
<file path=[Content_Types].xml><?xml version="1.0" encoding="utf-8"?>
<Types xmlns="http://schemas.openxmlformats.org/package/2006/content-types">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420490D" w14:textId="56F16090" w:rsidR="00BC4400" w:rsidRPr="00BC4400" w:rsidRDefault="00BC4400" w:rsidP="00BC4400">
      <w:pPr>
        <w:widowControl w:val="0"/>
        <w:pBdr>
          <w:bottom w:val="single" w:sz="12" w:space="1" w:color="auto"/>
        </w:pBdr>
        <w:spacing w:before="120" w:after="240"/>
        <w:ind w:left="11" w:hanging="11"/>
        <w:jc w:val="center"/>
        <w:rPr>
          <w:b/>
          <w:smallCaps/>
          <w:szCs w:val="24"/>
        </w:rPr>
      </w:pPr>
      <w:bookmarkStart w:id="0" w:name="Příjmovka"/>
      <w:bookmarkStart w:id="1" w:name="_Toc157588780"/>
      <w:bookmarkEnd w:id="0"/>
      <w:r w:rsidRPr="00B63D75">
        <w:rPr>
          <w:b/>
          <w:smallCaps/>
          <w:szCs w:val="24"/>
        </w:rPr>
        <w:t>Text částí zákonů v platném znění s vyznačením navrhovaných změn a doplnění</w:t>
      </w:r>
    </w:p>
    <w:p w14:paraId="3703F0BA" w14:textId="3685BFEA" w:rsidR="00CF4EB1" w:rsidRPr="00E70B7D" w:rsidRDefault="00DC66A5" w:rsidP="00A06781">
      <w:pPr>
        <w:pStyle w:val="Odstavecseseznamem"/>
        <w:tabs>
          <w:tab w:val="left" w:pos="567"/>
        </w:tabs>
        <w:spacing w:before="120" w:after="120"/>
        <w:ind w:left="0" w:firstLine="0"/>
        <w:jc w:val="center"/>
        <w:outlineLvl w:val="0"/>
        <w:rPr>
          <w:b/>
          <w:szCs w:val="24"/>
        </w:rPr>
      </w:pPr>
      <w:r w:rsidRPr="00E70B7D">
        <w:rPr>
          <w:b/>
          <w:szCs w:val="24"/>
        </w:rPr>
        <w:t xml:space="preserve">K části </w:t>
      </w:r>
      <w:r w:rsidR="00A31813">
        <w:rPr>
          <w:b/>
          <w:szCs w:val="24"/>
        </w:rPr>
        <w:t xml:space="preserve">první </w:t>
      </w:r>
      <w:r w:rsidRPr="00E70B7D">
        <w:rPr>
          <w:b/>
          <w:szCs w:val="24"/>
        </w:rPr>
        <w:t xml:space="preserve">návrhu zákona – </w:t>
      </w:r>
      <w:r w:rsidRPr="00E70B7D">
        <w:rPr>
          <w:szCs w:val="24"/>
        </w:rPr>
        <w:t xml:space="preserve">změna </w:t>
      </w:r>
      <w:bookmarkEnd w:id="1"/>
      <w:r w:rsidR="00A06781">
        <w:rPr>
          <w:szCs w:val="24"/>
        </w:rPr>
        <w:t>o</w:t>
      </w:r>
      <w:r w:rsidR="0019202E">
        <w:rPr>
          <w:szCs w:val="24"/>
        </w:rPr>
        <w:t>bčanského soudního řádu</w:t>
      </w:r>
    </w:p>
    <w:p w14:paraId="2D36EB82" w14:textId="77777777" w:rsidR="00CF4EB1" w:rsidRPr="00AE0742" w:rsidRDefault="00CF4EB1" w:rsidP="00CF4EB1">
      <w:pPr>
        <w:pStyle w:val="Odstavecseseznamem"/>
        <w:tabs>
          <w:tab w:val="left" w:pos="851"/>
        </w:tabs>
        <w:spacing w:before="120" w:after="120"/>
        <w:ind w:left="0"/>
        <w:outlineLvl w:val="0"/>
        <w:rPr>
          <w:b/>
          <w:szCs w:val="24"/>
        </w:rPr>
      </w:pPr>
    </w:p>
    <w:p w14:paraId="302FB642" w14:textId="62853EA8" w:rsidR="00A06781" w:rsidRPr="00A06781" w:rsidRDefault="00DC66A5" w:rsidP="00A06781">
      <w:pPr>
        <w:pStyle w:val="Odstavecseseznamem"/>
        <w:numPr>
          <w:ilvl w:val="0"/>
          <w:numId w:val="2"/>
        </w:numPr>
        <w:pBdr>
          <w:top w:val="single" w:sz="12" w:space="6" w:color="auto"/>
          <w:left w:val="single" w:sz="12" w:space="0" w:color="auto"/>
          <w:bottom w:val="single" w:sz="12" w:space="6" w:color="auto"/>
          <w:right w:val="single" w:sz="12" w:space="0" w:color="auto"/>
        </w:pBdr>
        <w:jc w:val="center"/>
        <w:rPr>
          <w:szCs w:val="24"/>
        </w:rPr>
      </w:pPr>
      <w:r w:rsidRPr="00AE0742">
        <w:rPr>
          <w:b/>
          <w:szCs w:val="24"/>
        </w:rPr>
        <w:t>Platné znění</w:t>
      </w:r>
      <w:r w:rsidRPr="00AE0742">
        <w:rPr>
          <w:szCs w:val="24"/>
        </w:rPr>
        <w:t xml:space="preserve"> zákona </w:t>
      </w:r>
      <w:r w:rsidRPr="00AE0742">
        <w:rPr>
          <w:color w:val="000000"/>
          <w:szCs w:val="24"/>
        </w:rPr>
        <w:t>č. </w:t>
      </w:r>
      <w:r w:rsidR="0019202E">
        <w:rPr>
          <w:color w:val="000000"/>
          <w:szCs w:val="24"/>
        </w:rPr>
        <w:t>99/1963</w:t>
      </w:r>
      <w:r w:rsidR="00135456">
        <w:rPr>
          <w:color w:val="000000"/>
          <w:szCs w:val="24"/>
        </w:rPr>
        <w:t xml:space="preserve"> </w:t>
      </w:r>
      <w:r w:rsidRPr="00AE0742">
        <w:rPr>
          <w:color w:val="000000"/>
          <w:szCs w:val="24"/>
        </w:rPr>
        <w:t xml:space="preserve">Sb., </w:t>
      </w:r>
      <w:r w:rsidR="00A06781">
        <w:rPr>
          <w:szCs w:val="24"/>
        </w:rPr>
        <w:t>o</w:t>
      </w:r>
      <w:r w:rsidR="0019202E">
        <w:rPr>
          <w:szCs w:val="24"/>
        </w:rPr>
        <w:t>bčanský soudní řád</w:t>
      </w:r>
      <w:r w:rsidR="00A06781" w:rsidRPr="00A06781">
        <w:rPr>
          <w:szCs w:val="24"/>
        </w:rPr>
        <w:t xml:space="preserve">, </w:t>
      </w:r>
    </w:p>
    <w:p w14:paraId="4FF4422C" w14:textId="1BFF4AB4" w:rsidR="0019202E" w:rsidRPr="00A06781" w:rsidRDefault="00A06781" w:rsidP="00A06781">
      <w:pPr>
        <w:pStyle w:val="Odstavecseseznamem"/>
        <w:numPr>
          <w:ilvl w:val="0"/>
          <w:numId w:val="2"/>
        </w:numPr>
        <w:pBdr>
          <w:top w:val="single" w:sz="12" w:space="6" w:color="auto"/>
          <w:left w:val="single" w:sz="12" w:space="0" w:color="auto"/>
          <w:bottom w:val="single" w:sz="12" w:space="6" w:color="auto"/>
          <w:right w:val="single" w:sz="12" w:space="0" w:color="auto"/>
        </w:pBdr>
        <w:jc w:val="center"/>
        <w:rPr>
          <w:b/>
          <w:szCs w:val="24"/>
        </w:rPr>
      </w:pPr>
      <w:r w:rsidRPr="00A06781">
        <w:rPr>
          <w:b/>
          <w:szCs w:val="24"/>
        </w:rPr>
        <w:t>s vyznačením navrhovaných změn a doplnění k 1. lednu 2025</w:t>
      </w:r>
    </w:p>
    <w:p w14:paraId="28F34D51" w14:textId="52FCBBBD" w:rsidR="00D35A18" w:rsidRDefault="00D35A18" w:rsidP="007E335A">
      <w:pPr>
        <w:pStyle w:val="Textparagrafu"/>
        <w:ind w:firstLine="0"/>
        <w:jc w:val="center"/>
      </w:pPr>
      <w:r>
        <w:t>***</w:t>
      </w:r>
    </w:p>
    <w:p w14:paraId="2A904498" w14:textId="43262201" w:rsidR="007E335A" w:rsidRDefault="007E335A" w:rsidP="007E335A">
      <w:pPr>
        <w:pStyle w:val="Textparagrafu"/>
        <w:ind w:firstLine="0"/>
        <w:jc w:val="center"/>
      </w:pPr>
      <w:r w:rsidRPr="004D7BD8">
        <w:t>§</w:t>
      </w:r>
      <w:r>
        <w:t xml:space="preserve"> </w:t>
      </w:r>
      <w:r w:rsidRPr="004D7BD8">
        <w:t>337d</w:t>
      </w:r>
    </w:p>
    <w:p w14:paraId="7B82DF19" w14:textId="77777777" w:rsidR="00806924" w:rsidRDefault="00806924" w:rsidP="007E335A">
      <w:pPr>
        <w:pStyle w:val="Textparagrafu"/>
        <w:sectPr w:rsidR="00806924" w:rsidSect="004A1AC3">
          <w:headerReference w:type="default" r:id="rId8"/>
          <w:footnotePr>
            <w:numStart w:val="6"/>
          </w:footnotePr>
          <w:pgSz w:w="11906" w:h="16838"/>
          <w:pgMar w:top="1417" w:right="1417" w:bottom="1417" w:left="1417" w:header="708" w:footer="708" w:gutter="0"/>
          <w:pgNumType w:fmt="numberInDash"/>
          <w:cols w:space="708"/>
          <w:titlePg/>
          <w:docGrid w:linePitch="360"/>
        </w:sectPr>
      </w:pPr>
    </w:p>
    <w:p w14:paraId="7BA44EC3" w14:textId="51426754" w:rsidR="007E335A" w:rsidRDefault="007E335A" w:rsidP="00A06781">
      <w:pPr>
        <w:pStyle w:val="Textparagrafu"/>
        <w:spacing w:before="120" w:after="120"/>
      </w:pPr>
      <w:r w:rsidRPr="004D7BD8">
        <w:t>(1)</w:t>
      </w:r>
      <w:r>
        <w:t xml:space="preserve"> </w:t>
      </w:r>
      <w:r w:rsidRPr="004D7BD8">
        <w:t>Byly-li</w:t>
      </w:r>
      <w:r>
        <w:t xml:space="preserve"> </w:t>
      </w:r>
      <w:r w:rsidRPr="004D7BD8">
        <w:t>v</w:t>
      </w:r>
      <w:r>
        <w:t xml:space="preserve"> </w:t>
      </w:r>
      <w:r w:rsidRPr="004D7BD8">
        <w:t>dražbě</w:t>
      </w:r>
      <w:r>
        <w:t xml:space="preserve"> </w:t>
      </w:r>
      <w:r w:rsidRPr="004D7BD8">
        <w:t>prodány</w:t>
      </w:r>
      <w:r>
        <w:t xml:space="preserve"> </w:t>
      </w:r>
      <w:r w:rsidRPr="004D7BD8">
        <w:t>všechny</w:t>
      </w:r>
      <w:r>
        <w:t xml:space="preserve"> </w:t>
      </w:r>
      <w:r w:rsidRPr="004D7BD8">
        <w:t>nemovité</w:t>
      </w:r>
      <w:r>
        <w:t xml:space="preserve"> </w:t>
      </w:r>
      <w:r w:rsidRPr="004D7BD8">
        <w:t>věci,</w:t>
      </w:r>
      <w:r>
        <w:t xml:space="preserve"> </w:t>
      </w:r>
      <w:r w:rsidRPr="004D7BD8">
        <w:t>na</w:t>
      </w:r>
      <w:r>
        <w:t xml:space="preserve"> </w:t>
      </w:r>
      <w:r w:rsidRPr="004D7BD8">
        <w:t>kterých</w:t>
      </w:r>
      <w:r>
        <w:t xml:space="preserve"> </w:t>
      </w:r>
      <w:r w:rsidRPr="004D7BD8">
        <w:t>váznou</w:t>
      </w:r>
      <w:r>
        <w:t xml:space="preserve"> </w:t>
      </w:r>
      <w:r w:rsidRPr="004D7BD8">
        <w:t>pohledávky</w:t>
      </w:r>
      <w:r>
        <w:t xml:space="preserve"> </w:t>
      </w:r>
      <w:r w:rsidRPr="004D7BD8">
        <w:t>zajištěné</w:t>
      </w:r>
      <w:r>
        <w:t xml:space="preserve"> </w:t>
      </w:r>
      <w:r w:rsidRPr="004D7BD8">
        <w:t>zástavním</w:t>
      </w:r>
      <w:r>
        <w:t xml:space="preserve"> </w:t>
      </w:r>
      <w:r w:rsidRPr="004D7BD8">
        <w:t>právem</w:t>
      </w:r>
      <w:r>
        <w:t xml:space="preserve"> </w:t>
      </w:r>
      <w:r w:rsidRPr="004D7BD8">
        <w:t>pro</w:t>
      </w:r>
      <w:r>
        <w:t xml:space="preserve"> </w:t>
      </w:r>
      <w:r w:rsidRPr="004D7BD8">
        <w:t>tutéž</w:t>
      </w:r>
      <w:r>
        <w:t xml:space="preserve"> </w:t>
      </w:r>
      <w:r w:rsidRPr="004D7BD8">
        <w:t>pohledávku</w:t>
      </w:r>
      <w:r>
        <w:t xml:space="preserve"> </w:t>
      </w:r>
      <w:r w:rsidRPr="004D7BD8">
        <w:t>(dále</w:t>
      </w:r>
      <w:r>
        <w:t xml:space="preserve"> </w:t>
      </w:r>
      <w:r w:rsidRPr="004D7BD8">
        <w:t>jen</w:t>
      </w:r>
      <w:r>
        <w:t xml:space="preserve"> </w:t>
      </w:r>
      <w:r w:rsidRPr="004D7BD8">
        <w:t>"vespolné</w:t>
      </w:r>
      <w:r>
        <w:t xml:space="preserve"> </w:t>
      </w:r>
      <w:r w:rsidRPr="004D7BD8">
        <w:t>zástavní</w:t>
      </w:r>
      <w:r>
        <w:t xml:space="preserve"> </w:t>
      </w:r>
      <w:r w:rsidRPr="004D7BD8">
        <w:t>právo"),</w:t>
      </w:r>
      <w:r>
        <w:t xml:space="preserve"> </w:t>
      </w:r>
      <w:r w:rsidRPr="004D7BD8">
        <w:t>uhradí</w:t>
      </w:r>
      <w:r>
        <w:t xml:space="preserve"> </w:t>
      </w:r>
      <w:r w:rsidRPr="004D7BD8">
        <w:t>se</w:t>
      </w:r>
      <w:r>
        <w:t xml:space="preserve"> </w:t>
      </w:r>
      <w:r w:rsidRPr="004D7BD8">
        <w:t>takové</w:t>
      </w:r>
      <w:r>
        <w:t xml:space="preserve"> </w:t>
      </w:r>
      <w:r w:rsidRPr="004D7BD8">
        <w:t>pohledávky</w:t>
      </w:r>
      <w:r>
        <w:t xml:space="preserve"> </w:t>
      </w:r>
      <w:r w:rsidRPr="004D7BD8">
        <w:t>při</w:t>
      </w:r>
      <w:r>
        <w:t xml:space="preserve"> </w:t>
      </w:r>
      <w:r w:rsidRPr="004D7BD8">
        <w:t>rozvrhu</w:t>
      </w:r>
      <w:r>
        <w:t xml:space="preserve"> </w:t>
      </w:r>
      <w:r w:rsidRPr="004D7BD8">
        <w:t>jednotlivých</w:t>
      </w:r>
      <w:r>
        <w:t xml:space="preserve"> </w:t>
      </w:r>
      <w:r w:rsidRPr="004D7BD8">
        <w:t>rozdělovaných</w:t>
      </w:r>
      <w:r>
        <w:t xml:space="preserve"> </w:t>
      </w:r>
      <w:r w:rsidRPr="004D7BD8">
        <w:t>podstat</w:t>
      </w:r>
      <w:r>
        <w:t xml:space="preserve"> </w:t>
      </w:r>
      <w:r w:rsidRPr="004D7BD8">
        <w:t>poměrně</w:t>
      </w:r>
      <w:r>
        <w:t xml:space="preserve"> </w:t>
      </w:r>
      <w:r w:rsidRPr="004D7BD8">
        <w:t>podle</w:t>
      </w:r>
      <w:r>
        <w:t xml:space="preserve"> </w:t>
      </w:r>
      <w:r w:rsidRPr="004D7BD8">
        <w:t>zbytků</w:t>
      </w:r>
      <w:r>
        <w:t xml:space="preserve"> </w:t>
      </w:r>
      <w:r w:rsidRPr="004D7BD8">
        <w:t>rozdělovaných</w:t>
      </w:r>
      <w:r>
        <w:t xml:space="preserve"> </w:t>
      </w:r>
      <w:r w:rsidRPr="004D7BD8">
        <w:t>podstat,</w:t>
      </w:r>
      <w:r>
        <w:t xml:space="preserve"> </w:t>
      </w:r>
      <w:r w:rsidRPr="004D7BD8">
        <w:t>které</w:t>
      </w:r>
      <w:r>
        <w:t xml:space="preserve"> </w:t>
      </w:r>
      <w:r w:rsidRPr="004D7BD8">
        <w:t>zbývají</w:t>
      </w:r>
      <w:r>
        <w:t xml:space="preserve"> </w:t>
      </w:r>
      <w:r w:rsidRPr="004D7BD8">
        <w:t>u</w:t>
      </w:r>
      <w:r>
        <w:t xml:space="preserve"> </w:t>
      </w:r>
      <w:r w:rsidRPr="004D7BD8">
        <w:t>každé</w:t>
      </w:r>
      <w:r>
        <w:t xml:space="preserve"> </w:t>
      </w:r>
      <w:r w:rsidRPr="004D7BD8">
        <w:t>jednotlivé</w:t>
      </w:r>
      <w:r>
        <w:t xml:space="preserve"> </w:t>
      </w:r>
      <w:r w:rsidRPr="004D7BD8">
        <w:t>nemovité</w:t>
      </w:r>
      <w:r>
        <w:t xml:space="preserve"> </w:t>
      </w:r>
      <w:r w:rsidRPr="004D7BD8">
        <w:t>věci</w:t>
      </w:r>
      <w:r>
        <w:t xml:space="preserve"> </w:t>
      </w:r>
      <w:r w:rsidRPr="004D7BD8">
        <w:t>po</w:t>
      </w:r>
      <w:r>
        <w:t xml:space="preserve"> </w:t>
      </w:r>
      <w:r w:rsidRPr="004D7BD8">
        <w:t>uhrazení</w:t>
      </w:r>
      <w:r>
        <w:t xml:space="preserve"> </w:t>
      </w:r>
      <w:r w:rsidRPr="004D7BD8">
        <w:t>předcházejících</w:t>
      </w:r>
      <w:r>
        <w:t xml:space="preserve"> </w:t>
      </w:r>
      <w:r w:rsidRPr="004D7BD8">
        <w:t>nároků.</w:t>
      </w:r>
      <w:r>
        <w:t xml:space="preserve"> </w:t>
      </w:r>
      <w:r w:rsidRPr="004D7BD8">
        <w:t>Žádá-li</w:t>
      </w:r>
      <w:r>
        <w:t xml:space="preserve"> </w:t>
      </w:r>
      <w:r w:rsidRPr="004D7BD8">
        <w:t>věřitel</w:t>
      </w:r>
      <w:r>
        <w:t xml:space="preserve"> </w:t>
      </w:r>
      <w:r w:rsidRPr="004D7BD8">
        <w:t>uspokojení</w:t>
      </w:r>
      <w:r>
        <w:t xml:space="preserve"> </w:t>
      </w:r>
      <w:r w:rsidRPr="004D7BD8">
        <w:t>v</w:t>
      </w:r>
      <w:r>
        <w:t xml:space="preserve"> </w:t>
      </w:r>
      <w:r w:rsidRPr="004D7BD8">
        <w:t>jiném</w:t>
      </w:r>
      <w:r>
        <w:t xml:space="preserve"> </w:t>
      </w:r>
      <w:r w:rsidRPr="004D7BD8">
        <w:t>poměru,</w:t>
      </w:r>
      <w:r>
        <w:t xml:space="preserve"> </w:t>
      </w:r>
      <w:r w:rsidRPr="004D7BD8">
        <w:t>přikáže</w:t>
      </w:r>
      <w:r>
        <w:t xml:space="preserve"> </w:t>
      </w:r>
      <w:r w:rsidRPr="004D7BD8">
        <w:t>se</w:t>
      </w:r>
      <w:r>
        <w:t xml:space="preserve"> </w:t>
      </w:r>
      <w:r w:rsidRPr="004D7BD8">
        <w:t>osobám,</w:t>
      </w:r>
      <w:r>
        <w:t xml:space="preserve"> </w:t>
      </w:r>
      <w:r w:rsidRPr="004D7BD8">
        <w:t>které</w:t>
      </w:r>
      <w:r>
        <w:t xml:space="preserve"> </w:t>
      </w:r>
      <w:r w:rsidRPr="004D7BD8">
        <w:t>by</w:t>
      </w:r>
      <w:r>
        <w:t xml:space="preserve"> </w:t>
      </w:r>
      <w:r w:rsidRPr="004D7BD8">
        <w:t>v</w:t>
      </w:r>
      <w:r>
        <w:t xml:space="preserve"> </w:t>
      </w:r>
      <w:r w:rsidRPr="004D7BD8">
        <w:t>důsledku</w:t>
      </w:r>
      <w:r>
        <w:t xml:space="preserve"> </w:t>
      </w:r>
      <w:r w:rsidRPr="004D7BD8">
        <w:t>toho</w:t>
      </w:r>
      <w:r>
        <w:t xml:space="preserve"> </w:t>
      </w:r>
      <w:r w:rsidRPr="004D7BD8">
        <w:t>obdržely</w:t>
      </w:r>
      <w:r>
        <w:t xml:space="preserve"> </w:t>
      </w:r>
      <w:r w:rsidRPr="004D7BD8">
        <w:t>z</w:t>
      </w:r>
      <w:r>
        <w:t xml:space="preserve"> </w:t>
      </w:r>
      <w:r w:rsidRPr="004D7BD8">
        <w:t>rozdělované</w:t>
      </w:r>
      <w:r>
        <w:t xml:space="preserve"> </w:t>
      </w:r>
      <w:r w:rsidRPr="004D7BD8">
        <w:t>podstaty</w:t>
      </w:r>
      <w:r>
        <w:t xml:space="preserve"> </w:t>
      </w:r>
      <w:r w:rsidRPr="004D7BD8">
        <w:t>méně,</w:t>
      </w:r>
      <w:r>
        <w:t xml:space="preserve"> </w:t>
      </w:r>
      <w:r w:rsidRPr="004D7BD8">
        <w:t>částka,</w:t>
      </w:r>
      <w:r>
        <w:t xml:space="preserve"> </w:t>
      </w:r>
      <w:r w:rsidRPr="004D7BD8">
        <w:t>která</w:t>
      </w:r>
      <w:r>
        <w:t xml:space="preserve"> </w:t>
      </w:r>
      <w:r w:rsidRPr="004D7BD8">
        <w:t>by</w:t>
      </w:r>
      <w:r>
        <w:t xml:space="preserve"> </w:t>
      </w:r>
      <w:r w:rsidRPr="004D7BD8">
        <w:t>připadla</w:t>
      </w:r>
      <w:r>
        <w:t xml:space="preserve"> </w:t>
      </w:r>
      <w:r w:rsidRPr="004D7BD8">
        <w:t>na</w:t>
      </w:r>
      <w:r>
        <w:t xml:space="preserve"> </w:t>
      </w:r>
      <w:r w:rsidRPr="004D7BD8">
        <w:t>takovou</w:t>
      </w:r>
      <w:r>
        <w:t xml:space="preserve"> </w:t>
      </w:r>
      <w:r w:rsidRPr="004D7BD8">
        <w:t>pohledávku</w:t>
      </w:r>
      <w:r>
        <w:t xml:space="preserve"> </w:t>
      </w:r>
      <w:r w:rsidRPr="004D7BD8">
        <w:t>až</w:t>
      </w:r>
      <w:r>
        <w:t xml:space="preserve"> </w:t>
      </w:r>
      <w:r w:rsidRPr="004D7BD8">
        <w:t>do</w:t>
      </w:r>
      <w:r>
        <w:t xml:space="preserve"> </w:t>
      </w:r>
      <w:r w:rsidRPr="004D7BD8">
        <w:t>výše</w:t>
      </w:r>
      <w:r>
        <w:t xml:space="preserve"> </w:t>
      </w:r>
      <w:r w:rsidRPr="004D7BD8">
        <w:t>schodku</w:t>
      </w:r>
      <w:r>
        <w:t xml:space="preserve"> </w:t>
      </w:r>
      <w:r w:rsidRPr="004D7BD8">
        <w:t>z</w:t>
      </w:r>
      <w:r>
        <w:t xml:space="preserve"> </w:t>
      </w:r>
      <w:r w:rsidRPr="004D7BD8">
        <w:t>jednotlivých</w:t>
      </w:r>
      <w:r>
        <w:t xml:space="preserve"> </w:t>
      </w:r>
      <w:r w:rsidRPr="004D7BD8">
        <w:t>rozdělovaných</w:t>
      </w:r>
      <w:r>
        <w:t xml:space="preserve"> </w:t>
      </w:r>
      <w:r w:rsidRPr="004D7BD8">
        <w:t>podstat.</w:t>
      </w:r>
    </w:p>
    <w:p w14:paraId="696E7CFB" w14:textId="458BAADB" w:rsidR="007E335A" w:rsidRDefault="007E335A" w:rsidP="00A06781">
      <w:pPr>
        <w:pStyle w:val="Textparagrafu"/>
        <w:spacing w:before="120" w:after="120"/>
      </w:pPr>
      <w:r w:rsidRPr="004D7BD8">
        <w:t>(2)</w:t>
      </w:r>
      <w:r>
        <w:t xml:space="preserve"> </w:t>
      </w:r>
      <w:r w:rsidRPr="004D7BD8">
        <w:t>Nebyly-li</w:t>
      </w:r>
      <w:r>
        <w:t xml:space="preserve"> </w:t>
      </w:r>
      <w:r w:rsidRPr="004D7BD8">
        <w:t>v</w:t>
      </w:r>
      <w:r>
        <w:t xml:space="preserve"> </w:t>
      </w:r>
      <w:r w:rsidRPr="004D7BD8">
        <w:t>dražbě</w:t>
      </w:r>
      <w:r>
        <w:t xml:space="preserve"> </w:t>
      </w:r>
      <w:r w:rsidRPr="004D7BD8">
        <w:t>prodány</w:t>
      </w:r>
      <w:r>
        <w:t xml:space="preserve"> </w:t>
      </w:r>
      <w:r w:rsidRPr="004D7BD8">
        <w:t>všechny</w:t>
      </w:r>
      <w:r>
        <w:t xml:space="preserve"> </w:t>
      </w:r>
      <w:r w:rsidRPr="004D7BD8">
        <w:t>nemovité</w:t>
      </w:r>
      <w:r>
        <w:t xml:space="preserve"> </w:t>
      </w:r>
      <w:r w:rsidRPr="004D7BD8">
        <w:t>věci,</w:t>
      </w:r>
      <w:r>
        <w:t xml:space="preserve"> </w:t>
      </w:r>
      <w:r w:rsidRPr="004D7BD8">
        <w:t>na</w:t>
      </w:r>
      <w:r>
        <w:t xml:space="preserve"> </w:t>
      </w:r>
      <w:r w:rsidRPr="004D7BD8">
        <w:t>nichž</w:t>
      </w:r>
      <w:r>
        <w:t xml:space="preserve"> </w:t>
      </w:r>
      <w:r w:rsidRPr="004D7BD8">
        <w:t>váznou</w:t>
      </w:r>
      <w:r>
        <w:t xml:space="preserve"> </w:t>
      </w:r>
      <w:r w:rsidRPr="004D7BD8">
        <w:t>pohledávky</w:t>
      </w:r>
      <w:r>
        <w:t xml:space="preserve"> </w:t>
      </w:r>
      <w:r w:rsidRPr="004D7BD8">
        <w:t>zajištěné</w:t>
      </w:r>
      <w:r>
        <w:t xml:space="preserve"> </w:t>
      </w:r>
      <w:r w:rsidRPr="004D7BD8">
        <w:t>vespolným</w:t>
      </w:r>
      <w:r>
        <w:t xml:space="preserve"> </w:t>
      </w:r>
      <w:r w:rsidRPr="004D7BD8">
        <w:t>zástavním</w:t>
      </w:r>
      <w:r>
        <w:t xml:space="preserve"> </w:t>
      </w:r>
      <w:r w:rsidRPr="004D7BD8">
        <w:t>právem,</w:t>
      </w:r>
      <w:r>
        <w:t xml:space="preserve"> </w:t>
      </w:r>
      <w:r w:rsidRPr="004D7BD8">
        <w:t>použije</w:t>
      </w:r>
      <w:r>
        <w:t xml:space="preserve"> </w:t>
      </w:r>
      <w:r w:rsidRPr="004D7BD8">
        <w:t>se</w:t>
      </w:r>
      <w:r>
        <w:t xml:space="preserve"> </w:t>
      </w:r>
      <w:r w:rsidRPr="004D7BD8">
        <w:t>za</w:t>
      </w:r>
      <w:r>
        <w:t xml:space="preserve"> </w:t>
      </w:r>
      <w:r w:rsidRPr="004D7BD8">
        <w:t>základ</w:t>
      </w:r>
      <w:r>
        <w:t xml:space="preserve"> </w:t>
      </w:r>
      <w:r w:rsidRPr="004D7BD8">
        <w:t>výpočtu</w:t>
      </w:r>
      <w:r>
        <w:t xml:space="preserve"> </w:t>
      </w:r>
      <w:r w:rsidRPr="004D7BD8">
        <w:t>úhrady</w:t>
      </w:r>
      <w:r>
        <w:t xml:space="preserve"> </w:t>
      </w:r>
      <w:r w:rsidRPr="007E335A">
        <w:rPr>
          <w:strike/>
        </w:rPr>
        <w:t>hodnota</w:t>
      </w:r>
      <w:r>
        <w:t xml:space="preserve"> </w:t>
      </w:r>
      <w:r w:rsidRPr="007E335A">
        <w:rPr>
          <w:b/>
        </w:rPr>
        <w:t xml:space="preserve">cena </w:t>
      </w:r>
      <w:r w:rsidRPr="004D7BD8">
        <w:t>všech</w:t>
      </w:r>
      <w:r>
        <w:t xml:space="preserve"> </w:t>
      </w:r>
      <w:r w:rsidRPr="004D7BD8">
        <w:t>nemovitých</w:t>
      </w:r>
      <w:r>
        <w:t xml:space="preserve"> </w:t>
      </w:r>
      <w:r w:rsidRPr="004D7BD8">
        <w:t>věcí</w:t>
      </w:r>
      <w:r>
        <w:t xml:space="preserve"> </w:t>
      </w:r>
      <w:r w:rsidRPr="007E335A">
        <w:rPr>
          <w:strike/>
        </w:rPr>
        <w:t xml:space="preserve">zjištěná podle zvláštního </w:t>
      </w:r>
      <w:r>
        <w:rPr>
          <w:strike/>
        </w:rPr>
        <w:t>předpisu</w:t>
      </w:r>
      <w:r w:rsidRPr="007E335A">
        <w:t>.</w:t>
      </w:r>
      <w:r w:rsidRPr="007E335A">
        <w:rPr>
          <w:rStyle w:val="Znakapoznpodarou"/>
          <w:strike/>
        </w:rPr>
        <w:footnoteReference w:id="1"/>
      </w:r>
      <w:r>
        <w:t xml:space="preserve"> </w:t>
      </w:r>
      <w:r w:rsidRPr="004D7BD8">
        <w:t>Částky,</w:t>
      </w:r>
      <w:r>
        <w:t xml:space="preserve"> </w:t>
      </w:r>
      <w:r w:rsidRPr="004D7BD8">
        <w:t>o</w:t>
      </w:r>
      <w:r>
        <w:t xml:space="preserve"> </w:t>
      </w:r>
      <w:r w:rsidRPr="004D7BD8">
        <w:t>které</w:t>
      </w:r>
      <w:r>
        <w:t xml:space="preserve"> </w:t>
      </w:r>
      <w:r w:rsidRPr="004D7BD8">
        <w:t>by</w:t>
      </w:r>
      <w:r>
        <w:t xml:space="preserve"> </w:t>
      </w:r>
      <w:r w:rsidRPr="004D7BD8">
        <w:t>byli</w:t>
      </w:r>
      <w:r>
        <w:t xml:space="preserve"> </w:t>
      </w:r>
      <w:r w:rsidRPr="004D7BD8">
        <w:t>věřitelé</w:t>
      </w:r>
      <w:r>
        <w:t xml:space="preserve"> </w:t>
      </w:r>
      <w:r w:rsidRPr="004D7BD8">
        <w:t>s</w:t>
      </w:r>
      <w:r>
        <w:t xml:space="preserve"> </w:t>
      </w:r>
      <w:r w:rsidRPr="004D7BD8">
        <w:t>pozdějším</w:t>
      </w:r>
      <w:r>
        <w:t xml:space="preserve"> </w:t>
      </w:r>
      <w:r w:rsidRPr="004D7BD8">
        <w:t>pořadím</w:t>
      </w:r>
      <w:r>
        <w:t xml:space="preserve"> </w:t>
      </w:r>
      <w:r w:rsidRPr="004D7BD8">
        <w:t>zkráceni</w:t>
      </w:r>
      <w:r>
        <w:t xml:space="preserve"> </w:t>
      </w:r>
      <w:r w:rsidRPr="004D7BD8">
        <w:t>tím,</w:t>
      </w:r>
      <w:r>
        <w:t xml:space="preserve"> </w:t>
      </w:r>
      <w:r w:rsidRPr="004D7BD8">
        <w:t>že</w:t>
      </w:r>
      <w:r>
        <w:t xml:space="preserve"> </w:t>
      </w:r>
      <w:r w:rsidRPr="004D7BD8">
        <w:t>věřitel</w:t>
      </w:r>
      <w:r>
        <w:t xml:space="preserve"> </w:t>
      </w:r>
      <w:r w:rsidRPr="004D7BD8">
        <w:t>pohledávky</w:t>
      </w:r>
      <w:r>
        <w:t xml:space="preserve"> </w:t>
      </w:r>
      <w:r w:rsidRPr="004D7BD8">
        <w:t>zajištěné</w:t>
      </w:r>
      <w:r>
        <w:t xml:space="preserve"> </w:t>
      </w:r>
      <w:r w:rsidRPr="004D7BD8">
        <w:t>vespolným</w:t>
      </w:r>
      <w:r>
        <w:t xml:space="preserve"> </w:t>
      </w:r>
      <w:r w:rsidRPr="004D7BD8">
        <w:t>zástavním</w:t>
      </w:r>
      <w:r>
        <w:t xml:space="preserve"> </w:t>
      </w:r>
      <w:r w:rsidRPr="004D7BD8">
        <w:t>právem</w:t>
      </w:r>
      <w:r>
        <w:t xml:space="preserve"> </w:t>
      </w:r>
      <w:r w:rsidRPr="004D7BD8">
        <w:t>dostal</w:t>
      </w:r>
      <w:r>
        <w:t xml:space="preserve"> </w:t>
      </w:r>
      <w:r w:rsidRPr="004D7BD8">
        <w:t>více,</w:t>
      </w:r>
      <w:r>
        <w:t xml:space="preserve"> </w:t>
      </w:r>
      <w:r w:rsidRPr="004D7BD8">
        <w:t>než</w:t>
      </w:r>
      <w:r>
        <w:t xml:space="preserve"> </w:t>
      </w:r>
      <w:r w:rsidRPr="004D7BD8">
        <w:t>kolik</w:t>
      </w:r>
      <w:r>
        <w:t xml:space="preserve"> </w:t>
      </w:r>
      <w:r w:rsidRPr="004D7BD8">
        <w:t>by</w:t>
      </w:r>
      <w:r>
        <w:t xml:space="preserve"> </w:t>
      </w:r>
      <w:r w:rsidRPr="004D7BD8">
        <w:t>na</w:t>
      </w:r>
      <w:r>
        <w:t xml:space="preserve"> </w:t>
      </w:r>
      <w:r w:rsidRPr="004D7BD8">
        <w:t>něj</w:t>
      </w:r>
      <w:r>
        <w:t xml:space="preserve"> </w:t>
      </w:r>
      <w:r w:rsidRPr="004D7BD8">
        <w:t>připadlo</w:t>
      </w:r>
      <w:r>
        <w:t xml:space="preserve"> </w:t>
      </w:r>
      <w:r w:rsidRPr="004D7BD8">
        <w:t>z</w:t>
      </w:r>
      <w:r>
        <w:t xml:space="preserve"> </w:t>
      </w:r>
      <w:r w:rsidRPr="004D7BD8">
        <w:t>výtěžku</w:t>
      </w:r>
      <w:r>
        <w:t xml:space="preserve"> </w:t>
      </w:r>
      <w:r w:rsidRPr="004D7BD8">
        <w:t>prodané</w:t>
      </w:r>
      <w:r>
        <w:t xml:space="preserve"> </w:t>
      </w:r>
      <w:r w:rsidRPr="004D7BD8">
        <w:t>nemovité</w:t>
      </w:r>
      <w:r>
        <w:t xml:space="preserve"> </w:t>
      </w:r>
      <w:r w:rsidRPr="004D7BD8">
        <w:t>věci,</w:t>
      </w:r>
      <w:r>
        <w:t xml:space="preserve"> </w:t>
      </w:r>
      <w:r w:rsidRPr="004D7BD8">
        <w:t>zajistí</w:t>
      </w:r>
      <w:r>
        <w:t xml:space="preserve"> </w:t>
      </w:r>
      <w:r w:rsidRPr="004D7BD8">
        <w:t>se</w:t>
      </w:r>
      <w:r>
        <w:t xml:space="preserve"> </w:t>
      </w:r>
      <w:r w:rsidRPr="004D7BD8">
        <w:t>na</w:t>
      </w:r>
      <w:r>
        <w:t xml:space="preserve"> </w:t>
      </w:r>
      <w:r w:rsidRPr="004D7BD8">
        <w:t>jejich</w:t>
      </w:r>
      <w:r>
        <w:t xml:space="preserve"> </w:t>
      </w:r>
      <w:r w:rsidRPr="004D7BD8">
        <w:t>návrh</w:t>
      </w:r>
      <w:r>
        <w:t xml:space="preserve"> </w:t>
      </w:r>
      <w:r w:rsidRPr="004D7BD8">
        <w:t>zástavním</w:t>
      </w:r>
      <w:r>
        <w:t xml:space="preserve"> </w:t>
      </w:r>
      <w:r w:rsidRPr="004D7BD8">
        <w:t>právem</w:t>
      </w:r>
      <w:r>
        <w:t xml:space="preserve"> </w:t>
      </w:r>
      <w:r w:rsidRPr="004D7BD8">
        <w:t>na</w:t>
      </w:r>
      <w:r>
        <w:t xml:space="preserve"> </w:t>
      </w:r>
      <w:r w:rsidRPr="004D7BD8">
        <w:t>neprodaných</w:t>
      </w:r>
      <w:r>
        <w:t xml:space="preserve"> </w:t>
      </w:r>
      <w:r w:rsidRPr="004D7BD8">
        <w:t>nemovitých</w:t>
      </w:r>
      <w:r>
        <w:t xml:space="preserve"> </w:t>
      </w:r>
      <w:r w:rsidRPr="004D7BD8">
        <w:t>věcech</w:t>
      </w:r>
      <w:r>
        <w:t xml:space="preserve"> </w:t>
      </w:r>
      <w:r w:rsidRPr="004D7BD8">
        <w:t>v</w:t>
      </w:r>
      <w:r>
        <w:t xml:space="preserve"> </w:t>
      </w:r>
      <w:r w:rsidRPr="004D7BD8">
        <w:t>pořadí,</w:t>
      </w:r>
      <w:r>
        <w:t xml:space="preserve"> </w:t>
      </w:r>
      <w:r w:rsidRPr="004D7BD8">
        <w:t>které</w:t>
      </w:r>
      <w:r>
        <w:t xml:space="preserve"> </w:t>
      </w:r>
      <w:r w:rsidRPr="004D7BD8">
        <w:t>příslušelo</w:t>
      </w:r>
      <w:r>
        <w:t xml:space="preserve"> </w:t>
      </w:r>
      <w:r w:rsidRPr="004D7BD8">
        <w:t>uspokojenému</w:t>
      </w:r>
      <w:r>
        <w:t xml:space="preserve"> </w:t>
      </w:r>
      <w:r w:rsidRPr="004D7BD8">
        <w:t>věřiteli.</w:t>
      </w:r>
    </w:p>
    <w:p w14:paraId="36F8A90D" w14:textId="3C74C0C3" w:rsidR="007936CA" w:rsidRDefault="007E335A" w:rsidP="00A06781">
      <w:pPr>
        <w:pStyle w:val="Textparagrafu"/>
        <w:spacing w:before="120" w:after="120"/>
      </w:pPr>
      <w:r w:rsidRPr="004D7BD8">
        <w:t>(3)</w:t>
      </w:r>
      <w:r>
        <w:t xml:space="preserve"> </w:t>
      </w:r>
      <w:r w:rsidRPr="004D7BD8">
        <w:t>Ustanovení</w:t>
      </w:r>
      <w:r>
        <w:t xml:space="preserve"> </w:t>
      </w:r>
      <w:r w:rsidRPr="004D7BD8">
        <w:t>odstavců</w:t>
      </w:r>
      <w:r>
        <w:t xml:space="preserve"> </w:t>
      </w:r>
      <w:r w:rsidRPr="004D7BD8">
        <w:t>1</w:t>
      </w:r>
      <w:r>
        <w:t xml:space="preserve"> </w:t>
      </w:r>
      <w:r w:rsidRPr="004D7BD8">
        <w:t>a</w:t>
      </w:r>
      <w:r>
        <w:t xml:space="preserve"> </w:t>
      </w:r>
      <w:r w:rsidRPr="004D7BD8">
        <w:t>2</w:t>
      </w:r>
      <w:r>
        <w:t xml:space="preserve"> </w:t>
      </w:r>
      <w:r w:rsidRPr="004D7BD8">
        <w:t>se</w:t>
      </w:r>
      <w:r>
        <w:t xml:space="preserve"> </w:t>
      </w:r>
      <w:r w:rsidRPr="004D7BD8">
        <w:t>použije</w:t>
      </w:r>
      <w:r>
        <w:t xml:space="preserve"> </w:t>
      </w:r>
      <w:r w:rsidRPr="004D7BD8">
        <w:t>přiměřeně</w:t>
      </w:r>
      <w:r>
        <w:t xml:space="preserve"> </w:t>
      </w:r>
      <w:r w:rsidRPr="004D7BD8">
        <w:t>i</w:t>
      </w:r>
      <w:r>
        <w:t xml:space="preserve"> </w:t>
      </w:r>
      <w:r w:rsidRPr="004D7BD8">
        <w:t>na</w:t>
      </w:r>
      <w:r>
        <w:t xml:space="preserve"> </w:t>
      </w:r>
      <w:r w:rsidRPr="004D7BD8">
        <w:t>pohledávky,</w:t>
      </w:r>
      <w:r>
        <w:t xml:space="preserve"> </w:t>
      </w:r>
      <w:r w:rsidRPr="004D7BD8">
        <w:t>které</w:t>
      </w:r>
      <w:r>
        <w:t xml:space="preserve"> </w:t>
      </w:r>
      <w:r w:rsidRPr="004D7BD8">
        <w:t>zatěžují</w:t>
      </w:r>
      <w:r>
        <w:t xml:space="preserve"> </w:t>
      </w:r>
      <w:r w:rsidRPr="004D7BD8">
        <w:t>podíly</w:t>
      </w:r>
      <w:r>
        <w:t xml:space="preserve"> </w:t>
      </w:r>
      <w:r w:rsidRPr="004D7BD8">
        <w:t>několika</w:t>
      </w:r>
      <w:r>
        <w:t xml:space="preserve"> </w:t>
      </w:r>
      <w:r w:rsidRPr="004D7BD8">
        <w:t>spoluvlastníků</w:t>
      </w:r>
      <w:r>
        <w:t xml:space="preserve"> </w:t>
      </w:r>
      <w:r w:rsidRPr="004D7BD8">
        <w:t>téže</w:t>
      </w:r>
      <w:r>
        <w:t xml:space="preserve"> </w:t>
      </w:r>
      <w:r w:rsidRPr="004D7BD8">
        <w:t>nemovité</w:t>
      </w:r>
      <w:r>
        <w:t xml:space="preserve"> </w:t>
      </w:r>
      <w:r w:rsidRPr="004D7BD8">
        <w:t>věci.</w:t>
      </w:r>
    </w:p>
    <w:p w14:paraId="6613C3C4" w14:textId="77777777" w:rsidR="007936CA" w:rsidRDefault="007936CA">
      <w:r>
        <w:br w:type="page"/>
      </w:r>
    </w:p>
    <w:p w14:paraId="0545C03D" w14:textId="582D318A" w:rsidR="00C837B7" w:rsidRPr="00A06781" w:rsidRDefault="00C837B7" w:rsidP="00A06781">
      <w:pPr>
        <w:pStyle w:val="Textparagrafu"/>
        <w:ind w:firstLine="0"/>
        <w:jc w:val="center"/>
      </w:pPr>
      <w:r w:rsidRPr="00E70B7D">
        <w:rPr>
          <w:b/>
          <w:szCs w:val="24"/>
        </w:rPr>
        <w:lastRenderedPageBreak/>
        <w:t xml:space="preserve">K části </w:t>
      </w:r>
      <w:r>
        <w:rPr>
          <w:b/>
          <w:szCs w:val="24"/>
        </w:rPr>
        <w:t>druhé</w:t>
      </w:r>
      <w:r w:rsidRPr="00E70B7D">
        <w:rPr>
          <w:b/>
          <w:szCs w:val="24"/>
        </w:rPr>
        <w:t xml:space="preserve"> návrhu zákona – </w:t>
      </w:r>
      <w:r w:rsidRPr="00E70B7D">
        <w:rPr>
          <w:szCs w:val="24"/>
        </w:rPr>
        <w:t xml:space="preserve">změna </w:t>
      </w:r>
      <w:r>
        <w:rPr>
          <w:szCs w:val="24"/>
        </w:rPr>
        <w:t>zákona o České obchodní inspekci</w:t>
      </w:r>
    </w:p>
    <w:p w14:paraId="6C3A2CD4" w14:textId="1BCEAB10" w:rsidR="00A06781" w:rsidRPr="00A06781" w:rsidRDefault="00C837B7" w:rsidP="00A06781">
      <w:pPr>
        <w:pStyle w:val="Odstavecseseznamem"/>
        <w:numPr>
          <w:ilvl w:val="0"/>
          <w:numId w:val="2"/>
        </w:numPr>
        <w:pBdr>
          <w:top w:val="single" w:sz="12" w:space="6" w:color="auto"/>
          <w:left w:val="single" w:sz="12" w:space="0" w:color="auto"/>
          <w:bottom w:val="single" w:sz="12" w:space="6" w:color="auto"/>
          <w:right w:val="single" w:sz="12" w:space="0" w:color="auto"/>
        </w:pBdr>
        <w:jc w:val="center"/>
        <w:rPr>
          <w:szCs w:val="24"/>
        </w:rPr>
      </w:pPr>
      <w:r w:rsidRPr="00AE0742">
        <w:rPr>
          <w:b/>
          <w:szCs w:val="24"/>
        </w:rPr>
        <w:t>Platné znění</w:t>
      </w:r>
      <w:r w:rsidRPr="00AE0742">
        <w:rPr>
          <w:szCs w:val="24"/>
        </w:rPr>
        <w:t xml:space="preserve"> zákona </w:t>
      </w:r>
      <w:r w:rsidRPr="00AE0742">
        <w:rPr>
          <w:color w:val="000000"/>
          <w:szCs w:val="24"/>
        </w:rPr>
        <w:t>č. </w:t>
      </w:r>
      <w:r w:rsidR="00E16120">
        <w:rPr>
          <w:color w:val="000000"/>
          <w:szCs w:val="24"/>
        </w:rPr>
        <w:t>64/1986</w:t>
      </w:r>
      <w:r>
        <w:rPr>
          <w:color w:val="000000"/>
          <w:szCs w:val="24"/>
        </w:rPr>
        <w:t xml:space="preserve"> </w:t>
      </w:r>
      <w:r w:rsidRPr="00AE0742">
        <w:rPr>
          <w:color w:val="000000"/>
          <w:szCs w:val="24"/>
        </w:rPr>
        <w:t xml:space="preserve">Sb., </w:t>
      </w:r>
      <w:r w:rsidR="00E16120">
        <w:rPr>
          <w:szCs w:val="24"/>
        </w:rPr>
        <w:t>o České obchodní inspekci</w:t>
      </w:r>
      <w:r w:rsidR="00A06781" w:rsidRPr="00A06781">
        <w:rPr>
          <w:szCs w:val="24"/>
        </w:rPr>
        <w:t xml:space="preserve">, </w:t>
      </w:r>
    </w:p>
    <w:p w14:paraId="0ED6C50B" w14:textId="77777777" w:rsidR="00A06781" w:rsidRPr="00A06781" w:rsidRDefault="00A06781" w:rsidP="00A06781">
      <w:pPr>
        <w:pStyle w:val="Odstavecseseznamem"/>
        <w:numPr>
          <w:ilvl w:val="0"/>
          <w:numId w:val="2"/>
        </w:numPr>
        <w:pBdr>
          <w:top w:val="single" w:sz="12" w:space="6" w:color="auto"/>
          <w:left w:val="single" w:sz="12" w:space="0" w:color="auto"/>
          <w:bottom w:val="single" w:sz="12" w:space="6" w:color="auto"/>
          <w:right w:val="single" w:sz="12" w:space="0" w:color="auto"/>
        </w:pBdr>
        <w:jc w:val="center"/>
        <w:rPr>
          <w:b/>
          <w:szCs w:val="24"/>
        </w:rPr>
      </w:pPr>
      <w:r w:rsidRPr="00A06781">
        <w:rPr>
          <w:b/>
          <w:szCs w:val="24"/>
        </w:rPr>
        <w:t>s vyznačením navrhovaných změn a doplnění k 1. lednu 2025</w:t>
      </w:r>
    </w:p>
    <w:p w14:paraId="39E180E5" w14:textId="49589B59" w:rsidR="00072ED7" w:rsidRDefault="00072ED7" w:rsidP="00072ED7">
      <w:pPr>
        <w:pStyle w:val="Textparagrafu"/>
        <w:numPr>
          <w:ilvl w:val="0"/>
          <w:numId w:val="2"/>
        </w:numPr>
        <w:jc w:val="center"/>
      </w:pPr>
      <w:r w:rsidRPr="00C82614">
        <w:t>§</w:t>
      </w:r>
      <w:r>
        <w:t xml:space="preserve"> </w:t>
      </w:r>
      <w:r w:rsidRPr="00C82614">
        <w:t>1</w:t>
      </w:r>
    </w:p>
    <w:p w14:paraId="1B1A948E" w14:textId="77777777" w:rsidR="00072ED7" w:rsidRDefault="00072ED7" w:rsidP="00A06781">
      <w:pPr>
        <w:pStyle w:val="Textparagrafu"/>
        <w:numPr>
          <w:ilvl w:val="0"/>
          <w:numId w:val="2"/>
        </w:numPr>
        <w:spacing w:before="120" w:after="120"/>
        <w:ind w:firstLine="425"/>
      </w:pPr>
      <w:r w:rsidRPr="00C82614">
        <w:t>(1)</w:t>
      </w:r>
      <w:r>
        <w:t xml:space="preserve"> </w:t>
      </w:r>
      <w:r w:rsidRPr="00C82614">
        <w:t>Česká</w:t>
      </w:r>
      <w:r>
        <w:t xml:space="preserve"> </w:t>
      </w:r>
      <w:r w:rsidRPr="00C82614">
        <w:t>obchodní</w:t>
      </w:r>
      <w:r>
        <w:t xml:space="preserve"> </w:t>
      </w:r>
      <w:r w:rsidRPr="00C82614">
        <w:t>inspekce</w:t>
      </w:r>
      <w:r>
        <w:t xml:space="preserve"> </w:t>
      </w:r>
      <w:r w:rsidRPr="00C82614">
        <w:t>je</w:t>
      </w:r>
      <w:r>
        <w:t xml:space="preserve"> </w:t>
      </w:r>
      <w:r w:rsidRPr="00C82614">
        <w:t>orgánem</w:t>
      </w:r>
      <w:r>
        <w:t xml:space="preserve"> </w:t>
      </w:r>
      <w:r w:rsidRPr="00C82614">
        <w:t>státní</w:t>
      </w:r>
      <w:r>
        <w:t xml:space="preserve"> </w:t>
      </w:r>
      <w:r w:rsidRPr="00C82614">
        <w:t>správy</w:t>
      </w:r>
      <w:r>
        <w:t xml:space="preserve"> </w:t>
      </w:r>
      <w:r w:rsidRPr="00C82614">
        <w:t>podřízeným</w:t>
      </w:r>
      <w:r>
        <w:t xml:space="preserve"> </w:t>
      </w:r>
      <w:r w:rsidRPr="00C82614">
        <w:t>Ministerstvu</w:t>
      </w:r>
      <w:r>
        <w:t xml:space="preserve"> </w:t>
      </w:r>
      <w:r w:rsidRPr="00C82614">
        <w:t>průmyslu</w:t>
      </w:r>
      <w:r>
        <w:t xml:space="preserve"> </w:t>
      </w:r>
      <w:r w:rsidRPr="00C82614">
        <w:t>a</w:t>
      </w:r>
      <w:r>
        <w:t xml:space="preserve"> </w:t>
      </w:r>
      <w:r w:rsidRPr="00C82614">
        <w:t>obchodu.</w:t>
      </w:r>
    </w:p>
    <w:p w14:paraId="65C1CA60" w14:textId="77777777" w:rsidR="00072ED7" w:rsidRDefault="00072ED7" w:rsidP="00A06781">
      <w:pPr>
        <w:pStyle w:val="Textparagrafu"/>
        <w:numPr>
          <w:ilvl w:val="0"/>
          <w:numId w:val="2"/>
        </w:numPr>
        <w:spacing w:before="120" w:after="120"/>
        <w:ind w:firstLine="425"/>
      </w:pPr>
      <w:r w:rsidRPr="00C82614">
        <w:t>(2)</w:t>
      </w:r>
      <w:r>
        <w:t xml:space="preserve"> </w:t>
      </w:r>
      <w:r w:rsidRPr="00C82614">
        <w:t>V</w:t>
      </w:r>
      <w:r>
        <w:t xml:space="preserve"> </w:t>
      </w:r>
      <w:r w:rsidRPr="00C82614">
        <w:t>čele</w:t>
      </w:r>
      <w:r>
        <w:t xml:space="preserve"> </w:t>
      </w:r>
      <w:r w:rsidRPr="00C82614">
        <w:t>České</w:t>
      </w:r>
      <w:r>
        <w:t xml:space="preserve"> </w:t>
      </w:r>
      <w:r w:rsidRPr="00C82614">
        <w:t>obchodní</w:t>
      </w:r>
      <w:r>
        <w:t xml:space="preserve"> </w:t>
      </w:r>
      <w:r w:rsidRPr="00C82614">
        <w:t>inspekce</w:t>
      </w:r>
      <w:r>
        <w:t xml:space="preserve"> </w:t>
      </w:r>
      <w:r w:rsidRPr="00C82614">
        <w:t>je</w:t>
      </w:r>
      <w:r>
        <w:t xml:space="preserve"> </w:t>
      </w:r>
      <w:r w:rsidRPr="00C82614">
        <w:t>ústřední</w:t>
      </w:r>
      <w:r>
        <w:t xml:space="preserve"> </w:t>
      </w:r>
      <w:r w:rsidRPr="00C82614">
        <w:t>ředitel;</w:t>
      </w:r>
      <w:r>
        <w:t xml:space="preserve"> </w:t>
      </w:r>
      <w:r w:rsidRPr="00C82614">
        <w:t>výběr,</w:t>
      </w:r>
      <w:r>
        <w:t xml:space="preserve"> </w:t>
      </w:r>
      <w:r w:rsidRPr="00C82614">
        <w:t>jmenování</w:t>
      </w:r>
      <w:r>
        <w:t xml:space="preserve"> </w:t>
      </w:r>
      <w:r w:rsidRPr="00C82614">
        <w:t>a</w:t>
      </w:r>
      <w:r>
        <w:t xml:space="preserve"> </w:t>
      </w:r>
      <w:r w:rsidRPr="00C82614">
        <w:t>odvolání</w:t>
      </w:r>
      <w:r>
        <w:t xml:space="preserve"> </w:t>
      </w:r>
      <w:r w:rsidRPr="00C82614">
        <w:t>ústředního</w:t>
      </w:r>
      <w:r>
        <w:t xml:space="preserve"> </w:t>
      </w:r>
      <w:r w:rsidRPr="00C82614">
        <w:t>ředitele</w:t>
      </w:r>
      <w:r>
        <w:t xml:space="preserve"> </w:t>
      </w:r>
      <w:r w:rsidRPr="00C82614">
        <w:t>se</w:t>
      </w:r>
      <w:r>
        <w:t xml:space="preserve"> </w:t>
      </w:r>
      <w:r w:rsidRPr="00C82614">
        <w:t>řídí</w:t>
      </w:r>
      <w:r>
        <w:t xml:space="preserve"> </w:t>
      </w:r>
      <w:r w:rsidRPr="00C82614">
        <w:t>zákonem</w:t>
      </w:r>
      <w:r>
        <w:t xml:space="preserve"> </w:t>
      </w:r>
      <w:r w:rsidRPr="00C82614">
        <w:t>o</w:t>
      </w:r>
      <w:r>
        <w:t xml:space="preserve"> </w:t>
      </w:r>
      <w:r w:rsidRPr="00C82614">
        <w:t>státní</w:t>
      </w:r>
      <w:r>
        <w:t xml:space="preserve"> </w:t>
      </w:r>
      <w:r w:rsidRPr="00C82614">
        <w:t>službě.</w:t>
      </w:r>
      <w:r>
        <w:t xml:space="preserve"> </w:t>
      </w:r>
      <w:r w:rsidRPr="00C82614">
        <w:t>V</w:t>
      </w:r>
      <w:r>
        <w:t xml:space="preserve"> </w:t>
      </w:r>
      <w:r w:rsidRPr="00C82614">
        <w:t>čele</w:t>
      </w:r>
      <w:r>
        <w:t xml:space="preserve"> </w:t>
      </w:r>
      <w:r w:rsidRPr="00C82614">
        <w:t>inspektorátu</w:t>
      </w:r>
      <w:r>
        <w:t xml:space="preserve"> </w:t>
      </w:r>
      <w:r w:rsidRPr="00C82614">
        <w:t>je</w:t>
      </w:r>
      <w:r>
        <w:t xml:space="preserve"> </w:t>
      </w:r>
      <w:r w:rsidRPr="00C82614">
        <w:t>ředitel,</w:t>
      </w:r>
      <w:r>
        <w:t xml:space="preserve"> </w:t>
      </w:r>
      <w:r w:rsidRPr="00C82614">
        <w:t>kterého</w:t>
      </w:r>
      <w:r>
        <w:t xml:space="preserve"> </w:t>
      </w:r>
      <w:r w:rsidRPr="00C82614">
        <w:t>řídí</w:t>
      </w:r>
      <w:r>
        <w:t xml:space="preserve"> </w:t>
      </w:r>
      <w:r w:rsidRPr="00C82614">
        <w:t>ústřední</w:t>
      </w:r>
      <w:r>
        <w:t xml:space="preserve"> </w:t>
      </w:r>
      <w:r w:rsidRPr="00C82614">
        <w:t>ředitel;</w:t>
      </w:r>
      <w:r>
        <w:t xml:space="preserve"> </w:t>
      </w:r>
      <w:r w:rsidRPr="00C82614">
        <w:t>výběr,</w:t>
      </w:r>
      <w:r>
        <w:t xml:space="preserve"> </w:t>
      </w:r>
      <w:r w:rsidRPr="00C82614">
        <w:t>jmenování</w:t>
      </w:r>
      <w:r>
        <w:t xml:space="preserve"> </w:t>
      </w:r>
      <w:r w:rsidRPr="00C82614">
        <w:t>a</w:t>
      </w:r>
      <w:r>
        <w:t xml:space="preserve"> </w:t>
      </w:r>
      <w:r w:rsidRPr="00C82614">
        <w:t>odvolání</w:t>
      </w:r>
      <w:r>
        <w:t xml:space="preserve"> </w:t>
      </w:r>
      <w:r w:rsidRPr="00C82614">
        <w:t>ředitele</w:t>
      </w:r>
      <w:r>
        <w:t xml:space="preserve"> </w:t>
      </w:r>
      <w:r w:rsidRPr="00C82614">
        <w:t>inspektorátu</w:t>
      </w:r>
      <w:r>
        <w:t xml:space="preserve"> </w:t>
      </w:r>
      <w:r w:rsidRPr="00C82614">
        <w:t>se</w:t>
      </w:r>
      <w:r>
        <w:t xml:space="preserve"> </w:t>
      </w:r>
      <w:r w:rsidRPr="00C82614">
        <w:t>řídí</w:t>
      </w:r>
      <w:r>
        <w:t xml:space="preserve"> </w:t>
      </w:r>
      <w:r w:rsidRPr="00C82614">
        <w:t>zákonem</w:t>
      </w:r>
      <w:r>
        <w:t xml:space="preserve"> </w:t>
      </w:r>
      <w:r w:rsidRPr="00C82614">
        <w:t>o</w:t>
      </w:r>
      <w:r>
        <w:t xml:space="preserve"> </w:t>
      </w:r>
      <w:r w:rsidRPr="00C82614">
        <w:t>státní</w:t>
      </w:r>
      <w:r>
        <w:t xml:space="preserve"> </w:t>
      </w:r>
      <w:r w:rsidRPr="00C82614">
        <w:t>službě.</w:t>
      </w:r>
    </w:p>
    <w:p w14:paraId="567DA6F5" w14:textId="77777777" w:rsidR="00072ED7" w:rsidRDefault="00072ED7" w:rsidP="00684095">
      <w:pPr>
        <w:pStyle w:val="Textparagrafu"/>
        <w:numPr>
          <w:ilvl w:val="0"/>
          <w:numId w:val="2"/>
        </w:numPr>
        <w:spacing w:before="120" w:after="120"/>
        <w:ind w:firstLine="425"/>
      </w:pPr>
      <w:r w:rsidRPr="00C82614">
        <w:t>(3)</w:t>
      </w:r>
      <w:r>
        <w:t xml:space="preserve"> </w:t>
      </w:r>
      <w:r w:rsidRPr="00C82614">
        <w:t>Česká</w:t>
      </w:r>
      <w:r>
        <w:t xml:space="preserve"> </w:t>
      </w:r>
      <w:r w:rsidRPr="00C82614">
        <w:t>obchodní</w:t>
      </w:r>
      <w:r>
        <w:t xml:space="preserve"> </w:t>
      </w:r>
      <w:r w:rsidRPr="00C82614">
        <w:t>inspekce</w:t>
      </w:r>
      <w:r>
        <w:t xml:space="preserve"> </w:t>
      </w:r>
      <w:r w:rsidRPr="00C82614">
        <w:t>se</w:t>
      </w:r>
      <w:r>
        <w:t xml:space="preserve"> </w:t>
      </w:r>
      <w:r w:rsidRPr="00C82614">
        <w:t>člení</w:t>
      </w:r>
      <w:r>
        <w:t xml:space="preserve"> </w:t>
      </w:r>
      <w:r w:rsidRPr="00C82614">
        <w:t>na</w:t>
      </w:r>
      <w:r>
        <w:t xml:space="preserve"> </w:t>
      </w:r>
      <w:r w:rsidRPr="00C82614">
        <w:t>ústřední</w:t>
      </w:r>
      <w:r>
        <w:t xml:space="preserve"> </w:t>
      </w:r>
      <w:r w:rsidRPr="00C82614">
        <w:t>inspektorát</w:t>
      </w:r>
      <w:r>
        <w:t xml:space="preserve"> </w:t>
      </w:r>
      <w:r w:rsidRPr="00C82614">
        <w:t>a</w:t>
      </w:r>
      <w:r>
        <w:t xml:space="preserve"> </w:t>
      </w:r>
      <w:r w:rsidRPr="00C82614">
        <w:t>jemu</w:t>
      </w:r>
      <w:r>
        <w:t xml:space="preserve"> </w:t>
      </w:r>
      <w:r w:rsidRPr="00C82614">
        <w:t>podřízené</w:t>
      </w:r>
      <w:r>
        <w:t xml:space="preserve"> </w:t>
      </w:r>
      <w:r w:rsidRPr="00C82614">
        <w:t>inspektoráty</w:t>
      </w:r>
      <w:r>
        <w:t xml:space="preserve"> </w:t>
      </w:r>
      <w:r w:rsidRPr="00C82614">
        <w:t>mající</w:t>
      </w:r>
      <w:r>
        <w:t xml:space="preserve"> </w:t>
      </w:r>
      <w:r w:rsidRPr="00C82614">
        <w:t>územní</w:t>
      </w:r>
      <w:r>
        <w:t xml:space="preserve"> </w:t>
      </w:r>
      <w:r w:rsidRPr="00C82614">
        <w:t>působnost</w:t>
      </w:r>
      <w:r>
        <w:t xml:space="preserve"> </w:t>
      </w:r>
      <w:r w:rsidRPr="00C82614">
        <w:t>pro</w:t>
      </w:r>
      <w:r>
        <w:t xml:space="preserve"> </w:t>
      </w:r>
      <w:r w:rsidRPr="00C82614">
        <w:t>tyto</w:t>
      </w:r>
      <w:r>
        <w:t xml:space="preserve"> </w:t>
      </w:r>
      <w:r w:rsidRPr="00C82614">
        <w:t>kraje</w:t>
      </w:r>
      <w:r>
        <w:t xml:space="preserve"> </w:t>
      </w:r>
      <w:r w:rsidRPr="00C82614">
        <w:t>a</w:t>
      </w:r>
      <w:r>
        <w:t xml:space="preserve"> </w:t>
      </w:r>
      <w:r w:rsidRPr="00C82614">
        <w:t>toto</w:t>
      </w:r>
      <w:r>
        <w:t xml:space="preserve"> </w:t>
      </w:r>
      <w:r w:rsidRPr="00C82614">
        <w:t>sídlo:</w:t>
      </w:r>
    </w:p>
    <w:p w14:paraId="2D7AD5EE" w14:textId="25B013C0" w:rsidR="00072ED7" w:rsidRDefault="00072ED7" w:rsidP="007504DC">
      <w:pPr>
        <w:pStyle w:val="Textparagrafu"/>
        <w:numPr>
          <w:ilvl w:val="0"/>
          <w:numId w:val="2"/>
        </w:numPr>
        <w:tabs>
          <w:tab w:val="left" w:pos="426"/>
        </w:tabs>
        <w:spacing w:before="0"/>
      </w:pPr>
      <w:r w:rsidRPr="00C82614">
        <w:t>a)</w:t>
      </w:r>
      <w:r w:rsidR="007504DC">
        <w:tab/>
      </w:r>
      <w:r w:rsidRPr="00C82614">
        <w:t>Středočeský</w:t>
      </w:r>
      <w:r>
        <w:t xml:space="preserve"> </w:t>
      </w:r>
      <w:r w:rsidRPr="00C82614">
        <w:t>a</w:t>
      </w:r>
      <w:r>
        <w:t xml:space="preserve"> </w:t>
      </w:r>
      <w:r w:rsidRPr="00C82614">
        <w:t>Hlavní</w:t>
      </w:r>
      <w:r>
        <w:t xml:space="preserve"> </w:t>
      </w:r>
      <w:r w:rsidRPr="00C82614">
        <w:t>město</w:t>
      </w:r>
      <w:r>
        <w:t xml:space="preserve"> </w:t>
      </w:r>
      <w:r w:rsidRPr="00C82614">
        <w:t>Prahu</w:t>
      </w:r>
      <w:r>
        <w:t xml:space="preserve"> </w:t>
      </w:r>
      <w:r w:rsidRPr="00C82614">
        <w:t>se</w:t>
      </w:r>
      <w:r>
        <w:t xml:space="preserve"> </w:t>
      </w:r>
      <w:r w:rsidRPr="00C82614">
        <w:t>sídlem</w:t>
      </w:r>
      <w:r>
        <w:t xml:space="preserve"> </w:t>
      </w:r>
      <w:r w:rsidRPr="00C82614">
        <w:t>v</w:t>
      </w:r>
      <w:r>
        <w:t xml:space="preserve"> </w:t>
      </w:r>
      <w:r w:rsidRPr="00C82614">
        <w:t>Praze,</w:t>
      </w:r>
    </w:p>
    <w:p w14:paraId="5C6DC587" w14:textId="625B05B6" w:rsidR="00072ED7" w:rsidRDefault="00072ED7" w:rsidP="007504DC">
      <w:pPr>
        <w:pStyle w:val="Textparagrafu"/>
        <w:numPr>
          <w:ilvl w:val="0"/>
          <w:numId w:val="2"/>
        </w:numPr>
        <w:tabs>
          <w:tab w:val="left" w:pos="426"/>
        </w:tabs>
        <w:spacing w:before="0"/>
      </w:pPr>
      <w:r w:rsidRPr="00C82614">
        <w:t>b)</w:t>
      </w:r>
      <w:r w:rsidR="007504DC">
        <w:tab/>
      </w:r>
      <w:r w:rsidRPr="00C82614">
        <w:t>Jihočeský</w:t>
      </w:r>
      <w:r>
        <w:t xml:space="preserve"> </w:t>
      </w:r>
      <w:r w:rsidRPr="00C82614">
        <w:t>a</w:t>
      </w:r>
      <w:r>
        <w:t xml:space="preserve"> </w:t>
      </w:r>
      <w:r w:rsidRPr="00C82614">
        <w:t>Vysočina</w:t>
      </w:r>
      <w:r>
        <w:t xml:space="preserve"> </w:t>
      </w:r>
      <w:r w:rsidRPr="00C82614">
        <w:t>se</w:t>
      </w:r>
      <w:r>
        <w:t xml:space="preserve"> </w:t>
      </w:r>
      <w:r w:rsidRPr="00C82614">
        <w:t>sídlem</w:t>
      </w:r>
      <w:r>
        <w:t xml:space="preserve"> </w:t>
      </w:r>
      <w:r w:rsidRPr="00C82614">
        <w:t>v</w:t>
      </w:r>
      <w:r>
        <w:t xml:space="preserve"> </w:t>
      </w:r>
      <w:r w:rsidRPr="00C82614">
        <w:t>Českých</w:t>
      </w:r>
      <w:r>
        <w:t xml:space="preserve"> </w:t>
      </w:r>
      <w:r w:rsidRPr="00C82614">
        <w:t>Budějovicích,</w:t>
      </w:r>
    </w:p>
    <w:p w14:paraId="7A3FC37A" w14:textId="26788938" w:rsidR="00072ED7" w:rsidRDefault="00072ED7" w:rsidP="007504DC">
      <w:pPr>
        <w:pStyle w:val="Textparagrafu"/>
        <w:numPr>
          <w:ilvl w:val="0"/>
          <w:numId w:val="2"/>
        </w:numPr>
        <w:tabs>
          <w:tab w:val="left" w:pos="426"/>
        </w:tabs>
        <w:spacing w:before="0"/>
      </w:pPr>
      <w:r w:rsidRPr="00C82614">
        <w:t>c)</w:t>
      </w:r>
      <w:r w:rsidR="007504DC">
        <w:tab/>
      </w:r>
      <w:r w:rsidRPr="00C82614">
        <w:t>Plzeňský</w:t>
      </w:r>
      <w:r>
        <w:t xml:space="preserve"> </w:t>
      </w:r>
      <w:r w:rsidRPr="00C82614">
        <w:t>a</w:t>
      </w:r>
      <w:r>
        <w:t xml:space="preserve"> </w:t>
      </w:r>
      <w:r w:rsidRPr="00C82614">
        <w:t>Karlovarský</w:t>
      </w:r>
      <w:r>
        <w:t xml:space="preserve"> </w:t>
      </w:r>
      <w:r w:rsidRPr="00C82614">
        <w:t>se</w:t>
      </w:r>
      <w:r>
        <w:t xml:space="preserve"> </w:t>
      </w:r>
      <w:r w:rsidRPr="00C82614">
        <w:t>sídlem</w:t>
      </w:r>
      <w:r>
        <w:t xml:space="preserve"> </w:t>
      </w:r>
      <w:r w:rsidRPr="00C82614">
        <w:t>v</w:t>
      </w:r>
      <w:r>
        <w:t xml:space="preserve"> </w:t>
      </w:r>
      <w:r w:rsidRPr="00C82614">
        <w:t>Plzni,</w:t>
      </w:r>
    </w:p>
    <w:p w14:paraId="7B3B0DB0" w14:textId="7715E1A3" w:rsidR="00072ED7" w:rsidRDefault="00072ED7" w:rsidP="007504DC">
      <w:pPr>
        <w:pStyle w:val="Textparagrafu"/>
        <w:numPr>
          <w:ilvl w:val="0"/>
          <w:numId w:val="2"/>
        </w:numPr>
        <w:tabs>
          <w:tab w:val="left" w:pos="426"/>
        </w:tabs>
        <w:spacing w:before="0"/>
      </w:pPr>
      <w:r w:rsidRPr="00C82614">
        <w:t>d)</w:t>
      </w:r>
      <w:r w:rsidR="007504DC">
        <w:tab/>
      </w:r>
      <w:r w:rsidRPr="00C82614">
        <w:t>Ústecký</w:t>
      </w:r>
      <w:r>
        <w:t xml:space="preserve"> </w:t>
      </w:r>
      <w:r w:rsidRPr="00C82614">
        <w:t>a</w:t>
      </w:r>
      <w:r>
        <w:t xml:space="preserve"> </w:t>
      </w:r>
      <w:r w:rsidRPr="00C82614">
        <w:t>Liberecký</w:t>
      </w:r>
      <w:r>
        <w:t xml:space="preserve"> </w:t>
      </w:r>
      <w:r w:rsidRPr="00C82614">
        <w:t>se</w:t>
      </w:r>
      <w:r>
        <w:t xml:space="preserve"> </w:t>
      </w:r>
      <w:r w:rsidRPr="00C82614">
        <w:t>sídlem</w:t>
      </w:r>
      <w:r>
        <w:t xml:space="preserve"> </w:t>
      </w:r>
      <w:r w:rsidRPr="00C82614">
        <w:t>v</w:t>
      </w:r>
      <w:r>
        <w:t xml:space="preserve"> </w:t>
      </w:r>
      <w:r w:rsidRPr="00C82614">
        <w:t>Ústí</w:t>
      </w:r>
      <w:r>
        <w:t xml:space="preserve"> </w:t>
      </w:r>
      <w:r w:rsidRPr="00C82614">
        <w:t>nad</w:t>
      </w:r>
      <w:r>
        <w:t xml:space="preserve"> </w:t>
      </w:r>
      <w:r w:rsidRPr="00C82614">
        <w:t>Labem,</w:t>
      </w:r>
    </w:p>
    <w:p w14:paraId="23890835" w14:textId="5C00B76A" w:rsidR="00072ED7" w:rsidRDefault="00072ED7" w:rsidP="007504DC">
      <w:pPr>
        <w:pStyle w:val="Textparagrafu"/>
        <w:numPr>
          <w:ilvl w:val="0"/>
          <w:numId w:val="2"/>
        </w:numPr>
        <w:tabs>
          <w:tab w:val="left" w:pos="426"/>
        </w:tabs>
        <w:spacing w:before="0"/>
      </w:pPr>
      <w:r w:rsidRPr="00C82614">
        <w:t>e)</w:t>
      </w:r>
      <w:r w:rsidR="007504DC">
        <w:tab/>
      </w:r>
      <w:r w:rsidRPr="00C82614">
        <w:t>Královéhradecký</w:t>
      </w:r>
      <w:r>
        <w:t xml:space="preserve"> </w:t>
      </w:r>
      <w:r w:rsidRPr="00C82614">
        <w:t>a</w:t>
      </w:r>
      <w:r>
        <w:t xml:space="preserve"> </w:t>
      </w:r>
      <w:r w:rsidRPr="00C82614">
        <w:t>Pardubický</w:t>
      </w:r>
      <w:r>
        <w:t xml:space="preserve"> </w:t>
      </w:r>
      <w:r w:rsidRPr="00C82614">
        <w:t>se</w:t>
      </w:r>
      <w:r>
        <w:t xml:space="preserve"> </w:t>
      </w:r>
      <w:r w:rsidRPr="00C82614">
        <w:t>sídlem</w:t>
      </w:r>
      <w:r>
        <w:t xml:space="preserve"> </w:t>
      </w:r>
      <w:r w:rsidRPr="00C82614">
        <w:t>v</w:t>
      </w:r>
      <w:r>
        <w:t xml:space="preserve"> </w:t>
      </w:r>
      <w:r w:rsidRPr="00C82614">
        <w:t>Hradci</w:t>
      </w:r>
      <w:r>
        <w:t xml:space="preserve"> </w:t>
      </w:r>
      <w:r w:rsidRPr="00C82614">
        <w:t>Králové,</w:t>
      </w:r>
    </w:p>
    <w:p w14:paraId="5B0CA90D" w14:textId="3FD5CE02" w:rsidR="00072ED7" w:rsidRDefault="00072ED7" w:rsidP="007504DC">
      <w:pPr>
        <w:pStyle w:val="Textparagrafu"/>
        <w:numPr>
          <w:ilvl w:val="0"/>
          <w:numId w:val="2"/>
        </w:numPr>
        <w:tabs>
          <w:tab w:val="left" w:pos="426"/>
        </w:tabs>
        <w:spacing w:before="0"/>
      </w:pPr>
      <w:r w:rsidRPr="00C82614">
        <w:t>f)</w:t>
      </w:r>
      <w:r w:rsidR="007504DC">
        <w:tab/>
      </w:r>
      <w:r w:rsidRPr="00C82614">
        <w:t>Jihomoravský</w:t>
      </w:r>
      <w:r>
        <w:t xml:space="preserve"> </w:t>
      </w:r>
      <w:r w:rsidRPr="00C82614">
        <w:t>a</w:t>
      </w:r>
      <w:r>
        <w:t xml:space="preserve"> </w:t>
      </w:r>
      <w:r w:rsidRPr="00C82614">
        <w:t>Zlínský</w:t>
      </w:r>
      <w:r>
        <w:t xml:space="preserve"> </w:t>
      </w:r>
      <w:r w:rsidRPr="00C82614">
        <w:t>se</w:t>
      </w:r>
      <w:r>
        <w:t xml:space="preserve"> </w:t>
      </w:r>
      <w:r w:rsidRPr="00C82614">
        <w:t>sídlem</w:t>
      </w:r>
      <w:r>
        <w:t xml:space="preserve"> </w:t>
      </w:r>
      <w:r w:rsidRPr="00C82614">
        <w:t>v</w:t>
      </w:r>
      <w:r>
        <w:t xml:space="preserve"> </w:t>
      </w:r>
      <w:r w:rsidRPr="00C82614">
        <w:t>Brně,</w:t>
      </w:r>
    </w:p>
    <w:p w14:paraId="0FBE42B9" w14:textId="727C76E9" w:rsidR="00072ED7" w:rsidRDefault="00072ED7" w:rsidP="007504DC">
      <w:pPr>
        <w:pStyle w:val="Textparagrafu"/>
        <w:numPr>
          <w:ilvl w:val="0"/>
          <w:numId w:val="2"/>
        </w:numPr>
        <w:tabs>
          <w:tab w:val="left" w:pos="426"/>
        </w:tabs>
        <w:spacing w:before="0"/>
      </w:pPr>
      <w:r w:rsidRPr="00C82614">
        <w:t>g)</w:t>
      </w:r>
      <w:r w:rsidR="007504DC">
        <w:tab/>
      </w:r>
      <w:r w:rsidRPr="00C82614">
        <w:t>Olomoucký</w:t>
      </w:r>
      <w:r>
        <w:t xml:space="preserve"> </w:t>
      </w:r>
      <w:r w:rsidRPr="00C82614">
        <w:t>a</w:t>
      </w:r>
      <w:r>
        <w:t xml:space="preserve"> </w:t>
      </w:r>
      <w:r w:rsidRPr="00C82614">
        <w:t>Moravskoslezský</w:t>
      </w:r>
      <w:r>
        <w:t xml:space="preserve"> </w:t>
      </w:r>
      <w:r w:rsidRPr="00C82614">
        <w:t>se</w:t>
      </w:r>
      <w:r>
        <w:t xml:space="preserve"> </w:t>
      </w:r>
      <w:r w:rsidRPr="00C82614">
        <w:t>sídlem</w:t>
      </w:r>
      <w:r>
        <w:t xml:space="preserve"> </w:t>
      </w:r>
      <w:r w:rsidRPr="00C82614">
        <w:t>v</w:t>
      </w:r>
      <w:r>
        <w:t xml:space="preserve"> </w:t>
      </w:r>
      <w:r w:rsidRPr="00C82614">
        <w:t>Ostravě.</w:t>
      </w:r>
    </w:p>
    <w:p w14:paraId="1112755F" w14:textId="29ED0AAF" w:rsidR="00072ED7" w:rsidRDefault="00072ED7" w:rsidP="00A06781">
      <w:pPr>
        <w:pStyle w:val="Textparagrafu"/>
        <w:numPr>
          <w:ilvl w:val="0"/>
          <w:numId w:val="2"/>
        </w:numPr>
        <w:spacing w:before="120" w:after="120"/>
        <w:ind w:firstLine="425"/>
      </w:pPr>
      <w:r w:rsidRPr="00C82614">
        <w:t>(4)</w:t>
      </w:r>
      <w:r>
        <w:t xml:space="preserve"> </w:t>
      </w:r>
      <w:r w:rsidRPr="00C82614">
        <w:t>Česká</w:t>
      </w:r>
      <w:r>
        <w:t xml:space="preserve"> </w:t>
      </w:r>
      <w:r w:rsidRPr="00C82614">
        <w:t>obchodní</w:t>
      </w:r>
      <w:r>
        <w:t xml:space="preserve"> </w:t>
      </w:r>
      <w:r w:rsidRPr="00C82614">
        <w:t>inspekce</w:t>
      </w:r>
      <w:r>
        <w:t xml:space="preserve"> </w:t>
      </w:r>
      <w:r w:rsidRPr="00C82614">
        <w:t>je</w:t>
      </w:r>
      <w:r>
        <w:t xml:space="preserve"> </w:t>
      </w:r>
      <w:r w:rsidRPr="00C82614">
        <w:t>organizační</w:t>
      </w:r>
      <w:r>
        <w:t xml:space="preserve"> </w:t>
      </w:r>
      <w:r w:rsidRPr="00C82614">
        <w:t>složkou</w:t>
      </w:r>
      <w:r>
        <w:t xml:space="preserve"> </w:t>
      </w:r>
      <w:r w:rsidRPr="00C82614">
        <w:t>státu</w:t>
      </w:r>
      <w:r w:rsidR="00322212">
        <w:rPr>
          <w:rStyle w:val="Znakapoznpodarou"/>
        </w:rPr>
        <w:footnoteReference w:id="2"/>
      </w:r>
      <w:r w:rsidR="00BB1475" w:rsidRPr="00BB1475">
        <w:rPr>
          <w:vertAlign w:val="superscript"/>
        </w:rPr>
        <w:t xml:space="preserve">g) </w:t>
      </w:r>
      <w:r w:rsidRPr="00997A88">
        <w:rPr>
          <w:strike/>
        </w:rPr>
        <w:t>a je účetní jednotkou</w:t>
      </w:r>
      <w:r w:rsidR="00F463F5">
        <w:rPr>
          <w:rStyle w:val="Znakapoznpodarou"/>
          <w:strike/>
        </w:rPr>
        <w:footnoteReference w:customMarkFollows="1" w:id="3"/>
        <w:t>8)</w:t>
      </w:r>
      <w:r w:rsidR="004A150B" w:rsidRPr="00FE5DAC">
        <w:t>.</w:t>
      </w:r>
    </w:p>
    <w:p w14:paraId="0C2D7FE7" w14:textId="77777777" w:rsidR="00072ED7" w:rsidRDefault="00072ED7" w:rsidP="00A06781">
      <w:pPr>
        <w:pStyle w:val="Textparagrafu"/>
        <w:numPr>
          <w:ilvl w:val="0"/>
          <w:numId w:val="2"/>
        </w:numPr>
        <w:spacing w:before="120" w:after="120"/>
        <w:ind w:firstLine="425"/>
      </w:pPr>
      <w:r w:rsidRPr="00C82614">
        <w:t>(5)</w:t>
      </w:r>
      <w:r>
        <w:t xml:space="preserve"> </w:t>
      </w:r>
      <w:r w:rsidRPr="00C82614">
        <w:t>Jako</w:t>
      </w:r>
      <w:r>
        <w:t xml:space="preserve"> </w:t>
      </w:r>
      <w:r w:rsidRPr="00C82614">
        <w:t>orgán</w:t>
      </w:r>
      <w:r>
        <w:t xml:space="preserve"> </w:t>
      </w:r>
      <w:r w:rsidRPr="00C82614">
        <w:t>prvního</w:t>
      </w:r>
      <w:r>
        <w:t xml:space="preserve"> </w:t>
      </w:r>
      <w:r w:rsidRPr="00C82614">
        <w:t>stupně</w:t>
      </w:r>
      <w:r>
        <w:t xml:space="preserve"> </w:t>
      </w:r>
      <w:r w:rsidRPr="00C82614">
        <w:t>rozhoduje</w:t>
      </w:r>
      <w:r>
        <w:t xml:space="preserve"> </w:t>
      </w:r>
      <w:r w:rsidRPr="00C82614">
        <w:t>ve</w:t>
      </w:r>
      <w:r>
        <w:t xml:space="preserve"> </w:t>
      </w:r>
      <w:r w:rsidRPr="00C82614">
        <w:t>správním</w:t>
      </w:r>
      <w:r>
        <w:t xml:space="preserve"> </w:t>
      </w:r>
      <w:r w:rsidRPr="00C82614">
        <w:t>řízení</w:t>
      </w:r>
      <w:r>
        <w:t xml:space="preserve"> </w:t>
      </w:r>
      <w:r w:rsidRPr="00C82614">
        <w:t>inspektorát</w:t>
      </w:r>
      <w:r>
        <w:t xml:space="preserve"> </w:t>
      </w:r>
      <w:r w:rsidRPr="00C82614">
        <w:t>příslušný</w:t>
      </w:r>
      <w:r>
        <w:t xml:space="preserve"> </w:t>
      </w:r>
      <w:r w:rsidRPr="00C82614">
        <w:t>podle</w:t>
      </w:r>
      <w:r>
        <w:t xml:space="preserve"> </w:t>
      </w:r>
      <w:r w:rsidRPr="00C82614">
        <w:t>své</w:t>
      </w:r>
      <w:r>
        <w:t xml:space="preserve"> </w:t>
      </w:r>
      <w:r w:rsidRPr="00C82614">
        <w:t>územní</w:t>
      </w:r>
      <w:r>
        <w:t xml:space="preserve"> </w:t>
      </w:r>
      <w:r w:rsidRPr="00C82614">
        <w:t>působnosti.</w:t>
      </w:r>
      <w:r>
        <w:t xml:space="preserve"> </w:t>
      </w:r>
      <w:r w:rsidRPr="00C82614">
        <w:t>O</w:t>
      </w:r>
      <w:r>
        <w:t xml:space="preserve"> </w:t>
      </w:r>
      <w:r w:rsidRPr="00C82614">
        <w:t>odvolání</w:t>
      </w:r>
      <w:r>
        <w:t xml:space="preserve"> </w:t>
      </w:r>
      <w:r w:rsidRPr="00C82614">
        <w:t>proti</w:t>
      </w:r>
      <w:r>
        <w:t xml:space="preserve"> </w:t>
      </w:r>
      <w:r w:rsidRPr="00C82614">
        <w:t>rozhodnutí</w:t>
      </w:r>
      <w:r>
        <w:t xml:space="preserve"> </w:t>
      </w:r>
      <w:r w:rsidRPr="00C82614">
        <w:t>inspektorátu</w:t>
      </w:r>
      <w:r>
        <w:t xml:space="preserve"> </w:t>
      </w:r>
      <w:r w:rsidRPr="00C82614">
        <w:t>rozhoduje</w:t>
      </w:r>
      <w:r>
        <w:t xml:space="preserve"> </w:t>
      </w:r>
      <w:r w:rsidRPr="00C82614">
        <w:t>ústřední</w:t>
      </w:r>
      <w:r>
        <w:t xml:space="preserve"> </w:t>
      </w:r>
      <w:r w:rsidRPr="00C82614">
        <w:t>inspektorát;</w:t>
      </w:r>
      <w:r>
        <w:t xml:space="preserve"> </w:t>
      </w:r>
      <w:r w:rsidRPr="00C82614">
        <w:t>v</w:t>
      </w:r>
      <w:r>
        <w:t xml:space="preserve"> </w:t>
      </w:r>
      <w:r w:rsidRPr="00C82614">
        <w:t>případech,</w:t>
      </w:r>
      <w:r>
        <w:t xml:space="preserve"> </w:t>
      </w:r>
      <w:r w:rsidRPr="00C82614">
        <w:t>kdy</w:t>
      </w:r>
      <w:r>
        <w:t xml:space="preserve"> </w:t>
      </w:r>
      <w:r w:rsidRPr="00C82614">
        <w:t>v</w:t>
      </w:r>
      <w:r>
        <w:t xml:space="preserve"> </w:t>
      </w:r>
      <w:r w:rsidRPr="00C82614">
        <w:t>prvním</w:t>
      </w:r>
      <w:r>
        <w:t xml:space="preserve"> </w:t>
      </w:r>
      <w:r w:rsidRPr="00C82614">
        <w:t>stupni</w:t>
      </w:r>
      <w:r>
        <w:t xml:space="preserve"> </w:t>
      </w:r>
      <w:r w:rsidRPr="00C82614">
        <w:t>rozhodl</w:t>
      </w:r>
      <w:r>
        <w:t xml:space="preserve"> </w:t>
      </w:r>
      <w:r w:rsidRPr="00C82614">
        <w:t>inspektorát</w:t>
      </w:r>
      <w:r>
        <w:t xml:space="preserve"> </w:t>
      </w:r>
      <w:r w:rsidRPr="00C82614">
        <w:t>podle</w:t>
      </w:r>
      <w:r>
        <w:t xml:space="preserve"> </w:t>
      </w:r>
      <w:r w:rsidRPr="00C82614">
        <w:t>věty</w:t>
      </w:r>
      <w:r>
        <w:t xml:space="preserve"> </w:t>
      </w:r>
      <w:r w:rsidRPr="00C82614">
        <w:t>první,</w:t>
      </w:r>
      <w:r>
        <w:t xml:space="preserve"> </w:t>
      </w:r>
      <w:r w:rsidRPr="00C82614">
        <w:t>je</w:t>
      </w:r>
      <w:r>
        <w:t xml:space="preserve"> </w:t>
      </w:r>
      <w:r w:rsidRPr="00C82614">
        <w:t>ústřední</w:t>
      </w:r>
      <w:r>
        <w:t xml:space="preserve"> </w:t>
      </w:r>
      <w:r w:rsidRPr="00C82614">
        <w:t>inspektorát</w:t>
      </w:r>
      <w:r>
        <w:t xml:space="preserve"> </w:t>
      </w:r>
      <w:r w:rsidRPr="00C82614">
        <w:t>příslušný</w:t>
      </w:r>
      <w:r>
        <w:t xml:space="preserve"> </w:t>
      </w:r>
      <w:r w:rsidRPr="00C82614">
        <w:t>též</w:t>
      </w:r>
      <w:r>
        <w:t xml:space="preserve"> </w:t>
      </w:r>
      <w:r w:rsidRPr="00C82614">
        <w:t>k</w:t>
      </w:r>
      <w:r>
        <w:t xml:space="preserve"> </w:t>
      </w:r>
      <w:r w:rsidRPr="00C82614">
        <w:t>vedení</w:t>
      </w:r>
      <w:r>
        <w:t xml:space="preserve"> </w:t>
      </w:r>
      <w:r w:rsidRPr="00C82614">
        <w:t>přezkumného</w:t>
      </w:r>
      <w:r>
        <w:t xml:space="preserve"> </w:t>
      </w:r>
      <w:r w:rsidRPr="00C82614">
        <w:t>řízení.</w:t>
      </w:r>
    </w:p>
    <w:p w14:paraId="489071D9" w14:textId="4F5403FD" w:rsidR="00072ED7" w:rsidRPr="00C82614" w:rsidRDefault="00072ED7" w:rsidP="00A06781">
      <w:pPr>
        <w:pStyle w:val="Textparagrafu"/>
        <w:numPr>
          <w:ilvl w:val="0"/>
          <w:numId w:val="2"/>
        </w:numPr>
        <w:spacing w:before="120" w:after="120"/>
        <w:ind w:firstLine="425"/>
      </w:pPr>
      <w:r w:rsidRPr="00C82614">
        <w:t>(6)</w:t>
      </w:r>
      <w:r>
        <w:t xml:space="preserve"> </w:t>
      </w:r>
      <w:r w:rsidRPr="00C82614">
        <w:t>Česká</w:t>
      </w:r>
      <w:r>
        <w:t xml:space="preserve"> </w:t>
      </w:r>
      <w:r w:rsidRPr="00C82614">
        <w:t>obchodní</w:t>
      </w:r>
      <w:r>
        <w:t xml:space="preserve"> </w:t>
      </w:r>
      <w:r w:rsidRPr="00C82614">
        <w:t>inspekce</w:t>
      </w:r>
      <w:r>
        <w:t xml:space="preserve"> </w:t>
      </w:r>
      <w:r w:rsidRPr="00C82614">
        <w:t>je</w:t>
      </w:r>
      <w:r>
        <w:t xml:space="preserve"> </w:t>
      </w:r>
      <w:r w:rsidRPr="00C82614">
        <w:t>subjektem</w:t>
      </w:r>
      <w:r>
        <w:t xml:space="preserve"> </w:t>
      </w:r>
      <w:r w:rsidRPr="00C82614">
        <w:t>mimosoudního</w:t>
      </w:r>
      <w:r>
        <w:t xml:space="preserve"> </w:t>
      </w:r>
      <w:r w:rsidRPr="00C82614">
        <w:t>řešení</w:t>
      </w:r>
      <w:r>
        <w:t xml:space="preserve"> </w:t>
      </w:r>
      <w:r w:rsidRPr="00C82614">
        <w:t>spotřebitelských</w:t>
      </w:r>
      <w:r>
        <w:t xml:space="preserve"> </w:t>
      </w:r>
      <w:r w:rsidRPr="00C82614">
        <w:t>sporů</w:t>
      </w:r>
      <w:r w:rsidR="00F463F5">
        <w:rPr>
          <w:rStyle w:val="Znakapoznpodarou"/>
        </w:rPr>
        <w:footnoteReference w:customMarkFollows="1" w:id="4"/>
        <w:t>7)</w:t>
      </w:r>
      <w:r w:rsidRPr="00C82614">
        <w:t>.</w:t>
      </w:r>
    </w:p>
    <w:p w14:paraId="686C5CC2" w14:textId="77777777" w:rsidR="00072ED7" w:rsidRDefault="00072ED7" w:rsidP="00072ED7">
      <w:pPr>
        <w:pStyle w:val="Textparagrafu"/>
        <w:numPr>
          <w:ilvl w:val="0"/>
          <w:numId w:val="2"/>
        </w:numPr>
        <w:jc w:val="center"/>
      </w:pPr>
      <w:r w:rsidRPr="00C82614">
        <w:t>***</w:t>
      </w:r>
    </w:p>
    <w:p w14:paraId="162EBD48" w14:textId="77777777" w:rsidR="00C11813" w:rsidRDefault="00C11813" w:rsidP="00C11813">
      <w:pPr>
        <w:pStyle w:val="Textparagrafu"/>
        <w:numPr>
          <w:ilvl w:val="0"/>
          <w:numId w:val="2"/>
        </w:numPr>
        <w:jc w:val="center"/>
      </w:pPr>
      <w:r w:rsidRPr="00715EE7">
        <w:t>§</w:t>
      </w:r>
      <w:r>
        <w:t xml:space="preserve"> </w:t>
      </w:r>
      <w:r w:rsidRPr="00715EE7">
        <w:t>7b</w:t>
      </w:r>
    </w:p>
    <w:p w14:paraId="1A20388B" w14:textId="4D3D0171" w:rsidR="00C11813" w:rsidRDefault="00C11813" w:rsidP="00A06781">
      <w:pPr>
        <w:pStyle w:val="Textparagrafu"/>
        <w:numPr>
          <w:ilvl w:val="0"/>
          <w:numId w:val="2"/>
        </w:numPr>
        <w:spacing w:before="120" w:after="120"/>
        <w:ind w:firstLine="425"/>
      </w:pPr>
      <w:r w:rsidRPr="00715EE7">
        <w:t>(1)</w:t>
      </w:r>
      <w:r>
        <w:t xml:space="preserve"> </w:t>
      </w:r>
      <w:r w:rsidRPr="00715EE7">
        <w:t>Inspektor</w:t>
      </w:r>
      <w:r>
        <w:t xml:space="preserve"> </w:t>
      </w:r>
      <w:r w:rsidRPr="00715EE7">
        <w:t>v</w:t>
      </w:r>
      <w:r>
        <w:t xml:space="preserve"> </w:t>
      </w:r>
      <w:r w:rsidRPr="00715EE7">
        <w:t>případě</w:t>
      </w:r>
      <w:r>
        <w:t xml:space="preserve"> </w:t>
      </w:r>
      <w:r w:rsidRPr="00715EE7">
        <w:t>důvodného</w:t>
      </w:r>
      <w:r>
        <w:t xml:space="preserve"> </w:t>
      </w:r>
      <w:r w:rsidRPr="00715EE7">
        <w:t>podezření,</w:t>
      </w:r>
      <w:r>
        <w:t xml:space="preserve"> </w:t>
      </w:r>
      <w:r w:rsidRPr="00715EE7">
        <w:t>že</w:t>
      </w:r>
      <w:r>
        <w:t xml:space="preserve"> </w:t>
      </w:r>
      <w:r w:rsidRPr="00715EE7">
        <w:t>jsou</w:t>
      </w:r>
      <w:r>
        <w:t xml:space="preserve"> </w:t>
      </w:r>
      <w:r w:rsidRPr="00715EE7">
        <w:t>nabízeny,</w:t>
      </w:r>
      <w:r>
        <w:t xml:space="preserve"> </w:t>
      </w:r>
      <w:r w:rsidRPr="00715EE7">
        <w:t>prodávány</w:t>
      </w:r>
      <w:r>
        <w:t xml:space="preserve"> </w:t>
      </w:r>
      <w:r w:rsidRPr="00715EE7">
        <w:t>nebo</w:t>
      </w:r>
      <w:r>
        <w:t xml:space="preserve"> </w:t>
      </w:r>
      <w:r w:rsidRPr="00715EE7">
        <w:t>skladovány</w:t>
      </w:r>
      <w:r>
        <w:t xml:space="preserve"> </w:t>
      </w:r>
      <w:r w:rsidRPr="00715EE7">
        <w:t>výrobky</w:t>
      </w:r>
      <w:r>
        <w:t xml:space="preserve"> </w:t>
      </w:r>
      <w:r w:rsidRPr="00715EE7">
        <w:t>porušující</w:t>
      </w:r>
      <w:r>
        <w:t xml:space="preserve"> </w:t>
      </w:r>
      <w:r w:rsidRPr="00715EE7">
        <w:t>některá</w:t>
      </w:r>
      <w:r>
        <w:t xml:space="preserve"> </w:t>
      </w:r>
      <w:r w:rsidRPr="00715EE7">
        <w:t>práva</w:t>
      </w:r>
      <w:r>
        <w:t xml:space="preserve"> </w:t>
      </w:r>
      <w:r w:rsidRPr="00715EE7">
        <w:t>duševního</w:t>
      </w:r>
      <w:r>
        <w:t xml:space="preserve"> </w:t>
      </w:r>
      <w:r w:rsidRPr="00715EE7">
        <w:t>vlastnictví</w:t>
      </w:r>
      <w:r>
        <w:t xml:space="preserve"> </w:t>
      </w:r>
      <w:r w:rsidRPr="00715EE7">
        <w:t>nebo</w:t>
      </w:r>
      <w:r>
        <w:t xml:space="preserve"> </w:t>
      </w:r>
      <w:r w:rsidRPr="00715EE7">
        <w:t>neoprávněně</w:t>
      </w:r>
      <w:r>
        <w:t xml:space="preserve"> </w:t>
      </w:r>
      <w:r w:rsidRPr="00715EE7">
        <w:t>užívající</w:t>
      </w:r>
      <w:r>
        <w:t xml:space="preserve"> </w:t>
      </w:r>
      <w:r w:rsidRPr="00715EE7">
        <w:t>označení</w:t>
      </w:r>
      <w:r>
        <w:t xml:space="preserve"> </w:t>
      </w:r>
      <w:r w:rsidRPr="00715EE7">
        <w:t>chráněné</w:t>
      </w:r>
      <w:r>
        <w:t xml:space="preserve"> </w:t>
      </w:r>
      <w:r w:rsidRPr="00715EE7">
        <w:t>podle</w:t>
      </w:r>
      <w:r>
        <w:t xml:space="preserve"> </w:t>
      </w:r>
      <w:r w:rsidRPr="00715EE7">
        <w:t>zvláštního</w:t>
      </w:r>
      <w:r>
        <w:t xml:space="preserve"> </w:t>
      </w:r>
      <w:r w:rsidRPr="00715EE7">
        <w:t>právního</w:t>
      </w:r>
      <w:r>
        <w:t xml:space="preserve"> </w:t>
      </w:r>
      <w:r w:rsidRPr="00715EE7">
        <w:t>předpisu</w:t>
      </w:r>
      <w:r w:rsidR="00F463F5">
        <w:rPr>
          <w:rStyle w:val="Znakapoznpodarou"/>
        </w:rPr>
        <w:footnoteReference w:customMarkFollows="1" w:id="5"/>
        <w:t>3f)</w:t>
      </w:r>
      <w:r w:rsidRPr="00715EE7">
        <w:t>,</w:t>
      </w:r>
      <w:r>
        <w:t xml:space="preserve"> </w:t>
      </w:r>
      <w:r w:rsidRPr="00715EE7">
        <w:t>uloží</w:t>
      </w:r>
      <w:r>
        <w:t xml:space="preserve"> </w:t>
      </w:r>
      <w:r w:rsidRPr="00715EE7">
        <w:t>zajištění</w:t>
      </w:r>
      <w:r>
        <w:t xml:space="preserve"> </w:t>
      </w:r>
      <w:r w:rsidRPr="00715EE7">
        <w:t>těchto</w:t>
      </w:r>
      <w:r>
        <w:t xml:space="preserve"> </w:t>
      </w:r>
      <w:r w:rsidRPr="00715EE7">
        <w:t>výrobků.</w:t>
      </w:r>
      <w:r>
        <w:t xml:space="preserve"> </w:t>
      </w:r>
      <w:r w:rsidRPr="00715EE7">
        <w:t>Opatření</w:t>
      </w:r>
      <w:r>
        <w:t xml:space="preserve"> </w:t>
      </w:r>
      <w:r w:rsidRPr="00715EE7">
        <w:t>o</w:t>
      </w:r>
      <w:r>
        <w:t xml:space="preserve"> </w:t>
      </w:r>
      <w:r w:rsidRPr="00715EE7">
        <w:t>zajištění</w:t>
      </w:r>
      <w:r>
        <w:t xml:space="preserve"> </w:t>
      </w:r>
      <w:r w:rsidRPr="00715EE7">
        <w:t>výrobků</w:t>
      </w:r>
      <w:r>
        <w:t xml:space="preserve"> </w:t>
      </w:r>
      <w:r w:rsidRPr="00715EE7">
        <w:t>oznámí</w:t>
      </w:r>
      <w:r>
        <w:t xml:space="preserve"> </w:t>
      </w:r>
      <w:r w:rsidRPr="00715EE7">
        <w:t>inspektor</w:t>
      </w:r>
      <w:r>
        <w:t xml:space="preserve"> </w:t>
      </w:r>
      <w:r w:rsidRPr="00715EE7">
        <w:t>ústně</w:t>
      </w:r>
      <w:r>
        <w:t xml:space="preserve"> </w:t>
      </w:r>
      <w:r w:rsidRPr="00715EE7">
        <w:t>kontrolované</w:t>
      </w:r>
      <w:r>
        <w:t xml:space="preserve"> </w:t>
      </w:r>
      <w:r w:rsidRPr="00715EE7">
        <w:t>nebo</w:t>
      </w:r>
      <w:r>
        <w:t xml:space="preserve"> </w:t>
      </w:r>
      <w:r w:rsidRPr="00715EE7">
        <w:t>zúčastněné</w:t>
      </w:r>
      <w:r>
        <w:t xml:space="preserve"> </w:t>
      </w:r>
      <w:r w:rsidRPr="00715EE7">
        <w:t>osobě</w:t>
      </w:r>
      <w:r>
        <w:t xml:space="preserve"> </w:t>
      </w:r>
      <w:r w:rsidRPr="00715EE7">
        <w:t>a</w:t>
      </w:r>
      <w:r>
        <w:t xml:space="preserve"> </w:t>
      </w:r>
      <w:r w:rsidRPr="00715EE7">
        <w:t>neprodleně</w:t>
      </w:r>
      <w:r>
        <w:t xml:space="preserve"> </w:t>
      </w:r>
      <w:r w:rsidRPr="00715EE7">
        <w:t>o</w:t>
      </w:r>
      <w:r>
        <w:t xml:space="preserve"> </w:t>
      </w:r>
      <w:r w:rsidRPr="00715EE7">
        <w:t>něm</w:t>
      </w:r>
      <w:r>
        <w:t xml:space="preserve"> </w:t>
      </w:r>
      <w:r w:rsidRPr="00715EE7">
        <w:t>učiní</w:t>
      </w:r>
      <w:r>
        <w:t xml:space="preserve"> </w:t>
      </w:r>
      <w:r w:rsidRPr="00715EE7">
        <w:t>písemný</w:t>
      </w:r>
      <w:r>
        <w:t xml:space="preserve"> </w:t>
      </w:r>
      <w:r w:rsidRPr="00715EE7">
        <w:t>záznam,</w:t>
      </w:r>
      <w:r>
        <w:t xml:space="preserve"> </w:t>
      </w:r>
      <w:r w:rsidRPr="00715EE7">
        <w:t>ve</w:t>
      </w:r>
      <w:r>
        <w:t xml:space="preserve"> </w:t>
      </w:r>
      <w:r w:rsidRPr="00715EE7">
        <w:t>kterém</w:t>
      </w:r>
      <w:r>
        <w:t xml:space="preserve"> </w:t>
      </w:r>
      <w:r w:rsidRPr="00715EE7">
        <w:t>bude</w:t>
      </w:r>
      <w:r>
        <w:t xml:space="preserve"> </w:t>
      </w:r>
      <w:r w:rsidRPr="00715EE7">
        <w:t>uveden</w:t>
      </w:r>
      <w:r>
        <w:t xml:space="preserve"> </w:t>
      </w:r>
      <w:r w:rsidRPr="00715EE7">
        <w:t>i</w:t>
      </w:r>
      <w:r>
        <w:t xml:space="preserve"> </w:t>
      </w:r>
      <w:r w:rsidRPr="00715EE7">
        <w:t>důvod</w:t>
      </w:r>
      <w:r>
        <w:t xml:space="preserve"> </w:t>
      </w:r>
      <w:r w:rsidRPr="00715EE7">
        <w:t>zajištění,</w:t>
      </w:r>
      <w:r>
        <w:t xml:space="preserve"> </w:t>
      </w:r>
      <w:r w:rsidRPr="00715EE7">
        <w:t>popis</w:t>
      </w:r>
      <w:r>
        <w:t xml:space="preserve"> </w:t>
      </w:r>
      <w:r w:rsidRPr="00715EE7">
        <w:t>zajištěných</w:t>
      </w:r>
      <w:r>
        <w:t xml:space="preserve"> </w:t>
      </w:r>
      <w:r w:rsidRPr="00715EE7">
        <w:t>výrobků</w:t>
      </w:r>
      <w:r>
        <w:t xml:space="preserve"> </w:t>
      </w:r>
      <w:r w:rsidRPr="00715EE7">
        <w:t>a</w:t>
      </w:r>
      <w:r>
        <w:t xml:space="preserve"> </w:t>
      </w:r>
      <w:r w:rsidRPr="00715EE7">
        <w:t>jejich</w:t>
      </w:r>
      <w:r>
        <w:t xml:space="preserve"> </w:t>
      </w:r>
      <w:r w:rsidRPr="00715EE7">
        <w:t>množství.</w:t>
      </w:r>
      <w:r>
        <w:t xml:space="preserve"> </w:t>
      </w:r>
      <w:r w:rsidRPr="00715EE7">
        <w:t>Inspektor</w:t>
      </w:r>
      <w:r>
        <w:t xml:space="preserve"> </w:t>
      </w:r>
      <w:r w:rsidRPr="00715EE7">
        <w:t>bez</w:t>
      </w:r>
      <w:r>
        <w:t xml:space="preserve"> </w:t>
      </w:r>
      <w:r w:rsidRPr="00715EE7">
        <w:t>zbytečného</w:t>
      </w:r>
      <w:r>
        <w:t xml:space="preserve"> </w:t>
      </w:r>
      <w:r w:rsidRPr="00715EE7">
        <w:t>odkladu</w:t>
      </w:r>
      <w:r>
        <w:t xml:space="preserve"> </w:t>
      </w:r>
      <w:r w:rsidRPr="00715EE7">
        <w:t>doručí</w:t>
      </w:r>
      <w:r>
        <w:t xml:space="preserve"> </w:t>
      </w:r>
      <w:r w:rsidRPr="00715EE7">
        <w:t>kopii</w:t>
      </w:r>
      <w:r>
        <w:t xml:space="preserve"> </w:t>
      </w:r>
      <w:r w:rsidRPr="00715EE7">
        <w:t>písemného</w:t>
      </w:r>
      <w:r>
        <w:t xml:space="preserve"> </w:t>
      </w:r>
      <w:r w:rsidRPr="00715EE7">
        <w:t>záznamu</w:t>
      </w:r>
      <w:r>
        <w:t xml:space="preserve"> </w:t>
      </w:r>
      <w:r w:rsidRPr="00715EE7">
        <w:t>kontrolované</w:t>
      </w:r>
      <w:r>
        <w:t xml:space="preserve"> </w:t>
      </w:r>
      <w:r w:rsidRPr="00715EE7">
        <w:t>osobě.</w:t>
      </w:r>
    </w:p>
    <w:p w14:paraId="6125E79D" w14:textId="77777777" w:rsidR="00C11813" w:rsidRDefault="00C11813" w:rsidP="00A06781">
      <w:pPr>
        <w:pStyle w:val="Textparagrafu"/>
        <w:numPr>
          <w:ilvl w:val="0"/>
          <w:numId w:val="2"/>
        </w:numPr>
        <w:spacing w:before="120" w:after="120"/>
        <w:ind w:firstLine="425"/>
      </w:pPr>
      <w:r w:rsidRPr="00715EE7">
        <w:lastRenderedPageBreak/>
        <w:t>(2)</w:t>
      </w:r>
      <w:r>
        <w:t xml:space="preserve"> </w:t>
      </w:r>
      <w:r w:rsidRPr="00715EE7">
        <w:t>Česká</w:t>
      </w:r>
      <w:r>
        <w:t xml:space="preserve"> </w:t>
      </w:r>
      <w:r w:rsidRPr="00715EE7">
        <w:t>obchodní</w:t>
      </w:r>
      <w:r>
        <w:t xml:space="preserve"> </w:t>
      </w:r>
      <w:r w:rsidRPr="00715EE7">
        <w:t>inspekce</w:t>
      </w:r>
      <w:r>
        <w:t xml:space="preserve"> </w:t>
      </w:r>
      <w:r w:rsidRPr="00715EE7">
        <w:t>je</w:t>
      </w:r>
      <w:r>
        <w:t xml:space="preserve"> </w:t>
      </w:r>
      <w:r w:rsidRPr="00715EE7">
        <w:t>oprávněna</w:t>
      </w:r>
      <w:r>
        <w:t xml:space="preserve"> </w:t>
      </w:r>
      <w:r w:rsidRPr="00715EE7">
        <w:t>uskladnit</w:t>
      </w:r>
      <w:r>
        <w:t xml:space="preserve"> </w:t>
      </w:r>
      <w:r w:rsidRPr="00715EE7">
        <w:t>zajištěné</w:t>
      </w:r>
      <w:r>
        <w:t xml:space="preserve"> </w:t>
      </w:r>
      <w:r w:rsidRPr="00715EE7">
        <w:t>výrobky,</w:t>
      </w:r>
      <w:r>
        <w:t xml:space="preserve"> </w:t>
      </w:r>
      <w:r w:rsidRPr="00715EE7">
        <w:t>které</w:t>
      </w:r>
      <w:r>
        <w:t xml:space="preserve"> </w:t>
      </w:r>
      <w:r w:rsidRPr="00715EE7">
        <w:t>neodpovídají</w:t>
      </w:r>
      <w:r>
        <w:t xml:space="preserve"> </w:t>
      </w:r>
      <w:r w:rsidRPr="00715EE7">
        <w:t>zvláštním</w:t>
      </w:r>
      <w:r>
        <w:t xml:space="preserve"> </w:t>
      </w:r>
      <w:r w:rsidRPr="00715EE7">
        <w:t>právním</w:t>
      </w:r>
      <w:r>
        <w:t xml:space="preserve"> </w:t>
      </w:r>
      <w:r w:rsidRPr="00715EE7">
        <w:t>předpisům,</w:t>
      </w:r>
      <w:r w:rsidRPr="00071B07">
        <w:rPr>
          <w:vertAlign w:val="superscript"/>
        </w:rPr>
        <w:t xml:space="preserve">3f) </w:t>
      </w:r>
      <w:r w:rsidRPr="00715EE7">
        <w:t>mimo</w:t>
      </w:r>
      <w:r>
        <w:t xml:space="preserve"> </w:t>
      </w:r>
      <w:r w:rsidRPr="00715EE7">
        <w:t>dosah</w:t>
      </w:r>
      <w:r>
        <w:t xml:space="preserve"> </w:t>
      </w:r>
      <w:r w:rsidRPr="00715EE7">
        <w:t>kontrolované</w:t>
      </w:r>
      <w:r>
        <w:t xml:space="preserve"> </w:t>
      </w:r>
      <w:r w:rsidRPr="00715EE7">
        <w:t>osoby.</w:t>
      </w:r>
      <w:r>
        <w:t xml:space="preserve"> </w:t>
      </w:r>
      <w:r w:rsidRPr="00715EE7">
        <w:t>Kontrolovaná</w:t>
      </w:r>
      <w:r>
        <w:t xml:space="preserve"> </w:t>
      </w:r>
      <w:r w:rsidRPr="00715EE7">
        <w:t>osoba</w:t>
      </w:r>
      <w:r>
        <w:t xml:space="preserve"> </w:t>
      </w:r>
      <w:r w:rsidRPr="00715EE7">
        <w:t>je</w:t>
      </w:r>
      <w:r>
        <w:t xml:space="preserve"> </w:t>
      </w:r>
      <w:r w:rsidRPr="00715EE7">
        <w:t>povinna</w:t>
      </w:r>
      <w:r>
        <w:t xml:space="preserve"> </w:t>
      </w:r>
      <w:r w:rsidRPr="00715EE7">
        <w:t>zajištěné</w:t>
      </w:r>
      <w:r>
        <w:t xml:space="preserve"> </w:t>
      </w:r>
      <w:r w:rsidRPr="00715EE7">
        <w:t>výrobky</w:t>
      </w:r>
      <w:r>
        <w:t xml:space="preserve"> </w:t>
      </w:r>
      <w:r w:rsidRPr="00715EE7">
        <w:t>inspektorovi</w:t>
      </w:r>
      <w:r>
        <w:t xml:space="preserve"> </w:t>
      </w:r>
      <w:r w:rsidRPr="00715EE7">
        <w:t>vydat.</w:t>
      </w:r>
      <w:r>
        <w:t xml:space="preserve"> </w:t>
      </w:r>
      <w:r w:rsidRPr="00715EE7">
        <w:t>Odmítá-li</w:t>
      </w:r>
      <w:r>
        <w:t xml:space="preserve"> </w:t>
      </w:r>
      <w:r w:rsidRPr="00715EE7">
        <w:t>vydání,</w:t>
      </w:r>
      <w:r>
        <w:t xml:space="preserve"> </w:t>
      </w:r>
      <w:r w:rsidRPr="00715EE7">
        <w:t>budou</w:t>
      </w:r>
      <w:r>
        <w:t xml:space="preserve"> </w:t>
      </w:r>
      <w:r w:rsidRPr="00715EE7">
        <w:t>tyto</w:t>
      </w:r>
      <w:r>
        <w:t xml:space="preserve"> </w:t>
      </w:r>
      <w:r w:rsidRPr="00715EE7">
        <w:t>výrobky</w:t>
      </w:r>
      <w:r>
        <w:t xml:space="preserve"> </w:t>
      </w:r>
      <w:r w:rsidRPr="00715EE7">
        <w:t>kontrolované</w:t>
      </w:r>
      <w:r>
        <w:t xml:space="preserve"> </w:t>
      </w:r>
      <w:r w:rsidRPr="00715EE7">
        <w:t>osobě</w:t>
      </w:r>
      <w:r>
        <w:t xml:space="preserve"> </w:t>
      </w:r>
      <w:r w:rsidRPr="00715EE7">
        <w:t>odňaty.</w:t>
      </w:r>
      <w:r>
        <w:t xml:space="preserve"> </w:t>
      </w:r>
      <w:r w:rsidRPr="00715EE7">
        <w:t>O</w:t>
      </w:r>
      <w:r>
        <w:t xml:space="preserve"> </w:t>
      </w:r>
      <w:r w:rsidRPr="00715EE7">
        <w:t>vydání</w:t>
      </w:r>
      <w:r>
        <w:t xml:space="preserve"> </w:t>
      </w:r>
      <w:r w:rsidRPr="00715EE7">
        <w:t>nebo</w:t>
      </w:r>
      <w:r>
        <w:t xml:space="preserve"> </w:t>
      </w:r>
      <w:r w:rsidRPr="00715EE7">
        <w:t>odnětí</w:t>
      </w:r>
      <w:r>
        <w:t xml:space="preserve"> </w:t>
      </w:r>
      <w:r w:rsidRPr="00715EE7">
        <w:t>sepíše</w:t>
      </w:r>
      <w:r>
        <w:t xml:space="preserve"> </w:t>
      </w:r>
      <w:r w:rsidRPr="00715EE7">
        <w:t>inspektor</w:t>
      </w:r>
      <w:r>
        <w:t xml:space="preserve"> </w:t>
      </w:r>
      <w:r w:rsidRPr="00715EE7">
        <w:t>úřední</w:t>
      </w:r>
      <w:r>
        <w:t xml:space="preserve"> </w:t>
      </w:r>
      <w:r w:rsidRPr="00715EE7">
        <w:t>záznam.</w:t>
      </w:r>
      <w:r>
        <w:t xml:space="preserve"> </w:t>
      </w:r>
      <w:r w:rsidRPr="00715EE7">
        <w:t>Náklady</w:t>
      </w:r>
      <w:r>
        <w:t xml:space="preserve"> </w:t>
      </w:r>
      <w:r w:rsidRPr="00715EE7">
        <w:t>na</w:t>
      </w:r>
      <w:r>
        <w:t xml:space="preserve"> </w:t>
      </w:r>
      <w:r w:rsidRPr="00715EE7">
        <w:t>skladování</w:t>
      </w:r>
      <w:r>
        <w:t xml:space="preserve"> </w:t>
      </w:r>
      <w:r w:rsidRPr="00715EE7">
        <w:t>hradí</w:t>
      </w:r>
      <w:r>
        <w:t xml:space="preserve"> </w:t>
      </w:r>
      <w:r w:rsidRPr="00715EE7">
        <w:t>kontrolovaná</w:t>
      </w:r>
      <w:r>
        <w:t xml:space="preserve"> </w:t>
      </w:r>
      <w:r w:rsidRPr="00715EE7">
        <w:t>osoba,</w:t>
      </w:r>
      <w:r>
        <w:t xml:space="preserve"> </w:t>
      </w:r>
      <w:r w:rsidRPr="00715EE7">
        <w:t>u</w:t>
      </w:r>
      <w:r>
        <w:t xml:space="preserve"> </w:t>
      </w:r>
      <w:r w:rsidRPr="00715EE7">
        <w:t>které</w:t>
      </w:r>
      <w:r>
        <w:t xml:space="preserve"> </w:t>
      </w:r>
      <w:r w:rsidRPr="00715EE7">
        <w:t>bylo</w:t>
      </w:r>
      <w:r>
        <w:t xml:space="preserve"> </w:t>
      </w:r>
      <w:r w:rsidRPr="00715EE7">
        <w:t>nabízení,</w:t>
      </w:r>
      <w:r>
        <w:t xml:space="preserve"> </w:t>
      </w:r>
      <w:r w:rsidRPr="00715EE7">
        <w:t>prodej</w:t>
      </w:r>
      <w:r>
        <w:t xml:space="preserve"> </w:t>
      </w:r>
      <w:r w:rsidRPr="00715EE7">
        <w:t>nebo</w:t>
      </w:r>
      <w:r>
        <w:t xml:space="preserve"> </w:t>
      </w:r>
      <w:r w:rsidRPr="00715EE7">
        <w:t>skladování</w:t>
      </w:r>
      <w:r>
        <w:t xml:space="preserve"> </w:t>
      </w:r>
      <w:r w:rsidRPr="00715EE7">
        <w:t>takovýchto</w:t>
      </w:r>
      <w:r>
        <w:t xml:space="preserve"> </w:t>
      </w:r>
      <w:r w:rsidRPr="00715EE7">
        <w:t>výrobků</w:t>
      </w:r>
      <w:r>
        <w:t xml:space="preserve"> </w:t>
      </w:r>
      <w:r w:rsidRPr="00715EE7">
        <w:t>zjištěno.</w:t>
      </w:r>
      <w:r>
        <w:t xml:space="preserve"> </w:t>
      </w:r>
      <w:r w:rsidRPr="00715EE7">
        <w:t>Kontrolovaná</w:t>
      </w:r>
      <w:r>
        <w:t xml:space="preserve"> </w:t>
      </w:r>
      <w:r w:rsidRPr="00715EE7">
        <w:t>osoba</w:t>
      </w:r>
      <w:r>
        <w:t xml:space="preserve"> </w:t>
      </w:r>
      <w:r w:rsidRPr="00715EE7">
        <w:t>není</w:t>
      </w:r>
      <w:r>
        <w:t xml:space="preserve"> </w:t>
      </w:r>
      <w:r w:rsidRPr="00715EE7">
        <w:t>povinna</w:t>
      </w:r>
      <w:r>
        <w:t xml:space="preserve"> </w:t>
      </w:r>
      <w:r w:rsidRPr="00715EE7">
        <w:t>uhradit</w:t>
      </w:r>
      <w:r>
        <w:t xml:space="preserve"> </w:t>
      </w:r>
      <w:r w:rsidRPr="00715EE7">
        <w:t>náklady</w:t>
      </w:r>
      <w:r>
        <w:t xml:space="preserve"> </w:t>
      </w:r>
      <w:r w:rsidRPr="00715EE7">
        <w:t>na</w:t>
      </w:r>
      <w:r>
        <w:t xml:space="preserve"> </w:t>
      </w:r>
      <w:r w:rsidRPr="00715EE7">
        <w:t>uskladněné</w:t>
      </w:r>
      <w:r>
        <w:t xml:space="preserve"> </w:t>
      </w:r>
      <w:r w:rsidRPr="00715EE7">
        <w:t>výrobky,</w:t>
      </w:r>
      <w:r>
        <w:t xml:space="preserve"> </w:t>
      </w:r>
      <w:r w:rsidRPr="00715EE7">
        <w:t>jestliže</w:t>
      </w:r>
      <w:r>
        <w:t xml:space="preserve"> </w:t>
      </w:r>
      <w:r w:rsidRPr="00715EE7">
        <w:t>se</w:t>
      </w:r>
      <w:r>
        <w:t xml:space="preserve"> </w:t>
      </w:r>
      <w:r w:rsidRPr="00715EE7">
        <w:t>prokáže,</w:t>
      </w:r>
      <w:r>
        <w:t xml:space="preserve"> </w:t>
      </w:r>
      <w:r w:rsidRPr="00715EE7">
        <w:t>že</w:t>
      </w:r>
      <w:r>
        <w:t xml:space="preserve"> </w:t>
      </w:r>
      <w:r w:rsidRPr="00715EE7">
        <w:t>výrobky</w:t>
      </w:r>
      <w:r>
        <w:t xml:space="preserve"> </w:t>
      </w:r>
      <w:r w:rsidRPr="00715EE7">
        <w:t>zvláštním</w:t>
      </w:r>
      <w:r>
        <w:t xml:space="preserve"> </w:t>
      </w:r>
      <w:r w:rsidRPr="00715EE7">
        <w:t>právním</w:t>
      </w:r>
      <w:r>
        <w:t xml:space="preserve"> </w:t>
      </w:r>
      <w:r w:rsidRPr="00715EE7">
        <w:t>předpisům</w:t>
      </w:r>
      <w:r w:rsidRPr="00322212">
        <w:rPr>
          <w:vertAlign w:val="superscript"/>
        </w:rPr>
        <w:t xml:space="preserve">3f) </w:t>
      </w:r>
      <w:r w:rsidRPr="00715EE7">
        <w:t>odpovídají.</w:t>
      </w:r>
    </w:p>
    <w:p w14:paraId="063357F1" w14:textId="77777777" w:rsidR="00C11813" w:rsidRDefault="00C11813" w:rsidP="00A06781">
      <w:pPr>
        <w:pStyle w:val="Textparagrafu"/>
        <w:numPr>
          <w:ilvl w:val="0"/>
          <w:numId w:val="2"/>
        </w:numPr>
        <w:spacing w:before="120" w:after="120"/>
        <w:ind w:firstLine="425"/>
      </w:pPr>
      <w:r w:rsidRPr="00715EE7">
        <w:t>(3)</w:t>
      </w:r>
      <w:r>
        <w:t xml:space="preserve"> </w:t>
      </w:r>
      <w:r w:rsidRPr="00715EE7">
        <w:t>Proti</w:t>
      </w:r>
      <w:r>
        <w:t xml:space="preserve"> </w:t>
      </w:r>
      <w:r w:rsidRPr="00715EE7">
        <w:t>uloženému</w:t>
      </w:r>
      <w:r>
        <w:t xml:space="preserve"> </w:t>
      </w:r>
      <w:r w:rsidRPr="00715EE7">
        <w:t>opatření</w:t>
      </w:r>
      <w:r>
        <w:t xml:space="preserve"> </w:t>
      </w:r>
      <w:r w:rsidRPr="00715EE7">
        <w:t>o</w:t>
      </w:r>
      <w:r>
        <w:t xml:space="preserve"> </w:t>
      </w:r>
      <w:r w:rsidRPr="00715EE7">
        <w:t>zajištění</w:t>
      </w:r>
      <w:r>
        <w:t xml:space="preserve"> </w:t>
      </w:r>
      <w:r w:rsidRPr="00715EE7">
        <w:t>výrobků,</w:t>
      </w:r>
      <w:r>
        <w:t xml:space="preserve"> </w:t>
      </w:r>
      <w:r w:rsidRPr="00715EE7">
        <w:t>které</w:t>
      </w:r>
      <w:r>
        <w:t xml:space="preserve"> </w:t>
      </w:r>
      <w:r w:rsidRPr="00715EE7">
        <w:t>neodpovídají</w:t>
      </w:r>
      <w:r>
        <w:t xml:space="preserve"> </w:t>
      </w:r>
      <w:r w:rsidRPr="00715EE7">
        <w:t>zvláštním</w:t>
      </w:r>
      <w:r>
        <w:t xml:space="preserve"> </w:t>
      </w:r>
      <w:r w:rsidRPr="00715EE7">
        <w:t>právním</w:t>
      </w:r>
      <w:r>
        <w:t xml:space="preserve"> </w:t>
      </w:r>
      <w:r w:rsidRPr="00715EE7">
        <w:t>předpisům,</w:t>
      </w:r>
      <w:r w:rsidRPr="00322212">
        <w:rPr>
          <w:vertAlign w:val="superscript"/>
        </w:rPr>
        <w:t>3f)</w:t>
      </w:r>
      <w:r>
        <w:t xml:space="preserve"> </w:t>
      </w:r>
      <w:r w:rsidRPr="00715EE7">
        <w:t>může</w:t>
      </w:r>
      <w:r>
        <w:t xml:space="preserve"> </w:t>
      </w:r>
      <w:r w:rsidRPr="00715EE7">
        <w:t>kontrolovaná</w:t>
      </w:r>
      <w:r>
        <w:t xml:space="preserve"> </w:t>
      </w:r>
      <w:r w:rsidRPr="00715EE7">
        <w:t>osoba</w:t>
      </w:r>
      <w:r>
        <w:t xml:space="preserve"> </w:t>
      </w:r>
      <w:r w:rsidRPr="00715EE7">
        <w:t>podat</w:t>
      </w:r>
      <w:r>
        <w:t xml:space="preserve"> </w:t>
      </w:r>
      <w:r w:rsidRPr="00715EE7">
        <w:t>do</w:t>
      </w:r>
      <w:r>
        <w:t xml:space="preserve"> </w:t>
      </w:r>
      <w:r w:rsidRPr="00715EE7">
        <w:t>3</w:t>
      </w:r>
      <w:r>
        <w:t xml:space="preserve"> </w:t>
      </w:r>
      <w:r w:rsidRPr="00715EE7">
        <w:t>pracovních</w:t>
      </w:r>
      <w:r>
        <w:t xml:space="preserve"> </w:t>
      </w:r>
      <w:r w:rsidRPr="00715EE7">
        <w:t>dnů</w:t>
      </w:r>
      <w:r>
        <w:t xml:space="preserve"> </w:t>
      </w:r>
      <w:r w:rsidRPr="00715EE7">
        <w:t>ode</w:t>
      </w:r>
      <w:r>
        <w:t xml:space="preserve"> </w:t>
      </w:r>
      <w:r w:rsidRPr="00715EE7">
        <w:t>dne</w:t>
      </w:r>
      <w:r>
        <w:t xml:space="preserve"> </w:t>
      </w:r>
      <w:r w:rsidRPr="00715EE7">
        <w:t>seznámení</w:t>
      </w:r>
      <w:r>
        <w:t xml:space="preserve"> </w:t>
      </w:r>
      <w:r w:rsidRPr="00715EE7">
        <w:t>s</w:t>
      </w:r>
      <w:r>
        <w:t xml:space="preserve"> </w:t>
      </w:r>
      <w:r w:rsidRPr="00715EE7">
        <w:t>uloženým</w:t>
      </w:r>
      <w:r>
        <w:t xml:space="preserve"> </w:t>
      </w:r>
      <w:r w:rsidRPr="00715EE7">
        <w:t>opatřením</w:t>
      </w:r>
      <w:r>
        <w:t xml:space="preserve"> </w:t>
      </w:r>
      <w:r w:rsidRPr="00715EE7">
        <w:t>písemné</w:t>
      </w:r>
      <w:r>
        <w:t xml:space="preserve"> </w:t>
      </w:r>
      <w:r w:rsidRPr="00715EE7">
        <w:t>námitky</w:t>
      </w:r>
      <w:r>
        <w:t xml:space="preserve"> </w:t>
      </w:r>
      <w:r w:rsidRPr="00715EE7">
        <w:t>místně</w:t>
      </w:r>
      <w:r>
        <w:t xml:space="preserve"> </w:t>
      </w:r>
      <w:r w:rsidRPr="00715EE7">
        <w:t>příslušnému</w:t>
      </w:r>
      <w:r>
        <w:t xml:space="preserve"> </w:t>
      </w:r>
      <w:r w:rsidRPr="00715EE7">
        <w:t>inspektorátu.</w:t>
      </w:r>
      <w:r>
        <w:t xml:space="preserve"> </w:t>
      </w:r>
      <w:r w:rsidRPr="00715EE7">
        <w:t>Námitky</w:t>
      </w:r>
      <w:r>
        <w:t xml:space="preserve"> </w:t>
      </w:r>
      <w:r w:rsidRPr="00715EE7">
        <w:t>nemají</w:t>
      </w:r>
      <w:r>
        <w:t xml:space="preserve"> </w:t>
      </w:r>
      <w:r w:rsidRPr="00715EE7">
        <w:t>odkladný</w:t>
      </w:r>
      <w:r>
        <w:t xml:space="preserve"> </w:t>
      </w:r>
      <w:r w:rsidRPr="00715EE7">
        <w:t>účinek.</w:t>
      </w:r>
      <w:r>
        <w:t xml:space="preserve"> </w:t>
      </w:r>
      <w:r w:rsidRPr="00715EE7">
        <w:t>Ředitel</w:t>
      </w:r>
      <w:r>
        <w:t xml:space="preserve"> </w:t>
      </w:r>
      <w:r w:rsidRPr="00715EE7">
        <w:t>inspektorátu</w:t>
      </w:r>
      <w:r>
        <w:t xml:space="preserve"> </w:t>
      </w:r>
      <w:r w:rsidRPr="00715EE7">
        <w:t>rozhodne</w:t>
      </w:r>
      <w:r>
        <w:t xml:space="preserve"> </w:t>
      </w:r>
      <w:r w:rsidRPr="00715EE7">
        <w:t>o</w:t>
      </w:r>
      <w:r>
        <w:t xml:space="preserve"> </w:t>
      </w:r>
      <w:r w:rsidRPr="00715EE7">
        <w:t>námitkách</w:t>
      </w:r>
      <w:r>
        <w:t xml:space="preserve"> </w:t>
      </w:r>
      <w:r w:rsidRPr="00715EE7">
        <w:t>bez</w:t>
      </w:r>
      <w:r>
        <w:t xml:space="preserve"> </w:t>
      </w:r>
      <w:r w:rsidRPr="00715EE7">
        <w:t>zbytečných</w:t>
      </w:r>
      <w:r>
        <w:t xml:space="preserve"> </w:t>
      </w:r>
      <w:r w:rsidRPr="00715EE7">
        <w:t>průtahů.</w:t>
      </w:r>
      <w:r>
        <w:t xml:space="preserve"> </w:t>
      </w:r>
      <w:r w:rsidRPr="00715EE7">
        <w:t>Jeho</w:t>
      </w:r>
      <w:r>
        <w:t xml:space="preserve"> </w:t>
      </w:r>
      <w:r w:rsidRPr="00715EE7">
        <w:t>rozhodnutí</w:t>
      </w:r>
      <w:r>
        <w:t xml:space="preserve"> </w:t>
      </w:r>
      <w:r w:rsidRPr="00715EE7">
        <w:t>je</w:t>
      </w:r>
      <w:r>
        <w:t xml:space="preserve"> </w:t>
      </w:r>
      <w:r w:rsidRPr="00715EE7">
        <w:t>konečné.</w:t>
      </w:r>
      <w:r>
        <w:t xml:space="preserve"> </w:t>
      </w:r>
      <w:r w:rsidRPr="00715EE7">
        <w:t>Písemné</w:t>
      </w:r>
      <w:r>
        <w:t xml:space="preserve"> </w:t>
      </w:r>
      <w:r w:rsidRPr="00715EE7">
        <w:t>rozhodnutí</w:t>
      </w:r>
      <w:r>
        <w:t xml:space="preserve"> </w:t>
      </w:r>
      <w:r w:rsidRPr="00715EE7">
        <w:t>o</w:t>
      </w:r>
      <w:r>
        <w:t xml:space="preserve"> </w:t>
      </w:r>
      <w:r w:rsidRPr="00715EE7">
        <w:t>námitkách</w:t>
      </w:r>
      <w:r>
        <w:t xml:space="preserve"> </w:t>
      </w:r>
      <w:r w:rsidRPr="00715EE7">
        <w:t>se</w:t>
      </w:r>
      <w:r>
        <w:t xml:space="preserve"> </w:t>
      </w:r>
      <w:r w:rsidRPr="00715EE7">
        <w:t>doručí</w:t>
      </w:r>
      <w:r>
        <w:t xml:space="preserve"> </w:t>
      </w:r>
      <w:r w:rsidRPr="00715EE7">
        <w:t>kontrolované</w:t>
      </w:r>
      <w:r>
        <w:t xml:space="preserve"> </w:t>
      </w:r>
      <w:r w:rsidRPr="00715EE7">
        <w:t>osobě.</w:t>
      </w:r>
    </w:p>
    <w:p w14:paraId="7AC16D39" w14:textId="77777777" w:rsidR="00C11813" w:rsidRDefault="00C11813" w:rsidP="00A06781">
      <w:pPr>
        <w:pStyle w:val="Textparagrafu"/>
        <w:numPr>
          <w:ilvl w:val="0"/>
          <w:numId w:val="2"/>
        </w:numPr>
        <w:spacing w:before="120" w:after="120"/>
        <w:ind w:firstLine="425"/>
      </w:pPr>
      <w:r w:rsidRPr="00715EE7">
        <w:t>(4)</w:t>
      </w:r>
      <w:r>
        <w:t xml:space="preserve"> </w:t>
      </w:r>
      <w:r w:rsidRPr="00715EE7">
        <w:t>Zajištění</w:t>
      </w:r>
      <w:r>
        <w:t xml:space="preserve"> </w:t>
      </w:r>
      <w:r w:rsidRPr="00715EE7">
        <w:t>výrobků,</w:t>
      </w:r>
      <w:r>
        <w:t xml:space="preserve"> </w:t>
      </w:r>
      <w:r w:rsidRPr="00715EE7">
        <w:t>které</w:t>
      </w:r>
      <w:r>
        <w:t xml:space="preserve"> </w:t>
      </w:r>
      <w:r w:rsidRPr="00715EE7">
        <w:t>neodpovídají</w:t>
      </w:r>
      <w:r>
        <w:t xml:space="preserve"> </w:t>
      </w:r>
      <w:r w:rsidRPr="00715EE7">
        <w:t>zvláštním</w:t>
      </w:r>
      <w:r>
        <w:t xml:space="preserve"> </w:t>
      </w:r>
      <w:r w:rsidRPr="00715EE7">
        <w:t>právním</w:t>
      </w:r>
      <w:r>
        <w:t xml:space="preserve"> </w:t>
      </w:r>
      <w:r w:rsidRPr="00715EE7">
        <w:t>předpisům,</w:t>
      </w:r>
      <w:r w:rsidRPr="00322212">
        <w:rPr>
          <w:vertAlign w:val="superscript"/>
        </w:rPr>
        <w:t>3f)</w:t>
      </w:r>
      <w:r>
        <w:t xml:space="preserve"> </w:t>
      </w:r>
      <w:r w:rsidRPr="00715EE7">
        <w:t>trvá</w:t>
      </w:r>
      <w:r>
        <w:t xml:space="preserve"> </w:t>
      </w:r>
      <w:r w:rsidRPr="00715EE7">
        <w:t>do</w:t>
      </w:r>
      <w:r>
        <w:t xml:space="preserve"> </w:t>
      </w:r>
      <w:r w:rsidRPr="00715EE7">
        <w:t>doby,</w:t>
      </w:r>
      <w:r>
        <w:t xml:space="preserve"> </w:t>
      </w:r>
      <w:r w:rsidRPr="00715EE7">
        <w:t>než</w:t>
      </w:r>
      <w:r>
        <w:t xml:space="preserve"> </w:t>
      </w:r>
      <w:r w:rsidRPr="00715EE7">
        <w:t>bude</w:t>
      </w:r>
      <w:r>
        <w:t xml:space="preserve"> </w:t>
      </w:r>
      <w:r w:rsidRPr="00715EE7">
        <w:t>pravomocně</w:t>
      </w:r>
      <w:r>
        <w:t xml:space="preserve"> </w:t>
      </w:r>
      <w:r w:rsidRPr="00715EE7">
        <w:t>rozhodnuto</w:t>
      </w:r>
      <w:r>
        <w:t xml:space="preserve"> </w:t>
      </w:r>
      <w:r w:rsidRPr="00715EE7">
        <w:t>o</w:t>
      </w:r>
      <w:r>
        <w:t xml:space="preserve"> </w:t>
      </w:r>
      <w:r w:rsidRPr="00715EE7">
        <w:t>jejich</w:t>
      </w:r>
      <w:r>
        <w:t xml:space="preserve"> </w:t>
      </w:r>
      <w:r w:rsidRPr="00715EE7">
        <w:t>propadnutí</w:t>
      </w:r>
      <w:r>
        <w:t xml:space="preserve"> </w:t>
      </w:r>
      <w:r w:rsidRPr="00715EE7">
        <w:t>nebo</w:t>
      </w:r>
      <w:r>
        <w:t xml:space="preserve"> </w:t>
      </w:r>
      <w:r w:rsidRPr="00715EE7">
        <w:t>zabrání,</w:t>
      </w:r>
      <w:r>
        <w:t xml:space="preserve"> </w:t>
      </w:r>
      <w:r w:rsidRPr="00715EE7">
        <w:t>případně</w:t>
      </w:r>
      <w:r>
        <w:t xml:space="preserve"> </w:t>
      </w:r>
      <w:r w:rsidRPr="00715EE7">
        <w:t>do</w:t>
      </w:r>
      <w:r>
        <w:t xml:space="preserve"> </w:t>
      </w:r>
      <w:r w:rsidRPr="00715EE7">
        <w:t>doby,</w:t>
      </w:r>
      <w:r>
        <w:t xml:space="preserve"> </w:t>
      </w:r>
      <w:r w:rsidRPr="00715EE7">
        <w:t>kdy</w:t>
      </w:r>
      <w:r>
        <w:t xml:space="preserve"> </w:t>
      </w:r>
      <w:r w:rsidRPr="00715EE7">
        <w:t>bude</w:t>
      </w:r>
      <w:r>
        <w:t xml:space="preserve"> </w:t>
      </w:r>
      <w:r w:rsidRPr="00715EE7">
        <w:t>prokázáno,</w:t>
      </w:r>
      <w:r>
        <w:t xml:space="preserve"> </w:t>
      </w:r>
      <w:r w:rsidRPr="00715EE7">
        <w:t>že</w:t>
      </w:r>
      <w:r>
        <w:t xml:space="preserve"> </w:t>
      </w:r>
      <w:r w:rsidRPr="00715EE7">
        <w:t>se</w:t>
      </w:r>
      <w:r>
        <w:t xml:space="preserve"> </w:t>
      </w:r>
      <w:r w:rsidRPr="00715EE7">
        <w:t>nejedná</w:t>
      </w:r>
      <w:r>
        <w:t xml:space="preserve"> </w:t>
      </w:r>
      <w:r w:rsidRPr="00715EE7">
        <w:t>o</w:t>
      </w:r>
      <w:r>
        <w:t xml:space="preserve"> </w:t>
      </w:r>
      <w:r w:rsidRPr="00715EE7">
        <w:t>takovéto</w:t>
      </w:r>
      <w:r>
        <w:t xml:space="preserve"> </w:t>
      </w:r>
      <w:r w:rsidRPr="00715EE7">
        <w:t>výrobky.</w:t>
      </w:r>
      <w:r>
        <w:t xml:space="preserve"> </w:t>
      </w:r>
      <w:r w:rsidRPr="00715EE7">
        <w:t>Zrušení</w:t>
      </w:r>
      <w:r>
        <w:t xml:space="preserve"> </w:t>
      </w:r>
      <w:r w:rsidRPr="00715EE7">
        <w:t>opatření</w:t>
      </w:r>
      <w:r>
        <w:t xml:space="preserve"> </w:t>
      </w:r>
      <w:r w:rsidRPr="00715EE7">
        <w:t>o</w:t>
      </w:r>
      <w:r>
        <w:t xml:space="preserve"> </w:t>
      </w:r>
      <w:r w:rsidRPr="00715EE7">
        <w:t>zajištění</w:t>
      </w:r>
      <w:r>
        <w:t xml:space="preserve"> </w:t>
      </w:r>
      <w:r w:rsidRPr="00715EE7">
        <w:t>výrobků,</w:t>
      </w:r>
      <w:r>
        <w:t xml:space="preserve"> </w:t>
      </w:r>
      <w:r w:rsidRPr="00715EE7">
        <w:t>o</w:t>
      </w:r>
      <w:r>
        <w:t xml:space="preserve"> </w:t>
      </w:r>
      <w:r w:rsidRPr="00715EE7">
        <w:t>kterých</w:t>
      </w:r>
      <w:r>
        <w:t xml:space="preserve"> </w:t>
      </w:r>
      <w:r w:rsidRPr="00715EE7">
        <w:t>se</w:t>
      </w:r>
      <w:r>
        <w:t xml:space="preserve"> </w:t>
      </w:r>
      <w:r w:rsidRPr="00715EE7">
        <w:t>prokáže,</w:t>
      </w:r>
      <w:r>
        <w:t xml:space="preserve"> </w:t>
      </w:r>
      <w:r w:rsidRPr="00715EE7">
        <w:t>že</w:t>
      </w:r>
      <w:r>
        <w:t xml:space="preserve"> </w:t>
      </w:r>
      <w:r w:rsidRPr="00715EE7">
        <w:t>odpovídají</w:t>
      </w:r>
      <w:r>
        <w:t xml:space="preserve"> </w:t>
      </w:r>
      <w:r w:rsidRPr="00715EE7">
        <w:t>zvláštním</w:t>
      </w:r>
      <w:r>
        <w:t xml:space="preserve"> </w:t>
      </w:r>
      <w:r w:rsidRPr="00715EE7">
        <w:t>právním</w:t>
      </w:r>
      <w:r>
        <w:t xml:space="preserve"> </w:t>
      </w:r>
      <w:r w:rsidRPr="00715EE7">
        <w:t>předpisům,</w:t>
      </w:r>
      <w:r w:rsidRPr="00433B76">
        <w:rPr>
          <w:vertAlign w:val="superscript"/>
        </w:rPr>
        <w:t>3f)</w:t>
      </w:r>
      <w:r>
        <w:t xml:space="preserve"> </w:t>
      </w:r>
      <w:r w:rsidRPr="00715EE7">
        <w:t>provede</w:t>
      </w:r>
      <w:r>
        <w:t xml:space="preserve"> </w:t>
      </w:r>
      <w:r w:rsidRPr="00715EE7">
        <w:t>písemně</w:t>
      </w:r>
      <w:r>
        <w:t xml:space="preserve"> </w:t>
      </w:r>
      <w:r w:rsidRPr="00715EE7">
        <w:t>ředitel</w:t>
      </w:r>
      <w:r>
        <w:t xml:space="preserve"> </w:t>
      </w:r>
      <w:r w:rsidRPr="00715EE7">
        <w:t>inspektorátu.</w:t>
      </w:r>
      <w:r>
        <w:t xml:space="preserve"> </w:t>
      </w:r>
      <w:r w:rsidRPr="00715EE7">
        <w:t>Písemnost</w:t>
      </w:r>
      <w:r>
        <w:t xml:space="preserve"> </w:t>
      </w:r>
      <w:r w:rsidRPr="00715EE7">
        <w:t>se</w:t>
      </w:r>
      <w:r>
        <w:t xml:space="preserve"> </w:t>
      </w:r>
      <w:r w:rsidRPr="00715EE7">
        <w:t>doručí</w:t>
      </w:r>
      <w:r>
        <w:t xml:space="preserve"> </w:t>
      </w:r>
      <w:r w:rsidRPr="00715EE7">
        <w:t>kontrolované</w:t>
      </w:r>
      <w:r>
        <w:t xml:space="preserve"> </w:t>
      </w:r>
      <w:r w:rsidRPr="00715EE7">
        <w:t>osobě.</w:t>
      </w:r>
      <w:r>
        <w:t xml:space="preserve"> </w:t>
      </w:r>
      <w:r w:rsidRPr="00715EE7">
        <w:t>Pokud</w:t>
      </w:r>
      <w:r>
        <w:t xml:space="preserve"> </w:t>
      </w:r>
      <w:r w:rsidRPr="00715EE7">
        <w:t>bylo</w:t>
      </w:r>
      <w:r>
        <w:t xml:space="preserve"> </w:t>
      </w:r>
      <w:r w:rsidRPr="00715EE7">
        <w:t>zrušeno</w:t>
      </w:r>
      <w:r>
        <w:t xml:space="preserve"> </w:t>
      </w:r>
      <w:r w:rsidRPr="00715EE7">
        <w:t>opatření</w:t>
      </w:r>
      <w:r>
        <w:t xml:space="preserve"> </w:t>
      </w:r>
      <w:r w:rsidRPr="00715EE7">
        <w:t>o</w:t>
      </w:r>
      <w:r>
        <w:t xml:space="preserve"> </w:t>
      </w:r>
      <w:r w:rsidRPr="00715EE7">
        <w:t>zajištění,</w:t>
      </w:r>
      <w:r>
        <w:t xml:space="preserve"> </w:t>
      </w:r>
      <w:r w:rsidRPr="00715EE7">
        <w:t>musí</w:t>
      </w:r>
      <w:r>
        <w:t xml:space="preserve"> </w:t>
      </w:r>
      <w:r w:rsidRPr="00715EE7">
        <w:t>být</w:t>
      </w:r>
      <w:r>
        <w:t xml:space="preserve"> </w:t>
      </w:r>
      <w:r w:rsidRPr="00715EE7">
        <w:t>kontrolované</w:t>
      </w:r>
      <w:r>
        <w:t xml:space="preserve"> </w:t>
      </w:r>
      <w:r w:rsidRPr="00715EE7">
        <w:t>osobě</w:t>
      </w:r>
      <w:r>
        <w:t xml:space="preserve"> </w:t>
      </w:r>
      <w:r w:rsidRPr="00715EE7">
        <w:t>zajištěné</w:t>
      </w:r>
      <w:r>
        <w:t xml:space="preserve"> </w:t>
      </w:r>
      <w:r w:rsidRPr="00715EE7">
        <w:t>výrobky</w:t>
      </w:r>
      <w:r>
        <w:t xml:space="preserve"> </w:t>
      </w:r>
      <w:r w:rsidRPr="00715EE7">
        <w:t>bez</w:t>
      </w:r>
      <w:r>
        <w:t xml:space="preserve"> </w:t>
      </w:r>
      <w:r w:rsidRPr="00715EE7">
        <w:t>zbytečných</w:t>
      </w:r>
      <w:r>
        <w:t xml:space="preserve"> </w:t>
      </w:r>
      <w:r w:rsidRPr="00715EE7">
        <w:t>průtahů</w:t>
      </w:r>
      <w:r>
        <w:t xml:space="preserve"> </w:t>
      </w:r>
      <w:r w:rsidRPr="00715EE7">
        <w:t>vráceny</w:t>
      </w:r>
      <w:r>
        <w:t xml:space="preserve"> </w:t>
      </w:r>
      <w:r w:rsidRPr="00715EE7">
        <w:t>v</w:t>
      </w:r>
      <w:r>
        <w:t xml:space="preserve"> </w:t>
      </w:r>
      <w:r w:rsidRPr="00715EE7">
        <w:t>neporušeném</w:t>
      </w:r>
      <w:r>
        <w:t xml:space="preserve"> </w:t>
      </w:r>
      <w:r w:rsidRPr="00715EE7">
        <w:t>stavu,</w:t>
      </w:r>
      <w:r>
        <w:t xml:space="preserve"> </w:t>
      </w:r>
      <w:r w:rsidRPr="00715EE7">
        <w:t>s</w:t>
      </w:r>
      <w:r>
        <w:t xml:space="preserve"> </w:t>
      </w:r>
      <w:r w:rsidRPr="00715EE7">
        <w:t>výjimkou</w:t>
      </w:r>
      <w:r>
        <w:t xml:space="preserve"> </w:t>
      </w:r>
      <w:r w:rsidRPr="00715EE7">
        <w:t>výrobků</w:t>
      </w:r>
      <w:r>
        <w:t xml:space="preserve"> </w:t>
      </w:r>
      <w:r w:rsidRPr="00715EE7">
        <w:t>použitých</w:t>
      </w:r>
      <w:r>
        <w:t xml:space="preserve"> </w:t>
      </w:r>
      <w:r w:rsidRPr="00715EE7">
        <w:t>pro</w:t>
      </w:r>
      <w:r>
        <w:t xml:space="preserve"> </w:t>
      </w:r>
      <w:r w:rsidRPr="00715EE7">
        <w:t>posouzení.</w:t>
      </w:r>
      <w:r>
        <w:t xml:space="preserve"> </w:t>
      </w:r>
      <w:r w:rsidRPr="00715EE7">
        <w:t>O</w:t>
      </w:r>
      <w:r>
        <w:t xml:space="preserve"> </w:t>
      </w:r>
      <w:r w:rsidRPr="00715EE7">
        <w:t>vrácení</w:t>
      </w:r>
      <w:r>
        <w:t xml:space="preserve"> </w:t>
      </w:r>
      <w:r w:rsidRPr="00715EE7">
        <w:t>sepíše</w:t>
      </w:r>
      <w:r>
        <w:t xml:space="preserve"> </w:t>
      </w:r>
      <w:r w:rsidRPr="00715EE7">
        <w:t>inspektor</w:t>
      </w:r>
      <w:r>
        <w:t xml:space="preserve"> </w:t>
      </w:r>
      <w:r w:rsidRPr="00715EE7">
        <w:t>písemný</w:t>
      </w:r>
      <w:r>
        <w:t xml:space="preserve"> </w:t>
      </w:r>
      <w:r w:rsidRPr="00715EE7">
        <w:t>záznam.</w:t>
      </w:r>
    </w:p>
    <w:p w14:paraId="69881825" w14:textId="1D6403E1" w:rsidR="00C11813" w:rsidRDefault="00C11813" w:rsidP="00A06781">
      <w:pPr>
        <w:pStyle w:val="Textparagrafu"/>
        <w:numPr>
          <w:ilvl w:val="0"/>
          <w:numId w:val="2"/>
        </w:numPr>
        <w:spacing w:before="120" w:after="120"/>
        <w:ind w:firstLine="425"/>
      </w:pPr>
      <w:r w:rsidRPr="00715EE7">
        <w:t>(5)</w:t>
      </w:r>
      <w:r>
        <w:t xml:space="preserve"> </w:t>
      </w:r>
      <w:r w:rsidRPr="00715EE7">
        <w:t>Ředitel</w:t>
      </w:r>
      <w:r>
        <w:t xml:space="preserve"> </w:t>
      </w:r>
      <w:r w:rsidRPr="00715EE7">
        <w:t>inspektorátu</w:t>
      </w:r>
      <w:r>
        <w:t xml:space="preserve"> </w:t>
      </w:r>
      <w:r w:rsidRPr="00715EE7">
        <w:t>uloží</w:t>
      </w:r>
      <w:r>
        <w:t xml:space="preserve"> </w:t>
      </w:r>
      <w:r w:rsidRPr="00715EE7">
        <w:t>rozhodnutím</w:t>
      </w:r>
      <w:r>
        <w:t xml:space="preserve"> </w:t>
      </w:r>
      <w:r w:rsidRPr="00715EE7">
        <w:t>kromě</w:t>
      </w:r>
      <w:r>
        <w:t xml:space="preserve"> </w:t>
      </w:r>
      <w:r w:rsidRPr="00715EE7">
        <w:t>pokuty</w:t>
      </w:r>
      <w:r>
        <w:t xml:space="preserve"> </w:t>
      </w:r>
      <w:r w:rsidRPr="00715EE7">
        <w:t>i</w:t>
      </w:r>
      <w:r>
        <w:t xml:space="preserve"> </w:t>
      </w:r>
      <w:r w:rsidRPr="00715EE7">
        <w:t>propadnutí</w:t>
      </w:r>
      <w:r>
        <w:t xml:space="preserve"> </w:t>
      </w:r>
      <w:r w:rsidRPr="00715EE7">
        <w:t>nebo</w:t>
      </w:r>
      <w:r>
        <w:t xml:space="preserve"> </w:t>
      </w:r>
      <w:r w:rsidRPr="00715EE7">
        <w:t>zabrání</w:t>
      </w:r>
      <w:r>
        <w:t xml:space="preserve"> </w:t>
      </w:r>
      <w:r w:rsidRPr="00715EE7">
        <w:t>výrobků,</w:t>
      </w:r>
      <w:r>
        <w:t xml:space="preserve"> </w:t>
      </w:r>
      <w:r w:rsidRPr="00715EE7">
        <w:t>které</w:t>
      </w:r>
      <w:r>
        <w:t xml:space="preserve"> </w:t>
      </w:r>
      <w:r w:rsidRPr="00715EE7">
        <w:t>neodpovídají</w:t>
      </w:r>
      <w:r>
        <w:t xml:space="preserve"> </w:t>
      </w:r>
      <w:r w:rsidRPr="00715EE7">
        <w:t>zvláštním</w:t>
      </w:r>
      <w:r>
        <w:t xml:space="preserve"> </w:t>
      </w:r>
      <w:r w:rsidRPr="00715EE7">
        <w:t>právním</w:t>
      </w:r>
      <w:r>
        <w:t xml:space="preserve"> </w:t>
      </w:r>
      <w:r w:rsidRPr="00715EE7">
        <w:t>předpisům.</w:t>
      </w:r>
      <w:r w:rsidRPr="00433B76">
        <w:rPr>
          <w:vertAlign w:val="superscript"/>
        </w:rPr>
        <w:t>3f)</w:t>
      </w:r>
      <w:r>
        <w:t xml:space="preserve"> </w:t>
      </w:r>
      <w:r w:rsidRPr="00715EE7">
        <w:t>Vlastníkem</w:t>
      </w:r>
      <w:r>
        <w:t xml:space="preserve"> </w:t>
      </w:r>
      <w:r w:rsidRPr="00715EE7">
        <w:t>propadnutých</w:t>
      </w:r>
      <w:r>
        <w:t xml:space="preserve"> </w:t>
      </w:r>
      <w:r w:rsidRPr="00715EE7">
        <w:t>nebo</w:t>
      </w:r>
      <w:r>
        <w:t xml:space="preserve"> </w:t>
      </w:r>
      <w:r w:rsidRPr="00715EE7">
        <w:t>zabraných</w:t>
      </w:r>
      <w:r>
        <w:t xml:space="preserve"> </w:t>
      </w:r>
      <w:r w:rsidRPr="00715EE7">
        <w:t>výrobků</w:t>
      </w:r>
      <w:r>
        <w:t xml:space="preserve"> </w:t>
      </w:r>
      <w:r w:rsidRPr="00715EE7">
        <w:t>se</w:t>
      </w:r>
      <w:r>
        <w:t xml:space="preserve"> </w:t>
      </w:r>
      <w:r w:rsidRPr="00715EE7">
        <w:t>stává</w:t>
      </w:r>
      <w:r>
        <w:t xml:space="preserve"> </w:t>
      </w:r>
      <w:r w:rsidRPr="00715EE7">
        <w:t>stát.</w:t>
      </w:r>
      <w:r w:rsidR="00997A88" w:rsidRPr="00433B76">
        <w:rPr>
          <w:vertAlign w:val="superscript"/>
        </w:rPr>
        <w:t>3</w:t>
      </w:r>
      <w:r w:rsidR="00322212" w:rsidRPr="00433B76">
        <w:rPr>
          <w:vertAlign w:val="superscript"/>
        </w:rPr>
        <w:t>g)</w:t>
      </w:r>
    </w:p>
    <w:p w14:paraId="251327C6" w14:textId="77777777" w:rsidR="00C11813" w:rsidRDefault="00C11813" w:rsidP="00A06781">
      <w:pPr>
        <w:pStyle w:val="Textparagrafu"/>
        <w:numPr>
          <w:ilvl w:val="0"/>
          <w:numId w:val="2"/>
        </w:numPr>
        <w:spacing w:before="120" w:after="120"/>
        <w:ind w:firstLine="425"/>
      </w:pPr>
      <w:r w:rsidRPr="00715EE7">
        <w:t>(6)</w:t>
      </w:r>
      <w:r>
        <w:t xml:space="preserve"> </w:t>
      </w:r>
      <w:r w:rsidRPr="00715EE7">
        <w:t>Ředitel</w:t>
      </w:r>
      <w:r>
        <w:t xml:space="preserve"> </w:t>
      </w:r>
      <w:r w:rsidRPr="00715EE7">
        <w:t>inspektorátu</w:t>
      </w:r>
      <w:r>
        <w:t xml:space="preserve"> </w:t>
      </w:r>
      <w:r w:rsidRPr="00715EE7">
        <w:t>určí,</w:t>
      </w:r>
      <w:r>
        <w:t xml:space="preserve"> </w:t>
      </w:r>
      <w:r w:rsidRPr="00715EE7">
        <w:t>že</w:t>
      </w:r>
      <w:r>
        <w:t xml:space="preserve"> </w:t>
      </w:r>
      <w:r w:rsidRPr="00715EE7">
        <w:t>zabrané</w:t>
      </w:r>
      <w:r>
        <w:t xml:space="preserve"> </w:t>
      </w:r>
      <w:r w:rsidRPr="00715EE7">
        <w:t>nebo</w:t>
      </w:r>
      <w:r>
        <w:t xml:space="preserve"> </w:t>
      </w:r>
      <w:r w:rsidRPr="00715EE7">
        <w:t>propadnuté</w:t>
      </w:r>
      <w:r>
        <w:t xml:space="preserve"> </w:t>
      </w:r>
      <w:r w:rsidRPr="00715EE7">
        <w:t>výrobky</w:t>
      </w:r>
      <w:r>
        <w:t xml:space="preserve"> </w:t>
      </w:r>
      <w:r w:rsidRPr="00715EE7">
        <w:t>budou</w:t>
      </w:r>
      <w:r>
        <w:t xml:space="preserve"> </w:t>
      </w:r>
      <w:r w:rsidRPr="00715EE7">
        <w:t>zničeny,</w:t>
      </w:r>
      <w:r>
        <w:t xml:space="preserve"> </w:t>
      </w:r>
      <w:r w:rsidRPr="00715EE7">
        <w:t>anebo</w:t>
      </w:r>
      <w:r>
        <w:t xml:space="preserve"> </w:t>
      </w:r>
      <w:r w:rsidRPr="00715EE7">
        <w:t>jsou-li</w:t>
      </w:r>
      <w:r>
        <w:t xml:space="preserve"> </w:t>
      </w:r>
      <w:r w:rsidRPr="00715EE7">
        <w:t>využitelné</w:t>
      </w:r>
      <w:r>
        <w:t xml:space="preserve"> </w:t>
      </w:r>
      <w:r w:rsidRPr="00715EE7">
        <w:t>pro</w:t>
      </w:r>
      <w:r>
        <w:t xml:space="preserve"> </w:t>
      </w:r>
      <w:r w:rsidRPr="00715EE7">
        <w:t>humanitární</w:t>
      </w:r>
      <w:r>
        <w:t xml:space="preserve"> </w:t>
      </w:r>
      <w:r w:rsidRPr="00715EE7">
        <w:t>účely,</w:t>
      </w:r>
      <w:r>
        <w:t xml:space="preserve"> </w:t>
      </w:r>
      <w:r w:rsidRPr="00715EE7">
        <w:t>může</w:t>
      </w:r>
      <w:r>
        <w:t xml:space="preserve"> </w:t>
      </w:r>
      <w:r w:rsidRPr="00715EE7">
        <w:t>ředitel</w:t>
      </w:r>
      <w:r>
        <w:t xml:space="preserve"> </w:t>
      </w:r>
      <w:r w:rsidRPr="00715EE7">
        <w:t>inspektorátu</w:t>
      </w:r>
      <w:r>
        <w:t xml:space="preserve"> </w:t>
      </w:r>
      <w:r w:rsidRPr="00715EE7">
        <w:t>určit,</w:t>
      </w:r>
      <w:r>
        <w:t xml:space="preserve"> </w:t>
      </w:r>
      <w:r w:rsidRPr="00715EE7">
        <w:t>že</w:t>
      </w:r>
      <w:r>
        <w:t xml:space="preserve"> </w:t>
      </w:r>
      <w:r w:rsidRPr="00715EE7">
        <w:t>budou</w:t>
      </w:r>
      <w:r>
        <w:t xml:space="preserve"> </w:t>
      </w:r>
      <w:r w:rsidRPr="00715EE7">
        <w:t>poskytnuty</w:t>
      </w:r>
      <w:r>
        <w:t xml:space="preserve"> </w:t>
      </w:r>
      <w:r w:rsidRPr="00715EE7">
        <w:t>k</w:t>
      </w:r>
      <w:r>
        <w:t xml:space="preserve"> </w:t>
      </w:r>
      <w:r w:rsidRPr="00715EE7">
        <w:t>těmto</w:t>
      </w:r>
      <w:r>
        <w:t xml:space="preserve"> </w:t>
      </w:r>
      <w:r w:rsidRPr="00715EE7">
        <w:t>účelům,</w:t>
      </w:r>
      <w:r>
        <w:t xml:space="preserve"> </w:t>
      </w:r>
      <w:r w:rsidRPr="00715EE7">
        <w:t>a</w:t>
      </w:r>
      <w:r>
        <w:t xml:space="preserve"> </w:t>
      </w:r>
      <w:r w:rsidRPr="00715EE7">
        <w:t>to</w:t>
      </w:r>
      <w:r>
        <w:t xml:space="preserve"> </w:t>
      </w:r>
      <w:r w:rsidRPr="00715EE7">
        <w:t>bezplatně.</w:t>
      </w:r>
      <w:r>
        <w:t xml:space="preserve"> </w:t>
      </w:r>
      <w:r w:rsidRPr="00715EE7">
        <w:t>Humanitárními</w:t>
      </w:r>
      <w:r>
        <w:t xml:space="preserve"> </w:t>
      </w:r>
      <w:r w:rsidRPr="00715EE7">
        <w:t>účely</w:t>
      </w:r>
      <w:r>
        <w:t xml:space="preserve"> </w:t>
      </w:r>
      <w:r w:rsidRPr="00715EE7">
        <w:t>se</w:t>
      </w:r>
      <w:r>
        <w:t xml:space="preserve"> </w:t>
      </w:r>
      <w:r w:rsidRPr="00715EE7">
        <w:t>rozumí</w:t>
      </w:r>
      <w:r>
        <w:t xml:space="preserve"> </w:t>
      </w:r>
      <w:r w:rsidRPr="00715EE7">
        <w:t>činnosti</w:t>
      </w:r>
      <w:r>
        <w:t xml:space="preserve"> </w:t>
      </w:r>
      <w:r w:rsidRPr="00715EE7">
        <w:t>prováděné</w:t>
      </w:r>
      <w:r>
        <w:t xml:space="preserve"> </w:t>
      </w:r>
      <w:r w:rsidRPr="00715EE7">
        <w:t>s</w:t>
      </w:r>
      <w:r>
        <w:t xml:space="preserve"> </w:t>
      </w:r>
      <w:r w:rsidRPr="00715EE7">
        <w:t>cílem</w:t>
      </w:r>
      <w:r>
        <w:t xml:space="preserve"> </w:t>
      </w:r>
      <w:r w:rsidRPr="00715EE7">
        <w:t>zajistit</w:t>
      </w:r>
      <w:r>
        <w:t xml:space="preserve"> </w:t>
      </w:r>
      <w:r w:rsidRPr="00715EE7">
        <w:t>základní</w:t>
      </w:r>
      <w:r>
        <w:t xml:space="preserve"> </w:t>
      </w:r>
      <w:r w:rsidRPr="00715EE7">
        <w:t>potřeby</w:t>
      </w:r>
      <w:r>
        <w:t xml:space="preserve"> </w:t>
      </w:r>
      <w:r w:rsidRPr="00715EE7">
        <w:t>obyvatelstva,</w:t>
      </w:r>
      <w:r>
        <w:t xml:space="preserve"> </w:t>
      </w:r>
      <w:r w:rsidRPr="00715EE7">
        <w:t>které</w:t>
      </w:r>
      <w:r>
        <w:t xml:space="preserve"> </w:t>
      </w:r>
      <w:r w:rsidRPr="00715EE7">
        <w:t>se</w:t>
      </w:r>
      <w:r>
        <w:t xml:space="preserve"> </w:t>
      </w:r>
      <w:r w:rsidRPr="00715EE7">
        <w:t>ocitlo</w:t>
      </w:r>
      <w:r>
        <w:t xml:space="preserve"> </w:t>
      </w:r>
      <w:r w:rsidRPr="00715EE7">
        <w:t>v</w:t>
      </w:r>
      <w:r>
        <w:t xml:space="preserve"> </w:t>
      </w:r>
      <w:r w:rsidRPr="00715EE7">
        <w:t>tíživé</w:t>
      </w:r>
      <w:r>
        <w:t xml:space="preserve"> </w:t>
      </w:r>
      <w:r w:rsidRPr="00715EE7">
        <w:t>životní</w:t>
      </w:r>
      <w:r>
        <w:t xml:space="preserve"> </w:t>
      </w:r>
      <w:r w:rsidRPr="00715EE7">
        <w:t>situaci</w:t>
      </w:r>
      <w:r>
        <w:t xml:space="preserve"> </w:t>
      </w:r>
      <w:r w:rsidRPr="00715EE7">
        <w:t>nebo</w:t>
      </w:r>
      <w:r>
        <w:t xml:space="preserve"> </w:t>
      </w:r>
      <w:r w:rsidRPr="00715EE7">
        <w:t>bylo</w:t>
      </w:r>
      <w:r>
        <w:t xml:space="preserve"> </w:t>
      </w:r>
      <w:r w:rsidRPr="00715EE7">
        <w:t>postiženo</w:t>
      </w:r>
      <w:r>
        <w:t xml:space="preserve"> </w:t>
      </w:r>
      <w:r w:rsidRPr="00715EE7">
        <w:t>mimořádnou</w:t>
      </w:r>
      <w:r>
        <w:t xml:space="preserve"> </w:t>
      </w:r>
      <w:r w:rsidRPr="00715EE7">
        <w:t>událostí,</w:t>
      </w:r>
      <w:r>
        <w:t xml:space="preserve"> </w:t>
      </w:r>
      <w:r w:rsidRPr="00715EE7">
        <w:t>kdy</w:t>
      </w:r>
      <w:r>
        <w:t xml:space="preserve"> </w:t>
      </w:r>
      <w:r w:rsidRPr="00715EE7">
        <w:t>je</w:t>
      </w:r>
      <w:r>
        <w:t xml:space="preserve"> </w:t>
      </w:r>
      <w:r w:rsidRPr="00715EE7">
        <w:t>opodstatněno</w:t>
      </w:r>
      <w:r>
        <w:t xml:space="preserve"> </w:t>
      </w:r>
      <w:r w:rsidRPr="00715EE7">
        <w:t>využití</w:t>
      </w:r>
      <w:r>
        <w:t xml:space="preserve"> </w:t>
      </w:r>
      <w:r w:rsidRPr="00715EE7">
        <w:t>mimořádných</w:t>
      </w:r>
      <w:r>
        <w:t xml:space="preserve"> </w:t>
      </w:r>
      <w:r w:rsidRPr="00715EE7">
        <w:t>materiálních</w:t>
      </w:r>
      <w:r>
        <w:t xml:space="preserve"> </w:t>
      </w:r>
      <w:r w:rsidRPr="00715EE7">
        <w:t>zdrojů.</w:t>
      </w:r>
    </w:p>
    <w:p w14:paraId="6AE992B8" w14:textId="77777777" w:rsidR="00C11813" w:rsidRDefault="00C11813" w:rsidP="00A06781">
      <w:pPr>
        <w:pStyle w:val="Textparagrafu"/>
        <w:numPr>
          <w:ilvl w:val="0"/>
          <w:numId w:val="2"/>
        </w:numPr>
        <w:spacing w:before="120" w:after="120"/>
        <w:ind w:firstLine="425"/>
      </w:pPr>
      <w:r w:rsidRPr="00715EE7">
        <w:t>(7)</w:t>
      </w:r>
      <w:r>
        <w:t xml:space="preserve"> </w:t>
      </w:r>
      <w:r w:rsidRPr="00715EE7">
        <w:t>Je-li</w:t>
      </w:r>
      <w:r>
        <w:t xml:space="preserve"> </w:t>
      </w:r>
      <w:r w:rsidRPr="00715EE7">
        <w:t>rozhodnutí</w:t>
      </w:r>
      <w:r>
        <w:t xml:space="preserve"> </w:t>
      </w:r>
      <w:r w:rsidRPr="00715EE7">
        <w:t>podle</w:t>
      </w:r>
      <w:r>
        <w:t xml:space="preserve"> </w:t>
      </w:r>
      <w:r w:rsidRPr="00715EE7">
        <w:t>odstavce</w:t>
      </w:r>
      <w:r>
        <w:t xml:space="preserve"> </w:t>
      </w:r>
      <w:r w:rsidRPr="00715EE7">
        <w:t>5</w:t>
      </w:r>
      <w:r>
        <w:t xml:space="preserve"> </w:t>
      </w:r>
      <w:r w:rsidRPr="00715EE7">
        <w:t>pravomocné</w:t>
      </w:r>
      <w:r>
        <w:t xml:space="preserve"> </w:t>
      </w:r>
      <w:r w:rsidRPr="00715EE7">
        <w:t>a</w:t>
      </w:r>
      <w:r>
        <w:t xml:space="preserve"> </w:t>
      </w:r>
      <w:r w:rsidRPr="00715EE7">
        <w:t>určil-li</w:t>
      </w:r>
      <w:r>
        <w:t xml:space="preserve"> </w:t>
      </w:r>
      <w:r w:rsidRPr="00715EE7">
        <w:t>ředitel</w:t>
      </w:r>
      <w:r>
        <w:t xml:space="preserve"> </w:t>
      </w:r>
      <w:r w:rsidRPr="00715EE7">
        <w:t>inspektorátu,</w:t>
      </w:r>
      <w:r>
        <w:t xml:space="preserve"> </w:t>
      </w:r>
      <w:r w:rsidRPr="00715EE7">
        <w:t>že</w:t>
      </w:r>
      <w:r>
        <w:t xml:space="preserve"> </w:t>
      </w:r>
      <w:r w:rsidRPr="00715EE7">
        <w:t>zabrané</w:t>
      </w:r>
      <w:r>
        <w:t xml:space="preserve"> </w:t>
      </w:r>
      <w:r w:rsidRPr="00715EE7">
        <w:t>nebo</w:t>
      </w:r>
      <w:r>
        <w:t xml:space="preserve"> </w:t>
      </w:r>
      <w:r w:rsidRPr="00715EE7">
        <w:t>propadnuté</w:t>
      </w:r>
      <w:r>
        <w:t xml:space="preserve"> </w:t>
      </w:r>
      <w:r w:rsidRPr="00715EE7">
        <w:t>výrobky</w:t>
      </w:r>
      <w:r>
        <w:t xml:space="preserve"> </w:t>
      </w:r>
      <w:r w:rsidRPr="00715EE7">
        <w:t>budou</w:t>
      </w:r>
      <w:r>
        <w:t xml:space="preserve"> </w:t>
      </w:r>
      <w:r w:rsidRPr="00715EE7">
        <w:t>zničeny,</w:t>
      </w:r>
      <w:r>
        <w:t xml:space="preserve"> </w:t>
      </w:r>
      <w:r w:rsidRPr="00715EE7">
        <w:t>zničení</w:t>
      </w:r>
      <w:r>
        <w:t xml:space="preserve"> </w:t>
      </w:r>
      <w:r w:rsidRPr="00715EE7">
        <w:t>se</w:t>
      </w:r>
      <w:r>
        <w:t xml:space="preserve"> </w:t>
      </w:r>
      <w:r w:rsidRPr="00715EE7">
        <w:t>provede</w:t>
      </w:r>
      <w:r>
        <w:t xml:space="preserve"> </w:t>
      </w:r>
      <w:r w:rsidRPr="00715EE7">
        <w:t>úředně</w:t>
      </w:r>
      <w:r>
        <w:t xml:space="preserve"> </w:t>
      </w:r>
      <w:r w:rsidRPr="00715EE7">
        <w:t>pod</w:t>
      </w:r>
      <w:r>
        <w:t xml:space="preserve"> </w:t>
      </w:r>
      <w:r w:rsidRPr="00715EE7">
        <w:t>dohledem</w:t>
      </w:r>
      <w:r>
        <w:t xml:space="preserve"> </w:t>
      </w:r>
      <w:r w:rsidRPr="00715EE7">
        <w:t>tříčlenné</w:t>
      </w:r>
      <w:r>
        <w:t xml:space="preserve"> </w:t>
      </w:r>
      <w:r w:rsidRPr="00715EE7">
        <w:t>komise</w:t>
      </w:r>
      <w:r>
        <w:t xml:space="preserve"> </w:t>
      </w:r>
      <w:r w:rsidRPr="00715EE7">
        <w:t>jmenované</w:t>
      </w:r>
      <w:r>
        <w:t xml:space="preserve"> </w:t>
      </w:r>
      <w:r w:rsidRPr="00715EE7">
        <w:t>ředitelem</w:t>
      </w:r>
      <w:r>
        <w:t xml:space="preserve"> </w:t>
      </w:r>
      <w:r w:rsidRPr="00715EE7">
        <w:t>inspektorátu.</w:t>
      </w:r>
      <w:r>
        <w:t xml:space="preserve"> </w:t>
      </w:r>
      <w:r w:rsidRPr="00715EE7">
        <w:t>O</w:t>
      </w:r>
      <w:r>
        <w:t xml:space="preserve"> </w:t>
      </w:r>
      <w:r w:rsidRPr="00715EE7">
        <w:t>zničení</w:t>
      </w:r>
      <w:r>
        <w:t xml:space="preserve"> </w:t>
      </w:r>
      <w:r w:rsidRPr="00715EE7">
        <w:t>sepíše</w:t>
      </w:r>
      <w:r>
        <w:t xml:space="preserve"> </w:t>
      </w:r>
      <w:r w:rsidRPr="00715EE7">
        <w:t>komise</w:t>
      </w:r>
      <w:r>
        <w:t xml:space="preserve"> </w:t>
      </w:r>
      <w:r w:rsidRPr="00715EE7">
        <w:t>protokol,</w:t>
      </w:r>
      <w:r>
        <w:t xml:space="preserve"> </w:t>
      </w:r>
      <w:r w:rsidRPr="00715EE7">
        <w:t>který</w:t>
      </w:r>
      <w:r>
        <w:t xml:space="preserve"> </w:t>
      </w:r>
      <w:r w:rsidRPr="00715EE7">
        <w:t>podepíší</w:t>
      </w:r>
      <w:r>
        <w:t xml:space="preserve"> </w:t>
      </w:r>
      <w:r w:rsidRPr="00715EE7">
        <w:t>všichni</w:t>
      </w:r>
      <w:r>
        <w:t xml:space="preserve"> </w:t>
      </w:r>
      <w:r w:rsidRPr="00715EE7">
        <w:t>tři</w:t>
      </w:r>
      <w:r>
        <w:t xml:space="preserve"> </w:t>
      </w:r>
      <w:r w:rsidRPr="00715EE7">
        <w:t>členové</w:t>
      </w:r>
      <w:r>
        <w:t xml:space="preserve"> </w:t>
      </w:r>
      <w:r w:rsidRPr="00715EE7">
        <w:t>komise.</w:t>
      </w:r>
      <w:r>
        <w:t xml:space="preserve"> </w:t>
      </w:r>
      <w:r w:rsidRPr="00715EE7">
        <w:t>Zničení</w:t>
      </w:r>
      <w:r>
        <w:t xml:space="preserve"> </w:t>
      </w:r>
      <w:r w:rsidRPr="00715EE7">
        <w:t>se</w:t>
      </w:r>
      <w:r>
        <w:t xml:space="preserve"> </w:t>
      </w:r>
      <w:r w:rsidRPr="00715EE7">
        <w:t>provede</w:t>
      </w:r>
      <w:r>
        <w:t xml:space="preserve"> </w:t>
      </w:r>
      <w:r w:rsidRPr="00715EE7">
        <w:t>na</w:t>
      </w:r>
      <w:r>
        <w:t xml:space="preserve"> </w:t>
      </w:r>
      <w:r w:rsidRPr="00715EE7">
        <w:t>náklad</w:t>
      </w:r>
      <w:r>
        <w:t xml:space="preserve"> </w:t>
      </w:r>
      <w:r w:rsidRPr="00715EE7">
        <w:t>kontrolované</w:t>
      </w:r>
      <w:r>
        <w:t xml:space="preserve"> </w:t>
      </w:r>
      <w:r w:rsidRPr="00715EE7">
        <w:t>osoby,</w:t>
      </w:r>
      <w:r>
        <w:t xml:space="preserve"> </w:t>
      </w:r>
      <w:r w:rsidRPr="00715EE7">
        <w:t>která</w:t>
      </w:r>
      <w:r>
        <w:t xml:space="preserve"> </w:t>
      </w:r>
      <w:r w:rsidRPr="00715EE7">
        <w:t>tyto</w:t>
      </w:r>
      <w:r>
        <w:t xml:space="preserve"> </w:t>
      </w:r>
      <w:r w:rsidRPr="00715EE7">
        <w:t>výrobky</w:t>
      </w:r>
      <w:r>
        <w:t xml:space="preserve"> </w:t>
      </w:r>
      <w:r w:rsidRPr="00715EE7">
        <w:t>nabízela,</w:t>
      </w:r>
      <w:r>
        <w:t xml:space="preserve"> </w:t>
      </w:r>
      <w:r w:rsidRPr="00715EE7">
        <w:t>prodávala</w:t>
      </w:r>
      <w:r>
        <w:t xml:space="preserve"> </w:t>
      </w:r>
      <w:r w:rsidRPr="00715EE7">
        <w:t>nebo</w:t>
      </w:r>
      <w:r>
        <w:t xml:space="preserve"> </w:t>
      </w:r>
      <w:r w:rsidRPr="00715EE7">
        <w:t>skladovala.</w:t>
      </w:r>
    </w:p>
    <w:p w14:paraId="1DAE9B1A" w14:textId="77777777" w:rsidR="00C11813" w:rsidRDefault="00C11813" w:rsidP="00A06781">
      <w:pPr>
        <w:pStyle w:val="Textparagrafu"/>
        <w:numPr>
          <w:ilvl w:val="0"/>
          <w:numId w:val="2"/>
        </w:numPr>
        <w:spacing w:before="120" w:after="120"/>
        <w:ind w:firstLine="425"/>
      </w:pPr>
      <w:r w:rsidRPr="00715EE7">
        <w:t>(8)</w:t>
      </w:r>
      <w:r>
        <w:t xml:space="preserve"> </w:t>
      </w:r>
      <w:r w:rsidRPr="00715EE7">
        <w:t>Výrobky</w:t>
      </w:r>
      <w:r>
        <w:t xml:space="preserve"> </w:t>
      </w:r>
      <w:r w:rsidRPr="00715EE7">
        <w:t>propadnuté</w:t>
      </w:r>
      <w:r>
        <w:t xml:space="preserve"> </w:t>
      </w:r>
      <w:r w:rsidRPr="00715EE7">
        <w:t>nebo</w:t>
      </w:r>
      <w:r>
        <w:t xml:space="preserve"> </w:t>
      </w:r>
      <w:r w:rsidRPr="00715EE7">
        <w:t>zabrané</w:t>
      </w:r>
      <w:r>
        <w:t xml:space="preserve"> </w:t>
      </w:r>
      <w:r w:rsidRPr="00715EE7">
        <w:t>na</w:t>
      </w:r>
      <w:r>
        <w:t xml:space="preserve"> </w:t>
      </w:r>
      <w:r w:rsidRPr="00715EE7">
        <w:t>základě</w:t>
      </w:r>
      <w:r>
        <w:t xml:space="preserve"> </w:t>
      </w:r>
      <w:r w:rsidRPr="00715EE7">
        <w:t>rozhodnutí,</w:t>
      </w:r>
      <w:r>
        <w:t xml:space="preserve"> </w:t>
      </w:r>
      <w:r w:rsidRPr="00715EE7">
        <w:t>které</w:t>
      </w:r>
      <w:r>
        <w:t xml:space="preserve"> </w:t>
      </w:r>
      <w:r w:rsidRPr="00715EE7">
        <w:t>nabylo</w:t>
      </w:r>
      <w:r>
        <w:t xml:space="preserve"> </w:t>
      </w:r>
      <w:r w:rsidRPr="00715EE7">
        <w:t>právní</w:t>
      </w:r>
      <w:r>
        <w:t xml:space="preserve"> </w:t>
      </w:r>
      <w:r w:rsidRPr="00715EE7">
        <w:t>moci,</w:t>
      </w:r>
      <w:r>
        <w:t xml:space="preserve"> </w:t>
      </w:r>
      <w:r w:rsidRPr="00715EE7">
        <w:t>mohou</w:t>
      </w:r>
      <w:r>
        <w:t xml:space="preserve"> </w:t>
      </w:r>
      <w:r w:rsidRPr="00715EE7">
        <w:t>být</w:t>
      </w:r>
      <w:r>
        <w:t xml:space="preserve"> </w:t>
      </w:r>
      <w:r w:rsidRPr="00715EE7">
        <w:t>poskytnuty</w:t>
      </w:r>
      <w:r>
        <w:t xml:space="preserve"> </w:t>
      </w:r>
      <w:r w:rsidRPr="00715EE7">
        <w:t>k</w:t>
      </w:r>
      <w:r>
        <w:t xml:space="preserve"> </w:t>
      </w:r>
      <w:r w:rsidRPr="00715EE7">
        <w:t>humanitárním</w:t>
      </w:r>
      <w:r>
        <w:t xml:space="preserve"> </w:t>
      </w:r>
      <w:r w:rsidRPr="00715EE7">
        <w:t>účelům</w:t>
      </w:r>
      <w:r>
        <w:t xml:space="preserve"> </w:t>
      </w:r>
      <w:r w:rsidRPr="00715EE7">
        <w:t>za</w:t>
      </w:r>
      <w:r>
        <w:t xml:space="preserve"> </w:t>
      </w:r>
      <w:r w:rsidRPr="00715EE7">
        <w:t>podmínek</w:t>
      </w:r>
      <w:r>
        <w:t xml:space="preserve"> </w:t>
      </w:r>
      <w:r w:rsidRPr="00715EE7">
        <w:t>stanovených</w:t>
      </w:r>
      <w:r>
        <w:t xml:space="preserve"> </w:t>
      </w:r>
      <w:r w:rsidRPr="00715EE7">
        <w:t>tímto</w:t>
      </w:r>
      <w:r>
        <w:t xml:space="preserve"> </w:t>
      </w:r>
      <w:r w:rsidRPr="00715EE7">
        <w:t>zákonem</w:t>
      </w:r>
      <w:r>
        <w:t xml:space="preserve"> </w:t>
      </w:r>
      <w:r w:rsidRPr="00715EE7">
        <w:t>pouze</w:t>
      </w:r>
      <w:r>
        <w:t xml:space="preserve"> </w:t>
      </w:r>
      <w:r w:rsidRPr="00715EE7">
        <w:t>přejímajícím</w:t>
      </w:r>
      <w:r>
        <w:t xml:space="preserve"> </w:t>
      </w:r>
      <w:r w:rsidRPr="00715EE7">
        <w:t>organizacím,</w:t>
      </w:r>
      <w:r>
        <w:t xml:space="preserve"> </w:t>
      </w:r>
      <w:r w:rsidRPr="00715EE7">
        <w:t>jimiž</w:t>
      </w:r>
      <w:r>
        <w:t xml:space="preserve"> </w:t>
      </w:r>
      <w:r w:rsidRPr="00715EE7">
        <w:t>mohou</w:t>
      </w:r>
      <w:r>
        <w:t xml:space="preserve"> </w:t>
      </w:r>
      <w:r w:rsidRPr="00715EE7">
        <w:t>být</w:t>
      </w:r>
    </w:p>
    <w:p w14:paraId="24827FB6" w14:textId="0C4BF40C" w:rsidR="00FE34F9" w:rsidRDefault="00C11813" w:rsidP="00A06781">
      <w:pPr>
        <w:pStyle w:val="Textparagrafu"/>
        <w:keepNext/>
        <w:keepLines/>
        <w:numPr>
          <w:ilvl w:val="1"/>
          <w:numId w:val="2"/>
        </w:numPr>
        <w:tabs>
          <w:tab w:val="left" w:pos="426"/>
        </w:tabs>
        <w:spacing w:before="0"/>
        <w:ind w:left="425" w:hanging="425"/>
        <w:sectPr w:rsidR="00FE34F9" w:rsidSect="00F500B9">
          <w:footnotePr>
            <w:numStart w:val="2"/>
          </w:footnotePr>
          <w:type w:val="continuous"/>
          <w:pgSz w:w="11906" w:h="16838"/>
          <w:pgMar w:top="1417" w:right="1417" w:bottom="1417" w:left="1417" w:header="708" w:footer="708" w:gutter="0"/>
          <w:cols w:space="708"/>
          <w:docGrid w:linePitch="360"/>
        </w:sectPr>
      </w:pPr>
      <w:r w:rsidRPr="00715EE7">
        <w:t>a)</w:t>
      </w:r>
      <w:r w:rsidR="00251BD1">
        <w:tab/>
      </w:r>
      <w:r w:rsidRPr="00715EE7">
        <w:t>organizační</w:t>
      </w:r>
      <w:r>
        <w:t xml:space="preserve"> </w:t>
      </w:r>
      <w:r w:rsidRPr="00715EE7">
        <w:t>složky</w:t>
      </w:r>
      <w:r>
        <w:t xml:space="preserve"> </w:t>
      </w:r>
      <w:r w:rsidRPr="00715EE7">
        <w:t>a</w:t>
      </w:r>
      <w:r>
        <w:t xml:space="preserve"> </w:t>
      </w:r>
      <w:r w:rsidRPr="00715EE7">
        <w:t>příspěvkové</w:t>
      </w:r>
      <w:r>
        <w:t xml:space="preserve"> </w:t>
      </w:r>
      <w:r w:rsidRPr="00715EE7">
        <w:t>organizace</w:t>
      </w:r>
      <w:r>
        <w:t xml:space="preserve"> </w:t>
      </w:r>
      <w:r w:rsidRPr="00715EE7">
        <w:t>státu</w:t>
      </w:r>
      <w:r>
        <w:t xml:space="preserve"> </w:t>
      </w:r>
      <w:r w:rsidRPr="00715EE7">
        <w:t>nebo</w:t>
      </w:r>
      <w:r>
        <w:t xml:space="preserve"> </w:t>
      </w:r>
      <w:r w:rsidRPr="00715EE7">
        <w:t>územních</w:t>
      </w:r>
      <w:r>
        <w:t xml:space="preserve"> </w:t>
      </w:r>
      <w:r w:rsidRPr="00715EE7">
        <w:t>samosprávných</w:t>
      </w:r>
      <w:r>
        <w:t xml:space="preserve"> </w:t>
      </w:r>
      <w:r w:rsidRPr="00715EE7">
        <w:t>celků,</w:t>
      </w:r>
      <w:r>
        <w:t xml:space="preserve"> </w:t>
      </w:r>
      <w:r w:rsidRPr="00715EE7">
        <w:t>zřízené</w:t>
      </w:r>
      <w:r>
        <w:t xml:space="preserve"> </w:t>
      </w:r>
      <w:r w:rsidRPr="00715EE7">
        <w:t>za</w:t>
      </w:r>
      <w:r>
        <w:t xml:space="preserve"> </w:t>
      </w:r>
      <w:r w:rsidRPr="00715EE7">
        <w:t>účelem</w:t>
      </w:r>
      <w:r>
        <w:t xml:space="preserve"> </w:t>
      </w:r>
      <w:r w:rsidRPr="00715EE7">
        <w:t>poskytování</w:t>
      </w:r>
      <w:r>
        <w:t xml:space="preserve"> </w:t>
      </w:r>
      <w:r w:rsidRPr="00715EE7">
        <w:t>sociální</w:t>
      </w:r>
      <w:r>
        <w:t xml:space="preserve"> </w:t>
      </w:r>
      <w:r w:rsidRPr="00715EE7">
        <w:t>péče</w:t>
      </w:r>
      <w:r>
        <w:t xml:space="preserve"> </w:t>
      </w:r>
      <w:r w:rsidRPr="00715EE7">
        <w:t>nebo</w:t>
      </w:r>
      <w:r>
        <w:t xml:space="preserve"> </w:t>
      </w:r>
      <w:r w:rsidRPr="00715EE7">
        <w:t>působících</w:t>
      </w:r>
      <w:r>
        <w:t xml:space="preserve"> </w:t>
      </w:r>
      <w:r w:rsidRPr="00715EE7">
        <w:t>v</w:t>
      </w:r>
      <w:r>
        <w:t xml:space="preserve"> </w:t>
      </w:r>
      <w:r w:rsidRPr="00715EE7">
        <w:t>oblasti</w:t>
      </w:r>
      <w:r>
        <w:t xml:space="preserve"> </w:t>
      </w:r>
      <w:r w:rsidRPr="00715EE7">
        <w:t>zdravotnictví</w:t>
      </w:r>
      <w:r>
        <w:t xml:space="preserve"> </w:t>
      </w:r>
      <w:r w:rsidRPr="00715EE7">
        <w:t>nebo</w:t>
      </w:r>
      <w:r>
        <w:t xml:space="preserve"> </w:t>
      </w:r>
      <w:r w:rsidRPr="00715EE7">
        <w:t>školství,</w:t>
      </w:r>
    </w:p>
    <w:p w14:paraId="4E80EA78" w14:textId="7FD3AEAC" w:rsidR="00C11813" w:rsidRPr="00715EE7" w:rsidRDefault="004764C8" w:rsidP="00A06781">
      <w:pPr>
        <w:pStyle w:val="Textparagrafu"/>
        <w:keepNext/>
        <w:keepLines/>
        <w:tabs>
          <w:tab w:val="left" w:pos="426"/>
        </w:tabs>
        <w:spacing w:before="0"/>
        <w:ind w:left="425" w:hanging="425"/>
      </w:pPr>
      <w:r>
        <w:rPr>
          <w:rStyle w:val="Znakapoznpodarou"/>
        </w:rPr>
        <w:lastRenderedPageBreak/>
        <w:footnoteReference w:customMarkFollows="1" w:id="6"/>
        <w:t>3h)</w:t>
      </w:r>
      <w:r w:rsidRPr="004764C8">
        <w:t xml:space="preserve"> </w:t>
      </w:r>
      <w:r w:rsidR="00C11813" w:rsidRPr="00715EE7">
        <w:t>nebo</w:t>
      </w:r>
    </w:p>
    <w:p w14:paraId="42AFD602" w14:textId="568B17C3" w:rsidR="00C11813" w:rsidRPr="00715EE7" w:rsidRDefault="00C11813" w:rsidP="00A06781">
      <w:pPr>
        <w:pStyle w:val="Textparagrafu"/>
        <w:keepNext/>
        <w:keepLines/>
        <w:numPr>
          <w:ilvl w:val="0"/>
          <w:numId w:val="2"/>
        </w:numPr>
        <w:tabs>
          <w:tab w:val="left" w:pos="426"/>
        </w:tabs>
        <w:spacing w:before="0"/>
      </w:pPr>
      <w:r w:rsidRPr="00715EE7">
        <w:t>b)</w:t>
      </w:r>
      <w:r w:rsidR="00251BD1">
        <w:tab/>
      </w:r>
      <w:r w:rsidRPr="00715EE7">
        <w:t>jiné</w:t>
      </w:r>
      <w:r>
        <w:t xml:space="preserve"> </w:t>
      </w:r>
      <w:r w:rsidRPr="00715EE7">
        <w:t>právnické</w:t>
      </w:r>
      <w:r>
        <w:t xml:space="preserve"> </w:t>
      </w:r>
      <w:r w:rsidRPr="00715EE7">
        <w:t>osoby,</w:t>
      </w:r>
      <w:r w:rsidR="004764C8">
        <w:rPr>
          <w:rStyle w:val="Znakapoznpodarou"/>
        </w:rPr>
        <w:footnoteReference w:customMarkFollows="1" w:id="7"/>
        <w:t>3i)</w:t>
      </w:r>
      <w:r>
        <w:t xml:space="preserve"> </w:t>
      </w:r>
      <w:r w:rsidRPr="00715EE7">
        <w:t>pokud</w:t>
      </w:r>
      <w:r>
        <w:t xml:space="preserve"> </w:t>
      </w:r>
      <w:r w:rsidRPr="00715EE7">
        <w:t>splňují</w:t>
      </w:r>
      <w:r>
        <w:t xml:space="preserve"> </w:t>
      </w:r>
      <w:r w:rsidRPr="00715EE7">
        <w:t>následující</w:t>
      </w:r>
      <w:r>
        <w:t xml:space="preserve"> </w:t>
      </w:r>
      <w:r w:rsidRPr="00715EE7">
        <w:t>podmínky:</w:t>
      </w:r>
    </w:p>
    <w:p w14:paraId="6EB1F173" w14:textId="10E90C60" w:rsidR="00C11813" w:rsidRPr="00715EE7" w:rsidRDefault="00C11813" w:rsidP="00CA261D">
      <w:pPr>
        <w:pStyle w:val="Textparagrafu"/>
        <w:tabs>
          <w:tab w:val="left" w:pos="426"/>
          <w:tab w:val="left" w:pos="812"/>
        </w:tabs>
        <w:spacing w:before="0"/>
        <w:ind w:left="426" w:firstLine="0"/>
      </w:pPr>
      <w:r w:rsidRPr="00715EE7">
        <w:t>1.</w:t>
      </w:r>
      <w:r w:rsidR="00CA261D">
        <w:tab/>
      </w:r>
      <w:r w:rsidRPr="00715EE7">
        <w:t>nebyly</w:t>
      </w:r>
      <w:r>
        <w:t xml:space="preserve"> </w:t>
      </w:r>
      <w:r w:rsidRPr="00715EE7">
        <w:t>zřízeny</w:t>
      </w:r>
      <w:r>
        <w:t xml:space="preserve"> </w:t>
      </w:r>
      <w:r w:rsidRPr="00715EE7">
        <w:t>za</w:t>
      </w:r>
      <w:r>
        <w:t xml:space="preserve"> </w:t>
      </w:r>
      <w:r w:rsidRPr="00715EE7">
        <w:t>účelem</w:t>
      </w:r>
      <w:r>
        <w:t xml:space="preserve"> </w:t>
      </w:r>
      <w:r w:rsidRPr="00715EE7">
        <w:t>podnikání,</w:t>
      </w:r>
    </w:p>
    <w:p w14:paraId="3B88CA1B" w14:textId="4527F48B" w:rsidR="00C11813" w:rsidRPr="00715EE7" w:rsidRDefault="00C11813" w:rsidP="00CA261D">
      <w:pPr>
        <w:pStyle w:val="Textparagrafu"/>
        <w:tabs>
          <w:tab w:val="left" w:pos="426"/>
          <w:tab w:val="left" w:pos="812"/>
        </w:tabs>
        <w:spacing w:before="0"/>
        <w:ind w:left="426" w:firstLine="0"/>
      </w:pPr>
      <w:r w:rsidRPr="00715EE7">
        <w:t>2.</w:t>
      </w:r>
      <w:r w:rsidR="00CA261D">
        <w:tab/>
      </w:r>
      <w:r w:rsidRPr="00715EE7">
        <w:t>předmětem</w:t>
      </w:r>
      <w:r>
        <w:t xml:space="preserve"> </w:t>
      </w:r>
      <w:r w:rsidRPr="00715EE7">
        <w:t>jejich</w:t>
      </w:r>
      <w:r>
        <w:t xml:space="preserve"> </w:t>
      </w:r>
      <w:r w:rsidRPr="00715EE7">
        <w:t>činnosti</w:t>
      </w:r>
      <w:r>
        <w:t xml:space="preserve"> </w:t>
      </w:r>
      <w:r w:rsidRPr="00715EE7">
        <w:t>je</w:t>
      </w:r>
      <w:r>
        <w:t xml:space="preserve"> </w:t>
      </w:r>
      <w:r w:rsidRPr="00715EE7">
        <w:t>pouze</w:t>
      </w:r>
      <w:r>
        <w:t xml:space="preserve"> </w:t>
      </w:r>
      <w:r w:rsidRPr="00715EE7">
        <w:t>činnost</w:t>
      </w:r>
      <w:r>
        <w:t xml:space="preserve"> </w:t>
      </w:r>
      <w:r w:rsidRPr="00715EE7">
        <w:t>v</w:t>
      </w:r>
      <w:r>
        <w:t xml:space="preserve"> </w:t>
      </w:r>
      <w:r w:rsidRPr="00715EE7">
        <w:t>oblastech</w:t>
      </w:r>
      <w:r>
        <w:t xml:space="preserve"> </w:t>
      </w:r>
      <w:r w:rsidRPr="00715EE7">
        <w:t>uvedených</w:t>
      </w:r>
      <w:r>
        <w:t xml:space="preserve"> </w:t>
      </w:r>
      <w:r w:rsidRPr="00715EE7">
        <w:t>v</w:t>
      </w:r>
      <w:r>
        <w:t xml:space="preserve"> </w:t>
      </w:r>
      <w:r w:rsidRPr="00715EE7">
        <w:t>písmenu</w:t>
      </w:r>
      <w:r>
        <w:t xml:space="preserve"> </w:t>
      </w:r>
      <w:r w:rsidRPr="00715EE7">
        <w:t>a),</w:t>
      </w:r>
    </w:p>
    <w:p w14:paraId="09BE3512" w14:textId="4F028F86" w:rsidR="00C11813" w:rsidRPr="00715EE7" w:rsidRDefault="00C11813" w:rsidP="00CA261D">
      <w:pPr>
        <w:pStyle w:val="Textparagrafu"/>
        <w:tabs>
          <w:tab w:val="left" w:pos="426"/>
          <w:tab w:val="left" w:pos="812"/>
        </w:tabs>
        <w:spacing w:before="0"/>
        <w:ind w:left="426" w:firstLine="0"/>
      </w:pPr>
      <w:r w:rsidRPr="00715EE7">
        <w:t>3.</w:t>
      </w:r>
      <w:r w:rsidR="00CA261D">
        <w:tab/>
      </w:r>
      <w:r w:rsidRPr="00715EE7">
        <w:t>poskytují</w:t>
      </w:r>
      <w:r>
        <w:t xml:space="preserve"> </w:t>
      </w:r>
      <w:r w:rsidRPr="00715EE7">
        <w:t>humanitární</w:t>
      </w:r>
      <w:r>
        <w:t xml:space="preserve"> </w:t>
      </w:r>
      <w:r w:rsidRPr="00715EE7">
        <w:t>pomoc</w:t>
      </w:r>
      <w:r>
        <w:t xml:space="preserve"> </w:t>
      </w:r>
      <w:r w:rsidRPr="00715EE7">
        <w:t>nejméně</w:t>
      </w:r>
      <w:r>
        <w:t xml:space="preserve"> </w:t>
      </w:r>
      <w:r w:rsidRPr="00715EE7">
        <w:t>2</w:t>
      </w:r>
      <w:r>
        <w:t xml:space="preserve"> </w:t>
      </w:r>
      <w:r w:rsidRPr="00715EE7">
        <w:t>roky,</w:t>
      </w:r>
      <w:r>
        <w:t xml:space="preserve"> </w:t>
      </w:r>
      <w:r w:rsidRPr="00715EE7">
        <w:t>a</w:t>
      </w:r>
    </w:p>
    <w:p w14:paraId="61069D0C" w14:textId="782E4F68" w:rsidR="00C11813" w:rsidRDefault="00C11813" w:rsidP="00CA261D">
      <w:pPr>
        <w:pStyle w:val="Textparagrafu"/>
        <w:tabs>
          <w:tab w:val="left" w:pos="426"/>
          <w:tab w:val="left" w:pos="812"/>
        </w:tabs>
        <w:spacing w:before="0"/>
        <w:ind w:left="812" w:hanging="387"/>
      </w:pPr>
      <w:r w:rsidRPr="00715EE7">
        <w:t>4.</w:t>
      </w:r>
      <w:r w:rsidR="00CA261D">
        <w:tab/>
      </w:r>
      <w:r w:rsidRPr="00715EE7">
        <w:t>doloží,</w:t>
      </w:r>
      <w:r>
        <w:t xml:space="preserve"> </w:t>
      </w:r>
      <w:r w:rsidRPr="00715EE7">
        <w:t>že</w:t>
      </w:r>
      <w:r>
        <w:t xml:space="preserve"> </w:t>
      </w:r>
      <w:r w:rsidRPr="00715EE7">
        <w:t>nemají</w:t>
      </w:r>
      <w:r>
        <w:t xml:space="preserve"> </w:t>
      </w:r>
      <w:r w:rsidRPr="00715EE7">
        <w:t>daňové</w:t>
      </w:r>
      <w:r>
        <w:t xml:space="preserve"> </w:t>
      </w:r>
      <w:r w:rsidRPr="00715EE7">
        <w:t>nedoplatky</w:t>
      </w:r>
      <w:r>
        <w:t xml:space="preserve"> </w:t>
      </w:r>
      <w:r w:rsidRPr="00715EE7">
        <w:t>nebo</w:t>
      </w:r>
      <w:r>
        <w:t xml:space="preserve"> </w:t>
      </w:r>
      <w:r w:rsidRPr="00715EE7">
        <w:t>nedoplatky</w:t>
      </w:r>
      <w:r>
        <w:t xml:space="preserve"> </w:t>
      </w:r>
      <w:r w:rsidRPr="00715EE7">
        <w:t>na</w:t>
      </w:r>
      <w:r>
        <w:t xml:space="preserve"> </w:t>
      </w:r>
      <w:r w:rsidRPr="00715EE7">
        <w:t>platbách</w:t>
      </w:r>
      <w:r>
        <w:t xml:space="preserve"> </w:t>
      </w:r>
      <w:r w:rsidRPr="00715EE7">
        <w:t>pojistného</w:t>
      </w:r>
      <w:r>
        <w:t xml:space="preserve"> </w:t>
      </w:r>
      <w:r w:rsidRPr="00715EE7">
        <w:t>na</w:t>
      </w:r>
      <w:r>
        <w:t xml:space="preserve"> </w:t>
      </w:r>
      <w:r w:rsidRPr="00715EE7">
        <w:t>sociální</w:t>
      </w:r>
      <w:r>
        <w:t xml:space="preserve"> </w:t>
      </w:r>
      <w:r w:rsidRPr="00715EE7">
        <w:t>zabezpečení</w:t>
      </w:r>
      <w:r>
        <w:t xml:space="preserve"> </w:t>
      </w:r>
      <w:r w:rsidRPr="00715EE7">
        <w:t>a</w:t>
      </w:r>
      <w:r>
        <w:t xml:space="preserve"> </w:t>
      </w:r>
      <w:r w:rsidRPr="00715EE7">
        <w:t>příspěvku</w:t>
      </w:r>
      <w:r>
        <w:t xml:space="preserve"> </w:t>
      </w:r>
      <w:r w:rsidRPr="00715EE7">
        <w:t>na</w:t>
      </w:r>
      <w:r>
        <w:t xml:space="preserve"> </w:t>
      </w:r>
      <w:r w:rsidRPr="00715EE7">
        <w:t>státní</w:t>
      </w:r>
      <w:r>
        <w:t xml:space="preserve"> </w:t>
      </w:r>
      <w:r w:rsidRPr="00715EE7">
        <w:t>politiku</w:t>
      </w:r>
      <w:r>
        <w:t xml:space="preserve"> </w:t>
      </w:r>
      <w:r w:rsidRPr="00715EE7">
        <w:t>zaměstnanosti,</w:t>
      </w:r>
      <w:r>
        <w:t xml:space="preserve"> </w:t>
      </w:r>
      <w:r w:rsidRPr="00715EE7">
        <w:t>a</w:t>
      </w:r>
      <w:r>
        <w:t xml:space="preserve"> </w:t>
      </w:r>
      <w:r w:rsidRPr="00715EE7">
        <w:t>není-li</w:t>
      </w:r>
      <w:r>
        <w:t xml:space="preserve"> </w:t>
      </w:r>
      <w:r w:rsidRPr="00715EE7">
        <w:t>proti</w:t>
      </w:r>
      <w:r>
        <w:t xml:space="preserve"> </w:t>
      </w:r>
      <w:r w:rsidRPr="00715EE7">
        <w:t>nim</w:t>
      </w:r>
      <w:r>
        <w:t xml:space="preserve"> </w:t>
      </w:r>
      <w:r w:rsidRPr="00715EE7">
        <w:t>vedeno</w:t>
      </w:r>
      <w:r>
        <w:t xml:space="preserve"> </w:t>
      </w:r>
      <w:r w:rsidRPr="00715EE7">
        <w:t>soudní</w:t>
      </w:r>
      <w:r>
        <w:t xml:space="preserve"> </w:t>
      </w:r>
      <w:r w:rsidRPr="00715EE7">
        <w:t>řízení.</w:t>
      </w:r>
    </w:p>
    <w:p w14:paraId="55C3C753" w14:textId="77777777" w:rsidR="00C11813" w:rsidRDefault="00C11813" w:rsidP="00A06781">
      <w:pPr>
        <w:pStyle w:val="Textparagrafu"/>
        <w:numPr>
          <w:ilvl w:val="0"/>
          <w:numId w:val="2"/>
        </w:numPr>
        <w:spacing w:before="120" w:after="120"/>
        <w:ind w:firstLine="425"/>
      </w:pPr>
      <w:r w:rsidRPr="00715EE7">
        <w:t>(9)</w:t>
      </w:r>
      <w:r>
        <w:t xml:space="preserve"> </w:t>
      </w:r>
      <w:r w:rsidRPr="00715EE7">
        <w:t>Pro</w:t>
      </w:r>
      <w:r>
        <w:t xml:space="preserve"> </w:t>
      </w:r>
      <w:r w:rsidRPr="00715EE7">
        <w:t>humanitární</w:t>
      </w:r>
      <w:r>
        <w:t xml:space="preserve"> </w:t>
      </w:r>
      <w:r w:rsidRPr="00715EE7">
        <w:t>účely</w:t>
      </w:r>
      <w:r>
        <w:t xml:space="preserve"> </w:t>
      </w:r>
      <w:r w:rsidRPr="00715EE7">
        <w:t>mohou</w:t>
      </w:r>
      <w:r>
        <w:t xml:space="preserve"> </w:t>
      </w:r>
      <w:r w:rsidRPr="00715EE7">
        <w:t>být</w:t>
      </w:r>
      <w:r>
        <w:t xml:space="preserve"> </w:t>
      </w:r>
      <w:r w:rsidRPr="00715EE7">
        <w:t>poskytnuty</w:t>
      </w:r>
      <w:r>
        <w:t xml:space="preserve"> </w:t>
      </w:r>
      <w:r w:rsidRPr="00715EE7">
        <w:t>výrobky,</w:t>
      </w:r>
      <w:r>
        <w:t xml:space="preserve"> </w:t>
      </w:r>
      <w:r w:rsidRPr="00715EE7">
        <w:t>které</w:t>
      </w:r>
      <w:r>
        <w:t xml:space="preserve"> </w:t>
      </w:r>
      <w:r w:rsidRPr="00715EE7">
        <w:t>nejsou</w:t>
      </w:r>
      <w:r>
        <w:t xml:space="preserve"> </w:t>
      </w:r>
      <w:r w:rsidRPr="00715EE7">
        <w:t>zdravotně</w:t>
      </w:r>
      <w:r>
        <w:t xml:space="preserve"> </w:t>
      </w:r>
      <w:r w:rsidRPr="00715EE7">
        <w:t>závadné,</w:t>
      </w:r>
      <w:r>
        <w:t xml:space="preserve"> </w:t>
      </w:r>
      <w:r w:rsidRPr="00715EE7">
        <w:t>jsou</w:t>
      </w:r>
      <w:r>
        <w:t xml:space="preserve"> </w:t>
      </w:r>
      <w:r w:rsidRPr="00715EE7">
        <w:t>bezpečné</w:t>
      </w:r>
      <w:r>
        <w:t xml:space="preserve"> </w:t>
      </w:r>
      <w:r w:rsidRPr="00715EE7">
        <w:t>a</w:t>
      </w:r>
      <w:r>
        <w:t xml:space="preserve"> </w:t>
      </w:r>
      <w:r w:rsidRPr="00715EE7">
        <w:t>ze</w:t>
      </w:r>
      <w:r>
        <w:t xml:space="preserve"> </w:t>
      </w:r>
      <w:r w:rsidRPr="00715EE7">
        <w:t>kterých</w:t>
      </w:r>
      <w:r>
        <w:t xml:space="preserve"> </w:t>
      </w:r>
      <w:r w:rsidRPr="00715EE7">
        <w:t>byly</w:t>
      </w:r>
      <w:r>
        <w:t xml:space="preserve"> </w:t>
      </w:r>
      <w:r w:rsidRPr="00715EE7">
        <w:t>přejímající</w:t>
      </w:r>
      <w:r>
        <w:t xml:space="preserve"> </w:t>
      </w:r>
      <w:r w:rsidRPr="00715EE7">
        <w:t>organizací</w:t>
      </w:r>
      <w:r>
        <w:t xml:space="preserve"> </w:t>
      </w:r>
      <w:r w:rsidRPr="00715EE7">
        <w:t>beze</w:t>
      </w:r>
      <w:r>
        <w:t xml:space="preserve"> </w:t>
      </w:r>
      <w:r w:rsidRPr="00715EE7">
        <w:t>zbytku</w:t>
      </w:r>
      <w:r>
        <w:t xml:space="preserve"> </w:t>
      </w:r>
      <w:r w:rsidRPr="00715EE7">
        <w:t>odstraněny</w:t>
      </w:r>
      <w:r>
        <w:t xml:space="preserve"> </w:t>
      </w:r>
      <w:r w:rsidRPr="00715EE7">
        <w:t>a</w:t>
      </w:r>
      <w:r>
        <w:t xml:space="preserve"> </w:t>
      </w:r>
      <w:r w:rsidRPr="00715EE7">
        <w:t>zničeny</w:t>
      </w:r>
      <w:r>
        <w:t xml:space="preserve"> </w:t>
      </w:r>
      <w:r w:rsidRPr="00715EE7">
        <w:t>prvky</w:t>
      </w:r>
      <w:r>
        <w:t xml:space="preserve"> </w:t>
      </w:r>
      <w:r w:rsidRPr="00715EE7">
        <w:t>porušující</w:t>
      </w:r>
      <w:r>
        <w:t xml:space="preserve"> </w:t>
      </w:r>
      <w:r w:rsidRPr="00715EE7">
        <w:t>práva</w:t>
      </w:r>
      <w:r>
        <w:t xml:space="preserve"> </w:t>
      </w:r>
      <w:r w:rsidRPr="00715EE7">
        <w:t>duševního</w:t>
      </w:r>
      <w:r>
        <w:t xml:space="preserve"> </w:t>
      </w:r>
      <w:r w:rsidRPr="00715EE7">
        <w:t>vlastnictví.</w:t>
      </w:r>
    </w:p>
    <w:p w14:paraId="52C29F8E" w14:textId="608FBFBC" w:rsidR="00C11813" w:rsidRDefault="00C11813" w:rsidP="00A06781">
      <w:pPr>
        <w:pStyle w:val="Textparagrafu"/>
        <w:numPr>
          <w:ilvl w:val="0"/>
          <w:numId w:val="2"/>
        </w:numPr>
        <w:spacing w:before="120" w:after="120"/>
        <w:ind w:firstLine="425"/>
      </w:pPr>
      <w:r w:rsidRPr="00715EE7">
        <w:t>(10)</w:t>
      </w:r>
      <w:r>
        <w:t xml:space="preserve"> </w:t>
      </w:r>
      <w:r w:rsidRPr="00715EE7">
        <w:t>O</w:t>
      </w:r>
      <w:r>
        <w:t xml:space="preserve"> </w:t>
      </w:r>
      <w:r w:rsidRPr="00715EE7">
        <w:t>poskytnutí</w:t>
      </w:r>
      <w:r>
        <w:t xml:space="preserve"> </w:t>
      </w:r>
      <w:r w:rsidRPr="00715EE7">
        <w:t>výrobku</w:t>
      </w:r>
      <w:r>
        <w:t xml:space="preserve"> </w:t>
      </w:r>
      <w:r w:rsidRPr="00715EE7">
        <w:t>k</w:t>
      </w:r>
      <w:r>
        <w:t xml:space="preserve"> </w:t>
      </w:r>
      <w:r w:rsidRPr="00715EE7">
        <w:t>humanitárním</w:t>
      </w:r>
      <w:r>
        <w:t xml:space="preserve"> </w:t>
      </w:r>
      <w:r w:rsidRPr="00715EE7">
        <w:t>účelům</w:t>
      </w:r>
      <w:r>
        <w:t xml:space="preserve"> </w:t>
      </w:r>
      <w:r w:rsidRPr="00715EE7">
        <w:t>uzavře</w:t>
      </w:r>
      <w:r>
        <w:t xml:space="preserve"> </w:t>
      </w:r>
      <w:r w:rsidRPr="00715EE7">
        <w:t>Česká</w:t>
      </w:r>
      <w:r>
        <w:t xml:space="preserve"> </w:t>
      </w:r>
      <w:r w:rsidRPr="00715EE7">
        <w:t>obchodní</w:t>
      </w:r>
      <w:r>
        <w:t xml:space="preserve"> </w:t>
      </w:r>
      <w:r w:rsidRPr="00715EE7">
        <w:t>inspekce</w:t>
      </w:r>
      <w:r>
        <w:t xml:space="preserve"> </w:t>
      </w:r>
      <w:r w:rsidRPr="00715EE7">
        <w:t>a</w:t>
      </w:r>
      <w:r>
        <w:t xml:space="preserve"> </w:t>
      </w:r>
      <w:r w:rsidRPr="00715EE7">
        <w:t>přejímající</w:t>
      </w:r>
      <w:r>
        <w:t xml:space="preserve"> </w:t>
      </w:r>
      <w:r w:rsidRPr="00715EE7">
        <w:t>organizace</w:t>
      </w:r>
      <w:r>
        <w:t xml:space="preserve"> </w:t>
      </w:r>
      <w:r w:rsidRPr="00715EE7">
        <w:t>písemnou</w:t>
      </w:r>
      <w:r>
        <w:t xml:space="preserve"> </w:t>
      </w:r>
      <w:r w:rsidRPr="00715EE7">
        <w:t>smlouvu,</w:t>
      </w:r>
      <w:r w:rsidR="004764C8">
        <w:rPr>
          <w:rStyle w:val="Znakapoznpodarou"/>
        </w:rPr>
        <w:footnoteReference w:customMarkFollows="1" w:id="8"/>
        <w:t>3j)</w:t>
      </w:r>
      <w:r>
        <w:t xml:space="preserve"> </w:t>
      </w:r>
      <w:r w:rsidRPr="00715EE7">
        <w:t>která</w:t>
      </w:r>
      <w:r>
        <w:t xml:space="preserve"> </w:t>
      </w:r>
      <w:r w:rsidRPr="00715EE7">
        <w:t>musí</w:t>
      </w:r>
      <w:r>
        <w:t xml:space="preserve"> </w:t>
      </w:r>
      <w:r w:rsidRPr="00715EE7">
        <w:t>kromě</w:t>
      </w:r>
      <w:r>
        <w:t xml:space="preserve"> </w:t>
      </w:r>
      <w:r w:rsidRPr="00715EE7">
        <w:t>obvyklých</w:t>
      </w:r>
      <w:r>
        <w:t xml:space="preserve"> </w:t>
      </w:r>
      <w:r w:rsidRPr="00715EE7">
        <w:t>podstatných</w:t>
      </w:r>
      <w:r>
        <w:t xml:space="preserve"> </w:t>
      </w:r>
      <w:r w:rsidRPr="00715EE7">
        <w:t>náležitostí</w:t>
      </w:r>
      <w:r>
        <w:t xml:space="preserve"> </w:t>
      </w:r>
      <w:r w:rsidRPr="00715EE7">
        <w:t>obsahovat</w:t>
      </w:r>
      <w:r>
        <w:t xml:space="preserve"> </w:t>
      </w:r>
      <w:r w:rsidRPr="00715EE7">
        <w:t>vždy</w:t>
      </w:r>
      <w:r>
        <w:t xml:space="preserve"> </w:t>
      </w:r>
      <w:r w:rsidRPr="00715EE7">
        <w:t>druh</w:t>
      </w:r>
      <w:r>
        <w:t xml:space="preserve"> </w:t>
      </w:r>
      <w:r w:rsidRPr="00715EE7">
        <w:t>a</w:t>
      </w:r>
      <w:r>
        <w:t xml:space="preserve"> </w:t>
      </w:r>
      <w:r w:rsidRPr="00715EE7">
        <w:t>množství</w:t>
      </w:r>
      <w:r>
        <w:t xml:space="preserve"> </w:t>
      </w:r>
      <w:r w:rsidRPr="00715EE7">
        <w:t>poskytnutých</w:t>
      </w:r>
      <w:r>
        <w:t xml:space="preserve"> </w:t>
      </w:r>
      <w:r w:rsidRPr="00715EE7">
        <w:t>výrobků</w:t>
      </w:r>
      <w:r>
        <w:t xml:space="preserve"> </w:t>
      </w:r>
      <w:r w:rsidRPr="00715EE7">
        <w:t>a</w:t>
      </w:r>
      <w:r>
        <w:t xml:space="preserve"> </w:t>
      </w:r>
      <w:r w:rsidRPr="00715EE7">
        <w:t>dále</w:t>
      </w:r>
      <w:r>
        <w:t xml:space="preserve"> </w:t>
      </w:r>
      <w:r w:rsidRPr="00715EE7">
        <w:t>ustanovení</w:t>
      </w:r>
      <w:r>
        <w:t xml:space="preserve"> </w:t>
      </w:r>
      <w:r w:rsidRPr="00715EE7">
        <w:t>o</w:t>
      </w:r>
      <w:r>
        <w:t xml:space="preserve"> </w:t>
      </w:r>
      <w:r w:rsidRPr="00715EE7">
        <w:t>smluvní</w:t>
      </w:r>
      <w:r>
        <w:t xml:space="preserve"> </w:t>
      </w:r>
      <w:r w:rsidRPr="00715EE7">
        <w:t>pokutě</w:t>
      </w:r>
      <w:r>
        <w:t xml:space="preserve"> </w:t>
      </w:r>
      <w:r w:rsidRPr="00715EE7">
        <w:t>pro</w:t>
      </w:r>
      <w:r>
        <w:t xml:space="preserve"> </w:t>
      </w:r>
      <w:r w:rsidRPr="00715EE7">
        <w:t>případ</w:t>
      </w:r>
      <w:r>
        <w:t xml:space="preserve"> </w:t>
      </w:r>
      <w:r w:rsidRPr="00715EE7">
        <w:t>porušení</w:t>
      </w:r>
      <w:r>
        <w:t xml:space="preserve"> </w:t>
      </w:r>
      <w:r w:rsidRPr="00715EE7">
        <w:t>závazku</w:t>
      </w:r>
      <w:r>
        <w:t xml:space="preserve"> </w:t>
      </w:r>
      <w:r w:rsidRPr="00715EE7">
        <w:t>o</w:t>
      </w:r>
      <w:r>
        <w:t xml:space="preserve"> </w:t>
      </w:r>
      <w:r w:rsidRPr="00715EE7">
        <w:t>pos</w:t>
      </w:r>
      <w:bookmarkStart w:id="2" w:name="_GoBack"/>
      <w:bookmarkEnd w:id="2"/>
      <w:r w:rsidRPr="00715EE7">
        <w:t>kytnutí</w:t>
      </w:r>
      <w:r>
        <w:t xml:space="preserve"> </w:t>
      </w:r>
      <w:r w:rsidRPr="00715EE7">
        <w:t>výrobku</w:t>
      </w:r>
      <w:r>
        <w:t xml:space="preserve"> </w:t>
      </w:r>
      <w:r w:rsidRPr="00715EE7">
        <w:t>výhradně</w:t>
      </w:r>
      <w:r>
        <w:t xml:space="preserve"> </w:t>
      </w:r>
      <w:r w:rsidRPr="00715EE7">
        <w:t>pro</w:t>
      </w:r>
      <w:r>
        <w:t xml:space="preserve"> </w:t>
      </w:r>
      <w:r w:rsidRPr="00715EE7">
        <w:t>humanitární</w:t>
      </w:r>
      <w:r>
        <w:t xml:space="preserve"> </w:t>
      </w:r>
      <w:r w:rsidRPr="00715EE7">
        <w:t>účely</w:t>
      </w:r>
      <w:r>
        <w:t xml:space="preserve"> </w:t>
      </w:r>
      <w:r w:rsidRPr="00715EE7">
        <w:t>a</w:t>
      </w:r>
      <w:r>
        <w:t xml:space="preserve"> </w:t>
      </w:r>
      <w:r w:rsidRPr="00715EE7">
        <w:t>konkrétní</w:t>
      </w:r>
      <w:r>
        <w:t xml:space="preserve"> </w:t>
      </w:r>
      <w:r w:rsidRPr="00715EE7">
        <w:t>účel,</w:t>
      </w:r>
      <w:r>
        <w:t xml:space="preserve"> </w:t>
      </w:r>
      <w:r w:rsidRPr="00715EE7">
        <w:t>k</w:t>
      </w:r>
      <w:r>
        <w:t xml:space="preserve"> </w:t>
      </w:r>
      <w:r w:rsidRPr="00715EE7">
        <w:t>jakému</w:t>
      </w:r>
      <w:r>
        <w:t xml:space="preserve"> </w:t>
      </w:r>
      <w:r w:rsidRPr="00715EE7">
        <w:t>je</w:t>
      </w:r>
      <w:r>
        <w:t xml:space="preserve"> </w:t>
      </w:r>
      <w:r w:rsidRPr="00715EE7">
        <w:t>přejímající</w:t>
      </w:r>
      <w:r>
        <w:t xml:space="preserve"> </w:t>
      </w:r>
      <w:r w:rsidRPr="00715EE7">
        <w:t>organizace</w:t>
      </w:r>
      <w:r>
        <w:t xml:space="preserve"> </w:t>
      </w:r>
      <w:r w:rsidRPr="00715EE7">
        <w:t>použije;</w:t>
      </w:r>
      <w:r>
        <w:t xml:space="preserve"> </w:t>
      </w:r>
      <w:r w:rsidRPr="00715EE7">
        <w:t>změnou</w:t>
      </w:r>
      <w:r>
        <w:t xml:space="preserve"> </w:t>
      </w:r>
      <w:r w:rsidRPr="00715EE7">
        <w:t>smlouvy</w:t>
      </w:r>
      <w:r>
        <w:t xml:space="preserve"> </w:t>
      </w:r>
      <w:r w:rsidRPr="00715EE7">
        <w:t>lze</w:t>
      </w:r>
      <w:r>
        <w:t xml:space="preserve"> </w:t>
      </w:r>
      <w:r w:rsidRPr="00715EE7">
        <w:t>tento</w:t>
      </w:r>
      <w:r>
        <w:t xml:space="preserve"> </w:t>
      </w:r>
      <w:r w:rsidRPr="00715EE7">
        <w:t>účel</w:t>
      </w:r>
      <w:r>
        <w:t xml:space="preserve"> </w:t>
      </w:r>
      <w:r w:rsidRPr="00715EE7">
        <w:t>změnit,</w:t>
      </w:r>
      <w:r>
        <w:t xml:space="preserve"> </w:t>
      </w:r>
      <w:r w:rsidRPr="00715EE7">
        <w:t>při</w:t>
      </w:r>
      <w:r>
        <w:t xml:space="preserve"> </w:t>
      </w:r>
      <w:r w:rsidRPr="00715EE7">
        <w:t>zachování</w:t>
      </w:r>
      <w:r>
        <w:t xml:space="preserve"> </w:t>
      </w:r>
      <w:r w:rsidRPr="00715EE7">
        <w:t>souladu</w:t>
      </w:r>
      <w:r>
        <w:t xml:space="preserve"> </w:t>
      </w:r>
      <w:r w:rsidRPr="00715EE7">
        <w:t>s</w:t>
      </w:r>
      <w:r>
        <w:t xml:space="preserve"> </w:t>
      </w:r>
      <w:r w:rsidRPr="00715EE7">
        <w:t>tímto</w:t>
      </w:r>
      <w:r>
        <w:t xml:space="preserve"> </w:t>
      </w:r>
      <w:r w:rsidRPr="00715EE7">
        <w:t>zákonem.</w:t>
      </w:r>
      <w:r>
        <w:t xml:space="preserve"> </w:t>
      </w:r>
      <w:r w:rsidRPr="00715EE7">
        <w:t>Výrobky</w:t>
      </w:r>
      <w:r>
        <w:t xml:space="preserve"> </w:t>
      </w:r>
      <w:r w:rsidRPr="00715EE7">
        <w:t>budou</w:t>
      </w:r>
      <w:r>
        <w:t xml:space="preserve"> </w:t>
      </w:r>
      <w:r w:rsidRPr="00715EE7">
        <w:t>poskytovány</w:t>
      </w:r>
      <w:r>
        <w:t xml:space="preserve"> </w:t>
      </w:r>
      <w:r w:rsidRPr="00715EE7">
        <w:t>přejímajícím</w:t>
      </w:r>
      <w:r>
        <w:t xml:space="preserve"> </w:t>
      </w:r>
      <w:r w:rsidRPr="00715EE7">
        <w:t>organizacím</w:t>
      </w:r>
      <w:r>
        <w:t xml:space="preserve"> </w:t>
      </w:r>
      <w:r w:rsidRPr="00715EE7">
        <w:t>podle</w:t>
      </w:r>
      <w:r>
        <w:t xml:space="preserve"> </w:t>
      </w:r>
      <w:r w:rsidRPr="00715EE7">
        <w:t>pořadí</w:t>
      </w:r>
      <w:r>
        <w:t xml:space="preserve"> </w:t>
      </w:r>
      <w:r w:rsidRPr="00715EE7">
        <w:t>došlých</w:t>
      </w:r>
      <w:r>
        <w:t xml:space="preserve"> </w:t>
      </w:r>
      <w:r w:rsidRPr="00715EE7">
        <w:t>žádostí</w:t>
      </w:r>
      <w:r>
        <w:t xml:space="preserve"> </w:t>
      </w:r>
      <w:r w:rsidRPr="00715EE7">
        <w:t>a</w:t>
      </w:r>
      <w:r>
        <w:t xml:space="preserve"> </w:t>
      </w:r>
      <w:r w:rsidRPr="00715EE7">
        <w:t>s</w:t>
      </w:r>
      <w:r>
        <w:t xml:space="preserve"> </w:t>
      </w:r>
      <w:r w:rsidRPr="00715EE7">
        <w:t>přihlédnutím</w:t>
      </w:r>
      <w:r>
        <w:t xml:space="preserve"> </w:t>
      </w:r>
      <w:r w:rsidRPr="00715EE7">
        <w:t>k</w:t>
      </w:r>
      <w:r>
        <w:t xml:space="preserve"> </w:t>
      </w:r>
      <w:r w:rsidRPr="00715EE7">
        <w:t>účelnosti</w:t>
      </w:r>
      <w:r>
        <w:t xml:space="preserve"> </w:t>
      </w:r>
      <w:r w:rsidRPr="00715EE7">
        <w:t>využití</w:t>
      </w:r>
      <w:r>
        <w:t xml:space="preserve"> </w:t>
      </w:r>
      <w:r w:rsidRPr="00715EE7">
        <w:t>nebo</w:t>
      </w:r>
      <w:r>
        <w:t xml:space="preserve"> </w:t>
      </w:r>
      <w:r w:rsidRPr="00715EE7">
        <w:t>naléhavosti</w:t>
      </w:r>
      <w:r>
        <w:t xml:space="preserve"> </w:t>
      </w:r>
      <w:r w:rsidRPr="00715EE7">
        <w:t>potřeb.</w:t>
      </w:r>
      <w:r>
        <w:t xml:space="preserve"> </w:t>
      </w:r>
      <w:r w:rsidRPr="00715EE7">
        <w:t>Odstranění</w:t>
      </w:r>
      <w:r>
        <w:t xml:space="preserve"> </w:t>
      </w:r>
      <w:r w:rsidRPr="00715EE7">
        <w:t>prvků</w:t>
      </w:r>
      <w:r>
        <w:t xml:space="preserve"> </w:t>
      </w:r>
      <w:r w:rsidRPr="00715EE7">
        <w:t>porušujících</w:t>
      </w:r>
      <w:r>
        <w:t xml:space="preserve"> </w:t>
      </w:r>
      <w:r w:rsidRPr="00715EE7">
        <w:t>práva</w:t>
      </w:r>
      <w:r>
        <w:t xml:space="preserve"> </w:t>
      </w:r>
      <w:r w:rsidRPr="00715EE7">
        <w:t>duševního</w:t>
      </w:r>
      <w:r>
        <w:t xml:space="preserve"> </w:t>
      </w:r>
      <w:r w:rsidRPr="00715EE7">
        <w:t>vlastnictví,</w:t>
      </w:r>
      <w:r>
        <w:t xml:space="preserve"> </w:t>
      </w:r>
      <w:r w:rsidRPr="00715EE7">
        <w:t>jejich</w:t>
      </w:r>
      <w:r>
        <w:t xml:space="preserve"> </w:t>
      </w:r>
      <w:r w:rsidRPr="00715EE7">
        <w:t>zničení</w:t>
      </w:r>
      <w:r>
        <w:t xml:space="preserve"> </w:t>
      </w:r>
      <w:r w:rsidRPr="00715EE7">
        <w:t>a</w:t>
      </w:r>
      <w:r>
        <w:t xml:space="preserve"> </w:t>
      </w:r>
      <w:r w:rsidRPr="00715EE7">
        <w:t>příslušné</w:t>
      </w:r>
      <w:r>
        <w:t xml:space="preserve"> </w:t>
      </w:r>
      <w:r w:rsidRPr="00715EE7">
        <w:t>označení</w:t>
      </w:r>
      <w:r>
        <w:t xml:space="preserve"> </w:t>
      </w:r>
      <w:r w:rsidRPr="00715EE7">
        <w:t>podle</w:t>
      </w:r>
      <w:r>
        <w:t xml:space="preserve"> </w:t>
      </w:r>
      <w:r w:rsidRPr="00715EE7">
        <w:t>odstavce</w:t>
      </w:r>
      <w:r>
        <w:t xml:space="preserve"> </w:t>
      </w:r>
      <w:r w:rsidRPr="00715EE7">
        <w:t>9</w:t>
      </w:r>
      <w:r>
        <w:t xml:space="preserve"> </w:t>
      </w:r>
      <w:r w:rsidRPr="00715EE7">
        <w:t>provede</w:t>
      </w:r>
      <w:r>
        <w:t xml:space="preserve"> </w:t>
      </w:r>
      <w:r w:rsidRPr="00715EE7">
        <w:t>nebo</w:t>
      </w:r>
      <w:r>
        <w:t xml:space="preserve"> </w:t>
      </w:r>
      <w:r w:rsidRPr="00715EE7">
        <w:t>zajistí</w:t>
      </w:r>
      <w:r>
        <w:t xml:space="preserve"> </w:t>
      </w:r>
      <w:r w:rsidRPr="00715EE7">
        <w:t>na</w:t>
      </w:r>
      <w:r>
        <w:t xml:space="preserve"> </w:t>
      </w:r>
      <w:r w:rsidRPr="00715EE7">
        <w:t>své</w:t>
      </w:r>
      <w:r>
        <w:t xml:space="preserve"> </w:t>
      </w:r>
      <w:r w:rsidRPr="00715EE7">
        <w:t>náklady</w:t>
      </w:r>
      <w:r>
        <w:t xml:space="preserve"> </w:t>
      </w:r>
      <w:r w:rsidRPr="00715EE7">
        <w:t>přejímající</w:t>
      </w:r>
      <w:r>
        <w:t xml:space="preserve"> </w:t>
      </w:r>
      <w:r w:rsidRPr="00715EE7">
        <w:t>organizace.</w:t>
      </w:r>
      <w:r>
        <w:t xml:space="preserve"> </w:t>
      </w:r>
      <w:r w:rsidRPr="00715EE7">
        <w:t>O</w:t>
      </w:r>
      <w:r>
        <w:t xml:space="preserve"> </w:t>
      </w:r>
      <w:r w:rsidRPr="00715EE7">
        <w:t>provedených</w:t>
      </w:r>
      <w:r>
        <w:t xml:space="preserve"> </w:t>
      </w:r>
      <w:r w:rsidRPr="00715EE7">
        <w:t>úpravách</w:t>
      </w:r>
      <w:r>
        <w:t xml:space="preserve"> </w:t>
      </w:r>
      <w:r w:rsidRPr="00715EE7">
        <w:t>a</w:t>
      </w:r>
      <w:r>
        <w:t xml:space="preserve"> </w:t>
      </w:r>
      <w:r w:rsidRPr="00715EE7">
        <w:t>zničení</w:t>
      </w:r>
      <w:r>
        <w:t xml:space="preserve"> </w:t>
      </w:r>
      <w:r w:rsidRPr="00715EE7">
        <w:t>sepíše</w:t>
      </w:r>
      <w:r>
        <w:t xml:space="preserve"> </w:t>
      </w:r>
      <w:r w:rsidRPr="00715EE7">
        <w:t>protokol</w:t>
      </w:r>
      <w:r>
        <w:t xml:space="preserve"> </w:t>
      </w:r>
      <w:r w:rsidRPr="00715EE7">
        <w:t>tříčlenná</w:t>
      </w:r>
      <w:r>
        <w:t xml:space="preserve"> </w:t>
      </w:r>
      <w:r w:rsidRPr="00715EE7">
        <w:t>komise</w:t>
      </w:r>
      <w:r>
        <w:t xml:space="preserve"> </w:t>
      </w:r>
      <w:r w:rsidRPr="00715EE7">
        <w:t>jmenovaná</w:t>
      </w:r>
      <w:r>
        <w:t xml:space="preserve"> </w:t>
      </w:r>
      <w:r w:rsidRPr="00715EE7">
        <w:t>ředitelem</w:t>
      </w:r>
      <w:r>
        <w:t xml:space="preserve"> </w:t>
      </w:r>
      <w:r w:rsidRPr="00715EE7">
        <w:t>inspektorátu,</w:t>
      </w:r>
      <w:r>
        <w:t xml:space="preserve"> </w:t>
      </w:r>
      <w:r w:rsidRPr="00715EE7">
        <w:t>jejímiž</w:t>
      </w:r>
      <w:r>
        <w:t xml:space="preserve"> </w:t>
      </w:r>
      <w:r w:rsidRPr="00715EE7">
        <w:t>členy</w:t>
      </w:r>
      <w:r>
        <w:t xml:space="preserve"> </w:t>
      </w:r>
      <w:r w:rsidRPr="00715EE7">
        <w:t>mohou</w:t>
      </w:r>
      <w:r>
        <w:t xml:space="preserve"> </w:t>
      </w:r>
      <w:r w:rsidRPr="00715EE7">
        <w:t>být</w:t>
      </w:r>
      <w:r>
        <w:t xml:space="preserve"> </w:t>
      </w:r>
      <w:r w:rsidRPr="00715EE7">
        <w:t>majitelé</w:t>
      </w:r>
      <w:r>
        <w:t xml:space="preserve"> </w:t>
      </w:r>
      <w:r w:rsidRPr="00715EE7">
        <w:t>práva</w:t>
      </w:r>
      <w:r>
        <w:t xml:space="preserve"> </w:t>
      </w:r>
      <w:r w:rsidRPr="00715EE7">
        <w:t>duševního</w:t>
      </w:r>
      <w:r>
        <w:t xml:space="preserve"> </w:t>
      </w:r>
      <w:r w:rsidRPr="00715EE7">
        <w:t>vlastnictví</w:t>
      </w:r>
      <w:r>
        <w:t xml:space="preserve"> </w:t>
      </w:r>
      <w:r w:rsidRPr="00715EE7">
        <w:t>nebo</w:t>
      </w:r>
      <w:r>
        <w:t xml:space="preserve"> </w:t>
      </w:r>
      <w:r w:rsidRPr="00715EE7">
        <w:t>jejich</w:t>
      </w:r>
      <w:r>
        <w:t xml:space="preserve"> </w:t>
      </w:r>
      <w:r w:rsidRPr="00715EE7">
        <w:t>zástupci.</w:t>
      </w:r>
      <w:r>
        <w:t xml:space="preserve"> </w:t>
      </w:r>
      <w:r w:rsidRPr="00715EE7">
        <w:t>Protokol</w:t>
      </w:r>
      <w:r>
        <w:t xml:space="preserve"> </w:t>
      </w:r>
      <w:r w:rsidRPr="00715EE7">
        <w:t>podepíší</w:t>
      </w:r>
      <w:r>
        <w:t xml:space="preserve"> </w:t>
      </w:r>
      <w:r w:rsidRPr="00715EE7">
        <w:t>všichni</w:t>
      </w:r>
      <w:r>
        <w:t xml:space="preserve"> </w:t>
      </w:r>
      <w:r w:rsidRPr="00715EE7">
        <w:t>tři</w:t>
      </w:r>
      <w:r>
        <w:t xml:space="preserve"> </w:t>
      </w:r>
      <w:r w:rsidRPr="00715EE7">
        <w:t>členové</w:t>
      </w:r>
      <w:r>
        <w:t xml:space="preserve"> </w:t>
      </w:r>
      <w:r w:rsidRPr="00715EE7">
        <w:t>komise.</w:t>
      </w:r>
    </w:p>
    <w:p w14:paraId="0F6FF3B7" w14:textId="77777777" w:rsidR="00C11813" w:rsidRDefault="00C11813" w:rsidP="00261F1B">
      <w:pPr>
        <w:pStyle w:val="Textparagrafu"/>
        <w:numPr>
          <w:ilvl w:val="0"/>
          <w:numId w:val="2"/>
        </w:numPr>
        <w:ind w:firstLine="425"/>
      </w:pPr>
      <w:r w:rsidRPr="00715EE7">
        <w:t>(11)</w:t>
      </w:r>
      <w:r>
        <w:t xml:space="preserve"> </w:t>
      </w:r>
      <w:r w:rsidRPr="00715EE7">
        <w:t>Přejímající</w:t>
      </w:r>
      <w:r>
        <w:t xml:space="preserve"> </w:t>
      </w:r>
      <w:r w:rsidRPr="00715EE7">
        <w:t>organizace</w:t>
      </w:r>
      <w:r>
        <w:t xml:space="preserve"> </w:t>
      </w:r>
      <w:r w:rsidRPr="00715EE7">
        <w:t>po</w:t>
      </w:r>
      <w:r>
        <w:t xml:space="preserve"> </w:t>
      </w:r>
      <w:r w:rsidRPr="00715EE7">
        <w:t>převzetí</w:t>
      </w:r>
      <w:r>
        <w:t xml:space="preserve"> </w:t>
      </w:r>
      <w:r w:rsidRPr="00715EE7">
        <w:t>výrobku</w:t>
      </w:r>
      <w:r>
        <w:t xml:space="preserve"> </w:t>
      </w:r>
      <w:r w:rsidRPr="00715EE7">
        <w:t>je</w:t>
      </w:r>
      <w:r>
        <w:t xml:space="preserve"> </w:t>
      </w:r>
      <w:r w:rsidRPr="00715EE7">
        <w:t>povinna</w:t>
      </w:r>
    </w:p>
    <w:p w14:paraId="54E560E3" w14:textId="21E1838A" w:rsidR="00C11813" w:rsidRDefault="00C11813" w:rsidP="002B6A12">
      <w:pPr>
        <w:pStyle w:val="Textparagrafu"/>
        <w:numPr>
          <w:ilvl w:val="0"/>
          <w:numId w:val="2"/>
        </w:numPr>
        <w:tabs>
          <w:tab w:val="left" w:pos="426"/>
          <w:tab w:val="left" w:pos="1560"/>
        </w:tabs>
        <w:spacing w:before="120"/>
        <w:ind w:left="426" w:hanging="426"/>
      </w:pPr>
      <w:r w:rsidRPr="00715EE7">
        <w:t>a)</w:t>
      </w:r>
      <w:r w:rsidR="00251BD1">
        <w:tab/>
      </w:r>
      <w:r w:rsidRPr="00715EE7">
        <w:t>neprodleně</w:t>
      </w:r>
      <w:r>
        <w:t xml:space="preserve"> </w:t>
      </w:r>
      <w:r w:rsidRPr="00715EE7">
        <w:t>odstranit</w:t>
      </w:r>
      <w:r>
        <w:t xml:space="preserve"> </w:t>
      </w:r>
      <w:r w:rsidRPr="00715EE7">
        <w:t>a</w:t>
      </w:r>
      <w:r>
        <w:t xml:space="preserve"> </w:t>
      </w:r>
      <w:r w:rsidRPr="00715EE7">
        <w:t>zničit</w:t>
      </w:r>
      <w:r>
        <w:t xml:space="preserve"> </w:t>
      </w:r>
      <w:r w:rsidRPr="00715EE7">
        <w:t>prvky</w:t>
      </w:r>
      <w:r>
        <w:t xml:space="preserve"> </w:t>
      </w:r>
      <w:r w:rsidRPr="00715EE7">
        <w:t>porušující</w:t>
      </w:r>
      <w:r>
        <w:t xml:space="preserve"> </w:t>
      </w:r>
      <w:r w:rsidRPr="00715EE7">
        <w:t>práva</w:t>
      </w:r>
      <w:r>
        <w:t xml:space="preserve"> </w:t>
      </w:r>
      <w:r w:rsidRPr="00715EE7">
        <w:t>duševního</w:t>
      </w:r>
      <w:r>
        <w:t xml:space="preserve"> </w:t>
      </w:r>
      <w:r w:rsidRPr="00715EE7">
        <w:t>vlastnictví,</w:t>
      </w:r>
    </w:p>
    <w:p w14:paraId="7EC2C126" w14:textId="781ECE40" w:rsidR="00C11813" w:rsidRDefault="00C11813" w:rsidP="002B6A12">
      <w:pPr>
        <w:pStyle w:val="Textparagrafu"/>
        <w:numPr>
          <w:ilvl w:val="0"/>
          <w:numId w:val="2"/>
        </w:numPr>
        <w:tabs>
          <w:tab w:val="left" w:pos="426"/>
          <w:tab w:val="left" w:pos="1560"/>
        </w:tabs>
        <w:spacing w:before="0"/>
        <w:ind w:left="426" w:hanging="426"/>
      </w:pPr>
      <w:r w:rsidRPr="00715EE7">
        <w:t>b)</w:t>
      </w:r>
      <w:r w:rsidR="00251BD1">
        <w:tab/>
      </w:r>
      <w:r w:rsidRPr="00715EE7">
        <w:t>použít</w:t>
      </w:r>
      <w:r>
        <w:t xml:space="preserve"> </w:t>
      </w:r>
      <w:r w:rsidRPr="00715EE7">
        <w:t>výrobky</w:t>
      </w:r>
      <w:r>
        <w:t xml:space="preserve"> </w:t>
      </w:r>
      <w:r w:rsidRPr="00715EE7">
        <w:t>pouze</w:t>
      </w:r>
      <w:r>
        <w:t xml:space="preserve"> </w:t>
      </w:r>
      <w:r w:rsidRPr="00715EE7">
        <w:t>k</w:t>
      </w:r>
      <w:r>
        <w:t xml:space="preserve"> </w:t>
      </w:r>
      <w:r w:rsidRPr="00715EE7">
        <w:t>humanitárním</w:t>
      </w:r>
      <w:r>
        <w:t xml:space="preserve"> </w:t>
      </w:r>
      <w:r w:rsidRPr="00715EE7">
        <w:t>účelům</w:t>
      </w:r>
      <w:r>
        <w:t xml:space="preserve"> </w:t>
      </w:r>
      <w:r w:rsidRPr="00715EE7">
        <w:t>na</w:t>
      </w:r>
      <w:r>
        <w:t xml:space="preserve"> </w:t>
      </w:r>
      <w:r w:rsidRPr="00715EE7">
        <w:t>území</w:t>
      </w:r>
      <w:r>
        <w:t xml:space="preserve"> </w:t>
      </w:r>
      <w:r w:rsidRPr="00715EE7">
        <w:t>České</w:t>
      </w:r>
      <w:r>
        <w:t xml:space="preserve"> </w:t>
      </w:r>
      <w:r w:rsidRPr="00715EE7">
        <w:t>republiky,</w:t>
      </w:r>
      <w:r>
        <w:t xml:space="preserve"> </w:t>
      </w:r>
      <w:r w:rsidRPr="00715EE7">
        <w:t>a</w:t>
      </w:r>
    </w:p>
    <w:p w14:paraId="1078C319" w14:textId="6D698A37" w:rsidR="00C11813" w:rsidRDefault="00C11813" w:rsidP="002B6A12">
      <w:pPr>
        <w:pStyle w:val="Textparagrafu"/>
        <w:numPr>
          <w:ilvl w:val="0"/>
          <w:numId w:val="2"/>
        </w:numPr>
        <w:tabs>
          <w:tab w:val="left" w:pos="426"/>
          <w:tab w:val="left" w:pos="1560"/>
        </w:tabs>
        <w:spacing w:before="0"/>
        <w:ind w:left="426" w:hanging="426"/>
      </w:pPr>
      <w:r w:rsidRPr="00715EE7">
        <w:t>c)</w:t>
      </w:r>
      <w:r w:rsidR="00251BD1">
        <w:tab/>
      </w:r>
      <w:r w:rsidRPr="00715EE7">
        <w:t>přijmout</w:t>
      </w:r>
      <w:r>
        <w:t xml:space="preserve"> </w:t>
      </w:r>
      <w:r w:rsidRPr="00715EE7">
        <w:t>opatření</w:t>
      </w:r>
      <w:r>
        <w:t xml:space="preserve"> </w:t>
      </w:r>
      <w:r w:rsidRPr="00715EE7">
        <w:t>k</w:t>
      </w:r>
      <w:r>
        <w:t xml:space="preserve"> </w:t>
      </w:r>
      <w:r w:rsidRPr="00715EE7">
        <w:t>zabránění</w:t>
      </w:r>
      <w:r>
        <w:t xml:space="preserve"> </w:t>
      </w:r>
      <w:r w:rsidRPr="00715EE7">
        <w:t>zneužití</w:t>
      </w:r>
      <w:r>
        <w:t xml:space="preserve"> </w:t>
      </w:r>
      <w:r w:rsidRPr="00715EE7">
        <w:t>výrobků</w:t>
      </w:r>
      <w:r>
        <w:t xml:space="preserve"> </w:t>
      </w:r>
      <w:r w:rsidRPr="00715EE7">
        <w:t>a</w:t>
      </w:r>
      <w:r>
        <w:t xml:space="preserve"> </w:t>
      </w:r>
      <w:r w:rsidRPr="00715EE7">
        <w:t>jejich</w:t>
      </w:r>
      <w:r>
        <w:t xml:space="preserve"> </w:t>
      </w:r>
      <w:r w:rsidRPr="00715EE7">
        <w:t>opětovnému</w:t>
      </w:r>
      <w:r>
        <w:t xml:space="preserve"> </w:t>
      </w:r>
      <w:r w:rsidRPr="00715EE7">
        <w:t>uvedení</w:t>
      </w:r>
      <w:r>
        <w:t xml:space="preserve"> </w:t>
      </w:r>
      <w:r w:rsidRPr="00715EE7">
        <w:t>do</w:t>
      </w:r>
      <w:r>
        <w:t xml:space="preserve"> </w:t>
      </w:r>
      <w:r w:rsidRPr="00715EE7">
        <w:t>obchodního</w:t>
      </w:r>
      <w:r>
        <w:t xml:space="preserve"> </w:t>
      </w:r>
      <w:r w:rsidRPr="00715EE7">
        <w:t>styku.</w:t>
      </w:r>
    </w:p>
    <w:p w14:paraId="03E145F7" w14:textId="77777777" w:rsidR="00C11813" w:rsidRDefault="00C11813" w:rsidP="00C11813">
      <w:pPr>
        <w:pStyle w:val="Textparagrafu"/>
        <w:numPr>
          <w:ilvl w:val="0"/>
          <w:numId w:val="2"/>
        </w:numPr>
        <w:ind w:firstLine="426"/>
      </w:pPr>
      <w:r w:rsidRPr="00715EE7">
        <w:t>(12)</w:t>
      </w:r>
      <w:r>
        <w:t xml:space="preserve"> </w:t>
      </w:r>
      <w:r w:rsidRPr="00715EE7">
        <w:t>Česká</w:t>
      </w:r>
      <w:r>
        <w:t xml:space="preserve"> </w:t>
      </w:r>
      <w:r w:rsidRPr="00715EE7">
        <w:t>obchodní</w:t>
      </w:r>
      <w:r>
        <w:t xml:space="preserve"> </w:t>
      </w:r>
      <w:r w:rsidRPr="00715EE7">
        <w:t>inspekce</w:t>
      </w:r>
      <w:r>
        <w:t xml:space="preserve"> </w:t>
      </w:r>
      <w:r w:rsidRPr="00715EE7">
        <w:t>kontroluje</w:t>
      </w:r>
      <w:r>
        <w:t xml:space="preserve"> </w:t>
      </w:r>
      <w:r w:rsidRPr="00715EE7">
        <w:t>u</w:t>
      </w:r>
      <w:r>
        <w:t xml:space="preserve"> </w:t>
      </w:r>
      <w:r w:rsidRPr="00715EE7">
        <w:t>přejímající</w:t>
      </w:r>
      <w:r>
        <w:t xml:space="preserve"> </w:t>
      </w:r>
      <w:r w:rsidRPr="00715EE7">
        <w:t>organizace</w:t>
      </w:r>
      <w:r>
        <w:t xml:space="preserve"> </w:t>
      </w:r>
      <w:r w:rsidRPr="00715EE7">
        <w:t>plnění</w:t>
      </w:r>
      <w:r>
        <w:t xml:space="preserve"> </w:t>
      </w:r>
      <w:r w:rsidRPr="00715EE7">
        <w:t>povinností</w:t>
      </w:r>
      <w:r>
        <w:t xml:space="preserve"> </w:t>
      </w:r>
      <w:r w:rsidRPr="00715EE7">
        <w:t>stanovených</w:t>
      </w:r>
      <w:r>
        <w:t xml:space="preserve"> </w:t>
      </w:r>
      <w:r w:rsidRPr="00715EE7">
        <w:t>tímto</w:t>
      </w:r>
      <w:r>
        <w:t xml:space="preserve"> </w:t>
      </w:r>
      <w:r w:rsidRPr="00715EE7">
        <w:t>zákonem</w:t>
      </w:r>
      <w:r>
        <w:t xml:space="preserve"> </w:t>
      </w:r>
      <w:r w:rsidRPr="00715EE7">
        <w:t>a</w:t>
      </w:r>
      <w:r>
        <w:t xml:space="preserve"> </w:t>
      </w:r>
      <w:r w:rsidRPr="00715EE7">
        <w:t>povinností,</w:t>
      </w:r>
      <w:r>
        <w:t xml:space="preserve"> </w:t>
      </w:r>
      <w:r w:rsidRPr="00715EE7">
        <w:t>k</w:t>
      </w:r>
      <w:r>
        <w:t xml:space="preserve"> </w:t>
      </w:r>
      <w:r w:rsidRPr="00715EE7">
        <w:t>nimž</w:t>
      </w:r>
      <w:r>
        <w:t xml:space="preserve"> </w:t>
      </w:r>
      <w:r w:rsidRPr="00715EE7">
        <w:t>se</w:t>
      </w:r>
      <w:r>
        <w:t xml:space="preserve"> </w:t>
      </w:r>
      <w:r w:rsidRPr="00715EE7">
        <w:t>přejímající</w:t>
      </w:r>
      <w:r>
        <w:t xml:space="preserve"> </w:t>
      </w:r>
      <w:r w:rsidRPr="00715EE7">
        <w:t>organizace</w:t>
      </w:r>
      <w:r>
        <w:t xml:space="preserve"> </w:t>
      </w:r>
      <w:r w:rsidRPr="00715EE7">
        <w:t>smluvně</w:t>
      </w:r>
      <w:r>
        <w:t xml:space="preserve"> </w:t>
      </w:r>
      <w:r w:rsidRPr="00715EE7">
        <w:t>zavázala.</w:t>
      </w:r>
    </w:p>
    <w:p w14:paraId="3769FB59" w14:textId="09DFBA4D" w:rsidR="00FC7E78" w:rsidRDefault="00C11813" w:rsidP="007936CA">
      <w:pPr>
        <w:pStyle w:val="Textparagrafu"/>
        <w:numPr>
          <w:ilvl w:val="0"/>
          <w:numId w:val="2"/>
        </w:numPr>
        <w:ind w:firstLine="426"/>
        <w:rPr>
          <w:vertAlign w:val="superscript"/>
        </w:rPr>
        <w:sectPr w:rsidR="00FC7E78" w:rsidSect="00F500B9">
          <w:type w:val="continuous"/>
          <w:pgSz w:w="11906" w:h="16838"/>
          <w:pgMar w:top="1417" w:right="1417" w:bottom="1417" w:left="1417" w:header="708" w:footer="708" w:gutter="0"/>
          <w:cols w:space="708"/>
          <w:docGrid w:linePitch="360"/>
        </w:sectPr>
      </w:pPr>
      <w:r w:rsidRPr="00715EE7">
        <w:t>(13)</w:t>
      </w:r>
      <w:r>
        <w:t xml:space="preserve"> </w:t>
      </w:r>
      <w:r w:rsidRPr="00715EE7">
        <w:t>Přejímající</w:t>
      </w:r>
      <w:r>
        <w:t xml:space="preserve"> </w:t>
      </w:r>
      <w:r w:rsidRPr="00715EE7">
        <w:t>organizace</w:t>
      </w:r>
      <w:r>
        <w:t xml:space="preserve"> </w:t>
      </w:r>
      <w:r w:rsidRPr="00715EE7">
        <w:t>po</w:t>
      </w:r>
      <w:r>
        <w:t xml:space="preserve"> </w:t>
      </w:r>
      <w:r w:rsidRPr="00715EE7">
        <w:t>dobu</w:t>
      </w:r>
      <w:r>
        <w:t xml:space="preserve"> </w:t>
      </w:r>
      <w:r w:rsidRPr="00715EE7">
        <w:t>3</w:t>
      </w:r>
      <w:r>
        <w:t xml:space="preserve"> </w:t>
      </w:r>
      <w:r w:rsidRPr="00715EE7">
        <w:t>let</w:t>
      </w:r>
      <w:r>
        <w:t xml:space="preserve"> </w:t>
      </w:r>
      <w:r w:rsidRPr="00715EE7">
        <w:t>od</w:t>
      </w:r>
      <w:r>
        <w:t xml:space="preserve"> </w:t>
      </w:r>
      <w:r w:rsidRPr="00715EE7">
        <w:t>okamžiku</w:t>
      </w:r>
      <w:r>
        <w:t xml:space="preserve"> </w:t>
      </w:r>
      <w:r w:rsidRPr="00715EE7">
        <w:t>poskytnutí</w:t>
      </w:r>
      <w:r>
        <w:t xml:space="preserve"> </w:t>
      </w:r>
      <w:r w:rsidRPr="00715EE7">
        <w:t>výrobků</w:t>
      </w:r>
      <w:r>
        <w:t xml:space="preserve"> </w:t>
      </w:r>
      <w:r w:rsidRPr="00715EE7">
        <w:t>eviduje</w:t>
      </w:r>
      <w:r>
        <w:t xml:space="preserve"> </w:t>
      </w:r>
      <w:r w:rsidRPr="00715EE7">
        <w:t>a</w:t>
      </w:r>
      <w:r>
        <w:t xml:space="preserve"> </w:t>
      </w:r>
      <w:r w:rsidRPr="00715EE7">
        <w:t>archivuje</w:t>
      </w:r>
      <w:r>
        <w:t xml:space="preserve"> </w:t>
      </w:r>
      <w:r w:rsidRPr="00715EE7">
        <w:t>pro</w:t>
      </w:r>
      <w:r>
        <w:t xml:space="preserve"> </w:t>
      </w:r>
      <w:r w:rsidRPr="00715EE7">
        <w:t>účely</w:t>
      </w:r>
      <w:r>
        <w:t xml:space="preserve"> </w:t>
      </w:r>
      <w:r w:rsidRPr="00715EE7">
        <w:t>kontroly,</w:t>
      </w:r>
      <w:r>
        <w:t xml:space="preserve"> </w:t>
      </w:r>
      <w:r w:rsidRPr="00715EE7">
        <w:t>prováděné</w:t>
      </w:r>
      <w:r>
        <w:t xml:space="preserve"> </w:t>
      </w:r>
      <w:r w:rsidRPr="00715EE7">
        <w:t>Českou</w:t>
      </w:r>
      <w:r>
        <w:t xml:space="preserve"> </w:t>
      </w:r>
      <w:r w:rsidRPr="00715EE7">
        <w:t>obchodní</w:t>
      </w:r>
      <w:r>
        <w:t xml:space="preserve"> </w:t>
      </w:r>
      <w:r w:rsidRPr="00715EE7">
        <w:t>inspekcí,</w:t>
      </w:r>
      <w:r>
        <w:t xml:space="preserve"> </w:t>
      </w:r>
      <w:r w:rsidRPr="00715EE7">
        <w:t>doklady</w:t>
      </w:r>
      <w:r>
        <w:t xml:space="preserve"> </w:t>
      </w:r>
      <w:r w:rsidRPr="00715EE7">
        <w:t>o</w:t>
      </w:r>
      <w:r>
        <w:t xml:space="preserve"> </w:t>
      </w:r>
      <w:r w:rsidRPr="00715EE7">
        <w:t>příjmu</w:t>
      </w:r>
      <w:r>
        <w:t xml:space="preserve"> </w:t>
      </w:r>
      <w:r w:rsidRPr="00715EE7">
        <w:t>výrobků</w:t>
      </w:r>
      <w:r>
        <w:t xml:space="preserve"> </w:t>
      </w:r>
      <w:r w:rsidRPr="00715EE7">
        <w:t>a</w:t>
      </w:r>
      <w:r>
        <w:t xml:space="preserve"> </w:t>
      </w:r>
      <w:r w:rsidRPr="00715EE7">
        <w:t>o</w:t>
      </w:r>
      <w:r>
        <w:t xml:space="preserve"> </w:t>
      </w:r>
      <w:r w:rsidRPr="00715EE7">
        <w:t>odstranění</w:t>
      </w:r>
      <w:r>
        <w:t xml:space="preserve"> </w:t>
      </w:r>
      <w:r w:rsidRPr="00715EE7">
        <w:t>a</w:t>
      </w:r>
      <w:r>
        <w:t xml:space="preserve"> </w:t>
      </w:r>
      <w:r w:rsidRPr="00715EE7">
        <w:t>zničení</w:t>
      </w:r>
      <w:r>
        <w:t xml:space="preserve"> </w:t>
      </w:r>
      <w:r w:rsidRPr="00715EE7">
        <w:t>prvků</w:t>
      </w:r>
      <w:r>
        <w:t xml:space="preserve"> </w:t>
      </w:r>
      <w:r w:rsidRPr="00715EE7">
        <w:t>porušujících</w:t>
      </w:r>
      <w:r>
        <w:t xml:space="preserve"> </w:t>
      </w:r>
      <w:r w:rsidRPr="00715EE7">
        <w:t>práva</w:t>
      </w:r>
      <w:r>
        <w:t xml:space="preserve"> </w:t>
      </w:r>
      <w:r w:rsidRPr="00715EE7">
        <w:t>duševního</w:t>
      </w:r>
      <w:r>
        <w:t xml:space="preserve"> </w:t>
      </w:r>
      <w:r w:rsidRPr="00715EE7">
        <w:t>vlastnictví</w:t>
      </w:r>
      <w:r>
        <w:t xml:space="preserve"> </w:t>
      </w:r>
      <w:r w:rsidRPr="00715EE7">
        <w:t>a</w:t>
      </w:r>
      <w:r>
        <w:t xml:space="preserve"> </w:t>
      </w:r>
      <w:r w:rsidRPr="00715EE7">
        <w:t>jak</w:t>
      </w:r>
      <w:r>
        <w:t xml:space="preserve"> </w:t>
      </w:r>
      <w:r w:rsidRPr="00715EE7">
        <w:t>s</w:t>
      </w:r>
      <w:r>
        <w:t xml:space="preserve"> </w:t>
      </w:r>
      <w:r w:rsidRPr="00715EE7">
        <w:t>nimi</w:t>
      </w:r>
      <w:r>
        <w:t xml:space="preserve"> </w:t>
      </w:r>
      <w:r w:rsidRPr="00715EE7">
        <w:t>bylo</w:t>
      </w:r>
      <w:r>
        <w:t xml:space="preserve"> </w:t>
      </w:r>
      <w:r w:rsidRPr="00715EE7">
        <w:t>prokazatelně</w:t>
      </w:r>
      <w:r>
        <w:t xml:space="preserve"> </w:t>
      </w:r>
      <w:r w:rsidRPr="00715EE7">
        <w:t>naloženo.</w:t>
      </w:r>
      <w:r>
        <w:t xml:space="preserve"> </w:t>
      </w:r>
      <w:r w:rsidRPr="00715EE7">
        <w:t>Tímto</w:t>
      </w:r>
      <w:r>
        <w:t xml:space="preserve"> </w:t>
      </w:r>
      <w:r w:rsidRPr="00715EE7">
        <w:t>ustanovením</w:t>
      </w:r>
      <w:r>
        <w:t xml:space="preserve"> </w:t>
      </w:r>
      <w:r w:rsidRPr="00715EE7">
        <w:t>nejsou</w:t>
      </w:r>
      <w:r>
        <w:t xml:space="preserve"> </w:t>
      </w:r>
      <w:r w:rsidRPr="00715EE7">
        <w:t>dotčena</w:t>
      </w:r>
      <w:r>
        <w:t xml:space="preserve"> </w:t>
      </w:r>
      <w:r w:rsidRPr="00715EE7">
        <w:t>ustanovení</w:t>
      </w:r>
      <w:r>
        <w:t xml:space="preserve"> </w:t>
      </w:r>
      <w:r w:rsidRPr="00715EE7">
        <w:t>zvláštních</w:t>
      </w:r>
      <w:r>
        <w:t xml:space="preserve"> </w:t>
      </w:r>
      <w:r w:rsidRPr="00715EE7">
        <w:t>právních</w:t>
      </w:r>
      <w:r>
        <w:t xml:space="preserve"> </w:t>
      </w:r>
      <w:r w:rsidRPr="00715EE7">
        <w:t>předpisů</w:t>
      </w:r>
      <w:r>
        <w:t xml:space="preserve"> </w:t>
      </w:r>
      <w:r w:rsidRPr="00715EE7">
        <w:t>upravující</w:t>
      </w:r>
      <w:r>
        <w:t xml:space="preserve"> </w:t>
      </w:r>
      <w:r w:rsidRPr="00715EE7">
        <w:t>evidenci</w:t>
      </w:r>
      <w:r>
        <w:t xml:space="preserve"> </w:t>
      </w:r>
      <w:r w:rsidRPr="00715EE7">
        <w:t>a</w:t>
      </w:r>
      <w:r>
        <w:t xml:space="preserve"> </w:t>
      </w:r>
      <w:r w:rsidRPr="00715EE7">
        <w:t>archivaci</w:t>
      </w:r>
      <w:r>
        <w:t xml:space="preserve"> </w:t>
      </w:r>
      <w:r w:rsidRPr="00715EE7">
        <w:t>stanovených</w:t>
      </w:r>
      <w:r>
        <w:t xml:space="preserve"> </w:t>
      </w:r>
      <w:r w:rsidRPr="00715EE7">
        <w:t>dokladů.</w:t>
      </w:r>
      <w:r w:rsidR="004764C8">
        <w:rPr>
          <w:rStyle w:val="Znakapoznpodarou"/>
        </w:rPr>
        <w:footnoteReference w:customMarkFollows="1" w:id="9"/>
        <w:t>3k)</w:t>
      </w:r>
    </w:p>
    <w:p w14:paraId="7B4B3E49" w14:textId="605C82FF" w:rsidR="00FC7E78" w:rsidRPr="002B6A12" w:rsidRDefault="00FC7E78" w:rsidP="00A06781">
      <w:pPr>
        <w:pStyle w:val="Odstavecseseznamem"/>
        <w:numPr>
          <w:ilvl w:val="0"/>
          <w:numId w:val="27"/>
        </w:numPr>
        <w:tabs>
          <w:tab w:val="left" w:pos="851"/>
        </w:tabs>
        <w:spacing w:before="120" w:after="120"/>
        <w:jc w:val="center"/>
        <w:outlineLvl w:val="0"/>
        <w:rPr>
          <w:b/>
          <w:szCs w:val="24"/>
        </w:rPr>
      </w:pPr>
      <w:r w:rsidRPr="002B6A12">
        <w:rPr>
          <w:b/>
          <w:szCs w:val="24"/>
        </w:rPr>
        <w:lastRenderedPageBreak/>
        <w:t xml:space="preserve">K části třetí návrhu zákona – </w:t>
      </w:r>
      <w:r w:rsidRPr="002B6A12">
        <w:rPr>
          <w:szCs w:val="24"/>
        </w:rPr>
        <w:t>změna zákona o cenách</w:t>
      </w:r>
    </w:p>
    <w:p w14:paraId="10A16B30" w14:textId="77777777" w:rsidR="00FC7E78" w:rsidRPr="002B6A12" w:rsidRDefault="00FC7E78" w:rsidP="00FC7E78">
      <w:pPr>
        <w:pStyle w:val="Odstavecseseznamem"/>
        <w:tabs>
          <w:tab w:val="left" w:pos="851"/>
        </w:tabs>
        <w:spacing w:before="120" w:after="120"/>
        <w:ind w:left="0"/>
        <w:outlineLvl w:val="0"/>
        <w:rPr>
          <w:b/>
          <w:szCs w:val="24"/>
        </w:rPr>
      </w:pPr>
    </w:p>
    <w:p w14:paraId="50BF46C1" w14:textId="16683F18" w:rsidR="002B6A12" w:rsidRPr="00A06781" w:rsidRDefault="00FC7E78" w:rsidP="00A06781">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2B6A12">
        <w:rPr>
          <w:b/>
          <w:szCs w:val="24"/>
        </w:rPr>
        <w:t>Platné znění</w:t>
      </w:r>
      <w:r w:rsidRPr="002B6A12">
        <w:rPr>
          <w:szCs w:val="24"/>
        </w:rPr>
        <w:t xml:space="preserve"> zákona </w:t>
      </w:r>
      <w:r w:rsidRPr="002B6A12">
        <w:rPr>
          <w:color w:val="000000"/>
          <w:szCs w:val="24"/>
        </w:rPr>
        <w:t xml:space="preserve">č. 526/1990 Sb., </w:t>
      </w:r>
      <w:r w:rsidRPr="002B6A12">
        <w:rPr>
          <w:szCs w:val="24"/>
        </w:rPr>
        <w:t>o cenách</w:t>
      </w:r>
    </w:p>
    <w:p w14:paraId="3C12716C" w14:textId="72506CD9" w:rsidR="00A06781" w:rsidRPr="00A06781" w:rsidRDefault="00A06781" w:rsidP="00A06781">
      <w:pPr>
        <w:pStyle w:val="Odstavecseseznamem"/>
        <w:numPr>
          <w:ilvl w:val="0"/>
          <w:numId w:val="27"/>
        </w:numPr>
        <w:pBdr>
          <w:top w:val="single" w:sz="12" w:space="6" w:color="auto"/>
          <w:left w:val="single" w:sz="12" w:space="0" w:color="auto"/>
          <w:bottom w:val="single" w:sz="12" w:space="6" w:color="auto"/>
          <w:right w:val="single" w:sz="12" w:space="0" w:color="auto"/>
        </w:pBdr>
        <w:spacing w:after="120"/>
        <w:jc w:val="center"/>
        <w:rPr>
          <w:b/>
          <w:szCs w:val="24"/>
          <w:lang w:eastAsia="en-US"/>
        </w:rPr>
      </w:pPr>
      <w:r>
        <w:rPr>
          <w:noProof/>
        </w:rPr>
        <mc:AlternateContent>
          <mc:Choice Requires="wps">
            <w:drawing>
              <wp:anchor distT="0" distB="0" distL="114300" distR="114300" simplePos="0" relativeHeight="251659264" behindDoc="1" locked="0" layoutInCell="1" allowOverlap="1" wp14:anchorId="577B4F5F" wp14:editId="7A98565B">
                <wp:simplePos x="0" y="0"/>
                <wp:positionH relativeFrom="margin">
                  <wp:align>right</wp:align>
                </wp:positionH>
                <wp:positionV relativeFrom="paragraph">
                  <wp:posOffset>180017</wp:posOffset>
                </wp:positionV>
                <wp:extent cx="5753100" cy="525947"/>
                <wp:effectExtent l="0" t="0" r="19050" b="26670"/>
                <wp:wrapNone/>
                <wp:docPr id="3" name="Obdélník 3"/>
                <wp:cNvGraphicFramePr/>
                <a:graphic xmlns:a="http://schemas.openxmlformats.org/drawingml/2006/main">
                  <a:graphicData uri="http://schemas.microsoft.com/office/word/2010/wordprocessingShape">
                    <wps:wsp>
                      <wps:cNvSpPr/>
                      <wps:spPr>
                        <a:xfrm>
                          <a:off x="0" y="0"/>
                          <a:ext cx="5753100" cy="525947"/>
                        </a:xfrm>
                        <a:prstGeom prst="rect">
                          <a:avLst/>
                        </a:prstGeom>
                        <a:ln w="19050">
                          <a:solidFill>
                            <a:srgbClr val="0070C0"/>
                          </a:solidFill>
                        </a:ln>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DB1238" id="Obdélník 3" o:spid="_x0000_s1026" style="position:absolute;margin-left:401.8pt;margin-top:14.15pt;width:453pt;height:41.4pt;z-index:-251657216;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" fillcolor="white [3201]" strokecolor="#0070c0" strokeweight="1.5pt">
                <w10:wrap anchorx="margin"/>
              </v:rect>
            </w:pict>
          </mc:Fallback>
        </mc:AlternateContent>
      </w:r>
      <w:r w:rsidRPr="00A06781">
        <w:rPr>
          <w:b/>
          <w:szCs w:val="24"/>
          <w:lang w:eastAsia="en-US"/>
        </w:rPr>
        <w:t>s vyznačením navrhovaných změn a doplnění k 1. lednu 2025</w:t>
      </w:r>
    </w:p>
    <w:p w14:paraId="2A95FF99" w14:textId="0B34593F" w:rsidR="00A06781" w:rsidRPr="00A06781" w:rsidRDefault="00A06781" w:rsidP="00A06781">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b/>
          <w:color w:val="0070C0"/>
          <w:szCs w:val="24"/>
        </w:rPr>
      </w:pPr>
      <w:r w:rsidRPr="00A06781">
        <w:rPr>
          <w:b/>
          <w:color w:val="0070C0"/>
          <w:szCs w:val="24"/>
          <w:lang w:eastAsia="en-US"/>
        </w:rPr>
        <w:t xml:space="preserve">s vyznačením navrhovaných změn a doplnění k účinnosti </w:t>
      </w:r>
      <w:r w:rsidRPr="00A06781">
        <w:rPr>
          <w:b/>
          <w:color w:val="0070C0"/>
          <w:szCs w:val="24"/>
        </w:rPr>
        <w:t xml:space="preserve">návrhu zákona, </w:t>
      </w:r>
      <w:r w:rsidRPr="00A06781">
        <w:rPr>
          <w:b/>
          <w:color w:val="0070C0"/>
        </w:rPr>
        <w:t>kterým se mění zákon č. 526/1990 Sb., o cenách, ve znění pozdějších předpisů, a další související zákony (ST 633)</w:t>
      </w:r>
    </w:p>
    <w:p w14:paraId="50C7E1FD" w14:textId="003B2AC2" w:rsidR="002B6A12" w:rsidRPr="00ED79D7" w:rsidRDefault="00A06781" w:rsidP="002B6A12">
      <w:pPr>
        <w:keepNext/>
        <w:keepLines/>
        <w:ind w:firstLine="0"/>
        <w:jc w:val="center"/>
        <w:outlineLvl w:val="5"/>
      </w:pPr>
      <w:r>
        <w:rPr>
          <w:noProof/>
        </w:rPr>
        <mc:AlternateContent>
          <mc:Choice Requires="wps">
            <w:drawing>
              <wp:anchor distT="0" distB="0" distL="114300" distR="114300" simplePos="0" relativeHeight="251661312" behindDoc="1" locked="0" layoutInCell="1" allowOverlap="1" wp14:anchorId="4B2587EE" wp14:editId="79B32BB1">
                <wp:simplePos x="0" y="0"/>
                <wp:positionH relativeFrom="margin">
                  <wp:align>center</wp:align>
                </wp:positionH>
                <wp:positionV relativeFrom="paragraph">
                  <wp:posOffset>66547</wp:posOffset>
                </wp:positionV>
                <wp:extent cx="6184900" cy="5676181"/>
                <wp:effectExtent l="0" t="0" r="25400" b="20320"/>
                <wp:wrapNone/>
                <wp:docPr id="1" name="Obdélník 1"/>
                <wp:cNvGraphicFramePr/>
                <a:graphic xmlns:a="http://schemas.openxmlformats.org/drawingml/2006/main">
                  <a:graphicData uri="http://schemas.microsoft.com/office/word/2010/wordprocessingShape">
                    <wps:wsp>
                      <wps:cNvSpPr/>
                      <wps:spPr>
                        <a:xfrm>
                          <a:off x="0" y="0"/>
                          <a:ext cx="6184900" cy="5676181"/>
                        </a:xfrm>
                        <a:prstGeom prst="rect">
                          <a:avLst/>
                        </a:prstGeom>
                        <a:ln w="19050">
                          <a:solidFill>
                            <a:srgbClr val="0070C0"/>
                          </a:solidFill>
                        </a:ln>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3929A32" id="Obdélník 1" o:spid="_x0000_s1026" style="position:absolute;margin-left:0;margin-top:5.25pt;width:487pt;height:446.95pt;z-index:-251655168;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" fillcolor="white [3201]" strokecolor="#0070c0" strokeweight="1.5pt">
                <w10:wrap anchorx="margin"/>
              </v:rect>
            </w:pict>
          </mc:Fallback>
        </mc:AlternateContent>
      </w:r>
      <w:r w:rsidR="002B6A12" w:rsidRPr="00ED79D7">
        <w:t>§ 1</w:t>
      </w:r>
    </w:p>
    <w:p w14:paraId="1F357F54" w14:textId="2F197F73" w:rsidR="002B6A12" w:rsidRPr="00ED79D7" w:rsidRDefault="002B6A12" w:rsidP="00992796">
      <w:pPr>
        <w:keepNext/>
        <w:keepLines/>
        <w:numPr>
          <w:ilvl w:val="0"/>
          <w:numId w:val="59"/>
        </w:numPr>
        <w:jc w:val="center"/>
        <w:outlineLvl w:val="5"/>
        <w:rPr>
          <w:b/>
        </w:rPr>
      </w:pPr>
      <w:r w:rsidRPr="00ED79D7">
        <w:rPr>
          <w:b/>
        </w:rPr>
        <w:t>Předmět úpravy</w:t>
      </w:r>
    </w:p>
    <w:p w14:paraId="626279E1" w14:textId="15C1E4E1" w:rsidR="002B6A12" w:rsidRPr="00ED79D7" w:rsidRDefault="002B6A12" w:rsidP="002B6A12">
      <w:pPr>
        <w:tabs>
          <w:tab w:val="left" w:pos="782"/>
          <w:tab w:val="left" w:pos="851"/>
        </w:tabs>
        <w:spacing w:before="120" w:after="120"/>
        <w:outlineLvl w:val="6"/>
        <w:rPr>
          <w:strike/>
          <w:color w:val="0070C0"/>
          <w:szCs w:val="24"/>
        </w:rPr>
      </w:pPr>
      <w:r w:rsidRPr="00ED79D7">
        <w:rPr>
          <w:strike/>
          <w:color w:val="0070C0"/>
          <w:szCs w:val="24"/>
        </w:rPr>
        <w:t xml:space="preserve">(1) Zákon se vztahuje na uplatňování, regulaci a kontrolu cen výrobků, výkonů, prací a služeb (dále jen "zboží") pro tuzemský trh, včetně cen zboží z dovozu a cen zboží určeného pro vývoz. </w:t>
      </w:r>
    </w:p>
    <w:p w14:paraId="76EA87B3" w14:textId="2A75D75C" w:rsidR="002B6A12" w:rsidRPr="00ED79D7" w:rsidRDefault="002B6A12" w:rsidP="002B6A12">
      <w:pPr>
        <w:tabs>
          <w:tab w:val="left" w:pos="782"/>
          <w:tab w:val="left" w:pos="851"/>
        </w:tabs>
        <w:spacing w:before="120" w:after="120"/>
        <w:outlineLvl w:val="6"/>
        <w:rPr>
          <w:strike/>
          <w:color w:val="0070C0"/>
          <w:szCs w:val="24"/>
        </w:rPr>
      </w:pPr>
      <w:r w:rsidRPr="00ED79D7">
        <w:rPr>
          <w:strike/>
          <w:color w:val="0070C0"/>
          <w:szCs w:val="24"/>
        </w:rPr>
        <w:t>(2) Cena je peněžní částka</w:t>
      </w:r>
    </w:p>
    <w:p w14:paraId="1E64CB80" w14:textId="43E79C2D" w:rsidR="002B6A12" w:rsidRPr="00ED79D7" w:rsidRDefault="002B6A12" w:rsidP="002B6A12">
      <w:pPr>
        <w:spacing w:before="0"/>
        <w:ind w:left="425" w:hanging="425"/>
        <w:outlineLvl w:val="7"/>
        <w:rPr>
          <w:strike/>
          <w:color w:val="0070C0"/>
          <w:szCs w:val="24"/>
        </w:rPr>
      </w:pPr>
      <w:r w:rsidRPr="00ED79D7">
        <w:rPr>
          <w:strike/>
          <w:color w:val="0070C0"/>
          <w:szCs w:val="24"/>
        </w:rPr>
        <w:t xml:space="preserve">a) </w:t>
      </w:r>
      <w:r w:rsidRPr="00ED79D7">
        <w:rPr>
          <w:strike/>
          <w:color w:val="0070C0"/>
          <w:szCs w:val="24"/>
        </w:rPr>
        <w:tab/>
        <w:t xml:space="preserve">sjednaná při nákupu a prodeji zboží podle </w:t>
      </w:r>
      <w:hyperlink r:id="rId9" w:history="1">
        <w:r w:rsidRPr="00ED79D7">
          <w:rPr>
            <w:strike/>
            <w:color w:val="0070C0"/>
            <w:szCs w:val="24"/>
          </w:rPr>
          <w:t>§ 2 až 13</w:t>
        </w:r>
      </w:hyperlink>
      <w:r w:rsidRPr="00ED79D7">
        <w:rPr>
          <w:strike/>
          <w:color w:val="0070C0"/>
          <w:szCs w:val="24"/>
        </w:rPr>
        <w:t xml:space="preserve"> nebo </w:t>
      </w:r>
    </w:p>
    <w:p w14:paraId="1BDFAF84" w14:textId="77777777" w:rsidR="002B6A12" w:rsidRPr="00ED79D7" w:rsidRDefault="002B6A12" w:rsidP="002B6A12">
      <w:pPr>
        <w:spacing w:before="0"/>
        <w:ind w:left="425" w:hanging="425"/>
        <w:outlineLvl w:val="7"/>
        <w:rPr>
          <w:strike/>
          <w:color w:val="0070C0"/>
          <w:szCs w:val="24"/>
        </w:rPr>
      </w:pPr>
      <w:r w:rsidRPr="00ED79D7">
        <w:rPr>
          <w:strike/>
          <w:color w:val="0070C0"/>
          <w:szCs w:val="24"/>
        </w:rPr>
        <w:t xml:space="preserve">b) </w:t>
      </w:r>
      <w:r w:rsidRPr="00ED79D7">
        <w:rPr>
          <w:strike/>
          <w:color w:val="0070C0"/>
          <w:szCs w:val="24"/>
        </w:rPr>
        <w:tab/>
        <w:t>určená podle zvláštního předpisu</w:t>
      </w:r>
      <w:r w:rsidRPr="00ED79D7">
        <w:rPr>
          <w:strike/>
          <w:color w:val="0070C0"/>
          <w:szCs w:val="24"/>
          <w:vertAlign w:val="superscript"/>
        </w:rPr>
        <w:footnoteReference w:customMarkFollows="1" w:id="10"/>
        <w:t>1)</w:t>
      </w:r>
      <w:r w:rsidRPr="00ED79D7">
        <w:rPr>
          <w:strike/>
          <w:color w:val="0070C0"/>
          <w:szCs w:val="24"/>
        </w:rPr>
        <w:t xml:space="preserve"> k jiným účelům než k prodeji. </w:t>
      </w:r>
    </w:p>
    <w:p w14:paraId="6F5D0F66" w14:textId="77777777" w:rsidR="002B6A12" w:rsidRPr="00ED79D7" w:rsidRDefault="002B6A12" w:rsidP="002B6A12">
      <w:pPr>
        <w:tabs>
          <w:tab w:val="left" w:pos="782"/>
          <w:tab w:val="left" w:pos="851"/>
        </w:tabs>
        <w:spacing w:before="120" w:after="120"/>
        <w:outlineLvl w:val="6"/>
        <w:rPr>
          <w:b/>
          <w:color w:val="0070C0"/>
        </w:rPr>
      </w:pPr>
      <w:r w:rsidRPr="00ED79D7">
        <w:rPr>
          <w:b/>
          <w:color w:val="0070C0"/>
        </w:rPr>
        <w:t>(1) Tento zákon zapracovává příslušné předpisy Evropské unie</w:t>
      </w:r>
      <w:r w:rsidRPr="00ED79D7">
        <w:rPr>
          <w:b/>
          <w:color w:val="0070C0"/>
          <w:vertAlign w:val="superscript"/>
        </w:rPr>
        <w:footnoteReference w:customMarkFollows="1" w:id="11"/>
        <w:t>14)</w:t>
      </w:r>
      <w:r w:rsidRPr="00ED79D7">
        <w:rPr>
          <w:b/>
          <w:color w:val="0070C0"/>
        </w:rPr>
        <w:t xml:space="preserve"> a upravuje</w:t>
      </w:r>
    </w:p>
    <w:p w14:paraId="6024C1F3" w14:textId="77777777" w:rsidR="002B6A12" w:rsidRPr="00ED79D7" w:rsidRDefault="002B6A12" w:rsidP="002B6A12">
      <w:pPr>
        <w:spacing w:before="0"/>
        <w:ind w:left="425" w:hanging="425"/>
        <w:outlineLvl w:val="7"/>
        <w:rPr>
          <w:b/>
          <w:color w:val="0070C0"/>
        </w:rPr>
      </w:pPr>
      <w:r w:rsidRPr="00ED79D7">
        <w:rPr>
          <w:b/>
          <w:color w:val="0070C0"/>
        </w:rPr>
        <w:t xml:space="preserve">a) </w:t>
      </w:r>
      <w:r w:rsidRPr="00ED79D7">
        <w:rPr>
          <w:b/>
          <w:color w:val="0070C0"/>
        </w:rPr>
        <w:tab/>
        <w:t>uplatňování, regulaci a kontrolu cen zboží pro tuzemský trh,</w:t>
      </w:r>
    </w:p>
    <w:p w14:paraId="7D3177E4" w14:textId="77777777" w:rsidR="002B6A12" w:rsidRPr="00ED79D7" w:rsidRDefault="002B6A12" w:rsidP="002B6A12">
      <w:pPr>
        <w:spacing w:before="0"/>
        <w:ind w:left="425" w:hanging="425"/>
        <w:outlineLvl w:val="7"/>
        <w:rPr>
          <w:b/>
          <w:color w:val="0070C0"/>
        </w:rPr>
      </w:pPr>
      <w:r w:rsidRPr="00ED79D7">
        <w:rPr>
          <w:b/>
          <w:color w:val="0070C0"/>
        </w:rPr>
        <w:t xml:space="preserve">b) </w:t>
      </w:r>
      <w:r w:rsidRPr="00ED79D7">
        <w:rPr>
          <w:b/>
          <w:color w:val="0070C0"/>
        </w:rPr>
        <w:tab/>
        <w:t>působnost a některé postupy cenových orgánů.</w:t>
      </w:r>
    </w:p>
    <w:p w14:paraId="6DD16641" w14:textId="77777777" w:rsidR="002B6A12" w:rsidRPr="00ED79D7" w:rsidRDefault="002B6A12" w:rsidP="002B6A12">
      <w:pPr>
        <w:tabs>
          <w:tab w:val="left" w:pos="782"/>
          <w:tab w:val="left" w:pos="851"/>
        </w:tabs>
        <w:spacing w:before="120" w:after="120"/>
        <w:outlineLvl w:val="6"/>
        <w:rPr>
          <w:b/>
          <w:color w:val="0070C0"/>
        </w:rPr>
      </w:pPr>
      <w:r w:rsidRPr="00ED79D7">
        <w:rPr>
          <w:b/>
          <w:color w:val="0070C0"/>
        </w:rPr>
        <w:t>(2) Pro účely tohoto zákona se rozumí</w:t>
      </w:r>
    </w:p>
    <w:p w14:paraId="154CB258" w14:textId="77777777" w:rsidR="002B6A12" w:rsidRPr="00ED79D7" w:rsidRDefault="002B6A12" w:rsidP="002B6A12">
      <w:pPr>
        <w:spacing w:before="0"/>
        <w:ind w:left="425" w:hanging="425"/>
        <w:outlineLvl w:val="7"/>
        <w:rPr>
          <w:b/>
          <w:color w:val="0070C0"/>
        </w:rPr>
      </w:pPr>
      <w:r w:rsidRPr="00ED79D7">
        <w:rPr>
          <w:b/>
          <w:color w:val="0070C0"/>
        </w:rPr>
        <w:t xml:space="preserve">a) </w:t>
      </w:r>
      <w:r w:rsidRPr="00ED79D7">
        <w:rPr>
          <w:b/>
          <w:color w:val="0070C0"/>
        </w:rPr>
        <w:tab/>
        <w:t>zbožím výrobky, výkony, práce a služby,</w:t>
      </w:r>
    </w:p>
    <w:p w14:paraId="3A628EA5" w14:textId="77777777" w:rsidR="002B6A12" w:rsidRPr="00ED79D7" w:rsidRDefault="002B6A12" w:rsidP="002B6A12">
      <w:pPr>
        <w:spacing w:before="0"/>
        <w:ind w:left="425" w:hanging="425"/>
        <w:outlineLvl w:val="7"/>
        <w:rPr>
          <w:b/>
          <w:color w:val="0070C0"/>
        </w:rPr>
      </w:pPr>
      <w:r w:rsidRPr="00ED79D7">
        <w:rPr>
          <w:b/>
          <w:color w:val="0070C0"/>
        </w:rPr>
        <w:t xml:space="preserve">b) </w:t>
      </w:r>
      <w:r w:rsidRPr="00ED79D7">
        <w:rPr>
          <w:b/>
          <w:color w:val="0070C0"/>
        </w:rPr>
        <w:tab/>
        <w:t>cenou peněžní částka uplatňovaná při nákupu a prodeji zboží podle § 2 až 13,</w:t>
      </w:r>
    </w:p>
    <w:p w14:paraId="72071E04" w14:textId="77777777" w:rsidR="002B6A12" w:rsidRPr="00ED79D7" w:rsidRDefault="002B6A12" w:rsidP="002B6A12">
      <w:pPr>
        <w:spacing w:before="0"/>
        <w:ind w:left="425" w:hanging="425"/>
        <w:outlineLvl w:val="7"/>
        <w:rPr>
          <w:b/>
          <w:color w:val="0070C0"/>
        </w:rPr>
      </w:pPr>
      <w:r w:rsidRPr="00ED79D7">
        <w:rPr>
          <w:b/>
          <w:color w:val="0070C0"/>
        </w:rPr>
        <w:t xml:space="preserve">c) </w:t>
      </w:r>
      <w:r w:rsidRPr="00ED79D7">
        <w:rPr>
          <w:b/>
          <w:color w:val="0070C0"/>
        </w:rPr>
        <w:tab/>
        <w:t>uplatňováním ceny její nabízení, sjednávání nebo požadování,</w:t>
      </w:r>
    </w:p>
    <w:p w14:paraId="161763A3" w14:textId="77777777" w:rsidR="002B6A12" w:rsidRPr="00ED79D7" w:rsidRDefault="002B6A12" w:rsidP="002B6A12">
      <w:pPr>
        <w:spacing w:before="0"/>
        <w:ind w:left="425" w:hanging="425"/>
        <w:outlineLvl w:val="7"/>
        <w:rPr>
          <w:b/>
          <w:color w:val="0070C0"/>
        </w:rPr>
      </w:pPr>
      <w:r w:rsidRPr="00ED79D7">
        <w:rPr>
          <w:b/>
          <w:color w:val="0070C0"/>
        </w:rPr>
        <w:t xml:space="preserve">d) </w:t>
      </w:r>
      <w:r w:rsidRPr="00ED79D7">
        <w:rPr>
          <w:b/>
          <w:color w:val="0070C0"/>
        </w:rPr>
        <w:tab/>
        <w:t>prodávajícím osoba, která uplatňuje cenu na straně nabídky,</w:t>
      </w:r>
    </w:p>
    <w:p w14:paraId="1A561226" w14:textId="77777777" w:rsidR="002B6A12" w:rsidRPr="00ED79D7" w:rsidRDefault="002B6A12" w:rsidP="002B6A12">
      <w:pPr>
        <w:spacing w:before="0"/>
        <w:ind w:left="425" w:hanging="425"/>
        <w:outlineLvl w:val="7"/>
        <w:rPr>
          <w:b/>
          <w:color w:val="0070C0"/>
        </w:rPr>
      </w:pPr>
      <w:r w:rsidRPr="00ED79D7">
        <w:rPr>
          <w:b/>
          <w:color w:val="0070C0"/>
        </w:rPr>
        <w:t xml:space="preserve">e) </w:t>
      </w:r>
      <w:r w:rsidRPr="00ED79D7">
        <w:rPr>
          <w:b/>
          <w:color w:val="0070C0"/>
        </w:rPr>
        <w:tab/>
        <w:t>kupujícím osoba, která uplatňuje cenu na straně poptávky,</w:t>
      </w:r>
    </w:p>
    <w:p w14:paraId="7302FC8A" w14:textId="77777777" w:rsidR="002B6A12" w:rsidRPr="00ED79D7" w:rsidRDefault="002B6A12" w:rsidP="002B6A12">
      <w:pPr>
        <w:spacing w:before="0"/>
        <w:ind w:left="425" w:hanging="425"/>
        <w:outlineLvl w:val="7"/>
        <w:rPr>
          <w:b/>
          <w:color w:val="0070C0"/>
        </w:rPr>
      </w:pPr>
      <w:r w:rsidRPr="00ED79D7">
        <w:rPr>
          <w:b/>
          <w:color w:val="0070C0"/>
        </w:rPr>
        <w:t xml:space="preserve">f) </w:t>
      </w:r>
      <w:r w:rsidRPr="00ED79D7">
        <w:rPr>
          <w:b/>
          <w:color w:val="0070C0"/>
        </w:rPr>
        <w:tab/>
        <w:t>spotřebitelem fyzická osoba, která nejedná v rámci své podnikatelské činnosti nebo v rámci samostatného výkonu svého povolání,</w:t>
      </w:r>
    </w:p>
    <w:p w14:paraId="549F37F0" w14:textId="77777777" w:rsidR="002B6A12" w:rsidRPr="00ED79D7" w:rsidRDefault="002B6A12" w:rsidP="002B6A12">
      <w:pPr>
        <w:spacing w:before="0"/>
        <w:ind w:left="425" w:hanging="425"/>
        <w:outlineLvl w:val="7"/>
        <w:rPr>
          <w:b/>
          <w:color w:val="0070C0"/>
        </w:rPr>
      </w:pPr>
      <w:r w:rsidRPr="00ED79D7">
        <w:rPr>
          <w:b/>
          <w:color w:val="0070C0"/>
        </w:rPr>
        <w:t xml:space="preserve">g) </w:t>
      </w:r>
      <w:r w:rsidRPr="00ED79D7">
        <w:rPr>
          <w:b/>
          <w:color w:val="0070C0"/>
        </w:rPr>
        <w:tab/>
        <w:t>cenovým orgánem orgán moci výkonné nebo orgán územního samosprávného celku, pokud vykonává působnost v oblasti cen podle tohoto zákona,</w:t>
      </w:r>
    </w:p>
    <w:p w14:paraId="7B31CB20" w14:textId="77777777" w:rsidR="002B6A12" w:rsidRPr="00ED79D7" w:rsidRDefault="002B6A12" w:rsidP="002B6A12">
      <w:pPr>
        <w:spacing w:before="0"/>
        <w:ind w:left="425" w:hanging="425"/>
        <w:outlineLvl w:val="7"/>
        <w:rPr>
          <w:b/>
          <w:color w:val="0070C0"/>
        </w:rPr>
      </w:pPr>
      <w:r w:rsidRPr="00ED79D7">
        <w:rPr>
          <w:b/>
          <w:color w:val="0070C0"/>
        </w:rPr>
        <w:t xml:space="preserve">h) </w:t>
      </w:r>
      <w:r w:rsidRPr="00ED79D7">
        <w:rPr>
          <w:b/>
          <w:color w:val="0070C0"/>
        </w:rPr>
        <w:tab/>
        <w:t xml:space="preserve">ekonomicky oprávněnými náklady </w:t>
      </w:r>
      <w:proofErr w:type="spellStart"/>
      <w:r w:rsidRPr="00ED79D7">
        <w:rPr>
          <w:b/>
          <w:color w:val="0070C0"/>
        </w:rPr>
        <w:t>náklady</w:t>
      </w:r>
      <w:proofErr w:type="spellEnd"/>
      <w:r w:rsidRPr="00ED79D7">
        <w:rPr>
          <w:b/>
          <w:color w:val="0070C0"/>
        </w:rPr>
        <w:t xml:space="preserve"> pořízení odpovídajícího množství přímého materiálu, mzdové a ostatní osobní náklady, technologicky nezbytné ostatní přímé a nepřímé náklady a náklady oběhu,</w:t>
      </w:r>
    </w:p>
    <w:p w14:paraId="404A7BC4" w14:textId="77777777" w:rsidR="002B6A12" w:rsidRPr="00ED79D7" w:rsidRDefault="002B6A12" w:rsidP="002B6A12">
      <w:pPr>
        <w:spacing w:before="0"/>
        <w:ind w:left="425" w:hanging="425"/>
        <w:outlineLvl w:val="7"/>
        <w:rPr>
          <w:b/>
          <w:color w:val="0070C0"/>
        </w:rPr>
      </w:pPr>
      <w:r w:rsidRPr="00ED79D7">
        <w:rPr>
          <w:b/>
          <w:color w:val="0070C0"/>
        </w:rPr>
        <w:t xml:space="preserve">i) </w:t>
      </w:r>
      <w:r w:rsidRPr="00ED79D7">
        <w:rPr>
          <w:b/>
          <w:color w:val="0070C0"/>
        </w:rPr>
        <w:tab/>
        <w:t>přiměřeným ziskem zisk spojený s výrobou a prodejem daného zboží odpovídající obvyklému zisku dlouhodobě dosahovanému při srovnatelných ekonomických činnostech, který zajišťuje přiměřenou návratnost použitého kapitálu v přiměřeném časovém období.</w:t>
      </w:r>
    </w:p>
    <w:p w14:paraId="047AF2D6" w14:textId="77777777" w:rsidR="002B6A12" w:rsidRPr="00ED79D7" w:rsidRDefault="002B6A12" w:rsidP="002B6A12">
      <w:pPr>
        <w:tabs>
          <w:tab w:val="left" w:pos="782"/>
          <w:tab w:val="left" w:pos="851"/>
        </w:tabs>
        <w:spacing w:before="120" w:after="120"/>
        <w:outlineLvl w:val="6"/>
        <w:rPr>
          <w:szCs w:val="24"/>
        </w:rPr>
      </w:pPr>
      <w:r w:rsidRPr="00ED79D7">
        <w:rPr>
          <w:szCs w:val="24"/>
        </w:rPr>
        <w:t xml:space="preserve">(3) Postup podle tohoto zákona platí i pro převody práv a dále též pro převody a přechody vlastnictví k nemovitostem včetně užívacích práv k nemovitostem. </w:t>
      </w:r>
    </w:p>
    <w:p w14:paraId="7BC2AD0B" w14:textId="2B1D1E9B" w:rsidR="002B6A12" w:rsidRPr="00ED79D7" w:rsidRDefault="00A06781" w:rsidP="002B6A12">
      <w:pPr>
        <w:tabs>
          <w:tab w:val="left" w:pos="782"/>
          <w:tab w:val="left" w:pos="851"/>
        </w:tabs>
        <w:spacing w:before="120" w:after="120"/>
        <w:outlineLvl w:val="6"/>
        <w:rPr>
          <w:szCs w:val="24"/>
        </w:rPr>
      </w:pPr>
      <w:r>
        <w:rPr>
          <w:noProof/>
        </w:rPr>
        <w:lastRenderedPageBreak/>
        <mc:AlternateContent>
          <mc:Choice Requires="wps">
            <w:drawing>
              <wp:anchor distT="0" distB="0" distL="114300" distR="114300" simplePos="0" relativeHeight="251663360" behindDoc="1" locked="0" layoutInCell="1" allowOverlap="1" wp14:anchorId="5014FC6E" wp14:editId="182299F4">
                <wp:simplePos x="0" y="0"/>
                <wp:positionH relativeFrom="margin">
                  <wp:posOffset>-226935</wp:posOffset>
                </wp:positionH>
                <wp:positionV relativeFrom="paragraph">
                  <wp:posOffset>-71659</wp:posOffset>
                </wp:positionV>
                <wp:extent cx="6184900" cy="6478438"/>
                <wp:effectExtent l="0" t="0" r="25400" b="17780"/>
                <wp:wrapNone/>
                <wp:docPr id="2" name="Obdélník 2"/>
                <wp:cNvGraphicFramePr/>
                <a:graphic xmlns:a="http://schemas.openxmlformats.org/drawingml/2006/main">
                  <a:graphicData uri="http://schemas.microsoft.com/office/word/2010/wordprocessingShape">
                    <wps:wsp>
                      <wps:cNvSpPr/>
                      <wps:spPr>
                        <a:xfrm>
                          <a:off x="0" y="0"/>
                          <a:ext cx="6184900" cy="6478438"/>
                        </a:xfrm>
                        <a:prstGeom prst="rect">
                          <a:avLst/>
                        </a:prstGeom>
                        <a:ln w="19050">
                          <a:solidFill>
                            <a:srgbClr val="0070C0"/>
                          </a:solidFill>
                        </a:ln>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3AD5C95" id="Obdélník 2" o:spid="_x0000_s1026" style="position:absolute;margin-left:-17.85pt;margin-top:-5.65pt;width:487pt;height:510.1pt;z-index:-25165312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" fillcolor="white [3201]" strokecolor="#0070c0" strokeweight="1.5pt">
                <w10:wrap anchorx="margin"/>
              </v:rect>
            </w:pict>
          </mc:Fallback>
        </mc:AlternateContent>
      </w:r>
      <w:r w:rsidR="002B6A12" w:rsidRPr="00ED79D7">
        <w:rPr>
          <w:szCs w:val="24"/>
        </w:rPr>
        <w:t xml:space="preserve">(4) Zákon se nevztahuje na odměny, úhrady, poplatky, náhrady škod a nákladů a úroky, upravené zvláštními </w:t>
      </w:r>
      <w:proofErr w:type="gramStart"/>
      <w:r w:rsidR="002B6A12" w:rsidRPr="00ED79D7">
        <w:rPr>
          <w:strike/>
          <w:color w:val="0070C0"/>
          <w:szCs w:val="24"/>
        </w:rPr>
        <w:t>předpisy.</w:t>
      </w:r>
      <w:r w:rsidR="002B6A12" w:rsidRPr="00ED79D7">
        <w:rPr>
          <w:strike/>
          <w:color w:val="0070C0"/>
          <w:szCs w:val="24"/>
          <w:vertAlign w:val="superscript"/>
        </w:rPr>
        <w:footnoteReference w:customMarkFollows="1" w:id="12"/>
        <w:t>2)</w:t>
      </w:r>
      <w:r w:rsidR="002B6A12" w:rsidRPr="00ED79D7">
        <w:rPr>
          <w:color w:val="0070C0"/>
          <w:szCs w:val="24"/>
        </w:rPr>
        <w:t xml:space="preserve"> </w:t>
      </w:r>
      <w:r w:rsidR="002B6A12" w:rsidRPr="00ED79D7">
        <w:rPr>
          <w:b/>
          <w:color w:val="0070C0"/>
          <w:szCs w:val="24"/>
        </w:rPr>
        <w:t>předpisy</w:t>
      </w:r>
      <w:proofErr w:type="gramEnd"/>
      <w:r w:rsidR="002B6A12" w:rsidRPr="00ED79D7">
        <w:rPr>
          <w:b/>
          <w:color w:val="0070C0"/>
          <w:szCs w:val="24"/>
        </w:rPr>
        <w:t>.</w:t>
      </w:r>
      <w:r w:rsidRPr="00A06781">
        <w:rPr>
          <w:noProof/>
        </w:rPr>
        <w:t xml:space="preserve"> </w:t>
      </w:r>
    </w:p>
    <w:p w14:paraId="76756CC3" w14:textId="77777777" w:rsidR="002B6A12" w:rsidRPr="00ED79D7" w:rsidRDefault="002B6A12" w:rsidP="002B6A12">
      <w:pPr>
        <w:tabs>
          <w:tab w:val="left" w:pos="782"/>
          <w:tab w:val="left" w:pos="851"/>
        </w:tabs>
        <w:spacing w:before="120" w:after="120"/>
        <w:outlineLvl w:val="6"/>
        <w:rPr>
          <w:strike/>
          <w:color w:val="0070C0"/>
          <w:szCs w:val="24"/>
        </w:rPr>
      </w:pPr>
      <w:r w:rsidRPr="00ED79D7">
        <w:rPr>
          <w:strike/>
          <w:color w:val="0070C0"/>
          <w:szCs w:val="24"/>
        </w:rPr>
        <w:t xml:space="preserve">(5) Zákon vymezuje práva a povinnosti právnických a fyzických osob a pravomoc správních orgánů při uplatňování, regulaci a kontrole cen. </w:t>
      </w:r>
    </w:p>
    <w:p w14:paraId="11DA7917" w14:textId="77777777" w:rsidR="002B6A12" w:rsidRPr="00ED79D7" w:rsidRDefault="002B6A12" w:rsidP="002B6A12">
      <w:pPr>
        <w:tabs>
          <w:tab w:val="left" w:pos="782"/>
          <w:tab w:val="left" w:pos="851"/>
        </w:tabs>
        <w:spacing w:before="120" w:after="120"/>
        <w:outlineLvl w:val="6"/>
        <w:rPr>
          <w:strike/>
          <w:color w:val="0070C0"/>
          <w:szCs w:val="24"/>
        </w:rPr>
      </w:pPr>
      <w:r w:rsidRPr="00ED79D7">
        <w:rPr>
          <w:strike/>
          <w:color w:val="0070C0"/>
          <w:szCs w:val="24"/>
        </w:rPr>
        <w:t xml:space="preserve">(6) Správní orgány příslušné k regulaci cen podle zákona upravujícího působnost orgánů České republiky v oblasti cen (dále jen „cenové orgány“) mohou regulovat ceny podle tohoto zákona </w:t>
      </w:r>
    </w:p>
    <w:p w14:paraId="056431C3" w14:textId="77777777" w:rsidR="002B6A12" w:rsidRPr="00ED79D7" w:rsidRDefault="002B6A12" w:rsidP="002B6A12">
      <w:pPr>
        <w:spacing w:before="0"/>
        <w:ind w:left="425" w:hanging="425"/>
        <w:outlineLvl w:val="7"/>
        <w:rPr>
          <w:strike/>
          <w:color w:val="0070C0"/>
          <w:szCs w:val="24"/>
        </w:rPr>
      </w:pPr>
      <w:r w:rsidRPr="00ED79D7">
        <w:rPr>
          <w:strike/>
          <w:color w:val="0070C0"/>
          <w:szCs w:val="24"/>
        </w:rPr>
        <w:t xml:space="preserve">a) </w:t>
      </w:r>
      <w:r w:rsidRPr="00ED79D7">
        <w:rPr>
          <w:strike/>
          <w:color w:val="0070C0"/>
          <w:szCs w:val="24"/>
        </w:rPr>
        <w:tab/>
        <w:t xml:space="preserve">je-li trh ohrožen účinky omezení hospodářské soutěže, </w:t>
      </w:r>
    </w:p>
    <w:p w14:paraId="6FD5C779" w14:textId="77777777" w:rsidR="002B6A12" w:rsidRPr="00ED79D7" w:rsidRDefault="002B6A12" w:rsidP="002B6A12">
      <w:pPr>
        <w:spacing w:before="0"/>
        <w:ind w:left="425" w:hanging="425"/>
        <w:outlineLvl w:val="7"/>
        <w:rPr>
          <w:strike/>
          <w:color w:val="0070C0"/>
          <w:szCs w:val="24"/>
        </w:rPr>
      </w:pPr>
      <w:r w:rsidRPr="00ED79D7">
        <w:rPr>
          <w:strike/>
          <w:color w:val="0070C0"/>
          <w:szCs w:val="24"/>
        </w:rPr>
        <w:t xml:space="preserve">b) </w:t>
      </w:r>
      <w:r w:rsidRPr="00ED79D7">
        <w:rPr>
          <w:strike/>
          <w:color w:val="0070C0"/>
          <w:szCs w:val="24"/>
        </w:rPr>
        <w:tab/>
        <w:t xml:space="preserve">vyžaduje-li to mimořádná tržní situace, </w:t>
      </w:r>
    </w:p>
    <w:p w14:paraId="775271A7" w14:textId="77777777" w:rsidR="002B6A12" w:rsidRPr="00ED79D7" w:rsidRDefault="002B6A12" w:rsidP="002B6A12">
      <w:pPr>
        <w:spacing w:before="0"/>
        <w:ind w:left="425" w:hanging="425"/>
        <w:outlineLvl w:val="7"/>
        <w:rPr>
          <w:strike/>
          <w:color w:val="0070C0"/>
          <w:szCs w:val="24"/>
        </w:rPr>
      </w:pPr>
      <w:r w:rsidRPr="00ED79D7">
        <w:rPr>
          <w:strike/>
          <w:color w:val="0070C0"/>
          <w:szCs w:val="24"/>
        </w:rPr>
        <w:t xml:space="preserve">c) </w:t>
      </w:r>
      <w:r w:rsidRPr="00ED79D7">
        <w:rPr>
          <w:strike/>
          <w:color w:val="0070C0"/>
          <w:szCs w:val="24"/>
        </w:rPr>
        <w:tab/>
        <w:t>pro účely odvodu spotřební daně z cigaret podle zvláštního právního předpisu</w:t>
      </w:r>
      <w:r w:rsidRPr="00ED79D7">
        <w:rPr>
          <w:strike/>
          <w:color w:val="0070C0"/>
          <w:szCs w:val="24"/>
          <w:vertAlign w:val="superscript"/>
        </w:rPr>
        <w:footnoteReference w:customMarkFollows="1" w:id="13"/>
        <w:t>2a)</w:t>
      </w:r>
      <w:r w:rsidRPr="00ED79D7">
        <w:rPr>
          <w:strike/>
          <w:color w:val="0070C0"/>
          <w:szCs w:val="24"/>
        </w:rPr>
        <w:t xml:space="preserve">, </w:t>
      </w:r>
    </w:p>
    <w:p w14:paraId="30DF07E2" w14:textId="77777777" w:rsidR="002B6A12" w:rsidRPr="00ED79D7" w:rsidRDefault="002B6A12" w:rsidP="002B6A12">
      <w:pPr>
        <w:spacing w:before="0"/>
        <w:ind w:left="425" w:hanging="425"/>
        <w:outlineLvl w:val="7"/>
        <w:rPr>
          <w:strike/>
          <w:color w:val="0070C0"/>
          <w:szCs w:val="24"/>
        </w:rPr>
      </w:pPr>
      <w:r w:rsidRPr="00ED79D7">
        <w:rPr>
          <w:strike/>
          <w:color w:val="0070C0"/>
          <w:szCs w:val="24"/>
        </w:rPr>
        <w:t xml:space="preserve">d) </w:t>
      </w:r>
      <w:r w:rsidRPr="00ED79D7">
        <w:rPr>
          <w:strike/>
          <w:color w:val="0070C0"/>
          <w:szCs w:val="24"/>
        </w:rPr>
        <w:tab/>
        <w:t>vyžadují-li to předpisy Evropských společenství</w:t>
      </w:r>
      <w:r w:rsidRPr="00ED79D7">
        <w:rPr>
          <w:strike/>
          <w:color w:val="0070C0"/>
          <w:szCs w:val="24"/>
          <w:vertAlign w:val="superscript"/>
        </w:rPr>
        <w:footnoteReference w:customMarkFollows="1" w:id="14"/>
        <w:t>2b)</w:t>
      </w:r>
      <w:r w:rsidRPr="00ED79D7">
        <w:rPr>
          <w:strike/>
          <w:color w:val="0070C0"/>
          <w:szCs w:val="24"/>
        </w:rPr>
        <w:t xml:space="preserve">, nebo </w:t>
      </w:r>
    </w:p>
    <w:p w14:paraId="773E3873" w14:textId="77777777" w:rsidR="002B6A12" w:rsidRPr="00ED79D7" w:rsidRDefault="002B6A12" w:rsidP="002B6A12">
      <w:pPr>
        <w:spacing w:before="0"/>
        <w:ind w:left="425" w:hanging="425"/>
        <w:outlineLvl w:val="7"/>
        <w:rPr>
          <w:strike/>
          <w:color w:val="0070C0"/>
          <w:szCs w:val="24"/>
        </w:rPr>
      </w:pPr>
      <w:r w:rsidRPr="00ED79D7">
        <w:rPr>
          <w:strike/>
          <w:color w:val="0070C0"/>
          <w:szCs w:val="24"/>
        </w:rPr>
        <w:t xml:space="preserve">e) </w:t>
      </w:r>
      <w:r w:rsidRPr="00ED79D7">
        <w:rPr>
          <w:strike/>
          <w:color w:val="0070C0"/>
          <w:szCs w:val="24"/>
        </w:rPr>
        <w:tab/>
        <w:t xml:space="preserve">vyžaduje-li to veřejný zájem spočívající v udržení vyváženého postavení prodávajícího a kupujícího u zboží zcela nebo zčásti dotovaného z prostředků státního rozpočtu nebo z jiných veřejných rozpočtů. </w:t>
      </w:r>
    </w:p>
    <w:p w14:paraId="29087B54" w14:textId="77777777" w:rsidR="002B6A12" w:rsidRPr="00ED79D7" w:rsidRDefault="002B6A12" w:rsidP="002B6A12">
      <w:pPr>
        <w:tabs>
          <w:tab w:val="left" w:pos="782"/>
          <w:tab w:val="left" w:pos="851"/>
        </w:tabs>
        <w:spacing w:before="120" w:after="120"/>
        <w:outlineLvl w:val="6"/>
        <w:rPr>
          <w:b/>
          <w:color w:val="0070C0"/>
          <w:szCs w:val="24"/>
        </w:rPr>
      </w:pPr>
      <w:r w:rsidRPr="00ED79D7">
        <w:rPr>
          <w:b/>
          <w:color w:val="0070C0"/>
        </w:rPr>
        <w:t xml:space="preserve">(5) </w:t>
      </w:r>
      <w:r w:rsidRPr="00ED79D7">
        <w:rPr>
          <w:b/>
          <w:color w:val="0070C0"/>
          <w:szCs w:val="24"/>
        </w:rPr>
        <w:t>Nepřiměřený majetkový prospěch podle tohoto zákona získá</w:t>
      </w:r>
    </w:p>
    <w:p w14:paraId="4570208E" w14:textId="77777777" w:rsidR="002B6A12" w:rsidRPr="00ED79D7" w:rsidRDefault="002B6A12" w:rsidP="002B6A12">
      <w:pPr>
        <w:ind w:left="425" w:hanging="425"/>
        <w:outlineLvl w:val="7"/>
        <w:rPr>
          <w:b/>
          <w:color w:val="0070C0"/>
          <w:szCs w:val="24"/>
        </w:rPr>
      </w:pPr>
      <w:r w:rsidRPr="00ED79D7">
        <w:rPr>
          <w:b/>
          <w:color w:val="0070C0"/>
          <w:szCs w:val="24"/>
        </w:rPr>
        <w:t xml:space="preserve">a) </w:t>
      </w:r>
      <w:r w:rsidRPr="00ED79D7">
        <w:rPr>
          <w:b/>
          <w:color w:val="0070C0"/>
          <w:szCs w:val="24"/>
        </w:rPr>
        <w:tab/>
        <w:t>prodávající, jestliže prodá zboží za cenu</w:t>
      </w:r>
    </w:p>
    <w:p w14:paraId="799DB5A8" w14:textId="77777777" w:rsidR="002B6A12" w:rsidRPr="00ED79D7" w:rsidRDefault="002B6A12" w:rsidP="002B6A12">
      <w:pPr>
        <w:spacing w:before="0"/>
        <w:ind w:left="850" w:hanging="425"/>
        <w:outlineLvl w:val="7"/>
        <w:rPr>
          <w:b/>
          <w:color w:val="0070C0"/>
          <w:szCs w:val="24"/>
        </w:rPr>
      </w:pPr>
      <w:r w:rsidRPr="00ED79D7">
        <w:rPr>
          <w:b/>
          <w:color w:val="0070C0"/>
          <w:szCs w:val="24"/>
        </w:rPr>
        <w:t xml:space="preserve">1. </w:t>
      </w:r>
      <w:r w:rsidRPr="00ED79D7">
        <w:rPr>
          <w:b/>
          <w:color w:val="0070C0"/>
          <w:szCs w:val="24"/>
        </w:rPr>
        <w:tab/>
        <w:t xml:space="preserve">zahrnující </w:t>
      </w:r>
      <w:r w:rsidRPr="00ED79D7">
        <w:rPr>
          <w:rFonts w:hint="cs"/>
          <w:b/>
          <w:color w:val="0070C0"/>
          <w:szCs w:val="24"/>
        </w:rPr>
        <w:t>ekono</w:t>
      </w:r>
      <w:r w:rsidRPr="00ED79D7">
        <w:rPr>
          <w:b/>
          <w:color w:val="0070C0"/>
          <w:szCs w:val="24"/>
        </w:rPr>
        <w:t xml:space="preserve">micky neoprávněné náklady nebo nepřiměřený zisk získaný na základě uplatnění vyšší ceny prodeje oproti tržní hodnotě podle zákona </w:t>
      </w:r>
      <w:r w:rsidRPr="00ED79D7">
        <w:rPr>
          <w:b/>
          <w:strike/>
          <w:szCs w:val="24"/>
        </w:rPr>
        <w:t>o oceňování majetku</w:t>
      </w:r>
      <w:r w:rsidRPr="00ED79D7">
        <w:rPr>
          <w:b/>
          <w:szCs w:val="24"/>
        </w:rPr>
        <w:t xml:space="preserve"> upravujícího oceňování věcí, služeb a dluhů</w:t>
      </w:r>
      <w:r w:rsidRPr="00ED79D7">
        <w:rPr>
          <w:b/>
          <w:color w:val="0070C0"/>
          <w:szCs w:val="24"/>
        </w:rPr>
        <w:t>, v případě zneužití výhodnějšího</w:t>
      </w:r>
      <w:r w:rsidRPr="00ED79D7">
        <w:rPr>
          <w:rFonts w:hint="cs"/>
          <w:b/>
          <w:color w:val="0070C0"/>
          <w:szCs w:val="24"/>
        </w:rPr>
        <w:t xml:space="preserve"> hospodářského</w:t>
      </w:r>
      <w:r w:rsidRPr="00ED79D7">
        <w:rPr>
          <w:b/>
          <w:color w:val="0070C0"/>
          <w:szCs w:val="24"/>
        </w:rPr>
        <w:t xml:space="preserve"> postavení na trhu,</w:t>
      </w:r>
    </w:p>
    <w:p w14:paraId="324EF893" w14:textId="77777777" w:rsidR="002B6A12" w:rsidRPr="00ED79D7" w:rsidRDefault="002B6A12" w:rsidP="002B6A12">
      <w:pPr>
        <w:spacing w:before="0"/>
        <w:ind w:left="425" w:hanging="425"/>
        <w:outlineLvl w:val="7"/>
        <w:rPr>
          <w:b/>
          <w:color w:val="0070C0"/>
          <w:szCs w:val="24"/>
        </w:rPr>
      </w:pPr>
      <w:r w:rsidRPr="00ED79D7">
        <w:rPr>
          <w:b/>
          <w:strike/>
          <w:color w:val="0070C0"/>
          <w:szCs w:val="24"/>
        </w:rPr>
        <w:t>2.</w:t>
      </w:r>
      <w:r w:rsidRPr="00ED79D7">
        <w:rPr>
          <w:rFonts w:hint="cs"/>
          <w:b/>
          <w:color w:val="0070C0"/>
          <w:szCs w:val="24"/>
        </w:rPr>
        <w:t xml:space="preserve"> </w:t>
      </w:r>
      <w:r w:rsidRPr="00ED79D7">
        <w:rPr>
          <w:b/>
          <w:color w:val="0070C0"/>
          <w:szCs w:val="24"/>
        </w:rPr>
        <w:tab/>
        <w:t>vyšší než maximální nebo pevnou úředně stanovenou cenu, nebo</w:t>
      </w:r>
    </w:p>
    <w:p w14:paraId="1AA2F3B3" w14:textId="77777777" w:rsidR="002B6A12" w:rsidRPr="00ED79D7" w:rsidRDefault="002B6A12" w:rsidP="002B6A12">
      <w:pPr>
        <w:spacing w:before="0"/>
        <w:ind w:left="425" w:hanging="425"/>
        <w:outlineLvl w:val="7"/>
        <w:rPr>
          <w:b/>
          <w:color w:val="0070C0"/>
          <w:szCs w:val="24"/>
        </w:rPr>
      </w:pPr>
      <w:r w:rsidRPr="00ED79D7">
        <w:rPr>
          <w:b/>
          <w:strike/>
          <w:color w:val="0070C0"/>
          <w:szCs w:val="24"/>
        </w:rPr>
        <w:t>3.</w:t>
      </w:r>
      <w:r w:rsidRPr="00ED79D7">
        <w:rPr>
          <w:rFonts w:hint="cs"/>
          <w:b/>
          <w:color w:val="0070C0"/>
          <w:szCs w:val="24"/>
        </w:rPr>
        <w:t xml:space="preserve"> </w:t>
      </w:r>
      <w:r w:rsidRPr="00ED79D7">
        <w:rPr>
          <w:b/>
          <w:color w:val="0070C0"/>
          <w:szCs w:val="24"/>
        </w:rPr>
        <w:tab/>
        <w:t>vyšší, než by odpovídalo pravidlům cenové regulace,</w:t>
      </w:r>
    </w:p>
    <w:p w14:paraId="786BDAC3" w14:textId="77777777" w:rsidR="002B6A12" w:rsidRPr="00ED79D7" w:rsidRDefault="002B6A12" w:rsidP="002B6A12">
      <w:pPr>
        <w:spacing w:before="0"/>
        <w:ind w:left="425" w:hanging="425"/>
        <w:outlineLvl w:val="7"/>
        <w:rPr>
          <w:b/>
          <w:color w:val="0070C0"/>
          <w:szCs w:val="24"/>
        </w:rPr>
      </w:pPr>
      <w:r w:rsidRPr="00ED79D7">
        <w:rPr>
          <w:b/>
          <w:color w:val="0070C0"/>
          <w:szCs w:val="24"/>
        </w:rPr>
        <w:t xml:space="preserve">b) </w:t>
      </w:r>
      <w:r w:rsidRPr="00ED79D7">
        <w:rPr>
          <w:b/>
          <w:color w:val="0070C0"/>
          <w:szCs w:val="24"/>
        </w:rPr>
        <w:tab/>
        <w:t>kupující, jestliže nakoupí zboží za cenu</w:t>
      </w:r>
    </w:p>
    <w:p w14:paraId="5CB468A5" w14:textId="77777777" w:rsidR="002B6A12" w:rsidRPr="00ED79D7" w:rsidRDefault="002B6A12" w:rsidP="002B6A12">
      <w:pPr>
        <w:spacing w:before="0"/>
        <w:ind w:left="425" w:hanging="425"/>
        <w:outlineLvl w:val="7"/>
        <w:rPr>
          <w:b/>
          <w:color w:val="0070C0"/>
          <w:szCs w:val="24"/>
        </w:rPr>
      </w:pPr>
      <w:r w:rsidRPr="00ED79D7">
        <w:rPr>
          <w:b/>
          <w:color w:val="0070C0"/>
          <w:szCs w:val="24"/>
        </w:rPr>
        <w:t xml:space="preserve">1. </w:t>
      </w:r>
      <w:r w:rsidRPr="00ED79D7">
        <w:rPr>
          <w:b/>
          <w:color w:val="0070C0"/>
          <w:szCs w:val="24"/>
        </w:rPr>
        <w:tab/>
        <w:t xml:space="preserve">výrazně nedosahující ekonomicky oprávněných nákladů nebo nižší, než je tržní hodnota podle zákona </w:t>
      </w:r>
      <w:r w:rsidRPr="00ED79D7">
        <w:rPr>
          <w:b/>
          <w:strike/>
          <w:szCs w:val="24"/>
        </w:rPr>
        <w:t>o oceňování majetku</w:t>
      </w:r>
      <w:r w:rsidRPr="00ED79D7">
        <w:rPr>
          <w:b/>
          <w:szCs w:val="24"/>
        </w:rPr>
        <w:t xml:space="preserve"> upravujícího oceňování věcí, služeb a dluhů</w:t>
      </w:r>
      <w:r w:rsidRPr="00ED79D7">
        <w:rPr>
          <w:b/>
          <w:color w:val="0070C0"/>
          <w:szCs w:val="24"/>
        </w:rPr>
        <w:t>, v případě zneužití výhodnějšího hospodářského postavení na trhu, nebo</w:t>
      </w:r>
    </w:p>
    <w:p w14:paraId="101F5AE2" w14:textId="77777777" w:rsidR="002B6A12" w:rsidRPr="00ED79D7" w:rsidRDefault="002B6A12" w:rsidP="002B6A12">
      <w:pPr>
        <w:spacing w:before="0"/>
        <w:ind w:left="425" w:hanging="425"/>
        <w:outlineLvl w:val="7"/>
        <w:rPr>
          <w:b/>
          <w:color w:val="0070C0"/>
          <w:szCs w:val="24"/>
        </w:rPr>
      </w:pPr>
      <w:r w:rsidRPr="00ED79D7">
        <w:rPr>
          <w:b/>
          <w:color w:val="0070C0"/>
          <w:szCs w:val="24"/>
        </w:rPr>
        <w:t xml:space="preserve">2. </w:t>
      </w:r>
      <w:r w:rsidRPr="00ED79D7">
        <w:rPr>
          <w:b/>
          <w:color w:val="0070C0"/>
          <w:szCs w:val="24"/>
        </w:rPr>
        <w:tab/>
        <w:t>nižší než minimální nebo pevnou úředně stanovenou cenu.</w:t>
      </w:r>
    </w:p>
    <w:p w14:paraId="1DEE5AE2" w14:textId="77777777" w:rsidR="002B6A12" w:rsidRPr="00ED79D7" w:rsidRDefault="002B6A12" w:rsidP="002B6A12">
      <w:pPr>
        <w:tabs>
          <w:tab w:val="left" w:pos="782"/>
          <w:tab w:val="left" w:pos="851"/>
        </w:tabs>
        <w:spacing w:before="120" w:after="120"/>
        <w:outlineLvl w:val="6"/>
        <w:rPr>
          <w:b/>
          <w:color w:val="0070C0"/>
          <w:szCs w:val="24"/>
        </w:rPr>
      </w:pPr>
      <w:r w:rsidRPr="00ED79D7">
        <w:rPr>
          <w:b/>
          <w:color w:val="0070C0"/>
          <w:szCs w:val="24"/>
        </w:rPr>
        <w:t>(6) Při posuzování ekonomicky oprávněných nákladů podle odstavce 2 písm. h) se vychází z dlouhodobě obvyklé úrovně těchto nákladů v obdobných ekonomických činnostech s přihlédnutím k zvláštnostem daného zboží.</w:t>
      </w:r>
    </w:p>
    <w:p w14:paraId="7445CAD3" w14:textId="0295E507" w:rsidR="00C11813" w:rsidRDefault="002B6A12" w:rsidP="002B6A12">
      <w:pPr>
        <w:tabs>
          <w:tab w:val="left" w:pos="782"/>
          <w:tab w:val="left" w:pos="851"/>
        </w:tabs>
        <w:spacing w:before="120" w:after="120"/>
        <w:outlineLvl w:val="6"/>
      </w:pPr>
      <w:r w:rsidRPr="00ED79D7">
        <w:rPr>
          <w:b/>
          <w:color w:val="0070C0"/>
          <w:szCs w:val="24"/>
        </w:rPr>
        <w:lastRenderedPageBreak/>
        <w:t>(7) Prodávající získá nepřiměřený majetkový prospěch dnem jeho připsání na účet, popřípadě dnem převzetí hotovosti. Kupující získá nepřiměřený majetkový prospěch dnem, kdy získal předmětné plnění</w:t>
      </w:r>
      <w:r>
        <w:rPr>
          <w:b/>
          <w:color w:val="0070C0"/>
          <w:szCs w:val="24"/>
        </w:rPr>
        <w:t>.</w:t>
      </w:r>
    </w:p>
    <w:p w14:paraId="2B179BC6" w14:textId="77777777" w:rsidR="00FC7E78" w:rsidRDefault="00FC7E78" w:rsidP="0034696F">
      <w:pPr>
        <w:pStyle w:val="Textparagrafu"/>
        <w:numPr>
          <w:ilvl w:val="0"/>
          <w:numId w:val="27"/>
        </w:numPr>
        <w:sectPr w:rsidR="00FC7E78" w:rsidSect="00FC7E78">
          <w:pgSz w:w="11906" w:h="16838"/>
          <w:pgMar w:top="1417" w:right="1417" w:bottom="1417" w:left="1417" w:header="708" w:footer="708" w:gutter="0"/>
          <w:cols w:space="708"/>
          <w:docGrid w:linePitch="360"/>
        </w:sectPr>
      </w:pPr>
    </w:p>
    <w:p w14:paraId="4953BA6A" w14:textId="17D723AE" w:rsidR="00FC7E78" w:rsidRPr="00A06781" w:rsidRDefault="00FC7E78" w:rsidP="00A06781">
      <w:pPr>
        <w:pStyle w:val="Odstavecseseznamem"/>
        <w:numPr>
          <w:ilvl w:val="0"/>
          <w:numId w:val="27"/>
        </w:numPr>
        <w:tabs>
          <w:tab w:val="left" w:pos="851"/>
        </w:tabs>
        <w:spacing w:before="120" w:after="120"/>
        <w:jc w:val="center"/>
        <w:outlineLvl w:val="0"/>
        <w:rPr>
          <w:b/>
          <w:szCs w:val="24"/>
        </w:rPr>
      </w:pPr>
      <w:r w:rsidRPr="002B6A12">
        <w:rPr>
          <w:b/>
          <w:szCs w:val="24"/>
        </w:rPr>
        <w:lastRenderedPageBreak/>
        <w:t xml:space="preserve">K části čtvrté návrhu zákona – </w:t>
      </w:r>
      <w:r w:rsidRPr="002B6A12">
        <w:rPr>
          <w:szCs w:val="24"/>
        </w:rPr>
        <w:t xml:space="preserve">změna zákona </w:t>
      </w:r>
      <w:r w:rsidR="00A31813" w:rsidRPr="002B6A12">
        <w:rPr>
          <w:szCs w:val="24"/>
        </w:rPr>
        <w:t>o podmínkách převodu majetku státu na jiné osoby</w:t>
      </w:r>
    </w:p>
    <w:p w14:paraId="2C234F06" w14:textId="14AEC65B" w:rsidR="00FC7E78" w:rsidRDefault="00FC7E78" w:rsidP="0034696F">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2B6A12">
        <w:rPr>
          <w:b/>
          <w:szCs w:val="24"/>
        </w:rPr>
        <w:t>Platné znění</w:t>
      </w:r>
      <w:r w:rsidRPr="002B6A12">
        <w:rPr>
          <w:szCs w:val="24"/>
        </w:rPr>
        <w:t xml:space="preserve"> zákona </w:t>
      </w:r>
      <w:r w:rsidRPr="002B6A12">
        <w:rPr>
          <w:color w:val="000000"/>
          <w:szCs w:val="24"/>
        </w:rPr>
        <w:t xml:space="preserve">č. 92/1991 Sb., </w:t>
      </w:r>
      <w:r w:rsidR="00A31813" w:rsidRPr="002B6A12">
        <w:rPr>
          <w:szCs w:val="24"/>
        </w:rPr>
        <w:t>o podmínkách převodu majetku státu na jiné osoby</w:t>
      </w:r>
    </w:p>
    <w:p w14:paraId="619B5CD7" w14:textId="6F7646C7" w:rsidR="00FC7E78" w:rsidRPr="00A06781" w:rsidRDefault="00A06781" w:rsidP="00A06781">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ED79D7">
        <w:rPr>
          <w:b/>
          <w:szCs w:val="24"/>
          <w:lang w:eastAsia="en-US"/>
        </w:rPr>
        <w:t xml:space="preserve">s vyznačením navrhovaných </w:t>
      </w:r>
      <w:r>
        <w:rPr>
          <w:b/>
          <w:szCs w:val="24"/>
          <w:lang w:eastAsia="en-US"/>
        </w:rPr>
        <w:t>změn a doplnění k 1. lednu 2025</w:t>
      </w:r>
    </w:p>
    <w:p w14:paraId="6A458CCB" w14:textId="77777777" w:rsidR="002B6A12" w:rsidRDefault="002B6A12" w:rsidP="002B6A12">
      <w:pPr>
        <w:pStyle w:val="Paragraf"/>
        <w:numPr>
          <w:ilvl w:val="0"/>
          <w:numId w:val="27"/>
        </w:numPr>
      </w:pPr>
      <w:r>
        <w:t>§ 1</w:t>
      </w:r>
    </w:p>
    <w:p w14:paraId="09373093" w14:textId="77777777" w:rsidR="002B6A12" w:rsidRDefault="002B6A12" w:rsidP="00A06781">
      <w:pPr>
        <w:pStyle w:val="PZTextodstavce"/>
      </w:pPr>
      <w:r>
        <w:t xml:space="preserve">(1) </w:t>
      </w:r>
      <w:r w:rsidRPr="004463F8">
        <w:t>Tento zákon upravuje podmínky převodu majetku státu, k němuž mají právo hospodaření státní podniky, státní peněžní ústavy a jiné státní organizace (dále jen "podnik"), jakož i podmínky převodu majetkových účastí státu na podnikání jiných právnických osob, a to na české nebo zahraniční právnické nebo fyzické osoby (dále jen "privatizace").</w:t>
      </w:r>
    </w:p>
    <w:p w14:paraId="254F2F4D" w14:textId="77777777" w:rsidR="002B6A12" w:rsidRDefault="002B6A12" w:rsidP="00A06781">
      <w:pPr>
        <w:pStyle w:val="PZTextodstavce"/>
      </w:pPr>
      <w:r>
        <w:t xml:space="preserve">(2) </w:t>
      </w:r>
      <w:r w:rsidRPr="00CE3307">
        <w:t>Tento zákon se použije obdobně na majetek podniků zahraničního obchodu a účelových organizací zahraničního obchodu i na jejich majetkové účasti na podnikání jiných právnických osob.</w:t>
      </w:r>
    </w:p>
    <w:p w14:paraId="69D663C7" w14:textId="77777777" w:rsidR="002B6A12" w:rsidRDefault="002B6A12" w:rsidP="00A06781">
      <w:pPr>
        <w:pStyle w:val="PZTextodstavce"/>
      </w:pPr>
      <w:r>
        <w:t xml:space="preserve">(3) </w:t>
      </w:r>
      <w:r w:rsidRPr="00CE3307">
        <w:t>Podmínky převodu majetku státu stanovené tímto zákonem se nevztahují na majetek, který podle ústavních nebo zvláštních zákonů může být jen ve vlastnictví státu.</w:t>
      </w:r>
    </w:p>
    <w:p w14:paraId="60BEBC15" w14:textId="77777777" w:rsidR="002B6A12" w:rsidRPr="00570343" w:rsidRDefault="002B6A12" w:rsidP="00A06781">
      <w:pPr>
        <w:pStyle w:val="PZTextodstavce"/>
        <w:rPr>
          <w:b/>
        </w:rPr>
      </w:pPr>
      <w:r w:rsidRPr="00570343">
        <w:rPr>
          <w:b/>
        </w:rPr>
        <w:t>(4) Při převádění majetku podle tohoto zákona se nepoužije zákon upravující oceňování věcí, služeb a dluhů.</w:t>
      </w:r>
    </w:p>
    <w:p w14:paraId="3A588CFE" w14:textId="5BE87A29" w:rsidR="00FC7E78" w:rsidRDefault="00FC7E78" w:rsidP="0034696F">
      <w:pPr>
        <w:pStyle w:val="Textparagrafu"/>
        <w:numPr>
          <w:ilvl w:val="0"/>
          <w:numId w:val="27"/>
        </w:numPr>
      </w:pPr>
    </w:p>
    <w:p w14:paraId="5E25BEEE" w14:textId="77777777" w:rsidR="00A31813" w:rsidRDefault="00A31813" w:rsidP="0034696F">
      <w:pPr>
        <w:pStyle w:val="Textparagrafu"/>
        <w:numPr>
          <w:ilvl w:val="0"/>
          <w:numId w:val="27"/>
        </w:numPr>
        <w:sectPr w:rsidR="00A31813" w:rsidSect="00FC7E78">
          <w:pgSz w:w="11906" w:h="16838"/>
          <w:pgMar w:top="1417" w:right="1417" w:bottom="1417" w:left="1417" w:header="708" w:footer="708" w:gutter="0"/>
          <w:cols w:space="708"/>
          <w:docGrid w:linePitch="360"/>
        </w:sectPr>
      </w:pPr>
    </w:p>
    <w:p w14:paraId="3A9FF6B9" w14:textId="063AEBAB" w:rsidR="00A31813" w:rsidRPr="00E70B7D" w:rsidRDefault="00A31813" w:rsidP="0034696F">
      <w:pPr>
        <w:pStyle w:val="Odstavecseseznamem"/>
        <w:numPr>
          <w:ilvl w:val="0"/>
          <w:numId w:val="27"/>
        </w:numPr>
        <w:tabs>
          <w:tab w:val="left" w:pos="851"/>
        </w:tabs>
        <w:spacing w:before="120" w:after="120"/>
        <w:jc w:val="center"/>
        <w:outlineLvl w:val="0"/>
        <w:rPr>
          <w:b/>
          <w:szCs w:val="24"/>
        </w:rPr>
      </w:pPr>
      <w:r w:rsidRPr="00E70B7D">
        <w:rPr>
          <w:b/>
          <w:szCs w:val="24"/>
        </w:rPr>
        <w:lastRenderedPageBreak/>
        <w:t xml:space="preserve">K části páté návrhu zákona – </w:t>
      </w:r>
      <w:r w:rsidRPr="00E70B7D">
        <w:rPr>
          <w:szCs w:val="24"/>
        </w:rPr>
        <w:t xml:space="preserve">změna </w:t>
      </w:r>
      <w:r>
        <w:rPr>
          <w:szCs w:val="24"/>
        </w:rPr>
        <w:t xml:space="preserve">zákona </w:t>
      </w:r>
      <w:r w:rsidRPr="00A31813">
        <w:rPr>
          <w:szCs w:val="24"/>
        </w:rPr>
        <w:t>o České inspekci životního prostředí a její působnosti v ochraně lesa</w:t>
      </w:r>
    </w:p>
    <w:p w14:paraId="25C8DF5D" w14:textId="77777777" w:rsidR="00A31813" w:rsidRPr="00AE0742" w:rsidRDefault="00A31813" w:rsidP="00A31813">
      <w:pPr>
        <w:pStyle w:val="Odstavecseseznamem"/>
        <w:tabs>
          <w:tab w:val="left" w:pos="851"/>
        </w:tabs>
        <w:spacing w:before="120" w:after="120"/>
        <w:ind w:left="0"/>
        <w:outlineLvl w:val="0"/>
        <w:rPr>
          <w:b/>
          <w:szCs w:val="24"/>
        </w:rPr>
      </w:pPr>
    </w:p>
    <w:p w14:paraId="262DC98E" w14:textId="29DCCB4B" w:rsidR="00A31813" w:rsidRDefault="00A31813" w:rsidP="0034696F">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AE0742">
        <w:rPr>
          <w:b/>
          <w:szCs w:val="24"/>
        </w:rPr>
        <w:t>Platné znění</w:t>
      </w:r>
      <w:r w:rsidRPr="00AE0742">
        <w:rPr>
          <w:szCs w:val="24"/>
        </w:rPr>
        <w:t xml:space="preserve"> zákona </w:t>
      </w:r>
      <w:r w:rsidRPr="00AE0742">
        <w:rPr>
          <w:color w:val="000000"/>
          <w:szCs w:val="24"/>
        </w:rPr>
        <w:t>č. </w:t>
      </w:r>
      <w:r>
        <w:rPr>
          <w:color w:val="000000"/>
          <w:szCs w:val="24"/>
        </w:rPr>
        <w:t xml:space="preserve">282/1991 </w:t>
      </w:r>
      <w:r w:rsidRPr="00AE0742">
        <w:rPr>
          <w:color w:val="000000"/>
          <w:szCs w:val="24"/>
        </w:rPr>
        <w:t xml:space="preserve">Sb., </w:t>
      </w:r>
      <w:r w:rsidRPr="00A31813">
        <w:rPr>
          <w:szCs w:val="24"/>
        </w:rPr>
        <w:t>o České inspekci životního prostředí a její působnosti v ochraně lesa</w:t>
      </w:r>
    </w:p>
    <w:p w14:paraId="459A0D19" w14:textId="27862898" w:rsidR="00A31813" w:rsidRPr="00AE0742" w:rsidRDefault="00A06781" w:rsidP="0034696F">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ED79D7">
        <w:rPr>
          <w:b/>
          <w:szCs w:val="24"/>
          <w:lang w:eastAsia="en-US"/>
        </w:rPr>
        <w:t xml:space="preserve">s vyznačením navrhovaných </w:t>
      </w:r>
      <w:r>
        <w:rPr>
          <w:b/>
          <w:szCs w:val="24"/>
          <w:lang w:eastAsia="en-US"/>
        </w:rPr>
        <w:t>změn a doplnění k 1. lednu 2025</w:t>
      </w:r>
    </w:p>
    <w:p w14:paraId="11AFD400" w14:textId="0C0E88F0" w:rsidR="00A31813" w:rsidRDefault="00A31813" w:rsidP="0034696F">
      <w:pPr>
        <w:pStyle w:val="Textparagrafu"/>
        <w:numPr>
          <w:ilvl w:val="0"/>
          <w:numId w:val="27"/>
        </w:numPr>
        <w:jc w:val="center"/>
      </w:pPr>
      <w:r w:rsidRPr="00BF3A01">
        <w:t>§</w:t>
      </w:r>
      <w:r>
        <w:t xml:space="preserve"> </w:t>
      </w:r>
      <w:r w:rsidRPr="00BF3A01">
        <w:t>1</w:t>
      </w:r>
    </w:p>
    <w:p w14:paraId="2164BAED" w14:textId="77777777" w:rsidR="00A31813" w:rsidRDefault="00A31813" w:rsidP="00A06781">
      <w:pPr>
        <w:pStyle w:val="Textparagrafu"/>
        <w:numPr>
          <w:ilvl w:val="0"/>
          <w:numId w:val="27"/>
        </w:numPr>
        <w:spacing w:before="120" w:after="120"/>
        <w:ind w:firstLine="425"/>
      </w:pPr>
      <w:r w:rsidRPr="00BF3A01">
        <w:t>(1)</w:t>
      </w:r>
      <w:r>
        <w:t xml:space="preserve"> </w:t>
      </w:r>
      <w:r w:rsidRPr="00BF3A01">
        <w:t>Zřizuje</w:t>
      </w:r>
      <w:r>
        <w:t xml:space="preserve"> </w:t>
      </w:r>
      <w:r w:rsidRPr="00BF3A01">
        <w:t>se</w:t>
      </w:r>
      <w:r>
        <w:t xml:space="preserve"> </w:t>
      </w:r>
      <w:r w:rsidRPr="00BF3A01">
        <w:t>Česká</w:t>
      </w:r>
      <w:r>
        <w:t xml:space="preserve"> </w:t>
      </w:r>
      <w:r w:rsidRPr="00BF3A01">
        <w:t>inspekce</w:t>
      </w:r>
      <w:r>
        <w:t xml:space="preserve"> </w:t>
      </w:r>
      <w:r w:rsidRPr="00BF3A01">
        <w:t>životního</w:t>
      </w:r>
      <w:r>
        <w:t xml:space="preserve"> </w:t>
      </w:r>
      <w:r w:rsidRPr="00BF3A01">
        <w:t>prostředí</w:t>
      </w:r>
      <w:r>
        <w:t xml:space="preserve"> </w:t>
      </w:r>
      <w:r w:rsidRPr="00BF3A01">
        <w:t>(dále</w:t>
      </w:r>
      <w:r>
        <w:t xml:space="preserve"> </w:t>
      </w:r>
      <w:r w:rsidRPr="00BF3A01">
        <w:t>jen</w:t>
      </w:r>
      <w:r>
        <w:t xml:space="preserve"> </w:t>
      </w:r>
      <w:r w:rsidRPr="00BF3A01">
        <w:t>"inspekce")</w:t>
      </w:r>
      <w:r>
        <w:t xml:space="preserve"> </w:t>
      </w:r>
      <w:r w:rsidRPr="00BF3A01">
        <w:t>jako</w:t>
      </w:r>
      <w:r>
        <w:t xml:space="preserve"> </w:t>
      </w:r>
      <w:r w:rsidRPr="00BF3A01">
        <w:t>orgán</w:t>
      </w:r>
      <w:r>
        <w:t xml:space="preserve"> </w:t>
      </w:r>
      <w:r w:rsidRPr="00BF3A01">
        <w:t>státní</w:t>
      </w:r>
      <w:r>
        <w:t xml:space="preserve"> </w:t>
      </w:r>
      <w:r w:rsidRPr="00BF3A01">
        <w:t>správy,</w:t>
      </w:r>
      <w:r>
        <w:t xml:space="preserve"> </w:t>
      </w:r>
      <w:r w:rsidRPr="00BF3A01">
        <w:t>který</w:t>
      </w:r>
      <w:r>
        <w:t xml:space="preserve"> </w:t>
      </w:r>
      <w:r w:rsidRPr="00BF3A01">
        <w:t>je</w:t>
      </w:r>
      <w:r>
        <w:t xml:space="preserve"> </w:t>
      </w:r>
      <w:r w:rsidRPr="00BF3A01">
        <w:t>podřízen</w:t>
      </w:r>
      <w:r>
        <w:t xml:space="preserve"> </w:t>
      </w:r>
      <w:r w:rsidRPr="00BF3A01">
        <w:t>ministerstvu</w:t>
      </w:r>
      <w:r>
        <w:t xml:space="preserve"> </w:t>
      </w:r>
      <w:r w:rsidRPr="00BF3A01">
        <w:t>životního</w:t>
      </w:r>
      <w:r>
        <w:t xml:space="preserve"> </w:t>
      </w:r>
      <w:r w:rsidRPr="00BF3A01">
        <w:t>prostředí</w:t>
      </w:r>
      <w:r>
        <w:t xml:space="preserve"> </w:t>
      </w:r>
      <w:r w:rsidRPr="00BF3A01">
        <w:t>České</w:t>
      </w:r>
      <w:r>
        <w:t xml:space="preserve"> </w:t>
      </w:r>
      <w:r w:rsidRPr="00BF3A01">
        <w:t>republiky</w:t>
      </w:r>
      <w:r>
        <w:t xml:space="preserve"> </w:t>
      </w:r>
      <w:r w:rsidRPr="00BF3A01">
        <w:t>(dále</w:t>
      </w:r>
      <w:r>
        <w:t xml:space="preserve"> </w:t>
      </w:r>
      <w:r w:rsidRPr="00BF3A01">
        <w:t>jen</w:t>
      </w:r>
      <w:r>
        <w:t xml:space="preserve"> </w:t>
      </w:r>
      <w:r w:rsidRPr="00BF3A01">
        <w:t>"ministerstvo").</w:t>
      </w:r>
    </w:p>
    <w:p w14:paraId="3063CF0B" w14:textId="77777777" w:rsidR="00A31813" w:rsidRDefault="00A31813" w:rsidP="00A06781">
      <w:pPr>
        <w:pStyle w:val="Textparagrafu"/>
        <w:numPr>
          <w:ilvl w:val="0"/>
          <w:numId w:val="27"/>
        </w:numPr>
        <w:spacing w:before="120" w:after="120"/>
        <w:ind w:firstLine="425"/>
      </w:pPr>
      <w:r w:rsidRPr="00BF3A01">
        <w:t>(2)</w:t>
      </w:r>
      <w:r>
        <w:t xml:space="preserve"> </w:t>
      </w:r>
      <w:r w:rsidRPr="00BF3A01">
        <w:t>Inspekce</w:t>
      </w:r>
      <w:r>
        <w:t xml:space="preserve"> </w:t>
      </w:r>
      <w:r w:rsidRPr="00BF3A01">
        <w:t>se</w:t>
      </w:r>
      <w:r>
        <w:t xml:space="preserve"> </w:t>
      </w:r>
      <w:r w:rsidRPr="00BF3A01">
        <w:t>člení</w:t>
      </w:r>
      <w:r>
        <w:t xml:space="preserve"> </w:t>
      </w:r>
      <w:r w:rsidRPr="00BF3A01">
        <w:t>na</w:t>
      </w:r>
      <w:r>
        <w:t xml:space="preserve"> </w:t>
      </w:r>
      <w:r w:rsidRPr="00BF3A01">
        <w:t>ústředí</w:t>
      </w:r>
      <w:r>
        <w:t xml:space="preserve"> </w:t>
      </w:r>
      <w:r w:rsidRPr="00BF3A01">
        <w:t>a</w:t>
      </w:r>
      <w:r>
        <w:t xml:space="preserve"> </w:t>
      </w:r>
      <w:r w:rsidRPr="00BF3A01">
        <w:t>oblastní</w:t>
      </w:r>
      <w:r>
        <w:t xml:space="preserve"> </w:t>
      </w:r>
      <w:r w:rsidRPr="00BF3A01">
        <w:t>inspektoráty.</w:t>
      </w:r>
      <w:r>
        <w:t xml:space="preserve"> </w:t>
      </w:r>
      <w:r w:rsidRPr="00BF3A01">
        <w:t>V</w:t>
      </w:r>
      <w:r>
        <w:t xml:space="preserve"> </w:t>
      </w:r>
      <w:r w:rsidRPr="00BF3A01">
        <w:t>čele</w:t>
      </w:r>
      <w:r>
        <w:t xml:space="preserve"> </w:t>
      </w:r>
      <w:r w:rsidRPr="00BF3A01">
        <w:t>inspekce</w:t>
      </w:r>
      <w:r>
        <w:t xml:space="preserve"> </w:t>
      </w:r>
      <w:r w:rsidRPr="00BF3A01">
        <w:t>je</w:t>
      </w:r>
      <w:r>
        <w:t xml:space="preserve"> </w:t>
      </w:r>
      <w:r w:rsidRPr="00BF3A01">
        <w:t>ředitel;</w:t>
      </w:r>
      <w:r>
        <w:t xml:space="preserve"> </w:t>
      </w:r>
      <w:r w:rsidRPr="00BF3A01">
        <w:t>jeho</w:t>
      </w:r>
      <w:r>
        <w:t xml:space="preserve"> </w:t>
      </w:r>
      <w:r w:rsidRPr="00BF3A01">
        <w:t>výběr,</w:t>
      </w:r>
      <w:r>
        <w:t xml:space="preserve"> </w:t>
      </w:r>
      <w:r w:rsidRPr="00BF3A01">
        <w:t>jmenování</w:t>
      </w:r>
      <w:r>
        <w:t xml:space="preserve"> </w:t>
      </w:r>
      <w:r w:rsidRPr="00BF3A01">
        <w:t>a</w:t>
      </w:r>
      <w:r>
        <w:t xml:space="preserve"> </w:t>
      </w:r>
      <w:r w:rsidRPr="00BF3A01">
        <w:t>odvolání</w:t>
      </w:r>
      <w:r>
        <w:t xml:space="preserve"> </w:t>
      </w:r>
      <w:r w:rsidRPr="00BF3A01">
        <w:t>se</w:t>
      </w:r>
      <w:r>
        <w:t xml:space="preserve"> </w:t>
      </w:r>
      <w:r w:rsidRPr="00BF3A01">
        <w:t>řídí</w:t>
      </w:r>
      <w:r>
        <w:t xml:space="preserve"> </w:t>
      </w:r>
      <w:r w:rsidRPr="00BF3A01">
        <w:t>zákonem</w:t>
      </w:r>
      <w:r>
        <w:t xml:space="preserve"> </w:t>
      </w:r>
      <w:r w:rsidRPr="00BF3A01">
        <w:t>o</w:t>
      </w:r>
      <w:r>
        <w:t xml:space="preserve"> </w:t>
      </w:r>
      <w:r w:rsidRPr="00BF3A01">
        <w:t>státní</w:t>
      </w:r>
      <w:r>
        <w:t xml:space="preserve"> </w:t>
      </w:r>
      <w:r w:rsidRPr="00BF3A01">
        <w:t>službě.</w:t>
      </w:r>
      <w:r>
        <w:t xml:space="preserve"> </w:t>
      </w:r>
      <w:r w:rsidRPr="00BF3A01">
        <w:t>V</w:t>
      </w:r>
      <w:r>
        <w:t xml:space="preserve"> </w:t>
      </w:r>
      <w:r w:rsidRPr="00BF3A01">
        <w:t>čele</w:t>
      </w:r>
      <w:r>
        <w:t xml:space="preserve"> </w:t>
      </w:r>
      <w:r w:rsidRPr="00BF3A01">
        <w:t>oblastního</w:t>
      </w:r>
      <w:r>
        <w:t xml:space="preserve"> </w:t>
      </w:r>
      <w:r w:rsidRPr="00BF3A01">
        <w:t>inspektorátu</w:t>
      </w:r>
      <w:r>
        <w:t xml:space="preserve"> </w:t>
      </w:r>
      <w:r w:rsidRPr="00BF3A01">
        <w:t>je</w:t>
      </w:r>
      <w:r>
        <w:t xml:space="preserve"> </w:t>
      </w:r>
      <w:r w:rsidRPr="00BF3A01">
        <w:t>vedoucí;</w:t>
      </w:r>
      <w:r>
        <w:t xml:space="preserve"> </w:t>
      </w:r>
      <w:r w:rsidRPr="00BF3A01">
        <w:t>jeho</w:t>
      </w:r>
      <w:r>
        <w:t xml:space="preserve"> </w:t>
      </w:r>
      <w:r w:rsidRPr="00BF3A01">
        <w:t>výběr,</w:t>
      </w:r>
      <w:r>
        <w:t xml:space="preserve"> </w:t>
      </w:r>
      <w:r w:rsidRPr="00BF3A01">
        <w:t>jmenování</w:t>
      </w:r>
      <w:r>
        <w:t xml:space="preserve"> </w:t>
      </w:r>
      <w:r w:rsidRPr="00BF3A01">
        <w:t>a</w:t>
      </w:r>
      <w:r>
        <w:t xml:space="preserve"> </w:t>
      </w:r>
      <w:r w:rsidRPr="00BF3A01">
        <w:t>odvolání</w:t>
      </w:r>
      <w:r>
        <w:t xml:space="preserve"> </w:t>
      </w:r>
      <w:r w:rsidRPr="00BF3A01">
        <w:t>se</w:t>
      </w:r>
      <w:r>
        <w:t xml:space="preserve"> </w:t>
      </w:r>
      <w:r w:rsidRPr="00BF3A01">
        <w:t>řídí</w:t>
      </w:r>
      <w:r>
        <w:t xml:space="preserve"> </w:t>
      </w:r>
      <w:r w:rsidRPr="00BF3A01">
        <w:t>zákonem</w:t>
      </w:r>
      <w:r>
        <w:t xml:space="preserve"> </w:t>
      </w:r>
      <w:r w:rsidRPr="00BF3A01">
        <w:t>o</w:t>
      </w:r>
      <w:r>
        <w:t xml:space="preserve"> </w:t>
      </w:r>
      <w:r w:rsidRPr="00BF3A01">
        <w:t>státní</w:t>
      </w:r>
      <w:r>
        <w:t xml:space="preserve"> </w:t>
      </w:r>
      <w:r w:rsidRPr="00BF3A01">
        <w:t>službě.</w:t>
      </w:r>
    </w:p>
    <w:p w14:paraId="000AB4A3" w14:textId="77777777" w:rsidR="00A31813" w:rsidRDefault="00A31813" w:rsidP="00A06781">
      <w:pPr>
        <w:pStyle w:val="Textparagrafu"/>
        <w:numPr>
          <w:ilvl w:val="0"/>
          <w:numId w:val="27"/>
        </w:numPr>
        <w:spacing w:before="120" w:after="120"/>
        <w:ind w:firstLine="425"/>
      </w:pPr>
      <w:r w:rsidRPr="00BF3A01">
        <w:t>(3)</w:t>
      </w:r>
      <w:r>
        <w:t xml:space="preserve"> </w:t>
      </w:r>
      <w:r w:rsidRPr="00BF3A01">
        <w:t>Inspekce</w:t>
      </w:r>
      <w:r>
        <w:t xml:space="preserve"> </w:t>
      </w:r>
      <w:r w:rsidRPr="00BF3A01">
        <w:t>je</w:t>
      </w:r>
      <w:r>
        <w:t xml:space="preserve"> </w:t>
      </w:r>
      <w:r w:rsidRPr="00BF3A01">
        <w:t>organizační</w:t>
      </w:r>
      <w:r>
        <w:t xml:space="preserve"> </w:t>
      </w:r>
      <w:r w:rsidRPr="00BF3A01">
        <w:t>složkou</w:t>
      </w:r>
      <w:r>
        <w:t xml:space="preserve"> </w:t>
      </w:r>
      <w:r w:rsidRPr="00BF3A01">
        <w:t>státu</w:t>
      </w:r>
      <w:r>
        <w:t xml:space="preserve"> </w:t>
      </w:r>
      <w:r w:rsidRPr="00CE6C98">
        <w:rPr>
          <w:strike/>
        </w:rPr>
        <w:t>a účetní jednotkou</w:t>
      </w:r>
      <w:r w:rsidRPr="00BF3A01">
        <w:t>.</w:t>
      </w:r>
    </w:p>
    <w:p w14:paraId="35C08A50" w14:textId="77777777" w:rsidR="00A31813" w:rsidRDefault="00A31813" w:rsidP="00A06781">
      <w:pPr>
        <w:pStyle w:val="Textparagrafu"/>
        <w:numPr>
          <w:ilvl w:val="0"/>
          <w:numId w:val="27"/>
        </w:numPr>
        <w:spacing w:before="120" w:after="120"/>
        <w:ind w:firstLine="425"/>
      </w:pPr>
      <w:r w:rsidRPr="00BF3A01">
        <w:t>(4)</w:t>
      </w:r>
      <w:r>
        <w:t xml:space="preserve"> </w:t>
      </w:r>
      <w:r w:rsidRPr="00BF3A01">
        <w:t>Působnost</w:t>
      </w:r>
      <w:r>
        <w:t xml:space="preserve"> </w:t>
      </w:r>
      <w:r w:rsidRPr="00BF3A01">
        <w:t>inspekce</w:t>
      </w:r>
      <w:r>
        <w:t xml:space="preserve"> </w:t>
      </w:r>
      <w:r w:rsidRPr="00BF3A01">
        <w:t>v</w:t>
      </w:r>
      <w:r>
        <w:t xml:space="preserve"> </w:t>
      </w:r>
      <w:r w:rsidRPr="00BF3A01">
        <w:t>jednotlivých</w:t>
      </w:r>
      <w:r>
        <w:t xml:space="preserve"> </w:t>
      </w:r>
      <w:r w:rsidRPr="00BF3A01">
        <w:t>složkách</w:t>
      </w:r>
      <w:r>
        <w:t xml:space="preserve"> </w:t>
      </w:r>
      <w:r w:rsidRPr="00BF3A01">
        <w:t>životního</w:t>
      </w:r>
      <w:r>
        <w:t xml:space="preserve"> </w:t>
      </w:r>
      <w:r w:rsidRPr="00BF3A01">
        <w:t>prostředí</w:t>
      </w:r>
      <w:r>
        <w:t xml:space="preserve"> </w:t>
      </w:r>
      <w:r w:rsidRPr="00BF3A01">
        <w:t>stanoví</w:t>
      </w:r>
      <w:r>
        <w:t xml:space="preserve"> </w:t>
      </w:r>
      <w:r w:rsidRPr="00BF3A01">
        <w:t>tento</w:t>
      </w:r>
      <w:r>
        <w:t xml:space="preserve"> </w:t>
      </w:r>
      <w:r w:rsidRPr="00BF3A01">
        <w:t>zákon</w:t>
      </w:r>
      <w:r>
        <w:t xml:space="preserve"> </w:t>
      </w:r>
      <w:r w:rsidRPr="00BF3A01">
        <w:t>a</w:t>
      </w:r>
      <w:r>
        <w:t xml:space="preserve"> </w:t>
      </w:r>
      <w:r w:rsidRPr="00BF3A01">
        <w:t>další</w:t>
      </w:r>
      <w:r>
        <w:t xml:space="preserve"> </w:t>
      </w:r>
      <w:r w:rsidRPr="00BF3A01">
        <w:t>zákony.</w:t>
      </w:r>
    </w:p>
    <w:p w14:paraId="0BA73DC5" w14:textId="4C75545F" w:rsidR="00616351" w:rsidRPr="00E70B7D" w:rsidRDefault="00A31813" w:rsidP="00FE1B36">
      <w:pPr>
        <w:pStyle w:val="Odstavecseseznamem"/>
        <w:numPr>
          <w:ilvl w:val="0"/>
          <w:numId w:val="27"/>
        </w:numPr>
        <w:tabs>
          <w:tab w:val="left" w:pos="851"/>
        </w:tabs>
        <w:spacing w:before="120" w:after="120"/>
        <w:ind w:firstLine="425"/>
        <w:jc w:val="center"/>
        <w:outlineLvl w:val="0"/>
        <w:rPr>
          <w:b/>
          <w:szCs w:val="24"/>
        </w:rPr>
      </w:pPr>
      <w:r w:rsidRPr="00BF3A01">
        <w:t>(5)</w:t>
      </w:r>
      <w:r>
        <w:t xml:space="preserve"> </w:t>
      </w:r>
      <w:r w:rsidRPr="00BF3A01">
        <w:t>Úkoly</w:t>
      </w:r>
      <w:r>
        <w:t xml:space="preserve"> </w:t>
      </w:r>
      <w:r w:rsidRPr="00BF3A01">
        <w:t>inspekce</w:t>
      </w:r>
      <w:r>
        <w:t xml:space="preserve"> </w:t>
      </w:r>
      <w:r w:rsidRPr="00BF3A01">
        <w:t>plní</w:t>
      </w:r>
      <w:r>
        <w:t xml:space="preserve"> </w:t>
      </w:r>
      <w:r w:rsidRPr="00BF3A01">
        <w:t>inspektoři.</w:t>
      </w:r>
      <w:r>
        <w:t xml:space="preserve"> </w:t>
      </w:r>
      <w:r w:rsidRPr="00BF3A01">
        <w:t>Inspektoři</w:t>
      </w:r>
      <w:r>
        <w:t xml:space="preserve"> </w:t>
      </w:r>
      <w:r w:rsidRPr="00BF3A01">
        <w:t>se</w:t>
      </w:r>
      <w:r>
        <w:t xml:space="preserve"> </w:t>
      </w:r>
      <w:r w:rsidRPr="00BF3A01">
        <w:t>při</w:t>
      </w:r>
      <w:r>
        <w:t xml:space="preserve"> </w:t>
      </w:r>
      <w:r w:rsidRPr="00BF3A01">
        <w:t>výkonu</w:t>
      </w:r>
      <w:r>
        <w:t xml:space="preserve"> </w:t>
      </w:r>
      <w:r w:rsidRPr="00BF3A01">
        <w:t>kontroly</w:t>
      </w:r>
      <w:r>
        <w:t xml:space="preserve"> </w:t>
      </w:r>
      <w:r w:rsidRPr="00BF3A01">
        <w:t>podle</w:t>
      </w:r>
      <w:r>
        <w:t xml:space="preserve"> </w:t>
      </w:r>
      <w:r w:rsidRPr="00BF3A01">
        <w:t>tohoto</w:t>
      </w:r>
      <w:r>
        <w:t xml:space="preserve"> </w:t>
      </w:r>
      <w:r w:rsidRPr="00BF3A01">
        <w:t>zákona</w:t>
      </w:r>
      <w:r>
        <w:t xml:space="preserve"> </w:t>
      </w:r>
      <w:r w:rsidRPr="00BF3A01">
        <w:t>nebo</w:t>
      </w:r>
      <w:r>
        <w:t xml:space="preserve"> </w:t>
      </w:r>
      <w:r w:rsidRPr="00BF3A01">
        <w:t>podle</w:t>
      </w:r>
      <w:r>
        <w:t xml:space="preserve"> </w:t>
      </w:r>
      <w:r w:rsidRPr="00BF3A01">
        <w:t>jiných</w:t>
      </w:r>
      <w:r>
        <w:t xml:space="preserve"> </w:t>
      </w:r>
      <w:r w:rsidRPr="00BF3A01">
        <w:t>právních</w:t>
      </w:r>
      <w:r>
        <w:t xml:space="preserve"> </w:t>
      </w:r>
      <w:r w:rsidRPr="00BF3A01">
        <w:t>předpisů</w:t>
      </w:r>
      <w:r w:rsidR="00234082">
        <w:rPr>
          <w:rStyle w:val="Znakapoznpodarou"/>
        </w:rPr>
        <w:footnoteReference w:customMarkFollows="1" w:id="15"/>
        <w:t>6)</w:t>
      </w:r>
      <w:r w:rsidR="00234082">
        <w:t xml:space="preserve"> </w:t>
      </w:r>
      <w:r w:rsidRPr="00BF3A01">
        <w:t>prokazují</w:t>
      </w:r>
      <w:r>
        <w:t xml:space="preserve"> </w:t>
      </w:r>
      <w:r w:rsidRPr="00BF3A01">
        <w:t>průkazem</w:t>
      </w:r>
      <w:r>
        <w:t xml:space="preserve"> </w:t>
      </w:r>
      <w:r w:rsidRPr="00BF3A01">
        <w:t>inspekce,</w:t>
      </w:r>
      <w:r>
        <w:t xml:space="preserve"> </w:t>
      </w:r>
      <w:r w:rsidRPr="00BF3A01">
        <w:t>který</w:t>
      </w:r>
      <w:r>
        <w:t xml:space="preserve"> </w:t>
      </w:r>
      <w:r w:rsidRPr="00BF3A01">
        <w:t>je</w:t>
      </w:r>
      <w:r>
        <w:t xml:space="preserve"> </w:t>
      </w:r>
      <w:r w:rsidRPr="00BF3A01">
        <w:t>dokladem</w:t>
      </w:r>
      <w:r>
        <w:t xml:space="preserve"> </w:t>
      </w:r>
      <w:r w:rsidRPr="00BF3A01">
        <w:t>o</w:t>
      </w:r>
      <w:r>
        <w:t xml:space="preserve"> </w:t>
      </w:r>
      <w:r w:rsidRPr="00BF3A01">
        <w:t>jejich</w:t>
      </w:r>
      <w:r>
        <w:t xml:space="preserve"> </w:t>
      </w:r>
      <w:r w:rsidRPr="00BF3A01">
        <w:t>pověření</w:t>
      </w:r>
      <w:r>
        <w:t xml:space="preserve"> </w:t>
      </w:r>
      <w:r w:rsidRPr="00BF3A01">
        <w:t>ke</w:t>
      </w:r>
      <w:r>
        <w:t xml:space="preserve"> </w:t>
      </w:r>
      <w:r w:rsidRPr="00BF3A01">
        <w:t>kontrole</w:t>
      </w:r>
      <w:r w:rsidR="00234082">
        <w:rPr>
          <w:rStyle w:val="Znakapoznpodarou"/>
        </w:rPr>
        <w:footnoteReference w:customMarkFollows="1" w:id="16"/>
        <w:t>7)</w:t>
      </w:r>
      <w:r w:rsidRPr="00BF3A01">
        <w:t>.</w:t>
      </w:r>
      <w:r w:rsidR="00616351">
        <w:br w:type="column"/>
      </w:r>
      <w:r w:rsidR="00616351" w:rsidRPr="00E70B7D">
        <w:rPr>
          <w:b/>
          <w:szCs w:val="24"/>
        </w:rPr>
        <w:lastRenderedPageBreak/>
        <w:t xml:space="preserve">K části </w:t>
      </w:r>
      <w:r w:rsidR="00616351">
        <w:rPr>
          <w:b/>
          <w:szCs w:val="24"/>
        </w:rPr>
        <w:t>šesté</w:t>
      </w:r>
      <w:r w:rsidR="00616351" w:rsidRPr="00E70B7D">
        <w:rPr>
          <w:b/>
          <w:szCs w:val="24"/>
        </w:rPr>
        <w:t xml:space="preserve"> návrhu zákona – </w:t>
      </w:r>
      <w:r w:rsidR="00616351" w:rsidRPr="00E70B7D">
        <w:rPr>
          <w:szCs w:val="24"/>
        </w:rPr>
        <w:t xml:space="preserve">změna </w:t>
      </w:r>
      <w:r w:rsidR="00616351">
        <w:rPr>
          <w:szCs w:val="24"/>
        </w:rPr>
        <w:t xml:space="preserve">zákona </w:t>
      </w:r>
      <w:r w:rsidR="00616351" w:rsidRPr="00616351">
        <w:rPr>
          <w:szCs w:val="24"/>
        </w:rPr>
        <w:t>o Státním fondu životního prostředí České republiky</w:t>
      </w:r>
    </w:p>
    <w:p w14:paraId="29F9560E" w14:textId="77777777" w:rsidR="00616351" w:rsidRPr="00AE0742" w:rsidRDefault="00616351" w:rsidP="00616351">
      <w:pPr>
        <w:pStyle w:val="Odstavecseseznamem"/>
        <w:tabs>
          <w:tab w:val="left" w:pos="851"/>
        </w:tabs>
        <w:spacing w:before="120" w:after="120"/>
        <w:ind w:left="0"/>
        <w:outlineLvl w:val="0"/>
        <w:rPr>
          <w:b/>
          <w:szCs w:val="24"/>
        </w:rPr>
      </w:pPr>
    </w:p>
    <w:p w14:paraId="5D67265C" w14:textId="7E56EE21" w:rsidR="00616351" w:rsidRDefault="00616351" w:rsidP="0034696F">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AE0742">
        <w:rPr>
          <w:b/>
          <w:szCs w:val="24"/>
        </w:rPr>
        <w:t>Platné znění</w:t>
      </w:r>
      <w:r w:rsidRPr="00AE0742">
        <w:rPr>
          <w:szCs w:val="24"/>
        </w:rPr>
        <w:t xml:space="preserve"> zákona </w:t>
      </w:r>
      <w:r w:rsidRPr="00AE0742">
        <w:rPr>
          <w:color w:val="000000"/>
          <w:szCs w:val="24"/>
        </w:rPr>
        <w:t>č. </w:t>
      </w:r>
      <w:r>
        <w:rPr>
          <w:color w:val="000000"/>
          <w:szCs w:val="24"/>
        </w:rPr>
        <w:t>388</w:t>
      </w:r>
      <w:r w:rsidR="00091280">
        <w:rPr>
          <w:color w:val="000000"/>
          <w:szCs w:val="24"/>
        </w:rPr>
        <w:t>/</w:t>
      </w:r>
      <w:r>
        <w:rPr>
          <w:color w:val="000000"/>
          <w:szCs w:val="24"/>
        </w:rPr>
        <w:t xml:space="preserve">1991 </w:t>
      </w:r>
      <w:r w:rsidRPr="00AE0742">
        <w:rPr>
          <w:color w:val="000000"/>
          <w:szCs w:val="24"/>
        </w:rPr>
        <w:t xml:space="preserve">Sb., </w:t>
      </w:r>
      <w:r w:rsidRPr="00616351">
        <w:rPr>
          <w:szCs w:val="24"/>
        </w:rPr>
        <w:t>o Státním fondu životního prostředí České republiky</w:t>
      </w:r>
    </w:p>
    <w:p w14:paraId="40039D5F" w14:textId="316D8B39" w:rsidR="00616351" w:rsidRPr="00A06781" w:rsidRDefault="00A06781" w:rsidP="00A06781">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ED79D7">
        <w:rPr>
          <w:b/>
          <w:szCs w:val="24"/>
          <w:lang w:eastAsia="en-US"/>
        </w:rPr>
        <w:t xml:space="preserve">s vyznačením navrhovaných </w:t>
      </w:r>
      <w:r>
        <w:rPr>
          <w:b/>
          <w:szCs w:val="24"/>
          <w:lang w:eastAsia="en-US"/>
        </w:rPr>
        <w:t>změn a doplnění k 1. lednu 2025</w:t>
      </w:r>
    </w:p>
    <w:p w14:paraId="40254D69" w14:textId="4C7DA303" w:rsidR="00616351" w:rsidRDefault="00616351" w:rsidP="0034696F">
      <w:pPr>
        <w:pStyle w:val="Textparagrafu"/>
        <w:numPr>
          <w:ilvl w:val="0"/>
          <w:numId w:val="27"/>
        </w:numPr>
        <w:jc w:val="center"/>
      </w:pPr>
      <w:r w:rsidRPr="003658EC">
        <w:t>§</w:t>
      </w:r>
      <w:r>
        <w:t xml:space="preserve"> </w:t>
      </w:r>
      <w:r w:rsidRPr="003658EC">
        <w:t>1</w:t>
      </w:r>
    </w:p>
    <w:p w14:paraId="72179CD8" w14:textId="77777777" w:rsidR="00616351" w:rsidRDefault="00616351" w:rsidP="00A06781">
      <w:pPr>
        <w:pStyle w:val="Textparagrafu"/>
        <w:numPr>
          <w:ilvl w:val="0"/>
          <w:numId w:val="27"/>
        </w:numPr>
        <w:spacing w:before="120" w:after="120"/>
        <w:ind w:firstLine="425"/>
      </w:pPr>
      <w:r w:rsidRPr="003658EC">
        <w:t>(1)</w:t>
      </w:r>
      <w:r>
        <w:t xml:space="preserve"> </w:t>
      </w:r>
      <w:r w:rsidRPr="003658EC">
        <w:t>Zřizuje</w:t>
      </w:r>
      <w:r>
        <w:t xml:space="preserve"> </w:t>
      </w:r>
      <w:r w:rsidRPr="003658EC">
        <w:t>se</w:t>
      </w:r>
      <w:r>
        <w:t xml:space="preserve"> </w:t>
      </w:r>
      <w:r w:rsidRPr="003658EC">
        <w:t>Státní</w:t>
      </w:r>
      <w:r>
        <w:t xml:space="preserve"> </w:t>
      </w:r>
      <w:r w:rsidRPr="003658EC">
        <w:t>fond</w:t>
      </w:r>
      <w:r>
        <w:t xml:space="preserve"> </w:t>
      </w:r>
      <w:r w:rsidRPr="003658EC">
        <w:t>životního</w:t>
      </w:r>
      <w:r>
        <w:t xml:space="preserve"> </w:t>
      </w:r>
      <w:r w:rsidRPr="003658EC">
        <w:t>prostředí</w:t>
      </w:r>
      <w:r>
        <w:t xml:space="preserve"> </w:t>
      </w:r>
      <w:r w:rsidRPr="003658EC">
        <w:t>České</w:t>
      </w:r>
      <w:r>
        <w:t xml:space="preserve"> </w:t>
      </w:r>
      <w:r w:rsidRPr="003658EC">
        <w:t>republiky</w:t>
      </w:r>
      <w:r>
        <w:t xml:space="preserve"> </w:t>
      </w:r>
      <w:r w:rsidRPr="003658EC">
        <w:t>(dále</w:t>
      </w:r>
      <w:r>
        <w:t xml:space="preserve"> </w:t>
      </w:r>
      <w:r w:rsidRPr="003658EC">
        <w:t>jen</w:t>
      </w:r>
      <w:r>
        <w:t xml:space="preserve"> </w:t>
      </w:r>
      <w:r w:rsidRPr="003658EC">
        <w:t>"Fond").</w:t>
      </w:r>
    </w:p>
    <w:p w14:paraId="0EE8F34C" w14:textId="79F400AD" w:rsidR="00616351" w:rsidRDefault="00616351" w:rsidP="00A06781">
      <w:pPr>
        <w:pStyle w:val="Textparagrafu"/>
        <w:numPr>
          <w:ilvl w:val="0"/>
          <w:numId w:val="27"/>
        </w:numPr>
        <w:spacing w:before="120" w:after="120"/>
        <w:ind w:firstLine="425"/>
      </w:pPr>
      <w:r w:rsidRPr="003658EC">
        <w:t>(2)</w:t>
      </w:r>
      <w:r>
        <w:t xml:space="preserve"> </w:t>
      </w:r>
      <w:r w:rsidRPr="003658EC">
        <w:t>Fond</w:t>
      </w:r>
      <w:r>
        <w:t xml:space="preserve"> </w:t>
      </w:r>
      <w:r w:rsidRPr="003658EC">
        <w:t>je</w:t>
      </w:r>
      <w:r>
        <w:t xml:space="preserve"> </w:t>
      </w:r>
      <w:r w:rsidRPr="003658EC">
        <w:t>jinou</w:t>
      </w:r>
      <w:r>
        <w:t xml:space="preserve"> </w:t>
      </w:r>
      <w:r w:rsidRPr="003658EC">
        <w:t>státní</w:t>
      </w:r>
      <w:r>
        <w:t xml:space="preserve"> </w:t>
      </w:r>
      <w:r w:rsidRPr="003658EC">
        <w:t>organizací.</w:t>
      </w:r>
      <w:r w:rsidR="00091280">
        <w:rPr>
          <w:rStyle w:val="Odkaznavysvtlivky"/>
        </w:rPr>
        <w:endnoteReference w:id="1"/>
      </w:r>
      <w:r w:rsidR="00091280" w:rsidRPr="00DE1CD7">
        <w:rPr>
          <w:vertAlign w:val="superscript"/>
        </w:rPr>
        <w:t>)</w:t>
      </w:r>
      <w:r w:rsidR="00DE1CD7">
        <w:t xml:space="preserve"> </w:t>
      </w:r>
      <w:r w:rsidRPr="003658EC">
        <w:t>Rozsah</w:t>
      </w:r>
      <w:r>
        <w:t xml:space="preserve"> </w:t>
      </w:r>
      <w:r w:rsidRPr="003658EC">
        <w:t>činnosti</w:t>
      </w:r>
      <w:r>
        <w:t xml:space="preserve"> </w:t>
      </w:r>
      <w:r w:rsidRPr="003658EC">
        <w:t>Fondu</w:t>
      </w:r>
      <w:r>
        <w:t xml:space="preserve"> </w:t>
      </w:r>
      <w:r w:rsidRPr="003658EC">
        <w:t>stanoví</w:t>
      </w:r>
      <w:r>
        <w:t xml:space="preserve"> </w:t>
      </w:r>
      <w:r w:rsidRPr="003658EC">
        <w:t>statut.</w:t>
      </w:r>
    </w:p>
    <w:p w14:paraId="19CA6295" w14:textId="77777777" w:rsidR="00616351" w:rsidRDefault="00616351" w:rsidP="00A06781">
      <w:pPr>
        <w:pStyle w:val="Textparagrafu"/>
        <w:numPr>
          <w:ilvl w:val="0"/>
          <w:numId w:val="27"/>
        </w:numPr>
        <w:spacing w:before="120" w:after="120"/>
        <w:ind w:firstLine="425"/>
      </w:pPr>
      <w:r w:rsidRPr="003658EC">
        <w:t>(3)</w:t>
      </w:r>
      <w:r>
        <w:t xml:space="preserve"> </w:t>
      </w:r>
      <w:r w:rsidRPr="003658EC">
        <w:t>Správcem</w:t>
      </w:r>
      <w:r>
        <w:t xml:space="preserve"> </w:t>
      </w:r>
      <w:r w:rsidRPr="003658EC">
        <w:t>Fondu</w:t>
      </w:r>
      <w:r>
        <w:t xml:space="preserve"> </w:t>
      </w:r>
      <w:r w:rsidRPr="003658EC">
        <w:t>je</w:t>
      </w:r>
      <w:r>
        <w:t xml:space="preserve"> </w:t>
      </w:r>
      <w:r w:rsidRPr="003658EC">
        <w:t>ministerstvo</w:t>
      </w:r>
      <w:r>
        <w:t xml:space="preserve"> </w:t>
      </w:r>
      <w:r w:rsidRPr="003658EC">
        <w:t>životního</w:t>
      </w:r>
      <w:r>
        <w:t xml:space="preserve"> </w:t>
      </w:r>
      <w:r w:rsidRPr="003658EC">
        <w:t>prostředí</w:t>
      </w:r>
      <w:r>
        <w:t xml:space="preserve"> </w:t>
      </w:r>
      <w:r w:rsidRPr="003658EC">
        <w:t>(dále</w:t>
      </w:r>
      <w:r>
        <w:t xml:space="preserve"> </w:t>
      </w:r>
      <w:r w:rsidRPr="003658EC">
        <w:t>jen</w:t>
      </w:r>
      <w:r>
        <w:t xml:space="preserve"> </w:t>
      </w:r>
      <w:r w:rsidRPr="003658EC">
        <w:t>"ministerstvo").</w:t>
      </w:r>
    </w:p>
    <w:p w14:paraId="0434BBE9" w14:textId="77777777" w:rsidR="00616351" w:rsidRDefault="00616351" w:rsidP="00A06781">
      <w:pPr>
        <w:pStyle w:val="Textparagrafu"/>
        <w:numPr>
          <w:ilvl w:val="0"/>
          <w:numId w:val="27"/>
        </w:numPr>
        <w:spacing w:before="120" w:after="120"/>
        <w:ind w:firstLine="425"/>
      </w:pPr>
      <w:r w:rsidRPr="003658EC">
        <w:t>(4)</w:t>
      </w:r>
      <w:r>
        <w:t xml:space="preserve"> </w:t>
      </w:r>
      <w:r w:rsidRPr="003658EC">
        <w:t>V</w:t>
      </w:r>
      <w:r>
        <w:t xml:space="preserve"> </w:t>
      </w:r>
      <w:r w:rsidRPr="003658EC">
        <w:t>čele</w:t>
      </w:r>
      <w:r>
        <w:t xml:space="preserve"> </w:t>
      </w:r>
      <w:r w:rsidRPr="003658EC">
        <w:t>Fondu</w:t>
      </w:r>
      <w:r>
        <w:t xml:space="preserve"> </w:t>
      </w:r>
      <w:r w:rsidRPr="003658EC">
        <w:t>je</w:t>
      </w:r>
      <w:r>
        <w:t xml:space="preserve"> </w:t>
      </w:r>
      <w:r w:rsidRPr="003658EC">
        <w:t>ředitel;</w:t>
      </w:r>
      <w:r>
        <w:t xml:space="preserve"> </w:t>
      </w:r>
      <w:r w:rsidRPr="003658EC">
        <w:t>na</w:t>
      </w:r>
      <w:r>
        <w:t xml:space="preserve"> </w:t>
      </w:r>
      <w:r w:rsidRPr="003658EC">
        <w:t>jeho</w:t>
      </w:r>
      <w:r>
        <w:t xml:space="preserve"> </w:t>
      </w:r>
      <w:r w:rsidRPr="003658EC">
        <w:t>výběr,</w:t>
      </w:r>
      <w:r>
        <w:t xml:space="preserve"> </w:t>
      </w:r>
      <w:r w:rsidRPr="003658EC">
        <w:t>jmenování</w:t>
      </w:r>
      <w:r>
        <w:t xml:space="preserve"> </w:t>
      </w:r>
      <w:r w:rsidRPr="003658EC">
        <w:t>a</w:t>
      </w:r>
      <w:r>
        <w:t xml:space="preserve"> </w:t>
      </w:r>
      <w:r w:rsidRPr="003658EC">
        <w:t>odvolání</w:t>
      </w:r>
      <w:r>
        <w:t xml:space="preserve"> </w:t>
      </w:r>
      <w:r w:rsidRPr="003658EC">
        <w:t>se</w:t>
      </w:r>
      <w:r>
        <w:t xml:space="preserve"> </w:t>
      </w:r>
      <w:r w:rsidRPr="003658EC">
        <w:t>přiměřeně</w:t>
      </w:r>
      <w:r>
        <w:t xml:space="preserve"> </w:t>
      </w:r>
      <w:r w:rsidRPr="003658EC">
        <w:t>použijí</w:t>
      </w:r>
      <w:r>
        <w:t xml:space="preserve"> </w:t>
      </w:r>
      <w:r w:rsidRPr="003658EC">
        <w:t>ustanovení</w:t>
      </w:r>
      <w:r>
        <w:t xml:space="preserve"> </w:t>
      </w:r>
      <w:r w:rsidRPr="003658EC">
        <w:t>zákona</w:t>
      </w:r>
      <w:r>
        <w:t xml:space="preserve"> </w:t>
      </w:r>
      <w:r w:rsidRPr="003658EC">
        <w:t>o</w:t>
      </w:r>
      <w:r>
        <w:t xml:space="preserve"> </w:t>
      </w:r>
      <w:r w:rsidRPr="003658EC">
        <w:t>státní</w:t>
      </w:r>
      <w:r>
        <w:t xml:space="preserve"> </w:t>
      </w:r>
      <w:r w:rsidRPr="003658EC">
        <w:t>službě</w:t>
      </w:r>
      <w:r>
        <w:t xml:space="preserve"> </w:t>
      </w:r>
      <w:r w:rsidRPr="003658EC">
        <w:t>o</w:t>
      </w:r>
      <w:r>
        <w:t xml:space="preserve"> </w:t>
      </w:r>
      <w:r w:rsidRPr="003658EC">
        <w:t>výběru,</w:t>
      </w:r>
      <w:r>
        <w:t xml:space="preserve"> </w:t>
      </w:r>
      <w:r w:rsidRPr="003658EC">
        <w:t>jmenování</w:t>
      </w:r>
      <w:r>
        <w:t xml:space="preserve"> </w:t>
      </w:r>
      <w:r w:rsidRPr="003658EC">
        <w:t>a</w:t>
      </w:r>
      <w:r>
        <w:t xml:space="preserve"> </w:t>
      </w:r>
      <w:r w:rsidRPr="003658EC">
        <w:t>odvolání</w:t>
      </w:r>
      <w:r>
        <w:t xml:space="preserve"> </w:t>
      </w:r>
      <w:r w:rsidRPr="003658EC">
        <w:t>vedoucího</w:t>
      </w:r>
      <w:r>
        <w:t xml:space="preserve"> </w:t>
      </w:r>
      <w:r w:rsidRPr="003658EC">
        <w:t>služebního</w:t>
      </w:r>
      <w:r>
        <w:t xml:space="preserve"> </w:t>
      </w:r>
      <w:r w:rsidRPr="003658EC">
        <w:t>úřadu</w:t>
      </w:r>
      <w:r>
        <w:t xml:space="preserve"> </w:t>
      </w:r>
      <w:r w:rsidRPr="003658EC">
        <w:t>v</w:t>
      </w:r>
      <w:r>
        <w:t xml:space="preserve"> </w:t>
      </w:r>
      <w:r w:rsidRPr="003658EC">
        <w:t>jiném</w:t>
      </w:r>
      <w:r>
        <w:t xml:space="preserve"> </w:t>
      </w:r>
      <w:r w:rsidRPr="003658EC">
        <w:t>správním</w:t>
      </w:r>
      <w:r>
        <w:t xml:space="preserve"> </w:t>
      </w:r>
      <w:r w:rsidRPr="003658EC">
        <w:t>úřadu.</w:t>
      </w:r>
    </w:p>
    <w:p w14:paraId="76197B96" w14:textId="77777777" w:rsidR="00616351" w:rsidRDefault="00616351" w:rsidP="00A06781">
      <w:pPr>
        <w:pStyle w:val="Textparagrafu"/>
        <w:numPr>
          <w:ilvl w:val="0"/>
          <w:numId w:val="27"/>
        </w:numPr>
        <w:spacing w:before="120" w:after="120"/>
        <w:ind w:firstLine="425"/>
      </w:pPr>
      <w:r w:rsidRPr="003658EC">
        <w:t>(5)</w:t>
      </w:r>
      <w:r>
        <w:t xml:space="preserve"> </w:t>
      </w:r>
      <w:r w:rsidRPr="003658EC">
        <w:t>O</w:t>
      </w:r>
      <w:r>
        <w:t xml:space="preserve"> </w:t>
      </w:r>
      <w:r w:rsidRPr="003658EC">
        <w:t>poskytování</w:t>
      </w:r>
      <w:r>
        <w:t xml:space="preserve"> </w:t>
      </w:r>
      <w:r w:rsidRPr="003658EC">
        <w:t>prostředků</w:t>
      </w:r>
      <w:r>
        <w:t xml:space="preserve"> </w:t>
      </w:r>
      <w:r w:rsidRPr="003658EC">
        <w:t>z</w:t>
      </w:r>
      <w:r>
        <w:t xml:space="preserve"> </w:t>
      </w:r>
      <w:r w:rsidRPr="003658EC">
        <w:t>Fondu</w:t>
      </w:r>
      <w:r>
        <w:t xml:space="preserve"> </w:t>
      </w:r>
      <w:r w:rsidRPr="003658EC">
        <w:t>rozhoduje</w:t>
      </w:r>
      <w:r>
        <w:t xml:space="preserve"> </w:t>
      </w:r>
      <w:r w:rsidRPr="003658EC">
        <w:t>ministr</w:t>
      </w:r>
      <w:r>
        <w:t xml:space="preserve"> </w:t>
      </w:r>
      <w:r w:rsidRPr="003658EC">
        <w:t>životního</w:t>
      </w:r>
      <w:r>
        <w:t xml:space="preserve"> </w:t>
      </w:r>
      <w:r w:rsidRPr="003658EC">
        <w:t>prostředí</w:t>
      </w:r>
      <w:r>
        <w:t xml:space="preserve"> </w:t>
      </w:r>
      <w:r w:rsidRPr="003658EC">
        <w:t>(dále</w:t>
      </w:r>
      <w:r>
        <w:t xml:space="preserve"> </w:t>
      </w:r>
      <w:r w:rsidRPr="003658EC">
        <w:t>jen</w:t>
      </w:r>
      <w:r>
        <w:t xml:space="preserve"> </w:t>
      </w:r>
      <w:r w:rsidRPr="003658EC">
        <w:t>„ministr“).</w:t>
      </w:r>
    </w:p>
    <w:p w14:paraId="4AA70E32" w14:textId="77777777" w:rsidR="00616351" w:rsidRDefault="00616351" w:rsidP="00A06781">
      <w:pPr>
        <w:pStyle w:val="Textparagrafu"/>
        <w:numPr>
          <w:ilvl w:val="0"/>
          <w:numId w:val="27"/>
        </w:numPr>
        <w:spacing w:before="120" w:after="120"/>
        <w:ind w:firstLine="425"/>
      </w:pPr>
      <w:r w:rsidRPr="003658EC">
        <w:t>(6)</w:t>
      </w:r>
      <w:r>
        <w:t xml:space="preserve"> </w:t>
      </w:r>
      <w:r w:rsidRPr="003658EC">
        <w:t>Zřizuje</w:t>
      </w:r>
      <w:r>
        <w:t xml:space="preserve"> </w:t>
      </w:r>
      <w:r w:rsidRPr="003658EC">
        <w:t>se</w:t>
      </w:r>
      <w:r>
        <w:t xml:space="preserve"> </w:t>
      </w:r>
      <w:r w:rsidRPr="003658EC">
        <w:t>Rada</w:t>
      </w:r>
      <w:r>
        <w:t xml:space="preserve"> </w:t>
      </w:r>
      <w:r w:rsidRPr="003658EC">
        <w:t>Fondu,</w:t>
      </w:r>
      <w:r>
        <w:t xml:space="preserve"> </w:t>
      </w:r>
      <w:r w:rsidRPr="003658EC">
        <w:t>kterou</w:t>
      </w:r>
      <w:r>
        <w:t xml:space="preserve"> </w:t>
      </w:r>
      <w:r w:rsidRPr="003658EC">
        <w:t>jmenuje</w:t>
      </w:r>
      <w:r>
        <w:t xml:space="preserve"> </w:t>
      </w:r>
      <w:r w:rsidRPr="003658EC">
        <w:t>ministr</w:t>
      </w:r>
      <w:r>
        <w:t xml:space="preserve"> </w:t>
      </w:r>
      <w:r w:rsidRPr="003658EC">
        <w:t>jako</w:t>
      </w:r>
      <w:r>
        <w:t xml:space="preserve"> </w:t>
      </w:r>
      <w:r w:rsidRPr="003658EC">
        <w:t>svůj</w:t>
      </w:r>
      <w:r>
        <w:t xml:space="preserve"> </w:t>
      </w:r>
      <w:r w:rsidRPr="003658EC">
        <w:t>poradní</w:t>
      </w:r>
      <w:r>
        <w:t xml:space="preserve"> </w:t>
      </w:r>
      <w:r w:rsidRPr="003658EC">
        <w:t>orgán.</w:t>
      </w:r>
    </w:p>
    <w:p w14:paraId="05D872CD" w14:textId="6B3C0220" w:rsidR="00616351" w:rsidRDefault="00616351" w:rsidP="00A06781">
      <w:pPr>
        <w:pStyle w:val="Textparagrafu"/>
        <w:numPr>
          <w:ilvl w:val="0"/>
          <w:numId w:val="27"/>
        </w:numPr>
        <w:spacing w:before="120" w:after="120"/>
        <w:ind w:firstLine="425"/>
      </w:pPr>
      <w:r w:rsidRPr="003658EC">
        <w:t>(7)</w:t>
      </w:r>
      <w:r>
        <w:t xml:space="preserve"> </w:t>
      </w:r>
      <w:r w:rsidRPr="003658EC">
        <w:t>Činnost</w:t>
      </w:r>
      <w:r>
        <w:t xml:space="preserve"> </w:t>
      </w:r>
      <w:r w:rsidRPr="003658EC">
        <w:t>Rady</w:t>
      </w:r>
      <w:r>
        <w:t xml:space="preserve"> </w:t>
      </w:r>
      <w:r w:rsidRPr="003658EC">
        <w:t>Fondu</w:t>
      </w:r>
      <w:r>
        <w:t xml:space="preserve"> </w:t>
      </w:r>
      <w:r w:rsidRPr="003658EC">
        <w:t>se</w:t>
      </w:r>
      <w:r>
        <w:t xml:space="preserve"> </w:t>
      </w:r>
      <w:r w:rsidRPr="003658EC">
        <w:t>řídí</w:t>
      </w:r>
      <w:r>
        <w:t xml:space="preserve"> </w:t>
      </w:r>
      <w:r w:rsidRPr="003658EC">
        <w:t>jednacím</w:t>
      </w:r>
      <w:r>
        <w:t xml:space="preserve"> </w:t>
      </w:r>
      <w:r w:rsidRPr="003658EC">
        <w:t>řádem,</w:t>
      </w:r>
      <w:r>
        <w:t xml:space="preserve"> </w:t>
      </w:r>
      <w:r w:rsidRPr="003658EC">
        <w:t>který</w:t>
      </w:r>
      <w:r>
        <w:t xml:space="preserve"> </w:t>
      </w:r>
      <w:r w:rsidRPr="003658EC">
        <w:t>schvaluje</w:t>
      </w:r>
      <w:r>
        <w:t xml:space="preserve"> </w:t>
      </w:r>
      <w:r w:rsidRPr="003658EC">
        <w:t>ministr.</w:t>
      </w:r>
    </w:p>
    <w:p w14:paraId="5BB8E5C2" w14:textId="77777777" w:rsidR="00616351" w:rsidRPr="003658EC" w:rsidRDefault="00616351" w:rsidP="00A06781">
      <w:pPr>
        <w:pStyle w:val="Textparagrafu"/>
        <w:numPr>
          <w:ilvl w:val="0"/>
          <w:numId w:val="27"/>
        </w:numPr>
        <w:spacing w:before="120" w:after="120"/>
        <w:ind w:firstLine="425"/>
      </w:pPr>
      <w:r w:rsidRPr="003658EC">
        <w:t>(8)</w:t>
      </w:r>
      <w:r>
        <w:t xml:space="preserve"> </w:t>
      </w:r>
      <w:r w:rsidRPr="003658EC">
        <w:t>Rada</w:t>
      </w:r>
      <w:r>
        <w:t xml:space="preserve"> </w:t>
      </w:r>
      <w:r w:rsidRPr="003658EC">
        <w:t>Fondu</w:t>
      </w:r>
      <w:r>
        <w:t xml:space="preserve"> </w:t>
      </w:r>
      <w:r w:rsidRPr="003658EC">
        <w:t>posuzuje</w:t>
      </w:r>
      <w:r>
        <w:t xml:space="preserve"> </w:t>
      </w:r>
      <w:r w:rsidRPr="003658EC">
        <w:t>zejména</w:t>
      </w:r>
    </w:p>
    <w:p w14:paraId="5F5321A9" w14:textId="03BFCEA3" w:rsidR="00616351" w:rsidRDefault="00616351" w:rsidP="00251BD1">
      <w:pPr>
        <w:pStyle w:val="Textparagrafu"/>
        <w:numPr>
          <w:ilvl w:val="0"/>
          <w:numId w:val="27"/>
        </w:numPr>
        <w:tabs>
          <w:tab w:val="left" w:pos="426"/>
        </w:tabs>
        <w:spacing w:before="120"/>
      </w:pPr>
      <w:r w:rsidRPr="003658EC">
        <w:t>a)</w:t>
      </w:r>
      <w:r w:rsidR="00251BD1">
        <w:tab/>
      </w:r>
      <w:r w:rsidRPr="003658EC">
        <w:t>zásadní</w:t>
      </w:r>
      <w:r>
        <w:t xml:space="preserve"> </w:t>
      </w:r>
      <w:r w:rsidRPr="003658EC">
        <w:t>otázky</w:t>
      </w:r>
      <w:r>
        <w:t xml:space="preserve"> </w:t>
      </w:r>
      <w:r w:rsidRPr="003658EC">
        <w:t>tvorby</w:t>
      </w:r>
      <w:r>
        <w:t xml:space="preserve"> </w:t>
      </w:r>
      <w:r w:rsidRPr="003658EC">
        <w:t>a</w:t>
      </w:r>
      <w:r>
        <w:t xml:space="preserve"> </w:t>
      </w:r>
      <w:r w:rsidRPr="003658EC">
        <w:t>užití</w:t>
      </w:r>
      <w:r>
        <w:t xml:space="preserve"> </w:t>
      </w:r>
      <w:r w:rsidRPr="003658EC">
        <w:t>prostředků</w:t>
      </w:r>
      <w:r>
        <w:t xml:space="preserve"> </w:t>
      </w:r>
      <w:r w:rsidRPr="003658EC">
        <w:t>Fondu,</w:t>
      </w:r>
    </w:p>
    <w:p w14:paraId="133F369A" w14:textId="4B4DFFD0" w:rsidR="00616351" w:rsidRDefault="00616351" w:rsidP="00251BD1">
      <w:pPr>
        <w:pStyle w:val="Textparagrafu"/>
        <w:numPr>
          <w:ilvl w:val="0"/>
          <w:numId w:val="27"/>
        </w:numPr>
        <w:tabs>
          <w:tab w:val="left" w:pos="426"/>
        </w:tabs>
        <w:spacing w:before="0"/>
      </w:pPr>
      <w:r w:rsidRPr="003658EC">
        <w:t>b)</w:t>
      </w:r>
      <w:r w:rsidR="00251BD1">
        <w:tab/>
      </w:r>
      <w:r w:rsidRPr="003658EC">
        <w:t>roční</w:t>
      </w:r>
      <w:r>
        <w:t xml:space="preserve"> </w:t>
      </w:r>
      <w:r w:rsidRPr="003658EC">
        <w:t>rozpočty</w:t>
      </w:r>
      <w:r>
        <w:t xml:space="preserve"> </w:t>
      </w:r>
      <w:r w:rsidRPr="003658EC">
        <w:t>příjmů</w:t>
      </w:r>
      <w:r>
        <w:t xml:space="preserve"> </w:t>
      </w:r>
      <w:r w:rsidRPr="003658EC">
        <w:t>a</w:t>
      </w:r>
      <w:r>
        <w:t xml:space="preserve"> </w:t>
      </w:r>
      <w:r w:rsidRPr="003658EC">
        <w:t>výdajů</w:t>
      </w:r>
      <w:r>
        <w:t xml:space="preserve"> </w:t>
      </w:r>
      <w:r w:rsidRPr="003658EC">
        <w:t>Fondu,</w:t>
      </w:r>
    </w:p>
    <w:p w14:paraId="7B1E5C20" w14:textId="7664E489" w:rsidR="00616351" w:rsidRDefault="00616351" w:rsidP="00251BD1">
      <w:pPr>
        <w:pStyle w:val="Textparagrafu"/>
        <w:numPr>
          <w:ilvl w:val="0"/>
          <w:numId w:val="27"/>
        </w:numPr>
        <w:tabs>
          <w:tab w:val="left" w:pos="426"/>
        </w:tabs>
        <w:spacing w:before="0"/>
      </w:pPr>
      <w:r w:rsidRPr="003658EC">
        <w:t>c)</w:t>
      </w:r>
      <w:r w:rsidR="00251BD1">
        <w:tab/>
      </w:r>
      <w:r w:rsidRPr="003658EC">
        <w:t>navržená</w:t>
      </w:r>
      <w:r>
        <w:t xml:space="preserve"> </w:t>
      </w:r>
      <w:r w:rsidRPr="003658EC">
        <w:t>opatření</w:t>
      </w:r>
      <w:r>
        <w:t xml:space="preserve"> </w:t>
      </w:r>
      <w:r w:rsidRPr="003658EC">
        <w:t>a</w:t>
      </w:r>
      <w:r>
        <w:t xml:space="preserve"> </w:t>
      </w:r>
      <w:r w:rsidRPr="003658EC">
        <w:t>jejich</w:t>
      </w:r>
      <w:r>
        <w:t xml:space="preserve"> </w:t>
      </w:r>
      <w:r w:rsidRPr="003658EC">
        <w:t>zabezpečení</w:t>
      </w:r>
      <w:r>
        <w:t xml:space="preserve"> </w:t>
      </w:r>
      <w:r w:rsidRPr="003658EC">
        <w:t>prostředky</w:t>
      </w:r>
      <w:r>
        <w:t xml:space="preserve"> </w:t>
      </w:r>
      <w:r w:rsidRPr="003658EC">
        <w:t>Fondu.</w:t>
      </w:r>
    </w:p>
    <w:p w14:paraId="56C141F1" w14:textId="782A7185" w:rsidR="00616351" w:rsidRDefault="00616351" w:rsidP="00A06781">
      <w:pPr>
        <w:pStyle w:val="Textparagrafu"/>
        <w:numPr>
          <w:ilvl w:val="0"/>
          <w:numId w:val="27"/>
        </w:numPr>
        <w:spacing w:before="120" w:after="120"/>
        <w:ind w:firstLine="425"/>
      </w:pPr>
      <w:r w:rsidRPr="003658EC">
        <w:t>(9)</w:t>
      </w:r>
      <w:r>
        <w:t xml:space="preserve"> </w:t>
      </w:r>
      <w:r w:rsidRPr="003658EC">
        <w:t>Rada</w:t>
      </w:r>
      <w:r>
        <w:t xml:space="preserve"> </w:t>
      </w:r>
      <w:r w:rsidRPr="003658EC">
        <w:t>Fondu</w:t>
      </w:r>
      <w:r>
        <w:t xml:space="preserve"> </w:t>
      </w:r>
      <w:r w:rsidRPr="003658EC">
        <w:t>posuzuje</w:t>
      </w:r>
      <w:r>
        <w:t xml:space="preserve"> </w:t>
      </w:r>
      <w:r w:rsidRPr="003658EC">
        <w:t>dále</w:t>
      </w:r>
      <w:r>
        <w:t xml:space="preserve"> </w:t>
      </w:r>
      <w:r w:rsidRPr="003658EC">
        <w:t>návrhy</w:t>
      </w:r>
      <w:r>
        <w:t xml:space="preserve"> </w:t>
      </w:r>
      <w:r w:rsidRPr="003658EC">
        <w:t>na</w:t>
      </w:r>
      <w:r>
        <w:t xml:space="preserve"> </w:t>
      </w:r>
      <w:r w:rsidRPr="003658EC">
        <w:t>poskytnutí</w:t>
      </w:r>
      <w:r>
        <w:t xml:space="preserve"> </w:t>
      </w:r>
      <w:r w:rsidRPr="003658EC">
        <w:t>prostředků</w:t>
      </w:r>
      <w:r>
        <w:t xml:space="preserve"> </w:t>
      </w:r>
      <w:r w:rsidRPr="003658EC">
        <w:t>z</w:t>
      </w:r>
      <w:r>
        <w:t xml:space="preserve"> </w:t>
      </w:r>
      <w:r w:rsidRPr="003658EC">
        <w:t>Fondu</w:t>
      </w:r>
      <w:r>
        <w:t xml:space="preserve"> </w:t>
      </w:r>
      <w:r w:rsidRPr="003658EC">
        <w:t>a</w:t>
      </w:r>
      <w:r>
        <w:t xml:space="preserve"> </w:t>
      </w:r>
      <w:r w:rsidRPr="003658EC">
        <w:t>doporučuje</w:t>
      </w:r>
      <w:r>
        <w:t xml:space="preserve"> </w:t>
      </w:r>
      <w:r w:rsidRPr="003658EC">
        <w:t>ministrovi</w:t>
      </w:r>
      <w:r>
        <w:t xml:space="preserve"> </w:t>
      </w:r>
      <w:r w:rsidRPr="003658EC">
        <w:t>výši</w:t>
      </w:r>
      <w:r>
        <w:t xml:space="preserve"> </w:t>
      </w:r>
      <w:r w:rsidRPr="003658EC">
        <w:t>čerpání</w:t>
      </w:r>
      <w:r>
        <w:t xml:space="preserve"> </w:t>
      </w:r>
      <w:r w:rsidRPr="003658EC">
        <w:t>pro</w:t>
      </w:r>
      <w:r>
        <w:t xml:space="preserve"> </w:t>
      </w:r>
      <w:r w:rsidRPr="003658EC">
        <w:t>jednotlivé</w:t>
      </w:r>
      <w:r>
        <w:t xml:space="preserve"> </w:t>
      </w:r>
      <w:r w:rsidRPr="003658EC">
        <w:t>konkrétní</w:t>
      </w:r>
      <w:r>
        <w:t xml:space="preserve"> </w:t>
      </w:r>
      <w:r w:rsidRPr="003658EC">
        <w:t>případy,</w:t>
      </w:r>
      <w:r>
        <w:t xml:space="preserve"> </w:t>
      </w:r>
      <w:r w:rsidRPr="003658EC">
        <w:t>přičemž</w:t>
      </w:r>
      <w:r>
        <w:t xml:space="preserve"> </w:t>
      </w:r>
      <w:r w:rsidRPr="003658EC">
        <w:t>vychází</w:t>
      </w:r>
      <w:r>
        <w:t xml:space="preserve"> </w:t>
      </w:r>
      <w:r w:rsidRPr="003658EC">
        <w:t>ze</w:t>
      </w:r>
      <w:r>
        <w:t xml:space="preserve"> </w:t>
      </w:r>
      <w:r w:rsidRPr="003658EC">
        <w:t>zásad</w:t>
      </w:r>
      <w:r>
        <w:t xml:space="preserve"> </w:t>
      </w:r>
      <w:r w:rsidRPr="003658EC">
        <w:t>ochrany</w:t>
      </w:r>
      <w:r>
        <w:t xml:space="preserve"> </w:t>
      </w:r>
      <w:r w:rsidRPr="003658EC">
        <w:t>životního</w:t>
      </w:r>
      <w:r>
        <w:t xml:space="preserve"> </w:t>
      </w:r>
      <w:r w:rsidRPr="003658EC">
        <w:t>prostředí</w:t>
      </w:r>
      <w:r>
        <w:t xml:space="preserve"> </w:t>
      </w:r>
      <w:r w:rsidRPr="003658EC">
        <w:t>České</w:t>
      </w:r>
      <w:r>
        <w:t xml:space="preserve"> </w:t>
      </w:r>
      <w:r w:rsidRPr="003658EC">
        <w:t>republiky.</w:t>
      </w:r>
    </w:p>
    <w:p w14:paraId="4F0BA061" w14:textId="7EF7337C" w:rsidR="00616351" w:rsidRDefault="00616351" w:rsidP="00A06781">
      <w:pPr>
        <w:pStyle w:val="Textparagrafu"/>
        <w:numPr>
          <w:ilvl w:val="0"/>
          <w:numId w:val="27"/>
        </w:numPr>
        <w:spacing w:before="120" w:after="120"/>
        <w:ind w:firstLine="426"/>
      </w:pPr>
      <w:r w:rsidRPr="003658EC">
        <w:t>(10)</w:t>
      </w:r>
      <w:r>
        <w:t xml:space="preserve"> </w:t>
      </w:r>
      <w:r w:rsidRPr="003658EC">
        <w:t>Rada</w:t>
      </w:r>
      <w:r>
        <w:t xml:space="preserve"> </w:t>
      </w:r>
      <w:r w:rsidRPr="003658EC">
        <w:t>Fondu</w:t>
      </w:r>
      <w:r>
        <w:t xml:space="preserve"> </w:t>
      </w:r>
      <w:r w:rsidRPr="003658EC">
        <w:t>schvaluje</w:t>
      </w:r>
      <w:r>
        <w:t xml:space="preserve"> </w:t>
      </w:r>
      <w:r w:rsidR="00651FBC" w:rsidRPr="00651FBC">
        <w:rPr>
          <w:b/>
        </w:rPr>
        <w:t>řádnou individuální</w:t>
      </w:r>
      <w:r w:rsidR="00651FBC">
        <w:t xml:space="preserve"> </w:t>
      </w:r>
      <w:r w:rsidRPr="003658EC">
        <w:t>účetní</w:t>
      </w:r>
      <w:r>
        <w:t xml:space="preserve"> </w:t>
      </w:r>
      <w:r w:rsidRPr="003658EC">
        <w:t>závěrku</w:t>
      </w:r>
      <w:r>
        <w:t xml:space="preserve"> </w:t>
      </w:r>
      <w:r w:rsidRPr="003658EC">
        <w:t>Fondu</w:t>
      </w:r>
      <w:r>
        <w:t xml:space="preserve"> </w:t>
      </w:r>
      <w:r w:rsidRPr="00651FBC">
        <w:rPr>
          <w:strike/>
        </w:rPr>
        <w:t>sestavenou k rozvahovému dni</w:t>
      </w:r>
      <w:r w:rsidRPr="003658EC">
        <w:t>.</w:t>
      </w:r>
    </w:p>
    <w:p w14:paraId="0C147D50" w14:textId="77777777" w:rsidR="00616351" w:rsidRDefault="00616351" w:rsidP="00A06781">
      <w:pPr>
        <w:pStyle w:val="Textparagrafu"/>
        <w:numPr>
          <w:ilvl w:val="0"/>
          <w:numId w:val="27"/>
        </w:numPr>
        <w:spacing w:before="120" w:after="120"/>
        <w:ind w:firstLine="426"/>
      </w:pPr>
      <w:r w:rsidRPr="003658EC">
        <w:t>(11)</w:t>
      </w:r>
      <w:r>
        <w:t xml:space="preserve"> </w:t>
      </w:r>
      <w:r w:rsidRPr="003658EC">
        <w:t>Ministerstvo</w:t>
      </w:r>
      <w:r>
        <w:t xml:space="preserve"> </w:t>
      </w:r>
      <w:r w:rsidRPr="003658EC">
        <w:t>rozhodnutí</w:t>
      </w:r>
      <w:r>
        <w:t xml:space="preserve"> </w:t>
      </w:r>
      <w:r w:rsidRPr="003658EC">
        <w:t>ministra</w:t>
      </w:r>
      <w:r>
        <w:t xml:space="preserve"> </w:t>
      </w:r>
      <w:r w:rsidRPr="003658EC">
        <w:t>o</w:t>
      </w:r>
      <w:r>
        <w:t xml:space="preserve"> </w:t>
      </w:r>
      <w:r w:rsidRPr="003658EC">
        <w:t>použití</w:t>
      </w:r>
      <w:r>
        <w:t xml:space="preserve"> </w:t>
      </w:r>
      <w:r w:rsidRPr="003658EC">
        <w:t>prostředků</w:t>
      </w:r>
      <w:r>
        <w:t xml:space="preserve"> </w:t>
      </w:r>
      <w:r w:rsidRPr="003658EC">
        <w:t>Fondu</w:t>
      </w:r>
      <w:r>
        <w:t xml:space="preserve"> </w:t>
      </w:r>
      <w:r w:rsidRPr="003658EC">
        <w:t>zveřejňuje.</w:t>
      </w:r>
    </w:p>
    <w:p w14:paraId="091811E6" w14:textId="77777777" w:rsidR="00616351" w:rsidRPr="003658EC" w:rsidRDefault="00616351" w:rsidP="00A06781">
      <w:pPr>
        <w:pStyle w:val="Textparagrafu"/>
        <w:numPr>
          <w:ilvl w:val="0"/>
          <w:numId w:val="27"/>
        </w:numPr>
        <w:spacing w:before="120" w:after="120"/>
        <w:ind w:firstLine="426"/>
      </w:pPr>
      <w:r w:rsidRPr="003658EC">
        <w:t>(12)</w:t>
      </w:r>
      <w:r>
        <w:t xml:space="preserve"> </w:t>
      </w:r>
      <w:r w:rsidRPr="003658EC">
        <w:t>Ve</w:t>
      </w:r>
      <w:r>
        <w:t xml:space="preserve"> </w:t>
      </w:r>
      <w:r w:rsidRPr="003658EC">
        <w:t>věcech</w:t>
      </w:r>
      <w:r>
        <w:t xml:space="preserve"> </w:t>
      </w:r>
      <w:r w:rsidRPr="003658EC">
        <w:t>správy</w:t>
      </w:r>
      <w:r>
        <w:t xml:space="preserve"> </w:t>
      </w:r>
      <w:r w:rsidRPr="003658EC">
        <w:t>daní,</w:t>
      </w:r>
      <w:r>
        <w:t xml:space="preserve"> </w:t>
      </w:r>
      <w:r w:rsidRPr="003658EC">
        <w:t>poplatků</w:t>
      </w:r>
      <w:r>
        <w:t xml:space="preserve"> </w:t>
      </w:r>
      <w:r w:rsidRPr="003658EC">
        <w:t>a</w:t>
      </w:r>
      <w:r>
        <w:t xml:space="preserve"> </w:t>
      </w:r>
      <w:r w:rsidRPr="003658EC">
        <w:t>jiných</w:t>
      </w:r>
      <w:r>
        <w:t xml:space="preserve"> </w:t>
      </w:r>
      <w:r w:rsidRPr="003658EC">
        <w:t>obdobných</w:t>
      </w:r>
      <w:r>
        <w:t xml:space="preserve"> </w:t>
      </w:r>
      <w:r w:rsidRPr="003658EC">
        <w:t>peněžitých</w:t>
      </w:r>
      <w:r>
        <w:t xml:space="preserve"> </w:t>
      </w:r>
      <w:r w:rsidRPr="003658EC">
        <w:t>plnění</w:t>
      </w:r>
      <w:r>
        <w:t xml:space="preserve"> </w:t>
      </w:r>
      <w:r w:rsidRPr="003658EC">
        <w:t>spadajících</w:t>
      </w:r>
      <w:r>
        <w:t xml:space="preserve"> </w:t>
      </w:r>
      <w:r w:rsidRPr="003658EC">
        <w:t>do</w:t>
      </w:r>
      <w:r>
        <w:t xml:space="preserve"> </w:t>
      </w:r>
      <w:r w:rsidRPr="003658EC">
        <w:t>působnosti</w:t>
      </w:r>
      <w:r>
        <w:t xml:space="preserve"> </w:t>
      </w:r>
      <w:r w:rsidRPr="003658EC">
        <w:t>Fondu</w:t>
      </w:r>
      <w:r>
        <w:t xml:space="preserve"> </w:t>
      </w:r>
      <w:r w:rsidRPr="003658EC">
        <w:t>je</w:t>
      </w:r>
      <w:r>
        <w:t xml:space="preserve"> </w:t>
      </w:r>
      <w:r w:rsidRPr="003658EC">
        <w:t>Fond</w:t>
      </w:r>
      <w:r>
        <w:t xml:space="preserve"> </w:t>
      </w:r>
      <w:r w:rsidRPr="003658EC">
        <w:t>podřízen</w:t>
      </w:r>
      <w:r>
        <w:t xml:space="preserve"> </w:t>
      </w:r>
      <w:r w:rsidRPr="003658EC">
        <w:t>ministerstvu.</w:t>
      </w:r>
    </w:p>
    <w:p w14:paraId="1B157C12" w14:textId="77777777" w:rsidR="00091280" w:rsidRDefault="00091280" w:rsidP="000F06C0">
      <w:pPr>
        <w:pStyle w:val="Textparagrafu"/>
        <w:ind w:firstLine="0"/>
        <w:sectPr w:rsidR="00091280" w:rsidSect="00251BD1">
          <w:footnotePr>
            <w:numStart w:val="3"/>
          </w:footnotePr>
          <w:endnotePr>
            <w:numFmt w:val="decimal"/>
          </w:endnotePr>
          <w:pgSz w:w="11906" w:h="16838"/>
          <w:pgMar w:top="1418" w:right="1418" w:bottom="1418" w:left="1418" w:header="709" w:footer="709" w:gutter="0"/>
          <w:cols w:space="708"/>
          <w:docGrid w:linePitch="360"/>
        </w:sectPr>
      </w:pPr>
    </w:p>
    <w:p w14:paraId="31377B7A" w14:textId="057A9379" w:rsidR="00091280" w:rsidRPr="000C7A04" w:rsidRDefault="00091280" w:rsidP="00A06781">
      <w:pPr>
        <w:pStyle w:val="Odstavecseseznamem"/>
        <w:numPr>
          <w:ilvl w:val="0"/>
          <w:numId w:val="27"/>
        </w:numPr>
        <w:tabs>
          <w:tab w:val="left" w:pos="851"/>
        </w:tabs>
        <w:spacing w:before="120" w:after="120"/>
        <w:jc w:val="center"/>
        <w:outlineLvl w:val="0"/>
        <w:rPr>
          <w:b/>
          <w:szCs w:val="24"/>
        </w:rPr>
      </w:pPr>
      <w:r w:rsidRPr="000C7A04">
        <w:rPr>
          <w:b/>
          <w:szCs w:val="24"/>
        </w:rPr>
        <w:lastRenderedPageBreak/>
        <w:t xml:space="preserve">K části sedmé návrhu zákona – </w:t>
      </w:r>
      <w:r w:rsidRPr="000C7A04">
        <w:rPr>
          <w:szCs w:val="24"/>
        </w:rPr>
        <w:t>změna zákona o sdružování v politických stranách a v politických hnutích</w:t>
      </w:r>
    </w:p>
    <w:p w14:paraId="4A7845E0" w14:textId="752EAE12" w:rsidR="00091280" w:rsidRPr="00091280" w:rsidRDefault="00091280" w:rsidP="00091280">
      <w:pPr>
        <w:pStyle w:val="Odstavecseseznamem"/>
        <w:tabs>
          <w:tab w:val="left" w:pos="851"/>
        </w:tabs>
        <w:spacing w:before="120" w:after="120"/>
        <w:ind w:left="0"/>
        <w:outlineLvl w:val="0"/>
        <w:rPr>
          <w:b/>
          <w:szCs w:val="24"/>
        </w:rPr>
      </w:pPr>
    </w:p>
    <w:p w14:paraId="3888C745" w14:textId="1EE2D01F" w:rsidR="00091280" w:rsidRDefault="00091280" w:rsidP="0034696F">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AE0742">
        <w:rPr>
          <w:b/>
          <w:szCs w:val="24"/>
        </w:rPr>
        <w:t>Platné znění</w:t>
      </w:r>
      <w:r w:rsidRPr="00AE0742">
        <w:rPr>
          <w:szCs w:val="24"/>
        </w:rPr>
        <w:t xml:space="preserve"> zákona </w:t>
      </w:r>
      <w:r w:rsidRPr="00AE0742">
        <w:rPr>
          <w:color w:val="000000"/>
          <w:szCs w:val="24"/>
        </w:rPr>
        <w:t>č. </w:t>
      </w:r>
      <w:r>
        <w:rPr>
          <w:color w:val="000000"/>
          <w:szCs w:val="24"/>
        </w:rPr>
        <w:t xml:space="preserve">424/1991 </w:t>
      </w:r>
      <w:r w:rsidRPr="00AE0742">
        <w:rPr>
          <w:color w:val="000000"/>
          <w:szCs w:val="24"/>
        </w:rPr>
        <w:t xml:space="preserve">Sb., </w:t>
      </w:r>
      <w:r w:rsidRPr="00091280">
        <w:rPr>
          <w:szCs w:val="24"/>
        </w:rPr>
        <w:t>o sdružování v politických stranách a v politických hnutích</w:t>
      </w:r>
    </w:p>
    <w:p w14:paraId="725174A2" w14:textId="45C2C3E5" w:rsidR="00091280" w:rsidRPr="00AE0742" w:rsidRDefault="00A06781" w:rsidP="0034696F">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ED79D7">
        <w:rPr>
          <w:b/>
          <w:szCs w:val="24"/>
          <w:lang w:eastAsia="en-US"/>
        </w:rPr>
        <w:t xml:space="preserve">s vyznačením navrhovaných </w:t>
      </w:r>
      <w:r>
        <w:rPr>
          <w:b/>
          <w:szCs w:val="24"/>
          <w:lang w:eastAsia="en-US"/>
        </w:rPr>
        <w:t>změn a doplnění k 1. lednu 2025</w:t>
      </w:r>
    </w:p>
    <w:p w14:paraId="76AA81CC" w14:textId="790EEBEC" w:rsidR="00D35A18" w:rsidRDefault="00D35A18" w:rsidP="00D35A18">
      <w:pPr>
        <w:pStyle w:val="Textparagrafu"/>
        <w:ind w:firstLine="0"/>
        <w:jc w:val="center"/>
      </w:pPr>
      <w:r>
        <w:t>***</w:t>
      </w:r>
    </w:p>
    <w:p w14:paraId="133F9B32" w14:textId="77777777" w:rsidR="00495F58" w:rsidRDefault="00495F58" w:rsidP="00495F58">
      <w:pPr>
        <w:pStyle w:val="Default"/>
        <w:tabs>
          <w:tab w:val="left" w:pos="851"/>
        </w:tabs>
        <w:spacing w:before="240" w:after="120"/>
        <w:jc w:val="center"/>
        <w:rPr>
          <w:b/>
          <w:color w:val="auto"/>
        </w:rPr>
      </w:pPr>
      <w:r w:rsidRPr="00E2448C">
        <w:rPr>
          <w:b/>
          <w:color w:val="auto"/>
        </w:rPr>
        <w:t>Vznik</w:t>
      </w:r>
      <w:r>
        <w:rPr>
          <w:b/>
          <w:color w:val="auto"/>
        </w:rPr>
        <w:t xml:space="preserve"> </w:t>
      </w:r>
      <w:r w:rsidRPr="00E2448C">
        <w:rPr>
          <w:b/>
          <w:color w:val="auto"/>
        </w:rPr>
        <w:t>strany</w:t>
      </w:r>
      <w:r>
        <w:rPr>
          <w:b/>
          <w:color w:val="auto"/>
        </w:rPr>
        <w:t xml:space="preserve"> </w:t>
      </w:r>
      <w:r w:rsidRPr="00E2448C">
        <w:rPr>
          <w:b/>
          <w:color w:val="auto"/>
        </w:rPr>
        <w:t>a</w:t>
      </w:r>
      <w:r>
        <w:rPr>
          <w:b/>
          <w:color w:val="auto"/>
        </w:rPr>
        <w:t xml:space="preserve"> </w:t>
      </w:r>
      <w:r w:rsidRPr="00E2448C">
        <w:rPr>
          <w:b/>
          <w:color w:val="auto"/>
        </w:rPr>
        <w:t>hnutí</w:t>
      </w:r>
    </w:p>
    <w:p w14:paraId="0A318C69" w14:textId="77777777" w:rsidR="00495F58" w:rsidRDefault="00495F58" w:rsidP="00495F58">
      <w:pPr>
        <w:pStyle w:val="Default"/>
        <w:tabs>
          <w:tab w:val="left" w:pos="851"/>
        </w:tabs>
        <w:spacing w:before="240" w:after="120"/>
        <w:jc w:val="center"/>
        <w:rPr>
          <w:color w:val="auto"/>
        </w:rPr>
      </w:pPr>
      <w:r w:rsidRPr="00E2448C">
        <w:rPr>
          <w:color w:val="auto"/>
        </w:rPr>
        <w:t>§</w:t>
      </w:r>
      <w:r>
        <w:rPr>
          <w:color w:val="auto"/>
        </w:rPr>
        <w:t xml:space="preserve"> </w:t>
      </w:r>
      <w:r w:rsidRPr="00E2448C">
        <w:rPr>
          <w:color w:val="auto"/>
        </w:rPr>
        <w:t>6</w:t>
      </w:r>
    </w:p>
    <w:p w14:paraId="29E43C73" w14:textId="77777777" w:rsidR="00495F58" w:rsidRDefault="00495F58" w:rsidP="00A06781">
      <w:pPr>
        <w:pStyle w:val="PZTextodstavce"/>
        <w:tabs>
          <w:tab w:val="clear" w:pos="782"/>
          <w:tab w:val="left" w:pos="426"/>
        </w:tabs>
      </w:pPr>
      <w:r w:rsidRPr="00E2448C">
        <w:t>(1)</w:t>
      </w:r>
      <w:r>
        <w:t xml:space="preserve"> </w:t>
      </w:r>
      <w:r w:rsidRPr="00E2448C">
        <w:t>Strana</w:t>
      </w:r>
      <w:r>
        <w:t xml:space="preserve"> </w:t>
      </w:r>
      <w:r w:rsidRPr="00E2448C">
        <w:t>a</w:t>
      </w:r>
      <w:r>
        <w:t xml:space="preserve"> </w:t>
      </w:r>
      <w:r w:rsidRPr="00E2448C">
        <w:t>hnutí</w:t>
      </w:r>
      <w:r>
        <w:t xml:space="preserve"> </w:t>
      </w:r>
      <w:r w:rsidRPr="00E2448C">
        <w:t>vznikají</w:t>
      </w:r>
      <w:r>
        <w:t xml:space="preserve"> </w:t>
      </w:r>
      <w:r w:rsidRPr="00E2448C">
        <w:t>registrací</w:t>
      </w:r>
      <w:r>
        <w:t xml:space="preserve"> </w:t>
      </w:r>
      <w:r w:rsidRPr="00E2448C">
        <w:t>nebo</w:t>
      </w:r>
      <w:r>
        <w:t xml:space="preserve"> </w:t>
      </w:r>
      <w:r w:rsidRPr="00E2448C">
        <w:t>na</w:t>
      </w:r>
      <w:r>
        <w:t xml:space="preserve"> </w:t>
      </w:r>
      <w:r w:rsidRPr="00E2448C">
        <w:t>základě</w:t>
      </w:r>
      <w:r>
        <w:t xml:space="preserve"> </w:t>
      </w:r>
      <w:r w:rsidRPr="00E2448C">
        <w:t>skutečností,</w:t>
      </w:r>
      <w:r>
        <w:t xml:space="preserve"> </w:t>
      </w:r>
      <w:r w:rsidRPr="00E2448C">
        <w:t>které</w:t>
      </w:r>
      <w:r>
        <w:t xml:space="preserve"> </w:t>
      </w:r>
      <w:r w:rsidRPr="00E2448C">
        <w:t>ji</w:t>
      </w:r>
      <w:r>
        <w:t xml:space="preserve"> </w:t>
      </w:r>
      <w:r w:rsidRPr="00E2448C">
        <w:t>nahrazují</w:t>
      </w:r>
      <w:r>
        <w:t xml:space="preserve"> </w:t>
      </w:r>
      <w:r w:rsidRPr="00E2448C">
        <w:t>(§</w:t>
      </w:r>
      <w:r>
        <w:t xml:space="preserve"> </w:t>
      </w:r>
      <w:r w:rsidRPr="00E2448C">
        <w:t>8</w:t>
      </w:r>
      <w:r>
        <w:t xml:space="preserve"> </w:t>
      </w:r>
      <w:r w:rsidRPr="00E2448C">
        <w:t>odst.</w:t>
      </w:r>
      <w:r>
        <w:t xml:space="preserve"> </w:t>
      </w:r>
      <w:r w:rsidRPr="00E2448C">
        <w:t>4</w:t>
      </w:r>
      <w:r>
        <w:t xml:space="preserve"> </w:t>
      </w:r>
      <w:r w:rsidRPr="00E2448C">
        <w:t>a</w:t>
      </w:r>
      <w:r>
        <w:t xml:space="preserve"> </w:t>
      </w:r>
      <w:r w:rsidRPr="00E2448C">
        <w:t>6</w:t>
      </w:r>
      <w:r>
        <w:t xml:space="preserve"> </w:t>
      </w:r>
      <w:r w:rsidRPr="00E2448C">
        <w:t>a</w:t>
      </w:r>
      <w:r>
        <w:t xml:space="preserve"> </w:t>
      </w:r>
      <w:r w:rsidRPr="00E2448C">
        <w:t>§</w:t>
      </w:r>
      <w:r>
        <w:t xml:space="preserve"> </w:t>
      </w:r>
      <w:r w:rsidRPr="00E2448C">
        <w:t>21).</w:t>
      </w:r>
    </w:p>
    <w:p w14:paraId="33EFCEA0" w14:textId="77777777" w:rsidR="00495F58" w:rsidRDefault="00495F58" w:rsidP="00A06781">
      <w:pPr>
        <w:pStyle w:val="PZTextodstavce"/>
      </w:pPr>
      <w:r w:rsidRPr="00E2448C">
        <w:t>(2)</w:t>
      </w:r>
      <w:r>
        <w:t xml:space="preserve"> </w:t>
      </w:r>
      <w:r w:rsidRPr="00E2448C">
        <w:t>Návrh</w:t>
      </w:r>
      <w:r>
        <w:t xml:space="preserve"> </w:t>
      </w:r>
      <w:r w:rsidRPr="00E2448C">
        <w:t>na</w:t>
      </w:r>
      <w:r>
        <w:t xml:space="preserve"> </w:t>
      </w:r>
      <w:r w:rsidRPr="00E2448C">
        <w:t>registraci</w:t>
      </w:r>
      <w:r>
        <w:t xml:space="preserve"> </w:t>
      </w:r>
      <w:r w:rsidRPr="00E2448C">
        <w:t>strany</w:t>
      </w:r>
      <w:r>
        <w:t xml:space="preserve"> </w:t>
      </w:r>
      <w:r w:rsidRPr="00E2448C">
        <w:t>a</w:t>
      </w:r>
      <w:r>
        <w:t xml:space="preserve"> </w:t>
      </w:r>
      <w:r w:rsidRPr="00E2448C">
        <w:t>hnutí</w:t>
      </w:r>
      <w:r>
        <w:t xml:space="preserve"> </w:t>
      </w:r>
      <w:r w:rsidRPr="00E2448C">
        <w:t>(dále</w:t>
      </w:r>
      <w:r>
        <w:t xml:space="preserve"> </w:t>
      </w:r>
      <w:r w:rsidRPr="00E2448C">
        <w:t>jen</w:t>
      </w:r>
      <w:r>
        <w:t xml:space="preserve"> </w:t>
      </w:r>
      <w:r w:rsidRPr="00E2448C">
        <w:t>"návrh</w:t>
      </w:r>
      <w:r>
        <w:t xml:space="preserve"> </w:t>
      </w:r>
      <w:r w:rsidRPr="00E2448C">
        <w:t>na</w:t>
      </w:r>
      <w:r>
        <w:t xml:space="preserve"> </w:t>
      </w:r>
      <w:r w:rsidRPr="00E2448C">
        <w:t>registraci")</w:t>
      </w:r>
      <w:r>
        <w:t xml:space="preserve"> </w:t>
      </w:r>
      <w:r w:rsidRPr="00E2448C">
        <w:t>podává</w:t>
      </w:r>
      <w:r>
        <w:t xml:space="preserve"> </w:t>
      </w:r>
      <w:r w:rsidRPr="00E2448C">
        <w:t>nejméně</w:t>
      </w:r>
      <w:r>
        <w:t xml:space="preserve"> </w:t>
      </w:r>
      <w:r w:rsidRPr="00E2448C">
        <w:t>tříčlenný</w:t>
      </w:r>
      <w:r>
        <w:t xml:space="preserve"> </w:t>
      </w:r>
      <w:r w:rsidRPr="00E2448C">
        <w:t>přípravný</w:t>
      </w:r>
      <w:r>
        <w:t xml:space="preserve"> </w:t>
      </w:r>
      <w:r w:rsidRPr="00E2448C">
        <w:t>výbor</w:t>
      </w:r>
      <w:r>
        <w:t xml:space="preserve"> </w:t>
      </w:r>
      <w:r w:rsidRPr="00E2448C">
        <w:t>strany</w:t>
      </w:r>
      <w:r>
        <w:t xml:space="preserve"> </w:t>
      </w:r>
      <w:r w:rsidRPr="00E2448C">
        <w:t>a</w:t>
      </w:r>
      <w:r>
        <w:t xml:space="preserve"> </w:t>
      </w:r>
      <w:r w:rsidRPr="00E2448C">
        <w:t>hnutí</w:t>
      </w:r>
      <w:r>
        <w:t xml:space="preserve"> </w:t>
      </w:r>
      <w:r w:rsidRPr="00E2448C">
        <w:t>(dále</w:t>
      </w:r>
      <w:r>
        <w:t xml:space="preserve"> </w:t>
      </w:r>
      <w:r w:rsidRPr="00E2448C">
        <w:t>jen</w:t>
      </w:r>
      <w:r>
        <w:t xml:space="preserve"> </w:t>
      </w:r>
      <w:r w:rsidRPr="00E2448C">
        <w:t>"přípravný</w:t>
      </w:r>
      <w:r>
        <w:t xml:space="preserve"> </w:t>
      </w:r>
      <w:r w:rsidRPr="00E2448C">
        <w:t>výbor"),</w:t>
      </w:r>
      <w:r>
        <w:t xml:space="preserve"> </w:t>
      </w:r>
      <w:r w:rsidRPr="00E2448C">
        <w:t>který</w:t>
      </w:r>
      <w:r>
        <w:t xml:space="preserve"> </w:t>
      </w:r>
      <w:r w:rsidRPr="00E2448C">
        <w:t>je</w:t>
      </w:r>
      <w:r>
        <w:t xml:space="preserve"> </w:t>
      </w:r>
      <w:r w:rsidRPr="00E2448C">
        <w:t>oprávněn</w:t>
      </w:r>
      <w:r>
        <w:t xml:space="preserve"> </w:t>
      </w:r>
      <w:r w:rsidRPr="00E2448C">
        <w:t>vyvíjet</w:t>
      </w:r>
      <w:r>
        <w:t xml:space="preserve"> </w:t>
      </w:r>
      <w:r w:rsidRPr="00E2448C">
        <w:t>pouze</w:t>
      </w:r>
      <w:r>
        <w:t xml:space="preserve"> </w:t>
      </w:r>
      <w:r w:rsidRPr="00E2448C">
        <w:t>činnost</w:t>
      </w:r>
      <w:r>
        <w:t xml:space="preserve"> </w:t>
      </w:r>
      <w:r w:rsidRPr="00E2448C">
        <w:t>směřující</w:t>
      </w:r>
      <w:r>
        <w:t xml:space="preserve"> </w:t>
      </w:r>
      <w:r w:rsidRPr="00E2448C">
        <w:t>ke</w:t>
      </w:r>
      <w:r>
        <w:t xml:space="preserve"> </w:t>
      </w:r>
      <w:r w:rsidRPr="00E2448C">
        <w:t>vzniku</w:t>
      </w:r>
      <w:r>
        <w:t xml:space="preserve"> </w:t>
      </w:r>
      <w:r w:rsidRPr="00E2448C">
        <w:t>strany</w:t>
      </w:r>
      <w:r>
        <w:t xml:space="preserve"> </w:t>
      </w:r>
      <w:r w:rsidRPr="00E2448C">
        <w:t>a</w:t>
      </w:r>
      <w:r>
        <w:t xml:space="preserve"> </w:t>
      </w:r>
      <w:r w:rsidRPr="00E2448C">
        <w:t>hnutí.</w:t>
      </w:r>
      <w:r>
        <w:t xml:space="preserve"> </w:t>
      </w:r>
      <w:r w:rsidRPr="00E2448C">
        <w:t>Členy</w:t>
      </w:r>
      <w:r>
        <w:t xml:space="preserve"> </w:t>
      </w:r>
      <w:r w:rsidRPr="00E2448C">
        <w:t>přípravného</w:t>
      </w:r>
      <w:r>
        <w:t xml:space="preserve"> </w:t>
      </w:r>
      <w:r w:rsidRPr="00E2448C">
        <w:t>výboru</w:t>
      </w:r>
      <w:r>
        <w:t xml:space="preserve"> </w:t>
      </w:r>
      <w:r w:rsidRPr="00E2448C">
        <w:t>musí</w:t>
      </w:r>
      <w:r>
        <w:t xml:space="preserve"> </w:t>
      </w:r>
      <w:r w:rsidRPr="00E2448C">
        <w:t>být</w:t>
      </w:r>
      <w:r>
        <w:t xml:space="preserve"> </w:t>
      </w:r>
      <w:r w:rsidRPr="00E2448C">
        <w:t>občané,</w:t>
      </w:r>
      <w:r>
        <w:t xml:space="preserve"> </w:t>
      </w:r>
      <w:r w:rsidRPr="00E2448C">
        <w:t>kteří</w:t>
      </w:r>
      <w:r>
        <w:t xml:space="preserve"> </w:t>
      </w:r>
      <w:r w:rsidRPr="00E2448C">
        <w:t>dosáhli</w:t>
      </w:r>
      <w:r>
        <w:t xml:space="preserve"> </w:t>
      </w:r>
      <w:r w:rsidRPr="00E2448C">
        <w:t>věku</w:t>
      </w:r>
      <w:r>
        <w:t xml:space="preserve"> </w:t>
      </w:r>
      <w:r w:rsidRPr="00E2448C">
        <w:t>18</w:t>
      </w:r>
      <w:r>
        <w:t xml:space="preserve"> </w:t>
      </w:r>
      <w:r w:rsidRPr="00E2448C">
        <w:t>let.</w:t>
      </w:r>
      <w:r>
        <w:t xml:space="preserve"> </w:t>
      </w:r>
      <w:r w:rsidRPr="00E2448C">
        <w:t>Návrh</w:t>
      </w:r>
      <w:r>
        <w:t xml:space="preserve"> </w:t>
      </w:r>
      <w:r w:rsidRPr="00E2448C">
        <w:t>na</w:t>
      </w:r>
      <w:r>
        <w:t xml:space="preserve"> </w:t>
      </w:r>
      <w:r w:rsidRPr="00E2448C">
        <w:t>registraci</w:t>
      </w:r>
      <w:r>
        <w:t xml:space="preserve"> </w:t>
      </w:r>
      <w:r w:rsidRPr="00E2448C">
        <w:t>podepíší</w:t>
      </w:r>
      <w:r>
        <w:t xml:space="preserve"> </w:t>
      </w:r>
      <w:r w:rsidRPr="00E2448C">
        <w:t>všichni</w:t>
      </w:r>
      <w:r>
        <w:t xml:space="preserve"> </w:t>
      </w:r>
      <w:r w:rsidRPr="00E2448C">
        <w:t>členové</w:t>
      </w:r>
      <w:r>
        <w:t xml:space="preserve"> </w:t>
      </w:r>
      <w:r w:rsidRPr="00E2448C">
        <w:t>přípravného</w:t>
      </w:r>
      <w:r>
        <w:t xml:space="preserve"> </w:t>
      </w:r>
      <w:r w:rsidRPr="00E2448C">
        <w:t>výboru</w:t>
      </w:r>
      <w:r>
        <w:t xml:space="preserve"> </w:t>
      </w:r>
      <w:r w:rsidRPr="00E2448C">
        <w:t>a</w:t>
      </w:r>
      <w:r>
        <w:t xml:space="preserve"> </w:t>
      </w:r>
      <w:r w:rsidRPr="00E2448C">
        <w:t>uvedou</w:t>
      </w:r>
      <w:r>
        <w:t xml:space="preserve"> </w:t>
      </w:r>
      <w:r w:rsidRPr="00E2448C">
        <w:t>svoje</w:t>
      </w:r>
      <w:r>
        <w:t xml:space="preserve"> </w:t>
      </w:r>
      <w:r w:rsidRPr="00E2448C">
        <w:t>jména</w:t>
      </w:r>
      <w:r>
        <w:t xml:space="preserve"> </w:t>
      </w:r>
      <w:r w:rsidRPr="00E2448C">
        <w:t>a</w:t>
      </w:r>
      <w:r>
        <w:t xml:space="preserve"> </w:t>
      </w:r>
      <w:r w:rsidRPr="00E2448C">
        <w:t>příjmení,</w:t>
      </w:r>
      <w:r>
        <w:t xml:space="preserve"> </w:t>
      </w:r>
      <w:r w:rsidRPr="00E2448C">
        <w:t>data</w:t>
      </w:r>
      <w:r>
        <w:t xml:space="preserve"> </w:t>
      </w:r>
      <w:r w:rsidRPr="00E2448C">
        <w:t>narození</w:t>
      </w:r>
      <w:r>
        <w:t xml:space="preserve"> </w:t>
      </w:r>
      <w:r w:rsidRPr="00E2448C">
        <w:t>a</w:t>
      </w:r>
      <w:r>
        <w:t xml:space="preserve"> </w:t>
      </w:r>
      <w:r w:rsidRPr="00E2448C">
        <w:t>bydliště.</w:t>
      </w:r>
      <w:r>
        <w:t xml:space="preserve"> </w:t>
      </w:r>
      <w:r w:rsidRPr="00E2448C">
        <w:t>Dále</w:t>
      </w:r>
      <w:r>
        <w:t xml:space="preserve"> </w:t>
      </w:r>
      <w:r w:rsidRPr="00E2448C">
        <w:t>uvedou,</w:t>
      </w:r>
      <w:r>
        <w:t xml:space="preserve"> </w:t>
      </w:r>
      <w:r w:rsidRPr="00E2448C">
        <w:t>kdo</w:t>
      </w:r>
      <w:r>
        <w:t xml:space="preserve"> </w:t>
      </w:r>
      <w:r w:rsidRPr="00E2448C">
        <w:t>z</w:t>
      </w:r>
      <w:r>
        <w:t xml:space="preserve"> </w:t>
      </w:r>
      <w:r w:rsidRPr="00E2448C">
        <w:t>členů</w:t>
      </w:r>
      <w:r>
        <w:t xml:space="preserve"> </w:t>
      </w:r>
      <w:r w:rsidRPr="00E2448C">
        <w:t>přípravného</w:t>
      </w:r>
      <w:r>
        <w:t xml:space="preserve"> </w:t>
      </w:r>
      <w:r w:rsidRPr="00E2448C">
        <w:t>výboru</w:t>
      </w:r>
      <w:r>
        <w:t xml:space="preserve"> </w:t>
      </w:r>
      <w:r w:rsidRPr="00E2448C">
        <w:t>je</w:t>
      </w:r>
      <w:r>
        <w:t xml:space="preserve"> </w:t>
      </w:r>
      <w:r w:rsidRPr="00E2448C">
        <w:t>zmocněn</w:t>
      </w:r>
      <w:r>
        <w:t xml:space="preserve"> </w:t>
      </w:r>
      <w:r w:rsidRPr="00E2448C">
        <w:t>jednat</w:t>
      </w:r>
      <w:r>
        <w:t xml:space="preserve"> </w:t>
      </w:r>
      <w:r w:rsidRPr="00E2448C">
        <w:t>jejich</w:t>
      </w:r>
      <w:r>
        <w:t xml:space="preserve"> </w:t>
      </w:r>
      <w:r w:rsidRPr="00E2448C">
        <w:t>jménem.</w:t>
      </w:r>
      <w:r>
        <w:t xml:space="preserve"> </w:t>
      </w:r>
      <w:r w:rsidRPr="00E2448C">
        <w:t>K</w:t>
      </w:r>
      <w:r>
        <w:t xml:space="preserve"> </w:t>
      </w:r>
      <w:r w:rsidRPr="00E2448C">
        <w:t>návrhu</w:t>
      </w:r>
      <w:r>
        <w:t xml:space="preserve"> </w:t>
      </w:r>
      <w:r w:rsidRPr="00E2448C">
        <w:t>na</w:t>
      </w:r>
      <w:r>
        <w:t xml:space="preserve"> </w:t>
      </w:r>
      <w:r w:rsidRPr="00E2448C">
        <w:t>registraci</w:t>
      </w:r>
      <w:r>
        <w:t xml:space="preserve"> </w:t>
      </w:r>
      <w:r w:rsidRPr="00E2448C">
        <w:t>přípravný</w:t>
      </w:r>
      <w:r>
        <w:t xml:space="preserve"> </w:t>
      </w:r>
      <w:r w:rsidRPr="00E2448C">
        <w:t>výbor</w:t>
      </w:r>
      <w:r>
        <w:t xml:space="preserve"> </w:t>
      </w:r>
      <w:r w:rsidRPr="00E2448C">
        <w:t>připojí</w:t>
      </w:r>
    </w:p>
    <w:p w14:paraId="11D68CDC" w14:textId="45C51C9C" w:rsidR="00495F58" w:rsidRDefault="00495F58" w:rsidP="002B6A12">
      <w:pPr>
        <w:pStyle w:val="PZTextpsmene"/>
        <w:tabs>
          <w:tab w:val="left" w:pos="426"/>
          <w:tab w:val="left" w:pos="826"/>
          <w:tab w:val="left" w:pos="1260"/>
        </w:tabs>
        <w:spacing w:before="0"/>
        <w:ind w:left="426" w:hanging="426"/>
      </w:pPr>
      <w:r w:rsidRPr="00E2448C">
        <w:t>a)</w:t>
      </w:r>
      <w:r w:rsidR="004905C6">
        <w:tab/>
      </w:r>
      <w:r w:rsidRPr="00E2448C">
        <w:t>petici</w:t>
      </w:r>
      <w:r>
        <w:t xml:space="preserve"> </w:t>
      </w:r>
      <w:r w:rsidRPr="00E2448C">
        <w:t>alespoň</w:t>
      </w:r>
      <w:r>
        <w:t xml:space="preserve"> </w:t>
      </w:r>
      <w:r w:rsidRPr="00E2448C">
        <w:t>jednoho</w:t>
      </w:r>
      <w:r>
        <w:t xml:space="preserve"> </w:t>
      </w:r>
      <w:r w:rsidRPr="00E2448C">
        <w:t>tisíce</w:t>
      </w:r>
      <w:r>
        <w:t xml:space="preserve"> </w:t>
      </w:r>
      <w:r w:rsidRPr="00E2448C">
        <w:t>občanů</w:t>
      </w:r>
      <w:r>
        <w:t xml:space="preserve"> </w:t>
      </w:r>
      <w:r w:rsidRPr="00E2448C">
        <w:t>požadujících,</w:t>
      </w:r>
      <w:r>
        <w:t xml:space="preserve"> </w:t>
      </w:r>
      <w:r w:rsidRPr="00E2448C">
        <w:t>aby</w:t>
      </w:r>
      <w:r>
        <w:t xml:space="preserve"> </w:t>
      </w:r>
      <w:r w:rsidRPr="00E2448C">
        <w:t>strana</w:t>
      </w:r>
      <w:r>
        <w:t xml:space="preserve"> </w:t>
      </w:r>
      <w:r w:rsidRPr="00E2448C">
        <w:t>a</w:t>
      </w:r>
      <w:r>
        <w:t xml:space="preserve"> </w:t>
      </w:r>
      <w:r w:rsidRPr="00E2448C">
        <w:t>hnutí</w:t>
      </w:r>
      <w:r>
        <w:t xml:space="preserve"> </w:t>
      </w:r>
      <w:r w:rsidRPr="00E2448C">
        <w:t>vznikly.</w:t>
      </w:r>
      <w:r>
        <w:t xml:space="preserve"> </w:t>
      </w:r>
      <w:r w:rsidRPr="00E2448C">
        <w:t>K</w:t>
      </w:r>
      <w:r>
        <w:t xml:space="preserve"> </w:t>
      </w:r>
      <w:r w:rsidRPr="00E2448C">
        <w:t>podpisu</w:t>
      </w:r>
      <w:r>
        <w:t xml:space="preserve"> </w:t>
      </w:r>
      <w:r w:rsidRPr="00E2448C">
        <w:t>pod</w:t>
      </w:r>
      <w:r>
        <w:t xml:space="preserve"> </w:t>
      </w:r>
      <w:r w:rsidRPr="00E2448C">
        <w:t>peticí</w:t>
      </w:r>
      <w:r>
        <w:t xml:space="preserve"> </w:t>
      </w:r>
      <w:r w:rsidRPr="00E2448C">
        <w:t>musí</w:t>
      </w:r>
      <w:r>
        <w:t xml:space="preserve"> </w:t>
      </w:r>
      <w:r w:rsidRPr="00E2448C">
        <w:t>občan</w:t>
      </w:r>
      <w:r>
        <w:t xml:space="preserve"> </w:t>
      </w:r>
      <w:r w:rsidRPr="00E2448C">
        <w:t>uvést</w:t>
      </w:r>
      <w:r>
        <w:t xml:space="preserve"> </w:t>
      </w:r>
      <w:r w:rsidRPr="00E2448C">
        <w:t>své</w:t>
      </w:r>
      <w:r>
        <w:t xml:space="preserve"> </w:t>
      </w:r>
      <w:r w:rsidRPr="00E2448C">
        <w:t>jméno</w:t>
      </w:r>
      <w:r>
        <w:t xml:space="preserve"> </w:t>
      </w:r>
      <w:r w:rsidRPr="00E2448C">
        <w:t>a</w:t>
      </w:r>
      <w:r>
        <w:t xml:space="preserve"> </w:t>
      </w:r>
      <w:r w:rsidRPr="00E2448C">
        <w:t>příjmení,</w:t>
      </w:r>
      <w:r>
        <w:t xml:space="preserve"> </w:t>
      </w:r>
      <w:r w:rsidRPr="00E2448C">
        <w:t>datum</w:t>
      </w:r>
      <w:r>
        <w:t xml:space="preserve"> </w:t>
      </w:r>
      <w:r w:rsidRPr="00E2448C">
        <w:t>narození</w:t>
      </w:r>
      <w:r>
        <w:t xml:space="preserve"> </w:t>
      </w:r>
      <w:r w:rsidRPr="00E2448C">
        <w:t>a</w:t>
      </w:r>
      <w:r>
        <w:t xml:space="preserve"> </w:t>
      </w:r>
      <w:r w:rsidRPr="00E2448C">
        <w:t>bydliště,</w:t>
      </w:r>
    </w:p>
    <w:p w14:paraId="6EE67CA5" w14:textId="208877FA" w:rsidR="00495F58" w:rsidRDefault="00495F58" w:rsidP="004905C6">
      <w:pPr>
        <w:pStyle w:val="PZTextpsmene"/>
        <w:tabs>
          <w:tab w:val="left" w:pos="426"/>
          <w:tab w:val="left" w:pos="826"/>
          <w:tab w:val="left" w:pos="1260"/>
        </w:tabs>
        <w:spacing w:before="0"/>
        <w:ind w:left="0" w:firstLine="0"/>
      </w:pPr>
      <w:r w:rsidRPr="00E2448C">
        <w:t>b)</w:t>
      </w:r>
      <w:r w:rsidR="004905C6">
        <w:tab/>
      </w:r>
      <w:r w:rsidRPr="00E2448C">
        <w:t>stanovy</w:t>
      </w:r>
      <w:r>
        <w:t xml:space="preserve"> </w:t>
      </w:r>
      <w:r w:rsidRPr="00E2448C">
        <w:t>(organizační</w:t>
      </w:r>
      <w:r>
        <w:t xml:space="preserve"> </w:t>
      </w:r>
      <w:r w:rsidRPr="00E2448C">
        <w:t>řád)</w:t>
      </w:r>
      <w:r>
        <w:t xml:space="preserve"> </w:t>
      </w:r>
      <w:r w:rsidRPr="00E2448C">
        <w:t>ve</w:t>
      </w:r>
      <w:r>
        <w:t xml:space="preserve"> </w:t>
      </w:r>
      <w:r w:rsidRPr="00E2448C">
        <w:t>dvojím</w:t>
      </w:r>
      <w:r>
        <w:t xml:space="preserve"> </w:t>
      </w:r>
      <w:r w:rsidRPr="00E2448C">
        <w:t>vyhotovení,</w:t>
      </w:r>
      <w:r>
        <w:t xml:space="preserve"> </w:t>
      </w:r>
      <w:r w:rsidRPr="00E2448C">
        <w:t>v</w:t>
      </w:r>
      <w:r>
        <w:t xml:space="preserve"> </w:t>
      </w:r>
      <w:r w:rsidRPr="00E2448C">
        <w:t>nichž</w:t>
      </w:r>
      <w:r>
        <w:t xml:space="preserve"> </w:t>
      </w:r>
      <w:r w:rsidRPr="00E2448C">
        <w:t>musí</w:t>
      </w:r>
      <w:r>
        <w:t xml:space="preserve"> </w:t>
      </w:r>
      <w:r w:rsidRPr="00E2448C">
        <w:t>být</w:t>
      </w:r>
      <w:r>
        <w:t xml:space="preserve"> </w:t>
      </w:r>
      <w:r w:rsidRPr="00E2448C">
        <w:t>uvedeny:</w:t>
      </w:r>
    </w:p>
    <w:p w14:paraId="1B48A84A" w14:textId="35E76E01" w:rsidR="00495F58" w:rsidRDefault="004905C6" w:rsidP="004905C6">
      <w:pPr>
        <w:pStyle w:val="PZTextbodu"/>
        <w:tabs>
          <w:tab w:val="clear" w:pos="851"/>
          <w:tab w:val="left" w:pos="426"/>
          <w:tab w:val="left" w:pos="826"/>
          <w:tab w:val="left" w:pos="1260"/>
        </w:tabs>
        <w:spacing w:before="0"/>
        <w:ind w:left="0" w:firstLine="0"/>
      </w:pPr>
      <w:r>
        <w:tab/>
      </w:r>
      <w:r w:rsidR="00495F58" w:rsidRPr="00E2448C">
        <w:t>1.</w:t>
      </w:r>
      <w:r>
        <w:tab/>
      </w:r>
      <w:r w:rsidR="00495F58" w:rsidRPr="00E2448C">
        <w:t>název</w:t>
      </w:r>
      <w:r w:rsidR="00495F58">
        <w:t xml:space="preserve"> </w:t>
      </w:r>
      <w:r w:rsidR="00495F58" w:rsidRPr="00E2448C">
        <w:t>a</w:t>
      </w:r>
      <w:r w:rsidR="00495F58">
        <w:t xml:space="preserve"> </w:t>
      </w:r>
      <w:r w:rsidR="00495F58" w:rsidRPr="00E2448C">
        <w:t>zkratka</w:t>
      </w:r>
      <w:r w:rsidR="00495F58">
        <w:t xml:space="preserve"> </w:t>
      </w:r>
      <w:r w:rsidR="00495F58" w:rsidRPr="00E2448C">
        <w:t>strany</w:t>
      </w:r>
      <w:r w:rsidR="00495F58">
        <w:t xml:space="preserve"> </w:t>
      </w:r>
      <w:r w:rsidR="00495F58" w:rsidRPr="00E2448C">
        <w:t>a</w:t>
      </w:r>
      <w:r w:rsidR="00495F58">
        <w:t xml:space="preserve"> </w:t>
      </w:r>
      <w:r w:rsidR="00495F58" w:rsidRPr="00E2448C">
        <w:t>hnutí,</w:t>
      </w:r>
    </w:p>
    <w:p w14:paraId="4D6CCEC3" w14:textId="0A73F455" w:rsidR="00495F58" w:rsidRDefault="004905C6" w:rsidP="004905C6">
      <w:pPr>
        <w:pStyle w:val="PZTextbodu"/>
        <w:tabs>
          <w:tab w:val="clear" w:pos="851"/>
          <w:tab w:val="left" w:pos="426"/>
          <w:tab w:val="left" w:pos="826"/>
          <w:tab w:val="left" w:pos="1260"/>
        </w:tabs>
        <w:spacing w:before="0"/>
        <w:ind w:left="0" w:firstLine="0"/>
      </w:pPr>
      <w:r>
        <w:tab/>
      </w:r>
      <w:r w:rsidR="00495F58" w:rsidRPr="00E2448C">
        <w:t>2.</w:t>
      </w:r>
      <w:r>
        <w:tab/>
      </w:r>
      <w:r w:rsidR="00495F58" w:rsidRPr="00E2448C">
        <w:t>sídlo,</w:t>
      </w:r>
    </w:p>
    <w:p w14:paraId="6244EB4D" w14:textId="1D711DCC" w:rsidR="00495F58" w:rsidRDefault="004905C6" w:rsidP="004905C6">
      <w:pPr>
        <w:pStyle w:val="PZTextbodu"/>
        <w:tabs>
          <w:tab w:val="clear" w:pos="851"/>
          <w:tab w:val="left" w:pos="426"/>
          <w:tab w:val="left" w:pos="826"/>
          <w:tab w:val="left" w:pos="1260"/>
        </w:tabs>
        <w:spacing w:before="0"/>
        <w:ind w:left="0" w:firstLine="0"/>
      </w:pPr>
      <w:r>
        <w:tab/>
      </w:r>
      <w:r w:rsidR="00495F58" w:rsidRPr="00E2448C">
        <w:t>3.</w:t>
      </w:r>
      <w:r>
        <w:tab/>
      </w:r>
      <w:r w:rsidR="00495F58" w:rsidRPr="00E2448C">
        <w:t>programové</w:t>
      </w:r>
      <w:r w:rsidR="00495F58">
        <w:t xml:space="preserve"> </w:t>
      </w:r>
      <w:r w:rsidR="00495F58" w:rsidRPr="00E2448C">
        <w:t>cíle,</w:t>
      </w:r>
    </w:p>
    <w:p w14:paraId="0903C85C" w14:textId="1790E870" w:rsidR="00495F58" w:rsidRDefault="004905C6" w:rsidP="004905C6">
      <w:pPr>
        <w:pStyle w:val="PZTextbodu"/>
        <w:tabs>
          <w:tab w:val="clear" w:pos="851"/>
          <w:tab w:val="left" w:pos="426"/>
          <w:tab w:val="left" w:pos="826"/>
          <w:tab w:val="left" w:pos="1260"/>
        </w:tabs>
        <w:spacing w:before="0"/>
        <w:ind w:left="0" w:firstLine="0"/>
      </w:pPr>
      <w:r>
        <w:tab/>
      </w:r>
      <w:r w:rsidR="00495F58" w:rsidRPr="00E2448C">
        <w:t>4.</w:t>
      </w:r>
      <w:r>
        <w:tab/>
      </w:r>
      <w:r w:rsidR="00495F58" w:rsidRPr="00E2448C">
        <w:t>práva</w:t>
      </w:r>
      <w:r w:rsidR="00495F58">
        <w:t xml:space="preserve"> </w:t>
      </w:r>
      <w:r w:rsidR="00495F58" w:rsidRPr="00E2448C">
        <w:t>a</w:t>
      </w:r>
      <w:r w:rsidR="00495F58">
        <w:t xml:space="preserve"> </w:t>
      </w:r>
      <w:r w:rsidR="00495F58" w:rsidRPr="00E2448C">
        <w:t>povinnosti</w:t>
      </w:r>
      <w:r w:rsidR="00495F58">
        <w:t xml:space="preserve"> </w:t>
      </w:r>
      <w:r w:rsidR="00495F58" w:rsidRPr="00E2448C">
        <w:t>členů,</w:t>
      </w:r>
    </w:p>
    <w:p w14:paraId="712A2DA9" w14:textId="2D31D58C" w:rsidR="00495F58" w:rsidRDefault="004905C6" w:rsidP="004905C6">
      <w:pPr>
        <w:pStyle w:val="PZTextbodu"/>
        <w:tabs>
          <w:tab w:val="clear" w:pos="851"/>
          <w:tab w:val="left" w:pos="426"/>
          <w:tab w:val="left" w:pos="826"/>
          <w:tab w:val="left" w:pos="1260"/>
        </w:tabs>
        <w:spacing w:before="0"/>
        <w:ind w:left="825" w:hanging="825"/>
      </w:pPr>
      <w:r>
        <w:tab/>
      </w:r>
      <w:r w:rsidR="00495F58" w:rsidRPr="00E2448C">
        <w:t>5.</w:t>
      </w:r>
      <w:r>
        <w:tab/>
      </w:r>
      <w:r w:rsidR="00495F58" w:rsidRPr="00E2448C">
        <w:t>ustanovení</w:t>
      </w:r>
      <w:r w:rsidR="00495F58">
        <w:t xml:space="preserve"> </w:t>
      </w:r>
      <w:r w:rsidR="00495F58" w:rsidRPr="00E2448C">
        <w:t>o</w:t>
      </w:r>
      <w:r w:rsidR="00495F58">
        <w:t xml:space="preserve"> </w:t>
      </w:r>
      <w:r w:rsidR="00495F58" w:rsidRPr="00E2448C">
        <w:t>organizačních</w:t>
      </w:r>
      <w:r w:rsidR="00495F58">
        <w:t xml:space="preserve"> </w:t>
      </w:r>
      <w:r w:rsidR="00495F58" w:rsidRPr="00E2448C">
        <w:t>jednotkách,</w:t>
      </w:r>
      <w:r w:rsidR="00495F58">
        <w:t xml:space="preserve"> </w:t>
      </w:r>
      <w:r w:rsidR="00495F58" w:rsidRPr="00E2448C">
        <w:t>pokud</w:t>
      </w:r>
      <w:r w:rsidR="00495F58">
        <w:t xml:space="preserve"> </w:t>
      </w:r>
      <w:r w:rsidR="00495F58" w:rsidRPr="00E2448C">
        <w:t>budou</w:t>
      </w:r>
      <w:r w:rsidR="00495F58">
        <w:t xml:space="preserve"> </w:t>
      </w:r>
      <w:r w:rsidR="00495F58" w:rsidRPr="00E2448C">
        <w:t>zřízeny,</w:t>
      </w:r>
      <w:r w:rsidR="00495F58">
        <w:t xml:space="preserve"> </w:t>
      </w:r>
      <w:r w:rsidR="00495F58" w:rsidRPr="00E2448C">
        <w:t>zejména</w:t>
      </w:r>
      <w:r w:rsidR="00495F58">
        <w:t xml:space="preserve"> </w:t>
      </w:r>
      <w:r w:rsidR="00495F58" w:rsidRPr="00E2448C">
        <w:t>vymezení</w:t>
      </w:r>
      <w:r w:rsidR="00495F58">
        <w:t xml:space="preserve"> </w:t>
      </w:r>
      <w:r w:rsidR="00495F58" w:rsidRPr="00E2448C">
        <w:t>rozsahu,</w:t>
      </w:r>
      <w:r w:rsidR="00495F58">
        <w:t xml:space="preserve"> </w:t>
      </w:r>
      <w:r w:rsidR="00495F58" w:rsidRPr="00E2448C">
        <w:t>v</w:t>
      </w:r>
      <w:r w:rsidR="00495F58">
        <w:t xml:space="preserve"> </w:t>
      </w:r>
      <w:r w:rsidR="00495F58" w:rsidRPr="00E2448C">
        <w:t>němž</w:t>
      </w:r>
      <w:r w:rsidR="00495F58">
        <w:t xml:space="preserve"> </w:t>
      </w:r>
      <w:r w:rsidR="00495F58" w:rsidRPr="00E2448C">
        <w:t>mohou</w:t>
      </w:r>
      <w:r w:rsidR="00495F58">
        <w:t xml:space="preserve"> </w:t>
      </w:r>
      <w:r w:rsidR="00495F58" w:rsidRPr="00E2448C">
        <w:t>ve</w:t>
      </w:r>
      <w:r w:rsidR="00495F58">
        <w:t xml:space="preserve"> </w:t>
      </w:r>
      <w:r w:rsidR="00495F58" w:rsidRPr="00E2448C">
        <w:t>prospěch</w:t>
      </w:r>
      <w:r w:rsidR="00495F58">
        <w:t xml:space="preserve"> </w:t>
      </w:r>
      <w:r w:rsidR="00495F58" w:rsidRPr="00E2448C">
        <w:t>strany</w:t>
      </w:r>
      <w:r w:rsidR="00495F58">
        <w:t xml:space="preserve"> </w:t>
      </w:r>
      <w:r w:rsidR="00495F58" w:rsidRPr="00E2448C">
        <w:t>majetek</w:t>
      </w:r>
      <w:r w:rsidR="00495F58">
        <w:t xml:space="preserve"> </w:t>
      </w:r>
      <w:r w:rsidR="00495F58" w:rsidRPr="00E2448C">
        <w:t>nabývat,</w:t>
      </w:r>
      <w:r w:rsidR="00495F58">
        <w:t xml:space="preserve"> </w:t>
      </w:r>
      <w:r w:rsidR="00495F58" w:rsidRPr="00E2448C">
        <w:t>hospodařit</w:t>
      </w:r>
      <w:r w:rsidR="00495F58">
        <w:t xml:space="preserve"> </w:t>
      </w:r>
      <w:r w:rsidR="00495F58" w:rsidRPr="00E2448C">
        <w:t>a</w:t>
      </w:r>
      <w:r w:rsidR="00495F58">
        <w:t xml:space="preserve"> </w:t>
      </w:r>
      <w:r w:rsidR="00495F58" w:rsidRPr="00E2448C">
        <w:t>nakládat</w:t>
      </w:r>
      <w:r w:rsidR="00495F58">
        <w:t xml:space="preserve"> </w:t>
      </w:r>
      <w:r w:rsidR="00495F58" w:rsidRPr="00E2448C">
        <w:t>s</w:t>
      </w:r>
      <w:r w:rsidR="00495F58">
        <w:t xml:space="preserve"> </w:t>
      </w:r>
      <w:r w:rsidR="00495F58" w:rsidRPr="00E2448C">
        <w:t>ním,</w:t>
      </w:r>
      <w:r w:rsidR="00495F58">
        <w:t xml:space="preserve"> </w:t>
      </w:r>
      <w:r w:rsidR="00495F58" w:rsidRPr="00E2448C">
        <w:t>popřípadě</w:t>
      </w:r>
      <w:r w:rsidR="00495F58">
        <w:t xml:space="preserve"> </w:t>
      </w:r>
      <w:r w:rsidR="00495F58" w:rsidRPr="00E2448C">
        <w:t>nabývat</w:t>
      </w:r>
      <w:r w:rsidR="00495F58">
        <w:t xml:space="preserve"> </w:t>
      </w:r>
      <w:r w:rsidR="00495F58" w:rsidRPr="00E2448C">
        <w:t>jiná</w:t>
      </w:r>
      <w:r w:rsidR="00495F58">
        <w:t xml:space="preserve"> </w:t>
      </w:r>
      <w:r w:rsidR="00495F58" w:rsidRPr="00E2448C">
        <w:t>majetková</w:t>
      </w:r>
      <w:r w:rsidR="00495F58">
        <w:t xml:space="preserve"> </w:t>
      </w:r>
      <w:r w:rsidR="00495F58" w:rsidRPr="00E2448C">
        <w:t>práva,</w:t>
      </w:r>
      <w:r w:rsidR="00495F58">
        <w:t xml:space="preserve"> </w:t>
      </w:r>
      <w:r w:rsidR="00495F58" w:rsidRPr="00E2448C">
        <w:t>a</w:t>
      </w:r>
      <w:r w:rsidR="00495F58">
        <w:t xml:space="preserve"> </w:t>
      </w:r>
      <w:r w:rsidR="00495F58" w:rsidRPr="00E2448C">
        <w:t>rozsahu,</w:t>
      </w:r>
      <w:r w:rsidR="00495F58">
        <w:t xml:space="preserve"> </w:t>
      </w:r>
      <w:r w:rsidR="00495F58" w:rsidRPr="00E2448C">
        <w:t>v</w:t>
      </w:r>
      <w:r w:rsidR="00495F58">
        <w:t xml:space="preserve"> </w:t>
      </w:r>
      <w:r w:rsidR="00495F58" w:rsidRPr="00E2448C">
        <w:t>němž</w:t>
      </w:r>
      <w:r w:rsidR="00495F58">
        <w:t xml:space="preserve"> </w:t>
      </w:r>
      <w:r w:rsidR="00495F58" w:rsidRPr="00E2448C">
        <w:t>mohou</w:t>
      </w:r>
      <w:r w:rsidR="00495F58">
        <w:t xml:space="preserve"> </w:t>
      </w:r>
      <w:r w:rsidR="00495F58" w:rsidRPr="00E2448C">
        <w:t>jednat</w:t>
      </w:r>
      <w:r w:rsidR="00495F58">
        <w:t xml:space="preserve"> </w:t>
      </w:r>
      <w:r w:rsidR="00495F58" w:rsidRPr="00E2448C">
        <w:t>a</w:t>
      </w:r>
      <w:r w:rsidR="00495F58">
        <w:t xml:space="preserve"> </w:t>
      </w:r>
      <w:r w:rsidR="00495F58" w:rsidRPr="00E2448C">
        <w:t>zavazovat</w:t>
      </w:r>
      <w:r w:rsidR="00495F58">
        <w:t xml:space="preserve"> </w:t>
      </w:r>
      <w:r w:rsidR="00495F58" w:rsidRPr="00E2448C">
        <w:t>se</w:t>
      </w:r>
      <w:r w:rsidR="00495F58">
        <w:t xml:space="preserve"> </w:t>
      </w:r>
      <w:r w:rsidR="00495F58" w:rsidRPr="00E2448C">
        <w:t>jménem</w:t>
      </w:r>
      <w:r w:rsidR="00495F58">
        <w:t xml:space="preserve"> </w:t>
      </w:r>
      <w:r w:rsidR="00495F58" w:rsidRPr="00E2448C">
        <w:t>strany,</w:t>
      </w:r>
    </w:p>
    <w:p w14:paraId="7A26AE18" w14:textId="6BDA32EC" w:rsidR="00495F58" w:rsidRDefault="004905C6" w:rsidP="004905C6">
      <w:pPr>
        <w:pStyle w:val="PZTextbodu"/>
        <w:tabs>
          <w:tab w:val="clear" w:pos="851"/>
          <w:tab w:val="left" w:pos="426"/>
          <w:tab w:val="left" w:pos="826"/>
          <w:tab w:val="left" w:pos="1260"/>
        </w:tabs>
        <w:spacing w:before="0"/>
        <w:ind w:left="825" w:hanging="825"/>
      </w:pPr>
      <w:r>
        <w:tab/>
      </w:r>
      <w:r w:rsidR="00495F58" w:rsidRPr="00E2448C">
        <w:t>6.</w:t>
      </w:r>
      <w:r>
        <w:tab/>
      </w:r>
      <w:r w:rsidR="00495F58" w:rsidRPr="00E2448C">
        <w:t>orgány</w:t>
      </w:r>
      <w:r w:rsidR="00495F58">
        <w:t xml:space="preserve"> </w:t>
      </w:r>
      <w:r w:rsidR="00495F58" w:rsidRPr="00E2448C">
        <w:t>včetně</w:t>
      </w:r>
      <w:r w:rsidR="00495F58">
        <w:t xml:space="preserve"> </w:t>
      </w:r>
      <w:r w:rsidR="00495F58" w:rsidRPr="00E2448C">
        <w:t>orgánů</w:t>
      </w:r>
      <w:r w:rsidR="00495F58">
        <w:t xml:space="preserve"> </w:t>
      </w:r>
      <w:r w:rsidR="00495F58" w:rsidRPr="00E2448C">
        <w:t>statutárních,</w:t>
      </w:r>
      <w:r w:rsidR="00495F58">
        <w:t xml:space="preserve"> </w:t>
      </w:r>
      <w:r w:rsidR="00495F58" w:rsidRPr="00E2448C">
        <w:t>rozhodčích</w:t>
      </w:r>
      <w:r w:rsidR="00495F58">
        <w:t xml:space="preserve"> </w:t>
      </w:r>
      <w:r w:rsidR="00495F58" w:rsidRPr="00E2448C">
        <w:t>a</w:t>
      </w:r>
      <w:r w:rsidR="00495F58">
        <w:t xml:space="preserve"> </w:t>
      </w:r>
      <w:r w:rsidR="00495F58" w:rsidRPr="00E2448C">
        <w:t>revizních,</w:t>
      </w:r>
      <w:r w:rsidR="00495F58">
        <w:t xml:space="preserve"> </w:t>
      </w:r>
      <w:r w:rsidR="00495F58" w:rsidRPr="00E2448C">
        <w:t>způsob</w:t>
      </w:r>
      <w:r w:rsidR="00495F58">
        <w:t xml:space="preserve"> </w:t>
      </w:r>
      <w:r w:rsidR="00495F58" w:rsidRPr="00E2448C">
        <w:t>jejich</w:t>
      </w:r>
      <w:r w:rsidR="00495F58">
        <w:t xml:space="preserve"> </w:t>
      </w:r>
      <w:r w:rsidR="00495F58" w:rsidRPr="00E2448C">
        <w:t>ustavování</w:t>
      </w:r>
      <w:r w:rsidR="00495F58">
        <w:t xml:space="preserve"> </w:t>
      </w:r>
      <w:r w:rsidR="00495F58" w:rsidRPr="00E2448C">
        <w:t>a</w:t>
      </w:r>
      <w:r w:rsidR="00495F58">
        <w:t xml:space="preserve"> </w:t>
      </w:r>
      <w:r w:rsidR="00495F58" w:rsidRPr="00E2448C">
        <w:t>vymezení</w:t>
      </w:r>
      <w:r w:rsidR="00495F58">
        <w:t xml:space="preserve"> </w:t>
      </w:r>
      <w:r w:rsidR="00495F58" w:rsidRPr="00E2448C">
        <w:t>jejich</w:t>
      </w:r>
      <w:r w:rsidR="00495F58">
        <w:t xml:space="preserve"> </w:t>
      </w:r>
      <w:r w:rsidR="00495F58" w:rsidRPr="00E2448C">
        <w:t>oprávnění,</w:t>
      </w:r>
    </w:p>
    <w:p w14:paraId="38F1B8BE" w14:textId="2CE08A7C" w:rsidR="00495F58" w:rsidRDefault="004905C6" w:rsidP="004905C6">
      <w:pPr>
        <w:pStyle w:val="PZTextbodu"/>
        <w:tabs>
          <w:tab w:val="clear" w:pos="851"/>
          <w:tab w:val="left" w:pos="426"/>
          <w:tab w:val="left" w:pos="826"/>
          <w:tab w:val="left" w:pos="1260"/>
        </w:tabs>
        <w:spacing w:before="0"/>
        <w:ind w:left="825" w:hanging="825"/>
      </w:pPr>
      <w:r>
        <w:tab/>
      </w:r>
      <w:r w:rsidR="00495F58" w:rsidRPr="00E2448C">
        <w:t>7.</w:t>
      </w:r>
      <w:r>
        <w:tab/>
      </w:r>
      <w:r w:rsidR="00495F58" w:rsidRPr="00E2448C">
        <w:t>způsob,</w:t>
      </w:r>
      <w:r w:rsidR="00495F58">
        <w:t xml:space="preserve"> </w:t>
      </w:r>
      <w:r w:rsidR="00495F58" w:rsidRPr="00E2448C">
        <w:t>jakým</w:t>
      </w:r>
      <w:r w:rsidR="00495F58">
        <w:t xml:space="preserve"> </w:t>
      </w:r>
      <w:r w:rsidR="00495F58" w:rsidRPr="00E2448C">
        <w:t>statutární</w:t>
      </w:r>
      <w:r w:rsidR="00495F58">
        <w:t xml:space="preserve"> </w:t>
      </w:r>
      <w:r w:rsidR="00495F58" w:rsidRPr="00E2448C">
        <w:t>orgány</w:t>
      </w:r>
      <w:r w:rsidR="00495F58">
        <w:t xml:space="preserve"> </w:t>
      </w:r>
      <w:r w:rsidR="00495F58" w:rsidRPr="00E2448C">
        <w:t>jednají</w:t>
      </w:r>
      <w:r w:rsidR="00495F58">
        <w:t xml:space="preserve"> </w:t>
      </w:r>
      <w:r w:rsidR="00495F58" w:rsidRPr="00E2448C">
        <w:t>a</w:t>
      </w:r>
      <w:r w:rsidR="00495F58">
        <w:t xml:space="preserve"> </w:t>
      </w:r>
      <w:r w:rsidR="00495F58" w:rsidRPr="00E2448C">
        <w:t>podepisují,</w:t>
      </w:r>
      <w:r w:rsidR="00495F58">
        <w:t xml:space="preserve"> </w:t>
      </w:r>
      <w:r w:rsidR="00495F58" w:rsidRPr="00E2448C">
        <w:t>zda</w:t>
      </w:r>
      <w:r w:rsidR="00495F58">
        <w:t xml:space="preserve"> </w:t>
      </w:r>
      <w:r w:rsidR="00495F58" w:rsidRPr="00E2448C">
        <w:t>a</w:t>
      </w:r>
      <w:r w:rsidR="00495F58">
        <w:t xml:space="preserve"> </w:t>
      </w:r>
      <w:r w:rsidR="00495F58" w:rsidRPr="00E2448C">
        <w:t>v</w:t>
      </w:r>
      <w:r w:rsidR="00495F58">
        <w:t xml:space="preserve"> </w:t>
      </w:r>
      <w:r w:rsidR="00495F58" w:rsidRPr="00E2448C">
        <w:t>jakém</w:t>
      </w:r>
      <w:r w:rsidR="00495F58">
        <w:t xml:space="preserve"> </w:t>
      </w:r>
      <w:r w:rsidR="00495F58" w:rsidRPr="00E2448C">
        <w:t>rozsahu</w:t>
      </w:r>
      <w:r w:rsidR="00495F58">
        <w:t xml:space="preserve"> </w:t>
      </w:r>
      <w:r w:rsidR="00495F58" w:rsidRPr="00E2448C">
        <w:t>mohou</w:t>
      </w:r>
      <w:r w:rsidR="00495F58">
        <w:t xml:space="preserve"> </w:t>
      </w:r>
      <w:r w:rsidR="00495F58" w:rsidRPr="00E2448C">
        <w:t>činit</w:t>
      </w:r>
      <w:r w:rsidR="00495F58">
        <w:t xml:space="preserve"> </w:t>
      </w:r>
      <w:r w:rsidR="00495F58" w:rsidRPr="00E2448C">
        <w:t>právní</w:t>
      </w:r>
      <w:r w:rsidR="00495F58">
        <w:t xml:space="preserve"> </w:t>
      </w:r>
      <w:r w:rsidR="00495F58" w:rsidRPr="00E2448C">
        <w:t>jednání</w:t>
      </w:r>
      <w:r w:rsidR="00495F58">
        <w:t xml:space="preserve"> </w:t>
      </w:r>
      <w:r w:rsidR="00495F58" w:rsidRPr="00E2448C">
        <w:t>jménem</w:t>
      </w:r>
      <w:r w:rsidR="00495F58">
        <w:t xml:space="preserve"> </w:t>
      </w:r>
      <w:r w:rsidR="00495F58" w:rsidRPr="00E2448C">
        <w:t>strany</w:t>
      </w:r>
      <w:r w:rsidR="00495F58">
        <w:t xml:space="preserve"> </w:t>
      </w:r>
      <w:r w:rsidR="00495F58" w:rsidRPr="00E2448C">
        <w:t>a</w:t>
      </w:r>
      <w:r w:rsidR="00495F58">
        <w:t xml:space="preserve"> </w:t>
      </w:r>
      <w:r w:rsidR="00495F58" w:rsidRPr="00E2448C">
        <w:t>hnutí</w:t>
      </w:r>
      <w:r w:rsidR="00495F58">
        <w:t xml:space="preserve"> </w:t>
      </w:r>
      <w:r w:rsidR="00495F58" w:rsidRPr="00E2448C">
        <w:t>i</w:t>
      </w:r>
      <w:r w:rsidR="00495F58">
        <w:t xml:space="preserve"> </w:t>
      </w:r>
      <w:r w:rsidR="00495F58" w:rsidRPr="00E2448C">
        <w:t>jiní</w:t>
      </w:r>
      <w:r w:rsidR="00495F58">
        <w:t xml:space="preserve"> </w:t>
      </w:r>
      <w:r w:rsidR="00495F58" w:rsidRPr="00E2448C">
        <w:t>členové</w:t>
      </w:r>
      <w:r w:rsidR="00495F58">
        <w:t xml:space="preserve"> </w:t>
      </w:r>
      <w:r w:rsidR="00495F58" w:rsidRPr="00E2448C">
        <w:t>či</w:t>
      </w:r>
      <w:r w:rsidR="00495F58">
        <w:t xml:space="preserve"> </w:t>
      </w:r>
      <w:r w:rsidR="00495F58" w:rsidRPr="00E2448C">
        <w:t>pracovníci,</w:t>
      </w:r>
    </w:p>
    <w:p w14:paraId="2C492BC3" w14:textId="3D2D8F8A" w:rsidR="00495F58" w:rsidRDefault="004905C6" w:rsidP="004905C6">
      <w:pPr>
        <w:pStyle w:val="PZTextbodu"/>
        <w:tabs>
          <w:tab w:val="clear" w:pos="851"/>
          <w:tab w:val="left" w:pos="426"/>
          <w:tab w:val="left" w:pos="826"/>
          <w:tab w:val="left" w:pos="1260"/>
        </w:tabs>
        <w:spacing w:before="0"/>
        <w:ind w:left="0" w:firstLine="0"/>
      </w:pPr>
      <w:r>
        <w:tab/>
      </w:r>
      <w:r w:rsidR="00495F58" w:rsidRPr="00E2448C">
        <w:t>8.</w:t>
      </w:r>
      <w:r>
        <w:tab/>
      </w:r>
      <w:r w:rsidR="00495F58" w:rsidRPr="00E2448C">
        <w:t>zásady</w:t>
      </w:r>
      <w:r w:rsidR="00495F58">
        <w:t xml:space="preserve"> </w:t>
      </w:r>
      <w:r w:rsidR="00495F58" w:rsidRPr="00E2448C">
        <w:t>hospodaření,</w:t>
      </w:r>
    </w:p>
    <w:p w14:paraId="0E20B069" w14:textId="17E86878" w:rsidR="00495F58" w:rsidRDefault="004905C6" w:rsidP="004905C6">
      <w:pPr>
        <w:pStyle w:val="PZTextbodu"/>
        <w:tabs>
          <w:tab w:val="clear" w:pos="851"/>
          <w:tab w:val="left" w:pos="426"/>
          <w:tab w:val="left" w:pos="826"/>
          <w:tab w:val="left" w:pos="1260"/>
        </w:tabs>
        <w:spacing w:before="0"/>
        <w:ind w:left="825" w:hanging="825"/>
        <w:rPr>
          <w:strike/>
        </w:rPr>
      </w:pPr>
      <w:r>
        <w:tab/>
      </w:r>
      <w:r w:rsidR="00495F58" w:rsidRPr="00E2448C">
        <w:t>9.</w:t>
      </w:r>
      <w:r>
        <w:tab/>
      </w:r>
      <w:r w:rsidR="00495F58" w:rsidRPr="00E2448C">
        <w:t>způsob</w:t>
      </w:r>
      <w:r w:rsidR="00495F58">
        <w:t xml:space="preserve"> </w:t>
      </w:r>
      <w:r w:rsidR="00495F58" w:rsidRPr="00E2448C">
        <w:t>stanovení</w:t>
      </w:r>
      <w:r w:rsidR="00495F58">
        <w:t xml:space="preserve"> </w:t>
      </w:r>
      <w:r w:rsidR="00495F58" w:rsidRPr="00E2448C">
        <w:t>členských</w:t>
      </w:r>
      <w:r w:rsidR="00495F58">
        <w:t xml:space="preserve"> </w:t>
      </w:r>
      <w:r w:rsidR="00495F58" w:rsidRPr="00E2448C">
        <w:t>příspěvků,</w:t>
      </w:r>
      <w:r w:rsidR="00495F58">
        <w:t xml:space="preserve"> </w:t>
      </w:r>
      <w:r w:rsidR="00495F58" w:rsidRPr="00E2448C">
        <w:t>mají-li</w:t>
      </w:r>
      <w:r w:rsidR="00495F58">
        <w:t xml:space="preserve"> </w:t>
      </w:r>
      <w:r w:rsidR="00495F58" w:rsidRPr="00E2448C">
        <w:t>členové</w:t>
      </w:r>
      <w:r w:rsidR="00495F58">
        <w:t xml:space="preserve"> </w:t>
      </w:r>
      <w:r w:rsidR="00495F58" w:rsidRPr="00E2448C">
        <w:t>strany</w:t>
      </w:r>
      <w:r w:rsidR="00495F58">
        <w:t xml:space="preserve"> </w:t>
      </w:r>
      <w:r w:rsidR="00495F58" w:rsidRPr="00E2448C">
        <w:t>a</w:t>
      </w:r>
      <w:r w:rsidR="00495F58">
        <w:t xml:space="preserve"> </w:t>
      </w:r>
      <w:r w:rsidR="00495F58" w:rsidRPr="00E2448C">
        <w:t>hnutí</w:t>
      </w:r>
      <w:r w:rsidR="00495F58">
        <w:t xml:space="preserve"> </w:t>
      </w:r>
      <w:r w:rsidR="00495F58" w:rsidRPr="00E2448C">
        <w:t>uloženu</w:t>
      </w:r>
      <w:r w:rsidR="00495F58">
        <w:t xml:space="preserve"> </w:t>
      </w:r>
      <w:r w:rsidR="00495F58" w:rsidRPr="00E2448C">
        <w:t>povinnost</w:t>
      </w:r>
      <w:r w:rsidR="00495F58">
        <w:t xml:space="preserve"> </w:t>
      </w:r>
      <w:r w:rsidR="00495F58" w:rsidRPr="00E2448C">
        <w:t>platit</w:t>
      </w:r>
      <w:r w:rsidR="00495F58">
        <w:t xml:space="preserve"> </w:t>
      </w:r>
      <w:r w:rsidR="00495F58" w:rsidRPr="00E2448C">
        <w:t>členské</w:t>
      </w:r>
      <w:r w:rsidR="00495F58">
        <w:t xml:space="preserve"> </w:t>
      </w:r>
      <w:r w:rsidR="00495F58" w:rsidRPr="00E2448C">
        <w:t>příspěvky</w:t>
      </w:r>
      <w:r w:rsidR="00495F58" w:rsidRPr="00E2448C">
        <w:rPr>
          <w:strike/>
        </w:rPr>
        <w:t>.</w:t>
      </w:r>
      <w:r w:rsidR="00495F58" w:rsidRPr="00E2448C">
        <w:rPr>
          <w:b/>
          <w:bCs/>
        </w:rPr>
        <w:t>,</w:t>
      </w:r>
      <w:r w:rsidR="00495F58">
        <w:rPr>
          <w:b/>
          <w:bCs/>
        </w:rPr>
        <w:t xml:space="preserve"> </w:t>
      </w:r>
      <w:r w:rsidR="00495F58" w:rsidRPr="00E2448C">
        <w:rPr>
          <w:strike/>
        </w:rPr>
        <w:t>Je-li</w:t>
      </w:r>
      <w:r w:rsidR="00495F58">
        <w:rPr>
          <w:strike/>
        </w:rPr>
        <w:t xml:space="preserve"> </w:t>
      </w:r>
      <w:r w:rsidR="00495F58" w:rsidRPr="00E2448C">
        <w:rPr>
          <w:strike/>
        </w:rPr>
        <w:t>členský</w:t>
      </w:r>
      <w:r w:rsidR="00495F58">
        <w:rPr>
          <w:strike/>
        </w:rPr>
        <w:t xml:space="preserve"> </w:t>
      </w:r>
      <w:r w:rsidR="00495F58" w:rsidRPr="00E2448C">
        <w:rPr>
          <w:strike/>
        </w:rPr>
        <w:t>příspěvek</w:t>
      </w:r>
      <w:r w:rsidR="00495F58">
        <w:rPr>
          <w:strike/>
        </w:rPr>
        <w:t xml:space="preserve"> </w:t>
      </w:r>
      <w:r w:rsidR="00495F58" w:rsidRPr="00E2448C">
        <w:rPr>
          <w:strike/>
        </w:rPr>
        <w:t>člena</w:t>
      </w:r>
      <w:r w:rsidR="00495F58">
        <w:rPr>
          <w:strike/>
        </w:rPr>
        <w:t xml:space="preserve"> </w:t>
      </w:r>
      <w:r w:rsidR="00495F58" w:rsidRPr="00E2448C">
        <w:rPr>
          <w:strike/>
        </w:rPr>
        <w:t>za</w:t>
      </w:r>
      <w:r w:rsidR="00495F58">
        <w:rPr>
          <w:strike/>
        </w:rPr>
        <w:t xml:space="preserve"> </w:t>
      </w:r>
      <w:r w:rsidR="00495F58" w:rsidRPr="00E2448C">
        <w:rPr>
          <w:strike/>
        </w:rPr>
        <w:t>kalendářní</w:t>
      </w:r>
      <w:r w:rsidR="00495F58">
        <w:rPr>
          <w:strike/>
        </w:rPr>
        <w:t xml:space="preserve"> </w:t>
      </w:r>
      <w:r w:rsidR="00495F58" w:rsidRPr="00E2448C">
        <w:rPr>
          <w:strike/>
        </w:rPr>
        <w:t>rok</w:t>
      </w:r>
      <w:r w:rsidR="00495F58">
        <w:rPr>
          <w:strike/>
        </w:rPr>
        <w:t xml:space="preserve"> </w:t>
      </w:r>
      <w:r w:rsidR="00495F58" w:rsidRPr="00E2448C">
        <w:rPr>
          <w:strike/>
        </w:rPr>
        <w:t>větší</w:t>
      </w:r>
      <w:r w:rsidR="00495F58">
        <w:rPr>
          <w:strike/>
        </w:rPr>
        <w:t xml:space="preserve"> </w:t>
      </w:r>
      <w:r w:rsidR="00495F58" w:rsidRPr="00E2448C">
        <w:rPr>
          <w:strike/>
        </w:rPr>
        <w:t>než</w:t>
      </w:r>
      <w:r w:rsidR="00495F58">
        <w:rPr>
          <w:strike/>
        </w:rPr>
        <w:t xml:space="preserve"> </w:t>
      </w:r>
      <w:r w:rsidR="00495F58" w:rsidRPr="00E2448C">
        <w:rPr>
          <w:strike/>
        </w:rPr>
        <w:t>50</w:t>
      </w:r>
      <w:r w:rsidR="00495F58">
        <w:rPr>
          <w:strike/>
        </w:rPr>
        <w:t xml:space="preserve"> </w:t>
      </w:r>
      <w:r w:rsidR="00495F58" w:rsidRPr="00E2448C">
        <w:rPr>
          <w:strike/>
        </w:rPr>
        <w:t>000</w:t>
      </w:r>
      <w:r w:rsidR="00495F58">
        <w:rPr>
          <w:strike/>
        </w:rPr>
        <w:t xml:space="preserve"> </w:t>
      </w:r>
      <w:r w:rsidR="00495F58" w:rsidRPr="00E2448C">
        <w:rPr>
          <w:strike/>
        </w:rPr>
        <w:t>Kč,</w:t>
      </w:r>
      <w:r w:rsidR="00495F58">
        <w:rPr>
          <w:strike/>
        </w:rPr>
        <w:t xml:space="preserve"> </w:t>
      </w:r>
      <w:r w:rsidR="00495F58" w:rsidRPr="00E2448C">
        <w:rPr>
          <w:strike/>
        </w:rPr>
        <w:t>uvede</w:t>
      </w:r>
      <w:r w:rsidR="00495F58">
        <w:rPr>
          <w:strike/>
        </w:rPr>
        <w:t xml:space="preserve"> </w:t>
      </w:r>
      <w:r w:rsidR="00495F58" w:rsidRPr="00E2448C">
        <w:rPr>
          <w:strike/>
        </w:rPr>
        <w:t>politická</w:t>
      </w:r>
      <w:r w:rsidR="00495F58">
        <w:rPr>
          <w:strike/>
        </w:rPr>
        <w:t xml:space="preserve"> </w:t>
      </w:r>
      <w:r w:rsidR="00495F58" w:rsidRPr="00E2448C">
        <w:rPr>
          <w:strike/>
        </w:rPr>
        <w:t>strana</w:t>
      </w:r>
      <w:r w:rsidR="00495F58">
        <w:rPr>
          <w:strike/>
        </w:rPr>
        <w:t xml:space="preserve"> </w:t>
      </w:r>
      <w:r w:rsidR="00495F58" w:rsidRPr="00E2448C">
        <w:rPr>
          <w:strike/>
        </w:rPr>
        <w:t>nebo</w:t>
      </w:r>
      <w:r w:rsidR="00495F58">
        <w:rPr>
          <w:strike/>
        </w:rPr>
        <w:t xml:space="preserve"> </w:t>
      </w:r>
      <w:r w:rsidR="00495F58" w:rsidRPr="00E2448C">
        <w:rPr>
          <w:strike/>
        </w:rPr>
        <w:t>politické</w:t>
      </w:r>
      <w:r w:rsidR="00495F58">
        <w:rPr>
          <w:strike/>
        </w:rPr>
        <w:t xml:space="preserve"> </w:t>
      </w:r>
      <w:r w:rsidR="00495F58" w:rsidRPr="00E2448C">
        <w:rPr>
          <w:strike/>
        </w:rPr>
        <w:t>hnutí</w:t>
      </w:r>
      <w:r w:rsidR="00495F58">
        <w:rPr>
          <w:strike/>
        </w:rPr>
        <w:t xml:space="preserve"> </w:t>
      </w:r>
      <w:r w:rsidR="00495F58" w:rsidRPr="00E2448C">
        <w:rPr>
          <w:strike/>
        </w:rPr>
        <w:t>tuto</w:t>
      </w:r>
      <w:r w:rsidR="00495F58">
        <w:rPr>
          <w:strike/>
        </w:rPr>
        <w:t xml:space="preserve"> </w:t>
      </w:r>
      <w:r w:rsidR="00495F58" w:rsidRPr="00E2448C">
        <w:rPr>
          <w:strike/>
        </w:rPr>
        <w:t>skutečnost</w:t>
      </w:r>
      <w:r w:rsidR="00495F58">
        <w:rPr>
          <w:strike/>
        </w:rPr>
        <w:t xml:space="preserve"> </w:t>
      </w:r>
      <w:r w:rsidR="00495F58" w:rsidRPr="00E2448C">
        <w:rPr>
          <w:strike/>
        </w:rPr>
        <w:t>s</w:t>
      </w:r>
      <w:r w:rsidR="00495F58">
        <w:rPr>
          <w:strike/>
        </w:rPr>
        <w:t xml:space="preserve"> </w:t>
      </w:r>
      <w:r w:rsidR="00495F58" w:rsidRPr="00E2448C">
        <w:rPr>
          <w:strike/>
        </w:rPr>
        <w:t>identifikačními</w:t>
      </w:r>
      <w:r w:rsidR="00495F58">
        <w:rPr>
          <w:strike/>
        </w:rPr>
        <w:t xml:space="preserve"> </w:t>
      </w:r>
      <w:r w:rsidR="00495F58" w:rsidRPr="00E2448C">
        <w:rPr>
          <w:strike/>
        </w:rPr>
        <w:t>údaji</w:t>
      </w:r>
      <w:r w:rsidR="00495F58">
        <w:rPr>
          <w:strike/>
        </w:rPr>
        <w:t xml:space="preserve"> </w:t>
      </w:r>
      <w:r w:rsidR="00495F58" w:rsidRPr="00E2448C">
        <w:rPr>
          <w:strike/>
        </w:rPr>
        <w:t>člena</w:t>
      </w:r>
      <w:r w:rsidR="00495F58">
        <w:rPr>
          <w:strike/>
        </w:rPr>
        <w:t xml:space="preserve"> </w:t>
      </w:r>
      <w:r w:rsidR="00495F58" w:rsidRPr="00E2448C">
        <w:rPr>
          <w:strike/>
        </w:rPr>
        <w:t>v</w:t>
      </w:r>
      <w:r w:rsidR="00495F58">
        <w:rPr>
          <w:strike/>
        </w:rPr>
        <w:t xml:space="preserve"> </w:t>
      </w:r>
      <w:r w:rsidR="00495F58" w:rsidRPr="00E2448C">
        <w:rPr>
          <w:strike/>
        </w:rPr>
        <w:t>příloze</w:t>
      </w:r>
      <w:r w:rsidR="00495F58">
        <w:rPr>
          <w:strike/>
        </w:rPr>
        <w:t xml:space="preserve"> </w:t>
      </w:r>
      <w:r w:rsidR="00495F58" w:rsidRPr="00E2448C">
        <w:rPr>
          <w:strike/>
        </w:rPr>
        <w:t>výroční</w:t>
      </w:r>
      <w:r w:rsidR="00495F58">
        <w:rPr>
          <w:strike/>
        </w:rPr>
        <w:t xml:space="preserve"> </w:t>
      </w:r>
      <w:r w:rsidR="00495F58" w:rsidRPr="00E2448C">
        <w:rPr>
          <w:strike/>
        </w:rPr>
        <w:t>finanční</w:t>
      </w:r>
      <w:r w:rsidR="00495F58">
        <w:rPr>
          <w:strike/>
        </w:rPr>
        <w:t xml:space="preserve"> </w:t>
      </w:r>
      <w:r w:rsidR="00495F58" w:rsidRPr="00E2448C">
        <w:rPr>
          <w:strike/>
        </w:rPr>
        <w:t>zprávy</w:t>
      </w:r>
      <w:r w:rsidR="00495F58">
        <w:rPr>
          <w:strike/>
        </w:rPr>
        <w:t xml:space="preserve"> </w:t>
      </w:r>
      <w:r w:rsidR="00495F58" w:rsidRPr="00E2448C">
        <w:rPr>
          <w:strike/>
        </w:rPr>
        <w:t>podle</w:t>
      </w:r>
      <w:r w:rsidR="00495F58">
        <w:rPr>
          <w:strike/>
        </w:rPr>
        <w:t xml:space="preserve"> </w:t>
      </w:r>
      <w:r w:rsidR="00495F58" w:rsidRPr="00E2448C">
        <w:rPr>
          <w:strike/>
        </w:rPr>
        <w:t>§</w:t>
      </w:r>
      <w:r w:rsidR="00495F58">
        <w:rPr>
          <w:strike/>
        </w:rPr>
        <w:t xml:space="preserve"> </w:t>
      </w:r>
      <w:r w:rsidR="00495F58" w:rsidRPr="00E2448C">
        <w:rPr>
          <w:strike/>
        </w:rPr>
        <w:t>19h</w:t>
      </w:r>
      <w:r w:rsidR="00495F58">
        <w:rPr>
          <w:strike/>
        </w:rPr>
        <w:t xml:space="preserve"> </w:t>
      </w:r>
      <w:r w:rsidR="00495F58" w:rsidRPr="00E2448C">
        <w:rPr>
          <w:strike/>
        </w:rPr>
        <w:t>odst.</w:t>
      </w:r>
      <w:r w:rsidR="00495F58">
        <w:rPr>
          <w:strike/>
        </w:rPr>
        <w:t xml:space="preserve"> </w:t>
      </w:r>
      <w:r w:rsidR="00495F58" w:rsidRPr="00E2448C">
        <w:rPr>
          <w:strike/>
        </w:rPr>
        <w:t>1.</w:t>
      </w:r>
    </w:p>
    <w:p w14:paraId="171C5416" w14:textId="49FC7412" w:rsidR="00495F58" w:rsidRDefault="004905C6" w:rsidP="004905C6">
      <w:pPr>
        <w:pStyle w:val="PZTextbodu"/>
        <w:tabs>
          <w:tab w:val="clear" w:pos="851"/>
          <w:tab w:val="left" w:pos="426"/>
          <w:tab w:val="left" w:pos="826"/>
          <w:tab w:val="left" w:pos="1260"/>
        </w:tabs>
        <w:spacing w:before="0"/>
        <w:ind w:left="825" w:hanging="825"/>
      </w:pPr>
      <w:r>
        <w:tab/>
      </w:r>
      <w:r w:rsidR="00495F58" w:rsidRPr="00E2448C">
        <w:t>10.</w:t>
      </w:r>
      <w:r>
        <w:tab/>
      </w:r>
      <w:r w:rsidR="00495F58" w:rsidRPr="00E2448C">
        <w:t>způsob</w:t>
      </w:r>
      <w:r w:rsidR="00495F58">
        <w:t xml:space="preserve"> </w:t>
      </w:r>
      <w:r w:rsidR="00495F58" w:rsidRPr="00E2448C">
        <w:t>naložení</w:t>
      </w:r>
      <w:r w:rsidR="00495F58">
        <w:t xml:space="preserve"> </w:t>
      </w:r>
      <w:r w:rsidR="00495F58" w:rsidRPr="00E2448C">
        <w:t>s</w:t>
      </w:r>
      <w:r w:rsidR="00495F58">
        <w:t xml:space="preserve"> </w:t>
      </w:r>
      <w:r w:rsidR="00495F58" w:rsidRPr="00E2448C">
        <w:t>majetkovým</w:t>
      </w:r>
      <w:r w:rsidR="00495F58">
        <w:t xml:space="preserve"> </w:t>
      </w:r>
      <w:r w:rsidR="00495F58" w:rsidRPr="00E2448C">
        <w:t>zůstatkem,</w:t>
      </w:r>
      <w:r w:rsidR="00495F58">
        <w:t xml:space="preserve"> </w:t>
      </w:r>
      <w:r w:rsidR="00495F58" w:rsidRPr="00E2448C">
        <w:t>který</w:t>
      </w:r>
      <w:r w:rsidR="00495F58">
        <w:t xml:space="preserve"> </w:t>
      </w:r>
      <w:r w:rsidR="00495F58" w:rsidRPr="00E2448C">
        <w:t>vyplyne</w:t>
      </w:r>
      <w:r w:rsidR="00495F58">
        <w:t xml:space="preserve"> </w:t>
      </w:r>
      <w:r w:rsidR="00495F58" w:rsidRPr="00E2448C">
        <w:t>z</w:t>
      </w:r>
      <w:r w:rsidR="00495F58">
        <w:t xml:space="preserve"> </w:t>
      </w:r>
      <w:r w:rsidR="00495F58" w:rsidRPr="00E2448C">
        <w:t>likvidace</w:t>
      </w:r>
      <w:r w:rsidR="00495F58">
        <w:t xml:space="preserve"> </w:t>
      </w:r>
      <w:r w:rsidR="00495F58" w:rsidRPr="00E2448C">
        <w:t>majetku</w:t>
      </w:r>
      <w:r w:rsidR="00495F58">
        <w:t xml:space="preserve"> </w:t>
      </w:r>
      <w:r w:rsidR="00495F58" w:rsidRPr="00E2448C">
        <w:t>a</w:t>
      </w:r>
      <w:r w:rsidR="00495F58">
        <w:t xml:space="preserve"> </w:t>
      </w:r>
      <w:r w:rsidR="00495F58" w:rsidRPr="00E2448C">
        <w:t>závazků</w:t>
      </w:r>
      <w:r w:rsidR="00495F58">
        <w:t xml:space="preserve"> </w:t>
      </w:r>
      <w:r w:rsidR="00495F58" w:rsidRPr="00E2448C">
        <w:t>v</w:t>
      </w:r>
      <w:r w:rsidR="00495F58">
        <w:t xml:space="preserve"> </w:t>
      </w:r>
      <w:r w:rsidR="00495F58" w:rsidRPr="00E2448C">
        <w:t>případě</w:t>
      </w:r>
      <w:r w:rsidR="00495F58">
        <w:t xml:space="preserve"> </w:t>
      </w:r>
      <w:r w:rsidR="00495F58" w:rsidRPr="00E2448C">
        <w:t>zrušení</w:t>
      </w:r>
      <w:r w:rsidR="00495F58">
        <w:t xml:space="preserve"> </w:t>
      </w:r>
      <w:r w:rsidR="00495F58" w:rsidRPr="00E2448C">
        <w:t>strany</w:t>
      </w:r>
      <w:r w:rsidR="00495F58">
        <w:t xml:space="preserve"> </w:t>
      </w:r>
      <w:r w:rsidR="00495F58" w:rsidRPr="00E2448C">
        <w:t>a</w:t>
      </w:r>
      <w:r w:rsidR="00495F58">
        <w:t xml:space="preserve"> </w:t>
      </w:r>
      <w:r w:rsidR="00495F58" w:rsidRPr="00E2448C">
        <w:t>hnutí,</w:t>
      </w:r>
      <w:r w:rsidR="00495F58">
        <w:t xml:space="preserve"> </w:t>
      </w:r>
      <w:r w:rsidR="00495F58" w:rsidRPr="00E2448C">
        <w:t>pokud</w:t>
      </w:r>
      <w:r w:rsidR="00495F58">
        <w:t xml:space="preserve"> </w:t>
      </w:r>
      <w:r w:rsidR="00495F58" w:rsidRPr="00E2448C">
        <w:t>tento</w:t>
      </w:r>
      <w:r w:rsidR="00495F58">
        <w:t xml:space="preserve"> </w:t>
      </w:r>
      <w:r w:rsidR="00495F58" w:rsidRPr="00E2448C">
        <w:t>zůstatek</w:t>
      </w:r>
      <w:r w:rsidR="00495F58">
        <w:t xml:space="preserve"> </w:t>
      </w:r>
      <w:r w:rsidR="00495F58" w:rsidRPr="00E2448C">
        <w:t>nepřipadne</w:t>
      </w:r>
      <w:r w:rsidR="00495F58">
        <w:t xml:space="preserve"> </w:t>
      </w:r>
      <w:r w:rsidR="00495F58" w:rsidRPr="00E2448C">
        <w:t>státu</w:t>
      </w:r>
      <w:r w:rsidR="00495F58">
        <w:t xml:space="preserve"> </w:t>
      </w:r>
      <w:r w:rsidR="00495F58" w:rsidRPr="00E2448C">
        <w:t>(§</w:t>
      </w:r>
      <w:r w:rsidR="00495F58">
        <w:t xml:space="preserve"> </w:t>
      </w:r>
      <w:r w:rsidR="00495F58" w:rsidRPr="00E2448C">
        <w:t>13</w:t>
      </w:r>
      <w:r w:rsidR="00495F58">
        <w:t xml:space="preserve"> </w:t>
      </w:r>
      <w:r w:rsidR="00495F58" w:rsidRPr="00E2448C">
        <w:t>odst.</w:t>
      </w:r>
      <w:r w:rsidR="00495F58">
        <w:t xml:space="preserve"> </w:t>
      </w:r>
      <w:r w:rsidR="00495F58" w:rsidRPr="00E2448C">
        <w:t>6).</w:t>
      </w:r>
    </w:p>
    <w:p w14:paraId="34D27C5A" w14:textId="77777777" w:rsidR="00495F58" w:rsidRDefault="00495F58" w:rsidP="00A06781">
      <w:pPr>
        <w:pStyle w:val="PZTextodstavce"/>
      </w:pPr>
      <w:r w:rsidRPr="00E2448C">
        <w:t>(3)</w:t>
      </w:r>
      <w:r>
        <w:t xml:space="preserve"> </w:t>
      </w:r>
      <w:r w:rsidRPr="00E2448C">
        <w:t>Název</w:t>
      </w:r>
      <w:r>
        <w:t xml:space="preserve"> </w:t>
      </w:r>
      <w:r w:rsidRPr="00E2448C">
        <w:t>strany</w:t>
      </w:r>
      <w:r>
        <w:t xml:space="preserve"> </w:t>
      </w:r>
      <w:r w:rsidRPr="00E2448C">
        <w:t>a</w:t>
      </w:r>
      <w:r>
        <w:t xml:space="preserve"> </w:t>
      </w:r>
      <w:r w:rsidRPr="00E2448C">
        <w:t>hnutí</w:t>
      </w:r>
      <w:r>
        <w:t xml:space="preserve"> </w:t>
      </w:r>
      <w:r w:rsidRPr="00E2448C">
        <w:t>a</w:t>
      </w:r>
      <w:r>
        <w:t xml:space="preserve"> </w:t>
      </w:r>
      <w:r w:rsidRPr="00E2448C">
        <w:t>jeho</w:t>
      </w:r>
      <w:r>
        <w:t xml:space="preserve"> </w:t>
      </w:r>
      <w:r w:rsidRPr="00E2448C">
        <w:t>zkratka</w:t>
      </w:r>
      <w:r>
        <w:t xml:space="preserve"> </w:t>
      </w:r>
      <w:r w:rsidRPr="00E2448C">
        <w:t>se</w:t>
      </w:r>
      <w:r>
        <w:t xml:space="preserve"> </w:t>
      </w:r>
      <w:r w:rsidRPr="00E2448C">
        <w:t>musí</w:t>
      </w:r>
      <w:r>
        <w:t xml:space="preserve"> </w:t>
      </w:r>
      <w:r w:rsidRPr="00E2448C">
        <w:t>výrazně</w:t>
      </w:r>
      <w:r>
        <w:t xml:space="preserve"> </w:t>
      </w:r>
      <w:r w:rsidRPr="00E2448C">
        <w:t>lišit</w:t>
      </w:r>
      <w:r>
        <w:t xml:space="preserve"> </w:t>
      </w:r>
      <w:r w:rsidRPr="00E2448C">
        <w:t>od</w:t>
      </w:r>
      <w:r>
        <w:t xml:space="preserve"> </w:t>
      </w:r>
      <w:r w:rsidRPr="00E2448C">
        <w:t>názvu</w:t>
      </w:r>
      <w:r>
        <w:t xml:space="preserve"> </w:t>
      </w:r>
      <w:r w:rsidRPr="00E2448C">
        <w:t>a</w:t>
      </w:r>
      <w:r>
        <w:t xml:space="preserve"> </w:t>
      </w:r>
      <w:r w:rsidRPr="00E2448C">
        <w:t>zkratky</w:t>
      </w:r>
      <w:r>
        <w:t xml:space="preserve"> </w:t>
      </w:r>
      <w:r w:rsidRPr="00E2448C">
        <w:t>stran</w:t>
      </w:r>
      <w:r>
        <w:t xml:space="preserve"> </w:t>
      </w:r>
      <w:r w:rsidRPr="00E2448C">
        <w:t>a</w:t>
      </w:r>
      <w:r>
        <w:t xml:space="preserve"> </w:t>
      </w:r>
      <w:r w:rsidRPr="00E2448C">
        <w:t>hnutí,</w:t>
      </w:r>
      <w:r>
        <w:t xml:space="preserve"> </w:t>
      </w:r>
      <w:r w:rsidRPr="00E2448C">
        <w:t>které</w:t>
      </w:r>
      <w:r>
        <w:t xml:space="preserve"> </w:t>
      </w:r>
      <w:r w:rsidRPr="00E2448C">
        <w:t>již</w:t>
      </w:r>
      <w:r>
        <w:t xml:space="preserve"> </w:t>
      </w:r>
      <w:r w:rsidRPr="00E2448C">
        <w:t>vyvíjejí</w:t>
      </w:r>
      <w:r>
        <w:t xml:space="preserve"> </w:t>
      </w:r>
      <w:r w:rsidRPr="00E2448C">
        <w:t>činnost</w:t>
      </w:r>
      <w:r>
        <w:t xml:space="preserve"> </w:t>
      </w:r>
      <w:r w:rsidRPr="00E2448C">
        <w:t>na</w:t>
      </w:r>
      <w:r>
        <w:t xml:space="preserve"> </w:t>
      </w:r>
      <w:r w:rsidRPr="00E2448C">
        <w:t>území</w:t>
      </w:r>
      <w:r>
        <w:t xml:space="preserve"> </w:t>
      </w:r>
      <w:r w:rsidRPr="00E2448C">
        <w:t>České</w:t>
      </w:r>
      <w:r>
        <w:t xml:space="preserve"> </w:t>
      </w:r>
      <w:r w:rsidRPr="00E2448C">
        <w:t>republiky,</w:t>
      </w:r>
      <w:r>
        <w:t xml:space="preserve"> </w:t>
      </w:r>
      <w:r w:rsidRPr="00E2448C">
        <w:t>aby</w:t>
      </w:r>
      <w:r>
        <w:t xml:space="preserve"> </w:t>
      </w:r>
      <w:r w:rsidRPr="00E2448C">
        <w:t>nebyly</w:t>
      </w:r>
      <w:r>
        <w:t xml:space="preserve"> </w:t>
      </w:r>
      <w:r w:rsidRPr="00E2448C">
        <w:t>vzájemně</w:t>
      </w:r>
      <w:r>
        <w:t xml:space="preserve"> </w:t>
      </w:r>
      <w:r w:rsidRPr="00E2448C">
        <w:t>zaměnitelné.</w:t>
      </w:r>
      <w:r>
        <w:t xml:space="preserve"> </w:t>
      </w:r>
      <w:r w:rsidRPr="00E2448C">
        <w:t>9</w:t>
      </w:r>
    </w:p>
    <w:p w14:paraId="09F9508E" w14:textId="77777777" w:rsidR="00495F58" w:rsidRDefault="00495F58" w:rsidP="00A06781">
      <w:pPr>
        <w:pStyle w:val="PZTextodstavce"/>
      </w:pPr>
      <w:r w:rsidRPr="00E2448C">
        <w:t>(4)</w:t>
      </w:r>
      <w:r>
        <w:t xml:space="preserve"> </w:t>
      </w:r>
      <w:r w:rsidRPr="00E2448C">
        <w:t>Sídlo</w:t>
      </w:r>
      <w:r>
        <w:t xml:space="preserve"> </w:t>
      </w:r>
      <w:r w:rsidRPr="00E2448C">
        <w:t>strany</w:t>
      </w:r>
      <w:r>
        <w:t xml:space="preserve"> </w:t>
      </w:r>
      <w:r w:rsidRPr="00E2448C">
        <w:t>a</w:t>
      </w:r>
      <w:r>
        <w:t xml:space="preserve"> </w:t>
      </w:r>
      <w:r w:rsidRPr="00E2448C">
        <w:t>hnutí</w:t>
      </w:r>
      <w:r>
        <w:t xml:space="preserve"> </w:t>
      </w:r>
      <w:r w:rsidRPr="00E2448C">
        <w:t>musí</w:t>
      </w:r>
      <w:r>
        <w:t xml:space="preserve"> </w:t>
      </w:r>
      <w:r w:rsidRPr="00E2448C">
        <w:t>být</w:t>
      </w:r>
      <w:r>
        <w:t xml:space="preserve"> </w:t>
      </w:r>
      <w:r w:rsidRPr="00E2448C">
        <w:t>na</w:t>
      </w:r>
      <w:r>
        <w:t xml:space="preserve"> </w:t>
      </w:r>
      <w:r w:rsidRPr="00E2448C">
        <w:t>území</w:t>
      </w:r>
      <w:r>
        <w:t xml:space="preserve"> </w:t>
      </w:r>
      <w:r w:rsidRPr="00E2448C">
        <w:t>České</w:t>
      </w:r>
      <w:r>
        <w:t xml:space="preserve"> </w:t>
      </w:r>
      <w:r w:rsidRPr="00E2448C">
        <w:t>republiky.</w:t>
      </w:r>
    </w:p>
    <w:p w14:paraId="3C94127B" w14:textId="77777777" w:rsidR="00495F58" w:rsidRDefault="00495F58" w:rsidP="00A06781">
      <w:pPr>
        <w:pStyle w:val="PZTextodstavce"/>
      </w:pPr>
      <w:r w:rsidRPr="00E2448C">
        <w:lastRenderedPageBreak/>
        <w:t>(5)</w:t>
      </w:r>
      <w:r>
        <w:t xml:space="preserve"> </w:t>
      </w:r>
      <w:r w:rsidRPr="00E2448C">
        <w:t>Pokud</w:t>
      </w:r>
      <w:r>
        <w:t xml:space="preserve"> </w:t>
      </w:r>
      <w:r w:rsidRPr="00E2448C">
        <w:t>stanovy</w:t>
      </w:r>
      <w:r>
        <w:t xml:space="preserve"> </w:t>
      </w:r>
      <w:r w:rsidRPr="00E2448C">
        <w:t>neurčují</w:t>
      </w:r>
      <w:r>
        <w:t xml:space="preserve"> </w:t>
      </w:r>
      <w:r w:rsidRPr="00E2448C">
        <w:t>něco</w:t>
      </w:r>
      <w:r>
        <w:t xml:space="preserve"> </w:t>
      </w:r>
      <w:r w:rsidRPr="00E2448C">
        <w:t>jiného,</w:t>
      </w:r>
      <w:r>
        <w:t xml:space="preserve"> </w:t>
      </w:r>
      <w:r w:rsidRPr="00E2448C">
        <w:t>jedná</w:t>
      </w:r>
      <w:r>
        <w:t xml:space="preserve"> </w:t>
      </w:r>
      <w:r w:rsidRPr="00E2448C">
        <w:t>jménem</w:t>
      </w:r>
      <w:r>
        <w:t xml:space="preserve"> </w:t>
      </w:r>
      <w:r w:rsidRPr="00E2448C">
        <w:t>strany</w:t>
      </w:r>
      <w:r>
        <w:t xml:space="preserve"> </w:t>
      </w:r>
      <w:r w:rsidRPr="00E2448C">
        <w:t>a</w:t>
      </w:r>
      <w:r>
        <w:t xml:space="preserve"> </w:t>
      </w:r>
      <w:r w:rsidRPr="00E2448C">
        <w:t>hnutí</w:t>
      </w:r>
      <w:r>
        <w:t xml:space="preserve"> </w:t>
      </w:r>
      <w:r w:rsidRPr="00E2448C">
        <w:t>až</w:t>
      </w:r>
      <w:r>
        <w:t xml:space="preserve"> </w:t>
      </w:r>
      <w:r w:rsidRPr="00E2448C">
        <w:t>do</w:t>
      </w:r>
      <w:r>
        <w:t xml:space="preserve"> </w:t>
      </w:r>
      <w:r w:rsidRPr="00E2448C">
        <w:t>ustavení</w:t>
      </w:r>
      <w:r>
        <w:t xml:space="preserve"> </w:t>
      </w:r>
      <w:r w:rsidRPr="00E2448C">
        <w:t>orgánů</w:t>
      </w:r>
      <w:r>
        <w:t xml:space="preserve"> </w:t>
      </w:r>
      <w:r w:rsidRPr="00E2448C">
        <w:t>uvedených</w:t>
      </w:r>
      <w:r>
        <w:t xml:space="preserve"> </w:t>
      </w:r>
      <w:r w:rsidRPr="00E2448C">
        <w:t>v</w:t>
      </w:r>
      <w:r>
        <w:t xml:space="preserve"> </w:t>
      </w:r>
      <w:r w:rsidRPr="00E2448C">
        <w:t>odstavci</w:t>
      </w:r>
      <w:r>
        <w:t xml:space="preserve"> </w:t>
      </w:r>
      <w:r w:rsidRPr="00E2448C">
        <w:t>2</w:t>
      </w:r>
      <w:r>
        <w:t xml:space="preserve"> </w:t>
      </w:r>
      <w:r w:rsidRPr="00E2448C">
        <w:t>písm.</w:t>
      </w:r>
      <w:r>
        <w:t xml:space="preserve"> </w:t>
      </w:r>
      <w:r w:rsidRPr="00E2448C">
        <w:t>b)</w:t>
      </w:r>
      <w:r>
        <w:t xml:space="preserve"> </w:t>
      </w:r>
      <w:r w:rsidRPr="00E2448C">
        <w:t>bodu</w:t>
      </w:r>
      <w:r>
        <w:t xml:space="preserve"> </w:t>
      </w:r>
      <w:r w:rsidRPr="00E2448C">
        <w:t>6</w:t>
      </w:r>
      <w:r>
        <w:t xml:space="preserve"> </w:t>
      </w:r>
      <w:r w:rsidRPr="00E2448C">
        <w:t>přípravný</w:t>
      </w:r>
      <w:r>
        <w:t xml:space="preserve"> </w:t>
      </w:r>
      <w:r w:rsidRPr="00E2448C">
        <w:t>výbor.</w:t>
      </w:r>
      <w:r>
        <w:t xml:space="preserve"> </w:t>
      </w:r>
      <w:r w:rsidRPr="00E2448C">
        <w:t>Orgány</w:t>
      </w:r>
      <w:r>
        <w:t xml:space="preserve"> </w:t>
      </w:r>
      <w:r w:rsidRPr="00E2448C">
        <w:t>strany</w:t>
      </w:r>
      <w:r>
        <w:t xml:space="preserve"> </w:t>
      </w:r>
      <w:r w:rsidRPr="00E2448C">
        <w:t>a</w:t>
      </w:r>
      <w:r>
        <w:t xml:space="preserve"> </w:t>
      </w:r>
      <w:r w:rsidRPr="00E2448C">
        <w:t>hnutí</w:t>
      </w:r>
      <w:r>
        <w:t xml:space="preserve"> </w:t>
      </w:r>
      <w:r w:rsidRPr="00E2448C">
        <w:t>musí</w:t>
      </w:r>
      <w:r>
        <w:t xml:space="preserve"> </w:t>
      </w:r>
      <w:r w:rsidRPr="00E2448C">
        <w:t>být</w:t>
      </w:r>
      <w:r>
        <w:t xml:space="preserve"> </w:t>
      </w:r>
      <w:r w:rsidRPr="00E2448C">
        <w:t>ustaveny</w:t>
      </w:r>
      <w:r>
        <w:t xml:space="preserve"> </w:t>
      </w:r>
      <w:r w:rsidRPr="00E2448C">
        <w:t>nejpozději</w:t>
      </w:r>
      <w:r>
        <w:t xml:space="preserve"> </w:t>
      </w:r>
      <w:r w:rsidRPr="00E2448C">
        <w:t>do</w:t>
      </w:r>
      <w:r>
        <w:t xml:space="preserve"> </w:t>
      </w:r>
      <w:r w:rsidRPr="00E2448C">
        <w:t>6</w:t>
      </w:r>
      <w:r>
        <w:t xml:space="preserve"> </w:t>
      </w:r>
      <w:r w:rsidRPr="00E2448C">
        <w:t>měsíců</w:t>
      </w:r>
      <w:r>
        <w:t xml:space="preserve"> </w:t>
      </w:r>
      <w:r w:rsidRPr="00E2448C">
        <w:t>od</w:t>
      </w:r>
      <w:r>
        <w:t xml:space="preserve"> </w:t>
      </w:r>
      <w:r w:rsidRPr="00E2448C">
        <w:t>vzniku</w:t>
      </w:r>
      <w:r>
        <w:t xml:space="preserve"> </w:t>
      </w:r>
      <w:r w:rsidRPr="00E2448C">
        <w:t>strany</w:t>
      </w:r>
      <w:r>
        <w:t xml:space="preserve"> </w:t>
      </w:r>
      <w:r w:rsidRPr="00E2448C">
        <w:t>a</w:t>
      </w:r>
      <w:r>
        <w:t xml:space="preserve"> </w:t>
      </w:r>
      <w:r w:rsidRPr="00E2448C">
        <w:t>hnutí.</w:t>
      </w:r>
      <w:r>
        <w:t xml:space="preserve"> </w:t>
      </w:r>
      <w:r w:rsidRPr="00E2448C">
        <w:t>Nejsou-li</w:t>
      </w:r>
      <w:r>
        <w:t xml:space="preserve"> </w:t>
      </w:r>
      <w:r w:rsidRPr="00E2448C">
        <w:t>orgány</w:t>
      </w:r>
      <w:r>
        <w:t xml:space="preserve"> </w:t>
      </w:r>
      <w:r w:rsidRPr="00E2448C">
        <w:t>v</w:t>
      </w:r>
      <w:r>
        <w:t xml:space="preserve"> </w:t>
      </w:r>
      <w:r w:rsidRPr="00E2448C">
        <w:t>této</w:t>
      </w:r>
      <w:r>
        <w:t xml:space="preserve"> </w:t>
      </w:r>
      <w:r w:rsidRPr="00E2448C">
        <w:t>lhůtě</w:t>
      </w:r>
      <w:r>
        <w:t xml:space="preserve"> </w:t>
      </w:r>
      <w:r w:rsidRPr="00E2448C">
        <w:t>ustaveny,</w:t>
      </w:r>
      <w:r>
        <w:t xml:space="preserve"> </w:t>
      </w:r>
      <w:r w:rsidRPr="00E2448C">
        <w:t>dá</w:t>
      </w:r>
      <w:r>
        <w:t xml:space="preserve"> </w:t>
      </w:r>
      <w:r w:rsidRPr="00E2448C">
        <w:t>Ministerstvo</w:t>
      </w:r>
      <w:r>
        <w:t xml:space="preserve"> </w:t>
      </w:r>
      <w:r w:rsidRPr="00E2448C">
        <w:t>vnitra</w:t>
      </w:r>
      <w:r>
        <w:t xml:space="preserve"> </w:t>
      </w:r>
      <w:r w:rsidRPr="00E2448C">
        <w:t>(dále</w:t>
      </w:r>
      <w:r>
        <w:t xml:space="preserve"> </w:t>
      </w:r>
      <w:r w:rsidRPr="00E2448C">
        <w:t>jen</w:t>
      </w:r>
      <w:r>
        <w:t xml:space="preserve"> </w:t>
      </w:r>
      <w:r w:rsidRPr="00E2448C">
        <w:t>"ministerstvo")</w:t>
      </w:r>
      <w:r>
        <w:t xml:space="preserve"> </w:t>
      </w:r>
      <w:r w:rsidRPr="00E2448C">
        <w:t>podnět</w:t>
      </w:r>
      <w:r>
        <w:t xml:space="preserve"> </w:t>
      </w:r>
      <w:r w:rsidRPr="00E2448C">
        <w:t>k</w:t>
      </w:r>
      <w:r>
        <w:t xml:space="preserve"> </w:t>
      </w:r>
      <w:r w:rsidRPr="00E2448C">
        <w:t>návrhu</w:t>
      </w:r>
      <w:r>
        <w:t xml:space="preserve"> </w:t>
      </w:r>
      <w:r w:rsidRPr="00E2448C">
        <w:t>na</w:t>
      </w:r>
      <w:r>
        <w:t xml:space="preserve"> </w:t>
      </w:r>
      <w:r w:rsidRPr="00E2448C">
        <w:t>pozastavení</w:t>
      </w:r>
      <w:r>
        <w:t xml:space="preserve"> </w:t>
      </w:r>
      <w:r w:rsidRPr="00E2448C">
        <w:t>činnosti</w:t>
      </w:r>
      <w:r>
        <w:t xml:space="preserve"> </w:t>
      </w:r>
      <w:r w:rsidRPr="00E2448C">
        <w:t>strany</w:t>
      </w:r>
      <w:r>
        <w:t xml:space="preserve"> </w:t>
      </w:r>
      <w:r w:rsidRPr="00E2448C">
        <w:t>a</w:t>
      </w:r>
      <w:r>
        <w:t xml:space="preserve"> </w:t>
      </w:r>
      <w:r w:rsidRPr="00E2448C">
        <w:t>hnutí</w:t>
      </w:r>
      <w:r>
        <w:t xml:space="preserve"> </w:t>
      </w:r>
      <w:r w:rsidRPr="00E2448C">
        <w:t>(§</w:t>
      </w:r>
      <w:r>
        <w:t xml:space="preserve"> </w:t>
      </w:r>
      <w:r w:rsidRPr="00E2448C">
        <w:t>14).</w:t>
      </w:r>
    </w:p>
    <w:p w14:paraId="1795C9AF" w14:textId="77777777" w:rsidR="00495F58" w:rsidRPr="00E2448C" w:rsidRDefault="00495F58" w:rsidP="00495F58">
      <w:pPr>
        <w:pStyle w:val="Default"/>
        <w:tabs>
          <w:tab w:val="left" w:pos="851"/>
        </w:tabs>
        <w:spacing w:before="240" w:after="120"/>
        <w:jc w:val="center"/>
        <w:rPr>
          <w:color w:val="auto"/>
        </w:rPr>
      </w:pPr>
      <w:r w:rsidRPr="00E2448C">
        <w:rPr>
          <w:color w:val="auto"/>
        </w:rPr>
        <w:t>***</w:t>
      </w:r>
    </w:p>
    <w:p w14:paraId="6866FF9C" w14:textId="77777777" w:rsidR="00495F58" w:rsidRPr="00E2448C" w:rsidRDefault="00495F58" w:rsidP="00495F58">
      <w:pPr>
        <w:pStyle w:val="Default"/>
        <w:tabs>
          <w:tab w:val="left" w:pos="851"/>
        </w:tabs>
        <w:spacing w:before="240" w:after="120"/>
        <w:jc w:val="center"/>
        <w:rPr>
          <w:color w:val="auto"/>
        </w:rPr>
      </w:pPr>
      <w:r w:rsidRPr="00E2448C">
        <w:rPr>
          <w:b/>
          <w:bCs/>
          <w:color w:val="auto"/>
        </w:rPr>
        <w:t>Hospodaření</w:t>
      </w:r>
      <w:r>
        <w:rPr>
          <w:b/>
          <w:bCs/>
          <w:color w:val="auto"/>
        </w:rPr>
        <w:t xml:space="preserve"> </w:t>
      </w:r>
      <w:r w:rsidRPr="00E2448C">
        <w:rPr>
          <w:b/>
          <w:bCs/>
          <w:color w:val="auto"/>
        </w:rPr>
        <w:t>stran</w:t>
      </w:r>
      <w:r>
        <w:rPr>
          <w:b/>
          <w:bCs/>
          <w:color w:val="auto"/>
        </w:rPr>
        <w:t xml:space="preserve"> </w:t>
      </w:r>
      <w:r w:rsidRPr="00E2448C">
        <w:rPr>
          <w:b/>
          <w:bCs/>
          <w:color w:val="auto"/>
        </w:rPr>
        <w:t>a</w:t>
      </w:r>
      <w:r>
        <w:rPr>
          <w:b/>
          <w:bCs/>
          <w:color w:val="auto"/>
        </w:rPr>
        <w:t xml:space="preserve"> </w:t>
      </w:r>
      <w:r w:rsidRPr="00E2448C">
        <w:rPr>
          <w:b/>
          <w:bCs/>
          <w:color w:val="auto"/>
        </w:rPr>
        <w:t>hnutí</w:t>
      </w:r>
    </w:p>
    <w:p w14:paraId="5268F6FC" w14:textId="77777777" w:rsidR="00495F58" w:rsidRPr="00E2448C" w:rsidRDefault="00495F58" w:rsidP="00495F58">
      <w:pPr>
        <w:pStyle w:val="Default"/>
        <w:tabs>
          <w:tab w:val="left" w:pos="851"/>
        </w:tabs>
        <w:spacing w:before="240" w:after="120"/>
        <w:jc w:val="center"/>
        <w:rPr>
          <w:color w:val="auto"/>
        </w:rPr>
      </w:pPr>
      <w:r w:rsidRPr="00E2448C">
        <w:rPr>
          <w:color w:val="auto"/>
        </w:rPr>
        <w:t>§</w:t>
      </w:r>
      <w:r>
        <w:rPr>
          <w:color w:val="auto"/>
        </w:rPr>
        <w:t xml:space="preserve"> </w:t>
      </w:r>
      <w:r w:rsidRPr="00E2448C">
        <w:rPr>
          <w:color w:val="auto"/>
        </w:rPr>
        <w:t>17</w:t>
      </w:r>
    </w:p>
    <w:p w14:paraId="1FD8104B" w14:textId="77777777" w:rsidR="00495F58" w:rsidRDefault="00495F58" w:rsidP="00A06781">
      <w:pPr>
        <w:pStyle w:val="PZTextodstavce"/>
      </w:pPr>
      <w:r w:rsidRPr="00E2448C">
        <w:t>(1)</w:t>
      </w:r>
      <w:r>
        <w:t xml:space="preserve"> </w:t>
      </w:r>
      <w:r w:rsidRPr="00E2448C">
        <w:t>Strana</w:t>
      </w:r>
      <w:r>
        <w:t xml:space="preserve"> </w:t>
      </w:r>
      <w:r w:rsidRPr="00E2448C">
        <w:t>a</w:t>
      </w:r>
      <w:r>
        <w:t xml:space="preserve"> </w:t>
      </w:r>
      <w:r w:rsidRPr="00E2448C">
        <w:t>hnutí</w:t>
      </w:r>
      <w:r>
        <w:t xml:space="preserve"> </w:t>
      </w:r>
      <w:r w:rsidRPr="00E2448C">
        <w:t>odpovídají</w:t>
      </w:r>
      <w:r>
        <w:t xml:space="preserve"> </w:t>
      </w:r>
      <w:r w:rsidRPr="00E2448C">
        <w:t>za</w:t>
      </w:r>
      <w:r>
        <w:t xml:space="preserve"> </w:t>
      </w:r>
      <w:r w:rsidRPr="00E2448C">
        <w:t>své</w:t>
      </w:r>
      <w:r>
        <w:t xml:space="preserve"> </w:t>
      </w:r>
      <w:r w:rsidRPr="00E2448C">
        <w:t>závazky</w:t>
      </w:r>
      <w:r>
        <w:t xml:space="preserve"> </w:t>
      </w:r>
      <w:r w:rsidRPr="00E2448C">
        <w:t>celým</w:t>
      </w:r>
      <w:r>
        <w:t xml:space="preserve"> </w:t>
      </w:r>
      <w:r w:rsidRPr="00E2448C">
        <w:t>svým</w:t>
      </w:r>
      <w:r>
        <w:t xml:space="preserve"> </w:t>
      </w:r>
      <w:r w:rsidRPr="00E2448C">
        <w:t>majetkem.</w:t>
      </w:r>
      <w:r>
        <w:t xml:space="preserve"> </w:t>
      </w:r>
      <w:r w:rsidRPr="00E2448C">
        <w:t>Členové</w:t>
      </w:r>
      <w:r>
        <w:t xml:space="preserve"> </w:t>
      </w:r>
      <w:r w:rsidRPr="00E2448C">
        <w:t>strany</w:t>
      </w:r>
      <w:r>
        <w:t xml:space="preserve"> </w:t>
      </w:r>
      <w:r w:rsidRPr="00E2448C">
        <w:t>a</w:t>
      </w:r>
      <w:r>
        <w:t xml:space="preserve"> </w:t>
      </w:r>
      <w:r w:rsidRPr="00E2448C">
        <w:t>hnutí</w:t>
      </w:r>
      <w:r>
        <w:t xml:space="preserve"> </w:t>
      </w:r>
      <w:r w:rsidRPr="00E2448C">
        <w:t>za</w:t>
      </w:r>
      <w:r>
        <w:t xml:space="preserve"> </w:t>
      </w:r>
      <w:r w:rsidRPr="00E2448C">
        <w:t>závazky</w:t>
      </w:r>
      <w:r>
        <w:t xml:space="preserve"> </w:t>
      </w:r>
      <w:r w:rsidRPr="00E2448C">
        <w:t>strany</w:t>
      </w:r>
      <w:r>
        <w:t xml:space="preserve"> </w:t>
      </w:r>
      <w:r w:rsidRPr="00E2448C">
        <w:t>a</w:t>
      </w:r>
      <w:r>
        <w:t xml:space="preserve"> </w:t>
      </w:r>
      <w:r w:rsidRPr="00E2448C">
        <w:t>hnutí</w:t>
      </w:r>
      <w:r>
        <w:t xml:space="preserve"> </w:t>
      </w:r>
      <w:r w:rsidRPr="00E2448C">
        <w:t>ani</w:t>
      </w:r>
      <w:r>
        <w:t xml:space="preserve"> </w:t>
      </w:r>
      <w:r w:rsidRPr="00E2448C">
        <w:t>neodpovídají</w:t>
      </w:r>
      <w:r>
        <w:t xml:space="preserve"> </w:t>
      </w:r>
      <w:r w:rsidRPr="00E2448C">
        <w:t>ani</w:t>
      </w:r>
      <w:r>
        <w:t xml:space="preserve"> </w:t>
      </w:r>
      <w:r w:rsidRPr="00E2448C">
        <w:t>neručí.</w:t>
      </w:r>
    </w:p>
    <w:p w14:paraId="3EF5D28E" w14:textId="77777777" w:rsidR="00495F58" w:rsidRDefault="00495F58" w:rsidP="00A06781">
      <w:pPr>
        <w:pStyle w:val="PZTextodstavce"/>
      </w:pPr>
      <w:r w:rsidRPr="00E2448C">
        <w:t>(2)</w:t>
      </w:r>
      <w:r>
        <w:t xml:space="preserve"> </w:t>
      </w:r>
      <w:r w:rsidRPr="00E2448C">
        <w:t>Strana</w:t>
      </w:r>
      <w:r>
        <w:t xml:space="preserve"> </w:t>
      </w:r>
      <w:r w:rsidRPr="00E2448C">
        <w:t>a</w:t>
      </w:r>
      <w:r>
        <w:t xml:space="preserve"> </w:t>
      </w:r>
      <w:r w:rsidRPr="00E2448C">
        <w:t>hnutí</w:t>
      </w:r>
      <w:r>
        <w:t xml:space="preserve"> </w:t>
      </w:r>
      <w:r w:rsidRPr="00E2448C">
        <w:t>nesmějí</w:t>
      </w:r>
      <w:r>
        <w:t xml:space="preserve"> </w:t>
      </w:r>
      <w:r w:rsidRPr="00E2448C">
        <w:t>vlastním</w:t>
      </w:r>
      <w:r>
        <w:t xml:space="preserve"> </w:t>
      </w:r>
      <w:r w:rsidRPr="00E2448C">
        <w:t>jménem</w:t>
      </w:r>
      <w:r>
        <w:t xml:space="preserve"> </w:t>
      </w:r>
      <w:r w:rsidRPr="00E2448C">
        <w:t>podnikat.</w:t>
      </w:r>
      <w:r w:rsidRPr="00E2448C">
        <w:rPr>
          <w:rStyle w:val="Znakapoznpodarou"/>
        </w:rPr>
        <w:footnoteReference w:customMarkFollows="1" w:id="17"/>
        <w:t>2b)</w:t>
      </w:r>
    </w:p>
    <w:p w14:paraId="779B6C19" w14:textId="77777777" w:rsidR="00495F58" w:rsidRDefault="00495F58" w:rsidP="00A06781">
      <w:pPr>
        <w:pStyle w:val="PZTextodstavce"/>
      </w:pPr>
      <w:r w:rsidRPr="00E2448C">
        <w:t>(3)</w:t>
      </w:r>
      <w:r>
        <w:t xml:space="preserve"> </w:t>
      </w:r>
      <w:r w:rsidRPr="00E2448C">
        <w:t>Strana</w:t>
      </w:r>
      <w:r>
        <w:t xml:space="preserve"> </w:t>
      </w:r>
      <w:r w:rsidRPr="00E2448C">
        <w:t>a</w:t>
      </w:r>
      <w:r>
        <w:t xml:space="preserve"> </w:t>
      </w:r>
      <w:r w:rsidRPr="00E2448C">
        <w:t>hnutí</w:t>
      </w:r>
      <w:r>
        <w:t xml:space="preserve"> </w:t>
      </w:r>
      <w:r w:rsidRPr="00E2448C">
        <w:t>mohou</w:t>
      </w:r>
      <w:r>
        <w:t xml:space="preserve"> </w:t>
      </w:r>
      <w:r w:rsidRPr="00E2448C">
        <w:t>založit</w:t>
      </w:r>
      <w:r>
        <w:t xml:space="preserve"> </w:t>
      </w:r>
      <w:r w:rsidRPr="00E2448C">
        <w:t>obchodní</w:t>
      </w:r>
      <w:r>
        <w:t xml:space="preserve"> </w:t>
      </w:r>
      <w:r w:rsidRPr="00E2448C">
        <w:t>společnost</w:t>
      </w:r>
      <w:r>
        <w:t xml:space="preserve"> </w:t>
      </w:r>
      <w:r w:rsidRPr="00E2448C">
        <w:t>nebo</w:t>
      </w:r>
      <w:r>
        <w:t xml:space="preserve"> </w:t>
      </w:r>
      <w:r w:rsidRPr="00E2448C">
        <w:t>družstvo</w:t>
      </w:r>
      <w:r>
        <w:t xml:space="preserve"> </w:t>
      </w:r>
      <w:r w:rsidRPr="00E2448C">
        <w:t>nebo</w:t>
      </w:r>
      <w:r>
        <w:t xml:space="preserve"> </w:t>
      </w:r>
      <w:r w:rsidRPr="00E2448C">
        <w:t>se</w:t>
      </w:r>
      <w:r>
        <w:t xml:space="preserve"> </w:t>
      </w:r>
      <w:r w:rsidRPr="00E2448C">
        <w:t>účastnit</w:t>
      </w:r>
      <w:r>
        <w:t xml:space="preserve"> </w:t>
      </w:r>
      <w:r w:rsidRPr="00E2448C">
        <w:t>jako</w:t>
      </w:r>
      <w:r>
        <w:t xml:space="preserve"> </w:t>
      </w:r>
      <w:r w:rsidRPr="00E2448C">
        <w:t>společník</w:t>
      </w:r>
      <w:r>
        <w:t xml:space="preserve"> </w:t>
      </w:r>
      <w:r w:rsidRPr="00E2448C">
        <w:t>nebo</w:t>
      </w:r>
      <w:r>
        <w:t xml:space="preserve"> </w:t>
      </w:r>
      <w:r w:rsidRPr="00E2448C">
        <w:t>člen</w:t>
      </w:r>
      <w:r>
        <w:t xml:space="preserve"> </w:t>
      </w:r>
      <w:r w:rsidRPr="00E2448C">
        <w:t>na</w:t>
      </w:r>
      <w:r>
        <w:t xml:space="preserve"> </w:t>
      </w:r>
      <w:r w:rsidRPr="00E2448C">
        <w:t>již</w:t>
      </w:r>
      <w:r>
        <w:t xml:space="preserve"> </w:t>
      </w:r>
      <w:r w:rsidRPr="00E2448C">
        <w:t>založené</w:t>
      </w:r>
      <w:r>
        <w:t xml:space="preserve"> </w:t>
      </w:r>
      <w:r w:rsidRPr="00E2448C">
        <w:t>obchodní</w:t>
      </w:r>
      <w:r>
        <w:t xml:space="preserve"> </w:t>
      </w:r>
      <w:r w:rsidRPr="00E2448C">
        <w:t>společnosti</w:t>
      </w:r>
      <w:r>
        <w:t xml:space="preserve"> </w:t>
      </w:r>
      <w:r w:rsidRPr="00E2448C">
        <w:t>nebo</w:t>
      </w:r>
      <w:r>
        <w:t xml:space="preserve"> </w:t>
      </w:r>
      <w:r w:rsidRPr="00E2448C">
        <w:t>družstvu</w:t>
      </w:r>
      <w:r>
        <w:t xml:space="preserve"> </w:t>
      </w:r>
      <w:r w:rsidRPr="00E2448C">
        <w:t>jen</w:t>
      </w:r>
      <w:r>
        <w:t xml:space="preserve"> </w:t>
      </w:r>
      <w:r w:rsidRPr="00E2448C">
        <w:t>tehdy,</w:t>
      </w:r>
      <w:r>
        <w:t xml:space="preserve"> </w:t>
      </w:r>
      <w:r w:rsidRPr="00E2448C">
        <w:t>je-li</w:t>
      </w:r>
      <w:r>
        <w:t xml:space="preserve"> </w:t>
      </w:r>
      <w:r w:rsidRPr="00E2448C">
        <w:t>výlučným</w:t>
      </w:r>
      <w:r>
        <w:t xml:space="preserve"> </w:t>
      </w:r>
      <w:r w:rsidRPr="00E2448C">
        <w:t>předmětem</w:t>
      </w:r>
      <w:r>
        <w:t xml:space="preserve"> </w:t>
      </w:r>
      <w:r w:rsidRPr="00E2448C">
        <w:t>jejich</w:t>
      </w:r>
      <w:r>
        <w:t xml:space="preserve"> </w:t>
      </w:r>
      <w:r w:rsidRPr="00E2448C">
        <w:t>činnosti:</w:t>
      </w:r>
    </w:p>
    <w:p w14:paraId="208EE51C" w14:textId="292FA9CF" w:rsidR="00495F58" w:rsidRDefault="00495F58" w:rsidP="004905C6">
      <w:pPr>
        <w:pStyle w:val="PZTextpsmene"/>
        <w:tabs>
          <w:tab w:val="left" w:pos="426"/>
        </w:tabs>
        <w:spacing w:before="0"/>
      </w:pPr>
      <w:r w:rsidRPr="00E2448C">
        <w:t>a)</w:t>
      </w:r>
      <w:r w:rsidR="004905C6">
        <w:tab/>
      </w:r>
      <w:r w:rsidRPr="00E2448C">
        <w:t>provozování</w:t>
      </w:r>
      <w:r>
        <w:t xml:space="preserve"> </w:t>
      </w:r>
      <w:r w:rsidRPr="00E2448C">
        <w:t>vydavatelství,</w:t>
      </w:r>
      <w:r>
        <w:t xml:space="preserve"> </w:t>
      </w:r>
      <w:r w:rsidRPr="00E2448C">
        <w:t>nakladatelství,</w:t>
      </w:r>
      <w:r>
        <w:t xml:space="preserve"> </w:t>
      </w:r>
      <w:r w:rsidRPr="00E2448C">
        <w:t>tiskáren,</w:t>
      </w:r>
      <w:r>
        <w:t xml:space="preserve"> </w:t>
      </w:r>
      <w:r w:rsidRPr="00E2448C">
        <w:t>rozhlasového</w:t>
      </w:r>
      <w:r>
        <w:t xml:space="preserve"> </w:t>
      </w:r>
      <w:r w:rsidRPr="00E2448C">
        <w:t>nebo</w:t>
      </w:r>
      <w:r>
        <w:t xml:space="preserve"> </w:t>
      </w:r>
      <w:r w:rsidRPr="00E2448C">
        <w:t>televizního</w:t>
      </w:r>
      <w:r>
        <w:t xml:space="preserve"> </w:t>
      </w:r>
      <w:r w:rsidRPr="00E2448C">
        <w:t>vysílání,</w:t>
      </w:r>
    </w:p>
    <w:p w14:paraId="24F8178C" w14:textId="5233C838" w:rsidR="00495F58" w:rsidRDefault="00495F58" w:rsidP="004905C6">
      <w:pPr>
        <w:pStyle w:val="PZTextpsmene"/>
        <w:tabs>
          <w:tab w:val="left" w:pos="426"/>
        </w:tabs>
        <w:spacing w:before="0"/>
      </w:pPr>
      <w:r w:rsidRPr="00E2448C">
        <w:t>b)</w:t>
      </w:r>
      <w:r w:rsidR="004905C6">
        <w:tab/>
      </w:r>
      <w:r w:rsidRPr="00E2448C">
        <w:t>publikační</w:t>
      </w:r>
      <w:r>
        <w:t xml:space="preserve"> </w:t>
      </w:r>
      <w:r w:rsidRPr="00E2448C">
        <w:t>a</w:t>
      </w:r>
      <w:r>
        <w:t xml:space="preserve"> </w:t>
      </w:r>
      <w:r w:rsidRPr="00E2448C">
        <w:t>propagační</w:t>
      </w:r>
      <w:r>
        <w:t xml:space="preserve"> </w:t>
      </w:r>
      <w:r w:rsidRPr="00E2448C">
        <w:t>činnost,</w:t>
      </w:r>
    </w:p>
    <w:p w14:paraId="5CAC2E6C" w14:textId="1E9DB693" w:rsidR="00495F58" w:rsidRDefault="00495F58" w:rsidP="004905C6">
      <w:pPr>
        <w:pStyle w:val="PZTextpsmene"/>
        <w:tabs>
          <w:tab w:val="left" w:pos="426"/>
        </w:tabs>
        <w:spacing w:before="0"/>
      </w:pPr>
      <w:r w:rsidRPr="00E2448C">
        <w:t>c)</w:t>
      </w:r>
      <w:r w:rsidR="004905C6">
        <w:tab/>
      </w:r>
      <w:r w:rsidRPr="00E2448C">
        <w:t>pořádání</w:t>
      </w:r>
      <w:r>
        <w:t xml:space="preserve"> </w:t>
      </w:r>
      <w:r w:rsidRPr="00E2448C">
        <w:t>kulturních,</w:t>
      </w:r>
      <w:r>
        <w:t xml:space="preserve"> </w:t>
      </w:r>
      <w:r w:rsidRPr="00E2448C">
        <w:t>společenských,</w:t>
      </w:r>
      <w:r>
        <w:t xml:space="preserve"> </w:t>
      </w:r>
      <w:r w:rsidRPr="00E2448C">
        <w:t>sportovních,</w:t>
      </w:r>
      <w:r>
        <w:t xml:space="preserve"> </w:t>
      </w:r>
      <w:r w:rsidRPr="00E2448C">
        <w:t>rekreačních,</w:t>
      </w:r>
      <w:r>
        <w:t xml:space="preserve"> </w:t>
      </w:r>
      <w:r w:rsidRPr="00E2448C">
        <w:t>vzdělávacích</w:t>
      </w:r>
      <w:r>
        <w:t xml:space="preserve"> </w:t>
      </w:r>
      <w:r w:rsidRPr="00E2448C">
        <w:t>a</w:t>
      </w:r>
      <w:r>
        <w:t xml:space="preserve"> </w:t>
      </w:r>
      <w:r w:rsidRPr="00E2448C">
        <w:t>politických</w:t>
      </w:r>
      <w:r>
        <w:t xml:space="preserve"> </w:t>
      </w:r>
      <w:r w:rsidRPr="00E2448C">
        <w:t>akcí,</w:t>
      </w:r>
      <w:r>
        <w:t xml:space="preserve"> </w:t>
      </w:r>
      <w:r w:rsidRPr="00E2448C">
        <w:t>nebo</w:t>
      </w:r>
    </w:p>
    <w:p w14:paraId="547DD9E6" w14:textId="07E912BA" w:rsidR="00495F58" w:rsidRDefault="00495F58" w:rsidP="004905C6">
      <w:pPr>
        <w:pStyle w:val="PZTextpsmene"/>
        <w:tabs>
          <w:tab w:val="left" w:pos="426"/>
        </w:tabs>
        <w:spacing w:before="0"/>
      </w:pPr>
      <w:r w:rsidRPr="00E2448C">
        <w:t>d)</w:t>
      </w:r>
      <w:r w:rsidR="004905C6">
        <w:tab/>
      </w:r>
      <w:r w:rsidRPr="00E2448C">
        <w:t>výroba</w:t>
      </w:r>
      <w:r>
        <w:t xml:space="preserve"> </w:t>
      </w:r>
      <w:r w:rsidRPr="00E2448C">
        <w:t>a</w:t>
      </w:r>
      <w:r>
        <w:t xml:space="preserve"> </w:t>
      </w:r>
      <w:r w:rsidRPr="00E2448C">
        <w:t>prodej</w:t>
      </w:r>
      <w:r>
        <w:t xml:space="preserve"> </w:t>
      </w:r>
      <w:r w:rsidRPr="00E2448C">
        <w:t>předmětů</w:t>
      </w:r>
      <w:r>
        <w:t xml:space="preserve"> </w:t>
      </w:r>
      <w:r w:rsidRPr="00E2448C">
        <w:t>propagujících</w:t>
      </w:r>
      <w:r>
        <w:t xml:space="preserve"> </w:t>
      </w:r>
      <w:r w:rsidRPr="00E2448C">
        <w:t>program</w:t>
      </w:r>
      <w:r>
        <w:t xml:space="preserve"> </w:t>
      </w:r>
      <w:r w:rsidRPr="00E2448C">
        <w:t>a</w:t>
      </w:r>
      <w:r>
        <w:t xml:space="preserve"> </w:t>
      </w:r>
      <w:r w:rsidRPr="00E2448C">
        <w:t>činnost</w:t>
      </w:r>
      <w:r>
        <w:t xml:space="preserve"> </w:t>
      </w:r>
      <w:r w:rsidRPr="00E2448C">
        <w:t>příslušné</w:t>
      </w:r>
      <w:r>
        <w:t xml:space="preserve"> </w:t>
      </w:r>
      <w:r w:rsidRPr="00E2448C">
        <w:t>strany</w:t>
      </w:r>
      <w:r>
        <w:t xml:space="preserve"> </w:t>
      </w:r>
      <w:r w:rsidRPr="00E2448C">
        <w:t>a</w:t>
      </w:r>
      <w:r>
        <w:t xml:space="preserve"> </w:t>
      </w:r>
      <w:r w:rsidRPr="00E2448C">
        <w:t>hnutí.</w:t>
      </w:r>
    </w:p>
    <w:p w14:paraId="7B1D1F46" w14:textId="77777777" w:rsidR="00495F58" w:rsidRDefault="00495F58" w:rsidP="00A06781">
      <w:pPr>
        <w:pStyle w:val="PZTextodstavce"/>
      </w:pPr>
      <w:r w:rsidRPr="00E2448C">
        <w:t>(4)</w:t>
      </w:r>
      <w:r>
        <w:t xml:space="preserve"> </w:t>
      </w:r>
      <w:r w:rsidRPr="00E2448C">
        <w:t>Strana</w:t>
      </w:r>
      <w:r>
        <w:t xml:space="preserve"> </w:t>
      </w:r>
      <w:r w:rsidRPr="00E2448C">
        <w:t>a</w:t>
      </w:r>
      <w:r>
        <w:t xml:space="preserve"> </w:t>
      </w:r>
      <w:r w:rsidRPr="00E2448C">
        <w:t>hnutí</w:t>
      </w:r>
      <w:r>
        <w:t xml:space="preserve"> </w:t>
      </w:r>
      <w:r w:rsidRPr="00E2448C">
        <w:t>mohou</w:t>
      </w:r>
      <w:r>
        <w:t xml:space="preserve"> </w:t>
      </w:r>
      <w:r w:rsidRPr="00E2448C">
        <w:t>založit</w:t>
      </w:r>
      <w:r>
        <w:t xml:space="preserve"> </w:t>
      </w:r>
      <w:r w:rsidRPr="00E2448C">
        <w:t>nebo</w:t>
      </w:r>
      <w:r>
        <w:t xml:space="preserve"> </w:t>
      </w:r>
      <w:r w:rsidRPr="00E2448C">
        <w:t>být</w:t>
      </w:r>
      <w:r>
        <w:t xml:space="preserve"> </w:t>
      </w:r>
      <w:r w:rsidRPr="00E2448C">
        <w:t>členem</w:t>
      </w:r>
      <w:r>
        <w:t xml:space="preserve"> </w:t>
      </w:r>
      <w:r w:rsidRPr="00E2448C">
        <w:t>jednoho</w:t>
      </w:r>
      <w:r>
        <w:t xml:space="preserve"> </w:t>
      </w:r>
      <w:r w:rsidRPr="00E2448C">
        <w:t>politického</w:t>
      </w:r>
      <w:r>
        <w:t xml:space="preserve"> </w:t>
      </w:r>
      <w:r w:rsidRPr="00E2448C">
        <w:t>institutu;</w:t>
      </w:r>
      <w:r>
        <w:t xml:space="preserve"> </w:t>
      </w:r>
      <w:r w:rsidRPr="00E2448C">
        <w:t>politickým</w:t>
      </w:r>
      <w:r>
        <w:t xml:space="preserve"> </w:t>
      </w:r>
      <w:r w:rsidRPr="00E2448C">
        <w:t>institutem</w:t>
      </w:r>
      <w:r>
        <w:t xml:space="preserve"> </w:t>
      </w:r>
      <w:r w:rsidRPr="00E2448C">
        <w:t>se</w:t>
      </w:r>
      <w:r>
        <w:t xml:space="preserve"> </w:t>
      </w:r>
      <w:r w:rsidRPr="00E2448C">
        <w:t>pro</w:t>
      </w:r>
      <w:r>
        <w:t xml:space="preserve"> </w:t>
      </w:r>
      <w:r w:rsidRPr="00E2448C">
        <w:t>účely</w:t>
      </w:r>
      <w:r>
        <w:t xml:space="preserve"> </w:t>
      </w:r>
      <w:r w:rsidRPr="00E2448C">
        <w:t>tohoto</w:t>
      </w:r>
      <w:r>
        <w:t xml:space="preserve"> </w:t>
      </w:r>
      <w:r w:rsidRPr="00E2448C">
        <w:t>zákona</w:t>
      </w:r>
      <w:r>
        <w:t xml:space="preserve"> </w:t>
      </w:r>
      <w:r w:rsidRPr="00E2448C">
        <w:t>rozumí</w:t>
      </w:r>
      <w:r>
        <w:t xml:space="preserve"> </w:t>
      </w:r>
      <w:r w:rsidRPr="00E2448C">
        <w:t>právnická</w:t>
      </w:r>
      <w:r>
        <w:t xml:space="preserve"> </w:t>
      </w:r>
      <w:r w:rsidRPr="00E2448C">
        <w:t>osoba,</w:t>
      </w:r>
      <w:r>
        <w:t xml:space="preserve"> </w:t>
      </w:r>
      <w:r w:rsidRPr="00E2448C">
        <w:t>jejímž</w:t>
      </w:r>
      <w:r>
        <w:t xml:space="preserve"> </w:t>
      </w:r>
      <w:r w:rsidRPr="00E2448C">
        <w:t>hlavním</w:t>
      </w:r>
      <w:r>
        <w:t xml:space="preserve"> </w:t>
      </w:r>
      <w:r w:rsidRPr="00E2448C">
        <w:t>předmětem</w:t>
      </w:r>
      <w:r>
        <w:t xml:space="preserve"> </w:t>
      </w:r>
      <w:r w:rsidRPr="00E2448C">
        <w:t>činnosti</w:t>
      </w:r>
      <w:r>
        <w:t xml:space="preserve"> </w:t>
      </w:r>
      <w:r w:rsidRPr="00E2448C">
        <w:t>je</w:t>
      </w:r>
      <w:r>
        <w:t xml:space="preserve"> </w:t>
      </w:r>
      <w:r w:rsidRPr="00E2448C">
        <w:t>výzkumná,</w:t>
      </w:r>
      <w:r>
        <w:t xml:space="preserve"> </w:t>
      </w:r>
      <w:r w:rsidRPr="00E2448C">
        <w:t>publikační,</w:t>
      </w:r>
      <w:r>
        <w:t xml:space="preserve"> </w:t>
      </w:r>
      <w:r w:rsidRPr="00E2448C">
        <w:t>vzdělávací</w:t>
      </w:r>
      <w:r>
        <w:t xml:space="preserve"> </w:t>
      </w:r>
      <w:r w:rsidRPr="00E2448C">
        <w:t>nebo</w:t>
      </w:r>
      <w:r>
        <w:t xml:space="preserve"> </w:t>
      </w:r>
      <w:r w:rsidRPr="00E2448C">
        <w:t>kulturní</w:t>
      </w:r>
      <w:r>
        <w:t xml:space="preserve"> </w:t>
      </w:r>
      <w:r w:rsidRPr="00E2448C">
        <w:t>činnost</w:t>
      </w:r>
      <w:r>
        <w:t xml:space="preserve"> </w:t>
      </w:r>
      <w:r w:rsidRPr="00E2448C">
        <w:t>v</w:t>
      </w:r>
      <w:r>
        <w:t xml:space="preserve"> </w:t>
      </w:r>
      <w:r w:rsidRPr="00E2448C">
        <w:t>oblasti</w:t>
      </w:r>
    </w:p>
    <w:p w14:paraId="2745AEA7" w14:textId="5E09DF69" w:rsidR="00495F58" w:rsidRDefault="00495F58" w:rsidP="00E33615">
      <w:pPr>
        <w:pStyle w:val="PZTextpsmene"/>
        <w:tabs>
          <w:tab w:val="left" w:pos="851"/>
        </w:tabs>
        <w:spacing w:before="0"/>
      </w:pPr>
      <w:r w:rsidRPr="00E2448C">
        <w:t>a)</w:t>
      </w:r>
      <w:r w:rsidR="00E33615">
        <w:tab/>
      </w:r>
      <w:r w:rsidRPr="00E2448C">
        <w:t>rozvoje</w:t>
      </w:r>
      <w:r>
        <w:t xml:space="preserve"> </w:t>
      </w:r>
      <w:r w:rsidRPr="00E2448C">
        <w:t>demokracie,</w:t>
      </w:r>
      <w:r>
        <w:t xml:space="preserve"> </w:t>
      </w:r>
      <w:r w:rsidRPr="00E2448C">
        <w:t>právního</w:t>
      </w:r>
      <w:r>
        <w:t xml:space="preserve"> </w:t>
      </w:r>
      <w:r w:rsidRPr="00E2448C">
        <w:t>státu,</w:t>
      </w:r>
      <w:r>
        <w:t xml:space="preserve"> </w:t>
      </w:r>
      <w:r w:rsidRPr="00E2448C">
        <w:t>pluralismu</w:t>
      </w:r>
      <w:r>
        <w:t xml:space="preserve"> </w:t>
      </w:r>
      <w:r w:rsidRPr="00E2448C">
        <w:t>a</w:t>
      </w:r>
      <w:r>
        <w:t xml:space="preserve"> </w:t>
      </w:r>
      <w:r w:rsidRPr="00E2448C">
        <w:t>ochrany</w:t>
      </w:r>
      <w:r>
        <w:t xml:space="preserve"> </w:t>
      </w:r>
      <w:r w:rsidRPr="00E2448C">
        <w:t>základních</w:t>
      </w:r>
      <w:r>
        <w:t xml:space="preserve"> </w:t>
      </w:r>
      <w:r w:rsidRPr="00E2448C">
        <w:t>lidských</w:t>
      </w:r>
      <w:r>
        <w:t xml:space="preserve"> </w:t>
      </w:r>
      <w:r w:rsidRPr="00E2448C">
        <w:t>práv,</w:t>
      </w:r>
    </w:p>
    <w:p w14:paraId="3749F7A3" w14:textId="15CECC78" w:rsidR="00495F58" w:rsidRDefault="00495F58" w:rsidP="00E33615">
      <w:pPr>
        <w:pStyle w:val="PZTextpsmene"/>
        <w:tabs>
          <w:tab w:val="left" w:pos="851"/>
        </w:tabs>
        <w:spacing w:before="0"/>
      </w:pPr>
      <w:r w:rsidRPr="00E2448C">
        <w:t>b)</w:t>
      </w:r>
      <w:r w:rsidR="00E33615">
        <w:tab/>
      </w:r>
      <w:r w:rsidRPr="00E2448C">
        <w:t>rozvoje</w:t>
      </w:r>
      <w:r>
        <w:t xml:space="preserve"> </w:t>
      </w:r>
      <w:r w:rsidRPr="00E2448C">
        <w:t>občanské</w:t>
      </w:r>
      <w:r>
        <w:t xml:space="preserve"> </w:t>
      </w:r>
      <w:r w:rsidRPr="00E2448C">
        <w:t>společnosti</w:t>
      </w:r>
      <w:r>
        <w:t xml:space="preserve"> </w:t>
      </w:r>
      <w:r w:rsidRPr="00E2448C">
        <w:t>a</w:t>
      </w:r>
      <w:r>
        <w:t xml:space="preserve"> </w:t>
      </w:r>
      <w:r w:rsidRPr="00E2448C">
        <w:t>společenské</w:t>
      </w:r>
      <w:r>
        <w:t xml:space="preserve"> </w:t>
      </w:r>
      <w:r w:rsidRPr="00E2448C">
        <w:t>soudržnosti,</w:t>
      </w:r>
    </w:p>
    <w:p w14:paraId="2BAE002F" w14:textId="2248243F" w:rsidR="00495F58" w:rsidRDefault="00495F58" w:rsidP="00E33615">
      <w:pPr>
        <w:pStyle w:val="PZTextpsmene"/>
        <w:tabs>
          <w:tab w:val="left" w:pos="851"/>
        </w:tabs>
        <w:spacing w:before="0"/>
      </w:pPr>
      <w:r w:rsidRPr="00E2448C">
        <w:t>c)</w:t>
      </w:r>
      <w:r w:rsidR="00E33615">
        <w:tab/>
      </w:r>
      <w:r w:rsidRPr="00E2448C">
        <w:t>podpory</w:t>
      </w:r>
      <w:r>
        <w:t xml:space="preserve"> </w:t>
      </w:r>
      <w:r w:rsidRPr="00E2448C">
        <w:t>aktivní</w:t>
      </w:r>
      <w:r>
        <w:t xml:space="preserve"> </w:t>
      </w:r>
      <w:r w:rsidRPr="00E2448C">
        <w:t>účasti</w:t>
      </w:r>
      <w:r>
        <w:t xml:space="preserve"> </w:t>
      </w:r>
      <w:r w:rsidRPr="00E2448C">
        <w:t>občanů</w:t>
      </w:r>
      <w:r>
        <w:t xml:space="preserve"> </w:t>
      </w:r>
      <w:r w:rsidRPr="00E2448C">
        <w:t>na</w:t>
      </w:r>
      <w:r>
        <w:t xml:space="preserve"> </w:t>
      </w:r>
      <w:r w:rsidRPr="00E2448C">
        <w:t>veřejném</w:t>
      </w:r>
      <w:r>
        <w:t xml:space="preserve"> </w:t>
      </w:r>
      <w:r w:rsidRPr="00E2448C">
        <w:t>životě,</w:t>
      </w:r>
    </w:p>
    <w:p w14:paraId="4D49C7FE" w14:textId="7F60E51E" w:rsidR="00495F58" w:rsidRDefault="00495F58" w:rsidP="00E33615">
      <w:pPr>
        <w:pStyle w:val="PZTextpsmene"/>
        <w:tabs>
          <w:tab w:val="left" w:pos="851"/>
        </w:tabs>
        <w:spacing w:before="0"/>
      </w:pPr>
      <w:r w:rsidRPr="00E2448C">
        <w:t>d)</w:t>
      </w:r>
      <w:r w:rsidR="00E33615">
        <w:tab/>
      </w:r>
      <w:r w:rsidRPr="00E2448C">
        <w:t>zlepšení</w:t>
      </w:r>
      <w:r>
        <w:t xml:space="preserve"> </w:t>
      </w:r>
      <w:r w:rsidRPr="00E2448C">
        <w:t>kvality</w:t>
      </w:r>
      <w:r>
        <w:t xml:space="preserve"> </w:t>
      </w:r>
      <w:r w:rsidRPr="00E2448C">
        <w:t>politické</w:t>
      </w:r>
      <w:r>
        <w:t xml:space="preserve"> </w:t>
      </w:r>
      <w:r w:rsidRPr="00E2448C">
        <w:t>kultury</w:t>
      </w:r>
      <w:r>
        <w:t xml:space="preserve"> </w:t>
      </w:r>
      <w:r w:rsidRPr="00E2448C">
        <w:t>a</w:t>
      </w:r>
      <w:r>
        <w:t xml:space="preserve"> </w:t>
      </w:r>
      <w:r w:rsidRPr="00E2448C">
        <w:t>veřejné</w:t>
      </w:r>
      <w:r>
        <w:t xml:space="preserve"> </w:t>
      </w:r>
      <w:r w:rsidRPr="00E2448C">
        <w:t>diskuse,</w:t>
      </w:r>
      <w:r>
        <w:t xml:space="preserve"> </w:t>
      </w:r>
      <w:r w:rsidRPr="00E2448C">
        <w:t>nebo</w:t>
      </w:r>
    </w:p>
    <w:p w14:paraId="228A289A" w14:textId="066B3590" w:rsidR="00495F58" w:rsidRDefault="00495F58" w:rsidP="00E33615">
      <w:pPr>
        <w:pStyle w:val="PZTextpsmene"/>
        <w:tabs>
          <w:tab w:val="left" w:pos="851"/>
        </w:tabs>
        <w:spacing w:before="0"/>
      </w:pPr>
      <w:r w:rsidRPr="00E2448C">
        <w:t>e)</w:t>
      </w:r>
      <w:r w:rsidR="00E33615">
        <w:tab/>
      </w:r>
      <w:r w:rsidRPr="00E2448C">
        <w:t>přispívání</w:t>
      </w:r>
      <w:r>
        <w:t xml:space="preserve"> </w:t>
      </w:r>
      <w:r w:rsidRPr="00E2448C">
        <w:t>k</w:t>
      </w:r>
      <w:r>
        <w:t xml:space="preserve"> </w:t>
      </w:r>
      <w:r w:rsidRPr="00E2448C">
        <w:t>mezinárodnímu</w:t>
      </w:r>
      <w:r>
        <w:t xml:space="preserve"> </w:t>
      </w:r>
      <w:r w:rsidRPr="00E2448C">
        <w:t>porozumění</w:t>
      </w:r>
      <w:r>
        <w:t xml:space="preserve"> </w:t>
      </w:r>
      <w:r w:rsidRPr="00E2448C">
        <w:t>a</w:t>
      </w:r>
      <w:r>
        <w:t xml:space="preserve"> </w:t>
      </w:r>
      <w:r w:rsidRPr="00E2448C">
        <w:t>spolupráci.</w:t>
      </w:r>
    </w:p>
    <w:p w14:paraId="294460CE" w14:textId="77777777" w:rsidR="00495F58" w:rsidRDefault="00495F58" w:rsidP="00A06781">
      <w:pPr>
        <w:pStyle w:val="PZTextodstavce"/>
      </w:pPr>
      <w:r w:rsidRPr="00E2448C">
        <w:t>(5)</w:t>
      </w:r>
      <w:r>
        <w:t xml:space="preserve"> </w:t>
      </w:r>
      <w:r w:rsidRPr="00E2448C">
        <w:t>Politický</w:t>
      </w:r>
      <w:r>
        <w:t xml:space="preserve"> </w:t>
      </w:r>
      <w:r w:rsidRPr="00E2448C">
        <w:t>institut</w:t>
      </w:r>
      <w:r>
        <w:t xml:space="preserve"> </w:t>
      </w:r>
      <w:r w:rsidRPr="00E2448C">
        <w:t>musí</w:t>
      </w:r>
      <w:r>
        <w:t xml:space="preserve"> </w:t>
      </w:r>
      <w:r w:rsidRPr="00E2448C">
        <w:t>způsobem</w:t>
      </w:r>
      <w:r>
        <w:t xml:space="preserve"> </w:t>
      </w:r>
      <w:r w:rsidRPr="00E2448C">
        <w:t>umožňujícím</w:t>
      </w:r>
      <w:r>
        <w:t xml:space="preserve"> </w:t>
      </w:r>
      <w:r w:rsidRPr="00E2448C">
        <w:t>dálkový</w:t>
      </w:r>
      <w:r>
        <w:t xml:space="preserve"> </w:t>
      </w:r>
      <w:r w:rsidRPr="00E2448C">
        <w:t>přístup</w:t>
      </w:r>
      <w:r>
        <w:t xml:space="preserve"> </w:t>
      </w:r>
      <w:r w:rsidRPr="00E2448C">
        <w:t>uveřejňovat</w:t>
      </w:r>
      <w:r>
        <w:t xml:space="preserve"> </w:t>
      </w:r>
      <w:r w:rsidRPr="00E2448C">
        <w:t>veškeré</w:t>
      </w:r>
      <w:r>
        <w:t xml:space="preserve"> </w:t>
      </w:r>
      <w:r w:rsidRPr="00E2448C">
        <w:t>výsledky</w:t>
      </w:r>
      <w:r>
        <w:t xml:space="preserve"> </w:t>
      </w:r>
      <w:r w:rsidRPr="00E2448C">
        <w:t>své</w:t>
      </w:r>
      <w:r>
        <w:t xml:space="preserve"> </w:t>
      </w:r>
      <w:r w:rsidRPr="00E2448C">
        <w:t>činnosti</w:t>
      </w:r>
      <w:r>
        <w:t xml:space="preserve"> </w:t>
      </w:r>
      <w:r w:rsidRPr="00E2448C">
        <w:t>podle</w:t>
      </w:r>
      <w:r>
        <w:t xml:space="preserve"> </w:t>
      </w:r>
      <w:r w:rsidRPr="00E2448C">
        <w:t>odstavce</w:t>
      </w:r>
      <w:r>
        <w:t xml:space="preserve"> </w:t>
      </w:r>
      <w:r w:rsidRPr="00E2448C">
        <w:t>4,</w:t>
      </w:r>
      <w:r>
        <w:t xml:space="preserve"> </w:t>
      </w:r>
      <w:r w:rsidRPr="00E2448C">
        <w:t>jejichž</w:t>
      </w:r>
      <w:r>
        <w:t xml:space="preserve"> </w:t>
      </w:r>
      <w:r w:rsidRPr="00E2448C">
        <w:t>povaha</w:t>
      </w:r>
      <w:r>
        <w:t xml:space="preserve"> </w:t>
      </w:r>
      <w:r w:rsidRPr="00E2448C">
        <w:t>to</w:t>
      </w:r>
      <w:r>
        <w:t xml:space="preserve"> </w:t>
      </w:r>
      <w:r w:rsidRPr="00E2448C">
        <w:t>umožňuje.</w:t>
      </w:r>
    </w:p>
    <w:p w14:paraId="3F4295E7" w14:textId="77777777" w:rsidR="00495F58" w:rsidRDefault="00495F58" w:rsidP="00A06781">
      <w:pPr>
        <w:pStyle w:val="PZTextodstavce"/>
      </w:pPr>
      <w:r w:rsidRPr="00E2448C">
        <w:t>(6)</w:t>
      </w:r>
      <w:r>
        <w:t xml:space="preserve"> </w:t>
      </w:r>
      <w:r w:rsidRPr="00E2448C">
        <w:t>Politický</w:t>
      </w:r>
      <w:r>
        <w:t xml:space="preserve"> </w:t>
      </w:r>
      <w:r w:rsidRPr="00E2448C">
        <w:t>institut</w:t>
      </w:r>
      <w:r>
        <w:t xml:space="preserve"> </w:t>
      </w:r>
      <w:r w:rsidRPr="00E2448C">
        <w:t>nesmí</w:t>
      </w:r>
      <w:r>
        <w:t xml:space="preserve"> </w:t>
      </w:r>
      <w:r w:rsidRPr="00E2448C">
        <w:t>vykonávat</w:t>
      </w:r>
      <w:r>
        <w:t xml:space="preserve"> </w:t>
      </w:r>
      <w:r w:rsidRPr="00E2448C">
        <w:t>činnost</w:t>
      </w:r>
      <w:r>
        <w:t xml:space="preserve"> </w:t>
      </w:r>
      <w:r w:rsidRPr="00E2448C">
        <w:t>školy</w:t>
      </w:r>
      <w:r>
        <w:t xml:space="preserve"> </w:t>
      </w:r>
      <w:r w:rsidRPr="00E2448C">
        <w:t>nebo</w:t>
      </w:r>
      <w:r>
        <w:t xml:space="preserve"> </w:t>
      </w:r>
      <w:r w:rsidRPr="00E2448C">
        <w:t>školského</w:t>
      </w:r>
      <w:r>
        <w:t xml:space="preserve"> </w:t>
      </w:r>
      <w:r w:rsidRPr="00E2448C">
        <w:t>zařízení</w:t>
      </w:r>
      <w:r>
        <w:t xml:space="preserve"> </w:t>
      </w:r>
      <w:r w:rsidRPr="00E2448C">
        <w:t>podle</w:t>
      </w:r>
      <w:r>
        <w:t xml:space="preserve"> </w:t>
      </w:r>
      <w:r w:rsidRPr="00E2448C">
        <w:t>školského</w:t>
      </w:r>
      <w:r>
        <w:t xml:space="preserve"> </w:t>
      </w:r>
      <w:r w:rsidRPr="00E2448C">
        <w:t>zákona</w:t>
      </w:r>
      <w:r>
        <w:t xml:space="preserve"> </w:t>
      </w:r>
      <w:r w:rsidRPr="00E2448C">
        <w:t>ani</w:t>
      </w:r>
      <w:r>
        <w:t xml:space="preserve"> </w:t>
      </w:r>
      <w:r w:rsidRPr="00E2448C">
        <w:t>působit</w:t>
      </w:r>
      <w:r>
        <w:t xml:space="preserve"> </w:t>
      </w:r>
      <w:r w:rsidRPr="00E2448C">
        <w:t>jako</w:t>
      </w:r>
      <w:r>
        <w:t xml:space="preserve"> </w:t>
      </w:r>
      <w:r w:rsidRPr="00E2448C">
        <w:t>vysoká</w:t>
      </w:r>
      <w:r>
        <w:t xml:space="preserve"> </w:t>
      </w:r>
      <w:r w:rsidRPr="00E2448C">
        <w:t>škola</w:t>
      </w:r>
      <w:r>
        <w:t xml:space="preserve"> </w:t>
      </w:r>
      <w:r w:rsidRPr="00E2448C">
        <w:t>podle</w:t>
      </w:r>
      <w:r>
        <w:t xml:space="preserve"> </w:t>
      </w:r>
      <w:r w:rsidRPr="00E2448C">
        <w:t>zákona</w:t>
      </w:r>
      <w:r>
        <w:t xml:space="preserve"> </w:t>
      </w:r>
      <w:r w:rsidRPr="00E2448C">
        <w:t>o</w:t>
      </w:r>
      <w:r>
        <w:t xml:space="preserve"> </w:t>
      </w:r>
      <w:r w:rsidRPr="00E2448C">
        <w:t>vysokých</w:t>
      </w:r>
      <w:r>
        <w:t xml:space="preserve"> </w:t>
      </w:r>
      <w:r w:rsidRPr="00E2448C">
        <w:t>školách.</w:t>
      </w:r>
    </w:p>
    <w:p w14:paraId="787D9B4D" w14:textId="77777777" w:rsidR="00495F58" w:rsidRDefault="00495F58" w:rsidP="00A06781">
      <w:pPr>
        <w:pStyle w:val="PZTextodstavce"/>
      </w:pPr>
      <w:r w:rsidRPr="00E2448C">
        <w:t>(7)</w:t>
      </w:r>
      <w:r>
        <w:t xml:space="preserve"> </w:t>
      </w:r>
      <w:r w:rsidRPr="00E2448C">
        <w:t>Příspěvek</w:t>
      </w:r>
      <w:r>
        <w:t xml:space="preserve"> </w:t>
      </w:r>
      <w:r w:rsidRPr="00E2448C">
        <w:t>na</w:t>
      </w:r>
      <w:r>
        <w:t xml:space="preserve"> </w:t>
      </w:r>
      <w:r w:rsidRPr="00E2448C">
        <w:t>podporu</w:t>
      </w:r>
      <w:r>
        <w:t xml:space="preserve"> </w:t>
      </w:r>
      <w:r w:rsidRPr="00E2448C">
        <w:t>činnosti</w:t>
      </w:r>
      <w:r>
        <w:t xml:space="preserve"> </w:t>
      </w:r>
      <w:r w:rsidRPr="00E2448C">
        <w:t>politického</w:t>
      </w:r>
      <w:r>
        <w:t xml:space="preserve"> </w:t>
      </w:r>
      <w:r w:rsidRPr="00E2448C">
        <w:t>institutu</w:t>
      </w:r>
      <w:r>
        <w:t xml:space="preserve"> </w:t>
      </w:r>
      <w:r w:rsidRPr="00E2448C">
        <w:t>nelze</w:t>
      </w:r>
      <w:r>
        <w:t xml:space="preserve"> </w:t>
      </w:r>
      <w:r w:rsidRPr="00E2448C">
        <w:t>použít</w:t>
      </w:r>
      <w:r>
        <w:t xml:space="preserve"> </w:t>
      </w:r>
      <w:r w:rsidRPr="00E2448C">
        <w:t>na</w:t>
      </w:r>
      <w:r>
        <w:t xml:space="preserve"> </w:t>
      </w:r>
      <w:r w:rsidRPr="00E2448C">
        <w:t>financování</w:t>
      </w:r>
      <w:r>
        <w:t xml:space="preserve"> </w:t>
      </w:r>
      <w:r w:rsidRPr="00E2448C">
        <w:t>volební</w:t>
      </w:r>
      <w:r>
        <w:t xml:space="preserve"> </w:t>
      </w:r>
      <w:r w:rsidRPr="00E2448C">
        <w:t>kampaně</w:t>
      </w:r>
      <w:r>
        <w:t xml:space="preserve"> </w:t>
      </w:r>
      <w:r w:rsidRPr="00E2448C">
        <w:t>strany</w:t>
      </w:r>
      <w:r>
        <w:t xml:space="preserve"> </w:t>
      </w:r>
      <w:r w:rsidRPr="00E2448C">
        <w:t>nebo</w:t>
      </w:r>
      <w:r>
        <w:t xml:space="preserve"> </w:t>
      </w:r>
      <w:r w:rsidRPr="00E2448C">
        <w:t>hnutí</w:t>
      </w:r>
      <w:r>
        <w:t xml:space="preserve"> </w:t>
      </w:r>
      <w:r w:rsidRPr="00E2448C">
        <w:t>nebo</w:t>
      </w:r>
      <w:r>
        <w:t xml:space="preserve"> </w:t>
      </w:r>
      <w:r w:rsidRPr="00E2448C">
        <w:t>koalice</w:t>
      </w:r>
      <w:r>
        <w:t xml:space="preserve"> </w:t>
      </w:r>
      <w:r w:rsidRPr="00E2448C">
        <w:t>anebo</w:t>
      </w:r>
      <w:r>
        <w:t xml:space="preserve"> </w:t>
      </w:r>
      <w:r w:rsidRPr="00E2448C">
        <w:t>jejich</w:t>
      </w:r>
      <w:r>
        <w:t xml:space="preserve"> </w:t>
      </w:r>
      <w:r w:rsidRPr="00E2448C">
        <w:t>kandidáta</w:t>
      </w:r>
      <w:r>
        <w:t xml:space="preserve"> </w:t>
      </w:r>
      <w:r w:rsidRPr="00E2448C">
        <w:t>nebo</w:t>
      </w:r>
      <w:r>
        <w:t xml:space="preserve"> </w:t>
      </w:r>
      <w:r w:rsidRPr="00E2448C">
        <w:t>nezávislého</w:t>
      </w:r>
      <w:r>
        <w:t xml:space="preserve"> </w:t>
      </w:r>
      <w:r w:rsidRPr="00E2448C">
        <w:t>kandidáta.</w:t>
      </w:r>
    </w:p>
    <w:p w14:paraId="05BBD7C1" w14:textId="77777777" w:rsidR="00495F58" w:rsidRDefault="00495F58" w:rsidP="00A06781">
      <w:pPr>
        <w:pStyle w:val="PZTextodstavce"/>
      </w:pPr>
      <w:r w:rsidRPr="00E2448C">
        <w:t>(8)</w:t>
      </w:r>
      <w:r>
        <w:t xml:space="preserve"> </w:t>
      </w:r>
      <w:r w:rsidRPr="00E2448C">
        <w:t>Příjmem</w:t>
      </w:r>
      <w:r>
        <w:t xml:space="preserve"> </w:t>
      </w:r>
      <w:r w:rsidRPr="00E2448C">
        <w:t>strany</w:t>
      </w:r>
      <w:r>
        <w:t xml:space="preserve"> </w:t>
      </w:r>
      <w:r w:rsidRPr="00E2448C">
        <w:t>a</w:t>
      </w:r>
      <w:r>
        <w:t xml:space="preserve"> </w:t>
      </w:r>
      <w:r w:rsidRPr="00E2448C">
        <w:t>hnutí</w:t>
      </w:r>
      <w:r>
        <w:t xml:space="preserve"> </w:t>
      </w:r>
      <w:r w:rsidRPr="00E2448C">
        <w:t>mohou</w:t>
      </w:r>
      <w:r>
        <w:t xml:space="preserve"> </w:t>
      </w:r>
      <w:r w:rsidRPr="00E2448C">
        <w:t>být:</w:t>
      </w:r>
    </w:p>
    <w:p w14:paraId="1250C77B" w14:textId="3BED2C78" w:rsidR="00495F58" w:rsidRDefault="00495F58" w:rsidP="00A06781">
      <w:pPr>
        <w:pStyle w:val="PZTextpsmene"/>
        <w:tabs>
          <w:tab w:val="left" w:pos="851"/>
        </w:tabs>
        <w:spacing w:before="0"/>
      </w:pPr>
      <w:r w:rsidRPr="00E2448C">
        <w:t>a)</w:t>
      </w:r>
      <w:r w:rsidR="00E33615">
        <w:tab/>
      </w:r>
      <w:r w:rsidRPr="00E2448C">
        <w:t>příspěvek</w:t>
      </w:r>
      <w:r>
        <w:t xml:space="preserve"> </w:t>
      </w:r>
      <w:r w:rsidRPr="00E2448C">
        <w:t>ze</w:t>
      </w:r>
      <w:r>
        <w:t xml:space="preserve"> </w:t>
      </w:r>
      <w:r w:rsidRPr="00E2448C">
        <w:t>státního</w:t>
      </w:r>
      <w:r>
        <w:t xml:space="preserve"> </w:t>
      </w:r>
      <w:r w:rsidRPr="00E2448C">
        <w:t>rozpočtu</w:t>
      </w:r>
      <w:r>
        <w:t xml:space="preserve"> </w:t>
      </w:r>
      <w:r w:rsidRPr="00E2448C">
        <w:t>České</w:t>
      </w:r>
      <w:r>
        <w:t xml:space="preserve"> </w:t>
      </w:r>
      <w:r w:rsidRPr="00E2448C">
        <w:t>republiky</w:t>
      </w:r>
      <w:r>
        <w:t xml:space="preserve"> </w:t>
      </w:r>
      <w:r w:rsidRPr="00E2448C">
        <w:t>na</w:t>
      </w:r>
      <w:r>
        <w:t xml:space="preserve"> </w:t>
      </w:r>
      <w:r w:rsidRPr="00E2448C">
        <w:t>úhradu</w:t>
      </w:r>
      <w:r>
        <w:t xml:space="preserve"> </w:t>
      </w:r>
      <w:r w:rsidRPr="00E2448C">
        <w:t>volebních</w:t>
      </w:r>
      <w:r>
        <w:t xml:space="preserve"> </w:t>
      </w:r>
      <w:r w:rsidRPr="00E2448C">
        <w:t>nákladů,</w:t>
      </w:r>
    </w:p>
    <w:p w14:paraId="40016E49" w14:textId="0C12BCFC" w:rsidR="00495F58" w:rsidRDefault="00495F58" w:rsidP="00A06781">
      <w:pPr>
        <w:pStyle w:val="PZTextpsmene"/>
        <w:tabs>
          <w:tab w:val="left" w:pos="851"/>
        </w:tabs>
        <w:spacing w:before="0"/>
      </w:pPr>
      <w:r w:rsidRPr="00E2448C">
        <w:t>b)</w:t>
      </w:r>
      <w:r w:rsidR="00E33615">
        <w:tab/>
      </w:r>
      <w:r w:rsidRPr="00E2448C">
        <w:t>příspěvek</w:t>
      </w:r>
      <w:r>
        <w:t xml:space="preserve"> </w:t>
      </w:r>
      <w:r w:rsidRPr="00E2448C">
        <w:t>ze</w:t>
      </w:r>
      <w:r>
        <w:t xml:space="preserve"> </w:t>
      </w:r>
      <w:r w:rsidRPr="00E2448C">
        <w:t>státního</w:t>
      </w:r>
      <w:r>
        <w:t xml:space="preserve"> </w:t>
      </w:r>
      <w:r w:rsidRPr="00E2448C">
        <w:t>rozpočtu</w:t>
      </w:r>
      <w:r>
        <w:t xml:space="preserve"> </w:t>
      </w:r>
      <w:r w:rsidRPr="00E2448C">
        <w:t>České</w:t>
      </w:r>
      <w:r>
        <w:t xml:space="preserve"> </w:t>
      </w:r>
      <w:r w:rsidRPr="00E2448C">
        <w:t>republiky</w:t>
      </w:r>
      <w:r>
        <w:t xml:space="preserve"> </w:t>
      </w:r>
      <w:r w:rsidRPr="00E2448C">
        <w:t>na</w:t>
      </w:r>
      <w:r>
        <w:t xml:space="preserve"> </w:t>
      </w:r>
      <w:r w:rsidRPr="00E2448C">
        <w:t>činnost</w:t>
      </w:r>
      <w:r>
        <w:t xml:space="preserve"> </w:t>
      </w:r>
      <w:r w:rsidRPr="00E2448C">
        <w:t>strany</w:t>
      </w:r>
      <w:r>
        <w:t xml:space="preserve"> </w:t>
      </w:r>
      <w:r w:rsidRPr="00E2448C">
        <w:t>a</w:t>
      </w:r>
      <w:r>
        <w:t xml:space="preserve"> </w:t>
      </w:r>
      <w:r w:rsidRPr="00E2448C">
        <w:t>hnutí</w:t>
      </w:r>
      <w:r>
        <w:t xml:space="preserve"> </w:t>
      </w:r>
      <w:r w:rsidRPr="00E2448C">
        <w:t>(dále</w:t>
      </w:r>
      <w:r>
        <w:t xml:space="preserve"> </w:t>
      </w:r>
      <w:r w:rsidRPr="00E2448C">
        <w:t>jen</w:t>
      </w:r>
      <w:r>
        <w:t xml:space="preserve"> </w:t>
      </w:r>
      <w:r w:rsidRPr="00E2448C">
        <w:t>"příspěvek</w:t>
      </w:r>
      <w:r>
        <w:t xml:space="preserve"> </w:t>
      </w:r>
      <w:r w:rsidRPr="00E2448C">
        <w:t>na</w:t>
      </w:r>
      <w:r>
        <w:t xml:space="preserve"> </w:t>
      </w:r>
      <w:r w:rsidRPr="00E2448C">
        <w:t>činnost"),</w:t>
      </w:r>
    </w:p>
    <w:p w14:paraId="11F0ADA1" w14:textId="3377DBFE" w:rsidR="00495F58" w:rsidRDefault="00495F58" w:rsidP="00A06781">
      <w:pPr>
        <w:pStyle w:val="PZTextpsmene"/>
        <w:tabs>
          <w:tab w:val="left" w:pos="851"/>
        </w:tabs>
        <w:spacing w:before="0"/>
      </w:pPr>
      <w:r w:rsidRPr="00E2448C">
        <w:lastRenderedPageBreak/>
        <w:t>c)</w:t>
      </w:r>
      <w:r w:rsidR="00E33615">
        <w:tab/>
      </w:r>
      <w:r w:rsidRPr="00E2448C">
        <w:t>členské</w:t>
      </w:r>
      <w:r>
        <w:t xml:space="preserve"> </w:t>
      </w:r>
      <w:r w:rsidRPr="00E2448C">
        <w:t>příspěvky,</w:t>
      </w:r>
    </w:p>
    <w:p w14:paraId="5941BB6D" w14:textId="0FABD4A1" w:rsidR="00495F58" w:rsidRDefault="00495F58" w:rsidP="00A06781">
      <w:pPr>
        <w:pStyle w:val="PZTextpsmene"/>
        <w:tabs>
          <w:tab w:val="left" w:pos="851"/>
        </w:tabs>
        <w:spacing w:before="0"/>
      </w:pPr>
      <w:r w:rsidRPr="00E2448C">
        <w:t>d)</w:t>
      </w:r>
      <w:r w:rsidR="002B6A12">
        <w:tab/>
      </w:r>
      <w:r w:rsidRPr="00E2448C">
        <w:t>dary,</w:t>
      </w:r>
      <w:r>
        <w:t xml:space="preserve"> </w:t>
      </w:r>
      <w:r w:rsidRPr="00E2448C">
        <w:t>dědictví</w:t>
      </w:r>
      <w:r>
        <w:t xml:space="preserve"> </w:t>
      </w:r>
      <w:r w:rsidRPr="00E2448C">
        <w:t>a</w:t>
      </w:r>
      <w:r>
        <w:t xml:space="preserve"> </w:t>
      </w:r>
      <w:r w:rsidRPr="00E2448C">
        <w:t>bezúplatná</w:t>
      </w:r>
      <w:r>
        <w:t xml:space="preserve"> </w:t>
      </w:r>
      <w:r w:rsidRPr="00E2448C">
        <w:t>plnění,</w:t>
      </w:r>
    </w:p>
    <w:p w14:paraId="49C01871" w14:textId="23182B37" w:rsidR="00495F58" w:rsidRDefault="00495F58" w:rsidP="00A06781">
      <w:pPr>
        <w:pStyle w:val="PZTextpsmene"/>
        <w:tabs>
          <w:tab w:val="left" w:pos="851"/>
        </w:tabs>
        <w:spacing w:before="0"/>
      </w:pPr>
      <w:r w:rsidRPr="00E2448C">
        <w:t>e)</w:t>
      </w:r>
      <w:r w:rsidR="00E33615">
        <w:tab/>
      </w:r>
      <w:r w:rsidRPr="00E2448C">
        <w:t>příjmy</w:t>
      </w:r>
      <w:r>
        <w:t xml:space="preserve"> </w:t>
      </w:r>
      <w:r w:rsidRPr="00E2448C">
        <w:t>z</w:t>
      </w:r>
      <w:r>
        <w:t xml:space="preserve"> </w:t>
      </w:r>
      <w:r w:rsidRPr="00E2448C">
        <w:t>nájmu,</w:t>
      </w:r>
      <w:r>
        <w:t xml:space="preserve"> </w:t>
      </w:r>
      <w:r w:rsidRPr="00E2448C">
        <w:t>pachtu</w:t>
      </w:r>
      <w:r>
        <w:t xml:space="preserve"> </w:t>
      </w:r>
      <w:r w:rsidRPr="00E2448C">
        <w:t>a</w:t>
      </w:r>
      <w:r>
        <w:t xml:space="preserve"> </w:t>
      </w:r>
      <w:r w:rsidRPr="00E2448C">
        <w:t>zcizení</w:t>
      </w:r>
      <w:r>
        <w:t xml:space="preserve"> </w:t>
      </w:r>
      <w:r w:rsidRPr="00E2448C">
        <w:t>movitého</w:t>
      </w:r>
      <w:r>
        <w:t xml:space="preserve"> </w:t>
      </w:r>
      <w:r w:rsidRPr="00E2448C">
        <w:t>a</w:t>
      </w:r>
      <w:r>
        <w:t xml:space="preserve"> </w:t>
      </w:r>
      <w:r w:rsidRPr="00E2448C">
        <w:t>nemovitého</w:t>
      </w:r>
      <w:r>
        <w:t xml:space="preserve"> </w:t>
      </w:r>
      <w:r w:rsidRPr="00E2448C">
        <w:t>majetku,</w:t>
      </w:r>
    </w:p>
    <w:p w14:paraId="69768AB4" w14:textId="78E7E52E" w:rsidR="00495F58" w:rsidRDefault="00495F58" w:rsidP="00A06781">
      <w:pPr>
        <w:pStyle w:val="PZTextpsmene"/>
        <w:tabs>
          <w:tab w:val="left" w:pos="851"/>
        </w:tabs>
        <w:spacing w:before="0"/>
      </w:pPr>
      <w:r w:rsidRPr="00E2448C">
        <w:t>f)</w:t>
      </w:r>
      <w:r w:rsidR="00E33615">
        <w:tab/>
      </w:r>
      <w:r w:rsidRPr="00E2448C">
        <w:t>úroky</w:t>
      </w:r>
      <w:r>
        <w:t xml:space="preserve"> </w:t>
      </w:r>
      <w:r w:rsidRPr="00E2448C">
        <w:t>z</w:t>
      </w:r>
      <w:r>
        <w:t xml:space="preserve"> </w:t>
      </w:r>
      <w:r w:rsidRPr="00E2448C">
        <w:t>vkladů,</w:t>
      </w:r>
    </w:p>
    <w:p w14:paraId="03B40B90" w14:textId="135361C1" w:rsidR="00495F58" w:rsidRDefault="00495F58" w:rsidP="00A06781">
      <w:pPr>
        <w:pStyle w:val="PZTextpsmene"/>
        <w:tabs>
          <w:tab w:val="left" w:pos="851"/>
        </w:tabs>
        <w:spacing w:before="0"/>
      </w:pPr>
      <w:r w:rsidRPr="00E2448C">
        <w:t>g)</w:t>
      </w:r>
      <w:r w:rsidR="00E33615">
        <w:tab/>
      </w:r>
      <w:r w:rsidRPr="00E2448C">
        <w:t>příjmy</w:t>
      </w:r>
      <w:r>
        <w:t xml:space="preserve"> </w:t>
      </w:r>
      <w:r w:rsidRPr="00E2448C">
        <w:t>vznikající</w:t>
      </w:r>
      <w:r>
        <w:t xml:space="preserve"> </w:t>
      </w:r>
      <w:r w:rsidRPr="00E2448C">
        <w:t>z</w:t>
      </w:r>
      <w:r>
        <w:t xml:space="preserve"> </w:t>
      </w:r>
      <w:r w:rsidRPr="00E2448C">
        <w:t>účasti</w:t>
      </w:r>
      <w:r>
        <w:t xml:space="preserve"> </w:t>
      </w:r>
      <w:r w:rsidRPr="00E2448C">
        <w:t>na</w:t>
      </w:r>
      <w:r>
        <w:t xml:space="preserve"> </w:t>
      </w:r>
      <w:r w:rsidRPr="00E2448C">
        <w:t>podnikání</w:t>
      </w:r>
      <w:r>
        <w:t xml:space="preserve"> </w:t>
      </w:r>
      <w:r w:rsidRPr="00E2448C">
        <w:t>jiných</w:t>
      </w:r>
      <w:r>
        <w:t xml:space="preserve"> </w:t>
      </w:r>
      <w:r w:rsidRPr="00E2448C">
        <w:t>právnických</w:t>
      </w:r>
      <w:r>
        <w:t xml:space="preserve"> </w:t>
      </w:r>
      <w:r w:rsidRPr="00E2448C">
        <w:t>osob</w:t>
      </w:r>
      <w:r>
        <w:t xml:space="preserve"> </w:t>
      </w:r>
      <w:r w:rsidRPr="00E2448C">
        <w:t>podle</w:t>
      </w:r>
      <w:r>
        <w:t xml:space="preserve"> </w:t>
      </w:r>
      <w:r w:rsidRPr="00E2448C">
        <w:t>odstavce</w:t>
      </w:r>
      <w:r>
        <w:t xml:space="preserve"> </w:t>
      </w:r>
      <w:r w:rsidRPr="00E2448C">
        <w:t>3,</w:t>
      </w:r>
    </w:p>
    <w:p w14:paraId="2D2C4391" w14:textId="4A0EEA70" w:rsidR="00495F58" w:rsidRDefault="00495F58" w:rsidP="00A06781">
      <w:pPr>
        <w:pStyle w:val="PZTextpsmene"/>
        <w:tabs>
          <w:tab w:val="left" w:pos="851"/>
        </w:tabs>
        <w:spacing w:before="0"/>
      </w:pPr>
      <w:r w:rsidRPr="00E2448C">
        <w:t>h)</w:t>
      </w:r>
      <w:r w:rsidR="00E33615">
        <w:tab/>
      </w:r>
      <w:r w:rsidRPr="00E2448C">
        <w:t>příjmy</w:t>
      </w:r>
      <w:r>
        <w:t xml:space="preserve"> </w:t>
      </w:r>
      <w:r w:rsidRPr="00E2448C">
        <w:t>z</w:t>
      </w:r>
      <w:r>
        <w:t xml:space="preserve"> </w:t>
      </w:r>
      <w:r w:rsidRPr="00E2448C">
        <w:t>pořádání</w:t>
      </w:r>
      <w:r>
        <w:t xml:space="preserve"> </w:t>
      </w:r>
      <w:r w:rsidRPr="00E2448C">
        <w:t>tombol,</w:t>
      </w:r>
      <w:r>
        <w:t xml:space="preserve"> </w:t>
      </w:r>
      <w:r w:rsidRPr="00E2448C">
        <w:t>kulturních,</w:t>
      </w:r>
      <w:r>
        <w:t xml:space="preserve"> </w:t>
      </w:r>
      <w:r w:rsidRPr="00E2448C">
        <w:t>společenských,</w:t>
      </w:r>
      <w:r>
        <w:t xml:space="preserve"> </w:t>
      </w:r>
      <w:r w:rsidRPr="00E2448C">
        <w:t>sportovních,</w:t>
      </w:r>
      <w:r>
        <w:t xml:space="preserve"> </w:t>
      </w:r>
      <w:r w:rsidRPr="00E2448C">
        <w:t>rekreačních,</w:t>
      </w:r>
      <w:r>
        <w:t xml:space="preserve"> </w:t>
      </w:r>
      <w:r w:rsidRPr="00E2448C">
        <w:t>vzdělávacích</w:t>
      </w:r>
      <w:r>
        <w:t xml:space="preserve"> </w:t>
      </w:r>
      <w:r w:rsidRPr="00E2448C">
        <w:t>a</w:t>
      </w:r>
      <w:r>
        <w:t xml:space="preserve"> </w:t>
      </w:r>
      <w:r w:rsidRPr="00E2448C">
        <w:t>politických</w:t>
      </w:r>
      <w:r>
        <w:t xml:space="preserve"> </w:t>
      </w:r>
      <w:r w:rsidRPr="00E2448C">
        <w:t>akcí,</w:t>
      </w:r>
    </w:p>
    <w:p w14:paraId="1628EA9E" w14:textId="77C1E155" w:rsidR="00495F58" w:rsidRDefault="00495F58" w:rsidP="00A06781">
      <w:pPr>
        <w:pStyle w:val="PZTextpsmene"/>
        <w:tabs>
          <w:tab w:val="left" w:pos="851"/>
        </w:tabs>
        <w:spacing w:before="0"/>
      </w:pPr>
      <w:r w:rsidRPr="00E2448C">
        <w:t>i)</w:t>
      </w:r>
      <w:r w:rsidR="00E33615">
        <w:tab/>
      </w:r>
      <w:r w:rsidRPr="00E2448C">
        <w:t>zápůjčky</w:t>
      </w:r>
      <w:r>
        <w:t xml:space="preserve"> </w:t>
      </w:r>
      <w:r w:rsidRPr="00E2448C">
        <w:t>a</w:t>
      </w:r>
      <w:r>
        <w:t xml:space="preserve"> </w:t>
      </w:r>
      <w:r w:rsidRPr="00E2448C">
        <w:t>úvěry</w:t>
      </w:r>
      <w:r>
        <w:t xml:space="preserve"> </w:t>
      </w:r>
      <w:r w:rsidRPr="00E2448C">
        <w:t>poskytnuté</w:t>
      </w:r>
      <w:r>
        <w:t xml:space="preserve"> </w:t>
      </w:r>
      <w:r w:rsidRPr="00E2448C">
        <w:t>bankou,</w:t>
      </w:r>
      <w:r>
        <w:t xml:space="preserve"> </w:t>
      </w:r>
      <w:r w:rsidRPr="00E2448C">
        <w:t>platební</w:t>
      </w:r>
      <w:r>
        <w:t xml:space="preserve"> </w:t>
      </w:r>
      <w:r w:rsidRPr="00E2448C">
        <w:t>institucí</w:t>
      </w:r>
      <w:r>
        <w:t xml:space="preserve"> </w:t>
      </w:r>
      <w:r w:rsidRPr="00E2448C">
        <w:t>nebo</w:t>
      </w:r>
      <w:r>
        <w:t xml:space="preserve"> </w:t>
      </w:r>
      <w:r w:rsidRPr="00E2448C">
        <w:t>institucí</w:t>
      </w:r>
      <w:r>
        <w:t xml:space="preserve"> </w:t>
      </w:r>
      <w:r w:rsidRPr="00E2448C">
        <w:t>elektronických</w:t>
      </w:r>
      <w:r>
        <w:t xml:space="preserve"> </w:t>
      </w:r>
      <w:r w:rsidRPr="00E2448C">
        <w:t>peněz</w:t>
      </w:r>
      <w:r>
        <w:t xml:space="preserve"> </w:t>
      </w:r>
      <w:r w:rsidRPr="00E2448C">
        <w:t>nebo</w:t>
      </w:r>
      <w:r>
        <w:t xml:space="preserve"> </w:t>
      </w:r>
      <w:r w:rsidRPr="00E2448C">
        <w:t>pobočkou</w:t>
      </w:r>
      <w:r>
        <w:t xml:space="preserve"> </w:t>
      </w:r>
      <w:r w:rsidRPr="00E2448C">
        <w:t>zahraniční</w:t>
      </w:r>
      <w:r>
        <w:t xml:space="preserve"> </w:t>
      </w:r>
      <w:r w:rsidRPr="00E2448C">
        <w:t>banky,</w:t>
      </w:r>
      <w:r>
        <w:t xml:space="preserve"> </w:t>
      </w:r>
      <w:r w:rsidRPr="00E2448C">
        <w:t>platební</w:t>
      </w:r>
      <w:r>
        <w:t xml:space="preserve"> </w:t>
      </w:r>
      <w:r w:rsidRPr="00E2448C">
        <w:t>instituce</w:t>
      </w:r>
      <w:r>
        <w:t xml:space="preserve"> </w:t>
      </w:r>
      <w:r w:rsidRPr="00E2448C">
        <w:t>nebo</w:t>
      </w:r>
      <w:r>
        <w:t xml:space="preserve"> </w:t>
      </w:r>
      <w:r w:rsidRPr="00E2448C">
        <w:t>instituce</w:t>
      </w:r>
      <w:r>
        <w:t xml:space="preserve"> </w:t>
      </w:r>
      <w:r w:rsidRPr="00E2448C">
        <w:t>elektronických</w:t>
      </w:r>
      <w:r>
        <w:t xml:space="preserve"> </w:t>
      </w:r>
      <w:r w:rsidRPr="00E2448C">
        <w:t>peněz</w:t>
      </w:r>
      <w:r>
        <w:t xml:space="preserve"> </w:t>
      </w:r>
      <w:r w:rsidRPr="00E2448C">
        <w:t>na</w:t>
      </w:r>
      <w:r>
        <w:t xml:space="preserve"> </w:t>
      </w:r>
      <w:r w:rsidRPr="00E2448C">
        <w:t>území</w:t>
      </w:r>
      <w:r>
        <w:t xml:space="preserve"> </w:t>
      </w:r>
      <w:r w:rsidRPr="00E2448C">
        <w:t>České</w:t>
      </w:r>
      <w:r>
        <w:t xml:space="preserve"> </w:t>
      </w:r>
      <w:r w:rsidRPr="00E2448C">
        <w:t>republiky,</w:t>
      </w:r>
    </w:p>
    <w:p w14:paraId="3ABD7A2D" w14:textId="528EB3E2" w:rsidR="00495F58" w:rsidRDefault="00495F58" w:rsidP="00A06781">
      <w:pPr>
        <w:pStyle w:val="PZTextpsmene"/>
        <w:tabs>
          <w:tab w:val="left" w:pos="851"/>
        </w:tabs>
        <w:spacing w:before="0"/>
      </w:pPr>
      <w:r w:rsidRPr="00E2448C">
        <w:t>j)</w:t>
      </w:r>
      <w:r w:rsidR="00E33615">
        <w:tab/>
      </w:r>
      <w:r w:rsidRPr="00E2448C">
        <w:t>příspěvek</w:t>
      </w:r>
      <w:r>
        <w:t xml:space="preserve"> </w:t>
      </w:r>
      <w:r w:rsidRPr="00E2448C">
        <w:t>ze</w:t>
      </w:r>
      <w:r>
        <w:t xml:space="preserve"> </w:t>
      </w:r>
      <w:r w:rsidRPr="00E2448C">
        <w:t>státního</w:t>
      </w:r>
      <w:r>
        <w:t xml:space="preserve"> </w:t>
      </w:r>
      <w:r w:rsidRPr="00E2448C">
        <w:t>rozpočtu</w:t>
      </w:r>
      <w:r>
        <w:t xml:space="preserve"> </w:t>
      </w:r>
      <w:r w:rsidRPr="00E2448C">
        <w:t>České</w:t>
      </w:r>
      <w:r>
        <w:t xml:space="preserve"> </w:t>
      </w:r>
      <w:r w:rsidRPr="00E2448C">
        <w:t>republiky</w:t>
      </w:r>
      <w:r>
        <w:t xml:space="preserve"> </w:t>
      </w:r>
      <w:r w:rsidRPr="00E2448C">
        <w:t>na</w:t>
      </w:r>
      <w:r>
        <w:t xml:space="preserve"> </w:t>
      </w:r>
      <w:r w:rsidRPr="00E2448C">
        <w:t>podporu</w:t>
      </w:r>
      <w:r>
        <w:t xml:space="preserve"> </w:t>
      </w:r>
      <w:r w:rsidRPr="00E2448C">
        <w:t>činnosti</w:t>
      </w:r>
      <w:r>
        <w:t xml:space="preserve"> </w:t>
      </w:r>
      <w:r w:rsidRPr="00E2448C">
        <w:t>politického</w:t>
      </w:r>
      <w:r>
        <w:t xml:space="preserve"> </w:t>
      </w:r>
      <w:r w:rsidRPr="00E2448C">
        <w:t>institutu.</w:t>
      </w:r>
    </w:p>
    <w:p w14:paraId="1204F4D4" w14:textId="77777777" w:rsidR="00495F58" w:rsidRPr="00E33615" w:rsidRDefault="00495F58" w:rsidP="00A06781">
      <w:pPr>
        <w:pStyle w:val="PZTextodstavce"/>
      </w:pPr>
      <w:r w:rsidRPr="00E2448C">
        <w:t>(9)</w:t>
      </w:r>
      <w:r>
        <w:t xml:space="preserve"> </w:t>
      </w:r>
      <w:r w:rsidRPr="00E33615">
        <w:rPr>
          <w:strike/>
        </w:rPr>
        <w:t>Strana a hnutí vedou účetnictví podle zvláštního zákona.</w:t>
      </w:r>
      <w:r w:rsidRPr="00E33615">
        <w:rPr>
          <w:rStyle w:val="Znakapoznpodarou"/>
          <w:strike/>
        </w:rPr>
        <w:footnoteReference w:customMarkFollows="1" w:id="18"/>
        <w:t>3)</w:t>
      </w:r>
      <w:r w:rsidRPr="00E33615">
        <w:rPr>
          <w:strike/>
        </w:rPr>
        <w:t xml:space="preserve"> Účetní závěrky stran a hnutí musejí být ověřeny auditorem podle zákona o auditorech</w:t>
      </w:r>
      <w:r w:rsidRPr="00E33615">
        <w:t xml:space="preserve">. </w:t>
      </w:r>
      <w:r w:rsidRPr="00E33615">
        <w:rPr>
          <w:b/>
          <w:bCs/>
        </w:rPr>
        <w:t xml:space="preserve">Individuálním účetním obdobím strany a hnutí je kalendářní rok. Strana a hnutí mají povinnost auditu účetní závěrky. </w:t>
      </w:r>
      <w:r w:rsidRPr="00E33615">
        <w:t>Auditora určí statutární orgán strany nebo hnutí; téhož auditora lze určit opakovaně nejvýše 5 po sobě následujících kalendářních let.</w:t>
      </w:r>
    </w:p>
    <w:p w14:paraId="633132BE" w14:textId="77777777" w:rsidR="00495F58" w:rsidRDefault="00495F58" w:rsidP="00A06781">
      <w:pPr>
        <w:pStyle w:val="PZTextodstavce"/>
      </w:pPr>
      <w:r w:rsidRPr="00E33615">
        <w:t xml:space="preserve">(10) </w:t>
      </w:r>
      <w:r w:rsidRPr="00E33615">
        <w:rPr>
          <w:strike/>
        </w:rPr>
        <w:t>Účetní závěrka obchodní korporace založené</w:t>
      </w:r>
      <w:r w:rsidRPr="00E33615">
        <w:t xml:space="preserve"> </w:t>
      </w:r>
      <w:r w:rsidRPr="00E33615">
        <w:rPr>
          <w:b/>
          <w:bCs/>
        </w:rPr>
        <w:t xml:space="preserve">Obchodní korporace založená </w:t>
      </w:r>
      <w:r w:rsidRPr="00E33615">
        <w:t xml:space="preserve">stranou nebo hnutím nebo obchodní korporace, na níž se strana nebo hnutí účastní jako společník nebo člen, </w:t>
      </w:r>
      <w:r w:rsidRPr="00E33615">
        <w:rPr>
          <w:strike/>
        </w:rPr>
        <w:t>musí být ověřena auditorem podle zákona o auditorech</w:t>
      </w:r>
      <w:r w:rsidRPr="00E33615">
        <w:t xml:space="preserve"> </w:t>
      </w:r>
      <w:r w:rsidRPr="00E33615">
        <w:rPr>
          <w:b/>
          <w:bCs/>
        </w:rPr>
        <w:t>má povinnost auditu účetní závěrky</w:t>
      </w:r>
      <w:r w:rsidRPr="00E33615">
        <w:t>. Téhož auditora pro ověření</w:t>
      </w:r>
      <w:r>
        <w:t xml:space="preserve"> </w:t>
      </w:r>
      <w:r w:rsidRPr="00E2448C">
        <w:t>účetní</w:t>
      </w:r>
      <w:r>
        <w:t xml:space="preserve"> </w:t>
      </w:r>
      <w:r w:rsidRPr="00E2448C">
        <w:t>závěrky</w:t>
      </w:r>
      <w:r>
        <w:t xml:space="preserve"> </w:t>
      </w:r>
      <w:r w:rsidRPr="00E2448C">
        <w:t>podle</w:t>
      </w:r>
      <w:r>
        <w:t xml:space="preserve"> </w:t>
      </w:r>
      <w:r w:rsidRPr="00E2448C">
        <w:t>věty</w:t>
      </w:r>
      <w:r>
        <w:t xml:space="preserve"> </w:t>
      </w:r>
      <w:r w:rsidRPr="00E2448C">
        <w:t>první</w:t>
      </w:r>
      <w:r>
        <w:t xml:space="preserve"> </w:t>
      </w:r>
      <w:r w:rsidRPr="00E2448C">
        <w:t>lze</w:t>
      </w:r>
      <w:r>
        <w:t xml:space="preserve"> </w:t>
      </w:r>
      <w:r w:rsidRPr="00E2448C">
        <w:t>určit</w:t>
      </w:r>
      <w:r>
        <w:t xml:space="preserve"> </w:t>
      </w:r>
      <w:r w:rsidRPr="00E2448C">
        <w:t>nejvýše</w:t>
      </w:r>
      <w:r>
        <w:t xml:space="preserve"> </w:t>
      </w:r>
      <w:r w:rsidRPr="00E2448C">
        <w:t>5</w:t>
      </w:r>
      <w:r>
        <w:t xml:space="preserve"> </w:t>
      </w:r>
      <w:r w:rsidRPr="00E2448C">
        <w:t>po</w:t>
      </w:r>
      <w:r>
        <w:t xml:space="preserve"> </w:t>
      </w:r>
      <w:r w:rsidRPr="00E2448C">
        <w:t>sobě</w:t>
      </w:r>
      <w:r>
        <w:t xml:space="preserve"> </w:t>
      </w:r>
      <w:r w:rsidRPr="00E2448C">
        <w:t>následujících</w:t>
      </w:r>
      <w:r>
        <w:t xml:space="preserve"> </w:t>
      </w:r>
      <w:r w:rsidRPr="00E2448C">
        <w:t>kalendářních</w:t>
      </w:r>
      <w:r>
        <w:t xml:space="preserve"> </w:t>
      </w:r>
      <w:r w:rsidRPr="00E2448C">
        <w:t>let.</w:t>
      </w:r>
    </w:p>
    <w:p w14:paraId="71749908" w14:textId="77777777" w:rsidR="00495F58" w:rsidRDefault="00495F58" w:rsidP="00A06781">
      <w:pPr>
        <w:pStyle w:val="PZTextodstavce"/>
      </w:pPr>
      <w:r w:rsidRPr="00E2448C">
        <w:t>(11)</w:t>
      </w:r>
      <w:r>
        <w:t xml:space="preserve"> </w:t>
      </w:r>
      <w:r w:rsidRPr="00E2448C">
        <w:t>Strana</w:t>
      </w:r>
      <w:r>
        <w:t xml:space="preserve"> </w:t>
      </w:r>
      <w:r w:rsidRPr="00E2448C">
        <w:t>a</w:t>
      </w:r>
      <w:r>
        <w:t xml:space="preserve"> </w:t>
      </w:r>
      <w:r w:rsidRPr="00E2448C">
        <w:t>hnutí</w:t>
      </w:r>
      <w:r>
        <w:t xml:space="preserve"> </w:t>
      </w:r>
      <w:r w:rsidRPr="00E2448C">
        <w:t>nesmějí</w:t>
      </w:r>
      <w:r>
        <w:t xml:space="preserve"> </w:t>
      </w:r>
      <w:r w:rsidRPr="00E2448C">
        <w:t>vlastnit</w:t>
      </w:r>
      <w:r>
        <w:t xml:space="preserve"> </w:t>
      </w:r>
      <w:r w:rsidRPr="00E2448C">
        <w:t>majetek</w:t>
      </w:r>
      <w:r>
        <w:t xml:space="preserve"> </w:t>
      </w:r>
      <w:r w:rsidRPr="00E2448C">
        <w:t>mimo</w:t>
      </w:r>
      <w:r>
        <w:t xml:space="preserve"> </w:t>
      </w:r>
      <w:r w:rsidRPr="00E2448C">
        <w:t>území</w:t>
      </w:r>
      <w:r>
        <w:t xml:space="preserve"> </w:t>
      </w:r>
      <w:r w:rsidRPr="00E2448C">
        <w:t>České</w:t>
      </w:r>
      <w:r>
        <w:t xml:space="preserve"> </w:t>
      </w:r>
      <w:r w:rsidRPr="00E2448C">
        <w:t>republiky.</w:t>
      </w:r>
    </w:p>
    <w:p w14:paraId="211FCB55" w14:textId="77777777" w:rsidR="00495F58" w:rsidRPr="00E2448C" w:rsidRDefault="00495F58" w:rsidP="00495F58">
      <w:pPr>
        <w:pStyle w:val="Default"/>
        <w:tabs>
          <w:tab w:val="left" w:pos="851"/>
        </w:tabs>
        <w:spacing w:before="240" w:after="120"/>
        <w:jc w:val="center"/>
        <w:rPr>
          <w:color w:val="auto"/>
        </w:rPr>
      </w:pPr>
      <w:r w:rsidRPr="00E2448C">
        <w:rPr>
          <w:color w:val="auto"/>
        </w:rPr>
        <w:t>***</w:t>
      </w:r>
    </w:p>
    <w:p w14:paraId="5BC8466E" w14:textId="77777777" w:rsidR="00495F58" w:rsidRPr="00E2448C" w:rsidRDefault="00495F58" w:rsidP="00495F58">
      <w:pPr>
        <w:pStyle w:val="Default"/>
        <w:tabs>
          <w:tab w:val="left" w:pos="851"/>
        </w:tabs>
        <w:spacing w:before="240" w:after="120"/>
        <w:jc w:val="center"/>
        <w:rPr>
          <w:color w:val="auto"/>
        </w:rPr>
      </w:pPr>
      <w:r w:rsidRPr="00E2448C">
        <w:rPr>
          <w:color w:val="auto"/>
        </w:rPr>
        <w:t>§</w:t>
      </w:r>
      <w:r>
        <w:rPr>
          <w:color w:val="auto"/>
        </w:rPr>
        <w:t xml:space="preserve"> </w:t>
      </w:r>
      <w:r w:rsidRPr="00E2448C">
        <w:rPr>
          <w:color w:val="auto"/>
        </w:rPr>
        <w:t>18</w:t>
      </w:r>
    </w:p>
    <w:p w14:paraId="2D42DFE6" w14:textId="77777777" w:rsidR="00495F58" w:rsidRDefault="00495F58" w:rsidP="00495F58">
      <w:pPr>
        <w:pStyle w:val="PZTextodstavce"/>
        <w:spacing w:before="240"/>
      </w:pPr>
      <w:r w:rsidRPr="00E2448C">
        <w:t>(1)</w:t>
      </w:r>
      <w:r>
        <w:t xml:space="preserve"> </w:t>
      </w:r>
      <w:r w:rsidRPr="00E2448C">
        <w:t>Strany</w:t>
      </w:r>
      <w:r>
        <w:t xml:space="preserve"> </w:t>
      </w:r>
      <w:r w:rsidRPr="00E2448C">
        <w:t>a</w:t>
      </w:r>
      <w:r>
        <w:t xml:space="preserve"> </w:t>
      </w:r>
      <w:r w:rsidRPr="00E2448C">
        <w:t>hnutí</w:t>
      </w:r>
      <w:r>
        <w:t xml:space="preserve"> </w:t>
      </w:r>
      <w:r w:rsidRPr="00E2448C">
        <w:t>nesmějí</w:t>
      </w:r>
      <w:r>
        <w:t xml:space="preserve"> </w:t>
      </w:r>
      <w:r w:rsidRPr="00E2448C">
        <w:t>přijmout</w:t>
      </w:r>
      <w:r>
        <w:t xml:space="preserve"> </w:t>
      </w:r>
      <w:r w:rsidRPr="00E2448C">
        <w:t>dar</w:t>
      </w:r>
      <w:r>
        <w:t xml:space="preserve"> </w:t>
      </w:r>
      <w:r w:rsidRPr="00E2448C">
        <w:t>nebo</w:t>
      </w:r>
      <w:r>
        <w:t xml:space="preserve"> </w:t>
      </w:r>
      <w:r w:rsidRPr="00E2448C">
        <w:t>jiné</w:t>
      </w:r>
      <w:r>
        <w:t xml:space="preserve"> </w:t>
      </w:r>
      <w:r w:rsidRPr="00E2448C">
        <w:t>bezúplatné</w:t>
      </w:r>
      <w:r>
        <w:t xml:space="preserve"> </w:t>
      </w:r>
      <w:r w:rsidRPr="00E2448C">
        <w:t>plnění</w:t>
      </w:r>
    </w:p>
    <w:p w14:paraId="799450A5" w14:textId="43FE0A7B" w:rsidR="00495F58" w:rsidRDefault="00495F58" w:rsidP="00E33615">
      <w:pPr>
        <w:pStyle w:val="PZTextpsmene"/>
        <w:tabs>
          <w:tab w:val="left" w:pos="851"/>
        </w:tabs>
        <w:spacing w:before="0"/>
      </w:pPr>
      <w:r w:rsidRPr="00E2448C">
        <w:t>a)</w:t>
      </w:r>
      <w:r w:rsidR="00E33615">
        <w:tab/>
      </w:r>
      <w:r w:rsidRPr="00E2448C">
        <w:t>od</w:t>
      </w:r>
      <w:r>
        <w:t xml:space="preserve"> </w:t>
      </w:r>
      <w:r w:rsidRPr="00E2448C">
        <w:t>státu,</w:t>
      </w:r>
      <w:r>
        <w:t xml:space="preserve"> </w:t>
      </w:r>
      <w:r w:rsidRPr="00E2448C">
        <w:t>nestanoví-li</w:t>
      </w:r>
      <w:r>
        <w:t xml:space="preserve"> </w:t>
      </w:r>
      <w:r w:rsidRPr="00E2448C">
        <w:t>tento</w:t>
      </w:r>
      <w:r>
        <w:t xml:space="preserve"> </w:t>
      </w:r>
      <w:r w:rsidRPr="00E2448C">
        <w:t>zákon</w:t>
      </w:r>
      <w:r>
        <w:t xml:space="preserve"> </w:t>
      </w:r>
      <w:r w:rsidRPr="00E2448C">
        <w:t>jinak,</w:t>
      </w:r>
    </w:p>
    <w:p w14:paraId="49E6BED4" w14:textId="72FF520A" w:rsidR="00495F58" w:rsidRDefault="00495F58" w:rsidP="00E33615">
      <w:pPr>
        <w:pStyle w:val="PZTextpsmene"/>
        <w:tabs>
          <w:tab w:val="left" w:pos="851"/>
        </w:tabs>
        <w:spacing w:before="0"/>
      </w:pPr>
      <w:r w:rsidRPr="00E2448C">
        <w:t>b)</w:t>
      </w:r>
      <w:r w:rsidR="00E33615">
        <w:tab/>
      </w:r>
      <w:r w:rsidRPr="00E2448C">
        <w:t>od</w:t>
      </w:r>
      <w:r>
        <w:t xml:space="preserve"> </w:t>
      </w:r>
      <w:r w:rsidRPr="00E2448C">
        <w:t>příspěvkové</w:t>
      </w:r>
      <w:r>
        <w:t xml:space="preserve"> </w:t>
      </w:r>
      <w:r w:rsidRPr="00E2448C">
        <w:t>organizace,</w:t>
      </w:r>
    </w:p>
    <w:p w14:paraId="3433B2A4" w14:textId="25DFFFA4" w:rsidR="00495F58" w:rsidRDefault="00495F58" w:rsidP="00E33615">
      <w:pPr>
        <w:pStyle w:val="PZTextpsmene"/>
        <w:tabs>
          <w:tab w:val="left" w:pos="851"/>
        </w:tabs>
        <w:spacing w:before="0"/>
      </w:pPr>
      <w:r w:rsidRPr="00E2448C">
        <w:t>c)</w:t>
      </w:r>
      <w:r w:rsidR="00E33615">
        <w:tab/>
      </w:r>
      <w:r w:rsidRPr="00E2448C">
        <w:t>od</w:t>
      </w:r>
      <w:r>
        <w:t xml:space="preserve"> </w:t>
      </w:r>
      <w:r w:rsidRPr="00E2448C">
        <w:t>obce,</w:t>
      </w:r>
      <w:r>
        <w:t xml:space="preserve"> </w:t>
      </w:r>
      <w:r w:rsidRPr="00E2448C">
        <w:t>městské</w:t>
      </w:r>
      <w:r>
        <w:t xml:space="preserve"> </w:t>
      </w:r>
      <w:r w:rsidRPr="00E2448C">
        <w:t>části,</w:t>
      </w:r>
      <w:r>
        <w:t xml:space="preserve"> </w:t>
      </w:r>
      <w:r w:rsidRPr="00E2448C">
        <w:t>městského</w:t>
      </w:r>
      <w:r>
        <w:t xml:space="preserve"> </w:t>
      </w:r>
      <w:r w:rsidRPr="00E2448C">
        <w:t>obvodu</w:t>
      </w:r>
      <w:r>
        <w:t xml:space="preserve"> </w:t>
      </w:r>
      <w:r w:rsidRPr="00E2448C">
        <w:t>a</w:t>
      </w:r>
      <w:r>
        <w:t xml:space="preserve"> </w:t>
      </w:r>
      <w:r w:rsidRPr="00E2448C">
        <w:t>kraje,</w:t>
      </w:r>
    </w:p>
    <w:p w14:paraId="3E591F6F" w14:textId="430817CF" w:rsidR="00495F58" w:rsidRDefault="00495F58" w:rsidP="00E33615">
      <w:pPr>
        <w:pStyle w:val="PZTextpsmene"/>
        <w:tabs>
          <w:tab w:val="left" w:pos="851"/>
        </w:tabs>
        <w:spacing w:before="0"/>
      </w:pPr>
      <w:r w:rsidRPr="00E2448C">
        <w:t>d)</w:t>
      </w:r>
      <w:r w:rsidR="00E33615">
        <w:tab/>
      </w:r>
      <w:r w:rsidRPr="00E2448C">
        <w:t>od</w:t>
      </w:r>
      <w:r>
        <w:t xml:space="preserve"> </w:t>
      </w:r>
      <w:r w:rsidRPr="00E2448C">
        <w:t>dobrovolného</w:t>
      </w:r>
      <w:r>
        <w:t xml:space="preserve"> </w:t>
      </w:r>
      <w:r w:rsidRPr="00E2448C">
        <w:t>svazku</w:t>
      </w:r>
      <w:r>
        <w:t xml:space="preserve"> </w:t>
      </w:r>
      <w:r w:rsidRPr="00E2448C">
        <w:t>obcí,</w:t>
      </w:r>
    </w:p>
    <w:p w14:paraId="7C17C7B4" w14:textId="33401BFD" w:rsidR="00495F58" w:rsidRDefault="00495F58" w:rsidP="00E33615">
      <w:pPr>
        <w:pStyle w:val="PZTextpsmene"/>
        <w:tabs>
          <w:tab w:val="left" w:pos="851"/>
        </w:tabs>
        <w:spacing w:before="0"/>
      </w:pPr>
      <w:r w:rsidRPr="00E2448C">
        <w:t>e)</w:t>
      </w:r>
      <w:r w:rsidR="00E33615">
        <w:tab/>
      </w:r>
      <w:r w:rsidRPr="00E2448C">
        <w:t>od</w:t>
      </w:r>
      <w:r>
        <w:t xml:space="preserve"> </w:t>
      </w:r>
      <w:r w:rsidRPr="00E2448C">
        <w:t>státního</w:t>
      </w:r>
      <w:r>
        <w:t xml:space="preserve"> </w:t>
      </w:r>
      <w:r w:rsidRPr="00E2448C">
        <w:t>podniku</w:t>
      </w:r>
      <w:r>
        <w:t xml:space="preserve"> </w:t>
      </w:r>
      <w:r w:rsidRPr="00E2448C">
        <w:t>a</w:t>
      </w:r>
      <w:r>
        <w:t xml:space="preserve"> </w:t>
      </w:r>
      <w:r w:rsidRPr="00E2448C">
        <w:t>právnické</w:t>
      </w:r>
      <w:r>
        <w:t xml:space="preserve"> </w:t>
      </w:r>
      <w:r w:rsidRPr="00E2448C">
        <w:t>osoby</w:t>
      </w:r>
      <w:r>
        <w:t xml:space="preserve"> </w:t>
      </w:r>
      <w:r w:rsidRPr="00E2448C">
        <w:t>s</w:t>
      </w:r>
      <w:r>
        <w:t xml:space="preserve"> </w:t>
      </w:r>
      <w:r w:rsidRPr="00E2448C">
        <w:t>majetkovou</w:t>
      </w:r>
      <w:r>
        <w:t xml:space="preserve"> </w:t>
      </w:r>
      <w:r w:rsidRPr="00E2448C">
        <w:t>účastí</w:t>
      </w:r>
      <w:r>
        <w:t xml:space="preserve"> </w:t>
      </w:r>
      <w:r w:rsidRPr="00E2448C">
        <w:t>státu</w:t>
      </w:r>
      <w:r>
        <w:t xml:space="preserve"> </w:t>
      </w:r>
      <w:r w:rsidRPr="00E2448C">
        <w:t>nebo</w:t>
      </w:r>
      <w:r>
        <w:t xml:space="preserve"> </w:t>
      </w:r>
      <w:r w:rsidRPr="00E2448C">
        <w:t>státního</w:t>
      </w:r>
      <w:r>
        <w:t xml:space="preserve"> </w:t>
      </w:r>
      <w:r w:rsidRPr="00E2448C">
        <w:t>podniku,</w:t>
      </w:r>
      <w:r>
        <w:t xml:space="preserve"> </w:t>
      </w:r>
      <w:r w:rsidRPr="00E2448C">
        <w:t>jakož</w:t>
      </w:r>
      <w:r>
        <w:t xml:space="preserve"> </w:t>
      </w:r>
      <w:r w:rsidRPr="00E2448C">
        <w:t>i</w:t>
      </w:r>
      <w:r>
        <w:t xml:space="preserve"> </w:t>
      </w:r>
      <w:r w:rsidRPr="00E2448C">
        <w:t>od</w:t>
      </w:r>
      <w:r>
        <w:t xml:space="preserve"> </w:t>
      </w:r>
      <w:r w:rsidRPr="00E2448C">
        <w:t>osoby,</w:t>
      </w:r>
      <w:r>
        <w:t xml:space="preserve"> </w:t>
      </w:r>
      <w:r w:rsidRPr="00E2448C">
        <w:t>na</w:t>
      </w:r>
      <w:r>
        <w:t xml:space="preserve"> </w:t>
      </w:r>
      <w:r w:rsidRPr="00E2448C">
        <w:t>jejímž</w:t>
      </w:r>
      <w:r>
        <w:t xml:space="preserve"> </w:t>
      </w:r>
      <w:r w:rsidRPr="00E2448C">
        <w:t>řízení</w:t>
      </w:r>
      <w:r>
        <w:t xml:space="preserve"> </w:t>
      </w:r>
      <w:r w:rsidRPr="00E2448C">
        <w:t>a</w:t>
      </w:r>
      <w:r>
        <w:t xml:space="preserve"> </w:t>
      </w:r>
      <w:r w:rsidRPr="00E2448C">
        <w:t>kontrole</w:t>
      </w:r>
      <w:r>
        <w:t xml:space="preserve"> </w:t>
      </w:r>
      <w:r w:rsidRPr="00E2448C">
        <w:t>se</w:t>
      </w:r>
      <w:r>
        <w:t xml:space="preserve"> </w:t>
      </w:r>
      <w:r w:rsidRPr="00E2448C">
        <w:t>podílí</w:t>
      </w:r>
      <w:r>
        <w:t xml:space="preserve"> </w:t>
      </w:r>
      <w:r w:rsidRPr="00E2448C">
        <w:t>stát;</w:t>
      </w:r>
      <w:r>
        <w:t xml:space="preserve"> </w:t>
      </w:r>
      <w:r w:rsidRPr="00E2448C">
        <w:t>to</w:t>
      </w:r>
      <w:r>
        <w:t xml:space="preserve"> </w:t>
      </w:r>
      <w:r w:rsidRPr="00E2448C">
        <w:t>neplatí,</w:t>
      </w:r>
      <w:r>
        <w:t xml:space="preserve"> </w:t>
      </w:r>
      <w:r w:rsidRPr="00E2448C">
        <w:t>nedosahuje-li</w:t>
      </w:r>
      <w:r>
        <w:t xml:space="preserve"> </w:t>
      </w:r>
      <w:r w:rsidRPr="00E2448C">
        <w:t>majetková</w:t>
      </w:r>
      <w:r>
        <w:t xml:space="preserve"> </w:t>
      </w:r>
      <w:r w:rsidRPr="00E2448C">
        <w:t>účast</w:t>
      </w:r>
      <w:r>
        <w:t xml:space="preserve"> </w:t>
      </w:r>
      <w:r w:rsidRPr="00E2448C">
        <w:t>státu</w:t>
      </w:r>
      <w:r>
        <w:t xml:space="preserve"> </w:t>
      </w:r>
      <w:r w:rsidRPr="00E2448C">
        <w:t>nebo</w:t>
      </w:r>
      <w:r>
        <w:t xml:space="preserve"> </w:t>
      </w:r>
      <w:r w:rsidRPr="00E2448C">
        <w:t>státního</w:t>
      </w:r>
      <w:r>
        <w:t xml:space="preserve"> </w:t>
      </w:r>
      <w:r w:rsidRPr="00E2448C">
        <w:t>podniku</w:t>
      </w:r>
      <w:r>
        <w:t xml:space="preserve"> </w:t>
      </w:r>
      <w:r w:rsidRPr="00E2448C">
        <w:t>10</w:t>
      </w:r>
      <w:r>
        <w:t xml:space="preserve"> </w:t>
      </w:r>
      <w:r w:rsidRPr="00E2448C">
        <w:t>%,</w:t>
      </w:r>
    </w:p>
    <w:p w14:paraId="37553130" w14:textId="76F55E08" w:rsidR="00495F58" w:rsidRDefault="00495F58" w:rsidP="00E33615">
      <w:pPr>
        <w:pStyle w:val="PZTextpsmene"/>
        <w:tabs>
          <w:tab w:val="left" w:pos="851"/>
        </w:tabs>
        <w:spacing w:before="0"/>
      </w:pPr>
      <w:r w:rsidRPr="00E2448C">
        <w:t>f)</w:t>
      </w:r>
      <w:r w:rsidR="00E33615">
        <w:t xml:space="preserve"> </w:t>
      </w:r>
      <w:r w:rsidR="00E33615">
        <w:tab/>
      </w:r>
      <w:r w:rsidRPr="00E2448C">
        <w:t>od</w:t>
      </w:r>
      <w:r>
        <w:t xml:space="preserve"> </w:t>
      </w:r>
      <w:r w:rsidRPr="00E2448C">
        <w:t>právnické</w:t>
      </w:r>
      <w:r>
        <w:t xml:space="preserve"> </w:t>
      </w:r>
      <w:r w:rsidRPr="00E2448C">
        <w:t>osoby</w:t>
      </w:r>
      <w:r>
        <w:t xml:space="preserve"> </w:t>
      </w:r>
      <w:r w:rsidRPr="00E2448C">
        <w:t>s</w:t>
      </w:r>
      <w:r>
        <w:t xml:space="preserve"> </w:t>
      </w:r>
      <w:r w:rsidRPr="00E2448C">
        <w:t>majetkovou</w:t>
      </w:r>
      <w:r>
        <w:t xml:space="preserve"> </w:t>
      </w:r>
      <w:r w:rsidRPr="00E2448C">
        <w:t>účastí</w:t>
      </w:r>
      <w:r>
        <w:t xml:space="preserve"> </w:t>
      </w:r>
      <w:r w:rsidRPr="00E2448C">
        <w:t>kraje,</w:t>
      </w:r>
      <w:r>
        <w:t xml:space="preserve"> </w:t>
      </w:r>
      <w:r w:rsidRPr="00E2448C">
        <w:t>obce,</w:t>
      </w:r>
      <w:r>
        <w:t xml:space="preserve"> </w:t>
      </w:r>
      <w:r w:rsidRPr="00E2448C">
        <w:t>městské</w:t>
      </w:r>
      <w:r>
        <w:t xml:space="preserve"> </w:t>
      </w:r>
      <w:r w:rsidRPr="00E2448C">
        <w:t>části</w:t>
      </w:r>
      <w:r>
        <w:t xml:space="preserve"> </w:t>
      </w:r>
      <w:r w:rsidRPr="00E2448C">
        <w:t>nebo</w:t>
      </w:r>
      <w:r>
        <w:t xml:space="preserve"> </w:t>
      </w:r>
      <w:r w:rsidRPr="00E2448C">
        <w:t>městského</w:t>
      </w:r>
      <w:r>
        <w:t xml:space="preserve"> </w:t>
      </w:r>
      <w:r w:rsidRPr="00E2448C">
        <w:t>obvodu;</w:t>
      </w:r>
      <w:r>
        <w:t xml:space="preserve"> </w:t>
      </w:r>
      <w:r w:rsidRPr="00E2448C">
        <w:t>to</w:t>
      </w:r>
      <w:r>
        <w:t xml:space="preserve"> </w:t>
      </w:r>
      <w:r w:rsidRPr="00E2448C">
        <w:t>neplatí,</w:t>
      </w:r>
      <w:r>
        <w:t xml:space="preserve"> </w:t>
      </w:r>
      <w:r w:rsidRPr="00E2448C">
        <w:t>nedosahuje-li</w:t>
      </w:r>
      <w:r>
        <w:t xml:space="preserve"> </w:t>
      </w:r>
      <w:r w:rsidRPr="00E2448C">
        <w:t>majetková</w:t>
      </w:r>
      <w:r>
        <w:t xml:space="preserve"> </w:t>
      </w:r>
      <w:r w:rsidRPr="00E2448C">
        <w:t>účast</w:t>
      </w:r>
      <w:r>
        <w:t xml:space="preserve"> </w:t>
      </w:r>
      <w:r w:rsidRPr="00E2448C">
        <w:t>10</w:t>
      </w:r>
      <w:r>
        <w:t xml:space="preserve"> </w:t>
      </w:r>
      <w:r w:rsidRPr="00E2448C">
        <w:t>%,</w:t>
      </w:r>
    </w:p>
    <w:p w14:paraId="5A4CCE62" w14:textId="154FC127" w:rsidR="00495F58" w:rsidRDefault="00495F58" w:rsidP="00E33615">
      <w:pPr>
        <w:pStyle w:val="PZTextpsmene"/>
        <w:tabs>
          <w:tab w:val="left" w:pos="851"/>
        </w:tabs>
        <w:spacing w:before="0"/>
      </w:pPr>
      <w:r w:rsidRPr="00E2448C">
        <w:t>g)</w:t>
      </w:r>
      <w:r w:rsidR="00E33615">
        <w:tab/>
      </w:r>
      <w:r w:rsidRPr="00E2448C">
        <w:t>od</w:t>
      </w:r>
      <w:r>
        <w:t xml:space="preserve"> </w:t>
      </w:r>
      <w:r w:rsidRPr="00E2448C">
        <w:t>obecně</w:t>
      </w:r>
      <w:r>
        <w:t xml:space="preserve"> </w:t>
      </w:r>
      <w:r w:rsidRPr="00E2448C">
        <w:t>prospěšné</w:t>
      </w:r>
      <w:r>
        <w:t xml:space="preserve"> </w:t>
      </w:r>
      <w:r w:rsidRPr="00E2448C">
        <w:t>společnosti,</w:t>
      </w:r>
      <w:r>
        <w:t xml:space="preserve"> </w:t>
      </w:r>
      <w:r w:rsidRPr="00E2448C">
        <w:t>politického</w:t>
      </w:r>
      <w:r>
        <w:t xml:space="preserve"> </w:t>
      </w:r>
      <w:r w:rsidRPr="00E2448C">
        <w:t>institutu</w:t>
      </w:r>
      <w:r>
        <w:t xml:space="preserve"> </w:t>
      </w:r>
      <w:r w:rsidRPr="00E2448C">
        <w:t>a</w:t>
      </w:r>
      <w:r>
        <w:t xml:space="preserve"> </w:t>
      </w:r>
      <w:r w:rsidRPr="00E2448C">
        <w:t>ústavu,</w:t>
      </w:r>
    </w:p>
    <w:p w14:paraId="4F967E89" w14:textId="4E46168C" w:rsidR="00495F58" w:rsidRDefault="00495F58" w:rsidP="00E33615">
      <w:pPr>
        <w:pStyle w:val="PZTextpsmene"/>
        <w:tabs>
          <w:tab w:val="left" w:pos="851"/>
        </w:tabs>
        <w:spacing w:before="0"/>
      </w:pPr>
      <w:r w:rsidRPr="00E2448C">
        <w:t>h)</w:t>
      </w:r>
      <w:r w:rsidR="00E33615">
        <w:tab/>
      </w:r>
      <w:r w:rsidRPr="00E2448C">
        <w:t>z</w:t>
      </w:r>
      <w:r>
        <w:t xml:space="preserve"> </w:t>
      </w:r>
      <w:r w:rsidRPr="00E2448C">
        <w:t>majetku</w:t>
      </w:r>
      <w:r>
        <w:t xml:space="preserve"> </w:t>
      </w:r>
      <w:proofErr w:type="spellStart"/>
      <w:r w:rsidRPr="00E2448C">
        <w:t>svěřenského</w:t>
      </w:r>
      <w:proofErr w:type="spellEnd"/>
      <w:r>
        <w:t xml:space="preserve"> </w:t>
      </w:r>
      <w:r w:rsidRPr="00E2448C">
        <w:t>fondu,</w:t>
      </w:r>
    </w:p>
    <w:p w14:paraId="5B812E0D" w14:textId="243AD5D1" w:rsidR="00495F58" w:rsidRDefault="00495F58" w:rsidP="00E33615">
      <w:pPr>
        <w:pStyle w:val="PZTextpsmene"/>
        <w:tabs>
          <w:tab w:val="left" w:pos="851"/>
        </w:tabs>
        <w:spacing w:before="0"/>
      </w:pPr>
      <w:r w:rsidRPr="00E2448C">
        <w:t>i)</w:t>
      </w:r>
      <w:r w:rsidR="00E33615">
        <w:tab/>
      </w:r>
      <w:r w:rsidRPr="00E2448C">
        <w:t>od</w:t>
      </w:r>
      <w:r>
        <w:t xml:space="preserve"> </w:t>
      </w:r>
      <w:r w:rsidRPr="00E2448C">
        <w:t>jiné</w:t>
      </w:r>
      <w:r>
        <w:t xml:space="preserve"> </w:t>
      </w:r>
      <w:r w:rsidRPr="00E2448C">
        <w:t>právnické</w:t>
      </w:r>
      <w:r>
        <w:t xml:space="preserve"> </w:t>
      </w:r>
      <w:r w:rsidRPr="00E2448C">
        <w:t>osoby,</w:t>
      </w:r>
      <w:r>
        <w:t xml:space="preserve"> </w:t>
      </w:r>
      <w:r w:rsidRPr="00E2448C">
        <w:t>stanoví-li</w:t>
      </w:r>
      <w:r>
        <w:t xml:space="preserve"> </w:t>
      </w:r>
      <w:r w:rsidRPr="00E2448C">
        <w:t>tak</w:t>
      </w:r>
      <w:r>
        <w:t xml:space="preserve"> </w:t>
      </w:r>
      <w:r w:rsidRPr="00E2448C">
        <w:t>jiný</w:t>
      </w:r>
      <w:r>
        <w:t xml:space="preserve"> </w:t>
      </w:r>
      <w:r w:rsidRPr="00E2448C">
        <w:t>právní</w:t>
      </w:r>
      <w:r>
        <w:t xml:space="preserve"> </w:t>
      </w:r>
      <w:r w:rsidRPr="00E2448C">
        <w:t>předpis,</w:t>
      </w:r>
    </w:p>
    <w:p w14:paraId="05D0923A" w14:textId="3385DD9D" w:rsidR="00495F58" w:rsidRDefault="00495F58" w:rsidP="00E33615">
      <w:pPr>
        <w:pStyle w:val="PZTextpsmene"/>
        <w:tabs>
          <w:tab w:val="left" w:pos="851"/>
        </w:tabs>
        <w:spacing w:before="0"/>
      </w:pPr>
      <w:r w:rsidRPr="00E2448C">
        <w:t>j)</w:t>
      </w:r>
      <w:r w:rsidR="00E33615">
        <w:tab/>
      </w:r>
      <w:r w:rsidRPr="00E2448C">
        <w:t>od</w:t>
      </w:r>
      <w:r>
        <w:t xml:space="preserve"> </w:t>
      </w:r>
      <w:r w:rsidRPr="00E2448C">
        <w:t>zahraniční</w:t>
      </w:r>
      <w:r>
        <w:t xml:space="preserve"> </w:t>
      </w:r>
      <w:r w:rsidRPr="00E2448C">
        <w:t>právnické</w:t>
      </w:r>
      <w:r>
        <w:t xml:space="preserve"> </w:t>
      </w:r>
      <w:r w:rsidRPr="00E2448C">
        <w:t>osoby</w:t>
      </w:r>
      <w:r>
        <w:t xml:space="preserve"> </w:t>
      </w:r>
      <w:r w:rsidRPr="00E2448C">
        <w:t>s</w:t>
      </w:r>
      <w:r>
        <w:t xml:space="preserve"> </w:t>
      </w:r>
      <w:r w:rsidRPr="00E2448C">
        <w:t>výjimkou</w:t>
      </w:r>
      <w:r>
        <w:t xml:space="preserve"> </w:t>
      </w:r>
      <w:r w:rsidRPr="00E2448C">
        <w:t>politické</w:t>
      </w:r>
      <w:r>
        <w:t xml:space="preserve"> </w:t>
      </w:r>
      <w:r w:rsidRPr="00E2448C">
        <w:t>strany</w:t>
      </w:r>
      <w:r>
        <w:t xml:space="preserve"> </w:t>
      </w:r>
      <w:r w:rsidRPr="00E2448C">
        <w:t>a</w:t>
      </w:r>
      <w:r>
        <w:t xml:space="preserve"> </w:t>
      </w:r>
      <w:r w:rsidRPr="00E2448C">
        <w:t>fundace</w:t>
      </w:r>
      <w:r>
        <w:t xml:space="preserve"> </w:t>
      </w:r>
      <w:r w:rsidRPr="00E2448C">
        <w:t>zřízené</w:t>
      </w:r>
      <w:r>
        <w:t xml:space="preserve"> </w:t>
      </w:r>
      <w:r w:rsidRPr="00E2448C">
        <w:t>k</w:t>
      </w:r>
      <w:r>
        <w:t xml:space="preserve"> </w:t>
      </w:r>
      <w:r w:rsidRPr="00E2448C">
        <w:t>veřejně</w:t>
      </w:r>
      <w:r>
        <w:t xml:space="preserve"> </w:t>
      </w:r>
      <w:r w:rsidRPr="00E2448C">
        <w:t>prospěšné</w:t>
      </w:r>
      <w:r>
        <w:t xml:space="preserve"> </w:t>
      </w:r>
      <w:r w:rsidRPr="00E2448C">
        <w:t>činnosti,</w:t>
      </w:r>
    </w:p>
    <w:p w14:paraId="2D8664F5" w14:textId="03117B19" w:rsidR="00495F58" w:rsidRDefault="00495F58" w:rsidP="00E33615">
      <w:pPr>
        <w:pStyle w:val="PZTextpsmene"/>
        <w:tabs>
          <w:tab w:val="left" w:pos="851"/>
        </w:tabs>
        <w:spacing w:before="0"/>
      </w:pPr>
      <w:r w:rsidRPr="00E2448C">
        <w:t>k)</w:t>
      </w:r>
      <w:r w:rsidR="00E33615">
        <w:tab/>
      </w:r>
      <w:r w:rsidRPr="00E2448C">
        <w:t>od</w:t>
      </w:r>
      <w:r>
        <w:t xml:space="preserve"> </w:t>
      </w:r>
      <w:r w:rsidRPr="00E2448C">
        <w:t>fyzické</w:t>
      </w:r>
      <w:r>
        <w:t xml:space="preserve"> </w:t>
      </w:r>
      <w:r w:rsidRPr="00E2448C">
        <w:t>osoby,</w:t>
      </w:r>
      <w:r>
        <w:t xml:space="preserve"> </w:t>
      </w:r>
      <w:r w:rsidRPr="00E2448C">
        <w:t>která</w:t>
      </w:r>
      <w:r>
        <w:t xml:space="preserve"> </w:t>
      </w:r>
      <w:r w:rsidRPr="00E2448C">
        <w:t>není</w:t>
      </w:r>
      <w:r>
        <w:t xml:space="preserve"> </w:t>
      </w:r>
      <w:r w:rsidRPr="00E2448C">
        <w:t>státním</w:t>
      </w:r>
      <w:r>
        <w:t xml:space="preserve"> </w:t>
      </w:r>
      <w:r w:rsidRPr="00E2448C">
        <w:t>občanem</w:t>
      </w:r>
      <w:r>
        <w:t xml:space="preserve"> </w:t>
      </w:r>
      <w:r w:rsidRPr="00E2448C">
        <w:t>České</w:t>
      </w:r>
      <w:r>
        <w:t xml:space="preserve"> </w:t>
      </w:r>
      <w:r w:rsidRPr="00E2448C">
        <w:t>republiky;</w:t>
      </w:r>
      <w:r>
        <w:t xml:space="preserve"> </w:t>
      </w:r>
      <w:r w:rsidRPr="00E2448C">
        <w:t>to</w:t>
      </w:r>
      <w:r>
        <w:t xml:space="preserve"> </w:t>
      </w:r>
      <w:r w:rsidRPr="00E2448C">
        <w:t>neplatí,</w:t>
      </w:r>
      <w:r>
        <w:t xml:space="preserve"> </w:t>
      </w:r>
      <w:r w:rsidRPr="00E2448C">
        <w:t>jedná-li</w:t>
      </w:r>
      <w:r>
        <w:t xml:space="preserve"> </w:t>
      </w:r>
      <w:r w:rsidRPr="00E2448C">
        <w:t>se</w:t>
      </w:r>
      <w:r>
        <w:t xml:space="preserve"> </w:t>
      </w:r>
      <w:r w:rsidRPr="00E2448C">
        <w:t>o</w:t>
      </w:r>
      <w:r>
        <w:t xml:space="preserve"> </w:t>
      </w:r>
      <w:r w:rsidRPr="00E2448C">
        <w:t>osobu,</w:t>
      </w:r>
      <w:r>
        <w:t xml:space="preserve"> </w:t>
      </w:r>
      <w:r w:rsidRPr="00E2448C">
        <w:t>která</w:t>
      </w:r>
      <w:r>
        <w:t xml:space="preserve"> </w:t>
      </w:r>
      <w:r w:rsidRPr="00E2448C">
        <w:t>má</w:t>
      </w:r>
      <w:r>
        <w:t xml:space="preserve"> </w:t>
      </w:r>
      <w:r w:rsidRPr="00E2448C">
        <w:t>právo</w:t>
      </w:r>
      <w:r>
        <w:t xml:space="preserve"> </w:t>
      </w:r>
      <w:r w:rsidRPr="00E2448C">
        <w:t>volit</w:t>
      </w:r>
      <w:r>
        <w:t xml:space="preserve"> </w:t>
      </w:r>
      <w:r w:rsidRPr="00E2448C">
        <w:t>na</w:t>
      </w:r>
      <w:r>
        <w:t xml:space="preserve"> </w:t>
      </w:r>
      <w:r w:rsidRPr="00E2448C">
        <w:t>území</w:t>
      </w:r>
      <w:r>
        <w:t xml:space="preserve"> </w:t>
      </w:r>
      <w:r w:rsidRPr="00E2448C">
        <w:t>České</w:t>
      </w:r>
      <w:r>
        <w:t xml:space="preserve"> </w:t>
      </w:r>
      <w:r w:rsidRPr="00E2448C">
        <w:t>republiky</w:t>
      </w:r>
      <w:r>
        <w:t xml:space="preserve"> </w:t>
      </w:r>
      <w:r w:rsidRPr="00E2448C">
        <w:t>do</w:t>
      </w:r>
      <w:r>
        <w:t xml:space="preserve"> </w:t>
      </w:r>
      <w:r w:rsidRPr="00E2448C">
        <w:t>Evropského</w:t>
      </w:r>
      <w:r>
        <w:t xml:space="preserve"> </w:t>
      </w:r>
      <w:r w:rsidRPr="00E2448C">
        <w:t>parlamentu.</w:t>
      </w:r>
    </w:p>
    <w:p w14:paraId="17DBD316" w14:textId="77777777" w:rsidR="00495F58" w:rsidRDefault="00495F58" w:rsidP="00A06781">
      <w:pPr>
        <w:pStyle w:val="PZTextodstavce"/>
      </w:pPr>
      <w:r w:rsidRPr="00E2448C">
        <w:lastRenderedPageBreak/>
        <w:t>(2)</w:t>
      </w:r>
      <w:r>
        <w:t xml:space="preserve"> </w:t>
      </w:r>
      <w:r w:rsidRPr="00E2448C">
        <w:t>Strany</w:t>
      </w:r>
      <w:r>
        <w:t xml:space="preserve"> </w:t>
      </w:r>
      <w:r w:rsidRPr="00E2448C">
        <w:t>a</w:t>
      </w:r>
      <w:r>
        <w:t xml:space="preserve"> </w:t>
      </w:r>
      <w:r w:rsidRPr="00E2448C">
        <w:t>hnutí</w:t>
      </w:r>
      <w:r>
        <w:t xml:space="preserve"> </w:t>
      </w:r>
      <w:r w:rsidRPr="00E2448C">
        <w:t>nesmějí</w:t>
      </w:r>
      <w:r>
        <w:t xml:space="preserve"> </w:t>
      </w:r>
      <w:r w:rsidRPr="00E2448C">
        <w:t>přijmout</w:t>
      </w:r>
      <w:r>
        <w:t xml:space="preserve"> </w:t>
      </w:r>
      <w:r w:rsidRPr="00E2448C">
        <w:t>dar</w:t>
      </w:r>
      <w:r>
        <w:t xml:space="preserve"> </w:t>
      </w:r>
      <w:r w:rsidRPr="00E2448C">
        <w:t>nebo</w:t>
      </w:r>
      <w:r>
        <w:t xml:space="preserve"> </w:t>
      </w:r>
      <w:r w:rsidRPr="00E2448C">
        <w:t>jiné</w:t>
      </w:r>
      <w:r>
        <w:t xml:space="preserve"> </w:t>
      </w:r>
      <w:r w:rsidRPr="00E2448C">
        <w:t>bezúplatné</w:t>
      </w:r>
      <w:r>
        <w:t xml:space="preserve"> </w:t>
      </w:r>
      <w:r w:rsidRPr="00E2448C">
        <w:t>plnění,</w:t>
      </w:r>
      <w:r>
        <w:t xml:space="preserve"> </w:t>
      </w:r>
      <w:r w:rsidRPr="00E2448C">
        <w:t>pokud</w:t>
      </w:r>
      <w:r>
        <w:t xml:space="preserve"> </w:t>
      </w:r>
      <w:r w:rsidRPr="00E2448C">
        <w:t>by</w:t>
      </w:r>
      <w:r>
        <w:t xml:space="preserve"> </w:t>
      </w:r>
      <w:r w:rsidRPr="00E2448C">
        <w:t>součet</w:t>
      </w:r>
      <w:r>
        <w:t xml:space="preserve"> </w:t>
      </w:r>
      <w:r w:rsidRPr="00E2448C">
        <w:t>všech</w:t>
      </w:r>
      <w:r>
        <w:t xml:space="preserve"> </w:t>
      </w:r>
      <w:r w:rsidRPr="00E2448C">
        <w:t>peněžitých</w:t>
      </w:r>
      <w:r>
        <w:t xml:space="preserve"> </w:t>
      </w:r>
      <w:r w:rsidRPr="00E2448C">
        <w:t>darů,</w:t>
      </w:r>
      <w:r>
        <w:t xml:space="preserve"> </w:t>
      </w:r>
      <w:r w:rsidRPr="00E2448C">
        <w:t>popřípadě</w:t>
      </w:r>
      <w:r>
        <w:t xml:space="preserve"> </w:t>
      </w:r>
      <w:r w:rsidRPr="00E2448C">
        <w:t>peněžních</w:t>
      </w:r>
      <w:r>
        <w:t xml:space="preserve"> </w:t>
      </w:r>
      <w:r w:rsidRPr="00E2448C">
        <w:t>částek</w:t>
      </w:r>
      <w:r>
        <w:t xml:space="preserve"> </w:t>
      </w:r>
      <w:r w:rsidRPr="00E2448C">
        <w:t>odpovídajících</w:t>
      </w:r>
      <w:r>
        <w:t xml:space="preserve"> </w:t>
      </w:r>
      <w:r w:rsidRPr="00E2448C">
        <w:t>obvyklé</w:t>
      </w:r>
      <w:r>
        <w:t xml:space="preserve"> </w:t>
      </w:r>
      <w:r w:rsidRPr="00E2448C">
        <w:rPr>
          <w:strike/>
        </w:rPr>
        <w:t>ceně</w:t>
      </w:r>
      <w:r w:rsidRPr="00E2448C">
        <w:rPr>
          <w:rStyle w:val="Znakapoznpodarou"/>
          <w:strike/>
        </w:rPr>
        <w:footnoteReference w:customMarkFollows="1" w:id="19"/>
        <w:t>7)</w:t>
      </w:r>
      <w:r>
        <w:t xml:space="preserve"> </w:t>
      </w:r>
      <w:r w:rsidRPr="00E2448C">
        <w:rPr>
          <w:b/>
          <w:bCs/>
        </w:rPr>
        <w:t>hodnotě</w:t>
      </w:r>
      <w:r>
        <w:rPr>
          <w:b/>
          <w:bCs/>
        </w:rPr>
        <w:t xml:space="preserve"> </w:t>
      </w:r>
      <w:r w:rsidRPr="00E2448C">
        <w:t>daru</w:t>
      </w:r>
      <w:r>
        <w:t xml:space="preserve"> </w:t>
      </w:r>
      <w:r w:rsidRPr="00E2448C">
        <w:t>nebo</w:t>
      </w:r>
      <w:r>
        <w:t xml:space="preserve"> </w:t>
      </w:r>
      <w:r w:rsidRPr="00E2448C">
        <w:t>jiného</w:t>
      </w:r>
      <w:r>
        <w:t xml:space="preserve"> </w:t>
      </w:r>
      <w:r w:rsidRPr="00E2448C">
        <w:t>bezúplatného</w:t>
      </w:r>
      <w:r>
        <w:t xml:space="preserve"> </w:t>
      </w:r>
      <w:r w:rsidRPr="00E2448C">
        <w:t>plnění</w:t>
      </w:r>
      <w:r>
        <w:t xml:space="preserve"> </w:t>
      </w:r>
      <w:r w:rsidRPr="00E2448C">
        <w:rPr>
          <w:b/>
          <w:bCs/>
        </w:rPr>
        <w:t>určené</w:t>
      </w:r>
      <w:r>
        <w:rPr>
          <w:b/>
          <w:bCs/>
        </w:rPr>
        <w:t xml:space="preserve"> </w:t>
      </w:r>
      <w:r w:rsidRPr="00E2448C">
        <w:rPr>
          <w:b/>
          <w:bCs/>
        </w:rPr>
        <w:t>podle</w:t>
      </w:r>
      <w:r>
        <w:rPr>
          <w:b/>
          <w:bCs/>
        </w:rPr>
        <w:t xml:space="preserve"> </w:t>
      </w:r>
      <w:r w:rsidRPr="00E2448C">
        <w:rPr>
          <w:b/>
          <w:bCs/>
        </w:rPr>
        <w:t>zákona</w:t>
      </w:r>
      <w:r>
        <w:rPr>
          <w:b/>
          <w:bCs/>
        </w:rPr>
        <w:t xml:space="preserve"> </w:t>
      </w:r>
      <w:r w:rsidRPr="00E2448C">
        <w:rPr>
          <w:b/>
          <w:bCs/>
        </w:rPr>
        <w:t>o</w:t>
      </w:r>
      <w:r>
        <w:rPr>
          <w:b/>
          <w:bCs/>
        </w:rPr>
        <w:t xml:space="preserve"> </w:t>
      </w:r>
      <w:r w:rsidRPr="00E2448C">
        <w:rPr>
          <w:b/>
          <w:bCs/>
        </w:rPr>
        <w:t>oceňování</w:t>
      </w:r>
      <w:r>
        <w:rPr>
          <w:b/>
          <w:bCs/>
        </w:rPr>
        <w:t xml:space="preserve"> </w:t>
      </w:r>
      <w:r w:rsidRPr="00E2448C">
        <w:t>přijatých</w:t>
      </w:r>
      <w:r>
        <w:t xml:space="preserve"> </w:t>
      </w:r>
      <w:r w:rsidRPr="00E2448C">
        <w:t>od</w:t>
      </w:r>
      <w:r>
        <w:t xml:space="preserve"> </w:t>
      </w:r>
      <w:r w:rsidRPr="00E2448C">
        <w:t>jedné</w:t>
      </w:r>
      <w:r>
        <w:t xml:space="preserve"> </w:t>
      </w:r>
      <w:r w:rsidRPr="00E2448C">
        <w:t>a</w:t>
      </w:r>
      <w:r>
        <w:t xml:space="preserve"> </w:t>
      </w:r>
      <w:r w:rsidRPr="00E2448C">
        <w:t>téže</w:t>
      </w:r>
      <w:r>
        <w:t xml:space="preserve"> </w:t>
      </w:r>
      <w:r w:rsidRPr="00E2448C">
        <w:t>osoby</w:t>
      </w:r>
      <w:r>
        <w:t xml:space="preserve"> </w:t>
      </w:r>
      <w:r w:rsidRPr="00E2448C">
        <w:t>přesáhl</w:t>
      </w:r>
      <w:r>
        <w:t xml:space="preserve"> </w:t>
      </w:r>
      <w:r w:rsidRPr="00E2448C">
        <w:t>v</w:t>
      </w:r>
      <w:r>
        <w:t xml:space="preserve"> </w:t>
      </w:r>
      <w:r w:rsidRPr="00E2448C">
        <w:t>jednom</w:t>
      </w:r>
      <w:r>
        <w:t xml:space="preserve"> </w:t>
      </w:r>
      <w:r w:rsidRPr="00E2448C">
        <w:t>kalendářním</w:t>
      </w:r>
      <w:r>
        <w:t xml:space="preserve"> </w:t>
      </w:r>
      <w:r w:rsidRPr="00E2448C">
        <w:t>roce</w:t>
      </w:r>
      <w:r>
        <w:t xml:space="preserve"> </w:t>
      </w:r>
      <w:r w:rsidRPr="00E2448C">
        <w:t>částku</w:t>
      </w:r>
      <w:r>
        <w:t xml:space="preserve"> </w:t>
      </w:r>
      <w:r w:rsidRPr="00E2448C">
        <w:t>3</w:t>
      </w:r>
      <w:r>
        <w:t xml:space="preserve"> </w:t>
      </w:r>
      <w:r w:rsidRPr="00E2448C">
        <w:t>000</w:t>
      </w:r>
      <w:r>
        <w:t xml:space="preserve"> </w:t>
      </w:r>
      <w:r w:rsidRPr="00E2448C">
        <w:t>000</w:t>
      </w:r>
      <w:r>
        <w:t xml:space="preserve"> </w:t>
      </w:r>
      <w:r w:rsidRPr="00E2448C">
        <w:t>Kč.</w:t>
      </w:r>
      <w:r>
        <w:t xml:space="preserve"> </w:t>
      </w:r>
      <w:r w:rsidRPr="00E2448C">
        <w:t>Za</w:t>
      </w:r>
      <w:r>
        <w:t xml:space="preserve"> </w:t>
      </w:r>
      <w:r w:rsidRPr="00E2448C">
        <w:t>jednu</w:t>
      </w:r>
      <w:r>
        <w:t xml:space="preserve"> </w:t>
      </w:r>
      <w:r w:rsidRPr="00E2448C">
        <w:t>a</w:t>
      </w:r>
      <w:r>
        <w:t xml:space="preserve"> </w:t>
      </w:r>
      <w:r w:rsidRPr="00E2448C">
        <w:t>tutéž</w:t>
      </w:r>
      <w:r>
        <w:t xml:space="preserve"> </w:t>
      </w:r>
      <w:r w:rsidRPr="00E2448C">
        <w:t>osobu</w:t>
      </w:r>
      <w:r>
        <w:t xml:space="preserve"> </w:t>
      </w:r>
      <w:r w:rsidRPr="00E2448C">
        <w:t>se</w:t>
      </w:r>
      <w:r>
        <w:t xml:space="preserve"> </w:t>
      </w:r>
      <w:r w:rsidRPr="00E2448C">
        <w:t>považuje</w:t>
      </w:r>
      <w:r>
        <w:t xml:space="preserve"> </w:t>
      </w:r>
      <w:r w:rsidRPr="00E2448C">
        <w:t>i</w:t>
      </w:r>
      <w:r>
        <w:t xml:space="preserve"> </w:t>
      </w:r>
      <w:r w:rsidRPr="00E2448C">
        <w:t>právnická</w:t>
      </w:r>
      <w:r>
        <w:t xml:space="preserve"> </w:t>
      </w:r>
      <w:r w:rsidRPr="00E2448C">
        <w:t>osoba,</w:t>
      </w:r>
      <w:r>
        <w:t xml:space="preserve"> </w:t>
      </w:r>
      <w:r w:rsidRPr="00E2448C">
        <w:t>která</w:t>
      </w:r>
      <w:r>
        <w:t xml:space="preserve"> </w:t>
      </w:r>
      <w:r w:rsidRPr="00E2448C">
        <w:t>je</w:t>
      </w:r>
      <w:r>
        <w:t xml:space="preserve"> </w:t>
      </w:r>
      <w:r w:rsidRPr="00E2448C">
        <w:t>ve</w:t>
      </w:r>
      <w:r>
        <w:t xml:space="preserve"> </w:t>
      </w:r>
      <w:r w:rsidRPr="00E2448C">
        <w:t>vztahu</w:t>
      </w:r>
      <w:r>
        <w:t xml:space="preserve"> </w:t>
      </w:r>
      <w:r w:rsidRPr="00E2448C">
        <w:t>k</w:t>
      </w:r>
      <w:r>
        <w:t xml:space="preserve"> </w:t>
      </w:r>
      <w:r w:rsidRPr="00E2448C">
        <w:t>osobě</w:t>
      </w:r>
      <w:r>
        <w:t xml:space="preserve"> </w:t>
      </w:r>
      <w:r w:rsidRPr="00E2448C">
        <w:t>podle</w:t>
      </w:r>
      <w:r>
        <w:t xml:space="preserve"> </w:t>
      </w:r>
      <w:r w:rsidRPr="00E2448C">
        <w:t>věty</w:t>
      </w:r>
      <w:r>
        <w:t xml:space="preserve"> </w:t>
      </w:r>
      <w:r w:rsidRPr="00E2448C">
        <w:t>první</w:t>
      </w:r>
      <w:r>
        <w:t xml:space="preserve"> </w:t>
      </w:r>
      <w:r w:rsidRPr="00E2448C">
        <w:t>osobou</w:t>
      </w:r>
      <w:r>
        <w:t xml:space="preserve"> </w:t>
      </w:r>
      <w:r w:rsidRPr="00E2448C">
        <w:t>ovládající</w:t>
      </w:r>
      <w:r>
        <w:t xml:space="preserve"> </w:t>
      </w:r>
      <w:r w:rsidRPr="00E2448C">
        <w:t>nebo</w:t>
      </w:r>
      <w:r>
        <w:t xml:space="preserve"> </w:t>
      </w:r>
      <w:r w:rsidRPr="00E2448C">
        <w:t>ovládanou.</w:t>
      </w:r>
      <w:r>
        <w:t xml:space="preserve"> </w:t>
      </w:r>
      <w:r w:rsidRPr="00E2448C">
        <w:t>Je-li</w:t>
      </w:r>
      <w:r>
        <w:t xml:space="preserve"> </w:t>
      </w:r>
      <w:r w:rsidRPr="00E2448C">
        <w:t>dárce</w:t>
      </w:r>
      <w:r>
        <w:t xml:space="preserve"> </w:t>
      </w:r>
      <w:r w:rsidRPr="00E2448C">
        <w:t>nebo</w:t>
      </w:r>
      <w:r>
        <w:t xml:space="preserve"> </w:t>
      </w:r>
      <w:r w:rsidRPr="00E2448C">
        <w:t>poskytovatel</w:t>
      </w:r>
      <w:r>
        <w:t xml:space="preserve"> </w:t>
      </w:r>
      <w:r w:rsidRPr="00E2448C">
        <w:t>jiného</w:t>
      </w:r>
      <w:r>
        <w:t xml:space="preserve"> </w:t>
      </w:r>
      <w:r w:rsidRPr="00E2448C">
        <w:t>bezúplatného</w:t>
      </w:r>
      <w:r>
        <w:t xml:space="preserve"> </w:t>
      </w:r>
      <w:r w:rsidRPr="00E2448C">
        <w:t>plnění</w:t>
      </w:r>
      <w:r>
        <w:t xml:space="preserve"> </w:t>
      </w:r>
      <w:r w:rsidRPr="00E2448C">
        <w:t>členem</w:t>
      </w:r>
      <w:r>
        <w:t xml:space="preserve"> </w:t>
      </w:r>
      <w:r w:rsidRPr="00E2448C">
        <w:t>strany</w:t>
      </w:r>
      <w:r>
        <w:t xml:space="preserve"> </w:t>
      </w:r>
      <w:r w:rsidRPr="00E2448C">
        <w:t>nebo</w:t>
      </w:r>
      <w:r>
        <w:t xml:space="preserve"> </w:t>
      </w:r>
      <w:r w:rsidRPr="00E2448C">
        <w:t>hnutí,</w:t>
      </w:r>
      <w:r>
        <w:t xml:space="preserve"> </w:t>
      </w:r>
      <w:r w:rsidRPr="00E2448C">
        <w:t>považuje</w:t>
      </w:r>
      <w:r>
        <w:t xml:space="preserve"> </w:t>
      </w:r>
      <w:r w:rsidRPr="00E2448C">
        <w:t>se</w:t>
      </w:r>
      <w:r>
        <w:t xml:space="preserve"> </w:t>
      </w:r>
      <w:r w:rsidRPr="00E2448C">
        <w:t>za</w:t>
      </w:r>
      <w:r>
        <w:t xml:space="preserve"> </w:t>
      </w:r>
      <w:r w:rsidRPr="00E2448C">
        <w:t>dar</w:t>
      </w:r>
      <w:r>
        <w:t xml:space="preserve"> </w:t>
      </w:r>
      <w:r w:rsidRPr="00E2448C">
        <w:t>nebo</w:t>
      </w:r>
      <w:r>
        <w:t xml:space="preserve"> </w:t>
      </w:r>
      <w:r w:rsidRPr="00E2448C">
        <w:t>jiné</w:t>
      </w:r>
      <w:r>
        <w:t xml:space="preserve"> </w:t>
      </w:r>
      <w:r w:rsidRPr="00E2448C">
        <w:t>bezúplatné</w:t>
      </w:r>
      <w:r>
        <w:t xml:space="preserve"> </w:t>
      </w:r>
      <w:r w:rsidRPr="00E2448C">
        <w:t>plnění</w:t>
      </w:r>
      <w:r>
        <w:t xml:space="preserve"> </w:t>
      </w:r>
      <w:r w:rsidRPr="00E2448C">
        <w:t>i</w:t>
      </w:r>
      <w:r>
        <w:t xml:space="preserve"> </w:t>
      </w:r>
      <w:r w:rsidRPr="00E2448C">
        <w:t>členský</w:t>
      </w:r>
      <w:r>
        <w:t xml:space="preserve"> </w:t>
      </w:r>
      <w:r w:rsidRPr="00E2448C">
        <w:t>příspěvek</w:t>
      </w:r>
      <w:r>
        <w:t xml:space="preserve"> </w:t>
      </w:r>
      <w:r w:rsidRPr="00E2448C">
        <w:t>v</w:t>
      </w:r>
      <w:r>
        <w:t xml:space="preserve"> </w:t>
      </w:r>
      <w:r w:rsidRPr="00E2448C">
        <w:t>částce</w:t>
      </w:r>
      <w:r>
        <w:t xml:space="preserve"> </w:t>
      </w:r>
      <w:r w:rsidRPr="00E2448C">
        <w:t>přesahující</w:t>
      </w:r>
      <w:r>
        <w:t xml:space="preserve"> </w:t>
      </w:r>
      <w:r w:rsidRPr="00E2448C">
        <w:t>výši</w:t>
      </w:r>
      <w:r>
        <w:t xml:space="preserve"> </w:t>
      </w:r>
      <w:r w:rsidRPr="00E2448C">
        <w:t>50</w:t>
      </w:r>
      <w:r>
        <w:t xml:space="preserve"> </w:t>
      </w:r>
      <w:r w:rsidRPr="00E2448C">
        <w:t>000</w:t>
      </w:r>
      <w:r>
        <w:t xml:space="preserve"> </w:t>
      </w:r>
      <w:r w:rsidRPr="00E2448C">
        <w:t>Kč.</w:t>
      </w:r>
    </w:p>
    <w:p w14:paraId="673DC2CA" w14:textId="77777777" w:rsidR="00495F58" w:rsidRDefault="00495F58" w:rsidP="00A06781">
      <w:pPr>
        <w:pStyle w:val="PZTextodstavce"/>
      </w:pPr>
      <w:r w:rsidRPr="00E2448C">
        <w:t>(3)</w:t>
      </w:r>
      <w:r>
        <w:t xml:space="preserve"> </w:t>
      </w:r>
      <w:r w:rsidRPr="00E2448C">
        <w:t>Získají-li</w:t>
      </w:r>
      <w:r>
        <w:t xml:space="preserve"> </w:t>
      </w:r>
      <w:r w:rsidRPr="00E2448C">
        <w:t>strany</w:t>
      </w:r>
      <w:r>
        <w:t xml:space="preserve"> </w:t>
      </w:r>
      <w:r w:rsidRPr="00E2448C">
        <w:t>a</w:t>
      </w:r>
      <w:r>
        <w:t xml:space="preserve"> </w:t>
      </w:r>
      <w:r w:rsidRPr="00E2448C">
        <w:t>hnutí</w:t>
      </w:r>
      <w:r>
        <w:t xml:space="preserve"> </w:t>
      </w:r>
      <w:r w:rsidRPr="00E2448C">
        <w:t>dar</w:t>
      </w:r>
      <w:r>
        <w:t xml:space="preserve"> </w:t>
      </w:r>
      <w:r w:rsidRPr="00E2448C">
        <w:t>nebo</w:t>
      </w:r>
      <w:r>
        <w:t xml:space="preserve"> </w:t>
      </w:r>
      <w:r w:rsidRPr="00E2448C">
        <w:t>jiné</w:t>
      </w:r>
      <w:r>
        <w:t xml:space="preserve"> </w:t>
      </w:r>
      <w:r w:rsidRPr="00E2448C">
        <w:t>bezúplatné</w:t>
      </w:r>
      <w:r>
        <w:t xml:space="preserve"> </w:t>
      </w:r>
      <w:r w:rsidRPr="00E2448C">
        <w:t>plnění</w:t>
      </w:r>
      <w:r>
        <w:t xml:space="preserve"> </w:t>
      </w:r>
      <w:r w:rsidRPr="00E2448C">
        <w:t>v</w:t>
      </w:r>
      <w:r>
        <w:t xml:space="preserve"> </w:t>
      </w:r>
      <w:r w:rsidRPr="00E2448C">
        <w:t>rozporu</w:t>
      </w:r>
      <w:r>
        <w:t xml:space="preserve"> </w:t>
      </w:r>
      <w:r w:rsidRPr="00E2448C">
        <w:t>s</w:t>
      </w:r>
      <w:r>
        <w:t xml:space="preserve"> </w:t>
      </w:r>
      <w:r w:rsidRPr="00E2448C">
        <w:t>tímto</w:t>
      </w:r>
      <w:r>
        <w:t xml:space="preserve"> </w:t>
      </w:r>
      <w:r w:rsidRPr="00E2448C">
        <w:t>zákonem,</w:t>
      </w:r>
      <w:r>
        <w:t xml:space="preserve"> </w:t>
      </w:r>
      <w:r w:rsidRPr="00E2448C">
        <w:t>jsou</w:t>
      </w:r>
      <w:r>
        <w:t xml:space="preserve"> </w:t>
      </w:r>
      <w:r w:rsidRPr="00E2448C">
        <w:t>povinny</w:t>
      </w:r>
      <w:r>
        <w:t xml:space="preserve"> </w:t>
      </w:r>
      <w:r w:rsidRPr="00E2448C">
        <w:t>vrátit</w:t>
      </w:r>
      <w:r>
        <w:t xml:space="preserve"> </w:t>
      </w:r>
      <w:r w:rsidRPr="00E2448C">
        <w:t>jej</w:t>
      </w:r>
      <w:r>
        <w:t xml:space="preserve"> </w:t>
      </w:r>
      <w:r w:rsidRPr="00E2448C">
        <w:t>dárci,</w:t>
      </w:r>
      <w:r>
        <w:t xml:space="preserve"> </w:t>
      </w:r>
      <w:r w:rsidRPr="00E2448C">
        <w:t>a</w:t>
      </w:r>
      <w:r>
        <w:t xml:space="preserve"> </w:t>
      </w:r>
      <w:r w:rsidRPr="00E2448C">
        <w:t>to</w:t>
      </w:r>
      <w:r>
        <w:t xml:space="preserve"> </w:t>
      </w:r>
      <w:r w:rsidRPr="00E2448C">
        <w:t>nejpozději</w:t>
      </w:r>
      <w:r>
        <w:t xml:space="preserve"> </w:t>
      </w:r>
      <w:r w:rsidRPr="00E2448C">
        <w:t>do</w:t>
      </w:r>
      <w:r>
        <w:t xml:space="preserve"> </w:t>
      </w:r>
      <w:r w:rsidRPr="00E2448C">
        <w:t>1.</w:t>
      </w:r>
      <w:r>
        <w:t xml:space="preserve"> </w:t>
      </w:r>
      <w:r w:rsidRPr="00E2448C">
        <w:t>dubna</w:t>
      </w:r>
      <w:r>
        <w:t xml:space="preserve"> </w:t>
      </w:r>
      <w:r w:rsidRPr="00E2448C">
        <w:t>roku</w:t>
      </w:r>
      <w:r>
        <w:t xml:space="preserve"> </w:t>
      </w:r>
      <w:r w:rsidRPr="00E2448C">
        <w:t>následujícího</w:t>
      </w:r>
      <w:r>
        <w:t xml:space="preserve"> </w:t>
      </w:r>
      <w:r w:rsidRPr="00E2448C">
        <w:t>po</w:t>
      </w:r>
      <w:r>
        <w:t xml:space="preserve"> </w:t>
      </w:r>
      <w:r w:rsidRPr="00E2448C">
        <w:t>roce,</w:t>
      </w:r>
      <w:r>
        <w:t xml:space="preserve"> </w:t>
      </w:r>
      <w:r w:rsidRPr="00E2448C">
        <w:t>ve</w:t>
      </w:r>
      <w:r>
        <w:t xml:space="preserve"> </w:t>
      </w:r>
      <w:r w:rsidRPr="00E2448C">
        <w:t>kterém</w:t>
      </w:r>
      <w:r>
        <w:t xml:space="preserve"> </w:t>
      </w:r>
      <w:r w:rsidRPr="00E2448C">
        <w:t>jej</w:t>
      </w:r>
      <w:r>
        <w:t xml:space="preserve"> </w:t>
      </w:r>
      <w:r w:rsidRPr="00E2448C">
        <w:t>získaly.</w:t>
      </w:r>
      <w:r>
        <w:t xml:space="preserve"> </w:t>
      </w:r>
      <w:r w:rsidRPr="00E2448C">
        <w:t>Není-li</w:t>
      </w:r>
      <w:r>
        <w:t xml:space="preserve"> </w:t>
      </w:r>
      <w:r w:rsidRPr="00E2448C">
        <w:t>vrácení</w:t>
      </w:r>
      <w:r>
        <w:t xml:space="preserve"> </w:t>
      </w:r>
      <w:r w:rsidRPr="00E2448C">
        <w:t>možné,</w:t>
      </w:r>
      <w:r>
        <w:t xml:space="preserve"> </w:t>
      </w:r>
      <w:r w:rsidRPr="00E2448C">
        <w:t>odvedou</w:t>
      </w:r>
      <w:r>
        <w:t xml:space="preserve"> </w:t>
      </w:r>
      <w:r w:rsidRPr="00E2448C">
        <w:t>v</w:t>
      </w:r>
      <w:r>
        <w:t xml:space="preserve"> </w:t>
      </w:r>
      <w:r w:rsidRPr="00E2448C">
        <w:t>téže</w:t>
      </w:r>
      <w:r>
        <w:t xml:space="preserve"> </w:t>
      </w:r>
      <w:r w:rsidRPr="00E2448C">
        <w:t>lhůtě</w:t>
      </w:r>
      <w:r>
        <w:t xml:space="preserve"> </w:t>
      </w:r>
      <w:r w:rsidRPr="00E2448C">
        <w:t>peněžní</w:t>
      </w:r>
      <w:r>
        <w:t xml:space="preserve"> </w:t>
      </w:r>
      <w:r w:rsidRPr="00E2448C">
        <w:t>částku</w:t>
      </w:r>
      <w:r>
        <w:t xml:space="preserve"> </w:t>
      </w:r>
      <w:r w:rsidRPr="00E2448C">
        <w:t>odpovídající</w:t>
      </w:r>
      <w:r>
        <w:t xml:space="preserve"> </w:t>
      </w:r>
      <w:r w:rsidRPr="00E2448C">
        <w:t>peněžitému</w:t>
      </w:r>
      <w:r>
        <w:t xml:space="preserve"> </w:t>
      </w:r>
      <w:r w:rsidRPr="00E2448C">
        <w:t>daru</w:t>
      </w:r>
      <w:r>
        <w:t xml:space="preserve"> </w:t>
      </w:r>
      <w:r w:rsidRPr="00E2448C">
        <w:t>nebo</w:t>
      </w:r>
      <w:r>
        <w:t xml:space="preserve"> </w:t>
      </w:r>
      <w:r w:rsidRPr="00E2448C">
        <w:t>jinému</w:t>
      </w:r>
      <w:r>
        <w:t xml:space="preserve"> </w:t>
      </w:r>
      <w:r w:rsidRPr="00E2448C">
        <w:t>bezúplatnému</w:t>
      </w:r>
      <w:r>
        <w:t xml:space="preserve"> </w:t>
      </w:r>
      <w:r w:rsidRPr="00E2448C">
        <w:t>plnění</w:t>
      </w:r>
      <w:r>
        <w:t xml:space="preserve"> </w:t>
      </w:r>
      <w:r w:rsidRPr="00E2448C">
        <w:t>nebo</w:t>
      </w:r>
      <w:r>
        <w:t xml:space="preserve"> </w:t>
      </w:r>
      <w:r w:rsidRPr="00E2448C">
        <w:t>obvyklé</w:t>
      </w:r>
      <w:r>
        <w:t xml:space="preserve"> </w:t>
      </w:r>
      <w:r w:rsidRPr="00E2448C">
        <w:rPr>
          <w:strike/>
        </w:rPr>
        <w:t>ceně</w:t>
      </w:r>
      <w:r w:rsidRPr="00E2448C">
        <w:rPr>
          <w:strike/>
          <w:vertAlign w:val="superscript"/>
        </w:rPr>
        <w:t>7)</w:t>
      </w:r>
      <w:r>
        <w:t xml:space="preserve"> </w:t>
      </w:r>
      <w:r w:rsidRPr="00E2448C">
        <w:rPr>
          <w:b/>
          <w:bCs/>
        </w:rPr>
        <w:t>hodnotě</w:t>
      </w:r>
      <w:r>
        <w:rPr>
          <w:b/>
          <w:bCs/>
        </w:rPr>
        <w:t xml:space="preserve"> </w:t>
      </w:r>
      <w:r w:rsidRPr="00E2448C">
        <w:t>věcného</w:t>
      </w:r>
      <w:r>
        <w:t xml:space="preserve"> </w:t>
      </w:r>
      <w:r w:rsidRPr="00E2448C">
        <w:t>daru</w:t>
      </w:r>
      <w:r>
        <w:t xml:space="preserve"> </w:t>
      </w:r>
      <w:r w:rsidRPr="00E2448C">
        <w:t>nebo</w:t>
      </w:r>
      <w:r>
        <w:t xml:space="preserve"> </w:t>
      </w:r>
      <w:r w:rsidRPr="00E2448C">
        <w:t>jiného</w:t>
      </w:r>
      <w:r>
        <w:t xml:space="preserve"> </w:t>
      </w:r>
      <w:r w:rsidRPr="00E2448C">
        <w:t>bezúplatného</w:t>
      </w:r>
      <w:r>
        <w:t xml:space="preserve"> </w:t>
      </w:r>
      <w:r w:rsidRPr="00E2448C">
        <w:t>plnění</w:t>
      </w:r>
      <w:r>
        <w:t xml:space="preserve"> </w:t>
      </w:r>
      <w:r w:rsidRPr="00E2448C">
        <w:rPr>
          <w:b/>
          <w:bCs/>
        </w:rPr>
        <w:t>určené</w:t>
      </w:r>
      <w:r>
        <w:rPr>
          <w:b/>
          <w:bCs/>
        </w:rPr>
        <w:t xml:space="preserve"> </w:t>
      </w:r>
      <w:r w:rsidRPr="00E2448C">
        <w:rPr>
          <w:b/>
          <w:bCs/>
        </w:rPr>
        <w:t>podle</w:t>
      </w:r>
      <w:r>
        <w:rPr>
          <w:b/>
          <w:bCs/>
        </w:rPr>
        <w:t xml:space="preserve"> </w:t>
      </w:r>
      <w:r w:rsidRPr="00E2448C">
        <w:rPr>
          <w:b/>
          <w:bCs/>
        </w:rPr>
        <w:t>zákona</w:t>
      </w:r>
      <w:r>
        <w:rPr>
          <w:b/>
          <w:bCs/>
        </w:rPr>
        <w:t xml:space="preserve"> </w:t>
      </w:r>
      <w:r w:rsidRPr="00E2448C">
        <w:rPr>
          <w:b/>
          <w:bCs/>
        </w:rPr>
        <w:t>o</w:t>
      </w:r>
      <w:r>
        <w:rPr>
          <w:b/>
          <w:bCs/>
        </w:rPr>
        <w:t xml:space="preserve"> </w:t>
      </w:r>
      <w:r w:rsidRPr="00E2448C">
        <w:rPr>
          <w:b/>
          <w:bCs/>
        </w:rPr>
        <w:t>oceňování</w:t>
      </w:r>
      <w:r>
        <w:rPr>
          <w:b/>
          <w:bCs/>
        </w:rPr>
        <w:t xml:space="preserve"> </w:t>
      </w:r>
      <w:r w:rsidRPr="00E2448C">
        <w:t>do</w:t>
      </w:r>
      <w:r>
        <w:t xml:space="preserve"> </w:t>
      </w:r>
      <w:r w:rsidRPr="00E2448C">
        <w:t>státního</w:t>
      </w:r>
      <w:r>
        <w:t xml:space="preserve"> </w:t>
      </w:r>
      <w:r w:rsidRPr="00E2448C">
        <w:t>rozpočtu.</w:t>
      </w:r>
      <w:r>
        <w:t xml:space="preserve"> </w:t>
      </w:r>
      <w:r w:rsidRPr="00E2448C">
        <w:t>Jedná-li</w:t>
      </w:r>
      <w:r>
        <w:t xml:space="preserve"> </w:t>
      </w:r>
      <w:r w:rsidRPr="00E2448C">
        <w:t>se</w:t>
      </w:r>
      <w:r>
        <w:t xml:space="preserve"> </w:t>
      </w:r>
      <w:r w:rsidRPr="00E2448C">
        <w:t>o</w:t>
      </w:r>
      <w:r>
        <w:t xml:space="preserve"> </w:t>
      </w:r>
      <w:r w:rsidRPr="00E2448C">
        <w:t>peněžitý</w:t>
      </w:r>
      <w:r>
        <w:t xml:space="preserve"> </w:t>
      </w:r>
      <w:r w:rsidRPr="00E2448C">
        <w:t>dar</w:t>
      </w:r>
      <w:r>
        <w:t xml:space="preserve"> </w:t>
      </w:r>
      <w:r w:rsidRPr="00E2448C">
        <w:t>nebo</w:t>
      </w:r>
      <w:r>
        <w:t xml:space="preserve"> </w:t>
      </w:r>
      <w:r w:rsidRPr="00E2448C">
        <w:t>jiné</w:t>
      </w:r>
      <w:r>
        <w:t xml:space="preserve"> </w:t>
      </w:r>
      <w:r w:rsidRPr="00E2448C">
        <w:t>bezúplatné</w:t>
      </w:r>
      <w:r>
        <w:t xml:space="preserve"> </w:t>
      </w:r>
      <w:r w:rsidRPr="00E2448C">
        <w:t>plnění,</w:t>
      </w:r>
      <w:r>
        <w:t xml:space="preserve"> </w:t>
      </w:r>
      <w:r w:rsidRPr="00E2448C">
        <w:t>jsou</w:t>
      </w:r>
      <w:r>
        <w:t xml:space="preserve"> </w:t>
      </w:r>
      <w:r w:rsidRPr="00E2448C">
        <w:t>strany</w:t>
      </w:r>
      <w:r>
        <w:t xml:space="preserve"> </w:t>
      </w:r>
      <w:r w:rsidRPr="00E2448C">
        <w:t>a</w:t>
      </w:r>
      <w:r>
        <w:t xml:space="preserve"> </w:t>
      </w:r>
      <w:r w:rsidRPr="00E2448C">
        <w:t>hnutí</w:t>
      </w:r>
      <w:r>
        <w:t xml:space="preserve"> </w:t>
      </w:r>
      <w:r w:rsidRPr="00E2448C">
        <w:t>povinny</w:t>
      </w:r>
      <w:r>
        <w:t xml:space="preserve"> </w:t>
      </w:r>
      <w:r w:rsidRPr="00E2448C">
        <w:t>vrátit</w:t>
      </w:r>
      <w:r>
        <w:t xml:space="preserve"> </w:t>
      </w:r>
      <w:r w:rsidRPr="00E2448C">
        <w:t>jej</w:t>
      </w:r>
      <w:r>
        <w:t xml:space="preserve"> </w:t>
      </w:r>
      <w:r w:rsidRPr="00E2448C">
        <w:t>včetně</w:t>
      </w:r>
      <w:r>
        <w:t xml:space="preserve"> </w:t>
      </w:r>
      <w:r w:rsidRPr="00E2448C">
        <w:t>jeho</w:t>
      </w:r>
      <w:r>
        <w:t xml:space="preserve"> </w:t>
      </w:r>
      <w:r w:rsidRPr="00E2448C">
        <w:t>úrokového</w:t>
      </w:r>
      <w:r>
        <w:t xml:space="preserve"> </w:t>
      </w:r>
      <w:r w:rsidRPr="00E2448C">
        <w:t>zhodnocení</w:t>
      </w:r>
      <w:r>
        <w:t xml:space="preserve"> </w:t>
      </w:r>
      <w:r w:rsidRPr="00E2448C">
        <w:t>ve</w:t>
      </w:r>
      <w:r>
        <w:t xml:space="preserve"> </w:t>
      </w:r>
      <w:r w:rsidRPr="00E2448C">
        <w:t>výši</w:t>
      </w:r>
      <w:r>
        <w:t xml:space="preserve"> </w:t>
      </w:r>
      <w:r w:rsidRPr="00E2448C">
        <w:t>diskontní</w:t>
      </w:r>
      <w:r>
        <w:t xml:space="preserve"> </w:t>
      </w:r>
      <w:r w:rsidRPr="00E2448C">
        <w:t>sazby</w:t>
      </w:r>
      <w:r>
        <w:t xml:space="preserve"> </w:t>
      </w:r>
      <w:r w:rsidRPr="00E2448C">
        <w:t>České</w:t>
      </w:r>
      <w:r>
        <w:t xml:space="preserve"> </w:t>
      </w:r>
      <w:r w:rsidRPr="00E2448C">
        <w:t>národní</w:t>
      </w:r>
      <w:r>
        <w:t xml:space="preserve"> </w:t>
      </w:r>
      <w:r w:rsidRPr="00E2448C">
        <w:t>banky</w:t>
      </w:r>
      <w:r>
        <w:t xml:space="preserve"> </w:t>
      </w:r>
      <w:r w:rsidRPr="00E2448C">
        <w:t>platné</w:t>
      </w:r>
      <w:r>
        <w:t xml:space="preserve"> </w:t>
      </w:r>
      <w:r w:rsidRPr="00E2448C">
        <w:t>ke</w:t>
      </w:r>
      <w:r>
        <w:t xml:space="preserve"> </w:t>
      </w:r>
      <w:r w:rsidRPr="00E2448C">
        <w:t>dni</w:t>
      </w:r>
      <w:r>
        <w:t xml:space="preserve"> </w:t>
      </w:r>
      <w:r w:rsidRPr="00E2448C">
        <w:t>vrácení.</w:t>
      </w:r>
    </w:p>
    <w:p w14:paraId="4766AA61" w14:textId="77777777" w:rsidR="00495F58" w:rsidRDefault="00495F58" w:rsidP="00A06781">
      <w:pPr>
        <w:pStyle w:val="PZTextodstavce"/>
      </w:pPr>
      <w:r w:rsidRPr="00E2448C">
        <w:t>(4)</w:t>
      </w:r>
      <w:r>
        <w:t xml:space="preserve"> </w:t>
      </w:r>
      <w:r w:rsidRPr="00E2448C">
        <w:t>Každý</w:t>
      </w:r>
      <w:r>
        <w:t xml:space="preserve"> </w:t>
      </w:r>
      <w:r w:rsidRPr="00E2448C">
        <w:t>dárce</w:t>
      </w:r>
      <w:r>
        <w:t xml:space="preserve"> </w:t>
      </w:r>
      <w:r w:rsidRPr="00E2448C">
        <w:t>musí</w:t>
      </w:r>
      <w:r>
        <w:t xml:space="preserve"> </w:t>
      </w:r>
      <w:r w:rsidRPr="00E2448C">
        <w:t>být</w:t>
      </w:r>
      <w:r>
        <w:t xml:space="preserve"> </w:t>
      </w:r>
      <w:r w:rsidRPr="00E2448C">
        <w:t>identifikován</w:t>
      </w:r>
      <w:r>
        <w:t xml:space="preserve"> </w:t>
      </w:r>
      <w:r w:rsidRPr="00E2448C">
        <w:t>údaji</w:t>
      </w:r>
      <w:r>
        <w:t xml:space="preserve"> </w:t>
      </w:r>
      <w:r w:rsidRPr="00E2448C">
        <w:t>podle</w:t>
      </w:r>
      <w:r>
        <w:t xml:space="preserve"> </w:t>
      </w:r>
      <w:r w:rsidRPr="00E2448C">
        <w:t>§</w:t>
      </w:r>
      <w:r>
        <w:t xml:space="preserve"> </w:t>
      </w:r>
      <w:r w:rsidRPr="00E2448C">
        <w:t>19h</w:t>
      </w:r>
      <w:r>
        <w:t xml:space="preserve"> </w:t>
      </w:r>
      <w:r w:rsidRPr="00E2448C">
        <w:t>odst.</w:t>
      </w:r>
      <w:r>
        <w:t xml:space="preserve"> </w:t>
      </w:r>
      <w:r w:rsidRPr="00E2448C">
        <w:t>1</w:t>
      </w:r>
      <w:r>
        <w:t xml:space="preserve"> </w:t>
      </w:r>
      <w:r w:rsidRPr="00E2448C">
        <w:t>písm.</w:t>
      </w:r>
      <w:r>
        <w:t xml:space="preserve"> </w:t>
      </w:r>
      <w:r w:rsidRPr="00E2448C">
        <w:t>h).</w:t>
      </w:r>
    </w:p>
    <w:p w14:paraId="48A333C3" w14:textId="77777777" w:rsidR="00495F58" w:rsidRDefault="00495F58" w:rsidP="00A06781">
      <w:pPr>
        <w:pStyle w:val="PZTextodstavce"/>
      </w:pPr>
      <w:r w:rsidRPr="00E2448C">
        <w:t>(5)</w:t>
      </w:r>
      <w:r>
        <w:t xml:space="preserve"> </w:t>
      </w:r>
      <w:r w:rsidRPr="00E2448C">
        <w:t>Dar</w:t>
      </w:r>
      <w:r>
        <w:t xml:space="preserve"> </w:t>
      </w:r>
      <w:r w:rsidRPr="00E2448C">
        <w:t>nebo</w:t>
      </w:r>
      <w:r>
        <w:t xml:space="preserve"> </w:t>
      </w:r>
      <w:r w:rsidRPr="00E2448C">
        <w:t>jiné</w:t>
      </w:r>
      <w:r>
        <w:t xml:space="preserve"> </w:t>
      </w:r>
      <w:r w:rsidRPr="00E2448C">
        <w:t>bezúplatné</w:t>
      </w:r>
      <w:r>
        <w:t xml:space="preserve"> </w:t>
      </w:r>
      <w:r w:rsidRPr="00E2448C">
        <w:t>plnění,</w:t>
      </w:r>
      <w:r>
        <w:t xml:space="preserve"> </w:t>
      </w:r>
      <w:r w:rsidRPr="00E2448C">
        <w:t>jehož</w:t>
      </w:r>
      <w:r>
        <w:t xml:space="preserve"> </w:t>
      </w:r>
      <w:r w:rsidRPr="00E2448C">
        <w:t>výše</w:t>
      </w:r>
      <w:r>
        <w:t xml:space="preserve"> </w:t>
      </w:r>
      <w:r w:rsidRPr="00E2448C">
        <w:t>nebo</w:t>
      </w:r>
      <w:r>
        <w:t xml:space="preserve"> </w:t>
      </w:r>
      <w:r w:rsidRPr="00E2448C">
        <w:t>obvyklá</w:t>
      </w:r>
      <w:r>
        <w:t xml:space="preserve"> </w:t>
      </w:r>
      <w:r w:rsidRPr="00E2448C">
        <w:rPr>
          <w:strike/>
        </w:rPr>
        <w:t>cena</w:t>
      </w:r>
      <w:r>
        <w:t xml:space="preserve"> </w:t>
      </w:r>
      <w:r w:rsidRPr="00E2448C">
        <w:rPr>
          <w:b/>
          <w:bCs/>
        </w:rPr>
        <w:t>hodnota</w:t>
      </w:r>
      <w:r>
        <w:rPr>
          <w:b/>
          <w:bCs/>
        </w:rPr>
        <w:t xml:space="preserve"> </w:t>
      </w:r>
      <w:r w:rsidRPr="00E2448C">
        <w:t>přesahuje</w:t>
      </w:r>
      <w:r>
        <w:t xml:space="preserve"> </w:t>
      </w:r>
      <w:r w:rsidRPr="00E2448C">
        <w:t>částku</w:t>
      </w:r>
      <w:r>
        <w:t xml:space="preserve"> </w:t>
      </w:r>
      <w:r w:rsidRPr="00E2448C">
        <w:t>1</w:t>
      </w:r>
      <w:r>
        <w:t xml:space="preserve"> </w:t>
      </w:r>
      <w:r w:rsidRPr="00E2448C">
        <w:t>000</w:t>
      </w:r>
      <w:r>
        <w:t xml:space="preserve"> </w:t>
      </w:r>
      <w:r w:rsidRPr="00E2448C">
        <w:t>Kč,</w:t>
      </w:r>
      <w:r>
        <w:t xml:space="preserve"> </w:t>
      </w:r>
      <w:r w:rsidRPr="00E2448C">
        <w:t>může</w:t>
      </w:r>
      <w:r>
        <w:t xml:space="preserve"> </w:t>
      </w:r>
      <w:r w:rsidRPr="00E2448C">
        <w:t>strana</w:t>
      </w:r>
      <w:r>
        <w:t xml:space="preserve"> </w:t>
      </w:r>
      <w:r w:rsidRPr="00E2448C">
        <w:t>nebo</w:t>
      </w:r>
      <w:r>
        <w:t xml:space="preserve"> </w:t>
      </w:r>
      <w:r w:rsidRPr="00E2448C">
        <w:t>hnutí</w:t>
      </w:r>
      <w:r>
        <w:t xml:space="preserve"> </w:t>
      </w:r>
      <w:r w:rsidRPr="00E2448C">
        <w:t>přijmout</w:t>
      </w:r>
      <w:r>
        <w:t xml:space="preserve"> </w:t>
      </w:r>
      <w:r w:rsidRPr="00E2448C">
        <w:t>pouze</w:t>
      </w:r>
      <w:r>
        <w:t xml:space="preserve"> </w:t>
      </w:r>
      <w:r w:rsidRPr="00E2448C">
        <w:t>na</w:t>
      </w:r>
      <w:r>
        <w:t xml:space="preserve"> </w:t>
      </w:r>
      <w:r w:rsidRPr="00E2448C">
        <w:t>základě</w:t>
      </w:r>
      <w:r>
        <w:t xml:space="preserve"> </w:t>
      </w:r>
      <w:r w:rsidRPr="00E2448C">
        <w:t>písemné</w:t>
      </w:r>
      <w:r>
        <w:t xml:space="preserve"> </w:t>
      </w:r>
      <w:r w:rsidRPr="00E2448C">
        <w:t>smlouvy.</w:t>
      </w:r>
    </w:p>
    <w:p w14:paraId="3805A897" w14:textId="77777777" w:rsidR="00495F58" w:rsidRPr="00E2448C" w:rsidRDefault="00495F58" w:rsidP="00495F58">
      <w:pPr>
        <w:pStyle w:val="Default"/>
        <w:tabs>
          <w:tab w:val="left" w:pos="851"/>
        </w:tabs>
        <w:spacing w:before="240" w:after="120"/>
        <w:jc w:val="center"/>
        <w:rPr>
          <w:color w:val="auto"/>
        </w:rPr>
      </w:pPr>
      <w:r w:rsidRPr="00E2448C">
        <w:rPr>
          <w:color w:val="auto"/>
        </w:rPr>
        <w:t>***</w:t>
      </w:r>
    </w:p>
    <w:p w14:paraId="4C218026" w14:textId="77777777" w:rsidR="00495F58" w:rsidRPr="00E2448C" w:rsidRDefault="00495F58" w:rsidP="00495F58">
      <w:pPr>
        <w:pStyle w:val="Default"/>
        <w:tabs>
          <w:tab w:val="left" w:pos="851"/>
        </w:tabs>
        <w:spacing w:before="240" w:after="120"/>
        <w:jc w:val="center"/>
        <w:rPr>
          <w:color w:val="auto"/>
        </w:rPr>
      </w:pPr>
      <w:r w:rsidRPr="00E2448C">
        <w:rPr>
          <w:b/>
          <w:bCs/>
          <w:color w:val="auto"/>
        </w:rPr>
        <w:t>Úřad</w:t>
      </w:r>
    </w:p>
    <w:p w14:paraId="3C3DFCBC" w14:textId="77777777" w:rsidR="00495F58" w:rsidRPr="00E2448C" w:rsidRDefault="00495F58" w:rsidP="00495F58">
      <w:pPr>
        <w:pStyle w:val="Default"/>
        <w:tabs>
          <w:tab w:val="left" w:pos="851"/>
        </w:tabs>
        <w:spacing w:before="240" w:after="120"/>
        <w:jc w:val="center"/>
        <w:rPr>
          <w:color w:val="auto"/>
        </w:rPr>
      </w:pPr>
      <w:r w:rsidRPr="00E2448C">
        <w:rPr>
          <w:color w:val="auto"/>
        </w:rPr>
        <w:t>§</w:t>
      </w:r>
      <w:r>
        <w:rPr>
          <w:color w:val="auto"/>
        </w:rPr>
        <w:t xml:space="preserve"> </w:t>
      </w:r>
      <w:r w:rsidRPr="00E2448C">
        <w:rPr>
          <w:color w:val="auto"/>
        </w:rPr>
        <w:t>19</w:t>
      </w:r>
    </w:p>
    <w:p w14:paraId="3115845A" w14:textId="77777777" w:rsidR="00495F58" w:rsidRDefault="00495F58" w:rsidP="00A06781">
      <w:pPr>
        <w:pStyle w:val="PZTextodstavce"/>
      </w:pPr>
      <w:r w:rsidRPr="00E2448C">
        <w:t>(1)</w:t>
      </w:r>
      <w:r>
        <w:t xml:space="preserve"> </w:t>
      </w:r>
      <w:r w:rsidRPr="00E2448C">
        <w:t>Zřizuje</w:t>
      </w:r>
      <w:r>
        <w:t xml:space="preserve"> </w:t>
      </w:r>
      <w:r w:rsidRPr="00E2448C">
        <w:t>se</w:t>
      </w:r>
      <w:r>
        <w:t xml:space="preserve"> </w:t>
      </w:r>
      <w:r w:rsidRPr="00E2448C">
        <w:t>Úřad</w:t>
      </w:r>
      <w:r>
        <w:t xml:space="preserve"> </w:t>
      </w:r>
      <w:r w:rsidRPr="00E2448C">
        <w:t>se</w:t>
      </w:r>
      <w:r>
        <w:t xml:space="preserve"> </w:t>
      </w:r>
      <w:r w:rsidRPr="00E2448C">
        <w:t>sídlem</w:t>
      </w:r>
      <w:r>
        <w:t xml:space="preserve"> </w:t>
      </w:r>
      <w:r w:rsidRPr="00E2448C">
        <w:t>v</w:t>
      </w:r>
      <w:r>
        <w:t xml:space="preserve"> </w:t>
      </w:r>
      <w:r w:rsidRPr="00E2448C">
        <w:t>Brně</w:t>
      </w:r>
      <w:r>
        <w:t xml:space="preserve"> </w:t>
      </w:r>
      <w:r w:rsidRPr="00E2448C">
        <w:t>jako</w:t>
      </w:r>
      <w:r>
        <w:t xml:space="preserve"> </w:t>
      </w:r>
      <w:r w:rsidRPr="00E2448C">
        <w:t>ústřední</w:t>
      </w:r>
      <w:r>
        <w:t xml:space="preserve"> </w:t>
      </w:r>
      <w:r w:rsidRPr="00E2448C">
        <w:t>správní</w:t>
      </w:r>
      <w:r>
        <w:t xml:space="preserve"> </w:t>
      </w:r>
      <w:r w:rsidRPr="00E2448C">
        <w:t>úřad</w:t>
      </w:r>
      <w:r>
        <w:t xml:space="preserve"> </w:t>
      </w:r>
      <w:r w:rsidRPr="00E2448C">
        <w:t>pro</w:t>
      </w:r>
      <w:r>
        <w:t xml:space="preserve"> </w:t>
      </w:r>
      <w:r w:rsidRPr="00E2448C">
        <w:t>dohled</w:t>
      </w:r>
      <w:r>
        <w:t xml:space="preserve"> </w:t>
      </w:r>
      <w:r w:rsidRPr="00E2448C">
        <w:t>nad</w:t>
      </w:r>
      <w:r>
        <w:t xml:space="preserve"> </w:t>
      </w:r>
      <w:r w:rsidRPr="00E2448C">
        <w:t>hospodařením</w:t>
      </w:r>
      <w:r>
        <w:t xml:space="preserve"> </w:t>
      </w:r>
      <w:r w:rsidRPr="00E2448C">
        <w:t>stran</w:t>
      </w:r>
      <w:r>
        <w:t xml:space="preserve"> </w:t>
      </w:r>
      <w:r w:rsidRPr="00E2448C">
        <w:t>a</w:t>
      </w:r>
      <w:r>
        <w:t xml:space="preserve"> </w:t>
      </w:r>
      <w:r w:rsidRPr="00E2448C">
        <w:t>hnutí</w:t>
      </w:r>
      <w:r>
        <w:t xml:space="preserve"> </w:t>
      </w:r>
      <w:r w:rsidRPr="00E2448C">
        <w:t>v</w:t>
      </w:r>
      <w:r>
        <w:t xml:space="preserve"> </w:t>
      </w:r>
      <w:r w:rsidRPr="00E2448C">
        <w:t>zákonem</w:t>
      </w:r>
      <w:r>
        <w:t xml:space="preserve"> </w:t>
      </w:r>
      <w:r w:rsidRPr="00E2448C">
        <w:t>stanoveném</w:t>
      </w:r>
      <w:r>
        <w:t xml:space="preserve"> </w:t>
      </w:r>
      <w:r w:rsidRPr="00E2448C">
        <w:t>rozsahu.</w:t>
      </w:r>
      <w:r>
        <w:t xml:space="preserve"> </w:t>
      </w:r>
      <w:r w:rsidRPr="00E2448C">
        <w:rPr>
          <w:strike/>
        </w:rPr>
        <w:t>Úřad</w:t>
      </w:r>
      <w:r>
        <w:rPr>
          <w:strike/>
        </w:rPr>
        <w:t xml:space="preserve"> </w:t>
      </w:r>
      <w:r w:rsidRPr="00E2448C">
        <w:rPr>
          <w:strike/>
        </w:rPr>
        <w:t>je</w:t>
      </w:r>
      <w:r>
        <w:rPr>
          <w:strike/>
        </w:rPr>
        <w:t xml:space="preserve"> </w:t>
      </w:r>
      <w:r w:rsidRPr="00E2448C">
        <w:rPr>
          <w:strike/>
        </w:rPr>
        <w:t>účetní</w:t>
      </w:r>
      <w:r>
        <w:rPr>
          <w:strike/>
        </w:rPr>
        <w:t xml:space="preserve"> </w:t>
      </w:r>
      <w:r w:rsidRPr="00E2448C">
        <w:rPr>
          <w:strike/>
        </w:rPr>
        <w:t>jednotkou.</w:t>
      </w:r>
    </w:p>
    <w:p w14:paraId="2183322F" w14:textId="77777777" w:rsidR="00495F58" w:rsidRDefault="00495F58" w:rsidP="00A06781">
      <w:pPr>
        <w:pStyle w:val="PZTextodstavce"/>
      </w:pPr>
      <w:r w:rsidRPr="00E2448C">
        <w:t>(2)</w:t>
      </w:r>
      <w:r>
        <w:t xml:space="preserve"> </w:t>
      </w:r>
      <w:r w:rsidRPr="00E2448C">
        <w:t>Úřad</w:t>
      </w:r>
      <w:r>
        <w:t xml:space="preserve"> </w:t>
      </w:r>
      <w:r w:rsidRPr="00E2448C">
        <w:t>je</w:t>
      </w:r>
      <w:r>
        <w:t xml:space="preserve"> </w:t>
      </w:r>
      <w:r w:rsidRPr="00E2448C">
        <w:t>nezávislý</w:t>
      </w:r>
      <w:r>
        <w:t xml:space="preserve"> </w:t>
      </w:r>
      <w:r w:rsidRPr="00E2448C">
        <w:t>orgán;</w:t>
      </w:r>
      <w:r>
        <w:t xml:space="preserve"> </w:t>
      </w:r>
      <w:r w:rsidRPr="00E2448C">
        <w:t>ve</w:t>
      </w:r>
      <w:r>
        <w:t xml:space="preserve"> </w:t>
      </w:r>
      <w:r w:rsidRPr="00E2448C">
        <w:t>své</w:t>
      </w:r>
      <w:r>
        <w:t xml:space="preserve"> </w:t>
      </w:r>
      <w:r w:rsidRPr="00E2448C">
        <w:t>činnosti</w:t>
      </w:r>
      <w:r>
        <w:t xml:space="preserve"> </w:t>
      </w:r>
      <w:r w:rsidRPr="00E2448C">
        <w:t>se</w:t>
      </w:r>
      <w:r>
        <w:t xml:space="preserve"> </w:t>
      </w:r>
      <w:r w:rsidRPr="00E2448C">
        <w:t>řídí</w:t>
      </w:r>
      <w:r>
        <w:t xml:space="preserve"> </w:t>
      </w:r>
      <w:r w:rsidRPr="00E2448C">
        <w:t>pouze</w:t>
      </w:r>
      <w:r>
        <w:t xml:space="preserve"> </w:t>
      </w:r>
      <w:r w:rsidRPr="00E2448C">
        <w:t>zákony</w:t>
      </w:r>
      <w:r>
        <w:t xml:space="preserve"> </w:t>
      </w:r>
      <w:r w:rsidRPr="00E2448C">
        <w:t>a</w:t>
      </w:r>
      <w:r>
        <w:t xml:space="preserve"> </w:t>
      </w:r>
      <w:r w:rsidRPr="00E2448C">
        <w:t>jinými</w:t>
      </w:r>
      <w:r>
        <w:t xml:space="preserve"> </w:t>
      </w:r>
      <w:r w:rsidRPr="00E2448C">
        <w:t>právními</w:t>
      </w:r>
      <w:r>
        <w:t xml:space="preserve"> </w:t>
      </w:r>
      <w:r w:rsidRPr="00E2448C">
        <w:t>předpisy.</w:t>
      </w:r>
    </w:p>
    <w:p w14:paraId="41290579" w14:textId="77777777" w:rsidR="00495F58" w:rsidRDefault="00495F58" w:rsidP="00A06781">
      <w:pPr>
        <w:pStyle w:val="PZTextodstavce"/>
      </w:pPr>
      <w:r w:rsidRPr="00E2448C">
        <w:t>(3)</w:t>
      </w:r>
      <w:r>
        <w:t xml:space="preserve"> </w:t>
      </w:r>
      <w:r w:rsidRPr="00E2448C">
        <w:t>Do</w:t>
      </w:r>
      <w:r>
        <w:t xml:space="preserve"> </w:t>
      </w:r>
      <w:r w:rsidRPr="00E2448C">
        <w:t>činnosti</w:t>
      </w:r>
      <w:r>
        <w:t xml:space="preserve"> </w:t>
      </w:r>
      <w:r w:rsidRPr="00E2448C">
        <w:t>Úřadu</w:t>
      </w:r>
      <w:r>
        <w:t xml:space="preserve"> </w:t>
      </w:r>
      <w:r w:rsidRPr="00E2448C">
        <w:t>lze</w:t>
      </w:r>
      <w:r>
        <w:t xml:space="preserve"> </w:t>
      </w:r>
      <w:r w:rsidRPr="00E2448C">
        <w:t>zasahovat</w:t>
      </w:r>
      <w:r>
        <w:t xml:space="preserve"> </w:t>
      </w:r>
      <w:r w:rsidRPr="00E2448C">
        <w:t>jen</w:t>
      </w:r>
      <w:r>
        <w:t xml:space="preserve"> </w:t>
      </w:r>
      <w:r w:rsidRPr="00E2448C">
        <w:t>na</w:t>
      </w:r>
      <w:r>
        <w:t xml:space="preserve"> </w:t>
      </w:r>
      <w:r w:rsidRPr="00E2448C">
        <w:t>základě</w:t>
      </w:r>
      <w:r>
        <w:t xml:space="preserve"> </w:t>
      </w:r>
      <w:r w:rsidRPr="00E2448C">
        <w:t>zákona.</w:t>
      </w:r>
    </w:p>
    <w:p w14:paraId="5DC3C8F9" w14:textId="77777777" w:rsidR="00495F58" w:rsidRPr="00E2448C" w:rsidRDefault="00495F58" w:rsidP="00495F58">
      <w:pPr>
        <w:pStyle w:val="Default"/>
        <w:tabs>
          <w:tab w:val="left" w:pos="851"/>
        </w:tabs>
        <w:spacing w:before="240" w:after="120"/>
        <w:jc w:val="center"/>
        <w:rPr>
          <w:color w:val="auto"/>
        </w:rPr>
      </w:pPr>
      <w:r w:rsidRPr="00E2448C">
        <w:rPr>
          <w:color w:val="auto"/>
        </w:rPr>
        <w:t>***</w:t>
      </w:r>
    </w:p>
    <w:p w14:paraId="3B01E661" w14:textId="77777777" w:rsidR="00495F58" w:rsidRPr="00E2448C" w:rsidRDefault="00495F58" w:rsidP="00495F58">
      <w:pPr>
        <w:pStyle w:val="Default"/>
        <w:tabs>
          <w:tab w:val="left" w:pos="851"/>
        </w:tabs>
        <w:spacing w:before="240" w:after="120"/>
        <w:jc w:val="center"/>
        <w:rPr>
          <w:color w:val="auto"/>
        </w:rPr>
      </w:pPr>
      <w:r w:rsidRPr="00E2448C">
        <w:rPr>
          <w:color w:val="auto"/>
        </w:rPr>
        <w:t>§</w:t>
      </w:r>
      <w:r>
        <w:rPr>
          <w:color w:val="auto"/>
        </w:rPr>
        <w:t xml:space="preserve"> </w:t>
      </w:r>
      <w:r w:rsidRPr="00E2448C">
        <w:rPr>
          <w:color w:val="auto"/>
        </w:rPr>
        <w:t>19h</w:t>
      </w:r>
    </w:p>
    <w:p w14:paraId="52EFDC9F" w14:textId="77777777" w:rsidR="00495F58" w:rsidRDefault="00495F58" w:rsidP="00A06781">
      <w:pPr>
        <w:pStyle w:val="PZTextodstavce"/>
      </w:pPr>
      <w:r w:rsidRPr="00E2448C">
        <w:t>(1)</w:t>
      </w:r>
      <w:r>
        <w:t xml:space="preserve"> </w:t>
      </w:r>
      <w:r w:rsidRPr="00E2448C">
        <w:t>Strany</w:t>
      </w:r>
      <w:r>
        <w:t xml:space="preserve"> </w:t>
      </w:r>
      <w:r w:rsidRPr="00E2448C">
        <w:t>a</w:t>
      </w:r>
      <w:r>
        <w:t xml:space="preserve"> </w:t>
      </w:r>
      <w:r w:rsidRPr="00E2448C">
        <w:t>hnutí</w:t>
      </w:r>
      <w:r>
        <w:t xml:space="preserve"> </w:t>
      </w:r>
      <w:r w:rsidRPr="00E2448C">
        <w:t>jsou</w:t>
      </w:r>
      <w:r>
        <w:t xml:space="preserve"> </w:t>
      </w:r>
      <w:r w:rsidRPr="00E2448C">
        <w:t>povinny</w:t>
      </w:r>
      <w:r>
        <w:t xml:space="preserve"> </w:t>
      </w:r>
      <w:r w:rsidRPr="00E2448C">
        <w:t>předložit</w:t>
      </w:r>
      <w:r>
        <w:t xml:space="preserve"> </w:t>
      </w:r>
      <w:r w:rsidRPr="00E2448C">
        <w:t>každoročně</w:t>
      </w:r>
      <w:r>
        <w:t xml:space="preserve"> </w:t>
      </w:r>
      <w:r w:rsidRPr="00E2448C">
        <w:t>do</w:t>
      </w:r>
      <w:r>
        <w:t xml:space="preserve"> </w:t>
      </w:r>
      <w:r w:rsidRPr="00E2448C">
        <w:t>1.</w:t>
      </w:r>
      <w:r>
        <w:t xml:space="preserve"> </w:t>
      </w:r>
      <w:r w:rsidRPr="00E2448C">
        <w:t>dubna</w:t>
      </w:r>
      <w:r>
        <w:t xml:space="preserve"> </w:t>
      </w:r>
      <w:r w:rsidRPr="00E2448C">
        <w:t>Úřadu</w:t>
      </w:r>
      <w:r>
        <w:t xml:space="preserve"> </w:t>
      </w:r>
      <w:r w:rsidRPr="00E2448C">
        <w:t>výroční</w:t>
      </w:r>
      <w:r>
        <w:t xml:space="preserve"> </w:t>
      </w:r>
      <w:r w:rsidRPr="00E2448C">
        <w:t>finanční</w:t>
      </w:r>
      <w:r>
        <w:t xml:space="preserve"> </w:t>
      </w:r>
      <w:r w:rsidRPr="00E2448C">
        <w:t>zprávu,</w:t>
      </w:r>
      <w:r>
        <w:t xml:space="preserve"> </w:t>
      </w:r>
      <w:r w:rsidRPr="00E2448C">
        <w:t>která</w:t>
      </w:r>
      <w:r>
        <w:t xml:space="preserve"> </w:t>
      </w:r>
      <w:r w:rsidRPr="00E2448C">
        <w:t>zahrnuje</w:t>
      </w:r>
    </w:p>
    <w:p w14:paraId="56EFA13E" w14:textId="6D948498" w:rsidR="00495F58" w:rsidRPr="00E2448C" w:rsidRDefault="00495F58" w:rsidP="002B22FA">
      <w:pPr>
        <w:pStyle w:val="PZTextpsmene"/>
        <w:tabs>
          <w:tab w:val="left" w:pos="851"/>
        </w:tabs>
        <w:spacing w:before="0"/>
      </w:pPr>
      <w:r w:rsidRPr="00E2448C">
        <w:t>a)</w:t>
      </w:r>
      <w:r w:rsidR="002B22FA">
        <w:tab/>
      </w:r>
      <w:r w:rsidRPr="00E2448C">
        <w:rPr>
          <w:b/>
          <w:bCs/>
        </w:rPr>
        <w:t>řádnou</w:t>
      </w:r>
      <w:r>
        <w:rPr>
          <w:b/>
          <w:bCs/>
        </w:rPr>
        <w:t xml:space="preserve"> </w:t>
      </w:r>
      <w:r w:rsidRPr="00E2448C">
        <w:rPr>
          <w:b/>
          <w:bCs/>
        </w:rPr>
        <w:t>individuální</w:t>
      </w:r>
      <w:r>
        <w:rPr>
          <w:b/>
          <w:bCs/>
        </w:rPr>
        <w:t xml:space="preserve"> </w:t>
      </w:r>
      <w:r w:rsidRPr="00E2448C">
        <w:t>účetní</w:t>
      </w:r>
      <w:r>
        <w:t xml:space="preserve"> </w:t>
      </w:r>
      <w:r w:rsidRPr="00E2448C">
        <w:t>závěrku</w:t>
      </w:r>
      <w:r>
        <w:t xml:space="preserve"> </w:t>
      </w:r>
      <w:r w:rsidRPr="00E2448C">
        <w:t>podle</w:t>
      </w:r>
      <w:r>
        <w:t xml:space="preserve"> </w:t>
      </w:r>
      <w:r w:rsidRPr="00E2448C">
        <w:t>zákona</w:t>
      </w:r>
      <w:r>
        <w:rPr>
          <w:strike/>
        </w:rPr>
        <w:t xml:space="preserve"> </w:t>
      </w:r>
      <w:r w:rsidRPr="00E2448C">
        <w:rPr>
          <w:strike/>
        </w:rPr>
        <w:t>o</w:t>
      </w:r>
      <w:r>
        <w:t xml:space="preserve"> </w:t>
      </w:r>
      <w:r w:rsidRPr="00E2448C">
        <w:rPr>
          <w:b/>
          <w:bCs/>
        </w:rPr>
        <w:t>upravujícího</w:t>
      </w:r>
      <w:r>
        <w:rPr>
          <w:b/>
          <w:bCs/>
        </w:rPr>
        <w:t xml:space="preserve"> </w:t>
      </w:r>
      <w:r w:rsidRPr="00E2448C">
        <w:t>účetnictví</w:t>
      </w:r>
      <w:r w:rsidRPr="00E2448C">
        <w:rPr>
          <w:strike/>
          <w:vertAlign w:val="superscript"/>
        </w:rPr>
        <w:t>3)</w:t>
      </w:r>
      <w:r w:rsidRPr="00E2448C">
        <w:t>,</w:t>
      </w:r>
      <w:r>
        <w:t xml:space="preserve"> </w:t>
      </w:r>
    </w:p>
    <w:p w14:paraId="4209AD6D" w14:textId="6C1DD255" w:rsidR="00495F58" w:rsidRDefault="00495F58" w:rsidP="002B22FA">
      <w:pPr>
        <w:pStyle w:val="PZTextpsmene"/>
        <w:tabs>
          <w:tab w:val="left" w:pos="851"/>
        </w:tabs>
        <w:spacing w:before="0"/>
      </w:pPr>
      <w:r w:rsidRPr="00E2448C">
        <w:t>b)</w:t>
      </w:r>
      <w:r w:rsidR="002B22FA">
        <w:tab/>
      </w:r>
      <w:r w:rsidRPr="00E2448C">
        <w:t>zprávu</w:t>
      </w:r>
      <w:r>
        <w:t xml:space="preserve"> </w:t>
      </w:r>
      <w:r w:rsidRPr="00E2448C">
        <w:rPr>
          <w:strike/>
        </w:rPr>
        <w:t>auditora</w:t>
      </w:r>
      <w:r>
        <w:rPr>
          <w:strike/>
        </w:rPr>
        <w:t xml:space="preserve"> </w:t>
      </w:r>
      <w:r w:rsidRPr="00E2448C">
        <w:rPr>
          <w:strike/>
        </w:rPr>
        <w:t>o</w:t>
      </w:r>
      <w:r>
        <w:rPr>
          <w:strike/>
        </w:rPr>
        <w:t xml:space="preserve"> </w:t>
      </w:r>
      <w:r w:rsidRPr="00E2448C">
        <w:rPr>
          <w:strike/>
        </w:rPr>
        <w:t>ověření</w:t>
      </w:r>
      <w:r>
        <w:rPr>
          <w:strike/>
        </w:rPr>
        <w:t xml:space="preserve"> </w:t>
      </w:r>
      <w:r w:rsidRPr="00E2448C">
        <w:rPr>
          <w:strike/>
        </w:rPr>
        <w:t>účetní</w:t>
      </w:r>
      <w:r>
        <w:rPr>
          <w:strike/>
        </w:rPr>
        <w:t xml:space="preserve"> </w:t>
      </w:r>
      <w:r w:rsidRPr="00E2448C">
        <w:rPr>
          <w:strike/>
        </w:rPr>
        <w:t>závěrky</w:t>
      </w:r>
      <w:r>
        <w:rPr>
          <w:strike/>
        </w:rPr>
        <w:t xml:space="preserve"> </w:t>
      </w:r>
      <w:r w:rsidRPr="00E2448C">
        <w:rPr>
          <w:strike/>
        </w:rPr>
        <w:t>s</w:t>
      </w:r>
      <w:r>
        <w:rPr>
          <w:strike/>
        </w:rPr>
        <w:t xml:space="preserve"> </w:t>
      </w:r>
      <w:r w:rsidRPr="00E2448C">
        <w:rPr>
          <w:strike/>
        </w:rPr>
        <w:t>výrokem</w:t>
      </w:r>
      <w:r>
        <w:rPr>
          <w:strike/>
        </w:rPr>
        <w:t xml:space="preserve"> </w:t>
      </w:r>
      <w:r w:rsidRPr="00E2448C">
        <w:rPr>
          <w:strike/>
        </w:rPr>
        <w:t>bez</w:t>
      </w:r>
      <w:r>
        <w:rPr>
          <w:strike/>
        </w:rPr>
        <w:t xml:space="preserve"> </w:t>
      </w:r>
      <w:r w:rsidRPr="00E2448C">
        <w:rPr>
          <w:strike/>
        </w:rPr>
        <w:t>výhrad</w:t>
      </w:r>
      <w:r>
        <w:t xml:space="preserve"> </w:t>
      </w:r>
      <w:r w:rsidRPr="00E2448C">
        <w:rPr>
          <w:b/>
          <w:bCs/>
        </w:rPr>
        <w:t>auditora</w:t>
      </w:r>
      <w:r>
        <w:rPr>
          <w:b/>
          <w:bCs/>
        </w:rPr>
        <w:t xml:space="preserve"> </w:t>
      </w:r>
      <w:r w:rsidRPr="00E2448C">
        <w:rPr>
          <w:b/>
          <w:bCs/>
        </w:rPr>
        <w:t>o</w:t>
      </w:r>
      <w:r>
        <w:rPr>
          <w:b/>
          <w:bCs/>
        </w:rPr>
        <w:t xml:space="preserve"> </w:t>
      </w:r>
      <w:r w:rsidRPr="00E2448C">
        <w:rPr>
          <w:b/>
          <w:bCs/>
        </w:rPr>
        <w:t>povinném</w:t>
      </w:r>
      <w:r>
        <w:rPr>
          <w:b/>
          <w:bCs/>
        </w:rPr>
        <w:t xml:space="preserve"> </w:t>
      </w:r>
      <w:r w:rsidRPr="00E2448C">
        <w:rPr>
          <w:b/>
          <w:bCs/>
        </w:rPr>
        <w:t>auditu</w:t>
      </w:r>
      <w:r w:rsidRPr="00E2448C">
        <w:t>,</w:t>
      </w:r>
    </w:p>
    <w:p w14:paraId="084F09A4" w14:textId="7F479552" w:rsidR="00495F58" w:rsidRDefault="00495F58" w:rsidP="002B22FA">
      <w:pPr>
        <w:pStyle w:val="PZTextpsmene"/>
        <w:tabs>
          <w:tab w:val="left" w:pos="851"/>
        </w:tabs>
        <w:spacing w:before="0"/>
      </w:pPr>
      <w:r w:rsidRPr="00E2448C">
        <w:t>c)</w:t>
      </w:r>
      <w:r w:rsidR="002B22FA">
        <w:tab/>
      </w:r>
      <w:r w:rsidRPr="00E2448C">
        <w:t>přehled</w:t>
      </w:r>
      <w:r>
        <w:t xml:space="preserve"> </w:t>
      </w:r>
      <w:r w:rsidRPr="00E2448C">
        <w:t>o</w:t>
      </w:r>
      <w:r>
        <w:t xml:space="preserve"> </w:t>
      </w:r>
      <w:r w:rsidRPr="00E2448C">
        <w:t>celkových</w:t>
      </w:r>
      <w:r>
        <w:t xml:space="preserve"> </w:t>
      </w:r>
      <w:r w:rsidRPr="00E2448C">
        <w:t>příjmech</w:t>
      </w:r>
      <w:r>
        <w:t xml:space="preserve"> </w:t>
      </w:r>
      <w:r w:rsidRPr="00E2448C">
        <w:t>v</w:t>
      </w:r>
      <w:r>
        <w:t xml:space="preserve"> </w:t>
      </w:r>
      <w:r w:rsidRPr="00E2448C">
        <w:t>členění</w:t>
      </w:r>
      <w:r>
        <w:t xml:space="preserve"> </w:t>
      </w:r>
      <w:r w:rsidRPr="00E2448C">
        <w:t>podle</w:t>
      </w:r>
      <w:r>
        <w:t xml:space="preserve"> </w:t>
      </w:r>
      <w:r w:rsidRPr="00E2448C">
        <w:t>§</w:t>
      </w:r>
      <w:r>
        <w:t xml:space="preserve"> </w:t>
      </w:r>
      <w:r w:rsidRPr="00E2448C">
        <w:t>17</w:t>
      </w:r>
      <w:r>
        <w:t xml:space="preserve"> </w:t>
      </w:r>
      <w:r w:rsidRPr="00E2448C">
        <w:t>odst.</w:t>
      </w:r>
      <w:r>
        <w:t xml:space="preserve"> </w:t>
      </w:r>
      <w:r w:rsidRPr="00E2448C">
        <w:t>8,</w:t>
      </w:r>
      <w:r>
        <w:t xml:space="preserve"> </w:t>
      </w:r>
      <w:r w:rsidRPr="00E2448C">
        <w:t>k</w:t>
      </w:r>
      <w:r>
        <w:t xml:space="preserve"> </w:t>
      </w:r>
      <w:r w:rsidRPr="00E2448C">
        <w:t>němuž</w:t>
      </w:r>
      <w:r>
        <w:t xml:space="preserve"> </w:t>
      </w:r>
      <w:r w:rsidRPr="00E2448C">
        <w:t>strany</w:t>
      </w:r>
      <w:r>
        <w:t xml:space="preserve"> </w:t>
      </w:r>
      <w:r w:rsidRPr="00E2448C">
        <w:t>a</w:t>
      </w:r>
      <w:r>
        <w:t xml:space="preserve"> </w:t>
      </w:r>
      <w:r w:rsidRPr="00E2448C">
        <w:t>hnutí</w:t>
      </w:r>
      <w:r>
        <w:t xml:space="preserve"> </w:t>
      </w:r>
      <w:r w:rsidRPr="00E2448C">
        <w:t>připojí:</w:t>
      </w:r>
    </w:p>
    <w:p w14:paraId="5B31804A" w14:textId="5D5265EF" w:rsidR="00495F58" w:rsidRDefault="00495F58" w:rsidP="002B22FA">
      <w:pPr>
        <w:pStyle w:val="PZTextbodu"/>
        <w:spacing w:before="0"/>
      </w:pPr>
      <w:r w:rsidRPr="00E2448C">
        <w:t>1.</w:t>
      </w:r>
      <w:r w:rsidR="002B22FA">
        <w:tab/>
      </w:r>
      <w:r w:rsidRPr="00E2448C">
        <w:t>přehled</w:t>
      </w:r>
      <w:r>
        <w:t xml:space="preserve"> </w:t>
      </w:r>
      <w:r w:rsidRPr="00E2448C">
        <w:t>obchodních</w:t>
      </w:r>
      <w:r>
        <w:t xml:space="preserve"> </w:t>
      </w:r>
      <w:r w:rsidRPr="00E2448C">
        <w:t>společností</w:t>
      </w:r>
      <w:r>
        <w:t xml:space="preserve"> </w:t>
      </w:r>
      <w:r w:rsidRPr="00E2448C">
        <w:t>nebo</w:t>
      </w:r>
      <w:r>
        <w:t xml:space="preserve"> </w:t>
      </w:r>
      <w:r w:rsidRPr="00E2448C">
        <w:t>družstev,</w:t>
      </w:r>
      <w:r>
        <w:t xml:space="preserve"> </w:t>
      </w:r>
      <w:r w:rsidRPr="00E2448C">
        <w:t>v</w:t>
      </w:r>
      <w:r>
        <w:t xml:space="preserve"> </w:t>
      </w:r>
      <w:r w:rsidRPr="00E2448C">
        <w:t>nichž</w:t>
      </w:r>
      <w:r>
        <w:t xml:space="preserve"> </w:t>
      </w:r>
      <w:r w:rsidRPr="00E2448C">
        <w:t>strana</w:t>
      </w:r>
      <w:r>
        <w:t xml:space="preserve"> </w:t>
      </w:r>
      <w:r w:rsidRPr="00E2448C">
        <w:t>nebo</w:t>
      </w:r>
      <w:r>
        <w:t xml:space="preserve"> </w:t>
      </w:r>
      <w:r w:rsidRPr="00E2448C">
        <w:t>hnutí</w:t>
      </w:r>
      <w:r>
        <w:t xml:space="preserve"> </w:t>
      </w:r>
      <w:r w:rsidRPr="00E2448C">
        <w:t>mají</w:t>
      </w:r>
      <w:r>
        <w:t xml:space="preserve"> </w:t>
      </w:r>
      <w:r w:rsidRPr="00E2448C">
        <w:t>podíl</w:t>
      </w:r>
      <w:r>
        <w:t xml:space="preserve"> </w:t>
      </w:r>
      <w:r w:rsidRPr="00E2448C">
        <w:t>s</w:t>
      </w:r>
      <w:r>
        <w:t xml:space="preserve"> </w:t>
      </w:r>
      <w:r w:rsidRPr="00E2448C">
        <w:t>uvedením</w:t>
      </w:r>
      <w:r>
        <w:t xml:space="preserve"> </w:t>
      </w:r>
      <w:r w:rsidRPr="00E2448C">
        <w:t>výše</w:t>
      </w:r>
      <w:r>
        <w:t xml:space="preserve"> </w:t>
      </w:r>
      <w:r w:rsidRPr="00E2448C">
        <w:t>tohoto</w:t>
      </w:r>
      <w:r>
        <w:t xml:space="preserve"> </w:t>
      </w:r>
      <w:r w:rsidRPr="00E2448C">
        <w:t>podílu,</w:t>
      </w:r>
    </w:p>
    <w:p w14:paraId="15137B11" w14:textId="38EDB0B9" w:rsidR="00495F58" w:rsidRDefault="00495F58" w:rsidP="002B22FA">
      <w:pPr>
        <w:pStyle w:val="PZTextbodu"/>
        <w:spacing w:before="0"/>
      </w:pPr>
      <w:r w:rsidRPr="00E2448C">
        <w:lastRenderedPageBreak/>
        <w:t>2.</w:t>
      </w:r>
      <w:r w:rsidR="002B22FA">
        <w:tab/>
      </w:r>
      <w:r w:rsidRPr="00E2448C">
        <w:t>přehled</w:t>
      </w:r>
      <w:r>
        <w:t xml:space="preserve"> </w:t>
      </w:r>
      <w:r w:rsidRPr="00E2448C">
        <w:t>úvěrů,</w:t>
      </w:r>
      <w:r>
        <w:t xml:space="preserve"> </w:t>
      </w:r>
      <w:r w:rsidRPr="00E2448C">
        <w:t>zápůjček</w:t>
      </w:r>
      <w:r>
        <w:t xml:space="preserve"> </w:t>
      </w:r>
      <w:r w:rsidRPr="00E2448C">
        <w:t>a</w:t>
      </w:r>
      <w:r>
        <w:t xml:space="preserve"> </w:t>
      </w:r>
      <w:r w:rsidRPr="00E2448C">
        <w:t>jiných</w:t>
      </w:r>
      <w:r>
        <w:t xml:space="preserve"> </w:t>
      </w:r>
      <w:r w:rsidRPr="00E2448C">
        <w:t>dluhů</w:t>
      </w:r>
      <w:r>
        <w:t xml:space="preserve"> </w:t>
      </w:r>
      <w:r w:rsidRPr="00E2448C">
        <w:t>s</w:t>
      </w:r>
      <w:r>
        <w:t xml:space="preserve"> </w:t>
      </w:r>
      <w:r w:rsidRPr="00E2448C">
        <w:t>uvedením</w:t>
      </w:r>
      <w:r>
        <w:t xml:space="preserve"> </w:t>
      </w:r>
      <w:r w:rsidRPr="00E2448C">
        <w:t>výše</w:t>
      </w:r>
      <w:r>
        <w:t xml:space="preserve"> </w:t>
      </w:r>
      <w:r w:rsidRPr="00E2448C">
        <w:t>a</w:t>
      </w:r>
      <w:r>
        <w:t xml:space="preserve"> </w:t>
      </w:r>
      <w:r w:rsidRPr="00E2448C">
        <w:t>jejich</w:t>
      </w:r>
      <w:r>
        <w:t xml:space="preserve"> </w:t>
      </w:r>
      <w:r w:rsidRPr="00E2448C">
        <w:t>podmínek</w:t>
      </w:r>
      <w:r>
        <w:t xml:space="preserve"> </w:t>
      </w:r>
      <w:r w:rsidRPr="00E2448C">
        <w:t>včetně</w:t>
      </w:r>
      <w:r>
        <w:t xml:space="preserve"> </w:t>
      </w:r>
      <w:r w:rsidRPr="00E2448C">
        <w:t>termínu</w:t>
      </w:r>
      <w:r>
        <w:t xml:space="preserve"> </w:t>
      </w:r>
      <w:r w:rsidRPr="00E2448C">
        <w:t>splatnosti,</w:t>
      </w:r>
      <w:r>
        <w:t xml:space="preserve"> </w:t>
      </w:r>
      <w:r w:rsidRPr="00E2448C">
        <w:t>jména,</w:t>
      </w:r>
      <w:r>
        <w:t xml:space="preserve"> </w:t>
      </w:r>
      <w:r w:rsidRPr="00E2448C">
        <w:t>příjmení</w:t>
      </w:r>
      <w:r>
        <w:t xml:space="preserve"> </w:t>
      </w:r>
      <w:r w:rsidRPr="00E2448C">
        <w:t>a</w:t>
      </w:r>
      <w:r>
        <w:t xml:space="preserve"> </w:t>
      </w:r>
      <w:r w:rsidRPr="00E2448C">
        <w:t>data</w:t>
      </w:r>
      <w:r>
        <w:t xml:space="preserve"> </w:t>
      </w:r>
      <w:r w:rsidRPr="00E2448C">
        <w:t>narození;</w:t>
      </w:r>
      <w:r>
        <w:t xml:space="preserve"> </w:t>
      </w:r>
      <w:r w:rsidRPr="00E2448C">
        <w:t>je-li</w:t>
      </w:r>
      <w:r>
        <w:t xml:space="preserve"> </w:t>
      </w:r>
      <w:r w:rsidRPr="00E2448C">
        <w:t>poskytovatelem</w:t>
      </w:r>
      <w:r>
        <w:t xml:space="preserve"> </w:t>
      </w:r>
      <w:r w:rsidRPr="00E2448C">
        <w:t>právnická</w:t>
      </w:r>
      <w:r>
        <w:t xml:space="preserve"> </w:t>
      </w:r>
      <w:r w:rsidRPr="00E2448C">
        <w:t>osoba,</w:t>
      </w:r>
      <w:r>
        <w:t xml:space="preserve"> </w:t>
      </w:r>
      <w:r w:rsidRPr="00E2448C">
        <w:t>uvede</w:t>
      </w:r>
      <w:r>
        <w:t xml:space="preserve"> </w:t>
      </w:r>
      <w:r w:rsidRPr="00E2448C">
        <w:t>se</w:t>
      </w:r>
      <w:r>
        <w:t xml:space="preserve"> </w:t>
      </w:r>
      <w:r w:rsidRPr="00E2448C">
        <w:t>její</w:t>
      </w:r>
      <w:r>
        <w:t xml:space="preserve"> </w:t>
      </w:r>
      <w:r w:rsidRPr="00E2448C">
        <w:t>obchodní</w:t>
      </w:r>
      <w:r>
        <w:t xml:space="preserve"> </w:t>
      </w:r>
      <w:r w:rsidRPr="00E2448C">
        <w:t>firma</w:t>
      </w:r>
      <w:r>
        <w:t xml:space="preserve"> </w:t>
      </w:r>
      <w:r w:rsidRPr="00E2448C">
        <w:t>nebo</w:t>
      </w:r>
      <w:r>
        <w:t xml:space="preserve"> </w:t>
      </w:r>
      <w:r w:rsidRPr="00E2448C">
        <w:t>název</w:t>
      </w:r>
      <w:r>
        <w:t xml:space="preserve"> </w:t>
      </w:r>
      <w:r w:rsidRPr="00E2448C">
        <w:t>a</w:t>
      </w:r>
      <w:r>
        <w:t xml:space="preserve"> </w:t>
      </w:r>
      <w:r w:rsidRPr="00E2448C">
        <w:t>identifikační</w:t>
      </w:r>
      <w:r>
        <w:t xml:space="preserve"> </w:t>
      </w:r>
      <w:r w:rsidRPr="00E2448C">
        <w:t>číslo,</w:t>
      </w:r>
    </w:p>
    <w:p w14:paraId="2764E909" w14:textId="03640C21" w:rsidR="00495F58" w:rsidRDefault="00495F58" w:rsidP="002B22FA">
      <w:pPr>
        <w:pStyle w:val="PZTextpsmene"/>
        <w:tabs>
          <w:tab w:val="left" w:pos="851"/>
        </w:tabs>
        <w:spacing w:before="0"/>
      </w:pPr>
      <w:r w:rsidRPr="00E2448C">
        <w:t>d)</w:t>
      </w:r>
      <w:r w:rsidR="002B22FA">
        <w:tab/>
      </w:r>
      <w:r w:rsidRPr="00E2448C">
        <w:t>přehled</w:t>
      </w:r>
      <w:r>
        <w:t xml:space="preserve"> </w:t>
      </w:r>
      <w:r w:rsidRPr="00E2448C">
        <w:t>o</w:t>
      </w:r>
      <w:r>
        <w:t xml:space="preserve"> </w:t>
      </w:r>
      <w:r w:rsidRPr="00E2448C">
        <w:t>mzdových</w:t>
      </w:r>
      <w:r>
        <w:t xml:space="preserve"> </w:t>
      </w:r>
      <w:r w:rsidRPr="00E2448C">
        <w:t>výdajích</w:t>
      </w:r>
      <w:r>
        <w:t xml:space="preserve"> </w:t>
      </w:r>
      <w:r w:rsidRPr="00E2448C">
        <w:t>stranou</w:t>
      </w:r>
      <w:r>
        <w:t xml:space="preserve"> </w:t>
      </w:r>
      <w:r w:rsidRPr="00E2448C">
        <w:t>nebo</w:t>
      </w:r>
      <w:r>
        <w:t xml:space="preserve"> </w:t>
      </w:r>
      <w:r w:rsidRPr="00E2448C">
        <w:t>hnutím</w:t>
      </w:r>
      <w:r>
        <w:t xml:space="preserve"> </w:t>
      </w:r>
      <w:r w:rsidRPr="00E2448C">
        <w:t>vyplácených</w:t>
      </w:r>
      <w:r>
        <w:t xml:space="preserve"> </w:t>
      </w:r>
      <w:r w:rsidRPr="00E2448C">
        <w:t>osob</w:t>
      </w:r>
      <w:r>
        <w:t xml:space="preserve"> </w:t>
      </w:r>
      <w:r w:rsidRPr="00E2448C">
        <w:t>s</w:t>
      </w:r>
      <w:r>
        <w:t xml:space="preserve"> </w:t>
      </w:r>
      <w:r w:rsidRPr="00E2448C">
        <w:t>uvedením</w:t>
      </w:r>
      <w:r>
        <w:t xml:space="preserve"> </w:t>
      </w:r>
      <w:r w:rsidRPr="00E2448C">
        <w:t>počtu</w:t>
      </w:r>
      <w:r>
        <w:t xml:space="preserve"> </w:t>
      </w:r>
      <w:r w:rsidRPr="00E2448C">
        <w:t>těchto</w:t>
      </w:r>
      <w:r>
        <w:t xml:space="preserve"> </w:t>
      </w:r>
      <w:r w:rsidRPr="00E2448C">
        <w:t>osob</w:t>
      </w:r>
      <w:r>
        <w:t xml:space="preserve"> </w:t>
      </w:r>
      <w:r w:rsidRPr="00E2448C">
        <w:t>a</w:t>
      </w:r>
      <w:r>
        <w:t xml:space="preserve"> </w:t>
      </w:r>
      <w:r w:rsidRPr="00E2448C">
        <w:t>druhu</w:t>
      </w:r>
      <w:r>
        <w:t xml:space="preserve"> </w:t>
      </w:r>
      <w:r w:rsidRPr="00E2448C">
        <w:t>vykonávané</w:t>
      </w:r>
      <w:r>
        <w:t xml:space="preserve"> </w:t>
      </w:r>
      <w:r w:rsidRPr="00E2448C">
        <w:t>práce,</w:t>
      </w:r>
    </w:p>
    <w:p w14:paraId="654CB80A" w14:textId="0F48117B" w:rsidR="00495F58" w:rsidRDefault="00495F58" w:rsidP="002B22FA">
      <w:pPr>
        <w:pStyle w:val="PZTextpsmene"/>
        <w:tabs>
          <w:tab w:val="left" w:pos="851"/>
        </w:tabs>
        <w:spacing w:before="0"/>
      </w:pPr>
      <w:r w:rsidRPr="00E2448C">
        <w:t>e)</w:t>
      </w:r>
      <w:r w:rsidR="002B22FA">
        <w:tab/>
      </w:r>
      <w:r w:rsidRPr="00E2448C">
        <w:t>přehled</w:t>
      </w:r>
      <w:r>
        <w:t xml:space="preserve"> </w:t>
      </w:r>
      <w:r w:rsidRPr="00E2448C">
        <w:t>o</w:t>
      </w:r>
      <w:r>
        <w:t xml:space="preserve"> </w:t>
      </w:r>
      <w:r w:rsidRPr="00E2448C">
        <w:t>celkových</w:t>
      </w:r>
      <w:r>
        <w:t xml:space="preserve"> </w:t>
      </w:r>
      <w:r w:rsidRPr="00E2448C">
        <w:t>výdajích</w:t>
      </w:r>
      <w:r>
        <w:t xml:space="preserve"> </w:t>
      </w:r>
      <w:r w:rsidRPr="00E2448C">
        <w:t>na</w:t>
      </w:r>
      <w:r>
        <w:t xml:space="preserve"> </w:t>
      </w:r>
      <w:r w:rsidRPr="00E2448C">
        <w:t>daně,</w:t>
      </w:r>
      <w:r>
        <w:t xml:space="preserve"> </w:t>
      </w:r>
      <w:r w:rsidRPr="00E2448C">
        <w:t>poplatky</w:t>
      </w:r>
      <w:r>
        <w:t xml:space="preserve"> </w:t>
      </w:r>
      <w:r w:rsidRPr="00E2448C">
        <w:t>a</w:t>
      </w:r>
      <w:r>
        <w:t xml:space="preserve"> </w:t>
      </w:r>
      <w:r w:rsidRPr="00E2448C">
        <w:t>jiná</w:t>
      </w:r>
      <w:r>
        <w:t xml:space="preserve"> </w:t>
      </w:r>
      <w:r w:rsidRPr="00E2448C">
        <w:t>obdobná</w:t>
      </w:r>
      <w:r>
        <w:t xml:space="preserve"> </w:t>
      </w:r>
      <w:r w:rsidRPr="00E2448C">
        <w:t>peněžitá</w:t>
      </w:r>
      <w:r>
        <w:t xml:space="preserve"> </w:t>
      </w:r>
      <w:r w:rsidRPr="00E2448C">
        <w:t>plnění,</w:t>
      </w:r>
    </w:p>
    <w:p w14:paraId="4B3D3332" w14:textId="0FD0457D" w:rsidR="00495F58" w:rsidRDefault="00495F58" w:rsidP="002B22FA">
      <w:pPr>
        <w:pStyle w:val="PZTextpsmene"/>
        <w:tabs>
          <w:tab w:val="left" w:pos="851"/>
        </w:tabs>
        <w:spacing w:before="0"/>
      </w:pPr>
      <w:r w:rsidRPr="00E2448C">
        <w:t>f)</w:t>
      </w:r>
      <w:r w:rsidR="002B22FA">
        <w:tab/>
      </w:r>
      <w:r w:rsidRPr="00E2448C">
        <w:rPr>
          <w:strike/>
        </w:rPr>
        <w:t>výdaje</w:t>
      </w:r>
      <w:r>
        <w:rPr>
          <w:strike/>
        </w:rPr>
        <w:t xml:space="preserve"> </w:t>
      </w:r>
      <w:r w:rsidRPr="00E2448C">
        <w:rPr>
          <w:strike/>
        </w:rPr>
        <w:t>na</w:t>
      </w:r>
      <w:r>
        <w:rPr>
          <w:strike/>
        </w:rPr>
        <w:t xml:space="preserve"> </w:t>
      </w:r>
      <w:r w:rsidRPr="00E2448C">
        <w:rPr>
          <w:strike/>
        </w:rPr>
        <w:t>volby</w:t>
      </w:r>
      <w:r>
        <w:rPr>
          <w:strike/>
        </w:rPr>
        <w:t xml:space="preserve"> </w:t>
      </w:r>
      <w:r w:rsidRPr="00E2448C">
        <w:rPr>
          <w:strike/>
        </w:rPr>
        <w:t>členěné</w:t>
      </w:r>
      <w:r>
        <w:t xml:space="preserve"> </w:t>
      </w:r>
      <w:r w:rsidRPr="00E2448C">
        <w:rPr>
          <w:b/>
          <w:bCs/>
        </w:rPr>
        <w:t>přehled</w:t>
      </w:r>
      <w:r>
        <w:rPr>
          <w:b/>
          <w:bCs/>
        </w:rPr>
        <w:t xml:space="preserve"> </w:t>
      </w:r>
      <w:r w:rsidRPr="00E2448C">
        <w:rPr>
          <w:b/>
          <w:bCs/>
        </w:rPr>
        <w:t>výdajů</w:t>
      </w:r>
      <w:r>
        <w:rPr>
          <w:b/>
          <w:bCs/>
        </w:rPr>
        <w:t xml:space="preserve"> </w:t>
      </w:r>
      <w:r w:rsidRPr="00E2448C">
        <w:rPr>
          <w:b/>
          <w:bCs/>
        </w:rPr>
        <w:t>na</w:t>
      </w:r>
      <w:r>
        <w:rPr>
          <w:b/>
          <w:bCs/>
        </w:rPr>
        <w:t xml:space="preserve"> </w:t>
      </w:r>
      <w:r w:rsidRPr="00E2448C">
        <w:rPr>
          <w:b/>
          <w:bCs/>
        </w:rPr>
        <w:t>volby</w:t>
      </w:r>
      <w:r>
        <w:rPr>
          <w:b/>
          <w:bCs/>
        </w:rPr>
        <w:t xml:space="preserve"> </w:t>
      </w:r>
      <w:r w:rsidRPr="00E2448C">
        <w:rPr>
          <w:b/>
          <w:bCs/>
        </w:rPr>
        <w:t>členěných</w:t>
      </w:r>
      <w:r>
        <w:rPr>
          <w:b/>
          <w:bCs/>
        </w:rPr>
        <w:t xml:space="preserve"> </w:t>
      </w:r>
      <w:r w:rsidRPr="00E2448C">
        <w:t>podle</w:t>
      </w:r>
      <w:r>
        <w:t xml:space="preserve"> </w:t>
      </w:r>
      <w:r w:rsidRPr="00E2448C">
        <w:t>jednotlivých</w:t>
      </w:r>
      <w:r>
        <w:t xml:space="preserve"> </w:t>
      </w:r>
      <w:r w:rsidRPr="00E2448C">
        <w:t>druhů</w:t>
      </w:r>
      <w:r>
        <w:t xml:space="preserve"> </w:t>
      </w:r>
      <w:r w:rsidRPr="00E2448C">
        <w:t>voleb,</w:t>
      </w:r>
      <w:r>
        <w:t xml:space="preserve"> </w:t>
      </w:r>
      <w:r w:rsidRPr="00E2448C">
        <w:t>kterých</w:t>
      </w:r>
      <w:r>
        <w:t xml:space="preserve"> </w:t>
      </w:r>
      <w:r w:rsidRPr="00E2448C">
        <w:t>se</w:t>
      </w:r>
      <w:r>
        <w:t xml:space="preserve"> </w:t>
      </w:r>
      <w:r w:rsidRPr="00E2448C">
        <w:t>strana</w:t>
      </w:r>
      <w:r>
        <w:t xml:space="preserve"> </w:t>
      </w:r>
      <w:r w:rsidRPr="00E2448C">
        <w:t>a</w:t>
      </w:r>
      <w:r>
        <w:t xml:space="preserve"> </w:t>
      </w:r>
      <w:r w:rsidRPr="00E2448C">
        <w:t>hnutí</w:t>
      </w:r>
      <w:r>
        <w:t xml:space="preserve"> </w:t>
      </w:r>
      <w:r w:rsidRPr="00E2448C">
        <w:t>zúčastnily</w:t>
      </w:r>
      <w:r>
        <w:t xml:space="preserve"> </w:t>
      </w:r>
      <w:r w:rsidRPr="00E2448C">
        <w:t>v</w:t>
      </w:r>
      <w:r>
        <w:t xml:space="preserve"> </w:t>
      </w:r>
      <w:r w:rsidRPr="00E2448C">
        <w:t>daném</w:t>
      </w:r>
      <w:r>
        <w:t xml:space="preserve"> </w:t>
      </w:r>
      <w:r w:rsidRPr="00E2448C">
        <w:t>kalendářním</w:t>
      </w:r>
      <w:r>
        <w:t xml:space="preserve"> </w:t>
      </w:r>
      <w:r w:rsidRPr="00E2448C">
        <w:t>roce,</w:t>
      </w:r>
      <w:r>
        <w:t xml:space="preserve"> </w:t>
      </w:r>
      <w:r w:rsidRPr="00E2448C">
        <w:t>12</w:t>
      </w:r>
    </w:p>
    <w:p w14:paraId="05E1DDA9" w14:textId="6AAAFD27" w:rsidR="00495F58" w:rsidRDefault="00495F58" w:rsidP="002B22FA">
      <w:pPr>
        <w:pStyle w:val="PZTextpsmene"/>
        <w:tabs>
          <w:tab w:val="left" w:pos="851"/>
        </w:tabs>
        <w:spacing w:before="0"/>
      </w:pPr>
      <w:r w:rsidRPr="00E2448C">
        <w:t>g)</w:t>
      </w:r>
      <w:r w:rsidR="002B22FA">
        <w:tab/>
      </w:r>
      <w:r w:rsidRPr="00E2448C">
        <w:t>přehled</w:t>
      </w:r>
      <w:r>
        <w:t xml:space="preserve"> </w:t>
      </w:r>
      <w:r w:rsidRPr="00E2448C">
        <w:t>o</w:t>
      </w:r>
      <w:r>
        <w:t xml:space="preserve"> </w:t>
      </w:r>
      <w:r w:rsidRPr="00E2448C">
        <w:t>dárcích</w:t>
      </w:r>
      <w:r>
        <w:t xml:space="preserve"> </w:t>
      </w:r>
      <w:r w:rsidRPr="00E2448C">
        <w:t>a</w:t>
      </w:r>
      <w:r>
        <w:t xml:space="preserve"> </w:t>
      </w:r>
      <w:r w:rsidRPr="00E2448C">
        <w:t>jejich</w:t>
      </w:r>
      <w:r>
        <w:t xml:space="preserve"> </w:t>
      </w:r>
      <w:r w:rsidRPr="00E2448C">
        <w:t>darech</w:t>
      </w:r>
      <w:r>
        <w:t xml:space="preserve"> </w:t>
      </w:r>
      <w:r w:rsidRPr="00E2448C">
        <w:t>s</w:t>
      </w:r>
      <w:r>
        <w:t xml:space="preserve"> </w:t>
      </w:r>
      <w:r w:rsidRPr="00E2448C">
        <w:t>uvedením</w:t>
      </w:r>
      <w:r>
        <w:t xml:space="preserve"> </w:t>
      </w:r>
      <w:r w:rsidRPr="00E2448C">
        <w:t>výše</w:t>
      </w:r>
      <w:r>
        <w:t xml:space="preserve"> </w:t>
      </w:r>
      <w:r w:rsidRPr="00E2448C">
        <w:t>peněžitého</w:t>
      </w:r>
      <w:r>
        <w:t xml:space="preserve"> </w:t>
      </w:r>
      <w:r w:rsidRPr="00E2448C">
        <w:t>daru</w:t>
      </w:r>
      <w:r>
        <w:t xml:space="preserve"> </w:t>
      </w:r>
      <w:r w:rsidRPr="00E2448C">
        <w:t>a</w:t>
      </w:r>
      <w:r>
        <w:t xml:space="preserve"> </w:t>
      </w:r>
      <w:r w:rsidRPr="00E2448C">
        <w:t>obvyklé</w:t>
      </w:r>
      <w:r>
        <w:t xml:space="preserve"> </w:t>
      </w:r>
      <w:r w:rsidRPr="00E2448C">
        <w:rPr>
          <w:strike/>
        </w:rPr>
        <w:t>ceny</w:t>
      </w:r>
      <w:r w:rsidRPr="00E2448C">
        <w:rPr>
          <w:strike/>
          <w:vertAlign w:val="superscript"/>
        </w:rPr>
        <w:t>7)</w:t>
      </w:r>
      <w:r>
        <w:t xml:space="preserve"> </w:t>
      </w:r>
      <w:r w:rsidRPr="00E2448C">
        <w:rPr>
          <w:b/>
          <w:bCs/>
        </w:rPr>
        <w:t>hodnoty</w:t>
      </w:r>
      <w:r>
        <w:rPr>
          <w:b/>
          <w:bCs/>
        </w:rPr>
        <w:t xml:space="preserve"> </w:t>
      </w:r>
      <w:r w:rsidRPr="00E2448C">
        <w:t>nepeněžitého</w:t>
      </w:r>
      <w:r>
        <w:t xml:space="preserve"> </w:t>
      </w:r>
      <w:r w:rsidRPr="00E2448C">
        <w:t>daru</w:t>
      </w:r>
      <w:r>
        <w:t xml:space="preserve"> </w:t>
      </w:r>
      <w:r w:rsidRPr="00E2448C">
        <w:rPr>
          <w:b/>
          <w:bCs/>
        </w:rPr>
        <w:t>určené</w:t>
      </w:r>
      <w:r>
        <w:rPr>
          <w:b/>
          <w:bCs/>
        </w:rPr>
        <w:t xml:space="preserve"> </w:t>
      </w:r>
      <w:r w:rsidRPr="00E2448C">
        <w:rPr>
          <w:b/>
          <w:bCs/>
        </w:rPr>
        <w:t>podle</w:t>
      </w:r>
      <w:r>
        <w:rPr>
          <w:b/>
          <w:bCs/>
        </w:rPr>
        <w:t xml:space="preserve"> </w:t>
      </w:r>
      <w:r w:rsidRPr="00E2448C">
        <w:rPr>
          <w:b/>
          <w:bCs/>
        </w:rPr>
        <w:t>zákona</w:t>
      </w:r>
      <w:r>
        <w:rPr>
          <w:b/>
          <w:bCs/>
        </w:rPr>
        <w:t xml:space="preserve"> </w:t>
      </w:r>
      <w:r w:rsidRPr="00E2448C">
        <w:rPr>
          <w:b/>
          <w:bCs/>
        </w:rPr>
        <w:t>o</w:t>
      </w:r>
      <w:r>
        <w:rPr>
          <w:b/>
          <w:bCs/>
        </w:rPr>
        <w:t xml:space="preserve"> </w:t>
      </w:r>
      <w:r w:rsidRPr="00E2448C">
        <w:rPr>
          <w:b/>
          <w:bCs/>
        </w:rPr>
        <w:t>oceňování</w:t>
      </w:r>
      <w:r w:rsidRPr="00E2448C">
        <w:t>,</w:t>
      </w:r>
      <w:r>
        <w:t xml:space="preserve"> </w:t>
      </w:r>
      <w:r w:rsidRPr="00E2448C">
        <w:t>jména,</w:t>
      </w:r>
      <w:r>
        <w:t xml:space="preserve"> </w:t>
      </w:r>
      <w:r w:rsidRPr="00E2448C">
        <w:t>příjmení</w:t>
      </w:r>
      <w:r>
        <w:t xml:space="preserve"> </w:t>
      </w:r>
      <w:r w:rsidRPr="00E2448C">
        <w:t>a</w:t>
      </w:r>
      <w:r>
        <w:t xml:space="preserve"> </w:t>
      </w:r>
      <w:r w:rsidRPr="00E2448C">
        <w:t>data</w:t>
      </w:r>
      <w:r>
        <w:t xml:space="preserve"> </w:t>
      </w:r>
      <w:r w:rsidRPr="00E2448C">
        <w:t>narození;</w:t>
      </w:r>
      <w:r>
        <w:t xml:space="preserve"> </w:t>
      </w:r>
      <w:r w:rsidRPr="00E2448C">
        <w:t>je-li</w:t>
      </w:r>
      <w:r>
        <w:t xml:space="preserve"> </w:t>
      </w:r>
      <w:r w:rsidRPr="00E2448C">
        <w:t>dárcem</w:t>
      </w:r>
      <w:r>
        <w:t xml:space="preserve"> </w:t>
      </w:r>
      <w:r w:rsidRPr="00E2448C">
        <w:t>právnická</w:t>
      </w:r>
      <w:r>
        <w:t xml:space="preserve"> </w:t>
      </w:r>
      <w:r w:rsidRPr="00E2448C">
        <w:t>osoba,</w:t>
      </w:r>
      <w:r>
        <w:t xml:space="preserve"> </w:t>
      </w:r>
      <w:r w:rsidRPr="00E2448C">
        <w:t>uvede</w:t>
      </w:r>
      <w:r>
        <w:t xml:space="preserve"> </w:t>
      </w:r>
      <w:r w:rsidRPr="00E2448C">
        <w:t>se</w:t>
      </w:r>
      <w:r>
        <w:t xml:space="preserve"> </w:t>
      </w:r>
      <w:r w:rsidRPr="00E2448C">
        <w:t>její</w:t>
      </w:r>
      <w:r>
        <w:t xml:space="preserve"> </w:t>
      </w:r>
      <w:r w:rsidRPr="00E2448C">
        <w:t>obchodní</w:t>
      </w:r>
      <w:r>
        <w:t xml:space="preserve"> </w:t>
      </w:r>
      <w:r w:rsidRPr="00E2448C">
        <w:t>firma</w:t>
      </w:r>
      <w:r>
        <w:t xml:space="preserve"> </w:t>
      </w:r>
      <w:r w:rsidRPr="00E2448C">
        <w:t>nebo</w:t>
      </w:r>
      <w:r>
        <w:t xml:space="preserve"> </w:t>
      </w:r>
      <w:r w:rsidRPr="00E2448C">
        <w:t>název</w:t>
      </w:r>
      <w:r>
        <w:t xml:space="preserve"> </w:t>
      </w:r>
      <w:r w:rsidRPr="00E2448C">
        <w:t>a</w:t>
      </w:r>
      <w:r>
        <w:t xml:space="preserve"> </w:t>
      </w:r>
      <w:r w:rsidRPr="00E2448C">
        <w:t>identifikační</w:t>
      </w:r>
      <w:r>
        <w:t xml:space="preserve"> </w:t>
      </w:r>
      <w:r w:rsidRPr="00E2448C">
        <w:t>číslo,</w:t>
      </w:r>
    </w:p>
    <w:p w14:paraId="45013D5D" w14:textId="3BA92142" w:rsidR="00495F58" w:rsidRDefault="00495F58" w:rsidP="002B22FA">
      <w:pPr>
        <w:pStyle w:val="PZTextpsmene"/>
        <w:tabs>
          <w:tab w:val="left" w:pos="851"/>
        </w:tabs>
        <w:spacing w:before="0"/>
      </w:pPr>
      <w:r w:rsidRPr="00E2448C">
        <w:t>h)</w:t>
      </w:r>
      <w:r w:rsidR="002B22FA">
        <w:tab/>
      </w:r>
      <w:r w:rsidRPr="00E2448C">
        <w:t>přehled</w:t>
      </w:r>
      <w:r>
        <w:t xml:space="preserve"> </w:t>
      </w:r>
      <w:r w:rsidRPr="00E2448C">
        <w:t>poskytnutých</w:t>
      </w:r>
      <w:r>
        <w:t xml:space="preserve"> </w:t>
      </w:r>
      <w:r w:rsidRPr="00E2448C">
        <w:t>ostatních</w:t>
      </w:r>
      <w:r>
        <w:t xml:space="preserve"> </w:t>
      </w:r>
      <w:r w:rsidRPr="00E2448C">
        <w:t>bezúplatných</w:t>
      </w:r>
      <w:r>
        <w:t xml:space="preserve"> </w:t>
      </w:r>
      <w:r w:rsidRPr="00E2448C">
        <w:t>plnění,</w:t>
      </w:r>
      <w:r>
        <w:t xml:space="preserve"> </w:t>
      </w:r>
      <w:r w:rsidRPr="00E2448C">
        <w:t>jejichž</w:t>
      </w:r>
      <w:r>
        <w:t xml:space="preserve"> </w:t>
      </w:r>
      <w:r w:rsidRPr="00E2448C">
        <w:t>obvyklá</w:t>
      </w:r>
      <w:r>
        <w:t xml:space="preserve"> </w:t>
      </w:r>
      <w:r w:rsidRPr="00E2448C">
        <w:rPr>
          <w:strike/>
        </w:rPr>
        <w:t>cena</w:t>
      </w:r>
      <w:r w:rsidRPr="00E2448C">
        <w:rPr>
          <w:strike/>
          <w:vertAlign w:val="superscript"/>
        </w:rPr>
        <w:t>7)</w:t>
      </w:r>
      <w:r>
        <w:t xml:space="preserve"> </w:t>
      </w:r>
      <w:r w:rsidRPr="00E2448C">
        <w:rPr>
          <w:b/>
          <w:bCs/>
        </w:rPr>
        <w:t>hodnota</w:t>
      </w:r>
      <w:r>
        <w:rPr>
          <w:b/>
          <w:bCs/>
        </w:rPr>
        <w:t xml:space="preserve"> </w:t>
      </w:r>
      <w:r w:rsidRPr="00E2448C">
        <w:rPr>
          <w:b/>
          <w:bCs/>
        </w:rPr>
        <w:t>určená</w:t>
      </w:r>
      <w:r>
        <w:rPr>
          <w:b/>
          <w:bCs/>
        </w:rPr>
        <w:t xml:space="preserve"> </w:t>
      </w:r>
      <w:r w:rsidRPr="00E2448C">
        <w:rPr>
          <w:b/>
          <w:bCs/>
        </w:rPr>
        <w:t>podle</w:t>
      </w:r>
      <w:r>
        <w:rPr>
          <w:b/>
          <w:bCs/>
        </w:rPr>
        <w:t xml:space="preserve"> </w:t>
      </w:r>
      <w:r w:rsidRPr="00E2448C">
        <w:rPr>
          <w:b/>
          <w:bCs/>
        </w:rPr>
        <w:t>zákona</w:t>
      </w:r>
      <w:r>
        <w:rPr>
          <w:b/>
          <w:bCs/>
        </w:rPr>
        <w:t xml:space="preserve"> </w:t>
      </w:r>
      <w:r w:rsidRPr="00E2448C">
        <w:rPr>
          <w:b/>
          <w:bCs/>
        </w:rPr>
        <w:t>o</w:t>
      </w:r>
      <w:r>
        <w:rPr>
          <w:b/>
          <w:bCs/>
        </w:rPr>
        <w:t xml:space="preserve"> </w:t>
      </w:r>
      <w:r w:rsidRPr="00E2448C">
        <w:rPr>
          <w:b/>
          <w:bCs/>
        </w:rPr>
        <w:t>oceňování</w:t>
      </w:r>
      <w:r>
        <w:rPr>
          <w:b/>
          <w:bCs/>
        </w:rPr>
        <w:t xml:space="preserve"> </w:t>
      </w:r>
      <w:r w:rsidRPr="00E2448C">
        <w:t>převyšuje</w:t>
      </w:r>
      <w:r>
        <w:t xml:space="preserve"> </w:t>
      </w:r>
      <w:r w:rsidRPr="00E2448C">
        <w:t>částku</w:t>
      </w:r>
      <w:r>
        <w:t xml:space="preserve"> </w:t>
      </w:r>
      <w:r w:rsidRPr="00E2448C">
        <w:t>50</w:t>
      </w:r>
      <w:r>
        <w:t xml:space="preserve"> </w:t>
      </w:r>
      <w:r w:rsidRPr="00E2448C">
        <w:t>000</w:t>
      </w:r>
      <w:r>
        <w:t xml:space="preserve"> </w:t>
      </w:r>
      <w:r w:rsidRPr="00E2448C">
        <w:t>Kč,</w:t>
      </w:r>
      <w:r>
        <w:t xml:space="preserve"> </w:t>
      </w:r>
      <w:r w:rsidRPr="00E2448C">
        <w:t>s</w:t>
      </w:r>
      <w:r>
        <w:t xml:space="preserve"> </w:t>
      </w:r>
      <w:r w:rsidRPr="00E2448C">
        <w:t>uvedením</w:t>
      </w:r>
      <w:r>
        <w:t xml:space="preserve"> </w:t>
      </w:r>
      <w:r w:rsidRPr="00E2448C">
        <w:t>jména,</w:t>
      </w:r>
      <w:r>
        <w:t xml:space="preserve"> </w:t>
      </w:r>
      <w:r w:rsidRPr="00E2448C">
        <w:t>příjmení</w:t>
      </w:r>
      <w:r>
        <w:t xml:space="preserve"> </w:t>
      </w:r>
      <w:r w:rsidRPr="00E2448C">
        <w:t>a</w:t>
      </w:r>
      <w:r>
        <w:t xml:space="preserve"> </w:t>
      </w:r>
      <w:r w:rsidRPr="00E2448C">
        <w:t>data</w:t>
      </w:r>
      <w:r>
        <w:t xml:space="preserve"> </w:t>
      </w:r>
      <w:r w:rsidRPr="00E2448C">
        <w:t>narození;</w:t>
      </w:r>
      <w:r>
        <w:t xml:space="preserve"> </w:t>
      </w:r>
      <w:r w:rsidRPr="00E2448C">
        <w:t>je-li</w:t>
      </w:r>
      <w:r>
        <w:t xml:space="preserve"> </w:t>
      </w:r>
      <w:r w:rsidRPr="00E2448C">
        <w:t>poskytovatelem</w:t>
      </w:r>
      <w:r>
        <w:t xml:space="preserve"> </w:t>
      </w:r>
      <w:r w:rsidRPr="00E2448C">
        <w:t>právnická</w:t>
      </w:r>
      <w:r>
        <w:t xml:space="preserve"> </w:t>
      </w:r>
      <w:r w:rsidRPr="00E2448C">
        <w:t>osoba,</w:t>
      </w:r>
      <w:r>
        <w:t xml:space="preserve"> </w:t>
      </w:r>
      <w:r w:rsidRPr="00E2448C">
        <w:t>uvede</w:t>
      </w:r>
      <w:r>
        <w:t xml:space="preserve"> </w:t>
      </w:r>
      <w:r w:rsidRPr="00E2448C">
        <w:t>se</w:t>
      </w:r>
      <w:r>
        <w:t xml:space="preserve"> </w:t>
      </w:r>
      <w:r w:rsidRPr="00E2448C">
        <w:t>její</w:t>
      </w:r>
      <w:r>
        <w:t xml:space="preserve"> </w:t>
      </w:r>
      <w:r w:rsidRPr="00E2448C">
        <w:t>obchodní</w:t>
      </w:r>
      <w:r>
        <w:t xml:space="preserve"> </w:t>
      </w:r>
      <w:r w:rsidRPr="00E2448C">
        <w:t>firma</w:t>
      </w:r>
      <w:r>
        <w:t xml:space="preserve"> </w:t>
      </w:r>
      <w:r w:rsidRPr="00E2448C">
        <w:t>nebo</w:t>
      </w:r>
      <w:r>
        <w:t xml:space="preserve"> </w:t>
      </w:r>
      <w:r w:rsidRPr="00E2448C">
        <w:t>název</w:t>
      </w:r>
      <w:r>
        <w:t xml:space="preserve"> </w:t>
      </w:r>
      <w:r w:rsidRPr="00E2448C">
        <w:t>a</w:t>
      </w:r>
      <w:r>
        <w:t xml:space="preserve"> </w:t>
      </w:r>
      <w:r w:rsidRPr="00E2448C">
        <w:t>identifikační</w:t>
      </w:r>
      <w:r>
        <w:t xml:space="preserve"> </w:t>
      </w:r>
      <w:r w:rsidRPr="00E2448C">
        <w:t>číslo,</w:t>
      </w:r>
    </w:p>
    <w:p w14:paraId="5B9BEFA0" w14:textId="43F3D229" w:rsidR="00495F58" w:rsidRDefault="00495F58" w:rsidP="002B22FA">
      <w:pPr>
        <w:pStyle w:val="PZTextpsmene"/>
        <w:tabs>
          <w:tab w:val="left" w:pos="851"/>
        </w:tabs>
        <w:spacing w:before="0"/>
      </w:pPr>
      <w:r w:rsidRPr="00E2448C">
        <w:t>i)</w:t>
      </w:r>
      <w:r w:rsidR="002B22FA">
        <w:tab/>
      </w:r>
      <w:r w:rsidRPr="00E2448C">
        <w:t>přehled</w:t>
      </w:r>
      <w:r>
        <w:t xml:space="preserve"> </w:t>
      </w:r>
      <w:r w:rsidRPr="00E2448C">
        <w:t>o</w:t>
      </w:r>
      <w:r>
        <w:t xml:space="preserve"> </w:t>
      </w:r>
      <w:r w:rsidRPr="00E2448C">
        <w:t>hodnotě</w:t>
      </w:r>
      <w:r>
        <w:t xml:space="preserve"> </w:t>
      </w:r>
      <w:r w:rsidRPr="00E2448C">
        <w:t>majetku</w:t>
      </w:r>
      <w:r>
        <w:t xml:space="preserve"> </w:t>
      </w:r>
      <w:r w:rsidRPr="00E2448C">
        <w:t>získaného</w:t>
      </w:r>
      <w:r>
        <w:t xml:space="preserve"> </w:t>
      </w:r>
      <w:r w:rsidRPr="00E2448C">
        <w:t>dědictvím</w:t>
      </w:r>
      <w:r>
        <w:t xml:space="preserve"> </w:t>
      </w:r>
      <w:r w:rsidRPr="00E2448C">
        <w:t>nebo</w:t>
      </w:r>
      <w:r>
        <w:t xml:space="preserve"> </w:t>
      </w:r>
      <w:r w:rsidRPr="00E2448C">
        <w:t>odkazem;</w:t>
      </w:r>
      <w:r>
        <w:t xml:space="preserve"> </w:t>
      </w:r>
      <w:r w:rsidRPr="00E2448C">
        <w:t>pokud</w:t>
      </w:r>
      <w:r>
        <w:t xml:space="preserve"> </w:t>
      </w:r>
      <w:r w:rsidRPr="00E2448C">
        <w:t>hodnota</w:t>
      </w:r>
      <w:r>
        <w:t xml:space="preserve"> </w:t>
      </w:r>
      <w:r w:rsidRPr="00E2448C">
        <w:t>získaného</w:t>
      </w:r>
      <w:r>
        <w:t xml:space="preserve"> </w:t>
      </w:r>
      <w:r w:rsidRPr="00E2448C">
        <w:t>majetku</w:t>
      </w:r>
      <w:r>
        <w:t xml:space="preserve"> </w:t>
      </w:r>
      <w:r w:rsidRPr="00E2448C">
        <w:t>přesahuje</w:t>
      </w:r>
      <w:r>
        <w:t xml:space="preserve"> </w:t>
      </w:r>
      <w:r w:rsidRPr="00E2448C">
        <w:t>50</w:t>
      </w:r>
      <w:r>
        <w:t xml:space="preserve"> </w:t>
      </w:r>
      <w:r w:rsidRPr="00E2448C">
        <w:t>000</w:t>
      </w:r>
      <w:r>
        <w:t xml:space="preserve"> </w:t>
      </w:r>
      <w:r w:rsidRPr="00E2448C">
        <w:t>Kč,</w:t>
      </w:r>
      <w:r>
        <w:t xml:space="preserve"> </w:t>
      </w:r>
      <w:r w:rsidRPr="00E2448C">
        <w:t>uvede</w:t>
      </w:r>
      <w:r>
        <w:t xml:space="preserve"> </w:t>
      </w:r>
      <w:r w:rsidRPr="00E2448C">
        <w:t>se</w:t>
      </w:r>
      <w:r>
        <w:t xml:space="preserve"> </w:t>
      </w:r>
      <w:r w:rsidRPr="00E2448C">
        <w:t>jméno,</w:t>
      </w:r>
      <w:r>
        <w:t xml:space="preserve"> </w:t>
      </w:r>
      <w:r w:rsidRPr="00E2448C">
        <w:t>příjmení,</w:t>
      </w:r>
      <w:r>
        <w:t xml:space="preserve"> </w:t>
      </w:r>
      <w:r w:rsidRPr="00E2448C">
        <w:t>datum</w:t>
      </w:r>
      <w:r>
        <w:t xml:space="preserve"> </w:t>
      </w:r>
      <w:r w:rsidRPr="00E2448C">
        <w:t>narození</w:t>
      </w:r>
      <w:r>
        <w:t xml:space="preserve"> </w:t>
      </w:r>
      <w:r w:rsidRPr="00E2448C">
        <w:t>a</w:t>
      </w:r>
      <w:r>
        <w:t xml:space="preserve"> </w:t>
      </w:r>
      <w:r w:rsidRPr="00E2448C">
        <w:t>datum</w:t>
      </w:r>
      <w:r>
        <w:t xml:space="preserve"> </w:t>
      </w:r>
      <w:r w:rsidRPr="00E2448C">
        <w:t>úmrtí</w:t>
      </w:r>
      <w:r>
        <w:t xml:space="preserve"> </w:t>
      </w:r>
      <w:r w:rsidRPr="00E2448C">
        <w:t>a</w:t>
      </w:r>
      <w:r>
        <w:t xml:space="preserve"> </w:t>
      </w:r>
      <w:r w:rsidRPr="00E2448C">
        <w:t>obec</w:t>
      </w:r>
      <w:r>
        <w:t xml:space="preserve"> </w:t>
      </w:r>
      <w:r w:rsidRPr="00E2448C">
        <w:t>místa</w:t>
      </w:r>
      <w:r>
        <w:t xml:space="preserve"> </w:t>
      </w:r>
      <w:r w:rsidRPr="00E2448C">
        <w:t>posledního</w:t>
      </w:r>
      <w:r>
        <w:t xml:space="preserve"> </w:t>
      </w:r>
      <w:r w:rsidRPr="00E2448C">
        <w:t>pobytu</w:t>
      </w:r>
      <w:r>
        <w:t xml:space="preserve"> </w:t>
      </w:r>
      <w:r w:rsidRPr="00E2448C">
        <w:t>zůstavitele,</w:t>
      </w:r>
    </w:p>
    <w:p w14:paraId="0844BAF9" w14:textId="28026437" w:rsidR="00495F58" w:rsidRDefault="00495F58" w:rsidP="002B22FA">
      <w:pPr>
        <w:pStyle w:val="PZTextpsmene"/>
        <w:tabs>
          <w:tab w:val="left" w:pos="851"/>
        </w:tabs>
        <w:spacing w:before="0"/>
      </w:pPr>
      <w:r w:rsidRPr="00E2448C">
        <w:t>j)</w:t>
      </w:r>
      <w:r w:rsidR="002B22FA">
        <w:tab/>
      </w:r>
      <w:r w:rsidRPr="00E2448C">
        <w:t>přehled</w:t>
      </w:r>
      <w:r>
        <w:t xml:space="preserve"> </w:t>
      </w:r>
      <w:r w:rsidRPr="00E2448C">
        <w:t>o</w:t>
      </w:r>
      <w:r>
        <w:t xml:space="preserve"> </w:t>
      </w:r>
      <w:r w:rsidRPr="00E2448C">
        <w:t>členech,</w:t>
      </w:r>
      <w:r>
        <w:t xml:space="preserve"> </w:t>
      </w:r>
      <w:r w:rsidRPr="00E2448C">
        <w:t>jejichž</w:t>
      </w:r>
      <w:r>
        <w:t xml:space="preserve"> </w:t>
      </w:r>
      <w:r w:rsidRPr="00E2448C">
        <w:t>členský</w:t>
      </w:r>
      <w:r>
        <w:t xml:space="preserve"> </w:t>
      </w:r>
      <w:r w:rsidRPr="00E2448C">
        <w:t>příspěvek</w:t>
      </w:r>
      <w:r>
        <w:t xml:space="preserve"> </w:t>
      </w:r>
      <w:r w:rsidRPr="00E2448C">
        <w:t>za</w:t>
      </w:r>
      <w:r>
        <w:t xml:space="preserve"> </w:t>
      </w:r>
      <w:r w:rsidRPr="00E2448C">
        <w:t>kalendářní</w:t>
      </w:r>
      <w:r>
        <w:t xml:space="preserve"> </w:t>
      </w:r>
      <w:r w:rsidRPr="00E2448C">
        <w:t>rok</w:t>
      </w:r>
      <w:r>
        <w:t xml:space="preserve"> </w:t>
      </w:r>
      <w:r w:rsidRPr="00E2448C">
        <w:t>je</w:t>
      </w:r>
      <w:r>
        <w:t xml:space="preserve"> </w:t>
      </w:r>
      <w:r w:rsidRPr="00E2448C">
        <w:t>vyšší</w:t>
      </w:r>
      <w:r>
        <w:t xml:space="preserve"> </w:t>
      </w:r>
      <w:r w:rsidRPr="00E2448C">
        <w:t>než</w:t>
      </w:r>
      <w:r>
        <w:t xml:space="preserve"> </w:t>
      </w:r>
      <w:r w:rsidRPr="00E2448C">
        <w:t>50</w:t>
      </w:r>
      <w:r>
        <w:t xml:space="preserve"> </w:t>
      </w:r>
      <w:r w:rsidRPr="00E2448C">
        <w:t>000</w:t>
      </w:r>
      <w:r>
        <w:t xml:space="preserve"> </w:t>
      </w:r>
      <w:r w:rsidRPr="00E2448C">
        <w:t>Kč,</w:t>
      </w:r>
      <w:r>
        <w:t xml:space="preserve"> </w:t>
      </w:r>
      <w:r w:rsidRPr="00E2448C">
        <w:t>s</w:t>
      </w:r>
      <w:r>
        <w:t xml:space="preserve"> </w:t>
      </w:r>
      <w:r w:rsidRPr="00E2448C">
        <w:t>uvedením</w:t>
      </w:r>
      <w:r>
        <w:t xml:space="preserve"> </w:t>
      </w:r>
      <w:r w:rsidRPr="00E2448C">
        <w:t>jejich</w:t>
      </w:r>
      <w:r>
        <w:t xml:space="preserve"> </w:t>
      </w:r>
      <w:r w:rsidRPr="00E2448C">
        <w:t>jména,</w:t>
      </w:r>
      <w:r>
        <w:t xml:space="preserve"> </w:t>
      </w:r>
      <w:r w:rsidRPr="00E2448C">
        <w:t>příjmení,</w:t>
      </w:r>
      <w:r>
        <w:t xml:space="preserve"> </w:t>
      </w:r>
      <w:r w:rsidRPr="00E2448C">
        <w:t>data</w:t>
      </w:r>
      <w:r>
        <w:t xml:space="preserve"> </w:t>
      </w:r>
      <w:r w:rsidRPr="00E2448C">
        <w:t>narození,</w:t>
      </w:r>
      <w:r>
        <w:t xml:space="preserve"> </w:t>
      </w:r>
      <w:r w:rsidRPr="00E2448C">
        <w:t>obce</w:t>
      </w:r>
      <w:r>
        <w:t xml:space="preserve"> </w:t>
      </w:r>
      <w:r w:rsidRPr="00E2448C">
        <w:t>místa</w:t>
      </w:r>
      <w:r>
        <w:t xml:space="preserve"> </w:t>
      </w:r>
      <w:r w:rsidRPr="00E2448C">
        <w:t>pobytu</w:t>
      </w:r>
      <w:r>
        <w:t xml:space="preserve"> </w:t>
      </w:r>
      <w:r w:rsidRPr="00E2448C">
        <w:t>a</w:t>
      </w:r>
      <w:r>
        <w:t xml:space="preserve"> </w:t>
      </w:r>
      <w:r w:rsidRPr="00E2448C">
        <w:t>celkové</w:t>
      </w:r>
      <w:r>
        <w:t xml:space="preserve"> </w:t>
      </w:r>
      <w:r w:rsidRPr="00E2448C">
        <w:t>výše</w:t>
      </w:r>
      <w:r>
        <w:t xml:space="preserve"> </w:t>
      </w:r>
      <w:r w:rsidRPr="00E2448C">
        <w:t>členského</w:t>
      </w:r>
      <w:r>
        <w:t xml:space="preserve"> </w:t>
      </w:r>
      <w:r w:rsidRPr="00E2448C">
        <w:t>příspěvku,</w:t>
      </w:r>
    </w:p>
    <w:p w14:paraId="4FC5A0DF" w14:textId="2A3FF392" w:rsidR="00495F58" w:rsidRDefault="00495F58" w:rsidP="002B22FA">
      <w:pPr>
        <w:pStyle w:val="PZTextpsmene"/>
        <w:tabs>
          <w:tab w:val="left" w:pos="851"/>
        </w:tabs>
        <w:spacing w:before="0"/>
      </w:pPr>
      <w:r w:rsidRPr="00E2448C">
        <w:t>k)</w:t>
      </w:r>
      <w:r w:rsidR="002B22FA">
        <w:tab/>
      </w:r>
      <w:r w:rsidRPr="00E2448C">
        <w:t>název</w:t>
      </w:r>
      <w:r>
        <w:t xml:space="preserve"> </w:t>
      </w:r>
      <w:r w:rsidRPr="00E2448C">
        <w:t>a</w:t>
      </w:r>
      <w:r>
        <w:t xml:space="preserve"> </w:t>
      </w:r>
      <w:r w:rsidRPr="00E2448C">
        <w:t>sídlo</w:t>
      </w:r>
      <w:r>
        <w:t xml:space="preserve"> </w:t>
      </w:r>
      <w:r w:rsidRPr="00E2448C">
        <w:t>politického</w:t>
      </w:r>
      <w:r>
        <w:t xml:space="preserve"> </w:t>
      </w:r>
      <w:r w:rsidRPr="00E2448C">
        <w:t>institutu,</w:t>
      </w:r>
      <w:r>
        <w:t xml:space="preserve"> </w:t>
      </w:r>
      <w:r w:rsidRPr="00E2448C">
        <w:t>jehož</w:t>
      </w:r>
      <w:r>
        <w:t xml:space="preserve"> </w:t>
      </w:r>
      <w:r w:rsidRPr="00E2448C">
        <w:t>je</w:t>
      </w:r>
      <w:r>
        <w:t xml:space="preserve"> </w:t>
      </w:r>
      <w:r w:rsidRPr="00E2448C">
        <w:t>strana</w:t>
      </w:r>
      <w:r>
        <w:t xml:space="preserve"> </w:t>
      </w:r>
      <w:r w:rsidRPr="00E2448C">
        <w:t>nebo</w:t>
      </w:r>
      <w:r>
        <w:t xml:space="preserve"> </w:t>
      </w:r>
      <w:r w:rsidRPr="00E2448C">
        <w:t>hnutí</w:t>
      </w:r>
      <w:r>
        <w:t xml:space="preserve"> </w:t>
      </w:r>
      <w:r w:rsidRPr="00E2448C">
        <w:t>zakladatelem</w:t>
      </w:r>
      <w:r>
        <w:t xml:space="preserve"> </w:t>
      </w:r>
      <w:r w:rsidRPr="00E2448C">
        <w:t>nebo</w:t>
      </w:r>
      <w:r>
        <w:t xml:space="preserve"> </w:t>
      </w:r>
      <w:r w:rsidRPr="00E2448C">
        <w:t>členem,</w:t>
      </w:r>
      <w:r>
        <w:t xml:space="preserve"> </w:t>
      </w:r>
      <w:r w:rsidRPr="00E2448C">
        <w:t>a</w:t>
      </w:r>
      <w:r>
        <w:t xml:space="preserve"> </w:t>
      </w:r>
      <w:r w:rsidRPr="00E2448C">
        <w:t>výdaje</w:t>
      </w:r>
      <w:r>
        <w:t xml:space="preserve"> </w:t>
      </w:r>
      <w:r w:rsidRPr="00E2448C">
        <w:t>vynaložené</w:t>
      </w:r>
      <w:r>
        <w:t xml:space="preserve"> </w:t>
      </w:r>
      <w:r w:rsidRPr="00E2448C">
        <w:t>na</w:t>
      </w:r>
      <w:r>
        <w:t xml:space="preserve"> </w:t>
      </w:r>
      <w:r w:rsidRPr="00E2448C">
        <w:t>podporu</w:t>
      </w:r>
      <w:r>
        <w:t xml:space="preserve"> </w:t>
      </w:r>
      <w:r w:rsidRPr="00E2448C">
        <w:t>jeho</w:t>
      </w:r>
      <w:r>
        <w:t xml:space="preserve"> </w:t>
      </w:r>
      <w:r w:rsidRPr="00E2448C">
        <w:t>činnosti</w:t>
      </w:r>
      <w:r>
        <w:t xml:space="preserve"> </w:t>
      </w:r>
      <w:r w:rsidRPr="00E2448C">
        <w:t>minimálně</w:t>
      </w:r>
      <w:r>
        <w:t xml:space="preserve"> </w:t>
      </w:r>
      <w:r w:rsidRPr="00E2448C">
        <w:t>ve</w:t>
      </w:r>
      <w:r>
        <w:t xml:space="preserve"> </w:t>
      </w:r>
      <w:r w:rsidRPr="00E2448C">
        <w:t>výši</w:t>
      </w:r>
      <w:r>
        <w:t xml:space="preserve"> </w:t>
      </w:r>
      <w:r w:rsidRPr="00E2448C">
        <w:t>příspěvku</w:t>
      </w:r>
      <w:r>
        <w:t xml:space="preserve"> </w:t>
      </w:r>
      <w:r w:rsidRPr="00E2448C">
        <w:t>na</w:t>
      </w:r>
      <w:r>
        <w:t xml:space="preserve"> </w:t>
      </w:r>
      <w:r w:rsidRPr="00E2448C">
        <w:t>činnost</w:t>
      </w:r>
      <w:r>
        <w:t xml:space="preserve"> </w:t>
      </w:r>
      <w:r w:rsidRPr="00E2448C">
        <w:t>politického</w:t>
      </w:r>
      <w:r>
        <w:t xml:space="preserve"> </w:t>
      </w:r>
      <w:r w:rsidRPr="00E2448C">
        <w:t>institutu.</w:t>
      </w:r>
    </w:p>
    <w:p w14:paraId="6BB9709D" w14:textId="77777777" w:rsidR="00495F58" w:rsidRDefault="00495F58" w:rsidP="00A06781">
      <w:pPr>
        <w:pStyle w:val="PZTextodstavce"/>
      </w:pPr>
      <w:r w:rsidRPr="00E2448C">
        <w:t>(2)</w:t>
      </w:r>
      <w:r>
        <w:t xml:space="preserve"> </w:t>
      </w:r>
      <w:r w:rsidRPr="00E2448C">
        <w:t>Lhůta</w:t>
      </w:r>
      <w:r>
        <w:t xml:space="preserve"> </w:t>
      </w:r>
      <w:r w:rsidRPr="00E2448C">
        <w:t>podle</w:t>
      </w:r>
      <w:r>
        <w:t xml:space="preserve"> </w:t>
      </w:r>
      <w:r w:rsidRPr="00E2448C">
        <w:t>odstavce</w:t>
      </w:r>
      <w:r>
        <w:t xml:space="preserve"> </w:t>
      </w:r>
      <w:r w:rsidRPr="00E2448C">
        <w:t>1</w:t>
      </w:r>
      <w:r>
        <w:t xml:space="preserve"> </w:t>
      </w:r>
      <w:r w:rsidRPr="00E2448C">
        <w:t>je</w:t>
      </w:r>
      <w:r>
        <w:t xml:space="preserve"> </w:t>
      </w:r>
      <w:r w:rsidRPr="00E2448C">
        <w:t>zachována,</w:t>
      </w:r>
      <w:r>
        <w:t xml:space="preserve"> </w:t>
      </w:r>
      <w:r w:rsidRPr="00E2448C">
        <w:t>je-li</w:t>
      </w:r>
      <w:r>
        <w:t xml:space="preserve"> </w:t>
      </w:r>
      <w:r w:rsidRPr="00E2448C">
        <w:t>nejpozději</w:t>
      </w:r>
      <w:r>
        <w:t xml:space="preserve"> </w:t>
      </w:r>
      <w:r w:rsidRPr="00E2448C">
        <w:t>dne</w:t>
      </w:r>
      <w:r>
        <w:t xml:space="preserve"> </w:t>
      </w:r>
      <w:r w:rsidRPr="00E2448C">
        <w:t>1.</w:t>
      </w:r>
      <w:r>
        <w:t xml:space="preserve"> </w:t>
      </w:r>
      <w:r w:rsidRPr="00E2448C">
        <w:t>dubna</w:t>
      </w:r>
      <w:r>
        <w:t xml:space="preserve"> </w:t>
      </w:r>
      <w:r w:rsidRPr="00E2448C">
        <w:t>podána</w:t>
      </w:r>
      <w:r>
        <w:t xml:space="preserve"> </w:t>
      </w:r>
      <w:r w:rsidRPr="00E2448C">
        <w:t>poštovní</w:t>
      </w:r>
      <w:r>
        <w:t xml:space="preserve"> </w:t>
      </w:r>
      <w:r w:rsidRPr="00E2448C">
        <w:t>zásilka</w:t>
      </w:r>
      <w:r>
        <w:t xml:space="preserve"> </w:t>
      </w:r>
      <w:r w:rsidRPr="00E2448C">
        <w:t>adresovaná</w:t>
      </w:r>
      <w:r>
        <w:t xml:space="preserve"> </w:t>
      </w:r>
      <w:r w:rsidRPr="00E2448C">
        <w:t>Úřadu,</w:t>
      </w:r>
      <w:r>
        <w:t xml:space="preserve"> </w:t>
      </w:r>
      <w:r w:rsidRPr="00E2448C">
        <w:t>která</w:t>
      </w:r>
      <w:r>
        <w:t xml:space="preserve"> </w:t>
      </w:r>
      <w:r w:rsidRPr="00E2448C">
        <w:t>obsahuje</w:t>
      </w:r>
      <w:r>
        <w:t xml:space="preserve"> </w:t>
      </w:r>
      <w:r w:rsidRPr="00E2448C">
        <w:t>výroční</w:t>
      </w:r>
      <w:r>
        <w:t xml:space="preserve"> </w:t>
      </w:r>
      <w:r w:rsidRPr="00E2448C">
        <w:t>finanční</w:t>
      </w:r>
      <w:r>
        <w:t xml:space="preserve"> </w:t>
      </w:r>
      <w:r w:rsidRPr="00E2448C">
        <w:t>zprávu,</w:t>
      </w:r>
      <w:r>
        <w:t xml:space="preserve"> </w:t>
      </w:r>
      <w:r w:rsidRPr="00E2448C">
        <w:t>držiteli</w:t>
      </w:r>
      <w:r>
        <w:t xml:space="preserve"> </w:t>
      </w:r>
      <w:r w:rsidRPr="00E2448C">
        <w:t>poštovní</w:t>
      </w:r>
      <w:r>
        <w:t xml:space="preserve"> </w:t>
      </w:r>
      <w:r w:rsidRPr="00E2448C">
        <w:t>licence</w:t>
      </w:r>
      <w:r>
        <w:t xml:space="preserve"> </w:t>
      </w:r>
      <w:r w:rsidRPr="00E2448C">
        <w:t>nebo</w:t>
      </w:r>
      <w:r>
        <w:t xml:space="preserve"> </w:t>
      </w:r>
      <w:r w:rsidRPr="00E2448C">
        <w:t>zvláštní</w:t>
      </w:r>
      <w:r>
        <w:t xml:space="preserve"> </w:t>
      </w:r>
      <w:r w:rsidRPr="00E2448C">
        <w:t>poštovní</w:t>
      </w:r>
      <w:r>
        <w:t xml:space="preserve"> </w:t>
      </w:r>
      <w:r w:rsidRPr="00E2448C">
        <w:t>licence.</w:t>
      </w:r>
    </w:p>
    <w:p w14:paraId="44221C90" w14:textId="77777777" w:rsidR="00495F58" w:rsidRDefault="00495F58" w:rsidP="00A06781">
      <w:pPr>
        <w:pStyle w:val="PZTextodstavce"/>
      </w:pPr>
      <w:r w:rsidRPr="00E2448C">
        <w:t>(3)</w:t>
      </w:r>
      <w:r>
        <w:t xml:space="preserve"> </w:t>
      </w:r>
      <w:r w:rsidRPr="00E2448C">
        <w:t>Pokud</w:t>
      </w:r>
      <w:r>
        <w:t xml:space="preserve"> </w:t>
      </w:r>
      <w:r w:rsidRPr="00E2448C">
        <w:t>výroční</w:t>
      </w:r>
      <w:r>
        <w:t xml:space="preserve"> </w:t>
      </w:r>
      <w:r w:rsidRPr="00E2448C">
        <w:t>finanční</w:t>
      </w:r>
      <w:r>
        <w:t xml:space="preserve"> </w:t>
      </w:r>
      <w:r w:rsidRPr="00E2448C">
        <w:t>zpráva</w:t>
      </w:r>
      <w:r>
        <w:t xml:space="preserve"> </w:t>
      </w:r>
      <w:r w:rsidRPr="00E2448C">
        <w:t>nebyla</w:t>
      </w:r>
      <w:r>
        <w:t xml:space="preserve"> </w:t>
      </w:r>
      <w:r w:rsidRPr="00E2448C">
        <w:t>stranou</w:t>
      </w:r>
      <w:r>
        <w:t xml:space="preserve"> </w:t>
      </w:r>
      <w:r w:rsidRPr="00E2448C">
        <w:t>a</w:t>
      </w:r>
      <w:r>
        <w:t xml:space="preserve"> </w:t>
      </w:r>
      <w:r w:rsidRPr="00E2448C">
        <w:t>hnutím</w:t>
      </w:r>
      <w:r>
        <w:t xml:space="preserve"> </w:t>
      </w:r>
      <w:r w:rsidRPr="00E2448C">
        <w:t>předložena,</w:t>
      </w:r>
      <w:r>
        <w:t xml:space="preserve"> </w:t>
      </w:r>
      <w:r w:rsidRPr="00E2448C">
        <w:t>vyzve</w:t>
      </w:r>
      <w:r>
        <w:t xml:space="preserve"> </w:t>
      </w:r>
      <w:r w:rsidRPr="00E2448C">
        <w:t>Úřad</w:t>
      </w:r>
      <w:r>
        <w:t xml:space="preserve"> </w:t>
      </w:r>
      <w:r w:rsidRPr="00E2448C">
        <w:t>stranu</w:t>
      </w:r>
      <w:r>
        <w:t xml:space="preserve"> </w:t>
      </w:r>
      <w:r w:rsidRPr="00E2448C">
        <w:t>a</w:t>
      </w:r>
      <w:r>
        <w:t xml:space="preserve"> </w:t>
      </w:r>
      <w:r w:rsidRPr="00E2448C">
        <w:t>hnutí</w:t>
      </w:r>
      <w:r>
        <w:t xml:space="preserve"> </w:t>
      </w:r>
      <w:r w:rsidRPr="00E2448C">
        <w:t>do</w:t>
      </w:r>
      <w:r>
        <w:t xml:space="preserve"> </w:t>
      </w:r>
      <w:r w:rsidRPr="00E2448C">
        <w:t>15.</w:t>
      </w:r>
      <w:r>
        <w:t xml:space="preserve"> </w:t>
      </w:r>
      <w:r w:rsidRPr="00E2448C">
        <w:t>dubna</w:t>
      </w:r>
      <w:r>
        <w:t xml:space="preserve"> </w:t>
      </w:r>
      <w:r w:rsidRPr="00E2448C">
        <w:t>příslušného</w:t>
      </w:r>
      <w:r>
        <w:t xml:space="preserve"> </w:t>
      </w:r>
      <w:r w:rsidRPr="00E2448C">
        <w:t>roku</w:t>
      </w:r>
      <w:r>
        <w:t xml:space="preserve"> </w:t>
      </w:r>
      <w:r w:rsidRPr="00E2448C">
        <w:t>k</w:t>
      </w:r>
      <w:r>
        <w:t xml:space="preserve"> </w:t>
      </w:r>
      <w:r w:rsidRPr="00E2448C">
        <w:t>jejímu</w:t>
      </w:r>
      <w:r>
        <w:t xml:space="preserve"> </w:t>
      </w:r>
      <w:r w:rsidRPr="00E2448C">
        <w:t>dodatečnému</w:t>
      </w:r>
      <w:r>
        <w:t xml:space="preserve"> </w:t>
      </w:r>
      <w:r w:rsidRPr="00E2448C">
        <w:t>předložení</w:t>
      </w:r>
      <w:r>
        <w:t xml:space="preserve"> </w:t>
      </w:r>
      <w:r w:rsidRPr="00E2448C">
        <w:t>a</w:t>
      </w:r>
      <w:r>
        <w:t xml:space="preserve"> </w:t>
      </w:r>
      <w:r w:rsidRPr="00E2448C">
        <w:t>stanoví</w:t>
      </w:r>
      <w:r>
        <w:t xml:space="preserve"> </w:t>
      </w:r>
      <w:r w:rsidRPr="00E2448C">
        <w:t>k</w:t>
      </w:r>
      <w:r>
        <w:t xml:space="preserve"> </w:t>
      </w:r>
      <w:r w:rsidRPr="00E2448C">
        <w:t>tomu</w:t>
      </w:r>
      <w:r>
        <w:t xml:space="preserve"> </w:t>
      </w:r>
      <w:r w:rsidRPr="00E2448C">
        <w:t>přiměřenou</w:t>
      </w:r>
      <w:r>
        <w:t xml:space="preserve"> </w:t>
      </w:r>
      <w:r w:rsidRPr="00E2448C">
        <w:t>lhůtu.</w:t>
      </w:r>
    </w:p>
    <w:p w14:paraId="6BAE9EF2" w14:textId="77777777" w:rsidR="00495F58" w:rsidRDefault="00495F58" w:rsidP="00A06781">
      <w:pPr>
        <w:pStyle w:val="PZTextodstavce"/>
      </w:pPr>
      <w:r w:rsidRPr="00E2448C">
        <w:t>(4)</w:t>
      </w:r>
      <w:r>
        <w:t xml:space="preserve"> </w:t>
      </w:r>
      <w:r w:rsidRPr="00E2448C">
        <w:t>Výroční</w:t>
      </w:r>
      <w:r>
        <w:t xml:space="preserve"> </w:t>
      </w:r>
      <w:r w:rsidRPr="00E2448C">
        <w:t>finanční</w:t>
      </w:r>
      <w:r>
        <w:t xml:space="preserve"> </w:t>
      </w:r>
      <w:r w:rsidRPr="00E2448C">
        <w:t>zprávu</w:t>
      </w:r>
      <w:r>
        <w:t xml:space="preserve"> </w:t>
      </w:r>
      <w:r w:rsidRPr="00E2448C">
        <w:t>předkládají</w:t>
      </w:r>
      <w:r>
        <w:t xml:space="preserve"> </w:t>
      </w:r>
      <w:r w:rsidRPr="00E2448C">
        <w:t>strany</w:t>
      </w:r>
      <w:r>
        <w:t xml:space="preserve"> </w:t>
      </w:r>
      <w:r w:rsidRPr="00E2448C">
        <w:t>a</w:t>
      </w:r>
      <w:r>
        <w:t xml:space="preserve"> </w:t>
      </w:r>
      <w:r w:rsidRPr="00E2448C">
        <w:t>hnutí</w:t>
      </w:r>
      <w:r>
        <w:t xml:space="preserve"> </w:t>
      </w:r>
      <w:r w:rsidRPr="00E2448C">
        <w:t>na</w:t>
      </w:r>
      <w:r>
        <w:t xml:space="preserve"> </w:t>
      </w:r>
      <w:r w:rsidRPr="00E2448C">
        <w:t>předepsaném</w:t>
      </w:r>
      <w:r>
        <w:t xml:space="preserve"> </w:t>
      </w:r>
      <w:r w:rsidRPr="00E2448C">
        <w:t>formuláři</w:t>
      </w:r>
      <w:r>
        <w:t xml:space="preserve"> </w:t>
      </w:r>
      <w:r w:rsidRPr="00E2448C">
        <w:t>s</w:t>
      </w:r>
      <w:r>
        <w:t xml:space="preserve"> </w:t>
      </w:r>
      <w:r w:rsidRPr="00E2448C">
        <w:t>přílohami,</w:t>
      </w:r>
      <w:r>
        <w:t xml:space="preserve"> </w:t>
      </w:r>
      <w:r w:rsidRPr="00E2448C">
        <w:t>jehož</w:t>
      </w:r>
      <w:r>
        <w:t xml:space="preserve"> </w:t>
      </w:r>
      <w:r w:rsidRPr="00E2448C">
        <w:t>vzor</w:t>
      </w:r>
      <w:r>
        <w:t xml:space="preserve"> </w:t>
      </w:r>
      <w:r w:rsidRPr="00E2448C">
        <w:t>stanoví</w:t>
      </w:r>
      <w:r>
        <w:t xml:space="preserve"> </w:t>
      </w:r>
      <w:r w:rsidRPr="00E2448C">
        <w:t>Úřad</w:t>
      </w:r>
      <w:r>
        <w:t xml:space="preserve"> </w:t>
      </w:r>
      <w:r w:rsidRPr="00E2448C">
        <w:t>vyhláškou.</w:t>
      </w:r>
    </w:p>
    <w:p w14:paraId="25149391" w14:textId="77777777" w:rsidR="00495F58" w:rsidRDefault="00495F58" w:rsidP="00A06781">
      <w:pPr>
        <w:pStyle w:val="PZTextodstavce"/>
      </w:pPr>
      <w:r w:rsidRPr="00E2448C">
        <w:t>(5)</w:t>
      </w:r>
      <w:r>
        <w:t xml:space="preserve"> </w:t>
      </w:r>
      <w:r w:rsidRPr="00E2448C">
        <w:t>Výroční</w:t>
      </w:r>
      <w:r>
        <w:t xml:space="preserve"> </w:t>
      </w:r>
      <w:r w:rsidRPr="00E2448C">
        <w:t>finanční</w:t>
      </w:r>
      <w:r>
        <w:t xml:space="preserve"> </w:t>
      </w:r>
      <w:r w:rsidRPr="00E2448C">
        <w:t>zpráva</w:t>
      </w:r>
      <w:r>
        <w:t xml:space="preserve"> </w:t>
      </w:r>
      <w:r w:rsidRPr="00E2448C">
        <w:t>je</w:t>
      </w:r>
      <w:r>
        <w:t xml:space="preserve"> </w:t>
      </w:r>
      <w:r w:rsidRPr="00E2448C">
        <w:t>úplná,</w:t>
      </w:r>
      <w:r>
        <w:t xml:space="preserve"> </w:t>
      </w:r>
      <w:r w:rsidRPr="00E2448C">
        <w:t>obsahuje-li</w:t>
      </w:r>
      <w:r>
        <w:t xml:space="preserve"> </w:t>
      </w:r>
      <w:r w:rsidRPr="00E2448C">
        <w:t>požadované</w:t>
      </w:r>
      <w:r>
        <w:t xml:space="preserve"> </w:t>
      </w:r>
      <w:r w:rsidRPr="00E2448C">
        <w:t>náležitosti</w:t>
      </w:r>
      <w:r>
        <w:t xml:space="preserve"> </w:t>
      </w:r>
      <w:r w:rsidRPr="00E2448C">
        <w:t>podle</w:t>
      </w:r>
      <w:r>
        <w:t xml:space="preserve"> </w:t>
      </w:r>
      <w:r w:rsidRPr="00E2448C">
        <w:t>odstavce</w:t>
      </w:r>
      <w:r>
        <w:t xml:space="preserve"> </w:t>
      </w:r>
      <w:r w:rsidRPr="00E2448C">
        <w:t>1</w:t>
      </w:r>
      <w:r>
        <w:t xml:space="preserve"> </w:t>
      </w:r>
      <w:r w:rsidRPr="00E2448C">
        <w:t>a</w:t>
      </w:r>
      <w:r>
        <w:t xml:space="preserve"> </w:t>
      </w:r>
      <w:r w:rsidRPr="00E2448C">
        <w:t>je-li</w:t>
      </w:r>
      <w:r>
        <w:t xml:space="preserve"> </w:t>
      </w:r>
      <w:r w:rsidRPr="00E2448C">
        <w:t>předložena</w:t>
      </w:r>
      <w:r>
        <w:t xml:space="preserve"> </w:t>
      </w:r>
      <w:r w:rsidRPr="00E2448C">
        <w:t>na</w:t>
      </w:r>
      <w:r>
        <w:t xml:space="preserve"> </w:t>
      </w:r>
      <w:r w:rsidRPr="00E2448C">
        <w:t>předepsaném</w:t>
      </w:r>
      <w:r>
        <w:t xml:space="preserve"> </w:t>
      </w:r>
      <w:r w:rsidRPr="00E2448C">
        <w:t>formuláři</w:t>
      </w:r>
      <w:r>
        <w:t xml:space="preserve"> </w:t>
      </w:r>
      <w:r w:rsidRPr="00E2448C">
        <w:t>s</w:t>
      </w:r>
      <w:r>
        <w:t xml:space="preserve"> </w:t>
      </w:r>
      <w:r w:rsidRPr="00E2448C">
        <w:t>přílohami</w:t>
      </w:r>
      <w:r>
        <w:t xml:space="preserve"> </w:t>
      </w:r>
      <w:r w:rsidRPr="00E2448C">
        <w:t>podle</w:t>
      </w:r>
      <w:r>
        <w:t xml:space="preserve"> </w:t>
      </w:r>
      <w:r w:rsidRPr="00E2448C">
        <w:t>odstavce</w:t>
      </w:r>
      <w:r>
        <w:t xml:space="preserve"> </w:t>
      </w:r>
      <w:r w:rsidRPr="00E2448C">
        <w:t>4.</w:t>
      </w:r>
      <w:r>
        <w:t xml:space="preserve"> </w:t>
      </w:r>
      <w:r w:rsidRPr="00E2448C">
        <w:t>Je-li</w:t>
      </w:r>
      <w:r>
        <w:t xml:space="preserve"> </w:t>
      </w:r>
      <w:r w:rsidRPr="00E2448C">
        <w:t>výroční</w:t>
      </w:r>
      <w:r>
        <w:t xml:space="preserve"> </w:t>
      </w:r>
      <w:r w:rsidRPr="00E2448C">
        <w:t>finanční</w:t>
      </w:r>
      <w:r>
        <w:t xml:space="preserve"> </w:t>
      </w:r>
      <w:r w:rsidRPr="00E2448C">
        <w:t>zpráva</w:t>
      </w:r>
      <w:r>
        <w:t xml:space="preserve"> </w:t>
      </w:r>
      <w:r w:rsidRPr="00E2448C">
        <w:t>neúplná</w:t>
      </w:r>
      <w:r>
        <w:t xml:space="preserve"> </w:t>
      </w:r>
      <w:r w:rsidRPr="00E2448C">
        <w:t>nebo</w:t>
      </w:r>
      <w:r>
        <w:t xml:space="preserve"> </w:t>
      </w:r>
      <w:r w:rsidRPr="00E2448C">
        <w:t>údaje</w:t>
      </w:r>
      <w:r>
        <w:t xml:space="preserve"> </w:t>
      </w:r>
      <w:r w:rsidRPr="00E2448C">
        <w:t>v</w:t>
      </w:r>
      <w:r>
        <w:t xml:space="preserve"> </w:t>
      </w:r>
      <w:r w:rsidRPr="00E2448C">
        <w:t>ní</w:t>
      </w:r>
      <w:r>
        <w:t xml:space="preserve"> </w:t>
      </w:r>
      <w:r w:rsidRPr="00E2448C">
        <w:t>uvedené</w:t>
      </w:r>
      <w:r>
        <w:t xml:space="preserve"> </w:t>
      </w:r>
      <w:r w:rsidRPr="00E2448C">
        <w:t>neodpovídají</w:t>
      </w:r>
      <w:r>
        <w:t xml:space="preserve"> </w:t>
      </w:r>
      <w:r w:rsidRPr="00E2448C">
        <w:t>zjištěním</w:t>
      </w:r>
      <w:r>
        <w:t xml:space="preserve"> </w:t>
      </w:r>
      <w:r w:rsidRPr="00E2448C">
        <w:t>Úřadu,</w:t>
      </w:r>
      <w:r>
        <w:t xml:space="preserve"> </w:t>
      </w:r>
      <w:r w:rsidRPr="00E2448C">
        <w:t>vyzve</w:t>
      </w:r>
      <w:r>
        <w:t xml:space="preserve"> </w:t>
      </w:r>
      <w:r w:rsidRPr="00E2448C">
        <w:t>Úřad</w:t>
      </w:r>
      <w:r>
        <w:t xml:space="preserve"> </w:t>
      </w:r>
      <w:r w:rsidRPr="00E2448C">
        <w:t>stranu</w:t>
      </w:r>
      <w:r>
        <w:t xml:space="preserve"> </w:t>
      </w:r>
      <w:r w:rsidRPr="00E2448C">
        <w:t>nebo</w:t>
      </w:r>
      <w:r>
        <w:t xml:space="preserve"> </w:t>
      </w:r>
      <w:r w:rsidRPr="00E2448C">
        <w:t>hnutí</w:t>
      </w:r>
      <w:r>
        <w:t xml:space="preserve"> </w:t>
      </w:r>
      <w:r w:rsidRPr="00E2448C">
        <w:t>v</w:t>
      </w:r>
      <w:r>
        <w:t xml:space="preserve"> </w:t>
      </w:r>
      <w:r w:rsidRPr="00E2448C">
        <w:t>přiměřené</w:t>
      </w:r>
      <w:r>
        <w:t xml:space="preserve"> </w:t>
      </w:r>
      <w:r w:rsidRPr="00E2448C">
        <w:t>lhůtě</w:t>
      </w:r>
      <w:r>
        <w:t xml:space="preserve"> </w:t>
      </w:r>
      <w:r w:rsidRPr="00E2448C">
        <w:t>k</w:t>
      </w:r>
      <w:r>
        <w:t xml:space="preserve"> </w:t>
      </w:r>
      <w:r w:rsidRPr="00E2448C">
        <w:t>jejímu</w:t>
      </w:r>
      <w:r>
        <w:t xml:space="preserve"> </w:t>
      </w:r>
      <w:r w:rsidRPr="00E2448C">
        <w:t>doplnění</w:t>
      </w:r>
      <w:r>
        <w:t xml:space="preserve"> </w:t>
      </w:r>
      <w:r w:rsidRPr="00E2448C">
        <w:t>nebo</w:t>
      </w:r>
      <w:r>
        <w:t xml:space="preserve"> </w:t>
      </w:r>
      <w:r w:rsidRPr="00E2448C">
        <w:t>odstranění</w:t>
      </w:r>
      <w:r>
        <w:t xml:space="preserve"> </w:t>
      </w:r>
      <w:r w:rsidRPr="00E2448C">
        <w:t>nedostatků;</w:t>
      </w:r>
      <w:r>
        <w:t xml:space="preserve"> </w:t>
      </w:r>
      <w:r w:rsidRPr="00E2448C">
        <w:t>strana</w:t>
      </w:r>
      <w:r>
        <w:t xml:space="preserve"> </w:t>
      </w:r>
      <w:r w:rsidRPr="00E2448C">
        <w:t>a</w:t>
      </w:r>
      <w:r>
        <w:t xml:space="preserve"> </w:t>
      </w:r>
      <w:r w:rsidRPr="00E2448C">
        <w:t>hnutí</w:t>
      </w:r>
      <w:r>
        <w:t xml:space="preserve"> </w:t>
      </w:r>
      <w:r w:rsidRPr="00E2448C">
        <w:t>jsou</w:t>
      </w:r>
      <w:r>
        <w:t xml:space="preserve"> </w:t>
      </w:r>
      <w:r w:rsidRPr="00E2448C">
        <w:t>povinny</w:t>
      </w:r>
      <w:r>
        <w:t xml:space="preserve"> </w:t>
      </w:r>
      <w:r w:rsidRPr="00E2448C">
        <w:t>výroční</w:t>
      </w:r>
      <w:r>
        <w:t xml:space="preserve"> </w:t>
      </w:r>
      <w:r w:rsidRPr="00E2448C">
        <w:t>finanční</w:t>
      </w:r>
      <w:r>
        <w:t xml:space="preserve"> </w:t>
      </w:r>
      <w:r w:rsidRPr="00E2448C">
        <w:t>zprávu</w:t>
      </w:r>
      <w:r>
        <w:t xml:space="preserve"> </w:t>
      </w:r>
      <w:r w:rsidRPr="00E2448C">
        <w:t>doplnit</w:t>
      </w:r>
      <w:r>
        <w:t xml:space="preserve"> </w:t>
      </w:r>
      <w:r w:rsidRPr="00E2448C">
        <w:t>nebo</w:t>
      </w:r>
      <w:r>
        <w:t xml:space="preserve"> </w:t>
      </w:r>
      <w:r w:rsidRPr="00E2448C">
        <w:t>její</w:t>
      </w:r>
      <w:r>
        <w:t xml:space="preserve"> </w:t>
      </w:r>
      <w:r w:rsidRPr="00E2448C">
        <w:t>nedostatky</w:t>
      </w:r>
      <w:r>
        <w:t xml:space="preserve"> </w:t>
      </w:r>
      <w:r w:rsidRPr="00E2448C">
        <w:t>odstranit</w:t>
      </w:r>
      <w:r>
        <w:t xml:space="preserve"> </w:t>
      </w:r>
      <w:r w:rsidRPr="00E2448C">
        <w:t>ve</w:t>
      </w:r>
      <w:r>
        <w:t xml:space="preserve"> </w:t>
      </w:r>
      <w:r w:rsidRPr="00E2448C">
        <w:t>lhůtě</w:t>
      </w:r>
      <w:r>
        <w:t xml:space="preserve"> </w:t>
      </w:r>
      <w:r w:rsidRPr="00E2448C">
        <w:t>stanovené</w:t>
      </w:r>
      <w:r>
        <w:t xml:space="preserve"> </w:t>
      </w:r>
      <w:r w:rsidRPr="00E2448C">
        <w:t>Úřadem,</w:t>
      </w:r>
      <w:r>
        <w:t xml:space="preserve"> </w:t>
      </w:r>
      <w:r w:rsidRPr="00E2448C">
        <w:t>která</w:t>
      </w:r>
      <w:r>
        <w:t xml:space="preserve"> </w:t>
      </w:r>
      <w:r w:rsidRPr="00E2448C">
        <w:t>nesmí</w:t>
      </w:r>
      <w:r>
        <w:t xml:space="preserve"> </w:t>
      </w:r>
      <w:r w:rsidRPr="00E2448C">
        <w:t>být</w:t>
      </w:r>
      <w:r>
        <w:t xml:space="preserve"> </w:t>
      </w:r>
      <w:r w:rsidRPr="00E2448C">
        <w:t>kratší</w:t>
      </w:r>
      <w:r>
        <w:t xml:space="preserve"> </w:t>
      </w:r>
      <w:r w:rsidRPr="00E2448C">
        <w:t>než</w:t>
      </w:r>
      <w:r>
        <w:t xml:space="preserve"> </w:t>
      </w:r>
      <w:r w:rsidRPr="00E2448C">
        <w:t>15</w:t>
      </w:r>
      <w:r>
        <w:t xml:space="preserve"> </w:t>
      </w:r>
      <w:r w:rsidRPr="00E2448C">
        <w:t>kalendářních</w:t>
      </w:r>
      <w:r>
        <w:t xml:space="preserve"> </w:t>
      </w:r>
      <w:r w:rsidRPr="00E2448C">
        <w:t>dnů.</w:t>
      </w:r>
    </w:p>
    <w:p w14:paraId="216DD9A6" w14:textId="77777777" w:rsidR="00495F58" w:rsidRDefault="00495F58" w:rsidP="00A06781">
      <w:pPr>
        <w:pStyle w:val="PZTextodstavce"/>
      </w:pPr>
      <w:r w:rsidRPr="00E2448C">
        <w:t>(6)</w:t>
      </w:r>
      <w:r>
        <w:t xml:space="preserve"> </w:t>
      </w:r>
      <w:r w:rsidRPr="00E2448C">
        <w:t>Výroční</w:t>
      </w:r>
      <w:r>
        <w:t xml:space="preserve"> </w:t>
      </w:r>
      <w:r w:rsidRPr="00E2448C">
        <w:t>finanční</w:t>
      </w:r>
      <w:r>
        <w:t xml:space="preserve"> </w:t>
      </w:r>
      <w:r w:rsidRPr="00E2448C">
        <w:t>zpráva</w:t>
      </w:r>
      <w:r>
        <w:t xml:space="preserve"> </w:t>
      </w:r>
      <w:r w:rsidRPr="00E2448C">
        <w:t>je</w:t>
      </w:r>
      <w:r>
        <w:t xml:space="preserve"> </w:t>
      </w:r>
      <w:r w:rsidRPr="00E2448C">
        <w:t>veřejná.</w:t>
      </w:r>
      <w:r>
        <w:t xml:space="preserve"> </w:t>
      </w:r>
      <w:r w:rsidRPr="00E2448C">
        <w:t>Výroční</w:t>
      </w:r>
      <w:r>
        <w:t xml:space="preserve"> </w:t>
      </w:r>
      <w:r w:rsidRPr="00E2448C">
        <w:t>finanční</w:t>
      </w:r>
      <w:r>
        <w:t xml:space="preserve"> </w:t>
      </w:r>
      <w:r w:rsidRPr="00E2448C">
        <w:t>zpráva</w:t>
      </w:r>
      <w:r>
        <w:t xml:space="preserve"> </w:t>
      </w:r>
      <w:r w:rsidRPr="00E2448C">
        <w:t>je</w:t>
      </w:r>
      <w:r>
        <w:t xml:space="preserve"> </w:t>
      </w:r>
      <w:r w:rsidRPr="00E2448C">
        <w:t>přístupná</w:t>
      </w:r>
      <w:r>
        <w:t xml:space="preserve"> </w:t>
      </w:r>
      <w:r w:rsidRPr="00E2448C">
        <w:t>k</w:t>
      </w:r>
      <w:r>
        <w:t xml:space="preserve"> </w:t>
      </w:r>
      <w:r w:rsidRPr="00E2448C">
        <w:t>nahlédnutí</w:t>
      </w:r>
      <w:r>
        <w:t xml:space="preserve"> </w:t>
      </w:r>
      <w:r w:rsidRPr="00E2448C">
        <w:t>u</w:t>
      </w:r>
      <w:r>
        <w:t xml:space="preserve"> </w:t>
      </w:r>
      <w:r w:rsidRPr="00E2448C">
        <w:t>Úřadu</w:t>
      </w:r>
      <w:r>
        <w:t xml:space="preserve"> </w:t>
      </w:r>
      <w:r w:rsidRPr="00E2448C">
        <w:t>a</w:t>
      </w:r>
      <w:r>
        <w:t xml:space="preserve"> </w:t>
      </w:r>
      <w:r w:rsidRPr="00E2448C">
        <w:t>na</w:t>
      </w:r>
      <w:r>
        <w:t xml:space="preserve"> </w:t>
      </w:r>
      <w:r w:rsidRPr="00E2448C">
        <w:t>jeho</w:t>
      </w:r>
      <w:r>
        <w:t xml:space="preserve"> </w:t>
      </w:r>
      <w:r w:rsidRPr="00E2448C">
        <w:t>internetových</w:t>
      </w:r>
      <w:r>
        <w:t xml:space="preserve"> </w:t>
      </w:r>
      <w:r w:rsidRPr="00E2448C">
        <w:t>stránkách,</w:t>
      </w:r>
      <w:r>
        <w:t xml:space="preserve"> </w:t>
      </w:r>
      <w:r w:rsidRPr="00E2448C">
        <w:t>na</w:t>
      </w:r>
      <w:r>
        <w:t xml:space="preserve"> </w:t>
      </w:r>
      <w:r w:rsidRPr="00E2448C">
        <w:t>kterých</w:t>
      </w:r>
      <w:r>
        <w:t xml:space="preserve"> </w:t>
      </w:r>
      <w:r w:rsidRPr="00E2448C">
        <w:t>ji</w:t>
      </w:r>
      <w:r>
        <w:t xml:space="preserve"> </w:t>
      </w:r>
      <w:r w:rsidRPr="00E2448C">
        <w:t>Úřad</w:t>
      </w:r>
      <w:r>
        <w:t xml:space="preserve"> </w:t>
      </w:r>
      <w:r w:rsidRPr="00E2448C">
        <w:t>uveřejní</w:t>
      </w:r>
      <w:r>
        <w:t xml:space="preserve"> </w:t>
      </w:r>
      <w:r w:rsidRPr="00E2448C">
        <w:t>do</w:t>
      </w:r>
      <w:r>
        <w:t xml:space="preserve"> </w:t>
      </w:r>
      <w:r w:rsidRPr="00E2448C">
        <w:t>7</w:t>
      </w:r>
      <w:r>
        <w:t xml:space="preserve"> </w:t>
      </w:r>
      <w:r w:rsidRPr="00E2448C">
        <w:t>dnů</w:t>
      </w:r>
      <w:r>
        <w:t xml:space="preserve"> </w:t>
      </w:r>
      <w:r w:rsidRPr="00E2448C">
        <w:t>ode</w:t>
      </w:r>
      <w:r>
        <w:t xml:space="preserve"> </w:t>
      </w:r>
      <w:r w:rsidRPr="00E2448C">
        <w:t>dne</w:t>
      </w:r>
      <w:r>
        <w:t xml:space="preserve"> </w:t>
      </w:r>
      <w:r w:rsidRPr="00E2448C">
        <w:t>jejího</w:t>
      </w:r>
      <w:r>
        <w:t xml:space="preserve"> </w:t>
      </w:r>
      <w:r w:rsidRPr="00E2448C">
        <w:t>doručení</w:t>
      </w:r>
      <w:r>
        <w:t xml:space="preserve"> </w:t>
      </w:r>
      <w:r w:rsidRPr="00E2448C">
        <w:t>Úřadu.</w:t>
      </w:r>
    </w:p>
    <w:p w14:paraId="0E438315" w14:textId="77777777" w:rsidR="00495F58" w:rsidRPr="00E2448C" w:rsidRDefault="00495F58" w:rsidP="00495F58">
      <w:pPr>
        <w:pStyle w:val="Default"/>
        <w:tabs>
          <w:tab w:val="left" w:pos="851"/>
        </w:tabs>
        <w:spacing w:before="240" w:after="120"/>
        <w:jc w:val="center"/>
        <w:rPr>
          <w:color w:val="auto"/>
        </w:rPr>
      </w:pPr>
      <w:r w:rsidRPr="00E2448C">
        <w:rPr>
          <w:color w:val="auto"/>
        </w:rPr>
        <w:t>***</w:t>
      </w:r>
    </w:p>
    <w:p w14:paraId="4F0884EF" w14:textId="77777777" w:rsidR="00495F58" w:rsidRPr="00E2448C" w:rsidRDefault="00495F58" w:rsidP="00495F58">
      <w:pPr>
        <w:pStyle w:val="Default"/>
        <w:tabs>
          <w:tab w:val="left" w:pos="851"/>
        </w:tabs>
        <w:spacing w:before="240" w:after="120"/>
        <w:jc w:val="center"/>
        <w:rPr>
          <w:color w:val="auto"/>
        </w:rPr>
      </w:pPr>
      <w:r w:rsidRPr="00E2448C">
        <w:rPr>
          <w:color w:val="auto"/>
        </w:rPr>
        <w:t>§</w:t>
      </w:r>
      <w:r>
        <w:rPr>
          <w:color w:val="auto"/>
        </w:rPr>
        <w:t xml:space="preserve"> </w:t>
      </w:r>
      <w:r w:rsidRPr="00E2448C">
        <w:rPr>
          <w:color w:val="auto"/>
        </w:rPr>
        <w:t>19i</w:t>
      </w:r>
    </w:p>
    <w:p w14:paraId="14E0A988" w14:textId="77777777" w:rsidR="00495F58" w:rsidRDefault="00495F58" w:rsidP="00A06781">
      <w:pPr>
        <w:pStyle w:val="PZTextodstavce"/>
      </w:pPr>
      <w:r w:rsidRPr="00E2448C">
        <w:lastRenderedPageBreak/>
        <w:t>(1)</w:t>
      </w:r>
      <w:r>
        <w:t xml:space="preserve"> </w:t>
      </w:r>
      <w:r w:rsidRPr="00E2448C">
        <w:t>Fyzická</w:t>
      </w:r>
      <w:r>
        <w:t xml:space="preserve"> </w:t>
      </w:r>
      <w:r w:rsidRPr="00E2448C">
        <w:t>osoba,</w:t>
      </w:r>
      <w:r>
        <w:t xml:space="preserve"> </w:t>
      </w:r>
      <w:r w:rsidRPr="00E2448C">
        <w:t>která</w:t>
      </w:r>
      <w:r>
        <w:t xml:space="preserve"> </w:t>
      </w:r>
      <w:r w:rsidRPr="00E2448C">
        <w:t>žádá</w:t>
      </w:r>
      <w:r>
        <w:t xml:space="preserve"> </w:t>
      </w:r>
      <w:r w:rsidRPr="00E2448C">
        <w:t>o</w:t>
      </w:r>
      <w:r>
        <w:t xml:space="preserve"> </w:t>
      </w:r>
      <w:r w:rsidRPr="00E2448C">
        <w:t>provedení</w:t>
      </w:r>
      <w:r>
        <w:t xml:space="preserve"> </w:t>
      </w:r>
      <w:r w:rsidRPr="00E2448C">
        <w:t>platební</w:t>
      </w:r>
      <w:r>
        <w:t xml:space="preserve"> </w:t>
      </w:r>
      <w:r w:rsidRPr="00E2448C">
        <w:t>transakce</w:t>
      </w:r>
      <w:r>
        <w:t xml:space="preserve"> </w:t>
      </w:r>
      <w:r w:rsidRPr="00E2448C">
        <w:t>ve</w:t>
      </w:r>
      <w:r>
        <w:t xml:space="preserve"> </w:t>
      </w:r>
      <w:r w:rsidRPr="00E2448C">
        <w:t>prospěch</w:t>
      </w:r>
      <w:r>
        <w:t xml:space="preserve"> </w:t>
      </w:r>
      <w:r w:rsidRPr="00E2448C">
        <w:t>nebo</w:t>
      </w:r>
      <w:r>
        <w:t xml:space="preserve"> </w:t>
      </w:r>
      <w:r w:rsidRPr="00E2448C">
        <w:t>k</w:t>
      </w:r>
      <w:r>
        <w:t xml:space="preserve"> </w:t>
      </w:r>
      <w:r w:rsidRPr="00E2448C">
        <w:t>tíži</w:t>
      </w:r>
      <w:r>
        <w:t xml:space="preserve"> </w:t>
      </w:r>
      <w:r w:rsidRPr="00E2448C">
        <w:t>zvláštního</w:t>
      </w:r>
      <w:r>
        <w:t xml:space="preserve"> </w:t>
      </w:r>
      <w:r w:rsidRPr="00E2448C">
        <w:t>účtu,</w:t>
      </w:r>
      <w:r>
        <w:t xml:space="preserve"> </w:t>
      </w:r>
      <w:r w:rsidRPr="00E2448C">
        <w:t>se</w:t>
      </w:r>
      <w:r>
        <w:t xml:space="preserve"> </w:t>
      </w:r>
      <w:r w:rsidRPr="00E2448C">
        <w:t>dopustí</w:t>
      </w:r>
      <w:r>
        <w:t xml:space="preserve"> </w:t>
      </w:r>
      <w:r w:rsidRPr="00E2448C">
        <w:t>přestupku</w:t>
      </w:r>
      <w:r>
        <w:t xml:space="preserve"> </w:t>
      </w:r>
      <w:r w:rsidRPr="00E2448C">
        <w:t>tím,</w:t>
      </w:r>
      <w:r>
        <w:t xml:space="preserve"> </w:t>
      </w:r>
      <w:r w:rsidRPr="00E2448C">
        <w:t>že</w:t>
      </w:r>
      <w:r>
        <w:t xml:space="preserve"> </w:t>
      </w:r>
      <w:r w:rsidRPr="00E2448C">
        <w:t>v</w:t>
      </w:r>
      <w:r>
        <w:t xml:space="preserve"> </w:t>
      </w:r>
      <w:r w:rsidRPr="00E2448C">
        <w:t>rozporu</w:t>
      </w:r>
      <w:r>
        <w:t xml:space="preserve"> </w:t>
      </w:r>
      <w:r w:rsidRPr="00E2448C">
        <w:t>s</w:t>
      </w:r>
      <w:r>
        <w:t xml:space="preserve"> </w:t>
      </w:r>
      <w:r w:rsidRPr="00E2448C">
        <w:t>§</w:t>
      </w:r>
      <w:r>
        <w:t xml:space="preserve"> </w:t>
      </w:r>
      <w:r w:rsidRPr="00E2448C">
        <w:t>17b</w:t>
      </w:r>
      <w:r>
        <w:t xml:space="preserve"> </w:t>
      </w:r>
      <w:r w:rsidRPr="00E2448C">
        <w:t>odst.</w:t>
      </w:r>
      <w:r>
        <w:t xml:space="preserve"> </w:t>
      </w:r>
      <w:r w:rsidRPr="00E2448C">
        <w:t>1</w:t>
      </w:r>
      <w:r>
        <w:t xml:space="preserve"> </w:t>
      </w:r>
      <w:r w:rsidRPr="00E2448C">
        <w:t>neuvede</w:t>
      </w:r>
      <w:r>
        <w:t xml:space="preserve"> </w:t>
      </w:r>
      <w:r w:rsidRPr="00E2448C">
        <w:t>v</w:t>
      </w:r>
      <w:r>
        <w:t xml:space="preserve"> </w:t>
      </w:r>
      <w:r w:rsidRPr="00E2448C">
        <w:t>platebním</w:t>
      </w:r>
      <w:r>
        <w:t xml:space="preserve"> </w:t>
      </w:r>
      <w:r w:rsidRPr="00E2448C">
        <w:t>příkazu</w:t>
      </w:r>
      <w:r>
        <w:t xml:space="preserve"> </w:t>
      </w:r>
      <w:r w:rsidRPr="00E2448C">
        <w:t>účel</w:t>
      </w:r>
      <w:r>
        <w:t xml:space="preserve"> </w:t>
      </w:r>
      <w:r w:rsidRPr="00E2448C">
        <w:t>platební</w:t>
      </w:r>
      <w:r>
        <w:t xml:space="preserve"> </w:t>
      </w:r>
      <w:r w:rsidRPr="00E2448C">
        <w:t>transakce.</w:t>
      </w:r>
    </w:p>
    <w:p w14:paraId="09D47EAE" w14:textId="77777777" w:rsidR="00495F58" w:rsidRDefault="00495F58" w:rsidP="00A06781">
      <w:pPr>
        <w:pStyle w:val="PZTextodstavce"/>
      </w:pPr>
      <w:r w:rsidRPr="00E2448C">
        <w:t>(2)</w:t>
      </w:r>
      <w:r>
        <w:t xml:space="preserve"> </w:t>
      </w:r>
      <w:r w:rsidRPr="00E2448C">
        <w:t>Fyzická</w:t>
      </w:r>
      <w:r>
        <w:t xml:space="preserve"> </w:t>
      </w:r>
      <w:r w:rsidRPr="00E2448C">
        <w:t>osoba</w:t>
      </w:r>
      <w:r>
        <w:t xml:space="preserve"> </w:t>
      </w:r>
      <w:r w:rsidRPr="00E2448C">
        <w:t>se</w:t>
      </w:r>
      <w:r>
        <w:t xml:space="preserve"> </w:t>
      </w:r>
      <w:r w:rsidRPr="00E2448C">
        <w:t>dopustí</w:t>
      </w:r>
      <w:r>
        <w:t xml:space="preserve"> </w:t>
      </w:r>
      <w:r w:rsidRPr="00E2448C">
        <w:t>přestupku</w:t>
      </w:r>
      <w:r>
        <w:t xml:space="preserve"> </w:t>
      </w:r>
      <w:r w:rsidRPr="00E2448C">
        <w:t>tím,</w:t>
      </w:r>
      <w:r>
        <w:t xml:space="preserve"> </w:t>
      </w:r>
      <w:r w:rsidRPr="00E2448C">
        <w:t>že</w:t>
      </w:r>
    </w:p>
    <w:p w14:paraId="380C9C7F" w14:textId="7DB8E5AC" w:rsidR="00495F58" w:rsidRDefault="00495F58" w:rsidP="002B22FA">
      <w:pPr>
        <w:pStyle w:val="PZTextpsmene"/>
        <w:tabs>
          <w:tab w:val="left" w:pos="851"/>
        </w:tabs>
        <w:spacing w:before="0"/>
      </w:pPr>
      <w:r w:rsidRPr="00E2448C">
        <w:t>a)</w:t>
      </w:r>
      <w:r w:rsidR="002B22FA">
        <w:tab/>
      </w:r>
      <w:r w:rsidRPr="00E2448C">
        <w:t>vykoná</w:t>
      </w:r>
      <w:r>
        <w:t xml:space="preserve"> </w:t>
      </w:r>
      <w:r w:rsidRPr="00E2448C">
        <w:t>hlasovací</w:t>
      </w:r>
      <w:r>
        <w:t xml:space="preserve"> </w:t>
      </w:r>
      <w:r w:rsidRPr="00E2448C">
        <w:t>práva</w:t>
      </w:r>
      <w:r>
        <w:t xml:space="preserve"> </w:t>
      </w:r>
      <w:r w:rsidRPr="00E2448C">
        <w:t>nebo</w:t>
      </w:r>
      <w:r>
        <w:t xml:space="preserve"> </w:t>
      </w:r>
      <w:r w:rsidRPr="00E2448C">
        <w:t>rozhodne</w:t>
      </w:r>
      <w:r>
        <w:t xml:space="preserve"> </w:t>
      </w:r>
      <w:r w:rsidRPr="00E2448C">
        <w:t>jako</w:t>
      </w:r>
      <w:r>
        <w:t xml:space="preserve"> </w:t>
      </w:r>
      <w:r w:rsidRPr="00E2448C">
        <w:t>jediný</w:t>
      </w:r>
      <w:r>
        <w:t xml:space="preserve"> </w:t>
      </w:r>
      <w:r w:rsidRPr="00E2448C">
        <w:t>společník</w:t>
      </w:r>
      <w:r>
        <w:t xml:space="preserve"> </w:t>
      </w:r>
      <w:r w:rsidRPr="00E2448C">
        <w:t>právnické</w:t>
      </w:r>
      <w:r>
        <w:t xml:space="preserve"> </w:t>
      </w:r>
      <w:r w:rsidRPr="00E2448C">
        <w:t>osoby</w:t>
      </w:r>
      <w:r>
        <w:t xml:space="preserve"> </w:t>
      </w:r>
      <w:r w:rsidRPr="00E2448C">
        <w:t>v</w:t>
      </w:r>
      <w:r>
        <w:t xml:space="preserve"> </w:t>
      </w:r>
      <w:r w:rsidRPr="00E2448C">
        <w:t>rozporu</w:t>
      </w:r>
      <w:r>
        <w:t xml:space="preserve"> </w:t>
      </w:r>
      <w:r w:rsidRPr="00E2448C">
        <w:t>s</w:t>
      </w:r>
      <w:r>
        <w:t xml:space="preserve"> </w:t>
      </w:r>
      <w:r w:rsidRPr="00E2448C">
        <w:t>§</w:t>
      </w:r>
      <w:r>
        <w:t xml:space="preserve"> </w:t>
      </w:r>
      <w:r w:rsidRPr="00E2448C">
        <w:t>19ha</w:t>
      </w:r>
      <w:r>
        <w:t xml:space="preserve"> </w:t>
      </w:r>
      <w:r w:rsidRPr="00E2448C">
        <w:t>odst.</w:t>
      </w:r>
      <w:r>
        <w:t xml:space="preserve"> </w:t>
      </w:r>
      <w:r w:rsidRPr="00E2448C">
        <w:t>4,</w:t>
      </w:r>
    </w:p>
    <w:p w14:paraId="56DC9252" w14:textId="4D49C7D4" w:rsidR="00495F58" w:rsidRDefault="00495F58" w:rsidP="002B22FA">
      <w:pPr>
        <w:pStyle w:val="PZTextpsmene"/>
        <w:tabs>
          <w:tab w:val="left" w:pos="851"/>
        </w:tabs>
        <w:spacing w:before="0"/>
      </w:pPr>
      <w:r w:rsidRPr="00E2448C">
        <w:t>b)</w:t>
      </w:r>
      <w:r w:rsidR="002B22FA">
        <w:tab/>
      </w:r>
      <w:r w:rsidRPr="00E2448C">
        <w:t>se</w:t>
      </w:r>
      <w:r>
        <w:t xml:space="preserve"> </w:t>
      </w:r>
      <w:r w:rsidRPr="00E2448C">
        <w:t>jako</w:t>
      </w:r>
      <w:r>
        <w:t xml:space="preserve"> </w:t>
      </w:r>
      <w:r w:rsidRPr="00E2448C">
        <w:t>osoba</w:t>
      </w:r>
      <w:r>
        <w:t xml:space="preserve"> </w:t>
      </w:r>
      <w:r w:rsidRPr="00E2448C">
        <w:t>blízká</w:t>
      </w:r>
      <w:r>
        <w:t xml:space="preserve"> </w:t>
      </w:r>
      <w:r w:rsidRPr="00E2448C">
        <w:t>nebo</w:t>
      </w:r>
      <w:r>
        <w:t xml:space="preserve"> </w:t>
      </w:r>
      <w:r w:rsidRPr="00E2448C">
        <w:t>osoba,</w:t>
      </w:r>
      <w:r>
        <w:t xml:space="preserve"> </w:t>
      </w:r>
      <w:r w:rsidRPr="00E2448C">
        <w:t>se</w:t>
      </w:r>
      <w:r>
        <w:t xml:space="preserve"> </w:t>
      </w:r>
      <w:r w:rsidRPr="00E2448C">
        <w:t>kterou</w:t>
      </w:r>
      <w:r>
        <w:t xml:space="preserve"> </w:t>
      </w:r>
      <w:r w:rsidRPr="00E2448C">
        <w:t>veřejný</w:t>
      </w:r>
      <w:r>
        <w:t xml:space="preserve"> </w:t>
      </w:r>
      <w:r w:rsidRPr="00E2448C">
        <w:t>funkcionář</w:t>
      </w:r>
      <w:r>
        <w:t xml:space="preserve"> </w:t>
      </w:r>
      <w:r w:rsidRPr="00E2448C">
        <w:t>jednal</w:t>
      </w:r>
      <w:r>
        <w:t xml:space="preserve"> </w:t>
      </w:r>
      <w:r w:rsidRPr="00E2448C">
        <w:t>ve</w:t>
      </w:r>
      <w:r>
        <w:t xml:space="preserve"> </w:t>
      </w:r>
      <w:r w:rsidRPr="00E2448C">
        <w:t>shodě,</w:t>
      </w:r>
      <w:r>
        <w:t xml:space="preserve"> </w:t>
      </w:r>
      <w:r w:rsidRPr="00E2448C">
        <w:t>zúčastnila</w:t>
      </w:r>
      <w:r>
        <w:t xml:space="preserve"> </w:t>
      </w:r>
      <w:r w:rsidRPr="00E2448C">
        <w:t>jednání</w:t>
      </w:r>
      <w:r>
        <w:t xml:space="preserve"> </w:t>
      </w:r>
      <w:r w:rsidRPr="00E2448C">
        <w:t>zakázaného</w:t>
      </w:r>
      <w:r>
        <w:t xml:space="preserve"> </w:t>
      </w:r>
      <w:r w:rsidRPr="00E2448C">
        <w:t>v</w:t>
      </w:r>
      <w:r>
        <w:t xml:space="preserve"> </w:t>
      </w:r>
      <w:r w:rsidRPr="00E2448C">
        <w:t>§</w:t>
      </w:r>
      <w:r>
        <w:t xml:space="preserve"> </w:t>
      </w:r>
      <w:r w:rsidRPr="00E2448C">
        <w:t>19ha</w:t>
      </w:r>
      <w:r>
        <w:t xml:space="preserve"> </w:t>
      </w:r>
      <w:r w:rsidRPr="00E2448C">
        <w:t>odst.</w:t>
      </w:r>
      <w:r>
        <w:t xml:space="preserve"> </w:t>
      </w:r>
      <w:r w:rsidRPr="00E2448C">
        <w:t>5.</w:t>
      </w:r>
      <w:r>
        <w:t xml:space="preserve"> </w:t>
      </w:r>
      <w:r w:rsidRPr="00E2448C">
        <w:t>13</w:t>
      </w:r>
    </w:p>
    <w:p w14:paraId="66E639FD" w14:textId="77777777" w:rsidR="00495F58" w:rsidRDefault="00495F58" w:rsidP="00A06781">
      <w:pPr>
        <w:pStyle w:val="PZTextodstavce"/>
      </w:pPr>
      <w:r w:rsidRPr="00E2448C">
        <w:t>(3)</w:t>
      </w:r>
      <w:r>
        <w:t xml:space="preserve"> </w:t>
      </w:r>
      <w:r w:rsidRPr="00E2448C">
        <w:t>Veřejný</w:t>
      </w:r>
      <w:r>
        <w:t xml:space="preserve"> </w:t>
      </w:r>
      <w:r w:rsidRPr="00E2448C">
        <w:t>funkcionář</w:t>
      </w:r>
      <w:r>
        <w:t xml:space="preserve"> </w:t>
      </w:r>
      <w:r w:rsidRPr="00E2448C">
        <w:t>uvedený</w:t>
      </w:r>
      <w:r>
        <w:t xml:space="preserve"> </w:t>
      </w:r>
      <w:r w:rsidRPr="00E2448C">
        <w:t>v</w:t>
      </w:r>
      <w:r>
        <w:t xml:space="preserve"> </w:t>
      </w:r>
      <w:r w:rsidRPr="00E2448C">
        <w:t>§</w:t>
      </w:r>
      <w:r>
        <w:t xml:space="preserve"> </w:t>
      </w:r>
      <w:r w:rsidRPr="00E2448C">
        <w:t>19ha</w:t>
      </w:r>
      <w:r>
        <w:t xml:space="preserve"> </w:t>
      </w:r>
      <w:r w:rsidRPr="00E2448C">
        <w:t>odst.</w:t>
      </w:r>
      <w:r>
        <w:t xml:space="preserve"> </w:t>
      </w:r>
      <w:r w:rsidRPr="00E2448C">
        <w:t>1</w:t>
      </w:r>
      <w:r>
        <w:t xml:space="preserve"> </w:t>
      </w:r>
      <w:r w:rsidRPr="00E2448C">
        <w:t>se</w:t>
      </w:r>
      <w:r>
        <w:t xml:space="preserve"> </w:t>
      </w:r>
      <w:r w:rsidRPr="00E2448C">
        <w:t>dopustí</w:t>
      </w:r>
      <w:r>
        <w:t xml:space="preserve"> </w:t>
      </w:r>
      <w:r w:rsidRPr="00E2448C">
        <w:t>přestupku</w:t>
      </w:r>
      <w:r>
        <w:t xml:space="preserve"> </w:t>
      </w:r>
      <w:r w:rsidRPr="00E2448C">
        <w:t>tím,</w:t>
      </w:r>
      <w:r>
        <w:t xml:space="preserve"> </w:t>
      </w:r>
      <w:r w:rsidRPr="00E2448C">
        <w:t>že</w:t>
      </w:r>
      <w:r>
        <w:t xml:space="preserve"> </w:t>
      </w:r>
      <w:r w:rsidRPr="00E2448C">
        <w:t>vykoná</w:t>
      </w:r>
      <w:r>
        <w:t xml:space="preserve"> </w:t>
      </w:r>
      <w:r w:rsidRPr="00E2448C">
        <w:t>hlasovací</w:t>
      </w:r>
      <w:r>
        <w:t xml:space="preserve"> </w:t>
      </w:r>
      <w:r w:rsidRPr="00E2448C">
        <w:t>práva</w:t>
      </w:r>
      <w:r>
        <w:t xml:space="preserve"> </w:t>
      </w:r>
      <w:r w:rsidRPr="00E2448C">
        <w:t>nebo</w:t>
      </w:r>
      <w:r>
        <w:t xml:space="preserve"> </w:t>
      </w:r>
      <w:r w:rsidRPr="00E2448C">
        <w:t>rozhodne</w:t>
      </w:r>
      <w:r>
        <w:t xml:space="preserve"> </w:t>
      </w:r>
      <w:r w:rsidRPr="00E2448C">
        <w:t>jako</w:t>
      </w:r>
      <w:r>
        <w:t xml:space="preserve"> </w:t>
      </w:r>
      <w:r w:rsidRPr="00E2448C">
        <w:t>jediný</w:t>
      </w:r>
      <w:r>
        <w:t xml:space="preserve"> </w:t>
      </w:r>
      <w:r w:rsidRPr="00E2448C">
        <w:t>společník</w:t>
      </w:r>
      <w:r>
        <w:t xml:space="preserve"> </w:t>
      </w:r>
      <w:r w:rsidRPr="00E2448C">
        <w:t>právnické</w:t>
      </w:r>
      <w:r>
        <w:t xml:space="preserve"> </w:t>
      </w:r>
      <w:r w:rsidRPr="00E2448C">
        <w:t>osoby</w:t>
      </w:r>
      <w:r>
        <w:t xml:space="preserve"> </w:t>
      </w:r>
      <w:r w:rsidRPr="00E2448C">
        <w:t>v</w:t>
      </w:r>
      <w:r>
        <w:t xml:space="preserve"> </w:t>
      </w:r>
      <w:r w:rsidRPr="00E2448C">
        <w:t>rozporu</w:t>
      </w:r>
      <w:r>
        <w:t xml:space="preserve"> </w:t>
      </w:r>
      <w:r w:rsidRPr="00E2448C">
        <w:t>s</w:t>
      </w:r>
      <w:r>
        <w:t xml:space="preserve"> </w:t>
      </w:r>
      <w:r w:rsidRPr="00E2448C">
        <w:t>§</w:t>
      </w:r>
      <w:r>
        <w:t xml:space="preserve"> </w:t>
      </w:r>
      <w:r w:rsidRPr="00E2448C">
        <w:t>19ha</w:t>
      </w:r>
      <w:r>
        <w:t xml:space="preserve"> </w:t>
      </w:r>
      <w:r w:rsidRPr="00E2448C">
        <w:t>odst.</w:t>
      </w:r>
      <w:r>
        <w:t xml:space="preserve"> </w:t>
      </w:r>
      <w:r w:rsidRPr="00E2448C">
        <w:t>4.</w:t>
      </w:r>
    </w:p>
    <w:p w14:paraId="294B95D3" w14:textId="77777777" w:rsidR="00495F58" w:rsidRDefault="00495F58" w:rsidP="00A06781">
      <w:pPr>
        <w:pStyle w:val="PZTextodstavce"/>
      </w:pPr>
      <w:r w:rsidRPr="00E2448C">
        <w:t>(4)</w:t>
      </w:r>
      <w:r>
        <w:t xml:space="preserve"> </w:t>
      </w:r>
      <w:r w:rsidRPr="00E2448C">
        <w:t>Za</w:t>
      </w:r>
      <w:r>
        <w:t xml:space="preserve"> </w:t>
      </w:r>
      <w:r w:rsidRPr="00E2448C">
        <w:t>přestupek</w:t>
      </w:r>
      <w:r>
        <w:t xml:space="preserve"> </w:t>
      </w:r>
      <w:r w:rsidRPr="00E2448C">
        <w:t>lze</w:t>
      </w:r>
      <w:r>
        <w:t xml:space="preserve"> </w:t>
      </w:r>
      <w:r w:rsidRPr="00E2448C">
        <w:t>uložit</w:t>
      </w:r>
      <w:r>
        <w:t xml:space="preserve"> </w:t>
      </w:r>
      <w:r w:rsidRPr="00E2448C">
        <w:t>pokutu</w:t>
      </w:r>
    </w:p>
    <w:p w14:paraId="53BF7D3E" w14:textId="56FF36E8" w:rsidR="00495F58" w:rsidRDefault="00495F58" w:rsidP="002B22FA">
      <w:pPr>
        <w:pStyle w:val="PZTextpsmene"/>
        <w:tabs>
          <w:tab w:val="left" w:pos="851"/>
        </w:tabs>
        <w:spacing w:before="0"/>
      </w:pPr>
      <w:r w:rsidRPr="00E2448C">
        <w:t>a)</w:t>
      </w:r>
      <w:r w:rsidR="002B22FA">
        <w:tab/>
      </w:r>
      <w:r w:rsidRPr="00E2448C">
        <w:t>do</w:t>
      </w:r>
      <w:r>
        <w:t xml:space="preserve"> </w:t>
      </w:r>
      <w:r w:rsidRPr="00E2448C">
        <w:t>2</w:t>
      </w:r>
      <w:r>
        <w:t xml:space="preserve"> </w:t>
      </w:r>
      <w:r w:rsidRPr="00E2448C">
        <w:t>000</w:t>
      </w:r>
      <w:r>
        <w:t xml:space="preserve"> </w:t>
      </w:r>
      <w:r w:rsidRPr="00E2448C">
        <w:t>000</w:t>
      </w:r>
      <w:r>
        <w:t xml:space="preserve"> </w:t>
      </w:r>
      <w:r w:rsidRPr="00E2448C">
        <w:t>Kč,</w:t>
      </w:r>
      <w:r>
        <w:t xml:space="preserve"> </w:t>
      </w:r>
      <w:r w:rsidRPr="00E2448C">
        <w:t>jde-li</w:t>
      </w:r>
      <w:r>
        <w:t xml:space="preserve"> </w:t>
      </w:r>
      <w:r w:rsidRPr="00E2448C">
        <w:t>o</w:t>
      </w:r>
      <w:r>
        <w:t xml:space="preserve"> </w:t>
      </w:r>
      <w:r w:rsidRPr="00E2448C">
        <w:t>přestupek</w:t>
      </w:r>
      <w:r>
        <w:t xml:space="preserve"> </w:t>
      </w:r>
      <w:r w:rsidRPr="00E2448C">
        <w:t>podle</w:t>
      </w:r>
      <w:r>
        <w:t xml:space="preserve"> </w:t>
      </w:r>
      <w:r w:rsidRPr="00E2448C">
        <w:t>odstavce</w:t>
      </w:r>
      <w:r>
        <w:t xml:space="preserve"> </w:t>
      </w:r>
      <w:r w:rsidRPr="00E2448C">
        <w:t>1,</w:t>
      </w:r>
    </w:p>
    <w:p w14:paraId="74349933" w14:textId="5A8037C8" w:rsidR="00495F58" w:rsidRDefault="00495F58" w:rsidP="002B22FA">
      <w:pPr>
        <w:pStyle w:val="PZTextpsmene"/>
        <w:tabs>
          <w:tab w:val="left" w:pos="851"/>
        </w:tabs>
        <w:spacing w:before="0"/>
      </w:pPr>
      <w:r w:rsidRPr="00E2448C">
        <w:t>b)</w:t>
      </w:r>
      <w:r w:rsidR="002B22FA">
        <w:tab/>
      </w:r>
      <w:r w:rsidRPr="00E2448C">
        <w:t>do</w:t>
      </w:r>
      <w:r>
        <w:t xml:space="preserve"> </w:t>
      </w:r>
      <w:r w:rsidRPr="00E2448C">
        <w:t>250</w:t>
      </w:r>
      <w:r>
        <w:t xml:space="preserve"> </w:t>
      </w:r>
      <w:r w:rsidRPr="00E2448C">
        <w:t>000</w:t>
      </w:r>
      <w:r>
        <w:t xml:space="preserve"> </w:t>
      </w:r>
      <w:r w:rsidRPr="00E2448C">
        <w:t>Kč</w:t>
      </w:r>
      <w:r>
        <w:t xml:space="preserve"> </w:t>
      </w:r>
      <w:r w:rsidRPr="00E2448C">
        <w:t>nebo</w:t>
      </w:r>
      <w:r>
        <w:t xml:space="preserve"> </w:t>
      </w:r>
      <w:r w:rsidRPr="00E2448C">
        <w:t>do</w:t>
      </w:r>
      <w:r>
        <w:t xml:space="preserve"> </w:t>
      </w:r>
      <w:r w:rsidRPr="00E2448C">
        <w:t>výše</w:t>
      </w:r>
      <w:r>
        <w:t xml:space="preserve"> </w:t>
      </w:r>
      <w:r w:rsidRPr="00E2448C">
        <w:t>3</w:t>
      </w:r>
      <w:r>
        <w:t xml:space="preserve"> </w:t>
      </w:r>
      <w:r w:rsidRPr="00E2448C">
        <w:t>%</w:t>
      </w:r>
      <w:r>
        <w:t xml:space="preserve"> </w:t>
      </w:r>
      <w:r w:rsidRPr="00E2448C">
        <w:rPr>
          <w:strike/>
        </w:rPr>
        <w:t>hodnoty</w:t>
      </w:r>
      <w:r>
        <w:rPr>
          <w:strike/>
        </w:rPr>
        <w:t xml:space="preserve"> </w:t>
      </w:r>
      <w:r w:rsidRPr="00E2448C">
        <w:rPr>
          <w:strike/>
        </w:rPr>
        <w:t>aktiv</w:t>
      </w:r>
      <w:r>
        <w:t xml:space="preserve"> </w:t>
      </w:r>
      <w:proofErr w:type="spellStart"/>
      <w:r w:rsidRPr="00E2448C">
        <w:rPr>
          <w:b/>
          <w:bCs/>
        </w:rPr>
        <w:t>aktiv</w:t>
      </w:r>
      <w:proofErr w:type="spellEnd"/>
      <w:r>
        <w:rPr>
          <w:b/>
          <w:bCs/>
        </w:rPr>
        <w:t xml:space="preserve"> </w:t>
      </w:r>
      <w:r w:rsidRPr="00E2448C">
        <w:rPr>
          <w:b/>
          <w:bCs/>
        </w:rPr>
        <w:t>celkem</w:t>
      </w:r>
      <w:r>
        <w:rPr>
          <w:b/>
          <w:bCs/>
        </w:rPr>
        <w:t xml:space="preserve"> </w:t>
      </w:r>
      <w:r w:rsidRPr="00E2448C">
        <w:rPr>
          <w:b/>
          <w:bCs/>
        </w:rPr>
        <w:t>podle</w:t>
      </w:r>
      <w:r>
        <w:rPr>
          <w:b/>
          <w:bCs/>
        </w:rPr>
        <w:t xml:space="preserve"> </w:t>
      </w:r>
      <w:r w:rsidRPr="00E2448C">
        <w:rPr>
          <w:b/>
          <w:bCs/>
        </w:rPr>
        <w:t>zákona</w:t>
      </w:r>
      <w:r>
        <w:rPr>
          <w:b/>
          <w:bCs/>
        </w:rPr>
        <w:t xml:space="preserve"> </w:t>
      </w:r>
      <w:r w:rsidRPr="00E2448C">
        <w:rPr>
          <w:b/>
          <w:bCs/>
        </w:rPr>
        <w:t>upravujícího</w:t>
      </w:r>
      <w:r>
        <w:rPr>
          <w:b/>
          <w:bCs/>
        </w:rPr>
        <w:t xml:space="preserve"> </w:t>
      </w:r>
      <w:r w:rsidRPr="00E2448C">
        <w:rPr>
          <w:b/>
          <w:bCs/>
        </w:rPr>
        <w:t>účetnictví</w:t>
      </w:r>
      <w:r>
        <w:rPr>
          <w:b/>
          <w:bCs/>
        </w:rPr>
        <w:t xml:space="preserve"> </w:t>
      </w:r>
      <w:r w:rsidRPr="00E2448C">
        <w:t>právnické</w:t>
      </w:r>
      <w:r>
        <w:t xml:space="preserve"> </w:t>
      </w:r>
      <w:r w:rsidRPr="00E2448C">
        <w:t>osoby,</w:t>
      </w:r>
      <w:r>
        <w:t xml:space="preserve"> </w:t>
      </w:r>
      <w:r w:rsidRPr="00E2448C">
        <w:t>jejímž</w:t>
      </w:r>
      <w:r>
        <w:t xml:space="preserve"> </w:t>
      </w:r>
      <w:r w:rsidRPr="00E2448C">
        <w:t>je</w:t>
      </w:r>
      <w:r>
        <w:t xml:space="preserve"> </w:t>
      </w:r>
      <w:r w:rsidRPr="00E2448C">
        <w:t>veřejný</w:t>
      </w:r>
      <w:r>
        <w:t xml:space="preserve"> </w:t>
      </w:r>
      <w:r w:rsidRPr="00E2448C">
        <w:t>funkcionář</w:t>
      </w:r>
      <w:r>
        <w:t xml:space="preserve"> </w:t>
      </w:r>
      <w:r w:rsidRPr="00E2448C">
        <w:t>společníkem,</w:t>
      </w:r>
      <w:r>
        <w:t xml:space="preserve"> </w:t>
      </w:r>
      <w:r w:rsidRPr="00E2448C">
        <w:t>členem</w:t>
      </w:r>
      <w:r>
        <w:t xml:space="preserve"> </w:t>
      </w:r>
      <w:r w:rsidRPr="00E2448C">
        <w:t>nebo</w:t>
      </w:r>
      <w:r>
        <w:t xml:space="preserve"> </w:t>
      </w:r>
      <w:r w:rsidRPr="00E2448C">
        <w:t>skutečným</w:t>
      </w:r>
      <w:r>
        <w:t xml:space="preserve"> </w:t>
      </w:r>
      <w:r w:rsidRPr="00E2448C">
        <w:t>majitelem</w:t>
      </w:r>
      <w:r>
        <w:t xml:space="preserve"> </w:t>
      </w:r>
      <w:r w:rsidRPr="00E2448C">
        <w:t>a</w:t>
      </w:r>
      <w:r>
        <w:t xml:space="preserve"> </w:t>
      </w:r>
      <w:r w:rsidRPr="00E2448C">
        <w:t>která</w:t>
      </w:r>
      <w:r>
        <w:t xml:space="preserve"> </w:t>
      </w:r>
      <w:r w:rsidRPr="00E2448C">
        <w:t>je</w:t>
      </w:r>
      <w:r>
        <w:t xml:space="preserve"> </w:t>
      </w:r>
      <w:r w:rsidRPr="00E2448C">
        <w:t>provozovatelem</w:t>
      </w:r>
      <w:r>
        <w:t xml:space="preserve"> </w:t>
      </w:r>
      <w:r w:rsidRPr="00E2448C">
        <w:t>rozhlasového</w:t>
      </w:r>
      <w:r>
        <w:t xml:space="preserve"> </w:t>
      </w:r>
      <w:r w:rsidRPr="00E2448C">
        <w:t>nebo</w:t>
      </w:r>
      <w:r>
        <w:t xml:space="preserve"> </w:t>
      </w:r>
      <w:r w:rsidRPr="00E2448C">
        <w:t>televizního</w:t>
      </w:r>
      <w:r>
        <w:t xml:space="preserve"> </w:t>
      </w:r>
      <w:r w:rsidRPr="00E2448C">
        <w:t>vysílání</w:t>
      </w:r>
      <w:r>
        <w:t xml:space="preserve"> </w:t>
      </w:r>
      <w:r w:rsidRPr="00E2448C">
        <w:t>nebo</w:t>
      </w:r>
      <w:r>
        <w:t xml:space="preserve"> </w:t>
      </w:r>
      <w:r w:rsidRPr="00E2448C">
        <w:t>vydavatelem</w:t>
      </w:r>
      <w:r>
        <w:t xml:space="preserve"> </w:t>
      </w:r>
      <w:r w:rsidRPr="00E2448C">
        <w:t>periodického</w:t>
      </w:r>
      <w:r>
        <w:t xml:space="preserve"> </w:t>
      </w:r>
      <w:r w:rsidRPr="00E2448C">
        <w:t>tisku,</w:t>
      </w:r>
      <w:r>
        <w:t xml:space="preserve"> </w:t>
      </w:r>
      <w:r w:rsidRPr="00E2448C">
        <w:t>podle</w:t>
      </w:r>
      <w:r>
        <w:t xml:space="preserve"> </w:t>
      </w:r>
      <w:r w:rsidRPr="00E2448C">
        <w:t>toho,</w:t>
      </w:r>
      <w:r>
        <w:t xml:space="preserve"> </w:t>
      </w:r>
      <w:r w:rsidRPr="00E2448C">
        <w:t>která</w:t>
      </w:r>
      <w:r>
        <w:t xml:space="preserve"> </w:t>
      </w:r>
      <w:r w:rsidRPr="00E2448C">
        <w:t>částka</w:t>
      </w:r>
      <w:r>
        <w:t xml:space="preserve"> </w:t>
      </w:r>
      <w:r w:rsidRPr="00E2448C">
        <w:t>je</w:t>
      </w:r>
      <w:r>
        <w:t xml:space="preserve"> </w:t>
      </w:r>
      <w:r w:rsidRPr="00E2448C">
        <w:t>vyšší,</w:t>
      </w:r>
      <w:r>
        <w:t xml:space="preserve"> </w:t>
      </w:r>
      <w:r w:rsidRPr="00E2448C">
        <w:t>jde-li</w:t>
      </w:r>
      <w:r>
        <w:t xml:space="preserve"> </w:t>
      </w:r>
      <w:r w:rsidRPr="00E2448C">
        <w:t>o</w:t>
      </w:r>
      <w:r>
        <w:t xml:space="preserve"> </w:t>
      </w:r>
      <w:r w:rsidRPr="00E2448C">
        <w:t>přestupek</w:t>
      </w:r>
      <w:r>
        <w:t xml:space="preserve"> </w:t>
      </w:r>
      <w:r w:rsidRPr="00E2448C">
        <w:t>podle</w:t>
      </w:r>
      <w:r>
        <w:t xml:space="preserve"> </w:t>
      </w:r>
      <w:r w:rsidRPr="00E2448C">
        <w:t>odstavců</w:t>
      </w:r>
      <w:r>
        <w:t xml:space="preserve"> </w:t>
      </w:r>
      <w:r w:rsidRPr="00E2448C">
        <w:t>2</w:t>
      </w:r>
      <w:r>
        <w:t xml:space="preserve"> </w:t>
      </w:r>
      <w:r w:rsidRPr="00E2448C">
        <w:t>a</w:t>
      </w:r>
      <w:r>
        <w:t xml:space="preserve"> </w:t>
      </w:r>
      <w:r w:rsidRPr="00E2448C">
        <w:t>3.</w:t>
      </w:r>
    </w:p>
    <w:p w14:paraId="20E62607" w14:textId="77777777" w:rsidR="00495F58" w:rsidRPr="00E2448C" w:rsidRDefault="00495F58" w:rsidP="00495F58">
      <w:pPr>
        <w:pStyle w:val="Default"/>
        <w:tabs>
          <w:tab w:val="left" w:pos="851"/>
        </w:tabs>
        <w:spacing w:before="240" w:after="120"/>
        <w:jc w:val="center"/>
        <w:rPr>
          <w:color w:val="auto"/>
        </w:rPr>
      </w:pPr>
      <w:r w:rsidRPr="00E2448C">
        <w:rPr>
          <w:color w:val="auto"/>
        </w:rPr>
        <w:t>§</w:t>
      </w:r>
      <w:r>
        <w:rPr>
          <w:color w:val="auto"/>
        </w:rPr>
        <w:t xml:space="preserve"> </w:t>
      </w:r>
      <w:r w:rsidRPr="00E2448C">
        <w:rPr>
          <w:color w:val="auto"/>
        </w:rPr>
        <w:t>19j</w:t>
      </w:r>
      <w:r>
        <w:rPr>
          <w:color w:val="auto"/>
        </w:rPr>
        <w:t xml:space="preserve"> </w:t>
      </w:r>
    </w:p>
    <w:p w14:paraId="384D8E9E" w14:textId="77777777" w:rsidR="00495F58" w:rsidRDefault="00495F58" w:rsidP="00A06781">
      <w:pPr>
        <w:pStyle w:val="PZTextodstavce"/>
      </w:pPr>
      <w:r w:rsidRPr="00E2448C">
        <w:t>(1)</w:t>
      </w:r>
      <w:r>
        <w:t xml:space="preserve"> </w:t>
      </w:r>
      <w:r w:rsidRPr="00E2448C">
        <w:t>Právnická</w:t>
      </w:r>
      <w:r>
        <w:t xml:space="preserve"> </w:t>
      </w:r>
      <w:r w:rsidRPr="00E2448C">
        <w:t>nebo</w:t>
      </w:r>
      <w:r>
        <w:t xml:space="preserve"> </w:t>
      </w:r>
      <w:r w:rsidRPr="00E2448C">
        <w:t>podnikající</w:t>
      </w:r>
      <w:r>
        <w:t xml:space="preserve"> </w:t>
      </w:r>
      <w:r w:rsidRPr="00E2448C">
        <w:t>fyzická</w:t>
      </w:r>
      <w:r>
        <w:t xml:space="preserve"> </w:t>
      </w:r>
      <w:r w:rsidRPr="00E2448C">
        <w:t>osoba,</w:t>
      </w:r>
      <w:r>
        <w:t xml:space="preserve"> </w:t>
      </w:r>
      <w:r w:rsidRPr="00E2448C">
        <w:t>která</w:t>
      </w:r>
      <w:r>
        <w:t xml:space="preserve"> </w:t>
      </w:r>
      <w:r w:rsidRPr="00E2448C">
        <w:t>žádá</w:t>
      </w:r>
      <w:r>
        <w:t xml:space="preserve"> </w:t>
      </w:r>
      <w:r w:rsidRPr="00E2448C">
        <w:t>o</w:t>
      </w:r>
      <w:r>
        <w:t xml:space="preserve"> </w:t>
      </w:r>
      <w:r w:rsidRPr="00E2448C">
        <w:t>provedení</w:t>
      </w:r>
      <w:r>
        <w:t xml:space="preserve"> </w:t>
      </w:r>
      <w:r w:rsidRPr="00E2448C">
        <w:t>platební</w:t>
      </w:r>
      <w:r>
        <w:t xml:space="preserve"> </w:t>
      </w:r>
      <w:r w:rsidRPr="00E2448C">
        <w:t>transakce</w:t>
      </w:r>
      <w:r>
        <w:t xml:space="preserve"> </w:t>
      </w:r>
      <w:r w:rsidRPr="00E2448C">
        <w:t>ve</w:t>
      </w:r>
      <w:r>
        <w:t xml:space="preserve"> </w:t>
      </w:r>
      <w:r w:rsidRPr="00E2448C">
        <w:t>prospěch</w:t>
      </w:r>
      <w:r>
        <w:t xml:space="preserve"> </w:t>
      </w:r>
      <w:r w:rsidRPr="00E2448C">
        <w:t>nebo</w:t>
      </w:r>
      <w:r>
        <w:t xml:space="preserve"> </w:t>
      </w:r>
      <w:r w:rsidRPr="00E2448C">
        <w:t>k</w:t>
      </w:r>
      <w:r>
        <w:t xml:space="preserve"> </w:t>
      </w:r>
      <w:r w:rsidRPr="00E2448C">
        <w:t>tíži</w:t>
      </w:r>
      <w:r>
        <w:t xml:space="preserve"> </w:t>
      </w:r>
      <w:r w:rsidRPr="00E2448C">
        <w:t>zvláštního</w:t>
      </w:r>
      <w:r>
        <w:t xml:space="preserve"> </w:t>
      </w:r>
      <w:r w:rsidRPr="00E2448C">
        <w:t>účtu,</w:t>
      </w:r>
      <w:r>
        <w:t xml:space="preserve"> </w:t>
      </w:r>
      <w:r w:rsidRPr="00E2448C">
        <w:t>se</w:t>
      </w:r>
      <w:r>
        <w:t xml:space="preserve"> </w:t>
      </w:r>
      <w:r w:rsidRPr="00E2448C">
        <w:t>dopustí</w:t>
      </w:r>
      <w:r>
        <w:t xml:space="preserve"> </w:t>
      </w:r>
      <w:r w:rsidRPr="00E2448C">
        <w:t>přestupku</w:t>
      </w:r>
      <w:r>
        <w:t xml:space="preserve"> </w:t>
      </w:r>
      <w:r w:rsidRPr="00E2448C">
        <w:t>tím,</w:t>
      </w:r>
      <w:r>
        <w:t xml:space="preserve"> </w:t>
      </w:r>
      <w:r w:rsidRPr="00E2448C">
        <w:t>že</w:t>
      </w:r>
      <w:r>
        <w:t xml:space="preserve"> </w:t>
      </w:r>
      <w:r w:rsidRPr="00E2448C">
        <w:t>v</w:t>
      </w:r>
      <w:r>
        <w:t xml:space="preserve"> </w:t>
      </w:r>
      <w:r w:rsidRPr="00E2448C">
        <w:t>rozporu</w:t>
      </w:r>
      <w:r>
        <w:t xml:space="preserve"> </w:t>
      </w:r>
      <w:r w:rsidRPr="00E2448C">
        <w:t>s</w:t>
      </w:r>
      <w:r>
        <w:t xml:space="preserve"> </w:t>
      </w:r>
      <w:r w:rsidRPr="00E2448C">
        <w:t>§</w:t>
      </w:r>
      <w:r>
        <w:t xml:space="preserve"> </w:t>
      </w:r>
      <w:r w:rsidRPr="00E2448C">
        <w:t>17b</w:t>
      </w:r>
      <w:r>
        <w:t xml:space="preserve"> </w:t>
      </w:r>
      <w:r w:rsidRPr="00E2448C">
        <w:t>odst.</w:t>
      </w:r>
      <w:r>
        <w:t xml:space="preserve"> </w:t>
      </w:r>
      <w:r w:rsidRPr="00E2448C">
        <w:t>1</w:t>
      </w:r>
      <w:r>
        <w:t xml:space="preserve"> </w:t>
      </w:r>
      <w:r w:rsidRPr="00E2448C">
        <w:t>neuvede</w:t>
      </w:r>
      <w:r>
        <w:t xml:space="preserve"> </w:t>
      </w:r>
      <w:r w:rsidRPr="00E2448C">
        <w:t>v</w:t>
      </w:r>
      <w:r>
        <w:t xml:space="preserve"> </w:t>
      </w:r>
      <w:r w:rsidRPr="00E2448C">
        <w:t>platebním</w:t>
      </w:r>
      <w:r>
        <w:t xml:space="preserve"> </w:t>
      </w:r>
      <w:r w:rsidRPr="00E2448C">
        <w:t>příkaze</w:t>
      </w:r>
      <w:r>
        <w:t xml:space="preserve"> </w:t>
      </w:r>
      <w:r w:rsidRPr="00E2448C">
        <w:t>účel</w:t>
      </w:r>
      <w:r>
        <w:t xml:space="preserve"> </w:t>
      </w:r>
      <w:r w:rsidRPr="00E2448C">
        <w:t>platební</w:t>
      </w:r>
      <w:r>
        <w:t xml:space="preserve"> </w:t>
      </w:r>
      <w:r w:rsidRPr="00E2448C">
        <w:t>transakce.</w:t>
      </w:r>
    </w:p>
    <w:p w14:paraId="12652675" w14:textId="77777777" w:rsidR="00495F58" w:rsidRDefault="00495F58" w:rsidP="00A06781">
      <w:pPr>
        <w:pStyle w:val="PZTextodstavce"/>
      </w:pPr>
      <w:r w:rsidRPr="00E2448C">
        <w:t>(2)</w:t>
      </w:r>
      <w:r>
        <w:t xml:space="preserve"> </w:t>
      </w:r>
      <w:r w:rsidRPr="00E2448C">
        <w:t>Strana</w:t>
      </w:r>
      <w:r>
        <w:t xml:space="preserve"> </w:t>
      </w:r>
      <w:r w:rsidRPr="00E2448C">
        <w:t>nebo</w:t>
      </w:r>
      <w:r>
        <w:t xml:space="preserve"> </w:t>
      </w:r>
      <w:r w:rsidRPr="00E2448C">
        <w:t>hnutí</w:t>
      </w:r>
      <w:r>
        <w:t xml:space="preserve"> </w:t>
      </w:r>
      <w:r w:rsidRPr="00E2448C">
        <w:t>se</w:t>
      </w:r>
      <w:r>
        <w:t xml:space="preserve"> </w:t>
      </w:r>
      <w:r w:rsidRPr="00E2448C">
        <w:t>dopustí</w:t>
      </w:r>
      <w:r>
        <w:t xml:space="preserve"> </w:t>
      </w:r>
      <w:r w:rsidRPr="00E2448C">
        <w:t>přestupku</w:t>
      </w:r>
      <w:r>
        <w:t xml:space="preserve"> </w:t>
      </w:r>
      <w:r w:rsidRPr="00E2448C">
        <w:t>tím,</w:t>
      </w:r>
      <w:r>
        <w:t xml:space="preserve"> </w:t>
      </w:r>
      <w:r w:rsidRPr="00E2448C">
        <w:t>že</w:t>
      </w:r>
    </w:p>
    <w:p w14:paraId="4D810EED" w14:textId="6B69921A" w:rsidR="00495F58" w:rsidRDefault="00495F58" w:rsidP="00A06781">
      <w:pPr>
        <w:pStyle w:val="PZTextpsmene"/>
        <w:tabs>
          <w:tab w:val="left" w:pos="851"/>
        </w:tabs>
        <w:spacing w:before="0"/>
      </w:pPr>
      <w:r w:rsidRPr="00E2448C">
        <w:t>a)</w:t>
      </w:r>
      <w:r w:rsidR="002B22FA">
        <w:tab/>
      </w:r>
      <w:r w:rsidRPr="00E2448C">
        <w:t>poruší</w:t>
      </w:r>
      <w:r>
        <w:t xml:space="preserve"> </w:t>
      </w:r>
      <w:r w:rsidRPr="00E2448C">
        <w:t>§</w:t>
      </w:r>
      <w:r>
        <w:t xml:space="preserve"> </w:t>
      </w:r>
      <w:r w:rsidRPr="00E2448C">
        <w:t>17</w:t>
      </w:r>
      <w:r>
        <w:t xml:space="preserve"> </w:t>
      </w:r>
      <w:r w:rsidRPr="00E2448C">
        <w:t>odst.</w:t>
      </w:r>
      <w:r>
        <w:t xml:space="preserve"> </w:t>
      </w:r>
      <w:r w:rsidRPr="00E2448C">
        <w:t>8,</w:t>
      </w:r>
    </w:p>
    <w:p w14:paraId="6B266B51" w14:textId="6657C5E6" w:rsidR="00495F58" w:rsidRDefault="00495F58" w:rsidP="00A06781">
      <w:pPr>
        <w:pStyle w:val="PZTextpsmene"/>
        <w:tabs>
          <w:tab w:val="left" w:pos="851"/>
        </w:tabs>
        <w:spacing w:before="0"/>
      </w:pPr>
      <w:r w:rsidRPr="00E2448C">
        <w:t>b)</w:t>
      </w:r>
      <w:r w:rsidR="002B22FA">
        <w:tab/>
      </w:r>
      <w:r w:rsidRPr="00E2448C">
        <w:t>v</w:t>
      </w:r>
      <w:r>
        <w:t xml:space="preserve"> </w:t>
      </w:r>
      <w:r w:rsidRPr="00E2448C">
        <w:t>rozporu</w:t>
      </w:r>
      <w:r>
        <w:t xml:space="preserve"> </w:t>
      </w:r>
      <w:r w:rsidRPr="00E2448C">
        <w:t>s</w:t>
      </w:r>
      <w:r>
        <w:t xml:space="preserve"> </w:t>
      </w:r>
      <w:r w:rsidRPr="00E2448C">
        <w:t>§</w:t>
      </w:r>
      <w:r>
        <w:t xml:space="preserve"> </w:t>
      </w:r>
      <w:r w:rsidRPr="00E2448C">
        <w:t>17a</w:t>
      </w:r>
      <w:r>
        <w:t xml:space="preserve"> </w:t>
      </w:r>
      <w:r w:rsidRPr="00E2448C">
        <w:t>nevede</w:t>
      </w:r>
      <w:r>
        <w:t xml:space="preserve"> </w:t>
      </w:r>
      <w:r w:rsidRPr="00E2448C">
        <w:t>oddělené</w:t>
      </w:r>
      <w:r>
        <w:t xml:space="preserve"> </w:t>
      </w:r>
      <w:r w:rsidRPr="00E2448C">
        <w:t>účty</w:t>
      </w:r>
      <w:r>
        <w:t xml:space="preserve"> </w:t>
      </w:r>
      <w:r w:rsidRPr="00E2448C">
        <w:t>nebo</w:t>
      </w:r>
      <w:r>
        <w:t xml:space="preserve"> </w:t>
      </w:r>
      <w:r w:rsidRPr="00E2448C">
        <w:t>neoznámí</w:t>
      </w:r>
      <w:r>
        <w:t xml:space="preserve"> </w:t>
      </w:r>
      <w:r w:rsidRPr="00E2448C">
        <w:t>Úřadu</w:t>
      </w:r>
      <w:r>
        <w:t xml:space="preserve"> </w:t>
      </w:r>
      <w:r w:rsidRPr="00E2448C">
        <w:t>údaje</w:t>
      </w:r>
      <w:r>
        <w:t xml:space="preserve"> </w:t>
      </w:r>
      <w:r w:rsidRPr="00E2448C">
        <w:t>podle</w:t>
      </w:r>
      <w:r>
        <w:t xml:space="preserve"> </w:t>
      </w:r>
      <w:r w:rsidRPr="00E2448C">
        <w:t>§</w:t>
      </w:r>
      <w:r>
        <w:t xml:space="preserve"> </w:t>
      </w:r>
      <w:r w:rsidRPr="00E2448C">
        <w:t>17a</w:t>
      </w:r>
      <w:r>
        <w:t xml:space="preserve"> </w:t>
      </w:r>
      <w:r w:rsidRPr="00E2448C">
        <w:t>odst.</w:t>
      </w:r>
      <w:r>
        <w:t xml:space="preserve"> </w:t>
      </w:r>
      <w:r w:rsidRPr="00E2448C">
        <w:t>4,</w:t>
      </w:r>
    </w:p>
    <w:p w14:paraId="3BEFFEBB" w14:textId="3CC58854" w:rsidR="00495F58" w:rsidRDefault="00495F58" w:rsidP="00A06781">
      <w:pPr>
        <w:pStyle w:val="PZTextpsmene"/>
        <w:tabs>
          <w:tab w:val="left" w:pos="851"/>
        </w:tabs>
        <w:spacing w:before="0"/>
      </w:pPr>
      <w:r w:rsidRPr="00E2448C">
        <w:t>c)</w:t>
      </w:r>
      <w:r w:rsidR="002B22FA">
        <w:tab/>
      </w:r>
      <w:r w:rsidRPr="00E2448C">
        <w:t>v</w:t>
      </w:r>
      <w:r>
        <w:t xml:space="preserve"> </w:t>
      </w:r>
      <w:r w:rsidRPr="00E2448C">
        <w:t>rozporu</w:t>
      </w:r>
      <w:r>
        <w:t xml:space="preserve"> </w:t>
      </w:r>
      <w:r w:rsidRPr="00E2448C">
        <w:t>s</w:t>
      </w:r>
      <w:r>
        <w:t xml:space="preserve"> </w:t>
      </w:r>
      <w:r w:rsidRPr="00E2448C">
        <w:t>§</w:t>
      </w:r>
      <w:r>
        <w:t xml:space="preserve"> </w:t>
      </w:r>
      <w:r w:rsidRPr="00E2448C">
        <w:t>17a</w:t>
      </w:r>
      <w:r>
        <w:t xml:space="preserve"> </w:t>
      </w:r>
      <w:r w:rsidRPr="00E2448C">
        <w:t>nezřídí</w:t>
      </w:r>
      <w:r>
        <w:t xml:space="preserve"> </w:t>
      </w:r>
      <w:r w:rsidRPr="00E2448C">
        <w:t>zvláštní</w:t>
      </w:r>
      <w:r>
        <w:t xml:space="preserve"> </w:t>
      </w:r>
      <w:r w:rsidRPr="00E2448C">
        <w:t>účet</w:t>
      </w:r>
      <w:r>
        <w:t xml:space="preserve"> </w:t>
      </w:r>
      <w:r w:rsidRPr="00E2448C">
        <w:t>nebo</w:t>
      </w:r>
      <w:r>
        <w:t xml:space="preserve"> </w:t>
      </w:r>
      <w:r w:rsidRPr="00E2448C">
        <w:t>v</w:t>
      </w:r>
      <w:r>
        <w:t xml:space="preserve"> </w:t>
      </w:r>
      <w:r w:rsidRPr="00E2448C">
        <w:t>rozporu</w:t>
      </w:r>
      <w:r>
        <w:t xml:space="preserve"> </w:t>
      </w:r>
      <w:r w:rsidRPr="00E2448C">
        <w:t>s</w:t>
      </w:r>
      <w:r>
        <w:t xml:space="preserve"> </w:t>
      </w:r>
      <w:r w:rsidRPr="00E2448C">
        <w:t>§</w:t>
      </w:r>
      <w:r>
        <w:t xml:space="preserve"> </w:t>
      </w:r>
      <w:r w:rsidRPr="00E2448C">
        <w:t>17b</w:t>
      </w:r>
      <w:r>
        <w:t xml:space="preserve"> </w:t>
      </w:r>
      <w:r w:rsidRPr="00E2448C">
        <w:t>neoznámí</w:t>
      </w:r>
      <w:r>
        <w:t xml:space="preserve"> </w:t>
      </w:r>
      <w:r w:rsidRPr="00E2448C">
        <w:t>adresu</w:t>
      </w:r>
      <w:r>
        <w:t xml:space="preserve"> </w:t>
      </w:r>
      <w:r w:rsidRPr="00E2448C">
        <w:t>internetových</w:t>
      </w:r>
      <w:r>
        <w:t xml:space="preserve"> </w:t>
      </w:r>
      <w:r w:rsidRPr="00E2448C">
        <w:t>stránek,</w:t>
      </w:r>
    </w:p>
    <w:p w14:paraId="010C32F7" w14:textId="6629BBB2" w:rsidR="00495F58" w:rsidRDefault="00495F58" w:rsidP="00A06781">
      <w:pPr>
        <w:pStyle w:val="PZTextpsmene"/>
        <w:tabs>
          <w:tab w:val="left" w:pos="851"/>
        </w:tabs>
        <w:spacing w:before="0"/>
      </w:pPr>
      <w:r w:rsidRPr="00E2448C">
        <w:t>d)</w:t>
      </w:r>
      <w:r w:rsidR="002B22FA">
        <w:tab/>
      </w:r>
      <w:r w:rsidRPr="00E2448C">
        <w:t>v</w:t>
      </w:r>
      <w:r>
        <w:t xml:space="preserve"> </w:t>
      </w:r>
      <w:r w:rsidRPr="00E2448C">
        <w:t>rozporu</w:t>
      </w:r>
      <w:r>
        <w:t xml:space="preserve"> </w:t>
      </w:r>
      <w:r w:rsidRPr="00E2448C">
        <w:t>s</w:t>
      </w:r>
      <w:r>
        <w:t xml:space="preserve"> </w:t>
      </w:r>
      <w:r w:rsidRPr="00E2448C">
        <w:t>§</w:t>
      </w:r>
      <w:r>
        <w:t xml:space="preserve"> </w:t>
      </w:r>
      <w:r w:rsidRPr="00E2448C">
        <w:t>19h</w:t>
      </w:r>
      <w:r>
        <w:t xml:space="preserve"> </w:t>
      </w:r>
      <w:r w:rsidRPr="00E2448C">
        <w:t>odst.</w:t>
      </w:r>
      <w:r>
        <w:t xml:space="preserve"> </w:t>
      </w:r>
      <w:r w:rsidRPr="00E2448C">
        <w:t>1</w:t>
      </w:r>
      <w:r>
        <w:t xml:space="preserve"> </w:t>
      </w:r>
      <w:r w:rsidRPr="00E2448C">
        <w:t>nepředloží</w:t>
      </w:r>
      <w:r>
        <w:t xml:space="preserve"> </w:t>
      </w:r>
      <w:r w:rsidRPr="00E2448C">
        <w:t>v</w:t>
      </w:r>
      <w:r>
        <w:t xml:space="preserve"> </w:t>
      </w:r>
      <w:r w:rsidRPr="00E2448C">
        <w:t>zákonné</w:t>
      </w:r>
      <w:r>
        <w:t xml:space="preserve"> </w:t>
      </w:r>
      <w:r w:rsidRPr="00E2448C">
        <w:t>lhůtě</w:t>
      </w:r>
      <w:r>
        <w:t xml:space="preserve"> </w:t>
      </w:r>
      <w:r w:rsidRPr="00E2448C">
        <w:t>výroční</w:t>
      </w:r>
      <w:r>
        <w:t xml:space="preserve"> </w:t>
      </w:r>
      <w:r w:rsidRPr="00E2448C">
        <w:t>finanční</w:t>
      </w:r>
      <w:r>
        <w:t xml:space="preserve"> </w:t>
      </w:r>
      <w:r w:rsidRPr="00E2448C">
        <w:t>zprávu,</w:t>
      </w:r>
    </w:p>
    <w:p w14:paraId="4C0BD7D7" w14:textId="12FF8B2E" w:rsidR="00495F58" w:rsidRDefault="00495F58" w:rsidP="00A06781">
      <w:pPr>
        <w:pStyle w:val="PZTextpsmene"/>
        <w:tabs>
          <w:tab w:val="left" w:pos="851"/>
        </w:tabs>
        <w:spacing w:before="0"/>
      </w:pPr>
      <w:r w:rsidRPr="00E2448C">
        <w:t>e)</w:t>
      </w:r>
      <w:r w:rsidR="002B22FA">
        <w:tab/>
      </w:r>
      <w:r w:rsidRPr="00E2448C">
        <w:t>neodstraní</w:t>
      </w:r>
      <w:r>
        <w:t xml:space="preserve"> </w:t>
      </w:r>
      <w:r w:rsidRPr="00E2448C">
        <w:t>ve</w:t>
      </w:r>
      <w:r>
        <w:t xml:space="preserve"> </w:t>
      </w:r>
      <w:r w:rsidRPr="00E2448C">
        <w:t>stanovené</w:t>
      </w:r>
      <w:r>
        <w:t xml:space="preserve"> </w:t>
      </w:r>
      <w:r w:rsidRPr="00E2448C">
        <w:t>lhůtě</w:t>
      </w:r>
      <w:r>
        <w:t xml:space="preserve"> </w:t>
      </w:r>
      <w:r w:rsidRPr="00E2448C">
        <w:t>nedostatky</w:t>
      </w:r>
      <w:r>
        <w:t xml:space="preserve"> </w:t>
      </w:r>
      <w:r w:rsidRPr="00E2448C">
        <w:t>výroční</w:t>
      </w:r>
      <w:r>
        <w:t xml:space="preserve"> </w:t>
      </w:r>
      <w:r w:rsidRPr="00E2448C">
        <w:t>finanční</w:t>
      </w:r>
      <w:r>
        <w:t xml:space="preserve"> </w:t>
      </w:r>
      <w:r w:rsidRPr="00E2448C">
        <w:t>zprávy</w:t>
      </w:r>
      <w:r>
        <w:t xml:space="preserve"> </w:t>
      </w:r>
      <w:r w:rsidRPr="00E2448C">
        <w:t>podle</w:t>
      </w:r>
      <w:r>
        <w:t xml:space="preserve"> </w:t>
      </w:r>
      <w:r w:rsidRPr="00E2448C">
        <w:t>§</w:t>
      </w:r>
      <w:r>
        <w:t xml:space="preserve"> </w:t>
      </w:r>
      <w:r w:rsidRPr="00E2448C">
        <w:t>19h</w:t>
      </w:r>
      <w:r>
        <w:t xml:space="preserve"> </w:t>
      </w:r>
      <w:r w:rsidRPr="00E2448C">
        <w:t>odst.</w:t>
      </w:r>
      <w:r>
        <w:t xml:space="preserve"> </w:t>
      </w:r>
      <w:r w:rsidRPr="00E2448C">
        <w:t>5,</w:t>
      </w:r>
    </w:p>
    <w:p w14:paraId="7D643017" w14:textId="6044B373" w:rsidR="00495F58" w:rsidRDefault="00495F58" w:rsidP="00A06781">
      <w:pPr>
        <w:pStyle w:val="PZTextpsmene"/>
        <w:tabs>
          <w:tab w:val="left" w:pos="851"/>
        </w:tabs>
        <w:spacing w:before="0"/>
      </w:pPr>
      <w:r w:rsidRPr="00E2448C">
        <w:t>f)</w:t>
      </w:r>
      <w:r w:rsidR="002B22FA">
        <w:tab/>
      </w:r>
      <w:r w:rsidRPr="00E2448C">
        <w:t>v</w:t>
      </w:r>
      <w:r>
        <w:t xml:space="preserve"> </w:t>
      </w:r>
      <w:r w:rsidRPr="00E2448C">
        <w:t>rozporu</w:t>
      </w:r>
      <w:r>
        <w:t xml:space="preserve"> </w:t>
      </w:r>
      <w:r w:rsidRPr="00E2448C">
        <w:t>s</w:t>
      </w:r>
      <w:r>
        <w:t xml:space="preserve"> </w:t>
      </w:r>
      <w:r w:rsidRPr="00E2448C">
        <w:t>§</w:t>
      </w:r>
      <w:r>
        <w:t xml:space="preserve"> </w:t>
      </w:r>
      <w:r w:rsidRPr="00E2448C">
        <w:t>18</w:t>
      </w:r>
      <w:r>
        <w:t xml:space="preserve"> </w:t>
      </w:r>
      <w:r w:rsidRPr="00E2448C">
        <w:t>odst.</w:t>
      </w:r>
      <w:r>
        <w:t xml:space="preserve"> </w:t>
      </w:r>
      <w:r w:rsidRPr="00E2448C">
        <w:t>3</w:t>
      </w:r>
      <w:r>
        <w:t xml:space="preserve"> </w:t>
      </w:r>
      <w:r w:rsidRPr="00E2448C">
        <w:t>vrátí</w:t>
      </w:r>
      <w:r>
        <w:t xml:space="preserve"> </w:t>
      </w:r>
      <w:r w:rsidRPr="00E2448C">
        <w:t>dar</w:t>
      </w:r>
      <w:r>
        <w:t xml:space="preserve"> </w:t>
      </w:r>
      <w:r w:rsidRPr="00E2448C">
        <w:t>nebo</w:t>
      </w:r>
      <w:r>
        <w:t xml:space="preserve"> </w:t>
      </w:r>
      <w:r w:rsidRPr="00E2448C">
        <w:t>jiné</w:t>
      </w:r>
      <w:r>
        <w:t xml:space="preserve"> </w:t>
      </w:r>
      <w:r w:rsidRPr="00E2448C">
        <w:t>bezúplatné</w:t>
      </w:r>
      <w:r>
        <w:t xml:space="preserve"> </w:t>
      </w:r>
      <w:r w:rsidRPr="00E2448C">
        <w:t>plnění</w:t>
      </w:r>
      <w:r>
        <w:t xml:space="preserve"> </w:t>
      </w:r>
      <w:r w:rsidRPr="00E2448C">
        <w:t>po</w:t>
      </w:r>
      <w:r>
        <w:t xml:space="preserve"> </w:t>
      </w:r>
      <w:r w:rsidRPr="00E2448C">
        <w:t>uplynutí</w:t>
      </w:r>
      <w:r>
        <w:t xml:space="preserve"> </w:t>
      </w:r>
      <w:r w:rsidRPr="00E2448C">
        <w:t>stanovené</w:t>
      </w:r>
      <w:r>
        <w:t xml:space="preserve"> </w:t>
      </w:r>
      <w:r w:rsidRPr="00E2448C">
        <w:t>lhůty,</w:t>
      </w:r>
      <w:r>
        <w:t xml:space="preserve"> </w:t>
      </w:r>
      <w:r w:rsidRPr="00E2448C">
        <w:t>nebo</w:t>
      </w:r>
    </w:p>
    <w:p w14:paraId="0795D79F" w14:textId="4AB6C6DD" w:rsidR="00495F58" w:rsidRDefault="00495F58" w:rsidP="00A06781">
      <w:pPr>
        <w:pStyle w:val="PZTextpsmene"/>
        <w:tabs>
          <w:tab w:val="left" w:pos="851"/>
        </w:tabs>
        <w:spacing w:before="0"/>
      </w:pPr>
      <w:r w:rsidRPr="00E2448C">
        <w:t>g)</w:t>
      </w:r>
      <w:r w:rsidR="002B22FA">
        <w:tab/>
      </w:r>
      <w:r w:rsidRPr="00E2448C">
        <w:t>v</w:t>
      </w:r>
      <w:r>
        <w:t xml:space="preserve"> </w:t>
      </w:r>
      <w:r w:rsidRPr="00E2448C">
        <w:t>rozporu</w:t>
      </w:r>
      <w:r>
        <w:t xml:space="preserve"> </w:t>
      </w:r>
      <w:r w:rsidRPr="00E2448C">
        <w:t>s</w:t>
      </w:r>
      <w:r>
        <w:t xml:space="preserve"> </w:t>
      </w:r>
      <w:r w:rsidRPr="00E2448C">
        <w:t>§</w:t>
      </w:r>
      <w:r>
        <w:t xml:space="preserve"> </w:t>
      </w:r>
      <w:r w:rsidRPr="00E2448C">
        <w:t>18</w:t>
      </w:r>
      <w:r>
        <w:t xml:space="preserve"> </w:t>
      </w:r>
      <w:r w:rsidRPr="00E2448C">
        <w:t>odst.</w:t>
      </w:r>
      <w:r>
        <w:t xml:space="preserve"> </w:t>
      </w:r>
      <w:r w:rsidRPr="00E2448C">
        <w:t>3</w:t>
      </w:r>
      <w:r>
        <w:t xml:space="preserve"> </w:t>
      </w:r>
      <w:r w:rsidRPr="00E2448C">
        <w:t>nevrátí</w:t>
      </w:r>
      <w:r>
        <w:t xml:space="preserve"> </w:t>
      </w:r>
      <w:r w:rsidRPr="00E2448C">
        <w:t>dar</w:t>
      </w:r>
      <w:r>
        <w:t xml:space="preserve"> </w:t>
      </w:r>
      <w:r w:rsidRPr="00E2448C">
        <w:t>nebo</w:t>
      </w:r>
      <w:r>
        <w:t xml:space="preserve"> </w:t>
      </w:r>
      <w:r w:rsidRPr="00E2448C">
        <w:t>jiné</w:t>
      </w:r>
      <w:r>
        <w:t xml:space="preserve"> </w:t>
      </w:r>
      <w:r w:rsidRPr="00E2448C">
        <w:t>bezúplatné</w:t>
      </w:r>
      <w:r>
        <w:t xml:space="preserve"> </w:t>
      </w:r>
      <w:r w:rsidRPr="00E2448C">
        <w:t>plnění</w:t>
      </w:r>
      <w:r>
        <w:t xml:space="preserve"> </w:t>
      </w:r>
      <w:r w:rsidRPr="00E2448C">
        <w:t>anebo</w:t>
      </w:r>
      <w:r>
        <w:t xml:space="preserve"> </w:t>
      </w:r>
      <w:r w:rsidRPr="00E2448C">
        <w:t>neodvede</w:t>
      </w:r>
      <w:r>
        <w:t xml:space="preserve"> </w:t>
      </w:r>
      <w:r w:rsidRPr="00E2448C">
        <w:t>peněžitý</w:t>
      </w:r>
      <w:r>
        <w:t xml:space="preserve"> </w:t>
      </w:r>
      <w:r w:rsidRPr="00E2448C">
        <w:t>dar</w:t>
      </w:r>
      <w:r>
        <w:t xml:space="preserve"> </w:t>
      </w:r>
      <w:r w:rsidRPr="00E2448C">
        <w:t>nebo</w:t>
      </w:r>
      <w:r>
        <w:t xml:space="preserve"> </w:t>
      </w:r>
      <w:r w:rsidRPr="00E2448C">
        <w:t>jiné</w:t>
      </w:r>
      <w:r>
        <w:t xml:space="preserve"> </w:t>
      </w:r>
      <w:r w:rsidRPr="00E2448C">
        <w:t>bezúplatné</w:t>
      </w:r>
      <w:r>
        <w:t xml:space="preserve"> </w:t>
      </w:r>
      <w:r w:rsidRPr="00E2448C">
        <w:t>plnění</w:t>
      </w:r>
      <w:r>
        <w:t xml:space="preserve"> </w:t>
      </w:r>
      <w:r w:rsidRPr="00E2448C">
        <w:t>nebo</w:t>
      </w:r>
      <w:r>
        <w:t xml:space="preserve"> </w:t>
      </w:r>
      <w:r w:rsidRPr="00E2448C">
        <w:t>částku</w:t>
      </w:r>
      <w:r>
        <w:t xml:space="preserve"> </w:t>
      </w:r>
      <w:r w:rsidRPr="00E2448C">
        <w:t>odpovídající</w:t>
      </w:r>
      <w:r>
        <w:t xml:space="preserve"> </w:t>
      </w:r>
      <w:r w:rsidRPr="00E2448C">
        <w:t>obvyklé</w:t>
      </w:r>
      <w:r>
        <w:t xml:space="preserve"> </w:t>
      </w:r>
      <w:r w:rsidRPr="00E2448C">
        <w:rPr>
          <w:strike/>
        </w:rPr>
        <w:t>ceně</w:t>
      </w:r>
      <w:r w:rsidRPr="00E2448C">
        <w:rPr>
          <w:strike/>
          <w:vertAlign w:val="superscript"/>
        </w:rPr>
        <w:t>7)</w:t>
      </w:r>
      <w:r>
        <w:t xml:space="preserve"> </w:t>
      </w:r>
      <w:r w:rsidRPr="00E2448C">
        <w:rPr>
          <w:b/>
          <w:bCs/>
        </w:rPr>
        <w:t>hodnotě</w:t>
      </w:r>
      <w:r>
        <w:rPr>
          <w:b/>
          <w:bCs/>
        </w:rPr>
        <w:t xml:space="preserve"> </w:t>
      </w:r>
      <w:r w:rsidRPr="00E2448C">
        <w:t>věcného</w:t>
      </w:r>
      <w:r>
        <w:t xml:space="preserve"> </w:t>
      </w:r>
      <w:r w:rsidRPr="00E2448C">
        <w:t>daru</w:t>
      </w:r>
      <w:r>
        <w:t xml:space="preserve"> </w:t>
      </w:r>
      <w:r w:rsidRPr="00E2448C">
        <w:t>nebo</w:t>
      </w:r>
      <w:r>
        <w:t xml:space="preserve"> </w:t>
      </w:r>
      <w:r w:rsidRPr="00E2448C">
        <w:t>jiného</w:t>
      </w:r>
      <w:r>
        <w:t xml:space="preserve"> </w:t>
      </w:r>
      <w:r w:rsidRPr="00E2448C">
        <w:t>bezúplatného</w:t>
      </w:r>
      <w:r>
        <w:t xml:space="preserve"> </w:t>
      </w:r>
      <w:r w:rsidRPr="00E2448C">
        <w:t>plnění</w:t>
      </w:r>
      <w:r>
        <w:t xml:space="preserve"> </w:t>
      </w:r>
      <w:r w:rsidRPr="00E2448C">
        <w:rPr>
          <w:b/>
          <w:bCs/>
        </w:rPr>
        <w:t>určené</w:t>
      </w:r>
      <w:r>
        <w:rPr>
          <w:b/>
          <w:bCs/>
        </w:rPr>
        <w:t xml:space="preserve"> </w:t>
      </w:r>
      <w:r w:rsidRPr="00E2448C">
        <w:rPr>
          <w:b/>
          <w:bCs/>
        </w:rPr>
        <w:t>podle</w:t>
      </w:r>
      <w:r>
        <w:rPr>
          <w:b/>
          <w:bCs/>
        </w:rPr>
        <w:t xml:space="preserve"> </w:t>
      </w:r>
      <w:r w:rsidRPr="00E2448C">
        <w:rPr>
          <w:b/>
          <w:bCs/>
        </w:rPr>
        <w:t>zákona</w:t>
      </w:r>
      <w:r>
        <w:rPr>
          <w:b/>
          <w:bCs/>
        </w:rPr>
        <w:t xml:space="preserve"> </w:t>
      </w:r>
      <w:r w:rsidRPr="00E2448C">
        <w:rPr>
          <w:b/>
          <w:bCs/>
        </w:rPr>
        <w:t>o</w:t>
      </w:r>
      <w:r>
        <w:rPr>
          <w:b/>
          <w:bCs/>
        </w:rPr>
        <w:t xml:space="preserve"> </w:t>
      </w:r>
      <w:r w:rsidRPr="00E2448C">
        <w:rPr>
          <w:b/>
          <w:bCs/>
        </w:rPr>
        <w:t>oceňování</w:t>
      </w:r>
      <w:r>
        <w:rPr>
          <w:b/>
          <w:bCs/>
        </w:rPr>
        <w:t xml:space="preserve"> </w:t>
      </w:r>
      <w:r w:rsidRPr="00E2448C">
        <w:t>do</w:t>
      </w:r>
      <w:r>
        <w:t xml:space="preserve"> </w:t>
      </w:r>
      <w:r w:rsidRPr="00E2448C">
        <w:t>státního</w:t>
      </w:r>
      <w:r>
        <w:t xml:space="preserve"> </w:t>
      </w:r>
      <w:r w:rsidRPr="00E2448C">
        <w:t>rozpočtu.</w:t>
      </w:r>
    </w:p>
    <w:p w14:paraId="1A7DAC95" w14:textId="77777777" w:rsidR="00495F58" w:rsidRDefault="00495F58" w:rsidP="00A06781">
      <w:pPr>
        <w:pStyle w:val="PZTextodstavce"/>
      </w:pPr>
      <w:r w:rsidRPr="00E2448C">
        <w:t>(3)</w:t>
      </w:r>
      <w:r>
        <w:t xml:space="preserve"> </w:t>
      </w:r>
      <w:r w:rsidRPr="00E2448C">
        <w:t>Právnická</w:t>
      </w:r>
      <w:r>
        <w:t xml:space="preserve"> </w:t>
      </w:r>
      <w:r w:rsidRPr="00E2448C">
        <w:t>osoba</w:t>
      </w:r>
      <w:r>
        <w:t xml:space="preserve"> </w:t>
      </w:r>
      <w:r w:rsidRPr="00E2448C">
        <w:t>se</w:t>
      </w:r>
      <w:r>
        <w:t xml:space="preserve"> </w:t>
      </w:r>
      <w:r w:rsidRPr="00E2448C">
        <w:t>dopustí</w:t>
      </w:r>
      <w:r>
        <w:t xml:space="preserve"> </w:t>
      </w:r>
      <w:r w:rsidRPr="00E2448C">
        <w:t>přestupku</w:t>
      </w:r>
      <w:r>
        <w:t xml:space="preserve"> </w:t>
      </w:r>
      <w:r w:rsidRPr="00E2448C">
        <w:t>tím,</w:t>
      </w:r>
      <w:r>
        <w:t xml:space="preserve"> </w:t>
      </w:r>
      <w:r w:rsidRPr="00E2448C">
        <w:t>že</w:t>
      </w:r>
    </w:p>
    <w:p w14:paraId="62527DFC" w14:textId="2428A194" w:rsidR="00495F58" w:rsidRDefault="00495F58" w:rsidP="004140D4">
      <w:pPr>
        <w:pStyle w:val="PZTextpsmene"/>
        <w:tabs>
          <w:tab w:val="left" w:pos="420"/>
          <w:tab w:val="left" w:pos="851"/>
        </w:tabs>
        <w:spacing w:before="0"/>
        <w:ind w:left="0" w:firstLine="0"/>
      </w:pPr>
      <w:r w:rsidRPr="00E2448C">
        <w:t>a)</w:t>
      </w:r>
      <w:r w:rsidR="004140D4">
        <w:tab/>
      </w:r>
      <w:r w:rsidRPr="00E2448C">
        <w:t>vyplatí</w:t>
      </w:r>
      <w:r>
        <w:t xml:space="preserve"> </w:t>
      </w:r>
      <w:r w:rsidRPr="00E2448C">
        <w:t>podíl</w:t>
      </w:r>
      <w:r>
        <w:t xml:space="preserve"> </w:t>
      </w:r>
      <w:r w:rsidRPr="00E2448C">
        <w:t>na</w:t>
      </w:r>
      <w:r>
        <w:t xml:space="preserve"> </w:t>
      </w:r>
      <w:r w:rsidRPr="00E2448C">
        <w:t>zisku</w:t>
      </w:r>
      <w:r>
        <w:t xml:space="preserve"> </w:t>
      </w:r>
      <w:r w:rsidRPr="00E2448C">
        <w:t>nebo</w:t>
      </w:r>
      <w:r>
        <w:t xml:space="preserve"> </w:t>
      </w:r>
      <w:r w:rsidRPr="00E2448C">
        <w:t>obdobné</w:t>
      </w:r>
      <w:r>
        <w:t xml:space="preserve"> </w:t>
      </w:r>
      <w:r w:rsidRPr="00E2448C">
        <w:t>plnění</w:t>
      </w:r>
      <w:r>
        <w:t xml:space="preserve"> </w:t>
      </w:r>
      <w:r w:rsidRPr="00E2448C">
        <w:t>v</w:t>
      </w:r>
      <w:r>
        <w:t xml:space="preserve"> </w:t>
      </w:r>
      <w:r w:rsidRPr="00E2448C">
        <w:t>rozporu</w:t>
      </w:r>
      <w:r>
        <w:t xml:space="preserve"> </w:t>
      </w:r>
      <w:r w:rsidRPr="00E2448C">
        <w:t>s</w:t>
      </w:r>
      <w:r>
        <w:t xml:space="preserve"> </w:t>
      </w:r>
      <w:r w:rsidRPr="00E2448C">
        <w:t>§</w:t>
      </w:r>
      <w:r>
        <w:t xml:space="preserve"> </w:t>
      </w:r>
      <w:r w:rsidRPr="00E2448C">
        <w:t>19ha</w:t>
      </w:r>
      <w:r>
        <w:t xml:space="preserve"> </w:t>
      </w:r>
      <w:r w:rsidRPr="00E2448C">
        <w:t>odst.</w:t>
      </w:r>
      <w:r>
        <w:t xml:space="preserve"> </w:t>
      </w:r>
      <w:r w:rsidRPr="00E2448C">
        <w:t>3,</w:t>
      </w:r>
    </w:p>
    <w:p w14:paraId="11B80CAF" w14:textId="0BA6D96B" w:rsidR="00495F58" w:rsidRDefault="00495F58" w:rsidP="00FE1B36">
      <w:pPr>
        <w:pStyle w:val="PZTextpsmene"/>
        <w:tabs>
          <w:tab w:val="left" w:pos="851"/>
        </w:tabs>
        <w:spacing w:before="0"/>
      </w:pPr>
      <w:r w:rsidRPr="00E2448C">
        <w:t>b)</w:t>
      </w:r>
      <w:r w:rsidR="004140D4">
        <w:tab/>
      </w:r>
      <w:r w:rsidRPr="00E2448C">
        <w:t>vykoná</w:t>
      </w:r>
      <w:r>
        <w:t xml:space="preserve"> </w:t>
      </w:r>
      <w:r w:rsidRPr="00E2448C">
        <w:t>hlasovací</w:t>
      </w:r>
      <w:r>
        <w:t xml:space="preserve"> </w:t>
      </w:r>
      <w:r w:rsidRPr="00E2448C">
        <w:t>práva</w:t>
      </w:r>
      <w:r>
        <w:t xml:space="preserve"> </w:t>
      </w:r>
      <w:r w:rsidRPr="00E2448C">
        <w:t>nebo</w:t>
      </w:r>
      <w:r>
        <w:t xml:space="preserve"> </w:t>
      </w:r>
      <w:r w:rsidRPr="00E2448C">
        <w:t>rozhodne</w:t>
      </w:r>
      <w:r>
        <w:t xml:space="preserve"> </w:t>
      </w:r>
      <w:r w:rsidRPr="00E2448C">
        <w:t>jako</w:t>
      </w:r>
      <w:r>
        <w:t xml:space="preserve"> </w:t>
      </w:r>
      <w:r w:rsidRPr="00E2448C">
        <w:t>jediný</w:t>
      </w:r>
      <w:r>
        <w:t xml:space="preserve"> </w:t>
      </w:r>
      <w:r w:rsidRPr="00E2448C">
        <w:t>společník</w:t>
      </w:r>
      <w:r>
        <w:t xml:space="preserve"> </w:t>
      </w:r>
      <w:r w:rsidRPr="00E2448C">
        <w:t>právnické</w:t>
      </w:r>
      <w:r>
        <w:t xml:space="preserve"> </w:t>
      </w:r>
      <w:r w:rsidRPr="00E2448C">
        <w:t>osoby</w:t>
      </w:r>
      <w:r>
        <w:t xml:space="preserve"> </w:t>
      </w:r>
      <w:r w:rsidRPr="00E2448C">
        <w:t>v</w:t>
      </w:r>
      <w:r>
        <w:t xml:space="preserve"> </w:t>
      </w:r>
      <w:r w:rsidRPr="00E2448C">
        <w:t>rozporu</w:t>
      </w:r>
      <w:r>
        <w:t xml:space="preserve"> </w:t>
      </w:r>
      <w:r w:rsidRPr="00E2448C">
        <w:t>s</w:t>
      </w:r>
      <w:r w:rsidR="00FE1B36">
        <w:t xml:space="preserve"> </w:t>
      </w:r>
      <w:r w:rsidRPr="00E2448C">
        <w:t>§</w:t>
      </w:r>
      <w:r w:rsidR="00FE1B36">
        <w:t xml:space="preserve"> </w:t>
      </w:r>
      <w:r w:rsidRPr="00E2448C">
        <w:t>19ha</w:t>
      </w:r>
      <w:r>
        <w:t xml:space="preserve"> </w:t>
      </w:r>
      <w:r w:rsidRPr="00E2448C">
        <w:t>odst.</w:t>
      </w:r>
      <w:r>
        <w:t xml:space="preserve"> </w:t>
      </w:r>
      <w:r w:rsidRPr="00E2448C">
        <w:t>4,</w:t>
      </w:r>
    </w:p>
    <w:p w14:paraId="5CCB4AC6" w14:textId="58E21DE3" w:rsidR="00495F58" w:rsidRDefault="00495F58" w:rsidP="00FE1B36">
      <w:pPr>
        <w:pStyle w:val="PZTextpsmene"/>
        <w:tabs>
          <w:tab w:val="left" w:pos="851"/>
        </w:tabs>
        <w:spacing w:before="0"/>
      </w:pPr>
      <w:r w:rsidRPr="00E2448C">
        <w:t>c)</w:t>
      </w:r>
      <w:r w:rsidR="004140D4">
        <w:tab/>
      </w:r>
      <w:r w:rsidRPr="00E2448C">
        <w:t>se</w:t>
      </w:r>
      <w:r>
        <w:t xml:space="preserve"> </w:t>
      </w:r>
      <w:r w:rsidRPr="00E2448C">
        <w:t>jako</w:t>
      </w:r>
      <w:r>
        <w:t xml:space="preserve"> </w:t>
      </w:r>
      <w:r w:rsidRPr="00E2448C">
        <w:t>osoba,</w:t>
      </w:r>
      <w:r>
        <w:t xml:space="preserve"> </w:t>
      </w:r>
      <w:r w:rsidRPr="00E2448C">
        <w:t>se</w:t>
      </w:r>
      <w:r>
        <w:t xml:space="preserve"> </w:t>
      </w:r>
      <w:r w:rsidRPr="00E2448C">
        <w:t>kterou</w:t>
      </w:r>
      <w:r>
        <w:t xml:space="preserve"> </w:t>
      </w:r>
      <w:r w:rsidRPr="00E2448C">
        <w:t>veřejný</w:t>
      </w:r>
      <w:r>
        <w:t xml:space="preserve"> </w:t>
      </w:r>
      <w:r w:rsidRPr="00E2448C">
        <w:t>funkcionář</w:t>
      </w:r>
      <w:r>
        <w:t xml:space="preserve"> </w:t>
      </w:r>
      <w:r w:rsidRPr="00E2448C">
        <w:t>jednal</w:t>
      </w:r>
      <w:r>
        <w:t xml:space="preserve"> </w:t>
      </w:r>
      <w:r w:rsidRPr="00E2448C">
        <w:t>ve</w:t>
      </w:r>
      <w:r>
        <w:t xml:space="preserve"> </w:t>
      </w:r>
      <w:r w:rsidRPr="00E2448C">
        <w:t>shodě,</w:t>
      </w:r>
      <w:r>
        <w:t xml:space="preserve"> </w:t>
      </w:r>
      <w:r w:rsidRPr="00E2448C">
        <w:t>zúčastnila</w:t>
      </w:r>
      <w:r>
        <w:t xml:space="preserve"> </w:t>
      </w:r>
      <w:r w:rsidRPr="00E2448C">
        <w:t>jednání</w:t>
      </w:r>
      <w:r>
        <w:t xml:space="preserve"> </w:t>
      </w:r>
      <w:r w:rsidRPr="00E2448C">
        <w:t>zakázaného</w:t>
      </w:r>
      <w:r>
        <w:t xml:space="preserve"> </w:t>
      </w:r>
      <w:r w:rsidRPr="00E2448C">
        <w:t>v</w:t>
      </w:r>
      <w:r>
        <w:t xml:space="preserve"> </w:t>
      </w:r>
      <w:r w:rsidRPr="00E2448C">
        <w:t>§</w:t>
      </w:r>
      <w:r>
        <w:t xml:space="preserve"> </w:t>
      </w:r>
      <w:r w:rsidRPr="00E2448C">
        <w:t>19ha</w:t>
      </w:r>
      <w:r>
        <w:t xml:space="preserve"> </w:t>
      </w:r>
      <w:r w:rsidRPr="00E2448C">
        <w:t>odst.</w:t>
      </w:r>
      <w:r>
        <w:t xml:space="preserve"> </w:t>
      </w:r>
      <w:r w:rsidRPr="00E2448C">
        <w:t>5.</w:t>
      </w:r>
    </w:p>
    <w:p w14:paraId="7E00666B" w14:textId="77777777" w:rsidR="00495F58" w:rsidRDefault="00495F58" w:rsidP="00A06781">
      <w:pPr>
        <w:pStyle w:val="PZTextodstavce"/>
        <w:tabs>
          <w:tab w:val="left" w:pos="420"/>
        </w:tabs>
      </w:pPr>
      <w:r w:rsidRPr="00E2448C">
        <w:t>(4)</w:t>
      </w:r>
      <w:r>
        <w:t xml:space="preserve"> </w:t>
      </w:r>
      <w:r w:rsidRPr="00E2448C">
        <w:t>Za</w:t>
      </w:r>
      <w:r>
        <w:t xml:space="preserve"> </w:t>
      </w:r>
      <w:r w:rsidRPr="00E2448C">
        <w:t>přestupek</w:t>
      </w:r>
      <w:r>
        <w:t xml:space="preserve"> </w:t>
      </w:r>
      <w:r w:rsidRPr="00E2448C">
        <w:t>lze</w:t>
      </w:r>
      <w:r>
        <w:t xml:space="preserve"> </w:t>
      </w:r>
      <w:r w:rsidRPr="00E2448C">
        <w:t>uložit</w:t>
      </w:r>
      <w:r>
        <w:t xml:space="preserve"> </w:t>
      </w:r>
      <w:r w:rsidRPr="00E2448C">
        <w:t>pokutu</w:t>
      </w:r>
    </w:p>
    <w:p w14:paraId="70660490" w14:textId="0F30CBF7" w:rsidR="00495F58" w:rsidRDefault="00495F58" w:rsidP="004140D4">
      <w:pPr>
        <w:pStyle w:val="PZTextpsmene"/>
        <w:tabs>
          <w:tab w:val="left" w:pos="420"/>
          <w:tab w:val="left" w:pos="851"/>
        </w:tabs>
        <w:spacing w:before="0"/>
      </w:pPr>
      <w:r w:rsidRPr="00E2448C">
        <w:t>a)</w:t>
      </w:r>
      <w:r w:rsidR="004140D4">
        <w:tab/>
      </w:r>
      <w:r w:rsidRPr="00E2448C">
        <w:t>do</w:t>
      </w:r>
      <w:r>
        <w:t xml:space="preserve"> </w:t>
      </w:r>
      <w:r w:rsidRPr="00E2448C">
        <w:t>200</w:t>
      </w:r>
      <w:r>
        <w:t xml:space="preserve"> </w:t>
      </w:r>
      <w:r w:rsidRPr="00E2448C">
        <w:t>000</w:t>
      </w:r>
      <w:r>
        <w:t xml:space="preserve"> </w:t>
      </w:r>
      <w:r w:rsidRPr="00E2448C">
        <w:t>Kč,</w:t>
      </w:r>
      <w:r>
        <w:t xml:space="preserve"> </w:t>
      </w:r>
      <w:r w:rsidRPr="00E2448C">
        <w:t>jde-li</w:t>
      </w:r>
      <w:r>
        <w:t xml:space="preserve"> </w:t>
      </w:r>
      <w:r w:rsidRPr="00E2448C">
        <w:t>o</w:t>
      </w:r>
      <w:r>
        <w:t xml:space="preserve"> </w:t>
      </w:r>
      <w:r w:rsidRPr="00E2448C">
        <w:t>přestupek</w:t>
      </w:r>
      <w:r>
        <w:t xml:space="preserve"> </w:t>
      </w:r>
      <w:r w:rsidRPr="00E2448C">
        <w:t>podle</w:t>
      </w:r>
      <w:r>
        <w:t xml:space="preserve"> </w:t>
      </w:r>
      <w:r w:rsidRPr="00E2448C">
        <w:t>odstavce</w:t>
      </w:r>
      <w:r>
        <w:t xml:space="preserve"> </w:t>
      </w:r>
      <w:r w:rsidRPr="00E2448C">
        <w:t>2</w:t>
      </w:r>
      <w:r>
        <w:t xml:space="preserve"> </w:t>
      </w:r>
      <w:r w:rsidRPr="00E2448C">
        <w:t>písm.</w:t>
      </w:r>
      <w:r>
        <w:t xml:space="preserve"> </w:t>
      </w:r>
      <w:r w:rsidRPr="00E2448C">
        <w:t>a)</w:t>
      </w:r>
      <w:r>
        <w:t xml:space="preserve"> </w:t>
      </w:r>
      <w:r w:rsidRPr="00E2448C">
        <w:t>až</w:t>
      </w:r>
      <w:r>
        <w:t xml:space="preserve"> </w:t>
      </w:r>
      <w:r w:rsidRPr="00E2448C">
        <w:t>d)</w:t>
      </w:r>
      <w:r>
        <w:t xml:space="preserve"> </w:t>
      </w:r>
      <w:r w:rsidRPr="00E2448C">
        <w:t>a</w:t>
      </w:r>
      <w:r>
        <w:t xml:space="preserve"> </w:t>
      </w:r>
      <w:r w:rsidRPr="00E2448C">
        <w:t>f),</w:t>
      </w:r>
    </w:p>
    <w:p w14:paraId="14CA0585" w14:textId="45CE0484" w:rsidR="00495F58" w:rsidRDefault="00495F58" w:rsidP="004140D4">
      <w:pPr>
        <w:pStyle w:val="PZTextpsmene"/>
        <w:tabs>
          <w:tab w:val="left" w:pos="420"/>
          <w:tab w:val="left" w:pos="851"/>
        </w:tabs>
        <w:spacing w:before="0"/>
      </w:pPr>
      <w:r w:rsidRPr="00E2448C">
        <w:lastRenderedPageBreak/>
        <w:t>b)</w:t>
      </w:r>
      <w:r w:rsidR="004140D4">
        <w:tab/>
      </w:r>
      <w:r w:rsidRPr="00E2448C">
        <w:t>do</w:t>
      </w:r>
      <w:r>
        <w:t xml:space="preserve"> </w:t>
      </w:r>
      <w:r w:rsidRPr="00E2448C">
        <w:t>2</w:t>
      </w:r>
      <w:r>
        <w:t xml:space="preserve"> </w:t>
      </w:r>
      <w:r w:rsidRPr="00E2448C">
        <w:t>000</w:t>
      </w:r>
      <w:r>
        <w:t xml:space="preserve"> </w:t>
      </w:r>
      <w:r w:rsidRPr="00E2448C">
        <w:t>000</w:t>
      </w:r>
      <w:r>
        <w:t xml:space="preserve"> </w:t>
      </w:r>
      <w:r w:rsidRPr="00E2448C">
        <w:t>Kč,</w:t>
      </w:r>
      <w:r>
        <w:t xml:space="preserve"> </w:t>
      </w:r>
      <w:r w:rsidRPr="00E2448C">
        <w:t>jde-li</w:t>
      </w:r>
      <w:r>
        <w:t xml:space="preserve"> </w:t>
      </w:r>
      <w:r w:rsidRPr="00E2448C">
        <w:t>o</w:t>
      </w:r>
      <w:r>
        <w:t xml:space="preserve"> </w:t>
      </w:r>
      <w:r w:rsidRPr="00E2448C">
        <w:t>přestupek</w:t>
      </w:r>
      <w:r>
        <w:t xml:space="preserve"> </w:t>
      </w:r>
      <w:r w:rsidRPr="00E2448C">
        <w:t>podle</w:t>
      </w:r>
      <w:r>
        <w:t xml:space="preserve"> </w:t>
      </w:r>
      <w:r w:rsidRPr="00E2448C">
        <w:t>odstavce</w:t>
      </w:r>
      <w:r>
        <w:t xml:space="preserve"> </w:t>
      </w:r>
      <w:r w:rsidRPr="00E2448C">
        <w:t>1</w:t>
      </w:r>
      <w:r>
        <w:t xml:space="preserve"> </w:t>
      </w:r>
      <w:r w:rsidRPr="00E2448C">
        <w:t>nebo</w:t>
      </w:r>
      <w:r>
        <w:t xml:space="preserve"> </w:t>
      </w:r>
      <w:r w:rsidRPr="00E2448C">
        <w:t>odstavce</w:t>
      </w:r>
      <w:r>
        <w:t xml:space="preserve"> </w:t>
      </w:r>
      <w:r w:rsidRPr="00E2448C">
        <w:t>2</w:t>
      </w:r>
      <w:r>
        <w:t xml:space="preserve"> </w:t>
      </w:r>
      <w:r w:rsidRPr="00E2448C">
        <w:t>písm.</w:t>
      </w:r>
      <w:r>
        <w:t xml:space="preserve"> </w:t>
      </w:r>
      <w:r w:rsidRPr="00E2448C">
        <w:t>e),</w:t>
      </w:r>
    </w:p>
    <w:p w14:paraId="254286E0" w14:textId="711565D6" w:rsidR="00495F58" w:rsidRDefault="00495F58" w:rsidP="004140D4">
      <w:pPr>
        <w:pStyle w:val="PZTextpsmene"/>
        <w:tabs>
          <w:tab w:val="left" w:pos="420"/>
          <w:tab w:val="left" w:pos="851"/>
        </w:tabs>
        <w:spacing w:before="0"/>
      </w:pPr>
      <w:r w:rsidRPr="00E2448C">
        <w:t>c)</w:t>
      </w:r>
      <w:r w:rsidR="004140D4">
        <w:tab/>
      </w:r>
      <w:r w:rsidRPr="00E2448C">
        <w:t>ve</w:t>
      </w:r>
      <w:r>
        <w:t xml:space="preserve"> </w:t>
      </w:r>
      <w:r w:rsidRPr="00E2448C">
        <w:t>výši</w:t>
      </w:r>
      <w:r>
        <w:t xml:space="preserve"> </w:t>
      </w:r>
      <w:r w:rsidRPr="00E2448C">
        <w:t>rovnající</w:t>
      </w:r>
      <w:r>
        <w:t xml:space="preserve"> </w:t>
      </w:r>
      <w:r w:rsidRPr="00E2448C">
        <w:t>se</w:t>
      </w:r>
      <w:r>
        <w:t xml:space="preserve"> </w:t>
      </w:r>
      <w:r w:rsidRPr="00E2448C">
        <w:t>dvojnásobku</w:t>
      </w:r>
      <w:r>
        <w:t xml:space="preserve"> </w:t>
      </w:r>
      <w:r w:rsidRPr="00E2448C">
        <w:t>hodnoty</w:t>
      </w:r>
      <w:r>
        <w:t xml:space="preserve"> </w:t>
      </w:r>
      <w:r w:rsidRPr="00E2448C">
        <w:t>daru</w:t>
      </w:r>
      <w:r>
        <w:t xml:space="preserve"> </w:t>
      </w:r>
      <w:r w:rsidRPr="00E2448C">
        <w:t>nebo</w:t>
      </w:r>
      <w:r>
        <w:t xml:space="preserve"> </w:t>
      </w:r>
      <w:r w:rsidRPr="00E2448C">
        <w:t>jiného</w:t>
      </w:r>
      <w:r>
        <w:t xml:space="preserve"> </w:t>
      </w:r>
      <w:r w:rsidRPr="00E2448C">
        <w:t>bezúplatného</w:t>
      </w:r>
      <w:r>
        <w:t xml:space="preserve"> </w:t>
      </w:r>
      <w:r w:rsidRPr="00E2448C">
        <w:t>plnění</w:t>
      </w:r>
      <w:r>
        <w:t xml:space="preserve"> </w:t>
      </w:r>
      <w:r w:rsidRPr="00E2448C">
        <w:t>nebo</w:t>
      </w:r>
      <w:r>
        <w:t xml:space="preserve"> </w:t>
      </w:r>
      <w:r w:rsidRPr="00E2448C">
        <w:t>propadnutí</w:t>
      </w:r>
      <w:r>
        <w:t xml:space="preserve"> </w:t>
      </w:r>
      <w:r w:rsidRPr="00E2448C">
        <w:t>věci,</w:t>
      </w:r>
      <w:r>
        <w:t xml:space="preserve"> </w:t>
      </w:r>
      <w:r w:rsidRPr="00E2448C">
        <w:t>jde-li</w:t>
      </w:r>
      <w:r>
        <w:t xml:space="preserve"> </w:t>
      </w:r>
      <w:r w:rsidRPr="00E2448C">
        <w:t>o</w:t>
      </w:r>
      <w:r>
        <w:t xml:space="preserve"> </w:t>
      </w:r>
      <w:r w:rsidRPr="00E2448C">
        <w:t>přestupek</w:t>
      </w:r>
      <w:r>
        <w:t xml:space="preserve"> </w:t>
      </w:r>
      <w:r w:rsidRPr="00E2448C">
        <w:t>podle</w:t>
      </w:r>
      <w:r>
        <w:t xml:space="preserve"> </w:t>
      </w:r>
      <w:r w:rsidRPr="00E2448C">
        <w:t>odstavce</w:t>
      </w:r>
      <w:r>
        <w:t xml:space="preserve"> </w:t>
      </w:r>
      <w:r w:rsidRPr="00E2448C">
        <w:t>2</w:t>
      </w:r>
      <w:r>
        <w:t xml:space="preserve"> </w:t>
      </w:r>
      <w:r w:rsidRPr="00E2448C">
        <w:t>písm.</w:t>
      </w:r>
      <w:r>
        <w:t xml:space="preserve"> </w:t>
      </w:r>
      <w:r w:rsidRPr="00E2448C">
        <w:t>g),</w:t>
      </w:r>
    </w:p>
    <w:p w14:paraId="043D04C3" w14:textId="39D995F3" w:rsidR="00495F58" w:rsidRDefault="00495F58" w:rsidP="004140D4">
      <w:pPr>
        <w:pStyle w:val="PZTextpsmene"/>
        <w:tabs>
          <w:tab w:val="left" w:pos="420"/>
          <w:tab w:val="left" w:pos="851"/>
        </w:tabs>
        <w:spacing w:before="0"/>
      </w:pPr>
      <w:r w:rsidRPr="00E2448C">
        <w:t>d)</w:t>
      </w:r>
      <w:r w:rsidR="004140D4">
        <w:tab/>
      </w:r>
      <w:r w:rsidRPr="00E2448C">
        <w:t>do</w:t>
      </w:r>
      <w:r>
        <w:t xml:space="preserve"> </w:t>
      </w:r>
      <w:r w:rsidRPr="00E2448C">
        <w:t>250</w:t>
      </w:r>
      <w:r>
        <w:t xml:space="preserve"> </w:t>
      </w:r>
      <w:r w:rsidRPr="00E2448C">
        <w:t>000</w:t>
      </w:r>
      <w:r>
        <w:t xml:space="preserve"> </w:t>
      </w:r>
      <w:r w:rsidRPr="00E2448C">
        <w:t>Kč</w:t>
      </w:r>
      <w:r>
        <w:t xml:space="preserve"> </w:t>
      </w:r>
      <w:r w:rsidRPr="00E2448C">
        <w:t>nebo</w:t>
      </w:r>
      <w:r>
        <w:t xml:space="preserve"> </w:t>
      </w:r>
      <w:r w:rsidRPr="00E2448C">
        <w:t>do</w:t>
      </w:r>
      <w:r>
        <w:t xml:space="preserve"> </w:t>
      </w:r>
      <w:r w:rsidRPr="00E2448C">
        <w:t>výše</w:t>
      </w:r>
      <w:r>
        <w:t xml:space="preserve"> </w:t>
      </w:r>
      <w:r w:rsidRPr="00E2448C">
        <w:t>3</w:t>
      </w:r>
      <w:r>
        <w:t xml:space="preserve"> </w:t>
      </w:r>
      <w:r w:rsidRPr="00E2448C">
        <w:t>%</w:t>
      </w:r>
      <w:r>
        <w:t xml:space="preserve"> </w:t>
      </w:r>
      <w:r w:rsidRPr="00E2448C">
        <w:rPr>
          <w:strike/>
        </w:rPr>
        <w:t>hodnoty</w:t>
      </w:r>
      <w:r>
        <w:rPr>
          <w:strike/>
        </w:rPr>
        <w:t xml:space="preserve"> </w:t>
      </w:r>
      <w:r w:rsidRPr="00E2448C">
        <w:rPr>
          <w:strike/>
        </w:rPr>
        <w:t>aktiv</w:t>
      </w:r>
      <w:r>
        <w:t xml:space="preserve"> </w:t>
      </w:r>
      <w:proofErr w:type="spellStart"/>
      <w:r w:rsidRPr="00E2448C">
        <w:rPr>
          <w:b/>
          <w:bCs/>
        </w:rPr>
        <w:t>aktiv</w:t>
      </w:r>
      <w:proofErr w:type="spellEnd"/>
      <w:r>
        <w:rPr>
          <w:b/>
          <w:bCs/>
        </w:rPr>
        <w:t xml:space="preserve"> </w:t>
      </w:r>
      <w:r w:rsidRPr="00E2448C">
        <w:rPr>
          <w:b/>
          <w:bCs/>
        </w:rPr>
        <w:t>celkem</w:t>
      </w:r>
      <w:r>
        <w:rPr>
          <w:b/>
          <w:bCs/>
        </w:rPr>
        <w:t xml:space="preserve"> </w:t>
      </w:r>
      <w:r w:rsidRPr="00E2448C">
        <w:rPr>
          <w:b/>
          <w:bCs/>
        </w:rPr>
        <w:t>podle</w:t>
      </w:r>
      <w:r>
        <w:rPr>
          <w:b/>
          <w:bCs/>
        </w:rPr>
        <w:t xml:space="preserve"> </w:t>
      </w:r>
      <w:r w:rsidRPr="00E2448C">
        <w:rPr>
          <w:b/>
          <w:bCs/>
        </w:rPr>
        <w:t>zákona</w:t>
      </w:r>
      <w:r>
        <w:rPr>
          <w:b/>
          <w:bCs/>
        </w:rPr>
        <w:t xml:space="preserve"> </w:t>
      </w:r>
      <w:r w:rsidRPr="00E2448C">
        <w:rPr>
          <w:b/>
          <w:bCs/>
        </w:rPr>
        <w:t>upravujícího</w:t>
      </w:r>
      <w:r>
        <w:rPr>
          <w:b/>
          <w:bCs/>
        </w:rPr>
        <w:t xml:space="preserve"> </w:t>
      </w:r>
      <w:r w:rsidRPr="00E2448C">
        <w:rPr>
          <w:b/>
          <w:bCs/>
        </w:rPr>
        <w:t>účetnictví</w:t>
      </w:r>
      <w:r>
        <w:rPr>
          <w:b/>
          <w:bCs/>
        </w:rPr>
        <w:t xml:space="preserve"> </w:t>
      </w:r>
      <w:r w:rsidRPr="00E2448C">
        <w:t>právnické</w:t>
      </w:r>
      <w:r>
        <w:t xml:space="preserve"> </w:t>
      </w:r>
      <w:r w:rsidRPr="00E2448C">
        <w:t>osoby,</w:t>
      </w:r>
      <w:r>
        <w:t xml:space="preserve"> </w:t>
      </w:r>
      <w:r w:rsidRPr="00E2448C">
        <w:t>jejímž</w:t>
      </w:r>
      <w:r>
        <w:t xml:space="preserve"> </w:t>
      </w:r>
      <w:r w:rsidRPr="00E2448C">
        <w:t>je</w:t>
      </w:r>
      <w:r>
        <w:t xml:space="preserve"> </w:t>
      </w:r>
      <w:r w:rsidRPr="00E2448C">
        <w:t>veřejný</w:t>
      </w:r>
      <w:r>
        <w:t xml:space="preserve"> </w:t>
      </w:r>
      <w:r w:rsidRPr="00E2448C">
        <w:t>funkcionář</w:t>
      </w:r>
      <w:r>
        <w:t xml:space="preserve"> </w:t>
      </w:r>
      <w:r w:rsidRPr="00E2448C">
        <w:t>společníkem,</w:t>
      </w:r>
      <w:r>
        <w:t xml:space="preserve"> </w:t>
      </w:r>
      <w:r w:rsidRPr="00E2448C">
        <w:t>členem</w:t>
      </w:r>
      <w:r>
        <w:t xml:space="preserve"> </w:t>
      </w:r>
      <w:r w:rsidRPr="00E2448C">
        <w:t>nebo</w:t>
      </w:r>
      <w:r>
        <w:t xml:space="preserve"> </w:t>
      </w:r>
      <w:r w:rsidRPr="00E2448C">
        <w:t>skutečným</w:t>
      </w:r>
      <w:r>
        <w:t xml:space="preserve"> </w:t>
      </w:r>
      <w:r w:rsidRPr="00E2448C">
        <w:t>majitelem</w:t>
      </w:r>
      <w:r>
        <w:t xml:space="preserve"> </w:t>
      </w:r>
      <w:r w:rsidRPr="00E2448C">
        <w:t>a</w:t>
      </w:r>
      <w:r>
        <w:t xml:space="preserve"> </w:t>
      </w:r>
      <w:r w:rsidRPr="00E2448C">
        <w:t>která</w:t>
      </w:r>
      <w:r>
        <w:t xml:space="preserve"> </w:t>
      </w:r>
      <w:r w:rsidRPr="00E2448C">
        <w:t>je</w:t>
      </w:r>
      <w:r>
        <w:t xml:space="preserve"> </w:t>
      </w:r>
      <w:r w:rsidRPr="00E2448C">
        <w:t>provozovatelem</w:t>
      </w:r>
      <w:r>
        <w:t xml:space="preserve"> </w:t>
      </w:r>
      <w:r w:rsidRPr="00E2448C">
        <w:t>rozhlasového</w:t>
      </w:r>
      <w:r>
        <w:t xml:space="preserve"> </w:t>
      </w:r>
      <w:r w:rsidRPr="00E2448C">
        <w:t>nebo</w:t>
      </w:r>
      <w:r>
        <w:t xml:space="preserve"> </w:t>
      </w:r>
      <w:r w:rsidRPr="00E2448C">
        <w:t>televizního</w:t>
      </w:r>
      <w:r>
        <w:t xml:space="preserve"> </w:t>
      </w:r>
      <w:r w:rsidRPr="00E2448C">
        <w:t>vysílání</w:t>
      </w:r>
      <w:r>
        <w:t xml:space="preserve"> </w:t>
      </w:r>
      <w:r w:rsidRPr="00E2448C">
        <w:t>nebo</w:t>
      </w:r>
      <w:r>
        <w:t xml:space="preserve"> </w:t>
      </w:r>
      <w:r w:rsidRPr="00E2448C">
        <w:t>vydavatelem</w:t>
      </w:r>
      <w:r>
        <w:t xml:space="preserve"> </w:t>
      </w:r>
      <w:r w:rsidRPr="00E2448C">
        <w:t>periodického</w:t>
      </w:r>
      <w:r>
        <w:t xml:space="preserve"> </w:t>
      </w:r>
      <w:r w:rsidRPr="00E2448C">
        <w:t>tisku,</w:t>
      </w:r>
      <w:r>
        <w:t xml:space="preserve"> </w:t>
      </w:r>
      <w:r w:rsidRPr="00E2448C">
        <w:t>podle</w:t>
      </w:r>
      <w:r>
        <w:t xml:space="preserve"> </w:t>
      </w:r>
      <w:r w:rsidRPr="00E2448C">
        <w:t>toho,</w:t>
      </w:r>
      <w:r>
        <w:t xml:space="preserve"> </w:t>
      </w:r>
      <w:r w:rsidRPr="00E2448C">
        <w:t>která</w:t>
      </w:r>
      <w:r>
        <w:t xml:space="preserve"> </w:t>
      </w:r>
      <w:r w:rsidRPr="00E2448C">
        <w:t>částka</w:t>
      </w:r>
      <w:r>
        <w:t xml:space="preserve"> </w:t>
      </w:r>
      <w:r w:rsidRPr="00E2448C">
        <w:t>je</w:t>
      </w:r>
      <w:r>
        <w:t xml:space="preserve"> </w:t>
      </w:r>
      <w:r w:rsidRPr="00E2448C">
        <w:t>vyšší,</w:t>
      </w:r>
      <w:r>
        <w:t xml:space="preserve"> </w:t>
      </w:r>
      <w:r w:rsidRPr="00E2448C">
        <w:t>jde-li</w:t>
      </w:r>
      <w:r>
        <w:t xml:space="preserve"> </w:t>
      </w:r>
      <w:r w:rsidRPr="00E2448C">
        <w:t>o</w:t>
      </w:r>
      <w:r>
        <w:t xml:space="preserve"> </w:t>
      </w:r>
      <w:r w:rsidRPr="00E2448C">
        <w:t>přestupek</w:t>
      </w:r>
      <w:r>
        <w:t xml:space="preserve"> </w:t>
      </w:r>
      <w:r w:rsidRPr="00E2448C">
        <w:t>podle</w:t>
      </w:r>
      <w:r>
        <w:t xml:space="preserve"> </w:t>
      </w:r>
      <w:r w:rsidRPr="00E2448C">
        <w:t>odstavce</w:t>
      </w:r>
      <w:r>
        <w:t xml:space="preserve"> </w:t>
      </w:r>
      <w:r w:rsidRPr="00E2448C">
        <w:t>3.</w:t>
      </w:r>
      <w:r>
        <w:t xml:space="preserve"> </w:t>
      </w:r>
      <w:r w:rsidRPr="00E2448C">
        <w:t>14</w:t>
      </w:r>
    </w:p>
    <w:p w14:paraId="33EC67F6" w14:textId="77777777" w:rsidR="00495F58" w:rsidRPr="00E2448C" w:rsidRDefault="00495F58" w:rsidP="00495F58">
      <w:pPr>
        <w:pStyle w:val="Default"/>
        <w:tabs>
          <w:tab w:val="left" w:pos="851"/>
        </w:tabs>
        <w:spacing w:before="240" w:after="120"/>
        <w:jc w:val="center"/>
        <w:rPr>
          <w:color w:val="auto"/>
        </w:rPr>
      </w:pPr>
      <w:r w:rsidRPr="00E2448C">
        <w:rPr>
          <w:color w:val="auto"/>
        </w:rPr>
        <w:t>***</w:t>
      </w:r>
    </w:p>
    <w:p w14:paraId="0F5D07E9" w14:textId="77777777" w:rsidR="00495F58" w:rsidRPr="00E2448C" w:rsidRDefault="00495F58" w:rsidP="00495F58">
      <w:pPr>
        <w:pStyle w:val="Default"/>
        <w:tabs>
          <w:tab w:val="left" w:pos="851"/>
        </w:tabs>
        <w:spacing w:before="240" w:after="120"/>
        <w:jc w:val="center"/>
        <w:rPr>
          <w:color w:val="auto"/>
        </w:rPr>
      </w:pPr>
      <w:r w:rsidRPr="00E2448C">
        <w:rPr>
          <w:color w:val="auto"/>
        </w:rPr>
        <w:t>§</w:t>
      </w:r>
      <w:r>
        <w:rPr>
          <w:color w:val="auto"/>
        </w:rPr>
        <w:t xml:space="preserve"> </w:t>
      </w:r>
      <w:r w:rsidRPr="00E2448C">
        <w:rPr>
          <w:color w:val="auto"/>
        </w:rPr>
        <w:t>19l</w:t>
      </w:r>
    </w:p>
    <w:p w14:paraId="7F052A51" w14:textId="77777777" w:rsidR="00495F58" w:rsidRDefault="00495F58" w:rsidP="00A06781">
      <w:pPr>
        <w:pStyle w:val="PZTextodstavce"/>
      </w:pPr>
      <w:r w:rsidRPr="00E2448C">
        <w:t>(1)</w:t>
      </w:r>
      <w:r>
        <w:t xml:space="preserve"> </w:t>
      </w:r>
      <w:r w:rsidRPr="00E2448C">
        <w:t>Při</w:t>
      </w:r>
      <w:r>
        <w:t xml:space="preserve"> </w:t>
      </w:r>
      <w:r w:rsidRPr="00E2448C">
        <w:t>určení</w:t>
      </w:r>
      <w:r>
        <w:t xml:space="preserve"> </w:t>
      </w:r>
      <w:r w:rsidRPr="00E2448C">
        <w:t>výměry</w:t>
      </w:r>
      <w:r>
        <w:t xml:space="preserve"> </w:t>
      </w:r>
      <w:r w:rsidRPr="00E2448C">
        <w:t>pokuty</w:t>
      </w:r>
      <w:r>
        <w:t xml:space="preserve"> </w:t>
      </w:r>
      <w:r w:rsidRPr="00E2448C">
        <w:t>právnické</w:t>
      </w:r>
      <w:r>
        <w:t xml:space="preserve"> </w:t>
      </w:r>
      <w:r w:rsidRPr="00E2448C">
        <w:t>osobě</w:t>
      </w:r>
      <w:r>
        <w:t xml:space="preserve"> </w:t>
      </w:r>
      <w:r w:rsidRPr="00E2448C">
        <w:t>se</w:t>
      </w:r>
      <w:r>
        <w:t xml:space="preserve"> </w:t>
      </w:r>
      <w:r w:rsidRPr="00E2448C">
        <w:t>přihlédne</w:t>
      </w:r>
      <w:r>
        <w:t xml:space="preserve"> </w:t>
      </w:r>
      <w:r w:rsidRPr="00E2448C">
        <w:t>též</w:t>
      </w:r>
      <w:r>
        <w:t xml:space="preserve"> </w:t>
      </w:r>
      <w:r w:rsidRPr="00E2448C">
        <w:t>k</w:t>
      </w:r>
      <w:r>
        <w:t xml:space="preserve"> </w:t>
      </w:r>
      <w:r w:rsidRPr="00E2448C">
        <w:t>dopadu</w:t>
      </w:r>
      <w:r>
        <w:t xml:space="preserve"> </w:t>
      </w:r>
      <w:r w:rsidRPr="00E2448C">
        <w:t>uložené</w:t>
      </w:r>
      <w:r>
        <w:t xml:space="preserve"> </w:t>
      </w:r>
      <w:r w:rsidRPr="00E2448C">
        <w:t>pokuty</w:t>
      </w:r>
      <w:r>
        <w:t xml:space="preserve"> </w:t>
      </w:r>
      <w:r w:rsidRPr="00E2448C">
        <w:t>na</w:t>
      </w:r>
      <w:r>
        <w:t xml:space="preserve"> </w:t>
      </w:r>
      <w:r w:rsidRPr="00E2448C">
        <w:t>možnost</w:t>
      </w:r>
      <w:r>
        <w:t xml:space="preserve"> </w:t>
      </w:r>
      <w:r w:rsidRPr="00E2448C">
        <w:t>další</w:t>
      </w:r>
      <w:r>
        <w:t xml:space="preserve"> </w:t>
      </w:r>
      <w:r w:rsidRPr="00E2448C">
        <w:t>existence</w:t>
      </w:r>
      <w:r>
        <w:t xml:space="preserve"> </w:t>
      </w:r>
      <w:r w:rsidRPr="00E2448C">
        <w:t>strany</w:t>
      </w:r>
      <w:r>
        <w:t xml:space="preserve"> </w:t>
      </w:r>
      <w:r w:rsidRPr="00E2448C">
        <w:t>a</w:t>
      </w:r>
      <w:r>
        <w:t xml:space="preserve"> </w:t>
      </w:r>
      <w:r w:rsidRPr="00E2448C">
        <w:t>hnutí</w:t>
      </w:r>
      <w:r>
        <w:t xml:space="preserve"> </w:t>
      </w:r>
      <w:r w:rsidRPr="00E2448C">
        <w:t>nebo</w:t>
      </w:r>
      <w:r>
        <w:t xml:space="preserve"> </w:t>
      </w:r>
      <w:r w:rsidRPr="00E2448C">
        <w:t>politického</w:t>
      </w:r>
      <w:r>
        <w:t xml:space="preserve"> </w:t>
      </w:r>
      <w:r w:rsidRPr="00E2448C">
        <w:t>institutu.</w:t>
      </w:r>
    </w:p>
    <w:p w14:paraId="043559DE" w14:textId="0C3E68BC" w:rsidR="00495F58" w:rsidRDefault="00495F58" w:rsidP="00A06781">
      <w:pPr>
        <w:pStyle w:val="PZTextodstavce"/>
      </w:pPr>
      <w:r w:rsidRPr="00E2448C">
        <w:t>(2)</w:t>
      </w:r>
      <w:r>
        <w:t xml:space="preserve"> </w:t>
      </w:r>
      <w:r w:rsidRPr="00E2448C">
        <w:t>Přestupky</w:t>
      </w:r>
      <w:r>
        <w:t xml:space="preserve"> </w:t>
      </w:r>
      <w:r w:rsidRPr="00E2448C">
        <w:t>podle</w:t>
      </w:r>
      <w:r>
        <w:t xml:space="preserve"> </w:t>
      </w:r>
      <w:r w:rsidRPr="00E2448C">
        <w:t>tohoto</w:t>
      </w:r>
      <w:r>
        <w:t xml:space="preserve"> </w:t>
      </w:r>
      <w:r w:rsidRPr="00E2448C">
        <w:t>zákona</w:t>
      </w:r>
      <w:r>
        <w:t xml:space="preserve"> </w:t>
      </w:r>
      <w:r w:rsidRPr="00E2448C">
        <w:t>projednává</w:t>
      </w:r>
      <w:r>
        <w:t xml:space="preserve"> </w:t>
      </w:r>
      <w:r w:rsidR="00581ED7">
        <w:t>Úřad</w:t>
      </w:r>
      <w:r w:rsidRPr="00E2448C">
        <w:t>.</w:t>
      </w:r>
      <w:r>
        <w:t xml:space="preserve"> </w:t>
      </w:r>
      <w:r w:rsidRPr="00E2448C">
        <w:t>Podání</w:t>
      </w:r>
      <w:r>
        <w:t xml:space="preserve"> </w:t>
      </w:r>
      <w:r w:rsidRPr="00E2448C">
        <w:t>žaloby</w:t>
      </w:r>
      <w:r>
        <w:t xml:space="preserve"> </w:t>
      </w:r>
      <w:r w:rsidRPr="00E2448C">
        <w:t>proti</w:t>
      </w:r>
      <w:r>
        <w:t xml:space="preserve"> </w:t>
      </w:r>
      <w:r w:rsidRPr="00E2448C">
        <w:t>rozhodnutí</w:t>
      </w:r>
      <w:r>
        <w:t xml:space="preserve"> </w:t>
      </w:r>
      <w:r w:rsidRPr="00E2448C">
        <w:t>Úřadu</w:t>
      </w:r>
      <w:r>
        <w:t xml:space="preserve"> </w:t>
      </w:r>
      <w:r w:rsidRPr="00E2448C">
        <w:t>má</w:t>
      </w:r>
      <w:r>
        <w:t xml:space="preserve"> </w:t>
      </w:r>
      <w:r w:rsidRPr="00E2448C">
        <w:t>odkladný</w:t>
      </w:r>
      <w:r>
        <w:t xml:space="preserve"> </w:t>
      </w:r>
      <w:r w:rsidRPr="00E2448C">
        <w:t>účinek.</w:t>
      </w:r>
    </w:p>
    <w:p w14:paraId="0DC5579E" w14:textId="77777777" w:rsidR="00495F58" w:rsidRDefault="00495F58" w:rsidP="00A06781">
      <w:pPr>
        <w:pStyle w:val="PZTextodstavce"/>
      </w:pPr>
      <w:r w:rsidRPr="00E2448C">
        <w:t>(3)</w:t>
      </w:r>
      <w:r>
        <w:t xml:space="preserve"> </w:t>
      </w:r>
      <w:r w:rsidRPr="00E2448C">
        <w:t>V</w:t>
      </w:r>
      <w:r>
        <w:t xml:space="preserve"> </w:t>
      </w:r>
      <w:r w:rsidRPr="00E2448C">
        <w:t>případě</w:t>
      </w:r>
      <w:r>
        <w:t xml:space="preserve"> </w:t>
      </w:r>
      <w:r w:rsidRPr="00E2448C">
        <w:t>přestupku</w:t>
      </w:r>
      <w:r>
        <w:t xml:space="preserve"> </w:t>
      </w:r>
      <w:r w:rsidRPr="00E2448C">
        <w:t>podle</w:t>
      </w:r>
      <w:r>
        <w:t xml:space="preserve"> </w:t>
      </w:r>
      <w:r w:rsidRPr="00E2448C">
        <w:t>§</w:t>
      </w:r>
      <w:r>
        <w:t xml:space="preserve"> </w:t>
      </w:r>
      <w:r w:rsidRPr="00E2448C">
        <w:t>19i</w:t>
      </w:r>
      <w:r>
        <w:t xml:space="preserve"> </w:t>
      </w:r>
      <w:r w:rsidRPr="00E2448C">
        <w:t>odst.</w:t>
      </w:r>
      <w:r>
        <w:t xml:space="preserve"> </w:t>
      </w:r>
      <w:r w:rsidRPr="00E2448C">
        <w:t>2</w:t>
      </w:r>
      <w:r>
        <w:t xml:space="preserve"> </w:t>
      </w:r>
      <w:r w:rsidRPr="00E2448C">
        <w:t>písm.</w:t>
      </w:r>
      <w:r>
        <w:t xml:space="preserve"> </w:t>
      </w:r>
      <w:r w:rsidRPr="00E2448C">
        <w:t>b)</w:t>
      </w:r>
      <w:r>
        <w:t xml:space="preserve"> </w:t>
      </w:r>
      <w:r w:rsidRPr="00E2448C">
        <w:t>lze</w:t>
      </w:r>
      <w:r>
        <w:t xml:space="preserve"> </w:t>
      </w:r>
      <w:r w:rsidRPr="00E2448C">
        <w:t>postihnout</w:t>
      </w:r>
      <w:r>
        <w:t xml:space="preserve"> </w:t>
      </w:r>
      <w:r w:rsidRPr="00E2448C">
        <w:t>i</w:t>
      </w:r>
      <w:r>
        <w:t xml:space="preserve"> </w:t>
      </w:r>
      <w:r w:rsidRPr="00E2448C">
        <w:t>organizátora,</w:t>
      </w:r>
      <w:r>
        <w:t xml:space="preserve"> </w:t>
      </w:r>
      <w:r w:rsidRPr="00E2448C">
        <w:t>návodce</w:t>
      </w:r>
      <w:r>
        <w:t xml:space="preserve"> </w:t>
      </w:r>
      <w:r w:rsidRPr="00E2448C">
        <w:t>a</w:t>
      </w:r>
      <w:r>
        <w:t xml:space="preserve"> </w:t>
      </w:r>
      <w:r w:rsidRPr="00E2448C">
        <w:t>pomocníka.</w:t>
      </w:r>
    </w:p>
    <w:p w14:paraId="66BF0430" w14:textId="77777777" w:rsidR="00495F58" w:rsidRDefault="00495F58" w:rsidP="00A06781">
      <w:pPr>
        <w:pStyle w:val="PZTextodstavce"/>
        <w:rPr>
          <w:b/>
          <w:bCs/>
        </w:rPr>
      </w:pPr>
      <w:r w:rsidRPr="00E2448C">
        <w:t>(4)</w:t>
      </w:r>
      <w:r>
        <w:t xml:space="preserve"> </w:t>
      </w:r>
      <w:r w:rsidRPr="00E2448C">
        <w:t>Pro</w:t>
      </w:r>
      <w:r>
        <w:t xml:space="preserve"> </w:t>
      </w:r>
      <w:r w:rsidRPr="00E2448C">
        <w:t>určení</w:t>
      </w:r>
      <w:r>
        <w:t xml:space="preserve"> </w:t>
      </w:r>
      <w:r w:rsidRPr="00E2448C">
        <w:t>horní</w:t>
      </w:r>
      <w:r>
        <w:t xml:space="preserve"> </w:t>
      </w:r>
      <w:r w:rsidRPr="00E2448C">
        <w:t>hranice</w:t>
      </w:r>
      <w:r>
        <w:t xml:space="preserve"> </w:t>
      </w:r>
      <w:r w:rsidRPr="00E2448C">
        <w:t>pokuty</w:t>
      </w:r>
      <w:r>
        <w:t xml:space="preserve"> </w:t>
      </w:r>
      <w:r w:rsidRPr="00E2448C">
        <w:t>za</w:t>
      </w:r>
      <w:r>
        <w:t xml:space="preserve"> </w:t>
      </w:r>
      <w:r w:rsidRPr="00E2448C">
        <w:t>přestupek</w:t>
      </w:r>
      <w:r>
        <w:t xml:space="preserve"> </w:t>
      </w:r>
      <w:r w:rsidRPr="00E2448C">
        <w:t>podle</w:t>
      </w:r>
      <w:r>
        <w:t xml:space="preserve"> </w:t>
      </w:r>
      <w:r w:rsidRPr="00E2448C">
        <w:t>tohoto</w:t>
      </w:r>
      <w:r>
        <w:t xml:space="preserve"> </w:t>
      </w:r>
      <w:r w:rsidRPr="00E2448C">
        <w:t>zákona</w:t>
      </w:r>
      <w:r>
        <w:t xml:space="preserve"> </w:t>
      </w:r>
      <w:r w:rsidRPr="00E2448C">
        <w:t>se</w:t>
      </w:r>
      <w:r>
        <w:t xml:space="preserve"> </w:t>
      </w:r>
      <w:r w:rsidRPr="00E2448C">
        <w:rPr>
          <w:strike/>
        </w:rPr>
        <w:t>hodnota</w:t>
      </w:r>
      <w:r>
        <w:rPr>
          <w:strike/>
        </w:rPr>
        <w:t xml:space="preserve"> </w:t>
      </w:r>
      <w:r w:rsidRPr="00E2448C">
        <w:rPr>
          <w:strike/>
        </w:rPr>
        <w:t>aktiv</w:t>
      </w:r>
      <w:r>
        <w:t xml:space="preserve"> </w:t>
      </w:r>
      <w:r w:rsidRPr="00E2448C">
        <w:rPr>
          <w:b/>
          <w:bCs/>
        </w:rPr>
        <w:t>aktiva</w:t>
      </w:r>
      <w:r>
        <w:rPr>
          <w:b/>
          <w:bCs/>
        </w:rPr>
        <w:t xml:space="preserve"> </w:t>
      </w:r>
      <w:r w:rsidRPr="00E2448C">
        <w:rPr>
          <w:b/>
          <w:bCs/>
        </w:rPr>
        <w:t>celkem</w:t>
      </w:r>
      <w:r>
        <w:rPr>
          <w:b/>
          <w:bCs/>
        </w:rPr>
        <w:t xml:space="preserve"> </w:t>
      </w:r>
      <w:r w:rsidRPr="00E2448C">
        <w:rPr>
          <w:b/>
          <w:bCs/>
        </w:rPr>
        <w:t>podle</w:t>
      </w:r>
      <w:r>
        <w:rPr>
          <w:b/>
          <w:bCs/>
        </w:rPr>
        <w:t xml:space="preserve"> </w:t>
      </w:r>
      <w:r w:rsidRPr="00E2448C">
        <w:rPr>
          <w:b/>
          <w:bCs/>
        </w:rPr>
        <w:t>zákona</w:t>
      </w:r>
      <w:r>
        <w:rPr>
          <w:b/>
          <w:bCs/>
        </w:rPr>
        <w:t xml:space="preserve"> </w:t>
      </w:r>
      <w:r w:rsidRPr="00E2448C">
        <w:rPr>
          <w:b/>
          <w:bCs/>
        </w:rPr>
        <w:t>upravujícího</w:t>
      </w:r>
      <w:r>
        <w:rPr>
          <w:b/>
          <w:bCs/>
        </w:rPr>
        <w:t xml:space="preserve"> </w:t>
      </w:r>
      <w:r w:rsidRPr="00E2448C">
        <w:rPr>
          <w:b/>
          <w:bCs/>
        </w:rPr>
        <w:t>účetnictví</w:t>
      </w:r>
      <w:r>
        <w:rPr>
          <w:b/>
          <w:bCs/>
        </w:rPr>
        <w:t xml:space="preserve"> </w:t>
      </w:r>
      <w:r w:rsidRPr="00E2448C">
        <w:t>zjistí</w:t>
      </w:r>
      <w:r>
        <w:t xml:space="preserve"> </w:t>
      </w:r>
      <w:r w:rsidRPr="00E2448C">
        <w:t>z</w:t>
      </w:r>
      <w:r>
        <w:t xml:space="preserve"> </w:t>
      </w:r>
      <w:r w:rsidRPr="00E2448C">
        <w:t>účetní</w:t>
      </w:r>
      <w:r>
        <w:t xml:space="preserve"> </w:t>
      </w:r>
      <w:r w:rsidRPr="00E2448C">
        <w:t>závěrky</w:t>
      </w:r>
      <w:r>
        <w:t xml:space="preserve"> </w:t>
      </w:r>
      <w:r w:rsidRPr="00E2448C">
        <w:rPr>
          <w:strike/>
        </w:rPr>
        <w:t>nebo</w:t>
      </w:r>
      <w:r>
        <w:rPr>
          <w:strike/>
        </w:rPr>
        <w:t xml:space="preserve"> </w:t>
      </w:r>
      <w:r w:rsidRPr="00E2448C">
        <w:rPr>
          <w:strike/>
        </w:rPr>
        <w:t>z</w:t>
      </w:r>
      <w:r>
        <w:rPr>
          <w:strike/>
        </w:rPr>
        <w:t xml:space="preserve"> </w:t>
      </w:r>
      <w:r w:rsidRPr="00E2448C">
        <w:rPr>
          <w:strike/>
        </w:rPr>
        <w:t>konsolidované</w:t>
      </w:r>
      <w:r>
        <w:rPr>
          <w:strike/>
        </w:rPr>
        <w:t xml:space="preserve"> </w:t>
      </w:r>
      <w:r w:rsidRPr="00E2448C">
        <w:rPr>
          <w:strike/>
        </w:rPr>
        <w:t>účetní</w:t>
      </w:r>
      <w:r>
        <w:rPr>
          <w:strike/>
        </w:rPr>
        <w:t xml:space="preserve"> </w:t>
      </w:r>
      <w:r w:rsidRPr="00E2448C">
        <w:rPr>
          <w:strike/>
        </w:rPr>
        <w:t>závěrky</w:t>
      </w:r>
      <w:r>
        <w:rPr>
          <w:strike/>
        </w:rPr>
        <w:t xml:space="preserve"> </w:t>
      </w:r>
      <w:r w:rsidRPr="00E2448C">
        <w:rPr>
          <w:strike/>
        </w:rPr>
        <w:t>účetní</w:t>
      </w:r>
      <w:r>
        <w:rPr>
          <w:strike/>
        </w:rPr>
        <w:t xml:space="preserve"> </w:t>
      </w:r>
      <w:r w:rsidRPr="00E2448C">
        <w:rPr>
          <w:strike/>
        </w:rPr>
        <w:t>jednotky</w:t>
      </w:r>
      <w:r>
        <w:t xml:space="preserve"> </w:t>
      </w:r>
      <w:r w:rsidRPr="00E2448C">
        <w:t>sestavené</w:t>
      </w:r>
      <w:r>
        <w:t xml:space="preserve"> </w:t>
      </w:r>
      <w:r w:rsidRPr="00E2448C">
        <w:t>za</w:t>
      </w:r>
      <w:r>
        <w:t xml:space="preserve"> </w:t>
      </w:r>
      <w:r w:rsidRPr="00E2448C">
        <w:t>účetní</w:t>
      </w:r>
      <w:r>
        <w:t xml:space="preserve"> </w:t>
      </w:r>
      <w:r w:rsidRPr="00E2448C">
        <w:t>období</w:t>
      </w:r>
      <w:r>
        <w:t xml:space="preserve"> </w:t>
      </w:r>
      <w:r w:rsidRPr="00E2448C">
        <w:rPr>
          <w:b/>
          <w:bCs/>
        </w:rPr>
        <w:t>bezprostředně</w:t>
      </w:r>
      <w:r>
        <w:rPr>
          <w:b/>
          <w:bCs/>
        </w:rPr>
        <w:t xml:space="preserve"> </w:t>
      </w:r>
      <w:r w:rsidRPr="00E2448C">
        <w:t>předcházející</w:t>
      </w:r>
      <w:r>
        <w:t xml:space="preserve"> </w:t>
      </w:r>
      <w:r w:rsidRPr="00E2448C">
        <w:t>účetnímu</w:t>
      </w:r>
      <w:r>
        <w:t xml:space="preserve"> </w:t>
      </w:r>
      <w:r w:rsidRPr="00E2448C">
        <w:t>období,</w:t>
      </w:r>
      <w:r>
        <w:t xml:space="preserve"> </w:t>
      </w:r>
      <w:r w:rsidRPr="00E2448C">
        <w:t>ve</w:t>
      </w:r>
      <w:r>
        <w:t xml:space="preserve"> </w:t>
      </w:r>
      <w:r w:rsidRPr="00E2448C">
        <w:t>kterém</w:t>
      </w:r>
      <w:r>
        <w:t xml:space="preserve"> </w:t>
      </w:r>
      <w:r w:rsidRPr="00E2448C">
        <w:t>k</w:t>
      </w:r>
      <w:r>
        <w:t xml:space="preserve"> </w:t>
      </w:r>
      <w:r w:rsidRPr="00E2448C">
        <w:t>přestupku</w:t>
      </w:r>
      <w:r>
        <w:t xml:space="preserve"> </w:t>
      </w:r>
      <w:r w:rsidRPr="00E2448C">
        <w:t>došlo.</w:t>
      </w:r>
      <w:r>
        <w:t xml:space="preserve"> </w:t>
      </w:r>
      <w:r w:rsidRPr="00E2448C">
        <w:rPr>
          <w:strike/>
        </w:rPr>
        <w:t>Pokud</w:t>
      </w:r>
      <w:r>
        <w:rPr>
          <w:strike/>
        </w:rPr>
        <w:t xml:space="preserve"> </w:t>
      </w:r>
      <w:r w:rsidRPr="00E2448C">
        <w:rPr>
          <w:strike/>
        </w:rPr>
        <w:t>právnická</w:t>
      </w:r>
      <w:r>
        <w:rPr>
          <w:strike/>
        </w:rPr>
        <w:t xml:space="preserve"> </w:t>
      </w:r>
      <w:r w:rsidRPr="00E2448C">
        <w:rPr>
          <w:strike/>
        </w:rPr>
        <w:t>osoba</w:t>
      </w:r>
      <w:r>
        <w:rPr>
          <w:strike/>
        </w:rPr>
        <w:t xml:space="preserve"> </w:t>
      </w:r>
      <w:r w:rsidRPr="00E2448C">
        <w:rPr>
          <w:strike/>
        </w:rPr>
        <w:t>takový</w:t>
      </w:r>
      <w:r>
        <w:rPr>
          <w:strike/>
        </w:rPr>
        <w:t xml:space="preserve"> </w:t>
      </w:r>
      <w:r w:rsidRPr="00E2448C">
        <w:rPr>
          <w:strike/>
        </w:rPr>
        <w:t>účetní</w:t>
      </w:r>
      <w:r>
        <w:rPr>
          <w:strike/>
        </w:rPr>
        <w:t xml:space="preserve"> </w:t>
      </w:r>
      <w:r w:rsidRPr="00E2448C">
        <w:rPr>
          <w:strike/>
        </w:rPr>
        <w:t>výkaz</w:t>
      </w:r>
      <w:r>
        <w:rPr>
          <w:strike/>
        </w:rPr>
        <w:t xml:space="preserve"> </w:t>
      </w:r>
      <w:r w:rsidRPr="00E2448C">
        <w:rPr>
          <w:strike/>
        </w:rPr>
        <w:t>nemá,</w:t>
      </w:r>
      <w:r>
        <w:rPr>
          <w:strike/>
        </w:rPr>
        <w:t xml:space="preserve"> </w:t>
      </w:r>
      <w:r w:rsidRPr="00E2448C">
        <w:rPr>
          <w:strike/>
        </w:rPr>
        <w:t>vychází</w:t>
      </w:r>
      <w:r>
        <w:rPr>
          <w:strike/>
        </w:rPr>
        <w:t xml:space="preserve"> </w:t>
      </w:r>
      <w:r w:rsidRPr="00E2448C">
        <w:rPr>
          <w:strike/>
        </w:rPr>
        <w:t>se</w:t>
      </w:r>
      <w:r>
        <w:rPr>
          <w:strike/>
        </w:rPr>
        <w:t xml:space="preserve"> </w:t>
      </w:r>
      <w:r w:rsidRPr="00E2448C">
        <w:rPr>
          <w:strike/>
        </w:rPr>
        <w:t>z</w:t>
      </w:r>
      <w:r>
        <w:rPr>
          <w:strike/>
        </w:rPr>
        <w:t xml:space="preserve"> </w:t>
      </w:r>
      <w:r w:rsidRPr="00E2448C">
        <w:rPr>
          <w:strike/>
        </w:rPr>
        <w:t>výkazu</w:t>
      </w:r>
      <w:r>
        <w:rPr>
          <w:strike/>
        </w:rPr>
        <w:t xml:space="preserve"> </w:t>
      </w:r>
      <w:r w:rsidRPr="00E2448C">
        <w:rPr>
          <w:strike/>
        </w:rPr>
        <w:t>za</w:t>
      </w:r>
      <w:r>
        <w:rPr>
          <w:strike/>
        </w:rPr>
        <w:t xml:space="preserve"> </w:t>
      </w:r>
      <w:r w:rsidRPr="00E2448C">
        <w:rPr>
          <w:strike/>
        </w:rPr>
        <w:t>předešlé</w:t>
      </w:r>
      <w:r>
        <w:rPr>
          <w:strike/>
        </w:rPr>
        <w:t xml:space="preserve"> </w:t>
      </w:r>
      <w:r w:rsidRPr="00E2448C">
        <w:rPr>
          <w:strike/>
        </w:rPr>
        <w:t>účetní</w:t>
      </w:r>
      <w:r>
        <w:rPr>
          <w:strike/>
        </w:rPr>
        <w:t xml:space="preserve"> </w:t>
      </w:r>
      <w:r w:rsidRPr="00E2448C">
        <w:rPr>
          <w:strike/>
        </w:rPr>
        <w:t>období.</w:t>
      </w:r>
      <w:r>
        <w:t xml:space="preserve"> </w:t>
      </w:r>
      <w:r w:rsidRPr="00E2448C">
        <w:rPr>
          <w:b/>
          <w:bCs/>
        </w:rPr>
        <w:t>Není-li</w:t>
      </w:r>
      <w:r>
        <w:rPr>
          <w:b/>
          <w:bCs/>
        </w:rPr>
        <w:t xml:space="preserve"> </w:t>
      </w:r>
      <w:r w:rsidRPr="00E2448C">
        <w:rPr>
          <w:b/>
          <w:bCs/>
        </w:rPr>
        <w:t>tato</w:t>
      </w:r>
      <w:r>
        <w:rPr>
          <w:b/>
          <w:bCs/>
        </w:rPr>
        <w:t xml:space="preserve"> </w:t>
      </w:r>
      <w:r w:rsidRPr="00E2448C">
        <w:rPr>
          <w:b/>
          <w:bCs/>
        </w:rPr>
        <w:t>účetní</w:t>
      </w:r>
      <w:r>
        <w:rPr>
          <w:b/>
          <w:bCs/>
        </w:rPr>
        <w:t xml:space="preserve"> </w:t>
      </w:r>
      <w:r w:rsidRPr="00E2448C">
        <w:rPr>
          <w:b/>
          <w:bCs/>
        </w:rPr>
        <w:t>závěrka</w:t>
      </w:r>
      <w:r>
        <w:rPr>
          <w:b/>
          <w:bCs/>
        </w:rPr>
        <w:t xml:space="preserve"> </w:t>
      </w:r>
      <w:r w:rsidRPr="00E2448C">
        <w:rPr>
          <w:b/>
          <w:bCs/>
        </w:rPr>
        <w:t>sestavena,</w:t>
      </w:r>
      <w:r>
        <w:rPr>
          <w:b/>
          <w:bCs/>
        </w:rPr>
        <w:t xml:space="preserve"> </w:t>
      </w:r>
      <w:r w:rsidRPr="00E2448C">
        <w:rPr>
          <w:b/>
          <w:bCs/>
        </w:rPr>
        <w:t>vychází</w:t>
      </w:r>
      <w:r>
        <w:rPr>
          <w:b/>
          <w:bCs/>
        </w:rPr>
        <w:t xml:space="preserve"> </w:t>
      </w:r>
      <w:r w:rsidRPr="00E2448C">
        <w:rPr>
          <w:b/>
          <w:bCs/>
        </w:rPr>
        <w:t>se</w:t>
      </w:r>
      <w:r>
        <w:rPr>
          <w:b/>
          <w:bCs/>
        </w:rPr>
        <w:t xml:space="preserve"> </w:t>
      </w:r>
      <w:r w:rsidRPr="00E2448C">
        <w:rPr>
          <w:b/>
          <w:bCs/>
        </w:rPr>
        <w:t>z</w:t>
      </w:r>
      <w:r>
        <w:rPr>
          <w:b/>
          <w:bCs/>
        </w:rPr>
        <w:t xml:space="preserve"> </w:t>
      </w:r>
      <w:r w:rsidRPr="00E2448C">
        <w:rPr>
          <w:b/>
          <w:bCs/>
        </w:rPr>
        <w:t>poslední</w:t>
      </w:r>
      <w:r>
        <w:rPr>
          <w:b/>
          <w:bCs/>
        </w:rPr>
        <w:t xml:space="preserve"> </w:t>
      </w:r>
      <w:r w:rsidRPr="00E2448C">
        <w:rPr>
          <w:b/>
          <w:bCs/>
        </w:rPr>
        <w:t>sestavené</w:t>
      </w:r>
      <w:r>
        <w:rPr>
          <w:b/>
          <w:bCs/>
        </w:rPr>
        <w:t xml:space="preserve"> </w:t>
      </w:r>
      <w:r w:rsidRPr="00E2448C">
        <w:rPr>
          <w:b/>
          <w:bCs/>
        </w:rPr>
        <w:t>účetní</w:t>
      </w:r>
      <w:r>
        <w:rPr>
          <w:b/>
          <w:bCs/>
        </w:rPr>
        <w:t xml:space="preserve"> </w:t>
      </w:r>
      <w:r w:rsidRPr="00E2448C">
        <w:rPr>
          <w:b/>
          <w:bCs/>
        </w:rPr>
        <w:t>závěrky.</w:t>
      </w:r>
    </w:p>
    <w:p w14:paraId="4910A3B1" w14:textId="77777777" w:rsidR="00495F58" w:rsidRDefault="00495F58" w:rsidP="00A06781">
      <w:pPr>
        <w:pStyle w:val="PZTextodstavce"/>
      </w:pPr>
      <w:r w:rsidRPr="00E2448C">
        <w:t>(5)</w:t>
      </w:r>
      <w:r>
        <w:t xml:space="preserve"> </w:t>
      </w:r>
      <w:r w:rsidRPr="00E2448C">
        <w:t>Nelze-li</w:t>
      </w:r>
      <w:r>
        <w:t xml:space="preserve"> </w:t>
      </w:r>
      <w:r w:rsidRPr="00E2448C">
        <w:t>skutečnou</w:t>
      </w:r>
      <w:r>
        <w:t xml:space="preserve"> </w:t>
      </w:r>
      <w:r w:rsidRPr="00E2448C">
        <w:t>výši</w:t>
      </w:r>
      <w:r>
        <w:t xml:space="preserve"> </w:t>
      </w:r>
      <w:r w:rsidRPr="00E2448C">
        <w:t>aktiv</w:t>
      </w:r>
      <w:r>
        <w:t xml:space="preserve"> </w:t>
      </w:r>
      <w:r w:rsidRPr="00E2448C">
        <w:t>zjistit</w:t>
      </w:r>
      <w:r>
        <w:t xml:space="preserve"> </w:t>
      </w:r>
      <w:r w:rsidRPr="00E2448C">
        <w:t>postupem</w:t>
      </w:r>
      <w:r>
        <w:t xml:space="preserve"> </w:t>
      </w:r>
      <w:r w:rsidRPr="00E2448C">
        <w:t>podle</w:t>
      </w:r>
      <w:r>
        <w:t xml:space="preserve"> </w:t>
      </w:r>
      <w:r w:rsidRPr="00E2448C">
        <w:t>odstavce</w:t>
      </w:r>
      <w:r>
        <w:t xml:space="preserve"> </w:t>
      </w:r>
      <w:r w:rsidRPr="00E2448C">
        <w:t>4,</w:t>
      </w:r>
      <w:r>
        <w:t xml:space="preserve"> </w:t>
      </w:r>
      <w:r w:rsidRPr="00E2448C">
        <w:t>stanoví</w:t>
      </w:r>
      <w:r>
        <w:t xml:space="preserve"> </w:t>
      </w:r>
      <w:r w:rsidRPr="00E2448C">
        <w:rPr>
          <w:strike/>
        </w:rPr>
        <w:t>hodnotu</w:t>
      </w:r>
      <w:r>
        <w:rPr>
          <w:strike/>
        </w:rPr>
        <w:t xml:space="preserve"> </w:t>
      </w:r>
      <w:r w:rsidRPr="00E2448C">
        <w:rPr>
          <w:strike/>
        </w:rPr>
        <w:t>aktiv</w:t>
      </w:r>
      <w:r>
        <w:t xml:space="preserve"> </w:t>
      </w:r>
      <w:r w:rsidRPr="00E2448C">
        <w:rPr>
          <w:b/>
          <w:bCs/>
        </w:rPr>
        <w:t>aktiva</w:t>
      </w:r>
      <w:r>
        <w:rPr>
          <w:b/>
          <w:bCs/>
        </w:rPr>
        <w:t xml:space="preserve"> </w:t>
      </w:r>
      <w:r w:rsidRPr="00E2448C">
        <w:rPr>
          <w:b/>
          <w:bCs/>
        </w:rPr>
        <w:t>celkem</w:t>
      </w:r>
      <w:r>
        <w:rPr>
          <w:b/>
          <w:bCs/>
        </w:rPr>
        <w:t xml:space="preserve"> </w:t>
      </w:r>
      <w:r w:rsidRPr="00E2448C">
        <w:rPr>
          <w:b/>
          <w:bCs/>
        </w:rPr>
        <w:t>podle</w:t>
      </w:r>
      <w:r>
        <w:rPr>
          <w:b/>
          <w:bCs/>
        </w:rPr>
        <w:t xml:space="preserve"> </w:t>
      </w:r>
      <w:r w:rsidRPr="00E2448C">
        <w:rPr>
          <w:b/>
          <w:bCs/>
        </w:rPr>
        <w:t>zákona</w:t>
      </w:r>
      <w:r>
        <w:rPr>
          <w:b/>
          <w:bCs/>
        </w:rPr>
        <w:t xml:space="preserve"> </w:t>
      </w:r>
      <w:r w:rsidRPr="00E2448C">
        <w:rPr>
          <w:b/>
          <w:bCs/>
        </w:rPr>
        <w:t>upravujícího</w:t>
      </w:r>
      <w:r>
        <w:rPr>
          <w:b/>
          <w:bCs/>
        </w:rPr>
        <w:t xml:space="preserve"> </w:t>
      </w:r>
      <w:r w:rsidRPr="00E2448C">
        <w:rPr>
          <w:b/>
          <w:bCs/>
        </w:rPr>
        <w:t>účetnictví</w:t>
      </w:r>
      <w:r>
        <w:rPr>
          <w:b/>
          <w:bCs/>
        </w:rPr>
        <w:t xml:space="preserve"> </w:t>
      </w:r>
      <w:r w:rsidRPr="00E2448C">
        <w:t>Úřad</w:t>
      </w:r>
      <w:r>
        <w:t xml:space="preserve"> </w:t>
      </w:r>
      <w:r w:rsidRPr="00E2448C">
        <w:t>kvalifikovaným</w:t>
      </w:r>
      <w:r>
        <w:t xml:space="preserve"> </w:t>
      </w:r>
      <w:r w:rsidRPr="00E2448C">
        <w:t>odhadem.</w:t>
      </w:r>
    </w:p>
    <w:p w14:paraId="1E64999D" w14:textId="77777777" w:rsidR="00495F58" w:rsidRDefault="00495F58" w:rsidP="00A06781">
      <w:pPr>
        <w:pStyle w:val="PZTextodstavce"/>
      </w:pPr>
      <w:r w:rsidRPr="00E2448C">
        <w:t>(6)</w:t>
      </w:r>
      <w:r>
        <w:t xml:space="preserve"> </w:t>
      </w:r>
      <w:r w:rsidRPr="00E2448C">
        <w:t>Za</w:t>
      </w:r>
      <w:r>
        <w:t xml:space="preserve"> </w:t>
      </w:r>
      <w:r w:rsidRPr="00E2448C">
        <w:t>přestupky</w:t>
      </w:r>
      <w:r>
        <w:t xml:space="preserve"> </w:t>
      </w:r>
      <w:r w:rsidRPr="00E2448C">
        <w:t>podle</w:t>
      </w:r>
      <w:r>
        <w:t xml:space="preserve"> </w:t>
      </w:r>
      <w:r w:rsidRPr="00E2448C">
        <w:t>§</w:t>
      </w:r>
      <w:r>
        <w:t xml:space="preserve"> </w:t>
      </w:r>
      <w:r w:rsidRPr="00E2448C">
        <w:t>19i</w:t>
      </w:r>
      <w:r>
        <w:t xml:space="preserve"> </w:t>
      </w:r>
      <w:r w:rsidRPr="00E2448C">
        <w:t>odst.</w:t>
      </w:r>
      <w:r>
        <w:t xml:space="preserve"> </w:t>
      </w:r>
      <w:r w:rsidRPr="00E2448C">
        <w:t>2</w:t>
      </w:r>
      <w:r>
        <w:t xml:space="preserve"> </w:t>
      </w:r>
      <w:r w:rsidRPr="00E2448C">
        <w:t>a</w:t>
      </w:r>
      <w:r>
        <w:t xml:space="preserve"> </w:t>
      </w:r>
      <w:r w:rsidRPr="00E2448C">
        <w:t>odst.</w:t>
      </w:r>
      <w:r>
        <w:t xml:space="preserve"> </w:t>
      </w:r>
      <w:r w:rsidRPr="00E2448C">
        <w:t>3</w:t>
      </w:r>
      <w:r>
        <w:t xml:space="preserve"> </w:t>
      </w:r>
      <w:r w:rsidRPr="00E2448C">
        <w:t>a</w:t>
      </w:r>
      <w:r>
        <w:t xml:space="preserve"> </w:t>
      </w:r>
      <w:r w:rsidRPr="00E2448C">
        <w:t>§</w:t>
      </w:r>
      <w:r>
        <w:t xml:space="preserve"> </w:t>
      </w:r>
      <w:r w:rsidRPr="00E2448C">
        <w:t>19j</w:t>
      </w:r>
      <w:r>
        <w:t xml:space="preserve"> </w:t>
      </w:r>
      <w:r w:rsidRPr="00E2448C">
        <w:t>odst.</w:t>
      </w:r>
      <w:r>
        <w:t xml:space="preserve"> </w:t>
      </w:r>
      <w:r w:rsidRPr="00E2448C">
        <w:t>3</w:t>
      </w:r>
      <w:r>
        <w:t xml:space="preserve"> </w:t>
      </w:r>
      <w:r w:rsidRPr="00E2448C">
        <w:t>se</w:t>
      </w:r>
      <w:r>
        <w:t xml:space="preserve"> </w:t>
      </w:r>
      <w:r w:rsidRPr="00E2448C">
        <w:t>uloží</w:t>
      </w:r>
      <w:r>
        <w:t xml:space="preserve"> </w:t>
      </w:r>
      <w:r w:rsidRPr="00E2448C">
        <w:t>pokuta.</w:t>
      </w:r>
    </w:p>
    <w:p w14:paraId="04414A6F" w14:textId="012C1573" w:rsidR="000F06C0" w:rsidRDefault="000F06C0" w:rsidP="000F06C0">
      <w:pPr>
        <w:pStyle w:val="Textparagrafu"/>
        <w:ind w:firstLine="0"/>
      </w:pPr>
    </w:p>
    <w:p w14:paraId="2279894D" w14:textId="77777777" w:rsidR="00EC184F" w:rsidRDefault="00EC184F" w:rsidP="000F06C0">
      <w:pPr>
        <w:pStyle w:val="Textparagrafu"/>
        <w:ind w:firstLine="0"/>
        <w:sectPr w:rsidR="00EC184F" w:rsidSect="004140D4">
          <w:footnotePr>
            <w:numStart w:val="3"/>
          </w:footnotePr>
          <w:endnotePr>
            <w:numFmt w:val="decimal"/>
          </w:endnotePr>
          <w:pgSz w:w="11906" w:h="16838"/>
          <w:pgMar w:top="1418" w:right="1418" w:bottom="1418" w:left="1418" w:header="709" w:footer="709" w:gutter="0"/>
          <w:cols w:space="708"/>
          <w:docGrid w:linePitch="360"/>
        </w:sectPr>
      </w:pPr>
    </w:p>
    <w:p w14:paraId="6AB971B6" w14:textId="707756E6" w:rsidR="00EC184F" w:rsidRPr="00E70B7D" w:rsidRDefault="00EC184F" w:rsidP="00FE1B36">
      <w:pPr>
        <w:pStyle w:val="Odstavecseseznamem"/>
        <w:tabs>
          <w:tab w:val="left" w:pos="851"/>
        </w:tabs>
        <w:spacing w:before="120" w:after="120"/>
        <w:ind w:left="0" w:firstLine="0"/>
        <w:jc w:val="center"/>
        <w:outlineLvl w:val="0"/>
        <w:rPr>
          <w:b/>
          <w:szCs w:val="24"/>
        </w:rPr>
      </w:pPr>
      <w:r w:rsidRPr="00E70B7D">
        <w:rPr>
          <w:b/>
          <w:szCs w:val="24"/>
        </w:rPr>
        <w:lastRenderedPageBreak/>
        <w:t xml:space="preserve">K části </w:t>
      </w:r>
      <w:r>
        <w:rPr>
          <w:b/>
          <w:szCs w:val="24"/>
        </w:rPr>
        <w:t>osmé</w:t>
      </w:r>
      <w:r w:rsidRPr="00E70B7D">
        <w:rPr>
          <w:b/>
          <w:szCs w:val="24"/>
        </w:rPr>
        <w:t xml:space="preserve"> návrhu zákona – </w:t>
      </w:r>
      <w:r w:rsidRPr="00E70B7D">
        <w:rPr>
          <w:szCs w:val="24"/>
        </w:rPr>
        <w:t xml:space="preserve">změna </w:t>
      </w:r>
      <w:r>
        <w:rPr>
          <w:szCs w:val="24"/>
        </w:rPr>
        <w:t xml:space="preserve">zákona </w:t>
      </w:r>
      <w:r w:rsidR="00BA3564" w:rsidRPr="00616351">
        <w:rPr>
          <w:szCs w:val="24"/>
        </w:rPr>
        <w:t xml:space="preserve">o </w:t>
      </w:r>
      <w:r w:rsidR="00BA3564">
        <w:rPr>
          <w:szCs w:val="24"/>
        </w:rPr>
        <w:t>živnostenském podnikání</w:t>
      </w:r>
    </w:p>
    <w:p w14:paraId="674C4DD9" w14:textId="77777777" w:rsidR="00EC184F" w:rsidRPr="00AE0742" w:rsidRDefault="00EC184F" w:rsidP="00EC184F">
      <w:pPr>
        <w:pStyle w:val="Odstavecseseznamem"/>
        <w:tabs>
          <w:tab w:val="left" w:pos="851"/>
        </w:tabs>
        <w:spacing w:before="120" w:after="120"/>
        <w:ind w:left="0"/>
        <w:outlineLvl w:val="0"/>
        <w:rPr>
          <w:b/>
          <w:szCs w:val="24"/>
        </w:rPr>
      </w:pPr>
    </w:p>
    <w:p w14:paraId="75536BE6" w14:textId="493A5D97" w:rsidR="00EC184F" w:rsidRDefault="00EC184F" w:rsidP="0034696F">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AE0742">
        <w:rPr>
          <w:b/>
          <w:szCs w:val="24"/>
        </w:rPr>
        <w:t>Platné znění</w:t>
      </w:r>
      <w:r w:rsidRPr="00AE0742">
        <w:rPr>
          <w:szCs w:val="24"/>
        </w:rPr>
        <w:t xml:space="preserve"> zákona </w:t>
      </w:r>
      <w:r w:rsidRPr="00AE0742">
        <w:rPr>
          <w:color w:val="000000"/>
          <w:szCs w:val="24"/>
        </w:rPr>
        <w:t>č. </w:t>
      </w:r>
      <w:r w:rsidR="00BA3564">
        <w:rPr>
          <w:color w:val="000000"/>
          <w:szCs w:val="24"/>
        </w:rPr>
        <w:t>455</w:t>
      </w:r>
      <w:r>
        <w:rPr>
          <w:color w:val="000000"/>
          <w:szCs w:val="24"/>
        </w:rPr>
        <w:t xml:space="preserve">/1991 </w:t>
      </w:r>
      <w:r w:rsidRPr="00AE0742">
        <w:rPr>
          <w:color w:val="000000"/>
          <w:szCs w:val="24"/>
        </w:rPr>
        <w:t xml:space="preserve">Sb., </w:t>
      </w:r>
      <w:r w:rsidRPr="00616351">
        <w:rPr>
          <w:szCs w:val="24"/>
        </w:rPr>
        <w:t xml:space="preserve">o </w:t>
      </w:r>
      <w:r>
        <w:rPr>
          <w:szCs w:val="24"/>
        </w:rPr>
        <w:t>živnostenském podnikání</w:t>
      </w:r>
    </w:p>
    <w:p w14:paraId="1C5F503E" w14:textId="1877EC75" w:rsidR="00EC184F" w:rsidRPr="00FE1B36" w:rsidRDefault="00FE1B36" w:rsidP="00FE1B36">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b/>
          <w:szCs w:val="24"/>
        </w:rPr>
      </w:pPr>
      <w:r w:rsidRPr="00A06781">
        <w:rPr>
          <w:b/>
          <w:szCs w:val="24"/>
        </w:rPr>
        <w:t>s vyznačením navrhovaných změn a doplnění k 1. lednu 2025</w:t>
      </w:r>
    </w:p>
    <w:p w14:paraId="5DE87F15" w14:textId="57449888" w:rsidR="00D35A18" w:rsidRDefault="00D35A18" w:rsidP="0034696F">
      <w:pPr>
        <w:pStyle w:val="Textparagrafu"/>
        <w:numPr>
          <w:ilvl w:val="0"/>
          <w:numId w:val="27"/>
        </w:numPr>
        <w:jc w:val="center"/>
      </w:pPr>
      <w:r>
        <w:t>***</w:t>
      </w:r>
    </w:p>
    <w:p w14:paraId="559707C2" w14:textId="37D403CD" w:rsidR="00EC184F" w:rsidRDefault="00D146EA" w:rsidP="00B84B30">
      <w:pPr>
        <w:pStyle w:val="Textparagrafu"/>
        <w:numPr>
          <w:ilvl w:val="0"/>
          <w:numId w:val="27"/>
        </w:numPr>
        <w:jc w:val="center"/>
      </w:pPr>
      <w:r w:rsidRPr="00F858EE">
        <w:t>§</w:t>
      </w:r>
      <w:r w:rsidR="00B84B30">
        <w:t xml:space="preserve"> 3</w:t>
      </w:r>
    </w:p>
    <w:p w14:paraId="573B9709" w14:textId="77777777" w:rsidR="00B84B30" w:rsidRDefault="00B84B30" w:rsidP="00D011A0">
      <w:pPr>
        <w:numPr>
          <w:ilvl w:val="0"/>
          <w:numId w:val="27"/>
        </w:numPr>
        <w:tabs>
          <w:tab w:val="left" w:pos="782"/>
          <w:tab w:val="left" w:pos="851"/>
          <w:tab w:val="left" w:pos="3828"/>
        </w:tabs>
        <w:spacing w:before="120" w:after="120"/>
        <w:ind w:firstLine="425"/>
        <w:outlineLvl w:val="6"/>
      </w:pPr>
      <w:r>
        <w:t>(1) Živností není:</w:t>
      </w:r>
    </w:p>
    <w:p w14:paraId="241E0C50" w14:textId="77777777" w:rsidR="00B84B30" w:rsidRDefault="00B84B30" w:rsidP="002B6A12">
      <w:pPr>
        <w:numPr>
          <w:ilvl w:val="0"/>
          <w:numId w:val="27"/>
        </w:numPr>
        <w:tabs>
          <w:tab w:val="left" w:pos="426"/>
          <w:tab w:val="left" w:pos="851"/>
          <w:tab w:val="left" w:pos="3828"/>
        </w:tabs>
        <w:spacing w:before="0"/>
        <w:ind w:left="426" w:hanging="426"/>
        <w:outlineLvl w:val="6"/>
      </w:pPr>
      <w:r>
        <w:t>a)</w:t>
      </w:r>
      <w:r>
        <w:tab/>
      </w:r>
      <w:r w:rsidRPr="007E593E">
        <w:t>provozování činnosti vyhrazené zákonem státu nebo určené právnické osobě,</w:t>
      </w:r>
    </w:p>
    <w:p w14:paraId="2FCB1CF3" w14:textId="77777777" w:rsidR="00B84B30" w:rsidRPr="007E593E" w:rsidRDefault="00B84B30" w:rsidP="002B6A12">
      <w:pPr>
        <w:numPr>
          <w:ilvl w:val="0"/>
          <w:numId w:val="27"/>
        </w:numPr>
        <w:tabs>
          <w:tab w:val="left" w:pos="426"/>
          <w:tab w:val="left" w:pos="851"/>
          <w:tab w:val="left" w:pos="3828"/>
        </w:tabs>
        <w:spacing w:before="0"/>
        <w:ind w:left="426" w:hanging="426"/>
        <w:outlineLvl w:val="6"/>
      </w:pPr>
      <w:r>
        <w:t>b)</w:t>
      </w:r>
      <w:r>
        <w:tab/>
      </w:r>
      <w:r w:rsidRPr="007E593E">
        <w:t>využívání výsledků duševní tvůrčí činnosti, chráněných zvláštními zákony, jejich původci nebo autory,</w:t>
      </w:r>
      <w:r>
        <w:t xml:space="preserve"> </w:t>
      </w:r>
      <w:r w:rsidRPr="007504DC">
        <w:rPr>
          <w:vertAlign w:val="superscript"/>
        </w:rPr>
        <w:footnoteReference w:customMarkFollows="1" w:id="20"/>
        <w:t>2)</w:t>
      </w:r>
    </w:p>
    <w:p w14:paraId="1E225F7C" w14:textId="77777777" w:rsidR="00B84B30" w:rsidRDefault="00B84B30" w:rsidP="002B6A12">
      <w:pPr>
        <w:numPr>
          <w:ilvl w:val="0"/>
          <w:numId w:val="27"/>
        </w:numPr>
        <w:tabs>
          <w:tab w:val="left" w:pos="426"/>
          <w:tab w:val="left" w:pos="851"/>
          <w:tab w:val="left" w:pos="3828"/>
        </w:tabs>
        <w:spacing w:before="0"/>
        <w:ind w:left="426" w:hanging="426"/>
        <w:outlineLvl w:val="6"/>
      </w:pPr>
      <w:r>
        <w:t>c)</w:t>
      </w:r>
      <w:r>
        <w:tab/>
        <w:t>v</w:t>
      </w:r>
      <w:r w:rsidRPr="007E593E">
        <w:t xml:space="preserve">ýkon kolektivní správy práva autorského a práv souvisejících s právem autorským podle </w:t>
      </w:r>
      <w:r>
        <w:t>zvláštního právního předpisu,</w:t>
      </w:r>
      <w:r w:rsidRPr="007504DC">
        <w:rPr>
          <w:vertAlign w:val="superscript"/>
        </w:rPr>
        <w:footnoteReference w:customMarkFollows="1" w:id="21"/>
        <w:t>2a)</w:t>
      </w:r>
    </w:p>
    <w:p w14:paraId="27B5DD48" w14:textId="77777777" w:rsidR="00B84B30" w:rsidRDefault="00B84B30" w:rsidP="002B6A12">
      <w:pPr>
        <w:numPr>
          <w:ilvl w:val="0"/>
          <w:numId w:val="27"/>
        </w:numPr>
        <w:tabs>
          <w:tab w:val="left" w:pos="426"/>
          <w:tab w:val="left" w:pos="851"/>
          <w:tab w:val="left" w:pos="3828"/>
        </w:tabs>
        <w:spacing w:before="0"/>
        <w:ind w:left="426" w:hanging="426"/>
        <w:outlineLvl w:val="6"/>
      </w:pPr>
      <w:r>
        <w:t>d)</w:t>
      </w:r>
      <w:r>
        <w:tab/>
      </w:r>
      <w:r w:rsidRPr="007E593E">
        <w:t>restaurování kulturních památek nebo jejich částí, které jsou díly výtvarných umění neb</w:t>
      </w:r>
      <w:r>
        <w:t>o uměleckořemeslnými pracemi,</w:t>
      </w:r>
      <w:r w:rsidRPr="007504DC">
        <w:rPr>
          <w:vertAlign w:val="superscript"/>
        </w:rPr>
        <w:footnoteReference w:customMarkFollows="1" w:id="22"/>
        <w:t>2b)</w:t>
      </w:r>
    </w:p>
    <w:p w14:paraId="06F6E6B5" w14:textId="77777777" w:rsidR="00B84B30" w:rsidRDefault="00B84B30" w:rsidP="002B6A12">
      <w:pPr>
        <w:numPr>
          <w:ilvl w:val="0"/>
          <w:numId w:val="27"/>
        </w:numPr>
        <w:tabs>
          <w:tab w:val="left" w:pos="426"/>
          <w:tab w:val="left" w:pos="851"/>
          <w:tab w:val="left" w:pos="3828"/>
        </w:tabs>
        <w:spacing w:before="0"/>
        <w:ind w:left="426" w:hanging="426"/>
        <w:outlineLvl w:val="6"/>
      </w:pPr>
      <w:r>
        <w:t>e)</w:t>
      </w:r>
      <w:r>
        <w:tab/>
      </w:r>
      <w:r w:rsidRPr="00CA2AEE">
        <w:t>prová</w:t>
      </w:r>
      <w:r>
        <w:t>dění archeologických výzkumů.</w:t>
      </w:r>
      <w:r w:rsidRPr="007504DC">
        <w:rPr>
          <w:vertAlign w:val="superscript"/>
        </w:rPr>
        <w:footnoteReference w:customMarkFollows="1" w:id="23"/>
        <w:t>2c)</w:t>
      </w:r>
    </w:p>
    <w:p w14:paraId="48FD4F2C" w14:textId="77777777" w:rsidR="00B84B30" w:rsidRDefault="00B84B30" w:rsidP="00DA5B55">
      <w:pPr>
        <w:numPr>
          <w:ilvl w:val="0"/>
          <w:numId w:val="27"/>
        </w:numPr>
        <w:tabs>
          <w:tab w:val="left" w:pos="426"/>
          <w:tab w:val="left" w:pos="851"/>
          <w:tab w:val="left" w:pos="3828"/>
        </w:tabs>
        <w:spacing w:after="120"/>
        <w:ind w:firstLine="425"/>
        <w:outlineLvl w:val="6"/>
      </w:pPr>
      <w:r>
        <w:t xml:space="preserve">(2) </w:t>
      </w:r>
      <w:r w:rsidRPr="00CA2AEE">
        <w:t>Živností dále není v rozsahu zvláštních zákonů činnost fyzických osob:</w:t>
      </w:r>
    </w:p>
    <w:p w14:paraId="38D32546" w14:textId="77777777" w:rsidR="00B84B30" w:rsidRDefault="00B84B30" w:rsidP="002B6A12">
      <w:pPr>
        <w:numPr>
          <w:ilvl w:val="0"/>
          <w:numId w:val="27"/>
        </w:numPr>
        <w:tabs>
          <w:tab w:val="left" w:pos="426"/>
          <w:tab w:val="left" w:pos="851"/>
          <w:tab w:val="left" w:pos="3828"/>
        </w:tabs>
        <w:spacing w:before="0"/>
        <w:ind w:left="426" w:hanging="426"/>
        <w:outlineLvl w:val="6"/>
      </w:pPr>
      <w:r>
        <w:t>a)</w:t>
      </w:r>
      <w:r>
        <w:tab/>
      </w:r>
      <w:r w:rsidRPr="00CA2AEE">
        <w:t>lékařů, zubních lékařů a farmaceutů</w:t>
      </w:r>
      <w:r w:rsidRPr="007504DC">
        <w:rPr>
          <w:vertAlign w:val="superscript"/>
        </w:rPr>
        <w:footnoteReference w:customMarkFollows="1" w:id="24"/>
        <w:t>2d)</w:t>
      </w:r>
      <w:r w:rsidRPr="00CA2AEE">
        <w:t>, nelékařských zdravotnických pracovníků</w:t>
      </w:r>
      <w:r w:rsidRPr="007504DC">
        <w:rPr>
          <w:vertAlign w:val="superscript"/>
        </w:rPr>
        <w:footnoteReference w:customMarkFollows="1" w:id="25"/>
        <w:t>2e)</w:t>
      </w:r>
      <w:r w:rsidRPr="00CA2AEE">
        <w:t xml:space="preserve"> při poskytování zdravotních služeb a přírodních léčitelů,</w:t>
      </w:r>
    </w:p>
    <w:p w14:paraId="1749C38D" w14:textId="77777777" w:rsidR="00B84B30" w:rsidRPr="00CA2AEE" w:rsidRDefault="00B84B30" w:rsidP="002B6A12">
      <w:pPr>
        <w:numPr>
          <w:ilvl w:val="0"/>
          <w:numId w:val="27"/>
        </w:numPr>
        <w:tabs>
          <w:tab w:val="left" w:pos="426"/>
          <w:tab w:val="left" w:pos="851"/>
          <w:tab w:val="left" w:pos="3828"/>
        </w:tabs>
        <w:spacing w:before="0"/>
        <w:ind w:left="426" w:hanging="426"/>
        <w:outlineLvl w:val="6"/>
      </w:pPr>
      <w:r>
        <w:t>b)</w:t>
      </w:r>
      <w:r>
        <w:tab/>
      </w:r>
      <w:r w:rsidRPr="00CA2AEE">
        <w:t>veterinárních lékařů, dalších veterinárních pracovníků včetně pracovníků veterinární asanace a osob vykonávajících odborné práce při šlechtitelské a plemenářské činnosti</w:t>
      </w:r>
      <w:r>
        <w:t xml:space="preserve"> v chovu hospodářských zvířat, </w:t>
      </w:r>
      <w:r w:rsidRPr="007504DC">
        <w:rPr>
          <w:vertAlign w:val="superscript"/>
        </w:rPr>
        <w:footnoteReference w:customMarkFollows="1" w:id="26"/>
        <w:t>3)</w:t>
      </w:r>
    </w:p>
    <w:p w14:paraId="03DFB8E4" w14:textId="77777777" w:rsidR="00B84B30" w:rsidRDefault="00B84B30" w:rsidP="002B6A12">
      <w:pPr>
        <w:numPr>
          <w:ilvl w:val="0"/>
          <w:numId w:val="27"/>
        </w:numPr>
        <w:tabs>
          <w:tab w:val="left" w:pos="426"/>
          <w:tab w:val="left" w:pos="851"/>
          <w:tab w:val="left" w:pos="3828"/>
        </w:tabs>
        <w:spacing w:before="0"/>
        <w:ind w:left="426" w:hanging="426"/>
        <w:outlineLvl w:val="6"/>
      </w:pPr>
      <w:r>
        <w:t>c)</w:t>
      </w:r>
      <w:r>
        <w:tab/>
      </w:r>
      <w:proofErr w:type="gramStart"/>
      <w:r>
        <w:t>advokátů,</w:t>
      </w:r>
      <w:r w:rsidRPr="007504DC">
        <w:rPr>
          <w:vertAlign w:val="superscript"/>
        </w:rPr>
        <w:footnoteReference w:customMarkFollows="1" w:id="27"/>
        <w:t>4)</w:t>
      </w:r>
      <w:r>
        <w:t xml:space="preserve"> notářů</w:t>
      </w:r>
      <w:r w:rsidRPr="007504DC">
        <w:rPr>
          <w:vertAlign w:val="superscript"/>
        </w:rPr>
        <w:footnoteReference w:customMarkFollows="1" w:id="28"/>
        <w:t>5a</w:t>
      </w:r>
      <w:proofErr w:type="gramEnd"/>
      <w:r w:rsidRPr="007504DC">
        <w:rPr>
          <w:vertAlign w:val="superscript"/>
        </w:rPr>
        <w:t>)</w:t>
      </w:r>
      <w:r>
        <w:t xml:space="preserve"> a patentových zástupců</w:t>
      </w:r>
      <w:r w:rsidRPr="007504DC">
        <w:rPr>
          <w:vertAlign w:val="superscript"/>
        </w:rPr>
        <w:footnoteReference w:customMarkFollows="1" w:id="29"/>
        <w:t>6)</w:t>
      </w:r>
      <w:r>
        <w:t xml:space="preserve"> a soudních exekutorů,</w:t>
      </w:r>
      <w:r w:rsidRPr="00251BD1">
        <w:rPr>
          <w:vertAlign w:val="superscript"/>
        </w:rPr>
        <w:footnoteReference w:customMarkFollows="1" w:id="30"/>
        <w:t>6a)</w:t>
      </w:r>
    </w:p>
    <w:p w14:paraId="38C4ACF0" w14:textId="77777777" w:rsidR="00B84B30" w:rsidRDefault="00B84B30" w:rsidP="002B6A12">
      <w:pPr>
        <w:numPr>
          <w:ilvl w:val="0"/>
          <w:numId w:val="27"/>
        </w:numPr>
        <w:tabs>
          <w:tab w:val="left" w:pos="426"/>
          <w:tab w:val="left" w:pos="851"/>
          <w:tab w:val="left" w:pos="3828"/>
        </w:tabs>
        <w:spacing w:before="0"/>
        <w:ind w:left="426" w:hanging="426"/>
        <w:outlineLvl w:val="6"/>
      </w:pPr>
      <w:r>
        <w:lastRenderedPageBreak/>
        <w:t>d)</w:t>
      </w:r>
      <w:r>
        <w:tab/>
      </w:r>
      <w:r w:rsidRPr="00A7264B">
        <w:t>soudních tlum</w:t>
      </w:r>
      <w:r>
        <w:t>očníků a soudních překladatelů</w:t>
      </w:r>
      <w:r w:rsidRPr="007504DC">
        <w:rPr>
          <w:vertAlign w:val="superscript"/>
        </w:rPr>
        <w:footnoteReference w:customMarkFollows="1" w:id="31"/>
        <w:t>7)</w:t>
      </w:r>
      <w:r w:rsidRPr="00A7264B">
        <w:t>,</w:t>
      </w:r>
    </w:p>
    <w:p w14:paraId="6C2B502C" w14:textId="019D22AD" w:rsidR="00B84B30" w:rsidRDefault="00B84B30" w:rsidP="002B6A12">
      <w:pPr>
        <w:numPr>
          <w:ilvl w:val="0"/>
          <w:numId w:val="27"/>
        </w:numPr>
        <w:tabs>
          <w:tab w:val="left" w:pos="426"/>
          <w:tab w:val="left" w:pos="851"/>
          <w:tab w:val="left" w:pos="3828"/>
        </w:tabs>
        <w:spacing w:before="0"/>
        <w:ind w:left="426" w:hanging="426"/>
        <w:outlineLvl w:val="6"/>
      </w:pPr>
      <w:r w:rsidRPr="003F6159">
        <w:t>e)</w:t>
      </w:r>
      <w:r w:rsidRPr="003F6159">
        <w:tab/>
      </w:r>
      <w:r w:rsidR="007F7397" w:rsidRPr="007F7397">
        <w:rPr>
          <w:b/>
        </w:rPr>
        <w:t>statutárních</w:t>
      </w:r>
      <w:r w:rsidR="007F7397">
        <w:t xml:space="preserve"> </w:t>
      </w:r>
      <w:r>
        <w:t>auditorů</w:t>
      </w:r>
      <w:r w:rsidRPr="007504DC">
        <w:rPr>
          <w:vertAlign w:val="superscript"/>
        </w:rPr>
        <w:footnoteReference w:customMarkFollows="1" w:id="32"/>
        <w:t>8)</w:t>
      </w:r>
      <w:r w:rsidRPr="00B84B30">
        <w:t xml:space="preserve"> </w:t>
      </w:r>
      <w:r>
        <w:t>a daňových poradců,</w:t>
      </w:r>
      <w:r w:rsidRPr="007504DC">
        <w:rPr>
          <w:vertAlign w:val="superscript"/>
        </w:rPr>
        <w:footnoteReference w:customMarkFollows="1" w:id="33"/>
        <w:t>8a)</w:t>
      </w:r>
    </w:p>
    <w:p w14:paraId="54AF91C8" w14:textId="77777777" w:rsidR="00B84B30" w:rsidRDefault="00B84B30" w:rsidP="002B6A12">
      <w:pPr>
        <w:numPr>
          <w:ilvl w:val="0"/>
          <w:numId w:val="27"/>
        </w:numPr>
        <w:tabs>
          <w:tab w:val="left" w:pos="426"/>
          <w:tab w:val="left" w:pos="851"/>
          <w:tab w:val="left" w:pos="3828"/>
        </w:tabs>
        <w:spacing w:before="0"/>
        <w:ind w:left="426" w:hanging="426"/>
        <w:outlineLvl w:val="6"/>
      </w:pPr>
      <w:r>
        <w:t>f)</w:t>
      </w:r>
      <w:r>
        <w:tab/>
        <w:t>burzovních dohodců</w:t>
      </w:r>
      <w:r w:rsidRPr="007504DC">
        <w:rPr>
          <w:vertAlign w:val="superscript"/>
        </w:rPr>
        <w:footnoteReference w:customMarkFollows="1" w:id="34"/>
        <w:t>8b)</w:t>
      </w:r>
      <w:r w:rsidRPr="00A7264B">
        <w:t>,</w:t>
      </w:r>
    </w:p>
    <w:p w14:paraId="6E7891C6" w14:textId="77777777" w:rsidR="00B84B30" w:rsidRDefault="00B84B30" w:rsidP="002B6A12">
      <w:pPr>
        <w:numPr>
          <w:ilvl w:val="0"/>
          <w:numId w:val="27"/>
        </w:numPr>
        <w:tabs>
          <w:tab w:val="left" w:pos="426"/>
          <w:tab w:val="left" w:pos="851"/>
          <w:tab w:val="left" w:pos="3828"/>
        </w:tabs>
        <w:spacing w:before="0"/>
        <w:ind w:left="426" w:hanging="426"/>
        <w:outlineLvl w:val="6"/>
      </w:pPr>
      <w:r>
        <w:t>g)</w:t>
      </w:r>
      <w:r>
        <w:tab/>
      </w:r>
      <w:r w:rsidRPr="00A7264B">
        <w:t>zprostředkovatelů a rozhodců</w:t>
      </w:r>
      <w:r>
        <w:t xml:space="preserve"> při řešení kolektivních sporů</w:t>
      </w:r>
      <w:r w:rsidRPr="007504DC">
        <w:rPr>
          <w:vertAlign w:val="superscript"/>
        </w:rPr>
        <w:footnoteReference w:customMarkFollows="1" w:id="35"/>
        <w:t>9)</w:t>
      </w:r>
      <w:r w:rsidRPr="00A7264B">
        <w:t xml:space="preserve"> a rozhodců při rozhodování majetkových sporů,</w:t>
      </w:r>
      <w:r w:rsidRPr="007504DC">
        <w:rPr>
          <w:vertAlign w:val="superscript"/>
        </w:rPr>
        <w:footnoteReference w:customMarkFollows="1" w:id="36"/>
        <w:t>9a)</w:t>
      </w:r>
    </w:p>
    <w:p w14:paraId="227D5D41" w14:textId="77777777" w:rsidR="00B84B30" w:rsidRDefault="00B84B30" w:rsidP="002B6A12">
      <w:pPr>
        <w:numPr>
          <w:ilvl w:val="0"/>
          <w:numId w:val="27"/>
        </w:numPr>
        <w:tabs>
          <w:tab w:val="left" w:pos="426"/>
          <w:tab w:val="left" w:pos="851"/>
          <w:tab w:val="left" w:pos="3828"/>
        </w:tabs>
        <w:spacing w:before="0"/>
        <w:ind w:left="426" w:hanging="426"/>
        <w:outlineLvl w:val="6"/>
      </w:pPr>
      <w:r>
        <w:t>h)</w:t>
      </w:r>
      <w:r>
        <w:tab/>
      </w:r>
      <w:r w:rsidRPr="00A7264B">
        <w:t>úředně oprávn</w:t>
      </w:r>
      <w:r>
        <w:t xml:space="preserve">ěných zeměměřických </w:t>
      </w:r>
      <w:proofErr w:type="gramStart"/>
      <w:r>
        <w:t>inženýrů,</w:t>
      </w:r>
      <w:r w:rsidRPr="007504DC">
        <w:rPr>
          <w:vertAlign w:val="superscript"/>
        </w:rPr>
        <w:footnoteReference w:customMarkFollows="1" w:id="37"/>
        <w:t>10</w:t>
      </w:r>
      <w:proofErr w:type="gramEnd"/>
      <w:r w:rsidRPr="007504DC">
        <w:rPr>
          <w:vertAlign w:val="superscript"/>
        </w:rPr>
        <w:t>)</w:t>
      </w:r>
    </w:p>
    <w:p w14:paraId="3E6F5810" w14:textId="77777777" w:rsidR="00B84B30" w:rsidRDefault="00B84B30" w:rsidP="002B6A12">
      <w:pPr>
        <w:numPr>
          <w:ilvl w:val="0"/>
          <w:numId w:val="27"/>
        </w:numPr>
        <w:tabs>
          <w:tab w:val="left" w:pos="426"/>
          <w:tab w:val="left" w:pos="851"/>
          <w:tab w:val="left" w:pos="3828"/>
        </w:tabs>
        <w:spacing w:before="0"/>
        <w:ind w:left="426" w:hanging="426"/>
        <w:outlineLvl w:val="6"/>
      </w:pPr>
      <w:r>
        <w:t>i)</w:t>
      </w:r>
      <w:r>
        <w:tab/>
      </w:r>
      <w:r w:rsidRPr="00A7264B">
        <w:t xml:space="preserve">autorizovaných architektů a autorizovaných inženýrů činných ve výstavbě, kteří vykonávají svoji činnost jako svobodní </w:t>
      </w:r>
      <w:r>
        <w:t>architekti a svobodní inženýři,</w:t>
      </w:r>
      <w:r w:rsidRPr="007504DC">
        <w:rPr>
          <w:vertAlign w:val="superscript"/>
        </w:rPr>
        <w:footnoteReference w:customMarkFollows="1" w:id="38"/>
        <w:t>10a)</w:t>
      </w:r>
    </w:p>
    <w:p w14:paraId="5092224C" w14:textId="77777777" w:rsidR="00B84B30" w:rsidRDefault="00B84B30" w:rsidP="002B6A12">
      <w:pPr>
        <w:numPr>
          <w:ilvl w:val="0"/>
          <w:numId w:val="27"/>
        </w:numPr>
        <w:tabs>
          <w:tab w:val="left" w:pos="426"/>
          <w:tab w:val="left" w:pos="851"/>
          <w:tab w:val="left" w:pos="3828"/>
        </w:tabs>
        <w:spacing w:before="0"/>
        <w:ind w:left="426" w:hanging="426"/>
        <w:outlineLvl w:val="6"/>
      </w:pPr>
      <w:r>
        <w:t>j)</w:t>
      </w:r>
      <w:r>
        <w:tab/>
      </w:r>
      <w:r w:rsidRPr="00A7264B">
        <w:t>autorizovaných inspektorů, kteří vykonávají svoji či</w:t>
      </w:r>
      <w:r>
        <w:t>nnost jako svobodné povolání</w:t>
      </w:r>
      <w:r w:rsidRPr="007504DC">
        <w:rPr>
          <w:vertAlign w:val="superscript"/>
        </w:rPr>
        <w:footnoteReference w:customMarkFollows="1" w:id="39"/>
        <w:t>10b)</w:t>
      </w:r>
      <w:r w:rsidRPr="00A7264B">
        <w:t>,</w:t>
      </w:r>
    </w:p>
    <w:p w14:paraId="113A9833" w14:textId="77777777" w:rsidR="00B84B30" w:rsidRDefault="00B84B30" w:rsidP="002B6A12">
      <w:pPr>
        <w:numPr>
          <w:ilvl w:val="0"/>
          <w:numId w:val="27"/>
        </w:numPr>
        <w:tabs>
          <w:tab w:val="left" w:pos="426"/>
          <w:tab w:val="left" w:pos="851"/>
          <w:tab w:val="left" w:pos="3828"/>
        </w:tabs>
        <w:spacing w:before="0"/>
        <w:ind w:left="426" w:hanging="426"/>
        <w:outlineLvl w:val="6"/>
      </w:pPr>
      <w:r>
        <w:t>k)</w:t>
      </w:r>
      <w:r>
        <w:tab/>
      </w:r>
      <w:r w:rsidRPr="00A7264B">
        <w:t>auditorů bez</w:t>
      </w:r>
      <w:r>
        <w:t>pečnosti pozemních komunikací</w:t>
      </w:r>
      <w:r w:rsidRPr="007504DC">
        <w:rPr>
          <w:vertAlign w:val="superscript"/>
        </w:rPr>
        <w:footnoteReference w:customMarkFollows="1" w:id="40"/>
        <w:t>52)</w:t>
      </w:r>
      <w:r w:rsidRPr="00A7264B">
        <w:t>,</w:t>
      </w:r>
    </w:p>
    <w:p w14:paraId="0FEDA729" w14:textId="77777777" w:rsidR="00B84B30" w:rsidRDefault="00B84B30" w:rsidP="002B6A12">
      <w:pPr>
        <w:numPr>
          <w:ilvl w:val="0"/>
          <w:numId w:val="27"/>
        </w:numPr>
        <w:tabs>
          <w:tab w:val="left" w:pos="426"/>
          <w:tab w:val="left" w:pos="851"/>
          <w:tab w:val="left" w:pos="3828"/>
        </w:tabs>
        <w:spacing w:before="0"/>
        <w:ind w:left="426" w:hanging="426"/>
        <w:outlineLvl w:val="6"/>
      </w:pPr>
      <w:r>
        <w:t>l)</w:t>
      </w:r>
      <w:r>
        <w:tab/>
      </w:r>
      <w:r w:rsidRPr="00591391">
        <w:t>zapsaných mediátorů podle zákona o mediaci.</w:t>
      </w:r>
    </w:p>
    <w:p w14:paraId="2B328013" w14:textId="77777777" w:rsidR="00B84B30" w:rsidRDefault="00B84B30" w:rsidP="00DA5B55">
      <w:pPr>
        <w:numPr>
          <w:ilvl w:val="0"/>
          <w:numId w:val="27"/>
        </w:numPr>
        <w:tabs>
          <w:tab w:val="left" w:pos="782"/>
          <w:tab w:val="left" w:pos="851"/>
          <w:tab w:val="left" w:pos="3828"/>
        </w:tabs>
        <w:spacing w:after="120"/>
        <w:ind w:firstLine="425"/>
        <w:outlineLvl w:val="6"/>
      </w:pPr>
      <w:r>
        <w:t xml:space="preserve">(3) </w:t>
      </w:r>
      <w:r w:rsidRPr="00591391">
        <w:t>Živností dále není:</w:t>
      </w:r>
    </w:p>
    <w:p w14:paraId="4B682AE0" w14:textId="015F5F12" w:rsidR="00B84B30" w:rsidRDefault="00B84B30" w:rsidP="002B6A12">
      <w:pPr>
        <w:numPr>
          <w:ilvl w:val="0"/>
          <w:numId w:val="27"/>
        </w:numPr>
        <w:tabs>
          <w:tab w:val="left" w:pos="426"/>
          <w:tab w:val="left" w:pos="851"/>
          <w:tab w:val="left" w:pos="3828"/>
        </w:tabs>
        <w:spacing w:before="0"/>
        <w:ind w:left="426" w:hanging="426"/>
        <w:outlineLvl w:val="6"/>
      </w:pPr>
      <w:r>
        <w:t>a)</w:t>
      </w:r>
      <w:r>
        <w:tab/>
        <w:t>činnost bank</w:t>
      </w:r>
      <w:r w:rsidRPr="007504DC">
        <w:rPr>
          <w:vertAlign w:val="superscript"/>
        </w:rPr>
        <w:footnoteReference w:customMarkFollows="1" w:id="41"/>
        <w:t>11)</w:t>
      </w:r>
      <w:r w:rsidRPr="00591391">
        <w:t>, p</w:t>
      </w:r>
      <w:r>
        <w:t>oskytování platebních služeb</w:t>
      </w:r>
      <w:r w:rsidRPr="007504DC">
        <w:rPr>
          <w:vertAlign w:val="superscript"/>
        </w:rPr>
        <w:footnoteReference w:customMarkFollows="1" w:id="42"/>
        <w:t>11a)</w:t>
      </w:r>
      <w:r w:rsidRPr="00591391">
        <w:t>, vydávání elektronických peněz</w:t>
      </w:r>
      <w:r w:rsidRPr="007504DC">
        <w:rPr>
          <w:vertAlign w:val="superscript"/>
        </w:rPr>
        <w:t>11a)</w:t>
      </w:r>
      <w:r w:rsidRPr="00591391">
        <w:t>, provozování platebních systémů s neodvolatelností zúčtování</w:t>
      </w:r>
      <w:r w:rsidRPr="007504DC">
        <w:rPr>
          <w:vertAlign w:val="superscript"/>
        </w:rPr>
        <w:t>11a)</w:t>
      </w:r>
      <w:r>
        <w:t>, směnárenská činnost</w:t>
      </w:r>
      <w:r w:rsidRPr="007504DC">
        <w:rPr>
          <w:vertAlign w:val="superscript"/>
        </w:rPr>
        <w:footnoteReference w:customMarkFollows="1" w:id="43"/>
        <w:t>11d)</w:t>
      </w:r>
      <w:r>
        <w:t xml:space="preserve">, </w:t>
      </w:r>
      <w:r w:rsidR="000B6E91">
        <w:t xml:space="preserve">poskytovatelů služby dynamické směny měn, </w:t>
      </w:r>
      <w:r>
        <w:t>činnost pojišťoven</w:t>
      </w:r>
      <w:r w:rsidRPr="007504DC">
        <w:rPr>
          <w:vertAlign w:val="superscript"/>
        </w:rPr>
        <w:footnoteReference w:customMarkFollows="1" w:id="44"/>
        <w:t>12)</w:t>
      </w:r>
      <w:r w:rsidRPr="00591391">
        <w:t>, zajišťoven, pojišťovacích zprostředkovatelů nebo akreditovaných osob podle zákona upravujícího distribuci pojištění a</w:t>
      </w:r>
      <w:r>
        <w:t xml:space="preserve"> zajištění, penzijních fondů</w:t>
      </w:r>
      <w:r w:rsidRPr="007504DC">
        <w:rPr>
          <w:vertAlign w:val="superscript"/>
        </w:rPr>
        <w:footnoteReference w:customMarkFollows="1" w:id="45"/>
        <w:t>12a)</w:t>
      </w:r>
      <w:r>
        <w:t>, penzijních společností</w:t>
      </w:r>
      <w:r w:rsidRPr="00B84B30">
        <w:footnoteReference w:customMarkFollows="1" w:id="46"/>
        <w:t>55)</w:t>
      </w:r>
      <w:r w:rsidRPr="00591391">
        <w:t>, spoř</w:t>
      </w:r>
      <w:r>
        <w:t>itelních a úvěrních družstev</w:t>
      </w:r>
      <w:r w:rsidRPr="007504DC">
        <w:rPr>
          <w:vertAlign w:val="superscript"/>
        </w:rPr>
        <w:footnoteReference w:customMarkFollows="1" w:id="47"/>
        <w:t>12b)</w:t>
      </w:r>
      <w:r>
        <w:t>, komoditních burz</w:t>
      </w:r>
      <w:r w:rsidRPr="007504DC">
        <w:rPr>
          <w:vertAlign w:val="superscript"/>
        </w:rPr>
        <w:footnoteReference w:customMarkFollows="1" w:id="48"/>
        <w:t>8b)</w:t>
      </w:r>
      <w:r w:rsidRPr="00591391">
        <w:t>, or</w:t>
      </w:r>
      <w:r>
        <w:t>ganizátorů regulovaných trhů</w:t>
      </w:r>
      <w:r w:rsidRPr="009A3DE0">
        <w:rPr>
          <w:vertAlign w:val="superscript"/>
        </w:rPr>
        <w:footnoteReference w:customMarkFollows="1" w:id="49"/>
        <w:t>13b)</w:t>
      </w:r>
      <w:r w:rsidRPr="00591391">
        <w:t>, obchodníků s cennými papíry</w:t>
      </w:r>
      <w:r w:rsidRPr="009A3DE0">
        <w:rPr>
          <w:vertAlign w:val="superscript"/>
        </w:rPr>
        <w:t>13b)</w:t>
      </w:r>
      <w:r w:rsidRPr="00591391">
        <w:t xml:space="preserve"> a jejich vázaných zástupců</w:t>
      </w:r>
      <w:r w:rsidRPr="009A3DE0">
        <w:rPr>
          <w:vertAlign w:val="superscript"/>
        </w:rPr>
        <w:t>13b)</w:t>
      </w:r>
      <w:r w:rsidRPr="00591391">
        <w:t xml:space="preserve"> a činnost osob zabývajících se obhospodařováním nebo administrací investičního fondu anebo zahraničního investičního fondu a činnosti osob provádějících vypořádání obchodů s cennými papíry</w:t>
      </w:r>
      <w:r w:rsidRPr="009A3DE0">
        <w:rPr>
          <w:vertAlign w:val="superscript"/>
        </w:rPr>
        <w:footnoteReference w:customMarkFollows="1" w:id="50"/>
        <w:t>13a)</w:t>
      </w:r>
      <w:r w:rsidRPr="00591391">
        <w:t xml:space="preserve">, </w:t>
      </w:r>
      <w:r w:rsidRPr="00591391">
        <w:lastRenderedPageBreak/>
        <w:t>činnosti osob provádějících přijímání a předávání pokynů nebo investičního poradenství týkající se investičních nástrojů za podmínek stanovených zvláštním zákonem</w:t>
      </w:r>
      <w:r w:rsidRPr="009A3DE0">
        <w:rPr>
          <w:vertAlign w:val="superscript"/>
        </w:rPr>
        <w:t>13b)</w:t>
      </w:r>
      <w:r w:rsidRPr="00591391">
        <w:t xml:space="preserve"> a jejich vázaných zástupců</w:t>
      </w:r>
      <w:r w:rsidRPr="009A3DE0">
        <w:rPr>
          <w:vertAlign w:val="superscript"/>
        </w:rPr>
        <w:t>13b)</w:t>
      </w:r>
      <w:r w:rsidRPr="00591391">
        <w:t>, činnost ratingových agentur</w:t>
      </w:r>
      <w:r w:rsidRPr="009A3DE0">
        <w:rPr>
          <w:vertAlign w:val="superscript"/>
        </w:rPr>
        <w:footnoteReference w:customMarkFollows="1" w:id="51"/>
        <w:t>13c)</w:t>
      </w:r>
      <w:r w:rsidRPr="00591391">
        <w:t>, činnost poskytovatelů služeb hlášení údajů, činnost akreditovaných osob podle zákona upravujícího podnikání na kapitálovém trhu, poskytování a zprostředkování spotřebitelského úvěru a činnost akreditovaných osob podle zákona upravujícího spotřebitelský úvěr,</w:t>
      </w:r>
    </w:p>
    <w:p w14:paraId="7641A246" w14:textId="77777777" w:rsidR="00B84B30" w:rsidRDefault="00B84B30" w:rsidP="002B6A12">
      <w:pPr>
        <w:numPr>
          <w:ilvl w:val="0"/>
          <w:numId w:val="27"/>
        </w:numPr>
        <w:tabs>
          <w:tab w:val="left" w:pos="426"/>
          <w:tab w:val="left" w:pos="851"/>
          <w:tab w:val="left" w:pos="3828"/>
        </w:tabs>
        <w:spacing w:before="0"/>
        <w:ind w:left="426" w:hanging="426"/>
        <w:outlineLvl w:val="6"/>
      </w:pPr>
      <w:r>
        <w:t>b)</w:t>
      </w:r>
      <w:r>
        <w:tab/>
      </w:r>
      <w:r w:rsidRPr="003F633F">
        <w:t>provozování hazardních her,</w:t>
      </w:r>
    </w:p>
    <w:p w14:paraId="4EFB3B89" w14:textId="77777777" w:rsidR="00B84B30" w:rsidRDefault="00B84B30" w:rsidP="002B6A12">
      <w:pPr>
        <w:numPr>
          <w:ilvl w:val="0"/>
          <w:numId w:val="27"/>
        </w:numPr>
        <w:tabs>
          <w:tab w:val="left" w:pos="426"/>
          <w:tab w:val="left" w:pos="851"/>
          <w:tab w:val="left" w:pos="3828"/>
        </w:tabs>
        <w:spacing w:before="0"/>
        <w:ind w:left="426" w:hanging="426"/>
        <w:outlineLvl w:val="6"/>
      </w:pPr>
      <w:r>
        <w:t>c)</w:t>
      </w:r>
      <w:r>
        <w:tab/>
      </w:r>
      <w:r w:rsidRPr="009F7ADB">
        <w:t xml:space="preserve">hornická činnost a činnost prováděná hornickým </w:t>
      </w:r>
      <w:proofErr w:type="gramStart"/>
      <w:r w:rsidRPr="009F7ADB">
        <w:t>způsobem,</w:t>
      </w:r>
      <w:r w:rsidRPr="009A3DE0">
        <w:rPr>
          <w:vertAlign w:val="superscript"/>
        </w:rPr>
        <w:footnoteReference w:customMarkFollows="1" w:id="52"/>
        <w:t>15</w:t>
      </w:r>
      <w:proofErr w:type="gramEnd"/>
      <w:r w:rsidRPr="009A3DE0">
        <w:rPr>
          <w:vertAlign w:val="superscript"/>
        </w:rPr>
        <w:t>)</w:t>
      </w:r>
    </w:p>
    <w:p w14:paraId="1727C406" w14:textId="77777777" w:rsidR="00B84B30" w:rsidRDefault="00B84B30" w:rsidP="002B6A12">
      <w:pPr>
        <w:numPr>
          <w:ilvl w:val="0"/>
          <w:numId w:val="27"/>
        </w:numPr>
        <w:tabs>
          <w:tab w:val="left" w:pos="426"/>
          <w:tab w:val="left" w:pos="851"/>
          <w:tab w:val="left" w:pos="3828"/>
        </w:tabs>
        <w:spacing w:before="0"/>
        <w:ind w:left="426" w:hanging="426"/>
        <w:outlineLvl w:val="6"/>
      </w:pPr>
      <w:r>
        <w:t>d)</w:t>
      </w:r>
      <w:r>
        <w:tab/>
      </w:r>
      <w:r w:rsidRPr="009F7ADB">
        <w:t xml:space="preserve">výroba elektřiny, výroba plynu, přenos elektřiny, přeprava plynu, distribuce elektřiny, distribuce plynu, uskladňování plynu, obchod s elektřinou, obchod s plynem, výroba tepelné energie a rozvod tepelné energie, které podléhají licenci podle zvláštního právního </w:t>
      </w:r>
      <w:proofErr w:type="gramStart"/>
      <w:r w:rsidRPr="009F7ADB">
        <w:t>předpisu,</w:t>
      </w:r>
      <w:r w:rsidRPr="009A3DE0">
        <w:rPr>
          <w:vertAlign w:val="superscript"/>
        </w:rPr>
        <w:footnoteReference w:customMarkFollows="1" w:id="53"/>
        <w:t>16</w:t>
      </w:r>
      <w:proofErr w:type="gramEnd"/>
      <w:r w:rsidRPr="009A3DE0">
        <w:rPr>
          <w:vertAlign w:val="superscript"/>
        </w:rPr>
        <w:t>)</w:t>
      </w:r>
      <w:r w:rsidRPr="009F7ADB">
        <w:t xml:space="preserve"> a zprostředkovatelská činnost v energetických odvětvích,</w:t>
      </w:r>
    </w:p>
    <w:p w14:paraId="6B97D811" w14:textId="77777777" w:rsidR="00B84B30" w:rsidRDefault="00B84B30" w:rsidP="002B6A12">
      <w:pPr>
        <w:numPr>
          <w:ilvl w:val="0"/>
          <w:numId w:val="27"/>
        </w:numPr>
        <w:tabs>
          <w:tab w:val="left" w:pos="426"/>
          <w:tab w:val="left" w:pos="851"/>
          <w:tab w:val="left" w:pos="3828"/>
        </w:tabs>
        <w:spacing w:before="0"/>
        <w:ind w:left="426" w:hanging="426"/>
        <w:outlineLvl w:val="6"/>
      </w:pPr>
      <w:r>
        <w:t>e)</w:t>
      </w:r>
      <w:r>
        <w:tab/>
      </w:r>
      <w:r w:rsidRPr="009F7ADB">
        <w:t>zemědělství, včetně prodeje nezpracovaných zemědělských výrobků za účelem zpracování nebo dalšího prodeje, nejde-li o provozování odborných činností na úseku rostlinolékařské péče,</w:t>
      </w:r>
    </w:p>
    <w:p w14:paraId="3B4905BA" w14:textId="77777777" w:rsidR="00B84B30" w:rsidRDefault="00B84B30" w:rsidP="002B6A12">
      <w:pPr>
        <w:numPr>
          <w:ilvl w:val="0"/>
          <w:numId w:val="27"/>
        </w:numPr>
        <w:tabs>
          <w:tab w:val="left" w:pos="426"/>
          <w:tab w:val="left" w:pos="851"/>
          <w:tab w:val="left" w:pos="3828"/>
        </w:tabs>
        <w:spacing w:before="0"/>
        <w:ind w:left="426" w:hanging="426"/>
        <w:outlineLvl w:val="6"/>
      </w:pPr>
      <w:r>
        <w:t>f)</w:t>
      </w:r>
      <w:r>
        <w:tab/>
        <w:t>p</w:t>
      </w:r>
      <w:r w:rsidRPr="009F7ADB">
        <w:t>rodej nezpracovaných rostlinných a živočišných výrobků z vlastní drobné pěstitelské a chovatelské činnosti fyzickými osobami,</w:t>
      </w:r>
    </w:p>
    <w:p w14:paraId="7B6D8CA7" w14:textId="77777777" w:rsidR="00B84B30" w:rsidRDefault="00B84B30" w:rsidP="002B6A12">
      <w:pPr>
        <w:numPr>
          <w:ilvl w:val="0"/>
          <w:numId w:val="27"/>
        </w:numPr>
        <w:tabs>
          <w:tab w:val="left" w:pos="426"/>
          <w:tab w:val="left" w:pos="851"/>
          <w:tab w:val="left" w:pos="3828"/>
        </w:tabs>
        <w:spacing w:before="0"/>
        <w:ind w:left="426" w:hanging="426"/>
        <w:outlineLvl w:val="6"/>
      </w:pPr>
      <w:r>
        <w:t>g)</w:t>
      </w:r>
      <w:r>
        <w:tab/>
      </w:r>
      <w:r w:rsidRPr="00073BAB">
        <w:t xml:space="preserve">námořní doprava a mořský </w:t>
      </w:r>
      <w:proofErr w:type="gramStart"/>
      <w:r w:rsidRPr="00073BAB">
        <w:t>rybolov,</w:t>
      </w:r>
      <w:r w:rsidRPr="009A3DE0">
        <w:rPr>
          <w:vertAlign w:val="superscript"/>
        </w:rPr>
        <w:footnoteReference w:customMarkFollows="1" w:id="54"/>
        <w:t>17</w:t>
      </w:r>
      <w:proofErr w:type="gramEnd"/>
      <w:r w:rsidRPr="009A3DE0">
        <w:rPr>
          <w:vertAlign w:val="superscript"/>
        </w:rPr>
        <w:t>)</w:t>
      </w:r>
    </w:p>
    <w:p w14:paraId="34B9EBF0" w14:textId="77777777" w:rsidR="00B84B30" w:rsidRDefault="00B84B30" w:rsidP="002B6A12">
      <w:pPr>
        <w:numPr>
          <w:ilvl w:val="0"/>
          <w:numId w:val="27"/>
        </w:numPr>
        <w:tabs>
          <w:tab w:val="left" w:pos="426"/>
          <w:tab w:val="left" w:pos="851"/>
          <w:tab w:val="left" w:pos="3828"/>
        </w:tabs>
        <w:spacing w:before="0"/>
        <w:ind w:left="426" w:hanging="426"/>
        <w:outlineLvl w:val="6"/>
      </w:pPr>
      <w:r>
        <w:t>h)</w:t>
      </w:r>
      <w:r>
        <w:tab/>
        <w:t>p</w:t>
      </w:r>
      <w:r w:rsidRPr="00073BAB">
        <w:t xml:space="preserve">rovozování dráhy a drážní </w:t>
      </w:r>
      <w:proofErr w:type="gramStart"/>
      <w:r w:rsidRPr="00073BAB">
        <w:t>dopravy,</w:t>
      </w:r>
      <w:r w:rsidRPr="009A3DE0">
        <w:rPr>
          <w:vertAlign w:val="superscript"/>
        </w:rPr>
        <w:footnoteReference w:customMarkFollows="1" w:id="55"/>
        <w:t>18</w:t>
      </w:r>
      <w:proofErr w:type="gramEnd"/>
      <w:r w:rsidRPr="009A3DE0">
        <w:rPr>
          <w:vertAlign w:val="superscript"/>
        </w:rPr>
        <w:t>)</w:t>
      </w:r>
    </w:p>
    <w:p w14:paraId="5B9D2709" w14:textId="77777777" w:rsidR="00B84B30" w:rsidRDefault="00B84B30" w:rsidP="002B6A12">
      <w:pPr>
        <w:numPr>
          <w:ilvl w:val="0"/>
          <w:numId w:val="27"/>
        </w:numPr>
        <w:tabs>
          <w:tab w:val="left" w:pos="426"/>
          <w:tab w:val="left" w:pos="851"/>
          <w:tab w:val="left" w:pos="3828"/>
        </w:tabs>
        <w:spacing w:before="0"/>
        <w:ind w:left="426" w:hanging="426"/>
        <w:outlineLvl w:val="6"/>
      </w:pPr>
      <w:r>
        <w:t>i)</w:t>
      </w:r>
      <w:r>
        <w:tab/>
      </w:r>
      <w:r w:rsidRPr="00073BAB">
        <w:t xml:space="preserve">vykonávání komunikační činnosti podle zvláštního právního </w:t>
      </w:r>
      <w:proofErr w:type="gramStart"/>
      <w:r w:rsidRPr="00073BAB">
        <w:t>předpisu,</w:t>
      </w:r>
      <w:r w:rsidRPr="009A3DE0">
        <w:rPr>
          <w:vertAlign w:val="superscript"/>
        </w:rPr>
        <w:footnoteReference w:customMarkFollows="1" w:id="56"/>
        <w:t>19</w:t>
      </w:r>
      <w:proofErr w:type="gramEnd"/>
      <w:r w:rsidRPr="009A3DE0">
        <w:rPr>
          <w:vertAlign w:val="superscript"/>
        </w:rPr>
        <w:t>)</w:t>
      </w:r>
    </w:p>
    <w:p w14:paraId="36EF5DBC" w14:textId="77777777" w:rsidR="00B84B30" w:rsidRDefault="00B84B30" w:rsidP="002B6A12">
      <w:pPr>
        <w:numPr>
          <w:ilvl w:val="0"/>
          <w:numId w:val="27"/>
        </w:numPr>
        <w:tabs>
          <w:tab w:val="left" w:pos="426"/>
          <w:tab w:val="left" w:pos="851"/>
          <w:tab w:val="left" w:pos="3828"/>
        </w:tabs>
        <w:spacing w:before="0"/>
        <w:ind w:left="426" w:hanging="426"/>
        <w:outlineLvl w:val="6"/>
      </w:pPr>
      <w:r>
        <w:t>j)</w:t>
      </w:r>
      <w:r>
        <w:tab/>
      </w:r>
      <w:r w:rsidRPr="006C245D">
        <w:t xml:space="preserve">výzkum, výroba a distribuce </w:t>
      </w:r>
      <w:proofErr w:type="gramStart"/>
      <w:r w:rsidRPr="006C245D">
        <w:t>léčiv,</w:t>
      </w:r>
      <w:r w:rsidRPr="009A3DE0">
        <w:rPr>
          <w:vertAlign w:val="superscript"/>
        </w:rPr>
        <w:footnoteReference w:customMarkFollows="1" w:id="57"/>
        <w:t>20</w:t>
      </w:r>
      <w:proofErr w:type="gramEnd"/>
      <w:r w:rsidRPr="009A3DE0">
        <w:rPr>
          <w:vertAlign w:val="superscript"/>
        </w:rPr>
        <w:t>)</w:t>
      </w:r>
    </w:p>
    <w:p w14:paraId="17EBCA7E" w14:textId="77777777" w:rsidR="00B84B30" w:rsidRDefault="00B84B30" w:rsidP="002B6A12">
      <w:pPr>
        <w:numPr>
          <w:ilvl w:val="0"/>
          <w:numId w:val="27"/>
        </w:numPr>
        <w:tabs>
          <w:tab w:val="left" w:pos="426"/>
          <w:tab w:val="left" w:pos="851"/>
          <w:tab w:val="left" w:pos="3828"/>
        </w:tabs>
        <w:spacing w:before="0"/>
        <w:ind w:left="426" w:hanging="426"/>
        <w:outlineLvl w:val="6"/>
      </w:pPr>
      <w:r>
        <w:t>k)</w:t>
      </w:r>
      <w:r>
        <w:tab/>
      </w:r>
      <w:r w:rsidRPr="006C245D">
        <w:t xml:space="preserve">zacházení s návykovými látkami, přípravky je obsahujícími a s některými látkami používanými k výrobě nebo zpracování návykových látek podle zvláštního </w:t>
      </w:r>
      <w:proofErr w:type="gramStart"/>
      <w:r w:rsidRPr="006C245D">
        <w:t>zákona,</w:t>
      </w:r>
      <w:r w:rsidRPr="009A3DE0">
        <w:rPr>
          <w:vertAlign w:val="superscript"/>
        </w:rPr>
        <w:footnoteReference w:customMarkFollows="1" w:id="58"/>
        <w:t>21</w:t>
      </w:r>
      <w:proofErr w:type="gramEnd"/>
      <w:r w:rsidRPr="009A3DE0">
        <w:rPr>
          <w:vertAlign w:val="superscript"/>
        </w:rPr>
        <w:t>)</w:t>
      </w:r>
    </w:p>
    <w:p w14:paraId="4BC40B68" w14:textId="77777777" w:rsidR="00B84B30" w:rsidRDefault="00B84B30" w:rsidP="002B6A12">
      <w:pPr>
        <w:numPr>
          <w:ilvl w:val="0"/>
          <w:numId w:val="27"/>
        </w:numPr>
        <w:tabs>
          <w:tab w:val="left" w:pos="426"/>
          <w:tab w:val="left" w:pos="851"/>
          <w:tab w:val="left" w:pos="3828"/>
        </w:tabs>
        <w:spacing w:before="0"/>
        <w:ind w:left="426" w:hanging="426"/>
        <w:outlineLvl w:val="6"/>
      </w:pPr>
      <w:r>
        <w:t>l)</w:t>
      </w:r>
      <w:r>
        <w:tab/>
      </w:r>
      <w:r w:rsidRPr="006C245D">
        <w:t>činnost autorizovaných nebo akreditovaných osob</w:t>
      </w:r>
      <w:r w:rsidRPr="009A3DE0">
        <w:rPr>
          <w:vertAlign w:val="superscript"/>
        </w:rPr>
        <w:footnoteReference w:customMarkFollows="1" w:id="59"/>
        <w:t>22)</w:t>
      </w:r>
      <w:r w:rsidRPr="009A3DE0">
        <w:t xml:space="preserve"> </w:t>
      </w:r>
      <w:r w:rsidRPr="006C245D">
        <w:t>a oznámených subjektů</w:t>
      </w:r>
      <w:r w:rsidRPr="009A3DE0">
        <w:rPr>
          <w:vertAlign w:val="superscript"/>
        </w:rPr>
        <w:footnoteReference w:customMarkFollows="1" w:id="60"/>
        <w:t>22c)</w:t>
      </w:r>
      <w:r w:rsidRPr="006C245D">
        <w:t xml:space="preserve"> v oblasti státního zkušebnictví,</w:t>
      </w:r>
    </w:p>
    <w:p w14:paraId="3AF66122" w14:textId="77777777" w:rsidR="00B84B30" w:rsidRDefault="00B84B30" w:rsidP="002B6A12">
      <w:pPr>
        <w:numPr>
          <w:ilvl w:val="0"/>
          <w:numId w:val="27"/>
        </w:numPr>
        <w:tabs>
          <w:tab w:val="left" w:pos="426"/>
          <w:tab w:val="left" w:pos="851"/>
          <w:tab w:val="left" w:pos="3828"/>
        </w:tabs>
        <w:spacing w:before="0"/>
        <w:ind w:left="426" w:hanging="426"/>
        <w:outlineLvl w:val="6"/>
      </w:pPr>
      <w:r>
        <w:t>m)</w:t>
      </w:r>
      <w:r>
        <w:tab/>
      </w:r>
      <w:r w:rsidRPr="006C245D">
        <w:t>zahraniční obchod s vojenským materiálem,</w:t>
      </w:r>
      <w:r w:rsidRPr="009A3DE0">
        <w:rPr>
          <w:vertAlign w:val="superscript"/>
        </w:rPr>
        <w:footnoteReference w:customMarkFollows="1" w:id="61"/>
        <w:t>22a)</w:t>
      </w:r>
    </w:p>
    <w:p w14:paraId="18F932B7" w14:textId="77777777" w:rsidR="00B84B30" w:rsidRDefault="00B84B30" w:rsidP="002B6A12">
      <w:pPr>
        <w:numPr>
          <w:ilvl w:val="0"/>
          <w:numId w:val="27"/>
        </w:numPr>
        <w:tabs>
          <w:tab w:val="left" w:pos="426"/>
          <w:tab w:val="left" w:pos="851"/>
          <w:tab w:val="left" w:pos="3828"/>
        </w:tabs>
        <w:spacing w:before="0"/>
        <w:ind w:left="426" w:hanging="426"/>
        <w:outlineLvl w:val="6"/>
      </w:pPr>
      <w:r>
        <w:t>n)</w:t>
      </w:r>
      <w:r>
        <w:tab/>
      </w:r>
      <w:r w:rsidRPr="006C245D">
        <w:t>výkon inspekce práce</w:t>
      </w:r>
      <w:r w:rsidRPr="009A3DE0">
        <w:rPr>
          <w:vertAlign w:val="superscript"/>
        </w:rPr>
        <w:footnoteReference w:customMarkFollows="1" w:id="62"/>
        <w:t>22b)</w:t>
      </w:r>
      <w:r w:rsidRPr="006C245D">
        <w:t>,</w:t>
      </w:r>
    </w:p>
    <w:p w14:paraId="2B1B5665" w14:textId="77777777" w:rsidR="00B84B30" w:rsidRDefault="00B84B30" w:rsidP="002B6A12">
      <w:pPr>
        <w:numPr>
          <w:ilvl w:val="0"/>
          <w:numId w:val="27"/>
        </w:numPr>
        <w:tabs>
          <w:tab w:val="left" w:pos="426"/>
          <w:tab w:val="left" w:pos="851"/>
          <w:tab w:val="left" w:pos="3828"/>
        </w:tabs>
        <w:spacing w:before="0"/>
        <w:ind w:left="426" w:hanging="426"/>
        <w:outlineLvl w:val="6"/>
      </w:pPr>
      <w:r>
        <w:t>o)</w:t>
      </w:r>
      <w:r>
        <w:tab/>
      </w:r>
      <w:r w:rsidRPr="00F63E2E">
        <w:t xml:space="preserve">provozování rozhlasového a televizního </w:t>
      </w:r>
      <w:proofErr w:type="gramStart"/>
      <w:r w:rsidRPr="00F63E2E">
        <w:t>vysílání,</w:t>
      </w:r>
      <w:r w:rsidRPr="009A3DE0">
        <w:rPr>
          <w:vertAlign w:val="superscript"/>
        </w:rPr>
        <w:footnoteReference w:customMarkFollows="1" w:id="63"/>
        <w:t>23</w:t>
      </w:r>
      <w:proofErr w:type="gramEnd"/>
      <w:r w:rsidRPr="009A3DE0">
        <w:rPr>
          <w:vertAlign w:val="superscript"/>
        </w:rPr>
        <w:t>)</w:t>
      </w:r>
    </w:p>
    <w:p w14:paraId="52CE3835" w14:textId="77777777" w:rsidR="00B84B30" w:rsidRDefault="00B84B30" w:rsidP="002B6A12">
      <w:pPr>
        <w:numPr>
          <w:ilvl w:val="0"/>
          <w:numId w:val="27"/>
        </w:numPr>
        <w:tabs>
          <w:tab w:val="left" w:pos="426"/>
          <w:tab w:val="left" w:pos="851"/>
          <w:tab w:val="left" w:pos="3828"/>
        </w:tabs>
        <w:spacing w:before="0"/>
        <w:ind w:left="426" w:hanging="426"/>
        <w:outlineLvl w:val="6"/>
      </w:pPr>
      <w:r>
        <w:t>p)</w:t>
      </w:r>
      <w:r>
        <w:tab/>
      </w:r>
      <w:r w:rsidRPr="00F63E2E">
        <w:t>nabízení nebo poskytování služeb směřujících bezprostředně k uspokojování sexuálních potřeb,</w:t>
      </w:r>
    </w:p>
    <w:p w14:paraId="4C4F2916" w14:textId="77777777" w:rsidR="00B84B30" w:rsidRDefault="00B84B30" w:rsidP="002B6A12">
      <w:pPr>
        <w:numPr>
          <w:ilvl w:val="0"/>
          <w:numId w:val="27"/>
        </w:numPr>
        <w:tabs>
          <w:tab w:val="left" w:pos="426"/>
          <w:tab w:val="left" w:pos="851"/>
          <w:tab w:val="left" w:pos="3828"/>
        </w:tabs>
        <w:spacing w:before="0"/>
        <w:ind w:left="426" w:hanging="426"/>
        <w:outlineLvl w:val="6"/>
      </w:pPr>
      <w:r>
        <w:lastRenderedPageBreak/>
        <w:t>r)</w:t>
      </w:r>
      <w:r>
        <w:tab/>
      </w:r>
      <w:r w:rsidRPr="00F63E2E">
        <w:t>zprostředkování zaměstnání,</w:t>
      </w:r>
      <w:r w:rsidRPr="009A3DE0">
        <w:rPr>
          <w:vertAlign w:val="superscript"/>
        </w:rPr>
        <w:footnoteReference w:customMarkFollows="1" w:id="64"/>
        <w:t>23a)</w:t>
      </w:r>
    </w:p>
    <w:p w14:paraId="13E8170C" w14:textId="77777777" w:rsidR="00B84B30" w:rsidRDefault="00B84B30" w:rsidP="002B6A12">
      <w:pPr>
        <w:numPr>
          <w:ilvl w:val="0"/>
          <w:numId w:val="27"/>
        </w:numPr>
        <w:tabs>
          <w:tab w:val="left" w:pos="426"/>
          <w:tab w:val="left" w:pos="851"/>
          <w:tab w:val="left" w:pos="3828"/>
        </w:tabs>
        <w:spacing w:before="0"/>
        <w:ind w:left="426" w:hanging="426"/>
        <w:outlineLvl w:val="6"/>
      </w:pPr>
      <w:r>
        <w:t>s)</w:t>
      </w:r>
      <w:r>
        <w:tab/>
      </w:r>
      <w:r w:rsidRPr="00F63E2E">
        <w:t>provozování stanic technické kontroly,</w:t>
      </w:r>
      <w:r w:rsidRPr="009A3DE0">
        <w:rPr>
          <w:vertAlign w:val="superscript"/>
        </w:rPr>
        <w:footnoteReference w:customMarkFollows="1" w:id="65"/>
        <w:t>23c)</w:t>
      </w:r>
    </w:p>
    <w:p w14:paraId="49C8E9F8" w14:textId="77777777" w:rsidR="00B84B30" w:rsidRDefault="00B84B30" w:rsidP="002B6A12">
      <w:pPr>
        <w:numPr>
          <w:ilvl w:val="0"/>
          <w:numId w:val="27"/>
        </w:numPr>
        <w:tabs>
          <w:tab w:val="left" w:pos="426"/>
          <w:tab w:val="left" w:pos="851"/>
          <w:tab w:val="left" w:pos="3828"/>
        </w:tabs>
        <w:spacing w:before="0"/>
        <w:ind w:left="426" w:hanging="426"/>
        <w:outlineLvl w:val="6"/>
      </w:pPr>
      <w:r>
        <w:t>t)</w:t>
      </w:r>
      <w:r>
        <w:tab/>
      </w:r>
      <w:r w:rsidRPr="00F63E2E">
        <w:t>výchova a vzdělávání ve školách, předškolních a školských zařízeních zařazených do rejstříku škol a školských zařízení, vzdělávání v bakalářských, magisterských a doktorských studijních programech a programech celoživotního vzdělávání podle zvláštního právního předpisu,</w:t>
      </w:r>
      <w:r w:rsidRPr="009A3DE0">
        <w:rPr>
          <w:vertAlign w:val="superscript"/>
        </w:rPr>
        <w:footnoteReference w:customMarkFollows="1" w:id="66"/>
        <w:t>23d)</w:t>
      </w:r>
    </w:p>
    <w:p w14:paraId="3BC4BB4A" w14:textId="77777777" w:rsidR="00B84B30" w:rsidRDefault="00B84B30" w:rsidP="002B6A12">
      <w:pPr>
        <w:numPr>
          <w:ilvl w:val="0"/>
          <w:numId w:val="27"/>
        </w:numPr>
        <w:tabs>
          <w:tab w:val="left" w:pos="426"/>
          <w:tab w:val="left" w:pos="851"/>
          <w:tab w:val="left" w:pos="3828"/>
        </w:tabs>
        <w:spacing w:before="0"/>
        <w:ind w:left="426" w:hanging="426"/>
        <w:outlineLvl w:val="6"/>
      </w:pPr>
      <w:r>
        <w:t>u)</w:t>
      </w:r>
      <w:r>
        <w:tab/>
        <w:t>n</w:t>
      </w:r>
      <w:r w:rsidRPr="00F63E2E">
        <w:t>akládání s látkami zařazenými do seznamu 1 v příloze Úmluvy o zákazu vývoje, výroby, hromadění zásob a použití chemických zbraní a o jejich zničení,</w:t>
      </w:r>
      <w:r w:rsidRPr="009A3DE0">
        <w:rPr>
          <w:vertAlign w:val="superscript"/>
        </w:rPr>
        <w:footnoteReference w:customMarkFollows="1" w:id="67"/>
        <w:t>23e)</w:t>
      </w:r>
    </w:p>
    <w:p w14:paraId="0551EAD1" w14:textId="31107412" w:rsidR="00B84B30" w:rsidRDefault="00B84B30" w:rsidP="002B6A12">
      <w:pPr>
        <w:numPr>
          <w:ilvl w:val="0"/>
          <w:numId w:val="27"/>
        </w:numPr>
        <w:tabs>
          <w:tab w:val="left" w:pos="426"/>
          <w:tab w:val="left" w:pos="851"/>
          <w:tab w:val="left" w:pos="3828"/>
        </w:tabs>
        <w:spacing w:before="0"/>
        <w:ind w:left="426" w:hanging="426"/>
        <w:outlineLvl w:val="6"/>
      </w:pPr>
      <w:r>
        <w:t>v)</w:t>
      </w:r>
      <w:r>
        <w:tab/>
      </w:r>
      <w:r w:rsidRPr="00F63E2E">
        <w:t>provozování letišť, provozování obchodní letecké dopravy a leteckých prací, poskytování leteckých služeb, činnost výkonných letců a uskutečňování odborné přípravy v oblasti ochrany civilního letectví před protiprávními činy</w:t>
      </w:r>
      <w:r w:rsidR="00763AA8">
        <w:t xml:space="preserve"> a provozování bezpilotního systému držitelem oprávnění k provozu bezpilotních systémů nebo lehkých bezpilotních systémů ve specifické kategorii provozu</w:t>
      </w:r>
      <w:r w:rsidRPr="009A3DE0">
        <w:rPr>
          <w:vertAlign w:val="superscript"/>
        </w:rPr>
        <w:footnoteReference w:customMarkFollows="1" w:id="68"/>
        <w:t>23f)</w:t>
      </w:r>
      <w:r w:rsidRPr="00F63E2E">
        <w:t>,</w:t>
      </w:r>
    </w:p>
    <w:p w14:paraId="32A9FABD" w14:textId="77777777" w:rsidR="00B84B30" w:rsidRDefault="00B84B30" w:rsidP="002B6A12">
      <w:pPr>
        <w:numPr>
          <w:ilvl w:val="0"/>
          <w:numId w:val="27"/>
        </w:numPr>
        <w:tabs>
          <w:tab w:val="left" w:pos="426"/>
          <w:tab w:val="left" w:pos="851"/>
          <w:tab w:val="left" w:pos="3828"/>
        </w:tabs>
        <w:spacing w:before="0"/>
        <w:ind w:left="426" w:hanging="426"/>
        <w:outlineLvl w:val="6"/>
      </w:pPr>
      <w:r>
        <w:t>x)</w:t>
      </w:r>
      <w:r>
        <w:tab/>
      </w:r>
      <w:r w:rsidRPr="00F63E2E">
        <w:t>činnost organizací zřízených podle zvláštních právních předpisů</w:t>
      </w:r>
      <w:r w:rsidRPr="009A3DE0">
        <w:rPr>
          <w:vertAlign w:val="superscript"/>
        </w:rPr>
        <w:footnoteReference w:customMarkFollows="1" w:id="69"/>
        <w:t>23h)</w:t>
      </w:r>
      <w:r w:rsidRPr="00F63E2E">
        <w:t xml:space="preserve"> vykonávaná v souladu s účelem, pro který byly zřízeny,</w:t>
      </w:r>
    </w:p>
    <w:p w14:paraId="3E0501F2" w14:textId="77777777" w:rsidR="00B84B30" w:rsidRDefault="00B84B30" w:rsidP="002B6A12">
      <w:pPr>
        <w:numPr>
          <w:ilvl w:val="0"/>
          <w:numId w:val="27"/>
        </w:numPr>
        <w:tabs>
          <w:tab w:val="left" w:pos="426"/>
          <w:tab w:val="left" w:pos="851"/>
          <w:tab w:val="left" w:pos="3828"/>
        </w:tabs>
        <w:spacing w:before="0"/>
        <w:ind w:left="426" w:hanging="426"/>
        <w:outlineLvl w:val="6"/>
      </w:pPr>
      <w:r>
        <w:t>y)</w:t>
      </w:r>
      <w:r>
        <w:tab/>
      </w:r>
      <w:r w:rsidRPr="00F63E2E">
        <w:t>výkon sociálně-právní ochrany dětí právnickými a fyzickými osobami, jsou-li výkonem sociálně-právní ochrany dětí pověřeny podle zvláštního právního předpisu,</w:t>
      </w:r>
      <w:r w:rsidRPr="009A3DE0">
        <w:rPr>
          <w:vertAlign w:val="superscript"/>
        </w:rPr>
        <w:footnoteReference w:customMarkFollows="1" w:id="70"/>
        <w:t>23i)</w:t>
      </w:r>
    </w:p>
    <w:p w14:paraId="61288039" w14:textId="77777777" w:rsidR="00B84B30" w:rsidRDefault="00B84B30" w:rsidP="002B6A12">
      <w:pPr>
        <w:numPr>
          <w:ilvl w:val="0"/>
          <w:numId w:val="27"/>
        </w:numPr>
        <w:tabs>
          <w:tab w:val="left" w:pos="426"/>
          <w:tab w:val="left" w:pos="851"/>
          <w:tab w:val="left" w:pos="3828"/>
        </w:tabs>
        <w:spacing w:before="0"/>
        <w:ind w:left="426" w:hanging="426"/>
        <w:outlineLvl w:val="6"/>
      </w:pPr>
      <w:r>
        <w:t>z)</w:t>
      </w:r>
      <w:r>
        <w:tab/>
      </w:r>
      <w:r w:rsidRPr="00F63E2E">
        <w:t>vyhledávání, průzkum a těžba nerostných zdrojů ze dna moří a oceánů a jeho podzemí za hranicemi pravomocí států,</w:t>
      </w:r>
      <w:r w:rsidRPr="009A3DE0">
        <w:rPr>
          <w:vertAlign w:val="superscript"/>
        </w:rPr>
        <w:footnoteReference w:customMarkFollows="1" w:id="71"/>
        <w:t>23j)</w:t>
      </w:r>
    </w:p>
    <w:p w14:paraId="69CBE658" w14:textId="77777777" w:rsidR="00B84B30" w:rsidRDefault="00B84B30" w:rsidP="002B6A12">
      <w:pPr>
        <w:numPr>
          <w:ilvl w:val="0"/>
          <w:numId w:val="27"/>
        </w:numPr>
        <w:tabs>
          <w:tab w:val="left" w:pos="426"/>
          <w:tab w:val="left" w:pos="851"/>
          <w:tab w:val="left" w:pos="3828"/>
        </w:tabs>
        <w:spacing w:before="0"/>
        <w:ind w:left="426" w:hanging="426"/>
        <w:outlineLvl w:val="6"/>
      </w:pPr>
      <w:proofErr w:type="spellStart"/>
      <w:r>
        <w:t>aa</w:t>
      </w:r>
      <w:proofErr w:type="spellEnd"/>
      <w:r>
        <w:t>)</w:t>
      </w:r>
      <w:r>
        <w:tab/>
        <w:t>p</w:t>
      </w:r>
      <w:r w:rsidRPr="00F63E2E">
        <w:t>rovozování pohřebišť,</w:t>
      </w:r>
      <w:r w:rsidRPr="009A3DE0">
        <w:rPr>
          <w:vertAlign w:val="superscript"/>
        </w:rPr>
        <w:footnoteReference w:customMarkFollows="1" w:id="72"/>
        <w:t>23k)</w:t>
      </w:r>
      <w:r w:rsidRPr="00E8385C">
        <w:t xml:space="preserve"> </w:t>
      </w:r>
    </w:p>
    <w:p w14:paraId="4E509D6D" w14:textId="77777777" w:rsidR="00B84B30" w:rsidRDefault="00B84B30" w:rsidP="002B6A12">
      <w:pPr>
        <w:numPr>
          <w:ilvl w:val="0"/>
          <w:numId w:val="27"/>
        </w:numPr>
        <w:tabs>
          <w:tab w:val="left" w:pos="426"/>
          <w:tab w:val="left" w:pos="851"/>
          <w:tab w:val="left" w:pos="3828"/>
        </w:tabs>
        <w:spacing w:before="0"/>
        <w:ind w:left="426" w:hanging="426"/>
        <w:outlineLvl w:val="6"/>
      </w:pPr>
      <w:r>
        <w:t>ab)</w:t>
      </w:r>
      <w:r>
        <w:tab/>
      </w:r>
      <w:r w:rsidRPr="00F63E2E">
        <w:t>činnost autorizovaných obalových společností podle zvláštního právního předpisu,</w:t>
      </w:r>
      <w:r w:rsidRPr="009A3DE0">
        <w:rPr>
          <w:vertAlign w:val="superscript"/>
        </w:rPr>
        <w:footnoteReference w:customMarkFollows="1" w:id="73"/>
        <w:t>23l)</w:t>
      </w:r>
    </w:p>
    <w:p w14:paraId="05B4482D" w14:textId="77777777" w:rsidR="00B84B30" w:rsidRDefault="00B84B30" w:rsidP="002B6A12">
      <w:pPr>
        <w:numPr>
          <w:ilvl w:val="0"/>
          <w:numId w:val="27"/>
        </w:numPr>
        <w:tabs>
          <w:tab w:val="left" w:pos="426"/>
          <w:tab w:val="left" w:pos="851"/>
          <w:tab w:val="left" w:pos="3828"/>
        </w:tabs>
        <w:spacing w:before="0"/>
        <w:ind w:left="426" w:hanging="426"/>
        <w:outlineLvl w:val="6"/>
      </w:pPr>
      <w:proofErr w:type="spellStart"/>
      <w:r>
        <w:t>ac</w:t>
      </w:r>
      <w:proofErr w:type="spellEnd"/>
      <w:r>
        <w:t>)</w:t>
      </w:r>
      <w:r>
        <w:tab/>
      </w:r>
      <w:r w:rsidRPr="00FA442D">
        <w:t>nakládání s vysoce rizikovým a rizikovým biologickým agens a toxinem,</w:t>
      </w:r>
      <w:r w:rsidRPr="009A3DE0">
        <w:rPr>
          <w:vertAlign w:val="superscript"/>
        </w:rPr>
        <w:footnoteReference w:customMarkFollows="1" w:id="74"/>
        <w:t>23m)</w:t>
      </w:r>
    </w:p>
    <w:p w14:paraId="70419733" w14:textId="77777777" w:rsidR="00B84B30" w:rsidRDefault="00B84B30" w:rsidP="002B6A12">
      <w:pPr>
        <w:numPr>
          <w:ilvl w:val="0"/>
          <w:numId w:val="27"/>
        </w:numPr>
        <w:tabs>
          <w:tab w:val="left" w:pos="426"/>
          <w:tab w:val="left" w:pos="851"/>
          <w:tab w:val="left" w:pos="3828"/>
        </w:tabs>
        <w:spacing w:before="0"/>
        <w:ind w:left="426" w:hanging="426"/>
        <w:outlineLvl w:val="6"/>
      </w:pPr>
      <w:r>
        <w:t>ad)</w:t>
      </w:r>
      <w:r>
        <w:tab/>
      </w:r>
      <w:r w:rsidRPr="00FA442D">
        <w:t>provozování zoologických zahrad na základě licence vydané Ministerstvem životního prostředí,</w:t>
      </w:r>
      <w:r w:rsidRPr="009A3DE0">
        <w:rPr>
          <w:vertAlign w:val="superscript"/>
        </w:rPr>
        <w:footnoteReference w:customMarkFollows="1" w:id="75"/>
        <w:t>23n)</w:t>
      </w:r>
    </w:p>
    <w:p w14:paraId="1F5269DA" w14:textId="77777777" w:rsidR="00B84B30" w:rsidRDefault="00B84B30" w:rsidP="002B6A12">
      <w:pPr>
        <w:numPr>
          <w:ilvl w:val="0"/>
          <w:numId w:val="27"/>
        </w:numPr>
        <w:tabs>
          <w:tab w:val="left" w:pos="426"/>
          <w:tab w:val="left" w:pos="851"/>
          <w:tab w:val="left" w:pos="3828"/>
        </w:tabs>
        <w:spacing w:before="0"/>
        <w:ind w:left="426" w:hanging="426"/>
        <w:outlineLvl w:val="6"/>
      </w:pPr>
      <w:proofErr w:type="spellStart"/>
      <w:r>
        <w:t>ae</w:t>
      </w:r>
      <w:proofErr w:type="spellEnd"/>
      <w:r>
        <w:t>)</w:t>
      </w:r>
      <w:r>
        <w:tab/>
      </w:r>
      <w:r w:rsidRPr="00FA442D">
        <w:t>archivnictví,</w:t>
      </w:r>
      <w:r w:rsidRPr="009A3DE0">
        <w:rPr>
          <w:vertAlign w:val="superscript"/>
        </w:rPr>
        <w:footnoteReference w:customMarkFollows="1" w:id="76"/>
        <w:t>23o)</w:t>
      </w:r>
    </w:p>
    <w:p w14:paraId="37B3A072" w14:textId="77777777" w:rsidR="00B84B30" w:rsidRDefault="00B84B30" w:rsidP="002B6A12">
      <w:pPr>
        <w:numPr>
          <w:ilvl w:val="0"/>
          <w:numId w:val="27"/>
        </w:numPr>
        <w:tabs>
          <w:tab w:val="left" w:pos="426"/>
          <w:tab w:val="left" w:pos="851"/>
          <w:tab w:val="left" w:pos="3828"/>
        </w:tabs>
        <w:spacing w:before="0"/>
        <w:ind w:left="426" w:hanging="426"/>
        <w:outlineLvl w:val="6"/>
      </w:pPr>
      <w:proofErr w:type="spellStart"/>
      <w:r>
        <w:t>af</w:t>
      </w:r>
      <w:proofErr w:type="spellEnd"/>
      <w:r>
        <w:t>)</w:t>
      </w:r>
      <w:r>
        <w:tab/>
      </w:r>
      <w:r w:rsidRPr="00FA442D">
        <w:t>poskytování sociálních služeb podle zvláštního právního předpisu</w:t>
      </w:r>
      <w:r w:rsidRPr="009A3DE0">
        <w:rPr>
          <w:vertAlign w:val="superscript"/>
        </w:rPr>
        <w:footnoteReference w:customMarkFollows="1" w:id="77"/>
        <w:t>23p)</w:t>
      </w:r>
      <w:r w:rsidRPr="00FA442D">
        <w:t>,</w:t>
      </w:r>
    </w:p>
    <w:p w14:paraId="011EFD80" w14:textId="77777777" w:rsidR="00B84B30" w:rsidRDefault="00B84B30" w:rsidP="002B6A12">
      <w:pPr>
        <w:numPr>
          <w:ilvl w:val="0"/>
          <w:numId w:val="27"/>
        </w:numPr>
        <w:tabs>
          <w:tab w:val="left" w:pos="426"/>
          <w:tab w:val="left" w:pos="851"/>
          <w:tab w:val="left" w:pos="3828"/>
        </w:tabs>
        <w:spacing w:before="0"/>
        <w:ind w:left="426" w:hanging="426"/>
        <w:outlineLvl w:val="6"/>
      </w:pPr>
      <w:proofErr w:type="spellStart"/>
      <w:r>
        <w:lastRenderedPageBreak/>
        <w:t>ag</w:t>
      </w:r>
      <w:proofErr w:type="spellEnd"/>
      <w:r>
        <w:t>)</w:t>
      </w:r>
      <w:r>
        <w:tab/>
      </w:r>
      <w:r w:rsidRPr="00FA442D">
        <w:t>činnost autorizovaných osob, oprávněných ověřovat dosažení odborné způsobilosti vyžadované k získání osvědčení o profesní kvalifikaci podle zvláštního zákona</w:t>
      </w:r>
      <w:r w:rsidRPr="009A3DE0">
        <w:rPr>
          <w:vertAlign w:val="superscript"/>
        </w:rPr>
        <w:footnoteReference w:customMarkFollows="1" w:id="78"/>
        <w:t>23q)</w:t>
      </w:r>
      <w:r w:rsidRPr="00FA442D">
        <w:t>,</w:t>
      </w:r>
    </w:p>
    <w:p w14:paraId="1CEFC0F0" w14:textId="77777777" w:rsidR="00B84B30" w:rsidRDefault="00B84B30" w:rsidP="002B6A12">
      <w:pPr>
        <w:numPr>
          <w:ilvl w:val="0"/>
          <w:numId w:val="27"/>
        </w:numPr>
        <w:tabs>
          <w:tab w:val="left" w:pos="426"/>
          <w:tab w:val="left" w:pos="851"/>
          <w:tab w:val="left" w:pos="3828"/>
        </w:tabs>
        <w:spacing w:before="0"/>
        <w:ind w:left="426" w:hanging="426"/>
        <w:outlineLvl w:val="6"/>
      </w:pPr>
      <w:proofErr w:type="spellStart"/>
      <w:r>
        <w:t>ah</w:t>
      </w:r>
      <w:proofErr w:type="spellEnd"/>
      <w:r>
        <w:t>)</w:t>
      </w:r>
      <w:r>
        <w:tab/>
        <w:t>p</w:t>
      </w:r>
      <w:r w:rsidRPr="00FA442D">
        <w:t>ronájem nemovitostí, bytů a nebytových prostor,</w:t>
      </w:r>
    </w:p>
    <w:p w14:paraId="34C97BD3" w14:textId="77777777" w:rsidR="00B84B30" w:rsidRDefault="00B84B30" w:rsidP="002B6A12">
      <w:pPr>
        <w:numPr>
          <w:ilvl w:val="0"/>
          <w:numId w:val="27"/>
        </w:numPr>
        <w:tabs>
          <w:tab w:val="left" w:pos="426"/>
          <w:tab w:val="left" w:pos="851"/>
          <w:tab w:val="left" w:pos="3828"/>
        </w:tabs>
        <w:spacing w:before="0"/>
        <w:ind w:left="426" w:hanging="426"/>
        <w:outlineLvl w:val="6"/>
      </w:pPr>
      <w:proofErr w:type="spellStart"/>
      <w:r>
        <w:t>ai</w:t>
      </w:r>
      <w:proofErr w:type="spellEnd"/>
      <w:r>
        <w:t>)</w:t>
      </w:r>
      <w:r>
        <w:tab/>
      </w:r>
      <w:r w:rsidRPr="00FA442D">
        <w:t>poskytování zdravotních služeb</w:t>
      </w:r>
      <w:r w:rsidRPr="009A3DE0">
        <w:rPr>
          <w:vertAlign w:val="superscript"/>
        </w:rPr>
        <w:footnoteReference w:customMarkFollows="1" w:id="79"/>
        <w:t>55a)</w:t>
      </w:r>
      <w:r w:rsidRPr="00FA442D">
        <w:t>,</w:t>
      </w:r>
    </w:p>
    <w:p w14:paraId="30A01B51" w14:textId="77777777" w:rsidR="00B84B30" w:rsidRDefault="00B84B30" w:rsidP="002B6A12">
      <w:pPr>
        <w:numPr>
          <w:ilvl w:val="0"/>
          <w:numId w:val="27"/>
        </w:numPr>
        <w:tabs>
          <w:tab w:val="left" w:pos="426"/>
          <w:tab w:val="left" w:pos="851"/>
          <w:tab w:val="left" w:pos="3828"/>
        </w:tabs>
        <w:spacing w:before="0"/>
        <w:ind w:left="426" w:hanging="426"/>
        <w:outlineLvl w:val="6"/>
      </w:pPr>
      <w:r>
        <w:t>aj)</w:t>
      </w:r>
      <w:r>
        <w:tab/>
      </w:r>
      <w:r w:rsidRPr="00FA442D">
        <w:t>provádění odborných rostlinolékařských činností podle zvláštního právního předpisu</w:t>
      </w:r>
      <w:r w:rsidRPr="009A3DE0">
        <w:rPr>
          <w:vertAlign w:val="superscript"/>
        </w:rPr>
        <w:footnoteReference w:customMarkFollows="1" w:id="80"/>
        <w:t>56)</w:t>
      </w:r>
      <w:r w:rsidRPr="00FA442D">
        <w:t>,</w:t>
      </w:r>
    </w:p>
    <w:p w14:paraId="0944C377" w14:textId="77777777" w:rsidR="00B84B30" w:rsidRDefault="00B84B30" w:rsidP="002B6A12">
      <w:pPr>
        <w:numPr>
          <w:ilvl w:val="0"/>
          <w:numId w:val="27"/>
        </w:numPr>
        <w:tabs>
          <w:tab w:val="left" w:pos="426"/>
          <w:tab w:val="left" w:pos="851"/>
          <w:tab w:val="left" w:pos="3828"/>
        </w:tabs>
        <w:spacing w:before="0"/>
        <w:ind w:left="426" w:hanging="426"/>
        <w:outlineLvl w:val="6"/>
      </w:pPr>
      <w:proofErr w:type="spellStart"/>
      <w:r>
        <w:t>ak</w:t>
      </w:r>
      <w:proofErr w:type="spellEnd"/>
      <w:r>
        <w:t>)</w:t>
      </w:r>
      <w:r>
        <w:tab/>
      </w:r>
      <w:r w:rsidRPr="00FA442D">
        <w:t>provozování poštovních služeb a zahraničních poštovních služeb podle</w:t>
      </w:r>
      <w:r>
        <w:t xml:space="preserve"> zvláštního právního předpisu</w:t>
      </w:r>
      <w:r w:rsidRPr="009A3DE0">
        <w:rPr>
          <w:vertAlign w:val="superscript"/>
        </w:rPr>
        <w:footnoteReference w:customMarkFollows="1" w:id="81"/>
        <w:t>57)</w:t>
      </w:r>
      <w:r w:rsidRPr="00FA442D">
        <w:t>,</w:t>
      </w:r>
    </w:p>
    <w:p w14:paraId="2E0B5D92" w14:textId="77777777" w:rsidR="00B84B30" w:rsidRDefault="00B84B30" w:rsidP="002B6A12">
      <w:pPr>
        <w:numPr>
          <w:ilvl w:val="0"/>
          <w:numId w:val="27"/>
        </w:numPr>
        <w:tabs>
          <w:tab w:val="left" w:pos="426"/>
          <w:tab w:val="left" w:pos="851"/>
          <w:tab w:val="left" w:pos="3828"/>
        </w:tabs>
        <w:spacing w:before="0"/>
        <w:ind w:left="426" w:hanging="426"/>
        <w:outlineLvl w:val="6"/>
      </w:pPr>
      <w:r>
        <w:t>al)</w:t>
      </w:r>
      <w:r>
        <w:tab/>
      </w:r>
      <w:r w:rsidRPr="00FA442D">
        <w:t>výkon znalecké činnosti znalců, znaleckých kanceláří a znaleckých ústavů</w:t>
      </w:r>
      <w:r w:rsidRPr="009A3DE0">
        <w:rPr>
          <w:vertAlign w:val="superscript"/>
        </w:rPr>
        <w:footnoteReference w:customMarkFollows="1" w:id="82"/>
        <w:t>72)</w:t>
      </w:r>
      <w:r>
        <w:t>,</w:t>
      </w:r>
    </w:p>
    <w:p w14:paraId="0F1E296F" w14:textId="77777777" w:rsidR="007F7397" w:rsidRDefault="00B84B30" w:rsidP="002B6A12">
      <w:pPr>
        <w:numPr>
          <w:ilvl w:val="0"/>
          <w:numId w:val="27"/>
        </w:numPr>
        <w:tabs>
          <w:tab w:val="left" w:pos="426"/>
          <w:tab w:val="left" w:pos="851"/>
          <w:tab w:val="left" w:pos="3828"/>
        </w:tabs>
        <w:spacing w:before="0"/>
        <w:ind w:left="426" w:hanging="426"/>
        <w:outlineLvl w:val="6"/>
        <w:sectPr w:rsidR="007F7397" w:rsidSect="00FC7E78">
          <w:footnotePr>
            <w:numStart w:val="3"/>
          </w:footnotePr>
          <w:endnotePr>
            <w:numFmt w:val="decimal"/>
          </w:endnotePr>
          <w:pgSz w:w="11906" w:h="16838"/>
          <w:pgMar w:top="1417" w:right="1417" w:bottom="1417" w:left="1417" w:header="708" w:footer="708" w:gutter="0"/>
          <w:cols w:space="708"/>
          <w:docGrid w:linePitch="360"/>
        </w:sectPr>
      </w:pPr>
      <w:proofErr w:type="spellStart"/>
      <w:r>
        <w:t>am</w:t>
      </w:r>
      <w:proofErr w:type="spellEnd"/>
      <w:r>
        <w:t>)</w:t>
      </w:r>
      <w:r>
        <w:tab/>
      </w:r>
      <w:r w:rsidRPr="002112B3">
        <w:t>činnost provozovatelů kolektivních systémů podle zákona o výrobcích s ukončenou životností</w:t>
      </w:r>
      <w:r w:rsidR="00E40B85">
        <w:t xml:space="preserve"> a zákona o omezení dopadu vybraných plastových výrobků na životní prostředí</w:t>
      </w:r>
      <w:r w:rsidRPr="002112B3">
        <w:t>.</w:t>
      </w:r>
    </w:p>
    <w:p w14:paraId="3A061FCE" w14:textId="019649C2" w:rsidR="009B0C3A" w:rsidRPr="00E70B7D" w:rsidRDefault="009B0C3A" w:rsidP="00FE1B36">
      <w:pPr>
        <w:pStyle w:val="Odstavecseseznamem"/>
        <w:tabs>
          <w:tab w:val="left" w:pos="851"/>
        </w:tabs>
        <w:spacing w:before="120" w:after="120"/>
        <w:ind w:left="0" w:firstLine="0"/>
        <w:jc w:val="center"/>
        <w:outlineLvl w:val="0"/>
        <w:rPr>
          <w:b/>
          <w:szCs w:val="24"/>
        </w:rPr>
      </w:pPr>
      <w:r w:rsidRPr="00E70B7D">
        <w:rPr>
          <w:b/>
          <w:szCs w:val="24"/>
        </w:rPr>
        <w:lastRenderedPageBreak/>
        <w:t xml:space="preserve">K části </w:t>
      </w:r>
      <w:r>
        <w:rPr>
          <w:b/>
          <w:szCs w:val="24"/>
        </w:rPr>
        <w:t>deváté</w:t>
      </w:r>
      <w:r w:rsidRPr="00E70B7D">
        <w:rPr>
          <w:b/>
          <w:szCs w:val="24"/>
        </w:rPr>
        <w:t xml:space="preserve"> návrhu zákona – </w:t>
      </w:r>
      <w:r w:rsidRPr="00E70B7D">
        <w:rPr>
          <w:szCs w:val="24"/>
        </w:rPr>
        <w:t xml:space="preserve">změna </w:t>
      </w:r>
      <w:r>
        <w:rPr>
          <w:szCs w:val="24"/>
        </w:rPr>
        <w:t xml:space="preserve">zákona </w:t>
      </w:r>
      <w:r w:rsidRPr="00616351">
        <w:rPr>
          <w:szCs w:val="24"/>
        </w:rPr>
        <w:t xml:space="preserve">o </w:t>
      </w:r>
      <w:r>
        <w:rPr>
          <w:szCs w:val="24"/>
        </w:rPr>
        <w:t>České televizi</w:t>
      </w:r>
    </w:p>
    <w:p w14:paraId="17FEE340" w14:textId="77777777" w:rsidR="009B0C3A" w:rsidRPr="00AE0742" w:rsidRDefault="009B0C3A" w:rsidP="009B0C3A">
      <w:pPr>
        <w:pStyle w:val="Odstavecseseznamem"/>
        <w:tabs>
          <w:tab w:val="left" w:pos="851"/>
        </w:tabs>
        <w:spacing w:before="120" w:after="120"/>
        <w:ind w:left="0"/>
        <w:outlineLvl w:val="0"/>
        <w:rPr>
          <w:b/>
          <w:szCs w:val="24"/>
        </w:rPr>
      </w:pPr>
    </w:p>
    <w:p w14:paraId="2860D7AE" w14:textId="5C10B003" w:rsidR="009B0C3A" w:rsidRDefault="009B0C3A" w:rsidP="009B0C3A">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AE0742">
        <w:rPr>
          <w:b/>
          <w:szCs w:val="24"/>
        </w:rPr>
        <w:t>Platné znění</w:t>
      </w:r>
      <w:r w:rsidRPr="00AE0742">
        <w:rPr>
          <w:szCs w:val="24"/>
        </w:rPr>
        <w:t xml:space="preserve"> zákona </w:t>
      </w:r>
      <w:r w:rsidRPr="00AE0742">
        <w:rPr>
          <w:color w:val="000000"/>
          <w:szCs w:val="24"/>
        </w:rPr>
        <w:t>č. </w:t>
      </w:r>
      <w:r>
        <w:rPr>
          <w:color w:val="000000"/>
          <w:szCs w:val="24"/>
        </w:rPr>
        <w:t xml:space="preserve">483/1991 </w:t>
      </w:r>
      <w:r w:rsidRPr="00AE0742">
        <w:rPr>
          <w:color w:val="000000"/>
          <w:szCs w:val="24"/>
        </w:rPr>
        <w:t xml:space="preserve">Sb., </w:t>
      </w:r>
      <w:r w:rsidRPr="00616351">
        <w:rPr>
          <w:szCs w:val="24"/>
        </w:rPr>
        <w:t xml:space="preserve">o </w:t>
      </w:r>
      <w:r>
        <w:rPr>
          <w:szCs w:val="24"/>
        </w:rPr>
        <w:t>České televizi</w:t>
      </w:r>
    </w:p>
    <w:p w14:paraId="143C566C" w14:textId="77777777" w:rsidR="00FE1B36" w:rsidRPr="00A06781" w:rsidRDefault="00FE1B36" w:rsidP="00FE1B36">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b/>
          <w:szCs w:val="24"/>
        </w:rPr>
      </w:pPr>
      <w:r w:rsidRPr="00A06781">
        <w:rPr>
          <w:b/>
          <w:szCs w:val="24"/>
        </w:rPr>
        <w:t>s vyznačením navrhovaných změn a doplnění k 1. lednu 2025</w:t>
      </w:r>
    </w:p>
    <w:p w14:paraId="0511881E" w14:textId="4F4E6550" w:rsidR="00B84B30" w:rsidRDefault="009B0C3A" w:rsidP="009B0C3A">
      <w:pPr>
        <w:numPr>
          <w:ilvl w:val="0"/>
          <w:numId w:val="27"/>
        </w:numPr>
        <w:tabs>
          <w:tab w:val="left" w:pos="426"/>
          <w:tab w:val="left" w:pos="851"/>
          <w:tab w:val="left" w:pos="3828"/>
        </w:tabs>
        <w:jc w:val="center"/>
        <w:outlineLvl w:val="6"/>
      </w:pPr>
      <w:r>
        <w:t>***</w:t>
      </w:r>
    </w:p>
    <w:p w14:paraId="78263288" w14:textId="77777777" w:rsidR="00A91760" w:rsidRDefault="00A91760" w:rsidP="00A91760">
      <w:pPr>
        <w:pStyle w:val="Textparagrafu"/>
        <w:numPr>
          <w:ilvl w:val="0"/>
          <w:numId w:val="27"/>
        </w:numPr>
        <w:jc w:val="center"/>
      </w:pPr>
      <w:r w:rsidRPr="00975DDD">
        <w:t>§</w:t>
      </w:r>
      <w:r>
        <w:t xml:space="preserve"> </w:t>
      </w:r>
      <w:r w:rsidRPr="00975DDD">
        <w:t>8</w:t>
      </w:r>
    </w:p>
    <w:p w14:paraId="6C6D7ECB" w14:textId="77777777" w:rsidR="00A91760" w:rsidRDefault="00A91760" w:rsidP="00A91760">
      <w:pPr>
        <w:pStyle w:val="Textparagrafu"/>
        <w:numPr>
          <w:ilvl w:val="1"/>
          <w:numId w:val="27"/>
        </w:numPr>
        <w:spacing w:after="120"/>
        <w:ind w:firstLine="426"/>
      </w:pPr>
      <w:r w:rsidRPr="00975DDD">
        <w:t>(1)</w:t>
      </w:r>
      <w:r>
        <w:t xml:space="preserve"> </w:t>
      </w:r>
      <w:r w:rsidRPr="00975DDD">
        <w:t>Do</w:t>
      </w:r>
      <w:r>
        <w:t xml:space="preserve"> </w:t>
      </w:r>
      <w:r w:rsidRPr="00975DDD">
        <w:t>působnosti</w:t>
      </w:r>
      <w:r>
        <w:t xml:space="preserve"> </w:t>
      </w:r>
      <w:r w:rsidRPr="00975DDD">
        <w:t>Rady</w:t>
      </w:r>
      <w:r>
        <w:t xml:space="preserve"> </w:t>
      </w:r>
      <w:r w:rsidRPr="00975DDD">
        <w:t>náleží:</w:t>
      </w:r>
    </w:p>
    <w:p w14:paraId="3FA62775" w14:textId="77777777" w:rsidR="00A91760" w:rsidRDefault="00A91760" w:rsidP="002B6A12">
      <w:pPr>
        <w:pStyle w:val="Textparagrafu"/>
        <w:numPr>
          <w:ilvl w:val="0"/>
          <w:numId w:val="27"/>
        </w:numPr>
        <w:tabs>
          <w:tab w:val="left" w:pos="426"/>
        </w:tabs>
        <w:spacing w:before="0"/>
        <w:ind w:left="426" w:hanging="426"/>
      </w:pPr>
      <w:r w:rsidRPr="00975DDD">
        <w:t>a)</w:t>
      </w:r>
      <w:r>
        <w:tab/>
      </w:r>
      <w:r w:rsidRPr="00975DDD">
        <w:t>jmenovat</w:t>
      </w:r>
      <w:r>
        <w:t xml:space="preserve"> </w:t>
      </w:r>
      <w:r w:rsidRPr="00975DDD">
        <w:t>a</w:t>
      </w:r>
      <w:r>
        <w:t xml:space="preserve"> </w:t>
      </w:r>
      <w:r w:rsidRPr="00975DDD">
        <w:t>odvolávat</w:t>
      </w:r>
      <w:r>
        <w:t xml:space="preserve"> </w:t>
      </w:r>
      <w:r w:rsidRPr="00975DDD">
        <w:t>generálního</w:t>
      </w:r>
      <w:r>
        <w:t xml:space="preserve"> </w:t>
      </w:r>
      <w:r w:rsidRPr="00975DDD">
        <w:t>ředitele</w:t>
      </w:r>
      <w:r>
        <w:t xml:space="preserve"> </w:t>
      </w:r>
      <w:r w:rsidRPr="00975DDD">
        <w:t>a</w:t>
      </w:r>
      <w:r>
        <w:t xml:space="preserve"> </w:t>
      </w:r>
      <w:r w:rsidRPr="00975DDD">
        <w:t>na</w:t>
      </w:r>
      <w:r>
        <w:t xml:space="preserve"> </w:t>
      </w:r>
      <w:r w:rsidRPr="00975DDD">
        <w:t>jeho</w:t>
      </w:r>
      <w:r>
        <w:t xml:space="preserve"> </w:t>
      </w:r>
      <w:r w:rsidRPr="00975DDD">
        <w:t>návrh</w:t>
      </w:r>
      <w:r>
        <w:t xml:space="preserve"> </w:t>
      </w:r>
      <w:r w:rsidRPr="00975DDD">
        <w:t>ředitele</w:t>
      </w:r>
      <w:r>
        <w:t xml:space="preserve"> </w:t>
      </w:r>
      <w:r w:rsidRPr="00975DDD">
        <w:t>televizních</w:t>
      </w:r>
      <w:r>
        <w:t xml:space="preserve"> </w:t>
      </w:r>
      <w:r w:rsidRPr="00975DDD">
        <w:t>studií;</w:t>
      </w:r>
      <w:r>
        <w:t xml:space="preserve"> </w:t>
      </w:r>
      <w:r w:rsidRPr="00975DDD">
        <w:t>rozhodnutí</w:t>
      </w:r>
      <w:r>
        <w:t xml:space="preserve"> </w:t>
      </w:r>
      <w:r w:rsidRPr="00975DDD">
        <w:t>o</w:t>
      </w:r>
      <w:r>
        <w:t xml:space="preserve"> </w:t>
      </w:r>
      <w:r w:rsidRPr="00975DDD">
        <w:t>odvolání</w:t>
      </w:r>
      <w:r>
        <w:t xml:space="preserve"> </w:t>
      </w:r>
      <w:r w:rsidRPr="00975DDD">
        <w:t>generálního</w:t>
      </w:r>
      <w:r>
        <w:t xml:space="preserve"> </w:t>
      </w:r>
      <w:r w:rsidRPr="00975DDD">
        <w:t>ředitele</w:t>
      </w:r>
      <w:r>
        <w:t xml:space="preserve"> </w:t>
      </w:r>
      <w:r w:rsidRPr="00975DDD">
        <w:t>musí</w:t>
      </w:r>
      <w:r>
        <w:t xml:space="preserve"> </w:t>
      </w:r>
      <w:r w:rsidRPr="00975DDD">
        <w:t>být</w:t>
      </w:r>
      <w:r>
        <w:t xml:space="preserve"> </w:t>
      </w:r>
      <w:r w:rsidRPr="00975DDD">
        <w:t>písemně</w:t>
      </w:r>
      <w:r>
        <w:t xml:space="preserve"> </w:t>
      </w:r>
      <w:r w:rsidRPr="00975DDD">
        <w:t>odůvodněno</w:t>
      </w:r>
      <w:r>
        <w:t xml:space="preserve"> </w:t>
      </w:r>
      <w:r w:rsidRPr="00975DDD">
        <w:t>a</w:t>
      </w:r>
      <w:r>
        <w:t xml:space="preserve"> </w:t>
      </w:r>
      <w:r w:rsidRPr="00975DDD">
        <w:t>nejpozději</w:t>
      </w:r>
      <w:r>
        <w:t xml:space="preserve"> </w:t>
      </w:r>
      <w:r w:rsidRPr="00975DDD">
        <w:t>do</w:t>
      </w:r>
      <w:r>
        <w:t xml:space="preserve"> </w:t>
      </w:r>
      <w:r w:rsidRPr="00975DDD">
        <w:t>7</w:t>
      </w:r>
      <w:r>
        <w:t xml:space="preserve"> </w:t>
      </w:r>
      <w:r w:rsidRPr="00975DDD">
        <w:t>dnů</w:t>
      </w:r>
      <w:r>
        <w:t xml:space="preserve"> </w:t>
      </w:r>
      <w:r w:rsidRPr="00975DDD">
        <w:t>ode</w:t>
      </w:r>
      <w:r>
        <w:t xml:space="preserve"> </w:t>
      </w:r>
      <w:r w:rsidRPr="00975DDD">
        <w:t>dne</w:t>
      </w:r>
      <w:r>
        <w:t xml:space="preserve"> </w:t>
      </w:r>
      <w:r w:rsidRPr="00975DDD">
        <w:t>jeho</w:t>
      </w:r>
      <w:r>
        <w:t xml:space="preserve"> </w:t>
      </w:r>
      <w:r w:rsidRPr="00975DDD">
        <w:t>doručení</w:t>
      </w:r>
      <w:r>
        <w:t xml:space="preserve"> </w:t>
      </w:r>
      <w:r w:rsidRPr="00975DDD">
        <w:t>generálnímu</w:t>
      </w:r>
      <w:r>
        <w:t xml:space="preserve"> </w:t>
      </w:r>
      <w:r w:rsidRPr="00975DDD">
        <w:t>řediteli</w:t>
      </w:r>
      <w:r>
        <w:t xml:space="preserve"> </w:t>
      </w:r>
      <w:r w:rsidRPr="00975DDD">
        <w:t>uveřejněno</w:t>
      </w:r>
      <w:r>
        <w:t xml:space="preserve"> </w:t>
      </w:r>
      <w:r w:rsidRPr="00975DDD">
        <w:t>Radou</w:t>
      </w:r>
      <w:r>
        <w:t xml:space="preserve"> </w:t>
      </w:r>
      <w:r w:rsidRPr="00975DDD">
        <w:t>způsobem</w:t>
      </w:r>
      <w:r>
        <w:t xml:space="preserve"> </w:t>
      </w:r>
      <w:r w:rsidRPr="00975DDD">
        <w:t>umožňujícím</w:t>
      </w:r>
      <w:r>
        <w:t xml:space="preserve"> </w:t>
      </w:r>
      <w:r w:rsidRPr="00975DDD">
        <w:t>dálkový</w:t>
      </w:r>
      <w:r>
        <w:t xml:space="preserve"> </w:t>
      </w:r>
      <w:r w:rsidRPr="00975DDD">
        <w:t>přístup,</w:t>
      </w:r>
    </w:p>
    <w:p w14:paraId="64449B21" w14:textId="7D651E80" w:rsidR="00A91760" w:rsidRDefault="00A91760" w:rsidP="002B6A12">
      <w:pPr>
        <w:pStyle w:val="Textparagrafu"/>
        <w:numPr>
          <w:ilvl w:val="0"/>
          <w:numId w:val="28"/>
        </w:numPr>
        <w:tabs>
          <w:tab w:val="left" w:pos="426"/>
        </w:tabs>
        <w:spacing w:before="0"/>
        <w:ind w:left="426" w:hanging="426"/>
      </w:pPr>
      <w:r w:rsidRPr="00975DDD">
        <w:t>b)</w:t>
      </w:r>
      <w:r>
        <w:tab/>
      </w:r>
      <w:r w:rsidRPr="00975DDD">
        <w:t>schvalovat</w:t>
      </w:r>
      <w:r>
        <w:t xml:space="preserve"> </w:t>
      </w:r>
      <w:r w:rsidRPr="00975DDD">
        <w:t>rozpočet</w:t>
      </w:r>
      <w:r>
        <w:t xml:space="preserve"> </w:t>
      </w:r>
      <w:r w:rsidRPr="00975DDD">
        <w:t>České</w:t>
      </w:r>
      <w:r>
        <w:t xml:space="preserve"> </w:t>
      </w:r>
      <w:r w:rsidRPr="00975DDD">
        <w:t>televize,</w:t>
      </w:r>
      <w:r>
        <w:t xml:space="preserve"> </w:t>
      </w:r>
      <w:r w:rsidRPr="00975DDD">
        <w:t>přehled</w:t>
      </w:r>
      <w:r>
        <w:t xml:space="preserve"> </w:t>
      </w:r>
      <w:r w:rsidRPr="00975DDD">
        <w:t>pohledávek</w:t>
      </w:r>
      <w:r>
        <w:t xml:space="preserve"> </w:t>
      </w:r>
      <w:r w:rsidRPr="00975DDD">
        <w:t>a</w:t>
      </w:r>
      <w:r>
        <w:t xml:space="preserve"> </w:t>
      </w:r>
      <w:r w:rsidRPr="00975DDD">
        <w:t>závazků</w:t>
      </w:r>
      <w:r>
        <w:t xml:space="preserve"> </w:t>
      </w:r>
      <w:r w:rsidRPr="00975DDD">
        <w:t>a</w:t>
      </w:r>
      <w:r>
        <w:t xml:space="preserve"> </w:t>
      </w:r>
      <w:r w:rsidR="007E1D4D" w:rsidRPr="007E1D4D">
        <w:rPr>
          <w:b/>
        </w:rPr>
        <w:t>řádnou individuální</w:t>
      </w:r>
      <w:r w:rsidR="007E1D4D">
        <w:t xml:space="preserve"> </w:t>
      </w:r>
      <w:r w:rsidRPr="00975DDD">
        <w:t>účetní</w:t>
      </w:r>
      <w:r>
        <w:t xml:space="preserve"> </w:t>
      </w:r>
      <w:r w:rsidRPr="00975DDD">
        <w:t>závěrku</w:t>
      </w:r>
      <w:r>
        <w:t xml:space="preserve"> </w:t>
      </w:r>
      <w:r w:rsidRPr="00975DDD">
        <w:t>České</w:t>
      </w:r>
      <w:r>
        <w:t xml:space="preserve"> </w:t>
      </w:r>
      <w:r w:rsidRPr="00975DDD">
        <w:t>televize</w:t>
      </w:r>
      <w:r>
        <w:t xml:space="preserve"> </w:t>
      </w:r>
      <w:r w:rsidRPr="007E1D4D">
        <w:rPr>
          <w:strike/>
        </w:rPr>
        <w:t xml:space="preserve">podle zvláštního právního </w:t>
      </w:r>
      <w:proofErr w:type="gramStart"/>
      <w:r w:rsidRPr="007E1D4D">
        <w:rPr>
          <w:strike/>
        </w:rPr>
        <w:t>předpisu,</w:t>
      </w:r>
      <w:r w:rsidR="00EF7F78" w:rsidRPr="007E1D4D">
        <w:rPr>
          <w:rStyle w:val="Znakapoznpodarou"/>
          <w:strike/>
        </w:rPr>
        <w:footnoteReference w:customMarkFollows="1" w:id="83"/>
        <w:t>4</w:t>
      </w:r>
      <w:r w:rsidR="00EF7F78" w:rsidRPr="007E1D4D">
        <w:rPr>
          <w:strike/>
          <w:vertAlign w:val="superscript"/>
        </w:rPr>
        <w:t>)</w:t>
      </w:r>
      <w:r w:rsidRPr="007E1D4D">
        <w:rPr>
          <w:strike/>
        </w:rPr>
        <w:t xml:space="preserve"> ověřenou</w:t>
      </w:r>
      <w:proofErr w:type="gramEnd"/>
      <w:r w:rsidRPr="007E1D4D">
        <w:rPr>
          <w:strike/>
        </w:rPr>
        <w:t xml:space="preserve"> auditorem podle zvláštního právního předpisu;</w:t>
      </w:r>
      <w:r w:rsidR="00202E66" w:rsidRPr="007E1D4D">
        <w:rPr>
          <w:rStyle w:val="Znakapoznpodarou"/>
          <w:strike/>
        </w:rPr>
        <w:footnoteReference w:customMarkFollows="1" w:id="84"/>
        <w:t>5)</w:t>
      </w:r>
      <w:r>
        <w:t xml:space="preserve"> </w:t>
      </w:r>
      <w:r w:rsidR="007E1D4D" w:rsidRPr="007E1D4D">
        <w:rPr>
          <w:b/>
        </w:rPr>
        <w:t>ověřenou auditorem</w:t>
      </w:r>
      <w:r w:rsidR="008D6E1D">
        <w:rPr>
          <w:b/>
        </w:rPr>
        <w:t>,</w:t>
      </w:r>
      <w:r w:rsidR="007E1D4D">
        <w:t xml:space="preserve"> </w:t>
      </w:r>
      <w:r w:rsidRPr="00975DDD">
        <w:t>do</w:t>
      </w:r>
      <w:r>
        <w:t xml:space="preserve"> </w:t>
      </w:r>
      <w:r w:rsidRPr="00975DDD">
        <w:t>doby</w:t>
      </w:r>
      <w:r>
        <w:t xml:space="preserve"> </w:t>
      </w:r>
      <w:r w:rsidRPr="00975DDD">
        <w:t>schválení</w:t>
      </w:r>
      <w:r>
        <w:t xml:space="preserve"> </w:t>
      </w:r>
      <w:r w:rsidRPr="00975DDD">
        <w:t>rozpočtu</w:t>
      </w:r>
      <w:r>
        <w:t xml:space="preserve"> </w:t>
      </w:r>
      <w:r w:rsidRPr="00975DDD">
        <w:t>hospodaří</w:t>
      </w:r>
      <w:r>
        <w:t xml:space="preserve"> </w:t>
      </w:r>
      <w:r w:rsidRPr="00975DDD">
        <w:t>Česká</w:t>
      </w:r>
      <w:r>
        <w:t xml:space="preserve"> </w:t>
      </w:r>
      <w:r w:rsidRPr="00975DDD">
        <w:t>televize</w:t>
      </w:r>
      <w:r>
        <w:t xml:space="preserve"> </w:t>
      </w:r>
      <w:r w:rsidRPr="00975DDD">
        <w:t>podle</w:t>
      </w:r>
      <w:r>
        <w:t xml:space="preserve"> </w:t>
      </w:r>
      <w:r w:rsidRPr="00975DDD">
        <w:t>svého</w:t>
      </w:r>
      <w:r>
        <w:t xml:space="preserve"> </w:t>
      </w:r>
      <w:r w:rsidRPr="00975DDD">
        <w:t>dlouhodobého</w:t>
      </w:r>
      <w:r>
        <w:t xml:space="preserve"> </w:t>
      </w:r>
      <w:r w:rsidRPr="00975DDD">
        <w:t>plánu</w:t>
      </w:r>
      <w:r>
        <w:t xml:space="preserve"> </w:t>
      </w:r>
      <w:r w:rsidRPr="00975DDD">
        <w:t>ekonomického</w:t>
      </w:r>
      <w:r>
        <w:t xml:space="preserve"> </w:t>
      </w:r>
      <w:r w:rsidRPr="00975DDD">
        <w:t>rozvoje,</w:t>
      </w:r>
    </w:p>
    <w:p w14:paraId="370022D8" w14:textId="235ED443" w:rsidR="00A91760" w:rsidRDefault="00A91760" w:rsidP="002B6A12">
      <w:pPr>
        <w:pStyle w:val="Textparagrafu"/>
        <w:numPr>
          <w:ilvl w:val="0"/>
          <w:numId w:val="28"/>
        </w:numPr>
        <w:tabs>
          <w:tab w:val="left" w:pos="426"/>
        </w:tabs>
        <w:spacing w:before="0"/>
        <w:ind w:left="426" w:hanging="426"/>
      </w:pPr>
      <w:r w:rsidRPr="00975DDD">
        <w:t>c)</w:t>
      </w:r>
      <w:r>
        <w:tab/>
      </w:r>
      <w:r w:rsidRPr="00975DDD">
        <w:t>kontrolovat</w:t>
      </w:r>
      <w:r>
        <w:t xml:space="preserve"> </w:t>
      </w:r>
      <w:r w:rsidRPr="00975DDD">
        <w:t>účelné</w:t>
      </w:r>
      <w:r>
        <w:t xml:space="preserve"> </w:t>
      </w:r>
      <w:r w:rsidRPr="00975DDD">
        <w:t>a</w:t>
      </w:r>
      <w:r>
        <w:t xml:space="preserve"> </w:t>
      </w:r>
      <w:r w:rsidRPr="00975DDD">
        <w:t>hospodárné</w:t>
      </w:r>
      <w:r>
        <w:t xml:space="preserve"> </w:t>
      </w:r>
      <w:r w:rsidRPr="00975DDD">
        <w:t>využívání</w:t>
      </w:r>
      <w:r>
        <w:t xml:space="preserve"> </w:t>
      </w:r>
      <w:r w:rsidRPr="00975DDD">
        <w:t>finančních</w:t>
      </w:r>
      <w:r>
        <w:t xml:space="preserve"> </w:t>
      </w:r>
      <w:r w:rsidRPr="00975DDD">
        <w:t>zdrojů</w:t>
      </w:r>
      <w:r>
        <w:t xml:space="preserve"> </w:t>
      </w:r>
      <w:r w:rsidRPr="00975DDD">
        <w:t>a</w:t>
      </w:r>
      <w:r>
        <w:t xml:space="preserve"> </w:t>
      </w:r>
      <w:r w:rsidRPr="00975DDD">
        <w:t>majetku</w:t>
      </w:r>
      <w:r>
        <w:t xml:space="preserve"> </w:t>
      </w:r>
      <w:r w:rsidRPr="00975DDD">
        <w:t>České</w:t>
      </w:r>
      <w:r>
        <w:t xml:space="preserve"> </w:t>
      </w:r>
      <w:r w:rsidRPr="00975DDD">
        <w:t>televize</w:t>
      </w:r>
      <w:r>
        <w:t xml:space="preserve"> </w:t>
      </w:r>
      <w:r w:rsidRPr="00975DDD">
        <w:t>podle</w:t>
      </w:r>
      <w:r>
        <w:t xml:space="preserve"> </w:t>
      </w:r>
      <w:r w:rsidRPr="00975DDD">
        <w:t>schváleného</w:t>
      </w:r>
      <w:r>
        <w:t xml:space="preserve"> </w:t>
      </w:r>
      <w:r w:rsidRPr="00975DDD">
        <w:t>rozpočtu,</w:t>
      </w:r>
      <w:r>
        <w:t xml:space="preserve"> </w:t>
      </w:r>
      <w:r w:rsidRPr="00975DDD">
        <w:t>plnění</w:t>
      </w:r>
      <w:r>
        <w:t xml:space="preserve"> </w:t>
      </w:r>
      <w:r w:rsidRPr="00975DDD">
        <w:t>povinností</w:t>
      </w:r>
      <w:r>
        <w:t xml:space="preserve"> </w:t>
      </w:r>
      <w:r w:rsidRPr="00975DDD">
        <w:t>České</w:t>
      </w:r>
      <w:r>
        <w:t xml:space="preserve"> </w:t>
      </w:r>
      <w:r w:rsidRPr="00975DDD">
        <w:t>televize</w:t>
      </w:r>
      <w:r>
        <w:t xml:space="preserve"> </w:t>
      </w:r>
      <w:r w:rsidRPr="00975DDD">
        <w:t>převádět</w:t>
      </w:r>
      <w:r>
        <w:t xml:space="preserve"> </w:t>
      </w:r>
      <w:r w:rsidRPr="00975DDD">
        <w:t>a</w:t>
      </w:r>
      <w:r>
        <w:t xml:space="preserve"> </w:t>
      </w:r>
      <w:r w:rsidRPr="00975DDD">
        <w:t>používat</w:t>
      </w:r>
      <w:r>
        <w:t xml:space="preserve"> </w:t>
      </w:r>
      <w:r w:rsidRPr="00975DDD">
        <w:t>výnosy</w:t>
      </w:r>
      <w:r>
        <w:t xml:space="preserve"> </w:t>
      </w:r>
      <w:r w:rsidRPr="00975DDD">
        <w:t>z</w:t>
      </w:r>
      <w:r>
        <w:t xml:space="preserve"> </w:t>
      </w:r>
      <w:r w:rsidRPr="00975DDD">
        <w:t>vysílání</w:t>
      </w:r>
      <w:r>
        <w:t xml:space="preserve"> </w:t>
      </w:r>
      <w:r w:rsidRPr="00975DDD">
        <w:t>reklam</w:t>
      </w:r>
      <w:r>
        <w:t xml:space="preserve"> </w:t>
      </w:r>
      <w:r w:rsidRPr="00975DDD">
        <w:t>v</w:t>
      </w:r>
      <w:r>
        <w:t xml:space="preserve"> </w:t>
      </w:r>
      <w:r w:rsidRPr="00975DDD">
        <w:t>souladu</w:t>
      </w:r>
      <w:r>
        <w:t xml:space="preserve"> </w:t>
      </w:r>
      <w:r w:rsidRPr="00975DDD">
        <w:t>s</w:t>
      </w:r>
      <w:r>
        <w:t xml:space="preserve"> </w:t>
      </w:r>
      <w:r w:rsidRPr="00975DDD">
        <w:t>tímto</w:t>
      </w:r>
      <w:r>
        <w:t xml:space="preserve"> </w:t>
      </w:r>
      <w:r w:rsidRPr="00975DDD">
        <w:t>zákonem</w:t>
      </w:r>
      <w:r>
        <w:t xml:space="preserve"> </w:t>
      </w:r>
      <w:r w:rsidRPr="00975DDD">
        <w:t>a</w:t>
      </w:r>
      <w:r>
        <w:t xml:space="preserve"> </w:t>
      </w:r>
      <w:r w:rsidRPr="00975DDD">
        <w:t>zvláštním</w:t>
      </w:r>
      <w:r>
        <w:t xml:space="preserve"> </w:t>
      </w:r>
      <w:r w:rsidRPr="00975DDD">
        <w:t>právním</w:t>
      </w:r>
      <w:r>
        <w:t xml:space="preserve"> </w:t>
      </w:r>
      <w:r w:rsidRPr="00975DDD">
        <w:t>předpisem</w:t>
      </w:r>
      <w:r w:rsidR="00202E66">
        <w:rPr>
          <w:rStyle w:val="Znakapoznpodarou"/>
        </w:rPr>
        <w:footnoteReference w:customMarkFollows="1" w:id="85"/>
        <w:t>5a</w:t>
      </w:r>
      <w:r w:rsidR="00202E66" w:rsidRPr="00202E66">
        <w:rPr>
          <w:vertAlign w:val="superscript"/>
        </w:rPr>
        <w:t>)</w:t>
      </w:r>
      <w:r w:rsidR="00202E66">
        <w:t xml:space="preserve"> </w:t>
      </w:r>
      <w:r w:rsidRPr="00975DDD">
        <w:t>a</w:t>
      </w:r>
      <w:r>
        <w:t xml:space="preserve"> </w:t>
      </w:r>
      <w:r w:rsidRPr="00975DDD">
        <w:t>na</w:t>
      </w:r>
      <w:r>
        <w:t xml:space="preserve"> </w:t>
      </w:r>
      <w:r w:rsidRPr="00975DDD">
        <w:t>zjištěné</w:t>
      </w:r>
      <w:r>
        <w:t xml:space="preserve"> </w:t>
      </w:r>
      <w:r w:rsidRPr="00975DDD">
        <w:t>nedostatky</w:t>
      </w:r>
      <w:r>
        <w:t xml:space="preserve"> </w:t>
      </w:r>
      <w:r w:rsidRPr="00975DDD">
        <w:t>písemně</w:t>
      </w:r>
      <w:r>
        <w:t xml:space="preserve"> </w:t>
      </w:r>
      <w:r w:rsidRPr="00975DDD">
        <w:t>upozorňovat</w:t>
      </w:r>
      <w:r>
        <w:t xml:space="preserve"> </w:t>
      </w:r>
      <w:r w:rsidRPr="00975DDD">
        <w:t>generálního</w:t>
      </w:r>
      <w:r>
        <w:t xml:space="preserve"> </w:t>
      </w:r>
      <w:r w:rsidRPr="00975DDD">
        <w:t>ředitele,</w:t>
      </w:r>
    </w:p>
    <w:p w14:paraId="1B459ADA" w14:textId="77777777" w:rsidR="00A91760" w:rsidRDefault="00A91760" w:rsidP="002B6A12">
      <w:pPr>
        <w:pStyle w:val="Textparagrafu"/>
        <w:numPr>
          <w:ilvl w:val="0"/>
          <w:numId w:val="28"/>
        </w:numPr>
        <w:tabs>
          <w:tab w:val="left" w:pos="426"/>
        </w:tabs>
        <w:spacing w:before="0"/>
        <w:ind w:left="426" w:hanging="426"/>
      </w:pPr>
      <w:r w:rsidRPr="00975DDD">
        <w:t>d)</w:t>
      </w:r>
      <w:r>
        <w:tab/>
      </w:r>
      <w:r w:rsidRPr="00975DDD">
        <w:t>sledovat</w:t>
      </w:r>
      <w:r>
        <w:t xml:space="preserve"> </w:t>
      </w:r>
      <w:r w:rsidRPr="00975DDD">
        <w:t>naplňování</w:t>
      </w:r>
      <w:r>
        <w:t xml:space="preserve"> </w:t>
      </w:r>
      <w:r w:rsidRPr="00975DDD">
        <w:t>požadavků</w:t>
      </w:r>
      <w:r>
        <w:t xml:space="preserve"> </w:t>
      </w:r>
      <w:r w:rsidRPr="00975DDD">
        <w:t>práva</w:t>
      </w:r>
      <w:r>
        <w:t xml:space="preserve"> </w:t>
      </w:r>
      <w:r w:rsidRPr="00975DDD">
        <w:t>Evropské</w:t>
      </w:r>
      <w:r>
        <w:t xml:space="preserve"> </w:t>
      </w:r>
      <w:r w:rsidRPr="00975DDD">
        <w:t>unie</w:t>
      </w:r>
      <w:r>
        <w:t xml:space="preserve"> </w:t>
      </w:r>
      <w:r w:rsidRPr="00975DDD">
        <w:t>na</w:t>
      </w:r>
      <w:r>
        <w:t xml:space="preserve"> </w:t>
      </w:r>
      <w:r w:rsidRPr="00975DDD">
        <w:t>transparentnost</w:t>
      </w:r>
      <w:r>
        <w:t xml:space="preserve"> </w:t>
      </w:r>
      <w:r w:rsidRPr="00975DDD">
        <w:t>finančních</w:t>
      </w:r>
      <w:r>
        <w:t xml:space="preserve"> </w:t>
      </w:r>
      <w:r w:rsidRPr="00975DDD">
        <w:t>vztahů</w:t>
      </w:r>
      <w:r>
        <w:t xml:space="preserve"> </w:t>
      </w:r>
      <w:r w:rsidRPr="00975DDD">
        <w:t>v</w:t>
      </w:r>
      <w:r>
        <w:t xml:space="preserve"> </w:t>
      </w:r>
      <w:r w:rsidRPr="00975DDD">
        <w:t>České</w:t>
      </w:r>
      <w:r>
        <w:t xml:space="preserve"> </w:t>
      </w:r>
      <w:r w:rsidRPr="00975DDD">
        <w:t>televizi,</w:t>
      </w:r>
    </w:p>
    <w:p w14:paraId="585263A0" w14:textId="77777777" w:rsidR="00A91760" w:rsidRDefault="00A91760" w:rsidP="002B6A12">
      <w:pPr>
        <w:pStyle w:val="Textparagrafu"/>
        <w:numPr>
          <w:ilvl w:val="0"/>
          <w:numId w:val="28"/>
        </w:numPr>
        <w:tabs>
          <w:tab w:val="left" w:pos="426"/>
        </w:tabs>
        <w:spacing w:before="0"/>
        <w:ind w:left="426" w:hanging="426"/>
      </w:pPr>
      <w:r w:rsidRPr="00975DDD">
        <w:t>e)</w:t>
      </w:r>
      <w:r>
        <w:tab/>
      </w:r>
      <w:r w:rsidRPr="00975DDD">
        <w:t>schvalovat</w:t>
      </w:r>
      <w:r>
        <w:t xml:space="preserve"> </w:t>
      </w:r>
      <w:r w:rsidRPr="00975DDD">
        <w:t>na</w:t>
      </w:r>
      <w:r>
        <w:t xml:space="preserve"> </w:t>
      </w:r>
      <w:r w:rsidRPr="00975DDD">
        <w:t>návrh</w:t>
      </w:r>
      <w:r>
        <w:t xml:space="preserve"> </w:t>
      </w:r>
      <w:r w:rsidRPr="00975DDD">
        <w:t>generálního</w:t>
      </w:r>
      <w:r>
        <w:t xml:space="preserve"> </w:t>
      </w:r>
      <w:r w:rsidRPr="00975DDD">
        <w:t>ředitele</w:t>
      </w:r>
      <w:r>
        <w:t xml:space="preserve"> </w:t>
      </w:r>
      <w:r w:rsidRPr="00975DDD">
        <w:t>Statut</w:t>
      </w:r>
      <w:r>
        <w:t xml:space="preserve"> </w:t>
      </w:r>
      <w:r w:rsidRPr="00975DDD">
        <w:t>České</w:t>
      </w:r>
      <w:r>
        <w:t xml:space="preserve"> </w:t>
      </w:r>
      <w:r w:rsidRPr="00975DDD">
        <w:t>televize,</w:t>
      </w:r>
    </w:p>
    <w:p w14:paraId="6BC4E76F" w14:textId="5D7946F3" w:rsidR="00A91760" w:rsidRDefault="00A91760" w:rsidP="002B6A12">
      <w:pPr>
        <w:pStyle w:val="Textparagrafu"/>
        <w:numPr>
          <w:ilvl w:val="0"/>
          <w:numId w:val="28"/>
        </w:numPr>
        <w:tabs>
          <w:tab w:val="left" w:pos="426"/>
        </w:tabs>
        <w:spacing w:before="0"/>
        <w:ind w:left="426" w:hanging="426"/>
      </w:pPr>
      <w:r w:rsidRPr="00975DDD">
        <w:t>f)</w:t>
      </w:r>
      <w:r>
        <w:tab/>
      </w:r>
      <w:r w:rsidRPr="00975DDD">
        <w:t>předkládat</w:t>
      </w:r>
      <w:r>
        <w:t xml:space="preserve"> </w:t>
      </w:r>
      <w:r w:rsidRPr="00975DDD">
        <w:t>Poslanecké</w:t>
      </w:r>
      <w:r>
        <w:t xml:space="preserve"> </w:t>
      </w:r>
      <w:r w:rsidRPr="00975DDD">
        <w:t>sněmovně</w:t>
      </w:r>
      <w:r>
        <w:t xml:space="preserve"> </w:t>
      </w:r>
      <w:r w:rsidRPr="00975DDD">
        <w:t>ke</w:t>
      </w:r>
      <w:r>
        <w:t xml:space="preserve"> </w:t>
      </w:r>
      <w:r w:rsidRPr="00975DDD">
        <w:t>schválení</w:t>
      </w:r>
      <w:r>
        <w:t xml:space="preserve"> </w:t>
      </w:r>
      <w:r w:rsidRPr="00975DDD">
        <w:t>Kodex</w:t>
      </w:r>
      <w:r>
        <w:t xml:space="preserve"> </w:t>
      </w:r>
      <w:r w:rsidRPr="00975DDD">
        <w:t>České</w:t>
      </w:r>
      <w:r>
        <w:t xml:space="preserve"> </w:t>
      </w:r>
      <w:r w:rsidRPr="00975DDD">
        <w:t>televize,</w:t>
      </w:r>
      <w:r>
        <w:t xml:space="preserve"> </w:t>
      </w:r>
      <w:r w:rsidRPr="00975DDD">
        <w:t>který</w:t>
      </w:r>
      <w:r>
        <w:t xml:space="preserve"> </w:t>
      </w:r>
      <w:r w:rsidRPr="00975DDD">
        <w:t>stanoví</w:t>
      </w:r>
      <w:r>
        <w:t xml:space="preserve"> </w:t>
      </w:r>
      <w:r w:rsidRPr="00975DDD">
        <w:t>zásady</w:t>
      </w:r>
      <w:r>
        <w:t xml:space="preserve"> </w:t>
      </w:r>
      <w:r w:rsidRPr="00975DDD">
        <w:t>naplňování</w:t>
      </w:r>
      <w:r>
        <w:t xml:space="preserve"> </w:t>
      </w:r>
      <w:r w:rsidRPr="00975DDD">
        <w:t>veřejné</w:t>
      </w:r>
      <w:r>
        <w:t xml:space="preserve"> </w:t>
      </w:r>
      <w:r w:rsidRPr="00975DDD">
        <w:t>služby</w:t>
      </w:r>
      <w:r>
        <w:t xml:space="preserve"> </w:t>
      </w:r>
      <w:r w:rsidRPr="00975DDD">
        <w:t>v</w:t>
      </w:r>
      <w:r>
        <w:t xml:space="preserve"> </w:t>
      </w:r>
      <w:r w:rsidRPr="00975DDD">
        <w:t>oblasti</w:t>
      </w:r>
      <w:r>
        <w:t xml:space="preserve"> </w:t>
      </w:r>
      <w:r w:rsidRPr="00975DDD">
        <w:t>televizního</w:t>
      </w:r>
      <w:r>
        <w:t xml:space="preserve"> </w:t>
      </w:r>
      <w:r w:rsidRPr="00975DDD">
        <w:t>vysílání;</w:t>
      </w:r>
      <w:r>
        <w:t xml:space="preserve"> </w:t>
      </w:r>
      <w:r w:rsidRPr="00975DDD">
        <w:t>porušení</w:t>
      </w:r>
      <w:r>
        <w:t xml:space="preserve"> </w:t>
      </w:r>
      <w:r w:rsidRPr="00975DDD">
        <w:t>Kodexu</w:t>
      </w:r>
      <w:r>
        <w:t xml:space="preserve"> </w:t>
      </w:r>
      <w:r w:rsidRPr="00975DDD">
        <w:t>České</w:t>
      </w:r>
      <w:r>
        <w:t xml:space="preserve"> </w:t>
      </w:r>
      <w:r w:rsidRPr="00975DDD">
        <w:t>televize</w:t>
      </w:r>
      <w:r>
        <w:t xml:space="preserve"> </w:t>
      </w:r>
      <w:r w:rsidRPr="00975DDD">
        <w:t>je</w:t>
      </w:r>
      <w:r>
        <w:t xml:space="preserve"> </w:t>
      </w:r>
      <w:r w:rsidRPr="00975DDD">
        <w:t>kvalifikováno</w:t>
      </w:r>
      <w:r>
        <w:t xml:space="preserve"> </w:t>
      </w:r>
      <w:r w:rsidRPr="00975DDD">
        <w:t>jako</w:t>
      </w:r>
      <w:r>
        <w:t xml:space="preserve"> </w:t>
      </w:r>
      <w:r w:rsidRPr="00975DDD">
        <w:t>porušení</w:t>
      </w:r>
      <w:r>
        <w:t xml:space="preserve"> </w:t>
      </w:r>
      <w:r w:rsidRPr="00975DDD">
        <w:t>pracovní</w:t>
      </w:r>
      <w:r>
        <w:t xml:space="preserve"> </w:t>
      </w:r>
      <w:r w:rsidRPr="00975DDD">
        <w:t>kázně</w:t>
      </w:r>
      <w:r>
        <w:t xml:space="preserve"> </w:t>
      </w:r>
      <w:r w:rsidRPr="00975DDD">
        <w:t>podle</w:t>
      </w:r>
      <w:r>
        <w:t xml:space="preserve"> </w:t>
      </w:r>
      <w:r w:rsidRPr="00975DDD">
        <w:t>zvláštního</w:t>
      </w:r>
      <w:r>
        <w:t xml:space="preserve"> </w:t>
      </w:r>
      <w:proofErr w:type="gramStart"/>
      <w:r w:rsidRPr="00975DDD">
        <w:t>zákona,</w:t>
      </w:r>
      <w:r w:rsidR="00202E66">
        <w:rPr>
          <w:rStyle w:val="Znakapoznpodarou"/>
        </w:rPr>
        <w:footnoteReference w:customMarkFollows="1" w:id="86"/>
        <w:t>3b</w:t>
      </w:r>
      <w:r w:rsidR="00202E66" w:rsidRPr="00202E66">
        <w:rPr>
          <w:vertAlign w:val="superscript"/>
        </w:rPr>
        <w:t>)</w:t>
      </w:r>
      <w:proofErr w:type="gramEnd"/>
    </w:p>
    <w:p w14:paraId="7BEF8641" w14:textId="77777777" w:rsidR="00A91760" w:rsidRDefault="00A91760" w:rsidP="002B6A12">
      <w:pPr>
        <w:pStyle w:val="Textparagrafu"/>
        <w:numPr>
          <w:ilvl w:val="0"/>
          <w:numId w:val="28"/>
        </w:numPr>
        <w:tabs>
          <w:tab w:val="left" w:pos="426"/>
        </w:tabs>
        <w:spacing w:before="0"/>
        <w:ind w:left="426" w:hanging="426"/>
      </w:pPr>
      <w:r w:rsidRPr="00975DDD">
        <w:t>g)</w:t>
      </w:r>
      <w:r>
        <w:tab/>
      </w:r>
      <w:r w:rsidRPr="00975DDD">
        <w:t>schvalovat</w:t>
      </w:r>
      <w:r>
        <w:t xml:space="preserve"> </w:t>
      </w:r>
      <w:r w:rsidRPr="00975DDD">
        <w:t>návrhy</w:t>
      </w:r>
      <w:r>
        <w:t xml:space="preserve"> </w:t>
      </w:r>
      <w:r w:rsidRPr="00975DDD">
        <w:t>generálního</w:t>
      </w:r>
      <w:r>
        <w:t xml:space="preserve"> </w:t>
      </w:r>
      <w:r w:rsidRPr="00975DDD">
        <w:t>ředitele</w:t>
      </w:r>
      <w:r>
        <w:t xml:space="preserve"> </w:t>
      </w:r>
      <w:r w:rsidRPr="00975DDD">
        <w:t>na</w:t>
      </w:r>
      <w:r>
        <w:t xml:space="preserve"> </w:t>
      </w:r>
      <w:r w:rsidRPr="00975DDD">
        <w:t>zřizování</w:t>
      </w:r>
      <w:r>
        <w:t xml:space="preserve"> </w:t>
      </w:r>
      <w:r w:rsidRPr="00975DDD">
        <w:t>nebo</w:t>
      </w:r>
      <w:r>
        <w:t xml:space="preserve"> </w:t>
      </w:r>
      <w:r w:rsidRPr="00975DDD">
        <w:t>zrušení</w:t>
      </w:r>
      <w:r>
        <w:t xml:space="preserve"> </w:t>
      </w:r>
      <w:r w:rsidRPr="00975DDD">
        <w:t>televizních</w:t>
      </w:r>
      <w:r>
        <w:t xml:space="preserve"> </w:t>
      </w:r>
      <w:r w:rsidRPr="00975DDD">
        <w:t>studií</w:t>
      </w:r>
      <w:r>
        <w:t xml:space="preserve"> </w:t>
      </w:r>
      <w:r w:rsidRPr="00975DDD">
        <w:t>(§</w:t>
      </w:r>
      <w:r>
        <w:t xml:space="preserve"> </w:t>
      </w:r>
      <w:r w:rsidRPr="00975DDD">
        <w:t>9</w:t>
      </w:r>
      <w:r>
        <w:t xml:space="preserve"> </w:t>
      </w:r>
      <w:r w:rsidRPr="00975DDD">
        <w:t>odst.</w:t>
      </w:r>
      <w:r>
        <w:t xml:space="preserve"> </w:t>
      </w:r>
      <w:r w:rsidRPr="00975DDD">
        <w:t>9)</w:t>
      </w:r>
      <w:r>
        <w:t xml:space="preserve"> </w:t>
      </w:r>
      <w:r w:rsidRPr="00975DDD">
        <w:t>a</w:t>
      </w:r>
      <w:r>
        <w:t xml:space="preserve"> </w:t>
      </w:r>
      <w:r w:rsidRPr="00975DDD">
        <w:t>návrhy</w:t>
      </w:r>
      <w:r>
        <w:t xml:space="preserve"> </w:t>
      </w:r>
      <w:r w:rsidRPr="00975DDD">
        <w:t>podle</w:t>
      </w:r>
      <w:r>
        <w:t xml:space="preserve"> </w:t>
      </w:r>
      <w:r w:rsidRPr="00975DDD">
        <w:t>§</w:t>
      </w:r>
      <w:r>
        <w:t xml:space="preserve"> </w:t>
      </w:r>
      <w:r w:rsidRPr="00975DDD">
        <w:t>9</w:t>
      </w:r>
      <w:r>
        <w:t xml:space="preserve"> </w:t>
      </w:r>
      <w:r w:rsidRPr="00975DDD">
        <w:t>odst.</w:t>
      </w:r>
      <w:r>
        <w:t xml:space="preserve"> </w:t>
      </w:r>
      <w:r w:rsidRPr="00975DDD">
        <w:t>8,</w:t>
      </w:r>
    </w:p>
    <w:p w14:paraId="2EFE7269" w14:textId="77777777" w:rsidR="00A91760" w:rsidRDefault="00A91760" w:rsidP="002B6A12">
      <w:pPr>
        <w:pStyle w:val="Textparagrafu"/>
        <w:numPr>
          <w:ilvl w:val="0"/>
          <w:numId w:val="28"/>
        </w:numPr>
        <w:tabs>
          <w:tab w:val="left" w:pos="426"/>
        </w:tabs>
        <w:spacing w:before="0"/>
        <w:ind w:left="426" w:hanging="426"/>
      </w:pPr>
      <w:r w:rsidRPr="00975DDD">
        <w:t>h)</w:t>
      </w:r>
      <w:r>
        <w:tab/>
      </w:r>
      <w:r w:rsidRPr="00975DDD">
        <w:t>rozhodovat</w:t>
      </w:r>
      <w:r>
        <w:t xml:space="preserve"> </w:t>
      </w:r>
      <w:r w:rsidRPr="00975DDD">
        <w:t>o</w:t>
      </w:r>
      <w:r>
        <w:t xml:space="preserve"> </w:t>
      </w:r>
      <w:r w:rsidRPr="00975DDD">
        <w:t>stížnostech</w:t>
      </w:r>
      <w:r>
        <w:t xml:space="preserve"> </w:t>
      </w:r>
      <w:r w:rsidRPr="00975DDD">
        <w:t>týkajících</w:t>
      </w:r>
      <w:r>
        <w:t xml:space="preserve"> </w:t>
      </w:r>
      <w:r w:rsidRPr="00975DDD">
        <w:t>se</w:t>
      </w:r>
      <w:r>
        <w:t xml:space="preserve"> </w:t>
      </w:r>
      <w:r w:rsidRPr="00975DDD">
        <w:t>generálního</w:t>
      </w:r>
      <w:r>
        <w:t xml:space="preserve"> </w:t>
      </w:r>
      <w:r w:rsidRPr="00975DDD">
        <w:t>ředitele,</w:t>
      </w:r>
    </w:p>
    <w:p w14:paraId="7277F74A" w14:textId="77777777" w:rsidR="00A91760" w:rsidRDefault="00A91760" w:rsidP="002B6A12">
      <w:pPr>
        <w:pStyle w:val="Textparagrafu"/>
        <w:numPr>
          <w:ilvl w:val="0"/>
          <w:numId w:val="28"/>
        </w:numPr>
        <w:tabs>
          <w:tab w:val="left" w:pos="426"/>
        </w:tabs>
        <w:spacing w:before="0"/>
        <w:ind w:left="426" w:hanging="426"/>
      </w:pPr>
      <w:r w:rsidRPr="00975DDD">
        <w:t>i)</w:t>
      </w:r>
      <w:r>
        <w:tab/>
      </w:r>
      <w:r w:rsidRPr="00975DDD">
        <w:t>dohlížet</w:t>
      </w:r>
      <w:r>
        <w:t xml:space="preserve"> </w:t>
      </w:r>
      <w:r w:rsidRPr="00975DDD">
        <w:t>na</w:t>
      </w:r>
      <w:r>
        <w:t xml:space="preserve"> </w:t>
      </w:r>
      <w:r w:rsidRPr="00975DDD">
        <w:t>plnění</w:t>
      </w:r>
      <w:r>
        <w:t xml:space="preserve"> </w:t>
      </w:r>
      <w:r w:rsidRPr="00975DDD">
        <w:t>úkolů</w:t>
      </w:r>
      <w:r>
        <w:t xml:space="preserve"> </w:t>
      </w:r>
      <w:r w:rsidRPr="00975DDD">
        <w:t>veřejné</w:t>
      </w:r>
      <w:r>
        <w:t xml:space="preserve"> </w:t>
      </w:r>
      <w:r w:rsidRPr="00975DDD">
        <w:t>služby</w:t>
      </w:r>
      <w:r>
        <w:t xml:space="preserve"> </w:t>
      </w:r>
      <w:r w:rsidRPr="00975DDD">
        <w:t>v</w:t>
      </w:r>
      <w:r>
        <w:t xml:space="preserve"> </w:t>
      </w:r>
      <w:r w:rsidRPr="00975DDD">
        <w:t>oblasti</w:t>
      </w:r>
      <w:r>
        <w:t xml:space="preserve"> </w:t>
      </w:r>
      <w:r w:rsidRPr="00975DDD">
        <w:t>televizního</w:t>
      </w:r>
      <w:r>
        <w:t xml:space="preserve"> </w:t>
      </w:r>
      <w:r w:rsidRPr="00975DDD">
        <w:t>vysílání</w:t>
      </w:r>
      <w:r>
        <w:t xml:space="preserve"> </w:t>
      </w:r>
      <w:r w:rsidRPr="00975DDD">
        <w:t>(§</w:t>
      </w:r>
      <w:r>
        <w:t xml:space="preserve"> </w:t>
      </w:r>
      <w:r w:rsidRPr="00975DDD">
        <w:t>2</w:t>
      </w:r>
      <w:r>
        <w:t xml:space="preserve"> </w:t>
      </w:r>
      <w:r w:rsidRPr="00975DDD">
        <w:t>a</w:t>
      </w:r>
      <w:r>
        <w:t xml:space="preserve"> </w:t>
      </w:r>
      <w:r w:rsidRPr="00975DDD">
        <w:t>3)</w:t>
      </w:r>
      <w:r>
        <w:t xml:space="preserve"> </w:t>
      </w:r>
      <w:r w:rsidRPr="00975DDD">
        <w:t>a</w:t>
      </w:r>
      <w:r>
        <w:t xml:space="preserve"> </w:t>
      </w:r>
      <w:r w:rsidRPr="00975DDD">
        <w:t>na</w:t>
      </w:r>
      <w:r>
        <w:t xml:space="preserve"> </w:t>
      </w:r>
      <w:r w:rsidRPr="00975DDD">
        <w:t>naplňování</w:t>
      </w:r>
      <w:r>
        <w:t xml:space="preserve"> </w:t>
      </w:r>
      <w:r w:rsidRPr="00975DDD">
        <w:t>zásad</w:t>
      </w:r>
      <w:r>
        <w:t xml:space="preserve"> </w:t>
      </w:r>
      <w:r w:rsidRPr="00975DDD">
        <w:t>vyplývajících</w:t>
      </w:r>
      <w:r>
        <w:t xml:space="preserve"> </w:t>
      </w:r>
      <w:r w:rsidRPr="00975DDD">
        <w:t>z</w:t>
      </w:r>
      <w:r>
        <w:t xml:space="preserve"> </w:t>
      </w:r>
      <w:r w:rsidRPr="00975DDD">
        <w:t>Kodexu</w:t>
      </w:r>
      <w:r>
        <w:t xml:space="preserve"> </w:t>
      </w:r>
      <w:r w:rsidRPr="00975DDD">
        <w:t>České</w:t>
      </w:r>
      <w:r>
        <w:t xml:space="preserve"> </w:t>
      </w:r>
      <w:r w:rsidRPr="00975DDD">
        <w:t>televize</w:t>
      </w:r>
      <w:r>
        <w:t xml:space="preserve"> </w:t>
      </w:r>
      <w:r w:rsidRPr="00975DDD">
        <w:t>a</w:t>
      </w:r>
      <w:r>
        <w:t xml:space="preserve"> </w:t>
      </w:r>
      <w:r w:rsidRPr="00975DDD">
        <w:t>za</w:t>
      </w:r>
      <w:r>
        <w:t xml:space="preserve"> </w:t>
      </w:r>
      <w:r w:rsidRPr="00975DDD">
        <w:t>tím</w:t>
      </w:r>
      <w:r>
        <w:t xml:space="preserve"> </w:t>
      </w:r>
      <w:r w:rsidRPr="00975DDD">
        <w:t>účelem</w:t>
      </w:r>
      <w:r>
        <w:t xml:space="preserve"> </w:t>
      </w:r>
      <w:r w:rsidRPr="00975DDD">
        <w:t>vydávat</w:t>
      </w:r>
      <w:r>
        <w:t xml:space="preserve"> </w:t>
      </w:r>
      <w:r w:rsidRPr="00975DDD">
        <w:t>stanoviska</w:t>
      </w:r>
      <w:r>
        <w:t xml:space="preserve"> </w:t>
      </w:r>
      <w:r w:rsidRPr="00975DDD">
        <w:t>a</w:t>
      </w:r>
      <w:r>
        <w:t xml:space="preserve"> </w:t>
      </w:r>
      <w:r w:rsidRPr="00975DDD">
        <w:t>doporučení</w:t>
      </w:r>
      <w:r>
        <w:t xml:space="preserve"> </w:t>
      </w:r>
      <w:r w:rsidRPr="00975DDD">
        <w:t>týkající</w:t>
      </w:r>
      <w:r>
        <w:t xml:space="preserve"> </w:t>
      </w:r>
      <w:r w:rsidRPr="00975DDD">
        <w:t>se</w:t>
      </w:r>
      <w:r>
        <w:t xml:space="preserve"> </w:t>
      </w:r>
      <w:r w:rsidRPr="00975DDD">
        <w:t>programové</w:t>
      </w:r>
      <w:r>
        <w:t xml:space="preserve"> </w:t>
      </w:r>
      <w:r w:rsidRPr="00975DDD">
        <w:t>nabídky,</w:t>
      </w:r>
    </w:p>
    <w:p w14:paraId="7F56C738" w14:textId="77777777" w:rsidR="00A91760" w:rsidRDefault="00A91760" w:rsidP="002B6A12">
      <w:pPr>
        <w:pStyle w:val="Textparagrafu"/>
        <w:numPr>
          <w:ilvl w:val="0"/>
          <w:numId w:val="28"/>
        </w:numPr>
        <w:tabs>
          <w:tab w:val="left" w:pos="426"/>
        </w:tabs>
        <w:spacing w:before="0"/>
        <w:ind w:left="426" w:hanging="426"/>
      </w:pPr>
      <w:r w:rsidRPr="00975DDD">
        <w:t>j)</w:t>
      </w:r>
      <w:r>
        <w:tab/>
      </w:r>
      <w:r w:rsidRPr="00975DDD">
        <w:t>schvalovat</w:t>
      </w:r>
      <w:r>
        <w:t xml:space="preserve"> </w:t>
      </w:r>
      <w:r w:rsidRPr="00975DDD">
        <w:t>dlouhodobé</w:t>
      </w:r>
      <w:r>
        <w:t xml:space="preserve"> </w:t>
      </w:r>
      <w:r w:rsidRPr="00975DDD">
        <w:t>plány</w:t>
      </w:r>
      <w:r>
        <w:t xml:space="preserve"> </w:t>
      </w:r>
      <w:r w:rsidRPr="00975DDD">
        <w:t>programového,</w:t>
      </w:r>
      <w:r>
        <w:t xml:space="preserve"> </w:t>
      </w:r>
      <w:r w:rsidRPr="00975DDD">
        <w:t>technického</w:t>
      </w:r>
      <w:r>
        <w:t xml:space="preserve"> </w:t>
      </w:r>
      <w:r w:rsidRPr="00975DDD">
        <w:t>a</w:t>
      </w:r>
      <w:r>
        <w:t xml:space="preserve"> </w:t>
      </w:r>
      <w:r w:rsidRPr="00975DDD">
        <w:t>ekonomického</w:t>
      </w:r>
      <w:r>
        <w:t xml:space="preserve"> </w:t>
      </w:r>
      <w:r w:rsidRPr="00975DDD">
        <w:t>rozvoje,</w:t>
      </w:r>
    </w:p>
    <w:p w14:paraId="3F259A91" w14:textId="77777777" w:rsidR="00A91760" w:rsidRDefault="00A91760" w:rsidP="002B6A12">
      <w:pPr>
        <w:pStyle w:val="Textparagrafu"/>
        <w:numPr>
          <w:ilvl w:val="0"/>
          <w:numId w:val="28"/>
        </w:numPr>
        <w:tabs>
          <w:tab w:val="left" w:pos="426"/>
        </w:tabs>
        <w:spacing w:before="0"/>
        <w:ind w:left="426" w:hanging="426"/>
      </w:pPr>
      <w:r w:rsidRPr="00975DDD">
        <w:t>k)</w:t>
      </w:r>
      <w:r>
        <w:tab/>
      </w:r>
      <w:r w:rsidRPr="00975DDD">
        <w:t>zřizovat</w:t>
      </w:r>
      <w:r>
        <w:t xml:space="preserve"> </w:t>
      </w:r>
      <w:r w:rsidRPr="00975DDD">
        <w:t>dozorčí</w:t>
      </w:r>
      <w:r>
        <w:t xml:space="preserve"> </w:t>
      </w:r>
      <w:r w:rsidRPr="00975DDD">
        <w:t>komisi</w:t>
      </w:r>
      <w:r>
        <w:t xml:space="preserve"> </w:t>
      </w:r>
      <w:r w:rsidRPr="00975DDD">
        <w:t>(§</w:t>
      </w:r>
      <w:r>
        <w:t xml:space="preserve"> </w:t>
      </w:r>
      <w:r w:rsidRPr="00975DDD">
        <w:t>8a),</w:t>
      </w:r>
      <w:r>
        <w:t xml:space="preserve"> </w:t>
      </w:r>
      <w:r w:rsidRPr="00975DDD">
        <w:t>schvalovat</w:t>
      </w:r>
      <w:r>
        <w:t xml:space="preserve"> </w:t>
      </w:r>
      <w:r w:rsidRPr="00975DDD">
        <w:t>její</w:t>
      </w:r>
      <w:r>
        <w:t xml:space="preserve"> </w:t>
      </w:r>
      <w:r w:rsidRPr="00975DDD">
        <w:t>kontrolní</w:t>
      </w:r>
      <w:r>
        <w:t xml:space="preserve"> </w:t>
      </w:r>
      <w:r w:rsidRPr="00975DDD">
        <w:t>řád</w:t>
      </w:r>
      <w:r>
        <w:t xml:space="preserve"> </w:t>
      </w:r>
      <w:r w:rsidRPr="00975DDD">
        <w:t>(§</w:t>
      </w:r>
      <w:r>
        <w:t xml:space="preserve"> </w:t>
      </w:r>
      <w:r w:rsidRPr="00975DDD">
        <w:t>8a</w:t>
      </w:r>
      <w:r>
        <w:t xml:space="preserve"> </w:t>
      </w:r>
      <w:r w:rsidRPr="00975DDD">
        <w:t>odst.</w:t>
      </w:r>
      <w:r>
        <w:t xml:space="preserve"> </w:t>
      </w:r>
      <w:r w:rsidRPr="00975DDD">
        <w:t>7)</w:t>
      </w:r>
      <w:r>
        <w:t xml:space="preserve"> </w:t>
      </w:r>
      <w:r w:rsidRPr="00975DDD">
        <w:t>a</w:t>
      </w:r>
      <w:r>
        <w:t xml:space="preserve"> </w:t>
      </w:r>
      <w:r w:rsidRPr="00975DDD">
        <w:t>stanovit</w:t>
      </w:r>
      <w:r>
        <w:t xml:space="preserve"> </w:t>
      </w:r>
      <w:r w:rsidRPr="00975DDD">
        <w:t>výši</w:t>
      </w:r>
      <w:r>
        <w:t xml:space="preserve"> </w:t>
      </w:r>
      <w:r w:rsidRPr="00975DDD">
        <w:t>odměn</w:t>
      </w:r>
      <w:r>
        <w:t xml:space="preserve"> </w:t>
      </w:r>
      <w:r w:rsidRPr="00975DDD">
        <w:t>členů</w:t>
      </w:r>
      <w:r>
        <w:t xml:space="preserve"> </w:t>
      </w:r>
      <w:r w:rsidRPr="00975DDD">
        <w:t>dozorčí</w:t>
      </w:r>
      <w:r>
        <w:t xml:space="preserve"> </w:t>
      </w:r>
      <w:r w:rsidRPr="00975DDD">
        <w:t>komise</w:t>
      </w:r>
      <w:r>
        <w:t xml:space="preserve"> </w:t>
      </w:r>
      <w:r w:rsidRPr="00975DDD">
        <w:t>(§</w:t>
      </w:r>
      <w:r>
        <w:t xml:space="preserve"> </w:t>
      </w:r>
      <w:r w:rsidRPr="00975DDD">
        <w:t>8b</w:t>
      </w:r>
      <w:r>
        <w:t xml:space="preserve"> </w:t>
      </w:r>
      <w:r w:rsidRPr="00975DDD">
        <w:t>odst.</w:t>
      </w:r>
      <w:r>
        <w:t xml:space="preserve"> </w:t>
      </w:r>
      <w:r w:rsidRPr="00975DDD">
        <w:t>4),</w:t>
      </w:r>
    </w:p>
    <w:p w14:paraId="20A783D2" w14:textId="77777777" w:rsidR="00A91760" w:rsidRDefault="00A91760" w:rsidP="002B6A12">
      <w:pPr>
        <w:pStyle w:val="Textparagrafu"/>
        <w:numPr>
          <w:ilvl w:val="0"/>
          <w:numId w:val="28"/>
        </w:numPr>
        <w:tabs>
          <w:tab w:val="left" w:pos="426"/>
        </w:tabs>
        <w:spacing w:before="0"/>
        <w:ind w:left="426" w:hanging="426"/>
      </w:pPr>
      <w:r w:rsidRPr="00975DDD">
        <w:t>l)</w:t>
      </w:r>
      <w:r>
        <w:tab/>
      </w:r>
      <w:r w:rsidRPr="00975DDD">
        <w:t>určovat</w:t>
      </w:r>
      <w:r>
        <w:t xml:space="preserve"> </w:t>
      </w:r>
      <w:r w:rsidRPr="00975DDD">
        <w:t>mzdu</w:t>
      </w:r>
      <w:r>
        <w:t xml:space="preserve"> </w:t>
      </w:r>
      <w:r w:rsidRPr="00975DDD">
        <w:t>generálního</w:t>
      </w:r>
      <w:r>
        <w:t xml:space="preserve"> </w:t>
      </w:r>
      <w:r w:rsidRPr="00975DDD">
        <w:t>ředitele.</w:t>
      </w:r>
    </w:p>
    <w:p w14:paraId="5578CC48" w14:textId="77777777" w:rsidR="00A91760" w:rsidRDefault="00A91760" w:rsidP="007E1D4D">
      <w:pPr>
        <w:pStyle w:val="Textparagrafu"/>
        <w:numPr>
          <w:ilvl w:val="0"/>
          <w:numId w:val="28"/>
        </w:numPr>
        <w:ind w:firstLine="426"/>
      </w:pPr>
      <w:r w:rsidRPr="00975DDD">
        <w:t>(2)</w:t>
      </w:r>
      <w:r>
        <w:t xml:space="preserve"> </w:t>
      </w:r>
      <w:r w:rsidRPr="00975DDD">
        <w:t>Rada</w:t>
      </w:r>
      <w:r>
        <w:t xml:space="preserve"> </w:t>
      </w:r>
      <w:r w:rsidRPr="00975DDD">
        <w:t>předkládá</w:t>
      </w:r>
      <w:r>
        <w:t xml:space="preserve"> </w:t>
      </w:r>
      <w:r w:rsidRPr="00975DDD">
        <w:t>Poslanecké</w:t>
      </w:r>
      <w:r>
        <w:t xml:space="preserve"> </w:t>
      </w:r>
      <w:r w:rsidRPr="00975DDD">
        <w:t>sněmovně</w:t>
      </w:r>
      <w:r>
        <w:t xml:space="preserve"> </w:t>
      </w:r>
      <w:r w:rsidRPr="00975DDD">
        <w:t>a</w:t>
      </w:r>
      <w:r>
        <w:t xml:space="preserve"> </w:t>
      </w:r>
      <w:r w:rsidRPr="00975DDD">
        <w:t>Senátu</w:t>
      </w:r>
      <w:r>
        <w:t xml:space="preserve"> </w:t>
      </w:r>
      <w:r w:rsidRPr="00975DDD">
        <w:t>Výroční</w:t>
      </w:r>
      <w:r>
        <w:t xml:space="preserve"> </w:t>
      </w:r>
      <w:r w:rsidRPr="00975DDD">
        <w:t>zprávu</w:t>
      </w:r>
      <w:r>
        <w:t xml:space="preserve"> </w:t>
      </w:r>
      <w:r w:rsidRPr="00975DDD">
        <w:t>o</w:t>
      </w:r>
      <w:r>
        <w:t xml:space="preserve"> </w:t>
      </w:r>
      <w:r w:rsidRPr="00975DDD">
        <w:t>činnosti</w:t>
      </w:r>
      <w:r>
        <w:t xml:space="preserve"> </w:t>
      </w:r>
      <w:r w:rsidRPr="00975DDD">
        <w:t>České</w:t>
      </w:r>
      <w:r>
        <w:t xml:space="preserve"> </w:t>
      </w:r>
      <w:r w:rsidRPr="00975DDD">
        <w:t>televize</w:t>
      </w:r>
      <w:r>
        <w:t xml:space="preserve"> </w:t>
      </w:r>
      <w:r w:rsidRPr="00975DDD">
        <w:t>do</w:t>
      </w:r>
      <w:r>
        <w:t xml:space="preserve"> </w:t>
      </w:r>
      <w:r w:rsidRPr="00975DDD">
        <w:t>31.</w:t>
      </w:r>
      <w:r>
        <w:t xml:space="preserve"> </w:t>
      </w:r>
      <w:r w:rsidRPr="00975DDD">
        <w:t>března</w:t>
      </w:r>
      <w:r>
        <w:t xml:space="preserve"> </w:t>
      </w:r>
      <w:r w:rsidRPr="00975DDD">
        <w:t>bezprostředně</w:t>
      </w:r>
      <w:r>
        <w:t xml:space="preserve"> </w:t>
      </w:r>
      <w:r w:rsidRPr="00975DDD">
        <w:t>následujícího</w:t>
      </w:r>
      <w:r>
        <w:t xml:space="preserve"> </w:t>
      </w:r>
      <w:r w:rsidRPr="00975DDD">
        <w:t>kalendářního</w:t>
      </w:r>
      <w:r>
        <w:t xml:space="preserve"> </w:t>
      </w:r>
      <w:r w:rsidRPr="00975DDD">
        <w:t>roku</w:t>
      </w:r>
      <w:r>
        <w:t xml:space="preserve"> </w:t>
      </w:r>
      <w:r w:rsidRPr="00975DDD">
        <w:t>a</w:t>
      </w:r>
      <w:r>
        <w:t xml:space="preserve"> </w:t>
      </w:r>
      <w:r w:rsidRPr="00975DDD">
        <w:t>Výroční</w:t>
      </w:r>
      <w:r>
        <w:t xml:space="preserve"> </w:t>
      </w:r>
      <w:r w:rsidRPr="00975DDD">
        <w:t>zprávu</w:t>
      </w:r>
      <w:r>
        <w:t xml:space="preserve"> </w:t>
      </w:r>
      <w:r w:rsidRPr="00975DDD">
        <w:t>o</w:t>
      </w:r>
      <w:r>
        <w:t xml:space="preserve"> </w:t>
      </w:r>
      <w:r w:rsidRPr="00975DDD">
        <w:t>hospodaření</w:t>
      </w:r>
      <w:r>
        <w:t xml:space="preserve"> </w:t>
      </w:r>
      <w:r w:rsidRPr="00975DDD">
        <w:t>České</w:t>
      </w:r>
      <w:r>
        <w:t xml:space="preserve"> </w:t>
      </w:r>
      <w:r w:rsidRPr="00975DDD">
        <w:t>televize</w:t>
      </w:r>
      <w:r>
        <w:t xml:space="preserve"> </w:t>
      </w:r>
      <w:r w:rsidRPr="00975DDD">
        <w:t>do</w:t>
      </w:r>
      <w:r>
        <w:t xml:space="preserve"> </w:t>
      </w:r>
      <w:r w:rsidRPr="00975DDD">
        <w:t>31.</w:t>
      </w:r>
      <w:r>
        <w:t xml:space="preserve"> </w:t>
      </w:r>
      <w:r w:rsidRPr="00975DDD">
        <w:t>srpna</w:t>
      </w:r>
      <w:r>
        <w:t xml:space="preserve"> </w:t>
      </w:r>
      <w:r w:rsidRPr="00975DDD">
        <w:t>bezprostředně</w:t>
      </w:r>
      <w:r>
        <w:t xml:space="preserve"> </w:t>
      </w:r>
      <w:r w:rsidRPr="00975DDD">
        <w:t>následujícího</w:t>
      </w:r>
      <w:r>
        <w:t xml:space="preserve"> </w:t>
      </w:r>
      <w:r w:rsidRPr="00975DDD">
        <w:t>kalendářního</w:t>
      </w:r>
      <w:r>
        <w:t xml:space="preserve"> </w:t>
      </w:r>
      <w:r w:rsidRPr="00975DDD">
        <w:t>roku.</w:t>
      </w:r>
      <w:r>
        <w:t xml:space="preserve"> </w:t>
      </w:r>
      <w:r w:rsidRPr="00975DDD">
        <w:lastRenderedPageBreak/>
        <w:t>Výroční</w:t>
      </w:r>
      <w:r>
        <w:t xml:space="preserve"> </w:t>
      </w:r>
      <w:r w:rsidRPr="00975DDD">
        <w:t>zpráva</w:t>
      </w:r>
      <w:r>
        <w:t xml:space="preserve"> </w:t>
      </w:r>
      <w:r w:rsidRPr="00975DDD">
        <w:t>o</w:t>
      </w:r>
      <w:r>
        <w:t xml:space="preserve"> </w:t>
      </w:r>
      <w:r w:rsidRPr="00975DDD">
        <w:t>hospodaření</w:t>
      </w:r>
      <w:r>
        <w:t xml:space="preserve"> </w:t>
      </w:r>
      <w:r w:rsidRPr="00975DDD">
        <w:t>České</w:t>
      </w:r>
      <w:r>
        <w:t xml:space="preserve"> </w:t>
      </w:r>
      <w:r w:rsidRPr="00975DDD">
        <w:t>televize</w:t>
      </w:r>
      <w:r>
        <w:t xml:space="preserve"> </w:t>
      </w:r>
      <w:r w:rsidRPr="00975DDD">
        <w:t>musí</w:t>
      </w:r>
      <w:r>
        <w:t xml:space="preserve"> </w:t>
      </w:r>
      <w:r w:rsidRPr="00975DDD">
        <w:t>v</w:t>
      </w:r>
      <w:r>
        <w:t xml:space="preserve"> </w:t>
      </w:r>
      <w:r w:rsidRPr="00975DDD">
        <w:t>samostatné</w:t>
      </w:r>
      <w:r>
        <w:t xml:space="preserve"> </w:t>
      </w:r>
      <w:r w:rsidRPr="00975DDD">
        <w:t>části</w:t>
      </w:r>
      <w:r>
        <w:t xml:space="preserve"> </w:t>
      </w:r>
      <w:r w:rsidRPr="00975DDD">
        <w:t>obsahovat</w:t>
      </w:r>
      <w:r>
        <w:t xml:space="preserve"> </w:t>
      </w:r>
      <w:r w:rsidRPr="00975DDD">
        <w:t>informaci</w:t>
      </w:r>
      <w:r>
        <w:t xml:space="preserve"> </w:t>
      </w:r>
      <w:r w:rsidRPr="00975DDD">
        <w:t>o</w:t>
      </w:r>
      <w:r>
        <w:t xml:space="preserve"> </w:t>
      </w:r>
      <w:r w:rsidRPr="00975DDD">
        <w:t>naplňování</w:t>
      </w:r>
      <w:r>
        <w:t xml:space="preserve"> </w:t>
      </w:r>
      <w:r w:rsidRPr="00975DDD">
        <w:t>požadavků</w:t>
      </w:r>
      <w:r>
        <w:t xml:space="preserve"> </w:t>
      </w:r>
      <w:r w:rsidRPr="00975DDD">
        <w:t>práva</w:t>
      </w:r>
      <w:r>
        <w:t xml:space="preserve"> </w:t>
      </w:r>
      <w:r w:rsidRPr="00975DDD">
        <w:t>Evropské</w:t>
      </w:r>
      <w:r>
        <w:t xml:space="preserve"> </w:t>
      </w:r>
      <w:r w:rsidRPr="00975DDD">
        <w:t>unie.</w:t>
      </w:r>
      <w:r>
        <w:t xml:space="preserve"> </w:t>
      </w:r>
      <w:r w:rsidRPr="00975DDD">
        <w:t>Obě</w:t>
      </w:r>
      <w:r>
        <w:t xml:space="preserve"> </w:t>
      </w:r>
      <w:r w:rsidRPr="00975DDD">
        <w:t>výroční</w:t>
      </w:r>
      <w:r>
        <w:t xml:space="preserve"> </w:t>
      </w:r>
      <w:r w:rsidRPr="00975DDD">
        <w:t>zprávy</w:t>
      </w:r>
      <w:r>
        <w:t xml:space="preserve"> </w:t>
      </w:r>
      <w:r w:rsidRPr="00975DDD">
        <w:t>musí</w:t>
      </w:r>
      <w:r>
        <w:t xml:space="preserve"> </w:t>
      </w:r>
      <w:r w:rsidRPr="00975DDD">
        <w:t>být</w:t>
      </w:r>
      <w:r>
        <w:t xml:space="preserve"> </w:t>
      </w:r>
      <w:r w:rsidRPr="00975DDD">
        <w:t>nejpozději</w:t>
      </w:r>
      <w:r>
        <w:t xml:space="preserve"> </w:t>
      </w:r>
      <w:r w:rsidRPr="00975DDD">
        <w:t>do</w:t>
      </w:r>
      <w:r>
        <w:t xml:space="preserve"> </w:t>
      </w:r>
      <w:r w:rsidRPr="00975DDD">
        <w:t>3</w:t>
      </w:r>
      <w:r>
        <w:t xml:space="preserve"> </w:t>
      </w:r>
      <w:r w:rsidRPr="00975DDD">
        <w:t>dnů</w:t>
      </w:r>
      <w:r>
        <w:t xml:space="preserve"> </w:t>
      </w:r>
      <w:r w:rsidRPr="00975DDD">
        <w:t>ode</w:t>
      </w:r>
      <w:r>
        <w:t xml:space="preserve"> </w:t>
      </w:r>
      <w:r w:rsidRPr="00975DDD">
        <w:t>dne</w:t>
      </w:r>
      <w:r>
        <w:t xml:space="preserve"> </w:t>
      </w:r>
      <w:r w:rsidRPr="00975DDD">
        <w:t>schválení</w:t>
      </w:r>
      <w:r>
        <w:t xml:space="preserve"> </w:t>
      </w:r>
      <w:r w:rsidRPr="00975DDD">
        <w:t>Radou</w:t>
      </w:r>
      <w:r>
        <w:t xml:space="preserve"> </w:t>
      </w:r>
      <w:r w:rsidRPr="00975DDD">
        <w:t>uveřejněny</w:t>
      </w:r>
      <w:r>
        <w:t xml:space="preserve"> </w:t>
      </w:r>
      <w:r w:rsidRPr="00975DDD">
        <w:t>způsobem</w:t>
      </w:r>
      <w:r>
        <w:t xml:space="preserve"> </w:t>
      </w:r>
      <w:r w:rsidRPr="00975DDD">
        <w:t>umožňujícím</w:t>
      </w:r>
      <w:r>
        <w:t xml:space="preserve"> </w:t>
      </w:r>
      <w:r w:rsidRPr="00975DDD">
        <w:t>dálkový</w:t>
      </w:r>
      <w:r>
        <w:t xml:space="preserve"> </w:t>
      </w:r>
      <w:r w:rsidRPr="00975DDD">
        <w:t>přístup.</w:t>
      </w:r>
    </w:p>
    <w:p w14:paraId="1641BA74" w14:textId="77777777" w:rsidR="00A91760" w:rsidRDefault="00A91760" w:rsidP="007E1D4D">
      <w:pPr>
        <w:pStyle w:val="Textparagrafu"/>
        <w:numPr>
          <w:ilvl w:val="0"/>
          <w:numId w:val="28"/>
        </w:numPr>
        <w:ind w:firstLine="426"/>
      </w:pPr>
      <w:r w:rsidRPr="00975DDD">
        <w:t>(3)</w:t>
      </w:r>
      <w:r>
        <w:t xml:space="preserve"> </w:t>
      </w:r>
      <w:r w:rsidRPr="00975DDD">
        <w:t>Náklady</w:t>
      </w:r>
      <w:r>
        <w:t xml:space="preserve"> </w:t>
      </w:r>
      <w:r w:rsidRPr="00975DDD">
        <w:t>na</w:t>
      </w:r>
      <w:r>
        <w:t xml:space="preserve"> </w:t>
      </w:r>
      <w:r w:rsidRPr="00975DDD">
        <w:t>činnost</w:t>
      </w:r>
      <w:r>
        <w:t xml:space="preserve"> </w:t>
      </w:r>
      <w:r w:rsidRPr="00975DDD">
        <w:t>Rady</w:t>
      </w:r>
      <w:r>
        <w:t xml:space="preserve"> </w:t>
      </w:r>
      <w:r w:rsidRPr="00975DDD">
        <w:t>a</w:t>
      </w:r>
      <w:r>
        <w:t xml:space="preserve"> </w:t>
      </w:r>
      <w:r w:rsidRPr="00975DDD">
        <w:t>na</w:t>
      </w:r>
      <w:r>
        <w:t xml:space="preserve"> </w:t>
      </w:r>
      <w:r w:rsidRPr="00975DDD">
        <w:t>odměny</w:t>
      </w:r>
      <w:r>
        <w:t xml:space="preserve"> </w:t>
      </w:r>
      <w:r w:rsidRPr="00975DDD">
        <w:t>jejích</w:t>
      </w:r>
      <w:r>
        <w:t xml:space="preserve"> </w:t>
      </w:r>
      <w:r w:rsidRPr="00975DDD">
        <w:t>členů,</w:t>
      </w:r>
      <w:r>
        <w:t xml:space="preserve"> </w:t>
      </w:r>
      <w:r w:rsidRPr="00975DDD">
        <w:t>jakož</w:t>
      </w:r>
      <w:r>
        <w:t xml:space="preserve"> </w:t>
      </w:r>
      <w:r w:rsidRPr="00975DDD">
        <w:t>i</w:t>
      </w:r>
      <w:r>
        <w:t xml:space="preserve"> </w:t>
      </w:r>
      <w:r w:rsidRPr="00975DDD">
        <w:t>náklady</w:t>
      </w:r>
      <w:r>
        <w:t xml:space="preserve"> </w:t>
      </w:r>
      <w:r w:rsidRPr="00975DDD">
        <w:t>na</w:t>
      </w:r>
      <w:r>
        <w:t xml:space="preserve"> </w:t>
      </w:r>
      <w:r w:rsidRPr="00975DDD">
        <w:t>činnost</w:t>
      </w:r>
      <w:r>
        <w:t xml:space="preserve"> </w:t>
      </w:r>
      <w:r w:rsidRPr="00975DDD">
        <w:t>dozorčí</w:t>
      </w:r>
      <w:r>
        <w:t xml:space="preserve"> </w:t>
      </w:r>
      <w:r w:rsidRPr="00975DDD">
        <w:t>komise</w:t>
      </w:r>
      <w:r>
        <w:t xml:space="preserve"> </w:t>
      </w:r>
      <w:r w:rsidRPr="00975DDD">
        <w:t>a</w:t>
      </w:r>
      <w:r>
        <w:t xml:space="preserve"> </w:t>
      </w:r>
      <w:r w:rsidRPr="00975DDD">
        <w:t>na</w:t>
      </w:r>
      <w:r>
        <w:t xml:space="preserve"> </w:t>
      </w:r>
      <w:r w:rsidRPr="00975DDD">
        <w:t>odměny</w:t>
      </w:r>
      <w:r>
        <w:t xml:space="preserve"> </w:t>
      </w:r>
      <w:r w:rsidRPr="00975DDD">
        <w:t>jejích</w:t>
      </w:r>
      <w:r>
        <w:t xml:space="preserve"> </w:t>
      </w:r>
      <w:r w:rsidRPr="00975DDD">
        <w:t>členů</w:t>
      </w:r>
      <w:r>
        <w:t xml:space="preserve"> </w:t>
      </w:r>
      <w:r w:rsidRPr="00975DDD">
        <w:t>se</w:t>
      </w:r>
      <w:r>
        <w:t xml:space="preserve"> </w:t>
      </w:r>
      <w:r w:rsidRPr="00975DDD">
        <w:t>hradí</w:t>
      </w:r>
      <w:r>
        <w:t xml:space="preserve"> </w:t>
      </w:r>
      <w:r w:rsidRPr="00975DDD">
        <w:t>ze</w:t>
      </w:r>
      <w:r>
        <w:t xml:space="preserve"> </w:t>
      </w:r>
      <w:r w:rsidRPr="00975DDD">
        <w:t>zvláštní</w:t>
      </w:r>
      <w:r>
        <w:t xml:space="preserve"> </w:t>
      </w:r>
      <w:r w:rsidRPr="00975DDD">
        <w:t>výdajové</w:t>
      </w:r>
      <w:r>
        <w:t xml:space="preserve"> </w:t>
      </w:r>
      <w:r w:rsidRPr="00975DDD">
        <w:t>položky</w:t>
      </w:r>
      <w:r>
        <w:t xml:space="preserve"> </w:t>
      </w:r>
      <w:r w:rsidRPr="00975DDD">
        <w:t>rozpočtu</w:t>
      </w:r>
      <w:r>
        <w:t xml:space="preserve"> </w:t>
      </w:r>
      <w:r w:rsidRPr="00975DDD">
        <w:t>České</w:t>
      </w:r>
      <w:r>
        <w:t xml:space="preserve"> </w:t>
      </w:r>
      <w:r w:rsidRPr="00975DDD">
        <w:t>televize.</w:t>
      </w:r>
    </w:p>
    <w:p w14:paraId="729AB4E0" w14:textId="1D8C3FC4" w:rsidR="00A91760" w:rsidRDefault="00A91760" w:rsidP="007E1D4D">
      <w:pPr>
        <w:pStyle w:val="Textparagrafu"/>
        <w:numPr>
          <w:ilvl w:val="0"/>
          <w:numId w:val="28"/>
        </w:numPr>
        <w:ind w:firstLine="426"/>
      </w:pPr>
      <w:r w:rsidRPr="00975DDD">
        <w:t>(4)</w:t>
      </w:r>
      <w:r>
        <w:t xml:space="preserve"> </w:t>
      </w:r>
      <w:r w:rsidRPr="00975DDD">
        <w:t>Rada</w:t>
      </w:r>
      <w:r>
        <w:t xml:space="preserve"> </w:t>
      </w:r>
      <w:r w:rsidRPr="00975DDD">
        <w:t>ani</w:t>
      </w:r>
      <w:r>
        <w:t xml:space="preserve"> </w:t>
      </w:r>
      <w:r w:rsidRPr="00975DDD">
        <w:t>její</w:t>
      </w:r>
      <w:r>
        <w:t xml:space="preserve"> </w:t>
      </w:r>
      <w:r w:rsidRPr="00975DDD">
        <w:t>členové</w:t>
      </w:r>
      <w:r>
        <w:t xml:space="preserve"> </w:t>
      </w:r>
      <w:r w:rsidRPr="00975DDD">
        <w:t>nesmějí</w:t>
      </w:r>
      <w:r>
        <w:t xml:space="preserve"> </w:t>
      </w:r>
      <w:r w:rsidRPr="00975DDD">
        <w:t>přímo</w:t>
      </w:r>
      <w:r>
        <w:t xml:space="preserve"> </w:t>
      </w:r>
      <w:r w:rsidRPr="00975DDD">
        <w:t>zasahovat</w:t>
      </w:r>
      <w:r>
        <w:t xml:space="preserve"> </w:t>
      </w:r>
      <w:r w:rsidRPr="00975DDD">
        <w:t>do</w:t>
      </w:r>
      <w:r>
        <w:t xml:space="preserve"> </w:t>
      </w:r>
      <w:r w:rsidRPr="00975DDD">
        <w:t>výroby</w:t>
      </w:r>
      <w:r>
        <w:t xml:space="preserve"> </w:t>
      </w:r>
      <w:r w:rsidRPr="00975DDD">
        <w:t>a</w:t>
      </w:r>
      <w:r>
        <w:t xml:space="preserve"> </w:t>
      </w:r>
      <w:r w:rsidRPr="00975DDD">
        <w:t>vysílání</w:t>
      </w:r>
      <w:r>
        <w:t xml:space="preserve"> </w:t>
      </w:r>
      <w:r w:rsidRPr="00975DDD">
        <w:t>televizních</w:t>
      </w:r>
      <w:r>
        <w:t xml:space="preserve"> </w:t>
      </w:r>
      <w:r w:rsidRPr="00975DDD">
        <w:t>pořadů.</w:t>
      </w:r>
    </w:p>
    <w:p w14:paraId="2876F9F4" w14:textId="72D7D3B4" w:rsidR="00602CE7" w:rsidRPr="00975DDD" w:rsidRDefault="00602CE7" w:rsidP="00602CE7">
      <w:pPr>
        <w:pStyle w:val="Textparagrafu"/>
        <w:numPr>
          <w:ilvl w:val="0"/>
          <w:numId w:val="28"/>
        </w:numPr>
        <w:jc w:val="center"/>
      </w:pPr>
      <w:r>
        <w:t>***</w:t>
      </w:r>
    </w:p>
    <w:p w14:paraId="3419F32E" w14:textId="77777777" w:rsidR="00A91760" w:rsidRDefault="00A91760" w:rsidP="00EF7F78">
      <w:pPr>
        <w:pStyle w:val="Textparagrafu"/>
        <w:numPr>
          <w:ilvl w:val="0"/>
          <w:numId w:val="28"/>
        </w:numPr>
        <w:jc w:val="center"/>
      </w:pPr>
      <w:r w:rsidRPr="00975DDD">
        <w:t>§</w:t>
      </w:r>
      <w:r>
        <w:t xml:space="preserve"> </w:t>
      </w:r>
      <w:r w:rsidRPr="00975DDD">
        <w:t>11a</w:t>
      </w:r>
    </w:p>
    <w:p w14:paraId="629304A6" w14:textId="064A7D82" w:rsidR="00A91760" w:rsidRDefault="00A91760" w:rsidP="00BF58A0">
      <w:pPr>
        <w:pStyle w:val="Textparagrafu"/>
        <w:numPr>
          <w:ilvl w:val="0"/>
          <w:numId w:val="28"/>
        </w:numPr>
        <w:jc w:val="center"/>
        <w:rPr>
          <w:strike/>
        </w:rPr>
      </w:pPr>
      <w:r w:rsidRPr="00BF58A0">
        <w:rPr>
          <w:strike/>
        </w:rPr>
        <w:t>Oddělené účtování</w:t>
      </w:r>
    </w:p>
    <w:p w14:paraId="72BD8F28" w14:textId="6D0DFA91" w:rsidR="00BF58A0" w:rsidRPr="00BF58A0" w:rsidRDefault="00BF58A0" w:rsidP="00BF58A0">
      <w:pPr>
        <w:pStyle w:val="Textparagrafu"/>
        <w:numPr>
          <w:ilvl w:val="0"/>
          <w:numId w:val="28"/>
        </w:numPr>
        <w:jc w:val="center"/>
        <w:rPr>
          <w:b/>
        </w:rPr>
      </w:pPr>
      <w:r w:rsidRPr="00BF58A0">
        <w:rPr>
          <w:b/>
        </w:rPr>
        <w:t>Účetnictví a povinný audit</w:t>
      </w:r>
    </w:p>
    <w:p w14:paraId="3D264572" w14:textId="37D85E12" w:rsidR="00A91760" w:rsidRPr="00F34F8E" w:rsidRDefault="00A91760" w:rsidP="00FE1B36">
      <w:pPr>
        <w:pStyle w:val="Textparagrafu"/>
        <w:numPr>
          <w:ilvl w:val="0"/>
          <w:numId w:val="28"/>
        </w:numPr>
        <w:spacing w:before="120" w:after="120"/>
        <w:ind w:firstLine="425"/>
        <w:rPr>
          <w:strike/>
        </w:rPr>
      </w:pPr>
      <w:r w:rsidRPr="00F34F8E">
        <w:rPr>
          <w:strike/>
        </w:rPr>
        <w:t xml:space="preserve">(1) Česká televize vede účetnictví podle zvláštního právního </w:t>
      </w:r>
      <w:proofErr w:type="gramStart"/>
      <w:r w:rsidRPr="00F34F8E">
        <w:rPr>
          <w:strike/>
        </w:rPr>
        <w:t>předpisu.</w:t>
      </w:r>
      <w:r w:rsidRPr="00F34F8E">
        <w:rPr>
          <w:strike/>
          <w:vertAlign w:val="superscript"/>
        </w:rPr>
        <w:t>4)</w:t>
      </w:r>
      <w:proofErr w:type="gramEnd"/>
    </w:p>
    <w:p w14:paraId="029DB00F" w14:textId="5A554710" w:rsidR="00F34F8E" w:rsidRPr="00F34F8E" w:rsidRDefault="00F34F8E" w:rsidP="00FE1B36">
      <w:pPr>
        <w:pStyle w:val="Textparagrafu"/>
        <w:numPr>
          <w:ilvl w:val="0"/>
          <w:numId w:val="28"/>
        </w:numPr>
        <w:spacing w:before="120" w:after="120"/>
        <w:ind w:firstLine="425"/>
        <w:rPr>
          <w:strike/>
        </w:rPr>
      </w:pPr>
      <w:r w:rsidRPr="00F34F8E">
        <w:rPr>
          <w:b/>
        </w:rPr>
        <w:t>(1)</w:t>
      </w:r>
      <w:r>
        <w:rPr>
          <w:strike/>
        </w:rPr>
        <w:t xml:space="preserve"> </w:t>
      </w:r>
      <w:r w:rsidRPr="00472704">
        <w:rPr>
          <w:b/>
        </w:rPr>
        <w:t>Individuálním účetním obdobím České televize je kalendářní rok. Česká televize má povinnost auditu účetní závěrky.</w:t>
      </w:r>
    </w:p>
    <w:p w14:paraId="00430AE6" w14:textId="2559E14D" w:rsidR="00A91760" w:rsidRDefault="00A91760" w:rsidP="00FE1B36">
      <w:pPr>
        <w:pStyle w:val="Textparagrafu"/>
        <w:numPr>
          <w:ilvl w:val="0"/>
          <w:numId w:val="28"/>
        </w:numPr>
        <w:spacing w:before="120" w:after="120"/>
        <w:ind w:firstLine="425"/>
      </w:pPr>
      <w:r w:rsidRPr="00975DDD">
        <w:t>(2)</w:t>
      </w:r>
      <w:r>
        <w:t xml:space="preserve"> </w:t>
      </w:r>
      <w:r w:rsidRPr="00975DDD">
        <w:t>Česká</w:t>
      </w:r>
      <w:r>
        <w:t xml:space="preserve"> </w:t>
      </w:r>
      <w:r w:rsidRPr="00975DDD">
        <w:t>televize</w:t>
      </w:r>
      <w:r>
        <w:t xml:space="preserve"> </w:t>
      </w:r>
      <w:r w:rsidRPr="00975DDD">
        <w:t>je</w:t>
      </w:r>
      <w:r>
        <w:t xml:space="preserve"> </w:t>
      </w:r>
      <w:r w:rsidRPr="00975DDD">
        <w:t>povinna</w:t>
      </w:r>
      <w:r>
        <w:t xml:space="preserve"> </w:t>
      </w:r>
      <w:r w:rsidRPr="00975DDD">
        <w:t>organizačně</w:t>
      </w:r>
      <w:r>
        <w:t xml:space="preserve"> </w:t>
      </w:r>
      <w:r w:rsidRPr="00975DDD">
        <w:t>oddělit</w:t>
      </w:r>
      <w:r>
        <w:t xml:space="preserve"> </w:t>
      </w:r>
      <w:r w:rsidRPr="00975DDD">
        <w:t>činnosti</w:t>
      </w:r>
      <w:r>
        <w:t xml:space="preserve"> </w:t>
      </w:r>
      <w:r w:rsidRPr="00975DDD">
        <w:t>spočívající</w:t>
      </w:r>
      <w:r>
        <w:t xml:space="preserve"> </w:t>
      </w:r>
      <w:r w:rsidRPr="00975DDD">
        <w:t>v</w:t>
      </w:r>
      <w:r>
        <w:t xml:space="preserve"> </w:t>
      </w:r>
      <w:r w:rsidRPr="00975DDD">
        <w:t>poskytování</w:t>
      </w:r>
      <w:r>
        <w:t xml:space="preserve"> </w:t>
      </w:r>
      <w:r w:rsidRPr="00975DDD">
        <w:t>veřejné</w:t>
      </w:r>
      <w:r>
        <w:t xml:space="preserve"> </w:t>
      </w:r>
      <w:r w:rsidRPr="00975DDD">
        <w:t>služby</w:t>
      </w:r>
      <w:r>
        <w:t xml:space="preserve"> </w:t>
      </w:r>
      <w:r w:rsidRPr="00975DDD">
        <w:t>v</w:t>
      </w:r>
      <w:r>
        <w:t xml:space="preserve"> </w:t>
      </w:r>
      <w:r w:rsidRPr="00975DDD">
        <w:t>oblasti</w:t>
      </w:r>
      <w:r>
        <w:t xml:space="preserve"> </w:t>
      </w:r>
      <w:r w:rsidRPr="00975DDD">
        <w:t>televizního</w:t>
      </w:r>
      <w:r>
        <w:t xml:space="preserve"> </w:t>
      </w:r>
      <w:r w:rsidRPr="00975DDD">
        <w:t>vysílání</w:t>
      </w:r>
      <w:r>
        <w:t xml:space="preserve"> </w:t>
      </w:r>
      <w:r w:rsidRPr="00975DDD">
        <w:t>(§</w:t>
      </w:r>
      <w:r>
        <w:t xml:space="preserve"> </w:t>
      </w:r>
      <w:r w:rsidRPr="00975DDD">
        <w:t>2</w:t>
      </w:r>
      <w:r>
        <w:t xml:space="preserve"> </w:t>
      </w:r>
      <w:r w:rsidRPr="00975DDD">
        <w:t>a</w:t>
      </w:r>
      <w:r>
        <w:t xml:space="preserve"> </w:t>
      </w:r>
      <w:r w:rsidRPr="00975DDD">
        <w:t>3)</w:t>
      </w:r>
      <w:r>
        <w:t xml:space="preserve"> </w:t>
      </w:r>
      <w:r w:rsidRPr="00975DDD">
        <w:t>od</w:t>
      </w:r>
      <w:r>
        <w:t xml:space="preserve"> </w:t>
      </w:r>
      <w:r w:rsidRPr="00975DDD">
        <w:t>podnikatelských</w:t>
      </w:r>
      <w:r>
        <w:t xml:space="preserve"> </w:t>
      </w:r>
      <w:r w:rsidRPr="00975DDD">
        <w:t>činností</w:t>
      </w:r>
      <w:r>
        <w:t xml:space="preserve"> </w:t>
      </w:r>
      <w:r w:rsidRPr="00975DDD">
        <w:t>(§</w:t>
      </w:r>
      <w:r>
        <w:t xml:space="preserve"> </w:t>
      </w:r>
      <w:r w:rsidRPr="00975DDD">
        <w:t>11</w:t>
      </w:r>
      <w:r>
        <w:t xml:space="preserve"> </w:t>
      </w:r>
      <w:r w:rsidRPr="00975DDD">
        <w:t>odst.</w:t>
      </w:r>
      <w:r>
        <w:t xml:space="preserve"> </w:t>
      </w:r>
      <w:r w:rsidRPr="00975DDD">
        <w:t>1).</w:t>
      </w:r>
      <w:r>
        <w:t xml:space="preserve"> </w:t>
      </w:r>
      <w:r w:rsidRPr="00F34F8E">
        <w:rPr>
          <w:strike/>
        </w:rPr>
        <w:t>Za každou</w:t>
      </w:r>
      <w:r>
        <w:t xml:space="preserve"> </w:t>
      </w:r>
      <w:proofErr w:type="spellStart"/>
      <w:r w:rsidR="00F34F8E" w:rsidRPr="00F34F8E">
        <w:rPr>
          <w:b/>
        </w:rPr>
        <w:t>Každou</w:t>
      </w:r>
      <w:proofErr w:type="spellEnd"/>
      <w:r w:rsidR="00F34F8E">
        <w:t xml:space="preserve"> </w:t>
      </w:r>
      <w:r w:rsidRPr="00975DDD">
        <w:t>z</w:t>
      </w:r>
      <w:r>
        <w:t xml:space="preserve"> </w:t>
      </w:r>
      <w:r w:rsidRPr="00975DDD">
        <w:t>těchto</w:t>
      </w:r>
      <w:r>
        <w:t xml:space="preserve"> </w:t>
      </w:r>
      <w:r w:rsidRPr="00975DDD">
        <w:t>činností</w:t>
      </w:r>
      <w:r>
        <w:t xml:space="preserve"> </w:t>
      </w:r>
      <w:r w:rsidRPr="00975DDD">
        <w:t>je</w:t>
      </w:r>
      <w:r>
        <w:t xml:space="preserve"> </w:t>
      </w:r>
      <w:r w:rsidRPr="00975DDD">
        <w:t>Česká</w:t>
      </w:r>
      <w:r>
        <w:t xml:space="preserve"> </w:t>
      </w:r>
      <w:r w:rsidRPr="00975DDD">
        <w:t>televize</w:t>
      </w:r>
      <w:r>
        <w:t xml:space="preserve"> </w:t>
      </w:r>
      <w:r w:rsidRPr="00975DDD">
        <w:t>povinna</w:t>
      </w:r>
      <w:r>
        <w:t xml:space="preserve"> </w:t>
      </w:r>
      <w:r w:rsidRPr="00F34F8E">
        <w:rPr>
          <w:strike/>
        </w:rPr>
        <w:t>účtovat</w:t>
      </w:r>
      <w:r>
        <w:t xml:space="preserve"> </w:t>
      </w:r>
      <w:r w:rsidR="00F34F8E" w:rsidRPr="00F34F8E">
        <w:rPr>
          <w:b/>
        </w:rPr>
        <w:t>sledovat v účetním systému odděleně</w:t>
      </w:r>
      <w:r w:rsidR="00F34F8E">
        <w:t xml:space="preserve"> </w:t>
      </w:r>
      <w:r w:rsidRPr="00975DDD">
        <w:t>tak,</w:t>
      </w:r>
      <w:r>
        <w:t xml:space="preserve"> </w:t>
      </w:r>
      <w:r w:rsidRPr="00975DDD">
        <w:t>aby</w:t>
      </w:r>
      <w:r>
        <w:t xml:space="preserve"> </w:t>
      </w:r>
      <w:r w:rsidRPr="00975DDD">
        <w:t>účetnictví</w:t>
      </w:r>
      <w:r>
        <w:t xml:space="preserve"> </w:t>
      </w:r>
      <w:r w:rsidRPr="00975DDD">
        <w:t>umožňovalo</w:t>
      </w:r>
      <w:r>
        <w:t xml:space="preserve"> </w:t>
      </w:r>
      <w:r w:rsidRPr="00975DDD">
        <w:t>rozlišení</w:t>
      </w:r>
      <w:r>
        <w:t xml:space="preserve"> </w:t>
      </w:r>
      <w:r w:rsidRPr="00975DDD">
        <w:t>nákladů</w:t>
      </w:r>
      <w:r>
        <w:t xml:space="preserve"> </w:t>
      </w:r>
      <w:r w:rsidRPr="00975DDD">
        <w:t>a</w:t>
      </w:r>
      <w:r>
        <w:t xml:space="preserve"> </w:t>
      </w:r>
      <w:r w:rsidRPr="00975DDD">
        <w:t>výnosů</w:t>
      </w:r>
      <w:r>
        <w:t xml:space="preserve"> </w:t>
      </w:r>
      <w:r w:rsidRPr="00975DDD">
        <w:t>souvisejících</w:t>
      </w:r>
      <w:r>
        <w:t xml:space="preserve"> </w:t>
      </w:r>
      <w:r w:rsidRPr="00975DDD">
        <w:t>s</w:t>
      </w:r>
      <w:r>
        <w:t xml:space="preserve"> </w:t>
      </w:r>
      <w:r w:rsidRPr="00975DDD">
        <w:t>poskytováním</w:t>
      </w:r>
      <w:r>
        <w:t xml:space="preserve"> </w:t>
      </w:r>
      <w:r w:rsidRPr="00975DDD">
        <w:t>veřejné</w:t>
      </w:r>
      <w:r>
        <w:t xml:space="preserve"> </w:t>
      </w:r>
      <w:r w:rsidRPr="00975DDD">
        <w:t>služby</w:t>
      </w:r>
      <w:r>
        <w:t xml:space="preserve"> </w:t>
      </w:r>
      <w:r w:rsidRPr="00975DDD">
        <w:t>v</w:t>
      </w:r>
      <w:r>
        <w:t xml:space="preserve"> </w:t>
      </w:r>
      <w:r w:rsidRPr="00975DDD">
        <w:t>oblasti</w:t>
      </w:r>
      <w:r>
        <w:t xml:space="preserve"> </w:t>
      </w:r>
      <w:r w:rsidRPr="00975DDD">
        <w:t>televizního</w:t>
      </w:r>
      <w:r>
        <w:t xml:space="preserve"> </w:t>
      </w:r>
      <w:r w:rsidRPr="00975DDD">
        <w:t>vysílání</w:t>
      </w:r>
      <w:r>
        <w:t xml:space="preserve"> </w:t>
      </w:r>
      <w:r w:rsidRPr="00975DDD">
        <w:t>a</w:t>
      </w:r>
      <w:r>
        <w:t xml:space="preserve"> </w:t>
      </w:r>
      <w:r w:rsidRPr="00975DDD">
        <w:t>nákladů</w:t>
      </w:r>
      <w:r>
        <w:t xml:space="preserve"> </w:t>
      </w:r>
      <w:r w:rsidRPr="00975DDD">
        <w:t>a</w:t>
      </w:r>
      <w:r>
        <w:t xml:space="preserve"> </w:t>
      </w:r>
      <w:r w:rsidRPr="00975DDD">
        <w:t>výnosů</w:t>
      </w:r>
      <w:r>
        <w:t xml:space="preserve"> </w:t>
      </w:r>
      <w:r w:rsidRPr="00975DDD">
        <w:t>souvisejících</w:t>
      </w:r>
      <w:r>
        <w:t xml:space="preserve"> </w:t>
      </w:r>
      <w:r w:rsidRPr="00975DDD">
        <w:t>s</w:t>
      </w:r>
      <w:r>
        <w:t xml:space="preserve"> </w:t>
      </w:r>
      <w:r w:rsidRPr="00975DDD">
        <w:t>podnikatelskými</w:t>
      </w:r>
      <w:r>
        <w:t xml:space="preserve"> </w:t>
      </w:r>
      <w:r w:rsidRPr="00975DDD">
        <w:t>činnostmi.</w:t>
      </w:r>
      <w:r>
        <w:t xml:space="preserve"> </w:t>
      </w:r>
      <w:r w:rsidRPr="00975DDD">
        <w:t>Metody</w:t>
      </w:r>
      <w:r>
        <w:t xml:space="preserve"> </w:t>
      </w:r>
      <w:r w:rsidRPr="00975DDD">
        <w:t>rozlišování</w:t>
      </w:r>
      <w:r>
        <w:t xml:space="preserve"> </w:t>
      </w:r>
      <w:r w:rsidRPr="00975DDD">
        <w:t>nákladů</w:t>
      </w:r>
      <w:r>
        <w:t xml:space="preserve"> </w:t>
      </w:r>
      <w:r w:rsidRPr="00975DDD">
        <w:t>a</w:t>
      </w:r>
      <w:r>
        <w:t xml:space="preserve"> </w:t>
      </w:r>
      <w:r w:rsidRPr="00975DDD">
        <w:t>výnosů</w:t>
      </w:r>
      <w:r>
        <w:t xml:space="preserve"> </w:t>
      </w:r>
      <w:r w:rsidRPr="00975DDD">
        <w:t>a</w:t>
      </w:r>
      <w:r>
        <w:t xml:space="preserve"> </w:t>
      </w:r>
      <w:r w:rsidRPr="00975DDD">
        <w:t>jejich</w:t>
      </w:r>
      <w:r>
        <w:t xml:space="preserve"> </w:t>
      </w:r>
      <w:r w:rsidRPr="00975DDD">
        <w:t>přiřazování</w:t>
      </w:r>
      <w:r>
        <w:t xml:space="preserve"> </w:t>
      </w:r>
      <w:r w:rsidRPr="00975DDD">
        <w:t>k</w:t>
      </w:r>
      <w:r>
        <w:t xml:space="preserve"> </w:t>
      </w:r>
      <w:r w:rsidRPr="00975DDD">
        <w:t>činnostem</w:t>
      </w:r>
      <w:r>
        <w:t xml:space="preserve"> </w:t>
      </w:r>
      <w:r w:rsidRPr="00975DDD">
        <w:t>podle</w:t>
      </w:r>
      <w:r>
        <w:t xml:space="preserve"> </w:t>
      </w:r>
      <w:r w:rsidRPr="00975DDD">
        <w:t>§</w:t>
      </w:r>
      <w:r>
        <w:t xml:space="preserve"> </w:t>
      </w:r>
      <w:r w:rsidRPr="00975DDD">
        <w:t>2</w:t>
      </w:r>
      <w:r>
        <w:t xml:space="preserve"> </w:t>
      </w:r>
      <w:r w:rsidRPr="00975DDD">
        <w:t>a</w:t>
      </w:r>
      <w:r>
        <w:t xml:space="preserve"> </w:t>
      </w:r>
      <w:r w:rsidRPr="00975DDD">
        <w:t>3</w:t>
      </w:r>
      <w:r>
        <w:t xml:space="preserve"> </w:t>
      </w:r>
      <w:r w:rsidRPr="00975DDD">
        <w:t>nebo</w:t>
      </w:r>
      <w:r>
        <w:t xml:space="preserve"> </w:t>
      </w:r>
      <w:r w:rsidRPr="00975DDD">
        <w:t>podle</w:t>
      </w:r>
      <w:r>
        <w:t xml:space="preserve"> </w:t>
      </w:r>
      <w:r w:rsidRPr="00975DDD">
        <w:t>§</w:t>
      </w:r>
      <w:r>
        <w:t xml:space="preserve"> </w:t>
      </w:r>
      <w:r w:rsidRPr="00975DDD">
        <w:t>11</w:t>
      </w:r>
      <w:r>
        <w:t xml:space="preserve"> </w:t>
      </w:r>
      <w:r w:rsidRPr="00975DDD">
        <w:t>odst.</w:t>
      </w:r>
      <w:r>
        <w:t xml:space="preserve"> </w:t>
      </w:r>
      <w:r w:rsidRPr="00975DDD">
        <w:t>1</w:t>
      </w:r>
      <w:r>
        <w:t xml:space="preserve"> </w:t>
      </w:r>
      <w:r w:rsidRPr="00975DDD">
        <w:t>stanoví</w:t>
      </w:r>
      <w:r>
        <w:t xml:space="preserve"> </w:t>
      </w:r>
      <w:r w:rsidRPr="00975DDD">
        <w:t>Česká</w:t>
      </w:r>
      <w:r>
        <w:t xml:space="preserve"> </w:t>
      </w:r>
      <w:r w:rsidRPr="00975DDD">
        <w:t>televize</w:t>
      </w:r>
      <w:r>
        <w:t xml:space="preserve"> </w:t>
      </w:r>
      <w:r w:rsidRPr="00975DDD">
        <w:t>vnitřním</w:t>
      </w:r>
      <w:r>
        <w:t xml:space="preserve"> </w:t>
      </w:r>
      <w:r w:rsidRPr="00975DDD">
        <w:t>předpisem</w:t>
      </w:r>
      <w:r>
        <w:t xml:space="preserve"> </w:t>
      </w:r>
      <w:r w:rsidRPr="00975DDD">
        <w:t>(dále</w:t>
      </w:r>
      <w:r>
        <w:t xml:space="preserve"> </w:t>
      </w:r>
      <w:r w:rsidRPr="00975DDD">
        <w:t>jen</w:t>
      </w:r>
      <w:r>
        <w:t xml:space="preserve"> </w:t>
      </w:r>
      <w:r w:rsidRPr="00975DDD">
        <w:t>"Účetní</w:t>
      </w:r>
      <w:r>
        <w:t xml:space="preserve"> </w:t>
      </w:r>
      <w:r w:rsidRPr="00975DDD">
        <w:t>standardy</w:t>
      </w:r>
      <w:r>
        <w:t xml:space="preserve"> </w:t>
      </w:r>
      <w:r w:rsidRPr="00975DDD">
        <w:t>České</w:t>
      </w:r>
      <w:r>
        <w:t xml:space="preserve"> </w:t>
      </w:r>
      <w:r w:rsidRPr="00975DDD">
        <w:t>televize"),</w:t>
      </w:r>
      <w:r>
        <w:t xml:space="preserve"> </w:t>
      </w:r>
      <w:r w:rsidRPr="00975DDD">
        <w:t>který</w:t>
      </w:r>
      <w:r>
        <w:t xml:space="preserve"> </w:t>
      </w:r>
      <w:r w:rsidRPr="00975DDD">
        <w:t>musí</w:t>
      </w:r>
      <w:r>
        <w:t xml:space="preserve"> </w:t>
      </w:r>
      <w:r w:rsidRPr="00975DDD">
        <w:t>naplňovat</w:t>
      </w:r>
      <w:r>
        <w:t xml:space="preserve"> </w:t>
      </w:r>
      <w:r w:rsidRPr="00975DDD">
        <w:t>požadavky</w:t>
      </w:r>
      <w:r>
        <w:t xml:space="preserve"> </w:t>
      </w:r>
      <w:r w:rsidRPr="00975DDD">
        <w:t>práva</w:t>
      </w:r>
      <w:r>
        <w:t xml:space="preserve"> </w:t>
      </w:r>
      <w:r w:rsidRPr="00975DDD">
        <w:t>Evropské</w:t>
      </w:r>
      <w:r>
        <w:t xml:space="preserve"> </w:t>
      </w:r>
      <w:r w:rsidRPr="00975DDD">
        <w:t>unie.</w:t>
      </w:r>
    </w:p>
    <w:p w14:paraId="2705BCEC" w14:textId="5FDEF414" w:rsidR="00A91760" w:rsidRPr="00975DDD" w:rsidRDefault="00A91760" w:rsidP="00FE1B36">
      <w:pPr>
        <w:pStyle w:val="Textparagrafu"/>
        <w:numPr>
          <w:ilvl w:val="0"/>
          <w:numId w:val="28"/>
        </w:numPr>
        <w:spacing w:before="120" w:after="120"/>
        <w:ind w:firstLine="425"/>
      </w:pPr>
      <w:r w:rsidRPr="00975DDD">
        <w:t>(3)</w:t>
      </w:r>
      <w:r>
        <w:t xml:space="preserve"> </w:t>
      </w:r>
      <w:r w:rsidRPr="00975DDD">
        <w:t>Česká</w:t>
      </w:r>
      <w:r>
        <w:t xml:space="preserve"> </w:t>
      </w:r>
      <w:r w:rsidRPr="00975DDD">
        <w:t>televize</w:t>
      </w:r>
      <w:r>
        <w:t xml:space="preserve"> </w:t>
      </w:r>
      <w:r w:rsidRPr="00975DDD">
        <w:t>je</w:t>
      </w:r>
      <w:r>
        <w:t xml:space="preserve"> </w:t>
      </w:r>
      <w:r w:rsidRPr="00975DDD">
        <w:t>povinna</w:t>
      </w:r>
      <w:r>
        <w:t xml:space="preserve"> </w:t>
      </w:r>
      <w:r w:rsidRPr="00975DDD">
        <w:t>uchovávat</w:t>
      </w:r>
      <w:r>
        <w:t xml:space="preserve"> </w:t>
      </w:r>
      <w:r w:rsidRPr="00975DDD">
        <w:t>údaje</w:t>
      </w:r>
      <w:r>
        <w:t xml:space="preserve"> </w:t>
      </w:r>
      <w:r w:rsidRPr="00975DDD">
        <w:t>o</w:t>
      </w:r>
      <w:r>
        <w:t xml:space="preserve"> </w:t>
      </w:r>
      <w:r w:rsidRPr="00975DDD">
        <w:t>naplňování</w:t>
      </w:r>
      <w:r>
        <w:t xml:space="preserve"> </w:t>
      </w:r>
      <w:r w:rsidRPr="00975DDD">
        <w:t>povinnosti</w:t>
      </w:r>
      <w:r>
        <w:t xml:space="preserve"> </w:t>
      </w:r>
      <w:r w:rsidRPr="00975DDD">
        <w:t>podle</w:t>
      </w:r>
      <w:r>
        <w:t xml:space="preserve"> </w:t>
      </w:r>
      <w:r w:rsidRPr="00975DDD">
        <w:t>odstavce</w:t>
      </w:r>
      <w:r>
        <w:t xml:space="preserve"> </w:t>
      </w:r>
      <w:r w:rsidRPr="00975DDD">
        <w:t>2</w:t>
      </w:r>
      <w:r>
        <w:t xml:space="preserve"> </w:t>
      </w:r>
      <w:r w:rsidRPr="00975DDD">
        <w:t>po</w:t>
      </w:r>
      <w:r>
        <w:t xml:space="preserve"> </w:t>
      </w:r>
      <w:r w:rsidRPr="00975DDD">
        <w:t>dobu</w:t>
      </w:r>
      <w:r>
        <w:t xml:space="preserve"> </w:t>
      </w:r>
      <w:r w:rsidRPr="00975DDD">
        <w:t>stanovenou</w:t>
      </w:r>
      <w:r>
        <w:t xml:space="preserve"> </w:t>
      </w:r>
      <w:r w:rsidRPr="00975DDD">
        <w:t>právem</w:t>
      </w:r>
      <w:r>
        <w:t xml:space="preserve"> </w:t>
      </w:r>
      <w:r w:rsidRPr="00975DDD">
        <w:t>Evropské</w:t>
      </w:r>
      <w:r>
        <w:t xml:space="preserve"> </w:t>
      </w:r>
      <w:r w:rsidRPr="00975DDD">
        <w:t>unie</w:t>
      </w:r>
      <w:r>
        <w:t xml:space="preserve"> </w:t>
      </w:r>
      <w:r w:rsidRPr="00975DDD">
        <w:t>a</w:t>
      </w:r>
      <w:r>
        <w:t xml:space="preserve"> </w:t>
      </w:r>
      <w:r w:rsidRPr="00975DDD">
        <w:t>na</w:t>
      </w:r>
      <w:r>
        <w:t xml:space="preserve"> </w:t>
      </w:r>
      <w:r w:rsidRPr="00975DDD">
        <w:t>výzvu</w:t>
      </w:r>
      <w:r>
        <w:t xml:space="preserve"> </w:t>
      </w:r>
      <w:r w:rsidRPr="00975DDD">
        <w:t>tyto</w:t>
      </w:r>
      <w:r>
        <w:t xml:space="preserve"> </w:t>
      </w:r>
      <w:r w:rsidRPr="00975DDD">
        <w:t>údaje</w:t>
      </w:r>
      <w:r>
        <w:t xml:space="preserve"> </w:t>
      </w:r>
      <w:r w:rsidRPr="00975DDD">
        <w:t>předávat</w:t>
      </w:r>
      <w:r>
        <w:t xml:space="preserve"> </w:t>
      </w:r>
      <w:r w:rsidRPr="00975DDD">
        <w:t>Úřadu</w:t>
      </w:r>
      <w:r>
        <w:t xml:space="preserve"> </w:t>
      </w:r>
      <w:r w:rsidRPr="00975DDD">
        <w:t>pro</w:t>
      </w:r>
      <w:r>
        <w:t xml:space="preserve"> </w:t>
      </w:r>
      <w:r w:rsidRPr="00975DDD">
        <w:t>ochranu</w:t>
      </w:r>
      <w:r>
        <w:t xml:space="preserve"> </w:t>
      </w:r>
      <w:r w:rsidRPr="00975DDD">
        <w:t>hospodářské</w:t>
      </w:r>
      <w:r>
        <w:t xml:space="preserve"> </w:t>
      </w:r>
      <w:r w:rsidRPr="00975DDD">
        <w:t>soutěže,</w:t>
      </w:r>
      <w:r w:rsidR="001D25C6">
        <w:rPr>
          <w:rStyle w:val="Znakapoznpodarou"/>
        </w:rPr>
        <w:footnoteReference w:customMarkFollows="1" w:id="87"/>
        <w:t>11)</w:t>
      </w:r>
      <w:r>
        <w:t xml:space="preserve"> </w:t>
      </w:r>
      <w:r w:rsidRPr="00975DDD">
        <w:t>a</w:t>
      </w:r>
      <w:r>
        <w:t xml:space="preserve"> </w:t>
      </w:r>
      <w:r w:rsidRPr="00975DDD">
        <w:t>to</w:t>
      </w:r>
      <w:r>
        <w:t xml:space="preserve"> </w:t>
      </w:r>
      <w:r w:rsidRPr="00975DDD">
        <w:t>spolu</w:t>
      </w:r>
      <w:r>
        <w:t xml:space="preserve"> </w:t>
      </w:r>
      <w:r w:rsidRPr="00975DDD">
        <w:t>s</w:t>
      </w:r>
      <w:r>
        <w:t xml:space="preserve"> </w:t>
      </w:r>
      <w:r w:rsidRPr="00975DDD">
        <w:t>Účetními</w:t>
      </w:r>
      <w:r>
        <w:t xml:space="preserve"> </w:t>
      </w:r>
      <w:r w:rsidRPr="00975DDD">
        <w:t>standardy</w:t>
      </w:r>
      <w:r>
        <w:t xml:space="preserve"> </w:t>
      </w:r>
      <w:r w:rsidRPr="00975DDD">
        <w:t>České</w:t>
      </w:r>
      <w:r>
        <w:t xml:space="preserve"> </w:t>
      </w:r>
      <w:r w:rsidRPr="00975DDD">
        <w:t>televize</w:t>
      </w:r>
      <w:r>
        <w:t xml:space="preserve"> </w:t>
      </w:r>
      <w:r w:rsidRPr="00975DDD">
        <w:t>a</w:t>
      </w:r>
      <w:r>
        <w:t xml:space="preserve"> </w:t>
      </w:r>
      <w:r w:rsidRPr="00975DDD">
        <w:t>dalšími</w:t>
      </w:r>
      <w:r>
        <w:t xml:space="preserve"> </w:t>
      </w:r>
      <w:r w:rsidRPr="00975DDD">
        <w:t>podklady</w:t>
      </w:r>
      <w:r>
        <w:t xml:space="preserve"> </w:t>
      </w:r>
      <w:r w:rsidRPr="00975DDD">
        <w:t>nezbytnými</w:t>
      </w:r>
      <w:r>
        <w:t xml:space="preserve"> </w:t>
      </w:r>
      <w:r w:rsidRPr="00975DDD">
        <w:t>k</w:t>
      </w:r>
      <w:r>
        <w:t xml:space="preserve"> </w:t>
      </w:r>
      <w:r w:rsidRPr="00975DDD">
        <w:t>posouzení</w:t>
      </w:r>
      <w:r>
        <w:t xml:space="preserve"> </w:t>
      </w:r>
      <w:r w:rsidRPr="00975DDD">
        <w:t>naplňování</w:t>
      </w:r>
      <w:r>
        <w:t xml:space="preserve"> </w:t>
      </w:r>
      <w:r w:rsidRPr="00975DDD">
        <w:t>povinnosti</w:t>
      </w:r>
      <w:r>
        <w:t xml:space="preserve"> </w:t>
      </w:r>
      <w:r w:rsidRPr="00975DDD">
        <w:t>podle</w:t>
      </w:r>
      <w:r>
        <w:t xml:space="preserve"> </w:t>
      </w:r>
      <w:r w:rsidRPr="00975DDD">
        <w:t>odstavce</w:t>
      </w:r>
      <w:r>
        <w:t xml:space="preserve"> </w:t>
      </w:r>
      <w:r w:rsidRPr="00975DDD">
        <w:t>2.</w:t>
      </w:r>
    </w:p>
    <w:p w14:paraId="10D6C9E4" w14:textId="77777777" w:rsidR="00853F61" w:rsidRDefault="00853F61" w:rsidP="00EF7F78">
      <w:pPr>
        <w:pStyle w:val="Textparagrafu"/>
        <w:numPr>
          <w:ilvl w:val="0"/>
          <w:numId w:val="28"/>
        </w:numPr>
        <w:jc w:val="center"/>
        <w:sectPr w:rsidR="00853F61" w:rsidSect="00FC7E78">
          <w:footnotePr>
            <w:numStart w:val="3"/>
          </w:footnotePr>
          <w:endnotePr>
            <w:numFmt w:val="decimal"/>
          </w:endnotePr>
          <w:pgSz w:w="11906" w:h="16838"/>
          <w:pgMar w:top="1417" w:right="1417" w:bottom="1417" w:left="1417" w:header="708" w:footer="708" w:gutter="0"/>
          <w:cols w:space="708"/>
          <w:docGrid w:linePitch="360"/>
        </w:sectPr>
      </w:pPr>
    </w:p>
    <w:p w14:paraId="6E165121" w14:textId="44B586B5" w:rsidR="00853F61" w:rsidRPr="00E70B7D" w:rsidRDefault="00853F61" w:rsidP="00FE1B36">
      <w:pPr>
        <w:pStyle w:val="Odstavecseseznamem"/>
        <w:tabs>
          <w:tab w:val="left" w:pos="851"/>
        </w:tabs>
        <w:spacing w:before="120" w:after="120"/>
        <w:ind w:left="0" w:firstLine="0"/>
        <w:jc w:val="center"/>
        <w:outlineLvl w:val="0"/>
        <w:rPr>
          <w:b/>
          <w:szCs w:val="24"/>
        </w:rPr>
      </w:pPr>
      <w:r w:rsidRPr="00E70B7D">
        <w:rPr>
          <w:b/>
          <w:szCs w:val="24"/>
        </w:rPr>
        <w:lastRenderedPageBreak/>
        <w:t xml:space="preserve">K části </w:t>
      </w:r>
      <w:r>
        <w:rPr>
          <w:b/>
          <w:szCs w:val="24"/>
        </w:rPr>
        <w:t>de</w:t>
      </w:r>
      <w:r w:rsidR="00F44AEB">
        <w:rPr>
          <w:b/>
          <w:szCs w:val="24"/>
        </w:rPr>
        <w:t>sáté</w:t>
      </w:r>
      <w:r w:rsidRPr="00E70B7D">
        <w:rPr>
          <w:b/>
          <w:szCs w:val="24"/>
        </w:rPr>
        <w:t xml:space="preserve"> návrhu zákona – </w:t>
      </w:r>
      <w:r w:rsidRPr="00E70B7D">
        <w:rPr>
          <w:szCs w:val="24"/>
        </w:rPr>
        <w:t xml:space="preserve">změna </w:t>
      </w:r>
      <w:r>
        <w:rPr>
          <w:szCs w:val="24"/>
        </w:rPr>
        <w:t xml:space="preserve">zákona </w:t>
      </w:r>
      <w:r w:rsidR="00602CE7" w:rsidRPr="00602CE7">
        <w:rPr>
          <w:szCs w:val="24"/>
        </w:rPr>
        <w:t>o Všeobecné zdravotní pojišťovně České republiky</w:t>
      </w:r>
    </w:p>
    <w:p w14:paraId="693356A6" w14:textId="77777777" w:rsidR="00853F61" w:rsidRPr="00AE0742" w:rsidRDefault="00853F61" w:rsidP="00853F61">
      <w:pPr>
        <w:pStyle w:val="Odstavecseseznamem"/>
        <w:tabs>
          <w:tab w:val="left" w:pos="851"/>
        </w:tabs>
        <w:spacing w:before="120" w:after="120"/>
        <w:ind w:left="0"/>
        <w:outlineLvl w:val="0"/>
        <w:rPr>
          <w:b/>
          <w:szCs w:val="24"/>
        </w:rPr>
      </w:pPr>
    </w:p>
    <w:p w14:paraId="718FFB4A" w14:textId="4E73D604" w:rsidR="00853F61" w:rsidRDefault="00853F61" w:rsidP="00602CE7">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AE0742">
        <w:rPr>
          <w:b/>
          <w:szCs w:val="24"/>
        </w:rPr>
        <w:t>Platné znění</w:t>
      </w:r>
      <w:r w:rsidRPr="00AE0742">
        <w:rPr>
          <w:szCs w:val="24"/>
        </w:rPr>
        <w:t xml:space="preserve"> zákona </w:t>
      </w:r>
      <w:r w:rsidRPr="00AE0742">
        <w:rPr>
          <w:color w:val="000000"/>
          <w:szCs w:val="24"/>
        </w:rPr>
        <w:t>č. </w:t>
      </w:r>
      <w:r w:rsidR="00602CE7">
        <w:rPr>
          <w:color w:val="000000"/>
          <w:szCs w:val="24"/>
        </w:rPr>
        <w:t>551</w:t>
      </w:r>
      <w:r>
        <w:rPr>
          <w:color w:val="000000"/>
          <w:szCs w:val="24"/>
        </w:rPr>
        <w:t xml:space="preserve">/1991 </w:t>
      </w:r>
      <w:r w:rsidRPr="00AE0742">
        <w:rPr>
          <w:color w:val="000000"/>
          <w:szCs w:val="24"/>
        </w:rPr>
        <w:t xml:space="preserve">Sb., </w:t>
      </w:r>
      <w:r w:rsidR="00602CE7" w:rsidRPr="00602CE7">
        <w:rPr>
          <w:szCs w:val="24"/>
        </w:rPr>
        <w:t>o Všeobecné zdravotní pojišťovně České republiky</w:t>
      </w:r>
    </w:p>
    <w:p w14:paraId="3E3A1255" w14:textId="66E87687" w:rsidR="00853F61" w:rsidRPr="00FE1B36" w:rsidRDefault="00FE1B36" w:rsidP="00FE1B36">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b/>
          <w:szCs w:val="24"/>
        </w:rPr>
      </w:pPr>
      <w:r w:rsidRPr="00A06781">
        <w:rPr>
          <w:b/>
          <w:szCs w:val="24"/>
        </w:rPr>
        <w:t>s vyznačením navrhovaných změn a doplnění k 1. lednu 2025</w:t>
      </w:r>
    </w:p>
    <w:p w14:paraId="5BA29455" w14:textId="5520DA58" w:rsidR="00B84B30" w:rsidRDefault="00853F61" w:rsidP="00EF7F78">
      <w:pPr>
        <w:pStyle w:val="Textparagrafu"/>
        <w:numPr>
          <w:ilvl w:val="0"/>
          <w:numId w:val="28"/>
        </w:numPr>
        <w:jc w:val="center"/>
      </w:pPr>
      <w:r>
        <w:t>***</w:t>
      </w:r>
    </w:p>
    <w:p w14:paraId="621E757B" w14:textId="77777777" w:rsidR="00602CE7" w:rsidRDefault="00602CE7" w:rsidP="00602CE7">
      <w:pPr>
        <w:pStyle w:val="Textparagrafu"/>
        <w:numPr>
          <w:ilvl w:val="0"/>
          <w:numId w:val="28"/>
        </w:numPr>
        <w:jc w:val="center"/>
      </w:pPr>
      <w:r w:rsidRPr="00AC4A6B">
        <w:t>§</w:t>
      </w:r>
      <w:r>
        <w:t xml:space="preserve"> </w:t>
      </w:r>
      <w:r w:rsidRPr="00AC4A6B">
        <w:t>6</w:t>
      </w:r>
    </w:p>
    <w:p w14:paraId="458DCB19" w14:textId="77777777" w:rsidR="00602CE7" w:rsidRDefault="00602CE7" w:rsidP="00FE1B36">
      <w:pPr>
        <w:pStyle w:val="Textparagrafu"/>
        <w:numPr>
          <w:ilvl w:val="0"/>
          <w:numId w:val="28"/>
        </w:numPr>
        <w:spacing w:before="120" w:after="120"/>
        <w:ind w:firstLine="426"/>
      </w:pPr>
      <w:r w:rsidRPr="00AC4A6B">
        <w:t>(1)</w:t>
      </w:r>
      <w:r>
        <w:t xml:space="preserve"> </w:t>
      </w:r>
      <w:r w:rsidRPr="00AC4A6B">
        <w:t>Pojišťovna</w:t>
      </w:r>
      <w:r>
        <w:t xml:space="preserve"> </w:t>
      </w:r>
      <w:r w:rsidRPr="00AC4A6B">
        <w:t>každý</w:t>
      </w:r>
      <w:r>
        <w:t xml:space="preserve"> </w:t>
      </w:r>
      <w:r w:rsidRPr="00AC4A6B">
        <w:t>kalendářní</w:t>
      </w:r>
      <w:r>
        <w:t xml:space="preserve"> </w:t>
      </w:r>
      <w:r w:rsidRPr="00AC4A6B">
        <w:t>rok</w:t>
      </w:r>
      <w:r>
        <w:t xml:space="preserve"> </w:t>
      </w:r>
      <w:r w:rsidRPr="00AC4A6B">
        <w:t>sestavuje</w:t>
      </w:r>
      <w:r>
        <w:t xml:space="preserve"> </w:t>
      </w:r>
      <w:r w:rsidRPr="00AC4A6B">
        <w:t>zdravotně</w:t>
      </w:r>
      <w:r>
        <w:t xml:space="preserve"> </w:t>
      </w:r>
      <w:r w:rsidRPr="00AC4A6B">
        <w:t>pojistný</w:t>
      </w:r>
      <w:r>
        <w:t xml:space="preserve"> </w:t>
      </w:r>
      <w:r w:rsidRPr="00AC4A6B">
        <w:t>plán</w:t>
      </w:r>
      <w:r>
        <w:t xml:space="preserve"> </w:t>
      </w:r>
      <w:r w:rsidRPr="00AC4A6B">
        <w:t>na</w:t>
      </w:r>
      <w:r>
        <w:t xml:space="preserve"> </w:t>
      </w:r>
      <w:r w:rsidRPr="00AC4A6B">
        <w:t>následující</w:t>
      </w:r>
      <w:r>
        <w:t xml:space="preserve"> </w:t>
      </w:r>
      <w:r w:rsidRPr="00AC4A6B">
        <w:t>kalendářní</w:t>
      </w:r>
      <w:r>
        <w:t xml:space="preserve"> </w:t>
      </w:r>
      <w:r w:rsidRPr="00AC4A6B">
        <w:t>rok</w:t>
      </w:r>
      <w:r>
        <w:t xml:space="preserve"> </w:t>
      </w:r>
      <w:r w:rsidRPr="00AC4A6B">
        <w:t>(dále</w:t>
      </w:r>
      <w:r>
        <w:t xml:space="preserve"> </w:t>
      </w:r>
      <w:r w:rsidRPr="00AC4A6B">
        <w:t>jen</w:t>
      </w:r>
      <w:r>
        <w:t xml:space="preserve"> </w:t>
      </w:r>
      <w:r w:rsidRPr="00AC4A6B">
        <w:t>"zdravotně</w:t>
      </w:r>
      <w:r>
        <w:t xml:space="preserve"> </w:t>
      </w:r>
      <w:r w:rsidRPr="00AC4A6B">
        <w:t>pojistný</w:t>
      </w:r>
      <w:r>
        <w:t xml:space="preserve"> </w:t>
      </w:r>
      <w:r w:rsidRPr="00AC4A6B">
        <w:t>plán")</w:t>
      </w:r>
      <w:r>
        <w:t xml:space="preserve"> </w:t>
      </w:r>
      <w:r w:rsidRPr="00AC4A6B">
        <w:t>a</w:t>
      </w:r>
      <w:r>
        <w:t xml:space="preserve"> </w:t>
      </w:r>
      <w:r w:rsidRPr="00AC4A6B">
        <w:t>výhled</w:t>
      </w:r>
      <w:r>
        <w:t xml:space="preserve"> </w:t>
      </w:r>
      <w:r w:rsidRPr="00AC4A6B">
        <w:t>nejméně</w:t>
      </w:r>
      <w:r>
        <w:t xml:space="preserve"> </w:t>
      </w:r>
      <w:r w:rsidRPr="00AC4A6B">
        <w:t>na</w:t>
      </w:r>
      <w:r>
        <w:t xml:space="preserve"> </w:t>
      </w:r>
      <w:r w:rsidRPr="00AC4A6B">
        <w:t>dva</w:t>
      </w:r>
      <w:r>
        <w:t xml:space="preserve"> </w:t>
      </w:r>
      <w:r w:rsidRPr="00AC4A6B">
        <w:t>další</w:t>
      </w:r>
      <w:r>
        <w:t xml:space="preserve"> </w:t>
      </w:r>
      <w:r w:rsidRPr="00AC4A6B">
        <w:t>kalendářní</w:t>
      </w:r>
      <w:r>
        <w:t xml:space="preserve"> </w:t>
      </w:r>
      <w:r w:rsidRPr="00AC4A6B">
        <w:t>roky</w:t>
      </w:r>
      <w:r>
        <w:t xml:space="preserve"> </w:t>
      </w:r>
      <w:r w:rsidRPr="00AC4A6B">
        <w:t>následující</w:t>
      </w:r>
      <w:r>
        <w:t xml:space="preserve"> </w:t>
      </w:r>
      <w:r w:rsidRPr="00AC4A6B">
        <w:t>po</w:t>
      </w:r>
      <w:r>
        <w:t xml:space="preserve"> </w:t>
      </w:r>
      <w:r w:rsidRPr="00AC4A6B">
        <w:t>roce,</w:t>
      </w:r>
      <w:r>
        <w:t xml:space="preserve"> </w:t>
      </w:r>
      <w:r w:rsidRPr="00AC4A6B">
        <w:t>na</w:t>
      </w:r>
      <w:r>
        <w:t xml:space="preserve"> </w:t>
      </w:r>
      <w:r w:rsidRPr="00AC4A6B">
        <w:t>který</w:t>
      </w:r>
      <w:r>
        <w:t xml:space="preserve"> </w:t>
      </w:r>
      <w:r w:rsidRPr="00AC4A6B">
        <w:t>je</w:t>
      </w:r>
      <w:r>
        <w:t xml:space="preserve"> </w:t>
      </w:r>
      <w:r w:rsidRPr="00AC4A6B">
        <w:t>sestaven</w:t>
      </w:r>
      <w:r>
        <w:t xml:space="preserve"> </w:t>
      </w:r>
      <w:r w:rsidRPr="00AC4A6B">
        <w:t>zdravotně</w:t>
      </w:r>
      <w:r>
        <w:t xml:space="preserve"> </w:t>
      </w:r>
      <w:r w:rsidRPr="00AC4A6B">
        <w:t>pojistný</w:t>
      </w:r>
      <w:r>
        <w:t xml:space="preserve"> </w:t>
      </w:r>
      <w:r w:rsidRPr="00AC4A6B">
        <w:t>plán</w:t>
      </w:r>
      <w:r>
        <w:t xml:space="preserve"> </w:t>
      </w:r>
      <w:r w:rsidRPr="00AC4A6B">
        <w:t>(dále</w:t>
      </w:r>
      <w:r>
        <w:t xml:space="preserve"> </w:t>
      </w:r>
      <w:r w:rsidRPr="00AC4A6B">
        <w:t>jen</w:t>
      </w:r>
      <w:r>
        <w:t xml:space="preserve"> </w:t>
      </w:r>
      <w:r w:rsidRPr="00AC4A6B">
        <w:t>"výhled").</w:t>
      </w:r>
      <w:r>
        <w:t xml:space="preserve"> </w:t>
      </w:r>
      <w:r w:rsidRPr="00AC4A6B">
        <w:t>Při</w:t>
      </w:r>
      <w:r>
        <w:t xml:space="preserve"> </w:t>
      </w:r>
      <w:r w:rsidRPr="00AC4A6B">
        <w:t>sestavování</w:t>
      </w:r>
      <w:r>
        <w:t xml:space="preserve"> </w:t>
      </w:r>
      <w:r w:rsidRPr="00AC4A6B">
        <w:t>zdravotně</w:t>
      </w:r>
      <w:r>
        <w:t xml:space="preserve"> </w:t>
      </w:r>
      <w:r w:rsidRPr="00AC4A6B">
        <w:t>pojistného</w:t>
      </w:r>
      <w:r>
        <w:t xml:space="preserve"> </w:t>
      </w:r>
      <w:r w:rsidRPr="00AC4A6B">
        <w:t>plánu</w:t>
      </w:r>
      <w:r>
        <w:t xml:space="preserve"> </w:t>
      </w:r>
      <w:r w:rsidRPr="00AC4A6B">
        <w:t>se</w:t>
      </w:r>
      <w:r>
        <w:t xml:space="preserve"> </w:t>
      </w:r>
      <w:r w:rsidRPr="00AC4A6B">
        <w:t>vychází</w:t>
      </w:r>
      <w:r>
        <w:t xml:space="preserve"> </w:t>
      </w:r>
      <w:r w:rsidRPr="00AC4A6B">
        <w:t>z</w:t>
      </w:r>
      <w:r>
        <w:t xml:space="preserve"> </w:t>
      </w:r>
      <w:r w:rsidRPr="00AC4A6B">
        <w:t>výhledu.</w:t>
      </w:r>
    </w:p>
    <w:p w14:paraId="6BB548A2" w14:textId="77777777" w:rsidR="00602CE7" w:rsidRDefault="00602CE7" w:rsidP="00FE1B36">
      <w:pPr>
        <w:pStyle w:val="Textparagrafu"/>
        <w:numPr>
          <w:ilvl w:val="0"/>
          <w:numId w:val="28"/>
        </w:numPr>
        <w:spacing w:before="120" w:after="120"/>
        <w:ind w:firstLine="426"/>
      </w:pPr>
      <w:r w:rsidRPr="00AC4A6B">
        <w:t>(2)</w:t>
      </w:r>
      <w:r>
        <w:t xml:space="preserve"> </w:t>
      </w:r>
      <w:r w:rsidRPr="00AC4A6B">
        <w:t>Zdravotně</w:t>
      </w:r>
      <w:r>
        <w:t xml:space="preserve"> </w:t>
      </w:r>
      <w:r w:rsidRPr="00AC4A6B">
        <w:t>pojistný</w:t>
      </w:r>
      <w:r>
        <w:t xml:space="preserve"> </w:t>
      </w:r>
      <w:r w:rsidRPr="00AC4A6B">
        <w:t>plán</w:t>
      </w:r>
      <w:r>
        <w:t xml:space="preserve"> </w:t>
      </w:r>
      <w:r w:rsidRPr="00AC4A6B">
        <w:t>je</w:t>
      </w:r>
      <w:r>
        <w:t xml:space="preserve"> </w:t>
      </w:r>
      <w:r w:rsidRPr="00AC4A6B">
        <w:t>zpravidla</w:t>
      </w:r>
      <w:r>
        <w:t xml:space="preserve"> </w:t>
      </w:r>
      <w:r w:rsidRPr="00AC4A6B">
        <w:t>sestavován</w:t>
      </w:r>
      <w:r>
        <w:t xml:space="preserve"> </w:t>
      </w:r>
      <w:r w:rsidRPr="00AC4A6B">
        <w:t>jako</w:t>
      </w:r>
      <w:r>
        <w:t xml:space="preserve"> </w:t>
      </w:r>
      <w:r w:rsidRPr="00AC4A6B">
        <w:t>vyrovnaný,</w:t>
      </w:r>
      <w:r>
        <w:t xml:space="preserve"> </w:t>
      </w:r>
      <w:r w:rsidRPr="00AC4A6B">
        <w:t>přičemž</w:t>
      </w:r>
      <w:r>
        <w:t xml:space="preserve"> </w:t>
      </w:r>
      <w:r w:rsidRPr="00AC4A6B">
        <w:t>vyrovnaným</w:t>
      </w:r>
      <w:r>
        <w:t xml:space="preserve"> </w:t>
      </w:r>
      <w:r w:rsidRPr="00AC4A6B">
        <w:t>zdravotně</w:t>
      </w:r>
      <w:r>
        <w:t xml:space="preserve"> </w:t>
      </w:r>
      <w:r w:rsidRPr="00AC4A6B">
        <w:t>pojistným</w:t>
      </w:r>
      <w:r>
        <w:t xml:space="preserve"> </w:t>
      </w:r>
      <w:r w:rsidRPr="00AC4A6B">
        <w:t>plánem</w:t>
      </w:r>
      <w:r>
        <w:t xml:space="preserve"> </w:t>
      </w:r>
      <w:r w:rsidRPr="00AC4A6B">
        <w:t>se</w:t>
      </w:r>
      <w:r>
        <w:t xml:space="preserve"> </w:t>
      </w:r>
      <w:r w:rsidRPr="00AC4A6B">
        <w:t>pro</w:t>
      </w:r>
      <w:r>
        <w:t xml:space="preserve"> </w:t>
      </w:r>
      <w:r w:rsidRPr="00AC4A6B">
        <w:t>účely</w:t>
      </w:r>
      <w:r>
        <w:t xml:space="preserve"> </w:t>
      </w:r>
      <w:r w:rsidRPr="00AC4A6B">
        <w:t>tohoto</w:t>
      </w:r>
      <w:r>
        <w:t xml:space="preserve"> </w:t>
      </w:r>
      <w:r w:rsidRPr="00AC4A6B">
        <w:t>zákona</w:t>
      </w:r>
      <w:r>
        <w:t xml:space="preserve"> </w:t>
      </w:r>
      <w:r w:rsidRPr="00AC4A6B">
        <w:t>rozumí</w:t>
      </w:r>
      <w:r>
        <w:t xml:space="preserve"> </w:t>
      </w:r>
      <w:r w:rsidRPr="00AC4A6B">
        <w:t>takový</w:t>
      </w:r>
      <w:r>
        <w:t xml:space="preserve"> </w:t>
      </w:r>
      <w:r w:rsidRPr="00AC4A6B">
        <w:t>plán,</w:t>
      </w:r>
      <w:r>
        <w:t xml:space="preserve"> </w:t>
      </w:r>
      <w:r w:rsidRPr="00AC4A6B">
        <w:t>ve</w:t>
      </w:r>
      <w:r>
        <w:t xml:space="preserve"> </w:t>
      </w:r>
      <w:r w:rsidRPr="00AC4A6B">
        <w:t>kterém</w:t>
      </w:r>
      <w:r>
        <w:t xml:space="preserve"> </w:t>
      </w:r>
      <w:r w:rsidRPr="00AC4A6B">
        <w:t>plánované</w:t>
      </w:r>
      <w:r>
        <w:t xml:space="preserve"> </w:t>
      </w:r>
      <w:r w:rsidRPr="00AC4A6B">
        <w:t>výdaje</w:t>
      </w:r>
      <w:r>
        <w:t xml:space="preserve"> </w:t>
      </w:r>
      <w:r w:rsidRPr="00AC4A6B">
        <w:t>nepřekračují</w:t>
      </w:r>
      <w:r>
        <w:t xml:space="preserve"> </w:t>
      </w:r>
      <w:r w:rsidRPr="00AC4A6B">
        <w:t>součet</w:t>
      </w:r>
      <w:r>
        <w:t xml:space="preserve"> </w:t>
      </w:r>
      <w:r w:rsidRPr="00AC4A6B">
        <w:t>plánovaných</w:t>
      </w:r>
      <w:r>
        <w:t xml:space="preserve"> </w:t>
      </w:r>
      <w:r w:rsidRPr="00AC4A6B">
        <w:t>příjmů.</w:t>
      </w:r>
    </w:p>
    <w:p w14:paraId="24B064CA" w14:textId="77777777" w:rsidR="00602CE7" w:rsidRDefault="00602CE7" w:rsidP="00FE1B36">
      <w:pPr>
        <w:pStyle w:val="Textparagrafu"/>
        <w:numPr>
          <w:ilvl w:val="0"/>
          <w:numId w:val="28"/>
        </w:numPr>
        <w:spacing w:before="120" w:after="120"/>
        <w:ind w:firstLine="425"/>
      </w:pPr>
      <w:r w:rsidRPr="00AC4A6B">
        <w:t>(3)</w:t>
      </w:r>
      <w:r>
        <w:t xml:space="preserve"> </w:t>
      </w:r>
      <w:r w:rsidRPr="00AC4A6B">
        <w:t>Zdravotně</w:t>
      </w:r>
      <w:r>
        <w:t xml:space="preserve"> </w:t>
      </w:r>
      <w:r w:rsidRPr="00AC4A6B">
        <w:t>pojistný</w:t>
      </w:r>
      <w:r>
        <w:t xml:space="preserve"> </w:t>
      </w:r>
      <w:r w:rsidRPr="00AC4A6B">
        <w:t>plán</w:t>
      </w:r>
      <w:r>
        <w:t xml:space="preserve"> </w:t>
      </w:r>
      <w:r w:rsidRPr="00AC4A6B">
        <w:t>může</w:t>
      </w:r>
      <w:r>
        <w:t xml:space="preserve"> </w:t>
      </w:r>
      <w:r w:rsidRPr="00AC4A6B">
        <w:t>být</w:t>
      </w:r>
      <w:r>
        <w:t xml:space="preserve"> </w:t>
      </w:r>
      <w:r w:rsidRPr="00AC4A6B">
        <w:t>sestaven</w:t>
      </w:r>
      <w:r>
        <w:t xml:space="preserve"> </w:t>
      </w:r>
      <w:r w:rsidRPr="00AC4A6B">
        <w:t>jako</w:t>
      </w:r>
    </w:p>
    <w:p w14:paraId="1E176FA1" w14:textId="11BFA50B" w:rsidR="00602CE7" w:rsidRDefault="00602CE7" w:rsidP="002B6A12">
      <w:pPr>
        <w:pStyle w:val="Textparagrafu"/>
        <w:numPr>
          <w:ilvl w:val="0"/>
          <w:numId w:val="28"/>
        </w:numPr>
        <w:tabs>
          <w:tab w:val="left" w:pos="426"/>
        </w:tabs>
        <w:spacing w:before="0"/>
        <w:ind w:left="426" w:hanging="426"/>
      </w:pPr>
      <w:r w:rsidRPr="00AC4A6B">
        <w:t>a)</w:t>
      </w:r>
      <w:r w:rsidR="00924AA5">
        <w:tab/>
      </w:r>
      <w:r w:rsidRPr="00AC4A6B">
        <w:t>přebytkový,</w:t>
      </w:r>
      <w:r>
        <w:t xml:space="preserve"> </w:t>
      </w:r>
      <w:r w:rsidRPr="00AC4A6B">
        <w:t>jestliže</w:t>
      </w:r>
      <w:r>
        <w:t xml:space="preserve"> </w:t>
      </w:r>
      <w:r w:rsidRPr="00AC4A6B">
        <w:t>je</w:t>
      </w:r>
      <w:r>
        <w:t xml:space="preserve"> </w:t>
      </w:r>
      <w:r w:rsidRPr="00AC4A6B">
        <w:t>část</w:t>
      </w:r>
      <w:r>
        <w:t xml:space="preserve"> </w:t>
      </w:r>
      <w:r w:rsidRPr="00AC4A6B">
        <w:t>příjmů</w:t>
      </w:r>
      <w:r>
        <w:t xml:space="preserve"> </w:t>
      </w:r>
      <w:r w:rsidRPr="00AC4A6B">
        <w:t>daného</w:t>
      </w:r>
      <w:r>
        <w:t xml:space="preserve"> </w:t>
      </w:r>
      <w:r w:rsidRPr="00AC4A6B">
        <w:t>roku</w:t>
      </w:r>
      <w:r>
        <w:t xml:space="preserve"> </w:t>
      </w:r>
      <w:r w:rsidRPr="00AC4A6B">
        <w:t>určena</w:t>
      </w:r>
      <w:r>
        <w:t xml:space="preserve"> </w:t>
      </w:r>
      <w:r w:rsidRPr="00AC4A6B">
        <w:t>k</w:t>
      </w:r>
      <w:r>
        <w:t xml:space="preserve"> </w:t>
      </w:r>
      <w:r w:rsidRPr="00AC4A6B">
        <w:t>využití</w:t>
      </w:r>
      <w:r>
        <w:t xml:space="preserve"> </w:t>
      </w:r>
      <w:r w:rsidRPr="00AC4A6B">
        <w:t>až</w:t>
      </w:r>
      <w:r>
        <w:t xml:space="preserve"> </w:t>
      </w:r>
      <w:r w:rsidRPr="00AC4A6B">
        <w:t>v</w:t>
      </w:r>
      <w:r>
        <w:t xml:space="preserve"> </w:t>
      </w:r>
      <w:r w:rsidRPr="00AC4A6B">
        <w:t>následujících</w:t>
      </w:r>
      <w:r>
        <w:t xml:space="preserve"> </w:t>
      </w:r>
      <w:r w:rsidRPr="00AC4A6B">
        <w:t>letech;</w:t>
      </w:r>
      <w:r>
        <w:t xml:space="preserve"> </w:t>
      </w:r>
      <w:r w:rsidRPr="00AC4A6B">
        <w:t>tyto</w:t>
      </w:r>
      <w:r>
        <w:t xml:space="preserve"> </w:t>
      </w:r>
      <w:r w:rsidRPr="00AC4A6B">
        <w:t>příjmy</w:t>
      </w:r>
      <w:r>
        <w:t xml:space="preserve"> </w:t>
      </w:r>
      <w:r w:rsidRPr="00AC4A6B">
        <w:t>musí</w:t>
      </w:r>
      <w:r>
        <w:t xml:space="preserve"> </w:t>
      </w:r>
      <w:r w:rsidRPr="00AC4A6B">
        <w:t>být</w:t>
      </w:r>
      <w:r>
        <w:t xml:space="preserve"> </w:t>
      </w:r>
      <w:r w:rsidRPr="00AC4A6B">
        <w:t>v</w:t>
      </w:r>
      <w:r>
        <w:t xml:space="preserve"> </w:t>
      </w:r>
      <w:r w:rsidRPr="00AC4A6B">
        <w:t>takovém</w:t>
      </w:r>
      <w:r>
        <w:t xml:space="preserve"> </w:t>
      </w:r>
      <w:r w:rsidRPr="00AC4A6B">
        <w:t>zdravotně</w:t>
      </w:r>
      <w:r>
        <w:t xml:space="preserve"> </w:t>
      </w:r>
      <w:r w:rsidRPr="00AC4A6B">
        <w:t>pojistném</w:t>
      </w:r>
      <w:r>
        <w:t xml:space="preserve"> </w:t>
      </w:r>
      <w:r w:rsidRPr="00AC4A6B">
        <w:t>plánu</w:t>
      </w:r>
      <w:r>
        <w:t xml:space="preserve"> </w:t>
      </w:r>
      <w:r w:rsidRPr="00AC4A6B">
        <w:t>vymezeny,</w:t>
      </w:r>
      <w:r>
        <w:t xml:space="preserve"> </w:t>
      </w:r>
      <w:r w:rsidRPr="00AC4A6B">
        <w:t>nebo</w:t>
      </w:r>
    </w:p>
    <w:p w14:paraId="04222997" w14:textId="26F7F6B1" w:rsidR="00602CE7" w:rsidRDefault="00602CE7" w:rsidP="002B6A12">
      <w:pPr>
        <w:pStyle w:val="Textparagrafu"/>
        <w:numPr>
          <w:ilvl w:val="0"/>
          <w:numId w:val="28"/>
        </w:numPr>
        <w:tabs>
          <w:tab w:val="left" w:pos="426"/>
        </w:tabs>
        <w:spacing w:before="0"/>
        <w:ind w:left="426" w:hanging="426"/>
      </w:pPr>
      <w:r w:rsidRPr="00AC4A6B">
        <w:t>b)</w:t>
      </w:r>
      <w:r w:rsidR="00924AA5">
        <w:tab/>
      </w:r>
      <w:r w:rsidRPr="00AC4A6B">
        <w:t>schodkový,</w:t>
      </w:r>
      <w:r>
        <w:t xml:space="preserve"> </w:t>
      </w:r>
      <w:r w:rsidRPr="00AC4A6B">
        <w:t>jestliže</w:t>
      </w:r>
      <w:r>
        <w:t xml:space="preserve"> </w:t>
      </w:r>
      <w:r w:rsidRPr="00AC4A6B">
        <w:t>je</w:t>
      </w:r>
      <w:r>
        <w:t xml:space="preserve"> </w:t>
      </w:r>
      <w:r w:rsidRPr="00AC4A6B">
        <w:t>schodek</w:t>
      </w:r>
      <w:r>
        <w:t xml:space="preserve"> </w:t>
      </w:r>
      <w:r w:rsidRPr="00AC4A6B">
        <w:t>možné</w:t>
      </w:r>
      <w:r>
        <w:t xml:space="preserve"> </w:t>
      </w:r>
      <w:r w:rsidRPr="00AC4A6B">
        <w:t>uhradit</w:t>
      </w:r>
      <w:r>
        <w:t xml:space="preserve"> </w:t>
      </w:r>
      <w:r w:rsidRPr="00AC4A6B">
        <w:t>finančními</w:t>
      </w:r>
      <w:r>
        <w:t xml:space="preserve"> </w:t>
      </w:r>
      <w:r w:rsidRPr="00AC4A6B">
        <w:t>zůstatky</w:t>
      </w:r>
      <w:r>
        <w:t xml:space="preserve"> </w:t>
      </w:r>
      <w:r w:rsidRPr="00AC4A6B">
        <w:t>na</w:t>
      </w:r>
      <w:r>
        <w:t xml:space="preserve"> </w:t>
      </w:r>
      <w:r w:rsidRPr="00AC4A6B">
        <w:t>fondech</w:t>
      </w:r>
      <w:r>
        <w:t xml:space="preserve"> </w:t>
      </w:r>
      <w:r w:rsidRPr="00AC4A6B">
        <w:t>z</w:t>
      </w:r>
      <w:r>
        <w:t xml:space="preserve"> </w:t>
      </w:r>
      <w:r w:rsidRPr="00AC4A6B">
        <w:t>minulých</w:t>
      </w:r>
      <w:r>
        <w:t xml:space="preserve"> </w:t>
      </w:r>
      <w:r w:rsidRPr="00AC4A6B">
        <w:t>let</w:t>
      </w:r>
      <w:r>
        <w:t xml:space="preserve"> </w:t>
      </w:r>
      <w:r w:rsidRPr="00AC4A6B">
        <w:t>při</w:t>
      </w:r>
      <w:r>
        <w:t xml:space="preserve"> </w:t>
      </w:r>
      <w:r w:rsidRPr="00AC4A6B">
        <w:t>zachování</w:t>
      </w:r>
      <w:r>
        <w:t xml:space="preserve"> </w:t>
      </w:r>
      <w:r w:rsidRPr="00AC4A6B">
        <w:t>zůstatku</w:t>
      </w:r>
      <w:r>
        <w:t xml:space="preserve"> </w:t>
      </w:r>
      <w:r w:rsidRPr="00AC4A6B">
        <w:t>rezervního</w:t>
      </w:r>
      <w:r>
        <w:t xml:space="preserve"> </w:t>
      </w:r>
      <w:r w:rsidRPr="00AC4A6B">
        <w:t>fondu</w:t>
      </w:r>
      <w:r>
        <w:t xml:space="preserve"> </w:t>
      </w:r>
      <w:r w:rsidRPr="00AC4A6B">
        <w:t>nejméně</w:t>
      </w:r>
      <w:r>
        <w:t xml:space="preserve"> </w:t>
      </w:r>
      <w:r w:rsidRPr="00AC4A6B">
        <w:t>ve</w:t>
      </w:r>
      <w:r>
        <w:t xml:space="preserve"> </w:t>
      </w:r>
      <w:r w:rsidRPr="00AC4A6B">
        <w:t>výši</w:t>
      </w:r>
      <w:r>
        <w:t xml:space="preserve"> </w:t>
      </w:r>
      <w:r w:rsidRPr="00AC4A6B">
        <w:t>podle</w:t>
      </w:r>
      <w:r>
        <w:t xml:space="preserve"> </w:t>
      </w:r>
      <w:r w:rsidRPr="00AC4A6B">
        <w:t>§</w:t>
      </w:r>
      <w:r>
        <w:t xml:space="preserve"> </w:t>
      </w:r>
      <w:r w:rsidRPr="00AC4A6B">
        <w:t>7</w:t>
      </w:r>
      <w:r>
        <w:t xml:space="preserve"> </w:t>
      </w:r>
      <w:r w:rsidRPr="00AC4A6B">
        <w:t>odst.</w:t>
      </w:r>
      <w:r>
        <w:t xml:space="preserve"> </w:t>
      </w:r>
      <w:r w:rsidRPr="00AC4A6B">
        <w:t>1</w:t>
      </w:r>
      <w:r>
        <w:t xml:space="preserve"> </w:t>
      </w:r>
      <w:r w:rsidRPr="00AC4A6B">
        <w:t>písm.</w:t>
      </w:r>
      <w:r>
        <w:t xml:space="preserve"> </w:t>
      </w:r>
      <w:r w:rsidRPr="00AC4A6B">
        <w:t>b);</w:t>
      </w:r>
      <w:r>
        <w:t xml:space="preserve"> </w:t>
      </w:r>
      <w:r w:rsidRPr="00AC4A6B">
        <w:t>způsob</w:t>
      </w:r>
      <w:r>
        <w:t xml:space="preserve"> </w:t>
      </w:r>
      <w:r w:rsidRPr="00AC4A6B">
        <w:t>úhrady</w:t>
      </w:r>
      <w:r>
        <w:t xml:space="preserve"> </w:t>
      </w:r>
      <w:r w:rsidRPr="00AC4A6B">
        <w:t>schodku</w:t>
      </w:r>
      <w:r>
        <w:t xml:space="preserve"> </w:t>
      </w:r>
      <w:r w:rsidRPr="00AC4A6B">
        <w:t>musí</w:t>
      </w:r>
      <w:r>
        <w:t xml:space="preserve"> </w:t>
      </w:r>
      <w:r w:rsidRPr="00AC4A6B">
        <w:t>být</w:t>
      </w:r>
      <w:r>
        <w:t xml:space="preserve"> </w:t>
      </w:r>
      <w:r w:rsidRPr="00AC4A6B">
        <w:t>v</w:t>
      </w:r>
      <w:r>
        <w:t xml:space="preserve"> </w:t>
      </w:r>
      <w:r w:rsidRPr="00AC4A6B">
        <w:t>takovém</w:t>
      </w:r>
      <w:r>
        <w:t xml:space="preserve"> </w:t>
      </w:r>
      <w:r w:rsidRPr="00AC4A6B">
        <w:t>zdravotně</w:t>
      </w:r>
      <w:r>
        <w:t xml:space="preserve"> </w:t>
      </w:r>
      <w:r w:rsidRPr="00AC4A6B">
        <w:t>pojistném</w:t>
      </w:r>
      <w:r>
        <w:t xml:space="preserve"> </w:t>
      </w:r>
      <w:r w:rsidRPr="00AC4A6B">
        <w:t>plánu</w:t>
      </w:r>
      <w:r>
        <w:t xml:space="preserve"> </w:t>
      </w:r>
      <w:r w:rsidRPr="00AC4A6B">
        <w:t>vymezen.</w:t>
      </w:r>
    </w:p>
    <w:p w14:paraId="2DA23EE1" w14:textId="77777777" w:rsidR="00602CE7" w:rsidRDefault="00602CE7" w:rsidP="00FE1B36">
      <w:pPr>
        <w:pStyle w:val="Textparagrafu"/>
        <w:numPr>
          <w:ilvl w:val="0"/>
          <w:numId w:val="28"/>
        </w:numPr>
        <w:spacing w:before="120" w:after="120"/>
        <w:ind w:firstLine="426"/>
      </w:pPr>
      <w:r w:rsidRPr="00AC4A6B">
        <w:t>(4)</w:t>
      </w:r>
      <w:r>
        <w:t xml:space="preserve"> </w:t>
      </w:r>
      <w:r w:rsidRPr="00AC4A6B">
        <w:t>Pojišťovna</w:t>
      </w:r>
      <w:r>
        <w:t xml:space="preserve"> </w:t>
      </w:r>
      <w:r w:rsidRPr="00AC4A6B">
        <w:t>hospodaří</w:t>
      </w:r>
      <w:r>
        <w:t xml:space="preserve"> </w:t>
      </w:r>
      <w:r w:rsidRPr="00AC4A6B">
        <w:t>v</w:t>
      </w:r>
      <w:r>
        <w:t xml:space="preserve"> </w:t>
      </w:r>
      <w:r w:rsidRPr="00AC4A6B">
        <w:t>souladu</w:t>
      </w:r>
      <w:r>
        <w:t xml:space="preserve"> </w:t>
      </w:r>
      <w:r w:rsidRPr="00AC4A6B">
        <w:t>se</w:t>
      </w:r>
      <w:r>
        <w:t xml:space="preserve"> </w:t>
      </w:r>
      <w:r w:rsidRPr="00AC4A6B">
        <w:t>schváleným</w:t>
      </w:r>
      <w:r>
        <w:t xml:space="preserve"> </w:t>
      </w:r>
      <w:r w:rsidRPr="00AC4A6B">
        <w:t>zdravotně</w:t>
      </w:r>
      <w:r>
        <w:t xml:space="preserve"> </w:t>
      </w:r>
      <w:r w:rsidRPr="00AC4A6B">
        <w:t>pojistným</w:t>
      </w:r>
      <w:r>
        <w:t xml:space="preserve"> </w:t>
      </w:r>
      <w:r w:rsidRPr="00AC4A6B">
        <w:t>plánem</w:t>
      </w:r>
      <w:r>
        <w:t xml:space="preserve"> </w:t>
      </w:r>
      <w:r w:rsidRPr="00AC4A6B">
        <w:t>nebo</w:t>
      </w:r>
      <w:r>
        <w:t xml:space="preserve"> </w:t>
      </w:r>
      <w:r w:rsidRPr="00AC4A6B">
        <w:t>provizoriem.</w:t>
      </w:r>
    </w:p>
    <w:p w14:paraId="1563E707" w14:textId="48FB8B42" w:rsidR="00FE1B36" w:rsidRPr="00FE1B36" w:rsidRDefault="00602CE7" w:rsidP="00FE1B36">
      <w:pPr>
        <w:pStyle w:val="Textparagrafu"/>
        <w:numPr>
          <w:ilvl w:val="0"/>
          <w:numId w:val="28"/>
        </w:numPr>
        <w:spacing w:before="120" w:after="120"/>
        <w:ind w:firstLine="425"/>
        <w:rPr>
          <w:strike/>
        </w:rPr>
      </w:pPr>
      <w:r w:rsidRPr="00520003">
        <w:rPr>
          <w:strike/>
        </w:rPr>
        <w:t>(5) Pojišťovna je povinna zajistit prostřednictvím auditora</w:t>
      </w:r>
      <w:r w:rsidR="00084391" w:rsidRPr="00520003">
        <w:rPr>
          <w:rStyle w:val="Znakapoznpodarou"/>
          <w:strike/>
        </w:rPr>
        <w:footnoteReference w:customMarkFollows="1" w:id="88"/>
        <w:t>13)</w:t>
      </w:r>
      <w:r w:rsidR="00084391" w:rsidRPr="00520003">
        <w:rPr>
          <w:strike/>
        </w:rPr>
        <w:t xml:space="preserve"> </w:t>
      </w:r>
      <w:r w:rsidRPr="00520003">
        <w:rPr>
          <w:strike/>
        </w:rPr>
        <w:t>nebo právnické osoby, která je zapsána v seznamu auditorů</w:t>
      </w:r>
      <w:r w:rsidR="00084391" w:rsidRPr="00520003">
        <w:rPr>
          <w:rStyle w:val="Znakapoznpodarou"/>
          <w:strike/>
        </w:rPr>
        <w:footnoteReference w:customMarkFollows="1" w:id="89"/>
        <w:t>13)</w:t>
      </w:r>
      <w:r w:rsidRPr="00520003">
        <w:rPr>
          <w:strike/>
        </w:rPr>
        <w:t>, (dále jen "auditor")</w:t>
      </w:r>
    </w:p>
    <w:p w14:paraId="3E4CED86" w14:textId="58216D1D" w:rsidR="00602CE7" w:rsidRPr="00520003" w:rsidRDefault="00602CE7" w:rsidP="00924AA5">
      <w:pPr>
        <w:pStyle w:val="Textparagrafu"/>
        <w:numPr>
          <w:ilvl w:val="0"/>
          <w:numId w:val="28"/>
        </w:numPr>
        <w:tabs>
          <w:tab w:val="left" w:pos="426"/>
        </w:tabs>
        <w:spacing w:before="0"/>
        <w:rPr>
          <w:strike/>
        </w:rPr>
      </w:pPr>
      <w:r w:rsidRPr="00520003">
        <w:rPr>
          <w:strike/>
        </w:rPr>
        <w:t>a)</w:t>
      </w:r>
      <w:r w:rsidR="00924AA5" w:rsidRPr="00520003">
        <w:rPr>
          <w:strike/>
        </w:rPr>
        <w:tab/>
      </w:r>
      <w:r w:rsidRPr="00520003">
        <w:rPr>
          <w:strike/>
        </w:rPr>
        <w:t>ověření účetní závěrky Pojišťovny,</w:t>
      </w:r>
    </w:p>
    <w:p w14:paraId="2840F144" w14:textId="08744931" w:rsidR="00602CE7" w:rsidRPr="00520003" w:rsidRDefault="00602CE7" w:rsidP="00924AA5">
      <w:pPr>
        <w:pStyle w:val="Textparagrafu"/>
        <w:numPr>
          <w:ilvl w:val="0"/>
          <w:numId w:val="28"/>
        </w:numPr>
        <w:tabs>
          <w:tab w:val="left" w:pos="426"/>
        </w:tabs>
        <w:spacing w:before="0"/>
        <w:rPr>
          <w:strike/>
        </w:rPr>
      </w:pPr>
      <w:r w:rsidRPr="00520003">
        <w:rPr>
          <w:strike/>
        </w:rPr>
        <w:t>b)</w:t>
      </w:r>
      <w:r w:rsidR="00924AA5" w:rsidRPr="00520003">
        <w:rPr>
          <w:strike/>
        </w:rPr>
        <w:tab/>
      </w:r>
      <w:r w:rsidRPr="00520003">
        <w:rPr>
          <w:strike/>
        </w:rPr>
        <w:t>ověření návrhu výroční zprávy Pojišťovny za příslušný rok.</w:t>
      </w:r>
    </w:p>
    <w:p w14:paraId="5E749166" w14:textId="457C7EE2" w:rsidR="00602CE7" w:rsidRDefault="00602CE7" w:rsidP="00FE1B36">
      <w:pPr>
        <w:pStyle w:val="Textparagrafu"/>
        <w:numPr>
          <w:ilvl w:val="0"/>
          <w:numId w:val="28"/>
        </w:numPr>
        <w:spacing w:before="120" w:after="120"/>
        <w:ind w:firstLine="425"/>
      </w:pPr>
      <w:proofErr w:type="gramStart"/>
      <w:r w:rsidRPr="00520003">
        <w:rPr>
          <w:strike/>
        </w:rPr>
        <w:t>(6)</w:t>
      </w:r>
      <w:r w:rsidR="00520003" w:rsidRPr="00520003">
        <w:rPr>
          <w:b/>
        </w:rPr>
        <w:t>(5)</w:t>
      </w:r>
      <w:r w:rsidR="00520003">
        <w:t xml:space="preserve"> </w:t>
      </w:r>
      <w:r w:rsidRPr="00AC4A6B">
        <w:t>Pojišťovna</w:t>
      </w:r>
      <w:proofErr w:type="gramEnd"/>
      <w:r>
        <w:t xml:space="preserve"> </w:t>
      </w:r>
      <w:r w:rsidRPr="00AC4A6B">
        <w:t>je</w:t>
      </w:r>
      <w:r>
        <w:t xml:space="preserve"> </w:t>
      </w:r>
      <w:r w:rsidRPr="00AC4A6B">
        <w:t>povinna</w:t>
      </w:r>
      <w:r>
        <w:t xml:space="preserve"> </w:t>
      </w:r>
      <w:r w:rsidRPr="00AC4A6B">
        <w:t>v</w:t>
      </w:r>
      <w:r>
        <w:t xml:space="preserve"> </w:t>
      </w:r>
      <w:r w:rsidRPr="00AC4A6B">
        <w:t>návaznosti</w:t>
      </w:r>
      <w:r>
        <w:t xml:space="preserve"> </w:t>
      </w:r>
      <w:r w:rsidRPr="00AC4A6B">
        <w:t>na</w:t>
      </w:r>
      <w:r>
        <w:t xml:space="preserve"> </w:t>
      </w:r>
      <w:r w:rsidRPr="00AC4A6B">
        <w:t>termíny</w:t>
      </w:r>
      <w:r>
        <w:t xml:space="preserve"> </w:t>
      </w:r>
      <w:r w:rsidRPr="00AC4A6B">
        <w:t>stanovené</w:t>
      </w:r>
      <w:r>
        <w:t xml:space="preserve"> </w:t>
      </w:r>
      <w:r w:rsidRPr="00AC4A6B">
        <w:t>jiným</w:t>
      </w:r>
      <w:r>
        <w:t xml:space="preserve"> </w:t>
      </w:r>
      <w:r w:rsidRPr="00AC4A6B">
        <w:t>zákonem</w:t>
      </w:r>
      <w:r>
        <w:t xml:space="preserve"> </w:t>
      </w:r>
      <w:r w:rsidRPr="00AC4A6B">
        <w:t>pro</w:t>
      </w:r>
      <w:r>
        <w:t xml:space="preserve"> </w:t>
      </w:r>
      <w:r w:rsidRPr="00AC4A6B">
        <w:t>předkládání</w:t>
      </w:r>
      <w:r>
        <w:t xml:space="preserve"> </w:t>
      </w:r>
      <w:r w:rsidRPr="00AC4A6B">
        <w:t>návrhu</w:t>
      </w:r>
      <w:r>
        <w:t xml:space="preserve"> </w:t>
      </w:r>
      <w:r w:rsidRPr="00AC4A6B">
        <w:t>státního</w:t>
      </w:r>
      <w:r>
        <w:t xml:space="preserve"> </w:t>
      </w:r>
      <w:r w:rsidRPr="00AC4A6B">
        <w:t>rozpočtu</w:t>
      </w:r>
      <w:r>
        <w:t xml:space="preserve"> </w:t>
      </w:r>
      <w:r w:rsidRPr="00AC4A6B">
        <w:t>a</w:t>
      </w:r>
      <w:r>
        <w:t xml:space="preserve"> </w:t>
      </w:r>
      <w:r w:rsidRPr="00AC4A6B">
        <w:t>státního</w:t>
      </w:r>
      <w:r>
        <w:t xml:space="preserve"> </w:t>
      </w:r>
      <w:r w:rsidRPr="00AC4A6B">
        <w:t>závěrečného</w:t>
      </w:r>
      <w:r>
        <w:t xml:space="preserve"> </w:t>
      </w:r>
      <w:r w:rsidRPr="00AC4A6B">
        <w:t>účtu</w:t>
      </w:r>
      <w:r>
        <w:t xml:space="preserve"> </w:t>
      </w:r>
      <w:r w:rsidRPr="00AC4A6B">
        <w:t>předložit</w:t>
      </w:r>
      <w:r>
        <w:t xml:space="preserve"> </w:t>
      </w:r>
      <w:r w:rsidRPr="00AC4A6B">
        <w:t>Ministerstvu</w:t>
      </w:r>
      <w:r>
        <w:t xml:space="preserve"> </w:t>
      </w:r>
      <w:r w:rsidRPr="00AC4A6B">
        <w:t>zdravotnictví</w:t>
      </w:r>
      <w:r>
        <w:t xml:space="preserve"> </w:t>
      </w:r>
      <w:r w:rsidRPr="00AC4A6B">
        <w:t>a</w:t>
      </w:r>
      <w:r>
        <w:t xml:space="preserve"> </w:t>
      </w:r>
      <w:r w:rsidRPr="00AC4A6B">
        <w:t>Ministerstvu</w:t>
      </w:r>
      <w:r>
        <w:t xml:space="preserve"> </w:t>
      </w:r>
      <w:r w:rsidRPr="00AC4A6B">
        <w:t>financí</w:t>
      </w:r>
      <w:r>
        <w:t xml:space="preserve"> </w:t>
      </w:r>
      <w:r w:rsidRPr="00AC4A6B">
        <w:t>návrh</w:t>
      </w:r>
      <w:r>
        <w:t xml:space="preserve"> </w:t>
      </w:r>
      <w:r w:rsidRPr="00AC4A6B">
        <w:t>zdravotně</w:t>
      </w:r>
      <w:r>
        <w:t xml:space="preserve"> </w:t>
      </w:r>
      <w:r w:rsidRPr="00AC4A6B">
        <w:t>pojistného</w:t>
      </w:r>
      <w:r>
        <w:t xml:space="preserve"> </w:t>
      </w:r>
      <w:r w:rsidRPr="00AC4A6B">
        <w:t>plánu</w:t>
      </w:r>
      <w:r>
        <w:t xml:space="preserve"> </w:t>
      </w:r>
      <w:r w:rsidRPr="00AC4A6B">
        <w:t>na</w:t>
      </w:r>
      <w:r>
        <w:t xml:space="preserve"> </w:t>
      </w:r>
      <w:r w:rsidRPr="00AC4A6B">
        <w:t>následující</w:t>
      </w:r>
      <w:r>
        <w:t xml:space="preserve"> </w:t>
      </w:r>
      <w:r w:rsidRPr="00AC4A6B">
        <w:t>kalendářní</w:t>
      </w:r>
      <w:r>
        <w:t xml:space="preserve"> </w:t>
      </w:r>
      <w:r w:rsidRPr="00AC4A6B">
        <w:t>rok,</w:t>
      </w:r>
      <w:r>
        <w:t xml:space="preserve"> </w:t>
      </w:r>
      <w:r w:rsidRPr="00520003">
        <w:rPr>
          <w:strike/>
        </w:rPr>
        <w:t>účetní závěrku, návrh výroční zprávy za minulý kalendářní rok včetně zprávy auditora</w:t>
      </w:r>
      <w:r>
        <w:t xml:space="preserve"> </w:t>
      </w:r>
      <w:r w:rsidR="00520003" w:rsidRPr="007D66E1">
        <w:rPr>
          <w:b/>
        </w:rPr>
        <w:t xml:space="preserve">řádnou účetní závěrku, </w:t>
      </w:r>
      <w:r w:rsidR="00520003" w:rsidRPr="00F52C8D">
        <w:rPr>
          <w:b/>
        </w:rPr>
        <w:t>zprávu</w:t>
      </w:r>
      <w:r w:rsidR="00520003" w:rsidRPr="00F52C8D">
        <w:t xml:space="preserve"> </w:t>
      </w:r>
      <w:r w:rsidR="00520003" w:rsidRPr="00F52C8D">
        <w:rPr>
          <w:b/>
        </w:rPr>
        <w:t>vedení za uplynulé účetní období</w:t>
      </w:r>
      <w:r w:rsidR="00520003" w:rsidRPr="00F52C8D">
        <w:t>,</w:t>
      </w:r>
      <w:r w:rsidR="00520003" w:rsidRPr="00F52C8D">
        <w:rPr>
          <w:b/>
        </w:rPr>
        <w:t xml:space="preserve"> zprávu auditora o povinném auditu</w:t>
      </w:r>
      <w:r w:rsidR="00520003" w:rsidRPr="00AC4A6B">
        <w:t xml:space="preserve"> </w:t>
      </w:r>
      <w:r w:rsidRPr="00AC4A6B">
        <w:t>a</w:t>
      </w:r>
      <w:r>
        <w:t xml:space="preserve"> </w:t>
      </w:r>
      <w:r w:rsidRPr="00AC4A6B">
        <w:t>pro</w:t>
      </w:r>
      <w:r>
        <w:t xml:space="preserve"> </w:t>
      </w:r>
      <w:r w:rsidRPr="00AC4A6B">
        <w:t>informaci</w:t>
      </w:r>
      <w:r>
        <w:t xml:space="preserve"> </w:t>
      </w:r>
      <w:r w:rsidRPr="00AC4A6B">
        <w:t>také</w:t>
      </w:r>
      <w:r>
        <w:t xml:space="preserve"> </w:t>
      </w:r>
      <w:r w:rsidRPr="00AC4A6B">
        <w:t>výhled.</w:t>
      </w:r>
    </w:p>
    <w:p w14:paraId="38FACBC6" w14:textId="1966B5C3" w:rsidR="00602CE7" w:rsidRDefault="00602CE7" w:rsidP="00FE1B36">
      <w:pPr>
        <w:pStyle w:val="Textparagrafu"/>
        <w:numPr>
          <w:ilvl w:val="0"/>
          <w:numId w:val="28"/>
        </w:numPr>
        <w:spacing w:before="120" w:after="120"/>
        <w:ind w:firstLine="425"/>
      </w:pPr>
      <w:proofErr w:type="gramStart"/>
      <w:r w:rsidRPr="00520003">
        <w:rPr>
          <w:strike/>
        </w:rPr>
        <w:t>(7)</w:t>
      </w:r>
      <w:r w:rsidR="00520003">
        <w:rPr>
          <w:b/>
        </w:rPr>
        <w:t>(6)</w:t>
      </w:r>
      <w:r>
        <w:t xml:space="preserve"> </w:t>
      </w:r>
      <w:r w:rsidRPr="00AC4A6B">
        <w:t>Zdravotně</w:t>
      </w:r>
      <w:proofErr w:type="gramEnd"/>
      <w:r>
        <w:t xml:space="preserve"> </w:t>
      </w:r>
      <w:r w:rsidRPr="00AC4A6B">
        <w:t>pojistný</w:t>
      </w:r>
      <w:r>
        <w:t xml:space="preserve"> </w:t>
      </w:r>
      <w:r w:rsidRPr="00AC4A6B">
        <w:t>plán</w:t>
      </w:r>
      <w:r>
        <w:t xml:space="preserve"> </w:t>
      </w:r>
      <w:r w:rsidRPr="00AC4A6B">
        <w:t>a</w:t>
      </w:r>
      <w:r>
        <w:t xml:space="preserve"> </w:t>
      </w:r>
      <w:r w:rsidRPr="00AC4A6B">
        <w:t>výhled</w:t>
      </w:r>
      <w:r>
        <w:t xml:space="preserve"> </w:t>
      </w:r>
      <w:r w:rsidRPr="00AC4A6B">
        <w:t>obsahují</w:t>
      </w:r>
      <w:r>
        <w:t xml:space="preserve"> </w:t>
      </w:r>
      <w:r w:rsidRPr="00AC4A6B">
        <w:t>údaje</w:t>
      </w:r>
      <w:r>
        <w:t xml:space="preserve"> </w:t>
      </w:r>
      <w:r w:rsidRPr="00AC4A6B">
        <w:t>o</w:t>
      </w:r>
      <w:r>
        <w:t xml:space="preserve"> </w:t>
      </w:r>
      <w:r w:rsidRPr="00AC4A6B">
        <w:t>Pojišťovně,</w:t>
      </w:r>
      <w:r>
        <w:t xml:space="preserve"> </w:t>
      </w:r>
      <w:r w:rsidRPr="00AC4A6B">
        <w:t>plán</w:t>
      </w:r>
      <w:r>
        <w:t xml:space="preserve"> </w:t>
      </w:r>
      <w:r w:rsidRPr="00AC4A6B">
        <w:t>příjmů</w:t>
      </w:r>
      <w:r>
        <w:t xml:space="preserve"> </w:t>
      </w:r>
      <w:r w:rsidRPr="00AC4A6B">
        <w:t>a</w:t>
      </w:r>
      <w:r>
        <w:t xml:space="preserve"> </w:t>
      </w:r>
      <w:r w:rsidRPr="00AC4A6B">
        <w:t>výdajů</w:t>
      </w:r>
      <w:r>
        <w:t xml:space="preserve"> </w:t>
      </w:r>
      <w:r w:rsidRPr="00AC4A6B">
        <w:t>Pojišťovny</w:t>
      </w:r>
      <w:r>
        <w:t xml:space="preserve"> </w:t>
      </w:r>
      <w:r w:rsidRPr="00AC4A6B">
        <w:t>včetně</w:t>
      </w:r>
      <w:r>
        <w:t xml:space="preserve"> </w:t>
      </w:r>
      <w:r w:rsidRPr="00AC4A6B">
        <w:t>členění</w:t>
      </w:r>
      <w:r>
        <w:t xml:space="preserve"> </w:t>
      </w:r>
      <w:r w:rsidRPr="00AC4A6B">
        <w:t>podle</w:t>
      </w:r>
      <w:r>
        <w:t xml:space="preserve"> </w:t>
      </w:r>
      <w:r w:rsidRPr="00AC4A6B">
        <w:t>jednotlivých</w:t>
      </w:r>
      <w:r>
        <w:t xml:space="preserve"> </w:t>
      </w:r>
      <w:r w:rsidRPr="00AC4A6B">
        <w:t>fondů,</w:t>
      </w:r>
      <w:r>
        <w:t xml:space="preserve"> </w:t>
      </w:r>
      <w:r w:rsidRPr="00AC4A6B">
        <w:t>předpokládaný</w:t>
      </w:r>
      <w:r>
        <w:t xml:space="preserve"> </w:t>
      </w:r>
      <w:r w:rsidRPr="00AC4A6B">
        <w:t>vývoj</w:t>
      </w:r>
      <w:r>
        <w:t xml:space="preserve"> </w:t>
      </w:r>
      <w:r w:rsidRPr="00AC4A6B">
        <w:t>struktury</w:t>
      </w:r>
      <w:r>
        <w:t xml:space="preserve"> </w:t>
      </w:r>
      <w:r w:rsidRPr="00AC4A6B">
        <w:t>pojištěnců,</w:t>
      </w:r>
      <w:r>
        <w:t xml:space="preserve"> </w:t>
      </w:r>
      <w:r w:rsidRPr="00AC4A6B">
        <w:t>údaje</w:t>
      </w:r>
      <w:r>
        <w:t xml:space="preserve"> </w:t>
      </w:r>
      <w:r w:rsidRPr="00AC4A6B">
        <w:t>o</w:t>
      </w:r>
      <w:r>
        <w:t xml:space="preserve"> </w:t>
      </w:r>
      <w:r w:rsidRPr="00AC4A6B">
        <w:t>rozsahu</w:t>
      </w:r>
      <w:r>
        <w:t xml:space="preserve"> </w:t>
      </w:r>
      <w:r w:rsidRPr="00AC4A6B">
        <w:t>hrazených</w:t>
      </w:r>
      <w:r>
        <w:t xml:space="preserve"> </w:t>
      </w:r>
      <w:r w:rsidRPr="00AC4A6B">
        <w:t>služeb</w:t>
      </w:r>
      <w:r>
        <w:t xml:space="preserve"> </w:t>
      </w:r>
      <w:r w:rsidRPr="00AC4A6B">
        <w:t>zajišťovaných</w:t>
      </w:r>
      <w:r>
        <w:t xml:space="preserve"> </w:t>
      </w:r>
      <w:r w:rsidRPr="00AC4A6B">
        <w:t>Pojišťovnou,</w:t>
      </w:r>
      <w:r>
        <w:t xml:space="preserve"> </w:t>
      </w:r>
      <w:r w:rsidRPr="00AC4A6B">
        <w:t>plán</w:t>
      </w:r>
      <w:r>
        <w:t xml:space="preserve"> </w:t>
      </w:r>
      <w:r w:rsidRPr="00AC4A6B">
        <w:t>vývoje</w:t>
      </w:r>
      <w:r>
        <w:t xml:space="preserve"> </w:t>
      </w:r>
      <w:r w:rsidRPr="00AC4A6B">
        <w:t>sítě</w:t>
      </w:r>
      <w:r>
        <w:t xml:space="preserve"> </w:t>
      </w:r>
      <w:r w:rsidRPr="00AC4A6B">
        <w:t>smluvních</w:t>
      </w:r>
      <w:r>
        <w:t xml:space="preserve"> </w:t>
      </w:r>
      <w:r w:rsidRPr="00AC4A6B">
        <w:t>poskytovatelů</w:t>
      </w:r>
      <w:r>
        <w:t xml:space="preserve"> </w:t>
      </w:r>
      <w:r w:rsidRPr="00AC4A6B">
        <w:t>hrazených</w:t>
      </w:r>
      <w:r>
        <w:t xml:space="preserve"> </w:t>
      </w:r>
      <w:r w:rsidRPr="00AC4A6B">
        <w:t>služeb</w:t>
      </w:r>
      <w:r>
        <w:t xml:space="preserve"> </w:t>
      </w:r>
      <w:r w:rsidRPr="00AC4A6B">
        <w:t>včetně</w:t>
      </w:r>
      <w:r>
        <w:t xml:space="preserve"> </w:t>
      </w:r>
      <w:r w:rsidRPr="00AC4A6B">
        <w:t>informace</w:t>
      </w:r>
      <w:r>
        <w:t xml:space="preserve"> </w:t>
      </w:r>
      <w:r w:rsidRPr="00AC4A6B">
        <w:t>o</w:t>
      </w:r>
      <w:r>
        <w:t xml:space="preserve"> </w:t>
      </w:r>
      <w:r w:rsidRPr="00AC4A6B">
        <w:t>zajištění</w:t>
      </w:r>
      <w:r>
        <w:t xml:space="preserve"> </w:t>
      </w:r>
      <w:r w:rsidRPr="00AC4A6B">
        <w:t>dostupnosti</w:t>
      </w:r>
      <w:r>
        <w:t xml:space="preserve"> </w:t>
      </w:r>
      <w:r w:rsidRPr="00AC4A6B">
        <w:t>hrazených</w:t>
      </w:r>
      <w:r>
        <w:t xml:space="preserve"> </w:t>
      </w:r>
      <w:r w:rsidRPr="00AC4A6B">
        <w:t>služeb</w:t>
      </w:r>
      <w:r>
        <w:t xml:space="preserve"> </w:t>
      </w:r>
      <w:r w:rsidRPr="00AC4A6B">
        <w:t>a</w:t>
      </w:r>
      <w:r>
        <w:t xml:space="preserve"> </w:t>
      </w:r>
      <w:r w:rsidRPr="00AC4A6B">
        <w:lastRenderedPageBreak/>
        <w:t>plán</w:t>
      </w:r>
      <w:r>
        <w:t xml:space="preserve"> </w:t>
      </w:r>
      <w:r w:rsidRPr="00AC4A6B">
        <w:t>provozních</w:t>
      </w:r>
      <w:r>
        <w:t xml:space="preserve"> </w:t>
      </w:r>
      <w:r w:rsidRPr="00AC4A6B">
        <w:t>nákladů.</w:t>
      </w:r>
      <w:r>
        <w:t xml:space="preserve"> </w:t>
      </w:r>
      <w:r w:rsidRPr="00AC4A6B">
        <w:t>Podrobnou</w:t>
      </w:r>
      <w:r>
        <w:t xml:space="preserve"> </w:t>
      </w:r>
      <w:r w:rsidRPr="00AC4A6B">
        <w:t>strukturu</w:t>
      </w:r>
      <w:r>
        <w:t xml:space="preserve"> </w:t>
      </w:r>
      <w:r w:rsidRPr="00AC4A6B">
        <w:t>obsahu</w:t>
      </w:r>
      <w:r>
        <w:t xml:space="preserve"> </w:t>
      </w:r>
      <w:r w:rsidRPr="00AC4A6B">
        <w:t>informací</w:t>
      </w:r>
      <w:r>
        <w:t xml:space="preserve"> </w:t>
      </w:r>
      <w:r w:rsidRPr="00AC4A6B">
        <w:t>podle</w:t>
      </w:r>
      <w:r>
        <w:t xml:space="preserve"> </w:t>
      </w:r>
      <w:r w:rsidRPr="00AC4A6B">
        <w:t>věty</w:t>
      </w:r>
      <w:r>
        <w:t xml:space="preserve"> </w:t>
      </w:r>
      <w:r w:rsidRPr="00AC4A6B">
        <w:t>první</w:t>
      </w:r>
      <w:r>
        <w:t xml:space="preserve"> </w:t>
      </w:r>
      <w:r w:rsidRPr="00AC4A6B">
        <w:t>a</w:t>
      </w:r>
      <w:r>
        <w:t xml:space="preserve"> </w:t>
      </w:r>
      <w:r w:rsidRPr="00AC4A6B">
        <w:t>způsob</w:t>
      </w:r>
      <w:r>
        <w:t xml:space="preserve"> </w:t>
      </w:r>
      <w:r w:rsidRPr="00AC4A6B">
        <w:t>předkládání</w:t>
      </w:r>
      <w:r>
        <w:t xml:space="preserve"> </w:t>
      </w:r>
      <w:r w:rsidRPr="00AC4A6B">
        <w:t>zdravotně</w:t>
      </w:r>
      <w:r>
        <w:t xml:space="preserve"> </w:t>
      </w:r>
      <w:r w:rsidRPr="00AC4A6B">
        <w:t>pojistného</w:t>
      </w:r>
      <w:r>
        <w:t xml:space="preserve"> </w:t>
      </w:r>
      <w:r w:rsidRPr="00AC4A6B">
        <w:t>plánu</w:t>
      </w:r>
      <w:r>
        <w:t xml:space="preserve"> </w:t>
      </w:r>
      <w:r w:rsidRPr="00AC4A6B">
        <w:t>a</w:t>
      </w:r>
      <w:r>
        <w:t xml:space="preserve"> </w:t>
      </w:r>
      <w:r w:rsidRPr="00AC4A6B">
        <w:t>výhledu</w:t>
      </w:r>
      <w:r>
        <w:t xml:space="preserve"> </w:t>
      </w:r>
      <w:r w:rsidRPr="00AC4A6B">
        <w:t>stanoví</w:t>
      </w:r>
      <w:r>
        <w:t xml:space="preserve"> </w:t>
      </w:r>
      <w:r w:rsidRPr="00AC4A6B">
        <w:t>Ministerstvo</w:t>
      </w:r>
      <w:r>
        <w:t xml:space="preserve"> </w:t>
      </w:r>
      <w:r w:rsidRPr="00AC4A6B">
        <w:t>zdravotnictví</w:t>
      </w:r>
      <w:r>
        <w:t xml:space="preserve"> </w:t>
      </w:r>
      <w:r w:rsidRPr="00AC4A6B">
        <w:t>společně</w:t>
      </w:r>
      <w:r>
        <w:t xml:space="preserve"> </w:t>
      </w:r>
      <w:r w:rsidRPr="00AC4A6B">
        <w:t>s</w:t>
      </w:r>
      <w:r>
        <w:t xml:space="preserve"> </w:t>
      </w:r>
      <w:r w:rsidRPr="00AC4A6B">
        <w:t>Ministerstvem</w:t>
      </w:r>
      <w:r>
        <w:t xml:space="preserve"> </w:t>
      </w:r>
      <w:r w:rsidRPr="00AC4A6B">
        <w:t>financí</w:t>
      </w:r>
      <w:r>
        <w:t xml:space="preserve"> </w:t>
      </w:r>
      <w:r w:rsidRPr="00AC4A6B">
        <w:t>vyhláškou.</w:t>
      </w:r>
    </w:p>
    <w:p w14:paraId="08683CFB" w14:textId="65F769C9" w:rsidR="00602CE7" w:rsidRDefault="00602CE7" w:rsidP="00FE1B36">
      <w:pPr>
        <w:pStyle w:val="Textparagrafu"/>
        <w:numPr>
          <w:ilvl w:val="0"/>
          <w:numId w:val="28"/>
        </w:numPr>
        <w:spacing w:before="120" w:after="120"/>
        <w:ind w:firstLine="425"/>
      </w:pPr>
      <w:proofErr w:type="gramStart"/>
      <w:r w:rsidRPr="00520003">
        <w:rPr>
          <w:strike/>
        </w:rPr>
        <w:t>(8)</w:t>
      </w:r>
      <w:r w:rsidR="00520003">
        <w:rPr>
          <w:b/>
        </w:rPr>
        <w:t>(7)</w:t>
      </w:r>
      <w:r>
        <w:t xml:space="preserve"> </w:t>
      </w:r>
      <w:r w:rsidRPr="00AC4A6B">
        <w:t>Ministerstvo</w:t>
      </w:r>
      <w:proofErr w:type="gramEnd"/>
      <w:r>
        <w:t xml:space="preserve"> </w:t>
      </w:r>
      <w:r w:rsidRPr="00AC4A6B">
        <w:t>zdravotnictví</w:t>
      </w:r>
      <w:r>
        <w:t xml:space="preserve"> </w:t>
      </w:r>
      <w:r w:rsidRPr="00AC4A6B">
        <w:t>a</w:t>
      </w:r>
      <w:r>
        <w:t xml:space="preserve"> </w:t>
      </w:r>
      <w:r w:rsidRPr="00AC4A6B">
        <w:t>Ministerstvo</w:t>
      </w:r>
      <w:r>
        <w:t xml:space="preserve"> </w:t>
      </w:r>
      <w:r w:rsidRPr="00AC4A6B">
        <w:t>financí</w:t>
      </w:r>
      <w:r>
        <w:t xml:space="preserve"> </w:t>
      </w:r>
      <w:r w:rsidRPr="00AC4A6B">
        <w:t>posoudí</w:t>
      </w:r>
      <w:r>
        <w:t xml:space="preserve"> </w:t>
      </w:r>
      <w:r w:rsidRPr="00AC4A6B">
        <w:t>předložený</w:t>
      </w:r>
      <w:r>
        <w:t xml:space="preserve"> </w:t>
      </w:r>
      <w:r w:rsidRPr="00AC4A6B">
        <w:t>návrh</w:t>
      </w:r>
      <w:r>
        <w:t xml:space="preserve"> </w:t>
      </w:r>
      <w:r w:rsidRPr="00AC4A6B">
        <w:t>zdravotně</w:t>
      </w:r>
      <w:r>
        <w:t xml:space="preserve"> </w:t>
      </w:r>
      <w:r w:rsidRPr="00AC4A6B">
        <w:t>pojistného</w:t>
      </w:r>
      <w:r>
        <w:t xml:space="preserve"> </w:t>
      </w:r>
      <w:r w:rsidRPr="00AC4A6B">
        <w:t>plánu</w:t>
      </w:r>
      <w:r>
        <w:t xml:space="preserve"> </w:t>
      </w:r>
      <w:r w:rsidRPr="00AC4A6B">
        <w:t>z</w:t>
      </w:r>
      <w:r>
        <w:t xml:space="preserve"> </w:t>
      </w:r>
      <w:r w:rsidRPr="00AC4A6B">
        <w:t>hlediska</w:t>
      </w:r>
      <w:r>
        <w:t xml:space="preserve"> </w:t>
      </w:r>
      <w:r w:rsidRPr="00AC4A6B">
        <w:t>souladu</w:t>
      </w:r>
      <w:r>
        <w:t xml:space="preserve"> </w:t>
      </w:r>
      <w:r w:rsidRPr="00AC4A6B">
        <w:t>s</w:t>
      </w:r>
      <w:r>
        <w:t xml:space="preserve"> </w:t>
      </w:r>
      <w:r w:rsidRPr="00AC4A6B">
        <w:t>právními</w:t>
      </w:r>
      <w:r>
        <w:t xml:space="preserve"> </w:t>
      </w:r>
      <w:r w:rsidRPr="00AC4A6B">
        <w:t>předpisy</w:t>
      </w:r>
      <w:r>
        <w:t xml:space="preserve"> </w:t>
      </w:r>
      <w:r w:rsidRPr="00AC4A6B">
        <w:t>a</w:t>
      </w:r>
      <w:r>
        <w:t xml:space="preserve"> </w:t>
      </w:r>
      <w:r w:rsidRPr="00AC4A6B">
        <w:t>z</w:t>
      </w:r>
      <w:r>
        <w:t xml:space="preserve"> </w:t>
      </w:r>
      <w:r w:rsidRPr="00AC4A6B">
        <w:t>hlediska</w:t>
      </w:r>
      <w:r>
        <w:t xml:space="preserve"> </w:t>
      </w:r>
      <w:r w:rsidRPr="00AC4A6B">
        <w:t>souladu</w:t>
      </w:r>
      <w:r>
        <w:t xml:space="preserve"> </w:t>
      </w:r>
      <w:r w:rsidRPr="00AC4A6B">
        <w:t>s</w:t>
      </w:r>
      <w:r>
        <w:t xml:space="preserve"> </w:t>
      </w:r>
      <w:r w:rsidRPr="00AC4A6B">
        <w:t>veřejným</w:t>
      </w:r>
      <w:r>
        <w:t xml:space="preserve"> </w:t>
      </w:r>
      <w:r w:rsidRPr="00AC4A6B">
        <w:t>zájmem</w:t>
      </w:r>
      <w:r>
        <w:t xml:space="preserve"> </w:t>
      </w:r>
      <w:r w:rsidRPr="00AC4A6B">
        <w:t>podle</w:t>
      </w:r>
      <w:r>
        <w:t xml:space="preserve"> </w:t>
      </w:r>
      <w:r w:rsidRPr="00AC4A6B">
        <w:t>zákona</w:t>
      </w:r>
      <w:r>
        <w:t xml:space="preserve"> </w:t>
      </w:r>
      <w:r w:rsidRPr="00AC4A6B">
        <w:t>o</w:t>
      </w:r>
      <w:r>
        <w:t xml:space="preserve"> </w:t>
      </w:r>
      <w:r w:rsidRPr="00AC4A6B">
        <w:t>veřejném</w:t>
      </w:r>
      <w:r>
        <w:t xml:space="preserve"> </w:t>
      </w:r>
      <w:r w:rsidRPr="00AC4A6B">
        <w:t>zdravotním</w:t>
      </w:r>
      <w:r>
        <w:t xml:space="preserve"> </w:t>
      </w:r>
      <w:r w:rsidRPr="00AC4A6B">
        <w:t>pojištění.</w:t>
      </w:r>
    </w:p>
    <w:p w14:paraId="21F818B1" w14:textId="42333624" w:rsidR="00602CE7" w:rsidRDefault="00602CE7" w:rsidP="00FE1B36">
      <w:pPr>
        <w:pStyle w:val="Textparagrafu"/>
        <w:numPr>
          <w:ilvl w:val="0"/>
          <w:numId w:val="28"/>
        </w:numPr>
        <w:spacing w:before="120" w:after="120"/>
        <w:ind w:firstLine="425"/>
      </w:pPr>
      <w:proofErr w:type="gramStart"/>
      <w:r w:rsidRPr="00520003">
        <w:rPr>
          <w:strike/>
        </w:rPr>
        <w:t>(9)</w:t>
      </w:r>
      <w:r w:rsidR="00520003">
        <w:rPr>
          <w:b/>
        </w:rPr>
        <w:t>(8)</w:t>
      </w:r>
      <w:r>
        <w:t xml:space="preserve"> </w:t>
      </w:r>
      <w:r w:rsidRPr="00AC4A6B">
        <w:t>V</w:t>
      </w:r>
      <w:r>
        <w:t xml:space="preserve"> </w:t>
      </w:r>
      <w:r w:rsidRPr="00AC4A6B">
        <w:t>případě</w:t>
      </w:r>
      <w:proofErr w:type="gramEnd"/>
      <w:r w:rsidRPr="00AC4A6B">
        <w:t>,</w:t>
      </w:r>
      <w:r>
        <w:t xml:space="preserve"> </w:t>
      </w:r>
      <w:r w:rsidRPr="00AC4A6B">
        <w:t>kdy</w:t>
      </w:r>
      <w:r>
        <w:t xml:space="preserve"> </w:t>
      </w:r>
      <w:r w:rsidRPr="00AC4A6B">
        <w:t>Ministerstvo</w:t>
      </w:r>
      <w:r>
        <w:t xml:space="preserve"> </w:t>
      </w:r>
      <w:r w:rsidRPr="00AC4A6B">
        <w:t>zdravotnictví</w:t>
      </w:r>
      <w:r>
        <w:t xml:space="preserve"> </w:t>
      </w:r>
      <w:r w:rsidRPr="00AC4A6B">
        <w:t>a</w:t>
      </w:r>
      <w:r>
        <w:t xml:space="preserve"> </w:t>
      </w:r>
      <w:r w:rsidRPr="00AC4A6B">
        <w:t>Ministerstvo</w:t>
      </w:r>
      <w:r>
        <w:t xml:space="preserve"> </w:t>
      </w:r>
      <w:r w:rsidRPr="00AC4A6B">
        <w:t>financí</w:t>
      </w:r>
      <w:r>
        <w:t xml:space="preserve"> </w:t>
      </w:r>
      <w:r w:rsidRPr="00AC4A6B">
        <w:t>po</w:t>
      </w:r>
      <w:r>
        <w:t xml:space="preserve"> </w:t>
      </w:r>
      <w:r w:rsidRPr="00AC4A6B">
        <w:t>posouzení</w:t>
      </w:r>
      <w:r>
        <w:t xml:space="preserve"> </w:t>
      </w:r>
      <w:r w:rsidRPr="00AC4A6B">
        <w:t>souladu</w:t>
      </w:r>
      <w:r>
        <w:t xml:space="preserve"> </w:t>
      </w:r>
      <w:r w:rsidRPr="00AC4A6B">
        <w:t>návrhu</w:t>
      </w:r>
      <w:r>
        <w:t xml:space="preserve"> </w:t>
      </w:r>
      <w:r w:rsidRPr="00AC4A6B">
        <w:t>zdravotně</w:t>
      </w:r>
      <w:r>
        <w:t xml:space="preserve"> </w:t>
      </w:r>
      <w:r w:rsidRPr="00AC4A6B">
        <w:t>pojistného</w:t>
      </w:r>
      <w:r>
        <w:t xml:space="preserve"> </w:t>
      </w:r>
      <w:r w:rsidRPr="00AC4A6B">
        <w:t>plánu</w:t>
      </w:r>
      <w:r>
        <w:t xml:space="preserve"> </w:t>
      </w:r>
      <w:r w:rsidRPr="00AC4A6B">
        <w:t>s</w:t>
      </w:r>
      <w:r>
        <w:t xml:space="preserve"> </w:t>
      </w:r>
      <w:r w:rsidRPr="00AC4A6B">
        <w:t>právními</w:t>
      </w:r>
      <w:r>
        <w:t xml:space="preserve"> </w:t>
      </w:r>
      <w:r w:rsidRPr="00AC4A6B">
        <w:t>předpisy</w:t>
      </w:r>
      <w:r>
        <w:t xml:space="preserve"> </w:t>
      </w:r>
      <w:r w:rsidRPr="00AC4A6B">
        <w:t>a</w:t>
      </w:r>
      <w:r>
        <w:t xml:space="preserve"> </w:t>
      </w:r>
      <w:r w:rsidRPr="00AC4A6B">
        <w:t>veřejným</w:t>
      </w:r>
      <w:r>
        <w:t xml:space="preserve"> </w:t>
      </w:r>
      <w:r w:rsidRPr="00AC4A6B">
        <w:t>zájmem</w:t>
      </w:r>
      <w:r>
        <w:t xml:space="preserve"> </w:t>
      </w:r>
      <w:r w:rsidRPr="00AC4A6B">
        <w:t>podle</w:t>
      </w:r>
      <w:r>
        <w:t xml:space="preserve"> </w:t>
      </w:r>
      <w:r w:rsidRPr="00AC4A6B">
        <w:t>zákona</w:t>
      </w:r>
      <w:r>
        <w:t xml:space="preserve"> </w:t>
      </w:r>
      <w:r w:rsidRPr="00AC4A6B">
        <w:t>o</w:t>
      </w:r>
      <w:r>
        <w:t xml:space="preserve"> </w:t>
      </w:r>
      <w:r w:rsidRPr="00AC4A6B">
        <w:t>veřejném</w:t>
      </w:r>
      <w:r>
        <w:t xml:space="preserve"> </w:t>
      </w:r>
      <w:r w:rsidRPr="00AC4A6B">
        <w:t>zdravotním</w:t>
      </w:r>
      <w:r>
        <w:t xml:space="preserve"> </w:t>
      </w:r>
      <w:r w:rsidRPr="00AC4A6B">
        <w:t>pojištění</w:t>
      </w:r>
      <w:r>
        <w:t xml:space="preserve"> </w:t>
      </w:r>
      <w:r w:rsidRPr="00AC4A6B">
        <w:t>zjistí,</w:t>
      </w:r>
      <w:r>
        <w:t xml:space="preserve"> </w:t>
      </w:r>
      <w:r w:rsidRPr="00AC4A6B">
        <w:t>že</w:t>
      </w:r>
      <w:r>
        <w:t xml:space="preserve"> </w:t>
      </w:r>
      <w:r w:rsidRPr="00AC4A6B">
        <w:t>návrh</w:t>
      </w:r>
      <w:r>
        <w:t xml:space="preserve"> </w:t>
      </w:r>
      <w:r w:rsidRPr="00AC4A6B">
        <w:t>zdravotně</w:t>
      </w:r>
      <w:r>
        <w:t xml:space="preserve"> </w:t>
      </w:r>
      <w:r w:rsidRPr="00AC4A6B">
        <w:t>pojistného</w:t>
      </w:r>
      <w:r>
        <w:t xml:space="preserve"> </w:t>
      </w:r>
      <w:r w:rsidRPr="00AC4A6B">
        <w:t>plánu</w:t>
      </w:r>
      <w:r>
        <w:t xml:space="preserve"> </w:t>
      </w:r>
      <w:r w:rsidRPr="00AC4A6B">
        <w:t>není</w:t>
      </w:r>
      <w:r>
        <w:t xml:space="preserve"> </w:t>
      </w:r>
      <w:r w:rsidRPr="00AC4A6B">
        <w:t>s</w:t>
      </w:r>
      <w:r>
        <w:t xml:space="preserve"> </w:t>
      </w:r>
      <w:r w:rsidRPr="00AC4A6B">
        <w:t>těmito</w:t>
      </w:r>
      <w:r>
        <w:t xml:space="preserve"> </w:t>
      </w:r>
      <w:r w:rsidRPr="00AC4A6B">
        <w:t>hledisky</w:t>
      </w:r>
      <w:r>
        <w:t xml:space="preserve"> </w:t>
      </w:r>
      <w:r w:rsidRPr="00AC4A6B">
        <w:t>v</w:t>
      </w:r>
      <w:r>
        <w:t xml:space="preserve"> </w:t>
      </w:r>
      <w:r w:rsidRPr="00AC4A6B">
        <w:t>rozporu,</w:t>
      </w:r>
      <w:r>
        <w:t xml:space="preserve"> </w:t>
      </w:r>
      <w:r w:rsidRPr="00AC4A6B">
        <w:t>předloží</w:t>
      </w:r>
      <w:r>
        <w:t xml:space="preserve"> </w:t>
      </w:r>
      <w:r w:rsidRPr="00AC4A6B">
        <w:t>návrh</w:t>
      </w:r>
      <w:r>
        <w:t xml:space="preserve"> </w:t>
      </w:r>
      <w:r w:rsidRPr="00AC4A6B">
        <w:t>zdravotně</w:t>
      </w:r>
      <w:r>
        <w:t xml:space="preserve"> </w:t>
      </w:r>
      <w:r w:rsidRPr="00AC4A6B">
        <w:t>pojistného</w:t>
      </w:r>
      <w:r>
        <w:t xml:space="preserve"> </w:t>
      </w:r>
      <w:r w:rsidRPr="00AC4A6B">
        <w:t>plánu</w:t>
      </w:r>
      <w:r>
        <w:t xml:space="preserve"> </w:t>
      </w:r>
      <w:r w:rsidRPr="00AC4A6B">
        <w:t>vládě.</w:t>
      </w:r>
    </w:p>
    <w:p w14:paraId="45D7F7EC" w14:textId="2A3910B2" w:rsidR="00602CE7" w:rsidRDefault="00602CE7" w:rsidP="00FE1B36">
      <w:pPr>
        <w:pStyle w:val="Textparagrafu"/>
        <w:numPr>
          <w:ilvl w:val="0"/>
          <w:numId w:val="28"/>
        </w:numPr>
        <w:spacing w:before="120" w:after="120"/>
        <w:ind w:firstLine="425"/>
      </w:pPr>
      <w:r w:rsidRPr="00520003">
        <w:rPr>
          <w:strike/>
        </w:rPr>
        <w:t>(</w:t>
      </w:r>
      <w:proofErr w:type="gramStart"/>
      <w:r w:rsidRPr="00520003">
        <w:rPr>
          <w:strike/>
        </w:rPr>
        <w:t>10)</w:t>
      </w:r>
      <w:r w:rsidR="00520003">
        <w:rPr>
          <w:b/>
        </w:rPr>
        <w:t>(9)</w:t>
      </w:r>
      <w:r>
        <w:t xml:space="preserve"> </w:t>
      </w:r>
      <w:r w:rsidRPr="00AC4A6B">
        <w:t>V</w:t>
      </w:r>
      <w:r>
        <w:t xml:space="preserve"> </w:t>
      </w:r>
      <w:r w:rsidRPr="00AC4A6B">
        <w:t>případě</w:t>
      </w:r>
      <w:proofErr w:type="gramEnd"/>
      <w:r w:rsidRPr="00AC4A6B">
        <w:t>,</w:t>
      </w:r>
      <w:r>
        <w:t xml:space="preserve"> </w:t>
      </w:r>
      <w:r w:rsidRPr="00AC4A6B">
        <w:t>kdy</w:t>
      </w:r>
      <w:r>
        <w:t xml:space="preserve"> </w:t>
      </w:r>
      <w:r w:rsidRPr="00AC4A6B">
        <w:t>Ministerstvo</w:t>
      </w:r>
      <w:r>
        <w:t xml:space="preserve"> </w:t>
      </w:r>
      <w:r w:rsidRPr="00AC4A6B">
        <w:t>zdravotnictví</w:t>
      </w:r>
      <w:r>
        <w:t xml:space="preserve"> </w:t>
      </w:r>
      <w:r w:rsidRPr="00AC4A6B">
        <w:t>a</w:t>
      </w:r>
      <w:r>
        <w:t xml:space="preserve"> </w:t>
      </w:r>
      <w:r w:rsidRPr="00AC4A6B">
        <w:t>Ministerstvo</w:t>
      </w:r>
      <w:r>
        <w:t xml:space="preserve"> </w:t>
      </w:r>
      <w:r w:rsidRPr="00AC4A6B">
        <w:t>financí</w:t>
      </w:r>
      <w:r>
        <w:t xml:space="preserve"> </w:t>
      </w:r>
      <w:r w:rsidRPr="00AC4A6B">
        <w:t>zjistí,</w:t>
      </w:r>
      <w:r>
        <w:t xml:space="preserve"> </w:t>
      </w:r>
      <w:r w:rsidRPr="00AC4A6B">
        <w:t>že</w:t>
      </w:r>
      <w:r>
        <w:t xml:space="preserve"> </w:t>
      </w:r>
      <w:r w:rsidRPr="00AC4A6B">
        <w:t>návrh</w:t>
      </w:r>
      <w:r>
        <w:t xml:space="preserve"> </w:t>
      </w:r>
      <w:r w:rsidRPr="00AC4A6B">
        <w:t>zdravotně</w:t>
      </w:r>
      <w:r>
        <w:t xml:space="preserve"> </w:t>
      </w:r>
      <w:r w:rsidRPr="00AC4A6B">
        <w:t>pojistného</w:t>
      </w:r>
      <w:r>
        <w:t xml:space="preserve"> </w:t>
      </w:r>
      <w:r w:rsidRPr="00AC4A6B">
        <w:t>plánu</w:t>
      </w:r>
      <w:r>
        <w:t xml:space="preserve"> </w:t>
      </w:r>
      <w:r w:rsidRPr="00AC4A6B">
        <w:t>odporuje</w:t>
      </w:r>
      <w:r>
        <w:t xml:space="preserve"> </w:t>
      </w:r>
      <w:r w:rsidRPr="00AC4A6B">
        <w:t>právním</w:t>
      </w:r>
      <w:r>
        <w:t xml:space="preserve"> </w:t>
      </w:r>
      <w:r w:rsidRPr="00AC4A6B">
        <w:t>předpisům</w:t>
      </w:r>
      <w:r>
        <w:t xml:space="preserve"> </w:t>
      </w:r>
      <w:r w:rsidRPr="00AC4A6B">
        <w:t>anebo</w:t>
      </w:r>
      <w:r>
        <w:t xml:space="preserve"> </w:t>
      </w:r>
      <w:r w:rsidRPr="00AC4A6B">
        <w:t>veřejnému</w:t>
      </w:r>
      <w:r>
        <w:t xml:space="preserve"> </w:t>
      </w:r>
      <w:r w:rsidRPr="00AC4A6B">
        <w:t>zájmu</w:t>
      </w:r>
      <w:r>
        <w:t xml:space="preserve"> </w:t>
      </w:r>
      <w:r w:rsidRPr="00AC4A6B">
        <w:t>podle</w:t>
      </w:r>
      <w:r>
        <w:t xml:space="preserve"> </w:t>
      </w:r>
      <w:r w:rsidRPr="00AC4A6B">
        <w:t>zákona</w:t>
      </w:r>
      <w:r>
        <w:t xml:space="preserve"> </w:t>
      </w:r>
      <w:r w:rsidRPr="00AC4A6B">
        <w:t>o</w:t>
      </w:r>
      <w:r>
        <w:t xml:space="preserve"> </w:t>
      </w:r>
      <w:r w:rsidRPr="00AC4A6B">
        <w:t>veřejném</w:t>
      </w:r>
      <w:r>
        <w:t xml:space="preserve"> </w:t>
      </w:r>
      <w:r w:rsidRPr="00AC4A6B">
        <w:t>zdravotním</w:t>
      </w:r>
      <w:r>
        <w:t xml:space="preserve"> </w:t>
      </w:r>
      <w:r w:rsidRPr="00AC4A6B">
        <w:t>pojištění,</w:t>
      </w:r>
      <w:r>
        <w:t xml:space="preserve"> </w:t>
      </w:r>
      <w:r w:rsidRPr="00AC4A6B">
        <w:t>vrátí</w:t>
      </w:r>
      <w:r>
        <w:t xml:space="preserve"> </w:t>
      </w:r>
      <w:r w:rsidRPr="00AC4A6B">
        <w:t>Pojišťovně</w:t>
      </w:r>
      <w:r>
        <w:t xml:space="preserve"> </w:t>
      </w:r>
      <w:r w:rsidRPr="00AC4A6B">
        <w:t>návrh</w:t>
      </w:r>
      <w:r>
        <w:t xml:space="preserve"> </w:t>
      </w:r>
      <w:r w:rsidRPr="00AC4A6B">
        <w:t>zdravotně</w:t>
      </w:r>
      <w:r>
        <w:t xml:space="preserve"> </w:t>
      </w:r>
      <w:r w:rsidRPr="00AC4A6B">
        <w:t>pojistného</w:t>
      </w:r>
      <w:r>
        <w:t xml:space="preserve"> </w:t>
      </w:r>
      <w:r w:rsidRPr="00AC4A6B">
        <w:t>plánu</w:t>
      </w:r>
      <w:r>
        <w:t xml:space="preserve"> </w:t>
      </w:r>
      <w:r w:rsidRPr="00AC4A6B">
        <w:t>s</w:t>
      </w:r>
      <w:r>
        <w:t xml:space="preserve"> </w:t>
      </w:r>
      <w:r w:rsidRPr="00AC4A6B">
        <w:t>výzvou</w:t>
      </w:r>
      <w:r>
        <w:t xml:space="preserve"> </w:t>
      </w:r>
      <w:r w:rsidRPr="00AC4A6B">
        <w:t>k</w:t>
      </w:r>
      <w:r>
        <w:t xml:space="preserve"> </w:t>
      </w:r>
      <w:r w:rsidRPr="00AC4A6B">
        <w:t>přepracování.</w:t>
      </w:r>
      <w:r>
        <w:t xml:space="preserve"> </w:t>
      </w:r>
      <w:r w:rsidRPr="00AC4A6B">
        <w:t>Pojišťovna</w:t>
      </w:r>
      <w:r>
        <w:t xml:space="preserve"> </w:t>
      </w:r>
      <w:r w:rsidRPr="00AC4A6B">
        <w:t>předloží</w:t>
      </w:r>
      <w:r>
        <w:t xml:space="preserve"> </w:t>
      </w:r>
      <w:r w:rsidRPr="00AC4A6B">
        <w:t>přepracovaný</w:t>
      </w:r>
      <w:r>
        <w:t xml:space="preserve"> </w:t>
      </w:r>
      <w:r w:rsidRPr="00AC4A6B">
        <w:t>návrh</w:t>
      </w:r>
      <w:r>
        <w:t xml:space="preserve"> </w:t>
      </w:r>
      <w:r w:rsidRPr="00AC4A6B">
        <w:t>zdravotně</w:t>
      </w:r>
      <w:r>
        <w:t xml:space="preserve"> </w:t>
      </w:r>
      <w:r w:rsidRPr="00AC4A6B">
        <w:t>pojistného</w:t>
      </w:r>
      <w:r>
        <w:t xml:space="preserve"> </w:t>
      </w:r>
      <w:r w:rsidRPr="00AC4A6B">
        <w:t>plánu</w:t>
      </w:r>
      <w:r>
        <w:t xml:space="preserve"> </w:t>
      </w:r>
      <w:r w:rsidRPr="00AC4A6B">
        <w:t>do</w:t>
      </w:r>
      <w:r>
        <w:t xml:space="preserve"> </w:t>
      </w:r>
      <w:r w:rsidRPr="00AC4A6B">
        <w:t>30</w:t>
      </w:r>
      <w:r>
        <w:t xml:space="preserve"> </w:t>
      </w:r>
      <w:r w:rsidRPr="00AC4A6B">
        <w:t>dnů</w:t>
      </w:r>
      <w:r>
        <w:t xml:space="preserve"> </w:t>
      </w:r>
      <w:r w:rsidRPr="00AC4A6B">
        <w:t>ode</w:t>
      </w:r>
      <w:r>
        <w:t xml:space="preserve"> </w:t>
      </w:r>
      <w:r w:rsidRPr="00AC4A6B">
        <w:t>dne</w:t>
      </w:r>
      <w:r>
        <w:t xml:space="preserve"> </w:t>
      </w:r>
      <w:r w:rsidRPr="00AC4A6B">
        <w:t>doručení</w:t>
      </w:r>
      <w:r>
        <w:t xml:space="preserve"> </w:t>
      </w:r>
      <w:r w:rsidRPr="00AC4A6B">
        <w:t>výzvy.</w:t>
      </w:r>
    </w:p>
    <w:p w14:paraId="094EE65D" w14:textId="59795A26" w:rsidR="00602CE7" w:rsidRDefault="00602CE7" w:rsidP="00FE1B36">
      <w:pPr>
        <w:pStyle w:val="Textparagrafu"/>
        <w:numPr>
          <w:ilvl w:val="0"/>
          <w:numId w:val="28"/>
        </w:numPr>
        <w:spacing w:before="120" w:after="120"/>
        <w:ind w:firstLine="425"/>
      </w:pPr>
      <w:r w:rsidRPr="00520003">
        <w:rPr>
          <w:strike/>
        </w:rPr>
        <w:t>(</w:t>
      </w:r>
      <w:proofErr w:type="gramStart"/>
      <w:r w:rsidRPr="00520003">
        <w:rPr>
          <w:strike/>
        </w:rPr>
        <w:t>11)</w:t>
      </w:r>
      <w:r w:rsidR="00520003">
        <w:rPr>
          <w:b/>
        </w:rPr>
        <w:t>(10</w:t>
      </w:r>
      <w:proofErr w:type="gramEnd"/>
      <w:r w:rsidR="00520003">
        <w:rPr>
          <w:b/>
        </w:rPr>
        <w:t>)</w:t>
      </w:r>
      <w:r>
        <w:t xml:space="preserve"> </w:t>
      </w:r>
      <w:r w:rsidRPr="00AC4A6B">
        <w:t>Návrh</w:t>
      </w:r>
      <w:r>
        <w:t xml:space="preserve"> </w:t>
      </w:r>
      <w:r w:rsidRPr="00AC4A6B">
        <w:t>zdravotně</w:t>
      </w:r>
      <w:r>
        <w:t xml:space="preserve"> </w:t>
      </w:r>
      <w:r w:rsidRPr="00AC4A6B">
        <w:t>pojistného</w:t>
      </w:r>
      <w:r>
        <w:t xml:space="preserve"> </w:t>
      </w:r>
      <w:r w:rsidRPr="00AC4A6B">
        <w:t>plánu,</w:t>
      </w:r>
      <w:r>
        <w:t xml:space="preserve"> </w:t>
      </w:r>
      <w:r w:rsidRPr="008F47F5">
        <w:rPr>
          <w:strike/>
        </w:rPr>
        <w:t>účetní závěrku a návrh výroční zprávy za minulý rok</w:t>
      </w:r>
      <w:r>
        <w:t xml:space="preserve"> </w:t>
      </w:r>
      <w:r w:rsidR="008F47F5" w:rsidRPr="0058636F">
        <w:rPr>
          <w:b/>
        </w:rPr>
        <w:t xml:space="preserve">řádnou účetní závěrku a </w:t>
      </w:r>
      <w:r w:rsidR="008F47F5">
        <w:rPr>
          <w:b/>
        </w:rPr>
        <w:t>z</w:t>
      </w:r>
      <w:r w:rsidR="008F47F5" w:rsidRPr="00F52C8D">
        <w:rPr>
          <w:b/>
        </w:rPr>
        <w:t>právu vedení za uplynulé účetní období</w:t>
      </w:r>
      <w:r w:rsidR="008F47F5" w:rsidRPr="00AC4A6B">
        <w:t xml:space="preserve"> </w:t>
      </w:r>
      <w:r w:rsidRPr="00AC4A6B">
        <w:t>schvaluje</w:t>
      </w:r>
      <w:r>
        <w:t xml:space="preserve"> </w:t>
      </w:r>
      <w:r w:rsidRPr="00AC4A6B">
        <w:t>na</w:t>
      </w:r>
      <w:r>
        <w:t xml:space="preserve"> </w:t>
      </w:r>
      <w:r w:rsidRPr="00AC4A6B">
        <w:t>návrh</w:t>
      </w:r>
      <w:r>
        <w:t xml:space="preserve"> </w:t>
      </w:r>
      <w:r w:rsidRPr="00AC4A6B">
        <w:t>vlády</w:t>
      </w:r>
      <w:r>
        <w:t xml:space="preserve"> </w:t>
      </w:r>
      <w:r w:rsidRPr="00AC4A6B">
        <w:t>Poslanecká</w:t>
      </w:r>
      <w:r>
        <w:t xml:space="preserve"> </w:t>
      </w:r>
      <w:r w:rsidRPr="00AC4A6B">
        <w:t>sněmovna</w:t>
      </w:r>
      <w:r>
        <w:t xml:space="preserve"> </w:t>
      </w:r>
      <w:r w:rsidRPr="00AC4A6B">
        <w:t>Parlamentu</w:t>
      </w:r>
      <w:r>
        <w:t xml:space="preserve"> </w:t>
      </w:r>
      <w:r w:rsidRPr="00AC4A6B">
        <w:t>v</w:t>
      </w:r>
      <w:r>
        <w:t xml:space="preserve"> </w:t>
      </w:r>
      <w:r w:rsidRPr="00AC4A6B">
        <w:t>návaznosti</w:t>
      </w:r>
      <w:r>
        <w:t xml:space="preserve"> </w:t>
      </w:r>
      <w:r w:rsidRPr="00AC4A6B">
        <w:t>na</w:t>
      </w:r>
      <w:r>
        <w:t xml:space="preserve"> </w:t>
      </w:r>
      <w:r w:rsidRPr="00AC4A6B">
        <w:t>termíny</w:t>
      </w:r>
      <w:r>
        <w:t xml:space="preserve"> </w:t>
      </w:r>
      <w:r w:rsidRPr="00AC4A6B">
        <w:t>projednávání</w:t>
      </w:r>
      <w:r>
        <w:t xml:space="preserve"> </w:t>
      </w:r>
      <w:r w:rsidRPr="00AC4A6B">
        <w:t>návrhu</w:t>
      </w:r>
      <w:r>
        <w:t xml:space="preserve"> </w:t>
      </w:r>
      <w:r w:rsidRPr="00AC4A6B">
        <w:t>státního</w:t>
      </w:r>
      <w:r>
        <w:t xml:space="preserve"> </w:t>
      </w:r>
      <w:r w:rsidRPr="00AC4A6B">
        <w:t>rozpočtu</w:t>
      </w:r>
      <w:r>
        <w:t xml:space="preserve"> </w:t>
      </w:r>
      <w:r w:rsidRPr="00AC4A6B">
        <w:t>a</w:t>
      </w:r>
      <w:r>
        <w:t xml:space="preserve"> </w:t>
      </w:r>
      <w:r w:rsidRPr="00AC4A6B">
        <w:t>státního</w:t>
      </w:r>
      <w:r>
        <w:t xml:space="preserve"> </w:t>
      </w:r>
      <w:r w:rsidRPr="00AC4A6B">
        <w:t>závěrečného</w:t>
      </w:r>
      <w:r>
        <w:t xml:space="preserve"> </w:t>
      </w:r>
      <w:r w:rsidRPr="00AC4A6B">
        <w:t>účtu.</w:t>
      </w:r>
    </w:p>
    <w:p w14:paraId="32E83828" w14:textId="352A8BE8" w:rsidR="00602CE7" w:rsidRDefault="00602CE7" w:rsidP="00FE1B36">
      <w:pPr>
        <w:pStyle w:val="Textparagrafu"/>
        <w:numPr>
          <w:ilvl w:val="0"/>
          <w:numId w:val="28"/>
        </w:numPr>
        <w:spacing w:before="120" w:after="120"/>
        <w:ind w:firstLine="425"/>
      </w:pPr>
      <w:r w:rsidRPr="00520003">
        <w:rPr>
          <w:strike/>
        </w:rPr>
        <w:t>(</w:t>
      </w:r>
      <w:proofErr w:type="gramStart"/>
      <w:r w:rsidRPr="00520003">
        <w:rPr>
          <w:strike/>
        </w:rPr>
        <w:t>12)</w:t>
      </w:r>
      <w:r w:rsidR="00520003">
        <w:rPr>
          <w:b/>
        </w:rPr>
        <w:t>(11</w:t>
      </w:r>
      <w:proofErr w:type="gramEnd"/>
      <w:r w:rsidR="00520003">
        <w:rPr>
          <w:b/>
        </w:rPr>
        <w:t>)</w:t>
      </w:r>
      <w:r>
        <w:t xml:space="preserve"> </w:t>
      </w:r>
      <w:r w:rsidRPr="00AC4A6B">
        <w:t>Nebude-li</w:t>
      </w:r>
      <w:r>
        <w:t xml:space="preserve"> </w:t>
      </w:r>
      <w:r w:rsidRPr="00AC4A6B">
        <w:t>zdravotně</w:t>
      </w:r>
      <w:r>
        <w:t xml:space="preserve"> </w:t>
      </w:r>
      <w:r w:rsidRPr="00AC4A6B">
        <w:t>pojistný</w:t>
      </w:r>
      <w:r>
        <w:t xml:space="preserve"> </w:t>
      </w:r>
      <w:r w:rsidRPr="00AC4A6B">
        <w:t>plán</w:t>
      </w:r>
      <w:r>
        <w:t xml:space="preserve"> </w:t>
      </w:r>
      <w:r w:rsidRPr="00AC4A6B">
        <w:t>Pojišťovny</w:t>
      </w:r>
      <w:r>
        <w:t xml:space="preserve"> </w:t>
      </w:r>
      <w:r w:rsidRPr="00AC4A6B">
        <w:t>schválen</w:t>
      </w:r>
      <w:r>
        <w:t xml:space="preserve"> </w:t>
      </w:r>
      <w:r w:rsidRPr="00AC4A6B">
        <w:t>před</w:t>
      </w:r>
      <w:r>
        <w:t xml:space="preserve"> </w:t>
      </w:r>
      <w:r w:rsidRPr="00AC4A6B">
        <w:t>1.</w:t>
      </w:r>
      <w:r>
        <w:t xml:space="preserve"> </w:t>
      </w:r>
      <w:r w:rsidRPr="00AC4A6B">
        <w:t>lednem</w:t>
      </w:r>
      <w:r>
        <w:t xml:space="preserve"> </w:t>
      </w:r>
      <w:r w:rsidRPr="00AC4A6B">
        <w:t>příslušného</w:t>
      </w:r>
      <w:r>
        <w:t xml:space="preserve"> </w:t>
      </w:r>
      <w:r w:rsidRPr="00AC4A6B">
        <w:t>kalendářního</w:t>
      </w:r>
      <w:r>
        <w:t xml:space="preserve"> </w:t>
      </w:r>
      <w:r w:rsidRPr="00AC4A6B">
        <w:t>roku,</w:t>
      </w:r>
      <w:r>
        <w:t xml:space="preserve"> </w:t>
      </w:r>
      <w:r w:rsidRPr="00AC4A6B">
        <w:t>řídí</w:t>
      </w:r>
      <w:r>
        <w:t xml:space="preserve"> </w:t>
      </w:r>
      <w:r w:rsidRPr="00AC4A6B">
        <w:t>se</w:t>
      </w:r>
      <w:r>
        <w:t xml:space="preserve"> </w:t>
      </w:r>
      <w:r w:rsidRPr="00AC4A6B">
        <w:t>činnost</w:t>
      </w:r>
      <w:r>
        <w:t xml:space="preserve"> </w:t>
      </w:r>
      <w:r w:rsidRPr="00AC4A6B">
        <w:t>Pojišťovny</w:t>
      </w:r>
      <w:r>
        <w:t xml:space="preserve"> </w:t>
      </w:r>
      <w:r w:rsidRPr="00AC4A6B">
        <w:t>do</w:t>
      </w:r>
      <w:r>
        <w:t xml:space="preserve"> </w:t>
      </w:r>
      <w:r w:rsidRPr="00AC4A6B">
        <w:t>schválení</w:t>
      </w:r>
      <w:r>
        <w:t xml:space="preserve"> </w:t>
      </w:r>
      <w:r w:rsidRPr="00AC4A6B">
        <w:t>zdravotně</w:t>
      </w:r>
      <w:r>
        <w:t xml:space="preserve"> </w:t>
      </w:r>
      <w:r w:rsidRPr="00AC4A6B">
        <w:t>pojistného</w:t>
      </w:r>
      <w:r>
        <w:t xml:space="preserve"> </w:t>
      </w:r>
      <w:r w:rsidRPr="00AC4A6B">
        <w:t>plánu</w:t>
      </w:r>
      <w:r>
        <w:t xml:space="preserve"> </w:t>
      </w:r>
      <w:r w:rsidRPr="00AC4A6B">
        <w:t>provizoriem</w:t>
      </w:r>
      <w:r>
        <w:t xml:space="preserve"> </w:t>
      </w:r>
      <w:r w:rsidRPr="00AC4A6B">
        <w:t>stanoveným</w:t>
      </w:r>
      <w:r>
        <w:t xml:space="preserve"> </w:t>
      </w:r>
      <w:r w:rsidRPr="00AC4A6B">
        <w:t>Ministerstvem</w:t>
      </w:r>
      <w:r>
        <w:t xml:space="preserve"> </w:t>
      </w:r>
      <w:r w:rsidRPr="00AC4A6B">
        <w:t>zdravotnictví</w:t>
      </w:r>
      <w:r>
        <w:t xml:space="preserve"> </w:t>
      </w:r>
      <w:r w:rsidRPr="00AC4A6B">
        <w:t>v</w:t>
      </w:r>
      <w:r>
        <w:t xml:space="preserve"> </w:t>
      </w:r>
      <w:r w:rsidRPr="00AC4A6B">
        <w:t>dohodě</w:t>
      </w:r>
      <w:r>
        <w:t xml:space="preserve"> </w:t>
      </w:r>
      <w:r w:rsidRPr="00AC4A6B">
        <w:t>s</w:t>
      </w:r>
      <w:r>
        <w:t xml:space="preserve"> </w:t>
      </w:r>
      <w:r w:rsidRPr="00AC4A6B">
        <w:t>Ministerstvem</w:t>
      </w:r>
      <w:r>
        <w:t xml:space="preserve"> </w:t>
      </w:r>
      <w:r w:rsidRPr="00AC4A6B">
        <w:t>financí.</w:t>
      </w:r>
      <w:r>
        <w:t xml:space="preserve"> </w:t>
      </w:r>
      <w:r w:rsidRPr="00AC4A6B">
        <w:t>Základem</w:t>
      </w:r>
      <w:r>
        <w:t xml:space="preserve"> </w:t>
      </w:r>
      <w:r w:rsidRPr="00AC4A6B">
        <w:t>pro</w:t>
      </w:r>
      <w:r>
        <w:t xml:space="preserve"> </w:t>
      </w:r>
      <w:r w:rsidRPr="00AC4A6B">
        <w:t>stanovení</w:t>
      </w:r>
      <w:r>
        <w:t xml:space="preserve"> </w:t>
      </w:r>
      <w:r w:rsidRPr="00AC4A6B">
        <w:t>provizoria</w:t>
      </w:r>
      <w:r>
        <w:t xml:space="preserve"> </w:t>
      </w:r>
      <w:r w:rsidRPr="00AC4A6B">
        <w:t>je</w:t>
      </w:r>
      <w:r>
        <w:t xml:space="preserve"> </w:t>
      </w:r>
      <w:r w:rsidRPr="00AC4A6B">
        <w:t>návrh</w:t>
      </w:r>
      <w:r>
        <w:t xml:space="preserve"> </w:t>
      </w:r>
      <w:r w:rsidRPr="00AC4A6B">
        <w:t>zdravotně</w:t>
      </w:r>
      <w:r>
        <w:t xml:space="preserve"> </w:t>
      </w:r>
      <w:r w:rsidRPr="00AC4A6B">
        <w:t>pojistného</w:t>
      </w:r>
      <w:r>
        <w:t xml:space="preserve"> </w:t>
      </w:r>
      <w:r w:rsidRPr="00AC4A6B">
        <w:t>plánu</w:t>
      </w:r>
      <w:r>
        <w:t xml:space="preserve"> </w:t>
      </w:r>
      <w:r w:rsidRPr="00AC4A6B">
        <w:t>na</w:t>
      </w:r>
      <w:r>
        <w:t xml:space="preserve"> </w:t>
      </w:r>
      <w:r w:rsidRPr="00AC4A6B">
        <w:t>příslušný</w:t>
      </w:r>
      <w:r>
        <w:t xml:space="preserve"> </w:t>
      </w:r>
      <w:r w:rsidRPr="00AC4A6B">
        <w:t>kalendářní</w:t>
      </w:r>
      <w:r>
        <w:t xml:space="preserve"> </w:t>
      </w:r>
      <w:r w:rsidRPr="00AC4A6B">
        <w:t>rok.</w:t>
      </w:r>
    </w:p>
    <w:p w14:paraId="11BF1D1E" w14:textId="0A47FB7A" w:rsidR="00602CE7" w:rsidRDefault="00602CE7" w:rsidP="00FE1B36">
      <w:pPr>
        <w:pStyle w:val="Textparagrafu"/>
        <w:numPr>
          <w:ilvl w:val="0"/>
          <w:numId w:val="28"/>
        </w:numPr>
        <w:spacing w:before="120" w:after="120"/>
        <w:ind w:firstLine="425"/>
      </w:pPr>
      <w:r w:rsidRPr="00520003">
        <w:rPr>
          <w:strike/>
        </w:rPr>
        <w:t>(</w:t>
      </w:r>
      <w:proofErr w:type="gramStart"/>
      <w:r w:rsidRPr="00520003">
        <w:rPr>
          <w:strike/>
        </w:rPr>
        <w:t>13)</w:t>
      </w:r>
      <w:r w:rsidR="00520003">
        <w:rPr>
          <w:b/>
        </w:rPr>
        <w:t>(12</w:t>
      </w:r>
      <w:proofErr w:type="gramEnd"/>
      <w:r w:rsidR="00520003">
        <w:rPr>
          <w:b/>
        </w:rPr>
        <w:t>)</w:t>
      </w:r>
      <w:r>
        <w:t xml:space="preserve"> </w:t>
      </w:r>
      <w:r w:rsidRPr="00AC4A6B">
        <w:t>Schválený</w:t>
      </w:r>
      <w:r>
        <w:t xml:space="preserve"> </w:t>
      </w:r>
      <w:r w:rsidRPr="00AC4A6B">
        <w:t>zdravotně</w:t>
      </w:r>
      <w:r>
        <w:t xml:space="preserve"> </w:t>
      </w:r>
      <w:r w:rsidRPr="00AC4A6B">
        <w:t>pojistný</w:t>
      </w:r>
      <w:r>
        <w:t xml:space="preserve"> </w:t>
      </w:r>
      <w:r w:rsidRPr="00AC4A6B">
        <w:t>plán,</w:t>
      </w:r>
      <w:r>
        <w:t xml:space="preserve"> </w:t>
      </w:r>
      <w:r w:rsidRPr="00AC4A6B">
        <w:t>nebo</w:t>
      </w:r>
      <w:r>
        <w:t xml:space="preserve"> </w:t>
      </w:r>
      <w:r w:rsidRPr="00AC4A6B">
        <w:t>do</w:t>
      </w:r>
      <w:r>
        <w:t xml:space="preserve"> </w:t>
      </w:r>
      <w:r w:rsidRPr="00AC4A6B">
        <w:t>schválení</w:t>
      </w:r>
      <w:r>
        <w:t xml:space="preserve"> </w:t>
      </w:r>
      <w:r w:rsidRPr="00AC4A6B">
        <w:t>zdravotně</w:t>
      </w:r>
      <w:r>
        <w:t xml:space="preserve"> </w:t>
      </w:r>
      <w:r w:rsidRPr="00AC4A6B">
        <w:t>pojistného</w:t>
      </w:r>
      <w:r>
        <w:t xml:space="preserve"> </w:t>
      </w:r>
      <w:r w:rsidRPr="00AC4A6B">
        <w:t>plánu</w:t>
      </w:r>
      <w:r>
        <w:t xml:space="preserve"> </w:t>
      </w:r>
      <w:r w:rsidRPr="00AC4A6B">
        <w:t>provizorium,</w:t>
      </w:r>
      <w:r>
        <w:t xml:space="preserve"> </w:t>
      </w:r>
      <w:r w:rsidRPr="008F47F5">
        <w:rPr>
          <w:strike/>
        </w:rPr>
        <w:t>výroční zprávu a účetní závěrku Pojišťovna zveřejní</w:t>
      </w:r>
      <w:r>
        <w:t xml:space="preserve"> </w:t>
      </w:r>
      <w:r w:rsidR="008F47F5" w:rsidRPr="0058636F">
        <w:rPr>
          <w:b/>
        </w:rPr>
        <w:t>zprávu</w:t>
      </w:r>
      <w:r w:rsidR="008F47F5" w:rsidRPr="00F52C8D">
        <w:rPr>
          <w:b/>
        </w:rPr>
        <w:t xml:space="preserve"> vedení a</w:t>
      </w:r>
      <w:r w:rsidR="008F47F5" w:rsidRPr="00F52C8D">
        <w:t xml:space="preserve"> </w:t>
      </w:r>
      <w:r w:rsidR="008F47F5" w:rsidRPr="00F52C8D">
        <w:rPr>
          <w:b/>
        </w:rPr>
        <w:t xml:space="preserve">řádnou </w:t>
      </w:r>
      <w:r w:rsidR="008F47F5">
        <w:rPr>
          <w:b/>
        </w:rPr>
        <w:t xml:space="preserve">účetní závěrku </w:t>
      </w:r>
      <w:r w:rsidR="008F47F5" w:rsidRPr="00F52C8D">
        <w:rPr>
          <w:b/>
        </w:rPr>
        <w:t xml:space="preserve">schválené Poslaneckou sněmovnou Parlamentu </w:t>
      </w:r>
      <w:r w:rsidR="008F47F5">
        <w:rPr>
          <w:b/>
        </w:rPr>
        <w:t xml:space="preserve">Pojišťovna </w:t>
      </w:r>
      <w:r w:rsidR="008F47F5" w:rsidRPr="00F52C8D">
        <w:rPr>
          <w:b/>
        </w:rPr>
        <w:t>uveřejní</w:t>
      </w:r>
      <w:r w:rsidR="008F47F5" w:rsidRPr="00AC4A6B">
        <w:t xml:space="preserve"> </w:t>
      </w:r>
      <w:r w:rsidRPr="00AC4A6B">
        <w:t>na</w:t>
      </w:r>
      <w:r>
        <w:t xml:space="preserve"> </w:t>
      </w:r>
      <w:r w:rsidRPr="00AC4A6B">
        <w:t>svých</w:t>
      </w:r>
      <w:r>
        <w:t xml:space="preserve"> </w:t>
      </w:r>
      <w:r w:rsidRPr="00AC4A6B">
        <w:t>internetových</w:t>
      </w:r>
      <w:r>
        <w:t xml:space="preserve"> </w:t>
      </w:r>
      <w:r w:rsidRPr="00AC4A6B">
        <w:t>stránkách.</w:t>
      </w:r>
    </w:p>
    <w:p w14:paraId="6BCCBF6B" w14:textId="322BA020" w:rsidR="00602CE7" w:rsidRPr="00AC4A6B" w:rsidRDefault="00602CE7" w:rsidP="00FE1B36">
      <w:pPr>
        <w:pStyle w:val="Textparagrafu"/>
        <w:numPr>
          <w:ilvl w:val="0"/>
          <w:numId w:val="28"/>
        </w:numPr>
        <w:spacing w:before="120" w:after="120"/>
        <w:ind w:firstLine="425"/>
      </w:pPr>
      <w:r w:rsidRPr="00520003">
        <w:rPr>
          <w:strike/>
        </w:rPr>
        <w:t>(</w:t>
      </w:r>
      <w:proofErr w:type="gramStart"/>
      <w:r w:rsidRPr="00520003">
        <w:rPr>
          <w:strike/>
        </w:rPr>
        <w:t>14)</w:t>
      </w:r>
      <w:r w:rsidR="00520003">
        <w:rPr>
          <w:b/>
        </w:rPr>
        <w:t>(13</w:t>
      </w:r>
      <w:proofErr w:type="gramEnd"/>
      <w:r w:rsidR="00520003">
        <w:rPr>
          <w:b/>
        </w:rPr>
        <w:t>)</w:t>
      </w:r>
      <w:r>
        <w:t xml:space="preserve"> </w:t>
      </w:r>
      <w:r w:rsidRPr="00AC4A6B">
        <w:t>Při</w:t>
      </w:r>
      <w:r>
        <w:t xml:space="preserve"> </w:t>
      </w:r>
      <w:r w:rsidRPr="00AC4A6B">
        <w:t>uplatnění</w:t>
      </w:r>
      <w:r>
        <w:t xml:space="preserve"> </w:t>
      </w:r>
      <w:r w:rsidRPr="00AC4A6B">
        <w:t>opatření</w:t>
      </w:r>
      <w:r>
        <w:t xml:space="preserve"> </w:t>
      </w:r>
      <w:r w:rsidRPr="00AC4A6B">
        <w:t>podle</w:t>
      </w:r>
      <w:r>
        <w:t xml:space="preserve"> </w:t>
      </w:r>
      <w:r w:rsidRPr="00AC4A6B">
        <w:t>zákona</w:t>
      </w:r>
      <w:r>
        <w:t xml:space="preserve"> </w:t>
      </w:r>
      <w:r w:rsidRPr="00AC4A6B">
        <w:t>o</w:t>
      </w:r>
      <w:r>
        <w:t xml:space="preserve"> </w:t>
      </w:r>
      <w:r w:rsidRPr="00AC4A6B">
        <w:t>pravidlech</w:t>
      </w:r>
      <w:r>
        <w:t xml:space="preserve"> </w:t>
      </w:r>
      <w:r w:rsidRPr="00AC4A6B">
        <w:t>rozpočtové</w:t>
      </w:r>
      <w:r>
        <w:t xml:space="preserve"> </w:t>
      </w:r>
      <w:r w:rsidRPr="00AC4A6B">
        <w:t>odpovědnosti</w:t>
      </w:r>
      <w:r>
        <w:t xml:space="preserve"> </w:t>
      </w:r>
      <w:r w:rsidRPr="00AC4A6B">
        <w:t>může</w:t>
      </w:r>
      <w:r>
        <w:t xml:space="preserve"> </w:t>
      </w:r>
      <w:r w:rsidRPr="00AC4A6B">
        <w:t>být</w:t>
      </w:r>
      <w:r>
        <w:t xml:space="preserve"> </w:t>
      </w:r>
      <w:r w:rsidRPr="00AC4A6B">
        <w:t>zdravotně</w:t>
      </w:r>
      <w:r>
        <w:t xml:space="preserve"> </w:t>
      </w:r>
      <w:r w:rsidRPr="00AC4A6B">
        <w:t>pojistný</w:t>
      </w:r>
      <w:r>
        <w:t xml:space="preserve"> </w:t>
      </w:r>
      <w:r w:rsidRPr="00AC4A6B">
        <w:t>plán</w:t>
      </w:r>
      <w:r>
        <w:t xml:space="preserve"> </w:t>
      </w:r>
      <w:r w:rsidRPr="00AC4A6B">
        <w:t>navržen</w:t>
      </w:r>
      <w:r>
        <w:t xml:space="preserve"> </w:t>
      </w:r>
      <w:r w:rsidRPr="00AC4A6B">
        <w:t>podle</w:t>
      </w:r>
      <w:r>
        <w:t xml:space="preserve"> </w:t>
      </w:r>
      <w:r w:rsidRPr="00AC4A6B">
        <w:t>odstavce</w:t>
      </w:r>
      <w:r>
        <w:t xml:space="preserve"> </w:t>
      </w:r>
      <w:r w:rsidRPr="00AC4A6B">
        <w:t>3</w:t>
      </w:r>
      <w:r>
        <w:t xml:space="preserve"> </w:t>
      </w:r>
      <w:r w:rsidRPr="00AC4A6B">
        <w:t>písm.</w:t>
      </w:r>
      <w:r>
        <w:t xml:space="preserve"> </w:t>
      </w:r>
      <w:r w:rsidRPr="00AC4A6B">
        <w:t>b)</w:t>
      </w:r>
      <w:r>
        <w:t xml:space="preserve"> </w:t>
      </w:r>
      <w:r w:rsidRPr="00AC4A6B">
        <w:t>jen</w:t>
      </w:r>
      <w:r>
        <w:t xml:space="preserve"> </w:t>
      </w:r>
      <w:r w:rsidRPr="00AC4A6B">
        <w:t>v</w:t>
      </w:r>
      <w:r>
        <w:t xml:space="preserve"> </w:t>
      </w:r>
      <w:r w:rsidRPr="00AC4A6B">
        <w:t>případě,</w:t>
      </w:r>
      <w:r>
        <w:t xml:space="preserve"> </w:t>
      </w:r>
      <w:r w:rsidRPr="00AC4A6B">
        <w:t>že</w:t>
      </w:r>
      <w:r>
        <w:t xml:space="preserve"> </w:t>
      </w:r>
      <w:r w:rsidRPr="00AC4A6B">
        <w:t>schodek</w:t>
      </w:r>
      <w:r>
        <w:t xml:space="preserve"> </w:t>
      </w:r>
      <w:r w:rsidRPr="00AC4A6B">
        <w:t>bude</w:t>
      </w:r>
      <w:r>
        <w:t xml:space="preserve"> </w:t>
      </w:r>
      <w:r w:rsidRPr="00AC4A6B">
        <w:t>možné</w:t>
      </w:r>
      <w:r>
        <w:t xml:space="preserve"> </w:t>
      </w:r>
      <w:r w:rsidRPr="00AC4A6B">
        <w:t>uhradit</w:t>
      </w:r>
      <w:r>
        <w:t xml:space="preserve"> </w:t>
      </w:r>
      <w:r w:rsidRPr="00AC4A6B">
        <w:t>nejvýše</w:t>
      </w:r>
      <w:r>
        <w:t xml:space="preserve"> </w:t>
      </w:r>
      <w:r w:rsidRPr="00AC4A6B">
        <w:t>jednou</w:t>
      </w:r>
      <w:r>
        <w:t xml:space="preserve"> </w:t>
      </w:r>
      <w:r w:rsidRPr="00AC4A6B">
        <w:t>třetinou</w:t>
      </w:r>
      <w:r>
        <w:t xml:space="preserve"> </w:t>
      </w:r>
      <w:r w:rsidRPr="00AC4A6B">
        <w:t>finančních</w:t>
      </w:r>
      <w:r>
        <w:t xml:space="preserve"> </w:t>
      </w:r>
      <w:r w:rsidRPr="00AC4A6B">
        <w:t>zůstatků</w:t>
      </w:r>
      <w:r>
        <w:t xml:space="preserve"> </w:t>
      </w:r>
      <w:r w:rsidRPr="00AC4A6B">
        <w:t>Pojišťovny</w:t>
      </w:r>
      <w:r>
        <w:t xml:space="preserve"> </w:t>
      </w:r>
      <w:r w:rsidRPr="00AC4A6B">
        <w:t>z</w:t>
      </w:r>
      <w:r>
        <w:t xml:space="preserve"> </w:t>
      </w:r>
      <w:r w:rsidRPr="00AC4A6B">
        <w:t>minulých</w:t>
      </w:r>
      <w:r>
        <w:t xml:space="preserve"> </w:t>
      </w:r>
      <w:r w:rsidRPr="00AC4A6B">
        <w:t>let</w:t>
      </w:r>
      <w:r>
        <w:t xml:space="preserve"> </w:t>
      </w:r>
      <w:r w:rsidRPr="00AC4A6B">
        <w:t>nebo</w:t>
      </w:r>
      <w:r>
        <w:t xml:space="preserve"> </w:t>
      </w:r>
      <w:r w:rsidRPr="00AC4A6B">
        <w:t>návratnou</w:t>
      </w:r>
      <w:r>
        <w:t xml:space="preserve"> </w:t>
      </w:r>
      <w:r w:rsidRPr="00AC4A6B">
        <w:t>finanční</w:t>
      </w:r>
      <w:r>
        <w:t xml:space="preserve"> </w:t>
      </w:r>
      <w:r w:rsidRPr="00AC4A6B">
        <w:t>výpomocí.</w:t>
      </w:r>
    </w:p>
    <w:p w14:paraId="68655236" w14:textId="00BBFE38" w:rsidR="00853F61" w:rsidRDefault="00602CE7" w:rsidP="00EF7F78">
      <w:pPr>
        <w:pStyle w:val="Textparagrafu"/>
        <w:numPr>
          <w:ilvl w:val="0"/>
          <w:numId w:val="28"/>
        </w:numPr>
        <w:jc w:val="center"/>
      </w:pPr>
      <w:r>
        <w:t>***</w:t>
      </w:r>
    </w:p>
    <w:p w14:paraId="0B800CE2" w14:textId="77777777" w:rsidR="007A7417" w:rsidRDefault="007A7417" w:rsidP="007A7417">
      <w:pPr>
        <w:pStyle w:val="Textparagrafu"/>
        <w:numPr>
          <w:ilvl w:val="0"/>
          <w:numId w:val="28"/>
        </w:numPr>
        <w:jc w:val="center"/>
      </w:pPr>
      <w:r w:rsidRPr="00AC4A6B">
        <w:t>§</w:t>
      </w:r>
      <w:r>
        <w:t xml:space="preserve"> </w:t>
      </w:r>
      <w:r w:rsidRPr="00AC4A6B">
        <w:t>9</w:t>
      </w:r>
    </w:p>
    <w:p w14:paraId="4A7AE81B" w14:textId="77777777" w:rsidR="007A7417" w:rsidRPr="008F47F5" w:rsidRDefault="007A7417" w:rsidP="007A7417">
      <w:pPr>
        <w:pStyle w:val="Textparagrafu"/>
        <w:numPr>
          <w:ilvl w:val="0"/>
          <w:numId w:val="28"/>
        </w:numPr>
        <w:ind w:firstLine="426"/>
        <w:rPr>
          <w:strike/>
        </w:rPr>
      </w:pPr>
      <w:r w:rsidRPr="00AC4A6B">
        <w:t>Pojišťovna</w:t>
      </w:r>
      <w:r>
        <w:t xml:space="preserve"> </w:t>
      </w:r>
      <w:r w:rsidRPr="00AC4A6B">
        <w:t>je</w:t>
      </w:r>
      <w:r>
        <w:t xml:space="preserve"> </w:t>
      </w:r>
      <w:r w:rsidRPr="00AC4A6B">
        <w:t>povinna</w:t>
      </w:r>
      <w:r>
        <w:t xml:space="preserve"> </w:t>
      </w:r>
      <w:r w:rsidRPr="00AC4A6B">
        <w:t>zajistit</w:t>
      </w:r>
      <w:r>
        <w:t xml:space="preserve"> </w:t>
      </w:r>
      <w:r w:rsidRPr="00AC4A6B">
        <w:t>oddělenou</w:t>
      </w:r>
      <w:r>
        <w:t xml:space="preserve"> </w:t>
      </w:r>
      <w:r w:rsidRPr="00AC4A6B">
        <w:t>evidenci</w:t>
      </w:r>
      <w:r>
        <w:t xml:space="preserve"> </w:t>
      </w:r>
      <w:r w:rsidRPr="00AC4A6B">
        <w:t>fondů</w:t>
      </w:r>
      <w:r>
        <w:t xml:space="preserve"> </w:t>
      </w:r>
      <w:r w:rsidRPr="00AC4A6B">
        <w:t>a</w:t>
      </w:r>
      <w:r>
        <w:t xml:space="preserve"> </w:t>
      </w:r>
      <w:r w:rsidRPr="00AC4A6B">
        <w:t>oddělenou</w:t>
      </w:r>
      <w:r>
        <w:t xml:space="preserve"> </w:t>
      </w:r>
      <w:r w:rsidRPr="00AC4A6B">
        <w:t>evidenci</w:t>
      </w:r>
      <w:r>
        <w:t xml:space="preserve"> </w:t>
      </w:r>
      <w:r w:rsidRPr="00AC4A6B">
        <w:t>majetku</w:t>
      </w:r>
      <w:r>
        <w:t xml:space="preserve"> </w:t>
      </w:r>
      <w:r w:rsidRPr="00AC4A6B">
        <w:t>a</w:t>
      </w:r>
      <w:r>
        <w:t xml:space="preserve"> </w:t>
      </w:r>
      <w:r w:rsidRPr="00AC4A6B">
        <w:t>používání</w:t>
      </w:r>
      <w:r>
        <w:t xml:space="preserve"> </w:t>
      </w:r>
      <w:r w:rsidRPr="00AC4A6B">
        <w:t>finančních</w:t>
      </w:r>
      <w:r>
        <w:t xml:space="preserve"> </w:t>
      </w:r>
      <w:r w:rsidRPr="00AC4A6B">
        <w:t>prostředků.</w:t>
      </w:r>
      <w:r>
        <w:t xml:space="preserve"> </w:t>
      </w:r>
      <w:r w:rsidRPr="008F47F5">
        <w:rPr>
          <w:strike/>
        </w:rPr>
        <w:t>Pojišťovna je povinna vést účetnictví podle zvláštní účtové osnovy a postupu účtování pro zdravotní pojišťovny, které vydá Ministerstvo financí.</w:t>
      </w:r>
    </w:p>
    <w:p w14:paraId="47145F2B" w14:textId="799D71F5" w:rsidR="00602CE7" w:rsidRDefault="007A7417" w:rsidP="00EF7F78">
      <w:pPr>
        <w:pStyle w:val="Textparagrafu"/>
        <w:numPr>
          <w:ilvl w:val="0"/>
          <w:numId w:val="28"/>
        </w:numPr>
        <w:jc w:val="center"/>
      </w:pPr>
      <w:r>
        <w:t>***</w:t>
      </w:r>
    </w:p>
    <w:p w14:paraId="328C80D7" w14:textId="77777777" w:rsidR="007A7417" w:rsidRDefault="007A7417" w:rsidP="007A7417">
      <w:pPr>
        <w:pStyle w:val="Textparagrafu"/>
        <w:numPr>
          <w:ilvl w:val="0"/>
          <w:numId w:val="28"/>
        </w:numPr>
        <w:jc w:val="center"/>
      </w:pPr>
      <w:r w:rsidRPr="00AC4A6B">
        <w:t>§</w:t>
      </w:r>
      <w:r>
        <w:t xml:space="preserve"> </w:t>
      </w:r>
      <w:r w:rsidRPr="00AC4A6B">
        <w:t>20</w:t>
      </w:r>
    </w:p>
    <w:p w14:paraId="53378787" w14:textId="77777777" w:rsidR="007A7417" w:rsidRPr="00AC4A6B" w:rsidRDefault="007A7417" w:rsidP="007A7417">
      <w:pPr>
        <w:pStyle w:val="Textparagrafu"/>
        <w:numPr>
          <w:ilvl w:val="0"/>
          <w:numId w:val="28"/>
        </w:numPr>
        <w:jc w:val="center"/>
        <w:rPr>
          <w:b/>
        </w:rPr>
      </w:pPr>
      <w:r w:rsidRPr="00AC4A6B">
        <w:rPr>
          <w:b/>
        </w:rPr>
        <w:t>Správní rada</w:t>
      </w:r>
    </w:p>
    <w:p w14:paraId="14573491" w14:textId="77777777" w:rsidR="007A7417" w:rsidRDefault="007A7417" w:rsidP="00D20567">
      <w:pPr>
        <w:pStyle w:val="Textparagrafu"/>
        <w:numPr>
          <w:ilvl w:val="0"/>
          <w:numId w:val="28"/>
        </w:numPr>
        <w:spacing w:after="120"/>
        <w:ind w:firstLine="426"/>
      </w:pPr>
      <w:r w:rsidRPr="00AC4A6B">
        <w:lastRenderedPageBreak/>
        <w:t>(1)</w:t>
      </w:r>
      <w:r>
        <w:t xml:space="preserve"> </w:t>
      </w:r>
      <w:r w:rsidRPr="00AC4A6B">
        <w:t>Správní</w:t>
      </w:r>
      <w:r>
        <w:t xml:space="preserve"> </w:t>
      </w:r>
      <w:r w:rsidRPr="00AC4A6B">
        <w:t>rada</w:t>
      </w:r>
      <w:r>
        <w:t xml:space="preserve"> </w:t>
      </w:r>
      <w:r w:rsidRPr="00AC4A6B">
        <w:t>rozhoduje</w:t>
      </w:r>
      <w:r>
        <w:t xml:space="preserve"> </w:t>
      </w:r>
      <w:r w:rsidRPr="00AC4A6B">
        <w:t>o</w:t>
      </w:r>
    </w:p>
    <w:p w14:paraId="70884F14" w14:textId="703BBB96" w:rsidR="007A7417" w:rsidRDefault="007A7417" w:rsidP="002B6A12">
      <w:pPr>
        <w:pStyle w:val="Textparagrafu"/>
        <w:numPr>
          <w:ilvl w:val="0"/>
          <w:numId w:val="28"/>
        </w:numPr>
        <w:tabs>
          <w:tab w:val="left" w:pos="426"/>
        </w:tabs>
        <w:spacing w:before="0"/>
        <w:ind w:left="426" w:hanging="426"/>
      </w:pPr>
      <w:r w:rsidRPr="00AC4A6B">
        <w:t>a)</w:t>
      </w:r>
      <w:r w:rsidR="00924AA5">
        <w:tab/>
      </w:r>
      <w:r w:rsidRPr="00AC4A6B">
        <w:t>schválení</w:t>
      </w:r>
      <w:r>
        <w:t xml:space="preserve"> </w:t>
      </w:r>
      <w:r w:rsidRPr="00AC4A6B">
        <w:t>organizačního</w:t>
      </w:r>
      <w:r>
        <w:t xml:space="preserve"> </w:t>
      </w:r>
      <w:r w:rsidRPr="00AC4A6B">
        <w:t>řádu</w:t>
      </w:r>
      <w:r>
        <w:t xml:space="preserve"> </w:t>
      </w:r>
      <w:r w:rsidRPr="00AC4A6B">
        <w:t>Pojišťovny,</w:t>
      </w:r>
    </w:p>
    <w:p w14:paraId="384E9925" w14:textId="556684FF" w:rsidR="007A7417" w:rsidRDefault="007A7417" w:rsidP="002B6A12">
      <w:pPr>
        <w:pStyle w:val="Textparagrafu"/>
        <w:numPr>
          <w:ilvl w:val="0"/>
          <w:numId w:val="28"/>
        </w:numPr>
        <w:tabs>
          <w:tab w:val="left" w:pos="426"/>
        </w:tabs>
        <w:spacing w:before="0"/>
        <w:ind w:left="426" w:hanging="426"/>
      </w:pPr>
      <w:r w:rsidRPr="00AC4A6B">
        <w:t>b)</w:t>
      </w:r>
      <w:r w:rsidR="00924AA5">
        <w:tab/>
      </w:r>
      <w:r w:rsidRPr="00AC4A6B">
        <w:t>schválení</w:t>
      </w:r>
      <w:r>
        <w:t xml:space="preserve"> </w:t>
      </w:r>
      <w:r w:rsidRPr="00AC4A6B">
        <w:t>návrhu</w:t>
      </w:r>
      <w:r>
        <w:t xml:space="preserve"> </w:t>
      </w:r>
      <w:r w:rsidRPr="00AC4A6B">
        <w:t>zdravotně</w:t>
      </w:r>
      <w:r>
        <w:t xml:space="preserve"> </w:t>
      </w:r>
      <w:r w:rsidRPr="00AC4A6B">
        <w:t>pojistného</w:t>
      </w:r>
      <w:r>
        <w:t xml:space="preserve"> </w:t>
      </w:r>
      <w:r w:rsidRPr="00AC4A6B">
        <w:t>plánu,</w:t>
      </w:r>
      <w:r>
        <w:t xml:space="preserve"> </w:t>
      </w:r>
      <w:r w:rsidRPr="00AC4A6B">
        <w:t>výhledu,</w:t>
      </w:r>
      <w:r>
        <w:t xml:space="preserve"> </w:t>
      </w:r>
      <w:r w:rsidRPr="00AC4A6B">
        <w:t>účetní</w:t>
      </w:r>
      <w:r>
        <w:t xml:space="preserve"> </w:t>
      </w:r>
      <w:r w:rsidRPr="00AC4A6B">
        <w:t>závěrky</w:t>
      </w:r>
      <w:r>
        <w:t xml:space="preserve"> </w:t>
      </w:r>
      <w:r w:rsidRPr="00AC4A6B">
        <w:t>a</w:t>
      </w:r>
      <w:r>
        <w:t xml:space="preserve"> </w:t>
      </w:r>
      <w:r w:rsidRPr="000F28E7">
        <w:rPr>
          <w:strike/>
        </w:rPr>
        <w:t>návrhu výroční zprávy</w:t>
      </w:r>
      <w:r w:rsidR="000F28E7">
        <w:t xml:space="preserve"> </w:t>
      </w:r>
      <w:proofErr w:type="spellStart"/>
      <w:r w:rsidR="000F28E7">
        <w:rPr>
          <w:b/>
        </w:rPr>
        <w:t>zprávy</w:t>
      </w:r>
      <w:proofErr w:type="spellEnd"/>
      <w:r w:rsidR="000F28E7">
        <w:rPr>
          <w:b/>
        </w:rPr>
        <w:t xml:space="preserve"> vedení</w:t>
      </w:r>
      <w:r w:rsidRPr="00AC4A6B">
        <w:t>,</w:t>
      </w:r>
    </w:p>
    <w:p w14:paraId="3A55E30E" w14:textId="74E2A873" w:rsidR="007A7417" w:rsidRDefault="007A7417" w:rsidP="002B6A12">
      <w:pPr>
        <w:pStyle w:val="Textparagrafu"/>
        <w:numPr>
          <w:ilvl w:val="0"/>
          <w:numId w:val="28"/>
        </w:numPr>
        <w:tabs>
          <w:tab w:val="left" w:pos="426"/>
        </w:tabs>
        <w:spacing w:before="0"/>
        <w:ind w:left="426" w:hanging="426"/>
      </w:pPr>
      <w:r w:rsidRPr="00AC4A6B">
        <w:t>c)</w:t>
      </w:r>
      <w:r w:rsidR="00924AA5">
        <w:tab/>
      </w:r>
      <w:r w:rsidRPr="00AC4A6B">
        <w:t>schválení</w:t>
      </w:r>
      <w:r>
        <w:t xml:space="preserve"> </w:t>
      </w:r>
      <w:r w:rsidRPr="00AC4A6B">
        <w:t>objemu</w:t>
      </w:r>
      <w:r>
        <w:t xml:space="preserve"> </w:t>
      </w:r>
      <w:r w:rsidRPr="00AC4A6B">
        <w:t>úhrad</w:t>
      </w:r>
      <w:r>
        <w:t xml:space="preserve"> </w:t>
      </w:r>
      <w:r w:rsidRPr="00AC4A6B">
        <w:t>poskytovatelům,</w:t>
      </w:r>
    </w:p>
    <w:p w14:paraId="0BF455EC" w14:textId="36653D03" w:rsidR="007A7417" w:rsidRDefault="007A7417" w:rsidP="002B6A12">
      <w:pPr>
        <w:pStyle w:val="Textparagrafu"/>
        <w:numPr>
          <w:ilvl w:val="0"/>
          <w:numId w:val="28"/>
        </w:numPr>
        <w:tabs>
          <w:tab w:val="left" w:pos="426"/>
        </w:tabs>
        <w:spacing w:before="0"/>
        <w:ind w:left="426" w:hanging="426"/>
      </w:pPr>
      <w:r w:rsidRPr="00AC4A6B">
        <w:t>d)</w:t>
      </w:r>
      <w:r w:rsidR="00924AA5">
        <w:tab/>
      </w:r>
      <w:r w:rsidRPr="00AC4A6B">
        <w:t>jmenování</w:t>
      </w:r>
      <w:r>
        <w:t xml:space="preserve"> </w:t>
      </w:r>
      <w:r w:rsidRPr="00AC4A6B">
        <w:t>a</w:t>
      </w:r>
      <w:r>
        <w:t xml:space="preserve"> </w:t>
      </w:r>
      <w:r w:rsidRPr="00AC4A6B">
        <w:t>odvolání</w:t>
      </w:r>
      <w:r>
        <w:t xml:space="preserve"> </w:t>
      </w:r>
      <w:r w:rsidRPr="00AC4A6B">
        <w:t>ředitele</w:t>
      </w:r>
      <w:r>
        <w:t xml:space="preserve"> </w:t>
      </w:r>
      <w:r w:rsidRPr="00AC4A6B">
        <w:t>Pojišťovny,</w:t>
      </w:r>
    </w:p>
    <w:p w14:paraId="3790FD4D" w14:textId="64E27208" w:rsidR="007A7417" w:rsidRDefault="007A7417" w:rsidP="002B6A12">
      <w:pPr>
        <w:pStyle w:val="Textparagrafu"/>
        <w:numPr>
          <w:ilvl w:val="0"/>
          <w:numId w:val="28"/>
        </w:numPr>
        <w:tabs>
          <w:tab w:val="left" w:pos="426"/>
        </w:tabs>
        <w:spacing w:before="0"/>
        <w:ind w:left="426" w:hanging="426"/>
      </w:pPr>
      <w:r w:rsidRPr="00AC4A6B">
        <w:t>e)</w:t>
      </w:r>
      <w:r w:rsidR="00924AA5">
        <w:tab/>
      </w:r>
      <w:r w:rsidRPr="00AC4A6B">
        <w:t>schválení</w:t>
      </w:r>
      <w:r>
        <w:t xml:space="preserve"> </w:t>
      </w:r>
      <w:r w:rsidRPr="00AC4A6B">
        <w:t>zásad</w:t>
      </w:r>
      <w:r>
        <w:t xml:space="preserve"> </w:t>
      </w:r>
      <w:r w:rsidRPr="00AC4A6B">
        <w:t>smluvní</w:t>
      </w:r>
      <w:r>
        <w:t xml:space="preserve"> </w:t>
      </w:r>
      <w:r w:rsidRPr="00AC4A6B">
        <w:t>politiky,</w:t>
      </w:r>
    </w:p>
    <w:p w14:paraId="50524026" w14:textId="5E3D83DB" w:rsidR="007A7417" w:rsidRDefault="007A7417" w:rsidP="002B6A12">
      <w:pPr>
        <w:pStyle w:val="Textparagrafu"/>
        <w:numPr>
          <w:ilvl w:val="0"/>
          <w:numId w:val="28"/>
        </w:numPr>
        <w:tabs>
          <w:tab w:val="left" w:pos="426"/>
        </w:tabs>
        <w:spacing w:before="0"/>
        <w:ind w:left="426" w:hanging="426"/>
      </w:pPr>
      <w:r w:rsidRPr="00AC4A6B">
        <w:t>f)</w:t>
      </w:r>
      <w:r w:rsidR="00924AA5">
        <w:tab/>
      </w:r>
      <w:r w:rsidRPr="00AC4A6B">
        <w:t>žádosti</w:t>
      </w:r>
      <w:r>
        <w:t xml:space="preserve"> </w:t>
      </w:r>
      <w:r w:rsidRPr="00AC4A6B">
        <w:t>Pojišťovny</w:t>
      </w:r>
      <w:r>
        <w:t xml:space="preserve"> </w:t>
      </w:r>
      <w:r w:rsidRPr="00AC4A6B">
        <w:t>o</w:t>
      </w:r>
      <w:r>
        <w:t xml:space="preserve"> </w:t>
      </w:r>
      <w:r w:rsidRPr="00AC4A6B">
        <w:t>úvěr,</w:t>
      </w:r>
    </w:p>
    <w:p w14:paraId="7E73CF16" w14:textId="1D72F2CE" w:rsidR="007A7417" w:rsidRDefault="007A7417" w:rsidP="002B6A12">
      <w:pPr>
        <w:pStyle w:val="Textparagrafu"/>
        <w:numPr>
          <w:ilvl w:val="0"/>
          <w:numId w:val="28"/>
        </w:numPr>
        <w:tabs>
          <w:tab w:val="left" w:pos="426"/>
        </w:tabs>
        <w:spacing w:before="0"/>
        <w:ind w:left="426" w:hanging="426"/>
      </w:pPr>
      <w:r w:rsidRPr="00AC4A6B">
        <w:t>g)</w:t>
      </w:r>
      <w:r w:rsidR="00924AA5">
        <w:tab/>
      </w:r>
      <w:r w:rsidRPr="00AC4A6B">
        <w:t>nákupu</w:t>
      </w:r>
      <w:r>
        <w:t xml:space="preserve"> </w:t>
      </w:r>
      <w:r w:rsidRPr="00AC4A6B">
        <w:t>nemovitostí</w:t>
      </w:r>
      <w:r>
        <w:t xml:space="preserve"> </w:t>
      </w:r>
      <w:r w:rsidRPr="000F28E7">
        <w:rPr>
          <w:strike/>
        </w:rPr>
        <w:t>v pořizovací ceně vyšší</w:t>
      </w:r>
      <w:r>
        <w:t xml:space="preserve"> </w:t>
      </w:r>
      <w:r w:rsidR="000F28E7" w:rsidRPr="00F52C8D">
        <w:rPr>
          <w:b/>
        </w:rPr>
        <w:t>s pořizovacími náklady vyššími</w:t>
      </w:r>
      <w:r w:rsidR="000F28E7" w:rsidRPr="00AC4A6B">
        <w:t xml:space="preserve"> </w:t>
      </w:r>
      <w:r w:rsidRPr="00AC4A6B">
        <w:t>než</w:t>
      </w:r>
      <w:r>
        <w:t xml:space="preserve"> </w:t>
      </w:r>
      <w:r w:rsidRPr="00AC4A6B">
        <w:t>2</w:t>
      </w:r>
      <w:r>
        <w:t xml:space="preserve"> </w:t>
      </w:r>
      <w:r w:rsidRPr="00AC4A6B">
        <w:t>000</w:t>
      </w:r>
      <w:r>
        <w:t xml:space="preserve"> </w:t>
      </w:r>
      <w:r w:rsidRPr="00AC4A6B">
        <w:t>000</w:t>
      </w:r>
      <w:r>
        <w:t xml:space="preserve"> </w:t>
      </w:r>
      <w:r w:rsidRPr="00AC4A6B">
        <w:t>Kč,</w:t>
      </w:r>
    </w:p>
    <w:p w14:paraId="3BDC84AA" w14:textId="38BBDFFA" w:rsidR="007A7417" w:rsidRDefault="007A7417" w:rsidP="002B6A12">
      <w:pPr>
        <w:pStyle w:val="Textparagrafu"/>
        <w:numPr>
          <w:ilvl w:val="0"/>
          <w:numId w:val="28"/>
        </w:numPr>
        <w:tabs>
          <w:tab w:val="left" w:pos="426"/>
        </w:tabs>
        <w:spacing w:before="0"/>
        <w:ind w:left="426" w:hanging="426"/>
      </w:pPr>
      <w:r w:rsidRPr="00AC4A6B">
        <w:t>h)</w:t>
      </w:r>
      <w:r w:rsidR="00924AA5">
        <w:tab/>
      </w:r>
      <w:r w:rsidRPr="00AC4A6B">
        <w:t>nákupu</w:t>
      </w:r>
      <w:r>
        <w:t xml:space="preserve"> </w:t>
      </w:r>
      <w:r w:rsidRPr="00AC4A6B">
        <w:t>hmotného</w:t>
      </w:r>
      <w:r>
        <w:t xml:space="preserve"> </w:t>
      </w:r>
      <w:r w:rsidRPr="00AC4A6B">
        <w:t>a</w:t>
      </w:r>
      <w:r>
        <w:t xml:space="preserve"> </w:t>
      </w:r>
      <w:r w:rsidRPr="00AC4A6B">
        <w:t>nehmotného</w:t>
      </w:r>
      <w:r>
        <w:t xml:space="preserve"> </w:t>
      </w:r>
      <w:r w:rsidRPr="000F28E7">
        <w:rPr>
          <w:strike/>
        </w:rPr>
        <w:t>majetku v pořizovací ceně vyšší</w:t>
      </w:r>
      <w:r>
        <w:t xml:space="preserve"> </w:t>
      </w:r>
      <w:r w:rsidR="000F28E7" w:rsidRPr="00F52C8D">
        <w:rPr>
          <w:b/>
        </w:rPr>
        <w:t>aktiva s pořizovacím nákladem vyšším</w:t>
      </w:r>
      <w:r w:rsidR="000F28E7" w:rsidRPr="00AC4A6B">
        <w:t xml:space="preserve"> </w:t>
      </w:r>
      <w:r w:rsidRPr="00AC4A6B">
        <w:t>než</w:t>
      </w:r>
      <w:r>
        <w:t xml:space="preserve"> </w:t>
      </w:r>
      <w:r w:rsidRPr="00AC4A6B">
        <w:t>2</w:t>
      </w:r>
      <w:r>
        <w:t xml:space="preserve"> </w:t>
      </w:r>
      <w:r w:rsidRPr="00AC4A6B">
        <w:t>000</w:t>
      </w:r>
      <w:r>
        <w:t xml:space="preserve"> </w:t>
      </w:r>
      <w:r w:rsidRPr="00AC4A6B">
        <w:t>000</w:t>
      </w:r>
      <w:r>
        <w:t xml:space="preserve"> </w:t>
      </w:r>
      <w:r w:rsidRPr="00AC4A6B">
        <w:t>Kč,</w:t>
      </w:r>
    </w:p>
    <w:p w14:paraId="15DA4966" w14:textId="4426F7BE" w:rsidR="007A7417" w:rsidRDefault="007A7417" w:rsidP="002B6A12">
      <w:pPr>
        <w:pStyle w:val="Textparagrafu"/>
        <w:numPr>
          <w:ilvl w:val="0"/>
          <w:numId w:val="28"/>
        </w:numPr>
        <w:tabs>
          <w:tab w:val="left" w:pos="426"/>
        </w:tabs>
        <w:spacing w:before="0"/>
        <w:ind w:left="426" w:hanging="426"/>
      </w:pPr>
      <w:r w:rsidRPr="00AC4A6B">
        <w:t>i)</w:t>
      </w:r>
      <w:r w:rsidR="00924AA5">
        <w:tab/>
      </w:r>
      <w:r w:rsidRPr="00AC4A6B">
        <w:t>zahájení</w:t>
      </w:r>
      <w:r>
        <w:t xml:space="preserve"> </w:t>
      </w:r>
      <w:r w:rsidRPr="00AC4A6B">
        <w:t>zadávání</w:t>
      </w:r>
      <w:r>
        <w:t xml:space="preserve"> </w:t>
      </w:r>
      <w:r w:rsidRPr="00AC4A6B">
        <w:t>podlimitních</w:t>
      </w:r>
      <w:r>
        <w:t xml:space="preserve"> </w:t>
      </w:r>
      <w:r w:rsidRPr="00AC4A6B">
        <w:t>a</w:t>
      </w:r>
      <w:r>
        <w:t xml:space="preserve"> </w:t>
      </w:r>
      <w:r w:rsidRPr="00AC4A6B">
        <w:t>nadlimitních</w:t>
      </w:r>
      <w:r>
        <w:t xml:space="preserve"> </w:t>
      </w:r>
      <w:r w:rsidRPr="00AC4A6B">
        <w:t>veřejných</w:t>
      </w:r>
      <w:r>
        <w:t xml:space="preserve"> </w:t>
      </w:r>
      <w:r w:rsidRPr="00AC4A6B">
        <w:t>zakázek</w:t>
      </w:r>
      <w:r>
        <w:t xml:space="preserve"> </w:t>
      </w:r>
      <w:r w:rsidRPr="00AC4A6B">
        <w:t>na</w:t>
      </w:r>
      <w:r>
        <w:t xml:space="preserve"> </w:t>
      </w:r>
      <w:r w:rsidRPr="00AC4A6B">
        <w:t>služby</w:t>
      </w:r>
      <w:r>
        <w:t xml:space="preserve"> </w:t>
      </w:r>
      <w:r w:rsidRPr="00AC4A6B">
        <w:t>podle</w:t>
      </w:r>
      <w:r>
        <w:t xml:space="preserve"> </w:t>
      </w:r>
      <w:r w:rsidRPr="00AC4A6B">
        <w:t>zákona</w:t>
      </w:r>
      <w:r>
        <w:t xml:space="preserve"> </w:t>
      </w:r>
      <w:r w:rsidRPr="00AC4A6B">
        <w:t>o</w:t>
      </w:r>
      <w:r>
        <w:t xml:space="preserve"> </w:t>
      </w:r>
      <w:r w:rsidRPr="00AC4A6B">
        <w:t>veřejných</w:t>
      </w:r>
      <w:r>
        <w:t xml:space="preserve"> </w:t>
      </w:r>
      <w:r w:rsidRPr="00AC4A6B">
        <w:t>zakázkách</w:t>
      </w:r>
      <w:r w:rsidR="00084391">
        <w:rPr>
          <w:rStyle w:val="Znakapoznpodarou"/>
        </w:rPr>
        <w:footnoteReference w:customMarkFollows="1" w:id="90"/>
        <w:t>12)</w:t>
      </w:r>
      <w:r w:rsidRPr="00AC4A6B">
        <w:t>,</w:t>
      </w:r>
    </w:p>
    <w:p w14:paraId="723E8726" w14:textId="729C5334" w:rsidR="007A7417" w:rsidRDefault="007A7417" w:rsidP="002B6A12">
      <w:pPr>
        <w:pStyle w:val="Textparagrafu"/>
        <w:numPr>
          <w:ilvl w:val="0"/>
          <w:numId w:val="28"/>
        </w:numPr>
        <w:tabs>
          <w:tab w:val="left" w:pos="426"/>
        </w:tabs>
        <w:spacing w:before="0"/>
        <w:ind w:left="426" w:hanging="426"/>
      </w:pPr>
      <w:r w:rsidRPr="00AC4A6B">
        <w:t>j)</w:t>
      </w:r>
      <w:r w:rsidR="00924AA5">
        <w:tab/>
      </w:r>
      <w:r w:rsidRPr="00AC4A6B">
        <w:t>převzetí</w:t>
      </w:r>
      <w:r>
        <w:t xml:space="preserve"> </w:t>
      </w:r>
      <w:r w:rsidRPr="00AC4A6B">
        <w:t>ručitelského</w:t>
      </w:r>
      <w:r>
        <w:t xml:space="preserve"> </w:t>
      </w:r>
      <w:r w:rsidRPr="00AC4A6B">
        <w:t>závazku,</w:t>
      </w:r>
    </w:p>
    <w:p w14:paraId="63D3A660" w14:textId="7230E474" w:rsidR="007A7417" w:rsidRDefault="007A7417" w:rsidP="002B6A12">
      <w:pPr>
        <w:pStyle w:val="Textparagrafu"/>
        <w:numPr>
          <w:ilvl w:val="0"/>
          <w:numId w:val="28"/>
        </w:numPr>
        <w:tabs>
          <w:tab w:val="left" w:pos="426"/>
        </w:tabs>
        <w:spacing w:before="0"/>
        <w:ind w:left="426" w:hanging="426"/>
      </w:pPr>
      <w:r w:rsidRPr="00AC4A6B">
        <w:t>k)</w:t>
      </w:r>
      <w:r w:rsidR="00924AA5">
        <w:tab/>
      </w:r>
      <w:r w:rsidRPr="00AC4A6B">
        <w:t>použití</w:t>
      </w:r>
      <w:r>
        <w:t xml:space="preserve"> </w:t>
      </w:r>
      <w:r w:rsidRPr="00AC4A6B">
        <w:t>prostředků</w:t>
      </w:r>
      <w:r>
        <w:t xml:space="preserve"> </w:t>
      </w:r>
      <w:r w:rsidRPr="00AC4A6B">
        <w:t>rezervního</w:t>
      </w:r>
      <w:r>
        <w:t xml:space="preserve"> </w:t>
      </w:r>
      <w:r w:rsidRPr="00AC4A6B">
        <w:t>fondu,</w:t>
      </w:r>
    </w:p>
    <w:p w14:paraId="49A2AE88" w14:textId="58B92C00" w:rsidR="007A7417" w:rsidRDefault="007A7417" w:rsidP="002B6A12">
      <w:pPr>
        <w:pStyle w:val="Textparagrafu"/>
        <w:numPr>
          <w:ilvl w:val="0"/>
          <w:numId w:val="28"/>
        </w:numPr>
        <w:tabs>
          <w:tab w:val="left" w:pos="426"/>
        </w:tabs>
        <w:spacing w:before="0"/>
        <w:ind w:left="426" w:hanging="426"/>
      </w:pPr>
      <w:r w:rsidRPr="00AC4A6B">
        <w:t>l)</w:t>
      </w:r>
      <w:r w:rsidR="00924AA5">
        <w:tab/>
      </w:r>
      <w:r w:rsidRPr="00AC4A6B">
        <w:t>dalších</w:t>
      </w:r>
      <w:r>
        <w:t xml:space="preserve"> </w:t>
      </w:r>
      <w:r w:rsidRPr="00AC4A6B">
        <w:t>důležitých</w:t>
      </w:r>
      <w:r>
        <w:t xml:space="preserve"> </w:t>
      </w:r>
      <w:r w:rsidRPr="00AC4A6B">
        <w:t>věcech,</w:t>
      </w:r>
      <w:r>
        <w:t xml:space="preserve"> </w:t>
      </w:r>
      <w:r w:rsidRPr="00AC4A6B">
        <w:t>které</w:t>
      </w:r>
      <w:r>
        <w:t xml:space="preserve"> </w:t>
      </w:r>
      <w:r w:rsidRPr="00AC4A6B">
        <w:t>souvisí</w:t>
      </w:r>
      <w:r>
        <w:t xml:space="preserve"> </w:t>
      </w:r>
      <w:r w:rsidRPr="00AC4A6B">
        <w:t>s</w:t>
      </w:r>
      <w:r>
        <w:t xml:space="preserve"> </w:t>
      </w:r>
      <w:r w:rsidRPr="00AC4A6B">
        <w:t>činností</w:t>
      </w:r>
      <w:r>
        <w:t xml:space="preserve"> </w:t>
      </w:r>
      <w:r w:rsidRPr="00AC4A6B">
        <w:t>Pojišťovny</w:t>
      </w:r>
      <w:r>
        <w:t xml:space="preserve"> </w:t>
      </w:r>
      <w:r w:rsidRPr="00AC4A6B">
        <w:t>a</w:t>
      </w:r>
      <w:r>
        <w:t xml:space="preserve"> </w:t>
      </w:r>
      <w:r w:rsidRPr="00AC4A6B">
        <w:t>které</w:t>
      </w:r>
      <w:r>
        <w:t xml:space="preserve"> </w:t>
      </w:r>
      <w:r w:rsidRPr="00AC4A6B">
        <w:t>si</w:t>
      </w:r>
      <w:r>
        <w:t xml:space="preserve"> </w:t>
      </w:r>
      <w:r w:rsidRPr="00AC4A6B">
        <w:t>k</w:t>
      </w:r>
      <w:r>
        <w:t xml:space="preserve"> </w:t>
      </w:r>
      <w:r w:rsidRPr="00AC4A6B">
        <w:t>rozhodování</w:t>
      </w:r>
      <w:r>
        <w:t xml:space="preserve"> </w:t>
      </w:r>
      <w:r w:rsidRPr="00AC4A6B">
        <w:t>vyhradí.</w:t>
      </w:r>
    </w:p>
    <w:p w14:paraId="010E6257" w14:textId="77777777" w:rsidR="007A7417" w:rsidRDefault="007A7417" w:rsidP="00FE1B36">
      <w:pPr>
        <w:pStyle w:val="Textparagrafu"/>
        <w:numPr>
          <w:ilvl w:val="0"/>
          <w:numId w:val="28"/>
        </w:numPr>
        <w:spacing w:before="120" w:after="120"/>
        <w:ind w:firstLine="425"/>
      </w:pPr>
      <w:r w:rsidRPr="00AC4A6B">
        <w:t>(2)</w:t>
      </w:r>
      <w:r>
        <w:t xml:space="preserve"> </w:t>
      </w:r>
      <w:r w:rsidRPr="00AC4A6B">
        <w:t>Správní</w:t>
      </w:r>
      <w:r>
        <w:t xml:space="preserve"> </w:t>
      </w:r>
      <w:r w:rsidRPr="00AC4A6B">
        <w:t>radu</w:t>
      </w:r>
      <w:r>
        <w:t xml:space="preserve"> </w:t>
      </w:r>
      <w:r w:rsidRPr="00AC4A6B">
        <w:t>tvoří</w:t>
      </w:r>
      <w:r>
        <w:t xml:space="preserve"> </w:t>
      </w:r>
      <w:r w:rsidRPr="00AC4A6B">
        <w:t>10</w:t>
      </w:r>
      <w:r>
        <w:t xml:space="preserve"> </w:t>
      </w:r>
      <w:r w:rsidRPr="00AC4A6B">
        <w:t>členů</w:t>
      </w:r>
      <w:r>
        <w:t xml:space="preserve"> </w:t>
      </w:r>
      <w:r w:rsidRPr="00AC4A6B">
        <w:t>jmenovaných</w:t>
      </w:r>
      <w:r>
        <w:t xml:space="preserve"> </w:t>
      </w:r>
      <w:r w:rsidRPr="00AC4A6B">
        <w:t>vládou</w:t>
      </w:r>
      <w:r>
        <w:t xml:space="preserve"> </w:t>
      </w:r>
      <w:r w:rsidRPr="00AC4A6B">
        <w:t>a</w:t>
      </w:r>
      <w:r>
        <w:t xml:space="preserve"> </w:t>
      </w:r>
      <w:r w:rsidRPr="00AC4A6B">
        <w:t>20</w:t>
      </w:r>
      <w:r>
        <w:t xml:space="preserve"> </w:t>
      </w:r>
      <w:r w:rsidRPr="00AC4A6B">
        <w:t>členů</w:t>
      </w:r>
      <w:r>
        <w:t xml:space="preserve"> </w:t>
      </w:r>
      <w:r w:rsidRPr="00AC4A6B">
        <w:t>volených</w:t>
      </w:r>
      <w:r>
        <w:t xml:space="preserve"> </w:t>
      </w:r>
      <w:r w:rsidRPr="00AC4A6B">
        <w:t>Poslaneckou</w:t>
      </w:r>
      <w:r>
        <w:t xml:space="preserve"> </w:t>
      </w:r>
      <w:r w:rsidRPr="00AC4A6B">
        <w:t>sněmovnou</w:t>
      </w:r>
      <w:r>
        <w:t xml:space="preserve"> </w:t>
      </w:r>
      <w:r w:rsidRPr="00AC4A6B">
        <w:t>Parlamentu</w:t>
      </w:r>
      <w:r>
        <w:t xml:space="preserve"> </w:t>
      </w:r>
      <w:r w:rsidRPr="00AC4A6B">
        <w:t>podle</w:t>
      </w:r>
      <w:r>
        <w:t xml:space="preserve"> </w:t>
      </w:r>
      <w:r w:rsidRPr="00AC4A6B">
        <w:t>principu</w:t>
      </w:r>
      <w:r>
        <w:t xml:space="preserve"> </w:t>
      </w:r>
      <w:r w:rsidRPr="00AC4A6B">
        <w:t>poměrného</w:t>
      </w:r>
      <w:r>
        <w:t xml:space="preserve"> </w:t>
      </w:r>
      <w:r w:rsidRPr="00AC4A6B">
        <w:t>zastoupení</w:t>
      </w:r>
      <w:r>
        <w:t xml:space="preserve"> </w:t>
      </w:r>
      <w:r w:rsidRPr="00AC4A6B">
        <w:t>politických</w:t>
      </w:r>
      <w:r>
        <w:t xml:space="preserve"> </w:t>
      </w:r>
      <w:r w:rsidRPr="00AC4A6B">
        <w:t>stran</w:t>
      </w:r>
      <w:r>
        <w:t xml:space="preserve"> </w:t>
      </w:r>
      <w:r w:rsidRPr="00AC4A6B">
        <w:t>v</w:t>
      </w:r>
      <w:r>
        <w:t xml:space="preserve"> </w:t>
      </w:r>
      <w:r w:rsidRPr="00AC4A6B">
        <w:t>Poslanecké</w:t>
      </w:r>
      <w:r>
        <w:t xml:space="preserve"> </w:t>
      </w:r>
      <w:r w:rsidRPr="00AC4A6B">
        <w:t>sněmovně</w:t>
      </w:r>
      <w:r>
        <w:t xml:space="preserve"> </w:t>
      </w:r>
      <w:r w:rsidRPr="00AC4A6B">
        <w:t>Parlamentu.</w:t>
      </w:r>
      <w:r>
        <w:t xml:space="preserve"> </w:t>
      </w:r>
      <w:r w:rsidRPr="00AC4A6B">
        <w:t>Členy</w:t>
      </w:r>
      <w:r>
        <w:t xml:space="preserve"> </w:t>
      </w:r>
      <w:r w:rsidRPr="00AC4A6B">
        <w:t>Správní</w:t>
      </w:r>
      <w:r>
        <w:t xml:space="preserve"> </w:t>
      </w:r>
      <w:r w:rsidRPr="00AC4A6B">
        <w:t>rady</w:t>
      </w:r>
      <w:r>
        <w:t xml:space="preserve"> </w:t>
      </w:r>
      <w:r w:rsidRPr="00AC4A6B">
        <w:t>jmenované</w:t>
      </w:r>
      <w:r>
        <w:t xml:space="preserve"> </w:t>
      </w:r>
      <w:r w:rsidRPr="00AC4A6B">
        <w:t>vládou</w:t>
      </w:r>
      <w:r>
        <w:t xml:space="preserve"> </w:t>
      </w:r>
      <w:r w:rsidRPr="00AC4A6B">
        <w:t>jmenuje</w:t>
      </w:r>
      <w:r>
        <w:t xml:space="preserve"> </w:t>
      </w:r>
      <w:r w:rsidRPr="00AC4A6B">
        <w:t>a</w:t>
      </w:r>
      <w:r>
        <w:t xml:space="preserve"> </w:t>
      </w:r>
      <w:r w:rsidRPr="00AC4A6B">
        <w:t>odvolává</w:t>
      </w:r>
      <w:r>
        <w:t xml:space="preserve"> </w:t>
      </w:r>
      <w:r w:rsidRPr="00AC4A6B">
        <w:t>vláda</w:t>
      </w:r>
      <w:r>
        <w:t xml:space="preserve"> </w:t>
      </w:r>
      <w:r w:rsidRPr="00AC4A6B">
        <w:t>na</w:t>
      </w:r>
      <w:r>
        <w:t xml:space="preserve"> </w:t>
      </w:r>
      <w:r w:rsidRPr="00AC4A6B">
        <w:t>návrh</w:t>
      </w:r>
      <w:r>
        <w:t xml:space="preserve"> </w:t>
      </w:r>
      <w:r w:rsidRPr="00AC4A6B">
        <w:t>ministra</w:t>
      </w:r>
      <w:r>
        <w:t xml:space="preserve"> </w:t>
      </w:r>
      <w:r w:rsidRPr="00AC4A6B">
        <w:t>zdravotnictví.</w:t>
      </w:r>
      <w:r>
        <w:t xml:space="preserve"> </w:t>
      </w:r>
      <w:r w:rsidRPr="00AC4A6B">
        <w:t>Členy</w:t>
      </w:r>
      <w:r>
        <w:t xml:space="preserve"> </w:t>
      </w:r>
      <w:r w:rsidRPr="00AC4A6B">
        <w:t>Správní</w:t>
      </w:r>
      <w:r>
        <w:t xml:space="preserve"> </w:t>
      </w:r>
      <w:r w:rsidRPr="00AC4A6B">
        <w:t>rady</w:t>
      </w:r>
      <w:r>
        <w:t xml:space="preserve"> </w:t>
      </w:r>
      <w:r w:rsidRPr="00AC4A6B">
        <w:t>volené</w:t>
      </w:r>
      <w:r>
        <w:t xml:space="preserve"> </w:t>
      </w:r>
      <w:r w:rsidRPr="00AC4A6B">
        <w:t>Poslaneckou</w:t>
      </w:r>
      <w:r>
        <w:t xml:space="preserve"> </w:t>
      </w:r>
      <w:r w:rsidRPr="00AC4A6B">
        <w:t>sněmovnou</w:t>
      </w:r>
      <w:r>
        <w:t xml:space="preserve"> </w:t>
      </w:r>
      <w:r w:rsidRPr="00AC4A6B">
        <w:t>Parlamentu</w:t>
      </w:r>
      <w:r>
        <w:t xml:space="preserve"> </w:t>
      </w:r>
      <w:r w:rsidRPr="00AC4A6B">
        <w:t>volí</w:t>
      </w:r>
      <w:r>
        <w:t xml:space="preserve"> </w:t>
      </w:r>
      <w:r w:rsidRPr="00AC4A6B">
        <w:t>a</w:t>
      </w:r>
      <w:r>
        <w:t xml:space="preserve"> </w:t>
      </w:r>
      <w:r w:rsidRPr="00AC4A6B">
        <w:t>odvolává</w:t>
      </w:r>
      <w:r>
        <w:t xml:space="preserve"> </w:t>
      </w:r>
      <w:r w:rsidRPr="00AC4A6B">
        <w:t>Poslanecká</w:t>
      </w:r>
      <w:r>
        <w:t xml:space="preserve"> </w:t>
      </w:r>
      <w:r w:rsidRPr="00AC4A6B">
        <w:t>sněmovna</w:t>
      </w:r>
      <w:r>
        <w:t xml:space="preserve"> </w:t>
      </w:r>
      <w:r w:rsidRPr="00AC4A6B">
        <w:t>Parlamentu.</w:t>
      </w:r>
    </w:p>
    <w:p w14:paraId="1FDF494C" w14:textId="77777777" w:rsidR="007A7417" w:rsidRDefault="007A7417" w:rsidP="00FE1B36">
      <w:pPr>
        <w:pStyle w:val="Textparagrafu"/>
        <w:numPr>
          <w:ilvl w:val="0"/>
          <w:numId w:val="28"/>
        </w:numPr>
        <w:spacing w:before="120" w:after="120"/>
        <w:ind w:firstLine="425"/>
      </w:pPr>
      <w:r w:rsidRPr="00AC4A6B">
        <w:t>(3)</w:t>
      </w:r>
      <w:r>
        <w:t xml:space="preserve"> </w:t>
      </w:r>
      <w:r w:rsidRPr="00AC4A6B">
        <w:t>Správní</w:t>
      </w:r>
      <w:r>
        <w:t xml:space="preserve"> </w:t>
      </w:r>
      <w:r w:rsidRPr="00AC4A6B">
        <w:t>rada</w:t>
      </w:r>
      <w:r>
        <w:t xml:space="preserve"> </w:t>
      </w:r>
      <w:r w:rsidRPr="00AC4A6B">
        <w:t>volí</w:t>
      </w:r>
      <w:r>
        <w:t xml:space="preserve"> </w:t>
      </w:r>
      <w:r w:rsidRPr="00AC4A6B">
        <w:t>ze</w:t>
      </w:r>
      <w:r>
        <w:t xml:space="preserve"> </w:t>
      </w:r>
      <w:r w:rsidRPr="00AC4A6B">
        <w:t>svého</w:t>
      </w:r>
      <w:r>
        <w:t xml:space="preserve"> </w:t>
      </w:r>
      <w:r w:rsidRPr="00AC4A6B">
        <w:t>středu</w:t>
      </w:r>
      <w:r>
        <w:t xml:space="preserve"> </w:t>
      </w:r>
      <w:r w:rsidRPr="00AC4A6B">
        <w:t>předsedu</w:t>
      </w:r>
      <w:r>
        <w:t xml:space="preserve"> </w:t>
      </w:r>
      <w:r w:rsidRPr="00AC4A6B">
        <w:t>a</w:t>
      </w:r>
      <w:r>
        <w:t xml:space="preserve"> </w:t>
      </w:r>
      <w:r w:rsidRPr="00AC4A6B">
        <w:t>místopředsedu</w:t>
      </w:r>
      <w:r>
        <w:t xml:space="preserve"> </w:t>
      </w:r>
      <w:r w:rsidRPr="00AC4A6B">
        <w:t>Správní</w:t>
      </w:r>
      <w:r>
        <w:t xml:space="preserve"> </w:t>
      </w:r>
      <w:r w:rsidRPr="00AC4A6B">
        <w:t>rady.</w:t>
      </w:r>
    </w:p>
    <w:p w14:paraId="540BAA19" w14:textId="77777777" w:rsidR="007A7417" w:rsidRDefault="007A7417" w:rsidP="00FE1B36">
      <w:pPr>
        <w:pStyle w:val="Textparagrafu"/>
        <w:numPr>
          <w:ilvl w:val="0"/>
          <w:numId w:val="28"/>
        </w:numPr>
        <w:spacing w:before="120" w:after="120"/>
        <w:ind w:firstLine="425"/>
      </w:pPr>
      <w:r w:rsidRPr="00AC4A6B">
        <w:t>(4)</w:t>
      </w:r>
      <w:r>
        <w:t xml:space="preserve"> </w:t>
      </w:r>
      <w:r w:rsidRPr="00AC4A6B">
        <w:t>Předseda,</w:t>
      </w:r>
      <w:r>
        <w:t xml:space="preserve"> </w:t>
      </w:r>
      <w:r w:rsidRPr="00AC4A6B">
        <w:t>popřípadě</w:t>
      </w:r>
      <w:r>
        <w:t xml:space="preserve"> </w:t>
      </w:r>
      <w:r w:rsidRPr="00AC4A6B">
        <w:t>místopředseda</w:t>
      </w:r>
      <w:r>
        <w:t xml:space="preserve"> </w:t>
      </w:r>
      <w:r w:rsidRPr="00AC4A6B">
        <w:t>svolává</w:t>
      </w:r>
      <w:r>
        <w:t xml:space="preserve"> </w:t>
      </w:r>
      <w:r w:rsidRPr="00AC4A6B">
        <w:t>a</w:t>
      </w:r>
      <w:r>
        <w:t xml:space="preserve"> </w:t>
      </w:r>
      <w:r w:rsidRPr="00AC4A6B">
        <w:t>řídí</w:t>
      </w:r>
      <w:r>
        <w:t xml:space="preserve"> </w:t>
      </w:r>
      <w:r w:rsidRPr="00AC4A6B">
        <w:t>jednání</w:t>
      </w:r>
      <w:r>
        <w:t xml:space="preserve"> </w:t>
      </w:r>
      <w:r w:rsidRPr="00AC4A6B">
        <w:t>Správní</w:t>
      </w:r>
      <w:r>
        <w:t xml:space="preserve"> </w:t>
      </w:r>
      <w:r w:rsidRPr="00AC4A6B">
        <w:t>rady.</w:t>
      </w:r>
    </w:p>
    <w:p w14:paraId="5E895CFB" w14:textId="77777777" w:rsidR="007A7417" w:rsidRDefault="007A7417" w:rsidP="00FE1B36">
      <w:pPr>
        <w:pStyle w:val="Textparagrafu"/>
        <w:numPr>
          <w:ilvl w:val="0"/>
          <w:numId w:val="28"/>
        </w:numPr>
        <w:spacing w:before="120" w:after="120"/>
        <w:ind w:firstLine="425"/>
      </w:pPr>
      <w:r w:rsidRPr="00AC4A6B">
        <w:t>(5)</w:t>
      </w:r>
      <w:r>
        <w:t xml:space="preserve"> </w:t>
      </w:r>
      <w:r w:rsidRPr="00AC4A6B">
        <w:t>Správní</w:t>
      </w:r>
      <w:r>
        <w:t xml:space="preserve"> </w:t>
      </w:r>
      <w:r w:rsidRPr="00AC4A6B">
        <w:t>rada</w:t>
      </w:r>
      <w:r>
        <w:t xml:space="preserve"> </w:t>
      </w:r>
      <w:r w:rsidRPr="00AC4A6B">
        <w:t>rozhoduje</w:t>
      </w:r>
      <w:r>
        <w:t xml:space="preserve"> </w:t>
      </w:r>
      <w:r w:rsidRPr="00AC4A6B">
        <w:t>hlasováním.</w:t>
      </w:r>
      <w:r>
        <w:t xml:space="preserve"> </w:t>
      </w:r>
      <w:r w:rsidRPr="00AC4A6B">
        <w:t>K</w:t>
      </w:r>
      <w:r>
        <w:t xml:space="preserve"> </w:t>
      </w:r>
      <w:r w:rsidRPr="00AC4A6B">
        <w:t>přijetí</w:t>
      </w:r>
      <w:r>
        <w:t xml:space="preserve"> </w:t>
      </w:r>
      <w:r w:rsidRPr="00AC4A6B">
        <w:t>rozhodnutí</w:t>
      </w:r>
      <w:r>
        <w:t xml:space="preserve"> </w:t>
      </w:r>
      <w:r w:rsidRPr="00AC4A6B">
        <w:t>Správní</w:t>
      </w:r>
      <w:r>
        <w:t xml:space="preserve"> </w:t>
      </w:r>
      <w:r w:rsidRPr="00AC4A6B">
        <w:t>rady</w:t>
      </w:r>
      <w:r>
        <w:t xml:space="preserve"> </w:t>
      </w:r>
      <w:r w:rsidRPr="00AC4A6B">
        <w:t>podle</w:t>
      </w:r>
      <w:r>
        <w:t xml:space="preserve"> </w:t>
      </w:r>
      <w:r w:rsidRPr="00AC4A6B">
        <w:t>odstavce</w:t>
      </w:r>
      <w:r>
        <w:t xml:space="preserve"> </w:t>
      </w:r>
      <w:r w:rsidRPr="00AC4A6B">
        <w:t>1</w:t>
      </w:r>
      <w:r>
        <w:t xml:space="preserve"> </w:t>
      </w:r>
      <w:r w:rsidRPr="00AC4A6B">
        <w:t>písm.</w:t>
      </w:r>
      <w:r>
        <w:t xml:space="preserve"> </w:t>
      </w:r>
      <w:r w:rsidRPr="00AC4A6B">
        <w:t>b),</w:t>
      </w:r>
      <w:r>
        <w:t xml:space="preserve"> </w:t>
      </w:r>
      <w:r w:rsidRPr="00AC4A6B">
        <w:t>d),</w:t>
      </w:r>
      <w:r>
        <w:t xml:space="preserve"> </w:t>
      </w:r>
      <w:r w:rsidRPr="00AC4A6B">
        <w:t>f),</w:t>
      </w:r>
      <w:r>
        <w:t xml:space="preserve"> </w:t>
      </w:r>
      <w:r w:rsidRPr="00AC4A6B">
        <w:t>j)</w:t>
      </w:r>
      <w:r>
        <w:t xml:space="preserve"> </w:t>
      </w:r>
      <w:r w:rsidRPr="00AC4A6B">
        <w:t>a</w:t>
      </w:r>
      <w:r>
        <w:t xml:space="preserve"> </w:t>
      </w:r>
      <w:r w:rsidRPr="00AC4A6B">
        <w:t>k)</w:t>
      </w:r>
      <w:r>
        <w:t xml:space="preserve"> </w:t>
      </w:r>
      <w:r w:rsidRPr="00AC4A6B">
        <w:t>je</w:t>
      </w:r>
      <w:r>
        <w:t xml:space="preserve"> </w:t>
      </w:r>
      <w:r w:rsidRPr="00AC4A6B">
        <w:t>třeba</w:t>
      </w:r>
      <w:r>
        <w:t xml:space="preserve"> </w:t>
      </w:r>
      <w:r w:rsidRPr="00AC4A6B">
        <w:t>souhlasu</w:t>
      </w:r>
      <w:r>
        <w:t xml:space="preserve"> </w:t>
      </w:r>
      <w:r w:rsidRPr="00AC4A6B">
        <w:t>nadpoloviční</w:t>
      </w:r>
      <w:r>
        <w:t xml:space="preserve"> </w:t>
      </w:r>
      <w:r w:rsidRPr="00AC4A6B">
        <w:t>většiny</w:t>
      </w:r>
      <w:r>
        <w:t xml:space="preserve"> </w:t>
      </w:r>
      <w:r w:rsidRPr="00AC4A6B">
        <w:t>všech</w:t>
      </w:r>
      <w:r>
        <w:t xml:space="preserve"> </w:t>
      </w:r>
      <w:r w:rsidRPr="00AC4A6B">
        <w:t>členů</w:t>
      </w:r>
      <w:r>
        <w:t xml:space="preserve"> </w:t>
      </w:r>
      <w:r w:rsidRPr="00AC4A6B">
        <w:t>Správní</w:t>
      </w:r>
      <w:r>
        <w:t xml:space="preserve"> </w:t>
      </w:r>
      <w:r w:rsidRPr="00AC4A6B">
        <w:t>rady.</w:t>
      </w:r>
      <w:r>
        <w:t xml:space="preserve"> </w:t>
      </w:r>
      <w:r w:rsidRPr="00AC4A6B">
        <w:t>K</w:t>
      </w:r>
      <w:r>
        <w:t xml:space="preserve"> </w:t>
      </w:r>
      <w:r w:rsidRPr="00AC4A6B">
        <w:t>ostatním</w:t>
      </w:r>
      <w:r>
        <w:t xml:space="preserve"> </w:t>
      </w:r>
      <w:r w:rsidRPr="00AC4A6B">
        <w:t>rozhodnutím</w:t>
      </w:r>
      <w:r>
        <w:t xml:space="preserve"> </w:t>
      </w:r>
      <w:r w:rsidRPr="00AC4A6B">
        <w:t>Správní</w:t>
      </w:r>
      <w:r>
        <w:t xml:space="preserve"> </w:t>
      </w:r>
      <w:r w:rsidRPr="00AC4A6B">
        <w:t>rady</w:t>
      </w:r>
      <w:r>
        <w:t xml:space="preserve"> </w:t>
      </w:r>
      <w:r w:rsidRPr="00AC4A6B">
        <w:t>podle</w:t>
      </w:r>
      <w:r>
        <w:t xml:space="preserve"> </w:t>
      </w:r>
      <w:r w:rsidRPr="00AC4A6B">
        <w:t>odstavce</w:t>
      </w:r>
      <w:r>
        <w:t xml:space="preserve"> </w:t>
      </w:r>
      <w:r w:rsidRPr="00AC4A6B">
        <w:t>1</w:t>
      </w:r>
      <w:r>
        <w:t xml:space="preserve"> </w:t>
      </w:r>
      <w:r w:rsidRPr="00AC4A6B">
        <w:t>je</w:t>
      </w:r>
      <w:r>
        <w:t xml:space="preserve"> </w:t>
      </w:r>
      <w:r w:rsidRPr="00AC4A6B">
        <w:t>třeba</w:t>
      </w:r>
      <w:r>
        <w:t xml:space="preserve"> </w:t>
      </w:r>
      <w:r w:rsidRPr="00AC4A6B">
        <w:t>souhlasu</w:t>
      </w:r>
      <w:r>
        <w:t xml:space="preserve"> </w:t>
      </w:r>
      <w:r w:rsidRPr="00AC4A6B">
        <w:t>nadpoloviční</w:t>
      </w:r>
      <w:r>
        <w:t xml:space="preserve"> </w:t>
      </w:r>
      <w:r w:rsidRPr="00AC4A6B">
        <w:t>většiny</w:t>
      </w:r>
      <w:r>
        <w:t xml:space="preserve"> </w:t>
      </w:r>
      <w:r w:rsidRPr="00AC4A6B">
        <w:t>přítomných</w:t>
      </w:r>
      <w:r>
        <w:t xml:space="preserve"> </w:t>
      </w:r>
      <w:r w:rsidRPr="00AC4A6B">
        <w:t>členů.</w:t>
      </w:r>
    </w:p>
    <w:p w14:paraId="56C0EDE3" w14:textId="77777777" w:rsidR="007A7417" w:rsidRDefault="007A7417" w:rsidP="00FE1B36">
      <w:pPr>
        <w:pStyle w:val="Textparagrafu"/>
        <w:numPr>
          <w:ilvl w:val="0"/>
          <w:numId w:val="28"/>
        </w:numPr>
        <w:spacing w:before="120" w:after="120"/>
        <w:ind w:firstLine="425"/>
      </w:pPr>
      <w:r w:rsidRPr="00AC4A6B">
        <w:t>(6)</w:t>
      </w:r>
      <w:r>
        <w:t xml:space="preserve"> </w:t>
      </w:r>
      <w:r w:rsidRPr="00AC4A6B">
        <w:t>Správní</w:t>
      </w:r>
      <w:r>
        <w:t xml:space="preserve"> </w:t>
      </w:r>
      <w:r w:rsidRPr="00AC4A6B">
        <w:t>rada</w:t>
      </w:r>
      <w:r>
        <w:t xml:space="preserve"> </w:t>
      </w:r>
      <w:r w:rsidRPr="00AC4A6B">
        <w:t>je</w:t>
      </w:r>
      <w:r>
        <w:t xml:space="preserve"> </w:t>
      </w:r>
      <w:r w:rsidRPr="00AC4A6B">
        <w:t>usnášeníschopná,</w:t>
      </w:r>
      <w:r>
        <w:t xml:space="preserve"> </w:t>
      </w:r>
      <w:r w:rsidRPr="00AC4A6B">
        <w:t>jestliže</w:t>
      </w:r>
      <w:r>
        <w:t xml:space="preserve"> </w:t>
      </w:r>
      <w:r w:rsidRPr="00AC4A6B">
        <w:t>je</w:t>
      </w:r>
      <w:r>
        <w:t xml:space="preserve"> </w:t>
      </w:r>
      <w:r w:rsidRPr="00AC4A6B">
        <w:t>přítomna</w:t>
      </w:r>
      <w:r>
        <w:t xml:space="preserve"> </w:t>
      </w:r>
      <w:r w:rsidRPr="00AC4A6B">
        <w:t>nadpoloviční</w:t>
      </w:r>
      <w:r>
        <w:t xml:space="preserve"> </w:t>
      </w:r>
      <w:r w:rsidRPr="00AC4A6B">
        <w:t>většina</w:t>
      </w:r>
      <w:r>
        <w:t xml:space="preserve"> </w:t>
      </w:r>
      <w:r w:rsidRPr="00AC4A6B">
        <w:t>všech</w:t>
      </w:r>
      <w:r>
        <w:t xml:space="preserve"> </w:t>
      </w:r>
      <w:r w:rsidRPr="00AC4A6B">
        <w:t>jejích</w:t>
      </w:r>
      <w:r>
        <w:t xml:space="preserve"> </w:t>
      </w:r>
      <w:r w:rsidRPr="00AC4A6B">
        <w:t>členů.</w:t>
      </w:r>
    </w:p>
    <w:p w14:paraId="4272FC19" w14:textId="77777777" w:rsidR="007A7417" w:rsidRDefault="007A7417" w:rsidP="00FE1B36">
      <w:pPr>
        <w:pStyle w:val="Textparagrafu"/>
        <w:numPr>
          <w:ilvl w:val="0"/>
          <w:numId w:val="28"/>
        </w:numPr>
        <w:spacing w:before="120" w:after="120"/>
        <w:ind w:firstLine="425"/>
      </w:pPr>
      <w:r w:rsidRPr="00AC4A6B">
        <w:t>(7)</w:t>
      </w:r>
      <w:r>
        <w:t xml:space="preserve"> </w:t>
      </w:r>
      <w:r w:rsidRPr="00AC4A6B">
        <w:t>Po</w:t>
      </w:r>
      <w:r>
        <w:t xml:space="preserve"> </w:t>
      </w:r>
      <w:r w:rsidRPr="00AC4A6B">
        <w:t>ustavující</w:t>
      </w:r>
      <w:r>
        <w:t xml:space="preserve"> </w:t>
      </w:r>
      <w:r w:rsidRPr="00AC4A6B">
        <w:t>schůzi</w:t>
      </w:r>
      <w:r>
        <w:t xml:space="preserve"> </w:t>
      </w:r>
      <w:r w:rsidRPr="00AC4A6B">
        <w:t>Poslanecké</w:t>
      </w:r>
      <w:r>
        <w:t xml:space="preserve"> </w:t>
      </w:r>
      <w:r w:rsidRPr="00AC4A6B">
        <w:t>sněmovny</w:t>
      </w:r>
      <w:r>
        <w:t xml:space="preserve"> </w:t>
      </w:r>
      <w:r w:rsidRPr="00AC4A6B">
        <w:t>Parlamentu</w:t>
      </w:r>
      <w:r>
        <w:t xml:space="preserve"> </w:t>
      </w:r>
      <w:r w:rsidRPr="00AC4A6B">
        <w:t>se</w:t>
      </w:r>
      <w:r>
        <w:t xml:space="preserve"> </w:t>
      </w:r>
      <w:r w:rsidRPr="00AC4A6B">
        <w:t>konají</w:t>
      </w:r>
      <w:r>
        <w:t xml:space="preserve"> </w:t>
      </w:r>
      <w:r w:rsidRPr="00AC4A6B">
        <w:t>do</w:t>
      </w:r>
      <w:r>
        <w:t xml:space="preserve"> </w:t>
      </w:r>
      <w:r w:rsidRPr="00AC4A6B">
        <w:t>90</w:t>
      </w:r>
      <w:r>
        <w:t xml:space="preserve"> </w:t>
      </w:r>
      <w:r w:rsidRPr="00AC4A6B">
        <w:t>kalendářních</w:t>
      </w:r>
      <w:r>
        <w:t xml:space="preserve"> </w:t>
      </w:r>
      <w:r w:rsidRPr="00AC4A6B">
        <w:t>dnů</w:t>
      </w:r>
      <w:r>
        <w:t xml:space="preserve"> </w:t>
      </w:r>
      <w:r w:rsidRPr="00AC4A6B">
        <w:t>nové</w:t>
      </w:r>
      <w:r>
        <w:t xml:space="preserve"> </w:t>
      </w:r>
      <w:r w:rsidRPr="00AC4A6B">
        <w:t>volby</w:t>
      </w:r>
      <w:r>
        <w:t xml:space="preserve"> </w:t>
      </w:r>
      <w:r w:rsidRPr="00AC4A6B">
        <w:t>20</w:t>
      </w:r>
      <w:r>
        <w:t xml:space="preserve"> </w:t>
      </w:r>
      <w:r w:rsidRPr="00AC4A6B">
        <w:t>členů</w:t>
      </w:r>
      <w:r>
        <w:t xml:space="preserve"> </w:t>
      </w:r>
      <w:r w:rsidRPr="00AC4A6B">
        <w:t>volených</w:t>
      </w:r>
      <w:r>
        <w:t xml:space="preserve"> </w:t>
      </w:r>
      <w:r w:rsidRPr="00AC4A6B">
        <w:t>Poslaneckou</w:t>
      </w:r>
      <w:r>
        <w:t xml:space="preserve"> </w:t>
      </w:r>
      <w:r w:rsidRPr="00AC4A6B">
        <w:t>sněmovnou</w:t>
      </w:r>
      <w:r>
        <w:t xml:space="preserve"> </w:t>
      </w:r>
      <w:r w:rsidRPr="00AC4A6B">
        <w:t>Parlamentu</w:t>
      </w:r>
      <w:r>
        <w:t xml:space="preserve"> </w:t>
      </w:r>
      <w:r w:rsidRPr="00AC4A6B">
        <w:t>podle</w:t>
      </w:r>
      <w:r>
        <w:t xml:space="preserve"> </w:t>
      </w:r>
      <w:r w:rsidRPr="00AC4A6B">
        <w:t>odstavce</w:t>
      </w:r>
      <w:r>
        <w:t xml:space="preserve"> </w:t>
      </w:r>
      <w:r w:rsidRPr="00AC4A6B">
        <w:t>2</w:t>
      </w:r>
      <w:r>
        <w:t xml:space="preserve"> </w:t>
      </w:r>
      <w:r w:rsidRPr="00AC4A6B">
        <w:t>věty</w:t>
      </w:r>
      <w:r>
        <w:t xml:space="preserve"> </w:t>
      </w:r>
      <w:r w:rsidRPr="00AC4A6B">
        <w:t>první.</w:t>
      </w:r>
    </w:p>
    <w:p w14:paraId="503E34BB" w14:textId="77777777" w:rsidR="007A7417" w:rsidRPr="00AC4A6B" w:rsidRDefault="007A7417" w:rsidP="007A7417">
      <w:pPr>
        <w:pStyle w:val="Textparagrafu"/>
        <w:numPr>
          <w:ilvl w:val="0"/>
          <w:numId w:val="28"/>
        </w:numPr>
        <w:jc w:val="center"/>
      </w:pPr>
      <w:r w:rsidRPr="00AC4A6B">
        <w:t>§</w:t>
      </w:r>
      <w:r>
        <w:t xml:space="preserve"> </w:t>
      </w:r>
      <w:r w:rsidRPr="00AC4A6B">
        <w:t>21</w:t>
      </w:r>
    </w:p>
    <w:p w14:paraId="7D79C81D" w14:textId="77777777" w:rsidR="007A7417" w:rsidRPr="00AC4A6B" w:rsidRDefault="007A7417" w:rsidP="007A7417">
      <w:pPr>
        <w:pStyle w:val="Textparagrafu"/>
        <w:numPr>
          <w:ilvl w:val="0"/>
          <w:numId w:val="28"/>
        </w:numPr>
        <w:jc w:val="center"/>
        <w:rPr>
          <w:b/>
        </w:rPr>
      </w:pPr>
      <w:r w:rsidRPr="00AC4A6B">
        <w:rPr>
          <w:b/>
        </w:rPr>
        <w:t>Dozorčí rada</w:t>
      </w:r>
    </w:p>
    <w:p w14:paraId="43FF0D1A" w14:textId="77777777" w:rsidR="007A7417" w:rsidRDefault="007A7417" w:rsidP="00FE1B36">
      <w:pPr>
        <w:pStyle w:val="Textparagrafu"/>
        <w:numPr>
          <w:ilvl w:val="0"/>
          <w:numId w:val="28"/>
        </w:numPr>
        <w:spacing w:before="120" w:after="120"/>
        <w:ind w:firstLine="425"/>
      </w:pPr>
      <w:r w:rsidRPr="00AC4A6B">
        <w:t>(1)</w:t>
      </w:r>
      <w:r>
        <w:t xml:space="preserve"> </w:t>
      </w:r>
      <w:r w:rsidRPr="00AC4A6B">
        <w:t>Dozorčí</w:t>
      </w:r>
      <w:r>
        <w:t xml:space="preserve"> </w:t>
      </w:r>
      <w:r w:rsidRPr="00AC4A6B">
        <w:t>rada</w:t>
      </w:r>
      <w:r>
        <w:t xml:space="preserve"> </w:t>
      </w:r>
      <w:r w:rsidRPr="00AC4A6B">
        <w:t>dohlíží</w:t>
      </w:r>
      <w:r>
        <w:t xml:space="preserve"> </w:t>
      </w:r>
      <w:r w:rsidRPr="00AC4A6B">
        <w:t>na</w:t>
      </w:r>
      <w:r>
        <w:t xml:space="preserve"> </w:t>
      </w:r>
      <w:r w:rsidRPr="00AC4A6B">
        <w:t>dodržování</w:t>
      </w:r>
      <w:r>
        <w:t xml:space="preserve"> </w:t>
      </w:r>
      <w:r w:rsidRPr="00AC4A6B">
        <w:t>právních</w:t>
      </w:r>
      <w:r>
        <w:t xml:space="preserve"> </w:t>
      </w:r>
      <w:r w:rsidRPr="00AC4A6B">
        <w:t>předpisů</w:t>
      </w:r>
      <w:r>
        <w:t xml:space="preserve"> </w:t>
      </w:r>
      <w:r w:rsidRPr="00AC4A6B">
        <w:t>a</w:t>
      </w:r>
      <w:r>
        <w:t xml:space="preserve"> </w:t>
      </w:r>
      <w:r w:rsidRPr="00AC4A6B">
        <w:t>vnitřních</w:t>
      </w:r>
      <w:r>
        <w:t xml:space="preserve"> </w:t>
      </w:r>
      <w:r w:rsidRPr="00AC4A6B">
        <w:t>předpisů</w:t>
      </w:r>
      <w:r>
        <w:t xml:space="preserve"> </w:t>
      </w:r>
      <w:r w:rsidRPr="00AC4A6B">
        <w:t>a</w:t>
      </w:r>
      <w:r>
        <w:t xml:space="preserve"> </w:t>
      </w:r>
      <w:r w:rsidRPr="00AC4A6B">
        <w:t>celkové</w:t>
      </w:r>
      <w:r>
        <w:t xml:space="preserve"> </w:t>
      </w:r>
      <w:r w:rsidRPr="00AC4A6B">
        <w:t>hospodaření</w:t>
      </w:r>
      <w:r>
        <w:t xml:space="preserve"> </w:t>
      </w:r>
      <w:r w:rsidRPr="00AC4A6B">
        <w:t>Pojišťovny.</w:t>
      </w:r>
      <w:r>
        <w:t xml:space="preserve"> </w:t>
      </w:r>
      <w:r w:rsidRPr="00AC4A6B">
        <w:t>Za</w:t>
      </w:r>
      <w:r>
        <w:t xml:space="preserve"> </w:t>
      </w:r>
      <w:r w:rsidRPr="00AC4A6B">
        <w:t>tím</w:t>
      </w:r>
      <w:r>
        <w:t xml:space="preserve"> </w:t>
      </w:r>
      <w:r w:rsidRPr="00AC4A6B">
        <w:t>účelem</w:t>
      </w:r>
      <w:r>
        <w:t xml:space="preserve"> </w:t>
      </w:r>
      <w:r w:rsidRPr="00AC4A6B">
        <w:t>jsou</w:t>
      </w:r>
      <w:r>
        <w:t xml:space="preserve"> </w:t>
      </w:r>
      <w:r w:rsidRPr="00AC4A6B">
        <w:t>její</w:t>
      </w:r>
      <w:r>
        <w:t xml:space="preserve"> </w:t>
      </w:r>
      <w:r w:rsidRPr="00AC4A6B">
        <w:t>členové</w:t>
      </w:r>
      <w:r>
        <w:t xml:space="preserve"> </w:t>
      </w:r>
      <w:r w:rsidRPr="00AC4A6B">
        <w:t>oprávněni</w:t>
      </w:r>
      <w:r>
        <w:t xml:space="preserve"> </w:t>
      </w:r>
      <w:r w:rsidRPr="00AC4A6B">
        <w:t>nahlížet</w:t>
      </w:r>
      <w:r>
        <w:t xml:space="preserve"> </w:t>
      </w:r>
      <w:r w:rsidRPr="00AC4A6B">
        <w:t>do</w:t>
      </w:r>
      <w:r>
        <w:t xml:space="preserve"> </w:t>
      </w:r>
      <w:r w:rsidRPr="00AC4A6B">
        <w:t>veškerých</w:t>
      </w:r>
      <w:r>
        <w:t xml:space="preserve"> </w:t>
      </w:r>
      <w:r w:rsidRPr="00AC4A6B">
        <w:t>dokumentů</w:t>
      </w:r>
      <w:r>
        <w:t xml:space="preserve"> </w:t>
      </w:r>
      <w:r w:rsidRPr="00AC4A6B">
        <w:t>Pojišťovny</w:t>
      </w:r>
      <w:r>
        <w:t xml:space="preserve"> </w:t>
      </w:r>
      <w:r w:rsidRPr="00AC4A6B">
        <w:t>a</w:t>
      </w:r>
      <w:r>
        <w:t xml:space="preserve"> </w:t>
      </w:r>
      <w:r w:rsidRPr="00AC4A6B">
        <w:t>zjišťovat</w:t>
      </w:r>
      <w:r>
        <w:t xml:space="preserve"> </w:t>
      </w:r>
      <w:r w:rsidRPr="00AC4A6B">
        <w:t>stav</w:t>
      </w:r>
      <w:r>
        <w:t xml:space="preserve"> </w:t>
      </w:r>
      <w:r w:rsidRPr="00AC4A6B">
        <w:t>a</w:t>
      </w:r>
      <w:r>
        <w:t xml:space="preserve"> </w:t>
      </w:r>
      <w:r w:rsidRPr="00AC4A6B">
        <w:t>způsob</w:t>
      </w:r>
      <w:r>
        <w:t xml:space="preserve"> </w:t>
      </w:r>
      <w:r w:rsidRPr="00AC4A6B">
        <w:t>hospodaření</w:t>
      </w:r>
      <w:r>
        <w:t xml:space="preserve"> </w:t>
      </w:r>
      <w:r w:rsidRPr="00AC4A6B">
        <w:t>Pojišťovny.</w:t>
      </w:r>
    </w:p>
    <w:p w14:paraId="2AA66EFF" w14:textId="4F05CC60" w:rsidR="007A7417" w:rsidRDefault="007A7417" w:rsidP="00FE1B36">
      <w:pPr>
        <w:pStyle w:val="Textparagrafu"/>
        <w:numPr>
          <w:ilvl w:val="0"/>
          <w:numId w:val="28"/>
        </w:numPr>
        <w:spacing w:before="120" w:after="120"/>
        <w:ind w:firstLine="425"/>
      </w:pPr>
      <w:r w:rsidRPr="00AC4A6B">
        <w:lastRenderedPageBreak/>
        <w:t>(2)</w:t>
      </w:r>
      <w:r>
        <w:t xml:space="preserve"> </w:t>
      </w:r>
      <w:r w:rsidRPr="00AC4A6B">
        <w:t>Dozorčí</w:t>
      </w:r>
      <w:r>
        <w:t xml:space="preserve"> </w:t>
      </w:r>
      <w:r w:rsidRPr="00AC4A6B">
        <w:t>rada</w:t>
      </w:r>
      <w:r>
        <w:t xml:space="preserve"> </w:t>
      </w:r>
      <w:r w:rsidRPr="00AC4A6B">
        <w:t>projednává</w:t>
      </w:r>
      <w:r>
        <w:t xml:space="preserve"> </w:t>
      </w:r>
      <w:r w:rsidRPr="00AC4A6B">
        <w:t>návrh</w:t>
      </w:r>
      <w:r>
        <w:t xml:space="preserve"> </w:t>
      </w:r>
      <w:r w:rsidRPr="00AC4A6B">
        <w:t>zdravotně</w:t>
      </w:r>
      <w:r>
        <w:t xml:space="preserve"> </w:t>
      </w:r>
      <w:r w:rsidRPr="00AC4A6B">
        <w:t>pojistného</w:t>
      </w:r>
      <w:r>
        <w:t xml:space="preserve"> </w:t>
      </w:r>
      <w:r w:rsidRPr="00AC4A6B">
        <w:t>plánu,</w:t>
      </w:r>
      <w:r>
        <w:t xml:space="preserve"> </w:t>
      </w:r>
      <w:r w:rsidRPr="00AC4A6B">
        <w:t>účetní</w:t>
      </w:r>
      <w:r>
        <w:t xml:space="preserve"> </w:t>
      </w:r>
      <w:r w:rsidRPr="00AC4A6B">
        <w:t>závěrku</w:t>
      </w:r>
      <w:r>
        <w:t xml:space="preserve"> </w:t>
      </w:r>
      <w:r w:rsidRPr="00AC4A6B">
        <w:t>a</w:t>
      </w:r>
      <w:r>
        <w:t xml:space="preserve"> </w:t>
      </w:r>
      <w:r w:rsidRPr="000F28E7">
        <w:rPr>
          <w:strike/>
        </w:rPr>
        <w:t>návrh výroční zprávy</w:t>
      </w:r>
      <w:r>
        <w:t xml:space="preserve"> </w:t>
      </w:r>
      <w:r w:rsidR="000F28E7" w:rsidRPr="000F28E7">
        <w:rPr>
          <w:b/>
        </w:rPr>
        <w:t>zprávu vedení</w:t>
      </w:r>
      <w:r w:rsidR="000F28E7">
        <w:t xml:space="preserve"> </w:t>
      </w:r>
      <w:r w:rsidRPr="00AC4A6B">
        <w:t>a</w:t>
      </w:r>
      <w:r>
        <w:t xml:space="preserve"> </w:t>
      </w:r>
      <w:r w:rsidRPr="00AC4A6B">
        <w:t>své</w:t>
      </w:r>
      <w:r>
        <w:t xml:space="preserve"> </w:t>
      </w:r>
      <w:r w:rsidRPr="00AC4A6B">
        <w:t>stanovisko</w:t>
      </w:r>
      <w:r>
        <w:t xml:space="preserve"> </w:t>
      </w:r>
      <w:r w:rsidRPr="00AC4A6B">
        <w:t>předkládá</w:t>
      </w:r>
      <w:r>
        <w:t xml:space="preserve"> </w:t>
      </w:r>
      <w:r w:rsidRPr="00AC4A6B">
        <w:t>společnému</w:t>
      </w:r>
      <w:r>
        <w:t xml:space="preserve"> </w:t>
      </w:r>
      <w:r w:rsidRPr="00AC4A6B">
        <w:t>jednání</w:t>
      </w:r>
      <w:r>
        <w:t xml:space="preserve"> </w:t>
      </w:r>
      <w:r w:rsidRPr="00AC4A6B">
        <w:t>Správní</w:t>
      </w:r>
      <w:r>
        <w:t xml:space="preserve"> </w:t>
      </w:r>
      <w:r w:rsidRPr="00AC4A6B">
        <w:t>rady</w:t>
      </w:r>
      <w:r>
        <w:t xml:space="preserve"> </w:t>
      </w:r>
      <w:r w:rsidRPr="00AC4A6B">
        <w:t>a</w:t>
      </w:r>
      <w:r>
        <w:t xml:space="preserve"> </w:t>
      </w:r>
      <w:r w:rsidRPr="00AC4A6B">
        <w:t>Dozorčí</w:t>
      </w:r>
      <w:r>
        <w:t xml:space="preserve"> </w:t>
      </w:r>
      <w:r w:rsidRPr="00AC4A6B">
        <w:t>rady.</w:t>
      </w:r>
    </w:p>
    <w:p w14:paraId="4DFCEA3A" w14:textId="77777777" w:rsidR="007A7417" w:rsidRDefault="007A7417" w:rsidP="00FE1B36">
      <w:pPr>
        <w:pStyle w:val="Textparagrafu"/>
        <w:numPr>
          <w:ilvl w:val="0"/>
          <w:numId w:val="28"/>
        </w:numPr>
        <w:spacing w:before="120" w:after="120"/>
        <w:ind w:firstLine="425"/>
      </w:pPr>
      <w:r w:rsidRPr="00AC4A6B">
        <w:t>(3)</w:t>
      </w:r>
      <w:r>
        <w:t xml:space="preserve"> </w:t>
      </w:r>
      <w:r w:rsidRPr="00AC4A6B">
        <w:t>Dozorčí</w:t>
      </w:r>
      <w:r>
        <w:t xml:space="preserve"> </w:t>
      </w:r>
      <w:r w:rsidRPr="00AC4A6B">
        <w:t>radu</w:t>
      </w:r>
      <w:r>
        <w:t xml:space="preserve"> </w:t>
      </w:r>
      <w:r w:rsidRPr="00AC4A6B">
        <w:t>tvoří</w:t>
      </w:r>
    </w:p>
    <w:p w14:paraId="7AB298BF" w14:textId="7D1BFD78" w:rsidR="007A7417" w:rsidRDefault="007A7417" w:rsidP="002B6A12">
      <w:pPr>
        <w:pStyle w:val="Textparagrafu"/>
        <w:numPr>
          <w:ilvl w:val="0"/>
          <w:numId w:val="28"/>
        </w:numPr>
        <w:tabs>
          <w:tab w:val="left" w:pos="426"/>
        </w:tabs>
        <w:spacing w:before="0"/>
        <w:ind w:left="426" w:hanging="426"/>
      </w:pPr>
      <w:r w:rsidRPr="00AC4A6B">
        <w:t>a)</w:t>
      </w:r>
      <w:r w:rsidR="00084391">
        <w:tab/>
      </w:r>
      <w:r w:rsidRPr="00AC4A6B">
        <w:t>3</w:t>
      </w:r>
      <w:r>
        <w:t xml:space="preserve"> </w:t>
      </w:r>
      <w:r w:rsidRPr="00AC4A6B">
        <w:t>členové,</w:t>
      </w:r>
      <w:r>
        <w:t xml:space="preserve"> </w:t>
      </w:r>
      <w:r w:rsidRPr="00AC4A6B">
        <w:t>které</w:t>
      </w:r>
      <w:r>
        <w:t xml:space="preserve"> </w:t>
      </w:r>
      <w:r w:rsidRPr="00AC4A6B">
        <w:t>na</w:t>
      </w:r>
      <w:r>
        <w:t xml:space="preserve"> </w:t>
      </w:r>
      <w:r w:rsidRPr="00AC4A6B">
        <w:t>návrh</w:t>
      </w:r>
      <w:r>
        <w:t xml:space="preserve"> </w:t>
      </w:r>
      <w:r w:rsidRPr="00AC4A6B">
        <w:t>ministra</w:t>
      </w:r>
      <w:r>
        <w:t xml:space="preserve"> </w:t>
      </w:r>
      <w:r w:rsidRPr="00AC4A6B">
        <w:t>financí,</w:t>
      </w:r>
      <w:r>
        <w:t xml:space="preserve"> </w:t>
      </w:r>
      <w:r w:rsidRPr="00AC4A6B">
        <w:t>ministra</w:t>
      </w:r>
      <w:r>
        <w:t xml:space="preserve"> </w:t>
      </w:r>
      <w:r w:rsidRPr="00AC4A6B">
        <w:t>práce</w:t>
      </w:r>
      <w:r>
        <w:t xml:space="preserve"> </w:t>
      </w:r>
      <w:r w:rsidRPr="00AC4A6B">
        <w:t>a</w:t>
      </w:r>
      <w:r>
        <w:t xml:space="preserve"> </w:t>
      </w:r>
      <w:r w:rsidRPr="00AC4A6B">
        <w:t>sociálních</w:t>
      </w:r>
      <w:r>
        <w:t xml:space="preserve"> </w:t>
      </w:r>
      <w:r w:rsidRPr="00AC4A6B">
        <w:t>věcí</w:t>
      </w:r>
      <w:r>
        <w:t xml:space="preserve"> </w:t>
      </w:r>
      <w:r w:rsidRPr="00AC4A6B">
        <w:t>a</w:t>
      </w:r>
      <w:r>
        <w:t xml:space="preserve"> </w:t>
      </w:r>
      <w:r w:rsidRPr="00AC4A6B">
        <w:t>ministra</w:t>
      </w:r>
      <w:r>
        <w:t xml:space="preserve"> </w:t>
      </w:r>
      <w:r w:rsidRPr="00AC4A6B">
        <w:t>zdravotnictví</w:t>
      </w:r>
      <w:r>
        <w:t xml:space="preserve"> </w:t>
      </w:r>
      <w:r w:rsidRPr="00AC4A6B">
        <w:t>jmenuje</w:t>
      </w:r>
      <w:r>
        <w:t xml:space="preserve"> </w:t>
      </w:r>
      <w:r w:rsidRPr="00AC4A6B">
        <w:t>a</w:t>
      </w:r>
      <w:r>
        <w:t xml:space="preserve"> </w:t>
      </w:r>
      <w:r w:rsidRPr="00AC4A6B">
        <w:t>odvolává</w:t>
      </w:r>
      <w:r>
        <w:t xml:space="preserve"> </w:t>
      </w:r>
      <w:r w:rsidRPr="00AC4A6B">
        <w:t>vláda,</w:t>
      </w:r>
    </w:p>
    <w:p w14:paraId="309AC3E2" w14:textId="4457F342" w:rsidR="007A7417" w:rsidRDefault="007A7417" w:rsidP="002B6A12">
      <w:pPr>
        <w:pStyle w:val="Textparagrafu"/>
        <w:numPr>
          <w:ilvl w:val="0"/>
          <w:numId w:val="28"/>
        </w:numPr>
        <w:tabs>
          <w:tab w:val="left" w:pos="426"/>
        </w:tabs>
        <w:spacing w:before="0"/>
        <w:ind w:left="426" w:hanging="426"/>
      </w:pPr>
      <w:r w:rsidRPr="00AC4A6B">
        <w:t>b)</w:t>
      </w:r>
      <w:r w:rsidR="00084391">
        <w:tab/>
      </w:r>
      <w:r w:rsidRPr="00AC4A6B">
        <w:t>10</w:t>
      </w:r>
      <w:r>
        <w:t xml:space="preserve"> </w:t>
      </w:r>
      <w:r w:rsidRPr="00AC4A6B">
        <w:t>členů</w:t>
      </w:r>
      <w:r>
        <w:t xml:space="preserve"> </w:t>
      </w:r>
      <w:r w:rsidRPr="00AC4A6B">
        <w:t>volených</w:t>
      </w:r>
      <w:r>
        <w:t xml:space="preserve"> </w:t>
      </w:r>
      <w:r w:rsidRPr="00AC4A6B">
        <w:t>a</w:t>
      </w:r>
      <w:r>
        <w:t xml:space="preserve"> </w:t>
      </w:r>
      <w:r w:rsidRPr="00AC4A6B">
        <w:t>odvolávaných</w:t>
      </w:r>
      <w:r>
        <w:t xml:space="preserve"> </w:t>
      </w:r>
      <w:r w:rsidRPr="00AC4A6B">
        <w:t>Poslaneckou</w:t>
      </w:r>
      <w:r>
        <w:t xml:space="preserve"> </w:t>
      </w:r>
      <w:r w:rsidRPr="00AC4A6B">
        <w:t>sněmovnou</w:t>
      </w:r>
      <w:r>
        <w:t xml:space="preserve"> </w:t>
      </w:r>
      <w:r w:rsidRPr="00AC4A6B">
        <w:t>Parlamentu;</w:t>
      </w:r>
      <w:r>
        <w:t xml:space="preserve"> </w:t>
      </w:r>
      <w:r w:rsidRPr="00AC4A6B">
        <w:t>při</w:t>
      </w:r>
      <w:r>
        <w:t xml:space="preserve"> </w:t>
      </w:r>
      <w:r w:rsidRPr="00AC4A6B">
        <w:t>obsazování</w:t>
      </w:r>
      <w:r>
        <w:t xml:space="preserve"> </w:t>
      </w:r>
      <w:r w:rsidRPr="00AC4A6B">
        <w:t>funkcí</w:t>
      </w:r>
      <w:r>
        <w:t xml:space="preserve"> </w:t>
      </w:r>
      <w:r w:rsidRPr="00AC4A6B">
        <w:t>členů</w:t>
      </w:r>
      <w:r>
        <w:t xml:space="preserve"> </w:t>
      </w:r>
      <w:r w:rsidRPr="00AC4A6B">
        <w:t>Dozorčí</w:t>
      </w:r>
      <w:r>
        <w:t xml:space="preserve"> </w:t>
      </w:r>
      <w:r w:rsidRPr="00AC4A6B">
        <w:t>rady</w:t>
      </w:r>
      <w:r>
        <w:t xml:space="preserve"> </w:t>
      </w:r>
      <w:r w:rsidRPr="00AC4A6B">
        <w:t>se</w:t>
      </w:r>
      <w:r>
        <w:t xml:space="preserve"> </w:t>
      </w:r>
      <w:r w:rsidRPr="00AC4A6B">
        <w:t>postupuje</w:t>
      </w:r>
      <w:r>
        <w:t xml:space="preserve"> </w:t>
      </w:r>
      <w:r w:rsidRPr="00AC4A6B">
        <w:t>podle</w:t>
      </w:r>
      <w:r>
        <w:t xml:space="preserve"> </w:t>
      </w:r>
      <w:r w:rsidRPr="00AC4A6B">
        <w:t>principu</w:t>
      </w:r>
      <w:r>
        <w:t xml:space="preserve"> </w:t>
      </w:r>
      <w:r w:rsidRPr="00AC4A6B">
        <w:t>poměrného</w:t>
      </w:r>
      <w:r>
        <w:t xml:space="preserve"> </w:t>
      </w:r>
      <w:r w:rsidRPr="00AC4A6B">
        <w:t>zastoupení</w:t>
      </w:r>
      <w:r>
        <w:t xml:space="preserve"> </w:t>
      </w:r>
      <w:r w:rsidRPr="00AC4A6B">
        <w:t>politických</w:t>
      </w:r>
      <w:r>
        <w:t xml:space="preserve"> </w:t>
      </w:r>
      <w:r w:rsidRPr="00AC4A6B">
        <w:t>stran</w:t>
      </w:r>
      <w:r>
        <w:t xml:space="preserve"> </w:t>
      </w:r>
      <w:r w:rsidRPr="00AC4A6B">
        <w:t>v</w:t>
      </w:r>
      <w:r>
        <w:t xml:space="preserve"> </w:t>
      </w:r>
      <w:r w:rsidRPr="00AC4A6B">
        <w:t>Poslanecké</w:t>
      </w:r>
      <w:r>
        <w:t xml:space="preserve"> </w:t>
      </w:r>
      <w:r w:rsidRPr="00AC4A6B">
        <w:t>sněmovně</w:t>
      </w:r>
      <w:r>
        <w:t xml:space="preserve"> </w:t>
      </w:r>
      <w:r w:rsidRPr="00AC4A6B">
        <w:t>Parlamentu.</w:t>
      </w:r>
    </w:p>
    <w:p w14:paraId="3C598F8A" w14:textId="77777777" w:rsidR="007A7417" w:rsidRDefault="007A7417" w:rsidP="00FE1B36">
      <w:pPr>
        <w:pStyle w:val="Textparagrafu"/>
        <w:numPr>
          <w:ilvl w:val="0"/>
          <w:numId w:val="28"/>
        </w:numPr>
        <w:spacing w:before="120" w:after="120"/>
        <w:ind w:firstLine="425"/>
      </w:pPr>
      <w:r w:rsidRPr="00AC4A6B">
        <w:t>(4)</w:t>
      </w:r>
      <w:r>
        <w:t xml:space="preserve"> </w:t>
      </w:r>
      <w:r w:rsidRPr="00AC4A6B">
        <w:t>Dozorčí</w:t>
      </w:r>
      <w:r>
        <w:t xml:space="preserve"> </w:t>
      </w:r>
      <w:r w:rsidRPr="00AC4A6B">
        <w:t>rada</w:t>
      </w:r>
      <w:r>
        <w:t xml:space="preserve"> </w:t>
      </w:r>
      <w:r w:rsidRPr="00AC4A6B">
        <w:t>rozhoduje</w:t>
      </w:r>
      <w:r>
        <w:t xml:space="preserve"> </w:t>
      </w:r>
      <w:r w:rsidRPr="00AC4A6B">
        <w:t>hlasováním.</w:t>
      </w:r>
      <w:r>
        <w:t xml:space="preserve"> </w:t>
      </w:r>
      <w:r w:rsidRPr="00AC4A6B">
        <w:t>K</w:t>
      </w:r>
      <w:r>
        <w:t xml:space="preserve"> </w:t>
      </w:r>
      <w:r w:rsidRPr="00AC4A6B">
        <w:t>přijetí</w:t>
      </w:r>
      <w:r>
        <w:t xml:space="preserve"> </w:t>
      </w:r>
      <w:r w:rsidRPr="00AC4A6B">
        <w:t>rozhodnutí</w:t>
      </w:r>
      <w:r>
        <w:t xml:space="preserve"> </w:t>
      </w:r>
      <w:r w:rsidRPr="00AC4A6B">
        <w:t>Dozorčí</w:t>
      </w:r>
      <w:r>
        <w:t xml:space="preserve"> </w:t>
      </w:r>
      <w:r w:rsidRPr="00AC4A6B">
        <w:t>rady</w:t>
      </w:r>
      <w:r>
        <w:t xml:space="preserve"> </w:t>
      </w:r>
      <w:r w:rsidRPr="00AC4A6B">
        <w:t>je</w:t>
      </w:r>
      <w:r>
        <w:t xml:space="preserve"> </w:t>
      </w:r>
      <w:r w:rsidRPr="00AC4A6B">
        <w:t>třeba</w:t>
      </w:r>
      <w:r>
        <w:t xml:space="preserve"> </w:t>
      </w:r>
      <w:r w:rsidRPr="00AC4A6B">
        <w:t>souhlasu</w:t>
      </w:r>
      <w:r>
        <w:t xml:space="preserve"> </w:t>
      </w:r>
      <w:r w:rsidRPr="00AC4A6B">
        <w:t>nadpoloviční</w:t>
      </w:r>
      <w:r>
        <w:t xml:space="preserve"> </w:t>
      </w:r>
      <w:r w:rsidRPr="00AC4A6B">
        <w:t>většiny</w:t>
      </w:r>
      <w:r>
        <w:t xml:space="preserve"> </w:t>
      </w:r>
      <w:r w:rsidRPr="00AC4A6B">
        <w:t>všech</w:t>
      </w:r>
      <w:r>
        <w:t xml:space="preserve"> </w:t>
      </w:r>
      <w:r w:rsidRPr="00AC4A6B">
        <w:t>členů</w:t>
      </w:r>
      <w:r>
        <w:t xml:space="preserve"> </w:t>
      </w:r>
      <w:r w:rsidRPr="00AC4A6B">
        <w:t>Dozorčí</w:t>
      </w:r>
      <w:r>
        <w:t xml:space="preserve"> </w:t>
      </w:r>
      <w:r w:rsidRPr="00AC4A6B">
        <w:t>rady.</w:t>
      </w:r>
    </w:p>
    <w:p w14:paraId="52E48430" w14:textId="77777777" w:rsidR="007A7417" w:rsidRDefault="007A7417" w:rsidP="00FE1B36">
      <w:pPr>
        <w:pStyle w:val="Textparagrafu"/>
        <w:numPr>
          <w:ilvl w:val="0"/>
          <w:numId w:val="28"/>
        </w:numPr>
        <w:spacing w:before="120" w:after="120"/>
        <w:ind w:firstLine="425"/>
      </w:pPr>
      <w:r w:rsidRPr="00AC4A6B">
        <w:t>(5)</w:t>
      </w:r>
      <w:r>
        <w:t xml:space="preserve"> </w:t>
      </w:r>
      <w:r w:rsidRPr="00AC4A6B">
        <w:t>Po</w:t>
      </w:r>
      <w:r>
        <w:t xml:space="preserve"> </w:t>
      </w:r>
      <w:r w:rsidRPr="00AC4A6B">
        <w:t>ustavující</w:t>
      </w:r>
      <w:r>
        <w:t xml:space="preserve"> </w:t>
      </w:r>
      <w:r w:rsidRPr="00AC4A6B">
        <w:t>schůzi</w:t>
      </w:r>
      <w:r>
        <w:t xml:space="preserve"> </w:t>
      </w:r>
      <w:r w:rsidRPr="00AC4A6B">
        <w:t>Poslanecké</w:t>
      </w:r>
      <w:r>
        <w:t xml:space="preserve"> </w:t>
      </w:r>
      <w:r w:rsidRPr="00AC4A6B">
        <w:t>sněmovny</w:t>
      </w:r>
      <w:r>
        <w:t xml:space="preserve"> </w:t>
      </w:r>
      <w:r w:rsidRPr="00AC4A6B">
        <w:t>Parlamentu</w:t>
      </w:r>
      <w:r>
        <w:t xml:space="preserve"> </w:t>
      </w:r>
      <w:r w:rsidRPr="00AC4A6B">
        <w:t>se</w:t>
      </w:r>
      <w:r>
        <w:t xml:space="preserve"> </w:t>
      </w:r>
      <w:r w:rsidRPr="00AC4A6B">
        <w:t>konají</w:t>
      </w:r>
      <w:r>
        <w:t xml:space="preserve"> </w:t>
      </w:r>
      <w:r w:rsidRPr="00AC4A6B">
        <w:t>do</w:t>
      </w:r>
      <w:r>
        <w:t xml:space="preserve"> </w:t>
      </w:r>
      <w:r w:rsidRPr="00AC4A6B">
        <w:t>90</w:t>
      </w:r>
      <w:r>
        <w:t xml:space="preserve"> </w:t>
      </w:r>
      <w:r w:rsidRPr="00AC4A6B">
        <w:t>kalendářních</w:t>
      </w:r>
      <w:r>
        <w:t xml:space="preserve"> </w:t>
      </w:r>
      <w:r w:rsidRPr="00AC4A6B">
        <w:t>dnů</w:t>
      </w:r>
      <w:r>
        <w:t xml:space="preserve"> </w:t>
      </w:r>
      <w:r w:rsidRPr="00AC4A6B">
        <w:t>nové</w:t>
      </w:r>
      <w:r>
        <w:t xml:space="preserve"> </w:t>
      </w:r>
      <w:r w:rsidRPr="00AC4A6B">
        <w:t>volby</w:t>
      </w:r>
      <w:r>
        <w:t xml:space="preserve"> </w:t>
      </w:r>
      <w:r w:rsidRPr="00AC4A6B">
        <w:t>10</w:t>
      </w:r>
      <w:r>
        <w:t xml:space="preserve"> </w:t>
      </w:r>
      <w:r w:rsidRPr="00AC4A6B">
        <w:t>členů</w:t>
      </w:r>
      <w:r>
        <w:t xml:space="preserve"> </w:t>
      </w:r>
      <w:r w:rsidRPr="00AC4A6B">
        <w:t>volených</w:t>
      </w:r>
      <w:r>
        <w:t xml:space="preserve"> </w:t>
      </w:r>
      <w:r w:rsidRPr="00AC4A6B">
        <w:t>Poslaneckou</w:t>
      </w:r>
      <w:r>
        <w:t xml:space="preserve"> </w:t>
      </w:r>
      <w:r w:rsidRPr="00AC4A6B">
        <w:t>sněmovnou</w:t>
      </w:r>
      <w:r>
        <w:t xml:space="preserve"> </w:t>
      </w:r>
      <w:r w:rsidRPr="00AC4A6B">
        <w:t>Parlamentu</w:t>
      </w:r>
      <w:r>
        <w:t xml:space="preserve"> </w:t>
      </w:r>
      <w:r w:rsidRPr="00AC4A6B">
        <w:t>podle</w:t>
      </w:r>
      <w:r>
        <w:t xml:space="preserve"> </w:t>
      </w:r>
      <w:r w:rsidRPr="00AC4A6B">
        <w:t>odstavce</w:t>
      </w:r>
      <w:r>
        <w:t xml:space="preserve"> </w:t>
      </w:r>
      <w:r w:rsidRPr="00AC4A6B">
        <w:t>3</w:t>
      </w:r>
      <w:r>
        <w:t xml:space="preserve"> </w:t>
      </w:r>
      <w:r w:rsidRPr="00AC4A6B">
        <w:t>písm.</w:t>
      </w:r>
      <w:r>
        <w:t xml:space="preserve"> </w:t>
      </w:r>
      <w:r w:rsidRPr="00AC4A6B">
        <w:t>b).</w:t>
      </w:r>
    </w:p>
    <w:p w14:paraId="23B00439" w14:textId="77777777" w:rsidR="007A7417" w:rsidRPr="00AC4A6B" w:rsidRDefault="007A7417" w:rsidP="007A7417">
      <w:pPr>
        <w:pStyle w:val="Textparagrafu"/>
        <w:numPr>
          <w:ilvl w:val="0"/>
          <w:numId w:val="28"/>
        </w:numPr>
        <w:jc w:val="center"/>
      </w:pPr>
      <w:r w:rsidRPr="00AC4A6B">
        <w:t>§</w:t>
      </w:r>
      <w:r>
        <w:t xml:space="preserve"> </w:t>
      </w:r>
      <w:r w:rsidRPr="00AC4A6B">
        <w:t>22</w:t>
      </w:r>
    </w:p>
    <w:p w14:paraId="329ECFEE" w14:textId="77777777" w:rsidR="007A7417" w:rsidRPr="00AC4A6B" w:rsidRDefault="007A7417" w:rsidP="007A7417">
      <w:pPr>
        <w:pStyle w:val="Textparagrafu"/>
        <w:numPr>
          <w:ilvl w:val="0"/>
          <w:numId w:val="28"/>
        </w:numPr>
        <w:jc w:val="center"/>
        <w:rPr>
          <w:b/>
        </w:rPr>
      </w:pPr>
      <w:r w:rsidRPr="00AC4A6B">
        <w:rPr>
          <w:b/>
        </w:rPr>
        <w:t>Společné zasedání Správní rady a Dozorčí rady</w:t>
      </w:r>
    </w:p>
    <w:p w14:paraId="119BB368" w14:textId="17C8A3EF" w:rsidR="007A7417" w:rsidRDefault="007A7417" w:rsidP="00FE1B36">
      <w:pPr>
        <w:pStyle w:val="Textparagrafu"/>
        <w:numPr>
          <w:ilvl w:val="0"/>
          <w:numId w:val="28"/>
        </w:numPr>
        <w:spacing w:before="120" w:after="120"/>
        <w:ind w:firstLine="425"/>
      </w:pPr>
      <w:r w:rsidRPr="00AC4A6B">
        <w:t>(1)</w:t>
      </w:r>
      <w:r>
        <w:t xml:space="preserve"> </w:t>
      </w:r>
      <w:r w:rsidRPr="00AC4A6B">
        <w:t>Společné</w:t>
      </w:r>
      <w:r>
        <w:t xml:space="preserve"> </w:t>
      </w:r>
      <w:r w:rsidRPr="00AC4A6B">
        <w:t>zasedání</w:t>
      </w:r>
      <w:r>
        <w:t xml:space="preserve"> </w:t>
      </w:r>
      <w:r w:rsidRPr="00AC4A6B">
        <w:t>Správní</w:t>
      </w:r>
      <w:r>
        <w:t xml:space="preserve"> </w:t>
      </w:r>
      <w:r w:rsidRPr="00AC4A6B">
        <w:t>rady</w:t>
      </w:r>
      <w:r>
        <w:t xml:space="preserve"> </w:t>
      </w:r>
      <w:r w:rsidRPr="00AC4A6B">
        <w:t>a</w:t>
      </w:r>
      <w:r>
        <w:t xml:space="preserve"> </w:t>
      </w:r>
      <w:r w:rsidRPr="00AC4A6B">
        <w:t>Dozorčí</w:t>
      </w:r>
      <w:r>
        <w:t xml:space="preserve"> </w:t>
      </w:r>
      <w:r w:rsidRPr="00AC4A6B">
        <w:t>rady</w:t>
      </w:r>
      <w:r>
        <w:t xml:space="preserve"> </w:t>
      </w:r>
      <w:r w:rsidRPr="00AC4A6B">
        <w:t>se</w:t>
      </w:r>
      <w:r>
        <w:t xml:space="preserve"> </w:t>
      </w:r>
      <w:r w:rsidRPr="00AC4A6B">
        <w:t>svolává</w:t>
      </w:r>
      <w:r>
        <w:t xml:space="preserve"> </w:t>
      </w:r>
      <w:r w:rsidRPr="00AC4A6B">
        <w:t>za</w:t>
      </w:r>
      <w:r>
        <w:t xml:space="preserve"> </w:t>
      </w:r>
      <w:r w:rsidRPr="00AC4A6B">
        <w:t>účelem</w:t>
      </w:r>
      <w:r>
        <w:t xml:space="preserve"> </w:t>
      </w:r>
      <w:r w:rsidRPr="00AC4A6B">
        <w:t>projednání</w:t>
      </w:r>
      <w:r>
        <w:t xml:space="preserve"> </w:t>
      </w:r>
      <w:r w:rsidRPr="00AC4A6B">
        <w:t>návrhu</w:t>
      </w:r>
      <w:r>
        <w:t xml:space="preserve"> </w:t>
      </w:r>
      <w:r w:rsidRPr="00AC4A6B">
        <w:t>zdravotně</w:t>
      </w:r>
      <w:r>
        <w:t xml:space="preserve"> </w:t>
      </w:r>
      <w:r w:rsidRPr="00AC4A6B">
        <w:t>pojistného</w:t>
      </w:r>
      <w:r>
        <w:t xml:space="preserve"> </w:t>
      </w:r>
      <w:r w:rsidRPr="00AC4A6B">
        <w:t>plánu,</w:t>
      </w:r>
      <w:r>
        <w:t xml:space="preserve"> </w:t>
      </w:r>
      <w:r w:rsidRPr="00AC4A6B">
        <w:t>účetní</w:t>
      </w:r>
      <w:r>
        <w:t xml:space="preserve"> </w:t>
      </w:r>
      <w:r w:rsidRPr="00AC4A6B">
        <w:t>závěrky</w:t>
      </w:r>
      <w:r>
        <w:t xml:space="preserve"> </w:t>
      </w:r>
      <w:r w:rsidRPr="00AC4A6B">
        <w:t>a</w:t>
      </w:r>
      <w:r>
        <w:t xml:space="preserve"> </w:t>
      </w:r>
      <w:r w:rsidRPr="000F28E7">
        <w:rPr>
          <w:strike/>
        </w:rPr>
        <w:t>návrhu výroční zprávy</w:t>
      </w:r>
      <w:r>
        <w:t xml:space="preserve"> </w:t>
      </w:r>
      <w:proofErr w:type="spellStart"/>
      <w:r w:rsidR="000F28E7" w:rsidRPr="000F28E7">
        <w:rPr>
          <w:b/>
        </w:rPr>
        <w:t>zprávy</w:t>
      </w:r>
      <w:proofErr w:type="spellEnd"/>
      <w:r w:rsidR="000F28E7" w:rsidRPr="000F28E7">
        <w:rPr>
          <w:b/>
        </w:rPr>
        <w:t xml:space="preserve"> vedení</w:t>
      </w:r>
      <w:r w:rsidR="000F28E7">
        <w:t xml:space="preserve"> </w:t>
      </w:r>
      <w:r w:rsidRPr="00AC4A6B">
        <w:t>Pojišťovny.</w:t>
      </w:r>
      <w:r>
        <w:t xml:space="preserve"> </w:t>
      </w:r>
      <w:r w:rsidRPr="00AC4A6B">
        <w:t>Společné</w:t>
      </w:r>
      <w:r>
        <w:t xml:space="preserve"> </w:t>
      </w:r>
      <w:r w:rsidRPr="00AC4A6B">
        <w:t>zasedání</w:t>
      </w:r>
      <w:r>
        <w:t xml:space="preserve"> </w:t>
      </w:r>
      <w:r w:rsidRPr="00AC4A6B">
        <w:t>se</w:t>
      </w:r>
      <w:r>
        <w:t xml:space="preserve"> </w:t>
      </w:r>
      <w:r w:rsidRPr="00AC4A6B">
        <w:t>skládá</w:t>
      </w:r>
      <w:r>
        <w:t xml:space="preserve"> </w:t>
      </w:r>
      <w:r w:rsidRPr="00AC4A6B">
        <w:t>ze</w:t>
      </w:r>
      <w:r>
        <w:t xml:space="preserve"> </w:t>
      </w:r>
      <w:r w:rsidRPr="00AC4A6B">
        <w:t>všech</w:t>
      </w:r>
      <w:r>
        <w:t xml:space="preserve"> </w:t>
      </w:r>
      <w:r w:rsidRPr="00AC4A6B">
        <w:t>členů</w:t>
      </w:r>
      <w:r>
        <w:t xml:space="preserve"> </w:t>
      </w:r>
      <w:r w:rsidRPr="00AC4A6B">
        <w:t>Správní</w:t>
      </w:r>
      <w:r>
        <w:t xml:space="preserve"> </w:t>
      </w:r>
      <w:r w:rsidRPr="00AC4A6B">
        <w:t>rady,</w:t>
      </w:r>
      <w:r>
        <w:t xml:space="preserve"> </w:t>
      </w:r>
      <w:r w:rsidRPr="00AC4A6B">
        <w:t>členů</w:t>
      </w:r>
      <w:r>
        <w:t xml:space="preserve"> </w:t>
      </w:r>
      <w:r w:rsidRPr="00AC4A6B">
        <w:t>Dozorčí</w:t>
      </w:r>
      <w:r>
        <w:t xml:space="preserve"> </w:t>
      </w:r>
      <w:r w:rsidRPr="00AC4A6B">
        <w:t>rady</w:t>
      </w:r>
      <w:r>
        <w:t xml:space="preserve"> </w:t>
      </w:r>
      <w:r w:rsidRPr="00AC4A6B">
        <w:t>a</w:t>
      </w:r>
      <w:r>
        <w:t xml:space="preserve"> </w:t>
      </w:r>
      <w:r w:rsidRPr="00AC4A6B">
        <w:t>ředitele</w:t>
      </w:r>
      <w:r>
        <w:t xml:space="preserve"> </w:t>
      </w:r>
      <w:r w:rsidRPr="00AC4A6B">
        <w:t>Pojišťovny.</w:t>
      </w:r>
    </w:p>
    <w:p w14:paraId="1D3E5D5F" w14:textId="75D70381" w:rsidR="007A7417" w:rsidRPr="00AC4A6B" w:rsidRDefault="007A7417" w:rsidP="00FE1B36">
      <w:pPr>
        <w:pStyle w:val="Textparagrafu"/>
        <w:numPr>
          <w:ilvl w:val="0"/>
          <w:numId w:val="28"/>
        </w:numPr>
        <w:spacing w:before="120" w:after="120"/>
        <w:ind w:firstLine="425"/>
      </w:pPr>
      <w:r w:rsidRPr="00AC4A6B">
        <w:t>(2)</w:t>
      </w:r>
      <w:r>
        <w:t xml:space="preserve"> </w:t>
      </w:r>
      <w:r w:rsidRPr="00AC4A6B">
        <w:t>Společné</w:t>
      </w:r>
      <w:r>
        <w:t xml:space="preserve"> </w:t>
      </w:r>
      <w:r w:rsidRPr="00AC4A6B">
        <w:t>zasedání</w:t>
      </w:r>
      <w:r>
        <w:t xml:space="preserve"> </w:t>
      </w:r>
      <w:r w:rsidRPr="00AC4A6B">
        <w:t>Správní</w:t>
      </w:r>
      <w:r>
        <w:t xml:space="preserve"> </w:t>
      </w:r>
      <w:r w:rsidRPr="00AC4A6B">
        <w:t>rady</w:t>
      </w:r>
      <w:r>
        <w:t xml:space="preserve"> </w:t>
      </w:r>
      <w:r w:rsidRPr="00AC4A6B">
        <w:t>a</w:t>
      </w:r>
      <w:r>
        <w:t xml:space="preserve"> </w:t>
      </w:r>
      <w:r w:rsidRPr="00AC4A6B">
        <w:t>Dozorčí</w:t>
      </w:r>
      <w:r>
        <w:t xml:space="preserve"> </w:t>
      </w:r>
      <w:r w:rsidRPr="00AC4A6B">
        <w:t>rady</w:t>
      </w:r>
      <w:r>
        <w:t xml:space="preserve"> </w:t>
      </w:r>
      <w:r w:rsidRPr="00AC4A6B">
        <w:t>svolává</w:t>
      </w:r>
      <w:r>
        <w:t xml:space="preserve"> </w:t>
      </w:r>
      <w:r w:rsidRPr="00AC4A6B">
        <w:t>ředitel</w:t>
      </w:r>
      <w:r>
        <w:t xml:space="preserve"> </w:t>
      </w:r>
      <w:r w:rsidRPr="00AC4A6B">
        <w:t>Pojišťovny</w:t>
      </w:r>
      <w:r>
        <w:t xml:space="preserve"> </w:t>
      </w:r>
      <w:r w:rsidRPr="00AC4A6B">
        <w:t>v</w:t>
      </w:r>
      <w:r>
        <w:t xml:space="preserve"> </w:t>
      </w:r>
      <w:r w:rsidRPr="00AC4A6B">
        <w:t>dostatečné</w:t>
      </w:r>
      <w:r>
        <w:t xml:space="preserve"> </w:t>
      </w:r>
      <w:r w:rsidRPr="00AC4A6B">
        <w:t>lhůtě</w:t>
      </w:r>
      <w:r>
        <w:t xml:space="preserve"> </w:t>
      </w:r>
      <w:r w:rsidRPr="00AC4A6B">
        <w:t>před</w:t>
      </w:r>
      <w:r>
        <w:t xml:space="preserve"> </w:t>
      </w:r>
      <w:r w:rsidRPr="00AC4A6B">
        <w:t>předložením</w:t>
      </w:r>
      <w:r>
        <w:t xml:space="preserve"> </w:t>
      </w:r>
      <w:r w:rsidRPr="00AC4A6B">
        <w:t>návrhu</w:t>
      </w:r>
      <w:r>
        <w:t xml:space="preserve"> </w:t>
      </w:r>
      <w:r w:rsidRPr="00AC4A6B">
        <w:t>zdravotně</w:t>
      </w:r>
      <w:r>
        <w:t xml:space="preserve"> </w:t>
      </w:r>
      <w:r w:rsidRPr="00AC4A6B">
        <w:t>pojistného</w:t>
      </w:r>
      <w:r>
        <w:t xml:space="preserve"> </w:t>
      </w:r>
      <w:r w:rsidRPr="00AC4A6B">
        <w:t>plánu,</w:t>
      </w:r>
      <w:r>
        <w:t xml:space="preserve"> </w:t>
      </w:r>
      <w:r w:rsidRPr="00AC4A6B">
        <w:t>účetní</w:t>
      </w:r>
      <w:r>
        <w:t xml:space="preserve"> </w:t>
      </w:r>
      <w:r w:rsidRPr="00AC4A6B">
        <w:t>závěrky</w:t>
      </w:r>
      <w:r>
        <w:t xml:space="preserve"> </w:t>
      </w:r>
      <w:r w:rsidRPr="00AC4A6B">
        <w:t>a</w:t>
      </w:r>
      <w:r>
        <w:t xml:space="preserve"> </w:t>
      </w:r>
      <w:r w:rsidRPr="00C07323">
        <w:rPr>
          <w:strike/>
        </w:rPr>
        <w:t>návrhu výroční zprávy</w:t>
      </w:r>
      <w:r>
        <w:t xml:space="preserve"> </w:t>
      </w:r>
      <w:proofErr w:type="spellStart"/>
      <w:r w:rsidR="00C07323">
        <w:rPr>
          <w:b/>
        </w:rPr>
        <w:t>zprávy</w:t>
      </w:r>
      <w:proofErr w:type="spellEnd"/>
      <w:r w:rsidR="00C07323">
        <w:rPr>
          <w:b/>
        </w:rPr>
        <w:t xml:space="preserve"> vedení </w:t>
      </w:r>
      <w:r w:rsidRPr="00AC4A6B">
        <w:t>orgánům</w:t>
      </w:r>
      <w:r>
        <w:t xml:space="preserve"> </w:t>
      </w:r>
      <w:r w:rsidRPr="00AC4A6B">
        <w:t>Pojišťovny.</w:t>
      </w:r>
    </w:p>
    <w:p w14:paraId="2829CFAC" w14:textId="1597D9CC" w:rsidR="007A7417" w:rsidRDefault="008F5A61" w:rsidP="008F5A61">
      <w:pPr>
        <w:pStyle w:val="Textparagrafu"/>
        <w:numPr>
          <w:ilvl w:val="0"/>
          <w:numId w:val="28"/>
        </w:numPr>
        <w:jc w:val="center"/>
      </w:pPr>
      <w:r>
        <w:t>***</w:t>
      </w:r>
    </w:p>
    <w:p w14:paraId="320CA45E" w14:textId="77777777" w:rsidR="00924AA5" w:rsidRDefault="00924AA5" w:rsidP="00924AA5">
      <w:pPr>
        <w:pStyle w:val="Textparagrafu"/>
        <w:numPr>
          <w:ilvl w:val="0"/>
          <w:numId w:val="28"/>
        </w:numPr>
        <w:jc w:val="center"/>
      </w:pPr>
      <w:r w:rsidRPr="00AC4A6B">
        <w:t>§</w:t>
      </w:r>
      <w:r>
        <w:t xml:space="preserve"> </w:t>
      </w:r>
      <w:r w:rsidRPr="00AC4A6B">
        <w:t>23b</w:t>
      </w:r>
    </w:p>
    <w:p w14:paraId="2A0A6A97" w14:textId="77777777" w:rsidR="00924AA5" w:rsidRPr="00AC4A6B" w:rsidRDefault="00924AA5" w:rsidP="00924AA5">
      <w:pPr>
        <w:pStyle w:val="Textparagrafu"/>
        <w:numPr>
          <w:ilvl w:val="0"/>
          <w:numId w:val="28"/>
        </w:numPr>
        <w:jc w:val="center"/>
        <w:rPr>
          <w:b/>
        </w:rPr>
      </w:pPr>
      <w:r w:rsidRPr="00AC4A6B">
        <w:rPr>
          <w:b/>
        </w:rPr>
        <w:t>Přestupky právnických osob</w:t>
      </w:r>
    </w:p>
    <w:p w14:paraId="6CA7F56D" w14:textId="77777777" w:rsidR="00924AA5" w:rsidRDefault="00924AA5" w:rsidP="00FE1B36">
      <w:pPr>
        <w:pStyle w:val="Textparagrafu"/>
        <w:numPr>
          <w:ilvl w:val="0"/>
          <w:numId w:val="28"/>
        </w:numPr>
        <w:spacing w:before="120" w:after="120"/>
        <w:ind w:firstLine="425"/>
      </w:pPr>
      <w:r w:rsidRPr="00AC4A6B">
        <w:t>(1)</w:t>
      </w:r>
      <w:r>
        <w:t xml:space="preserve"> </w:t>
      </w:r>
      <w:r w:rsidRPr="00AC4A6B">
        <w:t>Pojišťovna</w:t>
      </w:r>
      <w:r>
        <w:t xml:space="preserve"> </w:t>
      </w:r>
      <w:r w:rsidRPr="00AC4A6B">
        <w:t>se</w:t>
      </w:r>
      <w:r>
        <w:t xml:space="preserve"> </w:t>
      </w:r>
      <w:r w:rsidRPr="00AC4A6B">
        <w:t>dopustí</w:t>
      </w:r>
      <w:r>
        <w:t xml:space="preserve"> </w:t>
      </w:r>
      <w:r w:rsidRPr="00AC4A6B">
        <w:t>přestupku</w:t>
      </w:r>
      <w:r>
        <w:t xml:space="preserve"> </w:t>
      </w:r>
      <w:r w:rsidRPr="00AC4A6B">
        <w:t>tím,</w:t>
      </w:r>
      <w:r>
        <w:t xml:space="preserve"> </w:t>
      </w:r>
      <w:r w:rsidRPr="00AC4A6B">
        <w:t>že</w:t>
      </w:r>
    </w:p>
    <w:p w14:paraId="027F36E2" w14:textId="32A51870" w:rsidR="00924AA5" w:rsidRDefault="00924AA5" w:rsidP="002B6A12">
      <w:pPr>
        <w:pStyle w:val="Textparagrafu"/>
        <w:numPr>
          <w:ilvl w:val="0"/>
          <w:numId w:val="28"/>
        </w:numPr>
        <w:tabs>
          <w:tab w:val="left" w:pos="426"/>
        </w:tabs>
        <w:spacing w:before="0"/>
        <w:ind w:left="426" w:hanging="426"/>
      </w:pPr>
      <w:r w:rsidRPr="00AC4A6B">
        <w:t>a)</w:t>
      </w:r>
      <w:r w:rsidR="00084391">
        <w:tab/>
      </w:r>
      <w:r w:rsidRPr="00AC4A6B">
        <w:t>provádí</w:t>
      </w:r>
      <w:r>
        <w:t xml:space="preserve"> </w:t>
      </w:r>
      <w:r w:rsidRPr="00AC4A6B">
        <w:t>nábor</w:t>
      </w:r>
      <w:r>
        <w:t xml:space="preserve"> </w:t>
      </w:r>
      <w:r w:rsidRPr="00AC4A6B">
        <w:t>pojištěnců</w:t>
      </w:r>
      <w:r>
        <w:t xml:space="preserve"> </w:t>
      </w:r>
      <w:r w:rsidRPr="00AC4A6B">
        <w:t>v</w:t>
      </w:r>
      <w:r>
        <w:t xml:space="preserve"> </w:t>
      </w:r>
      <w:r w:rsidRPr="00AC4A6B">
        <w:t>rozporu</w:t>
      </w:r>
      <w:r>
        <w:t xml:space="preserve"> </w:t>
      </w:r>
      <w:r w:rsidRPr="00AC4A6B">
        <w:t>s</w:t>
      </w:r>
      <w:r>
        <w:t xml:space="preserve"> </w:t>
      </w:r>
      <w:r w:rsidRPr="00AC4A6B">
        <w:t>§</w:t>
      </w:r>
      <w:r>
        <w:t xml:space="preserve"> </w:t>
      </w:r>
      <w:r w:rsidRPr="00AC4A6B">
        <w:t>2</w:t>
      </w:r>
      <w:r>
        <w:t xml:space="preserve"> </w:t>
      </w:r>
      <w:r w:rsidRPr="00AC4A6B">
        <w:t>odst.</w:t>
      </w:r>
      <w:r>
        <w:t xml:space="preserve"> </w:t>
      </w:r>
      <w:r w:rsidRPr="00AC4A6B">
        <w:t>3,</w:t>
      </w:r>
    </w:p>
    <w:p w14:paraId="65693F4F" w14:textId="4CB0A1D0" w:rsidR="00924AA5" w:rsidRDefault="00924AA5" w:rsidP="002B6A12">
      <w:pPr>
        <w:pStyle w:val="Textparagrafu"/>
        <w:numPr>
          <w:ilvl w:val="0"/>
          <w:numId w:val="28"/>
        </w:numPr>
        <w:tabs>
          <w:tab w:val="left" w:pos="426"/>
        </w:tabs>
        <w:spacing w:before="0"/>
        <w:ind w:left="426" w:hanging="426"/>
      </w:pPr>
      <w:r w:rsidRPr="00AC4A6B">
        <w:t>b)</w:t>
      </w:r>
      <w:r w:rsidR="00084391">
        <w:tab/>
      </w:r>
      <w:r w:rsidRPr="00AC4A6B">
        <w:t>nepředloží</w:t>
      </w:r>
      <w:r>
        <w:t xml:space="preserve"> </w:t>
      </w:r>
      <w:r w:rsidRPr="00AC4A6B">
        <w:t>Ministerstvu</w:t>
      </w:r>
      <w:r>
        <w:t xml:space="preserve"> </w:t>
      </w:r>
      <w:r w:rsidRPr="00AC4A6B">
        <w:t>zdravotnictví</w:t>
      </w:r>
      <w:r>
        <w:t xml:space="preserve"> </w:t>
      </w:r>
      <w:r w:rsidRPr="00AC4A6B">
        <w:t>nebo</w:t>
      </w:r>
      <w:r>
        <w:t xml:space="preserve"> </w:t>
      </w:r>
      <w:r w:rsidRPr="00AC4A6B">
        <w:t>Ministerstvu</w:t>
      </w:r>
      <w:r>
        <w:t xml:space="preserve"> </w:t>
      </w:r>
      <w:r w:rsidRPr="00AC4A6B">
        <w:t>financí</w:t>
      </w:r>
      <w:r>
        <w:t xml:space="preserve"> </w:t>
      </w:r>
      <w:r w:rsidRPr="00AC4A6B">
        <w:t>návrh</w:t>
      </w:r>
      <w:r>
        <w:t xml:space="preserve"> </w:t>
      </w:r>
      <w:r w:rsidRPr="00AC4A6B">
        <w:t>zdravotně</w:t>
      </w:r>
      <w:r>
        <w:t xml:space="preserve"> </w:t>
      </w:r>
      <w:r w:rsidRPr="00AC4A6B">
        <w:t>pojistného</w:t>
      </w:r>
      <w:r>
        <w:t xml:space="preserve"> </w:t>
      </w:r>
      <w:r w:rsidRPr="00AC4A6B">
        <w:t>plánu,</w:t>
      </w:r>
      <w:r>
        <w:t xml:space="preserve"> </w:t>
      </w:r>
      <w:r w:rsidRPr="00C07323">
        <w:rPr>
          <w:strike/>
        </w:rPr>
        <w:t>účetní závěrku, návrh výroční zprávy za minulý kalendářní rok nebo zprávu auditora podle § 6 odst. 3</w:t>
      </w:r>
      <w:r w:rsidR="00C07323" w:rsidRPr="00C07323">
        <w:rPr>
          <w:b/>
        </w:rPr>
        <w:t xml:space="preserve"> </w:t>
      </w:r>
      <w:r w:rsidR="00C07323" w:rsidRPr="0002310D">
        <w:rPr>
          <w:b/>
        </w:rPr>
        <w:t xml:space="preserve">řádnou účetní závěrku, zprávu vedení za uplynulé účetní období nebo zprávu auditora o povinném auditu podle </w:t>
      </w:r>
      <w:r w:rsidR="00C07323" w:rsidRPr="00F52C8D">
        <w:rPr>
          <w:b/>
        </w:rPr>
        <w:t>§</w:t>
      </w:r>
      <w:r w:rsidR="00C07323">
        <w:t xml:space="preserve"> </w:t>
      </w:r>
      <w:r w:rsidR="00C07323" w:rsidRPr="00F52C8D">
        <w:rPr>
          <w:b/>
        </w:rPr>
        <w:t>6 odst. 5</w:t>
      </w:r>
      <w:r w:rsidRPr="00AC4A6B">
        <w:t>,</w:t>
      </w:r>
    </w:p>
    <w:p w14:paraId="11AEB749" w14:textId="677153EC" w:rsidR="00924AA5" w:rsidRDefault="00924AA5" w:rsidP="002B6A12">
      <w:pPr>
        <w:pStyle w:val="Textparagrafu"/>
        <w:numPr>
          <w:ilvl w:val="0"/>
          <w:numId w:val="28"/>
        </w:numPr>
        <w:tabs>
          <w:tab w:val="left" w:pos="426"/>
        </w:tabs>
        <w:spacing w:before="0"/>
        <w:ind w:left="426" w:hanging="426"/>
      </w:pPr>
      <w:r w:rsidRPr="00AC4A6B">
        <w:t>c)</w:t>
      </w:r>
      <w:r w:rsidR="00084391">
        <w:tab/>
      </w:r>
      <w:r w:rsidRPr="00AC4A6B">
        <w:t>v</w:t>
      </w:r>
      <w:r>
        <w:t xml:space="preserve"> </w:t>
      </w:r>
      <w:r w:rsidRPr="00AC4A6B">
        <w:t>rozporu</w:t>
      </w:r>
      <w:r>
        <w:t xml:space="preserve"> </w:t>
      </w:r>
      <w:r w:rsidRPr="00AC4A6B">
        <w:t>s</w:t>
      </w:r>
      <w:r>
        <w:t xml:space="preserve"> </w:t>
      </w:r>
      <w:r w:rsidRPr="00AC4A6B">
        <w:t>§</w:t>
      </w:r>
      <w:r>
        <w:t xml:space="preserve"> </w:t>
      </w:r>
      <w:r w:rsidRPr="00AC4A6B">
        <w:t>7</w:t>
      </w:r>
      <w:r>
        <w:t xml:space="preserve"> </w:t>
      </w:r>
      <w:r w:rsidRPr="00AC4A6B">
        <w:t>odst.</w:t>
      </w:r>
      <w:r>
        <w:t xml:space="preserve"> </w:t>
      </w:r>
      <w:r w:rsidRPr="00AC4A6B">
        <w:t>6</w:t>
      </w:r>
      <w:r>
        <w:t xml:space="preserve"> </w:t>
      </w:r>
      <w:r w:rsidRPr="00AC4A6B">
        <w:t>zřídí</w:t>
      </w:r>
      <w:r>
        <w:t xml:space="preserve"> </w:t>
      </w:r>
      <w:r w:rsidRPr="00AC4A6B">
        <w:t>nebo</w:t>
      </w:r>
      <w:r>
        <w:t xml:space="preserve"> </w:t>
      </w:r>
      <w:r w:rsidRPr="00AC4A6B">
        <w:t>provozuje</w:t>
      </w:r>
      <w:r>
        <w:t xml:space="preserve"> </w:t>
      </w:r>
      <w:r w:rsidRPr="00AC4A6B">
        <w:t>poskytovatele,</w:t>
      </w:r>
      <w:r>
        <w:t xml:space="preserve"> </w:t>
      </w:r>
      <w:r w:rsidRPr="00AC4A6B">
        <w:t>nebo</w:t>
      </w:r>
      <w:r>
        <w:t xml:space="preserve"> </w:t>
      </w:r>
      <w:r w:rsidRPr="00AC4A6B">
        <w:t>podniká</w:t>
      </w:r>
      <w:r>
        <w:t xml:space="preserve"> </w:t>
      </w:r>
      <w:r w:rsidRPr="00AC4A6B">
        <w:t>s</w:t>
      </w:r>
      <w:r>
        <w:t xml:space="preserve"> </w:t>
      </w:r>
      <w:r w:rsidRPr="00AC4A6B">
        <w:t>prostředky</w:t>
      </w:r>
      <w:r>
        <w:t xml:space="preserve"> </w:t>
      </w:r>
      <w:r w:rsidRPr="00AC4A6B">
        <w:t>plynoucími</w:t>
      </w:r>
      <w:r>
        <w:t xml:space="preserve"> </w:t>
      </w:r>
      <w:r w:rsidRPr="00AC4A6B">
        <w:t>z</w:t>
      </w:r>
      <w:r>
        <w:t xml:space="preserve"> </w:t>
      </w:r>
      <w:r w:rsidRPr="00AC4A6B">
        <w:t>veřejného</w:t>
      </w:r>
      <w:r>
        <w:t xml:space="preserve"> </w:t>
      </w:r>
      <w:r w:rsidRPr="00AC4A6B">
        <w:t>zdravotního</w:t>
      </w:r>
      <w:r>
        <w:t xml:space="preserve"> </w:t>
      </w:r>
      <w:r w:rsidRPr="00AC4A6B">
        <w:t>pojištění,</w:t>
      </w:r>
    </w:p>
    <w:p w14:paraId="76BA201E" w14:textId="01AD75CF" w:rsidR="00924AA5" w:rsidRDefault="00924AA5" w:rsidP="002B6A12">
      <w:pPr>
        <w:pStyle w:val="Textparagrafu"/>
        <w:numPr>
          <w:ilvl w:val="0"/>
          <w:numId w:val="28"/>
        </w:numPr>
        <w:tabs>
          <w:tab w:val="left" w:pos="426"/>
        </w:tabs>
        <w:spacing w:before="0"/>
        <w:ind w:left="426" w:hanging="426"/>
      </w:pPr>
      <w:r w:rsidRPr="00AC4A6B">
        <w:t>d)</w:t>
      </w:r>
      <w:r w:rsidR="00084391">
        <w:tab/>
      </w:r>
      <w:r w:rsidRPr="00AC4A6B">
        <w:t>nepodá</w:t>
      </w:r>
      <w:r>
        <w:t xml:space="preserve"> </w:t>
      </w:r>
      <w:r w:rsidRPr="00AC4A6B">
        <w:t>Ministerstvu</w:t>
      </w:r>
      <w:r>
        <w:t xml:space="preserve"> </w:t>
      </w:r>
      <w:r w:rsidRPr="00AC4A6B">
        <w:t>zdravotnictví</w:t>
      </w:r>
      <w:r>
        <w:t xml:space="preserve"> </w:t>
      </w:r>
      <w:r w:rsidRPr="00AC4A6B">
        <w:t>nebo</w:t>
      </w:r>
      <w:r>
        <w:t xml:space="preserve"> </w:t>
      </w:r>
      <w:r w:rsidRPr="00AC4A6B">
        <w:t>Ministerstvu</w:t>
      </w:r>
      <w:r>
        <w:t xml:space="preserve"> </w:t>
      </w:r>
      <w:r w:rsidRPr="00AC4A6B">
        <w:t>financí</w:t>
      </w:r>
      <w:r>
        <w:t xml:space="preserve"> </w:t>
      </w:r>
      <w:r w:rsidRPr="00AC4A6B">
        <w:t>zprávu</w:t>
      </w:r>
      <w:r>
        <w:t xml:space="preserve"> </w:t>
      </w:r>
      <w:r w:rsidRPr="00AC4A6B">
        <w:t>o</w:t>
      </w:r>
      <w:r>
        <w:t xml:space="preserve"> </w:t>
      </w:r>
      <w:r w:rsidRPr="00AC4A6B">
        <w:t>svém</w:t>
      </w:r>
      <w:r>
        <w:t xml:space="preserve"> </w:t>
      </w:r>
      <w:r w:rsidRPr="00AC4A6B">
        <w:t>hospodaření</w:t>
      </w:r>
      <w:r>
        <w:t xml:space="preserve"> </w:t>
      </w:r>
      <w:r w:rsidRPr="00AC4A6B">
        <w:t>podle</w:t>
      </w:r>
      <w:r>
        <w:t xml:space="preserve"> </w:t>
      </w:r>
      <w:r w:rsidRPr="00AC4A6B">
        <w:t>§</w:t>
      </w:r>
      <w:r>
        <w:t xml:space="preserve"> </w:t>
      </w:r>
      <w:r w:rsidRPr="00AC4A6B">
        <w:t>8</w:t>
      </w:r>
      <w:r>
        <w:t xml:space="preserve"> </w:t>
      </w:r>
      <w:r w:rsidRPr="00AC4A6B">
        <w:t>odst.</w:t>
      </w:r>
      <w:r>
        <w:t xml:space="preserve"> </w:t>
      </w:r>
      <w:r w:rsidRPr="00AC4A6B">
        <w:t>1,</w:t>
      </w:r>
      <w:r>
        <w:t xml:space="preserve"> </w:t>
      </w:r>
      <w:r w:rsidRPr="00AC4A6B">
        <w:t>nebo</w:t>
      </w:r>
    </w:p>
    <w:p w14:paraId="5D6F0C5E" w14:textId="768D2DFC" w:rsidR="00924AA5" w:rsidRDefault="00924AA5" w:rsidP="002B6A12">
      <w:pPr>
        <w:pStyle w:val="Textparagrafu"/>
        <w:numPr>
          <w:ilvl w:val="0"/>
          <w:numId w:val="28"/>
        </w:numPr>
        <w:tabs>
          <w:tab w:val="left" w:pos="426"/>
        </w:tabs>
        <w:spacing w:before="0"/>
        <w:ind w:left="426" w:hanging="426"/>
      </w:pPr>
      <w:r w:rsidRPr="00AC4A6B">
        <w:t>e)</w:t>
      </w:r>
      <w:r w:rsidR="00084391">
        <w:tab/>
      </w:r>
      <w:r w:rsidRPr="00AC4A6B">
        <w:t>neposkytne</w:t>
      </w:r>
      <w:r>
        <w:t xml:space="preserve"> </w:t>
      </w:r>
      <w:r w:rsidRPr="00AC4A6B">
        <w:t>Ministerstvu</w:t>
      </w:r>
      <w:r>
        <w:t xml:space="preserve"> </w:t>
      </w:r>
      <w:r w:rsidRPr="00AC4A6B">
        <w:t>zdravotnictví,</w:t>
      </w:r>
      <w:r>
        <w:t xml:space="preserve"> </w:t>
      </w:r>
      <w:r w:rsidRPr="00AC4A6B">
        <w:t>Ministerstvu</w:t>
      </w:r>
      <w:r>
        <w:t xml:space="preserve"> </w:t>
      </w:r>
      <w:r w:rsidRPr="00AC4A6B">
        <w:t>financí</w:t>
      </w:r>
      <w:r>
        <w:t xml:space="preserve"> </w:t>
      </w:r>
      <w:r w:rsidRPr="00AC4A6B">
        <w:t>nebo</w:t>
      </w:r>
      <w:r>
        <w:t xml:space="preserve"> </w:t>
      </w:r>
      <w:r w:rsidRPr="00AC4A6B">
        <w:t>Českému</w:t>
      </w:r>
      <w:r>
        <w:t xml:space="preserve"> </w:t>
      </w:r>
      <w:r w:rsidRPr="00AC4A6B">
        <w:t>statistickému</w:t>
      </w:r>
      <w:r>
        <w:t xml:space="preserve"> </w:t>
      </w:r>
      <w:r w:rsidRPr="00AC4A6B">
        <w:t>úřadu</w:t>
      </w:r>
      <w:r>
        <w:t xml:space="preserve"> </w:t>
      </w:r>
      <w:r w:rsidRPr="00AC4A6B">
        <w:t>na</w:t>
      </w:r>
      <w:r>
        <w:t xml:space="preserve"> </w:t>
      </w:r>
      <w:r w:rsidRPr="00AC4A6B">
        <w:t>jejich</w:t>
      </w:r>
      <w:r>
        <w:t xml:space="preserve"> </w:t>
      </w:r>
      <w:r w:rsidRPr="00AC4A6B">
        <w:t>žádost</w:t>
      </w:r>
      <w:r>
        <w:t xml:space="preserve"> </w:t>
      </w:r>
      <w:r w:rsidRPr="00AC4A6B">
        <w:t>informace</w:t>
      </w:r>
      <w:r>
        <w:t xml:space="preserve"> </w:t>
      </w:r>
      <w:r w:rsidRPr="00AC4A6B">
        <w:t>z</w:t>
      </w:r>
      <w:r>
        <w:t xml:space="preserve"> </w:t>
      </w:r>
      <w:r w:rsidRPr="00AC4A6B">
        <w:t>informačního</w:t>
      </w:r>
      <w:r>
        <w:t xml:space="preserve"> </w:t>
      </w:r>
      <w:r w:rsidRPr="00AC4A6B">
        <w:t>systému</w:t>
      </w:r>
      <w:r>
        <w:t xml:space="preserve"> </w:t>
      </w:r>
      <w:r w:rsidRPr="00AC4A6B">
        <w:t>Pojišťovny</w:t>
      </w:r>
      <w:r>
        <w:t xml:space="preserve"> </w:t>
      </w:r>
      <w:r w:rsidRPr="00AC4A6B">
        <w:t>podle</w:t>
      </w:r>
      <w:r>
        <w:t xml:space="preserve"> </w:t>
      </w:r>
      <w:r w:rsidRPr="00AC4A6B">
        <w:t>§</w:t>
      </w:r>
      <w:r>
        <w:t xml:space="preserve"> </w:t>
      </w:r>
      <w:r w:rsidRPr="00AC4A6B">
        <w:t>11.</w:t>
      </w:r>
    </w:p>
    <w:p w14:paraId="083A5A87" w14:textId="77777777" w:rsidR="00924AA5" w:rsidRDefault="00924AA5" w:rsidP="00FE1B36">
      <w:pPr>
        <w:pStyle w:val="Textparagrafu"/>
        <w:numPr>
          <w:ilvl w:val="0"/>
          <w:numId w:val="28"/>
        </w:numPr>
        <w:spacing w:before="120" w:after="120"/>
        <w:ind w:firstLine="425"/>
      </w:pPr>
      <w:r w:rsidRPr="00AC4A6B">
        <w:t>(2)</w:t>
      </w:r>
      <w:r>
        <w:t xml:space="preserve"> </w:t>
      </w:r>
      <w:r w:rsidRPr="00AC4A6B">
        <w:t>Za</w:t>
      </w:r>
      <w:r>
        <w:t xml:space="preserve"> </w:t>
      </w:r>
      <w:r w:rsidRPr="00AC4A6B">
        <w:t>přestupek</w:t>
      </w:r>
      <w:r>
        <w:t xml:space="preserve"> </w:t>
      </w:r>
      <w:r w:rsidRPr="00AC4A6B">
        <w:t>lze</w:t>
      </w:r>
      <w:r>
        <w:t xml:space="preserve"> </w:t>
      </w:r>
      <w:r w:rsidRPr="00AC4A6B">
        <w:t>uložit</w:t>
      </w:r>
      <w:r>
        <w:t xml:space="preserve"> </w:t>
      </w:r>
      <w:r w:rsidRPr="00AC4A6B">
        <w:t>pokutu</w:t>
      </w:r>
      <w:r>
        <w:t xml:space="preserve"> </w:t>
      </w:r>
      <w:r w:rsidRPr="00AC4A6B">
        <w:t>do</w:t>
      </w:r>
    </w:p>
    <w:p w14:paraId="41AFA17E" w14:textId="258C8B59" w:rsidR="00924AA5" w:rsidRDefault="00924AA5" w:rsidP="00D20567">
      <w:pPr>
        <w:pStyle w:val="Textparagrafu"/>
        <w:numPr>
          <w:ilvl w:val="0"/>
          <w:numId w:val="28"/>
        </w:numPr>
        <w:tabs>
          <w:tab w:val="left" w:pos="426"/>
        </w:tabs>
        <w:spacing w:before="0"/>
      </w:pPr>
      <w:r w:rsidRPr="00AC4A6B">
        <w:t>a)</w:t>
      </w:r>
      <w:r w:rsidR="00084391">
        <w:tab/>
      </w:r>
      <w:r w:rsidRPr="00AC4A6B">
        <w:t>200</w:t>
      </w:r>
      <w:r>
        <w:t xml:space="preserve"> </w:t>
      </w:r>
      <w:r w:rsidRPr="00AC4A6B">
        <w:t>000</w:t>
      </w:r>
      <w:r>
        <w:t xml:space="preserve"> </w:t>
      </w:r>
      <w:r w:rsidRPr="00AC4A6B">
        <w:t>Kč,</w:t>
      </w:r>
      <w:r>
        <w:t xml:space="preserve"> </w:t>
      </w:r>
      <w:r w:rsidRPr="00AC4A6B">
        <w:t>jde-li</w:t>
      </w:r>
      <w:r>
        <w:t xml:space="preserve"> </w:t>
      </w:r>
      <w:r w:rsidRPr="00AC4A6B">
        <w:t>o</w:t>
      </w:r>
      <w:r>
        <w:t xml:space="preserve"> </w:t>
      </w:r>
      <w:r w:rsidRPr="00AC4A6B">
        <w:t>přestupek</w:t>
      </w:r>
      <w:r>
        <w:t xml:space="preserve"> </w:t>
      </w:r>
      <w:r w:rsidRPr="00AC4A6B">
        <w:t>podle</w:t>
      </w:r>
      <w:r>
        <w:t xml:space="preserve"> </w:t>
      </w:r>
      <w:r w:rsidRPr="00AC4A6B">
        <w:t>odstavce</w:t>
      </w:r>
      <w:r>
        <w:t xml:space="preserve"> </w:t>
      </w:r>
      <w:r w:rsidRPr="00AC4A6B">
        <w:t>1</w:t>
      </w:r>
      <w:r>
        <w:t xml:space="preserve"> </w:t>
      </w:r>
      <w:r w:rsidRPr="00AC4A6B">
        <w:t>písm.</w:t>
      </w:r>
      <w:r>
        <w:t xml:space="preserve"> </w:t>
      </w:r>
      <w:r w:rsidRPr="00AC4A6B">
        <w:t>d),</w:t>
      </w:r>
    </w:p>
    <w:p w14:paraId="09D33E50" w14:textId="1BCAA3B6" w:rsidR="00924AA5" w:rsidRDefault="00924AA5" w:rsidP="00D20567">
      <w:pPr>
        <w:pStyle w:val="Textparagrafu"/>
        <w:numPr>
          <w:ilvl w:val="0"/>
          <w:numId w:val="28"/>
        </w:numPr>
        <w:tabs>
          <w:tab w:val="left" w:pos="426"/>
        </w:tabs>
        <w:spacing w:before="0"/>
      </w:pPr>
      <w:r w:rsidRPr="00AC4A6B">
        <w:lastRenderedPageBreak/>
        <w:t>b)</w:t>
      </w:r>
      <w:r w:rsidR="00084391">
        <w:tab/>
      </w:r>
      <w:r w:rsidRPr="00AC4A6B">
        <w:t>1</w:t>
      </w:r>
      <w:r>
        <w:t xml:space="preserve"> </w:t>
      </w:r>
      <w:r w:rsidRPr="00AC4A6B">
        <w:t>000</w:t>
      </w:r>
      <w:r>
        <w:t xml:space="preserve"> </w:t>
      </w:r>
      <w:r w:rsidRPr="00AC4A6B">
        <w:t>000</w:t>
      </w:r>
      <w:r>
        <w:t xml:space="preserve"> </w:t>
      </w:r>
      <w:r w:rsidRPr="00AC4A6B">
        <w:t>Kč,</w:t>
      </w:r>
      <w:r>
        <w:t xml:space="preserve"> </w:t>
      </w:r>
      <w:r w:rsidRPr="00AC4A6B">
        <w:t>jde-li</w:t>
      </w:r>
      <w:r>
        <w:t xml:space="preserve"> </w:t>
      </w:r>
      <w:r w:rsidRPr="00AC4A6B">
        <w:t>o</w:t>
      </w:r>
      <w:r>
        <w:t xml:space="preserve"> </w:t>
      </w:r>
      <w:r w:rsidRPr="00AC4A6B">
        <w:t>přestupek</w:t>
      </w:r>
      <w:r>
        <w:t xml:space="preserve"> </w:t>
      </w:r>
      <w:r w:rsidRPr="00AC4A6B">
        <w:t>podle</w:t>
      </w:r>
      <w:r>
        <w:t xml:space="preserve"> </w:t>
      </w:r>
      <w:r w:rsidRPr="00AC4A6B">
        <w:t>odstavce</w:t>
      </w:r>
      <w:r>
        <w:t xml:space="preserve"> </w:t>
      </w:r>
      <w:r w:rsidRPr="00AC4A6B">
        <w:t>1</w:t>
      </w:r>
      <w:r>
        <w:t xml:space="preserve"> </w:t>
      </w:r>
      <w:r w:rsidRPr="00AC4A6B">
        <w:t>písm.</w:t>
      </w:r>
      <w:r>
        <w:t xml:space="preserve"> </w:t>
      </w:r>
      <w:r w:rsidRPr="00AC4A6B">
        <w:t>b)</w:t>
      </w:r>
      <w:r>
        <w:t xml:space="preserve"> </w:t>
      </w:r>
      <w:r w:rsidRPr="00AC4A6B">
        <w:t>nebo</w:t>
      </w:r>
      <w:r>
        <w:t xml:space="preserve"> </w:t>
      </w:r>
      <w:r w:rsidRPr="00AC4A6B">
        <w:t>c),</w:t>
      </w:r>
    </w:p>
    <w:p w14:paraId="080A26E2" w14:textId="47F73071" w:rsidR="00924AA5" w:rsidRDefault="00924AA5" w:rsidP="00D20567">
      <w:pPr>
        <w:pStyle w:val="Textparagrafu"/>
        <w:numPr>
          <w:ilvl w:val="0"/>
          <w:numId w:val="28"/>
        </w:numPr>
        <w:tabs>
          <w:tab w:val="left" w:pos="426"/>
        </w:tabs>
        <w:spacing w:before="0"/>
      </w:pPr>
      <w:r w:rsidRPr="00AC4A6B">
        <w:t>c)</w:t>
      </w:r>
      <w:r w:rsidR="00084391">
        <w:tab/>
      </w:r>
      <w:r w:rsidRPr="00AC4A6B">
        <w:t>2</w:t>
      </w:r>
      <w:r>
        <w:t xml:space="preserve"> </w:t>
      </w:r>
      <w:r w:rsidRPr="00AC4A6B">
        <w:t>000</w:t>
      </w:r>
      <w:r>
        <w:t xml:space="preserve"> </w:t>
      </w:r>
      <w:r w:rsidRPr="00AC4A6B">
        <w:t>000</w:t>
      </w:r>
      <w:r>
        <w:t xml:space="preserve"> </w:t>
      </w:r>
      <w:r w:rsidRPr="00AC4A6B">
        <w:t>Kč,</w:t>
      </w:r>
      <w:r>
        <w:t xml:space="preserve"> </w:t>
      </w:r>
      <w:r w:rsidRPr="00AC4A6B">
        <w:t>jde-li</w:t>
      </w:r>
      <w:r>
        <w:t xml:space="preserve"> </w:t>
      </w:r>
      <w:r w:rsidRPr="00AC4A6B">
        <w:t>o</w:t>
      </w:r>
      <w:r>
        <w:t xml:space="preserve"> </w:t>
      </w:r>
      <w:r w:rsidRPr="00AC4A6B">
        <w:t>přestupek</w:t>
      </w:r>
      <w:r>
        <w:t xml:space="preserve"> </w:t>
      </w:r>
      <w:r w:rsidRPr="00AC4A6B">
        <w:t>podle</w:t>
      </w:r>
      <w:r>
        <w:t xml:space="preserve"> </w:t>
      </w:r>
      <w:r w:rsidRPr="00AC4A6B">
        <w:t>odstavce</w:t>
      </w:r>
      <w:r>
        <w:t xml:space="preserve"> </w:t>
      </w:r>
      <w:r w:rsidRPr="00AC4A6B">
        <w:t>1</w:t>
      </w:r>
      <w:r>
        <w:t xml:space="preserve"> </w:t>
      </w:r>
      <w:r w:rsidRPr="00AC4A6B">
        <w:t>písm.</w:t>
      </w:r>
      <w:r>
        <w:t xml:space="preserve"> </w:t>
      </w:r>
      <w:r w:rsidRPr="00AC4A6B">
        <w:t>e),</w:t>
      </w:r>
    </w:p>
    <w:p w14:paraId="088258D6" w14:textId="710A4926" w:rsidR="00924AA5" w:rsidRPr="00AC4A6B" w:rsidRDefault="00924AA5" w:rsidP="00D20567">
      <w:pPr>
        <w:pStyle w:val="Textparagrafu"/>
        <w:numPr>
          <w:ilvl w:val="0"/>
          <w:numId w:val="28"/>
        </w:numPr>
        <w:tabs>
          <w:tab w:val="left" w:pos="426"/>
        </w:tabs>
        <w:spacing w:before="0"/>
      </w:pPr>
      <w:r w:rsidRPr="00AC4A6B">
        <w:t>d)</w:t>
      </w:r>
      <w:r w:rsidR="00084391">
        <w:tab/>
      </w:r>
      <w:r w:rsidRPr="00AC4A6B">
        <w:t>5</w:t>
      </w:r>
      <w:r>
        <w:t xml:space="preserve"> </w:t>
      </w:r>
      <w:r w:rsidRPr="00AC4A6B">
        <w:t>000</w:t>
      </w:r>
      <w:r>
        <w:t xml:space="preserve"> </w:t>
      </w:r>
      <w:r w:rsidRPr="00AC4A6B">
        <w:t>000</w:t>
      </w:r>
      <w:r>
        <w:t xml:space="preserve"> </w:t>
      </w:r>
      <w:r w:rsidRPr="00AC4A6B">
        <w:t>Kč,</w:t>
      </w:r>
      <w:r>
        <w:t xml:space="preserve"> </w:t>
      </w:r>
      <w:r w:rsidRPr="00AC4A6B">
        <w:t>jde-li</w:t>
      </w:r>
      <w:r>
        <w:t xml:space="preserve"> </w:t>
      </w:r>
      <w:r w:rsidRPr="00AC4A6B">
        <w:t>o</w:t>
      </w:r>
      <w:r>
        <w:t xml:space="preserve"> </w:t>
      </w:r>
      <w:r w:rsidRPr="00AC4A6B">
        <w:t>přestupek</w:t>
      </w:r>
      <w:r>
        <w:t xml:space="preserve"> </w:t>
      </w:r>
      <w:r w:rsidRPr="00AC4A6B">
        <w:t>podle</w:t>
      </w:r>
      <w:r>
        <w:t xml:space="preserve"> </w:t>
      </w:r>
      <w:r w:rsidRPr="00AC4A6B">
        <w:t>odstavce</w:t>
      </w:r>
      <w:r>
        <w:t xml:space="preserve"> </w:t>
      </w:r>
      <w:r w:rsidRPr="00AC4A6B">
        <w:t>1</w:t>
      </w:r>
      <w:r>
        <w:t xml:space="preserve"> </w:t>
      </w:r>
      <w:r w:rsidRPr="00AC4A6B">
        <w:t>písm.</w:t>
      </w:r>
      <w:r>
        <w:t xml:space="preserve"> </w:t>
      </w:r>
      <w:r w:rsidRPr="00AC4A6B">
        <w:t>a).</w:t>
      </w:r>
    </w:p>
    <w:p w14:paraId="0F37896A" w14:textId="77777777" w:rsidR="007906E0" w:rsidRDefault="007906E0" w:rsidP="008F5A61">
      <w:pPr>
        <w:pStyle w:val="Textparagrafu"/>
        <w:numPr>
          <w:ilvl w:val="0"/>
          <w:numId w:val="28"/>
        </w:numPr>
        <w:jc w:val="center"/>
        <w:sectPr w:rsidR="007906E0" w:rsidSect="00084391">
          <w:footnotePr>
            <w:numStart w:val="3"/>
          </w:footnotePr>
          <w:endnotePr>
            <w:numFmt w:val="decimal"/>
          </w:endnotePr>
          <w:pgSz w:w="11906" w:h="16838"/>
          <w:pgMar w:top="1418" w:right="1418" w:bottom="1418" w:left="1418" w:header="709" w:footer="709" w:gutter="0"/>
          <w:cols w:space="708"/>
          <w:docGrid w:linePitch="360"/>
        </w:sectPr>
      </w:pPr>
    </w:p>
    <w:p w14:paraId="4AD2F68B" w14:textId="15F5FE7C" w:rsidR="007906E0" w:rsidRDefault="007906E0" w:rsidP="00FE1B36">
      <w:pPr>
        <w:pStyle w:val="Odstavecseseznamem"/>
        <w:tabs>
          <w:tab w:val="left" w:pos="851"/>
        </w:tabs>
        <w:spacing w:before="120" w:after="120"/>
        <w:ind w:left="0" w:firstLine="0"/>
        <w:jc w:val="center"/>
        <w:outlineLvl w:val="0"/>
        <w:rPr>
          <w:szCs w:val="24"/>
        </w:rPr>
      </w:pPr>
      <w:r w:rsidRPr="00E70B7D">
        <w:rPr>
          <w:b/>
          <w:szCs w:val="24"/>
        </w:rPr>
        <w:lastRenderedPageBreak/>
        <w:t xml:space="preserve">K části </w:t>
      </w:r>
      <w:r>
        <w:rPr>
          <w:b/>
          <w:szCs w:val="24"/>
        </w:rPr>
        <w:t>jedenácté</w:t>
      </w:r>
      <w:r w:rsidRPr="00E70B7D">
        <w:rPr>
          <w:b/>
          <w:szCs w:val="24"/>
        </w:rPr>
        <w:t xml:space="preserve"> návrhu zákona – </w:t>
      </w:r>
      <w:r w:rsidRPr="00E70B7D">
        <w:rPr>
          <w:szCs w:val="24"/>
        </w:rPr>
        <w:t xml:space="preserve">změna </w:t>
      </w:r>
      <w:r>
        <w:rPr>
          <w:szCs w:val="24"/>
        </w:rPr>
        <w:t xml:space="preserve">zákona </w:t>
      </w:r>
      <w:r w:rsidRPr="007906E0">
        <w:rPr>
          <w:szCs w:val="24"/>
        </w:rPr>
        <w:t>o organizaci a provádění sociálního zabezpečení</w:t>
      </w:r>
    </w:p>
    <w:p w14:paraId="1930A7DA" w14:textId="77777777" w:rsidR="004958B0" w:rsidRPr="00AE0742" w:rsidRDefault="004958B0" w:rsidP="004958B0">
      <w:pPr>
        <w:pStyle w:val="Odstavecseseznamem"/>
        <w:tabs>
          <w:tab w:val="left" w:pos="851"/>
        </w:tabs>
        <w:spacing w:before="120" w:after="120"/>
        <w:ind w:left="0" w:firstLine="0"/>
        <w:outlineLvl w:val="0"/>
        <w:rPr>
          <w:b/>
          <w:szCs w:val="24"/>
        </w:rPr>
      </w:pPr>
    </w:p>
    <w:p w14:paraId="1A4919E6" w14:textId="30BA5D81" w:rsidR="007906E0" w:rsidRDefault="007906E0" w:rsidP="007906E0">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AE0742">
        <w:rPr>
          <w:b/>
          <w:szCs w:val="24"/>
        </w:rPr>
        <w:t>Platné znění</w:t>
      </w:r>
      <w:r w:rsidRPr="00AE0742">
        <w:rPr>
          <w:szCs w:val="24"/>
        </w:rPr>
        <w:t xml:space="preserve"> zákona </w:t>
      </w:r>
      <w:r w:rsidRPr="00AE0742">
        <w:rPr>
          <w:color w:val="000000"/>
          <w:szCs w:val="24"/>
        </w:rPr>
        <w:t>č. </w:t>
      </w:r>
      <w:r>
        <w:rPr>
          <w:color w:val="000000"/>
          <w:szCs w:val="24"/>
        </w:rPr>
        <w:t xml:space="preserve">582/1991 </w:t>
      </w:r>
      <w:r w:rsidRPr="00AE0742">
        <w:rPr>
          <w:color w:val="000000"/>
          <w:szCs w:val="24"/>
        </w:rPr>
        <w:t xml:space="preserve">Sb., </w:t>
      </w:r>
      <w:r w:rsidRPr="007906E0">
        <w:rPr>
          <w:szCs w:val="24"/>
        </w:rPr>
        <w:t>o organizaci a provádění sociálního zabezpečení</w:t>
      </w:r>
    </w:p>
    <w:p w14:paraId="683FB73D" w14:textId="77777777" w:rsidR="00FE1B36" w:rsidRPr="00A06781" w:rsidRDefault="00FE1B36" w:rsidP="00FE1B36">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b/>
          <w:szCs w:val="24"/>
        </w:rPr>
      </w:pPr>
      <w:r w:rsidRPr="00A06781">
        <w:rPr>
          <w:b/>
          <w:szCs w:val="24"/>
        </w:rPr>
        <w:t>s vyznačením navrhovaných změn a doplnění k 1. lednu 2025</w:t>
      </w:r>
    </w:p>
    <w:p w14:paraId="7D8B364E" w14:textId="61942BAA" w:rsidR="008F5A61" w:rsidRDefault="007906E0" w:rsidP="008F5A61">
      <w:pPr>
        <w:pStyle w:val="Textparagrafu"/>
        <w:numPr>
          <w:ilvl w:val="0"/>
          <w:numId w:val="28"/>
        </w:numPr>
        <w:jc w:val="center"/>
      </w:pPr>
      <w:r>
        <w:t>***</w:t>
      </w:r>
    </w:p>
    <w:p w14:paraId="71B07A67" w14:textId="77777777" w:rsidR="00C930BE" w:rsidRDefault="00C930BE" w:rsidP="00C930BE">
      <w:pPr>
        <w:pStyle w:val="Textparagrafu"/>
        <w:numPr>
          <w:ilvl w:val="0"/>
          <w:numId w:val="28"/>
        </w:numPr>
        <w:jc w:val="center"/>
      </w:pPr>
      <w:r w:rsidRPr="006D4B85">
        <w:t>§</w:t>
      </w:r>
      <w:r>
        <w:t xml:space="preserve"> </w:t>
      </w:r>
      <w:r w:rsidRPr="006D4B85">
        <w:t>3a</w:t>
      </w:r>
    </w:p>
    <w:p w14:paraId="1A54BF73" w14:textId="7A950A70" w:rsidR="00C930BE" w:rsidRDefault="00C930BE" w:rsidP="00FE1B36">
      <w:pPr>
        <w:pStyle w:val="Textparagrafu"/>
        <w:numPr>
          <w:ilvl w:val="0"/>
          <w:numId w:val="28"/>
        </w:numPr>
        <w:tabs>
          <w:tab w:val="decimal" w:pos="426"/>
        </w:tabs>
        <w:spacing w:before="120" w:after="120"/>
        <w:ind w:firstLine="425"/>
      </w:pPr>
      <w:r w:rsidRPr="006D4B85">
        <w:t>(1)</w:t>
      </w:r>
      <w:r>
        <w:t xml:space="preserve"> </w:t>
      </w:r>
      <w:r w:rsidRPr="006D4B85">
        <w:t>Česká</w:t>
      </w:r>
      <w:r>
        <w:t xml:space="preserve"> </w:t>
      </w:r>
      <w:r w:rsidRPr="006D4B85">
        <w:t>správa</w:t>
      </w:r>
      <w:r>
        <w:t xml:space="preserve"> </w:t>
      </w:r>
      <w:r w:rsidRPr="006D4B85">
        <w:t>sociálního</w:t>
      </w:r>
      <w:r>
        <w:t xml:space="preserve"> </w:t>
      </w:r>
      <w:r w:rsidRPr="006D4B85">
        <w:t>zabezpečení,</w:t>
      </w:r>
      <w:r>
        <w:t xml:space="preserve"> </w:t>
      </w:r>
      <w:r w:rsidRPr="006D4B85">
        <w:t>Institut</w:t>
      </w:r>
      <w:r>
        <w:t xml:space="preserve"> </w:t>
      </w:r>
      <w:r w:rsidRPr="006D4B85">
        <w:t>posuzování</w:t>
      </w:r>
      <w:r>
        <w:t xml:space="preserve"> </w:t>
      </w:r>
      <w:r w:rsidRPr="006D4B85">
        <w:t>zdravotního</w:t>
      </w:r>
      <w:r>
        <w:t xml:space="preserve"> </w:t>
      </w:r>
      <w:r w:rsidRPr="006D4B85">
        <w:t>stavu</w:t>
      </w:r>
      <w:r>
        <w:t xml:space="preserve"> </w:t>
      </w:r>
      <w:r w:rsidRPr="006D4B85">
        <w:t>a</w:t>
      </w:r>
      <w:r>
        <w:t xml:space="preserve"> </w:t>
      </w:r>
      <w:r w:rsidRPr="006D4B85">
        <w:t>územní</w:t>
      </w:r>
      <w:r>
        <w:t xml:space="preserve"> </w:t>
      </w:r>
      <w:r w:rsidRPr="006D4B85">
        <w:t>správy</w:t>
      </w:r>
      <w:r>
        <w:t xml:space="preserve"> </w:t>
      </w:r>
      <w:r w:rsidRPr="006D4B85">
        <w:t>sociálního</w:t>
      </w:r>
      <w:r>
        <w:t xml:space="preserve"> </w:t>
      </w:r>
      <w:r w:rsidRPr="006D4B85">
        <w:t>zabezpečení</w:t>
      </w:r>
      <w:r>
        <w:t xml:space="preserve"> </w:t>
      </w:r>
      <w:r w:rsidRPr="006D4B85">
        <w:t>jsou</w:t>
      </w:r>
      <w:r>
        <w:t xml:space="preserve"> </w:t>
      </w:r>
      <w:r w:rsidRPr="006D4B85">
        <w:t>správními</w:t>
      </w:r>
      <w:r>
        <w:t xml:space="preserve"> </w:t>
      </w:r>
      <w:r w:rsidRPr="006D4B85">
        <w:t>úřady.</w:t>
      </w:r>
      <w:r>
        <w:t xml:space="preserve"> </w:t>
      </w:r>
      <w:r w:rsidRPr="009102E7">
        <w:rPr>
          <w:strike/>
        </w:rPr>
        <w:t>Česká správa sociálního zabezpečení je účetní jednotkou.</w:t>
      </w:r>
      <w:r w:rsidR="009102E7" w:rsidRPr="009102E7">
        <w:rPr>
          <w:b/>
          <w:bCs/>
        </w:rPr>
        <w:t xml:space="preserve"> </w:t>
      </w:r>
      <w:r w:rsidR="009102E7" w:rsidRPr="00502880">
        <w:rPr>
          <w:b/>
          <w:bCs/>
        </w:rPr>
        <w:t>Územní správy sociálního zabezpečení a Institut posuzování zdravotního stavu nejsou účetními jednotkami.</w:t>
      </w:r>
      <w:r>
        <w:t xml:space="preserve"> </w:t>
      </w:r>
      <w:r w:rsidRPr="006D4B85">
        <w:t>Pro</w:t>
      </w:r>
      <w:r>
        <w:t xml:space="preserve"> </w:t>
      </w:r>
      <w:r w:rsidRPr="006D4B85">
        <w:t>účely</w:t>
      </w:r>
      <w:r>
        <w:t xml:space="preserve"> </w:t>
      </w:r>
      <w:r w:rsidRPr="006D4B85">
        <w:t>hospodaření</w:t>
      </w:r>
      <w:r>
        <w:t xml:space="preserve"> </w:t>
      </w:r>
      <w:r w:rsidRPr="006D4B85">
        <w:t>s</w:t>
      </w:r>
      <w:r>
        <w:t xml:space="preserve"> </w:t>
      </w:r>
      <w:r w:rsidRPr="006D4B85">
        <w:t>majetkem</w:t>
      </w:r>
      <w:r>
        <w:t xml:space="preserve"> </w:t>
      </w:r>
      <w:r w:rsidRPr="006D4B85">
        <w:t>státu,</w:t>
      </w:r>
      <w:r>
        <w:t xml:space="preserve"> </w:t>
      </w:r>
      <w:r w:rsidRPr="006D4B85">
        <w:t>včetně</w:t>
      </w:r>
      <w:r>
        <w:t xml:space="preserve"> </w:t>
      </w:r>
      <w:r w:rsidRPr="006D4B85">
        <w:t>prostředků</w:t>
      </w:r>
      <w:r>
        <w:t xml:space="preserve"> </w:t>
      </w:r>
      <w:r w:rsidRPr="006D4B85">
        <w:t>státního</w:t>
      </w:r>
      <w:r>
        <w:t xml:space="preserve"> </w:t>
      </w:r>
      <w:r w:rsidRPr="006D4B85">
        <w:t>rozpočtu,</w:t>
      </w:r>
      <w:r>
        <w:t xml:space="preserve"> </w:t>
      </w:r>
      <w:r w:rsidRPr="006D4B85">
        <w:t>účetnictví,</w:t>
      </w:r>
      <w:r>
        <w:t xml:space="preserve"> </w:t>
      </w:r>
      <w:r w:rsidRPr="006D4B85">
        <w:t>služebních</w:t>
      </w:r>
      <w:r>
        <w:t xml:space="preserve"> </w:t>
      </w:r>
      <w:r w:rsidRPr="006D4B85">
        <w:t>vztahů</w:t>
      </w:r>
      <w:r>
        <w:t xml:space="preserve"> </w:t>
      </w:r>
      <w:r w:rsidRPr="006D4B85">
        <w:t>státních</w:t>
      </w:r>
      <w:r>
        <w:t xml:space="preserve"> </w:t>
      </w:r>
      <w:r w:rsidRPr="006D4B85">
        <w:t>zaměstnanců</w:t>
      </w:r>
      <w:r>
        <w:t xml:space="preserve"> </w:t>
      </w:r>
      <w:r w:rsidRPr="006D4B85">
        <w:t>a</w:t>
      </w:r>
      <w:r>
        <w:t xml:space="preserve"> </w:t>
      </w:r>
      <w:r w:rsidRPr="006D4B85">
        <w:t>pracovněprávních</w:t>
      </w:r>
      <w:r>
        <w:t xml:space="preserve"> </w:t>
      </w:r>
      <w:r w:rsidRPr="006D4B85">
        <w:t>vztahů</w:t>
      </w:r>
      <w:r>
        <w:t xml:space="preserve"> </w:t>
      </w:r>
      <w:r w:rsidRPr="006D4B85">
        <w:t>má</w:t>
      </w:r>
      <w:r>
        <w:t xml:space="preserve"> </w:t>
      </w:r>
      <w:r w:rsidRPr="006D4B85">
        <w:t>Institut</w:t>
      </w:r>
      <w:r>
        <w:t xml:space="preserve"> </w:t>
      </w:r>
      <w:r w:rsidRPr="006D4B85">
        <w:t>posuzování</w:t>
      </w:r>
      <w:r>
        <w:t xml:space="preserve"> </w:t>
      </w:r>
      <w:r w:rsidRPr="006D4B85">
        <w:t>zdravotního</w:t>
      </w:r>
      <w:r>
        <w:t xml:space="preserve"> </w:t>
      </w:r>
      <w:r w:rsidRPr="006D4B85">
        <w:t>stavu</w:t>
      </w:r>
      <w:r>
        <w:t xml:space="preserve"> </w:t>
      </w:r>
      <w:r w:rsidRPr="006D4B85">
        <w:t>a</w:t>
      </w:r>
      <w:r>
        <w:t xml:space="preserve"> </w:t>
      </w:r>
      <w:r w:rsidRPr="006D4B85">
        <w:t>územní</w:t>
      </w:r>
      <w:r>
        <w:t xml:space="preserve"> </w:t>
      </w:r>
      <w:r w:rsidRPr="006D4B85">
        <w:t>správy</w:t>
      </w:r>
      <w:r>
        <w:t xml:space="preserve"> </w:t>
      </w:r>
      <w:r w:rsidRPr="006D4B85">
        <w:t>sociálního</w:t>
      </w:r>
      <w:r>
        <w:t xml:space="preserve"> </w:t>
      </w:r>
      <w:r w:rsidRPr="006D4B85">
        <w:t>zabezpečení</w:t>
      </w:r>
      <w:r>
        <w:t xml:space="preserve"> </w:t>
      </w:r>
      <w:r w:rsidRPr="006D4B85">
        <w:t>postavení</w:t>
      </w:r>
      <w:r>
        <w:t xml:space="preserve"> </w:t>
      </w:r>
      <w:r w:rsidRPr="006D4B85">
        <w:t>vnitřních</w:t>
      </w:r>
      <w:r>
        <w:t xml:space="preserve"> </w:t>
      </w:r>
      <w:r w:rsidRPr="006D4B85">
        <w:t>organizačních</w:t>
      </w:r>
      <w:r>
        <w:t xml:space="preserve"> </w:t>
      </w:r>
      <w:r w:rsidRPr="006D4B85">
        <w:t>jednotek</w:t>
      </w:r>
      <w:r>
        <w:t xml:space="preserve"> </w:t>
      </w:r>
      <w:r w:rsidRPr="006D4B85">
        <w:t>České</w:t>
      </w:r>
      <w:r>
        <w:t xml:space="preserve"> </w:t>
      </w:r>
      <w:r w:rsidRPr="006D4B85">
        <w:t>správy</w:t>
      </w:r>
      <w:r>
        <w:t xml:space="preserve"> </w:t>
      </w:r>
      <w:r w:rsidRPr="006D4B85">
        <w:t>sociálního</w:t>
      </w:r>
      <w:r>
        <w:t xml:space="preserve"> </w:t>
      </w:r>
      <w:r w:rsidRPr="006D4B85">
        <w:t>zabezpečení.</w:t>
      </w:r>
    </w:p>
    <w:p w14:paraId="40416656" w14:textId="77777777" w:rsidR="00C930BE" w:rsidRDefault="00C930BE" w:rsidP="00FE1B36">
      <w:pPr>
        <w:pStyle w:val="Textparagrafu"/>
        <w:numPr>
          <w:ilvl w:val="0"/>
          <w:numId w:val="28"/>
        </w:numPr>
        <w:tabs>
          <w:tab w:val="decimal" w:pos="426"/>
        </w:tabs>
        <w:spacing w:before="120" w:after="120"/>
        <w:ind w:firstLine="425"/>
      </w:pPr>
      <w:r w:rsidRPr="006D4B85">
        <w:t>(2)</w:t>
      </w:r>
      <w:r>
        <w:t xml:space="preserve"> </w:t>
      </w:r>
      <w:r w:rsidRPr="006D4B85">
        <w:t>Služební</w:t>
      </w:r>
      <w:r>
        <w:t xml:space="preserve"> </w:t>
      </w:r>
      <w:r w:rsidRPr="006D4B85">
        <w:t>vztahy</w:t>
      </w:r>
      <w:r>
        <w:t xml:space="preserve"> </w:t>
      </w:r>
      <w:r w:rsidRPr="006D4B85">
        <w:t>státních</w:t>
      </w:r>
      <w:r>
        <w:t xml:space="preserve"> </w:t>
      </w:r>
      <w:r w:rsidRPr="006D4B85">
        <w:t>zaměstnanců</w:t>
      </w:r>
      <w:r>
        <w:t xml:space="preserve"> </w:t>
      </w:r>
      <w:r w:rsidRPr="006D4B85">
        <w:t>v</w:t>
      </w:r>
      <w:r>
        <w:t xml:space="preserve"> </w:t>
      </w:r>
      <w:r w:rsidRPr="006D4B85">
        <w:t>České</w:t>
      </w:r>
      <w:r>
        <w:t xml:space="preserve"> </w:t>
      </w:r>
      <w:r w:rsidRPr="006D4B85">
        <w:t>správě</w:t>
      </w:r>
      <w:r>
        <w:t xml:space="preserve"> </w:t>
      </w:r>
      <w:r w:rsidRPr="006D4B85">
        <w:t>sociálního</w:t>
      </w:r>
      <w:r>
        <w:t xml:space="preserve"> </w:t>
      </w:r>
      <w:r w:rsidRPr="006D4B85">
        <w:t>zabezpečení,</w:t>
      </w:r>
      <w:r>
        <w:t xml:space="preserve"> </w:t>
      </w:r>
      <w:r w:rsidRPr="006D4B85">
        <w:t>v</w:t>
      </w:r>
      <w:r>
        <w:t xml:space="preserve"> </w:t>
      </w:r>
      <w:r w:rsidRPr="006D4B85">
        <w:t>Institutu</w:t>
      </w:r>
      <w:r>
        <w:t xml:space="preserve"> </w:t>
      </w:r>
      <w:r w:rsidRPr="006D4B85">
        <w:t>posuzování</w:t>
      </w:r>
      <w:r>
        <w:t xml:space="preserve"> </w:t>
      </w:r>
      <w:r w:rsidRPr="006D4B85">
        <w:t>zdravotního</w:t>
      </w:r>
      <w:r>
        <w:t xml:space="preserve"> </w:t>
      </w:r>
      <w:r w:rsidRPr="006D4B85">
        <w:t>stavu</w:t>
      </w:r>
      <w:r>
        <w:t xml:space="preserve"> </w:t>
      </w:r>
      <w:r w:rsidRPr="006D4B85">
        <w:t>a</w:t>
      </w:r>
      <w:r>
        <w:t xml:space="preserve"> </w:t>
      </w:r>
      <w:r w:rsidRPr="006D4B85">
        <w:t>v</w:t>
      </w:r>
      <w:r>
        <w:t xml:space="preserve"> </w:t>
      </w:r>
      <w:r w:rsidRPr="006D4B85">
        <w:t>územních</w:t>
      </w:r>
      <w:r>
        <w:t xml:space="preserve"> </w:t>
      </w:r>
      <w:r w:rsidRPr="006D4B85">
        <w:t>správách</w:t>
      </w:r>
      <w:r>
        <w:t xml:space="preserve"> </w:t>
      </w:r>
      <w:r w:rsidRPr="006D4B85">
        <w:t>sociálního</w:t>
      </w:r>
      <w:r>
        <w:t xml:space="preserve"> </w:t>
      </w:r>
      <w:r w:rsidRPr="006D4B85">
        <w:t>zabezpečení</w:t>
      </w:r>
      <w:r>
        <w:t xml:space="preserve"> </w:t>
      </w:r>
      <w:r w:rsidRPr="006D4B85">
        <w:t>se</w:t>
      </w:r>
      <w:r>
        <w:t xml:space="preserve"> </w:t>
      </w:r>
      <w:r w:rsidRPr="006D4B85">
        <w:t>řídí</w:t>
      </w:r>
      <w:r>
        <w:t xml:space="preserve"> </w:t>
      </w:r>
      <w:r w:rsidRPr="006D4B85">
        <w:t>zákonem</w:t>
      </w:r>
      <w:r>
        <w:t xml:space="preserve"> </w:t>
      </w:r>
      <w:r w:rsidRPr="006D4B85">
        <w:t>o</w:t>
      </w:r>
      <w:r>
        <w:t xml:space="preserve"> </w:t>
      </w:r>
      <w:r w:rsidRPr="006D4B85">
        <w:t>státní</w:t>
      </w:r>
      <w:r>
        <w:t xml:space="preserve"> </w:t>
      </w:r>
      <w:r w:rsidRPr="006D4B85">
        <w:t>službě.</w:t>
      </w:r>
      <w:r>
        <w:t xml:space="preserve"> </w:t>
      </w:r>
      <w:r w:rsidRPr="006D4B85">
        <w:t>Pracovněprávní</w:t>
      </w:r>
      <w:r>
        <w:t xml:space="preserve"> </w:t>
      </w:r>
      <w:r w:rsidRPr="006D4B85">
        <w:t>vztahy</w:t>
      </w:r>
      <w:r>
        <w:t xml:space="preserve"> </w:t>
      </w:r>
      <w:r w:rsidRPr="006D4B85">
        <w:t>zaměstnanců</w:t>
      </w:r>
      <w:r>
        <w:t xml:space="preserve"> </w:t>
      </w:r>
      <w:r w:rsidRPr="006D4B85">
        <w:t>v</w:t>
      </w:r>
      <w:r>
        <w:t xml:space="preserve"> </w:t>
      </w:r>
      <w:r w:rsidRPr="006D4B85">
        <w:t>České</w:t>
      </w:r>
      <w:r>
        <w:t xml:space="preserve"> </w:t>
      </w:r>
      <w:r w:rsidRPr="006D4B85">
        <w:t>správě</w:t>
      </w:r>
      <w:r>
        <w:t xml:space="preserve"> </w:t>
      </w:r>
      <w:r w:rsidRPr="006D4B85">
        <w:t>sociálního</w:t>
      </w:r>
      <w:r>
        <w:t xml:space="preserve"> </w:t>
      </w:r>
      <w:r w:rsidRPr="006D4B85">
        <w:t>zabezpečení</w:t>
      </w:r>
      <w:r>
        <w:t xml:space="preserve"> </w:t>
      </w:r>
      <w:r w:rsidRPr="006D4B85">
        <w:t>a</w:t>
      </w:r>
      <w:r>
        <w:t xml:space="preserve"> </w:t>
      </w:r>
      <w:r w:rsidRPr="006D4B85">
        <w:t>v</w:t>
      </w:r>
      <w:r>
        <w:t xml:space="preserve"> </w:t>
      </w:r>
      <w:r w:rsidRPr="006D4B85">
        <w:t>územních</w:t>
      </w:r>
      <w:r>
        <w:t xml:space="preserve"> </w:t>
      </w:r>
      <w:r w:rsidRPr="006D4B85">
        <w:t>správách</w:t>
      </w:r>
      <w:r>
        <w:t xml:space="preserve"> </w:t>
      </w:r>
      <w:r w:rsidRPr="006D4B85">
        <w:t>sociálního</w:t>
      </w:r>
      <w:r>
        <w:t xml:space="preserve"> </w:t>
      </w:r>
      <w:r w:rsidRPr="006D4B85">
        <w:t>zabezpečení</w:t>
      </w:r>
      <w:r>
        <w:t xml:space="preserve"> </w:t>
      </w:r>
      <w:r w:rsidRPr="006D4B85">
        <w:t>se</w:t>
      </w:r>
      <w:r>
        <w:t xml:space="preserve"> </w:t>
      </w:r>
      <w:r w:rsidRPr="006D4B85">
        <w:t>řídí</w:t>
      </w:r>
      <w:r>
        <w:t xml:space="preserve"> </w:t>
      </w:r>
      <w:r w:rsidRPr="006D4B85">
        <w:t>zákoníkem</w:t>
      </w:r>
      <w:r>
        <w:t xml:space="preserve"> </w:t>
      </w:r>
      <w:r w:rsidRPr="006D4B85">
        <w:t>práce.</w:t>
      </w:r>
    </w:p>
    <w:p w14:paraId="27FFB6A1" w14:textId="77777777" w:rsidR="00C930BE" w:rsidRDefault="00C930BE" w:rsidP="00FE1B36">
      <w:pPr>
        <w:pStyle w:val="Textparagrafu"/>
        <w:numPr>
          <w:ilvl w:val="0"/>
          <w:numId w:val="28"/>
        </w:numPr>
        <w:tabs>
          <w:tab w:val="decimal" w:pos="426"/>
        </w:tabs>
        <w:spacing w:before="120" w:after="120"/>
        <w:ind w:firstLine="425"/>
      </w:pPr>
      <w:r w:rsidRPr="006D4B85">
        <w:t>(3)</w:t>
      </w:r>
      <w:r>
        <w:t xml:space="preserve"> </w:t>
      </w:r>
      <w:r w:rsidRPr="006D4B85">
        <w:t>V</w:t>
      </w:r>
      <w:r>
        <w:t xml:space="preserve"> </w:t>
      </w:r>
      <w:r w:rsidRPr="006D4B85">
        <w:t>čele</w:t>
      </w:r>
      <w:r>
        <w:t xml:space="preserve"> </w:t>
      </w:r>
      <w:r w:rsidRPr="006D4B85">
        <w:t>České</w:t>
      </w:r>
      <w:r>
        <w:t xml:space="preserve"> </w:t>
      </w:r>
      <w:r w:rsidRPr="006D4B85">
        <w:t>správy</w:t>
      </w:r>
      <w:r>
        <w:t xml:space="preserve"> </w:t>
      </w:r>
      <w:r w:rsidRPr="006D4B85">
        <w:t>sociálního</w:t>
      </w:r>
      <w:r>
        <w:t xml:space="preserve"> </w:t>
      </w:r>
      <w:r w:rsidRPr="006D4B85">
        <w:t>zabezpečení</w:t>
      </w:r>
      <w:r>
        <w:t xml:space="preserve"> </w:t>
      </w:r>
      <w:r w:rsidRPr="006D4B85">
        <w:t>je</w:t>
      </w:r>
      <w:r>
        <w:t xml:space="preserve"> </w:t>
      </w:r>
      <w:r w:rsidRPr="006D4B85">
        <w:t>ústřední</w:t>
      </w:r>
      <w:r>
        <w:t xml:space="preserve"> </w:t>
      </w:r>
      <w:r w:rsidRPr="006D4B85">
        <w:t>ředitel;</w:t>
      </w:r>
      <w:r>
        <w:t xml:space="preserve"> </w:t>
      </w:r>
      <w:r w:rsidRPr="006D4B85">
        <w:t>jeho</w:t>
      </w:r>
      <w:r>
        <w:t xml:space="preserve"> </w:t>
      </w:r>
      <w:r w:rsidRPr="006D4B85">
        <w:t>výběr,</w:t>
      </w:r>
      <w:r>
        <w:t xml:space="preserve"> </w:t>
      </w:r>
      <w:r w:rsidRPr="006D4B85">
        <w:t>jmenování</w:t>
      </w:r>
      <w:r>
        <w:t xml:space="preserve"> </w:t>
      </w:r>
      <w:r w:rsidRPr="006D4B85">
        <w:t>a</w:t>
      </w:r>
      <w:r>
        <w:t xml:space="preserve"> </w:t>
      </w:r>
      <w:r w:rsidRPr="006D4B85">
        <w:t>odvolání</w:t>
      </w:r>
      <w:r>
        <w:t xml:space="preserve"> </w:t>
      </w:r>
      <w:r w:rsidRPr="006D4B85">
        <w:t>se</w:t>
      </w:r>
      <w:r>
        <w:t xml:space="preserve"> </w:t>
      </w:r>
      <w:r w:rsidRPr="006D4B85">
        <w:t>řídí</w:t>
      </w:r>
      <w:r>
        <w:t xml:space="preserve"> </w:t>
      </w:r>
      <w:r w:rsidRPr="006D4B85">
        <w:t>zákonem</w:t>
      </w:r>
      <w:r>
        <w:t xml:space="preserve"> </w:t>
      </w:r>
      <w:r w:rsidRPr="006D4B85">
        <w:t>o</w:t>
      </w:r>
      <w:r>
        <w:t xml:space="preserve"> </w:t>
      </w:r>
      <w:r w:rsidRPr="006D4B85">
        <w:t>státní</w:t>
      </w:r>
      <w:r>
        <w:t xml:space="preserve"> </w:t>
      </w:r>
      <w:r w:rsidRPr="006D4B85">
        <w:t>službě.</w:t>
      </w:r>
      <w:r>
        <w:t xml:space="preserve"> </w:t>
      </w:r>
      <w:r w:rsidRPr="006D4B85">
        <w:t>V</w:t>
      </w:r>
      <w:r>
        <w:t xml:space="preserve"> </w:t>
      </w:r>
      <w:r w:rsidRPr="006D4B85">
        <w:t>čele</w:t>
      </w:r>
      <w:r>
        <w:t xml:space="preserve"> </w:t>
      </w:r>
      <w:r w:rsidRPr="006D4B85">
        <w:t>Institutu</w:t>
      </w:r>
      <w:r>
        <w:t xml:space="preserve"> </w:t>
      </w:r>
      <w:r w:rsidRPr="006D4B85">
        <w:t>posuzování</w:t>
      </w:r>
      <w:r>
        <w:t xml:space="preserve"> </w:t>
      </w:r>
      <w:r w:rsidRPr="006D4B85">
        <w:t>zdravotního</w:t>
      </w:r>
      <w:r>
        <w:t xml:space="preserve"> </w:t>
      </w:r>
      <w:r w:rsidRPr="006D4B85">
        <w:t>stavu</w:t>
      </w:r>
      <w:r>
        <w:t xml:space="preserve"> </w:t>
      </w:r>
      <w:r w:rsidRPr="006D4B85">
        <w:t>a</w:t>
      </w:r>
      <w:r>
        <w:t xml:space="preserve"> </w:t>
      </w:r>
      <w:r w:rsidRPr="006D4B85">
        <w:t>územní</w:t>
      </w:r>
      <w:r>
        <w:t xml:space="preserve"> </w:t>
      </w:r>
      <w:r w:rsidRPr="006D4B85">
        <w:t>správy</w:t>
      </w:r>
      <w:r>
        <w:t xml:space="preserve"> </w:t>
      </w:r>
      <w:r w:rsidRPr="006D4B85">
        <w:t>sociálního</w:t>
      </w:r>
      <w:r>
        <w:t xml:space="preserve"> </w:t>
      </w:r>
      <w:r w:rsidRPr="006D4B85">
        <w:t>zabezpečení</w:t>
      </w:r>
      <w:r>
        <w:t xml:space="preserve"> </w:t>
      </w:r>
      <w:r w:rsidRPr="006D4B85">
        <w:t>je</w:t>
      </w:r>
      <w:r>
        <w:t xml:space="preserve"> </w:t>
      </w:r>
      <w:r w:rsidRPr="006D4B85">
        <w:t>ředitel;</w:t>
      </w:r>
      <w:r>
        <w:t xml:space="preserve"> </w:t>
      </w:r>
      <w:r w:rsidRPr="006D4B85">
        <w:t>jeho</w:t>
      </w:r>
      <w:r>
        <w:t xml:space="preserve"> </w:t>
      </w:r>
      <w:r w:rsidRPr="006D4B85">
        <w:t>výběr,</w:t>
      </w:r>
      <w:r>
        <w:t xml:space="preserve"> </w:t>
      </w:r>
      <w:r w:rsidRPr="006D4B85">
        <w:t>jmenování</w:t>
      </w:r>
      <w:r>
        <w:t xml:space="preserve"> </w:t>
      </w:r>
      <w:r w:rsidRPr="006D4B85">
        <w:t>a</w:t>
      </w:r>
      <w:r>
        <w:t xml:space="preserve"> </w:t>
      </w:r>
      <w:r w:rsidRPr="006D4B85">
        <w:t>odvolání</w:t>
      </w:r>
      <w:r>
        <w:t xml:space="preserve"> </w:t>
      </w:r>
      <w:r w:rsidRPr="006D4B85">
        <w:t>se</w:t>
      </w:r>
      <w:r>
        <w:t xml:space="preserve"> </w:t>
      </w:r>
      <w:r w:rsidRPr="006D4B85">
        <w:t>řídí</w:t>
      </w:r>
      <w:r>
        <w:t xml:space="preserve"> </w:t>
      </w:r>
      <w:r w:rsidRPr="006D4B85">
        <w:t>zákonem</w:t>
      </w:r>
      <w:r>
        <w:t xml:space="preserve"> </w:t>
      </w:r>
      <w:r w:rsidRPr="006D4B85">
        <w:t>o</w:t>
      </w:r>
      <w:r>
        <w:t xml:space="preserve"> </w:t>
      </w:r>
      <w:r w:rsidRPr="006D4B85">
        <w:t>státní</w:t>
      </w:r>
      <w:r>
        <w:t xml:space="preserve"> </w:t>
      </w:r>
      <w:r w:rsidRPr="006D4B85">
        <w:t>službě.</w:t>
      </w:r>
    </w:p>
    <w:p w14:paraId="180DF99C" w14:textId="77777777" w:rsidR="00C930BE" w:rsidRPr="006D4B85" w:rsidRDefault="00C930BE" w:rsidP="00C930BE">
      <w:pPr>
        <w:pStyle w:val="Textparagrafu"/>
        <w:numPr>
          <w:ilvl w:val="0"/>
          <w:numId w:val="28"/>
        </w:numPr>
        <w:tabs>
          <w:tab w:val="decimal" w:pos="426"/>
        </w:tabs>
        <w:jc w:val="center"/>
      </w:pPr>
      <w:r w:rsidRPr="006D4B85">
        <w:t>***</w:t>
      </w:r>
    </w:p>
    <w:p w14:paraId="6B2D9535" w14:textId="77777777" w:rsidR="00C930BE" w:rsidRDefault="00C930BE" w:rsidP="00C930BE">
      <w:pPr>
        <w:pStyle w:val="Textparagrafu"/>
        <w:numPr>
          <w:ilvl w:val="0"/>
          <w:numId w:val="28"/>
        </w:numPr>
        <w:tabs>
          <w:tab w:val="decimal" w:pos="426"/>
        </w:tabs>
        <w:jc w:val="center"/>
      </w:pPr>
      <w:r w:rsidRPr="006D4B85">
        <w:t>§</w:t>
      </w:r>
      <w:r>
        <w:t xml:space="preserve"> </w:t>
      </w:r>
      <w:r w:rsidRPr="006D4B85">
        <w:t>6</w:t>
      </w:r>
    </w:p>
    <w:p w14:paraId="4EC213A8" w14:textId="77777777" w:rsidR="00C930BE" w:rsidRDefault="00C930BE" w:rsidP="00D41C2D">
      <w:pPr>
        <w:pStyle w:val="Textparagrafu"/>
        <w:numPr>
          <w:ilvl w:val="0"/>
          <w:numId w:val="28"/>
        </w:numPr>
        <w:tabs>
          <w:tab w:val="decimal" w:pos="426"/>
        </w:tabs>
        <w:spacing w:before="120" w:after="120"/>
        <w:ind w:firstLine="425"/>
      </w:pPr>
      <w:r w:rsidRPr="006D4B85">
        <w:t>(1)</w:t>
      </w:r>
      <w:r>
        <w:t xml:space="preserve"> </w:t>
      </w:r>
      <w:r w:rsidRPr="006D4B85">
        <w:t>Názvy,</w:t>
      </w:r>
      <w:r>
        <w:t xml:space="preserve"> </w:t>
      </w:r>
      <w:r w:rsidRPr="006D4B85">
        <w:t>sídla</w:t>
      </w:r>
      <w:r>
        <w:t xml:space="preserve"> </w:t>
      </w:r>
      <w:r w:rsidRPr="006D4B85">
        <w:t>a</w:t>
      </w:r>
      <w:r>
        <w:t xml:space="preserve"> </w:t>
      </w:r>
      <w:r w:rsidRPr="006D4B85">
        <w:t>správní</w:t>
      </w:r>
      <w:r>
        <w:t xml:space="preserve"> </w:t>
      </w:r>
      <w:r w:rsidRPr="006D4B85">
        <w:t>obvody</w:t>
      </w:r>
      <w:r>
        <w:t xml:space="preserve"> </w:t>
      </w:r>
      <w:r w:rsidRPr="006D4B85">
        <w:t>územních</w:t>
      </w:r>
      <w:r>
        <w:t xml:space="preserve"> </w:t>
      </w:r>
      <w:r w:rsidRPr="006D4B85">
        <w:t>správ</w:t>
      </w:r>
      <w:r>
        <w:t xml:space="preserve"> </w:t>
      </w:r>
      <w:r w:rsidRPr="006D4B85">
        <w:t>sociálního</w:t>
      </w:r>
      <w:r>
        <w:t xml:space="preserve"> </w:t>
      </w:r>
      <w:r w:rsidRPr="006D4B85">
        <w:t>zabezpečení,</w:t>
      </w:r>
      <w:r>
        <w:t xml:space="preserve"> </w:t>
      </w:r>
      <w:r w:rsidRPr="006D4B85">
        <w:t>v</w:t>
      </w:r>
      <w:r>
        <w:t xml:space="preserve"> </w:t>
      </w:r>
      <w:r w:rsidRPr="006D4B85">
        <w:t>kterých</w:t>
      </w:r>
      <w:r>
        <w:t xml:space="preserve"> </w:t>
      </w:r>
      <w:r w:rsidRPr="006D4B85">
        <w:t>plní</w:t>
      </w:r>
      <w:r>
        <w:t xml:space="preserve"> </w:t>
      </w:r>
      <w:r w:rsidRPr="006D4B85">
        <w:t>územní</w:t>
      </w:r>
      <w:r>
        <w:t xml:space="preserve"> </w:t>
      </w:r>
      <w:r w:rsidRPr="006D4B85">
        <w:t>správy</w:t>
      </w:r>
      <w:r>
        <w:t xml:space="preserve"> </w:t>
      </w:r>
      <w:r w:rsidRPr="006D4B85">
        <w:t>sociálního</w:t>
      </w:r>
      <w:r>
        <w:t xml:space="preserve"> </w:t>
      </w:r>
      <w:r w:rsidRPr="006D4B85">
        <w:t>zabezpečení</w:t>
      </w:r>
      <w:r>
        <w:t xml:space="preserve"> </w:t>
      </w:r>
      <w:r w:rsidRPr="006D4B85">
        <w:t>úkoly</w:t>
      </w:r>
      <w:r>
        <w:t xml:space="preserve"> </w:t>
      </w:r>
      <w:r w:rsidRPr="006D4B85">
        <w:t>podle</w:t>
      </w:r>
      <w:r>
        <w:t xml:space="preserve"> </w:t>
      </w:r>
      <w:r w:rsidRPr="006D4B85">
        <w:t>tohoto</w:t>
      </w:r>
      <w:r>
        <w:t xml:space="preserve"> </w:t>
      </w:r>
      <w:r w:rsidRPr="006D4B85">
        <w:t>zákona</w:t>
      </w:r>
      <w:r>
        <w:t xml:space="preserve"> </w:t>
      </w:r>
      <w:r w:rsidRPr="006D4B85">
        <w:t>a</w:t>
      </w:r>
      <w:r>
        <w:t xml:space="preserve"> </w:t>
      </w:r>
      <w:r w:rsidRPr="006D4B85">
        <w:t>podle</w:t>
      </w:r>
      <w:r>
        <w:t xml:space="preserve"> </w:t>
      </w:r>
      <w:r w:rsidRPr="006D4B85">
        <w:t>jiných</w:t>
      </w:r>
      <w:r>
        <w:t xml:space="preserve"> </w:t>
      </w:r>
      <w:r w:rsidRPr="006D4B85">
        <w:t>právních</w:t>
      </w:r>
      <w:r>
        <w:t xml:space="preserve"> </w:t>
      </w:r>
      <w:r w:rsidRPr="006D4B85">
        <w:t>předpisů,</w:t>
      </w:r>
      <w:r>
        <w:t xml:space="preserve"> </w:t>
      </w:r>
      <w:r w:rsidRPr="006D4B85">
        <w:t>jsou</w:t>
      </w:r>
      <w:r>
        <w:t xml:space="preserve"> </w:t>
      </w:r>
      <w:r w:rsidRPr="006D4B85">
        <w:t>uvedeny</w:t>
      </w:r>
      <w:r>
        <w:t xml:space="preserve"> </w:t>
      </w:r>
      <w:r w:rsidRPr="006D4B85">
        <w:t>v</w:t>
      </w:r>
      <w:r>
        <w:t xml:space="preserve"> </w:t>
      </w:r>
      <w:r w:rsidRPr="006D4B85">
        <w:t>příloze</w:t>
      </w:r>
      <w:r>
        <w:t xml:space="preserve"> </w:t>
      </w:r>
      <w:r w:rsidRPr="006D4B85">
        <w:t>k</w:t>
      </w:r>
      <w:r>
        <w:t xml:space="preserve"> </w:t>
      </w:r>
      <w:r w:rsidRPr="006D4B85">
        <w:t>tomuto</w:t>
      </w:r>
      <w:r>
        <w:t xml:space="preserve"> </w:t>
      </w:r>
      <w:r w:rsidRPr="006D4B85">
        <w:t>zákonu.</w:t>
      </w:r>
    </w:p>
    <w:p w14:paraId="0678E22F" w14:textId="77777777" w:rsidR="00C930BE" w:rsidRDefault="00C930BE" w:rsidP="00D41C2D">
      <w:pPr>
        <w:pStyle w:val="Textparagrafu"/>
        <w:numPr>
          <w:ilvl w:val="0"/>
          <w:numId w:val="28"/>
        </w:numPr>
        <w:tabs>
          <w:tab w:val="decimal" w:pos="426"/>
        </w:tabs>
        <w:spacing w:before="120" w:after="120"/>
        <w:ind w:firstLine="425"/>
      </w:pPr>
      <w:r w:rsidRPr="006D4B85">
        <w:t>(2)</w:t>
      </w:r>
      <w:r>
        <w:t xml:space="preserve"> </w:t>
      </w:r>
      <w:r w:rsidRPr="006D4B85">
        <w:t>Územní</w:t>
      </w:r>
      <w:r>
        <w:t xml:space="preserve"> </w:t>
      </w:r>
      <w:r w:rsidRPr="006D4B85">
        <w:t>správy</w:t>
      </w:r>
      <w:r>
        <w:t xml:space="preserve"> </w:t>
      </w:r>
      <w:r w:rsidRPr="006D4B85">
        <w:t>sociálního</w:t>
      </w:r>
      <w:r>
        <w:t xml:space="preserve"> </w:t>
      </w:r>
      <w:r w:rsidRPr="006D4B85">
        <w:t>zabezpečení</w:t>
      </w:r>
      <w:r>
        <w:t xml:space="preserve"> </w:t>
      </w:r>
      <w:r w:rsidRPr="006D4B85">
        <w:t>plní</w:t>
      </w:r>
      <w:r>
        <w:t xml:space="preserve"> </w:t>
      </w:r>
      <w:r w:rsidRPr="006D4B85">
        <w:t>v</w:t>
      </w:r>
      <w:r>
        <w:t xml:space="preserve"> </w:t>
      </w:r>
      <w:r w:rsidRPr="006D4B85">
        <w:t>rámci</w:t>
      </w:r>
      <w:r>
        <w:t xml:space="preserve"> </w:t>
      </w:r>
      <w:r w:rsidRPr="006D4B85">
        <w:t>své</w:t>
      </w:r>
      <w:r>
        <w:t xml:space="preserve"> </w:t>
      </w:r>
      <w:r w:rsidRPr="006D4B85">
        <w:t>působnosti</w:t>
      </w:r>
      <w:r>
        <w:t xml:space="preserve"> </w:t>
      </w:r>
      <w:r w:rsidRPr="006D4B85">
        <w:t>úkoly</w:t>
      </w:r>
      <w:r>
        <w:t xml:space="preserve"> </w:t>
      </w:r>
      <w:r w:rsidRPr="006D4B85">
        <w:t>stanovené</w:t>
      </w:r>
      <w:r>
        <w:t xml:space="preserve"> </w:t>
      </w:r>
      <w:r w:rsidRPr="006D4B85">
        <w:t>tímto</w:t>
      </w:r>
      <w:r>
        <w:t xml:space="preserve"> </w:t>
      </w:r>
      <w:r w:rsidRPr="006D4B85">
        <w:t>zákonem,</w:t>
      </w:r>
      <w:r>
        <w:t xml:space="preserve"> </w:t>
      </w:r>
      <w:r w:rsidRPr="006D4B85">
        <w:t>pokud</w:t>
      </w:r>
      <w:r>
        <w:t xml:space="preserve"> </w:t>
      </w:r>
      <w:r w:rsidRPr="006D4B85">
        <w:t>není</w:t>
      </w:r>
      <w:r>
        <w:t xml:space="preserve"> </w:t>
      </w:r>
      <w:r w:rsidRPr="006D4B85">
        <w:t>jinými</w:t>
      </w:r>
      <w:r>
        <w:t xml:space="preserve"> </w:t>
      </w:r>
      <w:r w:rsidRPr="006D4B85">
        <w:t>obecně</w:t>
      </w:r>
      <w:r>
        <w:t xml:space="preserve"> </w:t>
      </w:r>
      <w:r w:rsidRPr="006D4B85">
        <w:t>závaznými</w:t>
      </w:r>
      <w:r>
        <w:t xml:space="preserve"> </w:t>
      </w:r>
      <w:r w:rsidRPr="006D4B85">
        <w:t>předpisy</w:t>
      </w:r>
      <w:r>
        <w:t xml:space="preserve"> </w:t>
      </w:r>
      <w:r w:rsidRPr="006D4B85">
        <w:t>stanoveno,</w:t>
      </w:r>
      <w:r>
        <w:t xml:space="preserve"> </w:t>
      </w:r>
      <w:r w:rsidRPr="006D4B85">
        <w:t>že</w:t>
      </w:r>
      <w:r>
        <w:t xml:space="preserve"> </w:t>
      </w:r>
      <w:r w:rsidRPr="006D4B85">
        <w:t>tyto</w:t>
      </w:r>
      <w:r>
        <w:t xml:space="preserve"> </w:t>
      </w:r>
      <w:r w:rsidRPr="006D4B85">
        <w:t>úkoly</w:t>
      </w:r>
      <w:r>
        <w:t xml:space="preserve"> </w:t>
      </w:r>
      <w:r w:rsidRPr="006D4B85">
        <w:t>plní</w:t>
      </w:r>
      <w:r>
        <w:t xml:space="preserve"> </w:t>
      </w:r>
      <w:r w:rsidRPr="006D4B85">
        <w:t>jiný</w:t>
      </w:r>
      <w:r>
        <w:t xml:space="preserve"> </w:t>
      </w:r>
      <w:r w:rsidRPr="006D4B85">
        <w:t>orgán.</w:t>
      </w:r>
    </w:p>
    <w:p w14:paraId="6689E9DB" w14:textId="77777777" w:rsidR="00C930BE" w:rsidRDefault="00C930BE" w:rsidP="00D41C2D">
      <w:pPr>
        <w:pStyle w:val="Textparagrafu"/>
        <w:numPr>
          <w:ilvl w:val="0"/>
          <w:numId w:val="28"/>
        </w:numPr>
        <w:tabs>
          <w:tab w:val="decimal" w:pos="426"/>
        </w:tabs>
        <w:spacing w:before="120" w:after="120"/>
        <w:ind w:firstLine="425"/>
      </w:pPr>
      <w:r w:rsidRPr="006D4B85">
        <w:t>(3)</w:t>
      </w:r>
      <w:r>
        <w:t xml:space="preserve"> </w:t>
      </w:r>
      <w:r w:rsidRPr="006D4B85">
        <w:t>Územní</w:t>
      </w:r>
      <w:r>
        <w:t xml:space="preserve"> </w:t>
      </w:r>
      <w:r w:rsidRPr="006D4B85">
        <w:t>správy</w:t>
      </w:r>
      <w:r>
        <w:t xml:space="preserve"> </w:t>
      </w:r>
      <w:r w:rsidRPr="006D4B85">
        <w:t>sociálního</w:t>
      </w:r>
      <w:r>
        <w:t xml:space="preserve"> </w:t>
      </w:r>
      <w:r w:rsidRPr="006D4B85">
        <w:t>zabezpečení</w:t>
      </w:r>
    </w:p>
    <w:p w14:paraId="53DD6D05" w14:textId="77777777" w:rsidR="00C930BE" w:rsidRPr="006D4B85" w:rsidRDefault="00C930BE" w:rsidP="00C930BE">
      <w:pPr>
        <w:pStyle w:val="Textparagrafu"/>
        <w:numPr>
          <w:ilvl w:val="0"/>
          <w:numId w:val="28"/>
        </w:numPr>
        <w:tabs>
          <w:tab w:val="left" w:pos="426"/>
        </w:tabs>
        <w:spacing w:before="0"/>
      </w:pPr>
      <w:r w:rsidRPr="006D4B85">
        <w:t>a)</w:t>
      </w:r>
      <w:r>
        <w:tab/>
      </w:r>
      <w:r w:rsidRPr="006D4B85">
        <w:t>rozhodují</w:t>
      </w:r>
    </w:p>
    <w:p w14:paraId="70AC3952" w14:textId="132F945A" w:rsidR="00C930BE" w:rsidRPr="006D4B85" w:rsidRDefault="00AA7E38" w:rsidP="00AA7E38">
      <w:pPr>
        <w:pStyle w:val="Textparagrafu"/>
        <w:tabs>
          <w:tab w:val="left" w:pos="426"/>
          <w:tab w:val="left" w:pos="826"/>
        </w:tabs>
        <w:spacing w:before="0"/>
        <w:ind w:firstLine="0"/>
      </w:pPr>
      <w:r>
        <w:tab/>
      </w:r>
      <w:r w:rsidR="00C930BE" w:rsidRPr="006D4B85">
        <w:t>1.</w:t>
      </w:r>
      <w:r w:rsidR="00F050B1">
        <w:tab/>
      </w:r>
      <w:r w:rsidR="00C930BE" w:rsidRPr="006D4B85">
        <w:t>ve</w:t>
      </w:r>
      <w:r w:rsidR="00C930BE">
        <w:t xml:space="preserve"> </w:t>
      </w:r>
      <w:r w:rsidR="00C930BE" w:rsidRPr="006D4B85">
        <w:t>sporných</w:t>
      </w:r>
      <w:r w:rsidR="00C930BE">
        <w:t xml:space="preserve"> </w:t>
      </w:r>
      <w:r w:rsidR="00C930BE" w:rsidRPr="006D4B85">
        <w:t>případech</w:t>
      </w:r>
      <w:r w:rsidR="00C930BE">
        <w:t xml:space="preserve"> </w:t>
      </w:r>
      <w:r w:rsidR="00C930BE" w:rsidRPr="006D4B85">
        <w:t>o</w:t>
      </w:r>
      <w:r w:rsidR="00C930BE">
        <w:t xml:space="preserve"> </w:t>
      </w:r>
      <w:r w:rsidR="00C930BE" w:rsidRPr="006D4B85">
        <w:t>vzniku</w:t>
      </w:r>
      <w:r w:rsidR="00C930BE">
        <w:t xml:space="preserve"> </w:t>
      </w:r>
      <w:r w:rsidR="00C930BE" w:rsidRPr="006D4B85">
        <w:t>a</w:t>
      </w:r>
      <w:r w:rsidR="00C930BE">
        <w:t xml:space="preserve"> </w:t>
      </w:r>
      <w:r w:rsidR="00C930BE" w:rsidRPr="006D4B85">
        <w:t>zániku</w:t>
      </w:r>
      <w:r w:rsidR="00C930BE">
        <w:t xml:space="preserve"> </w:t>
      </w:r>
      <w:r w:rsidR="00C930BE" w:rsidRPr="006D4B85">
        <w:t>důchodového</w:t>
      </w:r>
      <w:r w:rsidR="00C930BE">
        <w:t xml:space="preserve"> </w:t>
      </w:r>
      <w:r w:rsidR="00C930BE" w:rsidRPr="006D4B85">
        <w:t>pojištění,</w:t>
      </w:r>
    </w:p>
    <w:p w14:paraId="1A1FFD32" w14:textId="235B045C" w:rsidR="00C930BE" w:rsidRPr="006D4B85" w:rsidRDefault="00AA7E38" w:rsidP="00AA7E38">
      <w:pPr>
        <w:pStyle w:val="Textparagrafu"/>
        <w:tabs>
          <w:tab w:val="left" w:pos="426"/>
          <w:tab w:val="left" w:pos="826"/>
        </w:tabs>
        <w:spacing w:before="0"/>
        <w:ind w:firstLine="0"/>
      </w:pPr>
      <w:r>
        <w:tab/>
      </w:r>
      <w:r w:rsidR="00C930BE" w:rsidRPr="006D4B85">
        <w:t>2.</w:t>
      </w:r>
      <w:r w:rsidR="00F050B1">
        <w:tab/>
      </w:r>
      <w:r w:rsidR="00C930BE" w:rsidRPr="006D4B85">
        <w:t>zrušen,</w:t>
      </w:r>
    </w:p>
    <w:p w14:paraId="58412B1F" w14:textId="75C2F1B8" w:rsidR="00C930BE" w:rsidRPr="006D4B85" w:rsidRDefault="00AA7E38" w:rsidP="00AA7E38">
      <w:pPr>
        <w:pStyle w:val="Textparagrafu"/>
        <w:tabs>
          <w:tab w:val="left" w:pos="426"/>
          <w:tab w:val="left" w:pos="826"/>
        </w:tabs>
        <w:spacing w:before="0"/>
        <w:ind w:left="825" w:hanging="825"/>
      </w:pPr>
      <w:r>
        <w:tab/>
      </w:r>
      <w:r w:rsidR="00C930BE" w:rsidRPr="006D4B85">
        <w:t>3.</w:t>
      </w:r>
      <w:r w:rsidR="00F050B1">
        <w:tab/>
      </w:r>
      <w:r w:rsidR="00C930BE" w:rsidRPr="006D4B85">
        <w:t>ve</w:t>
      </w:r>
      <w:r w:rsidR="00C930BE">
        <w:t xml:space="preserve"> </w:t>
      </w:r>
      <w:r w:rsidR="00C930BE" w:rsidRPr="006D4B85">
        <w:t>sporu</w:t>
      </w:r>
      <w:r w:rsidR="00C930BE">
        <w:t xml:space="preserve"> </w:t>
      </w:r>
      <w:r w:rsidR="00C930BE" w:rsidRPr="006D4B85">
        <w:t>mezi</w:t>
      </w:r>
      <w:r w:rsidR="00C930BE">
        <w:t xml:space="preserve"> </w:t>
      </w:r>
      <w:r w:rsidR="00C930BE" w:rsidRPr="006D4B85">
        <w:t>občanem</w:t>
      </w:r>
      <w:r w:rsidR="00C930BE">
        <w:t xml:space="preserve"> </w:t>
      </w:r>
      <w:r w:rsidR="00C930BE" w:rsidRPr="006D4B85">
        <w:t>a</w:t>
      </w:r>
      <w:r w:rsidR="00C930BE">
        <w:t xml:space="preserve"> </w:t>
      </w:r>
      <w:r w:rsidR="00C930BE" w:rsidRPr="006D4B85">
        <w:t>jeho</w:t>
      </w:r>
      <w:r w:rsidR="00C930BE">
        <w:t xml:space="preserve"> </w:t>
      </w:r>
      <w:r w:rsidR="00C930BE" w:rsidRPr="006D4B85">
        <w:t>zaměstnavatelem</w:t>
      </w:r>
      <w:r w:rsidR="00C930BE">
        <w:t xml:space="preserve"> </w:t>
      </w:r>
      <w:r w:rsidR="00C930BE" w:rsidRPr="006D4B85">
        <w:t>o</w:t>
      </w:r>
      <w:r w:rsidR="00C930BE">
        <w:t xml:space="preserve"> </w:t>
      </w:r>
      <w:r w:rsidR="00C930BE" w:rsidRPr="006D4B85">
        <w:t>správnost</w:t>
      </w:r>
      <w:r w:rsidR="00C930BE">
        <w:t xml:space="preserve"> </w:t>
      </w:r>
      <w:r w:rsidR="00C930BE" w:rsidRPr="006D4B85">
        <w:t>zápisu</w:t>
      </w:r>
      <w:r w:rsidR="00C930BE">
        <w:t xml:space="preserve"> </w:t>
      </w:r>
      <w:r w:rsidR="00C930BE" w:rsidRPr="006D4B85">
        <w:t>v</w:t>
      </w:r>
      <w:r w:rsidR="00C930BE">
        <w:t xml:space="preserve"> </w:t>
      </w:r>
      <w:r w:rsidR="00C930BE" w:rsidRPr="006D4B85">
        <w:t>evidenčním</w:t>
      </w:r>
      <w:r w:rsidR="00C930BE">
        <w:t xml:space="preserve"> </w:t>
      </w:r>
      <w:r w:rsidR="00C930BE" w:rsidRPr="006D4B85">
        <w:t>listu</w:t>
      </w:r>
      <w:r w:rsidR="00C930BE">
        <w:t xml:space="preserve"> </w:t>
      </w:r>
      <w:r w:rsidR="00C930BE" w:rsidRPr="006D4B85">
        <w:t>důchodového</w:t>
      </w:r>
      <w:r w:rsidR="00C930BE">
        <w:t xml:space="preserve"> </w:t>
      </w:r>
      <w:r w:rsidR="00C930BE" w:rsidRPr="006D4B85">
        <w:t>pojištění</w:t>
      </w:r>
      <w:r w:rsidR="00C930BE">
        <w:t xml:space="preserve"> </w:t>
      </w:r>
      <w:r w:rsidR="00C930BE" w:rsidRPr="006D4B85">
        <w:t>(dále</w:t>
      </w:r>
      <w:r w:rsidR="00C930BE">
        <w:t xml:space="preserve"> </w:t>
      </w:r>
      <w:r w:rsidR="00C930BE" w:rsidRPr="006D4B85">
        <w:t>jen</w:t>
      </w:r>
      <w:r w:rsidR="00C930BE">
        <w:t xml:space="preserve"> </w:t>
      </w:r>
      <w:r w:rsidR="00C930BE" w:rsidRPr="006D4B85">
        <w:t>"evidenční</w:t>
      </w:r>
      <w:r w:rsidR="00C930BE">
        <w:t xml:space="preserve"> </w:t>
      </w:r>
      <w:r w:rsidR="00C930BE" w:rsidRPr="006D4B85">
        <w:t>list"),</w:t>
      </w:r>
    </w:p>
    <w:p w14:paraId="57203ACC" w14:textId="52C017CE" w:rsidR="00C930BE" w:rsidRPr="006D4B85" w:rsidRDefault="00AA7E38" w:rsidP="00AA7E38">
      <w:pPr>
        <w:pStyle w:val="Textparagrafu"/>
        <w:tabs>
          <w:tab w:val="left" w:pos="426"/>
          <w:tab w:val="left" w:pos="826"/>
        </w:tabs>
        <w:spacing w:before="0"/>
        <w:ind w:firstLine="0"/>
      </w:pPr>
      <w:r>
        <w:tab/>
      </w:r>
      <w:r w:rsidR="00C930BE" w:rsidRPr="006D4B85">
        <w:t>4.</w:t>
      </w:r>
      <w:r w:rsidR="00F050B1">
        <w:tab/>
      </w:r>
      <w:r w:rsidR="00C930BE" w:rsidRPr="006D4B85">
        <w:t>zrušen,</w:t>
      </w:r>
    </w:p>
    <w:p w14:paraId="0A7C8B97" w14:textId="2E5E0C55" w:rsidR="00C930BE" w:rsidRPr="006D4B85" w:rsidRDefault="00AA7E38" w:rsidP="00AA7E38">
      <w:pPr>
        <w:pStyle w:val="Textparagrafu"/>
        <w:tabs>
          <w:tab w:val="left" w:pos="426"/>
          <w:tab w:val="left" w:pos="826"/>
        </w:tabs>
        <w:spacing w:before="0"/>
        <w:ind w:firstLine="0"/>
      </w:pPr>
      <w:r>
        <w:tab/>
      </w:r>
      <w:r w:rsidR="00C930BE" w:rsidRPr="006D4B85">
        <w:t>5.</w:t>
      </w:r>
      <w:r w:rsidR="00F050B1">
        <w:tab/>
      </w:r>
      <w:r w:rsidR="00C930BE" w:rsidRPr="006D4B85">
        <w:t>zrušen,</w:t>
      </w:r>
    </w:p>
    <w:p w14:paraId="6703CD69" w14:textId="690BF231" w:rsidR="00C930BE" w:rsidRPr="006D4B85" w:rsidRDefault="00AA7E38" w:rsidP="00AA7E38">
      <w:pPr>
        <w:pStyle w:val="Textparagrafu"/>
        <w:tabs>
          <w:tab w:val="left" w:pos="426"/>
          <w:tab w:val="left" w:pos="826"/>
        </w:tabs>
        <w:spacing w:before="0"/>
        <w:ind w:firstLine="0"/>
      </w:pPr>
      <w:r>
        <w:tab/>
      </w:r>
      <w:r w:rsidR="00C930BE" w:rsidRPr="006D4B85">
        <w:t>6.</w:t>
      </w:r>
      <w:r w:rsidR="00F050B1">
        <w:tab/>
      </w:r>
      <w:r w:rsidR="00C930BE" w:rsidRPr="006D4B85">
        <w:t>zrušen,</w:t>
      </w:r>
    </w:p>
    <w:p w14:paraId="17EC1FC5" w14:textId="0A572F6D" w:rsidR="00C930BE" w:rsidRPr="006D4B85" w:rsidRDefault="00AA7E38" w:rsidP="00AA7E38">
      <w:pPr>
        <w:pStyle w:val="Textparagrafu"/>
        <w:tabs>
          <w:tab w:val="left" w:pos="426"/>
          <w:tab w:val="left" w:pos="826"/>
        </w:tabs>
        <w:spacing w:before="0"/>
        <w:ind w:left="709" w:hanging="709"/>
      </w:pPr>
      <w:r>
        <w:tab/>
      </w:r>
      <w:r w:rsidR="00C930BE" w:rsidRPr="006D4B85">
        <w:t>7.</w:t>
      </w:r>
      <w:r w:rsidR="00F050B1">
        <w:tab/>
      </w:r>
      <w:r w:rsidR="00C930BE" w:rsidRPr="006D4B85">
        <w:t>o</w:t>
      </w:r>
      <w:r w:rsidR="00C930BE">
        <w:t xml:space="preserve"> </w:t>
      </w:r>
      <w:r w:rsidR="00C930BE" w:rsidRPr="006D4B85">
        <w:t>pojistném</w:t>
      </w:r>
      <w:r w:rsidR="00C930BE">
        <w:t xml:space="preserve"> </w:t>
      </w:r>
      <w:r w:rsidR="00C930BE" w:rsidRPr="006D4B85">
        <w:t>na</w:t>
      </w:r>
      <w:r w:rsidR="00C930BE">
        <w:t xml:space="preserve"> </w:t>
      </w:r>
      <w:r w:rsidR="00C930BE" w:rsidRPr="006D4B85">
        <w:t>sociální</w:t>
      </w:r>
      <w:r w:rsidR="00C930BE">
        <w:t xml:space="preserve"> </w:t>
      </w:r>
      <w:r w:rsidR="00C930BE" w:rsidRPr="006D4B85">
        <w:t>zabezpečení</w:t>
      </w:r>
      <w:r w:rsidR="00C930BE">
        <w:t xml:space="preserve"> </w:t>
      </w:r>
      <w:r w:rsidR="00C930BE" w:rsidRPr="006D4B85">
        <w:t>a</w:t>
      </w:r>
      <w:r w:rsidR="00C930BE">
        <w:t xml:space="preserve"> </w:t>
      </w:r>
      <w:r w:rsidR="00C930BE" w:rsidRPr="006D4B85">
        <w:t>příspěvku</w:t>
      </w:r>
      <w:r w:rsidR="00C930BE">
        <w:t xml:space="preserve"> </w:t>
      </w:r>
      <w:r w:rsidR="00C930BE" w:rsidRPr="006D4B85">
        <w:t>na</w:t>
      </w:r>
      <w:r w:rsidR="00C930BE">
        <w:t xml:space="preserve"> </w:t>
      </w:r>
      <w:r w:rsidR="00C930BE" w:rsidRPr="006D4B85">
        <w:t>státní</w:t>
      </w:r>
      <w:r w:rsidR="00C930BE">
        <w:t xml:space="preserve"> </w:t>
      </w:r>
      <w:r w:rsidR="00C930BE" w:rsidRPr="006D4B85">
        <w:t>politiku</w:t>
      </w:r>
      <w:r w:rsidR="00C930BE">
        <w:t xml:space="preserve"> </w:t>
      </w:r>
      <w:r w:rsidR="00C930BE" w:rsidRPr="006D4B85">
        <w:t>zaměstnanosti</w:t>
      </w:r>
      <w:r w:rsidR="00C930BE">
        <w:t xml:space="preserve"> </w:t>
      </w:r>
      <w:r w:rsidR="00C930BE" w:rsidRPr="006D4B85">
        <w:t>včetně</w:t>
      </w:r>
      <w:r w:rsidR="00C930BE">
        <w:t xml:space="preserve"> </w:t>
      </w:r>
      <w:r w:rsidR="00C930BE" w:rsidRPr="006D4B85">
        <w:t>záloh,</w:t>
      </w:r>
      <w:r w:rsidR="00C930BE">
        <w:t xml:space="preserve"> </w:t>
      </w:r>
      <w:r w:rsidR="00C930BE" w:rsidRPr="006D4B85">
        <w:t>o</w:t>
      </w:r>
      <w:r w:rsidR="00C930BE">
        <w:t xml:space="preserve"> </w:t>
      </w:r>
      <w:r w:rsidR="00C930BE" w:rsidRPr="006D4B85">
        <w:t>penále</w:t>
      </w:r>
      <w:r w:rsidR="00C930BE">
        <w:t xml:space="preserve"> </w:t>
      </w:r>
      <w:r w:rsidR="00C930BE" w:rsidRPr="006D4B85">
        <w:t>a</w:t>
      </w:r>
      <w:r w:rsidR="00C930BE">
        <w:t xml:space="preserve"> </w:t>
      </w:r>
      <w:r w:rsidR="00C930BE" w:rsidRPr="006D4B85">
        <w:t>o</w:t>
      </w:r>
      <w:r w:rsidR="00C930BE">
        <w:t xml:space="preserve"> </w:t>
      </w:r>
      <w:r w:rsidR="00C930BE" w:rsidRPr="006D4B85">
        <w:t>přirážce</w:t>
      </w:r>
      <w:r w:rsidR="00C930BE">
        <w:t xml:space="preserve"> </w:t>
      </w:r>
      <w:r w:rsidR="00C930BE" w:rsidRPr="006D4B85">
        <w:t>k</w:t>
      </w:r>
      <w:r w:rsidR="00C930BE">
        <w:t xml:space="preserve"> </w:t>
      </w:r>
      <w:r w:rsidR="00C930BE" w:rsidRPr="006D4B85">
        <w:t>pojistnému</w:t>
      </w:r>
      <w:r w:rsidR="00C930BE">
        <w:t xml:space="preserve"> </w:t>
      </w:r>
      <w:r w:rsidR="00C930BE" w:rsidRPr="006D4B85">
        <w:t>na</w:t>
      </w:r>
      <w:r w:rsidR="00C930BE">
        <w:t xml:space="preserve"> </w:t>
      </w:r>
      <w:r w:rsidR="00C930BE" w:rsidRPr="006D4B85">
        <w:t>sociální</w:t>
      </w:r>
      <w:r w:rsidR="00C930BE">
        <w:t xml:space="preserve"> </w:t>
      </w:r>
      <w:r w:rsidR="00C930BE" w:rsidRPr="006D4B85">
        <w:t>zabezpečení</w:t>
      </w:r>
      <w:r w:rsidR="00C930BE">
        <w:t xml:space="preserve"> </w:t>
      </w:r>
      <w:r w:rsidR="00C930BE" w:rsidRPr="006D4B85">
        <w:t>a</w:t>
      </w:r>
      <w:r w:rsidR="00C930BE">
        <w:t xml:space="preserve"> </w:t>
      </w:r>
      <w:r w:rsidR="00C930BE" w:rsidRPr="006D4B85">
        <w:t>o</w:t>
      </w:r>
      <w:r w:rsidR="00C930BE">
        <w:t xml:space="preserve"> </w:t>
      </w:r>
      <w:r w:rsidR="00C930BE" w:rsidRPr="006D4B85">
        <w:t>zřízení</w:t>
      </w:r>
      <w:r w:rsidR="00C930BE">
        <w:t xml:space="preserve"> </w:t>
      </w:r>
      <w:r w:rsidR="00C930BE" w:rsidRPr="006D4B85">
        <w:t>zástavního</w:t>
      </w:r>
      <w:r w:rsidR="00C930BE">
        <w:t xml:space="preserve"> </w:t>
      </w:r>
      <w:r w:rsidR="00C930BE" w:rsidRPr="006D4B85">
        <w:lastRenderedPageBreak/>
        <w:t>práva</w:t>
      </w:r>
      <w:r w:rsidR="00C930BE">
        <w:t xml:space="preserve"> </w:t>
      </w:r>
      <w:r w:rsidR="00C930BE" w:rsidRPr="006D4B85">
        <w:t>v</w:t>
      </w:r>
      <w:r w:rsidR="00C930BE">
        <w:t xml:space="preserve"> </w:t>
      </w:r>
      <w:r w:rsidR="00C930BE" w:rsidRPr="006D4B85">
        <w:t>případě</w:t>
      </w:r>
      <w:r w:rsidR="00C930BE">
        <w:t xml:space="preserve"> </w:t>
      </w:r>
      <w:r w:rsidR="00C930BE" w:rsidRPr="006D4B85">
        <w:t>dluhu</w:t>
      </w:r>
      <w:r w:rsidR="00C930BE">
        <w:t xml:space="preserve"> </w:t>
      </w:r>
      <w:r w:rsidR="00C930BE" w:rsidRPr="006D4B85">
        <w:t>na</w:t>
      </w:r>
      <w:r w:rsidR="00C930BE">
        <w:t xml:space="preserve"> </w:t>
      </w:r>
      <w:r w:rsidR="00C930BE" w:rsidRPr="006D4B85">
        <w:t>pojistném</w:t>
      </w:r>
      <w:r w:rsidR="00C930BE">
        <w:t xml:space="preserve"> </w:t>
      </w:r>
      <w:r w:rsidR="00C930BE" w:rsidRPr="006D4B85">
        <w:t>na</w:t>
      </w:r>
      <w:r w:rsidR="00C930BE">
        <w:t xml:space="preserve"> </w:t>
      </w:r>
      <w:r w:rsidR="00C930BE" w:rsidRPr="006D4B85">
        <w:t>sociální</w:t>
      </w:r>
      <w:r w:rsidR="00C930BE">
        <w:t xml:space="preserve"> </w:t>
      </w:r>
      <w:r w:rsidR="00C930BE" w:rsidRPr="006D4B85">
        <w:t>zabezpečení</w:t>
      </w:r>
      <w:r w:rsidR="00C930BE">
        <w:t xml:space="preserve"> </w:t>
      </w:r>
      <w:r w:rsidR="00C930BE" w:rsidRPr="006D4B85">
        <w:t>a</w:t>
      </w:r>
      <w:r w:rsidR="00C930BE">
        <w:t xml:space="preserve"> </w:t>
      </w:r>
      <w:r w:rsidR="00C930BE" w:rsidRPr="006D4B85">
        <w:t>příspěvku</w:t>
      </w:r>
      <w:r w:rsidR="00C930BE">
        <w:t xml:space="preserve"> </w:t>
      </w:r>
      <w:r w:rsidR="00C930BE" w:rsidRPr="006D4B85">
        <w:t>na</w:t>
      </w:r>
      <w:r w:rsidR="00C930BE">
        <w:t xml:space="preserve"> </w:t>
      </w:r>
      <w:r w:rsidR="00C930BE" w:rsidRPr="006D4B85">
        <w:t>státní</w:t>
      </w:r>
      <w:r w:rsidR="00C930BE">
        <w:t xml:space="preserve"> </w:t>
      </w:r>
      <w:r w:rsidR="00C930BE" w:rsidRPr="006D4B85">
        <w:t>politiku</w:t>
      </w:r>
      <w:r w:rsidR="00C930BE">
        <w:t xml:space="preserve"> </w:t>
      </w:r>
      <w:r w:rsidR="00C930BE" w:rsidRPr="006D4B85">
        <w:t>zaměstnanosti,</w:t>
      </w:r>
      <w:r w:rsidR="00C930BE">
        <w:t xml:space="preserve"> </w:t>
      </w:r>
      <w:r w:rsidR="00C930BE" w:rsidRPr="006D4B85">
        <w:t>penále</w:t>
      </w:r>
      <w:r w:rsidR="00C930BE">
        <w:t xml:space="preserve"> </w:t>
      </w:r>
      <w:r w:rsidR="00C930BE" w:rsidRPr="006D4B85">
        <w:t>nebo</w:t>
      </w:r>
      <w:r w:rsidR="00C930BE">
        <w:t xml:space="preserve"> </w:t>
      </w:r>
      <w:r w:rsidR="00C930BE" w:rsidRPr="006D4B85">
        <w:t>pokutě,</w:t>
      </w:r>
    </w:p>
    <w:p w14:paraId="588B8E40" w14:textId="4DC3121B" w:rsidR="00C930BE" w:rsidRPr="006D4B85" w:rsidRDefault="00AA7E38" w:rsidP="00AA7E38">
      <w:pPr>
        <w:pStyle w:val="Textparagrafu"/>
        <w:tabs>
          <w:tab w:val="left" w:pos="426"/>
          <w:tab w:val="left" w:pos="826"/>
        </w:tabs>
        <w:spacing w:before="0"/>
        <w:ind w:firstLine="0"/>
      </w:pPr>
      <w:r>
        <w:tab/>
      </w:r>
      <w:r w:rsidR="00C930BE" w:rsidRPr="006D4B85">
        <w:t>8.</w:t>
      </w:r>
      <w:r w:rsidR="00F050B1">
        <w:tab/>
      </w:r>
      <w:r w:rsidR="00C930BE" w:rsidRPr="006D4B85">
        <w:t>zrušen,</w:t>
      </w:r>
    </w:p>
    <w:p w14:paraId="7CDD043D" w14:textId="4F9A87C6" w:rsidR="00C930BE" w:rsidRPr="006D4B85" w:rsidRDefault="00AA7E38" w:rsidP="00AA7E38">
      <w:pPr>
        <w:pStyle w:val="Textparagrafu"/>
        <w:tabs>
          <w:tab w:val="left" w:pos="426"/>
          <w:tab w:val="left" w:pos="826"/>
        </w:tabs>
        <w:spacing w:before="0"/>
        <w:ind w:left="709" w:hanging="709"/>
      </w:pPr>
      <w:r>
        <w:tab/>
      </w:r>
      <w:r w:rsidR="00C930BE" w:rsidRPr="006D4B85">
        <w:t>9.</w:t>
      </w:r>
      <w:r w:rsidR="00F050B1">
        <w:tab/>
      </w:r>
      <w:r w:rsidR="00C930BE" w:rsidRPr="006D4B85">
        <w:t>o</w:t>
      </w:r>
      <w:r w:rsidR="00C930BE">
        <w:t xml:space="preserve"> </w:t>
      </w:r>
      <w:r w:rsidR="00C930BE" w:rsidRPr="006D4B85">
        <w:t>odstranění</w:t>
      </w:r>
      <w:r w:rsidR="00C930BE">
        <w:t xml:space="preserve"> </w:t>
      </w:r>
      <w:r w:rsidR="00C930BE" w:rsidRPr="006D4B85">
        <w:t>tvrdostí,</w:t>
      </w:r>
      <w:r w:rsidR="00C930BE">
        <w:t xml:space="preserve"> </w:t>
      </w:r>
      <w:r w:rsidR="00C930BE" w:rsidRPr="006D4B85">
        <w:t>které</w:t>
      </w:r>
      <w:r w:rsidR="00C930BE">
        <w:t xml:space="preserve"> </w:t>
      </w:r>
      <w:r w:rsidR="00C930BE" w:rsidRPr="006D4B85">
        <w:t>by</w:t>
      </w:r>
      <w:r w:rsidR="00C930BE">
        <w:t xml:space="preserve"> </w:t>
      </w:r>
      <w:r w:rsidR="00C930BE" w:rsidRPr="006D4B85">
        <w:t>se</w:t>
      </w:r>
      <w:r w:rsidR="00C930BE">
        <w:t xml:space="preserve"> </w:t>
      </w:r>
      <w:r w:rsidR="00C930BE" w:rsidRPr="006D4B85">
        <w:t>vyskytly</w:t>
      </w:r>
      <w:r w:rsidR="00C930BE">
        <w:t xml:space="preserve"> </w:t>
      </w:r>
      <w:r w:rsidR="00C930BE" w:rsidRPr="006D4B85">
        <w:t>při</w:t>
      </w:r>
      <w:r w:rsidR="00C930BE">
        <w:t xml:space="preserve"> </w:t>
      </w:r>
      <w:r w:rsidR="00C930BE" w:rsidRPr="006D4B85">
        <w:t>provádění</w:t>
      </w:r>
      <w:r w:rsidR="00C930BE">
        <w:t xml:space="preserve"> </w:t>
      </w:r>
      <w:r w:rsidR="00C930BE" w:rsidRPr="006D4B85">
        <w:t>sociálního</w:t>
      </w:r>
      <w:r w:rsidR="00C930BE">
        <w:t xml:space="preserve"> </w:t>
      </w:r>
      <w:r w:rsidR="00C930BE" w:rsidRPr="006D4B85">
        <w:t>zabezpečení,</w:t>
      </w:r>
      <w:r w:rsidR="00C930BE">
        <w:t xml:space="preserve"> </w:t>
      </w:r>
      <w:r w:rsidR="00C930BE" w:rsidRPr="006D4B85">
        <w:t>pokud</w:t>
      </w:r>
      <w:r w:rsidR="00C930BE">
        <w:t xml:space="preserve"> </w:t>
      </w:r>
      <w:r w:rsidR="00C930BE" w:rsidRPr="006D4B85">
        <w:t>jim</w:t>
      </w:r>
      <w:r w:rsidR="00C930BE">
        <w:t xml:space="preserve"> </w:t>
      </w:r>
      <w:r w:rsidR="00C930BE" w:rsidRPr="006D4B85">
        <w:t>bylo</w:t>
      </w:r>
      <w:r w:rsidR="00C930BE">
        <w:t xml:space="preserve"> </w:t>
      </w:r>
      <w:r w:rsidR="00C930BE" w:rsidRPr="006D4B85">
        <w:t>v</w:t>
      </w:r>
      <w:r w:rsidR="00C930BE">
        <w:t xml:space="preserve"> </w:t>
      </w:r>
      <w:r w:rsidR="00C930BE" w:rsidRPr="006D4B85">
        <w:t>jednotlivých</w:t>
      </w:r>
      <w:r w:rsidR="00C930BE">
        <w:t xml:space="preserve"> </w:t>
      </w:r>
      <w:r w:rsidR="00C930BE" w:rsidRPr="006D4B85">
        <w:t>případech</w:t>
      </w:r>
      <w:r w:rsidR="00C930BE">
        <w:t xml:space="preserve"> </w:t>
      </w:r>
      <w:r w:rsidR="00C930BE" w:rsidRPr="006D4B85">
        <w:t>svěřeno,</w:t>
      </w:r>
    </w:p>
    <w:p w14:paraId="45F893F1" w14:textId="76579B55" w:rsidR="00C930BE" w:rsidRPr="006D4B85" w:rsidRDefault="00AA7E38" w:rsidP="00AA7E38">
      <w:pPr>
        <w:pStyle w:val="Textparagrafu"/>
        <w:tabs>
          <w:tab w:val="left" w:pos="426"/>
          <w:tab w:val="left" w:pos="826"/>
        </w:tabs>
        <w:spacing w:before="0"/>
        <w:ind w:firstLine="0"/>
      </w:pPr>
      <w:r>
        <w:tab/>
      </w:r>
      <w:r w:rsidR="00C930BE" w:rsidRPr="006D4B85">
        <w:t>10.</w:t>
      </w:r>
      <w:r w:rsidR="00F050B1">
        <w:tab/>
      </w:r>
      <w:r w:rsidR="00C930BE" w:rsidRPr="006D4B85">
        <w:t>zrušen,</w:t>
      </w:r>
    </w:p>
    <w:p w14:paraId="6C506116" w14:textId="19EEF502" w:rsidR="00C930BE" w:rsidRPr="006D4B85" w:rsidRDefault="00AA7E38" w:rsidP="00AA7E38">
      <w:pPr>
        <w:pStyle w:val="Textparagrafu"/>
        <w:tabs>
          <w:tab w:val="left" w:pos="426"/>
          <w:tab w:val="left" w:pos="826"/>
        </w:tabs>
        <w:spacing w:before="0"/>
        <w:ind w:left="825" w:hanging="825"/>
      </w:pPr>
      <w:r>
        <w:tab/>
      </w:r>
      <w:r w:rsidR="00C930BE" w:rsidRPr="006D4B85">
        <w:t>11.</w:t>
      </w:r>
      <w:r w:rsidR="00F050B1">
        <w:tab/>
      </w:r>
      <w:r w:rsidR="00C930BE" w:rsidRPr="006D4B85">
        <w:t>o</w:t>
      </w:r>
      <w:r w:rsidR="00C930BE">
        <w:t xml:space="preserve"> </w:t>
      </w:r>
      <w:r w:rsidR="00C930BE" w:rsidRPr="006D4B85">
        <w:t>době</w:t>
      </w:r>
      <w:r w:rsidR="00C930BE">
        <w:t xml:space="preserve"> </w:t>
      </w:r>
      <w:r w:rsidR="00C930BE" w:rsidRPr="006D4B85">
        <w:t>a</w:t>
      </w:r>
      <w:r w:rsidR="00C930BE">
        <w:t xml:space="preserve"> </w:t>
      </w:r>
      <w:r w:rsidR="00C930BE" w:rsidRPr="006D4B85">
        <w:t>rozsahu</w:t>
      </w:r>
      <w:r w:rsidR="00C930BE">
        <w:t xml:space="preserve"> </w:t>
      </w:r>
      <w:r w:rsidR="00C930BE" w:rsidRPr="006D4B85">
        <w:t>péče</w:t>
      </w:r>
      <w:r w:rsidR="00C930BE">
        <w:t xml:space="preserve"> </w:t>
      </w:r>
      <w:r w:rsidR="00C930BE" w:rsidRPr="006D4B85">
        <w:t>muže</w:t>
      </w:r>
      <w:r w:rsidR="00C930BE">
        <w:t xml:space="preserve"> </w:t>
      </w:r>
      <w:r w:rsidR="00C930BE" w:rsidRPr="006D4B85">
        <w:t>o</w:t>
      </w:r>
      <w:r w:rsidR="00C930BE">
        <w:t xml:space="preserve"> </w:t>
      </w:r>
      <w:r w:rsidR="00C930BE" w:rsidRPr="006D4B85">
        <w:t>dítě</w:t>
      </w:r>
      <w:r w:rsidR="00C930BE">
        <w:t xml:space="preserve"> </w:t>
      </w:r>
      <w:r w:rsidR="00C930BE" w:rsidRPr="006D4B85">
        <w:t>ve</w:t>
      </w:r>
      <w:r w:rsidR="00C930BE">
        <w:t xml:space="preserve"> </w:t>
      </w:r>
      <w:r w:rsidR="00C930BE" w:rsidRPr="006D4B85">
        <w:t>věku</w:t>
      </w:r>
      <w:r w:rsidR="00C930BE">
        <w:t xml:space="preserve"> </w:t>
      </w:r>
      <w:r w:rsidR="00C930BE" w:rsidRPr="006D4B85">
        <w:t>do</w:t>
      </w:r>
      <w:r w:rsidR="00C930BE">
        <w:t xml:space="preserve"> </w:t>
      </w:r>
      <w:r w:rsidR="00C930BE" w:rsidRPr="006D4B85">
        <w:t>4</w:t>
      </w:r>
      <w:r w:rsidR="00C930BE">
        <w:t xml:space="preserve"> </w:t>
      </w:r>
      <w:r w:rsidR="00C930BE" w:rsidRPr="006D4B85">
        <w:t>let,</w:t>
      </w:r>
      <w:r w:rsidR="00C930BE">
        <w:t xml:space="preserve"> </w:t>
      </w:r>
      <w:r w:rsidR="00C930BE" w:rsidRPr="006D4B85">
        <w:t>jde-li</w:t>
      </w:r>
      <w:r w:rsidR="00C930BE">
        <w:t xml:space="preserve"> </w:t>
      </w:r>
      <w:r w:rsidR="00C930BE" w:rsidRPr="006D4B85">
        <w:t>o</w:t>
      </w:r>
      <w:r w:rsidR="00C930BE">
        <w:t xml:space="preserve"> </w:t>
      </w:r>
      <w:r w:rsidR="00C930BE" w:rsidRPr="006D4B85">
        <w:t>dobu</w:t>
      </w:r>
      <w:r w:rsidR="00C930BE">
        <w:t xml:space="preserve"> </w:t>
      </w:r>
      <w:r w:rsidR="00C930BE" w:rsidRPr="006D4B85">
        <w:t>péče</w:t>
      </w:r>
      <w:r w:rsidR="00C930BE">
        <w:t xml:space="preserve"> </w:t>
      </w:r>
      <w:r w:rsidR="00C930BE" w:rsidRPr="006D4B85">
        <w:t>o</w:t>
      </w:r>
      <w:r w:rsidR="00C930BE">
        <w:t xml:space="preserve"> </w:t>
      </w:r>
      <w:r w:rsidR="00C930BE" w:rsidRPr="006D4B85">
        <w:t>toto</w:t>
      </w:r>
      <w:r w:rsidR="00C930BE">
        <w:t xml:space="preserve"> </w:t>
      </w:r>
      <w:r w:rsidR="00C930BE" w:rsidRPr="006D4B85">
        <w:t>dítě</w:t>
      </w:r>
      <w:r w:rsidR="00C930BE">
        <w:t xml:space="preserve"> </w:t>
      </w:r>
      <w:r w:rsidR="00C930BE" w:rsidRPr="006D4B85">
        <w:t>po</w:t>
      </w:r>
      <w:r w:rsidR="00C930BE">
        <w:t xml:space="preserve"> </w:t>
      </w:r>
      <w:r w:rsidR="00C930BE" w:rsidRPr="006D4B85">
        <w:t>31.</w:t>
      </w:r>
      <w:r w:rsidR="00C930BE">
        <w:t xml:space="preserve"> </w:t>
      </w:r>
      <w:r w:rsidR="00C930BE" w:rsidRPr="006D4B85">
        <w:t>prosinci</w:t>
      </w:r>
      <w:r w:rsidR="00C930BE">
        <w:t xml:space="preserve"> </w:t>
      </w:r>
      <w:r w:rsidR="00C930BE" w:rsidRPr="006D4B85">
        <w:t>1995</w:t>
      </w:r>
      <w:r w:rsidR="00C930BE">
        <w:t xml:space="preserve"> </w:t>
      </w:r>
      <w:r w:rsidR="00C930BE" w:rsidRPr="006D4B85">
        <w:t>do</w:t>
      </w:r>
      <w:r w:rsidR="00C930BE">
        <w:t xml:space="preserve"> </w:t>
      </w:r>
      <w:r w:rsidR="00C930BE" w:rsidRPr="006D4B85">
        <w:t>30.</w:t>
      </w:r>
      <w:r w:rsidR="00C930BE">
        <w:t xml:space="preserve"> </w:t>
      </w:r>
      <w:r w:rsidR="00C930BE" w:rsidRPr="006D4B85">
        <w:t>června</w:t>
      </w:r>
      <w:r w:rsidR="00C930BE">
        <w:t xml:space="preserve"> </w:t>
      </w:r>
      <w:r w:rsidR="00C930BE" w:rsidRPr="006D4B85">
        <w:t>2007,</w:t>
      </w:r>
      <w:r w:rsidR="00C930BE">
        <w:t xml:space="preserve"> </w:t>
      </w:r>
      <w:r w:rsidR="00C930BE" w:rsidRPr="006D4B85">
        <w:t>a</w:t>
      </w:r>
      <w:r w:rsidR="00C930BE">
        <w:t xml:space="preserve"> </w:t>
      </w:r>
      <w:r w:rsidR="00C930BE" w:rsidRPr="006D4B85">
        <w:t>o</w:t>
      </w:r>
      <w:r w:rsidR="00C930BE">
        <w:t xml:space="preserve"> </w:t>
      </w:r>
      <w:r w:rsidR="00C930BE" w:rsidRPr="006D4B85">
        <w:t>době</w:t>
      </w:r>
      <w:r w:rsidR="00C930BE">
        <w:t xml:space="preserve"> </w:t>
      </w:r>
      <w:r w:rsidR="00C930BE" w:rsidRPr="006D4B85">
        <w:t>a</w:t>
      </w:r>
      <w:r w:rsidR="00C930BE">
        <w:t xml:space="preserve"> </w:t>
      </w:r>
      <w:r w:rsidR="00C930BE" w:rsidRPr="006D4B85">
        <w:t>rozsahu</w:t>
      </w:r>
      <w:r w:rsidR="00C930BE">
        <w:t xml:space="preserve"> </w:t>
      </w:r>
      <w:r w:rsidR="00C930BE" w:rsidRPr="006D4B85">
        <w:t>péče</w:t>
      </w:r>
      <w:r w:rsidR="00C930BE">
        <w:t xml:space="preserve"> </w:t>
      </w:r>
      <w:r w:rsidR="00C930BE" w:rsidRPr="006D4B85">
        <w:t>o</w:t>
      </w:r>
      <w:r w:rsidR="00C930BE">
        <w:t xml:space="preserve"> </w:t>
      </w:r>
      <w:r w:rsidR="00C930BE" w:rsidRPr="006D4B85">
        <w:t>dítě</w:t>
      </w:r>
      <w:r w:rsidR="00C930BE">
        <w:t xml:space="preserve"> </w:t>
      </w:r>
      <w:r w:rsidR="00C930BE" w:rsidRPr="006D4B85">
        <w:t>ve</w:t>
      </w:r>
      <w:r w:rsidR="00C930BE">
        <w:t xml:space="preserve"> </w:t>
      </w:r>
      <w:r w:rsidR="00C930BE" w:rsidRPr="006D4B85">
        <w:t>věku</w:t>
      </w:r>
      <w:r w:rsidR="00C930BE">
        <w:t xml:space="preserve"> </w:t>
      </w:r>
      <w:r w:rsidR="00C930BE" w:rsidRPr="006D4B85">
        <w:t>do</w:t>
      </w:r>
      <w:r w:rsidR="00C930BE">
        <w:t xml:space="preserve"> </w:t>
      </w:r>
      <w:r w:rsidR="00C930BE" w:rsidRPr="006D4B85">
        <w:t>18</w:t>
      </w:r>
      <w:r w:rsidR="00C930BE">
        <w:t xml:space="preserve"> </w:t>
      </w:r>
      <w:r w:rsidR="00C930BE" w:rsidRPr="006D4B85">
        <w:t>let,</w:t>
      </w:r>
      <w:r w:rsidR="00C930BE">
        <w:t xml:space="preserve"> </w:t>
      </w:r>
      <w:r w:rsidR="00C930BE" w:rsidRPr="006D4B85">
        <w:t>je-li</w:t>
      </w:r>
      <w:r w:rsidR="00C930BE">
        <w:t xml:space="preserve"> </w:t>
      </w:r>
      <w:r w:rsidR="00C930BE" w:rsidRPr="006D4B85">
        <w:t>dlouhodobě</w:t>
      </w:r>
      <w:r w:rsidR="00C930BE">
        <w:t xml:space="preserve"> </w:t>
      </w:r>
      <w:r w:rsidR="00C930BE" w:rsidRPr="006D4B85">
        <w:t>těžce</w:t>
      </w:r>
      <w:r w:rsidR="00C930BE">
        <w:t xml:space="preserve"> </w:t>
      </w:r>
      <w:r w:rsidR="00C930BE" w:rsidRPr="006D4B85">
        <w:t>zdravotně</w:t>
      </w:r>
      <w:r w:rsidR="00C930BE">
        <w:t xml:space="preserve"> </w:t>
      </w:r>
      <w:r w:rsidR="00C930BE" w:rsidRPr="006D4B85">
        <w:t>postižené</w:t>
      </w:r>
      <w:r w:rsidR="00C930BE">
        <w:t xml:space="preserve"> </w:t>
      </w:r>
      <w:r w:rsidR="00C930BE" w:rsidRPr="006D4B85">
        <w:t>vyžadující</w:t>
      </w:r>
      <w:r w:rsidR="00C930BE">
        <w:t xml:space="preserve"> </w:t>
      </w:r>
      <w:r w:rsidR="00C930BE" w:rsidRPr="006D4B85">
        <w:t>mimořádnou</w:t>
      </w:r>
      <w:r w:rsidR="00C930BE">
        <w:t xml:space="preserve"> </w:t>
      </w:r>
      <w:r w:rsidR="00C930BE" w:rsidRPr="006D4B85">
        <w:t>péči,</w:t>
      </w:r>
      <w:r w:rsidR="00C930BE">
        <w:t xml:space="preserve"> </w:t>
      </w:r>
      <w:r w:rsidR="00C930BE" w:rsidRPr="006D4B85">
        <w:t>a</w:t>
      </w:r>
      <w:r w:rsidR="00C930BE">
        <w:t xml:space="preserve"> </w:t>
      </w:r>
      <w:r w:rsidR="00C930BE" w:rsidRPr="006D4B85">
        <w:t>péče</w:t>
      </w:r>
      <w:r w:rsidR="00C930BE">
        <w:t xml:space="preserve"> </w:t>
      </w:r>
      <w:r w:rsidR="00C930BE" w:rsidRPr="006D4B85">
        <w:t>osoby</w:t>
      </w:r>
      <w:r w:rsidR="00C930BE">
        <w:t xml:space="preserve"> </w:t>
      </w:r>
      <w:r w:rsidR="00C930BE" w:rsidRPr="006D4B85">
        <w:t>pečující</w:t>
      </w:r>
      <w:r w:rsidR="00C930BE">
        <w:t xml:space="preserve"> </w:t>
      </w:r>
      <w:r w:rsidR="00C930BE" w:rsidRPr="006D4B85">
        <w:t>osobně</w:t>
      </w:r>
      <w:r w:rsidR="00C930BE">
        <w:t xml:space="preserve"> </w:t>
      </w:r>
      <w:r w:rsidR="00C930BE" w:rsidRPr="006D4B85">
        <w:t>o</w:t>
      </w:r>
      <w:r w:rsidR="00C930BE">
        <w:t xml:space="preserve"> </w:t>
      </w:r>
      <w:r w:rsidR="00C930BE" w:rsidRPr="006D4B85">
        <w:t>převážně</w:t>
      </w:r>
      <w:r w:rsidR="00C930BE">
        <w:t xml:space="preserve"> </w:t>
      </w:r>
      <w:r w:rsidR="00C930BE" w:rsidRPr="006D4B85">
        <w:t>nebo</w:t>
      </w:r>
      <w:r w:rsidR="00C930BE">
        <w:t xml:space="preserve"> </w:t>
      </w:r>
      <w:r w:rsidR="00C930BE" w:rsidRPr="006D4B85">
        <w:t>úplně</w:t>
      </w:r>
      <w:r w:rsidR="00C930BE">
        <w:t xml:space="preserve"> </w:t>
      </w:r>
      <w:r w:rsidR="00C930BE" w:rsidRPr="006D4B85">
        <w:t>bezmocnou</w:t>
      </w:r>
      <w:r w:rsidR="00C930BE">
        <w:t xml:space="preserve"> </w:t>
      </w:r>
      <w:r w:rsidR="00C930BE" w:rsidRPr="006D4B85">
        <w:t>osobu</w:t>
      </w:r>
      <w:r w:rsidR="00C930BE">
        <w:t xml:space="preserve"> </w:t>
      </w:r>
      <w:r w:rsidR="00C930BE" w:rsidRPr="006D4B85">
        <w:t>nebo</w:t>
      </w:r>
      <w:r w:rsidR="00C930BE">
        <w:t xml:space="preserve"> </w:t>
      </w:r>
      <w:r w:rsidR="00C930BE" w:rsidRPr="006D4B85">
        <w:t>částečně</w:t>
      </w:r>
      <w:r w:rsidR="00C930BE">
        <w:t xml:space="preserve"> </w:t>
      </w:r>
      <w:r w:rsidR="00C930BE" w:rsidRPr="006D4B85">
        <w:t>bezmocnou</w:t>
      </w:r>
      <w:r w:rsidR="00C930BE">
        <w:t xml:space="preserve"> </w:t>
      </w:r>
      <w:r w:rsidR="00C930BE" w:rsidRPr="006D4B85">
        <w:t>osobu</w:t>
      </w:r>
      <w:r w:rsidR="00C930BE">
        <w:t xml:space="preserve"> </w:t>
      </w:r>
      <w:r w:rsidR="00C930BE" w:rsidRPr="006D4B85">
        <w:t>starší</w:t>
      </w:r>
      <w:r w:rsidR="00C930BE">
        <w:t xml:space="preserve"> </w:t>
      </w:r>
      <w:r w:rsidR="00C930BE" w:rsidRPr="006D4B85">
        <w:t>80</w:t>
      </w:r>
      <w:r w:rsidR="00C930BE">
        <w:t xml:space="preserve"> </w:t>
      </w:r>
      <w:r w:rsidR="00C930BE" w:rsidRPr="006D4B85">
        <w:t>let,</w:t>
      </w:r>
      <w:r w:rsidR="00C930BE">
        <w:t xml:space="preserve"> </w:t>
      </w:r>
      <w:r w:rsidR="00C930BE" w:rsidRPr="006D4B85">
        <w:t>jde-li</w:t>
      </w:r>
      <w:r w:rsidR="00C930BE">
        <w:t xml:space="preserve"> </w:t>
      </w:r>
      <w:r w:rsidR="00C930BE" w:rsidRPr="006D4B85">
        <w:t>o</w:t>
      </w:r>
      <w:r w:rsidR="00C930BE">
        <w:t xml:space="preserve"> </w:t>
      </w:r>
      <w:r w:rsidR="00C930BE" w:rsidRPr="006D4B85">
        <w:t>doby</w:t>
      </w:r>
      <w:r w:rsidR="00C930BE">
        <w:t xml:space="preserve"> </w:t>
      </w:r>
      <w:r w:rsidR="00C930BE" w:rsidRPr="006D4B85">
        <w:t>péče</w:t>
      </w:r>
      <w:r w:rsidR="00C930BE">
        <w:t xml:space="preserve"> </w:t>
      </w:r>
      <w:r w:rsidR="00C930BE" w:rsidRPr="006D4B85">
        <w:t>o</w:t>
      </w:r>
      <w:r w:rsidR="00C930BE">
        <w:t xml:space="preserve"> </w:t>
      </w:r>
      <w:r w:rsidR="00C930BE" w:rsidRPr="006D4B85">
        <w:t>tyto</w:t>
      </w:r>
      <w:r w:rsidR="00C930BE">
        <w:t xml:space="preserve"> </w:t>
      </w:r>
      <w:r w:rsidR="00C930BE" w:rsidRPr="006D4B85">
        <w:t>děti</w:t>
      </w:r>
      <w:r w:rsidR="00C930BE">
        <w:t xml:space="preserve"> </w:t>
      </w:r>
      <w:r w:rsidR="00C930BE" w:rsidRPr="006D4B85">
        <w:t>a</w:t>
      </w:r>
      <w:r w:rsidR="00C930BE">
        <w:t xml:space="preserve"> </w:t>
      </w:r>
      <w:r w:rsidR="00C930BE" w:rsidRPr="006D4B85">
        <w:t>bezmocné</w:t>
      </w:r>
      <w:r w:rsidR="00C930BE">
        <w:t xml:space="preserve"> </w:t>
      </w:r>
      <w:r w:rsidR="00C930BE" w:rsidRPr="006D4B85">
        <w:t>osoby</w:t>
      </w:r>
      <w:r w:rsidR="00C930BE">
        <w:t xml:space="preserve"> </w:t>
      </w:r>
      <w:r w:rsidR="00C930BE" w:rsidRPr="006D4B85">
        <w:t>po</w:t>
      </w:r>
      <w:r w:rsidR="00C930BE">
        <w:t xml:space="preserve"> </w:t>
      </w:r>
      <w:r w:rsidR="00C930BE" w:rsidRPr="006D4B85">
        <w:t>31.</w:t>
      </w:r>
      <w:r w:rsidR="00C930BE">
        <w:t xml:space="preserve"> </w:t>
      </w:r>
      <w:r w:rsidR="00C930BE" w:rsidRPr="006D4B85">
        <w:t>prosinci</w:t>
      </w:r>
      <w:r w:rsidR="00C930BE">
        <w:t xml:space="preserve"> </w:t>
      </w:r>
      <w:r w:rsidR="00C930BE" w:rsidRPr="006D4B85">
        <w:t>1995</w:t>
      </w:r>
      <w:r w:rsidR="00C930BE">
        <w:t xml:space="preserve"> </w:t>
      </w:r>
      <w:r w:rsidR="00C930BE" w:rsidRPr="006D4B85">
        <w:t>do</w:t>
      </w:r>
      <w:r w:rsidR="00C930BE">
        <w:t xml:space="preserve"> </w:t>
      </w:r>
      <w:r w:rsidR="00C930BE" w:rsidRPr="006D4B85">
        <w:t>31.</w:t>
      </w:r>
      <w:r w:rsidR="00C930BE">
        <w:t xml:space="preserve"> </w:t>
      </w:r>
      <w:r w:rsidR="00C930BE" w:rsidRPr="006D4B85">
        <w:t>prosince</w:t>
      </w:r>
      <w:r w:rsidR="00C930BE">
        <w:t xml:space="preserve"> </w:t>
      </w:r>
      <w:r w:rsidR="00C930BE" w:rsidRPr="006D4B85">
        <w:t>2006,</w:t>
      </w:r>
    </w:p>
    <w:p w14:paraId="62A96F58" w14:textId="7F39FB34" w:rsidR="00C930BE" w:rsidRPr="006D4B85" w:rsidRDefault="00AA7E38" w:rsidP="00AA7E38">
      <w:pPr>
        <w:pStyle w:val="Textparagrafu"/>
        <w:tabs>
          <w:tab w:val="left" w:pos="426"/>
          <w:tab w:val="left" w:pos="826"/>
        </w:tabs>
        <w:spacing w:before="0"/>
        <w:ind w:left="825" w:hanging="825"/>
      </w:pPr>
      <w:r>
        <w:tab/>
      </w:r>
      <w:r w:rsidR="00C930BE" w:rsidRPr="006D4B85">
        <w:t>12.</w:t>
      </w:r>
      <w:r w:rsidR="00F050B1">
        <w:tab/>
      </w:r>
      <w:r w:rsidR="00C930BE" w:rsidRPr="006D4B85">
        <w:t>o</w:t>
      </w:r>
      <w:r w:rsidR="00C930BE">
        <w:t xml:space="preserve"> </w:t>
      </w:r>
      <w:r w:rsidR="00C930BE" w:rsidRPr="006D4B85">
        <w:t>době</w:t>
      </w:r>
      <w:r w:rsidR="00C930BE">
        <w:t xml:space="preserve"> </w:t>
      </w:r>
      <w:r w:rsidR="00C930BE" w:rsidRPr="006D4B85">
        <w:t>a</w:t>
      </w:r>
      <w:r w:rsidR="00C930BE">
        <w:t xml:space="preserve"> </w:t>
      </w:r>
      <w:r w:rsidR="00C930BE" w:rsidRPr="006D4B85">
        <w:t>rozsahu</w:t>
      </w:r>
      <w:r w:rsidR="00C930BE">
        <w:t xml:space="preserve"> </w:t>
      </w:r>
      <w:r w:rsidR="00C930BE" w:rsidRPr="006D4B85">
        <w:t>péče</w:t>
      </w:r>
      <w:r w:rsidR="00C930BE">
        <w:t xml:space="preserve"> </w:t>
      </w:r>
      <w:r w:rsidR="00C930BE" w:rsidRPr="006D4B85">
        <w:t>osoby</w:t>
      </w:r>
      <w:r w:rsidR="00C930BE">
        <w:t xml:space="preserve"> </w:t>
      </w:r>
      <w:r w:rsidR="00C930BE" w:rsidRPr="006D4B85">
        <w:t>pečující</w:t>
      </w:r>
      <w:r w:rsidR="00C930BE">
        <w:t xml:space="preserve"> </w:t>
      </w:r>
      <w:r w:rsidR="00C930BE" w:rsidRPr="006D4B85">
        <w:t>osobně</w:t>
      </w:r>
      <w:r w:rsidR="00C930BE">
        <w:t xml:space="preserve"> </w:t>
      </w:r>
      <w:r w:rsidR="00C930BE" w:rsidRPr="006D4B85">
        <w:t>o</w:t>
      </w:r>
      <w:r w:rsidR="00C930BE">
        <w:t xml:space="preserve"> </w:t>
      </w:r>
      <w:r w:rsidR="00C930BE" w:rsidRPr="006D4B85">
        <w:t>osobu,</w:t>
      </w:r>
      <w:r w:rsidR="00C930BE">
        <w:t xml:space="preserve"> </w:t>
      </w:r>
      <w:r w:rsidR="00C930BE" w:rsidRPr="006D4B85">
        <w:t>která</w:t>
      </w:r>
      <w:r w:rsidR="00C930BE">
        <w:t xml:space="preserve"> </w:t>
      </w:r>
      <w:r w:rsidR="00C930BE" w:rsidRPr="006D4B85">
        <w:t>je</w:t>
      </w:r>
      <w:r w:rsidR="00C930BE">
        <w:t xml:space="preserve"> </w:t>
      </w:r>
      <w:r w:rsidR="00C930BE" w:rsidRPr="006D4B85">
        <w:t>podle</w:t>
      </w:r>
      <w:r w:rsidR="00C930BE">
        <w:t xml:space="preserve"> </w:t>
      </w:r>
      <w:r w:rsidR="00C930BE" w:rsidRPr="006D4B85">
        <w:t>zvláštního</w:t>
      </w:r>
      <w:r w:rsidR="00C930BE">
        <w:t xml:space="preserve"> </w:t>
      </w:r>
      <w:r w:rsidR="00C930BE" w:rsidRPr="006D4B85">
        <w:t>právního</w:t>
      </w:r>
      <w:r w:rsidR="00C930BE">
        <w:t xml:space="preserve"> </w:t>
      </w:r>
      <w:r w:rsidR="00D20567">
        <w:t>předpisu</w:t>
      </w:r>
      <w:r w:rsidR="00D20567">
        <w:rPr>
          <w:rStyle w:val="Znakapoznpodarou"/>
        </w:rPr>
        <w:footnoteReference w:customMarkFollows="1" w:id="91"/>
        <w:t>52b)</w:t>
      </w:r>
      <w:r w:rsidR="00C930BE">
        <w:t xml:space="preserve"> </w:t>
      </w:r>
      <w:r w:rsidR="00C930BE" w:rsidRPr="006D4B85">
        <w:t>závislá</w:t>
      </w:r>
      <w:r w:rsidR="00C930BE">
        <w:t xml:space="preserve"> </w:t>
      </w:r>
      <w:r w:rsidR="00C930BE" w:rsidRPr="006D4B85">
        <w:t>na</w:t>
      </w:r>
      <w:r w:rsidR="00C930BE">
        <w:t xml:space="preserve"> </w:t>
      </w:r>
      <w:r w:rsidR="00C930BE" w:rsidRPr="006D4B85">
        <w:t>pomoci</w:t>
      </w:r>
      <w:r w:rsidR="00C930BE">
        <w:t xml:space="preserve"> </w:t>
      </w:r>
      <w:r w:rsidR="00C930BE" w:rsidRPr="006D4B85">
        <w:t>jiné</w:t>
      </w:r>
      <w:r w:rsidR="00C930BE">
        <w:t xml:space="preserve"> </w:t>
      </w:r>
      <w:r w:rsidR="00C930BE" w:rsidRPr="006D4B85">
        <w:t>osoby</w:t>
      </w:r>
      <w:r w:rsidR="00C930BE">
        <w:t xml:space="preserve"> </w:t>
      </w:r>
      <w:r w:rsidR="00C930BE" w:rsidRPr="006D4B85">
        <w:t>ve</w:t>
      </w:r>
      <w:r w:rsidR="00C930BE">
        <w:t xml:space="preserve"> </w:t>
      </w:r>
      <w:r w:rsidR="00C930BE" w:rsidRPr="006D4B85">
        <w:t>stupni</w:t>
      </w:r>
      <w:r w:rsidR="00C930BE">
        <w:t xml:space="preserve"> </w:t>
      </w:r>
      <w:r w:rsidR="00C930BE" w:rsidRPr="006D4B85">
        <w:t>II</w:t>
      </w:r>
      <w:r w:rsidR="00C930BE">
        <w:t xml:space="preserve"> </w:t>
      </w:r>
      <w:r w:rsidR="00C930BE" w:rsidRPr="006D4B85">
        <w:t>(středně</w:t>
      </w:r>
      <w:r w:rsidR="00C930BE">
        <w:t xml:space="preserve"> </w:t>
      </w:r>
      <w:r w:rsidR="00C930BE" w:rsidRPr="006D4B85">
        <w:t>těžká</w:t>
      </w:r>
      <w:r w:rsidR="00C930BE">
        <w:t xml:space="preserve"> </w:t>
      </w:r>
      <w:r w:rsidR="00C930BE" w:rsidRPr="006D4B85">
        <w:t>závislost)</w:t>
      </w:r>
      <w:r w:rsidR="00C930BE">
        <w:t xml:space="preserve"> </w:t>
      </w:r>
      <w:r w:rsidR="00C930BE" w:rsidRPr="006D4B85">
        <w:t>nebo</w:t>
      </w:r>
      <w:r w:rsidR="00C930BE">
        <w:t xml:space="preserve"> </w:t>
      </w:r>
      <w:r w:rsidR="00C930BE" w:rsidRPr="006D4B85">
        <w:t>stupni</w:t>
      </w:r>
      <w:r w:rsidR="00C930BE">
        <w:t xml:space="preserve"> </w:t>
      </w:r>
      <w:r w:rsidR="00C930BE" w:rsidRPr="006D4B85">
        <w:t>III</w:t>
      </w:r>
      <w:r w:rsidR="00C930BE">
        <w:t xml:space="preserve"> </w:t>
      </w:r>
      <w:r w:rsidR="00C930BE" w:rsidRPr="006D4B85">
        <w:t>(těžká</w:t>
      </w:r>
      <w:r w:rsidR="00C930BE">
        <w:t xml:space="preserve"> </w:t>
      </w:r>
      <w:r w:rsidR="00C930BE" w:rsidRPr="006D4B85">
        <w:t>závislost)</w:t>
      </w:r>
      <w:r w:rsidR="00C930BE">
        <w:t xml:space="preserve"> </w:t>
      </w:r>
      <w:r w:rsidR="00C930BE" w:rsidRPr="006D4B85">
        <w:t>anebo</w:t>
      </w:r>
      <w:r w:rsidR="00C930BE">
        <w:t xml:space="preserve"> </w:t>
      </w:r>
      <w:r w:rsidR="00C930BE" w:rsidRPr="006D4B85">
        <w:t>stupni</w:t>
      </w:r>
      <w:r w:rsidR="00C930BE">
        <w:t xml:space="preserve"> </w:t>
      </w:r>
      <w:r w:rsidR="00C930BE" w:rsidRPr="006D4B85">
        <w:t>IV</w:t>
      </w:r>
      <w:r w:rsidR="00C930BE">
        <w:t xml:space="preserve"> </w:t>
      </w:r>
      <w:r w:rsidR="00C930BE" w:rsidRPr="006D4B85">
        <w:t>(úplná</w:t>
      </w:r>
      <w:r w:rsidR="00C930BE">
        <w:t xml:space="preserve"> </w:t>
      </w:r>
      <w:r w:rsidR="00C930BE" w:rsidRPr="006D4B85">
        <w:t>závislost),</w:t>
      </w:r>
      <w:r w:rsidR="00C930BE">
        <w:t xml:space="preserve"> </w:t>
      </w:r>
      <w:r w:rsidR="00C930BE" w:rsidRPr="006D4B85">
        <w:t>jde-li</w:t>
      </w:r>
      <w:r w:rsidR="00C930BE">
        <w:t xml:space="preserve"> </w:t>
      </w:r>
      <w:r w:rsidR="00C930BE" w:rsidRPr="006D4B85">
        <w:t>o</w:t>
      </w:r>
      <w:r w:rsidR="00C930BE">
        <w:t xml:space="preserve"> </w:t>
      </w:r>
      <w:r w:rsidR="00C930BE" w:rsidRPr="006D4B85">
        <w:t>dobu</w:t>
      </w:r>
      <w:r w:rsidR="00C930BE">
        <w:t xml:space="preserve"> </w:t>
      </w:r>
      <w:r w:rsidR="00C930BE" w:rsidRPr="006D4B85">
        <w:t>péče</w:t>
      </w:r>
      <w:r w:rsidR="00C930BE">
        <w:t xml:space="preserve"> </w:t>
      </w:r>
      <w:r w:rsidR="00C930BE" w:rsidRPr="006D4B85">
        <w:t>o</w:t>
      </w:r>
      <w:r w:rsidR="00C930BE">
        <w:t xml:space="preserve"> </w:t>
      </w:r>
      <w:r w:rsidR="00C930BE" w:rsidRPr="006D4B85">
        <w:t>tuto</w:t>
      </w:r>
      <w:r w:rsidR="00C930BE">
        <w:t xml:space="preserve"> </w:t>
      </w:r>
      <w:r w:rsidR="00C930BE" w:rsidRPr="006D4B85">
        <w:t>osobu</w:t>
      </w:r>
      <w:r w:rsidR="00C930BE">
        <w:t xml:space="preserve"> </w:t>
      </w:r>
      <w:r w:rsidR="00C930BE" w:rsidRPr="006D4B85">
        <w:t>po</w:t>
      </w:r>
      <w:r w:rsidR="00C930BE">
        <w:t xml:space="preserve"> </w:t>
      </w:r>
      <w:r w:rsidR="00C930BE" w:rsidRPr="006D4B85">
        <w:t>31.</w:t>
      </w:r>
      <w:r w:rsidR="00C930BE">
        <w:t xml:space="preserve"> </w:t>
      </w:r>
      <w:r w:rsidR="00C930BE" w:rsidRPr="006D4B85">
        <w:t>prosinci</w:t>
      </w:r>
      <w:r w:rsidR="00C930BE">
        <w:t xml:space="preserve"> </w:t>
      </w:r>
      <w:r w:rsidR="00C930BE" w:rsidRPr="006D4B85">
        <w:t>2006,</w:t>
      </w:r>
      <w:r w:rsidR="00C930BE">
        <w:t xml:space="preserve"> </w:t>
      </w:r>
      <w:r w:rsidR="00C930BE" w:rsidRPr="006D4B85">
        <w:t>a</w:t>
      </w:r>
      <w:r w:rsidR="00C930BE">
        <w:t xml:space="preserve"> </w:t>
      </w:r>
      <w:r w:rsidR="00C930BE" w:rsidRPr="006D4B85">
        <w:t>o</w:t>
      </w:r>
      <w:r w:rsidR="00C930BE">
        <w:t xml:space="preserve"> </w:t>
      </w:r>
      <w:r w:rsidR="00C930BE" w:rsidRPr="006D4B85">
        <w:t>době</w:t>
      </w:r>
      <w:r w:rsidR="00C930BE">
        <w:t xml:space="preserve"> </w:t>
      </w:r>
      <w:r w:rsidR="00C930BE" w:rsidRPr="006D4B85">
        <w:t>a</w:t>
      </w:r>
      <w:r w:rsidR="00C930BE">
        <w:t xml:space="preserve"> </w:t>
      </w:r>
      <w:r w:rsidR="00C930BE" w:rsidRPr="006D4B85">
        <w:t>rozsahu</w:t>
      </w:r>
      <w:r w:rsidR="00C930BE">
        <w:t xml:space="preserve"> </w:t>
      </w:r>
      <w:r w:rsidR="00C930BE" w:rsidRPr="006D4B85">
        <w:t>péče</w:t>
      </w:r>
      <w:r w:rsidR="00C930BE">
        <w:t xml:space="preserve"> </w:t>
      </w:r>
      <w:r w:rsidR="00C930BE" w:rsidRPr="006D4B85">
        <w:t>osoby</w:t>
      </w:r>
      <w:r w:rsidR="00C930BE">
        <w:t xml:space="preserve"> </w:t>
      </w:r>
      <w:r w:rsidR="00C930BE" w:rsidRPr="006D4B85">
        <w:t>pečující</w:t>
      </w:r>
      <w:r w:rsidR="00C930BE">
        <w:t xml:space="preserve"> </w:t>
      </w:r>
      <w:r w:rsidR="00C930BE" w:rsidRPr="006D4B85">
        <w:t>osobně</w:t>
      </w:r>
      <w:r w:rsidR="00C930BE">
        <w:t xml:space="preserve"> </w:t>
      </w:r>
      <w:r w:rsidR="00C930BE" w:rsidRPr="006D4B85">
        <w:t>o</w:t>
      </w:r>
      <w:r w:rsidR="00C930BE">
        <w:t xml:space="preserve"> </w:t>
      </w:r>
      <w:r w:rsidR="00C930BE" w:rsidRPr="006D4B85">
        <w:t>osobu</w:t>
      </w:r>
      <w:r w:rsidR="00C930BE">
        <w:t xml:space="preserve"> </w:t>
      </w:r>
      <w:r w:rsidR="00C930BE" w:rsidRPr="006D4B85">
        <w:t>mladší</w:t>
      </w:r>
      <w:r w:rsidR="00C930BE">
        <w:t xml:space="preserve"> </w:t>
      </w:r>
      <w:r w:rsidR="00C930BE" w:rsidRPr="006D4B85">
        <w:t>10</w:t>
      </w:r>
      <w:r w:rsidR="00C930BE">
        <w:t xml:space="preserve"> </w:t>
      </w:r>
      <w:r w:rsidR="00C930BE" w:rsidRPr="006D4B85">
        <w:t>let,</w:t>
      </w:r>
      <w:r w:rsidR="00C930BE">
        <w:t xml:space="preserve"> </w:t>
      </w:r>
      <w:r w:rsidR="00C930BE" w:rsidRPr="006D4B85">
        <w:t>která</w:t>
      </w:r>
      <w:r w:rsidR="00C930BE">
        <w:t xml:space="preserve"> </w:t>
      </w:r>
      <w:r w:rsidR="00C930BE" w:rsidRPr="006D4B85">
        <w:t>je</w:t>
      </w:r>
      <w:r w:rsidR="00C930BE">
        <w:t xml:space="preserve"> </w:t>
      </w:r>
      <w:r w:rsidR="00C930BE" w:rsidRPr="006D4B85">
        <w:t>podle</w:t>
      </w:r>
      <w:r w:rsidR="00C930BE">
        <w:t xml:space="preserve"> </w:t>
      </w:r>
      <w:r w:rsidR="00C930BE" w:rsidRPr="006D4B85">
        <w:t>zvláštního</w:t>
      </w:r>
      <w:r w:rsidR="00C930BE">
        <w:t xml:space="preserve"> </w:t>
      </w:r>
      <w:r w:rsidR="00C930BE" w:rsidRPr="006D4B85">
        <w:t>právního</w:t>
      </w:r>
      <w:r w:rsidR="00C930BE">
        <w:t xml:space="preserve"> </w:t>
      </w:r>
      <w:r w:rsidR="001E2394">
        <w:t>předpisu</w:t>
      </w:r>
      <w:r w:rsidR="00D20567" w:rsidRPr="00D20567">
        <w:rPr>
          <w:vertAlign w:val="superscript"/>
        </w:rPr>
        <w:t>52b</w:t>
      </w:r>
      <w:r w:rsidR="001E2394">
        <w:rPr>
          <w:rStyle w:val="Znakapoznpodarou"/>
        </w:rPr>
        <w:t>)</w:t>
      </w:r>
      <w:r w:rsidR="00D20567">
        <w:t xml:space="preserve"> </w:t>
      </w:r>
      <w:r w:rsidR="00C930BE" w:rsidRPr="006D4B85">
        <w:t>závislá</w:t>
      </w:r>
      <w:r w:rsidR="00C930BE">
        <w:t xml:space="preserve"> </w:t>
      </w:r>
      <w:r w:rsidR="00C930BE" w:rsidRPr="006D4B85">
        <w:t>na</w:t>
      </w:r>
      <w:r w:rsidR="00C930BE">
        <w:t xml:space="preserve"> </w:t>
      </w:r>
      <w:r w:rsidR="00C930BE" w:rsidRPr="006D4B85">
        <w:t>pomoci</w:t>
      </w:r>
      <w:r w:rsidR="00C930BE">
        <w:t xml:space="preserve"> </w:t>
      </w:r>
      <w:r w:rsidR="00C930BE" w:rsidRPr="006D4B85">
        <w:t>jiné</w:t>
      </w:r>
      <w:r w:rsidR="00C930BE">
        <w:t xml:space="preserve"> </w:t>
      </w:r>
      <w:r w:rsidR="00C930BE" w:rsidRPr="006D4B85">
        <w:t>osoby</w:t>
      </w:r>
      <w:r w:rsidR="00C930BE">
        <w:t xml:space="preserve"> </w:t>
      </w:r>
      <w:r w:rsidR="00C930BE" w:rsidRPr="006D4B85">
        <w:t>ve</w:t>
      </w:r>
      <w:r w:rsidR="00C930BE">
        <w:t xml:space="preserve"> </w:t>
      </w:r>
      <w:r w:rsidR="00C930BE" w:rsidRPr="006D4B85">
        <w:t>stupni</w:t>
      </w:r>
      <w:r w:rsidR="00C930BE">
        <w:t xml:space="preserve"> </w:t>
      </w:r>
      <w:r w:rsidR="00C930BE" w:rsidRPr="006D4B85">
        <w:t>I</w:t>
      </w:r>
      <w:r w:rsidR="00C930BE">
        <w:t xml:space="preserve"> </w:t>
      </w:r>
      <w:r w:rsidR="00C930BE" w:rsidRPr="006D4B85">
        <w:t>(lehká</w:t>
      </w:r>
      <w:r w:rsidR="00C930BE">
        <w:t xml:space="preserve"> </w:t>
      </w:r>
      <w:r w:rsidR="00C930BE" w:rsidRPr="006D4B85">
        <w:t>závislost),</w:t>
      </w:r>
    </w:p>
    <w:p w14:paraId="1921619B" w14:textId="6E6703E8" w:rsidR="00C930BE" w:rsidRPr="006D4B85" w:rsidRDefault="00AA7E38" w:rsidP="00AA7E38">
      <w:pPr>
        <w:pStyle w:val="Textparagrafu"/>
        <w:tabs>
          <w:tab w:val="left" w:pos="426"/>
          <w:tab w:val="left" w:pos="826"/>
        </w:tabs>
        <w:spacing w:before="0"/>
        <w:ind w:left="825" w:hanging="825"/>
      </w:pPr>
      <w:r>
        <w:tab/>
      </w:r>
      <w:r w:rsidR="00C930BE" w:rsidRPr="006D4B85">
        <w:t>13.</w:t>
      </w:r>
      <w:r w:rsidR="00F050B1">
        <w:tab/>
      </w:r>
      <w:r w:rsidR="00C930BE" w:rsidRPr="006D4B85">
        <w:t>o</w:t>
      </w:r>
      <w:r w:rsidR="00C930BE">
        <w:t xml:space="preserve"> </w:t>
      </w:r>
      <w:r w:rsidR="00C930BE" w:rsidRPr="006D4B85">
        <w:t>tom,</w:t>
      </w:r>
      <w:r w:rsidR="00C930BE">
        <w:t xml:space="preserve"> </w:t>
      </w:r>
      <w:r w:rsidR="00C930BE" w:rsidRPr="006D4B85">
        <w:t>zda</w:t>
      </w:r>
      <w:r w:rsidR="00C930BE">
        <w:t xml:space="preserve"> </w:t>
      </w:r>
      <w:r w:rsidR="00C930BE" w:rsidRPr="006D4B85">
        <w:t>osoba</w:t>
      </w:r>
      <w:r w:rsidR="00C930BE">
        <w:t xml:space="preserve"> </w:t>
      </w:r>
      <w:r w:rsidR="00C930BE" w:rsidRPr="006D4B85">
        <w:t>samostatně</w:t>
      </w:r>
      <w:r w:rsidR="00C930BE">
        <w:t xml:space="preserve"> </w:t>
      </w:r>
      <w:r w:rsidR="00C930BE" w:rsidRPr="006D4B85">
        <w:t>výdělečně</w:t>
      </w:r>
      <w:r w:rsidR="00C930BE">
        <w:t xml:space="preserve"> </w:t>
      </w:r>
      <w:r w:rsidR="00C930BE" w:rsidRPr="006D4B85">
        <w:t>činná</w:t>
      </w:r>
      <w:r w:rsidR="00C930BE">
        <w:t xml:space="preserve"> </w:t>
      </w:r>
      <w:r w:rsidR="00C930BE" w:rsidRPr="006D4B85">
        <w:t>pečuje</w:t>
      </w:r>
      <w:r w:rsidR="00C930BE">
        <w:t xml:space="preserve"> </w:t>
      </w:r>
      <w:r w:rsidR="00C930BE" w:rsidRPr="006D4B85">
        <w:t>o</w:t>
      </w:r>
      <w:r w:rsidR="00C930BE">
        <w:t xml:space="preserve"> </w:t>
      </w:r>
      <w:r w:rsidR="00C930BE" w:rsidRPr="006D4B85">
        <w:t>dítě</w:t>
      </w:r>
      <w:r w:rsidR="00C930BE">
        <w:t xml:space="preserve"> </w:t>
      </w:r>
      <w:r w:rsidR="00C930BE" w:rsidRPr="006D4B85">
        <w:t>do</w:t>
      </w:r>
      <w:r w:rsidR="00C930BE">
        <w:t xml:space="preserve"> </w:t>
      </w:r>
      <w:r w:rsidR="00C930BE" w:rsidRPr="006D4B85">
        <w:t>4</w:t>
      </w:r>
      <w:r w:rsidR="00C930BE">
        <w:t xml:space="preserve"> </w:t>
      </w:r>
      <w:r w:rsidR="00C930BE" w:rsidRPr="006D4B85">
        <w:t>let</w:t>
      </w:r>
      <w:r w:rsidR="00C930BE">
        <w:t xml:space="preserve"> </w:t>
      </w:r>
      <w:r w:rsidR="00C930BE" w:rsidRPr="006D4B85">
        <w:t>věku</w:t>
      </w:r>
      <w:r w:rsidR="00C930BE">
        <w:t xml:space="preserve"> </w:t>
      </w:r>
      <w:r w:rsidR="00C930BE" w:rsidRPr="006D4B85">
        <w:t>nebo</w:t>
      </w:r>
      <w:r w:rsidR="00C930BE">
        <w:t xml:space="preserve"> </w:t>
      </w:r>
      <w:r w:rsidR="00C930BE" w:rsidRPr="006D4B85">
        <w:t>o</w:t>
      </w:r>
      <w:r w:rsidR="00C930BE">
        <w:t xml:space="preserve"> </w:t>
      </w:r>
      <w:r w:rsidR="00C930BE" w:rsidRPr="006D4B85">
        <w:t>osobu</w:t>
      </w:r>
      <w:r w:rsidR="00C930BE">
        <w:t xml:space="preserve"> </w:t>
      </w:r>
      <w:r w:rsidR="00C930BE" w:rsidRPr="006D4B85">
        <w:t>mladší</w:t>
      </w:r>
      <w:r w:rsidR="00C930BE">
        <w:t xml:space="preserve"> </w:t>
      </w:r>
      <w:r w:rsidR="00C930BE" w:rsidRPr="006D4B85">
        <w:t>10</w:t>
      </w:r>
      <w:r w:rsidR="00C930BE">
        <w:t xml:space="preserve"> </w:t>
      </w:r>
      <w:r w:rsidR="00C930BE" w:rsidRPr="006D4B85">
        <w:t>let,</w:t>
      </w:r>
      <w:r w:rsidR="00C930BE">
        <w:t xml:space="preserve"> </w:t>
      </w:r>
      <w:r w:rsidR="00C930BE" w:rsidRPr="006D4B85">
        <w:t>která</w:t>
      </w:r>
      <w:r w:rsidR="00C930BE">
        <w:t xml:space="preserve"> </w:t>
      </w:r>
      <w:r w:rsidR="00C930BE" w:rsidRPr="006D4B85">
        <w:t>je</w:t>
      </w:r>
      <w:r w:rsidR="00C930BE">
        <w:t xml:space="preserve"> </w:t>
      </w:r>
      <w:r w:rsidR="00C930BE" w:rsidRPr="006D4B85">
        <w:t>závislá</w:t>
      </w:r>
      <w:r w:rsidR="00C930BE">
        <w:t xml:space="preserve"> </w:t>
      </w:r>
      <w:r w:rsidR="00C930BE" w:rsidRPr="006D4B85">
        <w:t>na</w:t>
      </w:r>
      <w:r w:rsidR="00C930BE">
        <w:t xml:space="preserve"> </w:t>
      </w:r>
      <w:r w:rsidR="00C930BE" w:rsidRPr="006D4B85">
        <w:t>pomoci</w:t>
      </w:r>
      <w:r w:rsidR="00C930BE">
        <w:t xml:space="preserve"> </w:t>
      </w:r>
      <w:r w:rsidR="00C930BE" w:rsidRPr="006D4B85">
        <w:t>jiné</w:t>
      </w:r>
      <w:r w:rsidR="00C930BE">
        <w:t xml:space="preserve"> </w:t>
      </w:r>
      <w:r w:rsidR="00C930BE" w:rsidRPr="006D4B85">
        <w:t>osoby</w:t>
      </w:r>
      <w:r w:rsidR="00C930BE">
        <w:t xml:space="preserve"> </w:t>
      </w:r>
      <w:r w:rsidR="00C930BE" w:rsidRPr="006D4B85">
        <w:t>ve</w:t>
      </w:r>
      <w:r w:rsidR="00C930BE">
        <w:t xml:space="preserve"> </w:t>
      </w:r>
      <w:r w:rsidR="00C930BE" w:rsidRPr="006D4B85">
        <w:t>stupni</w:t>
      </w:r>
      <w:r w:rsidR="00C930BE">
        <w:t xml:space="preserve"> </w:t>
      </w:r>
      <w:r w:rsidR="00C930BE" w:rsidRPr="006D4B85">
        <w:t>I</w:t>
      </w:r>
      <w:r w:rsidR="00C930BE">
        <w:t xml:space="preserve"> </w:t>
      </w:r>
      <w:r w:rsidR="00C930BE" w:rsidRPr="006D4B85">
        <w:t>(lehká</w:t>
      </w:r>
      <w:r w:rsidR="00C930BE">
        <w:t xml:space="preserve"> </w:t>
      </w:r>
      <w:r w:rsidR="00C930BE" w:rsidRPr="006D4B85">
        <w:t>závislost),</w:t>
      </w:r>
      <w:r w:rsidR="00C930BE">
        <w:t xml:space="preserve"> </w:t>
      </w:r>
      <w:r w:rsidR="00C930BE" w:rsidRPr="006D4B85">
        <w:t>nebo</w:t>
      </w:r>
      <w:r w:rsidR="00C930BE">
        <w:t xml:space="preserve"> </w:t>
      </w:r>
      <w:r w:rsidR="00C930BE" w:rsidRPr="006D4B85">
        <w:t>o</w:t>
      </w:r>
      <w:r w:rsidR="00C930BE">
        <w:t xml:space="preserve"> </w:t>
      </w:r>
      <w:r w:rsidR="00C930BE" w:rsidRPr="006D4B85">
        <w:t>osobu,</w:t>
      </w:r>
      <w:r w:rsidR="00C930BE">
        <w:t xml:space="preserve"> </w:t>
      </w:r>
      <w:r w:rsidR="00C930BE" w:rsidRPr="006D4B85">
        <w:t>která</w:t>
      </w:r>
      <w:r w:rsidR="00C930BE">
        <w:t xml:space="preserve"> </w:t>
      </w:r>
      <w:r w:rsidR="00C930BE" w:rsidRPr="006D4B85">
        <w:t>je</w:t>
      </w:r>
      <w:r w:rsidR="00C930BE">
        <w:t xml:space="preserve"> </w:t>
      </w:r>
      <w:r w:rsidR="00C930BE" w:rsidRPr="006D4B85">
        <w:t>závislá</w:t>
      </w:r>
      <w:r w:rsidR="00C930BE">
        <w:t xml:space="preserve"> </w:t>
      </w:r>
      <w:r w:rsidR="00C930BE" w:rsidRPr="006D4B85">
        <w:t>na</w:t>
      </w:r>
      <w:r w:rsidR="00C930BE">
        <w:t xml:space="preserve"> </w:t>
      </w:r>
      <w:r w:rsidR="00C930BE" w:rsidRPr="006D4B85">
        <w:t>pomoci</w:t>
      </w:r>
      <w:r w:rsidR="00C930BE">
        <w:t xml:space="preserve"> </w:t>
      </w:r>
      <w:r w:rsidR="00C930BE" w:rsidRPr="006D4B85">
        <w:t>jiné</w:t>
      </w:r>
      <w:r w:rsidR="00C930BE">
        <w:t xml:space="preserve"> </w:t>
      </w:r>
      <w:r w:rsidR="00C930BE" w:rsidRPr="006D4B85">
        <w:t>osoby</w:t>
      </w:r>
      <w:r w:rsidR="00C930BE">
        <w:t xml:space="preserve"> </w:t>
      </w:r>
      <w:r w:rsidR="00C930BE" w:rsidRPr="006D4B85">
        <w:t>ve</w:t>
      </w:r>
      <w:r w:rsidR="00C930BE">
        <w:t xml:space="preserve"> </w:t>
      </w:r>
      <w:r w:rsidR="00C930BE" w:rsidRPr="006D4B85">
        <w:t>stupni</w:t>
      </w:r>
      <w:r w:rsidR="00C930BE">
        <w:t xml:space="preserve"> </w:t>
      </w:r>
      <w:r w:rsidR="00C930BE" w:rsidRPr="006D4B85">
        <w:t>II</w:t>
      </w:r>
      <w:r w:rsidR="00C930BE">
        <w:t xml:space="preserve"> </w:t>
      </w:r>
      <w:r w:rsidR="00C930BE" w:rsidRPr="006D4B85">
        <w:t>(středně</w:t>
      </w:r>
      <w:r w:rsidR="00C930BE">
        <w:t xml:space="preserve"> </w:t>
      </w:r>
      <w:r w:rsidR="00C930BE" w:rsidRPr="006D4B85">
        <w:t>těžká</w:t>
      </w:r>
      <w:r w:rsidR="00C930BE">
        <w:t xml:space="preserve"> </w:t>
      </w:r>
      <w:r w:rsidR="00C930BE" w:rsidRPr="006D4B85">
        <w:t>závislost)</w:t>
      </w:r>
      <w:r w:rsidR="00C930BE">
        <w:t xml:space="preserve"> </w:t>
      </w:r>
      <w:r w:rsidR="00C930BE" w:rsidRPr="006D4B85">
        <w:t>nebo</w:t>
      </w:r>
      <w:r w:rsidR="00C930BE">
        <w:t xml:space="preserve"> </w:t>
      </w:r>
      <w:r w:rsidR="00C930BE" w:rsidRPr="006D4B85">
        <w:t>ve</w:t>
      </w:r>
      <w:r w:rsidR="00C930BE">
        <w:t xml:space="preserve"> </w:t>
      </w:r>
      <w:r w:rsidR="00C930BE" w:rsidRPr="006D4B85">
        <w:t>stupni</w:t>
      </w:r>
      <w:r w:rsidR="00C930BE">
        <w:t xml:space="preserve"> </w:t>
      </w:r>
      <w:r w:rsidR="00C930BE" w:rsidRPr="006D4B85">
        <w:t>III</w:t>
      </w:r>
      <w:r w:rsidR="00C930BE">
        <w:t xml:space="preserve"> </w:t>
      </w:r>
      <w:r w:rsidR="00C930BE" w:rsidRPr="006D4B85">
        <w:t>(těžká</w:t>
      </w:r>
      <w:r w:rsidR="00C930BE">
        <w:t xml:space="preserve"> </w:t>
      </w:r>
      <w:r w:rsidR="00C930BE" w:rsidRPr="006D4B85">
        <w:t>závislost)</w:t>
      </w:r>
      <w:r w:rsidR="00C930BE">
        <w:t xml:space="preserve"> </w:t>
      </w:r>
      <w:r w:rsidR="00C930BE" w:rsidRPr="006D4B85">
        <w:t>anebo</w:t>
      </w:r>
      <w:r w:rsidR="00C930BE">
        <w:t xml:space="preserve"> </w:t>
      </w:r>
      <w:r w:rsidR="00C930BE" w:rsidRPr="006D4B85">
        <w:t>ve</w:t>
      </w:r>
      <w:r w:rsidR="00C930BE">
        <w:t xml:space="preserve"> </w:t>
      </w:r>
      <w:r w:rsidR="00C930BE" w:rsidRPr="006D4B85">
        <w:t>stupni</w:t>
      </w:r>
      <w:r w:rsidR="00C930BE">
        <w:t xml:space="preserve"> </w:t>
      </w:r>
      <w:r w:rsidR="00C930BE" w:rsidRPr="006D4B85">
        <w:t>IV</w:t>
      </w:r>
      <w:r w:rsidR="00C930BE">
        <w:t xml:space="preserve"> </w:t>
      </w:r>
      <w:r w:rsidR="00C930BE" w:rsidRPr="006D4B85">
        <w:t>(úplná</w:t>
      </w:r>
      <w:r w:rsidR="00C930BE">
        <w:t xml:space="preserve"> </w:t>
      </w:r>
      <w:r w:rsidR="00C930BE" w:rsidRPr="006D4B85">
        <w:t>závislost),</w:t>
      </w:r>
      <w:r w:rsidR="00C930BE">
        <w:t xml:space="preserve"> </w:t>
      </w:r>
      <w:r w:rsidR="00C930BE" w:rsidRPr="006D4B85">
        <w:t>v</w:t>
      </w:r>
      <w:r w:rsidR="00C930BE">
        <w:t xml:space="preserve"> </w:t>
      </w:r>
      <w:r w:rsidR="00C930BE" w:rsidRPr="006D4B85">
        <w:t>největším</w:t>
      </w:r>
      <w:r w:rsidR="00C930BE">
        <w:t xml:space="preserve"> </w:t>
      </w:r>
      <w:r w:rsidR="00D20567">
        <w:t>rozsahu</w:t>
      </w:r>
      <w:r w:rsidR="001E2394">
        <w:rPr>
          <w:rStyle w:val="Znakapoznpodarou"/>
        </w:rPr>
        <w:footnoteReference w:customMarkFollows="1" w:id="92"/>
        <w:t>52c)</w:t>
      </w:r>
      <w:r w:rsidR="00C930BE" w:rsidRPr="006D4B85">
        <w:t>,</w:t>
      </w:r>
      <w:r w:rsidR="00C930BE">
        <w:t xml:space="preserve"> </w:t>
      </w:r>
      <w:r w:rsidR="00C930BE" w:rsidRPr="006D4B85">
        <w:t>a</w:t>
      </w:r>
      <w:r w:rsidR="00C930BE">
        <w:t xml:space="preserve"> </w:t>
      </w:r>
      <w:r w:rsidR="00C930BE" w:rsidRPr="006D4B85">
        <w:t>o</w:t>
      </w:r>
      <w:r w:rsidR="00C930BE">
        <w:t xml:space="preserve"> </w:t>
      </w:r>
      <w:r w:rsidR="00C930BE" w:rsidRPr="006D4B85">
        <w:t>tom,</w:t>
      </w:r>
      <w:r w:rsidR="00C930BE">
        <w:t xml:space="preserve"> </w:t>
      </w:r>
      <w:r w:rsidR="00C930BE" w:rsidRPr="006D4B85">
        <w:t>u</w:t>
      </w:r>
      <w:r w:rsidR="00C930BE">
        <w:t xml:space="preserve"> </w:t>
      </w:r>
      <w:r w:rsidR="00C930BE" w:rsidRPr="006D4B85">
        <w:t>koho</w:t>
      </w:r>
      <w:r w:rsidR="00C930BE">
        <w:t xml:space="preserve"> </w:t>
      </w:r>
      <w:r w:rsidR="00C930BE" w:rsidRPr="006D4B85">
        <w:t>se</w:t>
      </w:r>
      <w:r w:rsidR="00C930BE">
        <w:t xml:space="preserve"> </w:t>
      </w:r>
      <w:r w:rsidR="00C930BE" w:rsidRPr="006D4B85">
        <w:t>v</w:t>
      </w:r>
      <w:r w:rsidR="00C930BE">
        <w:t xml:space="preserve"> </w:t>
      </w:r>
      <w:r w:rsidR="00C930BE" w:rsidRPr="006D4B85">
        <w:t>případě</w:t>
      </w:r>
      <w:r w:rsidR="00C930BE">
        <w:t xml:space="preserve"> </w:t>
      </w:r>
      <w:r w:rsidR="00C930BE" w:rsidRPr="006D4B85">
        <w:t>současné</w:t>
      </w:r>
      <w:r w:rsidR="00C930BE">
        <w:t xml:space="preserve"> </w:t>
      </w:r>
      <w:r w:rsidR="00C930BE" w:rsidRPr="006D4B85">
        <w:t>péče</w:t>
      </w:r>
      <w:r w:rsidR="00C930BE">
        <w:t xml:space="preserve"> </w:t>
      </w:r>
      <w:r w:rsidR="00C930BE" w:rsidRPr="006D4B85">
        <w:t>o</w:t>
      </w:r>
      <w:r w:rsidR="00C930BE">
        <w:t xml:space="preserve"> </w:t>
      </w:r>
      <w:r w:rsidR="00C930BE" w:rsidRPr="006D4B85">
        <w:t>více</w:t>
      </w:r>
      <w:r w:rsidR="00C930BE">
        <w:t xml:space="preserve"> </w:t>
      </w:r>
      <w:r w:rsidR="00C930BE" w:rsidRPr="006D4B85">
        <w:t>dětí</w:t>
      </w:r>
      <w:r w:rsidR="00C930BE">
        <w:t xml:space="preserve"> </w:t>
      </w:r>
      <w:r w:rsidR="00C930BE" w:rsidRPr="006D4B85">
        <w:t>do</w:t>
      </w:r>
      <w:r w:rsidR="00C930BE">
        <w:t xml:space="preserve"> </w:t>
      </w:r>
      <w:r w:rsidR="00C930BE" w:rsidRPr="006D4B85">
        <w:t>4</w:t>
      </w:r>
      <w:r w:rsidR="00C930BE">
        <w:t xml:space="preserve"> </w:t>
      </w:r>
      <w:r w:rsidR="00C930BE" w:rsidRPr="006D4B85">
        <w:t>let</w:t>
      </w:r>
      <w:r w:rsidR="00C930BE">
        <w:t xml:space="preserve"> </w:t>
      </w:r>
      <w:r w:rsidR="00C930BE" w:rsidRPr="006D4B85">
        <w:t>věku</w:t>
      </w:r>
      <w:r w:rsidR="00C930BE">
        <w:t xml:space="preserve"> </w:t>
      </w:r>
      <w:r w:rsidR="00C930BE" w:rsidRPr="006D4B85">
        <w:t>uplatní</w:t>
      </w:r>
      <w:r w:rsidR="00C930BE">
        <w:t xml:space="preserve"> </w:t>
      </w:r>
      <w:r w:rsidR="00C930BE" w:rsidRPr="006D4B85">
        <w:t>péče</w:t>
      </w:r>
      <w:r w:rsidR="00C930BE">
        <w:t xml:space="preserve"> </w:t>
      </w:r>
      <w:r w:rsidR="00C930BE" w:rsidRPr="006D4B85">
        <w:t>o</w:t>
      </w:r>
      <w:r w:rsidR="00C930BE">
        <w:t xml:space="preserve"> </w:t>
      </w:r>
      <w:r w:rsidR="00C930BE" w:rsidRPr="006D4B85">
        <w:t>dítě</w:t>
      </w:r>
      <w:r w:rsidR="00C930BE">
        <w:t xml:space="preserve"> </w:t>
      </w:r>
      <w:r w:rsidR="00C930BE" w:rsidRPr="006D4B85">
        <w:t>do</w:t>
      </w:r>
      <w:r w:rsidR="00C930BE">
        <w:t xml:space="preserve"> </w:t>
      </w:r>
      <w:r w:rsidR="00C930BE" w:rsidRPr="006D4B85">
        <w:t>4</w:t>
      </w:r>
      <w:r w:rsidR="00C930BE">
        <w:t xml:space="preserve"> </w:t>
      </w:r>
      <w:r w:rsidR="00C930BE" w:rsidRPr="006D4B85">
        <w:t>let</w:t>
      </w:r>
      <w:r w:rsidR="00C930BE">
        <w:t xml:space="preserve"> </w:t>
      </w:r>
      <w:r w:rsidR="00C930BE" w:rsidRPr="006D4B85">
        <w:t>věku</w:t>
      </w:r>
      <w:r w:rsidR="00C930BE">
        <w:t xml:space="preserve"> </w:t>
      </w:r>
      <w:r w:rsidR="00C930BE" w:rsidRPr="006D4B85">
        <w:t>jako</w:t>
      </w:r>
      <w:r w:rsidR="00C930BE">
        <w:t xml:space="preserve"> </w:t>
      </w:r>
      <w:r w:rsidR="00C930BE" w:rsidRPr="006D4B85">
        <w:t>důvod</w:t>
      </w:r>
      <w:r w:rsidR="00C930BE">
        <w:t xml:space="preserve"> </w:t>
      </w:r>
      <w:r w:rsidR="00C930BE" w:rsidRPr="006D4B85">
        <w:t>pro</w:t>
      </w:r>
      <w:r w:rsidR="00C930BE">
        <w:t xml:space="preserve"> </w:t>
      </w:r>
      <w:r w:rsidR="00C930BE" w:rsidRPr="006D4B85">
        <w:t>to,</w:t>
      </w:r>
      <w:r w:rsidR="00C930BE">
        <w:t xml:space="preserve"> </w:t>
      </w:r>
      <w:r w:rsidR="00C930BE" w:rsidRPr="006D4B85">
        <w:t>aby</w:t>
      </w:r>
      <w:r w:rsidR="00C930BE">
        <w:t xml:space="preserve"> </w:t>
      </w:r>
      <w:r w:rsidR="00C930BE" w:rsidRPr="006D4B85">
        <w:t>se</w:t>
      </w:r>
      <w:r w:rsidR="00C930BE">
        <w:t xml:space="preserve"> </w:t>
      </w:r>
      <w:r w:rsidR="00C930BE" w:rsidRPr="006D4B85">
        <w:t>samostatná</w:t>
      </w:r>
      <w:r w:rsidR="00C930BE">
        <w:t xml:space="preserve"> </w:t>
      </w:r>
      <w:r w:rsidR="00C930BE" w:rsidRPr="006D4B85">
        <w:t>výdělečná</w:t>
      </w:r>
      <w:r w:rsidR="00C930BE">
        <w:t xml:space="preserve"> </w:t>
      </w:r>
      <w:r w:rsidR="00C930BE" w:rsidRPr="006D4B85">
        <w:t>činnost</w:t>
      </w:r>
      <w:r w:rsidR="00C930BE">
        <w:t xml:space="preserve"> </w:t>
      </w:r>
      <w:r w:rsidR="00C930BE" w:rsidRPr="006D4B85">
        <w:t>považovala</w:t>
      </w:r>
      <w:r w:rsidR="00C930BE">
        <w:t xml:space="preserve"> </w:t>
      </w:r>
      <w:r w:rsidR="00C930BE" w:rsidRPr="006D4B85">
        <w:t>za</w:t>
      </w:r>
      <w:r w:rsidR="00C930BE">
        <w:t xml:space="preserve"> </w:t>
      </w:r>
      <w:r w:rsidR="00C930BE" w:rsidRPr="006D4B85">
        <w:t>vedlejší</w:t>
      </w:r>
      <w:r w:rsidR="00C930BE">
        <w:t xml:space="preserve"> </w:t>
      </w:r>
      <w:r w:rsidR="00C930BE" w:rsidRPr="006D4B85">
        <w:t>samostatnou</w:t>
      </w:r>
      <w:r w:rsidR="00C930BE">
        <w:t xml:space="preserve"> </w:t>
      </w:r>
      <w:r w:rsidR="00C930BE" w:rsidRPr="006D4B85">
        <w:t>výdělečnou</w:t>
      </w:r>
      <w:r w:rsidR="00C930BE">
        <w:t xml:space="preserve"> </w:t>
      </w:r>
      <w:r w:rsidR="00C930BE" w:rsidRPr="006D4B85">
        <w:t>činnost,</w:t>
      </w:r>
    </w:p>
    <w:p w14:paraId="30AA3A98" w14:textId="010DCB9A" w:rsidR="00C930BE" w:rsidRPr="006D4B85" w:rsidRDefault="00AA7E38" w:rsidP="00AA7E38">
      <w:pPr>
        <w:pStyle w:val="Textparagrafu"/>
        <w:tabs>
          <w:tab w:val="left" w:pos="426"/>
          <w:tab w:val="left" w:pos="826"/>
        </w:tabs>
        <w:spacing w:before="0"/>
        <w:ind w:left="825" w:hanging="825"/>
      </w:pPr>
      <w:r>
        <w:tab/>
      </w:r>
      <w:r w:rsidR="00C930BE" w:rsidRPr="006D4B85">
        <w:t>14.</w:t>
      </w:r>
      <w:r w:rsidR="00F050B1">
        <w:tab/>
      </w:r>
      <w:r w:rsidR="00C930BE" w:rsidRPr="006D4B85">
        <w:t>ve</w:t>
      </w:r>
      <w:r w:rsidR="00C930BE">
        <w:t xml:space="preserve"> </w:t>
      </w:r>
      <w:r w:rsidR="00C930BE" w:rsidRPr="006D4B85">
        <w:t>sporu</w:t>
      </w:r>
      <w:r w:rsidR="00C930BE">
        <w:t xml:space="preserve"> </w:t>
      </w:r>
      <w:r w:rsidR="00C930BE" w:rsidRPr="006D4B85">
        <w:t>o</w:t>
      </w:r>
      <w:r w:rsidR="00C930BE">
        <w:t xml:space="preserve"> </w:t>
      </w:r>
      <w:r w:rsidR="00C930BE" w:rsidRPr="006D4B85">
        <w:t>to,</w:t>
      </w:r>
      <w:r w:rsidR="00C930BE">
        <w:t xml:space="preserve"> </w:t>
      </w:r>
      <w:r w:rsidR="00C930BE" w:rsidRPr="006D4B85">
        <w:t>která</w:t>
      </w:r>
      <w:r w:rsidR="00C930BE">
        <w:t xml:space="preserve"> </w:t>
      </w:r>
      <w:r w:rsidR="00C930BE" w:rsidRPr="006D4B85">
        <w:t>osoba</w:t>
      </w:r>
      <w:r w:rsidR="00C930BE">
        <w:t xml:space="preserve"> </w:t>
      </w:r>
      <w:r w:rsidR="00C930BE" w:rsidRPr="006D4B85">
        <w:t>pro</w:t>
      </w:r>
      <w:r w:rsidR="00C930BE">
        <w:t xml:space="preserve"> </w:t>
      </w:r>
      <w:r w:rsidR="00C930BE" w:rsidRPr="006D4B85">
        <w:t>účely</w:t>
      </w:r>
      <w:r w:rsidR="00C930BE">
        <w:t xml:space="preserve"> </w:t>
      </w:r>
      <w:r w:rsidR="00C930BE" w:rsidRPr="006D4B85">
        <w:t>zvýšení</w:t>
      </w:r>
      <w:r w:rsidR="00C930BE">
        <w:t xml:space="preserve"> </w:t>
      </w:r>
      <w:r w:rsidR="00C930BE" w:rsidRPr="006D4B85">
        <w:t>procentní</w:t>
      </w:r>
      <w:r w:rsidR="00C930BE">
        <w:t xml:space="preserve"> </w:t>
      </w:r>
      <w:r w:rsidR="00C930BE" w:rsidRPr="006D4B85">
        <w:t>výměry</w:t>
      </w:r>
      <w:r w:rsidR="00C930BE">
        <w:t xml:space="preserve"> </w:t>
      </w:r>
      <w:r w:rsidR="00C930BE" w:rsidRPr="006D4B85">
        <w:t>starobního</w:t>
      </w:r>
      <w:r w:rsidR="00C930BE">
        <w:t xml:space="preserve"> </w:t>
      </w:r>
      <w:r w:rsidR="00C930BE" w:rsidRPr="006D4B85">
        <w:t>důchodu</w:t>
      </w:r>
      <w:r w:rsidR="00C930BE">
        <w:t xml:space="preserve"> </w:t>
      </w:r>
      <w:r w:rsidR="00C930BE" w:rsidRPr="006D4B85">
        <w:t>z</w:t>
      </w:r>
      <w:r w:rsidR="00C930BE">
        <w:t xml:space="preserve"> </w:t>
      </w:r>
      <w:r w:rsidR="00C930BE" w:rsidRPr="006D4B85">
        <w:t>důvodu</w:t>
      </w:r>
      <w:r w:rsidR="00C930BE">
        <w:t xml:space="preserve"> </w:t>
      </w:r>
      <w:r w:rsidR="00C930BE" w:rsidRPr="006D4B85">
        <w:t>výchovy</w:t>
      </w:r>
      <w:r w:rsidR="00C930BE">
        <w:t xml:space="preserve"> </w:t>
      </w:r>
      <w:r w:rsidR="00D20567">
        <w:t>dítěte</w:t>
      </w:r>
      <w:r w:rsidR="00C930BE">
        <w:t xml:space="preserve"> </w:t>
      </w:r>
      <w:r w:rsidR="001E2394">
        <w:rPr>
          <w:rStyle w:val="Znakapoznpodarou"/>
        </w:rPr>
        <w:footnoteReference w:customMarkFollows="1" w:id="93"/>
        <w:t>86)</w:t>
      </w:r>
      <w:r w:rsidR="00C930BE" w:rsidRPr="006D4B85">
        <w:t>osobně</w:t>
      </w:r>
      <w:r w:rsidR="00C930BE">
        <w:t xml:space="preserve"> </w:t>
      </w:r>
      <w:r w:rsidR="00C930BE" w:rsidRPr="006D4B85">
        <w:t>pečovala</w:t>
      </w:r>
      <w:r w:rsidR="00C930BE">
        <w:t xml:space="preserve"> </w:t>
      </w:r>
      <w:r w:rsidR="00C930BE" w:rsidRPr="006D4B85">
        <w:t>o</w:t>
      </w:r>
      <w:r w:rsidR="00C930BE">
        <w:t xml:space="preserve"> </w:t>
      </w:r>
      <w:r w:rsidR="00C930BE" w:rsidRPr="006D4B85">
        <w:t>dítě</w:t>
      </w:r>
      <w:r w:rsidR="00C930BE">
        <w:t xml:space="preserve"> </w:t>
      </w:r>
      <w:r w:rsidR="00C930BE" w:rsidRPr="006D4B85">
        <w:t>v</w:t>
      </w:r>
      <w:r w:rsidR="00C930BE">
        <w:t xml:space="preserve"> </w:t>
      </w:r>
      <w:r w:rsidR="00C930BE" w:rsidRPr="006D4B85">
        <w:t>největším</w:t>
      </w:r>
      <w:r w:rsidR="00C930BE">
        <w:t xml:space="preserve"> </w:t>
      </w:r>
      <w:r w:rsidR="00C930BE" w:rsidRPr="006D4B85">
        <w:t>rozsahu;</w:t>
      </w:r>
      <w:r w:rsidR="00C930BE">
        <w:t xml:space="preserve"> </w:t>
      </w:r>
      <w:r w:rsidR="00C930BE" w:rsidRPr="006D4B85">
        <w:t>tento</w:t>
      </w:r>
      <w:r w:rsidR="00C930BE">
        <w:t xml:space="preserve"> </w:t>
      </w:r>
      <w:r w:rsidR="00C930BE" w:rsidRPr="006D4B85">
        <w:t>spor</w:t>
      </w:r>
      <w:r w:rsidR="00C930BE">
        <w:t xml:space="preserve"> </w:t>
      </w:r>
      <w:r w:rsidR="00C930BE" w:rsidRPr="006D4B85">
        <w:t>vzniká,</w:t>
      </w:r>
      <w:r w:rsidR="00C930BE">
        <w:t xml:space="preserve"> </w:t>
      </w:r>
      <w:r w:rsidR="00C930BE" w:rsidRPr="006D4B85">
        <w:t>má-li</w:t>
      </w:r>
      <w:r w:rsidR="00C930BE">
        <w:t xml:space="preserve"> </w:t>
      </w:r>
      <w:r w:rsidR="00C930BE" w:rsidRPr="006D4B85">
        <w:t>být</w:t>
      </w:r>
      <w:r w:rsidR="00C930BE">
        <w:t xml:space="preserve"> </w:t>
      </w:r>
      <w:r w:rsidR="00C930BE" w:rsidRPr="006D4B85">
        <w:t>na</w:t>
      </w:r>
      <w:r w:rsidR="00C930BE">
        <w:t xml:space="preserve"> </w:t>
      </w:r>
      <w:r w:rsidR="00C930BE" w:rsidRPr="006D4B85">
        <w:t>základě</w:t>
      </w:r>
      <w:r w:rsidR="00C930BE">
        <w:t xml:space="preserve"> </w:t>
      </w:r>
      <w:r w:rsidR="00C930BE" w:rsidRPr="006D4B85">
        <w:t>žádosti</w:t>
      </w:r>
      <w:r w:rsidR="00C930BE">
        <w:t xml:space="preserve"> </w:t>
      </w:r>
      <w:r w:rsidR="00C930BE" w:rsidRPr="006D4B85">
        <w:t>pojištěnce</w:t>
      </w:r>
      <w:r w:rsidR="00C930BE">
        <w:t xml:space="preserve"> </w:t>
      </w:r>
      <w:r w:rsidR="00C930BE" w:rsidRPr="006D4B85">
        <w:t>zvýšena</w:t>
      </w:r>
      <w:r w:rsidR="00C930BE">
        <w:t xml:space="preserve"> </w:t>
      </w:r>
      <w:r w:rsidR="00C930BE" w:rsidRPr="006D4B85">
        <w:t>procentní</w:t>
      </w:r>
      <w:r w:rsidR="00C930BE">
        <w:t xml:space="preserve"> </w:t>
      </w:r>
      <w:r w:rsidR="00C930BE" w:rsidRPr="006D4B85">
        <w:t>výměra</w:t>
      </w:r>
      <w:r w:rsidR="00C930BE">
        <w:t xml:space="preserve"> </w:t>
      </w:r>
      <w:r w:rsidR="00C930BE" w:rsidRPr="006D4B85">
        <w:t>starobního</w:t>
      </w:r>
      <w:r w:rsidR="00C930BE">
        <w:t xml:space="preserve"> </w:t>
      </w:r>
      <w:r w:rsidR="00C930BE" w:rsidRPr="006D4B85">
        <w:t>důchodu</w:t>
      </w:r>
      <w:r w:rsidR="00C930BE">
        <w:t xml:space="preserve"> </w:t>
      </w:r>
      <w:r w:rsidR="00C930BE" w:rsidRPr="006D4B85">
        <w:t>za</w:t>
      </w:r>
      <w:r w:rsidR="00C930BE">
        <w:t xml:space="preserve"> </w:t>
      </w:r>
      <w:r w:rsidR="00C930BE" w:rsidRPr="006D4B85">
        <w:t>vychované</w:t>
      </w:r>
      <w:r w:rsidR="00C930BE">
        <w:t xml:space="preserve"> </w:t>
      </w:r>
      <w:r w:rsidR="00C930BE" w:rsidRPr="006D4B85">
        <w:t>dítě,</w:t>
      </w:r>
      <w:r w:rsidR="00C930BE">
        <w:t xml:space="preserve"> </w:t>
      </w:r>
      <w:r w:rsidR="00C930BE" w:rsidRPr="006D4B85">
        <w:t>k</w:t>
      </w:r>
      <w:r w:rsidR="00C930BE">
        <w:t xml:space="preserve"> </w:t>
      </w:r>
      <w:r w:rsidR="00C930BE" w:rsidRPr="006D4B85">
        <w:t>jehož</w:t>
      </w:r>
      <w:r w:rsidR="00C930BE">
        <w:t xml:space="preserve"> </w:t>
      </w:r>
      <w:r w:rsidR="00C930BE" w:rsidRPr="006D4B85">
        <w:t>výchově</w:t>
      </w:r>
      <w:r w:rsidR="00C930BE">
        <w:t xml:space="preserve"> </w:t>
      </w:r>
      <w:r w:rsidR="00C930BE" w:rsidRPr="006D4B85">
        <w:t>již</w:t>
      </w:r>
      <w:r w:rsidR="00C930BE">
        <w:t xml:space="preserve"> </w:t>
      </w:r>
      <w:r w:rsidR="00C930BE" w:rsidRPr="006D4B85">
        <w:t>bylo</w:t>
      </w:r>
      <w:r w:rsidR="00C930BE">
        <w:t xml:space="preserve"> </w:t>
      </w:r>
      <w:r w:rsidR="00C930BE" w:rsidRPr="006D4B85">
        <w:t>nebo</w:t>
      </w:r>
      <w:r w:rsidR="00C930BE">
        <w:t xml:space="preserve"> </w:t>
      </w:r>
      <w:r w:rsidR="00C930BE" w:rsidRPr="006D4B85">
        <w:t>má</w:t>
      </w:r>
      <w:r w:rsidR="00C930BE">
        <w:t xml:space="preserve"> </w:t>
      </w:r>
      <w:r w:rsidR="00C930BE" w:rsidRPr="006D4B85">
        <w:t>být</w:t>
      </w:r>
      <w:r w:rsidR="00C930BE">
        <w:t xml:space="preserve"> </w:t>
      </w:r>
      <w:r w:rsidR="00C930BE" w:rsidRPr="006D4B85">
        <w:t>přihlédnuto</w:t>
      </w:r>
      <w:r w:rsidR="00C930BE">
        <w:t xml:space="preserve"> </w:t>
      </w:r>
      <w:r w:rsidR="00C930BE" w:rsidRPr="006D4B85">
        <w:t>při</w:t>
      </w:r>
      <w:r w:rsidR="00C930BE">
        <w:t xml:space="preserve"> </w:t>
      </w:r>
      <w:r w:rsidR="00C930BE" w:rsidRPr="006D4B85">
        <w:t>zvýšení</w:t>
      </w:r>
      <w:r w:rsidR="00C930BE">
        <w:t xml:space="preserve"> </w:t>
      </w:r>
      <w:r w:rsidR="00C930BE" w:rsidRPr="006D4B85">
        <w:t>procentní</w:t>
      </w:r>
      <w:r w:rsidR="00C930BE">
        <w:t xml:space="preserve"> </w:t>
      </w:r>
      <w:r w:rsidR="00C930BE" w:rsidRPr="006D4B85">
        <w:t>výměry</w:t>
      </w:r>
      <w:r w:rsidR="00C930BE">
        <w:t xml:space="preserve"> </w:t>
      </w:r>
      <w:r w:rsidR="00C930BE" w:rsidRPr="006D4B85">
        <w:t>starobního</w:t>
      </w:r>
      <w:r w:rsidR="00C930BE">
        <w:t xml:space="preserve"> </w:t>
      </w:r>
      <w:r w:rsidR="00C930BE" w:rsidRPr="006D4B85">
        <w:t>důchodu</w:t>
      </w:r>
      <w:r w:rsidR="00C930BE">
        <w:t xml:space="preserve"> </w:t>
      </w:r>
      <w:r w:rsidR="00C930BE" w:rsidRPr="006D4B85">
        <w:t>u</w:t>
      </w:r>
      <w:r w:rsidR="00C930BE">
        <w:t xml:space="preserve"> </w:t>
      </w:r>
      <w:r w:rsidR="00C930BE" w:rsidRPr="006D4B85">
        <w:t>jiného</w:t>
      </w:r>
      <w:r w:rsidR="00C930BE">
        <w:t xml:space="preserve"> </w:t>
      </w:r>
      <w:r w:rsidR="00C930BE" w:rsidRPr="006D4B85">
        <w:t>pojištěnce,</w:t>
      </w:r>
      <w:r w:rsidR="00C930BE">
        <w:t xml:space="preserve"> </w:t>
      </w:r>
      <w:r w:rsidR="00C930BE" w:rsidRPr="006D4B85">
        <w:t>který</w:t>
      </w:r>
      <w:r w:rsidR="00C930BE">
        <w:t xml:space="preserve"> </w:t>
      </w:r>
      <w:r w:rsidR="00C930BE" w:rsidRPr="006D4B85">
        <w:t>trvá</w:t>
      </w:r>
      <w:r w:rsidR="00C930BE">
        <w:t xml:space="preserve"> </w:t>
      </w:r>
      <w:r w:rsidR="00C930BE" w:rsidRPr="006D4B85">
        <w:t>na</w:t>
      </w:r>
      <w:r w:rsidR="00C930BE">
        <w:t xml:space="preserve"> </w:t>
      </w:r>
      <w:r w:rsidR="00C930BE" w:rsidRPr="006D4B85">
        <w:t>tom,</w:t>
      </w:r>
      <w:r w:rsidR="00C930BE">
        <w:t xml:space="preserve"> </w:t>
      </w:r>
      <w:r w:rsidR="00C930BE" w:rsidRPr="006D4B85">
        <w:t>že</w:t>
      </w:r>
      <w:r w:rsidR="00C930BE">
        <w:t xml:space="preserve"> </w:t>
      </w:r>
      <w:r w:rsidR="00C930BE" w:rsidRPr="006D4B85">
        <w:t>o</w:t>
      </w:r>
      <w:r w:rsidR="00C930BE">
        <w:t xml:space="preserve"> </w:t>
      </w:r>
      <w:r w:rsidR="00C930BE" w:rsidRPr="006D4B85">
        <w:t>dítě</w:t>
      </w:r>
      <w:r w:rsidR="00C930BE">
        <w:t xml:space="preserve"> </w:t>
      </w:r>
      <w:r w:rsidR="00C930BE" w:rsidRPr="006D4B85">
        <w:t>pečoval</w:t>
      </w:r>
      <w:r w:rsidR="00C930BE">
        <w:t xml:space="preserve"> </w:t>
      </w:r>
      <w:r w:rsidR="00C930BE" w:rsidRPr="006D4B85">
        <w:t>v</w:t>
      </w:r>
      <w:r w:rsidR="00C930BE">
        <w:t xml:space="preserve"> </w:t>
      </w:r>
      <w:r w:rsidR="00C930BE" w:rsidRPr="006D4B85">
        <w:t>největším</w:t>
      </w:r>
      <w:r w:rsidR="00C930BE">
        <w:t xml:space="preserve"> </w:t>
      </w:r>
      <w:r w:rsidR="00C930BE" w:rsidRPr="006D4B85">
        <w:t>rozsahu,</w:t>
      </w:r>
    </w:p>
    <w:p w14:paraId="0D96B768" w14:textId="09489137" w:rsidR="00C930BE" w:rsidRPr="006D4B85" w:rsidRDefault="00AA7E38" w:rsidP="00AA7E38">
      <w:pPr>
        <w:pStyle w:val="Textparagrafu"/>
        <w:tabs>
          <w:tab w:val="left" w:pos="426"/>
          <w:tab w:val="left" w:pos="826"/>
        </w:tabs>
        <w:spacing w:before="0"/>
        <w:ind w:firstLine="0"/>
      </w:pPr>
      <w:r>
        <w:tab/>
      </w:r>
      <w:r w:rsidR="00C930BE" w:rsidRPr="006D4B85">
        <w:t>15.</w:t>
      </w:r>
      <w:r w:rsidR="00F050B1">
        <w:tab/>
      </w:r>
      <w:r w:rsidR="00C930BE" w:rsidRPr="006D4B85">
        <w:t>zrušen,</w:t>
      </w:r>
    </w:p>
    <w:p w14:paraId="6A06D09E" w14:textId="3FF79C49" w:rsidR="00C930BE" w:rsidRPr="006D4B85" w:rsidRDefault="00AA7E38" w:rsidP="00AA7E38">
      <w:pPr>
        <w:pStyle w:val="Textparagrafu"/>
        <w:tabs>
          <w:tab w:val="left" w:pos="426"/>
          <w:tab w:val="left" w:pos="826"/>
        </w:tabs>
        <w:spacing w:before="0"/>
        <w:ind w:firstLine="0"/>
      </w:pPr>
      <w:r>
        <w:tab/>
      </w:r>
      <w:r w:rsidR="00C930BE" w:rsidRPr="006D4B85">
        <w:t>16.</w:t>
      </w:r>
      <w:r w:rsidR="00F050B1">
        <w:tab/>
      </w:r>
      <w:r w:rsidR="00C930BE" w:rsidRPr="006D4B85">
        <w:t>zrušen,</w:t>
      </w:r>
    </w:p>
    <w:p w14:paraId="227E3450" w14:textId="19336F6E" w:rsidR="00C930BE" w:rsidRPr="006D4B85" w:rsidRDefault="00AA7E38" w:rsidP="00AA7E38">
      <w:pPr>
        <w:pStyle w:val="Textparagrafu"/>
        <w:tabs>
          <w:tab w:val="left" w:pos="426"/>
          <w:tab w:val="left" w:pos="826"/>
        </w:tabs>
        <w:spacing w:before="0"/>
        <w:ind w:left="825" w:hanging="825"/>
      </w:pPr>
      <w:r>
        <w:tab/>
      </w:r>
      <w:r w:rsidR="00C930BE" w:rsidRPr="006D4B85">
        <w:t>17.</w:t>
      </w:r>
      <w:r w:rsidR="00F050B1">
        <w:tab/>
      </w:r>
      <w:r w:rsidR="00C930BE" w:rsidRPr="006D4B85">
        <w:t>o</w:t>
      </w:r>
      <w:r w:rsidR="00C930BE">
        <w:t xml:space="preserve"> </w:t>
      </w:r>
      <w:r w:rsidR="00C930BE" w:rsidRPr="006D4B85">
        <w:t>započtení</w:t>
      </w:r>
      <w:r w:rsidR="00C930BE">
        <w:t xml:space="preserve"> </w:t>
      </w:r>
      <w:r w:rsidR="00C930BE" w:rsidRPr="006D4B85">
        <w:t>celého</w:t>
      </w:r>
      <w:r w:rsidR="00C930BE">
        <w:t xml:space="preserve"> </w:t>
      </w:r>
      <w:r w:rsidR="00C930BE" w:rsidRPr="006D4B85">
        <w:t>kalendářního</w:t>
      </w:r>
      <w:r w:rsidR="00C930BE">
        <w:t xml:space="preserve"> </w:t>
      </w:r>
      <w:r w:rsidR="00C930BE" w:rsidRPr="006D4B85">
        <w:t>roku</w:t>
      </w:r>
      <w:r w:rsidR="00C930BE">
        <w:t xml:space="preserve"> </w:t>
      </w:r>
      <w:r w:rsidR="00C930BE" w:rsidRPr="006D4B85">
        <w:t>do</w:t>
      </w:r>
      <w:r w:rsidR="00C930BE">
        <w:t xml:space="preserve"> </w:t>
      </w:r>
      <w:r w:rsidR="00C930BE" w:rsidRPr="006D4B85">
        <w:t>doby</w:t>
      </w:r>
      <w:r w:rsidR="00C930BE">
        <w:t xml:space="preserve"> </w:t>
      </w:r>
      <w:r w:rsidR="00C930BE" w:rsidRPr="006D4B85">
        <w:t>zaměstnání</w:t>
      </w:r>
      <w:r w:rsidR="00C930BE">
        <w:t xml:space="preserve"> </w:t>
      </w:r>
      <w:r w:rsidR="00C930BE" w:rsidRPr="006D4B85">
        <w:t>před</w:t>
      </w:r>
      <w:r w:rsidR="00C930BE">
        <w:t xml:space="preserve"> </w:t>
      </w:r>
      <w:r w:rsidR="00C930BE" w:rsidRPr="006D4B85">
        <w:t>1.</w:t>
      </w:r>
      <w:r w:rsidR="00C930BE">
        <w:t xml:space="preserve"> </w:t>
      </w:r>
      <w:r w:rsidR="00C930BE" w:rsidRPr="006D4B85">
        <w:t>lednem</w:t>
      </w:r>
      <w:r w:rsidR="00C930BE">
        <w:t xml:space="preserve"> </w:t>
      </w:r>
      <w:r w:rsidR="00C930BE" w:rsidRPr="006D4B85">
        <w:t>1976,</w:t>
      </w:r>
      <w:r w:rsidR="00C930BE">
        <w:t xml:space="preserve"> </w:t>
      </w:r>
      <w:r w:rsidR="00C930BE" w:rsidRPr="006D4B85">
        <w:t>jestliže</w:t>
      </w:r>
      <w:r w:rsidR="00C930BE">
        <w:t xml:space="preserve"> </w:t>
      </w:r>
      <w:r w:rsidR="00C930BE" w:rsidRPr="006D4B85">
        <w:t>člen</w:t>
      </w:r>
      <w:r w:rsidR="00C930BE">
        <w:t xml:space="preserve"> </w:t>
      </w:r>
      <w:r w:rsidR="00C930BE" w:rsidRPr="006D4B85">
        <w:t>jednotného</w:t>
      </w:r>
      <w:r w:rsidR="00C930BE">
        <w:t xml:space="preserve"> </w:t>
      </w:r>
      <w:r w:rsidR="00C930BE" w:rsidRPr="006D4B85">
        <w:t>zemědělského</w:t>
      </w:r>
      <w:r w:rsidR="00C930BE">
        <w:t xml:space="preserve"> </w:t>
      </w:r>
      <w:r w:rsidR="00C930BE" w:rsidRPr="006D4B85">
        <w:t>družstva</w:t>
      </w:r>
      <w:r w:rsidR="00C930BE">
        <w:t xml:space="preserve"> </w:t>
      </w:r>
      <w:r w:rsidR="00C930BE" w:rsidRPr="006D4B85">
        <w:t>nepracoval</w:t>
      </w:r>
      <w:r w:rsidR="00C930BE">
        <w:t xml:space="preserve"> </w:t>
      </w:r>
      <w:r w:rsidR="00C930BE" w:rsidRPr="006D4B85">
        <w:t>stanovený</w:t>
      </w:r>
      <w:r w:rsidR="00C930BE">
        <w:t xml:space="preserve"> </w:t>
      </w:r>
      <w:r w:rsidR="00C930BE" w:rsidRPr="006D4B85">
        <w:t>počet</w:t>
      </w:r>
      <w:r w:rsidR="00C930BE">
        <w:t xml:space="preserve"> </w:t>
      </w:r>
      <w:r w:rsidR="00C930BE" w:rsidRPr="006D4B85">
        <w:t>pracovních</w:t>
      </w:r>
      <w:r w:rsidR="00C930BE">
        <w:t xml:space="preserve"> </w:t>
      </w:r>
      <w:r w:rsidR="00C930BE" w:rsidRPr="006D4B85">
        <w:t>dnů,</w:t>
      </w:r>
      <w:r w:rsidR="00C930BE">
        <w:t xml:space="preserve"> </w:t>
      </w:r>
      <w:r w:rsidR="00C930BE" w:rsidRPr="006D4B85">
        <w:t>popřípadě</w:t>
      </w:r>
      <w:r w:rsidR="00C930BE">
        <w:t xml:space="preserve"> </w:t>
      </w:r>
      <w:r w:rsidR="00C930BE" w:rsidRPr="006D4B85">
        <w:t>jinak</w:t>
      </w:r>
      <w:r w:rsidR="00C930BE">
        <w:t xml:space="preserve"> </w:t>
      </w:r>
      <w:r w:rsidR="00C930BE" w:rsidRPr="006D4B85">
        <w:t>určený</w:t>
      </w:r>
      <w:r w:rsidR="00C930BE">
        <w:t xml:space="preserve"> </w:t>
      </w:r>
      <w:r w:rsidR="00C930BE" w:rsidRPr="006D4B85">
        <w:t>pracovní</w:t>
      </w:r>
      <w:r w:rsidR="00C930BE">
        <w:t xml:space="preserve"> </w:t>
      </w:r>
      <w:r w:rsidR="00C930BE" w:rsidRPr="006D4B85">
        <w:t>úvazek,</w:t>
      </w:r>
    </w:p>
    <w:p w14:paraId="5EA99EA7" w14:textId="65469518" w:rsidR="00C930BE" w:rsidRDefault="00AA7E38" w:rsidP="00AA7E38">
      <w:pPr>
        <w:pStyle w:val="Textparagrafu"/>
        <w:tabs>
          <w:tab w:val="left" w:pos="426"/>
          <w:tab w:val="left" w:pos="826"/>
        </w:tabs>
        <w:spacing w:before="0"/>
        <w:ind w:firstLine="0"/>
      </w:pPr>
      <w:r>
        <w:tab/>
      </w:r>
      <w:r w:rsidR="00C930BE" w:rsidRPr="006D4B85">
        <w:t>18.</w:t>
      </w:r>
      <w:r w:rsidR="00F050B1">
        <w:tab/>
      </w:r>
      <w:r w:rsidR="00C930BE" w:rsidRPr="006D4B85">
        <w:t>ve</w:t>
      </w:r>
      <w:r w:rsidR="00C930BE">
        <w:t xml:space="preserve"> </w:t>
      </w:r>
      <w:r w:rsidR="00C930BE" w:rsidRPr="006D4B85">
        <w:t>věcech</w:t>
      </w:r>
      <w:r w:rsidR="00C930BE">
        <w:t xml:space="preserve"> </w:t>
      </w:r>
      <w:r w:rsidR="00C930BE" w:rsidRPr="006D4B85">
        <w:t>osob</w:t>
      </w:r>
      <w:r w:rsidR="00C930BE">
        <w:t xml:space="preserve"> </w:t>
      </w:r>
      <w:r w:rsidR="00C930BE" w:rsidRPr="006D4B85">
        <w:t>zdravotně</w:t>
      </w:r>
      <w:r w:rsidR="00C930BE">
        <w:t xml:space="preserve"> </w:t>
      </w:r>
      <w:r w:rsidR="00C930BE" w:rsidRPr="006D4B85">
        <w:t>znevýhodněných,</w:t>
      </w:r>
    </w:p>
    <w:p w14:paraId="2C385259" w14:textId="77777777" w:rsidR="00C930BE" w:rsidRDefault="00C930BE" w:rsidP="00C930BE">
      <w:pPr>
        <w:pStyle w:val="Textparagrafu"/>
        <w:numPr>
          <w:ilvl w:val="0"/>
          <w:numId w:val="28"/>
        </w:numPr>
        <w:tabs>
          <w:tab w:val="left" w:pos="426"/>
        </w:tabs>
        <w:spacing w:before="0"/>
      </w:pPr>
      <w:r w:rsidRPr="006D4B85">
        <w:t>b)</w:t>
      </w:r>
      <w:r>
        <w:tab/>
      </w:r>
      <w:r w:rsidRPr="006D4B85">
        <w:t>zrušeno</w:t>
      </w:r>
    </w:p>
    <w:p w14:paraId="07BBE678" w14:textId="77777777" w:rsidR="00C930BE" w:rsidRDefault="00C930BE" w:rsidP="002B6A12">
      <w:pPr>
        <w:pStyle w:val="Textparagrafu"/>
        <w:numPr>
          <w:ilvl w:val="0"/>
          <w:numId w:val="28"/>
        </w:numPr>
        <w:tabs>
          <w:tab w:val="left" w:pos="426"/>
        </w:tabs>
        <w:spacing w:before="0"/>
        <w:ind w:left="426" w:hanging="426"/>
      </w:pPr>
      <w:r w:rsidRPr="006D4B85">
        <w:t>c)</w:t>
      </w:r>
      <w:r>
        <w:tab/>
      </w:r>
      <w:r w:rsidRPr="006D4B85">
        <w:t>vrací</w:t>
      </w:r>
      <w:r>
        <w:t xml:space="preserve"> </w:t>
      </w:r>
      <w:r w:rsidRPr="006D4B85">
        <w:t>zaměstnanci</w:t>
      </w:r>
      <w:r>
        <w:t xml:space="preserve"> </w:t>
      </w:r>
      <w:r w:rsidRPr="006D4B85">
        <w:t>přeplatek</w:t>
      </w:r>
      <w:r>
        <w:t xml:space="preserve"> </w:t>
      </w:r>
      <w:r w:rsidRPr="006D4B85">
        <w:t>na</w:t>
      </w:r>
      <w:r>
        <w:t xml:space="preserve"> </w:t>
      </w:r>
      <w:r w:rsidRPr="006D4B85">
        <w:t>pojistném</w:t>
      </w:r>
      <w:r>
        <w:t xml:space="preserve"> </w:t>
      </w:r>
      <w:r w:rsidRPr="006D4B85">
        <w:t>na</w:t>
      </w:r>
      <w:r>
        <w:t xml:space="preserve"> </w:t>
      </w:r>
      <w:r w:rsidRPr="006D4B85">
        <w:t>sociální</w:t>
      </w:r>
      <w:r>
        <w:t xml:space="preserve"> </w:t>
      </w:r>
      <w:r w:rsidRPr="006D4B85">
        <w:t>zabezpečení</w:t>
      </w:r>
      <w:r>
        <w:t xml:space="preserve"> </w:t>
      </w:r>
      <w:r w:rsidRPr="006D4B85">
        <w:t>a</w:t>
      </w:r>
      <w:r>
        <w:t xml:space="preserve"> </w:t>
      </w:r>
      <w:r w:rsidRPr="006D4B85">
        <w:t>příspěvku</w:t>
      </w:r>
      <w:r>
        <w:t xml:space="preserve"> </w:t>
      </w:r>
      <w:r w:rsidRPr="006D4B85">
        <w:t>na</w:t>
      </w:r>
      <w:r>
        <w:t xml:space="preserve"> </w:t>
      </w:r>
      <w:r w:rsidRPr="006D4B85">
        <w:t>státní</w:t>
      </w:r>
      <w:r>
        <w:t xml:space="preserve"> </w:t>
      </w:r>
      <w:r w:rsidRPr="006D4B85">
        <w:t>politiku</w:t>
      </w:r>
      <w:r>
        <w:t xml:space="preserve"> </w:t>
      </w:r>
      <w:r w:rsidRPr="006D4B85">
        <w:t>zaměstnanosti,</w:t>
      </w:r>
    </w:p>
    <w:p w14:paraId="4E853DAB" w14:textId="77777777" w:rsidR="00C930BE" w:rsidRDefault="00C930BE" w:rsidP="002B6A12">
      <w:pPr>
        <w:pStyle w:val="Textparagrafu"/>
        <w:numPr>
          <w:ilvl w:val="0"/>
          <w:numId w:val="28"/>
        </w:numPr>
        <w:tabs>
          <w:tab w:val="left" w:pos="426"/>
        </w:tabs>
        <w:spacing w:before="0"/>
        <w:ind w:left="426" w:hanging="426"/>
      </w:pPr>
      <w:r w:rsidRPr="006D4B85">
        <w:t>d)</w:t>
      </w:r>
      <w:r>
        <w:tab/>
      </w:r>
      <w:r w:rsidRPr="006D4B85">
        <w:t>zrušeno</w:t>
      </w:r>
    </w:p>
    <w:p w14:paraId="689BAC2D" w14:textId="77777777" w:rsidR="00C930BE" w:rsidRDefault="00C930BE" w:rsidP="002B6A12">
      <w:pPr>
        <w:pStyle w:val="Textparagrafu"/>
        <w:numPr>
          <w:ilvl w:val="0"/>
          <w:numId w:val="28"/>
        </w:numPr>
        <w:tabs>
          <w:tab w:val="left" w:pos="426"/>
        </w:tabs>
        <w:spacing w:before="0"/>
        <w:ind w:left="426" w:hanging="426"/>
      </w:pPr>
      <w:r w:rsidRPr="006D4B85">
        <w:t>e)</w:t>
      </w:r>
      <w:r>
        <w:tab/>
      </w:r>
      <w:r w:rsidRPr="006D4B85">
        <w:t>zrušeno</w:t>
      </w:r>
    </w:p>
    <w:p w14:paraId="37291922" w14:textId="77777777" w:rsidR="00C930BE" w:rsidRDefault="00C930BE" w:rsidP="002B6A12">
      <w:pPr>
        <w:pStyle w:val="Textparagrafu"/>
        <w:numPr>
          <w:ilvl w:val="0"/>
          <w:numId w:val="28"/>
        </w:numPr>
        <w:tabs>
          <w:tab w:val="left" w:pos="426"/>
        </w:tabs>
        <w:spacing w:before="0"/>
        <w:ind w:left="426" w:hanging="426"/>
      </w:pPr>
      <w:r w:rsidRPr="006D4B85">
        <w:t>f)</w:t>
      </w:r>
      <w:r>
        <w:tab/>
      </w:r>
      <w:r w:rsidRPr="006D4B85">
        <w:t>zrušeno</w:t>
      </w:r>
    </w:p>
    <w:p w14:paraId="3EB5FE93" w14:textId="77777777" w:rsidR="00C930BE" w:rsidRDefault="00C930BE" w:rsidP="002B6A12">
      <w:pPr>
        <w:pStyle w:val="Textparagrafu"/>
        <w:numPr>
          <w:ilvl w:val="0"/>
          <w:numId w:val="28"/>
        </w:numPr>
        <w:tabs>
          <w:tab w:val="left" w:pos="426"/>
        </w:tabs>
        <w:spacing w:before="0"/>
        <w:ind w:left="426" w:hanging="426"/>
      </w:pPr>
      <w:r w:rsidRPr="006D4B85">
        <w:lastRenderedPageBreak/>
        <w:t>g)</w:t>
      </w:r>
      <w:r>
        <w:tab/>
      </w:r>
      <w:r w:rsidRPr="006D4B85">
        <w:t>zrušeno</w:t>
      </w:r>
    </w:p>
    <w:p w14:paraId="66F42358" w14:textId="66A906BF" w:rsidR="00C930BE" w:rsidRDefault="00C930BE" w:rsidP="002B6A12">
      <w:pPr>
        <w:pStyle w:val="Textparagrafu"/>
        <w:numPr>
          <w:ilvl w:val="0"/>
          <w:numId w:val="28"/>
        </w:numPr>
        <w:tabs>
          <w:tab w:val="left" w:pos="426"/>
        </w:tabs>
        <w:spacing w:before="0"/>
        <w:ind w:left="426" w:hanging="426"/>
      </w:pPr>
      <w:r w:rsidRPr="006D4B85">
        <w:t>h)</w:t>
      </w:r>
      <w:r>
        <w:tab/>
      </w:r>
      <w:r w:rsidRPr="006D4B85">
        <w:t>vedou</w:t>
      </w:r>
      <w:r>
        <w:t xml:space="preserve"> </w:t>
      </w:r>
      <w:r w:rsidRPr="006D4B85">
        <w:t>potřebnou</w:t>
      </w:r>
      <w:r>
        <w:t xml:space="preserve"> </w:t>
      </w:r>
      <w:r w:rsidRPr="006D4B85">
        <w:t>statistiku</w:t>
      </w:r>
      <w:r>
        <w:t xml:space="preserve"> </w:t>
      </w:r>
      <w:r w:rsidRPr="006D4B85">
        <w:t>a</w:t>
      </w:r>
      <w:r>
        <w:t xml:space="preserve"> </w:t>
      </w:r>
      <w:r w:rsidRPr="009102E7">
        <w:rPr>
          <w:strike/>
        </w:rPr>
        <w:t>účetní evidenci</w:t>
      </w:r>
      <w:r>
        <w:t xml:space="preserve"> </w:t>
      </w:r>
      <w:proofErr w:type="spellStart"/>
      <w:r w:rsidR="009102E7" w:rsidRPr="00F66271">
        <w:rPr>
          <w:b/>
          <w:bCs/>
        </w:rPr>
        <w:t>evidenci</w:t>
      </w:r>
      <w:proofErr w:type="spellEnd"/>
      <w:r w:rsidR="009102E7" w:rsidRPr="00F66271">
        <w:rPr>
          <w:b/>
          <w:bCs/>
        </w:rPr>
        <w:t xml:space="preserve"> pro účely účetnictví</w:t>
      </w:r>
      <w:r w:rsidR="009102E7">
        <w:t xml:space="preserve"> </w:t>
      </w:r>
      <w:r w:rsidRPr="006D4B85">
        <w:t>předepsanou</w:t>
      </w:r>
      <w:r>
        <w:t xml:space="preserve"> </w:t>
      </w:r>
      <w:r w:rsidRPr="006D4B85">
        <w:t>v</w:t>
      </w:r>
      <w:r>
        <w:t xml:space="preserve"> </w:t>
      </w:r>
      <w:r w:rsidRPr="006D4B85">
        <w:t>sociálním</w:t>
      </w:r>
      <w:r>
        <w:t xml:space="preserve"> </w:t>
      </w:r>
      <w:r w:rsidRPr="006D4B85">
        <w:t>zabezpečení,</w:t>
      </w:r>
    </w:p>
    <w:p w14:paraId="3EFCCDEC" w14:textId="0B3E6985" w:rsidR="00C930BE" w:rsidRDefault="00C930BE" w:rsidP="002B6A12">
      <w:pPr>
        <w:pStyle w:val="Textparagrafu"/>
        <w:numPr>
          <w:ilvl w:val="0"/>
          <w:numId w:val="28"/>
        </w:numPr>
        <w:tabs>
          <w:tab w:val="left" w:pos="426"/>
        </w:tabs>
        <w:spacing w:before="0"/>
        <w:ind w:left="426" w:hanging="426"/>
      </w:pPr>
      <w:r w:rsidRPr="006D4B85">
        <w:t>ch)</w:t>
      </w:r>
      <w:r>
        <w:tab/>
      </w:r>
      <w:r w:rsidRPr="006D4B85">
        <w:t>vedou</w:t>
      </w:r>
      <w:r>
        <w:t xml:space="preserve"> </w:t>
      </w:r>
      <w:r w:rsidRPr="006D4B85">
        <w:t>evidenci</w:t>
      </w:r>
      <w:r>
        <w:t xml:space="preserve"> </w:t>
      </w:r>
      <w:r w:rsidRPr="006D4B85">
        <w:t>pro</w:t>
      </w:r>
      <w:r>
        <w:t xml:space="preserve"> </w:t>
      </w:r>
      <w:r w:rsidRPr="006D4B85">
        <w:t>účely</w:t>
      </w:r>
      <w:r>
        <w:t xml:space="preserve"> </w:t>
      </w:r>
      <w:r w:rsidRPr="006D4B85">
        <w:t>důchodového</w:t>
      </w:r>
      <w:r>
        <w:t xml:space="preserve"> </w:t>
      </w:r>
      <w:r w:rsidRPr="006D4B85">
        <w:t>pojištění</w:t>
      </w:r>
      <w:r>
        <w:t xml:space="preserve"> </w:t>
      </w:r>
      <w:r w:rsidRPr="006D4B85">
        <w:t>osob</w:t>
      </w:r>
      <w:r>
        <w:t xml:space="preserve"> </w:t>
      </w:r>
      <w:r w:rsidRPr="006D4B85">
        <w:t>samostatně</w:t>
      </w:r>
      <w:r>
        <w:t xml:space="preserve"> </w:t>
      </w:r>
      <w:r w:rsidRPr="006D4B85">
        <w:t>výdělečně</w:t>
      </w:r>
      <w:r>
        <w:t xml:space="preserve"> </w:t>
      </w:r>
      <w:r w:rsidRPr="006D4B85">
        <w:t>činných</w:t>
      </w:r>
      <w:r>
        <w:t xml:space="preserve"> </w:t>
      </w:r>
      <w:r w:rsidRPr="006D4B85">
        <w:t>a</w:t>
      </w:r>
      <w:r>
        <w:t xml:space="preserve"> </w:t>
      </w:r>
      <w:r w:rsidRPr="006D4B85">
        <w:t>občanů</w:t>
      </w:r>
      <w:r>
        <w:t xml:space="preserve"> </w:t>
      </w:r>
      <w:r w:rsidRPr="006D4B85">
        <w:t>dobrovolně</w:t>
      </w:r>
      <w:r>
        <w:t xml:space="preserve"> </w:t>
      </w:r>
      <w:r w:rsidRPr="006D4B85">
        <w:t>účastných</w:t>
      </w:r>
      <w:r>
        <w:t xml:space="preserve"> </w:t>
      </w:r>
      <w:r w:rsidRPr="006D4B85">
        <w:t>důchodového</w:t>
      </w:r>
      <w:r>
        <w:t xml:space="preserve"> </w:t>
      </w:r>
      <w:r w:rsidRPr="006D4B85">
        <w:t>pojištění,</w:t>
      </w:r>
      <w:r w:rsidR="001E2394">
        <w:rPr>
          <w:rStyle w:val="Znakapoznpodarou"/>
        </w:rPr>
        <w:footnoteReference w:customMarkFollows="1" w:id="94"/>
        <w:t>53)</w:t>
      </w:r>
      <w:r>
        <w:t xml:space="preserve"> </w:t>
      </w:r>
      <w:r w:rsidRPr="006D4B85">
        <w:t>kteří</w:t>
      </w:r>
      <w:r>
        <w:t xml:space="preserve"> </w:t>
      </w:r>
      <w:r w:rsidRPr="006D4B85">
        <w:t>si</w:t>
      </w:r>
      <w:r>
        <w:t xml:space="preserve"> </w:t>
      </w:r>
      <w:r w:rsidRPr="006D4B85">
        <w:t>platí</w:t>
      </w:r>
      <w:r>
        <w:t xml:space="preserve"> </w:t>
      </w:r>
      <w:r w:rsidRPr="006D4B85">
        <w:t>pojistné</w:t>
      </w:r>
      <w:r>
        <w:t xml:space="preserve"> </w:t>
      </w:r>
      <w:r w:rsidRPr="006D4B85">
        <w:t>na</w:t>
      </w:r>
      <w:r>
        <w:t xml:space="preserve"> </w:t>
      </w:r>
      <w:r w:rsidRPr="006D4B85">
        <w:t>důchodové</w:t>
      </w:r>
      <w:r>
        <w:t xml:space="preserve"> </w:t>
      </w:r>
      <w:r w:rsidRPr="006D4B85">
        <w:t>pojištění,</w:t>
      </w:r>
    </w:p>
    <w:p w14:paraId="0374A03E" w14:textId="77777777" w:rsidR="00C930BE" w:rsidRDefault="00C930BE" w:rsidP="002B6A12">
      <w:pPr>
        <w:pStyle w:val="Textparagrafu"/>
        <w:numPr>
          <w:ilvl w:val="0"/>
          <w:numId w:val="28"/>
        </w:numPr>
        <w:tabs>
          <w:tab w:val="left" w:pos="426"/>
        </w:tabs>
        <w:spacing w:before="0"/>
        <w:ind w:left="426" w:hanging="426"/>
      </w:pPr>
      <w:r w:rsidRPr="006D4B85">
        <w:t>i)</w:t>
      </w:r>
      <w:r>
        <w:tab/>
      </w:r>
      <w:r w:rsidRPr="006D4B85">
        <w:t>sepisují</w:t>
      </w:r>
      <w:r>
        <w:t xml:space="preserve"> </w:t>
      </w:r>
      <w:r w:rsidRPr="006D4B85">
        <w:t>žádosti</w:t>
      </w:r>
      <w:r>
        <w:t xml:space="preserve"> </w:t>
      </w:r>
      <w:r w:rsidRPr="006D4B85">
        <w:t>o</w:t>
      </w:r>
      <w:r>
        <w:t xml:space="preserve"> </w:t>
      </w:r>
      <w:r w:rsidRPr="006D4B85">
        <w:t>dávky</w:t>
      </w:r>
      <w:r>
        <w:t xml:space="preserve"> </w:t>
      </w:r>
      <w:r w:rsidRPr="006D4B85">
        <w:t>důchodového</w:t>
      </w:r>
      <w:r>
        <w:t xml:space="preserve"> </w:t>
      </w:r>
      <w:r w:rsidRPr="006D4B85">
        <w:t>pojištění</w:t>
      </w:r>
      <w:r>
        <w:t xml:space="preserve"> </w:t>
      </w:r>
      <w:r w:rsidRPr="006D4B85">
        <w:t>v</w:t>
      </w:r>
      <w:r>
        <w:t xml:space="preserve"> </w:t>
      </w:r>
      <w:r w:rsidRPr="006D4B85">
        <w:t>případech</w:t>
      </w:r>
      <w:r>
        <w:t xml:space="preserve"> </w:t>
      </w:r>
      <w:r w:rsidRPr="006D4B85">
        <w:t>stanovených</w:t>
      </w:r>
      <w:r>
        <w:t xml:space="preserve"> </w:t>
      </w:r>
      <w:r w:rsidRPr="006D4B85">
        <w:t>tímto</w:t>
      </w:r>
      <w:r>
        <w:t xml:space="preserve"> </w:t>
      </w:r>
      <w:r w:rsidRPr="006D4B85">
        <w:t>zákonem,</w:t>
      </w:r>
    </w:p>
    <w:p w14:paraId="2C342545" w14:textId="77777777" w:rsidR="00C930BE" w:rsidRDefault="00C930BE" w:rsidP="002B6A12">
      <w:pPr>
        <w:pStyle w:val="Textparagrafu"/>
        <w:numPr>
          <w:ilvl w:val="0"/>
          <w:numId w:val="28"/>
        </w:numPr>
        <w:tabs>
          <w:tab w:val="left" w:pos="426"/>
        </w:tabs>
        <w:spacing w:before="0"/>
        <w:ind w:left="426" w:hanging="426"/>
      </w:pPr>
      <w:r w:rsidRPr="006D4B85">
        <w:t>j)</w:t>
      </w:r>
      <w:r>
        <w:tab/>
      </w:r>
      <w:r w:rsidRPr="006D4B85">
        <w:t>opatřují</w:t>
      </w:r>
      <w:r>
        <w:t xml:space="preserve"> </w:t>
      </w:r>
      <w:r w:rsidRPr="006D4B85">
        <w:t>a</w:t>
      </w:r>
      <w:r>
        <w:t xml:space="preserve"> </w:t>
      </w:r>
      <w:r w:rsidRPr="006D4B85">
        <w:t>předkládají</w:t>
      </w:r>
      <w:r>
        <w:t xml:space="preserve"> </w:t>
      </w:r>
      <w:r w:rsidRPr="006D4B85">
        <w:t>České</w:t>
      </w:r>
      <w:r>
        <w:t xml:space="preserve"> </w:t>
      </w:r>
      <w:r w:rsidRPr="006D4B85">
        <w:t>správě</w:t>
      </w:r>
      <w:r>
        <w:t xml:space="preserve"> </w:t>
      </w:r>
      <w:r w:rsidRPr="006D4B85">
        <w:t>sociálního</w:t>
      </w:r>
      <w:r>
        <w:t xml:space="preserve"> </w:t>
      </w:r>
      <w:r w:rsidRPr="006D4B85">
        <w:t>zabezpečení</w:t>
      </w:r>
      <w:r>
        <w:t xml:space="preserve"> </w:t>
      </w:r>
      <w:r w:rsidRPr="006D4B85">
        <w:t>na</w:t>
      </w:r>
      <w:r>
        <w:t xml:space="preserve"> </w:t>
      </w:r>
      <w:r w:rsidRPr="006D4B85">
        <w:t>její</w:t>
      </w:r>
      <w:r>
        <w:t xml:space="preserve"> </w:t>
      </w:r>
      <w:r w:rsidRPr="006D4B85">
        <w:t>žádost</w:t>
      </w:r>
      <w:r>
        <w:t xml:space="preserve"> </w:t>
      </w:r>
      <w:r w:rsidRPr="006D4B85">
        <w:t>podklady</w:t>
      </w:r>
      <w:r>
        <w:t xml:space="preserve"> </w:t>
      </w:r>
      <w:r w:rsidRPr="006D4B85">
        <w:t>pro</w:t>
      </w:r>
      <w:r>
        <w:t xml:space="preserve"> </w:t>
      </w:r>
      <w:r w:rsidRPr="006D4B85">
        <w:t>rozhodnutí</w:t>
      </w:r>
      <w:r>
        <w:t xml:space="preserve"> </w:t>
      </w:r>
      <w:r w:rsidRPr="006D4B85">
        <w:t>o</w:t>
      </w:r>
      <w:r>
        <w:t xml:space="preserve"> </w:t>
      </w:r>
      <w:r w:rsidRPr="006D4B85">
        <w:t>dávkách</w:t>
      </w:r>
      <w:r>
        <w:t xml:space="preserve"> </w:t>
      </w:r>
      <w:r w:rsidRPr="006D4B85">
        <w:t>důchodového</w:t>
      </w:r>
      <w:r>
        <w:t xml:space="preserve"> </w:t>
      </w:r>
      <w:r w:rsidRPr="006D4B85">
        <w:t>pojištění</w:t>
      </w:r>
      <w:r>
        <w:t xml:space="preserve"> </w:t>
      </w:r>
      <w:r w:rsidRPr="006D4B85">
        <w:t>a</w:t>
      </w:r>
      <w:r>
        <w:t xml:space="preserve"> </w:t>
      </w:r>
      <w:r w:rsidRPr="006D4B85">
        <w:t>pro</w:t>
      </w:r>
      <w:r>
        <w:t xml:space="preserve"> </w:t>
      </w:r>
      <w:r w:rsidRPr="006D4B85">
        <w:t>vymáhání</w:t>
      </w:r>
      <w:r>
        <w:t xml:space="preserve"> </w:t>
      </w:r>
      <w:r w:rsidRPr="006D4B85">
        <w:t>neprávem</w:t>
      </w:r>
      <w:r>
        <w:t xml:space="preserve"> </w:t>
      </w:r>
      <w:r w:rsidRPr="006D4B85">
        <w:t>vyplacených</w:t>
      </w:r>
      <w:r>
        <w:t xml:space="preserve"> </w:t>
      </w:r>
      <w:r w:rsidRPr="006D4B85">
        <w:t>částek</w:t>
      </w:r>
      <w:r>
        <w:t xml:space="preserve"> </w:t>
      </w:r>
      <w:r w:rsidRPr="006D4B85">
        <w:t>dávek</w:t>
      </w:r>
      <w:r>
        <w:t xml:space="preserve"> </w:t>
      </w:r>
      <w:r w:rsidRPr="006D4B85">
        <w:t>důchodového</w:t>
      </w:r>
      <w:r>
        <w:t xml:space="preserve"> </w:t>
      </w:r>
      <w:r w:rsidRPr="006D4B85">
        <w:t>pojištění,</w:t>
      </w:r>
    </w:p>
    <w:p w14:paraId="67868B20" w14:textId="77777777" w:rsidR="00C930BE" w:rsidRDefault="00C930BE" w:rsidP="002B6A12">
      <w:pPr>
        <w:pStyle w:val="Textparagrafu"/>
        <w:numPr>
          <w:ilvl w:val="0"/>
          <w:numId w:val="28"/>
        </w:numPr>
        <w:tabs>
          <w:tab w:val="left" w:pos="426"/>
        </w:tabs>
        <w:spacing w:before="0"/>
        <w:ind w:left="426" w:hanging="426"/>
      </w:pPr>
      <w:r w:rsidRPr="006D4B85">
        <w:t>k)</w:t>
      </w:r>
      <w:r>
        <w:tab/>
      </w:r>
      <w:r w:rsidRPr="006D4B85">
        <w:t>navrhují</w:t>
      </w:r>
      <w:r>
        <w:t xml:space="preserve"> </w:t>
      </w:r>
      <w:r w:rsidRPr="006D4B85">
        <w:t>České</w:t>
      </w:r>
      <w:r>
        <w:t xml:space="preserve"> </w:t>
      </w:r>
      <w:r w:rsidRPr="006D4B85">
        <w:t>správě</w:t>
      </w:r>
      <w:r>
        <w:t xml:space="preserve"> </w:t>
      </w:r>
      <w:r w:rsidRPr="006D4B85">
        <w:t>sociálního</w:t>
      </w:r>
      <w:r>
        <w:t xml:space="preserve"> </w:t>
      </w:r>
      <w:r w:rsidRPr="006D4B85">
        <w:t>zabezpečení</w:t>
      </w:r>
      <w:r>
        <w:t xml:space="preserve"> </w:t>
      </w:r>
      <w:r w:rsidRPr="006D4B85">
        <w:t>zápočet</w:t>
      </w:r>
      <w:r>
        <w:t xml:space="preserve"> </w:t>
      </w:r>
      <w:r w:rsidRPr="006D4B85">
        <w:t>dob</w:t>
      </w:r>
      <w:r>
        <w:t xml:space="preserve"> </w:t>
      </w:r>
      <w:r w:rsidRPr="006D4B85">
        <w:t>pojištění</w:t>
      </w:r>
      <w:r>
        <w:t xml:space="preserve"> </w:t>
      </w:r>
      <w:r w:rsidRPr="006D4B85">
        <w:t>a</w:t>
      </w:r>
      <w:r>
        <w:t xml:space="preserve"> </w:t>
      </w:r>
      <w:r w:rsidRPr="006D4B85">
        <w:t>náhradních</w:t>
      </w:r>
      <w:r>
        <w:t xml:space="preserve"> </w:t>
      </w:r>
      <w:r w:rsidRPr="006D4B85">
        <w:t>dob</w:t>
      </w:r>
      <w:r>
        <w:t xml:space="preserve"> </w:t>
      </w:r>
      <w:r w:rsidRPr="006D4B85">
        <w:t>pojištění</w:t>
      </w:r>
      <w:r>
        <w:t xml:space="preserve"> </w:t>
      </w:r>
      <w:r w:rsidRPr="006D4B85">
        <w:t>ve</w:t>
      </w:r>
      <w:r>
        <w:t xml:space="preserve"> </w:t>
      </w:r>
      <w:r w:rsidRPr="006D4B85">
        <w:t>sporných</w:t>
      </w:r>
      <w:r>
        <w:t xml:space="preserve"> </w:t>
      </w:r>
      <w:r w:rsidRPr="006D4B85">
        <w:t>případech</w:t>
      </w:r>
      <w:r>
        <w:t xml:space="preserve"> </w:t>
      </w:r>
      <w:r w:rsidRPr="006D4B85">
        <w:t>a</w:t>
      </w:r>
      <w:r>
        <w:t xml:space="preserve"> </w:t>
      </w:r>
      <w:r w:rsidRPr="006D4B85">
        <w:t>zápočet</w:t>
      </w:r>
      <w:r>
        <w:t xml:space="preserve"> </w:t>
      </w:r>
      <w:r w:rsidRPr="006D4B85">
        <w:t>doby</w:t>
      </w:r>
      <w:r>
        <w:t xml:space="preserve"> </w:t>
      </w:r>
      <w:r w:rsidRPr="006D4B85">
        <w:t>vojenské</w:t>
      </w:r>
      <w:r>
        <w:t xml:space="preserve"> </w:t>
      </w:r>
      <w:r w:rsidRPr="006D4B85">
        <w:t>služby</w:t>
      </w:r>
      <w:r>
        <w:t xml:space="preserve"> </w:t>
      </w:r>
      <w:r w:rsidRPr="006D4B85">
        <w:t>v</w:t>
      </w:r>
      <w:r>
        <w:t xml:space="preserve"> </w:t>
      </w:r>
      <w:r w:rsidRPr="006D4B85">
        <w:t>jiných</w:t>
      </w:r>
      <w:r>
        <w:t xml:space="preserve"> </w:t>
      </w:r>
      <w:r w:rsidRPr="006D4B85">
        <w:t>než</w:t>
      </w:r>
      <w:r>
        <w:t xml:space="preserve"> </w:t>
      </w:r>
      <w:r w:rsidRPr="006D4B85">
        <w:t>spojeneckých</w:t>
      </w:r>
      <w:r>
        <w:t xml:space="preserve"> </w:t>
      </w:r>
      <w:r w:rsidRPr="006D4B85">
        <w:t>armádách,</w:t>
      </w:r>
      <w:r>
        <w:t xml:space="preserve"> </w:t>
      </w:r>
      <w:r w:rsidRPr="006D4B85">
        <w:t>kterou</w:t>
      </w:r>
      <w:r>
        <w:t xml:space="preserve"> </w:t>
      </w:r>
      <w:r w:rsidRPr="006D4B85">
        <w:t>konali</w:t>
      </w:r>
      <w:r>
        <w:t xml:space="preserve"> </w:t>
      </w:r>
      <w:r w:rsidRPr="006D4B85">
        <w:t>povinně</w:t>
      </w:r>
      <w:r>
        <w:t xml:space="preserve"> </w:t>
      </w:r>
      <w:r w:rsidRPr="006D4B85">
        <w:t>občané</w:t>
      </w:r>
      <w:r>
        <w:t xml:space="preserve"> </w:t>
      </w:r>
      <w:r w:rsidRPr="006D4B85">
        <w:t>v</w:t>
      </w:r>
      <w:r>
        <w:t xml:space="preserve"> </w:t>
      </w:r>
      <w:r w:rsidRPr="006D4B85">
        <w:t>době</w:t>
      </w:r>
      <w:r>
        <w:t xml:space="preserve"> </w:t>
      </w:r>
      <w:r w:rsidRPr="006D4B85">
        <w:t>nesvobody,</w:t>
      </w:r>
      <w:r>
        <w:t xml:space="preserve"> </w:t>
      </w:r>
      <w:r w:rsidRPr="006D4B85">
        <w:t>včetně</w:t>
      </w:r>
      <w:r>
        <w:t xml:space="preserve"> </w:t>
      </w:r>
      <w:r w:rsidRPr="006D4B85">
        <w:t>doby</w:t>
      </w:r>
      <w:r>
        <w:t xml:space="preserve"> </w:t>
      </w:r>
      <w:r w:rsidRPr="006D4B85">
        <w:t>zajetí,</w:t>
      </w:r>
    </w:p>
    <w:p w14:paraId="2F943A45" w14:textId="0D2B5BEB" w:rsidR="00C930BE" w:rsidRDefault="00C930BE" w:rsidP="002B6A12">
      <w:pPr>
        <w:pStyle w:val="Textparagrafu"/>
        <w:numPr>
          <w:ilvl w:val="0"/>
          <w:numId w:val="28"/>
        </w:numPr>
        <w:tabs>
          <w:tab w:val="left" w:pos="426"/>
        </w:tabs>
        <w:spacing w:before="0"/>
        <w:ind w:left="426" w:hanging="426"/>
      </w:pPr>
      <w:r w:rsidRPr="006D4B85">
        <w:t>l)</w:t>
      </w:r>
      <w:r w:rsidR="00F050B1">
        <w:tab/>
      </w:r>
      <w:r w:rsidRPr="006D4B85">
        <w:t>poskytují</w:t>
      </w:r>
      <w:r>
        <w:t xml:space="preserve"> </w:t>
      </w:r>
      <w:r w:rsidRPr="006D4B85">
        <w:t>občanům</w:t>
      </w:r>
      <w:r>
        <w:t xml:space="preserve"> </w:t>
      </w:r>
      <w:r w:rsidRPr="006D4B85">
        <w:t>a</w:t>
      </w:r>
      <w:r>
        <w:t xml:space="preserve"> </w:t>
      </w:r>
      <w:r w:rsidRPr="006D4B85">
        <w:t>zaměstnavatelům</w:t>
      </w:r>
      <w:r>
        <w:t xml:space="preserve"> </w:t>
      </w:r>
      <w:r w:rsidRPr="006D4B85">
        <w:t>odbornou</w:t>
      </w:r>
      <w:r>
        <w:t xml:space="preserve"> </w:t>
      </w:r>
      <w:r w:rsidRPr="006D4B85">
        <w:t>pomoc</w:t>
      </w:r>
      <w:r>
        <w:t xml:space="preserve"> </w:t>
      </w:r>
      <w:r w:rsidRPr="006D4B85">
        <w:t>ve</w:t>
      </w:r>
      <w:r>
        <w:t xml:space="preserve"> </w:t>
      </w:r>
      <w:r w:rsidRPr="006D4B85">
        <w:t>věcech</w:t>
      </w:r>
      <w:r>
        <w:t xml:space="preserve"> </w:t>
      </w:r>
      <w:r w:rsidRPr="006D4B85">
        <w:t>sociálního</w:t>
      </w:r>
      <w:r>
        <w:t xml:space="preserve"> </w:t>
      </w:r>
      <w:r w:rsidRPr="006D4B85">
        <w:t>zabezpečení</w:t>
      </w:r>
      <w:r>
        <w:t xml:space="preserve"> </w:t>
      </w:r>
      <w:r w:rsidRPr="006D4B85">
        <w:t>a</w:t>
      </w:r>
      <w:r>
        <w:t xml:space="preserve"> </w:t>
      </w:r>
      <w:r w:rsidRPr="006D4B85">
        <w:t>pojistného</w:t>
      </w:r>
      <w:r>
        <w:t xml:space="preserve"> </w:t>
      </w:r>
      <w:r w:rsidRPr="006D4B85">
        <w:t>na</w:t>
      </w:r>
      <w:r>
        <w:t xml:space="preserve"> </w:t>
      </w:r>
      <w:r w:rsidRPr="006D4B85">
        <w:t>sociální</w:t>
      </w:r>
      <w:r>
        <w:t xml:space="preserve"> </w:t>
      </w:r>
      <w:r w:rsidRPr="006D4B85">
        <w:t>zabezpečení</w:t>
      </w:r>
      <w:r>
        <w:t xml:space="preserve"> </w:t>
      </w:r>
      <w:r w:rsidRPr="006D4B85">
        <w:t>a</w:t>
      </w:r>
      <w:r>
        <w:t xml:space="preserve"> </w:t>
      </w:r>
      <w:r w:rsidRPr="006D4B85">
        <w:t>příspěvku</w:t>
      </w:r>
      <w:r>
        <w:t xml:space="preserve"> </w:t>
      </w:r>
      <w:r w:rsidRPr="006D4B85">
        <w:t>na</w:t>
      </w:r>
      <w:r>
        <w:t xml:space="preserve"> </w:t>
      </w:r>
      <w:r w:rsidRPr="006D4B85">
        <w:t>státní</w:t>
      </w:r>
      <w:r>
        <w:t xml:space="preserve"> </w:t>
      </w:r>
      <w:r w:rsidRPr="006D4B85">
        <w:t>politiku</w:t>
      </w:r>
      <w:r>
        <w:t xml:space="preserve"> </w:t>
      </w:r>
      <w:r w:rsidRPr="006D4B85">
        <w:t>zaměstnanosti,</w:t>
      </w:r>
    </w:p>
    <w:p w14:paraId="648C3544" w14:textId="34E50DC4" w:rsidR="00C930BE" w:rsidRDefault="00C930BE" w:rsidP="002B6A12">
      <w:pPr>
        <w:pStyle w:val="Textparagrafu"/>
        <w:numPr>
          <w:ilvl w:val="0"/>
          <w:numId w:val="28"/>
        </w:numPr>
        <w:tabs>
          <w:tab w:val="left" w:pos="426"/>
        </w:tabs>
        <w:spacing w:before="0"/>
        <w:ind w:left="426" w:hanging="426"/>
      </w:pPr>
      <w:r w:rsidRPr="006D4B85">
        <w:t>m)</w:t>
      </w:r>
      <w:r w:rsidR="00F050B1">
        <w:tab/>
      </w:r>
      <w:r w:rsidRPr="006D4B85">
        <w:t>zrušeno</w:t>
      </w:r>
    </w:p>
    <w:p w14:paraId="71E4677D" w14:textId="524DDF3C" w:rsidR="00C930BE" w:rsidRDefault="00C930BE" w:rsidP="002B6A12">
      <w:pPr>
        <w:pStyle w:val="Textparagrafu"/>
        <w:numPr>
          <w:ilvl w:val="0"/>
          <w:numId w:val="28"/>
        </w:numPr>
        <w:tabs>
          <w:tab w:val="left" w:pos="426"/>
        </w:tabs>
        <w:spacing w:before="0"/>
        <w:ind w:left="426" w:hanging="426"/>
      </w:pPr>
      <w:r w:rsidRPr="006D4B85">
        <w:t>n)</w:t>
      </w:r>
      <w:r w:rsidR="00F050B1">
        <w:tab/>
      </w:r>
      <w:r w:rsidRPr="006D4B85">
        <w:t>zrušeno</w:t>
      </w:r>
    </w:p>
    <w:p w14:paraId="626314ED" w14:textId="1079E222" w:rsidR="00C930BE" w:rsidRDefault="00C930BE" w:rsidP="002B6A12">
      <w:pPr>
        <w:pStyle w:val="Textparagrafu"/>
        <w:numPr>
          <w:ilvl w:val="0"/>
          <w:numId w:val="28"/>
        </w:numPr>
        <w:tabs>
          <w:tab w:val="left" w:pos="426"/>
        </w:tabs>
        <w:spacing w:before="0"/>
        <w:ind w:left="426" w:hanging="426"/>
      </w:pPr>
      <w:r w:rsidRPr="006D4B85">
        <w:t>o)</w:t>
      </w:r>
      <w:r w:rsidR="00F050B1">
        <w:tab/>
      </w:r>
      <w:r w:rsidRPr="006D4B85">
        <w:t>kontrolují</w:t>
      </w:r>
      <w:r>
        <w:t xml:space="preserve"> </w:t>
      </w:r>
      <w:r w:rsidRPr="006D4B85">
        <w:t>plnění</w:t>
      </w:r>
      <w:r>
        <w:t xml:space="preserve"> </w:t>
      </w:r>
      <w:r w:rsidRPr="006D4B85">
        <w:t>povinností</w:t>
      </w:r>
      <w:r>
        <w:t xml:space="preserve"> </w:t>
      </w:r>
      <w:r w:rsidRPr="006D4B85">
        <w:t>občanů</w:t>
      </w:r>
      <w:r>
        <w:t xml:space="preserve"> </w:t>
      </w:r>
      <w:r w:rsidRPr="006D4B85">
        <w:t>a</w:t>
      </w:r>
      <w:r>
        <w:t xml:space="preserve"> </w:t>
      </w:r>
      <w:r w:rsidRPr="006D4B85">
        <w:t>zaměstnavatelů</w:t>
      </w:r>
      <w:r>
        <w:t xml:space="preserve"> </w:t>
      </w:r>
      <w:r w:rsidRPr="006D4B85">
        <w:t>v</w:t>
      </w:r>
      <w:r>
        <w:t xml:space="preserve"> </w:t>
      </w:r>
      <w:r w:rsidRPr="006D4B85">
        <w:t>sociálním</w:t>
      </w:r>
      <w:r>
        <w:t xml:space="preserve"> </w:t>
      </w:r>
      <w:r w:rsidRPr="006D4B85">
        <w:t>zabezpečení,</w:t>
      </w:r>
      <w:r>
        <w:t xml:space="preserve"> </w:t>
      </w:r>
      <w:r w:rsidRPr="006D4B85">
        <w:t>plnění</w:t>
      </w:r>
      <w:r>
        <w:t xml:space="preserve"> </w:t>
      </w:r>
      <w:r w:rsidRPr="006D4B85">
        <w:t>povinností</w:t>
      </w:r>
      <w:r>
        <w:t xml:space="preserve"> </w:t>
      </w:r>
      <w:r w:rsidRPr="006D4B85">
        <w:t>plátců</w:t>
      </w:r>
      <w:r>
        <w:t xml:space="preserve"> </w:t>
      </w:r>
      <w:r w:rsidRPr="006D4B85">
        <w:t>pojistného</w:t>
      </w:r>
      <w:r>
        <w:t xml:space="preserve"> </w:t>
      </w:r>
      <w:r w:rsidRPr="006D4B85">
        <w:t>na</w:t>
      </w:r>
      <w:r>
        <w:t xml:space="preserve"> </w:t>
      </w:r>
      <w:r w:rsidRPr="006D4B85">
        <w:t>sociální</w:t>
      </w:r>
      <w:r>
        <w:t xml:space="preserve"> </w:t>
      </w:r>
      <w:r w:rsidRPr="006D4B85">
        <w:t>zabezpečení</w:t>
      </w:r>
      <w:r>
        <w:t xml:space="preserve"> </w:t>
      </w:r>
      <w:r w:rsidRPr="006D4B85">
        <w:t>a</w:t>
      </w:r>
      <w:r>
        <w:t xml:space="preserve"> </w:t>
      </w:r>
      <w:r w:rsidRPr="006D4B85">
        <w:t>příspěvku</w:t>
      </w:r>
      <w:r>
        <w:t xml:space="preserve"> </w:t>
      </w:r>
      <w:r w:rsidRPr="006D4B85">
        <w:t>na</w:t>
      </w:r>
      <w:r>
        <w:t xml:space="preserve"> </w:t>
      </w:r>
      <w:r w:rsidRPr="006D4B85">
        <w:t>státní</w:t>
      </w:r>
      <w:r>
        <w:t xml:space="preserve"> </w:t>
      </w:r>
      <w:r w:rsidRPr="006D4B85">
        <w:t>politiku</w:t>
      </w:r>
      <w:r>
        <w:t xml:space="preserve"> </w:t>
      </w:r>
      <w:r w:rsidRPr="006D4B85">
        <w:t>zaměstnanosti</w:t>
      </w:r>
      <w:r>
        <w:t xml:space="preserve"> </w:t>
      </w:r>
      <w:r w:rsidRPr="006D4B85">
        <w:t>a</w:t>
      </w:r>
      <w:r>
        <w:t xml:space="preserve"> </w:t>
      </w:r>
      <w:r w:rsidRPr="006D4B85">
        <w:t>plnění</w:t>
      </w:r>
      <w:r>
        <w:t xml:space="preserve"> </w:t>
      </w:r>
      <w:r w:rsidRPr="006D4B85">
        <w:t>povinností</w:t>
      </w:r>
      <w:r>
        <w:t xml:space="preserve"> </w:t>
      </w:r>
      <w:r w:rsidRPr="006D4B85">
        <w:t>stanovených</w:t>
      </w:r>
      <w:r>
        <w:t xml:space="preserve"> </w:t>
      </w:r>
      <w:r w:rsidRPr="006D4B85">
        <w:t>při</w:t>
      </w:r>
      <w:r>
        <w:t xml:space="preserve"> </w:t>
      </w:r>
      <w:r w:rsidRPr="006D4B85">
        <w:t>provádění</w:t>
      </w:r>
      <w:r>
        <w:t xml:space="preserve"> </w:t>
      </w:r>
      <w:r w:rsidRPr="006D4B85">
        <w:t>sociálního</w:t>
      </w:r>
      <w:r>
        <w:t xml:space="preserve"> </w:t>
      </w:r>
      <w:r w:rsidRPr="006D4B85">
        <w:t>zabezpečení</w:t>
      </w:r>
      <w:r>
        <w:t xml:space="preserve"> </w:t>
      </w:r>
      <w:r w:rsidRPr="006D4B85">
        <w:t>poskytovatelům</w:t>
      </w:r>
      <w:r>
        <w:t xml:space="preserve"> </w:t>
      </w:r>
      <w:r w:rsidRPr="006D4B85">
        <w:t>zdravotních</w:t>
      </w:r>
      <w:r>
        <w:t xml:space="preserve"> </w:t>
      </w:r>
      <w:r w:rsidRPr="006D4B85">
        <w:t>služeb,</w:t>
      </w:r>
    </w:p>
    <w:p w14:paraId="0E26C54E" w14:textId="2EE4E3F5" w:rsidR="00C930BE" w:rsidRDefault="00C930BE" w:rsidP="002B6A12">
      <w:pPr>
        <w:pStyle w:val="Textparagrafu"/>
        <w:numPr>
          <w:ilvl w:val="0"/>
          <w:numId w:val="28"/>
        </w:numPr>
        <w:tabs>
          <w:tab w:val="left" w:pos="426"/>
        </w:tabs>
        <w:spacing w:before="0"/>
        <w:ind w:left="426" w:hanging="426"/>
      </w:pPr>
      <w:r w:rsidRPr="006D4B85">
        <w:t>p)</w:t>
      </w:r>
      <w:r w:rsidR="00F050B1">
        <w:tab/>
      </w:r>
      <w:r w:rsidRPr="006D4B85">
        <w:t>zrušeno</w:t>
      </w:r>
    </w:p>
    <w:p w14:paraId="006C08D2" w14:textId="1E09EAEC" w:rsidR="00C930BE" w:rsidRDefault="00C930BE" w:rsidP="002B6A12">
      <w:pPr>
        <w:pStyle w:val="Textparagrafu"/>
        <w:numPr>
          <w:ilvl w:val="0"/>
          <w:numId w:val="28"/>
        </w:numPr>
        <w:tabs>
          <w:tab w:val="left" w:pos="426"/>
        </w:tabs>
        <w:spacing w:before="0"/>
        <w:ind w:left="426" w:hanging="426"/>
      </w:pPr>
      <w:r w:rsidRPr="006D4B85">
        <w:t>q)</w:t>
      </w:r>
      <w:r w:rsidR="00F050B1">
        <w:tab/>
      </w:r>
      <w:r w:rsidRPr="006D4B85">
        <w:t>zrušeno</w:t>
      </w:r>
    </w:p>
    <w:p w14:paraId="4B9B1EB4" w14:textId="7D862D0F" w:rsidR="00C930BE" w:rsidRDefault="00C930BE" w:rsidP="002B6A12">
      <w:pPr>
        <w:pStyle w:val="Textparagrafu"/>
        <w:numPr>
          <w:ilvl w:val="0"/>
          <w:numId w:val="28"/>
        </w:numPr>
        <w:tabs>
          <w:tab w:val="left" w:pos="426"/>
        </w:tabs>
        <w:spacing w:before="0"/>
        <w:ind w:left="426" w:hanging="426"/>
      </w:pPr>
      <w:r w:rsidRPr="006D4B85">
        <w:t>r)</w:t>
      </w:r>
      <w:r w:rsidR="00F050B1">
        <w:tab/>
      </w:r>
      <w:r w:rsidRPr="006D4B85">
        <w:t>vybírají</w:t>
      </w:r>
      <w:r>
        <w:t xml:space="preserve"> </w:t>
      </w:r>
      <w:r w:rsidRPr="006D4B85">
        <w:t>pojistné</w:t>
      </w:r>
      <w:r>
        <w:t xml:space="preserve"> </w:t>
      </w:r>
      <w:r w:rsidRPr="006D4B85">
        <w:t>na</w:t>
      </w:r>
      <w:r>
        <w:t xml:space="preserve"> </w:t>
      </w:r>
      <w:r w:rsidRPr="006D4B85">
        <w:t>sociální</w:t>
      </w:r>
      <w:r>
        <w:t xml:space="preserve"> </w:t>
      </w:r>
      <w:r w:rsidRPr="006D4B85">
        <w:t>zabezpečení</w:t>
      </w:r>
      <w:r>
        <w:t xml:space="preserve"> </w:t>
      </w:r>
      <w:r w:rsidRPr="006D4B85">
        <w:t>a</w:t>
      </w:r>
      <w:r>
        <w:t xml:space="preserve"> </w:t>
      </w:r>
      <w:r w:rsidRPr="006D4B85">
        <w:t>příspěvek</w:t>
      </w:r>
      <w:r>
        <w:t xml:space="preserve"> </w:t>
      </w:r>
      <w:r w:rsidRPr="006D4B85">
        <w:t>na</w:t>
      </w:r>
      <w:r>
        <w:t xml:space="preserve"> </w:t>
      </w:r>
      <w:r w:rsidRPr="006D4B85">
        <w:t>státní</w:t>
      </w:r>
      <w:r>
        <w:t xml:space="preserve"> </w:t>
      </w:r>
      <w:r w:rsidRPr="006D4B85">
        <w:t>politiku</w:t>
      </w:r>
      <w:r>
        <w:t xml:space="preserve"> </w:t>
      </w:r>
      <w:r w:rsidRPr="006D4B85">
        <w:t>zaměstnanosti</w:t>
      </w:r>
      <w:r>
        <w:t xml:space="preserve"> </w:t>
      </w:r>
      <w:r w:rsidRPr="006D4B85">
        <w:t>včetně</w:t>
      </w:r>
      <w:r>
        <w:t xml:space="preserve"> </w:t>
      </w:r>
      <w:r w:rsidRPr="006D4B85">
        <w:t>záloh</w:t>
      </w:r>
      <w:r>
        <w:t xml:space="preserve"> </w:t>
      </w:r>
      <w:r w:rsidRPr="006D4B85">
        <w:t>podle</w:t>
      </w:r>
      <w:r>
        <w:t xml:space="preserve"> </w:t>
      </w:r>
      <w:r w:rsidRPr="006D4B85">
        <w:t>zvláštního</w:t>
      </w:r>
      <w:r>
        <w:t xml:space="preserve"> </w:t>
      </w:r>
      <w:r w:rsidRPr="006D4B85">
        <w:t>zákona</w:t>
      </w:r>
      <w:r w:rsidR="001E2394">
        <w:rPr>
          <w:rStyle w:val="Znakapoznpodarou"/>
        </w:rPr>
        <w:footnoteReference w:customMarkFollows="1" w:id="95"/>
        <w:t>32)</w:t>
      </w:r>
      <w:r w:rsidR="001E2394">
        <w:t xml:space="preserve"> </w:t>
      </w:r>
      <w:r w:rsidRPr="006D4B85">
        <w:t>a</w:t>
      </w:r>
      <w:r>
        <w:t xml:space="preserve"> </w:t>
      </w:r>
      <w:r w:rsidRPr="006D4B85">
        <w:t>vymáhají</w:t>
      </w:r>
      <w:r>
        <w:t xml:space="preserve"> </w:t>
      </w:r>
      <w:r w:rsidRPr="006D4B85">
        <w:t>pohledávky</w:t>
      </w:r>
      <w:r>
        <w:t xml:space="preserve"> </w:t>
      </w:r>
      <w:r w:rsidRPr="006D4B85">
        <w:t>ve</w:t>
      </w:r>
      <w:r>
        <w:t xml:space="preserve"> </w:t>
      </w:r>
      <w:r w:rsidRPr="006D4B85">
        <w:t>věcech</w:t>
      </w:r>
      <w:r>
        <w:t xml:space="preserve"> </w:t>
      </w:r>
      <w:r w:rsidRPr="006D4B85">
        <w:t>pojistného</w:t>
      </w:r>
      <w:r>
        <w:t xml:space="preserve"> </w:t>
      </w:r>
      <w:r w:rsidRPr="006D4B85">
        <w:t>na</w:t>
      </w:r>
      <w:r>
        <w:t xml:space="preserve"> </w:t>
      </w:r>
      <w:r w:rsidRPr="006D4B85">
        <w:t>sociální</w:t>
      </w:r>
      <w:r>
        <w:t xml:space="preserve"> </w:t>
      </w:r>
      <w:r w:rsidRPr="006D4B85">
        <w:t>zabezpečení</w:t>
      </w:r>
      <w:r>
        <w:t xml:space="preserve"> </w:t>
      </w:r>
      <w:r w:rsidRPr="006D4B85">
        <w:t>a</w:t>
      </w:r>
      <w:r>
        <w:t xml:space="preserve"> </w:t>
      </w:r>
      <w:r w:rsidRPr="006D4B85">
        <w:t>příspěvku</w:t>
      </w:r>
      <w:r>
        <w:t xml:space="preserve"> </w:t>
      </w:r>
      <w:r w:rsidRPr="006D4B85">
        <w:t>na</w:t>
      </w:r>
      <w:r>
        <w:t xml:space="preserve"> </w:t>
      </w:r>
      <w:r w:rsidRPr="006D4B85">
        <w:t>státní</w:t>
      </w:r>
      <w:r>
        <w:t xml:space="preserve"> </w:t>
      </w:r>
      <w:r w:rsidRPr="006D4B85">
        <w:t>politiku</w:t>
      </w:r>
      <w:r>
        <w:t xml:space="preserve"> </w:t>
      </w:r>
      <w:r w:rsidRPr="006D4B85">
        <w:t>zaměstnanosti</w:t>
      </w:r>
      <w:r>
        <w:t xml:space="preserve"> </w:t>
      </w:r>
      <w:r w:rsidRPr="006D4B85">
        <w:t>včetně</w:t>
      </w:r>
      <w:r>
        <w:t xml:space="preserve"> </w:t>
      </w:r>
      <w:r w:rsidRPr="006D4B85">
        <w:t>pohledávek</w:t>
      </w:r>
      <w:r>
        <w:t xml:space="preserve"> </w:t>
      </w:r>
      <w:r w:rsidRPr="006D4B85">
        <w:t>v</w:t>
      </w:r>
      <w:r>
        <w:t xml:space="preserve"> </w:t>
      </w:r>
      <w:r w:rsidRPr="006D4B85">
        <w:t>těchto</w:t>
      </w:r>
      <w:r>
        <w:t xml:space="preserve"> </w:t>
      </w:r>
      <w:r w:rsidRPr="006D4B85">
        <w:t>věcech</w:t>
      </w:r>
      <w:r>
        <w:t xml:space="preserve"> </w:t>
      </w:r>
      <w:r w:rsidRPr="006D4B85">
        <w:t>na</w:t>
      </w:r>
      <w:r>
        <w:t xml:space="preserve"> </w:t>
      </w:r>
      <w:r w:rsidRPr="006D4B85">
        <w:t>základě</w:t>
      </w:r>
      <w:r>
        <w:t xml:space="preserve"> </w:t>
      </w:r>
      <w:r w:rsidRPr="006D4B85">
        <w:t>mezinárodních</w:t>
      </w:r>
      <w:r>
        <w:t xml:space="preserve"> </w:t>
      </w:r>
      <w:r w:rsidRPr="006D4B85">
        <w:t>smluv;</w:t>
      </w:r>
      <w:r>
        <w:t xml:space="preserve"> </w:t>
      </w:r>
      <w:r w:rsidRPr="006D4B85">
        <w:t>přitom</w:t>
      </w:r>
      <w:r>
        <w:t xml:space="preserve"> </w:t>
      </w:r>
      <w:r w:rsidRPr="006D4B85">
        <w:t>jsou</w:t>
      </w:r>
      <w:r>
        <w:t xml:space="preserve"> </w:t>
      </w:r>
      <w:r w:rsidRPr="006D4B85">
        <w:t>oprávněny</w:t>
      </w:r>
      <w:r>
        <w:t xml:space="preserve"> </w:t>
      </w:r>
      <w:r w:rsidRPr="006D4B85">
        <w:t>provádět</w:t>
      </w:r>
      <w:r>
        <w:t xml:space="preserve"> </w:t>
      </w:r>
      <w:r w:rsidRPr="006D4B85">
        <w:t>správní</w:t>
      </w:r>
      <w:r>
        <w:t xml:space="preserve"> </w:t>
      </w:r>
      <w:r w:rsidRPr="006D4B85">
        <w:t>výkon</w:t>
      </w:r>
      <w:r>
        <w:t xml:space="preserve"> </w:t>
      </w:r>
      <w:r w:rsidRPr="006D4B85">
        <w:t>rozhodnutí,</w:t>
      </w:r>
    </w:p>
    <w:p w14:paraId="18F5C4FF" w14:textId="1F7B83AD" w:rsidR="00C930BE" w:rsidRDefault="00C930BE" w:rsidP="002B6A12">
      <w:pPr>
        <w:pStyle w:val="Textparagrafu"/>
        <w:numPr>
          <w:ilvl w:val="0"/>
          <w:numId w:val="28"/>
        </w:numPr>
        <w:tabs>
          <w:tab w:val="left" w:pos="426"/>
        </w:tabs>
        <w:spacing w:before="0"/>
        <w:ind w:left="426" w:hanging="426"/>
      </w:pPr>
      <w:r w:rsidRPr="006D4B85">
        <w:t>s)</w:t>
      </w:r>
      <w:r w:rsidR="00F050B1">
        <w:tab/>
      </w:r>
      <w:r w:rsidRPr="006D4B85">
        <w:t>zrušeno</w:t>
      </w:r>
    </w:p>
    <w:p w14:paraId="27933544" w14:textId="607734A0" w:rsidR="00C930BE" w:rsidRDefault="00C930BE" w:rsidP="002B6A12">
      <w:pPr>
        <w:pStyle w:val="Textparagrafu"/>
        <w:numPr>
          <w:ilvl w:val="0"/>
          <w:numId w:val="28"/>
        </w:numPr>
        <w:tabs>
          <w:tab w:val="left" w:pos="426"/>
        </w:tabs>
        <w:spacing w:before="0"/>
        <w:ind w:left="426" w:hanging="426"/>
      </w:pPr>
      <w:r w:rsidRPr="006D4B85">
        <w:t>t)</w:t>
      </w:r>
      <w:r w:rsidR="00F050B1">
        <w:tab/>
      </w:r>
      <w:r w:rsidRPr="006D4B85">
        <w:t>vymáhají</w:t>
      </w:r>
      <w:r>
        <w:t xml:space="preserve"> </w:t>
      </w:r>
      <w:r w:rsidRPr="006D4B85">
        <w:t>pohledávky</w:t>
      </w:r>
      <w:r>
        <w:t xml:space="preserve"> </w:t>
      </w:r>
      <w:r w:rsidRPr="006D4B85">
        <w:t>na</w:t>
      </w:r>
      <w:r>
        <w:t xml:space="preserve"> </w:t>
      </w:r>
      <w:r w:rsidRPr="006D4B85">
        <w:t>dávkách</w:t>
      </w:r>
      <w:r>
        <w:t xml:space="preserve"> </w:t>
      </w:r>
      <w:r w:rsidRPr="006D4B85">
        <w:t>důchodového</w:t>
      </w:r>
      <w:r>
        <w:t xml:space="preserve"> </w:t>
      </w:r>
      <w:r w:rsidRPr="006D4B85">
        <w:t>pojištění;</w:t>
      </w:r>
      <w:r>
        <w:t xml:space="preserve"> </w:t>
      </w:r>
      <w:r w:rsidRPr="006D4B85">
        <w:t>přitom</w:t>
      </w:r>
      <w:r>
        <w:t xml:space="preserve"> </w:t>
      </w:r>
      <w:r w:rsidRPr="006D4B85">
        <w:t>jsou</w:t>
      </w:r>
      <w:r>
        <w:t xml:space="preserve"> </w:t>
      </w:r>
      <w:r w:rsidRPr="006D4B85">
        <w:t>oprávněny</w:t>
      </w:r>
      <w:r>
        <w:t xml:space="preserve"> </w:t>
      </w:r>
      <w:r w:rsidRPr="006D4B85">
        <w:t>provádět</w:t>
      </w:r>
      <w:r>
        <w:t xml:space="preserve"> </w:t>
      </w:r>
      <w:r w:rsidRPr="006D4B85">
        <w:t>správní</w:t>
      </w:r>
      <w:r>
        <w:t xml:space="preserve"> </w:t>
      </w:r>
      <w:r w:rsidRPr="006D4B85">
        <w:t>výkon</w:t>
      </w:r>
      <w:r>
        <w:t xml:space="preserve"> </w:t>
      </w:r>
      <w:r w:rsidRPr="006D4B85">
        <w:t>rozhodnutí</w:t>
      </w:r>
      <w:r>
        <w:t xml:space="preserve"> </w:t>
      </w:r>
      <w:r w:rsidRPr="006D4B85">
        <w:t>ve</w:t>
      </w:r>
      <w:r>
        <w:t xml:space="preserve"> </w:t>
      </w:r>
      <w:r w:rsidRPr="006D4B85">
        <w:t>věcech</w:t>
      </w:r>
      <w:r>
        <w:t xml:space="preserve"> </w:t>
      </w:r>
      <w:r w:rsidRPr="006D4B85">
        <w:t>důchodového</w:t>
      </w:r>
      <w:r>
        <w:t xml:space="preserve"> </w:t>
      </w:r>
      <w:r w:rsidRPr="006D4B85">
        <w:t>pojištění,</w:t>
      </w:r>
    </w:p>
    <w:p w14:paraId="556F483F" w14:textId="582AC17B" w:rsidR="00C930BE" w:rsidRDefault="00C930BE" w:rsidP="002B6A12">
      <w:pPr>
        <w:pStyle w:val="Textparagrafu"/>
        <w:numPr>
          <w:ilvl w:val="0"/>
          <w:numId w:val="28"/>
        </w:numPr>
        <w:tabs>
          <w:tab w:val="left" w:pos="426"/>
        </w:tabs>
        <w:spacing w:before="0"/>
        <w:ind w:left="426" w:hanging="426"/>
      </w:pPr>
      <w:r w:rsidRPr="006D4B85">
        <w:t>u)</w:t>
      </w:r>
      <w:r w:rsidR="00F050B1">
        <w:tab/>
      </w:r>
      <w:r w:rsidRPr="006D4B85">
        <w:t>mohou</w:t>
      </w:r>
      <w:r>
        <w:t xml:space="preserve"> </w:t>
      </w:r>
      <w:r w:rsidRPr="006D4B85">
        <w:t>převzít</w:t>
      </w:r>
      <w:r>
        <w:t xml:space="preserve"> </w:t>
      </w:r>
      <w:r w:rsidRPr="006D4B85">
        <w:t>plnění</w:t>
      </w:r>
      <w:r>
        <w:t xml:space="preserve"> </w:t>
      </w:r>
      <w:r w:rsidRPr="006D4B85">
        <w:t>některých</w:t>
      </w:r>
      <w:r>
        <w:t xml:space="preserve"> </w:t>
      </w:r>
      <w:r w:rsidRPr="006D4B85">
        <w:t>úkolů</w:t>
      </w:r>
      <w:r>
        <w:t xml:space="preserve"> </w:t>
      </w:r>
      <w:r w:rsidRPr="006D4B85">
        <w:t>spojených</w:t>
      </w:r>
      <w:r>
        <w:t xml:space="preserve"> </w:t>
      </w:r>
      <w:r w:rsidRPr="006D4B85">
        <w:t>s</w:t>
      </w:r>
      <w:r>
        <w:t xml:space="preserve"> </w:t>
      </w:r>
      <w:r w:rsidRPr="006D4B85">
        <w:t>prováděním</w:t>
      </w:r>
      <w:r>
        <w:t xml:space="preserve"> </w:t>
      </w:r>
      <w:r w:rsidRPr="006D4B85">
        <w:t>důchodového</w:t>
      </w:r>
      <w:r>
        <w:t xml:space="preserve"> </w:t>
      </w:r>
      <w:r w:rsidRPr="006D4B85">
        <w:t>pojištění</w:t>
      </w:r>
      <w:r>
        <w:t xml:space="preserve"> </w:t>
      </w:r>
      <w:r w:rsidRPr="006D4B85">
        <w:t>zaměstnanců</w:t>
      </w:r>
      <w:r>
        <w:t xml:space="preserve"> </w:t>
      </w:r>
      <w:r w:rsidRPr="006D4B85">
        <w:t>zaměstnavatelů,</w:t>
      </w:r>
      <w:r>
        <w:t xml:space="preserve"> </w:t>
      </w:r>
      <w:r w:rsidRPr="006D4B85">
        <w:t>kteří</w:t>
      </w:r>
      <w:r>
        <w:t xml:space="preserve"> </w:t>
      </w:r>
      <w:r w:rsidRPr="006D4B85">
        <w:t>neplní</w:t>
      </w:r>
      <w:r>
        <w:t xml:space="preserve"> </w:t>
      </w:r>
      <w:r w:rsidRPr="006D4B85">
        <w:t>povinnosti</w:t>
      </w:r>
      <w:r>
        <w:t xml:space="preserve"> </w:t>
      </w:r>
      <w:r w:rsidRPr="006D4B85">
        <w:t>při</w:t>
      </w:r>
      <w:r>
        <w:t xml:space="preserve"> </w:t>
      </w:r>
      <w:r w:rsidRPr="006D4B85">
        <w:t>provádění</w:t>
      </w:r>
      <w:r>
        <w:t xml:space="preserve"> </w:t>
      </w:r>
      <w:r w:rsidRPr="006D4B85">
        <w:t>důchodového</w:t>
      </w:r>
      <w:r>
        <w:t xml:space="preserve"> </w:t>
      </w:r>
      <w:r w:rsidRPr="006D4B85">
        <w:t>pojištění,</w:t>
      </w:r>
    </w:p>
    <w:p w14:paraId="29336ADC" w14:textId="7B4D5FFA" w:rsidR="00C930BE" w:rsidRDefault="00C930BE" w:rsidP="002B6A12">
      <w:pPr>
        <w:pStyle w:val="Textparagrafu"/>
        <w:numPr>
          <w:ilvl w:val="0"/>
          <w:numId w:val="28"/>
        </w:numPr>
        <w:tabs>
          <w:tab w:val="left" w:pos="426"/>
        </w:tabs>
        <w:spacing w:before="0"/>
        <w:ind w:left="426" w:hanging="426"/>
      </w:pPr>
      <w:r w:rsidRPr="006D4B85">
        <w:t>v)</w:t>
      </w:r>
      <w:r w:rsidR="00F050B1">
        <w:tab/>
      </w:r>
      <w:r w:rsidRPr="006D4B85">
        <w:t>vydávají</w:t>
      </w:r>
      <w:r>
        <w:t xml:space="preserve"> </w:t>
      </w:r>
      <w:r w:rsidRPr="006D4B85">
        <w:t>na</w:t>
      </w:r>
      <w:r>
        <w:t xml:space="preserve"> </w:t>
      </w:r>
      <w:r w:rsidRPr="006D4B85">
        <w:t>žádost</w:t>
      </w:r>
      <w:r>
        <w:t xml:space="preserve"> </w:t>
      </w:r>
      <w:r w:rsidRPr="006D4B85">
        <w:t>osob</w:t>
      </w:r>
      <w:r>
        <w:t xml:space="preserve"> </w:t>
      </w:r>
      <w:r w:rsidRPr="006D4B85">
        <w:t>samostatně</w:t>
      </w:r>
      <w:r>
        <w:t xml:space="preserve"> </w:t>
      </w:r>
      <w:r w:rsidRPr="006D4B85">
        <w:t>výdělečně</w:t>
      </w:r>
      <w:r>
        <w:t xml:space="preserve"> </w:t>
      </w:r>
      <w:r w:rsidRPr="006D4B85">
        <w:t>činných</w:t>
      </w:r>
      <w:r>
        <w:t xml:space="preserve"> </w:t>
      </w:r>
      <w:r w:rsidRPr="006D4B85">
        <w:t>potvrzení</w:t>
      </w:r>
      <w:r>
        <w:t xml:space="preserve"> </w:t>
      </w:r>
      <w:r w:rsidRPr="006D4B85">
        <w:t>o</w:t>
      </w:r>
      <w:r>
        <w:t xml:space="preserve"> </w:t>
      </w:r>
      <w:r w:rsidRPr="006D4B85">
        <w:t>výši</w:t>
      </w:r>
      <w:r>
        <w:t xml:space="preserve"> </w:t>
      </w:r>
      <w:r w:rsidRPr="006D4B85">
        <w:t>měsíčního</w:t>
      </w:r>
      <w:r>
        <w:t xml:space="preserve"> </w:t>
      </w:r>
      <w:r w:rsidRPr="006D4B85">
        <w:t>vyměřovacího</w:t>
      </w:r>
      <w:r>
        <w:t xml:space="preserve"> </w:t>
      </w:r>
      <w:r w:rsidRPr="006D4B85">
        <w:t>základu</w:t>
      </w:r>
      <w:r>
        <w:t xml:space="preserve"> </w:t>
      </w:r>
      <w:r w:rsidRPr="006D4B85">
        <w:t>pro</w:t>
      </w:r>
      <w:r>
        <w:t xml:space="preserve"> </w:t>
      </w:r>
      <w:r w:rsidRPr="006D4B85">
        <w:t>stanovení</w:t>
      </w:r>
      <w:r>
        <w:t xml:space="preserve"> </w:t>
      </w:r>
      <w:r w:rsidRPr="006D4B85">
        <w:t>záloh</w:t>
      </w:r>
      <w:r>
        <w:t xml:space="preserve"> </w:t>
      </w:r>
      <w:r w:rsidRPr="006D4B85">
        <w:t>na</w:t>
      </w:r>
      <w:r>
        <w:t xml:space="preserve"> </w:t>
      </w:r>
      <w:r w:rsidRPr="006D4B85">
        <w:t>pojistné</w:t>
      </w:r>
      <w:r>
        <w:t xml:space="preserve"> </w:t>
      </w:r>
      <w:r w:rsidRPr="006D4B85">
        <w:t>na</w:t>
      </w:r>
      <w:r>
        <w:t xml:space="preserve"> </w:t>
      </w:r>
      <w:r w:rsidRPr="006D4B85">
        <w:t>důchodové</w:t>
      </w:r>
      <w:r>
        <w:t xml:space="preserve"> </w:t>
      </w:r>
      <w:r w:rsidRPr="006D4B85">
        <w:t>pojištění</w:t>
      </w:r>
      <w:r>
        <w:t xml:space="preserve"> </w:t>
      </w:r>
      <w:r w:rsidRPr="006D4B85">
        <w:t>a</w:t>
      </w:r>
      <w:r>
        <w:t xml:space="preserve"> </w:t>
      </w:r>
      <w:r w:rsidRPr="006D4B85">
        <w:t>příspěvek</w:t>
      </w:r>
      <w:r>
        <w:t xml:space="preserve"> </w:t>
      </w:r>
      <w:r w:rsidRPr="006D4B85">
        <w:t>na</w:t>
      </w:r>
      <w:r>
        <w:t xml:space="preserve"> </w:t>
      </w:r>
      <w:r w:rsidRPr="006D4B85">
        <w:t>státní</w:t>
      </w:r>
      <w:r>
        <w:t xml:space="preserve"> </w:t>
      </w:r>
      <w:r w:rsidRPr="006D4B85">
        <w:t>politiku</w:t>
      </w:r>
      <w:r>
        <w:t xml:space="preserve"> </w:t>
      </w:r>
      <w:r w:rsidRPr="006D4B85">
        <w:t>zaměstnanosti</w:t>
      </w:r>
      <w:r>
        <w:t xml:space="preserve"> </w:t>
      </w:r>
      <w:r w:rsidRPr="006D4B85">
        <w:t>pro</w:t>
      </w:r>
      <w:r>
        <w:t xml:space="preserve"> </w:t>
      </w:r>
      <w:r w:rsidRPr="006D4B85">
        <w:t>účely</w:t>
      </w:r>
      <w:r>
        <w:t xml:space="preserve"> </w:t>
      </w:r>
      <w:r w:rsidRPr="006D4B85">
        <w:t>posouzení</w:t>
      </w:r>
      <w:r>
        <w:t xml:space="preserve"> </w:t>
      </w:r>
      <w:r w:rsidRPr="006D4B85">
        <w:t>nároku</w:t>
      </w:r>
      <w:r>
        <w:t xml:space="preserve"> </w:t>
      </w:r>
      <w:r w:rsidRPr="006D4B85">
        <w:t>na</w:t>
      </w:r>
      <w:r>
        <w:t xml:space="preserve"> </w:t>
      </w:r>
      <w:r w:rsidRPr="006D4B85">
        <w:t>dávky</w:t>
      </w:r>
      <w:r>
        <w:t xml:space="preserve"> </w:t>
      </w:r>
      <w:r w:rsidRPr="006D4B85">
        <w:t>státní</w:t>
      </w:r>
      <w:r>
        <w:t xml:space="preserve"> </w:t>
      </w:r>
      <w:r w:rsidRPr="006D4B85">
        <w:t>sociální</w:t>
      </w:r>
      <w:r>
        <w:t xml:space="preserve"> </w:t>
      </w:r>
      <w:r w:rsidRPr="006D4B85">
        <w:t>podpory,</w:t>
      </w:r>
    </w:p>
    <w:p w14:paraId="349748D3" w14:textId="6267E0EB" w:rsidR="00C930BE" w:rsidRDefault="00C930BE" w:rsidP="002B6A12">
      <w:pPr>
        <w:pStyle w:val="Textparagrafu"/>
        <w:numPr>
          <w:ilvl w:val="0"/>
          <w:numId w:val="28"/>
        </w:numPr>
        <w:tabs>
          <w:tab w:val="left" w:pos="426"/>
        </w:tabs>
        <w:spacing w:before="0"/>
        <w:ind w:left="426" w:hanging="426"/>
      </w:pPr>
      <w:r w:rsidRPr="006D4B85">
        <w:t>y)</w:t>
      </w:r>
      <w:r w:rsidR="00F050B1">
        <w:tab/>
      </w:r>
      <w:r w:rsidRPr="006D4B85">
        <w:t>navrhují</w:t>
      </w:r>
      <w:r>
        <w:t xml:space="preserve"> </w:t>
      </w:r>
      <w:r w:rsidRPr="006D4B85">
        <w:t>živnostenskému</w:t>
      </w:r>
      <w:r>
        <w:t xml:space="preserve"> </w:t>
      </w:r>
      <w:r w:rsidRPr="006D4B85">
        <w:t>úřadu</w:t>
      </w:r>
      <w:r>
        <w:t xml:space="preserve"> </w:t>
      </w:r>
      <w:r w:rsidRPr="006D4B85">
        <w:t>zrušení</w:t>
      </w:r>
      <w:r>
        <w:t xml:space="preserve"> </w:t>
      </w:r>
      <w:r w:rsidRPr="006D4B85">
        <w:t>živnostenského</w:t>
      </w:r>
      <w:r>
        <w:t xml:space="preserve"> </w:t>
      </w:r>
      <w:r w:rsidRPr="006D4B85">
        <w:t>oprávnění</w:t>
      </w:r>
      <w:r>
        <w:t xml:space="preserve"> </w:t>
      </w:r>
      <w:r w:rsidRPr="006D4B85">
        <w:t>podnikateli</w:t>
      </w:r>
      <w:r>
        <w:t xml:space="preserve"> </w:t>
      </w:r>
      <w:r w:rsidRPr="006D4B85">
        <w:t>z</w:t>
      </w:r>
      <w:r>
        <w:t xml:space="preserve"> </w:t>
      </w:r>
      <w:r w:rsidRPr="006D4B85">
        <w:t>důvodu</w:t>
      </w:r>
      <w:r>
        <w:t xml:space="preserve"> </w:t>
      </w:r>
      <w:r w:rsidRPr="006D4B85">
        <w:t>neplnění</w:t>
      </w:r>
      <w:r>
        <w:t xml:space="preserve"> </w:t>
      </w:r>
      <w:r w:rsidRPr="006D4B85">
        <w:t>závazků</w:t>
      </w:r>
      <w:r>
        <w:t xml:space="preserve"> </w:t>
      </w:r>
      <w:r w:rsidRPr="006D4B85">
        <w:t>podnikatele</w:t>
      </w:r>
      <w:r>
        <w:t xml:space="preserve"> </w:t>
      </w:r>
      <w:r w:rsidRPr="006D4B85">
        <w:t>vůči</w:t>
      </w:r>
      <w:r>
        <w:t xml:space="preserve"> </w:t>
      </w:r>
      <w:r w:rsidRPr="006D4B85">
        <w:t>státu,</w:t>
      </w:r>
    </w:p>
    <w:p w14:paraId="2AD18465" w14:textId="462C952D" w:rsidR="00C930BE" w:rsidRDefault="00C930BE" w:rsidP="002B6A12">
      <w:pPr>
        <w:pStyle w:val="Textparagrafu"/>
        <w:numPr>
          <w:ilvl w:val="0"/>
          <w:numId w:val="28"/>
        </w:numPr>
        <w:tabs>
          <w:tab w:val="left" w:pos="426"/>
        </w:tabs>
        <w:spacing w:before="0"/>
        <w:ind w:left="426" w:hanging="426"/>
      </w:pPr>
      <w:r w:rsidRPr="006D4B85">
        <w:t>z)</w:t>
      </w:r>
      <w:r w:rsidR="00F050B1">
        <w:tab/>
      </w:r>
      <w:r w:rsidRPr="006D4B85">
        <w:t>spolupracují</w:t>
      </w:r>
      <w:r>
        <w:t xml:space="preserve"> </w:t>
      </w:r>
      <w:r w:rsidRPr="006D4B85">
        <w:t>s</w:t>
      </w:r>
      <w:r>
        <w:t xml:space="preserve"> </w:t>
      </w:r>
      <w:r w:rsidRPr="006D4B85">
        <w:t>Institutem</w:t>
      </w:r>
      <w:r>
        <w:t xml:space="preserve"> </w:t>
      </w:r>
      <w:r w:rsidRPr="006D4B85">
        <w:t>posuzování</w:t>
      </w:r>
      <w:r>
        <w:t xml:space="preserve"> </w:t>
      </w:r>
      <w:r w:rsidRPr="006D4B85">
        <w:t>zdravotního</w:t>
      </w:r>
      <w:r>
        <w:t xml:space="preserve"> </w:t>
      </w:r>
      <w:r w:rsidRPr="006D4B85">
        <w:t>stavu</w:t>
      </w:r>
      <w:r>
        <w:t xml:space="preserve"> </w:t>
      </w:r>
      <w:r w:rsidRPr="006D4B85">
        <w:t>při</w:t>
      </w:r>
      <w:r>
        <w:t xml:space="preserve"> </w:t>
      </w:r>
      <w:r w:rsidRPr="006D4B85">
        <w:t>výkonu</w:t>
      </w:r>
      <w:r>
        <w:t xml:space="preserve"> </w:t>
      </w:r>
      <w:r w:rsidRPr="006D4B85">
        <w:t>posuzování</w:t>
      </w:r>
      <w:r>
        <w:t xml:space="preserve"> </w:t>
      </w:r>
      <w:r w:rsidRPr="006D4B85">
        <w:t>zdravotního</w:t>
      </w:r>
      <w:r>
        <w:t xml:space="preserve"> </w:t>
      </w:r>
      <w:r w:rsidRPr="006D4B85">
        <w:t>stavu</w:t>
      </w:r>
      <w:r>
        <w:t xml:space="preserve"> </w:t>
      </w:r>
      <w:r w:rsidRPr="006D4B85">
        <w:t>a</w:t>
      </w:r>
      <w:r>
        <w:t xml:space="preserve"> </w:t>
      </w:r>
      <w:r w:rsidRPr="006D4B85">
        <w:t>pracovní</w:t>
      </w:r>
      <w:r>
        <w:t xml:space="preserve"> </w:t>
      </w:r>
      <w:r w:rsidRPr="006D4B85">
        <w:t>schopnosti</w:t>
      </w:r>
      <w:r>
        <w:t xml:space="preserve"> </w:t>
      </w:r>
      <w:r w:rsidRPr="006D4B85">
        <w:t>podle</w:t>
      </w:r>
      <w:r>
        <w:t xml:space="preserve"> </w:t>
      </w:r>
      <w:r w:rsidRPr="006D4B85">
        <w:t>§</w:t>
      </w:r>
      <w:r>
        <w:t xml:space="preserve"> </w:t>
      </w:r>
      <w:r w:rsidRPr="006D4B85">
        <w:t>8</w:t>
      </w:r>
      <w:r>
        <w:t xml:space="preserve"> </w:t>
      </w:r>
      <w:r w:rsidRPr="006D4B85">
        <w:t>a</w:t>
      </w:r>
      <w:r>
        <w:t xml:space="preserve"> </w:t>
      </w:r>
      <w:r w:rsidRPr="006D4B85">
        <w:t>mohou</w:t>
      </w:r>
      <w:r>
        <w:t xml:space="preserve"> </w:t>
      </w:r>
      <w:r w:rsidRPr="006D4B85">
        <w:t>převzít</w:t>
      </w:r>
      <w:r>
        <w:t xml:space="preserve"> </w:t>
      </w:r>
      <w:r w:rsidRPr="006D4B85">
        <w:t>plnění</w:t>
      </w:r>
      <w:r>
        <w:t xml:space="preserve"> </w:t>
      </w:r>
      <w:r w:rsidRPr="006D4B85">
        <w:t>některých</w:t>
      </w:r>
      <w:r>
        <w:t xml:space="preserve"> </w:t>
      </w:r>
      <w:r w:rsidRPr="006D4B85">
        <w:t>úkolů</w:t>
      </w:r>
      <w:r>
        <w:t xml:space="preserve"> </w:t>
      </w:r>
      <w:r w:rsidRPr="006D4B85">
        <w:t>Institutu</w:t>
      </w:r>
      <w:r>
        <w:t xml:space="preserve"> </w:t>
      </w:r>
      <w:r w:rsidRPr="006D4B85">
        <w:t>posuzování</w:t>
      </w:r>
      <w:r>
        <w:t xml:space="preserve"> </w:t>
      </w:r>
      <w:r w:rsidRPr="006D4B85">
        <w:t>zdravotního</w:t>
      </w:r>
      <w:r>
        <w:t xml:space="preserve"> </w:t>
      </w:r>
      <w:r w:rsidRPr="006D4B85">
        <w:t>stavu</w:t>
      </w:r>
      <w:r>
        <w:t xml:space="preserve"> </w:t>
      </w:r>
      <w:r w:rsidRPr="006D4B85">
        <w:t>v</w:t>
      </w:r>
      <w:r>
        <w:t xml:space="preserve"> </w:t>
      </w:r>
      <w:r w:rsidRPr="006D4B85">
        <w:t>oblasti</w:t>
      </w:r>
      <w:r>
        <w:t xml:space="preserve"> </w:t>
      </w:r>
      <w:r w:rsidRPr="006D4B85">
        <w:t>archivnictví</w:t>
      </w:r>
      <w:r>
        <w:t xml:space="preserve"> </w:t>
      </w:r>
      <w:r w:rsidRPr="006D4B85">
        <w:t>a</w:t>
      </w:r>
      <w:r>
        <w:t xml:space="preserve"> </w:t>
      </w:r>
      <w:r w:rsidRPr="006D4B85">
        <w:t>výkonu</w:t>
      </w:r>
      <w:r>
        <w:t xml:space="preserve"> </w:t>
      </w:r>
      <w:r w:rsidRPr="006D4B85">
        <w:t>spisové</w:t>
      </w:r>
      <w:r>
        <w:t xml:space="preserve"> </w:t>
      </w:r>
      <w:r w:rsidRPr="006D4B85">
        <w:t>služby.</w:t>
      </w:r>
    </w:p>
    <w:p w14:paraId="164ABCB0" w14:textId="40009C15" w:rsidR="00D41C2D" w:rsidRDefault="00C930BE" w:rsidP="00433B76">
      <w:pPr>
        <w:pStyle w:val="Textparagrafu"/>
        <w:numPr>
          <w:ilvl w:val="0"/>
          <w:numId w:val="28"/>
        </w:numPr>
        <w:tabs>
          <w:tab w:val="left" w:pos="426"/>
        </w:tabs>
        <w:spacing w:before="0"/>
        <w:ind w:left="426" w:hanging="426"/>
      </w:pPr>
      <w:r w:rsidRPr="006D4B85">
        <w:t>z)</w:t>
      </w:r>
      <w:r w:rsidR="002B6A12">
        <w:tab/>
      </w:r>
      <w:r w:rsidRPr="006D4B85">
        <w:t>vedou</w:t>
      </w:r>
      <w:r>
        <w:t xml:space="preserve"> </w:t>
      </w:r>
      <w:r w:rsidRPr="006D4B85">
        <w:t>evidenci</w:t>
      </w:r>
      <w:r>
        <w:t xml:space="preserve"> </w:t>
      </w:r>
      <w:r w:rsidRPr="006D4B85">
        <w:t>dob</w:t>
      </w:r>
      <w:r>
        <w:t xml:space="preserve"> </w:t>
      </w:r>
      <w:r w:rsidRPr="006D4B85">
        <w:t>důchodového</w:t>
      </w:r>
      <w:r>
        <w:t xml:space="preserve"> </w:t>
      </w:r>
      <w:r w:rsidRPr="006D4B85">
        <w:t>pojištění</w:t>
      </w:r>
      <w:r>
        <w:t xml:space="preserve"> </w:t>
      </w:r>
      <w:r w:rsidRPr="006D4B85">
        <w:t>zaměstnanců</w:t>
      </w:r>
      <w:r>
        <w:t xml:space="preserve"> </w:t>
      </w:r>
      <w:r w:rsidRPr="006D4B85">
        <w:t>činných</w:t>
      </w:r>
      <w:r>
        <w:t xml:space="preserve"> </w:t>
      </w:r>
      <w:r w:rsidRPr="006D4B85">
        <w:t>na</w:t>
      </w:r>
      <w:r>
        <w:t xml:space="preserve"> </w:t>
      </w:r>
      <w:r w:rsidRPr="006D4B85">
        <w:t>základě</w:t>
      </w:r>
      <w:r>
        <w:t xml:space="preserve"> </w:t>
      </w:r>
      <w:r w:rsidRPr="006D4B85">
        <w:t>dohody</w:t>
      </w:r>
      <w:r>
        <w:t xml:space="preserve"> </w:t>
      </w:r>
      <w:r w:rsidRPr="006D4B85">
        <w:t>o</w:t>
      </w:r>
      <w:r>
        <w:t xml:space="preserve"> </w:t>
      </w:r>
      <w:r w:rsidRPr="006D4B85">
        <w:t>provedení</w:t>
      </w:r>
      <w:r>
        <w:t xml:space="preserve"> </w:t>
      </w:r>
      <w:r w:rsidRPr="006D4B85">
        <w:t>práce,</w:t>
      </w:r>
      <w:r>
        <w:t xml:space="preserve"> </w:t>
      </w:r>
      <w:r w:rsidRPr="006D4B85">
        <w:t>kteří</w:t>
      </w:r>
      <w:r>
        <w:t xml:space="preserve"> </w:t>
      </w:r>
      <w:r w:rsidRPr="006D4B85">
        <w:t>jsou</w:t>
      </w:r>
      <w:r>
        <w:t xml:space="preserve"> </w:t>
      </w:r>
      <w:r w:rsidRPr="006D4B85">
        <w:t>plátci</w:t>
      </w:r>
      <w:r>
        <w:t xml:space="preserve"> </w:t>
      </w:r>
      <w:r w:rsidRPr="006D4B85">
        <w:t>pojistného,</w:t>
      </w:r>
      <w:r>
        <w:t xml:space="preserve"> </w:t>
      </w:r>
      <w:r w:rsidRPr="006D4B85">
        <w:t>za</w:t>
      </w:r>
      <w:r>
        <w:t xml:space="preserve"> </w:t>
      </w:r>
      <w:r w:rsidRPr="006D4B85">
        <w:t>kalendářní</w:t>
      </w:r>
      <w:r>
        <w:t xml:space="preserve"> </w:t>
      </w:r>
      <w:r w:rsidRPr="006D4B85">
        <w:t>rok</w:t>
      </w:r>
      <w:r>
        <w:t xml:space="preserve"> </w:t>
      </w:r>
      <w:r w:rsidRPr="006D4B85">
        <w:t>a</w:t>
      </w:r>
      <w:r>
        <w:t xml:space="preserve"> </w:t>
      </w:r>
      <w:r w:rsidRPr="006D4B85">
        <w:t>předávají</w:t>
      </w:r>
      <w:r>
        <w:t xml:space="preserve"> </w:t>
      </w:r>
      <w:r w:rsidRPr="006D4B85">
        <w:t>tyto</w:t>
      </w:r>
      <w:r>
        <w:t xml:space="preserve"> </w:t>
      </w:r>
      <w:r w:rsidRPr="006D4B85">
        <w:t>údaje</w:t>
      </w:r>
      <w:r>
        <w:t xml:space="preserve"> </w:t>
      </w:r>
      <w:r w:rsidRPr="006D4B85">
        <w:t>České</w:t>
      </w:r>
      <w:r>
        <w:t xml:space="preserve"> </w:t>
      </w:r>
      <w:r w:rsidRPr="006D4B85">
        <w:t>správě</w:t>
      </w:r>
      <w:r>
        <w:t xml:space="preserve"> </w:t>
      </w:r>
      <w:r w:rsidRPr="006D4B85">
        <w:t>sociálního</w:t>
      </w:r>
      <w:r>
        <w:t xml:space="preserve"> </w:t>
      </w:r>
      <w:r w:rsidRPr="006D4B85">
        <w:t>zabezpečení.</w:t>
      </w:r>
    </w:p>
    <w:p w14:paraId="62C578CE" w14:textId="7EDA4309" w:rsidR="00C930BE" w:rsidRPr="006D4B85" w:rsidRDefault="00C930BE" w:rsidP="00C930BE">
      <w:pPr>
        <w:pStyle w:val="Textparagrafu"/>
        <w:numPr>
          <w:ilvl w:val="0"/>
          <w:numId w:val="28"/>
        </w:numPr>
        <w:tabs>
          <w:tab w:val="decimal" w:pos="426"/>
        </w:tabs>
        <w:jc w:val="center"/>
      </w:pPr>
      <w:r w:rsidRPr="006D4B85">
        <w:lastRenderedPageBreak/>
        <w:t>***</w:t>
      </w:r>
    </w:p>
    <w:p w14:paraId="4CB85206" w14:textId="77777777" w:rsidR="00C930BE" w:rsidRDefault="00C930BE" w:rsidP="00C930BE">
      <w:pPr>
        <w:pStyle w:val="Textparagrafu"/>
        <w:numPr>
          <w:ilvl w:val="0"/>
          <w:numId w:val="28"/>
        </w:numPr>
        <w:tabs>
          <w:tab w:val="decimal" w:pos="426"/>
        </w:tabs>
        <w:jc w:val="center"/>
      </w:pPr>
      <w:r w:rsidRPr="006D4B85">
        <w:t>§</w:t>
      </w:r>
      <w:r>
        <w:t xml:space="preserve"> </w:t>
      </w:r>
      <w:r w:rsidRPr="006D4B85">
        <w:t>38</w:t>
      </w:r>
    </w:p>
    <w:p w14:paraId="562F8C31" w14:textId="77777777" w:rsidR="00C930BE" w:rsidRPr="006D4B85" w:rsidRDefault="00C930BE" w:rsidP="00C930BE">
      <w:pPr>
        <w:pStyle w:val="Textparagrafu"/>
        <w:numPr>
          <w:ilvl w:val="0"/>
          <w:numId w:val="28"/>
        </w:numPr>
        <w:tabs>
          <w:tab w:val="decimal" w:pos="426"/>
        </w:tabs>
        <w:jc w:val="center"/>
        <w:rPr>
          <w:b/>
        </w:rPr>
      </w:pPr>
      <w:r w:rsidRPr="006D4B85">
        <w:rPr>
          <w:b/>
        </w:rPr>
        <w:t>Evidenční listy</w:t>
      </w:r>
    </w:p>
    <w:p w14:paraId="79220FBC" w14:textId="77777777" w:rsidR="00C930BE" w:rsidRDefault="00C930BE" w:rsidP="00D41C2D">
      <w:pPr>
        <w:pStyle w:val="Textparagrafu"/>
        <w:numPr>
          <w:ilvl w:val="0"/>
          <w:numId w:val="28"/>
        </w:numPr>
        <w:tabs>
          <w:tab w:val="decimal" w:pos="426"/>
        </w:tabs>
        <w:spacing w:before="120"/>
        <w:ind w:firstLine="425"/>
      </w:pPr>
      <w:r w:rsidRPr="006D4B85">
        <w:t>(1)</w:t>
      </w:r>
      <w:r>
        <w:t xml:space="preserve"> </w:t>
      </w:r>
      <w:r w:rsidRPr="006D4B85">
        <w:t>Zaměstnavatelé</w:t>
      </w:r>
      <w:r>
        <w:t xml:space="preserve"> </w:t>
      </w:r>
      <w:r w:rsidRPr="006D4B85">
        <w:t>a</w:t>
      </w:r>
      <w:r>
        <w:t xml:space="preserve"> </w:t>
      </w:r>
      <w:r w:rsidRPr="006D4B85">
        <w:t>orgány</w:t>
      </w:r>
      <w:r>
        <w:t xml:space="preserve"> </w:t>
      </w:r>
      <w:r w:rsidRPr="006D4B85">
        <w:t>plnící</w:t>
      </w:r>
      <w:r>
        <w:t xml:space="preserve"> </w:t>
      </w:r>
      <w:r w:rsidRPr="006D4B85">
        <w:t>úkoly</w:t>
      </w:r>
      <w:r>
        <w:t xml:space="preserve"> </w:t>
      </w:r>
      <w:r w:rsidRPr="006D4B85">
        <w:t>v</w:t>
      </w:r>
      <w:r>
        <w:t xml:space="preserve"> </w:t>
      </w:r>
      <w:r w:rsidRPr="006D4B85">
        <w:t>důchodovém</w:t>
      </w:r>
      <w:r>
        <w:t xml:space="preserve"> </w:t>
      </w:r>
      <w:r w:rsidRPr="006D4B85">
        <w:t>pojištění</w:t>
      </w:r>
      <w:r>
        <w:t xml:space="preserve"> </w:t>
      </w:r>
      <w:r w:rsidRPr="006D4B85">
        <w:t>podle</w:t>
      </w:r>
      <w:r>
        <w:t xml:space="preserve"> </w:t>
      </w:r>
      <w:r w:rsidRPr="006D4B85">
        <w:t>§</w:t>
      </w:r>
      <w:r>
        <w:t xml:space="preserve"> </w:t>
      </w:r>
      <w:r w:rsidRPr="006D4B85">
        <w:t>36</w:t>
      </w:r>
      <w:r>
        <w:t xml:space="preserve"> </w:t>
      </w:r>
      <w:r w:rsidRPr="006D4B85">
        <w:t>písm.</w:t>
      </w:r>
      <w:r>
        <w:t xml:space="preserve"> </w:t>
      </w:r>
      <w:r w:rsidRPr="006D4B85">
        <w:t>a)</w:t>
      </w:r>
      <w:r>
        <w:t xml:space="preserve"> </w:t>
      </w:r>
      <w:r w:rsidRPr="006D4B85">
        <w:t>až</w:t>
      </w:r>
      <w:r>
        <w:t xml:space="preserve"> </w:t>
      </w:r>
      <w:r w:rsidRPr="006D4B85">
        <w:t>d),</w:t>
      </w:r>
      <w:r>
        <w:t xml:space="preserve"> </w:t>
      </w:r>
      <w:r w:rsidRPr="006D4B85">
        <w:t>f)</w:t>
      </w:r>
      <w:r>
        <w:t xml:space="preserve"> </w:t>
      </w:r>
      <w:r w:rsidRPr="006D4B85">
        <w:t>až</w:t>
      </w:r>
      <w:r>
        <w:t xml:space="preserve"> </w:t>
      </w:r>
      <w:r w:rsidRPr="006D4B85">
        <w:t>n),</w:t>
      </w:r>
      <w:r>
        <w:t xml:space="preserve"> </w:t>
      </w:r>
      <w:r w:rsidRPr="006D4B85">
        <w:t>q),</w:t>
      </w:r>
      <w:r>
        <w:t xml:space="preserve"> </w:t>
      </w:r>
      <w:r w:rsidRPr="006D4B85">
        <w:t>s)</w:t>
      </w:r>
      <w:r>
        <w:t xml:space="preserve"> </w:t>
      </w:r>
      <w:r w:rsidRPr="006D4B85">
        <w:t>a</w:t>
      </w:r>
      <w:r>
        <w:t xml:space="preserve"> </w:t>
      </w:r>
      <w:r w:rsidRPr="006D4B85">
        <w:t>u)</w:t>
      </w:r>
      <w:r>
        <w:t xml:space="preserve"> </w:t>
      </w:r>
      <w:r w:rsidRPr="006D4B85">
        <w:t>až</w:t>
      </w:r>
      <w:r>
        <w:t xml:space="preserve"> </w:t>
      </w:r>
      <w:proofErr w:type="spellStart"/>
      <w:r w:rsidRPr="006D4B85">
        <w:t>zk</w:t>
      </w:r>
      <w:proofErr w:type="spellEnd"/>
      <w:r w:rsidRPr="006D4B85">
        <w:t>)</w:t>
      </w:r>
      <w:r>
        <w:t xml:space="preserve"> </w:t>
      </w:r>
      <w:r w:rsidRPr="006D4B85">
        <w:t>jsou</w:t>
      </w:r>
      <w:r>
        <w:t xml:space="preserve"> </w:t>
      </w:r>
      <w:r w:rsidRPr="006D4B85">
        <w:t>povinni</w:t>
      </w:r>
      <w:r>
        <w:t xml:space="preserve"> </w:t>
      </w:r>
      <w:r w:rsidRPr="006D4B85">
        <w:t>vést</w:t>
      </w:r>
      <w:r>
        <w:t xml:space="preserve"> </w:t>
      </w:r>
      <w:r w:rsidRPr="006D4B85">
        <w:t>pro</w:t>
      </w:r>
      <w:r>
        <w:t xml:space="preserve"> </w:t>
      </w:r>
      <w:r w:rsidRPr="006D4B85">
        <w:t>každého</w:t>
      </w:r>
      <w:r>
        <w:t xml:space="preserve"> </w:t>
      </w:r>
      <w:r w:rsidRPr="006D4B85">
        <w:t>občana</w:t>
      </w:r>
      <w:r>
        <w:t xml:space="preserve"> </w:t>
      </w:r>
      <w:r w:rsidRPr="006D4B85">
        <w:t>uvedeného</w:t>
      </w:r>
      <w:r>
        <w:t xml:space="preserve"> </w:t>
      </w:r>
      <w:r w:rsidRPr="006D4B85">
        <w:t>v</w:t>
      </w:r>
      <w:r>
        <w:t xml:space="preserve"> </w:t>
      </w:r>
      <w:r w:rsidRPr="006D4B85">
        <w:t>těchto</w:t>
      </w:r>
      <w:r>
        <w:t xml:space="preserve"> </w:t>
      </w:r>
      <w:r w:rsidRPr="006D4B85">
        <w:t>ustanoveních,</w:t>
      </w:r>
      <w:r>
        <w:t xml:space="preserve"> </w:t>
      </w:r>
      <w:r w:rsidRPr="006D4B85">
        <w:t>který</w:t>
      </w:r>
      <w:r>
        <w:t xml:space="preserve"> </w:t>
      </w:r>
      <w:r w:rsidRPr="006D4B85">
        <w:t>je</w:t>
      </w:r>
      <w:r>
        <w:t xml:space="preserve"> </w:t>
      </w:r>
      <w:r w:rsidRPr="006D4B85">
        <w:t>účasten</w:t>
      </w:r>
      <w:r>
        <w:t xml:space="preserve"> </w:t>
      </w:r>
      <w:r w:rsidRPr="006D4B85">
        <w:t>důchodového</w:t>
      </w:r>
      <w:r>
        <w:t xml:space="preserve"> </w:t>
      </w:r>
      <w:r w:rsidRPr="006D4B85">
        <w:t>pojištění,</w:t>
      </w:r>
      <w:r>
        <w:t xml:space="preserve"> </w:t>
      </w:r>
      <w:r w:rsidRPr="006D4B85">
        <w:t>evidenční</w:t>
      </w:r>
      <w:r>
        <w:t xml:space="preserve"> </w:t>
      </w:r>
      <w:r w:rsidRPr="006D4B85">
        <w:t>list.</w:t>
      </w:r>
      <w:r>
        <w:t xml:space="preserve"> </w:t>
      </w:r>
      <w:r w:rsidRPr="006D4B85">
        <w:t>Evidenční</w:t>
      </w:r>
      <w:r>
        <w:t xml:space="preserve"> </w:t>
      </w:r>
      <w:r w:rsidRPr="006D4B85">
        <w:t>list</w:t>
      </w:r>
      <w:r>
        <w:t xml:space="preserve"> </w:t>
      </w:r>
      <w:r w:rsidRPr="006D4B85">
        <w:t>nevede</w:t>
      </w:r>
      <w:r>
        <w:t xml:space="preserve"> </w:t>
      </w:r>
      <w:r w:rsidRPr="006D4B85">
        <w:t>územní</w:t>
      </w:r>
      <w:r>
        <w:t xml:space="preserve"> </w:t>
      </w:r>
      <w:r w:rsidRPr="006D4B85">
        <w:t>správa</w:t>
      </w:r>
      <w:r>
        <w:t xml:space="preserve"> </w:t>
      </w:r>
      <w:r w:rsidRPr="006D4B85">
        <w:t>sociálního</w:t>
      </w:r>
      <w:r>
        <w:t xml:space="preserve"> </w:t>
      </w:r>
      <w:r w:rsidRPr="006D4B85">
        <w:t>zabezpečení,</w:t>
      </w:r>
      <w:r>
        <w:t xml:space="preserve"> </w:t>
      </w:r>
      <w:r w:rsidRPr="006D4B85">
        <w:t>plní-li</w:t>
      </w:r>
      <w:r>
        <w:t xml:space="preserve"> </w:t>
      </w:r>
      <w:r w:rsidRPr="006D4B85">
        <w:t>úkoly</w:t>
      </w:r>
      <w:r>
        <w:t xml:space="preserve"> </w:t>
      </w:r>
      <w:r w:rsidRPr="006D4B85">
        <w:t>zaměstnavatele</w:t>
      </w:r>
      <w:r>
        <w:t xml:space="preserve"> </w:t>
      </w:r>
      <w:r w:rsidRPr="006D4B85">
        <w:t>podle</w:t>
      </w:r>
      <w:r>
        <w:t xml:space="preserve"> </w:t>
      </w:r>
      <w:r w:rsidRPr="006D4B85">
        <w:t>§</w:t>
      </w:r>
      <w:r>
        <w:t xml:space="preserve"> </w:t>
      </w:r>
      <w:r w:rsidRPr="006D4B85">
        <w:t>36</w:t>
      </w:r>
      <w:r>
        <w:t xml:space="preserve"> </w:t>
      </w:r>
      <w:r w:rsidRPr="006D4B85">
        <w:t>písm.</w:t>
      </w:r>
      <w:r>
        <w:t xml:space="preserve"> </w:t>
      </w:r>
      <w:r w:rsidRPr="006D4B85">
        <w:t>s).</w:t>
      </w:r>
    </w:p>
    <w:p w14:paraId="2AC29AA1" w14:textId="77777777" w:rsidR="00C930BE" w:rsidRDefault="00C930BE" w:rsidP="00D41C2D">
      <w:pPr>
        <w:pStyle w:val="Textparagrafu"/>
        <w:numPr>
          <w:ilvl w:val="0"/>
          <w:numId w:val="28"/>
        </w:numPr>
        <w:tabs>
          <w:tab w:val="decimal" w:pos="426"/>
        </w:tabs>
        <w:spacing w:before="120"/>
        <w:ind w:firstLine="425"/>
      </w:pPr>
      <w:r w:rsidRPr="006D4B85">
        <w:t>(2)</w:t>
      </w:r>
      <w:r>
        <w:t xml:space="preserve"> </w:t>
      </w:r>
      <w:r w:rsidRPr="006D4B85">
        <w:t>Evidenční</w:t>
      </w:r>
      <w:r>
        <w:t xml:space="preserve"> </w:t>
      </w:r>
      <w:r w:rsidRPr="006D4B85">
        <w:t>list</w:t>
      </w:r>
      <w:r>
        <w:t xml:space="preserve"> </w:t>
      </w:r>
      <w:r w:rsidRPr="006D4B85">
        <w:t>se</w:t>
      </w:r>
      <w:r>
        <w:t xml:space="preserve"> </w:t>
      </w:r>
      <w:r w:rsidRPr="006D4B85">
        <w:t>vede</w:t>
      </w:r>
      <w:r>
        <w:t xml:space="preserve"> </w:t>
      </w:r>
      <w:r w:rsidRPr="006D4B85">
        <w:t>pro</w:t>
      </w:r>
      <w:r>
        <w:t xml:space="preserve"> </w:t>
      </w:r>
      <w:r w:rsidRPr="006D4B85">
        <w:t>každého</w:t>
      </w:r>
      <w:r>
        <w:t xml:space="preserve"> </w:t>
      </w:r>
      <w:r w:rsidRPr="006D4B85">
        <w:t>občana</w:t>
      </w:r>
      <w:r>
        <w:t xml:space="preserve"> </w:t>
      </w:r>
      <w:r w:rsidRPr="006D4B85">
        <w:t>za</w:t>
      </w:r>
      <w:r>
        <w:t xml:space="preserve"> </w:t>
      </w:r>
      <w:r w:rsidRPr="006D4B85">
        <w:t>jednotlivý</w:t>
      </w:r>
      <w:r>
        <w:t xml:space="preserve"> </w:t>
      </w:r>
      <w:r w:rsidRPr="006D4B85">
        <w:t>kalendářní</w:t>
      </w:r>
      <w:r>
        <w:t xml:space="preserve"> </w:t>
      </w:r>
      <w:r w:rsidRPr="006D4B85">
        <w:t>rok.</w:t>
      </w:r>
      <w:r>
        <w:t xml:space="preserve"> </w:t>
      </w:r>
      <w:r w:rsidRPr="006D4B85">
        <w:t>Pro</w:t>
      </w:r>
      <w:r>
        <w:t xml:space="preserve"> </w:t>
      </w:r>
      <w:r w:rsidRPr="006D4B85">
        <w:t>každý</w:t>
      </w:r>
      <w:r>
        <w:t xml:space="preserve"> </w:t>
      </w:r>
      <w:r w:rsidRPr="006D4B85">
        <w:t>kalendářní</w:t>
      </w:r>
      <w:r>
        <w:t xml:space="preserve"> </w:t>
      </w:r>
      <w:r w:rsidRPr="006D4B85">
        <w:t>rok</w:t>
      </w:r>
      <w:r>
        <w:t xml:space="preserve"> </w:t>
      </w:r>
      <w:r w:rsidRPr="006D4B85">
        <w:t>se</w:t>
      </w:r>
      <w:r>
        <w:t xml:space="preserve"> </w:t>
      </w:r>
      <w:r w:rsidRPr="006D4B85">
        <w:t>vede</w:t>
      </w:r>
      <w:r>
        <w:t xml:space="preserve"> </w:t>
      </w:r>
      <w:r w:rsidRPr="006D4B85">
        <w:t>vždy</w:t>
      </w:r>
      <w:r>
        <w:t xml:space="preserve"> </w:t>
      </w:r>
      <w:r w:rsidRPr="006D4B85">
        <w:t>nový</w:t>
      </w:r>
      <w:r>
        <w:t xml:space="preserve"> </w:t>
      </w:r>
      <w:r w:rsidRPr="006D4B85">
        <w:t>evidenční</w:t>
      </w:r>
      <w:r>
        <w:t xml:space="preserve"> </w:t>
      </w:r>
      <w:r w:rsidRPr="006D4B85">
        <w:t>list,</w:t>
      </w:r>
      <w:r>
        <w:t xml:space="preserve"> </w:t>
      </w:r>
      <w:r w:rsidRPr="006D4B85">
        <w:t>a</w:t>
      </w:r>
      <w:r>
        <w:t xml:space="preserve"> </w:t>
      </w:r>
      <w:r w:rsidRPr="006D4B85">
        <w:t>to</w:t>
      </w:r>
      <w:r>
        <w:t xml:space="preserve"> </w:t>
      </w:r>
      <w:r w:rsidRPr="006D4B85">
        <w:t>i</w:t>
      </w:r>
      <w:r>
        <w:t xml:space="preserve"> </w:t>
      </w:r>
      <w:r w:rsidRPr="006D4B85">
        <w:t>když</w:t>
      </w:r>
      <w:r>
        <w:t xml:space="preserve"> </w:t>
      </w:r>
      <w:r w:rsidRPr="006D4B85">
        <w:t>trvala</w:t>
      </w:r>
      <w:r>
        <w:t xml:space="preserve"> </w:t>
      </w:r>
      <w:r w:rsidRPr="006D4B85">
        <w:t>účast</w:t>
      </w:r>
      <w:r>
        <w:t xml:space="preserve"> </w:t>
      </w:r>
      <w:r w:rsidRPr="006D4B85">
        <w:t>na</w:t>
      </w:r>
      <w:r>
        <w:t xml:space="preserve"> </w:t>
      </w:r>
      <w:r w:rsidRPr="006D4B85">
        <w:t>důchodovém</w:t>
      </w:r>
      <w:r>
        <w:t xml:space="preserve"> </w:t>
      </w:r>
      <w:r w:rsidRPr="006D4B85">
        <w:t>pojištění</w:t>
      </w:r>
      <w:r>
        <w:t xml:space="preserve"> </w:t>
      </w:r>
      <w:r w:rsidRPr="006D4B85">
        <w:t>u</w:t>
      </w:r>
      <w:r>
        <w:t xml:space="preserve"> </w:t>
      </w:r>
      <w:r w:rsidRPr="006D4B85">
        <w:t>téhož</w:t>
      </w:r>
      <w:r>
        <w:t xml:space="preserve"> </w:t>
      </w:r>
      <w:r w:rsidRPr="006D4B85">
        <w:t>zaměstnavatele</w:t>
      </w:r>
      <w:r>
        <w:t xml:space="preserve"> </w:t>
      </w:r>
      <w:r w:rsidRPr="006D4B85">
        <w:t>v</w:t>
      </w:r>
      <w:r>
        <w:t xml:space="preserve"> </w:t>
      </w:r>
      <w:r w:rsidRPr="006D4B85">
        <w:t>předchozím</w:t>
      </w:r>
      <w:r>
        <w:t xml:space="preserve"> </w:t>
      </w:r>
      <w:r w:rsidRPr="006D4B85">
        <w:t>kalendářním</w:t>
      </w:r>
      <w:r>
        <w:t xml:space="preserve"> </w:t>
      </w:r>
      <w:r w:rsidRPr="006D4B85">
        <w:t>roce.</w:t>
      </w:r>
    </w:p>
    <w:p w14:paraId="06B2EBBB" w14:textId="77777777" w:rsidR="00C930BE" w:rsidRDefault="00C930BE" w:rsidP="00D41C2D">
      <w:pPr>
        <w:pStyle w:val="Textparagrafu"/>
        <w:numPr>
          <w:ilvl w:val="0"/>
          <w:numId w:val="28"/>
        </w:numPr>
        <w:tabs>
          <w:tab w:val="decimal" w:pos="426"/>
        </w:tabs>
        <w:spacing w:before="120"/>
        <w:ind w:firstLine="425"/>
      </w:pPr>
      <w:r w:rsidRPr="006D4B85">
        <w:t>(3)</w:t>
      </w:r>
      <w:r>
        <w:t xml:space="preserve"> </w:t>
      </w:r>
      <w:r w:rsidRPr="006D4B85">
        <w:t>Evidenční</w:t>
      </w:r>
      <w:r>
        <w:t xml:space="preserve"> </w:t>
      </w:r>
      <w:r w:rsidRPr="006D4B85">
        <w:t>list</w:t>
      </w:r>
      <w:r>
        <w:t xml:space="preserve"> </w:t>
      </w:r>
      <w:r w:rsidRPr="006D4B85">
        <w:t>se</w:t>
      </w:r>
      <w:r>
        <w:t xml:space="preserve"> </w:t>
      </w:r>
      <w:r w:rsidRPr="006D4B85">
        <w:t>vede</w:t>
      </w:r>
      <w:r>
        <w:t xml:space="preserve"> </w:t>
      </w:r>
      <w:r w:rsidRPr="006D4B85">
        <w:t>od</w:t>
      </w:r>
      <w:r>
        <w:t xml:space="preserve"> </w:t>
      </w:r>
      <w:r w:rsidRPr="006D4B85">
        <w:t>1.</w:t>
      </w:r>
      <w:r>
        <w:t xml:space="preserve"> </w:t>
      </w:r>
      <w:r w:rsidRPr="006D4B85">
        <w:t>ledna</w:t>
      </w:r>
      <w:r>
        <w:t xml:space="preserve"> </w:t>
      </w:r>
      <w:r w:rsidRPr="006D4B85">
        <w:t>kalendářního</w:t>
      </w:r>
      <w:r>
        <w:t xml:space="preserve"> </w:t>
      </w:r>
      <w:r w:rsidRPr="006D4B85">
        <w:t>roku</w:t>
      </w:r>
      <w:r>
        <w:t xml:space="preserve"> </w:t>
      </w:r>
      <w:r w:rsidRPr="006D4B85">
        <w:t>nebo</w:t>
      </w:r>
      <w:r>
        <w:t xml:space="preserve"> </w:t>
      </w:r>
      <w:r w:rsidRPr="006D4B85">
        <w:t>ode</w:t>
      </w:r>
      <w:r>
        <w:t xml:space="preserve"> </w:t>
      </w:r>
      <w:r w:rsidRPr="006D4B85">
        <w:t>dne</w:t>
      </w:r>
      <w:r>
        <w:t xml:space="preserve"> </w:t>
      </w:r>
      <w:r w:rsidRPr="006D4B85">
        <w:t>vzniku</w:t>
      </w:r>
      <w:r>
        <w:t xml:space="preserve"> </w:t>
      </w:r>
      <w:r w:rsidRPr="006D4B85">
        <w:t>účasti</w:t>
      </w:r>
      <w:r>
        <w:t xml:space="preserve"> </w:t>
      </w:r>
      <w:r w:rsidRPr="006D4B85">
        <w:t>občana</w:t>
      </w:r>
      <w:r>
        <w:t xml:space="preserve"> </w:t>
      </w:r>
      <w:r w:rsidRPr="006D4B85">
        <w:t>na</w:t>
      </w:r>
      <w:r>
        <w:t xml:space="preserve"> </w:t>
      </w:r>
      <w:r w:rsidRPr="006D4B85">
        <w:t>důchodovém</w:t>
      </w:r>
      <w:r>
        <w:t xml:space="preserve"> </w:t>
      </w:r>
      <w:r w:rsidRPr="006D4B85">
        <w:t>pojištění,</w:t>
      </w:r>
      <w:r>
        <w:t xml:space="preserve"> </w:t>
      </w:r>
      <w:r w:rsidRPr="006D4B85">
        <w:t>vznikla-li</w:t>
      </w:r>
      <w:r>
        <w:t xml:space="preserve"> </w:t>
      </w:r>
      <w:r w:rsidRPr="006D4B85">
        <w:t>tato</w:t>
      </w:r>
      <w:r>
        <w:t xml:space="preserve"> </w:t>
      </w:r>
      <w:r w:rsidRPr="006D4B85">
        <w:t>účast</w:t>
      </w:r>
      <w:r>
        <w:t xml:space="preserve"> </w:t>
      </w:r>
      <w:r w:rsidRPr="006D4B85">
        <w:t>po</w:t>
      </w:r>
      <w:r>
        <w:t xml:space="preserve"> </w:t>
      </w:r>
      <w:r w:rsidRPr="006D4B85">
        <w:t>1.</w:t>
      </w:r>
      <w:r>
        <w:t xml:space="preserve"> </w:t>
      </w:r>
      <w:r w:rsidRPr="006D4B85">
        <w:t>lednu,</w:t>
      </w:r>
      <w:r>
        <w:t xml:space="preserve"> </w:t>
      </w:r>
      <w:r w:rsidRPr="006D4B85">
        <w:t>a</w:t>
      </w:r>
      <w:r>
        <w:t xml:space="preserve"> </w:t>
      </w:r>
      <w:r w:rsidRPr="006D4B85">
        <w:t>ukončuje</w:t>
      </w:r>
      <w:r>
        <w:t xml:space="preserve"> </w:t>
      </w:r>
      <w:r w:rsidRPr="006D4B85">
        <w:t>se</w:t>
      </w:r>
      <w:r>
        <w:t xml:space="preserve"> </w:t>
      </w:r>
      <w:r w:rsidRPr="006D4B85">
        <w:t>dnem</w:t>
      </w:r>
      <w:r>
        <w:t xml:space="preserve"> </w:t>
      </w:r>
      <w:r w:rsidRPr="006D4B85">
        <w:t>31.</w:t>
      </w:r>
      <w:r>
        <w:t xml:space="preserve"> </w:t>
      </w:r>
      <w:r w:rsidRPr="006D4B85">
        <w:t>prosince</w:t>
      </w:r>
      <w:r>
        <w:t xml:space="preserve"> </w:t>
      </w:r>
      <w:r w:rsidRPr="006D4B85">
        <w:t>kalendářního</w:t>
      </w:r>
      <w:r>
        <w:t xml:space="preserve"> </w:t>
      </w:r>
      <w:r w:rsidRPr="006D4B85">
        <w:t>roku</w:t>
      </w:r>
      <w:r>
        <w:t xml:space="preserve"> </w:t>
      </w:r>
      <w:r w:rsidRPr="006D4B85">
        <w:t>nebo</w:t>
      </w:r>
      <w:r>
        <w:t xml:space="preserve"> </w:t>
      </w:r>
      <w:r w:rsidRPr="006D4B85">
        <w:t>dnem</w:t>
      </w:r>
      <w:r>
        <w:t xml:space="preserve"> </w:t>
      </w:r>
      <w:r w:rsidRPr="006D4B85">
        <w:t>skončení</w:t>
      </w:r>
      <w:r>
        <w:t xml:space="preserve"> </w:t>
      </w:r>
      <w:r w:rsidRPr="006D4B85">
        <w:t>této</w:t>
      </w:r>
      <w:r>
        <w:t xml:space="preserve"> </w:t>
      </w:r>
      <w:r w:rsidRPr="006D4B85">
        <w:t>účasti,</w:t>
      </w:r>
      <w:r>
        <w:t xml:space="preserve"> </w:t>
      </w:r>
      <w:r w:rsidRPr="006D4B85">
        <w:t>skončila-li</w:t>
      </w:r>
      <w:r>
        <w:t xml:space="preserve"> </w:t>
      </w:r>
      <w:r w:rsidRPr="006D4B85">
        <w:t>tato</w:t>
      </w:r>
      <w:r>
        <w:t xml:space="preserve"> </w:t>
      </w:r>
      <w:r w:rsidRPr="006D4B85">
        <w:t>účast</w:t>
      </w:r>
      <w:r>
        <w:t xml:space="preserve"> </w:t>
      </w:r>
      <w:r w:rsidRPr="006D4B85">
        <w:t>před</w:t>
      </w:r>
      <w:r>
        <w:t xml:space="preserve"> </w:t>
      </w:r>
      <w:r w:rsidRPr="006D4B85">
        <w:t>31.</w:t>
      </w:r>
      <w:r>
        <w:t xml:space="preserve"> </w:t>
      </w:r>
      <w:r w:rsidRPr="006D4B85">
        <w:t>prosincem.</w:t>
      </w:r>
    </w:p>
    <w:p w14:paraId="1260730E" w14:textId="36B2DCAF" w:rsidR="00D41C2D" w:rsidRDefault="00C930BE" w:rsidP="00D41C2D">
      <w:pPr>
        <w:pStyle w:val="Textparagrafu"/>
        <w:numPr>
          <w:ilvl w:val="0"/>
          <w:numId w:val="28"/>
        </w:numPr>
        <w:tabs>
          <w:tab w:val="decimal" w:pos="426"/>
        </w:tabs>
        <w:spacing w:before="120" w:after="120"/>
        <w:ind w:firstLine="425"/>
      </w:pPr>
      <w:r w:rsidRPr="006D4B85">
        <w:t>(4)</w:t>
      </w:r>
      <w:r>
        <w:t xml:space="preserve"> </w:t>
      </w:r>
      <w:r w:rsidRPr="006D4B85">
        <w:t>Do</w:t>
      </w:r>
      <w:r>
        <w:t xml:space="preserve"> </w:t>
      </w:r>
      <w:r w:rsidRPr="006D4B85">
        <w:t>evidenčního</w:t>
      </w:r>
      <w:r>
        <w:t xml:space="preserve"> </w:t>
      </w:r>
      <w:r w:rsidRPr="006D4B85">
        <w:t>listu</w:t>
      </w:r>
      <w:r>
        <w:t xml:space="preserve"> </w:t>
      </w:r>
      <w:r w:rsidRPr="006D4B85">
        <w:t>se</w:t>
      </w:r>
      <w:r>
        <w:t xml:space="preserve"> </w:t>
      </w:r>
      <w:r w:rsidRPr="006D4B85">
        <w:t>zapisují</w:t>
      </w:r>
      <w:r>
        <w:t xml:space="preserve"> </w:t>
      </w:r>
      <w:r w:rsidRPr="006D4B85">
        <w:t>za</w:t>
      </w:r>
      <w:r>
        <w:t xml:space="preserve"> </w:t>
      </w:r>
      <w:r w:rsidRPr="006D4B85">
        <w:t>každý</w:t>
      </w:r>
      <w:r>
        <w:t xml:space="preserve"> </w:t>
      </w:r>
      <w:r w:rsidRPr="006D4B85">
        <w:t>kalendářní</w:t>
      </w:r>
      <w:r>
        <w:t xml:space="preserve"> </w:t>
      </w:r>
      <w:r w:rsidRPr="006D4B85">
        <w:t>rok</w:t>
      </w:r>
      <w:r>
        <w:t xml:space="preserve"> </w:t>
      </w:r>
      <w:r w:rsidRPr="006D4B85">
        <w:t>po</w:t>
      </w:r>
      <w:r>
        <w:t xml:space="preserve"> </w:t>
      </w:r>
      <w:r w:rsidRPr="009102E7">
        <w:rPr>
          <w:strike/>
        </w:rPr>
        <w:t>účetní závěrce (závěrce mzdových listů)</w:t>
      </w:r>
      <w:r w:rsidR="009102E7">
        <w:rPr>
          <w:strike/>
        </w:rPr>
        <w:t xml:space="preserve"> </w:t>
      </w:r>
      <w:r w:rsidR="009102E7" w:rsidRPr="005631C6">
        <w:rPr>
          <w:b/>
          <w:bCs/>
        </w:rPr>
        <w:t>konečném vyúčtování příjmů</w:t>
      </w:r>
      <w:r w:rsidRPr="006D4B85">
        <w:t>,</w:t>
      </w:r>
      <w:r>
        <w:t xml:space="preserve"> </w:t>
      </w:r>
      <w:r w:rsidRPr="006D4B85">
        <w:t>nejpozději</w:t>
      </w:r>
      <w:r>
        <w:t xml:space="preserve"> </w:t>
      </w:r>
      <w:r w:rsidRPr="006D4B85">
        <w:t>však</w:t>
      </w:r>
      <w:r>
        <w:t xml:space="preserve"> </w:t>
      </w:r>
      <w:r w:rsidRPr="006D4B85">
        <w:t>do</w:t>
      </w:r>
      <w:r>
        <w:t xml:space="preserve"> </w:t>
      </w:r>
      <w:r w:rsidRPr="006D4B85">
        <w:t>30.</w:t>
      </w:r>
      <w:r>
        <w:t xml:space="preserve"> </w:t>
      </w:r>
      <w:r w:rsidRPr="006D4B85">
        <w:t>dubna</w:t>
      </w:r>
      <w:r>
        <w:t xml:space="preserve"> </w:t>
      </w:r>
      <w:r w:rsidRPr="006D4B85">
        <w:t>následujícího</w:t>
      </w:r>
      <w:r>
        <w:t xml:space="preserve"> </w:t>
      </w:r>
      <w:r w:rsidRPr="006D4B85">
        <w:t>kalendářního</w:t>
      </w:r>
      <w:r>
        <w:t xml:space="preserve"> </w:t>
      </w:r>
      <w:r w:rsidRPr="006D4B85">
        <w:t>roku,</w:t>
      </w:r>
      <w:r>
        <w:t xml:space="preserve"> </w:t>
      </w:r>
      <w:r w:rsidRPr="006D4B85">
        <w:t>a</w:t>
      </w:r>
      <w:r>
        <w:t xml:space="preserve"> </w:t>
      </w:r>
      <w:r w:rsidRPr="006D4B85">
        <w:t>v</w:t>
      </w:r>
      <w:r>
        <w:t xml:space="preserve"> </w:t>
      </w:r>
      <w:r w:rsidRPr="006D4B85">
        <w:t>případě</w:t>
      </w:r>
      <w:r>
        <w:t xml:space="preserve"> </w:t>
      </w:r>
      <w:r w:rsidRPr="006D4B85">
        <w:t>skončení</w:t>
      </w:r>
      <w:r>
        <w:t xml:space="preserve"> </w:t>
      </w:r>
      <w:r w:rsidRPr="006D4B85">
        <w:t>účasti</w:t>
      </w:r>
      <w:r>
        <w:t xml:space="preserve"> </w:t>
      </w:r>
      <w:r w:rsidRPr="006D4B85">
        <w:t>na</w:t>
      </w:r>
      <w:r>
        <w:t xml:space="preserve"> </w:t>
      </w:r>
      <w:r w:rsidRPr="006D4B85">
        <w:t>důchodovém</w:t>
      </w:r>
      <w:r>
        <w:t xml:space="preserve"> </w:t>
      </w:r>
      <w:r w:rsidRPr="006D4B85">
        <w:t>pojištění</w:t>
      </w:r>
      <w:r>
        <w:t xml:space="preserve"> </w:t>
      </w:r>
      <w:r w:rsidRPr="006D4B85">
        <w:t>před</w:t>
      </w:r>
      <w:r>
        <w:t xml:space="preserve"> </w:t>
      </w:r>
      <w:r w:rsidRPr="006D4B85">
        <w:t>31.</w:t>
      </w:r>
      <w:r>
        <w:t xml:space="preserve"> </w:t>
      </w:r>
      <w:r w:rsidRPr="006D4B85">
        <w:t>prosincem</w:t>
      </w:r>
      <w:r>
        <w:t xml:space="preserve"> </w:t>
      </w:r>
      <w:r w:rsidRPr="006D4B85">
        <w:t>do</w:t>
      </w:r>
      <w:r>
        <w:t xml:space="preserve"> </w:t>
      </w:r>
      <w:r w:rsidRPr="006D4B85">
        <w:t>1</w:t>
      </w:r>
      <w:r>
        <w:t xml:space="preserve"> </w:t>
      </w:r>
      <w:r w:rsidRPr="006D4B85">
        <w:t>měsíce</w:t>
      </w:r>
      <w:r>
        <w:t xml:space="preserve"> </w:t>
      </w:r>
      <w:r w:rsidRPr="006D4B85">
        <w:t>po</w:t>
      </w:r>
      <w:r>
        <w:t xml:space="preserve"> </w:t>
      </w:r>
      <w:r w:rsidRPr="006D4B85">
        <w:t>konečném</w:t>
      </w:r>
      <w:r>
        <w:t xml:space="preserve"> </w:t>
      </w:r>
      <w:r w:rsidRPr="006D4B85">
        <w:t>vyúčtování</w:t>
      </w:r>
      <w:r>
        <w:t xml:space="preserve"> </w:t>
      </w:r>
      <w:r w:rsidRPr="006D4B85">
        <w:t>příjmů,</w:t>
      </w:r>
      <w:r>
        <w:t xml:space="preserve"> </w:t>
      </w:r>
      <w:r w:rsidRPr="006D4B85">
        <w:t>nejpozději</w:t>
      </w:r>
      <w:r>
        <w:t xml:space="preserve"> </w:t>
      </w:r>
      <w:r w:rsidRPr="006D4B85">
        <w:t>však</w:t>
      </w:r>
      <w:r>
        <w:t xml:space="preserve"> </w:t>
      </w:r>
      <w:r w:rsidRPr="006D4B85">
        <w:t>do</w:t>
      </w:r>
      <w:r>
        <w:t xml:space="preserve"> </w:t>
      </w:r>
      <w:r w:rsidRPr="006D4B85">
        <w:t>31.</w:t>
      </w:r>
      <w:r>
        <w:t xml:space="preserve"> </w:t>
      </w:r>
      <w:r w:rsidRPr="006D4B85">
        <w:t>ledna</w:t>
      </w:r>
      <w:r>
        <w:t xml:space="preserve"> </w:t>
      </w:r>
      <w:r w:rsidRPr="006D4B85">
        <w:t>následujícího</w:t>
      </w:r>
      <w:r>
        <w:t xml:space="preserve"> </w:t>
      </w:r>
      <w:r w:rsidRPr="006D4B85">
        <w:t>kalendářního</w:t>
      </w:r>
      <w:r>
        <w:t xml:space="preserve"> </w:t>
      </w:r>
      <w:r w:rsidRPr="006D4B85">
        <w:t>roku</w:t>
      </w:r>
    </w:p>
    <w:p w14:paraId="3542CFB4" w14:textId="2BB67983" w:rsidR="00C930BE" w:rsidRDefault="00C930BE" w:rsidP="002B6A12">
      <w:pPr>
        <w:pStyle w:val="Textparagrafu"/>
        <w:numPr>
          <w:ilvl w:val="0"/>
          <w:numId w:val="28"/>
        </w:numPr>
        <w:tabs>
          <w:tab w:val="left" w:pos="426"/>
        </w:tabs>
        <w:spacing w:before="0"/>
        <w:ind w:left="426" w:hanging="426"/>
      </w:pPr>
      <w:r w:rsidRPr="006D4B85">
        <w:t>a)</w:t>
      </w:r>
      <w:r>
        <w:tab/>
      </w:r>
      <w:r w:rsidRPr="006D4B85">
        <w:t>identifikační</w:t>
      </w:r>
      <w:r>
        <w:t xml:space="preserve"> </w:t>
      </w:r>
      <w:r w:rsidRPr="006D4B85">
        <w:t>údaje</w:t>
      </w:r>
      <w:r>
        <w:t xml:space="preserve"> </w:t>
      </w:r>
      <w:r w:rsidRPr="006D4B85">
        <w:t>zaměstnavatele,</w:t>
      </w:r>
    </w:p>
    <w:p w14:paraId="5F26F79E" w14:textId="77777777" w:rsidR="00C930BE" w:rsidRDefault="00C930BE" w:rsidP="002B6A12">
      <w:pPr>
        <w:pStyle w:val="Textparagrafu"/>
        <w:numPr>
          <w:ilvl w:val="0"/>
          <w:numId w:val="28"/>
        </w:numPr>
        <w:tabs>
          <w:tab w:val="left" w:pos="426"/>
        </w:tabs>
        <w:spacing w:before="0"/>
        <w:ind w:left="426" w:hanging="426"/>
      </w:pPr>
      <w:r w:rsidRPr="006D4B85">
        <w:t>b)</w:t>
      </w:r>
      <w:r>
        <w:tab/>
      </w:r>
      <w:r w:rsidRPr="006D4B85">
        <w:t>jméno,</w:t>
      </w:r>
      <w:r>
        <w:t xml:space="preserve"> </w:t>
      </w:r>
      <w:r w:rsidRPr="006D4B85">
        <w:t>poslední</w:t>
      </w:r>
      <w:r>
        <w:t xml:space="preserve"> </w:t>
      </w:r>
      <w:r w:rsidRPr="006D4B85">
        <w:t>příjmení,</w:t>
      </w:r>
      <w:r>
        <w:t xml:space="preserve"> </w:t>
      </w:r>
      <w:r w:rsidRPr="006D4B85">
        <w:t>rodné</w:t>
      </w:r>
      <w:r>
        <w:t xml:space="preserve"> </w:t>
      </w:r>
      <w:r w:rsidRPr="006D4B85">
        <w:t>příjmení,</w:t>
      </w:r>
      <w:r>
        <w:t xml:space="preserve"> </w:t>
      </w:r>
      <w:r w:rsidRPr="006D4B85">
        <w:t>datum</w:t>
      </w:r>
      <w:r>
        <w:t xml:space="preserve"> </w:t>
      </w:r>
      <w:r w:rsidRPr="006D4B85">
        <w:t>a</w:t>
      </w:r>
      <w:r>
        <w:t xml:space="preserve"> </w:t>
      </w:r>
      <w:r w:rsidRPr="006D4B85">
        <w:t>místo</w:t>
      </w:r>
      <w:r>
        <w:t xml:space="preserve"> </w:t>
      </w:r>
      <w:r w:rsidRPr="006D4B85">
        <w:t>narození,</w:t>
      </w:r>
      <w:r>
        <w:t xml:space="preserve"> </w:t>
      </w:r>
      <w:r w:rsidRPr="006D4B85">
        <w:t>místo</w:t>
      </w:r>
      <w:r>
        <w:t xml:space="preserve"> </w:t>
      </w:r>
      <w:r w:rsidRPr="006D4B85">
        <w:t>trvalého</w:t>
      </w:r>
      <w:r>
        <w:t xml:space="preserve"> </w:t>
      </w:r>
      <w:r w:rsidRPr="006D4B85">
        <w:t>pobytu</w:t>
      </w:r>
      <w:r>
        <w:t xml:space="preserve"> </w:t>
      </w:r>
      <w:r w:rsidRPr="006D4B85">
        <w:t>a</w:t>
      </w:r>
      <w:r>
        <w:t xml:space="preserve"> </w:t>
      </w:r>
      <w:r w:rsidRPr="006D4B85">
        <w:t>rodné</w:t>
      </w:r>
      <w:r>
        <w:t xml:space="preserve"> </w:t>
      </w:r>
      <w:r w:rsidRPr="006D4B85">
        <w:t>číslo</w:t>
      </w:r>
      <w:r>
        <w:t xml:space="preserve"> </w:t>
      </w:r>
      <w:r w:rsidRPr="006D4B85">
        <w:t>občana,</w:t>
      </w:r>
    </w:p>
    <w:p w14:paraId="74F65052" w14:textId="77777777" w:rsidR="00C930BE" w:rsidRDefault="00C930BE" w:rsidP="002B6A12">
      <w:pPr>
        <w:pStyle w:val="Textparagrafu"/>
        <w:numPr>
          <w:ilvl w:val="0"/>
          <w:numId w:val="28"/>
        </w:numPr>
        <w:tabs>
          <w:tab w:val="left" w:pos="426"/>
        </w:tabs>
        <w:spacing w:before="0"/>
        <w:ind w:left="426" w:hanging="426"/>
      </w:pPr>
      <w:r w:rsidRPr="006D4B85">
        <w:t>c)</w:t>
      </w:r>
      <w:r>
        <w:tab/>
      </w:r>
      <w:r w:rsidRPr="006D4B85">
        <w:t>druh</w:t>
      </w:r>
      <w:r>
        <w:t xml:space="preserve"> </w:t>
      </w:r>
      <w:r w:rsidRPr="006D4B85">
        <w:t>výdělečné</w:t>
      </w:r>
      <w:r>
        <w:t xml:space="preserve"> </w:t>
      </w:r>
      <w:r w:rsidRPr="006D4B85">
        <w:t>činnosti,</w:t>
      </w:r>
    </w:p>
    <w:p w14:paraId="28745785" w14:textId="77777777" w:rsidR="00C930BE" w:rsidRDefault="00C930BE" w:rsidP="002B6A12">
      <w:pPr>
        <w:pStyle w:val="Textparagrafu"/>
        <w:numPr>
          <w:ilvl w:val="0"/>
          <w:numId w:val="28"/>
        </w:numPr>
        <w:tabs>
          <w:tab w:val="left" w:pos="426"/>
        </w:tabs>
        <w:spacing w:before="0"/>
        <w:ind w:left="426" w:hanging="426"/>
      </w:pPr>
      <w:r w:rsidRPr="006D4B85">
        <w:t>d)</w:t>
      </w:r>
      <w:r>
        <w:tab/>
      </w:r>
      <w:r w:rsidRPr="006D4B85">
        <w:t>doba</w:t>
      </w:r>
      <w:r>
        <w:t xml:space="preserve"> </w:t>
      </w:r>
      <w:r w:rsidRPr="006D4B85">
        <w:t>účasti</w:t>
      </w:r>
      <w:r>
        <w:t xml:space="preserve"> </w:t>
      </w:r>
      <w:r w:rsidRPr="006D4B85">
        <w:t>na</w:t>
      </w:r>
      <w:r>
        <w:t xml:space="preserve"> </w:t>
      </w:r>
      <w:r w:rsidRPr="006D4B85">
        <w:t>důchodovém</w:t>
      </w:r>
      <w:r>
        <w:t xml:space="preserve"> </w:t>
      </w:r>
      <w:r w:rsidRPr="006D4B85">
        <w:t>pojištění,</w:t>
      </w:r>
    </w:p>
    <w:p w14:paraId="124E5B5E" w14:textId="77777777" w:rsidR="00C930BE" w:rsidRDefault="00C930BE" w:rsidP="002B6A12">
      <w:pPr>
        <w:pStyle w:val="Textparagrafu"/>
        <w:numPr>
          <w:ilvl w:val="0"/>
          <w:numId w:val="28"/>
        </w:numPr>
        <w:tabs>
          <w:tab w:val="left" w:pos="426"/>
        </w:tabs>
        <w:spacing w:before="0"/>
        <w:ind w:left="426" w:hanging="426"/>
      </w:pPr>
      <w:r w:rsidRPr="006D4B85">
        <w:t>e)</w:t>
      </w:r>
      <w:r>
        <w:tab/>
      </w:r>
      <w:r w:rsidRPr="006D4B85">
        <w:t>doba</w:t>
      </w:r>
      <w:r>
        <w:t xml:space="preserve"> </w:t>
      </w:r>
      <w:r w:rsidRPr="006D4B85">
        <w:t>důchodového</w:t>
      </w:r>
      <w:r>
        <w:t xml:space="preserve"> </w:t>
      </w:r>
      <w:r w:rsidRPr="006D4B85">
        <w:t>pojištění,</w:t>
      </w:r>
    </w:p>
    <w:p w14:paraId="6313D4A7" w14:textId="77777777" w:rsidR="00C930BE" w:rsidRDefault="00C930BE" w:rsidP="002B6A12">
      <w:pPr>
        <w:pStyle w:val="Textparagrafu"/>
        <w:numPr>
          <w:ilvl w:val="0"/>
          <w:numId w:val="28"/>
        </w:numPr>
        <w:tabs>
          <w:tab w:val="left" w:pos="426"/>
        </w:tabs>
        <w:spacing w:before="0"/>
        <w:ind w:left="426" w:hanging="426"/>
      </w:pPr>
      <w:r w:rsidRPr="006D4B85">
        <w:t>f)</w:t>
      </w:r>
      <w:r>
        <w:tab/>
      </w:r>
      <w:r w:rsidRPr="006D4B85">
        <w:t>vyměřovací</w:t>
      </w:r>
      <w:r>
        <w:t xml:space="preserve"> </w:t>
      </w:r>
      <w:r w:rsidRPr="006D4B85">
        <w:t>základ</w:t>
      </w:r>
      <w:r>
        <w:t xml:space="preserve"> </w:t>
      </w:r>
      <w:r w:rsidRPr="006D4B85">
        <w:t>pro</w:t>
      </w:r>
      <w:r>
        <w:t xml:space="preserve"> </w:t>
      </w:r>
      <w:r w:rsidRPr="006D4B85">
        <w:t>pojistné</w:t>
      </w:r>
      <w:r>
        <w:t xml:space="preserve"> </w:t>
      </w:r>
      <w:r w:rsidRPr="006D4B85">
        <w:t>na</w:t>
      </w:r>
      <w:r>
        <w:t xml:space="preserve"> </w:t>
      </w:r>
      <w:r w:rsidRPr="006D4B85">
        <w:t>sociální</w:t>
      </w:r>
      <w:r>
        <w:t xml:space="preserve"> </w:t>
      </w:r>
      <w:r w:rsidRPr="006D4B85">
        <w:t>zabezpečení</w:t>
      </w:r>
      <w:r>
        <w:t xml:space="preserve"> </w:t>
      </w:r>
      <w:r w:rsidRPr="006D4B85">
        <w:t>a</w:t>
      </w:r>
      <w:r>
        <w:t xml:space="preserve"> </w:t>
      </w:r>
      <w:r w:rsidRPr="006D4B85">
        <w:t>příspěvek</w:t>
      </w:r>
      <w:r>
        <w:t xml:space="preserve"> </w:t>
      </w:r>
      <w:r w:rsidRPr="006D4B85">
        <w:t>na</w:t>
      </w:r>
      <w:r>
        <w:t xml:space="preserve"> </w:t>
      </w:r>
      <w:r w:rsidRPr="006D4B85">
        <w:t>státní</w:t>
      </w:r>
      <w:r>
        <w:t xml:space="preserve"> </w:t>
      </w:r>
      <w:r w:rsidRPr="006D4B85">
        <w:t>politiku</w:t>
      </w:r>
      <w:r>
        <w:t xml:space="preserve"> </w:t>
      </w:r>
      <w:r w:rsidRPr="006D4B85">
        <w:t>zaměstnanosti,</w:t>
      </w:r>
    </w:p>
    <w:p w14:paraId="0AD1EAA8" w14:textId="77777777" w:rsidR="00C930BE" w:rsidRDefault="00C930BE" w:rsidP="002B6A12">
      <w:pPr>
        <w:pStyle w:val="Textparagrafu"/>
        <w:numPr>
          <w:ilvl w:val="0"/>
          <w:numId w:val="28"/>
        </w:numPr>
        <w:tabs>
          <w:tab w:val="left" w:pos="426"/>
        </w:tabs>
        <w:spacing w:before="0"/>
        <w:ind w:left="426" w:hanging="426"/>
      </w:pPr>
      <w:r w:rsidRPr="006D4B85">
        <w:t>g)</w:t>
      </w:r>
      <w:r>
        <w:tab/>
      </w:r>
      <w:r w:rsidRPr="006D4B85">
        <w:t>doby,</w:t>
      </w:r>
      <w:r>
        <w:t xml:space="preserve"> </w:t>
      </w:r>
      <w:r w:rsidRPr="006D4B85">
        <w:t>které</w:t>
      </w:r>
      <w:r>
        <w:t xml:space="preserve"> </w:t>
      </w:r>
      <w:r w:rsidRPr="006D4B85">
        <w:t>se</w:t>
      </w:r>
      <w:r>
        <w:t xml:space="preserve"> </w:t>
      </w:r>
      <w:r w:rsidRPr="006D4B85">
        <w:t>při</w:t>
      </w:r>
      <w:r>
        <w:t xml:space="preserve"> </w:t>
      </w:r>
      <w:r w:rsidRPr="006D4B85">
        <w:t>stanovení</w:t>
      </w:r>
      <w:r>
        <w:t xml:space="preserve"> </w:t>
      </w:r>
      <w:r w:rsidRPr="006D4B85">
        <w:t>osobního</w:t>
      </w:r>
      <w:r>
        <w:t xml:space="preserve"> </w:t>
      </w:r>
      <w:r w:rsidRPr="006D4B85">
        <w:t>vyměřovacího</w:t>
      </w:r>
      <w:r>
        <w:t xml:space="preserve"> </w:t>
      </w:r>
      <w:r w:rsidRPr="006D4B85">
        <w:t>základu</w:t>
      </w:r>
      <w:r>
        <w:t xml:space="preserve"> </w:t>
      </w:r>
      <w:r w:rsidRPr="006D4B85">
        <w:t>podle</w:t>
      </w:r>
      <w:r>
        <w:t xml:space="preserve"> </w:t>
      </w:r>
      <w:r w:rsidRPr="006D4B85">
        <w:t>§</w:t>
      </w:r>
      <w:r>
        <w:t xml:space="preserve"> </w:t>
      </w:r>
      <w:r w:rsidRPr="006D4B85">
        <w:t>16</w:t>
      </w:r>
      <w:r>
        <w:t xml:space="preserve"> </w:t>
      </w:r>
      <w:r w:rsidRPr="006D4B85">
        <w:t>odst.</w:t>
      </w:r>
      <w:r>
        <w:t xml:space="preserve"> </w:t>
      </w:r>
      <w:r w:rsidRPr="006D4B85">
        <w:t>4</w:t>
      </w:r>
      <w:r>
        <w:t xml:space="preserve"> </w:t>
      </w:r>
      <w:r w:rsidRPr="006D4B85">
        <w:t>písm.</w:t>
      </w:r>
      <w:r>
        <w:t xml:space="preserve"> </w:t>
      </w:r>
      <w:r w:rsidRPr="006D4B85">
        <w:t>a),</w:t>
      </w:r>
      <w:r>
        <w:t xml:space="preserve"> </w:t>
      </w:r>
      <w:r w:rsidRPr="006D4B85">
        <w:t>d)</w:t>
      </w:r>
      <w:r>
        <w:t xml:space="preserve"> </w:t>
      </w:r>
      <w:r w:rsidRPr="006D4B85">
        <w:t>a</w:t>
      </w:r>
      <w:r>
        <w:t xml:space="preserve"> </w:t>
      </w:r>
      <w:r w:rsidRPr="006D4B85">
        <w:t>j)</w:t>
      </w:r>
      <w:r>
        <w:t xml:space="preserve"> </w:t>
      </w:r>
      <w:r w:rsidRPr="006D4B85">
        <w:t>zákona</w:t>
      </w:r>
      <w:r>
        <w:t xml:space="preserve"> </w:t>
      </w:r>
      <w:r w:rsidRPr="006D4B85">
        <w:t>o</w:t>
      </w:r>
      <w:r>
        <w:t xml:space="preserve"> </w:t>
      </w:r>
      <w:r w:rsidRPr="006D4B85">
        <w:t>důchodovém</w:t>
      </w:r>
      <w:r>
        <w:t xml:space="preserve"> </w:t>
      </w:r>
      <w:r w:rsidRPr="006D4B85">
        <w:t>pojištění</w:t>
      </w:r>
      <w:r>
        <w:t xml:space="preserve"> </w:t>
      </w:r>
      <w:r w:rsidRPr="006D4B85">
        <w:t>vylučují,</w:t>
      </w:r>
    </w:p>
    <w:p w14:paraId="3223D64B" w14:textId="77777777" w:rsidR="00C930BE" w:rsidRDefault="00C930BE" w:rsidP="002B6A12">
      <w:pPr>
        <w:pStyle w:val="Textparagrafu"/>
        <w:numPr>
          <w:ilvl w:val="0"/>
          <w:numId w:val="28"/>
        </w:numPr>
        <w:tabs>
          <w:tab w:val="left" w:pos="426"/>
        </w:tabs>
        <w:spacing w:before="0"/>
        <w:ind w:left="426" w:hanging="426"/>
      </w:pPr>
      <w:r w:rsidRPr="006D4B85">
        <w:t>h)</w:t>
      </w:r>
      <w:r>
        <w:tab/>
      </w:r>
      <w:r w:rsidRPr="006D4B85">
        <w:t>doby,</w:t>
      </w:r>
      <w:r>
        <w:t xml:space="preserve"> </w:t>
      </w:r>
      <w:r w:rsidRPr="006D4B85">
        <w:t>které</w:t>
      </w:r>
      <w:r>
        <w:t xml:space="preserve"> </w:t>
      </w:r>
      <w:r w:rsidRPr="006D4B85">
        <w:t>se</w:t>
      </w:r>
      <w:r>
        <w:t xml:space="preserve"> </w:t>
      </w:r>
      <w:r w:rsidRPr="006D4B85">
        <w:t>ode</w:t>
      </w:r>
      <w:r>
        <w:t xml:space="preserve"> </w:t>
      </w:r>
      <w:r w:rsidRPr="006D4B85">
        <w:t>dne</w:t>
      </w:r>
      <w:r>
        <w:t xml:space="preserve"> </w:t>
      </w:r>
      <w:r w:rsidRPr="006D4B85">
        <w:t>dosažení</w:t>
      </w:r>
      <w:r>
        <w:t xml:space="preserve"> </w:t>
      </w:r>
      <w:r w:rsidRPr="006D4B85">
        <w:t>věku</w:t>
      </w:r>
      <w:r>
        <w:t xml:space="preserve"> </w:t>
      </w:r>
      <w:r w:rsidRPr="006D4B85">
        <w:t>potřebného</w:t>
      </w:r>
      <w:r>
        <w:t xml:space="preserve"> </w:t>
      </w:r>
      <w:r w:rsidRPr="006D4B85">
        <w:t>pro</w:t>
      </w:r>
      <w:r>
        <w:t xml:space="preserve"> </w:t>
      </w:r>
      <w:r w:rsidRPr="006D4B85">
        <w:t>vznik</w:t>
      </w:r>
      <w:r>
        <w:t xml:space="preserve"> </w:t>
      </w:r>
      <w:r w:rsidRPr="006D4B85">
        <w:t>nároku</w:t>
      </w:r>
      <w:r>
        <w:t xml:space="preserve"> </w:t>
      </w:r>
      <w:r w:rsidRPr="006D4B85">
        <w:t>na</w:t>
      </w:r>
      <w:r>
        <w:t xml:space="preserve"> </w:t>
      </w:r>
      <w:r w:rsidRPr="006D4B85">
        <w:t>starobní</w:t>
      </w:r>
      <w:r>
        <w:t xml:space="preserve"> </w:t>
      </w:r>
      <w:r w:rsidRPr="006D4B85">
        <w:t>důchod</w:t>
      </w:r>
      <w:r>
        <w:t xml:space="preserve"> </w:t>
      </w:r>
      <w:r w:rsidRPr="006D4B85">
        <w:t>nepovažují</w:t>
      </w:r>
      <w:r>
        <w:t xml:space="preserve"> </w:t>
      </w:r>
      <w:r w:rsidRPr="006D4B85">
        <w:t>za</w:t>
      </w:r>
      <w:r>
        <w:t xml:space="preserve"> </w:t>
      </w:r>
      <w:r w:rsidRPr="006D4B85">
        <w:t>výkon</w:t>
      </w:r>
      <w:r>
        <w:t xml:space="preserve"> </w:t>
      </w:r>
      <w:r w:rsidRPr="006D4B85">
        <w:t>výdělečné</w:t>
      </w:r>
      <w:r>
        <w:t xml:space="preserve"> </w:t>
      </w:r>
      <w:r w:rsidRPr="006D4B85">
        <w:t>činnosti</w:t>
      </w:r>
      <w:r>
        <w:t xml:space="preserve"> </w:t>
      </w:r>
      <w:r w:rsidRPr="006D4B85">
        <w:t>pro</w:t>
      </w:r>
      <w:r>
        <w:t xml:space="preserve"> </w:t>
      </w:r>
      <w:r w:rsidRPr="006D4B85">
        <w:t>účely</w:t>
      </w:r>
      <w:r>
        <w:t xml:space="preserve"> </w:t>
      </w:r>
      <w:r w:rsidRPr="006D4B85">
        <w:t>zvýšení</w:t>
      </w:r>
      <w:r>
        <w:t xml:space="preserve"> </w:t>
      </w:r>
      <w:r w:rsidRPr="006D4B85">
        <w:t>procentní</w:t>
      </w:r>
      <w:r>
        <w:t xml:space="preserve"> </w:t>
      </w:r>
      <w:r w:rsidRPr="006D4B85">
        <w:t>výměry</w:t>
      </w:r>
      <w:r>
        <w:t xml:space="preserve"> </w:t>
      </w:r>
      <w:r w:rsidRPr="006D4B85">
        <w:t>starobního</w:t>
      </w:r>
      <w:r>
        <w:t xml:space="preserve"> </w:t>
      </w:r>
      <w:r w:rsidRPr="006D4B85">
        <w:t>důchodu.</w:t>
      </w:r>
    </w:p>
    <w:p w14:paraId="26B1A6EA" w14:textId="77777777" w:rsidR="00DF48E0" w:rsidRDefault="00C930BE" w:rsidP="00D41C2D">
      <w:pPr>
        <w:pStyle w:val="Textparagrafu"/>
        <w:numPr>
          <w:ilvl w:val="0"/>
          <w:numId w:val="28"/>
        </w:numPr>
        <w:tabs>
          <w:tab w:val="decimal" w:pos="426"/>
        </w:tabs>
        <w:spacing w:before="120"/>
        <w:ind w:firstLine="425"/>
        <w:sectPr w:rsidR="00DF48E0" w:rsidSect="00084391">
          <w:footnotePr>
            <w:numStart w:val="3"/>
          </w:footnotePr>
          <w:endnotePr>
            <w:numFmt w:val="decimal"/>
          </w:endnotePr>
          <w:pgSz w:w="11906" w:h="16838"/>
          <w:pgMar w:top="1418" w:right="1418" w:bottom="1418" w:left="1418" w:header="709" w:footer="709" w:gutter="0"/>
          <w:cols w:space="708"/>
          <w:docGrid w:linePitch="360"/>
        </w:sectPr>
      </w:pPr>
      <w:r w:rsidRPr="006D4B85">
        <w:t>(5)</w:t>
      </w:r>
      <w:r>
        <w:t xml:space="preserve"> </w:t>
      </w:r>
      <w:r w:rsidRPr="006D4B85">
        <w:t>Zaměstnavatel</w:t>
      </w:r>
      <w:r>
        <w:t xml:space="preserve"> </w:t>
      </w:r>
      <w:r w:rsidRPr="006D4B85">
        <w:t>je</w:t>
      </w:r>
      <w:r>
        <w:t xml:space="preserve"> </w:t>
      </w:r>
      <w:r w:rsidRPr="006D4B85">
        <w:t>povinen</w:t>
      </w:r>
      <w:r>
        <w:t xml:space="preserve"> </w:t>
      </w:r>
      <w:r w:rsidRPr="006D4B85">
        <w:t>vyhotovit</w:t>
      </w:r>
      <w:r>
        <w:t xml:space="preserve"> </w:t>
      </w:r>
      <w:r w:rsidRPr="006D4B85">
        <w:t>stejnopisy</w:t>
      </w:r>
      <w:r>
        <w:t xml:space="preserve"> </w:t>
      </w:r>
      <w:r w:rsidRPr="006D4B85">
        <w:t>evidenčního</w:t>
      </w:r>
      <w:r>
        <w:t xml:space="preserve"> </w:t>
      </w:r>
      <w:r w:rsidRPr="006D4B85">
        <w:t>listu</w:t>
      </w:r>
      <w:r>
        <w:t xml:space="preserve"> </w:t>
      </w:r>
      <w:r w:rsidRPr="006D4B85">
        <w:t>s</w:t>
      </w:r>
      <w:r>
        <w:t xml:space="preserve"> </w:t>
      </w:r>
      <w:r w:rsidRPr="006D4B85">
        <w:t>údaji</w:t>
      </w:r>
      <w:r>
        <w:t xml:space="preserve"> </w:t>
      </w:r>
      <w:r w:rsidRPr="006D4B85">
        <w:t>podle</w:t>
      </w:r>
      <w:r>
        <w:t xml:space="preserve"> </w:t>
      </w:r>
      <w:r w:rsidRPr="006D4B85">
        <w:t>odstavce</w:t>
      </w:r>
      <w:r>
        <w:t xml:space="preserve"> </w:t>
      </w:r>
      <w:r w:rsidRPr="006D4B85">
        <w:t>4;</w:t>
      </w:r>
      <w:r>
        <w:t xml:space="preserve"> </w:t>
      </w:r>
      <w:r w:rsidRPr="006D4B85">
        <w:t>jeden</w:t>
      </w:r>
      <w:r>
        <w:t xml:space="preserve"> </w:t>
      </w:r>
      <w:r w:rsidRPr="006D4B85">
        <w:t>stejnopis</w:t>
      </w:r>
      <w:r>
        <w:t xml:space="preserve"> </w:t>
      </w:r>
      <w:r w:rsidRPr="006D4B85">
        <w:t>je</w:t>
      </w:r>
      <w:r>
        <w:t xml:space="preserve"> </w:t>
      </w:r>
      <w:r w:rsidRPr="006D4B85">
        <w:t>povinen</w:t>
      </w:r>
      <w:r>
        <w:t xml:space="preserve"> </w:t>
      </w:r>
      <w:r w:rsidRPr="006D4B85">
        <w:t>předložit</w:t>
      </w:r>
      <w:r>
        <w:t xml:space="preserve"> </w:t>
      </w:r>
      <w:r w:rsidRPr="006D4B85">
        <w:t>občanovi</w:t>
      </w:r>
      <w:r>
        <w:t xml:space="preserve"> </w:t>
      </w:r>
      <w:r w:rsidRPr="006D4B85">
        <w:t>k</w:t>
      </w:r>
      <w:r>
        <w:t xml:space="preserve"> </w:t>
      </w:r>
      <w:r w:rsidRPr="006D4B85">
        <w:t>podpisu</w:t>
      </w:r>
      <w:r>
        <w:t xml:space="preserve"> </w:t>
      </w:r>
      <w:r w:rsidRPr="006D4B85">
        <w:t>a</w:t>
      </w:r>
      <w:r>
        <w:t xml:space="preserve"> </w:t>
      </w:r>
      <w:r w:rsidRPr="006D4B85">
        <w:t>založit</w:t>
      </w:r>
      <w:r>
        <w:t xml:space="preserve"> </w:t>
      </w:r>
      <w:r w:rsidRPr="006D4B85">
        <w:t>do</w:t>
      </w:r>
      <w:r>
        <w:t xml:space="preserve"> </w:t>
      </w:r>
      <w:r w:rsidRPr="006D4B85">
        <w:t>své</w:t>
      </w:r>
      <w:r>
        <w:t xml:space="preserve"> </w:t>
      </w:r>
      <w:r w:rsidRPr="006D4B85">
        <w:t>evidence</w:t>
      </w:r>
      <w:r>
        <w:t xml:space="preserve"> </w:t>
      </w:r>
      <w:r w:rsidRPr="006D4B85">
        <w:t>[§</w:t>
      </w:r>
      <w:r>
        <w:t xml:space="preserve"> </w:t>
      </w:r>
      <w:r w:rsidRPr="006D4B85">
        <w:t>35a</w:t>
      </w:r>
      <w:r>
        <w:t xml:space="preserve"> </w:t>
      </w:r>
      <w:r w:rsidRPr="006D4B85">
        <w:t>odst.</w:t>
      </w:r>
      <w:r>
        <w:t xml:space="preserve"> </w:t>
      </w:r>
      <w:r w:rsidRPr="006D4B85">
        <w:t>4</w:t>
      </w:r>
      <w:r>
        <w:t xml:space="preserve"> </w:t>
      </w:r>
      <w:r w:rsidRPr="006D4B85">
        <w:t>písm.</w:t>
      </w:r>
      <w:r>
        <w:t xml:space="preserve"> </w:t>
      </w:r>
      <w:r w:rsidRPr="006D4B85">
        <w:t>a)]</w:t>
      </w:r>
      <w:r>
        <w:t xml:space="preserve"> </w:t>
      </w:r>
      <w:r w:rsidRPr="006D4B85">
        <w:t>a</w:t>
      </w:r>
      <w:r>
        <w:t xml:space="preserve"> </w:t>
      </w:r>
      <w:r w:rsidRPr="006D4B85">
        <w:t>druhý</w:t>
      </w:r>
      <w:r>
        <w:t xml:space="preserve"> </w:t>
      </w:r>
      <w:r w:rsidRPr="006D4B85">
        <w:t>stejnopis,</w:t>
      </w:r>
      <w:r>
        <w:t xml:space="preserve"> </w:t>
      </w:r>
      <w:r w:rsidRPr="006D4B85">
        <w:t>který</w:t>
      </w:r>
      <w:r>
        <w:t xml:space="preserve"> </w:t>
      </w:r>
      <w:r w:rsidRPr="006D4B85">
        <w:t>opatří</w:t>
      </w:r>
      <w:r>
        <w:t xml:space="preserve"> </w:t>
      </w:r>
      <w:r w:rsidRPr="006D4B85">
        <w:t>podpisem</w:t>
      </w:r>
      <w:r>
        <w:t xml:space="preserve"> </w:t>
      </w:r>
      <w:r w:rsidRPr="006D4B85">
        <w:t>pověřeného</w:t>
      </w:r>
      <w:r>
        <w:t xml:space="preserve"> </w:t>
      </w:r>
      <w:r w:rsidRPr="006D4B85">
        <w:t>zaměstnance</w:t>
      </w:r>
      <w:r>
        <w:t xml:space="preserve"> </w:t>
      </w:r>
      <w:r w:rsidRPr="006D4B85">
        <w:t>nebo</w:t>
      </w:r>
      <w:r>
        <w:t xml:space="preserve"> </w:t>
      </w:r>
      <w:r w:rsidRPr="006D4B85">
        <w:t>jiného</w:t>
      </w:r>
      <w:r>
        <w:t xml:space="preserve"> </w:t>
      </w:r>
      <w:r w:rsidRPr="006D4B85">
        <w:t>oprávněného</w:t>
      </w:r>
      <w:r>
        <w:t xml:space="preserve"> </w:t>
      </w:r>
      <w:r w:rsidRPr="006D4B85">
        <w:t>zástupce</w:t>
      </w:r>
      <w:r>
        <w:t xml:space="preserve"> </w:t>
      </w:r>
      <w:r w:rsidRPr="006D4B85">
        <w:t>a</w:t>
      </w:r>
      <w:r>
        <w:t xml:space="preserve"> </w:t>
      </w:r>
      <w:r w:rsidRPr="006D4B85">
        <w:t>svým</w:t>
      </w:r>
      <w:r>
        <w:t xml:space="preserve"> </w:t>
      </w:r>
      <w:r w:rsidRPr="006D4B85">
        <w:t>razítkem,</w:t>
      </w:r>
      <w:r>
        <w:t xml:space="preserve"> </w:t>
      </w:r>
      <w:r w:rsidRPr="006D4B85">
        <w:t>je</w:t>
      </w:r>
      <w:r>
        <w:t xml:space="preserve"> </w:t>
      </w:r>
      <w:r w:rsidRPr="006D4B85">
        <w:t>povinen</w:t>
      </w:r>
      <w:r>
        <w:t xml:space="preserve"> </w:t>
      </w:r>
      <w:r w:rsidRPr="006D4B85">
        <w:t>vydat</w:t>
      </w:r>
      <w:r>
        <w:t xml:space="preserve"> </w:t>
      </w:r>
      <w:r w:rsidRPr="006D4B85">
        <w:t>občanovi,</w:t>
      </w:r>
      <w:r>
        <w:t xml:space="preserve"> </w:t>
      </w:r>
      <w:r w:rsidRPr="006D4B85">
        <w:t>a</w:t>
      </w:r>
      <w:r>
        <w:t xml:space="preserve"> </w:t>
      </w:r>
      <w:r w:rsidRPr="006D4B85">
        <w:t>to</w:t>
      </w:r>
      <w:r>
        <w:t xml:space="preserve"> </w:t>
      </w:r>
      <w:r w:rsidRPr="006D4B85">
        <w:t>nejpozději</w:t>
      </w:r>
      <w:r>
        <w:t xml:space="preserve"> </w:t>
      </w:r>
      <w:r w:rsidRPr="006D4B85">
        <w:t>v</w:t>
      </w:r>
      <w:r>
        <w:t xml:space="preserve"> </w:t>
      </w:r>
      <w:r w:rsidRPr="006D4B85">
        <w:t>den,</w:t>
      </w:r>
      <w:r>
        <w:t xml:space="preserve"> </w:t>
      </w:r>
      <w:r w:rsidRPr="006D4B85">
        <w:t>kdy</w:t>
      </w:r>
      <w:r>
        <w:t xml:space="preserve"> </w:t>
      </w:r>
      <w:r w:rsidRPr="006D4B85">
        <w:t>předkládá</w:t>
      </w:r>
      <w:r>
        <w:t xml:space="preserve"> </w:t>
      </w:r>
      <w:r w:rsidRPr="006D4B85">
        <w:t>evidenční</w:t>
      </w:r>
      <w:r>
        <w:t xml:space="preserve"> </w:t>
      </w:r>
      <w:r w:rsidRPr="006D4B85">
        <w:t>list</w:t>
      </w:r>
      <w:r>
        <w:t xml:space="preserve"> </w:t>
      </w:r>
      <w:r w:rsidRPr="006D4B85">
        <w:t>příslušnému</w:t>
      </w:r>
      <w:r>
        <w:t xml:space="preserve"> </w:t>
      </w:r>
      <w:r w:rsidRPr="006D4B85">
        <w:t>orgánu</w:t>
      </w:r>
      <w:r>
        <w:t xml:space="preserve"> </w:t>
      </w:r>
      <w:r w:rsidRPr="006D4B85">
        <w:t>sociálního</w:t>
      </w:r>
      <w:r>
        <w:t xml:space="preserve"> </w:t>
      </w:r>
      <w:r w:rsidRPr="006D4B85">
        <w:t>zabezpečení</w:t>
      </w:r>
      <w:r>
        <w:t xml:space="preserve"> </w:t>
      </w:r>
      <w:r w:rsidRPr="006D4B85">
        <w:t>podle</w:t>
      </w:r>
      <w:r>
        <w:t xml:space="preserve"> </w:t>
      </w:r>
      <w:r w:rsidRPr="006D4B85">
        <w:t>§</w:t>
      </w:r>
      <w:r>
        <w:t xml:space="preserve"> </w:t>
      </w:r>
      <w:r w:rsidRPr="006D4B85">
        <w:t>39</w:t>
      </w:r>
      <w:r>
        <w:t xml:space="preserve"> </w:t>
      </w:r>
      <w:r w:rsidRPr="006D4B85">
        <w:t>odst.</w:t>
      </w:r>
      <w:r>
        <w:t xml:space="preserve"> </w:t>
      </w:r>
      <w:r w:rsidRPr="006D4B85">
        <w:t>2</w:t>
      </w:r>
      <w:r>
        <w:t xml:space="preserve"> </w:t>
      </w:r>
      <w:r w:rsidRPr="006D4B85">
        <w:t>nebo</w:t>
      </w:r>
      <w:r>
        <w:t xml:space="preserve"> </w:t>
      </w:r>
      <w:r w:rsidRPr="006D4B85">
        <w:t>3.</w:t>
      </w:r>
      <w:r>
        <w:t xml:space="preserve"> </w:t>
      </w:r>
      <w:r w:rsidRPr="006D4B85">
        <w:t>Nesouhlasí-li</w:t>
      </w:r>
      <w:r>
        <w:t xml:space="preserve"> </w:t>
      </w:r>
      <w:r w:rsidRPr="006D4B85">
        <w:t>občan</w:t>
      </w:r>
      <w:r>
        <w:t xml:space="preserve"> </w:t>
      </w:r>
      <w:r w:rsidRPr="006D4B85">
        <w:t>se</w:t>
      </w:r>
      <w:r>
        <w:t xml:space="preserve"> </w:t>
      </w:r>
      <w:r w:rsidRPr="006D4B85">
        <w:t>zápisem</w:t>
      </w:r>
      <w:r>
        <w:t xml:space="preserve"> </w:t>
      </w:r>
      <w:r w:rsidRPr="006D4B85">
        <w:t>zaměstnavatele</w:t>
      </w:r>
      <w:r>
        <w:t xml:space="preserve"> </w:t>
      </w:r>
      <w:r w:rsidRPr="006D4B85">
        <w:t>v</w:t>
      </w:r>
      <w:r>
        <w:t xml:space="preserve"> </w:t>
      </w:r>
      <w:r w:rsidRPr="006D4B85">
        <w:t>evidenčním</w:t>
      </w:r>
      <w:r>
        <w:t xml:space="preserve"> </w:t>
      </w:r>
      <w:r w:rsidRPr="006D4B85">
        <w:t>listu</w:t>
      </w:r>
      <w:r>
        <w:t xml:space="preserve"> </w:t>
      </w:r>
      <w:r w:rsidRPr="006D4B85">
        <w:t>a</w:t>
      </w:r>
      <w:r>
        <w:t xml:space="preserve"> </w:t>
      </w:r>
      <w:r w:rsidRPr="006D4B85">
        <w:t>zaměstnavatel</w:t>
      </w:r>
      <w:r>
        <w:t xml:space="preserve"> </w:t>
      </w:r>
      <w:r w:rsidRPr="006D4B85">
        <w:t>na</w:t>
      </w:r>
      <w:r>
        <w:t xml:space="preserve"> </w:t>
      </w:r>
      <w:r w:rsidRPr="006D4B85">
        <w:t>základě</w:t>
      </w:r>
      <w:r>
        <w:t xml:space="preserve"> </w:t>
      </w:r>
      <w:r w:rsidRPr="006D4B85">
        <w:t>žádosti</w:t>
      </w:r>
      <w:r>
        <w:t xml:space="preserve"> </w:t>
      </w:r>
      <w:r w:rsidRPr="006D4B85">
        <w:t>občana</w:t>
      </w:r>
      <w:r>
        <w:t xml:space="preserve"> </w:t>
      </w:r>
      <w:r w:rsidRPr="006D4B85">
        <w:t>evidenční</w:t>
      </w:r>
      <w:r>
        <w:t xml:space="preserve"> </w:t>
      </w:r>
      <w:r w:rsidRPr="006D4B85">
        <w:t>list</w:t>
      </w:r>
      <w:r>
        <w:t xml:space="preserve"> </w:t>
      </w:r>
      <w:r w:rsidRPr="006D4B85">
        <w:t>včetně</w:t>
      </w:r>
      <w:r>
        <w:t xml:space="preserve"> </w:t>
      </w:r>
      <w:r w:rsidRPr="006D4B85">
        <w:t>jeho</w:t>
      </w:r>
      <w:r>
        <w:t xml:space="preserve"> </w:t>
      </w:r>
      <w:r w:rsidRPr="006D4B85">
        <w:t>stejnopisu</w:t>
      </w:r>
      <w:r>
        <w:t xml:space="preserve"> </w:t>
      </w:r>
      <w:r w:rsidRPr="006D4B85">
        <w:t>neopraví,</w:t>
      </w:r>
      <w:r>
        <w:t xml:space="preserve"> </w:t>
      </w:r>
      <w:r w:rsidRPr="006D4B85">
        <w:t>může</w:t>
      </w:r>
      <w:r>
        <w:t xml:space="preserve"> </w:t>
      </w:r>
      <w:r w:rsidRPr="006D4B85">
        <w:t>občan</w:t>
      </w:r>
      <w:r>
        <w:t xml:space="preserve"> </w:t>
      </w:r>
      <w:r w:rsidRPr="006D4B85">
        <w:t>požádat</w:t>
      </w:r>
      <w:r>
        <w:t xml:space="preserve"> </w:t>
      </w:r>
      <w:r w:rsidRPr="006D4B85">
        <w:t>územní</w:t>
      </w:r>
      <w:r>
        <w:t xml:space="preserve"> </w:t>
      </w:r>
      <w:r w:rsidRPr="006D4B85">
        <w:t>správu</w:t>
      </w:r>
      <w:r>
        <w:t xml:space="preserve"> </w:t>
      </w:r>
      <w:r w:rsidRPr="006D4B85">
        <w:t>sociálního</w:t>
      </w:r>
      <w:r>
        <w:t xml:space="preserve"> </w:t>
      </w:r>
      <w:r w:rsidRPr="006D4B85">
        <w:t>zabezpečení</w:t>
      </w:r>
      <w:r>
        <w:t xml:space="preserve"> </w:t>
      </w:r>
      <w:r w:rsidRPr="006D4B85">
        <w:t>příslušnou</w:t>
      </w:r>
      <w:r>
        <w:t xml:space="preserve"> </w:t>
      </w:r>
      <w:r w:rsidRPr="006D4B85">
        <w:t>podle</w:t>
      </w:r>
      <w:r>
        <w:t xml:space="preserve"> </w:t>
      </w:r>
      <w:r w:rsidRPr="006D4B85">
        <w:t>§</w:t>
      </w:r>
      <w:r>
        <w:t xml:space="preserve"> </w:t>
      </w:r>
      <w:r w:rsidRPr="006D4B85">
        <w:t>39</w:t>
      </w:r>
      <w:r>
        <w:t xml:space="preserve"> </w:t>
      </w:r>
      <w:r w:rsidRPr="006D4B85">
        <w:t>odst.</w:t>
      </w:r>
      <w:r>
        <w:t xml:space="preserve"> </w:t>
      </w:r>
      <w:r w:rsidRPr="006D4B85">
        <w:t>1</w:t>
      </w:r>
      <w:r>
        <w:t xml:space="preserve"> </w:t>
      </w:r>
      <w:r w:rsidRPr="006D4B85">
        <w:t>do</w:t>
      </w:r>
      <w:r>
        <w:t xml:space="preserve"> </w:t>
      </w:r>
      <w:r w:rsidRPr="006D4B85">
        <w:t>30</w:t>
      </w:r>
      <w:r>
        <w:t xml:space="preserve"> </w:t>
      </w:r>
      <w:r w:rsidRPr="006D4B85">
        <w:t>dnů</w:t>
      </w:r>
      <w:r>
        <w:t xml:space="preserve"> </w:t>
      </w:r>
      <w:r w:rsidRPr="006D4B85">
        <w:t>ode</w:t>
      </w:r>
      <w:r>
        <w:t xml:space="preserve"> </w:t>
      </w:r>
      <w:r w:rsidRPr="006D4B85">
        <w:t>dne</w:t>
      </w:r>
      <w:r>
        <w:t xml:space="preserve"> </w:t>
      </w:r>
      <w:r w:rsidRPr="006D4B85">
        <w:t>převzetí</w:t>
      </w:r>
      <w:r>
        <w:t xml:space="preserve"> </w:t>
      </w:r>
      <w:r w:rsidRPr="006D4B85">
        <w:t>stejnopisu</w:t>
      </w:r>
      <w:r>
        <w:t xml:space="preserve"> </w:t>
      </w:r>
      <w:r w:rsidRPr="006D4B85">
        <w:t>evidenčního</w:t>
      </w:r>
      <w:r>
        <w:t xml:space="preserve"> </w:t>
      </w:r>
      <w:r w:rsidRPr="006D4B85">
        <w:t>listu,</w:t>
      </w:r>
      <w:r>
        <w:t xml:space="preserve"> </w:t>
      </w:r>
      <w:r w:rsidRPr="006D4B85">
        <w:t>aby</w:t>
      </w:r>
      <w:r>
        <w:t xml:space="preserve"> </w:t>
      </w:r>
      <w:r w:rsidRPr="006D4B85">
        <w:t>tento</w:t>
      </w:r>
      <w:r>
        <w:t xml:space="preserve"> </w:t>
      </w:r>
      <w:r w:rsidRPr="006D4B85">
        <w:t>spor</w:t>
      </w:r>
      <w:r>
        <w:t xml:space="preserve"> </w:t>
      </w:r>
      <w:r w:rsidRPr="006D4B85">
        <w:t>rozhodla.</w:t>
      </w:r>
      <w:r>
        <w:t xml:space="preserve"> </w:t>
      </w:r>
      <w:r w:rsidRPr="006D4B85">
        <w:t>Příslušná</w:t>
      </w:r>
      <w:r>
        <w:t xml:space="preserve"> </w:t>
      </w:r>
      <w:r w:rsidRPr="006D4B85">
        <w:t>územní</w:t>
      </w:r>
      <w:r>
        <w:t xml:space="preserve"> </w:t>
      </w:r>
      <w:r w:rsidRPr="006D4B85">
        <w:t>správa</w:t>
      </w:r>
      <w:r>
        <w:t xml:space="preserve"> </w:t>
      </w:r>
      <w:r w:rsidRPr="006D4B85">
        <w:t>sociálního</w:t>
      </w:r>
      <w:r>
        <w:t xml:space="preserve"> </w:t>
      </w:r>
      <w:r w:rsidRPr="006D4B85">
        <w:t>zabezpečení</w:t>
      </w:r>
      <w:r>
        <w:t xml:space="preserve"> </w:t>
      </w:r>
      <w:r w:rsidRPr="006D4B85">
        <w:t>může</w:t>
      </w:r>
      <w:r>
        <w:t xml:space="preserve"> </w:t>
      </w:r>
      <w:r w:rsidRPr="006D4B85">
        <w:t>zmeškání</w:t>
      </w:r>
      <w:r>
        <w:t xml:space="preserve"> </w:t>
      </w:r>
      <w:r w:rsidRPr="006D4B85">
        <w:t>lhůty</w:t>
      </w:r>
      <w:r>
        <w:t xml:space="preserve"> </w:t>
      </w:r>
      <w:r w:rsidRPr="006D4B85">
        <w:t>uvedené</w:t>
      </w:r>
      <w:r>
        <w:t xml:space="preserve"> </w:t>
      </w:r>
      <w:r w:rsidRPr="006D4B85">
        <w:t>ve</w:t>
      </w:r>
      <w:r>
        <w:t xml:space="preserve"> </w:t>
      </w:r>
      <w:r w:rsidRPr="006D4B85">
        <w:t>větě</w:t>
      </w:r>
      <w:r>
        <w:t xml:space="preserve"> </w:t>
      </w:r>
      <w:r w:rsidRPr="006D4B85">
        <w:t>druhé</w:t>
      </w:r>
      <w:r>
        <w:t xml:space="preserve"> </w:t>
      </w:r>
      <w:r w:rsidRPr="006D4B85">
        <w:t>prominout;</w:t>
      </w:r>
      <w:r>
        <w:t xml:space="preserve"> </w:t>
      </w:r>
      <w:r w:rsidRPr="006D4B85">
        <w:t>proti</w:t>
      </w:r>
      <w:r>
        <w:t xml:space="preserve"> </w:t>
      </w:r>
      <w:r w:rsidRPr="006D4B85">
        <w:t>rozhodnutí</w:t>
      </w:r>
      <w:r>
        <w:t xml:space="preserve"> </w:t>
      </w:r>
      <w:r w:rsidRPr="006D4B85">
        <w:t>o</w:t>
      </w:r>
      <w:r>
        <w:t xml:space="preserve"> </w:t>
      </w:r>
      <w:r w:rsidRPr="006D4B85">
        <w:t>prominutí</w:t>
      </w:r>
      <w:r>
        <w:t xml:space="preserve"> </w:t>
      </w:r>
      <w:r w:rsidRPr="006D4B85">
        <w:t>zmeškání</w:t>
      </w:r>
      <w:r>
        <w:t xml:space="preserve"> </w:t>
      </w:r>
      <w:r w:rsidRPr="006D4B85">
        <w:t>lhůty</w:t>
      </w:r>
      <w:r>
        <w:t xml:space="preserve"> </w:t>
      </w:r>
      <w:r w:rsidRPr="006D4B85">
        <w:t>není</w:t>
      </w:r>
      <w:r>
        <w:t xml:space="preserve"> </w:t>
      </w:r>
      <w:r w:rsidRPr="006D4B85">
        <w:t>odvolání</w:t>
      </w:r>
      <w:r>
        <w:t xml:space="preserve"> </w:t>
      </w:r>
      <w:r w:rsidRPr="006D4B85">
        <w:t>přípustné</w:t>
      </w:r>
      <w:r>
        <w:t xml:space="preserve"> </w:t>
      </w:r>
      <w:r w:rsidRPr="006D4B85">
        <w:t>a</w:t>
      </w:r>
      <w:r>
        <w:t xml:space="preserve"> </w:t>
      </w:r>
      <w:r w:rsidRPr="006D4B85">
        <w:t>toto</w:t>
      </w:r>
      <w:r>
        <w:t xml:space="preserve"> </w:t>
      </w:r>
      <w:r w:rsidRPr="006D4B85">
        <w:t>rozhodnutí</w:t>
      </w:r>
      <w:r>
        <w:t xml:space="preserve"> </w:t>
      </w:r>
      <w:r w:rsidRPr="006D4B85">
        <w:t>je</w:t>
      </w:r>
      <w:r>
        <w:t xml:space="preserve"> </w:t>
      </w:r>
      <w:r w:rsidRPr="006D4B85">
        <w:t>vyloučeno</w:t>
      </w:r>
      <w:r>
        <w:t xml:space="preserve"> </w:t>
      </w:r>
      <w:r w:rsidRPr="006D4B85">
        <w:t>ze</w:t>
      </w:r>
      <w:r>
        <w:t xml:space="preserve"> </w:t>
      </w:r>
      <w:r w:rsidRPr="006D4B85">
        <w:t>soudního</w:t>
      </w:r>
      <w:r>
        <w:t xml:space="preserve"> </w:t>
      </w:r>
      <w:r w:rsidRPr="006D4B85">
        <w:t>přezkumu.</w:t>
      </w:r>
      <w:r>
        <w:t xml:space="preserve"> </w:t>
      </w:r>
      <w:r w:rsidRPr="006D4B85">
        <w:t>Jde-li</w:t>
      </w:r>
      <w:r>
        <w:t xml:space="preserve"> </w:t>
      </w:r>
      <w:r w:rsidRPr="006D4B85">
        <w:t>o</w:t>
      </w:r>
      <w:r>
        <w:t xml:space="preserve"> </w:t>
      </w:r>
      <w:r w:rsidRPr="006D4B85">
        <w:t>osobu</w:t>
      </w:r>
      <w:r>
        <w:t xml:space="preserve"> </w:t>
      </w:r>
      <w:r w:rsidRPr="006D4B85">
        <w:t>ve</w:t>
      </w:r>
      <w:r>
        <w:t xml:space="preserve"> </w:t>
      </w:r>
      <w:r w:rsidRPr="006D4B85">
        <w:t>služebním</w:t>
      </w:r>
      <w:r>
        <w:t xml:space="preserve"> </w:t>
      </w:r>
      <w:r w:rsidRPr="006D4B85">
        <w:t>poměru,</w:t>
      </w:r>
      <w:r>
        <w:t xml:space="preserve"> </w:t>
      </w:r>
      <w:r w:rsidRPr="006D4B85">
        <w:t>s</w:t>
      </w:r>
      <w:r>
        <w:t xml:space="preserve"> </w:t>
      </w:r>
      <w:r w:rsidRPr="006D4B85">
        <w:t>výjimkou</w:t>
      </w:r>
      <w:r>
        <w:t xml:space="preserve"> </w:t>
      </w:r>
      <w:r w:rsidRPr="006D4B85">
        <w:t>státních</w:t>
      </w:r>
      <w:r>
        <w:t xml:space="preserve"> </w:t>
      </w:r>
      <w:r w:rsidRPr="006D4B85">
        <w:t>zaměstnanců</w:t>
      </w:r>
      <w:r>
        <w:t xml:space="preserve"> </w:t>
      </w:r>
      <w:r w:rsidRPr="006D4B85">
        <w:t>podle</w:t>
      </w:r>
      <w:r>
        <w:t xml:space="preserve"> </w:t>
      </w:r>
      <w:r w:rsidRPr="006D4B85">
        <w:t>služebního</w:t>
      </w:r>
      <w:r>
        <w:t xml:space="preserve"> </w:t>
      </w:r>
      <w:r w:rsidRPr="006D4B85">
        <w:t>zákona,</w:t>
      </w:r>
      <w:r>
        <w:t xml:space="preserve"> </w:t>
      </w:r>
      <w:r w:rsidRPr="006D4B85">
        <w:t>platí</w:t>
      </w:r>
      <w:r>
        <w:t xml:space="preserve"> </w:t>
      </w:r>
      <w:r w:rsidRPr="006D4B85">
        <w:t>věty</w:t>
      </w:r>
      <w:r>
        <w:t xml:space="preserve"> </w:t>
      </w:r>
      <w:r w:rsidRPr="006D4B85">
        <w:t>druhá</w:t>
      </w:r>
      <w:r>
        <w:t xml:space="preserve"> </w:t>
      </w:r>
      <w:r w:rsidRPr="006D4B85">
        <w:t>a</w:t>
      </w:r>
      <w:r>
        <w:t xml:space="preserve"> </w:t>
      </w:r>
      <w:r w:rsidRPr="006D4B85">
        <w:t>třetí</w:t>
      </w:r>
      <w:r>
        <w:t xml:space="preserve"> </w:t>
      </w:r>
      <w:r w:rsidRPr="006D4B85">
        <w:t>obdobně</w:t>
      </w:r>
      <w:r>
        <w:t xml:space="preserve"> </w:t>
      </w:r>
      <w:r w:rsidRPr="006D4B85">
        <w:t>s</w:t>
      </w:r>
      <w:r>
        <w:t xml:space="preserve"> </w:t>
      </w:r>
      <w:r w:rsidRPr="006D4B85">
        <w:t>tím,</w:t>
      </w:r>
      <w:r>
        <w:t xml:space="preserve"> </w:t>
      </w:r>
      <w:r w:rsidRPr="006D4B85">
        <w:t>že</w:t>
      </w:r>
      <w:r>
        <w:t xml:space="preserve"> </w:t>
      </w:r>
      <w:r w:rsidRPr="006D4B85">
        <w:t>místo</w:t>
      </w:r>
      <w:r>
        <w:t xml:space="preserve"> </w:t>
      </w:r>
      <w:r w:rsidRPr="006D4B85">
        <w:t>územní</w:t>
      </w:r>
      <w:r>
        <w:t xml:space="preserve"> </w:t>
      </w:r>
      <w:r w:rsidRPr="006D4B85">
        <w:t>správy</w:t>
      </w:r>
      <w:r>
        <w:t xml:space="preserve"> </w:t>
      </w:r>
      <w:r w:rsidRPr="006D4B85">
        <w:t>sociálního</w:t>
      </w:r>
      <w:r>
        <w:t xml:space="preserve"> </w:t>
      </w:r>
      <w:r w:rsidRPr="006D4B85">
        <w:t>zabezpečení</w:t>
      </w:r>
      <w:r>
        <w:t xml:space="preserve"> </w:t>
      </w:r>
      <w:r w:rsidRPr="006D4B85">
        <w:t>je</w:t>
      </w:r>
      <w:r>
        <w:t xml:space="preserve"> </w:t>
      </w:r>
      <w:r w:rsidRPr="006D4B85">
        <w:t>příslušný</w:t>
      </w:r>
      <w:r>
        <w:t xml:space="preserve"> </w:t>
      </w:r>
      <w:r w:rsidRPr="006D4B85">
        <w:t>orgán</w:t>
      </w:r>
      <w:r>
        <w:t xml:space="preserve"> </w:t>
      </w:r>
      <w:r w:rsidRPr="006D4B85">
        <w:t>sociálního</w:t>
      </w:r>
      <w:r>
        <w:t xml:space="preserve"> </w:t>
      </w:r>
      <w:r w:rsidRPr="006D4B85">
        <w:t>zabezpečení</w:t>
      </w:r>
      <w:r>
        <w:t xml:space="preserve"> </w:t>
      </w:r>
      <w:r w:rsidRPr="006D4B85">
        <w:t>uvedený</w:t>
      </w:r>
      <w:r>
        <w:t xml:space="preserve"> </w:t>
      </w:r>
      <w:r w:rsidRPr="006D4B85">
        <w:t>v</w:t>
      </w:r>
      <w:r>
        <w:t xml:space="preserve"> </w:t>
      </w:r>
      <w:r w:rsidRPr="006D4B85">
        <w:t>§</w:t>
      </w:r>
      <w:r>
        <w:t xml:space="preserve"> </w:t>
      </w:r>
      <w:r w:rsidRPr="006D4B85">
        <w:t>9</w:t>
      </w:r>
      <w:r>
        <w:t xml:space="preserve"> </w:t>
      </w:r>
      <w:r w:rsidRPr="006D4B85">
        <w:t>odst.</w:t>
      </w:r>
      <w:r>
        <w:t xml:space="preserve"> </w:t>
      </w:r>
      <w:r w:rsidRPr="006D4B85">
        <w:t>1.</w:t>
      </w:r>
    </w:p>
    <w:p w14:paraId="00EFE16A" w14:textId="7AA410A3" w:rsidR="00DF48E0" w:rsidRPr="00A46E9E" w:rsidRDefault="00DF48E0" w:rsidP="00D41C2D">
      <w:pPr>
        <w:pStyle w:val="Odstavecseseznamem"/>
        <w:tabs>
          <w:tab w:val="left" w:pos="851"/>
        </w:tabs>
        <w:spacing w:before="120" w:after="120"/>
        <w:ind w:left="0" w:firstLine="0"/>
        <w:jc w:val="center"/>
        <w:outlineLvl w:val="0"/>
        <w:rPr>
          <w:szCs w:val="24"/>
        </w:rPr>
      </w:pPr>
      <w:r w:rsidRPr="00A46E9E">
        <w:rPr>
          <w:b/>
          <w:szCs w:val="24"/>
        </w:rPr>
        <w:lastRenderedPageBreak/>
        <w:t xml:space="preserve">K části dvanácté návrhu zákona – </w:t>
      </w:r>
      <w:r w:rsidRPr="00A46E9E">
        <w:rPr>
          <w:szCs w:val="24"/>
        </w:rPr>
        <w:t>změna zákona o bankách</w:t>
      </w:r>
    </w:p>
    <w:p w14:paraId="031F3122" w14:textId="77777777" w:rsidR="004958B0" w:rsidRPr="00A46E9E" w:rsidRDefault="004958B0" w:rsidP="004958B0">
      <w:pPr>
        <w:pStyle w:val="Odstavecseseznamem"/>
        <w:tabs>
          <w:tab w:val="left" w:pos="851"/>
        </w:tabs>
        <w:spacing w:before="120" w:after="120"/>
        <w:ind w:left="0" w:firstLine="0"/>
        <w:outlineLvl w:val="0"/>
        <w:rPr>
          <w:b/>
          <w:szCs w:val="24"/>
        </w:rPr>
      </w:pPr>
    </w:p>
    <w:p w14:paraId="0DA74F8A" w14:textId="035ABF8E" w:rsidR="00DF48E0" w:rsidRPr="00A46E9E" w:rsidRDefault="00DF48E0" w:rsidP="00DF48E0">
      <w:pPr>
        <w:pStyle w:val="Odstavecseseznamem"/>
        <w:numPr>
          <w:ilvl w:val="0"/>
          <w:numId w:val="28"/>
        </w:numPr>
        <w:pBdr>
          <w:top w:val="single" w:sz="12" w:space="6" w:color="auto"/>
          <w:left w:val="single" w:sz="12" w:space="0" w:color="auto"/>
          <w:bottom w:val="single" w:sz="12" w:space="6" w:color="auto"/>
          <w:right w:val="single" w:sz="12" w:space="0" w:color="auto"/>
        </w:pBdr>
        <w:jc w:val="center"/>
        <w:rPr>
          <w:szCs w:val="24"/>
        </w:rPr>
      </w:pPr>
      <w:r w:rsidRPr="00A46E9E">
        <w:rPr>
          <w:b/>
          <w:szCs w:val="24"/>
        </w:rPr>
        <w:t>Platné znění</w:t>
      </w:r>
      <w:r w:rsidRPr="00A46E9E">
        <w:rPr>
          <w:szCs w:val="24"/>
        </w:rPr>
        <w:t xml:space="preserve"> zákona </w:t>
      </w:r>
      <w:r w:rsidRPr="00A46E9E">
        <w:rPr>
          <w:color w:val="000000"/>
          <w:szCs w:val="24"/>
        </w:rPr>
        <w:t xml:space="preserve">č. 21/1992 Sb., </w:t>
      </w:r>
      <w:r w:rsidRPr="00A46E9E">
        <w:rPr>
          <w:szCs w:val="24"/>
        </w:rPr>
        <w:t>o bankách</w:t>
      </w:r>
    </w:p>
    <w:p w14:paraId="384157C9" w14:textId="77777777" w:rsidR="00D41C2D" w:rsidRPr="00A06781" w:rsidRDefault="00D41C2D" w:rsidP="00D41C2D">
      <w:pPr>
        <w:pStyle w:val="Odstavecseseznamem"/>
        <w:numPr>
          <w:ilvl w:val="0"/>
          <w:numId w:val="28"/>
        </w:numPr>
        <w:pBdr>
          <w:top w:val="single" w:sz="12" w:space="6" w:color="auto"/>
          <w:left w:val="single" w:sz="12" w:space="0" w:color="auto"/>
          <w:bottom w:val="single" w:sz="12" w:space="6" w:color="auto"/>
          <w:right w:val="single" w:sz="12" w:space="0" w:color="auto"/>
        </w:pBdr>
        <w:jc w:val="center"/>
        <w:rPr>
          <w:b/>
          <w:szCs w:val="24"/>
        </w:rPr>
      </w:pPr>
      <w:r w:rsidRPr="00A06781">
        <w:rPr>
          <w:b/>
          <w:szCs w:val="24"/>
        </w:rPr>
        <w:t>s vyznačením navrhovaných změn a doplnění k 1. lednu 2025</w:t>
      </w:r>
    </w:p>
    <w:p w14:paraId="23E0DBFB" w14:textId="4D501B9C" w:rsidR="00C930BE" w:rsidRPr="00A46E9E" w:rsidRDefault="00DF48E0" w:rsidP="00D41C2D">
      <w:pPr>
        <w:pStyle w:val="Textparagrafu"/>
        <w:ind w:firstLine="0"/>
        <w:jc w:val="center"/>
      </w:pPr>
      <w:r w:rsidRPr="00A46E9E">
        <w:t>***</w:t>
      </w:r>
    </w:p>
    <w:p w14:paraId="34465E31" w14:textId="77777777" w:rsidR="00A46E9E" w:rsidRPr="00BD4124" w:rsidRDefault="00A46E9E" w:rsidP="00A46E9E">
      <w:pPr>
        <w:pStyle w:val="Paragraf"/>
        <w:numPr>
          <w:ilvl w:val="0"/>
          <w:numId w:val="28"/>
        </w:numPr>
      </w:pPr>
      <w:r w:rsidRPr="00BD4124">
        <w:t>§ 11b</w:t>
      </w:r>
    </w:p>
    <w:p w14:paraId="0A9843DD" w14:textId="77777777" w:rsidR="00A46E9E" w:rsidRPr="00BD4124" w:rsidRDefault="00A46E9E" w:rsidP="00A46E9E">
      <w:pPr>
        <w:pStyle w:val="Nadpisparagrafu"/>
        <w:rPr>
          <w:b w:val="0"/>
        </w:rPr>
      </w:pPr>
      <w:r w:rsidRPr="00CA6FE7">
        <w:t>Uveřejňování informací bankami a dalšími osobami</w:t>
      </w:r>
    </w:p>
    <w:p w14:paraId="0E703966" w14:textId="77777777" w:rsidR="00A46E9E" w:rsidRPr="00CA6FE7" w:rsidRDefault="00A46E9E" w:rsidP="00A46E9E">
      <w:pPr>
        <w:pStyle w:val="PZTextodstavce"/>
      </w:pPr>
      <w:r w:rsidRPr="00CA6FE7">
        <w:t>(1) Banka uveřejňuje základní údaje o sobě, o složení akcionářů, struktuře skupiny, jejíž je součástí, a o s</w:t>
      </w:r>
      <w:r>
        <w:t>vé činnosti a finanční situaci.</w:t>
      </w:r>
    </w:p>
    <w:p w14:paraId="0256B5CE" w14:textId="77777777" w:rsidR="00A46E9E" w:rsidRPr="00C43A79" w:rsidRDefault="00A46E9E" w:rsidP="00A46E9E">
      <w:pPr>
        <w:pStyle w:val="PZTextodstavce"/>
      </w:pPr>
      <w:r>
        <w:t>(2)</w:t>
      </w:r>
      <w:r>
        <w:tab/>
      </w:r>
      <w:r w:rsidRPr="00C43A79">
        <w:t xml:space="preserve">Osoba, která má povinnost dodržovat požadavky na správu a řízení společnosti, statutární orgán, správní radu a dozorčí radu jako celek a jednotlivé členy statutárního orgánu, správní rady a dozorčí rady a systém odměňování na konsolidovaném nebo </w:t>
      </w:r>
      <w:proofErr w:type="spellStart"/>
      <w:r w:rsidRPr="00C43A79">
        <w:t>subkonsolidovaném</w:t>
      </w:r>
      <w:proofErr w:type="spellEnd"/>
      <w:r w:rsidRPr="00C43A79">
        <w:t xml:space="preserve"> základě podle tohoto zákona nebo podle přímo použitelného předpisu Evropské unie upravujícího obezřetnostní požadavky, uveřejňuje každoročně informace na konsolidovaném základě o</w:t>
      </w:r>
    </w:p>
    <w:p w14:paraId="538958B5" w14:textId="77777777" w:rsidR="00A46E9E" w:rsidRPr="00BD4124" w:rsidRDefault="00A46E9E" w:rsidP="00B811D2">
      <w:pPr>
        <w:pStyle w:val="PZTextpsmene"/>
        <w:spacing w:before="0"/>
      </w:pPr>
      <w:r w:rsidRPr="00BD4124">
        <w:t>a)</w:t>
      </w:r>
      <w:r w:rsidRPr="00BD4124">
        <w:tab/>
        <w:t>majetkoprávních vztazích v rámci skupiny, včetně informací o úzkém propojení,</w:t>
      </w:r>
    </w:p>
    <w:p w14:paraId="571CEC6D" w14:textId="77777777" w:rsidR="00A46E9E" w:rsidRPr="00BD4124" w:rsidRDefault="00A46E9E" w:rsidP="00B811D2">
      <w:pPr>
        <w:pStyle w:val="PZTextpsmene"/>
        <w:spacing w:before="0"/>
      </w:pPr>
      <w:r w:rsidRPr="00BD4124">
        <w:t>b)</w:t>
      </w:r>
      <w:r w:rsidRPr="00BD4124">
        <w:tab/>
        <w:t>nastavení vnitřních zásad řízení, uspořádání a dalších postupů a mechanismů podle § 8b odst. 1 písm. a) až f) a,</w:t>
      </w:r>
    </w:p>
    <w:p w14:paraId="0BA6E5D2" w14:textId="77777777" w:rsidR="00A46E9E" w:rsidRPr="00BD4124" w:rsidRDefault="00A46E9E" w:rsidP="00B811D2">
      <w:pPr>
        <w:pStyle w:val="PZTextpsmene"/>
        <w:spacing w:before="0"/>
      </w:pPr>
      <w:r w:rsidRPr="00BD4124">
        <w:t>c)</w:t>
      </w:r>
      <w:r w:rsidRPr="00BD4124">
        <w:tab/>
        <w:t>dodržování požadavků, o nichž informuje podle písmen a) a b), ovládanými osobami ve skupině, na něž se tento zákon nepoužije.</w:t>
      </w:r>
    </w:p>
    <w:p w14:paraId="1CCB6310" w14:textId="77777777" w:rsidR="00A46E9E" w:rsidRDefault="00A46E9E" w:rsidP="00A46E9E">
      <w:pPr>
        <w:pStyle w:val="PZTextodstavce"/>
      </w:pPr>
      <w:r w:rsidRPr="00C43A79">
        <w:t>(3) Povinnost podle odstavce 2 je splněna i uveřejněním odkazu na místo, kde jsou tyto informace k dispozici.</w:t>
      </w:r>
      <w:r w:rsidRPr="00CA6FE7">
        <w:tab/>
      </w:r>
    </w:p>
    <w:p w14:paraId="41A41203" w14:textId="77777777" w:rsidR="00A46E9E" w:rsidRPr="00CA6FE7" w:rsidRDefault="00A46E9E" w:rsidP="00A46E9E">
      <w:pPr>
        <w:pStyle w:val="PZTextodstavce"/>
      </w:pPr>
      <w:r w:rsidRPr="00CA6FE7">
        <w:t>(4) Česká národní banka může stanovit kratší periodicitu uveřejňování informací bankami, než je stanoveno podle části osmé nařízení Evropského parl</w:t>
      </w:r>
      <w:r>
        <w:t>amentu a Rady (EU) č. 575/2013.</w:t>
      </w:r>
    </w:p>
    <w:p w14:paraId="4E53D594" w14:textId="77777777" w:rsidR="00A46E9E" w:rsidRDefault="00A46E9E" w:rsidP="00A46E9E">
      <w:pPr>
        <w:pStyle w:val="PZTextodstavce"/>
      </w:pPr>
      <w:r w:rsidRPr="00381F17">
        <w:t xml:space="preserve">(5) Banka </w:t>
      </w:r>
      <w:proofErr w:type="gramStart"/>
      <w:r w:rsidRPr="00381F17">
        <w:rPr>
          <w:strike/>
        </w:rPr>
        <w:t>uveřejňuje</w:t>
      </w:r>
      <w:proofErr w:type="gramEnd"/>
      <w:r w:rsidRPr="00381F17">
        <w:rPr>
          <w:strike/>
        </w:rPr>
        <w:t xml:space="preserve"> ve své výroční zprávě</w:t>
      </w:r>
      <w:r w:rsidRPr="00381F17">
        <w:t xml:space="preserve"> </w:t>
      </w:r>
      <w:proofErr w:type="gramStart"/>
      <w:r w:rsidRPr="00381F17">
        <w:rPr>
          <w:b/>
        </w:rPr>
        <w:t>uvede</w:t>
      </w:r>
      <w:proofErr w:type="gramEnd"/>
      <w:r w:rsidRPr="00381F17">
        <w:rPr>
          <w:b/>
        </w:rPr>
        <w:t xml:space="preserve"> ve zprávě vedení </w:t>
      </w:r>
      <w:r w:rsidRPr="00381F17">
        <w:t>mezi klíčovými ukazateli návratnost jejích aktiv, vyjádřenou jako podíl čistého zisku a celkové bilanční sumy.</w:t>
      </w:r>
    </w:p>
    <w:p w14:paraId="01357C77" w14:textId="77777777" w:rsidR="00A46E9E" w:rsidRPr="00160B5D" w:rsidRDefault="00A46E9E" w:rsidP="00A46E9E">
      <w:pPr>
        <w:pStyle w:val="PZTextodstavce"/>
      </w:pPr>
      <w:r w:rsidRPr="00160B5D">
        <w:t xml:space="preserve">(6) Banka uveřejňuje každoročně údaje o tom, jak dodržuje požadavky na správu a řízení společnosti, statutární orgán, správní radu a dozorčí radu jako celek a jednotlivé členy statutárního orgánu, správní rady a dozorčí rady, systém odměňování, výbor pro jmenování a výbor pro odměňování, </w:t>
      </w:r>
      <w:r w:rsidRPr="00800F2A">
        <w:rPr>
          <w:strike/>
        </w:rPr>
        <w:t>uveřejňování</w:t>
      </w:r>
      <w:r w:rsidRPr="00800F2A">
        <w:t xml:space="preserve"> </w:t>
      </w:r>
      <w:r w:rsidRPr="00800F2A">
        <w:rPr>
          <w:b/>
        </w:rPr>
        <w:t>uvádění</w:t>
      </w:r>
      <w:r w:rsidRPr="00800F2A">
        <w:t xml:space="preserve"> </w:t>
      </w:r>
      <w:r w:rsidRPr="00160B5D">
        <w:t>informací podle jednotlivých zemí podle § 11c a </w:t>
      </w:r>
      <w:r w:rsidRPr="00800F2A">
        <w:rPr>
          <w:strike/>
        </w:rPr>
        <w:t>uveřejňování</w:t>
      </w:r>
      <w:r w:rsidRPr="00800F2A">
        <w:t xml:space="preserve"> </w:t>
      </w:r>
      <w:r w:rsidRPr="00800F2A">
        <w:rPr>
          <w:b/>
        </w:rPr>
        <w:t xml:space="preserve">uvádění </w:t>
      </w:r>
      <w:r w:rsidRPr="00160B5D">
        <w:t>informací o návratnosti aktiv podle odstavce 5.</w:t>
      </w:r>
    </w:p>
    <w:p w14:paraId="7BF491B5" w14:textId="77777777" w:rsidR="00A46E9E" w:rsidRPr="00CA6FE7" w:rsidRDefault="00A46E9E" w:rsidP="00A46E9E">
      <w:pPr>
        <w:pStyle w:val="PZTextodstavce"/>
      </w:pPr>
      <w:r>
        <w:t>(7) Česká národní banka</w:t>
      </w:r>
    </w:p>
    <w:p w14:paraId="7086BA99" w14:textId="77777777" w:rsidR="00A46E9E" w:rsidRPr="00622E7C" w:rsidRDefault="00A46E9E" w:rsidP="00B811D2">
      <w:pPr>
        <w:pStyle w:val="PZTextpsmene"/>
        <w:spacing w:before="0"/>
      </w:pPr>
      <w:r w:rsidRPr="00622E7C">
        <w:t>a)</w:t>
      </w:r>
      <w:r w:rsidRPr="00622E7C">
        <w:tab/>
        <w:t>stanoví vyhláškou obsah údajů určených k uveřejnění podle odstavce 1, jakož i formu, způsob, strukturu a lhůty uveřejňování údajů, a periodicitu uveřejňování údajů podle odstavce 1,</w:t>
      </w:r>
    </w:p>
    <w:p w14:paraId="7BB16FE5" w14:textId="77777777" w:rsidR="00A46E9E" w:rsidRPr="00622E7C" w:rsidRDefault="00A46E9E" w:rsidP="00B811D2">
      <w:pPr>
        <w:pStyle w:val="PZTextpsmene"/>
        <w:spacing w:before="0"/>
      </w:pPr>
      <w:r w:rsidRPr="00622E7C">
        <w:t>b)</w:t>
      </w:r>
      <w:r w:rsidRPr="00622E7C">
        <w:tab/>
        <w:t>může vyhláškou stanovit periodicitu podle odstavce 4, lhůty a způsob uveřejňování informací,</w:t>
      </w:r>
    </w:p>
    <w:p w14:paraId="713375D0" w14:textId="2C779622" w:rsidR="00A46E9E" w:rsidRPr="00622E7C" w:rsidRDefault="00A46E9E" w:rsidP="00B811D2">
      <w:pPr>
        <w:pStyle w:val="PZTextpsmene"/>
        <w:spacing w:before="0"/>
      </w:pPr>
      <w:r w:rsidRPr="00622E7C">
        <w:t>c)</w:t>
      </w:r>
      <w:r w:rsidRPr="00622E7C">
        <w:tab/>
        <w:t>stanoví vyhláškou formu, způsob a lhůty uveřejňování údajů podle odstavců 2 a 6.</w:t>
      </w:r>
    </w:p>
    <w:p w14:paraId="5E3BA14D" w14:textId="77777777" w:rsidR="00A46E9E" w:rsidRPr="00CA2E5A" w:rsidRDefault="00A46E9E" w:rsidP="00A46E9E">
      <w:pPr>
        <w:pStyle w:val="Paragraf"/>
        <w:numPr>
          <w:ilvl w:val="0"/>
          <w:numId w:val="28"/>
        </w:numPr>
      </w:pPr>
      <w:r w:rsidRPr="00CA2E5A">
        <w:lastRenderedPageBreak/>
        <w:t>§ 11c</w:t>
      </w:r>
    </w:p>
    <w:p w14:paraId="30A7E0D0" w14:textId="77777777" w:rsidR="00A46E9E" w:rsidRPr="00156979" w:rsidRDefault="00A46E9E" w:rsidP="00A46E9E">
      <w:pPr>
        <w:pStyle w:val="PZTextodstavce"/>
      </w:pPr>
      <w:r w:rsidRPr="00156979">
        <w:t xml:space="preserve">(1) Banka </w:t>
      </w:r>
      <w:r w:rsidRPr="00156979">
        <w:rPr>
          <w:strike/>
        </w:rPr>
        <w:t xml:space="preserve">každoročně </w:t>
      </w:r>
      <w:proofErr w:type="gramStart"/>
      <w:r w:rsidRPr="00156979">
        <w:rPr>
          <w:strike/>
        </w:rPr>
        <w:t>uveřejňuje</w:t>
      </w:r>
      <w:proofErr w:type="gramEnd"/>
      <w:r w:rsidRPr="00156979">
        <w:rPr>
          <w:strike/>
        </w:rPr>
        <w:t xml:space="preserve"> za bezprostředně předcházející účetní období</w:t>
      </w:r>
      <w:r w:rsidRPr="00156979">
        <w:t xml:space="preserve"> </w:t>
      </w:r>
      <w:proofErr w:type="gramStart"/>
      <w:r w:rsidRPr="00156979">
        <w:rPr>
          <w:b/>
        </w:rPr>
        <w:t>uvede</w:t>
      </w:r>
      <w:proofErr w:type="gramEnd"/>
      <w:r w:rsidRPr="00156979">
        <w:rPr>
          <w:b/>
        </w:rPr>
        <w:t xml:space="preserve"> na konsolidovaném základě </w:t>
      </w:r>
      <w:r w:rsidRPr="00156979">
        <w:t>s rozlišením podle jednotlivých členských států a jiných než členských států, ve kterých má ovládanou osobu nebo pobočku,</w:t>
      </w:r>
    </w:p>
    <w:p w14:paraId="33685D3C" w14:textId="77777777" w:rsidR="00A46E9E" w:rsidRPr="00156979" w:rsidRDefault="00A46E9E" w:rsidP="00B811D2">
      <w:pPr>
        <w:pStyle w:val="PZTextpsmene"/>
        <w:spacing w:before="0"/>
      </w:pPr>
      <w:r w:rsidRPr="00156979">
        <w:t>a)</w:t>
      </w:r>
      <w:r w:rsidRPr="00156979">
        <w:tab/>
        <w:t>výčet činností, které vykonává, a jejich zeměpisné umístění,</w:t>
      </w:r>
    </w:p>
    <w:p w14:paraId="45CDA030" w14:textId="77777777" w:rsidR="00A46E9E" w:rsidRPr="00156979" w:rsidRDefault="00A46E9E" w:rsidP="00B811D2">
      <w:pPr>
        <w:pStyle w:val="PZTextpsmene"/>
        <w:spacing w:before="0"/>
      </w:pPr>
      <w:r w:rsidRPr="00156979">
        <w:t>b)</w:t>
      </w:r>
      <w:r w:rsidRPr="00156979">
        <w:tab/>
        <w:t>obrat,</w:t>
      </w:r>
    </w:p>
    <w:p w14:paraId="7C871FA9" w14:textId="77777777" w:rsidR="00A46E9E" w:rsidRPr="00156979" w:rsidRDefault="00A46E9E" w:rsidP="00B811D2">
      <w:pPr>
        <w:pStyle w:val="PZTextpsmene"/>
        <w:spacing w:before="0"/>
      </w:pPr>
      <w:r w:rsidRPr="00156979">
        <w:t>c)</w:t>
      </w:r>
      <w:r w:rsidRPr="00156979">
        <w:tab/>
        <w:t>počet pracovníků přepočtený na ekvivalenty pracovníků na plný pracovní úvazek,</w:t>
      </w:r>
    </w:p>
    <w:p w14:paraId="66D68882" w14:textId="77777777" w:rsidR="00A46E9E" w:rsidRPr="00156979" w:rsidRDefault="00A46E9E" w:rsidP="00B811D2">
      <w:pPr>
        <w:pStyle w:val="PZTextpsmene"/>
        <w:spacing w:before="0"/>
      </w:pPr>
      <w:r w:rsidRPr="00156979">
        <w:t>d)</w:t>
      </w:r>
      <w:r w:rsidRPr="00156979">
        <w:tab/>
        <w:t>zisk nebo ztrátu před zdaněním,</w:t>
      </w:r>
    </w:p>
    <w:p w14:paraId="4F3FD5A4" w14:textId="77777777" w:rsidR="00A46E9E" w:rsidRPr="00156979" w:rsidRDefault="00A46E9E" w:rsidP="00B811D2">
      <w:pPr>
        <w:pStyle w:val="PZTextpsmene"/>
        <w:spacing w:before="0"/>
      </w:pPr>
      <w:r w:rsidRPr="00156979">
        <w:t>e)</w:t>
      </w:r>
      <w:r w:rsidRPr="00156979">
        <w:tab/>
        <w:t>daň z příjmů právnických osob nebo obdobnou daň placenou v zahraničí nebo ztrátu,</w:t>
      </w:r>
    </w:p>
    <w:p w14:paraId="5EF3DC6D" w14:textId="77777777" w:rsidR="00A46E9E" w:rsidRPr="00A36C5F" w:rsidRDefault="00A46E9E" w:rsidP="00B811D2">
      <w:pPr>
        <w:pStyle w:val="PZTextpsmene"/>
        <w:spacing w:before="0"/>
      </w:pPr>
      <w:r w:rsidRPr="00156979">
        <w:t>f)</w:t>
      </w:r>
      <w:r w:rsidRPr="00156979">
        <w:tab/>
        <w:t xml:space="preserve">získané veřejné podpory. </w:t>
      </w:r>
    </w:p>
    <w:p w14:paraId="4C5C385C" w14:textId="77777777" w:rsidR="00A46E9E" w:rsidRDefault="00A46E9E" w:rsidP="00A46E9E">
      <w:pPr>
        <w:pStyle w:val="PZTextodstavce"/>
        <w:rPr>
          <w:strike/>
        </w:rPr>
      </w:pPr>
      <w:r w:rsidRPr="00882796">
        <w:rPr>
          <w:strike/>
        </w:rPr>
        <w:t>(2) Údaje podle odstavce 1 se uveřejňují v příloze roční účetní závěrky, nebo pokud se sestavuje konsolidovaná účetní závěrka, v příloze konsolidované účetní závěrky.</w:t>
      </w:r>
    </w:p>
    <w:p w14:paraId="08EAF771" w14:textId="77777777" w:rsidR="00A46E9E" w:rsidRPr="001E458A" w:rsidRDefault="00A46E9E" w:rsidP="00A46E9E">
      <w:pPr>
        <w:pStyle w:val="PZTextodstavce"/>
        <w:rPr>
          <w:b/>
        </w:rPr>
      </w:pPr>
      <w:r w:rsidRPr="00156979">
        <w:rPr>
          <w:b/>
        </w:rPr>
        <w:t>(2)</w:t>
      </w:r>
      <w:r w:rsidRPr="00156979">
        <w:rPr>
          <w:b/>
        </w:rPr>
        <w:tab/>
        <w:t xml:space="preserve">Údaje podle odstavce 1 se </w:t>
      </w:r>
      <w:r>
        <w:rPr>
          <w:b/>
        </w:rPr>
        <w:t>připojí ke konsolidované</w:t>
      </w:r>
      <w:r w:rsidRPr="00156979">
        <w:rPr>
          <w:b/>
        </w:rPr>
        <w:t xml:space="preserve"> </w:t>
      </w:r>
      <w:r>
        <w:rPr>
          <w:b/>
        </w:rPr>
        <w:t>zprávě vedení</w:t>
      </w:r>
      <w:r w:rsidRPr="00156979">
        <w:rPr>
          <w:b/>
        </w:rPr>
        <w:t xml:space="preserve">, nebo </w:t>
      </w:r>
      <w:r>
        <w:rPr>
          <w:b/>
        </w:rPr>
        <w:t>k individuální</w:t>
      </w:r>
      <w:r w:rsidRPr="00156979">
        <w:rPr>
          <w:b/>
        </w:rPr>
        <w:t xml:space="preserve"> </w:t>
      </w:r>
      <w:r>
        <w:rPr>
          <w:b/>
        </w:rPr>
        <w:t>zprávě vedení</w:t>
      </w:r>
      <w:r w:rsidRPr="00156979">
        <w:rPr>
          <w:b/>
        </w:rPr>
        <w:t xml:space="preserve">, </w:t>
      </w:r>
      <w:r>
        <w:rPr>
          <w:b/>
        </w:rPr>
        <w:t>není</w:t>
      </w:r>
      <w:r w:rsidRPr="00156979">
        <w:rPr>
          <w:b/>
        </w:rPr>
        <w:t xml:space="preserve">-li konsolidovaná </w:t>
      </w:r>
      <w:r>
        <w:rPr>
          <w:b/>
        </w:rPr>
        <w:t>zpráva vedení</w:t>
      </w:r>
      <w:r w:rsidRPr="00156979">
        <w:rPr>
          <w:b/>
        </w:rPr>
        <w:t xml:space="preserve"> </w:t>
      </w:r>
      <w:r>
        <w:rPr>
          <w:b/>
        </w:rPr>
        <w:t>vyhotovována</w:t>
      </w:r>
      <w:r w:rsidRPr="00156979">
        <w:rPr>
          <w:b/>
        </w:rPr>
        <w:t xml:space="preserve">. </w:t>
      </w:r>
    </w:p>
    <w:p w14:paraId="3923719C" w14:textId="77777777" w:rsidR="00A46E9E" w:rsidRPr="00882796" w:rsidRDefault="00A46E9E" w:rsidP="00A46E9E">
      <w:pPr>
        <w:pStyle w:val="PZTextodstavce"/>
        <w:rPr>
          <w:strike/>
        </w:rPr>
      </w:pPr>
      <w:r w:rsidRPr="007F6B60">
        <w:rPr>
          <w:strike/>
        </w:rPr>
        <w:t>(3) Auditor v rámci své auditorské činnosti ověřuje rovněž údaje uvedené v odstavci 1.</w:t>
      </w:r>
    </w:p>
    <w:p w14:paraId="1FCA330F" w14:textId="77777777" w:rsidR="00A46E9E" w:rsidRDefault="00A46E9E" w:rsidP="00A46E9E">
      <w:pPr>
        <w:pStyle w:val="Paragraf"/>
        <w:numPr>
          <w:ilvl w:val="0"/>
          <w:numId w:val="28"/>
        </w:numPr>
        <w:spacing w:before="120"/>
      </w:pPr>
      <w:r>
        <w:t>***</w:t>
      </w:r>
    </w:p>
    <w:p w14:paraId="2B158192" w14:textId="77777777" w:rsidR="00A46E9E" w:rsidRPr="00CA2E5A" w:rsidRDefault="00A46E9E" w:rsidP="00A46E9E">
      <w:pPr>
        <w:pStyle w:val="Paragraf"/>
        <w:numPr>
          <w:ilvl w:val="0"/>
          <w:numId w:val="28"/>
        </w:numPr>
      </w:pPr>
      <w:r w:rsidRPr="00D15853">
        <w:t>§ 21</w:t>
      </w:r>
    </w:p>
    <w:p w14:paraId="73187D93" w14:textId="77777777" w:rsidR="00A46E9E" w:rsidRDefault="00A46E9E" w:rsidP="00A46E9E">
      <w:pPr>
        <w:pStyle w:val="PZTextodstavce"/>
        <w:rPr>
          <w:strike/>
        </w:rPr>
      </w:pPr>
      <w:r w:rsidRPr="00D15853">
        <w:rPr>
          <w:strike/>
        </w:rPr>
        <w:t>(1)</w:t>
      </w:r>
      <w:r>
        <w:rPr>
          <w:strike/>
        </w:rPr>
        <w:tab/>
      </w:r>
      <w:r w:rsidRPr="00354340">
        <w:rPr>
          <w:strike/>
        </w:rPr>
        <w:t>Banka, jakož i pobočka zahraniční banky, je povinna vést účetnictví podle zvláštního zákona.</w:t>
      </w:r>
      <w:r>
        <w:rPr>
          <w:rStyle w:val="Znakapoznpodarou"/>
          <w:strike/>
        </w:rPr>
        <w:footnoteReference w:customMarkFollows="1" w:id="96"/>
        <w:t>6)</w:t>
      </w:r>
      <w:r w:rsidRPr="00354340">
        <w:rPr>
          <w:strike/>
        </w:rPr>
        <w:t xml:space="preserve"> </w:t>
      </w:r>
    </w:p>
    <w:p w14:paraId="0D9671CF" w14:textId="77777777" w:rsidR="00A46E9E" w:rsidRDefault="00A46E9E" w:rsidP="00A46E9E">
      <w:pPr>
        <w:pStyle w:val="PZTextodstavce"/>
      </w:pPr>
      <w:r w:rsidRPr="00D15853">
        <w:rPr>
          <w:b/>
        </w:rPr>
        <w:t>(1)</w:t>
      </w:r>
      <w:r>
        <w:tab/>
      </w:r>
      <w:r w:rsidRPr="00D15853">
        <w:rPr>
          <w:b/>
        </w:rPr>
        <w:t>Pobočka</w:t>
      </w:r>
      <w:r>
        <w:rPr>
          <w:b/>
          <w:color w:val="7030A0"/>
        </w:rPr>
        <w:t xml:space="preserve"> </w:t>
      </w:r>
      <w:r w:rsidRPr="005B50A1">
        <w:rPr>
          <w:b/>
        </w:rPr>
        <w:t>zahraniční banky</w:t>
      </w:r>
      <w:r w:rsidRPr="0061161D">
        <w:rPr>
          <w:b/>
          <w:color w:val="FF0000"/>
        </w:rPr>
        <w:t xml:space="preserve"> </w:t>
      </w:r>
      <w:r w:rsidRPr="005B50A1">
        <w:rPr>
          <w:b/>
        </w:rPr>
        <w:t xml:space="preserve">používá pro účely </w:t>
      </w:r>
      <w:r w:rsidRPr="00D15853">
        <w:rPr>
          <w:b/>
        </w:rPr>
        <w:t xml:space="preserve">plnění povinností vůči České národní bance </w:t>
      </w:r>
      <w:r>
        <w:rPr>
          <w:b/>
        </w:rPr>
        <w:t xml:space="preserve">vybrané </w:t>
      </w:r>
      <w:r w:rsidRPr="00D15853">
        <w:rPr>
          <w:b/>
        </w:rPr>
        <w:t xml:space="preserve">účetní postupy </w:t>
      </w:r>
      <w:r>
        <w:rPr>
          <w:b/>
        </w:rPr>
        <w:t>podle zákona o </w:t>
      </w:r>
      <w:r w:rsidRPr="005B50A1">
        <w:rPr>
          <w:b/>
        </w:rPr>
        <w:t>účetnictví.</w:t>
      </w:r>
      <w:r>
        <w:t xml:space="preserve"> </w:t>
      </w:r>
    </w:p>
    <w:p w14:paraId="5F98B9FC" w14:textId="77777777" w:rsidR="00A46E9E" w:rsidRPr="00D8092A" w:rsidRDefault="00A46E9E" w:rsidP="00A46E9E">
      <w:pPr>
        <w:pStyle w:val="PZTextodstavce"/>
      </w:pPr>
      <w:r w:rsidRPr="00D8092A">
        <w:t xml:space="preserve"> (2</w:t>
      </w:r>
      <w:r>
        <w:t>)</w:t>
      </w:r>
      <w:r>
        <w:tab/>
      </w:r>
      <w:r>
        <w:tab/>
      </w:r>
      <w:r w:rsidRPr="00D8092A">
        <w:t xml:space="preserve">Banka a pobočka zahraniční banky </w:t>
      </w:r>
      <w:r w:rsidRPr="00D31AB4">
        <w:rPr>
          <w:strike/>
        </w:rPr>
        <w:t>je povinna evidovat</w:t>
      </w:r>
      <w:r>
        <w:rPr>
          <w:strike/>
        </w:rPr>
        <w:t xml:space="preserve"> </w:t>
      </w:r>
      <w:r w:rsidRPr="00D8092A">
        <w:rPr>
          <w:strike/>
        </w:rPr>
        <w:t>v rámci</w:t>
      </w:r>
      <w:r w:rsidRPr="00D8092A">
        <w:t xml:space="preserve"> </w:t>
      </w:r>
      <w:r w:rsidRPr="00D8092A">
        <w:rPr>
          <w:strike/>
        </w:rPr>
        <w:t>účetnictví</w:t>
      </w:r>
      <w:r w:rsidRPr="0038654E">
        <w:rPr>
          <w:strike/>
        </w:rPr>
        <w:t xml:space="preserve"> odděleně</w:t>
      </w:r>
      <w:r w:rsidRPr="00D31AB4">
        <w:t xml:space="preserve"> </w:t>
      </w:r>
      <w:r>
        <w:rPr>
          <w:b/>
        </w:rPr>
        <w:t>sleduje v účetním systému</w:t>
      </w:r>
      <w:r w:rsidRPr="00D31AB4">
        <w:t xml:space="preserve"> </w:t>
      </w:r>
      <w:r w:rsidRPr="00D8092A">
        <w:t xml:space="preserve">obchody na účet klienta </w:t>
      </w:r>
      <w:r w:rsidRPr="00D31AB4">
        <w:rPr>
          <w:strike/>
        </w:rPr>
        <w:t>a obchody</w:t>
      </w:r>
      <w:r>
        <w:rPr>
          <w:strike/>
        </w:rPr>
        <w:t xml:space="preserve"> </w:t>
      </w:r>
      <w:r>
        <w:rPr>
          <w:b/>
        </w:rPr>
        <w:t>odděleně</w:t>
      </w:r>
      <w:r w:rsidRPr="0038654E">
        <w:rPr>
          <w:b/>
        </w:rPr>
        <w:t xml:space="preserve"> </w:t>
      </w:r>
      <w:r w:rsidRPr="00D31AB4">
        <w:rPr>
          <w:b/>
        </w:rPr>
        <w:t>od obchodů</w:t>
      </w:r>
      <w:r w:rsidRPr="00D8092A">
        <w:t xml:space="preserve"> na účet banky </w:t>
      </w:r>
      <w:r w:rsidRPr="00D31AB4">
        <w:t>nebo zahraniční banky</w:t>
      </w:r>
      <w:r w:rsidRPr="00D8092A">
        <w:t>.</w:t>
      </w:r>
      <w:r w:rsidRPr="00D8092A">
        <w:rPr>
          <w:strike/>
        </w:rPr>
        <w:t xml:space="preserve"> Doklady o uskutečněných obchodech jsou banky a pobočky zahraničních bank povinny uschovávat po dobu nejméně 10 let.</w:t>
      </w:r>
    </w:p>
    <w:p w14:paraId="0123E3B3" w14:textId="77777777" w:rsidR="00A46E9E" w:rsidRDefault="00A46E9E" w:rsidP="00A46E9E">
      <w:pPr>
        <w:pStyle w:val="PZTextodstavce"/>
        <w:rPr>
          <w:b/>
        </w:rPr>
      </w:pPr>
      <w:r>
        <w:rPr>
          <w:b/>
        </w:rPr>
        <w:t>(3)</w:t>
      </w:r>
      <w:r>
        <w:rPr>
          <w:b/>
        </w:rPr>
        <w:tab/>
        <w:t>Banka a pobočka zahraniční</w:t>
      </w:r>
      <w:r w:rsidRPr="00E50674">
        <w:rPr>
          <w:b/>
        </w:rPr>
        <w:t xml:space="preserve"> bank</w:t>
      </w:r>
      <w:r>
        <w:rPr>
          <w:b/>
        </w:rPr>
        <w:t>y</w:t>
      </w:r>
      <w:r w:rsidRPr="00E50674">
        <w:rPr>
          <w:b/>
        </w:rPr>
        <w:t xml:space="preserve"> </w:t>
      </w:r>
      <w:r>
        <w:rPr>
          <w:b/>
        </w:rPr>
        <w:t>uschová d</w:t>
      </w:r>
      <w:r w:rsidRPr="00E50674">
        <w:rPr>
          <w:b/>
        </w:rPr>
        <w:t xml:space="preserve">oklady o uskutečněných obchodech </w:t>
      </w:r>
      <w:r>
        <w:rPr>
          <w:b/>
        </w:rPr>
        <w:t xml:space="preserve">nejméně </w:t>
      </w:r>
      <w:r w:rsidRPr="00E50674">
        <w:rPr>
          <w:b/>
        </w:rPr>
        <w:t>po dobu 10 let.</w:t>
      </w:r>
    </w:p>
    <w:p w14:paraId="58E2F3C3" w14:textId="77777777" w:rsidR="00A46E9E" w:rsidRPr="00D8092A" w:rsidRDefault="00A46E9E" w:rsidP="00A46E9E">
      <w:pPr>
        <w:pStyle w:val="Paragraf"/>
        <w:numPr>
          <w:ilvl w:val="0"/>
          <w:numId w:val="28"/>
        </w:numPr>
        <w:rPr>
          <w:strike/>
        </w:rPr>
      </w:pPr>
      <w:r w:rsidRPr="00D8092A">
        <w:rPr>
          <w:strike/>
        </w:rPr>
        <w:t>§ 22</w:t>
      </w:r>
    </w:p>
    <w:p w14:paraId="15AE605A" w14:textId="77777777" w:rsidR="00A46E9E" w:rsidRPr="00CA2E5A" w:rsidRDefault="00A46E9E" w:rsidP="00A46E9E">
      <w:pPr>
        <w:pStyle w:val="Nadpisparagrafu"/>
        <w:rPr>
          <w:strike/>
        </w:rPr>
      </w:pPr>
      <w:r w:rsidRPr="00CA2E5A">
        <w:rPr>
          <w:strike/>
        </w:rPr>
        <w:t>Výběr auditora</w:t>
      </w:r>
    </w:p>
    <w:p w14:paraId="5DB319D6" w14:textId="77777777" w:rsidR="00A46E9E" w:rsidRPr="00206D0A" w:rsidRDefault="00A46E9E" w:rsidP="00A46E9E">
      <w:pPr>
        <w:pStyle w:val="PZTextodstavce"/>
        <w:rPr>
          <w:strike/>
        </w:rPr>
      </w:pPr>
      <w:r w:rsidRPr="00206D0A">
        <w:rPr>
          <w:strike/>
        </w:rPr>
        <w:t xml:space="preserve"> </w:t>
      </w:r>
      <w:r>
        <w:rPr>
          <w:strike/>
        </w:rPr>
        <w:t>(1)</w:t>
      </w:r>
      <w:r>
        <w:rPr>
          <w:strike/>
        </w:rPr>
        <w:tab/>
      </w:r>
      <w:r>
        <w:rPr>
          <w:strike/>
        </w:rPr>
        <w:tab/>
      </w:r>
      <w:r w:rsidRPr="00206D0A">
        <w:rPr>
          <w:strike/>
        </w:rPr>
        <w:t>Banka zajistí, aby auditor provedl</w:t>
      </w:r>
    </w:p>
    <w:p w14:paraId="3AF308F9" w14:textId="77777777" w:rsidR="00A46E9E" w:rsidRDefault="00A46E9E" w:rsidP="00B811D2">
      <w:pPr>
        <w:pStyle w:val="PZTextpsmene"/>
        <w:spacing w:before="0"/>
        <w:rPr>
          <w:strike/>
          <w:szCs w:val="24"/>
        </w:rPr>
      </w:pPr>
      <w:r w:rsidRPr="00206D0A">
        <w:rPr>
          <w:strike/>
          <w:szCs w:val="24"/>
        </w:rPr>
        <w:t>a)</w:t>
      </w:r>
      <w:r>
        <w:rPr>
          <w:strike/>
          <w:szCs w:val="24"/>
        </w:rPr>
        <w:tab/>
      </w:r>
      <w:r w:rsidRPr="00206D0A">
        <w:rPr>
          <w:strike/>
          <w:szCs w:val="24"/>
        </w:rPr>
        <w:t>ověření účetní závěrky banky,</w:t>
      </w:r>
    </w:p>
    <w:p w14:paraId="18AC1752" w14:textId="77777777" w:rsidR="00A46E9E" w:rsidRPr="003D5D31" w:rsidRDefault="00A46E9E" w:rsidP="00B811D2">
      <w:pPr>
        <w:pStyle w:val="PZTextpsmene"/>
        <w:spacing w:before="0"/>
        <w:rPr>
          <w:strike/>
          <w:szCs w:val="24"/>
        </w:rPr>
      </w:pPr>
      <w:r>
        <w:rPr>
          <w:strike/>
          <w:szCs w:val="24"/>
        </w:rPr>
        <w:t>b)</w:t>
      </w:r>
      <w:r>
        <w:rPr>
          <w:strike/>
          <w:szCs w:val="24"/>
        </w:rPr>
        <w:tab/>
      </w:r>
      <w:r w:rsidRPr="003D5D31">
        <w:rPr>
          <w:strike/>
          <w:szCs w:val="24"/>
        </w:rPr>
        <w:t>ověření řídicího a kontrolního systému banky, přičemž banka pro auditora zajistí přehled provedených vnitřních kontrol, které se tohoto ověření týkají,</w:t>
      </w:r>
    </w:p>
    <w:p w14:paraId="1D07569E" w14:textId="77777777" w:rsidR="00A46E9E" w:rsidRDefault="00A46E9E" w:rsidP="00B811D2">
      <w:pPr>
        <w:pStyle w:val="PZTextpsmene"/>
        <w:spacing w:before="0"/>
        <w:rPr>
          <w:strike/>
          <w:szCs w:val="24"/>
        </w:rPr>
      </w:pPr>
      <w:r>
        <w:rPr>
          <w:strike/>
          <w:szCs w:val="24"/>
        </w:rPr>
        <w:t>c)</w:t>
      </w:r>
      <w:r>
        <w:rPr>
          <w:strike/>
          <w:szCs w:val="24"/>
        </w:rPr>
        <w:tab/>
      </w:r>
      <w:r w:rsidRPr="003D5D31">
        <w:rPr>
          <w:strike/>
          <w:szCs w:val="24"/>
        </w:rPr>
        <w:t>vypracování zpráv o ověření účetní závěrky a řídicího a kontrolního systému; banka předloží tyto zprávy ve stanovených lhůtách České národní bance.</w:t>
      </w:r>
    </w:p>
    <w:p w14:paraId="3D92BD38" w14:textId="77777777" w:rsidR="00A46E9E" w:rsidRDefault="00A46E9E" w:rsidP="00A46E9E">
      <w:pPr>
        <w:pStyle w:val="PZTextodstavce"/>
        <w:rPr>
          <w:strike/>
        </w:rPr>
      </w:pPr>
      <w:r>
        <w:rPr>
          <w:strike/>
        </w:rPr>
        <w:lastRenderedPageBreak/>
        <w:t>(2)</w:t>
      </w:r>
      <w:r>
        <w:rPr>
          <w:strike/>
        </w:rPr>
        <w:tab/>
      </w:r>
      <w:r w:rsidRPr="00235CC1">
        <w:rPr>
          <w:strike/>
        </w:rPr>
        <w:t>Česká národní banka stanoví vyhláškou obsah zprávy o ověření řídicího a kontrolního systému banky podle odstavce 1 písm. b) a c), způsob, strukturu a periodicitu jejího zpracování a lhůtu pro její předložení.</w:t>
      </w:r>
    </w:p>
    <w:p w14:paraId="4171F4AC" w14:textId="77777777" w:rsidR="00A46E9E" w:rsidRDefault="00A46E9E" w:rsidP="00A46E9E">
      <w:pPr>
        <w:pStyle w:val="PZTextodstavce"/>
        <w:rPr>
          <w:strike/>
        </w:rPr>
      </w:pPr>
      <w:r w:rsidRPr="00235CC1">
        <w:rPr>
          <w:strike/>
        </w:rPr>
        <w:t>(3) Česká národní banka může požadavek na ověření řídicího a kontrolního systému banky podle odstavce 1 písm. b) prominout nebo omezit pouze na některé jeho součásti. Česká národní banka do 30. dubna příslušného kalendářního roku bance sdělí, že ověření řídicího a kontrolního systému banky podle odstavce 1 písm. b) promíjí nebo jakým způsobem provedení tohoto ověření omezuje. Na sdělení České národní banky o prominutí nebo omezení provedení tohoto ověření se nepoužijí části druhá a třetí správního řádu.</w:t>
      </w:r>
    </w:p>
    <w:p w14:paraId="4BC43078" w14:textId="77777777" w:rsidR="00A46E9E" w:rsidRDefault="00A46E9E" w:rsidP="00A46E9E">
      <w:pPr>
        <w:pStyle w:val="PZTextodstavce"/>
        <w:rPr>
          <w:strike/>
        </w:rPr>
      </w:pPr>
      <w:r>
        <w:rPr>
          <w:strike/>
        </w:rPr>
        <w:t>(4)</w:t>
      </w:r>
      <w:r>
        <w:rPr>
          <w:strike/>
        </w:rPr>
        <w:tab/>
      </w:r>
      <w:r w:rsidRPr="006A29D4">
        <w:rPr>
          <w:strike/>
        </w:rPr>
        <w:t>Vybraného auditora je banka povinna oznámit České národní bance, která je oprávněna do 30 dnů po obdržení tohoto oznámení auditora odmítnout. Banka je povinna oznámit do 30 dnů po odmítnutí Českou národní bankou nového auditora.</w:t>
      </w:r>
    </w:p>
    <w:p w14:paraId="40843819" w14:textId="77777777" w:rsidR="00A46E9E" w:rsidRPr="009E3D30" w:rsidRDefault="00A46E9E" w:rsidP="00A46E9E">
      <w:pPr>
        <w:pStyle w:val="PZTextodstavce"/>
        <w:rPr>
          <w:strike/>
        </w:rPr>
      </w:pPr>
      <w:r w:rsidRPr="009E3D30">
        <w:rPr>
          <w:strike/>
        </w:rPr>
        <w:t>(5) Ověření skutečností podle odstavce 1 nesmí v bance vykonávat auditor, který má k bance zvláštní vztah podle § 19 odst. 1. Totéž platí pro fyzické osoby vykonávající jménem auditora auditorskou činnost.</w:t>
      </w:r>
    </w:p>
    <w:p w14:paraId="2B68DC05" w14:textId="77777777" w:rsidR="00A46E9E" w:rsidRDefault="00A46E9E" w:rsidP="00A46E9E">
      <w:pPr>
        <w:pStyle w:val="PZTextodstavce"/>
        <w:rPr>
          <w:strike/>
        </w:rPr>
      </w:pPr>
      <w:r w:rsidRPr="00E41785">
        <w:rPr>
          <w:strike/>
        </w:rPr>
        <w:t>(6) Při zjištění nedostatků musí být ve zprávách podle odstavce 1 písm. c) vyjádřeno, jaký vliv měly tyto nedostatky na hospodaření a likviditu banky a na tvorbu a rozdělení hospodářského výsledku.</w:t>
      </w:r>
    </w:p>
    <w:p w14:paraId="70CD637C" w14:textId="77777777" w:rsidR="00A46E9E" w:rsidRPr="00DA79C5" w:rsidRDefault="00A46E9E" w:rsidP="00A46E9E">
      <w:pPr>
        <w:pStyle w:val="PZTextodstavce"/>
        <w:rPr>
          <w:strike/>
        </w:rPr>
      </w:pPr>
      <w:r w:rsidRPr="00DA79C5">
        <w:rPr>
          <w:strike/>
        </w:rPr>
        <w:t>(7) Povinnosti podle odstavců 1 až 6 se vztahují obdobně i na pobočky bank z jiného než členského státu.</w:t>
      </w:r>
    </w:p>
    <w:p w14:paraId="126E8AAE" w14:textId="77777777" w:rsidR="00A46E9E" w:rsidRDefault="00A46E9E" w:rsidP="00A46E9E">
      <w:pPr>
        <w:pStyle w:val="PZTextodstavce"/>
        <w:rPr>
          <w:strike/>
        </w:rPr>
      </w:pPr>
      <w:r w:rsidRPr="00AC31CF">
        <w:rPr>
          <w:strike/>
        </w:rPr>
        <w:t>(8) Česká národní banka může nařídit bance změnu auditora, pokud auditor nesplní povinnost informovat Českou národní banku o skutečnostech zjištěných podle § 21 odst. 3 a 4 zákona č. 93/2009 Sb., o auditorech, ve znění pozdějších předpisů.</w:t>
      </w:r>
    </w:p>
    <w:p w14:paraId="35CAE7CA" w14:textId="77777777" w:rsidR="00A46E9E" w:rsidRPr="00D8092A" w:rsidRDefault="00A46E9E" w:rsidP="00A46E9E">
      <w:pPr>
        <w:pStyle w:val="Paragraf"/>
        <w:numPr>
          <w:ilvl w:val="0"/>
          <w:numId w:val="28"/>
        </w:numPr>
        <w:rPr>
          <w:b/>
        </w:rPr>
      </w:pPr>
      <w:r w:rsidRPr="00D8092A">
        <w:rPr>
          <w:b/>
        </w:rPr>
        <w:t>§ 22</w:t>
      </w:r>
    </w:p>
    <w:p w14:paraId="442AFB29" w14:textId="77777777" w:rsidR="00A46E9E" w:rsidRPr="000367D4" w:rsidRDefault="00A46E9E" w:rsidP="00A46E9E">
      <w:pPr>
        <w:pStyle w:val="Nadpisparagrafu"/>
      </w:pPr>
      <w:r w:rsidRPr="000367D4">
        <w:t>Výběr auditora</w:t>
      </w:r>
    </w:p>
    <w:p w14:paraId="3FF23860" w14:textId="77777777" w:rsidR="00A46E9E" w:rsidRDefault="00A46E9E" w:rsidP="00A46E9E">
      <w:pPr>
        <w:pStyle w:val="PZTextodstavce"/>
        <w:rPr>
          <w:b/>
        </w:rPr>
      </w:pPr>
      <w:r>
        <w:rPr>
          <w:b/>
        </w:rPr>
        <w:t>(1)</w:t>
      </w:r>
      <w:r>
        <w:rPr>
          <w:b/>
        </w:rPr>
        <w:tab/>
      </w:r>
      <w:r w:rsidRPr="0032423F">
        <w:rPr>
          <w:b/>
        </w:rPr>
        <w:t xml:space="preserve">Banka </w:t>
      </w:r>
      <w:r>
        <w:rPr>
          <w:b/>
        </w:rPr>
        <w:t xml:space="preserve">oznámí </w:t>
      </w:r>
      <w:r w:rsidRPr="0032423F">
        <w:rPr>
          <w:b/>
        </w:rPr>
        <w:t xml:space="preserve">České národní bance auditora vybraného pro </w:t>
      </w:r>
      <w:r w:rsidRPr="009D459C">
        <w:rPr>
          <w:b/>
        </w:rPr>
        <w:t xml:space="preserve">provedení </w:t>
      </w:r>
      <w:r w:rsidRPr="00D74C80">
        <w:rPr>
          <w:b/>
        </w:rPr>
        <w:t>povinného auditu</w:t>
      </w:r>
      <w:r>
        <w:rPr>
          <w:b/>
        </w:rPr>
        <w:t xml:space="preserve"> </w:t>
      </w:r>
      <w:r w:rsidRPr="00003A86">
        <w:rPr>
          <w:b/>
        </w:rPr>
        <w:t xml:space="preserve">před jeho určením způsobem </w:t>
      </w:r>
      <w:r>
        <w:rPr>
          <w:b/>
        </w:rPr>
        <w:t>upraveným</w:t>
      </w:r>
      <w:r w:rsidRPr="00003A86">
        <w:rPr>
          <w:b/>
        </w:rPr>
        <w:t xml:space="preserve"> zákon</w:t>
      </w:r>
      <w:r>
        <w:rPr>
          <w:b/>
        </w:rPr>
        <w:t>em</w:t>
      </w:r>
      <w:r w:rsidRPr="00003A86">
        <w:rPr>
          <w:b/>
        </w:rPr>
        <w:t xml:space="preserve"> upravujícím auditorskou činnost.</w:t>
      </w:r>
    </w:p>
    <w:p w14:paraId="4A69849B" w14:textId="77777777" w:rsidR="00A46E9E" w:rsidRPr="0032423F" w:rsidRDefault="00A46E9E" w:rsidP="00A46E9E">
      <w:pPr>
        <w:pStyle w:val="PZTextodstavce"/>
        <w:rPr>
          <w:b/>
        </w:rPr>
      </w:pPr>
      <w:r w:rsidRPr="0032423F">
        <w:rPr>
          <w:b/>
        </w:rPr>
        <w:t xml:space="preserve"> (2) Oznámení o výběru auditora podle odstavce 1 obsahuje</w:t>
      </w:r>
    </w:p>
    <w:p w14:paraId="4D10FDF5" w14:textId="77777777" w:rsidR="00A46E9E" w:rsidRPr="003D5D31" w:rsidRDefault="00A46E9E" w:rsidP="00B811D2">
      <w:pPr>
        <w:pStyle w:val="PZTextpsmene"/>
        <w:spacing w:before="0"/>
        <w:rPr>
          <w:b/>
          <w:szCs w:val="24"/>
        </w:rPr>
      </w:pPr>
      <w:r w:rsidRPr="003D5D31">
        <w:rPr>
          <w:b/>
          <w:szCs w:val="24"/>
        </w:rPr>
        <w:t>a)</w:t>
      </w:r>
      <w:r w:rsidRPr="003D5D31">
        <w:rPr>
          <w:b/>
          <w:szCs w:val="24"/>
        </w:rPr>
        <w:tab/>
        <w:t>identifikaci auditora, klíčového auditorského partnera a dalších osob, které se budou podílet na povinném auditu,</w:t>
      </w:r>
    </w:p>
    <w:p w14:paraId="1FEB7D11" w14:textId="77777777" w:rsidR="00A46E9E" w:rsidRDefault="00A46E9E" w:rsidP="00B811D2">
      <w:pPr>
        <w:tabs>
          <w:tab w:val="left" w:pos="425"/>
          <w:tab w:val="left" w:pos="851"/>
        </w:tabs>
        <w:spacing w:before="0"/>
        <w:ind w:left="426" w:hanging="426"/>
        <w:rPr>
          <w:b/>
          <w:szCs w:val="24"/>
        </w:rPr>
      </w:pPr>
      <w:r w:rsidRPr="003D5D31">
        <w:rPr>
          <w:b/>
          <w:szCs w:val="24"/>
        </w:rPr>
        <w:t>b)</w:t>
      </w:r>
      <w:r w:rsidRPr="003D5D31">
        <w:rPr>
          <w:b/>
          <w:szCs w:val="24"/>
        </w:rPr>
        <w:tab/>
        <w:t xml:space="preserve">popis činností doposud vykonávaných auditorem v oblasti povinného auditu </w:t>
      </w:r>
      <w:r>
        <w:rPr>
          <w:b/>
          <w:szCs w:val="24"/>
        </w:rPr>
        <w:t xml:space="preserve">u </w:t>
      </w:r>
      <w:r w:rsidRPr="003D5D31">
        <w:rPr>
          <w:b/>
          <w:szCs w:val="24"/>
        </w:rPr>
        <w:t>úvěrových institucí, popřípadě jiných subjektů působících na finančním trhu,</w:t>
      </w:r>
    </w:p>
    <w:p w14:paraId="2829BF95" w14:textId="77777777" w:rsidR="00A46E9E" w:rsidRPr="00003A86" w:rsidRDefault="00A46E9E" w:rsidP="00B811D2">
      <w:pPr>
        <w:tabs>
          <w:tab w:val="left" w:pos="425"/>
          <w:tab w:val="left" w:pos="851"/>
        </w:tabs>
        <w:spacing w:before="0"/>
        <w:ind w:left="426" w:hanging="426"/>
        <w:rPr>
          <w:b/>
          <w:szCs w:val="24"/>
        </w:rPr>
      </w:pPr>
      <w:r w:rsidRPr="00003A86">
        <w:rPr>
          <w:b/>
          <w:szCs w:val="24"/>
        </w:rPr>
        <w:t>c)</w:t>
      </w:r>
      <w:r w:rsidRPr="00003A86">
        <w:rPr>
          <w:b/>
          <w:szCs w:val="24"/>
        </w:rPr>
        <w:tab/>
        <w:t>období, na jaké má být auditor určen,</w:t>
      </w:r>
    </w:p>
    <w:p w14:paraId="64A778C4" w14:textId="77777777" w:rsidR="00A46E9E" w:rsidRPr="00003A86" w:rsidRDefault="00A46E9E" w:rsidP="00B811D2">
      <w:pPr>
        <w:tabs>
          <w:tab w:val="left" w:pos="425"/>
          <w:tab w:val="left" w:pos="851"/>
        </w:tabs>
        <w:spacing w:before="0"/>
        <w:ind w:left="426" w:hanging="426"/>
        <w:rPr>
          <w:b/>
          <w:szCs w:val="24"/>
        </w:rPr>
      </w:pPr>
      <w:r w:rsidRPr="00003A86">
        <w:rPr>
          <w:b/>
          <w:szCs w:val="24"/>
        </w:rPr>
        <w:t>d)</w:t>
      </w:r>
      <w:r w:rsidRPr="00003A86">
        <w:rPr>
          <w:b/>
          <w:szCs w:val="24"/>
        </w:rPr>
        <w:tab/>
        <w:t>posouzení banky, zda jsou splněny požadavky na nezávislost auditora.</w:t>
      </w:r>
    </w:p>
    <w:p w14:paraId="07D0D58B" w14:textId="77777777" w:rsidR="00A46E9E" w:rsidRPr="0032423F" w:rsidRDefault="00A46E9E" w:rsidP="00A46E9E">
      <w:pPr>
        <w:pStyle w:val="PZTextodstavce"/>
        <w:rPr>
          <w:b/>
        </w:rPr>
      </w:pPr>
      <w:r w:rsidRPr="0032423F">
        <w:rPr>
          <w:b/>
        </w:rPr>
        <w:t>(3) Česká národní banka auditora oznámeného podle odstavce 1 odmítne</w:t>
      </w:r>
      <w:r>
        <w:rPr>
          <w:b/>
        </w:rPr>
        <w:t xml:space="preserve"> do 30 dnů ode dne zahájení řízení</w:t>
      </w:r>
      <w:r w:rsidRPr="0032423F">
        <w:rPr>
          <w:b/>
        </w:rPr>
        <w:t>, pokud</w:t>
      </w:r>
    </w:p>
    <w:p w14:paraId="719CDCE8" w14:textId="77777777" w:rsidR="00A46E9E" w:rsidRPr="00C713D2" w:rsidRDefault="00A46E9E" w:rsidP="00B811D2">
      <w:pPr>
        <w:tabs>
          <w:tab w:val="left" w:pos="425"/>
          <w:tab w:val="left" w:pos="851"/>
        </w:tabs>
        <w:spacing w:before="0"/>
        <w:ind w:left="426" w:hanging="426"/>
        <w:rPr>
          <w:b/>
          <w:szCs w:val="24"/>
        </w:rPr>
      </w:pPr>
      <w:r>
        <w:rPr>
          <w:b/>
          <w:szCs w:val="24"/>
        </w:rPr>
        <w:t>a)</w:t>
      </w:r>
      <w:r>
        <w:rPr>
          <w:b/>
          <w:szCs w:val="24"/>
        </w:rPr>
        <w:tab/>
      </w:r>
      <w:r w:rsidRPr="00C713D2">
        <w:rPr>
          <w:b/>
          <w:szCs w:val="24"/>
        </w:rPr>
        <w:t>nesplňuje podmínky nezávislosti podle zákona upravující</w:t>
      </w:r>
      <w:r>
        <w:rPr>
          <w:b/>
          <w:szCs w:val="24"/>
        </w:rPr>
        <w:t>ho</w:t>
      </w:r>
      <w:r w:rsidRPr="00C713D2">
        <w:rPr>
          <w:b/>
          <w:szCs w:val="24"/>
        </w:rPr>
        <w:t xml:space="preserve"> </w:t>
      </w:r>
      <w:r w:rsidRPr="004A0F64">
        <w:rPr>
          <w:b/>
          <w:szCs w:val="24"/>
        </w:rPr>
        <w:t>auditorskou činnost</w:t>
      </w:r>
      <w:r w:rsidRPr="00C713D2">
        <w:rPr>
          <w:b/>
          <w:szCs w:val="24"/>
        </w:rPr>
        <w:t xml:space="preserve">, </w:t>
      </w:r>
    </w:p>
    <w:p w14:paraId="29D39EF4" w14:textId="77777777" w:rsidR="00A46E9E" w:rsidRPr="00C713D2" w:rsidRDefault="00A46E9E" w:rsidP="00B811D2">
      <w:pPr>
        <w:tabs>
          <w:tab w:val="left" w:pos="425"/>
          <w:tab w:val="left" w:pos="851"/>
        </w:tabs>
        <w:spacing w:before="0"/>
        <w:ind w:left="425" w:hanging="425"/>
        <w:rPr>
          <w:b/>
          <w:szCs w:val="24"/>
        </w:rPr>
      </w:pPr>
      <w:r>
        <w:rPr>
          <w:b/>
          <w:szCs w:val="24"/>
        </w:rPr>
        <w:t>b)</w:t>
      </w:r>
      <w:r>
        <w:rPr>
          <w:b/>
          <w:szCs w:val="24"/>
        </w:rPr>
        <w:tab/>
      </w:r>
      <w:r w:rsidRPr="00C713D2">
        <w:rPr>
          <w:b/>
          <w:szCs w:val="24"/>
        </w:rPr>
        <w:t xml:space="preserve">jeho dosavadní činnost v oblasti </w:t>
      </w:r>
      <w:r w:rsidRPr="00137262">
        <w:rPr>
          <w:b/>
          <w:szCs w:val="24"/>
        </w:rPr>
        <w:t>auditu</w:t>
      </w:r>
      <w:r w:rsidRPr="00C713D2">
        <w:rPr>
          <w:b/>
          <w:szCs w:val="24"/>
        </w:rPr>
        <w:t xml:space="preserve"> </w:t>
      </w:r>
      <w:r>
        <w:rPr>
          <w:b/>
          <w:szCs w:val="24"/>
        </w:rPr>
        <w:t xml:space="preserve">účetních závěrek </w:t>
      </w:r>
      <w:r w:rsidRPr="00C713D2">
        <w:rPr>
          <w:b/>
          <w:szCs w:val="24"/>
        </w:rPr>
        <w:t xml:space="preserve">úvěrových institucí, případně jiných subjektů působících na finančním trhu, nezajišťuje předpoklad řádného provedení </w:t>
      </w:r>
      <w:r w:rsidRPr="00137262">
        <w:rPr>
          <w:b/>
          <w:szCs w:val="24"/>
        </w:rPr>
        <w:t>povinného auditu</w:t>
      </w:r>
      <w:r w:rsidRPr="00C713D2">
        <w:rPr>
          <w:b/>
          <w:szCs w:val="24"/>
        </w:rPr>
        <w:t xml:space="preserve">, a to s ohledem na rozsah a složitost činností vykonávaných bankou, ve které má být </w:t>
      </w:r>
      <w:r w:rsidRPr="00137262">
        <w:rPr>
          <w:b/>
          <w:szCs w:val="24"/>
        </w:rPr>
        <w:t>povinný audit</w:t>
      </w:r>
      <w:r w:rsidRPr="00C713D2">
        <w:rPr>
          <w:b/>
          <w:szCs w:val="24"/>
        </w:rPr>
        <w:t xml:space="preserve"> proveden.</w:t>
      </w:r>
    </w:p>
    <w:p w14:paraId="3685B50F" w14:textId="77777777" w:rsidR="00A46E9E" w:rsidRPr="00003A86" w:rsidRDefault="00A46E9E" w:rsidP="00A46E9E">
      <w:pPr>
        <w:pStyle w:val="PZTextodstavce"/>
        <w:rPr>
          <w:b/>
        </w:rPr>
      </w:pPr>
      <w:r w:rsidRPr="0032423F">
        <w:rPr>
          <w:b/>
        </w:rPr>
        <w:lastRenderedPageBreak/>
        <w:t>(4) Řízení o odmítnutí auditora zahájí Česká národní banka do 30 dnů od</w:t>
      </w:r>
      <w:r>
        <w:rPr>
          <w:b/>
        </w:rPr>
        <w:t>e dne</w:t>
      </w:r>
      <w:r w:rsidRPr="0032423F">
        <w:rPr>
          <w:b/>
        </w:rPr>
        <w:t xml:space="preserve"> obdržení oznámení od banky podle odstavce 2. Nezahájí-li Česká národní banka řízení ve stanovené lhůtě, platí, že Česká národní banka auditora neodmítla.</w:t>
      </w:r>
    </w:p>
    <w:p w14:paraId="427FBFB0" w14:textId="77777777" w:rsidR="00A46E9E" w:rsidRDefault="00A46E9E" w:rsidP="00A46E9E">
      <w:pPr>
        <w:pStyle w:val="PZTextodstavce"/>
        <w:rPr>
          <w:b/>
        </w:rPr>
      </w:pPr>
      <w:r w:rsidRPr="0032423F">
        <w:rPr>
          <w:b/>
        </w:rPr>
        <w:t>(5) Odmítne-li Česká nár</w:t>
      </w:r>
      <w:r>
        <w:rPr>
          <w:b/>
        </w:rPr>
        <w:t>odní banka vybraného auditora</w:t>
      </w:r>
      <w:r w:rsidRPr="0032423F">
        <w:rPr>
          <w:b/>
        </w:rPr>
        <w:t xml:space="preserve">, oznámí banka České národní </w:t>
      </w:r>
      <w:r>
        <w:rPr>
          <w:b/>
        </w:rPr>
        <w:t>bance nově vybraného auditora</w:t>
      </w:r>
      <w:r w:rsidRPr="0032423F">
        <w:rPr>
          <w:b/>
        </w:rPr>
        <w:t xml:space="preserve">. Na nově vybraného </w:t>
      </w:r>
      <w:r>
        <w:rPr>
          <w:b/>
        </w:rPr>
        <w:t xml:space="preserve">auditora se použijí odstavce 2 </w:t>
      </w:r>
      <w:r w:rsidRPr="0032423F">
        <w:rPr>
          <w:b/>
        </w:rPr>
        <w:t>až 4 obdobně.</w:t>
      </w:r>
    </w:p>
    <w:p w14:paraId="39E9A877" w14:textId="77777777" w:rsidR="00A46E9E" w:rsidRPr="0025685C" w:rsidRDefault="00A46E9E" w:rsidP="00A46E9E">
      <w:pPr>
        <w:pStyle w:val="PZTextodstavce"/>
        <w:rPr>
          <w:b/>
        </w:rPr>
      </w:pPr>
      <w:r>
        <w:rPr>
          <w:b/>
        </w:rPr>
        <w:t>(6) Proti rozhodnutí o odmítnutí auditora není přípustný rozklad.</w:t>
      </w:r>
    </w:p>
    <w:p w14:paraId="53F0BBCA" w14:textId="77777777" w:rsidR="00A46E9E" w:rsidRPr="0072328F" w:rsidRDefault="00A46E9E" w:rsidP="00A46E9E">
      <w:pPr>
        <w:pStyle w:val="Paragraf"/>
        <w:numPr>
          <w:ilvl w:val="0"/>
          <w:numId w:val="28"/>
        </w:numPr>
        <w:rPr>
          <w:b/>
        </w:rPr>
      </w:pPr>
      <w:r w:rsidRPr="0072328F">
        <w:rPr>
          <w:b/>
        </w:rPr>
        <w:t xml:space="preserve">§ </w:t>
      </w:r>
      <w:r>
        <w:rPr>
          <w:b/>
        </w:rPr>
        <w:t>22a</w:t>
      </w:r>
    </w:p>
    <w:p w14:paraId="55611710" w14:textId="77777777" w:rsidR="00A46E9E" w:rsidRPr="000367D4" w:rsidRDefault="00A46E9E" w:rsidP="00A46E9E">
      <w:pPr>
        <w:pStyle w:val="Nadpisparagrafu"/>
      </w:pPr>
      <w:r w:rsidRPr="000367D4">
        <w:t>Ověření řídicího a kontrolního systému</w:t>
      </w:r>
    </w:p>
    <w:p w14:paraId="08BEA31F" w14:textId="77777777" w:rsidR="00A46E9E" w:rsidRPr="001148AE" w:rsidRDefault="00A46E9E" w:rsidP="00A46E9E">
      <w:pPr>
        <w:pStyle w:val="PZTextodstavce"/>
        <w:rPr>
          <w:b/>
        </w:rPr>
      </w:pPr>
      <w:r>
        <w:rPr>
          <w:b/>
        </w:rPr>
        <w:t xml:space="preserve">(1) </w:t>
      </w:r>
      <w:r w:rsidRPr="001148AE">
        <w:rPr>
          <w:b/>
        </w:rPr>
        <w:t xml:space="preserve">Česká národní banka může nařídit bance nebo pobočce zahraniční banky, aby zajistila ověření svého řídicího a kontrolního systému nebo jeho části nebo informací předkládaných České národní bance ověřovatelem podle § 22b, pokud nastanou skutečnosti, které by mohly mít zásadní nepříznivý dopad na činnost banky nebo pobočky zahraniční banky, její rizikový profil nebo postavení v rámci skupiny, jíž je banka nebo pobočka zahraniční banky součástí. </w:t>
      </w:r>
      <w:r w:rsidRPr="00CE795B">
        <w:rPr>
          <w:b/>
        </w:rPr>
        <w:t xml:space="preserve">Ověření je dokončeno </w:t>
      </w:r>
      <w:r>
        <w:rPr>
          <w:b/>
        </w:rPr>
        <w:t>předložením</w:t>
      </w:r>
      <w:r w:rsidRPr="00CE795B">
        <w:rPr>
          <w:b/>
        </w:rPr>
        <w:t xml:space="preserve"> zprávy o ověření </w:t>
      </w:r>
      <w:r>
        <w:rPr>
          <w:b/>
        </w:rPr>
        <w:t>řídicího a kontrolního systému České národní bance</w:t>
      </w:r>
      <w:r w:rsidRPr="00CE795B">
        <w:rPr>
          <w:b/>
        </w:rPr>
        <w:t xml:space="preserve">. </w:t>
      </w:r>
      <w:r w:rsidRPr="001148AE">
        <w:rPr>
          <w:b/>
        </w:rPr>
        <w:t xml:space="preserve">  </w:t>
      </w:r>
    </w:p>
    <w:p w14:paraId="14849BBB" w14:textId="77777777" w:rsidR="00A46E9E" w:rsidRPr="00D036CA" w:rsidRDefault="00A46E9E" w:rsidP="00A46E9E">
      <w:pPr>
        <w:pStyle w:val="PZTextodstavce"/>
        <w:rPr>
          <w:b/>
        </w:rPr>
      </w:pPr>
      <w:r>
        <w:rPr>
          <w:b/>
        </w:rPr>
        <w:t>(2)</w:t>
      </w:r>
      <w:r>
        <w:rPr>
          <w:b/>
        </w:rPr>
        <w:tab/>
      </w:r>
      <w:r w:rsidRPr="00D036CA">
        <w:rPr>
          <w:b/>
        </w:rPr>
        <w:t>Proti rozhodnutí podle odstavce 1 není přípustný rozklad.</w:t>
      </w:r>
    </w:p>
    <w:p w14:paraId="3E5702A4" w14:textId="77777777" w:rsidR="00A46E9E" w:rsidRPr="00802B96" w:rsidRDefault="00A46E9E" w:rsidP="00A46E9E">
      <w:pPr>
        <w:pStyle w:val="PZTextodstavce"/>
        <w:rPr>
          <w:b/>
        </w:rPr>
      </w:pPr>
      <w:r w:rsidRPr="00802B96">
        <w:rPr>
          <w:b/>
        </w:rPr>
        <w:t>(3) Česká národní banka v rozhodnutí podle odstavce 1 stanoví přiměřenou lhůtu pro provedení ověření</w:t>
      </w:r>
      <w:r w:rsidRPr="00302F64">
        <w:rPr>
          <w:b/>
        </w:rPr>
        <w:t xml:space="preserve"> </w:t>
      </w:r>
      <w:r>
        <w:rPr>
          <w:b/>
        </w:rPr>
        <w:t>a předložení zprávy podle odstavce 1 České národní bance</w:t>
      </w:r>
      <w:r w:rsidRPr="00802B96">
        <w:rPr>
          <w:b/>
        </w:rPr>
        <w:t>, která nesmí být kratší než 3 měsíce ode dne nabytí právní moci rozhodnutí, a určí část řídicího a kontrolního systému banky</w:t>
      </w:r>
      <w:r>
        <w:rPr>
          <w:b/>
        </w:rPr>
        <w:t xml:space="preserve"> nebo pobočky zahraniční banky</w:t>
      </w:r>
      <w:r w:rsidRPr="00802B96">
        <w:rPr>
          <w:b/>
        </w:rPr>
        <w:t xml:space="preserve">, jejíž funkčnost a efektivnost má ověřovatel ověřit. </w:t>
      </w:r>
    </w:p>
    <w:p w14:paraId="2B0D1FC7" w14:textId="77777777" w:rsidR="00A46E9E" w:rsidRPr="00802B96" w:rsidRDefault="00A46E9E" w:rsidP="00A46E9E">
      <w:pPr>
        <w:pStyle w:val="PZTextodstavce"/>
        <w:rPr>
          <w:b/>
        </w:rPr>
      </w:pPr>
      <w:r>
        <w:rPr>
          <w:b/>
        </w:rPr>
        <w:t>(4)</w:t>
      </w:r>
      <w:r>
        <w:rPr>
          <w:b/>
        </w:rPr>
        <w:tab/>
      </w:r>
      <w:r w:rsidRPr="00802B96">
        <w:rPr>
          <w:b/>
        </w:rPr>
        <w:t>Banka</w:t>
      </w:r>
      <w:r>
        <w:rPr>
          <w:b/>
        </w:rPr>
        <w:t xml:space="preserve"> nebo pobočka zahraniční banky</w:t>
      </w:r>
      <w:r w:rsidRPr="00802B96">
        <w:rPr>
          <w:b/>
        </w:rPr>
        <w:t>, které bylo nařízeno provést ověření, poskytne ověřovateli potřebnou součinnost.</w:t>
      </w:r>
    </w:p>
    <w:p w14:paraId="3188D2BC" w14:textId="77777777" w:rsidR="00A46E9E" w:rsidRDefault="00A46E9E" w:rsidP="00A46E9E">
      <w:pPr>
        <w:pStyle w:val="PZTextodstavce"/>
        <w:rPr>
          <w:b/>
        </w:rPr>
      </w:pPr>
      <w:r w:rsidRPr="00802B96">
        <w:rPr>
          <w:b/>
        </w:rPr>
        <w:t xml:space="preserve">(5) Podrobnosti náležitostí a strukturu zprávy </w:t>
      </w:r>
      <w:r>
        <w:rPr>
          <w:b/>
        </w:rPr>
        <w:t xml:space="preserve">podle odstavce 1 </w:t>
      </w:r>
      <w:r w:rsidRPr="00802B96">
        <w:rPr>
          <w:b/>
        </w:rPr>
        <w:t>stanoví Česká národní banka vyhláškou.</w:t>
      </w:r>
    </w:p>
    <w:p w14:paraId="69094E09" w14:textId="77777777" w:rsidR="00A46E9E" w:rsidRPr="00802B96" w:rsidRDefault="00A46E9E" w:rsidP="00A46E9E">
      <w:pPr>
        <w:pStyle w:val="Paragraf"/>
        <w:numPr>
          <w:ilvl w:val="0"/>
          <w:numId w:val="28"/>
        </w:numPr>
        <w:rPr>
          <w:b/>
        </w:rPr>
      </w:pPr>
      <w:r w:rsidRPr="00802B96">
        <w:rPr>
          <w:b/>
        </w:rPr>
        <w:t>§ 22b</w:t>
      </w:r>
    </w:p>
    <w:p w14:paraId="2503A403" w14:textId="77777777" w:rsidR="00A46E9E" w:rsidRPr="00A31FE1" w:rsidRDefault="00A46E9E" w:rsidP="00A46E9E">
      <w:pPr>
        <w:pStyle w:val="Nadpisparagrafu"/>
      </w:pPr>
      <w:r w:rsidRPr="00A31FE1">
        <w:t>Výběr ověřovatele</w:t>
      </w:r>
    </w:p>
    <w:p w14:paraId="17B7BA6B" w14:textId="77777777" w:rsidR="00A46E9E" w:rsidRDefault="00A46E9E" w:rsidP="00A46E9E">
      <w:pPr>
        <w:pStyle w:val="PZTextodstavce"/>
        <w:rPr>
          <w:b/>
        </w:rPr>
      </w:pPr>
      <w:r w:rsidRPr="00802B96">
        <w:rPr>
          <w:b/>
        </w:rPr>
        <w:t>(1) Banka</w:t>
      </w:r>
      <w:r w:rsidRPr="008657D1">
        <w:rPr>
          <w:b/>
        </w:rPr>
        <w:t xml:space="preserve"> </w:t>
      </w:r>
      <w:r>
        <w:rPr>
          <w:b/>
        </w:rPr>
        <w:t>nebo pobočka zahraniční banky</w:t>
      </w:r>
      <w:r w:rsidRPr="00802B96">
        <w:rPr>
          <w:b/>
        </w:rPr>
        <w:t xml:space="preserve"> </w:t>
      </w:r>
      <w:r>
        <w:rPr>
          <w:b/>
        </w:rPr>
        <w:t xml:space="preserve">oznámí </w:t>
      </w:r>
      <w:r w:rsidRPr="00802B96">
        <w:rPr>
          <w:b/>
        </w:rPr>
        <w:t>České národní bance vybraného ověřovatele do 30 dnů ode dne nabytí právní moci rozhodnutí podle § 22a odst. 1.</w:t>
      </w:r>
    </w:p>
    <w:p w14:paraId="7E775E9A" w14:textId="77777777" w:rsidR="00A46E9E" w:rsidRPr="00802B96" w:rsidRDefault="00A46E9E" w:rsidP="00A46E9E">
      <w:pPr>
        <w:pStyle w:val="PZTextodstavce"/>
        <w:rPr>
          <w:b/>
        </w:rPr>
      </w:pPr>
      <w:r w:rsidRPr="00802B96">
        <w:rPr>
          <w:b/>
        </w:rPr>
        <w:t>(2) Oznámení o výběru ověřovatele podle odstavce 1 obsahuje</w:t>
      </w:r>
    </w:p>
    <w:p w14:paraId="447541F1" w14:textId="77777777" w:rsidR="00A46E9E" w:rsidRPr="00802B96" w:rsidRDefault="00A46E9E" w:rsidP="00B811D2">
      <w:pPr>
        <w:tabs>
          <w:tab w:val="left" w:pos="425"/>
          <w:tab w:val="left" w:pos="851"/>
        </w:tabs>
        <w:spacing w:before="0"/>
        <w:ind w:left="426" w:hanging="426"/>
        <w:rPr>
          <w:b/>
          <w:szCs w:val="24"/>
        </w:rPr>
      </w:pPr>
      <w:r w:rsidRPr="00802B96">
        <w:rPr>
          <w:b/>
          <w:szCs w:val="24"/>
        </w:rPr>
        <w:t>a)</w:t>
      </w:r>
      <w:r w:rsidRPr="00802B96">
        <w:rPr>
          <w:b/>
          <w:szCs w:val="24"/>
        </w:rPr>
        <w:tab/>
        <w:t>identifikaci ověřovatele a dalších osob, které se budou podílet na ověření,</w:t>
      </w:r>
    </w:p>
    <w:p w14:paraId="616F881A" w14:textId="77777777" w:rsidR="00A46E9E" w:rsidRPr="00802B96" w:rsidRDefault="00A46E9E" w:rsidP="00B811D2">
      <w:pPr>
        <w:tabs>
          <w:tab w:val="left" w:pos="425"/>
          <w:tab w:val="left" w:pos="851"/>
        </w:tabs>
        <w:spacing w:before="0"/>
        <w:ind w:left="426" w:hanging="426"/>
        <w:rPr>
          <w:b/>
          <w:szCs w:val="24"/>
        </w:rPr>
      </w:pPr>
      <w:r w:rsidRPr="00802B96">
        <w:rPr>
          <w:b/>
          <w:szCs w:val="24"/>
        </w:rPr>
        <w:t>b)</w:t>
      </w:r>
      <w:r w:rsidRPr="00802B96">
        <w:rPr>
          <w:b/>
          <w:szCs w:val="24"/>
        </w:rPr>
        <w:tab/>
        <w:t xml:space="preserve">vymezení části řídicího a kontrolního systému, která má být daným ověřovatelem ověřena, </w:t>
      </w:r>
    </w:p>
    <w:p w14:paraId="0EC52736" w14:textId="77777777" w:rsidR="00A46E9E" w:rsidRPr="00802B96" w:rsidRDefault="00A46E9E" w:rsidP="00B811D2">
      <w:pPr>
        <w:tabs>
          <w:tab w:val="left" w:pos="425"/>
          <w:tab w:val="left" w:pos="851"/>
        </w:tabs>
        <w:spacing w:before="0"/>
        <w:ind w:left="426" w:hanging="426"/>
        <w:rPr>
          <w:b/>
          <w:szCs w:val="24"/>
        </w:rPr>
      </w:pPr>
      <w:r w:rsidRPr="00802B96">
        <w:rPr>
          <w:b/>
          <w:szCs w:val="24"/>
        </w:rPr>
        <w:t>c)</w:t>
      </w:r>
      <w:r w:rsidRPr="00802B96">
        <w:rPr>
          <w:b/>
          <w:szCs w:val="24"/>
        </w:rPr>
        <w:tab/>
        <w:t>rozsah dosavadní činnosti ověřovatele v oblasti řídicího a kontrolního systému banky</w:t>
      </w:r>
      <w:r w:rsidRPr="004B7C19">
        <w:rPr>
          <w:b/>
          <w:szCs w:val="24"/>
        </w:rPr>
        <w:t xml:space="preserve"> nebo pobočky zahraniční banky</w:t>
      </w:r>
      <w:r w:rsidRPr="00802B96">
        <w:rPr>
          <w:b/>
          <w:szCs w:val="24"/>
        </w:rPr>
        <w:t>, která má být ověřena,</w:t>
      </w:r>
    </w:p>
    <w:p w14:paraId="3C7E0D52" w14:textId="77777777" w:rsidR="00A46E9E" w:rsidRPr="00802B96" w:rsidRDefault="00A46E9E" w:rsidP="00B811D2">
      <w:pPr>
        <w:tabs>
          <w:tab w:val="left" w:pos="425"/>
          <w:tab w:val="left" w:pos="851"/>
        </w:tabs>
        <w:spacing w:before="0"/>
        <w:ind w:left="426" w:hanging="426"/>
        <w:rPr>
          <w:b/>
          <w:szCs w:val="24"/>
        </w:rPr>
      </w:pPr>
      <w:r w:rsidRPr="00802B96">
        <w:rPr>
          <w:b/>
          <w:szCs w:val="24"/>
        </w:rPr>
        <w:t>d)</w:t>
      </w:r>
      <w:r w:rsidRPr="00802B96">
        <w:rPr>
          <w:b/>
          <w:szCs w:val="24"/>
        </w:rPr>
        <w:tab/>
        <w:t>popis činností doposud vykonávaných ověřovatelem v oblasti činnosti úvěrových institucí, popřípadě jiných subjektů působících na finančním trhu,</w:t>
      </w:r>
    </w:p>
    <w:p w14:paraId="4AD1E04D" w14:textId="77777777" w:rsidR="00A46E9E" w:rsidRPr="00802B96" w:rsidRDefault="00A46E9E" w:rsidP="00B811D2">
      <w:pPr>
        <w:tabs>
          <w:tab w:val="left" w:pos="425"/>
          <w:tab w:val="left" w:pos="851"/>
        </w:tabs>
        <w:spacing w:before="0"/>
        <w:ind w:left="426" w:hanging="426"/>
        <w:rPr>
          <w:b/>
          <w:szCs w:val="24"/>
        </w:rPr>
      </w:pPr>
      <w:r w:rsidRPr="00802B96">
        <w:rPr>
          <w:b/>
          <w:szCs w:val="24"/>
        </w:rPr>
        <w:t>e)</w:t>
      </w:r>
      <w:r w:rsidRPr="00802B96">
        <w:rPr>
          <w:b/>
          <w:szCs w:val="24"/>
        </w:rPr>
        <w:tab/>
        <w:t>čestné prohlášení ověřovatele o kárných nebo jiných sankčních opatřeních přijatých vůči ověřovateli</w:t>
      </w:r>
      <w:r w:rsidRPr="00D8092A">
        <w:rPr>
          <w:b/>
          <w:szCs w:val="24"/>
        </w:rPr>
        <w:t xml:space="preserve">, pokud není zjistitelné z veřejných rejstříků, </w:t>
      </w:r>
    </w:p>
    <w:p w14:paraId="7096B7D2" w14:textId="77777777" w:rsidR="00A46E9E" w:rsidRPr="00CE2A26" w:rsidRDefault="00A46E9E" w:rsidP="00B811D2">
      <w:pPr>
        <w:tabs>
          <w:tab w:val="left" w:pos="425"/>
          <w:tab w:val="left" w:pos="851"/>
        </w:tabs>
        <w:spacing w:before="0"/>
        <w:ind w:left="425" w:hanging="425"/>
        <w:rPr>
          <w:b/>
          <w:szCs w:val="24"/>
        </w:rPr>
      </w:pPr>
      <w:r w:rsidRPr="00CE2A26">
        <w:rPr>
          <w:b/>
          <w:szCs w:val="24"/>
        </w:rPr>
        <w:lastRenderedPageBreak/>
        <w:t>f)</w:t>
      </w:r>
      <w:r w:rsidRPr="00CE2A26">
        <w:rPr>
          <w:b/>
          <w:szCs w:val="24"/>
        </w:rPr>
        <w:tab/>
        <w:t xml:space="preserve">prohlášení </w:t>
      </w:r>
      <w:r>
        <w:rPr>
          <w:b/>
          <w:szCs w:val="24"/>
        </w:rPr>
        <w:t xml:space="preserve">banky </w:t>
      </w:r>
      <w:r w:rsidRPr="00CE2A26">
        <w:rPr>
          <w:b/>
          <w:szCs w:val="24"/>
        </w:rPr>
        <w:t>o neexistenci propojení s</w:t>
      </w:r>
      <w:r>
        <w:rPr>
          <w:b/>
          <w:szCs w:val="24"/>
        </w:rPr>
        <w:t xml:space="preserve"> ověřovatelem </w:t>
      </w:r>
      <w:r w:rsidRPr="00CE2A26">
        <w:rPr>
          <w:b/>
        </w:rPr>
        <w:t>nebo pobočkou zahraniční banky</w:t>
      </w:r>
      <w:r w:rsidRPr="00CE2A26">
        <w:rPr>
          <w:b/>
          <w:szCs w:val="24"/>
        </w:rPr>
        <w:t>, které by bránilo provedení nestranného ověření jejího řídicího a kontrolního systému nebo jeho části.</w:t>
      </w:r>
    </w:p>
    <w:p w14:paraId="6116E8ED" w14:textId="77777777" w:rsidR="00A46E9E" w:rsidRPr="00802B96" w:rsidRDefault="00A46E9E" w:rsidP="00A46E9E">
      <w:pPr>
        <w:pStyle w:val="PZTextodstavce"/>
        <w:rPr>
          <w:b/>
          <w:szCs w:val="24"/>
        </w:rPr>
      </w:pPr>
      <w:r w:rsidRPr="00802B96">
        <w:rPr>
          <w:b/>
          <w:szCs w:val="24"/>
        </w:rPr>
        <w:t xml:space="preserve"> (3) Česká národní banka ověřovatele oznámeného podle odstavce 1 odmítne</w:t>
      </w:r>
      <w:r>
        <w:rPr>
          <w:b/>
          <w:szCs w:val="24"/>
        </w:rPr>
        <w:t xml:space="preserve"> do 30 dnů ode dne zahájení řízení</w:t>
      </w:r>
      <w:r w:rsidRPr="00802B96">
        <w:rPr>
          <w:b/>
          <w:szCs w:val="24"/>
        </w:rPr>
        <w:t>, pokud</w:t>
      </w:r>
    </w:p>
    <w:p w14:paraId="46F2ACD4" w14:textId="77777777" w:rsidR="00A46E9E" w:rsidRDefault="00A46E9E" w:rsidP="00B811D2">
      <w:pPr>
        <w:tabs>
          <w:tab w:val="left" w:pos="425"/>
          <w:tab w:val="left" w:pos="851"/>
        </w:tabs>
        <w:spacing w:before="0"/>
        <w:ind w:left="425" w:hanging="425"/>
        <w:rPr>
          <w:b/>
          <w:szCs w:val="24"/>
        </w:rPr>
      </w:pPr>
      <w:r w:rsidRPr="00802B96">
        <w:rPr>
          <w:b/>
          <w:szCs w:val="24"/>
        </w:rPr>
        <w:t>a)</w:t>
      </w:r>
      <w:r w:rsidRPr="00802B96">
        <w:rPr>
          <w:b/>
          <w:szCs w:val="24"/>
        </w:rPr>
        <w:tab/>
        <w:t xml:space="preserve">je nebo byl v posledních 2 letech před provedením ověření k bance </w:t>
      </w:r>
      <w:r w:rsidRPr="00AC1944">
        <w:rPr>
          <w:b/>
          <w:szCs w:val="24"/>
        </w:rPr>
        <w:t xml:space="preserve">nebo pobočce zahraniční banky </w:t>
      </w:r>
      <w:r w:rsidRPr="00802B96">
        <w:rPr>
          <w:b/>
          <w:szCs w:val="24"/>
        </w:rPr>
        <w:t>ve vztahu, který by mohl ovlivnit jeho nestrannost</w:t>
      </w:r>
      <w:r>
        <w:rPr>
          <w:b/>
          <w:szCs w:val="24"/>
        </w:rPr>
        <w:t>,</w:t>
      </w:r>
      <w:r w:rsidRPr="00802B96">
        <w:rPr>
          <w:b/>
          <w:szCs w:val="24"/>
        </w:rPr>
        <w:t xml:space="preserve"> </w:t>
      </w:r>
      <w:r>
        <w:rPr>
          <w:b/>
          <w:szCs w:val="24"/>
        </w:rPr>
        <w:t>nebo nesplňuje-li požadavky na nezávislost upravené zákonem upravujícím auditorskou činnost, jde-li o auditora</w:t>
      </w:r>
      <w:r w:rsidRPr="00802B96">
        <w:rPr>
          <w:b/>
          <w:szCs w:val="24"/>
        </w:rPr>
        <w:t>,</w:t>
      </w:r>
    </w:p>
    <w:p w14:paraId="66DD2DF6" w14:textId="77777777" w:rsidR="00A46E9E" w:rsidRPr="00802B96" w:rsidRDefault="00A46E9E" w:rsidP="00B811D2">
      <w:pPr>
        <w:tabs>
          <w:tab w:val="left" w:pos="425"/>
          <w:tab w:val="left" w:pos="851"/>
        </w:tabs>
        <w:spacing w:before="0"/>
        <w:ind w:left="425" w:hanging="425"/>
        <w:rPr>
          <w:b/>
          <w:szCs w:val="24"/>
        </w:rPr>
      </w:pPr>
      <w:r w:rsidRPr="00802B96">
        <w:rPr>
          <w:b/>
          <w:szCs w:val="24"/>
        </w:rPr>
        <w:t>b)</w:t>
      </w:r>
      <w:r w:rsidRPr="00802B96">
        <w:rPr>
          <w:b/>
          <w:szCs w:val="24"/>
        </w:rPr>
        <w:tab/>
        <w:t>jeho dosavadní činnost v oblasti ověření řídicího a kontrolního systému úvěrových institucí nebo jeho části nezajišťuje předpoklad řádného ověření, a to s ohledem na rozsah a složitost činností vykonávaných bankou</w:t>
      </w:r>
      <w:r w:rsidRPr="00AC1944">
        <w:rPr>
          <w:b/>
          <w:szCs w:val="24"/>
        </w:rPr>
        <w:t xml:space="preserve"> nebo pobočkou zahraniční banky</w:t>
      </w:r>
      <w:r w:rsidRPr="00802B96">
        <w:rPr>
          <w:b/>
          <w:szCs w:val="24"/>
        </w:rPr>
        <w:t>, ve které má ověření provést.</w:t>
      </w:r>
    </w:p>
    <w:p w14:paraId="4E391440" w14:textId="77777777" w:rsidR="00A46E9E" w:rsidRDefault="00A46E9E" w:rsidP="00A46E9E">
      <w:pPr>
        <w:pStyle w:val="PZTextodstavce"/>
        <w:rPr>
          <w:b/>
        </w:rPr>
      </w:pPr>
      <w:r w:rsidRPr="00802B96">
        <w:rPr>
          <w:b/>
        </w:rPr>
        <w:t>(4) Řízení o odmítnutí ověřovatele zahájí Česká národní banka do 30 dnů od</w:t>
      </w:r>
      <w:r>
        <w:rPr>
          <w:b/>
        </w:rPr>
        <w:t>e dne</w:t>
      </w:r>
      <w:r w:rsidRPr="00802B96">
        <w:rPr>
          <w:b/>
        </w:rPr>
        <w:t xml:space="preserve"> obdržení oznámení od banky </w:t>
      </w:r>
      <w:r>
        <w:rPr>
          <w:b/>
        </w:rPr>
        <w:t>nebo pobočky zahraniční banky</w:t>
      </w:r>
      <w:r w:rsidRPr="00802B96">
        <w:rPr>
          <w:b/>
        </w:rPr>
        <w:t xml:space="preserve"> podle odstavce 2. Nezahájí-li Česká národní banka řízení ve stanovené lhůtě, platí, že Česká národní banka ověřovatele neodmítla.</w:t>
      </w:r>
    </w:p>
    <w:p w14:paraId="7ECACBF0" w14:textId="77777777" w:rsidR="00A46E9E" w:rsidRPr="00802B96" w:rsidRDefault="00A46E9E" w:rsidP="00A46E9E">
      <w:pPr>
        <w:pStyle w:val="PZTextodstavce"/>
        <w:rPr>
          <w:b/>
        </w:rPr>
      </w:pPr>
      <w:r w:rsidRPr="00802B96">
        <w:rPr>
          <w:b/>
        </w:rPr>
        <w:t xml:space="preserve">(5) Pokud Česká národní banka zahájí řízení o odmítnutí ověřovatele podle odstavce 4, lhůta pro provedení ověření </w:t>
      </w:r>
      <w:r>
        <w:rPr>
          <w:b/>
        </w:rPr>
        <w:t>řídicího</w:t>
      </w:r>
      <w:r w:rsidRPr="00802B96">
        <w:rPr>
          <w:b/>
        </w:rPr>
        <w:t xml:space="preserve"> a kontrolního systému nebo jeho části podle § 22a odst. 3 se o dobu trvání tohoto řízení prodlužuje.</w:t>
      </w:r>
    </w:p>
    <w:p w14:paraId="44FEBD95" w14:textId="77777777" w:rsidR="00A46E9E" w:rsidRDefault="00A46E9E" w:rsidP="00A46E9E">
      <w:pPr>
        <w:pStyle w:val="PZTextodstavce"/>
        <w:rPr>
          <w:b/>
        </w:rPr>
      </w:pPr>
      <w:r w:rsidRPr="00802B96">
        <w:rPr>
          <w:b/>
        </w:rPr>
        <w:t>(6)</w:t>
      </w:r>
      <w:r>
        <w:rPr>
          <w:b/>
        </w:rPr>
        <w:tab/>
      </w:r>
      <w:r w:rsidRPr="00802B96">
        <w:rPr>
          <w:b/>
        </w:rPr>
        <w:t xml:space="preserve">Odmítne-li Česká národní banka vybraného ověřovatele, oznámí banka </w:t>
      </w:r>
      <w:r>
        <w:rPr>
          <w:b/>
        </w:rPr>
        <w:t>nebo pobočka zahraniční banky</w:t>
      </w:r>
      <w:r w:rsidRPr="00802B96">
        <w:rPr>
          <w:b/>
        </w:rPr>
        <w:t xml:space="preserve"> České národní bance nově vybraného ověřovatele. Na nově vybraného o</w:t>
      </w:r>
      <w:r>
        <w:rPr>
          <w:b/>
        </w:rPr>
        <w:t>věřovatele se použijí odstavce 2</w:t>
      </w:r>
      <w:r w:rsidRPr="00802B96">
        <w:rPr>
          <w:b/>
        </w:rPr>
        <w:t xml:space="preserve"> až </w:t>
      </w:r>
      <w:r>
        <w:rPr>
          <w:b/>
        </w:rPr>
        <w:t>5</w:t>
      </w:r>
      <w:r w:rsidRPr="00802B96">
        <w:rPr>
          <w:b/>
        </w:rPr>
        <w:t xml:space="preserve"> obdobně.</w:t>
      </w:r>
    </w:p>
    <w:p w14:paraId="7BBBDFA8" w14:textId="77777777" w:rsidR="00A46E9E" w:rsidRDefault="00A46E9E" w:rsidP="00A46E9E">
      <w:pPr>
        <w:rPr>
          <w:b/>
        </w:rPr>
      </w:pPr>
      <w:r>
        <w:rPr>
          <w:b/>
        </w:rPr>
        <w:t>(7) Proti rozhodnutí o odmítnutí ověřovatele není přípustný rozklad.</w:t>
      </w:r>
    </w:p>
    <w:p w14:paraId="71802AC3" w14:textId="77777777" w:rsidR="00A46E9E" w:rsidRPr="00AC1944" w:rsidRDefault="00A46E9E" w:rsidP="00A46E9E">
      <w:pPr>
        <w:pStyle w:val="Paragraf"/>
        <w:numPr>
          <w:ilvl w:val="0"/>
          <w:numId w:val="28"/>
        </w:numPr>
      </w:pPr>
      <w:r w:rsidRPr="00AC1944">
        <w:t>§ 23</w:t>
      </w:r>
    </w:p>
    <w:p w14:paraId="5CF5690F" w14:textId="77777777" w:rsidR="00A46E9E" w:rsidRPr="007F66BC" w:rsidRDefault="00A46E9E" w:rsidP="00A46E9E">
      <w:pPr>
        <w:pStyle w:val="PZTextodstavce"/>
        <w:rPr>
          <w:strike/>
        </w:rPr>
      </w:pPr>
      <w:r w:rsidRPr="007F66BC">
        <w:rPr>
          <w:strike/>
        </w:rPr>
        <w:t>(1) Banka je povinna zveřejnit do 4 měsíců od konce účetního období výroční zprávu vyhotovenou podle zvláštního právního předpisu</w:t>
      </w:r>
      <w:r w:rsidRPr="007F66BC">
        <w:rPr>
          <w:strike/>
          <w:vertAlign w:val="superscript"/>
        </w:rPr>
        <w:t>6)</w:t>
      </w:r>
      <w:r w:rsidRPr="007F66BC">
        <w:rPr>
          <w:strike/>
        </w:rPr>
        <w:t xml:space="preserve"> a konsolidovanou výroční zprávu podle zvláštního právního </w:t>
      </w:r>
      <w:proofErr w:type="gramStart"/>
      <w:r w:rsidRPr="007F66BC">
        <w:rPr>
          <w:strike/>
        </w:rPr>
        <w:t>předpisu,</w:t>
      </w:r>
      <w:r w:rsidRPr="007F66BC">
        <w:rPr>
          <w:strike/>
          <w:vertAlign w:val="superscript"/>
        </w:rPr>
        <w:t>6)</w:t>
      </w:r>
      <w:r w:rsidRPr="007F66BC">
        <w:rPr>
          <w:strike/>
        </w:rPr>
        <w:t xml:space="preserve"> má</w:t>
      </w:r>
      <w:proofErr w:type="gramEnd"/>
      <w:r w:rsidRPr="007F66BC">
        <w:rPr>
          <w:strike/>
        </w:rPr>
        <w:t>-li povinnost ji vyhotovovat, jejichž součástí je účetní závěrka ověřená auditorem. V této lhůtě rovněž předloží výroční zprávu a konsolidovanou výroční zprávu České národní bance. Pokud valná hromada banky účetní závěrku nebo konsolidovanou účetní závěrku v této lhůtě neschválí, banka bez zbytečného odkladu zveřejní a zašle České národní bance důvody neschválení účetní závěrky nebo konsolidované účetní závěrky a způsob řešení připomínek valné hromady k ní.</w:t>
      </w:r>
    </w:p>
    <w:p w14:paraId="4DCC45C8" w14:textId="77777777" w:rsidR="00A46E9E" w:rsidRPr="007F66BC" w:rsidRDefault="00A46E9E" w:rsidP="00A46E9E">
      <w:pPr>
        <w:pStyle w:val="PZTextodstavce"/>
        <w:rPr>
          <w:b/>
        </w:rPr>
      </w:pPr>
      <w:r w:rsidRPr="007F66BC">
        <w:rPr>
          <w:b/>
        </w:rPr>
        <w:t xml:space="preserve">(1) Banka zveřejní </w:t>
      </w:r>
      <w:r>
        <w:rPr>
          <w:b/>
        </w:rPr>
        <w:t>řádnou účetní závěrku, zprávy podle zákona upravujícího účetnictví, jsou-li vyhotovovány, a zprávy o jejich ověření, jsou-li ověřovány,</w:t>
      </w:r>
      <w:r w:rsidRPr="007F66BC">
        <w:rPr>
          <w:b/>
        </w:rPr>
        <w:t xml:space="preserve"> do 4 měsíců od </w:t>
      </w:r>
      <w:r>
        <w:rPr>
          <w:b/>
        </w:rPr>
        <w:t>konce účetního období</w:t>
      </w:r>
      <w:r w:rsidRPr="007F66BC">
        <w:rPr>
          <w:b/>
        </w:rPr>
        <w:t xml:space="preserve">. V této lhůtě banka rovněž uveřejní </w:t>
      </w:r>
      <w:r>
        <w:rPr>
          <w:b/>
        </w:rPr>
        <w:t xml:space="preserve">tyto dokumenty </w:t>
      </w:r>
      <w:r w:rsidRPr="007F66BC">
        <w:rPr>
          <w:b/>
        </w:rPr>
        <w:t>na svých internetových stránkách. Pokud valná hromada banky řádnou účetní závěrku v této lhůtě neschválí, banka</w:t>
      </w:r>
      <w:r>
        <w:rPr>
          <w:b/>
        </w:rPr>
        <w:t xml:space="preserve"> zveřejní a uveřejní </w:t>
      </w:r>
      <w:r w:rsidRPr="007F66BC">
        <w:rPr>
          <w:b/>
        </w:rPr>
        <w:t>informaci</w:t>
      </w:r>
      <w:r>
        <w:rPr>
          <w:b/>
        </w:rPr>
        <w:t xml:space="preserve"> o jejím neschválení společně s důvody jejího neschválení</w:t>
      </w:r>
      <w:r w:rsidRPr="007F66BC">
        <w:rPr>
          <w:b/>
        </w:rPr>
        <w:t xml:space="preserve"> </w:t>
      </w:r>
      <w:r>
        <w:rPr>
          <w:b/>
        </w:rPr>
        <w:t xml:space="preserve">a </w:t>
      </w:r>
      <w:r w:rsidRPr="007F66BC">
        <w:rPr>
          <w:b/>
        </w:rPr>
        <w:t>způsob</w:t>
      </w:r>
      <w:r>
        <w:rPr>
          <w:b/>
        </w:rPr>
        <w:t>em</w:t>
      </w:r>
      <w:r w:rsidRPr="007F66BC">
        <w:rPr>
          <w:b/>
        </w:rPr>
        <w:t xml:space="preserve"> řešení připomínek valné hromady k ní.</w:t>
      </w:r>
    </w:p>
    <w:p w14:paraId="309DE1A0" w14:textId="77777777" w:rsidR="00A46E9E" w:rsidRDefault="00A46E9E" w:rsidP="00A46E9E">
      <w:pPr>
        <w:pStyle w:val="PZTextodstavce"/>
      </w:pPr>
      <w:r w:rsidRPr="00E01D3E">
        <w:t xml:space="preserve"> </w:t>
      </w:r>
      <w:r>
        <w:t>(2)</w:t>
      </w:r>
      <w:r>
        <w:tab/>
      </w:r>
      <w:r>
        <w:tab/>
        <w:t>V</w:t>
      </w:r>
      <w:r w:rsidRPr="00E01D3E">
        <w:t xml:space="preserve">ykáže-li banka ztrátu, je valná hromada povinna rozhodnout při schvalování </w:t>
      </w:r>
      <w:r w:rsidRPr="00783FFA">
        <w:rPr>
          <w:b/>
        </w:rPr>
        <w:t>řádné individuální</w:t>
      </w:r>
      <w:r w:rsidRPr="00C54F9C">
        <w:t xml:space="preserve"> účetní závěrky za příslušné </w:t>
      </w:r>
      <w:r>
        <w:rPr>
          <w:b/>
        </w:rPr>
        <w:t xml:space="preserve">individuální </w:t>
      </w:r>
      <w:r w:rsidRPr="00C54F9C">
        <w:rPr>
          <w:b/>
        </w:rPr>
        <w:t xml:space="preserve">účetní </w:t>
      </w:r>
      <w:r w:rsidRPr="00C54F9C">
        <w:t xml:space="preserve">období o úhradě této ztráty z vlastních zdrojů </w:t>
      </w:r>
      <w:r w:rsidRPr="00E01D3E">
        <w:t>banky. Úhradu ztráty banka provede bez zbytečného odkladu po rozhodnutí valné hromady.</w:t>
      </w:r>
    </w:p>
    <w:p w14:paraId="33E5740B" w14:textId="77777777" w:rsidR="00A46E9E" w:rsidRPr="00A31FE1" w:rsidRDefault="00A46E9E" w:rsidP="00A46E9E">
      <w:pPr>
        <w:pStyle w:val="Paragraf"/>
        <w:numPr>
          <w:ilvl w:val="0"/>
          <w:numId w:val="28"/>
        </w:numPr>
        <w:rPr>
          <w:b/>
        </w:rPr>
      </w:pPr>
      <w:r w:rsidRPr="00A31FE1">
        <w:rPr>
          <w:b/>
        </w:rPr>
        <w:lastRenderedPageBreak/>
        <w:t xml:space="preserve">§ 23a </w:t>
      </w:r>
    </w:p>
    <w:p w14:paraId="04A19753" w14:textId="77777777" w:rsidR="00A46E9E" w:rsidRPr="00A31FE1" w:rsidRDefault="00A46E9E" w:rsidP="00A46E9E">
      <w:pPr>
        <w:pStyle w:val="Nadpisparagrafu"/>
      </w:pPr>
      <w:r>
        <w:t>Uveřejňování poboček zahraničních bank</w:t>
      </w:r>
    </w:p>
    <w:p w14:paraId="46371003" w14:textId="77777777" w:rsidR="00A46E9E" w:rsidRPr="00DF6D0C" w:rsidRDefault="00A46E9E" w:rsidP="00A46E9E">
      <w:pPr>
        <w:pStyle w:val="PZTextodstavce"/>
        <w:rPr>
          <w:b/>
        </w:rPr>
      </w:pPr>
      <w:r w:rsidRPr="00DF6D0C">
        <w:rPr>
          <w:b/>
        </w:rPr>
        <w:t xml:space="preserve"> (1) Pobočka zahraniční banky uveřejní řádnou účetní závěrku zahraniční banky, jejíž je součástí, zprávu vedení této zahraniční banky, je-li vyhotovována, a zprávy o ověření těchto dokumentů, jsou-li ověřovány, a to na </w:t>
      </w:r>
      <w:r>
        <w:rPr>
          <w:b/>
        </w:rPr>
        <w:t>svých internetových stránkách</w:t>
      </w:r>
      <w:r w:rsidRPr="00DF6D0C">
        <w:rPr>
          <w:b/>
        </w:rPr>
        <w:t xml:space="preserve"> bez zbytečného odkladu po jejich zpřístupnění zahraniční bankou podle právní úpravy ve státě, ve kterém má sídlo.</w:t>
      </w:r>
    </w:p>
    <w:p w14:paraId="496E1A28" w14:textId="77777777" w:rsidR="00A46E9E" w:rsidRDefault="00A46E9E" w:rsidP="00A46E9E">
      <w:pPr>
        <w:pStyle w:val="PZTextodstavce"/>
        <w:rPr>
          <w:b/>
        </w:rPr>
      </w:pPr>
      <w:r w:rsidRPr="00A31FE1">
        <w:rPr>
          <w:b/>
        </w:rPr>
        <w:t>(2) Pobočka zahraniční banky uveřejní překlad řádné individuální účetní závěrky zahraniční banky, jejíž je součástí, a zprávy o jejím ověření, je-li ověřována, v českém nebo anglickém jazyce, a to na svých internetových stránkách bez zbytečného odkladu poté, co zahraniční banka svoji účetní závěrku zpřístupní podle právní úpravy ve státě, ve kterém má sídlo. Jsou-li řádná individuální účetní závěrka zahraniční banky a zpráva o jejím ověření, je-li ověřována, ve slovenském jazyce, jejich překlad do českého nebo anglického jazyka nemusí být uveřejněn.</w:t>
      </w:r>
    </w:p>
    <w:p w14:paraId="1FEE4CEC" w14:textId="77777777" w:rsidR="00A46E9E" w:rsidRPr="00A31FE1" w:rsidRDefault="00A46E9E" w:rsidP="00A46E9E">
      <w:pPr>
        <w:pStyle w:val="PZTextodstavce"/>
        <w:rPr>
          <w:b/>
        </w:rPr>
      </w:pPr>
      <w:r>
        <w:rPr>
          <w:b/>
        </w:rPr>
        <w:t xml:space="preserve"> (3) Pokud valná hromada nebo obdobný orgán zahraniční banky, jejíž je pobočka zahraniční banky součástí, neschválí řádnou účetní závěrku zahraniční banky ve lhůtě pro její zpřístupnění podle právní úpravy ve státě, ve kterém má zahraniční banka sídlo, pobočka zahraniční </w:t>
      </w:r>
      <w:r w:rsidRPr="007F66BC">
        <w:rPr>
          <w:b/>
        </w:rPr>
        <w:t>bank</w:t>
      </w:r>
      <w:r>
        <w:rPr>
          <w:b/>
        </w:rPr>
        <w:t>y</w:t>
      </w:r>
      <w:r w:rsidRPr="007F66BC">
        <w:rPr>
          <w:b/>
        </w:rPr>
        <w:t xml:space="preserve"> společně s</w:t>
      </w:r>
      <w:r>
        <w:rPr>
          <w:b/>
        </w:rPr>
        <w:t> touto účetní závěrkou</w:t>
      </w:r>
      <w:r w:rsidRPr="007F66BC">
        <w:rPr>
          <w:b/>
        </w:rPr>
        <w:t xml:space="preserve"> </w:t>
      </w:r>
      <w:r>
        <w:rPr>
          <w:b/>
        </w:rPr>
        <w:t xml:space="preserve">uveřejní na svých internetových stránkách informaci o neschválení této účetní závěrky společně s důvody jejího </w:t>
      </w:r>
      <w:r w:rsidRPr="00A54912">
        <w:rPr>
          <w:b/>
        </w:rPr>
        <w:t>neschválení a</w:t>
      </w:r>
      <w:r w:rsidRPr="007F66BC">
        <w:rPr>
          <w:b/>
        </w:rPr>
        <w:t xml:space="preserve"> způsob</w:t>
      </w:r>
      <w:r>
        <w:rPr>
          <w:b/>
        </w:rPr>
        <w:t>em</w:t>
      </w:r>
      <w:r w:rsidRPr="007F66BC">
        <w:rPr>
          <w:b/>
        </w:rPr>
        <w:t xml:space="preserve"> řešení připomínek valné hromady</w:t>
      </w:r>
      <w:r>
        <w:rPr>
          <w:b/>
        </w:rPr>
        <w:t xml:space="preserve"> nebo obdobného orgánu </w:t>
      </w:r>
      <w:r w:rsidRPr="007F66BC">
        <w:rPr>
          <w:b/>
        </w:rPr>
        <w:t>k</w:t>
      </w:r>
      <w:r>
        <w:rPr>
          <w:b/>
        </w:rPr>
        <w:t> </w:t>
      </w:r>
      <w:r w:rsidRPr="007F66BC">
        <w:rPr>
          <w:b/>
        </w:rPr>
        <w:t>ní</w:t>
      </w:r>
      <w:r>
        <w:rPr>
          <w:b/>
        </w:rPr>
        <w:t>.</w:t>
      </w:r>
    </w:p>
    <w:p w14:paraId="1409ABCA" w14:textId="77777777" w:rsidR="00A46E9E" w:rsidRDefault="00A46E9E" w:rsidP="00A46E9E">
      <w:pPr>
        <w:pStyle w:val="Paragraf"/>
        <w:numPr>
          <w:ilvl w:val="0"/>
          <w:numId w:val="28"/>
        </w:numPr>
        <w:spacing w:before="120"/>
      </w:pPr>
      <w:r>
        <w:t>***</w:t>
      </w:r>
    </w:p>
    <w:p w14:paraId="521024BF" w14:textId="77777777" w:rsidR="00A46E9E" w:rsidRPr="00783FFA" w:rsidRDefault="00A46E9E" w:rsidP="00A46E9E">
      <w:pPr>
        <w:pStyle w:val="Paragraf"/>
        <w:numPr>
          <w:ilvl w:val="0"/>
          <w:numId w:val="28"/>
        </w:numPr>
      </w:pPr>
      <w:r w:rsidRPr="00783FFA">
        <w:t>§ 25a</w:t>
      </w:r>
    </w:p>
    <w:p w14:paraId="505E8E59" w14:textId="77777777" w:rsidR="00A46E9E" w:rsidRPr="004449D0" w:rsidRDefault="00A46E9E" w:rsidP="00A46E9E">
      <w:pPr>
        <w:pStyle w:val="PZTextodstavce"/>
      </w:pPr>
      <w:r w:rsidRPr="004449D0">
        <w:t>(1)</w:t>
      </w:r>
      <w:r>
        <w:tab/>
      </w:r>
      <w:r w:rsidRPr="004449D0">
        <w:t>Všechny osoby provádějící dohled jsou povinny zachovávat mlčenlivost o všech údajích získaných v souvislosti s výkonem svého povolání, zaměstnání nebo funkce. Mohou poskytovat třetím osobám pouze informace v souhrnné podobě, u nichž nelze identifikovat, o kterou konkrétní banku či osobu se jedná. Povinnost mlčenlivosti trvá i po skončení po</w:t>
      </w:r>
      <w:r>
        <w:t>volání, zaměstnání nebo funkce.</w:t>
      </w:r>
    </w:p>
    <w:p w14:paraId="5687D9CD" w14:textId="77777777" w:rsidR="00A46E9E" w:rsidRPr="004449D0" w:rsidRDefault="00A46E9E" w:rsidP="00A46E9E">
      <w:pPr>
        <w:pStyle w:val="PZTextodstavce"/>
      </w:pPr>
      <w:r>
        <w:t>(2)</w:t>
      </w:r>
      <w:r>
        <w:tab/>
      </w:r>
      <w:r w:rsidRPr="004449D0">
        <w:t>Informace získané při výkonu své pravomoci mohou osoby uvedené v odstavci 1 použít pouze k plnění úkolů dohledu nebo v soudním řízení, vedeném v souvislosti s rozhodnutím nebo výkonem bankovního dohledu, nebo v obdobném ří</w:t>
      </w:r>
      <w:r>
        <w:t>zení před mezinárodním orgánem.</w:t>
      </w:r>
    </w:p>
    <w:p w14:paraId="34BB75C6" w14:textId="77777777" w:rsidR="00A46E9E" w:rsidRPr="00783FFA" w:rsidRDefault="00A46E9E" w:rsidP="00A46E9E">
      <w:pPr>
        <w:pStyle w:val="PZTextodstavce"/>
        <w:rPr>
          <w:szCs w:val="24"/>
        </w:rPr>
      </w:pPr>
      <w:r w:rsidRPr="00783FFA">
        <w:rPr>
          <w:szCs w:val="24"/>
        </w:rPr>
        <w:t>(3)</w:t>
      </w:r>
      <w:r w:rsidRPr="00783FFA">
        <w:rPr>
          <w:szCs w:val="24"/>
        </w:rPr>
        <w:tab/>
        <w:t>Za porušení povinnosti mlčenlivosti se při dodržení zákonných podmínek nepovažuje</w:t>
      </w:r>
    </w:p>
    <w:p w14:paraId="16A200C7" w14:textId="77777777" w:rsidR="00A46E9E" w:rsidRPr="004449D0" w:rsidRDefault="00A46E9E" w:rsidP="00B811D2">
      <w:pPr>
        <w:pStyle w:val="PZTextpsmene"/>
        <w:spacing w:before="0"/>
        <w:rPr>
          <w:szCs w:val="24"/>
        </w:rPr>
      </w:pPr>
      <w:r w:rsidRPr="004449D0">
        <w:rPr>
          <w:szCs w:val="24"/>
        </w:rPr>
        <w:t xml:space="preserve">a) </w:t>
      </w:r>
      <w:r>
        <w:rPr>
          <w:szCs w:val="24"/>
        </w:rPr>
        <w:tab/>
      </w:r>
      <w:r w:rsidRPr="004449D0">
        <w:rPr>
          <w:szCs w:val="24"/>
        </w:rPr>
        <w:t>poskytnutí informací získaných v souvislosti s výkonem dohledu nebo doplňkového dohledu nad osobami ve finančním konglomerátu</w:t>
      </w:r>
      <w:r>
        <w:rPr>
          <w:rStyle w:val="Znakapoznpodarou"/>
          <w:szCs w:val="24"/>
        </w:rPr>
        <w:footnoteReference w:customMarkFollows="1" w:id="97"/>
        <w:t>6d)</w:t>
      </w:r>
      <w:r w:rsidRPr="00783FFA">
        <w:rPr>
          <w:szCs w:val="24"/>
        </w:rPr>
        <w:t xml:space="preserve"> </w:t>
      </w:r>
      <w:r w:rsidRPr="004449D0">
        <w:rPr>
          <w:szCs w:val="24"/>
        </w:rPr>
        <w:t>orgánu dohledu nad bankami, finančními institucemi nebo finančními trhy v jiném státě nebo orgánu příslušnému k řešení krize,</w:t>
      </w:r>
    </w:p>
    <w:p w14:paraId="60048F95" w14:textId="77777777" w:rsidR="00A46E9E" w:rsidRPr="004449D0" w:rsidRDefault="00A46E9E" w:rsidP="00B811D2">
      <w:pPr>
        <w:pStyle w:val="PZTextpsmene"/>
        <w:spacing w:before="0"/>
        <w:rPr>
          <w:szCs w:val="24"/>
        </w:rPr>
      </w:pPr>
      <w:r w:rsidRPr="004449D0">
        <w:rPr>
          <w:szCs w:val="24"/>
        </w:rPr>
        <w:t xml:space="preserve">b) </w:t>
      </w:r>
      <w:r>
        <w:rPr>
          <w:szCs w:val="24"/>
        </w:rPr>
        <w:tab/>
      </w:r>
      <w:r w:rsidRPr="004449D0">
        <w:rPr>
          <w:szCs w:val="24"/>
        </w:rPr>
        <w:t xml:space="preserve">poskytnutí informací Ministerstvu financí pro účely výkonu kontroly dodržování podmínek pro poskytování příspěvku fyzickým osobám podle zákona upravujícího stavební spoření </w:t>
      </w:r>
      <w:r w:rsidRPr="004449D0">
        <w:rPr>
          <w:szCs w:val="24"/>
        </w:rPr>
        <w:lastRenderedPageBreak/>
        <w:t>nebo pro účely řešení krize podle zákona upravujícího ozdravné postupy a řešení krize na finančním trhu,</w:t>
      </w:r>
    </w:p>
    <w:p w14:paraId="2A05374C" w14:textId="77777777" w:rsidR="00A46E9E" w:rsidRPr="004449D0" w:rsidRDefault="00A46E9E" w:rsidP="00B811D2">
      <w:pPr>
        <w:pStyle w:val="PZTextpsmene"/>
        <w:spacing w:before="0"/>
        <w:rPr>
          <w:szCs w:val="24"/>
        </w:rPr>
      </w:pPr>
      <w:r w:rsidRPr="004449D0">
        <w:rPr>
          <w:szCs w:val="24"/>
        </w:rPr>
        <w:t xml:space="preserve">c) </w:t>
      </w:r>
      <w:r>
        <w:rPr>
          <w:szCs w:val="24"/>
        </w:rPr>
        <w:tab/>
      </w:r>
      <w:r w:rsidRPr="004449D0">
        <w:rPr>
          <w:szCs w:val="24"/>
        </w:rPr>
        <w:t>poskytnutí informace získané při výkonu dohledu pracovníkům České národní banky, kteří spolupůsobí při výkonu dohledu nad finančním trhem, na řešení krize nebo při výkonu správního dozoru nad plněním povinností podle zákona upravujícího opatření proti legalizaci výnosů z trestné činnosti a financování terorismu, pro plnění jejich úkolů,</w:t>
      </w:r>
    </w:p>
    <w:p w14:paraId="2527353A" w14:textId="77777777" w:rsidR="00A46E9E" w:rsidRPr="004449D0" w:rsidRDefault="00A46E9E" w:rsidP="00B811D2">
      <w:pPr>
        <w:pStyle w:val="PZTextpsmene"/>
        <w:spacing w:before="0"/>
        <w:rPr>
          <w:szCs w:val="24"/>
        </w:rPr>
      </w:pPr>
      <w:r>
        <w:rPr>
          <w:szCs w:val="24"/>
        </w:rPr>
        <w:t>d)</w:t>
      </w:r>
      <w:r>
        <w:rPr>
          <w:szCs w:val="24"/>
        </w:rPr>
        <w:tab/>
      </w:r>
      <w:r w:rsidRPr="004449D0">
        <w:rPr>
          <w:szCs w:val="24"/>
        </w:rPr>
        <w:t>uveřejnění výsledku zátěžových testů provedených podle § 25d odst. 2 nebo podle přímo použitelného předpisu Evropské unie upravujícího dohled nad finančním trhem v oblasti bankovnictví a</w:t>
      </w:r>
    </w:p>
    <w:p w14:paraId="6C31CB02" w14:textId="77777777" w:rsidR="00A46E9E" w:rsidRPr="00783FFA" w:rsidRDefault="00A46E9E" w:rsidP="00B811D2">
      <w:pPr>
        <w:pStyle w:val="PZTextpsmene"/>
        <w:spacing w:before="0"/>
        <w:rPr>
          <w:szCs w:val="24"/>
        </w:rPr>
      </w:pPr>
      <w:r w:rsidRPr="004449D0">
        <w:rPr>
          <w:szCs w:val="24"/>
        </w:rPr>
        <w:t xml:space="preserve">e) </w:t>
      </w:r>
      <w:r>
        <w:rPr>
          <w:szCs w:val="24"/>
        </w:rPr>
        <w:tab/>
      </w:r>
      <w:r w:rsidRPr="004449D0">
        <w:rPr>
          <w:szCs w:val="24"/>
        </w:rPr>
        <w:t>poskytnutí informací Evropskému parlamentu pro účely výkonu vyšetřovacích pravomocí podle čl. 226 Smlouvy o fungování Evropské unie.</w:t>
      </w:r>
    </w:p>
    <w:p w14:paraId="4D45FCDE" w14:textId="77777777" w:rsidR="00A46E9E" w:rsidRPr="004449D0" w:rsidRDefault="00A46E9E" w:rsidP="00A46E9E">
      <w:pPr>
        <w:pStyle w:val="PZTextodstavce"/>
      </w:pPr>
      <w:r w:rsidRPr="004449D0">
        <w:t>(4) Za porušení povinnosti mlčenlivosti se při dodržení zákonných podmínek nepovažuje poskytnutí informací získaných v souvislosti s výkonem dohledu veřejným orgánům a dalším osobám v České republice, jsou-li informace poskytovány pr</w:t>
      </w:r>
      <w:r>
        <w:t>o plnění jejich funkce,</w:t>
      </w:r>
    </w:p>
    <w:p w14:paraId="1102B548" w14:textId="77777777" w:rsidR="00A46E9E" w:rsidRPr="004449D0" w:rsidRDefault="00A46E9E" w:rsidP="00B811D2">
      <w:pPr>
        <w:pStyle w:val="PZTextpsmene"/>
        <w:spacing w:before="0"/>
        <w:rPr>
          <w:szCs w:val="24"/>
        </w:rPr>
      </w:pPr>
      <w:r w:rsidRPr="004449D0">
        <w:rPr>
          <w:szCs w:val="24"/>
        </w:rPr>
        <w:t xml:space="preserve">a) </w:t>
      </w:r>
      <w:r>
        <w:rPr>
          <w:szCs w:val="24"/>
        </w:rPr>
        <w:tab/>
      </w:r>
      <w:r w:rsidRPr="004449D0">
        <w:rPr>
          <w:szCs w:val="24"/>
        </w:rPr>
        <w:t>orgánů působících při likvidaci nebo úpadku u banky nebo finanční instituce,</w:t>
      </w:r>
    </w:p>
    <w:p w14:paraId="2FF13C76" w14:textId="77777777" w:rsidR="00A46E9E" w:rsidRPr="004449D0" w:rsidRDefault="00A46E9E" w:rsidP="00B811D2">
      <w:pPr>
        <w:pStyle w:val="PZTextpsmene"/>
        <w:spacing w:before="0"/>
        <w:rPr>
          <w:szCs w:val="24"/>
        </w:rPr>
      </w:pPr>
      <w:r w:rsidRPr="004449D0">
        <w:rPr>
          <w:szCs w:val="24"/>
        </w:rPr>
        <w:t xml:space="preserve">b) </w:t>
      </w:r>
      <w:r>
        <w:rPr>
          <w:szCs w:val="24"/>
        </w:rPr>
        <w:tab/>
      </w:r>
      <w:r w:rsidRPr="004449D0">
        <w:rPr>
          <w:szCs w:val="24"/>
        </w:rPr>
        <w:t>dohledu nad orgánem podle písmene a),</w:t>
      </w:r>
    </w:p>
    <w:p w14:paraId="54A94246" w14:textId="77777777" w:rsidR="00A46E9E" w:rsidRPr="004449D0" w:rsidRDefault="00A46E9E" w:rsidP="00B811D2">
      <w:pPr>
        <w:pStyle w:val="PZTextpsmene"/>
        <w:spacing w:before="0"/>
        <w:rPr>
          <w:szCs w:val="24"/>
        </w:rPr>
      </w:pPr>
      <w:r w:rsidRPr="004449D0">
        <w:rPr>
          <w:szCs w:val="24"/>
        </w:rPr>
        <w:t xml:space="preserve">c) </w:t>
      </w:r>
      <w:r>
        <w:rPr>
          <w:szCs w:val="24"/>
        </w:rPr>
        <w:tab/>
      </w:r>
      <w:r w:rsidRPr="004449D0">
        <w:rPr>
          <w:szCs w:val="24"/>
        </w:rPr>
        <w:t xml:space="preserve">auditora </w:t>
      </w:r>
      <w:r w:rsidRPr="00B62C61">
        <w:rPr>
          <w:strike/>
          <w:szCs w:val="24"/>
        </w:rPr>
        <w:t>zákonem stanovené účetní závěrky</w:t>
      </w:r>
      <w:r w:rsidRPr="004449D0">
        <w:rPr>
          <w:szCs w:val="24"/>
        </w:rPr>
        <w:t xml:space="preserve"> </w:t>
      </w:r>
      <w:r w:rsidRPr="00B62C61">
        <w:rPr>
          <w:b/>
          <w:szCs w:val="24"/>
        </w:rPr>
        <w:t xml:space="preserve">provádějícího </w:t>
      </w:r>
      <w:r w:rsidRPr="00137262">
        <w:rPr>
          <w:b/>
          <w:szCs w:val="24"/>
        </w:rPr>
        <w:t>povinný audit</w:t>
      </w:r>
      <w:r>
        <w:rPr>
          <w:szCs w:val="24"/>
        </w:rPr>
        <w:t xml:space="preserve"> </w:t>
      </w:r>
      <w:r w:rsidRPr="004449D0">
        <w:rPr>
          <w:szCs w:val="24"/>
        </w:rPr>
        <w:t>banky nebo finanční instituce,</w:t>
      </w:r>
    </w:p>
    <w:p w14:paraId="7C60553D" w14:textId="77777777" w:rsidR="00A46E9E" w:rsidRPr="002B1878" w:rsidRDefault="00A46E9E" w:rsidP="00B811D2">
      <w:pPr>
        <w:pStyle w:val="PZTextpsmene"/>
        <w:spacing w:before="0"/>
        <w:rPr>
          <w:szCs w:val="24"/>
        </w:rPr>
      </w:pPr>
      <w:r w:rsidRPr="004449D0">
        <w:rPr>
          <w:szCs w:val="24"/>
        </w:rPr>
        <w:t xml:space="preserve">d) </w:t>
      </w:r>
      <w:r>
        <w:rPr>
          <w:szCs w:val="24"/>
        </w:rPr>
        <w:tab/>
      </w:r>
      <w:r w:rsidRPr="004449D0">
        <w:rPr>
          <w:szCs w:val="24"/>
        </w:rPr>
        <w:t xml:space="preserve">dohledu nad auditorem </w:t>
      </w:r>
      <w:r w:rsidRPr="00B62C61">
        <w:rPr>
          <w:strike/>
          <w:szCs w:val="24"/>
        </w:rPr>
        <w:t>stanovené účetní závěrky</w:t>
      </w:r>
      <w:r w:rsidRPr="004449D0">
        <w:rPr>
          <w:szCs w:val="24"/>
        </w:rPr>
        <w:t xml:space="preserve"> </w:t>
      </w:r>
      <w:r w:rsidRPr="00B62C61">
        <w:rPr>
          <w:b/>
          <w:szCs w:val="24"/>
        </w:rPr>
        <w:t>provádějící</w:t>
      </w:r>
      <w:r>
        <w:rPr>
          <w:b/>
          <w:szCs w:val="24"/>
        </w:rPr>
        <w:t>m</w:t>
      </w:r>
      <w:r w:rsidRPr="00B62C61">
        <w:rPr>
          <w:b/>
          <w:szCs w:val="24"/>
        </w:rPr>
        <w:t xml:space="preserve"> </w:t>
      </w:r>
      <w:r w:rsidRPr="00137262">
        <w:rPr>
          <w:b/>
          <w:szCs w:val="24"/>
        </w:rPr>
        <w:t>povinný audit</w:t>
      </w:r>
      <w:r>
        <w:rPr>
          <w:szCs w:val="24"/>
        </w:rPr>
        <w:t xml:space="preserve"> </w:t>
      </w:r>
      <w:r w:rsidRPr="004449D0">
        <w:rPr>
          <w:szCs w:val="24"/>
        </w:rPr>
        <w:t>banky nebo finanční instituce,</w:t>
      </w:r>
    </w:p>
    <w:p w14:paraId="16B2EEE3" w14:textId="77777777" w:rsidR="00A46E9E" w:rsidRPr="004449D0" w:rsidRDefault="00A46E9E" w:rsidP="00B811D2">
      <w:pPr>
        <w:pStyle w:val="PZTextpsmene"/>
        <w:spacing w:before="0"/>
        <w:rPr>
          <w:szCs w:val="24"/>
        </w:rPr>
      </w:pPr>
      <w:r w:rsidRPr="002B1878">
        <w:rPr>
          <w:szCs w:val="24"/>
        </w:rPr>
        <w:t>e</w:t>
      </w:r>
      <w:r w:rsidRPr="004449D0">
        <w:rPr>
          <w:szCs w:val="24"/>
        </w:rPr>
        <w:t xml:space="preserve">) </w:t>
      </w:r>
      <w:r>
        <w:rPr>
          <w:szCs w:val="24"/>
        </w:rPr>
        <w:tab/>
      </w:r>
      <w:r w:rsidRPr="004449D0">
        <w:rPr>
          <w:szCs w:val="24"/>
        </w:rPr>
        <w:t>dohledu nad dodržováním práva obchodních společností,</w:t>
      </w:r>
    </w:p>
    <w:p w14:paraId="69833954" w14:textId="77777777" w:rsidR="00A46E9E" w:rsidRPr="004449D0" w:rsidRDefault="00A46E9E" w:rsidP="00B811D2">
      <w:pPr>
        <w:pStyle w:val="PZTextpsmene"/>
        <w:spacing w:before="0"/>
        <w:rPr>
          <w:szCs w:val="24"/>
        </w:rPr>
      </w:pPr>
      <w:r w:rsidRPr="002B1878">
        <w:rPr>
          <w:szCs w:val="24"/>
        </w:rPr>
        <w:t>f</w:t>
      </w:r>
      <w:r w:rsidRPr="004449D0">
        <w:rPr>
          <w:szCs w:val="24"/>
        </w:rPr>
        <w:t xml:space="preserve">) </w:t>
      </w:r>
      <w:r>
        <w:rPr>
          <w:szCs w:val="24"/>
        </w:rPr>
        <w:tab/>
      </w:r>
      <w:r w:rsidRPr="004449D0">
        <w:rPr>
          <w:szCs w:val="24"/>
        </w:rPr>
        <w:t>boje proti legalizaci výnosů z trestné činnosti a financování terorismu nebo provádění mezinárodních sankcí za účelem udržování mezinárodního míru a bezpečnosti, ochrany základních lidských práv a boje proti terorismu,</w:t>
      </w:r>
    </w:p>
    <w:p w14:paraId="6A3B3490" w14:textId="77777777" w:rsidR="00A46E9E" w:rsidRPr="004449D0" w:rsidRDefault="00A46E9E" w:rsidP="00B811D2">
      <w:pPr>
        <w:pStyle w:val="PZTextpsmene"/>
        <w:spacing w:before="0"/>
        <w:rPr>
          <w:szCs w:val="24"/>
        </w:rPr>
      </w:pPr>
      <w:r w:rsidRPr="002B1878">
        <w:rPr>
          <w:szCs w:val="24"/>
        </w:rPr>
        <w:t>g</w:t>
      </w:r>
      <w:r w:rsidRPr="004449D0">
        <w:rPr>
          <w:szCs w:val="24"/>
        </w:rPr>
        <w:t xml:space="preserve">) </w:t>
      </w:r>
      <w:r>
        <w:rPr>
          <w:szCs w:val="24"/>
        </w:rPr>
        <w:tab/>
      </w:r>
      <w:r w:rsidRPr="004449D0">
        <w:rPr>
          <w:szCs w:val="24"/>
        </w:rPr>
        <w:t>dohledu nad platebními nebo vypořádacími systémy,</w:t>
      </w:r>
    </w:p>
    <w:p w14:paraId="7C5C6B79" w14:textId="77777777" w:rsidR="00A46E9E" w:rsidRPr="004449D0" w:rsidRDefault="00A46E9E" w:rsidP="00B811D2">
      <w:pPr>
        <w:pStyle w:val="PZTextpsmene"/>
        <w:spacing w:before="0"/>
        <w:rPr>
          <w:szCs w:val="24"/>
        </w:rPr>
      </w:pPr>
      <w:r w:rsidRPr="002B1878">
        <w:rPr>
          <w:szCs w:val="24"/>
        </w:rPr>
        <w:t>h</w:t>
      </w:r>
      <w:r w:rsidRPr="004449D0">
        <w:rPr>
          <w:szCs w:val="24"/>
        </w:rPr>
        <w:t xml:space="preserve">) </w:t>
      </w:r>
      <w:r>
        <w:rPr>
          <w:szCs w:val="24"/>
        </w:rPr>
        <w:tab/>
      </w:r>
      <w:r w:rsidRPr="004449D0">
        <w:rPr>
          <w:szCs w:val="24"/>
        </w:rPr>
        <w:t>provozovatele platebního nebo vypořádacího systému,</w:t>
      </w:r>
    </w:p>
    <w:p w14:paraId="00940822" w14:textId="77777777" w:rsidR="00A46E9E" w:rsidRPr="004449D0" w:rsidRDefault="00A46E9E" w:rsidP="00B811D2">
      <w:pPr>
        <w:pStyle w:val="PZTextpsmene"/>
        <w:spacing w:before="0"/>
        <w:rPr>
          <w:szCs w:val="24"/>
        </w:rPr>
      </w:pPr>
      <w:r w:rsidRPr="002B1878">
        <w:rPr>
          <w:szCs w:val="24"/>
        </w:rPr>
        <w:t>i</w:t>
      </w:r>
      <w:r w:rsidRPr="004449D0">
        <w:rPr>
          <w:szCs w:val="24"/>
        </w:rPr>
        <w:t xml:space="preserve">) </w:t>
      </w:r>
      <w:r>
        <w:rPr>
          <w:szCs w:val="24"/>
        </w:rPr>
        <w:tab/>
      </w:r>
      <w:r w:rsidRPr="004449D0">
        <w:rPr>
          <w:szCs w:val="24"/>
        </w:rPr>
        <w:t>orgánu činného v trestním řízení,</w:t>
      </w:r>
    </w:p>
    <w:p w14:paraId="4A08A78A" w14:textId="77777777" w:rsidR="00A46E9E" w:rsidRPr="004449D0" w:rsidRDefault="00A46E9E" w:rsidP="00B811D2">
      <w:pPr>
        <w:pStyle w:val="PZTextpsmene"/>
        <w:spacing w:before="0"/>
        <w:rPr>
          <w:szCs w:val="24"/>
        </w:rPr>
      </w:pPr>
      <w:r w:rsidRPr="002B1878">
        <w:rPr>
          <w:szCs w:val="24"/>
        </w:rPr>
        <w:t>j</w:t>
      </w:r>
      <w:r w:rsidRPr="004449D0">
        <w:rPr>
          <w:szCs w:val="24"/>
        </w:rPr>
        <w:t xml:space="preserve">) </w:t>
      </w:r>
      <w:r>
        <w:rPr>
          <w:szCs w:val="24"/>
        </w:rPr>
        <w:tab/>
      </w:r>
      <w:r w:rsidRPr="004449D0">
        <w:rPr>
          <w:szCs w:val="24"/>
        </w:rPr>
        <w:t>České národní banky jako ústřední banky České republiky a orgánu vykonávajícímu dohled nad finančním trhem,</w:t>
      </w:r>
    </w:p>
    <w:p w14:paraId="491032E6" w14:textId="77777777" w:rsidR="00A46E9E" w:rsidRPr="004449D0" w:rsidRDefault="00A46E9E" w:rsidP="00B811D2">
      <w:pPr>
        <w:pStyle w:val="PZTextpsmene"/>
        <w:spacing w:before="0"/>
        <w:rPr>
          <w:szCs w:val="24"/>
        </w:rPr>
      </w:pPr>
      <w:r w:rsidRPr="002B1878">
        <w:rPr>
          <w:szCs w:val="24"/>
        </w:rPr>
        <w:t>k</w:t>
      </w:r>
      <w:r w:rsidRPr="004449D0">
        <w:rPr>
          <w:szCs w:val="24"/>
        </w:rPr>
        <w:t xml:space="preserve">) </w:t>
      </w:r>
      <w:r>
        <w:rPr>
          <w:szCs w:val="24"/>
        </w:rPr>
        <w:tab/>
      </w:r>
      <w:r w:rsidRPr="004449D0">
        <w:rPr>
          <w:szCs w:val="24"/>
        </w:rPr>
        <w:t>systémů pojištění pohledávek z vkladů, systémů pojištění a mechanismů financování řešení krize,</w:t>
      </w:r>
    </w:p>
    <w:p w14:paraId="0D7D77BA" w14:textId="77777777" w:rsidR="00A46E9E" w:rsidRPr="004449D0" w:rsidRDefault="00A46E9E" w:rsidP="00B811D2">
      <w:pPr>
        <w:pStyle w:val="PZTextpsmene"/>
        <w:spacing w:before="0"/>
        <w:rPr>
          <w:szCs w:val="24"/>
        </w:rPr>
      </w:pPr>
      <w:r w:rsidRPr="002B1878">
        <w:rPr>
          <w:szCs w:val="24"/>
        </w:rPr>
        <w:t>l</w:t>
      </w:r>
      <w:r w:rsidRPr="004449D0">
        <w:rPr>
          <w:szCs w:val="24"/>
        </w:rPr>
        <w:t xml:space="preserve">) </w:t>
      </w:r>
      <w:r>
        <w:rPr>
          <w:szCs w:val="24"/>
        </w:rPr>
        <w:tab/>
      </w:r>
      <w:r w:rsidRPr="004449D0">
        <w:rPr>
          <w:szCs w:val="24"/>
        </w:rPr>
        <w:t>orgánu veřejné moci, do jehož působnosti náleží příprava právních předpisů týkajících se dohledu nad bankami a finančními institucemi, jakož i osob pověřených těmito orgány k výkonu kontrolní činnosti,</w:t>
      </w:r>
    </w:p>
    <w:p w14:paraId="2166C9B4" w14:textId="77777777" w:rsidR="00A46E9E" w:rsidRDefault="00A46E9E" w:rsidP="00B811D2">
      <w:pPr>
        <w:pStyle w:val="PZTextpsmene"/>
        <w:spacing w:before="0"/>
        <w:rPr>
          <w:szCs w:val="24"/>
        </w:rPr>
      </w:pPr>
      <w:r w:rsidRPr="002B1878">
        <w:rPr>
          <w:szCs w:val="24"/>
        </w:rPr>
        <w:t>m</w:t>
      </w:r>
      <w:r w:rsidRPr="004449D0">
        <w:rPr>
          <w:szCs w:val="24"/>
        </w:rPr>
        <w:t xml:space="preserve">) </w:t>
      </w:r>
      <w:r>
        <w:rPr>
          <w:szCs w:val="24"/>
        </w:rPr>
        <w:tab/>
      </w:r>
      <w:r w:rsidRPr="004449D0">
        <w:rPr>
          <w:szCs w:val="24"/>
        </w:rPr>
        <w:t>jiné osoby nebo orgánu, kde poskytnutí informací je nezbytné k řešení krize a není porušením mlčenlivosti podle zákona upravujícího ozdravné postupy a řešení krize na finančním trhu</w:t>
      </w:r>
      <w:r w:rsidRPr="00146DA5">
        <w:rPr>
          <w:strike/>
          <w:szCs w:val="24"/>
        </w:rPr>
        <w:t>.</w:t>
      </w:r>
      <w:r w:rsidRPr="00146DA5">
        <w:rPr>
          <w:b/>
          <w:szCs w:val="24"/>
        </w:rPr>
        <w:t>,</w:t>
      </w:r>
    </w:p>
    <w:p w14:paraId="7F54BB87" w14:textId="77777777" w:rsidR="00A46E9E" w:rsidRPr="004449D0" w:rsidRDefault="00A46E9E" w:rsidP="00B811D2">
      <w:pPr>
        <w:pStyle w:val="PZTextpsmene"/>
        <w:spacing w:before="0"/>
        <w:rPr>
          <w:szCs w:val="24"/>
        </w:rPr>
      </w:pPr>
      <w:r>
        <w:rPr>
          <w:b/>
          <w:szCs w:val="24"/>
        </w:rPr>
        <w:t>n)</w:t>
      </w:r>
      <w:r w:rsidRPr="00E90F59">
        <w:rPr>
          <w:b/>
          <w:szCs w:val="24"/>
        </w:rPr>
        <w:tab/>
        <w:t xml:space="preserve">ověřovatele provádějícího ověření </w:t>
      </w:r>
      <w:r>
        <w:rPr>
          <w:b/>
          <w:szCs w:val="24"/>
        </w:rPr>
        <w:t>řídicího</w:t>
      </w:r>
      <w:r w:rsidRPr="00E90F59">
        <w:rPr>
          <w:b/>
          <w:szCs w:val="24"/>
        </w:rPr>
        <w:t xml:space="preserve"> a kontrolního systému banky nebo pobočky zahraniční banky</w:t>
      </w:r>
      <w:r>
        <w:rPr>
          <w:b/>
          <w:szCs w:val="24"/>
        </w:rPr>
        <w:t>.</w:t>
      </w:r>
    </w:p>
    <w:p w14:paraId="70AB32A2" w14:textId="77777777" w:rsidR="00A46E9E" w:rsidRPr="004449D0" w:rsidRDefault="00A46E9E" w:rsidP="00A46E9E">
      <w:pPr>
        <w:pStyle w:val="PZTextodstavce"/>
      </w:pPr>
      <w:r w:rsidRPr="004449D0">
        <w:t>Totéž platí ve vztahu k veřejným orgánům a dalším osobám v členských státech a s výjimkou orgánů a osob podle písmen g), h), j) a l) i v jiných státech a dále ve vztahu k Evropské centrální bance, Evropskému orgánu pro bankovnictví, Evropské radě pro systémová rizika</w:t>
      </w:r>
      <w:r>
        <w:rPr>
          <w:rStyle w:val="Znakapoznpodarou"/>
        </w:rPr>
        <w:footnoteReference w:customMarkFollows="1" w:id="98"/>
        <w:t>22)</w:t>
      </w:r>
      <w:r w:rsidRPr="004449D0">
        <w:t xml:space="preserve">, přičemž při poskytnutí informací podle písmene e) mohou být takové informace poskytnuty </w:t>
      </w:r>
      <w:r w:rsidRPr="004449D0">
        <w:lastRenderedPageBreak/>
        <w:t>pouze po předchozím sdělení jmen a přesného vymezení úkolů osob, jimž m</w:t>
      </w:r>
      <w:r>
        <w:t>ají být tyto informace předány.</w:t>
      </w:r>
    </w:p>
    <w:p w14:paraId="72C27625" w14:textId="77777777" w:rsidR="00A46E9E" w:rsidRPr="004449D0" w:rsidRDefault="00A46E9E" w:rsidP="00A46E9E">
      <w:pPr>
        <w:pStyle w:val="PZTextodstavce"/>
      </w:pPr>
      <w:r>
        <w:t>(5)</w:t>
      </w:r>
      <w:r>
        <w:tab/>
      </w:r>
      <w:r w:rsidRPr="004449D0">
        <w:t xml:space="preserve">Informace získané v souvislosti s výkonem dohledu mohou být poskytovány též orgánům Evropské unie, je-li to zapotřebí </w:t>
      </w:r>
      <w:r>
        <w:t>k naplnění mezinárodní smlouvy.</w:t>
      </w:r>
    </w:p>
    <w:p w14:paraId="293B6F0A" w14:textId="77777777" w:rsidR="00A46E9E" w:rsidRPr="004449D0" w:rsidRDefault="00A46E9E" w:rsidP="00A46E9E">
      <w:pPr>
        <w:pStyle w:val="PZTextodstavce"/>
      </w:pPr>
      <w:r w:rsidRPr="004449D0">
        <w:t>(6)</w:t>
      </w:r>
      <w:r>
        <w:tab/>
      </w:r>
      <w:r w:rsidRPr="004449D0">
        <w:t>Informace získané v souvislosti s výkonem dohledu mohou být poskytnuty též mezinárodním organizacím, působícím na úseku boje proti trestné činnosti, orgánům cizích států činným v trestním řízení pro plnění jejich funkce, a dále příslušným orgánům dohledu nebo subjektům odpovědným za uplatňování pravidel týkajících se strukturá</w:t>
      </w:r>
      <w:r>
        <w:t>lního oddělení v rámci skupiny.</w:t>
      </w:r>
    </w:p>
    <w:p w14:paraId="681FA760" w14:textId="77777777" w:rsidR="00A46E9E" w:rsidRPr="004449D0" w:rsidRDefault="00A46E9E" w:rsidP="00A46E9E">
      <w:pPr>
        <w:pStyle w:val="PZTextodstavce"/>
      </w:pPr>
      <w:r w:rsidRPr="004449D0">
        <w:t>(7)</w:t>
      </w:r>
      <w:r>
        <w:tab/>
      </w:r>
      <w:r w:rsidRPr="004449D0">
        <w:t>Informace získané v souvislosti s výkonem dohledu mohou být na v</w:t>
      </w:r>
      <w:r>
        <w:t>ýslovnou žádost poskytovány též</w:t>
      </w:r>
    </w:p>
    <w:p w14:paraId="2164F86D" w14:textId="77777777" w:rsidR="00A46E9E" w:rsidRPr="004449D0" w:rsidRDefault="00A46E9E" w:rsidP="00B811D2">
      <w:pPr>
        <w:pStyle w:val="PZTextpsmene"/>
        <w:spacing w:before="0"/>
        <w:rPr>
          <w:szCs w:val="24"/>
        </w:rPr>
      </w:pPr>
      <w:r w:rsidRPr="004449D0">
        <w:rPr>
          <w:szCs w:val="24"/>
        </w:rPr>
        <w:t xml:space="preserve">a) </w:t>
      </w:r>
      <w:r>
        <w:rPr>
          <w:szCs w:val="24"/>
        </w:rPr>
        <w:tab/>
      </w:r>
      <w:r w:rsidRPr="004449D0">
        <w:rPr>
          <w:szCs w:val="24"/>
        </w:rPr>
        <w:t>Mezinárodnímu měnovému fondu a Světové bance pro účely hodnocení v rámci programu hodnocení finančního sektoru,</w:t>
      </w:r>
    </w:p>
    <w:p w14:paraId="399B2C50" w14:textId="77777777" w:rsidR="00A46E9E" w:rsidRPr="004449D0" w:rsidRDefault="00A46E9E" w:rsidP="00B811D2">
      <w:pPr>
        <w:pStyle w:val="PZTextpsmene"/>
        <w:spacing w:before="0"/>
        <w:rPr>
          <w:szCs w:val="24"/>
        </w:rPr>
      </w:pPr>
      <w:r w:rsidRPr="004449D0">
        <w:rPr>
          <w:szCs w:val="24"/>
        </w:rPr>
        <w:t xml:space="preserve">b) </w:t>
      </w:r>
      <w:r>
        <w:rPr>
          <w:szCs w:val="24"/>
        </w:rPr>
        <w:tab/>
      </w:r>
      <w:r w:rsidRPr="004449D0">
        <w:rPr>
          <w:szCs w:val="24"/>
        </w:rPr>
        <w:t>Bance pro mezinárodní platby pro účely kvantitativních studií dopadu,</w:t>
      </w:r>
    </w:p>
    <w:p w14:paraId="10FFD42E" w14:textId="77777777" w:rsidR="00A46E9E" w:rsidRPr="00963B65" w:rsidRDefault="00A46E9E" w:rsidP="00B811D2">
      <w:pPr>
        <w:pStyle w:val="PZTextpsmene"/>
        <w:spacing w:before="0"/>
        <w:rPr>
          <w:szCs w:val="24"/>
        </w:rPr>
      </w:pPr>
      <w:r w:rsidRPr="004449D0">
        <w:rPr>
          <w:szCs w:val="24"/>
        </w:rPr>
        <w:t xml:space="preserve">c) </w:t>
      </w:r>
      <w:r>
        <w:rPr>
          <w:szCs w:val="24"/>
        </w:rPr>
        <w:tab/>
      </w:r>
      <w:r w:rsidRPr="004449D0">
        <w:rPr>
          <w:szCs w:val="24"/>
        </w:rPr>
        <w:t>Radě pro finanční stabilitu pro účely její dohledové funkce.</w:t>
      </w:r>
    </w:p>
    <w:p w14:paraId="417B9764" w14:textId="77777777" w:rsidR="00A46E9E" w:rsidRPr="004449D0" w:rsidRDefault="00A46E9E" w:rsidP="00A46E9E">
      <w:pPr>
        <w:pStyle w:val="PZTextodstavce"/>
      </w:pPr>
      <w:r w:rsidRPr="004449D0">
        <w:t>(8)</w:t>
      </w:r>
      <w:r>
        <w:tab/>
      </w:r>
      <w:r w:rsidRPr="004449D0">
        <w:t xml:space="preserve">Poskytnutí informací podle odstavců 3, 4, 6 a 7 je možné pouze za podmínky, že příslušný orgán nebo osoba chrání informace nejméně v rozsahu, jaký je </w:t>
      </w:r>
      <w:r>
        <w:t>požadován právem Evropské unie.</w:t>
      </w:r>
    </w:p>
    <w:p w14:paraId="3D6BB763" w14:textId="77777777" w:rsidR="00A46E9E" w:rsidRPr="004449D0" w:rsidRDefault="00A46E9E" w:rsidP="00A46E9E">
      <w:pPr>
        <w:pStyle w:val="PZTextodstavce"/>
      </w:pPr>
      <w:r w:rsidRPr="004449D0">
        <w:t>(9) Poskytnutí informací podle odstavce 7 je dále možné, pouze p</w:t>
      </w:r>
      <w:r>
        <w:t>okud</w:t>
      </w:r>
    </w:p>
    <w:p w14:paraId="6867258F" w14:textId="77777777" w:rsidR="00A46E9E" w:rsidRPr="004449D0" w:rsidRDefault="00A46E9E" w:rsidP="00B811D2">
      <w:pPr>
        <w:pStyle w:val="PZTextpsmene"/>
        <w:spacing w:before="0"/>
        <w:rPr>
          <w:szCs w:val="24"/>
        </w:rPr>
      </w:pPr>
      <w:r w:rsidRPr="004449D0">
        <w:rPr>
          <w:szCs w:val="24"/>
        </w:rPr>
        <w:t xml:space="preserve">a) </w:t>
      </w:r>
      <w:r>
        <w:rPr>
          <w:szCs w:val="24"/>
        </w:rPr>
        <w:tab/>
      </w:r>
      <w:r w:rsidRPr="004449D0">
        <w:rPr>
          <w:szCs w:val="24"/>
        </w:rPr>
        <w:t>mají souhrnnou, či anonymizovanou podobu, přičemž jiné informace je možné poskytnout jen v prostorách České národní banky,</w:t>
      </w:r>
    </w:p>
    <w:p w14:paraId="5818BB8F" w14:textId="77777777" w:rsidR="00A46E9E" w:rsidRPr="004449D0" w:rsidRDefault="00A46E9E" w:rsidP="00B811D2">
      <w:pPr>
        <w:pStyle w:val="PZTextpsmene"/>
        <w:spacing w:before="0"/>
        <w:rPr>
          <w:szCs w:val="24"/>
        </w:rPr>
      </w:pPr>
      <w:r w:rsidRPr="004449D0">
        <w:rPr>
          <w:szCs w:val="24"/>
        </w:rPr>
        <w:t xml:space="preserve">b) </w:t>
      </w:r>
      <w:r>
        <w:rPr>
          <w:szCs w:val="24"/>
        </w:rPr>
        <w:tab/>
      </w:r>
      <w:r w:rsidRPr="004449D0">
        <w:rPr>
          <w:szCs w:val="24"/>
        </w:rPr>
        <w:t>je žádost dostatečně odůvodněna s ohledem na konkrétní úkoly žadatele v souladu s jeho mandátem stanoveným příslušnými mezinárodními smlouvami nebo úmluvami upravujícími jeho činnost,</w:t>
      </w:r>
    </w:p>
    <w:p w14:paraId="47E04A45" w14:textId="77777777" w:rsidR="00A46E9E" w:rsidRPr="004449D0" w:rsidRDefault="00A46E9E" w:rsidP="00B811D2">
      <w:pPr>
        <w:pStyle w:val="PZTextpsmene"/>
        <w:spacing w:before="0"/>
        <w:rPr>
          <w:szCs w:val="24"/>
        </w:rPr>
      </w:pPr>
      <w:r w:rsidRPr="004449D0">
        <w:rPr>
          <w:szCs w:val="24"/>
        </w:rPr>
        <w:t xml:space="preserve">c) </w:t>
      </w:r>
      <w:r>
        <w:rPr>
          <w:szCs w:val="24"/>
        </w:rPr>
        <w:tab/>
      </w:r>
      <w:r w:rsidRPr="004449D0">
        <w:rPr>
          <w:szCs w:val="24"/>
        </w:rPr>
        <w:t>je žádost dostatečně konkrétní, pokud jde o povahu, rozsah a formát požadovaných informací a způsob jejich sdělení nebo předání,</w:t>
      </w:r>
    </w:p>
    <w:p w14:paraId="028E136F" w14:textId="77777777" w:rsidR="00A46E9E" w:rsidRPr="004449D0" w:rsidRDefault="00A46E9E" w:rsidP="00B811D2">
      <w:pPr>
        <w:pStyle w:val="PZTextpsmene"/>
        <w:spacing w:before="0"/>
        <w:rPr>
          <w:szCs w:val="24"/>
        </w:rPr>
      </w:pPr>
      <w:r w:rsidRPr="004449D0">
        <w:rPr>
          <w:szCs w:val="24"/>
        </w:rPr>
        <w:t>d)</w:t>
      </w:r>
      <w:r>
        <w:rPr>
          <w:szCs w:val="24"/>
        </w:rPr>
        <w:tab/>
      </w:r>
      <w:r w:rsidRPr="004449D0">
        <w:rPr>
          <w:szCs w:val="24"/>
        </w:rPr>
        <w:t>požadované informace jsou nezbytně nutné k plnění konkrétních úkolů žadatele a nepřesahují rámec úkolů, jež jsou mu stanoveny příslušnými mezinárodními smlouvami nebo úmluvami upravujícími jeho činnost, a</w:t>
      </w:r>
    </w:p>
    <w:p w14:paraId="1F8C3F0D" w14:textId="77777777" w:rsidR="00A46E9E" w:rsidRPr="00786D36" w:rsidRDefault="00A46E9E" w:rsidP="00B811D2">
      <w:pPr>
        <w:pStyle w:val="PZTextpsmene"/>
        <w:spacing w:before="0"/>
        <w:rPr>
          <w:szCs w:val="24"/>
        </w:rPr>
      </w:pPr>
      <w:r w:rsidRPr="004449D0">
        <w:rPr>
          <w:szCs w:val="24"/>
        </w:rPr>
        <w:t xml:space="preserve">e) </w:t>
      </w:r>
      <w:r>
        <w:rPr>
          <w:szCs w:val="24"/>
        </w:rPr>
        <w:tab/>
      </w:r>
      <w:r w:rsidRPr="004449D0">
        <w:rPr>
          <w:szCs w:val="24"/>
        </w:rPr>
        <w:t>žadatel podle odstavce 7 poskytne dostatečné záruky, že informace budou předány nebo sděleny výlučně osobám přímo zapojeným do plnění konkrétního úkolu a že tyto informace budou chráněny profesním tajemstvím nejméně v rozsahu povinnosti mlčenlivosti podle tohoto zákona.</w:t>
      </w:r>
    </w:p>
    <w:p w14:paraId="625B9244" w14:textId="77777777" w:rsidR="00A46E9E" w:rsidRPr="004449D0" w:rsidRDefault="00A46E9E" w:rsidP="00A46E9E">
      <w:pPr>
        <w:pStyle w:val="PZTextodstavce"/>
      </w:pPr>
      <w:r w:rsidRPr="004449D0">
        <w:t>(10) Informace získané od orgánů cizích států nemohou být použity k jinému účelu než k tomu, pro který byly poskytnuty, a nesmí být bez souhlasu poskytova</w:t>
      </w:r>
      <w:r>
        <w:t>tele poskytnuty nikomu dalšímu.</w:t>
      </w:r>
    </w:p>
    <w:p w14:paraId="6E07228D" w14:textId="77777777" w:rsidR="00A46E9E" w:rsidRPr="0004018F" w:rsidRDefault="00A46E9E" w:rsidP="00A46E9E">
      <w:pPr>
        <w:pStyle w:val="PZTextodstavce"/>
      </w:pPr>
      <w:r w:rsidRPr="004449D0">
        <w:t>(11) Informace získané v rámci dohledu na místě na území jiného státu nesmí být bez souhlasu orgánu dohledu tohoto státu poskytnuty nikomu dalšímu.</w:t>
      </w:r>
    </w:p>
    <w:p w14:paraId="22C571FC" w14:textId="77777777" w:rsidR="00A46E9E" w:rsidRDefault="00A46E9E" w:rsidP="00A46E9E">
      <w:pPr>
        <w:pStyle w:val="Paragraf"/>
        <w:numPr>
          <w:ilvl w:val="0"/>
          <w:numId w:val="28"/>
        </w:numPr>
        <w:spacing w:before="120"/>
      </w:pPr>
      <w:r>
        <w:t>***</w:t>
      </w:r>
    </w:p>
    <w:p w14:paraId="0BB2A6A5" w14:textId="77777777" w:rsidR="00A46E9E" w:rsidRPr="00963B65" w:rsidRDefault="00A46E9E" w:rsidP="00A46E9E">
      <w:pPr>
        <w:pStyle w:val="Paragraf"/>
        <w:numPr>
          <w:ilvl w:val="0"/>
          <w:numId w:val="28"/>
        </w:numPr>
      </w:pPr>
      <w:r w:rsidRPr="00963B65">
        <w:t>§ 26</w:t>
      </w:r>
    </w:p>
    <w:p w14:paraId="5FAFB01A" w14:textId="77777777" w:rsidR="00A46E9E" w:rsidRPr="002F7E7B" w:rsidRDefault="00A46E9E" w:rsidP="00A46E9E">
      <w:pPr>
        <w:pStyle w:val="Textparagrafu"/>
        <w:ind w:firstLine="0"/>
        <w:contextualSpacing/>
        <w:jc w:val="center"/>
        <w:rPr>
          <w:b/>
        </w:rPr>
      </w:pPr>
      <w:r w:rsidRPr="00CF44E0">
        <w:rPr>
          <w:b/>
        </w:rPr>
        <w:t>Opatření k nápravě</w:t>
      </w:r>
    </w:p>
    <w:p w14:paraId="7203BD12" w14:textId="77777777" w:rsidR="00A46E9E" w:rsidRPr="00CF44E0" w:rsidRDefault="00A46E9E" w:rsidP="00A46E9E">
      <w:pPr>
        <w:pStyle w:val="PZTextodstavce"/>
      </w:pPr>
      <w:r>
        <w:t>(1)</w:t>
      </w:r>
      <w:r>
        <w:tab/>
      </w:r>
      <w:r w:rsidRPr="00CF44E0">
        <w:t xml:space="preserve">Česká národní banka může osobě podléhající jejímu dohledu při zjištění nedostatku v její činnosti v důsledku porušení nebo nedodržení povinnosti nebo podmínky stanovené tímto </w:t>
      </w:r>
      <w:r w:rsidRPr="00CF44E0">
        <w:lastRenderedPageBreak/>
        <w:t>zákonem, právním předpisem jej provádějícím, rozhodnutím vydaným podle tohoto zákona, opatřením obecné povahy vydaným podle tohoto zákona, zákonem upravujícím stavební spoření, přímo použitelným předpisem Evropské unie a nařízením nebo rozhodnutím Evropské komise uložit opatření k nápravě zjištěného nedostatku odpovídající pov</w:t>
      </w:r>
      <w:r>
        <w:t>aze porušení a jeho závažnosti.</w:t>
      </w:r>
    </w:p>
    <w:p w14:paraId="14793D66" w14:textId="77777777" w:rsidR="00A46E9E" w:rsidRPr="00CF44E0" w:rsidRDefault="00A46E9E" w:rsidP="00A46E9E">
      <w:pPr>
        <w:pStyle w:val="PZTextodstavce"/>
      </w:pPr>
      <w:r>
        <w:t>(2)</w:t>
      </w:r>
      <w:r>
        <w:tab/>
      </w:r>
      <w:r w:rsidRPr="00CF44E0">
        <w:t>K odstranění zjištěných nedo</w:t>
      </w:r>
      <w:r>
        <w:t>statků může Česká národní banka</w:t>
      </w:r>
    </w:p>
    <w:p w14:paraId="0A352E3A" w14:textId="77777777" w:rsidR="00A46E9E" w:rsidRPr="008354E5" w:rsidRDefault="00A46E9E" w:rsidP="00B811D2">
      <w:pPr>
        <w:pStyle w:val="PZTextpsmene"/>
        <w:spacing w:before="0"/>
        <w:rPr>
          <w:szCs w:val="24"/>
        </w:rPr>
      </w:pPr>
      <w:r>
        <w:rPr>
          <w:szCs w:val="24"/>
        </w:rPr>
        <w:t>a)</w:t>
      </w:r>
      <w:r>
        <w:rPr>
          <w:szCs w:val="24"/>
        </w:rPr>
        <w:tab/>
      </w:r>
      <w:r w:rsidRPr="008354E5">
        <w:rPr>
          <w:szCs w:val="24"/>
        </w:rPr>
        <w:t>uložit, aby osoba podléhající jejímu dohledu</w:t>
      </w:r>
    </w:p>
    <w:p w14:paraId="353B1514" w14:textId="77777777" w:rsidR="00A46E9E" w:rsidRPr="00955F34" w:rsidRDefault="00A46E9E" w:rsidP="00B811D2">
      <w:pPr>
        <w:pStyle w:val="PZTextbodu"/>
        <w:spacing w:before="0"/>
      </w:pPr>
      <w:r>
        <w:t>1.</w:t>
      </w:r>
      <w:r>
        <w:tab/>
      </w:r>
      <w:r w:rsidRPr="00955F34">
        <w:t>udržovala kapitál nad minimální úrovní požadavků na kapitál podle čl. 92 nařízení Evropského parlamentu a Rady (EU) č. 575/2013,</w:t>
      </w:r>
    </w:p>
    <w:p w14:paraId="36A467F9" w14:textId="77777777" w:rsidR="00A46E9E" w:rsidRPr="00955F34" w:rsidRDefault="00A46E9E" w:rsidP="00B811D2">
      <w:pPr>
        <w:pStyle w:val="PZTextbodu"/>
        <w:spacing w:before="0"/>
      </w:pPr>
      <w:r>
        <w:t>2.</w:t>
      </w:r>
      <w:r>
        <w:tab/>
      </w:r>
      <w:r w:rsidRPr="00955F34">
        <w:t>zlepšila uspořádání, strategie, postupy a jiné mechanismy tak, aby obnovila nebo posílila jejich soulad s tímto zákonem, právním předpisem provádějícím tento zákon, rozhodnutím nebo opatřením obecné povahy vydaným podle tohoto zákona nebo přímo použitelným předpisem Evropské unie upravujícím obezřetnostní požadavky, nařízením nebo rozhodnutím Evropské komise,</w:t>
      </w:r>
    </w:p>
    <w:p w14:paraId="5C358EC7" w14:textId="77777777" w:rsidR="00A46E9E" w:rsidRPr="00955F34" w:rsidRDefault="00A46E9E" w:rsidP="00B811D2">
      <w:pPr>
        <w:pStyle w:val="PZTextbodu"/>
        <w:spacing w:before="0"/>
      </w:pPr>
      <w:r>
        <w:t>3.</w:t>
      </w:r>
      <w:r>
        <w:tab/>
      </w:r>
      <w:r w:rsidRPr="00955F34">
        <w:t>předložila plán na obnovení souladu s požadavky podle tohoto zákona a přímo použitelného předpisu Evropské unie upravujícího obezřetnostní požadavky a zavedla jej ve stanoveném termínu,</w:t>
      </w:r>
    </w:p>
    <w:p w14:paraId="0DB34189" w14:textId="77777777" w:rsidR="00A46E9E" w:rsidRPr="00955F34" w:rsidRDefault="00A46E9E" w:rsidP="00B811D2">
      <w:pPr>
        <w:pStyle w:val="PZTextbodu"/>
        <w:spacing w:before="0"/>
      </w:pPr>
      <w:r>
        <w:t>4.</w:t>
      </w:r>
      <w:r>
        <w:tab/>
      </w:r>
      <w:r w:rsidRPr="00955F34">
        <w:t>uplatňovala specifické zásady a postupy pro tvorbu opravných položek k aktivům a rezerv nebo pro stanovení kapitálových požadavků,</w:t>
      </w:r>
    </w:p>
    <w:p w14:paraId="30E5E50F" w14:textId="77777777" w:rsidR="00A46E9E" w:rsidRPr="00955F34" w:rsidRDefault="00A46E9E" w:rsidP="00B811D2">
      <w:pPr>
        <w:pStyle w:val="PZTextbodu"/>
        <w:spacing w:before="0"/>
      </w:pPr>
      <w:r>
        <w:t>5.</w:t>
      </w:r>
      <w:r>
        <w:tab/>
      </w:r>
      <w:r w:rsidRPr="00955F34">
        <w:t>omezila, ukončila nebo neprováděla některé obchody, operace nebo činnosti, které znamenají nadměrné riziko pro banku,</w:t>
      </w:r>
    </w:p>
    <w:p w14:paraId="7E914471" w14:textId="77777777" w:rsidR="00A46E9E" w:rsidRPr="00955F34" w:rsidRDefault="00A46E9E" w:rsidP="00B811D2">
      <w:pPr>
        <w:pStyle w:val="PZTextbodu"/>
        <w:spacing w:before="0"/>
      </w:pPr>
      <w:r>
        <w:t>6.</w:t>
      </w:r>
      <w:r>
        <w:tab/>
      </w:r>
      <w:r w:rsidRPr="00955F34">
        <w:t>omezila distribuční síť, včetně případného snížení počtu obchodních míst,</w:t>
      </w:r>
    </w:p>
    <w:p w14:paraId="25FB94A5" w14:textId="77777777" w:rsidR="00A46E9E" w:rsidRPr="00955F34" w:rsidRDefault="00A46E9E" w:rsidP="00B811D2">
      <w:pPr>
        <w:pStyle w:val="PZTextbodu"/>
        <w:spacing w:before="0"/>
      </w:pPr>
      <w:r>
        <w:t>7.</w:t>
      </w:r>
      <w:r>
        <w:tab/>
      </w:r>
      <w:r w:rsidRPr="00955F34">
        <w:t>snížila rizika spojená s jejími činnostmi, produkty nebo systémy, včetně činností, jejichž výkonem banka pověřila jinou osobu,</w:t>
      </w:r>
    </w:p>
    <w:p w14:paraId="3F823F81" w14:textId="77777777" w:rsidR="00A46E9E" w:rsidRPr="00955F34" w:rsidRDefault="00A46E9E" w:rsidP="00B811D2">
      <w:pPr>
        <w:pStyle w:val="PZTextbodu"/>
        <w:spacing w:before="0"/>
      </w:pPr>
      <w:r>
        <w:t>8.</w:t>
      </w:r>
      <w:r>
        <w:tab/>
      </w:r>
      <w:r w:rsidRPr="00955F34">
        <w:t>omezila pohyblivou složku odměny osob uvedených v § 8b odst. 1 písm. f) bodě 3, pokud není v souladu s udržováním kapitálu; v takovém případě určí banka nebo pobočka banky z jiného než členského státu výši pohyblivé složky procentem z čistého zisku,</w:t>
      </w:r>
    </w:p>
    <w:p w14:paraId="02CB0F3C" w14:textId="77777777" w:rsidR="00A46E9E" w:rsidRPr="00955F34" w:rsidRDefault="00A46E9E" w:rsidP="00B811D2">
      <w:pPr>
        <w:pStyle w:val="PZTextbodu"/>
        <w:spacing w:before="0"/>
      </w:pPr>
      <w:r>
        <w:t>9.</w:t>
      </w:r>
      <w:r>
        <w:tab/>
      </w:r>
      <w:r w:rsidRPr="00955F34">
        <w:t>použila zisk po zdanění přednostně k doplnění rezervních fondů nebo ke zvýšení základního kapitálu,</w:t>
      </w:r>
    </w:p>
    <w:p w14:paraId="43141C55" w14:textId="77777777" w:rsidR="00A46E9E" w:rsidRPr="00955F34" w:rsidRDefault="00A46E9E" w:rsidP="00B811D2">
      <w:pPr>
        <w:pStyle w:val="PZTextbodu"/>
        <w:spacing w:before="0"/>
      </w:pPr>
      <w:r>
        <w:t>10.</w:t>
      </w:r>
      <w:r>
        <w:tab/>
      </w:r>
      <w:r w:rsidRPr="00955F34">
        <w:t xml:space="preserve">omezila nebo zakázala rozdělení kapitálu nebo úrokové platby akcionářům či držitelům nástrojů vedlejšího kapitálu </w:t>
      </w:r>
      <w:proofErr w:type="spellStart"/>
      <w:r w:rsidRPr="00955F34">
        <w:t>tier</w:t>
      </w:r>
      <w:proofErr w:type="spellEnd"/>
      <w:r w:rsidRPr="00955F34">
        <w:t xml:space="preserve"> 1 podle čl. 51 nařízení Evropského parlamentu a Rady (EU) č. 575/2013; pokud tento zákaz nepředstavuje nesplnění závazků této osoby,</w:t>
      </w:r>
    </w:p>
    <w:p w14:paraId="758FB0CF" w14:textId="77777777" w:rsidR="00A46E9E" w:rsidRPr="00955F34" w:rsidRDefault="00A46E9E" w:rsidP="00B811D2">
      <w:pPr>
        <w:pStyle w:val="PZTextbodu"/>
        <w:spacing w:before="0"/>
      </w:pPr>
      <w:r>
        <w:t>11.</w:t>
      </w:r>
      <w:r>
        <w:tab/>
      </w:r>
      <w:r w:rsidRPr="00955F34">
        <w:t>ve stanovené lhůtě odstranila nedostatek v činnosti a zdržela se jeho opakování,</w:t>
      </w:r>
    </w:p>
    <w:p w14:paraId="247EF46E" w14:textId="77777777" w:rsidR="00A46E9E" w:rsidRPr="00955F34" w:rsidRDefault="00A46E9E" w:rsidP="00B811D2">
      <w:pPr>
        <w:pStyle w:val="PZTextbodu"/>
        <w:spacing w:before="0"/>
      </w:pPr>
      <w:r>
        <w:t>12.</w:t>
      </w:r>
      <w:r>
        <w:tab/>
      </w:r>
      <w:r w:rsidRPr="00955F34">
        <w:t>zrušeno,</w:t>
      </w:r>
    </w:p>
    <w:p w14:paraId="3573E3EC" w14:textId="77777777" w:rsidR="00A46E9E" w:rsidRPr="00955F34" w:rsidRDefault="00A46E9E" w:rsidP="00B811D2">
      <w:pPr>
        <w:pStyle w:val="PZTextbodu"/>
        <w:spacing w:before="0"/>
      </w:pPr>
      <w:r>
        <w:t>13.</w:t>
      </w:r>
      <w:r>
        <w:tab/>
      </w:r>
      <w:r w:rsidRPr="00955F34">
        <w:t>ve stanovené lhůtě navýšila kapitál na určenou výši, pokud neudržuje kombinovanou kapitálovou rezervu podle § 12m odst. 1 a Česká národní banka neschválila plán na obnovení kapitálu,</w:t>
      </w:r>
    </w:p>
    <w:p w14:paraId="39FBA4E9" w14:textId="77777777" w:rsidR="00A46E9E" w:rsidRPr="00955F34" w:rsidRDefault="00A46E9E" w:rsidP="00B811D2">
      <w:pPr>
        <w:pStyle w:val="PZTextbodu"/>
        <w:spacing w:before="0"/>
      </w:pPr>
      <w:r>
        <w:t>14.</w:t>
      </w:r>
      <w:r>
        <w:tab/>
      </w:r>
      <w:r w:rsidRPr="00955F34">
        <w:t>ve stanovené lhůtě navýšila kapitál na určenou výši, pokud neudržuje kapitálovou rezervu k pákovému poměru podle čl. 92 odst. 1a nařízení Evropského parlamentu a Rady (EU) č. 575/2013 a Česká národní banka neschválila plán na obnovení kapitálu,</w:t>
      </w:r>
    </w:p>
    <w:p w14:paraId="05F23FC3" w14:textId="77777777" w:rsidR="00A46E9E" w:rsidRPr="008354E5" w:rsidRDefault="00A46E9E" w:rsidP="00B811D2">
      <w:pPr>
        <w:pStyle w:val="PZTextpsmene"/>
        <w:spacing w:before="0"/>
        <w:rPr>
          <w:szCs w:val="24"/>
        </w:rPr>
      </w:pPr>
      <w:r>
        <w:rPr>
          <w:szCs w:val="24"/>
        </w:rPr>
        <w:t>b)</w:t>
      </w:r>
      <w:r>
        <w:rPr>
          <w:szCs w:val="24"/>
        </w:rPr>
        <w:tab/>
      </w:r>
      <w:r w:rsidRPr="008354E5">
        <w:rPr>
          <w:szCs w:val="24"/>
        </w:rPr>
        <w:t>uložit dodatečné nebo častější předkládání výkazů, včetně informací o kapitálu, likviditě a páce za podmínky, že tento požadavek je vhodný a přiměřený z hlediska účelu, pro který jsou informace požadovány, a že požadované informace nejsou duplicitní s jinými požadovanými informacemi,</w:t>
      </w:r>
    </w:p>
    <w:p w14:paraId="3984C966" w14:textId="77777777" w:rsidR="00A46E9E" w:rsidRPr="008354E5" w:rsidRDefault="00A46E9E" w:rsidP="00B811D2">
      <w:pPr>
        <w:pStyle w:val="PZTextpsmene"/>
        <w:spacing w:before="0"/>
        <w:rPr>
          <w:szCs w:val="24"/>
        </w:rPr>
      </w:pPr>
      <w:r>
        <w:rPr>
          <w:szCs w:val="24"/>
        </w:rPr>
        <w:lastRenderedPageBreak/>
        <w:t>c)</w:t>
      </w:r>
      <w:r>
        <w:rPr>
          <w:szCs w:val="24"/>
        </w:rPr>
        <w:tab/>
      </w:r>
      <w:r w:rsidRPr="008354E5">
        <w:rPr>
          <w:szCs w:val="24"/>
        </w:rPr>
        <w:t>uložit zvláštní požadavky na likviditu, včetně omezení nesouladu splatnosti aktiv a závazků, s přihlédnutím ke konkrétnímu modelu podnikání banky a k uspořádáním, postupům a mechanismům banky, zejména podle § 8b odst. 1 písm. b),</w:t>
      </w:r>
    </w:p>
    <w:p w14:paraId="362F1251" w14:textId="77777777" w:rsidR="00A46E9E" w:rsidRPr="008354E5" w:rsidRDefault="00A46E9E" w:rsidP="00B811D2">
      <w:pPr>
        <w:pStyle w:val="PZTextpsmene"/>
        <w:spacing w:before="0"/>
        <w:rPr>
          <w:szCs w:val="24"/>
        </w:rPr>
      </w:pPr>
      <w:r>
        <w:rPr>
          <w:szCs w:val="24"/>
        </w:rPr>
        <w:t>d)</w:t>
      </w:r>
      <w:r>
        <w:rPr>
          <w:szCs w:val="24"/>
        </w:rPr>
        <w:tab/>
      </w:r>
      <w:r w:rsidRPr="008354E5">
        <w:rPr>
          <w:szCs w:val="24"/>
        </w:rPr>
        <w:t>uložit dodatečné uveřejňování informací,</w:t>
      </w:r>
    </w:p>
    <w:p w14:paraId="46DE731C" w14:textId="77777777" w:rsidR="00A46E9E" w:rsidRPr="008354E5" w:rsidRDefault="00A46E9E" w:rsidP="00B811D2">
      <w:pPr>
        <w:pStyle w:val="PZTextpsmene"/>
        <w:spacing w:before="0"/>
        <w:rPr>
          <w:szCs w:val="24"/>
        </w:rPr>
      </w:pPr>
      <w:r>
        <w:rPr>
          <w:szCs w:val="24"/>
        </w:rPr>
        <w:t>e)</w:t>
      </w:r>
      <w:r>
        <w:rPr>
          <w:szCs w:val="24"/>
        </w:rPr>
        <w:tab/>
      </w:r>
      <w:r w:rsidRPr="008354E5">
        <w:rPr>
          <w:szCs w:val="24"/>
        </w:rPr>
        <w:t>zrušeno,</w:t>
      </w:r>
    </w:p>
    <w:p w14:paraId="5EF2D029" w14:textId="77777777" w:rsidR="00A46E9E" w:rsidRPr="008354E5" w:rsidRDefault="00A46E9E" w:rsidP="00B811D2">
      <w:pPr>
        <w:pStyle w:val="PZTextpsmene"/>
        <w:spacing w:before="0"/>
        <w:rPr>
          <w:szCs w:val="24"/>
        </w:rPr>
      </w:pPr>
      <w:r>
        <w:rPr>
          <w:szCs w:val="24"/>
        </w:rPr>
        <w:t>f)</w:t>
      </w:r>
      <w:r>
        <w:rPr>
          <w:szCs w:val="24"/>
        </w:rPr>
        <w:tab/>
      </w:r>
      <w:r w:rsidRPr="008354E5">
        <w:rPr>
          <w:szCs w:val="24"/>
        </w:rPr>
        <w:t xml:space="preserve">uložit přísnější omezení týkající se rozdělení kmenového kapitálu </w:t>
      </w:r>
      <w:proofErr w:type="spellStart"/>
      <w:r w:rsidRPr="008354E5">
        <w:rPr>
          <w:szCs w:val="24"/>
        </w:rPr>
        <w:t>tier</w:t>
      </w:r>
      <w:proofErr w:type="spellEnd"/>
      <w:r w:rsidRPr="008354E5">
        <w:rPr>
          <w:szCs w:val="24"/>
        </w:rPr>
        <w:t xml:space="preserve"> 1 než podle § 12m odst. 4, pokud Česká národní banka neschválila plán na obnovení kapitálu,</w:t>
      </w:r>
    </w:p>
    <w:p w14:paraId="2428B0AE" w14:textId="77777777" w:rsidR="00A46E9E" w:rsidRPr="008354E5" w:rsidRDefault="00A46E9E" w:rsidP="00B811D2">
      <w:pPr>
        <w:pStyle w:val="PZTextpsmene"/>
        <w:spacing w:before="0"/>
        <w:rPr>
          <w:szCs w:val="24"/>
        </w:rPr>
      </w:pPr>
      <w:r>
        <w:rPr>
          <w:szCs w:val="24"/>
        </w:rPr>
        <w:t>g)</w:t>
      </w:r>
      <w:r>
        <w:rPr>
          <w:szCs w:val="24"/>
        </w:rPr>
        <w:tab/>
      </w:r>
      <w:r w:rsidRPr="008354E5">
        <w:rPr>
          <w:szCs w:val="24"/>
        </w:rPr>
        <w:t xml:space="preserve">uložit přísnější omezení týkající se rozdělení kmenového kapitálu </w:t>
      </w:r>
      <w:proofErr w:type="spellStart"/>
      <w:r w:rsidRPr="008354E5">
        <w:rPr>
          <w:szCs w:val="24"/>
        </w:rPr>
        <w:t>tier</w:t>
      </w:r>
      <w:proofErr w:type="spellEnd"/>
      <w:r w:rsidRPr="008354E5">
        <w:rPr>
          <w:szCs w:val="24"/>
        </w:rPr>
        <w:t xml:space="preserve"> 1 než podle § 12y odst. 2, pokud Česká národní banka neschválila plán na obnovení kapitálu,</w:t>
      </w:r>
    </w:p>
    <w:p w14:paraId="480EB962" w14:textId="77777777" w:rsidR="00A46E9E" w:rsidRPr="008354E5" w:rsidRDefault="00A46E9E" w:rsidP="00B811D2">
      <w:pPr>
        <w:pStyle w:val="PZTextpsmene"/>
        <w:spacing w:before="0"/>
        <w:rPr>
          <w:szCs w:val="24"/>
        </w:rPr>
      </w:pPr>
      <w:r>
        <w:rPr>
          <w:szCs w:val="24"/>
        </w:rPr>
        <w:t>h)</w:t>
      </w:r>
      <w:r>
        <w:rPr>
          <w:szCs w:val="24"/>
        </w:rPr>
        <w:tab/>
      </w:r>
      <w:r w:rsidRPr="008354E5">
        <w:rPr>
          <w:szCs w:val="24"/>
        </w:rPr>
        <w:t>uložit jiná vhodná opatření k nápravě.</w:t>
      </w:r>
    </w:p>
    <w:p w14:paraId="77EACAF3" w14:textId="77777777" w:rsidR="00A46E9E" w:rsidRPr="00CF44E0" w:rsidRDefault="00A46E9E" w:rsidP="00A46E9E">
      <w:pPr>
        <w:pStyle w:val="PZTextodstavce"/>
      </w:pPr>
      <w:r w:rsidRPr="00CF44E0">
        <w:t>(3) Česká národní banka může osobě podléhající jejímu dohledu, která obdržela souhlas používat interní přístup nebo interní model k výpočtu kapitálových požadavků podle části třetí nařízení Evropského parlamentu a Rady (EU) č. 575/2013, ale nesplňuj</w:t>
      </w:r>
      <w:r>
        <w:t>e požadavky pro jeho používání,</w:t>
      </w:r>
    </w:p>
    <w:p w14:paraId="0578D121" w14:textId="77777777" w:rsidR="00A46E9E" w:rsidRPr="008354E5" w:rsidRDefault="00A46E9E" w:rsidP="00B811D2">
      <w:pPr>
        <w:pStyle w:val="PZTextpsmene"/>
        <w:spacing w:before="0"/>
        <w:rPr>
          <w:szCs w:val="24"/>
        </w:rPr>
      </w:pPr>
      <w:r>
        <w:rPr>
          <w:szCs w:val="24"/>
        </w:rPr>
        <w:t>a)</w:t>
      </w:r>
      <w:r>
        <w:rPr>
          <w:szCs w:val="24"/>
        </w:rPr>
        <w:tab/>
      </w:r>
      <w:r w:rsidRPr="008354E5">
        <w:rPr>
          <w:szCs w:val="24"/>
        </w:rPr>
        <w:t>uložit, aby prokázala, že nesoulad s požadavky na interní přístup nebo interní model je nepodstatný,</w:t>
      </w:r>
    </w:p>
    <w:p w14:paraId="06FB946A" w14:textId="77777777" w:rsidR="00A46E9E" w:rsidRPr="008354E5" w:rsidRDefault="00A46E9E" w:rsidP="00B811D2">
      <w:pPr>
        <w:pStyle w:val="PZTextpsmene"/>
        <w:spacing w:before="0"/>
        <w:rPr>
          <w:szCs w:val="24"/>
        </w:rPr>
      </w:pPr>
      <w:r>
        <w:rPr>
          <w:szCs w:val="24"/>
        </w:rPr>
        <w:t>b)</w:t>
      </w:r>
      <w:r>
        <w:rPr>
          <w:szCs w:val="24"/>
        </w:rPr>
        <w:tab/>
      </w:r>
      <w:r w:rsidRPr="008354E5">
        <w:rPr>
          <w:szCs w:val="24"/>
        </w:rPr>
        <w:t>uložit, aby předložila plán na obnovení souladu s požadavky na interní přístup nebo interní model a stanovila lhůtu k jeho provedení,</w:t>
      </w:r>
    </w:p>
    <w:p w14:paraId="7C796D89" w14:textId="77777777" w:rsidR="00A46E9E" w:rsidRPr="008354E5" w:rsidRDefault="00A46E9E" w:rsidP="00B811D2">
      <w:pPr>
        <w:pStyle w:val="PZTextpsmene"/>
        <w:spacing w:before="0"/>
        <w:rPr>
          <w:szCs w:val="24"/>
        </w:rPr>
      </w:pPr>
      <w:r>
        <w:rPr>
          <w:szCs w:val="24"/>
        </w:rPr>
        <w:t>c)</w:t>
      </w:r>
      <w:r>
        <w:rPr>
          <w:szCs w:val="24"/>
        </w:rPr>
        <w:tab/>
      </w:r>
      <w:r w:rsidRPr="008354E5">
        <w:rPr>
          <w:szCs w:val="24"/>
        </w:rPr>
        <w:t>uložit, aby provedla úpravu plánu na obnovení souladu s požadavky na interní přístup nebo interní model a stanovit lhůtu pro provedení těchto úprav, je-li nepravděpodobné, že podle původního plánu bude dosaženo plného souladu, nebo lhůty uvedené v původním plánu jsou nevhodné,</w:t>
      </w:r>
    </w:p>
    <w:p w14:paraId="596C2877" w14:textId="77777777" w:rsidR="00A46E9E" w:rsidRPr="008354E5" w:rsidRDefault="00A46E9E" w:rsidP="00B811D2">
      <w:pPr>
        <w:pStyle w:val="PZTextpsmene"/>
        <w:spacing w:before="0"/>
        <w:rPr>
          <w:szCs w:val="24"/>
        </w:rPr>
      </w:pPr>
      <w:r>
        <w:rPr>
          <w:szCs w:val="24"/>
        </w:rPr>
        <w:t>d)</w:t>
      </w:r>
      <w:r>
        <w:rPr>
          <w:szCs w:val="24"/>
        </w:rPr>
        <w:tab/>
      </w:r>
      <w:r w:rsidRPr="008354E5">
        <w:rPr>
          <w:szCs w:val="24"/>
        </w:rPr>
        <w:t>omezit souhlas na oblasti, které splňují stanovené požadavky nebo u nichž lze dosáhnout souladu v rámci příslušné lhůty,</w:t>
      </w:r>
    </w:p>
    <w:p w14:paraId="25593546" w14:textId="77777777" w:rsidR="00A46E9E" w:rsidRPr="008354E5" w:rsidRDefault="00A46E9E" w:rsidP="00B811D2">
      <w:pPr>
        <w:pStyle w:val="PZTextpsmene"/>
        <w:spacing w:before="0"/>
        <w:rPr>
          <w:szCs w:val="24"/>
        </w:rPr>
      </w:pPr>
      <w:r>
        <w:rPr>
          <w:szCs w:val="24"/>
        </w:rPr>
        <w:t>e)</w:t>
      </w:r>
      <w:r>
        <w:rPr>
          <w:szCs w:val="24"/>
        </w:rPr>
        <w:tab/>
      </w:r>
      <w:r w:rsidRPr="008354E5">
        <w:rPr>
          <w:szCs w:val="24"/>
        </w:rPr>
        <w:t>odejmout souhlas s používáním interního přístupu nebo interního modelu, který vyžaduje souhlas, pokud je nepravděpodobné, že banka bude schopna obnovit soulad v rámci příslušné lhůty nebo neprokázala, že nesoulad je nepodstatný,</w:t>
      </w:r>
    </w:p>
    <w:p w14:paraId="6A5D8250" w14:textId="77777777" w:rsidR="00A46E9E" w:rsidRPr="008354E5" w:rsidRDefault="00A46E9E" w:rsidP="00B811D2">
      <w:pPr>
        <w:pStyle w:val="PZTextpsmene"/>
        <w:spacing w:before="0"/>
        <w:rPr>
          <w:szCs w:val="24"/>
        </w:rPr>
      </w:pPr>
      <w:r>
        <w:rPr>
          <w:szCs w:val="24"/>
        </w:rPr>
        <w:t>f)</w:t>
      </w:r>
      <w:r>
        <w:rPr>
          <w:szCs w:val="24"/>
        </w:rPr>
        <w:tab/>
      </w:r>
      <w:r w:rsidRPr="008354E5">
        <w:rPr>
          <w:szCs w:val="24"/>
        </w:rPr>
        <w:t>odejmout souhlas s používáním interního modelu tržního rizika nebo uložit vhodná opatření k zajištění jeho okamžitého zlepšení, pokud u interního modelu naznačuje velký počet překročení uvedených v čl. 366 nařízení Evropského parlamentu a Rady (EU) č. 575/2013, že model není dostatečně přesný,</w:t>
      </w:r>
    </w:p>
    <w:p w14:paraId="205D26A2" w14:textId="77777777" w:rsidR="00A46E9E" w:rsidRPr="008354E5" w:rsidRDefault="00A46E9E" w:rsidP="00B811D2">
      <w:pPr>
        <w:pStyle w:val="PZTextpsmene"/>
        <w:spacing w:before="0"/>
        <w:rPr>
          <w:szCs w:val="24"/>
        </w:rPr>
      </w:pPr>
      <w:r>
        <w:rPr>
          <w:szCs w:val="24"/>
        </w:rPr>
        <w:t>g)</w:t>
      </w:r>
      <w:r>
        <w:rPr>
          <w:szCs w:val="24"/>
        </w:rPr>
        <w:tab/>
      </w:r>
      <w:r w:rsidRPr="008354E5">
        <w:rPr>
          <w:szCs w:val="24"/>
        </w:rPr>
        <w:t>uložit jiná vhodná opatření.</w:t>
      </w:r>
    </w:p>
    <w:p w14:paraId="309FDA16" w14:textId="77777777" w:rsidR="00A46E9E" w:rsidRPr="00CF44E0" w:rsidRDefault="00A46E9E" w:rsidP="00A46E9E">
      <w:pPr>
        <w:pStyle w:val="PZTextodstavce"/>
      </w:pPr>
      <w:r>
        <w:t>(4)</w:t>
      </w:r>
      <w:r>
        <w:tab/>
      </w:r>
      <w:r w:rsidRPr="00CF44E0">
        <w:t>Česká národní banka může osobě podléhající jejímu dohledu uložit, aby pro účely řízení úrokového rizika investičního portfolia použila standardizovanou metodiku stanovenou přímo použitelným předpisem Evropské unie vydaným podle čl. 84 směrnice 2013/36/EU upravujícím standardizovanou metodiku pro hodnocení úrokového rizika investičního portfolia, pokud zjednodušená standardizovaná metodika nebo systém řízení úrokového rizika investičního portfolia používaný povinnou osobou nezajišťují řádnou identifikaci, hodnocení, řízení a snižování úrokového rizika investičního portfolia.</w:t>
      </w:r>
    </w:p>
    <w:p w14:paraId="7F7E5189" w14:textId="77777777" w:rsidR="00A46E9E" w:rsidRPr="00CF44E0" w:rsidRDefault="00A46E9E" w:rsidP="00A46E9E">
      <w:pPr>
        <w:pStyle w:val="PZTextodstavce"/>
      </w:pPr>
      <w:r>
        <w:t>(5)</w:t>
      </w:r>
      <w:r>
        <w:tab/>
      </w:r>
      <w:r w:rsidRPr="00CF44E0">
        <w:t>V případě zjištění nedostatku v činnosti osoby podléhající jejímu d</w:t>
      </w:r>
      <w:r>
        <w:t>ohledu může Česká národní banka</w:t>
      </w:r>
      <w:r w:rsidRPr="00CF44E0">
        <w:t xml:space="preserve"> </w:t>
      </w:r>
    </w:p>
    <w:p w14:paraId="2C0AE2EA" w14:textId="77777777" w:rsidR="00A46E9E" w:rsidRPr="008354E5" w:rsidRDefault="00A46E9E" w:rsidP="00B811D2">
      <w:pPr>
        <w:pStyle w:val="PZTextpsmene"/>
        <w:spacing w:before="0"/>
        <w:rPr>
          <w:szCs w:val="24"/>
        </w:rPr>
      </w:pPr>
      <w:r>
        <w:rPr>
          <w:szCs w:val="24"/>
        </w:rPr>
        <w:t>a)</w:t>
      </w:r>
      <w:r>
        <w:rPr>
          <w:szCs w:val="24"/>
        </w:rPr>
        <w:tab/>
      </w:r>
      <w:r w:rsidRPr="008354E5">
        <w:rPr>
          <w:szCs w:val="24"/>
        </w:rPr>
        <w:t>uložit, aby tato osoba</w:t>
      </w:r>
    </w:p>
    <w:p w14:paraId="38B00572" w14:textId="77777777" w:rsidR="00A46E9E" w:rsidRPr="00CF44E0" w:rsidRDefault="00A46E9E" w:rsidP="00B811D2">
      <w:pPr>
        <w:pStyle w:val="PZTextbodu"/>
        <w:spacing w:before="0"/>
      </w:pPr>
      <w:r>
        <w:t>1.</w:t>
      </w:r>
      <w:r>
        <w:tab/>
      </w:r>
      <w:r w:rsidRPr="00CF44E0">
        <w:t>vyměnila člena statutárního orgánu, člena správní rady nebo člena dozorčí rady, osobu ve vedení pobočky zahraniční banky nebo jinou odpovědnou fyzickou osobu,</w:t>
      </w:r>
    </w:p>
    <w:p w14:paraId="53CDC978" w14:textId="77777777" w:rsidR="00A46E9E" w:rsidRPr="00CF44E0" w:rsidRDefault="00A46E9E" w:rsidP="00B811D2">
      <w:pPr>
        <w:pStyle w:val="PZTextbodu"/>
        <w:spacing w:before="0"/>
      </w:pPr>
      <w:r>
        <w:t>2.</w:t>
      </w:r>
      <w:r>
        <w:tab/>
      </w:r>
      <w:r w:rsidRPr="00CF44E0">
        <w:t>vytvořila odpovídající výši opravných položek a rezerv,</w:t>
      </w:r>
    </w:p>
    <w:p w14:paraId="18B6DF61" w14:textId="77777777" w:rsidR="00A46E9E" w:rsidRPr="00CF44E0" w:rsidRDefault="00A46E9E" w:rsidP="00B811D2">
      <w:pPr>
        <w:pStyle w:val="PZTextbodu"/>
        <w:spacing w:before="0"/>
      </w:pPr>
      <w:r>
        <w:t>3.</w:t>
      </w:r>
      <w:r>
        <w:tab/>
      </w:r>
      <w:r w:rsidRPr="00CF44E0">
        <w:t>snížila nebo zvýšila základní kapitál ve stanoveném rozsahu,</w:t>
      </w:r>
    </w:p>
    <w:p w14:paraId="3AA45D76" w14:textId="77777777" w:rsidR="00A46E9E" w:rsidRPr="00CF44E0" w:rsidRDefault="00A46E9E" w:rsidP="00B811D2">
      <w:pPr>
        <w:pStyle w:val="PZTextbodu"/>
        <w:spacing w:before="0"/>
      </w:pPr>
      <w:r>
        <w:lastRenderedPageBreak/>
        <w:t>4.</w:t>
      </w:r>
      <w:r>
        <w:tab/>
      </w:r>
      <w:r w:rsidRPr="00CF44E0">
        <w:t>snížila základní kapitál za účelem úhrady ztráty o částku odpovídající ztrátě po jejím zúčtování s rezervními a dalšími fondy za předpokladu, že ztráta přesahuje 20 % vlastního kapitálu,</w:t>
      </w:r>
    </w:p>
    <w:p w14:paraId="4EA24DCF" w14:textId="77777777" w:rsidR="00A46E9E" w:rsidRPr="00CF44E0" w:rsidRDefault="00A46E9E" w:rsidP="00B811D2">
      <w:pPr>
        <w:pStyle w:val="PZTextbodu"/>
        <w:spacing w:before="0"/>
      </w:pPr>
      <w:r>
        <w:t>5.</w:t>
      </w:r>
      <w:r>
        <w:tab/>
      </w:r>
      <w:r w:rsidRPr="00CF44E0">
        <w:t>snížila výši svého podílu v jiné osobě nebo převedla svůj podíl v této osobě na jinou osobu anebo jinak omezila rizika plynouc</w:t>
      </w:r>
      <w:r>
        <w:t>í z jejího podílu v této osobě,</w:t>
      </w:r>
    </w:p>
    <w:p w14:paraId="438FE527" w14:textId="77777777" w:rsidR="00A46E9E" w:rsidRPr="008354E5" w:rsidRDefault="00A46E9E" w:rsidP="00B811D2">
      <w:pPr>
        <w:pStyle w:val="PZTextpsmene"/>
        <w:spacing w:before="0"/>
        <w:rPr>
          <w:szCs w:val="24"/>
        </w:rPr>
      </w:pPr>
      <w:r>
        <w:rPr>
          <w:szCs w:val="24"/>
        </w:rPr>
        <w:t>b)</w:t>
      </w:r>
      <w:r>
        <w:rPr>
          <w:szCs w:val="24"/>
        </w:rPr>
        <w:tab/>
      </w:r>
      <w:r w:rsidRPr="008354E5">
        <w:rPr>
          <w:szCs w:val="24"/>
        </w:rPr>
        <w:t>změnit licenci vyloučením nebo omezením některých činností v ní uvedených,</w:t>
      </w:r>
    </w:p>
    <w:p w14:paraId="0256D2AD" w14:textId="77777777" w:rsidR="00A46E9E" w:rsidRPr="00ED4D1A" w:rsidRDefault="00A46E9E" w:rsidP="00B811D2">
      <w:pPr>
        <w:pStyle w:val="PZTextpsmene"/>
        <w:spacing w:before="0"/>
        <w:rPr>
          <w:strike/>
          <w:szCs w:val="24"/>
        </w:rPr>
      </w:pPr>
      <w:r w:rsidRPr="00ED4D1A">
        <w:rPr>
          <w:strike/>
          <w:szCs w:val="24"/>
        </w:rPr>
        <w:t>c)</w:t>
      </w:r>
      <w:r w:rsidRPr="00ED4D1A">
        <w:rPr>
          <w:strike/>
          <w:szCs w:val="24"/>
        </w:rPr>
        <w:tab/>
        <w:t xml:space="preserve">nařídit mimořádný audit na náklady banky nebo pobočky banky z jiného než členského státu, </w:t>
      </w:r>
    </w:p>
    <w:p w14:paraId="57DCF197" w14:textId="77777777" w:rsidR="00A46E9E" w:rsidRPr="008354E5" w:rsidRDefault="00A46E9E" w:rsidP="00B811D2">
      <w:pPr>
        <w:pStyle w:val="PZTextpsmene"/>
        <w:spacing w:before="0"/>
        <w:rPr>
          <w:szCs w:val="24"/>
        </w:rPr>
      </w:pPr>
      <w:r w:rsidRPr="008354E5">
        <w:rPr>
          <w:strike/>
          <w:szCs w:val="24"/>
        </w:rPr>
        <w:t>d</w:t>
      </w:r>
      <w:r>
        <w:rPr>
          <w:strike/>
          <w:szCs w:val="24"/>
        </w:rPr>
        <w:t>)</w:t>
      </w:r>
      <w:r>
        <w:rPr>
          <w:b/>
          <w:szCs w:val="24"/>
        </w:rPr>
        <w:t>c</w:t>
      </w:r>
      <w:r w:rsidRPr="00C12310">
        <w:rPr>
          <w:b/>
          <w:szCs w:val="24"/>
        </w:rPr>
        <w:t>)</w:t>
      </w:r>
      <w:r>
        <w:rPr>
          <w:szCs w:val="24"/>
        </w:rPr>
        <w:tab/>
      </w:r>
      <w:r w:rsidRPr="008354E5">
        <w:rPr>
          <w:szCs w:val="24"/>
        </w:rPr>
        <w:t>zakázat nebo omezit provádění operací s osobami, které jsou spjaty úzkým propojením s bankou nebo které jsou součástí stejné skupiny jako banka nebo mají k bance nebo pobočce banky z jiného než členského státu zvláštní vztah podle § 19,</w:t>
      </w:r>
    </w:p>
    <w:p w14:paraId="522D1748" w14:textId="77777777" w:rsidR="00A46E9E" w:rsidRPr="008354E5" w:rsidRDefault="00A46E9E" w:rsidP="00B811D2">
      <w:pPr>
        <w:tabs>
          <w:tab w:val="left" w:pos="425"/>
          <w:tab w:val="left" w:pos="851"/>
        </w:tabs>
        <w:spacing w:before="0"/>
        <w:ind w:left="426" w:hanging="426"/>
        <w:rPr>
          <w:szCs w:val="24"/>
        </w:rPr>
      </w:pPr>
      <w:r w:rsidRPr="008354E5">
        <w:rPr>
          <w:strike/>
          <w:szCs w:val="24"/>
        </w:rPr>
        <w:t>e</w:t>
      </w:r>
      <w:r>
        <w:rPr>
          <w:strike/>
          <w:szCs w:val="24"/>
        </w:rPr>
        <w:t>)</w:t>
      </w:r>
      <w:r>
        <w:rPr>
          <w:b/>
          <w:szCs w:val="24"/>
        </w:rPr>
        <w:t>d</w:t>
      </w:r>
      <w:r w:rsidRPr="00C12310">
        <w:rPr>
          <w:b/>
          <w:szCs w:val="24"/>
        </w:rPr>
        <w:t>)</w:t>
      </w:r>
      <w:r w:rsidRPr="00C12310">
        <w:rPr>
          <w:b/>
          <w:szCs w:val="24"/>
        </w:rPr>
        <w:tab/>
      </w:r>
      <w:r w:rsidRPr="008354E5">
        <w:rPr>
          <w:szCs w:val="24"/>
        </w:rPr>
        <w:t xml:space="preserve">uložit zvýšit likvidní prostředky banky nebo pobočky banky z jiného než členského státu alespoň na výši stanovenou Českou národní bankou, </w:t>
      </w:r>
    </w:p>
    <w:p w14:paraId="26E30571" w14:textId="77777777" w:rsidR="00A46E9E" w:rsidRPr="008354E5" w:rsidRDefault="00A46E9E" w:rsidP="00B811D2">
      <w:pPr>
        <w:tabs>
          <w:tab w:val="left" w:pos="425"/>
          <w:tab w:val="left" w:pos="851"/>
        </w:tabs>
        <w:spacing w:before="0"/>
        <w:ind w:left="425" w:hanging="425"/>
        <w:rPr>
          <w:szCs w:val="24"/>
        </w:rPr>
      </w:pPr>
      <w:r w:rsidRPr="008354E5">
        <w:rPr>
          <w:strike/>
          <w:szCs w:val="24"/>
        </w:rPr>
        <w:t>f</w:t>
      </w:r>
      <w:r>
        <w:rPr>
          <w:strike/>
          <w:szCs w:val="24"/>
        </w:rPr>
        <w:t>)</w:t>
      </w:r>
      <w:r>
        <w:rPr>
          <w:b/>
          <w:szCs w:val="24"/>
        </w:rPr>
        <w:t>e</w:t>
      </w:r>
      <w:r w:rsidRPr="00C12310">
        <w:rPr>
          <w:b/>
          <w:szCs w:val="24"/>
        </w:rPr>
        <w:t>)</w:t>
      </w:r>
      <w:r>
        <w:rPr>
          <w:szCs w:val="24"/>
        </w:rPr>
        <w:tab/>
      </w:r>
      <w:r w:rsidRPr="008354E5">
        <w:rPr>
          <w:szCs w:val="24"/>
        </w:rPr>
        <w:t xml:space="preserve">odejmout souhlas s používáním interního přístupu pro výpočet kapitálového požadavku podle části třetí nařízení Evropského parlamentu a Rady (EU) č. 575/2013. </w:t>
      </w:r>
    </w:p>
    <w:p w14:paraId="6E54832F" w14:textId="77777777" w:rsidR="00A46E9E" w:rsidRPr="007216B7" w:rsidRDefault="00A46E9E" w:rsidP="00A46E9E">
      <w:pPr>
        <w:pStyle w:val="PZTextodstavce"/>
        <w:rPr>
          <w:bCs/>
          <w:i/>
          <w:iCs/>
        </w:rPr>
      </w:pPr>
      <w:r w:rsidRPr="00B45FAD">
        <w:rPr>
          <w:b/>
        </w:rPr>
        <w:t xml:space="preserve">(6) Česká národní banka může nařídit bance změnu auditora provádějícího </w:t>
      </w:r>
      <w:r w:rsidRPr="00137262">
        <w:rPr>
          <w:b/>
        </w:rPr>
        <w:t>povinný audit</w:t>
      </w:r>
      <w:r w:rsidRPr="00B45FAD">
        <w:rPr>
          <w:b/>
        </w:rPr>
        <w:t xml:space="preserve">, pokud auditor nesplní povinnost informovat Českou národní banku o skutečnostech zjištěných podle § 21 odst. 3 nebo 4 zákona </w:t>
      </w:r>
      <w:r>
        <w:rPr>
          <w:b/>
        </w:rPr>
        <w:t>o auditorech</w:t>
      </w:r>
      <w:r w:rsidRPr="00B45FAD">
        <w:rPr>
          <w:b/>
        </w:rPr>
        <w:t xml:space="preserve">. </w:t>
      </w:r>
    </w:p>
    <w:p w14:paraId="3B3998B0" w14:textId="77777777" w:rsidR="00A46E9E" w:rsidRPr="00CF44E0" w:rsidRDefault="00A46E9E" w:rsidP="00A46E9E">
      <w:pPr>
        <w:pStyle w:val="PZTextodstavce"/>
      </w:pPr>
      <w:proofErr w:type="gramStart"/>
      <w:r w:rsidRPr="00C12310">
        <w:rPr>
          <w:strike/>
        </w:rPr>
        <w:t>(6)</w:t>
      </w:r>
      <w:r w:rsidRPr="00C12310">
        <w:rPr>
          <w:b/>
        </w:rPr>
        <w:t xml:space="preserve">(7) </w:t>
      </w:r>
      <w:r w:rsidRPr="00CF44E0">
        <w:t>Česká</w:t>
      </w:r>
      <w:proofErr w:type="gramEnd"/>
      <w:r w:rsidRPr="00CF44E0">
        <w:t xml:space="preserve"> národní banka může uložit fyzické osobě nebo právnické osobě nepodléhající jejímu dohledu, která neplní povinnost uloženou tímto zákonem, právním předpisem jej provádějícím, rozhodnutím vydaným podle tohoto zákona, přímo použitelným předpisem Evropské unie upravujícím obezřetnostní požadavky nebo nařízením nebo rozhodnutím Evropské komise, aby upustila od tohoto protiprávního jednání a zdržela se jeho opakování</w:t>
      </w:r>
      <w:r>
        <w:t>; Česká národní banka může dále</w:t>
      </w:r>
    </w:p>
    <w:p w14:paraId="2BA36018" w14:textId="77777777" w:rsidR="00A46E9E" w:rsidRPr="00FF035D" w:rsidRDefault="00A46E9E" w:rsidP="00B811D2">
      <w:pPr>
        <w:pStyle w:val="PZTextpsmene"/>
        <w:spacing w:before="0"/>
        <w:rPr>
          <w:szCs w:val="24"/>
        </w:rPr>
      </w:pPr>
      <w:r>
        <w:rPr>
          <w:szCs w:val="24"/>
        </w:rPr>
        <w:t>a)</w:t>
      </w:r>
      <w:r>
        <w:rPr>
          <w:szCs w:val="24"/>
        </w:rPr>
        <w:tab/>
      </w:r>
      <w:r w:rsidRPr="00FF035D">
        <w:rPr>
          <w:szCs w:val="24"/>
        </w:rPr>
        <w:t>pozastavit výkon hlasovacích práv akcionáři nebo akcionářům odpovědným za protiprávní jednání,</w:t>
      </w:r>
    </w:p>
    <w:p w14:paraId="35AA4F7D" w14:textId="77777777" w:rsidR="00A46E9E" w:rsidRPr="00FF035D" w:rsidRDefault="00A46E9E" w:rsidP="00B811D2">
      <w:pPr>
        <w:pStyle w:val="PZTextpsmene"/>
        <w:spacing w:before="0"/>
        <w:rPr>
          <w:szCs w:val="24"/>
        </w:rPr>
      </w:pPr>
      <w:r>
        <w:rPr>
          <w:szCs w:val="24"/>
        </w:rPr>
        <w:t>b)</w:t>
      </w:r>
      <w:r>
        <w:rPr>
          <w:szCs w:val="24"/>
        </w:rPr>
        <w:tab/>
      </w:r>
      <w:r w:rsidRPr="00FF035D">
        <w:rPr>
          <w:szCs w:val="24"/>
        </w:rPr>
        <w:t>dočasně zakázat členu statutárního orgánu, správní rady nebo dozorčí rady banky nebo jiné odpovědné fyzické osobě výkon funkce v bance nebo výkon funkce v jiné bance nebo zahraniční bance,</w:t>
      </w:r>
    </w:p>
    <w:p w14:paraId="61B82EEC" w14:textId="77777777" w:rsidR="00A46E9E" w:rsidRPr="00FF035D" w:rsidRDefault="00A46E9E" w:rsidP="00B811D2">
      <w:pPr>
        <w:pStyle w:val="PZTextpsmene"/>
        <w:spacing w:before="0"/>
        <w:rPr>
          <w:szCs w:val="24"/>
        </w:rPr>
      </w:pPr>
      <w:r>
        <w:rPr>
          <w:szCs w:val="24"/>
        </w:rPr>
        <w:t>c)</w:t>
      </w:r>
      <w:r>
        <w:rPr>
          <w:szCs w:val="24"/>
        </w:rPr>
        <w:tab/>
      </w:r>
      <w:r w:rsidRPr="00FF035D">
        <w:rPr>
          <w:szCs w:val="24"/>
        </w:rPr>
        <w:t xml:space="preserve">uveřejnit informaci o tom, která osoba je odpovědná za protiprávní jednání a jaká je jeho povaha. </w:t>
      </w:r>
    </w:p>
    <w:p w14:paraId="71ECFCA2" w14:textId="77777777" w:rsidR="00A46E9E" w:rsidRPr="00CF44E0" w:rsidRDefault="00A46E9E" w:rsidP="00A46E9E">
      <w:pPr>
        <w:pStyle w:val="PZTextodstavce"/>
      </w:pPr>
      <w:proofErr w:type="gramStart"/>
      <w:r w:rsidRPr="00C12310">
        <w:rPr>
          <w:strike/>
        </w:rPr>
        <w:t>(7)</w:t>
      </w:r>
      <w:r w:rsidRPr="00C12310">
        <w:rPr>
          <w:b/>
        </w:rPr>
        <w:t>(8</w:t>
      </w:r>
      <w:r>
        <w:rPr>
          <w:b/>
        </w:rPr>
        <w:t xml:space="preserve">) </w:t>
      </w:r>
      <w:r w:rsidRPr="00CF44E0">
        <w:t>Postup</w:t>
      </w:r>
      <w:proofErr w:type="gramEnd"/>
      <w:r w:rsidRPr="00CF44E0">
        <w:t xml:space="preserve"> podle odstavce 2 písm. a) bodů 1, 2 a 4 a odstavce 5 písm. a) bodu 4 a odstavce 5 písm. </w:t>
      </w:r>
      <w:r w:rsidRPr="00614F09">
        <w:rPr>
          <w:strike/>
        </w:rPr>
        <w:t>d</w:t>
      </w:r>
      <w:r>
        <w:rPr>
          <w:strike/>
        </w:rPr>
        <w:t>)</w:t>
      </w:r>
      <w:r>
        <w:rPr>
          <w:b/>
        </w:rPr>
        <w:t>c</w:t>
      </w:r>
      <w:r w:rsidRPr="006D3723">
        <w:rPr>
          <w:b/>
        </w:rPr>
        <w:t>)</w:t>
      </w:r>
      <w:r w:rsidRPr="00CF44E0">
        <w:t xml:space="preserve"> nelze uplatnit vůči pobočce banky z členského státu a postup podle odstavce 2 písm. a) bodu 4 nelze uplatnit vůči pobočce bank</w:t>
      </w:r>
      <w:r>
        <w:t>y z jiného než členského státu.</w:t>
      </w:r>
      <w:r w:rsidRPr="00CF44E0">
        <w:t xml:space="preserve"> </w:t>
      </w:r>
    </w:p>
    <w:p w14:paraId="2BA4B815" w14:textId="77777777" w:rsidR="00A46E9E" w:rsidRDefault="00A46E9E" w:rsidP="00A46E9E">
      <w:pPr>
        <w:pStyle w:val="PZTextodstavce"/>
      </w:pPr>
      <w:proofErr w:type="gramStart"/>
      <w:r w:rsidRPr="00C12310">
        <w:rPr>
          <w:strike/>
        </w:rPr>
        <w:t>(8)</w:t>
      </w:r>
      <w:r w:rsidRPr="00C12310">
        <w:rPr>
          <w:b/>
        </w:rPr>
        <w:t xml:space="preserve">(9) </w:t>
      </w:r>
      <w:r w:rsidRPr="00CF44E0">
        <w:t>Česká</w:t>
      </w:r>
      <w:proofErr w:type="gramEnd"/>
      <w:r w:rsidRPr="00CF44E0">
        <w:t xml:space="preserve"> národní banka může uložit opatření k nápravě podle odstavců </w:t>
      </w:r>
      <w:r w:rsidRPr="00D96149">
        <w:t xml:space="preserve">2 až 4, odstavce </w:t>
      </w:r>
      <w:r w:rsidRPr="007608B5">
        <w:rPr>
          <w:strike/>
        </w:rPr>
        <w:t>6</w:t>
      </w:r>
      <w:r w:rsidRPr="007608B5">
        <w:rPr>
          <w:b/>
        </w:rPr>
        <w:t xml:space="preserve">5 </w:t>
      </w:r>
      <w:r w:rsidRPr="007608B5">
        <w:t xml:space="preserve">písm. </w:t>
      </w:r>
      <w:r w:rsidRPr="007608B5">
        <w:rPr>
          <w:strike/>
        </w:rPr>
        <w:t>f)</w:t>
      </w:r>
      <w:r w:rsidRPr="007608B5">
        <w:t xml:space="preserve"> </w:t>
      </w:r>
      <w:r w:rsidRPr="007608B5">
        <w:rPr>
          <w:b/>
        </w:rPr>
        <w:t xml:space="preserve">e) </w:t>
      </w:r>
      <w:r w:rsidRPr="00945288">
        <w:t xml:space="preserve">a </w:t>
      </w:r>
      <w:r w:rsidRPr="007608B5">
        <w:t>odstavce 7</w:t>
      </w:r>
      <w:r>
        <w:t xml:space="preserve"> </w:t>
      </w:r>
      <w:r w:rsidRPr="008C2BE6">
        <w:t>také, jestliže má důvodné podezření, že nedostatek</w:t>
      </w:r>
      <w:r w:rsidRPr="00CF44E0">
        <w:t xml:space="preserve"> v činnosti může v průběhu následujících 12 měsíců nastat.</w:t>
      </w:r>
    </w:p>
    <w:p w14:paraId="6936C063" w14:textId="77777777" w:rsidR="00A46E9E" w:rsidRDefault="00A46E9E" w:rsidP="00A46E9E">
      <w:pPr>
        <w:pStyle w:val="Paragraf"/>
        <w:numPr>
          <w:ilvl w:val="0"/>
          <w:numId w:val="28"/>
        </w:numPr>
        <w:spacing w:before="120"/>
      </w:pPr>
      <w:r>
        <w:t>***</w:t>
      </w:r>
    </w:p>
    <w:p w14:paraId="747F9018" w14:textId="77777777" w:rsidR="00A46E9E" w:rsidRPr="001C7C69" w:rsidRDefault="00A46E9E" w:rsidP="00A46E9E">
      <w:pPr>
        <w:pStyle w:val="Paragraf"/>
        <w:numPr>
          <w:ilvl w:val="0"/>
          <w:numId w:val="28"/>
        </w:numPr>
      </w:pPr>
      <w:r w:rsidRPr="001C7C69">
        <w:t>§ 26g</w:t>
      </w:r>
    </w:p>
    <w:p w14:paraId="5CC7EBC4" w14:textId="77777777" w:rsidR="00A46E9E" w:rsidRPr="001C7C69" w:rsidRDefault="00A46E9E" w:rsidP="00A46E9E">
      <w:pPr>
        <w:pStyle w:val="Textparagrafu"/>
        <w:ind w:firstLine="0"/>
        <w:contextualSpacing/>
        <w:jc w:val="center"/>
        <w:rPr>
          <w:b/>
        </w:rPr>
      </w:pPr>
      <w:r w:rsidRPr="002A7FDD">
        <w:rPr>
          <w:b/>
        </w:rPr>
        <w:t>Další povinnosti osob při výkonu dohledu na konsolidovaném základě</w:t>
      </w:r>
    </w:p>
    <w:p w14:paraId="7CACB290" w14:textId="77777777" w:rsidR="00A46E9E" w:rsidRPr="002A7FDD" w:rsidRDefault="00A46E9E" w:rsidP="00A46E9E">
      <w:pPr>
        <w:pStyle w:val="PZTextodstavce"/>
      </w:pPr>
      <w:r w:rsidRPr="002A7FDD">
        <w:t>(1) Osoby zahrnuté do skupiny jsou povinny pro účely dohledu na konsolidovaném základě poskytovat České národní bance informace a dokumenty, vytvořit odpovídající kontrolní mechanismy zajišťující správnost poskytovaných informací a pravost a úplnost poskytovaných dokumentů a umožnit proveden</w:t>
      </w:r>
      <w:r>
        <w:t>í kontroly podle § 26n odst. 2.</w:t>
      </w:r>
    </w:p>
    <w:p w14:paraId="084B41E4" w14:textId="77777777" w:rsidR="00A46E9E" w:rsidRPr="002A7FDD" w:rsidRDefault="00A46E9E" w:rsidP="00A46E9E">
      <w:pPr>
        <w:pStyle w:val="PZTextodstavce"/>
      </w:pPr>
      <w:r w:rsidRPr="002A7FDD">
        <w:lastRenderedPageBreak/>
        <w:t>(2) Je-li Česká národní banka orgánem určeným k výkonu dohledu na konsolidovaném základě, tuzemská ovládající banka, evropsk</w:t>
      </w:r>
      <w:r>
        <w:t>á ovládající úvěrová instituce</w:t>
      </w:r>
      <w:r w:rsidRPr="002A7FDD">
        <w:t>, tuzemská finanční holdingová osoba, evropská finanční holdingová osoba, tuzemská smíšená finanční holdingová osoba a evropská smíšená finanční holdingová osoba předem oznámí České národní bance auditory, kteří budou pro</w:t>
      </w:r>
      <w:r>
        <w:t xml:space="preserve">vádět </w:t>
      </w:r>
      <w:r w:rsidRPr="00137262">
        <w:rPr>
          <w:b/>
        </w:rPr>
        <w:t>povinný</w:t>
      </w:r>
      <w:r>
        <w:t xml:space="preserve"> audit jí ovládaných osob.</w:t>
      </w:r>
    </w:p>
    <w:p w14:paraId="4A2B79CE" w14:textId="77777777" w:rsidR="00A46E9E" w:rsidRPr="002A7FDD" w:rsidRDefault="00A46E9E" w:rsidP="00A46E9E">
      <w:pPr>
        <w:pStyle w:val="PZTextodstavce"/>
      </w:pPr>
      <w:r w:rsidRPr="002A7FDD">
        <w:t>(3) Finanční holdingová osoba a smíšená finanční holdingová osoba jsou povinny zajistit, aby jejich statutárním orgánem, členem jejich statutárního orgánu, členem správní rady nebo členem dozorčí rady byla osoba důvěryhodná, dostatečně odborně způsobilá a zkušená pro výkon své funkce a pro zajištění plnění požadavků vyplývajících pro finanční holdingovou osobu a smíšenou finanční holdingovou osobu z tohoto zákona. Podrobnější požadavky stanoví Česká n</w:t>
      </w:r>
      <w:r>
        <w:t>árodní banka vyhláškou.</w:t>
      </w:r>
    </w:p>
    <w:p w14:paraId="00ECB399" w14:textId="77777777" w:rsidR="00A46E9E" w:rsidRPr="002A7FDD" w:rsidRDefault="00A46E9E" w:rsidP="00A46E9E">
      <w:pPr>
        <w:pStyle w:val="PZTextodstavce"/>
      </w:pPr>
      <w:r w:rsidRPr="002A7FDD">
        <w:t xml:space="preserve">(4) Finanční holdingová osoba a smíšená finanční holdingová osoba je povinna informovat Českou národní banku o návrzích personálních změn ve statutárním orgánu, správní radě a dozorčí radě, včetně předložení podkladů nezbytných pro posouzení odborné způsobilosti, důvěryhodnosti a zkušenosti navrhovaných osob. Fyzická osoba, která je navrhovaná za člena orgánu, je povinna finanční holdingové osobě nebo smíšené finanční holdingové osobě poskytnout </w:t>
      </w:r>
      <w:r>
        <w:t>potřebné podklady a součinnost.</w:t>
      </w:r>
      <w:r w:rsidRPr="002A7FDD">
        <w:t xml:space="preserve"> </w:t>
      </w:r>
    </w:p>
    <w:p w14:paraId="13B2AD4E" w14:textId="77777777" w:rsidR="00A46E9E" w:rsidRPr="002A7FDD" w:rsidRDefault="00A46E9E" w:rsidP="00A46E9E">
      <w:pPr>
        <w:pStyle w:val="PZTextodstavce"/>
      </w:pPr>
      <w:r>
        <w:t>(5)</w:t>
      </w:r>
      <w:r>
        <w:tab/>
      </w:r>
      <w:r w:rsidRPr="002A7FDD">
        <w:t>Osoba, která se nově stane finanční holdingovou osobou nebo smíšenou finanční holdingovou osobou, je povinna splnit povinnost podle odstavce 4 do 2 měsíců ode dne, kdy se stane finanční holdingovou osobou nebo smíšenou finanční holdingovou osobou. Neučiní-li tak, má se za to, že jednotliví členové statutárního orgánu, správní rady nebo dozorčí rady této finanční holdingové osoby nebo smíšené finanční holdingové osoby n</w:t>
      </w:r>
      <w:r>
        <w:t>esplňují stanovené předpoklady.</w:t>
      </w:r>
    </w:p>
    <w:p w14:paraId="48AF5012" w14:textId="77777777" w:rsidR="00A46E9E" w:rsidRPr="002A7FDD" w:rsidRDefault="00A46E9E" w:rsidP="00A46E9E">
      <w:pPr>
        <w:pStyle w:val="PZTextodstavce"/>
      </w:pPr>
      <w:r w:rsidRPr="002A7FDD">
        <w:t>(6)</w:t>
      </w:r>
      <w:r>
        <w:tab/>
      </w:r>
      <w:r w:rsidRPr="002A7FDD">
        <w:t>Česká národní banka může požadovat po finanční holdingové osobě nebo smíšené finanční holdingové osobě výměnu osoby, která je členem statutárního orgánu, správní rady nebo dozorčí rady finanční holdingové osoby nebo smíšené finanční holdingové osoby, jestliže tato osoba není dostatečně odborně způsobil</w:t>
      </w:r>
      <w:r>
        <w:t>á, zkušená nebo důvěryhodná.</w:t>
      </w:r>
      <w:r w:rsidRPr="002A7FDD">
        <w:t xml:space="preserve"> </w:t>
      </w:r>
    </w:p>
    <w:p w14:paraId="089F9381" w14:textId="77777777" w:rsidR="00A46E9E" w:rsidRPr="002A7FDD" w:rsidRDefault="00A46E9E" w:rsidP="00A46E9E">
      <w:pPr>
        <w:pStyle w:val="PZTextodstavce"/>
      </w:pPr>
      <w:r w:rsidRPr="002A7FDD">
        <w:t>(7)</w:t>
      </w:r>
      <w:r>
        <w:tab/>
      </w:r>
      <w:r w:rsidRPr="002A7FDD">
        <w:t>Není-li ovládaná osoba, která je bankou, spořitelním a úvěrním družstvem nebo obchodníkem s cennými papíry, zahrnuta do dohledu na konsolidovaném základě podle čl. 19 nařízení Evropského parlamentu a Rady (EU) č. 575/2013, může Česká národní banka požádat ovládající osobu o informace, které jí mohou usnadnit doh</w:t>
      </w:r>
      <w:r>
        <w:t>led nad touto ovládanou osobou.</w:t>
      </w:r>
    </w:p>
    <w:p w14:paraId="6CEA6645" w14:textId="77777777" w:rsidR="00A46E9E" w:rsidRDefault="00A46E9E" w:rsidP="00A46E9E">
      <w:pPr>
        <w:pStyle w:val="PZTextodstavce"/>
      </w:pPr>
      <w:r w:rsidRPr="002A7FDD">
        <w:t>(8)</w:t>
      </w:r>
      <w:r>
        <w:tab/>
      </w:r>
      <w:r w:rsidRPr="002A7FDD">
        <w:t>Je-li Česká národní banka orgánem určeným k výkonu dohledu na konsolidovaném základě, může požádat osoby ovládané bankou, spořitelním a úvěrním družstvem, finanční holdingovou osobou nebo smíšenou finanční holdingovou osobou, které nejsou zahrnuty do dohledu na konsolidovaném základě, o informace podle § 26f; § 26f se použije obdobně.</w:t>
      </w:r>
    </w:p>
    <w:p w14:paraId="77625DEC" w14:textId="77777777" w:rsidR="00A46E9E" w:rsidRPr="001C7C69" w:rsidRDefault="00A46E9E" w:rsidP="00A46E9E">
      <w:pPr>
        <w:pStyle w:val="Paragraf"/>
        <w:numPr>
          <w:ilvl w:val="0"/>
          <w:numId w:val="28"/>
        </w:numPr>
      </w:pPr>
      <w:r w:rsidRPr="001C7C69">
        <w:t>§ 26h</w:t>
      </w:r>
    </w:p>
    <w:p w14:paraId="13BA267D" w14:textId="77777777" w:rsidR="00A46E9E" w:rsidRPr="001C7C69" w:rsidRDefault="00A46E9E" w:rsidP="00A46E9E">
      <w:pPr>
        <w:pStyle w:val="Textparagrafu"/>
        <w:ind w:firstLine="0"/>
        <w:contextualSpacing/>
        <w:jc w:val="center"/>
        <w:rPr>
          <w:b/>
        </w:rPr>
      </w:pPr>
      <w:r w:rsidRPr="00622684">
        <w:rPr>
          <w:b/>
        </w:rPr>
        <w:t>Opatření k nápravě ve vztahu k některým osobám zahrnutým do konsolidace</w:t>
      </w:r>
    </w:p>
    <w:p w14:paraId="676357B5" w14:textId="77777777" w:rsidR="00A46E9E" w:rsidRPr="009E7AF0" w:rsidRDefault="00A46E9E" w:rsidP="00A46E9E">
      <w:pPr>
        <w:pStyle w:val="PZTextodstavce"/>
      </w:pPr>
      <w:r w:rsidRPr="009E7AF0">
        <w:t>(1) Zjistí-li Česká národní banka nedostatky v činnosti osoby zahrnuté do skupiny, které mohou negativně ovlivnit hospodaření banky, spořitelního a úvěrního družstva nebo obchodníka s cennými papíry, který je součástí skupiny, je oprávněna ve vztahu k finanční holdingové osobě a smíšené finanční holdingové osobě schválené podle § 27 odst. 1, určené úvěrové instituci podle § 29 odst. 2 písm. c) nebo označené finanční holdingové osobě, smíšené finanční holdingové osobě nebo instituci podle § 31 odst. 2 a smíšené holdingové osobě pod</w:t>
      </w:r>
      <w:r>
        <w:t>le povahy zjištěného nedostatku</w:t>
      </w:r>
    </w:p>
    <w:p w14:paraId="6928B3D6" w14:textId="77777777" w:rsidR="00A46E9E" w:rsidRPr="004039DC" w:rsidRDefault="00A46E9E" w:rsidP="00B811D2">
      <w:pPr>
        <w:tabs>
          <w:tab w:val="left" w:pos="425"/>
          <w:tab w:val="left" w:pos="851"/>
        </w:tabs>
        <w:spacing w:before="0"/>
        <w:ind w:left="425" w:hanging="425"/>
        <w:rPr>
          <w:szCs w:val="24"/>
        </w:rPr>
      </w:pPr>
      <w:r w:rsidRPr="004039DC">
        <w:rPr>
          <w:szCs w:val="24"/>
        </w:rPr>
        <w:lastRenderedPageBreak/>
        <w:t xml:space="preserve">a) </w:t>
      </w:r>
      <w:r>
        <w:rPr>
          <w:szCs w:val="24"/>
        </w:rPr>
        <w:tab/>
      </w:r>
      <w:r w:rsidRPr="004039DC">
        <w:rPr>
          <w:szCs w:val="24"/>
        </w:rPr>
        <w:t>vyžadovat, aby ve stanovené lhůtě zjednala nápravu,</w:t>
      </w:r>
    </w:p>
    <w:p w14:paraId="598806F6" w14:textId="77777777" w:rsidR="00A46E9E" w:rsidRPr="007608B5" w:rsidRDefault="00A46E9E" w:rsidP="00B811D2">
      <w:pPr>
        <w:tabs>
          <w:tab w:val="left" w:pos="425"/>
          <w:tab w:val="left" w:pos="851"/>
        </w:tabs>
        <w:spacing w:before="0"/>
        <w:ind w:left="425" w:hanging="425"/>
        <w:rPr>
          <w:strike/>
          <w:szCs w:val="24"/>
        </w:rPr>
      </w:pPr>
      <w:r w:rsidRPr="007608B5">
        <w:rPr>
          <w:strike/>
          <w:szCs w:val="24"/>
        </w:rPr>
        <w:t xml:space="preserve">b) </w:t>
      </w:r>
      <w:r w:rsidRPr="007608B5">
        <w:rPr>
          <w:strike/>
          <w:szCs w:val="24"/>
        </w:rPr>
        <w:tab/>
        <w:t>nařídit zajištění mimořádného auditu u osoby, která je součástí skupiny, na náklady ovládající osoby,</w:t>
      </w:r>
    </w:p>
    <w:p w14:paraId="527FECA0" w14:textId="77777777" w:rsidR="00A46E9E" w:rsidRPr="004039DC" w:rsidRDefault="00A46E9E" w:rsidP="00B811D2">
      <w:pPr>
        <w:tabs>
          <w:tab w:val="left" w:pos="425"/>
          <w:tab w:val="left" w:pos="851"/>
        </w:tabs>
        <w:spacing w:before="0"/>
        <w:ind w:left="425" w:hanging="425"/>
        <w:rPr>
          <w:szCs w:val="24"/>
        </w:rPr>
      </w:pPr>
      <w:r w:rsidRPr="00A15333">
        <w:rPr>
          <w:strike/>
          <w:szCs w:val="24"/>
        </w:rPr>
        <w:t>c</w:t>
      </w:r>
      <w:r>
        <w:rPr>
          <w:strike/>
          <w:szCs w:val="24"/>
        </w:rPr>
        <w:t>)</w:t>
      </w:r>
      <w:r w:rsidRPr="001C7C69">
        <w:rPr>
          <w:b/>
          <w:szCs w:val="24"/>
        </w:rPr>
        <w:t>b)</w:t>
      </w:r>
      <w:r>
        <w:rPr>
          <w:szCs w:val="24"/>
        </w:rPr>
        <w:tab/>
      </w:r>
      <w:r w:rsidRPr="004039DC">
        <w:rPr>
          <w:szCs w:val="24"/>
        </w:rPr>
        <w:t>zakázat nebo omezit provádění operací s osobami, které jsou součástí stejné skupiny.</w:t>
      </w:r>
    </w:p>
    <w:p w14:paraId="10A58720" w14:textId="77777777" w:rsidR="00A46E9E" w:rsidRPr="009E7AF0" w:rsidRDefault="00A46E9E" w:rsidP="00A46E9E">
      <w:pPr>
        <w:pStyle w:val="PZTextodstavce"/>
      </w:pPr>
      <w:r w:rsidRPr="009E7AF0">
        <w:t>(2) Nedostatkem v činnosti osoby zahrnuté do skupiny, která není bankou, spořitelním a úvěrním družstvem, obchodníkem s cennými papíry, finanční holdingovou osobou nebo smíšenou finanční holdingovou osobou, s</w:t>
      </w:r>
      <w:r>
        <w:t>e rozumí</w:t>
      </w:r>
    </w:p>
    <w:p w14:paraId="393D97AA" w14:textId="77777777" w:rsidR="00A46E9E" w:rsidRPr="004039DC" w:rsidRDefault="00A46E9E" w:rsidP="00B811D2">
      <w:pPr>
        <w:tabs>
          <w:tab w:val="left" w:pos="425"/>
          <w:tab w:val="left" w:pos="851"/>
        </w:tabs>
        <w:spacing w:before="0"/>
        <w:ind w:left="426" w:hanging="426"/>
        <w:rPr>
          <w:szCs w:val="24"/>
        </w:rPr>
      </w:pPr>
      <w:r w:rsidRPr="004039DC">
        <w:rPr>
          <w:szCs w:val="24"/>
        </w:rPr>
        <w:t xml:space="preserve">a) </w:t>
      </w:r>
      <w:r>
        <w:rPr>
          <w:szCs w:val="24"/>
        </w:rPr>
        <w:tab/>
      </w:r>
      <w:r w:rsidRPr="004039DC">
        <w:rPr>
          <w:szCs w:val="24"/>
        </w:rPr>
        <w:t>porušení nebo obcházení tohoto zákona, zvláštních zákonů, obdobných zahraničních právních předpisů, právních předpisů vydaných Českou národní bankou a přímo použitelných předpisů Evropské unie,</w:t>
      </w:r>
    </w:p>
    <w:p w14:paraId="0AF021B6" w14:textId="77777777" w:rsidR="00A46E9E" w:rsidRPr="004039DC" w:rsidRDefault="00A46E9E" w:rsidP="00B811D2">
      <w:pPr>
        <w:tabs>
          <w:tab w:val="left" w:pos="425"/>
          <w:tab w:val="left" w:pos="851"/>
        </w:tabs>
        <w:spacing w:before="0"/>
        <w:ind w:left="425" w:hanging="425"/>
        <w:rPr>
          <w:szCs w:val="24"/>
        </w:rPr>
      </w:pPr>
      <w:r w:rsidRPr="004039DC">
        <w:rPr>
          <w:szCs w:val="24"/>
        </w:rPr>
        <w:t xml:space="preserve">b) </w:t>
      </w:r>
      <w:r>
        <w:rPr>
          <w:szCs w:val="24"/>
        </w:rPr>
        <w:tab/>
      </w:r>
      <w:r w:rsidRPr="004039DC">
        <w:rPr>
          <w:szCs w:val="24"/>
        </w:rPr>
        <w:t xml:space="preserve">provádění obchodů v rámci skupiny nebo navenek způsobem, který poškozuje zájmy vkladatelů banky, členů spořitelního a úvěrního družstva nebo zákazníků obchodníka s cennými papíry, který je součástí skupiny, nebo ohrožuje její bezpečnost a stabilitu. </w:t>
      </w:r>
    </w:p>
    <w:p w14:paraId="394A0B80" w14:textId="77777777" w:rsidR="00A46E9E" w:rsidRDefault="00A46E9E" w:rsidP="00A46E9E">
      <w:pPr>
        <w:pStyle w:val="PZTextodstavce"/>
      </w:pPr>
      <w:r w:rsidRPr="004039DC">
        <w:rPr>
          <w:szCs w:val="24"/>
        </w:rPr>
        <w:t>(3) Je-li Česká národní banka orgánem určeným k výkonu dohledu na konsolidovaném</w:t>
      </w:r>
      <w:r w:rsidRPr="009E7AF0">
        <w:t xml:space="preserve"> základě, může uložit bance, která je ovládající osobou, ovládajícímu obchodníkovi s cennými papíry, finanční holdingové osobě nebo smíšené finanční holdingové osobě při zjištění nedostatku v činnosti této osoby opatření k nápravě podle § 26 odst. 2 písm. a) bodů 1, 13 a 14 a podle § 26 odst. 2 písm. c).</w:t>
      </w:r>
    </w:p>
    <w:p w14:paraId="68A7F2CE" w14:textId="77777777" w:rsidR="00A46E9E" w:rsidRPr="00B906D2" w:rsidRDefault="00A46E9E" w:rsidP="00A46E9E">
      <w:pPr>
        <w:pStyle w:val="Paragraf"/>
        <w:numPr>
          <w:ilvl w:val="0"/>
          <w:numId w:val="28"/>
        </w:numPr>
        <w:spacing w:before="120"/>
      </w:pPr>
      <w:r>
        <w:t>***</w:t>
      </w:r>
    </w:p>
    <w:p w14:paraId="0E1AC9B7" w14:textId="77777777" w:rsidR="00A46E9E" w:rsidRPr="001C7C69" w:rsidRDefault="00A46E9E" w:rsidP="00A46E9E">
      <w:pPr>
        <w:pStyle w:val="Paragraf"/>
        <w:numPr>
          <w:ilvl w:val="0"/>
          <w:numId w:val="28"/>
        </w:numPr>
      </w:pPr>
      <w:r w:rsidRPr="001C7C69">
        <w:t>§ 31</w:t>
      </w:r>
    </w:p>
    <w:p w14:paraId="34B93524" w14:textId="77777777" w:rsidR="00A46E9E" w:rsidRPr="001C7C69" w:rsidRDefault="00A46E9E" w:rsidP="00A46E9E">
      <w:pPr>
        <w:pStyle w:val="Textparagrafu"/>
        <w:ind w:firstLine="0"/>
        <w:contextualSpacing/>
        <w:jc w:val="center"/>
        <w:rPr>
          <w:b/>
        </w:rPr>
      </w:pPr>
      <w:r w:rsidRPr="00EB60CB">
        <w:rPr>
          <w:b/>
        </w:rPr>
        <w:t>Ukládání opatření a opatření k nápravě osobám podléhajícím povinnosti schválení</w:t>
      </w:r>
    </w:p>
    <w:p w14:paraId="403880BE" w14:textId="77777777" w:rsidR="00A46E9E" w:rsidRPr="00486F96" w:rsidRDefault="00A46E9E" w:rsidP="00A46E9E">
      <w:pPr>
        <w:pStyle w:val="PZTextodstavce"/>
      </w:pPr>
      <w:r w:rsidRPr="00486F96">
        <w:t>(1) Zjistí-li Česká národní banka při výkonu dohledu na konsolidovaném základě, že podmínky podle § 28 odst. 4 nejsou splněny, může uložit osobě schválené podle § 28 k zajištění nebo případně obnovení kontinuity a integrity konsolidovaného dohledu a k zajištění plnění požadavků na konsolidovaném základě stanovených v tomto zákoně, právním předpise jej provádějícím, v rozhodnutí nebo opatření obecné povahy vydaným podle tohoto zákona, v nařízení Evropského parlamentu a Rady (EU) č. 575/2013 nebo v jiném přímo použitelném předpisu Evropské unie</w:t>
      </w:r>
      <w:r>
        <w:t xml:space="preserve"> opatření spočívající zejména v</w:t>
      </w:r>
    </w:p>
    <w:p w14:paraId="52AFCA9F" w14:textId="77777777" w:rsidR="00A46E9E" w:rsidRPr="00EB60CB" w:rsidRDefault="00A46E9E" w:rsidP="00B811D2">
      <w:pPr>
        <w:tabs>
          <w:tab w:val="left" w:pos="425"/>
          <w:tab w:val="left" w:pos="851"/>
        </w:tabs>
        <w:spacing w:before="0"/>
        <w:ind w:left="425" w:hanging="425"/>
        <w:rPr>
          <w:szCs w:val="24"/>
        </w:rPr>
      </w:pPr>
      <w:r>
        <w:rPr>
          <w:szCs w:val="24"/>
        </w:rPr>
        <w:t>a)</w:t>
      </w:r>
      <w:r>
        <w:rPr>
          <w:szCs w:val="24"/>
        </w:rPr>
        <w:tab/>
      </w:r>
      <w:r w:rsidRPr="00EB60CB">
        <w:rPr>
          <w:szCs w:val="24"/>
        </w:rPr>
        <w:t>pozastavení výkonu hlasovacích práv spojených s podíly v ovládaných institucích,</w:t>
      </w:r>
    </w:p>
    <w:p w14:paraId="3CFD082F" w14:textId="77777777" w:rsidR="00A46E9E" w:rsidRPr="00EB60CB" w:rsidRDefault="00A46E9E" w:rsidP="00B811D2">
      <w:pPr>
        <w:tabs>
          <w:tab w:val="left" w:pos="425"/>
          <w:tab w:val="left" w:pos="851"/>
        </w:tabs>
        <w:spacing w:before="0"/>
        <w:ind w:left="425" w:hanging="425"/>
        <w:rPr>
          <w:szCs w:val="24"/>
        </w:rPr>
      </w:pPr>
      <w:r>
        <w:rPr>
          <w:szCs w:val="24"/>
        </w:rPr>
        <w:t>b)</w:t>
      </w:r>
      <w:r>
        <w:rPr>
          <w:szCs w:val="24"/>
        </w:rPr>
        <w:tab/>
      </w:r>
      <w:r w:rsidRPr="00EB60CB">
        <w:rPr>
          <w:szCs w:val="24"/>
        </w:rPr>
        <w:t>uložení povinnosti převést svoje podíly v jí ovládaných institucích na své akcionáře nebo společníky,</w:t>
      </w:r>
    </w:p>
    <w:p w14:paraId="522FC56B" w14:textId="77777777" w:rsidR="00A46E9E" w:rsidRPr="00EB60CB" w:rsidRDefault="00A46E9E" w:rsidP="00B811D2">
      <w:pPr>
        <w:tabs>
          <w:tab w:val="left" w:pos="425"/>
          <w:tab w:val="left" w:pos="851"/>
        </w:tabs>
        <w:spacing w:before="0"/>
        <w:ind w:left="425" w:hanging="425"/>
        <w:rPr>
          <w:szCs w:val="24"/>
        </w:rPr>
      </w:pPr>
      <w:r w:rsidRPr="00EB60CB">
        <w:rPr>
          <w:szCs w:val="24"/>
        </w:rPr>
        <w:t>c)</w:t>
      </w:r>
      <w:r>
        <w:rPr>
          <w:szCs w:val="24"/>
        </w:rPr>
        <w:tab/>
      </w:r>
      <w:r w:rsidRPr="00EB60CB">
        <w:rPr>
          <w:szCs w:val="24"/>
        </w:rPr>
        <w:t>omezení nebo zakázání rozdělení kapitálu nebo úrokové platby akcionářům nebo společníkům,</w:t>
      </w:r>
    </w:p>
    <w:p w14:paraId="0DB58B9E" w14:textId="77777777" w:rsidR="00A46E9E" w:rsidRPr="00EB60CB" w:rsidRDefault="00A46E9E" w:rsidP="00B811D2">
      <w:pPr>
        <w:tabs>
          <w:tab w:val="left" w:pos="425"/>
          <w:tab w:val="left" w:pos="851"/>
        </w:tabs>
        <w:spacing w:before="0"/>
        <w:ind w:left="425" w:hanging="425"/>
        <w:rPr>
          <w:szCs w:val="24"/>
        </w:rPr>
      </w:pPr>
      <w:r>
        <w:rPr>
          <w:szCs w:val="24"/>
        </w:rPr>
        <w:t>d)</w:t>
      </w:r>
      <w:r>
        <w:rPr>
          <w:szCs w:val="24"/>
        </w:rPr>
        <w:tab/>
      </w:r>
      <w:r w:rsidRPr="00EB60CB">
        <w:rPr>
          <w:szCs w:val="24"/>
        </w:rPr>
        <w:t>uložení povinnosti snížit výši svého podílu v instituci nebo jiné osobě působící na finančním trhu nebo povinnosti převést svůj podíl v této osobě na jinou osobu,</w:t>
      </w:r>
    </w:p>
    <w:p w14:paraId="08B9D58A" w14:textId="77777777" w:rsidR="00A46E9E" w:rsidRPr="001C7C69" w:rsidRDefault="00A46E9E" w:rsidP="00B811D2">
      <w:pPr>
        <w:tabs>
          <w:tab w:val="left" w:pos="425"/>
          <w:tab w:val="left" w:pos="851"/>
        </w:tabs>
        <w:spacing w:before="0"/>
        <w:ind w:left="425" w:hanging="425"/>
        <w:rPr>
          <w:szCs w:val="24"/>
        </w:rPr>
      </w:pPr>
      <w:r>
        <w:rPr>
          <w:szCs w:val="24"/>
        </w:rPr>
        <w:t>e)</w:t>
      </w:r>
      <w:r>
        <w:rPr>
          <w:szCs w:val="24"/>
        </w:rPr>
        <w:tab/>
      </w:r>
      <w:r w:rsidRPr="00EB60CB">
        <w:rPr>
          <w:szCs w:val="24"/>
        </w:rPr>
        <w:t>uložení povinnosti předložit plán zajišťující neprodlené obnovení souladu s tímto zákonem, právním předpisem jej provádějícím, rozhodnutím nebo opatřením obecné povahy vydaným podle tohoto zákona nebo nařízením Evropského parlamentu a Rady (EU) č</w:t>
      </w:r>
      <w:r>
        <w:rPr>
          <w:szCs w:val="24"/>
        </w:rPr>
        <w:t>. </w:t>
      </w:r>
      <w:r w:rsidRPr="00EB60CB">
        <w:rPr>
          <w:szCs w:val="24"/>
        </w:rPr>
        <w:t>575/2013 nebo jiným přímo použi</w:t>
      </w:r>
      <w:r>
        <w:rPr>
          <w:szCs w:val="24"/>
        </w:rPr>
        <w:t>telným předpisem Evropské unie.</w:t>
      </w:r>
    </w:p>
    <w:p w14:paraId="5C41B7E4" w14:textId="77777777" w:rsidR="00A46E9E" w:rsidRPr="00486F96" w:rsidRDefault="00A46E9E" w:rsidP="00A46E9E">
      <w:pPr>
        <w:pStyle w:val="PZTextodstavce"/>
      </w:pPr>
      <w:r w:rsidRPr="00486F96">
        <w:t>(2) Zjistí-li Česká národní banka při výkonu dohledu na konsolidovaném základě, že podmínky podle § 28 odst. 4 nejsou splněny, může k zajiš</w:t>
      </w:r>
      <w:r>
        <w:t>tění nebo obnovení kontinuity a </w:t>
      </w:r>
      <w:r w:rsidRPr="00486F96">
        <w:t xml:space="preserve">integrity konsolidovaného dohledu a k zajištění plnění požadavků na konsolidovaném základě stanovených v tomto zákoně, právním předpise jej provádějícím, v rozhodnutí nebo opatření obecné povahy vydaným podle tohoto zákona, v nařízení Evropského parlamentu a Rady (EU) </w:t>
      </w:r>
      <w:r w:rsidRPr="00486F96">
        <w:lastRenderedPageBreak/>
        <w:t>č. 575/2013 nebo v jiném přímo použitelném předpisu Evropské unie uložit opatření spočívající v dočasném označení jiné finanční holdingové osoby, smíšené finanční holdingové osoby nebo instituce ve skupině určené jako odpovědné za zajištění plnění požadavků na konsolidovaném základě stanovených v tomto zákoně, právním předpise jej provádějícím, v rozhodnutí nebo opatření obecné povahy vydaným podle tohoto zákona, v n</w:t>
      </w:r>
      <w:r>
        <w:t>ařízení Evropského parlamentu a </w:t>
      </w:r>
      <w:r w:rsidRPr="00486F96">
        <w:t>Rady (EU) č. 575/2013 nebo v jiném přímo použitelném předpisu Ev</w:t>
      </w:r>
      <w:r>
        <w:t>ropské unie.</w:t>
      </w:r>
    </w:p>
    <w:p w14:paraId="60389ED6" w14:textId="77777777" w:rsidR="00A46E9E" w:rsidRPr="00486F96" w:rsidRDefault="00A46E9E" w:rsidP="00A46E9E">
      <w:pPr>
        <w:pStyle w:val="PZTextodstavce"/>
      </w:pPr>
      <w:r w:rsidRPr="00EB60CB">
        <w:rPr>
          <w:szCs w:val="24"/>
        </w:rPr>
        <w:t>(3) Česká národní banka může rovněž uložit opatření podle odstavců 1 a 2, pokud osoba</w:t>
      </w:r>
      <w:r w:rsidRPr="00486F96">
        <w:t xml:space="preserve"> podle § 27 odst. 1 bez zbytečného odkladu nepodá žádost podle § 28 odst. 1 a zároveň nebyla schvá</w:t>
      </w:r>
      <w:r>
        <w:t>lena žádost podle § 29 odst. 1.</w:t>
      </w:r>
    </w:p>
    <w:p w14:paraId="77325EFE" w14:textId="77777777" w:rsidR="00A46E9E" w:rsidRPr="00486F96" w:rsidRDefault="00A46E9E" w:rsidP="00A46E9E">
      <w:pPr>
        <w:pStyle w:val="PZTextodstavce"/>
      </w:pPr>
      <w:r w:rsidRPr="00486F96">
        <w:t xml:space="preserve">(4) Při ukládání opatření podle odstavce 1, 2 nebo 3 smíšené finanční holdingové osobě podle § 27 odst. 1 zohlední Česká národní banka zejména </w:t>
      </w:r>
      <w:r>
        <w:t>dopady na finanční konglomerát.</w:t>
      </w:r>
    </w:p>
    <w:p w14:paraId="62731BA6" w14:textId="77777777" w:rsidR="00A46E9E" w:rsidRPr="00486F96" w:rsidRDefault="00A46E9E" w:rsidP="00A46E9E">
      <w:pPr>
        <w:pStyle w:val="PZTextodstavce"/>
      </w:pPr>
      <w:r w:rsidRPr="00486F96">
        <w:t>(5) Při ukládání opatření podle odstavce 1, 2 nebo 3 se § 26aa použije obdobně. Ustanovení § 26ab se</w:t>
      </w:r>
      <w:r>
        <w:t xml:space="preserve"> nepoužije.</w:t>
      </w:r>
    </w:p>
    <w:p w14:paraId="74F8A65D" w14:textId="77777777" w:rsidR="00A46E9E" w:rsidRDefault="00A46E9E" w:rsidP="00A46E9E">
      <w:pPr>
        <w:pStyle w:val="PZTextodstavce"/>
      </w:pPr>
      <w:r w:rsidRPr="00486F96">
        <w:t xml:space="preserve">(6) Česká národní banka může rovněž uložit osobě podle § 27 odst. 1 opatření k nápravě podle § 26 odst. 1 až 4 a </w:t>
      </w:r>
      <w:r w:rsidRPr="00EB60CB">
        <w:rPr>
          <w:strike/>
        </w:rPr>
        <w:t>8</w:t>
      </w:r>
      <w:r w:rsidRPr="00EB60CB">
        <w:rPr>
          <w:b/>
        </w:rPr>
        <w:t>9</w:t>
      </w:r>
      <w:r w:rsidRPr="00486F96">
        <w:t>.</w:t>
      </w:r>
    </w:p>
    <w:p w14:paraId="02132FAE" w14:textId="77777777" w:rsidR="00A46E9E" w:rsidRDefault="00A46E9E" w:rsidP="00A46E9E">
      <w:pPr>
        <w:pStyle w:val="Paragraf"/>
        <w:numPr>
          <w:ilvl w:val="0"/>
          <w:numId w:val="28"/>
        </w:numPr>
        <w:spacing w:before="120"/>
      </w:pPr>
      <w:r>
        <w:t>***</w:t>
      </w:r>
    </w:p>
    <w:p w14:paraId="3518DD49" w14:textId="77777777" w:rsidR="00A46E9E" w:rsidRPr="001C7C69" w:rsidRDefault="00A46E9E" w:rsidP="00A46E9E">
      <w:pPr>
        <w:pStyle w:val="Paragraf"/>
        <w:numPr>
          <w:ilvl w:val="0"/>
          <w:numId w:val="28"/>
        </w:numPr>
      </w:pPr>
      <w:r w:rsidRPr="001C7C69">
        <w:t>§ 36</w:t>
      </w:r>
    </w:p>
    <w:p w14:paraId="15EE0068" w14:textId="77777777" w:rsidR="00A46E9E" w:rsidRPr="002A7FDD" w:rsidRDefault="00A46E9E" w:rsidP="00A46E9E">
      <w:pPr>
        <w:pStyle w:val="PZTextodstavce"/>
      </w:pPr>
      <w:r w:rsidRPr="002A7FDD">
        <w:t>(1) Zrušuje-li se banka s likvidací nebo zrušuje-li se výmaz banky z obchodního rejstříku, pouze Česká ná</w:t>
      </w:r>
      <w:r>
        <w:t>rodní banka může podat návrh na</w:t>
      </w:r>
    </w:p>
    <w:p w14:paraId="669259D0" w14:textId="77777777" w:rsidR="00A46E9E" w:rsidRPr="00B26A12" w:rsidRDefault="00A46E9E" w:rsidP="00B811D2">
      <w:pPr>
        <w:tabs>
          <w:tab w:val="left" w:pos="425"/>
          <w:tab w:val="left" w:pos="851"/>
        </w:tabs>
        <w:spacing w:before="0"/>
        <w:ind w:left="425" w:hanging="425"/>
        <w:rPr>
          <w:szCs w:val="24"/>
        </w:rPr>
      </w:pPr>
      <w:r>
        <w:rPr>
          <w:szCs w:val="24"/>
        </w:rPr>
        <w:t>a)</w:t>
      </w:r>
      <w:r>
        <w:rPr>
          <w:szCs w:val="24"/>
        </w:rPr>
        <w:tab/>
      </w:r>
      <w:r w:rsidRPr="00B26A12">
        <w:rPr>
          <w:szCs w:val="24"/>
        </w:rPr>
        <w:t>jmenování likvidátora,</w:t>
      </w:r>
    </w:p>
    <w:p w14:paraId="178C7E12" w14:textId="77777777" w:rsidR="00A46E9E" w:rsidRPr="00B26A12" w:rsidRDefault="00A46E9E" w:rsidP="00B811D2">
      <w:pPr>
        <w:tabs>
          <w:tab w:val="left" w:pos="425"/>
          <w:tab w:val="left" w:pos="851"/>
        </w:tabs>
        <w:spacing w:before="0"/>
        <w:ind w:left="425" w:hanging="425"/>
        <w:rPr>
          <w:szCs w:val="24"/>
        </w:rPr>
      </w:pPr>
      <w:r>
        <w:rPr>
          <w:szCs w:val="24"/>
        </w:rPr>
        <w:t>b)</w:t>
      </w:r>
      <w:r>
        <w:rPr>
          <w:szCs w:val="24"/>
        </w:rPr>
        <w:tab/>
      </w:r>
      <w:r w:rsidRPr="00B26A12">
        <w:rPr>
          <w:szCs w:val="24"/>
        </w:rPr>
        <w:t>odvolání likvidátora a jmenování nového likvidátora,</w:t>
      </w:r>
    </w:p>
    <w:p w14:paraId="03CD3589" w14:textId="77777777" w:rsidR="00A46E9E" w:rsidRPr="00B26A12" w:rsidRDefault="00A46E9E" w:rsidP="00B811D2">
      <w:pPr>
        <w:tabs>
          <w:tab w:val="left" w:pos="425"/>
          <w:tab w:val="left" w:pos="851"/>
        </w:tabs>
        <w:spacing w:before="0"/>
        <w:ind w:left="425" w:hanging="425"/>
        <w:rPr>
          <w:szCs w:val="24"/>
        </w:rPr>
      </w:pPr>
      <w:r>
        <w:rPr>
          <w:szCs w:val="24"/>
        </w:rPr>
        <w:t>c)</w:t>
      </w:r>
      <w:r>
        <w:rPr>
          <w:szCs w:val="24"/>
        </w:rPr>
        <w:tab/>
      </w:r>
      <w:r w:rsidRPr="00B26A12">
        <w:rPr>
          <w:szCs w:val="24"/>
        </w:rPr>
        <w:t xml:space="preserve">zrušení akciové společnosti, byla-li bance odňata licence. </w:t>
      </w:r>
    </w:p>
    <w:p w14:paraId="728B76B3" w14:textId="77777777" w:rsidR="00A46E9E" w:rsidRPr="002A7FDD" w:rsidRDefault="00A46E9E" w:rsidP="00A46E9E">
      <w:pPr>
        <w:pStyle w:val="PZTextodstavce"/>
      </w:pPr>
      <w:r w:rsidRPr="002A7FDD">
        <w:t>(2) Soud rozhodne o návrhu České národní banky podle odstavce 1 bez jednání a rozhodnutí vyhlásí vyvěšením jeho písemného vyhotovení bez odůvodnění na úřední desce soudu do 24 hodin od obdržení návrhu. Vyvěšením rozhodnutí nastávají právní účinky uvedené ve výroku a tím je výrok závazný pro každého; den vyhlášení se na písemném vyhotovení poznamená. Odvolání proti r</w:t>
      </w:r>
      <w:r>
        <w:t>ozhodnutí nemá odkladný účinek.</w:t>
      </w:r>
    </w:p>
    <w:p w14:paraId="6B559820" w14:textId="77777777" w:rsidR="00A46E9E" w:rsidRPr="002A7FDD" w:rsidRDefault="00A46E9E" w:rsidP="00A46E9E">
      <w:pPr>
        <w:pStyle w:val="PZTextodstavce"/>
      </w:pPr>
      <w:r>
        <w:t>(3)</w:t>
      </w:r>
      <w:r>
        <w:tab/>
      </w:r>
      <w:r w:rsidRPr="002A7FDD">
        <w:t>Likvidátorem nesmí být osoba, která má nebo měla zvláštní vztah k bance, která je nebo v posledních 5 letech byla auditorem</w:t>
      </w:r>
      <w:r>
        <w:t xml:space="preserve"> </w:t>
      </w:r>
      <w:r w:rsidRPr="00137262">
        <w:rPr>
          <w:b/>
        </w:rPr>
        <w:t>provádějícím audit</w:t>
      </w:r>
      <w:r>
        <w:rPr>
          <w:b/>
        </w:rPr>
        <w:t xml:space="preserve"> účetní závěrky</w:t>
      </w:r>
      <w:r w:rsidRPr="002A7FDD">
        <w:t xml:space="preserve"> banky nebo se jakýmkoli způsobem na auditu v bance podílela.</w:t>
      </w:r>
    </w:p>
    <w:p w14:paraId="4DBA016E" w14:textId="77777777" w:rsidR="00A46E9E" w:rsidRPr="002A7FDD" w:rsidRDefault="00A46E9E" w:rsidP="00A46E9E">
      <w:pPr>
        <w:pStyle w:val="PZTextodstavce"/>
      </w:pPr>
      <w:r w:rsidRPr="002A7FDD">
        <w:t>(4) Fyzické osoby, které se při likvidaci banky seznámily s údaji, na které se vztahovalo bankovní tajemství, jsou povinny zachovávat mlčenlivost po</w:t>
      </w:r>
      <w:r>
        <w:t>dle § 39 tohoto zákona obdobně.</w:t>
      </w:r>
    </w:p>
    <w:p w14:paraId="73D5B1E6" w14:textId="77777777" w:rsidR="00A46E9E" w:rsidRPr="002A7FDD" w:rsidRDefault="00A46E9E" w:rsidP="00A46E9E">
      <w:pPr>
        <w:pStyle w:val="PZTextodstavce"/>
      </w:pPr>
      <w:r w:rsidRPr="002A7FDD">
        <w:t xml:space="preserve">(5) Likvidátor předkládá České národní bance a Garančnímu systému bez zbytečného odkladu účetní </w:t>
      </w:r>
      <w:r w:rsidRPr="00D10252">
        <w:rPr>
          <w:strike/>
        </w:rPr>
        <w:t>výkazy a doklady</w:t>
      </w:r>
      <w:r w:rsidRPr="002A7FDD">
        <w:t xml:space="preserve"> </w:t>
      </w:r>
      <w:r>
        <w:rPr>
          <w:b/>
        </w:rPr>
        <w:t xml:space="preserve">závěrky a účetní záznamy </w:t>
      </w:r>
      <w:r w:rsidRPr="002A7FDD">
        <w:t>zpracovávané v průběhu likvidace v souladu s</w:t>
      </w:r>
      <w:r>
        <w:t> </w:t>
      </w:r>
      <w:r w:rsidRPr="00DC23EF">
        <w:rPr>
          <w:b/>
        </w:rPr>
        <w:t>právními předpisy upravujícími účetnictví,</w:t>
      </w:r>
      <w:r w:rsidRPr="002A7FDD">
        <w:t xml:space="preserve"> občanským zákoníkem a se zákonem upravujícím právní poměry obchodních společností a družstev, a na písemné vyžádání České národní banky a Garančního systému další podklady nezbytné k posouzení činnosti likvidátora a průběhu likvidace.</w:t>
      </w:r>
    </w:p>
    <w:p w14:paraId="6816B5B2" w14:textId="77777777" w:rsidR="00A46E9E" w:rsidRPr="002A7FDD" w:rsidRDefault="00A46E9E" w:rsidP="00A46E9E">
      <w:pPr>
        <w:pStyle w:val="PZTextodstavce"/>
      </w:pPr>
      <w:r w:rsidRPr="002A7FDD">
        <w:t>(6) Likvidátor je povinen vymáhat vydání plnění z neplatných p</w:t>
      </w:r>
      <w:r>
        <w:t>rávních jednání (§ 12 odst. 2).</w:t>
      </w:r>
    </w:p>
    <w:p w14:paraId="4A45524B" w14:textId="77777777" w:rsidR="00A46E9E" w:rsidRDefault="00A46E9E" w:rsidP="00A46E9E">
      <w:pPr>
        <w:pStyle w:val="PZTextodstavce"/>
      </w:pPr>
      <w:r w:rsidRPr="002A7FDD">
        <w:t>(7)</w:t>
      </w:r>
      <w:r>
        <w:tab/>
      </w:r>
      <w:r w:rsidRPr="002A7FDD">
        <w:t xml:space="preserve">Náklady spojené s výkonem činnosti likvidátora jsou hrazeny z majetku banky. Nepostačuje-li její majetek na výplatu odměny likvidátora a náhradu jeho hotových výdajů, uhradí je stát, kterému tím vznikne pohledávka za bankou ve výši vyplacených částek. </w:t>
      </w:r>
      <w:r w:rsidRPr="002B67B7">
        <w:t xml:space="preserve">Odměnu </w:t>
      </w:r>
      <w:r w:rsidRPr="002B67B7">
        <w:lastRenderedPageBreak/>
        <w:t>a způsob její výplaty určuje likvidátorovi Česká národní banka. Pravidla pro stanovení a výplatu náhrady hotových výdajů a odměny likvidátora a jejich maximální výši hrazenou státem stanov</w:t>
      </w:r>
      <w:r>
        <w:t>í Česká národní banka vyhláškou</w:t>
      </w:r>
      <w:r w:rsidRPr="002A7FDD">
        <w:t>.</w:t>
      </w:r>
    </w:p>
    <w:p w14:paraId="6072DEE9" w14:textId="77777777" w:rsidR="00A46E9E" w:rsidRPr="00B906D2" w:rsidRDefault="00A46E9E" w:rsidP="00A46E9E">
      <w:pPr>
        <w:pStyle w:val="Paragraf"/>
        <w:numPr>
          <w:ilvl w:val="0"/>
          <w:numId w:val="28"/>
        </w:numPr>
        <w:spacing w:before="120"/>
      </w:pPr>
      <w:r>
        <w:t>***</w:t>
      </w:r>
    </w:p>
    <w:p w14:paraId="31DE7E6A" w14:textId="77777777" w:rsidR="00A46E9E" w:rsidRPr="00017097" w:rsidRDefault="00A46E9E" w:rsidP="00A46E9E">
      <w:pPr>
        <w:jc w:val="center"/>
        <w:rPr>
          <w:b/>
        </w:rPr>
      </w:pPr>
      <w:r w:rsidRPr="00017097">
        <w:rPr>
          <w:b/>
        </w:rPr>
        <w:t>Přestupky právnických osob a podnikajících fyzických osob</w:t>
      </w:r>
    </w:p>
    <w:p w14:paraId="3FA48652" w14:textId="77777777" w:rsidR="00A46E9E" w:rsidRPr="001C7C69" w:rsidRDefault="00A46E9E" w:rsidP="00A46E9E">
      <w:pPr>
        <w:pStyle w:val="Paragraf"/>
        <w:numPr>
          <w:ilvl w:val="0"/>
          <w:numId w:val="28"/>
        </w:numPr>
      </w:pPr>
      <w:r w:rsidRPr="001C7C69">
        <w:t>§ 36c</w:t>
      </w:r>
    </w:p>
    <w:p w14:paraId="25C1BB27" w14:textId="77777777" w:rsidR="00A46E9E" w:rsidRPr="009A3E74" w:rsidRDefault="00A46E9E" w:rsidP="00A46E9E">
      <w:pPr>
        <w:pStyle w:val="PZTextodstavce"/>
      </w:pPr>
      <w:r w:rsidRPr="009A3E74">
        <w:t>(1) Právnická osoba nebo podnikající fyzická osoba s</w:t>
      </w:r>
      <w:r>
        <w:t>e dopustí přestupku tím, že</w:t>
      </w:r>
      <w:r w:rsidRPr="009A3E74">
        <w:t xml:space="preserve"> </w:t>
      </w:r>
    </w:p>
    <w:p w14:paraId="143585F6" w14:textId="77777777" w:rsidR="00A46E9E" w:rsidRPr="00017097" w:rsidRDefault="00A46E9E" w:rsidP="00B811D2">
      <w:pPr>
        <w:tabs>
          <w:tab w:val="left" w:pos="425"/>
          <w:tab w:val="left" w:pos="851"/>
        </w:tabs>
        <w:spacing w:before="0"/>
        <w:ind w:left="426" w:hanging="426"/>
        <w:rPr>
          <w:szCs w:val="24"/>
        </w:rPr>
      </w:pPr>
      <w:r w:rsidRPr="00017097">
        <w:rPr>
          <w:szCs w:val="24"/>
        </w:rPr>
        <w:t>a)</w:t>
      </w:r>
      <w:r>
        <w:rPr>
          <w:szCs w:val="24"/>
        </w:rPr>
        <w:tab/>
      </w:r>
      <w:r w:rsidRPr="00017097">
        <w:rPr>
          <w:szCs w:val="24"/>
        </w:rPr>
        <w:t xml:space="preserve">přijme vklad v rozporu s § 2, </w:t>
      </w:r>
    </w:p>
    <w:p w14:paraId="6460EA15" w14:textId="77777777" w:rsidR="00A46E9E" w:rsidRPr="00017097" w:rsidRDefault="00A46E9E" w:rsidP="00B811D2">
      <w:pPr>
        <w:tabs>
          <w:tab w:val="left" w:pos="425"/>
          <w:tab w:val="left" w:pos="851"/>
        </w:tabs>
        <w:spacing w:before="0"/>
        <w:ind w:left="426" w:hanging="426"/>
        <w:rPr>
          <w:szCs w:val="24"/>
        </w:rPr>
      </w:pPr>
      <w:r>
        <w:rPr>
          <w:szCs w:val="24"/>
        </w:rPr>
        <w:t>b)</w:t>
      </w:r>
      <w:r>
        <w:rPr>
          <w:szCs w:val="24"/>
        </w:rPr>
        <w:tab/>
      </w:r>
      <w:r w:rsidRPr="00017097">
        <w:rPr>
          <w:szCs w:val="24"/>
        </w:rPr>
        <w:t>neoprávněně použije označení „banka“ nebo „spořitelna“, jeho překlady nebo označení od něj odvozená v obchodní firmě,</w:t>
      </w:r>
    </w:p>
    <w:p w14:paraId="75011EE9" w14:textId="77777777" w:rsidR="00A46E9E" w:rsidRPr="00017097" w:rsidRDefault="00A46E9E" w:rsidP="00B811D2">
      <w:pPr>
        <w:tabs>
          <w:tab w:val="left" w:pos="425"/>
          <w:tab w:val="left" w:pos="851"/>
        </w:tabs>
        <w:spacing w:before="0"/>
        <w:ind w:left="426" w:hanging="426"/>
        <w:rPr>
          <w:szCs w:val="24"/>
        </w:rPr>
      </w:pPr>
      <w:r>
        <w:rPr>
          <w:szCs w:val="24"/>
        </w:rPr>
        <w:t>c)</w:t>
      </w:r>
      <w:r>
        <w:rPr>
          <w:szCs w:val="24"/>
        </w:rPr>
        <w:tab/>
      </w:r>
      <w:r w:rsidRPr="00017097">
        <w:rPr>
          <w:szCs w:val="24"/>
        </w:rPr>
        <w:t xml:space="preserve">zahájí činnost, ke které je třeba licence podle tohoto zákona, bez této licence, </w:t>
      </w:r>
    </w:p>
    <w:p w14:paraId="470BD771" w14:textId="77777777" w:rsidR="00A46E9E" w:rsidRPr="00017097" w:rsidRDefault="00A46E9E" w:rsidP="00B811D2">
      <w:pPr>
        <w:tabs>
          <w:tab w:val="left" w:pos="425"/>
          <w:tab w:val="left" w:pos="851"/>
        </w:tabs>
        <w:spacing w:before="0"/>
        <w:ind w:left="426" w:hanging="426"/>
        <w:rPr>
          <w:szCs w:val="24"/>
        </w:rPr>
      </w:pPr>
      <w:r w:rsidRPr="00017097">
        <w:rPr>
          <w:szCs w:val="24"/>
        </w:rPr>
        <w:t>d)</w:t>
      </w:r>
      <w:r>
        <w:rPr>
          <w:szCs w:val="24"/>
        </w:rPr>
        <w:tab/>
      </w:r>
      <w:r w:rsidRPr="00017097">
        <w:rPr>
          <w:szCs w:val="24"/>
        </w:rPr>
        <w:t xml:space="preserve">nabude nebo zvýší kvalifikovanou účast na bance anebo ovládne banku bez předchozího souhlasu České národní banky podle § 20 odst. 3, </w:t>
      </w:r>
    </w:p>
    <w:p w14:paraId="2C54DB33" w14:textId="77777777" w:rsidR="00A46E9E" w:rsidRPr="00017097" w:rsidRDefault="00A46E9E" w:rsidP="00B811D2">
      <w:pPr>
        <w:tabs>
          <w:tab w:val="left" w:pos="425"/>
          <w:tab w:val="left" w:pos="851"/>
        </w:tabs>
        <w:spacing w:before="0"/>
        <w:ind w:left="426" w:hanging="426"/>
        <w:rPr>
          <w:szCs w:val="24"/>
        </w:rPr>
      </w:pPr>
      <w:r w:rsidRPr="00017097">
        <w:rPr>
          <w:szCs w:val="24"/>
        </w:rPr>
        <w:t>e)</w:t>
      </w:r>
      <w:r>
        <w:rPr>
          <w:szCs w:val="24"/>
        </w:rPr>
        <w:tab/>
      </w:r>
      <w:r w:rsidRPr="00017097">
        <w:rPr>
          <w:szCs w:val="24"/>
        </w:rPr>
        <w:t xml:space="preserve">nesplní informační povinnost podle § 20 odst. 11, </w:t>
      </w:r>
    </w:p>
    <w:p w14:paraId="4E6A0280" w14:textId="77777777" w:rsidR="00A46E9E" w:rsidRPr="00017097" w:rsidRDefault="00A46E9E" w:rsidP="00B811D2">
      <w:pPr>
        <w:tabs>
          <w:tab w:val="left" w:pos="425"/>
          <w:tab w:val="left" w:pos="851"/>
        </w:tabs>
        <w:spacing w:before="0"/>
        <w:ind w:left="426" w:hanging="426"/>
        <w:rPr>
          <w:szCs w:val="24"/>
        </w:rPr>
      </w:pPr>
      <w:r>
        <w:rPr>
          <w:szCs w:val="24"/>
        </w:rPr>
        <w:t>f)</w:t>
      </w:r>
      <w:r>
        <w:rPr>
          <w:szCs w:val="24"/>
        </w:rPr>
        <w:tab/>
      </w:r>
      <w:r w:rsidRPr="00017097">
        <w:rPr>
          <w:szCs w:val="24"/>
        </w:rPr>
        <w:t>jako osoba jednající ve shodě</w:t>
      </w:r>
    </w:p>
    <w:p w14:paraId="53EED392" w14:textId="77777777" w:rsidR="00A46E9E" w:rsidRPr="009A3E74" w:rsidRDefault="00A46E9E" w:rsidP="00B811D2">
      <w:pPr>
        <w:pStyle w:val="PZTextbodu"/>
        <w:spacing w:before="0"/>
      </w:pPr>
      <w:r>
        <w:t>1.</w:t>
      </w:r>
      <w:r>
        <w:tab/>
      </w:r>
      <w:r w:rsidRPr="009A3E74">
        <w:t>nabude nebo zvýší kvalifikovanou účast na bance anebo ovládne banku bez předchozího souhlasu České národní banky podle § 20 odst. 3, nebo</w:t>
      </w:r>
    </w:p>
    <w:p w14:paraId="0C377789" w14:textId="77777777" w:rsidR="00A46E9E" w:rsidRPr="009A3E74" w:rsidRDefault="00A46E9E" w:rsidP="00B811D2">
      <w:pPr>
        <w:pStyle w:val="PZTextbodu"/>
        <w:spacing w:before="0"/>
      </w:pPr>
      <w:r>
        <w:t>2.</w:t>
      </w:r>
      <w:r>
        <w:tab/>
      </w:r>
      <w:r w:rsidRPr="009A3E74">
        <w:t>nesplní informační povi</w:t>
      </w:r>
      <w:r>
        <w:t>nnost podle § 20 odst. 16, nebo</w:t>
      </w:r>
    </w:p>
    <w:p w14:paraId="46F18109" w14:textId="77777777" w:rsidR="00A46E9E" w:rsidRPr="001C7C69" w:rsidRDefault="00A46E9E" w:rsidP="00B811D2">
      <w:pPr>
        <w:tabs>
          <w:tab w:val="left" w:pos="425"/>
          <w:tab w:val="left" w:pos="851"/>
        </w:tabs>
        <w:spacing w:before="0"/>
        <w:ind w:left="426" w:hanging="426"/>
        <w:rPr>
          <w:szCs w:val="24"/>
        </w:rPr>
      </w:pPr>
      <w:r>
        <w:rPr>
          <w:szCs w:val="24"/>
        </w:rPr>
        <w:t>g)</w:t>
      </w:r>
      <w:r>
        <w:rPr>
          <w:szCs w:val="24"/>
        </w:rPr>
        <w:tab/>
      </w:r>
      <w:r w:rsidRPr="00017097">
        <w:rPr>
          <w:szCs w:val="24"/>
        </w:rPr>
        <w:t>v žádosti o souhlas podle tohoto zákona nebo přímo použitelného předpisu Evropské unie upravujícího obezřetnostní požadavky uvede nepravdivé údaje nebo zamlčí podstatné údaje nezby</w:t>
      </w:r>
      <w:r>
        <w:rPr>
          <w:szCs w:val="24"/>
        </w:rPr>
        <w:t>tné pro posouzení této žádosti.</w:t>
      </w:r>
    </w:p>
    <w:p w14:paraId="39F00DF0" w14:textId="77777777" w:rsidR="00A46E9E" w:rsidRPr="009A3E74" w:rsidRDefault="00A46E9E" w:rsidP="00A46E9E">
      <w:pPr>
        <w:pStyle w:val="PZTextodstavce"/>
      </w:pPr>
      <w:r w:rsidRPr="009A3E74">
        <w:t>(2) Právnická nebo podnikající fyzická osoba jako osoba podléhající dohledu České národní banky se dopustí přestupku tím, že nesplní některou z povinnos</w:t>
      </w:r>
      <w:r>
        <w:t>tí stanovenou kontrolním řádem.</w:t>
      </w:r>
    </w:p>
    <w:p w14:paraId="49537798" w14:textId="77777777" w:rsidR="00A46E9E" w:rsidRPr="009A3E74" w:rsidRDefault="00A46E9E" w:rsidP="00A46E9E">
      <w:pPr>
        <w:pStyle w:val="PZTextodstavce"/>
      </w:pPr>
      <w:r>
        <w:t>(3)</w:t>
      </w:r>
      <w:r>
        <w:tab/>
      </w:r>
      <w:r w:rsidRPr="009A3E74">
        <w:t>Právnická nebo podnikající fyzická osoba podle § 26g odst.</w:t>
      </w:r>
      <w:r>
        <w:t xml:space="preserve"> 1 se dopustí přestupku tím, že</w:t>
      </w:r>
    </w:p>
    <w:p w14:paraId="221FE008" w14:textId="77777777" w:rsidR="00A46E9E" w:rsidRPr="00D21E77" w:rsidRDefault="00A46E9E" w:rsidP="00B811D2">
      <w:pPr>
        <w:tabs>
          <w:tab w:val="left" w:pos="425"/>
          <w:tab w:val="left" w:pos="851"/>
        </w:tabs>
        <w:spacing w:before="0"/>
        <w:ind w:left="425" w:hanging="425"/>
        <w:rPr>
          <w:szCs w:val="24"/>
        </w:rPr>
      </w:pPr>
      <w:r>
        <w:rPr>
          <w:szCs w:val="24"/>
        </w:rPr>
        <w:t>a)</w:t>
      </w:r>
      <w:r>
        <w:rPr>
          <w:szCs w:val="24"/>
        </w:rPr>
        <w:tab/>
      </w:r>
      <w:r w:rsidRPr="00D21E77">
        <w:rPr>
          <w:szCs w:val="24"/>
        </w:rPr>
        <w:t>neposkytne České národní bance informace potřebné pro provádění dohledu na konsolidovaném základě nebo poskytne informace nepravdivé, zkreslené, zamlčí podstatné informace nebo nedodrží lhůtu pro jejich předložení,</w:t>
      </w:r>
    </w:p>
    <w:p w14:paraId="3BE25644" w14:textId="77777777" w:rsidR="00A46E9E" w:rsidRPr="00D21E77" w:rsidRDefault="00A46E9E" w:rsidP="00B811D2">
      <w:pPr>
        <w:tabs>
          <w:tab w:val="left" w:pos="425"/>
          <w:tab w:val="left" w:pos="851"/>
        </w:tabs>
        <w:spacing w:before="0"/>
        <w:ind w:left="425" w:hanging="425"/>
        <w:rPr>
          <w:szCs w:val="24"/>
        </w:rPr>
      </w:pPr>
      <w:r>
        <w:rPr>
          <w:szCs w:val="24"/>
        </w:rPr>
        <w:t>b)</w:t>
      </w:r>
      <w:r>
        <w:rPr>
          <w:szCs w:val="24"/>
        </w:rPr>
        <w:tab/>
      </w:r>
      <w:r w:rsidRPr="00D21E77">
        <w:rPr>
          <w:szCs w:val="24"/>
        </w:rPr>
        <w:t>nevytvoří odpovídající kontrolní mechanismy zajišťující správnost poskytovaných informací a pravost a úplnost poskytovaných dokumentů pro účely dohledu na konsolidovaném základě, nebo</w:t>
      </w:r>
    </w:p>
    <w:p w14:paraId="751453DA" w14:textId="77777777" w:rsidR="00A46E9E" w:rsidRPr="001C7C69" w:rsidRDefault="00A46E9E" w:rsidP="00B811D2">
      <w:pPr>
        <w:tabs>
          <w:tab w:val="left" w:pos="425"/>
          <w:tab w:val="left" w:pos="851"/>
        </w:tabs>
        <w:spacing w:before="0"/>
        <w:ind w:left="425" w:hanging="425"/>
        <w:rPr>
          <w:szCs w:val="24"/>
        </w:rPr>
      </w:pPr>
      <w:r>
        <w:rPr>
          <w:szCs w:val="24"/>
        </w:rPr>
        <w:t>c)</w:t>
      </w:r>
      <w:r>
        <w:rPr>
          <w:szCs w:val="24"/>
        </w:rPr>
        <w:tab/>
      </w:r>
      <w:r w:rsidRPr="00D21E77">
        <w:rPr>
          <w:szCs w:val="24"/>
        </w:rPr>
        <w:t>neumožní provedení ko</w:t>
      </w:r>
      <w:r>
        <w:rPr>
          <w:szCs w:val="24"/>
        </w:rPr>
        <w:t>ntroly podle § 26n odst. 2.</w:t>
      </w:r>
    </w:p>
    <w:p w14:paraId="27E1DAA4" w14:textId="77777777" w:rsidR="00A46E9E" w:rsidRPr="009A3E74" w:rsidRDefault="00A46E9E" w:rsidP="00A46E9E">
      <w:pPr>
        <w:pStyle w:val="PZTextodstavce"/>
      </w:pPr>
      <w:r>
        <w:t>(4)</w:t>
      </w:r>
      <w:r>
        <w:tab/>
      </w:r>
      <w:r w:rsidRPr="009A3E74">
        <w:t>Právnická osoba nebo podnikající fyzická osoba se dopustí přestupku tím, že jako osoba vykonávající funkci likvidátora poruší povinnost vykonávat f</w:t>
      </w:r>
      <w:r>
        <w:t>unkci s péčí řádného hospodáře.</w:t>
      </w:r>
    </w:p>
    <w:p w14:paraId="1E8D9694" w14:textId="77777777" w:rsidR="00A46E9E" w:rsidRPr="009A3E74" w:rsidRDefault="00A46E9E" w:rsidP="00A46E9E">
      <w:pPr>
        <w:pStyle w:val="PZTextodstavce"/>
      </w:pPr>
      <w:r w:rsidRPr="009A3E74">
        <w:t xml:space="preserve">(5) Právnická nebo podnikající fyzická osoba jako žadatel o licenci se dopustí přestupku tím, že v žádosti uvede nepravdivé údaje nebo zamlčí podstatné údaje </w:t>
      </w:r>
      <w:r>
        <w:t>nezbytné pro posouzení žádosti.</w:t>
      </w:r>
    </w:p>
    <w:p w14:paraId="38D66CCE" w14:textId="77777777" w:rsidR="00A46E9E" w:rsidRPr="009A3E74" w:rsidRDefault="00A46E9E" w:rsidP="00A46E9E">
      <w:pPr>
        <w:pStyle w:val="PZTextodstavce"/>
      </w:pPr>
      <w:r w:rsidRPr="009A3E74">
        <w:t xml:space="preserve">(6) Právnická osoba jako osoba, které zanikla licence, se dopustí přestupku tím, že přijme vklad, poskytne úvěr nebo uskuteční jiné </w:t>
      </w:r>
      <w:r>
        <w:t>činnosti po dni zániku licence.</w:t>
      </w:r>
    </w:p>
    <w:p w14:paraId="1518E7CA" w14:textId="77777777" w:rsidR="00A46E9E" w:rsidRPr="009A3E74" w:rsidRDefault="00A46E9E" w:rsidP="00A46E9E">
      <w:pPr>
        <w:pStyle w:val="PZTextodstavce"/>
      </w:pPr>
      <w:r w:rsidRPr="009A3E74">
        <w:lastRenderedPageBreak/>
        <w:t>(7) Právnická nebo podnikající fyzická osoba jako ovládající osoba podle § 17a odst. 4 nebo 5 se dopustí přestupku tím, že na vyžádání České národní banky nedoloží bez zbytečného odkladu skutečnosti podle § 17a odst. 7.</w:t>
      </w:r>
    </w:p>
    <w:p w14:paraId="7780F8C3" w14:textId="77777777" w:rsidR="00A46E9E" w:rsidRPr="007B6BE1" w:rsidRDefault="00A46E9E" w:rsidP="00A46E9E">
      <w:pPr>
        <w:pStyle w:val="PZTextodstavce"/>
        <w:rPr>
          <w:b/>
        </w:rPr>
      </w:pPr>
      <w:r w:rsidRPr="007B6BE1">
        <w:rPr>
          <w:b/>
        </w:rPr>
        <w:t>(</w:t>
      </w:r>
      <w:r>
        <w:rPr>
          <w:b/>
        </w:rPr>
        <w:t>8)</w:t>
      </w:r>
      <w:r>
        <w:rPr>
          <w:b/>
        </w:rPr>
        <w:tab/>
      </w:r>
      <w:r w:rsidRPr="007B6BE1">
        <w:rPr>
          <w:b/>
        </w:rPr>
        <w:t xml:space="preserve">Právnická nebo podnikající fyzická osoba se jako ověřovatel </w:t>
      </w:r>
      <w:r>
        <w:rPr>
          <w:b/>
        </w:rPr>
        <w:t>řídicího a kontrolního systému</w:t>
      </w:r>
      <w:r w:rsidRPr="007B6BE1">
        <w:rPr>
          <w:b/>
        </w:rPr>
        <w:t xml:space="preserve"> dopustí přestupku tím, že poruší povinnost zachovávat mlčenlivost podle § 39</w:t>
      </w:r>
      <w:r>
        <w:rPr>
          <w:b/>
        </w:rPr>
        <w:t xml:space="preserve"> odst. 4</w:t>
      </w:r>
      <w:r w:rsidRPr="007B6BE1">
        <w:rPr>
          <w:b/>
        </w:rPr>
        <w:t>.</w:t>
      </w:r>
    </w:p>
    <w:p w14:paraId="29D43C83" w14:textId="77777777" w:rsidR="00A46E9E" w:rsidRPr="009A3E74" w:rsidRDefault="00A46E9E" w:rsidP="00A46E9E">
      <w:pPr>
        <w:pStyle w:val="PZTextodstavce"/>
      </w:pPr>
      <w:proofErr w:type="gramStart"/>
      <w:r w:rsidRPr="001C7C69">
        <w:rPr>
          <w:strike/>
        </w:rPr>
        <w:t>(8)</w:t>
      </w:r>
      <w:r w:rsidRPr="001C7C69">
        <w:rPr>
          <w:b/>
        </w:rPr>
        <w:t xml:space="preserve">(9) </w:t>
      </w:r>
      <w:r w:rsidRPr="009A3E74">
        <w:t>Za</w:t>
      </w:r>
      <w:proofErr w:type="gramEnd"/>
      <w:r w:rsidRPr="009A3E74">
        <w:t xml:space="preserve"> přestupek lze uložit poku</w:t>
      </w:r>
      <w:r>
        <w:t>tu do</w:t>
      </w:r>
    </w:p>
    <w:p w14:paraId="4E22482D" w14:textId="77777777" w:rsidR="00A46E9E" w:rsidRPr="00D21E77" w:rsidRDefault="00A46E9E" w:rsidP="00B811D2">
      <w:pPr>
        <w:tabs>
          <w:tab w:val="left" w:pos="425"/>
          <w:tab w:val="left" w:pos="851"/>
        </w:tabs>
        <w:spacing w:before="0"/>
        <w:ind w:left="425" w:hanging="425"/>
        <w:rPr>
          <w:szCs w:val="24"/>
        </w:rPr>
      </w:pPr>
      <w:r w:rsidRPr="00D21E77">
        <w:rPr>
          <w:szCs w:val="24"/>
        </w:rPr>
        <w:t xml:space="preserve">a) </w:t>
      </w:r>
      <w:r>
        <w:rPr>
          <w:szCs w:val="24"/>
        </w:rPr>
        <w:tab/>
      </w:r>
      <w:r w:rsidRPr="00D21E77">
        <w:rPr>
          <w:szCs w:val="24"/>
        </w:rPr>
        <w:t>1 000 000 Kč, jde-li o přestupek podle odstavce 4,</w:t>
      </w:r>
    </w:p>
    <w:p w14:paraId="1437D758" w14:textId="77777777" w:rsidR="00A46E9E" w:rsidRPr="00D21E77" w:rsidRDefault="00A46E9E" w:rsidP="00B811D2">
      <w:pPr>
        <w:tabs>
          <w:tab w:val="left" w:pos="425"/>
          <w:tab w:val="left" w:pos="851"/>
        </w:tabs>
        <w:spacing w:before="0"/>
        <w:ind w:left="425" w:hanging="425"/>
        <w:rPr>
          <w:szCs w:val="24"/>
        </w:rPr>
      </w:pPr>
      <w:r>
        <w:rPr>
          <w:szCs w:val="24"/>
        </w:rPr>
        <w:t>b)</w:t>
      </w:r>
      <w:r>
        <w:rPr>
          <w:szCs w:val="24"/>
        </w:rPr>
        <w:tab/>
      </w:r>
      <w:r w:rsidRPr="00D21E77">
        <w:rPr>
          <w:szCs w:val="24"/>
        </w:rPr>
        <w:t>5 000 000 Kč, jde-li o přestupek podle odstavce 2</w:t>
      </w:r>
      <w:r>
        <w:rPr>
          <w:szCs w:val="24"/>
        </w:rPr>
        <w:t xml:space="preserve"> </w:t>
      </w:r>
      <w:r w:rsidRPr="00AE62B6">
        <w:rPr>
          <w:b/>
          <w:szCs w:val="24"/>
        </w:rPr>
        <w:t>nebo 8</w:t>
      </w:r>
      <w:r w:rsidRPr="00D21E77">
        <w:rPr>
          <w:szCs w:val="24"/>
        </w:rPr>
        <w:t>,</w:t>
      </w:r>
    </w:p>
    <w:p w14:paraId="3D4CFB26" w14:textId="77777777" w:rsidR="00A46E9E" w:rsidRPr="00D21E77" w:rsidRDefault="00A46E9E" w:rsidP="00B811D2">
      <w:pPr>
        <w:tabs>
          <w:tab w:val="left" w:pos="425"/>
          <w:tab w:val="left" w:pos="851"/>
        </w:tabs>
        <w:spacing w:before="0"/>
        <w:ind w:left="425" w:hanging="425"/>
        <w:rPr>
          <w:szCs w:val="24"/>
        </w:rPr>
      </w:pPr>
      <w:r>
        <w:rPr>
          <w:szCs w:val="24"/>
        </w:rPr>
        <w:t>c)</w:t>
      </w:r>
      <w:r>
        <w:rPr>
          <w:szCs w:val="24"/>
        </w:rPr>
        <w:tab/>
      </w:r>
      <w:r w:rsidRPr="00D21E77">
        <w:rPr>
          <w:szCs w:val="24"/>
        </w:rPr>
        <w:t>10 000 000 Kč, jde-li o přestupek podle odstavce 1 písm. g),</w:t>
      </w:r>
    </w:p>
    <w:p w14:paraId="4D4BB2C7" w14:textId="77777777" w:rsidR="00A46E9E" w:rsidRPr="00D21E77" w:rsidRDefault="00A46E9E" w:rsidP="00B811D2">
      <w:pPr>
        <w:tabs>
          <w:tab w:val="left" w:pos="425"/>
          <w:tab w:val="left" w:pos="851"/>
        </w:tabs>
        <w:spacing w:before="0"/>
        <w:ind w:left="425" w:hanging="425"/>
        <w:rPr>
          <w:szCs w:val="24"/>
        </w:rPr>
      </w:pPr>
      <w:r>
        <w:rPr>
          <w:szCs w:val="24"/>
        </w:rPr>
        <w:t>d)</w:t>
      </w:r>
      <w:r>
        <w:rPr>
          <w:szCs w:val="24"/>
        </w:rPr>
        <w:tab/>
      </w:r>
      <w:r w:rsidRPr="00D21E77">
        <w:rPr>
          <w:szCs w:val="24"/>
        </w:rPr>
        <w:t>20 000 000 Kč, jde-li o přestupek podle odstavce 1 písm. b) nebo odstavce 3, 5 nebo 7,</w:t>
      </w:r>
    </w:p>
    <w:p w14:paraId="6C164B31" w14:textId="77777777" w:rsidR="00A46E9E" w:rsidRPr="00D21E77" w:rsidRDefault="00A46E9E" w:rsidP="00B811D2">
      <w:pPr>
        <w:tabs>
          <w:tab w:val="left" w:pos="425"/>
          <w:tab w:val="left" w:pos="851"/>
        </w:tabs>
        <w:spacing w:before="0"/>
        <w:ind w:left="425" w:hanging="425"/>
        <w:rPr>
          <w:szCs w:val="24"/>
        </w:rPr>
      </w:pPr>
      <w:r>
        <w:rPr>
          <w:szCs w:val="24"/>
        </w:rPr>
        <w:t>e)</w:t>
      </w:r>
      <w:r>
        <w:rPr>
          <w:szCs w:val="24"/>
        </w:rPr>
        <w:tab/>
      </w:r>
      <w:r w:rsidRPr="00D21E77">
        <w:rPr>
          <w:szCs w:val="24"/>
        </w:rPr>
        <w:t>dvojnásobku výše neoprávněného prospěchu, jde-li o přestupek podle odstavce 1 písm. a), c) až f) a spáchala-li ho podnikající fyzická osoba; není-li možné výši neoprávněného prospěchu zjistit, lze uložit pokutu do 130 000 000 Kč,</w:t>
      </w:r>
    </w:p>
    <w:p w14:paraId="2E4F7AE8" w14:textId="77777777" w:rsidR="00A46E9E" w:rsidRPr="00D21E77" w:rsidRDefault="00A46E9E" w:rsidP="00B811D2">
      <w:pPr>
        <w:tabs>
          <w:tab w:val="left" w:pos="425"/>
          <w:tab w:val="left" w:pos="851"/>
        </w:tabs>
        <w:spacing w:before="0"/>
        <w:ind w:left="425" w:hanging="425"/>
        <w:rPr>
          <w:szCs w:val="24"/>
        </w:rPr>
      </w:pPr>
      <w:r>
        <w:rPr>
          <w:szCs w:val="24"/>
        </w:rPr>
        <w:t>f)</w:t>
      </w:r>
      <w:r>
        <w:rPr>
          <w:szCs w:val="24"/>
        </w:rPr>
        <w:tab/>
      </w:r>
      <w:r w:rsidRPr="00D21E77">
        <w:rPr>
          <w:szCs w:val="24"/>
        </w:rPr>
        <w:t>dvojnásobku výše neoprávněného prospěchu, jde-li o přestupek podle odstavce 1 písm. a), c) až f) nebo odstavce 6 a spáchala-li ho právnická osoba; není-li možné výši neoprávněného prospěchu zjistit, lze uložit pokutu do výše 10 % čistého ročního obratu dosaženého právnickou osobou za bezprostředně předcházející účetní období, který zahrnuje položky uvedené v čl. 316 nařízení Evropského parlamentu a Rady (EU) č. 575/2013,</w:t>
      </w:r>
    </w:p>
    <w:p w14:paraId="3A2AE388" w14:textId="77777777" w:rsidR="00A46E9E" w:rsidRPr="001C7C69" w:rsidRDefault="00A46E9E" w:rsidP="00B811D2">
      <w:pPr>
        <w:tabs>
          <w:tab w:val="left" w:pos="425"/>
          <w:tab w:val="left" w:pos="851"/>
        </w:tabs>
        <w:spacing w:before="0"/>
        <w:ind w:left="425" w:hanging="425"/>
        <w:rPr>
          <w:szCs w:val="24"/>
        </w:rPr>
      </w:pPr>
      <w:r>
        <w:rPr>
          <w:szCs w:val="24"/>
        </w:rPr>
        <w:t>g)</w:t>
      </w:r>
      <w:r>
        <w:rPr>
          <w:szCs w:val="24"/>
        </w:rPr>
        <w:tab/>
      </w:r>
      <w:r w:rsidRPr="00D21E77">
        <w:rPr>
          <w:szCs w:val="24"/>
        </w:rPr>
        <w:t>dvojnásobku výše neoprávněného prospěchu, jde-li o přestupek podle odstavce 1 písm. a), c) až f) nebo odstavce 6 a spáchala-li ho ovládaná osoba; není-li možné výši neoprávněného prospěchu zjistit, lze uložit pokutu do výše 10 % čistého ročního obratu vyplývajícího z konsolidované účetní závěrky ovládající osoby za bezprostředně předcházející účetní období.</w:t>
      </w:r>
    </w:p>
    <w:p w14:paraId="1A67BCAA" w14:textId="77777777" w:rsidR="00A46E9E" w:rsidRDefault="00A46E9E" w:rsidP="00A46E9E">
      <w:pPr>
        <w:pStyle w:val="Paragraf"/>
        <w:numPr>
          <w:ilvl w:val="0"/>
          <w:numId w:val="28"/>
        </w:numPr>
      </w:pPr>
      <w:r>
        <w:t>***</w:t>
      </w:r>
    </w:p>
    <w:p w14:paraId="18BD7A96" w14:textId="77777777" w:rsidR="00A46E9E" w:rsidRPr="001C7C69" w:rsidRDefault="00A46E9E" w:rsidP="00A46E9E">
      <w:pPr>
        <w:pStyle w:val="Paragraf"/>
        <w:numPr>
          <w:ilvl w:val="0"/>
          <w:numId w:val="28"/>
        </w:numPr>
      </w:pPr>
      <w:r w:rsidRPr="001C7C69">
        <w:t>§ 36e</w:t>
      </w:r>
    </w:p>
    <w:p w14:paraId="38148224" w14:textId="77777777" w:rsidR="00A46E9E" w:rsidRPr="00484B75" w:rsidRDefault="00A46E9E" w:rsidP="00A46E9E">
      <w:pPr>
        <w:pStyle w:val="PZTextodstavce"/>
      </w:pPr>
      <w:r w:rsidRPr="00484B75">
        <w:t>(1) Ban</w:t>
      </w:r>
      <w:r>
        <w:t>ka se dopustí přestupku tím, že</w:t>
      </w:r>
    </w:p>
    <w:p w14:paraId="05D17B05" w14:textId="77777777" w:rsidR="00A46E9E" w:rsidRPr="00BB45D3" w:rsidRDefault="00A46E9E" w:rsidP="00B811D2">
      <w:pPr>
        <w:tabs>
          <w:tab w:val="left" w:pos="425"/>
          <w:tab w:val="left" w:pos="851"/>
        </w:tabs>
        <w:spacing w:before="0"/>
        <w:ind w:left="426" w:hanging="426"/>
        <w:rPr>
          <w:szCs w:val="24"/>
        </w:rPr>
      </w:pPr>
      <w:r w:rsidRPr="00BB45D3">
        <w:rPr>
          <w:szCs w:val="24"/>
        </w:rPr>
        <w:t xml:space="preserve">a) </w:t>
      </w:r>
      <w:r>
        <w:rPr>
          <w:szCs w:val="24"/>
        </w:rPr>
        <w:tab/>
      </w:r>
      <w:r w:rsidRPr="00BB45D3">
        <w:rPr>
          <w:szCs w:val="24"/>
        </w:rPr>
        <w:t>uskuteční činnost v rozporu s licencí,</w:t>
      </w:r>
    </w:p>
    <w:p w14:paraId="50691D6C" w14:textId="77777777" w:rsidR="00A46E9E" w:rsidRPr="00BB45D3" w:rsidRDefault="00A46E9E" w:rsidP="00B811D2">
      <w:pPr>
        <w:tabs>
          <w:tab w:val="left" w:pos="425"/>
          <w:tab w:val="left" w:pos="851"/>
        </w:tabs>
        <w:spacing w:before="0"/>
        <w:ind w:left="426" w:hanging="426"/>
        <w:rPr>
          <w:szCs w:val="24"/>
        </w:rPr>
      </w:pPr>
      <w:r w:rsidRPr="00BB45D3">
        <w:rPr>
          <w:szCs w:val="24"/>
        </w:rPr>
        <w:t xml:space="preserve">b) </w:t>
      </w:r>
      <w:r>
        <w:rPr>
          <w:szCs w:val="24"/>
        </w:rPr>
        <w:tab/>
      </w:r>
      <w:r w:rsidRPr="00BB45D3">
        <w:rPr>
          <w:szCs w:val="24"/>
        </w:rPr>
        <w:t xml:space="preserve">zřídí pobočku na území hostitelského státu v rozporu s § 5f, </w:t>
      </w:r>
    </w:p>
    <w:p w14:paraId="6B9A9152" w14:textId="77777777" w:rsidR="00A46E9E" w:rsidRPr="00BB45D3" w:rsidRDefault="00A46E9E" w:rsidP="00B811D2">
      <w:pPr>
        <w:tabs>
          <w:tab w:val="left" w:pos="425"/>
          <w:tab w:val="left" w:pos="851"/>
        </w:tabs>
        <w:spacing w:before="0"/>
        <w:ind w:left="426" w:hanging="426"/>
        <w:rPr>
          <w:szCs w:val="24"/>
        </w:rPr>
      </w:pPr>
      <w:r w:rsidRPr="00BB45D3">
        <w:rPr>
          <w:szCs w:val="24"/>
        </w:rPr>
        <w:t xml:space="preserve">c) </w:t>
      </w:r>
      <w:r>
        <w:rPr>
          <w:szCs w:val="24"/>
        </w:rPr>
        <w:tab/>
      </w:r>
      <w:r w:rsidRPr="00BB45D3">
        <w:rPr>
          <w:szCs w:val="24"/>
        </w:rPr>
        <w:t>začne vykonávat činnost na území hostitelského státu v případě, kdy</w:t>
      </w:r>
    </w:p>
    <w:p w14:paraId="23C5F5DF" w14:textId="77777777" w:rsidR="00A46E9E" w:rsidRPr="00BB45D3" w:rsidRDefault="00A46E9E" w:rsidP="00B811D2">
      <w:pPr>
        <w:pStyle w:val="PZTextbodu"/>
        <w:spacing w:before="0"/>
      </w:pPr>
      <w:r>
        <w:t>1.</w:t>
      </w:r>
      <w:r>
        <w:tab/>
      </w:r>
      <w:r w:rsidRPr="00BB45D3">
        <w:t>je informována podle § 5g odst. 2 věty první orgánem dohledu domovského státu o tom, že její oznámení nebylo předáno orgánu dohledu hostitelského státu, nebo</w:t>
      </w:r>
    </w:p>
    <w:p w14:paraId="7C7621E2" w14:textId="77777777" w:rsidR="00A46E9E" w:rsidRPr="00BB45D3" w:rsidRDefault="00A46E9E" w:rsidP="00B811D2">
      <w:pPr>
        <w:pStyle w:val="PZTextbodu"/>
        <w:spacing w:before="0"/>
      </w:pPr>
      <w:r>
        <w:t>2.</w:t>
      </w:r>
      <w:r>
        <w:tab/>
      </w:r>
      <w:r w:rsidRPr="00BB45D3">
        <w:t>neuplyne lhůta 2 měsíců podle § 5h odst. 2, pokud neobdrž</w:t>
      </w:r>
      <w:r>
        <w:t>í informaci podle § 5h odst. </w:t>
      </w:r>
      <w:r w:rsidRPr="00BB45D3">
        <w:t>1,</w:t>
      </w:r>
    </w:p>
    <w:p w14:paraId="5AFECBF1" w14:textId="77777777" w:rsidR="00A46E9E" w:rsidRPr="00BB45D3" w:rsidRDefault="00A46E9E" w:rsidP="00B811D2">
      <w:pPr>
        <w:tabs>
          <w:tab w:val="left" w:pos="425"/>
          <w:tab w:val="left" w:pos="851"/>
        </w:tabs>
        <w:spacing w:before="0"/>
        <w:ind w:left="426" w:hanging="426"/>
        <w:rPr>
          <w:szCs w:val="24"/>
        </w:rPr>
      </w:pPr>
      <w:r w:rsidRPr="00BB45D3">
        <w:rPr>
          <w:szCs w:val="24"/>
        </w:rPr>
        <w:t xml:space="preserve">d) </w:t>
      </w:r>
      <w:r>
        <w:rPr>
          <w:szCs w:val="24"/>
        </w:rPr>
        <w:tab/>
      </w:r>
      <w:r w:rsidRPr="00BB45D3">
        <w:rPr>
          <w:szCs w:val="24"/>
        </w:rPr>
        <w:t>neoznámí České národní bance změny v údajích uvedených v § 5f a § 5g odst. 1,</w:t>
      </w:r>
    </w:p>
    <w:p w14:paraId="7BE2CBAB" w14:textId="77777777" w:rsidR="00A46E9E" w:rsidRPr="00BB45D3" w:rsidRDefault="00A46E9E" w:rsidP="00B811D2">
      <w:pPr>
        <w:tabs>
          <w:tab w:val="left" w:pos="425"/>
          <w:tab w:val="left" w:pos="851"/>
        </w:tabs>
        <w:spacing w:before="0"/>
        <w:ind w:left="426" w:hanging="426"/>
        <w:rPr>
          <w:szCs w:val="24"/>
        </w:rPr>
      </w:pPr>
      <w:r w:rsidRPr="00BB45D3">
        <w:rPr>
          <w:szCs w:val="24"/>
        </w:rPr>
        <w:t xml:space="preserve">e) </w:t>
      </w:r>
      <w:r>
        <w:rPr>
          <w:szCs w:val="24"/>
        </w:rPr>
        <w:tab/>
      </w:r>
      <w:r w:rsidRPr="00BB45D3">
        <w:rPr>
          <w:szCs w:val="24"/>
        </w:rPr>
        <w:t>uskuteční na území hostitelského státu činnosti uvedené v § 5d bez zřízení pobočky a bez oznámení zamýšlené činnosti před zahájením výkonu kterékoliv z nich České národní bance podle § 5i,</w:t>
      </w:r>
    </w:p>
    <w:p w14:paraId="46AC4745" w14:textId="77777777" w:rsidR="00A46E9E" w:rsidRPr="00E40065" w:rsidRDefault="00A46E9E" w:rsidP="00B811D2">
      <w:pPr>
        <w:tabs>
          <w:tab w:val="left" w:pos="425"/>
          <w:tab w:val="left" w:pos="851"/>
        </w:tabs>
        <w:spacing w:before="0"/>
        <w:ind w:left="426" w:hanging="426"/>
        <w:rPr>
          <w:szCs w:val="24"/>
        </w:rPr>
      </w:pPr>
      <w:r w:rsidRPr="00E40065">
        <w:rPr>
          <w:szCs w:val="24"/>
        </w:rPr>
        <w:t xml:space="preserve">f) </w:t>
      </w:r>
      <w:r w:rsidRPr="00E40065">
        <w:rPr>
          <w:szCs w:val="24"/>
        </w:rPr>
        <w:tab/>
        <w:t xml:space="preserve">nesplní některou z povinností podle § 8 odst. 3, </w:t>
      </w:r>
    </w:p>
    <w:p w14:paraId="5A370E7D" w14:textId="77777777" w:rsidR="00A46E9E" w:rsidRPr="001C7C69" w:rsidRDefault="00A46E9E" w:rsidP="00B811D2">
      <w:pPr>
        <w:tabs>
          <w:tab w:val="left" w:pos="425"/>
          <w:tab w:val="left" w:pos="851"/>
        </w:tabs>
        <w:spacing w:before="0"/>
        <w:ind w:left="426" w:hanging="426"/>
        <w:rPr>
          <w:szCs w:val="24"/>
        </w:rPr>
      </w:pPr>
      <w:r w:rsidRPr="00E40065">
        <w:rPr>
          <w:szCs w:val="24"/>
        </w:rPr>
        <w:t xml:space="preserve">g) </w:t>
      </w:r>
      <w:r w:rsidRPr="00E40065">
        <w:rPr>
          <w:szCs w:val="24"/>
        </w:rPr>
        <w:tab/>
        <w:t>neuloží ověřené kopie stanov nebo jejich změny u České národní banky podle § 9 odst.</w:t>
      </w:r>
      <w:r w:rsidRPr="001C7C69">
        <w:rPr>
          <w:szCs w:val="24"/>
        </w:rPr>
        <w:t xml:space="preserve"> 2,</w:t>
      </w:r>
    </w:p>
    <w:p w14:paraId="0D33A4E2" w14:textId="77777777" w:rsidR="00A46E9E" w:rsidRPr="00BB45D3" w:rsidRDefault="00A46E9E" w:rsidP="00B811D2">
      <w:pPr>
        <w:tabs>
          <w:tab w:val="left" w:pos="425"/>
          <w:tab w:val="left" w:pos="851"/>
        </w:tabs>
        <w:spacing w:before="0"/>
        <w:ind w:left="426" w:hanging="426"/>
        <w:rPr>
          <w:szCs w:val="24"/>
        </w:rPr>
      </w:pPr>
      <w:r w:rsidRPr="00BB45D3">
        <w:rPr>
          <w:szCs w:val="24"/>
        </w:rPr>
        <w:t xml:space="preserve">h) </w:t>
      </w:r>
      <w:r>
        <w:rPr>
          <w:szCs w:val="24"/>
        </w:rPr>
        <w:tab/>
      </w:r>
      <w:r w:rsidRPr="00BB45D3">
        <w:rPr>
          <w:szCs w:val="24"/>
        </w:rPr>
        <w:t>nesplní některou z informačních povinností podle § 11 odst. 1 až 4,</w:t>
      </w:r>
    </w:p>
    <w:p w14:paraId="114932EB" w14:textId="77777777" w:rsidR="00A46E9E" w:rsidRDefault="00A46E9E" w:rsidP="00B811D2">
      <w:pPr>
        <w:tabs>
          <w:tab w:val="left" w:pos="425"/>
          <w:tab w:val="left" w:pos="851"/>
        </w:tabs>
        <w:spacing w:before="0"/>
        <w:ind w:left="426" w:hanging="426"/>
        <w:rPr>
          <w:szCs w:val="24"/>
        </w:rPr>
      </w:pPr>
      <w:r w:rsidRPr="00BB45D3">
        <w:rPr>
          <w:szCs w:val="24"/>
        </w:rPr>
        <w:t xml:space="preserve">i) </w:t>
      </w:r>
      <w:r>
        <w:rPr>
          <w:szCs w:val="24"/>
        </w:rPr>
        <w:tab/>
      </w:r>
      <w:r w:rsidRPr="00BB45D3">
        <w:rPr>
          <w:szCs w:val="24"/>
        </w:rPr>
        <w:t>nevede agendu každé smlouvy uzavírané s klientem podle § 11 odst. 8,</w:t>
      </w:r>
    </w:p>
    <w:p w14:paraId="4033196B" w14:textId="77777777" w:rsidR="00A46E9E" w:rsidRDefault="00A46E9E" w:rsidP="00B811D2">
      <w:pPr>
        <w:tabs>
          <w:tab w:val="left" w:pos="425"/>
          <w:tab w:val="left" w:pos="851"/>
        </w:tabs>
        <w:spacing w:before="0"/>
        <w:ind w:left="426" w:hanging="426"/>
        <w:rPr>
          <w:b/>
          <w:szCs w:val="24"/>
        </w:rPr>
      </w:pPr>
      <w:r>
        <w:rPr>
          <w:b/>
          <w:szCs w:val="24"/>
        </w:rPr>
        <w:t xml:space="preserve">j) </w:t>
      </w:r>
      <w:r>
        <w:rPr>
          <w:b/>
          <w:szCs w:val="24"/>
        </w:rPr>
        <w:tab/>
        <w:t>neuveřejní údaje podle § 11b odst. 1 nebo 6,</w:t>
      </w:r>
    </w:p>
    <w:p w14:paraId="0362F29E" w14:textId="77777777" w:rsidR="00A46E9E" w:rsidRPr="00F32ED1" w:rsidRDefault="00A46E9E" w:rsidP="00B811D2">
      <w:pPr>
        <w:tabs>
          <w:tab w:val="left" w:pos="425"/>
          <w:tab w:val="left" w:pos="851"/>
        </w:tabs>
        <w:spacing w:before="0"/>
        <w:ind w:left="426" w:hanging="426"/>
        <w:rPr>
          <w:b/>
          <w:szCs w:val="24"/>
        </w:rPr>
      </w:pPr>
      <w:r>
        <w:rPr>
          <w:b/>
          <w:szCs w:val="24"/>
        </w:rPr>
        <w:t xml:space="preserve">k) </w:t>
      </w:r>
      <w:r>
        <w:rPr>
          <w:b/>
          <w:szCs w:val="24"/>
        </w:rPr>
        <w:tab/>
        <w:t>neuvede údaje podle § 11b odst. 5 nebo § 11c nebo je nepřipojí podle § 11c odst. 2,</w:t>
      </w:r>
    </w:p>
    <w:p w14:paraId="06025B96" w14:textId="77777777" w:rsidR="00A46E9E" w:rsidRPr="00E40065" w:rsidRDefault="00A46E9E" w:rsidP="00B811D2">
      <w:pPr>
        <w:tabs>
          <w:tab w:val="left" w:pos="425"/>
          <w:tab w:val="left" w:pos="851"/>
        </w:tabs>
        <w:spacing w:before="0"/>
        <w:ind w:left="426" w:hanging="426"/>
        <w:rPr>
          <w:szCs w:val="24"/>
        </w:rPr>
      </w:pPr>
      <w:r w:rsidRPr="00E40065">
        <w:rPr>
          <w:strike/>
          <w:szCs w:val="24"/>
        </w:rPr>
        <w:lastRenderedPageBreak/>
        <w:t>j)</w:t>
      </w:r>
      <w:r w:rsidRPr="00E40065">
        <w:rPr>
          <w:b/>
          <w:szCs w:val="24"/>
        </w:rPr>
        <w:t>l)</w:t>
      </w:r>
      <w:r w:rsidRPr="00E40065">
        <w:rPr>
          <w:szCs w:val="24"/>
        </w:rPr>
        <w:t xml:space="preserve"> </w:t>
      </w:r>
      <w:r w:rsidRPr="00E40065">
        <w:rPr>
          <w:szCs w:val="24"/>
        </w:rPr>
        <w:tab/>
        <w:t>nezavede účinný postup pro vyřizování stížností klientů, nebo o tomto postupu neinformuje,</w:t>
      </w:r>
    </w:p>
    <w:p w14:paraId="23804836" w14:textId="77777777" w:rsidR="00A46E9E" w:rsidRPr="00E40065" w:rsidRDefault="00A46E9E" w:rsidP="00B811D2">
      <w:pPr>
        <w:tabs>
          <w:tab w:val="left" w:pos="425"/>
          <w:tab w:val="left" w:pos="851"/>
        </w:tabs>
        <w:spacing w:before="0"/>
        <w:ind w:left="426" w:hanging="426"/>
        <w:rPr>
          <w:szCs w:val="24"/>
        </w:rPr>
      </w:pPr>
      <w:r w:rsidRPr="00E40065">
        <w:rPr>
          <w:strike/>
          <w:szCs w:val="24"/>
        </w:rPr>
        <w:t>k)</w:t>
      </w:r>
      <w:r w:rsidRPr="00E40065">
        <w:rPr>
          <w:b/>
          <w:szCs w:val="24"/>
        </w:rPr>
        <w:t>m)</w:t>
      </w:r>
      <w:r w:rsidRPr="00E40065">
        <w:rPr>
          <w:szCs w:val="24"/>
        </w:rPr>
        <w:t>neuveřejní údaje podle části osmé nařízení Evropského parlamentu a Rady (EU) č. 575/2013,</w:t>
      </w:r>
    </w:p>
    <w:p w14:paraId="0B5EF45F" w14:textId="77777777" w:rsidR="00A46E9E" w:rsidRPr="00E40065" w:rsidRDefault="00A46E9E" w:rsidP="00B811D2">
      <w:pPr>
        <w:tabs>
          <w:tab w:val="left" w:pos="425"/>
          <w:tab w:val="left" w:pos="851"/>
        </w:tabs>
        <w:spacing w:before="0"/>
        <w:ind w:left="426" w:hanging="426"/>
        <w:rPr>
          <w:szCs w:val="24"/>
        </w:rPr>
      </w:pPr>
      <w:r w:rsidRPr="00E40065">
        <w:rPr>
          <w:strike/>
          <w:szCs w:val="24"/>
        </w:rPr>
        <w:t>l)</w:t>
      </w:r>
      <w:r w:rsidRPr="00E40065">
        <w:rPr>
          <w:b/>
          <w:szCs w:val="24"/>
        </w:rPr>
        <w:t>n)</w:t>
      </w:r>
      <w:r w:rsidRPr="00E40065">
        <w:rPr>
          <w:szCs w:val="24"/>
        </w:rPr>
        <w:t xml:space="preserve"> </w:t>
      </w:r>
      <w:r w:rsidRPr="00E40065">
        <w:rPr>
          <w:szCs w:val="24"/>
        </w:rPr>
        <w:tab/>
        <w:t>nezavede vnitřní postupy a zásady podle přímo použitelného předpisu Evropské unie upravujícího obezřetnostní požadavky,</w:t>
      </w:r>
    </w:p>
    <w:p w14:paraId="54D18F31" w14:textId="77777777" w:rsidR="00A46E9E" w:rsidRPr="00E40065" w:rsidRDefault="00A46E9E" w:rsidP="00B811D2">
      <w:pPr>
        <w:tabs>
          <w:tab w:val="left" w:pos="425"/>
          <w:tab w:val="left" w:pos="851"/>
        </w:tabs>
        <w:spacing w:before="0"/>
        <w:ind w:left="426" w:hanging="426"/>
        <w:rPr>
          <w:szCs w:val="24"/>
        </w:rPr>
      </w:pPr>
      <w:r w:rsidRPr="00E40065">
        <w:rPr>
          <w:strike/>
          <w:szCs w:val="24"/>
        </w:rPr>
        <w:t>m)</w:t>
      </w:r>
      <w:r w:rsidRPr="00E40065">
        <w:rPr>
          <w:b/>
          <w:szCs w:val="24"/>
        </w:rPr>
        <w:t>o)</w:t>
      </w:r>
      <w:r w:rsidRPr="00E40065">
        <w:rPr>
          <w:szCs w:val="24"/>
        </w:rPr>
        <w:t>v rozporu s § 12 odst. 1 provede obchod způsobem, který poškozuje zájmy jejích vkladatelů z hlediska návratnosti jejich vkladů, nebo ohrožuje bezpečnost a stabilitu banky,</w:t>
      </w:r>
    </w:p>
    <w:p w14:paraId="066F2ADD" w14:textId="77777777" w:rsidR="00A46E9E" w:rsidRPr="00BB45D3" w:rsidRDefault="00A46E9E" w:rsidP="00B811D2">
      <w:pPr>
        <w:tabs>
          <w:tab w:val="left" w:pos="425"/>
          <w:tab w:val="left" w:pos="851"/>
        </w:tabs>
        <w:spacing w:before="0"/>
        <w:ind w:left="426" w:hanging="426"/>
        <w:rPr>
          <w:szCs w:val="24"/>
        </w:rPr>
      </w:pPr>
      <w:r w:rsidRPr="00E40065">
        <w:rPr>
          <w:strike/>
          <w:szCs w:val="24"/>
        </w:rPr>
        <w:t>n)</w:t>
      </w:r>
      <w:r w:rsidRPr="00E40065">
        <w:rPr>
          <w:b/>
          <w:szCs w:val="24"/>
        </w:rPr>
        <w:t>p)</w:t>
      </w:r>
      <w:r>
        <w:rPr>
          <w:szCs w:val="24"/>
        </w:rPr>
        <w:tab/>
      </w:r>
      <w:r w:rsidRPr="00E40065">
        <w:rPr>
          <w:szCs w:val="24"/>
        </w:rPr>
        <w:t>v rozporu s § 12 odst. 2 uzavře smlouvu za podmínek, které jsou pro ni nápadně nevýhodné, nebo</w:t>
      </w:r>
    </w:p>
    <w:p w14:paraId="71CC0E83" w14:textId="77777777" w:rsidR="00A46E9E" w:rsidRPr="00BB45D3" w:rsidRDefault="00A46E9E" w:rsidP="00B811D2">
      <w:pPr>
        <w:tabs>
          <w:tab w:val="left" w:pos="425"/>
          <w:tab w:val="left" w:pos="851"/>
        </w:tabs>
        <w:spacing w:before="0"/>
        <w:ind w:left="426" w:hanging="426"/>
        <w:rPr>
          <w:szCs w:val="24"/>
        </w:rPr>
      </w:pPr>
      <w:r w:rsidRPr="00F32ED1">
        <w:rPr>
          <w:strike/>
          <w:szCs w:val="24"/>
        </w:rPr>
        <w:t>o)</w:t>
      </w:r>
      <w:r>
        <w:rPr>
          <w:b/>
          <w:szCs w:val="24"/>
        </w:rPr>
        <w:t>q)</w:t>
      </w:r>
      <w:r w:rsidRPr="00BB45D3">
        <w:rPr>
          <w:szCs w:val="24"/>
        </w:rPr>
        <w:t xml:space="preserve"> nevykonává činnost s odbornou péčí podle § 12 odst. 3 nebo § 19a odst. 1.</w:t>
      </w:r>
    </w:p>
    <w:p w14:paraId="3C55BA91" w14:textId="77777777" w:rsidR="00A46E9E" w:rsidRPr="00484B75" w:rsidRDefault="00A46E9E" w:rsidP="00A46E9E">
      <w:pPr>
        <w:pStyle w:val="PZTextodstavce"/>
      </w:pPr>
      <w:r w:rsidRPr="00484B75">
        <w:t>(2) Ban</w:t>
      </w:r>
      <w:r>
        <w:t>ka se dopustí přestupku tím, že</w:t>
      </w:r>
    </w:p>
    <w:p w14:paraId="3FE313A2" w14:textId="77777777" w:rsidR="00A46E9E" w:rsidRPr="00BB45D3" w:rsidRDefault="00A46E9E" w:rsidP="00B811D2">
      <w:pPr>
        <w:tabs>
          <w:tab w:val="left" w:pos="425"/>
          <w:tab w:val="left" w:pos="851"/>
        </w:tabs>
        <w:spacing w:before="0"/>
        <w:ind w:left="425" w:hanging="425"/>
        <w:rPr>
          <w:szCs w:val="24"/>
        </w:rPr>
      </w:pPr>
      <w:r w:rsidRPr="00BB45D3">
        <w:rPr>
          <w:szCs w:val="24"/>
        </w:rPr>
        <w:t xml:space="preserve">a) </w:t>
      </w:r>
      <w:r>
        <w:rPr>
          <w:szCs w:val="24"/>
        </w:rPr>
        <w:tab/>
      </w:r>
      <w:r w:rsidRPr="00BB45D3">
        <w:rPr>
          <w:szCs w:val="24"/>
        </w:rPr>
        <w:t>její řídicí a kontrolní systém nesplňuje všechny požadavky stanovené tímto zákonem, právním předpisem jej provádějícím, rozhodnutím vydaným podle § 8b, přímo použitelným předpisem Evropské unie upravujícím obezřetnostní požadavky, nařízením nebo rozhodnutím Evropské komise</w:t>
      </w:r>
      <w:r>
        <w:rPr>
          <w:szCs w:val="24"/>
        </w:rPr>
        <w:t xml:space="preserve"> n</w:t>
      </w:r>
      <w:r w:rsidRPr="00341427">
        <w:rPr>
          <w:szCs w:val="24"/>
        </w:rPr>
        <w:t>ebo požadavky stanovené v čl. 5 nařízení Evropského parlamentu a Rady (EU) 2019/2088</w:t>
      </w:r>
      <w:r>
        <w:rPr>
          <w:rStyle w:val="Znakapoznpodarou"/>
          <w:szCs w:val="24"/>
        </w:rPr>
        <w:footnoteReference w:customMarkFollows="1" w:id="99"/>
        <w:t>45)</w:t>
      </w:r>
      <w:r w:rsidRPr="00BB45D3">
        <w:rPr>
          <w:szCs w:val="24"/>
        </w:rPr>
        <w:t>,</w:t>
      </w:r>
    </w:p>
    <w:p w14:paraId="05750838" w14:textId="77777777" w:rsidR="00A46E9E" w:rsidRPr="00BB45D3" w:rsidRDefault="00A46E9E" w:rsidP="00B811D2">
      <w:pPr>
        <w:tabs>
          <w:tab w:val="left" w:pos="425"/>
          <w:tab w:val="left" w:pos="851"/>
        </w:tabs>
        <w:spacing w:before="0"/>
        <w:ind w:left="425" w:hanging="425"/>
        <w:rPr>
          <w:szCs w:val="24"/>
        </w:rPr>
      </w:pPr>
      <w:r w:rsidRPr="00BB45D3">
        <w:rPr>
          <w:szCs w:val="24"/>
        </w:rPr>
        <w:t xml:space="preserve">b) </w:t>
      </w:r>
      <w:r>
        <w:rPr>
          <w:szCs w:val="24"/>
        </w:rPr>
        <w:tab/>
      </w:r>
      <w:r w:rsidRPr="00BB45D3">
        <w:rPr>
          <w:szCs w:val="24"/>
        </w:rPr>
        <w:t>neposkytne právnické osobě nebo fyzické osobě v souvislosti s jejím podnikáním bez zbytečného odkladu písemné vysvětlení jejího úvěrového hodnocení podle čl. 431 odst. 5 nařízení Evropského parlamentu a Rady (EU) č. 575/2013,</w:t>
      </w:r>
    </w:p>
    <w:p w14:paraId="75C90210" w14:textId="77777777" w:rsidR="00A46E9E" w:rsidRPr="00BB45D3" w:rsidRDefault="00A46E9E" w:rsidP="00B811D2">
      <w:pPr>
        <w:tabs>
          <w:tab w:val="left" w:pos="425"/>
          <w:tab w:val="left" w:pos="851"/>
        </w:tabs>
        <w:spacing w:before="0"/>
        <w:ind w:left="425" w:hanging="425"/>
        <w:rPr>
          <w:szCs w:val="24"/>
        </w:rPr>
      </w:pPr>
      <w:r w:rsidRPr="00BB45D3">
        <w:rPr>
          <w:szCs w:val="24"/>
        </w:rPr>
        <w:t xml:space="preserve">c) </w:t>
      </w:r>
      <w:r>
        <w:rPr>
          <w:szCs w:val="24"/>
        </w:rPr>
        <w:tab/>
      </w:r>
      <w:r w:rsidRPr="00BB45D3">
        <w:rPr>
          <w:szCs w:val="24"/>
        </w:rPr>
        <w:t>nedodrží pravidla pro stanovení kapitálu, určení jednotlivých kapitálových požadavků a podmínky pro užívání základních a interních přístupů pro výpočet kapitálových požadavků podle části druhé a třetí nařízení Evropského parlamentu a Rady (EU) č. 575/2013 a opatření obecné povahy České národní banky podle § 20d,</w:t>
      </w:r>
    </w:p>
    <w:p w14:paraId="3B612915" w14:textId="77777777" w:rsidR="00A46E9E" w:rsidRPr="00BB45D3" w:rsidRDefault="00A46E9E" w:rsidP="00B811D2">
      <w:pPr>
        <w:tabs>
          <w:tab w:val="left" w:pos="425"/>
          <w:tab w:val="left" w:pos="851"/>
        </w:tabs>
        <w:spacing w:before="0"/>
        <w:ind w:left="425" w:hanging="425"/>
        <w:rPr>
          <w:szCs w:val="24"/>
        </w:rPr>
      </w:pPr>
      <w:r w:rsidRPr="00BB45D3">
        <w:rPr>
          <w:szCs w:val="24"/>
        </w:rPr>
        <w:t xml:space="preserve">d) </w:t>
      </w:r>
      <w:r>
        <w:rPr>
          <w:szCs w:val="24"/>
        </w:rPr>
        <w:tab/>
      </w:r>
      <w:r w:rsidRPr="00BB45D3">
        <w:rPr>
          <w:szCs w:val="24"/>
        </w:rPr>
        <w:t>nesdělí České národní bance údaje, nebo sdělí neúplné nebo nesprávné údaje podle části sedmé A nařízení Evropského parlamentu a Rady (EU) č. 575/2013, nařízení nebo rozhodnutí Evropské komise,</w:t>
      </w:r>
    </w:p>
    <w:p w14:paraId="1971DB7B" w14:textId="77777777" w:rsidR="00A46E9E" w:rsidRPr="00BB45D3" w:rsidRDefault="00A46E9E" w:rsidP="00B811D2">
      <w:pPr>
        <w:tabs>
          <w:tab w:val="left" w:pos="425"/>
          <w:tab w:val="left" w:pos="851"/>
        </w:tabs>
        <w:spacing w:before="0"/>
        <w:ind w:left="425" w:hanging="425"/>
        <w:rPr>
          <w:szCs w:val="24"/>
        </w:rPr>
      </w:pPr>
      <w:r w:rsidRPr="00BB45D3">
        <w:rPr>
          <w:szCs w:val="24"/>
        </w:rPr>
        <w:t xml:space="preserve">e) </w:t>
      </w:r>
      <w:r>
        <w:rPr>
          <w:szCs w:val="24"/>
        </w:rPr>
        <w:tab/>
      </w:r>
      <w:r w:rsidRPr="00BB45D3">
        <w:rPr>
          <w:szCs w:val="24"/>
        </w:rPr>
        <w:t>použije nebo změní interní přístup pro výpočet kapitálového požadavku bez předchozího souhlasu České národní banky nebo jiného orgánu dohledu členského státu, nebo tento přístup používá v rozporu se závaznými podmínkami stanovenými v tomto souhlasu podle čl. 143 nařízení Evropského parlamentu a Rady (EU) č. 575/2013, nařízení nebo rozhodnutí Evropské komise,</w:t>
      </w:r>
    </w:p>
    <w:p w14:paraId="3FFDB0C9" w14:textId="77777777" w:rsidR="00A46E9E" w:rsidRPr="00BB45D3" w:rsidRDefault="00A46E9E" w:rsidP="00B811D2">
      <w:pPr>
        <w:tabs>
          <w:tab w:val="left" w:pos="425"/>
          <w:tab w:val="left" w:pos="851"/>
        </w:tabs>
        <w:spacing w:before="0"/>
        <w:ind w:left="425" w:hanging="425"/>
        <w:rPr>
          <w:szCs w:val="24"/>
        </w:rPr>
      </w:pPr>
      <w:r w:rsidRPr="00BB45D3">
        <w:rPr>
          <w:szCs w:val="24"/>
        </w:rPr>
        <w:t xml:space="preserve">f) </w:t>
      </w:r>
      <w:r>
        <w:rPr>
          <w:szCs w:val="24"/>
        </w:rPr>
        <w:tab/>
      </w:r>
      <w:r w:rsidRPr="00BB45D3">
        <w:rPr>
          <w:szCs w:val="24"/>
        </w:rPr>
        <w:t>nesplní některou z povinností nebo poruší některý ze zákazů uvedených v kapitole 2 nařízení Evropského parlamentu a Rady (EU) 2017/2402</w:t>
      </w:r>
      <w:r>
        <w:rPr>
          <w:rStyle w:val="Znakapoznpodarou"/>
          <w:szCs w:val="24"/>
        </w:rPr>
        <w:footnoteReference w:customMarkFollows="1" w:id="100"/>
        <w:t>41)</w:t>
      </w:r>
      <w:r w:rsidRPr="00BB45D3">
        <w:rPr>
          <w:szCs w:val="24"/>
        </w:rPr>
        <w:t xml:space="preserve">, </w:t>
      </w:r>
    </w:p>
    <w:p w14:paraId="0273E438" w14:textId="77777777" w:rsidR="00A46E9E" w:rsidRPr="00BB45D3" w:rsidRDefault="00A46E9E" w:rsidP="00B811D2">
      <w:pPr>
        <w:tabs>
          <w:tab w:val="left" w:pos="425"/>
          <w:tab w:val="left" w:pos="851"/>
        </w:tabs>
        <w:spacing w:before="0"/>
        <w:ind w:left="425" w:hanging="425"/>
        <w:rPr>
          <w:szCs w:val="24"/>
        </w:rPr>
      </w:pPr>
      <w:r w:rsidRPr="00BB45D3">
        <w:rPr>
          <w:szCs w:val="24"/>
        </w:rPr>
        <w:t xml:space="preserve">g) </w:t>
      </w:r>
      <w:r>
        <w:rPr>
          <w:szCs w:val="24"/>
        </w:rPr>
        <w:tab/>
      </w:r>
      <w:r w:rsidRPr="00BB45D3">
        <w:rPr>
          <w:szCs w:val="24"/>
        </w:rPr>
        <w:t>se vystaví expozici přesahující limity stanovené v čl. 395 nařízení Evropského parlamentu a Rady (EU) č. 575/2013 a opatření obecné povahy České národní banky podle § 20d,</w:t>
      </w:r>
    </w:p>
    <w:p w14:paraId="3306D99D" w14:textId="77777777" w:rsidR="00A46E9E" w:rsidRPr="00BB45D3" w:rsidRDefault="00A46E9E" w:rsidP="00B811D2">
      <w:pPr>
        <w:tabs>
          <w:tab w:val="left" w:pos="425"/>
          <w:tab w:val="left" w:pos="851"/>
        </w:tabs>
        <w:spacing w:before="0"/>
        <w:ind w:left="425" w:hanging="425"/>
        <w:rPr>
          <w:szCs w:val="24"/>
        </w:rPr>
      </w:pPr>
      <w:r w:rsidRPr="00BB45D3">
        <w:rPr>
          <w:szCs w:val="24"/>
        </w:rPr>
        <w:t xml:space="preserve">h) </w:t>
      </w:r>
      <w:r>
        <w:rPr>
          <w:szCs w:val="24"/>
        </w:rPr>
        <w:tab/>
      </w:r>
      <w:r w:rsidRPr="00BB45D3">
        <w:rPr>
          <w:szCs w:val="24"/>
        </w:rPr>
        <w:t>neudržuje opakovaně nebo po delší dobu likvidní prostředky podle čl. 412 nařízení Evropského parlamentu a Rady (EU) č. 575/2013,</w:t>
      </w:r>
    </w:p>
    <w:p w14:paraId="28D72864" w14:textId="77777777" w:rsidR="00A46E9E" w:rsidRPr="00BB45D3" w:rsidRDefault="00A46E9E" w:rsidP="00B811D2">
      <w:pPr>
        <w:tabs>
          <w:tab w:val="left" w:pos="425"/>
          <w:tab w:val="left" w:pos="851"/>
        </w:tabs>
        <w:spacing w:before="0"/>
        <w:ind w:left="425" w:hanging="425"/>
        <w:rPr>
          <w:szCs w:val="24"/>
        </w:rPr>
      </w:pPr>
      <w:r w:rsidRPr="00BB45D3">
        <w:rPr>
          <w:szCs w:val="24"/>
        </w:rPr>
        <w:t xml:space="preserve">i) </w:t>
      </w:r>
      <w:r>
        <w:rPr>
          <w:szCs w:val="24"/>
        </w:rPr>
        <w:tab/>
      </w:r>
      <w:r w:rsidRPr="00BB45D3">
        <w:rPr>
          <w:szCs w:val="24"/>
        </w:rPr>
        <w:t>nezpřístupní informace v rozsahu a způsobem stanoveným v části osmé nařízení Evropského parlamentu a Rady (EU) č. 575/2013, nařízením nebo rozhodnutím Evropské komise nebo tyto informace zpřístupní s neúplnými nebo nesprávnými údaji,</w:t>
      </w:r>
    </w:p>
    <w:p w14:paraId="61355254" w14:textId="77777777" w:rsidR="00A46E9E" w:rsidRPr="00BB45D3" w:rsidRDefault="00A46E9E" w:rsidP="00B811D2">
      <w:pPr>
        <w:tabs>
          <w:tab w:val="left" w:pos="425"/>
          <w:tab w:val="left" w:pos="851"/>
        </w:tabs>
        <w:spacing w:before="0"/>
        <w:ind w:left="425" w:hanging="425"/>
        <w:rPr>
          <w:szCs w:val="24"/>
        </w:rPr>
      </w:pPr>
      <w:r w:rsidRPr="00BB45D3">
        <w:rPr>
          <w:szCs w:val="24"/>
        </w:rPr>
        <w:lastRenderedPageBreak/>
        <w:t xml:space="preserve">j) </w:t>
      </w:r>
      <w:r>
        <w:rPr>
          <w:szCs w:val="24"/>
        </w:rPr>
        <w:tab/>
      </w:r>
      <w:r w:rsidRPr="00BB45D3">
        <w:rPr>
          <w:szCs w:val="24"/>
        </w:rPr>
        <w:t xml:space="preserve">rozdělí kmenový kapitál </w:t>
      </w:r>
      <w:proofErr w:type="spellStart"/>
      <w:r w:rsidRPr="00BB45D3">
        <w:rPr>
          <w:szCs w:val="24"/>
        </w:rPr>
        <w:t>tier</w:t>
      </w:r>
      <w:proofErr w:type="spellEnd"/>
      <w:r w:rsidRPr="00BB45D3">
        <w:rPr>
          <w:szCs w:val="24"/>
        </w:rPr>
        <w:t xml:space="preserve"> 1 v rozporu s tímto zákonem,</w:t>
      </w:r>
    </w:p>
    <w:p w14:paraId="55A43DBA" w14:textId="77777777" w:rsidR="00A46E9E" w:rsidRPr="00BB45D3" w:rsidRDefault="00A46E9E" w:rsidP="00B811D2">
      <w:pPr>
        <w:tabs>
          <w:tab w:val="left" w:pos="425"/>
          <w:tab w:val="left" w:pos="851"/>
        </w:tabs>
        <w:spacing w:before="0"/>
        <w:ind w:left="425" w:hanging="425"/>
        <w:rPr>
          <w:szCs w:val="24"/>
        </w:rPr>
      </w:pPr>
      <w:r w:rsidRPr="00BB45D3">
        <w:rPr>
          <w:szCs w:val="24"/>
        </w:rPr>
        <w:t xml:space="preserve">k) </w:t>
      </w:r>
      <w:r>
        <w:rPr>
          <w:szCs w:val="24"/>
        </w:rPr>
        <w:tab/>
      </w:r>
      <w:r w:rsidRPr="00BB45D3">
        <w:rPr>
          <w:szCs w:val="24"/>
        </w:rPr>
        <w:t>nesplní informační povinnosti podle § 20 odst. 3, 18 nebo 19,</w:t>
      </w:r>
    </w:p>
    <w:p w14:paraId="18E0E0EA" w14:textId="77777777" w:rsidR="00A46E9E" w:rsidRDefault="00A46E9E" w:rsidP="00B811D2">
      <w:pPr>
        <w:tabs>
          <w:tab w:val="left" w:pos="425"/>
          <w:tab w:val="left" w:pos="851"/>
        </w:tabs>
        <w:spacing w:before="0"/>
        <w:ind w:left="425" w:hanging="425"/>
        <w:rPr>
          <w:szCs w:val="24"/>
        </w:rPr>
      </w:pPr>
      <w:r w:rsidRPr="00BB45D3">
        <w:rPr>
          <w:szCs w:val="24"/>
        </w:rPr>
        <w:t xml:space="preserve">l) </w:t>
      </w:r>
      <w:r>
        <w:rPr>
          <w:szCs w:val="24"/>
        </w:rPr>
        <w:tab/>
      </w:r>
      <w:r w:rsidRPr="00BB45D3">
        <w:rPr>
          <w:szCs w:val="24"/>
        </w:rPr>
        <w:t xml:space="preserve">poskytne plnění držitelům investičních nástrojů zahrnutých v kapitálu banky v rozporu s čl. 28, </w:t>
      </w:r>
      <w:r w:rsidRPr="007608B5">
        <w:rPr>
          <w:strike/>
          <w:szCs w:val="24"/>
        </w:rPr>
        <w:t>51</w:t>
      </w:r>
      <w:r w:rsidRPr="007608B5">
        <w:rPr>
          <w:szCs w:val="24"/>
        </w:rPr>
        <w:t xml:space="preserve"> </w:t>
      </w:r>
      <w:r w:rsidRPr="007608B5">
        <w:rPr>
          <w:b/>
          <w:szCs w:val="24"/>
        </w:rPr>
        <w:t>52</w:t>
      </w:r>
      <w:r>
        <w:rPr>
          <w:b/>
          <w:szCs w:val="24"/>
        </w:rPr>
        <w:t xml:space="preserve"> </w:t>
      </w:r>
      <w:r w:rsidRPr="00BB45D3">
        <w:rPr>
          <w:szCs w:val="24"/>
        </w:rPr>
        <w:t>nebo 63 nařízení Evropského parlamentu a Rady (EU) č. 575/2013, nebo</w:t>
      </w:r>
    </w:p>
    <w:p w14:paraId="06212A68" w14:textId="77777777" w:rsidR="00A46E9E" w:rsidRPr="00BB45D3" w:rsidRDefault="00A46E9E" w:rsidP="00B811D2">
      <w:pPr>
        <w:tabs>
          <w:tab w:val="left" w:pos="425"/>
          <w:tab w:val="left" w:pos="851"/>
        </w:tabs>
        <w:spacing w:before="0"/>
        <w:ind w:left="425" w:hanging="425"/>
        <w:rPr>
          <w:szCs w:val="24"/>
        </w:rPr>
      </w:pPr>
      <w:r w:rsidRPr="00BB45D3">
        <w:rPr>
          <w:szCs w:val="24"/>
        </w:rPr>
        <w:t xml:space="preserve">m) </w:t>
      </w:r>
      <w:r>
        <w:rPr>
          <w:szCs w:val="24"/>
        </w:rPr>
        <w:tab/>
      </w:r>
      <w:r w:rsidRPr="00BB45D3">
        <w:rPr>
          <w:szCs w:val="24"/>
        </w:rPr>
        <w:t>umožní osobě, která nesplňuje požadavky tohoto zákona na člena statutárního orgánu, správní rady nebo dozorčí rady banky, stát se nebo zůstat členem tohoto orgánu.</w:t>
      </w:r>
    </w:p>
    <w:p w14:paraId="41649081" w14:textId="77777777" w:rsidR="00A46E9E" w:rsidRPr="00484B75" w:rsidRDefault="00A46E9E" w:rsidP="00A46E9E">
      <w:pPr>
        <w:pStyle w:val="PZTextodstavce"/>
      </w:pPr>
      <w:r w:rsidRPr="00484B75">
        <w:t>(3) Ban</w:t>
      </w:r>
      <w:r>
        <w:t>ka se dopustí přestupku tím, že</w:t>
      </w:r>
    </w:p>
    <w:p w14:paraId="4A086B98" w14:textId="77777777" w:rsidR="00A46E9E" w:rsidRPr="00CF3238" w:rsidRDefault="00A46E9E" w:rsidP="00A46E9E">
      <w:pPr>
        <w:tabs>
          <w:tab w:val="left" w:pos="425"/>
          <w:tab w:val="left" w:pos="851"/>
        </w:tabs>
        <w:spacing w:before="0"/>
        <w:ind w:left="426" w:hanging="426"/>
        <w:rPr>
          <w:szCs w:val="24"/>
        </w:rPr>
      </w:pPr>
      <w:r w:rsidRPr="00CF3238">
        <w:rPr>
          <w:szCs w:val="24"/>
        </w:rPr>
        <w:t xml:space="preserve">a) </w:t>
      </w:r>
      <w:r>
        <w:rPr>
          <w:szCs w:val="24"/>
        </w:rPr>
        <w:tab/>
      </w:r>
      <w:r w:rsidRPr="00CF3238">
        <w:rPr>
          <w:szCs w:val="24"/>
        </w:rPr>
        <w:t>nepřijme, neuplatňuje nebo pravidelně neprověřuje strategie a postupy podle § 12c,</w:t>
      </w:r>
    </w:p>
    <w:p w14:paraId="4014920A" w14:textId="77777777" w:rsidR="00A46E9E" w:rsidRPr="00CF3238" w:rsidRDefault="00A46E9E" w:rsidP="00A46E9E">
      <w:pPr>
        <w:tabs>
          <w:tab w:val="left" w:pos="425"/>
          <w:tab w:val="left" w:pos="851"/>
        </w:tabs>
        <w:spacing w:before="0"/>
        <w:ind w:left="426" w:hanging="426"/>
        <w:rPr>
          <w:szCs w:val="24"/>
        </w:rPr>
      </w:pPr>
      <w:r w:rsidRPr="00CF3238">
        <w:rPr>
          <w:szCs w:val="24"/>
        </w:rPr>
        <w:t xml:space="preserve">b) </w:t>
      </w:r>
      <w:r>
        <w:rPr>
          <w:szCs w:val="24"/>
        </w:rPr>
        <w:tab/>
      </w:r>
      <w:r w:rsidRPr="00CF3238">
        <w:rPr>
          <w:szCs w:val="24"/>
        </w:rPr>
        <w:t>nesplní některou z informačních povinností podle § 16 odst. 2, § 16a nebo § 24,</w:t>
      </w:r>
    </w:p>
    <w:p w14:paraId="70337215" w14:textId="77777777" w:rsidR="00A46E9E" w:rsidRPr="00CF3238" w:rsidRDefault="00A46E9E" w:rsidP="00A46E9E">
      <w:pPr>
        <w:tabs>
          <w:tab w:val="left" w:pos="425"/>
          <w:tab w:val="left" w:pos="851"/>
        </w:tabs>
        <w:spacing w:before="0"/>
        <w:ind w:left="426" w:hanging="426"/>
        <w:rPr>
          <w:szCs w:val="24"/>
        </w:rPr>
      </w:pPr>
      <w:r w:rsidRPr="00CF3238">
        <w:rPr>
          <w:szCs w:val="24"/>
        </w:rPr>
        <w:t xml:space="preserve">c) </w:t>
      </w:r>
      <w:r>
        <w:rPr>
          <w:szCs w:val="24"/>
        </w:rPr>
        <w:tab/>
      </w:r>
      <w:r w:rsidRPr="00CF3238">
        <w:rPr>
          <w:szCs w:val="24"/>
        </w:rPr>
        <w:t>neoznámí České národní bance bez zbytečného odkladu nabytí kvalifikované účasti nebo neprokáže splnění podmínek v opatření obecné povahy České národní banky podle § 20d vydaném na základě čl. 89 nařízení Evropského parlamentu a Rady (EU) č. 575/2013,</w:t>
      </w:r>
    </w:p>
    <w:p w14:paraId="00AC716A" w14:textId="77777777" w:rsidR="00A46E9E" w:rsidRPr="00CF3238" w:rsidRDefault="00A46E9E" w:rsidP="00A46E9E">
      <w:pPr>
        <w:tabs>
          <w:tab w:val="left" w:pos="425"/>
          <w:tab w:val="left" w:pos="851"/>
        </w:tabs>
        <w:spacing w:before="0"/>
        <w:ind w:left="426" w:hanging="426"/>
        <w:rPr>
          <w:szCs w:val="24"/>
        </w:rPr>
      </w:pPr>
      <w:r w:rsidRPr="00CF3238">
        <w:rPr>
          <w:szCs w:val="24"/>
        </w:rPr>
        <w:t xml:space="preserve">d) </w:t>
      </w:r>
      <w:r>
        <w:rPr>
          <w:szCs w:val="24"/>
        </w:rPr>
        <w:tab/>
      </w:r>
      <w:r w:rsidRPr="00CF3238">
        <w:rPr>
          <w:szCs w:val="24"/>
        </w:rPr>
        <w:t>neprokáže splnění podmínek podle § 17 odst. 1, nebo</w:t>
      </w:r>
    </w:p>
    <w:p w14:paraId="7287A4A1" w14:textId="77777777" w:rsidR="00A46E9E" w:rsidRPr="00CF3238" w:rsidRDefault="00A46E9E" w:rsidP="00A46E9E">
      <w:pPr>
        <w:tabs>
          <w:tab w:val="left" w:pos="425"/>
          <w:tab w:val="left" w:pos="851"/>
        </w:tabs>
        <w:spacing w:before="0"/>
        <w:ind w:left="426" w:hanging="426"/>
        <w:rPr>
          <w:szCs w:val="24"/>
        </w:rPr>
      </w:pPr>
      <w:r w:rsidRPr="00CF3238">
        <w:rPr>
          <w:szCs w:val="24"/>
        </w:rPr>
        <w:t xml:space="preserve">e) </w:t>
      </w:r>
      <w:r>
        <w:rPr>
          <w:szCs w:val="24"/>
        </w:rPr>
        <w:tab/>
      </w:r>
      <w:r w:rsidRPr="00CF3238">
        <w:rPr>
          <w:szCs w:val="24"/>
        </w:rPr>
        <w:t>provede s osobami uvedenými v § 19 odst. 1 obchody, které by vzhledem ke svému charakteru, účelu nebo riziku, nebyly provedeny s ostatními klienty.</w:t>
      </w:r>
    </w:p>
    <w:p w14:paraId="58C3AC60" w14:textId="77777777" w:rsidR="00A46E9E" w:rsidRPr="00484B75" w:rsidRDefault="00A46E9E" w:rsidP="00A46E9E">
      <w:pPr>
        <w:pStyle w:val="PZTextodstavce"/>
        <w:spacing w:before="0" w:after="0"/>
      </w:pPr>
      <w:r w:rsidRPr="00484B75">
        <w:t>(4) Ban</w:t>
      </w:r>
      <w:r>
        <w:t>ka se dopustí přestupku tím, že</w:t>
      </w:r>
    </w:p>
    <w:p w14:paraId="65B8B5DD" w14:textId="77777777" w:rsidR="00A46E9E" w:rsidRPr="00CF3238" w:rsidRDefault="00A46E9E" w:rsidP="00A46E9E">
      <w:pPr>
        <w:tabs>
          <w:tab w:val="left" w:pos="425"/>
          <w:tab w:val="left" w:pos="851"/>
        </w:tabs>
        <w:spacing w:before="0"/>
        <w:ind w:left="426" w:hanging="426"/>
        <w:rPr>
          <w:szCs w:val="24"/>
        </w:rPr>
      </w:pPr>
      <w:r w:rsidRPr="00CF3238">
        <w:rPr>
          <w:szCs w:val="24"/>
        </w:rPr>
        <w:t xml:space="preserve">a) </w:t>
      </w:r>
      <w:r>
        <w:rPr>
          <w:szCs w:val="24"/>
        </w:rPr>
        <w:tab/>
      </w:r>
      <w:r w:rsidRPr="00CF3238">
        <w:rPr>
          <w:szCs w:val="24"/>
        </w:rPr>
        <w:t>neprovede opravné zúčtování podle § 20c odst. 1,</w:t>
      </w:r>
    </w:p>
    <w:p w14:paraId="7A25DB10" w14:textId="77777777" w:rsidR="00A46E9E" w:rsidRPr="00CF3238" w:rsidRDefault="00A46E9E" w:rsidP="00A46E9E">
      <w:pPr>
        <w:tabs>
          <w:tab w:val="left" w:pos="425"/>
          <w:tab w:val="left" w:pos="851"/>
        </w:tabs>
        <w:spacing w:before="0"/>
        <w:ind w:left="426" w:hanging="426"/>
        <w:rPr>
          <w:szCs w:val="24"/>
        </w:rPr>
      </w:pPr>
      <w:r w:rsidRPr="00CF3238">
        <w:rPr>
          <w:szCs w:val="24"/>
        </w:rPr>
        <w:t xml:space="preserve">b) </w:t>
      </w:r>
      <w:r>
        <w:rPr>
          <w:szCs w:val="24"/>
        </w:rPr>
        <w:tab/>
      </w:r>
      <w:proofErr w:type="gramStart"/>
      <w:r w:rsidRPr="00566485">
        <w:rPr>
          <w:strike/>
          <w:szCs w:val="24"/>
        </w:rPr>
        <w:t>poruší</w:t>
      </w:r>
      <w:proofErr w:type="gramEnd"/>
      <w:r w:rsidRPr="00566485">
        <w:rPr>
          <w:strike/>
          <w:szCs w:val="24"/>
        </w:rPr>
        <w:t xml:space="preserve"> povinnost</w:t>
      </w:r>
      <w:r w:rsidRPr="00CF3238">
        <w:rPr>
          <w:szCs w:val="24"/>
        </w:rPr>
        <w:t xml:space="preserve"> </w:t>
      </w:r>
      <w:r w:rsidRPr="000070B3">
        <w:rPr>
          <w:strike/>
          <w:szCs w:val="24"/>
        </w:rPr>
        <w:t>evidovat v rámci</w:t>
      </w:r>
      <w:r w:rsidRPr="00CF3238">
        <w:rPr>
          <w:szCs w:val="24"/>
        </w:rPr>
        <w:t xml:space="preserve"> </w:t>
      </w:r>
      <w:r w:rsidRPr="00697BD9">
        <w:rPr>
          <w:strike/>
          <w:szCs w:val="24"/>
        </w:rPr>
        <w:t>účetnictví</w:t>
      </w:r>
      <w:r w:rsidRPr="002F7E7B">
        <w:rPr>
          <w:strike/>
          <w:color w:val="FF0000"/>
          <w:szCs w:val="24"/>
        </w:rPr>
        <w:t xml:space="preserve"> </w:t>
      </w:r>
      <w:r w:rsidRPr="00146DA5">
        <w:rPr>
          <w:strike/>
          <w:szCs w:val="24"/>
        </w:rPr>
        <w:t>odděleně</w:t>
      </w:r>
      <w:r>
        <w:rPr>
          <w:szCs w:val="24"/>
        </w:rPr>
        <w:t xml:space="preserve"> </w:t>
      </w:r>
      <w:proofErr w:type="gramStart"/>
      <w:r>
        <w:rPr>
          <w:b/>
          <w:szCs w:val="24"/>
        </w:rPr>
        <w:t>nesleduje</w:t>
      </w:r>
      <w:proofErr w:type="gramEnd"/>
      <w:r>
        <w:rPr>
          <w:b/>
          <w:szCs w:val="24"/>
        </w:rPr>
        <w:t xml:space="preserve"> v účetním systému</w:t>
      </w:r>
      <w:r w:rsidRPr="00DB5C05">
        <w:rPr>
          <w:b/>
          <w:szCs w:val="24"/>
        </w:rPr>
        <w:t xml:space="preserve"> </w:t>
      </w:r>
      <w:r w:rsidRPr="00CF3238">
        <w:rPr>
          <w:szCs w:val="24"/>
        </w:rPr>
        <w:t xml:space="preserve">obchody na účet klienta </w:t>
      </w:r>
      <w:r>
        <w:rPr>
          <w:b/>
          <w:szCs w:val="24"/>
        </w:rPr>
        <w:t>odděleně</w:t>
      </w:r>
      <w:r w:rsidRPr="00DB5C05">
        <w:rPr>
          <w:b/>
          <w:szCs w:val="24"/>
        </w:rPr>
        <w:t xml:space="preserve"> </w:t>
      </w:r>
      <w:r w:rsidRPr="00DB5C05">
        <w:rPr>
          <w:szCs w:val="24"/>
        </w:rPr>
        <w:t>od obchodů</w:t>
      </w:r>
      <w:r w:rsidRPr="00CF3238">
        <w:rPr>
          <w:szCs w:val="24"/>
        </w:rPr>
        <w:t xml:space="preserve"> na účet banky</w:t>
      </w:r>
      <w:r>
        <w:rPr>
          <w:szCs w:val="24"/>
        </w:rPr>
        <w:t xml:space="preserve"> </w:t>
      </w:r>
      <w:r w:rsidRPr="00DB5C05">
        <w:rPr>
          <w:szCs w:val="24"/>
        </w:rPr>
        <w:t>podle §</w:t>
      </w:r>
      <w:r w:rsidRPr="00BC3496">
        <w:rPr>
          <w:szCs w:val="24"/>
        </w:rPr>
        <w:t xml:space="preserve"> </w:t>
      </w:r>
      <w:r w:rsidRPr="00DB5C05">
        <w:rPr>
          <w:szCs w:val="24"/>
        </w:rPr>
        <w:t>21 odst. 2</w:t>
      </w:r>
      <w:r w:rsidRPr="00CF3238">
        <w:rPr>
          <w:szCs w:val="24"/>
        </w:rPr>
        <w:t>,</w:t>
      </w:r>
    </w:p>
    <w:p w14:paraId="1951F7B7" w14:textId="77777777" w:rsidR="00A46E9E" w:rsidRPr="00CF3238" w:rsidRDefault="00A46E9E" w:rsidP="00A46E9E">
      <w:pPr>
        <w:tabs>
          <w:tab w:val="left" w:pos="425"/>
          <w:tab w:val="left" w:pos="851"/>
        </w:tabs>
        <w:spacing w:before="0"/>
        <w:ind w:left="426" w:hanging="426"/>
        <w:rPr>
          <w:szCs w:val="24"/>
        </w:rPr>
      </w:pPr>
      <w:r w:rsidRPr="00CF3238">
        <w:rPr>
          <w:szCs w:val="24"/>
        </w:rPr>
        <w:t xml:space="preserve">c) </w:t>
      </w:r>
      <w:r>
        <w:rPr>
          <w:szCs w:val="24"/>
        </w:rPr>
        <w:tab/>
      </w:r>
      <w:proofErr w:type="gramStart"/>
      <w:r w:rsidRPr="00566485">
        <w:rPr>
          <w:strike/>
          <w:szCs w:val="24"/>
        </w:rPr>
        <w:t>poruší</w:t>
      </w:r>
      <w:proofErr w:type="gramEnd"/>
      <w:r w:rsidRPr="00566485">
        <w:rPr>
          <w:strike/>
          <w:szCs w:val="24"/>
        </w:rPr>
        <w:t xml:space="preserve"> povinnost uschovávat</w:t>
      </w:r>
      <w:r w:rsidRPr="00CF3238">
        <w:rPr>
          <w:szCs w:val="24"/>
        </w:rPr>
        <w:t xml:space="preserve"> </w:t>
      </w:r>
      <w:proofErr w:type="gramStart"/>
      <w:r w:rsidRPr="00BC3496">
        <w:rPr>
          <w:b/>
          <w:szCs w:val="24"/>
        </w:rPr>
        <w:t>neuschová</w:t>
      </w:r>
      <w:proofErr w:type="gramEnd"/>
      <w:r>
        <w:rPr>
          <w:b/>
          <w:szCs w:val="24"/>
        </w:rPr>
        <w:t xml:space="preserve"> </w:t>
      </w:r>
      <w:r w:rsidRPr="00CF3238">
        <w:rPr>
          <w:szCs w:val="24"/>
        </w:rPr>
        <w:t>doklady o uskutečněných obchodech po dobu 10 let</w:t>
      </w:r>
      <w:r>
        <w:rPr>
          <w:szCs w:val="24"/>
        </w:rPr>
        <w:t xml:space="preserve"> </w:t>
      </w:r>
      <w:r w:rsidRPr="00BC3496">
        <w:rPr>
          <w:b/>
          <w:szCs w:val="24"/>
        </w:rPr>
        <w:t>podle § 21</w:t>
      </w:r>
      <w:r>
        <w:rPr>
          <w:b/>
          <w:szCs w:val="24"/>
        </w:rPr>
        <w:t xml:space="preserve"> odst. 3</w:t>
      </w:r>
      <w:r w:rsidRPr="00CF3238">
        <w:rPr>
          <w:szCs w:val="24"/>
        </w:rPr>
        <w:t>,</w:t>
      </w:r>
    </w:p>
    <w:p w14:paraId="7898E78B" w14:textId="77777777" w:rsidR="00A46E9E" w:rsidRPr="008D54DD" w:rsidRDefault="00A46E9E" w:rsidP="00A46E9E">
      <w:pPr>
        <w:tabs>
          <w:tab w:val="left" w:pos="425"/>
          <w:tab w:val="left" w:pos="851"/>
        </w:tabs>
        <w:spacing w:before="0"/>
        <w:ind w:left="426" w:hanging="426"/>
        <w:rPr>
          <w:strike/>
          <w:szCs w:val="24"/>
        </w:rPr>
      </w:pPr>
      <w:r w:rsidRPr="008D54DD">
        <w:rPr>
          <w:strike/>
          <w:szCs w:val="24"/>
        </w:rPr>
        <w:t xml:space="preserve">d) </w:t>
      </w:r>
      <w:r w:rsidRPr="008D54DD">
        <w:rPr>
          <w:strike/>
          <w:szCs w:val="24"/>
        </w:rPr>
        <w:tab/>
        <w:t>nezajistí, aby auditor provedl</w:t>
      </w:r>
    </w:p>
    <w:p w14:paraId="1CF7A4F4" w14:textId="77777777" w:rsidR="00A46E9E" w:rsidRPr="00DB5C05" w:rsidRDefault="00A46E9E" w:rsidP="00A46E9E">
      <w:pPr>
        <w:pStyle w:val="PZTextbodu"/>
        <w:spacing w:before="0"/>
        <w:rPr>
          <w:strike/>
        </w:rPr>
      </w:pPr>
      <w:r w:rsidRPr="00DB5C05">
        <w:rPr>
          <w:strike/>
        </w:rPr>
        <w:t>1.</w:t>
      </w:r>
      <w:r w:rsidRPr="00DB5C05">
        <w:rPr>
          <w:strike/>
        </w:rPr>
        <w:tab/>
        <w:t>ověření účetní závěrky banky podle § 22 odst. 1 písm. a),</w:t>
      </w:r>
    </w:p>
    <w:p w14:paraId="637FD604" w14:textId="77777777" w:rsidR="00A46E9E" w:rsidRPr="00DB5C05" w:rsidRDefault="00A46E9E" w:rsidP="00A46E9E">
      <w:pPr>
        <w:pStyle w:val="PZTextbodu"/>
        <w:spacing w:before="0"/>
        <w:rPr>
          <w:strike/>
        </w:rPr>
      </w:pPr>
      <w:r w:rsidRPr="00DB5C05">
        <w:rPr>
          <w:strike/>
        </w:rPr>
        <w:t>2.</w:t>
      </w:r>
      <w:r w:rsidRPr="00DB5C05">
        <w:rPr>
          <w:strike/>
        </w:rPr>
        <w:tab/>
        <w:t>ověření řídicího a kontrolního systému banky podle § 22 odst. 1 písm. b), nebo</w:t>
      </w:r>
    </w:p>
    <w:p w14:paraId="3A424C31" w14:textId="77777777" w:rsidR="00A46E9E" w:rsidRPr="00DB5C05" w:rsidRDefault="00A46E9E" w:rsidP="00A46E9E">
      <w:pPr>
        <w:pStyle w:val="PZTextbodu"/>
        <w:spacing w:before="0"/>
        <w:rPr>
          <w:strike/>
        </w:rPr>
      </w:pPr>
      <w:r w:rsidRPr="00DB5C05">
        <w:rPr>
          <w:strike/>
        </w:rPr>
        <w:t>3.</w:t>
      </w:r>
      <w:r w:rsidRPr="00DB5C05">
        <w:rPr>
          <w:strike/>
        </w:rPr>
        <w:tab/>
        <w:t>vypracování zpráv o ověření účetní závěrky a řídicího a kontrolního systému podle § 22 odst. 1 písm. c),</w:t>
      </w:r>
    </w:p>
    <w:p w14:paraId="1C71CD7E" w14:textId="77777777" w:rsidR="00A46E9E" w:rsidRPr="003236A9" w:rsidRDefault="00A46E9E" w:rsidP="00A46E9E">
      <w:pPr>
        <w:tabs>
          <w:tab w:val="left" w:pos="425"/>
          <w:tab w:val="left" w:pos="851"/>
        </w:tabs>
        <w:spacing w:before="0"/>
        <w:ind w:left="426" w:hanging="426"/>
        <w:rPr>
          <w:strike/>
          <w:szCs w:val="24"/>
        </w:rPr>
      </w:pPr>
      <w:r w:rsidRPr="008D54DD">
        <w:rPr>
          <w:strike/>
          <w:szCs w:val="24"/>
        </w:rPr>
        <w:t xml:space="preserve">e) </w:t>
      </w:r>
      <w:r w:rsidRPr="008D54DD">
        <w:rPr>
          <w:strike/>
          <w:szCs w:val="24"/>
        </w:rPr>
        <w:tab/>
        <w:t>neoznámí vybraného auditora České národní bance podle § 22 odst. 4,</w:t>
      </w:r>
    </w:p>
    <w:p w14:paraId="54E51E82" w14:textId="77777777" w:rsidR="00A46E9E" w:rsidRDefault="00A46E9E" w:rsidP="00A46E9E">
      <w:pPr>
        <w:tabs>
          <w:tab w:val="left" w:pos="425"/>
          <w:tab w:val="left" w:pos="851"/>
        </w:tabs>
        <w:spacing w:before="0"/>
        <w:ind w:left="426" w:hanging="426"/>
        <w:rPr>
          <w:strike/>
          <w:szCs w:val="24"/>
        </w:rPr>
      </w:pPr>
      <w:r w:rsidRPr="008D54DD">
        <w:rPr>
          <w:strike/>
          <w:szCs w:val="24"/>
        </w:rPr>
        <w:t xml:space="preserve">f) </w:t>
      </w:r>
      <w:r w:rsidRPr="008D54DD">
        <w:rPr>
          <w:strike/>
          <w:szCs w:val="24"/>
        </w:rPr>
        <w:tab/>
        <w:t>nezajistí, aby ověření skutečnosti uvedené v § 22 odst. 1 provedl auditor, který není osobou uvedenou v § 19 odst. 1,</w:t>
      </w:r>
    </w:p>
    <w:p w14:paraId="74D042DB" w14:textId="77777777" w:rsidR="00A46E9E" w:rsidRDefault="00A46E9E" w:rsidP="00A46E9E">
      <w:pPr>
        <w:tabs>
          <w:tab w:val="left" w:pos="425"/>
          <w:tab w:val="left" w:pos="851"/>
        </w:tabs>
        <w:spacing w:before="0"/>
        <w:ind w:left="426" w:hanging="426"/>
        <w:rPr>
          <w:b/>
          <w:szCs w:val="24"/>
        </w:rPr>
      </w:pPr>
      <w:r w:rsidRPr="00885CEB">
        <w:rPr>
          <w:b/>
          <w:szCs w:val="24"/>
        </w:rPr>
        <w:t xml:space="preserve">d) </w:t>
      </w:r>
      <w:r w:rsidRPr="00885CEB">
        <w:rPr>
          <w:b/>
          <w:szCs w:val="24"/>
        </w:rPr>
        <w:tab/>
        <w:t>neoznámí České národní bance vybraného auditora podle § 22 odst. 1 nebo nového auditora podle § 22 odst. 5 v případě, že byl původně vybraný auditor Českou národní bankou odmítnut,</w:t>
      </w:r>
    </w:p>
    <w:p w14:paraId="74A1BF65" w14:textId="77777777" w:rsidR="00A46E9E" w:rsidRPr="008D54DD" w:rsidRDefault="00A46E9E" w:rsidP="00A46E9E">
      <w:pPr>
        <w:tabs>
          <w:tab w:val="left" w:pos="425"/>
          <w:tab w:val="left" w:pos="851"/>
        </w:tabs>
        <w:spacing w:before="0"/>
        <w:ind w:left="426" w:hanging="426"/>
        <w:rPr>
          <w:b/>
          <w:szCs w:val="24"/>
        </w:rPr>
      </w:pPr>
      <w:r>
        <w:rPr>
          <w:b/>
          <w:szCs w:val="24"/>
        </w:rPr>
        <w:t>e</w:t>
      </w:r>
      <w:r w:rsidRPr="008D54DD">
        <w:rPr>
          <w:b/>
          <w:szCs w:val="24"/>
        </w:rPr>
        <w:t>)</w:t>
      </w:r>
      <w:r w:rsidRPr="008D54DD">
        <w:rPr>
          <w:b/>
          <w:szCs w:val="24"/>
        </w:rPr>
        <w:tab/>
        <w:t>nezajistí ověření svého řídicího a kontrolního systému nebo jeho části ověřovatelem podle § 22a odst. 1 a 3,</w:t>
      </w:r>
    </w:p>
    <w:p w14:paraId="7C387EFF" w14:textId="77777777" w:rsidR="00A46E9E" w:rsidRPr="008D54DD" w:rsidRDefault="00A46E9E" w:rsidP="00A46E9E">
      <w:pPr>
        <w:tabs>
          <w:tab w:val="left" w:pos="425"/>
          <w:tab w:val="left" w:pos="851"/>
        </w:tabs>
        <w:spacing w:before="0"/>
        <w:ind w:left="426" w:hanging="426"/>
        <w:rPr>
          <w:b/>
          <w:szCs w:val="24"/>
        </w:rPr>
      </w:pPr>
      <w:r>
        <w:rPr>
          <w:b/>
          <w:szCs w:val="24"/>
        </w:rPr>
        <w:t>f</w:t>
      </w:r>
      <w:r w:rsidRPr="008D54DD">
        <w:rPr>
          <w:b/>
          <w:szCs w:val="24"/>
        </w:rPr>
        <w:t>)</w:t>
      </w:r>
      <w:r w:rsidRPr="008D54DD">
        <w:rPr>
          <w:b/>
          <w:szCs w:val="24"/>
        </w:rPr>
        <w:tab/>
        <w:t>neposkytne ověřovateli součinnost podle § 22a odst. 4,</w:t>
      </w:r>
    </w:p>
    <w:p w14:paraId="1E6CFFD7" w14:textId="77777777" w:rsidR="00A46E9E" w:rsidRDefault="00A46E9E" w:rsidP="00A46E9E">
      <w:pPr>
        <w:tabs>
          <w:tab w:val="left" w:pos="425"/>
          <w:tab w:val="left" w:pos="851"/>
        </w:tabs>
        <w:spacing w:before="0"/>
        <w:ind w:left="426" w:hanging="426"/>
        <w:rPr>
          <w:b/>
          <w:szCs w:val="24"/>
        </w:rPr>
      </w:pPr>
      <w:r>
        <w:rPr>
          <w:b/>
          <w:szCs w:val="24"/>
        </w:rPr>
        <w:t>g</w:t>
      </w:r>
      <w:r w:rsidRPr="008D54DD">
        <w:rPr>
          <w:b/>
          <w:szCs w:val="24"/>
        </w:rPr>
        <w:t>)</w:t>
      </w:r>
      <w:r w:rsidRPr="009246A5">
        <w:rPr>
          <w:b/>
          <w:szCs w:val="24"/>
        </w:rPr>
        <w:t xml:space="preserve"> </w:t>
      </w:r>
      <w:r>
        <w:rPr>
          <w:b/>
          <w:szCs w:val="24"/>
        </w:rPr>
        <w:tab/>
      </w:r>
      <w:r w:rsidRPr="009246A5">
        <w:rPr>
          <w:b/>
          <w:szCs w:val="24"/>
        </w:rPr>
        <w:t>nepředloží České národní b</w:t>
      </w:r>
      <w:r>
        <w:rPr>
          <w:b/>
          <w:szCs w:val="24"/>
        </w:rPr>
        <w:t>ance zprávu o ověření řídicího a kontrolního systému podle § 22a odst. 3,</w:t>
      </w:r>
    </w:p>
    <w:p w14:paraId="569F90AE" w14:textId="77777777" w:rsidR="00A46E9E" w:rsidRPr="00566485" w:rsidRDefault="00A46E9E" w:rsidP="00A46E9E">
      <w:pPr>
        <w:tabs>
          <w:tab w:val="left" w:pos="425"/>
          <w:tab w:val="left" w:pos="851"/>
        </w:tabs>
        <w:spacing w:before="0"/>
        <w:ind w:left="426" w:hanging="426"/>
        <w:rPr>
          <w:b/>
          <w:szCs w:val="24"/>
        </w:rPr>
      </w:pPr>
      <w:r>
        <w:rPr>
          <w:b/>
          <w:szCs w:val="24"/>
        </w:rPr>
        <w:t>h)</w:t>
      </w:r>
      <w:r>
        <w:rPr>
          <w:b/>
          <w:szCs w:val="24"/>
        </w:rPr>
        <w:tab/>
      </w:r>
      <w:r w:rsidRPr="008D54DD">
        <w:rPr>
          <w:b/>
          <w:szCs w:val="24"/>
        </w:rPr>
        <w:t>neoznámí České národní bance vybraného ověřovatele podle § 22b odst. 1 nebo ověřovatele podle § 22b odst. 6 v případě, že byl původně vybraný ověřovatel Českou národní bankou odmítnut,</w:t>
      </w:r>
    </w:p>
    <w:p w14:paraId="427E382E" w14:textId="77777777" w:rsidR="00A46E9E" w:rsidRPr="008A2AE6" w:rsidRDefault="00A46E9E" w:rsidP="00A46E9E">
      <w:pPr>
        <w:tabs>
          <w:tab w:val="left" w:pos="425"/>
          <w:tab w:val="left" w:pos="851"/>
        </w:tabs>
        <w:spacing w:before="0"/>
        <w:ind w:left="426" w:hanging="426"/>
        <w:rPr>
          <w:strike/>
          <w:szCs w:val="24"/>
        </w:rPr>
      </w:pPr>
      <w:proofErr w:type="spellStart"/>
      <w:r w:rsidRPr="008A2AE6">
        <w:rPr>
          <w:strike/>
          <w:szCs w:val="24"/>
        </w:rPr>
        <w:t>g</w:t>
      </w:r>
      <w:r w:rsidRPr="008A2AE6">
        <w:rPr>
          <w:b/>
          <w:strike/>
          <w:szCs w:val="24"/>
        </w:rPr>
        <w:t>i</w:t>
      </w:r>
      <w:proofErr w:type="spellEnd"/>
      <w:r w:rsidRPr="008A2AE6">
        <w:rPr>
          <w:strike/>
          <w:szCs w:val="24"/>
        </w:rPr>
        <w:t xml:space="preserve">) </w:t>
      </w:r>
      <w:r w:rsidRPr="008A2AE6">
        <w:rPr>
          <w:strike/>
          <w:szCs w:val="24"/>
        </w:rPr>
        <w:tab/>
        <w:t>nezveřejní výroční zprávu nebo konsolidovanou výroční zprávu</w:t>
      </w:r>
      <w:r w:rsidRPr="008A2AE6">
        <w:rPr>
          <w:b/>
          <w:strike/>
          <w:szCs w:val="24"/>
        </w:rPr>
        <w:t xml:space="preserve"> </w:t>
      </w:r>
      <w:r w:rsidRPr="008A2AE6">
        <w:rPr>
          <w:strike/>
          <w:szCs w:val="24"/>
        </w:rPr>
        <w:t>podle § 23 odst. 1,</w:t>
      </w:r>
    </w:p>
    <w:p w14:paraId="7F3E15CC" w14:textId="77777777" w:rsidR="00A46E9E" w:rsidRPr="008A2AE6" w:rsidRDefault="00A46E9E" w:rsidP="00A46E9E">
      <w:pPr>
        <w:tabs>
          <w:tab w:val="left" w:pos="425"/>
          <w:tab w:val="left" w:pos="851"/>
        </w:tabs>
        <w:spacing w:before="0"/>
        <w:ind w:left="426" w:hanging="426"/>
        <w:rPr>
          <w:b/>
          <w:szCs w:val="24"/>
        </w:rPr>
      </w:pPr>
      <w:r>
        <w:rPr>
          <w:b/>
          <w:szCs w:val="24"/>
        </w:rPr>
        <w:t>i)</w:t>
      </w:r>
      <w:r>
        <w:rPr>
          <w:b/>
          <w:szCs w:val="24"/>
        </w:rPr>
        <w:tab/>
        <w:t>nezveřejní nebo neuveřejní řádnou účetní závěrku, zprávu podle zákona upravujícího účetnictví, je-li vyhotovována, nebo zprávu o jejich ověření, jsou-li ověřovány, ve lhůtě podle § 23 odst. 1, nebo nezveřejní či neuveřejní informaci o neschválení účetní závěrky v rozporu s § 23 odst. 1</w:t>
      </w:r>
    </w:p>
    <w:p w14:paraId="0BD73231" w14:textId="77777777" w:rsidR="00A46E9E" w:rsidRPr="00CF3238" w:rsidRDefault="00A46E9E" w:rsidP="00A46E9E">
      <w:pPr>
        <w:tabs>
          <w:tab w:val="left" w:pos="425"/>
          <w:tab w:val="left" w:pos="851"/>
        </w:tabs>
        <w:spacing w:before="0"/>
        <w:ind w:left="426" w:hanging="426"/>
        <w:rPr>
          <w:szCs w:val="24"/>
        </w:rPr>
      </w:pPr>
      <w:proofErr w:type="spellStart"/>
      <w:r w:rsidRPr="00724B46">
        <w:rPr>
          <w:strike/>
          <w:szCs w:val="24"/>
        </w:rPr>
        <w:t>h</w:t>
      </w:r>
      <w:r>
        <w:rPr>
          <w:b/>
          <w:szCs w:val="24"/>
        </w:rPr>
        <w:t>j</w:t>
      </w:r>
      <w:proofErr w:type="spellEnd"/>
      <w:r w:rsidRPr="00CF3238">
        <w:rPr>
          <w:szCs w:val="24"/>
        </w:rPr>
        <w:t xml:space="preserve">) </w:t>
      </w:r>
      <w:r>
        <w:rPr>
          <w:szCs w:val="24"/>
        </w:rPr>
        <w:tab/>
      </w:r>
      <w:r w:rsidRPr="00CF3238">
        <w:rPr>
          <w:szCs w:val="24"/>
        </w:rPr>
        <w:t>v rozporu s § 23 odst. 2</w:t>
      </w:r>
    </w:p>
    <w:p w14:paraId="59AD37AC" w14:textId="77777777" w:rsidR="00A46E9E" w:rsidRPr="00CF3238" w:rsidRDefault="00A46E9E" w:rsidP="00A46E9E">
      <w:pPr>
        <w:pStyle w:val="PZTextbodu"/>
        <w:spacing w:before="0"/>
      </w:pPr>
      <w:r>
        <w:t>1.</w:t>
      </w:r>
      <w:r>
        <w:tab/>
      </w:r>
      <w:r w:rsidRPr="00CF3238">
        <w:t xml:space="preserve">nerozhodne při </w:t>
      </w:r>
      <w:r w:rsidRPr="003E4739">
        <w:t xml:space="preserve">schvalování </w:t>
      </w:r>
      <w:r w:rsidRPr="003E4739">
        <w:rPr>
          <w:b/>
        </w:rPr>
        <w:t>řádné individuální</w:t>
      </w:r>
      <w:r w:rsidRPr="003E4739">
        <w:t xml:space="preserve"> </w:t>
      </w:r>
      <w:r w:rsidRPr="00CF3238">
        <w:t xml:space="preserve">účetní závěrky za příslušné </w:t>
      </w:r>
      <w:r>
        <w:rPr>
          <w:b/>
        </w:rPr>
        <w:t xml:space="preserve">individuální </w:t>
      </w:r>
      <w:r w:rsidRPr="00BA31AB">
        <w:rPr>
          <w:b/>
        </w:rPr>
        <w:t>účetní</w:t>
      </w:r>
      <w:r>
        <w:t xml:space="preserve"> </w:t>
      </w:r>
      <w:r w:rsidRPr="00CF3238">
        <w:t>období</w:t>
      </w:r>
      <w:r>
        <w:t xml:space="preserve"> </w:t>
      </w:r>
      <w:r w:rsidRPr="00CF3238">
        <w:t>o uhrazení vykázané ztráty z vlastních zdrojů, nebo</w:t>
      </w:r>
    </w:p>
    <w:p w14:paraId="653DB253" w14:textId="77777777" w:rsidR="00A46E9E" w:rsidRPr="00F15F18" w:rsidRDefault="00A46E9E" w:rsidP="00A46E9E">
      <w:pPr>
        <w:pStyle w:val="PZTextbodu"/>
        <w:spacing w:before="0"/>
      </w:pPr>
      <w:r w:rsidRPr="00F15F18">
        <w:lastRenderedPageBreak/>
        <w:t>2.</w:t>
      </w:r>
      <w:r w:rsidRPr="00F15F18">
        <w:tab/>
        <w:t>neuhradí ztrátu bez zbytečného odkladu po rozhodnutí valné hromady,</w:t>
      </w:r>
    </w:p>
    <w:p w14:paraId="0AEF0920" w14:textId="77777777" w:rsidR="00A46E9E" w:rsidRPr="00E714CF" w:rsidRDefault="00A46E9E" w:rsidP="00A46E9E">
      <w:pPr>
        <w:tabs>
          <w:tab w:val="left" w:pos="425"/>
          <w:tab w:val="left" w:pos="851"/>
        </w:tabs>
        <w:spacing w:before="0"/>
        <w:ind w:left="426" w:hanging="426"/>
        <w:rPr>
          <w:strike/>
          <w:szCs w:val="24"/>
        </w:rPr>
      </w:pPr>
      <w:proofErr w:type="spellStart"/>
      <w:r w:rsidRPr="00F15F18">
        <w:rPr>
          <w:strike/>
          <w:szCs w:val="24"/>
        </w:rPr>
        <w:t>i</w:t>
      </w:r>
      <w:r w:rsidRPr="00F15F18">
        <w:rPr>
          <w:b/>
          <w:strike/>
          <w:szCs w:val="24"/>
        </w:rPr>
        <w:t>k</w:t>
      </w:r>
      <w:proofErr w:type="spellEnd"/>
      <w:r w:rsidRPr="00F15F18">
        <w:rPr>
          <w:strike/>
          <w:szCs w:val="24"/>
        </w:rPr>
        <w:t xml:space="preserve">) </w:t>
      </w:r>
      <w:r w:rsidRPr="00F15F18">
        <w:rPr>
          <w:strike/>
          <w:szCs w:val="24"/>
        </w:rPr>
        <w:tab/>
        <w:t>nepředloží výroční zprávu nebo konsolidovanou výroční zprávu v předepsané lhůtě České národní bance,</w:t>
      </w:r>
    </w:p>
    <w:p w14:paraId="0F3DC47B" w14:textId="77777777" w:rsidR="00A46E9E" w:rsidRPr="00CF3238" w:rsidRDefault="00A46E9E" w:rsidP="00A46E9E">
      <w:pPr>
        <w:tabs>
          <w:tab w:val="left" w:pos="425"/>
          <w:tab w:val="left" w:pos="851"/>
        </w:tabs>
        <w:spacing w:before="0"/>
        <w:ind w:left="426" w:hanging="426"/>
        <w:rPr>
          <w:szCs w:val="24"/>
        </w:rPr>
      </w:pPr>
      <w:proofErr w:type="spellStart"/>
      <w:r w:rsidRPr="00724B46">
        <w:rPr>
          <w:strike/>
          <w:szCs w:val="24"/>
        </w:rPr>
        <w:t>j</w:t>
      </w:r>
      <w:r w:rsidRPr="00E40065">
        <w:rPr>
          <w:b/>
          <w:strike/>
          <w:szCs w:val="24"/>
        </w:rPr>
        <w:t>l</w:t>
      </w:r>
      <w:proofErr w:type="spellEnd"/>
      <w:r w:rsidRPr="00E40065">
        <w:rPr>
          <w:b/>
          <w:strike/>
          <w:szCs w:val="24"/>
        </w:rPr>
        <w:t>)</w:t>
      </w:r>
      <w:r>
        <w:rPr>
          <w:b/>
          <w:szCs w:val="24"/>
        </w:rPr>
        <w:t>k</w:t>
      </w:r>
      <w:r w:rsidRPr="00CF3238">
        <w:rPr>
          <w:szCs w:val="24"/>
        </w:rPr>
        <w:t>) neprovede v požadované lhůtě opatření k nápravě podle § 26 nebo § 26a, nebo</w:t>
      </w:r>
    </w:p>
    <w:p w14:paraId="4FA74A78" w14:textId="77777777" w:rsidR="00A46E9E" w:rsidRPr="00CF3238" w:rsidRDefault="00A46E9E" w:rsidP="00A46E9E">
      <w:pPr>
        <w:tabs>
          <w:tab w:val="left" w:pos="425"/>
          <w:tab w:val="left" w:pos="851"/>
        </w:tabs>
        <w:spacing w:before="0"/>
        <w:ind w:left="426" w:hanging="426"/>
        <w:rPr>
          <w:szCs w:val="24"/>
        </w:rPr>
      </w:pPr>
      <w:r w:rsidRPr="00724B46">
        <w:rPr>
          <w:strike/>
          <w:szCs w:val="24"/>
        </w:rPr>
        <w:t>k</w:t>
      </w:r>
      <w:r>
        <w:rPr>
          <w:b/>
          <w:strike/>
          <w:szCs w:val="24"/>
        </w:rPr>
        <w:t>m</w:t>
      </w:r>
      <w:r w:rsidRPr="00E40065">
        <w:rPr>
          <w:b/>
          <w:strike/>
          <w:szCs w:val="24"/>
        </w:rPr>
        <w:t>)</w:t>
      </w:r>
      <w:r>
        <w:rPr>
          <w:b/>
          <w:szCs w:val="24"/>
        </w:rPr>
        <w:t>l</w:t>
      </w:r>
      <w:r>
        <w:rPr>
          <w:szCs w:val="24"/>
        </w:rPr>
        <w:t xml:space="preserve">) </w:t>
      </w:r>
      <w:r w:rsidRPr="00CF3238">
        <w:rPr>
          <w:szCs w:val="24"/>
        </w:rPr>
        <w:t>neudržuje kapitálový poměr minimálně ve výši stanovené v rozhodnutí vydaném na základě § 26k odst. 8 nebo neplní zvláštní požadavky na likviditu podle § 26k odst. 8.</w:t>
      </w:r>
    </w:p>
    <w:p w14:paraId="5FE0C8BD" w14:textId="77777777" w:rsidR="00A46E9E" w:rsidRPr="00484B75" w:rsidRDefault="00A46E9E" w:rsidP="00A46E9E">
      <w:pPr>
        <w:pStyle w:val="PZTextodstavce"/>
      </w:pPr>
      <w:r w:rsidRPr="00484B75">
        <w:t>(5) Ban</w:t>
      </w:r>
      <w:r>
        <w:t>ka se dopustí přestupku tím, že</w:t>
      </w:r>
    </w:p>
    <w:p w14:paraId="4D81F11F" w14:textId="77777777" w:rsidR="00A46E9E" w:rsidRPr="00CF3238" w:rsidRDefault="00A46E9E" w:rsidP="00A46E9E">
      <w:pPr>
        <w:tabs>
          <w:tab w:val="left" w:pos="425"/>
          <w:tab w:val="left" w:pos="851"/>
        </w:tabs>
        <w:spacing w:before="0"/>
        <w:ind w:left="425" w:hanging="425"/>
        <w:rPr>
          <w:szCs w:val="24"/>
        </w:rPr>
      </w:pPr>
      <w:r w:rsidRPr="00CF3238">
        <w:rPr>
          <w:szCs w:val="24"/>
        </w:rPr>
        <w:t xml:space="preserve">a) </w:t>
      </w:r>
      <w:r>
        <w:rPr>
          <w:szCs w:val="24"/>
        </w:rPr>
        <w:tab/>
      </w:r>
      <w:r w:rsidRPr="00CF3238">
        <w:rPr>
          <w:szCs w:val="24"/>
        </w:rPr>
        <w:t>v žádosti o souhlas podle tohoto zákona nebo přímo použitelného předpisu Evropské unie upravujícího obezřetnostní požadavky uvede nepravdivé údaje nebo zamlčí podstatné údaje nezbytné pro posouzení této žádosti,</w:t>
      </w:r>
    </w:p>
    <w:p w14:paraId="0D0C12C6" w14:textId="77777777" w:rsidR="00A46E9E" w:rsidRPr="00CF3238" w:rsidRDefault="00A46E9E" w:rsidP="00A46E9E">
      <w:pPr>
        <w:tabs>
          <w:tab w:val="left" w:pos="425"/>
          <w:tab w:val="left" w:pos="851"/>
        </w:tabs>
        <w:spacing w:before="0"/>
        <w:ind w:left="425" w:hanging="425"/>
        <w:rPr>
          <w:szCs w:val="24"/>
        </w:rPr>
      </w:pPr>
      <w:r w:rsidRPr="00CF3238">
        <w:rPr>
          <w:szCs w:val="24"/>
        </w:rPr>
        <w:t xml:space="preserve">b) </w:t>
      </w:r>
      <w:r>
        <w:rPr>
          <w:szCs w:val="24"/>
        </w:rPr>
        <w:tab/>
      </w:r>
      <w:r w:rsidRPr="00CF3238">
        <w:rPr>
          <w:szCs w:val="24"/>
        </w:rPr>
        <w:t>poruší povinnost zpracovávat údaje o klientech podle § 37 odst. 2,</w:t>
      </w:r>
    </w:p>
    <w:p w14:paraId="2338E79C" w14:textId="77777777" w:rsidR="00A46E9E" w:rsidRPr="00CF3238" w:rsidRDefault="00A46E9E" w:rsidP="00A46E9E">
      <w:pPr>
        <w:tabs>
          <w:tab w:val="left" w:pos="425"/>
          <w:tab w:val="left" w:pos="851"/>
        </w:tabs>
        <w:spacing w:before="0"/>
        <w:ind w:left="425" w:hanging="425"/>
        <w:rPr>
          <w:szCs w:val="24"/>
        </w:rPr>
      </w:pPr>
      <w:r w:rsidRPr="00CF3238">
        <w:rPr>
          <w:szCs w:val="24"/>
        </w:rPr>
        <w:t xml:space="preserve">c) </w:t>
      </w:r>
      <w:r>
        <w:rPr>
          <w:szCs w:val="24"/>
        </w:rPr>
        <w:tab/>
      </w:r>
      <w:r w:rsidRPr="00CF3238">
        <w:rPr>
          <w:szCs w:val="24"/>
        </w:rPr>
        <w:t>poruší povinnost zachovávat bankovní tajemství podle § 38,</w:t>
      </w:r>
    </w:p>
    <w:p w14:paraId="591A0F8E" w14:textId="77777777" w:rsidR="00A46E9E" w:rsidRPr="00CF3238" w:rsidRDefault="00A46E9E" w:rsidP="00A46E9E">
      <w:pPr>
        <w:tabs>
          <w:tab w:val="left" w:pos="425"/>
          <w:tab w:val="left" w:pos="851"/>
        </w:tabs>
        <w:spacing w:before="0"/>
        <w:ind w:left="425" w:hanging="425"/>
        <w:rPr>
          <w:szCs w:val="24"/>
        </w:rPr>
      </w:pPr>
      <w:r w:rsidRPr="00CF3238">
        <w:rPr>
          <w:szCs w:val="24"/>
        </w:rPr>
        <w:t xml:space="preserve">d) </w:t>
      </w:r>
      <w:r>
        <w:rPr>
          <w:szCs w:val="24"/>
        </w:rPr>
        <w:tab/>
      </w:r>
      <w:r w:rsidRPr="00CF3238">
        <w:rPr>
          <w:szCs w:val="24"/>
        </w:rPr>
        <w:t>nepodá na písemné vyžádání zprávu o záležitostech týkajících se klienta, které jsou předmětem bankovního tajemství, subjektům uvedeným v § 38 odst. 3 až 6 a 8,</w:t>
      </w:r>
    </w:p>
    <w:p w14:paraId="57D3AA27" w14:textId="77777777" w:rsidR="00A46E9E" w:rsidRPr="00CF3238" w:rsidRDefault="00A46E9E" w:rsidP="00A46E9E">
      <w:pPr>
        <w:tabs>
          <w:tab w:val="left" w:pos="425"/>
          <w:tab w:val="left" w:pos="851"/>
        </w:tabs>
        <w:spacing w:before="0"/>
        <w:ind w:left="425" w:hanging="425"/>
        <w:rPr>
          <w:szCs w:val="24"/>
        </w:rPr>
      </w:pPr>
      <w:r w:rsidRPr="00CF3238">
        <w:rPr>
          <w:szCs w:val="24"/>
        </w:rPr>
        <w:t xml:space="preserve">e) </w:t>
      </w:r>
      <w:r>
        <w:rPr>
          <w:szCs w:val="24"/>
        </w:rPr>
        <w:tab/>
      </w:r>
      <w:r w:rsidRPr="00CF3238">
        <w:rPr>
          <w:szCs w:val="24"/>
        </w:rPr>
        <w:t>nepodá zprávu o záležitostech klienta, které jsou předmětem bankovního tajemství, v souvislosti se svým podnikáním na území jiného státu, pokud je to nutné ke splnění povinnosti uložené právním řádem státu, na jehož území podniká,</w:t>
      </w:r>
    </w:p>
    <w:p w14:paraId="6E3385C3" w14:textId="77777777" w:rsidR="00A46E9E" w:rsidRPr="00CF3238" w:rsidRDefault="00A46E9E" w:rsidP="00A46E9E">
      <w:pPr>
        <w:tabs>
          <w:tab w:val="left" w:pos="425"/>
          <w:tab w:val="left" w:pos="851"/>
        </w:tabs>
        <w:spacing w:before="0"/>
        <w:ind w:left="425" w:hanging="425"/>
        <w:rPr>
          <w:szCs w:val="24"/>
        </w:rPr>
      </w:pPr>
      <w:r w:rsidRPr="00CF3238">
        <w:rPr>
          <w:szCs w:val="24"/>
        </w:rPr>
        <w:t xml:space="preserve">f) </w:t>
      </w:r>
      <w:r>
        <w:rPr>
          <w:szCs w:val="24"/>
        </w:rPr>
        <w:tab/>
      </w:r>
      <w:r w:rsidRPr="00CF3238">
        <w:rPr>
          <w:szCs w:val="24"/>
        </w:rPr>
        <w:t>neposkytne klientovi výpis informací, které jsou o něm vedeny v registru podle § 38a odst. 2,</w:t>
      </w:r>
    </w:p>
    <w:p w14:paraId="499F83BF" w14:textId="77777777" w:rsidR="00A46E9E" w:rsidRPr="00CF3238" w:rsidRDefault="00A46E9E" w:rsidP="00A46E9E">
      <w:pPr>
        <w:tabs>
          <w:tab w:val="left" w:pos="425"/>
          <w:tab w:val="left" w:pos="851"/>
        </w:tabs>
        <w:spacing w:before="0"/>
        <w:ind w:left="425" w:hanging="425"/>
        <w:rPr>
          <w:szCs w:val="24"/>
        </w:rPr>
      </w:pPr>
      <w:r w:rsidRPr="00CF3238">
        <w:rPr>
          <w:szCs w:val="24"/>
        </w:rPr>
        <w:t xml:space="preserve">g) </w:t>
      </w:r>
      <w:r>
        <w:rPr>
          <w:szCs w:val="24"/>
        </w:rPr>
        <w:tab/>
      </w:r>
      <w:r w:rsidRPr="00CF3238">
        <w:rPr>
          <w:szCs w:val="24"/>
        </w:rPr>
        <w:t>neúčastní se systému pojištění pohledávek z vkladů nebo nepřispívá v rozsahu stanoveném tímto zákonem do Fondu,</w:t>
      </w:r>
    </w:p>
    <w:p w14:paraId="078E249C" w14:textId="77777777" w:rsidR="00A46E9E" w:rsidRPr="00CF3238" w:rsidRDefault="00A46E9E" w:rsidP="00A46E9E">
      <w:pPr>
        <w:tabs>
          <w:tab w:val="left" w:pos="425"/>
          <w:tab w:val="left" w:pos="851"/>
        </w:tabs>
        <w:spacing w:before="0"/>
        <w:ind w:left="425" w:hanging="425"/>
        <w:rPr>
          <w:szCs w:val="24"/>
        </w:rPr>
      </w:pPr>
      <w:r w:rsidRPr="00CF3238">
        <w:rPr>
          <w:szCs w:val="24"/>
        </w:rPr>
        <w:t xml:space="preserve">h) </w:t>
      </w:r>
      <w:r>
        <w:rPr>
          <w:szCs w:val="24"/>
        </w:rPr>
        <w:tab/>
      </w:r>
      <w:r w:rsidRPr="00CF3238">
        <w:rPr>
          <w:szCs w:val="24"/>
        </w:rPr>
        <w:t>nevede identifikaci vkladatele podle § 41c odst. 3 nebo 4,</w:t>
      </w:r>
    </w:p>
    <w:p w14:paraId="731F2F90" w14:textId="77777777" w:rsidR="00A46E9E" w:rsidRPr="00CF3238" w:rsidRDefault="00A46E9E" w:rsidP="00A46E9E">
      <w:pPr>
        <w:tabs>
          <w:tab w:val="left" w:pos="425"/>
          <w:tab w:val="left" w:pos="851"/>
        </w:tabs>
        <w:spacing w:before="0"/>
        <w:ind w:left="425" w:hanging="425"/>
        <w:rPr>
          <w:szCs w:val="24"/>
        </w:rPr>
      </w:pPr>
      <w:r w:rsidRPr="00CF3238">
        <w:rPr>
          <w:szCs w:val="24"/>
        </w:rPr>
        <w:t xml:space="preserve">i) </w:t>
      </w:r>
      <w:r>
        <w:rPr>
          <w:szCs w:val="24"/>
        </w:rPr>
        <w:tab/>
      </w:r>
      <w:r w:rsidRPr="00CF3238">
        <w:rPr>
          <w:szCs w:val="24"/>
        </w:rPr>
        <w:t>neposkytne údaje Garančnímu systému a informaci o vkladech podle § 41c odst. 10, § 41d odst. 4 a 5, § 41f odst. 3, § 41g odst. 5 nebo § 41n,</w:t>
      </w:r>
    </w:p>
    <w:p w14:paraId="0E709EAD" w14:textId="77777777" w:rsidR="00A46E9E" w:rsidRPr="00CF3238" w:rsidRDefault="00A46E9E" w:rsidP="00A46E9E">
      <w:pPr>
        <w:tabs>
          <w:tab w:val="left" w:pos="425"/>
          <w:tab w:val="left" w:pos="851"/>
        </w:tabs>
        <w:spacing w:before="0"/>
        <w:ind w:left="425" w:hanging="425"/>
        <w:rPr>
          <w:szCs w:val="24"/>
        </w:rPr>
      </w:pPr>
      <w:r w:rsidRPr="00CF3238">
        <w:rPr>
          <w:szCs w:val="24"/>
        </w:rPr>
        <w:t xml:space="preserve">j) </w:t>
      </w:r>
      <w:r>
        <w:rPr>
          <w:szCs w:val="24"/>
        </w:rPr>
        <w:tab/>
      </w:r>
      <w:r w:rsidRPr="00CF3238">
        <w:rPr>
          <w:szCs w:val="24"/>
        </w:rPr>
        <w:t xml:space="preserve">neposkytne součinnost Garančnímu systému podle § 41eb odst. 3, </w:t>
      </w:r>
    </w:p>
    <w:p w14:paraId="118413F7" w14:textId="77777777" w:rsidR="00A46E9E" w:rsidRPr="00CF3238" w:rsidRDefault="00A46E9E" w:rsidP="00A46E9E">
      <w:pPr>
        <w:tabs>
          <w:tab w:val="left" w:pos="425"/>
          <w:tab w:val="left" w:pos="851"/>
        </w:tabs>
        <w:spacing w:before="0"/>
        <w:ind w:left="425" w:hanging="425"/>
        <w:rPr>
          <w:szCs w:val="24"/>
        </w:rPr>
      </w:pPr>
      <w:r w:rsidRPr="00CF3238">
        <w:rPr>
          <w:szCs w:val="24"/>
        </w:rPr>
        <w:t xml:space="preserve">k) </w:t>
      </w:r>
      <w:r>
        <w:rPr>
          <w:szCs w:val="24"/>
        </w:rPr>
        <w:tab/>
      </w:r>
      <w:r w:rsidRPr="00CF3238">
        <w:rPr>
          <w:szCs w:val="24"/>
        </w:rPr>
        <w:t>použije údaje, které získala od osob uvedených v § 41f odst. 7 a 8 v rozporu s § 41f odst. 9,</w:t>
      </w:r>
    </w:p>
    <w:p w14:paraId="12FE984A" w14:textId="77777777" w:rsidR="00A46E9E" w:rsidRPr="00CF3238" w:rsidRDefault="00A46E9E" w:rsidP="00A46E9E">
      <w:pPr>
        <w:tabs>
          <w:tab w:val="left" w:pos="425"/>
          <w:tab w:val="left" w:pos="851"/>
        </w:tabs>
        <w:spacing w:before="0"/>
        <w:ind w:left="425" w:hanging="425"/>
        <w:rPr>
          <w:szCs w:val="24"/>
        </w:rPr>
      </w:pPr>
      <w:r w:rsidRPr="00CF3238">
        <w:rPr>
          <w:szCs w:val="24"/>
        </w:rPr>
        <w:t xml:space="preserve">l) </w:t>
      </w:r>
      <w:r>
        <w:rPr>
          <w:szCs w:val="24"/>
        </w:rPr>
        <w:tab/>
      </w:r>
      <w:r w:rsidRPr="00CF3238">
        <w:rPr>
          <w:szCs w:val="24"/>
        </w:rPr>
        <w:t>využije v reklamě rozdílů pojištění pohledávek z vkladů mezi členskými státy, nebo</w:t>
      </w:r>
    </w:p>
    <w:p w14:paraId="4C251324" w14:textId="77777777" w:rsidR="00A46E9E" w:rsidRPr="00CF3238" w:rsidRDefault="00A46E9E" w:rsidP="00A46E9E">
      <w:pPr>
        <w:tabs>
          <w:tab w:val="left" w:pos="425"/>
          <w:tab w:val="left" w:pos="851"/>
        </w:tabs>
        <w:spacing w:before="0"/>
        <w:ind w:left="425" w:hanging="425"/>
        <w:rPr>
          <w:szCs w:val="24"/>
        </w:rPr>
      </w:pPr>
      <w:r w:rsidRPr="00CF3238">
        <w:rPr>
          <w:szCs w:val="24"/>
        </w:rPr>
        <w:t xml:space="preserve">m) </w:t>
      </w:r>
      <w:r>
        <w:rPr>
          <w:szCs w:val="24"/>
        </w:rPr>
        <w:tab/>
      </w:r>
      <w:r w:rsidRPr="00CF3238">
        <w:rPr>
          <w:szCs w:val="24"/>
        </w:rPr>
        <w:t>neinformuje klienta podle § 16 odst. 8 nebo § 41s odst. 1 nebo informuje klienta podle § 16 odst. 8, aniž by byl dodržen postup pro uveřejnění oznámení podle § 16 odst. 10.</w:t>
      </w:r>
    </w:p>
    <w:p w14:paraId="455C3820" w14:textId="77777777" w:rsidR="00A46E9E" w:rsidRPr="00484B75" w:rsidRDefault="00A46E9E" w:rsidP="00A46E9E">
      <w:pPr>
        <w:pStyle w:val="PZTextodstavce"/>
      </w:pPr>
      <w:r w:rsidRPr="00484B75">
        <w:t>(6) Za</w:t>
      </w:r>
      <w:r>
        <w:t xml:space="preserve"> přestupek lze uložit pokutu do</w:t>
      </w:r>
    </w:p>
    <w:p w14:paraId="7DE1FA9D" w14:textId="77777777" w:rsidR="00A46E9E" w:rsidRPr="00CF3238" w:rsidRDefault="00A46E9E" w:rsidP="00A46E9E">
      <w:pPr>
        <w:tabs>
          <w:tab w:val="left" w:pos="425"/>
          <w:tab w:val="left" w:pos="851"/>
        </w:tabs>
        <w:spacing w:before="0"/>
        <w:ind w:left="425" w:hanging="425"/>
        <w:rPr>
          <w:szCs w:val="24"/>
        </w:rPr>
      </w:pPr>
      <w:r w:rsidRPr="00CF3238">
        <w:rPr>
          <w:szCs w:val="24"/>
        </w:rPr>
        <w:t xml:space="preserve">a) </w:t>
      </w:r>
      <w:r>
        <w:rPr>
          <w:szCs w:val="24"/>
        </w:rPr>
        <w:tab/>
      </w:r>
      <w:r w:rsidRPr="00CF3238">
        <w:rPr>
          <w:szCs w:val="24"/>
        </w:rPr>
        <w:t>10 000 000 Kč, jde-li o přestupek podle odstavce 1 písm. b) až e)</w:t>
      </w:r>
      <w:r w:rsidRPr="00382C06">
        <w:rPr>
          <w:szCs w:val="24"/>
        </w:rPr>
        <w:t>,</w:t>
      </w:r>
      <w:r>
        <w:rPr>
          <w:szCs w:val="24"/>
        </w:rPr>
        <w:t xml:space="preserve"> </w:t>
      </w:r>
      <w:r w:rsidRPr="00CF3238">
        <w:rPr>
          <w:szCs w:val="24"/>
        </w:rPr>
        <w:t xml:space="preserve">h) </w:t>
      </w:r>
      <w:r w:rsidRPr="00F2604B">
        <w:rPr>
          <w:strike/>
          <w:szCs w:val="24"/>
        </w:rPr>
        <w:t>nebo i)</w:t>
      </w:r>
      <w:r>
        <w:rPr>
          <w:strike/>
          <w:szCs w:val="24"/>
        </w:rPr>
        <w:t xml:space="preserve"> </w:t>
      </w:r>
      <w:r w:rsidRPr="00146DA5">
        <w:rPr>
          <w:b/>
          <w:szCs w:val="24"/>
        </w:rPr>
        <w:t>až</w:t>
      </w:r>
      <w:r>
        <w:rPr>
          <w:b/>
          <w:szCs w:val="24"/>
        </w:rPr>
        <w:t xml:space="preserve"> </w:t>
      </w:r>
      <w:r w:rsidRPr="00146DA5">
        <w:rPr>
          <w:b/>
          <w:szCs w:val="24"/>
        </w:rPr>
        <w:t>k</w:t>
      </w:r>
      <w:r w:rsidRPr="00CF3238">
        <w:rPr>
          <w:szCs w:val="24"/>
        </w:rPr>
        <w:t>),</w:t>
      </w:r>
    </w:p>
    <w:p w14:paraId="615854D1" w14:textId="77777777" w:rsidR="00A46E9E" w:rsidRPr="00CF3238" w:rsidRDefault="00A46E9E" w:rsidP="00A46E9E">
      <w:pPr>
        <w:tabs>
          <w:tab w:val="left" w:pos="425"/>
          <w:tab w:val="left" w:pos="851"/>
        </w:tabs>
        <w:spacing w:before="0"/>
        <w:ind w:left="425" w:hanging="425"/>
        <w:rPr>
          <w:szCs w:val="24"/>
        </w:rPr>
      </w:pPr>
      <w:r w:rsidRPr="00E40065">
        <w:rPr>
          <w:szCs w:val="24"/>
        </w:rPr>
        <w:t xml:space="preserve">b) </w:t>
      </w:r>
      <w:r w:rsidRPr="00E40065">
        <w:rPr>
          <w:szCs w:val="24"/>
        </w:rPr>
        <w:tab/>
        <w:t xml:space="preserve">20 000 000 Kč, jde-li o přestupek podle odstavce 1 písm. f), g), </w:t>
      </w:r>
      <w:r w:rsidRPr="00E40065">
        <w:rPr>
          <w:strike/>
          <w:szCs w:val="24"/>
        </w:rPr>
        <w:t>j) až n</w:t>
      </w:r>
      <w:r w:rsidRPr="00E40065">
        <w:rPr>
          <w:b/>
          <w:strike/>
          <w:szCs w:val="24"/>
        </w:rPr>
        <w:t>)</w:t>
      </w:r>
      <w:r w:rsidRPr="00E40065">
        <w:rPr>
          <w:b/>
          <w:szCs w:val="24"/>
        </w:rPr>
        <w:t xml:space="preserve"> l) až p)</w:t>
      </w:r>
      <w:r w:rsidRPr="00E40065">
        <w:rPr>
          <w:szCs w:val="24"/>
        </w:rPr>
        <w:t>,</w:t>
      </w:r>
    </w:p>
    <w:p w14:paraId="14BAB277" w14:textId="77777777" w:rsidR="00A46E9E" w:rsidRPr="00CF3238" w:rsidRDefault="00A46E9E" w:rsidP="00A46E9E">
      <w:pPr>
        <w:tabs>
          <w:tab w:val="left" w:pos="425"/>
          <w:tab w:val="left" w:pos="851"/>
        </w:tabs>
        <w:spacing w:before="0"/>
        <w:ind w:left="425" w:hanging="425"/>
        <w:rPr>
          <w:szCs w:val="24"/>
        </w:rPr>
      </w:pPr>
      <w:r w:rsidRPr="00CF3238">
        <w:rPr>
          <w:szCs w:val="24"/>
        </w:rPr>
        <w:t xml:space="preserve">c) </w:t>
      </w:r>
      <w:r>
        <w:rPr>
          <w:szCs w:val="24"/>
        </w:rPr>
        <w:tab/>
      </w:r>
      <w:r w:rsidRPr="00CF3238">
        <w:rPr>
          <w:szCs w:val="24"/>
        </w:rPr>
        <w:t xml:space="preserve">50 000 000 Kč, jde-li o přestupek podle odstavce 1 písm. a) nebo </w:t>
      </w:r>
      <w:r w:rsidRPr="007F2190">
        <w:rPr>
          <w:strike/>
          <w:szCs w:val="24"/>
        </w:rPr>
        <w:t>o)</w:t>
      </w:r>
      <w:r>
        <w:rPr>
          <w:szCs w:val="24"/>
        </w:rPr>
        <w:t xml:space="preserve"> </w:t>
      </w:r>
      <w:r w:rsidRPr="007F2190">
        <w:rPr>
          <w:b/>
          <w:szCs w:val="24"/>
        </w:rPr>
        <w:t>q)</w:t>
      </w:r>
      <w:r w:rsidRPr="00CF3238">
        <w:rPr>
          <w:szCs w:val="24"/>
        </w:rPr>
        <w:t>, odstavce 3 písm. a), b), d) nebo e), odstavce 4 nebo odstavce 5,</w:t>
      </w:r>
    </w:p>
    <w:p w14:paraId="595D3F38" w14:textId="77777777" w:rsidR="00A46E9E" w:rsidRPr="00CF3238" w:rsidRDefault="00A46E9E" w:rsidP="00A46E9E">
      <w:pPr>
        <w:tabs>
          <w:tab w:val="left" w:pos="425"/>
          <w:tab w:val="left" w:pos="851"/>
        </w:tabs>
        <w:spacing w:before="0"/>
        <w:ind w:left="425" w:hanging="425"/>
        <w:rPr>
          <w:szCs w:val="24"/>
        </w:rPr>
      </w:pPr>
      <w:r w:rsidRPr="00DB5C05">
        <w:rPr>
          <w:szCs w:val="24"/>
        </w:rPr>
        <w:t xml:space="preserve">d) </w:t>
      </w:r>
      <w:r w:rsidRPr="00DB5C05">
        <w:rPr>
          <w:szCs w:val="24"/>
        </w:rPr>
        <w:tab/>
        <w:t>126 650 000 Kč, jde-li o přestupek podle odstavce 2 písm. f),</w:t>
      </w:r>
    </w:p>
    <w:p w14:paraId="694F25D3" w14:textId="77777777" w:rsidR="00A46E9E" w:rsidRPr="00CF3238" w:rsidRDefault="00A46E9E" w:rsidP="00A46E9E">
      <w:pPr>
        <w:tabs>
          <w:tab w:val="left" w:pos="425"/>
          <w:tab w:val="left" w:pos="851"/>
        </w:tabs>
        <w:spacing w:before="0"/>
        <w:ind w:left="425" w:hanging="425"/>
        <w:rPr>
          <w:szCs w:val="24"/>
        </w:rPr>
      </w:pPr>
      <w:r w:rsidRPr="00CF3238">
        <w:rPr>
          <w:szCs w:val="24"/>
        </w:rPr>
        <w:t xml:space="preserve">e) </w:t>
      </w:r>
      <w:r>
        <w:rPr>
          <w:szCs w:val="24"/>
        </w:rPr>
        <w:tab/>
      </w:r>
      <w:r w:rsidRPr="00CF3238">
        <w:rPr>
          <w:szCs w:val="24"/>
        </w:rPr>
        <w:t>dvojnásobku výše neoprávněného prospěchu, jde-li o přestupek podle odstavce 2 nebo odstavce 3 písm. c) a spáchala-li ho právnická osoba; není-li možné výši neoprávněného prospěchu zjistit, lze uložit pokutu do výše 10 % čistého ročního obratu dosaženého bankou za bezprostředně předcházející účetní období, který zahrnuje položky uvedené v čl. 316 nařízení Evropského parlamentu a Rady (EU) č. 575/2013,</w:t>
      </w:r>
    </w:p>
    <w:p w14:paraId="1C6B11BB" w14:textId="77777777" w:rsidR="00A46E9E" w:rsidRDefault="00A46E9E" w:rsidP="00A46E9E">
      <w:pPr>
        <w:tabs>
          <w:tab w:val="left" w:pos="425"/>
          <w:tab w:val="left" w:pos="851"/>
        </w:tabs>
        <w:spacing w:before="0"/>
        <w:ind w:left="425" w:hanging="425"/>
        <w:rPr>
          <w:szCs w:val="24"/>
        </w:rPr>
      </w:pPr>
      <w:r w:rsidRPr="00CF3238">
        <w:rPr>
          <w:szCs w:val="24"/>
        </w:rPr>
        <w:t xml:space="preserve">f) </w:t>
      </w:r>
      <w:r>
        <w:rPr>
          <w:szCs w:val="24"/>
        </w:rPr>
        <w:tab/>
      </w:r>
      <w:r w:rsidRPr="00CF3238">
        <w:rPr>
          <w:szCs w:val="24"/>
        </w:rPr>
        <w:t>dvojnásobku výše neoprávněného prospěchu, jde-li o přestupek podle odstavce 2 nebo odstavce 3 písm. c) a spáchala-li ho ovládaná banka; není-li možné výši neoprávněného prospěchu zjistit, lze uložit pokutu do výše 10% čistého ročního obratu vyplývajícího z konsolidované účetní závěrky ovládající osoby za bezprostředně předcházející účetní období.</w:t>
      </w:r>
    </w:p>
    <w:p w14:paraId="5293F2FF" w14:textId="77777777" w:rsidR="00A46E9E" w:rsidRDefault="00A46E9E" w:rsidP="00A46E9E">
      <w:pPr>
        <w:pStyle w:val="Paragraf"/>
        <w:numPr>
          <w:ilvl w:val="0"/>
          <w:numId w:val="28"/>
        </w:numPr>
      </w:pPr>
      <w:r>
        <w:lastRenderedPageBreak/>
        <w:t>***</w:t>
      </w:r>
    </w:p>
    <w:p w14:paraId="10DE0618" w14:textId="77777777" w:rsidR="00A46E9E" w:rsidRPr="00DB5C05" w:rsidRDefault="00A46E9E" w:rsidP="00A46E9E">
      <w:pPr>
        <w:pStyle w:val="Paragraf"/>
        <w:numPr>
          <w:ilvl w:val="0"/>
          <w:numId w:val="28"/>
        </w:numPr>
      </w:pPr>
      <w:r w:rsidRPr="00DB5C05">
        <w:t>§ 36g</w:t>
      </w:r>
    </w:p>
    <w:p w14:paraId="309C77F3" w14:textId="77777777" w:rsidR="00A46E9E" w:rsidRPr="00DB5C05" w:rsidRDefault="00A46E9E" w:rsidP="00A46E9E">
      <w:pPr>
        <w:pStyle w:val="Paragraf"/>
        <w:numPr>
          <w:ilvl w:val="0"/>
          <w:numId w:val="28"/>
        </w:numPr>
        <w:rPr>
          <w:b/>
        </w:rPr>
      </w:pPr>
      <w:r w:rsidRPr="00DB5C05">
        <w:rPr>
          <w:b/>
        </w:rPr>
        <w:t>Přestupky zahraniční banky se sídlem v členském státě</w:t>
      </w:r>
    </w:p>
    <w:p w14:paraId="7DB265B6" w14:textId="77777777" w:rsidR="00A46E9E" w:rsidRPr="0004018F" w:rsidRDefault="00A46E9E" w:rsidP="00A46E9E">
      <w:pPr>
        <w:pStyle w:val="PZTextodstavce"/>
        <w:rPr>
          <w:szCs w:val="24"/>
        </w:rPr>
      </w:pPr>
      <w:r w:rsidRPr="0004018F">
        <w:rPr>
          <w:szCs w:val="24"/>
        </w:rPr>
        <w:t>(1) Zahraniční banka se sídlem v členském státě, která vykonává na území České republiky bankovní činnosti prostřednictvím své pobočky, se dopustí přestupku tím, že</w:t>
      </w:r>
    </w:p>
    <w:p w14:paraId="3FF4FF69" w14:textId="77777777" w:rsidR="00A46E9E" w:rsidRPr="0004018F" w:rsidRDefault="00A46E9E" w:rsidP="00A46E9E">
      <w:pPr>
        <w:tabs>
          <w:tab w:val="left" w:pos="425"/>
          <w:tab w:val="left" w:pos="851"/>
        </w:tabs>
        <w:spacing w:before="0"/>
        <w:ind w:left="425" w:hanging="425"/>
        <w:rPr>
          <w:szCs w:val="24"/>
        </w:rPr>
      </w:pPr>
      <w:r w:rsidRPr="0004018F">
        <w:rPr>
          <w:szCs w:val="24"/>
        </w:rPr>
        <w:t xml:space="preserve">a) </w:t>
      </w:r>
      <w:r>
        <w:rPr>
          <w:szCs w:val="24"/>
        </w:rPr>
        <w:tab/>
      </w:r>
      <w:r w:rsidRPr="0004018F">
        <w:rPr>
          <w:szCs w:val="24"/>
        </w:rPr>
        <w:t>uskuteční na území České republiky bankovní č</w:t>
      </w:r>
      <w:r>
        <w:rPr>
          <w:szCs w:val="24"/>
        </w:rPr>
        <w:t>innosti v rozporu s § 5c až 5m,</w:t>
      </w:r>
    </w:p>
    <w:p w14:paraId="34F74892" w14:textId="77777777" w:rsidR="00A46E9E" w:rsidRPr="0004018F" w:rsidRDefault="00A46E9E" w:rsidP="00A46E9E">
      <w:pPr>
        <w:tabs>
          <w:tab w:val="left" w:pos="425"/>
          <w:tab w:val="left" w:pos="851"/>
        </w:tabs>
        <w:spacing w:before="0"/>
        <w:ind w:left="425" w:hanging="425"/>
        <w:rPr>
          <w:szCs w:val="24"/>
        </w:rPr>
      </w:pPr>
      <w:r w:rsidRPr="0004018F">
        <w:rPr>
          <w:szCs w:val="24"/>
        </w:rPr>
        <w:t xml:space="preserve">b) </w:t>
      </w:r>
      <w:r>
        <w:rPr>
          <w:szCs w:val="24"/>
        </w:rPr>
        <w:tab/>
      </w:r>
      <w:r w:rsidRPr="0004018F">
        <w:rPr>
          <w:szCs w:val="24"/>
        </w:rPr>
        <w:t>neuloží u České národní banky výpis z obchod</w:t>
      </w:r>
      <w:r>
        <w:rPr>
          <w:szCs w:val="24"/>
        </w:rPr>
        <w:t>ního rejstříku nebo jeho změny,</w:t>
      </w:r>
    </w:p>
    <w:p w14:paraId="0DA7D253" w14:textId="77777777" w:rsidR="00A46E9E" w:rsidRPr="0004018F" w:rsidRDefault="00A46E9E" w:rsidP="00A46E9E">
      <w:pPr>
        <w:tabs>
          <w:tab w:val="left" w:pos="425"/>
          <w:tab w:val="left" w:pos="851"/>
        </w:tabs>
        <w:spacing w:before="0"/>
        <w:ind w:left="425" w:hanging="425"/>
        <w:rPr>
          <w:szCs w:val="24"/>
        </w:rPr>
      </w:pPr>
      <w:r w:rsidRPr="0004018F">
        <w:rPr>
          <w:szCs w:val="24"/>
        </w:rPr>
        <w:t xml:space="preserve">c) </w:t>
      </w:r>
      <w:r>
        <w:rPr>
          <w:szCs w:val="24"/>
        </w:rPr>
        <w:tab/>
      </w:r>
      <w:r w:rsidRPr="0004018F">
        <w:rPr>
          <w:szCs w:val="24"/>
        </w:rPr>
        <w:t>nesplní některou z informačních povi</w:t>
      </w:r>
      <w:r>
        <w:rPr>
          <w:szCs w:val="24"/>
        </w:rPr>
        <w:t>nností podle § 11 odst. 1 až 4,</w:t>
      </w:r>
    </w:p>
    <w:p w14:paraId="7A3C5FFD" w14:textId="77777777" w:rsidR="00A46E9E" w:rsidRDefault="00A46E9E" w:rsidP="00A46E9E">
      <w:pPr>
        <w:tabs>
          <w:tab w:val="left" w:pos="425"/>
          <w:tab w:val="left" w:pos="851"/>
        </w:tabs>
        <w:spacing w:before="0"/>
        <w:ind w:left="425" w:hanging="425"/>
        <w:rPr>
          <w:szCs w:val="24"/>
        </w:rPr>
      </w:pPr>
      <w:r w:rsidRPr="0004018F">
        <w:rPr>
          <w:szCs w:val="24"/>
        </w:rPr>
        <w:t xml:space="preserve">d) </w:t>
      </w:r>
      <w:r>
        <w:rPr>
          <w:szCs w:val="24"/>
        </w:rPr>
        <w:tab/>
      </w:r>
      <w:r w:rsidRPr="0004018F">
        <w:rPr>
          <w:szCs w:val="24"/>
        </w:rPr>
        <w:t>v rozporu s § 11 odst. 9 nezavede účinný postup pro vyřizování stížností klientů ne</w:t>
      </w:r>
      <w:r>
        <w:rPr>
          <w:szCs w:val="24"/>
        </w:rPr>
        <w:t>bo o tomto postupu neinformuje,</w:t>
      </w:r>
    </w:p>
    <w:p w14:paraId="793B62B2" w14:textId="77777777" w:rsidR="00A46E9E" w:rsidRPr="00E46255" w:rsidRDefault="00A46E9E" w:rsidP="00A46E9E">
      <w:pPr>
        <w:tabs>
          <w:tab w:val="left" w:pos="425"/>
          <w:tab w:val="left" w:pos="851"/>
        </w:tabs>
        <w:spacing w:before="0"/>
        <w:ind w:left="425" w:hanging="425"/>
        <w:rPr>
          <w:b/>
          <w:szCs w:val="24"/>
        </w:rPr>
      </w:pPr>
      <w:r>
        <w:rPr>
          <w:b/>
          <w:szCs w:val="24"/>
        </w:rPr>
        <w:t>e</w:t>
      </w:r>
      <w:r w:rsidRPr="00E46255">
        <w:rPr>
          <w:b/>
          <w:szCs w:val="24"/>
        </w:rPr>
        <w:t>)</w:t>
      </w:r>
      <w:r w:rsidRPr="00E46255">
        <w:rPr>
          <w:b/>
          <w:szCs w:val="24"/>
        </w:rPr>
        <w:tab/>
      </w:r>
      <w:r>
        <w:rPr>
          <w:b/>
          <w:szCs w:val="24"/>
        </w:rPr>
        <w:t>ne</w:t>
      </w:r>
      <w:r w:rsidRPr="00945614">
        <w:rPr>
          <w:b/>
          <w:szCs w:val="24"/>
        </w:rPr>
        <w:t>použije</w:t>
      </w:r>
      <w:r w:rsidRPr="00E46255">
        <w:rPr>
          <w:b/>
          <w:szCs w:val="24"/>
        </w:rPr>
        <w:t xml:space="preserve"> pro účely plnění povinností vůči České národní bance </w:t>
      </w:r>
      <w:r>
        <w:rPr>
          <w:b/>
          <w:szCs w:val="24"/>
        </w:rPr>
        <w:t xml:space="preserve">vybrané </w:t>
      </w:r>
      <w:r w:rsidRPr="00E46255">
        <w:rPr>
          <w:b/>
          <w:szCs w:val="24"/>
        </w:rPr>
        <w:t>účetní postupy podle § 21 odst. 1,</w:t>
      </w:r>
    </w:p>
    <w:p w14:paraId="7646352E" w14:textId="77777777" w:rsidR="00A46E9E" w:rsidRDefault="00A46E9E" w:rsidP="00A46E9E">
      <w:pPr>
        <w:tabs>
          <w:tab w:val="left" w:pos="425"/>
          <w:tab w:val="left" w:pos="851"/>
        </w:tabs>
        <w:spacing w:before="0"/>
        <w:ind w:left="425" w:hanging="425"/>
        <w:rPr>
          <w:szCs w:val="24"/>
        </w:rPr>
      </w:pPr>
      <w:r w:rsidRPr="00454E35">
        <w:rPr>
          <w:strike/>
          <w:szCs w:val="24"/>
        </w:rPr>
        <w:t>e</w:t>
      </w:r>
      <w:r>
        <w:rPr>
          <w:szCs w:val="24"/>
        </w:rPr>
        <w:t>)</w:t>
      </w:r>
      <w:r w:rsidRPr="00504E42">
        <w:rPr>
          <w:b/>
          <w:szCs w:val="24"/>
        </w:rPr>
        <w:t>f</w:t>
      </w:r>
      <w:r>
        <w:rPr>
          <w:b/>
          <w:szCs w:val="24"/>
        </w:rPr>
        <w:t>)</w:t>
      </w:r>
      <w:r>
        <w:rPr>
          <w:szCs w:val="24"/>
        </w:rPr>
        <w:tab/>
      </w:r>
      <w:proofErr w:type="gramStart"/>
      <w:r w:rsidRPr="00014C40">
        <w:rPr>
          <w:strike/>
          <w:szCs w:val="24"/>
        </w:rPr>
        <w:t>poruší</w:t>
      </w:r>
      <w:proofErr w:type="gramEnd"/>
      <w:r w:rsidRPr="00014C40">
        <w:rPr>
          <w:strike/>
          <w:szCs w:val="24"/>
        </w:rPr>
        <w:t xml:space="preserve"> povinnost evidovat v rámci</w:t>
      </w:r>
      <w:r w:rsidRPr="001860AA">
        <w:rPr>
          <w:b/>
          <w:strike/>
          <w:szCs w:val="24"/>
        </w:rPr>
        <w:t xml:space="preserve"> </w:t>
      </w:r>
      <w:r w:rsidRPr="001860AA">
        <w:rPr>
          <w:strike/>
          <w:szCs w:val="24"/>
        </w:rPr>
        <w:t>účetnictví</w:t>
      </w:r>
      <w:r w:rsidRPr="0034660E">
        <w:rPr>
          <w:strike/>
          <w:szCs w:val="24"/>
        </w:rPr>
        <w:t xml:space="preserve"> odděleně</w:t>
      </w:r>
      <w:r w:rsidRPr="00DD7CE3">
        <w:rPr>
          <w:szCs w:val="24"/>
        </w:rPr>
        <w:t xml:space="preserve"> </w:t>
      </w:r>
      <w:proofErr w:type="gramStart"/>
      <w:r>
        <w:rPr>
          <w:b/>
          <w:szCs w:val="24"/>
        </w:rPr>
        <w:t>nesleduje</w:t>
      </w:r>
      <w:proofErr w:type="gramEnd"/>
      <w:r>
        <w:rPr>
          <w:b/>
          <w:szCs w:val="24"/>
        </w:rPr>
        <w:t xml:space="preserve"> v účetním systému</w:t>
      </w:r>
      <w:r w:rsidRPr="00EC79E8">
        <w:rPr>
          <w:b/>
          <w:szCs w:val="24"/>
        </w:rPr>
        <w:t xml:space="preserve"> </w:t>
      </w:r>
      <w:r w:rsidRPr="0004018F">
        <w:rPr>
          <w:szCs w:val="24"/>
        </w:rPr>
        <w:t xml:space="preserve">obchody na účet klienta </w:t>
      </w:r>
      <w:r>
        <w:rPr>
          <w:b/>
          <w:szCs w:val="24"/>
        </w:rPr>
        <w:t>odděleně</w:t>
      </w:r>
      <w:r>
        <w:rPr>
          <w:szCs w:val="24"/>
        </w:rPr>
        <w:t xml:space="preserve"> </w:t>
      </w:r>
      <w:r w:rsidRPr="00504E42">
        <w:rPr>
          <w:b/>
          <w:szCs w:val="24"/>
        </w:rPr>
        <w:t>od obchodů</w:t>
      </w:r>
      <w:r>
        <w:rPr>
          <w:szCs w:val="24"/>
        </w:rPr>
        <w:t xml:space="preserve"> na účet zahraniční banky</w:t>
      </w:r>
      <w:r w:rsidRPr="00014C40">
        <w:t xml:space="preserve"> </w:t>
      </w:r>
      <w:r w:rsidRPr="00014C40">
        <w:rPr>
          <w:b/>
          <w:szCs w:val="24"/>
        </w:rPr>
        <w:t xml:space="preserve">podle § 21 odst. </w:t>
      </w:r>
      <w:r>
        <w:rPr>
          <w:b/>
          <w:szCs w:val="24"/>
        </w:rPr>
        <w:t>2</w:t>
      </w:r>
      <w:r>
        <w:rPr>
          <w:szCs w:val="24"/>
        </w:rPr>
        <w:t>,</w:t>
      </w:r>
    </w:p>
    <w:p w14:paraId="7E7322EA" w14:textId="77777777" w:rsidR="00A46E9E" w:rsidRDefault="00A46E9E" w:rsidP="00A46E9E">
      <w:pPr>
        <w:tabs>
          <w:tab w:val="left" w:pos="425"/>
          <w:tab w:val="left" w:pos="851"/>
        </w:tabs>
        <w:spacing w:before="0"/>
        <w:ind w:left="425" w:hanging="425"/>
        <w:rPr>
          <w:szCs w:val="24"/>
        </w:rPr>
      </w:pPr>
      <w:r>
        <w:rPr>
          <w:strike/>
          <w:szCs w:val="24"/>
        </w:rPr>
        <w:t>f</w:t>
      </w:r>
      <w:r>
        <w:rPr>
          <w:szCs w:val="24"/>
        </w:rPr>
        <w:t>)</w:t>
      </w:r>
      <w:r>
        <w:rPr>
          <w:b/>
          <w:szCs w:val="24"/>
        </w:rPr>
        <w:t>g</w:t>
      </w:r>
      <w:r w:rsidRPr="0004018F">
        <w:rPr>
          <w:szCs w:val="24"/>
        </w:rPr>
        <w:t xml:space="preserve">) </w:t>
      </w:r>
      <w:proofErr w:type="gramStart"/>
      <w:r w:rsidRPr="001860AA">
        <w:rPr>
          <w:strike/>
          <w:szCs w:val="24"/>
        </w:rPr>
        <w:t>poruší</w:t>
      </w:r>
      <w:proofErr w:type="gramEnd"/>
      <w:r w:rsidRPr="001860AA">
        <w:rPr>
          <w:strike/>
          <w:szCs w:val="24"/>
        </w:rPr>
        <w:t xml:space="preserve"> povinnost uschovávat</w:t>
      </w:r>
      <w:r w:rsidRPr="0004018F">
        <w:rPr>
          <w:szCs w:val="24"/>
        </w:rPr>
        <w:t xml:space="preserve"> </w:t>
      </w:r>
      <w:proofErr w:type="gramStart"/>
      <w:r>
        <w:rPr>
          <w:b/>
          <w:szCs w:val="24"/>
        </w:rPr>
        <w:t>neuschová</w:t>
      </w:r>
      <w:proofErr w:type="gramEnd"/>
      <w:r>
        <w:rPr>
          <w:b/>
          <w:szCs w:val="24"/>
        </w:rPr>
        <w:t xml:space="preserve"> </w:t>
      </w:r>
      <w:r w:rsidRPr="0004018F">
        <w:rPr>
          <w:szCs w:val="24"/>
        </w:rPr>
        <w:t>doklady o uskutečn</w:t>
      </w:r>
      <w:r>
        <w:rPr>
          <w:szCs w:val="24"/>
        </w:rPr>
        <w:t xml:space="preserve">ěných obchodech po dobu 10 let </w:t>
      </w:r>
      <w:r>
        <w:rPr>
          <w:b/>
          <w:szCs w:val="24"/>
        </w:rPr>
        <w:t>podle § 21 odst. 3</w:t>
      </w:r>
      <w:r>
        <w:rPr>
          <w:szCs w:val="24"/>
        </w:rPr>
        <w:t>,</w:t>
      </w:r>
    </w:p>
    <w:p w14:paraId="220F58EE" w14:textId="77777777" w:rsidR="00A46E9E" w:rsidRPr="00DD7CE3" w:rsidRDefault="00A46E9E" w:rsidP="00A46E9E">
      <w:pPr>
        <w:tabs>
          <w:tab w:val="left" w:pos="425"/>
          <w:tab w:val="left" w:pos="851"/>
        </w:tabs>
        <w:spacing w:before="0"/>
        <w:ind w:left="425" w:hanging="425"/>
        <w:rPr>
          <w:b/>
          <w:szCs w:val="24"/>
        </w:rPr>
      </w:pPr>
      <w:r w:rsidRPr="00DD7CE3">
        <w:rPr>
          <w:b/>
          <w:szCs w:val="24"/>
        </w:rPr>
        <w:t>h)</w:t>
      </w:r>
      <w:r w:rsidRPr="00DD7CE3">
        <w:rPr>
          <w:b/>
          <w:szCs w:val="24"/>
        </w:rPr>
        <w:tab/>
        <w:t>nezajistí ověření svého řídicího a kontrolního systému nebo jeho části ověřovatelem podle § 22a odst. 1 a 3,</w:t>
      </w:r>
    </w:p>
    <w:p w14:paraId="41D367EB" w14:textId="77777777" w:rsidR="00A46E9E" w:rsidRPr="00DD7CE3" w:rsidRDefault="00A46E9E" w:rsidP="00A46E9E">
      <w:pPr>
        <w:tabs>
          <w:tab w:val="left" w:pos="425"/>
          <w:tab w:val="left" w:pos="851"/>
        </w:tabs>
        <w:spacing w:before="0"/>
        <w:ind w:left="425" w:hanging="425"/>
        <w:rPr>
          <w:b/>
          <w:szCs w:val="24"/>
        </w:rPr>
      </w:pPr>
      <w:r w:rsidRPr="00DD7CE3">
        <w:rPr>
          <w:b/>
          <w:szCs w:val="24"/>
        </w:rPr>
        <w:t>i)</w:t>
      </w:r>
      <w:r w:rsidRPr="00DD7CE3">
        <w:rPr>
          <w:b/>
          <w:szCs w:val="24"/>
        </w:rPr>
        <w:tab/>
        <w:t xml:space="preserve">neposkytne ověřovateli součinnost podle § 22a odst. 4, </w:t>
      </w:r>
    </w:p>
    <w:p w14:paraId="66468AD2" w14:textId="77777777" w:rsidR="00A46E9E" w:rsidRPr="00DD7CE3" w:rsidRDefault="00A46E9E" w:rsidP="00A46E9E">
      <w:pPr>
        <w:tabs>
          <w:tab w:val="left" w:pos="425"/>
          <w:tab w:val="left" w:pos="851"/>
        </w:tabs>
        <w:spacing w:before="0"/>
        <w:ind w:left="425" w:hanging="425"/>
        <w:rPr>
          <w:b/>
          <w:szCs w:val="24"/>
        </w:rPr>
      </w:pPr>
      <w:r w:rsidRPr="00DD7CE3">
        <w:rPr>
          <w:b/>
          <w:szCs w:val="24"/>
        </w:rPr>
        <w:t>j)</w:t>
      </w:r>
      <w:r w:rsidRPr="00DD7CE3">
        <w:rPr>
          <w:b/>
          <w:szCs w:val="24"/>
        </w:rPr>
        <w:tab/>
        <w:t xml:space="preserve">nepředloží České národní bance zprávu o ověření řídicího a kontrolního systému podle § 22a odst. </w:t>
      </w:r>
      <w:r>
        <w:rPr>
          <w:b/>
          <w:szCs w:val="24"/>
        </w:rPr>
        <w:t>3</w:t>
      </w:r>
      <w:r w:rsidRPr="00DD7CE3">
        <w:rPr>
          <w:b/>
          <w:szCs w:val="24"/>
        </w:rPr>
        <w:t>,</w:t>
      </w:r>
    </w:p>
    <w:p w14:paraId="3B487C12" w14:textId="77777777" w:rsidR="00A46E9E" w:rsidRPr="00DD7CE3" w:rsidRDefault="00A46E9E" w:rsidP="00A46E9E">
      <w:pPr>
        <w:tabs>
          <w:tab w:val="left" w:pos="425"/>
          <w:tab w:val="left" w:pos="851"/>
        </w:tabs>
        <w:spacing w:before="0"/>
        <w:ind w:left="425" w:hanging="425"/>
        <w:rPr>
          <w:szCs w:val="24"/>
        </w:rPr>
      </w:pPr>
      <w:r w:rsidRPr="00DD7CE3">
        <w:rPr>
          <w:b/>
          <w:szCs w:val="24"/>
        </w:rPr>
        <w:t>k)</w:t>
      </w:r>
      <w:r w:rsidRPr="00DD7CE3">
        <w:rPr>
          <w:b/>
          <w:szCs w:val="24"/>
        </w:rPr>
        <w:tab/>
        <w:t>neoznámí České národní bance vybraného ověřovatele podle § 22b odst. 1 nebo nového ověřovatele podle § 22b odst. 6 v případě, že byl původně vybraný ověřovatel Českou národní bankou odmítnut,</w:t>
      </w:r>
    </w:p>
    <w:p w14:paraId="66CC99F3" w14:textId="77777777" w:rsidR="00A46E9E" w:rsidRPr="00646268" w:rsidRDefault="00A46E9E" w:rsidP="00A46E9E">
      <w:pPr>
        <w:tabs>
          <w:tab w:val="left" w:pos="425"/>
          <w:tab w:val="left" w:pos="851"/>
        </w:tabs>
        <w:spacing w:before="0"/>
        <w:ind w:left="425" w:hanging="425"/>
        <w:rPr>
          <w:b/>
        </w:rPr>
      </w:pPr>
      <w:r w:rsidRPr="00DD7CE3">
        <w:rPr>
          <w:b/>
          <w:szCs w:val="24"/>
        </w:rPr>
        <w:t>l)</w:t>
      </w:r>
      <w:r w:rsidRPr="00DD7CE3">
        <w:rPr>
          <w:b/>
          <w:szCs w:val="24"/>
        </w:rPr>
        <w:tab/>
      </w:r>
      <w:r w:rsidRPr="00DD7CE3">
        <w:rPr>
          <w:b/>
          <w:szCs w:val="24"/>
        </w:rPr>
        <w:tab/>
        <w:t xml:space="preserve">neuveřejní bez zbytečného odkladu </w:t>
      </w:r>
      <w:r w:rsidRPr="00D55C21">
        <w:rPr>
          <w:b/>
          <w:szCs w:val="24"/>
        </w:rPr>
        <w:t xml:space="preserve">řádnou účetní závěrku, zprávu vedení </w:t>
      </w:r>
      <w:r>
        <w:rPr>
          <w:b/>
          <w:szCs w:val="24"/>
        </w:rPr>
        <w:t>nebo</w:t>
      </w:r>
      <w:r w:rsidRPr="00D55C21">
        <w:rPr>
          <w:b/>
          <w:szCs w:val="24"/>
        </w:rPr>
        <w:t xml:space="preserve"> zprávy o jejich ověření na svých internetových stránkách podle</w:t>
      </w:r>
      <w:r w:rsidRPr="00DD7CE3">
        <w:rPr>
          <w:b/>
          <w:szCs w:val="24"/>
        </w:rPr>
        <w:t xml:space="preserve"> § 23a odst. 1</w:t>
      </w:r>
      <w:r w:rsidRPr="00B47F79">
        <w:t xml:space="preserve"> </w:t>
      </w:r>
      <w:r w:rsidRPr="00646268">
        <w:rPr>
          <w:b/>
          <w:szCs w:val="24"/>
        </w:rPr>
        <w:t>nebo neuveřejní informaci o jejím neschválení v rozporu s § 23a odst. 3,</w:t>
      </w:r>
    </w:p>
    <w:p w14:paraId="523AF032" w14:textId="77777777" w:rsidR="00A46E9E" w:rsidRPr="00DD7CE3" w:rsidRDefault="00A46E9E" w:rsidP="00A46E9E">
      <w:pPr>
        <w:tabs>
          <w:tab w:val="left" w:pos="425"/>
          <w:tab w:val="left" w:pos="851"/>
        </w:tabs>
        <w:spacing w:before="0"/>
        <w:ind w:left="425" w:hanging="425"/>
        <w:rPr>
          <w:b/>
          <w:szCs w:val="24"/>
        </w:rPr>
      </w:pPr>
      <w:r w:rsidRPr="00DD7CE3">
        <w:rPr>
          <w:b/>
          <w:szCs w:val="24"/>
        </w:rPr>
        <w:t>m)</w:t>
      </w:r>
      <w:r w:rsidRPr="00DD7CE3">
        <w:rPr>
          <w:b/>
          <w:szCs w:val="24"/>
        </w:rPr>
        <w:tab/>
        <w:t>neuveřejní bez zbytečného odkladu překlad řádné individuální účetní závěrky</w:t>
      </w:r>
      <w:r>
        <w:rPr>
          <w:b/>
          <w:szCs w:val="24"/>
        </w:rPr>
        <w:t xml:space="preserve"> nebo</w:t>
      </w:r>
      <w:r w:rsidRPr="00DD7CE3">
        <w:rPr>
          <w:b/>
          <w:szCs w:val="24"/>
        </w:rPr>
        <w:t xml:space="preserve"> </w:t>
      </w:r>
      <w:r>
        <w:rPr>
          <w:b/>
          <w:szCs w:val="24"/>
        </w:rPr>
        <w:t>zprávy</w:t>
      </w:r>
      <w:r w:rsidRPr="00DD7CE3">
        <w:rPr>
          <w:b/>
          <w:szCs w:val="24"/>
        </w:rPr>
        <w:t xml:space="preserve"> o jejím ověření ve stanoveném jazyce podle § 23a odst. 2,</w:t>
      </w:r>
    </w:p>
    <w:p w14:paraId="3A1D7DBD" w14:textId="77777777" w:rsidR="00A46E9E" w:rsidRPr="00DD7CE3" w:rsidRDefault="00A46E9E" w:rsidP="00A46E9E">
      <w:pPr>
        <w:tabs>
          <w:tab w:val="left" w:pos="425"/>
          <w:tab w:val="left" w:pos="851"/>
        </w:tabs>
        <w:spacing w:before="0"/>
        <w:ind w:left="425" w:hanging="425"/>
        <w:rPr>
          <w:szCs w:val="24"/>
        </w:rPr>
      </w:pPr>
      <w:r w:rsidRPr="00DD7CE3">
        <w:rPr>
          <w:strike/>
          <w:szCs w:val="24"/>
        </w:rPr>
        <w:t>g)</w:t>
      </w:r>
      <w:r w:rsidRPr="00DD7CE3">
        <w:rPr>
          <w:b/>
          <w:strike/>
          <w:szCs w:val="24"/>
        </w:rPr>
        <w:t>h)</w:t>
      </w:r>
      <w:r w:rsidRPr="00DD7CE3">
        <w:rPr>
          <w:b/>
          <w:szCs w:val="24"/>
        </w:rPr>
        <w:t>n)</w:t>
      </w:r>
      <w:r w:rsidRPr="00DD7CE3">
        <w:rPr>
          <w:szCs w:val="24"/>
        </w:rPr>
        <w:t xml:space="preserve"> nesplní některou z informačních povinností podle § 24</w:t>
      </w:r>
    </w:p>
    <w:p w14:paraId="186D91C1" w14:textId="77777777" w:rsidR="00A46E9E" w:rsidRPr="00DD7CE3" w:rsidRDefault="00A46E9E" w:rsidP="00A46E9E">
      <w:pPr>
        <w:tabs>
          <w:tab w:val="left" w:pos="425"/>
          <w:tab w:val="left" w:pos="851"/>
        </w:tabs>
        <w:spacing w:before="0"/>
        <w:ind w:left="425" w:hanging="425"/>
        <w:rPr>
          <w:szCs w:val="24"/>
        </w:rPr>
      </w:pPr>
      <w:r w:rsidRPr="00DD7CE3">
        <w:rPr>
          <w:strike/>
          <w:szCs w:val="24"/>
        </w:rPr>
        <w:t>h)</w:t>
      </w:r>
      <w:r w:rsidRPr="00DD7CE3">
        <w:rPr>
          <w:b/>
          <w:strike/>
          <w:szCs w:val="24"/>
        </w:rPr>
        <w:t>i)</w:t>
      </w:r>
      <w:r w:rsidRPr="00DD7CE3">
        <w:rPr>
          <w:b/>
          <w:szCs w:val="24"/>
        </w:rPr>
        <w:t>o)</w:t>
      </w:r>
      <w:r w:rsidRPr="00DD7CE3">
        <w:rPr>
          <w:szCs w:val="24"/>
        </w:rPr>
        <w:t xml:space="preserve"> neprovede v požadované lhůtě opatření k nápravě vydané na základě § 26 odst. 1,</w:t>
      </w:r>
    </w:p>
    <w:p w14:paraId="3E7D67A3" w14:textId="77777777" w:rsidR="00A46E9E" w:rsidRPr="00DD7CE3" w:rsidRDefault="00A46E9E" w:rsidP="00A46E9E">
      <w:pPr>
        <w:tabs>
          <w:tab w:val="left" w:pos="425"/>
          <w:tab w:val="left" w:pos="851"/>
        </w:tabs>
        <w:spacing w:before="0"/>
        <w:ind w:left="425" w:hanging="425"/>
        <w:rPr>
          <w:szCs w:val="24"/>
        </w:rPr>
      </w:pPr>
      <w:r w:rsidRPr="00DD7CE3">
        <w:rPr>
          <w:strike/>
          <w:szCs w:val="24"/>
        </w:rPr>
        <w:t>i)</w:t>
      </w:r>
      <w:r w:rsidRPr="00DD7CE3">
        <w:rPr>
          <w:b/>
          <w:strike/>
          <w:szCs w:val="24"/>
        </w:rPr>
        <w:t>j)</w:t>
      </w:r>
      <w:r w:rsidRPr="00DD7CE3">
        <w:rPr>
          <w:b/>
          <w:szCs w:val="24"/>
        </w:rPr>
        <w:t>p)</w:t>
      </w:r>
      <w:r>
        <w:rPr>
          <w:b/>
          <w:szCs w:val="24"/>
        </w:rPr>
        <w:t xml:space="preserve"> </w:t>
      </w:r>
      <w:r w:rsidRPr="00DD7CE3">
        <w:rPr>
          <w:szCs w:val="24"/>
        </w:rPr>
        <w:t>nezpracuje údaje o klientech podle § 37 odst. 2,</w:t>
      </w:r>
    </w:p>
    <w:p w14:paraId="6BFDBFD7" w14:textId="77777777" w:rsidR="00A46E9E" w:rsidRPr="00DD7CE3" w:rsidRDefault="00A46E9E" w:rsidP="00A46E9E">
      <w:pPr>
        <w:tabs>
          <w:tab w:val="left" w:pos="425"/>
          <w:tab w:val="left" w:pos="851"/>
        </w:tabs>
        <w:spacing w:before="0"/>
        <w:ind w:left="425" w:hanging="425"/>
        <w:rPr>
          <w:szCs w:val="24"/>
        </w:rPr>
      </w:pPr>
      <w:r w:rsidRPr="00DD7CE3">
        <w:rPr>
          <w:strike/>
          <w:szCs w:val="24"/>
        </w:rPr>
        <w:t>j)</w:t>
      </w:r>
      <w:r w:rsidRPr="00DD7CE3">
        <w:rPr>
          <w:b/>
          <w:strike/>
          <w:szCs w:val="24"/>
        </w:rPr>
        <w:t>k)</w:t>
      </w:r>
      <w:r w:rsidRPr="00DD7CE3">
        <w:rPr>
          <w:b/>
          <w:szCs w:val="24"/>
        </w:rPr>
        <w:t>q)</w:t>
      </w:r>
      <w:r>
        <w:rPr>
          <w:b/>
          <w:szCs w:val="24"/>
        </w:rPr>
        <w:t xml:space="preserve"> </w:t>
      </w:r>
      <w:r w:rsidRPr="00DD7CE3">
        <w:rPr>
          <w:szCs w:val="24"/>
        </w:rPr>
        <w:t>porušila povinnost zachovávat bankovní tajemství podle § 37 odst. 2,</w:t>
      </w:r>
    </w:p>
    <w:p w14:paraId="00B57CF7" w14:textId="77777777" w:rsidR="00A46E9E" w:rsidRPr="00DD7CE3" w:rsidRDefault="00A46E9E" w:rsidP="00A46E9E">
      <w:pPr>
        <w:tabs>
          <w:tab w:val="left" w:pos="425"/>
          <w:tab w:val="left" w:pos="851"/>
        </w:tabs>
        <w:spacing w:before="0"/>
        <w:ind w:left="425" w:hanging="425"/>
        <w:rPr>
          <w:szCs w:val="24"/>
        </w:rPr>
      </w:pPr>
      <w:r w:rsidRPr="00DD7CE3">
        <w:rPr>
          <w:strike/>
          <w:szCs w:val="24"/>
        </w:rPr>
        <w:t>k)</w:t>
      </w:r>
      <w:r w:rsidRPr="00DD7CE3">
        <w:rPr>
          <w:b/>
          <w:strike/>
          <w:szCs w:val="24"/>
        </w:rPr>
        <w:t>l)</w:t>
      </w:r>
      <w:r w:rsidRPr="00DD7CE3">
        <w:rPr>
          <w:b/>
          <w:szCs w:val="24"/>
        </w:rPr>
        <w:t xml:space="preserve"> r)</w:t>
      </w:r>
      <w:r>
        <w:rPr>
          <w:b/>
          <w:szCs w:val="24"/>
        </w:rPr>
        <w:t xml:space="preserve"> </w:t>
      </w:r>
      <w:r w:rsidRPr="00DD7CE3">
        <w:rPr>
          <w:szCs w:val="24"/>
        </w:rPr>
        <w:t>nepodá osobám pověřeným výkonem bankovního dohledu zprávu o všech záležitostech, které jsou předmětem bankovního tajemství,</w:t>
      </w:r>
    </w:p>
    <w:p w14:paraId="4D87CBE6" w14:textId="77777777" w:rsidR="00A46E9E" w:rsidRPr="00DD7CE3" w:rsidRDefault="00A46E9E" w:rsidP="00A46E9E">
      <w:pPr>
        <w:tabs>
          <w:tab w:val="left" w:pos="425"/>
          <w:tab w:val="left" w:pos="851"/>
        </w:tabs>
        <w:spacing w:before="0"/>
        <w:ind w:left="425" w:hanging="425"/>
        <w:rPr>
          <w:szCs w:val="24"/>
        </w:rPr>
      </w:pPr>
      <w:r w:rsidRPr="00DD7CE3">
        <w:rPr>
          <w:strike/>
          <w:szCs w:val="24"/>
        </w:rPr>
        <w:t>l)</w:t>
      </w:r>
      <w:r w:rsidRPr="00DD7CE3">
        <w:rPr>
          <w:b/>
          <w:strike/>
          <w:szCs w:val="24"/>
        </w:rPr>
        <w:t>m)</w:t>
      </w:r>
      <w:r w:rsidRPr="00DD7CE3">
        <w:rPr>
          <w:b/>
          <w:szCs w:val="24"/>
        </w:rPr>
        <w:t>s)</w:t>
      </w:r>
      <w:r w:rsidRPr="00DD7CE3">
        <w:rPr>
          <w:szCs w:val="24"/>
        </w:rPr>
        <w:t xml:space="preserve"> nepodá na písemné vyžádání zprávu o záležitostech týkajících se klienta, které jsou předmětem bankovního tajemství, subjektům uvedeným v § 38 odst. 3 až 6 a 8, nebo</w:t>
      </w:r>
    </w:p>
    <w:p w14:paraId="6DA60AEC" w14:textId="77777777" w:rsidR="00A46E9E" w:rsidRDefault="00A46E9E" w:rsidP="00A46E9E">
      <w:pPr>
        <w:tabs>
          <w:tab w:val="left" w:pos="425"/>
          <w:tab w:val="left" w:pos="851"/>
        </w:tabs>
        <w:spacing w:before="0"/>
        <w:ind w:left="425" w:hanging="425"/>
        <w:rPr>
          <w:szCs w:val="24"/>
        </w:rPr>
      </w:pPr>
      <w:r w:rsidRPr="00DD7CE3">
        <w:rPr>
          <w:strike/>
          <w:szCs w:val="24"/>
        </w:rPr>
        <w:t>m)</w:t>
      </w:r>
      <w:r w:rsidRPr="00DD7CE3">
        <w:rPr>
          <w:b/>
          <w:strike/>
          <w:szCs w:val="24"/>
        </w:rPr>
        <w:t>n)</w:t>
      </w:r>
      <w:r w:rsidRPr="00DD7CE3">
        <w:rPr>
          <w:b/>
          <w:szCs w:val="24"/>
        </w:rPr>
        <w:t>t)</w:t>
      </w:r>
      <w:r w:rsidRPr="00DD7CE3">
        <w:rPr>
          <w:szCs w:val="24"/>
        </w:rPr>
        <w:t xml:space="preserve"> využije v reklamě rozdílů pojištění pohledávek z vkladů mezi členskými státy.</w:t>
      </w:r>
    </w:p>
    <w:p w14:paraId="15FDF945" w14:textId="77777777" w:rsidR="00A46E9E" w:rsidRPr="0004018F" w:rsidRDefault="00A46E9E" w:rsidP="00A46E9E">
      <w:pPr>
        <w:pStyle w:val="PZTextodstavce"/>
        <w:rPr>
          <w:szCs w:val="24"/>
        </w:rPr>
      </w:pPr>
      <w:r w:rsidRPr="0004018F">
        <w:rPr>
          <w:szCs w:val="24"/>
        </w:rPr>
        <w:t>(2) Za přestupek lze uložit pokutu do</w:t>
      </w:r>
    </w:p>
    <w:p w14:paraId="4B509785" w14:textId="77777777" w:rsidR="00A46E9E" w:rsidRDefault="00A46E9E" w:rsidP="00A46E9E">
      <w:pPr>
        <w:tabs>
          <w:tab w:val="left" w:pos="425"/>
          <w:tab w:val="left" w:pos="851"/>
        </w:tabs>
        <w:spacing w:before="0"/>
        <w:ind w:left="425" w:hanging="425"/>
        <w:rPr>
          <w:szCs w:val="24"/>
        </w:rPr>
      </w:pPr>
      <w:r w:rsidRPr="00043207">
        <w:rPr>
          <w:szCs w:val="24"/>
        </w:rPr>
        <w:t>a) 10 000 000 Kč, jde-li o přestupek podle odstavce 1 písm. b)</w:t>
      </w:r>
      <w:r w:rsidRPr="00043207">
        <w:rPr>
          <w:b/>
          <w:szCs w:val="24"/>
        </w:rPr>
        <w:t>,</w:t>
      </w:r>
      <w:r w:rsidRPr="00043207">
        <w:rPr>
          <w:szCs w:val="24"/>
        </w:rPr>
        <w:t xml:space="preserve"> </w:t>
      </w:r>
      <w:r w:rsidRPr="00043207">
        <w:rPr>
          <w:b/>
          <w:szCs w:val="24"/>
        </w:rPr>
        <w:t>e) až m)</w:t>
      </w:r>
      <w:r w:rsidRPr="00043207">
        <w:rPr>
          <w:szCs w:val="24"/>
        </w:rPr>
        <w:t>,</w:t>
      </w:r>
    </w:p>
    <w:p w14:paraId="6DD19FC8" w14:textId="77777777" w:rsidR="00A46E9E" w:rsidRPr="00043207" w:rsidRDefault="00A46E9E" w:rsidP="00A46E9E">
      <w:pPr>
        <w:tabs>
          <w:tab w:val="left" w:pos="425"/>
          <w:tab w:val="left" w:pos="851"/>
        </w:tabs>
        <w:spacing w:before="0"/>
        <w:ind w:left="425" w:hanging="425"/>
        <w:rPr>
          <w:szCs w:val="24"/>
        </w:rPr>
      </w:pPr>
      <w:r w:rsidRPr="00043207">
        <w:rPr>
          <w:szCs w:val="24"/>
        </w:rPr>
        <w:t xml:space="preserve">b) 20 000 000 Kč, jde-li o přestupek podle odstavce 1 písm. c) </w:t>
      </w:r>
      <w:r w:rsidRPr="00043207">
        <w:rPr>
          <w:strike/>
          <w:szCs w:val="24"/>
        </w:rPr>
        <w:t>až g)</w:t>
      </w:r>
      <w:r w:rsidRPr="00043207">
        <w:rPr>
          <w:b/>
          <w:szCs w:val="24"/>
        </w:rPr>
        <w:t>, d) a n)</w:t>
      </w:r>
      <w:r w:rsidRPr="00043207">
        <w:rPr>
          <w:szCs w:val="24"/>
        </w:rPr>
        <w:t xml:space="preserve">, </w:t>
      </w:r>
    </w:p>
    <w:p w14:paraId="1DEBAD06" w14:textId="77777777" w:rsidR="00A46E9E" w:rsidRPr="0004018F" w:rsidRDefault="00A46E9E" w:rsidP="00A46E9E">
      <w:pPr>
        <w:tabs>
          <w:tab w:val="left" w:pos="425"/>
          <w:tab w:val="left" w:pos="851"/>
        </w:tabs>
        <w:spacing w:before="0"/>
        <w:ind w:left="425" w:hanging="425"/>
        <w:rPr>
          <w:szCs w:val="24"/>
        </w:rPr>
      </w:pPr>
      <w:r w:rsidRPr="00043207">
        <w:rPr>
          <w:szCs w:val="24"/>
        </w:rPr>
        <w:t xml:space="preserve">c) 50 000 000 Kč, jde-li o přestupek podle odstavce 1 písm. </w:t>
      </w:r>
      <w:r w:rsidRPr="00360214">
        <w:rPr>
          <w:szCs w:val="24"/>
        </w:rPr>
        <w:t>a),</w:t>
      </w:r>
      <w:r>
        <w:rPr>
          <w:szCs w:val="24"/>
        </w:rPr>
        <w:t xml:space="preserve"> </w:t>
      </w:r>
      <w:r w:rsidRPr="00043207">
        <w:rPr>
          <w:strike/>
          <w:szCs w:val="24"/>
        </w:rPr>
        <w:t>h) až m)</w:t>
      </w:r>
      <w:r w:rsidRPr="00043207">
        <w:rPr>
          <w:szCs w:val="24"/>
        </w:rPr>
        <w:t xml:space="preserve"> </w:t>
      </w:r>
      <w:r w:rsidRPr="00043207">
        <w:rPr>
          <w:b/>
          <w:szCs w:val="24"/>
        </w:rPr>
        <w:t>o) až t)</w:t>
      </w:r>
      <w:r w:rsidRPr="00043207">
        <w:rPr>
          <w:szCs w:val="24"/>
        </w:rPr>
        <w:t>.</w:t>
      </w:r>
    </w:p>
    <w:p w14:paraId="75599246" w14:textId="77777777" w:rsidR="00A46E9E" w:rsidRPr="009F16C4" w:rsidRDefault="00A46E9E" w:rsidP="00A46E9E">
      <w:pPr>
        <w:pStyle w:val="Paragraf"/>
        <w:numPr>
          <w:ilvl w:val="0"/>
          <w:numId w:val="28"/>
        </w:numPr>
      </w:pPr>
      <w:r w:rsidRPr="009F16C4">
        <w:lastRenderedPageBreak/>
        <w:t>§ 36h</w:t>
      </w:r>
    </w:p>
    <w:p w14:paraId="084D7222" w14:textId="77777777" w:rsidR="00A46E9E" w:rsidRPr="009F16C4" w:rsidRDefault="00A46E9E" w:rsidP="00A46E9E">
      <w:pPr>
        <w:pStyle w:val="Paragraf"/>
        <w:numPr>
          <w:ilvl w:val="0"/>
          <w:numId w:val="28"/>
        </w:numPr>
        <w:rPr>
          <w:b/>
        </w:rPr>
      </w:pPr>
      <w:r w:rsidRPr="009F16C4">
        <w:rPr>
          <w:b/>
        </w:rPr>
        <w:t>Přestupky zahraniční banky se sídlem v jiném než členském státě</w:t>
      </w:r>
    </w:p>
    <w:p w14:paraId="1E2028A4" w14:textId="77777777" w:rsidR="00A46E9E" w:rsidRPr="00484B75" w:rsidRDefault="00A46E9E" w:rsidP="00A46E9E">
      <w:pPr>
        <w:pStyle w:val="PZTextodstavce"/>
      </w:pPr>
      <w:r w:rsidRPr="00484B75">
        <w:t>(1) Zahraniční banka se sídlem v jiném než členském státě, která vykonává na území České republiky bankovní činnosti prostřednictvím své pobočk</w:t>
      </w:r>
      <w:r>
        <w:t>y, se dopustí přestupku tím, že</w:t>
      </w:r>
    </w:p>
    <w:p w14:paraId="52C3EE73" w14:textId="77777777" w:rsidR="00A46E9E" w:rsidRPr="005A6D8E" w:rsidRDefault="00A46E9E" w:rsidP="00A46E9E">
      <w:pPr>
        <w:tabs>
          <w:tab w:val="left" w:pos="425"/>
          <w:tab w:val="left" w:pos="851"/>
        </w:tabs>
        <w:spacing w:before="0"/>
        <w:ind w:left="425" w:hanging="425"/>
        <w:rPr>
          <w:szCs w:val="24"/>
        </w:rPr>
      </w:pPr>
      <w:r w:rsidRPr="005A6D8E">
        <w:rPr>
          <w:szCs w:val="24"/>
        </w:rPr>
        <w:t xml:space="preserve">a) </w:t>
      </w:r>
      <w:r>
        <w:rPr>
          <w:szCs w:val="24"/>
        </w:rPr>
        <w:tab/>
      </w:r>
      <w:r w:rsidRPr="005A6D8E">
        <w:rPr>
          <w:szCs w:val="24"/>
        </w:rPr>
        <w:t>uskuteční bankovní činnosti na území České republiky bez licence udělené podle § 5,</w:t>
      </w:r>
    </w:p>
    <w:p w14:paraId="419F8792" w14:textId="77777777" w:rsidR="00A46E9E" w:rsidRPr="005A6D8E" w:rsidRDefault="00A46E9E" w:rsidP="00A46E9E">
      <w:pPr>
        <w:tabs>
          <w:tab w:val="left" w:pos="425"/>
          <w:tab w:val="left" w:pos="851"/>
        </w:tabs>
        <w:spacing w:before="0"/>
        <w:ind w:left="425" w:hanging="425"/>
        <w:rPr>
          <w:szCs w:val="24"/>
        </w:rPr>
      </w:pPr>
      <w:r w:rsidRPr="005A6D8E">
        <w:rPr>
          <w:szCs w:val="24"/>
        </w:rPr>
        <w:t xml:space="preserve">b) </w:t>
      </w:r>
      <w:r>
        <w:rPr>
          <w:szCs w:val="24"/>
        </w:rPr>
        <w:tab/>
      </w:r>
      <w:r w:rsidRPr="005A6D8E">
        <w:rPr>
          <w:szCs w:val="24"/>
        </w:rPr>
        <w:t>uskuteční bankovní činnosti v rozporu s licencí,</w:t>
      </w:r>
    </w:p>
    <w:p w14:paraId="2020C50E" w14:textId="77777777" w:rsidR="00A46E9E" w:rsidRPr="005A6D8E" w:rsidRDefault="00A46E9E" w:rsidP="00A46E9E">
      <w:pPr>
        <w:tabs>
          <w:tab w:val="left" w:pos="425"/>
          <w:tab w:val="left" w:pos="851"/>
        </w:tabs>
        <w:spacing w:before="0"/>
        <w:ind w:left="425" w:hanging="425"/>
        <w:rPr>
          <w:szCs w:val="24"/>
        </w:rPr>
      </w:pPr>
      <w:r w:rsidRPr="005A6D8E">
        <w:rPr>
          <w:szCs w:val="24"/>
        </w:rPr>
        <w:t xml:space="preserve">c) </w:t>
      </w:r>
      <w:r>
        <w:rPr>
          <w:szCs w:val="24"/>
        </w:rPr>
        <w:tab/>
      </w:r>
      <w:r w:rsidRPr="005A6D8E">
        <w:rPr>
          <w:szCs w:val="24"/>
        </w:rPr>
        <w:t>přijímá vklady, poskytuje úvěry nebo vykonává další činnosti po dni zániku licence,</w:t>
      </w:r>
    </w:p>
    <w:p w14:paraId="24347BD6" w14:textId="77777777" w:rsidR="00A46E9E" w:rsidRPr="005A6D8E" w:rsidRDefault="00A46E9E" w:rsidP="00A46E9E">
      <w:pPr>
        <w:tabs>
          <w:tab w:val="left" w:pos="425"/>
          <w:tab w:val="left" w:pos="851"/>
        </w:tabs>
        <w:spacing w:before="0"/>
        <w:ind w:left="425" w:hanging="425"/>
        <w:rPr>
          <w:szCs w:val="24"/>
        </w:rPr>
      </w:pPr>
      <w:r w:rsidRPr="005A6D8E">
        <w:rPr>
          <w:szCs w:val="24"/>
        </w:rPr>
        <w:t xml:space="preserve">d) </w:t>
      </w:r>
      <w:r>
        <w:rPr>
          <w:szCs w:val="24"/>
        </w:rPr>
        <w:tab/>
      </w:r>
      <w:r w:rsidRPr="005A6D8E">
        <w:rPr>
          <w:szCs w:val="24"/>
        </w:rPr>
        <w:t>nedisponuje řídicím a kontrolním systémem podle § 8b odst. 1 a 2,</w:t>
      </w:r>
    </w:p>
    <w:p w14:paraId="0C7F7ABD" w14:textId="77777777" w:rsidR="00A46E9E" w:rsidRPr="005A6D8E" w:rsidRDefault="00A46E9E" w:rsidP="00A46E9E">
      <w:pPr>
        <w:tabs>
          <w:tab w:val="left" w:pos="425"/>
          <w:tab w:val="left" w:pos="851"/>
        </w:tabs>
        <w:spacing w:before="0"/>
        <w:ind w:left="425" w:hanging="425"/>
        <w:rPr>
          <w:szCs w:val="24"/>
        </w:rPr>
      </w:pPr>
      <w:r w:rsidRPr="005A6D8E">
        <w:rPr>
          <w:szCs w:val="24"/>
        </w:rPr>
        <w:t xml:space="preserve">e) </w:t>
      </w:r>
      <w:r>
        <w:rPr>
          <w:szCs w:val="24"/>
        </w:rPr>
        <w:tab/>
      </w:r>
      <w:r w:rsidRPr="005A6D8E">
        <w:rPr>
          <w:szCs w:val="24"/>
        </w:rPr>
        <w:t>neuloží u České národní banky výpis z obchodního rejstříku nebo jeho změny,</w:t>
      </w:r>
    </w:p>
    <w:p w14:paraId="11946EC4" w14:textId="77777777" w:rsidR="00A46E9E" w:rsidRPr="005A6D8E" w:rsidRDefault="00A46E9E" w:rsidP="00A46E9E">
      <w:pPr>
        <w:tabs>
          <w:tab w:val="left" w:pos="425"/>
          <w:tab w:val="left" w:pos="851"/>
        </w:tabs>
        <w:spacing w:before="0"/>
        <w:ind w:left="425" w:hanging="425"/>
        <w:rPr>
          <w:szCs w:val="24"/>
        </w:rPr>
      </w:pPr>
      <w:r w:rsidRPr="005A6D8E">
        <w:rPr>
          <w:szCs w:val="24"/>
        </w:rPr>
        <w:t xml:space="preserve">f) </w:t>
      </w:r>
      <w:r>
        <w:rPr>
          <w:szCs w:val="24"/>
        </w:rPr>
        <w:tab/>
      </w:r>
      <w:r w:rsidRPr="005A6D8E">
        <w:rPr>
          <w:szCs w:val="24"/>
        </w:rPr>
        <w:t>neuveřejní informace podle § 11,</w:t>
      </w:r>
    </w:p>
    <w:p w14:paraId="066A2156" w14:textId="77777777" w:rsidR="00A46E9E" w:rsidRPr="005A6D8E" w:rsidRDefault="00A46E9E" w:rsidP="00A46E9E">
      <w:pPr>
        <w:tabs>
          <w:tab w:val="left" w:pos="425"/>
          <w:tab w:val="left" w:pos="851"/>
        </w:tabs>
        <w:spacing w:before="0"/>
        <w:ind w:left="425" w:hanging="425"/>
        <w:rPr>
          <w:szCs w:val="24"/>
        </w:rPr>
      </w:pPr>
      <w:r w:rsidRPr="005A6D8E">
        <w:rPr>
          <w:szCs w:val="24"/>
        </w:rPr>
        <w:t xml:space="preserve">g) </w:t>
      </w:r>
      <w:r>
        <w:rPr>
          <w:szCs w:val="24"/>
        </w:rPr>
        <w:tab/>
      </w:r>
      <w:r w:rsidRPr="005A6D8E">
        <w:rPr>
          <w:szCs w:val="24"/>
        </w:rPr>
        <w:t>neposkytne právnické osobě nebo fyzické osobě v souvislosti s jejím podnikáním bez zbytečného odkladu písemné vysvětlení jejího úvěrového hodnocení podle § 11 odst. 7,</w:t>
      </w:r>
    </w:p>
    <w:p w14:paraId="308D8256" w14:textId="77777777" w:rsidR="00A46E9E" w:rsidRPr="005A6D8E" w:rsidRDefault="00A46E9E" w:rsidP="00A46E9E">
      <w:pPr>
        <w:tabs>
          <w:tab w:val="left" w:pos="425"/>
          <w:tab w:val="left" w:pos="851"/>
        </w:tabs>
        <w:spacing w:before="0"/>
        <w:ind w:left="425" w:hanging="425"/>
        <w:rPr>
          <w:szCs w:val="24"/>
        </w:rPr>
      </w:pPr>
      <w:r w:rsidRPr="005A6D8E">
        <w:rPr>
          <w:szCs w:val="24"/>
        </w:rPr>
        <w:t xml:space="preserve">h) </w:t>
      </w:r>
      <w:r>
        <w:rPr>
          <w:szCs w:val="24"/>
        </w:rPr>
        <w:tab/>
      </w:r>
      <w:r w:rsidRPr="005A6D8E">
        <w:rPr>
          <w:szCs w:val="24"/>
        </w:rPr>
        <w:t>nevede agendu každé smlouvy uzavírané s klientem podle § 11 odst. 8,</w:t>
      </w:r>
    </w:p>
    <w:p w14:paraId="3FCDE985" w14:textId="77777777" w:rsidR="00A46E9E" w:rsidRPr="005A6D8E" w:rsidRDefault="00A46E9E" w:rsidP="00A46E9E">
      <w:pPr>
        <w:tabs>
          <w:tab w:val="left" w:pos="425"/>
          <w:tab w:val="left" w:pos="851"/>
        </w:tabs>
        <w:spacing w:before="0"/>
        <w:ind w:left="425" w:hanging="425"/>
        <w:rPr>
          <w:szCs w:val="24"/>
        </w:rPr>
      </w:pPr>
      <w:r w:rsidRPr="005A6D8E">
        <w:rPr>
          <w:szCs w:val="24"/>
        </w:rPr>
        <w:t xml:space="preserve">i) </w:t>
      </w:r>
      <w:r>
        <w:rPr>
          <w:szCs w:val="24"/>
        </w:rPr>
        <w:tab/>
      </w:r>
      <w:r w:rsidRPr="005A6D8E">
        <w:rPr>
          <w:szCs w:val="24"/>
        </w:rPr>
        <w:t>v rozporu s § 11 odst. 9 nezavede účinný postup pro vyřizování stížností klientů nebo o tomto postupu neinformuje,</w:t>
      </w:r>
    </w:p>
    <w:p w14:paraId="598469B5" w14:textId="77777777" w:rsidR="00A46E9E" w:rsidRPr="005A6D8E" w:rsidRDefault="00A46E9E" w:rsidP="00A46E9E">
      <w:pPr>
        <w:tabs>
          <w:tab w:val="left" w:pos="425"/>
          <w:tab w:val="left" w:pos="851"/>
        </w:tabs>
        <w:spacing w:before="0"/>
        <w:ind w:left="425" w:hanging="425"/>
        <w:rPr>
          <w:szCs w:val="24"/>
        </w:rPr>
      </w:pPr>
      <w:r w:rsidRPr="005A6D8E">
        <w:rPr>
          <w:szCs w:val="24"/>
        </w:rPr>
        <w:t xml:space="preserve">j) </w:t>
      </w:r>
      <w:r>
        <w:rPr>
          <w:szCs w:val="24"/>
        </w:rPr>
        <w:tab/>
      </w:r>
      <w:r w:rsidRPr="005A6D8E">
        <w:rPr>
          <w:szCs w:val="24"/>
        </w:rPr>
        <w:t>nezavede vnitřní postupy a zásady podle § 11a odst. 5,</w:t>
      </w:r>
    </w:p>
    <w:p w14:paraId="47D82F27" w14:textId="77777777" w:rsidR="00A46E9E" w:rsidRPr="005A6D8E" w:rsidRDefault="00A46E9E" w:rsidP="00A46E9E">
      <w:pPr>
        <w:tabs>
          <w:tab w:val="left" w:pos="425"/>
          <w:tab w:val="left" w:pos="851"/>
        </w:tabs>
        <w:spacing w:before="0"/>
        <w:ind w:left="425" w:hanging="425"/>
        <w:rPr>
          <w:szCs w:val="24"/>
        </w:rPr>
      </w:pPr>
      <w:r w:rsidRPr="005A6D8E">
        <w:rPr>
          <w:szCs w:val="24"/>
        </w:rPr>
        <w:t xml:space="preserve">k) </w:t>
      </w:r>
      <w:r>
        <w:rPr>
          <w:szCs w:val="24"/>
        </w:rPr>
        <w:tab/>
      </w:r>
      <w:r w:rsidRPr="005A6D8E">
        <w:rPr>
          <w:szCs w:val="24"/>
        </w:rPr>
        <w:t>v rozporu s § 12 odst. 1 provede obchody způsobem, který poškozuje zájmy jejích vkladatelů z hlediska návratnosti jejich vkladů, nebo ohrožuje bezpečnost a stabilitu zahraniční banky,</w:t>
      </w:r>
    </w:p>
    <w:p w14:paraId="4B95C24F" w14:textId="77777777" w:rsidR="00A46E9E" w:rsidRPr="005A6D8E" w:rsidRDefault="00A46E9E" w:rsidP="00A46E9E">
      <w:pPr>
        <w:tabs>
          <w:tab w:val="left" w:pos="425"/>
          <w:tab w:val="left" w:pos="851"/>
        </w:tabs>
        <w:spacing w:before="0"/>
        <w:ind w:left="425" w:hanging="425"/>
        <w:rPr>
          <w:szCs w:val="24"/>
        </w:rPr>
      </w:pPr>
      <w:r w:rsidRPr="005A6D8E">
        <w:rPr>
          <w:szCs w:val="24"/>
        </w:rPr>
        <w:t xml:space="preserve">l) </w:t>
      </w:r>
      <w:r>
        <w:rPr>
          <w:szCs w:val="24"/>
        </w:rPr>
        <w:tab/>
      </w:r>
      <w:r w:rsidRPr="005A6D8E">
        <w:rPr>
          <w:szCs w:val="24"/>
        </w:rPr>
        <w:t>v rozporu s § 12 odst. 2 uzavře smlouvu za podmínek, které jsou pro ni nápadně nevýhodné, nebo</w:t>
      </w:r>
    </w:p>
    <w:p w14:paraId="4B4C340E" w14:textId="77777777" w:rsidR="00A46E9E" w:rsidRPr="005A6D8E" w:rsidRDefault="00A46E9E" w:rsidP="00A46E9E">
      <w:pPr>
        <w:tabs>
          <w:tab w:val="left" w:pos="425"/>
          <w:tab w:val="left" w:pos="851"/>
        </w:tabs>
        <w:spacing w:before="0"/>
        <w:ind w:left="425" w:hanging="425"/>
        <w:rPr>
          <w:szCs w:val="24"/>
        </w:rPr>
      </w:pPr>
      <w:r w:rsidRPr="005A6D8E">
        <w:rPr>
          <w:szCs w:val="24"/>
        </w:rPr>
        <w:t xml:space="preserve">m) </w:t>
      </w:r>
      <w:r>
        <w:rPr>
          <w:szCs w:val="24"/>
        </w:rPr>
        <w:tab/>
      </w:r>
      <w:r w:rsidRPr="005A6D8E">
        <w:rPr>
          <w:szCs w:val="24"/>
        </w:rPr>
        <w:t>nevykonává činnost s odbornou péčí podle § 12 odst. 3 nebo § 19a odst. 1.</w:t>
      </w:r>
    </w:p>
    <w:p w14:paraId="4575D161" w14:textId="77777777" w:rsidR="00A46E9E" w:rsidRPr="00484B75" w:rsidRDefault="00A46E9E" w:rsidP="00A46E9E">
      <w:pPr>
        <w:pStyle w:val="PZTextodstavce"/>
      </w:pPr>
      <w:r w:rsidRPr="00484B75">
        <w:t>(2) Zahraniční banka z jiného než členského státu, která vykonává na území České republiky bankovní činnosti prostřednictvím své pobočk</w:t>
      </w:r>
      <w:r>
        <w:t>y, se dopustí přestupku tím, že</w:t>
      </w:r>
    </w:p>
    <w:p w14:paraId="53EE5D57" w14:textId="77777777" w:rsidR="00A46E9E" w:rsidRPr="005A6D8E" w:rsidRDefault="00A46E9E" w:rsidP="00A46E9E">
      <w:pPr>
        <w:tabs>
          <w:tab w:val="left" w:pos="425"/>
          <w:tab w:val="left" w:pos="851"/>
        </w:tabs>
        <w:spacing w:before="0"/>
        <w:ind w:left="425" w:hanging="425"/>
        <w:rPr>
          <w:szCs w:val="24"/>
        </w:rPr>
      </w:pPr>
      <w:r w:rsidRPr="005A6D8E">
        <w:rPr>
          <w:szCs w:val="24"/>
        </w:rPr>
        <w:t xml:space="preserve">a) </w:t>
      </w:r>
      <w:r>
        <w:rPr>
          <w:szCs w:val="24"/>
        </w:rPr>
        <w:tab/>
      </w:r>
      <w:r w:rsidRPr="005A6D8E">
        <w:rPr>
          <w:szCs w:val="24"/>
        </w:rPr>
        <w:t>neudržuje průběžně kapitálový poměr podle § 12a odst. 1,</w:t>
      </w:r>
    </w:p>
    <w:p w14:paraId="7A7FAA0B" w14:textId="77777777" w:rsidR="00A46E9E" w:rsidRPr="005A6D8E" w:rsidRDefault="00A46E9E" w:rsidP="00A46E9E">
      <w:pPr>
        <w:tabs>
          <w:tab w:val="left" w:pos="425"/>
          <w:tab w:val="left" w:pos="851"/>
        </w:tabs>
        <w:spacing w:before="0"/>
        <w:ind w:left="425" w:hanging="425"/>
        <w:rPr>
          <w:szCs w:val="24"/>
        </w:rPr>
      </w:pPr>
      <w:r w:rsidRPr="005A6D8E">
        <w:rPr>
          <w:szCs w:val="24"/>
        </w:rPr>
        <w:t xml:space="preserve">b) </w:t>
      </w:r>
      <w:r>
        <w:rPr>
          <w:szCs w:val="24"/>
        </w:rPr>
        <w:tab/>
      </w:r>
      <w:r w:rsidRPr="005A6D8E">
        <w:rPr>
          <w:szCs w:val="24"/>
        </w:rPr>
        <w:t>neudržuje průběžně pákový poměr podle § 12a odst. 4,</w:t>
      </w:r>
    </w:p>
    <w:p w14:paraId="0EAB673A" w14:textId="77777777" w:rsidR="00A46E9E" w:rsidRPr="005A6D8E" w:rsidRDefault="00A46E9E" w:rsidP="00A46E9E">
      <w:pPr>
        <w:tabs>
          <w:tab w:val="left" w:pos="425"/>
          <w:tab w:val="left" w:pos="851"/>
        </w:tabs>
        <w:spacing w:before="0"/>
        <w:ind w:left="425" w:hanging="425"/>
        <w:rPr>
          <w:szCs w:val="24"/>
        </w:rPr>
      </w:pPr>
      <w:r w:rsidRPr="005A6D8E">
        <w:rPr>
          <w:szCs w:val="24"/>
        </w:rPr>
        <w:t xml:space="preserve">c) </w:t>
      </w:r>
      <w:r>
        <w:rPr>
          <w:szCs w:val="24"/>
        </w:rPr>
        <w:tab/>
      </w:r>
      <w:r w:rsidRPr="005A6D8E">
        <w:rPr>
          <w:szCs w:val="24"/>
        </w:rPr>
        <w:t>v rozporu s § 24 odst. 2 nesdělí České národní bance údaje nebo poskytne neúplné anebo nesprávné údaje,</w:t>
      </w:r>
    </w:p>
    <w:p w14:paraId="60A3E007" w14:textId="77777777" w:rsidR="00A46E9E" w:rsidRPr="005A6D8E" w:rsidRDefault="00A46E9E" w:rsidP="00A46E9E">
      <w:pPr>
        <w:tabs>
          <w:tab w:val="left" w:pos="425"/>
          <w:tab w:val="left" w:pos="851"/>
        </w:tabs>
        <w:spacing w:before="0"/>
        <w:ind w:left="425" w:hanging="425"/>
        <w:rPr>
          <w:szCs w:val="24"/>
        </w:rPr>
      </w:pPr>
      <w:r w:rsidRPr="005A6D8E">
        <w:rPr>
          <w:szCs w:val="24"/>
        </w:rPr>
        <w:t xml:space="preserve">d) </w:t>
      </w:r>
      <w:r>
        <w:rPr>
          <w:szCs w:val="24"/>
        </w:rPr>
        <w:tab/>
      </w:r>
      <w:r w:rsidRPr="005A6D8E">
        <w:rPr>
          <w:szCs w:val="24"/>
        </w:rPr>
        <w:t>použije nebo změní interní přístup pro výpočet kapitálového požadavku bez předchozího souhlasu České národní banky podle § 12a odst. 3,</w:t>
      </w:r>
    </w:p>
    <w:p w14:paraId="09D66315" w14:textId="77777777" w:rsidR="00A46E9E" w:rsidRPr="005A6D8E" w:rsidRDefault="00A46E9E" w:rsidP="00A46E9E">
      <w:pPr>
        <w:tabs>
          <w:tab w:val="left" w:pos="425"/>
          <w:tab w:val="left" w:pos="851"/>
        </w:tabs>
        <w:spacing w:before="0"/>
        <w:ind w:left="425" w:hanging="425"/>
        <w:rPr>
          <w:szCs w:val="24"/>
        </w:rPr>
      </w:pPr>
      <w:r w:rsidRPr="005A6D8E">
        <w:rPr>
          <w:szCs w:val="24"/>
        </w:rPr>
        <w:t xml:space="preserve">e) </w:t>
      </w:r>
      <w:r>
        <w:rPr>
          <w:szCs w:val="24"/>
        </w:rPr>
        <w:tab/>
      </w:r>
      <w:r w:rsidRPr="005A6D8E">
        <w:rPr>
          <w:szCs w:val="24"/>
        </w:rPr>
        <w:t>poruší některé z pravidel podle prováděcího právního předpisu vydaného k provedení § 13 odst. 1 a § 14 odst. 1, nebo</w:t>
      </w:r>
    </w:p>
    <w:p w14:paraId="00A3DDBF" w14:textId="77777777" w:rsidR="00A46E9E" w:rsidRPr="005A6D8E" w:rsidRDefault="00A46E9E" w:rsidP="00A46E9E">
      <w:pPr>
        <w:tabs>
          <w:tab w:val="left" w:pos="425"/>
          <w:tab w:val="left" w:pos="851"/>
        </w:tabs>
        <w:spacing w:before="0"/>
        <w:ind w:left="425" w:hanging="425"/>
        <w:rPr>
          <w:szCs w:val="24"/>
        </w:rPr>
      </w:pPr>
      <w:r w:rsidRPr="005A6D8E">
        <w:rPr>
          <w:szCs w:val="24"/>
        </w:rPr>
        <w:t xml:space="preserve">f) </w:t>
      </w:r>
      <w:r>
        <w:rPr>
          <w:szCs w:val="24"/>
        </w:rPr>
        <w:tab/>
      </w:r>
      <w:r w:rsidRPr="005A6D8E">
        <w:rPr>
          <w:szCs w:val="24"/>
        </w:rPr>
        <w:t>nedodržuje podmínky stanovené v § 13.</w:t>
      </w:r>
    </w:p>
    <w:p w14:paraId="297E95F2" w14:textId="77777777" w:rsidR="00A46E9E" w:rsidRPr="00484B75" w:rsidRDefault="00A46E9E" w:rsidP="00A46E9E">
      <w:pPr>
        <w:pStyle w:val="PZTextodstavce"/>
      </w:pPr>
      <w:r w:rsidRPr="00484B75">
        <w:t>(3) Zahraniční banka z jiného než členského státu, která vykonává na území České republiky bankovní činnosti prostřednictvím své pobočk</w:t>
      </w:r>
      <w:r>
        <w:t>y, se dopustí přestupku tím, že</w:t>
      </w:r>
    </w:p>
    <w:p w14:paraId="784B292C" w14:textId="77777777" w:rsidR="00A46E9E" w:rsidRPr="005A6D8E" w:rsidRDefault="00A46E9E" w:rsidP="00A46E9E">
      <w:pPr>
        <w:tabs>
          <w:tab w:val="left" w:pos="425"/>
          <w:tab w:val="left" w:pos="851"/>
        </w:tabs>
        <w:spacing w:before="0"/>
        <w:ind w:left="426" w:hanging="426"/>
        <w:rPr>
          <w:szCs w:val="24"/>
        </w:rPr>
      </w:pPr>
      <w:r w:rsidRPr="005A6D8E">
        <w:rPr>
          <w:szCs w:val="24"/>
        </w:rPr>
        <w:t xml:space="preserve">a) </w:t>
      </w:r>
      <w:r>
        <w:rPr>
          <w:szCs w:val="24"/>
        </w:rPr>
        <w:tab/>
      </w:r>
      <w:r w:rsidRPr="005A6D8E">
        <w:rPr>
          <w:szCs w:val="24"/>
        </w:rPr>
        <w:t>nesplní některou z informačních povinností podle § 16b odst. 1,</w:t>
      </w:r>
    </w:p>
    <w:p w14:paraId="76777488" w14:textId="77777777" w:rsidR="00A46E9E" w:rsidRPr="005A6D8E" w:rsidRDefault="00A46E9E" w:rsidP="00A46E9E">
      <w:pPr>
        <w:tabs>
          <w:tab w:val="left" w:pos="425"/>
          <w:tab w:val="left" w:pos="851"/>
        </w:tabs>
        <w:spacing w:before="0"/>
        <w:ind w:left="426" w:hanging="426"/>
        <w:rPr>
          <w:szCs w:val="24"/>
        </w:rPr>
      </w:pPr>
      <w:r w:rsidRPr="005A6D8E">
        <w:rPr>
          <w:szCs w:val="24"/>
        </w:rPr>
        <w:t xml:space="preserve">b) </w:t>
      </w:r>
      <w:r>
        <w:rPr>
          <w:szCs w:val="24"/>
        </w:rPr>
        <w:tab/>
      </w:r>
      <w:r w:rsidRPr="005A6D8E">
        <w:rPr>
          <w:szCs w:val="24"/>
        </w:rPr>
        <w:t>provede s osobami uvedenými v § 19 odst. 1 obchody, které by vzhledem ke svému charakteru, účelu nebo riziku, nebyly provedeny s ostatními klienty,</w:t>
      </w:r>
    </w:p>
    <w:p w14:paraId="5FBE6B15" w14:textId="77777777" w:rsidR="00A46E9E" w:rsidRPr="00B04999" w:rsidRDefault="00A46E9E" w:rsidP="00A46E9E">
      <w:pPr>
        <w:tabs>
          <w:tab w:val="left" w:pos="425"/>
          <w:tab w:val="left" w:pos="851"/>
        </w:tabs>
        <w:spacing w:before="0"/>
        <w:ind w:left="426" w:hanging="426"/>
        <w:rPr>
          <w:b/>
          <w:szCs w:val="24"/>
        </w:rPr>
      </w:pPr>
      <w:r w:rsidRPr="005A6D8E">
        <w:rPr>
          <w:szCs w:val="24"/>
        </w:rPr>
        <w:t xml:space="preserve">c) </w:t>
      </w:r>
      <w:r>
        <w:rPr>
          <w:szCs w:val="24"/>
        </w:rPr>
        <w:tab/>
      </w:r>
      <w:r w:rsidRPr="005A6D8E">
        <w:rPr>
          <w:szCs w:val="24"/>
        </w:rPr>
        <w:t>provede obchody v rozporu s § 19a nebo 19b</w:t>
      </w:r>
      <w:r w:rsidRPr="003666B8">
        <w:rPr>
          <w:strike/>
          <w:szCs w:val="24"/>
        </w:rPr>
        <w:t>.</w:t>
      </w:r>
      <w:r w:rsidRPr="003666B8">
        <w:rPr>
          <w:b/>
          <w:szCs w:val="24"/>
        </w:rPr>
        <w:t>,</w:t>
      </w:r>
    </w:p>
    <w:p w14:paraId="271EF134" w14:textId="77777777" w:rsidR="00A46E9E" w:rsidRPr="00360214" w:rsidRDefault="00A46E9E" w:rsidP="00A46E9E">
      <w:pPr>
        <w:tabs>
          <w:tab w:val="left" w:pos="425"/>
          <w:tab w:val="left" w:pos="851"/>
        </w:tabs>
        <w:spacing w:before="0"/>
        <w:ind w:left="426" w:hanging="426"/>
        <w:rPr>
          <w:b/>
          <w:szCs w:val="24"/>
        </w:rPr>
      </w:pPr>
      <w:r>
        <w:rPr>
          <w:b/>
          <w:szCs w:val="24"/>
        </w:rPr>
        <w:t>d</w:t>
      </w:r>
      <w:r w:rsidRPr="00E46255">
        <w:rPr>
          <w:b/>
          <w:szCs w:val="24"/>
        </w:rPr>
        <w:t>)</w:t>
      </w:r>
      <w:r w:rsidRPr="00E46255">
        <w:rPr>
          <w:b/>
          <w:szCs w:val="24"/>
        </w:rPr>
        <w:tab/>
      </w:r>
      <w:r>
        <w:rPr>
          <w:b/>
          <w:szCs w:val="24"/>
        </w:rPr>
        <w:t>ne</w:t>
      </w:r>
      <w:r w:rsidRPr="00945614">
        <w:rPr>
          <w:b/>
          <w:szCs w:val="24"/>
        </w:rPr>
        <w:t>použije</w:t>
      </w:r>
      <w:r w:rsidRPr="00E46255">
        <w:rPr>
          <w:b/>
          <w:szCs w:val="24"/>
        </w:rPr>
        <w:t xml:space="preserve"> pro účely plnění povinností vůči České národní bance </w:t>
      </w:r>
      <w:r>
        <w:rPr>
          <w:b/>
          <w:szCs w:val="24"/>
        </w:rPr>
        <w:t xml:space="preserve">vybrané </w:t>
      </w:r>
      <w:r w:rsidRPr="00E46255">
        <w:rPr>
          <w:b/>
          <w:szCs w:val="24"/>
        </w:rPr>
        <w:t>účetní postupy podle § 21 odst. 1,</w:t>
      </w:r>
    </w:p>
    <w:p w14:paraId="691812EF" w14:textId="77777777" w:rsidR="00A46E9E" w:rsidRPr="005A6D8E" w:rsidRDefault="00A46E9E" w:rsidP="00A46E9E">
      <w:pPr>
        <w:tabs>
          <w:tab w:val="left" w:pos="425"/>
          <w:tab w:val="left" w:pos="851"/>
        </w:tabs>
        <w:spacing w:before="0"/>
        <w:ind w:left="426" w:hanging="426"/>
        <w:rPr>
          <w:szCs w:val="24"/>
        </w:rPr>
      </w:pPr>
      <w:r w:rsidRPr="00360214">
        <w:rPr>
          <w:strike/>
          <w:szCs w:val="24"/>
        </w:rPr>
        <w:t>d</w:t>
      </w:r>
      <w:r w:rsidRPr="00360214">
        <w:rPr>
          <w:b/>
          <w:szCs w:val="24"/>
        </w:rPr>
        <w:t>e</w:t>
      </w:r>
      <w:r>
        <w:rPr>
          <w:b/>
          <w:szCs w:val="24"/>
        </w:rPr>
        <w:t>)</w:t>
      </w:r>
      <w:r w:rsidRPr="005A6D8E">
        <w:rPr>
          <w:szCs w:val="24"/>
        </w:rPr>
        <w:t xml:space="preserve"> </w:t>
      </w:r>
      <w:r>
        <w:rPr>
          <w:szCs w:val="24"/>
        </w:rPr>
        <w:tab/>
      </w:r>
      <w:proofErr w:type="gramStart"/>
      <w:r w:rsidRPr="00ED6756">
        <w:rPr>
          <w:strike/>
          <w:szCs w:val="24"/>
        </w:rPr>
        <w:t>poruší</w:t>
      </w:r>
      <w:proofErr w:type="gramEnd"/>
      <w:r w:rsidRPr="00ED6756">
        <w:rPr>
          <w:strike/>
          <w:szCs w:val="24"/>
        </w:rPr>
        <w:t xml:space="preserve"> povinnost</w:t>
      </w:r>
      <w:r w:rsidRPr="00CF3238">
        <w:rPr>
          <w:szCs w:val="24"/>
        </w:rPr>
        <w:t xml:space="preserve"> </w:t>
      </w:r>
      <w:r w:rsidRPr="000070B3">
        <w:rPr>
          <w:strike/>
          <w:szCs w:val="24"/>
        </w:rPr>
        <w:t>evidovat v rámci</w:t>
      </w:r>
      <w:r>
        <w:rPr>
          <w:color w:val="00B050"/>
          <w:szCs w:val="24"/>
        </w:rPr>
        <w:t xml:space="preserve"> </w:t>
      </w:r>
      <w:r w:rsidRPr="00697BD9">
        <w:rPr>
          <w:strike/>
          <w:szCs w:val="24"/>
        </w:rPr>
        <w:t xml:space="preserve">účetnictví </w:t>
      </w:r>
      <w:r w:rsidRPr="00360214">
        <w:rPr>
          <w:strike/>
          <w:szCs w:val="24"/>
        </w:rPr>
        <w:t>odděleně</w:t>
      </w:r>
      <w:r w:rsidRPr="00360214">
        <w:rPr>
          <w:szCs w:val="24"/>
        </w:rPr>
        <w:t xml:space="preserve"> </w:t>
      </w:r>
      <w:proofErr w:type="gramStart"/>
      <w:r>
        <w:rPr>
          <w:b/>
          <w:szCs w:val="24"/>
        </w:rPr>
        <w:t>nesleduje</w:t>
      </w:r>
      <w:proofErr w:type="gramEnd"/>
      <w:r>
        <w:rPr>
          <w:b/>
          <w:szCs w:val="24"/>
        </w:rPr>
        <w:t xml:space="preserve"> v účetním systému </w:t>
      </w:r>
      <w:r w:rsidRPr="00CF3238">
        <w:rPr>
          <w:szCs w:val="24"/>
        </w:rPr>
        <w:t xml:space="preserve">obchody na účet klienta </w:t>
      </w:r>
      <w:r w:rsidRPr="00665A5C">
        <w:rPr>
          <w:strike/>
          <w:szCs w:val="24"/>
        </w:rPr>
        <w:t>a obchody</w:t>
      </w:r>
      <w:r w:rsidRPr="00CF3238">
        <w:rPr>
          <w:szCs w:val="24"/>
        </w:rPr>
        <w:t xml:space="preserve"> </w:t>
      </w:r>
      <w:r>
        <w:rPr>
          <w:b/>
          <w:szCs w:val="24"/>
        </w:rPr>
        <w:t>odděleně od obchodů</w:t>
      </w:r>
      <w:r>
        <w:rPr>
          <w:szCs w:val="24"/>
        </w:rPr>
        <w:t xml:space="preserve"> </w:t>
      </w:r>
      <w:r w:rsidRPr="00CF3238">
        <w:rPr>
          <w:szCs w:val="24"/>
        </w:rPr>
        <w:t xml:space="preserve">na účet </w:t>
      </w:r>
      <w:r>
        <w:rPr>
          <w:szCs w:val="24"/>
        </w:rPr>
        <w:t xml:space="preserve">zahraniční </w:t>
      </w:r>
      <w:r w:rsidRPr="00CF3238">
        <w:rPr>
          <w:szCs w:val="24"/>
        </w:rPr>
        <w:t>banky</w:t>
      </w:r>
      <w:r>
        <w:rPr>
          <w:szCs w:val="24"/>
        </w:rPr>
        <w:t xml:space="preserve"> </w:t>
      </w:r>
      <w:r w:rsidRPr="00ED6756">
        <w:rPr>
          <w:b/>
          <w:szCs w:val="24"/>
        </w:rPr>
        <w:t>podle § 21</w:t>
      </w:r>
      <w:r>
        <w:rPr>
          <w:b/>
          <w:szCs w:val="24"/>
        </w:rPr>
        <w:t xml:space="preserve"> odst. 2</w:t>
      </w:r>
      <w:r w:rsidRPr="005A6D8E">
        <w:rPr>
          <w:szCs w:val="24"/>
        </w:rPr>
        <w:t>,</w:t>
      </w:r>
    </w:p>
    <w:p w14:paraId="5B9B39C2" w14:textId="77777777" w:rsidR="00A46E9E" w:rsidRPr="005A6D8E" w:rsidRDefault="00A46E9E" w:rsidP="00A46E9E">
      <w:pPr>
        <w:tabs>
          <w:tab w:val="left" w:pos="425"/>
          <w:tab w:val="left" w:pos="851"/>
        </w:tabs>
        <w:spacing w:before="0"/>
        <w:ind w:left="426" w:hanging="426"/>
        <w:rPr>
          <w:szCs w:val="24"/>
        </w:rPr>
      </w:pPr>
      <w:r w:rsidRPr="00360214">
        <w:rPr>
          <w:strike/>
          <w:szCs w:val="24"/>
        </w:rPr>
        <w:t>e</w:t>
      </w:r>
      <w:r>
        <w:rPr>
          <w:strike/>
          <w:szCs w:val="24"/>
        </w:rPr>
        <w:t>)</w:t>
      </w:r>
      <w:r w:rsidRPr="00360214">
        <w:rPr>
          <w:b/>
          <w:szCs w:val="24"/>
        </w:rPr>
        <w:t>f</w:t>
      </w:r>
      <w:r w:rsidRPr="005A6D8E">
        <w:rPr>
          <w:szCs w:val="24"/>
        </w:rPr>
        <w:t xml:space="preserve">) </w:t>
      </w:r>
      <w:r>
        <w:rPr>
          <w:szCs w:val="24"/>
        </w:rPr>
        <w:tab/>
      </w:r>
      <w:r w:rsidRPr="005A6D8E">
        <w:rPr>
          <w:szCs w:val="24"/>
        </w:rPr>
        <w:t xml:space="preserve">neuschová doklady o uskutečněných obchodech po dobu 10 let podle § 21 </w:t>
      </w:r>
      <w:r>
        <w:rPr>
          <w:b/>
          <w:szCs w:val="24"/>
        </w:rPr>
        <w:t>odst. 3</w:t>
      </w:r>
      <w:r w:rsidRPr="00ED6756">
        <w:rPr>
          <w:szCs w:val="24"/>
        </w:rPr>
        <w:t>,</w:t>
      </w:r>
    </w:p>
    <w:p w14:paraId="6D03A6A2" w14:textId="77777777" w:rsidR="00A46E9E" w:rsidRPr="00A52FF8" w:rsidRDefault="00A46E9E" w:rsidP="00A46E9E">
      <w:pPr>
        <w:tabs>
          <w:tab w:val="left" w:pos="425"/>
          <w:tab w:val="left" w:pos="851"/>
        </w:tabs>
        <w:spacing w:before="0"/>
        <w:ind w:left="426" w:hanging="426"/>
        <w:rPr>
          <w:strike/>
          <w:szCs w:val="24"/>
        </w:rPr>
      </w:pPr>
      <w:r w:rsidRPr="00A52FF8">
        <w:rPr>
          <w:strike/>
          <w:szCs w:val="24"/>
        </w:rPr>
        <w:t>f)</w:t>
      </w:r>
      <w:r w:rsidRPr="00360214">
        <w:rPr>
          <w:b/>
          <w:strike/>
          <w:szCs w:val="24"/>
        </w:rPr>
        <w:t>g)</w:t>
      </w:r>
      <w:r w:rsidRPr="00A52FF8">
        <w:rPr>
          <w:strike/>
          <w:szCs w:val="24"/>
        </w:rPr>
        <w:t xml:space="preserve"> </w:t>
      </w:r>
      <w:r w:rsidRPr="00A52FF8">
        <w:rPr>
          <w:strike/>
          <w:szCs w:val="24"/>
        </w:rPr>
        <w:tab/>
        <w:t>nezajistí, aby auditor provedl</w:t>
      </w:r>
    </w:p>
    <w:p w14:paraId="401C88EA" w14:textId="77777777" w:rsidR="00A46E9E" w:rsidRPr="00A52FF8" w:rsidRDefault="00A46E9E" w:rsidP="00A46E9E">
      <w:pPr>
        <w:pStyle w:val="PZTextbodu"/>
        <w:spacing w:before="0"/>
        <w:rPr>
          <w:strike/>
        </w:rPr>
      </w:pPr>
      <w:r>
        <w:rPr>
          <w:strike/>
        </w:rPr>
        <w:lastRenderedPageBreak/>
        <w:t>1.</w:t>
      </w:r>
      <w:r>
        <w:rPr>
          <w:strike/>
        </w:rPr>
        <w:tab/>
      </w:r>
      <w:r w:rsidRPr="00A52FF8">
        <w:rPr>
          <w:strike/>
        </w:rPr>
        <w:t>ověření účetní závěrky zahraniční banky,</w:t>
      </w:r>
    </w:p>
    <w:p w14:paraId="21BD60C9" w14:textId="77777777" w:rsidR="00A46E9E" w:rsidRPr="00A52FF8" w:rsidRDefault="00A46E9E" w:rsidP="00A46E9E">
      <w:pPr>
        <w:pStyle w:val="PZTextbodu"/>
        <w:spacing w:before="0"/>
        <w:rPr>
          <w:strike/>
        </w:rPr>
      </w:pPr>
      <w:r>
        <w:rPr>
          <w:strike/>
        </w:rPr>
        <w:t>2.</w:t>
      </w:r>
      <w:r>
        <w:rPr>
          <w:strike/>
        </w:rPr>
        <w:tab/>
      </w:r>
      <w:r w:rsidRPr="00A52FF8">
        <w:rPr>
          <w:strike/>
        </w:rPr>
        <w:t>ověření řídicího a kontrolního systému pobočky zahraniční banky,</w:t>
      </w:r>
    </w:p>
    <w:p w14:paraId="7936C872" w14:textId="77777777" w:rsidR="00A46E9E" w:rsidRPr="00A52FF8" w:rsidRDefault="00A46E9E" w:rsidP="00A46E9E">
      <w:pPr>
        <w:pStyle w:val="PZTextbodu"/>
        <w:spacing w:before="0"/>
        <w:rPr>
          <w:strike/>
        </w:rPr>
      </w:pPr>
      <w:r>
        <w:rPr>
          <w:strike/>
        </w:rPr>
        <w:t>3.</w:t>
      </w:r>
      <w:r>
        <w:rPr>
          <w:strike/>
        </w:rPr>
        <w:tab/>
      </w:r>
      <w:r w:rsidRPr="00A52FF8">
        <w:rPr>
          <w:strike/>
        </w:rPr>
        <w:t>vypracování zpráv o ověření účetní závěrky a řídicího a kontrolního systému,</w:t>
      </w:r>
    </w:p>
    <w:p w14:paraId="45B4BDEB" w14:textId="77777777" w:rsidR="00A46E9E" w:rsidRPr="00885CEB" w:rsidRDefault="00A46E9E" w:rsidP="00A46E9E">
      <w:pPr>
        <w:tabs>
          <w:tab w:val="left" w:pos="425"/>
          <w:tab w:val="left" w:pos="851"/>
        </w:tabs>
        <w:spacing w:before="0"/>
        <w:ind w:left="426" w:hanging="426"/>
        <w:rPr>
          <w:b/>
          <w:szCs w:val="24"/>
        </w:rPr>
      </w:pPr>
      <w:r>
        <w:rPr>
          <w:b/>
          <w:szCs w:val="24"/>
        </w:rPr>
        <w:t>g</w:t>
      </w:r>
      <w:r w:rsidRPr="00885CEB">
        <w:rPr>
          <w:b/>
          <w:szCs w:val="24"/>
        </w:rPr>
        <w:t>)</w:t>
      </w:r>
      <w:r w:rsidRPr="00885CEB">
        <w:rPr>
          <w:b/>
          <w:szCs w:val="24"/>
        </w:rPr>
        <w:tab/>
        <w:t>nezajistí ověření svého řídicího a kontrolního systému nebo jeho části ověřovatelem podle § 22a odst. 1 a 3,</w:t>
      </w:r>
    </w:p>
    <w:p w14:paraId="41E6A7A1" w14:textId="77777777" w:rsidR="00A46E9E" w:rsidRPr="00885CEB" w:rsidRDefault="00A46E9E" w:rsidP="00A46E9E">
      <w:pPr>
        <w:tabs>
          <w:tab w:val="left" w:pos="425"/>
          <w:tab w:val="left" w:pos="851"/>
        </w:tabs>
        <w:spacing w:before="0"/>
        <w:ind w:left="426" w:hanging="426"/>
        <w:rPr>
          <w:b/>
          <w:szCs w:val="24"/>
        </w:rPr>
      </w:pPr>
      <w:r>
        <w:rPr>
          <w:b/>
          <w:szCs w:val="24"/>
        </w:rPr>
        <w:t>h</w:t>
      </w:r>
      <w:r w:rsidRPr="00885CEB">
        <w:rPr>
          <w:b/>
          <w:szCs w:val="24"/>
        </w:rPr>
        <w:t xml:space="preserve">) </w:t>
      </w:r>
      <w:r w:rsidRPr="00885CEB">
        <w:rPr>
          <w:b/>
          <w:szCs w:val="24"/>
        </w:rPr>
        <w:tab/>
        <w:t>neposkytne ověřovateli součinnost podle § 22a odst. 4,</w:t>
      </w:r>
    </w:p>
    <w:p w14:paraId="48B99B5D" w14:textId="77777777" w:rsidR="00A46E9E" w:rsidRDefault="00A46E9E" w:rsidP="00A46E9E">
      <w:pPr>
        <w:tabs>
          <w:tab w:val="left" w:pos="425"/>
          <w:tab w:val="left" w:pos="851"/>
        </w:tabs>
        <w:spacing w:before="0"/>
        <w:ind w:left="426" w:hanging="426"/>
        <w:rPr>
          <w:b/>
          <w:szCs w:val="24"/>
        </w:rPr>
      </w:pPr>
      <w:r>
        <w:rPr>
          <w:b/>
          <w:szCs w:val="24"/>
        </w:rPr>
        <w:t>i</w:t>
      </w:r>
      <w:r w:rsidRPr="00885CEB">
        <w:rPr>
          <w:b/>
          <w:szCs w:val="24"/>
        </w:rPr>
        <w:t xml:space="preserve">) </w:t>
      </w:r>
      <w:r w:rsidRPr="00885CEB">
        <w:rPr>
          <w:b/>
          <w:szCs w:val="24"/>
        </w:rPr>
        <w:tab/>
        <w:t xml:space="preserve">nepředloží České národní bance zprávu o ověření </w:t>
      </w:r>
      <w:r>
        <w:rPr>
          <w:b/>
          <w:szCs w:val="24"/>
        </w:rPr>
        <w:t xml:space="preserve">řídicího a kontrolního systému </w:t>
      </w:r>
      <w:r w:rsidRPr="00885CEB">
        <w:rPr>
          <w:b/>
          <w:szCs w:val="24"/>
        </w:rPr>
        <w:t xml:space="preserve">podle § 22a odst. </w:t>
      </w:r>
      <w:r>
        <w:rPr>
          <w:b/>
          <w:szCs w:val="24"/>
        </w:rPr>
        <w:t>3</w:t>
      </w:r>
      <w:r w:rsidRPr="00885CEB">
        <w:rPr>
          <w:b/>
          <w:szCs w:val="24"/>
        </w:rPr>
        <w:t>,</w:t>
      </w:r>
    </w:p>
    <w:p w14:paraId="138A0A64" w14:textId="77777777" w:rsidR="00A46E9E" w:rsidRDefault="00A46E9E" w:rsidP="00A46E9E">
      <w:pPr>
        <w:tabs>
          <w:tab w:val="left" w:pos="425"/>
          <w:tab w:val="left" w:pos="851"/>
        </w:tabs>
        <w:spacing w:before="0"/>
        <w:ind w:left="426" w:hanging="426"/>
        <w:rPr>
          <w:b/>
          <w:szCs w:val="24"/>
        </w:rPr>
      </w:pPr>
      <w:r>
        <w:rPr>
          <w:b/>
          <w:szCs w:val="24"/>
        </w:rPr>
        <w:t>j</w:t>
      </w:r>
      <w:r w:rsidRPr="00885CEB">
        <w:rPr>
          <w:b/>
          <w:szCs w:val="24"/>
        </w:rPr>
        <w:t xml:space="preserve">) </w:t>
      </w:r>
      <w:r w:rsidRPr="00885CEB">
        <w:rPr>
          <w:b/>
          <w:szCs w:val="24"/>
        </w:rPr>
        <w:tab/>
        <w:t>neoznámí České národní bance vybraného ověřovatele podle § 22b odst. 1 nebo</w:t>
      </w:r>
      <w:r>
        <w:rPr>
          <w:b/>
          <w:szCs w:val="24"/>
        </w:rPr>
        <w:t xml:space="preserve"> nového</w:t>
      </w:r>
      <w:r w:rsidRPr="00885CEB">
        <w:rPr>
          <w:b/>
          <w:szCs w:val="24"/>
        </w:rPr>
        <w:t xml:space="preserve"> ověřovatele podle § 22b odst. 6 v případě, že byl původně vybraný ověřovatel</w:t>
      </w:r>
      <w:r>
        <w:rPr>
          <w:b/>
          <w:szCs w:val="24"/>
        </w:rPr>
        <w:t xml:space="preserve"> Českou národní bankou odmítnut,</w:t>
      </w:r>
    </w:p>
    <w:p w14:paraId="31BD5C5F" w14:textId="77777777" w:rsidR="00A46E9E" w:rsidRPr="00D95948" w:rsidRDefault="00A46E9E" w:rsidP="00A46E9E">
      <w:pPr>
        <w:tabs>
          <w:tab w:val="left" w:pos="425"/>
          <w:tab w:val="left" w:pos="851"/>
        </w:tabs>
        <w:spacing w:before="0"/>
        <w:ind w:left="426" w:hanging="426"/>
        <w:rPr>
          <w:strike/>
          <w:szCs w:val="24"/>
        </w:rPr>
      </w:pPr>
      <w:r w:rsidRPr="00D95948">
        <w:rPr>
          <w:strike/>
          <w:szCs w:val="24"/>
        </w:rPr>
        <w:t>g</w:t>
      </w:r>
      <w:r>
        <w:rPr>
          <w:strike/>
          <w:szCs w:val="24"/>
        </w:rPr>
        <w:t>)</w:t>
      </w:r>
      <w:r w:rsidRPr="00360214">
        <w:rPr>
          <w:b/>
          <w:strike/>
          <w:szCs w:val="24"/>
        </w:rPr>
        <w:t>h)</w:t>
      </w:r>
      <w:r>
        <w:rPr>
          <w:b/>
          <w:strike/>
          <w:szCs w:val="24"/>
        </w:rPr>
        <w:t>k)</w:t>
      </w:r>
      <w:r w:rsidRPr="00D95948">
        <w:rPr>
          <w:strike/>
          <w:szCs w:val="24"/>
        </w:rPr>
        <w:t xml:space="preserve"> neoznámí vybraného auditora České národní bance podle § 22 odst. 4,</w:t>
      </w:r>
    </w:p>
    <w:p w14:paraId="488D6B46" w14:textId="77777777" w:rsidR="00A46E9E" w:rsidRDefault="00A46E9E" w:rsidP="00A46E9E">
      <w:pPr>
        <w:tabs>
          <w:tab w:val="left" w:pos="425"/>
          <w:tab w:val="left" w:pos="851"/>
        </w:tabs>
        <w:spacing w:before="0"/>
        <w:ind w:left="426" w:hanging="426"/>
        <w:rPr>
          <w:strike/>
          <w:szCs w:val="24"/>
        </w:rPr>
      </w:pPr>
      <w:r w:rsidRPr="00A52FF8">
        <w:rPr>
          <w:strike/>
          <w:szCs w:val="24"/>
        </w:rPr>
        <w:t>h)</w:t>
      </w:r>
      <w:r>
        <w:rPr>
          <w:b/>
          <w:strike/>
          <w:szCs w:val="24"/>
        </w:rPr>
        <w:t>i</w:t>
      </w:r>
      <w:r w:rsidRPr="00F37422">
        <w:rPr>
          <w:b/>
          <w:strike/>
          <w:szCs w:val="24"/>
        </w:rPr>
        <w:t>)</w:t>
      </w:r>
      <w:r>
        <w:rPr>
          <w:b/>
          <w:strike/>
          <w:szCs w:val="24"/>
        </w:rPr>
        <w:t>l)</w:t>
      </w:r>
      <w:r>
        <w:rPr>
          <w:strike/>
          <w:szCs w:val="24"/>
        </w:rPr>
        <w:t xml:space="preserve"> </w:t>
      </w:r>
      <w:r w:rsidRPr="00A52FF8">
        <w:rPr>
          <w:strike/>
          <w:szCs w:val="24"/>
        </w:rPr>
        <w:t>nezajistí, aby ověření skutečnosti uvedené v § 22 odst. 1 provedl auditor, který není osobou uvedenou v § 19 odst. 1,</w:t>
      </w:r>
    </w:p>
    <w:p w14:paraId="74593032" w14:textId="77777777" w:rsidR="00A46E9E" w:rsidRPr="008A2AE6" w:rsidRDefault="00A46E9E" w:rsidP="00A46E9E">
      <w:pPr>
        <w:tabs>
          <w:tab w:val="left" w:pos="425"/>
          <w:tab w:val="left" w:pos="851"/>
        </w:tabs>
        <w:spacing w:before="0"/>
        <w:ind w:left="426" w:hanging="426"/>
        <w:rPr>
          <w:b/>
          <w:szCs w:val="24"/>
        </w:rPr>
      </w:pPr>
      <w:r>
        <w:rPr>
          <w:b/>
          <w:szCs w:val="24"/>
        </w:rPr>
        <w:t>k</w:t>
      </w:r>
      <w:r w:rsidRPr="00871B57">
        <w:rPr>
          <w:b/>
          <w:szCs w:val="24"/>
        </w:rPr>
        <w:t>)</w:t>
      </w:r>
      <w:r w:rsidRPr="00871B57">
        <w:rPr>
          <w:b/>
          <w:szCs w:val="24"/>
        </w:rPr>
        <w:tab/>
        <w:t xml:space="preserve">neuveřejní bez zbytečného odkladu </w:t>
      </w:r>
      <w:r w:rsidRPr="00D55C21">
        <w:rPr>
          <w:b/>
          <w:szCs w:val="24"/>
        </w:rPr>
        <w:t xml:space="preserve">řádnou účetní závěrku, zprávu vedení </w:t>
      </w:r>
      <w:r>
        <w:rPr>
          <w:b/>
          <w:szCs w:val="24"/>
        </w:rPr>
        <w:t>nebo</w:t>
      </w:r>
      <w:r w:rsidRPr="00D55C21">
        <w:rPr>
          <w:b/>
          <w:szCs w:val="24"/>
        </w:rPr>
        <w:t xml:space="preserve"> zprávy o jejich ověření na svých internetových</w:t>
      </w:r>
      <w:r w:rsidRPr="00871B57">
        <w:rPr>
          <w:b/>
          <w:szCs w:val="24"/>
        </w:rPr>
        <w:t xml:space="preserve"> stránkách podle § 23a odst. 1,</w:t>
      </w:r>
      <w:r>
        <w:rPr>
          <w:b/>
          <w:szCs w:val="24"/>
        </w:rPr>
        <w:t xml:space="preserve"> nebo neuveřejní informaci o neschválení účetní závěrky v rozporu s § 23a odst. 3, </w:t>
      </w:r>
    </w:p>
    <w:p w14:paraId="1C9AF137" w14:textId="77777777" w:rsidR="00A46E9E" w:rsidRPr="006E4D69" w:rsidRDefault="00A46E9E" w:rsidP="00A46E9E">
      <w:pPr>
        <w:tabs>
          <w:tab w:val="left" w:pos="425"/>
          <w:tab w:val="left" w:pos="851"/>
        </w:tabs>
        <w:spacing w:before="0"/>
        <w:ind w:left="426" w:hanging="426"/>
        <w:rPr>
          <w:b/>
          <w:szCs w:val="24"/>
        </w:rPr>
      </w:pPr>
      <w:r w:rsidRPr="006E4D69">
        <w:rPr>
          <w:b/>
          <w:szCs w:val="24"/>
        </w:rPr>
        <w:t>l)</w:t>
      </w:r>
      <w:r w:rsidRPr="006E4D69">
        <w:rPr>
          <w:b/>
          <w:szCs w:val="24"/>
        </w:rPr>
        <w:tab/>
        <w:t xml:space="preserve">neuveřejní bez zbytečného odkladu překlad řádné individuální účetní závěrky </w:t>
      </w:r>
      <w:r>
        <w:rPr>
          <w:b/>
          <w:szCs w:val="24"/>
        </w:rPr>
        <w:t>nebo</w:t>
      </w:r>
      <w:r w:rsidRPr="006E4D69">
        <w:rPr>
          <w:b/>
          <w:szCs w:val="24"/>
        </w:rPr>
        <w:t xml:space="preserve"> zprávy o jejím ověření ve stanoveném jazyce podle § 23a odst. 2,</w:t>
      </w:r>
    </w:p>
    <w:p w14:paraId="7F2498FA" w14:textId="77777777" w:rsidR="00A46E9E" w:rsidRPr="005A6D8E" w:rsidRDefault="00A46E9E" w:rsidP="00A46E9E">
      <w:pPr>
        <w:tabs>
          <w:tab w:val="left" w:pos="425"/>
          <w:tab w:val="left" w:pos="851"/>
        </w:tabs>
        <w:spacing w:before="0"/>
        <w:ind w:left="426" w:hanging="426"/>
        <w:rPr>
          <w:szCs w:val="24"/>
        </w:rPr>
      </w:pPr>
      <w:r w:rsidRPr="0059639A">
        <w:rPr>
          <w:strike/>
          <w:szCs w:val="24"/>
        </w:rPr>
        <w:t>i)</w:t>
      </w:r>
      <w:r w:rsidRPr="0059639A">
        <w:rPr>
          <w:b/>
          <w:strike/>
          <w:szCs w:val="24"/>
        </w:rPr>
        <w:t>j)</w:t>
      </w:r>
      <w:r w:rsidRPr="0059639A">
        <w:rPr>
          <w:b/>
          <w:szCs w:val="24"/>
        </w:rPr>
        <w:t>m)</w:t>
      </w:r>
      <w:r w:rsidRPr="0059639A">
        <w:rPr>
          <w:szCs w:val="24"/>
        </w:rPr>
        <w:t xml:space="preserve"> neprovede v požadované lhůtě opatření k nápravě podle § 26 odst. 1,</w:t>
      </w:r>
    </w:p>
    <w:p w14:paraId="3A0DB265" w14:textId="77777777" w:rsidR="00A46E9E" w:rsidRPr="005A6D8E" w:rsidRDefault="00A46E9E" w:rsidP="00A46E9E">
      <w:pPr>
        <w:tabs>
          <w:tab w:val="left" w:pos="425"/>
          <w:tab w:val="left" w:pos="851"/>
        </w:tabs>
        <w:spacing w:before="0"/>
        <w:ind w:left="426" w:hanging="426"/>
        <w:rPr>
          <w:szCs w:val="24"/>
        </w:rPr>
      </w:pPr>
      <w:r w:rsidRPr="00FE782F">
        <w:rPr>
          <w:strike/>
          <w:szCs w:val="24"/>
        </w:rPr>
        <w:t>j</w:t>
      </w:r>
      <w:r>
        <w:rPr>
          <w:strike/>
          <w:szCs w:val="24"/>
        </w:rPr>
        <w:t>)</w:t>
      </w:r>
      <w:r w:rsidRPr="00360214">
        <w:rPr>
          <w:b/>
          <w:strike/>
          <w:szCs w:val="24"/>
        </w:rPr>
        <w:t>k)</w:t>
      </w:r>
      <w:r>
        <w:rPr>
          <w:b/>
          <w:szCs w:val="24"/>
        </w:rPr>
        <w:t>n</w:t>
      </w:r>
      <w:r w:rsidRPr="00F37422">
        <w:rPr>
          <w:b/>
          <w:szCs w:val="24"/>
        </w:rPr>
        <w:t>)</w:t>
      </w:r>
      <w:r w:rsidRPr="005A6D8E">
        <w:rPr>
          <w:szCs w:val="24"/>
        </w:rPr>
        <w:t xml:space="preserve"> nezpracuje údaje o klientech podle § 37 odst. 2,</w:t>
      </w:r>
    </w:p>
    <w:p w14:paraId="3A81A508" w14:textId="77777777" w:rsidR="00A46E9E" w:rsidRPr="005A6D8E" w:rsidRDefault="00A46E9E" w:rsidP="00A46E9E">
      <w:pPr>
        <w:tabs>
          <w:tab w:val="left" w:pos="425"/>
          <w:tab w:val="left" w:pos="851"/>
        </w:tabs>
        <w:spacing w:before="0"/>
        <w:ind w:left="426" w:hanging="426"/>
        <w:rPr>
          <w:szCs w:val="24"/>
        </w:rPr>
      </w:pPr>
      <w:r w:rsidRPr="00FE782F">
        <w:rPr>
          <w:strike/>
          <w:szCs w:val="24"/>
        </w:rPr>
        <w:t>k</w:t>
      </w:r>
      <w:r>
        <w:rPr>
          <w:strike/>
          <w:szCs w:val="24"/>
        </w:rPr>
        <w:t>)</w:t>
      </w:r>
      <w:r>
        <w:rPr>
          <w:b/>
          <w:strike/>
          <w:szCs w:val="24"/>
        </w:rPr>
        <w:t>l</w:t>
      </w:r>
      <w:r w:rsidRPr="00F37422">
        <w:rPr>
          <w:b/>
          <w:strike/>
          <w:szCs w:val="24"/>
        </w:rPr>
        <w:t>)</w:t>
      </w:r>
      <w:r>
        <w:rPr>
          <w:b/>
          <w:szCs w:val="24"/>
        </w:rPr>
        <w:t>o</w:t>
      </w:r>
      <w:r w:rsidRPr="00F37422">
        <w:rPr>
          <w:b/>
          <w:szCs w:val="24"/>
        </w:rPr>
        <w:t>)</w:t>
      </w:r>
      <w:r w:rsidRPr="005A6D8E">
        <w:rPr>
          <w:szCs w:val="24"/>
        </w:rPr>
        <w:t xml:space="preserve"> porušila povinnost zachovávat bankovní tajemství podle § 38,</w:t>
      </w:r>
    </w:p>
    <w:p w14:paraId="1AA503AB" w14:textId="77777777" w:rsidR="00A46E9E" w:rsidRPr="005A6D8E" w:rsidRDefault="00A46E9E" w:rsidP="00A46E9E">
      <w:pPr>
        <w:tabs>
          <w:tab w:val="left" w:pos="425"/>
          <w:tab w:val="left" w:pos="851"/>
        </w:tabs>
        <w:spacing w:before="0"/>
        <w:ind w:left="426" w:hanging="426"/>
        <w:rPr>
          <w:szCs w:val="24"/>
        </w:rPr>
      </w:pPr>
      <w:r w:rsidRPr="00FE782F">
        <w:rPr>
          <w:strike/>
          <w:szCs w:val="24"/>
        </w:rPr>
        <w:t>l</w:t>
      </w:r>
      <w:r>
        <w:rPr>
          <w:strike/>
          <w:szCs w:val="24"/>
        </w:rPr>
        <w:t>)</w:t>
      </w:r>
      <w:r>
        <w:rPr>
          <w:b/>
          <w:strike/>
          <w:szCs w:val="24"/>
        </w:rPr>
        <w:t>m</w:t>
      </w:r>
      <w:r w:rsidRPr="00F37422">
        <w:rPr>
          <w:b/>
          <w:strike/>
          <w:szCs w:val="24"/>
        </w:rPr>
        <w:t>)</w:t>
      </w:r>
      <w:r>
        <w:rPr>
          <w:b/>
          <w:szCs w:val="24"/>
        </w:rPr>
        <w:t>p</w:t>
      </w:r>
      <w:r w:rsidRPr="00F37422">
        <w:rPr>
          <w:b/>
          <w:szCs w:val="24"/>
        </w:rPr>
        <w:t>)</w:t>
      </w:r>
      <w:r w:rsidRPr="005A6D8E">
        <w:rPr>
          <w:szCs w:val="24"/>
        </w:rPr>
        <w:t xml:space="preserve"> nepodá osobám pověřeným výkonem bankovního dohledu zprávu o všech záležitostech, které jsou předmětem bankovního tajemství,</w:t>
      </w:r>
    </w:p>
    <w:p w14:paraId="478A6FD7" w14:textId="77777777" w:rsidR="00A46E9E" w:rsidRPr="005A6D8E" w:rsidRDefault="00A46E9E" w:rsidP="00A46E9E">
      <w:pPr>
        <w:tabs>
          <w:tab w:val="left" w:pos="425"/>
          <w:tab w:val="left" w:pos="851"/>
        </w:tabs>
        <w:spacing w:before="0"/>
        <w:ind w:left="426" w:hanging="426"/>
        <w:rPr>
          <w:szCs w:val="24"/>
        </w:rPr>
      </w:pPr>
      <w:r w:rsidRPr="00FE782F">
        <w:rPr>
          <w:strike/>
          <w:szCs w:val="24"/>
        </w:rPr>
        <w:t>m</w:t>
      </w:r>
      <w:r>
        <w:rPr>
          <w:strike/>
          <w:szCs w:val="24"/>
        </w:rPr>
        <w:t>)</w:t>
      </w:r>
      <w:r>
        <w:rPr>
          <w:b/>
          <w:strike/>
          <w:szCs w:val="24"/>
        </w:rPr>
        <w:t>n</w:t>
      </w:r>
      <w:r w:rsidRPr="00F37422">
        <w:rPr>
          <w:b/>
          <w:strike/>
          <w:szCs w:val="24"/>
        </w:rPr>
        <w:t>)</w:t>
      </w:r>
      <w:r>
        <w:rPr>
          <w:b/>
          <w:szCs w:val="24"/>
        </w:rPr>
        <w:t>q</w:t>
      </w:r>
      <w:r w:rsidRPr="005A6D8E">
        <w:rPr>
          <w:szCs w:val="24"/>
        </w:rPr>
        <w:t>) nepodá na písemné vyžádání zprávu o záležitostech týkajících se klienta, které jsou předmětem tajemství, subjektům uvedeným v § 38 odst. 3 až 6 a 8,</w:t>
      </w:r>
    </w:p>
    <w:p w14:paraId="24F17834" w14:textId="77777777" w:rsidR="00A46E9E" w:rsidRPr="005A6D8E" w:rsidRDefault="00A46E9E" w:rsidP="00A46E9E">
      <w:pPr>
        <w:tabs>
          <w:tab w:val="left" w:pos="425"/>
          <w:tab w:val="left" w:pos="851"/>
        </w:tabs>
        <w:spacing w:before="0"/>
        <w:ind w:left="426" w:hanging="426"/>
        <w:rPr>
          <w:szCs w:val="24"/>
        </w:rPr>
      </w:pPr>
      <w:r w:rsidRPr="00FE782F">
        <w:rPr>
          <w:strike/>
          <w:szCs w:val="24"/>
        </w:rPr>
        <w:t>n</w:t>
      </w:r>
      <w:r>
        <w:rPr>
          <w:strike/>
          <w:szCs w:val="24"/>
        </w:rPr>
        <w:t>)</w:t>
      </w:r>
      <w:r>
        <w:rPr>
          <w:b/>
          <w:strike/>
          <w:szCs w:val="24"/>
        </w:rPr>
        <w:t>o</w:t>
      </w:r>
      <w:r w:rsidRPr="00F37422">
        <w:rPr>
          <w:b/>
          <w:strike/>
          <w:szCs w:val="24"/>
        </w:rPr>
        <w:t>)</w:t>
      </w:r>
      <w:r>
        <w:rPr>
          <w:b/>
          <w:szCs w:val="24"/>
        </w:rPr>
        <w:t>r</w:t>
      </w:r>
      <w:r w:rsidRPr="00F37422">
        <w:rPr>
          <w:b/>
          <w:szCs w:val="24"/>
        </w:rPr>
        <w:t>)</w:t>
      </w:r>
      <w:r w:rsidRPr="005A6D8E">
        <w:rPr>
          <w:szCs w:val="24"/>
        </w:rPr>
        <w:t xml:space="preserve"> neúčastní se systému pojištění pohledávek z vkladů nebo nepřispívá v rozsahu stanoveném tímto zákonem do Fondu,</w:t>
      </w:r>
    </w:p>
    <w:p w14:paraId="5E9D2859" w14:textId="77777777" w:rsidR="00A46E9E" w:rsidRPr="005A6D8E" w:rsidRDefault="00A46E9E" w:rsidP="00A46E9E">
      <w:pPr>
        <w:tabs>
          <w:tab w:val="left" w:pos="425"/>
          <w:tab w:val="left" w:pos="851"/>
        </w:tabs>
        <w:spacing w:before="0"/>
        <w:ind w:left="426" w:hanging="426"/>
        <w:rPr>
          <w:szCs w:val="24"/>
        </w:rPr>
      </w:pPr>
      <w:r w:rsidRPr="00FE782F">
        <w:rPr>
          <w:strike/>
          <w:szCs w:val="24"/>
        </w:rPr>
        <w:t>o</w:t>
      </w:r>
      <w:r>
        <w:rPr>
          <w:strike/>
          <w:szCs w:val="24"/>
        </w:rPr>
        <w:t>)</w:t>
      </w:r>
      <w:r>
        <w:rPr>
          <w:b/>
          <w:strike/>
          <w:szCs w:val="24"/>
        </w:rPr>
        <w:t>p</w:t>
      </w:r>
      <w:r w:rsidRPr="00F37422">
        <w:rPr>
          <w:b/>
          <w:strike/>
          <w:szCs w:val="24"/>
        </w:rPr>
        <w:t>)</w:t>
      </w:r>
      <w:r>
        <w:rPr>
          <w:b/>
          <w:szCs w:val="24"/>
        </w:rPr>
        <w:t>s</w:t>
      </w:r>
      <w:r w:rsidRPr="00F37422">
        <w:rPr>
          <w:b/>
          <w:szCs w:val="24"/>
        </w:rPr>
        <w:t>)</w:t>
      </w:r>
      <w:r w:rsidRPr="005A6D8E">
        <w:rPr>
          <w:szCs w:val="24"/>
        </w:rPr>
        <w:t xml:space="preserve"> neposkytne údaje Garančnímu systému a informaci o vkladech podle § 41c odst. 10, § 41d odst. 4 a 5, § 41f odst. 3, § 41g odst. 5 nebo § 41n, nebo</w:t>
      </w:r>
    </w:p>
    <w:p w14:paraId="4E21C6C8" w14:textId="77777777" w:rsidR="00A46E9E" w:rsidRPr="005A6D8E" w:rsidRDefault="00A46E9E" w:rsidP="00A46E9E">
      <w:pPr>
        <w:tabs>
          <w:tab w:val="left" w:pos="425"/>
          <w:tab w:val="left" w:pos="851"/>
        </w:tabs>
        <w:spacing w:before="0"/>
        <w:ind w:left="426" w:hanging="426"/>
        <w:rPr>
          <w:szCs w:val="24"/>
        </w:rPr>
      </w:pPr>
      <w:r w:rsidRPr="00FE782F">
        <w:rPr>
          <w:strike/>
          <w:szCs w:val="24"/>
        </w:rPr>
        <w:t>p</w:t>
      </w:r>
      <w:r>
        <w:rPr>
          <w:strike/>
          <w:szCs w:val="24"/>
        </w:rPr>
        <w:t>)</w:t>
      </w:r>
      <w:r>
        <w:rPr>
          <w:b/>
          <w:strike/>
          <w:szCs w:val="24"/>
        </w:rPr>
        <w:t>q</w:t>
      </w:r>
      <w:r w:rsidRPr="00F37422">
        <w:rPr>
          <w:b/>
          <w:strike/>
          <w:szCs w:val="24"/>
        </w:rPr>
        <w:t>)</w:t>
      </w:r>
      <w:r>
        <w:rPr>
          <w:b/>
          <w:szCs w:val="24"/>
        </w:rPr>
        <w:t>t</w:t>
      </w:r>
      <w:r w:rsidRPr="00F37422">
        <w:rPr>
          <w:b/>
          <w:szCs w:val="24"/>
        </w:rPr>
        <w:t xml:space="preserve">) </w:t>
      </w:r>
      <w:r w:rsidRPr="005A6D8E">
        <w:rPr>
          <w:szCs w:val="24"/>
        </w:rPr>
        <w:t>neposkytne součinnost Garančnímu systému podle § 41eb odst. 3.</w:t>
      </w:r>
    </w:p>
    <w:p w14:paraId="00D3C871" w14:textId="77777777" w:rsidR="00A46E9E" w:rsidRPr="00484B75" w:rsidRDefault="00A46E9E" w:rsidP="00A46E9E">
      <w:pPr>
        <w:pStyle w:val="PZTextodstavce"/>
      </w:pPr>
      <w:r w:rsidRPr="00484B75">
        <w:t>(4) Za</w:t>
      </w:r>
      <w:r>
        <w:t xml:space="preserve"> přestupek lze uložit pokutu do</w:t>
      </w:r>
    </w:p>
    <w:p w14:paraId="57BD4C19" w14:textId="77777777" w:rsidR="00A46E9E" w:rsidRPr="005A6D8E" w:rsidRDefault="00A46E9E" w:rsidP="00A46E9E">
      <w:pPr>
        <w:tabs>
          <w:tab w:val="left" w:pos="425"/>
          <w:tab w:val="left" w:pos="851"/>
        </w:tabs>
        <w:spacing w:before="0"/>
        <w:ind w:left="425" w:hanging="425"/>
        <w:rPr>
          <w:szCs w:val="24"/>
        </w:rPr>
      </w:pPr>
      <w:r w:rsidRPr="005A6D8E">
        <w:rPr>
          <w:szCs w:val="24"/>
        </w:rPr>
        <w:t xml:space="preserve">a) </w:t>
      </w:r>
      <w:r>
        <w:rPr>
          <w:szCs w:val="24"/>
        </w:rPr>
        <w:tab/>
      </w:r>
      <w:r w:rsidRPr="005A6D8E">
        <w:rPr>
          <w:szCs w:val="24"/>
        </w:rPr>
        <w:t>10 000 000 Kč, jde-li o přestupek podle odstavce 1 písm</w:t>
      </w:r>
      <w:r w:rsidRPr="00C54F9C">
        <w:rPr>
          <w:szCs w:val="24"/>
        </w:rPr>
        <w:t xml:space="preserve">. e) až i) </w:t>
      </w:r>
      <w:r w:rsidRPr="00C54F9C">
        <w:rPr>
          <w:b/>
          <w:szCs w:val="24"/>
        </w:rPr>
        <w:t>a odst. 3 písm. d) až l)</w:t>
      </w:r>
      <w:r w:rsidRPr="00C54F9C">
        <w:rPr>
          <w:szCs w:val="24"/>
        </w:rPr>
        <w:t xml:space="preserve">, </w:t>
      </w:r>
    </w:p>
    <w:p w14:paraId="141D4C01" w14:textId="77777777" w:rsidR="00A46E9E" w:rsidRPr="005A6D8E" w:rsidRDefault="00A46E9E" w:rsidP="00A46E9E">
      <w:pPr>
        <w:tabs>
          <w:tab w:val="left" w:pos="425"/>
          <w:tab w:val="left" w:pos="851"/>
        </w:tabs>
        <w:spacing w:before="0"/>
        <w:ind w:left="425" w:hanging="425"/>
        <w:rPr>
          <w:szCs w:val="24"/>
        </w:rPr>
      </w:pPr>
      <w:r w:rsidRPr="005A6D8E">
        <w:rPr>
          <w:szCs w:val="24"/>
        </w:rPr>
        <w:t xml:space="preserve">b) </w:t>
      </w:r>
      <w:r>
        <w:rPr>
          <w:szCs w:val="24"/>
        </w:rPr>
        <w:tab/>
      </w:r>
      <w:r w:rsidRPr="005A6D8E">
        <w:rPr>
          <w:szCs w:val="24"/>
        </w:rPr>
        <w:t xml:space="preserve">20 000 000 Kč, jde-li o přestupek podle odstavce </w:t>
      </w:r>
      <w:r w:rsidRPr="00E244F7">
        <w:rPr>
          <w:szCs w:val="24"/>
        </w:rPr>
        <w:t xml:space="preserve">3 písm. </w:t>
      </w:r>
      <w:r w:rsidRPr="00E244F7">
        <w:rPr>
          <w:strike/>
          <w:szCs w:val="24"/>
        </w:rPr>
        <w:t>m)</w:t>
      </w:r>
      <w:r w:rsidRPr="00E244F7">
        <w:rPr>
          <w:szCs w:val="24"/>
        </w:rPr>
        <w:t xml:space="preserve"> </w:t>
      </w:r>
      <w:r w:rsidRPr="00E244F7">
        <w:rPr>
          <w:b/>
          <w:szCs w:val="24"/>
        </w:rPr>
        <w:t>q)</w:t>
      </w:r>
      <w:r w:rsidRPr="00E244F7">
        <w:rPr>
          <w:szCs w:val="24"/>
        </w:rPr>
        <w:t>,</w:t>
      </w:r>
    </w:p>
    <w:p w14:paraId="775888B4" w14:textId="3676A3C9" w:rsidR="00A46E9E" w:rsidRDefault="00A46E9E" w:rsidP="00D41C2D">
      <w:pPr>
        <w:tabs>
          <w:tab w:val="left" w:pos="425"/>
          <w:tab w:val="left" w:pos="851"/>
        </w:tabs>
        <w:spacing w:before="0"/>
        <w:ind w:left="425" w:hanging="425"/>
        <w:rPr>
          <w:szCs w:val="24"/>
        </w:rPr>
      </w:pPr>
      <w:r w:rsidRPr="005A6D8E">
        <w:rPr>
          <w:szCs w:val="24"/>
        </w:rPr>
        <w:t xml:space="preserve">c) </w:t>
      </w:r>
      <w:r>
        <w:rPr>
          <w:szCs w:val="24"/>
        </w:rPr>
        <w:tab/>
      </w:r>
      <w:r w:rsidRPr="005A6D8E">
        <w:rPr>
          <w:szCs w:val="24"/>
        </w:rPr>
        <w:t xml:space="preserve">50 000 000 Kč, jde-li o přestupek </w:t>
      </w:r>
      <w:r w:rsidRPr="00E244F7">
        <w:rPr>
          <w:szCs w:val="24"/>
        </w:rPr>
        <w:t xml:space="preserve">podle odstavce 1 písm. a) až d), j) až m), odstavce 2, odstavce 3 písm. a) až </w:t>
      </w:r>
      <w:r w:rsidRPr="00E244F7">
        <w:rPr>
          <w:strike/>
          <w:szCs w:val="24"/>
        </w:rPr>
        <w:t>l), n), o) nebo p)</w:t>
      </w:r>
      <w:r w:rsidRPr="00E244F7">
        <w:rPr>
          <w:b/>
          <w:szCs w:val="24"/>
        </w:rPr>
        <w:t xml:space="preserve"> c), m) až p), r) až t)</w:t>
      </w:r>
      <w:r w:rsidRPr="00E244F7">
        <w:rPr>
          <w:szCs w:val="24"/>
        </w:rPr>
        <w:t>.</w:t>
      </w:r>
    </w:p>
    <w:p w14:paraId="1A816BF0" w14:textId="77777777" w:rsidR="00A46E9E" w:rsidRDefault="00A46E9E" w:rsidP="00A46E9E">
      <w:pPr>
        <w:pStyle w:val="Paragraf"/>
        <w:numPr>
          <w:ilvl w:val="0"/>
          <w:numId w:val="28"/>
        </w:numPr>
      </w:pPr>
      <w:r>
        <w:t>***</w:t>
      </w:r>
    </w:p>
    <w:p w14:paraId="7216841E" w14:textId="77777777" w:rsidR="00A46E9E" w:rsidRPr="0010375F" w:rsidRDefault="00A46E9E" w:rsidP="00A46E9E">
      <w:pPr>
        <w:pStyle w:val="Paragraf"/>
        <w:numPr>
          <w:ilvl w:val="0"/>
          <w:numId w:val="0"/>
        </w:numPr>
      </w:pPr>
      <w:r w:rsidRPr="0010375F">
        <w:t>§ 38d</w:t>
      </w:r>
    </w:p>
    <w:p w14:paraId="64D759FF" w14:textId="77777777" w:rsidR="00A46E9E" w:rsidRPr="00F00BE9" w:rsidRDefault="00A46E9E" w:rsidP="00A46E9E">
      <w:pPr>
        <w:pStyle w:val="PZTextodstavce"/>
        <w:rPr>
          <w:szCs w:val="24"/>
        </w:rPr>
      </w:pPr>
      <w:r w:rsidRPr="00F00BE9">
        <w:rPr>
          <w:szCs w:val="24"/>
        </w:rPr>
        <w:t>(1) Česká národní ban</w:t>
      </w:r>
      <w:r>
        <w:rPr>
          <w:szCs w:val="24"/>
        </w:rPr>
        <w:t>ka informuje Evropskou komisi o</w:t>
      </w:r>
    </w:p>
    <w:p w14:paraId="34A48971" w14:textId="77777777" w:rsidR="00A46E9E" w:rsidRPr="00F00BE9" w:rsidRDefault="00A46E9E" w:rsidP="00A46E9E">
      <w:pPr>
        <w:tabs>
          <w:tab w:val="left" w:pos="425"/>
          <w:tab w:val="left" w:pos="851"/>
        </w:tabs>
        <w:spacing w:before="0"/>
        <w:ind w:left="425" w:hanging="425"/>
        <w:rPr>
          <w:szCs w:val="24"/>
        </w:rPr>
      </w:pPr>
      <w:r>
        <w:rPr>
          <w:szCs w:val="24"/>
        </w:rPr>
        <w:t>a)</w:t>
      </w:r>
      <w:r>
        <w:rPr>
          <w:szCs w:val="24"/>
        </w:rPr>
        <w:tab/>
      </w:r>
      <w:r w:rsidRPr="00F00BE9">
        <w:rPr>
          <w:szCs w:val="24"/>
        </w:rPr>
        <w:t>počtu a povaze případů, kdy odmítla umožnit bance nebo finanční instituci splňující podmínky podle § 5e odst. 1 se sídlem na území České republiky zřízení pobočky v jiném členském státě nebo kdy použila vůči pobočce banky z čle</w:t>
      </w:r>
      <w:r>
        <w:rPr>
          <w:szCs w:val="24"/>
        </w:rPr>
        <w:t>nského státu postup podle § 26,</w:t>
      </w:r>
    </w:p>
    <w:p w14:paraId="27398CEB" w14:textId="77777777" w:rsidR="00A46E9E" w:rsidRPr="00F00BE9" w:rsidRDefault="00A46E9E" w:rsidP="00A46E9E">
      <w:pPr>
        <w:tabs>
          <w:tab w:val="left" w:pos="425"/>
          <w:tab w:val="left" w:pos="851"/>
        </w:tabs>
        <w:spacing w:before="0"/>
        <w:ind w:left="425" w:hanging="425"/>
        <w:rPr>
          <w:szCs w:val="24"/>
        </w:rPr>
      </w:pPr>
      <w:r>
        <w:rPr>
          <w:szCs w:val="24"/>
        </w:rPr>
        <w:t>b)</w:t>
      </w:r>
      <w:r>
        <w:rPr>
          <w:szCs w:val="24"/>
        </w:rPr>
        <w:tab/>
      </w:r>
      <w:r w:rsidRPr="00F00BE9">
        <w:rPr>
          <w:szCs w:val="24"/>
        </w:rPr>
        <w:t>finančních holdingových osobách a smíšených finančních holdingových osobách zahrnutých do konsolidace podle části první hlavy druhé kapitoly 2 nařízení Evropského parla</w:t>
      </w:r>
      <w:r>
        <w:rPr>
          <w:szCs w:val="24"/>
        </w:rPr>
        <w:t>mentu a Rady (EU) č. 575/2013 a</w:t>
      </w:r>
    </w:p>
    <w:p w14:paraId="65DFD72E" w14:textId="77777777" w:rsidR="00A46E9E" w:rsidRPr="00F00BE9" w:rsidRDefault="00A46E9E" w:rsidP="00A46E9E">
      <w:pPr>
        <w:tabs>
          <w:tab w:val="left" w:pos="425"/>
          <w:tab w:val="left" w:pos="851"/>
        </w:tabs>
        <w:spacing w:before="0"/>
        <w:ind w:left="425" w:hanging="425"/>
        <w:rPr>
          <w:szCs w:val="24"/>
        </w:rPr>
      </w:pPr>
      <w:r>
        <w:rPr>
          <w:szCs w:val="24"/>
        </w:rPr>
        <w:t>c)</w:t>
      </w:r>
      <w:r>
        <w:rPr>
          <w:szCs w:val="24"/>
        </w:rPr>
        <w:tab/>
      </w:r>
      <w:r w:rsidRPr="00F00BE9">
        <w:rPr>
          <w:szCs w:val="24"/>
        </w:rPr>
        <w:t>smlouvách, dohodách a písemných ujednáních podle § 26c odst. 6 a§ 26e.</w:t>
      </w:r>
    </w:p>
    <w:p w14:paraId="574EE84F" w14:textId="77777777" w:rsidR="00A46E9E" w:rsidRPr="00F00BE9" w:rsidRDefault="00A46E9E" w:rsidP="00A46E9E">
      <w:pPr>
        <w:pStyle w:val="PZTextodstavce"/>
        <w:rPr>
          <w:szCs w:val="24"/>
        </w:rPr>
      </w:pPr>
      <w:r w:rsidRPr="00F00BE9">
        <w:rPr>
          <w:szCs w:val="24"/>
        </w:rPr>
        <w:lastRenderedPageBreak/>
        <w:t>(2) Česká národní banka informuje Evropský orgán pro bankovnictví o všech významných skutečnostech získaných při jí prováděném výkonu bankovního dohledu důležitých pro řádný výkon tohoto dohledu v</w:t>
      </w:r>
      <w:r>
        <w:rPr>
          <w:szCs w:val="24"/>
        </w:rPr>
        <w:t xml:space="preserve"> rámci Evropské unie, zejména o</w:t>
      </w:r>
    </w:p>
    <w:p w14:paraId="09330E6C" w14:textId="77777777" w:rsidR="00A46E9E" w:rsidRPr="00F00BE9" w:rsidRDefault="00A46E9E" w:rsidP="00A46E9E">
      <w:pPr>
        <w:tabs>
          <w:tab w:val="left" w:pos="425"/>
          <w:tab w:val="left" w:pos="851"/>
        </w:tabs>
        <w:spacing w:before="0"/>
        <w:ind w:left="426" w:hanging="426"/>
        <w:rPr>
          <w:szCs w:val="24"/>
        </w:rPr>
      </w:pPr>
      <w:r>
        <w:rPr>
          <w:szCs w:val="24"/>
        </w:rPr>
        <w:t>a)</w:t>
      </w:r>
      <w:r>
        <w:rPr>
          <w:szCs w:val="24"/>
        </w:rPr>
        <w:tab/>
      </w:r>
      <w:r w:rsidRPr="00F00BE9">
        <w:rPr>
          <w:szCs w:val="24"/>
        </w:rPr>
        <w:t xml:space="preserve">počtu a povaze případů, kdy odmítla umožnit bance nebo finanční instituci splňující podmínky podle § 5e odst. 1 se sídlem na území České republiky zřízení pobočky v jiném členském státě nebo kdy použila vůči pobočce podle </w:t>
      </w:r>
      <w:r>
        <w:rPr>
          <w:szCs w:val="24"/>
        </w:rPr>
        <w:t>§ 5a odst. 1 postup podle § 26,</w:t>
      </w:r>
    </w:p>
    <w:p w14:paraId="06BCF20C" w14:textId="77777777" w:rsidR="00A46E9E" w:rsidRPr="00F00BE9" w:rsidRDefault="00A46E9E" w:rsidP="00A46E9E">
      <w:pPr>
        <w:tabs>
          <w:tab w:val="left" w:pos="425"/>
          <w:tab w:val="left" w:pos="851"/>
        </w:tabs>
        <w:spacing w:before="0"/>
        <w:ind w:left="426" w:hanging="426"/>
        <w:rPr>
          <w:szCs w:val="24"/>
        </w:rPr>
      </w:pPr>
      <w:r>
        <w:rPr>
          <w:szCs w:val="24"/>
        </w:rPr>
        <w:t>b)</w:t>
      </w:r>
      <w:r>
        <w:rPr>
          <w:szCs w:val="24"/>
        </w:rPr>
        <w:tab/>
      </w:r>
      <w:r w:rsidRPr="00F00BE9">
        <w:rPr>
          <w:szCs w:val="24"/>
        </w:rPr>
        <w:t xml:space="preserve">udělených a odňatých licencích; v informaci o udělené licenci vždy uvede, že pohledávky z vkladů u banky jsou </w:t>
      </w:r>
      <w:r>
        <w:rPr>
          <w:szCs w:val="24"/>
        </w:rPr>
        <w:t>pojištěny u Garančního systému,</w:t>
      </w:r>
    </w:p>
    <w:p w14:paraId="199E5B4D" w14:textId="77777777" w:rsidR="00A46E9E" w:rsidRPr="00F00BE9" w:rsidRDefault="00A46E9E" w:rsidP="00A46E9E">
      <w:pPr>
        <w:tabs>
          <w:tab w:val="left" w:pos="425"/>
          <w:tab w:val="left" w:pos="851"/>
        </w:tabs>
        <w:spacing w:before="0"/>
        <w:ind w:left="426" w:hanging="426"/>
        <w:rPr>
          <w:szCs w:val="24"/>
        </w:rPr>
      </w:pPr>
      <w:r w:rsidRPr="00F00BE9">
        <w:rPr>
          <w:szCs w:val="24"/>
        </w:rPr>
        <w:t>c)</w:t>
      </w:r>
      <w:r>
        <w:rPr>
          <w:szCs w:val="24"/>
        </w:rPr>
        <w:tab/>
      </w:r>
      <w:r w:rsidRPr="00F00BE9">
        <w:rPr>
          <w:szCs w:val="24"/>
        </w:rPr>
        <w:t>smlouvách, dohodách a písemných ujednán</w:t>
      </w:r>
      <w:r>
        <w:rPr>
          <w:szCs w:val="24"/>
        </w:rPr>
        <w:t>ích podle § 26c odst. 6 a§ 26e,</w:t>
      </w:r>
    </w:p>
    <w:p w14:paraId="6B216180" w14:textId="77777777" w:rsidR="00A46E9E" w:rsidRPr="00F00BE9" w:rsidRDefault="00A46E9E" w:rsidP="00A46E9E">
      <w:pPr>
        <w:tabs>
          <w:tab w:val="left" w:pos="425"/>
          <w:tab w:val="left" w:pos="851"/>
        </w:tabs>
        <w:spacing w:before="0"/>
        <w:ind w:left="426" w:hanging="426"/>
        <w:rPr>
          <w:szCs w:val="24"/>
        </w:rPr>
      </w:pPr>
      <w:r>
        <w:rPr>
          <w:szCs w:val="24"/>
        </w:rPr>
        <w:t>d)</w:t>
      </w:r>
      <w:r>
        <w:rPr>
          <w:szCs w:val="24"/>
        </w:rPr>
        <w:tab/>
      </w:r>
      <w:r w:rsidRPr="00F00BE9">
        <w:rPr>
          <w:szCs w:val="24"/>
        </w:rPr>
        <w:t>údajích shromážděných za účelem srovnání systémů odměňování a postupů zavedených ostatními bankami o</w:t>
      </w:r>
    </w:p>
    <w:p w14:paraId="7AA6651B" w14:textId="77777777" w:rsidR="00A46E9E" w:rsidRPr="00F00BE9" w:rsidRDefault="00A46E9E" w:rsidP="00A46E9E">
      <w:pPr>
        <w:pStyle w:val="PZTextbodu"/>
        <w:spacing w:before="0"/>
      </w:pPr>
      <w:r w:rsidRPr="00F00BE9">
        <w:t>1.</w:t>
      </w:r>
      <w:r>
        <w:tab/>
      </w:r>
      <w:r w:rsidRPr="00F00BE9">
        <w:t>počtu osob, jejichž příjmy dosahují nejméně částky odpovídající 1 000 000 EUR, v členění podle jejich pracovních povinností a oblastí činností banky,</w:t>
      </w:r>
    </w:p>
    <w:p w14:paraId="5C81B584" w14:textId="77777777" w:rsidR="00A46E9E" w:rsidRPr="00F00BE9" w:rsidRDefault="00A46E9E" w:rsidP="00A46E9E">
      <w:pPr>
        <w:pStyle w:val="PZTextbodu"/>
        <w:spacing w:before="0"/>
      </w:pPr>
      <w:r>
        <w:t>2.</w:t>
      </w:r>
      <w:r>
        <w:tab/>
      </w:r>
      <w:r w:rsidRPr="00F00BE9">
        <w:t>hlavních složkách mezd, prémií, odměn založených na výkonnosti za delší časové období a zvláštních penzijních výhod osob podle bodu 1,</w:t>
      </w:r>
    </w:p>
    <w:p w14:paraId="771D7AC4" w14:textId="77777777" w:rsidR="00A46E9E" w:rsidRPr="00F00BE9" w:rsidRDefault="00A46E9E" w:rsidP="00A46E9E">
      <w:pPr>
        <w:tabs>
          <w:tab w:val="left" w:pos="425"/>
          <w:tab w:val="left" w:pos="851"/>
        </w:tabs>
        <w:spacing w:before="0"/>
        <w:ind w:left="426" w:hanging="426"/>
        <w:rPr>
          <w:szCs w:val="24"/>
        </w:rPr>
      </w:pPr>
      <w:r>
        <w:rPr>
          <w:szCs w:val="24"/>
        </w:rPr>
        <w:t>e)</w:t>
      </w:r>
      <w:r>
        <w:rPr>
          <w:szCs w:val="24"/>
        </w:rPr>
        <w:tab/>
      </w:r>
      <w:r w:rsidRPr="00F00BE9">
        <w:rPr>
          <w:szCs w:val="24"/>
        </w:rPr>
        <w:t>finančních holdingových osobách a smíšených finančních holdingových osobách zahrnutých do konsolidace podle části první hlavy druhé kapitoly 2 nařízení Evropského parl</w:t>
      </w:r>
      <w:r>
        <w:rPr>
          <w:szCs w:val="24"/>
        </w:rPr>
        <w:t>amentu a Rady (EU) č. 575/2013,</w:t>
      </w:r>
    </w:p>
    <w:p w14:paraId="40FBAE09" w14:textId="77777777" w:rsidR="00A46E9E" w:rsidRPr="00F00BE9" w:rsidRDefault="00A46E9E" w:rsidP="00A46E9E">
      <w:pPr>
        <w:tabs>
          <w:tab w:val="left" w:pos="425"/>
          <w:tab w:val="left" w:pos="851"/>
        </w:tabs>
        <w:spacing w:before="0"/>
        <w:ind w:left="426" w:hanging="426"/>
        <w:rPr>
          <w:szCs w:val="24"/>
        </w:rPr>
      </w:pPr>
      <w:r>
        <w:rPr>
          <w:szCs w:val="24"/>
        </w:rPr>
        <w:t>f)</w:t>
      </w:r>
      <w:r>
        <w:rPr>
          <w:szCs w:val="24"/>
        </w:rPr>
        <w:tab/>
      </w:r>
      <w:r w:rsidRPr="00F00BE9">
        <w:rPr>
          <w:szCs w:val="24"/>
        </w:rPr>
        <w:t>licencích k výkonu bankovních činností prostřednictvím pobočky udělených zahraniční bance, která má sídlo v jiném než členském státě, a identifikaci skupiny, pokud je zahraniční banka se sídlem v jiném než členském stát</w:t>
      </w:r>
      <w:r>
        <w:rPr>
          <w:szCs w:val="24"/>
        </w:rPr>
        <w:t>ě součástí skupiny,</w:t>
      </w:r>
    </w:p>
    <w:p w14:paraId="12505A6D" w14:textId="77777777" w:rsidR="00A46E9E" w:rsidRPr="00F00BE9" w:rsidRDefault="00A46E9E" w:rsidP="00A46E9E">
      <w:pPr>
        <w:tabs>
          <w:tab w:val="left" w:pos="425"/>
          <w:tab w:val="left" w:pos="851"/>
        </w:tabs>
        <w:spacing w:before="0"/>
        <w:ind w:left="426" w:hanging="426"/>
        <w:rPr>
          <w:szCs w:val="24"/>
        </w:rPr>
      </w:pPr>
      <w:r>
        <w:rPr>
          <w:szCs w:val="24"/>
        </w:rPr>
        <w:t>g)</w:t>
      </w:r>
      <w:r>
        <w:rPr>
          <w:szCs w:val="24"/>
        </w:rPr>
        <w:tab/>
      </w:r>
      <w:r w:rsidRPr="00F00BE9">
        <w:rPr>
          <w:szCs w:val="24"/>
        </w:rPr>
        <w:t>podmínkách, které je nutno splnit pro vydá</w:t>
      </w:r>
      <w:r>
        <w:rPr>
          <w:szCs w:val="24"/>
        </w:rPr>
        <w:t>ní licence podle tohoto zákona,</w:t>
      </w:r>
    </w:p>
    <w:p w14:paraId="2FA9C231" w14:textId="77777777" w:rsidR="00A46E9E" w:rsidRPr="00F00BE9" w:rsidRDefault="00A46E9E" w:rsidP="00A46E9E">
      <w:pPr>
        <w:tabs>
          <w:tab w:val="left" w:pos="425"/>
          <w:tab w:val="left" w:pos="851"/>
        </w:tabs>
        <w:spacing w:before="0"/>
        <w:ind w:left="426" w:hanging="426"/>
        <w:rPr>
          <w:szCs w:val="24"/>
        </w:rPr>
      </w:pPr>
      <w:r>
        <w:rPr>
          <w:szCs w:val="24"/>
        </w:rPr>
        <w:t>h)</w:t>
      </w:r>
      <w:r>
        <w:rPr>
          <w:szCs w:val="24"/>
        </w:rPr>
        <w:tab/>
      </w:r>
      <w:r w:rsidRPr="00F00BE9">
        <w:rPr>
          <w:szCs w:val="24"/>
        </w:rPr>
        <w:t>majetkoprávních vztazích mezi členy skupiny, o organizační struktuře a správě a řízení a o dalších významných skutečnostech týkajících se skupiny, pokud Česká národní banka vykonává do</w:t>
      </w:r>
      <w:r>
        <w:rPr>
          <w:szCs w:val="24"/>
        </w:rPr>
        <w:t>hled na konsolidovaném základě,</w:t>
      </w:r>
    </w:p>
    <w:p w14:paraId="1E8BAD4A" w14:textId="77777777" w:rsidR="00A46E9E" w:rsidRPr="00F00BE9" w:rsidRDefault="00A46E9E" w:rsidP="00A46E9E">
      <w:pPr>
        <w:tabs>
          <w:tab w:val="left" w:pos="425"/>
          <w:tab w:val="left" w:pos="851"/>
        </w:tabs>
        <w:spacing w:before="0"/>
        <w:ind w:left="426" w:hanging="426"/>
        <w:rPr>
          <w:szCs w:val="24"/>
        </w:rPr>
      </w:pPr>
      <w:r>
        <w:rPr>
          <w:szCs w:val="24"/>
        </w:rPr>
        <w:t>i)</w:t>
      </w:r>
      <w:r>
        <w:rPr>
          <w:szCs w:val="24"/>
        </w:rPr>
        <w:tab/>
      </w:r>
      <w:r w:rsidRPr="00F00BE9">
        <w:rPr>
          <w:szCs w:val="24"/>
        </w:rPr>
        <w:t>názvech orgánů nebo osob, kterým smějí být s</w:t>
      </w:r>
      <w:r>
        <w:rPr>
          <w:szCs w:val="24"/>
        </w:rPr>
        <w:t>dělovány informace podle § 25a,</w:t>
      </w:r>
    </w:p>
    <w:p w14:paraId="6F83C167" w14:textId="77777777" w:rsidR="00A46E9E" w:rsidRPr="00F00BE9" w:rsidRDefault="00A46E9E" w:rsidP="00A46E9E">
      <w:pPr>
        <w:tabs>
          <w:tab w:val="left" w:pos="425"/>
          <w:tab w:val="left" w:pos="851"/>
        </w:tabs>
        <w:spacing w:before="0"/>
        <w:ind w:left="426" w:hanging="426"/>
        <w:rPr>
          <w:szCs w:val="24"/>
        </w:rPr>
      </w:pPr>
      <w:r>
        <w:rPr>
          <w:szCs w:val="24"/>
        </w:rPr>
        <w:t>j)</w:t>
      </w:r>
      <w:r>
        <w:rPr>
          <w:szCs w:val="24"/>
        </w:rPr>
        <w:tab/>
      </w:r>
      <w:r w:rsidRPr="00F00BE9">
        <w:rPr>
          <w:szCs w:val="24"/>
        </w:rPr>
        <w:t>fungování procesu přezku</w:t>
      </w:r>
      <w:r>
        <w:rPr>
          <w:szCs w:val="24"/>
        </w:rPr>
        <w:t>mu a vyhodnocování podle § 25c,</w:t>
      </w:r>
    </w:p>
    <w:p w14:paraId="2C9F7E3C" w14:textId="77777777" w:rsidR="00A46E9E" w:rsidRPr="00F00BE9" w:rsidRDefault="00A46E9E" w:rsidP="00A46E9E">
      <w:pPr>
        <w:tabs>
          <w:tab w:val="left" w:pos="425"/>
          <w:tab w:val="left" w:pos="851"/>
        </w:tabs>
        <w:spacing w:before="0"/>
        <w:ind w:left="426" w:hanging="426"/>
        <w:rPr>
          <w:szCs w:val="24"/>
        </w:rPr>
      </w:pPr>
      <w:r>
        <w:rPr>
          <w:szCs w:val="24"/>
        </w:rPr>
        <w:t>k)</w:t>
      </w:r>
      <w:r>
        <w:rPr>
          <w:szCs w:val="24"/>
        </w:rPr>
        <w:tab/>
      </w:r>
      <w:r w:rsidRPr="00F00BE9">
        <w:rPr>
          <w:szCs w:val="24"/>
        </w:rPr>
        <w:t>metodice použité jako základ pro rozhodnutí podle § 25c odst. 3 až 6, § 25d odst. 2 a 3 a § 26 při procesu přezku</w:t>
      </w:r>
      <w:r>
        <w:rPr>
          <w:szCs w:val="24"/>
        </w:rPr>
        <w:t>mu a vyhodnocování podle § 25c,</w:t>
      </w:r>
    </w:p>
    <w:p w14:paraId="7DBA9A56" w14:textId="77777777" w:rsidR="00A46E9E" w:rsidRPr="00F00BE9" w:rsidRDefault="00A46E9E" w:rsidP="00A46E9E">
      <w:pPr>
        <w:tabs>
          <w:tab w:val="left" w:pos="425"/>
          <w:tab w:val="left" w:pos="851"/>
        </w:tabs>
        <w:spacing w:before="0"/>
        <w:ind w:left="426" w:hanging="426"/>
        <w:rPr>
          <w:szCs w:val="24"/>
        </w:rPr>
      </w:pPr>
      <w:r>
        <w:rPr>
          <w:szCs w:val="24"/>
        </w:rPr>
        <w:t>l)</w:t>
      </w:r>
      <w:r>
        <w:rPr>
          <w:szCs w:val="24"/>
        </w:rPr>
        <w:tab/>
      </w:r>
      <w:r w:rsidRPr="00F00BE9">
        <w:rPr>
          <w:szCs w:val="24"/>
        </w:rPr>
        <w:t>případ</w:t>
      </w:r>
      <w:r>
        <w:rPr>
          <w:szCs w:val="24"/>
        </w:rPr>
        <w:t>ech, kdy použije § 25d odst. 1,</w:t>
      </w:r>
    </w:p>
    <w:p w14:paraId="7ABFCD93" w14:textId="77777777" w:rsidR="00A46E9E" w:rsidRPr="00F00BE9" w:rsidRDefault="00A46E9E" w:rsidP="00A46E9E">
      <w:pPr>
        <w:tabs>
          <w:tab w:val="left" w:pos="425"/>
          <w:tab w:val="left" w:pos="851"/>
        </w:tabs>
        <w:spacing w:before="0"/>
        <w:ind w:left="426" w:hanging="426"/>
        <w:rPr>
          <w:szCs w:val="24"/>
        </w:rPr>
      </w:pPr>
      <w:r>
        <w:rPr>
          <w:szCs w:val="24"/>
        </w:rPr>
        <w:t>m)</w:t>
      </w:r>
      <w:r>
        <w:rPr>
          <w:szCs w:val="24"/>
        </w:rPr>
        <w:tab/>
      </w:r>
      <w:r w:rsidRPr="00F00BE9">
        <w:rPr>
          <w:szCs w:val="24"/>
        </w:rPr>
        <w:t>postupech přijat</w:t>
      </w:r>
      <w:r>
        <w:rPr>
          <w:szCs w:val="24"/>
        </w:rPr>
        <w:t>ých podle § 26m odst. 1, 2 a 4,</w:t>
      </w:r>
    </w:p>
    <w:p w14:paraId="2B3E75D1" w14:textId="77777777" w:rsidR="00A46E9E" w:rsidRPr="00F00BE9" w:rsidRDefault="00A46E9E" w:rsidP="00A46E9E">
      <w:pPr>
        <w:tabs>
          <w:tab w:val="left" w:pos="425"/>
          <w:tab w:val="left" w:pos="851"/>
        </w:tabs>
        <w:spacing w:before="0"/>
        <w:ind w:left="426" w:hanging="426"/>
        <w:rPr>
          <w:szCs w:val="24"/>
        </w:rPr>
      </w:pPr>
      <w:r>
        <w:rPr>
          <w:szCs w:val="24"/>
        </w:rPr>
        <w:t>n)</w:t>
      </w:r>
      <w:r>
        <w:rPr>
          <w:szCs w:val="24"/>
        </w:rPr>
        <w:tab/>
      </w:r>
      <w:r w:rsidRPr="00F00BE9">
        <w:rPr>
          <w:szCs w:val="24"/>
        </w:rPr>
        <w:t>výsledcích přezkumu a vyhodnocování podle § 25c, jestliže výsledky naznačují hrozící systémové riziko podle čl. 23 nařízení Evropského parlamentu a Rady (EU) č. 1093/2010 ze strany banky; tyto informace poskytne Česká národní banka bez zbytečného odklad</w:t>
      </w:r>
      <w:r>
        <w:rPr>
          <w:szCs w:val="24"/>
        </w:rPr>
        <w:t>u,</w:t>
      </w:r>
    </w:p>
    <w:p w14:paraId="163A9EAE" w14:textId="77777777" w:rsidR="00A46E9E" w:rsidRPr="00F00BE9" w:rsidRDefault="00A46E9E" w:rsidP="00A46E9E">
      <w:pPr>
        <w:tabs>
          <w:tab w:val="left" w:pos="425"/>
          <w:tab w:val="left" w:pos="851"/>
        </w:tabs>
        <w:spacing w:before="0"/>
        <w:ind w:left="426" w:hanging="426"/>
        <w:rPr>
          <w:szCs w:val="24"/>
        </w:rPr>
      </w:pPr>
      <w:r>
        <w:rPr>
          <w:szCs w:val="24"/>
        </w:rPr>
        <w:t>o)</w:t>
      </w:r>
      <w:r>
        <w:rPr>
          <w:szCs w:val="24"/>
        </w:rPr>
        <w:tab/>
      </w:r>
      <w:r w:rsidRPr="00F00BE9">
        <w:rPr>
          <w:szCs w:val="24"/>
        </w:rPr>
        <w:t>údajích shromážděných za účelem srovnání trendů a postupů odměňování, jakož i informacích o roz</w:t>
      </w:r>
      <w:r>
        <w:rPr>
          <w:szCs w:val="24"/>
        </w:rPr>
        <w:t>dílech v odměňování mužů a žen,</w:t>
      </w:r>
    </w:p>
    <w:p w14:paraId="61E64530" w14:textId="77777777" w:rsidR="00A46E9E" w:rsidRPr="00F00BE9" w:rsidRDefault="00A46E9E" w:rsidP="00A46E9E">
      <w:pPr>
        <w:tabs>
          <w:tab w:val="left" w:pos="425"/>
          <w:tab w:val="left" w:pos="851"/>
        </w:tabs>
        <w:spacing w:before="0"/>
        <w:ind w:left="426" w:hanging="426"/>
        <w:rPr>
          <w:szCs w:val="24"/>
        </w:rPr>
      </w:pPr>
      <w:r>
        <w:rPr>
          <w:szCs w:val="24"/>
        </w:rPr>
        <w:t>p)</w:t>
      </w:r>
      <w:r>
        <w:rPr>
          <w:szCs w:val="24"/>
        </w:rPr>
        <w:tab/>
      </w:r>
      <w:r w:rsidRPr="00F00BE9">
        <w:rPr>
          <w:szCs w:val="24"/>
        </w:rPr>
        <w:t>opatřeních</w:t>
      </w:r>
      <w:r>
        <w:rPr>
          <w:szCs w:val="24"/>
        </w:rPr>
        <w:t xml:space="preserve"> přijatých podle § 8d písm. g),</w:t>
      </w:r>
    </w:p>
    <w:p w14:paraId="59F92352" w14:textId="77777777" w:rsidR="00A46E9E" w:rsidRPr="00F00BE9" w:rsidRDefault="00A46E9E" w:rsidP="00A46E9E">
      <w:pPr>
        <w:tabs>
          <w:tab w:val="left" w:pos="425"/>
          <w:tab w:val="left" w:pos="851"/>
        </w:tabs>
        <w:spacing w:before="0"/>
        <w:ind w:left="426" w:hanging="426"/>
        <w:rPr>
          <w:szCs w:val="24"/>
        </w:rPr>
      </w:pPr>
      <w:r>
        <w:rPr>
          <w:szCs w:val="24"/>
        </w:rPr>
        <w:t>q)</w:t>
      </w:r>
      <w:r>
        <w:rPr>
          <w:szCs w:val="24"/>
        </w:rPr>
        <w:tab/>
      </w:r>
      <w:r w:rsidRPr="00F00BE9">
        <w:rPr>
          <w:szCs w:val="24"/>
        </w:rPr>
        <w:t>povolení zastávat další funkci nevýk</w:t>
      </w:r>
      <w:r>
        <w:rPr>
          <w:szCs w:val="24"/>
        </w:rPr>
        <w:t>onného člena podle § 8 odst. 5,</w:t>
      </w:r>
    </w:p>
    <w:p w14:paraId="45CCD54F" w14:textId="77777777" w:rsidR="00A46E9E" w:rsidRPr="00F00BE9" w:rsidRDefault="00A46E9E" w:rsidP="00A46E9E">
      <w:pPr>
        <w:tabs>
          <w:tab w:val="left" w:pos="425"/>
          <w:tab w:val="left" w:pos="851"/>
        </w:tabs>
        <w:spacing w:before="0"/>
        <w:ind w:left="426" w:hanging="426"/>
        <w:rPr>
          <w:szCs w:val="24"/>
        </w:rPr>
      </w:pPr>
      <w:r>
        <w:rPr>
          <w:szCs w:val="24"/>
        </w:rPr>
        <w:t>r)</w:t>
      </w:r>
      <w:r>
        <w:rPr>
          <w:szCs w:val="24"/>
        </w:rPr>
        <w:tab/>
      </w:r>
      <w:r w:rsidRPr="00F00BE9">
        <w:rPr>
          <w:szCs w:val="24"/>
        </w:rPr>
        <w:t>údajích shr</w:t>
      </w:r>
      <w:r>
        <w:rPr>
          <w:szCs w:val="24"/>
        </w:rPr>
        <w:t>omážděných podle § 8d písm. h),</w:t>
      </w:r>
    </w:p>
    <w:p w14:paraId="5E200D57" w14:textId="77777777" w:rsidR="00A46E9E" w:rsidRPr="00F00BE9" w:rsidRDefault="00A46E9E" w:rsidP="00A46E9E">
      <w:pPr>
        <w:tabs>
          <w:tab w:val="left" w:pos="425"/>
          <w:tab w:val="left" w:pos="851"/>
        </w:tabs>
        <w:spacing w:before="0"/>
        <w:ind w:left="426" w:hanging="426"/>
        <w:rPr>
          <w:szCs w:val="24"/>
        </w:rPr>
      </w:pPr>
      <w:r>
        <w:rPr>
          <w:szCs w:val="24"/>
        </w:rPr>
        <w:t>s)</w:t>
      </w:r>
      <w:r>
        <w:rPr>
          <w:szCs w:val="24"/>
        </w:rPr>
        <w:tab/>
      </w:r>
      <w:r w:rsidRPr="00F00BE9">
        <w:rPr>
          <w:szCs w:val="24"/>
        </w:rPr>
        <w:t>údajích získaných od banky o rozhodnutí akcioná</w:t>
      </w:r>
      <w:r>
        <w:rPr>
          <w:szCs w:val="24"/>
        </w:rPr>
        <w:t>řů, která se týkají odměňování,</w:t>
      </w:r>
    </w:p>
    <w:p w14:paraId="0EACB40D" w14:textId="77777777" w:rsidR="00A46E9E" w:rsidRPr="00F00BE9" w:rsidRDefault="00A46E9E" w:rsidP="00A46E9E">
      <w:pPr>
        <w:tabs>
          <w:tab w:val="left" w:pos="425"/>
          <w:tab w:val="left" w:pos="851"/>
        </w:tabs>
        <w:spacing w:before="0"/>
        <w:ind w:left="426" w:hanging="426"/>
        <w:rPr>
          <w:szCs w:val="24"/>
        </w:rPr>
      </w:pPr>
      <w:r>
        <w:rPr>
          <w:szCs w:val="24"/>
        </w:rPr>
        <w:t>t)</w:t>
      </w:r>
      <w:r>
        <w:rPr>
          <w:szCs w:val="24"/>
        </w:rPr>
        <w:tab/>
      </w:r>
      <w:r w:rsidRPr="00F00BE9">
        <w:rPr>
          <w:szCs w:val="24"/>
        </w:rPr>
        <w:t xml:space="preserve">opatřeních k nápravě uložených podle § 26 odst. 2 bodu 11, § 26 odst. </w:t>
      </w:r>
      <w:r w:rsidRPr="00F00BE9">
        <w:rPr>
          <w:strike/>
          <w:szCs w:val="24"/>
        </w:rPr>
        <w:t>6</w:t>
      </w:r>
      <w:r w:rsidRPr="00F00BE9">
        <w:rPr>
          <w:b/>
          <w:szCs w:val="24"/>
        </w:rPr>
        <w:t>7</w:t>
      </w:r>
      <w:r w:rsidRPr="00F00BE9">
        <w:rPr>
          <w:szCs w:val="24"/>
        </w:rPr>
        <w:t xml:space="preserve"> a pokutách uložených za přestupek podle § 36a odst. 1 písm. a) až e), § 36c odst. 1 písm. a) až f), § 36e odst. 2 písm. a), c), d), f) až i), k) až m) a § 36e odst. 3 písm. c), včetně údajů o odvolání proti rozhodnutí, kterým byla tato opatře</w:t>
      </w:r>
      <w:r>
        <w:rPr>
          <w:szCs w:val="24"/>
        </w:rPr>
        <w:t>ní nebo správní tresty uloženy,</w:t>
      </w:r>
    </w:p>
    <w:p w14:paraId="12840A5A" w14:textId="77777777" w:rsidR="00A46E9E" w:rsidRPr="00F00BE9" w:rsidRDefault="00A46E9E" w:rsidP="00A46E9E">
      <w:pPr>
        <w:tabs>
          <w:tab w:val="left" w:pos="425"/>
          <w:tab w:val="left" w:pos="851"/>
        </w:tabs>
        <w:spacing w:before="0"/>
        <w:ind w:left="426" w:hanging="426"/>
        <w:rPr>
          <w:szCs w:val="24"/>
        </w:rPr>
      </w:pPr>
      <w:r>
        <w:rPr>
          <w:szCs w:val="24"/>
        </w:rPr>
        <w:t>u)</w:t>
      </w:r>
      <w:r>
        <w:rPr>
          <w:szCs w:val="24"/>
        </w:rPr>
        <w:tab/>
      </w:r>
      <w:r w:rsidRPr="00F00BE9">
        <w:rPr>
          <w:szCs w:val="24"/>
        </w:rPr>
        <w:t>celkových aktivech a pasivech povolených poboček zahraničních bank, které mají sídlo v jiném než členském st</w:t>
      </w:r>
      <w:r>
        <w:rPr>
          <w:szCs w:val="24"/>
        </w:rPr>
        <w:t>átě, podle pravidelných výkazů,</w:t>
      </w:r>
    </w:p>
    <w:p w14:paraId="6E8DD7F0" w14:textId="77777777" w:rsidR="00A46E9E" w:rsidRDefault="00A46E9E" w:rsidP="00A46E9E">
      <w:pPr>
        <w:tabs>
          <w:tab w:val="left" w:pos="425"/>
          <w:tab w:val="left" w:pos="851"/>
        </w:tabs>
        <w:spacing w:before="0"/>
        <w:ind w:left="426" w:hanging="426"/>
        <w:rPr>
          <w:szCs w:val="24"/>
        </w:rPr>
      </w:pPr>
      <w:r>
        <w:rPr>
          <w:szCs w:val="24"/>
        </w:rPr>
        <w:t>v)</w:t>
      </w:r>
      <w:r>
        <w:rPr>
          <w:szCs w:val="24"/>
        </w:rPr>
        <w:tab/>
      </w:r>
      <w:r w:rsidRPr="00F00BE9">
        <w:rPr>
          <w:szCs w:val="24"/>
        </w:rPr>
        <w:t xml:space="preserve">důvodném podezření z legalizace výnosů z trestné činnosti nebo financování terorismu, pokusu o ně, nebo o významné hrozbě takového rizika, a to bez zbytečného odkladu; v případě významné hrozby takového rizika vyhodnotí Česká národní banka situaci společně </w:t>
      </w:r>
      <w:r w:rsidRPr="00F00BE9">
        <w:rPr>
          <w:szCs w:val="24"/>
        </w:rPr>
        <w:lastRenderedPageBreak/>
        <w:t>s Finančním analytickým úřadem a bez zbytečného odkladu informuje Evropský orgán pro bankovnictví o výsledku tohoto společného vyhodnoc</w:t>
      </w:r>
      <w:r>
        <w:rPr>
          <w:szCs w:val="24"/>
        </w:rPr>
        <w:t>ení.</w:t>
      </w:r>
    </w:p>
    <w:p w14:paraId="52A209B3" w14:textId="77777777" w:rsidR="00A46E9E" w:rsidRPr="00F00BE9" w:rsidRDefault="00A46E9E" w:rsidP="00A46E9E">
      <w:pPr>
        <w:pStyle w:val="PZTextodstavce"/>
        <w:rPr>
          <w:szCs w:val="24"/>
        </w:rPr>
      </w:pPr>
      <w:r w:rsidRPr="00F00BE9">
        <w:rPr>
          <w:szCs w:val="24"/>
        </w:rPr>
        <w:t>(3) Na vyžádání Česká národní banka informuje Evropský orgán pro bankovnictví o všech skutečnostech nezbytných k plnění jeho úkolů stanovených přís</w:t>
      </w:r>
      <w:r>
        <w:rPr>
          <w:szCs w:val="24"/>
        </w:rPr>
        <w:t>lušnými předpisy Evropské unie.</w:t>
      </w:r>
    </w:p>
    <w:p w14:paraId="2D5AE714" w14:textId="77777777" w:rsidR="00A46E9E" w:rsidRPr="00F00BE9" w:rsidRDefault="00A46E9E" w:rsidP="00A46E9E">
      <w:pPr>
        <w:pStyle w:val="PZTextodstavce"/>
        <w:rPr>
          <w:szCs w:val="24"/>
        </w:rPr>
      </w:pPr>
      <w:r>
        <w:rPr>
          <w:szCs w:val="24"/>
        </w:rPr>
        <w:t>(4)</w:t>
      </w:r>
      <w:r>
        <w:rPr>
          <w:szCs w:val="24"/>
        </w:rPr>
        <w:tab/>
      </w:r>
      <w:r w:rsidRPr="00F00BE9">
        <w:rPr>
          <w:szCs w:val="24"/>
        </w:rPr>
        <w:t xml:space="preserve">Česká národní banka informuje Evropskou radu pro systémová rizika o sazbě </w:t>
      </w:r>
      <w:proofErr w:type="spellStart"/>
      <w:r w:rsidRPr="00F00BE9">
        <w:rPr>
          <w:szCs w:val="24"/>
        </w:rPr>
        <w:t>proticyklické</w:t>
      </w:r>
      <w:proofErr w:type="spellEnd"/>
      <w:r w:rsidRPr="00F00BE9">
        <w:rPr>
          <w:szCs w:val="24"/>
        </w:rPr>
        <w:t xml:space="preserve"> kapitálové rezervy podle § 12o odst. 4 a úda</w:t>
      </w:r>
      <w:r>
        <w:rPr>
          <w:szCs w:val="24"/>
        </w:rPr>
        <w:t>jích uvedených v § 12o odst. 8.</w:t>
      </w:r>
    </w:p>
    <w:p w14:paraId="135FB5F2" w14:textId="77777777" w:rsidR="00A46E9E" w:rsidRDefault="00A46E9E" w:rsidP="00A46E9E">
      <w:pPr>
        <w:pStyle w:val="PZTextodstavce"/>
        <w:rPr>
          <w:szCs w:val="24"/>
        </w:rPr>
      </w:pPr>
      <w:r w:rsidRPr="00F00BE9">
        <w:rPr>
          <w:szCs w:val="24"/>
        </w:rPr>
        <w:t>(5) Česká národní banka informuje Evropský orgán pro pojišťovnictví a zaměstnanecké penzijní pojištění</w:t>
      </w:r>
      <w:r>
        <w:rPr>
          <w:rStyle w:val="Znakapoznpodarou"/>
          <w:szCs w:val="24"/>
        </w:rPr>
        <w:footnoteReference w:customMarkFollows="1" w:id="101"/>
        <w:t>31)</w:t>
      </w:r>
      <w:r w:rsidRPr="00F00BE9">
        <w:rPr>
          <w:szCs w:val="24"/>
        </w:rPr>
        <w:t xml:space="preserve"> o postupech přijatých podle § 26m odst. 1, 2 a 4.</w:t>
      </w:r>
    </w:p>
    <w:p w14:paraId="59D3C9EC" w14:textId="77777777" w:rsidR="00A46E9E" w:rsidRDefault="00A46E9E" w:rsidP="00A46E9E">
      <w:pPr>
        <w:pStyle w:val="Paragraf"/>
        <w:numPr>
          <w:ilvl w:val="0"/>
          <w:numId w:val="28"/>
        </w:numPr>
      </w:pPr>
      <w:r>
        <w:t>***</w:t>
      </w:r>
    </w:p>
    <w:p w14:paraId="2CF647BD" w14:textId="77777777" w:rsidR="00A46E9E" w:rsidRPr="0010375F" w:rsidRDefault="00A46E9E" w:rsidP="00A46E9E">
      <w:pPr>
        <w:pStyle w:val="Paragraf"/>
        <w:numPr>
          <w:ilvl w:val="0"/>
          <w:numId w:val="28"/>
        </w:numPr>
      </w:pPr>
      <w:r w:rsidRPr="0010375F">
        <w:t>§ 39</w:t>
      </w:r>
    </w:p>
    <w:p w14:paraId="7F2AF1CD" w14:textId="77777777" w:rsidR="00A46E9E" w:rsidRPr="00B92A80" w:rsidRDefault="00A46E9E" w:rsidP="00A46E9E">
      <w:pPr>
        <w:pStyle w:val="PZTextodstavce"/>
        <w:rPr>
          <w:szCs w:val="24"/>
        </w:rPr>
      </w:pPr>
      <w:r w:rsidRPr="00B92A80">
        <w:rPr>
          <w:szCs w:val="24"/>
        </w:rPr>
        <w:t xml:space="preserve">(1) Pracovníci banky, členové statutárního orgánu banky, členové správní rady banky a členové dozorčí rady banky jsou povinni zachovávat mlčenlivost ve služebních věcech dotýkajících se zájmů banky a jejích klientů. Z důvodů uvedených v § 38 odst. 2 až 6 a 8 a § 38b je statutární orgán této povinnosti zprostí; jde-li o povinnost mlčenlivosti členů statutárního orgánu, má tuto působnost správní rada nebo dozorčí rada. Porušením povinnosti zachovávat mlčenlivost ve služebních věcech není poskytnutí údajů v případech a pro účely uvedené v § 41d odst. 4 a 5, § 41g odst. 5 a § 41n. </w:t>
      </w:r>
    </w:p>
    <w:p w14:paraId="2D8B4501" w14:textId="77777777" w:rsidR="00A46E9E" w:rsidRPr="00B92A80" w:rsidRDefault="00A46E9E" w:rsidP="00A46E9E">
      <w:pPr>
        <w:pStyle w:val="PZTextodstavce"/>
        <w:rPr>
          <w:szCs w:val="24"/>
        </w:rPr>
      </w:pPr>
      <w:r w:rsidRPr="00B92A80">
        <w:rPr>
          <w:szCs w:val="24"/>
        </w:rPr>
        <w:t xml:space="preserve">(2) Pracovníci banky, členové statutárního orgánu banky, členové správní rady banky a členové dozorčí rady banky jsou povinni zachovávat mlčenlivost o údajích, které jim byly poskytnuty za účelem vyřízení vyžádání zprávy o záležitostech klienta, které jsou předmětem bankovního tajemství, podle § 38 odst. 3 písm. j). Tuto povinnost jsou povinni zachovávat vůči klientovi i všem dalším osobám; porušením této povinnosti není poskytnutí údajů pracovníkovi, členovi statutárního orgánu, členovi správní rady nebo členovi dozorčí rady téže banky, pokud je to nutné pro výkon jeho funkce nebo pracovní činnosti. </w:t>
      </w:r>
    </w:p>
    <w:p w14:paraId="52E2F0D5" w14:textId="77777777" w:rsidR="00A46E9E" w:rsidRDefault="00A46E9E" w:rsidP="00A46E9E">
      <w:pPr>
        <w:pStyle w:val="PZTextodstavce"/>
        <w:rPr>
          <w:szCs w:val="24"/>
        </w:rPr>
      </w:pPr>
      <w:r w:rsidRPr="00B92A80">
        <w:rPr>
          <w:szCs w:val="24"/>
        </w:rPr>
        <w:t xml:space="preserve">(3) Povinnost zachovávat mlčenlivost trvá i po skončení pracovněprávního vztahu nebo jiného obdobného vztahu. </w:t>
      </w:r>
    </w:p>
    <w:p w14:paraId="673E016E" w14:textId="77777777" w:rsidR="00A46E9E" w:rsidRPr="00256CDB" w:rsidRDefault="00A46E9E" w:rsidP="00A46E9E">
      <w:pPr>
        <w:pStyle w:val="PZTextodstavce"/>
        <w:rPr>
          <w:b/>
          <w:szCs w:val="24"/>
        </w:rPr>
      </w:pPr>
      <w:r w:rsidRPr="00C54F9C">
        <w:rPr>
          <w:b/>
          <w:szCs w:val="24"/>
        </w:rPr>
        <w:t xml:space="preserve">(4) Pro povinnost mlčenlivosti ověřovatele </w:t>
      </w:r>
      <w:r>
        <w:rPr>
          <w:b/>
          <w:szCs w:val="24"/>
        </w:rPr>
        <w:t>řídicího</w:t>
      </w:r>
      <w:r w:rsidRPr="00C54F9C">
        <w:rPr>
          <w:b/>
          <w:szCs w:val="24"/>
        </w:rPr>
        <w:t xml:space="preserve"> a kontrolního systému se použijí ustanovení zákona upravujícího </w:t>
      </w:r>
      <w:r>
        <w:rPr>
          <w:b/>
          <w:szCs w:val="24"/>
        </w:rPr>
        <w:t xml:space="preserve">auditorskou </w:t>
      </w:r>
      <w:r w:rsidRPr="00C54F9C">
        <w:rPr>
          <w:b/>
          <w:szCs w:val="24"/>
        </w:rPr>
        <w:t>činnost obdobně.</w:t>
      </w:r>
      <w:r>
        <w:rPr>
          <w:b/>
          <w:szCs w:val="24"/>
        </w:rPr>
        <w:t xml:space="preserve"> Ověřovatel řídicího a kontrolního systému je povinen zachovávat mlčenlivost podle zákona upravujícího auditorskou činnost, jde-li o auditora.</w:t>
      </w:r>
    </w:p>
    <w:p w14:paraId="58AACBFF" w14:textId="77777777" w:rsidR="00DF48E0" w:rsidRDefault="00DF48E0" w:rsidP="008F5A61">
      <w:pPr>
        <w:pStyle w:val="Textparagrafu"/>
        <w:numPr>
          <w:ilvl w:val="0"/>
          <w:numId w:val="28"/>
        </w:numPr>
        <w:jc w:val="center"/>
        <w:sectPr w:rsidR="00DF48E0" w:rsidSect="00084391">
          <w:footnotePr>
            <w:numStart w:val="3"/>
          </w:footnotePr>
          <w:endnotePr>
            <w:numFmt w:val="decimal"/>
          </w:endnotePr>
          <w:pgSz w:w="11906" w:h="16838"/>
          <w:pgMar w:top="1418" w:right="1418" w:bottom="1418" w:left="1418" w:header="709" w:footer="709" w:gutter="0"/>
          <w:cols w:space="708"/>
          <w:docGrid w:linePitch="360"/>
        </w:sectPr>
      </w:pPr>
    </w:p>
    <w:p w14:paraId="7746F531" w14:textId="485348E8" w:rsidR="002B6A12" w:rsidRPr="002B6A12" w:rsidRDefault="002B6A12" w:rsidP="00D41C2D">
      <w:pPr>
        <w:pStyle w:val="Odstavecseseznamem"/>
        <w:tabs>
          <w:tab w:val="left" w:pos="851"/>
        </w:tabs>
        <w:spacing w:before="120" w:after="120"/>
        <w:ind w:left="0" w:firstLine="0"/>
        <w:jc w:val="center"/>
        <w:outlineLvl w:val="0"/>
        <w:rPr>
          <w:szCs w:val="24"/>
        </w:rPr>
      </w:pPr>
      <w:r w:rsidRPr="002B6A12">
        <w:rPr>
          <w:b/>
          <w:szCs w:val="24"/>
        </w:rPr>
        <w:lastRenderedPageBreak/>
        <w:t xml:space="preserve">K části třinácté návrhu zákona – </w:t>
      </w:r>
      <w:r w:rsidRPr="002B6A12">
        <w:rPr>
          <w:szCs w:val="24"/>
        </w:rPr>
        <w:t>změna zákona o úpravě majetkových vztahů a vypořádání majetkových nároků v družstvech</w:t>
      </w:r>
      <w:r w:rsidRPr="002B6A12">
        <w:rPr>
          <w:color w:val="000000"/>
          <w:szCs w:val="24"/>
        </w:rPr>
        <w:t>,</w:t>
      </w:r>
    </w:p>
    <w:p w14:paraId="7839473E" w14:textId="77777777" w:rsidR="002B6A12" w:rsidRPr="002B6A12" w:rsidRDefault="002B6A12" w:rsidP="002B6A12">
      <w:pPr>
        <w:pStyle w:val="Odstavecseseznamem"/>
        <w:tabs>
          <w:tab w:val="left" w:pos="851"/>
        </w:tabs>
        <w:spacing w:before="120" w:after="120"/>
        <w:ind w:left="0" w:firstLine="0"/>
        <w:outlineLvl w:val="0"/>
        <w:rPr>
          <w:b/>
          <w:szCs w:val="24"/>
        </w:rPr>
      </w:pPr>
    </w:p>
    <w:p w14:paraId="486F0BD6" w14:textId="541F4205" w:rsidR="002B6A12" w:rsidRPr="002B6A12" w:rsidRDefault="002B6A12" w:rsidP="002B6A12">
      <w:pPr>
        <w:pStyle w:val="Odstavecseseznamem"/>
        <w:numPr>
          <w:ilvl w:val="0"/>
          <w:numId w:val="28"/>
        </w:numPr>
        <w:pBdr>
          <w:top w:val="single" w:sz="12" w:space="6" w:color="auto"/>
          <w:left w:val="single" w:sz="12" w:space="0" w:color="auto"/>
          <w:bottom w:val="single" w:sz="12" w:space="6" w:color="auto"/>
          <w:right w:val="single" w:sz="12" w:space="0" w:color="auto"/>
        </w:pBdr>
        <w:jc w:val="center"/>
        <w:rPr>
          <w:szCs w:val="24"/>
        </w:rPr>
      </w:pPr>
      <w:r w:rsidRPr="002B6A12">
        <w:rPr>
          <w:b/>
          <w:szCs w:val="24"/>
        </w:rPr>
        <w:t>Platné znění</w:t>
      </w:r>
      <w:r w:rsidRPr="002B6A12">
        <w:rPr>
          <w:szCs w:val="24"/>
        </w:rPr>
        <w:t xml:space="preserve"> zákona </w:t>
      </w:r>
      <w:r w:rsidRPr="002B6A12">
        <w:rPr>
          <w:color w:val="000000"/>
          <w:szCs w:val="24"/>
        </w:rPr>
        <w:t xml:space="preserve">č. 42/1992 Sb., </w:t>
      </w:r>
      <w:r w:rsidRPr="002B6A12">
        <w:rPr>
          <w:szCs w:val="24"/>
        </w:rPr>
        <w:t>o úpravě majetkových vztahů a vypořádání majetkových nároků v družstvech</w:t>
      </w:r>
      <w:r w:rsidRPr="002B6A12">
        <w:rPr>
          <w:color w:val="000000"/>
          <w:szCs w:val="24"/>
        </w:rPr>
        <w:t>,</w:t>
      </w:r>
    </w:p>
    <w:p w14:paraId="007639FA" w14:textId="77777777" w:rsidR="00D41C2D" w:rsidRPr="00A06781" w:rsidRDefault="00D41C2D" w:rsidP="00D41C2D">
      <w:pPr>
        <w:pStyle w:val="Odstavecseseznamem"/>
        <w:numPr>
          <w:ilvl w:val="0"/>
          <w:numId w:val="28"/>
        </w:numPr>
        <w:pBdr>
          <w:top w:val="single" w:sz="12" w:space="6" w:color="auto"/>
          <w:left w:val="single" w:sz="12" w:space="0" w:color="auto"/>
          <w:bottom w:val="single" w:sz="12" w:space="6" w:color="auto"/>
          <w:right w:val="single" w:sz="12" w:space="0" w:color="auto"/>
        </w:pBdr>
        <w:jc w:val="center"/>
        <w:rPr>
          <w:b/>
          <w:szCs w:val="24"/>
        </w:rPr>
      </w:pPr>
      <w:r w:rsidRPr="00A06781">
        <w:rPr>
          <w:b/>
          <w:szCs w:val="24"/>
        </w:rPr>
        <w:t>s vyznačením navrhovaných změn a doplnění k 1. lednu 2025</w:t>
      </w:r>
    </w:p>
    <w:p w14:paraId="648D075B" w14:textId="77777777" w:rsidR="002B6A12" w:rsidRPr="002B6A12" w:rsidRDefault="002B6A12" w:rsidP="00D41C2D">
      <w:pPr>
        <w:pStyle w:val="Textparagrafu"/>
        <w:ind w:firstLine="0"/>
        <w:jc w:val="center"/>
      </w:pPr>
      <w:r w:rsidRPr="002B6A12">
        <w:t>***</w:t>
      </w:r>
    </w:p>
    <w:p w14:paraId="30396B85" w14:textId="77777777" w:rsidR="002B6A12" w:rsidRDefault="002B6A12" w:rsidP="002B6A12">
      <w:pPr>
        <w:pStyle w:val="Paragraf"/>
        <w:numPr>
          <w:ilvl w:val="0"/>
          <w:numId w:val="2"/>
        </w:numPr>
      </w:pPr>
      <w:r>
        <w:t>§ 6</w:t>
      </w:r>
    </w:p>
    <w:p w14:paraId="25DE8BCF" w14:textId="77777777" w:rsidR="002B6A12" w:rsidRPr="00243C72" w:rsidRDefault="002B6A12" w:rsidP="00992796">
      <w:pPr>
        <w:pStyle w:val="Nadpisparagrafu"/>
        <w:numPr>
          <w:ilvl w:val="0"/>
          <w:numId w:val="59"/>
        </w:numPr>
      </w:pPr>
      <w:r>
        <w:t>Působnost rady</w:t>
      </w:r>
    </w:p>
    <w:p w14:paraId="65A64A68" w14:textId="77777777" w:rsidR="002B6A12" w:rsidRDefault="002B6A12" w:rsidP="002B6A12">
      <w:pPr>
        <w:pStyle w:val="PZTextodstavce"/>
      </w:pPr>
      <w:r>
        <w:t xml:space="preserve">(1) </w:t>
      </w:r>
      <w:r w:rsidRPr="00EE5D8F">
        <w:t>Rada při transformaci družstva</w:t>
      </w:r>
    </w:p>
    <w:p w14:paraId="37815930" w14:textId="77777777" w:rsidR="002B6A12" w:rsidRDefault="002B6A12" w:rsidP="00A46E9E">
      <w:pPr>
        <w:pStyle w:val="PZTextpsmene"/>
        <w:spacing w:before="0"/>
      </w:pPr>
      <w:r>
        <w:t>a)</w:t>
      </w:r>
      <w:r>
        <w:tab/>
      </w:r>
      <w:r w:rsidRPr="00EE5D8F">
        <w:t>volí ze svých členů předsedu a místopředsedu,</w:t>
      </w:r>
    </w:p>
    <w:p w14:paraId="7847655E" w14:textId="77777777" w:rsidR="002B6A12" w:rsidRDefault="002B6A12" w:rsidP="00A46E9E">
      <w:pPr>
        <w:pStyle w:val="PZTextpsmene"/>
        <w:spacing w:before="0"/>
      </w:pPr>
      <w:r>
        <w:t>b)</w:t>
      </w:r>
      <w:r>
        <w:tab/>
      </w:r>
      <w:r w:rsidRPr="00EE5D8F">
        <w:t>dohlíží na dodržování povinností družstva, stanovených pro transformaci tímto zákonem a dalšími předpisy, zejména</w:t>
      </w:r>
    </w:p>
    <w:p w14:paraId="6608CCAB" w14:textId="77777777" w:rsidR="002B6A12" w:rsidRDefault="002B6A12" w:rsidP="00A46E9E">
      <w:pPr>
        <w:pStyle w:val="Textpsmene"/>
        <w:numPr>
          <w:ilvl w:val="4"/>
          <w:numId w:val="2"/>
        </w:numPr>
        <w:spacing w:before="0"/>
      </w:pPr>
      <w:r>
        <w:t>kontroluje správnost zpracování soupisu majetku družstva, úplnost identifikace majetku vlastníků a dodržování podmínek pro výpočet majetkových podílů,</w:t>
      </w:r>
    </w:p>
    <w:p w14:paraId="7AA0B055" w14:textId="77777777" w:rsidR="002B6A12" w:rsidRDefault="002B6A12" w:rsidP="00A46E9E">
      <w:pPr>
        <w:pStyle w:val="Textpsmene"/>
        <w:numPr>
          <w:ilvl w:val="4"/>
          <w:numId w:val="2"/>
        </w:numPr>
        <w:spacing w:before="0"/>
      </w:pPr>
      <w:r>
        <w:t>posuzuje transformační projekty zpracované představenstvem družstva a projekty předložené oprávněnými osobami a předkládá valné hromadě svá stanoviska k nim,</w:t>
      </w:r>
    </w:p>
    <w:p w14:paraId="0199A285" w14:textId="77777777" w:rsidR="002B6A12" w:rsidRDefault="002B6A12" w:rsidP="00A46E9E">
      <w:pPr>
        <w:pStyle w:val="Textpsmene"/>
        <w:numPr>
          <w:ilvl w:val="4"/>
          <w:numId w:val="2"/>
        </w:numPr>
        <w:spacing w:before="0"/>
      </w:pPr>
      <w:r>
        <w:t>určuje termín, místo konání a program valné hromady, která bude projednávat transformační projekty,</w:t>
      </w:r>
    </w:p>
    <w:p w14:paraId="7DFC82AF" w14:textId="77777777" w:rsidR="002B6A12" w:rsidRDefault="002B6A12" w:rsidP="00A46E9E">
      <w:pPr>
        <w:pStyle w:val="Textpsmene"/>
        <w:numPr>
          <w:ilvl w:val="4"/>
          <w:numId w:val="2"/>
        </w:numPr>
        <w:spacing w:before="0"/>
      </w:pPr>
      <w:r>
        <w:t>kontroluje plnění harmonogramu transformace schváleného v transformačním projektu,</w:t>
      </w:r>
    </w:p>
    <w:p w14:paraId="5B2E6085" w14:textId="77777777" w:rsidR="002B6A12" w:rsidRDefault="002B6A12" w:rsidP="00A46E9E">
      <w:pPr>
        <w:pStyle w:val="PZTextpsmene"/>
        <w:spacing w:before="0"/>
      </w:pPr>
      <w:r>
        <w:t>c)</w:t>
      </w:r>
      <w:r>
        <w:tab/>
      </w:r>
      <w:r w:rsidRPr="00F355D6">
        <w:t xml:space="preserve">je oprávněna zadat auditorovi na náklady družstva </w:t>
      </w:r>
      <w:r w:rsidRPr="00F355D6">
        <w:rPr>
          <w:strike/>
        </w:rPr>
        <w:t>přezkoušení</w:t>
      </w:r>
      <w:r w:rsidRPr="00F355D6">
        <w:t xml:space="preserve"> </w:t>
      </w:r>
      <w:r w:rsidRPr="00F355D6">
        <w:rPr>
          <w:b/>
        </w:rPr>
        <w:t>audit</w:t>
      </w:r>
      <w:r w:rsidRPr="00F355D6">
        <w:t xml:space="preserve"> účetní závěrky,</w:t>
      </w:r>
      <w:r>
        <w:t xml:space="preserve"> </w:t>
      </w:r>
      <w:r w:rsidRPr="00F355D6">
        <w:rPr>
          <w:b/>
        </w:rPr>
        <w:t>prověření</w:t>
      </w:r>
      <w:r>
        <w:t xml:space="preserve"> účetních </w:t>
      </w:r>
      <w:r w:rsidRPr="00F355D6">
        <w:t>dokladů</w:t>
      </w:r>
      <w:r w:rsidRPr="00E969E6">
        <w:rPr>
          <w:color w:val="FF0000"/>
        </w:rPr>
        <w:t xml:space="preserve"> </w:t>
      </w:r>
      <w:r>
        <w:t xml:space="preserve">zpětně od 1. ledna 1990 a </w:t>
      </w:r>
      <w:r>
        <w:rPr>
          <w:b/>
        </w:rPr>
        <w:t>prověření</w:t>
      </w:r>
      <w:r>
        <w:t xml:space="preserve"> výpočtu majetkových podílů provedeného družstvem,</w:t>
      </w:r>
    </w:p>
    <w:p w14:paraId="1D39B7BE" w14:textId="77777777" w:rsidR="002B6A12" w:rsidRDefault="002B6A12" w:rsidP="00A46E9E">
      <w:pPr>
        <w:pStyle w:val="PZTextpsmene"/>
        <w:spacing w:before="0"/>
      </w:pPr>
      <w:r>
        <w:t>d)</w:t>
      </w:r>
      <w:r>
        <w:tab/>
        <w:t>vypracovává záměr o budoucí organizačně právní formě družstva a předkládá jej představenstvu družstva, které je povinno jej dopracovat,</w:t>
      </w:r>
    </w:p>
    <w:p w14:paraId="4A4ABD4E" w14:textId="77777777" w:rsidR="002B6A12" w:rsidRDefault="002B6A12" w:rsidP="00A46E9E">
      <w:pPr>
        <w:pStyle w:val="PZTextpsmene"/>
        <w:spacing w:before="0"/>
      </w:pPr>
      <w:r>
        <w:t>e)</w:t>
      </w:r>
      <w:r>
        <w:tab/>
        <w:t>při projednávání transformačních projektů podává valné hromadě zprávu o postupu přípravy transformace družstva,</w:t>
      </w:r>
    </w:p>
    <w:p w14:paraId="304D258A" w14:textId="77777777" w:rsidR="002B6A12" w:rsidRDefault="002B6A12" w:rsidP="00A46E9E">
      <w:pPr>
        <w:pStyle w:val="PZTextpsmene"/>
        <w:spacing w:before="0"/>
      </w:pPr>
      <w:r>
        <w:t>f)</w:t>
      </w:r>
      <w:r>
        <w:tab/>
        <w:t>předkládá valné hromadě transformační projekty.</w:t>
      </w:r>
    </w:p>
    <w:p w14:paraId="1AA5EE8F" w14:textId="77777777" w:rsidR="002B6A12" w:rsidRDefault="002B6A12" w:rsidP="002B6A12">
      <w:pPr>
        <w:pStyle w:val="PZTextodstavce"/>
      </w:pPr>
      <w:r>
        <w:t xml:space="preserve">(2) </w:t>
      </w:r>
      <w:r w:rsidRPr="00D310BC">
        <w:t>Předseda rady řídí jednání valné hromady při projednávání a schvalování transformačního projektu.</w:t>
      </w:r>
    </w:p>
    <w:p w14:paraId="6ABDAC1A" w14:textId="77777777" w:rsidR="002B6A12" w:rsidRDefault="002B6A12" w:rsidP="002B6A12">
      <w:pPr>
        <w:pStyle w:val="PZTextodstavce"/>
      </w:pPr>
      <w:r>
        <w:t xml:space="preserve">(3) </w:t>
      </w:r>
      <w:r w:rsidRPr="00D310BC">
        <w:t>Rada má právo vůči družstvu na úhradu prokázaných nutných nákladů spojených s výkonem funkce.</w:t>
      </w:r>
    </w:p>
    <w:p w14:paraId="09805E94" w14:textId="77777777" w:rsidR="002B6A12" w:rsidRDefault="002B6A12" w:rsidP="002B6A12">
      <w:pPr>
        <w:pStyle w:val="Paragraf"/>
        <w:numPr>
          <w:ilvl w:val="0"/>
          <w:numId w:val="2"/>
        </w:numPr>
        <w:spacing w:before="120"/>
      </w:pPr>
      <w:r>
        <w:t>***</w:t>
      </w:r>
    </w:p>
    <w:p w14:paraId="1CB91448" w14:textId="77777777" w:rsidR="002B6A12" w:rsidRDefault="002B6A12" w:rsidP="002B6A12">
      <w:pPr>
        <w:pStyle w:val="Paragraf"/>
        <w:numPr>
          <w:ilvl w:val="0"/>
          <w:numId w:val="2"/>
        </w:numPr>
      </w:pPr>
      <w:r>
        <w:t>§ 9</w:t>
      </w:r>
    </w:p>
    <w:p w14:paraId="034BD0B2" w14:textId="77777777" w:rsidR="002B6A12" w:rsidRPr="00243C72" w:rsidRDefault="002B6A12" w:rsidP="00992796">
      <w:pPr>
        <w:pStyle w:val="Nadpisparagrafu"/>
        <w:numPr>
          <w:ilvl w:val="0"/>
          <w:numId w:val="59"/>
        </w:numPr>
      </w:pPr>
      <w:r>
        <w:t>Transformační projekt</w:t>
      </w:r>
    </w:p>
    <w:p w14:paraId="0E91FB88" w14:textId="77777777" w:rsidR="002B6A12" w:rsidRDefault="002B6A12" w:rsidP="002B6A12">
      <w:pPr>
        <w:pStyle w:val="PZTextodstavce"/>
      </w:pPr>
      <w:r>
        <w:t xml:space="preserve">(1) </w:t>
      </w:r>
      <w:r w:rsidRPr="00D310BC">
        <w:t>Soupis a ocenění majetku družstva zpracuje představenstvo družstva do tří měsíců od účinnosti tohoto zákona.</w:t>
      </w:r>
    </w:p>
    <w:p w14:paraId="116B5319" w14:textId="77777777" w:rsidR="002B6A12" w:rsidRDefault="002B6A12" w:rsidP="002B6A12">
      <w:pPr>
        <w:pStyle w:val="PZTextodstavce"/>
      </w:pPr>
      <w:r>
        <w:t xml:space="preserve">(2) </w:t>
      </w:r>
      <w:r w:rsidRPr="00D310BC">
        <w:t xml:space="preserve">Transformační projekt vypracovává družstvo nebo jím pověřená právnická nebo fyzická osoba. Družstvo je povinno jej předat radě 60 dnů před konáním valné hromady, která </w:t>
      </w:r>
      <w:r w:rsidRPr="00D310BC">
        <w:lastRenderedPageBreak/>
        <w:t>projednává a schvaluje transformační projekty. Rada je povinna oprávněným osobám umožnit přístup k předloženým transformačním projektům.</w:t>
      </w:r>
    </w:p>
    <w:p w14:paraId="5D5FA386" w14:textId="77777777" w:rsidR="002B6A12" w:rsidRPr="007A727C" w:rsidRDefault="002B6A12" w:rsidP="002B6A12">
      <w:pPr>
        <w:pStyle w:val="PZTextodstavce"/>
        <w:rPr>
          <w:b/>
        </w:rPr>
      </w:pPr>
      <w:r>
        <w:t xml:space="preserve">(3) </w:t>
      </w:r>
      <w:r w:rsidRPr="00D310BC">
        <w:t xml:space="preserve">Transformační projekt družstva může rovněž vypracovat kterákoliv oprávněná osoba; představenstvo družstva je povinno jí sdělit bez zbytečného odkladu údaje o čistém jmění družstva a o počtu oprávněných osob a předložit jí k nahlédnutí </w:t>
      </w:r>
      <w:r w:rsidRPr="007A727C">
        <w:rPr>
          <w:b/>
        </w:rPr>
        <w:t xml:space="preserve">mezitímní </w:t>
      </w:r>
      <w:r w:rsidRPr="00D310BC">
        <w:t>účetní závěrku za poslední čtvrtletí.</w:t>
      </w:r>
      <w:r>
        <w:t xml:space="preserve"> </w:t>
      </w:r>
    </w:p>
    <w:p w14:paraId="3911236C" w14:textId="77777777" w:rsidR="002B6A12" w:rsidRDefault="002B6A12" w:rsidP="002B6A12">
      <w:pPr>
        <w:pStyle w:val="PZTextodstavce"/>
      </w:pPr>
      <w:r>
        <w:t xml:space="preserve">(4) </w:t>
      </w:r>
      <w:r w:rsidRPr="00034F49">
        <w:t>Transformační projekty předkládá valné hromadě rada, která je povinna předložit k projednání všechny transformační projekty. Pokud vypracovává projekt oprávněná osoba, musí jej předat představenstvu družstva nejpozději 30 dnů před dnem konání valné hromady. Představenstvo je povinno o všech předložených projektech informovat radu.</w:t>
      </w:r>
    </w:p>
    <w:p w14:paraId="6188B49C" w14:textId="77777777" w:rsidR="002B6A12" w:rsidRDefault="002B6A12" w:rsidP="002B6A12">
      <w:pPr>
        <w:pStyle w:val="PZTextodstavce"/>
      </w:pPr>
      <w:r>
        <w:t xml:space="preserve">(5) </w:t>
      </w:r>
      <w:r w:rsidRPr="00034F49">
        <w:t>Transformační projekt musí obsahovat</w:t>
      </w:r>
    </w:p>
    <w:p w14:paraId="54859E5C" w14:textId="77777777" w:rsidR="002B6A12" w:rsidRDefault="002B6A12" w:rsidP="002B6A12">
      <w:pPr>
        <w:pStyle w:val="PZTextpsmene"/>
        <w:spacing w:before="0"/>
      </w:pPr>
      <w:r w:rsidRPr="00881363">
        <w:t>a)</w:t>
      </w:r>
      <w:r>
        <w:rPr>
          <w:b/>
        </w:rPr>
        <w:tab/>
      </w:r>
      <w:r w:rsidRPr="007A727C">
        <w:rPr>
          <w:b/>
        </w:rPr>
        <w:t xml:space="preserve">mezitímní </w:t>
      </w:r>
      <w:r>
        <w:t xml:space="preserve">účetní závěrku za poslední čtvrtletí </w:t>
      </w:r>
      <w:r w:rsidRPr="007A727C">
        <w:t>ověřenou auditorem,</w:t>
      </w:r>
    </w:p>
    <w:p w14:paraId="25191986" w14:textId="77777777" w:rsidR="002B6A12" w:rsidRDefault="002B6A12" w:rsidP="002B6A12">
      <w:pPr>
        <w:pStyle w:val="PZTextpsmene"/>
        <w:spacing w:before="0"/>
      </w:pPr>
      <w:r>
        <w:t>b)</w:t>
      </w:r>
      <w:r>
        <w:tab/>
        <w:t>dohodu podle § 3 odst. 2,</w:t>
      </w:r>
    </w:p>
    <w:p w14:paraId="4EF4E4F3" w14:textId="77777777" w:rsidR="002B6A12" w:rsidRDefault="002B6A12" w:rsidP="002B6A12">
      <w:pPr>
        <w:pStyle w:val="PZTextpsmene"/>
        <w:spacing w:before="0"/>
      </w:pPr>
      <w:r>
        <w:t>c)</w:t>
      </w:r>
      <w:r>
        <w:tab/>
        <w:t>vymezení majetku, který nebyl podle § 7 odst. 1 k poslednímu dni čtvrtletí předcházejícího vypracování transformačního projektu zahrnut do čistého jmění družstva,</w:t>
      </w:r>
    </w:p>
    <w:p w14:paraId="24000BC1" w14:textId="77777777" w:rsidR="002B6A12" w:rsidRDefault="002B6A12" w:rsidP="002B6A12">
      <w:pPr>
        <w:pStyle w:val="PZTextpsmene"/>
        <w:spacing w:before="0"/>
      </w:pPr>
      <w:r>
        <w:t>d)</w:t>
      </w:r>
      <w:r>
        <w:tab/>
        <w:t>vymezení čistého jmění družstva podle § 7 k poslednímu dni čtvrtletí předcházejícího vypracování transformačního projektu,</w:t>
      </w:r>
    </w:p>
    <w:p w14:paraId="30CFBDE9" w14:textId="77777777" w:rsidR="002B6A12" w:rsidRDefault="002B6A12" w:rsidP="002B6A12">
      <w:pPr>
        <w:pStyle w:val="PZTextpsmene"/>
        <w:spacing w:before="0"/>
      </w:pPr>
      <w:r>
        <w:t>e)</w:t>
      </w:r>
      <w:r>
        <w:tab/>
        <w:t>určení osob, na něž se převádějí věci, se kterými jsou spojeny závazky, včetně vyjádření věřitele,</w:t>
      </w:r>
    </w:p>
    <w:p w14:paraId="2CB56278" w14:textId="77777777" w:rsidR="002B6A12" w:rsidRDefault="002B6A12" w:rsidP="002B6A12">
      <w:pPr>
        <w:pStyle w:val="PZTextpsmene"/>
        <w:spacing w:before="0"/>
      </w:pPr>
      <w:r>
        <w:t>f)</w:t>
      </w:r>
      <w:r>
        <w:tab/>
        <w:t>údaje o počtu oprávněných osob k rozhodnutí o transformačním projektu s uvedením, kde lze nahlédnout do jejich seznamu, který musí obsahovat data jejich narození a místo trvalého bydliště,</w:t>
      </w:r>
    </w:p>
    <w:p w14:paraId="458F72BB" w14:textId="77777777" w:rsidR="002B6A12" w:rsidRDefault="002B6A12" w:rsidP="002B6A12">
      <w:pPr>
        <w:pStyle w:val="PZTextpsmene"/>
        <w:spacing w:before="0"/>
      </w:pPr>
      <w:r>
        <w:t>g)</w:t>
      </w:r>
      <w:r>
        <w:tab/>
        <w:t>kritéria pro výpočet majetkových podílů členů a jiných oprávněných osob, která jsou závazně stanovena v souladu s částí třetí a čtvrtou tohoto zákona,</w:t>
      </w:r>
    </w:p>
    <w:p w14:paraId="2B31414F" w14:textId="77777777" w:rsidR="002B6A12" w:rsidRDefault="002B6A12" w:rsidP="002B6A12">
      <w:pPr>
        <w:pStyle w:val="PZTextpsmene"/>
        <w:spacing w:before="0"/>
      </w:pPr>
      <w:r>
        <w:t>h)</w:t>
      </w:r>
      <w:r>
        <w:tab/>
        <w:t>časový harmonogram transformace družstva, včetně lhůt pro provedení úkonů nezbytných podle obchodního zákoníku,</w:t>
      </w:r>
      <w:r>
        <w:rPr>
          <w:rStyle w:val="Znakapoznpodarou"/>
        </w:rPr>
        <w:footnoteReference w:customMarkFollows="1" w:id="102"/>
        <w:t>7)</w:t>
      </w:r>
    </w:p>
    <w:p w14:paraId="1BA33138" w14:textId="77777777" w:rsidR="002B6A12" w:rsidRDefault="002B6A12" w:rsidP="002B6A12">
      <w:pPr>
        <w:pStyle w:val="PZTextpsmene"/>
        <w:spacing w:before="0"/>
      </w:pPr>
      <w:r>
        <w:t>i)</w:t>
      </w:r>
      <w:r>
        <w:tab/>
        <w:t>odůvodnění návrhů obsažených v transformačním projektu.</w:t>
      </w:r>
    </w:p>
    <w:p w14:paraId="5EA3E9B0" w14:textId="77777777" w:rsidR="002B6A12" w:rsidRDefault="002B6A12" w:rsidP="002B6A12">
      <w:pPr>
        <w:pStyle w:val="PZTextodstavce"/>
        <w:ind w:left="425" w:firstLine="0"/>
      </w:pPr>
      <w:r>
        <w:t xml:space="preserve">(6) K </w:t>
      </w:r>
      <w:r w:rsidRPr="00034F49">
        <w:t>transformačnímu projektu musí být přiložen</w:t>
      </w:r>
    </w:p>
    <w:p w14:paraId="5148F58E" w14:textId="77777777" w:rsidR="002B6A12" w:rsidRDefault="002B6A12" w:rsidP="002B6A12">
      <w:pPr>
        <w:pStyle w:val="PZTextpsmene"/>
        <w:spacing w:before="0"/>
      </w:pPr>
      <w:r>
        <w:t>a)</w:t>
      </w:r>
      <w:r>
        <w:tab/>
        <w:t xml:space="preserve">návrh, aby družstvo po transformaci působilo dále, a návrh na úpravy stanov družstva, vyplývající z transformačního projektu a ze zvláštních </w:t>
      </w:r>
      <w:proofErr w:type="gramStart"/>
      <w:r>
        <w:t>předpisů,</w:t>
      </w:r>
      <w:r w:rsidRPr="000115DD">
        <w:rPr>
          <w:vertAlign w:val="superscript"/>
        </w:rPr>
        <w:t>7)</w:t>
      </w:r>
      <w:r>
        <w:rPr>
          <w:vertAlign w:val="superscript"/>
        </w:rPr>
        <w:t xml:space="preserve"> </w:t>
      </w:r>
      <w:r>
        <w:t>a návrh</w:t>
      </w:r>
      <w:proofErr w:type="gramEnd"/>
      <w:r>
        <w:t xml:space="preserve"> na stanovení výše nedělitelného fondu družstva podle zvláštních předpisů,</w:t>
      </w:r>
      <w:r>
        <w:rPr>
          <w:rStyle w:val="Znakapoznpodarou"/>
        </w:rPr>
        <w:footnoteReference w:customMarkFollows="1" w:id="103"/>
        <w:t>8)</w:t>
      </w:r>
      <w:r>
        <w:t xml:space="preserve"> nebo</w:t>
      </w:r>
    </w:p>
    <w:p w14:paraId="770122A6" w14:textId="77777777" w:rsidR="002B6A12" w:rsidRDefault="002B6A12" w:rsidP="002B6A12">
      <w:pPr>
        <w:pStyle w:val="PZTextpsmene"/>
        <w:spacing w:before="0"/>
      </w:pPr>
      <w:r>
        <w:t>b)</w:t>
      </w:r>
      <w:r>
        <w:tab/>
        <w:t>návrh, aby se družstvo po transformaci rozdělilo na více družstev, a návrh jejich stanov, anebo</w:t>
      </w:r>
    </w:p>
    <w:p w14:paraId="019B20E3" w14:textId="77777777" w:rsidR="002B6A12" w:rsidRDefault="002B6A12" w:rsidP="002B6A12">
      <w:pPr>
        <w:pStyle w:val="PZTextpsmene"/>
        <w:spacing w:before="0"/>
      </w:pPr>
      <w:r>
        <w:t>c)</w:t>
      </w:r>
      <w:r>
        <w:tab/>
        <w:t>návrh, aby se družstvo po transformaci přeměnilo na jednu nebo více právnických osob podle obchodního zákoníku;</w:t>
      </w:r>
      <w:r>
        <w:rPr>
          <w:rStyle w:val="Znakapoznpodarou"/>
        </w:rPr>
        <w:footnoteReference w:customMarkFollows="1" w:id="104"/>
        <w:t>2)</w:t>
      </w:r>
      <w:r>
        <w:t xml:space="preserve"> v tomto případě musí být přiložen návrh společenské smlouvy nebo zakladatelské smlouvy a stanov u akciových společností</w:t>
      </w:r>
      <w:r>
        <w:rPr>
          <w:rStyle w:val="Znakapoznpodarou"/>
        </w:rPr>
        <w:footnoteReference w:customMarkFollows="1" w:id="105"/>
        <w:t>9)</w:t>
      </w:r>
      <w:r>
        <w:t xml:space="preserve"> nebo stanov u družstev.</w:t>
      </w:r>
    </w:p>
    <w:p w14:paraId="37494B34" w14:textId="77777777" w:rsidR="002B6A12" w:rsidRDefault="002B6A12" w:rsidP="002B6A12">
      <w:pPr>
        <w:pStyle w:val="Textodstavce"/>
        <w:ind w:firstLine="426"/>
      </w:pPr>
      <w:r>
        <w:t>O návrzích uvedených pod písmeny a) až c) valná hromada při schvalování transformačního projektu nehlasuje.</w:t>
      </w:r>
    </w:p>
    <w:p w14:paraId="11D6E036" w14:textId="77777777" w:rsidR="002B6A12" w:rsidRDefault="002B6A12" w:rsidP="002B6A12">
      <w:pPr>
        <w:pStyle w:val="PZTextodstavce"/>
      </w:pPr>
      <w:r>
        <w:lastRenderedPageBreak/>
        <w:t xml:space="preserve"> (7) </w:t>
      </w:r>
      <w:r w:rsidRPr="00034F49">
        <w:t xml:space="preserve">Družstvo vypočte majetkové podíly podle kritérií stanovených tímto zákonem a seznámí s nimi oprávněné osoby do 30 dnů ode dne schválení transformačního projektu; soupis majetkových </w:t>
      </w:r>
      <w:r w:rsidRPr="00F355D6">
        <w:t>podílů ověřený auditorem</w:t>
      </w:r>
      <w:r w:rsidRPr="00034F49">
        <w:t xml:space="preserve"> se stane přílohou schváleného transformačního projektu.</w:t>
      </w:r>
    </w:p>
    <w:p w14:paraId="7B644025" w14:textId="77777777" w:rsidR="002B6A12" w:rsidRDefault="002B6A12" w:rsidP="002B6A12">
      <w:pPr>
        <w:pStyle w:val="PZTextodstavce"/>
      </w:pPr>
      <w:r>
        <w:t xml:space="preserve"> (8) </w:t>
      </w:r>
      <w:r w:rsidRPr="00034F49">
        <w:t>V případě, že má dojít k transformaci na dvě nebo více právnických osob, musí být v transformačním projektu určeno, která z těchto osob je povinna vypořádat dosud neuplatněné nároky podle zvláštních předpisů.</w:t>
      </w:r>
      <w:r>
        <w:rPr>
          <w:rStyle w:val="Znakapoznpodarou"/>
        </w:rPr>
        <w:footnoteReference w:customMarkFollows="1" w:id="106"/>
        <w:t>6)</w:t>
      </w:r>
      <w:r w:rsidRPr="00034F49">
        <w:t xml:space="preserve"> Na tuto osobu zároveň přechází i částka vyčleněná podle § 7 odst. 2. Pokud tato částka nestačí na vypořádání dalších restitučních nároků, jsou právní nástupci družstva povinni uhradit této osobě na její výzvu část restitučního nároku v poměru převzatého majetku. Pokud tato částka není vyčerpána, je tato osoba povinna převést právním nástupcům družstva část zůstatku této částky v poměru převzatého majetku.</w:t>
      </w:r>
    </w:p>
    <w:p w14:paraId="4FFDC50D" w14:textId="77777777" w:rsidR="002B6A12" w:rsidRDefault="002B6A12" w:rsidP="002B6A12">
      <w:pPr>
        <w:pStyle w:val="PZTextodstavce"/>
      </w:pPr>
      <w:r>
        <w:t xml:space="preserve">(9) </w:t>
      </w:r>
      <w:r w:rsidRPr="00034F49">
        <w:t xml:space="preserve">V případě, že má dojít k přeměně družstva na dvě nebo více právnických osob, musí transformační projekt obsahovat návrh na přechod práv a závazků a na rozdělení družstva na tyto subjekty s návrhem na fyzické členění majetku družstva, popřípadě rozdělení majetku družstva na nejmenší samostatně </w:t>
      </w:r>
      <w:proofErr w:type="spellStart"/>
      <w:r w:rsidRPr="00034F49">
        <w:t>provozovatelné</w:t>
      </w:r>
      <w:proofErr w:type="spellEnd"/>
      <w:r w:rsidRPr="00034F49">
        <w:t xml:space="preserve"> podnikatelské jednotky (farmy, střediska, objekty a podobně).</w:t>
      </w:r>
    </w:p>
    <w:p w14:paraId="557D5611" w14:textId="77777777" w:rsidR="002B6A12" w:rsidRDefault="002B6A12" w:rsidP="002B6A12">
      <w:pPr>
        <w:pStyle w:val="PZTextodstavce"/>
      </w:pPr>
      <w:r>
        <w:t xml:space="preserve">(10) </w:t>
      </w:r>
      <w:r w:rsidRPr="00034F49">
        <w:t>Transformační projekt zpracovaný oprávněnou osobou nemusí obsahovat části shodné s transformačním projektem družstva; v tomto případě na ně oprávněná osoba odkáže.</w:t>
      </w:r>
    </w:p>
    <w:p w14:paraId="2E75BCF3" w14:textId="1A9EC35D" w:rsidR="002B6A12" w:rsidRDefault="002B6A12" w:rsidP="004958B0">
      <w:pPr>
        <w:pStyle w:val="Odstavecseseznamem"/>
        <w:tabs>
          <w:tab w:val="left" w:pos="851"/>
        </w:tabs>
        <w:spacing w:before="120" w:after="120"/>
        <w:ind w:left="0" w:firstLine="0"/>
        <w:outlineLvl w:val="0"/>
        <w:rPr>
          <w:b/>
          <w:szCs w:val="24"/>
        </w:rPr>
        <w:sectPr w:rsidR="002B6A12" w:rsidSect="00084391">
          <w:footnotePr>
            <w:numStart w:val="3"/>
          </w:footnotePr>
          <w:endnotePr>
            <w:numFmt w:val="decimal"/>
          </w:endnotePr>
          <w:pgSz w:w="11906" w:h="16838"/>
          <w:pgMar w:top="1418" w:right="1418" w:bottom="1418" w:left="1418" w:header="709" w:footer="709" w:gutter="0"/>
          <w:cols w:space="708"/>
          <w:docGrid w:linePitch="360"/>
        </w:sectPr>
      </w:pPr>
    </w:p>
    <w:p w14:paraId="2B60D5EC" w14:textId="32B9D010" w:rsidR="00DF48E0" w:rsidRDefault="00DF48E0" w:rsidP="00D41C2D">
      <w:pPr>
        <w:pStyle w:val="Odstavecseseznamem"/>
        <w:tabs>
          <w:tab w:val="left" w:pos="851"/>
        </w:tabs>
        <w:spacing w:before="120" w:after="120"/>
        <w:ind w:left="0" w:firstLine="0"/>
        <w:jc w:val="center"/>
        <w:outlineLvl w:val="0"/>
        <w:rPr>
          <w:szCs w:val="24"/>
        </w:rPr>
      </w:pPr>
      <w:r w:rsidRPr="00E70B7D">
        <w:rPr>
          <w:b/>
          <w:szCs w:val="24"/>
        </w:rPr>
        <w:lastRenderedPageBreak/>
        <w:t xml:space="preserve">K části </w:t>
      </w:r>
      <w:r w:rsidR="00B811D2">
        <w:rPr>
          <w:b/>
          <w:szCs w:val="24"/>
        </w:rPr>
        <w:t>čtrnácté</w:t>
      </w:r>
      <w:r w:rsidRPr="00E70B7D">
        <w:rPr>
          <w:b/>
          <w:szCs w:val="24"/>
        </w:rPr>
        <w:t xml:space="preserve"> návrhu zákona – </w:t>
      </w:r>
      <w:r w:rsidRPr="00E70B7D">
        <w:rPr>
          <w:szCs w:val="24"/>
        </w:rPr>
        <w:t xml:space="preserve">změna </w:t>
      </w:r>
      <w:r>
        <w:rPr>
          <w:szCs w:val="24"/>
        </w:rPr>
        <w:t xml:space="preserve">zákona </w:t>
      </w:r>
      <w:r w:rsidRPr="007906E0">
        <w:rPr>
          <w:szCs w:val="24"/>
        </w:rPr>
        <w:t xml:space="preserve">o </w:t>
      </w:r>
      <w:r>
        <w:rPr>
          <w:szCs w:val="24"/>
        </w:rPr>
        <w:t>komoditních burzách</w:t>
      </w:r>
    </w:p>
    <w:p w14:paraId="1E6FCEB1" w14:textId="77777777" w:rsidR="004958B0" w:rsidRPr="00AE0742" w:rsidRDefault="004958B0" w:rsidP="004958B0">
      <w:pPr>
        <w:pStyle w:val="Odstavecseseznamem"/>
        <w:tabs>
          <w:tab w:val="left" w:pos="851"/>
        </w:tabs>
        <w:spacing w:before="120" w:after="120"/>
        <w:ind w:left="0" w:firstLine="0"/>
        <w:outlineLvl w:val="0"/>
        <w:rPr>
          <w:b/>
          <w:szCs w:val="24"/>
        </w:rPr>
      </w:pPr>
    </w:p>
    <w:p w14:paraId="3CFB81DF" w14:textId="37BED634" w:rsidR="00DF48E0" w:rsidRDefault="00DF48E0" w:rsidP="00DF48E0">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AE0742">
        <w:rPr>
          <w:b/>
          <w:szCs w:val="24"/>
        </w:rPr>
        <w:t>Platné znění</w:t>
      </w:r>
      <w:r w:rsidRPr="00AE0742">
        <w:rPr>
          <w:szCs w:val="24"/>
        </w:rPr>
        <w:t xml:space="preserve"> zákona </w:t>
      </w:r>
      <w:r w:rsidRPr="00AE0742">
        <w:rPr>
          <w:color w:val="000000"/>
          <w:szCs w:val="24"/>
        </w:rPr>
        <w:t>č. </w:t>
      </w:r>
      <w:r>
        <w:rPr>
          <w:color w:val="000000"/>
          <w:szCs w:val="24"/>
        </w:rPr>
        <w:t xml:space="preserve">229/1992 </w:t>
      </w:r>
      <w:r w:rsidRPr="00AE0742">
        <w:rPr>
          <w:color w:val="000000"/>
          <w:szCs w:val="24"/>
        </w:rPr>
        <w:t xml:space="preserve">Sb., </w:t>
      </w:r>
      <w:r w:rsidRPr="007906E0">
        <w:rPr>
          <w:szCs w:val="24"/>
        </w:rPr>
        <w:t xml:space="preserve">o </w:t>
      </w:r>
      <w:r>
        <w:rPr>
          <w:szCs w:val="24"/>
        </w:rPr>
        <w:t>komoditních burzách</w:t>
      </w:r>
    </w:p>
    <w:p w14:paraId="0F766552" w14:textId="77777777" w:rsidR="00D41C2D" w:rsidRPr="00A06781" w:rsidRDefault="00D41C2D" w:rsidP="00D41C2D">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b/>
          <w:szCs w:val="24"/>
        </w:rPr>
      </w:pPr>
      <w:r w:rsidRPr="00A06781">
        <w:rPr>
          <w:b/>
          <w:szCs w:val="24"/>
        </w:rPr>
        <w:t>s vyznačením navrhovaných změn a doplnění k 1. lednu 2025</w:t>
      </w:r>
    </w:p>
    <w:p w14:paraId="3E997D8B" w14:textId="5B4126D1" w:rsidR="0092563C" w:rsidRDefault="0092563C" w:rsidP="0092563C">
      <w:pPr>
        <w:pStyle w:val="Textparagrafu"/>
        <w:numPr>
          <w:ilvl w:val="0"/>
          <w:numId w:val="28"/>
        </w:numPr>
        <w:jc w:val="center"/>
      </w:pPr>
      <w:r w:rsidRPr="00251343">
        <w:t>§</w:t>
      </w:r>
      <w:r>
        <w:t xml:space="preserve"> </w:t>
      </w:r>
      <w:r w:rsidRPr="00251343">
        <w:t>1</w:t>
      </w:r>
    </w:p>
    <w:p w14:paraId="21722247" w14:textId="77777777" w:rsidR="0092563C" w:rsidRPr="00D41C2D" w:rsidRDefault="0092563C" w:rsidP="0092563C">
      <w:pPr>
        <w:pStyle w:val="Textparagrafu"/>
        <w:numPr>
          <w:ilvl w:val="0"/>
          <w:numId w:val="28"/>
        </w:numPr>
        <w:jc w:val="center"/>
        <w:rPr>
          <w:b/>
        </w:rPr>
      </w:pPr>
      <w:r w:rsidRPr="00D41C2D">
        <w:rPr>
          <w:b/>
        </w:rPr>
        <w:t>Komoditní burza</w:t>
      </w:r>
    </w:p>
    <w:p w14:paraId="3299BD09" w14:textId="60507885" w:rsidR="0092563C" w:rsidRDefault="0092563C" w:rsidP="00D41C2D">
      <w:pPr>
        <w:pStyle w:val="Textparagrafu"/>
        <w:numPr>
          <w:ilvl w:val="0"/>
          <w:numId w:val="28"/>
        </w:numPr>
        <w:spacing w:before="120" w:after="120"/>
        <w:ind w:firstLine="426"/>
      </w:pPr>
      <w:r w:rsidRPr="00251343">
        <w:t>(1)</w:t>
      </w:r>
      <w:r>
        <w:t xml:space="preserve"> </w:t>
      </w:r>
      <w:r w:rsidRPr="00251343">
        <w:t>Komoditní</w:t>
      </w:r>
      <w:r>
        <w:t xml:space="preserve"> </w:t>
      </w:r>
      <w:r w:rsidRPr="00251343">
        <w:t>burzou</w:t>
      </w:r>
      <w:r>
        <w:t xml:space="preserve"> </w:t>
      </w:r>
      <w:r w:rsidRPr="00251343">
        <w:t>je</w:t>
      </w:r>
      <w:r>
        <w:t xml:space="preserve"> </w:t>
      </w:r>
      <w:r w:rsidRPr="00251343">
        <w:t>právnická</w:t>
      </w:r>
      <w:r>
        <w:t xml:space="preserve"> </w:t>
      </w:r>
      <w:r w:rsidRPr="00251343">
        <w:t>osoba</w:t>
      </w:r>
      <w:r>
        <w:t xml:space="preserve"> </w:t>
      </w:r>
      <w:r w:rsidRPr="00251343">
        <w:t>zřízená</w:t>
      </w:r>
      <w:r>
        <w:t xml:space="preserve"> </w:t>
      </w:r>
      <w:r w:rsidRPr="00251343">
        <w:t>podle</w:t>
      </w:r>
      <w:r>
        <w:t xml:space="preserve"> </w:t>
      </w:r>
      <w:r w:rsidRPr="00251343">
        <w:t>tohoto</w:t>
      </w:r>
      <w:r>
        <w:t xml:space="preserve"> </w:t>
      </w:r>
      <w:r w:rsidRPr="00251343">
        <w:t>zákona</w:t>
      </w:r>
      <w:r>
        <w:t xml:space="preserve"> </w:t>
      </w:r>
      <w:r w:rsidRPr="00251343">
        <w:t>(dále</w:t>
      </w:r>
      <w:r>
        <w:t xml:space="preserve"> </w:t>
      </w:r>
      <w:r w:rsidRPr="00251343">
        <w:t>jen</w:t>
      </w:r>
      <w:r>
        <w:t xml:space="preserve"> </w:t>
      </w:r>
      <w:r w:rsidRPr="00251343">
        <w:t>"burza")</w:t>
      </w:r>
      <w:r>
        <w:t xml:space="preserve"> </w:t>
      </w:r>
      <w:r w:rsidRPr="00251343">
        <w:t>k</w:t>
      </w:r>
      <w:r>
        <w:t xml:space="preserve"> </w:t>
      </w:r>
      <w:r w:rsidRPr="00251343">
        <w:t>organizování</w:t>
      </w:r>
      <w:r>
        <w:t xml:space="preserve"> </w:t>
      </w:r>
      <w:r w:rsidRPr="00251343">
        <w:t>burzovních</w:t>
      </w:r>
      <w:r>
        <w:t xml:space="preserve"> </w:t>
      </w:r>
      <w:r w:rsidRPr="00251343">
        <w:t>obchodů</w:t>
      </w:r>
      <w:r>
        <w:t xml:space="preserve"> </w:t>
      </w:r>
      <w:r w:rsidRPr="00251343">
        <w:t>se</w:t>
      </w:r>
      <w:r>
        <w:t xml:space="preserve"> </w:t>
      </w:r>
      <w:r w:rsidRPr="00251343">
        <w:t>zbožím</w:t>
      </w:r>
      <w:r>
        <w:t xml:space="preserve"> </w:t>
      </w:r>
      <w:r w:rsidRPr="00251343">
        <w:t>(dále</w:t>
      </w:r>
      <w:r>
        <w:t xml:space="preserve"> </w:t>
      </w:r>
      <w:r w:rsidRPr="00251343">
        <w:t>jen</w:t>
      </w:r>
      <w:r>
        <w:t xml:space="preserve"> </w:t>
      </w:r>
      <w:r w:rsidRPr="00251343">
        <w:t>"komodity"),</w:t>
      </w:r>
      <w:r>
        <w:t xml:space="preserve"> </w:t>
      </w:r>
      <w:r w:rsidRPr="00251343">
        <w:t>deriváty</w:t>
      </w:r>
      <w:r>
        <w:t xml:space="preserve"> </w:t>
      </w:r>
      <w:r w:rsidRPr="00251343">
        <w:t>vztahujícími</w:t>
      </w:r>
      <w:r>
        <w:t xml:space="preserve"> </w:t>
      </w:r>
      <w:r w:rsidRPr="00251343">
        <w:t>se</w:t>
      </w:r>
      <w:r>
        <w:t xml:space="preserve"> </w:t>
      </w:r>
      <w:r w:rsidRPr="00251343">
        <w:t>ke</w:t>
      </w:r>
      <w:r>
        <w:t xml:space="preserve"> </w:t>
      </w:r>
      <w:r w:rsidRPr="00251343">
        <w:t>komoditám,</w:t>
      </w:r>
      <w:r>
        <w:t xml:space="preserve"> </w:t>
      </w:r>
      <w:r w:rsidRPr="00251343">
        <w:t>které</w:t>
      </w:r>
      <w:r>
        <w:t xml:space="preserve"> </w:t>
      </w:r>
      <w:r w:rsidRPr="00251343">
        <w:t>jsou</w:t>
      </w:r>
      <w:r>
        <w:t xml:space="preserve"> </w:t>
      </w:r>
      <w:r w:rsidRPr="00251343">
        <w:t>předmětem</w:t>
      </w:r>
      <w:r>
        <w:t xml:space="preserve"> </w:t>
      </w:r>
      <w:r w:rsidRPr="00251343">
        <w:t>obchodování</w:t>
      </w:r>
      <w:r>
        <w:t xml:space="preserve"> </w:t>
      </w:r>
      <w:r w:rsidRPr="00251343">
        <w:t>na</w:t>
      </w:r>
      <w:r>
        <w:t xml:space="preserve"> </w:t>
      </w:r>
      <w:r w:rsidRPr="00251343">
        <w:t>burze</w:t>
      </w:r>
      <w:r>
        <w:t xml:space="preserve"> </w:t>
      </w:r>
      <w:r w:rsidRPr="00251343">
        <w:t>(dále</w:t>
      </w:r>
      <w:r>
        <w:t xml:space="preserve"> </w:t>
      </w:r>
      <w:r w:rsidRPr="00251343">
        <w:t>jen</w:t>
      </w:r>
      <w:r>
        <w:t xml:space="preserve"> </w:t>
      </w:r>
      <w:r w:rsidRPr="00251343">
        <w:t>"komoditní</w:t>
      </w:r>
      <w:r>
        <w:t xml:space="preserve"> </w:t>
      </w:r>
      <w:r w:rsidRPr="00251343">
        <w:t>deriváty"),</w:t>
      </w:r>
      <w:r>
        <w:t xml:space="preserve"> </w:t>
      </w:r>
      <w:r w:rsidRPr="00251343">
        <w:t>pokud</w:t>
      </w:r>
      <w:r>
        <w:t xml:space="preserve"> </w:t>
      </w:r>
      <w:r w:rsidRPr="00251343">
        <w:t>nejsou</w:t>
      </w:r>
      <w:r>
        <w:t xml:space="preserve"> </w:t>
      </w:r>
      <w:r w:rsidRPr="00251343">
        <w:t>investičním</w:t>
      </w:r>
      <w:r>
        <w:t xml:space="preserve"> </w:t>
      </w:r>
      <w:r w:rsidRPr="00251343">
        <w:t>nástrojem</w:t>
      </w:r>
      <w:r>
        <w:t xml:space="preserve"> </w:t>
      </w:r>
      <w:r w:rsidRPr="00251343">
        <w:t>podle</w:t>
      </w:r>
      <w:r>
        <w:t xml:space="preserve"> </w:t>
      </w:r>
      <w:r w:rsidRPr="00251343">
        <w:t>zvláštního</w:t>
      </w:r>
      <w:r>
        <w:t xml:space="preserve"> </w:t>
      </w:r>
      <w:r w:rsidRPr="00251343">
        <w:t>právního</w:t>
      </w:r>
      <w:r>
        <w:t xml:space="preserve"> </w:t>
      </w:r>
      <w:r w:rsidR="001B4020">
        <w:t>předpisu</w:t>
      </w:r>
      <w:r w:rsidR="001B4020">
        <w:rPr>
          <w:rStyle w:val="Znakapoznpodarou"/>
        </w:rPr>
        <w:footnoteReference w:customMarkFollows="1" w:id="107"/>
        <w:t>1)</w:t>
      </w:r>
      <w:r w:rsidRPr="00251343">
        <w:t>.</w:t>
      </w:r>
    </w:p>
    <w:p w14:paraId="4EF5C16F" w14:textId="77777777" w:rsidR="0092563C" w:rsidRDefault="0092563C" w:rsidP="00D41C2D">
      <w:pPr>
        <w:pStyle w:val="Textparagrafu"/>
        <w:numPr>
          <w:ilvl w:val="0"/>
          <w:numId w:val="28"/>
        </w:numPr>
        <w:spacing w:before="120" w:after="120"/>
        <w:ind w:firstLine="426"/>
      </w:pPr>
      <w:r w:rsidRPr="00251343">
        <w:t>(2)</w:t>
      </w:r>
      <w:r>
        <w:t xml:space="preserve"> </w:t>
      </w:r>
      <w:r w:rsidRPr="00251343">
        <w:t>Burza</w:t>
      </w:r>
      <w:r>
        <w:t xml:space="preserve"> </w:t>
      </w:r>
      <w:r w:rsidRPr="00251343">
        <w:t>odpovídá</w:t>
      </w:r>
      <w:r>
        <w:t xml:space="preserve"> </w:t>
      </w:r>
      <w:r w:rsidRPr="00251343">
        <w:t>za</w:t>
      </w:r>
      <w:r>
        <w:t xml:space="preserve"> </w:t>
      </w:r>
      <w:r w:rsidRPr="00251343">
        <w:t>porušení</w:t>
      </w:r>
      <w:r>
        <w:t xml:space="preserve"> </w:t>
      </w:r>
      <w:r w:rsidRPr="00251343">
        <w:t>svých</w:t>
      </w:r>
      <w:r>
        <w:t xml:space="preserve"> </w:t>
      </w:r>
      <w:r w:rsidRPr="00251343">
        <w:t>závazků</w:t>
      </w:r>
      <w:r>
        <w:t xml:space="preserve"> </w:t>
      </w:r>
      <w:r w:rsidRPr="00251343">
        <w:t>celým</w:t>
      </w:r>
      <w:r>
        <w:t xml:space="preserve"> </w:t>
      </w:r>
      <w:r w:rsidRPr="00251343">
        <w:t>svým</w:t>
      </w:r>
      <w:r>
        <w:t xml:space="preserve"> </w:t>
      </w:r>
      <w:r w:rsidRPr="00251343">
        <w:t>majetkem.</w:t>
      </w:r>
      <w:r>
        <w:t xml:space="preserve"> </w:t>
      </w:r>
      <w:r w:rsidRPr="00251343">
        <w:t>Členové</w:t>
      </w:r>
      <w:r>
        <w:t xml:space="preserve"> </w:t>
      </w:r>
      <w:r w:rsidRPr="00251343">
        <w:t>burzy,</w:t>
      </w:r>
      <w:r>
        <w:t xml:space="preserve"> </w:t>
      </w:r>
      <w:r w:rsidRPr="00251343">
        <w:t>kteří</w:t>
      </w:r>
      <w:r>
        <w:t xml:space="preserve"> </w:t>
      </w:r>
      <w:r w:rsidRPr="00251343">
        <w:t>jsou</w:t>
      </w:r>
      <w:r>
        <w:t xml:space="preserve"> </w:t>
      </w:r>
      <w:r w:rsidRPr="00251343">
        <w:t>povinni</w:t>
      </w:r>
      <w:r>
        <w:t xml:space="preserve"> </w:t>
      </w:r>
      <w:r w:rsidRPr="00251343">
        <w:t>vložit</w:t>
      </w:r>
      <w:r>
        <w:t xml:space="preserve"> </w:t>
      </w:r>
      <w:r w:rsidRPr="00251343">
        <w:t>vklad</w:t>
      </w:r>
      <w:r>
        <w:t xml:space="preserve"> </w:t>
      </w:r>
      <w:r w:rsidRPr="00251343">
        <w:t>nebo</w:t>
      </w:r>
      <w:r>
        <w:t xml:space="preserve"> </w:t>
      </w:r>
      <w:r w:rsidRPr="00251343">
        <w:t>platit</w:t>
      </w:r>
      <w:r>
        <w:t xml:space="preserve"> </w:t>
      </w:r>
      <w:r w:rsidRPr="00251343">
        <w:t>členský</w:t>
      </w:r>
      <w:r>
        <w:t xml:space="preserve"> </w:t>
      </w:r>
      <w:r w:rsidRPr="00251343">
        <w:t>příspěvek,</w:t>
      </w:r>
      <w:r>
        <w:t xml:space="preserve"> </w:t>
      </w:r>
      <w:r w:rsidRPr="00251343">
        <w:t>ručí</w:t>
      </w:r>
      <w:r>
        <w:t xml:space="preserve"> </w:t>
      </w:r>
      <w:r w:rsidRPr="00251343">
        <w:t>za</w:t>
      </w:r>
      <w:r>
        <w:t xml:space="preserve"> </w:t>
      </w:r>
      <w:r w:rsidRPr="00251343">
        <w:t>závazky</w:t>
      </w:r>
      <w:r>
        <w:t xml:space="preserve"> </w:t>
      </w:r>
      <w:r w:rsidRPr="00251343">
        <w:t>burzy</w:t>
      </w:r>
      <w:r>
        <w:t xml:space="preserve"> </w:t>
      </w:r>
      <w:r w:rsidRPr="00251343">
        <w:t>do</w:t>
      </w:r>
      <w:r>
        <w:t xml:space="preserve"> </w:t>
      </w:r>
      <w:r w:rsidRPr="00251343">
        <w:t>výše</w:t>
      </w:r>
      <w:r>
        <w:t xml:space="preserve"> </w:t>
      </w:r>
      <w:r w:rsidRPr="00251343">
        <w:t>svého</w:t>
      </w:r>
      <w:r>
        <w:t xml:space="preserve"> </w:t>
      </w:r>
      <w:r w:rsidRPr="00251343">
        <w:t>nesplaceného</w:t>
      </w:r>
      <w:r>
        <w:t xml:space="preserve"> </w:t>
      </w:r>
      <w:r w:rsidRPr="00251343">
        <w:t>vkladu,</w:t>
      </w:r>
      <w:r>
        <w:t xml:space="preserve"> </w:t>
      </w:r>
      <w:r w:rsidRPr="00251343">
        <w:t>popřípadě</w:t>
      </w:r>
      <w:r>
        <w:t xml:space="preserve"> </w:t>
      </w:r>
      <w:r w:rsidRPr="00251343">
        <w:t>do</w:t>
      </w:r>
      <w:r>
        <w:t xml:space="preserve"> </w:t>
      </w:r>
      <w:r w:rsidRPr="00251343">
        <w:t>výše</w:t>
      </w:r>
      <w:r>
        <w:t xml:space="preserve"> </w:t>
      </w:r>
      <w:r w:rsidRPr="00251343">
        <w:t>nesplaceného</w:t>
      </w:r>
      <w:r>
        <w:t xml:space="preserve"> </w:t>
      </w:r>
      <w:r w:rsidRPr="00251343">
        <w:t>členského</w:t>
      </w:r>
      <w:r>
        <w:t xml:space="preserve"> </w:t>
      </w:r>
      <w:r w:rsidRPr="00251343">
        <w:t>příspěvku.</w:t>
      </w:r>
      <w:r>
        <w:t xml:space="preserve"> </w:t>
      </w:r>
      <w:r w:rsidRPr="00251343">
        <w:t>Rozsah</w:t>
      </w:r>
      <w:r>
        <w:t xml:space="preserve"> </w:t>
      </w:r>
      <w:r w:rsidRPr="00251343">
        <w:t>dalšího</w:t>
      </w:r>
      <w:r>
        <w:t xml:space="preserve"> </w:t>
      </w:r>
      <w:r w:rsidRPr="00251343">
        <w:t>ručení</w:t>
      </w:r>
      <w:r>
        <w:t xml:space="preserve"> </w:t>
      </w:r>
      <w:r w:rsidRPr="00251343">
        <w:t>členů</w:t>
      </w:r>
      <w:r>
        <w:t xml:space="preserve"> </w:t>
      </w:r>
      <w:r w:rsidRPr="00251343">
        <w:t>burzy,</w:t>
      </w:r>
      <w:r>
        <w:t xml:space="preserve"> </w:t>
      </w:r>
      <w:r w:rsidRPr="00251343">
        <w:t>kteří</w:t>
      </w:r>
      <w:r>
        <w:t xml:space="preserve"> </w:t>
      </w:r>
      <w:r w:rsidRPr="00251343">
        <w:t>jsou</w:t>
      </w:r>
      <w:r>
        <w:t xml:space="preserve"> </w:t>
      </w:r>
      <w:r w:rsidRPr="00251343">
        <w:t>povinni</w:t>
      </w:r>
      <w:r>
        <w:t xml:space="preserve"> </w:t>
      </w:r>
      <w:r w:rsidRPr="00251343">
        <w:t>platit</w:t>
      </w:r>
      <w:r>
        <w:t xml:space="preserve"> </w:t>
      </w:r>
      <w:r w:rsidRPr="00251343">
        <w:t>členský</w:t>
      </w:r>
      <w:r>
        <w:t xml:space="preserve"> </w:t>
      </w:r>
      <w:r w:rsidRPr="00251343">
        <w:t>příspěvek,</w:t>
      </w:r>
      <w:r>
        <w:t xml:space="preserve"> </w:t>
      </w:r>
      <w:r w:rsidRPr="00251343">
        <w:t>může</w:t>
      </w:r>
      <w:r>
        <w:t xml:space="preserve"> </w:t>
      </w:r>
      <w:r w:rsidRPr="00251343">
        <w:t>určit</w:t>
      </w:r>
      <w:r>
        <w:t xml:space="preserve"> </w:t>
      </w:r>
      <w:r w:rsidRPr="00251343">
        <w:t>statut</w:t>
      </w:r>
      <w:r>
        <w:t xml:space="preserve"> </w:t>
      </w:r>
      <w:r w:rsidRPr="00251343">
        <w:t>burzy</w:t>
      </w:r>
      <w:r>
        <w:t xml:space="preserve"> </w:t>
      </w:r>
      <w:r w:rsidRPr="00251343">
        <w:t>(dále</w:t>
      </w:r>
      <w:r>
        <w:t xml:space="preserve"> </w:t>
      </w:r>
      <w:r w:rsidRPr="00251343">
        <w:t>jen</w:t>
      </w:r>
      <w:r>
        <w:t xml:space="preserve"> </w:t>
      </w:r>
      <w:r w:rsidRPr="00251343">
        <w:t>"statut").</w:t>
      </w:r>
    </w:p>
    <w:p w14:paraId="450A9DE2" w14:textId="77777777" w:rsidR="0092563C" w:rsidRDefault="0092563C" w:rsidP="00D41C2D">
      <w:pPr>
        <w:pStyle w:val="Textparagrafu"/>
        <w:numPr>
          <w:ilvl w:val="0"/>
          <w:numId w:val="28"/>
        </w:numPr>
        <w:spacing w:before="120" w:after="120"/>
        <w:ind w:firstLine="426"/>
      </w:pPr>
      <w:r w:rsidRPr="00251343">
        <w:t>(3)</w:t>
      </w:r>
      <w:r>
        <w:t xml:space="preserve"> </w:t>
      </w:r>
      <w:r w:rsidRPr="00251343">
        <w:t>Případný</w:t>
      </w:r>
      <w:r>
        <w:t xml:space="preserve"> </w:t>
      </w:r>
      <w:r w:rsidRPr="00251343">
        <w:t>zisk</w:t>
      </w:r>
      <w:r>
        <w:t xml:space="preserve"> </w:t>
      </w:r>
      <w:r w:rsidRPr="00251343">
        <w:t>z</w:t>
      </w:r>
      <w:r>
        <w:t xml:space="preserve"> </w:t>
      </w:r>
      <w:r w:rsidRPr="00251343">
        <w:t>činnosti</w:t>
      </w:r>
      <w:r>
        <w:t xml:space="preserve"> </w:t>
      </w:r>
      <w:r w:rsidRPr="00251343">
        <w:t>burzy</w:t>
      </w:r>
      <w:r>
        <w:t xml:space="preserve"> </w:t>
      </w:r>
      <w:r w:rsidRPr="00251343">
        <w:t>nemůže</w:t>
      </w:r>
      <w:r>
        <w:t xml:space="preserve"> </w:t>
      </w:r>
      <w:r w:rsidRPr="00251343">
        <w:t>být</w:t>
      </w:r>
      <w:r>
        <w:t xml:space="preserve"> </w:t>
      </w:r>
      <w:r w:rsidRPr="00251343">
        <w:t>za</w:t>
      </w:r>
      <w:r>
        <w:t xml:space="preserve"> </w:t>
      </w:r>
      <w:r w:rsidRPr="00251343">
        <w:t>jejího</w:t>
      </w:r>
      <w:r>
        <w:t xml:space="preserve"> </w:t>
      </w:r>
      <w:r w:rsidRPr="00251343">
        <w:t>trvání</w:t>
      </w:r>
      <w:r>
        <w:t xml:space="preserve"> </w:t>
      </w:r>
      <w:r w:rsidRPr="00251343">
        <w:t>rozdělen</w:t>
      </w:r>
      <w:r>
        <w:t xml:space="preserve"> </w:t>
      </w:r>
      <w:r w:rsidRPr="00251343">
        <w:t>mezi</w:t>
      </w:r>
      <w:r>
        <w:t xml:space="preserve"> </w:t>
      </w:r>
      <w:r w:rsidRPr="00251343">
        <w:t>zakladatele</w:t>
      </w:r>
      <w:r>
        <w:t xml:space="preserve"> </w:t>
      </w:r>
      <w:r w:rsidRPr="00251343">
        <w:t>ani</w:t>
      </w:r>
      <w:r>
        <w:t xml:space="preserve"> </w:t>
      </w:r>
      <w:r w:rsidRPr="00251343">
        <w:t>jiné</w:t>
      </w:r>
      <w:r>
        <w:t xml:space="preserve"> </w:t>
      </w:r>
      <w:r w:rsidRPr="00251343">
        <w:t>členy</w:t>
      </w:r>
      <w:r>
        <w:t xml:space="preserve"> </w:t>
      </w:r>
      <w:r w:rsidRPr="00251343">
        <w:t>burzy</w:t>
      </w:r>
      <w:r>
        <w:t xml:space="preserve"> </w:t>
      </w:r>
      <w:r w:rsidRPr="00251343">
        <w:t>a</w:t>
      </w:r>
      <w:r>
        <w:t xml:space="preserve"> </w:t>
      </w:r>
      <w:r w:rsidRPr="00251343">
        <w:t>může</w:t>
      </w:r>
      <w:r>
        <w:t xml:space="preserve"> </w:t>
      </w:r>
      <w:r w:rsidRPr="00251343">
        <w:t>být</w:t>
      </w:r>
      <w:r>
        <w:t xml:space="preserve"> </w:t>
      </w:r>
      <w:r w:rsidRPr="00251343">
        <w:t>použit</w:t>
      </w:r>
      <w:r>
        <w:t xml:space="preserve"> </w:t>
      </w:r>
      <w:r w:rsidRPr="00251343">
        <w:t>jen</w:t>
      </w:r>
      <w:r>
        <w:t xml:space="preserve"> </w:t>
      </w:r>
      <w:r w:rsidRPr="00251343">
        <w:t>k</w:t>
      </w:r>
      <w:r>
        <w:t xml:space="preserve"> </w:t>
      </w:r>
      <w:r w:rsidRPr="00251343">
        <w:t>zajištění</w:t>
      </w:r>
      <w:r>
        <w:t xml:space="preserve"> </w:t>
      </w:r>
      <w:r w:rsidRPr="00251343">
        <w:t>dalšího</w:t>
      </w:r>
      <w:r>
        <w:t xml:space="preserve"> </w:t>
      </w:r>
      <w:r w:rsidRPr="00251343">
        <w:t>rozvoje</w:t>
      </w:r>
      <w:r>
        <w:t xml:space="preserve"> </w:t>
      </w:r>
      <w:r w:rsidRPr="00251343">
        <w:t>burzy.</w:t>
      </w:r>
    </w:p>
    <w:p w14:paraId="4357C9C8" w14:textId="77777777" w:rsidR="0092563C" w:rsidRDefault="0092563C" w:rsidP="00D41C2D">
      <w:pPr>
        <w:pStyle w:val="Textparagrafu"/>
        <w:numPr>
          <w:ilvl w:val="0"/>
          <w:numId w:val="28"/>
        </w:numPr>
        <w:spacing w:before="120" w:after="120"/>
        <w:ind w:firstLine="426"/>
      </w:pPr>
      <w:r w:rsidRPr="00251343">
        <w:t>(4)</w:t>
      </w:r>
      <w:r>
        <w:t xml:space="preserve"> </w:t>
      </w:r>
      <w:r w:rsidRPr="00251343">
        <w:t>Jiné</w:t>
      </w:r>
      <w:r>
        <w:t xml:space="preserve"> </w:t>
      </w:r>
      <w:r w:rsidRPr="00251343">
        <w:t>osoby</w:t>
      </w:r>
      <w:r>
        <w:t xml:space="preserve"> </w:t>
      </w:r>
      <w:r w:rsidRPr="00251343">
        <w:t>než</w:t>
      </w:r>
      <w:r>
        <w:t xml:space="preserve"> </w:t>
      </w:r>
      <w:r w:rsidRPr="00251343">
        <w:t>burzy</w:t>
      </w:r>
      <w:r>
        <w:t xml:space="preserve"> </w:t>
      </w:r>
      <w:r w:rsidRPr="00251343">
        <w:t>zřízené</w:t>
      </w:r>
      <w:r>
        <w:t xml:space="preserve"> </w:t>
      </w:r>
      <w:r w:rsidRPr="00251343">
        <w:t>podle</w:t>
      </w:r>
      <w:r>
        <w:t xml:space="preserve"> </w:t>
      </w:r>
      <w:r w:rsidRPr="00251343">
        <w:t>tohoto</w:t>
      </w:r>
      <w:r>
        <w:t xml:space="preserve"> </w:t>
      </w:r>
      <w:r w:rsidRPr="00251343">
        <w:t>zákona</w:t>
      </w:r>
      <w:r>
        <w:t xml:space="preserve"> </w:t>
      </w:r>
      <w:r w:rsidRPr="00251343">
        <w:t>nesmí</w:t>
      </w:r>
      <w:r>
        <w:t xml:space="preserve"> </w:t>
      </w:r>
      <w:r w:rsidRPr="00251343">
        <w:t>ve</w:t>
      </w:r>
      <w:r>
        <w:t xml:space="preserve"> </w:t>
      </w:r>
      <w:r w:rsidRPr="00251343">
        <w:t>své</w:t>
      </w:r>
      <w:r>
        <w:t xml:space="preserve"> </w:t>
      </w:r>
      <w:r w:rsidRPr="00251343">
        <w:t>obchodní</w:t>
      </w:r>
      <w:r>
        <w:t xml:space="preserve"> </w:t>
      </w:r>
      <w:r w:rsidRPr="00251343">
        <w:t>firmě,</w:t>
      </w:r>
      <w:r>
        <w:t xml:space="preserve"> </w:t>
      </w:r>
      <w:r w:rsidRPr="00251343">
        <w:t>názvu,</w:t>
      </w:r>
      <w:r>
        <w:t xml:space="preserve"> </w:t>
      </w:r>
      <w:r w:rsidRPr="00251343">
        <w:t>označení</w:t>
      </w:r>
      <w:r>
        <w:t xml:space="preserve"> </w:t>
      </w:r>
      <w:r w:rsidRPr="00251343">
        <w:t>poskytovaných</w:t>
      </w:r>
      <w:r>
        <w:t xml:space="preserve"> </w:t>
      </w:r>
      <w:r w:rsidRPr="00251343">
        <w:t>služeb</w:t>
      </w:r>
      <w:r>
        <w:t xml:space="preserve"> </w:t>
      </w:r>
      <w:r w:rsidRPr="00251343">
        <w:t>nebo</w:t>
      </w:r>
      <w:r>
        <w:t xml:space="preserve"> </w:t>
      </w:r>
      <w:r w:rsidRPr="00251343">
        <w:t>v</w:t>
      </w:r>
      <w:r>
        <w:t xml:space="preserve"> </w:t>
      </w:r>
      <w:r w:rsidRPr="00251343">
        <w:t>jakékoliv</w:t>
      </w:r>
      <w:r>
        <w:t xml:space="preserve"> </w:t>
      </w:r>
      <w:r w:rsidRPr="00251343">
        <w:t>souvislosti</w:t>
      </w:r>
      <w:r>
        <w:t xml:space="preserve"> </w:t>
      </w:r>
      <w:r w:rsidRPr="00251343">
        <w:t>se</w:t>
      </w:r>
      <w:r>
        <w:t xml:space="preserve"> </w:t>
      </w:r>
      <w:r w:rsidRPr="00251343">
        <w:t>svojí</w:t>
      </w:r>
      <w:r>
        <w:t xml:space="preserve"> </w:t>
      </w:r>
      <w:r w:rsidRPr="00251343">
        <w:t>činností</w:t>
      </w:r>
      <w:r>
        <w:t xml:space="preserve"> </w:t>
      </w:r>
      <w:r w:rsidRPr="00251343">
        <w:t>použít</w:t>
      </w:r>
      <w:r>
        <w:t xml:space="preserve"> </w:t>
      </w:r>
      <w:r w:rsidRPr="00251343">
        <w:t>nebo</w:t>
      </w:r>
      <w:r>
        <w:t xml:space="preserve"> </w:t>
      </w:r>
      <w:r w:rsidRPr="00251343">
        <w:t>používat</w:t>
      </w:r>
      <w:r>
        <w:t xml:space="preserve"> </w:t>
      </w:r>
      <w:r w:rsidRPr="00251343">
        <w:t>označení</w:t>
      </w:r>
      <w:r>
        <w:t xml:space="preserve"> </w:t>
      </w:r>
      <w:r w:rsidRPr="00251343">
        <w:t>„komoditní</w:t>
      </w:r>
      <w:r>
        <w:t xml:space="preserve"> </w:t>
      </w:r>
      <w:r w:rsidRPr="00251343">
        <w:t>burza“</w:t>
      </w:r>
      <w:r>
        <w:t xml:space="preserve"> </w:t>
      </w:r>
      <w:r w:rsidRPr="00251343">
        <w:t>nebo</w:t>
      </w:r>
      <w:r>
        <w:t xml:space="preserve"> </w:t>
      </w:r>
      <w:r w:rsidRPr="00251343">
        <w:t>jiné</w:t>
      </w:r>
      <w:r>
        <w:t xml:space="preserve"> </w:t>
      </w:r>
      <w:r w:rsidRPr="00251343">
        <w:t>označení</w:t>
      </w:r>
      <w:r>
        <w:t xml:space="preserve"> </w:t>
      </w:r>
      <w:r w:rsidRPr="00251343">
        <w:t>od</w:t>
      </w:r>
      <w:r>
        <w:t xml:space="preserve"> </w:t>
      </w:r>
      <w:r w:rsidRPr="00251343">
        <w:t>těchto</w:t>
      </w:r>
      <w:r>
        <w:t xml:space="preserve"> </w:t>
      </w:r>
      <w:r w:rsidRPr="00251343">
        <w:t>slov</w:t>
      </w:r>
      <w:r>
        <w:t xml:space="preserve"> </w:t>
      </w:r>
      <w:r w:rsidRPr="00251343">
        <w:t>odvozené</w:t>
      </w:r>
      <w:r>
        <w:t xml:space="preserve"> </w:t>
      </w:r>
      <w:r w:rsidRPr="00251343">
        <w:t>nebo</w:t>
      </w:r>
      <w:r>
        <w:t xml:space="preserve"> </w:t>
      </w:r>
      <w:r w:rsidRPr="00251343">
        <w:t>s</w:t>
      </w:r>
      <w:r>
        <w:t xml:space="preserve"> </w:t>
      </w:r>
      <w:r w:rsidRPr="00251343">
        <w:t>ním</w:t>
      </w:r>
      <w:r>
        <w:t xml:space="preserve"> </w:t>
      </w:r>
      <w:r w:rsidRPr="00251343">
        <w:t>zaměnitelné,</w:t>
      </w:r>
      <w:r>
        <w:t xml:space="preserve"> </w:t>
      </w:r>
      <w:r w:rsidRPr="00251343">
        <w:t>anebo</w:t>
      </w:r>
      <w:r>
        <w:t xml:space="preserve"> </w:t>
      </w:r>
      <w:r w:rsidRPr="00251343">
        <w:t>takové</w:t>
      </w:r>
      <w:r>
        <w:t xml:space="preserve"> </w:t>
      </w:r>
      <w:r w:rsidRPr="00251343">
        <w:t>označení,</w:t>
      </w:r>
      <w:r>
        <w:t xml:space="preserve"> </w:t>
      </w:r>
      <w:r w:rsidRPr="00251343">
        <w:t>které</w:t>
      </w:r>
      <w:r>
        <w:t xml:space="preserve"> </w:t>
      </w:r>
      <w:r w:rsidRPr="00251343">
        <w:t>vyvolává</w:t>
      </w:r>
      <w:r>
        <w:t xml:space="preserve"> </w:t>
      </w:r>
      <w:r w:rsidRPr="00251343">
        <w:t>dojem,</w:t>
      </w:r>
      <w:r>
        <w:t xml:space="preserve"> </w:t>
      </w:r>
      <w:r w:rsidRPr="00251343">
        <w:t>že</w:t>
      </w:r>
      <w:r>
        <w:t xml:space="preserve"> </w:t>
      </w:r>
      <w:r w:rsidRPr="00251343">
        <w:t>jde</w:t>
      </w:r>
      <w:r>
        <w:t xml:space="preserve"> </w:t>
      </w:r>
      <w:r w:rsidRPr="00251343">
        <w:t>o</w:t>
      </w:r>
      <w:r>
        <w:t xml:space="preserve"> </w:t>
      </w:r>
      <w:r w:rsidRPr="00251343">
        <w:t>činnost</w:t>
      </w:r>
      <w:r>
        <w:t xml:space="preserve"> </w:t>
      </w:r>
      <w:r w:rsidRPr="00251343">
        <w:t>burzy.</w:t>
      </w:r>
    </w:p>
    <w:p w14:paraId="19E4DFF7" w14:textId="77777777" w:rsidR="0092563C" w:rsidRDefault="0092563C" w:rsidP="00D41C2D">
      <w:pPr>
        <w:pStyle w:val="Textparagrafu"/>
        <w:numPr>
          <w:ilvl w:val="0"/>
          <w:numId w:val="28"/>
        </w:numPr>
        <w:spacing w:before="120" w:after="120"/>
        <w:ind w:firstLine="425"/>
      </w:pPr>
      <w:r w:rsidRPr="00251343">
        <w:t>(5)</w:t>
      </w:r>
      <w:r>
        <w:t xml:space="preserve"> </w:t>
      </w:r>
      <w:r w:rsidRPr="00251343">
        <w:t>Označení</w:t>
      </w:r>
      <w:r>
        <w:t xml:space="preserve"> </w:t>
      </w:r>
      <w:r w:rsidRPr="00251343">
        <w:t>"burzovní"</w:t>
      </w:r>
      <w:r>
        <w:t xml:space="preserve"> </w:t>
      </w:r>
      <w:r w:rsidRPr="00251343">
        <w:t>může</w:t>
      </w:r>
      <w:r>
        <w:t xml:space="preserve"> </w:t>
      </w:r>
      <w:r w:rsidRPr="00251343">
        <w:t>být</w:t>
      </w:r>
      <w:r>
        <w:t xml:space="preserve"> </w:t>
      </w:r>
      <w:r w:rsidRPr="00251343">
        <w:t>použito</w:t>
      </w:r>
    </w:p>
    <w:p w14:paraId="7C70C631" w14:textId="055E25A7" w:rsidR="0092563C" w:rsidRDefault="0092563C" w:rsidP="00117A9E">
      <w:pPr>
        <w:pStyle w:val="Textparagrafu"/>
        <w:numPr>
          <w:ilvl w:val="0"/>
          <w:numId w:val="28"/>
        </w:numPr>
        <w:tabs>
          <w:tab w:val="left" w:pos="426"/>
        </w:tabs>
        <w:spacing w:before="0"/>
      </w:pPr>
      <w:r w:rsidRPr="00251343">
        <w:t>a)</w:t>
      </w:r>
      <w:r w:rsidR="00117A9E">
        <w:tab/>
      </w:r>
      <w:r w:rsidRPr="00251343">
        <w:t>v</w:t>
      </w:r>
      <w:r>
        <w:t xml:space="preserve"> </w:t>
      </w:r>
      <w:r w:rsidRPr="00251343">
        <w:t>souvislosti</w:t>
      </w:r>
      <w:r>
        <w:t xml:space="preserve"> </w:t>
      </w:r>
      <w:r w:rsidRPr="00251343">
        <w:t>s</w:t>
      </w:r>
      <w:r>
        <w:t xml:space="preserve"> </w:t>
      </w:r>
      <w:r w:rsidRPr="00251343">
        <w:t>činností</w:t>
      </w:r>
      <w:r>
        <w:t xml:space="preserve"> </w:t>
      </w:r>
      <w:r w:rsidRPr="00251343">
        <w:t>osob</w:t>
      </w:r>
      <w:r>
        <w:t xml:space="preserve"> </w:t>
      </w:r>
      <w:r w:rsidRPr="00251343">
        <w:t>oprávněných</w:t>
      </w:r>
      <w:r>
        <w:t xml:space="preserve"> </w:t>
      </w:r>
      <w:r w:rsidRPr="00251343">
        <w:t>ke</w:t>
      </w:r>
      <w:r>
        <w:t xml:space="preserve"> </w:t>
      </w:r>
      <w:r w:rsidRPr="00251343">
        <w:t>zprostředkování</w:t>
      </w:r>
      <w:r>
        <w:t xml:space="preserve"> </w:t>
      </w:r>
      <w:r w:rsidRPr="00251343">
        <w:t>burzovních</w:t>
      </w:r>
      <w:r>
        <w:t xml:space="preserve"> </w:t>
      </w:r>
      <w:r w:rsidRPr="00251343">
        <w:t>obchodů,</w:t>
      </w:r>
    </w:p>
    <w:p w14:paraId="0D70403D" w14:textId="07D71F62" w:rsidR="0092563C" w:rsidRDefault="0092563C" w:rsidP="00117A9E">
      <w:pPr>
        <w:pStyle w:val="Textparagrafu"/>
        <w:numPr>
          <w:ilvl w:val="0"/>
          <w:numId w:val="28"/>
        </w:numPr>
        <w:tabs>
          <w:tab w:val="left" w:pos="426"/>
        </w:tabs>
        <w:spacing w:before="0"/>
      </w:pPr>
      <w:r w:rsidRPr="00251343">
        <w:t>b)</w:t>
      </w:r>
      <w:r w:rsidR="00117A9E">
        <w:tab/>
      </w:r>
      <w:r w:rsidRPr="00251343">
        <w:t>k</w:t>
      </w:r>
      <w:r>
        <w:t xml:space="preserve"> </w:t>
      </w:r>
      <w:r w:rsidRPr="00251343">
        <w:t>označení</w:t>
      </w:r>
      <w:r>
        <w:t xml:space="preserve"> </w:t>
      </w:r>
      <w:r w:rsidRPr="00251343">
        <w:t>výrobků</w:t>
      </w:r>
      <w:r>
        <w:t xml:space="preserve"> </w:t>
      </w:r>
      <w:r w:rsidRPr="00251343">
        <w:t>a</w:t>
      </w:r>
      <w:r>
        <w:t xml:space="preserve"> </w:t>
      </w:r>
      <w:r w:rsidRPr="00251343">
        <w:t>služeb,</w:t>
      </w:r>
      <w:r>
        <w:t xml:space="preserve"> </w:t>
      </w:r>
      <w:r w:rsidRPr="00251343">
        <w:t>určených</w:t>
      </w:r>
      <w:r>
        <w:t xml:space="preserve"> </w:t>
      </w:r>
      <w:r w:rsidRPr="00251343">
        <w:t>výhradně</w:t>
      </w:r>
      <w:r>
        <w:t xml:space="preserve"> </w:t>
      </w:r>
      <w:r w:rsidRPr="00251343">
        <w:t>pro</w:t>
      </w:r>
      <w:r>
        <w:t xml:space="preserve"> </w:t>
      </w:r>
      <w:r w:rsidRPr="00251343">
        <w:t>technickou</w:t>
      </w:r>
      <w:r>
        <w:t xml:space="preserve"> </w:t>
      </w:r>
      <w:r w:rsidRPr="00251343">
        <w:t>podporu</w:t>
      </w:r>
      <w:r>
        <w:t xml:space="preserve"> </w:t>
      </w:r>
      <w:r w:rsidRPr="00251343">
        <w:t>činnosti</w:t>
      </w:r>
      <w:r>
        <w:t xml:space="preserve"> </w:t>
      </w:r>
      <w:r w:rsidRPr="00251343">
        <w:t>burz</w:t>
      </w:r>
      <w:r>
        <w:t xml:space="preserve"> </w:t>
      </w:r>
      <w:r w:rsidRPr="00251343">
        <w:t>nebo</w:t>
      </w:r>
      <w:r>
        <w:t xml:space="preserve"> </w:t>
      </w:r>
      <w:r w:rsidRPr="00251343">
        <w:t>v</w:t>
      </w:r>
      <w:r>
        <w:t xml:space="preserve"> </w:t>
      </w:r>
      <w:r w:rsidRPr="00251343">
        <w:t>přímé</w:t>
      </w:r>
      <w:r>
        <w:t xml:space="preserve"> </w:t>
      </w:r>
      <w:r w:rsidRPr="00251343">
        <w:t>souvislosti</w:t>
      </w:r>
      <w:r>
        <w:t xml:space="preserve"> </w:t>
      </w:r>
      <w:r w:rsidRPr="00251343">
        <w:t>s</w:t>
      </w:r>
      <w:r>
        <w:t xml:space="preserve"> </w:t>
      </w:r>
      <w:r w:rsidRPr="00251343">
        <w:t>ní</w:t>
      </w:r>
      <w:r>
        <w:t xml:space="preserve"> </w:t>
      </w:r>
      <w:r w:rsidRPr="00251343">
        <w:t>a</w:t>
      </w:r>
      <w:r>
        <w:t xml:space="preserve"> </w:t>
      </w:r>
      <w:r w:rsidRPr="00251343">
        <w:t>k</w:t>
      </w:r>
      <w:r>
        <w:t xml:space="preserve"> </w:t>
      </w:r>
      <w:r w:rsidRPr="00251343">
        <w:t>označení</w:t>
      </w:r>
      <w:r>
        <w:t xml:space="preserve"> </w:t>
      </w:r>
      <w:r w:rsidRPr="00251343">
        <w:t>informací,</w:t>
      </w:r>
      <w:r>
        <w:t xml:space="preserve"> </w:t>
      </w:r>
      <w:r w:rsidRPr="00251343">
        <w:t>zpráv</w:t>
      </w:r>
      <w:r>
        <w:t xml:space="preserve"> </w:t>
      </w:r>
      <w:r w:rsidRPr="00251343">
        <w:t>a</w:t>
      </w:r>
      <w:r>
        <w:t xml:space="preserve"> </w:t>
      </w:r>
      <w:r w:rsidRPr="00251343">
        <w:t>publikací</w:t>
      </w:r>
      <w:r>
        <w:t xml:space="preserve"> </w:t>
      </w:r>
      <w:r w:rsidRPr="00251343">
        <w:t>o</w:t>
      </w:r>
      <w:r>
        <w:t xml:space="preserve"> </w:t>
      </w:r>
      <w:r w:rsidRPr="00251343">
        <w:t>činnosti</w:t>
      </w:r>
      <w:r>
        <w:t xml:space="preserve"> </w:t>
      </w:r>
      <w:r w:rsidRPr="00251343">
        <w:t>burz.</w:t>
      </w:r>
    </w:p>
    <w:p w14:paraId="265D1025" w14:textId="77777777" w:rsidR="0092563C" w:rsidRPr="001B4020" w:rsidRDefault="0092563C" w:rsidP="00D41C2D">
      <w:pPr>
        <w:pStyle w:val="Textparagrafu"/>
        <w:numPr>
          <w:ilvl w:val="0"/>
          <w:numId w:val="28"/>
        </w:numPr>
        <w:spacing w:before="120" w:after="120"/>
        <w:ind w:firstLine="426"/>
        <w:rPr>
          <w:strike/>
        </w:rPr>
      </w:pPr>
      <w:r w:rsidRPr="001B4020">
        <w:rPr>
          <w:strike/>
        </w:rPr>
        <w:t>(6) Burza vede účetnictví podle právních předpisů upravujících účetnictví pro podnikatele.</w:t>
      </w:r>
    </w:p>
    <w:p w14:paraId="2A74DF6C" w14:textId="7A034D8A" w:rsidR="00DF48E0" w:rsidRDefault="001B4020" w:rsidP="008F5A61">
      <w:pPr>
        <w:pStyle w:val="Textparagrafu"/>
        <w:numPr>
          <w:ilvl w:val="0"/>
          <w:numId w:val="28"/>
        </w:numPr>
        <w:jc w:val="center"/>
      </w:pPr>
      <w:r>
        <w:t>***</w:t>
      </w:r>
    </w:p>
    <w:p w14:paraId="6BC2A8FB" w14:textId="3AC21348" w:rsidR="001B4020" w:rsidRDefault="001B4020" w:rsidP="008F5A61">
      <w:pPr>
        <w:pStyle w:val="Textparagrafu"/>
        <w:numPr>
          <w:ilvl w:val="0"/>
          <w:numId w:val="28"/>
        </w:numPr>
        <w:jc w:val="center"/>
        <w:rPr>
          <w:b/>
        </w:rPr>
      </w:pPr>
      <w:r w:rsidRPr="001B4020">
        <w:rPr>
          <w:b/>
        </w:rPr>
        <w:t>Státní povolení</w:t>
      </w:r>
    </w:p>
    <w:p w14:paraId="0B3B17A2" w14:textId="77777777" w:rsidR="001B4020" w:rsidRDefault="001B4020" w:rsidP="001B4020">
      <w:pPr>
        <w:pStyle w:val="Textparagrafu"/>
        <w:numPr>
          <w:ilvl w:val="0"/>
          <w:numId w:val="28"/>
        </w:numPr>
        <w:jc w:val="center"/>
      </w:pPr>
      <w:r w:rsidRPr="00251343">
        <w:t>§</w:t>
      </w:r>
      <w:r>
        <w:t xml:space="preserve"> </w:t>
      </w:r>
      <w:r w:rsidRPr="00251343">
        <w:t>5</w:t>
      </w:r>
    </w:p>
    <w:p w14:paraId="75065759" w14:textId="275A7584" w:rsidR="001B4020" w:rsidRDefault="001B4020" w:rsidP="00D41C2D">
      <w:pPr>
        <w:pStyle w:val="Textparagrafu"/>
        <w:numPr>
          <w:ilvl w:val="0"/>
          <w:numId w:val="28"/>
        </w:numPr>
        <w:spacing w:before="120" w:after="120"/>
        <w:ind w:firstLine="426"/>
      </w:pPr>
      <w:r w:rsidRPr="00251343">
        <w:t>(1)</w:t>
      </w:r>
      <w:r>
        <w:t xml:space="preserve"> </w:t>
      </w:r>
      <w:r w:rsidRPr="00251343">
        <w:t>K</w:t>
      </w:r>
      <w:r>
        <w:t xml:space="preserve"> </w:t>
      </w:r>
      <w:r w:rsidRPr="00251343">
        <w:t>provozování</w:t>
      </w:r>
      <w:r>
        <w:t xml:space="preserve"> </w:t>
      </w:r>
      <w:r w:rsidRPr="00251343">
        <w:t>burzy</w:t>
      </w:r>
      <w:r>
        <w:t xml:space="preserve"> </w:t>
      </w:r>
      <w:r w:rsidRPr="00251343">
        <w:t>je</w:t>
      </w:r>
      <w:r>
        <w:t xml:space="preserve"> </w:t>
      </w:r>
      <w:r w:rsidRPr="00251343">
        <w:t>třeba</w:t>
      </w:r>
      <w:r>
        <w:t xml:space="preserve"> </w:t>
      </w:r>
      <w:r w:rsidRPr="00251343">
        <w:t>státní</w:t>
      </w:r>
      <w:r>
        <w:t xml:space="preserve"> </w:t>
      </w:r>
      <w:r w:rsidRPr="00251343">
        <w:t>povolení</w:t>
      </w:r>
      <w:r>
        <w:t xml:space="preserve"> </w:t>
      </w:r>
      <w:r w:rsidRPr="00251343">
        <w:t>(dále</w:t>
      </w:r>
      <w:r>
        <w:t xml:space="preserve"> </w:t>
      </w:r>
      <w:r w:rsidRPr="00251343">
        <w:t>jen</w:t>
      </w:r>
      <w:r>
        <w:t xml:space="preserve"> </w:t>
      </w:r>
      <w:r w:rsidRPr="00251343">
        <w:t>„povolení“)</w:t>
      </w:r>
      <w:r>
        <w:t xml:space="preserve"> </w:t>
      </w:r>
      <w:r w:rsidRPr="00251343">
        <w:t>Ministerstva</w:t>
      </w:r>
      <w:r>
        <w:t xml:space="preserve"> </w:t>
      </w:r>
      <w:r w:rsidRPr="00251343">
        <w:t>průmyslu</w:t>
      </w:r>
      <w:r>
        <w:t xml:space="preserve"> </w:t>
      </w:r>
      <w:r w:rsidRPr="00251343">
        <w:t>a</w:t>
      </w:r>
      <w:r>
        <w:t xml:space="preserve"> </w:t>
      </w:r>
      <w:r w:rsidRPr="00251343">
        <w:t>obchodu</w:t>
      </w:r>
      <w:r>
        <w:t xml:space="preserve"> </w:t>
      </w:r>
      <w:r w:rsidRPr="00251343">
        <w:t>nebo</w:t>
      </w:r>
      <w:r>
        <w:t xml:space="preserve"> </w:t>
      </w:r>
      <w:r w:rsidRPr="00251343">
        <w:t>Ministerstva</w:t>
      </w:r>
      <w:r>
        <w:t xml:space="preserve"> </w:t>
      </w:r>
      <w:r w:rsidRPr="00251343">
        <w:t>zemědělství</w:t>
      </w:r>
      <w:r>
        <w:t xml:space="preserve"> </w:t>
      </w:r>
      <w:r w:rsidRPr="00251343">
        <w:t>v</w:t>
      </w:r>
      <w:r>
        <w:t xml:space="preserve"> </w:t>
      </w:r>
      <w:r w:rsidRPr="00251343">
        <w:t>oblastech</w:t>
      </w:r>
      <w:r>
        <w:t xml:space="preserve"> </w:t>
      </w:r>
      <w:r w:rsidRPr="00251343">
        <w:t>jejich</w:t>
      </w:r>
      <w:r>
        <w:t xml:space="preserve"> </w:t>
      </w:r>
      <w:r w:rsidR="00CE0F01">
        <w:t>působnosti</w:t>
      </w:r>
      <w:r w:rsidR="00CE0F01" w:rsidRPr="00D41C2D">
        <w:footnoteReference w:customMarkFollows="1" w:id="108"/>
        <w:t>13)</w:t>
      </w:r>
      <w:r>
        <w:t xml:space="preserve"> </w:t>
      </w:r>
      <w:r w:rsidRPr="00251343">
        <w:t>(dále</w:t>
      </w:r>
      <w:r>
        <w:t xml:space="preserve"> </w:t>
      </w:r>
      <w:r w:rsidRPr="00251343">
        <w:t>jen</w:t>
      </w:r>
      <w:r>
        <w:t xml:space="preserve"> </w:t>
      </w:r>
      <w:r w:rsidRPr="00251343">
        <w:t>„příslušný</w:t>
      </w:r>
      <w:r>
        <w:t xml:space="preserve"> </w:t>
      </w:r>
      <w:r w:rsidRPr="00251343">
        <w:t>orgán</w:t>
      </w:r>
      <w:r>
        <w:t xml:space="preserve"> </w:t>
      </w:r>
      <w:r w:rsidRPr="00251343">
        <w:t>státní</w:t>
      </w:r>
      <w:r>
        <w:t xml:space="preserve"> </w:t>
      </w:r>
      <w:r w:rsidRPr="00251343">
        <w:t>správy“).</w:t>
      </w:r>
    </w:p>
    <w:p w14:paraId="0F51E5B3" w14:textId="77777777" w:rsidR="001B4020" w:rsidRDefault="001B4020" w:rsidP="00D41C2D">
      <w:pPr>
        <w:pStyle w:val="Textparagrafu"/>
        <w:numPr>
          <w:ilvl w:val="0"/>
          <w:numId w:val="28"/>
        </w:numPr>
        <w:spacing w:before="120" w:after="120"/>
        <w:ind w:firstLine="426"/>
      </w:pPr>
      <w:r w:rsidRPr="00251343">
        <w:lastRenderedPageBreak/>
        <w:t>(2)</w:t>
      </w:r>
      <w:r>
        <w:t xml:space="preserve"> </w:t>
      </w:r>
      <w:r w:rsidRPr="00251343">
        <w:t>Příslušný</w:t>
      </w:r>
      <w:r>
        <w:t xml:space="preserve"> </w:t>
      </w:r>
      <w:r w:rsidRPr="00251343">
        <w:t>orgán</w:t>
      </w:r>
      <w:r>
        <w:t xml:space="preserve"> </w:t>
      </w:r>
      <w:r w:rsidRPr="00251343">
        <w:t>státní</w:t>
      </w:r>
      <w:r>
        <w:t xml:space="preserve"> </w:t>
      </w:r>
      <w:r w:rsidRPr="00251343">
        <w:t>správy</w:t>
      </w:r>
      <w:r>
        <w:t xml:space="preserve"> </w:t>
      </w:r>
      <w:r w:rsidRPr="00251343">
        <w:t>udělí</w:t>
      </w:r>
      <w:r>
        <w:t xml:space="preserve"> </w:t>
      </w:r>
      <w:r w:rsidRPr="00251343">
        <w:t>povolení</w:t>
      </w:r>
      <w:r>
        <w:t xml:space="preserve"> </w:t>
      </w:r>
      <w:r w:rsidRPr="00251343">
        <w:t>k</w:t>
      </w:r>
      <w:r>
        <w:t xml:space="preserve"> </w:t>
      </w:r>
      <w:r w:rsidRPr="00251343">
        <w:t>provozování</w:t>
      </w:r>
      <w:r>
        <w:t xml:space="preserve"> </w:t>
      </w:r>
      <w:r w:rsidRPr="00251343">
        <w:t>burzy</w:t>
      </w:r>
      <w:r>
        <w:t xml:space="preserve"> </w:t>
      </w:r>
      <w:r w:rsidRPr="00251343">
        <w:t>na</w:t>
      </w:r>
      <w:r>
        <w:t xml:space="preserve"> </w:t>
      </w:r>
      <w:r w:rsidRPr="00251343">
        <w:t>žádost</w:t>
      </w:r>
      <w:r>
        <w:t xml:space="preserve"> </w:t>
      </w:r>
      <w:r w:rsidRPr="00251343">
        <w:t>zakladatelů</w:t>
      </w:r>
      <w:r>
        <w:t xml:space="preserve"> </w:t>
      </w:r>
      <w:r w:rsidRPr="00251343">
        <w:t>burzy</w:t>
      </w:r>
      <w:r>
        <w:t xml:space="preserve"> </w:t>
      </w:r>
      <w:r w:rsidRPr="00251343">
        <w:t>přede</w:t>
      </w:r>
      <w:r>
        <w:t xml:space="preserve"> </w:t>
      </w:r>
      <w:r w:rsidRPr="00251343">
        <w:t>dnem</w:t>
      </w:r>
      <w:r>
        <w:t xml:space="preserve"> </w:t>
      </w:r>
      <w:r w:rsidRPr="00251343">
        <w:t>jejího</w:t>
      </w:r>
      <w:r>
        <w:t xml:space="preserve"> </w:t>
      </w:r>
      <w:r w:rsidRPr="00251343">
        <w:t>zápisu</w:t>
      </w:r>
      <w:r>
        <w:t xml:space="preserve"> </w:t>
      </w:r>
      <w:r w:rsidRPr="00251343">
        <w:t>do</w:t>
      </w:r>
      <w:r>
        <w:t xml:space="preserve"> </w:t>
      </w:r>
      <w:r w:rsidRPr="00251343">
        <w:t>obchodního</w:t>
      </w:r>
      <w:r>
        <w:t xml:space="preserve"> </w:t>
      </w:r>
      <w:r w:rsidRPr="00251343">
        <w:t>rejstříku,</w:t>
      </w:r>
      <w:r>
        <w:t xml:space="preserve"> </w:t>
      </w:r>
      <w:r w:rsidRPr="00251343">
        <w:t>které</w:t>
      </w:r>
      <w:r>
        <w:t xml:space="preserve"> </w:t>
      </w:r>
      <w:r w:rsidRPr="00251343">
        <w:t>po</w:t>
      </w:r>
      <w:r>
        <w:t xml:space="preserve"> </w:t>
      </w:r>
      <w:r w:rsidRPr="00251343">
        <w:t>vzniku</w:t>
      </w:r>
      <w:r>
        <w:t xml:space="preserve"> </w:t>
      </w:r>
      <w:r w:rsidRPr="00251343">
        <w:t>burzy</w:t>
      </w:r>
      <w:r>
        <w:t xml:space="preserve"> </w:t>
      </w:r>
      <w:r w:rsidRPr="00251343">
        <w:t>na</w:t>
      </w:r>
      <w:r>
        <w:t xml:space="preserve"> </w:t>
      </w:r>
      <w:r w:rsidRPr="00251343">
        <w:t>ni</w:t>
      </w:r>
      <w:r>
        <w:t xml:space="preserve"> </w:t>
      </w:r>
      <w:r w:rsidRPr="00251343">
        <w:t>přechází,</w:t>
      </w:r>
      <w:r>
        <w:t xml:space="preserve"> </w:t>
      </w:r>
      <w:r w:rsidRPr="00251343">
        <w:t>a</w:t>
      </w:r>
      <w:r>
        <w:t xml:space="preserve"> </w:t>
      </w:r>
      <w:r w:rsidRPr="00251343">
        <w:t>to</w:t>
      </w:r>
      <w:r>
        <w:t xml:space="preserve"> </w:t>
      </w:r>
      <w:r w:rsidRPr="00251343">
        <w:t>za</w:t>
      </w:r>
      <w:r>
        <w:t xml:space="preserve"> </w:t>
      </w:r>
      <w:r w:rsidRPr="00251343">
        <w:t>podmínek,</w:t>
      </w:r>
      <w:r>
        <w:t xml:space="preserve"> </w:t>
      </w:r>
      <w:r w:rsidRPr="00251343">
        <w:t>že</w:t>
      </w:r>
    </w:p>
    <w:p w14:paraId="53E5BAF3" w14:textId="016F43F1" w:rsidR="001B4020" w:rsidRPr="00251343" w:rsidRDefault="001B4020" w:rsidP="00117A9E">
      <w:pPr>
        <w:pStyle w:val="Textparagrafu"/>
        <w:numPr>
          <w:ilvl w:val="0"/>
          <w:numId w:val="28"/>
        </w:numPr>
        <w:tabs>
          <w:tab w:val="left" w:pos="426"/>
          <w:tab w:val="left" w:pos="851"/>
        </w:tabs>
        <w:spacing w:before="0"/>
      </w:pPr>
      <w:r w:rsidRPr="00251343">
        <w:t>a)</w:t>
      </w:r>
      <w:r w:rsidR="00117A9E">
        <w:tab/>
      </w:r>
      <w:r w:rsidRPr="00251343">
        <w:t>zakladatelé</w:t>
      </w:r>
    </w:p>
    <w:p w14:paraId="2F41DB96" w14:textId="04DD54CC" w:rsidR="001B4020" w:rsidRPr="00251343" w:rsidRDefault="00F967BA" w:rsidP="00F967BA">
      <w:pPr>
        <w:pStyle w:val="Textparagrafu"/>
        <w:tabs>
          <w:tab w:val="left" w:pos="426"/>
          <w:tab w:val="left" w:pos="851"/>
        </w:tabs>
        <w:spacing w:before="0"/>
        <w:ind w:firstLine="0"/>
      </w:pPr>
      <w:r>
        <w:tab/>
      </w:r>
      <w:r w:rsidR="001B4020" w:rsidRPr="00251343">
        <w:t>1.</w:t>
      </w:r>
      <w:r w:rsidR="001B4020">
        <w:t xml:space="preserve"> </w:t>
      </w:r>
      <w:r w:rsidR="00117A9E">
        <w:tab/>
      </w:r>
      <w:r w:rsidR="001B4020" w:rsidRPr="00251343">
        <w:t>podnikají</w:t>
      </w:r>
      <w:r w:rsidR="001B4020">
        <w:t xml:space="preserve"> </w:t>
      </w:r>
      <w:r w:rsidR="001B4020" w:rsidRPr="00251343">
        <w:t>nejméně</w:t>
      </w:r>
      <w:r w:rsidR="001B4020">
        <w:t xml:space="preserve"> </w:t>
      </w:r>
      <w:r w:rsidR="001B4020" w:rsidRPr="00251343">
        <w:t>po</w:t>
      </w:r>
      <w:r w:rsidR="001B4020">
        <w:t xml:space="preserve"> </w:t>
      </w:r>
      <w:r w:rsidR="001B4020" w:rsidRPr="00251343">
        <w:t>dobu</w:t>
      </w:r>
      <w:r w:rsidR="001B4020">
        <w:t xml:space="preserve"> </w:t>
      </w:r>
      <w:r w:rsidR="001B4020" w:rsidRPr="00251343">
        <w:t>3</w:t>
      </w:r>
      <w:r w:rsidR="001B4020">
        <w:t xml:space="preserve"> </w:t>
      </w:r>
      <w:r w:rsidR="001B4020" w:rsidRPr="00251343">
        <w:t>let,</w:t>
      </w:r>
    </w:p>
    <w:p w14:paraId="0C91E522" w14:textId="3A0AD5E0" w:rsidR="001B4020" w:rsidRPr="00251343" w:rsidRDefault="00F967BA" w:rsidP="00F967BA">
      <w:pPr>
        <w:pStyle w:val="Textparagrafu"/>
        <w:tabs>
          <w:tab w:val="left" w:pos="426"/>
          <w:tab w:val="left" w:pos="851"/>
        </w:tabs>
        <w:spacing w:before="0"/>
        <w:ind w:left="851" w:hanging="851"/>
      </w:pPr>
      <w:r>
        <w:tab/>
      </w:r>
      <w:r w:rsidR="001B4020" w:rsidRPr="00251343">
        <w:t>2.</w:t>
      </w:r>
      <w:r w:rsidR="00117A9E">
        <w:tab/>
      </w:r>
      <w:r w:rsidR="001B4020" w:rsidRPr="00251343">
        <w:t>nejsou</w:t>
      </w:r>
      <w:r w:rsidR="001B4020">
        <w:t xml:space="preserve"> </w:t>
      </w:r>
      <w:r w:rsidR="001B4020" w:rsidRPr="00251343">
        <w:t>nebo</w:t>
      </w:r>
      <w:r w:rsidR="001B4020">
        <w:t xml:space="preserve"> </w:t>
      </w:r>
      <w:r w:rsidR="001B4020" w:rsidRPr="00251343">
        <w:t>nebyli</w:t>
      </w:r>
      <w:r w:rsidR="001B4020">
        <w:t xml:space="preserve"> </w:t>
      </w:r>
      <w:r w:rsidR="001B4020" w:rsidRPr="00251343">
        <w:t>členy</w:t>
      </w:r>
      <w:r w:rsidR="001B4020">
        <w:t xml:space="preserve"> </w:t>
      </w:r>
      <w:r w:rsidR="001B4020" w:rsidRPr="00251343">
        <w:t>burzy,</w:t>
      </w:r>
      <w:r w:rsidR="001B4020">
        <w:t xml:space="preserve"> </w:t>
      </w:r>
      <w:r w:rsidR="001B4020" w:rsidRPr="00251343">
        <w:t>které</w:t>
      </w:r>
      <w:r w:rsidR="001B4020">
        <w:t xml:space="preserve"> </w:t>
      </w:r>
      <w:r w:rsidR="001B4020" w:rsidRPr="00251343">
        <w:t>bylo</w:t>
      </w:r>
      <w:r w:rsidR="001B4020">
        <w:t xml:space="preserve"> </w:t>
      </w:r>
      <w:r w:rsidR="001B4020" w:rsidRPr="00251343">
        <w:t>v</w:t>
      </w:r>
      <w:r w:rsidR="001B4020">
        <w:t xml:space="preserve"> </w:t>
      </w:r>
      <w:r w:rsidR="001B4020" w:rsidRPr="00251343">
        <w:t>předcházejících</w:t>
      </w:r>
      <w:r w:rsidR="001B4020">
        <w:t xml:space="preserve"> </w:t>
      </w:r>
      <w:r w:rsidR="001B4020" w:rsidRPr="00251343">
        <w:t>5</w:t>
      </w:r>
      <w:r w:rsidR="001B4020">
        <w:t xml:space="preserve"> </w:t>
      </w:r>
      <w:r w:rsidR="001B4020" w:rsidRPr="00251343">
        <w:t>letech</w:t>
      </w:r>
      <w:r w:rsidR="001B4020">
        <w:t xml:space="preserve"> </w:t>
      </w:r>
      <w:r w:rsidR="001B4020" w:rsidRPr="00251343">
        <w:t>přede</w:t>
      </w:r>
      <w:r w:rsidR="001B4020">
        <w:t xml:space="preserve"> </w:t>
      </w:r>
      <w:r w:rsidR="001B4020" w:rsidRPr="00251343">
        <w:t>dnem</w:t>
      </w:r>
      <w:r w:rsidR="001B4020">
        <w:t xml:space="preserve"> </w:t>
      </w:r>
      <w:r w:rsidR="001B4020" w:rsidRPr="00251343">
        <w:t>podání</w:t>
      </w:r>
      <w:r w:rsidR="001B4020">
        <w:t xml:space="preserve"> </w:t>
      </w:r>
      <w:r w:rsidR="001B4020" w:rsidRPr="00251343">
        <w:t>žádosti</w:t>
      </w:r>
      <w:r w:rsidR="001B4020">
        <w:t xml:space="preserve"> </w:t>
      </w:r>
      <w:r w:rsidR="001B4020" w:rsidRPr="00251343">
        <w:t>odňato</w:t>
      </w:r>
      <w:r w:rsidR="001B4020">
        <w:t xml:space="preserve"> </w:t>
      </w:r>
      <w:r w:rsidR="001B4020" w:rsidRPr="00251343">
        <w:t>povolení</w:t>
      </w:r>
      <w:r w:rsidR="001B4020">
        <w:t xml:space="preserve"> </w:t>
      </w:r>
      <w:r w:rsidR="001B4020" w:rsidRPr="00251343">
        <w:t>z</w:t>
      </w:r>
      <w:r w:rsidR="001B4020">
        <w:t xml:space="preserve"> </w:t>
      </w:r>
      <w:r w:rsidR="001B4020" w:rsidRPr="00251343">
        <w:t>jiného</w:t>
      </w:r>
      <w:r w:rsidR="001B4020">
        <w:t xml:space="preserve"> </w:t>
      </w:r>
      <w:r w:rsidR="001B4020" w:rsidRPr="00251343">
        <w:t>důvodu</w:t>
      </w:r>
      <w:r w:rsidR="001B4020">
        <w:t xml:space="preserve"> </w:t>
      </w:r>
      <w:r w:rsidR="001B4020" w:rsidRPr="00251343">
        <w:t>než</w:t>
      </w:r>
      <w:r w:rsidR="001B4020">
        <w:t xml:space="preserve"> </w:t>
      </w:r>
      <w:r w:rsidR="001B4020" w:rsidRPr="00251343">
        <w:t>na</w:t>
      </w:r>
      <w:r w:rsidR="001B4020">
        <w:t xml:space="preserve"> </w:t>
      </w:r>
      <w:r w:rsidR="001B4020" w:rsidRPr="00251343">
        <w:t>žádost</w:t>
      </w:r>
      <w:r w:rsidR="001B4020">
        <w:t xml:space="preserve"> </w:t>
      </w:r>
      <w:r w:rsidR="001B4020" w:rsidRPr="00251343">
        <w:t>burzy,</w:t>
      </w:r>
    </w:p>
    <w:p w14:paraId="54100272" w14:textId="5812C819" w:rsidR="001B4020" w:rsidRPr="00251343" w:rsidRDefault="00F967BA" w:rsidP="00F967BA">
      <w:pPr>
        <w:pStyle w:val="Textparagrafu"/>
        <w:tabs>
          <w:tab w:val="left" w:pos="426"/>
          <w:tab w:val="left" w:pos="851"/>
        </w:tabs>
        <w:spacing w:before="0"/>
        <w:ind w:left="851" w:hanging="851"/>
      </w:pPr>
      <w:r>
        <w:tab/>
      </w:r>
      <w:r w:rsidR="001B4020" w:rsidRPr="00251343">
        <w:t>3.</w:t>
      </w:r>
      <w:r w:rsidR="00117A9E">
        <w:tab/>
      </w:r>
      <w:r w:rsidR="001B4020" w:rsidRPr="00251343">
        <w:t>nejsou</w:t>
      </w:r>
      <w:r w:rsidR="001B4020">
        <w:t xml:space="preserve"> </w:t>
      </w:r>
      <w:r w:rsidR="001B4020" w:rsidRPr="00251343">
        <w:t>osobou,</w:t>
      </w:r>
      <w:r w:rsidR="001B4020">
        <w:t xml:space="preserve"> </w:t>
      </w:r>
      <w:r w:rsidR="001B4020" w:rsidRPr="00251343">
        <w:t>která</w:t>
      </w:r>
      <w:r w:rsidR="001B4020">
        <w:t xml:space="preserve"> </w:t>
      </w:r>
      <w:r w:rsidR="001B4020" w:rsidRPr="00251343">
        <w:t>byla</w:t>
      </w:r>
      <w:r w:rsidR="001B4020">
        <w:t xml:space="preserve"> </w:t>
      </w:r>
      <w:r w:rsidR="001B4020" w:rsidRPr="00251343">
        <w:t>v</w:t>
      </w:r>
      <w:r w:rsidR="001B4020">
        <w:t xml:space="preserve"> </w:t>
      </w:r>
      <w:r w:rsidR="001B4020" w:rsidRPr="00251343">
        <w:t>předcházejících</w:t>
      </w:r>
      <w:r w:rsidR="001B4020">
        <w:t xml:space="preserve"> </w:t>
      </w:r>
      <w:r w:rsidR="001B4020" w:rsidRPr="00251343">
        <w:t>5</w:t>
      </w:r>
      <w:r w:rsidR="001B4020">
        <w:t xml:space="preserve"> </w:t>
      </w:r>
      <w:r w:rsidR="001B4020" w:rsidRPr="00251343">
        <w:t>letech</w:t>
      </w:r>
      <w:r w:rsidR="001B4020">
        <w:t xml:space="preserve"> </w:t>
      </w:r>
      <w:r w:rsidR="001B4020" w:rsidRPr="00251343">
        <w:t>přede</w:t>
      </w:r>
      <w:r w:rsidR="001B4020">
        <w:t xml:space="preserve"> </w:t>
      </w:r>
      <w:r w:rsidR="001B4020" w:rsidRPr="00251343">
        <w:t>dnem</w:t>
      </w:r>
      <w:r w:rsidR="001B4020">
        <w:t xml:space="preserve"> </w:t>
      </w:r>
      <w:r w:rsidR="001B4020" w:rsidRPr="00251343">
        <w:t>podání</w:t>
      </w:r>
      <w:r w:rsidR="001B4020">
        <w:t xml:space="preserve"> </w:t>
      </w:r>
      <w:r w:rsidR="001B4020" w:rsidRPr="00251343">
        <w:t>žádosti</w:t>
      </w:r>
      <w:r w:rsidR="001B4020">
        <w:t xml:space="preserve"> </w:t>
      </w:r>
      <w:r w:rsidR="001B4020" w:rsidRPr="00251343">
        <w:t>podle</w:t>
      </w:r>
      <w:r w:rsidR="001B4020">
        <w:t xml:space="preserve"> </w:t>
      </w:r>
      <w:r w:rsidR="001B4020" w:rsidRPr="00251343">
        <w:t>tohoto</w:t>
      </w:r>
      <w:r w:rsidR="001B4020">
        <w:t xml:space="preserve"> </w:t>
      </w:r>
      <w:r w:rsidR="001B4020" w:rsidRPr="00251343">
        <w:t>zákona</w:t>
      </w:r>
      <w:r w:rsidR="001B4020">
        <w:t xml:space="preserve"> </w:t>
      </w:r>
      <w:r w:rsidR="001B4020" w:rsidRPr="00251343">
        <w:t>za</w:t>
      </w:r>
      <w:r w:rsidR="001B4020">
        <w:t xml:space="preserve"> </w:t>
      </w:r>
      <w:r w:rsidR="001B4020" w:rsidRPr="00251343">
        <w:t>neplnění</w:t>
      </w:r>
      <w:r w:rsidR="001B4020">
        <w:t xml:space="preserve"> </w:t>
      </w:r>
      <w:r w:rsidR="001B4020" w:rsidRPr="00251343">
        <w:t>povinností</w:t>
      </w:r>
      <w:r w:rsidR="001B4020">
        <w:t xml:space="preserve"> </w:t>
      </w:r>
      <w:r w:rsidR="001B4020" w:rsidRPr="00251343">
        <w:t>opakovaně</w:t>
      </w:r>
      <w:r w:rsidR="001B4020">
        <w:t xml:space="preserve"> </w:t>
      </w:r>
      <w:r w:rsidR="001B4020" w:rsidRPr="00251343">
        <w:t>sankcionována,</w:t>
      </w:r>
    </w:p>
    <w:p w14:paraId="053AB8FE" w14:textId="63935E11" w:rsidR="001B4020" w:rsidRPr="00251343" w:rsidRDefault="00F967BA" w:rsidP="00F967BA">
      <w:pPr>
        <w:pStyle w:val="Textparagrafu"/>
        <w:tabs>
          <w:tab w:val="left" w:pos="426"/>
          <w:tab w:val="left" w:pos="851"/>
        </w:tabs>
        <w:spacing w:before="0"/>
        <w:ind w:firstLine="0"/>
      </w:pPr>
      <w:r>
        <w:tab/>
      </w:r>
      <w:r w:rsidR="001B4020" w:rsidRPr="00251343">
        <w:t>4.</w:t>
      </w:r>
      <w:r w:rsidR="00117A9E">
        <w:tab/>
      </w:r>
      <w:r w:rsidR="001B4020" w:rsidRPr="00251343">
        <w:t>nejsou</w:t>
      </w:r>
      <w:r w:rsidR="001B4020">
        <w:t xml:space="preserve"> </w:t>
      </w:r>
      <w:r w:rsidR="001B4020" w:rsidRPr="00251343">
        <w:t>osobami</w:t>
      </w:r>
      <w:r w:rsidR="001B4020">
        <w:t xml:space="preserve"> </w:t>
      </w:r>
      <w:r w:rsidR="001B4020" w:rsidRPr="00251343">
        <w:t>propojenými</w:t>
      </w:r>
      <w:r w:rsidR="001B4020">
        <w:t xml:space="preserve"> </w:t>
      </w:r>
      <w:r w:rsidR="001B4020" w:rsidRPr="00251343">
        <w:t>podle</w:t>
      </w:r>
      <w:r w:rsidR="001B4020">
        <w:t xml:space="preserve"> </w:t>
      </w:r>
      <w:r w:rsidR="001B4020" w:rsidRPr="00251343">
        <w:t>obchodního</w:t>
      </w:r>
      <w:r w:rsidR="001B4020">
        <w:t xml:space="preserve"> </w:t>
      </w:r>
      <w:r w:rsidR="001B4020" w:rsidRPr="00251343">
        <w:t>zákoníku,</w:t>
      </w:r>
    </w:p>
    <w:p w14:paraId="38D79921" w14:textId="278C9D1A" w:rsidR="001B4020" w:rsidRPr="00251343" w:rsidRDefault="00F967BA" w:rsidP="00F967BA">
      <w:pPr>
        <w:pStyle w:val="Textparagrafu"/>
        <w:tabs>
          <w:tab w:val="left" w:pos="426"/>
          <w:tab w:val="left" w:pos="851"/>
        </w:tabs>
        <w:spacing w:before="0"/>
        <w:ind w:left="851" w:hanging="851"/>
      </w:pPr>
      <w:r>
        <w:tab/>
      </w:r>
      <w:r w:rsidR="001B4020" w:rsidRPr="00251343">
        <w:t>5.</w:t>
      </w:r>
      <w:r w:rsidR="00117A9E">
        <w:tab/>
      </w:r>
      <w:r w:rsidR="001B4020" w:rsidRPr="00251343">
        <w:t>nemají</w:t>
      </w:r>
      <w:r w:rsidR="001B4020">
        <w:t xml:space="preserve"> </w:t>
      </w:r>
      <w:r w:rsidR="001B4020" w:rsidRPr="00251343">
        <w:t>ke</w:t>
      </w:r>
      <w:r w:rsidR="001B4020">
        <w:t xml:space="preserve"> </w:t>
      </w:r>
      <w:r w:rsidR="001B4020" w:rsidRPr="00251343">
        <w:t>dni</w:t>
      </w:r>
      <w:r w:rsidR="001B4020">
        <w:t xml:space="preserve"> </w:t>
      </w:r>
      <w:r w:rsidR="001B4020" w:rsidRPr="00251343">
        <w:t>podání</w:t>
      </w:r>
      <w:r w:rsidR="001B4020">
        <w:t xml:space="preserve"> </w:t>
      </w:r>
      <w:r w:rsidR="001B4020" w:rsidRPr="00251343">
        <w:t>žádosti</w:t>
      </w:r>
      <w:r w:rsidR="001B4020">
        <w:t xml:space="preserve"> </w:t>
      </w:r>
      <w:r w:rsidR="001B4020" w:rsidRPr="00251343">
        <w:t>v</w:t>
      </w:r>
      <w:r w:rsidR="001B4020">
        <w:t xml:space="preserve"> </w:t>
      </w:r>
      <w:r w:rsidR="001B4020" w:rsidRPr="00251343">
        <w:t>evidenci</w:t>
      </w:r>
      <w:r w:rsidR="001B4020">
        <w:t xml:space="preserve"> </w:t>
      </w:r>
      <w:r w:rsidR="001B4020" w:rsidRPr="00251343">
        <w:t>daní</w:t>
      </w:r>
      <w:r w:rsidR="001B4020">
        <w:t xml:space="preserve"> </w:t>
      </w:r>
      <w:r w:rsidR="001B4020" w:rsidRPr="00251343">
        <w:t>u</w:t>
      </w:r>
      <w:r w:rsidR="001B4020">
        <w:t xml:space="preserve"> </w:t>
      </w:r>
      <w:r w:rsidR="001B4020" w:rsidRPr="00251343">
        <w:t>orgánů</w:t>
      </w:r>
      <w:r w:rsidR="001B4020">
        <w:t xml:space="preserve"> </w:t>
      </w:r>
      <w:r w:rsidR="001B4020" w:rsidRPr="00251343">
        <w:t>Finanční</w:t>
      </w:r>
      <w:r w:rsidR="001B4020">
        <w:t xml:space="preserve"> </w:t>
      </w:r>
      <w:r w:rsidR="001B4020" w:rsidRPr="00251343">
        <w:t>správy</w:t>
      </w:r>
      <w:r w:rsidR="001B4020">
        <w:t xml:space="preserve"> </w:t>
      </w:r>
      <w:r w:rsidR="001B4020" w:rsidRPr="00251343">
        <w:t>České</w:t>
      </w:r>
      <w:r w:rsidR="001B4020">
        <w:t xml:space="preserve"> </w:t>
      </w:r>
      <w:r w:rsidR="001B4020" w:rsidRPr="00251343">
        <w:t>republiky</w:t>
      </w:r>
      <w:r w:rsidR="001B4020">
        <w:t xml:space="preserve"> </w:t>
      </w:r>
      <w:r w:rsidR="001B4020" w:rsidRPr="00251343">
        <w:t>ani</w:t>
      </w:r>
      <w:r w:rsidR="001B4020">
        <w:t xml:space="preserve"> </w:t>
      </w:r>
      <w:r w:rsidR="001B4020" w:rsidRPr="00251343">
        <w:t>orgánů</w:t>
      </w:r>
      <w:r w:rsidR="001B4020">
        <w:t xml:space="preserve"> </w:t>
      </w:r>
      <w:r w:rsidR="001B4020" w:rsidRPr="00251343">
        <w:t>Celní</w:t>
      </w:r>
      <w:r w:rsidR="001B4020">
        <w:t xml:space="preserve"> </w:t>
      </w:r>
      <w:r w:rsidR="001B4020" w:rsidRPr="00251343">
        <w:t>správy</w:t>
      </w:r>
      <w:r w:rsidR="001B4020">
        <w:t xml:space="preserve"> </w:t>
      </w:r>
      <w:r w:rsidR="001B4020" w:rsidRPr="00251343">
        <w:t>České</w:t>
      </w:r>
      <w:r w:rsidR="001B4020">
        <w:t xml:space="preserve"> </w:t>
      </w:r>
      <w:r w:rsidR="001B4020" w:rsidRPr="00251343">
        <w:t>republiky</w:t>
      </w:r>
      <w:r w:rsidR="001B4020">
        <w:t xml:space="preserve"> </w:t>
      </w:r>
      <w:r w:rsidR="001B4020" w:rsidRPr="00251343">
        <w:t>evidován</w:t>
      </w:r>
      <w:r w:rsidR="001B4020">
        <w:t xml:space="preserve"> </w:t>
      </w:r>
      <w:r w:rsidR="001B4020" w:rsidRPr="00251343">
        <w:t>nedoplatek,</w:t>
      </w:r>
    </w:p>
    <w:p w14:paraId="421A4AF3" w14:textId="5873A9A3" w:rsidR="001B4020" w:rsidRPr="00251343" w:rsidRDefault="00F967BA" w:rsidP="00F967BA">
      <w:pPr>
        <w:pStyle w:val="Textparagrafu"/>
        <w:tabs>
          <w:tab w:val="left" w:pos="426"/>
          <w:tab w:val="left" w:pos="851"/>
        </w:tabs>
        <w:spacing w:before="0"/>
        <w:ind w:left="851" w:hanging="851"/>
      </w:pPr>
      <w:r>
        <w:tab/>
      </w:r>
      <w:r w:rsidR="001B4020" w:rsidRPr="00251343">
        <w:t>6.</w:t>
      </w:r>
      <w:r w:rsidR="00117A9E">
        <w:tab/>
      </w:r>
      <w:r w:rsidR="001B4020" w:rsidRPr="00251343">
        <w:t>nemají</w:t>
      </w:r>
      <w:r w:rsidR="001B4020">
        <w:t xml:space="preserve"> </w:t>
      </w:r>
      <w:r w:rsidR="001B4020" w:rsidRPr="00251343">
        <w:t>ke</w:t>
      </w:r>
      <w:r w:rsidR="001B4020">
        <w:t xml:space="preserve"> </w:t>
      </w:r>
      <w:r w:rsidR="001B4020" w:rsidRPr="00251343">
        <w:t>dni</w:t>
      </w:r>
      <w:r w:rsidR="001B4020">
        <w:t xml:space="preserve"> </w:t>
      </w:r>
      <w:r w:rsidR="001B4020" w:rsidRPr="00251343">
        <w:t>podání</w:t>
      </w:r>
      <w:r w:rsidR="001B4020">
        <w:t xml:space="preserve"> </w:t>
      </w:r>
      <w:r w:rsidR="001B4020" w:rsidRPr="00251343">
        <w:t>žádosti</w:t>
      </w:r>
      <w:r w:rsidR="001B4020">
        <w:t xml:space="preserve"> </w:t>
      </w:r>
      <w:r w:rsidR="001B4020" w:rsidRPr="00251343">
        <w:t>nedoplatky</w:t>
      </w:r>
      <w:r w:rsidR="001B4020">
        <w:t xml:space="preserve"> </w:t>
      </w:r>
      <w:r w:rsidR="001B4020" w:rsidRPr="00251343">
        <w:t>na</w:t>
      </w:r>
      <w:r w:rsidR="001B4020">
        <w:t xml:space="preserve"> </w:t>
      </w:r>
      <w:r w:rsidR="001B4020" w:rsidRPr="00251343">
        <w:t>pojistném</w:t>
      </w:r>
      <w:r w:rsidR="001B4020">
        <w:t xml:space="preserve"> </w:t>
      </w:r>
      <w:r w:rsidR="001B4020" w:rsidRPr="00251343">
        <w:t>a</w:t>
      </w:r>
      <w:r w:rsidR="001B4020">
        <w:t xml:space="preserve"> </w:t>
      </w:r>
      <w:r w:rsidR="001B4020" w:rsidRPr="00251343">
        <w:t>na</w:t>
      </w:r>
      <w:r w:rsidR="001B4020">
        <w:t xml:space="preserve"> </w:t>
      </w:r>
      <w:r w:rsidR="001B4020" w:rsidRPr="00251343">
        <w:t>penále</w:t>
      </w:r>
      <w:r w:rsidR="001B4020">
        <w:t xml:space="preserve"> </w:t>
      </w:r>
      <w:r w:rsidR="001B4020" w:rsidRPr="00251343">
        <w:t>na</w:t>
      </w:r>
      <w:r w:rsidR="001B4020">
        <w:t xml:space="preserve"> </w:t>
      </w:r>
      <w:r w:rsidR="001B4020" w:rsidRPr="00251343">
        <w:t>veřejném</w:t>
      </w:r>
      <w:r w:rsidR="001B4020">
        <w:t xml:space="preserve"> </w:t>
      </w:r>
      <w:r w:rsidR="001B4020" w:rsidRPr="00251343">
        <w:t>zdravotním</w:t>
      </w:r>
      <w:r w:rsidR="001B4020">
        <w:t xml:space="preserve"> </w:t>
      </w:r>
      <w:r w:rsidR="001B4020" w:rsidRPr="00251343">
        <w:t>pojištění,</w:t>
      </w:r>
      <w:r w:rsidR="001B4020">
        <w:t xml:space="preserve"> </w:t>
      </w:r>
      <w:r w:rsidR="001B4020" w:rsidRPr="00251343">
        <w:t>nedoplatky</w:t>
      </w:r>
      <w:r w:rsidR="001B4020">
        <w:t xml:space="preserve"> </w:t>
      </w:r>
      <w:r w:rsidR="001B4020" w:rsidRPr="00251343">
        <w:t>na</w:t>
      </w:r>
      <w:r w:rsidR="001B4020">
        <w:t xml:space="preserve"> </w:t>
      </w:r>
      <w:r w:rsidR="001B4020" w:rsidRPr="00251343">
        <w:t>pojistném</w:t>
      </w:r>
      <w:r w:rsidR="001B4020">
        <w:t xml:space="preserve"> </w:t>
      </w:r>
      <w:r w:rsidR="001B4020" w:rsidRPr="00251343">
        <w:t>a</w:t>
      </w:r>
      <w:r w:rsidR="001B4020">
        <w:t xml:space="preserve"> </w:t>
      </w:r>
      <w:r w:rsidR="001B4020" w:rsidRPr="00251343">
        <w:t>na</w:t>
      </w:r>
      <w:r w:rsidR="001B4020">
        <w:t xml:space="preserve"> </w:t>
      </w:r>
      <w:r w:rsidR="001B4020" w:rsidRPr="00251343">
        <w:t>penále</w:t>
      </w:r>
      <w:r w:rsidR="001B4020">
        <w:t xml:space="preserve"> </w:t>
      </w:r>
      <w:r w:rsidR="001B4020" w:rsidRPr="00251343">
        <w:t>na</w:t>
      </w:r>
      <w:r w:rsidR="001B4020">
        <w:t xml:space="preserve"> </w:t>
      </w:r>
      <w:r w:rsidR="001B4020" w:rsidRPr="00251343">
        <w:t>sociálním</w:t>
      </w:r>
      <w:r w:rsidR="001B4020">
        <w:t xml:space="preserve"> </w:t>
      </w:r>
      <w:r w:rsidR="001B4020" w:rsidRPr="00251343">
        <w:t>zabezpečení</w:t>
      </w:r>
      <w:r w:rsidR="001B4020">
        <w:t xml:space="preserve"> </w:t>
      </w:r>
      <w:r w:rsidR="001B4020" w:rsidRPr="00251343">
        <w:t>a</w:t>
      </w:r>
      <w:r w:rsidR="001B4020">
        <w:t xml:space="preserve"> </w:t>
      </w:r>
      <w:r w:rsidR="001B4020" w:rsidRPr="00251343">
        <w:t>příspěvku</w:t>
      </w:r>
      <w:r w:rsidR="001B4020">
        <w:t xml:space="preserve"> </w:t>
      </w:r>
      <w:r w:rsidR="001B4020" w:rsidRPr="00251343">
        <w:t>na</w:t>
      </w:r>
      <w:r w:rsidR="001B4020">
        <w:t xml:space="preserve"> </w:t>
      </w:r>
      <w:r w:rsidR="001B4020" w:rsidRPr="00251343">
        <w:t>státní</w:t>
      </w:r>
      <w:r w:rsidR="001B4020">
        <w:t xml:space="preserve"> </w:t>
      </w:r>
      <w:r w:rsidR="001B4020" w:rsidRPr="00251343">
        <w:t>politiku</w:t>
      </w:r>
      <w:r w:rsidR="001B4020">
        <w:t xml:space="preserve"> </w:t>
      </w:r>
      <w:r w:rsidR="001B4020" w:rsidRPr="00251343">
        <w:t>zaměstnanosti,</w:t>
      </w:r>
    </w:p>
    <w:p w14:paraId="05BA1C74" w14:textId="683FBF15" w:rsidR="001B4020" w:rsidRPr="00251343" w:rsidRDefault="00F967BA" w:rsidP="00F967BA">
      <w:pPr>
        <w:pStyle w:val="Textparagrafu"/>
        <w:tabs>
          <w:tab w:val="left" w:pos="426"/>
          <w:tab w:val="left" w:pos="851"/>
        </w:tabs>
        <w:spacing w:before="0"/>
        <w:ind w:left="851" w:hanging="851"/>
      </w:pPr>
      <w:r>
        <w:tab/>
      </w:r>
      <w:r w:rsidR="001B4020" w:rsidRPr="00251343">
        <w:t>7.</w:t>
      </w:r>
      <w:r w:rsidR="00117A9E">
        <w:tab/>
      </w:r>
      <w:r w:rsidR="001B4020" w:rsidRPr="00251343">
        <w:t>nejsou</w:t>
      </w:r>
      <w:r w:rsidR="001B4020">
        <w:t xml:space="preserve"> </w:t>
      </w:r>
      <w:r w:rsidR="001B4020" w:rsidRPr="00251343">
        <w:t>osobami,</w:t>
      </w:r>
      <w:r w:rsidR="001B4020">
        <w:t xml:space="preserve"> </w:t>
      </w:r>
      <w:r w:rsidR="001B4020" w:rsidRPr="00251343">
        <w:t>na</w:t>
      </w:r>
      <w:r w:rsidR="001B4020">
        <w:t xml:space="preserve"> </w:t>
      </w:r>
      <w:r w:rsidR="001B4020" w:rsidRPr="00251343">
        <w:t>jejichž</w:t>
      </w:r>
      <w:r w:rsidR="001B4020">
        <w:t xml:space="preserve"> </w:t>
      </w:r>
      <w:r w:rsidR="001B4020" w:rsidRPr="00251343">
        <w:t>majetek</w:t>
      </w:r>
      <w:r w:rsidR="001B4020">
        <w:t xml:space="preserve"> </w:t>
      </w:r>
      <w:r w:rsidR="001B4020" w:rsidRPr="00251343">
        <w:t>byl</w:t>
      </w:r>
      <w:r w:rsidR="001B4020">
        <w:t xml:space="preserve"> </w:t>
      </w:r>
      <w:r w:rsidR="001B4020" w:rsidRPr="00251343">
        <w:t>v</w:t>
      </w:r>
      <w:r w:rsidR="001B4020">
        <w:t xml:space="preserve"> </w:t>
      </w:r>
      <w:r w:rsidR="001B4020" w:rsidRPr="00251343">
        <w:t>předcházejících</w:t>
      </w:r>
      <w:r w:rsidR="001B4020">
        <w:t xml:space="preserve"> </w:t>
      </w:r>
      <w:r w:rsidR="001B4020" w:rsidRPr="00251343">
        <w:t>5</w:t>
      </w:r>
      <w:r w:rsidR="001B4020">
        <w:t xml:space="preserve"> </w:t>
      </w:r>
      <w:r w:rsidR="001B4020" w:rsidRPr="00251343">
        <w:t>letech</w:t>
      </w:r>
      <w:r w:rsidR="001B4020">
        <w:t xml:space="preserve"> </w:t>
      </w:r>
      <w:r w:rsidR="001B4020" w:rsidRPr="00251343">
        <w:t>přede</w:t>
      </w:r>
      <w:r w:rsidR="001B4020">
        <w:t xml:space="preserve"> </w:t>
      </w:r>
      <w:r w:rsidR="001B4020" w:rsidRPr="00251343">
        <w:t>dnem</w:t>
      </w:r>
      <w:r w:rsidR="001B4020">
        <w:t xml:space="preserve"> </w:t>
      </w:r>
      <w:r w:rsidR="001B4020" w:rsidRPr="00251343">
        <w:t>podání</w:t>
      </w:r>
      <w:r w:rsidR="001B4020">
        <w:t xml:space="preserve"> </w:t>
      </w:r>
      <w:r w:rsidR="001B4020" w:rsidRPr="00251343">
        <w:t>žádosti</w:t>
      </w:r>
      <w:r w:rsidR="001B4020">
        <w:t xml:space="preserve"> </w:t>
      </w:r>
      <w:r w:rsidR="001B4020" w:rsidRPr="00251343">
        <w:t>prohlášen</w:t>
      </w:r>
      <w:r w:rsidR="001B4020">
        <w:t xml:space="preserve"> </w:t>
      </w:r>
      <w:r w:rsidR="001B4020" w:rsidRPr="00251343">
        <w:t>konkurs</w:t>
      </w:r>
      <w:r w:rsidR="001B4020">
        <w:t xml:space="preserve"> </w:t>
      </w:r>
      <w:r w:rsidR="001B4020" w:rsidRPr="00251343">
        <w:t>nebo</w:t>
      </w:r>
      <w:r w:rsidR="001B4020">
        <w:t xml:space="preserve"> </w:t>
      </w:r>
      <w:r w:rsidR="001B4020" w:rsidRPr="00251343">
        <w:t>zamítnut</w:t>
      </w:r>
      <w:r w:rsidR="001B4020">
        <w:t xml:space="preserve"> </w:t>
      </w:r>
      <w:r w:rsidR="001B4020" w:rsidRPr="00251343">
        <w:t>návrh</w:t>
      </w:r>
      <w:r w:rsidR="001B4020">
        <w:t xml:space="preserve"> </w:t>
      </w:r>
      <w:r w:rsidR="001B4020" w:rsidRPr="00251343">
        <w:t>na</w:t>
      </w:r>
      <w:r w:rsidR="001B4020">
        <w:t xml:space="preserve"> </w:t>
      </w:r>
      <w:r w:rsidR="001B4020" w:rsidRPr="00251343">
        <w:t>prohlášení</w:t>
      </w:r>
      <w:r w:rsidR="001B4020">
        <w:t xml:space="preserve"> </w:t>
      </w:r>
      <w:r w:rsidR="001B4020" w:rsidRPr="00251343">
        <w:t>konkursu</w:t>
      </w:r>
      <w:r w:rsidR="001B4020">
        <w:t xml:space="preserve"> </w:t>
      </w:r>
      <w:r w:rsidR="001B4020" w:rsidRPr="00251343">
        <w:t>pro</w:t>
      </w:r>
      <w:r w:rsidR="001B4020">
        <w:t xml:space="preserve"> </w:t>
      </w:r>
      <w:r w:rsidR="001B4020" w:rsidRPr="00251343">
        <w:t>nedostatek</w:t>
      </w:r>
      <w:r w:rsidR="001B4020">
        <w:t xml:space="preserve"> </w:t>
      </w:r>
      <w:r w:rsidR="001B4020" w:rsidRPr="00251343">
        <w:t>jejich</w:t>
      </w:r>
      <w:r w:rsidR="001B4020">
        <w:t xml:space="preserve"> </w:t>
      </w:r>
      <w:r w:rsidR="001B4020" w:rsidRPr="00251343">
        <w:t>majetku</w:t>
      </w:r>
      <w:r w:rsidR="001B4020">
        <w:t xml:space="preserve"> </w:t>
      </w:r>
      <w:r w:rsidR="001B4020" w:rsidRPr="00251343">
        <w:t>nebo</w:t>
      </w:r>
      <w:r w:rsidR="001B4020">
        <w:t xml:space="preserve"> </w:t>
      </w:r>
      <w:r w:rsidR="001B4020" w:rsidRPr="00251343">
        <w:t>zrušen</w:t>
      </w:r>
      <w:r w:rsidR="001B4020">
        <w:t xml:space="preserve"> </w:t>
      </w:r>
      <w:r w:rsidR="001B4020" w:rsidRPr="00251343">
        <w:t>konkurs</w:t>
      </w:r>
      <w:r w:rsidR="001B4020">
        <w:t xml:space="preserve"> </w:t>
      </w:r>
      <w:r w:rsidR="001B4020" w:rsidRPr="00251343">
        <w:t>pro</w:t>
      </w:r>
      <w:r w:rsidR="001B4020">
        <w:t xml:space="preserve"> </w:t>
      </w:r>
      <w:r w:rsidR="001B4020" w:rsidRPr="00251343">
        <w:t>nedostatek</w:t>
      </w:r>
      <w:r w:rsidR="001B4020">
        <w:t xml:space="preserve"> </w:t>
      </w:r>
      <w:r w:rsidR="001B4020" w:rsidRPr="00251343">
        <w:t>jejich</w:t>
      </w:r>
      <w:r w:rsidR="001B4020">
        <w:t xml:space="preserve"> </w:t>
      </w:r>
      <w:r w:rsidR="001B4020" w:rsidRPr="00251343">
        <w:t>majetku</w:t>
      </w:r>
      <w:r w:rsidR="001B4020">
        <w:t xml:space="preserve"> </w:t>
      </w:r>
      <w:r w:rsidR="001B4020" w:rsidRPr="00251343">
        <w:t>nebo</w:t>
      </w:r>
      <w:r w:rsidR="001B4020">
        <w:t xml:space="preserve"> </w:t>
      </w:r>
      <w:r w:rsidR="001B4020" w:rsidRPr="00251343">
        <w:t>povoleno</w:t>
      </w:r>
      <w:r w:rsidR="001B4020">
        <w:t xml:space="preserve"> </w:t>
      </w:r>
      <w:r w:rsidR="001B4020" w:rsidRPr="00251343">
        <w:t>vyrovnání</w:t>
      </w:r>
      <w:r w:rsidR="001B4020">
        <w:t xml:space="preserve"> </w:t>
      </w:r>
      <w:r w:rsidR="001B4020" w:rsidRPr="00251343">
        <w:t>podle</w:t>
      </w:r>
      <w:r w:rsidR="001B4020">
        <w:t xml:space="preserve"> </w:t>
      </w:r>
      <w:r w:rsidR="001B4020" w:rsidRPr="00251343">
        <w:t>zákona</w:t>
      </w:r>
      <w:r w:rsidR="001B4020">
        <w:t xml:space="preserve"> </w:t>
      </w:r>
      <w:r w:rsidR="001B4020" w:rsidRPr="00251343">
        <w:t>o</w:t>
      </w:r>
      <w:r w:rsidR="001B4020">
        <w:t xml:space="preserve"> </w:t>
      </w:r>
      <w:r w:rsidR="001B4020" w:rsidRPr="00251343">
        <w:t>konkursu</w:t>
      </w:r>
      <w:r w:rsidR="001B4020">
        <w:t xml:space="preserve"> </w:t>
      </w:r>
      <w:r w:rsidR="001B4020" w:rsidRPr="00251343">
        <w:t>a</w:t>
      </w:r>
      <w:r w:rsidR="001B4020">
        <w:t xml:space="preserve"> </w:t>
      </w:r>
      <w:r w:rsidR="001B4020" w:rsidRPr="00251343">
        <w:t>vyrovnání,</w:t>
      </w:r>
    </w:p>
    <w:p w14:paraId="4FE24F41" w14:textId="709285E8" w:rsidR="001B4020" w:rsidRPr="00251343" w:rsidRDefault="00F967BA" w:rsidP="00F967BA">
      <w:pPr>
        <w:pStyle w:val="Textparagrafu"/>
        <w:tabs>
          <w:tab w:val="left" w:pos="426"/>
          <w:tab w:val="left" w:pos="851"/>
        </w:tabs>
        <w:spacing w:before="0"/>
        <w:ind w:left="851" w:hanging="851"/>
      </w:pPr>
      <w:r>
        <w:tab/>
      </w:r>
      <w:r w:rsidR="001B4020" w:rsidRPr="00251343">
        <w:t>8.</w:t>
      </w:r>
      <w:r w:rsidR="00117A9E">
        <w:tab/>
      </w:r>
      <w:r w:rsidR="001B4020" w:rsidRPr="00251343">
        <w:t>nejsou</w:t>
      </w:r>
      <w:r w:rsidR="001B4020">
        <w:t xml:space="preserve"> </w:t>
      </w:r>
      <w:r w:rsidR="001B4020" w:rsidRPr="00251343">
        <w:t>osobami,</w:t>
      </w:r>
      <w:r w:rsidR="001B4020">
        <w:t xml:space="preserve"> </w:t>
      </w:r>
      <w:r w:rsidR="001B4020" w:rsidRPr="00251343">
        <w:t>u</w:t>
      </w:r>
      <w:r w:rsidR="001B4020">
        <w:t xml:space="preserve"> </w:t>
      </w:r>
      <w:r w:rsidR="001B4020" w:rsidRPr="00251343">
        <w:t>kterých</w:t>
      </w:r>
      <w:r w:rsidR="001B4020">
        <w:t xml:space="preserve"> </w:t>
      </w:r>
      <w:r w:rsidR="001B4020" w:rsidRPr="00251343">
        <w:t>v</w:t>
      </w:r>
      <w:r w:rsidR="001B4020">
        <w:t xml:space="preserve"> </w:t>
      </w:r>
      <w:r w:rsidR="001B4020" w:rsidRPr="00251343">
        <w:t>předcházejících</w:t>
      </w:r>
      <w:r w:rsidR="001B4020">
        <w:t xml:space="preserve"> </w:t>
      </w:r>
      <w:r w:rsidR="001B4020" w:rsidRPr="00251343">
        <w:t>5</w:t>
      </w:r>
      <w:r w:rsidR="001B4020">
        <w:t xml:space="preserve"> </w:t>
      </w:r>
      <w:r w:rsidR="001B4020" w:rsidRPr="00251343">
        <w:t>letech</w:t>
      </w:r>
      <w:r w:rsidR="001B4020">
        <w:t xml:space="preserve"> </w:t>
      </w:r>
      <w:r w:rsidR="001B4020" w:rsidRPr="00251343">
        <w:t>přede</w:t>
      </w:r>
      <w:r w:rsidR="001B4020">
        <w:t xml:space="preserve"> </w:t>
      </w:r>
      <w:r w:rsidR="001B4020" w:rsidRPr="00251343">
        <w:t>dnem</w:t>
      </w:r>
      <w:r w:rsidR="001B4020">
        <w:t xml:space="preserve"> </w:t>
      </w:r>
      <w:r w:rsidR="001B4020" w:rsidRPr="00251343">
        <w:t>podání</w:t>
      </w:r>
      <w:r w:rsidR="001B4020">
        <w:t xml:space="preserve"> </w:t>
      </w:r>
      <w:r w:rsidR="001B4020" w:rsidRPr="00251343">
        <w:t>žádosti</w:t>
      </w:r>
      <w:r w:rsidR="001B4020">
        <w:t xml:space="preserve"> </w:t>
      </w:r>
      <w:r w:rsidR="001B4020" w:rsidRPr="00251343">
        <w:t>bylo</w:t>
      </w:r>
      <w:r w:rsidR="001B4020">
        <w:t xml:space="preserve"> </w:t>
      </w:r>
      <w:r w:rsidR="001B4020" w:rsidRPr="00251343">
        <w:t>rozhodnuto</w:t>
      </w:r>
      <w:r w:rsidR="001B4020">
        <w:t xml:space="preserve"> </w:t>
      </w:r>
      <w:r w:rsidR="001B4020" w:rsidRPr="00251343">
        <w:t>o</w:t>
      </w:r>
      <w:r w:rsidR="001B4020">
        <w:t xml:space="preserve"> </w:t>
      </w:r>
      <w:r w:rsidR="001B4020" w:rsidRPr="00251343">
        <w:t>jejich</w:t>
      </w:r>
      <w:r w:rsidR="001B4020">
        <w:t xml:space="preserve"> </w:t>
      </w:r>
      <w:r w:rsidR="001B4020" w:rsidRPr="00251343">
        <w:t>úpadku</w:t>
      </w:r>
      <w:r w:rsidR="001B4020">
        <w:t xml:space="preserve"> </w:t>
      </w:r>
      <w:r w:rsidR="001B4020" w:rsidRPr="00251343">
        <w:t>nebo</w:t>
      </w:r>
      <w:r w:rsidR="001B4020">
        <w:t xml:space="preserve"> </w:t>
      </w:r>
      <w:r w:rsidR="001B4020" w:rsidRPr="00251343">
        <w:t>byl</w:t>
      </w:r>
      <w:r w:rsidR="001B4020">
        <w:t xml:space="preserve"> </w:t>
      </w:r>
      <w:r w:rsidR="001B4020" w:rsidRPr="00251343">
        <w:t>insolvenční</w:t>
      </w:r>
      <w:r w:rsidR="001B4020">
        <w:t xml:space="preserve"> </w:t>
      </w:r>
      <w:r w:rsidR="001B4020" w:rsidRPr="00251343">
        <w:t>návrh</w:t>
      </w:r>
      <w:r w:rsidR="001B4020">
        <w:t xml:space="preserve"> </w:t>
      </w:r>
      <w:r w:rsidR="001B4020" w:rsidRPr="00251343">
        <w:t>zamítnut</w:t>
      </w:r>
      <w:r w:rsidR="001B4020">
        <w:t xml:space="preserve"> </w:t>
      </w:r>
      <w:r w:rsidR="001B4020" w:rsidRPr="00251343">
        <w:t>pro</w:t>
      </w:r>
      <w:r w:rsidR="001B4020">
        <w:t xml:space="preserve"> </w:t>
      </w:r>
      <w:r w:rsidR="001B4020" w:rsidRPr="00251343">
        <w:t>nedostatek</w:t>
      </w:r>
      <w:r w:rsidR="001B4020">
        <w:t xml:space="preserve"> </w:t>
      </w:r>
      <w:r w:rsidR="001B4020" w:rsidRPr="00251343">
        <w:t>majetku</w:t>
      </w:r>
      <w:r w:rsidR="001B4020">
        <w:t xml:space="preserve"> </w:t>
      </w:r>
      <w:r w:rsidR="001B4020" w:rsidRPr="00251343">
        <w:t>dlužníka</w:t>
      </w:r>
      <w:r w:rsidR="001B4020">
        <w:t xml:space="preserve"> </w:t>
      </w:r>
      <w:r w:rsidR="001B4020" w:rsidRPr="00251343">
        <w:t>nebo</w:t>
      </w:r>
      <w:r w:rsidR="001B4020">
        <w:t xml:space="preserve"> </w:t>
      </w:r>
      <w:r w:rsidR="001B4020" w:rsidRPr="00251343">
        <w:t>byl</w:t>
      </w:r>
      <w:r w:rsidR="001B4020">
        <w:t xml:space="preserve"> </w:t>
      </w:r>
      <w:r w:rsidR="001B4020" w:rsidRPr="00251343">
        <w:t>konkurs</w:t>
      </w:r>
      <w:r w:rsidR="001B4020">
        <w:t xml:space="preserve"> </w:t>
      </w:r>
      <w:r w:rsidR="001B4020" w:rsidRPr="00251343">
        <w:t>zrušen</w:t>
      </w:r>
      <w:r w:rsidR="001B4020">
        <w:t xml:space="preserve"> </w:t>
      </w:r>
      <w:r w:rsidR="001B4020" w:rsidRPr="00251343">
        <w:t>pro</w:t>
      </w:r>
      <w:r w:rsidR="001B4020">
        <w:t xml:space="preserve"> </w:t>
      </w:r>
      <w:r w:rsidR="001B4020" w:rsidRPr="00251343">
        <w:t>nedostatek</w:t>
      </w:r>
      <w:r w:rsidR="001B4020">
        <w:t xml:space="preserve"> </w:t>
      </w:r>
      <w:r w:rsidR="001B4020" w:rsidRPr="00251343">
        <w:t>majetku</w:t>
      </w:r>
      <w:r w:rsidR="001B4020">
        <w:t xml:space="preserve"> </w:t>
      </w:r>
      <w:r w:rsidR="001B4020" w:rsidRPr="00251343">
        <w:t>dlužníka</w:t>
      </w:r>
      <w:r w:rsidR="001B4020">
        <w:t xml:space="preserve"> </w:t>
      </w:r>
      <w:r w:rsidR="001B4020" w:rsidRPr="00251343">
        <w:t>podle</w:t>
      </w:r>
      <w:r w:rsidR="001B4020">
        <w:t xml:space="preserve"> </w:t>
      </w:r>
      <w:r w:rsidR="001B4020" w:rsidRPr="00251343">
        <w:t>insolvenčního</w:t>
      </w:r>
      <w:r w:rsidR="001B4020">
        <w:t xml:space="preserve"> </w:t>
      </w:r>
      <w:r w:rsidR="001B4020" w:rsidRPr="00251343">
        <w:t>zákona,</w:t>
      </w:r>
      <w:r w:rsidR="001B4020">
        <w:t xml:space="preserve"> </w:t>
      </w:r>
      <w:r w:rsidR="001B4020" w:rsidRPr="00251343">
        <w:t>a</w:t>
      </w:r>
    </w:p>
    <w:p w14:paraId="38074489" w14:textId="52700664" w:rsidR="001B4020" w:rsidRDefault="00F967BA" w:rsidP="00F967BA">
      <w:pPr>
        <w:pStyle w:val="Textparagrafu"/>
        <w:tabs>
          <w:tab w:val="left" w:pos="426"/>
          <w:tab w:val="left" w:pos="851"/>
        </w:tabs>
        <w:spacing w:before="0"/>
        <w:ind w:left="851" w:hanging="851"/>
      </w:pPr>
      <w:r>
        <w:tab/>
      </w:r>
      <w:r w:rsidR="001B4020" w:rsidRPr="00251343">
        <w:t>9.</w:t>
      </w:r>
      <w:r w:rsidR="00117A9E">
        <w:tab/>
      </w:r>
      <w:r w:rsidR="001B4020" w:rsidRPr="00251343">
        <w:t>nejsou</w:t>
      </w:r>
      <w:r w:rsidR="001B4020">
        <w:t xml:space="preserve"> </w:t>
      </w:r>
      <w:r w:rsidR="001B4020" w:rsidRPr="00251343">
        <w:t>osobami,</w:t>
      </w:r>
      <w:r w:rsidR="001B4020">
        <w:t xml:space="preserve"> </w:t>
      </w:r>
      <w:r w:rsidR="001B4020" w:rsidRPr="00251343">
        <w:t>u</w:t>
      </w:r>
      <w:r w:rsidR="001B4020">
        <w:t xml:space="preserve"> </w:t>
      </w:r>
      <w:r w:rsidR="001B4020" w:rsidRPr="00251343">
        <w:t>kterých</w:t>
      </w:r>
      <w:r w:rsidR="001B4020">
        <w:t xml:space="preserve"> </w:t>
      </w:r>
      <w:r w:rsidR="001B4020" w:rsidRPr="00251343">
        <w:t>v</w:t>
      </w:r>
      <w:r w:rsidR="001B4020">
        <w:t xml:space="preserve"> </w:t>
      </w:r>
      <w:r w:rsidR="001B4020" w:rsidRPr="00251343">
        <w:t>předcházejících</w:t>
      </w:r>
      <w:r w:rsidR="001B4020">
        <w:t xml:space="preserve"> </w:t>
      </w:r>
      <w:r w:rsidR="001B4020" w:rsidRPr="00251343">
        <w:t>5</w:t>
      </w:r>
      <w:r w:rsidR="001B4020">
        <w:t xml:space="preserve"> </w:t>
      </w:r>
      <w:r w:rsidR="001B4020" w:rsidRPr="00251343">
        <w:t>letech</w:t>
      </w:r>
      <w:r w:rsidR="001B4020">
        <w:t xml:space="preserve"> </w:t>
      </w:r>
      <w:r w:rsidR="001B4020" w:rsidRPr="00251343">
        <w:t>přede</w:t>
      </w:r>
      <w:r w:rsidR="001B4020">
        <w:t xml:space="preserve"> </w:t>
      </w:r>
      <w:r w:rsidR="001B4020" w:rsidRPr="00251343">
        <w:t>dnem</w:t>
      </w:r>
      <w:r w:rsidR="001B4020">
        <w:t xml:space="preserve"> </w:t>
      </w:r>
      <w:r w:rsidR="001B4020" w:rsidRPr="00251343">
        <w:t>podání</w:t>
      </w:r>
      <w:r w:rsidR="001B4020">
        <w:t xml:space="preserve"> </w:t>
      </w:r>
      <w:r w:rsidR="001B4020" w:rsidRPr="00251343">
        <w:t>žádosti</w:t>
      </w:r>
      <w:r w:rsidR="001B4020">
        <w:t xml:space="preserve"> </w:t>
      </w:r>
      <w:r w:rsidR="001B4020" w:rsidRPr="00251343">
        <w:t>bylo</w:t>
      </w:r>
      <w:r w:rsidR="001B4020">
        <w:t xml:space="preserve"> </w:t>
      </w:r>
      <w:r w:rsidR="001B4020" w:rsidRPr="00251343">
        <w:t>vedeno</w:t>
      </w:r>
      <w:r w:rsidR="001B4020">
        <w:t xml:space="preserve"> </w:t>
      </w:r>
      <w:r w:rsidR="001B4020" w:rsidRPr="00251343">
        <w:t>u</w:t>
      </w:r>
      <w:r w:rsidR="001B4020">
        <w:t xml:space="preserve"> </w:t>
      </w:r>
      <w:r w:rsidR="001B4020" w:rsidRPr="00251343">
        <w:t>soudu</w:t>
      </w:r>
      <w:r w:rsidR="001B4020">
        <w:t xml:space="preserve"> </w:t>
      </w:r>
      <w:r w:rsidR="001B4020" w:rsidRPr="00251343">
        <w:t>nebo</w:t>
      </w:r>
      <w:r w:rsidR="001B4020">
        <w:t xml:space="preserve"> </w:t>
      </w:r>
      <w:r w:rsidR="001B4020" w:rsidRPr="00251343">
        <w:t>u</w:t>
      </w:r>
      <w:r w:rsidR="001B4020">
        <w:t xml:space="preserve"> </w:t>
      </w:r>
      <w:r w:rsidR="001B4020" w:rsidRPr="00251343">
        <w:t>jiného</w:t>
      </w:r>
      <w:r w:rsidR="001B4020">
        <w:t xml:space="preserve"> </w:t>
      </w:r>
      <w:r w:rsidR="001B4020" w:rsidRPr="00251343">
        <w:t>k</w:t>
      </w:r>
      <w:r w:rsidR="001B4020">
        <w:t xml:space="preserve"> </w:t>
      </w:r>
      <w:r w:rsidR="001B4020" w:rsidRPr="00251343">
        <w:t>tomu</w:t>
      </w:r>
      <w:r w:rsidR="001B4020">
        <w:t xml:space="preserve"> </w:t>
      </w:r>
      <w:r w:rsidR="001B4020" w:rsidRPr="00251343">
        <w:t>příslušného</w:t>
      </w:r>
      <w:r w:rsidR="001B4020">
        <w:t xml:space="preserve"> </w:t>
      </w:r>
      <w:r w:rsidR="001B4020" w:rsidRPr="00251343">
        <w:t>orgánu</w:t>
      </w:r>
      <w:r w:rsidR="001B4020">
        <w:t xml:space="preserve"> </w:t>
      </w:r>
      <w:r w:rsidR="001B4020" w:rsidRPr="00251343">
        <w:t>veřejné</w:t>
      </w:r>
      <w:r w:rsidR="001B4020">
        <w:t xml:space="preserve"> </w:t>
      </w:r>
      <w:r w:rsidR="001B4020" w:rsidRPr="00251343">
        <w:t>moci</w:t>
      </w:r>
      <w:r w:rsidR="001B4020">
        <w:t xml:space="preserve"> </w:t>
      </w:r>
      <w:r w:rsidR="001B4020" w:rsidRPr="00251343">
        <w:t>podle</w:t>
      </w:r>
      <w:r w:rsidR="001B4020">
        <w:t xml:space="preserve"> </w:t>
      </w:r>
      <w:r w:rsidR="001B4020" w:rsidRPr="00251343">
        <w:t>právního</w:t>
      </w:r>
      <w:r w:rsidR="001B4020">
        <w:t xml:space="preserve"> </w:t>
      </w:r>
      <w:r w:rsidR="001B4020" w:rsidRPr="00251343">
        <w:t>řádu</w:t>
      </w:r>
      <w:r w:rsidR="001B4020">
        <w:t xml:space="preserve"> </w:t>
      </w:r>
      <w:r w:rsidR="001B4020" w:rsidRPr="00251343">
        <w:t>jiného</w:t>
      </w:r>
      <w:r w:rsidR="001B4020">
        <w:t xml:space="preserve"> </w:t>
      </w:r>
      <w:r w:rsidR="001B4020" w:rsidRPr="00251343">
        <w:t>státu</w:t>
      </w:r>
      <w:r w:rsidR="001B4020">
        <w:t xml:space="preserve"> </w:t>
      </w:r>
      <w:r w:rsidR="001B4020" w:rsidRPr="00251343">
        <w:t>insolvenční,</w:t>
      </w:r>
      <w:r w:rsidR="001B4020">
        <w:t xml:space="preserve"> </w:t>
      </w:r>
      <w:r w:rsidR="001B4020" w:rsidRPr="00251343">
        <w:t>konkursní</w:t>
      </w:r>
      <w:r w:rsidR="001B4020">
        <w:t xml:space="preserve"> </w:t>
      </w:r>
      <w:r w:rsidR="001B4020" w:rsidRPr="00251343">
        <w:t>nebo</w:t>
      </w:r>
      <w:r w:rsidR="001B4020">
        <w:t xml:space="preserve"> </w:t>
      </w:r>
      <w:r w:rsidR="001B4020" w:rsidRPr="00251343">
        <w:t>jiné</w:t>
      </w:r>
      <w:r w:rsidR="001B4020">
        <w:t xml:space="preserve"> </w:t>
      </w:r>
      <w:r w:rsidR="001B4020" w:rsidRPr="00251343">
        <w:t>obdobné</w:t>
      </w:r>
      <w:r w:rsidR="001B4020">
        <w:t xml:space="preserve"> </w:t>
      </w:r>
      <w:r w:rsidR="001B4020" w:rsidRPr="00251343">
        <w:t>řízení</w:t>
      </w:r>
      <w:r w:rsidR="001B4020">
        <w:t xml:space="preserve"> </w:t>
      </w:r>
      <w:r w:rsidR="001B4020" w:rsidRPr="00251343">
        <w:t>a</w:t>
      </w:r>
      <w:r w:rsidR="001B4020">
        <w:t xml:space="preserve"> </w:t>
      </w:r>
      <w:r w:rsidR="001B4020" w:rsidRPr="00251343">
        <w:t>bylo</w:t>
      </w:r>
      <w:r w:rsidR="001B4020">
        <w:t xml:space="preserve"> </w:t>
      </w:r>
      <w:r w:rsidR="001B4020" w:rsidRPr="00251343">
        <w:t>vydáno</w:t>
      </w:r>
      <w:r w:rsidR="001B4020">
        <w:t xml:space="preserve"> </w:t>
      </w:r>
      <w:r w:rsidR="001B4020" w:rsidRPr="00251343">
        <w:t>rozhodnutí</w:t>
      </w:r>
      <w:r w:rsidR="001B4020">
        <w:t xml:space="preserve"> </w:t>
      </w:r>
      <w:r w:rsidR="001B4020" w:rsidRPr="00251343">
        <w:t>se</w:t>
      </w:r>
      <w:r w:rsidR="001B4020">
        <w:t xml:space="preserve"> </w:t>
      </w:r>
      <w:r w:rsidR="001B4020" w:rsidRPr="00251343">
        <w:t>stejnými</w:t>
      </w:r>
      <w:r w:rsidR="001B4020">
        <w:t xml:space="preserve"> </w:t>
      </w:r>
      <w:r w:rsidR="001B4020" w:rsidRPr="00251343">
        <w:t>nebo</w:t>
      </w:r>
      <w:r w:rsidR="001B4020">
        <w:t xml:space="preserve"> </w:t>
      </w:r>
      <w:r w:rsidR="001B4020" w:rsidRPr="00251343">
        <w:t>obdobnými</w:t>
      </w:r>
      <w:r w:rsidR="001B4020">
        <w:t xml:space="preserve"> </w:t>
      </w:r>
      <w:r w:rsidR="001B4020" w:rsidRPr="00251343">
        <w:t>účinky,</w:t>
      </w:r>
      <w:r w:rsidR="001B4020">
        <w:t xml:space="preserve"> </w:t>
      </w:r>
      <w:r w:rsidR="001B4020" w:rsidRPr="00251343">
        <w:t>jaká</w:t>
      </w:r>
      <w:r w:rsidR="001B4020">
        <w:t xml:space="preserve"> </w:t>
      </w:r>
      <w:r w:rsidR="001B4020" w:rsidRPr="00251343">
        <w:t>mají</w:t>
      </w:r>
      <w:r w:rsidR="001B4020">
        <w:t xml:space="preserve"> </w:t>
      </w:r>
      <w:r w:rsidR="001B4020" w:rsidRPr="00251343">
        <w:t>rozhodnutí</w:t>
      </w:r>
      <w:r w:rsidR="001B4020">
        <w:t xml:space="preserve"> </w:t>
      </w:r>
      <w:r w:rsidR="001B4020" w:rsidRPr="00251343">
        <w:t>podle</w:t>
      </w:r>
      <w:r w:rsidR="001B4020">
        <w:t xml:space="preserve"> </w:t>
      </w:r>
      <w:r w:rsidR="001B4020" w:rsidRPr="00251343">
        <w:t>právního</w:t>
      </w:r>
      <w:r w:rsidR="001B4020">
        <w:t xml:space="preserve"> </w:t>
      </w:r>
      <w:r w:rsidR="001B4020" w:rsidRPr="00251343">
        <w:t>řádu</w:t>
      </w:r>
      <w:r w:rsidR="001B4020">
        <w:t xml:space="preserve"> </w:t>
      </w:r>
      <w:r w:rsidR="001B4020" w:rsidRPr="00251343">
        <w:t>České</w:t>
      </w:r>
      <w:r w:rsidR="001B4020">
        <w:t xml:space="preserve"> </w:t>
      </w:r>
      <w:r w:rsidR="001B4020" w:rsidRPr="00251343">
        <w:t>republiky,</w:t>
      </w:r>
      <w:r w:rsidR="001B4020">
        <w:t xml:space="preserve"> </w:t>
      </w:r>
      <w:r w:rsidR="001B4020" w:rsidRPr="00251343">
        <w:t>uvedená</w:t>
      </w:r>
      <w:r w:rsidR="001B4020">
        <w:t xml:space="preserve"> </w:t>
      </w:r>
      <w:r w:rsidR="001B4020" w:rsidRPr="00251343">
        <w:t>pod</w:t>
      </w:r>
      <w:r w:rsidR="001B4020">
        <w:t xml:space="preserve"> </w:t>
      </w:r>
      <w:r w:rsidR="001B4020" w:rsidRPr="00251343">
        <w:t>bodem</w:t>
      </w:r>
      <w:r w:rsidR="001B4020">
        <w:t xml:space="preserve"> </w:t>
      </w:r>
      <w:r w:rsidR="001B4020" w:rsidRPr="00251343">
        <w:t>7</w:t>
      </w:r>
      <w:r w:rsidR="001B4020">
        <w:t xml:space="preserve"> </w:t>
      </w:r>
      <w:r w:rsidR="001B4020" w:rsidRPr="00251343">
        <w:t>nebo</w:t>
      </w:r>
      <w:r w:rsidR="001B4020">
        <w:t xml:space="preserve"> </w:t>
      </w:r>
      <w:r w:rsidR="001B4020" w:rsidRPr="00251343">
        <w:t>8,</w:t>
      </w:r>
    </w:p>
    <w:p w14:paraId="09DD0008" w14:textId="499AA193" w:rsidR="001B4020" w:rsidRPr="00251343" w:rsidRDefault="001B4020" w:rsidP="00117A9E">
      <w:pPr>
        <w:pStyle w:val="Textparagrafu"/>
        <w:numPr>
          <w:ilvl w:val="0"/>
          <w:numId w:val="28"/>
        </w:numPr>
        <w:tabs>
          <w:tab w:val="left" w:pos="426"/>
          <w:tab w:val="left" w:pos="851"/>
        </w:tabs>
        <w:spacing w:before="0"/>
      </w:pPr>
      <w:r w:rsidRPr="00251343">
        <w:t>b)</w:t>
      </w:r>
      <w:r w:rsidR="00117A9E">
        <w:tab/>
      </w:r>
      <w:r w:rsidRPr="00251343">
        <w:t>zakladatelé,</w:t>
      </w:r>
      <w:r>
        <w:t xml:space="preserve"> </w:t>
      </w:r>
      <w:r w:rsidRPr="00251343">
        <w:t>pokud</w:t>
      </w:r>
      <w:r>
        <w:t xml:space="preserve"> </w:t>
      </w:r>
      <w:r w:rsidRPr="00251343">
        <w:t>jsou</w:t>
      </w:r>
      <w:r>
        <w:t xml:space="preserve"> </w:t>
      </w:r>
      <w:r w:rsidRPr="00251343">
        <w:t>fyzickými</w:t>
      </w:r>
      <w:r>
        <w:t xml:space="preserve"> </w:t>
      </w:r>
      <w:r w:rsidRPr="00251343">
        <w:t>osobami,</w:t>
      </w:r>
    </w:p>
    <w:p w14:paraId="7E56F896" w14:textId="23379834" w:rsidR="001B4020" w:rsidRPr="00251343" w:rsidRDefault="00745F27" w:rsidP="00745F27">
      <w:pPr>
        <w:pStyle w:val="Textparagrafu"/>
        <w:tabs>
          <w:tab w:val="left" w:pos="426"/>
          <w:tab w:val="left" w:pos="851"/>
          <w:tab w:val="left" w:pos="1260"/>
        </w:tabs>
        <w:spacing w:before="0"/>
        <w:ind w:firstLine="0"/>
      </w:pPr>
      <w:r>
        <w:tab/>
      </w:r>
      <w:r w:rsidR="001B4020" w:rsidRPr="00251343">
        <w:t>1.</w:t>
      </w:r>
      <w:r w:rsidR="00117A9E">
        <w:tab/>
      </w:r>
      <w:r w:rsidR="001B4020" w:rsidRPr="00251343">
        <w:t>jsou</w:t>
      </w:r>
      <w:r w:rsidR="001B4020">
        <w:t xml:space="preserve"> </w:t>
      </w:r>
      <w:r w:rsidR="001B4020" w:rsidRPr="00251343">
        <w:t>bezúhonní</w:t>
      </w:r>
      <w:r w:rsidR="001B4020">
        <w:t xml:space="preserve"> </w:t>
      </w:r>
      <w:r w:rsidR="001B4020" w:rsidRPr="00251343">
        <w:t>a</w:t>
      </w:r>
    </w:p>
    <w:p w14:paraId="698B8FD8" w14:textId="742A36E5" w:rsidR="001B4020" w:rsidRDefault="001B4020" w:rsidP="00745F27">
      <w:pPr>
        <w:pStyle w:val="Textparagrafu"/>
        <w:tabs>
          <w:tab w:val="left" w:pos="426"/>
          <w:tab w:val="left" w:pos="851"/>
        </w:tabs>
        <w:spacing w:before="0"/>
        <w:ind w:left="851" w:hanging="425"/>
      </w:pPr>
      <w:r w:rsidRPr="00251343">
        <w:t>2.</w:t>
      </w:r>
      <w:r w:rsidR="00117A9E">
        <w:tab/>
      </w:r>
      <w:r w:rsidRPr="00251343">
        <w:t>nebyli</w:t>
      </w:r>
      <w:r>
        <w:t xml:space="preserve"> </w:t>
      </w:r>
      <w:r w:rsidRPr="00251343">
        <w:t>v</w:t>
      </w:r>
      <w:r>
        <w:t xml:space="preserve"> </w:t>
      </w:r>
      <w:r w:rsidRPr="00251343">
        <w:t>předcházejících</w:t>
      </w:r>
      <w:r>
        <w:t xml:space="preserve"> </w:t>
      </w:r>
      <w:r w:rsidRPr="00251343">
        <w:t>5</w:t>
      </w:r>
      <w:r>
        <w:t xml:space="preserve"> </w:t>
      </w:r>
      <w:r w:rsidRPr="00251343">
        <w:t>letech</w:t>
      </w:r>
      <w:r>
        <w:t xml:space="preserve"> </w:t>
      </w:r>
      <w:r w:rsidRPr="00251343">
        <w:t>přede</w:t>
      </w:r>
      <w:r>
        <w:t xml:space="preserve"> </w:t>
      </w:r>
      <w:r w:rsidRPr="00251343">
        <w:t>dnem</w:t>
      </w:r>
      <w:r>
        <w:t xml:space="preserve"> </w:t>
      </w:r>
      <w:r w:rsidRPr="00251343">
        <w:t>podání</w:t>
      </w:r>
      <w:r>
        <w:t xml:space="preserve"> </w:t>
      </w:r>
      <w:r w:rsidRPr="00251343">
        <w:t>žádosti</w:t>
      </w:r>
      <w:r>
        <w:t xml:space="preserve"> </w:t>
      </w:r>
      <w:r w:rsidRPr="00251343">
        <w:t>statutárním</w:t>
      </w:r>
      <w:r>
        <w:t xml:space="preserve"> </w:t>
      </w:r>
      <w:r w:rsidRPr="00251343">
        <w:t>orgánem</w:t>
      </w:r>
      <w:r>
        <w:t xml:space="preserve"> </w:t>
      </w:r>
      <w:r w:rsidRPr="00251343">
        <w:t>nebo</w:t>
      </w:r>
      <w:r>
        <w:t xml:space="preserve"> </w:t>
      </w:r>
      <w:r w:rsidRPr="00251343">
        <w:t>členem</w:t>
      </w:r>
      <w:r>
        <w:t xml:space="preserve"> </w:t>
      </w:r>
      <w:r w:rsidRPr="00251343">
        <w:t>statutárního</w:t>
      </w:r>
      <w:r>
        <w:t xml:space="preserve"> </w:t>
      </w:r>
      <w:r w:rsidRPr="00251343">
        <w:t>orgánu</w:t>
      </w:r>
      <w:r>
        <w:t xml:space="preserve"> </w:t>
      </w:r>
      <w:r w:rsidRPr="00251343">
        <w:t>právnické</w:t>
      </w:r>
      <w:r>
        <w:t xml:space="preserve"> </w:t>
      </w:r>
      <w:r w:rsidRPr="00251343">
        <w:t>osoby</w:t>
      </w:r>
      <w:r>
        <w:t xml:space="preserve"> </w:t>
      </w:r>
      <w:r w:rsidRPr="00251343">
        <w:t>nebo</w:t>
      </w:r>
      <w:r>
        <w:t xml:space="preserve"> </w:t>
      </w:r>
      <w:r w:rsidRPr="00251343">
        <w:t>nevykonávali</w:t>
      </w:r>
      <w:r>
        <w:t xml:space="preserve"> </w:t>
      </w:r>
      <w:r w:rsidRPr="00251343">
        <w:t>kteroukoli</w:t>
      </w:r>
      <w:r>
        <w:t xml:space="preserve"> </w:t>
      </w:r>
      <w:r w:rsidRPr="00251343">
        <w:t>ze</w:t>
      </w:r>
      <w:r>
        <w:t xml:space="preserve"> </w:t>
      </w:r>
      <w:r w:rsidRPr="00251343">
        <w:t>srovnatelných</w:t>
      </w:r>
      <w:r>
        <w:t xml:space="preserve"> </w:t>
      </w:r>
      <w:r w:rsidRPr="00251343">
        <w:t>funkcí</w:t>
      </w:r>
      <w:r>
        <w:t xml:space="preserve"> </w:t>
      </w:r>
      <w:r w:rsidRPr="00251343">
        <w:t>v</w:t>
      </w:r>
      <w:r>
        <w:t xml:space="preserve"> </w:t>
      </w:r>
      <w:r w:rsidRPr="00251343">
        <w:t>právnické</w:t>
      </w:r>
      <w:r>
        <w:t xml:space="preserve"> </w:t>
      </w:r>
      <w:r w:rsidRPr="00251343">
        <w:t>osobě,</w:t>
      </w:r>
    </w:p>
    <w:p w14:paraId="2A1A4D54" w14:textId="105F384A" w:rsidR="001B4020" w:rsidRDefault="001B4020" w:rsidP="00745F27">
      <w:pPr>
        <w:pStyle w:val="Textparagrafu"/>
        <w:tabs>
          <w:tab w:val="left" w:pos="426"/>
          <w:tab w:val="left" w:pos="851"/>
          <w:tab w:val="left" w:pos="1276"/>
        </w:tabs>
        <w:spacing w:before="0"/>
        <w:ind w:left="1271" w:hanging="420"/>
      </w:pPr>
      <w:proofErr w:type="spellStart"/>
      <w:r w:rsidRPr="00251343">
        <w:t>aa</w:t>
      </w:r>
      <w:proofErr w:type="spellEnd"/>
      <w:r w:rsidRPr="00251343">
        <w:t>)</w:t>
      </w:r>
      <w:r w:rsidR="0092703E">
        <w:tab/>
      </w:r>
      <w:r w:rsidRPr="00251343">
        <w:t>na</w:t>
      </w:r>
      <w:r>
        <w:t xml:space="preserve"> </w:t>
      </w:r>
      <w:r w:rsidRPr="00251343">
        <w:t>jejíž</w:t>
      </w:r>
      <w:r>
        <w:t xml:space="preserve"> </w:t>
      </w:r>
      <w:r w:rsidRPr="00251343">
        <w:t>majetek</w:t>
      </w:r>
      <w:r>
        <w:t xml:space="preserve"> </w:t>
      </w:r>
      <w:r w:rsidRPr="00251343">
        <w:t>byl</w:t>
      </w:r>
      <w:r>
        <w:t xml:space="preserve"> </w:t>
      </w:r>
      <w:r w:rsidRPr="00251343">
        <w:t>v</w:t>
      </w:r>
      <w:r>
        <w:t xml:space="preserve"> </w:t>
      </w:r>
      <w:r w:rsidRPr="00251343">
        <w:t>předcházejících</w:t>
      </w:r>
      <w:r>
        <w:t xml:space="preserve"> </w:t>
      </w:r>
      <w:r w:rsidRPr="00251343">
        <w:t>5</w:t>
      </w:r>
      <w:r>
        <w:t xml:space="preserve"> </w:t>
      </w:r>
      <w:r w:rsidRPr="00251343">
        <w:t>letech</w:t>
      </w:r>
      <w:r>
        <w:t xml:space="preserve"> </w:t>
      </w:r>
      <w:r w:rsidRPr="00251343">
        <w:t>přede</w:t>
      </w:r>
      <w:r>
        <w:t xml:space="preserve"> </w:t>
      </w:r>
      <w:r w:rsidRPr="00251343">
        <w:t>dnem</w:t>
      </w:r>
      <w:r>
        <w:t xml:space="preserve"> </w:t>
      </w:r>
      <w:r w:rsidRPr="00251343">
        <w:t>podání</w:t>
      </w:r>
      <w:r>
        <w:t xml:space="preserve"> </w:t>
      </w:r>
      <w:r w:rsidRPr="00251343">
        <w:t>žádosti</w:t>
      </w:r>
      <w:r>
        <w:t xml:space="preserve"> </w:t>
      </w:r>
      <w:r w:rsidRPr="00251343">
        <w:t>prohlášen</w:t>
      </w:r>
      <w:r>
        <w:t xml:space="preserve"> </w:t>
      </w:r>
      <w:r w:rsidRPr="00251343">
        <w:t>konkurs</w:t>
      </w:r>
      <w:r>
        <w:t xml:space="preserve"> </w:t>
      </w:r>
      <w:r w:rsidRPr="00251343">
        <w:t>nebo</w:t>
      </w:r>
      <w:r>
        <w:t xml:space="preserve"> </w:t>
      </w:r>
      <w:r w:rsidRPr="00251343">
        <w:t>zamítnut</w:t>
      </w:r>
      <w:r>
        <w:t xml:space="preserve"> </w:t>
      </w:r>
      <w:r w:rsidRPr="00251343">
        <w:t>návrh</w:t>
      </w:r>
      <w:r>
        <w:t xml:space="preserve"> </w:t>
      </w:r>
      <w:r w:rsidRPr="00251343">
        <w:t>na</w:t>
      </w:r>
      <w:r>
        <w:t xml:space="preserve"> </w:t>
      </w:r>
      <w:r w:rsidRPr="00251343">
        <w:t>prohlášení</w:t>
      </w:r>
      <w:r>
        <w:t xml:space="preserve"> </w:t>
      </w:r>
      <w:r w:rsidRPr="00251343">
        <w:t>konkursu</w:t>
      </w:r>
      <w:r>
        <w:t xml:space="preserve"> </w:t>
      </w:r>
      <w:r w:rsidRPr="00251343">
        <w:t>pro</w:t>
      </w:r>
      <w:r>
        <w:t xml:space="preserve"> </w:t>
      </w:r>
      <w:r w:rsidRPr="00251343">
        <w:t>nedostatek</w:t>
      </w:r>
      <w:r>
        <w:t xml:space="preserve"> </w:t>
      </w:r>
      <w:r w:rsidRPr="00251343">
        <w:t>majetku</w:t>
      </w:r>
      <w:r>
        <w:t xml:space="preserve"> </w:t>
      </w:r>
      <w:r w:rsidRPr="00251343">
        <w:t>dlužníka</w:t>
      </w:r>
      <w:r>
        <w:t xml:space="preserve"> </w:t>
      </w:r>
      <w:r w:rsidRPr="00251343">
        <w:t>nebo</w:t>
      </w:r>
      <w:r>
        <w:t xml:space="preserve"> </w:t>
      </w:r>
      <w:r w:rsidRPr="00251343">
        <w:t>zrušen</w:t>
      </w:r>
      <w:r>
        <w:t xml:space="preserve"> </w:t>
      </w:r>
      <w:r w:rsidRPr="00251343">
        <w:t>konkurs</w:t>
      </w:r>
      <w:r>
        <w:t xml:space="preserve"> </w:t>
      </w:r>
      <w:r w:rsidRPr="00251343">
        <w:t>pro</w:t>
      </w:r>
      <w:r>
        <w:t xml:space="preserve"> </w:t>
      </w:r>
      <w:r w:rsidRPr="00251343">
        <w:t>nedostatek</w:t>
      </w:r>
      <w:r>
        <w:t xml:space="preserve"> </w:t>
      </w:r>
      <w:r w:rsidRPr="00251343">
        <w:t>majetku</w:t>
      </w:r>
      <w:r>
        <w:t xml:space="preserve"> </w:t>
      </w:r>
      <w:r w:rsidRPr="00251343">
        <w:t>dlužníka</w:t>
      </w:r>
      <w:r>
        <w:t xml:space="preserve"> </w:t>
      </w:r>
      <w:r w:rsidRPr="00251343">
        <w:t>nebo</w:t>
      </w:r>
      <w:r>
        <w:t xml:space="preserve"> </w:t>
      </w:r>
      <w:r w:rsidRPr="00251343">
        <w:t>povoleno</w:t>
      </w:r>
      <w:r>
        <w:t xml:space="preserve"> </w:t>
      </w:r>
      <w:r w:rsidRPr="00251343">
        <w:t>vyrovnání</w:t>
      </w:r>
      <w:r>
        <w:t xml:space="preserve"> </w:t>
      </w:r>
      <w:r w:rsidRPr="00251343">
        <w:t>podle</w:t>
      </w:r>
      <w:r>
        <w:t xml:space="preserve"> </w:t>
      </w:r>
      <w:r w:rsidRPr="00251343">
        <w:t>zákona</w:t>
      </w:r>
      <w:r>
        <w:t xml:space="preserve"> </w:t>
      </w:r>
      <w:r w:rsidRPr="00251343">
        <w:t>o</w:t>
      </w:r>
      <w:r>
        <w:t xml:space="preserve"> </w:t>
      </w:r>
      <w:r w:rsidRPr="00251343">
        <w:t>konkursu</w:t>
      </w:r>
      <w:r>
        <w:t xml:space="preserve"> </w:t>
      </w:r>
      <w:r w:rsidRPr="00251343">
        <w:t>a</w:t>
      </w:r>
      <w:r>
        <w:t xml:space="preserve"> </w:t>
      </w:r>
      <w:r w:rsidRPr="00251343">
        <w:t>vyrovnání,</w:t>
      </w:r>
    </w:p>
    <w:p w14:paraId="4E154CA8" w14:textId="2FFF2E20" w:rsidR="001B4020" w:rsidRDefault="001B4020" w:rsidP="00745F27">
      <w:pPr>
        <w:pStyle w:val="Textparagrafu"/>
        <w:tabs>
          <w:tab w:val="left" w:pos="426"/>
          <w:tab w:val="left" w:pos="851"/>
          <w:tab w:val="left" w:pos="1276"/>
        </w:tabs>
        <w:spacing w:before="0"/>
        <w:ind w:left="1271" w:hanging="420"/>
      </w:pPr>
      <w:proofErr w:type="spellStart"/>
      <w:r w:rsidRPr="00251343">
        <w:t>bb</w:t>
      </w:r>
      <w:proofErr w:type="spellEnd"/>
      <w:r w:rsidRPr="00251343">
        <w:t>)</w:t>
      </w:r>
      <w:r w:rsidR="0092703E">
        <w:tab/>
      </w:r>
      <w:r w:rsidRPr="00251343">
        <w:t>u</w:t>
      </w:r>
      <w:r>
        <w:t xml:space="preserve"> </w:t>
      </w:r>
      <w:r w:rsidRPr="00251343">
        <w:t>které</w:t>
      </w:r>
      <w:r>
        <w:t xml:space="preserve"> </w:t>
      </w:r>
      <w:r w:rsidRPr="00251343">
        <w:t>v</w:t>
      </w:r>
      <w:r>
        <w:t xml:space="preserve"> </w:t>
      </w:r>
      <w:r w:rsidRPr="00251343">
        <w:t>předcházejících</w:t>
      </w:r>
      <w:r>
        <w:t xml:space="preserve"> </w:t>
      </w:r>
      <w:r w:rsidRPr="00251343">
        <w:t>5</w:t>
      </w:r>
      <w:r>
        <w:t xml:space="preserve"> </w:t>
      </w:r>
      <w:r w:rsidRPr="00251343">
        <w:t>letech</w:t>
      </w:r>
      <w:r>
        <w:t xml:space="preserve"> </w:t>
      </w:r>
      <w:r w:rsidRPr="00251343">
        <w:t>přede</w:t>
      </w:r>
      <w:r>
        <w:t xml:space="preserve"> </w:t>
      </w:r>
      <w:r w:rsidRPr="00251343">
        <w:t>dnem</w:t>
      </w:r>
      <w:r>
        <w:t xml:space="preserve"> </w:t>
      </w:r>
      <w:r w:rsidRPr="00251343">
        <w:t>podání</w:t>
      </w:r>
      <w:r>
        <w:t xml:space="preserve"> </w:t>
      </w:r>
      <w:r w:rsidRPr="00251343">
        <w:t>žádosti</w:t>
      </w:r>
      <w:r>
        <w:t xml:space="preserve"> </w:t>
      </w:r>
      <w:r w:rsidRPr="00251343">
        <w:t>bylo</w:t>
      </w:r>
      <w:r>
        <w:t xml:space="preserve"> </w:t>
      </w:r>
      <w:r w:rsidRPr="00251343">
        <w:t>rozhodnuto</w:t>
      </w:r>
      <w:r>
        <w:t xml:space="preserve"> </w:t>
      </w:r>
      <w:r w:rsidRPr="00251343">
        <w:t>o</w:t>
      </w:r>
      <w:r>
        <w:t xml:space="preserve"> </w:t>
      </w:r>
      <w:r w:rsidRPr="00251343">
        <w:t>jejím</w:t>
      </w:r>
      <w:r>
        <w:t xml:space="preserve"> </w:t>
      </w:r>
      <w:r w:rsidRPr="00251343">
        <w:t>úpadku</w:t>
      </w:r>
      <w:r>
        <w:t xml:space="preserve"> </w:t>
      </w:r>
      <w:r w:rsidRPr="00251343">
        <w:t>nebo</w:t>
      </w:r>
      <w:r>
        <w:t xml:space="preserve"> </w:t>
      </w:r>
      <w:r w:rsidRPr="00251343">
        <w:t>byl</w:t>
      </w:r>
      <w:r>
        <w:t xml:space="preserve"> </w:t>
      </w:r>
      <w:r w:rsidRPr="00251343">
        <w:t>insolvenční</w:t>
      </w:r>
      <w:r>
        <w:t xml:space="preserve"> </w:t>
      </w:r>
      <w:r w:rsidRPr="00251343">
        <w:t>návrh</w:t>
      </w:r>
      <w:r>
        <w:t xml:space="preserve"> </w:t>
      </w:r>
      <w:r w:rsidRPr="00251343">
        <w:t>zamítnut</w:t>
      </w:r>
      <w:r>
        <w:t xml:space="preserve"> </w:t>
      </w:r>
      <w:r w:rsidRPr="00251343">
        <w:t>pro</w:t>
      </w:r>
      <w:r>
        <w:t xml:space="preserve"> </w:t>
      </w:r>
      <w:r w:rsidRPr="00251343">
        <w:t>nedostatek</w:t>
      </w:r>
      <w:r>
        <w:t xml:space="preserve"> </w:t>
      </w:r>
      <w:r w:rsidRPr="00251343">
        <w:t>majetku</w:t>
      </w:r>
      <w:r>
        <w:t xml:space="preserve"> </w:t>
      </w:r>
      <w:r w:rsidRPr="00251343">
        <w:t>dlužníka</w:t>
      </w:r>
      <w:r>
        <w:t xml:space="preserve"> </w:t>
      </w:r>
      <w:r w:rsidRPr="00251343">
        <w:t>nebo</w:t>
      </w:r>
      <w:r>
        <w:t xml:space="preserve"> </w:t>
      </w:r>
      <w:r w:rsidRPr="00251343">
        <w:t>byl</w:t>
      </w:r>
      <w:r>
        <w:t xml:space="preserve"> </w:t>
      </w:r>
      <w:r w:rsidRPr="00251343">
        <w:t>konkurs</w:t>
      </w:r>
      <w:r>
        <w:t xml:space="preserve"> </w:t>
      </w:r>
      <w:r w:rsidRPr="00251343">
        <w:t>zrušen</w:t>
      </w:r>
      <w:r>
        <w:t xml:space="preserve"> </w:t>
      </w:r>
      <w:r w:rsidRPr="00251343">
        <w:t>pro</w:t>
      </w:r>
      <w:r>
        <w:t xml:space="preserve"> </w:t>
      </w:r>
      <w:r w:rsidRPr="00251343">
        <w:t>nedostatek</w:t>
      </w:r>
      <w:r>
        <w:t xml:space="preserve"> </w:t>
      </w:r>
      <w:r w:rsidRPr="00251343">
        <w:t>majetku</w:t>
      </w:r>
      <w:r>
        <w:t xml:space="preserve"> </w:t>
      </w:r>
      <w:r w:rsidRPr="00251343">
        <w:t>dlužníka</w:t>
      </w:r>
      <w:r>
        <w:t xml:space="preserve"> </w:t>
      </w:r>
      <w:r w:rsidRPr="00251343">
        <w:t>podle</w:t>
      </w:r>
      <w:r>
        <w:t xml:space="preserve"> </w:t>
      </w:r>
      <w:r w:rsidRPr="00251343">
        <w:t>insolvenčního</w:t>
      </w:r>
      <w:r>
        <w:t xml:space="preserve"> </w:t>
      </w:r>
      <w:r w:rsidRPr="00251343">
        <w:t>zákona,</w:t>
      </w:r>
    </w:p>
    <w:p w14:paraId="222AAB44" w14:textId="6B9940CA" w:rsidR="001B4020" w:rsidRDefault="001B4020" w:rsidP="00745F27">
      <w:pPr>
        <w:pStyle w:val="Textparagrafu"/>
        <w:tabs>
          <w:tab w:val="left" w:pos="426"/>
          <w:tab w:val="left" w:pos="851"/>
          <w:tab w:val="left" w:pos="1276"/>
        </w:tabs>
        <w:spacing w:before="0"/>
        <w:ind w:left="1271" w:hanging="420"/>
      </w:pPr>
      <w:proofErr w:type="spellStart"/>
      <w:r w:rsidRPr="00251343">
        <w:t>cc</w:t>
      </w:r>
      <w:proofErr w:type="spellEnd"/>
      <w:r w:rsidRPr="00251343">
        <w:t>)</w:t>
      </w:r>
      <w:r w:rsidR="0092703E">
        <w:tab/>
      </w:r>
      <w:r w:rsidRPr="00251343">
        <w:t>u</w:t>
      </w:r>
      <w:r>
        <w:t xml:space="preserve"> </w:t>
      </w:r>
      <w:r w:rsidRPr="00251343">
        <w:t>které</w:t>
      </w:r>
      <w:r>
        <w:t xml:space="preserve"> </w:t>
      </w:r>
      <w:r w:rsidRPr="00251343">
        <w:t>v</w:t>
      </w:r>
      <w:r>
        <w:t xml:space="preserve"> </w:t>
      </w:r>
      <w:r w:rsidRPr="00251343">
        <w:t>předcházejících</w:t>
      </w:r>
      <w:r>
        <w:t xml:space="preserve"> </w:t>
      </w:r>
      <w:r w:rsidRPr="00251343">
        <w:t>5</w:t>
      </w:r>
      <w:r>
        <w:t xml:space="preserve"> </w:t>
      </w:r>
      <w:r w:rsidRPr="00251343">
        <w:t>letech</w:t>
      </w:r>
      <w:r>
        <w:t xml:space="preserve"> </w:t>
      </w:r>
      <w:r w:rsidRPr="00251343">
        <w:t>přede</w:t>
      </w:r>
      <w:r>
        <w:t xml:space="preserve"> </w:t>
      </w:r>
      <w:r w:rsidRPr="00251343">
        <w:t>dnem</w:t>
      </w:r>
      <w:r>
        <w:t xml:space="preserve"> </w:t>
      </w:r>
      <w:r w:rsidRPr="00251343">
        <w:t>podání</w:t>
      </w:r>
      <w:r>
        <w:t xml:space="preserve"> </w:t>
      </w:r>
      <w:r w:rsidRPr="00251343">
        <w:t>žádosti</w:t>
      </w:r>
      <w:r>
        <w:t xml:space="preserve"> </w:t>
      </w:r>
      <w:r w:rsidRPr="00251343">
        <w:t>bylo</w:t>
      </w:r>
      <w:r>
        <w:t xml:space="preserve"> </w:t>
      </w:r>
      <w:r w:rsidRPr="00251343">
        <w:t>vedeno</w:t>
      </w:r>
      <w:r>
        <w:t xml:space="preserve"> </w:t>
      </w:r>
      <w:r w:rsidRPr="00251343">
        <w:t>u</w:t>
      </w:r>
      <w:r>
        <w:t xml:space="preserve"> </w:t>
      </w:r>
      <w:r w:rsidRPr="00251343">
        <w:t>soudu</w:t>
      </w:r>
      <w:r>
        <w:t xml:space="preserve"> </w:t>
      </w:r>
      <w:r w:rsidRPr="00251343">
        <w:t>nebo</w:t>
      </w:r>
      <w:r>
        <w:t xml:space="preserve"> </w:t>
      </w:r>
      <w:r w:rsidRPr="00251343">
        <w:t>u</w:t>
      </w:r>
      <w:r>
        <w:t xml:space="preserve"> </w:t>
      </w:r>
      <w:r w:rsidRPr="00251343">
        <w:t>jiného</w:t>
      </w:r>
      <w:r>
        <w:t xml:space="preserve"> </w:t>
      </w:r>
      <w:r w:rsidRPr="00251343">
        <w:t>k</w:t>
      </w:r>
      <w:r>
        <w:t xml:space="preserve"> </w:t>
      </w:r>
      <w:r w:rsidRPr="00251343">
        <w:t>tomu</w:t>
      </w:r>
      <w:r>
        <w:t xml:space="preserve"> </w:t>
      </w:r>
      <w:r w:rsidRPr="00251343">
        <w:t>příslušného</w:t>
      </w:r>
      <w:r>
        <w:t xml:space="preserve"> </w:t>
      </w:r>
      <w:r w:rsidRPr="00251343">
        <w:t>orgánu</w:t>
      </w:r>
      <w:r>
        <w:t xml:space="preserve"> </w:t>
      </w:r>
      <w:r w:rsidRPr="00251343">
        <w:t>veřejné</w:t>
      </w:r>
      <w:r>
        <w:t xml:space="preserve"> </w:t>
      </w:r>
      <w:r w:rsidRPr="00251343">
        <w:t>moci</w:t>
      </w:r>
      <w:r>
        <w:t xml:space="preserve"> </w:t>
      </w:r>
      <w:r w:rsidRPr="00251343">
        <w:t>podle</w:t>
      </w:r>
      <w:r>
        <w:t xml:space="preserve"> </w:t>
      </w:r>
      <w:r w:rsidRPr="00251343">
        <w:t>právního</w:t>
      </w:r>
      <w:r>
        <w:t xml:space="preserve"> </w:t>
      </w:r>
      <w:r w:rsidRPr="00251343">
        <w:t>řádu</w:t>
      </w:r>
      <w:r>
        <w:t xml:space="preserve"> </w:t>
      </w:r>
      <w:r w:rsidRPr="00251343">
        <w:t>jiného</w:t>
      </w:r>
      <w:r>
        <w:t xml:space="preserve"> </w:t>
      </w:r>
      <w:r w:rsidRPr="00251343">
        <w:t>státu</w:t>
      </w:r>
      <w:r>
        <w:t xml:space="preserve"> </w:t>
      </w:r>
      <w:r w:rsidRPr="00251343">
        <w:t>insolvenční,</w:t>
      </w:r>
      <w:r>
        <w:t xml:space="preserve"> </w:t>
      </w:r>
      <w:r w:rsidRPr="00251343">
        <w:t>konkursní</w:t>
      </w:r>
      <w:r>
        <w:t xml:space="preserve"> </w:t>
      </w:r>
      <w:r w:rsidRPr="00251343">
        <w:t>nebo</w:t>
      </w:r>
      <w:r>
        <w:t xml:space="preserve"> </w:t>
      </w:r>
      <w:r w:rsidRPr="00251343">
        <w:t>jiné</w:t>
      </w:r>
      <w:r>
        <w:t xml:space="preserve"> </w:t>
      </w:r>
      <w:r w:rsidRPr="00251343">
        <w:t>obdobné</w:t>
      </w:r>
      <w:r>
        <w:t xml:space="preserve"> </w:t>
      </w:r>
      <w:r w:rsidRPr="00251343">
        <w:t>řízení</w:t>
      </w:r>
      <w:r>
        <w:t xml:space="preserve"> </w:t>
      </w:r>
      <w:r w:rsidRPr="00251343">
        <w:t>a</w:t>
      </w:r>
      <w:r>
        <w:t xml:space="preserve"> </w:t>
      </w:r>
      <w:r w:rsidRPr="00251343">
        <w:t>bylo</w:t>
      </w:r>
      <w:r>
        <w:t xml:space="preserve"> </w:t>
      </w:r>
      <w:r w:rsidRPr="00251343">
        <w:t>vydáno</w:t>
      </w:r>
      <w:r>
        <w:t xml:space="preserve"> </w:t>
      </w:r>
      <w:r w:rsidRPr="00251343">
        <w:t>rozhodnutí</w:t>
      </w:r>
      <w:r>
        <w:t xml:space="preserve"> </w:t>
      </w:r>
      <w:r w:rsidRPr="00251343">
        <w:t>se</w:t>
      </w:r>
      <w:r>
        <w:t xml:space="preserve"> </w:t>
      </w:r>
      <w:r w:rsidRPr="00251343">
        <w:t>stejnými</w:t>
      </w:r>
      <w:r>
        <w:t xml:space="preserve"> </w:t>
      </w:r>
      <w:r w:rsidRPr="00251343">
        <w:t>nebo</w:t>
      </w:r>
      <w:r>
        <w:t xml:space="preserve"> </w:t>
      </w:r>
      <w:r w:rsidRPr="00251343">
        <w:t>obdobnými</w:t>
      </w:r>
      <w:r>
        <w:t xml:space="preserve"> </w:t>
      </w:r>
      <w:r w:rsidRPr="00251343">
        <w:t>účinky,</w:t>
      </w:r>
      <w:r>
        <w:t xml:space="preserve"> </w:t>
      </w:r>
      <w:r w:rsidRPr="00251343">
        <w:t>jaká</w:t>
      </w:r>
      <w:r>
        <w:t xml:space="preserve"> </w:t>
      </w:r>
      <w:r w:rsidRPr="00251343">
        <w:t>mají</w:t>
      </w:r>
      <w:r>
        <w:t xml:space="preserve"> </w:t>
      </w:r>
      <w:r w:rsidRPr="00251343">
        <w:t>rozhodnutí</w:t>
      </w:r>
      <w:r>
        <w:t xml:space="preserve"> </w:t>
      </w:r>
      <w:r w:rsidRPr="00251343">
        <w:t>podle</w:t>
      </w:r>
      <w:r>
        <w:t xml:space="preserve"> </w:t>
      </w:r>
      <w:r w:rsidRPr="00251343">
        <w:t>právního</w:t>
      </w:r>
      <w:r>
        <w:t xml:space="preserve"> </w:t>
      </w:r>
      <w:r w:rsidRPr="00251343">
        <w:t>řádu</w:t>
      </w:r>
      <w:r>
        <w:t xml:space="preserve"> </w:t>
      </w:r>
      <w:r w:rsidRPr="00251343">
        <w:t>České</w:t>
      </w:r>
      <w:r>
        <w:t xml:space="preserve"> </w:t>
      </w:r>
      <w:r w:rsidRPr="00251343">
        <w:t>republiky,</w:t>
      </w:r>
      <w:r>
        <w:t xml:space="preserve"> </w:t>
      </w:r>
      <w:r w:rsidRPr="00251343">
        <w:t>uvedená</w:t>
      </w:r>
      <w:r>
        <w:t xml:space="preserve"> </w:t>
      </w:r>
      <w:r w:rsidRPr="00251343">
        <w:t>pod</w:t>
      </w:r>
      <w:r>
        <w:t xml:space="preserve"> </w:t>
      </w:r>
      <w:r w:rsidRPr="00251343">
        <w:t>písmenem</w:t>
      </w:r>
      <w:r>
        <w:t xml:space="preserve"> </w:t>
      </w:r>
      <w:proofErr w:type="spellStart"/>
      <w:r w:rsidRPr="00251343">
        <w:t>aa</w:t>
      </w:r>
      <w:proofErr w:type="spellEnd"/>
      <w:r w:rsidRPr="00251343">
        <w:t>)</w:t>
      </w:r>
      <w:r>
        <w:t xml:space="preserve"> </w:t>
      </w:r>
      <w:r w:rsidRPr="00251343">
        <w:t>nebo</w:t>
      </w:r>
      <w:r>
        <w:t xml:space="preserve"> </w:t>
      </w:r>
      <w:proofErr w:type="spellStart"/>
      <w:r w:rsidRPr="00251343">
        <w:t>bb</w:t>
      </w:r>
      <w:proofErr w:type="spellEnd"/>
      <w:r w:rsidRPr="00251343">
        <w:t>),</w:t>
      </w:r>
    </w:p>
    <w:p w14:paraId="59F90833" w14:textId="1C1B3C20" w:rsidR="001B4020" w:rsidRDefault="001B4020" w:rsidP="00D41C2D">
      <w:pPr>
        <w:pStyle w:val="Textparagrafu"/>
        <w:numPr>
          <w:ilvl w:val="0"/>
          <w:numId w:val="28"/>
        </w:numPr>
        <w:tabs>
          <w:tab w:val="left" w:pos="426"/>
          <w:tab w:val="left" w:pos="851"/>
        </w:tabs>
        <w:spacing w:before="0"/>
        <w:ind w:left="425" w:hanging="425"/>
      </w:pPr>
      <w:r w:rsidRPr="00251343">
        <w:t>c)</w:t>
      </w:r>
      <w:r w:rsidR="00117A9E">
        <w:tab/>
      </w:r>
      <w:r w:rsidR="00D41C2D">
        <w:tab/>
      </w:r>
      <w:r w:rsidRPr="00251343">
        <w:t>zakladatelé</w:t>
      </w:r>
      <w:r>
        <w:t xml:space="preserve"> </w:t>
      </w:r>
      <w:r w:rsidRPr="00251343">
        <w:t>doloží,</w:t>
      </w:r>
      <w:r>
        <w:t xml:space="preserve"> </w:t>
      </w:r>
      <w:r w:rsidRPr="00251343">
        <w:t>že</w:t>
      </w:r>
      <w:r>
        <w:t xml:space="preserve"> </w:t>
      </w:r>
      <w:r w:rsidRPr="00251343">
        <w:t>burza</w:t>
      </w:r>
      <w:r>
        <w:t xml:space="preserve"> </w:t>
      </w:r>
      <w:r w:rsidRPr="00251343">
        <w:t>bude</w:t>
      </w:r>
      <w:r>
        <w:t xml:space="preserve"> </w:t>
      </w:r>
      <w:r w:rsidRPr="00251343">
        <w:t>mít</w:t>
      </w:r>
      <w:r>
        <w:t xml:space="preserve"> </w:t>
      </w:r>
      <w:r w:rsidRPr="00251343">
        <w:t>ke</w:t>
      </w:r>
      <w:r>
        <w:t xml:space="preserve"> </w:t>
      </w:r>
      <w:r w:rsidRPr="00251343">
        <w:t>dni</w:t>
      </w:r>
      <w:r>
        <w:t xml:space="preserve"> </w:t>
      </w:r>
      <w:r w:rsidRPr="00251343">
        <w:t>zahájení</w:t>
      </w:r>
      <w:r>
        <w:t xml:space="preserve"> </w:t>
      </w:r>
      <w:r w:rsidRPr="00251343">
        <w:t>provozu</w:t>
      </w:r>
      <w:r>
        <w:t xml:space="preserve"> </w:t>
      </w:r>
      <w:r w:rsidRPr="00251343">
        <w:t>dostatečné</w:t>
      </w:r>
      <w:r>
        <w:t xml:space="preserve"> </w:t>
      </w:r>
      <w:r w:rsidRPr="00251343">
        <w:t>finanční,</w:t>
      </w:r>
      <w:r>
        <w:t xml:space="preserve"> </w:t>
      </w:r>
      <w:r w:rsidRPr="00251343">
        <w:t>materiální,</w:t>
      </w:r>
      <w:r>
        <w:t xml:space="preserve"> </w:t>
      </w:r>
      <w:r w:rsidRPr="00251343">
        <w:t>personální</w:t>
      </w:r>
      <w:r>
        <w:t xml:space="preserve"> </w:t>
      </w:r>
      <w:r w:rsidRPr="00251343">
        <w:t>a</w:t>
      </w:r>
      <w:r>
        <w:t xml:space="preserve"> </w:t>
      </w:r>
      <w:r w:rsidRPr="00251343">
        <w:t>organizační</w:t>
      </w:r>
      <w:r>
        <w:t xml:space="preserve"> </w:t>
      </w:r>
      <w:r w:rsidRPr="00251343">
        <w:t>předpoklady</w:t>
      </w:r>
      <w:r>
        <w:t xml:space="preserve"> </w:t>
      </w:r>
      <w:r w:rsidRPr="00251343">
        <w:t>pro</w:t>
      </w:r>
      <w:r>
        <w:t xml:space="preserve"> </w:t>
      </w:r>
      <w:r w:rsidRPr="00251343">
        <w:t>provozování</w:t>
      </w:r>
      <w:r>
        <w:t xml:space="preserve"> </w:t>
      </w:r>
      <w:r w:rsidRPr="00251343">
        <w:t>burzy</w:t>
      </w:r>
      <w:r>
        <w:t xml:space="preserve"> </w:t>
      </w:r>
      <w:r w:rsidRPr="00251343">
        <w:t>vzhledem</w:t>
      </w:r>
      <w:r>
        <w:t xml:space="preserve"> </w:t>
      </w:r>
      <w:r w:rsidRPr="00251343">
        <w:t>k</w:t>
      </w:r>
      <w:r>
        <w:t xml:space="preserve"> </w:t>
      </w:r>
      <w:r w:rsidRPr="00251343">
        <w:t>předpokládanému</w:t>
      </w:r>
      <w:r>
        <w:t xml:space="preserve"> </w:t>
      </w:r>
      <w:r w:rsidRPr="00251343">
        <w:t>rozsahu</w:t>
      </w:r>
      <w:r>
        <w:t xml:space="preserve"> </w:t>
      </w:r>
      <w:r w:rsidRPr="00251343">
        <w:t>činnosti</w:t>
      </w:r>
      <w:r>
        <w:t xml:space="preserve"> </w:t>
      </w:r>
      <w:r w:rsidRPr="00251343">
        <w:t>a</w:t>
      </w:r>
      <w:r>
        <w:t xml:space="preserve"> </w:t>
      </w:r>
      <w:r w:rsidRPr="00251343">
        <w:t>zaměření</w:t>
      </w:r>
      <w:r>
        <w:t xml:space="preserve"> </w:t>
      </w:r>
      <w:r w:rsidRPr="00251343">
        <w:t>burzy.</w:t>
      </w:r>
    </w:p>
    <w:p w14:paraId="41BC64B8" w14:textId="77777777" w:rsidR="001B4020" w:rsidRDefault="001B4020" w:rsidP="00D41C2D">
      <w:pPr>
        <w:pStyle w:val="Textparagrafu"/>
        <w:numPr>
          <w:ilvl w:val="0"/>
          <w:numId w:val="28"/>
        </w:numPr>
        <w:spacing w:before="120" w:after="120"/>
        <w:ind w:firstLine="426"/>
      </w:pPr>
      <w:r w:rsidRPr="00251343">
        <w:lastRenderedPageBreak/>
        <w:t>(3)</w:t>
      </w:r>
      <w:r>
        <w:t xml:space="preserve"> </w:t>
      </w:r>
      <w:r w:rsidRPr="00251343">
        <w:t>V</w:t>
      </w:r>
      <w:r>
        <w:t xml:space="preserve"> </w:t>
      </w:r>
      <w:r w:rsidRPr="00251343">
        <w:t>žádosti</w:t>
      </w:r>
      <w:r>
        <w:t xml:space="preserve"> </w:t>
      </w:r>
      <w:r w:rsidRPr="00251343">
        <w:t>kromě</w:t>
      </w:r>
      <w:r>
        <w:t xml:space="preserve"> </w:t>
      </w:r>
      <w:r w:rsidRPr="00251343">
        <w:t>obecných</w:t>
      </w:r>
      <w:r>
        <w:t xml:space="preserve"> </w:t>
      </w:r>
      <w:r w:rsidRPr="00251343">
        <w:t>náležitostí</w:t>
      </w:r>
      <w:r>
        <w:t xml:space="preserve"> </w:t>
      </w:r>
      <w:r w:rsidRPr="00251343">
        <w:t>podání</w:t>
      </w:r>
      <w:r>
        <w:t xml:space="preserve"> </w:t>
      </w:r>
      <w:r w:rsidRPr="00251343">
        <w:t>zakladatelé</w:t>
      </w:r>
      <w:r>
        <w:t xml:space="preserve"> </w:t>
      </w:r>
      <w:r w:rsidRPr="00251343">
        <w:t>uvedou</w:t>
      </w:r>
    </w:p>
    <w:p w14:paraId="7370B8AA" w14:textId="209C348F" w:rsidR="001B4020" w:rsidRDefault="001B4020" w:rsidP="00D41C2D">
      <w:pPr>
        <w:pStyle w:val="Textparagrafu"/>
        <w:numPr>
          <w:ilvl w:val="0"/>
          <w:numId w:val="28"/>
        </w:numPr>
        <w:tabs>
          <w:tab w:val="left" w:pos="392"/>
        </w:tabs>
        <w:spacing w:before="0"/>
        <w:ind w:left="425" w:hanging="425"/>
      </w:pPr>
      <w:r w:rsidRPr="00251343">
        <w:t>a)</w:t>
      </w:r>
      <w:r w:rsidR="0092703E">
        <w:tab/>
      </w:r>
      <w:r w:rsidRPr="00251343">
        <w:t>název</w:t>
      </w:r>
      <w:r>
        <w:t xml:space="preserve"> </w:t>
      </w:r>
      <w:r w:rsidRPr="00251343">
        <w:t>a</w:t>
      </w:r>
      <w:r>
        <w:t xml:space="preserve"> </w:t>
      </w:r>
      <w:r w:rsidRPr="00251343">
        <w:t>sídlo</w:t>
      </w:r>
      <w:r>
        <w:t xml:space="preserve"> </w:t>
      </w:r>
      <w:r w:rsidRPr="00251343">
        <w:t>burzy,</w:t>
      </w:r>
    </w:p>
    <w:p w14:paraId="46693915" w14:textId="08A36ED3" w:rsidR="001B4020" w:rsidRDefault="001B4020" w:rsidP="00D41C2D">
      <w:pPr>
        <w:pStyle w:val="Textparagrafu"/>
        <w:numPr>
          <w:ilvl w:val="0"/>
          <w:numId w:val="28"/>
        </w:numPr>
        <w:tabs>
          <w:tab w:val="left" w:pos="392"/>
        </w:tabs>
        <w:spacing w:before="0"/>
        <w:ind w:left="425" w:hanging="425"/>
      </w:pPr>
      <w:r w:rsidRPr="00251343">
        <w:t>b)</w:t>
      </w:r>
      <w:r w:rsidR="0092703E">
        <w:tab/>
      </w:r>
      <w:r w:rsidRPr="00251343">
        <w:t>předmět</w:t>
      </w:r>
      <w:r>
        <w:t xml:space="preserve"> </w:t>
      </w:r>
      <w:r w:rsidRPr="00251343">
        <w:t>a</w:t>
      </w:r>
      <w:r>
        <w:t xml:space="preserve"> </w:t>
      </w:r>
      <w:r w:rsidRPr="00251343">
        <w:t>druh</w:t>
      </w:r>
      <w:r>
        <w:t xml:space="preserve"> </w:t>
      </w:r>
      <w:r w:rsidRPr="00251343">
        <w:t>burzovních</w:t>
      </w:r>
      <w:r>
        <w:t xml:space="preserve"> </w:t>
      </w:r>
      <w:r w:rsidRPr="00251343">
        <w:t>obchodů,</w:t>
      </w:r>
      <w:r>
        <w:t xml:space="preserve"> </w:t>
      </w:r>
      <w:r w:rsidRPr="00251343">
        <w:t>které</w:t>
      </w:r>
      <w:r>
        <w:t xml:space="preserve"> </w:t>
      </w:r>
      <w:r w:rsidRPr="00251343">
        <w:t>mají</w:t>
      </w:r>
      <w:r>
        <w:t xml:space="preserve"> </w:t>
      </w:r>
      <w:r w:rsidRPr="00251343">
        <w:t>být</w:t>
      </w:r>
      <w:r>
        <w:t xml:space="preserve"> </w:t>
      </w:r>
      <w:r w:rsidRPr="00251343">
        <w:t>na</w:t>
      </w:r>
      <w:r>
        <w:t xml:space="preserve"> </w:t>
      </w:r>
      <w:r w:rsidRPr="00251343">
        <w:t>burze</w:t>
      </w:r>
      <w:r>
        <w:t xml:space="preserve"> </w:t>
      </w:r>
      <w:r w:rsidRPr="00251343">
        <w:t>provozovány,</w:t>
      </w:r>
    </w:p>
    <w:p w14:paraId="4DBFC70D" w14:textId="0037668B" w:rsidR="001B4020" w:rsidRDefault="001B4020" w:rsidP="00D41C2D">
      <w:pPr>
        <w:pStyle w:val="Textparagrafu"/>
        <w:numPr>
          <w:ilvl w:val="0"/>
          <w:numId w:val="28"/>
        </w:numPr>
        <w:tabs>
          <w:tab w:val="left" w:pos="392"/>
        </w:tabs>
        <w:spacing w:before="0"/>
        <w:ind w:left="425" w:hanging="425"/>
      </w:pPr>
      <w:r w:rsidRPr="00251343">
        <w:t>c)</w:t>
      </w:r>
      <w:r w:rsidR="0092703E">
        <w:tab/>
      </w:r>
      <w:r w:rsidRPr="00251343">
        <w:t>jiné</w:t>
      </w:r>
      <w:r>
        <w:t xml:space="preserve"> </w:t>
      </w:r>
      <w:r w:rsidRPr="00251343">
        <w:t>kontaktní</w:t>
      </w:r>
      <w:r>
        <w:t xml:space="preserve"> </w:t>
      </w:r>
      <w:r w:rsidRPr="00251343">
        <w:t>údaje</w:t>
      </w:r>
      <w:r>
        <w:t xml:space="preserve"> </w:t>
      </w:r>
      <w:r w:rsidRPr="00251343">
        <w:t>zakladatelů,</w:t>
      </w:r>
      <w:r>
        <w:t xml:space="preserve"> </w:t>
      </w:r>
      <w:r w:rsidRPr="00251343">
        <w:t>zejména</w:t>
      </w:r>
      <w:r>
        <w:t xml:space="preserve"> </w:t>
      </w:r>
      <w:r w:rsidRPr="00251343">
        <w:t>identifikátor</w:t>
      </w:r>
      <w:r>
        <w:t xml:space="preserve"> </w:t>
      </w:r>
      <w:r w:rsidRPr="00251343">
        <w:t>datové</w:t>
      </w:r>
      <w:r>
        <w:t xml:space="preserve"> </w:t>
      </w:r>
      <w:r w:rsidRPr="00251343">
        <w:t>schránky,</w:t>
      </w:r>
      <w:r>
        <w:t xml:space="preserve"> </w:t>
      </w:r>
      <w:r w:rsidRPr="00251343">
        <w:t>elektronickou</w:t>
      </w:r>
      <w:r>
        <w:t xml:space="preserve"> </w:t>
      </w:r>
      <w:r w:rsidRPr="00251343">
        <w:t>adresu</w:t>
      </w:r>
      <w:r>
        <w:t xml:space="preserve"> </w:t>
      </w:r>
      <w:r w:rsidRPr="00251343">
        <w:t>a</w:t>
      </w:r>
      <w:r>
        <w:t xml:space="preserve"> </w:t>
      </w:r>
      <w:r w:rsidRPr="00251343">
        <w:t>telefonní</w:t>
      </w:r>
      <w:r>
        <w:t xml:space="preserve"> </w:t>
      </w:r>
      <w:r w:rsidRPr="00251343">
        <w:t>číslo.</w:t>
      </w:r>
    </w:p>
    <w:p w14:paraId="51441131" w14:textId="77777777" w:rsidR="001B4020" w:rsidRDefault="001B4020" w:rsidP="001B4020">
      <w:pPr>
        <w:pStyle w:val="Textparagrafu"/>
        <w:numPr>
          <w:ilvl w:val="0"/>
          <w:numId w:val="28"/>
        </w:numPr>
        <w:spacing w:after="120"/>
        <w:ind w:firstLine="425"/>
      </w:pPr>
      <w:r w:rsidRPr="00251343">
        <w:t>(4)</w:t>
      </w:r>
      <w:r>
        <w:t xml:space="preserve"> </w:t>
      </w:r>
      <w:r w:rsidRPr="00251343">
        <w:t>Žádost</w:t>
      </w:r>
      <w:r>
        <w:t xml:space="preserve"> </w:t>
      </w:r>
      <w:r w:rsidRPr="00251343">
        <w:t>o</w:t>
      </w:r>
      <w:r>
        <w:t xml:space="preserve"> </w:t>
      </w:r>
      <w:r w:rsidRPr="00251343">
        <w:t>udělení</w:t>
      </w:r>
      <w:r>
        <w:t xml:space="preserve"> </w:t>
      </w:r>
      <w:r w:rsidRPr="00251343">
        <w:t>povolení</w:t>
      </w:r>
      <w:r>
        <w:t xml:space="preserve"> </w:t>
      </w:r>
      <w:r w:rsidRPr="00251343">
        <w:t>podepíší</w:t>
      </w:r>
      <w:r>
        <w:t xml:space="preserve"> </w:t>
      </w:r>
      <w:r w:rsidRPr="00251343">
        <w:t>všichni</w:t>
      </w:r>
      <w:r>
        <w:t xml:space="preserve"> </w:t>
      </w:r>
      <w:r w:rsidRPr="00251343">
        <w:t>zakladatelé</w:t>
      </w:r>
      <w:r>
        <w:t xml:space="preserve"> </w:t>
      </w:r>
      <w:r w:rsidRPr="00251343">
        <w:t>a</w:t>
      </w:r>
      <w:r>
        <w:t xml:space="preserve"> </w:t>
      </w:r>
      <w:r w:rsidRPr="00251343">
        <w:t>připojí</w:t>
      </w:r>
      <w:r>
        <w:t xml:space="preserve"> </w:t>
      </w:r>
      <w:r w:rsidRPr="00251343">
        <w:t>k</w:t>
      </w:r>
      <w:r>
        <w:t xml:space="preserve"> </w:t>
      </w:r>
      <w:r w:rsidRPr="00251343">
        <w:t>ní</w:t>
      </w:r>
      <w:r>
        <w:t xml:space="preserve"> </w:t>
      </w:r>
      <w:r w:rsidRPr="00251343">
        <w:t>tyto</w:t>
      </w:r>
      <w:r>
        <w:t xml:space="preserve"> </w:t>
      </w:r>
      <w:r w:rsidRPr="00251343">
        <w:t>doklady</w:t>
      </w:r>
    </w:p>
    <w:p w14:paraId="3B546BFA" w14:textId="3EDD0FA1" w:rsidR="001B4020" w:rsidRDefault="001B4020" w:rsidP="00D41C2D">
      <w:pPr>
        <w:pStyle w:val="Textparagrafu"/>
        <w:numPr>
          <w:ilvl w:val="0"/>
          <w:numId w:val="28"/>
        </w:numPr>
        <w:tabs>
          <w:tab w:val="left" w:pos="392"/>
        </w:tabs>
        <w:spacing w:before="0"/>
        <w:ind w:left="425" w:hanging="425"/>
      </w:pPr>
      <w:r w:rsidRPr="00251343">
        <w:t>a)</w:t>
      </w:r>
      <w:r w:rsidR="0092703E">
        <w:tab/>
      </w:r>
      <w:r w:rsidRPr="00251343">
        <w:t>zakladatelskou</w:t>
      </w:r>
      <w:r>
        <w:t xml:space="preserve"> </w:t>
      </w:r>
      <w:r w:rsidRPr="00251343">
        <w:t>smlouvu,</w:t>
      </w:r>
    </w:p>
    <w:p w14:paraId="30BF343B" w14:textId="241E2C72" w:rsidR="001B4020" w:rsidRDefault="001B4020" w:rsidP="00D41C2D">
      <w:pPr>
        <w:pStyle w:val="Textparagrafu"/>
        <w:numPr>
          <w:ilvl w:val="0"/>
          <w:numId w:val="28"/>
        </w:numPr>
        <w:tabs>
          <w:tab w:val="left" w:pos="392"/>
        </w:tabs>
        <w:spacing w:before="0"/>
        <w:ind w:left="425" w:hanging="425"/>
      </w:pPr>
      <w:r w:rsidRPr="00251343">
        <w:t>b)</w:t>
      </w:r>
      <w:r w:rsidR="0092703E">
        <w:tab/>
      </w:r>
      <w:r w:rsidRPr="00251343">
        <w:t>statut,</w:t>
      </w:r>
    </w:p>
    <w:p w14:paraId="3243902E" w14:textId="21CF69E6" w:rsidR="001B4020" w:rsidRDefault="001B4020" w:rsidP="00D41C2D">
      <w:pPr>
        <w:pStyle w:val="Textparagrafu"/>
        <w:numPr>
          <w:ilvl w:val="0"/>
          <w:numId w:val="28"/>
        </w:numPr>
        <w:tabs>
          <w:tab w:val="left" w:pos="392"/>
        </w:tabs>
        <w:spacing w:before="0"/>
        <w:ind w:left="425" w:hanging="425"/>
      </w:pPr>
      <w:r w:rsidRPr="00251343">
        <w:t>c)</w:t>
      </w:r>
      <w:r w:rsidR="0092703E">
        <w:tab/>
      </w:r>
      <w:r w:rsidRPr="00251343">
        <w:t>řád</w:t>
      </w:r>
      <w:r>
        <w:t xml:space="preserve"> </w:t>
      </w:r>
      <w:r w:rsidRPr="00251343">
        <w:t>burzovního</w:t>
      </w:r>
      <w:r>
        <w:t xml:space="preserve"> </w:t>
      </w:r>
      <w:r w:rsidRPr="00251343">
        <w:t>rozhodčího</w:t>
      </w:r>
      <w:r>
        <w:t xml:space="preserve"> </w:t>
      </w:r>
      <w:r w:rsidRPr="00251343">
        <w:t>soudu,</w:t>
      </w:r>
      <w:r>
        <w:t xml:space="preserve"> </w:t>
      </w:r>
      <w:r w:rsidRPr="00251343">
        <w:t>pokud</w:t>
      </w:r>
      <w:r>
        <w:t xml:space="preserve"> </w:t>
      </w:r>
      <w:r w:rsidRPr="00251343">
        <w:t>má</w:t>
      </w:r>
      <w:r>
        <w:t xml:space="preserve"> </w:t>
      </w:r>
      <w:r w:rsidRPr="00251343">
        <w:t>být</w:t>
      </w:r>
      <w:r>
        <w:t xml:space="preserve"> </w:t>
      </w:r>
      <w:r w:rsidRPr="00251343">
        <w:t>u</w:t>
      </w:r>
      <w:r>
        <w:t xml:space="preserve"> </w:t>
      </w:r>
      <w:r w:rsidRPr="00251343">
        <w:t>burzy</w:t>
      </w:r>
      <w:r>
        <w:t xml:space="preserve"> </w:t>
      </w:r>
      <w:r w:rsidRPr="00251343">
        <w:t>zřízen,</w:t>
      </w:r>
    </w:p>
    <w:p w14:paraId="64FEF8E5" w14:textId="6042201B" w:rsidR="001B4020" w:rsidRDefault="001B4020" w:rsidP="00D41C2D">
      <w:pPr>
        <w:pStyle w:val="Textparagrafu"/>
        <w:numPr>
          <w:ilvl w:val="0"/>
          <w:numId w:val="28"/>
        </w:numPr>
        <w:tabs>
          <w:tab w:val="left" w:pos="392"/>
        </w:tabs>
        <w:spacing w:before="0"/>
        <w:ind w:left="425" w:hanging="425"/>
      </w:pPr>
      <w:r w:rsidRPr="00251343">
        <w:t>d)</w:t>
      </w:r>
      <w:r w:rsidR="0092703E">
        <w:tab/>
      </w:r>
      <w:r w:rsidRPr="00251343">
        <w:t>potvrzení</w:t>
      </w:r>
      <w:r>
        <w:t xml:space="preserve"> </w:t>
      </w:r>
      <w:r w:rsidRPr="00251343">
        <w:t>ne</w:t>
      </w:r>
      <w:r>
        <w:t xml:space="preserve"> </w:t>
      </w:r>
      <w:r w:rsidRPr="00251343">
        <w:t>starší</w:t>
      </w:r>
      <w:r>
        <w:t xml:space="preserve"> </w:t>
      </w:r>
      <w:r w:rsidRPr="00251343">
        <w:t>než</w:t>
      </w:r>
      <w:r>
        <w:t xml:space="preserve"> </w:t>
      </w:r>
      <w:r w:rsidRPr="00251343">
        <w:t>3</w:t>
      </w:r>
      <w:r>
        <w:t xml:space="preserve"> </w:t>
      </w:r>
      <w:r w:rsidRPr="00251343">
        <w:t>měsíce,</w:t>
      </w:r>
      <w:r>
        <w:t xml:space="preserve"> </w:t>
      </w:r>
      <w:r w:rsidRPr="00251343">
        <w:t>že</w:t>
      </w:r>
      <w:r>
        <w:t xml:space="preserve"> </w:t>
      </w:r>
      <w:r w:rsidRPr="00251343">
        <w:t>nemají</w:t>
      </w:r>
      <w:r>
        <w:t xml:space="preserve"> </w:t>
      </w:r>
      <w:r w:rsidRPr="00251343">
        <w:t>v</w:t>
      </w:r>
      <w:r>
        <w:t xml:space="preserve"> </w:t>
      </w:r>
      <w:r w:rsidRPr="00251343">
        <w:t>evidenci</w:t>
      </w:r>
      <w:r>
        <w:t xml:space="preserve"> </w:t>
      </w:r>
      <w:r w:rsidRPr="00251343">
        <w:t>daní</w:t>
      </w:r>
      <w:r>
        <w:t xml:space="preserve"> </w:t>
      </w:r>
      <w:r w:rsidRPr="00251343">
        <w:t>u</w:t>
      </w:r>
      <w:r>
        <w:t xml:space="preserve"> </w:t>
      </w:r>
      <w:r w:rsidRPr="00251343">
        <w:t>orgánů</w:t>
      </w:r>
      <w:r>
        <w:t xml:space="preserve"> </w:t>
      </w:r>
      <w:r w:rsidRPr="00251343">
        <w:t>Finanční</w:t>
      </w:r>
      <w:r>
        <w:t xml:space="preserve"> </w:t>
      </w:r>
      <w:r w:rsidRPr="00251343">
        <w:t>správy</w:t>
      </w:r>
      <w:r>
        <w:t xml:space="preserve"> </w:t>
      </w:r>
      <w:r w:rsidRPr="00251343">
        <w:t>České</w:t>
      </w:r>
      <w:r>
        <w:t xml:space="preserve"> </w:t>
      </w:r>
      <w:r w:rsidRPr="00251343">
        <w:t>republiky</w:t>
      </w:r>
      <w:r>
        <w:t xml:space="preserve"> </w:t>
      </w:r>
      <w:r w:rsidRPr="00251343">
        <w:t>ani</w:t>
      </w:r>
      <w:r>
        <w:t xml:space="preserve"> </w:t>
      </w:r>
      <w:r w:rsidRPr="00251343">
        <w:t>orgánů</w:t>
      </w:r>
      <w:r>
        <w:t xml:space="preserve"> </w:t>
      </w:r>
      <w:r w:rsidRPr="00251343">
        <w:t>Celní</w:t>
      </w:r>
      <w:r>
        <w:t xml:space="preserve"> </w:t>
      </w:r>
      <w:r w:rsidRPr="00251343">
        <w:t>správy</w:t>
      </w:r>
      <w:r>
        <w:t xml:space="preserve"> </w:t>
      </w:r>
      <w:r w:rsidRPr="00251343">
        <w:t>České</w:t>
      </w:r>
      <w:r>
        <w:t xml:space="preserve"> </w:t>
      </w:r>
      <w:r w:rsidRPr="00251343">
        <w:t>republiky</w:t>
      </w:r>
      <w:r>
        <w:t xml:space="preserve"> </w:t>
      </w:r>
      <w:r w:rsidRPr="00251343">
        <w:t>evidován</w:t>
      </w:r>
      <w:r>
        <w:t xml:space="preserve"> </w:t>
      </w:r>
      <w:r w:rsidRPr="00251343">
        <w:t>nedoplatek,</w:t>
      </w:r>
    </w:p>
    <w:p w14:paraId="249F4E46" w14:textId="0C65B1B9" w:rsidR="001B4020" w:rsidRDefault="001B4020" w:rsidP="00D41C2D">
      <w:pPr>
        <w:pStyle w:val="Textparagrafu"/>
        <w:numPr>
          <w:ilvl w:val="0"/>
          <w:numId w:val="28"/>
        </w:numPr>
        <w:tabs>
          <w:tab w:val="left" w:pos="392"/>
        </w:tabs>
        <w:spacing w:before="0"/>
        <w:ind w:left="425" w:hanging="425"/>
      </w:pPr>
      <w:r w:rsidRPr="00251343">
        <w:t>e)</w:t>
      </w:r>
      <w:r w:rsidR="0092703E">
        <w:tab/>
      </w:r>
      <w:r>
        <w:t>potvrzení</w:t>
      </w:r>
      <w:r>
        <w:rPr>
          <w:rStyle w:val="Znakapoznpodarou"/>
        </w:rPr>
        <w:footnoteReference w:customMarkFollows="1" w:id="109"/>
        <w:t>15)</w:t>
      </w:r>
      <w:r>
        <w:t xml:space="preserve"> </w:t>
      </w:r>
      <w:r w:rsidRPr="00251343">
        <w:t>o</w:t>
      </w:r>
      <w:r>
        <w:t xml:space="preserve"> </w:t>
      </w:r>
      <w:r w:rsidRPr="00251343">
        <w:t>neexistenci</w:t>
      </w:r>
      <w:r>
        <w:t xml:space="preserve"> </w:t>
      </w:r>
      <w:r w:rsidRPr="00251343">
        <w:t>nedoplatků</w:t>
      </w:r>
      <w:r>
        <w:t xml:space="preserve"> </w:t>
      </w:r>
      <w:r w:rsidRPr="00251343">
        <w:t>na</w:t>
      </w:r>
      <w:r>
        <w:t xml:space="preserve"> </w:t>
      </w:r>
      <w:r w:rsidRPr="00251343">
        <w:t>pojistném</w:t>
      </w:r>
      <w:r>
        <w:t xml:space="preserve"> </w:t>
      </w:r>
      <w:r w:rsidRPr="00251343">
        <w:t>a</w:t>
      </w:r>
      <w:r>
        <w:t xml:space="preserve"> </w:t>
      </w:r>
      <w:r w:rsidRPr="00251343">
        <w:t>na</w:t>
      </w:r>
      <w:r>
        <w:t xml:space="preserve"> </w:t>
      </w:r>
      <w:r w:rsidRPr="00251343">
        <w:t>penále</w:t>
      </w:r>
      <w:r>
        <w:t xml:space="preserve"> </w:t>
      </w:r>
      <w:r w:rsidRPr="00251343">
        <w:t>na</w:t>
      </w:r>
      <w:r>
        <w:t xml:space="preserve"> </w:t>
      </w:r>
      <w:r w:rsidRPr="00251343">
        <w:t>veřejné</w:t>
      </w:r>
      <w:r>
        <w:t xml:space="preserve"> </w:t>
      </w:r>
      <w:r w:rsidRPr="00251343">
        <w:t>zdravotní</w:t>
      </w:r>
      <w:r>
        <w:t xml:space="preserve"> </w:t>
      </w:r>
      <w:r w:rsidRPr="00251343">
        <w:t>pojištění,</w:t>
      </w:r>
      <w:r>
        <w:t xml:space="preserve"> </w:t>
      </w:r>
      <w:r w:rsidRPr="00251343">
        <w:t>ne</w:t>
      </w:r>
      <w:r>
        <w:t xml:space="preserve"> </w:t>
      </w:r>
      <w:r w:rsidRPr="00251343">
        <w:t>starší</w:t>
      </w:r>
      <w:r>
        <w:t xml:space="preserve"> </w:t>
      </w:r>
      <w:r w:rsidRPr="00251343">
        <w:t>3</w:t>
      </w:r>
      <w:r>
        <w:t xml:space="preserve"> </w:t>
      </w:r>
      <w:r w:rsidRPr="00251343">
        <w:t>měsíce,</w:t>
      </w:r>
    </w:p>
    <w:p w14:paraId="0E8A882F" w14:textId="2B6A22BB" w:rsidR="001B4020" w:rsidRDefault="001B4020" w:rsidP="00D41C2D">
      <w:pPr>
        <w:pStyle w:val="Textparagrafu"/>
        <w:numPr>
          <w:ilvl w:val="0"/>
          <w:numId w:val="28"/>
        </w:numPr>
        <w:tabs>
          <w:tab w:val="left" w:pos="392"/>
        </w:tabs>
        <w:spacing w:before="0"/>
        <w:ind w:left="425" w:hanging="425"/>
      </w:pPr>
      <w:r w:rsidRPr="00251343">
        <w:t>f)</w:t>
      </w:r>
      <w:r w:rsidR="0092703E">
        <w:tab/>
      </w:r>
      <w:r>
        <w:t>potvrzení</w:t>
      </w:r>
      <w:r>
        <w:rPr>
          <w:rStyle w:val="Znakapoznpodarou"/>
        </w:rPr>
        <w:footnoteReference w:customMarkFollows="1" w:id="110"/>
        <w:t>16)</w:t>
      </w:r>
      <w:r>
        <w:t xml:space="preserve"> </w:t>
      </w:r>
      <w:r w:rsidRPr="00251343">
        <w:t>o</w:t>
      </w:r>
      <w:r>
        <w:t xml:space="preserve"> </w:t>
      </w:r>
      <w:r w:rsidRPr="00251343">
        <w:t>neexistenci</w:t>
      </w:r>
      <w:r>
        <w:t xml:space="preserve"> </w:t>
      </w:r>
      <w:r w:rsidRPr="00251343">
        <w:t>nedoplatků</w:t>
      </w:r>
      <w:r>
        <w:t xml:space="preserve"> </w:t>
      </w:r>
      <w:r w:rsidRPr="00251343">
        <w:t>na</w:t>
      </w:r>
      <w:r>
        <w:t xml:space="preserve"> </w:t>
      </w:r>
      <w:r w:rsidRPr="00251343">
        <w:t>pojistném</w:t>
      </w:r>
      <w:r>
        <w:t xml:space="preserve"> </w:t>
      </w:r>
      <w:r w:rsidRPr="00251343">
        <w:t>a</w:t>
      </w:r>
      <w:r>
        <w:t xml:space="preserve"> </w:t>
      </w:r>
      <w:r w:rsidRPr="00251343">
        <w:t>na</w:t>
      </w:r>
      <w:r>
        <w:t xml:space="preserve"> </w:t>
      </w:r>
      <w:r w:rsidRPr="00251343">
        <w:t>penále</w:t>
      </w:r>
      <w:r>
        <w:t xml:space="preserve"> </w:t>
      </w:r>
      <w:r w:rsidRPr="00251343">
        <w:t>na</w:t>
      </w:r>
      <w:r>
        <w:t xml:space="preserve"> </w:t>
      </w:r>
      <w:r w:rsidRPr="00251343">
        <w:t>sociální</w:t>
      </w:r>
      <w:r>
        <w:t xml:space="preserve"> </w:t>
      </w:r>
      <w:r w:rsidRPr="00251343">
        <w:t>zabezpečení</w:t>
      </w:r>
      <w:r>
        <w:t xml:space="preserve"> </w:t>
      </w:r>
      <w:r w:rsidRPr="00251343">
        <w:t>a</w:t>
      </w:r>
      <w:r>
        <w:t xml:space="preserve"> </w:t>
      </w:r>
      <w:r w:rsidRPr="00251343">
        <w:t>příspěvku</w:t>
      </w:r>
      <w:r>
        <w:t xml:space="preserve"> </w:t>
      </w:r>
      <w:r w:rsidRPr="00251343">
        <w:t>na</w:t>
      </w:r>
      <w:r>
        <w:t xml:space="preserve"> </w:t>
      </w:r>
      <w:r w:rsidRPr="00251343">
        <w:t>státní</w:t>
      </w:r>
      <w:r>
        <w:t xml:space="preserve"> </w:t>
      </w:r>
      <w:r w:rsidRPr="00251343">
        <w:t>politiku</w:t>
      </w:r>
      <w:r>
        <w:t xml:space="preserve"> </w:t>
      </w:r>
      <w:r w:rsidRPr="00251343">
        <w:t>zaměstnanosti,</w:t>
      </w:r>
      <w:r>
        <w:t xml:space="preserve"> </w:t>
      </w:r>
      <w:r w:rsidRPr="00251343">
        <w:t>ne</w:t>
      </w:r>
      <w:r>
        <w:t xml:space="preserve"> </w:t>
      </w:r>
      <w:r w:rsidRPr="00251343">
        <w:t>starší</w:t>
      </w:r>
      <w:r>
        <w:t xml:space="preserve"> </w:t>
      </w:r>
      <w:r w:rsidRPr="00251343">
        <w:t>3</w:t>
      </w:r>
      <w:r>
        <w:t xml:space="preserve"> </w:t>
      </w:r>
      <w:r w:rsidRPr="00251343">
        <w:t>měsíce,</w:t>
      </w:r>
    </w:p>
    <w:p w14:paraId="739721C0" w14:textId="1AB7F48A" w:rsidR="001B4020" w:rsidRPr="00251343" w:rsidRDefault="001B4020" w:rsidP="00D41C2D">
      <w:pPr>
        <w:pStyle w:val="Textparagrafu"/>
        <w:numPr>
          <w:ilvl w:val="0"/>
          <w:numId w:val="28"/>
        </w:numPr>
        <w:tabs>
          <w:tab w:val="left" w:pos="392"/>
        </w:tabs>
        <w:spacing w:before="0"/>
        <w:ind w:left="425" w:hanging="425"/>
      </w:pPr>
      <w:r w:rsidRPr="00251343">
        <w:t>g)</w:t>
      </w:r>
      <w:r w:rsidR="0092703E">
        <w:tab/>
      </w:r>
      <w:r w:rsidRPr="00251343">
        <w:t>doklady</w:t>
      </w:r>
      <w:r>
        <w:t xml:space="preserve"> </w:t>
      </w:r>
      <w:r w:rsidRPr="00251343">
        <w:t>prokazující</w:t>
      </w:r>
      <w:r>
        <w:t xml:space="preserve"> </w:t>
      </w:r>
      <w:r w:rsidRPr="00251343">
        <w:t>finanční,</w:t>
      </w:r>
      <w:r>
        <w:t xml:space="preserve"> </w:t>
      </w:r>
      <w:r w:rsidRPr="00251343">
        <w:t>materiální,</w:t>
      </w:r>
      <w:r>
        <w:t xml:space="preserve"> </w:t>
      </w:r>
      <w:r w:rsidRPr="00251343">
        <w:t>personální</w:t>
      </w:r>
      <w:r>
        <w:t xml:space="preserve"> </w:t>
      </w:r>
      <w:r w:rsidRPr="00251343">
        <w:t>a</w:t>
      </w:r>
      <w:r>
        <w:t xml:space="preserve"> </w:t>
      </w:r>
      <w:r w:rsidRPr="00251343">
        <w:t>organizační</w:t>
      </w:r>
      <w:r>
        <w:t xml:space="preserve"> </w:t>
      </w:r>
      <w:r w:rsidRPr="00251343">
        <w:t>předpoklady</w:t>
      </w:r>
      <w:r>
        <w:t xml:space="preserve"> </w:t>
      </w:r>
      <w:r w:rsidRPr="00251343">
        <w:t>pro</w:t>
      </w:r>
      <w:r>
        <w:t xml:space="preserve"> </w:t>
      </w:r>
      <w:r w:rsidRPr="00251343">
        <w:t>provoz</w:t>
      </w:r>
      <w:r>
        <w:t xml:space="preserve"> </w:t>
      </w:r>
      <w:r w:rsidRPr="00251343">
        <w:t>burzy</w:t>
      </w:r>
      <w:r>
        <w:t xml:space="preserve"> </w:t>
      </w:r>
      <w:r w:rsidRPr="00251343">
        <w:t>podle</w:t>
      </w:r>
      <w:r>
        <w:t xml:space="preserve"> </w:t>
      </w:r>
      <w:r w:rsidRPr="00251343">
        <w:t>odstavce</w:t>
      </w:r>
      <w:r>
        <w:t xml:space="preserve"> </w:t>
      </w:r>
      <w:r w:rsidRPr="00251343">
        <w:t>2</w:t>
      </w:r>
      <w:r>
        <w:t xml:space="preserve"> </w:t>
      </w:r>
      <w:r w:rsidRPr="00251343">
        <w:t>písm.</w:t>
      </w:r>
      <w:r>
        <w:t xml:space="preserve"> </w:t>
      </w:r>
      <w:r w:rsidRPr="00251343">
        <w:t>c),</w:t>
      </w:r>
      <w:r>
        <w:t xml:space="preserve"> </w:t>
      </w:r>
      <w:r w:rsidRPr="00251343">
        <w:t>a</w:t>
      </w:r>
      <w:r>
        <w:t xml:space="preserve"> </w:t>
      </w:r>
      <w:r w:rsidRPr="00251343">
        <w:t>to</w:t>
      </w:r>
      <w:r>
        <w:t xml:space="preserve"> </w:t>
      </w:r>
      <w:r w:rsidRPr="00251343">
        <w:t>zejména</w:t>
      </w:r>
    </w:p>
    <w:p w14:paraId="07F6C92D" w14:textId="4F02ECB3" w:rsidR="001B4020" w:rsidRPr="00251343" w:rsidRDefault="001B4020" w:rsidP="002A3706">
      <w:pPr>
        <w:pStyle w:val="Textparagrafu"/>
        <w:tabs>
          <w:tab w:val="left" w:pos="392"/>
          <w:tab w:val="left" w:pos="851"/>
        </w:tabs>
        <w:spacing w:before="0"/>
        <w:ind w:left="851" w:hanging="425"/>
      </w:pPr>
      <w:r w:rsidRPr="00251343">
        <w:t>1.</w:t>
      </w:r>
      <w:r w:rsidR="0092703E">
        <w:tab/>
      </w:r>
      <w:r w:rsidRPr="00251343">
        <w:t>výroční</w:t>
      </w:r>
      <w:r>
        <w:t xml:space="preserve"> </w:t>
      </w:r>
      <w:r w:rsidRPr="00251343">
        <w:t>zprávy</w:t>
      </w:r>
      <w:r>
        <w:t xml:space="preserve"> </w:t>
      </w:r>
      <w:r w:rsidRPr="00251343">
        <w:t>nebo</w:t>
      </w:r>
      <w:r>
        <w:t xml:space="preserve"> </w:t>
      </w:r>
      <w:r w:rsidR="001D7E38" w:rsidRPr="001D7E38">
        <w:rPr>
          <w:b/>
        </w:rPr>
        <w:t>řádné</w:t>
      </w:r>
      <w:r w:rsidR="001D7E38">
        <w:t xml:space="preserve"> </w:t>
      </w:r>
      <w:r w:rsidRPr="00251343">
        <w:t>účetní</w:t>
      </w:r>
      <w:r>
        <w:t xml:space="preserve"> </w:t>
      </w:r>
      <w:r w:rsidRPr="00251343">
        <w:t>závěrky</w:t>
      </w:r>
      <w:r>
        <w:t xml:space="preserve"> </w:t>
      </w:r>
      <w:r w:rsidRPr="00251343">
        <w:t>nebo</w:t>
      </w:r>
      <w:r>
        <w:t xml:space="preserve"> </w:t>
      </w:r>
      <w:r w:rsidRPr="00251343">
        <w:t>přehledy</w:t>
      </w:r>
      <w:r>
        <w:t xml:space="preserve"> </w:t>
      </w:r>
      <w:r w:rsidRPr="00251343">
        <w:t>o</w:t>
      </w:r>
      <w:r>
        <w:t xml:space="preserve"> </w:t>
      </w:r>
      <w:r w:rsidRPr="00251343">
        <w:t>příjmech,</w:t>
      </w:r>
      <w:r>
        <w:t xml:space="preserve"> </w:t>
      </w:r>
      <w:r w:rsidRPr="00251343">
        <w:t>výdajích,</w:t>
      </w:r>
      <w:r>
        <w:t xml:space="preserve"> </w:t>
      </w:r>
      <w:r w:rsidRPr="00251343">
        <w:t>majetku</w:t>
      </w:r>
      <w:r>
        <w:t xml:space="preserve"> </w:t>
      </w:r>
      <w:r w:rsidRPr="00251343">
        <w:t>a</w:t>
      </w:r>
      <w:r>
        <w:t xml:space="preserve"> </w:t>
      </w:r>
      <w:r w:rsidRPr="00251343">
        <w:t>závazcích</w:t>
      </w:r>
      <w:r>
        <w:t xml:space="preserve"> </w:t>
      </w:r>
      <w:r w:rsidRPr="00251343">
        <w:t>zakladatelů</w:t>
      </w:r>
      <w:r>
        <w:t xml:space="preserve"> </w:t>
      </w:r>
      <w:r w:rsidRPr="00251343">
        <w:t>za</w:t>
      </w:r>
      <w:r>
        <w:t xml:space="preserve"> </w:t>
      </w:r>
      <w:r w:rsidRPr="00251343">
        <w:t>3</w:t>
      </w:r>
      <w:r>
        <w:t xml:space="preserve"> </w:t>
      </w:r>
      <w:r w:rsidRPr="00251343">
        <w:t>bezprostředně</w:t>
      </w:r>
      <w:r>
        <w:t xml:space="preserve"> </w:t>
      </w:r>
      <w:r w:rsidRPr="00251343">
        <w:t>předcházející</w:t>
      </w:r>
      <w:r>
        <w:t xml:space="preserve"> </w:t>
      </w:r>
      <w:r w:rsidRPr="00251343">
        <w:t>účetní</w:t>
      </w:r>
      <w:r>
        <w:t xml:space="preserve"> </w:t>
      </w:r>
      <w:r w:rsidRPr="00251343">
        <w:t>období</w:t>
      </w:r>
      <w:r>
        <w:t xml:space="preserve"> </w:t>
      </w:r>
      <w:r w:rsidRPr="00251343">
        <w:t>nebo</w:t>
      </w:r>
      <w:r>
        <w:t xml:space="preserve"> </w:t>
      </w:r>
      <w:r w:rsidRPr="00251343">
        <w:t>obdobné</w:t>
      </w:r>
      <w:r>
        <w:t xml:space="preserve"> </w:t>
      </w:r>
      <w:r w:rsidRPr="00251343">
        <w:t>dokumenty</w:t>
      </w:r>
      <w:r>
        <w:t xml:space="preserve"> </w:t>
      </w:r>
      <w:r w:rsidR="001D7E38" w:rsidRPr="00437E93">
        <w:rPr>
          <w:b/>
        </w:rPr>
        <w:t xml:space="preserve">obsahující informace vykazované za účetní jednotku nebo za konsolidační celek a zprávy o jejich ověření </w:t>
      </w:r>
      <w:r w:rsidRPr="00251343">
        <w:t>u</w:t>
      </w:r>
      <w:r>
        <w:t xml:space="preserve"> </w:t>
      </w:r>
      <w:r w:rsidRPr="00251343">
        <w:t>zahraničních</w:t>
      </w:r>
      <w:r>
        <w:t xml:space="preserve"> </w:t>
      </w:r>
      <w:r w:rsidRPr="00251343">
        <w:t>osob,</w:t>
      </w:r>
    </w:p>
    <w:p w14:paraId="219071BB" w14:textId="485626A5" w:rsidR="001B4020" w:rsidRPr="00251343" w:rsidRDefault="001B4020" w:rsidP="002A3706">
      <w:pPr>
        <w:pStyle w:val="Textparagrafu"/>
        <w:tabs>
          <w:tab w:val="left" w:pos="392"/>
          <w:tab w:val="left" w:pos="851"/>
        </w:tabs>
        <w:spacing w:before="0"/>
        <w:ind w:left="426" w:firstLine="0"/>
      </w:pPr>
      <w:r w:rsidRPr="00251343">
        <w:t>2.</w:t>
      </w:r>
      <w:r w:rsidR="0092703E">
        <w:tab/>
      </w:r>
      <w:r w:rsidRPr="00251343">
        <w:t>plán</w:t>
      </w:r>
      <w:r>
        <w:t xml:space="preserve"> </w:t>
      </w:r>
      <w:r w:rsidRPr="00251343">
        <w:t>obchodní</w:t>
      </w:r>
      <w:r>
        <w:t xml:space="preserve"> </w:t>
      </w:r>
      <w:r w:rsidRPr="00251343">
        <w:t>činnosti</w:t>
      </w:r>
      <w:r>
        <w:t xml:space="preserve"> </w:t>
      </w:r>
      <w:r w:rsidRPr="00251343">
        <w:t>burzy,</w:t>
      </w:r>
      <w:r>
        <w:t xml:space="preserve"> </w:t>
      </w:r>
      <w:r w:rsidRPr="00251343">
        <w:t>podložený</w:t>
      </w:r>
      <w:r>
        <w:t xml:space="preserve"> </w:t>
      </w:r>
      <w:r w:rsidRPr="00251343">
        <w:t>reálnými</w:t>
      </w:r>
      <w:r>
        <w:t xml:space="preserve"> </w:t>
      </w:r>
      <w:r w:rsidRPr="00251343">
        <w:t>ekonomickými</w:t>
      </w:r>
      <w:r>
        <w:t xml:space="preserve"> </w:t>
      </w:r>
      <w:r w:rsidRPr="00251343">
        <w:t>propočty,</w:t>
      </w:r>
    </w:p>
    <w:p w14:paraId="3D67D71E" w14:textId="7087CC58" w:rsidR="001B4020" w:rsidRPr="00251343" w:rsidRDefault="001B4020" w:rsidP="002A3706">
      <w:pPr>
        <w:pStyle w:val="Textparagrafu"/>
        <w:tabs>
          <w:tab w:val="left" w:pos="392"/>
          <w:tab w:val="left" w:pos="851"/>
        </w:tabs>
        <w:spacing w:before="0"/>
        <w:ind w:left="426" w:firstLine="0"/>
      </w:pPr>
      <w:r w:rsidRPr="00251343">
        <w:t>3.</w:t>
      </w:r>
      <w:r w:rsidR="0092703E">
        <w:tab/>
      </w:r>
      <w:r w:rsidRPr="00251343">
        <w:t>návrh</w:t>
      </w:r>
      <w:r>
        <w:t xml:space="preserve"> </w:t>
      </w:r>
      <w:r w:rsidRPr="00251343">
        <w:t>technického</w:t>
      </w:r>
      <w:r>
        <w:t xml:space="preserve"> </w:t>
      </w:r>
      <w:r w:rsidRPr="00251343">
        <w:t>zabezpečení</w:t>
      </w:r>
      <w:r>
        <w:t xml:space="preserve"> </w:t>
      </w:r>
      <w:r w:rsidRPr="00251343">
        <w:t>činností</w:t>
      </w:r>
      <w:r>
        <w:t xml:space="preserve"> </w:t>
      </w:r>
      <w:r w:rsidRPr="00251343">
        <w:t>burzy,</w:t>
      </w:r>
    </w:p>
    <w:p w14:paraId="53B47EFA" w14:textId="16DE098D" w:rsidR="001B4020" w:rsidRDefault="001B4020" w:rsidP="002A3706">
      <w:pPr>
        <w:pStyle w:val="Textparagrafu"/>
        <w:tabs>
          <w:tab w:val="left" w:pos="392"/>
          <w:tab w:val="left" w:pos="851"/>
        </w:tabs>
        <w:spacing w:before="0"/>
        <w:ind w:left="851" w:hanging="425"/>
      </w:pPr>
      <w:r w:rsidRPr="00251343">
        <w:t>4.</w:t>
      </w:r>
      <w:r w:rsidR="0092703E">
        <w:tab/>
      </w:r>
      <w:r w:rsidRPr="00251343">
        <w:t>návrh</w:t>
      </w:r>
      <w:r>
        <w:t xml:space="preserve"> </w:t>
      </w:r>
      <w:r w:rsidRPr="00251343">
        <w:t>organizační</w:t>
      </w:r>
      <w:r>
        <w:t xml:space="preserve"> </w:t>
      </w:r>
      <w:r w:rsidRPr="00251343">
        <w:t>struktury</w:t>
      </w:r>
      <w:r>
        <w:t xml:space="preserve"> </w:t>
      </w:r>
      <w:r w:rsidRPr="00251343">
        <w:t>burzy</w:t>
      </w:r>
      <w:r>
        <w:t xml:space="preserve"> </w:t>
      </w:r>
      <w:r w:rsidRPr="00251343">
        <w:t>a</w:t>
      </w:r>
      <w:r>
        <w:t xml:space="preserve"> </w:t>
      </w:r>
      <w:r w:rsidRPr="00251343">
        <w:t>předpokládaného</w:t>
      </w:r>
      <w:r>
        <w:t xml:space="preserve"> </w:t>
      </w:r>
      <w:r w:rsidRPr="00251343">
        <w:t>počtu</w:t>
      </w:r>
      <w:r>
        <w:t xml:space="preserve"> </w:t>
      </w:r>
      <w:r w:rsidRPr="00251343">
        <w:t>zaměstnanců,</w:t>
      </w:r>
      <w:r>
        <w:t xml:space="preserve"> </w:t>
      </w:r>
      <w:r w:rsidRPr="00251343">
        <w:t>kteří</w:t>
      </w:r>
      <w:r>
        <w:t xml:space="preserve"> </w:t>
      </w:r>
      <w:r w:rsidRPr="00251343">
        <w:t>budou</w:t>
      </w:r>
      <w:r>
        <w:t xml:space="preserve"> </w:t>
      </w:r>
      <w:r w:rsidRPr="00251343">
        <w:t>zabezpečovat</w:t>
      </w:r>
      <w:r>
        <w:t xml:space="preserve"> </w:t>
      </w:r>
      <w:r w:rsidRPr="00251343">
        <w:t>jednotlivé</w:t>
      </w:r>
      <w:r>
        <w:t xml:space="preserve"> </w:t>
      </w:r>
      <w:r w:rsidRPr="00251343">
        <w:t>činnosti</w:t>
      </w:r>
      <w:r>
        <w:t xml:space="preserve"> </w:t>
      </w:r>
      <w:r w:rsidRPr="00251343">
        <w:t>burzy,</w:t>
      </w:r>
    </w:p>
    <w:p w14:paraId="4E7817EF" w14:textId="44583D69" w:rsidR="001B4020" w:rsidRDefault="001B4020" w:rsidP="00D41C2D">
      <w:pPr>
        <w:pStyle w:val="Textparagrafu"/>
        <w:numPr>
          <w:ilvl w:val="0"/>
          <w:numId w:val="28"/>
        </w:numPr>
        <w:tabs>
          <w:tab w:val="left" w:pos="392"/>
        </w:tabs>
        <w:spacing w:before="0"/>
        <w:ind w:left="425" w:hanging="425"/>
      </w:pPr>
      <w:r w:rsidRPr="00251343">
        <w:t>h)</w:t>
      </w:r>
      <w:r w:rsidR="0092703E">
        <w:tab/>
      </w:r>
      <w:r w:rsidRPr="00251343">
        <w:t>pokud</w:t>
      </w:r>
      <w:r>
        <w:t xml:space="preserve"> </w:t>
      </w:r>
      <w:r w:rsidRPr="00251343">
        <w:t>se</w:t>
      </w:r>
      <w:r>
        <w:t xml:space="preserve"> </w:t>
      </w:r>
      <w:r w:rsidRPr="00251343">
        <w:t>jedná</w:t>
      </w:r>
      <w:r>
        <w:t xml:space="preserve"> </w:t>
      </w:r>
      <w:r w:rsidRPr="00251343">
        <w:t>o</w:t>
      </w:r>
      <w:r>
        <w:t xml:space="preserve"> </w:t>
      </w:r>
      <w:r w:rsidRPr="00251343">
        <w:t>zahraniční</w:t>
      </w:r>
      <w:r>
        <w:t xml:space="preserve"> </w:t>
      </w:r>
      <w:r w:rsidRPr="00251343">
        <w:t>osobu,</w:t>
      </w:r>
      <w:r>
        <w:t xml:space="preserve"> </w:t>
      </w:r>
      <w:r w:rsidRPr="00251343">
        <w:t>doklady</w:t>
      </w:r>
      <w:r>
        <w:t xml:space="preserve"> </w:t>
      </w:r>
      <w:r w:rsidRPr="00251343">
        <w:t>uvedené</w:t>
      </w:r>
      <w:r>
        <w:t xml:space="preserve"> </w:t>
      </w:r>
      <w:r w:rsidRPr="00251343">
        <w:t>v</w:t>
      </w:r>
      <w:r>
        <w:t xml:space="preserve"> </w:t>
      </w:r>
      <w:r w:rsidRPr="00251343">
        <w:t>§</w:t>
      </w:r>
      <w:r>
        <w:t xml:space="preserve"> </w:t>
      </w:r>
      <w:r w:rsidRPr="00251343">
        <w:t>5a</w:t>
      </w:r>
      <w:r>
        <w:t xml:space="preserve"> </w:t>
      </w:r>
      <w:r w:rsidRPr="00251343">
        <w:t>odst.</w:t>
      </w:r>
      <w:r>
        <w:t xml:space="preserve"> </w:t>
      </w:r>
      <w:r w:rsidRPr="00251343">
        <w:t>3.</w:t>
      </w:r>
    </w:p>
    <w:p w14:paraId="703B00DD" w14:textId="77777777" w:rsidR="001B4020" w:rsidRDefault="001B4020" w:rsidP="00D41C2D">
      <w:pPr>
        <w:pStyle w:val="Textparagrafu"/>
        <w:numPr>
          <w:ilvl w:val="0"/>
          <w:numId w:val="28"/>
        </w:numPr>
        <w:spacing w:before="120" w:after="120"/>
        <w:ind w:firstLine="425"/>
      </w:pPr>
      <w:r w:rsidRPr="00251343">
        <w:t>(5)</w:t>
      </w:r>
      <w:r>
        <w:t xml:space="preserve"> </w:t>
      </w:r>
      <w:r w:rsidRPr="00251343">
        <w:t>Povolení</w:t>
      </w:r>
      <w:r>
        <w:t xml:space="preserve"> </w:t>
      </w:r>
      <w:r w:rsidRPr="00251343">
        <w:t>je</w:t>
      </w:r>
      <w:r>
        <w:t xml:space="preserve"> </w:t>
      </w:r>
      <w:r w:rsidRPr="00251343">
        <w:t>třeba</w:t>
      </w:r>
      <w:r>
        <w:t xml:space="preserve"> </w:t>
      </w:r>
      <w:r w:rsidRPr="00251343">
        <w:t>též</w:t>
      </w:r>
      <w:r>
        <w:t xml:space="preserve"> </w:t>
      </w:r>
      <w:r w:rsidRPr="00251343">
        <w:t>k</w:t>
      </w:r>
      <w:r>
        <w:t xml:space="preserve"> </w:t>
      </w:r>
      <w:r w:rsidRPr="00251343">
        <w:t>návrhu</w:t>
      </w:r>
      <w:r>
        <w:t xml:space="preserve"> </w:t>
      </w:r>
      <w:r w:rsidRPr="00251343">
        <w:t>na</w:t>
      </w:r>
      <w:r>
        <w:t xml:space="preserve"> </w:t>
      </w:r>
      <w:r w:rsidRPr="00251343">
        <w:t>změnu</w:t>
      </w:r>
      <w:r>
        <w:t xml:space="preserve"> </w:t>
      </w:r>
      <w:r w:rsidRPr="00251343">
        <w:t>názvu</w:t>
      </w:r>
      <w:r>
        <w:t xml:space="preserve"> </w:t>
      </w:r>
      <w:r w:rsidRPr="00251343">
        <w:t>burzy,</w:t>
      </w:r>
      <w:r>
        <w:t xml:space="preserve"> </w:t>
      </w:r>
      <w:r w:rsidRPr="00251343">
        <w:t>statutu,</w:t>
      </w:r>
      <w:r>
        <w:t xml:space="preserve"> </w:t>
      </w:r>
      <w:r w:rsidRPr="00251343">
        <w:t>řádu</w:t>
      </w:r>
      <w:r>
        <w:t xml:space="preserve"> </w:t>
      </w:r>
      <w:r w:rsidRPr="00251343">
        <w:t>burzovního</w:t>
      </w:r>
      <w:r>
        <w:t xml:space="preserve"> </w:t>
      </w:r>
      <w:r w:rsidRPr="00251343">
        <w:t>rozhodčího</w:t>
      </w:r>
      <w:r>
        <w:t xml:space="preserve"> </w:t>
      </w:r>
      <w:r w:rsidRPr="00251343">
        <w:t>soudu</w:t>
      </w:r>
      <w:r>
        <w:t xml:space="preserve"> </w:t>
      </w:r>
      <w:r w:rsidRPr="00251343">
        <w:t>a</w:t>
      </w:r>
      <w:r>
        <w:t xml:space="preserve"> </w:t>
      </w:r>
      <w:r w:rsidRPr="00251343">
        <w:t>na</w:t>
      </w:r>
      <w:r>
        <w:t xml:space="preserve"> </w:t>
      </w:r>
      <w:r w:rsidRPr="00251343">
        <w:t>přijetí</w:t>
      </w:r>
      <w:r>
        <w:t xml:space="preserve"> </w:t>
      </w:r>
      <w:r w:rsidRPr="00251343">
        <w:t>za</w:t>
      </w:r>
      <w:r>
        <w:t xml:space="preserve"> </w:t>
      </w:r>
      <w:r w:rsidRPr="00251343">
        <w:t>člena</w:t>
      </w:r>
      <w:r>
        <w:t xml:space="preserve"> </w:t>
      </w:r>
      <w:r w:rsidRPr="00251343">
        <w:t>burzy,</w:t>
      </w:r>
      <w:r>
        <w:t xml:space="preserve"> </w:t>
      </w:r>
      <w:r w:rsidRPr="00251343">
        <w:t>s</w:t>
      </w:r>
      <w:r>
        <w:t xml:space="preserve"> </w:t>
      </w:r>
      <w:r w:rsidRPr="00251343">
        <w:t>výjimkou</w:t>
      </w:r>
      <w:r>
        <w:t xml:space="preserve"> </w:t>
      </w:r>
      <w:r w:rsidRPr="00251343">
        <w:t>člena</w:t>
      </w:r>
      <w:r>
        <w:t xml:space="preserve"> </w:t>
      </w:r>
      <w:r w:rsidRPr="00251343">
        <w:t>burzy</w:t>
      </w:r>
      <w:r>
        <w:t xml:space="preserve"> </w:t>
      </w:r>
      <w:r w:rsidRPr="00251343">
        <w:t>podle</w:t>
      </w:r>
      <w:r>
        <w:t xml:space="preserve"> </w:t>
      </w:r>
      <w:r w:rsidRPr="00251343">
        <w:t>§</w:t>
      </w:r>
      <w:r>
        <w:t xml:space="preserve"> </w:t>
      </w:r>
      <w:r w:rsidRPr="00251343">
        <w:t>17</w:t>
      </w:r>
      <w:r>
        <w:t xml:space="preserve"> </w:t>
      </w:r>
      <w:r w:rsidRPr="00251343">
        <w:t>odst.</w:t>
      </w:r>
      <w:r>
        <w:t xml:space="preserve"> </w:t>
      </w:r>
      <w:r w:rsidRPr="00251343">
        <w:t>1</w:t>
      </w:r>
      <w:r>
        <w:t xml:space="preserve"> </w:t>
      </w:r>
      <w:r w:rsidRPr="00251343">
        <w:t>písm.</w:t>
      </w:r>
      <w:r>
        <w:t xml:space="preserve"> </w:t>
      </w:r>
      <w:r w:rsidRPr="00251343">
        <w:t>b),</w:t>
      </w:r>
      <w:r>
        <w:t xml:space="preserve"> </w:t>
      </w:r>
      <w:r w:rsidRPr="00251343">
        <w:t>jinak</w:t>
      </w:r>
      <w:r>
        <w:t xml:space="preserve"> </w:t>
      </w:r>
      <w:r w:rsidRPr="00251343">
        <w:t>jsou</w:t>
      </w:r>
      <w:r>
        <w:t xml:space="preserve"> </w:t>
      </w:r>
      <w:r w:rsidRPr="00251343">
        <w:t>změny</w:t>
      </w:r>
      <w:r>
        <w:t xml:space="preserve"> </w:t>
      </w:r>
      <w:r w:rsidRPr="00251343">
        <w:t>nebo</w:t>
      </w:r>
      <w:r>
        <w:t xml:space="preserve"> </w:t>
      </w:r>
      <w:r w:rsidRPr="00251343">
        <w:t>vznik</w:t>
      </w:r>
      <w:r>
        <w:t xml:space="preserve"> </w:t>
      </w:r>
      <w:r w:rsidRPr="00251343">
        <w:t>členství</w:t>
      </w:r>
      <w:r>
        <w:t xml:space="preserve"> </w:t>
      </w:r>
      <w:r w:rsidRPr="00251343">
        <w:t>neplatné.</w:t>
      </w:r>
      <w:r>
        <w:t xml:space="preserve"> </w:t>
      </w:r>
      <w:r w:rsidRPr="00251343">
        <w:t>K</w:t>
      </w:r>
      <w:r>
        <w:t xml:space="preserve"> </w:t>
      </w:r>
      <w:r w:rsidRPr="00251343">
        <w:t>žádosti</w:t>
      </w:r>
      <w:r>
        <w:t xml:space="preserve"> </w:t>
      </w:r>
      <w:r w:rsidRPr="00251343">
        <w:t>o</w:t>
      </w:r>
      <w:r>
        <w:t xml:space="preserve"> </w:t>
      </w:r>
      <w:r w:rsidRPr="00251343">
        <w:t>povolení</w:t>
      </w:r>
      <w:r>
        <w:t xml:space="preserve"> </w:t>
      </w:r>
      <w:r w:rsidRPr="00251343">
        <w:t>změny</w:t>
      </w:r>
      <w:r>
        <w:t xml:space="preserve"> </w:t>
      </w:r>
      <w:r w:rsidRPr="00251343">
        <w:t>názvu</w:t>
      </w:r>
      <w:r>
        <w:t xml:space="preserve"> </w:t>
      </w:r>
      <w:r w:rsidRPr="00251343">
        <w:t>nebo</w:t>
      </w:r>
      <w:r>
        <w:t xml:space="preserve"> </w:t>
      </w:r>
      <w:r w:rsidRPr="00251343">
        <w:t>statutu</w:t>
      </w:r>
      <w:r>
        <w:t xml:space="preserve"> </w:t>
      </w:r>
      <w:r w:rsidRPr="00251343">
        <w:t>burza</w:t>
      </w:r>
      <w:r>
        <w:t xml:space="preserve"> </w:t>
      </w:r>
      <w:r w:rsidRPr="00251343">
        <w:t>přiloží</w:t>
      </w:r>
      <w:r>
        <w:t xml:space="preserve"> </w:t>
      </w:r>
      <w:r w:rsidRPr="00251343">
        <w:t>usnesení</w:t>
      </w:r>
      <w:r>
        <w:t xml:space="preserve"> </w:t>
      </w:r>
      <w:r w:rsidRPr="00251343">
        <w:t>valné</w:t>
      </w:r>
      <w:r>
        <w:t xml:space="preserve"> </w:t>
      </w:r>
      <w:r w:rsidRPr="00251343">
        <w:t>hromady</w:t>
      </w:r>
      <w:r>
        <w:t xml:space="preserve"> </w:t>
      </w:r>
      <w:r w:rsidRPr="00251343">
        <w:t>o</w:t>
      </w:r>
      <w:r>
        <w:t xml:space="preserve"> </w:t>
      </w:r>
      <w:r w:rsidRPr="00251343">
        <w:t>změně</w:t>
      </w:r>
      <w:r>
        <w:t xml:space="preserve"> </w:t>
      </w:r>
      <w:r w:rsidRPr="00251343">
        <w:t>statutu</w:t>
      </w:r>
      <w:r>
        <w:t xml:space="preserve"> </w:t>
      </w:r>
      <w:r w:rsidRPr="00251343">
        <w:t>a</w:t>
      </w:r>
      <w:r>
        <w:t xml:space="preserve"> </w:t>
      </w:r>
      <w:r w:rsidRPr="00251343">
        <w:t>nové</w:t>
      </w:r>
      <w:r>
        <w:t xml:space="preserve"> </w:t>
      </w:r>
      <w:r w:rsidRPr="00251343">
        <w:t>znění</w:t>
      </w:r>
      <w:r>
        <w:t xml:space="preserve"> </w:t>
      </w:r>
      <w:r w:rsidRPr="00251343">
        <w:t>statutu.</w:t>
      </w:r>
      <w:r>
        <w:t xml:space="preserve"> </w:t>
      </w:r>
      <w:r w:rsidRPr="00251343">
        <w:t>K</w:t>
      </w:r>
      <w:r>
        <w:t xml:space="preserve"> </w:t>
      </w:r>
      <w:r w:rsidRPr="00251343">
        <w:t>žádosti</w:t>
      </w:r>
      <w:r>
        <w:t xml:space="preserve"> </w:t>
      </w:r>
      <w:r w:rsidRPr="00251343">
        <w:t>o</w:t>
      </w:r>
      <w:r>
        <w:t xml:space="preserve"> </w:t>
      </w:r>
      <w:r w:rsidRPr="00251343">
        <w:t>povolení</w:t>
      </w:r>
      <w:r>
        <w:t xml:space="preserve"> </w:t>
      </w:r>
      <w:r w:rsidRPr="00251343">
        <w:t>změny</w:t>
      </w:r>
      <w:r>
        <w:t xml:space="preserve"> </w:t>
      </w:r>
      <w:r w:rsidRPr="00251343">
        <w:t>řádu</w:t>
      </w:r>
      <w:r>
        <w:t xml:space="preserve"> </w:t>
      </w:r>
      <w:r w:rsidRPr="00251343">
        <w:t>burzovního</w:t>
      </w:r>
      <w:r>
        <w:t xml:space="preserve"> </w:t>
      </w:r>
      <w:r w:rsidRPr="00251343">
        <w:t>rozhodčího</w:t>
      </w:r>
      <w:r>
        <w:t xml:space="preserve"> </w:t>
      </w:r>
      <w:r w:rsidRPr="00251343">
        <w:t>soudu</w:t>
      </w:r>
      <w:r>
        <w:t xml:space="preserve"> </w:t>
      </w:r>
      <w:r w:rsidRPr="00251343">
        <w:t>burza</w:t>
      </w:r>
      <w:r>
        <w:t xml:space="preserve"> </w:t>
      </w:r>
      <w:r w:rsidRPr="00251343">
        <w:t>přiloží</w:t>
      </w:r>
      <w:r>
        <w:t xml:space="preserve"> </w:t>
      </w:r>
      <w:r w:rsidRPr="00251343">
        <w:t>usnesení</w:t>
      </w:r>
      <w:r>
        <w:t xml:space="preserve"> </w:t>
      </w:r>
      <w:r w:rsidRPr="00251343">
        <w:t>valné</w:t>
      </w:r>
      <w:r>
        <w:t xml:space="preserve"> </w:t>
      </w:r>
      <w:r w:rsidRPr="00251343">
        <w:t>hromady</w:t>
      </w:r>
      <w:r>
        <w:t xml:space="preserve"> </w:t>
      </w:r>
      <w:r w:rsidRPr="00251343">
        <w:t>o</w:t>
      </w:r>
      <w:r>
        <w:t xml:space="preserve"> </w:t>
      </w:r>
      <w:r w:rsidRPr="00251343">
        <w:t>změně</w:t>
      </w:r>
      <w:r>
        <w:t xml:space="preserve"> </w:t>
      </w:r>
      <w:r w:rsidRPr="00251343">
        <w:t>řádu</w:t>
      </w:r>
      <w:r>
        <w:t xml:space="preserve"> </w:t>
      </w:r>
      <w:r w:rsidRPr="00251343">
        <w:t>burzovního</w:t>
      </w:r>
      <w:r>
        <w:t xml:space="preserve"> </w:t>
      </w:r>
      <w:r w:rsidRPr="00251343">
        <w:t>rozhodčího</w:t>
      </w:r>
      <w:r>
        <w:t xml:space="preserve"> </w:t>
      </w:r>
      <w:r w:rsidRPr="00251343">
        <w:t>soudu</w:t>
      </w:r>
      <w:r>
        <w:t xml:space="preserve"> </w:t>
      </w:r>
      <w:r w:rsidRPr="00251343">
        <w:t>a</w:t>
      </w:r>
      <w:r>
        <w:t xml:space="preserve"> </w:t>
      </w:r>
      <w:r w:rsidRPr="00251343">
        <w:t>nové</w:t>
      </w:r>
      <w:r>
        <w:t xml:space="preserve"> </w:t>
      </w:r>
      <w:r w:rsidRPr="00251343">
        <w:t>znění</w:t>
      </w:r>
      <w:r>
        <w:t xml:space="preserve"> </w:t>
      </w:r>
      <w:r w:rsidRPr="00251343">
        <w:t>řádu</w:t>
      </w:r>
      <w:r>
        <w:t xml:space="preserve"> </w:t>
      </w:r>
      <w:r w:rsidRPr="00251343">
        <w:t>burzovního</w:t>
      </w:r>
      <w:r>
        <w:t xml:space="preserve"> </w:t>
      </w:r>
      <w:r w:rsidRPr="00251343">
        <w:t>rozhodčího</w:t>
      </w:r>
      <w:r>
        <w:t xml:space="preserve"> </w:t>
      </w:r>
      <w:r w:rsidRPr="00251343">
        <w:t>soudu.</w:t>
      </w:r>
      <w:r>
        <w:t xml:space="preserve"> </w:t>
      </w:r>
      <w:r w:rsidRPr="00251343">
        <w:t>K</w:t>
      </w:r>
      <w:r>
        <w:t xml:space="preserve"> </w:t>
      </w:r>
      <w:r w:rsidRPr="00251343">
        <w:t>žádosti</w:t>
      </w:r>
      <w:r>
        <w:t xml:space="preserve"> </w:t>
      </w:r>
      <w:r w:rsidRPr="00251343">
        <w:t>o</w:t>
      </w:r>
      <w:r>
        <w:t xml:space="preserve"> </w:t>
      </w:r>
      <w:r w:rsidRPr="00251343">
        <w:t>povolení</w:t>
      </w:r>
      <w:r>
        <w:t xml:space="preserve"> </w:t>
      </w:r>
      <w:r w:rsidRPr="00251343">
        <w:t>vzniku</w:t>
      </w:r>
      <w:r>
        <w:t xml:space="preserve"> </w:t>
      </w:r>
      <w:r w:rsidRPr="00251343">
        <w:t>členství</w:t>
      </w:r>
      <w:r>
        <w:t xml:space="preserve"> </w:t>
      </w:r>
      <w:r w:rsidRPr="00251343">
        <w:t>na</w:t>
      </w:r>
      <w:r>
        <w:t xml:space="preserve"> </w:t>
      </w:r>
      <w:r w:rsidRPr="00251343">
        <w:t>burze</w:t>
      </w:r>
      <w:r>
        <w:t xml:space="preserve"> </w:t>
      </w:r>
      <w:r w:rsidRPr="00251343">
        <w:t>burza</w:t>
      </w:r>
      <w:r>
        <w:t xml:space="preserve"> </w:t>
      </w:r>
      <w:r w:rsidRPr="00251343">
        <w:t>přiloží</w:t>
      </w:r>
      <w:r>
        <w:t xml:space="preserve"> </w:t>
      </w:r>
      <w:r w:rsidRPr="00251343">
        <w:t>rozhodnutí</w:t>
      </w:r>
      <w:r>
        <w:t xml:space="preserve"> </w:t>
      </w:r>
      <w:r w:rsidRPr="00251343">
        <w:t>burzovní</w:t>
      </w:r>
      <w:r>
        <w:t xml:space="preserve"> </w:t>
      </w:r>
      <w:r w:rsidRPr="00251343">
        <w:t>komory</w:t>
      </w:r>
      <w:r>
        <w:t xml:space="preserve"> </w:t>
      </w:r>
      <w:r w:rsidRPr="00251343">
        <w:t>o</w:t>
      </w:r>
      <w:r>
        <w:t xml:space="preserve"> </w:t>
      </w:r>
      <w:r w:rsidRPr="00251343">
        <w:t>přijetí</w:t>
      </w:r>
      <w:r>
        <w:t xml:space="preserve"> </w:t>
      </w:r>
      <w:r w:rsidRPr="00251343">
        <w:t>člena</w:t>
      </w:r>
      <w:r>
        <w:t xml:space="preserve"> </w:t>
      </w:r>
      <w:r w:rsidRPr="00251343">
        <w:t>burzy</w:t>
      </w:r>
      <w:r>
        <w:t xml:space="preserve"> </w:t>
      </w:r>
      <w:r w:rsidRPr="00251343">
        <w:t>a</w:t>
      </w:r>
      <w:r>
        <w:t xml:space="preserve"> </w:t>
      </w:r>
      <w:r w:rsidRPr="00251343">
        <w:t>doklady</w:t>
      </w:r>
      <w:r>
        <w:t xml:space="preserve"> </w:t>
      </w:r>
      <w:r w:rsidRPr="00251343">
        <w:t>podle</w:t>
      </w:r>
      <w:r>
        <w:t xml:space="preserve"> </w:t>
      </w:r>
      <w:r w:rsidRPr="00251343">
        <w:t>odstavce</w:t>
      </w:r>
      <w:r>
        <w:t xml:space="preserve"> </w:t>
      </w:r>
      <w:r w:rsidRPr="00251343">
        <w:t>4</w:t>
      </w:r>
      <w:r>
        <w:t xml:space="preserve"> </w:t>
      </w:r>
      <w:r w:rsidRPr="00251343">
        <w:t>písm.</w:t>
      </w:r>
      <w:r>
        <w:t xml:space="preserve"> </w:t>
      </w:r>
      <w:r w:rsidRPr="00251343">
        <w:t>d),</w:t>
      </w:r>
      <w:r>
        <w:t xml:space="preserve"> </w:t>
      </w:r>
      <w:r w:rsidRPr="00251343">
        <w:t>e),</w:t>
      </w:r>
      <w:r>
        <w:t xml:space="preserve"> </w:t>
      </w:r>
      <w:r w:rsidRPr="00251343">
        <w:t>f)</w:t>
      </w:r>
      <w:r>
        <w:t xml:space="preserve"> </w:t>
      </w:r>
      <w:r w:rsidRPr="00251343">
        <w:t>a</w:t>
      </w:r>
      <w:r>
        <w:t xml:space="preserve"> </w:t>
      </w:r>
      <w:r w:rsidRPr="00251343">
        <w:t>h).</w:t>
      </w:r>
    </w:p>
    <w:p w14:paraId="229D24B5" w14:textId="77777777" w:rsidR="001B4020" w:rsidRPr="00251343" w:rsidRDefault="001B4020" w:rsidP="00D41C2D">
      <w:pPr>
        <w:pStyle w:val="Textparagrafu"/>
        <w:numPr>
          <w:ilvl w:val="0"/>
          <w:numId w:val="28"/>
        </w:numPr>
        <w:spacing w:before="120" w:after="120"/>
        <w:ind w:firstLine="425"/>
      </w:pPr>
      <w:r w:rsidRPr="00251343">
        <w:t>(6)</w:t>
      </w:r>
      <w:r>
        <w:t xml:space="preserve"> </w:t>
      </w:r>
      <w:r w:rsidRPr="00251343">
        <w:t>Burza</w:t>
      </w:r>
      <w:r>
        <w:t xml:space="preserve"> </w:t>
      </w:r>
      <w:r w:rsidRPr="00251343">
        <w:t>může</w:t>
      </w:r>
      <w:r>
        <w:t xml:space="preserve"> </w:t>
      </w:r>
      <w:r w:rsidRPr="00251343">
        <w:t>za</w:t>
      </w:r>
      <w:r>
        <w:t xml:space="preserve"> </w:t>
      </w:r>
      <w:r w:rsidRPr="00251343">
        <w:t>podmínek</w:t>
      </w:r>
      <w:r>
        <w:t xml:space="preserve"> </w:t>
      </w:r>
      <w:r w:rsidRPr="00251343">
        <w:t>stanovených</w:t>
      </w:r>
      <w:r>
        <w:t xml:space="preserve"> </w:t>
      </w:r>
      <w:r w:rsidRPr="00251343">
        <w:t>zvláštním</w:t>
      </w:r>
      <w:r>
        <w:t xml:space="preserve"> </w:t>
      </w:r>
      <w:r w:rsidRPr="00251343">
        <w:t>právním</w:t>
      </w:r>
      <w:r>
        <w:t xml:space="preserve"> </w:t>
      </w:r>
      <w:r w:rsidRPr="00251343">
        <w:t>předpisem</w:t>
      </w:r>
      <w:r>
        <w:t xml:space="preserve"> </w:t>
      </w:r>
      <w:r w:rsidRPr="00251343">
        <w:t>organizovat</w:t>
      </w:r>
      <w:r>
        <w:t xml:space="preserve"> </w:t>
      </w:r>
      <w:r w:rsidRPr="00251343">
        <w:t>regulovaný</w:t>
      </w:r>
      <w:r>
        <w:t xml:space="preserve"> </w:t>
      </w:r>
      <w:r w:rsidRPr="00251343">
        <w:t>trh</w:t>
      </w:r>
      <w:r>
        <w:t xml:space="preserve"> </w:t>
      </w:r>
      <w:r w:rsidRPr="00251343">
        <w:t>a</w:t>
      </w:r>
      <w:r>
        <w:t xml:space="preserve"> </w:t>
      </w:r>
      <w:r w:rsidRPr="00251343">
        <w:t>provozovat</w:t>
      </w:r>
      <w:r>
        <w:t xml:space="preserve"> </w:t>
      </w:r>
      <w:r w:rsidRPr="00251343">
        <w:t>mnohostranný</w:t>
      </w:r>
      <w:r>
        <w:t xml:space="preserve"> </w:t>
      </w:r>
      <w:r w:rsidRPr="00251343">
        <w:t>obchodní</w:t>
      </w:r>
      <w:r>
        <w:t xml:space="preserve"> </w:t>
      </w:r>
      <w:r w:rsidRPr="00251343">
        <w:t>systém</w:t>
      </w:r>
      <w:r>
        <w:t xml:space="preserve"> </w:t>
      </w:r>
      <w:r w:rsidRPr="00251343">
        <w:t>podle</w:t>
      </w:r>
      <w:r>
        <w:t xml:space="preserve"> </w:t>
      </w:r>
      <w:r w:rsidRPr="00251343">
        <w:t>zvláštního</w:t>
      </w:r>
      <w:r>
        <w:t xml:space="preserve"> </w:t>
      </w:r>
      <w:r w:rsidRPr="00251343">
        <w:t>právního</w:t>
      </w:r>
      <w:r>
        <w:t xml:space="preserve"> </w:t>
      </w:r>
      <w:r w:rsidRPr="00251343">
        <w:t>předpisu</w:t>
      </w:r>
      <w:r>
        <w:t xml:space="preserve"> </w:t>
      </w:r>
      <w:r w:rsidRPr="00251343">
        <w:t>s</w:t>
      </w:r>
      <w:r>
        <w:t xml:space="preserve"> </w:t>
      </w:r>
      <w:r w:rsidRPr="00251343">
        <w:t>komoditními</w:t>
      </w:r>
      <w:r>
        <w:t xml:space="preserve"> </w:t>
      </w:r>
      <w:r w:rsidRPr="00251343">
        <w:t>deriváty,</w:t>
      </w:r>
      <w:r>
        <w:t xml:space="preserve"> </w:t>
      </w:r>
      <w:r w:rsidRPr="00251343">
        <w:t>které</w:t>
      </w:r>
      <w:r>
        <w:t xml:space="preserve"> </w:t>
      </w:r>
      <w:r w:rsidRPr="00251343">
        <w:t>jsou</w:t>
      </w:r>
      <w:r>
        <w:t xml:space="preserve"> </w:t>
      </w:r>
      <w:r w:rsidRPr="00251343">
        <w:t>investičním</w:t>
      </w:r>
      <w:r>
        <w:t xml:space="preserve"> </w:t>
      </w:r>
      <w:r w:rsidRPr="00251343">
        <w:t>nástrojem</w:t>
      </w:r>
      <w:r>
        <w:t xml:space="preserve"> </w:t>
      </w:r>
      <w:r w:rsidRPr="00251343">
        <w:t>podle</w:t>
      </w:r>
      <w:r>
        <w:t xml:space="preserve"> </w:t>
      </w:r>
      <w:r w:rsidRPr="00251343">
        <w:t>zvláštního</w:t>
      </w:r>
      <w:r>
        <w:t xml:space="preserve"> </w:t>
      </w:r>
      <w:r w:rsidRPr="00251343">
        <w:t>právního</w:t>
      </w:r>
      <w:r>
        <w:t xml:space="preserve"> </w:t>
      </w:r>
      <w:r w:rsidRPr="00251343">
        <w:t>předpisu</w:t>
      </w:r>
      <w:r w:rsidRPr="001B4020">
        <w:rPr>
          <w:vertAlign w:val="superscript"/>
        </w:rPr>
        <w:t>1)</w:t>
      </w:r>
      <w:r w:rsidRPr="00251343">
        <w:t>.</w:t>
      </w:r>
    </w:p>
    <w:p w14:paraId="426A8347" w14:textId="1203DB75" w:rsidR="001B4020" w:rsidRDefault="001D7E38" w:rsidP="00D41C2D">
      <w:pPr>
        <w:pStyle w:val="Textparagrafu"/>
        <w:keepNext/>
        <w:keepLines/>
        <w:numPr>
          <w:ilvl w:val="0"/>
          <w:numId w:val="28"/>
        </w:numPr>
        <w:jc w:val="center"/>
        <w:rPr>
          <w:b/>
        </w:rPr>
      </w:pPr>
      <w:r>
        <w:rPr>
          <w:b/>
        </w:rPr>
        <w:lastRenderedPageBreak/>
        <w:t>***</w:t>
      </w:r>
    </w:p>
    <w:p w14:paraId="61D8563C" w14:textId="77777777" w:rsidR="00E76AAF" w:rsidRDefault="00E76AAF" w:rsidP="00D41C2D">
      <w:pPr>
        <w:pStyle w:val="Textparagrafu"/>
        <w:keepNext/>
        <w:keepLines/>
        <w:numPr>
          <w:ilvl w:val="0"/>
          <w:numId w:val="28"/>
        </w:numPr>
        <w:jc w:val="center"/>
      </w:pPr>
      <w:r w:rsidRPr="00BA3DB6">
        <w:t>§</w:t>
      </w:r>
      <w:r>
        <w:t xml:space="preserve"> </w:t>
      </w:r>
      <w:r w:rsidRPr="00BA3DB6">
        <w:t>8a</w:t>
      </w:r>
    </w:p>
    <w:p w14:paraId="43713482" w14:textId="77777777" w:rsidR="00E76AAF" w:rsidRPr="00E76AAF" w:rsidRDefault="00E76AAF" w:rsidP="00D41C2D">
      <w:pPr>
        <w:pStyle w:val="Textparagrafu"/>
        <w:keepNext/>
        <w:keepLines/>
        <w:numPr>
          <w:ilvl w:val="0"/>
          <w:numId w:val="28"/>
        </w:numPr>
        <w:jc w:val="center"/>
        <w:rPr>
          <w:b/>
        </w:rPr>
      </w:pPr>
      <w:r w:rsidRPr="00E76AAF">
        <w:rPr>
          <w:b/>
        </w:rPr>
        <w:t>Provoz burzy</w:t>
      </w:r>
    </w:p>
    <w:p w14:paraId="68F82A9A" w14:textId="77777777" w:rsidR="00E76AAF" w:rsidRDefault="00E76AAF" w:rsidP="00D41C2D">
      <w:pPr>
        <w:pStyle w:val="Textparagrafu"/>
        <w:keepNext/>
        <w:keepLines/>
        <w:numPr>
          <w:ilvl w:val="0"/>
          <w:numId w:val="28"/>
        </w:numPr>
        <w:spacing w:after="120"/>
        <w:ind w:firstLine="425"/>
      </w:pPr>
      <w:r w:rsidRPr="00BA3DB6">
        <w:t>(1)</w:t>
      </w:r>
      <w:r>
        <w:t xml:space="preserve"> </w:t>
      </w:r>
      <w:r w:rsidRPr="00BA3DB6">
        <w:t>Burza</w:t>
      </w:r>
      <w:r>
        <w:t xml:space="preserve"> </w:t>
      </w:r>
      <w:r w:rsidRPr="00BA3DB6">
        <w:t>je</w:t>
      </w:r>
      <w:r>
        <w:t xml:space="preserve"> </w:t>
      </w:r>
      <w:r w:rsidRPr="00BA3DB6">
        <w:t>povinna:</w:t>
      </w:r>
    </w:p>
    <w:p w14:paraId="13874BD0" w14:textId="1D4C0ED0" w:rsidR="00E76AAF" w:rsidRDefault="00E76AAF" w:rsidP="00D41C2D">
      <w:pPr>
        <w:pStyle w:val="Textparagrafu"/>
        <w:numPr>
          <w:ilvl w:val="0"/>
          <w:numId w:val="28"/>
        </w:numPr>
        <w:tabs>
          <w:tab w:val="left" w:pos="392"/>
        </w:tabs>
        <w:spacing w:before="0"/>
        <w:ind w:left="425" w:hanging="425"/>
      </w:pPr>
      <w:r w:rsidRPr="00BA3DB6">
        <w:t>a)</w:t>
      </w:r>
      <w:r>
        <w:tab/>
      </w:r>
      <w:r w:rsidRPr="00BA3DB6">
        <w:t>řádně</w:t>
      </w:r>
      <w:r>
        <w:t xml:space="preserve"> </w:t>
      </w:r>
      <w:r w:rsidRPr="00BA3DB6">
        <w:t>a</w:t>
      </w:r>
      <w:r>
        <w:t xml:space="preserve"> </w:t>
      </w:r>
      <w:r w:rsidRPr="00BA3DB6">
        <w:t>průběžně</w:t>
      </w:r>
      <w:r>
        <w:t xml:space="preserve"> </w:t>
      </w:r>
      <w:r w:rsidRPr="00BA3DB6">
        <w:t>organizovat</w:t>
      </w:r>
      <w:r>
        <w:t xml:space="preserve"> </w:t>
      </w:r>
      <w:r w:rsidRPr="00BA3DB6">
        <w:t>burzovní</w:t>
      </w:r>
      <w:r>
        <w:t xml:space="preserve"> </w:t>
      </w:r>
      <w:r w:rsidRPr="00BA3DB6">
        <w:t>obchody</w:t>
      </w:r>
      <w:r>
        <w:t xml:space="preserve"> </w:t>
      </w:r>
      <w:r w:rsidRPr="00BA3DB6">
        <w:t>v</w:t>
      </w:r>
      <w:r>
        <w:t xml:space="preserve"> </w:t>
      </w:r>
      <w:r w:rsidRPr="00BA3DB6">
        <w:t>rozsahu</w:t>
      </w:r>
      <w:r>
        <w:t xml:space="preserve"> </w:t>
      </w:r>
      <w:r w:rsidRPr="00BA3DB6">
        <w:t>uděleného</w:t>
      </w:r>
      <w:r>
        <w:t xml:space="preserve"> </w:t>
      </w:r>
      <w:r w:rsidRPr="00BA3DB6">
        <w:t>povolení,</w:t>
      </w:r>
    </w:p>
    <w:p w14:paraId="48741353" w14:textId="34A11BDB" w:rsidR="00E76AAF" w:rsidRDefault="00E76AAF" w:rsidP="00D41C2D">
      <w:pPr>
        <w:pStyle w:val="Textparagrafu"/>
        <w:numPr>
          <w:ilvl w:val="0"/>
          <w:numId w:val="28"/>
        </w:numPr>
        <w:tabs>
          <w:tab w:val="left" w:pos="392"/>
        </w:tabs>
        <w:spacing w:before="0"/>
        <w:ind w:left="425" w:hanging="425"/>
      </w:pPr>
      <w:r w:rsidRPr="00BA3DB6">
        <w:t>b)</w:t>
      </w:r>
      <w:r>
        <w:tab/>
      </w:r>
      <w:r w:rsidRPr="00BA3DB6">
        <w:t>vést</w:t>
      </w:r>
      <w:r>
        <w:t xml:space="preserve"> </w:t>
      </w:r>
      <w:r w:rsidRPr="00BA3DB6">
        <w:t>seznam</w:t>
      </w:r>
      <w:r>
        <w:t xml:space="preserve"> </w:t>
      </w:r>
      <w:r w:rsidRPr="00BA3DB6">
        <w:t>osob,</w:t>
      </w:r>
      <w:r>
        <w:t xml:space="preserve"> </w:t>
      </w:r>
      <w:r w:rsidRPr="00BA3DB6">
        <w:t>které</w:t>
      </w:r>
      <w:r>
        <w:t xml:space="preserve"> </w:t>
      </w:r>
      <w:r w:rsidRPr="00BA3DB6">
        <w:t>pro</w:t>
      </w:r>
      <w:r>
        <w:t xml:space="preserve"> </w:t>
      </w:r>
      <w:r w:rsidRPr="00BA3DB6">
        <w:t>burzu</w:t>
      </w:r>
      <w:r>
        <w:t xml:space="preserve"> </w:t>
      </w:r>
      <w:r w:rsidRPr="00BA3DB6">
        <w:t>vykonávají</w:t>
      </w:r>
      <w:r>
        <w:t xml:space="preserve"> </w:t>
      </w:r>
      <w:r w:rsidRPr="00BA3DB6">
        <w:t>činnost</w:t>
      </w:r>
      <w:r>
        <w:t xml:space="preserve"> </w:t>
      </w:r>
      <w:r w:rsidRPr="00BA3DB6">
        <w:t>a</w:t>
      </w:r>
      <w:r>
        <w:t xml:space="preserve"> </w:t>
      </w:r>
      <w:r w:rsidRPr="00BA3DB6">
        <w:t>mají</w:t>
      </w:r>
      <w:r>
        <w:t xml:space="preserve"> </w:t>
      </w:r>
      <w:r w:rsidRPr="00BA3DB6">
        <w:t>přístup</w:t>
      </w:r>
      <w:r>
        <w:t xml:space="preserve"> </w:t>
      </w:r>
      <w:r w:rsidRPr="00BA3DB6">
        <w:t>k</w:t>
      </w:r>
      <w:r>
        <w:t xml:space="preserve"> </w:t>
      </w:r>
      <w:r w:rsidRPr="00BA3DB6">
        <w:t>informacím</w:t>
      </w:r>
      <w:r>
        <w:t xml:space="preserve"> </w:t>
      </w:r>
      <w:r w:rsidRPr="00BA3DB6">
        <w:t>týkajícím</w:t>
      </w:r>
      <w:r>
        <w:t xml:space="preserve"> </w:t>
      </w:r>
      <w:r w:rsidRPr="00BA3DB6">
        <w:t>se</w:t>
      </w:r>
      <w:r>
        <w:t xml:space="preserve"> </w:t>
      </w:r>
      <w:r w:rsidRPr="00BA3DB6">
        <w:t>činnosti</w:t>
      </w:r>
      <w:r>
        <w:t xml:space="preserve"> </w:t>
      </w:r>
      <w:r w:rsidRPr="00BA3DB6">
        <w:t>burzy,</w:t>
      </w:r>
      <w:r>
        <w:t xml:space="preserve"> </w:t>
      </w:r>
      <w:r w:rsidRPr="00BA3DB6">
        <w:t>na</w:t>
      </w:r>
      <w:r>
        <w:t xml:space="preserve"> </w:t>
      </w:r>
      <w:r w:rsidRPr="00BA3DB6">
        <w:t>které</w:t>
      </w:r>
      <w:r>
        <w:t xml:space="preserve"> </w:t>
      </w:r>
      <w:r w:rsidRPr="00BA3DB6">
        <w:t>se</w:t>
      </w:r>
      <w:r>
        <w:t xml:space="preserve"> </w:t>
      </w:r>
      <w:r w:rsidRPr="00BA3DB6">
        <w:t>vztahuje</w:t>
      </w:r>
      <w:r>
        <w:t xml:space="preserve"> </w:t>
      </w:r>
      <w:r w:rsidRPr="00BA3DB6">
        <w:t>požadavek</w:t>
      </w:r>
      <w:r>
        <w:t xml:space="preserve"> </w:t>
      </w:r>
      <w:r w:rsidRPr="00BA3DB6">
        <w:t>mlčenlivosti,</w:t>
      </w:r>
    </w:p>
    <w:p w14:paraId="281629CD" w14:textId="2A20F887" w:rsidR="00E76AAF" w:rsidRDefault="00E76AAF" w:rsidP="00D41C2D">
      <w:pPr>
        <w:pStyle w:val="Textparagrafu"/>
        <w:numPr>
          <w:ilvl w:val="0"/>
          <w:numId w:val="28"/>
        </w:numPr>
        <w:tabs>
          <w:tab w:val="left" w:pos="392"/>
        </w:tabs>
        <w:spacing w:before="0"/>
        <w:ind w:left="425" w:hanging="425"/>
      </w:pPr>
      <w:r w:rsidRPr="00BA3DB6">
        <w:t>c)</w:t>
      </w:r>
      <w:r>
        <w:tab/>
      </w:r>
      <w:r w:rsidRPr="00BA3DB6">
        <w:t>průběžně</w:t>
      </w:r>
      <w:r>
        <w:t xml:space="preserve"> </w:t>
      </w:r>
      <w:r w:rsidRPr="00BA3DB6">
        <w:t>kontrolovat,</w:t>
      </w:r>
      <w:r>
        <w:t xml:space="preserve"> </w:t>
      </w:r>
      <w:r w:rsidRPr="00BA3DB6">
        <w:t>zda</w:t>
      </w:r>
      <w:r>
        <w:t xml:space="preserve"> </w:t>
      </w:r>
      <w:r w:rsidRPr="00BA3DB6">
        <w:t>jsou</w:t>
      </w:r>
      <w:r>
        <w:t xml:space="preserve"> </w:t>
      </w:r>
      <w:r w:rsidRPr="00BA3DB6">
        <w:t>členy</w:t>
      </w:r>
      <w:r>
        <w:t xml:space="preserve"> </w:t>
      </w:r>
      <w:r w:rsidRPr="00BA3DB6">
        <w:t>burzy,</w:t>
      </w:r>
      <w:r>
        <w:t xml:space="preserve"> </w:t>
      </w:r>
      <w:r w:rsidRPr="00BA3DB6">
        <w:t>dohodci</w:t>
      </w:r>
      <w:r>
        <w:t xml:space="preserve"> </w:t>
      </w:r>
      <w:r w:rsidRPr="00BA3DB6">
        <w:t>a</w:t>
      </w:r>
      <w:r>
        <w:t xml:space="preserve"> </w:t>
      </w:r>
      <w:r w:rsidRPr="00BA3DB6">
        <w:t>jinými</w:t>
      </w:r>
      <w:r>
        <w:t xml:space="preserve"> </w:t>
      </w:r>
      <w:r w:rsidRPr="00BA3DB6">
        <w:t>osobami</w:t>
      </w:r>
      <w:r>
        <w:t xml:space="preserve"> </w:t>
      </w:r>
      <w:r w:rsidRPr="00BA3DB6">
        <w:t>oprávněnými</w:t>
      </w:r>
      <w:r>
        <w:t xml:space="preserve"> </w:t>
      </w:r>
      <w:r w:rsidRPr="00BA3DB6">
        <w:t>k</w:t>
      </w:r>
      <w:r>
        <w:t xml:space="preserve"> </w:t>
      </w:r>
      <w:r w:rsidRPr="00BA3DB6">
        <w:t>burzovním</w:t>
      </w:r>
      <w:r>
        <w:t xml:space="preserve"> </w:t>
      </w:r>
      <w:r w:rsidRPr="00BA3DB6">
        <w:t>obchodům,</w:t>
      </w:r>
      <w:r>
        <w:t xml:space="preserve"> </w:t>
      </w:r>
      <w:r w:rsidRPr="00BA3DB6">
        <w:t>plněny</w:t>
      </w:r>
      <w:r>
        <w:t xml:space="preserve"> </w:t>
      </w:r>
      <w:r w:rsidRPr="00BA3DB6">
        <w:t>povinnosti</w:t>
      </w:r>
      <w:r>
        <w:t xml:space="preserve"> </w:t>
      </w:r>
      <w:r w:rsidRPr="00BA3DB6">
        <w:t>jim</w:t>
      </w:r>
      <w:r>
        <w:t xml:space="preserve"> </w:t>
      </w:r>
      <w:r w:rsidRPr="00BA3DB6">
        <w:t>stanovené</w:t>
      </w:r>
      <w:r>
        <w:t xml:space="preserve"> </w:t>
      </w:r>
      <w:r w:rsidRPr="00BA3DB6">
        <w:t>tímto</w:t>
      </w:r>
      <w:r>
        <w:t xml:space="preserve"> </w:t>
      </w:r>
      <w:r w:rsidRPr="00BA3DB6">
        <w:t>zákonem,</w:t>
      </w:r>
      <w:r>
        <w:t xml:space="preserve"> </w:t>
      </w:r>
      <w:r w:rsidRPr="00BA3DB6">
        <w:t>statutem</w:t>
      </w:r>
      <w:r>
        <w:t xml:space="preserve"> </w:t>
      </w:r>
      <w:r w:rsidRPr="00BA3DB6">
        <w:t>a</w:t>
      </w:r>
      <w:r>
        <w:t xml:space="preserve"> </w:t>
      </w:r>
      <w:r w:rsidRPr="00BA3DB6">
        <w:t>vnitřními</w:t>
      </w:r>
      <w:r>
        <w:t xml:space="preserve"> </w:t>
      </w:r>
      <w:r w:rsidRPr="00BA3DB6">
        <w:t>předpisy</w:t>
      </w:r>
      <w:r>
        <w:t xml:space="preserve"> </w:t>
      </w:r>
      <w:r w:rsidRPr="00BA3DB6">
        <w:t>burzy,</w:t>
      </w:r>
    </w:p>
    <w:p w14:paraId="754E5E5C" w14:textId="3B307288" w:rsidR="00E76AAF" w:rsidRDefault="00E76AAF" w:rsidP="00D41C2D">
      <w:pPr>
        <w:pStyle w:val="Textparagrafu"/>
        <w:numPr>
          <w:ilvl w:val="0"/>
          <w:numId w:val="28"/>
        </w:numPr>
        <w:tabs>
          <w:tab w:val="left" w:pos="392"/>
        </w:tabs>
        <w:spacing w:before="0"/>
        <w:ind w:left="425" w:hanging="425"/>
      </w:pPr>
      <w:r w:rsidRPr="00BA3DB6">
        <w:t>d)</w:t>
      </w:r>
      <w:r>
        <w:tab/>
      </w:r>
      <w:r w:rsidRPr="00BA3DB6">
        <w:t>vyloučit</w:t>
      </w:r>
      <w:r>
        <w:t xml:space="preserve"> </w:t>
      </w:r>
      <w:r w:rsidRPr="00BA3DB6">
        <w:t>člena</w:t>
      </w:r>
      <w:r>
        <w:t xml:space="preserve"> </w:t>
      </w:r>
      <w:r w:rsidRPr="00BA3DB6">
        <w:t>burzy,</w:t>
      </w:r>
      <w:r>
        <w:t xml:space="preserve"> </w:t>
      </w:r>
      <w:r w:rsidRPr="00BA3DB6">
        <w:t>s</w:t>
      </w:r>
      <w:r>
        <w:t xml:space="preserve"> </w:t>
      </w:r>
      <w:r w:rsidRPr="00BA3DB6">
        <w:t>výjimkou</w:t>
      </w:r>
      <w:r>
        <w:t xml:space="preserve"> </w:t>
      </w:r>
      <w:r w:rsidRPr="00BA3DB6">
        <w:t>člena</w:t>
      </w:r>
      <w:r>
        <w:t xml:space="preserve"> </w:t>
      </w:r>
      <w:r w:rsidRPr="00BA3DB6">
        <w:t>burzy</w:t>
      </w:r>
      <w:r>
        <w:t xml:space="preserve"> </w:t>
      </w:r>
      <w:r w:rsidRPr="00BA3DB6">
        <w:t>podle</w:t>
      </w:r>
      <w:r>
        <w:t xml:space="preserve"> </w:t>
      </w:r>
      <w:r w:rsidRPr="00BA3DB6">
        <w:t>§</w:t>
      </w:r>
      <w:r>
        <w:t xml:space="preserve"> </w:t>
      </w:r>
      <w:r w:rsidRPr="00BA3DB6">
        <w:t>17</w:t>
      </w:r>
      <w:r>
        <w:t xml:space="preserve"> </w:t>
      </w:r>
      <w:r w:rsidRPr="00BA3DB6">
        <w:t>odst.</w:t>
      </w:r>
      <w:r>
        <w:t xml:space="preserve"> </w:t>
      </w:r>
      <w:r w:rsidRPr="00BA3DB6">
        <w:t>1</w:t>
      </w:r>
      <w:r>
        <w:t xml:space="preserve"> </w:t>
      </w:r>
      <w:r w:rsidRPr="00BA3DB6">
        <w:t>písm.</w:t>
      </w:r>
      <w:r>
        <w:t xml:space="preserve"> </w:t>
      </w:r>
      <w:r w:rsidRPr="00BA3DB6">
        <w:t>b),</w:t>
      </w:r>
      <w:r>
        <w:t xml:space="preserve"> </w:t>
      </w:r>
      <w:r w:rsidRPr="00BA3DB6">
        <w:t>který</w:t>
      </w:r>
      <w:r>
        <w:t xml:space="preserve"> </w:t>
      </w:r>
      <w:r w:rsidRPr="00BA3DB6">
        <w:t>přestal</w:t>
      </w:r>
      <w:r>
        <w:t xml:space="preserve"> </w:t>
      </w:r>
      <w:r w:rsidRPr="00BA3DB6">
        <w:t>splňovat</w:t>
      </w:r>
      <w:r>
        <w:t xml:space="preserve"> </w:t>
      </w:r>
      <w:r w:rsidRPr="00BA3DB6">
        <w:t>podmínky</w:t>
      </w:r>
      <w:r>
        <w:t xml:space="preserve"> </w:t>
      </w:r>
      <w:r w:rsidRPr="00BA3DB6">
        <w:t>uvedené</w:t>
      </w:r>
      <w:r>
        <w:t xml:space="preserve"> </w:t>
      </w:r>
      <w:r w:rsidRPr="00BA3DB6">
        <w:t>v</w:t>
      </w:r>
      <w:r>
        <w:t xml:space="preserve"> </w:t>
      </w:r>
      <w:r w:rsidRPr="00BA3DB6">
        <w:t>§</w:t>
      </w:r>
      <w:r>
        <w:t xml:space="preserve"> </w:t>
      </w:r>
      <w:r w:rsidRPr="00BA3DB6">
        <w:t>5</w:t>
      </w:r>
      <w:r>
        <w:t xml:space="preserve"> </w:t>
      </w:r>
      <w:r w:rsidRPr="00BA3DB6">
        <w:t>odst.</w:t>
      </w:r>
      <w:r>
        <w:t xml:space="preserve"> </w:t>
      </w:r>
      <w:r w:rsidRPr="00BA3DB6">
        <w:t>2</w:t>
      </w:r>
      <w:r>
        <w:t xml:space="preserve"> </w:t>
      </w:r>
      <w:r w:rsidRPr="00BA3DB6">
        <w:t>písm.</w:t>
      </w:r>
      <w:r>
        <w:t xml:space="preserve"> </w:t>
      </w:r>
      <w:r w:rsidRPr="00BA3DB6">
        <w:t>a)</w:t>
      </w:r>
      <w:r>
        <w:t xml:space="preserve"> </w:t>
      </w:r>
      <w:r w:rsidRPr="00BA3DB6">
        <w:t>a</w:t>
      </w:r>
      <w:r>
        <w:t xml:space="preserve"> </w:t>
      </w:r>
      <w:r w:rsidRPr="00BA3DB6">
        <w:t>b),</w:t>
      </w:r>
      <w:r>
        <w:t xml:space="preserve"> </w:t>
      </w:r>
      <w:r w:rsidRPr="00BA3DB6">
        <w:t>nejpozději</w:t>
      </w:r>
      <w:r>
        <w:t xml:space="preserve"> </w:t>
      </w:r>
      <w:r w:rsidRPr="00BA3DB6">
        <w:t>do</w:t>
      </w:r>
      <w:r>
        <w:t xml:space="preserve"> </w:t>
      </w:r>
      <w:r w:rsidRPr="00BA3DB6">
        <w:t>30</w:t>
      </w:r>
      <w:r>
        <w:t xml:space="preserve"> </w:t>
      </w:r>
      <w:r w:rsidRPr="00BA3DB6">
        <w:t>dnů</w:t>
      </w:r>
      <w:r>
        <w:t xml:space="preserve"> </w:t>
      </w:r>
      <w:r w:rsidRPr="00BA3DB6">
        <w:t>ode</w:t>
      </w:r>
      <w:r>
        <w:t xml:space="preserve"> </w:t>
      </w:r>
      <w:r w:rsidRPr="00BA3DB6">
        <w:t>dne,</w:t>
      </w:r>
      <w:r>
        <w:t xml:space="preserve"> </w:t>
      </w:r>
      <w:r w:rsidRPr="00BA3DB6">
        <w:t>kdy</w:t>
      </w:r>
      <w:r>
        <w:t xml:space="preserve"> </w:t>
      </w:r>
      <w:r w:rsidRPr="00BA3DB6">
        <w:t>se</w:t>
      </w:r>
      <w:r>
        <w:t xml:space="preserve"> </w:t>
      </w:r>
      <w:r w:rsidRPr="00BA3DB6">
        <w:t>burza</w:t>
      </w:r>
      <w:r>
        <w:t xml:space="preserve"> </w:t>
      </w:r>
      <w:r w:rsidRPr="00BA3DB6">
        <w:t>dozvěděla,</w:t>
      </w:r>
      <w:r>
        <w:t xml:space="preserve"> </w:t>
      </w:r>
      <w:r w:rsidRPr="00BA3DB6">
        <w:t>že</w:t>
      </w:r>
      <w:r>
        <w:t xml:space="preserve"> </w:t>
      </w:r>
      <w:r w:rsidRPr="00BA3DB6">
        <w:t>člen</w:t>
      </w:r>
      <w:r>
        <w:t xml:space="preserve"> </w:t>
      </w:r>
      <w:r w:rsidRPr="00BA3DB6">
        <w:t>burzy</w:t>
      </w:r>
      <w:r>
        <w:t xml:space="preserve"> </w:t>
      </w:r>
      <w:r w:rsidRPr="00BA3DB6">
        <w:t>přestal</w:t>
      </w:r>
      <w:r>
        <w:t xml:space="preserve"> </w:t>
      </w:r>
      <w:r w:rsidRPr="00BA3DB6">
        <w:t>podmínky</w:t>
      </w:r>
      <w:r>
        <w:t xml:space="preserve"> </w:t>
      </w:r>
      <w:r w:rsidRPr="00BA3DB6">
        <w:t>splňovat;</w:t>
      </w:r>
      <w:r>
        <w:t xml:space="preserve"> </w:t>
      </w:r>
      <w:r w:rsidRPr="00BA3DB6">
        <w:t>pravomoc</w:t>
      </w:r>
      <w:r>
        <w:t xml:space="preserve"> </w:t>
      </w:r>
      <w:r w:rsidRPr="00BA3DB6">
        <w:t>burzy</w:t>
      </w:r>
      <w:r>
        <w:t xml:space="preserve"> </w:t>
      </w:r>
      <w:r w:rsidRPr="00BA3DB6">
        <w:t>k</w:t>
      </w:r>
      <w:r>
        <w:t xml:space="preserve"> </w:t>
      </w:r>
      <w:r w:rsidRPr="00BA3DB6">
        <w:t>vyloučení</w:t>
      </w:r>
      <w:r>
        <w:t xml:space="preserve"> </w:t>
      </w:r>
      <w:r w:rsidRPr="00BA3DB6">
        <w:t>člena</w:t>
      </w:r>
      <w:r>
        <w:t xml:space="preserve"> </w:t>
      </w:r>
      <w:r w:rsidRPr="00BA3DB6">
        <w:t>burzy</w:t>
      </w:r>
      <w:r>
        <w:t xml:space="preserve"> </w:t>
      </w:r>
      <w:r w:rsidRPr="00BA3DB6">
        <w:t>podle</w:t>
      </w:r>
      <w:r>
        <w:t xml:space="preserve"> </w:t>
      </w:r>
      <w:r w:rsidRPr="00BA3DB6">
        <w:t>§</w:t>
      </w:r>
      <w:r>
        <w:t xml:space="preserve"> </w:t>
      </w:r>
      <w:r w:rsidRPr="00BA3DB6">
        <w:t>19</w:t>
      </w:r>
      <w:r>
        <w:t xml:space="preserve"> </w:t>
      </w:r>
      <w:r w:rsidRPr="00BA3DB6">
        <w:t>odst.</w:t>
      </w:r>
      <w:r>
        <w:t xml:space="preserve"> </w:t>
      </w:r>
      <w:r w:rsidRPr="00BA3DB6">
        <w:t>2</w:t>
      </w:r>
      <w:r>
        <w:t xml:space="preserve"> </w:t>
      </w:r>
      <w:r w:rsidRPr="00BA3DB6">
        <w:t>tím</w:t>
      </w:r>
      <w:r>
        <w:t xml:space="preserve"> </w:t>
      </w:r>
      <w:r w:rsidRPr="00BA3DB6">
        <w:t>není</w:t>
      </w:r>
      <w:r>
        <w:t xml:space="preserve"> </w:t>
      </w:r>
      <w:r w:rsidRPr="00BA3DB6">
        <w:t>dotčena,</w:t>
      </w:r>
    </w:p>
    <w:p w14:paraId="5A86D4CC" w14:textId="33966DD1" w:rsidR="00E76AAF" w:rsidRDefault="00E76AAF" w:rsidP="00D41C2D">
      <w:pPr>
        <w:pStyle w:val="Textparagrafu"/>
        <w:numPr>
          <w:ilvl w:val="0"/>
          <w:numId w:val="28"/>
        </w:numPr>
        <w:tabs>
          <w:tab w:val="left" w:pos="392"/>
        </w:tabs>
        <w:spacing w:before="0"/>
        <w:ind w:left="425" w:hanging="425"/>
      </w:pPr>
      <w:r w:rsidRPr="00BA3DB6">
        <w:t>e)</w:t>
      </w:r>
      <w:r>
        <w:tab/>
      </w:r>
      <w:r w:rsidRPr="00BA3DB6">
        <w:t>uložit</w:t>
      </w:r>
      <w:r>
        <w:t xml:space="preserve"> </w:t>
      </w:r>
      <w:r w:rsidRPr="00BA3DB6">
        <w:t>do</w:t>
      </w:r>
      <w:r>
        <w:t xml:space="preserve"> </w:t>
      </w:r>
      <w:r w:rsidRPr="00BA3DB6">
        <w:t>sbírky</w:t>
      </w:r>
      <w:r>
        <w:t xml:space="preserve"> </w:t>
      </w:r>
      <w:r w:rsidRPr="00BA3DB6">
        <w:t>listin</w:t>
      </w:r>
      <w:r>
        <w:t xml:space="preserve"> </w:t>
      </w:r>
      <w:r w:rsidRPr="00BA3DB6">
        <w:t>obchodního</w:t>
      </w:r>
      <w:r>
        <w:t xml:space="preserve"> </w:t>
      </w:r>
      <w:r w:rsidRPr="00BA3DB6">
        <w:t>rejstříku</w:t>
      </w:r>
      <w:r>
        <w:t xml:space="preserve"> </w:t>
      </w:r>
      <w:r w:rsidRPr="00BA3DB6">
        <w:t>platné</w:t>
      </w:r>
      <w:r>
        <w:t xml:space="preserve"> </w:t>
      </w:r>
      <w:r w:rsidRPr="00BA3DB6">
        <w:t>znění</w:t>
      </w:r>
      <w:r>
        <w:t xml:space="preserve"> </w:t>
      </w:r>
      <w:r w:rsidRPr="00BA3DB6">
        <w:t>statutu</w:t>
      </w:r>
      <w:r>
        <w:t xml:space="preserve"> </w:t>
      </w:r>
      <w:r w:rsidRPr="00BA3DB6">
        <w:t>a</w:t>
      </w:r>
      <w:r>
        <w:t xml:space="preserve"> </w:t>
      </w:r>
      <w:r w:rsidRPr="00BA3DB6">
        <w:t>uveřejnit</w:t>
      </w:r>
      <w:r>
        <w:t xml:space="preserve"> </w:t>
      </w:r>
      <w:r w:rsidRPr="00BA3DB6">
        <w:t>platné</w:t>
      </w:r>
      <w:r>
        <w:t xml:space="preserve"> </w:t>
      </w:r>
      <w:r w:rsidRPr="00BA3DB6">
        <w:t>znění</w:t>
      </w:r>
      <w:r>
        <w:t xml:space="preserve"> </w:t>
      </w:r>
      <w:r w:rsidRPr="00BA3DB6">
        <w:t>statutu</w:t>
      </w:r>
      <w:r>
        <w:t xml:space="preserve"> </w:t>
      </w:r>
      <w:r w:rsidRPr="00BA3DB6">
        <w:t>a</w:t>
      </w:r>
      <w:r>
        <w:t xml:space="preserve"> </w:t>
      </w:r>
      <w:r w:rsidRPr="00BA3DB6">
        <w:t>řádu</w:t>
      </w:r>
      <w:r>
        <w:t xml:space="preserve"> </w:t>
      </w:r>
      <w:r w:rsidRPr="00BA3DB6">
        <w:t>burzovního</w:t>
      </w:r>
      <w:r>
        <w:t xml:space="preserve"> </w:t>
      </w:r>
      <w:r w:rsidRPr="00BA3DB6">
        <w:t>rozhodčího</w:t>
      </w:r>
      <w:r>
        <w:t xml:space="preserve"> </w:t>
      </w:r>
      <w:r w:rsidRPr="00BA3DB6">
        <w:t>soudu,</w:t>
      </w:r>
      <w:r>
        <w:t xml:space="preserve"> </w:t>
      </w:r>
      <w:r w:rsidRPr="00BA3DB6">
        <w:t>pokud</w:t>
      </w:r>
      <w:r>
        <w:t xml:space="preserve"> </w:t>
      </w:r>
      <w:r w:rsidRPr="00BA3DB6">
        <w:t>je</w:t>
      </w:r>
      <w:r>
        <w:t xml:space="preserve"> </w:t>
      </w:r>
      <w:r w:rsidRPr="00BA3DB6">
        <w:t>zřízen,</w:t>
      </w:r>
      <w:r>
        <w:t xml:space="preserve"> </w:t>
      </w:r>
      <w:r w:rsidRPr="00BA3DB6">
        <w:t>nejpozději</w:t>
      </w:r>
      <w:r>
        <w:t xml:space="preserve"> </w:t>
      </w:r>
      <w:r w:rsidRPr="00BA3DB6">
        <w:t>do</w:t>
      </w:r>
      <w:r>
        <w:t xml:space="preserve"> </w:t>
      </w:r>
      <w:r w:rsidRPr="00BA3DB6">
        <w:t>30</w:t>
      </w:r>
      <w:r>
        <w:t xml:space="preserve"> </w:t>
      </w:r>
      <w:r w:rsidRPr="00BA3DB6">
        <w:t>dnů</w:t>
      </w:r>
      <w:r>
        <w:t xml:space="preserve"> </w:t>
      </w:r>
      <w:r w:rsidRPr="00BA3DB6">
        <w:t>ode</w:t>
      </w:r>
      <w:r>
        <w:t xml:space="preserve"> </w:t>
      </w:r>
      <w:r w:rsidRPr="00BA3DB6">
        <w:t>dne</w:t>
      </w:r>
      <w:r>
        <w:t xml:space="preserve"> </w:t>
      </w:r>
      <w:r w:rsidRPr="00BA3DB6">
        <w:t>nabytí</w:t>
      </w:r>
      <w:r>
        <w:t xml:space="preserve"> </w:t>
      </w:r>
      <w:r w:rsidRPr="00BA3DB6">
        <w:t>právní</w:t>
      </w:r>
      <w:r>
        <w:t xml:space="preserve"> </w:t>
      </w:r>
      <w:r w:rsidRPr="00BA3DB6">
        <w:t>moci</w:t>
      </w:r>
      <w:r>
        <w:t xml:space="preserve"> </w:t>
      </w:r>
      <w:r w:rsidRPr="00BA3DB6">
        <w:t>povolení</w:t>
      </w:r>
      <w:r>
        <w:t xml:space="preserve"> </w:t>
      </w:r>
      <w:r w:rsidRPr="00BA3DB6">
        <w:t>jejich</w:t>
      </w:r>
      <w:r>
        <w:t xml:space="preserve"> </w:t>
      </w:r>
      <w:r w:rsidRPr="00BA3DB6">
        <w:t>změny,</w:t>
      </w:r>
      <w:r>
        <w:t xml:space="preserve"> </w:t>
      </w:r>
      <w:r w:rsidRPr="00BA3DB6">
        <w:t>způsobem</w:t>
      </w:r>
      <w:r>
        <w:t xml:space="preserve"> </w:t>
      </w:r>
      <w:r w:rsidRPr="00BA3DB6">
        <w:t>umožňujícím</w:t>
      </w:r>
      <w:r>
        <w:t xml:space="preserve"> </w:t>
      </w:r>
      <w:r w:rsidRPr="00BA3DB6">
        <w:t>dálkový</w:t>
      </w:r>
      <w:r>
        <w:t xml:space="preserve"> </w:t>
      </w:r>
      <w:r w:rsidRPr="00BA3DB6">
        <w:t>přístup</w:t>
      </w:r>
      <w:r>
        <w:t xml:space="preserve"> </w:t>
      </w:r>
      <w:r w:rsidRPr="00BA3DB6">
        <w:t>a</w:t>
      </w:r>
      <w:r>
        <w:t xml:space="preserve"> </w:t>
      </w:r>
      <w:r w:rsidRPr="00BA3DB6">
        <w:t>zpřístupnit</w:t>
      </w:r>
      <w:r>
        <w:t xml:space="preserve"> </w:t>
      </w:r>
      <w:r w:rsidRPr="00BA3DB6">
        <w:t>je</w:t>
      </w:r>
      <w:r>
        <w:t xml:space="preserve"> </w:t>
      </w:r>
      <w:r w:rsidRPr="00BA3DB6">
        <w:t>ve</w:t>
      </w:r>
      <w:r>
        <w:t xml:space="preserve"> </w:t>
      </w:r>
      <w:r w:rsidRPr="00BA3DB6">
        <w:t>svém</w:t>
      </w:r>
      <w:r>
        <w:t xml:space="preserve"> </w:t>
      </w:r>
      <w:r w:rsidRPr="00BA3DB6">
        <w:t>sídle</w:t>
      </w:r>
      <w:r>
        <w:t xml:space="preserve"> </w:t>
      </w:r>
      <w:r w:rsidRPr="00BA3DB6">
        <w:t>k</w:t>
      </w:r>
      <w:r>
        <w:t xml:space="preserve"> </w:t>
      </w:r>
      <w:r w:rsidRPr="00BA3DB6">
        <w:t>nahlédnutí,</w:t>
      </w:r>
    </w:p>
    <w:p w14:paraId="019E8D2D" w14:textId="1FBC4F21" w:rsidR="00E76AAF" w:rsidRDefault="00E76AAF" w:rsidP="00D41C2D">
      <w:pPr>
        <w:pStyle w:val="Textparagrafu"/>
        <w:numPr>
          <w:ilvl w:val="0"/>
          <w:numId w:val="28"/>
        </w:numPr>
        <w:tabs>
          <w:tab w:val="left" w:pos="392"/>
        </w:tabs>
        <w:spacing w:before="0"/>
        <w:ind w:left="425" w:hanging="425"/>
      </w:pPr>
      <w:r w:rsidRPr="00BA3DB6">
        <w:t>f)</w:t>
      </w:r>
      <w:r>
        <w:tab/>
      </w:r>
      <w:r w:rsidRPr="00BA3DB6">
        <w:t>řádně</w:t>
      </w:r>
      <w:r>
        <w:t xml:space="preserve"> </w:t>
      </w:r>
      <w:r w:rsidRPr="00BA3DB6">
        <w:t>zabezpečit</w:t>
      </w:r>
      <w:r>
        <w:t xml:space="preserve"> </w:t>
      </w:r>
      <w:r w:rsidRPr="00BA3DB6">
        <w:t>působení</w:t>
      </w:r>
      <w:r>
        <w:t xml:space="preserve"> </w:t>
      </w:r>
      <w:r w:rsidRPr="00BA3DB6">
        <w:t>burzovního</w:t>
      </w:r>
      <w:r>
        <w:t xml:space="preserve"> </w:t>
      </w:r>
      <w:r w:rsidRPr="00BA3DB6">
        <w:t>rozhodčího</w:t>
      </w:r>
      <w:r>
        <w:t xml:space="preserve"> </w:t>
      </w:r>
      <w:r w:rsidRPr="00BA3DB6">
        <w:t>soudu,</w:t>
      </w:r>
      <w:r>
        <w:t xml:space="preserve"> </w:t>
      </w:r>
      <w:r w:rsidRPr="00BA3DB6">
        <w:t>pokud</w:t>
      </w:r>
      <w:r>
        <w:t xml:space="preserve"> </w:t>
      </w:r>
      <w:r w:rsidRPr="00BA3DB6">
        <w:t>je</w:t>
      </w:r>
      <w:r>
        <w:t xml:space="preserve"> </w:t>
      </w:r>
      <w:r w:rsidRPr="00BA3DB6">
        <w:t>zřízen,</w:t>
      </w:r>
    </w:p>
    <w:p w14:paraId="3A9A9C83" w14:textId="2A97BEE4" w:rsidR="00E76AAF" w:rsidRDefault="00E76AAF" w:rsidP="00D41C2D">
      <w:pPr>
        <w:pStyle w:val="Textparagrafu"/>
        <w:numPr>
          <w:ilvl w:val="0"/>
          <w:numId w:val="28"/>
        </w:numPr>
        <w:tabs>
          <w:tab w:val="left" w:pos="392"/>
        </w:tabs>
        <w:spacing w:before="0"/>
        <w:ind w:left="425" w:hanging="425"/>
      </w:pPr>
      <w:r w:rsidRPr="00BA3DB6">
        <w:t>g)</w:t>
      </w:r>
      <w:r>
        <w:tab/>
      </w:r>
      <w:r w:rsidRPr="00BA3DB6">
        <w:t>zpracovat</w:t>
      </w:r>
      <w:r>
        <w:t xml:space="preserve"> </w:t>
      </w:r>
      <w:r w:rsidRPr="00BA3DB6">
        <w:t>výroční</w:t>
      </w:r>
      <w:r>
        <w:t xml:space="preserve"> </w:t>
      </w:r>
      <w:r w:rsidRPr="00BA3DB6">
        <w:t>zprávu</w:t>
      </w:r>
      <w:r>
        <w:t xml:space="preserve"> </w:t>
      </w:r>
      <w:r w:rsidRPr="00BA3DB6">
        <w:t>o</w:t>
      </w:r>
      <w:r>
        <w:t xml:space="preserve"> </w:t>
      </w:r>
      <w:r w:rsidRPr="00BA3DB6">
        <w:t>činnosti</w:t>
      </w:r>
      <w:r>
        <w:t xml:space="preserve"> </w:t>
      </w:r>
      <w:r w:rsidRPr="00BA3DB6">
        <w:t>burzy</w:t>
      </w:r>
      <w:r>
        <w:t xml:space="preserve"> </w:t>
      </w:r>
      <w:r w:rsidRPr="00BA3DB6">
        <w:t>nejpozději</w:t>
      </w:r>
      <w:r>
        <w:t xml:space="preserve"> </w:t>
      </w:r>
      <w:r w:rsidRPr="00BA3DB6">
        <w:t>do</w:t>
      </w:r>
      <w:r>
        <w:t xml:space="preserve"> </w:t>
      </w:r>
      <w:r w:rsidRPr="00BA3DB6">
        <w:t>3</w:t>
      </w:r>
      <w:r>
        <w:t xml:space="preserve"> </w:t>
      </w:r>
      <w:r w:rsidRPr="00BA3DB6">
        <w:t>měsíců</w:t>
      </w:r>
      <w:r>
        <w:t xml:space="preserve"> </w:t>
      </w:r>
      <w:r w:rsidRPr="005E62BF">
        <w:rPr>
          <w:strike/>
        </w:rPr>
        <w:t>po skončení předcházejícího kalendářního roku</w:t>
      </w:r>
      <w:r w:rsidR="005E62BF">
        <w:rPr>
          <w:strike/>
        </w:rPr>
        <w:t xml:space="preserve"> </w:t>
      </w:r>
      <w:r w:rsidR="005E62BF" w:rsidRPr="00437E93">
        <w:rPr>
          <w:b/>
        </w:rPr>
        <w:t>od konce individuálního účetního období</w:t>
      </w:r>
      <w:r w:rsidRPr="00BA3DB6">
        <w:t>,</w:t>
      </w:r>
      <w:r>
        <w:t xml:space="preserve"> </w:t>
      </w:r>
      <w:r w:rsidRPr="00BA3DB6">
        <w:t>uveřejnit</w:t>
      </w:r>
      <w:r>
        <w:t xml:space="preserve"> </w:t>
      </w:r>
      <w:r w:rsidRPr="00BA3DB6">
        <w:t>ji</w:t>
      </w:r>
      <w:r>
        <w:t xml:space="preserve"> </w:t>
      </w:r>
      <w:r w:rsidRPr="00BA3DB6">
        <w:t>nejpozději</w:t>
      </w:r>
      <w:r>
        <w:t xml:space="preserve"> </w:t>
      </w:r>
      <w:r w:rsidRPr="00BA3DB6">
        <w:t>do</w:t>
      </w:r>
      <w:r>
        <w:t xml:space="preserve"> </w:t>
      </w:r>
      <w:r w:rsidRPr="00BA3DB6">
        <w:t>6</w:t>
      </w:r>
      <w:r>
        <w:t xml:space="preserve"> </w:t>
      </w:r>
      <w:r w:rsidRPr="00BA3DB6">
        <w:t>měsíců</w:t>
      </w:r>
      <w:r>
        <w:t xml:space="preserve"> </w:t>
      </w:r>
      <w:r w:rsidRPr="005E62BF">
        <w:rPr>
          <w:strike/>
        </w:rPr>
        <w:t>po skončení předcházejícího kalendářního roku</w:t>
      </w:r>
      <w:r>
        <w:t xml:space="preserve"> </w:t>
      </w:r>
      <w:r w:rsidR="005E62BF" w:rsidRPr="00437E93">
        <w:rPr>
          <w:b/>
        </w:rPr>
        <w:t>od konce individuálního účetního období</w:t>
      </w:r>
      <w:r w:rsidR="005E62BF" w:rsidRPr="00BA3DB6">
        <w:t xml:space="preserve"> </w:t>
      </w:r>
      <w:r w:rsidRPr="00BA3DB6">
        <w:t>způsobem</w:t>
      </w:r>
      <w:r>
        <w:t xml:space="preserve"> </w:t>
      </w:r>
      <w:r w:rsidRPr="00BA3DB6">
        <w:t>umožňujícím</w:t>
      </w:r>
      <w:r>
        <w:t xml:space="preserve"> </w:t>
      </w:r>
      <w:r w:rsidRPr="00BA3DB6">
        <w:t>dálkový</w:t>
      </w:r>
      <w:r>
        <w:t xml:space="preserve"> </w:t>
      </w:r>
      <w:r w:rsidRPr="00BA3DB6">
        <w:t>přístup</w:t>
      </w:r>
      <w:r>
        <w:t xml:space="preserve"> </w:t>
      </w:r>
      <w:r w:rsidRPr="00BA3DB6">
        <w:t>a</w:t>
      </w:r>
      <w:r>
        <w:t xml:space="preserve"> </w:t>
      </w:r>
      <w:r w:rsidRPr="00BA3DB6">
        <w:t>zpřístupnit</w:t>
      </w:r>
      <w:r>
        <w:t xml:space="preserve"> </w:t>
      </w:r>
      <w:r w:rsidRPr="00BA3DB6">
        <w:t>ji</w:t>
      </w:r>
      <w:r>
        <w:t xml:space="preserve"> </w:t>
      </w:r>
      <w:r w:rsidRPr="00BA3DB6">
        <w:t>ve</w:t>
      </w:r>
      <w:r>
        <w:t xml:space="preserve"> </w:t>
      </w:r>
      <w:r w:rsidRPr="00BA3DB6">
        <w:t>svém</w:t>
      </w:r>
      <w:r>
        <w:t xml:space="preserve"> </w:t>
      </w:r>
      <w:r w:rsidRPr="00BA3DB6">
        <w:t>sídle</w:t>
      </w:r>
      <w:r>
        <w:t xml:space="preserve"> </w:t>
      </w:r>
      <w:r w:rsidRPr="00BA3DB6">
        <w:t>k</w:t>
      </w:r>
      <w:r>
        <w:t xml:space="preserve"> </w:t>
      </w:r>
      <w:r w:rsidRPr="00BA3DB6">
        <w:t>nahlédnutí.</w:t>
      </w:r>
    </w:p>
    <w:p w14:paraId="58732B07" w14:textId="5E320376" w:rsidR="00E76AAF" w:rsidRDefault="00E76AAF" w:rsidP="00D41C2D">
      <w:pPr>
        <w:pStyle w:val="Textparagrafu"/>
        <w:numPr>
          <w:ilvl w:val="0"/>
          <w:numId w:val="28"/>
        </w:numPr>
        <w:tabs>
          <w:tab w:val="left" w:pos="392"/>
        </w:tabs>
        <w:spacing w:before="120" w:after="120"/>
        <w:ind w:firstLine="425"/>
      </w:pPr>
      <w:r w:rsidRPr="00BA3DB6">
        <w:t>(2)</w:t>
      </w:r>
      <w:r>
        <w:tab/>
      </w:r>
      <w:r w:rsidRPr="00BA3DB6">
        <w:t>Výroční</w:t>
      </w:r>
      <w:r>
        <w:t xml:space="preserve"> </w:t>
      </w:r>
      <w:r w:rsidRPr="00BA3DB6">
        <w:t>zpráva</w:t>
      </w:r>
      <w:r>
        <w:t xml:space="preserve"> </w:t>
      </w:r>
      <w:r w:rsidRPr="00BA3DB6">
        <w:t>o</w:t>
      </w:r>
      <w:r>
        <w:t xml:space="preserve"> </w:t>
      </w:r>
      <w:r w:rsidRPr="00BA3DB6">
        <w:t>činnosti</w:t>
      </w:r>
      <w:r>
        <w:t xml:space="preserve"> </w:t>
      </w:r>
      <w:r w:rsidRPr="00BA3DB6">
        <w:t>burzy</w:t>
      </w:r>
      <w:r>
        <w:t xml:space="preserve"> </w:t>
      </w:r>
      <w:r w:rsidRPr="00BA3DB6">
        <w:t>obsahuje</w:t>
      </w:r>
      <w:r>
        <w:t xml:space="preserve"> </w:t>
      </w:r>
      <w:r w:rsidRPr="00BA3DB6">
        <w:t>alespoň:</w:t>
      </w:r>
    </w:p>
    <w:p w14:paraId="55467DE3" w14:textId="43750306" w:rsidR="00E76AAF" w:rsidRDefault="00E76AAF" w:rsidP="00E76AAF">
      <w:pPr>
        <w:pStyle w:val="Textparagrafu"/>
        <w:numPr>
          <w:ilvl w:val="0"/>
          <w:numId w:val="28"/>
        </w:numPr>
        <w:tabs>
          <w:tab w:val="left" w:pos="392"/>
        </w:tabs>
        <w:spacing w:before="0"/>
      </w:pPr>
      <w:r w:rsidRPr="00BA3DB6">
        <w:t>a)</w:t>
      </w:r>
      <w:r>
        <w:tab/>
      </w:r>
      <w:r w:rsidRPr="00BA3DB6">
        <w:t>informace</w:t>
      </w:r>
      <w:r>
        <w:t xml:space="preserve"> </w:t>
      </w:r>
      <w:r w:rsidRPr="00BA3DB6">
        <w:t>o</w:t>
      </w:r>
      <w:r>
        <w:t xml:space="preserve"> </w:t>
      </w:r>
      <w:r w:rsidRPr="00BA3DB6">
        <w:t>vývoji</w:t>
      </w:r>
      <w:r>
        <w:t xml:space="preserve"> </w:t>
      </w:r>
      <w:r w:rsidRPr="00BA3DB6">
        <w:t>výkonnosti,</w:t>
      </w:r>
      <w:r>
        <w:t xml:space="preserve"> </w:t>
      </w:r>
      <w:r w:rsidRPr="00BA3DB6">
        <w:t>činnosti</w:t>
      </w:r>
      <w:r>
        <w:t xml:space="preserve"> </w:t>
      </w:r>
      <w:r w:rsidRPr="00BA3DB6">
        <w:t>a</w:t>
      </w:r>
      <w:r>
        <w:t xml:space="preserve"> </w:t>
      </w:r>
      <w:r w:rsidRPr="00BA3DB6">
        <w:t>stávajícím</w:t>
      </w:r>
      <w:r>
        <w:t xml:space="preserve"> </w:t>
      </w:r>
      <w:r w:rsidRPr="00BA3DB6">
        <w:t>hospodářském</w:t>
      </w:r>
      <w:r>
        <w:t xml:space="preserve"> </w:t>
      </w:r>
      <w:r w:rsidRPr="00BA3DB6">
        <w:t>postavení</w:t>
      </w:r>
      <w:r>
        <w:t xml:space="preserve"> </w:t>
      </w:r>
      <w:r w:rsidRPr="00BA3DB6">
        <w:t>burzy,</w:t>
      </w:r>
    </w:p>
    <w:p w14:paraId="0C585F36" w14:textId="456FD326" w:rsidR="00E76AAF" w:rsidRDefault="00E76AAF" w:rsidP="00E76AAF">
      <w:pPr>
        <w:pStyle w:val="Textparagrafu"/>
        <w:numPr>
          <w:ilvl w:val="0"/>
          <w:numId w:val="28"/>
        </w:numPr>
        <w:tabs>
          <w:tab w:val="left" w:pos="392"/>
        </w:tabs>
        <w:spacing w:before="0"/>
      </w:pPr>
      <w:r w:rsidRPr="00BA3DB6">
        <w:t>b)</w:t>
      </w:r>
      <w:r>
        <w:tab/>
      </w:r>
      <w:r w:rsidRPr="00BA3DB6">
        <w:t>seznam</w:t>
      </w:r>
      <w:r>
        <w:t xml:space="preserve"> </w:t>
      </w:r>
      <w:r w:rsidRPr="00BA3DB6">
        <w:t>členů</w:t>
      </w:r>
      <w:r>
        <w:t xml:space="preserve"> </w:t>
      </w:r>
      <w:r w:rsidRPr="00BA3DB6">
        <w:t>burzy,</w:t>
      </w:r>
    </w:p>
    <w:p w14:paraId="354943C1" w14:textId="6458B79B" w:rsidR="00E76AAF" w:rsidRDefault="00E76AAF" w:rsidP="00E76AAF">
      <w:pPr>
        <w:pStyle w:val="Textparagrafu"/>
        <w:numPr>
          <w:ilvl w:val="0"/>
          <w:numId w:val="28"/>
        </w:numPr>
        <w:tabs>
          <w:tab w:val="left" w:pos="392"/>
        </w:tabs>
        <w:spacing w:before="0"/>
      </w:pPr>
      <w:r w:rsidRPr="00BA3DB6">
        <w:t>c)</w:t>
      </w:r>
      <w:r>
        <w:tab/>
      </w:r>
      <w:r w:rsidRPr="00BA3DB6">
        <w:t>popis</w:t>
      </w:r>
      <w:r>
        <w:t xml:space="preserve"> </w:t>
      </w:r>
      <w:r w:rsidRPr="00BA3DB6">
        <w:t>organizační</w:t>
      </w:r>
      <w:r>
        <w:t xml:space="preserve"> </w:t>
      </w:r>
      <w:r w:rsidRPr="00BA3DB6">
        <w:t>struktury</w:t>
      </w:r>
      <w:r>
        <w:t xml:space="preserve"> </w:t>
      </w:r>
      <w:r w:rsidRPr="00BA3DB6">
        <w:t>burzy,</w:t>
      </w:r>
    </w:p>
    <w:p w14:paraId="56B9123D" w14:textId="587C110E" w:rsidR="00E76AAF" w:rsidRDefault="00E76AAF" w:rsidP="00E76AAF">
      <w:pPr>
        <w:pStyle w:val="Textparagrafu"/>
        <w:numPr>
          <w:ilvl w:val="0"/>
          <w:numId w:val="28"/>
        </w:numPr>
        <w:tabs>
          <w:tab w:val="left" w:pos="392"/>
        </w:tabs>
        <w:spacing w:before="0"/>
      </w:pPr>
      <w:r w:rsidRPr="00BA3DB6">
        <w:t>d)</w:t>
      </w:r>
      <w:r>
        <w:tab/>
      </w:r>
      <w:r w:rsidRPr="00BA3DB6">
        <w:t>seznam</w:t>
      </w:r>
      <w:r>
        <w:t xml:space="preserve"> </w:t>
      </w:r>
      <w:r w:rsidRPr="00BA3DB6">
        <w:t>činností,</w:t>
      </w:r>
      <w:r>
        <w:t xml:space="preserve"> </w:t>
      </w:r>
      <w:r w:rsidRPr="00BA3DB6">
        <w:t>jejichž</w:t>
      </w:r>
      <w:r>
        <w:t xml:space="preserve"> </w:t>
      </w:r>
      <w:r w:rsidRPr="00BA3DB6">
        <w:t>výkonem</w:t>
      </w:r>
      <w:r>
        <w:t xml:space="preserve"> </w:t>
      </w:r>
      <w:r w:rsidRPr="00BA3DB6">
        <w:t>burza</w:t>
      </w:r>
      <w:r>
        <w:t xml:space="preserve"> </w:t>
      </w:r>
      <w:r w:rsidRPr="00BA3DB6">
        <w:t>pověřila</w:t>
      </w:r>
      <w:r>
        <w:t xml:space="preserve"> </w:t>
      </w:r>
      <w:r w:rsidRPr="00BA3DB6">
        <w:t>třetí</w:t>
      </w:r>
      <w:r>
        <w:t xml:space="preserve"> </w:t>
      </w:r>
      <w:r w:rsidRPr="00BA3DB6">
        <w:t>osobu,</w:t>
      </w:r>
    </w:p>
    <w:p w14:paraId="14FD80CF" w14:textId="227EB08D" w:rsidR="00E76AAF" w:rsidRDefault="00E76AAF" w:rsidP="00D41C2D">
      <w:pPr>
        <w:pStyle w:val="Textparagrafu"/>
        <w:numPr>
          <w:ilvl w:val="0"/>
          <w:numId w:val="28"/>
        </w:numPr>
        <w:tabs>
          <w:tab w:val="left" w:pos="392"/>
        </w:tabs>
        <w:spacing w:before="0"/>
        <w:ind w:left="425" w:hanging="425"/>
      </w:pPr>
      <w:r w:rsidRPr="00BA3DB6">
        <w:t>e)</w:t>
      </w:r>
      <w:r>
        <w:tab/>
      </w:r>
      <w:r w:rsidRPr="00BA3DB6">
        <w:t>výčet</w:t>
      </w:r>
      <w:r>
        <w:t xml:space="preserve"> </w:t>
      </w:r>
      <w:r w:rsidRPr="00BA3DB6">
        <w:t>a</w:t>
      </w:r>
      <w:r>
        <w:t xml:space="preserve"> </w:t>
      </w:r>
      <w:r w:rsidRPr="00BA3DB6">
        <w:t>objem</w:t>
      </w:r>
      <w:r>
        <w:t xml:space="preserve"> </w:t>
      </w:r>
      <w:r w:rsidRPr="00BA3DB6">
        <w:t>skutečně</w:t>
      </w:r>
      <w:r>
        <w:t xml:space="preserve"> </w:t>
      </w:r>
      <w:r w:rsidRPr="00BA3DB6">
        <w:t>obchodovaných</w:t>
      </w:r>
      <w:r>
        <w:t xml:space="preserve"> </w:t>
      </w:r>
      <w:r w:rsidRPr="00BA3DB6">
        <w:t>komodit</w:t>
      </w:r>
      <w:r>
        <w:t xml:space="preserve"> </w:t>
      </w:r>
      <w:r w:rsidRPr="00BA3DB6">
        <w:t>a</w:t>
      </w:r>
      <w:r>
        <w:t xml:space="preserve"> </w:t>
      </w:r>
      <w:r w:rsidRPr="00BA3DB6">
        <w:t>komoditních</w:t>
      </w:r>
      <w:r>
        <w:t xml:space="preserve"> </w:t>
      </w:r>
      <w:r w:rsidRPr="00BA3DB6">
        <w:t>derivátů</w:t>
      </w:r>
      <w:r>
        <w:t xml:space="preserve"> </w:t>
      </w:r>
      <w:r w:rsidRPr="00BA3DB6">
        <w:t>na</w:t>
      </w:r>
      <w:r>
        <w:t xml:space="preserve"> </w:t>
      </w:r>
      <w:r w:rsidRPr="00BA3DB6">
        <w:t>burze</w:t>
      </w:r>
      <w:r>
        <w:t xml:space="preserve"> </w:t>
      </w:r>
      <w:r w:rsidRPr="00BA3DB6">
        <w:t>a</w:t>
      </w:r>
      <w:r>
        <w:t xml:space="preserve"> </w:t>
      </w:r>
      <w:r w:rsidRPr="00BA3DB6">
        <w:t>počet</w:t>
      </w:r>
      <w:r>
        <w:t xml:space="preserve"> </w:t>
      </w:r>
      <w:r w:rsidRPr="00BA3DB6">
        <w:t>burzovních</w:t>
      </w:r>
      <w:r>
        <w:t xml:space="preserve"> </w:t>
      </w:r>
      <w:r w:rsidRPr="00BA3DB6">
        <w:t>dní,</w:t>
      </w:r>
    </w:p>
    <w:p w14:paraId="5C434616" w14:textId="2E664F6F" w:rsidR="00E76AAF" w:rsidRDefault="00E76AAF" w:rsidP="00E76AAF">
      <w:pPr>
        <w:pStyle w:val="Textparagrafu"/>
        <w:numPr>
          <w:ilvl w:val="0"/>
          <w:numId w:val="28"/>
        </w:numPr>
        <w:tabs>
          <w:tab w:val="left" w:pos="392"/>
        </w:tabs>
        <w:spacing w:before="0"/>
      </w:pPr>
      <w:r w:rsidRPr="00BA3DB6">
        <w:t>f)</w:t>
      </w:r>
      <w:r>
        <w:tab/>
      </w:r>
      <w:r w:rsidRPr="00BA3DB6">
        <w:t>seznam</w:t>
      </w:r>
      <w:r>
        <w:t xml:space="preserve"> </w:t>
      </w:r>
      <w:r w:rsidRPr="00BA3DB6">
        <w:t>soukromých</w:t>
      </w:r>
      <w:r>
        <w:t xml:space="preserve"> </w:t>
      </w:r>
      <w:r w:rsidRPr="00BA3DB6">
        <w:t>a</w:t>
      </w:r>
      <w:r>
        <w:t xml:space="preserve"> </w:t>
      </w:r>
      <w:r w:rsidRPr="00BA3DB6">
        <w:t>burzovních</w:t>
      </w:r>
      <w:r>
        <w:t xml:space="preserve"> </w:t>
      </w:r>
      <w:r w:rsidRPr="00BA3DB6">
        <w:t>dohodců,</w:t>
      </w:r>
    </w:p>
    <w:p w14:paraId="1BE49F5F" w14:textId="74189590" w:rsidR="00E76AAF" w:rsidRDefault="00E76AAF" w:rsidP="00D41C2D">
      <w:pPr>
        <w:pStyle w:val="Textparagrafu"/>
        <w:numPr>
          <w:ilvl w:val="0"/>
          <w:numId w:val="28"/>
        </w:numPr>
        <w:tabs>
          <w:tab w:val="left" w:pos="392"/>
        </w:tabs>
        <w:spacing w:before="0"/>
        <w:ind w:left="425" w:hanging="425"/>
        <w:rPr>
          <w:strike/>
        </w:rPr>
      </w:pPr>
      <w:r w:rsidRPr="006442B2">
        <w:rPr>
          <w:strike/>
        </w:rPr>
        <w:t>g)</w:t>
      </w:r>
      <w:r w:rsidRPr="006442B2">
        <w:rPr>
          <w:strike/>
        </w:rPr>
        <w:tab/>
        <w:t>účetní závěrku, případně zprávu auditora, a další údaje podle zvláštního právního předpisu</w:t>
      </w:r>
      <w:r w:rsidRPr="006442B2">
        <w:rPr>
          <w:rStyle w:val="Znakapoznpodarou"/>
          <w:strike/>
        </w:rPr>
        <w:footnoteReference w:customMarkFollows="1" w:id="111"/>
        <w:t>19)</w:t>
      </w:r>
      <w:r w:rsidRPr="006442B2">
        <w:rPr>
          <w:strike/>
        </w:rPr>
        <w:t>,</w:t>
      </w:r>
    </w:p>
    <w:p w14:paraId="6E2EBA28" w14:textId="4BF94CAF" w:rsidR="006442B2" w:rsidRPr="006442B2" w:rsidRDefault="006442B2" w:rsidP="006442B2">
      <w:pPr>
        <w:pStyle w:val="Textparagrafu"/>
        <w:numPr>
          <w:ilvl w:val="0"/>
          <w:numId w:val="28"/>
        </w:numPr>
        <w:tabs>
          <w:tab w:val="left" w:pos="392"/>
        </w:tabs>
        <w:spacing w:before="0"/>
        <w:rPr>
          <w:b/>
        </w:rPr>
      </w:pPr>
      <w:r w:rsidRPr="006442B2">
        <w:rPr>
          <w:b/>
        </w:rPr>
        <w:t>g)</w:t>
      </w:r>
      <w:r w:rsidRPr="006442B2">
        <w:rPr>
          <w:b/>
        </w:rPr>
        <w:tab/>
        <w:t>řádnou individuální účetní závěrku a případně zprávu auditora o povinném auditu,</w:t>
      </w:r>
    </w:p>
    <w:p w14:paraId="2CC2D023" w14:textId="7E51B7B8" w:rsidR="00E76AAF" w:rsidRPr="00BA3DB6" w:rsidRDefault="00E76AAF" w:rsidP="006442B2">
      <w:pPr>
        <w:pStyle w:val="Textparagrafu"/>
        <w:numPr>
          <w:ilvl w:val="0"/>
          <w:numId w:val="28"/>
        </w:numPr>
        <w:tabs>
          <w:tab w:val="left" w:pos="392"/>
        </w:tabs>
        <w:spacing w:before="0"/>
      </w:pPr>
      <w:r w:rsidRPr="00BA3DB6">
        <w:t>h)</w:t>
      </w:r>
      <w:r>
        <w:tab/>
      </w:r>
      <w:r w:rsidRPr="00BA3DB6">
        <w:t>informace</w:t>
      </w:r>
      <w:r>
        <w:t xml:space="preserve"> </w:t>
      </w:r>
      <w:r w:rsidRPr="00BA3DB6">
        <w:t>o</w:t>
      </w:r>
      <w:r>
        <w:t xml:space="preserve"> </w:t>
      </w:r>
      <w:r w:rsidRPr="00BA3DB6">
        <w:t>činnosti</w:t>
      </w:r>
      <w:r>
        <w:t xml:space="preserve"> </w:t>
      </w:r>
      <w:r w:rsidRPr="00BA3DB6">
        <w:t>burzovního</w:t>
      </w:r>
      <w:r>
        <w:t xml:space="preserve"> </w:t>
      </w:r>
      <w:r w:rsidRPr="00BA3DB6">
        <w:t>rozhodčího</w:t>
      </w:r>
      <w:r>
        <w:t xml:space="preserve"> </w:t>
      </w:r>
      <w:r w:rsidRPr="00BA3DB6">
        <w:t>soudu,</w:t>
      </w:r>
      <w:r>
        <w:t xml:space="preserve"> </w:t>
      </w:r>
      <w:r w:rsidRPr="00BA3DB6">
        <w:t>pokud</w:t>
      </w:r>
      <w:r>
        <w:t xml:space="preserve"> </w:t>
      </w:r>
      <w:r w:rsidRPr="00BA3DB6">
        <w:t>je</w:t>
      </w:r>
      <w:r>
        <w:t xml:space="preserve"> </w:t>
      </w:r>
      <w:r w:rsidRPr="00BA3DB6">
        <w:t>zřízen.</w:t>
      </w:r>
    </w:p>
    <w:p w14:paraId="27A639F2" w14:textId="77777777" w:rsidR="006442B2" w:rsidRPr="00437E93" w:rsidRDefault="006442B2" w:rsidP="00D41C2D">
      <w:pPr>
        <w:pStyle w:val="Textpsmene"/>
        <w:numPr>
          <w:ilvl w:val="0"/>
          <w:numId w:val="28"/>
        </w:numPr>
        <w:tabs>
          <w:tab w:val="left" w:pos="426"/>
        </w:tabs>
        <w:spacing w:before="120" w:after="120"/>
        <w:rPr>
          <w:b/>
          <w:bCs/>
        </w:rPr>
      </w:pPr>
      <w:r w:rsidRPr="00437E93">
        <w:tab/>
      </w:r>
      <w:r w:rsidRPr="00437E93">
        <w:rPr>
          <w:b/>
          <w:bCs/>
        </w:rPr>
        <w:t xml:space="preserve">(3) </w:t>
      </w:r>
      <w:r>
        <w:rPr>
          <w:b/>
          <w:bCs/>
        </w:rPr>
        <w:t>Vyhotovuje-li burza</w:t>
      </w:r>
      <w:r w:rsidRPr="00437E93">
        <w:rPr>
          <w:b/>
          <w:bCs/>
        </w:rPr>
        <w:t xml:space="preserve"> zprávu vedení, tato zpráva může být součástí výroční zprávy; v tomto případě zpráva vedení nahrazuje informace uvedené v odstavci 2 písm. a).</w:t>
      </w:r>
    </w:p>
    <w:p w14:paraId="2F09CBC9" w14:textId="77777777" w:rsidR="006442B2" w:rsidRPr="00437E93" w:rsidRDefault="006442B2" w:rsidP="00D41C2D">
      <w:pPr>
        <w:pStyle w:val="Textodstavce"/>
        <w:numPr>
          <w:ilvl w:val="0"/>
          <w:numId w:val="28"/>
        </w:numPr>
        <w:ind w:firstLine="426"/>
      </w:pPr>
      <w:r w:rsidRPr="00437E93">
        <w:rPr>
          <w:b/>
        </w:rPr>
        <w:t>(4) Individuálním účetním obdobím burzy je kalendářní rok.</w:t>
      </w:r>
    </w:p>
    <w:p w14:paraId="1EB2E7BA" w14:textId="77777777" w:rsidR="005E62BF" w:rsidRDefault="005E62BF" w:rsidP="008F5A61">
      <w:pPr>
        <w:pStyle w:val="Textparagrafu"/>
        <w:numPr>
          <w:ilvl w:val="0"/>
          <w:numId w:val="28"/>
        </w:numPr>
        <w:jc w:val="center"/>
        <w:rPr>
          <w:b/>
        </w:rPr>
        <w:sectPr w:rsidR="005E62BF" w:rsidSect="00084391">
          <w:footnotePr>
            <w:numStart w:val="3"/>
          </w:footnotePr>
          <w:endnotePr>
            <w:numFmt w:val="decimal"/>
          </w:endnotePr>
          <w:pgSz w:w="11906" w:h="16838"/>
          <w:pgMar w:top="1418" w:right="1418" w:bottom="1418" w:left="1418" w:header="709" w:footer="709" w:gutter="0"/>
          <w:cols w:space="708"/>
          <w:docGrid w:linePitch="360"/>
        </w:sectPr>
      </w:pPr>
    </w:p>
    <w:p w14:paraId="34A1CD6D" w14:textId="23A1607F" w:rsidR="005E62BF" w:rsidRDefault="005E62BF" w:rsidP="00D41C2D">
      <w:pPr>
        <w:pStyle w:val="Odstavecseseznamem"/>
        <w:tabs>
          <w:tab w:val="left" w:pos="851"/>
        </w:tabs>
        <w:spacing w:before="120" w:after="120"/>
        <w:ind w:left="0" w:firstLine="0"/>
        <w:jc w:val="center"/>
        <w:outlineLvl w:val="0"/>
        <w:rPr>
          <w:szCs w:val="24"/>
        </w:rPr>
      </w:pPr>
      <w:r w:rsidRPr="00E70B7D">
        <w:rPr>
          <w:b/>
          <w:szCs w:val="24"/>
        </w:rPr>
        <w:lastRenderedPageBreak/>
        <w:t xml:space="preserve">K části </w:t>
      </w:r>
      <w:r w:rsidR="00B811D2">
        <w:rPr>
          <w:b/>
          <w:szCs w:val="24"/>
        </w:rPr>
        <w:t>patnácté</w:t>
      </w:r>
      <w:r w:rsidRPr="00E70B7D">
        <w:rPr>
          <w:b/>
          <w:szCs w:val="24"/>
        </w:rPr>
        <w:t xml:space="preserve"> návrhu zákona – </w:t>
      </w:r>
      <w:r w:rsidRPr="00E70B7D">
        <w:rPr>
          <w:szCs w:val="24"/>
        </w:rPr>
        <w:t xml:space="preserve">změna </w:t>
      </w:r>
      <w:r>
        <w:rPr>
          <w:szCs w:val="24"/>
        </w:rPr>
        <w:t xml:space="preserve">zákona </w:t>
      </w:r>
      <w:r w:rsidRPr="007906E0">
        <w:rPr>
          <w:szCs w:val="24"/>
        </w:rPr>
        <w:t xml:space="preserve">o </w:t>
      </w:r>
      <w:r w:rsidR="003834DF" w:rsidRPr="003834DF">
        <w:rPr>
          <w:szCs w:val="24"/>
        </w:rPr>
        <w:t>Státním fondu kultury České republiky</w:t>
      </w:r>
    </w:p>
    <w:p w14:paraId="71205009" w14:textId="77777777" w:rsidR="004958B0" w:rsidRPr="00AE0742" w:rsidRDefault="004958B0" w:rsidP="004958B0">
      <w:pPr>
        <w:pStyle w:val="Odstavecseseznamem"/>
        <w:tabs>
          <w:tab w:val="left" w:pos="851"/>
        </w:tabs>
        <w:spacing w:before="120" w:after="120"/>
        <w:ind w:left="0" w:firstLine="0"/>
        <w:outlineLvl w:val="0"/>
        <w:rPr>
          <w:b/>
          <w:szCs w:val="24"/>
        </w:rPr>
      </w:pPr>
    </w:p>
    <w:p w14:paraId="3E529541" w14:textId="0159ABB4" w:rsidR="005E62BF" w:rsidRDefault="005E62BF" w:rsidP="003834DF">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AE0742">
        <w:rPr>
          <w:b/>
          <w:szCs w:val="24"/>
        </w:rPr>
        <w:t>Platné znění</w:t>
      </w:r>
      <w:r w:rsidRPr="00AE0742">
        <w:rPr>
          <w:szCs w:val="24"/>
        </w:rPr>
        <w:t xml:space="preserve"> zákona </w:t>
      </w:r>
      <w:r w:rsidRPr="00AE0742">
        <w:rPr>
          <w:color w:val="000000"/>
          <w:szCs w:val="24"/>
        </w:rPr>
        <w:t>č. </w:t>
      </w:r>
      <w:r w:rsidR="005265E1">
        <w:rPr>
          <w:color w:val="000000"/>
          <w:szCs w:val="24"/>
        </w:rPr>
        <w:t>23</w:t>
      </w:r>
      <w:r>
        <w:rPr>
          <w:color w:val="000000"/>
          <w:szCs w:val="24"/>
        </w:rPr>
        <w:t xml:space="preserve">9/1992 </w:t>
      </w:r>
      <w:r w:rsidRPr="00AE0742">
        <w:rPr>
          <w:color w:val="000000"/>
          <w:szCs w:val="24"/>
        </w:rPr>
        <w:t xml:space="preserve">Sb., </w:t>
      </w:r>
      <w:r w:rsidRPr="007906E0">
        <w:rPr>
          <w:szCs w:val="24"/>
        </w:rPr>
        <w:t xml:space="preserve">o </w:t>
      </w:r>
      <w:r w:rsidR="003834DF" w:rsidRPr="003834DF">
        <w:rPr>
          <w:szCs w:val="24"/>
        </w:rPr>
        <w:t>Státním fondu kultury České republiky</w:t>
      </w:r>
    </w:p>
    <w:p w14:paraId="0134C379" w14:textId="0FCF99AE" w:rsidR="005E62BF" w:rsidRPr="00D41C2D" w:rsidRDefault="00D41C2D" w:rsidP="00D41C2D">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b/>
          <w:szCs w:val="24"/>
        </w:rPr>
      </w:pPr>
      <w:r w:rsidRPr="00A06781">
        <w:rPr>
          <w:b/>
          <w:szCs w:val="24"/>
        </w:rPr>
        <w:t>s vyznačením navrhovaných změn a doplnění k 1. lednu 2025</w:t>
      </w:r>
    </w:p>
    <w:p w14:paraId="3906C2F7" w14:textId="66C75370" w:rsidR="001D7E38" w:rsidRDefault="00BF6DD0" w:rsidP="008F5A61">
      <w:pPr>
        <w:pStyle w:val="Textparagrafu"/>
        <w:numPr>
          <w:ilvl w:val="0"/>
          <w:numId w:val="28"/>
        </w:numPr>
        <w:jc w:val="center"/>
        <w:rPr>
          <w:b/>
        </w:rPr>
      </w:pPr>
      <w:r>
        <w:rPr>
          <w:b/>
        </w:rPr>
        <w:t>***</w:t>
      </w:r>
    </w:p>
    <w:p w14:paraId="121B3C46" w14:textId="2A29F856" w:rsidR="00BF6DD0" w:rsidRDefault="00BF6DD0" w:rsidP="00BF6DD0">
      <w:pPr>
        <w:pStyle w:val="Textparagrafu"/>
        <w:numPr>
          <w:ilvl w:val="0"/>
          <w:numId w:val="28"/>
        </w:numPr>
        <w:jc w:val="center"/>
      </w:pPr>
      <w:r w:rsidRPr="00667E8B">
        <w:t>§</w:t>
      </w:r>
      <w:r>
        <w:t xml:space="preserve"> </w:t>
      </w:r>
      <w:r w:rsidRPr="00667E8B">
        <w:t>5</w:t>
      </w:r>
    </w:p>
    <w:p w14:paraId="39E3FD48" w14:textId="77777777" w:rsidR="00BF6DD0" w:rsidRPr="00667E8B" w:rsidRDefault="00BF6DD0" w:rsidP="00471221">
      <w:pPr>
        <w:pStyle w:val="Textparagrafu"/>
        <w:numPr>
          <w:ilvl w:val="0"/>
          <w:numId w:val="28"/>
        </w:numPr>
        <w:spacing w:before="120" w:after="120"/>
        <w:ind w:firstLine="425"/>
      </w:pPr>
      <w:r w:rsidRPr="00667E8B">
        <w:t>(1)</w:t>
      </w:r>
      <w:r>
        <w:t xml:space="preserve"> </w:t>
      </w:r>
      <w:r w:rsidRPr="00667E8B">
        <w:t>Rada</w:t>
      </w:r>
      <w:r>
        <w:t xml:space="preserve"> </w:t>
      </w:r>
      <w:r w:rsidRPr="00667E8B">
        <w:t>posuzuje</w:t>
      </w:r>
      <w:r>
        <w:t xml:space="preserve"> </w:t>
      </w:r>
      <w:r w:rsidRPr="00667E8B">
        <w:t>zejména</w:t>
      </w:r>
    </w:p>
    <w:p w14:paraId="7A78814E" w14:textId="59D2AD5E" w:rsidR="00BF6DD0" w:rsidRDefault="00BF6DD0" w:rsidP="00BF6DD0">
      <w:pPr>
        <w:pStyle w:val="Textparagrafu"/>
        <w:numPr>
          <w:ilvl w:val="0"/>
          <w:numId w:val="28"/>
        </w:numPr>
        <w:tabs>
          <w:tab w:val="left" w:pos="406"/>
        </w:tabs>
        <w:spacing w:before="0"/>
      </w:pPr>
      <w:r w:rsidRPr="00667E8B">
        <w:t>a)</w:t>
      </w:r>
      <w:r>
        <w:tab/>
      </w:r>
      <w:r w:rsidRPr="00667E8B">
        <w:t>zásadní</w:t>
      </w:r>
      <w:r>
        <w:t xml:space="preserve"> </w:t>
      </w:r>
      <w:r w:rsidRPr="00667E8B">
        <w:t>otázky</w:t>
      </w:r>
      <w:r>
        <w:t xml:space="preserve"> </w:t>
      </w:r>
      <w:r w:rsidRPr="00667E8B">
        <w:t>tvorby</w:t>
      </w:r>
      <w:r>
        <w:t xml:space="preserve"> </w:t>
      </w:r>
      <w:r w:rsidRPr="00667E8B">
        <w:t>a</w:t>
      </w:r>
      <w:r>
        <w:t xml:space="preserve"> </w:t>
      </w:r>
      <w:r w:rsidRPr="00667E8B">
        <w:t>užití</w:t>
      </w:r>
      <w:r>
        <w:t xml:space="preserve"> </w:t>
      </w:r>
      <w:r w:rsidRPr="00667E8B">
        <w:t>prostředků</w:t>
      </w:r>
      <w:r>
        <w:t xml:space="preserve"> </w:t>
      </w:r>
      <w:r w:rsidRPr="00667E8B">
        <w:t>Fondu,</w:t>
      </w:r>
    </w:p>
    <w:p w14:paraId="7C05787B" w14:textId="499F385C" w:rsidR="00BF6DD0" w:rsidRDefault="00BF6DD0" w:rsidP="00BF6DD0">
      <w:pPr>
        <w:pStyle w:val="Textparagrafu"/>
        <w:numPr>
          <w:ilvl w:val="0"/>
          <w:numId w:val="28"/>
        </w:numPr>
        <w:tabs>
          <w:tab w:val="left" w:pos="426"/>
        </w:tabs>
        <w:spacing w:before="0"/>
      </w:pPr>
      <w:r w:rsidRPr="00667E8B">
        <w:t>b)</w:t>
      </w:r>
      <w:r>
        <w:tab/>
      </w:r>
      <w:r w:rsidRPr="00667E8B">
        <w:t>návrh</w:t>
      </w:r>
      <w:r>
        <w:t xml:space="preserve"> </w:t>
      </w:r>
      <w:r w:rsidRPr="00667E8B">
        <w:t>ročního</w:t>
      </w:r>
      <w:r>
        <w:t xml:space="preserve"> </w:t>
      </w:r>
      <w:r w:rsidRPr="00667E8B">
        <w:t>rozpočtu</w:t>
      </w:r>
      <w:r>
        <w:t xml:space="preserve"> </w:t>
      </w:r>
      <w:r w:rsidRPr="00667E8B">
        <w:t>příjmů</w:t>
      </w:r>
      <w:r>
        <w:t xml:space="preserve"> </w:t>
      </w:r>
      <w:r w:rsidRPr="00667E8B">
        <w:t>a</w:t>
      </w:r>
      <w:r>
        <w:t xml:space="preserve"> </w:t>
      </w:r>
      <w:r w:rsidRPr="00667E8B">
        <w:t>výdajů</w:t>
      </w:r>
      <w:r>
        <w:t xml:space="preserve"> </w:t>
      </w:r>
      <w:r w:rsidRPr="00667E8B">
        <w:t>Fondu</w:t>
      </w:r>
      <w:r>
        <w:t xml:space="preserve"> </w:t>
      </w:r>
      <w:r w:rsidRPr="00667E8B">
        <w:t>a</w:t>
      </w:r>
      <w:r>
        <w:t xml:space="preserve"> </w:t>
      </w:r>
      <w:r w:rsidRPr="00667E8B">
        <w:t>návrh</w:t>
      </w:r>
      <w:r>
        <w:t xml:space="preserve"> </w:t>
      </w:r>
      <w:r w:rsidRPr="00667E8B">
        <w:t>závěrečného</w:t>
      </w:r>
      <w:r>
        <w:t xml:space="preserve"> </w:t>
      </w:r>
      <w:r w:rsidRPr="00667E8B">
        <w:t>účtu</w:t>
      </w:r>
      <w:r>
        <w:t xml:space="preserve"> </w:t>
      </w:r>
      <w:r w:rsidRPr="00667E8B">
        <w:t>Fondu.</w:t>
      </w:r>
    </w:p>
    <w:p w14:paraId="78EBFD4B" w14:textId="77777777" w:rsidR="00BF6DD0" w:rsidRDefault="00BF6DD0" w:rsidP="00471221">
      <w:pPr>
        <w:pStyle w:val="Textparagrafu"/>
        <w:numPr>
          <w:ilvl w:val="0"/>
          <w:numId w:val="28"/>
        </w:numPr>
        <w:spacing w:before="120" w:after="120"/>
        <w:ind w:firstLine="425"/>
      </w:pPr>
      <w:r w:rsidRPr="00667E8B">
        <w:t>(2)</w:t>
      </w:r>
      <w:r>
        <w:t xml:space="preserve"> </w:t>
      </w:r>
      <w:r w:rsidRPr="00667E8B">
        <w:t>Rada</w:t>
      </w:r>
      <w:r>
        <w:t xml:space="preserve"> </w:t>
      </w:r>
      <w:r w:rsidRPr="00667E8B">
        <w:t>rozhoduje</w:t>
      </w:r>
      <w:r>
        <w:t xml:space="preserve"> </w:t>
      </w:r>
      <w:r w:rsidRPr="00667E8B">
        <w:t>o</w:t>
      </w:r>
      <w:r>
        <w:t xml:space="preserve"> </w:t>
      </w:r>
      <w:r w:rsidRPr="00667E8B">
        <w:t>žádostech</w:t>
      </w:r>
      <w:r>
        <w:t xml:space="preserve"> </w:t>
      </w:r>
      <w:r w:rsidRPr="00667E8B">
        <w:t>o</w:t>
      </w:r>
      <w:r>
        <w:t xml:space="preserve"> </w:t>
      </w:r>
      <w:r w:rsidRPr="00667E8B">
        <w:t>poskytnutí</w:t>
      </w:r>
      <w:r>
        <w:t xml:space="preserve"> </w:t>
      </w:r>
      <w:r w:rsidRPr="00667E8B">
        <w:t>prostředků</w:t>
      </w:r>
      <w:r>
        <w:t xml:space="preserve"> </w:t>
      </w:r>
      <w:r w:rsidRPr="00667E8B">
        <w:t>Fondu</w:t>
      </w:r>
      <w:r>
        <w:t xml:space="preserve"> </w:t>
      </w:r>
      <w:r w:rsidRPr="00667E8B">
        <w:t>podle</w:t>
      </w:r>
      <w:r>
        <w:t xml:space="preserve"> </w:t>
      </w:r>
      <w:r w:rsidRPr="00667E8B">
        <w:t>§</w:t>
      </w:r>
      <w:r>
        <w:t xml:space="preserve"> </w:t>
      </w:r>
      <w:r w:rsidRPr="00667E8B">
        <w:t>10.</w:t>
      </w:r>
    </w:p>
    <w:p w14:paraId="106114C5" w14:textId="6A083C6D" w:rsidR="00BF6DD0" w:rsidRDefault="00BF6DD0" w:rsidP="00471221">
      <w:pPr>
        <w:pStyle w:val="Textparagrafu"/>
        <w:numPr>
          <w:ilvl w:val="0"/>
          <w:numId w:val="28"/>
        </w:numPr>
        <w:spacing w:before="120" w:after="120"/>
        <w:ind w:firstLine="425"/>
        <w:rPr>
          <w:strike/>
        </w:rPr>
      </w:pPr>
      <w:r w:rsidRPr="00BF6DD0">
        <w:rPr>
          <w:strike/>
        </w:rPr>
        <w:t>(3) Rada schvaluje účetní závěrku Fondu sestavenou k rozvahovému dni.</w:t>
      </w:r>
    </w:p>
    <w:p w14:paraId="590309E6" w14:textId="60FD6CA2" w:rsidR="00BF6DD0" w:rsidRPr="00BF6DD0" w:rsidRDefault="00BF6DD0" w:rsidP="00471221">
      <w:pPr>
        <w:pStyle w:val="Textparagrafu"/>
        <w:numPr>
          <w:ilvl w:val="0"/>
          <w:numId w:val="28"/>
        </w:numPr>
        <w:spacing w:before="120" w:after="120"/>
        <w:ind w:firstLine="425"/>
        <w:rPr>
          <w:strike/>
        </w:rPr>
      </w:pPr>
      <w:r w:rsidRPr="00BF6DD0">
        <w:rPr>
          <w:b/>
        </w:rPr>
        <w:t xml:space="preserve">(3) </w:t>
      </w:r>
      <w:r w:rsidRPr="004D496C">
        <w:rPr>
          <w:b/>
        </w:rPr>
        <w:t>Rada schvaluje řádnou individuální účetní závěrku Fondu</w:t>
      </w:r>
      <w:r>
        <w:rPr>
          <w:b/>
        </w:rPr>
        <w:t>.</w:t>
      </w:r>
    </w:p>
    <w:p w14:paraId="77667A0B" w14:textId="2728D6E2" w:rsidR="00BF6DD0" w:rsidRDefault="00BF6DD0" w:rsidP="00BF6DD0">
      <w:pPr>
        <w:pStyle w:val="Textparagrafu"/>
        <w:numPr>
          <w:ilvl w:val="0"/>
          <w:numId w:val="28"/>
        </w:numPr>
        <w:jc w:val="center"/>
      </w:pPr>
      <w:r w:rsidRPr="00667E8B">
        <w:t>§</w:t>
      </w:r>
      <w:r>
        <w:t xml:space="preserve"> </w:t>
      </w:r>
      <w:r w:rsidRPr="00667E8B">
        <w:t>6</w:t>
      </w:r>
    </w:p>
    <w:p w14:paraId="3164E5D8" w14:textId="77777777" w:rsidR="00BF6DD0" w:rsidRDefault="00BF6DD0" w:rsidP="00471221">
      <w:pPr>
        <w:pStyle w:val="Textparagrafu"/>
        <w:numPr>
          <w:ilvl w:val="0"/>
          <w:numId w:val="28"/>
        </w:numPr>
        <w:spacing w:before="120" w:after="120"/>
        <w:ind w:firstLine="425"/>
      </w:pPr>
      <w:r w:rsidRPr="00667E8B">
        <w:t>(1)</w:t>
      </w:r>
      <w:r>
        <w:t xml:space="preserve"> </w:t>
      </w:r>
      <w:r w:rsidRPr="00667E8B">
        <w:t>Správce</w:t>
      </w:r>
      <w:r>
        <w:t xml:space="preserve"> </w:t>
      </w:r>
      <w:r w:rsidRPr="00667E8B">
        <w:t>Fondu</w:t>
      </w:r>
      <w:r>
        <w:t xml:space="preserve"> </w:t>
      </w:r>
      <w:r w:rsidRPr="00667E8B">
        <w:t>sestavuje</w:t>
      </w:r>
      <w:r>
        <w:t xml:space="preserve"> </w:t>
      </w:r>
      <w:r w:rsidRPr="00667E8B">
        <w:t>pro</w:t>
      </w:r>
      <w:r>
        <w:t xml:space="preserve"> </w:t>
      </w:r>
      <w:r w:rsidRPr="00667E8B">
        <w:t>každý</w:t>
      </w:r>
      <w:r>
        <w:t xml:space="preserve"> </w:t>
      </w:r>
      <w:r w:rsidRPr="00667E8B">
        <w:t>rozpočtový</w:t>
      </w:r>
      <w:r>
        <w:t xml:space="preserve"> </w:t>
      </w:r>
      <w:r w:rsidRPr="00667E8B">
        <w:t>rok</w:t>
      </w:r>
      <w:r>
        <w:t xml:space="preserve"> </w:t>
      </w:r>
      <w:r w:rsidRPr="00667E8B">
        <w:t>návrh</w:t>
      </w:r>
      <w:r>
        <w:t xml:space="preserve"> </w:t>
      </w:r>
      <w:r w:rsidRPr="00667E8B">
        <w:t>rozpočtu</w:t>
      </w:r>
      <w:r>
        <w:t xml:space="preserve"> </w:t>
      </w:r>
      <w:r w:rsidRPr="00667E8B">
        <w:t>příjmů</w:t>
      </w:r>
      <w:r>
        <w:t xml:space="preserve"> </w:t>
      </w:r>
      <w:r w:rsidRPr="00667E8B">
        <w:t>a</w:t>
      </w:r>
      <w:r>
        <w:t xml:space="preserve"> </w:t>
      </w:r>
      <w:r w:rsidRPr="00667E8B">
        <w:t>výdajů,</w:t>
      </w:r>
      <w:r>
        <w:t xml:space="preserve"> </w:t>
      </w:r>
      <w:r w:rsidRPr="00667E8B">
        <w:t>přehled</w:t>
      </w:r>
      <w:r>
        <w:t xml:space="preserve"> </w:t>
      </w:r>
      <w:r w:rsidRPr="00667E8B">
        <w:t>pohledávek</w:t>
      </w:r>
      <w:r>
        <w:t xml:space="preserve"> </w:t>
      </w:r>
      <w:r w:rsidRPr="00667E8B">
        <w:t>a</w:t>
      </w:r>
      <w:r>
        <w:t xml:space="preserve"> </w:t>
      </w:r>
      <w:r w:rsidRPr="00667E8B">
        <w:t>závazků</w:t>
      </w:r>
      <w:r>
        <w:t xml:space="preserve"> </w:t>
      </w:r>
      <w:r w:rsidRPr="00667E8B">
        <w:t>a</w:t>
      </w:r>
      <w:r>
        <w:t xml:space="preserve"> </w:t>
      </w:r>
      <w:r w:rsidRPr="00667E8B">
        <w:t>závěrečný</w:t>
      </w:r>
      <w:r>
        <w:t xml:space="preserve"> </w:t>
      </w:r>
      <w:r w:rsidRPr="00667E8B">
        <w:t>účet</w:t>
      </w:r>
      <w:r>
        <w:t xml:space="preserve"> </w:t>
      </w:r>
      <w:r w:rsidRPr="00667E8B">
        <w:t>Fondu,</w:t>
      </w:r>
      <w:r>
        <w:t xml:space="preserve"> </w:t>
      </w:r>
      <w:r w:rsidRPr="00667E8B">
        <w:t>který</w:t>
      </w:r>
      <w:r>
        <w:t xml:space="preserve"> </w:t>
      </w:r>
      <w:r w:rsidRPr="00667E8B">
        <w:t>předkládá</w:t>
      </w:r>
      <w:r>
        <w:t xml:space="preserve"> </w:t>
      </w:r>
      <w:r w:rsidRPr="00667E8B">
        <w:t>ministerstvu</w:t>
      </w:r>
      <w:r>
        <w:t xml:space="preserve"> </w:t>
      </w:r>
      <w:r w:rsidRPr="00667E8B">
        <w:t>financí</w:t>
      </w:r>
      <w:r>
        <w:t xml:space="preserve"> </w:t>
      </w:r>
      <w:r w:rsidRPr="00667E8B">
        <w:t>České</w:t>
      </w:r>
      <w:r>
        <w:t xml:space="preserve"> </w:t>
      </w:r>
      <w:r w:rsidRPr="00667E8B">
        <w:t>republiky</w:t>
      </w:r>
      <w:r>
        <w:t xml:space="preserve"> </w:t>
      </w:r>
      <w:r w:rsidRPr="00667E8B">
        <w:t>ve</w:t>
      </w:r>
      <w:r>
        <w:t xml:space="preserve"> </w:t>
      </w:r>
      <w:r w:rsidRPr="00667E8B">
        <w:t>lhůtách</w:t>
      </w:r>
      <w:r>
        <w:t xml:space="preserve"> </w:t>
      </w:r>
      <w:r w:rsidRPr="00667E8B">
        <w:t>stanovených</w:t>
      </w:r>
      <w:r>
        <w:t xml:space="preserve"> </w:t>
      </w:r>
      <w:r w:rsidRPr="00667E8B">
        <w:t>pro</w:t>
      </w:r>
      <w:r>
        <w:t xml:space="preserve"> </w:t>
      </w:r>
      <w:r w:rsidRPr="00667E8B">
        <w:t>sestavování</w:t>
      </w:r>
      <w:r>
        <w:t xml:space="preserve"> </w:t>
      </w:r>
      <w:r w:rsidRPr="00667E8B">
        <w:t>státního</w:t>
      </w:r>
      <w:r>
        <w:t xml:space="preserve"> </w:t>
      </w:r>
      <w:r w:rsidRPr="00667E8B">
        <w:t>rozpočtu</w:t>
      </w:r>
      <w:r>
        <w:t xml:space="preserve"> </w:t>
      </w:r>
      <w:r w:rsidRPr="00667E8B">
        <w:t>České</w:t>
      </w:r>
      <w:r>
        <w:t xml:space="preserve"> </w:t>
      </w:r>
      <w:r w:rsidRPr="00667E8B">
        <w:t>republiky</w:t>
      </w:r>
      <w:r>
        <w:t xml:space="preserve"> </w:t>
      </w:r>
      <w:r w:rsidRPr="00667E8B">
        <w:t>(dále</w:t>
      </w:r>
      <w:r>
        <w:t xml:space="preserve"> </w:t>
      </w:r>
      <w:r w:rsidRPr="00667E8B">
        <w:t>jen</w:t>
      </w:r>
      <w:r>
        <w:t xml:space="preserve"> </w:t>
      </w:r>
      <w:r w:rsidRPr="00667E8B">
        <w:t>"státní</w:t>
      </w:r>
      <w:r>
        <w:t xml:space="preserve"> </w:t>
      </w:r>
      <w:r w:rsidRPr="00667E8B">
        <w:t>rozpočet")</w:t>
      </w:r>
      <w:r>
        <w:t xml:space="preserve"> </w:t>
      </w:r>
      <w:r w:rsidRPr="00667E8B">
        <w:t>a</w:t>
      </w:r>
      <w:r>
        <w:t xml:space="preserve"> </w:t>
      </w:r>
      <w:r w:rsidRPr="00667E8B">
        <w:t>státního</w:t>
      </w:r>
      <w:r>
        <w:t xml:space="preserve"> </w:t>
      </w:r>
      <w:r w:rsidRPr="00667E8B">
        <w:t>závěrečného</w:t>
      </w:r>
      <w:r>
        <w:t xml:space="preserve"> </w:t>
      </w:r>
      <w:r w:rsidRPr="00667E8B">
        <w:t>účtu</w:t>
      </w:r>
      <w:r>
        <w:t xml:space="preserve"> </w:t>
      </w:r>
      <w:r w:rsidRPr="00667E8B">
        <w:t>České</w:t>
      </w:r>
      <w:r>
        <w:t xml:space="preserve"> </w:t>
      </w:r>
      <w:r w:rsidRPr="00667E8B">
        <w:t>republiky</w:t>
      </w:r>
      <w:r>
        <w:t xml:space="preserve"> </w:t>
      </w:r>
      <w:r w:rsidRPr="00667E8B">
        <w:t>(dále</w:t>
      </w:r>
      <w:r>
        <w:t xml:space="preserve"> </w:t>
      </w:r>
      <w:r w:rsidRPr="00667E8B">
        <w:t>jen</w:t>
      </w:r>
      <w:r>
        <w:t xml:space="preserve"> </w:t>
      </w:r>
      <w:r w:rsidRPr="00667E8B">
        <w:t>"státní</w:t>
      </w:r>
      <w:r>
        <w:t xml:space="preserve"> </w:t>
      </w:r>
      <w:r w:rsidRPr="00667E8B">
        <w:t>závěrečný</w:t>
      </w:r>
      <w:r>
        <w:t xml:space="preserve"> </w:t>
      </w:r>
      <w:r w:rsidRPr="00667E8B">
        <w:t>účet").</w:t>
      </w:r>
    </w:p>
    <w:p w14:paraId="06D24E0A" w14:textId="6859D578" w:rsidR="00BF6DD0" w:rsidRDefault="00BF6DD0" w:rsidP="00471221">
      <w:pPr>
        <w:pStyle w:val="Textparagrafu"/>
        <w:numPr>
          <w:ilvl w:val="0"/>
          <w:numId w:val="28"/>
        </w:numPr>
        <w:spacing w:before="120" w:after="120"/>
        <w:ind w:firstLine="425"/>
      </w:pPr>
      <w:r w:rsidRPr="00667E8B">
        <w:t>(2)</w:t>
      </w:r>
      <w:r>
        <w:t xml:space="preserve"> </w:t>
      </w:r>
      <w:r w:rsidRPr="00667E8B">
        <w:t>Návrh</w:t>
      </w:r>
      <w:r>
        <w:t xml:space="preserve"> </w:t>
      </w:r>
      <w:r w:rsidRPr="00667E8B">
        <w:t>rozpočtu</w:t>
      </w:r>
      <w:r>
        <w:t xml:space="preserve"> </w:t>
      </w:r>
      <w:r w:rsidRPr="00667E8B">
        <w:t>Fondu</w:t>
      </w:r>
      <w:r>
        <w:t xml:space="preserve"> </w:t>
      </w:r>
      <w:r w:rsidRPr="00667E8B">
        <w:t>předkládá</w:t>
      </w:r>
      <w:r>
        <w:t xml:space="preserve"> </w:t>
      </w:r>
      <w:r w:rsidRPr="00667E8B">
        <w:t>Ministerstvo</w:t>
      </w:r>
      <w:r>
        <w:t xml:space="preserve"> </w:t>
      </w:r>
      <w:r w:rsidRPr="00667E8B">
        <w:t>financí</w:t>
      </w:r>
      <w:r>
        <w:t xml:space="preserve"> </w:t>
      </w:r>
      <w:r w:rsidRPr="00667E8B">
        <w:t>vládě</w:t>
      </w:r>
      <w:r>
        <w:t xml:space="preserve"> </w:t>
      </w:r>
      <w:r w:rsidRPr="00667E8B">
        <w:t>vždy</w:t>
      </w:r>
      <w:r>
        <w:t xml:space="preserve"> </w:t>
      </w:r>
      <w:r w:rsidRPr="00667E8B">
        <w:t>do</w:t>
      </w:r>
      <w:r>
        <w:t xml:space="preserve"> </w:t>
      </w:r>
      <w:r w:rsidRPr="00667E8B">
        <w:t>31.</w:t>
      </w:r>
      <w:r>
        <w:t xml:space="preserve"> </w:t>
      </w:r>
      <w:r w:rsidRPr="00667E8B">
        <w:t>srpna</w:t>
      </w:r>
      <w:r>
        <w:t xml:space="preserve"> </w:t>
      </w:r>
      <w:r w:rsidRPr="00667E8B">
        <w:t>a</w:t>
      </w:r>
      <w:r>
        <w:t xml:space="preserve"> </w:t>
      </w:r>
      <w:r w:rsidRPr="00667E8B">
        <w:t>ta</w:t>
      </w:r>
      <w:r>
        <w:t xml:space="preserve"> </w:t>
      </w:r>
      <w:r w:rsidRPr="00667E8B">
        <w:t>jej</w:t>
      </w:r>
      <w:r>
        <w:t xml:space="preserve"> </w:t>
      </w:r>
      <w:r w:rsidRPr="00667E8B">
        <w:t>po</w:t>
      </w:r>
      <w:r>
        <w:t xml:space="preserve"> </w:t>
      </w:r>
      <w:r w:rsidRPr="00667E8B">
        <w:t>případných</w:t>
      </w:r>
      <w:r>
        <w:t xml:space="preserve"> </w:t>
      </w:r>
      <w:r w:rsidRPr="00667E8B">
        <w:t>změnách,</w:t>
      </w:r>
      <w:r>
        <w:t xml:space="preserve"> </w:t>
      </w:r>
      <w:r w:rsidRPr="00667E8B">
        <w:t>které</w:t>
      </w:r>
      <w:r>
        <w:t xml:space="preserve"> </w:t>
      </w:r>
      <w:r w:rsidRPr="00667E8B">
        <w:t>v</w:t>
      </w:r>
      <w:r>
        <w:t xml:space="preserve"> </w:t>
      </w:r>
      <w:r w:rsidRPr="00667E8B">
        <w:t>něm</w:t>
      </w:r>
      <w:r>
        <w:t xml:space="preserve"> </w:t>
      </w:r>
      <w:r w:rsidRPr="00667E8B">
        <w:t>provede,</w:t>
      </w:r>
      <w:r>
        <w:t xml:space="preserve"> </w:t>
      </w:r>
      <w:r w:rsidRPr="00667E8B">
        <w:t>předkládá</w:t>
      </w:r>
      <w:r>
        <w:t xml:space="preserve"> </w:t>
      </w:r>
      <w:r w:rsidRPr="00667E8B">
        <w:t>spolu</w:t>
      </w:r>
      <w:r>
        <w:t xml:space="preserve"> </w:t>
      </w:r>
      <w:r w:rsidRPr="00667E8B">
        <w:t>s</w:t>
      </w:r>
      <w:r>
        <w:t xml:space="preserve"> </w:t>
      </w:r>
      <w:r w:rsidRPr="00667E8B">
        <w:t>návrhem</w:t>
      </w:r>
      <w:r>
        <w:t xml:space="preserve"> </w:t>
      </w:r>
      <w:r w:rsidRPr="00667E8B">
        <w:t>státního</w:t>
      </w:r>
      <w:r>
        <w:t xml:space="preserve"> </w:t>
      </w:r>
      <w:r w:rsidRPr="00667E8B">
        <w:t>rozpočtu</w:t>
      </w:r>
      <w:r>
        <w:t xml:space="preserve"> </w:t>
      </w:r>
      <w:r w:rsidRPr="00667E8B">
        <w:t>ke</w:t>
      </w:r>
      <w:r>
        <w:t xml:space="preserve"> </w:t>
      </w:r>
      <w:r w:rsidRPr="00667E8B">
        <w:t>schválení</w:t>
      </w:r>
      <w:r>
        <w:t xml:space="preserve"> </w:t>
      </w:r>
      <w:r w:rsidRPr="00667E8B">
        <w:t>Poslanecké</w:t>
      </w:r>
      <w:r>
        <w:t xml:space="preserve"> </w:t>
      </w:r>
      <w:r w:rsidRPr="00667E8B">
        <w:t>sněmovně.</w:t>
      </w:r>
      <w:r>
        <w:t xml:space="preserve"> </w:t>
      </w:r>
      <w:r w:rsidRPr="00667E8B">
        <w:t>Správce</w:t>
      </w:r>
      <w:r>
        <w:t xml:space="preserve"> </w:t>
      </w:r>
      <w:r w:rsidRPr="00667E8B">
        <w:t>Fondu</w:t>
      </w:r>
      <w:r>
        <w:t xml:space="preserve"> </w:t>
      </w:r>
      <w:r w:rsidRPr="00667E8B">
        <w:t>stanoví</w:t>
      </w:r>
      <w:r>
        <w:t xml:space="preserve"> </w:t>
      </w:r>
      <w:r w:rsidRPr="00667E8B">
        <w:t>v</w:t>
      </w:r>
      <w:r>
        <w:t xml:space="preserve"> </w:t>
      </w:r>
      <w:r w:rsidRPr="00667E8B">
        <w:t>návrhu</w:t>
      </w:r>
      <w:r>
        <w:t xml:space="preserve"> </w:t>
      </w:r>
      <w:r w:rsidRPr="00667E8B">
        <w:t>rozpočtu</w:t>
      </w:r>
      <w:r>
        <w:t xml:space="preserve"> </w:t>
      </w:r>
      <w:r w:rsidRPr="00667E8B">
        <w:t>Fondu</w:t>
      </w:r>
      <w:r>
        <w:t xml:space="preserve"> </w:t>
      </w:r>
      <w:r w:rsidRPr="00667E8B">
        <w:t>jeho</w:t>
      </w:r>
      <w:r>
        <w:t xml:space="preserve"> </w:t>
      </w:r>
      <w:r w:rsidRPr="00667E8B">
        <w:t>celkové</w:t>
      </w:r>
      <w:r>
        <w:t xml:space="preserve"> </w:t>
      </w:r>
      <w:r w:rsidRPr="00667E8B">
        <w:t>výdaje</w:t>
      </w:r>
      <w:r>
        <w:t xml:space="preserve"> </w:t>
      </w:r>
      <w:r w:rsidRPr="00667E8B">
        <w:t>jako</w:t>
      </w:r>
      <w:r>
        <w:t xml:space="preserve"> </w:t>
      </w:r>
      <w:r w:rsidRPr="00667E8B">
        <w:t>částku</w:t>
      </w:r>
      <w:r>
        <w:t xml:space="preserve"> </w:t>
      </w:r>
      <w:r w:rsidRPr="00667E8B">
        <w:t>podle</w:t>
      </w:r>
      <w:r>
        <w:t xml:space="preserve"> </w:t>
      </w:r>
      <w:r w:rsidRPr="00667E8B">
        <w:t>zvláštního</w:t>
      </w:r>
      <w:r>
        <w:t xml:space="preserve"> </w:t>
      </w:r>
      <w:r w:rsidRPr="00667E8B">
        <w:t>zákona.</w:t>
      </w:r>
      <w:r>
        <w:rPr>
          <w:rStyle w:val="Znakapoznpodarou"/>
        </w:rPr>
        <w:footnoteReference w:customMarkFollows="1" w:id="112"/>
        <w:t>1a)</w:t>
      </w:r>
    </w:p>
    <w:p w14:paraId="4D087C72" w14:textId="77777777" w:rsidR="00BF6DD0" w:rsidRDefault="00BF6DD0" w:rsidP="00471221">
      <w:pPr>
        <w:pStyle w:val="Textparagrafu"/>
        <w:numPr>
          <w:ilvl w:val="0"/>
          <w:numId w:val="28"/>
        </w:numPr>
        <w:spacing w:before="120" w:after="120"/>
        <w:ind w:firstLine="425"/>
      </w:pPr>
      <w:r w:rsidRPr="00667E8B">
        <w:t>(3)</w:t>
      </w:r>
      <w:r>
        <w:t xml:space="preserve"> </w:t>
      </w:r>
      <w:r w:rsidRPr="00667E8B">
        <w:t>Se</w:t>
      </w:r>
      <w:r>
        <w:t xml:space="preserve"> </w:t>
      </w:r>
      <w:r w:rsidRPr="00667E8B">
        <w:t>závěrečným</w:t>
      </w:r>
      <w:r>
        <w:t xml:space="preserve"> </w:t>
      </w:r>
      <w:r w:rsidRPr="00667E8B">
        <w:t>účtem</w:t>
      </w:r>
      <w:r>
        <w:t xml:space="preserve"> </w:t>
      </w:r>
      <w:r w:rsidRPr="00667E8B">
        <w:t>Fondu</w:t>
      </w:r>
      <w:r>
        <w:t xml:space="preserve"> </w:t>
      </w:r>
      <w:r w:rsidRPr="00667E8B">
        <w:t>předkládá</w:t>
      </w:r>
      <w:r>
        <w:t xml:space="preserve"> </w:t>
      </w:r>
      <w:r w:rsidRPr="00667E8B">
        <w:t>správce</w:t>
      </w:r>
      <w:r>
        <w:t xml:space="preserve"> </w:t>
      </w:r>
      <w:r w:rsidRPr="00667E8B">
        <w:t>Fondu</w:t>
      </w:r>
      <w:r>
        <w:t xml:space="preserve"> </w:t>
      </w:r>
      <w:r w:rsidRPr="00667E8B">
        <w:t>vyhodnocení</w:t>
      </w:r>
      <w:r>
        <w:t xml:space="preserve"> </w:t>
      </w:r>
      <w:r w:rsidRPr="00667E8B">
        <w:t>prostředků</w:t>
      </w:r>
      <w:r>
        <w:t xml:space="preserve"> </w:t>
      </w:r>
      <w:r w:rsidRPr="00667E8B">
        <w:t>Fondem</w:t>
      </w:r>
      <w:r>
        <w:t xml:space="preserve"> </w:t>
      </w:r>
      <w:r w:rsidRPr="00667E8B">
        <w:t>vynaložených.</w:t>
      </w:r>
    </w:p>
    <w:p w14:paraId="599AFEB3" w14:textId="70B5A8DC" w:rsidR="00BF6DD0" w:rsidRPr="00667E8B" w:rsidRDefault="00BF6DD0" w:rsidP="00BF6DD0">
      <w:pPr>
        <w:pStyle w:val="Textparagrafu"/>
        <w:numPr>
          <w:ilvl w:val="0"/>
          <w:numId w:val="28"/>
        </w:numPr>
        <w:ind w:firstLine="426"/>
      </w:pPr>
      <w:r w:rsidRPr="00667E8B">
        <w:t>(4)</w:t>
      </w:r>
      <w:r>
        <w:t xml:space="preserve"> </w:t>
      </w:r>
      <w:r w:rsidRPr="00667E8B">
        <w:t>Fond</w:t>
      </w:r>
      <w:r>
        <w:t xml:space="preserve"> </w:t>
      </w:r>
      <w:r w:rsidRPr="001206A1">
        <w:rPr>
          <w:strike/>
        </w:rPr>
        <w:t>vede účetnictví podle zákona o účetnictví a zpracovává účetní závěrku, kterou ověřuje auditor</w:t>
      </w:r>
      <w:r w:rsidR="001206A1" w:rsidRPr="001206A1">
        <w:rPr>
          <w:b/>
          <w:szCs w:val="24"/>
        </w:rPr>
        <w:t xml:space="preserve"> </w:t>
      </w:r>
      <w:r w:rsidR="001206A1" w:rsidRPr="004D496C">
        <w:rPr>
          <w:b/>
          <w:szCs w:val="24"/>
        </w:rPr>
        <w:t>má povinnost auditu účetní závěrky</w:t>
      </w:r>
      <w:r w:rsidRPr="00667E8B">
        <w:t>.</w:t>
      </w:r>
      <w:r>
        <w:t xml:space="preserve"> </w:t>
      </w:r>
      <w:r w:rsidRPr="00667E8B">
        <w:t>Náklady</w:t>
      </w:r>
      <w:r>
        <w:t xml:space="preserve"> </w:t>
      </w:r>
      <w:r w:rsidRPr="00667E8B">
        <w:t>s</w:t>
      </w:r>
      <w:r>
        <w:t xml:space="preserve"> </w:t>
      </w:r>
      <w:r w:rsidRPr="00667E8B">
        <w:t>tím</w:t>
      </w:r>
      <w:r>
        <w:t xml:space="preserve"> </w:t>
      </w:r>
      <w:r w:rsidRPr="00667E8B">
        <w:t>spojené</w:t>
      </w:r>
      <w:r>
        <w:t xml:space="preserve"> </w:t>
      </w:r>
      <w:r w:rsidRPr="00667E8B">
        <w:t>nese</w:t>
      </w:r>
      <w:r>
        <w:t xml:space="preserve"> </w:t>
      </w:r>
      <w:r w:rsidRPr="00667E8B">
        <w:t>Fond.</w:t>
      </w:r>
    </w:p>
    <w:p w14:paraId="783D8F1F" w14:textId="77777777" w:rsidR="001206A1" w:rsidRDefault="001206A1" w:rsidP="008F5A61">
      <w:pPr>
        <w:pStyle w:val="Textparagrafu"/>
        <w:numPr>
          <w:ilvl w:val="0"/>
          <w:numId w:val="28"/>
        </w:numPr>
        <w:jc w:val="center"/>
        <w:rPr>
          <w:b/>
        </w:rPr>
        <w:sectPr w:rsidR="001206A1" w:rsidSect="00084391">
          <w:footnotePr>
            <w:numStart w:val="3"/>
          </w:footnotePr>
          <w:endnotePr>
            <w:numFmt w:val="decimal"/>
          </w:endnotePr>
          <w:pgSz w:w="11906" w:h="16838"/>
          <w:pgMar w:top="1418" w:right="1418" w:bottom="1418" w:left="1418" w:header="709" w:footer="709" w:gutter="0"/>
          <w:cols w:space="708"/>
          <w:docGrid w:linePitch="360"/>
        </w:sectPr>
      </w:pPr>
    </w:p>
    <w:p w14:paraId="348D529C" w14:textId="0FD64E86" w:rsidR="001206A1" w:rsidRDefault="001206A1" w:rsidP="00471221">
      <w:pPr>
        <w:pStyle w:val="Odstavecseseznamem"/>
        <w:tabs>
          <w:tab w:val="left" w:pos="851"/>
        </w:tabs>
        <w:spacing w:before="120" w:after="120"/>
        <w:ind w:left="0" w:firstLine="0"/>
        <w:jc w:val="center"/>
        <w:outlineLvl w:val="0"/>
        <w:rPr>
          <w:szCs w:val="24"/>
        </w:rPr>
      </w:pPr>
      <w:r w:rsidRPr="00E70B7D">
        <w:rPr>
          <w:b/>
          <w:szCs w:val="24"/>
        </w:rPr>
        <w:lastRenderedPageBreak/>
        <w:t xml:space="preserve">K části </w:t>
      </w:r>
      <w:r w:rsidR="00B811D2">
        <w:rPr>
          <w:b/>
          <w:szCs w:val="24"/>
        </w:rPr>
        <w:t>šestnácté</w:t>
      </w:r>
      <w:r w:rsidRPr="00E70B7D">
        <w:rPr>
          <w:b/>
          <w:szCs w:val="24"/>
        </w:rPr>
        <w:t xml:space="preserve"> návrhu zákona – </w:t>
      </w:r>
      <w:r w:rsidRPr="00E70B7D">
        <w:rPr>
          <w:szCs w:val="24"/>
        </w:rPr>
        <w:t xml:space="preserve">změna </w:t>
      </w:r>
      <w:r>
        <w:rPr>
          <w:szCs w:val="24"/>
        </w:rPr>
        <w:t xml:space="preserve">zákona </w:t>
      </w:r>
      <w:r w:rsidRPr="007906E0">
        <w:rPr>
          <w:szCs w:val="24"/>
        </w:rPr>
        <w:t xml:space="preserve">o </w:t>
      </w:r>
      <w:r w:rsidRPr="001206A1">
        <w:rPr>
          <w:szCs w:val="24"/>
        </w:rPr>
        <w:t>resortních, oborových, podnikových a dalších zdravotních pojišťovnách</w:t>
      </w:r>
    </w:p>
    <w:p w14:paraId="6BFD4FAB" w14:textId="77777777" w:rsidR="004958B0" w:rsidRPr="00AE0742" w:rsidRDefault="004958B0" w:rsidP="004958B0">
      <w:pPr>
        <w:pStyle w:val="Odstavecseseznamem"/>
        <w:tabs>
          <w:tab w:val="left" w:pos="851"/>
        </w:tabs>
        <w:spacing w:before="120" w:after="120"/>
        <w:ind w:left="0" w:firstLine="0"/>
        <w:outlineLvl w:val="0"/>
        <w:rPr>
          <w:b/>
          <w:szCs w:val="24"/>
        </w:rPr>
      </w:pPr>
    </w:p>
    <w:p w14:paraId="2CA6F4ED" w14:textId="79AF48EB" w:rsidR="001206A1" w:rsidRDefault="001206A1" w:rsidP="001206A1">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AE0742">
        <w:rPr>
          <w:b/>
          <w:szCs w:val="24"/>
        </w:rPr>
        <w:t>Platné znění</w:t>
      </w:r>
      <w:r w:rsidRPr="00AE0742">
        <w:rPr>
          <w:szCs w:val="24"/>
        </w:rPr>
        <w:t xml:space="preserve"> zákona </w:t>
      </w:r>
      <w:r w:rsidRPr="00AE0742">
        <w:rPr>
          <w:color w:val="000000"/>
          <w:szCs w:val="24"/>
        </w:rPr>
        <w:t>č. </w:t>
      </w:r>
      <w:r>
        <w:rPr>
          <w:color w:val="000000"/>
          <w:szCs w:val="24"/>
        </w:rPr>
        <w:t xml:space="preserve">280/1992 </w:t>
      </w:r>
      <w:r w:rsidRPr="00AE0742">
        <w:rPr>
          <w:color w:val="000000"/>
          <w:szCs w:val="24"/>
        </w:rPr>
        <w:t xml:space="preserve">Sb., </w:t>
      </w:r>
      <w:r w:rsidRPr="007906E0">
        <w:rPr>
          <w:szCs w:val="24"/>
        </w:rPr>
        <w:t xml:space="preserve">o </w:t>
      </w:r>
      <w:r w:rsidRPr="001206A1">
        <w:rPr>
          <w:szCs w:val="24"/>
        </w:rPr>
        <w:t>resortních, oborových, podnikových a dalších zdravotních pojišťovnách</w:t>
      </w:r>
    </w:p>
    <w:p w14:paraId="73E1372A" w14:textId="77777777" w:rsidR="00471221" w:rsidRPr="00A06781" w:rsidRDefault="00471221" w:rsidP="00471221">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b/>
          <w:szCs w:val="24"/>
        </w:rPr>
      </w:pPr>
      <w:r w:rsidRPr="00A06781">
        <w:rPr>
          <w:b/>
          <w:szCs w:val="24"/>
        </w:rPr>
        <w:t>s vyznačením navrhovaných změn a doplnění k 1. lednu 2025</w:t>
      </w:r>
    </w:p>
    <w:p w14:paraId="5EEE7FFB" w14:textId="77777777" w:rsidR="001206A1" w:rsidRDefault="001206A1" w:rsidP="001206A1">
      <w:pPr>
        <w:pStyle w:val="Textparagrafu"/>
        <w:numPr>
          <w:ilvl w:val="0"/>
          <w:numId w:val="28"/>
        </w:numPr>
        <w:jc w:val="center"/>
        <w:rPr>
          <w:b/>
        </w:rPr>
      </w:pPr>
      <w:r>
        <w:rPr>
          <w:b/>
        </w:rPr>
        <w:t>***</w:t>
      </w:r>
    </w:p>
    <w:p w14:paraId="7EB0B5E4" w14:textId="084A2920" w:rsidR="001206A1" w:rsidRDefault="001206A1" w:rsidP="00B811D2">
      <w:pPr>
        <w:pStyle w:val="Textparagrafu"/>
        <w:numPr>
          <w:ilvl w:val="0"/>
          <w:numId w:val="28"/>
        </w:numPr>
        <w:tabs>
          <w:tab w:val="left" w:pos="434"/>
        </w:tabs>
        <w:jc w:val="center"/>
        <w15:collapsed/>
      </w:pPr>
      <w:r w:rsidRPr="00667E8B">
        <w:t>§</w:t>
      </w:r>
      <w:r>
        <w:t xml:space="preserve"> </w:t>
      </w:r>
      <w:r w:rsidR="000A0561">
        <w:t>4b</w:t>
      </w:r>
    </w:p>
    <w:p w14:paraId="16A3F28D" w14:textId="20A4AA12" w:rsidR="004536E3" w:rsidRPr="00FE7AB0" w:rsidRDefault="004536E3" w:rsidP="004536E3">
      <w:pPr>
        <w:pStyle w:val="Textparagrafu"/>
        <w:numPr>
          <w:ilvl w:val="0"/>
          <w:numId w:val="28"/>
        </w:numPr>
        <w:ind w:firstLine="426"/>
      </w:pPr>
      <w:r w:rsidRPr="00FE7AB0">
        <w:t>Statut</w:t>
      </w:r>
      <w:r>
        <w:t xml:space="preserve"> </w:t>
      </w:r>
      <w:r w:rsidRPr="00FE7AB0">
        <w:t>zaměstnanecké</w:t>
      </w:r>
      <w:r>
        <w:t xml:space="preserve"> </w:t>
      </w:r>
      <w:r w:rsidRPr="00FE7AB0">
        <w:t>pojišťovny</w:t>
      </w:r>
      <w:r>
        <w:t xml:space="preserve"> </w:t>
      </w:r>
      <w:r w:rsidRPr="00FE7AB0">
        <w:t>obsahuje</w:t>
      </w:r>
      <w:r>
        <w:t xml:space="preserve"> </w:t>
      </w:r>
      <w:r w:rsidRPr="00FE7AB0">
        <w:t>zejména</w:t>
      </w:r>
      <w:r>
        <w:t xml:space="preserve"> </w:t>
      </w:r>
      <w:r w:rsidRPr="00FE7AB0">
        <w:t>rozsah</w:t>
      </w:r>
      <w:r>
        <w:t xml:space="preserve"> </w:t>
      </w:r>
      <w:r w:rsidRPr="00FE7AB0">
        <w:t>činnosti</w:t>
      </w:r>
      <w:r>
        <w:t xml:space="preserve"> </w:t>
      </w:r>
      <w:r w:rsidRPr="00FE7AB0">
        <w:t>zaměstnanecké</w:t>
      </w:r>
      <w:r>
        <w:t xml:space="preserve"> </w:t>
      </w:r>
      <w:r w:rsidRPr="00FE7AB0">
        <w:t>pojišťovny,</w:t>
      </w:r>
      <w:r>
        <w:t xml:space="preserve"> </w:t>
      </w:r>
      <w:r w:rsidRPr="00FE7AB0">
        <w:t>obecné</w:t>
      </w:r>
      <w:r>
        <w:t xml:space="preserve"> </w:t>
      </w:r>
      <w:r w:rsidRPr="00FE7AB0">
        <w:t>zaměření</w:t>
      </w:r>
      <w:r>
        <w:t xml:space="preserve"> </w:t>
      </w:r>
      <w:r w:rsidRPr="00FE7AB0">
        <w:t>zdravotní</w:t>
      </w:r>
      <w:r>
        <w:t xml:space="preserve"> </w:t>
      </w:r>
      <w:r w:rsidRPr="00FE7AB0">
        <w:t>politiky,</w:t>
      </w:r>
      <w:r>
        <w:t xml:space="preserve"> </w:t>
      </w:r>
      <w:r w:rsidRPr="00FE7AB0">
        <w:t>zásady</w:t>
      </w:r>
      <w:r>
        <w:t xml:space="preserve"> </w:t>
      </w:r>
      <w:r w:rsidRPr="00FE7AB0">
        <w:t>hospodaření</w:t>
      </w:r>
      <w:r>
        <w:t xml:space="preserve"> </w:t>
      </w:r>
      <w:r w:rsidRPr="00FE7AB0">
        <w:t>a</w:t>
      </w:r>
      <w:r>
        <w:t xml:space="preserve"> </w:t>
      </w:r>
      <w:r w:rsidRPr="00FE7AB0">
        <w:t>způsob</w:t>
      </w:r>
      <w:r>
        <w:t xml:space="preserve"> </w:t>
      </w:r>
      <w:r w:rsidRPr="004536E3">
        <w:rPr>
          <w:strike/>
        </w:rPr>
        <w:t>zveřejňování výroční zprávy zaměstnanecké pojišťovny</w:t>
      </w:r>
      <w:r w:rsidRPr="004536E3">
        <w:rPr>
          <w:b/>
          <w:bCs/>
          <w:szCs w:val="24"/>
        </w:rPr>
        <w:t xml:space="preserve"> </w:t>
      </w:r>
      <w:r w:rsidRPr="00F52C8D">
        <w:rPr>
          <w:b/>
          <w:bCs/>
          <w:szCs w:val="24"/>
        </w:rPr>
        <w:t>uveřejnění</w:t>
      </w:r>
      <w:r w:rsidRPr="00F52C8D">
        <w:rPr>
          <w:szCs w:val="24"/>
        </w:rPr>
        <w:t xml:space="preserve"> </w:t>
      </w:r>
      <w:r w:rsidRPr="00F52C8D">
        <w:rPr>
          <w:b/>
          <w:szCs w:val="24"/>
        </w:rPr>
        <w:t xml:space="preserve">řádné účetní závěrky, </w:t>
      </w:r>
      <w:r w:rsidRPr="00F52C8D">
        <w:rPr>
          <w:b/>
          <w:bCs/>
          <w:szCs w:val="24"/>
        </w:rPr>
        <w:t>zprávy vedení</w:t>
      </w:r>
      <w:r>
        <w:rPr>
          <w:b/>
          <w:bCs/>
          <w:szCs w:val="24"/>
        </w:rPr>
        <w:t xml:space="preserve"> a </w:t>
      </w:r>
      <w:r w:rsidRPr="00F52C8D">
        <w:rPr>
          <w:b/>
          <w:bCs/>
          <w:szCs w:val="24"/>
        </w:rPr>
        <w:t xml:space="preserve">dalších zpráv vyhotovovaných podle zákona upravujícího účetnictví </w:t>
      </w:r>
      <w:r w:rsidRPr="00F52C8D">
        <w:rPr>
          <w:b/>
          <w:szCs w:val="24"/>
        </w:rPr>
        <w:t xml:space="preserve">a zprávy </w:t>
      </w:r>
      <w:r>
        <w:rPr>
          <w:b/>
          <w:szCs w:val="24"/>
        </w:rPr>
        <w:t>auditora o povinném auditu</w:t>
      </w:r>
      <w:r w:rsidRPr="00FE7AB0">
        <w:t>.</w:t>
      </w:r>
    </w:p>
    <w:p w14:paraId="07D8E182" w14:textId="35F4F8D3" w:rsidR="00BF6DD0" w:rsidRDefault="004536E3" w:rsidP="00B811D2">
      <w:pPr>
        <w:pStyle w:val="Textparagrafu"/>
        <w:numPr>
          <w:ilvl w:val="0"/>
          <w:numId w:val="28"/>
        </w:numPr>
        <w:jc w:val="center"/>
        <w:rPr>
          <w:b/>
        </w:rPr>
      </w:pPr>
      <w:r>
        <w:rPr>
          <w:b/>
        </w:rPr>
        <w:t>***</w:t>
      </w:r>
    </w:p>
    <w:p w14:paraId="2E6F1CEE" w14:textId="15E161EF" w:rsidR="004536E3" w:rsidRDefault="004536E3" w:rsidP="00B811D2">
      <w:pPr>
        <w:pStyle w:val="Textparagrafu"/>
        <w:ind w:firstLine="0"/>
        <w:jc w:val="center"/>
      </w:pPr>
      <w:r w:rsidRPr="00FE7AB0">
        <w:t>§</w:t>
      </w:r>
      <w:r>
        <w:t xml:space="preserve"> </w:t>
      </w:r>
      <w:r w:rsidRPr="00FE7AB0">
        <w:t>6</w:t>
      </w:r>
    </w:p>
    <w:p w14:paraId="77B5A1C3" w14:textId="77777777" w:rsidR="004536E3" w:rsidRPr="004536E3" w:rsidRDefault="004536E3" w:rsidP="004536E3">
      <w:pPr>
        <w:pStyle w:val="Textparagrafu"/>
        <w:jc w:val="center"/>
        <w:rPr>
          <w:b/>
        </w:rPr>
      </w:pPr>
      <w:r w:rsidRPr="004536E3">
        <w:rPr>
          <w:b/>
        </w:rPr>
        <w:t>Zánik a zrušení zaměstnanecké pojišťovny</w:t>
      </w:r>
    </w:p>
    <w:p w14:paraId="0E0BA4BD" w14:textId="77777777" w:rsidR="004536E3" w:rsidRDefault="004536E3" w:rsidP="00471221">
      <w:pPr>
        <w:pStyle w:val="Textparagrafu"/>
        <w:spacing w:before="120" w:after="120"/>
      </w:pPr>
      <w:r w:rsidRPr="00FE7AB0">
        <w:t>(1)</w:t>
      </w:r>
      <w:r>
        <w:t xml:space="preserve"> </w:t>
      </w:r>
      <w:r w:rsidRPr="00FE7AB0">
        <w:t>Zaměstnanecká</w:t>
      </w:r>
      <w:r>
        <w:t xml:space="preserve"> </w:t>
      </w:r>
      <w:r w:rsidRPr="00FE7AB0">
        <w:t>pojišťovna</w:t>
      </w:r>
      <w:r>
        <w:t xml:space="preserve"> </w:t>
      </w:r>
      <w:r w:rsidRPr="00FE7AB0">
        <w:t>zaniká</w:t>
      </w:r>
      <w:r>
        <w:t xml:space="preserve"> </w:t>
      </w:r>
      <w:r w:rsidRPr="00FE7AB0">
        <w:t>ke</w:t>
      </w:r>
      <w:r>
        <w:t xml:space="preserve"> </w:t>
      </w:r>
      <w:r w:rsidRPr="00FE7AB0">
        <w:t>dni</w:t>
      </w:r>
      <w:r>
        <w:t xml:space="preserve"> </w:t>
      </w:r>
      <w:r w:rsidRPr="00FE7AB0">
        <w:t>výmazu</w:t>
      </w:r>
      <w:r>
        <w:t xml:space="preserve"> </w:t>
      </w:r>
      <w:r w:rsidRPr="00FE7AB0">
        <w:t>z</w:t>
      </w:r>
      <w:r>
        <w:t xml:space="preserve"> </w:t>
      </w:r>
      <w:r w:rsidRPr="00FE7AB0">
        <w:t>obchodního</w:t>
      </w:r>
      <w:r>
        <w:t xml:space="preserve"> </w:t>
      </w:r>
      <w:r w:rsidRPr="00FE7AB0">
        <w:t>rejstříku.</w:t>
      </w:r>
      <w:r>
        <w:t xml:space="preserve"> </w:t>
      </w:r>
      <w:r w:rsidRPr="00FE7AB0">
        <w:t>Návrh</w:t>
      </w:r>
      <w:r>
        <w:t xml:space="preserve"> </w:t>
      </w:r>
      <w:r w:rsidRPr="00FE7AB0">
        <w:t>na</w:t>
      </w:r>
      <w:r>
        <w:t xml:space="preserve"> </w:t>
      </w:r>
      <w:r w:rsidRPr="00FE7AB0">
        <w:t>výmaz</w:t>
      </w:r>
      <w:r>
        <w:t xml:space="preserve"> </w:t>
      </w:r>
      <w:r w:rsidRPr="00FE7AB0">
        <w:t>podává</w:t>
      </w:r>
      <w:r>
        <w:t xml:space="preserve"> </w:t>
      </w:r>
      <w:r w:rsidRPr="00FE7AB0">
        <w:t>zanikající</w:t>
      </w:r>
      <w:r>
        <w:t xml:space="preserve"> </w:t>
      </w:r>
      <w:r w:rsidRPr="00FE7AB0">
        <w:t>zdravotní</w:t>
      </w:r>
      <w:r>
        <w:t xml:space="preserve"> </w:t>
      </w:r>
      <w:r w:rsidRPr="00FE7AB0">
        <w:t>pojišťovna</w:t>
      </w:r>
      <w:r>
        <w:t xml:space="preserve"> </w:t>
      </w:r>
      <w:r w:rsidRPr="00FE7AB0">
        <w:t>nebo</w:t>
      </w:r>
      <w:r>
        <w:t xml:space="preserve"> </w:t>
      </w:r>
      <w:r w:rsidRPr="00FE7AB0">
        <w:t>likvidátor.</w:t>
      </w:r>
      <w:r>
        <w:t xml:space="preserve"> </w:t>
      </w:r>
      <w:r w:rsidRPr="00FE7AB0">
        <w:t>Zániku</w:t>
      </w:r>
      <w:r>
        <w:t xml:space="preserve"> </w:t>
      </w:r>
      <w:r w:rsidRPr="00FE7AB0">
        <w:t>zaměstnanecké</w:t>
      </w:r>
      <w:r>
        <w:t xml:space="preserve"> </w:t>
      </w:r>
      <w:r w:rsidRPr="00FE7AB0">
        <w:t>pojišťovny</w:t>
      </w:r>
      <w:r>
        <w:t xml:space="preserve"> </w:t>
      </w:r>
      <w:r w:rsidRPr="00FE7AB0">
        <w:t>předchází</w:t>
      </w:r>
      <w:r>
        <w:t xml:space="preserve"> </w:t>
      </w:r>
      <w:r w:rsidRPr="00FE7AB0">
        <w:t>její</w:t>
      </w:r>
      <w:r>
        <w:t xml:space="preserve"> </w:t>
      </w:r>
      <w:r w:rsidRPr="00FE7AB0">
        <w:t>zrušení</w:t>
      </w:r>
      <w:r>
        <w:t xml:space="preserve"> </w:t>
      </w:r>
      <w:r w:rsidRPr="00FE7AB0">
        <w:t>bez</w:t>
      </w:r>
      <w:r>
        <w:t xml:space="preserve"> </w:t>
      </w:r>
      <w:r w:rsidRPr="00FE7AB0">
        <w:t>likvidace</w:t>
      </w:r>
      <w:r>
        <w:t xml:space="preserve"> </w:t>
      </w:r>
      <w:r w:rsidRPr="00FE7AB0">
        <w:t>nebo</w:t>
      </w:r>
      <w:r>
        <w:t xml:space="preserve"> </w:t>
      </w:r>
      <w:r w:rsidRPr="00FE7AB0">
        <w:t>s</w:t>
      </w:r>
      <w:r>
        <w:t xml:space="preserve"> </w:t>
      </w:r>
      <w:r w:rsidRPr="00FE7AB0">
        <w:t>likvidací.</w:t>
      </w:r>
    </w:p>
    <w:p w14:paraId="6FBB938A" w14:textId="77777777" w:rsidR="004536E3" w:rsidRDefault="004536E3" w:rsidP="00471221">
      <w:pPr>
        <w:pStyle w:val="Textparagrafu"/>
        <w:spacing w:before="120" w:after="120"/>
      </w:pPr>
      <w:r w:rsidRPr="00FE7AB0">
        <w:t>(2)</w:t>
      </w:r>
      <w:r>
        <w:t xml:space="preserve"> </w:t>
      </w:r>
      <w:r w:rsidRPr="00FE7AB0">
        <w:t>Bez</w:t>
      </w:r>
      <w:r>
        <w:t xml:space="preserve"> </w:t>
      </w:r>
      <w:r w:rsidRPr="00FE7AB0">
        <w:t>likvidace</w:t>
      </w:r>
      <w:r>
        <w:t xml:space="preserve"> </w:t>
      </w:r>
      <w:r w:rsidRPr="00FE7AB0">
        <w:t>se</w:t>
      </w:r>
      <w:r>
        <w:t xml:space="preserve"> </w:t>
      </w:r>
      <w:r w:rsidRPr="00FE7AB0">
        <w:t>zaměstnanecká</w:t>
      </w:r>
      <w:r>
        <w:t xml:space="preserve"> </w:t>
      </w:r>
      <w:r w:rsidRPr="00FE7AB0">
        <w:t>pojišťovna</w:t>
      </w:r>
      <w:r>
        <w:t xml:space="preserve"> </w:t>
      </w:r>
      <w:r w:rsidRPr="00FE7AB0">
        <w:t>zrušuje</w:t>
      </w:r>
    </w:p>
    <w:p w14:paraId="0A180DC5" w14:textId="60DB9B69" w:rsidR="004536E3" w:rsidRDefault="004536E3" w:rsidP="00471221">
      <w:pPr>
        <w:pStyle w:val="Textparagrafu"/>
        <w:numPr>
          <w:ilvl w:val="0"/>
          <w:numId w:val="28"/>
        </w:numPr>
        <w:tabs>
          <w:tab w:val="left" w:pos="406"/>
        </w:tabs>
        <w:spacing w:before="0"/>
      </w:pPr>
      <w:r w:rsidRPr="00FE7AB0">
        <w:t>a)</w:t>
      </w:r>
      <w:r>
        <w:tab/>
      </w:r>
      <w:r w:rsidRPr="00FE7AB0">
        <w:t>sloučením</w:t>
      </w:r>
      <w:r>
        <w:t xml:space="preserve"> </w:t>
      </w:r>
      <w:r w:rsidRPr="00FE7AB0">
        <w:t>se</w:t>
      </w:r>
      <w:r>
        <w:t xml:space="preserve"> </w:t>
      </w:r>
      <w:r w:rsidRPr="00FE7AB0">
        <w:t>Všeobecnou</w:t>
      </w:r>
      <w:r>
        <w:t xml:space="preserve"> </w:t>
      </w:r>
      <w:r w:rsidRPr="00FE7AB0">
        <w:t>zdravotní</w:t>
      </w:r>
      <w:r>
        <w:t xml:space="preserve"> </w:t>
      </w:r>
      <w:r w:rsidRPr="00FE7AB0">
        <w:t>pojišťovnou</w:t>
      </w:r>
      <w:r>
        <w:t xml:space="preserve"> </w:t>
      </w:r>
      <w:r w:rsidRPr="00FE7AB0">
        <w:t>České</w:t>
      </w:r>
      <w:r>
        <w:t xml:space="preserve"> </w:t>
      </w:r>
      <w:r w:rsidRPr="00FE7AB0">
        <w:t>republiky,</w:t>
      </w:r>
      <w:r>
        <w:t xml:space="preserve"> </w:t>
      </w:r>
      <w:r w:rsidRPr="00FE7AB0">
        <w:t>nebo</w:t>
      </w:r>
    </w:p>
    <w:p w14:paraId="57D50320" w14:textId="7611AF76" w:rsidR="004536E3" w:rsidRDefault="004536E3" w:rsidP="00471221">
      <w:pPr>
        <w:pStyle w:val="Textparagrafu"/>
        <w:numPr>
          <w:ilvl w:val="0"/>
          <w:numId w:val="28"/>
        </w:numPr>
        <w:tabs>
          <w:tab w:val="left" w:pos="406"/>
        </w:tabs>
        <w:spacing w:before="0"/>
      </w:pPr>
      <w:r w:rsidRPr="00FE7AB0">
        <w:t>b)</w:t>
      </w:r>
      <w:r>
        <w:tab/>
      </w:r>
      <w:r w:rsidRPr="00FE7AB0">
        <w:t>sloučením</w:t>
      </w:r>
      <w:r>
        <w:t xml:space="preserve"> </w:t>
      </w:r>
      <w:r w:rsidRPr="00FE7AB0">
        <w:t>s</w:t>
      </w:r>
      <w:r>
        <w:t xml:space="preserve"> </w:t>
      </w:r>
      <w:r w:rsidRPr="00FE7AB0">
        <w:t>jinou</w:t>
      </w:r>
      <w:r>
        <w:t xml:space="preserve"> </w:t>
      </w:r>
      <w:r w:rsidRPr="00FE7AB0">
        <w:t>zaměstnaneckou</w:t>
      </w:r>
      <w:r>
        <w:t xml:space="preserve"> </w:t>
      </w:r>
      <w:r w:rsidRPr="00FE7AB0">
        <w:t>pojišťovnou.</w:t>
      </w:r>
    </w:p>
    <w:p w14:paraId="21E5C42F" w14:textId="77777777" w:rsidR="004536E3" w:rsidRDefault="004536E3" w:rsidP="00471221">
      <w:pPr>
        <w:pStyle w:val="Textparagrafu"/>
        <w:spacing w:before="120" w:after="120"/>
      </w:pPr>
      <w:r w:rsidRPr="00FE7AB0">
        <w:t>(3)</w:t>
      </w:r>
      <w:r>
        <w:t xml:space="preserve"> </w:t>
      </w:r>
      <w:r w:rsidRPr="00FE7AB0">
        <w:t>Sloučení</w:t>
      </w:r>
      <w:r>
        <w:t xml:space="preserve"> </w:t>
      </w:r>
      <w:r w:rsidRPr="00FE7AB0">
        <w:t>se</w:t>
      </w:r>
      <w:r>
        <w:t xml:space="preserve"> </w:t>
      </w:r>
      <w:r w:rsidRPr="00FE7AB0">
        <w:t>Všeobecnou</w:t>
      </w:r>
      <w:r>
        <w:t xml:space="preserve"> </w:t>
      </w:r>
      <w:r w:rsidRPr="00FE7AB0">
        <w:t>zdravotní</w:t>
      </w:r>
      <w:r>
        <w:t xml:space="preserve"> </w:t>
      </w:r>
      <w:r w:rsidRPr="00FE7AB0">
        <w:t>pojišťovnou</w:t>
      </w:r>
      <w:r>
        <w:t xml:space="preserve"> </w:t>
      </w:r>
      <w:r w:rsidRPr="00FE7AB0">
        <w:t>České</w:t>
      </w:r>
      <w:r>
        <w:t xml:space="preserve"> </w:t>
      </w:r>
      <w:r w:rsidRPr="00FE7AB0">
        <w:t>republiky</w:t>
      </w:r>
      <w:r>
        <w:t xml:space="preserve"> </w:t>
      </w:r>
      <w:r w:rsidRPr="00FE7AB0">
        <w:t>oznámí</w:t>
      </w:r>
      <w:r>
        <w:t xml:space="preserve"> </w:t>
      </w:r>
      <w:r w:rsidRPr="00FE7AB0">
        <w:t>zrušovaná</w:t>
      </w:r>
      <w:r>
        <w:t xml:space="preserve"> </w:t>
      </w:r>
      <w:r w:rsidRPr="00FE7AB0">
        <w:t>zaměstnanecká</w:t>
      </w:r>
      <w:r>
        <w:t xml:space="preserve"> </w:t>
      </w:r>
      <w:r w:rsidRPr="00FE7AB0">
        <w:t>pojišťovna</w:t>
      </w:r>
      <w:r>
        <w:t xml:space="preserve"> </w:t>
      </w:r>
      <w:r w:rsidRPr="00FE7AB0">
        <w:t>neprodleně</w:t>
      </w:r>
      <w:r>
        <w:t xml:space="preserve"> </w:t>
      </w:r>
      <w:r w:rsidRPr="00FE7AB0">
        <w:t>Ministerstvu</w:t>
      </w:r>
      <w:r>
        <w:t xml:space="preserve"> </w:t>
      </w:r>
      <w:r w:rsidRPr="00FE7AB0">
        <w:t>zdravotnictví.</w:t>
      </w:r>
      <w:r>
        <w:t xml:space="preserve"> </w:t>
      </w:r>
      <w:r w:rsidRPr="00FE7AB0">
        <w:t>Sloučení</w:t>
      </w:r>
      <w:r>
        <w:t xml:space="preserve"> </w:t>
      </w:r>
      <w:r w:rsidRPr="00FE7AB0">
        <w:t>zaměstnaneckých</w:t>
      </w:r>
      <w:r>
        <w:t xml:space="preserve"> </w:t>
      </w:r>
      <w:r w:rsidRPr="00FE7AB0">
        <w:t>pojišťoven</w:t>
      </w:r>
      <w:r>
        <w:t xml:space="preserve"> </w:t>
      </w:r>
      <w:r w:rsidRPr="00FE7AB0">
        <w:t>schvaluje</w:t>
      </w:r>
      <w:r>
        <w:t xml:space="preserve"> </w:t>
      </w:r>
      <w:r w:rsidRPr="00FE7AB0">
        <w:t>vláda</w:t>
      </w:r>
      <w:r>
        <w:t xml:space="preserve"> </w:t>
      </w:r>
      <w:r w:rsidRPr="00FE7AB0">
        <w:t>na</w:t>
      </w:r>
      <w:r>
        <w:t xml:space="preserve"> </w:t>
      </w:r>
      <w:r w:rsidRPr="00FE7AB0">
        <w:t>základě</w:t>
      </w:r>
      <w:r>
        <w:t xml:space="preserve"> </w:t>
      </w:r>
      <w:r w:rsidRPr="00FE7AB0">
        <w:t>vyjádření</w:t>
      </w:r>
      <w:r>
        <w:t xml:space="preserve"> </w:t>
      </w:r>
      <w:r w:rsidRPr="00FE7AB0">
        <w:t>Ministerstva</w:t>
      </w:r>
      <w:r>
        <w:t xml:space="preserve"> </w:t>
      </w:r>
      <w:r w:rsidRPr="00FE7AB0">
        <w:t>zdravotnictví</w:t>
      </w:r>
      <w:r>
        <w:t xml:space="preserve"> </w:t>
      </w:r>
      <w:r w:rsidRPr="00FE7AB0">
        <w:t>a</w:t>
      </w:r>
      <w:r>
        <w:t xml:space="preserve"> </w:t>
      </w:r>
      <w:r w:rsidRPr="00FE7AB0">
        <w:t>Ministerstva</w:t>
      </w:r>
      <w:r>
        <w:t xml:space="preserve"> </w:t>
      </w:r>
      <w:r w:rsidRPr="00FE7AB0">
        <w:t>financí.</w:t>
      </w:r>
      <w:r>
        <w:t xml:space="preserve"> </w:t>
      </w:r>
      <w:r w:rsidRPr="00FE7AB0">
        <w:t>Se</w:t>
      </w:r>
      <w:r>
        <w:t xml:space="preserve"> </w:t>
      </w:r>
      <w:r w:rsidRPr="00FE7AB0">
        <w:t>žádostí</w:t>
      </w:r>
      <w:r>
        <w:t xml:space="preserve"> </w:t>
      </w:r>
      <w:r w:rsidRPr="00FE7AB0">
        <w:t>o</w:t>
      </w:r>
      <w:r>
        <w:t xml:space="preserve"> </w:t>
      </w:r>
      <w:r w:rsidRPr="00FE7AB0">
        <w:t>povolení</w:t>
      </w:r>
      <w:r>
        <w:t xml:space="preserve"> </w:t>
      </w:r>
      <w:r w:rsidRPr="00FE7AB0">
        <w:t>předkládají</w:t>
      </w:r>
      <w:r>
        <w:t xml:space="preserve"> </w:t>
      </w:r>
      <w:r w:rsidRPr="00FE7AB0">
        <w:t>zaměstnanecké</w:t>
      </w:r>
      <w:r>
        <w:t xml:space="preserve"> </w:t>
      </w:r>
      <w:r w:rsidRPr="00FE7AB0">
        <w:t>pojišťovny</w:t>
      </w:r>
      <w:r>
        <w:t xml:space="preserve"> </w:t>
      </w:r>
      <w:r w:rsidRPr="00FE7AB0">
        <w:t>nový</w:t>
      </w:r>
      <w:r>
        <w:t xml:space="preserve"> </w:t>
      </w:r>
      <w:r w:rsidRPr="00FE7AB0">
        <w:t>zdravotně</w:t>
      </w:r>
      <w:r>
        <w:t xml:space="preserve"> </w:t>
      </w:r>
      <w:r w:rsidRPr="00FE7AB0">
        <w:t>pojistný</w:t>
      </w:r>
      <w:r>
        <w:t xml:space="preserve"> </w:t>
      </w:r>
      <w:r w:rsidRPr="00FE7AB0">
        <w:t>plán.</w:t>
      </w:r>
      <w:r>
        <w:t xml:space="preserve"> </w:t>
      </w:r>
      <w:r w:rsidRPr="00FE7AB0">
        <w:t>Zaměstnanecké</w:t>
      </w:r>
      <w:r>
        <w:t xml:space="preserve"> </w:t>
      </w:r>
      <w:r w:rsidRPr="00FE7AB0">
        <w:t>pojišťovny</w:t>
      </w:r>
      <w:r>
        <w:t xml:space="preserve"> </w:t>
      </w:r>
      <w:r w:rsidRPr="00FE7AB0">
        <w:t>jsou</w:t>
      </w:r>
      <w:r>
        <w:t xml:space="preserve"> </w:t>
      </w:r>
      <w:r w:rsidRPr="00FE7AB0">
        <w:t>povinny</w:t>
      </w:r>
      <w:r>
        <w:t xml:space="preserve"> </w:t>
      </w:r>
      <w:r w:rsidRPr="00FE7AB0">
        <w:t>doložit,</w:t>
      </w:r>
      <w:r>
        <w:t xml:space="preserve"> </w:t>
      </w:r>
      <w:r w:rsidRPr="00FE7AB0">
        <w:t>že</w:t>
      </w:r>
      <w:r>
        <w:t xml:space="preserve"> </w:t>
      </w:r>
      <w:r w:rsidRPr="00FE7AB0">
        <w:t>budou</w:t>
      </w:r>
      <w:r>
        <w:t xml:space="preserve"> </w:t>
      </w:r>
      <w:r w:rsidRPr="00FE7AB0">
        <w:t>splňovat</w:t>
      </w:r>
      <w:r>
        <w:t xml:space="preserve"> </w:t>
      </w:r>
      <w:r w:rsidRPr="00FE7AB0">
        <w:t>podmínky</w:t>
      </w:r>
      <w:r>
        <w:t xml:space="preserve"> </w:t>
      </w:r>
      <w:r w:rsidRPr="00FE7AB0">
        <w:t>požadované</w:t>
      </w:r>
      <w:r>
        <w:t xml:space="preserve"> </w:t>
      </w:r>
      <w:r w:rsidRPr="00FE7AB0">
        <w:t>k</w:t>
      </w:r>
      <w:r>
        <w:t xml:space="preserve"> </w:t>
      </w:r>
      <w:r w:rsidRPr="00FE7AB0">
        <w:t>udělení</w:t>
      </w:r>
      <w:r>
        <w:t xml:space="preserve"> </w:t>
      </w:r>
      <w:r w:rsidRPr="00FE7AB0">
        <w:t>povolení</w:t>
      </w:r>
      <w:r>
        <w:t xml:space="preserve"> </w:t>
      </w:r>
      <w:r w:rsidRPr="00FE7AB0">
        <w:t>k</w:t>
      </w:r>
      <w:r>
        <w:t xml:space="preserve"> </w:t>
      </w:r>
      <w:r w:rsidRPr="00FE7AB0">
        <w:t>provádění</w:t>
      </w:r>
      <w:r>
        <w:t xml:space="preserve"> </w:t>
      </w:r>
      <w:r w:rsidRPr="00FE7AB0">
        <w:t>všeobecného</w:t>
      </w:r>
      <w:r>
        <w:t xml:space="preserve"> </w:t>
      </w:r>
      <w:r w:rsidRPr="00FE7AB0">
        <w:t>zdravotního</w:t>
      </w:r>
      <w:r>
        <w:t xml:space="preserve"> </w:t>
      </w:r>
      <w:r w:rsidRPr="00FE7AB0">
        <w:t>pojištění,</w:t>
      </w:r>
      <w:r>
        <w:t xml:space="preserve"> </w:t>
      </w:r>
      <w:r w:rsidRPr="00FE7AB0">
        <w:t>s</w:t>
      </w:r>
      <w:r>
        <w:t xml:space="preserve"> </w:t>
      </w:r>
      <w:r w:rsidRPr="00FE7AB0">
        <w:t>výjimkou</w:t>
      </w:r>
      <w:r>
        <w:t xml:space="preserve"> </w:t>
      </w:r>
      <w:r w:rsidRPr="00FE7AB0">
        <w:t>podmínky</w:t>
      </w:r>
      <w:r>
        <w:t xml:space="preserve"> </w:t>
      </w:r>
      <w:r w:rsidRPr="00FE7AB0">
        <w:t>podle</w:t>
      </w:r>
      <w:r>
        <w:t xml:space="preserve"> </w:t>
      </w:r>
      <w:r w:rsidRPr="00FE7AB0">
        <w:t>§</w:t>
      </w:r>
      <w:r>
        <w:t xml:space="preserve"> </w:t>
      </w:r>
      <w:r w:rsidRPr="00FE7AB0">
        <w:t>4a.</w:t>
      </w:r>
    </w:p>
    <w:p w14:paraId="06A40596" w14:textId="77777777" w:rsidR="004536E3" w:rsidRDefault="004536E3" w:rsidP="00471221">
      <w:pPr>
        <w:pStyle w:val="Textparagrafu"/>
        <w:spacing w:before="120" w:after="120"/>
      </w:pPr>
      <w:r w:rsidRPr="00FE7AB0">
        <w:t>(4)</w:t>
      </w:r>
      <w:r>
        <w:t xml:space="preserve"> </w:t>
      </w:r>
      <w:r w:rsidRPr="00FE7AB0">
        <w:t>Při</w:t>
      </w:r>
      <w:r>
        <w:t xml:space="preserve"> </w:t>
      </w:r>
      <w:r w:rsidRPr="00FE7AB0">
        <w:t>sloučení</w:t>
      </w:r>
      <w:r>
        <w:t xml:space="preserve"> </w:t>
      </w:r>
      <w:r w:rsidRPr="00FE7AB0">
        <w:t>přechází</w:t>
      </w:r>
      <w:r>
        <w:t xml:space="preserve"> </w:t>
      </w:r>
      <w:r w:rsidRPr="00FE7AB0">
        <w:t>veškerý</w:t>
      </w:r>
      <w:r>
        <w:t xml:space="preserve"> </w:t>
      </w:r>
      <w:r w:rsidRPr="00FE7AB0">
        <w:t>majetek,</w:t>
      </w:r>
      <w:r>
        <w:t xml:space="preserve"> </w:t>
      </w:r>
      <w:r w:rsidRPr="00FE7AB0">
        <w:t>závazky</w:t>
      </w:r>
      <w:r>
        <w:t xml:space="preserve"> </w:t>
      </w:r>
      <w:r w:rsidRPr="00FE7AB0">
        <w:t>a</w:t>
      </w:r>
      <w:r>
        <w:t xml:space="preserve"> </w:t>
      </w:r>
      <w:r w:rsidRPr="00FE7AB0">
        <w:t>pohledávky</w:t>
      </w:r>
      <w:r>
        <w:t xml:space="preserve"> </w:t>
      </w:r>
      <w:r w:rsidRPr="00FE7AB0">
        <w:t>na</w:t>
      </w:r>
      <w:r>
        <w:t xml:space="preserve"> </w:t>
      </w:r>
      <w:r w:rsidRPr="00FE7AB0">
        <w:t>Všeobecnou</w:t>
      </w:r>
      <w:r>
        <w:t xml:space="preserve"> </w:t>
      </w:r>
      <w:r w:rsidRPr="00FE7AB0">
        <w:t>zdravotní</w:t>
      </w:r>
      <w:r>
        <w:t xml:space="preserve"> </w:t>
      </w:r>
      <w:r w:rsidRPr="00FE7AB0">
        <w:t>pojišťovnu</w:t>
      </w:r>
      <w:r>
        <w:t xml:space="preserve"> </w:t>
      </w:r>
      <w:r w:rsidRPr="00FE7AB0">
        <w:t>České</w:t>
      </w:r>
      <w:r>
        <w:t xml:space="preserve"> </w:t>
      </w:r>
      <w:r w:rsidRPr="00FE7AB0">
        <w:t>republiky</w:t>
      </w:r>
      <w:r>
        <w:t xml:space="preserve"> </w:t>
      </w:r>
      <w:r w:rsidRPr="00FE7AB0">
        <w:t>nebo</w:t>
      </w:r>
      <w:r>
        <w:t xml:space="preserve"> </w:t>
      </w:r>
      <w:r w:rsidRPr="00FE7AB0">
        <w:t>na</w:t>
      </w:r>
      <w:r>
        <w:t xml:space="preserve"> </w:t>
      </w:r>
      <w:r w:rsidRPr="00FE7AB0">
        <w:t>zaměstnaneckou</w:t>
      </w:r>
      <w:r>
        <w:t xml:space="preserve"> </w:t>
      </w:r>
      <w:r w:rsidRPr="00FE7AB0">
        <w:t>pojišťovnu,</w:t>
      </w:r>
      <w:r>
        <w:t xml:space="preserve"> </w:t>
      </w:r>
      <w:r w:rsidRPr="00FE7AB0">
        <w:t>s</w:t>
      </w:r>
      <w:r>
        <w:t xml:space="preserve"> </w:t>
      </w:r>
      <w:r w:rsidRPr="00FE7AB0">
        <w:t>níž</w:t>
      </w:r>
      <w:r>
        <w:t xml:space="preserve"> </w:t>
      </w:r>
      <w:r w:rsidRPr="00FE7AB0">
        <w:t>se</w:t>
      </w:r>
      <w:r>
        <w:t xml:space="preserve"> </w:t>
      </w:r>
      <w:r w:rsidRPr="00FE7AB0">
        <w:t>zrušovaná</w:t>
      </w:r>
      <w:r>
        <w:t xml:space="preserve"> </w:t>
      </w:r>
      <w:r w:rsidRPr="00FE7AB0">
        <w:t>zaměstnanecká</w:t>
      </w:r>
      <w:r>
        <w:t xml:space="preserve"> </w:t>
      </w:r>
      <w:r w:rsidRPr="00FE7AB0">
        <w:t>pojišťovna</w:t>
      </w:r>
      <w:r>
        <w:t xml:space="preserve"> </w:t>
      </w:r>
      <w:r w:rsidRPr="00FE7AB0">
        <w:t>slučuje.</w:t>
      </w:r>
      <w:r>
        <w:t xml:space="preserve"> </w:t>
      </w:r>
      <w:r w:rsidRPr="00FE7AB0">
        <w:t>Ke</w:t>
      </w:r>
      <w:r>
        <w:t xml:space="preserve"> </w:t>
      </w:r>
      <w:r w:rsidRPr="00FE7AB0">
        <w:t>Všeobecné</w:t>
      </w:r>
      <w:r>
        <w:t xml:space="preserve"> </w:t>
      </w:r>
      <w:r w:rsidRPr="00FE7AB0">
        <w:t>zdravotní</w:t>
      </w:r>
      <w:r>
        <w:t xml:space="preserve"> </w:t>
      </w:r>
      <w:r w:rsidRPr="00FE7AB0">
        <w:t>pojišťovně</w:t>
      </w:r>
      <w:r>
        <w:t xml:space="preserve"> </w:t>
      </w:r>
      <w:r w:rsidRPr="00FE7AB0">
        <w:t>České</w:t>
      </w:r>
      <w:r>
        <w:t xml:space="preserve"> </w:t>
      </w:r>
      <w:r w:rsidRPr="00FE7AB0">
        <w:t>republiky</w:t>
      </w:r>
      <w:r>
        <w:t xml:space="preserve"> </w:t>
      </w:r>
      <w:r w:rsidRPr="00FE7AB0">
        <w:t>nebo</w:t>
      </w:r>
      <w:r>
        <w:t xml:space="preserve"> </w:t>
      </w:r>
      <w:r w:rsidRPr="00FE7AB0">
        <w:t>k</w:t>
      </w:r>
      <w:r>
        <w:t xml:space="preserve"> </w:t>
      </w:r>
      <w:r w:rsidRPr="00FE7AB0">
        <w:t>zaměstnanecké</w:t>
      </w:r>
      <w:r>
        <w:t xml:space="preserve"> </w:t>
      </w:r>
      <w:r w:rsidRPr="00FE7AB0">
        <w:t>pojišťovně,</w:t>
      </w:r>
      <w:r>
        <w:t xml:space="preserve"> </w:t>
      </w:r>
      <w:r w:rsidRPr="00FE7AB0">
        <w:t>s</w:t>
      </w:r>
      <w:r>
        <w:t xml:space="preserve"> </w:t>
      </w:r>
      <w:r w:rsidRPr="00FE7AB0">
        <w:t>níž</w:t>
      </w:r>
      <w:r>
        <w:t xml:space="preserve"> </w:t>
      </w:r>
      <w:r w:rsidRPr="00FE7AB0">
        <w:t>se</w:t>
      </w:r>
      <w:r>
        <w:t xml:space="preserve"> </w:t>
      </w:r>
      <w:r w:rsidRPr="00FE7AB0">
        <w:t>zrušovaná</w:t>
      </w:r>
      <w:r>
        <w:t xml:space="preserve"> </w:t>
      </w:r>
      <w:r w:rsidRPr="00FE7AB0">
        <w:t>zaměstnanecká</w:t>
      </w:r>
      <w:r>
        <w:t xml:space="preserve"> </w:t>
      </w:r>
      <w:r w:rsidRPr="00FE7AB0">
        <w:t>pojišťovna</w:t>
      </w:r>
      <w:r>
        <w:t xml:space="preserve"> </w:t>
      </w:r>
      <w:r w:rsidRPr="00FE7AB0">
        <w:t>slučuje,</w:t>
      </w:r>
      <w:r>
        <w:t xml:space="preserve"> </w:t>
      </w:r>
      <w:r w:rsidRPr="00FE7AB0">
        <w:t>přecházejí</w:t>
      </w:r>
      <w:r>
        <w:t xml:space="preserve"> </w:t>
      </w:r>
      <w:r w:rsidRPr="00FE7AB0">
        <w:t>rovněž</w:t>
      </w:r>
      <w:r>
        <w:t xml:space="preserve"> </w:t>
      </w:r>
      <w:r w:rsidRPr="00FE7AB0">
        <w:t>všichni</w:t>
      </w:r>
      <w:r>
        <w:t xml:space="preserve"> </w:t>
      </w:r>
      <w:r w:rsidRPr="00FE7AB0">
        <w:t>pojištěnci</w:t>
      </w:r>
      <w:r>
        <w:t xml:space="preserve"> </w:t>
      </w:r>
      <w:r w:rsidRPr="00FE7AB0">
        <w:t>zrušované</w:t>
      </w:r>
      <w:r>
        <w:t xml:space="preserve"> </w:t>
      </w:r>
      <w:r w:rsidRPr="00FE7AB0">
        <w:t>zaměstnanecké</w:t>
      </w:r>
      <w:r>
        <w:t xml:space="preserve"> </w:t>
      </w:r>
      <w:r w:rsidRPr="00FE7AB0">
        <w:t>pojišťovny.</w:t>
      </w:r>
      <w:r>
        <w:t xml:space="preserve"> </w:t>
      </w:r>
      <w:r w:rsidRPr="00FE7AB0">
        <w:t>Všeobecné</w:t>
      </w:r>
      <w:r>
        <w:t xml:space="preserve"> </w:t>
      </w:r>
      <w:r w:rsidRPr="00FE7AB0">
        <w:t>zdravotní</w:t>
      </w:r>
      <w:r>
        <w:t xml:space="preserve"> </w:t>
      </w:r>
      <w:r w:rsidRPr="00FE7AB0">
        <w:t>pojišťovně</w:t>
      </w:r>
      <w:r>
        <w:t xml:space="preserve"> </w:t>
      </w:r>
      <w:r w:rsidRPr="00FE7AB0">
        <w:t>České</w:t>
      </w:r>
      <w:r>
        <w:t xml:space="preserve"> </w:t>
      </w:r>
      <w:r w:rsidRPr="00FE7AB0">
        <w:t>republiky</w:t>
      </w:r>
      <w:r>
        <w:t xml:space="preserve"> </w:t>
      </w:r>
      <w:r w:rsidRPr="00FE7AB0">
        <w:t>nebo</w:t>
      </w:r>
      <w:r>
        <w:t xml:space="preserve"> </w:t>
      </w:r>
      <w:r w:rsidRPr="00FE7AB0">
        <w:t>zaměstnanecké</w:t>
      </w:r>
      <w:r>
        <w:t xml:space="preserve"> </w:t>
      </w:r>
      <w:r w:rsidRPr="00FE7AB0">
        <w:t>pojišťovně,</w:t>
      </w:r>
      <w:r>
        <w:t xml:space="preserve"> </w:t>
      </w:r>
      <w:r w:rsidRPr="00FE7AB0">
        <w:t>s</w:t>
      </w:r>
      <w:r>
        <w:t xml:space="preserve"> </w:t>
      </w:r>
      <w:r w:rsidRPr="00FE7AB0">
        <w:t>níž</w:t>
      </w:r>
      <w:r>
        <w:t xml:space="preserve"> </w:t>
      </w:r>
      <w:r w:rsidRPr="00FE7AB0">
        <w:t>se</w:t>
      </w:r>
      <w:r>
        <w:t xml:space="preserve"> </w:t>
      </w:r>
      <w:r w:rsidRPr="00FE7AB0">
        <w:t>zrušovaná</w:t>
      </w:r>
      <w:r>
        <w:t xml:space="preserve"> </w:t>
      </w:r>
      <w:r w:rsidRPr="00FE7AB0">
        <w:t>zaměstnanecká</w:t>
      </w:r>
      <w:r>
        <w:t xml:space="preserve"> </w:t>
      </w:r>
      <w:r w:rsidRPr="00FE7AB0">
        <w:t>pojišťovna</w:t>
      </w:r>
      <w:r>
        <w:t xml:space="preserve"> </w:t>
      </w:r>
      <w:r w:rsidRPr="00FE7AB0">
        <w:t>slučuje,</w:t>
      </w:r>
      <w:r>
        <w:t xml:space="preserve"> </w:t>
      </w:r>
      <w:r w:rsidRPr="00FE7AB0">
        <w:t>může</w:t>
      </w:r>
      <w:r>
        <w:t xml:space="preserve"> </w:t>
      </w:r>
      <w:r w:rsidRPr="00FE7AB0">
        <w:t>být</w:t>
      </w:r>
      <w:r>
        <w:t xml:space="preserve"> </w:t>
      </w:r>
      <w:r w:rsidRPr="00FE7AB0">
        <w:t>poskytnuta</w:t>
      </w:r>
      <w:r>
        <w:t xml:space="preserve"> </w:t>
      </w:r>
      <w:r w:rsidRPr="00FE7AB0">
        <w:t>návratná</w:t>
      </w:r>
      <w:r>
        <w:t xml:space="preserve"> </w:t>
      </w:r>
      <w:r w:rsidRPr="00FE7AB0">
        <w:t>finanční</w:t>
      </w:r>
      <w:r>
        <w:t xml:space="preserve"> </w:t>
      </w:r>
      <w:r w:rsidRPr="00FE7AB0">
        <w:t>výpomoc</w:t>
      </w:r>
      <w:r>
        <w:t xml:space="preserve"> </w:t>
      </w:r>
      <w:r w:rsidRPr="00FE7AB0">
        <w:t>ze</w:t>
      </w:r>
      <w:r>
        <w:t xml:space="preserve"> </w:t>
      </w:r>
      <w:r w:rsidRPr="00FE7AB0">
        <w:t>státního</w:t>
      </w:r>
      <w:r>
        <w:t xml:space="preserve"> </w:t>
      </w:r>
      <w:r w:rsidRPr="00FE7AB0">
        <w:t>rozpočtu</w:t>
      </w:r>
      <w:r>
        <w:t xml:space="preserve"> </w:t>
      </w:r>
      <w:r w:rsidRPr="00FE7AB0">
        <w:t>maximálně</w:t>
      </w:r>
      <w:r>
        <w:t xml:space="preserve"> </w:t>
      </w:r>
      <w:r w:rsidRPr="00FE7AB0">
        <w:t>do</w:t>
      </w:r>
      <w:r>
        <w:t xml:space="preserve"> </w:t>
      </w:r>
      <w:r w:rsidRPr="00FE7AB0">
        <w:t>výše</w:t>
      </w:r>
      <w:r>
        <w:t xml:space="preserve"> </w:t>
      </w:r>
      <w:r w:rsidRPr="00FE7AB0">
        <w:t>převzatých</w:t>
      </w:r>
      <w:r>
        <w:t xml:space="preserve"> </w:t>
      </w:r>
      <w:r w:rsidRPr="00FE7AB0">
        <w:t>závazků.</w:t>
      </w:r>
      <w:r>
        <w:t xml:space="preserve"> </w:t>
      </w:r>
      <w:r w:rsidRPr="00FE7AB0">
        <w:t>Žádost</w:t>
      </w:r>
      <w:r>
        <w:t xml:space="preserve"> </w:t>
      </w:r>
      <w:r w:rsidRPr="00FE7AB0">
        <w:t>o</w:t>
      </w:r>
      <w:r>
        <w:t xml:space="preserve"> </w:t>
      </w:r>
      <w:r w:rsidRPr="00FE7AB0">
        <w:t>návratnou</w:t>
      </w:r>
      <w:r>
        <w:t xml:space="preserve"> </w:t>
      </w:r>
      <w:r w:rsidRPr="00FE7AB0">
        <w:t>finanční</w:t>
      </w:r>
      <w:r>
        <w:t xml:space="preserve"> </w:t>
      </w:r>
      <w:r w:rsidRPr="00FE7AB0">
        <w:t>výpomoc</w:t>
      </w:r>
      <w:r>
        <w:t xml:space="preserve"> </w:t>
      </w:r>
      <w:r w:rsidRPr="00FE7AB0">
        <w:t>předkládá</w:t>
      </w:r>
      <w:r>
        <w:t xml:space="preserve"> </w:t>
      </w:r>
      <w:r w:rsidRPr="00FE7AB0">
        <w:t>Všeobecná</w:t>
      </w:r>
      <w:r>
        <w:t xml:space="preserve"> </w:t>
      </w:r>
      <w:r w:rsidRPr="00FE7AB0">
        <w:t>zdravotní</w:t>
      </w:r>
      <w:r>
        <w:t xml:space="preserve"> </w:t>
      </w:r>
      <w:r w:rsidRPr="00FE7AB0">
        <w:t>pojišťovna</w:t>
      </w:r>
      <w:r>
        <w:t xml:space="preserve"> </w:t>
      </w:r>
      <w:r w:rsidRPr="00FE7AB0">
        <w:t>České</w:t>
      </w:r>
      <w:r>
        <w:t xml:space="preserve"> </w:t>
      </w:r>
      <w:r w:rsidRPr="00FE7AB0">
        <w:t>republiky</w:t>
      </w:r>
      <w:r>
        <w:t xml:space="preserve"> </w:t>
      </w:r>
      <w:r w:rsidRPr="00FE7AB0">
        <w:t>nebo</w:t>
      </w:r>
      <w:r>
        <w:t xml:space="preserve"> </w:t>
      </w:r>
      <w:r w:rsidRPr="00FE7AB0">
        <w:t>zaměstnanecká</w:t>
      </w:r>
      <w:r>
        <w:t xml:space="preserve"> </w:t>
      </w:r>
      <w:r w:rsidRPr="00FE7AB0">
        <w:t>pojišťovna</w:t>
      </w:r>
      <w:r>
        <w:t xml:space="preserve"> </w:t>
      </w:r>
      <w:r w:rsidRPr="00FE7AB0">
        <w:t>Ministerstvu</w:t>
      </w:r>
      <w:r>
        <w:t xml:space="preserve"> </w:t>
      </w:r>
      <w:r w:rsidRPr="00FE7AB0">
        <w:t>zdravotnictví.</w:t>
      </w:r>
      <w:r>
        <w:t xml:space="preserve"> </w:t>
      </w:r>
      <w:r w:rsidRPr="00FE7AB0">
        <w:t>O</w:t>
      </w:r>
      <w:r>
        <w:t xml:space="preserve"> </w:t>
      </w:r>
      <w:r w:rsidRPr="00FE7AB0">
        <w:t>poskytnutí</w:t>
      </w:r>
      <w:r>
        <w:t xml:space="preserve"> </w:t>
      </w:r>
      <w:r w:rsidRPr="00FE7AB0">
        <w:t>návratné</w:t>
      </w:r>
      <w:r>
        <w:t xml:space="preserve"> </w:t>
      </w:r>
      <w:r w:rsidRPr="00FE7AB0">
        <w:t>finanční</w:t>
      </w:r>
      <w:r>
        <w:t xml:space="preserve"> </w:t>
      </w:r>
      <w:r w:rsidRPr="00FE7AB0">
        <w:t>výpomoci</w:t>
      </w:r>
      <w:r>
        <w:t xml:space="preserve"> </w:t>
      </w:r>
      <w:r w:rsidRPr="00FE7AB0">
        <w:t>a</w:t>
      </w:r>
      <w:r>
        <w:t xml:space="preserve"> </w:t>
      </w:r>
      <w:r w:rsidRPr="00FE7AB0">
        <w:t>její</w:t>
      </w:r>
      <w:r>
        <w:t xml:space="preserve"> </w:t>
      </w:r>
      <w:r w:rsidRPr="00FE7AB0">
        <w:t>výši</w:t>
      </w:r>
      <w:r>
        <w:t xml:space="preserve"> </w:t>
      </w:r>
      <w:r w:rsidRPr="00FE7AB0">
        <w:t>rozhoduje</w:t>
      </w:r>
      <w:r>
        <w:t xml:space="preserve"> </w:t>
      </w:r>
      <w:r w:rsidRPr="00FE7AB0">
        <w:t>vláda</w:t>
      </w:r>
      <w:r>
        <w:t xml:space="preserve"> </w:t>
      </w:r>
      <w:r w:rsidRPr="00FE7AB0">
        <w:t>na</w:t>
      </w:r>
      <w:r>
        <w:t xml:space="preserve"> </w:t>
      </w:r>
      <w:r w:rsidRPr="00FE7AB0">
        <w:t>návrh</w:t>
      </w:r>
      <w:r>
        <w:t xml:space="preserve"> </w:t>
      </w:r>
      <w:r w:rsidRPr="00FE7AB0">
        <w:t>předložený</w:t>
      </w:r>
      <w:r>
        <w:t xml:space="preserve"> </w:t>
      </w:r>
      <w:r w:rsidRPr="00FE7AB0">
        <w:t>ministrem</w:t>
      </w:r>
      <w:r>
        <w:t xml:space="preserve"> </w:t>
      </w:r>
      <w:r w:rsidRPr="00FE7AB0">
        <w:t>zdravotnictví</w:t>
      </w:r>
      <w:r>
        <w:t xml:space="preserve"> </w:t>
      </w:r>
      <w:r w:rsidRPr="00FE7AB0">
        <w:t>po</w:t>
      </w:r>
      <w:r>
        <w:t xml:space="preserve"> </w:t>
      </w:r>
      <w:r w:rsidRPr="00FE7AB0">
        <w:t>projednání</w:t>
      </w:r>
      <w:r>
        <w:t xml:space="preserve"> </w:t>
      </w:r>
      <w:r w:rsidRPr="00FE7AB0">
        <w:t>s</w:t>
      </w:r>
      <w:r>
        <w:t xml:space="preserve"> </w:t>
      </w:r>
      <w:r w:rsidRPr="00FE7AB0">
        <w:t>ministrem</w:t>
      </w:r>
      <w:r>
        <w:t xml:space="preserve"> </w:t>
      </w:r>
      <w:r w:rsidRPr="00FE7AB0">
        <w:t>financí.</w:t>
      </w:r>
      <w:r>
        <w:t xml:space="preserve"> </w:t>
      </w:r>
      <w:r w:rsidRPr="00FE7AB0">
        <w:t>Poskytnutá</w:t>
      </w:r>
      <w:r>
        <w:t xml:space="preserve"> </w:t>
      </w:r>
      <w:r w:rsidRPr="00FE7AB0">
        <w:t>návratná</w:t>
      </w:r>
      <w:r>
        <w:t xml:space="preserve"> </w:t>
      </w:r>
      <w:r w:rsidRPr="00FE7AB0">
        <w:lastRenderedPageBreak/>
        <w:t>finanční</w:t>
      </w:r>
      <w:r>
        <w:t xml:space="preserve"> </w:t>
      </w:r>
      <w:r w:rsidRPr="00FE7AB0">
        <w:t>výpomoc</w:t>
      </w:r>
      <w:r>
        <w:t xml:space="preserve"> </w:t>
      </w:r>
      <w:r w:rsidRPr="00FE7AB0">
        <w:t>se</w:t>
      </w:r>
      <w:r>
        <w:t xml:space="preserve"> </w:t>
      </w:r>
      <w:r w:rsidRPr="00FE7AB0">
        <w:t>použije</w:t>
      </w:r>
      <w:r>
        <w:t xml:space="preserve"> </w:t>
      </w:r>
      <w:r w:rsidRPr="00FE7AB0">
        <w:t>k</w:t>
      </w:r>
      <w:r>
        <w:t xml:space="preserve"> </w:t>
      </w:r>
      <w:r w:rsidRPr="00FE7AB0">
        <w:t>úhradě</w:t>
      </w:r>
      <w:r>
        <w:t xml:space="preserve"> </w:t>
      </w:r>
      <w:r w:rsidRPr="00FE7AB0">
        <w:t>závazků</w:t>
      </w:r>
      <w:r>
        <w:t xml:space="preserve"> </w:t>
      </w:r>
      <w:r w:rsidRPr="00FE7AB0">
        <w:t>zrušované</w:t>
      </w:r>
      <w:r>
        <w:t xml:space="preserve"> </w:t>
      </w:r>
      <w:r w:rsidRPr="00FE7AB0">
        <w:t>zaměstnanecké</w:t>
      </w:r>
      <w:r>
        <w:t xml:space="preserve"> </w:t>
      </w:r>
      <w:r w:rsidRPr="00FE7AB0">
        <w:t>pojišťovny</w:t>
      </w:r>
      <w:r>
        <w:t xml:space="preserve"> </w:t>
      </w:r>
      <w:r w:rsidRPr="00FE7AB0">
        <w:t>vůči</w:t>
      </w:r>
      <w:r>
        <w:t xml:space="preserve"> </w:t>
      </w:r>
      <w:r w:rsidRPr="00FE7AB0">
        <w:t>poskytovatelům,</w:t>
      </w:r>
      <w:r>
        <w:t xml:space="preserve"> </w:t>
      </w:r>
      <w:r w:rsidRPr="00FE7AB0">
        <w:t>pojištěncům,</w:t>
      </w:r>
      <w:r>
        <w:t xml:space="preserve"> </w:t>
      </w:r>
      <w:r w:rsidRPr="00FE7AB0">
        <w:t>nebo</w:t>
      </w:r>
      <w:r>
        <w:t xml:space="preserve"> </w:t>
      </w:r>
      <w:r w:rsidRPr="00FE7AB0">
        <w:t>státu.</w:t>
      </w:r>
    </w:p>
    <w:p w14:paraId="5D76FC0B" w14:textId="77777777" w:rsidR="004536E3" w:rsidRDefault="004536E3" w:rsidP="00471221">
      <w:pPr>
        <w:pStyle w:val="Textparagrafu"/>
        <w:spacing w:before="120" w:after="120"/>
      </w:pPr>
      <w:r w:rsidRPr="00FE7AB0">
        <w:t>(5)</w:t>
      </w:r>
      <w:r>
        <w:t xml:space="preserve"> </w:t>
      </w:r>
      <w:r w:rsidRPr="00FE7AB0">
        <w:t>Zaměstnanecké</w:t>
      </w:r>
      <w:r>
        <w:t xml:space="preserve"> </w:t>
      </w:r>
      <w:r w:rsidRPr="00FE7AB0">
        <w:t>pojišťovny</w:t>
      </w:r>
      <w:r>
        <w:t xml:space="preserve"> </w:t>
      </w:r>
      <w:r w:rsidRPr="00FE7AB0">
        <w:t>mohou</w:t>
      </w:r>
      <w:r>
        <w:t xml:space="preserve"> </w:t>
      </w:r>
      <w:r w:rsidRPr="00FE7AB0">
        <w:t>požádat</w:t>
      </w:r>
      <w:r>
        <w:t xml:space="preserve"> </w:t>
      </w:r>
      <w:r w:rsidRPr="00FE7AB0">
        <w:t>o</w:t>
      </w:r>
      <w:r>
        <w:t xml:space="preserve"> </w:t>
      </w:r>
      <w:r w:rsidRPr="00FE7AB0">
        <w:t>sloučení</w:t>
      </w:r>
      <w:r>
        <w:t xml:space="preserve"> </w:t>
      </w:r>
      <w:r w:rsidRPr="00FE7AB0">
        <w:t>jen</w:t>
      </w:r>
      <w:r>
        <w:t xml:space="preserve"> </w:t>
      </w:r>
      <w:r w:rsidRPr="00FE7AB0">
        <w:t>v</w:t>
      </w:r>
      <w:r>
        <w:t xml:space="preserve"> </w:t>
      </w:r>
      <w:r w:rsidRPr="00FE7AB0">
        <w:t>případě,</w:t>
      </w:r>
      <w:r>
        <w:t xml:space="preserve"> </w:t>
      </w:r>
      <w:r w:rsidRPr="00FE7AB0">
        <w:t>pokud</w:t>
      </w:r>
      <w:r>
        <w:t xml:space="preserve"> </w:t>
      </w:r>
      <w:r w:rsidRPr="00FE7AB0">
        <w:t>jedna</w:t>
      </w:r>
      <w:r>
        <w:t xml:space="preserve"> </w:t>
      </w:r>
      <w:r w:rsidRPr="00FE7AB0">
        <w:t>z</w:t>
      </w:r>
      <w:r>
        <w:t xml:space="preserve"> </w:t>
      </w:r>
      <w:r w:rsidRPr="00FE7AB0">
        <w:t>pojišťoven,</w:t>
      </w:r>
      <w:r>
        <w:t xml:space="preserve"> </w:t>
      </w:r>
      <w:r w:rsidRPr="00FE7AB0">
        <w:t>dlouhodobě</w:t>
      </w:r>
      <w:r>
        <w:t xml:space="preserve"> </w:t>
      </w:r>
      <w:r w:rsidRPr="00FE7AB0">
        <w:t>minimálně</w:t>
      </w:r>
      <w:r>
        <w:t xml:space="preserve"> </w:t>
      </w:r>
      <w:r w:rsidRPr="00FE7AB0">
        <w:t>6</w:t>
      </w:r>
      <w:r>
        <w:t xml:space="preserve"> </w:t>
      </w:r>
      <w:r w:rsidRPr="00FE7AB0">
        <w:t>měsíců</w:t>
      </w:r>
      <w:r>
        <w:t xml:space="preserve"> </w:t>
      </w:r>
      <w:r w:rsidRPr="00FE7AB0">
        <w:t>neplní</w:t>
      </w:r>
      <w:r>
        <w:t xml:space="preserve"> </w:t>
      </w:r>
      <w:r w:rsidRPr="00FE7AB0">
        <w:t>své</w:t>
      </w:r>
      <w:r>
        <w:t xml:space="preserve"> </w:t>
      </w:r>
      <w:r w:rsidRPr="00FE7AB0">
        <w:t>závazky</w:t>
      </w:r>
      <w:r>
        <w:t xml:space="preserve"> </w:t>
      </w:r>
      <w:r w:rsidRPr="00FE7AB0">
        <w:t>vůči</w:t>
      </w:r>
      <w:r>
        <w:t xml:space="preserve"> </w:t>
      </w:r>
      <w:r w:rsidRPr="00FE7AB0">
        <w:t>pojištěncům</w:t>
      </w:r>
      <w:r>
        <w:t xml:space="preserve"> </w:t>
      </w:r>
      <w:r w:rsidRPr="00FE7AB0">
        <w:t>a</w:t>
      </w:r>
      <w:r>
        <w:t xml:space="preserve"> </w:t>
      </w:r>
      <w:r w:rsidRPr="00FE7AB0">
        <w:t>poskytovatelům,</w:t>
      </w:r>
      <w:r>
        <w:t xml:space="preserve"> </w:t>
      </w:r>
      <w:r w:rsidRPr="00FE7AB0">
        <w:t>zejména</w:t>
      </w:r>
      <w:r>
        <w:t xml:space="preserve"> </w:t>
      </w:r>
      <w:r w:rsidRPr="00FE7AB0">
        <w:t>v</w:t>
      </w:r>
      <w:r>
        <w:t xml:space="preserve"> </w:t>
      </w:r>
      <w:r w:rsidRPr="00FE7AB0">
        <w:t>rozsahu</w:t>
      </w:r>
      <w:r>
        <w:t xml:space="preserve"> </w:t>
      </w:r>
      <w:r w:rsidRPr="00FE7AB0">
        <w:t>uvedené</w:t>
      </w:r>
      <w:r>
        <w:t xml:space="preserve"> </w:t>
      </w:r>
      <w:r w:rsidRPr="00FE7AB0">
        <w:t>ve</w:t>
      </w:r>
      <w:r>
        <w:t xml:space="preserve"> </w:t>
      </w:r>
      <w:r w:rsidRPr="00FE7AB0">
        <w:t>schváleném</w:t>
      </w:r>
      <w:r>
        <w:t xml:space="preserve"> </w:t>
      </w:r>
      <w:r w:rsidRPr="00FE7AB0">
        <w:t>Zdravotně</w:t>
      </w:r>
      <w:r>
        <w:t xml:space="preserve"> </w:t>
      </w:r>
      <w:r w:rsidRPr="00FE7AB0">
        <w:t>pojistném</w:t>
      </w:r>
      <w:r>
        <w:t xml:space="preserve"> </w:t>
      </w:r>
      <w:r w:rsidRPr="00FE7AB0">
        <w:t>plánu</w:t>
      </w:r>
      <w:r>
        <w:t xml:space="preserve"> </w:t>
      </w:r>
      <w:r w:rsidRPr="00FE7AB0">
        <w:t>na</w:t>
      </w:r>
      <w:r>
        <w:t xml:space="preserve"> </w:t>
      </w:r>
      <w:r w:rsidRPr="00FE7AB0">
        <w:t>daný</w:t>
      </w:r>
      <w:r>
        <w:t xml:space="preserve"> </w:t>
      </w:r>
      <w:r w:rsidRPr="00FE7AB0">
        <w:t>rok.</w:t>
      </w:r>
      <w:r>
        <w:t xml:space="preserve"> </w:t>
      </w:r>
      <w:r w:rsidRPr="00FE7AB0">
        <w:t>O</w:t>
      </w:r>
      <w:r>
        <w:t xml:space="preserve"> </w:t>
      </w:r>
      <w:r w:rsidRPr="00FE7AB0">
        <w:t>neplnění</w:t>
      </w:r>
      <w:r>
        <w:t xml:space="preserve"> </w:t>
      </w:r>
      <w:r w:rsidRPr="00FE7AB0">
        <w:t>závazků</w:t>
      </w:r>
      <w:r>
        <w:t xml:space="preserve"> </w:t>
      </w:r>
      <w:r w:rsidRPr="00FE7AB0">
        <w:t>vůči</w:t>
      </w:r>
      <w:r>
        <w:t xml:space="preserve"> </w:t>
      </w:r>
      <w:r w:rsidRPr="00FE7AB0">
        <w:t>pojištěncům</w:t>
      </w:r>
      <w:r>
        <w:t xml:space="preserve"> </w:t>
      </w:r>
      <w:r w:rsidRPr="00FE7AB0">
        <w:t>a</w:t>
      </w:r>
      <w:r>
        <w:t xml:space="preserve"> </w:t>
      </w:r>
      <w:r w:rsidRPr="00FE7AB0">
        <w:t>poskytovatelům</w:t>
      </w:r>
      <w:r>
        <w:t xml:space="preserve"> </w:t>
      </w:r>
      <w:r w:rsidRPr="00FE7AB0">
        <w:t>rozhoduje</w:t>
      </w:r>
      <w:r>
        <w:t xml:space="preserve"> </w:t>
      </w:r>
      <w:r w:rsidRPr="00FE7AB0">
        <w:t>Ministerstvo</w:t>
      </w:r>
      <w:r>
        <w:t xml:space="preserve"> </w:t>
      </w:r>
      <w:r w:rsidRPr="00FE7AB0">
        <w:t>zdravotnictví.</w:t>
      </w:r>
    </w:p>
    <w:p w14:paraId="38B026CF" w14:textId="77777777" w:rsidR="004536E3" w:rsidRDefault="004536E3" w:rsidP="00471221">
      <w:pPr>
        <w:pStyle w:val="Textparagrafu"/>
        <w:spacing w:before="120" w:after="120"/>
      </w:pPr>
      <w:r w:rsidRPr="00FE7AB0">
        <w:t>(6)</w:t>
      </w:r>
      <w:r>
        <w:t xml:space="preserve"> </w:t>
      </w:r>
      <w:r w:rsidRPr="00FE7AB0">
        <w:t>Oznámení</w:t>
      </w:r>
      <w:r>
        <w:t xml:space="preserve"> </w:t>
      </w:r>
      <w:r w:rsidRPr="00FE7AB0">
        <w:t>o</w:t>
      </w:r>
      <w:r>
        <w:t xml:space="preserve"> </w:t>
      </w:r>
      <w:r w:rsidRPr="00FE7AB0">
        <w:t>sloučení</w:t>
      </w:r>
      <w:r>
        <w:t xml:space="preserve"> </w:t>
      </w:r>
      <w:r w:rsidRPr="00FE7AB0">
        <w:t>jsou</w:t>
      </w:r>
      <w:r>
        <w:t xml:space="preserve"> </w:t>
      </w:r>
      <w:r w:rsidRPr="00FE7AB0">
        <w:t>povinny</w:t>
      </w:r>
      <w:r>
        <w:t xml:space="preserve"> </w:t>
      </w:r>
      <w:r w:rsidRPr="00FE7AB0">
        <w:t>zaměstnanecké</w:t>
      </w:r>
      <w:r>
        <w:t xml:space="preserve"> </w:t>
      </w:r>
      <w:r w:rsidRPr="00FE7AB0">
        <w:t>pojišťovny</w:t>
      </w:r>
      <w:r>
        <w:t xml:space="preserve"> </w:t>
      </w:r>
      <w:r w:rsidRPr="00FE7AB0">
        <w:t>neprodleně</w:t>
      </w:r>
      <w:r>
        <w:t xml:space="preserve"> </w:t>
      </w:r>
      <w:r w:rsidRPr="00FE7AB0">
        <w:t>předat</w:t>
      </w:r>
      <w:r>
        <w:t xml:space="preserve"> </w:t>
      </w:r>
      <w:r w:rsidRPr="00FE7AB0">
        <w:t>Centrálnímu</w:t>
      </w:r>
      <w:r>
        <w:t xml:space="preserve"> </w:t>
      </w:r>
      <w:r w:rsidRPr="00FE7AB0">
        <w:t>registru</w:t>
      </w:r>
      <w:r>
        <w:t xml:space="preserve"> </w:t>
      </w:r>
      <w:r w:rsidRPr="00FE7AB0">
        <w:t>pojištěnců</w:t>
      </w:r>
      <w:r>
        <w:t xml:space="preserve"> </w:t>
      </w:r>
      <w:r w:rsidRPr="00FE7AB0">
        <w:t>vedenému</w:t>
      </w:r>
      <w:r>
        <w:t xml:space="preserve"> </w:t>
      </w:r>
      <w:r w:rsidRPr="00FE7AB0">
        <w:t>Všeobecnou</w:t>
      </w:r>
      <w:r>
        <w:t xml:space="preserve"> </w:t>
      </w:r>
      <w:r w:rsidRPr="00FE7AB0">
        <w:t>zdravotní</w:t>
      </w:r>
      <w:r>
        <w:t xml:space="preserve"> </w:t>
      </w:r>
      <w:r w:rsidRPr="00FE7AB0">
        <w:t>pojišťovnou</w:t>
      </w:r>
      <w:r>
        <w:t xml:space="preserve"> </w:t>
      </w:r>
      <w:r w:rsidRPr="00FE7AB0">
        <w:t>České</w:t>
      </w:r>
      <w:r>
        <w:t xml:space="preserve"> </w:t>
      </w:r>
      <w:r w:rsidRPr="00FE7AB0">
        <w:t>republiky.</w:t>
      </w:r>
      <w:r>
        <w:t xml:space="preserve"> </w:t>
      </w:r>
      <w:r w:rsidRPr="00FE7AB0">
        <w:t>Současně</w:t>
      </w:r>
      <w:r>
        <w:t xml:space="preserve"> </w:t>
      </w:r>
      <w:r w:rsidRPr="00FE7AB0">
        <w:t>s</w:t>
      </w:r>
      <w:r>
        <w:t xml:space="preserve"> </w:t>
      </w:r>
      <w:r w:rsidRPr="00FE7AB0">
        <w:t>oznámením</w:t>
      </w:r>
      <w:r>
        <w:t xml:space="preserve"> </w:t>
      </w:r>
      <w:r w:rsidRPr="00FE7AB0">
        <w:t>jsou</w:t>
      </w:r>
      <w:r>
        <w:t xml:space="preserve"> </w:t>
      </w:r>
      <w:r w:rsidRPr="00FE7AB0">
        <w:t>povinny</w:t>
      </w:r>
      <w:r>
        <w:t xml:space="preserve"> </w:t>
      </w:r>
      <w:r w:rsidRPr="00FE7AB0">
        <w:t>předat</w:t>
      </w:r>
      <w:r>
        <w:t xml:space="preserve"> </w:t>
      </w:r>
      <w:r w:rsidRPr="00FE7AB0">
        <w:t>Centrálnímu</w:t>
      </w:r>
      <w:r>
        <w:t xml:space="preserve"> </w:t>
      </w:r>
      <w:r w:rsidRPr="00FE7AB0">
        <w:t>registru</w:t>
      </w:r>
      <w:r>
        <w:t xml:space="preserve"> </w:t>
      </w:r>
      <w:r w:rsidRPr="00FE7AB0">
        <w:t>pojištěnců</w:t>
      </w:r>
      <w:r>
        <w:t xml:space="preserve"> </w:t>
      </w:r>
      <w:r w:rsidRPr="00FE7AB0">
        <w:t>též</w:t>
      </w:r>
      <w:r>
        <w:t xml:space="preserve"> </w:t>
      </w:r>
      <w:r w:rsidRPr="00FE7AB0">
        <w:t>povolení</w:t>
      </w:r>
      <w:r>
        <w:t xml:space="preserve"> </w:t>
      </w:r>
      <w:r w:rsidRPr="00FE7AB0">
        <w:t>podle</w:t>
      </w:r>
      <w:r>
        <w:t xml:space="preserve"> </w:t>
      </w:r>
      <w:r w:rsidRPr="00FE7AB0">
        <w:t>odstavce</w:t>
      </w:r>
      <w:r>
        <w:t xml:space="preserve"> </w:t>
      </w:r>
      <w:r w:rsidRPr="00FE7AB0">
        <w:t>3,</w:t>
      </w:r>
      <w:r>
        <w:t xml:space="preserve"> </w:t>
      </w:r>
      <w:r w:rsidRPr="00FE7AB0">
        <w:t>pokud</w:t>
      </w:r>
      <w:r>
        <w:t xml:space="preserve"> </w:t>
      </w:r>
      <w:r w:rsidRPr="00FE7AB0">
        <w:t>ho</w:t>
      </w:r>
      <w:r>
        <w:t xml:space="preserve"> </w:t>
      </w:r>
      <w:r w:rsidRPr="00FE7AB0">
        <w:t>bylo</w:t>
      </w:r>
      <w:r>
        <w:t xml:space="preserve"> </w:t>
      </w:r>
      <w:r w:rsidRPr="00FE7AB0">
        <w:t>ke</w:t>
      </w:r>
      <w:r>
        <w:t xml:space="preserve"> </w:t>
      </w:r>
      <w:r w:rsidRPr="00FE7AB0">
        <w:t>sloučení</w:t>
      </w:r>
      <w:r>
        <w:t xml:space="preserve"> </w:t>
      </w:r>
      <w:r w:rsidRPr="00FE7AB0">
        <w:t>třeba.</w:t>
      </w:r>
    </w:p>
    <w:p w14:paraId="58CDB3DB" w14:textId="77777777" w:rsidR="004536E3" w:rsidRDefault="004536E3" w:rsidP="00471221">
      <w:pPr>
        <w:pStyle w:val="Textparagrafu"/>
        <w:spacing w:before="120" w:after="120"/>
      </w:pPr>
      <w:r w:rsidRPr="00FE7AB0">
        <w:t>(7)</w:t>
      </w:r>
      <w:r>
        <w:t xml:space="preserve"> </w:t>
      </w:r>
      <w:r w:rsidRPr="00FE7AB0">
        <w:t>Zaměstnanecká</w:t>
      </w:r>
      <w:r>
        <w:t xml:space="preserve"> </w:t>
      </w:r>
      <w:r w:rsidRPr="00FE7AB0">
        <w:t>pojišťovna</w:t>
      </w:r>
      <w:r>
        <w:t xml:space="preserve"> </w:t>
      </w:r>
      <w:r w:rsidRPr="00FE7AB0">
        <w:t>se</w:t>
      </w:r>
      <w:r>
        <w:t xml:space="preserve"> </w:t>
      </w:r>
      <w:r w:rsidRPr="00FE7AB0">
        <w:t>zrušuje</w:t>
      </w:r>
      <w:r>
        <w:t xml:space="preserve"> </w:t>
      </w:r>
      <w:r w:rsidRPr="00FE7AB0">
        <w:t>s</w:t>
      </w:r>
      <w:r>
        <w:t xml:space="preserve"> </w:t>
      </w:r>
      <w:r w:rsidRPr="00FE7AB0">
        <w:t>likvidací,</w:t>
      </w:r>
      <w:r>
        <w:t xml:space="preserve"> </w:t>
      </w:r>
      <w:r w:rsidRPr="00FE7AB0">
        <w:t>jestliže:</w:t>
      </w:r>
    </w:p>
    <w:p w14:paraId="6679BE89" w14:textId="0AAE09B5" w:rsidR="004536E3" w:rsidRDefault="004536E3" w:rsidP="00471221">
      <w:pPr>
        <w:pStyle w:val="Textparagrafu"/>
        <w:spacing w:before="0"/>
        <w:ind w:left="426" w:hanging="426"/>
      </w:pPr>
      <w:r w:rsidRPr="00FE7AB0">
        <w:t>a)</w:t>
      </w:r>
      <w:r>
        <w:t xml:space="preserve"> </w:t>
      </w:r>
      <w:r w:rsidR="00471221">
        <w:tab/>
      </w:r>
      <w:r w:rsidRPr="00FE7AB0">
        <w:t>jí</w:t>
      </w:r>
      <w:r>
        <w:t xml:space="preserve"> </w:t>
      </w:r>
      <w:r w:rsidRPr="00FE7AB0">
        <w:t>bylo</w:t>
      </w:r>
      <w:r>
        <w:t xml:space="preserve"> </w:t>
      </w:r>
      <w:r w:rsidRPr="00FE7AB0">
        <w:t>Ministerstvem</w:t>
      </w:r>
      <w:r>
        <w:t xml:space="preserve"> </w:t>
      </w:r>
      <w:r w:rsidRPr="00FE7AB0">
        <w:t>zdravotnictví</w:t>
      </w:r>
      <w:r>
        <w:t xml:space="preserve"> </w:t>
      </w:r>
      <w:r w:rsidRPr="00FE7AB0">
        <w:t>odejmuto</w:t>
      </w:r>
      <w:r>
        <w:t xml:space="preserve"> </w:t>
      </w:r>
      <w:r w:rsidRPr="00FE7AB0">
        <w:t>povolení</w:t>
      </w:r>
      <w:r>
        <w:t xml:space="preserve"> </w:t>
      </w:r>
      <w:r w:rsidRPr="00FE7AB0">
        <w:t>k</w:t>
      </w:r>
      <w:r>
        <w:t xml:space="preserve"> </w:t>
      </w:r>
      <w:r w:rsidRPr="00FE7AB0">
        <w:t>provádění</w:t>
      </w:r>
      <w:r>
        <w:t xml:space="preserve"> </w:t>
      </w:r>
      <w:r w:rsidRPr="00FE7AB0">
        <w:t>všeobecného</w:t>
      </w:r>
      <w:r>
        <w:t xml:space="preserve"> </w:t>
      </w:r>
      <w:r w:rsidRPr="00FE7AB0">
        <w:t>zdravotního</w:t>
      </w:r>
      <w:r>
        <w:t xml:space="preserve"> </w:t>
      </w:r>
      <w:r w:rsidRPr="00FE7AB0">
        <w:t>pojištění,</w:t>
      </w:r>
      <w:r>
        <w:t xml:space="preserve"> </w:t>
      </w:r>
      <w:r w:rsidRPr="00FE7AB0">
        <w:t>nebo</w:t>
      </w:r>
    </w:p>
    <w:p w14:paraId="678F6FC6" w14:textId="2F6B7BCF" w:rsidR="004536E3" w:rsidRDefault="004536E3" w:rsidP="00471221">
      <w:pPr>
        <w:pStyle w:val="Textparagrafu"/>
        <w:spacing w:before="0"/>
        <w:ind w:left="426" w:hanging="426"/>
      </w:pPr>
      <w:r w:rsidRPr="00FE7AB0">
        <w:t>b)</w:t>
      </w:r>
      <w:r>
        <w:t xml:space="preserve"> </w:t>
      </w:r>
      <w:r w:rsidR="00471221">
        <w:tab/>
      </w:r>
      <w:r w:rsidRPr="00FE7AB0">
        <w:t>o</w:t>
      </w:r>
      <w:r>
        <w:t xml:space="preserve"> </w:t>
      </w:r>
      <w:r w:rsidRPr="00FE7AB0">
        <w:t>to</w:t>
      </w:r>
      <w:r>
        <w:t xml:space="preserve"> </w:t>
      </w:r>
      <w:r w:rsidRPr="00FE7AB0">
        <w:t>zaměstnanecká</w:t>
      </w:r>
      <w:r>
        <w:t xml:space="preserve"> </w:t>
      </w:r>
      <w:r w:rsidRPr="00FE7AB0">
        <w:t>pojišťovna</w:t>
      </w:r>
      <w:r>
        <w:t xml:space="preserve"> </w:t>
      </w:r>
      <w:r w:rsidRPr="00FE7AB0">
        <w:t>Ministerstvo</w:t>
      </w:r>
      <w:r>
        <w:t xml:space="preserve"> </w:t>
      </w:r>
      <w:r w:rsidRPr="00FE7AB0">
        <w:t>zdravotnictví</w:t>
      </w:r>
      <w:r>
        <w:t xml:space="preserve"> </w:t>
      </w:r>
      <w:r w:rsidRPr="00FE7AB0">
        <w:t>požádá.</w:t>
      </w:r>
    </w:p>
    <w:p w14:paraId="04BFEF40" w14:textId="77777777" w:rsidR="004536E3" w:rsidRDefault="004536E3" w:rsidP="00471221">
      <w:pPr>
        <w:pStyle w:val="Textparagrafu"/>
        <w:spacing w:before="120" w:after="120"/>
      </w:pPr>
      <w:r w:rsidRPr="00FE7AB0">
        <w:t>(8)</w:t>
      </w:r>
      <w:r>
        <w:t xml:space="preserve"> </w:t>
      </w:r>
      <w:r w:rsidRPr="00FE7AB0">
        <w:t>Ministerstvo</w:t>
      </w:r>
      <w:r>
        <w:t xml:space="preserve"> </w:t>
      </w:r>
      <w:r w:rsidRPr="00FE7AB0">
        <w:t>zdravotnictví</w:t>
      </w:r>
      <w:r>
        <w:t xml:space="preserve"> </w:t>
      </w:r>
      <w:r w:rsidRPr="00FE7AB0">
        <w:t>může</w:t>
      </w:r>
      <w:r>
        <w:t xml:space="preserve"> </w:t>
      </w:r>
      <w:r w:rsidRPr="00FE7AB0">
        <w:t>odejmout</w:t>
      </w:r>
      <w:r>
        <w:t xml:space="preserve"> </w:t>
      </w:r>
      <w:r w:rsidRPr="00FE7AB0">
        <w:t>povolení</w:t>
      </w:r>
      <w:r>
        <w:t xml:space="preserve"> </w:t>
      </w:r>
      <w:r w:rsidRPr="00FE7AB0">
        <w:t>podle</w:t>
      </w:r>
      <w:r>
        <w:t xml:space="preserve"> </w:t>
      </w:r>
      <w:r w:rsidRPr="00FE7AB0">
        <w:t>odstavce</w:t>
      </w:r>
      <w:r>
        <w:t xml:space="preserve"> </w:t>
      </w:r>
      <w:r w:rsidRPr="00FE7AB0">
        <w:t>6</w:t>
      </w:r>
      <w:r>
        <w:t xml:space="preserve"> </w:t>
      </w:r>
      <w:r w:rsidRPr="00FE7AB0">
        <w:t>písm.</w:t>
      </w:r>
      <w:r>
        <w:t xml:space="preserve"> </w:t>
      </w:r>
      <w:r w:rsidRPr="00FE7AB0">
        <w:t>a),</w:t>
      </w:r>
      <w:r>
        <w:t xml:space="preserve"> </w:t>
      </w:r>
      <w:r w:rsidRPr="00FE7AB0">
        <w:t>jestliže:</w:t>
      </w:r>
    </w:p>
    <w:p w14:paraId="524A2871" w14:textId="3182E949" w:rsidR="004536E3" w:rsidRDefault="004536E3" w:rsidP="00B811D2">
      <w:pPr>
        <w:pStyle w:val="Textparagrafu"/>
        <w:spacing w:before="0"/>
        <w:ind w:left="426" w:hanging="426"/>
      </w:pPr>
      <w:r w:rsidRPr="00FE7AB0">
        <w:t>a)</w:t>
      </w:r>
      <w:r w:rsidR="00B811D2">
        <w:tab/>
      </w:r>
      <w:r w:rsidRPr="00FE7AB0">
        <w:t>opatření</w:t>
      </w:r>
      <w:r>
        <w:t xml:space="preserve"> </w:t>
      </w:r>
      <w:r w:rsidRPr="00FE7AB0">
        <w:t>uložená</w:t>
      </w:r>
      <w:r>
        <w:t xml:space="preserve"> </w:t>
      </w:r>
      <w:r w:rsidRPr="00FE7AB0">
        <w:t>Ministerstvem</w:t>
      </w:r>
      <w:r>
        <w:t xml:space="preserve"> </w:t>
      </w:r>
      <w:r w:rsidRPr="00FE7AB0">
        <w:t>zdravotnictví</w:t>
      </w:r>
      <w:r>
        <w:t xml:space="preserve"> </w:t>
      </w:r>
      <w:r w:rsidRPr="00FE7AB0">
        <w:t>k</w:t>
      </w:r>
      <w:r>
        <w:t xml:space="preserve"> </w:t>
      </w:r>
      <w:r w:rsidRPr="00FE7AB0">
        <w:t>nápravě</w:t>
      </w:r>
      <w:r>
        <w:t xml:space="preserve"> </w:t>
      </w:r>
      <w:r w:rsidRPr="00FE7AB0">
        <w:t>nedostatků</w:t>
      </w:r>
      <w:r>
        <w:t xml:space="preserve"> </w:t>
      </w:r>
      <w:r w:rsidRPr="00FE7AB0">
        <w:t>v</w:t>
      </w:r>
      <w:r>
        <w:t xml:space="preserve"> </w:t>
      </w:r>
      <w:r w:rsidRPr="00FE7AB0">
        <w:t>hospodaření,</w:t>
      </w:r>
      <w:r>
        <w:t xml:space="preserve"> </w:t>
      </w:r>
      <w:r w:rsidRPr="00FE7AB0">
        <w:t>zejména</w:t>
      </w:r>
      <w:r>
        <w:t xml:space="preserve"> </w:t>
      </w:r>
      <w:r w:rsidRPr="00FE7AB0">
        <w:t>pokud</w:t>
      </w:r>
      <w:r>
        <w:t xml:space="preserve"> </w:t>
      </w:r>
      <w:r w:rsidRPr="00FE7AB0">
        <w:t>jde</w:t>
      </w:r>
      <w:r>
        <w:t xml:space="preserve"> </w:t>
      </w:r>
      <w:r w:rsidRPr="00FE7AB0">
        <w:t>o</w:t>
      </w:r>
      <w:r>
        <w:t xml:space="preserve"> </w:t>
      </w:r>
      <w:r w:rsidRPr="00FE7AB0">
        <w:t>platební</w:t>
      </w:r>
      <w:r>
        <w:t xml:space="preserve"> </w:t>
      </w:r>
      <w:r w:rsidRPr="00FE7AB0">
        <w:t>způsobilost</w:t>
      </w:r>
      <w:r>
        <w:t xml:space="preserve"> </w:t>
      </w:r>
      <w:r w:rsidRPr="00FE7AB0">
        <w:t>zaměstnanecké</w:t>
      </w:r>
      <w:r>
        <w:t xml:space="preserve"> </w:t>
      </w:r>
      <w:r w:rsidRPr="00FE7AB0">
        <w:t>pojišťovny,</w:t>
      </w:r>
      <w:r>
        <w:t xml:space="preserve"> </w:t>
      </w:r>
      <w:r w:rsidRPr="00FE7AB0">
        <w:t>nesplnila</w:t>
      </w:r>
      <w:r>
        <w:t xml:space="preserve"> </w:t>
      </w:r>
      <w:r w:rsidRPr="00FE7AB0">
        <w:t>svůj</w:t>
      </w:r>
      <w:r>
        <w:t xml:space="preserve"> </w:t>
      </w:r>
      <w:r w:rsidRPr="00FE7AB0">
        <w:t>účel</w:t>
      </w:r>
      <w:r>
        <w:t xml:space="preserve"> </w:t>
      </w:r>
      <w:r w:rsidRPr="00FE7AB0">
        <w:t>a</w:t>
      </w:r>
      <w:r>
        <w:t xml:space="preserve"> </w:t>
      </w:r>
      <w:r w:rsidRPr="00FE7AB0">
        <w:t>tento</w:t>
      </w:r>
      <w:r>
        <w:t xml:space="preserve"> </w:t>
      </w:r>
      <w:r w:rsidRPr="00FE7AB0">
        <w:t>účel</w:t>
      </w:r>
      <w:r>
        <w:t xml:space="preserve"> </w:t>
      </w:r>
      <w:r w:rsidRPr="00FE7AB0">
        <w:t>nemohl</w:t>
      </w:r>
      <w:r>
        <w:t xml:space="preserve"> </w:t>
      </w:r>
      <w:r w:rsidRPr="00FE7AB0">
        <w:t>být</w:t>
      </w:r>
      <w:r>
        <w:t xml:space="preserve"> </w:t>
      </w:r>
      <w:r w:rsidRPr="00FE7AB0">
        <w:t>splněn</w:t>
      </w:r>
      <w:r>
        <w:t xml:space="preserve"> </w:t>
      </w:r>
      <w:r w:rsidRPr="00FE7AB0">
        <w:t>ani</w:t>
      </w:r>
      <w:r>
        <w:t xml:space="preserve"> </w:t>
      </w:r>
      <w:r w:rsidRPr="00FE7AB0">
        <w:t>zavedením</w:t>
      </w:r>
      <w:r>
        <w:t xml:space="preserve"> </w:t>
      </w:r>
      <w:r w:rsidRPr="00FE7AB0">
        <w:t>nucené</w:t>
      </w:r>
      <w:r>
        <w:t xml:space="preserve"> </w:t>
      </w:r>
      <w:r w:rsidRPr="00FE7AB0">
        <w:t>správy,</w:t>
      </w:r>
      <w:r>
        <w:t xml:space="preserve"> </w:t>
      </w:r>
      <w:r w:rsidRPr="00FE7AB0">
        <w:t>nebo</w:t>
      </w:r>
    </w:p>
    <w:p w14:paraId="01FE47C1" w14:textId="7C165A23" w:rsidR="004536E3" w:rsidRDefault="004536E3" w:rsidP="00B811D2">
      <w:pPr>
        <w:pStyle w:val="Textparagrafu"/>
        <w:spacing w:before="0"/>
        <w:ind w:left="426" w:hanging="426"/>
      </w:pPr>
      <w:r w:rsidRPr="00FE7AB0">
        <w:t>b)</w:t>
      </w:r>
      <w:r w:rsidR="00B811D2">
        <w:tab/>
      </w:r>
      <w:r w:rsidRPr="00FE7AB0">
        <w:t>nucená</w:t>
      </w:r>
      <w:r>
        <w:t xml:space="preserve"> </w:t>
      </w:r>
      <w:r w:rsidRPr="00FE7AB0">
        <w:t>správa</w:t>
      </w:r>
      <w:r>
        <w:t xml:space="preserve"> </w:t>
      </w:r>
      <w:r w:rsidRPr="00FE7AB0">
        <w:t>nesplnila</w:t>
      </w:r>
      <w:r>
        <w:t xml:space="preserve"> </w:t>
      </w:r>
      <w:r w:rsidRPr="00FE7AB0">
        <w:t>svůj</w:t>
      </w:r>
      <w:r>
        <w:t xml:space="preserve"> </w:t>
      </w:r>
      <w:r w:rsidRPr="00FE7AB0">
        <w:t>účel,</w:t>
      </w:r>
      <w:r>
        <w:t xml:space="preserve"> </w:t>
      </w:r>
      <w:r w:rsidRPr="00FE7AB0">
        <w:t>nebo</w:t>
      </w:r>
    </w:p>
    <w:p w14:paraId="13135C48" w14:textId="28D5113D" w:rsidR="004536E3" w:rsidRDefault="004536E3" w:rsidP="00B811D2">
      <w:pPr>
        <w:pStyle w:val="Textparagrafu"/>
        <w:spacing w:before="0"/>
        <w:ind w:left="426" w:hanging="426"/>
      </w:pPr>
      <w:r w:rsidRPr="00FE7AB0">
        <w:t>c)</w:t>
      </w:r>
      <w:r w:rsidR="00B811D2">
        <w:tab/>
      </w:r>
      <w:r w:rsidRPr="00FE7AB0">
        <w:t>vláda</w:t>
      </w:r>
      <w:r>
        <w:t xml:space="preserve"> </w:t>
      </w:r>
      <w:r w:rsidRPr="00FE7AB0">
        <w:t>opakovaně</w:t>
      </w:r>
      <w:r>
        <w:t xml:space="preserve"> </w:t>
      </w:r>
      <w:r w:rsidRPr="00FE7AB0">
        <w:t>neschválila</w:t>
      </w:r>
      <w:r>
        <w:t xml:space="preserve"> </w:t>
      </w:r>
      <w:r w:rsidRPr="00FE7AB0">
        <w:t>zdravotně</w:t>
      </w:r>
      <w:r>
        <w:t xml:space="preserve"> </w:t>
      </w:r>
      <w:r w:rsidRPr="00FE7AB0">
        <w:t>pojistný</w:t>
      </w:r>
      <w:r>
        <w:t xml:space="preserve"> </w:t>
      </w:r>
      <w:r w:rsidRPr="00FE7AB0">
        <w:t>plán</w:t>
      </w:r>
      <w:r>
        <w:t xml:space="preserve"> </w:t>
      </w:r>
      <w:r w:rsidRPr="00FE7AB0">
        <w:t>nebo</w:t>
      </w:r>
      <w:r>
        <w:t xml:space="preserve"> </w:t>
      </w:r>
      <w:r w:rsidRPr="00FE7AB0">
        <w:t>opakovaně</w:t>
      </w:r>
      <w:r>
        <w:t xml:space="preserve"> </w:t>
      </w:r>
      <w:r w:rsidRPr="00FE7AB0">
        <w:t>neschválila</w:t>
      </w:r>
      <w:r>
        <w:t xml:space="preserve"> </w:t>
      </w:r>
      <w:r w:rsidRPr="004536E3">
        <w:rPr>
          <w:strike/>
        </w:rPr>
        <w:t>výroční zprávu</w:t>
      </w:r>
      <w:r>
        <w:t xml:space="preserve"> </w:t>
      </w:r>
      <w:r w:rsidR="00951FFF" w:rsidRPr="006709C9">
        <w:rPr>
          <w:b/>
          <w:szCs w:val="24"/>
        </w:rPr>
        <w:t xml:space="preserve">řádnou účetní závěrku nebo </w:t>
      </w:r>
      <w:r w:rsidR="00951FFF" w:rsidRPr="006709C9">
        <w:rPr>
          <w:b/>
          <w:bCs/>
          <w:szCs w:val="24"/>
        </w:rPr>
        <w:t>zprávu vedení</w:t>
      </w:r>
      <w:r w:rsidR="00951FFF" w:rsidRPr="00FE7AB0">
        <w:t xml:space="preserve"> </w:t>
      </w:r>
      <w:r w:rsidRPr="00FE7AB0">
        <w:t>zaměstnanecké</w:t>
      </w:r>
      <w:r>
        <w:t xml:space="preserve"> </w:t>
      </w:r>
      <w:r w:rsidRPr="00FE7AB0">
        <w:t>pojišťovny,</w:t>
      </w:r>
      <w:r>
        <w:t xml:space="preserve"> </w:t>
      </w:r>
      <w:r w:rsidRPr="00FE7AB0">
        <w:t>nebo</w:t>
      </w:r>
    </w:p>
    <w:p w14:paraId="68C7ED3B" w14:textId="144E8E0B" w:rsidR="004536E3" w:rsidRDefault="004536E3" w:rsidP="00B811D2">
      <w:pPr>
        <w:pStyle w:val="Textparagrafu"/>
        <w:spacing w:before="0"/>
        <w:ind w:left="426" w:hanging="426"/>
      </w:pPr>
      <w:r w:rsidRPr="00FE7AB0">
        <w:t>d)</w:t>
      </w:r>
      <w:r w:rsidR="00B811D2">
        <w:tab/>
      </w:r>
      <w:r w:rsidRPr="00FE7AB0">
        <w:t>pokud</w:t>
      </w:r>
      <w:r>
        <w:t xml:space="preserve"> </w:t>
      </w:r>
      <w:r w:rsidRPr="00FE7AB0">
        <w:t>zaměstnanecká</w:t>
      </w:r>
      <w:r>
        <w:t xml:space="preserve"> </w:t>
      </w:r>
      <w:r w:rsidRPr="00FE7AB0">
        <w:t>pojišťovna</w:t>
      </w:r>
      <w:r>
        <w:t xml:space="preserve"> </w:t>
      </w:r>
      <w:r w:rsidRPr="00FE7AB0">
        <w:t>závažným</w:t>
      </w:r>
      <w:r>
        <w:t xml:space="preserve"> </w:t>
      </w:r>
      <w:r w:rsidRPr="00FE7AB0">
        <w:t>způsobem</w:t>
      </w:r>
      <w:r>
        <w:t xml:space="preserve"> </w:t>
      </w:r>
      <w:r w:rsidRPr="00FE7AB0">
        <w:t>porušuje</w:t>
      </w:r>
      <w:r>
        <w:t xml:space="preserve"> </w:t>
      </w:r>
      <w:r w:rsidRPr="00FE7AB0">
        <w:t>právní</w:t>
      </w:r>
      <w:r>
        <w:t xml:space="preserve"> </w:t>
      </w:r>
      <w:r w:rsidRPr="00FE7AB0">
        <w:t>předpisy,</w:t>
      </w:r>
      <w:r>
        <w:t xml:space="preserve"> </w:t>
      </w:r>
      <w:r w:rsidRPr="00FE7AB0">
        <w:t>nebo</w:t>
      </w:r>
    </w:p>
    <w:p w14:paraId="11FA76DE" w14:textId="30552A2E" w:rsidR="004536E3" w:rsidRPr="00951FFF" w:rsidRDefault="004536E3" w:rsidP="00B811D2">
      <w:pPr>
        <w:pStyle w:val="Textparagrafu"/>
        <w:numPr>
          <w:ilvl w:val="0"/>
          <w:numId w:val="28"/>
        </w:numPr>
        <w:spacing w:before="0"/>
        <w:ind w:left="426" w:hanging="426"/>
        <w:rPr>
          <w:b/>
        </w:rPr>
      </w:pPr>
      <w:r w:rsidRPr="00FE7AB0">
        <w:t>e)</w:t>
      </w:r>
      <w:r w:rsidR="00B811D2">
        <w:tab/>
      </w:r>
      <w:r w:rsidRPr="00FE7AB0">
        <w:t>zaměstnanecká</w:t>
      </w:r>
      <w:r>
        <w:t xml:space="preserve"> </w:t>
      </w:r>
      <w:r w:rsidRPr="004536E3">
        <w:t>pojišťovna nesplnila své závazky podle § 4 odst. 2 písm. c), d) a</w:t>
      </w:r>
      <w:r>
        <w:t xml:space="preserve"> f).</w:t>
      </w:r>
    </w:p>
    <w:p w14:paraId="0F3BDBD0" w14:textId="77777777" w:rsidR="00951FFF" w:rsidRDefault="00951FFF" w:rsidP="00951FFF">
      <w:pPr>
        <w:pStyle w:val="Textparagrafu"/>
        <w:numPr>
          <w:ilvl w:val="0"/>
          <w:numId w:val="28"/>
        </w:numPr>
        <w:jc w:val="center"/>
      </w:pPr>
      <w:r w:rsidRPr="00573E91">
        <w:t>§</w:t>
      </w:r>
      <w:r>
        <w:t xml:space="preserve"> </w:t>
      </w:r>
      <w:r w:rsidRPr="00573E91">
        <w:t>6a</w:t>
      </w:r>
    </w:p>
    <w:p w14:paraId="066C6547" w14:textId="77777777" w:rsidR="00951FFF" w:rsidRPr="00951FFF" w:rsidRDefault="00951FFF" w:rsidP="00951FFF">
      <w:pPr>
        <w:pStyle w:val="Textparagrafu"/>
        <w:numPr>
          <w:ilvl w:val="0"/>
          <w:numId w:val="28"/>
        </w:numPr>
        <w:jc w:val="center"/>
        <w:rPr>
          <w:b/>
        </w:rPr>
      </w:pPr>
      <w:r w:rsidRPr="00951FFF">
        <w:rPr>
          <w:b/>
        </w:rPr>
        <w:t>Likvidace zaměstnanecké pojišťovny</w:t>
      </w:r>
    </w:p>
    <w:p w14:paraId="0775F671" w14:textId="77777777" w:rsidR="00951FFF" w:rsidRDefault="00951FFF" w:rsidP="00471221">
      <w:pPr>
        <w:pStyle w:val="Textparagrafu"/>
        <w:spacing w:before="120" w:after="120"/>
      </w:pPr>
      <w:r w:rsidRPr="00573E91">
        <w:t>(1)</w:t>
      </w:r>
      <w:r>
        <w:t xml:space="preserve"> </w:t>
      </w:r>
      <w:r w:rsidRPr="00573E91">
        <w:t>Vstup</w:t>
      </w:r>
      <w:r>
        <w:t xml:space="preserve"> </w:t>
      </w:r>
      <w:r w:rsidRPr="00573E91">
        <w:t>zaměstnanecké</w:t>
      </w:r>
      <w:r>
        <w:t xml:space="preserve"> </w:t>
      </w:r>
      <w:r w:rsidRPr="00573E91">
        <w:t>pojišťovny</w:t>
      </w:r>
      <w:r>
        <w:t xml:space="preserve"> </w:t>
      </w:r>
      <w:r w:rsidRPr="00573E91">
        <w:t>do</w:t>
      </w:r>
      <w:r>
        <w:t xml:space="preserve"> </w:t>
      </w:r>
      <w:r w:rsidRPr="00573E91">
        <w:t>likvidace</w:t>
      </w:r>
      <w:r>
        <w:t xml:space="preserve"> </w:t>
      </w:r>
      <w:r w:rsidRPr="00573E91">
        <w:t>se</w:t>
      </w:r>
      <w:r>
        <w:t xml:space="preserve"> </w:t>
      </w:r>
      <w:r w:rsidRPr="00573E91">
        <w:t>zapisuje</w:t>
      </w:r>
      <w:r>
        <w:t xml:space="preserve"> </w:t>
      </w:r>
      <w:r w:rsidRPr="00573E91">
        <w:t>na</w:t>
      </w:r>
      <w:r>
        <w:t xml:space="preserve"> </w:t>
      </w:r>
      <w:r w:rsidRPr="00573E91">
        <w:t>návrh</w:t>
      </w:r>
      <w:r>
        <w:t xml:space="preserve"> </w:t>
      </w:r>
      <w:r w:rsidRPr="00573E91">
        <w:t>Ministerstva</w:t>
      </w:r>
      <w:r>
        <w:t xml:space="preserve"> </w:t>
      </w:r>
      <w:r w:rsidRPr="00573E91">
        <w:t>zdravotnictví</w:t>
      </w:r>
      <w:r>
        <w:t xml:space="preserve"> </w:t>
      </w:r>
      <w:r w:rsidRPr="00573E91">
        <w:t>do</w:t>
      </w:r>
      <w:r>
        <w:t xml:space="preserve"> </w:t>
      </w:r>
      <w:r w:rsidRPr="00573E91">
        <w:t>obchodního</w:t>
      </w:r>
      <w:r>
        <w:t xml:space="preserve"> </w:t>
      </w:r>
      <w:r w:rsidRPr="00573E91">
        <w:t>rejstříku.</w:t>
      </w:r>
      <w:r>
        <w:t xml:space="preserve"> </w:t>
      </w:r>
      <w:r w:rsidRPr="00573E91">
        <w:t>Po</w:t>
      </w:r>
      <w:r>
        <w:t xml:space="preserve"> </w:t>
      </w:r>
      <w:r w:rsidRPr="00573E91">
        <w:t>dobu</w:t>
      </w:r>
      <w:r>
        <w:t xml:space="preserve"> </w:t>
      </w:r>
      <w:r w:rsidRPr="00573E91">
        <w:t>likvidace</w:t>
      </w:r>
      <w:r>
        <w:t xml:space="preserve"> </w:t>
      </w:r>
      <w:r w:rsidRPr="00573E91">
        <w:t>se</w:t>
      </w:r>
      <w:r>
        <w:t xml:space="preserve"> </w:t>
      </w:r>
      <w:r w:rsidRPr="00573E91">
        <w:t>užívá</w:t>
      </w:r>
      <w:r>
        <w:t xml:space="preserve"> </w:t>
      </w:r>
      <w:r w:rsidRPr="00573E91">
        <w:t>název</w:t>
      </w:r>
      <w:r>
        <w:t xml:space="preserve"> </w:t>
      </w:r>
      <w:r w:rsidRPr="00573E91">
        <w:t>zaměstnanecké</w:t>
      </w:r>
      <w:r>
        <w:t xml:space="preserve"> </w:t>
      </w:r>
      <w:r w:rsidRPr="00573E91">
        <w:t>pojišťovny</w:t>
      </w:r>
      <w:r>
        <w:t xml:space="preserve"> </w:t>
      </w:r>
      <w:r w:rsidRPr="00573E91">
        <w:t>s</w:t>
      </w:r>
      <w:r>
        <w:t xml:space="preserve"> </w:t>
      </w:r>
      <w:r w:rsidRPr="00573E91">
        <w:t>dovětkem</w:t>
      </w:r>
      <w:r>
        <w:t xml:space="preserve"> </w:t>
      </w:r>
      <w:r w:rsidRPr="00573E91">
        <w:t>"v</w:t>
      </w:r>
      <w:r>
        <w:t xml:space="preserve"> </w:t>
      </w:r>
      <w:r w:rsidRPr="00573E91">
        <w:t>likvidaci".</w:t>
      </w:r>
    </w:p>
    <w:p w14:paraId="537BEF84" w14:textId="77777777" w:rsidR="00951FFF" w:rsidRDefault="00951FFF" w:rsidP="00471221">
      <w:pPr>
        <w:pStyle w:val="Textparagrafu"/>
        <w:spacing w:before="120" w:after="120"/>
      </w:pPr>
      <w:r w:rsidRPr="00573E91">
        <w:t>(2)</w:t>
      </w:r>
      <w:r>
        <w:t xml:space="preserve"> </w:t>
      </w:r>
      <w:r w:rsidRPr="00573E91">
        <w:t>Ode</w:t>
      </w:r>
      <w:r>
        <w:t xml:space="preserve"> </w:t>
      </w:r>
      <w:r w:rsidRPr="00573E91">
        <w:t>dne</w:t>
      </w:r>
      <w:r>
        <w:t xml:space="preserve"> </w:t>
      </w:r>
      <w:r w:rsidRPr="00573E91">
        <w:t>zápisu</w:t>
      </w:r>
      <w:r>
        <w:t xml:space="preserve"> </w:t>
      </w:r>
      <w:r w:rsidRPr="00573E91">
        <w:t>do</w:t>
      </w:r>
      <w:r>
        <w:t xml:space="preserve"> </w:t>
      </w:r>
      <w:r w:rsidRPr="00573E91">
        <w:t>obchodního</w:t>
      </w:r>
      <w:r>
        <w:t xml:space="preserve"> </w:t>
      </w:r>
      <w:r w:rsidRPr="00573E91">
        <w:t>rejstříku</w:t>
      </w:r>
      <w:r>
        <w:t xml:space="preserve"> </w:t>
      </w:r>
      <w:r w:rsidRPr="00573E91">
        <w:t>jedná</w:t>
      </w:r>
      <w:r>
        <w:t xml:space="preserve"> </w:t>
      </w:r>
      <w:r w:rsidRPr="00573E91">
        <w:t>jménem</w:t>
      </w:r>
      <w:r>
        <w:t xml:space="preserve"> </w:t>
      </w:r>
      <w:r w:rsidRPr="00573E91">
        <w:t>zaměstnanecké</w:t>
      </w:r>
      <w:r>
        <w:t xml:space="preserve"> </w:t>
      </w:r>
      <w:r w:rsidRPr="00573E91">
        <w:t>pojišťovny</w:t>
      </w:r>
      <w:r>
        <w:t xml:space="preserve"> </w:t>
      </w:r>
      <w:r w:rsidRPr="00573E91">
        <w:t>v</w:t>
      </w:r>
      <w:r>
        <w:t xml:space="preserve"> </w:t>
      </w:r>
      <w:r w:rsidRPr="00573E91">
        <w:t>likvidaci</w:t>
      </w:r>
      <w:r>
        <w:t xml:space="preserve"> </w:t>
      </w:r>
      <w:r w:rsidRPr="00573E91">
        <w:t>likvidátor,</w:t>
      </w:r>
      <w:r>
        <w:t xml:space="preserve"> </w:t>
      </w:r>
      <w:r w:rsidRPr="00573E91">
        <w:t>popřípadě</w:t>
      </w:r>
      <w:r>
        <w:t xml:space="preserve"> </w:t>
      </w:r>
      <w:r w:rsidRPr="00573E91">
        <w:t>likvidátoři,</w:t>
      </w:r>
      <w:r>
        <w:t xml:space="preserve"> </w:t>
      </w:r>
      <w:r w:rsidRPr="00573E91">
        <w:t>které</w:t>
      </w:r>
      <w:r>
        <w:t xml:space="preserve"> </w:t>
      </w:r>
      <w:r w:rsidRPr="00573E91">
        <w:t>jmenuje</w:t>
      </w:r>
      <w:r>
        <w:t xml:space="preserve"> </w:t>
      </w:r>
      <w:r w:rsidRPr="00573E91">
        <w:t>Ministerstvo</w:t>
      </w:r>
      <w:r>
        <w:t xml:space="preserve"> </w:t>
      </w:r>
      <w:r w:rsidRPr="00573E91">
        <w:t>zdravotnictví.</w:t>
      </w:r>
      <w:r>
        <w:t xml:space="preserve"> </w:t>
      </w:r>
      <w:r w:rsidRPr="00573E91">
        <w:t>Likvidátor</w:t>
      </w:r>
      <w:r>
        <w:t xml:space="preserve"> </w:t>
      </w:r>
      <w:r w:rsidRPr="00573E91">
        <w:t>je</w:t>
      </w:r>
      <w:r>
        <w:t xml:space="preserve"> </w:t>
      </w:r>
      <w:r w:rsidRPr="00573E91">
        <w:t>povinen</w:t>
      </w:r>
      <w:r>
        <w:t xml:space="preserve"> </w:t>
      </w:r>
      <w:r w:rsidRPr="00573E91">
        <w:t>nejpozději</w:t>
      </w:r>
      <w:r>
        <w:t xml:space="preserve"> </w:t>
      </w:r>
      <w:r w:rsidRPr="00573E91">
        <w:t>následující</w:t>
      </w:r>
      <w:r>
        <w:t xml:space="preserve"> </w:t>
      </w:r>
      <w:r w:rsidRPr="00573E91">
        <w:t>pracovní</w:t>
      </w:r>
      <w:r>
        <w:t xml:space="preserve"> </w:t>
      </w:r>
      <w:r w:rsidRPr="00573E91">
        <w:t>den</w:t>
      </w:r>
      <w:r>
        <w:t xml:space="preserve"> </w:t>
      </w:r>
      <w:r w:rsidRPr="00573E91">
        <w:t>oznámit</w:t>
      </w:r>
      <w:r>
        <w:t xml:space="preserve"> </w:t>
      </w:r>
      <w:r w:rsidRPr="00573E91">
        <w:t>den</w:t>
      </w:r>
      <w:r>
        <w:t xml:space="preserve"> </w:t>
      </w:r>
      <w:r w:rsidRPr="00573E91">
        <w:t>vstupu</w:t>
      </w:r>
      <w:r>
        <w:t xml:space="preserve"> </w:t>
      </w:r>
      <w:r w:rsidRPr="00573E91">
        <w:t>zaměstnanecké</w:t>
      </w:r>
      <w:r>
        <w:t xml:space="preserve"> </w:t>
      </w:r>
      <w:r w:rsidRPr="00573E91">
        <w:t>pojišťovny</w:t>
      </w:r>
      <w:r>
        <w:t xml:space="preserve"> </w:t>
      </w:r>
      <w:r w:rsidRPr="00573E91">
        <w:t>do</w:t>
      </w:r>
      <w:r>
        <w:t xml:space="preserve"> </w:t>
      </w:r>
      <w:r w:rsidRPr="00573E91">
        <w:t>likvidace</w:t>
      </w:r>
      <w:r>
        <w:t xml:space="preserve"> </w:t>
      </w:r>
      <w:r w:rsidRPr="00573E91">
        <w:t>Centrálnímu</w:t>
      </w:r>
      <w:r>
        <w:t xml:space="preserve"> </w:t>
      </w:r>
      <w:r w:rsidRPr="00573E91">
        <w:t>registru</w:t>
      </w:r>
      <w:r>
        <w:t xml:space="preserve"> </w:t>
      </w:r>
      <w:r w:rsidRPr="00573E91">
        <w:t>pojištěnců</w:t>
      </w:r>
      <w:r>
        <w:t xml:space="preserve"> </w:t>
      </w:r>
      <w:r w:rsidRPr="00573E91">
        <w:t>a</w:t>
      </w:r>
      <w:r>
        <w:t xml:space="preserve"> </w:t>
      </w:r>
      <w:r w:rsidRPr="00573E91">
        <w:t>informovat</w:t>
      </w:r>
      <w:r>
        <w:t xml:space="preserve"> </w:t>
      </w:r>
      <w:r w:rsidRPr="00573E91">
        <w:t>veřejnost</w:t>
      </w:r>
      <w:r>
        <w:t xml:space="preserve"> </w:t>
      </w:r>
      <w:r w:rsidRPr="00573E91">
        <w:t>o</w:t>
      </w:r>
      <w:r>
        <w:t xml:space="preserve"> </w:t>
      </w:r>
      <w:r w:rsidRPr="00573E91">
        <w:t>dni</w:t>
      </w:r>
      <w:r>
        <w:t xml:space="preserve"> </w:t>
      </w:r>
      <w:r w:rsidRPr="00573E91">
        <w:t>vstupu</w:t>
      </w:r>
      <w:r>
        <w:t xml:space="preserve"> </w:t>
      </w:r>
      <w:r w:rsidRPr="00573E91">
        <w:t>do</w:t>
      </w:r>
      <w:r>
        <w:t xml:space="preserve"> </w:t>
      </w:r>
      <w:r w:rsidRPr="00573E91">
        <w:t>likvidace</w:t>
      </w:r>
      <w:r>
        <w:t xml:space="preserve"> </w:t>
      </w:r>
      <w:r w:rsidRPr="00573E91">
        <w:t>prostřednictvím</w:t>
      </w:r>
      <w:r>
        <w:t xml:space="preserve"> </w:t>
      </w:r>
      <w:r w:rsidRPr="00573E91">
        <w:t>sdělovacích</w:t>
      </w:r>
      <w:r>
        <w:t xml:space="preserve"> </w:t>
      </w:r>
      <w:r w:rsidRPr="00573E91">
        <w:t>prostředků.</w:t>
      </w:r>
      <w:r>
        <w:t xml:space="preserve"> </w:t>
      </w:r>
      <w:r w:rsidRPr="00573E91">
        <w:t>Likvidátor</w:t>
      </w:r>
      <w:r>
        <w:t xml:space="preserve"> </w:t>
      </w:r>
      <w:r w:rsidRPr="00573E91">
        <w:t>je</w:t>
      </w:r>
      <w:r>
        <w:t xml:space="preserve"> </w:t>
      </w:r>
      <w:r w:rsidRPr="00573E91">
        <w:t>dále</w:t>
      </w:r>
      <w:r>
        <w:t xml:space="preserve"> </w:t>
      </w:r>
      <w:r w:rsidRPr="00573E91">
        <w:t>povinen</w:t>
      </w:r>
      <w:r>
        <w:t xml:space="preserve"> </w:t>
      </w:r>
      <w:r w:rsidRPr="00573E91">
        <w:t>sestavit</w:t>
      </w:r>
      <w:r>
        <w:t xml:space="preserve"> </w:t>
      </w:r>
      <w:r w:rsidRPr="00573E91">
        <w:t>ke</w:t>
      </w:r>
      <w:r>
        <w:t xml:space="preserve"> </w:t>
      </w:r>
      <w:r w:rsidRPr="00573E91">
        <w:t>dni</w:t>
      </w:r>
      <w:r>
        <w:t xml:space="preserve"> </w:t>
      </w:r>
      <w:r w:rsidRPr="00573E91">
        <w:t>vstupu</w:t>
      </w:r>
      <w:r>
        <w:t xml:space="preserve"> </w:t>
      </w:r>
      <w:r w:rsidRPr="00573E91">
        <w:t>zaměstnanecké</w:t>
      </w:r>
      <w:r>
        <w:t xml:space="preserve"> </w:t>
      </w:r>
      <w:r w:rsidRPr="00573E91">
        <w:t>pojišťovny</w:t>
      </w:r>
      <w:r>
        <w:t xml:space="preserve"> </w:t>
      </w:r>
      <w:r w:rsidRPr="00573E91">
        <w:t>do</w:t>
      </w:r>
      <w:r>
        <w:t xml:space="preserve"> </w:t>
      </w:r>
      <w:r w:rsidRPr="00573E91">
        <w:t>likvidace</w:t>
      </w:r>
      <w:r>
        <w:t xml:space="preserve"> </w:t>
      </w:r>
      <w:r w:rsidRPr="00573E91">
        <w:t>likvidační</w:t>
      </w:r>
      <w:r>
        <w:t xml:space="preserve"> </w:t>
      </w:r>
      <w:r w:rsidRPr="00573E91">
        <w:t>účetní</w:t>
      </w:r>
      <w:r>
        <w:t xml:space="preserve"> </w:t>
      </w:r>
      <w:r w:rsidRPr="00573E91">
        <w:t>rozvahu</w:t>
      </w:r>
      <w:r>
        <w:t xml:space="preserve"> </w:t>
      </w:r>
      <w:r w:rsidRPr="00573E91">
        <w:t>a</w:t>
      </w:r>
      <w:r>
        <w:t xml:space="preserve"> </w:t>
      </w:r>
      <w:r w:rsidRPr="00573E91">
        <w:t>přehled</w:t>
      </w:r>
      <w:r>
        <w:t xml:space="preserve"> </w:t>
      </w:r>
      <w:r w:rsidRPr="00573E91">
        <w:t>o</w:t>
      </w:r>
      <w:r>
        <w:t xml:space="preserve"> </w:t>
      </w:r>
      <w:r w:rsidRPr="00573E91">
        <w:t>majetku</w:t>
      </w:r>
      <w:r>
        <w:t xml:space="preserve"> </w:t>
      </w:r>
      <w:r w:rsidRPr="00573E91">
        <w:t>zaměstnanecké</w:t>
      </w:r>
      <w:r>
        <w:t xml:space="preserve"> </w:t>
      </w:r>
      <w:r w:rsidRPr="00573E91">
        <w:t>pojišťovny</w:t>
      </w:r>
      <w:r>
        <w:t xml:space="preserve"> </w:t>
      </w:r>
      <w:r w:rsidRPr="00573E91">
        <w:t>a</w:t>
      </w:r>
      <w:r>
        <w:t xml:space="preserve"> </w:t>
      </w:r>
      <w:r w:rsidRPr="00573E91">
        <w:t>předat</w:t>
      </w:r>
      <w:r>
        <w:t xml:space="preserve"> </w:t>
      </w:r>
      <w:r w:rsidRPr="00573E91">
        <w:t>tyto</w:t>
      </w:r>
      <w:r>
        <w:t xml:space="preserve"> </w:t>
      </w:r>
      <w:r w:rsidRPr="00573E91">
        <w:t>údaje</w:t>
      </w:r>
      <w:r>
        <w:t xml:space="preserve"> </w:t>
      </w:r>
      <w:r w:rsidRPr="00573E91">
        <w:t>Ministerstvu</w:t>
      </w:r>
      <w:r>
        <w:t xml:space="preserve"> </w:t>
      </w:r>
      <w:r w:rsidRPr="00573E91">
        <w:t>zdravotnictví.</w:t>
      </w:r>
    </w:p>
    <w:p w14:paraId="54A08A12" w14:textId="77777777" w:rsidR="00951FFF" w:rsidRDefault="00951FFF" w:rsidP="00471221">
      <w:pPr>
        <w:pStyle w:val="Textparagrafu"/>
        <w:spacing w:before="120" w:after="120"/>
      </w:pPr>
      <w:r w:rsidRPr="00573E91">
        <w:t>(3)</w:t>
      </w:r>
      <w:r>
        <w:t xml:space="preserve"> </w:t>
      </w:r>
      <w:r w:rsidRPr="00573E91">
        <w:t>Likvidátor</w:t>
      </w:r>
      <w:r>
        <w:t xml:space="preserve"> </w:t>
      </w:r>
      <w:r w:rsidRPr="00573E91">
        <w:t>provádí</w:t>
      </w:r>
      <w:r>
        <w:t xml:space="preserve"> </w:t>
      </w:r>
      <w:r w:rsidRPr="00573E91">
        <w:t>jen</w:t>
      </w:r>
      <w:r>
        <w:t xml:space="preserve"> </w:t>
      </w:r>
      <w:r w:rsidRPr="00573E91">
        <w:t>úkony,</w:t>
      </w:r>
      <w:r>
        <w:t xml:space="preserve"> </w:t>
      </w:r>
      <w:r w:rsidRPr="00573E91">
        <w:t>které</w:t>
      </w:r>
      <w:r>
        <w:t xml:space="preserve"> </w:t>
      </w:r>
      <w:r w:rsidRPr="00573E91">
        <w:t>směřují</w:t>
      </w:r>
      <w:r>
        <w:t xml:space="preserve"> </w:t>
      </w:r>
      <w:r w:rsidRPr="00573E91">
        <w:t>k</w:t>
      </w:r>
      <w:r>
        <w:t xml:space="preserve"> </w:t>
      </w:r>
      <w:r w:rsidRPr="00573E91">
        <w:t>likvidaci</w:t>
      </w:r>
      <w:r>
        <w:t xml:space="preserve"> </w:t>
      </w:r>
      <w:r w:rsidRPr="00573E91">
        <w:t>zaměstnanecké</w:t>
      </w:r>
      <w:r>
        <w:t xml:space="preserve"> </w:t>
      </w:r>
      <w:r w:rsidRPr="00573E91">
        <w:t>pojišťovny.</w:t>
      </w:r>
      <w:r>
        <w:t xml:space="preserve"> </w:t>
      </w:r>
      <w:r w:rsidRPr="00573E91">
        <w:t>Při</w:t>
      </w:r>
      <w:r>
        <w:t xml:space="preserve"> </w:t>
      </w:r>
      <w:r w:rsidRPr="00573E91">
        <w:t>výkonu</w:t>
      </w:r>
      <w:r>
        <w:t xml:space="preserve"> </w:t>
      </w:r>
      <w:r w:rsidRPr="00573E91">
        <w:t>této</w:t>
      </w:r>
      <w:r>
        <w:t xml:space="preserve"> </w:t>
      </w:r>
      <w:r w:rsidRPr="00573E91">
        <w:t>působnosti</w:t>
      </w:r>
      <w:r>
        <w:t xml:space="preserve"> </w:t>
      </w:r>
      <w:r w:rsidRPr="00573E91">
        <w:t>provádí</w:t>
      </w:r>
      <w:r>
        <w:t xml:space="preserve"> </w:t>
      </w:r>
      <w:r w:rsidRPr="00573E91">
        <w:t>zejména</w:t>
      </w:r>
      <w:r>
        <w:t xml:space="preserve"> </w:t>
      </w:r>
      <w:r w:rsidRPr="00573E91">
        <w:t>úhrady</w:t>
      </w:r>
      <w:r>
        <w:t xml:space="preserve"> </w:t>
      </w:r>
      <w:r w:rsidRPr="00573E91">
        <w:t>poskytovatelům,</w:t>
      </w:r>
      <w:r>
        <w:t xml:space="preserve"> </w:t>
      </w:r>
      <w:r w:rsidRPr="00573E91">
        <w:t>popřípadě</w:t>
      </w:r>
      <w:r>
        <w:t xml:space="preserve"> </w:t>
      </w:r>
      <w:r w:rsidRPr="00573E91">
        <w:t>dalším</w:t>
      </w:r>
      <w:r>
        <w:t xml:space="preserve"> </w:t>
      </w:r>
      <w:r w:rsidRPr="00573E91">
        <w:t>subjektům,</w:t>
      </w:r>
      <w:r>
        <w:t xml:space="preserve"> </w:t>
      </w:r>
      <w:r w:rsidRPr="00573E91">
        <w:t>které</w:t>
      </w:r>
      <w:r>
        <w:t xml:space="preserve"> </w:t>
      </w:r>
      <w:r w:rsidRPr="00573E91">
        <w:t>poskytly</w:t>
      </w:r>
      <w:r>
        <w:t xml:space="preserve"> </w:t>
      </w:r>
      <w:r w:rsidRPr="00573E91">
        <w:t>pojištěncům</w:t>
      </w:r>
      <w:r>
        <w:t xml:space="preserve"> </w:t>
      </w:r>
      <w:r w:rsidRPr="00573E91">
        <w:t>likvidované</w:t>
      </w:r>
      <w:r>
        <w:t xml:space="preserve"> </w:t>
      </w:r>
      <w:r w:rsidRPr="00573E91">
        <w:t>zdravotní</w:t>
      </w:r>
      <w:r>
        <w:t xml:space="preserve"> </w:t>
      </w:r>
      <w:r w:rsidRPr="00573E91">
        <w:t>pojišťovny</w:t>
      </w:r>
      <w:r>
        <w:t xml:space="preserve"> </w:t>
      </w:r>
      <w:r w:rsidRPr="00573E91">
        <w:t>zdravotní</w:t>
      </w:r>
      <w:r>
        <w:t xml:space="preserve"> </w:t>
      </w:r>
      <w:r w:rsidRPr="00573E91">
        <w:t>služby</w:t>
      </w:r>
      <w:r>
        <w:t xml:space="preserve"> </w:t>
      </w:r>
      <w:r w:rsidRPr="00573E91">
        <w:t>hrazené</w:t>
      </w:r>
      <w:r>
        <w:t xml:space="preserve"> </w:t>
      </w:r>
      <w:r w:rsidRPr="00573E91">
        <w:t>z</w:t>
      </w:r>
      <w:r>
        <w:t xml:space="preserve"> </w:t>
      </w:r>
      <w:r w:rsidRPr="00573E91">
        <w:t>veřejného</w:t>
      </w:r>
      <w:r>
        <w:t xml:space="preserve"> </w:t>
      </w:r>
      <w:r w:rsidRPr="00573E91">
        <w:t>zdravotního</w:t>
      </w:r>
      <w:r>
        <w:t xml:space="preserve"> </w:t>
      </w:r>
      <w:r w:rsidRPr="00573E91">
        <w:t>pojištění</w:t>
      </w:r>
      <w:r>
        <w:t xml:space="preserve"> </w:t>
      </w:r>
      <w:r w:rsidRPr="00573E91">
        <w:t>podle</w:t>
      </w:r>
      <w:r>
        <w:t xml:space="preserve"> </w:t>
      </w:r>
      <w:r w:rsidRPr="00573E91">
        <w:t>zákona</w:t>
      </w:r>
      <w:r>
        <w:t xml:space="preserve"> </w:t>
      </w:r>
      <w:r w:rsidRPr="00573E91">
        <w:t>o</w:t>
      </w:r>
      <w:r>
        <w:t xml:space="preserve"> </w:t>
      </w:r>
      <w:r w:rsidRPr="00573E91">
        <w:t>veřejném</w:t>
      </w:r>
      <w:r>
        <w:t xml:space="preserve"> </w:t>
      </w:r>
      <w:r w:rsidRPr="00573E91">
        <w:t>zdravotním</w:t>
      </w:r>
      <w:r>
        <w:t xml:space="preserve"> </w:t>
      </w:r>
      <w:r w:rsidRPr="00573E91">
        <w:t>pojištění</w:t>
      </w:r>
      <w:r>
        <w:t xml:space="preserve"> </w:t>
      </w:r>
      <w:r w:rsidRPr="00573E91">
        <w:t>(dále</w:t>
      </w:r>
      <w:r>
        <w:t xml:space="preserve"> </w:t>
      </w:r>
      <w:r w:rsidRPr="00573E91">
        <w:t>jen</w:t>
      </w:r>
      <w:r>
        <w:t xml:space="preserve"> </w:t>
      </w:r>
      <w:r w:rsidRPr="00573E91">
        <w:t>„hrazené</w:t>
      </w:r>
      <w:r>
        <w:t xml:space="preserve"> </w:t>
      </w:r>
      <w:r w:rsidRPr="00573E91">
        <w:t>služby“).</w:t>
      </w:r>
      <w:r>
        <w:t xml:space="preserve"> </w:t>
      </w:r>
      <w:r w:rsidRPr="00573E91">
        <w:t>K</w:t>
      </w:r>
      <w:r>
        <w:t xml:space="preserve"> </w:t>
      </w:r>
      <w:r w:rsidRPr="00573E91">
        <w:t>úhradě</w:t>
      </w:r>
      <w:r>
        <w:t xml:space="preserve"> </w:t>
      </w:r>
      <w:r w:rsidRPr="00573E91">
        <w:t>poskytnutých</w:t>
      </w:r>
      <w:r>
        <w:t xml:space="preserve"> </w:t>
      </w:r>
      <w:r w:rsidRPr="00573E91">
        <w:t>hrazených</w:t>
      </w:r>
      <w:r>
        <w:t xml:space="preserve"> </w:t>
      </w:r>
      <w:r w:rsidRPr="00573E91">
        <w:t>služeb</w:t>
      </w:r>
      <w:r>
        <w:t xml:space="preserve"> </w:t>
      </w:r>
      <w:r w:rsidRPr="00573E91">
        <w:t>je</w:t>
      </w:r>
      <w:r>
        <w:t xml:space="preserve"> </w:t>
      </w:r>
      <w:r w:rsidRPr="00573E91">
        <w:t>oprávněn</w:t>
      </w:r>
      <w:r>
        <w:t xml:space="preserve"> </w:t>
      </w:r>
      <w:r w:rsidRPr="00573E91">
        <w:t>použít</w:t>
      </w:r>
      <w:r>
        <w:t xml:space="preserve"> </w:t>
      </w:r>
      <w:r w:rsidRPr="00573E91">
        <w:t>prostředky</w:t>
      </w:r>
      <w:r>
        <w:t xml:space="preserve"> </w:t>
      </w:r>
      <w:r w:rsidRPr="00573E91">
        <w:t>základního</w:t>
      </w:r>
      <w:r>
        <w:t xml:space="preserve"> </w:t>
      </w:r>
      <w:r w:rsidRPr="00573E91">
        <w:t>fondu,</w:t>
      </w:r>
      <w:r>
        <w:t xml:space="preserve"> </w:t>
      </w:r>
      <w:r w:rsidRPr="00573E91">
        <w:t>rezervního</w:t>
      </w:r>
      <w:r>
        <w:t xml:space="preserve"> </w:t>
      </w:r>
      <w:r w:rsidRPr="00573E91">
        <w:t>fondu,</w:t>
      </w:r>
      <w:r>
        <w:t xml:space="preserve"> </w:t>
      </w:r>
      <w:r w:rsidRPr="00573E91">
        <w:t>popřípadě</w:t>
      </w:r>
      <w:r>
        <w:t xml:space="preserve"> </w:t>
      </w:r>
      <w:r w:rsidRPr="00573E91">
        <w:t>dalších</w:t>
      </w:r>
      <w:r>
        <w:t xml:space="preserve"> </w:t>
      </w:r>
      <w:r w:rsidRPr="00573E91">
        <w:t>fondů</w:t>
      </w:r>
      <w:r>
        <w:t xml:space="preserve"> </w:t>
      </w:r>
      <w:r w:rsidRPr="00573E91">
        <w:t>zřízených</w:t>
      </w:r>
      <w:r>
        <w:t xml:space="preserve"> </w:t>
      </w:r>
      <w:r w:rsidRPr="00573E91">
        <w:t>zaměstnaneckou</w:t>
      </w:r>
      <w:r>
        <w:t xml:space="preserve"> </w:t>
      </w:r>
      <w:r w:rsidRPr="00573E91">
        <w:t>pojišťovnou.</w:t>
      </w:r>
    </w:p>
    <w:p w14:paraId="2DDDBCB1" w14:textId="77777777" w:rsidR="00951FFF" w:rsidRDefault="00951FFF" w:rsidP="00471221">
      <w:pPr>
        <w:pStyle w:val="Textparagrafu"/>
        <w:spacing w:before="120" w:after="120"/>
      </w:pPr>
      <w:r w:rsidRPr="00573E91">
        <w:lastRenderedPageBreak/>
        <w:t>(4)</w:t>
      </w:r>
      <w:r>
        <w:t xml:space="preserve"> </w:t>
      </w:r>
      <w:r w:rsidRPr="00573E91">
        <w:t>Jestliže</w:t>
      </w:r>
      <w:r>
        <w:t xml:space="preserve"> </w:t>
      </w:r>
      <w:r w:rsidRPr="00573E91">
        <w:t>likvidátor</w:t>
      </w:r>
      <w:r>
        <w:t xml:space="preserve"> </w:t>
      </w:r>
      <w:r w:rsidRPr="00573E91">
        <w:t>zjistí</w:t>
      </w:r>
      <w:r>
        <w:t xml:space="preserve"> </w:t>
      </w:r>
      <w:r w:rsidRPr="00573E91">
        <w:t>předlužení</w:t>
      </w:r>
      <w:r>
        <w:t xml:space="preserve"> </w:t>
      </w:r>
      <w:r w:rsidRPr="00573E91">
        <w:t>zaměstnanecké</w:t>
      </w:r>
      <w:r>
        <w:t xml:space="preserve"> </w:t>
      </w:r>
      <w:r w:rsidRPr="00573E91">
        <w:t>pojišťovny,</w:t>
      </w:r>
      <w:r>
        <w:t xml:space="preserve"> </w:t>
      </w:r>
      <w:r w:rsidRPr="00573E91">
        <w:t>podá</w:t>
      </w:r>
      <w:r>
        <w:t xml:space="preserve"> </w:t>
      </w:r>
      <w:r w:rsidRPr="00573E91">
        <w:t>bez</w:t>
      </w:r>
      <w:r>
        <w:t xml:space="preserve"> </w:t>
      </w:r>
      <w:r w:rsidRPr="00573E91">
        <w:t>zbytečného</w:t>
      </w:r>
      <w:r>
        <w:t xml:space="preserve"> </w:t>
      </w:r>
      <w:r w:rsidRPr="00573E91">
        <w:t>odkladu</w:t>
      </w:r>
      <w:r>
        <w:t xml:space="preserve"> </w:t>
      </w:r>
      <w:r w:rsidRPr="00573E91">
        <w:t>insolvenční</w:t>
      </w:r>
      <w:r>
        <w:t xml:space="preserve"> </w:t>
      </w:r>
      <w:r w:rsidRPr="00573E91">
        <w:t>návrh.</w:t>
      </w:r>
    </w:p>
    <w:p w14:paraId="2E9C9836" w14:textId="0CB7F812" w:rsidR="00951FFF" w:rsidRDefault="00951FFF" w:rsidP="00471221">
      <w:pPr>
        <w:pStyle w:val="Textparagrafu"/>
        <w:spacing w:before="120" w:after="120"/>
      </w:pPr>
      <w:r w:rsidRPr="00573E91">
        <w:t>(5)</w:t>
      </w:r>
      <w:r>
        <w:t xml:space="preserve"> </w:t>
      </w:r>
      <w:r w:rsidRPr="00951FFF">
        <w:rPr>
          <w:strike/>
        </w:rPr>
        <w:t xml:space="preserve">Ke dni skončení likvidace sestaví likvidátor účetní závěrku a </w:t>
      </w:r>
      <w:proofErr w:type="gramStart"/>
      <w:r w:rsidRPr="00951FFF">
        <w:rPr>
          <w:strike/>
        </w:rPr>
        <w:t>předloží</w:t>
      </w:r>
      <w:proofErr w:type="gramEnd"/>
      <w:r w:rsidRPr="00951FFF">
        <w:rPr>
          <w:strike/>
        </w:rPr>
        <w:t xml:space="preserve"> ji</w:t>
      </w:r>
      <w:r>
        <w:t xml:space="preserve"> </w:t>
      </w:r>
      <w:r w:rsidRPr="006709C9">
        <w:rPr>
          <w:b/>
        </w:rPr>
        <w:t xml:space="preserve">Likvidátor </w:t>
      </w:r>
      <w:proofErr w:type="gramStart"/>
      <w:r w:rsidRPr="006709C9">
        <w:rPr>
          <w:b/>
        </w:rPr>
        <w:t>předloží</w:t>
      </w:r>
      <w:proofErr w:type="gramEnd"/>
      <w:r w:rsidRPr="006709C9">
        <w:rPr>
          <w:b/>
        </w:rPr>
        <w:t xml:space="preserve"> řádnou individuální účetní závěrku za účetní období končící dnem vyhotovení konečné zprávy o průběhu likvidace</w:t>
      </w:r>
      <w:r w:rsidRPr="00573E91">
        <w:t xml:space="preserve"> Ministerstvu</w:t>
      </w:r>
      <w:r>
        <w:t xml:space="preserve"> </w:t>
      </w:r>
      <w:r w:rsidRPr="00573E91">
        <w:t>zdravotnictví</w:t>
      </w:r>
      <w:r>
        <w:t xml:space="preserve"> </w:t>
      </w:r>
      <w:r w:rsidRPr="00573E91">
        <w:t>ke</w:t>
      </w:r>
      <w:r>
        <w:t xml:space="preserve"> </w:t>
      </w:r>
      <w:r w:rsidRPr="00573E91">
        <w:t>schválení</w:t>
      </w:r>
      <w:r>
        <w:t xml:space="preserve"> </w:t>
      </w:r>
      <w:r w:rsidRPr="00573E91">
        <w:t>spolu</w:t>
      </w:r>
      <w:r>
        <w:t xml:space="preserve"> </w:t>
      </w:r>
      <w:r w:rsidRPr="00573E91">
        <w:t>s</w:t>
      </w:r>
      <w:r>
        <w:t xml:space="preserve"> </w:t>
      </w:r>
      <w:r w:rsidRPr="00573E91">
        <w:t>konečnou</w:t>
      </w:r>
      <w:r>
        <w:t xml:space="preserve"> </w:t>
      </w:r>
      <w:r w:rsidRPr="00573E91">
        <w:t>zprávou</w:t>
      </w:r>
      <w:r>
        <w:t xml:space="preserve"> </w:t>
      </w:r>
      <w:r w:rsidRPr="00573E91">
        <w:t>o</w:t>
      </w:r>
      <w:r>
        <w:t xml:space="preserve"> </w:t>
      </w:r>
      <w:r w:rsidRPr="00573E91">
        <w:t>průběhu</w:t>
      </w:r>
      <w:r>
        <w:t xml:space="preserve"> </w:t>
      </w:r>
      <w:r w:rsidRPr="00573E91">
        <w:t>likvidace.</w:t>
      </w:r>
      <w:r>
        <w:t xml:space="preserve"> </w:t>
      </w:r>
      <w:r w:rsidRPr="00573E91">
        <w:t>Současně</w:t>
      </w:r>
      <w:r>
        <w:t xml:space="preserve"> </w:t>
      </w:r>
      <w:r w:rsidRPr="00573E91">
        <w:t>navrhne</w:t>
      </w:r>
      <w:r>
        <w:t xml:space="preserve"> </w:t>
      </w:r>
      <w:r w:rsidRPr="00573E91">
        <w:t>převedení</w:t>
      </w:r>
      <w:r>
        <w:t xml:space="preserve"> </w:t>
      </w:r>
      <w:r w:rsidRPr="00573E91">
        <w:t>zbývajících</w:t>
      </w:r>
      <w:r>
        <w:t xml:space="preserve"> </w:t>
      </w:r>
      <w:r w:rsidRPr="00573E91">
        <w:t>prostředků</w:t>
      </w:r>
      <w:r>
        <w:t xml:space="preserve"> </w:t>
      </w:r>
      <w:r w:rsidRPr="00573E91">
        <w:t>základního</w:t>
      </w:r>
      <w:r>
        <w:t xml:space="preserve"> </w:t>
      </w:r>
      <w:r w:rsidRPr="00573E91">
        <w:t>fondu</w:t>
      </w:r>
      <w:r>
        <w:t xml:space="preserve"> </w:t>
      </w:r>
      <w:r w:rsidRPr="00573E91">
        <w:t>a</w:t>
      </w:r>
      <w:r>
        <w:t xml:space="preserve"> </w:t>
      </w:r>
      <w:r w:rsidRPr="00573E91">
        <w:t>rezervního</w:t>
      </w:r>
      <w:r>
        <w:t xml:space="preserve"> </w:t>
      </w:r>
      <w:r w:rsidRPr="00573E91">
        <w:t>fondu</w:t>
      </w:r>
      <w:r>
        <w:t xml:space="preserve"> </w:t>
      </w:r>
      <w:r w:rsidRPr="00573E91">
        <w:t>na</w:t>
      </w:r>
      <w:r>
        <w:t xml:space="preserve"> </w:t>
      </w:r>
      <w:r w:rsidRPr="00573E91">
        <w:t>zvláštní</w:t>
      </w:r>
      <w:r>
        <w:t xml:space="preserve"> </w:t>
      </w:r>
      <w:r w:rsidRPr="00573E91">
        <w:t>účet</w:t>
      </w:r>
      <w:r>
        <w:t xml:space="preserve"> </w:t>
      </w:r>
      <w:r w:rsidRPr="00573E91">
        <w:t>Všeobecné</w:t>
      </w:r>
      <w:r>
        <w:t xml:space="preserve"> </w:t>
      </w:r>
      <w:r w:rsidRPr="00573E91">
        <w:t>zdravotní</w:t>
      </w:r>
      <w:r>
        <w:t xml:space="preserve"> </w:t>
      </w:r>
      <w:r w:rsidRPr="00573E91">
        <w:t>pojišťovny</w:t>
      </w:r>
      <w:r>
        <w:t xml:space="preserve"> </w:t>
      </w:r>
      <w:r w:rsidRPr="00573E91">
        <w:t>České</w:t>
      </w:r>
      <w:r>
        <w:t xml:space="preserve"> </w:t>
      </w:r>
      <w:r w:rsidRPr="00573E91">
        <w:t>republiky</w:t>
      </w:r>
      <w:r>
        <w:t xml:space="preserve"> </w:t>
      </w:r>
      <w:r w:rsidRPr="00573E91">
        <w:t>k</w:t>
      </w:r>
      <w:r>
        <w:t xml:space="preserve"> </w:t>
      </w:r>
      <w:r w:rsidRPr="00573E91">
        <w:t>přerozdělení.</w:t>
      </w:r>
      <w:r>
        <w:t xml:space="preserve"> </w:t>
      </w:r>
      <w:r w:rsidRPr="00573E91">
        <w:t>Likvidátor</w:t>
      </w:r>
      <w:r>
        <w:t xml:space="preserve"> </w:t>
      </w:r>
      <w:r w:rsidRPr="00573E91">
        <w:t>dále</w:t>
      </w:r>
      <w:r>
        <w:t xml:space="preserve"> </w:t>
      </w:r>
      <w:r w:rsidRPr="00573E91">
        <w:t>předloží</w:t>
      </w:r>
      <w:r>
        <w:t xml:space="preserve"> </w:t>
      </w:r>
      <w:r w:rsidRPr="00573E91">
        <w:t>návrh</w:t>
      </w:r>
      <w:r>
        <w:t xml:space="preserve"> </w:t>
      </w:r>
      <w:r w:rsidRPr="00573E91">
        <w:t>na</w:t>
      </w:r>
      <w:r>
        <w:t xml:space="preserve"> </w:t>
      </w:r>
      <w:r w:rsidRPr="00573E91">
        <w:t>převedení</w:t>
      </w:r>
      <w:r>
        <w:t xml:space="preserve"> </w:t>
      </w:r>
      <w:r w:rsidRPr="00573E91">
        <w:t>majetkového</w:t>
      </w:r>
      <w:r>
        <w:t xml:space="preserve"> </w:t>
      </w:r>
      <w:r w:rsidRPr="00573E91">
        <w:t>zůstatku,</w:t>
      </w:r>
      <w:r>
        <w:t xml:space="preserve"> </w:t>
      </w:r>
      <w:r w:rsidRPr="00573E91">
        <w:t>pokud</w:t>
      </w:r>
      <w:r>
        <w:t xml:space="preserve"> </w:t>
      </w:r>
      <w:r w:rsidRPr="00573E91">
        <w:t>z</w:t>
      </w:r>
      <w:r>
        <w:t xml:space="preserve"> </w:t>
      </w:r>
      <w:r w:rsidRPr="00573E91">
        <w:t>likvidace</w:t>
      </w:r>
      <w:r>
        <w:t xml:space="preserve"> </w:t>
      </w:r>
      <w:r w:rsidRPr="00573E91">
        <w:t>takový</w:t>
      </w:r>
      <w:r>
        <w:t xml:space="preserve"> </w:t>
      </w:r>
      <w:r w:rsidRPr="00573E91">
        <w:t>zůstatek</w:t>
      </w:r>
      <w:r>
        <w:t xml:space="preserve"> </w:t>
      </w:r>
      <w:r w:rsidRPr="00573E91">
        <w:t>vyplynul,</w:t>
      </w:r>
      <w:r>
        <w:t xml:space="preserve"> </w:t>
      </w:r>
      <w:r w:rsidRPr="00573E91">
        <w:t>žadateli</w:t>
      </w:r>
      <w:r>
        <w:t xml:space="preserve"> </w:t>
      </w:r>
      <w:r w:rsidRPr="00573E91">
        <w:t>o</w:t>
      </w:r>
      <w:r>
        <w:t xml:space="preserve"> </w:t>
      </w:r>
      <w:r w:rsidRPr="00573E91">
        <w:t>povolení</w:t>
      </w:r>
      <w:r>
        <w:t xml:space="preserve"> </w:t>
      </w:r>
      <w:r w:rsidRPr="00573E91">
        <w:t>podle</w:t>
      </w:r>
      <w:r>
        <w:t xml:space="preserve"> </w:t>
      </w:r>
      <w:r w:rsidRPr="00573E91">
        <w:t>§</w:t>
      </w:r>
      <w:r>
        <w:t xml:space="preserve"> </w:t>
      </w:r>
      <w:r w:rsidRPr="00573E91">
        <w:t>3,</w:t>
      </w:r>
      <w:r>
        <w:t xml:space="preserve"> </w:t>
      </w:r>
      <w:r w:rsidRPr="00573E91">
        <w:t>který</w:t>
      </w:r>
      <w:r>
        <w:t xml:space="preserve"> </w:t>
      </w:r>
      <w:r w:rsidRPr="00573E91">
        <w:t>uhradil</w:t>
      </w:r>
      <w:r>
        <w:t xml:space="preserve"> </w:t>
      </w:r>
      <w:r w:rsidRPr="00573E91">
        <w:t>náklady</w:t>
      </w:r>
      <w:r>
        <w:t xml:space="preserve"> </w:t>
      </w:r>
      <w:r w:rsidRPr="00573E91">
        <w:t>spojené</w:t>
      </w:r>
      <w:r>
        <w:t xml:space="preserve"> </w:t>
      </w:r>
      <w:r w:rsidRPr="00573E91">
        <w:t>se</w:t>
      </w:r>
      <w:r>
        <w:t xml:space="preserve"> </w:t>
      </w:r>
      <w:r w:rsidRPr="00573E91">
        <w:t>založením</w:t>
      </w:r>
      <w:r>
        <w:t xml:space="preserve"> </w:t>
      </w:r>
      <w:r w:rsidRPr="00573E91">
        <w:t>zaměstnanecké</w:t>
      </w:r>
      <w:r>
        <w:t xml:space="preserve"> </w:t>
      </w:r>
      <w:r w:rsidRPr="00573E91">
        <w:t>pojišťovny,</w:t>
      </w:r>
      <w:r>
        <w:t xml:space="preserve"> </w:t>
      </w:r>
      <w:r w:rsidRPr="00573E91">
        <w:t>nebo</w:t>
      </w:r>
      <w:r>
        <w:t xml:space="preserve"> </w:t>
      </w:r>
      <w:r w:rsidRPr="00573E91">
        <w:t>jeho</w:t>
      </w:r>
      <w:r>
        <w:t xml:space="preserve"> </w:t>
      </w:r>
      <w:r w:rsidRPr="00573E91">
        <w:t>právnímu</w:t>
      </w:r>
      <w:r>
        <w:t xml:space="preserve"> </w:t>
      </w:r>
      <w:r w:rsidRPr="00573E91">
        <w:t>nástupci;</w:t>
      </w:r>
      <w:r>
        <w:t xml:space="preserve"> </w:t>
      </w:r>
      <w:r w:rsidRPr="00573E91">
        <w:t>majetkový</w:t>
      </w:r>
      <w:r>
        <w:t xml:space="preserve"> </w:t>
      </w:r>
      <w:r w:rsidRPr="00573E91">
        <w:t>zůstatek</w:t>
      </w:r>
      <w:r>
        <w:t xml:space="preserve"> </w:t>
      </w:r>
      <w:r w:rsidRPr="00573E91">
        <w:t>může</w:t>
      </w:r>
      <w:r>
        <w:t xml:space="preserve"> </w:t>
      </w:r>
      <w:r w:rsidRPr="00573E91">
        <w:t>být</w:t>
      </w:r>
      <w:r>
        <w:t xml:space="preserve"> </w:t>
      </w:r>
      <w:r w:rsidRPr="00573E91">
        <w:t>převeden</w:t>
      </w:r>
      <w:r>
        <w:t xml:space="preserve"> </w:t>
      </w:r>
      <w:r w:rsidRPr="00573E91">
        <w:t>pouze</w:t>
      </w:r>
      <w:r>
        <w:t xml:space="preserve"> </w:t>
      </w:r>
      <w:r w:rsidRPr="00573E91">
        <w:t>do</w:t>
      </w:r>
      <w:r>
        <w:t xml:space="preserve"> </w:t>
      </w:r>
      <w:r w:rsidRPr="00573E91">
        <w:t>výše</w:t>
      </w:r>
      <w:r>
        <w:t xml:space="preserve"> </w:t>
      </w:r>
      <w:r w:rsidRPr="00573E91">
        <w:t>prostředků,</w:t>
      </w:r>
      <w:r>
        <w:t xml:space="preserve"> </w:t>
      </w:r>
      <w:r w:rsidRPr="00573E91">
        <w:t>které</w:t>
      </w:r>
      <w:r>
        <w:t xml:space="preserve"> </w:t>
      </w:r>
      <w:r w:rsidRPr="00573E91">
        <w:t>žadatel</w:t>
      </w:r>
      <w:r>
        <w:t xml:space="preserve"> </w:t>
      </w:r>
      <w:r w:rsidRPr="00573E91">
        <w:t>prokazatelně</w:t>
      </w:r>
      <w:r>
        <w:t xml:space="preserve"> </w:t>
      </w:r>
      <w:r w:rsidRPr="00573E91">
        <w:t>vložil</w:t>
      </w:r>
      <w:r>
        <w:t xml:space="preserve"> </w:t>
      </w:r>
      <w:r w:rsidRPr="00573E91">
        <w:t>do</w:t>
      </w:r>
      <w:r>
        <w:t xml:space="preserve"> </w:t>
      </w:r>
      <w:r w:rsidRPr="00573E91">
        <w:t>zaměstnanecké</w:t>
      </w:r>
      <w:r>
        <w:t xml:space="preserve"> </w:t>
      </w:r>
      <w:r w:rsidRPr="00573E91">
        <w:t>pojišťovny.</w:t>
      </w:r>
      <w:r>
        <w:t xml:space="preserve"> </w:t>
      </w:r>
      <w:r w:rsidRPr="00573E91">
        <w:t>Neexistuje-li</w:t>
      </w:r>
      <w:r>
        <w:t xml:space="preserve"> </w:t>
      </w:r>
      <w:r w:rsidRPr="00573E91">
        <w:t>žadatel</w:t>
      </w:r>
      <w:r>
        <w:t xml:space="preserve"> </w:t>
      </w:r>
      <w:r w:rsidRPr="00573E91">
        <w:t>o</w:t>
      </w:r>
      <w:r>
        <w:t xml:space="preserve"> </w:t>
      </w:r>
      <w:r w:rsidRPr="00573E91">
        <w:t>povolení</w:t>
      </w:r>
      <w:r>
        <w:t xml:space="preserve"> </w:t>
      </w:r>
      <w:r w:rsidRPr="00573E91">
        <w:t>podle</w:t>
      </w:r>
      <w:r>
        <w:t xml:space="preserve"> </w:t>
      </w:r>
      <w:r w:rsidRPr="00573E91">
        <w:t>§</w:t>
      </w:r>
      <w:r>
        <w:t xml:space="preserve"> </w:t>
      </w:r>
      <w:r w:rsidRPr="00573E91">
        <w:t>3</w:t>
      </w:r>
      <w:r>
        <w:t xml:space="preserve"> </w:t>
      </w:r>
      <w:r w:rsidRPr="00573E91">
        <w:t>ani</w:t>
      </w:r>
      <w:r>
        <w:t xml:space="preserve"> </w:t>
      </w:r>
      <w:r w:rsidRPr="00573E91">
        <w:t>jeho</w:t>
      </w:r>
      <w:r>
        <w:t xml:space="preserve"> </w:t>
      </w:r>
      <w:r w:rsidRPr="00573E91">
        <w:t>právní</w:t>
      </w:r>
      <w:r>
        <w:t xml:space="preserve"> </w:t>
      </w:r>
      <w:proofErr w:type="gramStart"/>
      <w:r w:rsidRPr="00573E91">
        <w:t>nástupce</w:t>
      </w:r>
      <w:r>
        <w:t xml:space="preserve"> </w:t>
      </w:r>
      <w:r w:rsidRPr="00573E91">
        <w:t>nebo</w:t>
      </w:r>
      <w:proofErr w:type="gramEnd"/>
      <w:r>
        <w:t xml:space="preserve"> </w:t>
      </w:r>
      <w:r w:rsidRPr="00573E91">
        <w:t>pokud</w:t>
      </w:r>
      <w:r>
        <w:t xml:space="preserve"> </w:t>
      </w:r>
      <w:r w:rsidRPr="00573E91">
        <w:t>žadateli</w:t>
      </w:r>
      <w:r>
        <w:t xml:space="preserve"> </w:t>
      </w:r>
      <w:r w:rsidRPr="00573E91">
        <w:t>nebo</w:t>
      </w:r>
      <w:r>
        <w:t xml:space="preserve"> </w:t>
      </w:r>
      <w:r w:rsidRPr="00573E91">
        <w:t>právnímu</w:t>
      </w:r>
      <w:r>
        <w:t xml:space="preserve"> </w:t>
      </w:r>
      <w:r w:rsidRPr="00573E91">
        <w:t>nástupci</w:t>
      </w:r>
      <w:r>
        <w:t xml:space="preserve"> </w:t>
      </w:r>
      <w:r w:rsidRPr="00573E91">
        <w:t>nebyl</w:t>
      </w:r>
      <w:r>
        <w:t xml:space="preserve"> </w:t>
      </w:r>
      <w:r w:rsidRPr="00573E91">
        <w:t>převeden</w:t>
      </w:r>
      <w:r>
        <w:t xml:space="preserve"> </w:t>
      </w:r>
      <w:r w:rsidRPr="00573E91">
        <w:t>celý</w:t>
      </w:r>
      <w:r>
        <w:t xml:space="preserve"> </w:t>
      </w:r>
      <w:r w:rsidRPr="00573E91">
        <w:t>majetkový</w:t>
      </w:r>
      <w:r>
        <w:t xml:space="preserve"> </w:t>
      </w:r>
      <w:r w:rsidRPr="00573E91">
        <w:t>zůstatek,</w:t>
      </w:r>
      <w:r>
        <w:t xml:space="preserve"> </w:t>
      </w:r>
      <w:r w:rsidRPr="00573E91">
        <w:t>navrhne</w:t>
      </w:r>
      <w:r>
        <w:t xml:space="preserve"> </w:t>
      </w:r>
      <w:r w:rsidRPr="00573E91">
        <w:t>převedení</w:t>
      </w:r>
      <w:r>
        <w:t xml:space="preserve"> </w:t>
      </w:r>
      <w:r w:rsidRPr="00573E91">
        <w:t>majetkového</w:t>
      </w:r>
      <w:r>
        <w:t xml:space="preserve"> </w:t>
      </w:r>
      <w:r w:rsidRPr="00573E91">
        <w:t>zůstatku</w:t>
      </w:r>
      <w:r>
        <w:t xml:space="preserve"> </w:t>
      </w:r>
      <w:r w:rsidRPr="00573E91">
        <w:t>nebo</w:t>
      </w:r>
      <w:r>
        <w:t xml:space="preserve"> </w:t>
      </w:r>
      <w:r w:rsidRPr="00573E91">
        <w:t>zbývající</w:t>
      </w:r>
      <w:r>
        <w:t xml:space="preserve"> </w:t>
      </w:r>
      <w:r w:rsidRPr="00573E91">
        <w:t>části</w:t>
      </w:r>
      <w:r>
        <w:t xml:space="preserve"> </w:t>
      </w:r>
      <w:r w:rsidRPr="00573E91">
        <w:t>majetkového</w:t>
      </w:r>
      <w:r>
        <w:t xml:space="preserve"> </w:t>
      </w:r>
      <w:r w:rsidRPr="00573E91">
        <w:t>zůstatku</w:t>
      </w:r>
      <w:r>
        <w:t xml:space="preserve"> </w:t>
      </w:r>
      <w:r w:rsidRPr="00573E91">
        <w:t>na</w:t>
      </w:r>
      <w:r>
        <w:t xml:space="preserve"> </w:t>
      </w:r>
      <w:r w:rsidRPr="00573E91">
        <w:t>zvláštní</w:t>
      </w:r>
      <w:r>
        <w:t xml:space="preserve"> </w:t>
      </w:r>
      <w:r w:rsidRPr="00573E91">
        <w:t>účet</w:t>
      </w:r>
      <w:r>
        <w:t xml:space="preserve"> </w:t>
      </w:r>
      <w:r w:rsidRPr="00573E91">
        <w:t>Všeobecné</w:t>
      </w:r>
      <w:r>
        <w:t xml:space="preserve"> </w:t>
      </w:r>
      <w:r w:rsidRPr="00573E91">
        <w:t>zdravotní</w:t>
      </w:r>
      <w:r>
        <w:t xml:space="preserve"> </w:t>
      </w:r>
      <w:r w:rsidRPr="00573E91">
        <w:t>pojišťovny</w:t>
      </w:r>
      <w:r>
        <w:t xml:space="preserve"> </w:t>
      </w:r>
      <w:r w:rsidRPr="00573E91">
        <w:t>České</w:t>
      </w:r>
      <w:r>
        <w:t xml:space="preserve"> </w:t>
      </w:r>
      <w:r w:rsidRPr="00573E91">
        <w:t>republiky</w:t>
      </w:r>
      <w:r>
        <w:t xml:space="preserve"> </w:t>
      </w:r>
      <w:r w:rsidRPr="00573E91">
        <w:t>k</w:t>
      </w:r>
      <w:r>
        <w:t xml:space="preserve"> </w:t>
      </w:r>
      <w:r w:rsidRPr="00573E91">
        <w:t>přerozdělení.</w:t>
      </w:r>
      <w:r>
        <w:t xml:space="preserve"> </w:t>
      </w:r>
      <w:r w:rsidRPr="00573E91">
        <w:t>Po</w:t>
      </w:r>
      <w:r>
        <w:t xml:space="preserve"> </w:t>
      </w:r>
      <w:r w:rsidRPr="00573E91">
        <w:t>schválení</w:t>
      </w:r>
      <w:r>
        <w:t xml:space="preserve"> </w:t>
      </w:r>
      <w:r w:rsidRPr="006709C9">
        <w:rPr>
          <w:b/>
        </w:rPr>
        <w:t>řádné individuální</w:t>
      </w:r>
      <w:r w:rsidRPr="00573E91">
        <w:t xml:space="preserve"> účetní</w:t>
      </w:r>
      <w:r>
        <w:t xml:space="preserve"> </w:t>
      </w:r>
      <w:r w:rsidRPr="00573E91">
        <w:t>závěrky,</w:t>
      </w:r>
      <w:r>
        <w:t xml:space="preserve"> </w:t>
      </w:r>
      <w:r w:rsidRPr="00573E91">
        <w:t>konečné</w:t>
      </w:r>
      <w:r>
        <w:t xml:space="preserve"> </w:t>
      </w:r>
      <w:r w:rsidRPr="00573E91">
        <w:t>zprávy</w:t>
      </w:r>
      <w:r>
        <w:t xml:space="preserve"> </w:t>
      </w:r>
      <w:r w:rsidRPr="00573E91">
        <w:t>a</w:t>
      </w:r>
      <w:r>
        <w:t xml:space="preserve"> </w:t>
      </w:r>
      <w:r w:rsidRPr="00573E91">
        <w:t>návrhu</w:t>
      </w:r>
      <w:r>
        <w:t xml:space="preserve"> </w:t>
      </w:r>
      <w:r w:rsidRPr="00573E91">
        <w:t>na</w:t>
      </w:r>
      <w:r>
        <w:t xml:space="preserve"> </w:t>
      </w:r>
      <w:r w:rsidRPr="00573E91">
        <w:t>převedení</w:t>
      </w:r>
      <w:r>
        <w:t xml:space="preserve"> </w:t>
      </w:r>
      <w:r w:rsidRPr="00573E91">
        <w:t>prostředků</w:t>
      </w:r>
      <w:r>
        <w:t xml:space="preserve"> </w:t>
      </w:r>
      <w:r w:rsidRPr="00573E91">
        <w:t>Ministerstvem</w:t>
      </w:r>
      <w:r>
        <w:t xml:space="preserve"> </w:t>
      </w:r>
      <w:r w:rsidRPr="00573E91">
        <w:t>zdravotnictví</w:t>
      </w:r>
      <w:r>
        <w:t xml:space="preserve"> </w:t>
      </w:r>
      <w:r w:rsidRPr="00573E91">
        <w:t>likvidátor</w:t>
      </w:r>
      <w:r>
        <w:t xml:space="preserve"> </w:t>
      </w:r>
      <w:r w:rsidRPr="00573E91">
        <w:t>tento</w:t>
      </w:r>
      <w:r>
        <w:t xml:space="preserve"> </w:t>
      </w:r>
      <w:r w:rsidRPr="00573E91">
        <w:t>převod</w:t>
      </w:r>
      <w:r>
        <w:t xml:space="preserve"> </w:t>
      </w:r>
      <w:r w:rsidRPr="00573E91">
        <w:t>provede.</w:t>
      </w:r>
    </w:p>
    <w:p w14:paraId="48881527" w14:textId="77777777" w:rsidR="00951FFF" w:rsidRDefault="00951FFF" w:rsidP="00471221">
      <w:pPr>
        <w:pStyle w:val="Textparagrafu"/>
        <w:spacing w:before="120" w:after="120"/>
      </w:pPr>
      <w:r w:rsidRPr="00573E91">
        <w:t>(6)</w:t>
      </w:r>
      <w:r>
        <w:t xml:space="preserve"> </w:t>
      </w:r>
      <w:r w:rsidRPr="00573E91">
        <w:t>Do</w:t>
      </w:r>
      <w:r>
        <w:t xml:space="preserve"> </w:t>
      </w:r>
      <w:r w:rsidRPr="00573E91">
        <w:t>30</w:t>
      </w:r>
      <w:r>
        <w:t xml:space="preserve"> </w:t>
      </w:r>
      <w:r w:rsidRPr="00573E91">
        <w:t>dnů</w:t>
      </w:r>
      <w:r>
        <w:t xml:space="preserve"> </w:t>
      </w:r>
      <w:r w:rsidRPr="00573E91">
        <w:t>po</w:t>
      </w:r>
      <w:r>
        <w:t xml:space="preserve"> </w:t>
      </w:r>
      <w:r w:rsidRPr="00573E91">
        <w:t>skončení</w:t>
      </w:r>
      <w:r>
        <w:t xml:space="preserve"> </w:t>
      </w:r>
      <w:r w:rsidRPr="00573E91">
        <w:t>likvidace</w:t>
      </w:r>
      <w:r>
        <w:t xml:space="preserve"> </w:t>
      </w:r>
      <w:r w:rsidRPr="00573E91">
        <w:t>zaměstnanecké</w:t>
      </w:r>
      <w:r>
        <w:t xml:space="preserve"> </w:t>
      </w:r>
      <w:r w:rsidRPr="00573E91">
        <w:t>pojišťovny</w:t>
      </w:r>
      <w:r>
        <w:t xml:space="preserve"> </w:t>
      </w:r>
      <w:r w:rsidRPr="00573E91">
        <w:t>podá</w:t>
      </w:r>
      <w:r>
        <w:t xml:space="preserve"> </w:t>
      </w:r>
      <w:r w:rsidRPr="00573E91">
        <w:t>likvidátor</w:t>
      </w:r>
      <w:r>
        <w:t xml:space="preserve"> </w:t>
      </w:r>
      <w:r w:rsidRPr="00573E91">
        <w:t>rejstříkovému</w:t>
      </w:r>
      <w:r>
        <w:t xml:space="preserve"> </w:t>
      </w:r>
      <w:r w:rsidRPr="00573E91">
        <w:t>soudu</w:t>
      </w:r>
      <w:r>
        <w:t xml:space="preserve"> </w:t>
      </w:r>
      <w:r w:rsidRPr="00573E91">
        <w:t>návrh</w:t>
      </w:r>
      <w:r>
        <w:t xml:space="preserve"> </w:t>
      </w:r>
      <w:r w:rsidRPr="00573E91">
        <w:t>na</w:t>
      </w:r>
      <w:r>
        <w:t xml:space="preserve"> </w:t>
      </w:r>
      <w:r w:rsidRPr="00573E91">
        <w:t>výmaz</w:t>
      </w:r>
      <w:r>
        <w:t xml:space="preserve"> </w:t>
      </w:r>
      <w:r w:rsidRPr="00573E91">
        <w:t>zaměstnanecké</w:t>
      </w:r>
      <w:r>
        <w:t xml:space="preserve"> </w:t>
      </w:r>
      <w:r w:rsidRPr="00573E91">
        <w:t>pojišťovny</w:t>
      </w:r>
      <w:r>
        <w:t xml:space="preserve"> </w:t>
      </w:r>
      <w:r w:rsidRPr="00573E91">
        <w:t>z</w:t>
      </w:r>
      <w:r>
        <w:t xml:space="preserve"> </w:t>
      </w:r>
      <w:r w:rsidRPr="00573E91">
        <w:t>obchodního</w:t>
      </w:r>
      <w:r>
        <w:t xml:space="preserve"> </w:t>
      </w:r>
      <w:r w:rsidRPr="00573E91">
        <w:t>rejstříku.</w:t>
      </w:r>
    </w:p>
    <w:p w14:paraId="27A0423A" w14:textId="77777777" w:rsidR="00951FFF" w:rsidRPr="00573E91" w:rsidRDefault="00951FFF" w:rsidP="00471221">
      <w:pPr>
        <w:pStyle w:val="Textparagrafu"/>
        <w:spacing w:before="120" w:after="120"/>
      </w:pPr>
      <w:r w:rsidRPr="00573E91">
        <w:t>(7)</w:t>
      </w:r>
      <w:r>
        <w:t xml:space="preserve"> </w:t>
      </w:r>
      <w:r w:rsidRPr="00573E91">
        <w:t>Odměnu</w:t>
      </w:r>
      <w:r>
        <w:t xml:space="preserve"> </w:t>
      </w:r>
      <w:r w:rsidRPr="00573E91">
        <w:t>likvidátora</w:t>
      </w:r>
      <w:r>
        <w:t xml:space="preserve"> </w:t>
      </w:r>
      <w:r w:rsidRPr="00573E91">
        <w:t>určuje</w:t>
      </w:r>
      <w:r>
        <w:t xml:space="preserve"> </w:t>
      </w:r>
      <w:r w:rsidRPr="00573E91">
        <w:t>Ministerstvo</w:t>
      </w:r>
      <w:r>
        <w:t xml:space="preserve"> </w:t>
      </w:r>
      <w:r w:rsidRPr="00573E91">
        <w:t>zdravotnictví.</w:t>
      </w:r>
    </w:p>
    <w:p w14:paraId="4F5872E0" w14:textId="31CDBBCD" w:rsidR="00951FFF" w:rsidRDefault="00951FFF" w:rsidP="00951FFF">
      <w:pPr>
        <w:pStyle w:val="Textparagrafu"/>
        <w:numPr>
          <w:ilvl w:val="0"/>
          <w:numId w:val="28"/>
        </w:numPr>
        <w:jc w:val="center"/>
        <w:rPr>
          <w:b/>
        </w:rPr>
      </w:pPr>
      <w:r>
        <w:rPr>
          <w:b/>
        </w:rPr>
        <w:t>***</w:t>
      </w:r>
    </w:p>
    <w:p w14:paraId="3F5B7850" w14:textId="06A5D915" w:rsidR="00362C3F" w:rsidRDefault="00362C3F" w:rsidP="00362C3F">
      <w:pPr>
        <w:pStyle w:val="Textparagrafu"/>
        <w:numPr>
          <w:ilvl w:val="0"/>
          <w:numId w:val="28"/>
        </w:numPr>
        <w:tabs>
          <w:tab w:val="left" w:pos="434"/>
        </w:tabs>
        <w:jc w:val="center"/>
      </w:pPr>
      <w:r w:rsidRPr="00652E1F">
        <w:t>§</w:t>
      </w:r>
      <w:r>
        <w:t xml:space="preserve"> </w:t>
      </w:r>
      <w:r w:rsidRPr="00652E1F">
        <w:t>10</w:t>
      </w:r>
    </w:p>
    <w:p w14:paraId="332378DE" w14:textId="77777777" w:rsidR="00362C3F" w:rsidRDefault="00362C3F" w:rsidP="00471221">
      <w:pPr>
        <w:pStyle w:val="Textparagrafu"/>
        <w:spacing w:before="120" w:after="120"/>
      </w:pPr>
      <w:r w:rsidRPr="00652E1F">
        <w:t>(1)</w:t>
      </w:r>
      <w:r>
        <w:t xml:space="preserve"> </w:t>
      </w:r>
      <w:r w:rsidRPr="00652E1F">
        <w:t>Orgány</w:t>
      </w:r>
      <w:r>
        <w:t xml:space="preserve"> </w:t>
      </w:r>
      <w:r w:rsidRPr="00652E1F">
        <w:t>zaměstnanecké</w:t>
      </w:r>
      <w:r>
        <w:t xml:space="preserve"> </w:t>
      </w:r>
      <w:r w:rsidRPr="00652E1F">
        <w:t>pojišťovny</w:t>
      </w:r>
      <w:r>
        <w:t xml:space="preserve"> </w:t>
      </w:r>
      <w:r w:rsidRPr="00652E1F">
        <w:t>jsou</w:t>
      </w:r>
      <w:r>
        <w:t xml:space="preserve"> </w:t>
      </w:r>
      <w:r w:rsidRPr="00652E1F">
        <w:t>ředitel</w:t>
      </w:r>
      <w:r>
        <w:t xml:space="preserve"> </w:t>
      </w:r>
      <w:r w:rsidRPr="00652E1F">
        <w:t>zaměstnanecké</w:t>
      </w:r>
      <w:r>
        <w:t xml:space="preserve"> </w:t>
      </w:r>
      <w:r w:rsidRPr="00652E1F">
        <w:t>pojišťovny,</w:t>
      </w:r>
      <w:r>
        <w:t xml:space="preserve"> </w:t>
      </w:r>
      <w:r w:rsidRPr="00652E1F">
        <w:t>Správní</w:t>
      </w:r>
      <w:r>
        <w:t xml:space="preserve"> </w:t>
      </w:r>
      <w:r w:rsidRPr="00652E1F">
        <w:t>rada</w:t>
      </w:r>
      <w:r>
        <w:t xml:space="preserve"> </w:t>
      </w:r>
      <w:r w:rsidRPr="00652E1F">
        <w:t>a</w:t>
      </w:r>
      <w:r>
        <w:t xml:space="preserve"> </w:t>
      </w:r>
      <w:r w:rsidRPr="00652E1F">
        <w:t>Dozorčí</w:t>
      </w:r>
      <w:r>
        <w:t xml:space="preserve"> </w:t>
      </w:r>
      <w:r w:rsidRPr="00652E1F">
        <w:t>rada.</w:t>
      </w:r>
    </w:p>
    <w:p w14:paraId="72E0B463" w14:textId="77777777" w:rsidR="00362C3F" w:rsidRDefault="00362C3F" w:rsidP="00471221">
      <w:pPr>
        <w:pStyle w:val="Textparagrafu"/>
        <w:spacing w:before="120" w:after="120"/>
      </w:pPr>
      <w:r w:rsidRPr="00652E1F">
        <w:t>(2)</w:t>
      </w:r>
      <w:r>
        <w:t xml:space="preserve"> </w:t>
      </w:r>
      <w:r w:rsidRPr="00652E1F">
        <w:t>Správní</w:t>
      </w:r>
      <w:r>
        <w:t xml:space="preserve"> </w:t>
      </w:r>
      <w:r w:rsidRPr="00652E1F">
        <w:t>rada</w:t>
      </w:r>
      <w:r>
        <w:t xml:space="preserve"> </w:t>
      </w:r>
      <w:r w:rsidRPr="00652E1F">
        <w:t>zaměstnanecké</w:t>
      </w:r>
      <w:r>
        <w:t xml:space="preserve"> </w:t>
      </w:r>
      <w:r w:rsidRPr="00652E1F">
        <w:t>pojišťovny</w:t>
      </w:r>
      <w:r>
        <w:t xml:space="preserve"> </w:t>
      </w:r>
      <w:r w:rsidRPr="00652E1F">
        <w:t>rozhoduje</w:t>
      </w:r>
      <w:r>
        <w:t xml:space="preserve"> </w:t>
      </w:r>
      <w:r w:rsidRPr="00652E1F">
        <w:t>o</w:t>
      </w:r>
    </w:p>
    <w:p w14:paraId="31752EB4" w14:textId="7FF8C76C" w:rsidR="00362C3F" w:rsidRDefault="00362C3F" w:rsidP="00B811D2">
      <w:pPr>
        <w:pStyle w:val="Textparagrafu"/>
        <w:numPr>
          <w:ilvl w:val="0"/>
          <w:numId w:val="28"/>
        </w:numPr>
        <w:tabs>
          <w:tab w:val="left" w:pos="434"/>
        </w:tabs>
        <w:spacing w:before="0"/>
        <w:ind w:left="426" w:hanging="426"/>
      </w:pPr>
      <w:r w:rsidRPr="00652E1F">
        <w:t>a)</w:t>
      </w:r>
      <w:r>
        <w:tab/>
      </w:r>
      <w:r w:rsidRPr="00652E1F">
        <w:t>schválení</w:t>
      </w:r>
      <w:r>
        <w:t xml:space="preserve"> </w:t>
      </w:r>
      <w:r w:rsidRPr="00652E1F">
        <w:t>návrhu</w:t>
      </w:r>
      <w:r>
        <w:t xml:space="preserve"> </w:t>
      </w:r>
      <w:r w:rsidRPr="00652E1F">
        <w:t>zdravotně</w:t>
      </w:r>
      <w:r>
        <w:t xml:space="preserve"> </w:t>
      </w:r>
      <w:r w:rsidRPr="00652E1F">
        <w:t>pojistného</w:t>
      </w:r>
      <w:r>
        <w:t xml:space="preserve"> </w:t>
      </w:r>
      <w:r w:rsidRPr="00652E1F">
        <w:t>plánu,</w:t>
      </w:r>
      <w:r>
        <w:t xml:space="preserve"> </w:t>
      </w:r>
      <w:r w:rsidRPr="00652E1F">
        <w:t>výhledu,</w:t>
      </w:r>
      <w:r>
        <w:t xml:space="preserve"> </w:t>
      </w:r>
      <w:r w:rsidRPr="00652E1F">
        <w:t>účetní</w:t>
      </w:r>
      <w:r>
        <w:t xml:space="preserve"> </w:t>
      </w:r>
      <w:r w:rsidRPr="00652E1F">
        <w:t>závěrky</w:t>
      </w:r>
      <w:r>
        <w:t xml:space="preserve"> </w:t>
      </w:r>
      <w:r w:rsidRPr="00652E1F">
        <w:t>a</w:t>
      </w:r>
      <w:r>
        <w:t xml:space="preserve"> </w:t>
      </w:r>
      <w:r w:rsidRPr="00F15727">
        <w:rPr>
          <w:strike/>
        </w:rPr>
        <w:t>návrhu výroční zprávy</w:t>
      </w:r>
      <w:r w:rsidR="00F15727">
        <w:t xml:space="preserve"> </w:t>
      </w:r>
      <w:proofErr w:type="spellStart"/>
      <w:r w:rsidR="00F15727" w:rsidRPr="00F15727">
        <w:rPr>
          <w:b/>
        </w:rPr>
        <w:t>zprávy</w:t>
      </w:r>
      <w:proofErr w:type="spellEnd"/>
      <w:r w:rsidR="00F15727" w:rsidRPr="00F15727">
        <w:rPr>
          <w:b/>
        </w:rPr>
        <w:t xml:space="preserve"> vedení</w:t>
      </w:r>
      <w:r w:rsidRPr="00652E1F">
        <w:t>,</w:t>
      </w:r>
    </w:p>
    <w:p w14:paraId="778D893A" w14:textId="173E02B4" w:rsidR="00362C3F" w:rsidRDefault="00362C3F" w:rsidP="00B811D2">
      <w:pPr>
        <w:pStyle w:val="Textparagrafu"/>
        <w:numPr>
          <w:ilvl w:val="0"/>
          <w:numId w:val="28"/>
        </w:numPr>
        <w:tabs>
          <w:tab w:val="left" w:pos="434"/>
        </w:tabs>
        <w:spacing w:before="0"/>
        <w:ind w:left="426" w:hanging="426"/>
      </w:pPr>
      <w:r w:rsidRPr="00652E1F">
        <w:t>b)</w:t>
      </w:r>
      <w:r>
        <w:tab/>
      </w:r>
      <w:r w:rsidRPr="00652E1F">
        <w:t>schválení</w:t>
      </w:r>
      <w:r>
        <w:t xml:space="preserve"> </w:t>
      </w:r>
      <w:r w:rsidRPr="00652E1F">
        <w:t>zásad</w:t>
      </w:r>
      <w:r>
        <w:t xml:space="preserve"> </w:t>
      </w:r>
      <w:r w:rsidRPr="00652E1F">
        <w:t>smluvní</w:t>
      </w:r>
      <w:r>
        <w:t xml:space="preserve"> </w:t>
      </w:r>
      <w:r w:rsidRPr="00652E1F">
        <w:t>politiky,</w:t>
      </w:r>
    </w:p>
    <w:p w14:paraId="0BD66E1C" w14:textId="47B2F974" w:rsidR="00362C3F" w:rsidRDefault="00362C3F" w:rsidP="00B811D2">
      <w:pPr>
        <w:pStyle w:val="Textparagrafu"/>
        <w:numPr>
          <w:ilvl w:val="0"/>
          <w:numId w:val="28"/>
        </w:numPr>
        <w:tabs>
          <w:tab w:val="left" w:pos="434"/>
        </w:tabs>
        <w:spacing w:before="0"/>
        <w:ind w:left="426" w:hanging="426"/>
      </w:pPr>
      <w:r w:rsidRPr="00652E1F">
        <w:t>c)</w:t>
      </w:r>
      <w:r>
        <w:tab/>
      </w:r>
      <w:r w:rsidRPr="00652E1F">
        <w:t>žádosti</w:t>
      </w:r>
      <w:r>
        <w:t xml:space="preserve"> </w:t>
      </w:r>
      <w:r w:rsidRPr="00652E1F">
        <w:t>zaměstnanecké</w:t>
      </w:r>
      <w:r>
        <w:t xml:space="preserve"> </w:t>
      </w:r>
      <w:r w:rsidRPr="00652E1F">
        <w:t>pojišťovny</w:t>
      </w:r>
      <w:r>
        <w:t xml:space="preserve"> </w:t>
      </w:r>
      <w:r w:rsidRPr="00652E1F">
        <w:t>o</w:t>
      </w:r>
      <w:r>
        <w:t xml:space="preserve"> </w:t>
      </w:r>
      <w:r w:rsidRPr="00652E1F">
        <w:t>úvěr,</w:t>
      </w:r>
    </w:p>
    <w:p w14:paraId="3C4ADB59" w14:textId="363F22BB" w:rsidR="00362C3F" w:rsidRDefault="00362C3F" w:rsidP="00B811D2">
      <w:pPr>
        <w:pStyle w:val="Textparagrafu"/>
        <w:numPr>
          <w:ilvl w:val="0"/>
          <w:numId w:val="28"/>
        </w:numPr>
        <w:tabs>
          <w:tab w:val="left" w:pos="434"/>
        </w:tabs>
        <w:spacing w:before="0"/>
        <w:ind w:left="426" w:hanging="426"/>
      </w:pPr>
      <w:r w:rsidRPr="00652E1F">
        <w:t>d)</w:t>
      </w:r>
      <w:r>
        <w:tab/>
      </w:r>
      <w:r w:rsidRPr="00652E1F">
        <w:t>nákupu</w:t>
      </w:r>
      <w:r>
        <w:t xml:space="preserve"> </w:t>
      </w:r>
      <w:r w:rsidRPr="00652E1F">
        <w:t>nemovitostí</w:t>
      </w:r>
      <w:r>
        <w:t xml:space="preserve"> </w:t>
      </w:r>
      <w:r w:rsidRPr="00F15727">
        <w:rPr>
          <w:strike/>
        </w:rPr>
        <w:t>v pořizovací ceně vyšší</w:t>
      </w:r>
      <w:bookmarkStart w:id="4" w:name="_Hlk163822909"/>
      <w:r w:rsidR="00F15727" w:rsidRPr="00F15727">
        <w:rPr>
          <w:b/>
        </w:rPr>
        <w:t xml:space="preserve"> </w:t>
      </w:r>
      <w:r w:rsidR="00C94516">
        <w:rPr>
          <w:b/>
        </w:rPr>
        <w:t xml:space="preserve">s </w:t>
      </w:r>
      <w:r w:rsidR="00F15727" w:rsidRPr="006709C9">
        <w:rPr>
          <w:b/>
        </w:rPr>
        <w:t>pořizovacími náklady vyššími</w:t>
      </w:r>
      <w:bookmarkEnd w:id="4"/>
      <w:r>
        <w:t xml:space="preserve"> </w:t>
      </w:r>
      <w:r w:rsidRPr="00652E1F">
        <w:t>než</w:t>
      </w:r>
      <w:r>
        <w:t xml:space="preserve"> </w:t>
      </w:r>
      <w:r w:rsidRPr="00652E1F">
        <w:t>2</w:t>
      </w:r>
      <w:r>
        <w:t xml:space="preserve"> </w:t>
      </w:r>
      <w:r w:rsidRPr="00652E1F">
        <w:t>000</w:t>
      </w:r>
      <w:r>
        <w:t xml:space="preserve"> </w:t>
      </w:r>
      <w:r w:rsidRPr="00652E1F">
        <w:t>000</w:t>
      </w:r>
      <w:r>
        <w:t xml:space="preserve"> </w:t>
      </w:r>
      <w:r w:rsidRPr="00652E1F">
        <w:t>Kč,</w:t>
      </w:r>
    </w:p>
    <w:p w14:paraId="1ECDC17F" w14:textId="78299D27" w:rsidR="00362C3F" w:rsidRDefault="00362C3F" w:rsidP="00B811D2">
      <w:pPr>
        <w:pStyle w:val="Textparagrafu"/>
        <w:numPr>
          <w:ilvl w:val="0"/>
          <w:numId w:val="28"/>
        </w:numPr>
        <w:tabs>
          <w:tab w:val="left" w:pos="434"/>
        </w:tabs>
        <w:spacing w:before="0"/>
        <w:ind w:left="426" w:hanging="426"/>
      </w:pPr>
      <w:r w:rsidRPr="00652E1F">
        <w:t>e)</w:t>
      </w:r>
      <w:r>
        <w:tab/>
      </w:r>
      <w:r w:rsidRPr="00652E1F">
        <w:t>nákupu</w:t>
      </w:r>
      <w:r>
        <w:t xml:space="preserve"> </w:t>
      </w:r>
      <w:r w:rsidRPr="00652E1F">
        <w:t>hmotného</w:t>
      </w:r>
      <w:r>
        <w:t xml:space="preserve"> </w:t>
      </w:r>
      <w:r w:rsidRPr="00652E1F">
        <w:t>a</w:t>
      </w:r>
      <w:r>
        <w:t xml:space="preserve"> </w:t>
      </w:r>
      <w:r w:rsidRPr="00652E1F">
        <w:t>nehmotného</w:t>
      </w:r>
      <w:r>
        <w:t xml:space="preserve"> </w:t>
      </w:r>
      <w:r w:rsidRPr="00652E1F">
        <w:t>majetku</w:t>
      </w:r>
      <w:r>
        <w:t xml:space="preserve"> </w:t>
      </w:r>
      <w:r w:rsidRPr="00F15727">
        <w:rPr>
          <w:strike/>
        </w:rPr>
        <w:t>v pořizovací ceně vyšší</w:t>
      </w:r>
      <w:r>
        <w:t xml:space="preserve"> </w:t>
      </w:r>
      <w:bookmarkStart w:id="5" w:name="_Hlk163822953"/>
      <w:r w:rsidR="00F15727" w:rsidRPr="006709C9">
        <w:rPr>
          <w:b/>
        </w:rPr>
        <w:t>aktiva s pořizovacím nákladem vyšším</w:t>
      </w:r>
      <w:bookmarkEnd w:id="5"/>
      <w:r w:rsidR="00F15727" w:rsidRPr="006709C9">
        <w:t xml:space="preserve"> </w:t>
      </w:r>
      <w:r w:rsidRPr="00652E1F">
        <w:t>než</w:t>
      </w:r>
      <w:r>
        <w:t xml:space="preserve"> </w:t>
      </w:r>
      <w:r w:rsidRPr="00652E1F">
        <w:t>2</w:t>
      </w:r>
      <w:r>
        <w:t xml:space="preserve"> </w:t>
      </w:r>
      <w:r w:rsidRPr="00652E1F">
        <w:t>000</w:t>
      </w:r>
      <w:r>
        <w:t xml:space="preserve"> </w:t>
      </w:r>
      <w:r w:rsidRPr="00652E1F">
        <w:t>000</w:t>
      </w:r>
      <w:r>
        <w:t xml:space="preserve"> </w:t>
      </w:r>
      <w:r w:rsidRPr="00652E1F">
        <w:t>Kč,</w:t>
      </w:r>
    </w:p>
    <w:p w14:paraId="5684E8A5" w14:textId="00FBCA72" w:rsidR="00362C3F" w:rsidRDefault="00362C3F" w:rsidP="00B811D2">
      <w:pPr>
        <w:pStyle w:val="Textparagrafu"/>
        <w:numPr>
          <w:ilvl w:val="0"/>
          <w:numId w:val="28"/>
        </w:numPr>
        <w:tabs>
          <w:tab w:val="left" w:pos="434"/>
        </w:tabs>
        <w:spacing w:before="0"/>
        <w:ind w:left="426" w:hanging="426"/>
      </w:pPr>
      <w:r w:rsidRPr="00652E1F">
        <w:t>f)</w:t>
      </w:r>
      <w:r>
        <w:tab/>
      </w:r>
      <w:r w:rsidRPr="00652E1F">
        <w:t>zahájení</w:t>
      </w:r>
      <w:r>
        <w:t xml:space="preserve"> </w:t>
      </w:r>
      <w:r w:rsidRPr="00652E1F">
        <w:t>zadávání</w:t>
      </w:r>
      <w:r>
        <w:t xml:space="preserve"> </w:t>
      </w:r>
      <w:r w:rsidRPr="00652E1F">
        <w:t>podlimitních</w:t>
      </w:r>
      <w:r>
        <w:t xml:space="preserve"> </w:t>
      </w:r>
      <w:r w:rsidRPr="00652E1F">
        <w:t>a</w:t>
      </w:r>
      <w:r>
        <w:t xml:space="preserve"> </w:t>
      </w:r>
      <w:r w:rsidRPr="00652E1F">
        <w:t>nadlimitních</w:t>
      </w:r>
      <w:r>
        <w:t xml:space="preserve"> </w:t>
      </w:r>
      <w:r w:rsidRPr="00652E1F">
        <w:t>veřejných</w:t>
      </w:r>
      <w:r>
        <w:t xml:space="preserve"> </w:t>
      </w:r>
      <w:r w:rsidRPr="00652E1F">
        <w:t>zakázek</w:t>
      </w:r>
      <w:r>
        <w:t xml:space="preserve"> </w:t>
      </w:r>
      <w:r w:rsidRPr="00652E1F">
        <w:t>na</w:t>
      </w:r>
      <w:r>
        <w:t xml:space="preserve"> </w:t>
      </w:r>
      <w:r w:rsidRPr="00652E1F">
        <w:t>služby</w:t>
      </w:r>
      <w:r>
        <w:t xml:space="preserve"> </w:t>
      </w:r>
      <w:r w:rsidRPr="00652E1F">
        <w:t>podle</w:t>
      </w:r>
      <w:r>
        <w:t xml:space="preserve"> </w:t>
      </w:r>
      <w:r w:rsidRPr="00652E1F">
        <w:t>zákona</w:t>
      </w:r>
      <w:r>
        <w:t xml:space="preserve"> </w:t>
      </w:r>
      <w:r w:rsidRPr="00652E1F">
        <w:t>o</w:t>
      </w:r>
      <w:r>
        <w:t xml:space="preserve"> </w:t>
      </w:r>
      <w:r w:rsidRPr="00652E1F">
        <w:t>veřejných</w:t>
      </w:r>
      <w:r>
        <w:t xml:space="preserve"> zakázkách</w:t>
      </w:r>
      <w:r>
        <w:rPr>
          <w:rStyle w:val="Znakapoznpodarou"/>
        </w:rPr>
        <w:footnoteReference w:customMarkFollows="1" w:id="113"/>
        <w:t>24)</w:t>
      </w:r>
      <w:r w:rsidRPr="00652E1F">
        <w:t>,</w:t>
      </w:r>
    </w:p>
    <w:p w14:paraId="43DDF508" w14:textId="62E29D35" w:rsidR="00362C3F" w:rsidRDefault="00362C3F" w:rsidP="00B811D2">
      <w:pPr>
        <w:pStyle w:val="Textparagrafu"/>
        <w:numPr>
          <w:ilvl w:val="0"/>
          <w:numId w:val="28"/>
        </w:numPr>
        <w:tabs>
          <w:tab w:val="left" w:pos="434"/>
        </w:tabs>
        <w:spacing w:before="0"/>
        <w:ind w:left="426" w:hanging="426"/>
      </w:pPr>
      <w:r w:rsidRPr="00652E1F">
        <w:t>g)</w:t>
      </w:r>
      <w:r>
        <w:tab/>
      </w:r>
      <w:r w:rsidRPr="00652E1F">
        <w:t>převzetí</w:t>
      </w:r>
      <w:r>
        <w:t xml:space="preserve"> </w:t>
      </w:r>
      <w:r w:rsidRPr="00652E1F">
        <w:t>ručitelského</w:t>
      </w:r>
      <w:r>
        <w:t xml:space="preserve"> </w:t>
      </w:r>
      <w:r w:rsidRPr="00652E1F">
        <w:t>závazku,</w:t>
      </w:r>
    </w:p>
    <w:p w14:paraId="350E0DBF" w14:textId="68E87C7B" w:rsidR="00362C3F" w:rsidRDefault="00362C3F" w:rsidP="00B811D2">
      <w:pPr>
        <w:pStyle w:val="Textparagrafu"/>
        <w:numPr>
          <w:ilvl w:val="0"/>
          <w:numId w:val="28"/>
        </w:numPr>
        <w:tabs>
          <w:tab w:val="left" w:pos="434"/>
        </w:tabs>
        <w:spacing w:before="0"/>
        <w:ind w:left="426" w:hanging="426"/>
      </w:pPr>
      <w:r w:rsidRPr="00652E1F">
        <w:t>h)</w:t>
      </w:r>
      <w:r>
        <w:tab/>
      </w:r>
      <w:r w:rsidRPr="00652E1F">
        <w:t>použití</w:t>
      </w:r>
      <w:r>
        <w:t xml:space="preserve"> </w:t>
      </w:r>
      <w:r w:rsidRPr="00652E1F">
        <w:t>prostředků</w:t>
      </w:r>
      <w:r>
        <w:t xml:space="preserve"> </w:t>
      </w:r>
      <w:r w:rsidRPr="00652E1F">
        <w:t>rezervního</w:t>
      </w:r>
      <w:r>
        <w:t xml:space="preserve"> </w:t>
      </w:r>
      <w:r w:rsidRPr="00652E1F">
        <w:t>fondu,</w:t>
      </w:r>
    </w:p>
    <w:p w14:paraId="77322A0E" w14:textId="5C53D6CE" w:rsidR="00362C3F" w:rsidRDefault="00362C3F" w:rsidP="00B811D2">
      <w:pPr>
        <w:pStyle w:val="Textparagrafu"/>
        <w:numPr>
          <w:ilvl w:val="0"/>
          <w:numId w:val="28"/>
        </w:numPr>
        <w:tabs>
          <w:tab w:val="left" w:pos="434"/>
        </w:tabs>
        <w:spacing w:before="0"/>
        <w:ind w:left="426" w:hanging="426"/>
      </w:pPr>
      <w:r w:rsidRPr="00652E1F">
        <w:t>i)</w:t>
      </w:r>
      <w:r>
        <w:tab/>
      </w:r>
      <w:r w:rsidRPr="00652E1F">
        <w:t>o</w:t>
      </w:r>
      <w:r>
        <w:t xml:space="preserve"> </w:t>
      </w:r>
      <w:r w:rsidRPr="00652E1F">
        <w:t>návrhu</w:t>
      </w:r>
      <w:r>
        <w:t xml:space="preserve"> </w:t>
      </w:r>
      <w:r w:rsidRPr="00652E1F">
        <w:t>na</w:t>
      </w:r>
      <w:r>
        <w:t xml:space="preserve"> </w:t>
      </w:r>
      <w:r w:rsidRPr="00652E1F">
        <w:t>podání</w:t>
      </w:r>
      <w:r>
        <w:t xml:space="preserve"> </w:t>
      </w:r>
      <w:r w:rsidRPr="00652E1F">
        <w:t>žádosti</w:t>
      </w:r>
      <w:r>
        <w:t xml:space="preserve"> </w:t>
      </w:r>
      <w:r w:rsidRPr="00652E1F">
        <w:t>o</w:t>
      </w:r>
      <w:r>
        <w:t xml:space="preserve"> </w:t>
      </w:r>
      <w:r w:rsidRPr="00652E1F">
        <w:t>povolení</w:t>
      </w:r>
      <w:r>
        <w:t xml:space="preserve"> </w:t>
      </w:r>
      <w:r w:rsidRPr="00652E1F">
        <w:t>sloučení</w:t>
      </w:r>
      <w:r>
        <w:t xml:space="preserve"> </w:t>
      </w:r>
      <w:r w:rsidRPr="00652E1F">
        <w:t>zaměstnaneckých</w:t>
      </w:r>
      <w:r>
        <w:t xml:space="preserve"> </w:t>
      </w:r>
      <w:r w:rsidRPr="00652E1F">
        <w:t>pojišťoven,</w:t>
      </w:r>
    </w:p>
    <w:p w14:paraId="5A845AD6" w14:textId="7675302D" w:rsidR="00362C3F" w:rsidRDefault="00362C3F" w:rsidP="00B811D2">
      <w:pPr>
        <w:pStyle w:val="Textparagrafu"/>
        <w:numPr>
          <w:ilvl w:val="0"/>
          <w:numId w:val="28"/>
        </w:numPr>
        <w:tabs>
          <w:tab w:val="left" w:pos="434"/>
        </w:tabs>
        <w:spacing w:before="0"/>
        <w:ind w:left="426" w:hanging="426"/>
      </w:pPr>
      <w:r w:rsidRPr="00652E1F">
        <w:t>j)</w:t>
      </w:r>
      <w:r>
        <w:tab/>
      </w:r>
      <w:r w:rsidRPr="00652E1F">
        <w:t>dalších</w:t>
      </w:r>
      <w:r>
        <w:t xml:space="preserve"> </w:t>
      </w:r>
      <w:r w:rsidRPr="00652E1F">
        <w:t>důležitých</w:t>
      </w:r>
      <w:r>
        <w:t xml:space="preserve"> </w:t>
      </w:r>
      <w:r w:rsidRPr="00652E1F">
        <w:t>věcech,</w:t>
      </w:r>
      <w:r>
        <w:t xml:space="preserve"> </w:t>
      </w:r>
      <w:r w:rsidRPr="00652E1F">
        <w:t>které</w:t>
      </w:r>
      <w:r>
        <w:t xml:space="preserve"> </w:t>
      </w:r>
      <w:r w:rsidRPr="00652E1F">
        <w:t>souvisí</w:t>
      </w:r>
      <w:r>
        <w:t xml:space="preserve"> </w:t>
      </w:r>
      <w:r w:rsidRPr="00652E1F">
        <w:t>s</w:t>
      </w:r>
      <w:r>
        <w:t xml:space="preserve"> </w:t>
      </w:r>
      <w:r w:rsidRPr="00652E1F">
        <w:t>činností</w:t>
      </w:r>
      <w:r>
        <w:t xml:space="preserve"> </w:t>
      </w:r>
      <w:r w:rsidRPr="00652E1F">
        <w:t>zaměstnanecké</w:t>
      </w:r>
      <w:r>
        <w:t xml:space="preserve"> </w:t>
      </w:r>
      <w:r w:rsidRPr="00652E1F">
        <w:t>pojišťovny</w:t>
      </w:r>
      <w:r>
        <w:t xml:space="preserve"> </w:t>
      </w:r>
      <w:r w:rsidRPr="00652E1F">
        <w:t>a</w:t>
      </w:r>
      <w:r>
        <w:t xml:space="preserve"> </w:t>
      </w:r>
      <w:r w:rsidRPr="00652E1F">
        <w:t>které</w:t>
      </w:r>
      <w:r>
        <w:t xml:space="preserve"> </w:t>
      </w:r>
      <w:r w:rsidRPr="00652E1F">
        <w:t>si</w:t>
      </w:r>
      <w:r>
        <w:t xml:space="preserve"> </w:t>
      </w:r>
      <w:r w:rsidRPr="00652E1F">
        <w:t>k</w:t>
      </w:r>
      <w:r>
        <w:t xml:space="preserve"> </w:t>
      </w:r>
      <w:r w:rsidRPr="00652E1F">
        <w:t>rozhodování</w:t>
      </w:r>
      <w:r>
        <w:t xml:space="preserve"> </w:t>
      </w:r>
      <w:r w:rsidRPr="00652E1F">
        <w:t>vyhradí.</w:t>
      </w:r>
    </w:p>
    <w:p w14:paraId="229DB868" w14:textId="77777777" w:rsidR="00362C3F" w:rsidRDefault="00362C3F" w:rsidP="00471221">
      <w:pPr>
        <w:pStyle w:val="Textparagrafu"/>
        <w:spacing w:before="120" w:after="120"/>
      </w:pPr>
      <w:r w:rsidRPr="00652E1F">
        <w:lastRenderedPageBreak/>
        <w:t>(3)</w:t>
      </w:r>
      <w:r>
        <w:t xml:space="preserve"> </w:t>
      </w:r>
      <w:r w:rsidRPr="00652E1F">
        <w:t>Správní</w:t>
      </w:r>
      <w:r>
        <w:t xml:space="preserve"> </w:t>
      </w:r>
      <w:r w:rsidRPr="00652E1F">
        <w:t>rada</w:t>
      </w:r>
      <w:r>
        <w:t xml:space="preserve"> </w:t>
      </w:r>
      <w:r w:rsidRPr="00652E1F">
        <w:t>zaměstnanecké</w:t>
      </w:r>
      <w:r>
        <w:t xml:space="preserve"> </w:t>
      </w:r>
      <w:r w:rsidRPr="00652E1F">
        <w:t>pojišťovny</w:t>
      </w:r>
      <w:r>
        <w:t xml:space="preserve"> </w:t>
      </w:r>
      <w:r w:rsidRPr="00652E1F">
        <w:t>rozhoduje</w:t>
      </w:r>
      <w:r>
        <w:t xml:space="preserve"> </w:t>
      </w:r>
      <w:r w:rsidRPr="00652E1F">
        <w:t>hlasováním.</w:t>
      </w:r>
      <w:r>
        <w:t xml:space="preserve"> </w:t>
      </w:r>
      <w:r w:rsidRPr="00652E1F">
        <w:t>K</w:t>
      </w:r>
      <w:r>
        <w:t xml:space="preserve"> </w:t>
      </w:r>
      <w:r w:rsidRPr="00652E1F">
        <w:t>přijetí</w:t>
      </w:r>
      <w:r>
        <w:t xml:space="preserve"> </w:t>
      </w:r>
      <w:r w:rsidRPr="00652E1F">
        <w:t>rozhodnutí</w:t>
      </w:r>
      <w:r>
        <w:t xml:space="preserve"> </w:t>
      </w:r>
      <w:r w:rsidRPr="00652E1F">
        <w:t>Správní</w:t>
      </w:r>
      <w:r>
        <w:t xml:space="preserve"> </w:t>
      </w:r>
      <w:r w:rsidRPr="00652E1F">
        <w:t>rady</w:t>
      </w:r>
      <w:r>
        <w:t xml:space="preserve"> </w:t>
      </w:r>
      <w:r w:rsidRPr="00652E1F">
        <w:t>podle</w:t>
      </w:r>
      <w:r>
        <w:t xml:space="preserve"> </w:t>
      </w:r>
      <w:r w:rsidRPr="00652E1F">
        <w:t>odstavce</w:t>
      </w:r>
      <w:r>
        <w:t xml:space="preserve"> </w:t>
      </w:r>
      <w:r w:rsidRPr="00652E1F">
        <w:t>2</w:t>
      </w:r>
      <w:r>
        <w:t xml:space="preserve"> </w:t>
      </w:r>
      <w:r w:rsidRPr="00652E1F">
        <w:t>písm.</w:t>
      </w:r>
      <w:r>
        <w:t xml:space="preserve"> </w:t>
      </w:r>
      <w:r w:rsidRPr="00652E1F">
        <w:t>a),</w:t>
      </w:r>
      <w:r>
        <w:t xml:space="preserve"> </w:t>
      </w:r>
      <w:r w:rsidRPr="00652E1F">
        <w:t>c),</w:t>
      </w:r>
      <w:r>
        <w:t xml:space="preserve"> </w:t>
      </w:r>
      <w:r w:rsidRPr="00652E1F">
        <w:t>g)</w:t>
      </w:r>
      <w:r>
        <w:t xml:space="preserve"> </w:t>
      </w:r>
      <w:r w:rsidRPr="00652E1F">
        <w:t>až</w:t>
      </w:r>
      <w:r>
        <w:t xml:space="preserve"> </w:t>
      </w:r>
      <w:r w:rsidRPr="00652E1F">
        <w:t>h)</w:t>
      </w:r>
      <w:r>
        <w:t xml:space="preserve"> </w:t>
      </w:r>
      <w:r w:rsidRPr="00652E1F">
        <w:t>je</w:t>
      </w:r>
      <w:r>
        <w:t xml:space="preserve"> </w:t>
      </w:r>
      <w:r w:rsidRPr="00652E1F">
        <w:t>třeba</w:t>
      </w:r>
      <w:r>
        <w:t xml:space="preserve"> </w:t>
      </w:r>
      <w:r w:rsidRPr="00652E1F">
        <w:t>souhlasu</w:t>
      </w:r>
      <w:r>
        <w:t xml:space="preserve"> </w:t>
      </w:r>
      <w:r w:rsidRPr="00652E1F">
        <w:t>nadpoloviční</w:t>
      </w:r>
      <w:r>
        <w:t xml:space="preserve"> </w:t>
      </w:r>
      <w:r w:rsidRPr="00652E1F">
        <w:t>většiny</w:t>
      </w:r>
      <w:r>
        <w:t xml:space="preserve"> </w:t>
      </w:r>
      <w:r w:rsidRPr="00652E1F">
        <w:t>všech</w:t>
      </w:r>
      <w:r>
        <w:t xml:space="preserve"> </w:t>
      </w:r>
      <w:r w:rsidRPr="00652E1F">
        <w:t>členů</w:t>
      </w:r>
      <w:r>
        <w:t xml:space="preserve"> </w:t>
      </w:r>
      <w:r w:rsidRPr="00652E1F">
        <w:t>Správní</w:t>
      </w:r>
      <w:r>
        <w:t xml:space="preserve"> </w:t>
      </w:r>
      <w:r w:rsidRPr="00652E1F">
        <w:t>rady</w:t>
      </w:r>
      <w:r>
        <w:t xml:space="preserve"> </w:t>
      </w:r>
      <w:r w:rsidRPr="00652E1F">
        <w:t>zaměstnanecké</w:t>
      </w:r>
      <w:r>
        <w:t xml:space="preserve"> </w:t>
      </w:r>
      <w:r w:rsidRPr="00652E1F">
        <w:t>pojišťovny.</w:t>
      </w:r>
      <w:r>
        <w:t xml:space="preserve"> </w:t>
      </w:r>
      <w:r w:rsidRPr="00652E1F">
        <w:t>K</w:t>
      </w:r>
      <w:r>
        <w:t xml:space="preserve"> </w:t>
      </w:r>
      <w:r w:rsidRPr="00652E1F">
        <w:t>přijetí</w:t>
      </w:r>
      <w:r>
        <w:t xml:space="preserve"> </w:t>
      </w:r>
      <w:r w:rsidRPr="00652E1F">
        <w:t>rozhodnutí</w:t>
      </w:r>
      <w:r>
        <w:t xml:space="preserve"> </w:t>
      </w:r>
      <w:r w:rsidRPr="00652E1F">
        <w:t>Správní</w:t>
      </w:r>
      <w:r>
        <w:t xml:space="preserve"> </w:t>
      </w:r>
      <w:r w:rsidRPr="00652E1F">
        <w:t>rady</w:t>
      </w:r>
      <w:r>
        <w:t xml:space="preserve"> </w:t>
      </w:r>
      <w:r w:rsidRPr="00652E1F">
        <w:t>podle</w:t>
      </w:r>
      <w:r>
        <w:t xml:space="preserve"> </w:t>
      </w:r>
      <w:r w:rsidRPr="00652E1F">
        <w:t>odstavce</w:t>
      </w:r>
      <w:r>
        <w:t xml:space="preserve"> </w:t>
      </w:r>
      <w:r w:rsidRPr="00652E1F">
        <w:t>2</w:t>
      </w:r>
      <w:r>
        <w:t xml:space="preserve"> </w:t>
      </w:r>
      <w:r w:rsidRPr="00652E1F">
        <w:t>písm.</w:t>
      </w:r>
      <w:r>
        <w:t xml:space="preserve"> </w:t>
      </w:r>
      <w:r w:rsidRPr="00652E1F">
        <w:t>i)</w:t>
      </w:r>
      <w:r>
        <w:t xml:space="preserve"> </w:t>
      </w:r>
      <w:r w:rsidRPr="00652E1F">
        <w:t>je</w:t>
      </w:r>
      <w:r>
        <w:t xml:space="preserve"> </w:t>
      </w:r>
      <w:r w:rsidRPr="00652E1F">
        <w:t>třeba</w:t>
      </w:r>
      <w:r>
        <w:t xml:space="preserve"> </w:t>
      </w:r>
      <w:r w:rsidRPr="00652E1F">
        <w:t>souhlasu</w:t>
      </w:r>
      <w:r>
        <w:t xml:space="preserve"> </w:t>
      </w:r>
      <w:r w:rsidRPr="00652E1F">
        <w:t>dvoutřetinové</w:t>
      </w:r>
      <w:r>
        <w:t xml:space="preserve"> </w:t>
      </w:r>
      <w:r w:rsidRPr="00652E1F">
        <w:t>většiny</w:t>
      </w:r>
      <w:r>
        <w:t xml:space="preserve"> </w:t>
      </w:r>
      <w:r w:rsidRPr="00652E1F">
        <w:t>všech</w:t>
      </w:r>
      <w:r>
        <w:t xml:space="preserve"> </w:t>
      </w:r>
      <w:r w:rsidRPr="00652E1F">
        <w:t>členů</w:t>
      </w:r>
      <w:r>
        <w:t xml:space="preserve"> </w:t>
      </w:r>
      <w:r w:rsidRPr="00652E1F">
        <w:t>Správní</w:t>
      </w:r>
      <w:r>
        <w:t xml:space="preserve"> </w:t>
      </w:r>
      <w:r w:rsidRPr="00652E1F">
        <w:t>rady</w:t>
      </w:r>
      <w:r>
        <w:t xml:space="preserve"> </w:t>
      </w:r>
      <w:r w:rsidRPr="00652E1F">
        <w:t>zaměstnanecké</w:t>
      </w:r>
      <w:r>
        <w:t xml:space="preserve"> </w:t>
      </w:r>
      <w:r w:rsidRPr="00652E1F">
        <w:t>pojišťovny.</w:t>
      </w:r>
      <w:r>
        <w:t xml:space="preserve"> </w:t>
      </w:r>
      <w:r w:rsidRPr="00652E1F">
        <w:t>K</w:t>
      </w:r>
      <w:r>
        <w:t xml:space="preserve"> </w:t>
      </w:r>
      <w:r w:rsidRPr="00652E1F">
        <w:t>ostatním</w:t>
      </w:r>
      <w:r>
        <w:t xml:space="preserve"> </w:t>
      </w:r>
      <w:r w:rsidRPr="00652E1F">
        <w:t>rozhodnutím</w:t>
      </w:r>
      <w:r>
        <w:t xml:space="preserve"> </w:t>
      </w:r>
      <w:r w:rsidRPr="00652E1F">
        <w:t>Správní</w:t>
      </w:r>
      <w:r>
        <w:t xml:space="preserve"> </w:t>
      </w:r>
      <w:r w:rsidRPr="00652E1F">
        <w:t>rady</w:t>
      </w:r>
      <w:r>
        <w:t xml:space="preserve"> </w:t>
      </w:r>
      <w:r w:rsidRPr="00652E1F">
        <w:t>podle</w:t>
      </w:r>
      <w:r>
        <w:t xml:space="preserve"> </w:t>
      </w:r>
      <w:r w:rsidRPr="00652E1F">
        <w:t>odstavce</w:t>
      </w:r>
      <w:r>
        <w:t xml:space="preserve"> </w:t>
      </w:r>
      <w:r w:rsidRPr="00652E1F">
        <w:t>2</w:t>
      </w:r>
      <w:r>
        <w:t xml:space="preserve"> </w:t>
      </w:r>
      <w:r w:rsidRPr="00652E1F">
        <w:t>je</w:t>
      </w:r>
      <w:r>
        <w:t xml:space="preserve"> </w:t>
      </w:r>
      <w:r w:rsidRPr="00652E1F">
        <w:t>třeba</w:t>
      </w:r>
      <w:r>
        <w:t xml:space="preserve"> </w:t>
      </w:r>
      <w:r w:rsidRPr="00652E1F">
        <w:t>souhlasu</w:t>
      </w:r>
      <w:r>
        <w:t xml:space="preserve"> </w:t>
      </w:r>
      <w:r w:rsidRPr="00652E1F">
        <w:t>nadpoloviční</w:t>
      </w:r>
      <w:r>
        <w:t xml:space="preserve"> </w:t>
      </w:r>
      <w:r w:rsidRPr="00652E1F">
        <w:t>většiny</w:t>
      </w:r>
      <w:r>
        <w:t xml:space="preserve"> </w:t>
      </w:r>
      <w:r w:rsidRPr="00652E1F">
        <w:t>přítomných</w:t>
      </w:r>
      <w:r>
        <w:t xml:space="preserve"> </w:t>
      </w:r>
      <w:r w:rsidRPr="00652E1F">
        <w:t>členů.</w:t>
      </w:r>
      <w:r>
        <w:t xml:space="preserve"> </w:t>
      </w:r>
      <w:r w:rsidRPr="00652E1F">
        <w:t>Správní</w:t>
      </w:r>
      <w:r>
        <w:t xml:space="preserve"> </w:t>
      </w:r>
      <w:r w:rsidRPr="00652E1F">
        <w:t>rada</w:t>
      </w:r>
      <w:r>
        <w:t xml:space="preserve"> </w:t>
      </w:r>
      <w:r w:rsidRPr="00652E1F">
        <w:t>je</w:t>
      </w:r>
      <w:r>
        <w:t xml:space="preserve"> </w:t>
      </w:r>
      <w:r w:rsidRPr="00652E1F">
        <w:t>usnášeníschopná,</w:t>
      </w:r>
      <w:r>
        <w:t xml:space="preserve"> </w:t>
      </w:r>
      <w:r w:rsidRPr="00652E1F">
        <w:t>jestliže</w:t>
      </w:r>
      <w:r>
        <w:t xml:space="preserve"> </w:t>
      </w:r>
      <w:r w:rsidRPr="00652E1F">
        <w:t>je</w:t>
      </w:r>
      <w:r>
        <w:t xml:space="preserve"> </w:t>
      </w:r>
      <w:r w:rsidRPr="00652E1F">
        <w:t>přítomna</w:t>
      </w:r>
      <w:r>
        <w:t xml:space="preserve"> </w:t>
      </w:r>
      <w:r w:rsidRPr="00652E1F">
        <w:t>nadpoloviční</w:t>
      </w:r>
      <w:r>
        <w:t xml:space="preserve"> </w:t>
      </w:r>
      <w:r w:rsidRPr="00652E1F">
        <w:t>většina</w:t>
      </w:r>
      <w:r>
        <w:t xml:space="preserve"> </w:t>
      </w:r>
      <w:r w:rsidRPr="00652E1F">
        <w:t>všech</w:t>
      </w:r>
      <w:r>
        <w:t xml:space="preserve"> </w:t>
      </w:r>
      <w:r w:rsidRPr="00652E1F">
        <w:t>jejích</w:t>
      </w:r>
      <w:r>
        <w:t xml:space="preserve"> </w:t>
      </w:r>
      <w:r w:rsidRPr="00652E1F">
        <w:t>členů.</w:t>
      </w:r>
    </w:p>
    <w:p w14:paraId="17B84081" w14:textId="77777777" w:rsidR="00362C3F" w:rsidRDefault="00362C3F" w:rsidP="00471221">
      <w:pPr>
        <w:pStyle w:val="Textparagrafu"/>
        <w:spacing w:before="120" w:after="120"/>
      </w:pPr>
      <w:r w:rsidRPr="00652E1F">
        <w:t>(4)</w:t>
      </w:r>
      <w:r>
        <w:t xml:space="preserve"> </w:t>
      </w:r>
      <w:r w:rsidRPr="00652E1F">
        <w:t>Dozorčí</w:t>
      </w:r>
      <w:r>
        <w:t xml:space="preserve"> </w:t>
      </w:r>
      <w:r w:rsidRPr="00652E1F">
        <w:t>rada</w:t>
      </w:r>
      <w:r>
        <w:t xml:space="preserve"> </w:t>
      </w:r>
      <w:r w:rsidRPr="00652E1F">
        <w:t>zaměstnanecké</w:t>
      </w:r>
      <w:r>
        <w:t xml:space="preserve"> </w:t>
      </w:r>
      <w:r w:rsidRPr="00652E1F">
        <w:t>pojišťovny</w:t>
      </w:r>
      <w:r>
        <w:t xml:space="preserve"> </w:t>
      </w:r>
      <w:r w:rsidRPr="00652E1F">
        <w:t>dohlíží</w:t>
      </w:r>
      <w:r>
        <w:t xml:space="preserve"> </w:t>
      </w:r>
      <w:r w:rsidRPr="00652E1F">
        <w:t>na</w:t>
      </w:r>
      <w:r>
        <w:t xml:space="preserve"> </w:t>
      </w:r>
      <w:r w:rsidRPr="00652E1F">
        <w:t>dodržování</w:t>
      </w:r>
      <w:r>
        <w:t xml:space="preserve"> </w:t>
      </w:r>
      <w:r w:rsidRPr="00652E1F">
        <w:t>právních</w:t>
      </w:r>
      <w:r>
        <w:t xml:space="preserve"> </w:t>
      </w:r>
      <w:r w:rsidRPr="00652E1F">
        <w:t>předpisů</w:t>
      </w:r>
      <w:r>
        <w:t xml:space="preserve"> </w:t>
      </w:r>
      <w:r w:rsidRPr="00652E1F">
        <w:t>a</w:t>
      </w:r>
      <w:r>
        <w:t xml:space="preserve"> </w:t>
      </w:r>
      <w:r w:rsidRPr="00652E1F">
        <w:t>vnitřních</w:t>
      </w:r>
      <w:r>
        <w:t xml:space="preserve"> </w:t>
      </w:r>
      <w:r w:rsidRPr="00652E1F">
        <w:t>předpisů</w:t>
      </w:r>
      <w:r>
        <w:t xml:space="preserve"> </w:t>
      </w:r>
      <w:r w:rsidRPr="00652E1F">
        <w:t>a</w:t>
      </w:r>
      <w:r>
        <w:t xml:space="preserve"> </w:t>
      </w:r>
      <w:r w:rsidRPr="00652E1F">
        <w:t>celkové</w:t>
      </w:r>
      <w:r>
        <w:t xml:space="preserve"> </w:t>
      </w:r>
      <w:r w:rsidRPr="00652E1F">
        <w:t>hospodaření</w:t>
      </w:r>
      <w:r>
        <w:t xml:space="preserve"> </w:t>
      </w:r>
      <w:r w:rsidRPr="00652E1F">
        <w:t>zaměstnanecké</w:t>
      </w:r>
      <w:r>
        <w:t xml:space="preserve"> </w:t>
      </w:r>
      <w:r w:rsidRPr="00652E1F">
        <w:t>pojišťovny.</w:t>
      </w:r>
      <w:r>
        <w:t xml:space="preserve"> </w:t>
      </w:r>
      <w:r w:rsidRPr="00652E1F">
        <w:t>Za</w:t>
      </w:r>
      <w:r>
        <w:t xml:space="preserve"> </w:t>
      </w:r>
      <w:r w:rsidRPr="00652E1F">
        <w:t>tím</w:t>
      </w:r>
      <w:r>
        <w:t xml:space="preserve"> </w:t>
      </w:r>
      <w:r w:rsidRPr="00652E1F">
        <w:t>účelem</w:t>
      </w:r>
      <w:r>
        <w:t xml:space="preserve"> </w:t>
      </w:r>
      <w:r w:rsidRPr="00652E1F">
        <w:t>jsou</w:t>
      </w:r>
      <w:r>
        <w:t xml:space="preserve"> </w:t>
      </w:r>
      <w:r w:rsidRPr="00652E1F">
        <w:t>její</w:t>
      </w:r>
      <w:r>
        <w:t xml:space="preserve"> </w:t>
      </w:r>
      <w:r w:rsidRPr="00652E1F">
        <w:t>členové</w:t>
      </w:r>
      <w:r>
        <w:t xml:space="preserve"> </w:t>
      </w:r>
      <w:r w:rsidRPr="00652E1F">
        <w:t>oprávněni</w:t>
      </w:r>
      <w:r>
        <w:t xml:space="preserve"> </w:t>
      </w:r>
      <w:r w:rsidRPr="00652E1F">
        <w:t>nahlížet</w:t>
      </w:r>
      <w:r>
        <w:t xml:space="preserve"> </w:t>
      </w:r>
      <w:r w:rsidRPr="00652E1F">
        <w:t>do</w:t>
      </w:r>
      <w:r>
        <w:t xml:space="preserve"> </w:t>
      </w:r>
      <w:r w:rsidRPr="00652E1F">
        <w:t>veškerých</w:t>
      </w:r>
      <w:r>
        <w:t xml:space="preserve"> </w:t>
      </w:r>
      <w:r w:rsidRPr="00652E1F">
        <w:t>dokumentů</w:t>
      </w:r>
      <w:r>
        <w:t xml:space="preserve"> </w:t>
      </w:r>
      <w:r w:rsidRPr="00652E1F">
        <w:t>zaměstnanecké</w:t>
      </w:r>
      <w:r>
        <w:t xml:space="preserve"> </w:t>
      </w:r>
      <w:r w:rsidRPr="00652E1F">
        <w:t>pojišťovny</w:t>
      </w:r>
      <w:r>
        <w:t xml:space="preserve"> </w:t>
      </w:r>
      <w:r w:rsidRPr="00652E1F">
        <w:t>a</w:t>
      </w:r>
      <w:r>
        <w:t xml:space="preserve"> </w:t>
      </w:r>
      <w:r w:rsidRPr="00652E1F">
        <w:t>zjišťovat</w:t>
      </w:r>
      <w:r>
        <w:t xml:space="preserve"> </w:t>
      </w:r>
      <w:r w:rsidRPr="00652E1F">
        <w:t>stav</w:t>
      </w:r>
      <w:r>
        <w:t xml:space="preserve"> </w:t>
      </w:r>
      <w:r w:rsidRPr="00652E1F">
        <w:t>a</w:t>
      </w:r>
      <w:r>
        <w:t xml:space="preserve"> </w:t>
      </w:r>
      <w:r w:rsidRPr="00652E1F">
        <w:t>způsob</w:t>
      </w:r>
      <w:r>
        <w:t xml:space="preserve"> </w:t>
      </w:r>
      <w:r w:rsidRPr="00652E1F">
        <w:t>hospodaření</w:t>
      </w:r>
      <w:r>
        <w:t xml:space="preserve"> </w:t>
      </w:r>
      <w:r w:rsidRPr="00652E1F">
        <w:t>zaměstnanecké</w:t>
      </w:r>
      <w:r>
        <w:t xml:space="preserve"> </w:t>
      </w:r>
      <w:r w:rsidRPr="00652E1F">
        <w:t>pojišťovny.</w:t>
      </w:r>
    </w:p>
    <w:p w14:paraId="128F5CB9" w14:textId="10BB12A8" w:rsidR="00362C3F" w:rsidRDefault="00362C3F" w:rsidP="00471221">
      <w:pPr>
        <w:pStyle w:val="Textparagrafu"/>
        <w:spacing w:before="120" w:after="120"/>
      </w:pPr>
      <w:r w:rsidRPr="00652E1F">
        <w:t>(5)</w:t>
      </w:r>
      <w:r>
        <w:t xml:space="preserve"> </w:t>
      </w:r>
      <w:r w:rsidRPr="00652E1F">
        <w:t>Dozorčí</w:t>
      </w:r>
      <w:r>
        <w:t xml:space="preserve"> </w:t>
      </w:r>
      <w:r w:rsidRPr="00652E1F">
        <w:t>rada</w:t>
      </w:r>
      <w:r>
        <w:t xml:space="preserve"> </w:t>
      </w:r>
      <w:r w:rsidRPr="00652E1F">
        <w:t>zaměstnanecké</w:t>
      </w:r>
      <w:r>
        <w:t xml:space="preserve"> </w:t>
      </w:r>
      <w:r w:rsidRPr="00652E1F">
        <w:t>pojišťovny</w:t>
      </w:r>
      <w:r>
        <w:t xml:space="preserve"> </w:t>
      </w:r>
      <w:r w:rsidRPr="00652E1F">
        <w:t>projednává</w:t>
      </w:r>
      <w:r>
        <w:t xml:space="preserve"> </w:t>
      </w:r>
      <w:r w:rsidRPr="00652E1F">
        <w:t>návrh</w:t>
      </w:r>
      <w:r>
        <w:t xml:space="preserve"> </w:t>
      </w:r>
      <w:r w:rsidRPr="00652E1F">
        <w:t>zdravotně</w:t>
      </w:r>
      <w:r>
        <w:t xml:space="preserve"> </w:t>
      </w:r>
      <w:r w:rsidRPr="00652E1F">
        <w:t>pojistného</w:t>
      </w:r>
      <w:r>
        <w:t xml:space="preserve"> </w:t>
      </w:r>
      <w:r w:rsidRPr="00652E1F">
        <w:t>plánu,</w:t>
      </w:r>
      <w:r>
        <w:t xml:space="preserve"> </w:t>
      </w:r>
      <w:r w:rsidRPr="00652E1F">
        <w:t>účetní</w:t>
      </w:r>
      <w:r>
        <w:t xml:space="preserve"> </w:t>
      </w:r>
      <w:r w:rsidRPr="00652E1F">
        <w:t>závěrku</w:t>
      </w:r>
      <w:r>
        <w:t xml:space="preserve"> </w:t>
      </w:r>
      <w:r w:rsidRPr="00652E1F">
        <w:t>a</w:t>
      </w:r>
      <w:r>
        <w:t xml:space="preserve"> </w:t>
      </w:r>
      <w:r w:rsidRPr="00F15727">
        <w:rPr>
          <w:strike/>
        </w:rPr>
        <w:t>návrh výroční zprávy</w:t>
      </w:r>
      <w:r>
        <w:t xml:space="preserve"> </w:t>
      </w:r>
      <w:r w:rsidR="00F15727">
        <w:rPr>
          <w:b/>
        </w:rPr>
        <w:t xml:space="preserve">zprávu vedení </w:t>
      </w:r>
      <w:r w:rsidRPr="00652E1F">
        <w:t>a</w:t>
      </w:r>
      <w:r>
        <w:t xml:space="preserve"> </w:t>
      </w:r>
      <w:r w:rsidRPr="00652E1F">
        <w:t>své</w:t>
      </w:r>
      <w:r>
        <w:t xml:space="preserve"> </w:t>
      </w:r>
      <w:r w:rsidRPr="00652E1F">
        <w:t>stanovisko</w:t>
      </w:r>
      <w:r>
        <w:t xml:space="preserve"> </w:t>
      </w:r>
      <w:r w:rsidRPr="00652E1F">
        <w:t>předkládá</w:t>
      </w:r>
      <w:r>
        <w:t xml:space="preserve"> </w:t>
      </w:r>
      <w:r w:rsidRPr="00652E1F">
        <w:t>Správní</w:t>
      </w:r>
      <w:r>
        <w:t xml:space="preserve"> </w:t>
      </w:r>
      <w:r w:rsidRPr="00652E1F">
        <w:t>radě.</w:t>
      </w:r>
    </w:p>
    <w:p w14:paraId="20E4E01A" w14:textId="77777777" w:rsidR="00362C3F" w:rsidRDefault="00362C3F" w:rsidP="00471221">
      <w:pPr>
        <w:pStyle w:val="Textparagrafu"/>
        <w:numPr>
          <w:ilvl w:val="0"/>
          <w:numId w:val="28"/>
        </w:numPr>
        <w:tabs>
          <w:tab w:val="left" w:pos="434"/>
        </w:tabs>
        <w:spacing w:before="120" w:after="120"/>
        <w:ind w:firstLine="426"/>
      </w:pPr>
      <w:r w:rsidRPr="00652E1F">
        <w:t>(6)</w:t>
      </w:r>
      <w:r>
        <w:t xml:space="preserve"> </w:t>
      </w:r>
      <w:r w:rsidRPr="00652E1F">
        <w:t>Dozorčí</w:t>
      </w:r>
      <w:r>
        <w:t xml:space="preserve"> </w:t>
      </w:r>
      <w:r w:rsidRPr="00652E1F">
        <w:t>rada</w:t>
      </w:r>
      <w:r>
        <w:t xml:space="preserve"> </w:t>
      </w:r>
      <w:r w:rsidRPr="00652E1F">
        <w:t>rozhoduje</w:t>
      </w:r>
      <w:r>
        <w:t xml:space="preserve"> </w:t>
      </w:r>
      <w:r w:rsidRPr="00652E1F">
        <w:t>hlasováním.</w:t>
      </w:r>
      <w:r>
        <w:t xml:space="preserve"> </w:t>
      </w:r>
      <w:r w:rsidRPr="00652E1F">
        <w:t>K</w:t>
      </w:r>
      <w:r>
        <w:t xml:space="preserve"> </w:t>
      </w:r>
      <w:r w:rsidRPr="00652E1F">
        <w:t>přijetí</w:t>
      </w:r>
      <w:r>
        <w:t xml:space="preserve"> </w:t>
      </w:r>
      <w:r w:rsidRPr="00652E1F">
        <w:t>rozhodnutí</w:t>
      </w:r>
      <w:r>
        <w:t xml:space="preserve"> </w:t>
      </w:r>
      <w:r w:rsidRPr="00652E1F">
        <w:t>Dozorčí</w:t>
      </w:r>
      <w:r>
        <w:t xml:space="preserve"> </w:t>
      </w:r>
      <w:r w:rsidRPr="00652E1F">
        <w:t>rady</w:t>
      </w:r>
      <w:r>
        <w:t xml:space="preserve"> </w:t>
      </w:r>
      <w:r w:rsidRPr="00652E1F">
        <w:t>je</w:t>
      </w:r>
      <w:r>
        <w:t xml:space="preserve"> </w:t>
      </w:r>
      <w:r w:rsidRPr="00652E1F">
        <w:t>třeba</w:t>
      </w:r>
      <w:r>
        <w:t xml:space="preserve"> </w:t>
      </w:r>
      <w:r w:rsidRPr="00652E1F">
        <w:t>souhlasu</w:t>
      </w:r>
      <w:r>
        <w:t xml:space="preserve"> </w:t>
      </w:r>
      <w:r w:rsidRPr="00652E1F">
        <w:t>nadpoloviční</w:t>
      </w:r>
      <w:r>
        <w:t xml:space="preserve"> </w:t>
      </w:r>
      <w:r w:rsidRPr="00652E1F">
        <w:t>většiny</w:t>
      </w:r>
      <w:r>
        <w:t xml:space="preserve"> </w:t>
      </w:r>
      <w:r w:rsidRPr="00652E1F">
        <w:t>všech</w:t>
      </w:r>
      <w:r>
        <w:t xml:space="preserve"> </w:t>
      </w:r>
      <w:r w:rsidRPr="00652E1F">
        <w:t>členů</w:t>
      </w:r>
      <w:r>
        <w:t xml:space="preserve"> </w:t>
      </w:r>
      <w:r w:rsidRPr="00652E1F">
        <w:t>Dozorčí</w:t>
      </w:r>
      <w:r>
        <w:t xml:space="preserve"> </w:t>
      </w:r>
      <w:r w:rsidRPr="00652E1F">
        <w:t>rady.</w:t>
      </w:r>
    </w:p>
    <w:p w14:paraId="07761672" w14:textId="77777777" w:rsidR="00362C3F" w:rsidRDefault="00362C3F" w:rsidP="00471221">
      <w:pPr>
        <w:pStyle w:val="Textparagrafu"/>
        <w:numPr>
          <w:ilvl w:val="0"/>
          <w:numId w:val="28"/>
        </w:numPr>
        <w:tabs>
          <w:tab w:val="left" w:pos="434"/>
        </w:tabs>
        <w:spacing w:before="120" w:after="120"/>
        <w:ind w:firstLine="426"/>
      </w:pPr>
      <w:r w:rsidRPr="00652E1F">
        <w:t>(7)</w:t>
      </w:r>
      <w:r>
        <w:t xml:space="preserve"> </w:t>
      </w:r>
      <w:r w:rsidRPr="00652E1F">
        <w:t>Člen</w:t>
      </w:r>
      <w:r>
        <w:t xml:space="preserve"> </w:t>
      </w:r>
      <w:r w:rsidRPr="00652E1F">
        <w:t>Správní</w:t>
      </w:r>
      <w:r>
        <w:t xml:space="preserve"> </w:t>
      </w:r>
      <w:r w:rsidRPr="00652E1F">
        <w:t>rady</w:t>
      </w:r>
      <w:r>
        <w:t xml:space="preserve"> </w:t>
      </w:r>
      <w:r w:rsidRPr="00652E1F">
        <w:t>nemůže</w:t>
      </w:r>
      <w:r>
        <w:t xml:space="preserve"> </w:t>
      </w:r>
      <w:r w:rsidRPr="00652E1F">
        <w:t>být</w:t>
      </w:r>
      <w:r>
        <w:t xml:space="preserve"> </w:t>
      </w:r>
      <w:r w:rsidRPr="00652E1F">
        <w:t>současně</w:t>
      </w:r>
      <w:r>
        <w:t xml:space="preserve"> </w:t>
      </w:r>
      <w:r w:rsidRPr="00652E1F">
        <w:t>členem</w:t>
      </w:r>
      <w:r>
        <w:t xml:space="preserve"> </w:t>
      </w:r>
      <w:r w:rsidRPr="00652E1F">
        <w:t>Dozorčí</w:t>
      </w:r>
      <w:r>
        <w:t xml:space="preserve"> </w:t>
      </w:r>
      <w:r w:rsidRPr="00652E1F">
        <w:t>rady</w:t>
      </w:r>
      <w:r>
        <w:t xml:space="preserve"> </w:t>
      </w:r>
      <w:r w:rsidRPr="00652E1F">
        <w:t>a</w:t>
      </w:r>
      <w:r>
        <w:t xml:space="preserve"> </w:t>
      </w:r>
      <w:r w:rsidRPr="00652E1F">
        <w:t>naopak.</w:t>
      </w:r>
      <w:r>
        <w:t xml:space="preserve"> </w:t>
      </w:r>
      <w:r w:rsidRPr="00652E1F">
        <w:t>Člen</w:t>
      </w:r>
      <w:r>
        <w:t xml:space="preserve"> </w:t>
      </w:r>
      <w:r w:rsidRPr="00652E1F">
        <w:t>Správní</w:t>
      </w:r>
      <w:r>
        <w:t xml:space="preserve"> </w:t>
      </w:r>
      <w:r w:rsidRPr="00652E1F">
        <w:t>rady</w:t>
      </w:r>
      <w:r>
        <w:t xml:space="preserve"> </w:t>
      </w:r>
      <w:r w:rsidRPr="00652E1F">
        <w:t>nemůže</w:t>
      </w:r>
      <w:r>
        <w:t xml:space="preserve"> </w:t>
      </w:r>
      <w:r w:rsidRPr="00652E1F">
        <w:t>být</w:t>
      </w:r>
      <w:r>
        <w:t xml:space="preserve"> </w:t>
      </w:r>
      <w:r w:rsidRPr="00652E1F">
        <w:t>členem</w:t>
      </w:r>
      <w:r>
        <w:t xml:space="preserve"> </w:t>
      </w:r>
      <w:r w:rsidRPr="00652E1F">
        <w:t>Dozorčí</w:t>
      </w:r>
      <w:r>
        <w:t xml:space="preserve"> </w:t>
      </w:r>
      <w:r w:rsidRPr="00652E1F">
        <w:t>rady</w:t>
      </w:r>
      <w:r>
        <w:t xml:space="preserve"> </w:t>
      </w:r>
      <w:r w:rsidRPr="00652E1F">
        <w:t>ani</w:t>
      </w:r>
      <w:r>
        <w:t xml:space="preserve"> </w:t>
      </w:r>
      <w:r w:rsidRPr="00652E1F">
        <w:t>ve</w:t>
      </w:r>
      <w:r>
        <w:t xml:space="preserve"> </w:t>
      </w:r>
      <w:r w:rsidRPr="00652E1F">
        <w:t>čtyřletém</w:t>
      </w:r>
      <w:r>
        <w:t xml:space="preserve"> </w:t>
      </w:r>
      <w:r w:rsidRPr="00652E1F">
        <w:t>funkčním</w:t>
      </w:r>
      <w:r>
        <w:t xml:space="preserve"> </w:t>
      </w:r>
      <w:r w:rsidRPr="00652E1F">
        <w:t>období</w:t>
      </w:r>
      <w:r>
        <w:t xml:space="preserve"> </w:t>
      </w:r>
      <w:r w:rsidRPr="00652E1F">
        <w:t>následujícím</w:t>
      </w:r>
      <w:r>
        <w:t xml:space="preserve"> </w:t>
      </w:r>
      <w:r w:rsidRPr="00652E1F">
        <w:t>po</w:t>
      </w:r>
      <w:r>
        <w:t xml:space="preserve"> </w:t>
      </w:r>
      <w:r w:rsidRPr="00652E1F">
        <w:t>skončení</w:t>
      </w:r>
      <w:r>
        <w:t xml:space="preserve"> </w:t>
      </w:r>
      <w:r w:rsidRPr="00652E1F">
        <w:t>jeho</w:t>
      </w:r>
      <w:r>
        <w:t xml:space="preserve"> </w:t>
      </w:r>
      <w:r w:rsidRPr="00652E1F">
        <w:t>členství</w:t>
      </w:r>
      <w:r>
        <w:t xml:space="preserve"> </w:t>
      </w:r>
      <w:r w:rsidRPr="00652E1F">
        <w:t>ve</w:t>
      </w:r>
      <w:r>
        <w:t xml:space="preserve"> </w:t>
      </w:r>
      <w:r w:rsidRPr="00652E1F">
        <w:t>Správní</w:t>
      </w:r>
      <w:r>
        <w:t xml:space="preserve"> </w:t>
      </w:r>
      <w:r w:rsidRPr="00652E1F">
        <w:t>radě;</w:t>
      </w:r>
      <w:r>
        <w:t xml:space="preserve"> </w:t>
      </w:r>
      <w:r w:rsidRPr="00652E1F">
        <w:t>to</w:t>
      </w:r>
      <w:r>
        <w:t xml:space="preserve"> </w:t>
      </w:r>
      <w:r w:rsidRPr="00652E1F">
        <w:t>platí</w:t>
      </w:r>
      <w:r>
        <w:t xml:space="preserve"> </w:t>
      </w:r>
      <w:r w:rsidRPr="00652E1F">
        <w:t>i</w:t>
      </w:r>
      <w:r>
        <w:t xml:space="preserve"> </w:t>
      </w:r>
      <w:r w:rsidRPr="00652E1F">
        <w:t>pro</w:t>
      </w:r>
      <w:r>
        <w:t xml:space="preserve"> </w:t>
      </w:r>
      <w:r w:rsidRPr="00652E1F">
        <w:t>člena</w:t>
      </w:r>
      <w:r>
        <w:t xml:space="preserve"> </w:t>
      </w:r>
      <w:r w:rsidRPr="00652E1F">
        <w:t>Dozorčí</w:t>
      </w:r>
      <w:r>
        <w:t xml:space="preserve"> </w:t>
      </w:r>
      <w:r w:rsidRPr="00652E1F">
        <w:t>rady</w:t>
      </w:r>
      <w:r>
        <w:t xml:space="preserve"> </w:t>
      </w:r>
      <w:r w:rsidRPr="00652E1F">
        <w:t>v</w:t>
      </w:r>
      <w:r>
        <w:t xml:space="preserve"> </w:t>
      </w:r>
      <w:r w:rsidRPr="00652E1F">
        <w:t>případě</w:t>
      </w:r>
      <w:r>
        <w:t xml:space="preserve"> </w:t>
      </w:r>
      <w:r w:rsidRPr="00652E1F">
        <w:t>jeho</w:t>
      </w:r>
      <w:r>
        <w:t xml:space="preserve"> </w:t>
      </w:r>
      <w:r w:rsidRPr="00652E1F">
        <w:t>členství</w:t>
      </w:r>
      <w:r>
        <w:t xml:space="preserve"> </w:t>
      </w:r>
      <w:r w:rsidRPr="00652E1F">
        <w:t>ve</w:t>
      </w:r>
      <w:r>
        <w:t xml:space="preserve"> </w:t>
      </w:r>
      <w:r w:rsidRPr="00652E1F">
        <w:t>Správní</w:t>
      </w:r>
      <w:r>
        <w:t xml:space="preserve"> </w:t>
      </w:r>
      <w:r w:rsidRPr="00652E1F">
        <w:t>radě.</w:t>
      </w:r>
      <w:r>
        <w:t xml:space="preserve"> </w:t>
      </w:r>
      <w:r w:rsidRPr="00652E1F">
        <w:t>Členem</w:t>
      </w:r>
      <w:r>
        <w:t xml:space="preserve"> </w:t>
      </w:r>
      <w:r w:rsidRPr="00652E1F">
        <w:t>Správní</w:t>
      </w:r>
      <w:r>
        <w:t xml:space="preserve"> </w:t>
      </w:r>
      <w:r w:rsidRPr="00652E1F">
        <w:t>rady</w:t>
      </w:r>
      <w:r>
        <w:t xml:space="preserve"> </w:t>
      </w:r>
      <w:r w:rsidRPr="00652E1F">
        <w:t>nebo</w:t>
      </w:r>
      <w:r>
        <w:t xml:space="preserve"> </w:t>
      </w:r>
      <w:r w:rsidRPr="00652E1F">
        <w:t>Dozorčí</w:t>
      </w:r>
      <w:r>
        <w:t xml:space="preserve"> </w:t>
      </w:r>
      <w:r w:rsidRPr="00652E1F">
        <w:t>rady</w:t>
      </w:r>
      <w:r>
        <w:t xml:space="preserve"> </w:t>
      </w:r>
      <w:r w:rsidRPr="00652E1F">
        <w:t>se</w:t>
      </w:r>
      <w:r>
        <w:t xml:space="preserve"> </w:t>
      </w:r>
      <w:r w:rsidRPr="00652E1F">
        <w:t>dále</w:t>
      </w:r>
      <w:r>
        <w:t xml:space="preserve"> </w:t>
      </w:r>
      <w:r w:rsidRPr="00652E1F">
        <w:t>nemůže</w:t>
      </w:r>
      <w:r>
        <w:t xml:space="preserve"> </w:t>
      </w:r>
      <w:r w:rsidRPr="00652E1F">
        <w:t>stát</w:t>
      </w:r>
      <w:r>
        <w:t xml:space="preserve"> </w:t>
      </w:r>
      <w:r w:rsidRPr="00652E1F">
        <w:t>osoba,</w:t>
      </w:r>
      <w:r>
        <w:t xml:space="preserve"> </w:t>
      </w:r>
      <w:r w:rsidRPr="00652E1F">
        <w:t>která</w:t>
      </w:r>
      <w:r>
        <w:t xml:space="preserve"> </w:t>
      </w:r>
      <w:r w:rsidRPr="00652E1F">
        <w:t>v</w:t>
      </w:r>
      <w:r>
        <w:t xml:space="preserve"> </w:t>
      </w:r>
      <w:r w:rsidRPr="00652E1F">
        <w:t>posledních</w:t>
      </w:r>
      <w:r>
        <w:t xml:space="preserve"> </w:t>
      </w:r>
      <w:r w:rsidRPr="00652E1F">
        <w:t>5</w:t>
      </w:r>
      <w:r>
        <w:t xml:space="preserve"> </w:t>
      </w:r>
      <w:r w:rsidRPr="00652E1F">
        <w:t>letech</w:t>
      </w:r>
      <w:r>
        <w:t xml:space="preserve"> </w:t>
      </w:r>
      <w:r w:rsidRPr="00652E1F">
        <w:t>vykonávala</w:t>
      </w:r>
      <w:r>
        <w:t xml:space="preserve"> </w:t>
      </w:r>
      <w:r w:rsidRPr="00652E1F">
        <w:t>funkci</w:t>
      </w:r>
      <w:r>
        <w:t xml:space="preserve"> </w:t>
      </w:r>
      <w:r w:rsidRPr="00652E1F">
        <w:t>ředitele,</w:t>
      </w:r>
      <w:r>
        <w:t xml:space="preserve"> </w:t>
      </w:r>
      <w:r w:rsidRPr="00652E1F">
        <w:t>člena</w:t>
      </w:r>
      <w:r>
        <w:t xml:space="preserve"> </w:t>
      </w:r>
      <w:r w:rsidRPr="00652E1F">
        <w:t>Správní</w:t>
      </w:r>
      <w:r>
        <w:t xml:space="preserve"> </w:t>
      </w:r>
      <w:r w:rsidRPr="00652E1F">
        <w:t>rady</w:t>
      </w:r>
      <w:r>
        <w:t xml:space="preserve"> </w:t>
      </w:r>
      <w:r w:rsidRPr="00652E1F">
        <w:t>nebo</w:t>
      </w:r>
      <w:r>
        <w:t xml:space="preserve"> </w:t>
      </w:r>
      <w:r w:rsidRPr="00652E1F">
        <w:t>člena</w:t>
      </w:r>
      <w:r>
        <w:t xml:space="preserve"> </w:t>
      </w:r>
      <w:r w:rsidRPr="00652E1F">
        <w:t>Dozorčí</w:t>
      </w:r>
      <w:r>
        <w:t xml:space="preserve"> </w:t>
      </w:r>
      <w:r w:rsidRPr="00652E1F">
        <w:t>rady</w:t>
      </w:r>
      <w:r>
        <w:t xml:space="preserve"> </w:t>
      </w:r>
      <w:r w:rsidRPr="00652E1F">
        <w:t>jiné</w:t>
      </w:r>
      <w:r>
        <w:t xml:space="preserve"> </w:t>
      </w:r>
      <w:r w:rsidRPr="00652E1F">
        <w:t>zaměstnanecké</w:t>
      </w:r>
      <w:r>
        <w:t xml:space="preserve"> </w:t>
      </w:r>
      <w:r w:rsidRPr="00652E1F">
        <w:t>pojišťovny,</w:t>
      </w:r>
      <w:r>
        <w:t xml:space="preserve"> </w:t>
      </w:r>
      <w:r w:rsidRPr="00652E1F">
        <w:t>která</w:t>
      </w:r>
      <w:r>
        <w:t xml:space="preserve"> </w:t>
      </w:r>
      <w:r w:rsidRPr="00652E1F">
        <w:t>byla</w:t>
      </w:r>
      <w:r>
        <w:t xml:space="preserve"> </w:t>
      </w:r>
      <w:r w:rsidRPr="00652E1F">
        <w:t>zrušena</w:t>
      </w:r>
      <w:r>
        <w:t xml:space="preserve"> </w:t>
      </w:r>
      <w:r w:rsidRPr="00652E1F">
        <w:t>s</w:t>
      </w:r>
      <w:r>
        <w:t xml:space="preserve"> </w:t>
      </w:r>
      <w:r w:rsidRPr="00652E1F">
        <w:t>likvidací</w:t>
      </w:r>
      <w:r>
        <w:t xml:space="preserve"> </w:t>
      </w:r>
      <w:r w:rsidRPr="00652E1F">
        <w:t>podle</w:t>
      </w:r>
      <w:r>
        <w:t xml:space="preserve"> </w:t>
      </w:r>
      <w:r w:rsidRPr="00652E1F">
        <w:t>§</w:t>
      </w:r>
      <w:r>
        <w:t xml:space="preserve"> </w:t>
      </w:r>
      <w:r w:rsidRPr="00652E1F">
        <w:t>6</w:t>
      </w:r>
      <w:r>
        <w:t xml:space="preserve"> </w:t>
      </w:r>
      <w:r w:rsidRPr="00652E1F">
        <w:t>odst.</w:t>
      </w:r>
      <w:r>
        <w:t xml:space="preserve"> </w:t>
      </w:r>
      <w:r w:rsidRPr="00652E1F">
        <w:t>7.</w:t>
      </w:r>
    </w:p>
    <w:p w14:paraId="5847D473" w14:textId="77777777" w:rsidR="00362C3F" w:rsidRDefault="00362C3F" w:rsidP="00471221">
      <w:pPr>
        <w:pStyle w:val="Textparagrafu"/>
        <w:numPr>
          <w:ilvl w:val="0"/>
          <w:numId w:val="28"/>
        </w:numPr>
        <w:tabs>
          <w:tab w:val="left" w:pos="434"/>
        </w:tabs>
        <w:spacing w:before="120" w:after="120"/>
        <w:ind w:firstLine="426"/>
      </w:pPr>
      <w:r w:rsidRPr="00652E1F">
        <w:t>(8)</w:t>
      </w:r>
      <w:r>
        <w:t xml:space="preserve"> </w:t>
      </w:r>
      <w:r w:rsidRPr="00652E1F">
        <w:t>Funkční</w:t>
      </w:r>
      <w:r>
        <w:t xml:space="preserve"> </w:t>
      </w:r>
      <w:r w:rsidRPr="00652E1F">
        <w:t>období</w:t>
      </w:r>
      <w:r>
        <w:t xml:space="preserve"> </w:t>
      </w:r>
      <w:r w:rsidRPr="00652E1F">
        <w:t>člena</w:t>
      </w:r>
      <w:r>
        <w:t xml:space="preserve"> </w:t>
      </w:r>
      <w:r w:rsidRPr="00652E1F">
        <w:t>orgánu</w:t>
      </w:r>
      <w:r>
        <w:t xml:space="preserve"> </w:t>
      </w:r>
      <w:r w:rsidRPr="00652E1F">
        <w:t>zaměstnanecké</w:t>
      </w:r>
      <w:r>
        <w:t xml:space="preserve"> </w:t>
      </w:r>
      <w:r w:rsidRPr="00652E1F">
        <w:t>pojišťovny</w:t>
      </w:r>
      <w:r>
        <w:t xml:space="preserve"> </w:t>
      </w:r>
      <w:r w:rsidRPr="00652E1F">
        <w:t>činí</w:t>
      </w:r>
      <w:r>
        <w:t xml:space="preserve"> </w:t>
      </w:r>
      <w:r w:rsidRPr="00652E1F">
        <w:t>4</w:t>
      </w:r>
      <w:r>
        <w:t xml:space="preserve"> </w:t>
      </w:r>
      <w:r w:rsidRPr="00652E1F">
        <w:t>roky,</w:t>
      </w:r>
      <w:r>
        <w:t xml:space="preserve"> </w:t>
      </w:r>
      <w:r w:rsidRPr="00652E1F">
        <w:t>není-li</w:t>
      </w:r>
      <w:r>
        <w:t xml:space="preserve"> </w:t>
      </w:r>
      <w:r w:rsidRPr="00652E1F">
        <w:t>dále</w:t>
      </w:r>
      <w:r>
        <w:t xml:space="preserve"> </w:t>
      </w:r>
      <w:r w:rsidRPr="00652E1F">
        <w:t>stanoveno</w:t>
      </w:r>
      <w:r>
        <w:t xml:space="preserve"> </w:t>
      </w:r>
      <w:r w:rsidRPr="00652E1F">
        <w:t>jinak,</w:t>
      </w:r>
      <w:r>
        <w:t xml:space="preserve"> </w:t>
      </w:r>
      <w:r w:rsidRPr="00652E1F">
        <w:t>a</w:t>
      </w:r>
      <w:r>
        <w:t xml:space="preserve"> </w:t>
      </w:r>
      <w:r w:rsidRPr="00652E1F">
        <w:t>začíná</w:t>
      </w:r>
      <w:r>
        <w:t xml:space="preserve"> </w:t>
      </w:r>
      <w:r w:rsidRPr="00652E1F">
        <w:t>prvním</w:t>
      </w:r>
      <w:r>
        <w:t xml:space="preserve"> </w:t>
      </w:r>
      <w:r w:rsidRPr="00652E1F">
        <w:t>dnem</w:t>
      </w:r>
      <w:r>
        <w:t xml:space="preserve"> </w:t>
      </w:r>
      <w:r w:rsidRPr="00652E1F">
        <w:t>po</w:t>
      </w:r>
      <w:r>
        <w:t xml:space="preserve"> </w:t>
      </w:r>
      <w:r w:rsidRPr="00652E1F">
        <w:t>skončení</w:t>
      </w:r>
      <w:r>
        <w:t xml:space="preserve"> </w:t>
      </w:r>
      <w:r w:rsidRPr="00652E1F">
        <w:t>funkčního</w:t>
      </w:r>
      <w:r>
        <w:t xml:space="preserve"> </w:t>
      </w:r>
      <w:r w:rsidRPr="00652E1F">
        <w:t>období</w:t>
      </w:r>
      <w:r>
        <w:t xml:space="preserve"> </w:t>
      </w:r>
      <w:r w:rsidRPr="00652E1F">
        <w:t>předchozího</w:t>
      </w:r>
      <w:r>
        <w:t xml:space="preserve"> </w:t>
      </w:r>
      <w:r w:rsidRPr="00652E1F">
        <w:t>člena</w:t>
      </w:r>
      <w:r>
        <w:t xml:space="preserve"> </w:t>
      </w:r>
      <w:r w:rsidRPr="00652E1F">
        <w:t>orgánu,</w:t>
      </w:r>
      <w:r>
        <w:t xml:space="preserve"> </w:t>
      </w:r>
      <w:r w:rsidRPr="00652E1F">
        <w:t>na</w:t>
      </w:r>
      <w:r>
        <w:t xml:space="preserve"> </w:t>
      </w:r>
      <w:r w:rsidRPr="00652E1F">
        <w:t>jehož</w:t>
      </w:r>
      <w:r>
        <w:t xml:space="preserve"> </w:t>
      </w:r>
      <w:r w:rsidRPr="00652E1F">
        <w:t>místo</w:t>
      </w:r>
      <w:r>
        <w:t xml:space="preserve"> </w:t>
      </w:r>
      <w:r w:rsidRPr="00652E1F">
        <w:t>nastupuje</w:t>
      </w:r>
      <w:r>
        <w:t xml:space="preserve"> </w:t>
      </w:r>
      <w:r w:rsidRPr="00652E1F">
        <w:t>postupem</w:t>
      </w:r>
      <w:r>
        <w:t xml:space="preserve"> </w:t>
      </w:r>
      <w:r w:rsidRPr="00652E1F">
        <w:t>podle</w:t>
      </w:r>
      <w:r>
        <w:t xml:space="preserve"> </w:t>
      </w:r>
      <w:r w:rsidRPr="00652E1F">
        <w:t>§</w:t>
      </w:r>
      <w:r>
        <w:t xml:space="preserve"> </w:t>
      </w:r>
      <w:r w:rsidRPr="00652E1F">
        <w:t>10a</w:t>
      </w:r>
      <w:r>
        <w:t xml:space="preserve"> </w:t>
      </w:r>
      <w:r w:rsidRPr="00652E1F">
        <w:t>odst.</w:t>
      </w:r>
      <w:r>
        <w:t xml:space="preserve"> </w:t>
      </w:r>
      <w:r w:rsidRPr="00652E1F">
        <w:t>4</w:t>
      </w:r>
      <w:r>
        <w:t xml:space="preserve"> </w:t>
      </w:r>
      <w:r w:rsidRPr="00652E1F">
        <w:t>písm.</w:t>
      </w:r>
      <w:r>
        <w:t xml:space="preserve"> </w:t>
      </w:r>
      <w:r w:rsidRPr="00652E1F">
        <w:t>a),</w:t>
      </w:r>
      <w:r>
        <w:t xml:space="preserve"> </w:t>
      </w:r>
      <w:r w:rsidRPr="00652E1F">
        <w:t>nebo</w:t>
      </w:r>
      <w:r>
        <w:t xml:space="preserve"> </w:t>
      </w:r>
      <w:r w:rsidRPr="00652E1F">
        <w:t>prvním</w:t>
      </w:r>
      <w:r>
        <w:t xml:space="preserve"> </w:t>
      </w:r>
      <w:r w:rsidRPr="00652E1F">
        <w:t>dnem</w:t>
      </w:r>
      <w:r>
        <w:t xml:space="preserve"> </w:t>
      </w:r>
      <w:r w:rsidRPr="00652E1F">
        <w:t>po</w:t>
      </w:r>
      <w:r>
        <w:t xml:space="preserve"> </w:t>
      </w:r>
      <w:r w:rsidRPr="00652E1F">
        <w:t>dni,</w:t>
      </w:r>
      <w:r>
        <w:t xml:space="preserve"> </w:t>
      </w:r>
      <w:r w:rsidRPr="00652E1F">
        <w:t>kdy</w:t>
      </w:r>
      <w:r>
        <w:t xml:space="preserve"> </w:t>
      </w:r>
      <w:r w:rsidRPr="00652E1F">
        <w:t>byl</w:t>
      </w:r>
      <w:r>
        <w:t xml:space="preserve"> </w:t>
      </w:r>
      <w:r w:rsidRPr="00652E1F">
        <w:t>zvolen</w:t>
      </w:r>
      <w:r>
        <w:t xml:space="preserve"> </w:t>
      </w:r>
      <w:r w:rsidRPr="00652E1F">
        <w:t>členem</w:t>
      </w:r>
      <w:r>
        <w:t xml:space="preserve"> </w:t>
      </w:r>
      <w:r w:rsidRPr="00652E1F">
        <w:t>orgánu</w:t>
      </w:r>
      <w:r>
        <w:t xml:space="preserve"> </w:t>
      </w:r>
      <w:r w:rsidRPr="00652E1F">
        <w:t>v</w:t>
      </w:r>
      <w:r>
        <w:t xml:space="preserve"> </w:t>
      </w:r>
      <w:r w:rsidRPr="00652E1F">
        <w:t>případě</w:t>
      </w:r>
      <w:r>
        <w:t xml:space="preserve"> </w:t>
      </w:r>
      <w:r w:rsidRPr="00652E1F">
        <w:t>podle</w:t>
      </w:r>
      <w:r>
        <w:t xml:space="preserve"> </w:t>
      </w:r>
      <w:r w:rsidRPr="00652E1F">
        <w:t>§</w:t>
      </w:r>
      <w:r>
        <w:t xml:space="preserve"> </w:t>
      </w:r>
      <w:r w:rsidRPr="00652E1F">
        <w:t>10a</w:t>
      </w:r>
      <w:r>
        <w:t xml:space="preserve"> </w:t>
      </w:r>
      <w:r w:rsidRPr="00652E1F">
        <w:t>odst.</w:t>
      </w:r>
      <w:r>
        <w:t xml:space="preserve"> </w:t>
      </w:r>
      <w:r w:rsidRPr="00652E1F">
        <w:t>4</w:t>
      </w:r>
      <w:r>
        <w:t xml:space="preserve"> </w:t>
      </w:r>
      <w:r w:rsidRPr="00652E1F">
        <w:t>písm.</w:t>
      </w:r>
      <w:r>
        <w:t xml:space="preserve"> </w:t>
      </w:r>
      <w:r w:rsidRPr="00652E1F">
        <w:t>b).</w:t>
      </w:r>
      <w:r>
        <w:t xml:space="preserve"> </w:t>
      </w:r>
      <w:r w:rsidRPr="00652E1F">
        <w:t>Funkční</w:t>
      </w:r>
      <w:r>
        <w:t xml:space="preserve"> </w:t>
      </w:r>
      <w:r w:rsidRPr="00652E1F">
        <w:t>období</w:t>
      </w:r>
      <w:r>
        <w:t xml:space="preserve"> </w:t>
      </w:r>
      <w:r w:rsidRPr="00652E1F">
        <w:t>náhradníka</w:t>
      </w:r>
      <w:r>
        <w:t xml:space="preserve"> </w:t>
      </w:r>
      <w:r w:rsidRPr="00652E1F">
        <w:t>trvá</w:t>
      </w:r>
      <w:r>
        <w:t xml:space="preserve"> </w:t>
      </w:r>
      <w:r w:rsidRPr="00652E1F">
        <w:t>nejdéle</w:t>
      </w:r>
      <w:r>
        <w:t xml:space="preserve"> </w:t>
      </w:r>
      <w:r w:rsidRPr="00652E1F">
        <w:t>do</w:t>
      </w:r>
      <w:r>
        <w:t xml:space="preserve"> </w:t>
      </w:r>
      <w:r w:rsidRPr="00652E1F">
        <w:t>skončení</w:t>
      </w:r>
      <w:r>
        <w:t xml:space="preserve"> </w:t>
      </w:r>
      <w:r w:rsidRPr="00652E1F">
        <w:t>funkčního</w:t>
      </w:r>
      <w:r>
        <w:t xml:space="preserve"> </w:t>
      </w:r>
      <w:r w:rsidRPr="00652E1F">
        <w:t>období</w:t>
      </w:r>
      <w:r>
        <w:t xml:space="preserve"> </w:t>
      </w:r>
      <w:r w:rsidRPr="00652E1F">
        <w:t>voleného</w:t>
      </w:r>
      <w:r>
        <w:t xml:space="preserve"> </w:t>
      </w:r>
      <w:r w:rsidRPr="00652E1F">
        <w:t>člena</w:t>
      </w:r>
      <w:r>
        <w:t xml:space="preserve"> </w:t>
      </w:r>
      <w:r w:rsidRPr="00652E1F">
        <w:t>orgánu,</w:t>
      </w:r>
      <w:r>
        <w:t xml:space="preserve"> </w:t>
      </w:r>
      <w:r w:rsidRPr="00652E1F">
        <w:t>na</w:t>
      </w:r>
      <w:r>
        <w:t xml:space="preserve"> </w:t>
      </w:r>
      <w:r w:rsidRPr="00652E1F">
        <w:t>jehož</w:t>
      </w:r>
      <w:r>
        <w:t xml:space="preserve"> </w:t>
      </w:r>
      <w:r w:rsidRPr="00652E1F">
        <w:t>místo</w:t>
      </w:r>
      <w:r>
        <w:t xml:space="preserve"> </w:t>
      </w:r>
      <w:r w:rsidRPr="00652E1F">
        <w:t>nastoupil.</w:t>
      </w:r>
      <w:r>
        <w:t xml:space="preserve"> </w:t>
      </w:r>
      <w:r w:rsidRPr="00652E1F">
        <w:t>Člena</w:t>
      </w:r>
      <w:r>
        <w:t xml:space="preserve"> </w:t>
      </w:r>
      <w:r w:rsidRPr="00652E1F">
        <w:t>orgánu</w:t>
      </w:r>
      <w:r>
        <w:t xml:space="preserve"> </w:t>
      </w:r>
      <w:r w:rsidRPr="00652E1F">
        <w:t>jmenovaného</w:t>
      </w:r>
      <w:r>
        <w:t xml:space="preserve"> </w:t>
      </w:r>
      <w:r w:rsidRPr="00652E1F">
        <w:t>vládou</w:t>
      </w:r>
      <w:r>
        <w:t xml:space="preserve"> </w:t>
      </w:r>
      <w:r w:rsidRPr="00652E1F">
        <w:t>lze</w:t>
      </w:r>
      <w:r>
        <w:t xml:space="preserve"> </w:t>
      </w:r>
      <w:r w:rsidRPr="00652E1F">
        <w:t>z</w:t>
      </w:r>
      <w:r>
        <w:t xml:space="preserve"> </w:t>
      </w:r>
      <w:r w:rsidRPr="00652E1F">
        <w:t>funkce</w:t>
      </w:r>
      <w:r>
        <w:t xml:space="preserve"> </w:t>
      </w:r>
      <w:r w:rsidRPr="00652E1F">
        <w:t>odvolat</w:t>
      </w:r>
      <w:r>
        <w:t xml:space="preserve"> </w:t>
      </w:r>
      <w:r w:rsidRPr="00652E1F">
        <w:t>i</w:t>
      </w:r>
      <w:r>
        <w:t xml:space="preserve"> </w:t>
      </w:r>
      <w:r w:rsidRPr="00652E1F">
        <w:t>před</w:t>
      </w:r>
      <w:r>
        <w:t xml:space="preserve"> </w:t>
      </w:r>
      <w:r w:rsidRPr="00652E1F">
        <w:t>uplynutím</w:t>
      </w:r>
      <w:r>
        <w:t xml:space="preserve"> </w:t>
      </w:r>
      <w:r w:rsidRPr="00652E1F">
        <w:t>funkčního</w:t>
      </w:r>
      <w:r>
        <w:t xml:space="preserve"> </w:t>
      </w:r>
      <w:r w:rsidRPr="00652E1F">
        <w:t>období.</w:t>
      </w:r>
    </w:p>
    <w:p w14:paraId="56AE3317" w14:textId="77777777" w:rsidR="00362C3F" w:rsidRDefault="00362C3F" w:rsidP="00471221">
      <w:pPr>
        <w:pStyle w:val="Textparagrafu"/>
        <w:numPr>
          <w:ilvl w:val="0"/>
          <w:numId w:val="28"/>
        </w:numPr>
        <w:tabs>
          <w:tab w:val="left" w:pos="434"/>
        </w:tabs>
        <w:spacing w:before="120" w:after="120"/>
        <w:ind w:firstLine="426"/>
      </w:pPr>
      <w:r w:rsidRPr="00652E1F">
        <w:t>(9)</w:t>
      </w:r>
      <w:r>
        <w:t xml:space="preserve"> </w:t>
      </w:r>
      <w:r w:rsidRPr="00652E1F">
        <w:t>Člen</w:t>
      </w:r>
      <w:r>
        <w:t xml:space="preserve"> </w:t>
      </w:r>
      <w:r w:rsidRPr="00652E1F">
        <w:t>Správní</w:t>
      </w:r>
      <w:r>
        <w:t xml:space="preserve"> </w:t>
      </w:r>
      <w:r w:rsidRPr="00652E1F">
        <w:t>rady</w:t>
      </w:r>
      <w:r>
        <w:t xml:space="preserve"> </w:t>
      </w:r>
      <w:r w:rsidRPr="00652E1F">
        <w:t>a</w:t>
      </w:r>
      <w:r>
        <w:t xml:space="preserve"> </w:t>
      </w:r>
      <w:r w:rsidRPr="00652E1F">
        <w:t>Dozorčí</w:t>
      </w:r>
      <w:r>
        <w:t xml:space="preserve"> </w:t>
      </w:r>
      <w:r w:rsidRPr="00652E1F">
        <w:t>rady</w:t>
      </w:r>
      <w:r>
        <w:t xml:space="preserve"> </w:t>
      </w:r>
      <w:r w:rsidRPr="00652E1F">
        <w:t>nevykonává</w:t>
      </w:r>
      <w:r>
        <w:t xml:space="preserve"> </w:t>
      </w:r>
      <w:r w:rsidRPr="00652E1F">
        <w:t>svou</w:t>
      </w:r>
      <w:r>
        <w:t xml:space="preserve"> </w:t>
      </w:r>
      <w:r w:rsidRPr="00652E1F">
        <w:t>funkci</w:t>
      </w:r>
      <w:r>
        <w:t xml:space="preserve"> </w:t>
      </w:r>
      <w:r w:rsidRPr="00652E1F">
        <w:t>v</w:t>
      </w:r>
      <w:r>
        <w:t xml:space="preserve"> </w:t>
      </w:r>
      <w:r w:rsidRPr="00652E1F">
        <w:t>pracovněprávním</w:t>
      </w:r>
      <w:r>
        <w:t xml:space="preserve"> </w:t>
      </w:r>
      <w:r w:rsidRPr="00652E1F">
        <w:t>vztahu</w:t>
      </w:r>
      <w:r>
        <w:t xml:space="preserve"> </w:t>
      </w:r>
      <w:r w:rsidRPr="00652E1F">
        <w:t>k</w:t>
      </w:r>
      <w:r>
        <w:t xml:space="preserve"> </w:t>
      </w:r>
      <w:r w:rsidRPr="00652E1F">
        <w:t>zaměstnanecké</w:t>
      </w:r>
      <w:r>
        <w:t xml:space="preserve"> </w:t>
      </w:r>
      <w:r w:rsidRPr="00652E1F">
        <w:t>pojišťovně;</w:t>
      </w:r>
      <w:r>
        <w:t xml:space="preserve"> </w:t>
      </w:r>
      <w:r w:rsidRPr="00652E1F">
        <w:t>má</w:t>
      </w:r>
      <w:r>
        <w:t xml:space="preserve"> </w:t>
      </w:r>
      <w:r w:rsidRPr="00652E1F">
        <w:t>nárok</w:t>
      </w:r>
      <w:r>
        <w:t xml:space="preserve"> </w:t>
      </w:r>
      <w:r w:rsidRPr="00652E1F">
        <w:t>na</w:t>
      </w:r>
      <w:r>
        <w:t xml:space="preserve"> </w:t>
      </w:r>
      <w:r w:rsidRPr="00652E1F">
        <w:t>náhradu</w:t>
      </w:r>
      <w:r>
        <w:t xml:space="preserve"> </w:t>
      </w:r>
      <w:r w:rsidRPr="00652E1F">
        <w:t>výdajů</w:t>
      </w:r>
      <w:r>
        <w:t xml:space="preserve"> </w:t>
      </w:r>
      <w:r w:rsidRPr="00652E1F">
        <w:t>spojených</w:t>
      </w:r>
      <w:r>
        <w:t xml:space="preserve"> </w:t>
      </w:r>
      <w:r w:rsidRPr="00652E1F">
        <w:t>s</w:t>
      </w:r>
      <w:r>
        <w:t xml:space="preserve"> </w:t>
      </w:r>
      <w:r w:rsidRPr="00652E1F">
        <w:t>výkonem</w:t>
      </w:r>
      <w:r>
        <w:t xml:space="preserve"> </w:t>
      </w:r>
      <w:r w:rsidRPr="00652E1F">
        <w:t>funkce</w:t>
      </w:r>
      <w:r>
        <w:t xml:space="preserve"> </w:t>
      </w:r>
      <w:r w:rsidRPr="00652E1F">
        <w:t>a</w:t>
      </w:r>
      <w:r>
        <w:t xml:space="preserve"> </w:t>
      </w:r>
      <w:r w:rsidRPr="00652E1F">
        <w:t>za</w:t>
      </w:r>
      <w:r>
        <w:t xml:space="preserve"> </w:t>
      </w:r>
      <w:r w:rsidRPr="00652E1F">
        <w:t>výkon</w:t>
      </w:r>
      <w:r>
        <w:t xml:space="preserve"> </w:t>
      </w:r>
      <w:r w:rsidRPr="00652E1F">
        <w:t>funkce</w:t>
      </w:r>
      <w:r>
        <w:t xml:space="preserve"> </w:t>
      </w:r>
      <w:r w:rsidRPr="00652E1F">
        <w:t>mu</w:t>
      </w:r>
      <w:r>
        <w:t xml:space="preserve"> </w:t>
      </w:r>
      <w:r w:rsidRPr="00652E1F">
        <w:t>lze</w:t>
      </w:r>
      <w:r>
        <w:t xml:space="preserve"> </w:t>
      </w:r>
      <w:r w:rsidRPr="00652E1F">
        <w:t>poskytnout</w:t>
      </w:r>
      <w:r>
        <w:t xml:space="preserve"> </w:t>
      </w:r>
      <w:r w:rsidRPr="00652E1F">
        <w:t>odměnu</w:t>
      </w:r>
      <w:r>
        <w:t xml:space="preserve"> </w:t>
      </w:r>
      <w:r w:rsidRPr="00652E1F">
        <w:t>ve</w:t>
      </w:r>
      <w:r>
        <w:t xml:space="preserve"> </w:t>
      </w:r>
      <w:r w:rsidRPr="00652E1F">
        <w:t>výši</w:t>
      </w:r>
      <w:r>
        <w:t xml:space="preserve"> </w:t>
      </w:r>
      <w:r w:rsidRPr="00652E1F">
        <w:t>stanovené</w:t>
      </w:r>
      <w:r>
        <w:t xml:space="preserve"> </w:t>
      </w:r>
      <w:r w:rsidRPr="00652E1F">
        <w:t>ve</w:t>
      </w:r>
      <w:r>
        <w:t xml:space="preserve"> </w:t>
      </w:r>
      <w:r w:rsidRPr="00652E1F">
        <w:t>zdravotně</w:t>
      </w:r>
      <w:r>
        <w:t xml:space="preserve"> </w:t>
      </w:r>
      <w:r w:rsidRPr="00652E1F">
        <w:t>pojistném</w:t>
      </w:r>
      <w:r>
        <w:t xml:space="preserve"> </w:t>
      </w:r>
      <w:r w:rsidRPr="00652E1F">
        <w:t>plánu.</w:t>
      </w:r>
    </w:p>
    <w:p w14:paraId="73EAE819" w14:textId="77777777" w:rsidR="00362C3F" w:rsidRDefault="00362C3F" w:rsidP="00471221">
      <w:pPr>
        <w:pStyle w:val="Textparagrafu"/>
        <w:numPr>
          <w:ilvl w:val="0"/>
          <w:numId w:val="28"/>
        </w:numPr>
        <w:tabs>
          <w:tab w:val="left" w:pos="434"/>
        </w:tabs>
        <w:spacing w:before="120" w:after="120"/>
        <w:ind w:firstLine="426"/>
      </w:pPr>
      <w:r w:rsidRPr="00652E1F">
        <w:t>(10)</w:t>
      </w:r>
      <w:r>
        <w:t xml:space="preserve"> </w:t>
      </w:r>
      <w:r w:rsidRPr="00652E1F">
        <w:t>Pravidla</w:t>
      </w:r>
      <w:r>
        <w:t xml:space="preserve"> </w:t>
      </w:r>
      <w:r w:rsidRPr="00652E1F">
        <w:t>jednání</w:t>
      </w:r>
      <w:r>
        <w:t xml:space="preserve"> </w:t>
      </w:r>
      <w:r w:rsidRPr="00652E1F">
        <w:t>a</w:t>
      </w:r>
      <w:r>
        <w:t xml:space="preserve"> </w:t>
      </w:r>
      <w:r w:rsidRPr="00652E1F">
        <w:t>způsob</w:t>
      </w:r>
      <w:r>
        <w:t xml:space="preserve"> </w:t>
      </w:r>
      <w:r w:rsidRPr="00652E1F">
        <w:t>rozhodování</w:t>
      </w:r>
      <w:r>
        <w:t xml:space="preserve"> </w:t>
      </w:r>
      <w:r w:rsidRPr="00652E1F">
        <w:t>orgánů</w:t>
      </w:r>
      <w:r>
        <w:t xml:space="preserve"> </w:t>
      </w:r>
      <w:r w:rsidRPr="00652E1F">
        <w:t>zaměstnanecké</w:t>
      </w:r>
      <w:r>
        <w:t xml:space="preserve"> </w:t>
      </w:r>
      <w:r w:rsidRPr="00652E1F">
        <w:t>pojišťovny</w:t>
      </w:r>
      <w:r>
        <w:t xml:space="preserve"> </w:t>
      </w:r>
      <w:r w:rsidRPr="00652E1F">
        <w:t>upraví</w:t>
      </w:r>
      <w:r>
        <w:t xml:space="preserve"> </w:t>
      </w:r>
      <w:r w:rsidRPr="00652E1F">
        <w:t>statut</w:t>
      </w:r>
      <w:r>
        <w:t xml:space="preserve"> </w:t>
      </w:r>
      <w:r w:rsidRPr="00652E1F">
        <w:t>zaměstnanecké</w:t>
      </w:r>
      <w:r>
        <w:t xml:space="preserve"> </w:t>
      </w:r>
      <w:r w:rsidRPr="00652E1F">
        <w:t>pojišťovny.</w:t>
      </w:r>
    </w:p>
    <w:p w14:paraId="15D6F2C2" w14:textId="77777777" w:rsidR="00362C3F" w:rsidRDefault="00362C3F" w:rsidP="00471221">
      <w:pPr>
        <w:pStyle w:val="Textparagrafu"/>
        <w:numPr>
          <w:ilvl w:val="0"/>
          <w:numId w:val="28"/>
        </w:numPr>
        <w:tabs>
          <w:tab w:val="left" w:pos="434"/>
        </w:tabs>
        <w:spacing w:before="120" w:after="120"/>
        <w:ind w:firstLine="425"/>
      </w:pPr>
      <w:proofErr w:type="gramStart"/>
      <w:r w:rsidRPr="00652E1F">
        <w:t>(11</w:t>
      </w:r>
      <w:proofErr w:type="gramEnd"/>
      <w:r w:rsidRPr="00652E1F">
        <w:t>)</w:t>
      </w:r>
      <w:r>
        <w:t xml:space="preserve"> </w:t>
      </w:r>
      <w:r w:rsidRPr="00652E1F">
        <w:t>Členem</w:t>
      </w:r>
      <w:r>
        <w:t xml:space="preserve"> </w:t>
      </w:r>
      <w:r w:rsidRPr="00652E1F">
        <w:t>orgánu</w:t>
      </w:r>
      <w:r>
        <w:t xml:space="preserve"> </w:t>
      </w:r>
      <w:r w:rsidRPr="00652E1F">
        <w:t>zaměstnanecké</w:t>
      </w:r>
      <w:r>
        <w:t xml:space="preserve"> </w:t>
      </w:r>
      <w:r w:rsidRPr="00652E1F">
        <w:t>pojišťovny</w:t>
      </w:r>
      <w:r>
        <w:t xml:space="preserve"> </w:t>
      </w:r>
      <w:r w:rsidRPr="00652E1F">
        <w:t>nesmí</w:t>
      </w:r>
      <w:r>
        <w:t xml:space="preserve"> </w:t>
      </w:r>
      <w:r w:rsidRPr="00652E1F">
        <w:t>být</w:t>
      </w:r>
      <w:r>
        <w:t xml:space="preserve"> </w:t>
      </w:r>
      <w:r w:rsidRPr="00652E1F">
        <w:t>osoba,</w:t>
      </w:r>
      <w:r>
        <w:t xml:space="preserve"> </w:t>
      </w:r>
      <w:proofErr w:type="gramStart"/>
      <w:r w:rsidRPr="00652E1F">
        <w:t>která</w:t>
      </w:r>
      <w:proofErr w:type="gramEnd"/>
    </w:p>
    <w:p w14:paraId="722BB0B3" w14:textId="7B8529BB" w:rsidR="00362C3F" w:rsidRDefault="00362C3F" w:rsidP="00B811D2">
      <w:pPr>
        <w:pStyle w:val="Textparagrafu"/>
        <w:numPr>
          <w:ilvl w:val="0"/>
          <w:numId w:val="28"/>
        </w:numPr>
        <w:tabs>
          <w:tab w:val="left" w:pos="434"/>
        </w:tabs>
        <w:spacing w:before="0"/>
        <w:ind w:left="426" w:hanging="426"/>
      </w:pPr>
      <w:r w:rsidRPr="00652E1F">
        <w:t>a)</w:t>
      </w:r>
      <w:r>
        <w:tab/>
      </w:r>
      <w:r w:rsidRPr="00652E1F">
        <w:t>je</w:t>
      </w:r>
      <w:r>
        <w:t xml:space="preserve"> </w:t>
      </w:r>
      <w:r w:rsidRPr="00652E1F">
        <w:t>vedoucím</w:t>
      </w:r>
      <w:r>
        <w:t xml:space="preserve"> </w:t>
      </w:r>
      <w:r w:rsidRPr="00652E1F">
        <w:t>zaměstnancem</w:t>
      </w:r>
      <w:r>
        <w:t xml:space="preserve"> </w:t>
      </w:r>
      <w:r w:rsidRPr="00652E1F">
        <w:t>nebo</w:t>
      </w:r>
      <w:r>
        <w:t xml:space="preserve"> </w:t>
      </w:r>
      <w:r w:rsidRPr="00652E1F">
        <w:t>členem</w:t>
      </w:r>
      <w:r>
        <w:t xml:space="preserve"> </w:t>
      </w:r>
      <w:r w:rsidRPr="00652E1F">
        <w:t>orgánu</w:t>
      </w:r>
      <w:r>
        <w:t xml:space="preserve"> </w:t>
      </w:r>
      <w:r w:rsidRPr="00652E1F">
        <w:t>jiné</w:t>
      </w:r>
      <w:r>
        <w:t xml:space="preserve"> </w:t>
      </w:r>
      <w:r w:rsidRPr="00652E1F">
        <w:t>zdravotní</w:t>
      </w:r>
      <w:r>
        <w:t xml:space="preserve"> </w:t>
      </w:r>
      <w:r w:rsidRPr="00652E1F">
        <w:t>pojišťovny;</w:t>
      </w:r>
      <w:r>
        <w:t xml:space="preserve"> </w:t>
      </w:r>
      <w:r w:rsidRPr="00652E1F">
        <w:t>členství</w:t>
      </w:r>
      <w:r>
        <w:t xml:space="preserve"> </w:t>
      </w:r>
      <w:r w:rsidRPr="00652E1F">
        <w:t>v</w:t>
      </w:r>
      <w:r>
        <w:t xml:space="preserve"> </w:t>
      </w:r>
      <w:r w:rsidRPr="00652E1F">
        <w:t>orgánu</w:t>
      </w:r>
      <w:r>
        <w:t xml:space="preserve"> </w:t>
      </w:r>
      <w:r w:rsidRPr="00652E1F">
        <w:t>jiné</w:t>
      </w:r>
      <w:r>
        <w:t xml:space="preserve"> </w:t>
      </w:r>
      <w:r w:rsidRPr="00652E1F">
        <w:t>zdravotní</w:t>
      </w:r>
      <w:r>
        <w:t xml:space="preserve"> </w:t>
      </w:r>
      <w:r w:rsidRPr="00652E1F">
        <w:t>pojišťovny</w:t>
      </w:r>
      <w:r>
        <w:t xml:space="preserve"> </w:t>
      </w:r>
      <w:r w:rsidRPr="00652E1F">
        <w:t>není</w:t>
      </w:r>
      <w:r>
        <w:t xml:space="preserve"> </w:t>
      </w:r>
      <w:r w:rsidRPr="00652E1F">
        <w:t>překážkou,</w:t>
      </w:r>
      <w:r>
        <w:t xml:space="preserve"> </w:t>
      </w:r>
      <w:r w:rsidRPr="00652E1F">
        <w:t>je-li</w:t>
      </w:r>
      <w:r>
        <w:t xml:space="preserve"> </w:t>
      </w:r>
      <w:r w:rsidRPr="00652E1F">
        <w:t>člen</w:t>
      </w:r>
      <w:r>
        <w:t xml:space="preserve"> </w:t>
      </w:r>
      <w:r w:rsidRPr="00652E1F">
        <w:t>jmenován</w:t>
      </w:r>
      <w:r>
        <w:t xml:space="preserve"> </w:t>
      </w:r>
      <w:r w:rsidRPr="00652E1F">
        <w:t>vládou,</w:t>
      </w:r>
    </w:p>
    <w:p w14:paraId="1126B406" w14:textId="17ADF283" w:rsidR="00362C3F" w:rsidRDefault="00362C3F" w:rsidP="00B811D2">
      <w:pPr>
        <w:pStyle w:val="Textparagrafu"/>
        <w:numPr>
          <w:ilvl w:val="0"/>
          <w:numId w:val="28"/>
        </w:numPr>
        <w:tabs>
          <w:tab w:val="left" w:pos="434"/>
        </w:tabs>
        <w:spacing w:before="0"/>
        <w:ind w:left="426" w:hanging="426"/>
      </w:pPr>
      <w:r w:rsidRPr="00652E1F">
        <w:t>b)</w:t>
      </w:r>
      <w:r>
        <w:tab/>
      </w:r>
      <w:r w:rsidRPr="00652E1F">
        <w:t>je</w:t>
      </w:r>
      <w:r>
        <w:t xml:space="preserve"> </w:t>
      </w:r>
      <w:r w:rsidRPr="00652E1F">
        <w:t>distributorem</w:t>
      </w:r>
      <w:r>
        <w:t xml:space="preserve"> </w:t>
      </w:r>
      <w:r w:rsidRPr="00652E1F">
        <w:t>léčivých</w:t>
      </w:r>
      <w:r>
        <w:t xml:space="preserve"> </w:t>
      </w:r>
      <w:r w:rsidRPr="00652E1F">
        <w:t>přípravků</w:t>
      </w:r>
      <w:r>
        <w:t xml:space="preserve"> </w:t>
      </w:r>
      <w:r w:rsidRPr="00652E1F">
        <w:t>nebo</w:t>
      </w:r>
      <w:r>
        <w:t xml:space="preserve"> </w:t>
      </w:r>
      <w:r w:rsidRPr="00652E1F">
        <w:t>zdravotnických</w:t>
      </w:r>
      <w:r>
        <w:t xml:space="preserve"> </w:t>
      </w:r>
      <w:r w:rsidRPr="00652E1F">
        <w:t>prostředků,</w:t>
      </w:r>
      <w:r>
        <w:t xml:space="preserve"> </w:t>
      </w:r>
      <w:r w:rsidRPr="00652E1F">
        <w:t>nebo</w:t>
      </w:r>
      <w:r>
        <w:t xml:space="preserve"> </w:t>
      </w:r>
      <w:r w:rsidRPr="00652E1F">
        <w:t>výrobcem</w:t>
      </w:r>
      <w:r>
        <w:t xml:space="preserve"> </w:t>
      </w:r>
      <w:r w:rsidRPr="00652E1F">
        <w:t>léčivých</w:t>
      </w:r>
      <w:r>
        <w:t xml:space="preserve"> </w:t>
      </w:r>
      <w:r w:rsidRPr="00652E1F">
        <w:t>přípravků</w:t>
      </w:r>
      <w:r>
        <w:t xml:space="preserve"> </w:t>
      </w:r>
      <w:r w:rsidRPr="00652E1F">
        <w:t>nebo</w:t>
      </w:r>
      <w:r>
        <w:t xml:space="preserve"> </w:t>
      </w:r>
      <w:r w:rsidRPr="00652E1F">
        <w:t>zdravotnických</w:t>
      </w:r>
      <w:r>
        <w:t xml:space="preserve"> </w:t>
      </w:r>
      <w:r w:rsidRPr="00652E1F">
        <w:t>prostředků,</w:t>
      </w:r>
    </w:p>
    <w:p w14:paraId="14D4FA5D" w14:textId="64291298" w:rsidR="00362C3F" w:rsidRDefault="00362C3F" w:rsidP="00B811D2">
      <w:pPr>
        <w:pStyle w:val="Textparagrafu"/>
        <w:numPr>
          <w:ilvl w:val="0"/>
          <w:numId w:val="28"/>
        </w:numPr>
        <w:tabs>
          <w:tab w:val="left" w:pos="434"/>
        </w:tabs>
        <w:spacing w:before="0"/>
        <w:ind w:left="426" w:hanging="426"/>
      </w:pPr>
      <w:r w:rsidRPr="00652E1F">
        <w:t>c)</w:t>
      </w:r>
      <w:r>
        <w:tab/>
      </w:r>
      <w:r w:rsidRPr="00652E1F">
        <w:t>je</w:t>
      </w:r>
      <w:r>
        <w:t xml:space="preserve"> </w:t>
      </w:r>
      <w:r w:rsidRPr="00652E1F">
        <w:t>společníkem,</w:t>
      </w:r>
      <w:r>
        <w:t xml:space="preserve"> </w:t>
      </w:r>
      <w:r w:rsidRPr="00652E1F">
        <w:t>statutárním</w:t>
      </w:r>
      <w:r>
        <w:t xml:space="preserve"> </w:t>
      </w:r>
      <w:r w:rsidRPr="00652E1F">
        <w:t>orgánem</w:t>
      </w:r>
      <w:r>
        <w:t xml:space="preserve"> </w:t>
      </w:r>
      <w:r w:rsidRPr="00652E1F">
        <w:t>nebo</w:t>
      </w:r>
      <w:r>
        <w:t xml:space="preserve"> </w:t>
      </w:r>
      <w:r w:rsidRPr="00652E1F">
        <w:t>členem</w:t>
      </w:r>
      <w:r>
        <w:t xml:space="preserve"> </w:t>
      </w:r>
      <w:r w:rsidRPr="00652E1F">
        <w:t>orgánu</w:t>
      </w:r>
      <w:r>
        <w:t xml:space="preserve"> </w:t>
      </w:r>
      <w:r w:rsidRPr="00652E1F">
        <w:t>právnické</w:t>
      </w:r>
      <w:r>
        <w:t xml:space="preserve"> </w:t>
      </w:r>
      <w:r w:rsidRPr="00652E1F">
        <w:t>osoby,</w:t>
      </w:r>
      <w:r>
        <w:t xml:space="preserve"> </w:t>
      </w:r>
      <w:r w:rsidRPr="00652E1F">
        <w:t>která</w:t>
      </w:r>
      <w:r>
        <w:t xml:space="preserve"> </w:t>
      </w:r>
      <w:r w:rsidRPr="00652E1F">
        <w:t>je</w:t>
      </w:r>
      <w:r>
        <w:t xml:space="preserve"> </w:t>
      </w:r>
      <w:r w:rsidRPr="00652E1F">
        <w:t>distributorem</w:t>
      </w:r>
      <w:r>
        <w:t xml:space="preserve"> </w:t>
      </w:r>
      <w:r w:rsidRPr="00652E1F">
        <w:t>léčivých</w:t>
      </w:r>
      <w:r>
        <w:t xml:space="preserve"> </w:t>
      </w:r>
      <w:r w:rsidRPr="00652E1F">
        <w:t>přípravků</w:t>
      </w:r>
      <w:r>
        <w:t xml:space="preserve"> </w:t>
      </w:r>
      <w:r w:rsidRPr="00652E1F">
        <w:t>nebo</w:t>
      </w:r>
      <w:r>
        <w:t xml:space="preserve"> </w:t>
      </w:r>
      <w:r w:rsidRPr="00652E1F">
        <w:t>zdravotnických</w:t>
      </w:r>
      <w:r>
        <w:t xml:space="preserve"> </w:t>
      </w:r>
      <w:r w:rsidRPr="00652E1F">
        <w:t>prostředků,</w:t>
      </w:r>
      <w:r>
        <w:t xml:space="preserve"> </w:t>
      </w:r>
      <w:r w:rsidRPr="00652E1F">
        <w:t>nebo</w:t>
      </w:r>
      <w:r>
        <w:t xml:space="preserve"> </w:t>
      </w:r>
      <w:r w:rsidRPr="00652E1F">
        <w:t>výrobcem</w:t>
      </w:r>
      <w:r>
        <w:t xml:space="preserve"> </w:t>
      </w:r>
      <w:r w:rsidRPr="00652E1F">
        <w:t>léčivých</w:t>
      </w:r>
      <w:r>
        <w:t xml:space="preserve"> </w:t>
      </w:r>
      <w:r w:rsidRPr="00652E1F">
        <w:t>přípravků</w:t>
      </w:r>
      <w:r>
        <w:t xml:space="preserve"> </w:t>
      </w:r>
      <w:r w:rsidRPr="00652E1F">
        <w:t>nebo</w:t>
      </w:r>
      <w:r>
        <w:t xml:space="preserve"> </w:t>
      </w:r>
      <w:r w:rsidRPr="00652E1F">
        <w:t>zdravotnických</w:t>
      </w:r>
      <w:r>
        <w:t xml:space="preserve"> </w:t>
      </w:r>
      <w:r w:rsidRPr="00652E1F">
        <w:t>prostředků,</w:t>
      </w:r>
    </w:p>
    <w:p w14:paraId="49956D65" w14:textId="69F35F7C" w:rsidR="00362C3F" w:rsidRDefault="00362C3F" w:rsidP="00B811D2">
      <w:pPr>
        <w:pStyle w:val="Textparagrafu"/>
        <w:numPr>
          <w:ilvl w:val="0"/>
          <w:numId w:val="28"/>
        </w:numPr>
        <w:tabs>
          <w:tab w:val="left" w:pos="434"/>
        </w:tabs>
        <w:spacing w:before="0"/>
        <w:ind w:left="426" w:hanging="426"/>
      </w:pPr>
      <w:r w:rsidRPr="00652E1F">
        <w:t>d)</w:t>
      </w:r>
      <w:r>
        <w:tab/>
      </w:r>
      <w:r w:rsidRPr="00652E1F">
        <w:t>je</w:t>
      </w:r>
      <w:r>
        <w:t xml:space="preserve"> </w:t>
      </w:r>
      <w:r w:rsidRPr="00652E1F">
        <w:t>poskytovatelem,</w:t>
      </w:r>
      <w:r>
        <w:t xml:space="preserve"> </w:t>
      </w:r>
      <w:r w:rsidRPr="00652E1F">
        <w:t>s</w:t>
      </w:r>
      <w:r>
        <w:t xml:space="preserve"> </w:t>
      </w:r>
      <w:r w:rsidRPr="00652E1F">
        <w:t>nímž</w:t>
      </w:r>
      <w:r>
        <w:t xml:space="preserve"> </w:t>
      </w:r>
      <w:r w:rsidRPr="00652E1F">
        <w:t>zaměstnanecká</w:t>
      </w:r>
      <w:r>
        <w:t xml:space="preserve"> </w:t>
      </w:r>
      <w:r w:rsidRPr="00652E1F">
        <w:t>pojišťovna</w:t>
      </w:r>
      <w:r>
        <w:t xml:space="preserve"> </w:t>
      </w:r>
      <w:r w:rsidRPr="00652E1F">
        <w:t>uzavřela</w:t>
      </w:r>
      <w:r>
        <w:t xml:space="preserve"> </w:t>
      </w:r>
      <w:r w:rsidRPr="00652E1F">
        <w:t>smlouvu</w:t>
      </w:r>
      <w:r>
        <w:t xml:space="preserve"> </w:t>
      </w:r>
      <w:r w:rsidRPr="00652E1F">
        <w:t>o</w:t>
      </w:r>
      <w:r>
        <w:t xml:space="preserve"> </w:t>
      </w:r>
      <w:r w:rsidRPr="00652E1F">
        <w:t>poskytování</w:t>
      </w:r>
      <w:r>
        <w:t xml:space="preserve"> </w:t>
      </w:r>
      <w:r w:rsidRPr="00652E1F">
        <w:t>a</w:t>
      </w:r>
      <w:r>
        <w:t xml:space="preserve"> </w:t>
      </w:r>
      <w:r w:rsidRPr="00652E1F">
        <w:t>úhradě</w:t>
      </w:r>
      <w:r>
        <w:t xml:space="preserve"> </w:t>
      </w:r>
      <w:r w:rsidRPr="00652E1F">
        <w:t>hrazených</w:t>
      </w:r>
      <w:r>
        <w:t xml:space="preserve"> </w:t>
      </w:r>
      <w:r w:rsidRPr="00652E1F">
        <w:t>služeb,</w:t>
      </w:r>
      <w:r>
        <w:t xml:space="preserve"> </w:t>
      </w:r>
      <w:r w:rsidRPr="00652E1F">
        <w:t>a</w:t>
      </w:r>
      <w:r>
        <w:t xml:space="preserve"> </w:t>
      </w:r>
      <w:r w:rsidRPr="00652E1F">
        <w:t>poskytování</w:t>
      </w:r>
      <w:r>
        <w:t xml:space="preserve"> </w:t>
      </w:r>
      <w:r w:rsidRPr="00652E1F">
        <w:t>hrazených</w:t>
      </w:r>
      <w:r>
        <w:t xml:space="preserve"> </w:t>
      </w:r>
      <w:r w:rsidRPr="00652E1F">
        <w:t>služeb</w:t>
      </w:r>
      <w:r>
        <w:t xml:space="preserve"> </w:t>
      </w:r>
      <w:r w:rsidRPr="00652E1F">
        <w:t>je</w:t>
      </w:r>
      <w:r>
        <w:t xml:space="preserve"> </w:t>
      </w:r>
      <w:r w:rsidRPr="00652E1F">
        <w:t>převažující</w:t>
      </w:r>
      <w:r>
        <w:t xml:space="preserve"> </w:t>
      </w:r>
      <w:r w:rsidRPr="00652E1F">
        <w:t>činností</w:t>
      </w:r>
      <w:r>
        <w:t xml:space="preserve"> </w:t>
      </w:r>
      <w:r w:rsidRPr="00652E1F">
        <w:t>této</w:t>
      </w:r>
      <w:r>
        <w:t xml:space="preserve"> </w:t>
      </w:r>
      <w:r w:rsidRPr="00652E1F">
        <w:t>osoby,</w:t>
      </w:r>
    </w:p>
    <w:p w14:paraId="04928A98" w14:textId="562ADE34" w:rsidR="00362C3F" w:rsidRDefault="00362C3F" w:rsidP="00B811D2">
      <w:pPr>
        <w:pStyle w:val="Textparagrafu"/>
        <w:numPr>
          <w:ilvl w:val="0"/>
          <w:numId w:val="28"/>
        </w:numPr>
        <w:tabs>
          <w:tab w:val="left" w:pos="434"/>
        </w:tabs>
        <w:spacing w:before="0"/>
        <w:ind w:left="426" w:hanging="426"/>
      </w:pPr>
      <w:r w:rsidRPr="00652E1F">
        <w:lastRenderedPageBreak/>
        <w:t>e)</w:t>
      </w:r>
      <w:r>
        <w:tab/>
      </w:r>
      <w:r w:rsidRPr="00652E1F">
        <w:t>je</w:t>
      </w:r>
      <w:r>
        <w:t xml:space="preserve"> </w:t>
      </w:r>
      <w:r w:rsidRPr="00652E1F">
        <w:t>společníkem,</w:t>
      </w:r>
      <w:r>
        <w:t xml:space="preserve"> </w:t>
      </w:r>
      <w:r w:rsidRPr="00652E1F">
        <w:t>statutárním</w:t>
      </w:r>
      <w:r>
        <w:t xml:space="preserve"> </w:t>
      </w:r>
      <w:r w:rsidRPr="00652E1F">
        <w:t>orgánem</w:t>
      </w:r>
      <w:r>
        <w:t xml:space="preserve"> </w:t>
      </w:r>
      <w:r w:rsidRPr="00652E1F">
        <w:t>nebo</w:t>
      </w:r>
      <w:r>
        <w:t xml:space="preserve"> </w:t>
      </w:r>
      <w:r w:rsidRPr="00652E1F">
        <w:t>členem</w:t>
      </w:r>
      <w:r>
        <w:t xml:space="preserve"> </w:t>
      </w:r>
      <w:r w:rsidRPr="00652E1F">
        <w:t>orgánu</w:t>
      </w:r>
      <w:r>
        <w:t xml:space="preserve"> </w:t>
      </w:r>
      <w:r w:rsidRPr="00652E1F">
        <w:t>právnické</w:t>
      </w:r>
      <w:r>
        <w:t xml:space="preserve"> </w:t>
      </w:r>
      <w:r w:rsidRPr="00652E1F">
        <w:t>osoby</w:t>
      </w:r>
      <w:r>
        <w:t xml:space="preserve"> </w:t>
      </w:r>
      <w:r w:rsidRPr="00652E1F">
        <w:t>poskytující</w:t>
      </w:r>
      <w:r>
        <w:t xml:space="preserve"> </w:t>
      </w:r>
      <w:r w:rsidRPr="00652E1F">
        <w:t>zdravotní</w:t>
      </w:r>
      <w:r>
        <w:t xml:space="preserve"> </w:t>
      </w:r>
      <w:r w:rsidRPr="00652E1F">
        <w:t>služby</w:t>
      </w:r>
      <w:r>
        <w:t xml:space="preserve"> </w:t>
      </w:r>
      <w:r w:rsidRPr="00652E1F">
        <w:t>podle</w:t>
      </w:r>
      <w:r>
        <w:t xml:space="preserve"> </w:t>
      </w:r>
      <w:r w:rsidRPr="00652E1F">
        <w:t>zákona</w:t>
      </w:r>
      <w:r>
        <w:t xml:space="preserve"> </w:t>
      </w:r>
      <w:r w:rsidRPr="00652E1F">
        <w:t>o</w:t>
      </w:r>
      <w:r>
        <w:t xml:space="preserve"> </w:t>
      </w:r>
      <w:r w:rsidRPr="00652E1F">
        <w:t>zdravotních</w:t>
      </w:r>
      <w:r>
        <w:t xml:space="preserve"> </w:t>
      </w:r>
      <w:r w:rsidRPr="00652E1F">
        <w:t>službách,</w:t>
      </w:r>
      <w:r>
        <w:t xml:space="preserve"> </w:t>
      </w:r>
      <w:r w:rsidRPr="00652E1F">
        <w:t>s</w:t>
      </w:r>
      <w:r>
        <w:t xml:space="preserve"> </w:t>
      </w:r>
      <w:r w:rsidRPr="00652E1F">
        <w:t>níž</w:t>
      </w:r>
      <w:r>
        <w:t xml:space="preserve"> </w:t>
      </w:r>
      <w:r w:rsidRPr="00652E1F">
        <w:t>zaměstnanecká</w:t>
      </w:r>
      <w:r>
        <w:t xml:space="preserve"> </w:t>
      </w:r>
      <w:r w:rsidRPr="00652E1F">
        <w:t>pojišťovna</w:t>
      </w:r>
      <w:r>
        <w:t xml:space="preserve"> </w:t>
      </w:r>
      <w:r w:rsidRPr="00652E1F">
        <w:t>uzavřela</w:t>
      </w:r>
      <w:r>
        <w:t xml:space="preserve"> </w:t>
      </w:r>
      <w:r w:rsidRPr="00652E1F">
        <w:t>smlouvu</w:t>
      </w:r>
      <w:r>
        <w:t xml:space="preserve"> </w:t>
      </w:r>
      <w:r w:rsidRPr="00652E1F">
        <w:t>o</w:t>
      </w:r>
      <w:r>
        <w:t xml:space="preserve"> </w:t>
      </w:r>
      <w:r w:rsidRPr="00652E1F">
        <w:t>poskytování</w:t>
      </w:r>
      <w:r>
        <w:t xml:space="preserve"> </w:t>
      </w:r>
      <w:r w:rsidRPr="00652E1F">
        <w:t>a</w:t>
      </w:r>
      <w:r>
        <w:t xml:space="preserve"> </w:t>
      </w:r>
      <w:r w:rsidRPr="00652E1F">
        <w:t>úhradě</w:t>
      </w:r>
      <w:r>
        <w:t xml:space="preserve"> </w:t>
      </w:r>
      <w:r w:rsidRPr="00652E1F">
        <w:t>hrazených</w:t>
      </w:r>
      <w:r>
        <w:t xml:space="preserve"> </w:t>
      </w:r>
      <w:r w:rsidRPr="00652E1F">
        <w:t>služeb,</w:t>
      </w:r>
      <w:r>
        <w:t xml:space="preserve"> </w:t>
      </w:r>
      <w:r w:rsidRPr="00652E1F">
        <w:t>a</w:t>
      </w:r>
      <w:r>
        <w:t xml:space="preserve"> </w:t>
      </w:r>
      <w:r w:rsidRPr="00652E1F">
        <w:t>poskytování</w:t>
      </w:r>
      <w:r>
        <w:t xml:space="preserve"> </w:t>
      </w:r>
      <w:r w:rsidRPr="00652E1F">
        <w:t>hrazených</w:t>
      </w:r>
      <w:r>
        <w:t xml:space="preserve"> </w:t>
      </w:r>
      <w:r w:rsidRPr="00652E1F">
        <w:t>služeb</w:t>
      </w:r>
      <w:r>
        <w:t xml:space="preserve"> </w:t>
      </w:r>
      <w:r w:rsidRPr="00652E1F">
        <w:t>je</w:t>
      </w:r>
      <w:r>
        <w:t xml:space="preserve"> </w:t>
      </w:r>
      <w:r w:rsidRPr="00652E1F">
        <w:t>převažující</w:t>
      </w:r>
      <w:r>
        <w:t xml:space="preserve"> </w:t>
      </w:r>
      <w:r w:rsidRPr="00652E1F">
        <w:t>činností</w:t>
      </w:r>
      <w:r>
        <w:t xml:space="preserve"> </w:t>
      </w:r>
      <w:r w:rsidRPr="00652E1F">
        <w:t>této</w:t>
      </w:r>
      <w:r>
        <w:t xml:space="preserve"> </w:t>
      </w:r>
      <w:r w:rsidRPr="00652E1F">
        <w:t>osoby,</w:t>
      </w:r>
    </w:p>
    <w:p w14:paraId="04DBA6F7" w14:textId="60456F1E" w:rsidR="00362C3F" w:rsidRDefault="00362C3F" w:rsidP="00B811D2">
      <w:pPr>
        <w:pStyle w:val="Textparagrafu"/>
        <w:numPr>
          <w:ilvl w:val="0"/>
          <w:numId w:val="28"/>
        </w:numPr>
        <w:tabs>
          <w:tab w:val="left" w:pos="434"/>
        </w:tabs>
        <w:spacing w:before="0"/>
        <w:ind w:left="426" w:hanging="426"/>
      </w:pPr>
      <w:r w:rsidRPr="00652E1F">
        <w:t>f)</w:t>
      </w:r>
      <w:r>
        <w:tab/>
      </w:r>
      <w:r w:rsidRPr="00652E1F">
        <w:t>je</w:t>
      </w:r>
      <w:r>
        <w:t xml:space="preserve"> </w:t>
      </w:r>
      <w:r w:rsidRPr="00652E1F">
        <w:t>společníkem,</w:t>
      </w:r>
      <w:r>
        <w:t xml:space="preserve"> </w:t>
      </w:r>
      <w:r w:rsidRPr="00652E1F">
        <w:t>statutárním</w:t>
      </w:r>
      <w:r>
        <w:t xml:space="preserve"> </w:t>
      </w:r>
      <w:r w:rsidRPr="00652E1F">
        <w:t>orgánem</w:t>
      </w:r>
      <w:r>
        <w:t xml:space="preserve"> </w:t>
      </w:r>
      <w:r w:rsidRPr="00652E1F">
        <w:t>nebo</w:t>
      </w:r>
      <w:r>
        <w:t xml:space="preserve"> </w:t>
      </w:r>
      <w:r w:rsidRPr="00652E1F">
        <w:t>členem</w:t>
      </w:r>
      <w:r>
        <w:t xml:space="preserve"> </w:t>
      </w:r>
      <w:r w:rsidRPr="00652E1F">
        <w:t>orgánu</w:t>
      </w:r>
      <w:r>
        <w:t xml:space="preserve"> </w:t>
      </w:r>
      <w:r w:rsidRPr="00652E1F">
        <w:t>právnické</w:t>
      </w:r>
      <w:r>
        <w:t xml:space="preserve"> </w:t>
      </w:r>
      <w:r w:rsidRPr="00652E1F">
        <w:t>osoby,</w:t>
      </w:r>
      <w:r>
        <w:t xml:space="preserve"> </w:t>
      </w:r>
      <w:r w:rsidRPr="00652E1F">
        <w:t>která</w:t>
      </w:r>
      <w:r>
        <w:t xml:space="preserve"> </w:t>
      </w:r>
      <w:r w:rsidRPr="00652E1F">
        <w:t>je</w:t>
      </w:r>
      <w:r>
        <w:t xml:space="preserve"> </w:t>
      </w:r>
      <w:r w:rsidRPr="00652E1F">
        <w:t>dodavatelem</w:t>
      </w:r>
      <w:r>
        <w:t xml:space="preserve"> </w:t>
      </w:r>
      <w:r w:rsidRPr="00652E1F">
        <w:t>zboží</w:t>
      </w:r>
      <w:r>
        <w:t xml:space="preserve"> </w:t>
      </w:r>
      <w:r w:rsidRPr="00652E1F">
        <w:t>nebo</w:t>
      </w:r>
      <w:r>
        <w:t xml:space="preserve"> </w:t>
      </w:r>
      <w:r w:rsidRPr="00652E1F">
        <w:t>služeb</w:t>
      </w:r>
      <w:r>
        <w:t xml:space="preserve"> </w:t>
      </w:r>
      <w:r w:rsidRPr="00652E1F">
        <w:t>zaměstnanecké</w:t>
      </w:r>
      <w:r>
        <w:t xml:space="preserve"> </w:t>
      </w:r>
      <w:r w:rsidRPr="00652E1F">
        <w:t>pojišťovně,</w:t>
      </w:r>
      <w:r>
        <w:t xml:space="preserve"> </w:t>
      </w:r>
      <w:r w:rsidRPr="00652E1F">
        <w:t>nebo</w:t>
      </w:r>
    </w:p>
    <w:p w14:paraId="79A0F89D" w14:textId="58595854" w:rsidR="00362C3F" w:rsidRDefault="00362C3F" w:rsidP="00B811D2">
      <w:pPr>
        <w:pStyle w:val="Textparagrafu"/>
        <w:numPr>
          <w:ilvl w:val="0"/>
          <w:numId w:val="28"/>
        </w:numPr>
        <w:tabs>
          <w:tab w:val="left" w:pos="434"/>
        </w:tabs>
        <w:spacing w:before="0"/>
        <w:ind w:left="426" w:hanging="426"/>
      </w:pPr>
      <w:r w:rsidRPr="00652E1F">
        <w:t>g)</w:t>
      </w:r>
      <w:r>
        <w:tab/>
      </w:r>
      <w:r w:rsidRPr="00652E1F">
        <w:t>jako</w:t>
      </w:r>
      <w:r>
        <w:t xml:space="preserve"> </w:t>
      </w:r>
      <w:r w:rsidRPr="00652E1F">
        <w:t>podnikající</w:t>
      </w:r>
      <w:r>
        <w:t xml:space="preserve"> </w:t>
      </w:r>
      <w:r w:rsidRPr="00652E1F">
        <w:t>fyzická</w:t>
      </w:r>
      <w:r>
        <w:t xml:space="preserve"> </w:t>
      </w:r>
      <w:r w:rsidRPr="00652E1F">
        <w:t>osoba</w:t>
      </w:r>
      <w:r>
        <w:t xml:space="preserve"> </w:t>
      </w:r>
      <w:r w:rsidRPr="00652E1F">
        <w:t>dodává</w:t>
      </w:r>
      <w:r>
        <w:t xml:space="preserve"> </w:t>
      </w:r>
      <w:r w:rsidRPr="00652E1F">
        <w:t>zboží</w:t>
      </w:r>
      <w:r>
        <w:t xml:space="preserve"> </w:t>
      </w:r>
      <w:r w:rsidRPr="00652E1F">
        <w:t>nebo</w:t>
      </w:r>
      <w:r>
        <w:t xml:space="preserve"> </w:t>
      </w:r>
      <w:r w:rsidRPr="00652E1F">
        <w:t>služby</w:t>
      </w:r>
      <w:r>
        <w:t xml:space="preserve"> </w:t>
      </w:r>
      <w:r w:rsidRPr="00652E1F">
        <w:t>zaměstnanecké</w:t>
      </w:r>
      <w:r>
        <w:t xml:space="preserve"> </w:t>
      </w:r>
      <w:r w:rsidRPr="00652E1F">
        <w:t>pojišťovně.</w:t>
      </w:r>
    </w:p>
    <w:p w14:paraId="2F6EA9A7" w14:textId="77777777" w:rsidR="00362C3F" w:rsidRDefault="00362C3F" w:rsidP="00471221">
      <w:pPr>
        <w:pStyle w:val="Textparagrafu"/>
        <w:numPr>
          <w:ilvl w:val="0"/>
          <w:numId w:val="28"/>
        </w:numPr>
        <w:tabs>
          <w:tab w:val="left" w:pos="434"/>
        </w:tabs>
        <w:spacing w:before="120" w:after="120"/>
        <w:ind w:firstLine="426"/>
      </w:pPr>
      <w:r w:rsidRPr="00652E1F">
        <w:t>(12)</w:t>
      </w:r>
      <w:r>
        <w:t xml:space="preserve"> </w:t>
      </w:r>
      <w:r w:rsidRPr="00652E1F">
        <w:t>Neexistenci</w:t>
      </w:r>
      <w:r>
        <w:t xml:space="preserve"> </w:t>
      </w:r>
      <w:r w:rsidRPr="00652E1F">
        <w:t>překážek</w:t>
      </w:r>
      <w:r>
        <w:t xml:space="preserve"> </w:t>
      </w:r>
      <w:r w:rsidRPr="00652E1F">
        <w:t>podle</w:t>
      </w:r>
      <w:r>
        <w:t xml:space="preserve"> </w:t>
      </w:r>
      <w:r w:rsidRPr="00652E1F">
        <w:t>odstavců</w:t>
      </w:r>
      <w:r>
        <w:t xml:space="preserve"> </w:t>
      </w:r>
      <w:r w:rsidRPr="00652E1F">
        <w:t>7</w:t>
      </w:r>
      <w:r>
        <w:t xml:space="preserve"> </w:t>
      </w:r>
      <w:r w:rsidRPr="00652E1F">
        <w:t>a</w:t>
      </w:r>
      <w:r>
        <w:t xml:space="preserve"> </w:t>
      </w:r>
      <w:r w:rsidRPr="00652E1F">
        <w:t>11</w:t>
      </w:r>
      <w:r>
        <w:t xml:space="preserve"> </w:t>
      </w:r>
      <w:r w:rsidRPr="00652E1F">
        <w:t>osvědčuje</w:t>
      </w:r>
      <w:r>
        <w:t xml:space="preserve"> </w:t>
      </w:r>
      <w:r w:rsidRPr="00652E1F">
        <w:t>osoba</w:t>
      </w:r>
      <w:r>
        <w:t xml:space="preserve"> </w:t>
      </w:r>
      <w:r w:rsidRPr="00652E1F">
        <w:t>čestným</w:t>
      </w:r>
      <w:r>
        <w:t xml:space="preserve"> </w:t>
      </w:r>
      <w:r w:rsidRPr="00652E1F">
        <w:t>prohlášením.</w:t>
      </w:r>
      <w:r>
        <w:t xml:space="preserve"> </w:t>
      </w:r>
      <w:r w:rsidRPr="00652E1F">
        <w:t>V</w:t>
      </w:r>
      <w:r>
        <w:t xml:space="preserve"> </w:t>
      </w:r>
      <w:r w:rsidRPr="00652E1F">
        <w:t>čestném</w:t>
      </w:r>
      <w:r>
        <w:t xml:space="preserve"> </w:t>
      </w:r>
      <w:r w:rsidRPr="00652E1F">
        <w:t>prohlášení</w:t>
      </w:r>
      <w:r>
        <w:t xml:space="preserve"> </w:t>
      </w:r>
      <w:r w:rsidRPr="00652E1F">
        <w:t>je</w:t>
      </w:r>
      <w:r>
        <w:t xml:space="preserve"> </w:t>
      </w:r>
      <w:r w:rsidRPr="00652E1F">
        <w:t>osoba</w:t>
      </w:r>
      <w:r>
        <w:t xml:space="preserve"> </w:t>
      </w:r>
      <w:r w:rsidRPr="00652E1F">
        <w:t>povinna</w:t>
      </w:r>
      <w:r>
        <w:t xml:space="preserve"> </w:t>
      </w:r>
      <w:r w:rsidRPr="00652E1F">
        <w:t>uvést</w:t>
      </w:r>
      <w:r>
        <w:t xml:space="preserve"> </w:t>
      </w:r>
      <w:r w:rsidRPr="00652E1F">
        <w:t>pravdivé</w:t>
      </w:r>
      <w:r>
        <w:t xml:space="preserve"> </w:t>
      </w:r>
      <w:r w:rsidRPr="00652E1F">
        <w:t>údaje,</w:t>
      </w:r>
      <w:r>
        <w:t xml:space="preserve"> </w:t>
      </w:r>
      <w:r w:rsidRPr="00652E1F">
        <w:t>opatřit</w:t>
      </w:r>
      <w:r>
        <w:t xml:space="preserve"> </w:t>
      </w:r>
      <w:r w:rsidRPr="00652E1F">
        <w:t>jej</w:t>
      </w:r>
      <w:r>
        <w:t xml:space="preserve"> </w:t>
      </w:r>
      <w:r w:rsidRPr="00652E1F">
        <w:t>podpisem</w:t>
      </w:r>
      <w:r>
        <w:t xml:space="preserve"> </w:t>
      </w:r>
      <w:r w:rsidRPr="00652E1F">
        <w:t>a</w:t>
      </w:r>
      <w:r>
        <w:t xml:space="preserve"> </w:t>
      </w:r>
      <w:r w:rsidRPr="00652E1F">
        <w:t>doručit</w:t>
      </w:r>
      <w:r>
        <w:t xml:space="preserve"> </w:t>
      </w:r>
      <w:r w:rsidRPr="00652E1F">
        <w:t>zaměstnanecké</w:t>
      </w:r>
      <w:r>
        <w:t xml:space="preserve"> </w:t>
      </w:r>
      <w:r w:rsidRPr="00652E1F">
        <w:t>pojišťovně</w:t>
      </w:r>
      <w:r>
        <w:t xml:space="preserve"> </w:t>
      </w:r>
      <w:r w:rsidRPr="00652E1F">
        <w:t>nejpozději</w:t>
      </w:r>
      <w:r>
        <w:t xml:space="preserve"> </w:t>
      </w:r>
      <w:r w:rsidRPr="00652E1F">
        <w:t>v</w:t>
      </w:r>
      <w:r>
        <w:t xml:space="preserve"> </w:t>
      </w:r>
      <w:r w:rsidRPr="00652E1F">
        <w:t>den</w:t>
      </w:r>
      <w:r>
        <w:t xml:space="preserve"> </w:t>
      </w:r>
      <w:r w:rsidRPr="00652E1F">
        <w:t>předcházející</w:t>
      </w:r>
      <w:r>
        <w:t xml:space="preserve"> </w:t>
      </w:r>
      <w:r w:rsidRPr="00652E1F">
        <w:t>dni</w:t>
      </w:r>
      <w:r>
        <w:t xml:space="preserve"> </w:t>
      </w:r>
      <w:r w:rsidRPr="00652E1F">
        <w:t>začátku</w:t>
      </w:r>
      <w:r>
        <w:t xml:space="preserve"> </w:t>
      </w:r>
      <w:r w:rsidRPr="00652E1F">
        <w:t>výkonu</w:t>
      </w:r>
      <w:r>
        <w:t xml:space="preserve"> </w:t>
      </w:r>
      <w:r w:rsidRPr="00652E1F">
        <w:t>funkce,</w:t>
      </w:r>
      <w:r>
        <w:t xml:space="preserve"> </w:t>
      </w:r>
      <w:r w:rsidRPr="00652E1F">
        <w:t>jinak</w:t>
      </w:r>
      <w:r>
        <w:t xml:space="preserve"> </w:t>
      </w:r>
      <w:r w:rsidRPr="00652E1F">
        <w:t>osobě</w:t>
      </w:r>
      <w:r>
        <w:t xml:space="preserve"> </w:t>
      </w:r>
      <w:r w:rsidRPr="00652E1F">
        <w:t>funkce</w:t>
      </w:r>
      <w:r>
        <w:t xml:space="preserve"> </w:t>
      </w:r>
      <w:r w:rsidRPr="00652E1F">
        <w:t>člena</w:t>
      </w:r>
      <w:r>
        <w:t xml:space="preserve"> </w:t>
      </w:r>
      <w:r w:rsidRPr="00652E1F">
        <w:t>orgánu</w:t>
      </w:r>
      <w:r>
        <w:t xml:space="preserve"> </w:t>
      </w:r>
      <w:r w:rsidRPr="00652E1F">
        <w:t>zaměstnanecké</w:t>
      </w:r>
      <w:r>
        <w:t xml:space="preserve"> </w:t>
      </w:r>
      <w:r w:rsidRPr="00652E1F">
        <w:t>pojišťovny</w:t>
      </w:r>
      <w:r>
        <w:t xml:space="preserve"> </w:t>
      </w:r>
      <w:r w:rsidRPr="00652E1F">
        <w:t>zaniká.</w:t>
      </w:r>
    </w:p>
    <w:p w14:paraId="436F4701" w14:textId="77777777" w:rsidR="00362C3F" w:rsidRDefault="00362C3F" w:rsidP="00471221">
      <w:pPr>
        <w:pStyle w:val="Textparagrafu"/>
        <w:numPr>
          <w:ilvl w:val="0"/>
          <w:numId w:val="28"/>
        </w:numPr>
        <w:tabs>
          <w:tab w:val="left" w:pos="434"/>
        </w:tabs>
        <w:spacing w:before="120" w:after="120"/>
        <w:ind w:firstLine="426"/>
      </w:pPr>
      <w:r w:rsidRPr="00652E1F">
        <w:t>(13)</w:t>
      </w:r>
      <w:r>
        <w:t xml:space="preserve"> </w:t>
      </w:r>
      <w:r w:rsidRPr="00652E1F">
        <w:t>Členem</w:t>
      </w:r>
      <w:r>
        <w:t xml:space="preserve"> </w:t>
      </w:r>
      <w:r w:rsidRPr="00652E1F">
        <w:t>orgánu</w:t>
      </w:r>
      <w:r>
        <w:t xml:space="preserve"> </w:t>
      </w:r>
      <w:r w:rsidRPr="00652E1F">
        <w:t>zaměstnanecké</w:t>
      </w:r>
      <w:r>
        <w:t xml:space="preserve"> </w:t>
      </w:r>
      <w:r w:rsidRPr="00652E1F">
        <w:t>pojišťovny</w:t>
      </w:r>
      <w:r>
        <w:t xml:space="preserve"> </w:t>
      </w:r>
      <w:r w:rsidRPr="00652E1F">
        <w:t>anebo</w:t>
      </w:r>
      <w:r>
        <w:t xml:space="preserve"> </w:t>
      </w:r>
      <w:r w:rsidRPr="00652E1F">
        <w:t>jeho</w:t>
      </w:r>
      <w:r>
        <w:t xml:space="preserve"> </w:t>
      </w:r>
      <w:r w:rsidRPr="00652E1F">
        <w:t>náhradníkem</w:t>
      </w:r>
      <w:r>
        <w:t xml:space="preserve"> </w:t>
      </w:r>
      <w:r w:rsidRPr="00652E1F">
        <w:t>může</w:t>
      </w:r>
      <w:r>
        <w:t xml:space="preserve"> </w:t>
      </w:r>
      <w:r w:rsidRPr="00652E1F">
        <w:t>být</w:t>
      </w:r>
      <w:r>
        <w:t xml:space="preserve"> </w:t>
      </w:r>
      <w:r w:rsidRPr="00652E1F">
        <w:t>jen</w:t>
      </w:r>
      <w:r>
        <w:t xml:space="preserve"> </w:t>
      </w:r>
      <w:r w:rsidRPr="00652E1F">
        <w:t>bezúhonná</w:t>
      </w:r>
      <w:r>
        <w:t xml:space="preserve"> </w:t>
      </w:r>
      <w:r w:rsidRPr="00652E1F">
        <w:t>osoba,</w:t>
      </w:r>
      <w:r>
        <w:t xml:space="preserve"> </w:t>
      </w:r>
      <w:r w:rsidRPr="00652E1F">
        <w:t>která</w:t>
      </w:r>
      <w:r>
        <w:t xml:space="preserve"> </w:t>
      </w:r>
      <w:r w:rsidRPr="00652E1F">
        <w:t>dosáhla</w:t>
      </w:r>
      <w:r>
        <w:t xml:space="preserve"> </w:t>
      </w:r>
      <w:r w:rsidRPr="00652E1F">
        <w:t>věku</w:t>
      </w:r>
      <w:r>
        <w:t xml:space="preserve"> </w:t>
      </w:r>
      <w:r w:rsidRPr="00652E1F">
        <w:t>nejméně</w:t>
      </w:r>
      <w:r>
        <w:t xml:space="preserve"> </w:t>
      </w:r>
      <w:r w:rsidRPr="00652E1F">
        <w:t>25</w:t>
      </w:r>
      <w:r>
        <w:t xml:space="preserve"> </w:t>
      </w:r>
      <w:r w:rsidRPr="00652E1F">
        <w:t>let.</w:t>
      </w:r>
    </w:p>
    <w:p w14:paraId="1F03DB50" w14:textId="77777777" w:rsidR="00362C3F" w:rsidRDefault="00362C3F" w:rsidP="00471221">
      <w:pPr>
        <w:pStyle w:val="Textparagrafu"/>
        <w:numPr>
          <w:ilvl w:val="0"/>
          <w:numId w:val="28"/>
        </w:numPr>
        <w:tabs>
          <w:tab w:val="left" w:pos="434"/>
        </w:tabs>
        <w:spacing w:before="120" w:after="120"/>
        <w:ind w:firstLine="426"/>
      </w:pPr>
      <w:r w:rsidRPr="00652E1F">
        <w:t>(14)</w:t>
      </w:r>
      <w:r>
        <w:t xml:space="preserve"> </w:t>
      </w:r>
      <w:r w:rsidRPr="00652E1F">
        <w:t>Volený</w:t>
      </w:r>
      <w:r>
        <w:t xml:space="preserve"> </w:t>
      </w:r>
      <w:r w:rsidRPr="00652E1F">
        <w:t>člen</w:t>
      </w:r>
      <w:r>
        <w:t xml:space="preserve"> </w:t>
      </w:r>
      <w:r w:rsidRPr="00652E1F">
        <w:t>orgánu</w:t>
      </w:r>
      <w:r>
        <w:t xml:space="preserve"> </w:t>
      </w:r>
      <w:r w:rsidRPr="00652E1F">
        <w:t>zaměstnanecké</w:t>
      </w:r>
      <w:r>
        <w:t xml:space="preserve"> </w:t>
      </w:r>
      <w:r w:rsidRPr="00652E1F">
        <w:t>pojišťovny</w:t>
      </w:r>
      <w:r>
        <w:t xml:space="preserve"> </w:t>
      </w:r>
      <w:r w:rsidRPr="00652E1F">
        <w:t>je</w:t>
      </w:r>
      <w:r>
        <w:t xml:space="preserve"> </w:t>
      </w:r>
      <w:r w:rsidRPr="00652E1F">
        <w:t>povinen</w:t>
      </w:r>
      <w:r>
        <w:t xml:space="preserve"> </w:t>
      </w:r>
      <w:r w:rsidRPr="00652E1F">
        <w:t>bez</w:t>
      </w:r>
      <w:r>
        <w:t xml:space="preserve"> </w:t>
      </w:r>
      <w:r w:rsidRPr="00652E1F">
        <w:t>zbytečného</w:t>
      </w:r>
      <w:r>
        <w:t xml:space="preserve"> </w:t>
      </w:r>
      <w:r w:rsidRPr="00652E1F">
        <w:t>odkladu</w:t>
      </w:r>
      <w:r>
        <w:t xml:space="preserve"> </w:t>
      </w:r>
      <w:r w:rsidRPr="00652E1F">
        <w:t>oznámit</w:t>
      </w:r>
      <w:r>
        <w:t xml:space="preserve"> </w:t>
      </w:r>
      <w:r w:rsidRPr="00652E1F">
        <w:t>zaměstnanecké</w:t>
      </w:r>
      <w:r>
        <w:t xml:space="preserve"> </w:t>
      </w:r>
      <w:r w:rsidRPr="00652E1F">
        <w:t>pojišťovně,</w:t>
      </w:r>
      <w:r>
        <w:t xml:space="preserve"> </w:t>
      </w:r>
      <w:r w:rsidRPr="00652E1F">
        <w:t>že</w:t>
      </w:r>
      <w:r>
        <w:t xml:space="preserve"> </w:t>
      </w:r>
      <w:r w:rsidRPr="00652E1F">
        <w:t>u</w:t>
      </w:r>
      <w:r>
        <w:t xml:space="preserve"> </w:t>
      </w:r>
      <w:r w:rsidRPr="00652E1F">
        <w:t>něj</w:t>
      </w:r>
      <w:r>
        <w:t xml:space="preserve"> </w:t>
      </w:r>
      <w:r w:rsidRPr="00652E1F">
        <w:t>nastala</w:t>
      </w:r>
      <w:r>
        <w:t xml:space="preserve"> </w:t>
      </w:r>
      <w:r w:rsidRPr="00652E1F">
        <w:t>některá</w:t>
      </w:r>
      <w:r>
        <w:t xml:space="preserve"> </w:t>
      </w:r>
      <w:r w:rsidRPr="00652E1F">
        <w:t>ze</w:t>
      </w:r>
      <w:r>
        <w:t xml:space="preserve"> </w:t>
      </w:r>
      <w:r w:rsidRPr="00652E1F">
        <w:t>skutečností</w:t>
      </w:r>
      <w:r>
        <w:t xml:space="preserve"> </w:t>
      </w:r>
      <w:r w:rsidRPr="00652E1F">
        <w:t>uvedených</w:t>
      </w:r>
      <w:r>
        <w:t xml:space="preserve"> </w:t>
      </w:r>
      <w:r w:rsidRPr="00652E1F">
        <w:t>v</w:t>
      </w:r>
      <w:r>
        <w:t xml:space="preserve"> </w:t>
      </w:r>
      <w:r w:rsidRPr="00652E1F">
        <w:t>odstavci</w:t>
      </w:r>
      <w:r>
        <w:t xml:space="preserve"> </w:t>
      </w:r>
      <w:r w:rsidRPr="00652E1F">
        <w:t>11,</w:t>
      </w:r>
      <w:r>
        <w:t xml:space="preserve"> </w:t>
      </w:r>
      <w:r w:rsidRPr="00652E1F">
        <w:t>která</w:t>
      </w:r>
      <w:r>
        <w:t xml:space="preserve"> </w:t>
      </w:r>
      <w:r w:rsidRPr="00652E1F">
        <w:t>brání</w:t>
      </w:r>
      <w:r>
        <w:t xml:space="preserve"> </w:t>
      </w:r>
      <w:r w:rsidRPr="00652E1F">
        <w:t>výkonu</w:t>
      </w:r>
      <w:r>
        <w:t xml:space="preserve"> </w:t>
      </w:r>
      <w:r w:rsidRPr="00652E1F">
        <w:t>funkce</w:t>
      </w:r>
      <w:r>
        <w:t xml:space="preserve"> </w:t>
      </w:r>
      <w:r w:rsidRPr="00652E1F">
        <w:t>člena</w:t>
      </w:r>
      <w:r>
        <w:t xml:space="preserve"> </w:t>
      </w:r>
      <w:r w:rsidRPr="00652E1F">
        <w:t>orgánu</w:t>
      </w:r>
      <w:r>
        <w:t xml:space="preserve"> </w:t>
      </w:r>
      <w:r w:rsidRPr="00652E1F">
        <w:t>zaměstnanecké</w:t>
      </w:r>
      <w:r>
        <w:t xml:space="preserve"> </w:t>
      </w:r>
      <w:r w:rsidRPr="00652E1F">
        <w:t>pojišťovny.</w:t>
      </w:r>
      <w:r>
        <w:t xml:space="preserve"> </w:t>
      </w:r>
      <w:r w:rsidRPr="00652E1F">
        <w:t>Jde-li</w:t>
      </w:r>
      <w:r>
        <w:t xml:space="preserve"> </w:t>
      </w:r>
      <w:r w:rsidRPr="00652E1F">
        <w:t>o</w:t>
      </w:r>
      <w:r>
        <w:t xml:space="preserve"> </w:t>
      </w:r>
      <w:r w:rsidRPr="00652E1F">
        <w:t>člena</w:t>
      </w:r>
      <w:r>
        <w:t xml:space="preserve"> </w:t>
      </w:r>
      <w:r w:rsidRPr="00652E1F">
        <w:t>orgánu,</w:t>
      </w:r>
      <w:r>
        <w:t xml:space="preserve"> </w:t>
      </w:r>
      <w:r w:rsidRPr="00652E1F">
        <w:t>který</w:t>
      </w:r>
      <w:r>
        <w:t xml:space="preserve"> </w:t>
      </w:r>
      <w:r w:rsidRPr="00652E1F">
        <w:t>byl</w:t>
      </w:r>
      <w:r>
        <w:t xml:space="preserve"> </w:t>
      </w:r>
      <w:r w:rsidRPr="00652E1F">
        <w:t>jmenován,</w:t>
      </w:r>
      <w:r>
        <w:t xml:space="preserve"> </w:t>
      </w:r>
      <w:r w:rsidRPr="00652E1F">
        <w:t>je</w:t>
      </w:r>
      <w:r>
        <w:t xml:space="preserve"> </w:t>
      </w:r>
      <w:r w:rsidRPr="00652E1F">
        <w:t>povinen</w:t>
      </w:r>
      <w:r>
        <w:t xml:space="preserve"> </w:t>
      </w:r>
      <w:r w:rsidRPr="00652E1F">
        <w:t>tuto</w:t>
      </w:r>
      <w:r>
        <w:t xml:space="preserve"> </w:t>
      </w:r>
      <w:r w:rsidRPr="00652E1F">
        <w:t>skutečnost</w:t>
      </w:r>
      <w:r>
        <w:t xml:space="preserve"> </w:t>
      </w:r>
      <w:r w:rsidRPr="00652E1F">
        <w:t>bez</w:t>
      </w:r>
      <w:r>
        <w:t xml:space="preserve"> </w:t>
      </w:r>
      <w:r w:rsidRPr="00652E1F">
        <w:t>zbytečného</w:t>
      </w:r>
      <w:r>
        <w:t xml:space="preserve"> </w:t>
      </w:r>
      <w:r w:rsidRPr="00652E1F">
        <w:t>odkladu</w:t>
      </w:r>
      <w:r>
        <w:t xml:space="preserve"> </w:t>
      </w:r>
      <w:r w:rsidRPr="00652E1F">
        <w:t>oznámit</w:t>
      </w:r>
      <w:r>
        <w:t xml:space="preserve"> </w:t>
      </w:r>
      <w:r w:rsidRPr="00652E1F">
        <w:t>zaměstnanecké</w:t>
      </w:r>
      <w:r>
        <w:t xml:space="preserve"> </w:t>
      </w:r>
      <w:r w:rsidRPr="00652E1F">
        <w:t>pojišťovně</w:t>
      </w:r>
      <w:r>
        <w:t xml:space="preserve"> </w:t>
      </w:r>
      <w:r w:rsidRPr="00652E1F">
        <w:t>a</w:t>
      </w:r>
      <w:r>
        <w:t xml:space="preserve"> </w:t>
      </w:r>
      <w:r w:rsidRPr="00652E1F">
        <w:t>tomu,</w:t>
      </w:r>
      <w:r>
        <w:t xml:space="preserve"> </w:t>
      </w:r>
      <w:r w:rsidRPr="00652E1F">
        <w:t>kdo</w:t>
      </w:r>
      <w:r>
        <w:t xml:space="preserve"> </w:t>
      </w:r>
      <w:r w:rsidRPr="00652E1F">
        <w:t>navrhl</w:t>
      </w:r>
      <w:r>
        <w:t xml:space="preserve"> </w:t>
      </w:r>
      <w:r w:rsidRPr="00652E1F">
        <w:t>vládě</w:t>
      </w:r>
      <w:r>
        <w:t xml:space="preserve"> </w:t>
      </w:r>
      <w:r w:rsidRPr="00652E1F">
        <w:t>jeho</w:t>
      </w:r>
      <w:r>
        <w:t xml:space="preserve"> </w:t>
      </w:r>
      <w:r w:rsidRPr="00652E1F">
        <w:t>jmenování.</w:t>
      </w:r>
    </w:p>
    <w:p w14:paraId="72015FC1" w14:textId="77777777" w:rsidR="00362C3F" w:rsidRDefault="00362C3F" w:rsidP="00471221">
      <w:pPr>
        <w:pStyle w:val="Textparagrafu"/>
        <w:numPr>
          <w:ilvl w:val="0"/>
          <w:numId w:val="28"/>
        </w:numPr>
        <w:tabs>
          <w:tab w:val="left" w:pos="434"/>
        </w:tabs>
        <w:spacing w:before="120" w:after="120"/>
        <w:ind w:firstLine="426"/>
      </w:pPr>
      <w:r w:rsidRPr="00652E1F">
        <w:t>(15)</w:t>
      </w:r>
      <w:r>
        <w:t xml:space="preserve"> </w:t>
      </w:r>
      <w:r w:rsidRPr="00652E1F">
        <w:t>Výkon</w:t>
      </w:r>
      <w:r>
        <w:t xml:space="preserve"> </w:t>
      </w:r>
      <w:r w:rsidRPr="00652E1F">
        <w:t>funkce</w:t>
      </w:r>
      <w:r>
        <w:t xml:space="preserve"> </w:t>
      </w:r>
      <w:r w:rsidRPr="00652E1F">
        <w:t>člena</w:t>
      </w:r>
      <w:r>
        <w:t xml:space="preserve"> </w:t>
      </w:r>
      <w:r w:rsidRPr="00652E1F">
        <w:t>orgánu</w:t>
      </w:r>
      <w:r>
        <w:t xml:space="preserve"> </w:t>
      </w:r>
      <w:r w:rsidRPr="00652E1F">
        <w:t>zaměstnanecké</w:t>
      </w:r>
      <w:r>
        <w:t xml:space="preserve"> </w:t>
      </w:r>
      <w:r w:rsidRPr="00652E1F">
        <w:t>pojišťovny</w:t>
      </w:r>
      <w:r>
        <w:t xml:space="preserve"> </w:t>
      </w:r>
      <w:r w:rsidRPr="00652E1F">
        <w:t>končí</w:t>
      </w:r>
    </w:p>
    <w:p w14:paraId="39C36B32" w14:textId="1B46A195" w:rsidR="00362C3F" w:rsidRDefault="00362C3F" w:rsidP="00B811D2">
      <w:pPr>
        <w:pStyle w:val="Textparagrafu"/>
        <w:numPr>
          <w:ilvl w:val="0"/>
          <w:numId w:val="28"/>
        </w:numPr>
        <w:tabs>
          <w:tab w:val="left" w:pos="434"/>
        </w:tabs>
        <w:spacing w:before="0"/>
        <w:ind w:left="426" w:hanging="426"/>
      </w:pPr>
      <w:r w:rsidRPr="00652E1F">
        <w:t>a)</w:t>
      </w:r>
      <w:r>
        <w:tab/>
      </w:r>
      <w:r w:rsidRPr="00652E1F">
        <w:t>uplynutím</w:t>
      </w:r>
      <w:r>
        <w:t xml:space="preserve"> </w:t>
      </w:r>
      <w:r w:rsidRPr="00652E1F">
        <w:t>funkčního</w:t>
      </w:r>
      <w:r>
        <w:t xml:space="preserve"> </w:t>
      </w:r>
      <w:r w:rsidRPr="00652E1F">
        <w:t>období,</w:t>
      </w:r>
    </w:p>
    <w:p w14:paraId="18F42F37" w14:textId="50A9A0AA" w:rsidR="00362C3F" w:rsidRDefault="00362C3F" w:rsidP="00B811D2">
      <w:pPr>
        <w:pStyle w:val="Textparagrafu"/>
        <w:numPr>
          <w:ilvl w:val="0"/>
          <w:numId w:val="28"/>
        </w:numPr>
        <w:tabs>
          <w:tab w:val="left" w:pos="434"/>
        </w:tabs>
        <w:spacing w:before="0"/>
        <w:ind w:left="426" w:hanging="426"/>
      </w:pPr>
      <w:r w:rsidRPr="00652E1F">
        <w:t>b)</w:t>
      </w:r>
      <w:r>
        <w:tab/>
      </w:r>
      <w:r w:rsidRPr="00652E1F">
        <w:t>odvoláním,</w:t>
      </w:r>
    </w:p>
    <w:p w14:paraId="6AC4007C" w14:textId="1358F250" w:rsidR="00362C3F" w:rsidRDefault="00362C3F" w:rsidP="00B811D2">
      <w:pPr>
        <w:pStyle w:val="Textparagrafu"/>
        <w:numPr>
          <w:ilvl w:val="0"/>
          <w:numId w:val="28"/>
        </w:numPr>
        <w:tabs>
          <w:tab w:val="left" w:pos="434"/>
        </w:tabs>
        <w:spacing w:before="0"/>
        <w:ind w:left="426" w:hanging="426"/>
      </w:pPr>
      <w:r w:rsidRPr="00652E1F">
        <w:t>c)</w:t>
      </w:r>
      <w:r>
        <w:tab/>
      </w:r>
      <w:r w:rsidRPr="00652E1F">
        <w:t>dnem</w:t>
      </w:r>
      <w:r>
        <w:t xml:space="preserve"> </w:t>
      </w:r>
      <w:r w:rsidRPr="00652E1F">
        <w:t>doručení</w:t>
      </w:r>
      <w:r>
        <w:t xml:space="preserve"> </w:t>
      </w:r>
      <w:r w:rsidRPr="00652E1F">
        <w:t>písemného</w:t>
      </w:r>
      <w:r>
        <w:t xml:space="preserve"> </w:t>
      </w:r>
      <w:r w:rsidRPr="00652E1F">
        <w:t>prohlášení</w:t>
      </w:r>
      <w:r>
        <w:t xml:space="preserve"> </w:t>
      </w:r>
      <w:r w:rsidRPr="00652E1F">
        <w:t>o</w:t>
      </w:r>
      <w:r>
        <w:t xml:space="preserve"> </w:t>
      </w:r>
      <w:r w:rsidRPr="00652E1F">
        <w:t>vzdání</w:t>
      </w:r>
      <w:r>
        <w:t xml:space="preserve"> </w:t>
      </w:r>
      <w:r w:rsidRPr="00652E1F">
        <w:t>se</w:t>
      </w:r>
      <w:r>
        <w:t xml:space="preserve"> </w:t>
      </w:r>
      <w:r w:rsidRPr="00652E1F">
        <w:t>funkce</w:t>
      </w:r>
      <w:r>
        <w:t xml:space="preserve"> </w:t>
      </w:r>
      <w:r w:rsidRPr="00652E1F">
        <w:t>nebo</w:t>
      </w:r>
      <w:r>
        <w:t xml:space="preserve"> </w:t>
      </w:r>
      <w:r w:rsidRPr="00652E1F">
        <w:t>dnem</w:t>
      </w:r>
      <w:r>
        <w:t xml:space="preserve"> </w:t>
      </w:r>
      <w:r w:rsidRPr="00652E1F">
        <w:t>učinění</w:t>
      </w:r>
      <w:r>
        <w:t xml:space="preserve"> </w:t>
      </w:r>
      <w:r w:rsidRPr="00652E1F">
        <w:t>oznámení</w:t>
      </w:r>
      <w:r>
        <w:t xml:space="preserve"> </w:t>
      </w:r>
      <w:r w:rsidRPr="00652E1F">
        <w:t>podle</w:t>
      </w:r>
      <w:r>
        <w:t xml:space="preserve"> </w:t>
      </w:r>
      <w:r w:rsidRPr="00652E1F">
        <w:t>odstavce</w:t>
      </w:r>
      <w:r>
        <w:t xml:space="preserve"> </w:t>
      </w:r>
      <w:r w:rsidRPr="00652E1F">
        <w:t>14</w:t>
      </w:r>
      <w:r>
        <w:t xml:space="preserve"> </w:t>
      </w:r>
      <w:r w:rsidRPr="00652E1F">
        <w:t>zaměstnanecké</w:t>
      </w:r>
      <w:r>
        <w:t xml:space="preserve"> </w:t>
      </w:r>
      <w:r w:rsidRPr="00652E1F">
        <w:t>pojišťovně,</w:t>
      </w:r>
    </w:p>
    <w:p w14:paraId="7C537507" w14:textId="323A7AAD" w:rsidR="00362C3F" w:rsidRDefault="00362C3F" w:rsidP="00B811D2">
      <w:pPr>
        <w:pStyle w:val="Textparagrafu"/>
        <w:numPr>
          <w:ilvl w:val="0"/>
          <w:numId w:val="28"/>
        </w:numPr>
        <w:tabs>
          <w:tab w:val="left" w:pos="434"/>
        </w:tabs>
        <w:spacing w:before="0"/>
        <w:ind w:left="426" w:hanging="426"/>
      </w:pPr>
      <w:r w:rsidRPr="00652E1F">
        <w:t>d)</w:t>
      </w:r>
      <w:r>
        <w:tab/>
      </w:r>
      <w:r w:rsidRPr="00652E1F">
        <w:t>dnem,</w:t>
      </w:r>
      <w:r>
        <w:t xml:space="preserve"> </w:t>
      </w:r>
      <w:r w:rsidRPr="00652E1F">
        <w:t>kdy</w:t>
      </w:r>
      <w:r>
        <w:t xml:space="preserve"> </w:t>
      </w:r>
      <w:r w:rsidRPr="00652E1F">
        <w:t>se</w:t>
      </w:r>
      <w:r>
        <w:t xml:space="preserve"> </w:t>
      </w:r>
      <w:r w:rsidRPr="00652E1F">
        <w:t>stal</w:t>
      </w:r>
      <w:r>
        <w:t xml:space="preserve"> </w:t>
      </w:r>
      <w:r w:rsidRPr="00652E1F">
        <w:t>volený</w:t>
      </w:r>
      <w:r>
        <w:t xml:space="preserve"> </w:t>
      </w:r>
      <w:r w:rsidRPr="00652E1F">
        <w:t>člen</w:t>
      </w:r>
      <w:r>
        <w:t xml:space="preserve"> </w:t>
      </w:r>
      <w:r w:rsidRPr="00652E1F">
        <w:t>orgánu</w:t>
      </w:r>
      <w:r>
        <w:t xml:space="preserve"> </w:t>
      </w:r>
      <w:r w:rsidRPr="00652E1F">
        <w:t>zaměstnanecké</w:t>
      </w:r>
      <w:r>
        <w:t xml:space="preserve"> </w:t>
      </w:r>
      <w:r w:rsidRPr="00652E1F">
        <w:t>pojišťovny</w:t>
      </w:r>
      <w:r>
        <w:t xml:space="preserve"> </w:t>
      </w:r>
      <w:r w:rsidRPr="00652E1F">
        <w:t>pojištěncem</w:t>
      </w:r>
      <w:r>
        <w:t xml:space="preserve"> </w:t>
      </w:r>
      <w:r w:rsidRPr="00652E1F">
        <w:t>jiné</w:t>
      </w:r>
      <w:r>
        <w:t xml:space="preserve"> </w:t>
      </w:r>
      <w:r w:rsidRPr="00652E1F">
        <w:t>zdravotní</w:t>
      </w:r>
      <w:r>
        <w:t xml:space="preserve"> </w:t>
      </w:r>
      <w:r w:rsidRPr="00652E1F">
        <w:t>pojišťovny,</w:t>
      </w:r>
    </w:p>
    <w:p w14:paraId="28BD8189" w14:textId="5D32F532" w:rsidR="00362C3F" w:rsidRDefault="00362C3F" w:rsidP="00B811D2">
      <w:pPr>
        <w:pStyle w:val="Textparagrafu"/>
        <w:numPr>
          <w:ilvl w:val="0"/>
          <w:numId w:val="28"/>
        </w:numPr>
        <w:tabs>
          <w:tab w:val="left" w:pos="434"/>
        </w:tabs>
        <w:spacing w:before="0"/>
        <w:ind w:left="426" w:hanging="426"/>
      </w:pPr>
      <w:r w:rsidRPr="00652E1F">
        <w:t>e)</w:t>
      </w:r>
      <w:r>
        <w:tab/>
      </w:r>
      <w:r w:rsidRPr="00652E1F">
        <w:t>dnem</w:t>
      </w:r>
      <w:r>
        <w:t xml:space="preserve"> </w:t>
      </w:r>
      <w:r w:rsidRPr="00652E1F">
        <w:t>nabytí</w:t>
      </w:r>
      <w:r>
        <w:t xml:space="preserve"> </w:t>
      </w:r>
      <w:r w:rsidRPr="00652E1F">
        <w:t>právní</w:t>
      </w:r>
      <w:r>
        <w:t xml:space="preserve"> </w:t>
      </w:r>
      <w:r w:rsidRPr="00652E1F">
        <w:t>moci</w:t>
      </w:r>
      <w:r>
        <w:t xml:space="preserve"> </w:t>
      </w:r>
      <w:r w:rsidRPr="00652E1F">
        <w:t>rozsudku</w:t>
      </w:r>
      <w:r>
        <w:t xml:space="preserve"> </w:t>
      </w:r>
      <w:r w:rsidRPr="00652E1F">
        <w:t>o</w:t>
      </w:r>
      <w:r>
        <w:t xml:space="preserve"> </w:t>
      </w:r>
      <w:r w:rsidRPr="00652E1F">
        <w:t>omezení</w:t>
      </w:r>
      <w:r>
        <w:t xml:space="preserve"> </w:t>
      </w:r>
      <w:r w:rsidRPr="00652E1F">
        <w:t>svéprávnosti,</w:t>
      </w:r>
    </w:p>
    <w:p w14:paraId="091F1F24" w14:textId="1E4A0D54" w:rsidR="00362C3F" w:rsidRDefault="00362C3F" w:rsidP="00B811D2">
      <w:pPr>
        <w:pStyle w:val="Textparagrafu"/>
        <w:numPr>
          <w:ilvl w:val="0"/>
          <w:numId w:val="28"/>
        </w:numPr>
        <w:tabs>
          <w:tab w:val="left" w:pos="434"/>
        </w:tabs>
        <w:spacing w:before="0"/>
        <w:ind w:left="426" w:hanging="426"/>
      </w:pPr>
      <w:r w:rsidRPr="00652E1F">
        <w:t>f)</w:t>
      </w:r>
      <w:r>
        <w:tab/>
      </w:r>
      <w:r w:rsidRPr="00652E1F">
        <w:t>dnem</w:t>
      </w:r>
      <w:r>
        <w:t xml:space="preserve"> </w:t>
      </w:r>
      <w:r w:rsidRPr="00652E1F">
        <w:t>nabytí</w:t>
      </w:r>
      <w:r>
        <w:t xml:space="preserve"> </w:t>
      </w:r>
      <w:r w:rsidRPr="00652E1F">
        <w:t>právní</w:t>
      </w:r>
      <w:r>
        <w:t xml:space="preserve"> </w:t>
      </w:r>
      <w:r w:rsidRPr="00652E1F">
        <w:t>moci</w:t>
      </w:r>
      <w:r>
        <w:t xml:space="preserve"> </w:t>
      </w:r>
      <w:r w:rsidRPr="00652E1F">
        <w:t>rozsudku,</w:t>
      </w:r>
      <w:r>
        <w:t xml:space="preserve"> </w:t>
      </w:r>
      <w:r w:rsidRPr="00652E1F">
        <w:t>kterým</w:t>
      </w:r>
      <w:r>
        <w:t xml:space="preserve"> </w:t>
      </w:r>
      <w:r w:rsidRPr="00652E1F">
        <w:t>byl</w:t>
      </w:r>
      <w:r>
        <w:t xml:space="preserve"> </w:t>
      </w:r>
      <w:r w:rsidRPr="00652E1F">
        <w:t>odsouzen</w:t>
      </w:r>
      <w:r>
        <w:t xml:space="preserve"> </w:t>
      </w:r>
      <w:r w:rsidRPr="00652E1F">
        <w:t>pro</w:t>
      </w:r>
      <w:r>
        <w:t xml:space="preserve"> </w:t>
      </w:r>
      <w:r w:rsidRPr="00652E1F">
        <w:t>trestný</w:t>
      </w:r>
      <w:r>
        <w:t xml:space="preserve"> </w:t>
      </w:r>
      <w:r w:rsidRPr="00652E1F">
        <w:t>čin</w:t>
      </w:r>
      <w:r>
        <w:t xml:space="preserve"> </w:t>
      </w:r>
      <w:r w:rsidRPr="00652E1F">
        <w:t>uvedený</w:t>
      </w:r>
      <w:r>
        <w:t xml:space="preserve"> </w:t>
      </w:r>
      <w:r w:rsidRPr="00652E1F">
        <w:t>v</w:t>
      </w:r>
      <w:r>
        <w:t xml:space="preserve"> </w:t>
      </w:r>
      <w:r w:rsidRPr="00652E1F">
        <w:t>§</w:t>
      </w:r>
      <w:r>
        <w:t xml:space="preserve"> </w:t>
      </w:r>
      <w:r w:rsidRPr="00652E1F">
        <w:t>9a</w:t>
      </w:r>
      <w:r>
        <w:t xml:space="preserve"> </w:t>
      </w:r>
      <w:r w:rsidRPr="00652E1F">
        <w:t>odst.</w:t>
      </w:r>
      <w:r>
        <w:t xml:space="preserve"> </w:t>
      </w:r>
      <w:r w:rsidRPr="00652E1F">
        <w:t>4,</w:t>
      </w:r>
    </w:p>
    <w:p w14:paraId="09FA6EAA" w14:textId="08F8278E" w:rsidR="00362C3F" w:rsidRDefault="00362C3F" w:rsidP="00B811D2">
      <w:pPr>
        <w:pStyle w:val="Textparagrafu"/>
        <w:numPr>
          <w:ilvl w:val="0"/>
          <w:numId w:val="28"/>
        </w:numPr>
        <w:tabs>
          <w:tab w:val="left" w:pos="434"/>
        </w:tabs>
        <w:spacing w:before="0"/>
        <w:ind w:left="426" w:hanging="426"/>
      </w:pPr>
      <w:r w:rsidRPr="00652E1F">
        <w:t>g)</w:t>
      </w:r>
      <w:r>
        <w:tab/>
      </w:r>
      <w:r w:rsidRPr="00652E1F">
        <w:t>smrtí,</w:t>
      </w:r>
      <w:r>
        <w:t xml:space="preserve"> </w:t>
      </w:r>
      <w:r w:rsidRPr="00652E1F">
        <w:t>prohlášením</w:t>
      </w:r>
      <w:r>
        <w:t xml:space="preserve"> </w:t>
      </w:r>
      <w:r w:rsidRPr="00652E1F">
        <w:t>za</w:t>
      </w:r>
      <w:r>
        <w:t xml:space="preserve"> </w:t>
      </w:r>
      <w:r w:rsidRPr="00652E1F">
        <w:t>mrtvého</w:t>
      </w:r>
      <w:r>
        <w:t xml:space="preserve"> </w:t>
      </w:r>
      <w:r w:rsidRPr="00652E1F">
        <w:t>nebo</w:t>
      </w:r>
      <w:r>
        <w:t xml:space="preserve"> </w:t>
      </w:r>
      <w:r w:rsidRPr="00652E1F">
        <w:t>dnem</w:t>
      </w:r>
      <w:r>
        <w:t xml:space="preserve"> </w:t>
      </w:r>
      <w:r w:rsidRPr="00652E1F">
        <w:t>prohlášení</w:t>
      </w:r>
      <w:r>
        <w:t xml:space="preserve"> </w:t>
      </w:r>
      <w:r w:rsidRPr="00652E1F">
        <w:t>za</w:t>
      </w:r>
      <w:r>
        <w:t xml:space="preserve"> </w:t>
      </w:r>
      <w:r w:rsidRPr="00652E1F">
        <w:t>nezvěstného,</w:t>
      </w:r>
      <w:r>
        <w:t xml:space="preserve"> </w:t>
      </w:r>
      <w:r w:rsidRPr="00652E1F">
        <w:t>nebo</w:t>
      </w:r>
    </w:p>
    <w:p w14:paraId="67742747" w14:textId="43BB7292" w:rsidR="00362C3F" w:rsidRPr="00652E1F" w:rsidRDefault="00362C3F" w:rsidP="00B811D2">
      <w:pPr>
        <w:pStyle w:val="Textparagrafu"/>
        <w:numPr>
          <w:ilvl w:val="0"/>
          <w:numId w:val="28"/>
        </w:numPr>
        <w:tabs>
          <w:tab w:val="left" w:pos="434"/>
        </w:tabs>
        <w:spacing w:before="0"/>
        <w:ind w:left="426" w:hanging="426"/>
      </w:pPr>
      <w:r w:rsidRPr="00652E1F">
        <w:t>h)</w:t>
      </w:r>
      <w:r>
        <w:tab/>
      </w:r>
      <w:r w:rsidRPr="00652E1F">
        <w:t>dnem</w:t>
      </w:r>
      <w:r>
        <w:t xml:space="preserve"> </w:t>
      </w:r>
      <w:r w:rsidRPr="00652E1F">
        <w:t>nabytí</w:t>
      </w:r>
      <w:r>
        <w:t xml:space="preserve"> </w:t>
      </w:r>
      <w:r w:rsidRPr="00652E1F">
        <w:t>právní</w:t>
      </w:r>
      <w:r>
        <w:t xml:space="preserve"> </w:t>
      </w:r>
      <w:r w:rsidRPr="00652E1F">
        <w:t>moci</w:t>
      </w:r>
      <w:r>
        <w:t xml:space="preserve"> </w:t>
      </w:r>
      <w:r w:rsidRPr="00652E1F">
        <w:t>rozhodnutí</w:t>
      </w:r>
      <w:r>
        <w:t xml:space="preserve"> </w:t>
      </w:r>
      <w:r w:rsidRPr="00652E1F">
        <w:t>o</w:t>
      </w:r>
      <w:r>
        <w:t xml:space="preserve"> </w:t>
      </w:r>
      <w:r w:rsidRPr="00652E1F">
        <w:t>spáchání</w:t>
      </w:r>
      <w:r>
        <w:t xml:space="preserve"> </w:t>
      </w:r>
      <w:r w:rsidRPr="00652E1F">
        <w:t>přestupku</w:t>
      </w:r>
      <w:r>
        <w:t xml:space="preserve"> </w:t>
      </w:r>
      <w:r w:rsidRPr="00652E1F">
        <w:t>podle</w:t>
      </w:r>
      <w:r>
        <w:t xml:space="preserve"> </w:t>
      </w:r>
      <w:r w:rsidRPr="00652E1F">
        <w:t>§</w:t>
      </w:r>
      <w:r>
        <w:t xml:space="preserve"> </w:t>
      </w:r>
      <w:r w:rsidRPr="00652E1F">
        <w:t>22d</w:t>
      </w:r>
      <w:r>
        <w:t xml:space="preserve"> </w:t>
      </w:r>
      <w:r w:rsidRPr="00652E1F">
        <w:t>odst.</w:t>
      </w:r>
      <w:r>
        <w:t xml:space="preserve"> </w:t>
      </w:r>
      <w:r w:rsidRPr="00652E1F">
        <w:t>1</w:t>
      </w:r>
      <w:r>
        <w:t xml:space="preserve"> </w:t>
      </w:r>
      <w:r w:rsidRPr="00652E1F">
        <w:t>písm.</w:t>
      </w:r>
      <w:r>
        <w:t xml:space="preserve"> </w:t>
      </w:r>
      <w:r w:rsidRPr="00652E1F">
        <w:t>a)</w:t>
      </w:r>
      <w:r>
        <w:t xml:space="preserve"> </w:t>
      </w:r>
      <w:r w:rsidRPr="00652E1F">
        <w:t>nebo</w:t>
      </w:r>
      <w:r>
        <w:t xml:space="preserve"> </w:t>
      </w:r>
      <w:r w:rsidRPr="00652E1F">
        <w:t>c).</w:t>
      </w:r>
    </w:p>
    <w:p w14:paraId="3CAA6643" w14:textId="4D924BFA" w:rsidR="00951FFF" w:rsidRDefault="00C94516" w:rsidP="00C94516">
      <w:pPr>
        <w:pStyle w:val="Textparagrafu"/>
        <w:numPr>
          <w:ilvl w:val="0"/>
          <w:numId w:val="28"/>
        </w:numPr>
        <w:jc w:val="center"/>
        <w:rPr>
          <w:b/>
        </w:rPr>
      </w:pPr>
      <w:r>
        <w:rPr>
          <w:b/>
        </w:rPr>
        <w:t>***</w:t>
      </w:r>
    </w:p>
    <w:p w14:paraId="2678500E" w14:textId="4DC91225" w:rsidR="0091629B" w:rsidRDefault="0091629B" w:rsidP="008E4D37">
      <w:pPr>
        <w:pStyle w:val="Textparagrafu"/>
        <w:ind w:firstLine="0"/>
        <w:jc w:val="center"/>
      </w:pPr>
      <w:r w:rsidRPr="001649B6">
        <w:t>§</w:t>
      </w:r>
      <w:r>
        <w:t xml:space="preserve"> </w:t>
      </w:r>
      <w:r w:rsidRPr="001649B6">
        <w:t>15</w:t>
      </w:r>
    </w:p>
    <w:p w14:paraId="5B091E32" w14:textId="46239F5D" w:rsidR="0091629B" w:rsidRDefault="0091629B" w:rsidP="00471221">
      <w:pPr>
        <w:pStyle w:val="Textparagrafu"/>
        <w:numPr>
          <w:ilvl w:val="0"/>
          <w:numId w:val="28"/>
        </w:numPr>
        <w:tabs>
          <w:tab w:val="left" w:pos="434"/>
        </w:tabs>
        <w:spacing w:before="120" w:after="120"/>
        <w:ind w:firstLine="426"/>
      </w:pPr>
      <w:r w:rsidRPr="001649B6">
        <w:t>(1)</w:t>
      </w:r>
      <w:r>
        <w:t xml:space="preserve"> </w:t>
      </w:r>
      <w:r w:rsidRPr="001649B6">
        <w:t>Zaměstnanecká</w:t>
      </w:r>
      <w:r>
        <w:t xml:space="preserve"> </w:t>
      </w:r>
      <w:r w:rsidRPr="001649B6">
        <w:t>pojišťovna</w:t>
      </w:r>
      <w:r>
        <w:t xml:space="preserve"> </w:t>
      </w:r>
      <w:r w:rsidRPr="001649B6">
        <w:t>každý</w:t>
      </w:r>
      <w:r>
        <w:t xml:space="preserve"> </w:t>
      </w:r>
      <w:r w:rsidRPr="001649B6">
        <w:t>kalendářní</w:t>
      </w:r>
      <w:r>
        <w:t xml:space="preserve"> </w:t>
      </w:r>
      <w:r w:rsidRPr="001649B6">
        <w:t>rok</w:t>
      </w:r>
      <w:r>
        <w:t xml:space="preserve"> </w:t>
      </w:r>
      <w:r w:rsidRPr="001649B6">
        <w:t>sestavuje</w:t>
      </w:r>
      <w:r>
        <w:t xml:space="preserve"> </w:t>
      </w:r>
      <w:r w:rsidRPr="001649B6">
        <w:t>zdravotně</w:t>
      </w:r>
      <w:r>
        <w:t xml:space="preserve"> </w:t>
      </w:r>
      <w:r w:rsidRPr="001649B6">
        <w:t>pojistný</w:t>
      </w:r>
      <w:r>
        <w:t xml:space="preserve"> </w:t>
      </w:r>
      <w:r w:rsidRPr="001649B6">
        <w:t>plán</w:t>
      </w:r>
      <w:r>
        <w:t xml:space="preserve"> </w:t>
      </w:r>
      <w:r w:rsidRPr="001649B6">
        <w:t>a</w:t>
      </w:r>
      <w:r>
        <w:t xml:space="preserve"> </w:t>
      </w:r>
      <w:r w:rsidRPr="001649B6">
        <w:t>výhled.</w:t>
      </w:r>
      <w:r>
        <w:t xml:space="preserve"> </w:t>
      </w:r>
      <w:r w:rsidRPr="001649B6">
        <w:t>Při</w:t>
      </w:r>
      <w:r>
        <w:t xml:space="preserve"> </w:t>
      </w:r>
      <w:r w:rsidRPr="001649B6">
        <w:t>sestavování</w:t>
      </w:r>
      <w:r>
        <w:t xml:space="preserve"> </w:t>
      </w:r>
      <w:r w:rsidRPr="001649B6">
        <w:t>zdravotně</w:t>
      </w:r>
      <w:r>
        <w:t xml:space="preserve"> </w:t>
      </w:r>
      <w:r w:rsidRPr="001649B6">
        <w:t>pojistného</w:t>
      </w:r>
      <w:r>
        <w:t xml:space="preserve"> </w:t>
      </w:r>
      <w:r w:rsidRPr="001649B6">
        <w:t>plánu</w:t>
      </w:r>
      <w:r>
        <w:t xml:space="preserve"> </w:t>
      </w:r>
      <w:r w:rsidRPr="001649B6">
        <w:t>se</w:t>
      </w:r>
      <w:r>
        <w:t xml:space="preserve"> </w:t>
      </w:r>
      <w:r w:rsidRPr="001649B6">
        <w:t>vychází</w:t>
      </w:r>
      <w:r>
        <w:t xml:space="preserve"> </w:t>
      </w:r>
      <w:r w:rsidRPr="001649B6">
        <w:t>z</w:t>
      </w:r>
      <w:r>
        <w:t xml:space="preserve"> </w:t>
      </w:r>
      <w:r w:rsidRPr="001649B6">
        <w:t>výhledu.</w:t>
      </w:r>
    </w:p>
    <w:p w14:paraId="07D85349" w14:textId="77777777" w:rsidR="0091629B" w:rsidRDefault="0091629B" w:rsidP="00471221">
      <w:pPr>
        <w:pStyle w:val="Textparagrafu"/>
        <w:numPr>
          <w:ilvl w:val="0"/>
          <w:numId w:val="28"/>
        </w:numPr>
        <w:tabs>
          <w:tab w:val="left" w:pos="434"/>
        </w:tabs>
        <w:spacing w:before="120" w:after="120"/>
        <w:ind w:firstLine="426"/>
      </w:pPr>
      <w:r w:rsidRPr="001649B6">
        <w:t>(2)</w:t>
      </w:r>
      <w:r>
        <w:t xml:space="preserve"> </w:t>
      </w:r>
      <w:r w:rsidRPr="001649B6">
        <w:t>Zdravotně</w:t>
      </w:r>
      <w:r>
        <w:t xml:space="preserve"> </w:t>
      </w:r>
      <w:r w:rsidRPr="001649B6">
        <w:t>pojistný</w:t>
      </w:r>
      <w:r>
        <w:t xml:space="preserve"> </w:t>
      </w:r>
      <w:r w:rsidRPr="001649B6">
        <w:t>plán</w:t>
      </w:r>
      <w:r>
        <w:t xml:space="preserve"> </w:t>
      </w:r>
      <w:r w:rsidRPr="001649B6">
        <w:t>je</w:t>
      </w:r>
      <w:r>
        <w:t xml:space="preserve"> </w:t>
      </w:r>
      <w:r w:rsidRPr="001649B6">
        <w:t>zpravidla</w:t>
      </w:r>
      <w:r>
        <w:t xml:space="preserve"> </w:t>
      </w:r>
      <w:r w:rsidRPr="001649B6">
        <w:t>sestavován</w:t>
      </w:r>
      <w:r>
        <w:t xml:space="preserve"> </w:t>
      </w:r>
      <w:r w:rsidRPr="001649B6">
        <w:t>jako</w:t>
      </w:r>
      <w:r>
        <w:t xml:space="preserve"> </w:t>
      </w:r>
      <w:r w:rsidRPr="001649B6">
        <w:t>vyrovnaný,</w:t>
      </w:r>
      <w:r>
        <w:t xml:space="preserve"> </w:t>
      </w:r>
      <w:r w:rsidRPr="001649B6">
        <w:t>přičemž</w:t>
      </w:r>
      <w:r>
        <w:t xml:space="preserve"> </w:t>
      </w:r>
      <w:r w:rsidRPr="001649B6">
        <w:t>vyrovnaným</w:t>
      </w:r>
      <w:r>
        <w:t xml:space="preserve"> </w:t>
      </w:r>
      <w:r w:rsidRPr="001649B6">
        <w:t>zdravotně</w:t>
      </w:r>
      <w:r>
        <w:t xml:space="preserve"> </w:t>
      </w:r>
      <w:r w:rsidRPr="001649B6">
        <w:t>pojistným</w:t>
      </w:r>
      <w:r>
        <w:t xml:space="preserve"> </w:t>
      </w:r>
      <w:r w:rsidRPr="001649B6">
        <w:t>plánem</w:t>
      </w:r>
      <w:r>
        <w:t xml:space="preserve"> </w:t>
      </w:r>
      <w:r w:rsidRPr="001649B6">
        <w:t>se</w:t>
      </w:r>
      <w:r>
        <w:t xml:space="preserve"> </w:t>
      </w:r>
      <w:r w:rsidRPr="001649B6">
        <w:t>pro</w:t>
      </w:r>
      <w:r>
        <w:t xml:space="preserve"> </w:t>
      </w:r>
      <w:r w:rsidRPr="001649B6">
        <w:t>účely</w:t>
      </w:r>
      <w:r>
        <w:t xml:space="preserve"> </w:t>
      </w:r>
      <w:r w:rsidRPr="001649B6">
        <w:t>tohoto</w:t>
      </w:r>
      <w:r>
        <w:t xml:space="preserve"> </w:t>
      </w:r>
      <w:r w:rsidRPr="001649B6">
        <w:t>zákona</w:t>
      </w:r>
      <w:r>
        <w:t xml:space="preserve"> </w:t>
      </w:r>
      <w:r w:rsidRPr="001649B6">
        <w:t>rozumí</w:t>
      </w:r>
      <w:r>
        <w:t xml:space="preserve"> </w:t>
      </w:r>
      <w:r w:rsidRPr="001649B6">
        <w:t>takový</w:t>
      </w:r>
      <w:r>
        <w:t xml:space="preserve"> </w:t>
      </w:r>
      <w:r w:rsidRPr="001649B6">
        <w:t>plán,</w:t>
      </w:r>
      <w:r>
        <w:t xml:space="preserve"> </w:t>
      </w:r>
      <w:r w:rsidRPr="001649B6">
        <w:t>ve</w:t>
      </w:r>
      <w:r>
        <w:t xml:space="preserve"> </w:t>
      </w:r>
      <w:r w:rsidRPr="001649B6">
        <w:t>kterém</w:t>
      </w:r>
      <w:r>
        <w:t xml:space="preserve"> </w:t>
      </w:r>
      <w:r w:rsidRPr="001649B6">
        <w:t>plánované</w:t>
      </w:r>
      <w:r>
        <w:t xml:space="preserve"> </w:t>
      </w:r>
      <w:r w:rsidRPr="001649B6">
        <w:t>výdaje</w:t>
      </w:r>
      <w:r>
        <w:t xml:space="preserve"> </w:t>
      </w:r>
      <w:r w:rsidRPr="001649B6">
        <w:t>nepřekračují</w:t>
      </w:r>
      <w:r>
        <w:t xml:space="preserve"> </w:t>
      </w:r>
      <w:r w:rsidRPr="001649B6">
        <w:t>součet</w:t>
      </w:r>
      <w:r>
        <w:t xml:space="preserve"> </w:t>
      </w:r>
      <w:r w:rsidRPr="001649B6">
        <w:t>plánovaných</w:t>
      </w:r>
      <w:r>
        <w:t xml:space="preserve"> </w:t>
      </w:r>
      <w:r w:rsidRPr="001649B6">
        <w:t>příjmů.</w:t>
      </w:r>
    </w:p>
    <w:p w14:paraId="10FFD94F" w14:textId="77777777" w:rsidR="0091629B" w:rsidRDefault="0091629B" w:rsidP="00471221">
      <w:pPr>
        <w:pStyle w:val="Textparagrafu"/>
        <w:numPr>
          <w:ilvl w:val="0"/>
          <w:numId w:val="28"/>
        </w:numPr>
        <w:tabs>
          <w:tab w:val="left" w:pos="434"/>
        </w:tabs>
        <w:spacing w:before="120" w:after="120"/>
        <w:ind w:firstLine="426"/>
      </w:pPr>
      <w:r w:rsidRPr="001649B6">
        <w:t>(3)</w:t>
      </w:r>
      <w:r>
        <w:t xml:space="preserve"> </w:t>
      </w:r>
      <w:r w:rsidRPr="001649B6">
        <w:t>Zdravotně</w:t>
      </w:r>
      <w:r>
        <w:t xml:space="preserve"> </w:t>
      </w:r>
      <w:r w:rsidRPr="001649B6">
        <w:t>pojistný</w:t>
      </w:r>
      <w:r>
        <w:t xml:space="preserve"> </w:t>
      </w:r>
      <w:r w:rsidRPr="001649B6">
        <w:t>plán</w:t>
      </w:r>
      <w:r>
        <w:t xml:space="preserve"> </w:t>
      </w:r>
      <w:r w:rsidRPr="001649B6">
        <w:t>může</w:t>
      </w:r>
      <w:r>
        <w:t xml:space="preserve"> </w:t>
      </w:r>
      <w:r w:rsidRPr="001649B6">
        <w:t>být</w:t>
      </w:r>
      <w:r>
        <w:t xml:space="preserve"> </w:t>
      </w:r>
      <w:r w:rsidRPr="001649B6">
        <w:t>sestaven</w:t>
      </w:r>
      <w:r>
        <w:t xml:space="preserve"> </w:t>
      </w:r>
      <w:r w:rsidRPr="001649B6">
        <w:t>jako</w:t>
      </w:r>
    </w:p>
    <w:p w14:paraId="4240719C" w14:textId="5F11C689" w:rsidR="0091629B" w:rsidRDefault="0091629B" w:rsidP="00B811D2">
      <w:pPr>
        <w:pStyle w:val="Textparagrafu"/>
        <w:tabs>
          <w:tab w:val="left" w:pos="434"/>
        </w:tabs>
        <w:spacing w:before="0"/>
        <w:ind w:left="426" w:hanging="426"/>
      </w:pPr>
      <w:r w:rsidRPr="001649B6">
        <w:t>a)</w:t>
      </w:r>
      <w:r w:rsidR="00412BC6">
        <w:tab/>
      </w:r>
      <w:r w:rsidRPr="001649B6">
        <w:t>přebytkový,</w:t>
      </w:r>
      <w:r>
        <w:t xml:space="preserve"> </w:t>
      </w:r>
      <w:r w:rsidRPr="001649B6">
        <w:t>jestliže</w:t>
      </w:r>
      <w:r>
        <w:t xml:space="preserve"> </w:t>
      </w:r>
      <w:r w:rsidRPr="001649B6">
        <w:t>je</w:t>
      </w:r>
      <w:r>
        <w:t xml:space="preserve"> </w:t>
      </w:r>
      <w:r w:rsidRPr="001649B6">
        <w:t>část</w:t>
      </w:r>
      <w:r>
        <w:t xml:space="preserve"> </w:t>
      </w:r>
      <w:r w:rsidRPr="001649B6">
        <w:t>příjmů</w:t>
      </w:r>
      <w:r>
        <w:t xml:space="preserve"> </w:t>
      </w:r>
      <w:r w:rsidRPr="001649B6">
        <w:t>daného</w:t>
      </w:r>
      <w:r>
        <w:t xml:space="preserve"> </w:t>
      </w:r>
      <w:r w:rsidRPr="001649B6">
        <w:t>roku</w:t>
      </w:r>
      <w:r>
        <w:t xml:space="preserve"> </w:t>
      </w:r>
      <w:r w:rsidRPr="001649B6">
        <w:t>určena</w:t>
      </w:r>
      <w:r>
        <w:t xml:space="preserve"> </w:t>
      </w:r>
      <w:r w:rsidRPr="001649B6">
        <w:t>k</w:t>
      </w:r>
      <w:r>
        <w:t xml:space="preserve"> </w:t>
      </w:r>
      <w:r w:rsidRPr="001649B6">
        <w:t>využití</w:t>
      </w:r>
      <w:r>
        <w:t xml:space="preserve"> </w:t>
      </w:r>
      <w:r w:rsidRPr="001649B6">
        <w:t>až</w:t>
      </w:r>
      <w:r>
        <w:t xml:space="preserve"> </w:t>
      </w:r>
      <w:r w:rsidRPr="001649B6">
        <w:t>v</w:t>
      </w:r>
      <w:r>
        <w:t xml:space="preserve"> </w:t>
      </w:r>
      <w:r w:rsidRPr="001649B6">
        <w:t>následujících</w:t>
      </w:r>
      <w:r>
        <w:t xml:space="preserve"> </w:t>
      </w:r>
      <w:r w:rsidRPr="001649B6">
        <w:t>letech;</w:t>
      </w:r>
      <w:r>
        <w:t xml:space="preserve"> </w:t>
      </w:r>
      <w:r w:rsidRPr="001649B6">
        <w:t>tyto</w:t>
      </w:r>
      <w:r>
        <w:t xml:space="preserve"> </w:t>
      </w:r>
      <w:r w:rsidRPr="001649B6">
        <w:t>příjmy</w:t>
      </w:r>
      <w:r>
        <w:t xml:space="preserve"> </w:t>
      </w:r>
      <w:r w:rsidRPr="001649B6">
        <w:t>musí</w:t>
      </w:r>
      <w:r>
        <w:t xml:space="preserve"> </w:t>
      </w:r>
      <w:r w:rsidRPr="001649B6">
        <w:t>být</w:t>
      </w:r>
      <w:r>
        <w:t xml:space="preserve"> </w:t>
      </w:r>
      <w:r w:rsidRPr="001649B6">
        <w:t>v</w:t>
      </w:r>
      <w:r>
        <w:t xml:space="preserve"> </w:t>
      </w:r>
      <w:r w:rsidRPr="001649B6">
        <w:t>takovém</w:t>
      </w:r>
      <w:r>
        <w:t xml:space="preserve"> </w:t>
      </w:r>
      <w:r w:rsidRPr="001649B6">
        <w:t>zdravotně</w:t>
      </w:r>
      <w:r>
        <w:t xml:space="preserve"> </w:t>
      </w:r>
      <w:r w:rsidRPr="001649B6">
        <w:t>pojistném</w:t>
      </w:r>
      <w:r>
        <w:t xml:space="preserve"> </w:t>
      </w:r>
      <w:r w:rsidRPr="001649B6">
        <w:t>plánu</w:t>
      </w:r>
      <w:r>
        <w:t xml:space="preserve"> </w:t>
      </w:r>
      <w:r w:rsidRPr="001649B6">
        <w:t>vymezeny,</w:t>
      </w:r>
      <w:r>
        <w:t xml:space="preserve"> </w:t>
      </w:r>
      <w:r w:rsidRPr="001649B6">
        <w:t>nebo</w:t>
      </w:r>
    </w:p>
    <w:p w14:paraId="3D533335" w14:textId="5E2F5895" w:rsidR="0091629B" w:rsidRDefault="0091629B" w:rsidP="00B811D2">
      <w:pPr>
        <w:pStyle w:val="Textparagrafu"/>
        <w:tabs>
          <w:tab w:val="left" w:pos="434"/>
        </w:tabs>
        <w:spacing w:before="0"/>
        <w:ind w:left="426" w:hanging="426"/>
      </w:pPr>
      <w:r w:rsidRPr="001649B6">
        <w:lastRenderedPageBreak/>
        <w:t>b)</w:t>
      </w:r>
      <w:r w:rsidR="00412BC6">
        <w:tab/>
      </w:r>
      <w:r w:rsidRPr="001649B6">
        <w:t>schodkový,</w:t>
      </w:r>
      <w:r>
        <w:t xml:space="preserve"> </w:t>
      </w:r>
      <w:r w:rsidRPr="001649B6">
        <w:t>jestliže</w:t>
      </w:r>
      <w:r>
        <w:t xml:space="preserve"> </w:t>
      </w:r>
      <w:r w:rsidRPr="001649B6">
        <w:t>je</w:t>
      </w:r>
      <w:r>
        <w:t xml:space="preserve"> </w:t>
      </w:r>
      <w:r w:rsidRPr="001649B6">
        <w:t>schodek</w:t>
      </w:r>
      <w:r>
        <w:t xml:space="preserve"> </w:t>
      </w:r>
      <w:r w:rsidRPr="001649B6">
        <w:t>možné</w:t>
      </w:r>
      <w:r>
        <w:t xml:space="preserve"> </w:t>
      </w:r>
      <w:r w:rsidRPr="001649B6">
        <w:t>uhradit</w:t>
      </w:r>
      <w:r>
        <w:t xml:space="preserve"> </w:t>
      </w:r>
      <w:r w:rsidRPr="001649B6">
        <w:t>finančními</w:t>
      </w:r>
      <w:r>
        <w:t xml:space="preserve"> </w:t>
      </w:r>
      <w:r w:rsidRPr="001649B6">
        <w:t>zůstatky</w:t>
      </w:r>
      <w:r>
        <w:t xml:space="preserve"> </w:t>
      </w:r>
      <w:r w:rsidRPr="001649B6">
        <w:t>na</w:t>
      </w:r>
      <w:r>
        <w:t xml:space="preserve"> </w:t>
      </w:r>
      <w:r w:rsidRPr="001649B6">
        <w:t>fondech</w:t>
      </w:r>
      <w:r>
        <w:t xml:space="preserve"> </w:t>
      </w:r>
      <w:r w:rsidRPr="001649B6">
        <w:t>z</w:t>
      </w:r>
      <w:r>
        <w:t xml:space="preserve"> </w:t>
      </w:r>
      <w:r w:rsidRPr="001649B6">
        <w:t>minulých</w:t>
      </w:r>
      <w:r>
        <w:t xml:space="preserve"> </w:t>
      </w:r>
      <w:r w:rsidRPr="001649B6">
        <w:t>let</w:t>
      </w:r>
      <w:r>
        <w:t xml:space="preserve"> </w:t>
      </w:r>
      <w:r w:rsidRPr="001649B6">
        <w:t>při</w:t>
      </w:r>
      <w:r>
        <w:t xml:space="preserve"> </w:t>
      </w:r>
      <w:r w:rsidRPr="001649B6">
        <w:t>zachování</w:t>
      </w:r>
      <w:r>
        <w:t xml:space="preserve"> </w:t>
      </w:r>
      <w:r w:rsidRPr="001649B6">
        <w:t>zůstatku</w:t>
      </w:r>
      <w:r>
        <w:t xml:space="preserve"> </w:t>
      </w:r>
      <w:r w:rsidRPr="001649B6">
        <w:t>rezervního</w:t>
      </w:r>
      <w:r>
        <w:t xml:space="preserve"> </w:t>
      </w:r>
      <w:r w:rsidRPr="001649B6">
        <w:t>fondu</w:t>
      </w:r>
      <w:r>
        <w:t xml:space="preserve"> </w:t>
      </w:r>
      <w:r w:rsidRPr="001649B6">
        <w:t>nejméně</w:t>
      </w:r>
      <w:r>
        <w:t xml:space="preserve"> </w:t>
      </w:r>
      <w:r w:rsidRPr="001649B6">
        <w:t>ve</w:t>
      </w:r>
      <w:r>
        <w:t xml:space="preserve"> </w:t>
      </w:r>
      <w:r w:rsidRPr="001649B6">
        <w:t>výši</w:t>
      </w:r>
      <w:r>
        <w:t xml:space="preserve"> </w:t>
      </w:r>
      <w:r w:rsidRPr="001649B6">
        <w:t>podle</w:t>
      </w:r>
      <w:r>
        <w:t xml:space="preserve"> </w:t>
      </w:r>
      <w:r w:rsidRPr="001649B6">
        <w:t>§</w:t>
      </w:r>
      <w:r>
        <w:t xml:space="preserve"> </w:t>
      </w:r>
      <w:r w:rsidRPr="001649B6">
        <w:t>18</w:t>
      </w:r>
      <w:r>
        <w:t xml:space="preserve"> </w:t>
      </w:r>
      <w:r w:rsidRPr="001649B6">
        <w:t>odst.</w:t>
      </w:r>
      <w:r>
        <w:t xml:space="preserve"> </w:t>
      </w:r>
      <w:r w:rsidRPr="001649B6">
        <w:t>1;</w:t>
      </w:r>
      <w:r>
        <w:t xml:space="preserve"> </w:t>
      </w:r>
      <w:r w:rsidRPr="001649B6">
        <w:t>způsob</w:t>
      </w:r>
      <w:r>
        <w:t xml:space="preserve"> </w:t>
      </w:r>
      <w:r w:rsidRPr="001649B6">
        <w:t>úhrady</w:t>
      </w:r>
      <w:r>
        <w:t xml:space="preserve"> </w:t>
      </w:r>
      <w:r w:rsidRPr="001649B6">
        <w:t>musí</w:t>
      </w:r>
      <w:r>
        <w:t xml:space="preserve"> </w:t>
      </w:r>
      <w:r w:rsidRPr="001649B6">
        <w:t>být</w:t>
      </w:r>
      <w:r>
        <w:t xml:space="preserve"> </w:t>
      </w:r>
      <w:r w:rsidRPr="001649B6">
        <w:t>v</w:t>
      </w:r>
      <w:r>
        <w:t xml:space="preserve"> </w:t>
      </w:r>
      <w:r w:rsidRPr="001649B6">
        <w:t>takovém</w:t>
      </w:r>
      <w:r>
        <w:t xml:space="preserve"> </w:t>
      </w:r>
      <w:r w:rsidRPr="001649B6">
        <w:t>zdravotně</w:t>
      </w:r>
      <w:r>
        <w:t xml:space="preserve"> </w:t>
      </w:r>
      <w:r w:rsidRPr="001649B6">
        <w:t>pojistném</w:t>
      </w:r>
      <w:r>
        <w:t xml:space="preserve"> </w:t>
      </w:r>
      <w:r w:rsidRPr="001649B6">
        <w:t>plánu</w:t>
      </w:r>
      <w:r>
        <w:t xml:space="preserve"> </w:t>
      </w:r>
      <w:r w:rsidRPr="001649B6">
        <w:t>vymezen.</w:t>
      </w:r>
    </w:p>
    <w:p w14:paraId="3BE0414F" w14:textId="77777777" w:rsidR="0091629B" w:rsidRDefault="0091629B" w:rsidP="00471221">
      <w:pPr>
        <w:pStyle w:val="Textparagrafu"/>
        <w:numPr>
          <w:ilvl w:val="0"/>
          <w:numId w:val="28"/>
        </w:numPr>
        <w:tabs>
          <w:tab w:val="left" w:pos="434"/>
        </w:tabs>
        <w:spacing w:before="120" w:after="120"/>
        <w:ind w:firstLine="426"/>
      </w:pPr>
      <w:r w:rsidRPr="001649B6">
        <w:t>(4)</w:t>
      </w:r>
      <w:r>
        <w:t xml:space="preserve"> </w:t>
      </w:r>
      <w:r w:rsidRPr="001649B6">
        <w:t>Zaměstnanecká</w:t>
      </w:r>
      <w:r>
        <w:t xml:space="preserve"> </w:t>
      </w:r>
      <w:r w:rsidRPr="001649B6">
        <w:t>pojišťovna</w:t>
      </w:r>
      <w:r>
        <w:t xml:space="preserve"> </w:t>
      </w:r>
      <w:r w:rsidRPr="001649B6">
        <w:t>hospodaří</w:t>
      </w:r>
      <w:r>
        <w:t xml:space="preserve"> </w:t>
      </w:r>
      <w:r w:rsidRPr="001649B6">
        <w:t>v</w:t>
      </w:r>
      <w:r>
        <w:t xml:space="preserve"> </w:t>
      </w:r>
      <w:r w:rsidRPr="001649B6">
        <w:t>souladu</w:t>
      </w:r>
      <w:r>
        <w:t xml:space="preserve"> </w:t>
      </w:r>
      <w:r w:rsidRPr="001649B6">
        <w:t>se</w:t>
      </w:r>
      <w:r>
        <w:t xml:space="preserve"> </w:t>
      </w:r>
      <w:r w:rsidRPr="001649B6">
        <w:t>schváleným</w:t>
      </w:r>
      <w:r>
        <w:t xml:space="preserve"> </w:t>
      </w:r>
      <w:r w:rsidRPr="001649B6">
        <w:t>zdravotně</w:t>
      </w:r>
      <w:r>
        <w:t xml:space="preserve"> </w:t>
      </w:r>
      <w:r w:rsidRPr="001649B6">
        <w:t>pojistným</w:t>
      </w:r>
      <w:r>
        <w:t xml:space="preserve"> </w:t>
      </w:r>
      <w:r w:rsidRPr="001649B6">
        <w:t>plánem</w:t>
      </w:r>
      <w:r>
        <w:t xml:space="preserve"> </w:t>
      </w:r>
      <w:r w:rsidRPr="001649B6">
        <w:t>nebo</w:t>
      </w:r>
      <w:r>
        <w:t xml:space="preserve"> </w:t>
      </w:r>
      <w:r w:rsidRPr="001649B6">
        <w:t>provizoriem.</w:t>
      </w:r>
    </w:p>
    <w:p w14:paraId="2536515D" w14:textId="67FF013E" w:rsidR="0091629B" w:rsidRPr="005F227C" w:rsidRDefault="0091629B" w:rsidP="00471221">
      <w:pPr>
        <w:pStyle w:val="Textparagrafu"/>
        <w:numPr>
          <w:ilvl w:val="0"/>
          <w:numId w:val="28"/>
        </w:numPr>
        <w:tabs>
          <w:tab w:val="left" w:pos="434"/>
        </w:tabs>
        <w:spacing w:before="120" w:after="120"/>
        <w:ind w:firstLine="426"/>
        <w:rPr>
          <w:strike/>
        </w:rPr>
      </w:pPr>
      <w:r w:rsidRPr="005F227C">
        <w:rPr>
          <w:strike/>
        </w:rPr>
        <w:t>(5) Zaměstnanecká pojišťovna je povinna zajistit prostřednictvím auditora</w:t>
      </w:r>
      <w:r w:rsidRPr="005F227C">
        <w:rPr>
          <w:strike/>
          <w:vertAlign w:val="superscript"/>
        </w:rPr>
        <w:t>26)</w:t>
      </w:r>
      <w:r w:rsidRPr="005F227C">
        <w:rPr>
          <w:strike/>
        </w:rPr>
        <w:t xml:space="preserve"> nebo právnické osoby, která je zapsána v seznamu </w:t>
      </w:r>
      <w:r w:rsidR="00412BC6" w:rsidRPr="005F227C">
        <w:rPr>
          <w:strike/>
        </w:rPr>
        <w:t>auditorů</w:t>
      </w:r>
      <w:r w:rsidR="00412BC6" w:rsidRPr="005F227C">
        <w:rPr>
          <w:rStyle w:val="Znakapoznpodarou"/>
          <w:strike/>
        </w:rPr>
        <w:footnoteReference w:customMarkFollows="1" w:id="114"/>
        <w:t>26)</w:t>
      </w:r>
      <w:r w:rsidRPr="005F227C">
        <w:rPr>
          <w:strike/>
        </w:rPr>
        <w:t>, (dále jen "auditor")</w:t>
      </w:r>
    </w:p>
    <w:p w14:paraId="2FDC1236" w14:textId="2CEB26A4" w:rsidR="0091629B" w:rsidRPr="005F227C" w:rsidRDefault="0091629B" w:rsidP="00412BC6">
      <w:pPr>
        <w:pStyle w:val="Textparagrafu"/>
        <w:tabs>
          <w:tab w:val="left" w:pos="434"/>
        </w:tabs>
        <w:spacing w:before="0"/>
        <w:ind w:firstLine="0"/>
        <w:rPr>
          <w:strike/>
        </w:rPr>
      </w:pPr>
      <w:r w:rsidRPr="005F227C">
        <w:rPr>
          <w:strike/>
        </w:rPr>
        <w:t>a)</w:t>
      </w:r>
      <w:r w:rsidR="00412BC6" w:rsidRPr="005F227C">
        <w:rPr>
          <w:strike/>
        </w:rPr>
        <w:tab/>
      </w:r>
      <w:r w:rsidRPr="005F227C">
        <w:rPr>
          <w:strike/>
        </w:rPr>
        <w:t>ověření účetní závěrky zaměstnanecké pojišťovny,</w:t>
      </w:r>
    </w:p>
    <w:p w14:paraId="28B368A7" w14:textId="7497900F" w:rsidR="0091629B" w:rsidRPr="005F227C" w:rsidRDefault="0091629B" w:rsidP="00412BC6">
      <w:pPr>
        <w:pStyle w:val="Textparagrafu"/>
        <w:tabs>
          <w:tab w:val="left" w:pos="434"/>
        </w:tabs>
        <w:spacing w:before="0"/>
        <w:ind w:firstLine="0"/>
        <w:rPr>
          <w:strike/>
        </w:rPr>
      </w:pPr>
      <w:r w:rsidRPr="005F227C">
        <w:rPr>
          <w:strike/>
        </w:rPr>
        <w:t>b)</w:t>
      </w:r>
      <w:r w:rsidR="00412BC6" w:rsidRPr="005F227C">
        <w:rPr>
          <w:strike/>
        </w:rPr>
        <w:tab/>
      </w:r>
      <w:r w:rsidRPr="005F227C">
        <w:rPr>
          <w:strike/>
        </w:rPr>
        <w:t>ověření návrhu výroční zprávy zaměstnanecké pojišťovny za příslušný rok.</w:t>
      </w:r>
    </w:p>
    <w:p w14:paraId="05C289A4" w14:textId="5464C6D7" w:rsidR="0091629B" w:rsidRDefault="0091629B" w:rsidP="00471221">
      <w:pPr>
        <w:pStyle w:val="Textparagrafu"/>
        <w:numPr>
          <w:ilvl w:val="0"/>
          <w:numId w:val="28"/>
        </w:numPr>
        <w:tabs>
          <w:tab w:val="left" w:pos="434"/>
        </w:tabs>
        <w:spacing w:before="120" w:after="120"/>
        <w:ind w:firstLine="426"/>
      </w:pPr>
      <w:proofErr w:type="gramStart"/>
      <w:r w:rsidRPr="005F227C">
        <w:rPr>
          <w:strike/>
        </w:rPr>
        <w:t>(6)</w:t>
      </w:r>
      <w:r w:rsidR="005F227C" w:rsidRPr="005F227C">
        <w:rPr>
          <w:b/>
        </w:rPr>
        <w:t>(5)</w:t>
      </w:r>
      <w:r w:rsidRPr="005F227C">
        <w:rPr>
          <w:b/>
        </w:rPr>
        <w:t xml:space="preserve"> </w:t>
      </w:r>
      <w:r w:rsidRPr="001649B6">
        <w:t>Zaměstnanecká</w:t>
      </w:r>
      <w:proofErr w:type="gramEnd"/>
      <w:r>
        <w:t xml:space="preserve"> </w:t>
      </w:r>
      <w:r w:rsidRPr="001649B6">
        <w:t>pojišťovna</w:t>
      </w:r>
      <w:r>
        <w:t xml:space="preserve"> </w:t>
      </w:r>
      <w:r w:rsidRPr="001649B6">
        <w:t>je</w:t>
      </w:r>
      <w:r>
        <w:t xml:space="preserve"> </w:t>
      </w:r>
      <w:r w:rsidRPr="001649B6">
        <w:t>povinna</w:t>
      </w:r>
      <w:r>
        <w:t xml:space="preserve"> </w:t>
      </w:r>
      <w:r w:rsidRPr="001649B6">
        <w:t>v</w:t>
      </w:r>
      <w:r>
        <w:t xml:space="preserve"> </w:t>
      </w:r>
      <w:r w:rsidRPr="001649B6">
        <w:t>návaznosti</w:t>
      </w:r>
      <w:r>
        <w:t xml:space="preserve"> </w:t>
      </w:r>
      <w:r w:rsidRPr="001649B6">
        <w:t>na</w:t>
      </w:r>
      <w:r>
        <w:t xml:space="preserve"> </w:t>
      </w:r>
      <w:r w:rsidRPr="001649B6">
        <w:t>termíny</w:t>
      </w:r>
      <w:r>
        <w:t xml:space="preserve"> </w:t>
      </w:r>
      <w:r w:rsidRPr="001649B6">
        <w:t>stanovené</w:t>
      </w:r>
      <w:r>
        <w:t xml:space="preserve"> </w:t>
      </w:r>
      <w:r w:rsidRPr="001649B6">
        <w:t>jiným</w:t>
      </w:r>
      <w:r>
        <w:t xml:space="preserve"> </w:t>
      </w:r>
      <w:r w:rsidRPr="001649B6">
        <w:t>zákonem</w:t>
      </w:r>
      <w:r>
        <w:t xml:space="preserve"> </w:t>
      </w:r>
      <w:r w:rsidRPr="001649B6">
        <w:t>pro</w:t>
      </w:r>
      <w:r>
        <w:t xml:space="preserve"> </w:t>
      </w:r>
      <w:r w:rsidRPr="001649B6">
        <w:t>předkládání</w:t>
      </w:r>
      <w:r>
        <w:t xml:space="preserve"> </w:t>
      </w:r>
      <w:r w:rsidRPr="001649B6">
        <w:t>návrhu</w:t>
      </w:r>
      <w:r>
        <w:t xml:space="preserve"> </w:t>
      </w:r>
      <w:r w:rsidRPr="001649B6">
        <w:t>státního</w:t>
      </w:r>
      <w:r>
        <w:t xml:space="preserve"> </w:t>
      </w:r>
      <w:r w:rsidRPr="001649B6">
        <w:t>rozpočtu</w:t>
      </w:r>
      <w:r>
        <w:t xml:space="preserve"> </w:t>
      </w:r>
      <w:r w:rsidRPr="001649B6">
        <w:t>a</w:t>
      </w:r>
      <w:r>
        <w:t xml:space="preserve"> </w:t>
      </w:r>
      <w:r w:rsidRPr="001649B6">
        <w:t>státního</w:t>
      </w:r>
      <w:r>
        <w:t xml:space="preserve"> </w:t>
      </w:r>
      <w:r w:rsidRPr="001649B6">
        <w:t>závěrečného</w:t>
      </w:r>
      <w:r>
        <w:t xml:space="preserve"> </w:t>
      </w:r>
      <w:r w:rsidRPr="001649B6">
        <w:t>účtu</w:t>
      </w:r>
      <w:r>
        <w:t xml:space="preserve"> </w:t>
      </w:r>
      <w:r w:rsidRPr="001649B6">
        <w:t>předložit</w:t>
      </w:r>
      <w:r>
        <w:t xml:space="preserve"> </w:t>
      </w:r>
      <w:r w:rsidRPr="001649B6">
        <w:t>Ministerstvu</w:t>
      </w:r>
      <w:r>
        <w:t xml:space="preserve"> </w:t>
      </w:r>
      <w:r w:rsidRPr="001649B6">
        <w:t>zdravotnictví</w:t>
      </w:r>
      <w:r>
        <w:t xml:space="preserve"> </w:t>
      </w:r>
      <w:r w:rsidRPr="001649B6">
        <w:t>a</w:t>
      </w:r>
      <w:r>
        <w:t xml:space="preserve"> </w:t>
      </w:r>
      <w:r w:rsidRPr="001649B6">
        <w:t>Ministerstvu</w:t>
      </w:r>
      <w:r>
        <w:t xml:space="preserve"> </w:t>
      </w:r>
      <w:r w:rsidRPr="001649B6">
        <w:t>financí</w:t>
      </w:r>
      <w:r>
        <w:t xml:space="preserve"> </w:t>
      </w:r>
      <w:r w:rsidRPr="001649B6">
        <w:t>návrh</w:t>
      </w:r>
      <w:r>
        <w:t xml:space="preserve"> </w:t>
      </w:r>
      <w:r w:rsidRPr="001649B6">
        <w:t>zdravotně</w:t>
      </w:r>
      <w:r>
        <w:t xml:space="preserve"> </w:t>
      </w:r>
      <w:r w:rsidRPr="001649B6">
        <w:t>pojistného</w:t>
      </w:r>
      <w:r>
        <w:t xml:space="preserve"> </w:t>
      </w:r>
      <w:r w:rsidRPr="001649B6">
        <w:t>plánu</w:t>
      </w:r>
      <w:r>
        <w:t xml:space="preserve"> </w:t>
      </w:r>
      <w:r w:rsidRPr="001649B6">
        <w:t>na</w:t>
      </w:r>
      <w:r>
        <w:t xml:space="preserve"> </w:t>
      </w:r>
      <w:r w:rsidRPr="001649B6">
        <w:t>následující</w:t>
      </w:r>
      <w:r>
        <w:t xml:space="preserve"> </w:t>
      </w:r>
      <w:r w:rsidRPr="001649B6">
        <w:t>kalendářní</w:t>
      </w:r>
      <w:r>
        <w:t xml:space="preserve"> </w:t>
      </w:r>
      <w:r w:rsidRPr="001649B6">
        <w:t>rok,</w:t>
      </w:r>
      <w:r>
        <w:t xml:space="preserve"> </w:t>
      </w:r>
      <w:r w:rsidRPr="00382493">
        <w:rPr>
          <w:strike/>
        </w:rPr>
        <w:t>účetní závěrku, návrh výroční zprávy za minulý kalendářní rok včetně zprávy auditora</w:t>
      </w:r>
      <w:r>
        <w:t xml:space="preserve"> </w:t>
      </w:r>
      <w:r w:rsidR="00382493" w:rsidRPr="00B737B8">
        <w:rPr>
          <w:b/>
          <w:bCs/>
        </w:rPr>
        <w:t>řádnou účetní závěrku,</w:t>
      </w:r>
      <w:r w:rsidR="00382493" w:rsidRPr="00B737B8">
        <w:t xml:space="preserve"> </w:t>
      </w:r>
      <w:r w:rsidR="00382493" w:rsidRPr="006709C9">
        <w:rPr>
          <w:b/>
        </w:rPr>
        <w:t>zprávu vedení za uplynulé účetní období, zprávu auditora o povinném auditu</w:t>
      </w:r>
      <w:r w:rsidR="00382493" w:rsidRPr="001649B6">
        <w:t xml:space="preserve"> </w:t>
      </w:r>
      <w:r w:rsidRPr="001649B6">
        <w:t>a</w:t>
      </w:r>
      <w:r>
        <w:t xml:space="preserve"> </w:t>
      </w:r>
      <w:r w:rsidRPr="001649B6">
        <w:t>pro</w:t>
      </w:r>
      <w:r>
        <w:t xml:space="preserve"> </w:t>
      </w:r>
      <w:r w:rsidRPr="001649B6">
        <w:t>informaci</w:t>
      </w:r>
      <w:r>
        <w:t xml:space="preserve"> </w:t>
      </w:r>
      <w:r w:rsidRPr="001649B6">
        <w:t>také</w:t>
      </w:r>
      <w:r>
        <w:t xml:space="preserve"> </w:t>
      </w:r>
      <w:r w:rsidRPr="001649B6">
        <w:t>výhled.</w:t>
      </w:r>
    </w:p>
    <w:p w14:paraId="13270A2F" w14:textId="69FB962B" w:rsidR="0091629B" w:rsidRDefault="0091629B" w:rsidP="00471221">
      <w:pPr>
        <w:pStyle w:val="Textparagrafu"/>
        <w:numPr>
          <w:ilvl w:val="0"/>
          <w:numId w:val="28"/>
        </w:numPr>
        <w:tabs>
          <w:tab w:val="left" w:pos="434"/>
        </w:tabs>
        <w:spacing w:before="120" w:after="120"/>
        <w:ind w:firstLine="426"/>
      </w:pPr>
      <w:proofErr w:type="gramStart"/>
      <w:r w:rsidRPr="005F227C">
        <w:rPr>
          <w:strike/>
        </w:rPr>
        <w:t>(7)</w:t>
      </w:r>
      <w:r w:rsidR="005F227C" w:rsidRPr="005F227C">
        <w:rPr>
          <w:b/>
        </w:rPr>
        <w:t>(6)</w:t>
      </w:r>
      <w:r w:rsidRPr="005F227C">
        <w:rPr>
          <w:b/>
        </w:rPr>
        <w:t xml:space="preserve"> </w:t>
      </w:r>
      <w:r w:rsidRPr="001649B6">
        <w:t>Zdravotně</w:t>
      </w:r>
      <w:proofErr w:type="gramEnd"/>
      <w:r>
        <w:t xml:space="preserve"> </w:t>
      </w:r>
      <w:r w:rsidRPr="001649B6">
        <w:t>pojistný</w:t>
      </w:r>
      <w:r>
        <w:t xml:space="preserve"> </w:t>
      </w:r>
      <w:r w:rsidRPr="001649B6">
        <w:t>plán</w:t>
      </w:r>
      <w:r>
        <w:t xml:space="preserve"> </w:t>
      </w:r>
      <w:r w:rsidRPr="001649B6">
        <w:t>a</w:t>
      </w:r>
      <w:r>
        <w:t xml:space="preserve"> </w:t>
      </w:r>
      <w:r w:rsidRPr="001649B6">
        <w:t>výhled</w:t>
      </w:r>
      <w:r>
        <w:t xml:space="preserve"> </w:t>
      </w:r>
      <w:r w:rsidRPr="001649B6">
        <w:t>obsahují</w:t>
      </w:r>
      <w:r>
        <w:t xml:space="preserve"> </w:t>
      </w:r>
      <w:r w:rsidRPr="001649B6">
        <w:t>údaje</w:t>
      </w:r>
      <w:r>
        <w:t xml:space="preserve"> </w:t>
      </w:r>
      <w:r w:rsidRPr="001649B6">
        <w:t>o</w:t>
      </w:r>
      <w:r>
        <w:t xml:space="preserve"> </w:t>
      </w:r>
      <w:r w:rsidRPr="001649B6">
        <w:t>zaměstnanecké</w:t>
      </w:r>
      <w:r>
        <w:t xml:space="preserve"> </w:t>
      </w:r>
      <w:r w:rsidRPr="001649B6">
        <w:t>pojišťovně,</w:t>
      </w:r>
      <w:r>
        <w:t xml:space="preserve"> </w:t>
      </w:r>
      <w:r w:rsidRPr="001649B6">
        <w:t>plán</w:t>
      </w:r>
      <w:r>
        <w:t xml:space="preserve"> </w:t>
      </w:r>
      <w:r w:rsidRPr="001649B6">
        <w:t>příjmů</w:t>
      </w:r>
      <w:r>
        <w:t xml:space="preserve"> </w:t>
      </w:r>
      <w:r w:rsidRPr="001649B6">
        <w:t>a</w:t>
      </w:r>
      <w:r>
        <w:t xml:space="preserve"> </w:t>
      </w:r>
      <w:r w:rsidRPr="001649B6">
        <w:t>výdajů</w:t>
      </w:r>
      <w:r>
        <w:t xml:space="preserve"> </w:t>
      </w:r>
      <w:r w:rsidRPr="001649B6">
        <w:t>zaměstnanecké</w:t>
      </w:r>
      <w:r>
        <w:t xml:space="preserve"> </w:t>
      </w:r>
      <w:r w:rsidRPr="001649B6">
        <w:t>pojišťovny</w:t>
      </w:r>
      <w:r>
        <w:t xml:space="preserve"> </w:t>
      </w:r>
      <w:r w:rsidRPr="001649B6">
        <w:t>včetně</w:t>
      </w:r>
      <w:r>
        <w:t xml:space="preserve"> </w:t>
      </w:r>
      <w:r w:rsidRPr="001649B6">
        <w:t>členění</w:t>
      </w:r>
      <w:r>
        <w:t xml:space="preserve"> </w:t>
      </w:r>
      <w:r w:rsidRPr="001649B6">
        <w:t>podle</w:t>
      </w:r>
      <w:r>
        <w:t xml:space="preserve"> </w:t>
      </w:r>
      <w:r w:rsidRPr="001649B6">
        <w:t>jednotlivých</w:t>
      </w:r>
      <w:r>
        <w:t xml:space="preserve"> </w:t>
      </w:r>
      <w:r w:rsidRPr="001649B6">
        <w:t>fondů,</w:t>
      </w:r>
      <w:r>
        <w:t xml:space="preserve"> </w:t>
      </w:r>
      <w:r w:rsidRPr="001649B6">
        <w:t>předpokládaný</w:t>
      </w:r>
      <w:r>
        <w:t xml:space="preserve"> </w:t>
      </w:r>
      <w:r w:rsidRPr="001649B6">
        <w:t>vývoj</w:t>
      </w:r>
      <w:r>
        <w:t xml:space="preserve"> </w:t>
      </w:r>
      <w:r w:rsidRPr="001649B6">
        <w:t>struktury</w:t>
      </w:r>
      <w:r>
        <w:t xml:space="preserve"> </w:t>
      </w:r>
      <w:r w:rsidRPr="001649B6">
        <w:t>pojištěnců,</w:t>
      </w:r>
      <w:r>
        <w:t xml:space="preserve"> </w:t>
      </w:r>
      <w:r w:rsidRPr="001649B6">
        <w:t>údaje</w:t>
      </w:r>
      <w:r>
        <w:t xml:space="preserve"> </w:t>
      </w:r>
      <w:r w:rsidRPr="001649B6">
        <w:t>o</w:t>
      </w:r>
      <w:r>
        <w:t xml:space="preserve"> </w:t>
      </w:r>
      <w:r w:rsidRPr="001649B6">
        <w:t>rozsahu</w:t>
      </w:r>
      <w:r>
        <w:t xml:space="preserve"> </w:t>
      </w:r>
      <w:r w:rsidRPr="001649B6">
        <w:t>hrazených</w:t>
      </w:r>
      <w:r>
        <w:t xml:space="preserve"> </w:t>
      </w:r>
      <w:r w:rsidRPr="001649B6">
        <w:t>služeb</w:t>
      </w:r>
      <w:r>
        <w:t xml:space="preserve"> </w:t>
      </w:r>
      <w:r w:rsidRPr="001649B6">
        <w:t>zajišťovaných</w:t>
      </w:r>
      <w:r>
        <w:t xml:space="preserve"> </w:t>
      </w:r>
      <w:r w:rsidRPr="001649B6">
        <w:t>zaměstnaneckou</w:t>
      </w:r>
      <w:r>
        <w:t xml:space="preserve"> </w:t>
      </w:r>
      <w:r w:rsidRPr="001649B6">
        <w:t>pojišťovnou,</w:t>
      </w:r>
      <w:r>
        <w:t xml:space="preserve"> </w:t>
      </w:r>
      <w:r w:rsidRPr="001649B6">
        <w:t>plán</w:t>
      </w:r>
      <w:r>
        <w:t xml:space="preserve"> </w:t>
      </w:r>
      <w:r w:rsidRPr="001649B6">
        <w:t>vývoje</w:t>
      </w:r>
      <w:r>
        <w:t xml:space="preserve"> </w:t>
      </w:r>
      <w:r w:rsidRPr="001649B6">
        <w:t>sítě</w:t>
      </w:r>
      <w:r>
        <w:t xml:space="preserve"> </w:t>
      </w:r>
      <w:r w:rsidRPr="001649B6">
        <w:t>smluvních</w:t>
      </w:r>
      <w:r>
        <w:t xml:space="preserve"> </w:t>
      </w:r>
      <w:r w:rsidRPr="001649B6">
        <w:t>poskytovatelů</w:t>
      </w:r>
      <w:r>
        <w:t xml:space="preserve"> </w:t>
      </w:r>
      <w:r w:rsidRPr="001649B6">
        <w:t>hrazených</w:t>
      </w:r>
      <w:r>
        <w:t xml:space="preserve"> </w:t>
      </w:r>
      <w:r w:rsidRPr="001649B6">
        <w:t>služeb</w:t>
      </w:r>
      <w:r>
        <w:t xml:space="preserve"> </w:t>
      </w:r>
      <w:r w:rsidRPr="001649B6">
        <w:t>včetně</w:t>
      </w:r>
      <w:r>
        <w:t xml:space="preserve"> </w:t>
      </w:r>
      <w:r w:rsidRPr="001649B6">
        <w:t>informace</w:t>
      </w:r>
      <w:r>
        <w:t xml:space="preserve"> </w:t>
      </w:r>
      <w:r w:rsidRPr="001649B6">
        <w:t>o</w:t>
      </w:r>
      <w:r>
        <w:t xml:space="preserve"> </w:t>
      </w:r>
      <w:r w:rsidRPr="001649B6">
        <w:t>zajištění</w:t>
      </w:r>
      <w:r>
        <w:t xml:space="preserve"> </w:t>
      </w:r>
      <w:r w:rsidRPr="001649B6">
        <w:t>dostupnosti</w:t>
      </w:r>
      <w:r>
        <w:t xml:space="preserve"> </w:t>
      </w:r>
      <w:r w:rsidRPr="001649B6">
        <w:t>hrazených</w:t>
      </w:r>
      <w:r>
        <w:t xml:space="preserve"> </w:t>
      </w:r>
      <w:r w:rsidRPr="001649B6">
        <w:t>služeb</w:t>
      </w:r>
      <w:r>
        <w:t xml:space="preserve"> </w:t>
      </w:r>
      <w:r w:rsidRPr="001649B6">
        <w:t>a</w:t>
      </w:r>
      <w:r>
        <w:t xml:space="preserve"> </w:t>
      </w:r>
      <w:r w:rsidRPr="001649B6">
        <w:t>plán</w:t>
      </w:r>
      <w:r>
        <w:t xml:space="preserve"> </w:t>
      </w:r>
      <w:r w:rsidRPr="001649B6">
        <w:t>provozních</w:t>
      </w:r>
      <w:r>
        <w:t xml:space="preserve"> </w:t>
      </w:r>
      <w:r w:rsidRPr="001649B6">
        <w:t>nákladů.</w:t>
      </w:r>
      <w:r>
        <w:t xml:space="preserve"> </w:t>
      </w:r>
      <w:r w:rsidRPr="001649B6">
        <w:t>Podrobnou</w:t>
      </w:r>
      <w:r>
        <w:t xml:space="preserve"> </w:t>
      </w:r>
      <w:r w:rsidRPr="001649B6">
        <w:t>strukturu</w:t>
      </w:r>
      <w:r>
        <w:t xml:space="preserve"> </w:t>
      </w:r>
      <w:r w:rsidRPr="001649B6">
        <w:t>obsahu</w:t>
      </w:r>
      <w:r>
        <w:t xml:space="preserve"> </w:t>
      </w:r>
      <w:r w:rsidRPr="001649B6">
        <w:t>informací</w:t>
      </w:r>
      <w:r>
        <w:t xml:space="preserve"> </w:t>
      </w:r>
      <w:r w:rsidRPr="001649B6">
        <w:t>podle</w:t>
      </w:r>
      <w:r>
        <w:t xml:space="preserve"> </w:t>
      </w:r>
      <w:r w:rsidRPr="001649B6">
        <w:t>věty</w:t>
      </w:r>
      <w:r>
        <w:t xml:space="preserve"> </w:t>
      </w:r>
      <w:r w:rsidRPr="001649B6">
        <w:t>první</w:t>
      </w:r>
      <w:r>
        <w:t xml:space="preserve"> </w:t>
      </w:r>
      <w:r w:rsidRPr="001649B6">
        <w:t>a</w:t>
      </w:r>
      <w:r>
        <w:t xml:space="preserve"> </w:t>
      </w:r>
      <w:r w:rsidRPr="001649B6">
        <w:t>způsob</w:t>
      </w:r>
      <w:r>
        <w:t xml:space="preserve"> </w:t>
      </w:r>
      <w:r w:rsidRPr="001649B6">
        <w:t>předkládání</w:t>
      </w:r>
      <w:r>
        <w:t xml:space="preserve"> </w:t>
      </w:r>
      <w:r w:rsidRPr="001649B6">
        <w:t>zdravotně</w:t>
      </w:r>
      <w:r>
        <w:t xml:space="preserve"> </w:t>
      </w:r>
      <w:r w:rsidRPr="001649B6">
        <w:t>pojistného</w:t>
      </w:r>
      <w:r>
        <w:t xml:space="preserve"> </w:t>
      </w:r>
      <w:r w:rsidRPr="001649B6">
        <w:t>plánu</w:t>
      </w:r>
      <w:r>
        <w:t xml:space="preserve"> </w:t>
      </w:r>
      <w:r w:rsidRPr="001649B6">
        <w:t>a</w:t>
      </w:r>
      <w:r>
        <w:t xml:space="preserve"> </w:t>
      </w:r>
      <w:r w:rsidRPr="001649B6">
        <w:t>výhledu</w:t>
      </w:r>
      <w:r>
        <w:t xml:space="preserve"> </w:t>
      </w:r>
      <w:r w:rsidRPr="001649B6">
        <w:t>stanoví</w:t>
      </w:r>
      <w:r>
        <w:t xml:space="preserve"> </w:t>
      </w:r>
      <w:r w:rsidRPr="001649B6">
        <w:t>Ministerstvo</w:t>
      </w:r>
      <w:r>
        <w:t xml:space="preserve"> </w:t>
      </w:r>
      <w:r w:rsidRPr="001649B6">
        <w:t>zdravotnictví</w:t>
      </w:r>
      <w:r>
        <w:t xml:space="preserve"> </w:t>
      </w:r>
      <w:r w:rsidRPr="001649B6">
        <w:t>společně</w:t>
      </w:r>
      <w:r>
        <w:t xml:space="preserve"> </w:t>
      </w:r>
      <w:r w:rsidRPr="001649B6">
        <w:t>s</w:t>
      </w:r>
      <w:r>
        <w:t xml:space="preserve"> </w:t>
      </w:r>
      <w:r w:rsidRPr="001649B6">
        <w:t>Ministerstvem</w:t>
      </w:r>
      <w:r>
        <w:t xml:space="preserve"> </w:t>
      </w:r>
      <w:r w:rsidRPr="001649B6">
        <w:t>financí</w:t>
      </w:r>
      <w:r>
        <w:t xml:space="preserve"> </w:t>
      </w:r>
      <w:r w:rsidRPr="001649B6">
        <w:t>vyhláškou.</w:t>
      </w:r>
    </w:p>
    <w:p w14:paraId="5BBE69FD" w14:textId="7738BB6F" w:rsidR="0091629B" w:rsidRDefault="0091629B" w:rsidP="00471221">
      <w:pPr>
        <w:pStyle w:val="Textparagrafu"/>
        <w:numPr>
          <w:ilvl w:val="0"/>
          <w:numId w:val="28"/>
        </w:numPr>
        <w:tabs>
          <w:tab w:val="left" w:pos="434"/>
        </w:tabs>
        <w:spacing w:before="120" w:after="120"/>
        <w:ind w:firstLine="426"/>
      </w:pPr>
      <w:proofErr w:type="gramStart"/>
      <w:r w:rsidRPr="005F227C">
        <w:rPr>
          <w:strike/>
        </w:rPr>
        <w:t>(8)</w:t>
      </w:r>
      <w:r w:rsidR="005F227C">
        <w:rPr>
          <w:b/>
        </w:rPr>
        <w:t>(7)</w:t>
      </w:r>
      <w:r>
        <w:t xml:space="preserve"> </w:t>
      </w:r>
      <w:r w:rsidRPr="001649B6">
        <w:t>Ministerstvo</w:t>
      </w:r>
      <w:proofErr w:type="gramEnd"/>
      <w:r>
        <w:t xml:space="preserve"> </w:t>
      </w:r>
      <w:r w:rsidRPr="001649B6">
        <w:t>zdravotnictví</w:t>
      </w:r>
      <w:r>
        <w:t xml:space="preserve"> </w:t>
      </w:r>
      <w:r w:rsidRPr="001649B6">
        <w:t>a</w:t>
      </w:r>
      <w:r>
        <w:t xml:space="preserve"> </w:t>
      </w:r>
      <w:r w:rsidRPr="001649B6">
        <w:t>Ministerstvo</w:t>
      </w:r>
      <w:r>
        <w:t xml:space="preserve"> </w:t>
      </w:r>
      <w:r w:rsidRPr="001649B6">
        <w:t>financí</w:t>
      </w:r>
      <w:r>
        <w:t xml:space="preserve"> </w:t>
      </w:r>
      <w:r w:rsidRPr="001649B6">
        <w:t>posoudí</w:t>
      </w:r>
      <w:r>
        <w:t xml:space="preserve"> </w:t>
      </w:r>
      <w:r w:rsidRPr="001649B6">
        <w:t>předložený</w:t>
      </w:r>
      <w:r>
        <w:t xml:space="preserve"> </w:t>
      </w:r>
      <w:r w:rsidRPr="001649B6">
        <w:t>návrh</w:t>
      </w:r>
      <w:r>
        <w:t xml:space="preserve"> </w:t>
      </w:r>
      <w:r w:rsidRPr="001649B6">
        <w:t>zdravotně</w:t>
      </w:r>
      <w:r>
        <w:t xml:space="preserve"> </w:t>
      </w:r>
      <w:r w:rsidRPr="001649B6">
        <w:t>pojistného</w:t>
      </w:r>
      <w:r>
        <w:t xml:space="preserve"> </w:t>
      </w:r>
      <w:r w:rsidRPr="001649B6">
        <w:t>plánu</w:t>
      </w:r>
      <w:r>
        <w:t xml:space="preserve"> </w:t>
      </w:r>
      <w:r w:rsidRPr="001649B6">
        <w:t>z</w:t>
      </w:r>
      <w:r>
        <w:t xml:space="preserve"> </w:t>
      </w:r>
      <w:r w:rsidRPr="001649B6">
        <w:t>hlediska</w:t>
      </w:r>
      <w:r>
        <w:t xml:space="preserve"> </w:t>
      </w:r>
      <w:r w:rsidRPr="001649B6">
        <w:t>souladu</w:t>
      </w:r>
      <w:r>
        <w:t xml:space="preserve"> </w:t>
      </w:r>
      <w:r w:rsidRPr="001649B6">
        <w:t>s</w:t>
      </w:r>
      <w:r>
        <w:t xml:space="preserve"> </w:t>
      </w:r>
      <w:r w:rsidRPr="001649B6">
        <w:t>právními</w:t>
      </w:r>
      <w:r>
        <w:t xml:space="preserve"> </w:t>
      </w:r>
      <w:r w:rsidRPr="001649B6">
        <w:t>předpisy</w:t>
      </w:r>
      <w:r>
        <w:t xml:space="preserve"> </w:t>
      </w:r>
      <w:r w:rsidRPr="001649B6">
        <w:t>a</w:t>
      </w:r>
      <w:r>
        <w:t xml:space="preserve"> </w:t>
      </w:r>
      <w:r w:rsidRPr="001649B6">
        <w:t>z</w:t>
      </w:r>
      <w:r>
        <w:t xml:space="preserve"> </w:t>
      </w:r>
      <w:r w:rsidRPr="001649B6">
        <w:t>hlediska</w:t>
      </w:r>
      <w:r>
        <w:t xml:space="preserve"> </w:t>
      </w:r>
      <w:r w:rsidRPr="001649B6">
        <w:t>souladu</w:t>
      </w:r>
      <w:r>
        <w:t xml:space="preserve"> </w:t>
      </w:r>
      <w:r w:rsidRPr="001649B6">
        <w:t>s</w:t>
      </w:r>
      <w:r>
        <w:t xml:space="preserve"> </w:t>
      </w:r>
      <w:r w:rsidRPr="001649B6">
        <w:t>veřejným</w:t>
      </w:r>
      <w:r>
        <w:t xml:space="preserve"> </w:t>
      </w:r>
      <w:r w:rsidRPr="001649B6">
        <w:t>zájmem</w:t>
      </w:r>
      <w:r>
        <w:t xml:space="preserve"> </w:t>
      </w:r>
      <w:r w:rsidRPr="001649B6">
        <w:t>podle</w:t>
      </w:r>
      <w:r>
        <w:t xml:space="preserve"> </w:t>
      </w:r>
      <w:r w:rsidRPr="001649B6">
        <w:t>zákona</w:t>
      </w:r>
      <w:r>
        <w:t xml:space="preserve"> </w:t>
      </w:r>
      <w:r w:rsidRPr="001649B6">
        <w:t>o</w:t>
      </w:r>
      <w:r>
        <w:t xml:space="preserve"> </w:t>
      </w:r>
      <w:r w:rsidRPr="001649B6">
        <w:t>veřejném</w:t>
      </w:r>
      <w:r>
        <w:t xml:space="preserve"> </w:t>
      </w:r>
      <w:r w:rsidRPr="001649B6">
        <w:t>zdravotním</w:t>
      </w:r>
      <w:r>
        <w:t xml:space="preserve"> </w:t>
      </w:r>
      <w:r w:rsidRPr="001649B6">
        <w:t>pojištění.</w:t>
      </w:r>
    </w:p>
    <w:p w14:paraId="32F5029A" w14:textId="2873AB87" w:rsidR="0091629B" w:rsidRDefault="0091629B" w:rsidP="00471221">
      <w:pPr>
        <w:pStyle w:val="Textparagrafu"/>
        <w:numPr>
          <w:ilvl w:val="0"/>
          <w:numId w:val="28"/>
        </w:numPr>
        <w:tabs>
          <w:tab w:val="left" w:pos="434"/>
        </w:tabs>
        <w:spacing w:before="120" w:after="120"/>
        <w:ind w:firstLine="426"/>
      </w:pPr>
      <w:proofErr w:type="gramStart"/>
      <w:r w:rsidRPr="005F227C">
        <w:rPr>
          <w:strike/>
        </w:rPr>
        <w:t>(9)</w:t>
      </w:r>
      <w:r w:rsidR="005F227C">
        <w:rPr>
          <w:b/>
        </w:rPr>
        <w:t>(8)</w:t>
      </w:r>
      <w:r>
        <w:t xml:space="preserve"> </w:t>
      </w:r>
      <w:r w:rsidRPr="001649B6">
        <w:t>V</w:t>
      </w:r>
      <w:r>
        <w:t xml:space="preserve"> </w:t>
      </w:r>
      <w:r w:rsidRPr="001649B6">
        <w:t>případě</w:t>
      </w:r>
      <w:proofErr w:type="gramEnd"/>
      <w:r w:rsidRPr="001649B6">
        <w:t>,</w:t>
      </w:r>
      <w:r>
        <w:t xml:space="preserve"> </w:t>
      </w:r>
      <w:r w:rsidRPr="001649B6">
        <w:t>kdy</w:t>
      </w:r>
      <w:r>
        <w:t xml:space="preserve"> </w:t>
      </w:r>
      <w:r w:rsidRPr="001649B6">
        <w:t>Ministerstvo</w:t>
      </w:r>
      <w:r>
        <w:t xml:space="preserve"> </w:t>
      </w:r>
      <w:r w:rsidRPr="001649B6">
        <w:t>zdravotnictví</w:t>
      </w:r>
      <w:r>
        <w:t xml:space="preserve"> </w:t>
      </w:r>
      <w:r w:rsidRPr="001649B6">
        <w:t>a</w:t>
      </w:r>
      <w:r>
        <w:t xml:space="preserve"> </w:t>
      </w:r>
      <w:r w:rsidRPr="001649B6">
        <w:t>Ministerstvo</w:t>
      </w:r>
      <w:r>
        <w:t xml:space="preserve"> </w:t>
      </w:r>
      <w:r w:rsidRPr="001649B6">
        <w:t>financí</w:t>
      </w:r>
      <w:r>
        <w:t xml:space="preserve"> </w:t>
      </w:r>
      <w:r w:rsidRPr="001649B6">
        <w:t>po</w:t>
      </w:r>
      <w:r>
        <w:t xml:space="preserve"> </w:t>
      </w:r>
      <w:r w:rsidRPr="001649B6">
        <w:t>posouzení</w:t>
      </w:r>
      <w:r>
        <w:t xml:space="preserve"> </w:t>
      </w:r>
      <w:r w:rsidRPr="001649B6">
        <w:t>souladu</w:t>
      </w:r>
      <w:r>
        <w:t xml:space="preserve"> </w:t>
      </w:r>
      <w:r w:rsidRPr="001649B6">
        <w:t>návrhu</w:t>
      </w:r>
      <w:r>
        <w:t xml:space="preserve"> </w:t>
      </w:r>
      <w:r w:rsidRPr="001649B6">
        <w:t>zdravotně</w:t>
      </w:r>
      <w:r>
        <w:t xml:space="preserve"> </w:t>
      </w:r>
      <w:r w:rsidRPr="001649B6">
        <w:t>pojistného</w:t>
      </w:r>
      <w:r>
        <w:t xml:space="preserve"> </w:t>
      </w:r>
      <w:r w:rsidRPr="001649B6">
        <w:t>plánu</w:t>
      </w:r>
      <w:r>
        <w:t xml:space="preserve"> </w:t>
      </w:r>
      <w:r w:rsidRPr="001649B6">
        <w:t>s</w:t>
      </w:r>
      <w:r>
        <w:t xml:space="preserve"> </w:t>
      </w:r>
      <w:r w:rsidRPr="001649B6">
        <w:t>právními</w:t>
      </w:r>
      <w:r>
        <w:t xml:space="preserve"> </w:t>
      </w:r>
      <w:r w:rsidRPr="001649B6">
        <w:t>předpisy</w:t>
      </w:r>
      <w:r>
        <w:t xml:space="preserve"> </w:t>
      </w:r>
      <w:r w:rsidRPr="001649B6">
        <w:t>a</w:t>
      </w:r>
      <w:r>
        <w:t xml:space="preserve"> </w:t>
      </w:r>
      <w:r w:rsidRPr="001649B6">
        <w:t>veřejným</w:t>
      </w:r>
      <w:r>
        <w:t xml:space="preserve"> </w:t>
      </w:r>
      <w:r w:rsidRPr="001649B6">
        <w:t>zájmem</w:t>
      </w:r>
      <w:r>
        <w:t xml:space="preserve"> </w:t>
      </w:r>
      <w:r w:rsidRPr="001649B6">
        <w:t>podle</w:t>
      </w:r>
      <w:r>
        <w:t xml:space="preserve"> </w:t>
      </w:r>
      <w:r w:rsidRPr="001649B6">
        <w:t>zákona</w:t>
      </w:r>
      <w:r>
        <w:t xml:space="preserve"> </w:t>
      </w:r>
      <w:r w:rsidRPr="001649B6">
        <w:t>o</w:t>
      </w:r>
      <w:r>
        <w:t xml:space="preserve"> </w:t>
      </w:r>
      <w:r w:rsidRPr="001649B6">
        <w:t>veřejném</w:t>
      </w:r>
      <w:r>
        <w:t xml:space="preserve"> </w:t>
      </w:r>
      <w:r w:rsidRPr="001649B6">
        <w:t>zdravotním</w:t>
      </w:r>
      <w:r>
        <w:t xml:space="preserve"> </w:t>
      </w:r>
      <w:r w:rsidRPr="001649B6">
        <w:t>pojištění</w:t>
      </w:r>
      <w:r>
        <w:t xml:space="preserve"> </w:t>
      </w:r>
      <w:r w:rsidRPr="001649B6">
        <w:t>zjistí,</w:t>
      </w:r>
      <w:r>
        <w:t xml:space="preserve"> </w:t>
      </w:r>
      <w:r w:rsidRPr="001649B6">
        <w:t>že</w:t>
      </w:r>
      <w:r>
        <w:t xml:space="preserve"> </w:t>
      </w:r>
      <w:r w:rsidRPr="001649B6">
        <w:t>návrh</w:t>
      </w:r>
      <w:r>
        <w:t xml:space="preserve"> </w:t>
      </w:r>
      <w:r w:rsidRPr="001649B6">
        <w:t>zdravotně</w:t>
      </w:r>
      <w:r>
        <w:t xml:space="preserve"> </w:t>
      </w:r>
      <w:r w:rsidRPr="001649B6">
        <w:t>pojistného</w:t>
      </w:r>
      <w:r>
        <w:t xml:space="preserve"> </w:t>
      </w:r>
      <w:r w:rsidRPr="001649B6">
        <w:t>plánu</w:t>
      </w:r>
      <w:r>
        <w:t xml:space="preserve"> </w:t>
      </w:r>
      <w:r w:rsidRPr="001649B6">
        <w:t>není</w:t>
      </w:r>
      <w:r>
        <w:t xml:space="preserve"> </w:t>
      </w:r>
      <w:r w:rsidRPr="001649B6">
        <w:t>s</w:t>
      </w:r>
      <w:r>
        <w:t xml:space="preserve"> </w:t>
      </w:r>
      <w:r w:rsidRPr="001649B6">
        <w:t>těmito</w:t>
      </w:r>
      <w:r>
        <w:t xml:space="preserve"> </w:t>
      </w:r>
      <w:r w:rsidRPr="001649B6">
        <w:t>hledisky</w:t>
      </w:r>
      <w:r>
        <w:t xml:space="preserve"> </w:t>
      </w:r>
      <w:r w:rsidRPr="001649B6">
        <w:t>v</w:t>
      </w:r>
      <w:r>
        <w:t xml:space="preserve"> </w:t>
      </w:r>
      <w:r w:rsidRPr="001649B6">
        <w:t>rozporu,</w:t>
      </w:r>
      <w:r>
        <w:t xml:space="preserve"> </w:t>
      </w:r>
      <w:r w:rsidRPr="001649B6">
        <w:t>předloží</w:t>
      </w:r>
      <w:r>
        <w:t xml:space="preserve"> </w:t>
      </w:r>
      <w:r w:rsidRPr="001649B6">
        <w:t>návrh</w:t>
      </w:r>
      <w:r>
        <w:t xml:space="preserve"> </w:t>
      </w:r>
      <w:r w:rsidRPr="001649B6">
        <w:t>zdravotně</w:t>
      </w:r>
      <w:r>
        <w:t xml:space="preserve"> </w:t>
      </w:r>
      <w:r w:rsidRPr="001649B6">
        <w:t>pojistného</w:t>
      </w:r>
      <w:r>
        <w:t xml:space="preserve"> </w:t>
      </w:r>
      <w:r w:rsidRPr="001649B6">
        <w:t>plánu</w:t>
      </w:r>
      <w:r>
        <w:t xml:space="preserve"> </w:t>
      </w:r>
      <w:r w:rsidRPr="001649B6">
        <w:t>vládě.</w:t>
      </w:r>
    </w:p>
    <w:p w14:paraId="7C7192CD" w14:textId="7D894AE8" w:rsidR="0091629B" w:rsidRDefault="0091629B" w:rsidP="00471221">
      <w:pPr>
        <w:pStyle w:val="Textparagrafu"/>
        <w:numPr>
          <w:ilvl w:val="0"/>
          <w:numId w:val="28"/>
        </w:numPr>
        <w:tabs>
          <w:tab w:val="left" w:pos="434"/>
        </w:tabs>
        <w:spacing w:before="120" w:after="120"/>
        <w:ind w:firstLine="426"/>
      </w:pPr>
      <w:r w:rsidRPr="005F227C">
        <w:rPr>
          <w:strike/>
        </w:rPr>
        <w:t>(</w:t>
      </w:r>
      <w:proofErr w:type="gramStart"/>
      <w:r w:rsidRPr="005F227C">
        <w:rPr>
          <w:strike/>
        </w:rPr>
        <w:t>10)</w:t>
      </w:r>
      <w:r w:rsidR="005F227C">
        <w:rPr>
          <w:b/>
        </w:rPr>
        <w:t>(9)</w:t>
      </w:r>
      <w:r>
        <w:t xml:space="preserve"> </w:t>
      </w:r>
      <w:r w:rsidRPr="001649B6">
        <w:t>V</w:t>
      </w:r>
      <w:r>
        <w:t xml:space="preserve"> </w:t>
      </w:r>
      <w:r w:rsidRPr="001649B6">
        <w:t>případě</w:t>
      </w:r>
      <w:proofErr w:type="gramEnd"/>
      <w:r w:rsidRPr="001649B6">
        <w:t>,</w:t>
      </w:r>
      <w:r>
        <w:t xml:space="preserve"> </w:t>
      </w:r>
      <w:r w:rsidRPr="001649B6">
        <w:t>kdy</w:t>
      </w:r>
      <w:r>
        <w:t xml:space="preserve"> </w:t>
      </w:r>
      <w:r w:rsidRPr="001649B6">
        <w:t>Ministerstvo</w:t>
      </w:r>
      <w:r>
        <w:t xml:space="preserve"> </w:t>
      </w:r>
      <w:r w:rsidRPr="001649B6">
        <w:t>zdravotnictví</w:t>
      </w:r>
      <w:r>
        <w:t xml:space="preserve"> </w:t>
      </w:r>
      <w:r w:rsidRPr="001649B6">
        <w:t>a</w:t>
      </w:r>
      <w:r>
        <w:t xml:space="preserve"> </w:t>
      </w:r>
      <w:r w:rsidRPr="001649B6">
        <w:t>Ministerstvo</w:t>
      </w:r>
      <w:r>
        <w:t xml:space="preserve"> </w:t>
      </w:r>
      <w:r w:rsidRPr="001649B6">
        <w:t>financí</w:t>
      </w:r>
      <w:r>
        <w:t xml:space="preserve"> </w:t>
      </w:r>
      <w:r w:rsidRPr="001649B6">
        <w:t>zjistí,</w:t>
      </w:r>
      <w:r>
        <w:t xml:space="preserve"> </w:t>
      </w:r>
      <w:r w:rsidRPr="001649B6">
        <w:t>že</w:t>
      </w:r>
      <w:r>
        <w:t xml:space="preserve"> </w:t>
      </w:r>
      <w:r w:rsidRPr="001649B6">
        <w:t>návrh</w:t>
      </w:r>
      <w:r>
        <w:t xml:space="preserve"> </w:t>
      </w:r>
      <w:r w:rsidRPr="001649B6">
        <w:t>zdravotně</w:t>
      </w:r>
      <w:r>
        <w:t xml:space="preserve"> </w:t>
      </w:r>
      <w:r w:rsidRPr="001649B6">
        <w:t>pojistného</w:t>
      </w:r>
      <w:r>
        <w:t xml:space="preserve"> </w:t>
      </w:r>
      <w:r w:rsidRPr="001649B6">
        <w:t>plánu</w:t>
      </w:r>
      <w:r>
        <w:t xml:space="preserve"> </w:t>
      </w:r>
      <w:r w:rsidRPr="001649B6">
        <w:t>odporuje</w:t>
      </w:r>
      <w:r>
        <w:t xml:space="preserve"> </w:t>
      </w:r>
      <w:r w:rsidRPr="001649B6">
        <w:t>právním</w:t>
      </w:r>
      <w:r>
        <w:t xml:space="preserve"> </w:t>
      </w:r>
      <w:r w:rsidRPr="001649B6">
        <w:t>předpisům</w:t>
      </w:r>
      <w:r>
        <w:t xml:space="preserve"> </w:t>
      </w:r>
      <w:r w:rsidRPr="001649B6">
        <w:t>anebo</w:t>
      </w:r>
      <w:r>
        <w:t xml:space="preserve"> </w:t>
      </w:r>
      <w:r w:rsidRPr="001649B6">
        <w:t>veřejnému</w:t>
      </w:r>
      <w:r>
        <w:t xml:space="preserve"> </w:t>
      </w:r>
      <w:r w:rsidRPr="001649B6">
        <w:t>zájmu</w:t>
      </w:r>
      <w:r>
        <w:t xml:space="preserve"> </w:t>
      </w:r>
      <w:r w:rsidRPr="001649B6">
        <w:t>podle</w:t>
      </w:r>
      <w:r>
        <w:t xml:space="preserve"> </w:t>
      </w:r>
      <w:r w:rsidRPr="001649B6">
        <w:t>zákona</w:t>
      </w:r>
      <w:r>
        <w:t xml:space="preserve"> </w:t>
      </w:r>
      <w:r w:rsidRPr="001649B6">
        <w:t>o</w:t>
      </w:r>
      <w:r>
        <w:t xml:space="preserve"> </w:t>
      </w:r>
      <w:r w:rsidRPr="001649B6">
        <w:t>veřejném</w:t>
      </w:r>
      <w:r>
        <w:t xml:space="preserve"> </w:t>
      </w:r>
      <w:r w:rsidRPr="001649B6">
        <w:t>zdravotním</w:t>
      </w:r>
      <w:r>
        <w:t xml:space="preserve"> </w:t>
      </w:r>
      <w:r w:rsidRPr="001649B6">
        <w:t>pojištění,</w:t>
      </w:r>
      <w:r>
        <w:t xml:space="preserve"> </w:t>
      </w:r>
      <w:r w:rsidRPr="001649B6">
        <w:t>vrátí</w:t>
      </w:r>
      <w:r>
        <w:t xml:space="preserve"> </w:t>
      </w:r>
      <w:r w:rsidRPr="001649B6">
        <w:t>zaměstnanecké</w:t>
      </w:r>
      <w:r>
        <w:t xml:space="preserve"> </w:t>
      </w:r>
      <w:r w:rsidRPr="001649B6">
        <w:t>pojišťovně</w:t>
      </w:r>
      <w:r>
        <w:t xml:space="preserve"> </w:t>
      </w:r>
      <w:r w:rsidRPr="001649B6">
        <w:t>návrh</w:t>
      </w:r>
      <w:r>
        <w:t xml:space="preserve"> </w:t>
      </w:r>
      <w:r w:rsidRPr="001649B6">
        <w:t>zdravotně</w:t>
      </w:r>
      <w:r>
        <w:t xml:space="preserve"> </w:t>
      </w:r>
      <w:r w:rsidRPr="001649B6">
        <w:t>pojistného</w:t>
      </w:r>
      <w:r>
        <w:t xml:space="preserve"> </w:t>
      </w:r>
      <w:r w:rsidRPr="001649B6">
        <w:t>plánu</w:t>
      </w:r>
      <w:r>
        <w:t xml:space="preserve"> </w:t>
      </w:r>
      <w:r w:rsidRPr="001649B6">
        <w:t>s</w:t>
      </w:r>
      <w:r>
        <w:t xml:space="preserve"> </w:t>
      </w:r>
      <w:r w:rsidRPr="001649B6">
        <w:t>výzvou</w:t>
      </w:r>
      <w:r>
        <w:t xml:space="preserve"> </w:t>
      </w:r>
      <w:r w:rsidRPr="001649B6">
        <w:t>k</w:t>
      </w:r>
      <w:r>
        <w:t xml:space="preserve"> </w:t>
      </w:r>
      <w:r w:rsidRPr="001649B6">
        <w:t>přepracování.</w:t>
      </w:r>
      <w:r>
        <w:t xml:space="preserve"> </w:t>
      </w:r>
      <w:r w:rsidRPr="001649B6">
        <w:t>Zaměstnanecká</w:t>
      </w:r>
      <w:r>
        <w:t xml:space="preserve"> </w:t>
      </w:r>
      <w:r w:rsidRPr="001649B6">
        <w:t>pojišťovna</w:t>
      </w:r>
      <w:r>
        <w:t xml:space="preserve"> </w:t>
      </w:r>
      <w:r w:rsidRPr="001649B6">
        <w:t>předloží</w:t>
      </w:r>
      <w:r>
        <w:t xml:space="preserve"> </w:t>
      </w:r>
      <w:r w:rsidRPr="001649B6">
        <w:t>přepracovaný</w:t>
      </w:r>
      <w:r>
        <w:t xml:space="preserve"> </w:t>
      </w:r>
      <w:r w:rsidRPr="001649B6">
        <w:t>návrh</w:t>
      </w:r>
      <w:r>
        <w:t xml:space="preserve"> </w:t>
      </w:r>
      <w:r w:rsidRPr="001649B6">
        <w:t>zdravotně</w:t>
      </w:r>
      <w:r>
        <w:t xml:space="preserve"> </w:t>
      </w:r>
      <w:r w:rsidRPr="001649B6">
        <w:t>pojistného</w:t>
      </w:r>
      <w:r>
        <w:t xml:space="preserve"> </w:t>
      </w:r>
      <w:r w:rsidRPr="001649B6">
        <w:t>plánu</w:t>
      </w:r>
      <w:r>
        <w:t xml:space="preserve"> </w:t>
      </w:r>
      <w:r w:rsidRPr="001649B6">
        <w:t>do</w:t>
      </w:r>
      <w:r>
        <w:t xml:space="preserve"> </w:t>
      </w:r>
      <w:r w:rsidRPr="001649B6">
        <w:t>30</w:t>
      </w:r>
      <w:r>
        <w:t xml:space="preserve"> </w:t>
      </w:r>
      <w:r w:rsidRPr="001649B6">
        <w:t>dnů</w:t>
      </w:r>
      <w:r>
        <w:t xml:space="preserve"> </w:t>
      </w:r>
      <w:r w:rsidRPr="001649B6">
        <w:t>ode</w:t>
      </w:r>
      <w:r>
        <w:t xml:space="preserve"> </w:t>
      </w:r>
      <w:r w:rsidRPr="001649B6">
        <w:t>dne</w:t>
      </w:r>
      <w:r>
        <w:t xml:space="preserve"> </w:t>
      </w:r>
      <w:r w:rsidRPr="001649B6">
        <w:t>doručení</w:t>
      </w:r>
      <w:r>
        <w:t xml:space="preserve"> </w:t>
      </w:r>
      <w:r w:rsidRPr="001649B6">
        <w:t>výzvy.</w:t>
      </w:r>
    </w:p>
    <w:p w14:paraId="2C19BFE7" w14:textId="775FFB32" w:rsidR="0091629B" w:rsidRDefault="0091629B" w:rsidP="00471221">
      <w:pPr>
        <w:pStyle w:val="Textparagrafu"/>
        <w:numPr>
          <w:ilvl w:val="0"/>
          <w:numId w:val="28"/>
        </w:numPr>
        <w:tabs>
          <w:tab w:val="left" w:pos="434"/>
        </w:tabs>
        <w:spacing w:before="120" w:after="120"/>
        <w:ind w:firstLine="426"/>
      </w:pPr>
      <w:r w:rsidRPr="005F227C">
        <w:rPr>
          <w:strike/>
        </w:rPr>
        <w:t>(</w:t>
      </w:r>
      <w:proofErr w:type="gramStart"/>
      <w:r w:rsidRPr="005F227C">
        <w:rPr>
          <w:strike/>
        </w:rPr>
        <w:t>11)</w:t>
      </w:r>
      <w:r w:rsidR="005F227C">
        <w:rPr>
          <w:b/>
        </w:rPr>
        <w:t>(10</w:t>
      </w:r>
      <w:proofErr w:type="gramEnd"/>
      <w:r w:rsidR="005F227C">
        <w:rPr>
          <w:b/>
        </w:rPr>
        <w:t>)</w:t>
      </w:r>
      <w:r>
        <w:t xml:space="preserve"> </w:t>
      </w:r>
      <w:r w:rsidRPr="001649B6">
        <w:t>Návrh</w:t>
      </w:r>
      <w:r>
        <w:t xml:space="preserve"> </w:t>
      </w:r>
      <w:r w:rsidRPr="001649B6">
        <w:t>zdravotně</w:t>
      </w:r>
      <w:r>
        <w:t xml:space="preserve"> </w:t>
      </w:r>
      <w:r w:rsidRPr="001649B6">
        <w:t>pojistného</w:t>
      </w:r>
      <w:r>
        <w:t xml:space="preserve"> </w:t>
      </w:r>
      <w:r w:rsidRPr="001649B6">
        <w:t>plánu,</w:t>
      </w:r>
      <w:r>
        <w:t xml:space="preserve"> </w:t>
      </w:r>
      <w:r w:rsidRPr="00382493">
        <w:rPr>
          <w:strike/>
        </w:rPr>
        <w:t>účetní závěrku a návrh výroční zprávy za minulý rok</w:t>
      </w:r>
      <w:r>
        <w:t xml:space="preserve"> </w:t>
      </w:r>
      <w:r w:rsidR="00382493" w:rsidRPr="00B737B8">
        <w:rPr>
          <w:b/>
        </w:rPr>
        <w:t xml:space="preserve">řádnou účetní závěrku a </w:t>
      </w:r>
      <w:r w:rsidR="00382493" w:rsidRPr="006709C9">
        <w:rPr>
          <w:b/>
        </w:rPr>
        <w:t>zprávu vedení za uplynulé účetní období</w:t>
      </w:r>
      <w:r w:rsidR="00382493" w:rsidRPr="001649B6">
        <w:t xml:space="preserve"> </w:t>
      </w:r>
      <w:r w:rsidRPr="001649B6">
        <w:t>schvaluje</w:t>
      </w:r>
      <w:r>
        <w:t xml:space="preserve"> </w:t>
      </w:r>
      <w:r w:rsidRPr="001649B6">
        <w:t>na</w:t>
      </w:r>
      <w:r>
        <w:t xml:space="preserve"> </w:t>
      </w:r>
      <w:r w:rsidRPr="001649B6">
        <w:t>návrh</w:t>
      </w:r>
      <w:r>
        <w:t xml:space="preserve"> </w:t>
      </w:r>
      <w:r w:rsidRPr="001649B6">
        <w:t>vlády</w:t>
      </w:r>
      <w:r>
        <w:t xml:space="preserve"> </w:t>
      </w:r>
      <w:r w:rsidRPr="001649B6">
        <w:t>Poslanecká</w:t>
      </w:r>
      <w:r>
        <w:t xml:space="preserve"> </w:t>
      </w:r>
      <w:r w:rsidRPr="001649B6">
        <w:t>sněmovna</w:t>
      </w:r>
      <w:r>
        <w:t xml:space="preserve"> </w:t>
      </w:r>
      <w:r w:rsidRPr="001649B6">
        <w:t>Parlamentu</w:t>
      </w:r>
      <w:r>
        <w:t xml:space="preserve"> </w:t>
      </w:r>
      <w:r w:rsidRPr="001649B6">
        <w:t>v</w:t>
      </w:r>
      <w:r>
        <w:t xml:space="preserve"> </w:t>
      </w:r>
      <w:r w:rsidRPr="001649B6">
        <w:t>návaznosti</w:t>
      </w:r>
      <w:r>
        <w:t xml:space="preserve"> </w:t>
      </w:r>
      <w:r w:rsidRPr="001649B6">
        <w:t>na</w:t>
      </w:r>
      <w:r>
        <w:t xml:space="preserve"> </w:t>
      </w:r>
      <w:r w:rsidRPr="001649B6">
        <w:t>termíny</w:t>
      </w:r>
      <w:r>
        <w:t xml:space="preserve"> </w:t>
      </w:r>
      <w:r w:rsidRPr="001649B6">
        <w:t>projednávání</w:t>
      </w:r>
      <w:r>
        <w:t xml:space="preserve"> </w:t>
      </w:r>
      <w:r w:rsidRPr="001649B6">
        <w:t>návrhu</w:t>
      </w:r>
      <w:r>
        <w:t xml:space="preserve"> </w:t>
      </w:r>
      <w:r w:rsidRPr="001649B6">
        <w:t>státního</w:t>
      </w:r>
      <w:r>
        <w:t xml:space="preserve"> </w:t>
      </w:r>
      <w:r w:rsidRPr="001649B6">
        <w:t>rozpočtu</w:t>
      </w:r>
      <w:r>
        <w:t xml:space="preserve"> </w:t>
      </w:r>
      <w:r w:rsidRPr="001649B6">
        <w:t>a</w:t>
      </w:r>
      <w:r>
        <w:t xml:space="preserve"> </w:t>
      </w:r>
      <w:r w:rsidRPr="001649B6">
        <w:t>státního</w:t>
      </w:r>
      <w:r>
        <w:t xml:space="preserve"> </w:t>
      </w:r>
      <w:r w:rsidRPr="001649B6">
        <w:t>závěrečného</w:t>
      </w:r>
      <w:r>
        <w:t xml:space="preserve"> </w:t>
      </w:r>
      <w:r w:rsidRPr="001649B6">
        <w:t>účtu.</w:t>
      </w:r>
    </w:p>
    <w:p w14:paraId="72E3DD74" w14:textId="2CD6BE31" w:rsidR="0091629B" w:rsidRDefault="0091629B" w:rsidP="00471221">
      <w:pPr>
        <w:pStyle w:val="Textparagrafu"/>
        <w:numPr>
          <w:ilvl w:val="0"/>
          <w:numId w:val="28"/>
        </w:numPr>
        <w:tabs>
          <w:tab w:val="left" w:pos="434"/>
        </w:tabs>
        <w:spacing w:before="120" w:after="120"/>
        <w:ind w:firstLine="426"/>
      </w:pPr>
      <w:r w:rsidRPr="005F227C">
        <w:rPr>
          <w:strike/>
        </w:rPr>
        <w:t>(</w:t>
      </w:r>
      <w:proofErr w:type="gramStart"/>
      <w:r w:rsidRPr="005F227C">
        <w:rPr>
          <w:strike/>
        </w:rPr>
        <w:t>12)</w:t>
      </w:r>
      <w:r w:rsidR="005F227C">
        <w:rPr>
          <w:b/>
        </w:rPr>
        <w:t>(11</w:t>
      </w:r>
      <w:proofErr w:type="gramEnd"/>
      <w:r w:rsidR="005F227C">
        <w:rPr>
          <w:b/>
        </w:rPr>
        <w:t>)</w:t>
      </w:r>
      <w:r>
        <w:t xml:space="preserve"> </w:t>
      </w:r>
      <w:r w:rsidRPr="001649B6">
        <w:t>Nebude-li</w:t>
      </w:r>
      <w:r>
        <w:t xml:space="preserve"> </w:t>
      </w:r>
      <w:r w:rsidRPr="001649B6">
        <w:t>zdravotně</w:t>
      </w:r>
      <w:r>
        <w:t xml:space="preserve"> </w:t>
      </w:r>
      <w:r w:rsidRPr="001649B6">
        <w:t>pojistný</w:t>
      </w:r>
      <w:r>
        <w:t xml:space="preserve"> </w:t>
      </w:r>
      <w:r w:rsidRPr="001649B6">
        <w:t>plán</w:t>
      </w:r>
      <w:r>
        <w:t xml:space="preserve"> </w:t>
      </w:r>
      <w:r w:rsidRPr="001649B6">
        <w:t>zaměstnanecké</w:t>
      </w:r>
      <w:r>
        <w:t xml:space="preserve"> </w:t>
      </w:r>
      <w:r w:rsidRPr="001649B6">
        <w:t>pojišťovny</w:t>
      </w:r>
      <w:r>
        <w:t xml:space="preserve"> </w:t>
      </w:r>
      <w:r w:rsidRPr="001649B6">
        <w:t>schválen</w:t>
      </w:r>
      <w:r>
        <w:t xml:space="preserve"> </w:t>
      </w:r>
      <w:r w:rsidRPr="001649B6">
        <w:t>před</w:t>
      </w:r>
      <w:r>
        <w:t xml:space="preserve"> </w:t>
      </w:r>
      <w:r w:rsidRPr="001649B6">
        <w:t>1.</w:t>
      </w:r>
      <w:r>
        <w:t xml:space="preserve"> </w:t>
      </w:r>
      <w:r w:rsidRPr="001649B6">
        <w:t>lednem</w:t>
      </w:r>
      <w:r>
        <w:t xml:space="preserve"> </w:t>
      </w:r>
      <w:r w:rsidRPr="001649B6">
        <w:t>příslušného</w:t>
      </w:r>
      <w:r>
        <w:t xml:space="preserve"> </w:t>
      </w:r>
      <w:r w:rsidRPr="001649B6">
        <w:t>kalendářního</w:t>
      </w:r>
      <w:r>
        <w:t xml:space="preserve"> </w:t>
      </w:r>
      <w:r w:rsidRPr="001649B6">
        <w:t>roku,</w:t>
      </w:r>
      <w:r>
        <w:t xml:space="preserve"> </w:t>
      </w:r>
      <w:r w:rsidRPr="001649B6">
        <w:t>řídí</w:t>
      </w:r>
      <w:r>
        <w:t xml:space="preserve"> </w:t>
      </w:r>
      <w:r w:rsidRPr="001649B6">
        <w:t>se</w:t>
      </w:r>
      <w:r>
        <w:t xml:space="preserve"> </w:t>
      </w:r>
      <w:r w:rsidRPr="001649B6">
        <w:t>činnost</w:t>
      </w:r>
      <w:r>
        <w:t xml:space="preserve"> </w:t>
      </w:r>
      <w:r w:rsidRPr="001649B6">
        <w:t>zaměstnanecké</w:t>
      </w:r>
      <w:r>
        <w:t xml:space="preserve"> </w:t>
      </w:r>
      <w:r w:rsidRPr="001649B6">
        <w:t>pojišťovny</w:t>
      </w:r>
      <w:r>
        <w:t xml:space="preserve"> </w:t>
      </w:r>
      <w:r w:rsidRPr="001649B6">
        <w:t>do</w:t>
      </w:r>
      <w:r>
        <w:t xml:space="preserve"> </w:t>
      </w:r>
      <w:r w:rsidRPr="001649B6">
        <w:t>schválení</w:t>
      </w:r>
      <w:r>
        <w:t xml:space="preserve"> </w:t>
      </w:r>
      <w:r w:rsidRPr="001649B6">
        <w:lastRenderedPageBreak/>
        <w:t>zdravotně</w:t>
      </w:r>
      <w:r>
        <w:t xml:space="preserve"> </w:t>
      </w:r>
      <w:r w:rsidRPr="001649B6">
        <w:t>pojistného</w:t>
      </w:r>
      <w:r>
        <w:t xml:space="preserve"> </w:t>
      </w:r>
      <w:r w:rsidRPr="001649B6">
        <w:t>plánu</w:t>
      </w:r>
      <w:r>
        <w:t xml:space="preserve"> </w:t>
      </w:r>
      <w:r w:rsidRPr="001649B6">
        <w:t>provizoriem</w:t>
      </w:r>
      <w:r>
        <w:t xml:space="preserve"> </w:t>
      </w:r>
      <w:r w:rsidRPr="001649B6">
        <w:t>stanoveným</w:t>
      </w:r>
      <w:r>
        <w:t xml:space="preserve"> </w:t>
      </w:r>
      <w:r w:rsidRPr="001649B6">
        <w:t>Ministerstvem</w:t>
      </w:r>
      <w:r>
        <w:t xml:space="preserve"> </w:t>
      </w:r>
      <w:r w:rsidRPr="001649B6">
        <w:t>zdravotnictví</w:t>
      </w:r>
      <w:r>
        <w:t xml:space="preserve"> </w:t>
      </w:r>
      <w:r w:rsidRPr="001649B6">
        <w:t>v</w:t>
      </w:r>
      <w:r>
        <w:t xml:space="preserve"> </w:t>
      </w:r>
      <w:r w:rsidRPr="001649B6">
        <w:t>dohodě</w:t>
      </w:r>
      <w:r>
        <w:t xml:space="preserve"> </w:t>
      </w:r>
      <w:r w:rsidRPr="001649B6">
        <w:t>s</w:t>
      </w:r>
      <w:r>
        <w:t xml:space="preserve"> </w:t>
      </w:r>
      <w:r w:rsidRPr="001649B6">
        <w:t>Ministerstvem</w:t>
      </w:r>
      <w:r>
        <w:t xml:space="preserve"> </w:t>
      </w:r>
      <w:r w:rsidRPr="001649B6">
        <w:t>financí.</w:t>
      </w:r>
      <w:r>
        <w:t xml:space="preserve"> </w:t>
      </w:r>
      <w:r w:rsidRPr="001649B6">
        <w:t>Základem</w:t>
      </w:r>
      <w:r>
        <w:t xml:space="preserve"> </w:t>
      </w:r>
      <w:r w:rsidRPr="001649B6">
        <w:t>pro</w:t>
      </w:r>
      <w:r>
        <w:t xml:space="preserve"> </w:t>
      </w:r>
      <w:r w:rsidRPr="001649B6">
        <w:t>stanovení</w:t>
      </w:r>
      <w:r>
        <w:t xml:space="preserve"> </w:t>
      </w:r>
      <w:r w:rsidRPr="001649B6">
        <w:t>provizoria</w:t>
      </w:r>
      <w:r>
        <w:t xml:space="preserve"> </w:t>
      </w:r>
      <w:r w:rsidRPr="001649B6">
        <w:t>je</w:t>
      </w:r>
      <w:r>
        <w:t xml:space="preserve"> </w:t>
      </w:r>
      <w:r w:rsidRPr="001649B6">
        <w:t>návrh</w:t>
      </w:r>
      <w:r>
        <w:t xml:space="preserve"> </w:t>
      </w:r>
      <w:r w:rsidRPr="001649B6">
        <w:t>zdravotně</w:t>
      </w:r>
      <w:r>
        <w:t xml:space="preserve"> </w:t>
      </w:r>
      <w:r w:rsidRPr="001649B6">
        <w:t>pojistného</w:t>
      </w:r>
      <w:r>
        <w:t xml:space="preserve"> </w:t>
      </w:r>
      <w:r w:rsidRPr="001649B6">
        <w:t>plánu</w:t>
      </w:r>
      <w:r>
        <w:t xml:space="preserve"> </w:t>
      </w:r>
      <w:r w:rsidRPr="001649B6">
        <w:t>na</w:t>
      </w:r>
      <w:r>
        <w:t xml:space="preserve"> </w:t>
      </w:r>
      <w:r w:rsidRPr="001649B6">
        <w:t>příslušný</w:t>
      </w:r>
      <w:r>
        <w:t xml:space="preserve"> </w:t>
      </w:r>
      <w:r w:rsidRPr="001649B6">
        <w:t>kalendářní</w:t>
      </w:r>
      <w:r>
        <w:t xml:space="preserve"> </w:t>
      </w:r>
      <w:r w:rsidRPr="001649B6">
        <w:t>rok.</w:t>
      </w:r>
    </w:p>
    <w:p w14:paraId="2AB3917F" w14:textId="617374D1" w:rsidR="0091629B" w:rsidRDefault="0091629B" w:rsidP="00471221">
      <w:pPr>
        <w:pStyle w:val="Textparagrafu"/>
        <w:numPr>
          <w:ilvl w:val="0"/>
          <w:numId w:val="28"/>
        </w:numPr>
        <w:tabs>
          <w:tab w:val="left" w:pos="434"/>
        </w:tabs>
        <w:spacing w:before="120" w:after="120"/>
        <w:ind w:firstLine="426"/>
      </w:pPr>
      <w:r w:rsidRPr="005F227C">
        <w:rPr>
          <w:strike/>
        </w:rPr>
        <w:t>(</w:t>
      </w:r>
      <w:proofErr w:type="gramStart"/>
      <w:r w:rsidRPr="005F227C">
        <w:rPr>
          <w:strike/>
        </w:rPr>
        <w:t>13)</w:t>
      </w:r>
      <w:r w:rsidR="005F227C">
        <w:rPr>
          <w:b/>
        </w:rPr>
        <w:t>(12</w:t>
      </w:r>
      <w:proofErr w:type="gramEnd"/>
      <w:r w:rsidR="005F227C">
        <w:rPr>
          <w:b/>
        </w:rPr>
        <w:t>)</w:t>
      </w:r>
      <w:r>
        <w:t xml:space="preserve"> </w:t>
      </w:r>
      <w:r w:rsidRPr="001649B6">
        <w:t>Schválený</w:t>
      </w:r>
      <w:r>
        <w:t xml:space="preserve"> </w:t>
      </w:r>
      <w:r w:rsidRPr="001649B6">
        <w:t>zdravotně</w:t>
      </w:r>
      <w:r>
        <w:t xml:space="preserve"> </w:t>
      </w:r>
      <w:r w:rsidRPr="001649B6">
        <w:t>pojistný</w:t>
      </w:r>
      <w:r>
        <w:t xml:space="preserve"> </w:t>
      </w:r>
      <w:r w:rsidRPr="001649B6">
        <w:t>plán,</w:t>
      </w:r>
      <w:r>
        <w:t xml:space="preserve"> </w:t>
      </w:r>
      <w:r w:rsidRPr="001649B6">
        <w:t>nebo</w:t>
      </w:r>
      <w:r>
        <w:t xml:space="preserve"> </w:t>
      </w:r>
      <w:r w:rsidRPr="001649B6">
        <w:t>do</w:t>
      </w:r>
      <w:r>
        <w:t xml:space="preserve"> </w:t>
      </w:r>
      <w:r w:rsidRPr="001649B6">
        <w:t>schválení</w:t>
      </w:r>
      <w:r>
        <w:t xml:space="preserve"> </w:t>
      </w:r>
      <w:r w:rsidRPr="001649B6">
        <w:t>zdravotně</w:t>
      </w:r>
      <w:r>
        <w:t xml:space="preserve"> </w:t>
      </w:r>
      <w:r w:rsidRPr="001649B6">
        <w:t>pojistného</w:t>
      </w:r>
      <w:r>
        <w:t xml:space="preserve"> </w:t>
      </w:r>
      <w:r w:rsidRPr="001649B6">
        <w:t>plánu</w:t>
      </w:r>
      <w:r>
        <w:t xml:space="preserve"> </w:t>
      </w:r>
      <w:r w:rsidRPr="001649B6">
        <w:t>provizorium,</w:t>
      </w:r>
      <w:r>
        <w:t xml:space="preserve"> </w:t>
      </w:r>
      <w:r w:rsidRPr="00382493">
        <w:rPr>
          <w:strike/>
        </w:rPr>
        <w:t>výroční zprávu a účetní závěrku zaměstnanecká pojišťovna zveřejní</w:t>
      </w:r>
      <w:r>
        <w:t xml:space="preserve"> </w:t>
      </w:r>
      <w:r w:rsidR="00382493" w:rsidRPr="00514CFF">
        <w:rPr>
          <w:b/>
          <w:bCs/>
        </w:rPr>
        <w:t>zprávu vedení a řádnou účetní závěrku schválené Poslaneckou sněmovnou Parlamentu zaměstnanecká pojišťovna</w:t>
      </w:r>
      <w:r w:rsidR="00382493" w:rsidRPr="00514CFF">
        <w:t xml:space="preserve"> </w:t>
      </w:r>
      <w:r w:rsidR="00382493" w:rsidRPr="006709C9">
        <w:rPr>
          <w:b/>
        </w:rPr>
        <w:t>uveřejní</w:t>
      </w:r>
      <w:r w:rsidR="00382493" w:rsidRPr="001649B6">
        <w:t xml:space="preserve"> </w:t>
      </w:r>
      <w:r w:rsidRPr="001649B6">
        <w:t>na</w:t>
      </w:r>
      <w:r>
        <w:t xml:space="preserve"> </w:t>
      </w:r>
      <w:r w:rsidRPr="001649B6">
        <w:t>svých</w:t>
      </w:r>
      <w:r>
        <w:t xml:space="preserve"> </w:t>
      </w:r>
      <w:r w:rsidRPr="001649B6">
        <w:t>internetových</w:t>
      </w:r>
      <w:r>
        <w:t xml:space="preserve"> </w:t>
      </w:r>
      <w:r w:rsidRPr="001649B6">
        <w:t>stránkách.</w:t>
      </w:r>
    </w:p>
    <w:p w14:paraId="00798B65" w14:textId="169E12B1" w:rsidR="00C94516" w:rsidRPr="00382493" w:rsidRDefault="0091629B" w:rsidP="00471221">
      <w:pPr>
        <w:pStyle w:val="Textparagrafu"/>
        <w:numPr>
          <w:ilvl w:val="0"/>
          <w:numId w:val="28"/>
        </w:numPr>
        <w:tabs>
          <w:tab w:val="left" w:pos="434"/>
        </w:tabs>
        <w:spacing w:before="120" w:after="120"/>
        <w:ind w:firstLine="426"/>
        <w:rPr>
          <w:b/>
        </w:rPr>
      </w:pPr>
      <w:r w:rsidRPr="005F227C">
        <w:rPr>
          <w:strike/>
        </w:rPr>
        <w:t>(</w:t>
      </w:r>
      <w:proofErr w:type="gramStart"/>
      <w:r w:rsidRPr="005F227C">
        <w:rPr>
          <w:strike/>
        </w:rPr>
        <w:t>14)</w:t>
      </w:r>
      <w:r w:rsidR="005F227C">
        <w:rPr>
          <w:b/>
        </w:rPr>
        <w:t>(13</w:t>
      </w:r>
      <w:proofErr w:type="gramEnd"/>
      <w:r w:rsidR="005F227C">
        <w:rPr>
          <w:b/>
        </w:rPr>
        <w:t>)</w:t>
      </w:r>
      <w:r>
        <w:t xml:space="preserve"> </w:t>
      </w:r>
      <w:r w:rsidRPr="001649B6">
        <w:t>Při</w:t>
      </w:r>
      <w:r>
        <w:t xml:space="preserve"> </w:t>
      </w:r>
      <w:r w:rsidRPr="001649B6">
        <w:t>uplatnění</w:t>
      </w:r>
      <w:r>
        <w:t xml:space="preserve"> </w:t>
      </w:r>
      <w:r w:rsidRPr="001649B6">
        <w:t>opatření</w:t>
      </w:r>
      <w:r>
        <w:t xml:space="preserve"> </w:t>
      </w:r>
      <w:r w:rsidRPr="001649B6">
        <w:t>podle</w:t>
      </w:r>
      <w:r>
        <w:t xml:space="preserve"> </w:t>
      </w:r>
      <w:r w:rsidRPr="001649B6">
        <w:t>zákona</w:t>
      </w:r>
      <w:r>
        <w:t xml:space="preserve"> </w:t>
      </w:r>
      <w:r w:rsidRPr="001649B6">
        <w:t>o</w:t>
      </w:r>
      <w:r>
        <w:t xml:space="preserve"> </w:t>
      </w:r>
      <w:r w:rsidRPr="001649B6">
        <w:t>pravidlech</w:t>
      </w:r>
      <w:r>
        <w:t xml:space="preserve"> </w:t>
      </w:r>
      <w:r w:rsidRPr="001649B6">
        <w:t>rozpočtové</w:t>
      </w:r>
      <w:r>
        <w:t xml:space="preserve"> </w:t>
      </w:r>
      <w:r w:rsidRPr="001649B6">
        <w:t>odpovědnosti</w:t>
      </w:r>
      <w:r>
        <w:t xml:space="preserve"> </w:t>
      </w:r>
      <w:r w:rsidRPr="001649B6">
        <w:t>může</w:t>
      </w:r>
      <w:r>
        <w:t xml:space="preserve"> </w:t>
      </w:r>
      <w:r w:rsidRPr="001649B6">
        <w:t>být</w:t>
      </w:r>
      <w:r>
        <w:t xml:space="preserve"> </w:t>
      </w:r>
      <w:r w:rsidRPr="001649B6">
        <w:t>zdravotně</w:t>
      </w:r>
      <w:r>
        <w:t xml:space="preserve"> </w:t>
      </w:r>
      <w:r w:rsidRPr="001649B6">
        <w:t>pojistný</w:t>
      </w:r>
      <w:r>
        <w:t xml:space="preserve"> </w:t>
      </w:r>
      <w:r w:rsidRPr="001649B6">
        <w:t>plán</w:t>
      </w:r>
      <w:r>
        <w:t xml:space="preserve"> </w:t>
      </w:r>
      <w:r w:rsidRPr="001649B6">
        <w:t>navržen</w:t>
      </w:r>
      <w:r>
        <w:t xml:space="preserve"> </w:t>
      </w:r>
      <w:r w:rsidRPr="001649B6">
        <w:t>podle</w:t>
      </w:r>
      <w:r>
        <w:t xml:space="preserve"> </w:t>
      </w:r>
      <w:r w:rsidRPr="001649B6">
        <w:t>odstavce</w:t>
      </w:r>
      <w:r>
        <w:t xml:space="preserve"> </w:t>
      </w:r>
      <w:r w:rsidRPr="001649B6">
        <w:t>3</w:t>
      </w:r>
      <w:r>
        <w:t xml:space="preserve"> </w:t>
      </w:r>
      <w:r w:rsidRPr="001649B6">
        <w:t>písm.</w:t>
      </w:r>
      <w:r>
        <w:t xml:space="preserve"> </w:t>
      </w:r>
      <w:r w:rsidRPr="001649B6">
        <w:t>b)</w:t>
      </w:r>
      <w:r>
        <w:t xml:space="preserve"> </w:t>
      </w:r>
      <w:r w:rsidRPr="001649B6">
        <w:t>jen</w:t>
      </w:r>
      <w:r>
        <w:t xml:space="preserve"> </w:t>
      </w:r>
      <w:r w:rsidRPr="001649B6">
        <w:t>v</w:t>
      </w:r>
      <w:r>
        <w:t xml:space="preserve"> </w:t>
      </w:r>
      <w:r w:rsidRPr="001649B6">
        <w:t>případě,</w:t>
      </w:r>
      <w:r>
        <w:t xml:space="preserve"> </w:t>
      </w:r>
      <w:r w:rsidRPr="001649B6">
        <w:t>že</w:t>
      </w:r>
      <w:r>
        <w:t xml:space="preserve"> </w:t>
      </w:r>
      <w:r w:rsidRPr="001649B6">
        <w:t>schodek</w:t>
      </w:r>
      <w:r>
        <w:t xml:space="preserve"> </w:t>
      </w:r>
      <w:r w:rsidRPr="001649B6">
        <w:t>bude</w:t>
      </w:r>
      <w:r>
        <w:t xml:space="preserve"> </w:t>
      </w:r>
      <w:r w:rsidRPr="001649B6">
        <w:t>možné</w:t>
      </w:r>
      <w:r>
        <w:t xml:space="preserve"> </w:t>
      </w:r>
      <w:r w:rsidRPr="001649B6">
        <w:t>uhradit</w:t>
      </w:r>
      <w:r>
        <w:t xml:space="preserve"> </w:t>
      </w:r>
      <w:r w:rsidRPr="001649B6">
        <w:t>nejvýše</w:t>
      </w:r>
      <w:r>
        <w:t xml:space="preserve"> </w:t>
      </w:r>
      <w:r w:rsidRPr="001649B6">
        <w:t>jednou</w:t>
      </w:r>
      <w:r>
        <w:t xml:space="preserve"> </w:t>
      </w:r>
      <w:r w:rsidRPr="001649B6">
        <w:t>třetinou</w:t>
      </w:r>
      <w:r>
        <w:t xml:space="preserve"> </w:t>
      </w:r>
      <w:r w:rsidRPr="001649B6">
        <w:t>finančních</w:t>
      </w:r>
      <w:r>
        <w:t xml:space="preserve"> </w:t>
      </w:r>
      <w:r w:rsidRPr="001649B6">
        <w:t>zůstatků</w:t>
      </w:r>
      <w:r>
        <w:t xml:space="preserve"> </w:t>
      </w:r>
      <w:r w:rsidRPr="001649B6">
        <w:t>zaměstnanecké</w:t>
      </w:r>
      <w:r>
        <w:t xml:space="preserve"> </w:t>
      </w:r>
      <w:r w:rsidRPr="001649B6">
        <w:t>pojišťovny</w:t>
      </w:r>
      <w:r>
        <w:t xml:space="preserve"> </w:t>
      </w:r>
      <w:r w:rsidRPr="001649B6">
        <w:t>z</w:t>
      </w:r>
      <w:r>
        <w:t xml:space="preserve"> </w:t>
      </w:r>
      <w:r w:rsidRPr="001649B6">
        <w:t>minulých</w:t>
      </w:r>
      <w:r>
        <w:t xml:space="preserve"> </w:t>
      </w:r>
      <w:r w:rsidRPr="001649B6">
        <w:t>let</w:t>
      </w:r>
      <w:r>
        <w:t xml:space="preserve"> </w:t>
      </w:r>
      <w:r w:rsidRPr="001649B6">
        <w:t>nebo</w:t>
      </w:r>
      <w:r>
        <w:t xml:space="preserve"> </w:t>
      </w:r>
      <w:r w:rsidRPr="001649B6">
        <w:t>návratnou</w:t>
      </w:r>
      <w:r>
        <w:t xml:space="preserve"> </w:t>
      </w:r>
      <w:r w:rsidRPr="001649B6">
        <w:t>finanční</w:t>
      </w:r>
      <w:r>
        <w:t xml:space="preserve"> </w:t>
      </w:r>
      <w:r w:rsidRPr="001649B6">
        <w:t>výpomocí</w:t>
      </w:r>
      <w:r w:rsidR="00412BC6">
        <w:t>.</w:t>
      </w:r>
    </w:p>
    <w:p w14:paraId="2D71C489" w14:textId="7E396707" w:rsidR="00382493" w:rsidRDefault="00382493" w:rsidP="00382493">
      <w:pPr>
        <w:pStyle w:val="Textparagrafu"/>
        <w:numPr>
          <w:ilvl w:val="0"/>
          <w:numId w:val="28"/>
        </w:numPr>
        <w:jc w:val="center"/>
      </w:pPr>
      <w:r w:rsidRPr="009C1F97">
        <w:t>§</w:t>
      </w:r>
      <w:r>
        <w:t xml:space="preserve"> </w:t>
      </w:r>
      <w:r w:rsidRPr="009C1F97">
        <w:t>16</w:t>
      </w:r>
    </w:p>
    <w:p w14:paraId="008D9337" w14:textId="77777777" w:rsidR="00382493" w:rsidRPr="00382493" w:rsidRDefault="00382493" w:rsidP="00382493">
      <w:pPr>
        <w:pStyle w:val="Textparagrafu"/>
        <w:numPr>
          <w:ilvl w:val="0"/>
          <w:numId w:val="28"/>
        </w:numPr>
        <w:jc w:val="center"/>
        <w:rPr>
          <w:b/>
        </w:rPr>
      </w:pPr>
      <w:r w:rsidRPr="00382493">
        <w:rPr>
          <w:b/>
        </w:rPr>
        <w:t>Fondy zaměstnanecké pojišťovny</w:t>
      </w:r>
    </w:p>
    <w:p w14:paraId="5255577B" w14:textId="77777777" w:rsidR="00382493" w:rsidRPr="009C1F97" w:rsidRDefault="00382493" w:rsidP="00471221">
      <w:pPr>
        <w:pStyle w:val="Textparagrafu"/>
        <w:numPr>
          <w:ilvl w:val="0"/>
          <w:numId w:val="28"/>
        </w:numPr>
        <w:tabs>
          <w:tab w:val="left" w:pos="434"/>
        </w:tabs>
        <w:spacing w:before="120" w:after="120"/>
        <w:ind w:firstLine="426"/>
      </w:pPr>
      <w:r w:rsidRPr="009C1F97">
        <w:t>(1)</w:t>
      </w:r>
      <w:r>
        <w:t xml:space="preserve"> </w:t>
      </w:r>
      <w:r w:rsidRPr="009C1F97">
        <w:t>Zaměstnanecká</w:t>
      </w:r>
      <w:r>
        <w:t xml:space="preserve"> </w:t>
      </w:r>
      <w:r w:rsidRPr="009C1F97">
        <w:t>pojišťovna</w:t>
      </w:r>
      <w:r>
        <w:t xml:space="preserve"> </w:t>
      </w:r>
      <w:r w:rsidRPr="009C1F97">
        <w:t>vytváří</w:t>
      </w:r>
      <w:r>
        <w:t xml:space="preserve"> </w:t>
      </w:r>
      <w:r w:rsidRPr="009C1F97">
        <w:t>a</w:t>
      </w:r>
      <w:r>
        <w:t xml:space="preserve"> </w:t>
      </w:r>
      <w:r w:rsidRPr="009C1F97">
        <w:t>spravuje</w:t>
      </w:r>
    </w:p>
    <w:p w14:paraId="2F09F3DC" w14:textId="0DE83A36" w:rsidR="00382493" w:rsidRDefault="00382493" w:rsidP="00B811D2">
      <w:pPr>
        <w:pStyle w:val="Textparagrafu"/>
        <w:numPr>
          <w:ilvl w:val="0"/>
          <w:numId w:val="28"/>
        </w:numPr>
        <w:tabs>
          <w:tab w:val="left" w:pos="392"/>
        </w:tabs>
        <w:spacing w:before="0"/>
        <w:ind w:left="426" w:hanging="426"/>
      </w:pPr>
      <w:r w:rsidRPr="009C1F97">
        <w:t>a)</w:t>
      </w:r>
      <w:r w:rsidR="00B811D2">
        <w:tab/>
      </w:r>
      <w:r w:rsidRPr="009C1F97">
        <w:t>základní</w:t>
      </w:r>
      <w:r>
        <w:t xml:space="preserve"> </w:t>
      </w:r>
      <w:r w:rsidRPr="009C1F97">
        <w:t>fond</w:t>
      </w:r>
      <w:r>
        <w:t xml:space="preserve"> </w:t>
      </w:r>
      <w:r w:rsidRPr="009C1F97">
        <w:t>zdravotního</w:t>
      </w:r>
      <w:r>
        <w:t xml:space="preserve"> </w:t>
      </w:r>
      <w:r w:rsidRPr="009C1F97">
        <w:t>pojištění,</w:t>
      </w:r>
    </w:p>
    <w:p w14:paraId="2BDD0CA0" w14:textId="06997400" w:rsidR="00382493" w:rsidRDefault="00382493" w:rsidP="00B811D2">
      <w:pPr>
        <w:pStyle w:val="Textparagrafu"/>
        <w:numPr>
          <w:ilvl w:val="0"/>
          <w:numId w:val="28"/>
        </w:numPr>
        <w:tabs>
          <w:tab w:val="left" w:pos="392"/>
        </w:tabs>
        <w:spacing w:before="0"/>
        <w:ind w:left="426" w:hanging="426"/>
      </w:pPr>
      <w:r w:rsidRPr="009C1F97">
        <w:t>b)</w:t>
      </w:r>
      <w:r w:rsidR="00B811D2">
        <w:tab/>
      </w:r>
      <w:r w:rsidRPr="009C1F97">
        <w:t>rezervní</w:t>
      </w:r>
      <w:r>
        <w:t xml:space="preserve"> </w:t>
      </w:r>
      <w:r w:rsidRPr="009C1F97">
        <w:t>fond,</w:t>
      </w:r>
    </w:p>
    <w:p w14:paraId="5A3A1776" w14:textId="07E36D09" w:rsidR="00382493" w:rsidRDefault="00382493" w:rsidP="00B811D2">
      <w:pPr>
        <w:pStyle w:val="Textparagrafu"/>
        <w:numPr>
          <w:ilvl w:val="0"/>
          <w:numId w:val="28"/>
        </w:numPr>
        <w:tabs>
          <w:tab w:val="left" w:pos="392"/>
        </w:tabs>
        <w:spacing w:before="0"/>
        <w:ind w:left="426" w:hanging="426"/>
      </w:pPr>
      <w:r w:rsidRPr="009C1F97">
        <w:t>c)</w:t>
      </w:r>
      <w:r w:rsidR="00B811D2">
        <w:tab/>
      </w:r>
      <w:r w:rsidRPr="009C1F97">
        <w:t>provozní</w:t>
      </w:r>
      <w:r>
        <w:t xml:space="preserve"> </w:t>
      </w:r>
      <w:r w:rsidRPr="009C1F97">
        <w:t>fond,</w:t>
      </w:r>
    </w:p>
    <w:p w14:paraId="01A2F2B2" w14:textId="54C42295" w:rsidR="00382493" w:rsidRDefault="00382493" w:rsidP="00B811D2">
      <w:pPr>
        <w:pStyle w:val="Textparagrafu"/>
        <w:numPr>
          <w:ilvl w:val="0"/>
          <w:numId w:val="28"/>
        </w:numPr>
        <w:tabs>
          <w:tab w:val="left" w:pos="392"/>
        </w:tabs>
        <w:spacing w:before="0"/>
        <w:ind w:left="426" w:hanging="426"/>
      </w:pPr>
      <w:r w:rsidRPr="009C1F97">
        <w:t>d)</w:t>
      </w:r>
      <w:r w:rsidR="00B811D2">
        <w:tab/>
      </w:r>
      <w:r w:rsidRPr="009C1F97">
        <w:t>sociální</w:t>
      </w:r>
      <w:r>
        <w:t xml:space="preserve"> </w:t>
      </w:r>
      <w:r w:rsidRPr="009C1F97">
        <w:t>fond,</w:t>
      </w:r>
    </w:p>
    <w:p w14:paraId="63454E8F" w14:textId="47127231" w:rsidR="00382493" w:rsidRDefault="00382493" w:rsidP="00B811D2">
      <w:pPr>
        <w:pStyle w:val="Textparagrafu"/>
        <w:numPr>
          <w:ilvl w:val="0"/>
          <w:numId w:val="28"/>
        </w:numPr>
        <w:tabs>
          <w:tab w:val="left" w:pos="392"/>
        </w:tabs>
        <w:spacing w:before="0"/>
        <w:ind w:left="426" w:hanging="426"/>
      </w:pPr>
      <w:r w:rsidRPr="009C1F97">
        <w:t>e)</w:t>
      </w:r>
      <w:r w:rsidR="00B811D2">
        <w:tab/>
      </w:r>
      <w:r w:rsidRPr="009C1F97">
        <w:t>fond</w:t>
      </w:r>
      <w:r>
        <w:t xml:space="preserve"> </w:t>
      </w:r>
      <w:r w:rsidRPr="009C1F97">
        <w:t>investičního</w:t>
      </w:r>
      <w:r>
        <w:t xml:space="preserve"> </w:t>
      </w:r>
      <w:r w:rsidRPr="009C1F97">
        <w:t>majetku,</w:t>
      </w:r>
    </w:p>
    <w:p w14:paraId="74E3B11E" w14:textId="41F22991" w:rsidR="00382493" w:rsidRDefault="00382493" w:rsidP="00B811D2">
      <w:pPr>
        <w:pStyle w:val="Textparagrafu"/>
        <w:numPr>
          <w:ilvl w:val="0"/>
          <w:numId w:val="28"/>
        </w:numPr>
        <w:tabs>
          <w:tab w:val="left" w:pos="392"/>
        </w:tabs>
        <w:spacing w:before="0"/>
        <w:ind w:left="426" w:hanging="426"/>
      </w:pPr>
      <w:r w:rsidRPr="009C1F97">
        <w:t>f)</w:t>
      </w:r>
      <w:r w:rsidR="00B811D2">
        <w:tab/>
      </w:r>
      <w:r w:rsidRPr="009C1F97">
        <w:t>fond</w:t>
      </w:r>
      <w:r>
        <w:t xml:space="preserve"> </w:t>
      </w:r>
      <w:r w:rsidRPr="009C1F97">
        <w:t>reprodukce</w:t>
      </w:r>
      <w:r>
        <w:t xml:space="preserve"> </w:t>
      </w:r>
      <w:r w:rsidRPr="009C1F97">
        <w:t>investičního</w:t>
      </w:r>
      <w:r>
        <w:t xml:space="preserve"> </w:t>
      </w:r>
      <w:r w:rsidRPr="009C1F97">
        <w:t>majetku.</w:t>
      </w:r>
    </w:p>
    <w:p w14:paraId="5E0ECA27" w14:textId="34963B47" w:rsidR="00382493" w:rsidRDefault="00382493" w:rsidP="00471221">
      <w:pPr>
        <w:pStyle w:val="Textparagrafu"/>
        <w:numPr>
          <w:ilvl w:val="0"/>
          <w:numId w:val="28"/>
        </w:numPr>
        <w:tabs>
          <w:tab w:val="left" w:pos="392"/>
        </w:tabs>
        <w:spacing w:before="120" w:after="120"/>
        <w:ind w:firstLine="425"/>
      </w:pPr>
      <w:r w:rsidRPr="009C1F97">
        <w:t>(2)</w:t>
      </w:r>
      <w:r>
        <w:t xml:space="preserve"> </w:t>
      </w:r>
      <w:r w:rsidRPr="009C1F97">
        <w:t>Vojenská</w:t>
      </w:r>
      <w:r>
        <w:t xml:space="preserve"> </w:t>
      </w:r>
      <w:r w:rsidRPr="009C1F97">
        <w:t>zdravotní</w:t>
      </w:r>
      <w:r>
        <w:t xml:space="preserve"> </w:t>
      </w:r>
      <w:r w:rsidRPr="009C1F97">
        <w:t>pojišťovna</w:t>
      </w:r>
      <w:r>
        <w:t xml:space="preserve"> </w:t>
      </w:r>
      <w:r w:rsidRPr="009C1F97">
        <w:t>vytváří</w:t>
      </w:r>
      <w:r>
        <w:t xml:space="preserve"> </w:t>
      </w:r>
      <w:r w:rsidRPr="009C1F97">
        <w:t>a</w:t>
      </w:r>
      <w:r>
        <w:t xml:space="preserve"> </w:t>
      </w:r>
      <w:r w:rsidRPr="009C1F97">
        <w:t>spravuje</w:t>
      </w:r>
      <w:r>
        <w:t xml:space="preserve"> </w:t>
      </w:r>
      <w:r w:rsidRPr="009C1F97">
        <w:t>vedle</w:t>
      </w:r>
      <w:r>
        <w:t xml:space="preserve"> </w:t>
      </w:r>
      <w:r w:rsidRPr="009C1F97">
        <w:t>fondů</w:t>
      </w:r>
      <w:r>
        <w:t xml:space="preserve"> </w:t>
      </w:r>
      <w:r w:rsidRPr="009C1F97">
        <w:t>uvedených</w:t>
      </w:r>
      <w:r>
        <w:t xml:space="preserve"> </w:t>
      </w:r>
      <w:r w:rsidRPr="009C1F97">
        <w:t>v</w:t>
      </w:r>
      <w:r>
        <w:t xml:space="preserve"> </w:t>
      </w:r>
      <w:r w:rsidRPr="009C1F97">
        <w:t>odstavci</w:t>
      </w:r>
      <w:r>
        <w:t xml:space="preserve"> </w:t>
      </w:r>
      <w:r w:rsidRPr="009C1F97">
        <w:t>1</w:t>
      </w:r>
      <w:r>
        <w:t xml:space="preserve"> </w:t>
      </w:r>
      <w:r w:rsidRPr="009C1F97">
        <w:t>fond</w:t>
      </w:r>
      <w:r>
        <w:t xml:space="preserve"> </w:t>
      </w:r>
      <w:r w:rsidRPr="009C1F97">
        <w:t>zprostředkování</w:t>
      </w:r>
      <w:r>
        <w:t xml:space="preserve"> </w:t>
      </w:r>
      <w:r w:rsidRPr="009C1F97">
        <w:t>úhrady</w:t>
      </w:r>
      <w:r>
        <w:t xml:space="preserve"> </w:t>
      </w:r>
      <w:r w:rsidRPr="009C1F97">
        <w:t>zdravotních</w:t>
      </w:r>
      <w:r>
        <w:t xml:space="preserve"> </w:t>
      </w:r>
      <w:r w:rsidRPr="009C1F97">
        <w:t>služeb</w:t>
      </w:r>
      <w:r>
        <w:t xml:space="preserve"> </w:t>
      </w:r>
      <w:r w:rsidRPr="009C1F97">
        <w:t>hrazených</w:t>
      </w:r>
      <w:r>
        <w:t xml:space="preserve"> </w:t>
      </w:r>
      <w:r w:rsidRPr="009C1F97">
        <w:t>Ministerstvem</w:t>
      </w:r>
      <w:r>
        <w:t xml:space="preserve"> </w:t>
      </w:r>
      <w:r w:rsidRPr="009C1F97">
        <w:t>obrany</w:t>
      </w:r>
      <w:r>
        <w:t xml:space="preserve"> </w:t>
      </w:r>
      <w:r w:rsidRPr="009C1F97">
        <w:t>podle</w:t>
      </w:r>
      <w:r>
        <w:t xml:space="preserve"> </w:t>
      </w:r>
      <w:r w:rsidRPr="009C1F97">
        <w:t>zvláštního</w:t>
      </w:r>
      <w:r>
        <w:t xml:space="preserve"> </w:t>
      </w:r>
      <w:r w:rsidRPr="009C1F97">
        <w:t>právního</w:t>
      </w:r>
      <w:r>
        <w:t xml:space="preserve"> </w:t>
      </w:r>
      <w:r w:rsidRPr="009C1F97">
        <w:t>předpisu.</w:t>
      </w:r>
      <w:r>
        <w:rPr>
          <w:rStyle w:val="Znakapoznpodarou"/>
        </w:rPr>
        <w:footnoteReference w:customMarkFollows="1" w:id="115"/>
        <w:t>16a)</w:t>
      </w:r>
    </w:p>
    <w:p w14:paraId="786E168D" w14:textId="77777777" w:rsidR="00382493" w:rsidRDefault="00382493" w:rsidP="00471221">
      <w:pPr>
        <w:pStyle w:val="Textparagrafu"/>
        <w:numPr>
          <w:ilvl w:val="0"/>
          <w:numId w:val="28"/>
        </w:numPr>
        <w:tabs>
          <w:tab w:val="left" w:pos="392"/>
        </w:tabs>
        <w:spacing w:before="120" w:after="120"/>
        <w:ind w:firstLine="425"/>
      </w:pPr>
      <w:r w:rsidRPr="009C1F97">
        <w:t>(3)</w:t>
      </w:r>
      <w:r>
        <w:t xml:space="preserve"> </w:t>
      </w:r>
      <w:r w:rsidRPr="009C1F97">
        <w:t>Vojenská</w:t>
      </w:r>
      <w:r>
        <w:t xml:space="preserve"> </w:t>
      </w:r>
      <w:r w:rsidRPr="009C1F97">
        <w:t>zdravotní</w:t>
      </w:r>
      <w:r>
        <w:t xml:space="preserve"> </w:t>
      </w:r>
      <w:r w:rsidRPr="009C1F97">
        <w:t>pojišťovna</w:t>
      </w:r>
      <w:r>
        <w:t xml:space="preserve"> </w:t>
      </w:r>
      <w:r w:rsidRPr="009C1F97">
        <w:t>může</w:t>
      </w:r>
      <w:r>
        <w:t xml:space="preserve"> </w:t>
      </w:r>
      <w:r w:rsidRPr="009C1F97">
        <w:t>vytvářet</w:t>
      </w:r>
      <w:r>
        <w:t xml:space="preserve"> </w:t>
      </w:r>
      <w:r w:rsidRPr="009C1F97">
        <w:t>fond</w:t>
      </w:r>
      <w:r>
        <w:t xml:space="preserve"> </w:t>
      </w:r>
      <w:r w:rsidRPr="009C1F97">
        <w:t>pro</w:t>
      </w:r>
      <w:r>
        <w:t xml:space="preserve"> </w:t>
      </w:r>
      <w:r w:rsidRPr="009C1F97">
        <w:t>úhradu</w:t>
      </w:r>
      <w:r>
        <w:t xml:space="preserve"> </w:t>
      </w:r>
      <w:r w:rsidRPr="009C1F97">
        <w:t>preventivní</w:t>
      </w:r>
      <w:r>
        <w:t xml:space="preserve"> </w:t>
      </w:r>
      <w:r w:rsidRPr="009C1F97">
        <w:t>péče</w:t>
      </w:r>
      <w:r>
        <w:t xml:space="preserve"> </w:t>
      </w:r>
      <w:r w:rsidRPr="009C1F97">
        <w:t>poskytované</w:t>
      </w:r>
      <w:r>
        <w:t xml:space="preserve"> </w:t>
      </w:r>
      <w:r w:rsidRPr="009C1F97">
        <w:t>nad</w:t>
      </w:r>
      <w:r>
        <w:t xml:space="preserve"> </w:t>
      </w:r>
      <w:r w:rsidRPr="009C1F97">
        <w:t>rámec</w:t>
      </w:r>
      <w:r>
        <w:t xml:space="preserve"> </w:t>
      </w:r>
      <w:r w:rsidRPr="009C1F97">
        <w:t>hrazených</w:t>
      </w:r>
      <w:r>
        <w:t xml:space="preserve"> </w:t>
      </w:r>
      <w:r w:rsidRPr="009C1F97">
        <w:t>služeb</w:t>
      </w:r>
      <w:r>
        <w:t xml:space="preserve"> </w:t>
      </w:r>
      <w:r w:rsidRPr="009C1F97">
        <w:t>pro</w:t>
      </w:r>
      <w:r>
        <w:t xml:space="preserve"> </w:t>
      </w:r>
      <w:r w:rsidRPr="009C1F97">
        <w:t>vojáky</w:t>
      </w:r>
      <w:r>
        <w:t xml:space="preserve"> </w:t>
      </w:r>
      <w:r w:rsidRPr="009C1F97">
        <w:t>v</w:t>
      </w:r>
      <w:r>
        <w:t xml:space="preserve"> </w:t>
      </w:r>
      <w:r w:rsidRPr="009C1F97">
        <w:t>činné</w:t>
      </w:r>
      <w:r>
        <w:t xml:space="preserve"> </w:t>
      </w:r>
      <w:r w:rsidRPr="009C1F97">
        <w:t>službě</w:t>
      </w:r>
      <w:r>
        <w:t xml:space="preserve"> </w:t>
      </w:r>
      <w:r w:rsidRPr="009C1F97">
        <w:t>a</w:t>
      </w:r>
      <w:r>
        <w:t xml:space="preserve"> </w:t>
      </w:r>
      <w:r w:rsidRPr="009C1F97">
        <w:t>žáky</w:t>
      </w:r>
      <w:r>
        <w:t xml:space="preserve"> </w:t>
      </w:r>
      <w:r w:rsidRPr="009C1F97">
        <w:t>vojenských</w:t>
      </w:r>
      <w:r>
        <w:t xml:space="preserve"> </w:t>
      </w:r>
      <w:r w:rsidRPr="009C1F97">
        <w:t>škol.</w:t>
      </w:r>
    </w:p>
    <w:p w14:paraId="32641E01" w14:textId="77777777" w:rsidR="00382493" w:rsidRDefault="00382493" w:rsidP="00471221">
      <w:pPr>
        <w:pStyle w:val="Textparagrafu"/>
        <w:numPr>
          <w:ilvl w:val="0"/>
          <w:numId w:val="28"/>
        </w:numPr>
        <w:tabs>
          <w:tab w:val="left" w:pos="392"/>
        </w:tabs>
        <w:spacing w:before="120" w:after="120"/>
        <w:ind w:firstLine="425"/>
      </w:pPr>
      <w:r w:rsidRPr="009C1F97">
        <w:t>(4)</w:t>
      </w:r>
      <w:r>
        <w:t xml:space="preserve"> </w:t>
      </w:r>
      <w:r w:rsidRPr="009C1F97">
        <w:t>Zaměstnanecká</w:t>
      </w:r>
      <w:r>
        <w:t xml:space="preserve"> </w:t>
      </w:r>
      <w:r w:rsidRPr="009C1F97">
        <w:t>pojišťovna</w:t>
      </w:r>
      <w:r>
        <w:t xml:space="preserve"> </w:t>
      </w:r>
      <w:r w:rsidRPr="009C1F97">
        <w:t>může</w:t>
      </w:r>
      <w:r>
        <w:t xml:space="preserve"> </w:t>
      </w:r>
      <w:r w:rsidRPr="009C1F97">
        <w:t>vytvářet</w:t>
      </w:r>
      <w:r>
        <w:t xml:space="preserve"> </w:t>
      </w:r>
      <w:r w:rsidRPr="009C1F97">
        <w:t>fond</w:t>
      </w:r>
      <w:r>
        <w:t xml:space="preserve"> </w:t>
      </w:r>
      <w:r w:rsidRPr="009C1F97">
        <w:t>prevence.</w:t>
      </w:r>
      <w:r>
        <w:t xml:space="preserve"> </w:t>
      </w:r>
      <w:r w:rsidRPr="009C1F97">
        <w:t>Z</w:t>
      </w:r>
      <w:r>
        <w:t xml:space="preserve"> </w:t>
      </w:r>
      <w:r w:rsidRPr="009C1F97">
        <w:t>fondu</w:t>
      </w:r>
      <w:r>
        <w:t xml:space="preserve"> </w:t>
      </w:r>
      <w:r w:rsidRPr="009C1F97">
        <w:t>prevence</w:t>
      </w:r>
      <w:r>
        <w:t xml:space="preserve"> </w:t>
      </w:r>
      <w:r w:rsidRPr="009C1F97">
        <w:t>lze</w:t>
      </w:r>
      <w:r>
        <w:t xml:space="preserve"> </w:t>
      </w:r>
      <w:r w:rsidRPr="009C1F97">
        <w:t>nad</w:t>
      </w:r>
      <w:r>
        <w:t xml:space="preserve"> </w:t>
      </w:r>
      <w:r w:rsidRPr="009C1F97">
        <w:t>rámec</w:t>
      </w:r>
      <w:r>
        <w:t xml:space="preserve"> </w:t>
      </w:r>
      <w:r w:rsidRPr="009C1F97">
        <w:t>hrazených</w:t>
      </w:r>
      <w:r>
        <w:t xml:space="preserve"> </w:t>
      </w:r>
      <w:r w:rsidRPr="009C1F97">
        <w:t>služeb</w:t>
      </w:r>
      <w:r>
        <w:t xml:space="preserve"> </w:t>
      </w:r>
      <w:r w:rsidRPr="009C1F97">
        <w:t>hradit</w:t>
      </w:r>
      <w:r>
        <w:t xml:space="preserve"> </w:t>
      </w:r>
      <w:r w:rsidRPr="009C1F97">
        <w:t>zdravotní</w:t>
      </w:r>
      <w:r>
        <w:t xml:space="preserve"> </w:t>
      </w:r>
      <w:r w:rsidRPr="009C1F97">
        <w:t>služby,</w:t>
      </w:r>
      <w:r>
        <w:t xml:space="preserve"> </w:t>
      </w:r>
      <w:r w:rsidRPr="009C1F97">
        <w:t>u</w:t>
      </w:r>
      <w:r>
        <w:t xml:space="preserve"> </w:t>
      </w:r>
      <w:r w:rsidRPr="009C1F97">
        <w:t>nichž</w:t>
      </w:r>
      <w:r>
        <w:t xml:space="preserve"> </w:t>
      </w:r>
      <w:r w:rsidRPr="009C1F97">
        <w:t>je</w:t>
      </w:r>
      <w:r>
        <w:t xml:space="preserve"> </w:t>
      </w:r>
      <w:r w:rsidRPr="009C1F97">
        <w:t>prokazatelný</w:t>
      </w:r>
      <w:r>
        <w:t xml:space="preserve"> </w:t>
      </w:r>
      <w:r w:rsidRPr="009C1F97">
        <w:t>preventivní,</w:t>
      </w:r>
      <w:r>
        <w:t xml:space="preserve"> </w:t>
      </w:r>
      <w:r w:rsidRPr="009C1F97">
        <w:t>diagnostický</w:t>
      </w:r>
      <w:r>
        <w:t xml:space="preserve"> </w:t>
      </w:r>
      <w:r w:rsidRPr="009C1F97">
        <w:t>nebo</w:t>
      </w:r>
      <w:r>
        <w:t xml:space="preserve"> </w:t>
      </w:r>
      <w:r w:rsidRPr="009C1F97">
        <w:t>léčebný</w:t>
      </w:r>
      <w:r>
        <w:t xml:space="preserve"> </w:t>
      </w:r>
      <w:r w:rsidRPr="009C1F97">
        <w:t>efekt</w:t>
      </w:r>
      <w:r>
        <w:t xml:space="preserve"> </w:t>
      </w:r>
      <w:r w:rsidRPr="009C1F97">
        <w:t>a</w:t>
      </w:r>
      <w:r>
        <w:t xml:space="preserve"> </w:t>
      </w:r>
      <w:r w:rsidRPr="009C1F97">
        <w:t>které</w:t>
      </w:r>
      <w:r>
        <w:t xml:space="preserve"> </w:t>
      </w:r>
      <w:r w:rsidRPr="009C1F97">
        <w:t>jsou</w:t>
      </w:r>
      <w:r>
        <w:t xml:space="preserve"> </w:t>
      </w:r>
      <w:r w:rsidRPr="009C1F97">
        <w:t>poskytovány</w:t>
      </w:r>
      <w:r>
        <w:t xml:space="preserve"> </w:t>
      </w:r>
      <w:r w:rsidRPr="009C1F97">
        <w:t>pojištěncům</w:t>
      </w:r>
      <w:r>
        <w:t xml:space="preserve"> </w:t>
      </w:r>
      <w:r w:rsidRPr="009C1F97">
        <w:t>v</w:t>
      </w:r>
      <w:r>
        <w:t xml:space="preserve"> </w:t>
      </w:r>
      <w:r w:rsidRPr="009C1F97">
        <w:t>souvislosti</w:t>
      </w:r>
      <w:r>
        <w:t xml:space="preserve"> </w:t>
      </w:r>
      <w:r w:rsidRPr="009C1F97">
        <w:t>s</w:t>
      </w:r>
      <w:r>
        <w:t xml:space="preserve"> </w:t>
      </w:r>
      <w:r w:rsidRPr="009C1F97">
        <w:t>jejich</w:t>
      </w:r>
      <w:r>
        <w:t xml:space="preserve"> </w:t>
      </w:r>
      <w:r w:rsidRPr="009C1F97">
        <w:t>existujícím</w:t>
      </w:r>
      <w:r>
        <w:t xml:space="preserve"> </w:t>
      </w:r>
      <w:r w:rsidRPr="009C1F97">
        <w:t>nebo</w:t>
      </w:r>
      <w:r>
        <w:t xml:space="preserve"> </w:t>
      </w:r>
      <w:r w:rsidRPr="009C1F97">
        <w:t>hrozícím</w:t>
      </w:r>
      <w:r>
        <w:t xml:space="preserve"> </w:t>
      </w:r>
      <w:r w:rsidRPr="009C1F97">
        <w:t>onemocněním.</w:t>
      </w:r>
      <w:r>
        <w:t xml:space="preserve"> </w:t>
      </w:r>
      <w:r w:rsidRPr="009C1F97">
        <w:t>Prostředky</w:t>
      </w:r>
      <w:r>
        <w:t xml:space="preserve"> </w:t>
      </w:r>
      <w:r w:rsidRPr="009C1F97">
        <w:t>fondu</w:t>
      </w:r>
      <w:r>
        <w:t xml:space="preserve"> </w:t>
      </w:r>
      <w:r w:rsidRPr="009C1F97">
        <w:t>prevence</w:t>
      </w:r>
      <w:r>
        <w:t xml:space="preserve"> </w:t>
      </w:r>
      <w:r w:rsidRPr="009C1F97">
        <w:t>lze</w:t>
      </w:r>
      <w:r>
        <w:t xml:space="preserve"> </w:t>
      </w:r>
      <w:r w:rsidRPr="009C1F97">
        <w:t>využít</w:t>
      </w:r>
      <w:r>
        <w:t xml:space="preserve"> </w:t>
      </w:r>
      <w:r w:rsidRPr="009C1F97">
        <w:t>k</w:t>
      </w:r>
      <w:r>
        <w:t xml:space="preserve"> </w:t>
      </w:r>
      <w:r w:rsidRPr="009C1F97">
        <w:t>realizaci</w:t>
      </w:r>
      <w:r>
        <w:t xml:space="preserve"> </w:t>
      </w:r>
      <w:r w:rsidRPr="009C1F97">
        <w:t>preventivních</w:t>
      </w:r>
      <w:r>
        <w:t xml:space="preserve"> </w:t>
      </w:r>
      <w:r w:rsidRPr="009C1F97">
        <w:t>zdravotnických</w:t>
      </w:r>
      <w:r>
        <w:t xml:space="preserve"> </w:t>
      </w:r>
      <w:r w:rsidRPr="009C1F97">
        <w:t>programů</w:t>
      </w:r>
      <w:r>
        <w:t xml:space="preserve"> </w:t>
      </w:r>
      <w:r w:rsidRPr="009C1F97">
        <w:t>sloužících</w:t>
      </w:r>
      <w:r>
        <w:t xml:space="preserve"> </w:t>
      </w:r>
      <w:r w:rsidRPr="009C1F97">
        <w:t>k</w:t>
      </w:r>
      <w:r>
        <w:t xml:space="preserve"> </w:t>
      </w:r>
      <w:r w:rsidRPr="009C1F97">
        <w:t>odhalování</w:t>
      </w:r>
      <w:r>
        <w:t xml:space="preserve"> </w:t>
      </w:r>
      <w:r w:rsidRPr="009C1F97">
        <w:t>závažných</w:t>
      </w:r>
      <w:r>
        <w:t xml:space="preserve"> </w:t>
      </w:r>
      <w:r w:rsidRPr="009C1F97">
        <w:t>onemocnění,</w:t>
      </w:r>
      <w:r>
        <w:t xml:space="preserve"> </w:t>
      </w:r>
      <w:r w:rsidRPr="009C1F97">
        <w:t>na</w:t>
      </w:r>
      <w:r>
        <w:t xml:space="preserve"> </w:t>
      </w:r>
      <w:r w:rsidRPr="009C1F97">
        <w:t>podporu</w:t>
      </w:r>
      <w:r>
        <w:t xml:space="preserve"> </w:t>
      </w:r>
      <w:r w:rsidRPr="009C1F97">
        <w:t>rehabilitačně</w:t>
      </w:r>
      <w:r>
        <w:t xml:space="preserve"> </w:t>
      </w:r>
      <w:r w:rsidRPr="009C1F97">
        <w:t>rekondičních</w:t>
      </w:r>
      <w:r>
        <w:t xml:space="preserve"> </w:t>
      </w:r>
      <w:r w:rsidRPr="009C1F97">
        <w:t>aktivit</w:t>
      </w:r>
      <w:r>
        <w:t xml:space="preserve"> </w:t>
      </w:r>
      <w:r w:rsidRPr="009C1F97">
        <w:t>vedoucích</w:t>
      </w:r>
      <w:r>
        <w:t xml:space="preserve"> </w:t>
      </w:r>
      <w:r w:rsidRPr="009C1F97">
        <w:t>k</w:t>
      </w:r>
      <w:r>
        <w:t xml:space="preserve"> </w:t>
      </w:r>
      <w:r w:rsidRPr="009C1F97">
        <w:t>prokazatelnému</w:t>
      </w:r>
      <w:r>
        <w:t xml:space="preserve"> </w:t>
      </w:r>
      <w:r w:rsidRPr="009C1F97">
        <w:t>zlepšení</w:t>
      </w:r>
      <w:r>
        <w:t xml:space="preserve"> </w:t>
      </w:r>
      <w:r w:rsidRPr="009C1F97">
        <w:t>zdravotního</w:t>
      </w:r>
      <w:r>
        <w:t xml:space="preserve"> </w:t>
      </w:r>
      <w:r w:rsidRPr="009C1F97">
        <w:t>stavu</w:t>
      </w:r>
      <w:r>
        <w:t xml:space="preserve"> </w:t>
      </w:r>
      <w:r w:rsidRPr="009C1F97">
        <w:t>pojištěnců</w:t>
      </w:r>
      <w:r>
        <w:t xml:space="preserve"> </w:t>
      </w:r>
      <w:r w:rsidRPr="009C1F97">
        <w:t>a</w:t>
      </w:r>
      <w:r>
        <w:t xml:space="preserve"> </w:t>
      </w:r>
      <w:r w:rsidRPr="009C1F97">
        <w:t>dále</w:t>
      </w:r>
      <w:r>
        <w:t xml:space="preserve"> </w:t>
      </w:r>
      <w:r w:rsidRPr="009C1F97">
        <w:t>na</w:t>
      </w:r>
      <w:r>
        <w:t xml:space="preserve"> </w:t>
      </w:r>
      <w:r w:rsidRPr="009C1F97">
        <w:t>podporu</w:t>
      </w:r>
      <w:r>
        <w:t xml:space="preserve"> </w:t>
      </w:r>
      <w:r w:rsidRPr="009C1F97">
        <w:t>projektů</w:t>
      </w:r>
      <w:r>
        <w:t xml:space="preserve"> </w:t>
      </w:r>
      <w:r w:rsidRPr="009C1F97">
        <w:t>podporujících</w:t>
      </w:r>
      <w:r>
        <w:t xml:space="preserve"> </w:t>
      </w:r>
      <w:r w:rsidRPr="009C1F97">
        <w:t>zvýšení</w:t>
      </w:r>
      <w:r>
        <w:t xml:space="preserve"> </w:t>
      </w:r>
      <w:r w:rsidRPr="009C1F97">
        <w:t>kvality</w:t>
      </w:r>
      <w:r>
        <w:t xml:space="preserve"> </w:t>
      </w:r>
      <w:r w:rsidRPr="009C1F97">
        <w:t>zdravotních</w:t>
      </w:r>
      <w:r>
        <w:t xml:space="preserve"> </w:t>
      </w:r>
      <w:r w:rsidRPr="009C1F97">
        <w:t>služeb,</w:t>
      </w:r>
      <w:r>
        <w:t xml:space="preserve"> </w:t>
      </w:r>
      <w:r w:rsidRPr="009C1F97">
        <w:t>zdravý</w:t>
      </w:r>
      <w:r>
        <w:t xml:space="preserve"> </w:t>
      </w:r>
      <w:r w:rsidRPr="009C1F97">
        <w:t>způsob</w:t>
      </w:r>
      <w:r>
        <w:t xml:space="preserve"> </w:t>
      </w:r>
      <w:r w:rsidRPr="009C1F97">
        <w:t>života</w:t>
      </w:r>
      <w:r>
        <w:t xml:space="preserve"> </w:t>
      </w:r>
      <w:r w:rsidRPr="009C1F97">
        <w:t>a</w:t>
      </w:r>
      <w:r>
        <w:t xml:space="preserve"> </w:t>
      </w:r>
      <w:r w:rsidRPr="009C1F97">
        <w:t>zdraví</w:t>
      </w:r>
      <w:r>
        <w:t xml:space="preserve"> </w:t>
      </w:r>
      <w:r w:rsidRPr="009C1F97">
        <w:t>pojištěnců.</w:t>
      </w:r>
      <w:r>
        <w:t xml:space="preserve"> </w:t>
      </w:r>
      <w:r w:rsidRPr="009C1F97">
        <w:t>Zdrojem</w:t>
      </w:r>
      <w:r>
        <w:t xml:space="preserve"> </w:t>
      </w:r>
      <w:r w:rsidRPr="009C1F97">
        <w:t>fondu</w:t>
      </w:r>
      <w:r>
        <w:t xml:space="preserve"> </w:t>
      </w:r>
      <w:r w:rsidRPr="009C1F97">
        <w:t>jsou</w:t>
      </w:r>
      <w:r>
        <w:t xml:space="preserve"> </w:t>
      </w:r>
      <w:r w:rsidRPr="009C1F97">
        <w:t>finanční</w:t>
      </w:r>
      <w:r>
        <w:t xml:space="preserve"> </w:t>
      </w:r>
      <w:r w:rsidRPr="009C1F97">
        <w:t>prostředky</w:t>
      </w:r>
      <w:r>
        <w:t xml:space="preserve"> </w:t>
      </w:r>
      <w:r w:rsidRPr="009C1F97">
        <w:t>z</w:t>
      </w:r>
      <w:r>
        <w:t xml:space="preserve"> </w:t>
      </w:r>
      <w:r w:rsidRPr="009C1F97">
        <w:t>podílu</w:t>
      </w:r>
      <w:r>
        <w:t xml:space="preserve"> </w:t>
      </w:r>
      <w:r w:rsidRPr="009C1F97">
        <w:t>kladného</w:t>
      </w:r>
      <w:r>
        <w:t xml:space="preserve"> </w:t>
      </w:r>
      <w:r w:rsidRPr="009C1F97">
        <w:t>hospodářského</w:t>
      </w:r>
      <w:r>
        <w:t xml:space="preserve"> </w:t>
      </w:r>
      <w:r w:rsidRPr="009C1F97">
        <w:t>výsledku</w:t>
      </w:r>
      <w:r>
        <w:t xml:space="preserve"> </w:t>
      </w:r>
      <w:r w:rsidRPr="009C1F97">
        <w:t>po</w:t>
      </w:r>
      <w:r>
        <w:t xml:space="preserve"> </w:t>
      </w:r>
      <w:r w:rsidRPr="009C1F97">
        <w:t>zdanění</w:t>
      </w:r>
      <w:r>
        <w:t xml:space="preserve"> </w:t>
      </w:r>
      <w:r w:rsidRPr="009C1F97">
        <w:t>stanoveného</w:t>
      </w:r>
      <w:r>
        <w:t xml:space="preserve"> </w:t>
      </w:r>
      <w:r w:rsidRPr="009C1F97">
        <w:t>statutárním</w:t>
      </w:r>
      <w:r>
        <w:t xml:space="preserve"> </w:t>
      </w:r>
      <w:r w:rsidRPr="009C1F97">
        <w:t>orgánem</w:t>
      </w:r>
      <w:r>
        <w:t xml:space="preserve"> </w:t>
      </w:r>
      <w:r w:rsidRPr="009C1F97">
        <w:t>zaměstnanecké</w:t>
      </w:r>
      <w:r>
        <w:t xml:space="preserve"> </w:t>
      </w:r>
      <w:r w:rsidRPr="009C1F97">
        <w:t>pojišťovny</w:t>
      </w:r>
      <w:r>
        <w:t xml:space="preserve"> </w:t>
      </w:r>
      <w:r w:rsidRPr="009C1F97">
        <w:t>z</w:t>
      </w:r>
      <w:r>
        <w:t xml:space="preserve"> </w:t>
      </w:r>
      <w:r w:rsidRPr="009C1F97">
        <w:t>činností,</w:t>
      </w:r>
      <w:r>
        <w:t xml:space="preserve"> </w:t>
      </w:r>
      <w:r w:rsidRPr="009C1F97">
        <w:t>které</w:t>
      </w:r>
      <w:r>
        <w:t xml:space="preserve"> </w:t>
      </w:r>
      <w:r w:rsidRPr="009C1F97">
        <w:t>nad</w:t>
      </w:r>
      <w:r>
        <w:t xml:space="preserve"> </w:t>
      </w:r>
      <w:r w:rsidRPr="009C1F97">
        <w:t>rámec</w:t>
      </w:r>
      <w:r>
        <w:t xml:space="preserve"> </w:t>
      </w:r>
      <w:r w:rsidRPr="009C1F97">
        <w:t>provádění</w:t>
      </w:r>
      <w:r>
        <w:t xml:space="preserve"> </w:t>
      </w:r>
      <w:r w:rsidRPr="009C1F97">
        <w:t>veřejného</w:t>
      </w:r>
      <w:r>
        <w:t xml:space="preserve"> </w:t>
      </w:r>
      <w:r w:rsidRPr="009C1F97">
        <w:t>zdravotního</w:t>
      </w:r>
      <w:r>
        <w:t xml:space="preserve"> </w:t>
      </w:r>
      <w:r w:rsidRPr="009C1F97">
        <w:t>pojištění</w:t>
      </w:r>
      <w:r>
        <w:t xml:space="preserve"> </w:t>
      </w:r>
      <w:r w:rsidRPr="009C1F97">
        <w:t>zaměstnanecká</w:t>
      </w:r>
      <w:r>
        <w:t xml:space="preserve"> </w:t>
      </w:r>
      <w:r w:rsidRPr="009C1F97">
        <w:t>pojišťovna</w:t>
      </w:r>
      <w:r>
        <w:t xml:space="preserve"> </w:t>
      </w:r>
      <w:r w:rsidRPr="009C1F97">
        <w:t>provádí</w:t>
      </w:r>
      <w:r>
        <w:t xml:space="preserve"> </w:t>
      </w:r>
      <w:r w:rsidRPr="009C1F97">
        <w:t>v</w:t>
      </w:r>
      <w:r>
        <w:t xml:space="preserve"> </w:t>
      </w:r>
      <w:r w:rsidRPr="009C1F97">
        <w:t>souladu</w:t>
      </w:r>
      <w:r>
        <w:t xml:space="preserve"> </w:t>
      </w:r>
      <w:r w:rsidRPr="009C1F97">
        <w:t>se</w:t>
      </w:r>
      <w:r>
        <w:t xml:space="preserve"> </w:t>
      </w:r>
      <w:r w:rsidRPr="009C1F97">
        <w:t>zákony</w:t>
      </w:r>
      <w:r>
        <w:t xml:space="preserve"> </w:t>
      </w:r>
      <w:r w:rsidRPr="009C1F97">
        <w:t>a</w:t>
      </w:r>
      <w:r>
        <w:t xml:space="preserve"> </w:t>
      </w:r>
      <w:r w:rsidRPr="009C1F97">
        <w:t>statutem</w:t>
      </w:r>
      <w:r>
        <w:t xml:space="preserve"> </w:t>
      </w:r>
      <w:r w:rsidRPr="009C1F97">
        <w:t>zaměstnanecké</w:t>
      </w:r>
      <w:r>
        <w:t xml:space="preserve"> </w:t>
      </w:r>
      <w:r w:rsidRPr="009C1F97">
        <w:t>pojišťovny,</w:t>
      </w:r>
      <w:r>
        <w:t xml:space="preserve"> </w:t>
      </w:r>
      <w:r w:rsidRPr="009C1F97">
        <w:t>a</w:t>
      </w:r>
      <w:r>
        <w:t xml:space="preserve"> </w:t>
      </w:r>
      <w:r w:rsidRPr="009C1F97">
        <w:t>příjmy</w:t>
      </w:r>
      <w:r>
        <w:t xml:space="preserve"> </w:t>
      </w:r>
      <w:r w:rsidRPr="009C1F97">
        <w:t>podle</w:t>
      </w:r>
      <w:r>
        <w:t xml:space="preserve"> </w:t>
      </w:r>
      <w:r w:rsidRPr="009C1F97">
        <w:t>§</w:t>
      </w:r>
      <w:r>
        <w:t xml:space="preserve"> </w:t>
      </w:r>
      <w:r w:rsidRPr="009C1F97">
        <w:t>19</w:t>
      </w:r>
      <w:r>
        <w:t xml:space="preserve"> </w:t>
      </w:r>
      <w:r w:rsidRPr="009C1F97">
        <w:t>odst.</w:t>
      </w:r>
      <w:r>
        <w:t xml:space="preserve"> </w:t>
      </w:r>
      <w:r w:rsidRPr="009C1F97">
        <w:t>1.</w:t>
      </w:r>
    </w:p>
    <w:p w14:paraId="45DFCCBA" w14:textId="77777777" w:rsidR="00382493" w:rsidRPr="008E4D37" w:rsidRDefault="00382493" w:rsidP="00471221">
      <w:pPr>
        <w:pStyle w:val="Textparagrafu"/>
        <w:numPr>
          <w:ilvl w:val="0"/>
          <w:numId w:val="28"/>
        </w:numPr>
        <w:tabs>
          <w:tab w:val="left" w:pos="392"/>
        </w:tabs>
        <w:spacing w:before="120" w:after="120"/>
        <w:ind w:firstLine="425"/>
        <w:rPr>
          <w:strike/>
        </w:rPr>
      </w:pPr>
      <w:r w:rsidRPr="009C1F97">
        <w:t>(5)</w:t>
      </w:r>
      <w:r>
        <w:t xml:space="preserve"> </w:t>
      </w:r>
      <w:r w:rsidRPr="009C1F97">
        <w:t>Zaměstnanecká</w:t>
      </w:r>
      <w:r>
        <w:t xml:space="preserve"> </w:t>
      </w:r>
      <w:r w:rsidRPr="009C1F97">
        <w:t>pojišťovna</w:t>
      </w:r>
      <w:r>
        <w:t xml:space="preserve"> </w:t>
      </w:r>
      <w:r w:rsidRPr="009C1F97">
        <w:t>je</w:t>
      </w:r>
      <w:r>
        <w:t xml:space="preserve"> </w:t>
      </w:r>
      <w:r w:rsidRPr="009C1F97">
        <w:t>povinna</w:t>
      </w:r>
      <w:r>
        <w:t xml:space="preserve"> </w:t>
      </w:r>
      <w:r w:rsidRPr="009C1F97">
        <w:t>zabezpečit</w:t>
      </w:r>
      <w:r>
        <w:t xml:space="preserve"> </w:t>
      </w:r>
      <w:r w:rsidRPr="009C1F97">
        <w:t>oddělenou</w:t>
      </w:r>
      <w:r>
        <w:t xml:space="preserve"> </w:t>
      </w:r>
      <w:r w:rsidRPr="009C1F97">
        <w:t>evidenci</w:t>
      </w:r>
      <w:r>
        <w:t xml:space="preserve"> </w:t>
      </w:r>
      <w:r w:rsidRPr="009C1F97">
        <w:t>fondů</w:t>
      </w:r>
      <w:r>
        <w:t xml:space="preserve"> </w:t>
      </w:r>
      <w:r w:rsidRPr="009C1F97">
        <w:t>a</w:t>
      </w:r>
      <w:r>
        <w:t xml:space="preserve"> </w:t>
      </w:r>
      <w:r w:rsidRPr="009C1F97">
        <w:t>oddělenou</w:t>
      </w:r>
      <w:r>
        <w:t xml:space="preserve"> </w:t>
      </w:r>
      <w:r w:rsidRPr="009C1F97">
        <w:t>evidenci</w:t>
      </w:r>
      <w:r>
        <w:t xml:space="preserve"> </w:t>
      </w:r>
      <w:r w:rsidRPr="009C1F97">
        <w:t>majetku</w:t>
      </w:r>
      <w:r>
        <w:t xml:space="preserve"> </w:t>
      </w:r>
      <w:r w:rsidRPr="009C1F97">
        <w:t>a</w:t>
      </w:r>
      <w:r>
        <w:t xml:space="preserve"> </w:t>
      </w:r>
      <w:r w:rsidRPr="009C1F97">
        <w:t>používání</w:t>
      </w:r>
      <w:r>
        <w:t xml:space="preserve"> </w:t>
      </w:r>
      <w:r w:rsidRPr="009C1F97">
        <w:t>prostředků.</w:t>
      </w:r>
      <w:r>
        <w:t xml:space="preserve"> </w:t>
      </w:r>
      <w:r w:rsidRPr="008E4D37">
        <w:rPr>
          <w:strike/>
        </w:rPr>
        <w:t xml:space="preserve">Zaměstnanecká pojišťovna je povinna vést </w:t>
      </w:r>
      <w:r w:rsidRPr="008E4D37">
        <w:rPr>
          <w:strike/>
        </w:rPr>
        <w:lastRenderedPageBreak/>
        <w:t>účetnictví podle zvláštní účtové osnovy a postupů účtování pro zdravotní pojišťovny, které vydá Ministerstvo financí.</w:t>
      </w:r>
    </w:p>
    <w:p w14:paraId="35BDD689" w14:textId="77777777" w:rsidR="00382493" w:rsidRDefault="00382493" w:rsidP="00471221">
      <w:pPr>
        <w:pStyle w:val="Textparagrafu"/>
        <w:numPr>
          <w:ilvl w:val="0"/>
          <w:numId w:val="28"/>
        </w:numPr>
        <w:tabs>
          <w:tab w:val="left" w:pos="392"/>
        </w:tabs>
        <w:spacing w:before="120" w:after="120"/>
        <w:ind w:firstLine="425"/>
      </w:pPr>
      <w:r w:rsidRPr="009C1F97">
        <w:t>(6)</w:t>
      </w:r>
      <w:r>
        <w:t xml:space="preserve"> </w:t>
      </w:r>
      <w:r w:rsidRPr="009C1F97">
        <w:t>Ministerstvo</w:t>
      </w:r>
      <w:r>
        <w:t xml:space="preserve"> </w:t>
      </w:r>
      <w:r w:rsidRPr="009C1F97">
        <w:t>financí</w:t>
      </w:r>
      <w:r>
        <w:t xml:space="preserve"> </w:t>
      </w:r>
      <w:r w:rsidRPr="009C1F97">
        <w:t>po</w:t>
      </w:r>
      <w:r>
        <w:t xml:space="preserve"> </w:t>
      </w:r>
      <w:r w:rsidRPr="009C1F97">
        <w:t>projednání</w:t>
      </w:r>
      <w:r>
        <w:t xml:space="preserve"> </w:t>
      </w:r>
      <w:r w:rsidRPr="009C1F97">
        <w:t>s</w:t>
      </w:r>
      <w:r>
        <w:t xml:space="preserve"> </w:t>
      </w:r>
      <w:r w:rsidRPr="009C1F97">
        <w:t>Ministerstvem</w:t>
      </w:r>
      <w:r>
        <w:t xml:space="preserve"> </w:t>
      </w:r>
      <w:r w:rsidRPr="009C1F97">
        <w:t>zdravotnictví</w:t>
      </w:r>
      <w:r>
        <w:t xml:space="preserve"> </w:t>
      </w:r>
      <w:r w:rsidRPr="009C1F97">
        <w:t>stanoví</w:t>
      </w:r>
      <w:r>
        <w:t xml:space="preserve"> </w:t>
      </w:r>
      <w:r w:rsidRPr="009C1F97">
        <w:t>právním</w:t>
      </w:r>
      <w:r>
        <w:t xml:space="preserve"> </w:t>
      </w:r>
      <w:r w:rsidRPr="009C1F97">
        <w:t>předpisem</w:t>
      </w:r>
      <w:r>
        <w:t xml:space="preserve"> </w:t>
      </w:r>
      <w:r w:rsidRPr="009C1F97">
        <w:t>podrobnější</w:t>
      </w:r>
      <w:r>
        <w:t xml:space="preserve"> </w:t>
      </w:r>
      <w:r w:rsidRPr="009C1F97">
        <w:t>vymezení</w:t>
      </w:r>
      <w:r>
        <w:t xml:space="preserve"> </w:t>
      </w:r>
      <w:r w:rsidRPr="009C1F97">
        <w:t>okruhu</w:t>
      </w:r>
      <w:r>
        <w:t xml:space="preserve"> </w:t>
      </w:r>
      <w:r w:rsidRPr="009C1F97">
        <w:t>a</w:t>
      </w:r>
      <w:r>
        <w:t xml:space="preserve"> </w:t>
      </w:r>
      <w:r w:rsidRPr="009C1F97">
        <w:t>výše</w:t>
      </w:r>
      <w:r>
        <w:t xml:space="preserve"> </w:t>
      </w:r>
      <w:r w:rsidRPr="009C1F97">
        <w:t>příjmů</w:t>
      </w:r>
      <w:r>
        <w:t xml:space="preserve"> </w:t>
      </w:r>
      <w:r w:rsidRPr="009C1F97">
        <w:t>a</w:t>
      </w:r>
      <w:r>
        <w:t xml:space="preserve"> </w:t>
      </w:r>
      <w:r w:rsidRPr="009C1F97">
        <w:t>výdajů</w:t>
      </w:r>
      <w:r>
        <w:t xml:space="preserve"> </w:t>
      </w:r>
      <w:r w:rsidRPr="009C1F97">
        <w:t>fondů</w:t>
      </w:r>
      <w:r>
        <w:t xml:space="preserve"> </w:t>
      </w:r>
      <w:r w:rsidRPr="009C1F97">
        <w:t>uvedených</w:t>
      </w:r>
      <w:r>
        <w:t xml:space="preserve"> </w:t>
      </w:r>
      <w:r w:rsidRPr="009C1F97">
        <w:t>v</w:t>
      </w:r>
      <w:r>
        <w:t xml:space="preserve"> </w:t>
      </w:r>
      <w:r w:rsidRPr="009C1F97">
        <w:t>odstavci</w:t>
      </w:r>
      <w:r>
        <w:t xml:space="preserve"> </w:t>
      </w:r>
      <w:r w:rsidRPr="009C1F97">
        <w:t>1,</w:t>
      </w:r>
      <w:r>
        <w:t xml:space="preserve"> </w:t>
      </w:r>
      <w:r w:rsidRPr="009C1F97">
        <w:t>podmínky</w:t>
      </w:r>
      <w:r>
        <w:t xml:space="preserve"> </w:t>
      </w:r>
      <w:r w:rsidRPr="009C1F97">
        <w:t>jejich</w:t>
      </w:r>
      <w:r>
        <w:t xml:space="preserve"> </w:t>
      </w:r>
      <w:r w:rsidRPr="009C1F97">
        <w:t>tvorby,</w:t>
      </w:r>
      <w:r>
        <w:t xml:space="preserve"> </w:t>
      </w:r>
      <w:r w:rsidRPr="009C1F97">
        <w:t>užití,</w:t>
      </w:r>
      <w:r>
        <w:t xml:space="preserve"> </w:t>
      </w:r>
      <w:r w:rsidRPr="009C1F97">
        <w:t>přípustnosti</w:t>
      </w:r>
      <w:r>
        <w:t xml:space="preserve"> </w:t>
      </w:r>
      <w:r w:rsidRPr="009C1F97">
        <w:t>vzájemných</w:t>
      </w:r>
      <w:r>
        <w:t xml:space="preserve"> </w:t>
      </w:r>
      <w:r w:rsidRPr="009C1F97">
        <w:t>převodů</w:t>
      </w:r>
      <w:r>
        <w:t xml:space="preserve"> </w:t>
      </w:r>
      <w:r w:rsidRPr="009C1F97">
        <w:t>finančních</w:t>
      </w:r>
      <w:r>
        <w:t xml:space="preserve"> </w:t>
      </w:r>
      <w:r w:rsidRPr="009C1F97">
        <w:t>prostředků</w:t>
      </w:r>
      <w:r>
        <w:t xml:space="preserve"> </w:t>
      </w:r>
      <w:r w:rsidRPr="009C1F97">
        <w:t>a</w:t>
      </w:r>
      <w:r>
        <w:t xml:space="preserve"> </w:t>
      </w:r>
      <w:r w:rsidRPr="009C1F97">
        <w:t>hospodaření</w:t>
      </w:r>
      <w:r>
        <w:t xml:space="preserve"> </w:t>
      </w:r>
      <w:r w:rsidRPr="009C1F97">
        <w:t>s</w:t>
      </w:r>
      <w:r>
        <w:t xml:space="preserve"> </w:t>
      </w:r>
      <w:r w:rsidRPr="009C1F97">
        <w:t>nimi,</w:t>
      </w:r>
      <w:r>
        <w:t xml:space="preserve"> </w:t>
      </w:r>
      <w:r w:rsidRPr="009C1F97">
        <w:t>limit</w:t>
      </w:r>
      <w:r>
        <w:t xml:space="preserve"> </w:t>
      </w:r>
      <w:r w:rsidRPr="009C1F97">
        <w:t>nákladů</w:t>
      </w:r>
      <w:r>
        <w:t xml:space="preserve"> </w:t>
      </w:r>
      <w:r w:rsidRPr="009C1F97">
        <w:t>na</w:t>
      </w:r>
      <w:r>
        <w:t xml:space="preserve"> </w:t>
      </w:r>
      <w:r w:rsidRPr="009C1F97">
        <w:t>činnost</w:t>
      </w:r>
      <w:r>
        <w:t xml:space="preserve"> </w:t>
      </w:r>
      <w:r w:rsidRPr="009C1F97">
        <w:t>zaměstnanecké</w:t>
      </w:r>
      <w:r>
        <w:t xml:space="preserve"> </w:t>
      </w:r>
      <w:r w:rsidRPr="009C1F97">
        <w:t>pojišťovny,</w:t>
      </w:r>
      <w:r>
        <w:t xml:space="preserve"> </w:t>
      </w:r>
      <w:r w:rsidRPr="009C1F97">
        <w:t>s</w:t>
      </w:r>
      <w:r>
        <w:t xml:space="preserve"> </w:t>
      </w:r>
      <w:r w:rsidRPr="009C1F97">
        <w:t>výjimkou</w:t>
      </w:r>
      <w:r>
        <w:t xml:space="preserve"> </w:t>
      </w:r>
      <w:r w:rsidRPr="009C1F97">
        <w:t>nákladů</w:t>
      </w:r>
      <w:r>
        <w:t xml:space="preserve"> </w:t>
      </w:r>
      <w:r w:rsidRPr="009C1F97">
        <w:t>na</w:t>
      </w:r>
      <w:r>
        <w:t xml:space="preserve"> </w:t>
      </w:r>
      <w:r w:rsidRPr="009C1F97">
        <w:t>činnosti</w:t>
      </w:r>
      <w:r>
        <w:t xml:space="preserve"> </w:t>
      </w:r>
      <w:r w:rsidRPr="009C1F97">
        <w:t>podle</w:t>
      </w:r>
      <w:r>
        <w:t xml:space="preserve"> </w:t>
      </w:r>
      <w:r w:rsidRPr="009C1F97">
        <w:t>§</w:t>
      </w:r>
      <w:r>
        <w:t xml:space="preserve"> </w:t>
      </w:r>
      <w:r w:rsidRPr="009C1F97">
        <w:t>8,</w:t>
      </w:r>
      <w:r>
        <w:t xml:space="preserve"> </w:t>
      </w:r>
      <w:r w:rsidRPr="009C1F97">
        <w:t>krytých</w:t>
      </w:r>
      <w:r>
        <w:t xml:space="preserve"> </w:t>
      </w:r>
      <w:r w:rsidRPr="009C1F97">
        <w:t>ze</w:t>
      </w:r>
      <w:r>
        <w:t xml:space="preserve"> </w:t>
      </w:r>
      <w:r w:rsidRPr="009C1F97">
        <w:t>zdrojů</w:t>
      </w:r>
      <w:r>
        <w:t xml:space="preserve"> </w:t>
      </w:r>
      <w:r w:rsidRPr="009C1F97">
        <w:t>základního</w:t>
      </w:r>
      <w:r>
        <w:t xml:space="preserve"> </w:t>
      </w:r>
      <w:r w:rsidRPr="009C1F97">
        <w:t>fondu,</w:t>
      </w:r>
      <w:r>
        <w:t xml:space="preserve"> </w:t>
      </w:r>
      <w:r w:rsidRPr="009C1F97">
        <w:t>a</w:t>
      </w:r>
      <w:r>
        <w:t xml:space="preserve"> </w:t>
      </w:r>
      <w:r w:rsidRPr="009C1F97">
        <w:t>to</w:t>
      </w:r>
      <w:r>
        <w:t xml:space="preserve"> </w:t>
      </w:r>
      <w:r w:rsidRPr="009C1F97">
        <w:t>z</w:t>
      </w:r>
      <w:r>
        <w:t xml:space="preserve"> </w:t>
      </w:r>
      <w:r w:rsidRPr="009C1F97">
        <w:t>prostředků</w:t>
      </w:r>
      <w:r>
        <w:t xml:space="preserve"> </w:t>
      </w:r>
      <w:r w:rsidRPr="009C1F97">
        <w:t>získaných</w:t>
      </w:r>
      <w:r>
        <w:t xml:space="preserve"> </w:t>
      </w:r>
      <w:r w:rsidRPr="009C1F97">
        <w:t>z</w:t>
      </w:r>
      <w:r>
        <w:t xml:space="preserve"> </w:t>
      </w:r>
      <w:r w:rsidRPr="009C1F97">
        <w:t>pojistného</w:t>
      </w:r>
      <w:r>
        <w:t xml:space="preserve"> </w:t>
      </w:r>
      <w:r w:rsidRPr="009C1F97">
        <w:t>na</w:t>
      </w:r>
      <w:r>
        <w:t xml:space="preserve"> </w:t>
      </w:r>
      <w:r w:rsidRPr="009C1F97">
        <w:t>veřejné</w:t>
      </w:r>
      <w:r>
        <w:t xml:space="preserve"> </w:t>
      </w:r>
      <w:r w:rsidRPr="009C1F97">
        <w:t>zdravotní</w:t>
      </w:r>
      <w:r>
        <w:t xml:space="preserve"> </w:t>
      </w:r>
      <w:r w:rsidRPr="009C1F97">
        <w:t>pojištění</w:t>
      </w:r>
      <w:r>
        <w:t xml:space="preserve"> </w:t>
      </w:r>
      <w:r w:rsidRPr="009C1F97">
        <w:t>po</w:t>
      </w:r>
      <w:r>
        <w:t xml:space="preserve"> </w:t>
      </w:r>
      <w:r w:rsidRPr="009C1F97">
        <w:t>přerozdělení,</w:t>
      </w:r>
      <w:r>
        <w:t xml:space="preserve"> </w:t>
      </w:r>
      <w:r w:rsidRPr="009C1F97">
        <w:t>z</w:t>
      </w:r>
      <w:r>
        <w:t xml:space="preserve"> </w:t>
      </w:r>
      <w:r w:rsidRPr="009C1F97">
        <w:t>výnosu</w:t>
      </w:r>
      <w:r>
        <w:t xml:space="preserve"> </w:t>
      </w:r>
      <w:r w:rsidRPr="009C1F97">
        <w:t>penále,</w:t>
      </w:r>
      <w:r>
        <w:t xml:space="preserve"> </w:t>
      </w:r>
      <w:r w:rsidRPr="009C1F97">
        <w:t>pokut,</w:t>
      </w:r>
      <w:r>
        <w:t xml:space="preserve"> </w:t>
      </w:r>
      <w:r w:rsidRPr="009C1F97">
        <w:t>přirážek</w:t>
      </w:r>
      <w:r>
        <w:t xml:space="preserve"> </w:t>
      </w:r>
      <w:r w:rsidRPr="009C1F97">
        <w:t>k</w:t>
      </w:r>
      <w:r>
        <w:t xml:space="preserve"> </w:t>
      </w:r>
      <w:r w:rsidRPr="009C1F97">
        <w:t>pojistnému</w:t>
      </w:r>
      <w:r>
        <w:t xml:space="preserve"> </w:t>
      </w:r>
      <w:r w:rsidRPr="009C1F97">
        <w:t>a</w:t>
      </w:r>
      <w:r>
        <w:t xml:space="preserve"> </w:t>
      </w:r>
      <w:r w:rsidRPr="009C1F97">
        <w:t>náhrad</w:t>
      </w:r>
      <w:r>
        <w:t xml:space="preserve"> </w:t>
      </w:r>
      <w:r w:rsidRPr="009C1F97">
        <w:t>škod,</w:t>
      </w:r>
      <w:r>
        <w:t xml:space="preserve"> </w:t>
      </w:r>
      <w:r w:rsidRPr="009C1F97">
        <w:t>které</w:t>
      </w:r>
      <w:r>
        <w:t xml:space="preserve"> </w:t>
      </w:r>
      <w:r w:rsidRPr="009C1F97">
        <w:t>smí</w:t>
      </w:r>
      <w:r>
        <w:t xml:space="preserve"> </w:t>
      </w:r>
      <w:r w:rsidRPr="009C1F97">
        <w:t>zaměstnanecká</w:t>
      </w:r>
      <w:r>
        <w:t xml:space="preserve"> </w:t>
      </w:r>
      <w:r w:rsidRPr="009C1F97">
        <w:t>pojišťovna</w:t>
      </w:r>
      <w:r>
        <w:t xml:space="preserve"> </w:t>
      </w:r>
      <w:r w:rsidRPr="009C1F97">
        <w:t>použít</w:t>
      </w:r>
      <w:r>
        <w:t xml:space="preserve"> </w:t>
      </w:r>
      <w:r w:rsidRPr="009C1F97">
        <w:t>k</w:t>
      </w:r>
      <w:r>
        <w:t xml:space="preserve"> </w:t>
      </w:r>
      <w:r w:rsidRPr="009C1F97">
        <w:t>tvorbě</w:t>
      </w:r>
      <w:r>
        <w:t xml:space="preserve"> </w:t>
      </w:r>
      <w:r w:rsidRPr="009C1F97">
        <w:t>provozního</w:t>
      </w:r>
      <w:r>
        <w:t xml:space="preserve"> </w:t>
      </w:r>
      <w:r w:rsidRPr="009C1F97">
        <w:t>fondu</w:t>
      </w:r>
      <w:r>
        <w:t xml:space="preserve"> </w:t>
      </w:r>
      <w:r w:rsidRPr="009C1F97">
        <w:t>za</w:t>
      </w:r>
      <w:r>
        <w:t xml:space="preserve"> </w:t>
      </w:r>
      <w:r w:rsidRPr="009C1F97">
        <w:t>každé</w:t>
      </w:r>
      <w:r>
        <w:t xml:space="preserve"> </w:t>
      </w:r>
      <w:r w:rsidRPr="009C1F97">
        <w:t>účetní</w:t>
      </w:r>
      <w:r>
        <w:t xml:space="preserve"> </w:t>
      </w:r>
      <w:r w:rsidRPr="009C1F97">
        <w:t>období,</w:t>
      </w:r>
      <w:r>
        <w:t xml:space="preserve"> </w:t>
      </w:r>
      <w:r w:rsidRPr="009C1F97">
        <w:t>včetně</w:t>
      </w:r>
      <w:r>
        <w:t xml:space="preserve"> </w:t>
      </w:r>
      <w:r w:rsidRPr="009C1F97">
        <w:t>postupu</w:t>
      </w:r>
      <w:r>
        <w:t xml:space="preserve"> </w:t>
      </w:r>
      <w:r w:rsidRPr="009C1F97">
        <w:t>propočtu</w:t>
      </w:r>
      <w:r>
        <w:t xml:space="preserve"> </w:t>
      </w:r>
      <w:r w:rsidRPr="009C1F97">
        <w:t>tohoto</w:t>
      </w:r>
      <w:r>
        <w:t xml:space="preserve"> </w:t>
      </w:r>
      <w:r w:rsidRPr="009C1F97">
        <w:t>limitu.</w:t>
      </w:r>
      <w:r>
        <w:t xml:space="preserve"> </w:t>
      </w:r>
      <w:r w:rsidRPr="009C1F97">
        <w:t>Ministerstvo</w:t>
      </w:r>
      <w:r>
        <w:t xml:space="preserve"> </w:t>
      </w:r>
      <w:r w:rsidRPr="009C1F97">
        <w:t>financí</w:t>
      </w:r>
      <w:r>
        <w:t xml:space="preserve"> </w:t>
      </w:r>
      <w:r w:rsidRPr="009C1F97">
        <w:t>po</w:t>
      </w:r>
      <w:r>
        <w:t xml:space="preserve"> </w:t>
      </w:r>
      <w:r w:rsidRPr="009C1F97">
        <w:t>projednání</w:t>
      </w:r>
      <w:r>
        <w:t xml:space="preserve"> </w:t>
      </w:r>
      <w:r w:rsidRPr="009C1F97">
        <w:t>s</w:t>
      </w:r>
      <w:r>
        <w:t xml:space="preserve"> </w:t>
      </w:r>
      <w:r w:rsidRPr="009C1F97">
        <w:t>Ministerstvem</w:t>
      </w:r>
      <w:r>
        <w:t xml:space="preserve"> </w:t>
      </w:r>
      <w:r w:rsidRPr="009C1F97">
        <w:t>zdravotnictví</w:t>
      </w:r>
      <w:r>
        <w:t xml:space="preserve"> </w:t>
      </w:r>
      <w:r w:rsidRPr="009C1F97">
        <w:t>a</w:t>
      </w:r>
      <w:r>
        <w:t xml:space="preserve"> </w:t>
      </w:r>
      <w:r w:rsidRPr="009C1F97">
        <w:t>s</w:t>
      </w:r>
      <w:r>
        <w:t xml:space="preserve"> </w:t>
      </w:r>
      <w:r w:rsidRPr="009C1F97">
        <w:t>Ministerstvem</w:t>
      </w:r>
      <w:r>
        <w:t xml:space="preserve"> </w:t>
      </w:r>
      <w:r w:rsidRPr="009C1F97">
        <w:t>obrany</w:t>
      </w:r>
      <w:r>
        <w:t xml:space="preserve"> </w:t>
      </w:r>
      <w:r w:rsidRPr="009C1F97">
        <w:t>stanoví</w:t>
      </w:r>
      <w:r>
        <w:t xml:space="preserve"> </w:t>
      </w:r>
      <w:r w:rsidRPr="009C1F97">
        <w:t>vyhláškou</w:t>
      </w:r>
      <w:r>
        <w:t xml:space="preserve"> </w:t>
      </w:r>
      <w:r w:rsidRPr="009C1F97">
        <w:t>podrobné</w:t>
      </w:r>
      <w:r>
        <w:t xml:space="preserve"> </w:t>
      </w:r>
      <w:r w:rsidRPr="009C1F97">
        <w:t>podmínky</w:t>
      </w:r>
      <w:r>
        <w:t xml:space="preserve"> </w:t>
      </w:r>
      <w:r w:rsidRPr="009C1F97">
        <w:t>tvorby</w:t>
      </w:r>
      <w:r>
        <w:t xml:space="preserve"> </w:t>
      </w:r>
      <w:r w:rsidRPr="009C1F97">
        <w:t>a</w:t>
      </w:r>
      <w:r>
        <w:t xml:space="preserve"> </w:t>
      </w:r>
      <w:r w:rsidRPr="009C1F97">
        <w:t>užití</w:t>
      </w:r>
      <w:r>
        <w:t xml:space="preserve"> </w:t>
      </w:r>
      <w:r w:rsidRPr="009C1F97">
        <w:t>finančních</w:t>
      </w:r>
      <w:r>
        <w:t xml:space="preserve"> </w:t>
      </w:r>
      <w:r w:rsidRPr="009C1F97">
        <w:t>prostředků</w:t>
      </w:r>
      <w:r>
        <w:t xml:space="preserve"> </w:t>
      </w:r>
      <w:r w:rsidRPr="009C1F97">
        <w:t>fondů</w:t>
      </w:r>
      <w:r>
        <w:t xml:space="preserve"> </w:t>
      </w:r>
      <w:r w:rsidRPr="009C1F97">
        <w:t>uvedených</w:t>
      </w:r>
      <w:r>
        <w:t xml:space="preserve"> </w:t>
      </w:r>
      <w:r w:rsidRPr="009C1F97">
        <w:t>v</w:t>
      </w:r>
      <w:r>
        <w:t xml:space="preserve"> </w:t>
      </w:r>
      <w:r w:rsidRPr="009C1F97">
        <w:t>odstavcích</w:t>
      </w:r>
      <w:r>
        <w:t xml:space="preserve"> </w:t>
      </w:r>
      <w:r w:rsidRPr="009C1F97">
        <w:t>2</w:t>
      </w:r>
      <w:r>
        <w:t xml:space="preserve"> </w:t>
      </w:r>
      <w:r w:rsidRPr="009C1F97">
        <w:t>a</w:t>
      </w:r>
      <w:r>
        <w:t xml:space="preserve"> </w:t>
      </w:r>
      <w:r w:rsidRPr="009C1F97">
        <w:t>3.</w:t>
      </w:r>
    </w:p>
    <w:p w14:paraId="4EDC0CE0" w14:textId="2A569B08" w:rsidR="00382493" w:rsidRDefault="00382493" w:rsidP="00471221">
      <w:pPr>
        <w:pStyle w:val="Textparagrafu"/>
        <w:numPr>
          <w:ilvl w:val="0"/>
          <w:numId w:val="28"/>
        </w:numPr>
        <w:tabs>
          <w:tab w:val="left" w:pos="392"/>
        </w:tabs>
        <w:spacing w:before="120" w:after="120"/>
        <w:ind w:firstLine="425"/>
      </w:pPr>
      <w:r w:rsidRPr="009C1F97">
        <w:t>(7)</w:t>
      </w:r>
      <w:r>
        <w:t xml:space="preserve"> </w:t>
      </w:r>
      <w:r w:rsidRPr="009C1F97">
        <w:t>Zůstatky</w:t>
      </w:r>
      <w:r>
        <w:t xml:space="preserve"> </w:t>
      </w:r>
      <w:r w:rsidRPr="009C1F97">
        <w:t>fondu</w:t>
      </w:r>
      <w:r>
        <w:t xml:space="preserve"> </w:t>
      </w:r>
      <w:r w:rsidRPr="009C1F97">
        <w:t>sociálního,</w:t>
      </w:r>
      <w:r>
        <w:t xml:space="preserve"> </w:t>
      </w:r>
      <w:r w:rsidRPr="009C1F97">
        <w:t>případně</w:t>
      </w:r>
      <w:r>
        <w:t xml:space="preserve"> </w:t>
      </w:r>
      <w:r w:rsidRPr="009C1F97">
        <w:t>jiného</w:t>
      </w:r>
      <w:r>
        <w:t xml:space="preserve"> </w:t>
      </w:r>
      <w:r w:rsidRPr="009C1F97">
        <w:t>fondu</w:t>
      </w:r>
      <w:r>
        <w:t xml:space="preserve"> </w:t>
      </w:r>
      <w:r w:rsidRPr="009C1F97">
        <w:t>vytvořeného</w:t>
      </w:r>
      <w:r>
        <w:t xml:space="preserve"> </w:t>
      </w:r>
      <w:r w:rsidRPr="009C1F97">
        <w:t>v</w:t>
      </w:r>
      <w:r>
        <w:t xml:space="preserve"> </w:t>
      </w:r>
      <w:r w:rsidRPr="009C1F97">
        <w:t>rámci</w:t>
      </w:r>
      <w:r>
        <w:t xml:space="preserve"> </w:t>
      </w:r>
      <w:r w:rsidRPr="009C1F97">
        <w:t>povoleného</w:t>
      </w:r>
      <w:r>
        <w:t xml:space="preserve"> </w:t>
      </w:r>
      <w:r w:rsidRPr="009C1F97">
        <w:t>limitu</w:t>
      </w:r>
      <w:r>
        <w:t xml:space="preserve"> </w:t>
      </w:r>
      <w:r w:rsidRPr="009C1F97">
        <w:t>maximální</w:t>
      </w:r>
      <w:r>
        <w:t xml:space="preserve"> </w:t>
      </w:r>
      <w:r w:rsidRPr="009C1F97">
        <w:t>výše</w:t>
      </w:r>
      <w:r>
        <w:t xml:space="preserve"> </w:t>
      </w:r>
      <w:r w:rsidRPr="009C1F97">
        <w:t>nákladů</w:t>
      </w:r>
      <w:r>
        <w:t xml:space="preserve"> </w:t>
      </w:r>
      <w:r w:rsidRPr="009C1F97">
        <w:t>na</w:t>
      </w:r>
      <w:r>
        <w:t xml:space="preserve"> </w:t>
      </w:r>
      <w:r w:rsidRPr="009C1F97">
        <w:t>činnost</w:t>
      </w:r>
      <w:r>
        <w:t xml:space="preserve"> </w:t>
      </w:r>
      <w:r w:rsidRPr="009C1F97">
        <w:t>a</w:t>
      </w:r>
      <w:r>
        <w:t xml:space="preserve"> </w:t>
      </w:r>
      <w:r w:rsidRPr="009C1F97">
        <w:t>maximální</w:t>
      </w:r>
      <w:r>
        <w:t xml:space="preserve"> </w:t>
      </w:r>
      <w:r w:rsidRPr="009C1F97">
        <w:t>výše</w:t>
      </w:r>
      <w:r>
        <w:t xml:space="preserve"> </w:t>
      </w:r>
      <w:r w:rsidRPr="009C1F97">
        <w:t>výdajů</w:t>
      </w:r>
      <w:r>
        <w:t xml:space="preserve"> </w:t>
      </w:r>
      <w:r w:rsidRPr="009C1F97">
        <w:t>na</w:t>
      </w:r>
      <w:r>
        <w:t xml:space="preserve"> </w:t>
      </w:r>
      <w:r w:rsidRPr="009C1F97">
        <w:t>pořízení</w:t>
      </w:r>
      <w:r>
        <w:t xml:space="preserve"> </w:t>
      </w:r>
      <w:r w:rsidRPr="009C1F97">
        <w:t>hmotného</w:t>
      </w:r>
      <w:r>
        <w:t xml:space="preserve"> </w:t>
      </w:r>
      <w:r w:rsidRPr="009C1F97">
        <w:t>a</w:t>
      </w:r>
      <w:r>
        <w:t xml:space="preserve"> </w:t>
      </w:r>
      <w:r w:rsidRPr="009C1F97">
        <w:t>nehmotného</w:t>
      </w:r>
      <w:r>
        <w:t xml:space="preserve"> </w:t>
      </w:r>
      <w:r w:rsidRPr="009C1F97">
        <w:t>investičního</w:t>
      </w:r>
      <w:r>
        <w:t xml:space="preserve"> majetku</w:t>
      </w:r>
      <w:r>
        <w:rPr>
          <w:rStyle w:val="Znakapoznpodarou"/>
        </w:rPr>
        <w:footnoteReference w:customMarkFollows="1" w:id="116"/>
        <w:t>18)</w:t>
      </w:r>
      <w:r>
        <w:t xml:space="preserve"> </w:t>
      </w:r>
      <w:r w:rsidRPr="009C1F97">
        <w:t>čerpaného</w:t>
      </w:r>
      <w:r>
        <w:t xml:space="preserve"> </w:t>
      </w:r>
      <w:r w:rsidRPr="009C1F97">
        <w:t>v</w:t>
      </w:r>
      <w:r>
        <w:t xml:space="preserve"> </w:t>
      </w:r>
      <w:r w:rsidRPr="009C1F97">
        <w:t>souladu</w:t>
      </w:r>
      <w:r>
        <w:t xml:space="preserve"> </w:t>
      </w:r>
      <w:r w:rsidRPr="009C1F97">
        <w:t>s</w:t>
      </w:r>
      <w:r>
        <w:t xml:space="preserve"> </w:t>
      </w:r>
      <w:r w:rsidRPr="009C1F97">
        <w:t>rozhodnutím</w:t>
      </w:r>
      <w:r>
        <w:t xml:space="preserve"> </w:t>
      </w:r>
      <w:r w:rsidRPr="009C1F97">
        <w:t>správní</w:t>
      </w:r>
      <w:r>
        <w:t xml:space="preserve"> </w:t>
      </w:r>
      <w:r w:rsidRPr="009C1F97">
        <w:t>rady</w:t>
      </w:r>
      <w:r>
        <w:t xml:space="preserve"> </w:t>
      </w:r>
      <w:r w:rsidRPr="009C1F97">
        <w:t>ve</w:t>
      </w:r>
      <w:r>
        <w:t xml:space="preserve"> </w:t>
      </w:r>
      <w:r w:rsidRPr="009C1F97">
        <w:t>prospěch</w:t>
      </w:r>
      <w:r>
        <w:t xml:space="preserve"> </w:t>
      </w:r>
      <w:r w:rsidRPr="009C1F97">
        <w:t>zaměstnanců</w:t>
      </w:r>
      <w:r>
        <w:t xml:space="preserve"> </w:t>
      </w:r>
      <w:r w:rsidRPr="009C1F97">
        <w:t>zaměstnanecké</w:t>
      </w:r>
      <w:r>
        <w:t xml:space="preserve"> </w:t>
      </w:r>
      <w:r w:rsidRPr="009C1F97">
        <w:t>pojišťovny</w:t>
      </w:r>
      <w:r>
        <w:t xml:space="preserve"> </w:t>
      </w:r>
      <w:r w:rsidRPr="009C1F97">
        <w:t>se</w:t>
      </w:r>
      <w:r>
        <w:t xml:space="preserve"> </w:t>
      </w:r>
      <w:r w:rsidRPr="009C1F97">
        <w:t>převádí</w:t>
      </w:r>
      <w:r>
        <w:t xml:space="preserve"> </w:t>
      </w:r>
      <w:r w:rsidRPr="009C1F97">
        <w:t>k</w:t>
      </w:r>
      <w:r>
        <w:t xml:space="preserve"> </w:t>
      </w:r>
      <w:r w:rsidRPr="009C1F97">
        <w:t>1.</w:t>
      </w:r>
      <w:r>
        <w:t xml:space="preserve"> </w:t>
      </w:r>
      <w:r w:rsidRPr="009C1F97">
        <w:t>lednu</w:t>
      </w:r>
      <w:r>
        <w:t xml:space="preserve"> </w:t>
      </w:r>
      <w:r w:rsidRPr="009C1F97">
        <w:t>1999</w:t>
      </w:r>
      <w:r>
        <w:t xml:space="preserve"> </w:t>
      </w:r>
      <w:r w:rsidRPr="009C1F97">
        <w:t>jako</w:t>
      </w:r>
      <w:r>
        <w:t xml:space="preserve"> </w:t>
      </w:r>
      <w:r w:rsidRPr="009C1F97">
        <w:t>mimořádný</w:t>
      </w:r>
      <w:r>
        <w:t xml:space="preserve"> </w:t>
      </w:r>
      <w:r w:rsidRPr="009C1F97">
        <w:t>příděl</w:t>
      </w:r>
      <w:r>
        <w:t xml:space="preserve"> </w:t>
      </w:r>
      <w:r w:rsidRPr="009C1F97">
        <w:t>sociálního</w:t>
      </w:r>
      <w:r>
        <w:t xml:space="preserve"> </w:t>
      </w:r>
      <w:r w:rsidRPr="009C1F97">
        <w:t>fondu.</w:t>
      </w:r>
      <w:r>
        <w:t xml:space="preserve"> </w:t>
      </w:r>
      <w:r w:rsidRPr="009C1F97">
        <w:t>Pokud</w:t>
      </w:r>
      <w:r>
        <w:t xml:space="preserve"> </w:t>
      </w:r>
      <w:r w:rsidRPr="009C1F97">
        <w:t>zaměstnanecká</w:t>
      </w:r>
      <w:r>
        <w:t xml:space="preserve"> </w:t>
      </w:r>
      <w:r w:rsidRPr="009C1F97">
        <w:t>pojišťovna</w:t>
      </w:r>
      <w:r>
        <w:t xml:space="preserve"> </w:t>
      </w:r>
      <w:r w:rsidRPr="009C1F97">
        <w:t>vytvářela</w:t>
      </w:r>
      <w:r>
        <w:t xml:space="preserve"> </w:t>
      </w:r>
      <w:r w:rsidRPr="009C1F97">
        <w:t>v</w:t>
      </w:r>
      <w:r>
        <w:t xml:space="preserve"> </w:t>
      </w:r>
      <w:r w:rsidRPr="009C1F97">
        <w:t>rámci</w:t>
      </w:r>
      <w:r>
        <w:t xml:space="preserve"> </w:t>
      </w:r>
      <w:r w:rsidRPr="009C1F97">
        <w:t>tohoto</w:t>
      </w:r>
      <w:r>
        <w:t xml:space="preserve"> </w:t>
      </w:r>
      <w:r w:rsidRPr="009C1F97">
        <w:t>limitu</w:t>
      </w:r>
      <w:r>
        <w:t xml:space="preserve"> </w:t>
      </w:r>
      <w:r w:rsidRPr="009C1F97">
        <w:t>provozní</w:t>
      </w:r>
      <w:r>
        <w:t xml:space="preserve"> </w:t>
      </w:r>
      <w:r w:rsidRPr="009C1F97">
        <w:t>fond,</w:t>
      </w:r>
      <w:r>
        <w:t xml:space="preserve"> </w:t>
      </w:r>
      <w:r w:rsidRPr="009C1F97">
        <w:t>převádí</w:t>
      </w:r>
      <w:r>
        <w:t xml:space="preserve"> </w:t>
      </w:r>
      <w:r w:rsidRPr="009C1F97">
        <w:t>se</w:t>
      </w:r>
      <w:r>
        <w:t xml:space="preserve"> </w:t>
      </w:r>
      <w:r w:rsidRPr="009C1F97">
        <w:t>jeho</w:t>
      </w:r>
      <w:r>
        <w:t xml:space="preserve"> </w:t>
      </w:r>
      <w:r w:rsidRPr="009C1F97">
        <w:t>zůstatek</w:t>
      </w:r>
      <w:r>
        <w:t xml:space="preserve"> </w:t>
      </w:r>
      <w:r w:rsidRPr="009C1F97">
        <w:t>do</w:t>
      </w:r>
      <w:r>
        <w:t xml:space="preserve"> </w:t>
      </w:r>
      <w:r w:rsidRPr="009C1F97">
        <w:t>následujícího</w:t>
      </w:r>
      <w:r>
        <w:t xml:space="preserve"> </w:t>
      </w:r>
      <w:r w:rsidRPr="009C1F97">
        <w:t>období.</w:t>
      </w:r>
      <w:r>
        <w:t xml:space="preserve"> </w:t>
      </w:r>
      <w:r w:rsidRPr="009C1F97">
        <w:t>Finanční</w:t>
      </w:r>
      <w:r>
        <w:t xml:space="preserve"> </w:t>
      </w:r>
      <w:r w:rsidRPr="009C1F97">
        <w:t>zůstatky</w:t>
      </w:r>
      <w:r>
        <w:t xml:space="preserve"> </w:t>
      </w:r>
      <w:r w:rsidRPr="009C1F97">
        <w:t>ostatních</w:t>
      </w:r>
      <w:r>
        <w:t xml:space="preserve"> </w:t>
      </w:r>
      <w:r w:rsidRPr="009C1F97">
        <w:t>účelových</w:t>
      </w:r>
      <w:r>
        <w:t xml:space="preserve"> </w:t>
      </w:r>
      <w:r w:rsidRPr="009C1F97">
        <w:t>fondů</w:t>
      </w:r>
      <w:r>
        <w:t xml:space="preserve"> </w:t>
      </w:r>
      <w:r w:rsidRPr="009C1F97">
        <w:t>se</w:t>
      </w:r>
      <w:r>
        <w:t xml:space="preserve"> </w:t>
      </w:r>
      <w:r w:rsidRPr="009C1F97">
        <w:t>převádí</w:t>
      </w:r>
      <w:r>
        <w:t xml:space="preserve"> </w:t>
      </w:r>
      <w:r w:rsidRPr="009C1F97">
        <w:t>k</w:t>
      </w:r>
      <w:r>
        <w:t xml:space="preserve"> </w:t>
      </w:r>
      <w:r w:rsidRPr="009C1F97">
        <w:t>1.</w:t>
      </w:r>
      <w:r>
        <w:t xml:space="preserve"> </w:t>
      </w:r>
      <w:r w:rsidRPr="009C1F97">
        <w:t>lednu</w:t>
      </w:r>
      <w:r>
        <w:t xml:space="preserve"> </w:t>
      </w:r>
      <w:r w:rsidRPr="009C1F97">
        <w:t>1999</w:t>
      </w:r>
      <w:r>
        <w:t xml:space="preserve"> </w:t>
      </w:r>
      <w:r w:rsidRPr="009C1F97">
        <w:t>jako</w:t>
      </w:r>
      <w:r>
        <w:t xml:space="preserve"> </w:t>
      </w:r>
      <w:r w:rsidRPr="009C1F97">
        <w:t>mimořádný</w:t>
      </w:r>
      <w:r>
        <w:t xml:space="preserve"> </w:t>
      </w:r>
      <w:r w:rsidRPr="009C1F97">
        <w:t>příděl</w:t>
      </w:r>
      <w:r>
        <w:t xml:space="preserve"> </w:t>
      </w:r>
      <w:r w:rsidRPr="009C1F97">
        <w:t>rezervního</w:t>
      </w:r>
      <w:r>
        <w:t xml:space="preserve"> </w:t>
      </w:r>
      <w:r w:rsidRPr="009C1F97">
        <w:t>fondu.</w:t>
      </w:r>
      <w:r>
        <w:t xml:space="preserve"> </w:t>
      </w:r>
      <w:r w:rsidRPr="009C1F97">
        <w:t>Pokud</w:t>
      </w:r>
      <w:r>
        <w:t xml:space="preserve"> </w:t>
      </w:r>
      <w:r w:rsidRPr="009C1F97">
        <w:t>má</w:t>
      </w:r>
      <w:r>
        <w:t xml:space="preserve"> </w:t>
      </w:r>
      <w:r w:rsidRPr="009C1F97">
        <w:t>zaměstnanecká</w:t>
      </w:r>
      <w:r>
        <w:t xml:space="preserve"> </w:t>
      </w:r>
      <w:r w:rsidRPr="009C1F97">
        <w:t>pojišťovna</w:t>
      </w:r>
      <w:r>
        <w:t xml:space="preserve"> </w:t>
      </w:r>
      <w:r w:rsidRPr="009C1F97">
        <w:t>rezervní</w:t>
      </w:r>
      <w:r>
        <w:t xml:space="preserve"> </w:t>
      </w:r>
      <w:r w:rsidRPr="009C1F97">
        <w:t>fond</w:t>
      </w:r>
      <w:r>
        <w:t xml:space="preserve"> </w:t>
      </w:r>
      <w:r w:rsidRPr="009C1F97">
        <w:t>naplněn,</w:t>
      </w:r>
      <w:r>
        <w:t xml:space="preserve"> </w:t>
      </w:r>
      <w:r w:rsidRPr="009C1F97">
        <w:t>převede</w:t>
      </w:r>
      <w:r>
        <w:t xml:space="preserve"> </w:t>
      </w:r>
      <w:r w:rsidRPr="009C1F97">
        <w:t>zůstatky</w:t>
      </w:r>
      <w:r>
        <w:t xml:space="preserve"> </w:t>
      </w:r>
      <w:r w:rsidRPr="009C1F97">
        <w:t>účelových</w:t>
      </w:r>
      <w:r>
        <w:t xml:space="preserve"> </w:t>
      </w:r>
      <w:r w:rsidRPr="009C1F97">
        <w:t>fondů</w:t>
      </w:r>
      <w:r>
        <w:t xml:space="preserve"> </w:t>
      </w:r>
      <w:r w:rsidRPr="009C1F97">
        <w:t>do</w:t>
      </w:r>
      <w:r>
        <w:t xml:space="preserve"> </w:t>
      </w:r>
      <w:r w:rsidRPr="009C1F97">
        <w:t>základního</w:t>
      </w:r>
      <w:r>
        <w:t xml:space="preserve"> </w:t>
      </w:r>
      <w:r w:rsidRPr="009C1F97">
        <w:t>fondu.</w:t>
      </w:r>
      <w:r>
        <w:t xml:space="preserve"> </w:t>
      </w:r>
      <w:r w:rsidRPr="009C1F97">
        <w:t>Převod</w:t>
      </w:r>
      <w:r>
        <w:t xml:space="preserve"> </w:t>
      </w:r>
      <w:r w:rsidRPr="009C1F97">
        <w:t>ostatních</w:t>
      </w:r>
      <w:r>
        <w:t xml:space="preserve"> </w:t>
      </w:r>
      <w:r w:rsidRPr="009C1F97">
        <w:t>zůstatků</w:t>
      </w:r>
      <w:r>
        <w:t xml:space="preserve"> </w:t>
      </w:r>
      <w:r w:rsidRPr="009C1F97">
        <w:t>účelových</w:t>
      </w:r>
      <w:r>
        <w:t xml:space="preserve"> </w:t>
      </w:r>
      <w:r w:rsidRPr="009C1F97">
        <w:t>fondů</w:t>
      </w:r>
      <w:r>
        <w:t xml:space="preserve"> </w:t>
      </w:r>
      <w:r w:rsidRPr="009C1F97">
        <w:t>provede</w:t>
      </w:r>
      <w:r>
        <w:t xml:space="preserve"> </w:t>
      </w:r>
      <w:r w:rsidRPr="009C1F97">
        <w:t>zaměstnanecká</w:t>
      </w:r>
      <w:r>
        <w:t xml:space="preserve"> </w:t>
      </w:r>
      <w:r w:rsidRPr="009C1F97">
        <w:t>pojišťovna</w:t>
      </w:r>
      <w:r>
        <w:t xml:space="preserve"> </w:t>
      </w:r>
      <w:r w:rsidRPr="009C1F97">
        <w:t>v</w:t>
      </w:r>
      <w:r>
        <w:t xml:space="preserve"> </w:t>
      </w:r>
      <w:r w:rsidRPr="009C1F97">
        <w:t>souladu</w:t>
      </w:r>
      <w:r>
        <w:t xml:space="preserve"> </w:t>
      </w:r>
      <w:r w:rsidRPr="009C1F97">
        <w:t>s</w:t>
      </w:r>
      <w:r>
        <w:t xml:space="preserve"> </w:t>
      </w:r>
      <w:r w:rsidRPr="009C1F97">
        <w:t>podmínkami</w:t>
      </w:r>
      <w:r>
        <w:t xml:space="preserve"> </w:t>
      </w:r>
      <w:r w:rsidRPr="009C1F97">
        <w:t>uvedenými</w:t>
      </w:r>
      <w:r>
        <w:t xml:space="preserve"> </w:t>
      </w:r>
      <w:r w:rsidRPr="009C1F97">
        <w:t>ve</w:t>
      </w:r>
      <w:r>
        <w:t xml:space="preserve"> </w:t>
      </w:r>
      <w:r w:rsidRPr="009C1F97">
        <w:t>vyhlášce</w:t>
      </w:r>
      <w:r>
        <w:t xml:space="preserve"> </w:t>
      </w:r>
      <w:r w:rsidRPr="009C1F97">
        <w:t>Ministerstva</w:t>
      </w:r>
      <w:r>
        <w:t xml:space="preserve"> </w:t>
      </w:r>
      <w:r w:rsidRPr="009C1F97">
        <w:t>financí</w:t>
      </w:r>
      <w:r>
        <w:t xml:space="preserve"> </w:t>
      </w:r>
      <w:r w:rsidRPr="009C1F97">
        <w:t>s</w:t>
      </w:r>
      <w:r>
        <w:t xml:space="preserve"> </w:t>
      </w:r>
      <w:r w:rsidRPr="009C1F97">
        <w:t>využitím</w:t>
      </w:r>
      <w:r>
        <w:t xml:space="preserve"> </w:t>
      </w:r>
      <w:r w:rsidRPr="009C1F97">
        <w:t>převodových</w:t>
      </w:r>
      <w:r>
        <w:t xml:space="preserve"> </w:t>
      </w:r>
      <w:r w:rsidRPr="009C1F97">
        <w:t>můstků</w:t>
      </w:r>
      <w:r>
        <w:t xml:space="preserve"> </w:t>
      </w:r>
      <w:r w:rsidRPr="009C1F97">
        <w:t>nové</w:t>
      </w:r>
      <w:r>
        <w:t xml:space="preserve"> </w:t>
      </w:r>
      <w:r w:rsidRPr="009C1F97">
        <w:t>účtové</w:t>
      </w:r>
      <w:r>
        <w:t xml:space="preserve"> </w:t>
      </w:r>
      <w:r w:rsidRPr="009C1F97">
        <w:t>osnovy.</w:t>
      </w:r>
    </w:p>
    <w:p w14:paraId="6AE6D5AC" w14:textId="04945C3A" w:rsidR="00382493" w:rsidRPr="009C1F97" w:rsidRDefault="00382493" w:rsidP="00471221">
      <w:pPr>
        <w:pStyle w:val="Textparagrafu"/>
        <w:numPr>
          <w:ilvl w:val="0"/>
          <w:numId w:val="28"/>
        </w:numPr>
        <w:tabs>
          <w:tab w:val="left" w:pos="392"/>
        </w:tabs>
        <w:spacing w:before="120" w:after="120"/>
        <w:ind w:firstLine="425"/>
      </w:pPr>
      <w:r w:rsidRPr="009C1F97">
        <w:t>(8)</w:t>
      </w:r>
      <w:r>
        <w:t xml:space="preserve"> </w:t>
      </w:r>
      <w:r w:rsidRPr="009C1F97">
        <w:t>Pokutu</w:t>
      </w:r>
      <w:r>
        <w:t xml:space="preserve"> </w:t>
      </w:r>
      <w:r w:rsidRPr="009C1F97">
        <w:t>uloženou</w:t>
      </w:r>
      <w:r>
        <w:t xml:space="preserve"> </w:t>
      </w:r>
      <w:r w:rsidRPr="009C1F97">
        <w:t>podle</w:t>
      </w:r>
      <w:r>
        <w:t xml:space="preserve"> </w:t>
      </w:r>
      <w:r w:rsidRPr="009C1F97">
        <w:t>tohoto</w:t>
      </w:r>
      <w:r>
        <w:t xml:space="preserve"> </w:t>
      </w:r>
      <w:r w:rsidRPr="009C1F97">
        <w:t>zákona</w:t>
      </w:r>
      <w:r>
        <w:t xml:space="preserve"> </w:t>
      </w:r>
      <w:r w:rsidRPr="009C1F97">
        <w:t>nebo</w:t>
      </w:r>
      <w:r>
        <w:t xml:space="preserve"> </w:t>
      </w:r>
      <w:r w:rsidRPr="009C1F97">
        <w:t>zvláštního</w:t>
      </w:r>
      <w:r>
        <w:t xml:space="preserve"> </w:t>
      </w:r>
      <w:r w:rsidRPr="009C1F97">
        <w:t>právního</w:t>
      </w:r>
      <w:r>
        <w:t xml:space="preserve"> </w:t>
      </w:r>
      <w:r w:rsidRPr="009C1F97">
        <w:t>předpisu</w:t>
      </w:r>
      <w:r>
        <w:t xml:space="preserve"> </w:t>
      </w:r>
      <w:r w:rsidRPr="009C1F97">
        <w:t>je</w:t>
      </w:r>
      <w:r>
        <w:t xml:space="preserve"> </w:t>
      </w:r>
      <w:r w:rsidRPr="009C1F97">
        <w:t>zaměstnanecká</w:t>
      </w:r>
      <w:r>
        <w:t xml:space="preserve"> </w:t>
      </w:r>
      <w:r w:rsidRPr="009C1F97">
        <w:t>pojišťovna</w:t>
      </w:r>
      <w:r>
        <w:t xml:space="preserve"> </w:t>
      </w:r>
      <w:r w:rsidRPr="009C1F97">
        <w:t>povinna</w:t>
      </w:r>
      <w:r>
        <w:t xml:space="preserve"> </w:t>
      </w:r>
      <w:r w:rsidRPr="009C1F97">
        <w:t>hradit</w:t>
      </w:r>
      <w:r>
        <w:t xml:space="preserve"> </w:t>
      </w:r>
      <w:r w:rsidRPr="009C1F97">
        <w:t>z</w:t>
      </w:r>
      <w:r>
        <w:t xml:space="preserve"> </w:t>
      </w:r>
      <w:r w:rsidRPr="009C1F97">
        <w:t>prostředků</w:t>
      </w:r>
      <w:r>
        <w:t xml:space="preserve"> </w:t>
      </w:r>
      <w:r w:rsidRPr="009C1F97">
        <w:t>provozního</w:t>
      </w:r>
      <w:r>
        <w:t xml:space="preserve"> </w:t>
      </w:r>
      <w:r w:rsidR="00A15DC8">
        <w:t>fondu.</w:t>
      </w:r>
    </w:p>
    <w:p w14:paraId="493FBE3B" w14:textId="0CEF9CD9" w:rsidR="00382493" w:rsidRDefault="008E4D37" w:rsidP="008E4D37">
      <w:pPr>
        <w:pStyle w:val="Textparagrafu"/>
        <w:numPr>
          <w:ilvl w:val="0"/>
          <w:numId w:val="28"/>
        </w:numPr>
        <w:jc w:val="center"/>
        <w:rPr>
          <w:b/>
        </w:rPr>
      </w:pPr>
      <w:r>
        <w:rPr>
          <w:b/>
        </w:rPr>
        <w:t>***</w:t>
      </w:r>
    </w:p>
    <w:p w14:paraId="79D17D5B" w14:textId="77777777" w:rsidR="008E4D37" w:rsidRDefault="008E4D37" w:rsidP="008E4D37">
      <w:pPr>
        <w:pStyle w:val="Textparagrafu"/>
        <w:numPr>
          <w:ilvl w:val="0"/>
          <w:numId w:val="28"/>
        </w:numPr>
        <w:jc w:val="center"/>
      </w:pPr>
      <w:r w:rsidRPr="009C1F97">
        <w:t>§</w:t>
      </w:r>
      <w:r>
        <w:t xml:space="preserve"> </w:t>
      </w:r>
      <w:r w:rsidRPr="009C1F97">
        <w:t>22e</w:t>
      </w:r>
    </w:p>
    <w:p w14:paraId="74C300F2" w14:textId="77777777" w:rsidR="008E4D37" w:rsidRPr="008E4D37" w:rsidRDefault="008E4D37" w:rsidP="008E4D37">
      <w:pPr>
        <w:pStyle w:val="Textparagrafu"/>
        <w:numPr>
          <w:ilvl w:val="0"/>
          <w:numId w:val="28"/>
        </w:numPr>
        <w:jc w:val="center"/>
        <w:rPr>
          <w:b/>
        </w:rPr>
      </w:pPr>
      <w:r w:rsidRPr="008E4D37">
        <w:rPr>
          <w:b/>
        </w:rPr>
        <w:t>Přestupky právnických osob</w:t>
      </w:r>
    </w:p>
    <w:p w14:paraId="78082B89" w14:textId="77777777" w:rsidR="008E4D37" w:rsidRDefault="008E4D37" w:rsidP="00471221">
      <w:pPr>
        <w:pStyle w:val="Textparagrafu"/>
        <w:numPr>
          <w:ilvl w:val="0"/>
          <w:numId w:val="28"/>
        </w:numPr>
        <w:tabs>
          <w:tab w:val="left" w:pos="392"/>
        </w:tabs>
        <w:spacing w:before="120" w:after="120"/>
        <w:ind w:firstLine="425"/>
      </w:pPr>
      <w:r w:rsidRPr="009C1F97">
        <w:t>(1)</w:t>
      </w:r>
      <w:r>
        <w:t xml:space="preserve"> </w:t>
      </w:r>
      <w:r w:rsidRPr="009C1F97">
        <w:t>Zaměstnanecká</w:t>
      </w:r>
      <w:r>
        <w:t xml:space="preserve"> </w:t>
      </w:r>
      <w:r w:rsidRPr="009C1F97">
        <w:t>pojišťovna</w:t>
      </w:r>
      <w:r>
        <w:t xml:space="preserve"> </w:t>
      </w:r>
      <w:r w:rsidRPr="009C1F97">
        <w:t>se</w:t>
      </w:r>
      <w:r>
        <w:t xml:space="preserve"> </w:t>
      </w:r>
      <w:r w:rsidRPr="009C1F97">
        <w:t>dopustí</w:t>
      </w:r>
      <w:r>
        <w:t xml:space="preserve"> </w:t>
      </w:r>
      <w:r w:rsidRPr="009C1F97">
        <w:t>přestupku</w:t>
      </w:r>
      <w:r>
        <w:t xml:space="preserve"> </w:t>
      </w:r>
      <w:r w:rsidRPr="009C1F97">
        <w:t>tím,</w:t>
      </w:r>
      <w:r>
        <w:t xml:space="preserve"> </w:t>
      </w:r>
      <w:r w:rsidRPr="009C1F97">
        <w:t>že</w:t>
      </w:r>
    </w:p>
    <w:p w14:paraId="6C7B2F10" w14:textId="52922E6F" w:rsidR="008E4D37" w:rsidRDefault="008E4D37" w:rsidP="00B811D2">
      <w:pPr>
        <w:pStyle w:val="Textparagrafu"/>
        <w:numPr>
          <w:ilvl w:val="0"/>
          <w:numId w:val="28"/>
        </w:numPr>
        <w:tabs>
          <w:tab w:val="left" w:pos="392"/>
        </w:tabs>
        <w:spacing w:before="0"/>
        <w:ind w:left="426" w:hanging="426"/>
      </w:pPr>
      <w:r w:rsidRPr="009C1F97">
        <w:t>a)</w:t>
      </w:r>
      <w:r w:rsidR="00B811D2">
        <w:tab/>
      </w:r>
      <w:r w:rsidRPr="009C1F97">
        <w:t>provádí</w:t>
      </w:r>
      <w:r>
        <w:t xml:space="preserve"> </w:t>
      </w:r>
      <w:r w:rsidRPr="009C1F97">
        <w:t>nábor</w:t>
      </w:r>
      <w:r>
        <w:t xml:space="preserve"> </w:t>
      </w:r>
      <w:r w:rsidRPr="009C1F97">
        <w:t>pojištěnců</w:t>
      </w:r>
      <w:r>
        <w:t xml:space="preserve"> </w:t>
      </w:r>
      <w:r w:rsidRPr="009C1F97">
        <w:t>v</w:t>
      </w:r>
      <w:r>
        <w:t xml:space="preserve"> </w:t>
      </w:r>
      <w:r w:rsidRPr="009C1F97">
        <w:t>rozporu</w:t>
      </w:r>
      <w:r>
        <w:t xml:space="preserve"> </w:t>
      </w:r>
      <w:r w:rsidRPr="009C1F97">
        <w:t>s</w:t>
      </w:r>
      <w:r>
        <w:t xml:space="preserve"> </w:t>
      </w:r>
      <w:r w:rsidRPr="009C1F97">
        <w:t>§</w:t>
      </w:r>
      <w:r>
        <w:t xml:space="preserve"> </w:t>
      </w:r>
      <w:r w:rsidRPr="009C1F97">
        <w:t>5</w:t>
      </w:r>
      <w:r>
        <w:t xml:space="preserve"> </w:t>
      </w:r>
      <w:r w:rsidRPr="009C1F97">
        <w:t>odst.</w:t>
      </w:r>
      <w:r>
        <w:t xml:space="preserve"> </w:t>
      </w:r>
      <w:r w:rsidRPr="009C1F97">
        <w:t>4,</w:t>
      </w:r>
    </w:p>
    <w:p w14:paraId="4CC9623C" w14:textId="7746AC09" w:rsidR="008E4D37" w:rsidRDefault="008E4D37" w:rsidP="00B811D2">
      <w:pPr>
        <w:pStyle w:val="Textparagrafu"/>
        <w:numPr>
          <w:ilvl w:val="0"/>
          <w:numId w:val="28"/>
        </w:numPr>
        <w:tabs>
          <w:tab w:val="left" w:pos="392"/>
        </w:tabs>
        <w:spacing w:before="0"/>
        <w:ind w:left="426" w:hanging="426"/>
      </w:pPr>
      <w:r w:rsidRPr="009C1F97">
        <w:t>b)</w:t>
      </w:r>
      <w:r w:rsidR="00B811D2">
        <w:tab/>
      </w:r>
      <w:r w:rsidRPr="009C1F97">
        <w:t>nepodá</w:t>
      </w:r>
      <w:r>
        <w:t xml:space="preserve"> </w:t>
      </w:r>
      <w:r w:rsidRPr="009C1F97">
        <w:t>Ministerstvu</w:t>
      </w:r>
      <w:r>
        <w:t xml:space="preserve"> </w:t>
      </w:r>
      <w:r w:rsidRPr="009C1F97">
        <w:t>zdravotnictví</w:t>
      </w:r>
      <w:r>
        <w:t xml:space="preserve"> </w:t>
      </w:r>
      <w:r w:rsidRPr="009C1F97">
        <w:t>nebo</w:t>
      </w:r>
      <w:r>
        <w:t xml:space="preserve"> </w:t>
      </w:r>
      <w:r w:rsidRPr="009C1F97">
        <w:t>Ministerstvu</w:t>
      </w:r>
      <w:r>
        <w:t xml:space="preserve"> </w:t>
      </w:r>
      <w:r w:rsidRPr="009C1F97">
        <w:t>financí</w:t>
      </w:r>
      <w:r>
        <w:t xml:space="preserve"> </w:t>
      </w:r>
      <w:r w:rsidRPr="009C1F97">
        <w:t>zprávu</w:t>
      </w:r>
      <w:r>
        <w:t xml:space="preserve"> </w:t>
      </w:r>
      <w:r w:rsidRPr="009C1F97">
        <w:t>o</w:t>
      </w:r>
      <w:r>
        <w:t xml:space="preserve"> </w:t>
      </w:r>
      <w:r w:rsidRPr="009C1F97">
        <w:t>svém</w:t>
      </w:r>
      <w:r>
        <w:t xml:space="preserve"> </w:t>
      </w:r>
      <w:r w:rsidRPr="009C1F97">
        <w:t>hospodaření</w:t>
      </w:r>
      <w:r>
        <w:t xml:space="preserve"> </w:t>
      </w:r>
      <w:r w:rsidRPr="009C1F97">
        <w:t>podle</w:t>
      </w:r>
      <w:r>
        <w:t xml:space="preserve"> </w:t>
      </w:r>
      <w:r w:rsidRPr="009C1F97">
        <w:t>§</w:t>
      </w:r>
      <w:r>
        <w:t xml:space="preserve"> </w:t>
      </w:r>
      <w:r w:rsidRPr="009C1F97">
        <w:t>7</w:t>
      </w:r>
      <w:r>
        <w:t xml:space="preserve"> </w:t>
      </w:r>
      <w:r w:rsidRPr="009C1F97">
        <w:t>odst.</w:t>
      </w:r>
      <w:r>
        <w:t xml:space="preserve"> </w:t>
      </w:r>
      <w:r w:rsidRPr="009C1F97">
        <w:t>1,</w:t>
      </w:r>
    </w:p>
    <w:p w14:paraId="64CA8783" w14:textId="410C03D5" w:rsidR="008E4D37" w:rsidRDefault="008E4D37" w:rsidP="00B811D2">
      <w:pPr>
        <w:pStyle w:val="Textparagrafu"/>
        <w:numPr>
          <w:ilvl w:val="0"/>
          <w:numId w:val="28"/>
        </w:numPr>
        <w:tabs>
          <w:tab w:val="left" w:pos="392"/>
        </w:tabs>
        <w:spacing w:before="0"/>
        <w:ind w:left="426" w:hanging="426"/>
      </w:pPr>
      <w:r w:rsidRPr="009C1F97">
        <w:t>c)</w:t>
      </w:r>
      <w:r w:rsidR="00B811D2">
        <w:tab/>
      </w:r>
      <w:r w:rsidRPr="009C1F97">
        <w:t>neposkytne</w:t>
      </w:r>
      <w:r>
        <w:t xml:space="preserve"> </w:t>
      </w:r>
      <w:r w:rsidRPr="009C1F97">
        <w:t>Ministerstvu</w:t>
      </w:r>
      <w:r>
        <w:t xml:space="preserve"> </w:t>
      </w:r>
      <w:r w:rsidRPr="009C1F97">
        <w:t>zdravotnictví,</w:t>
      </w:r>
      <w:r>
        <w:t xml:space="preserve"> </w:t>
      </w:r>
      <w:r w:rsidRPr="009C1F97">
        <w:t>Ministerstvu</w:t>
      </w:r>
      <w:r>
        <w:t xml:space="preserve"> </w:t>
      </w:r>
      <w:r w:rsidRPr="009C1F97">
        <w:t>financí</w:t>
      </w:r>
      <w:r>
        <w:t xml:space="preserve"> </w:t>
      </w:r>
      <w:r w:rsidRPr="009C1F97">
        <w:t>nebo</w:t>
      </w:r>
      <w:r>
        <w:t xml:space="preserve"> </w:t>
      </w:r>
      <w:r w:rsidRPr="009C1F97">
        <w:t>Českému</w:t>
      </w:r>
      <w:r>
        <w:t xml:space="preserve"> </w:t>
      </w:r>
      <w:r w:rsidRPr="009C1F97">
        <w:t>statistickému</w:t>
      </w:r>
      <w:r>
        <w:t xml:space="preserve"> </w:t>
      </w:r>
      <w:r w:rsidRPr="009C1F97">
        <w:t>úřadu</w:t>
      </w:r>
      <w:r>
        <w:t xml:space="preserve"> </w:t>
      </w:r>
      <w:r w:rsidRPr="009C1F97">
        <w:t>na</w:t>
      </w:r>
      <w:r>
        <w:t xml:space="preserve"> </w:t>
      </w:r>
      <w:r w:rsidRPr="009C1F97">
        <w:t>jejich</w:t>
      </w:r>
      <w:r>
        <w:t xml:space="preserve"> </w:t>
      </w:r>
      <w:r w:rsidRPr="009C1F97">
        <w:t>žádost</w:t>
      </w:r>
      <w:r>
        <w:t xml:space="preserve"> </w:t>
      </w:r>
      <w:r w:rsidRPr="009C1F97">
        <w:t>informace</w:t>
      </w:r>
      <w:r>
        <w:t xml:space="preserve"> </w:t>
      </w:r>
      <w:r w:rsidRPr="009C1F97">
        <w:t>z</w:t>
      </w:r>
      <w:r>
        <w:t xml:space="preserve"> </w:t>
      </w:r>
      <w:r w:rsidRPr="009C1F97">
        <w:t>informačního</w:t>
      </w:r>
      <w:r>
        <w:t xml:space="preserve"> </w:t>
      </w:r>
      <w:r w:rsidRPr="009C1F97">
        <w:t>systému</w:t>
      </w:r>
      <w:r>
        <w:t xml:space="preserve"> </w:t>
      </w:r>
      <w:r w:rsidRPr="009C1F97">
        <w:t>zaměstnanecké</w:t>
      </w:r>
      <w:r>
        <w:t xml:space="preserve"> </w:t>
      </w:r>
      <w:r w:rsidRPr="009C1F97">
        <w:t>pojišťovny</w:t>
      </w:r>
      <w:r>
        <w:t xml:space="preserve"> </w:t>
      </w:r>
      <w:r w:rsidRPr="009C1F97">
        <w:t>podle</w:t>
      </w:r>
      <w:r>
        <w:t xml:space="preserve"> </w:t>
      </w:r>
      <w:r w:rsidRPr="009C1F97">
        <w:t>§</w:t>
      </w:r>
      <w:r>
        <w:t xml:space="preserve"> </w:t>
      </w:r>
      <w:r w:rsidRPr="009C1F97">
        <w:t>14a,</w:t>
      </w:r>
    </w:p>
    <w:p w14:paraId="48BDA620" w14:textId="4FAE1D15" w:rsidR="008E4D37" w:rsidRDefault="008E4D37" w:rsidP="00B811D2">
      <w:pPr>
        <w:pStyle w:val="Textparagrafu"/>
        <w:numPr>
          <w:ilvl w:val="0"/>
          <w:numId w:val="28"/>
        </w:numPr>
        <w:tabs>
          <w:tab w:val="left" w:pos="392"/>
        </w:tabs>
        <w:spacing w:before="0"/>
        <w:ind w:left="426" w:hanging="426"/>
      </w:pPr>
      <w:r w:rsidRPr="009C1F97">
        <w:t>d)</w:t>
      </w:r>
      <w:r w:rsidR="00B811D2">
        <w:tab/>
      </w:r>
      <w:r w:rsidRPr="009C1F97">
        <w:t>nepředloží</w:t>
      </w:r>
      <w:r>
        <w:t xml:space="preserve"> </w:t>
      </w:r>
      <w:r w:rsidRPr="009C1F97">
        <w:t>Ministerstvu</w:t>
      </w:r>
      <w:r>
        <w:t xml:space="preserve"> </w:t>
      </w:r>
      <w:r w:rsidRPr="009C1F97">
        <w:t>zdravotnictví</w:t>
      </w:r>
      <w:r>
        <w:t xml:space="preserve"> </w:t>
      </w:r>
      <w:r w:rsidRPr="009C1F97">
        <w:t>nebo</w:t>
      </w:r>
      <w:r>
        <w:t xml:space="preserve"> </w:t>
      </w:r>
      <w:r w:rsidRPr="009C1F97">
        <w:t>Ministerstvu</w:t>
      </w:r>
      <w:r>
        <w:t xml:space="preserve"> </w:t>
      </w:r>
      <w:r w:rsidRPr="009C1F97">
        <w:t>financí</w:t>
      </w:r>
      <w:r>
        <w:t xml:space="preserve"> </w:t>
      </w:r>
      <w:r w:rsidRPr="009C1F97">
        <w:t>návrh</w:t>
      </w:r>
      <w:r>
        <w:t xml:space="preserve"> </w:t>
      </w:r>
      <w:r w:rsidRPr="009C1F97">
        <w:t>zdravotně</w:t>
      </w:r>
      <w:r>
        <w:t xml:space="preserve"> </w:t>
      </w:r>
      <w:r w:rsidRPr="009C1F97">
        <w:t>pojistného</w:t>
      </w:r>
      <w:r>
        <w:t xml:space="preserve"> </w:t>
      </w:r>
      <w:r w:rsidRPr="009C1F97">
        <w:t>plánu,</w:t>
      </w:r>
      <w:r>
        <w:t xml:space="preserve"> </w:t>
      </w:r>
      <w:r w:rsidRPr="008E4D37">
        <w:rPr>
          <w:strike/>
        </w:rPr>
        <w:t>účetní závěrku, návrh výroční zprávy za minulý kalendářní rok nebo zprávu auditora podle § 15 odst. 2</w:t>
      </w:r>
      <w:r w:rsidRPr="008E4D37">
        <w:rPr>
          <w:b/>
        </w:rPr>
        <w:t xml:space="preserve"> </w:t>
      </w:r>
      <w:r w:rsidRPr="009D046D">
        <w:rPr>
          <w:b/>
        </w:rPr>
        <w:t>řádnou účetní závěrku, zprávu vedení za uplynulé účetní období nebo zprávu auditora o povinném auditu podle § 15 odst. 5</w:t>
      </w:r>
      <w:r w:rsidRPr="009C1F97">
        <w:t>,</w:t>
      </w:r>
      <w:r>
        <w:t xml:space="preserve"> </w:t>
      </w:r>
      <w:r w:rsidRPr="009C1F97">
        <w:t>nebo</w:t>
      </w:r>
    </w:p>
    <w:p w14:paraId="2E9AE4EE" w14:textId="1DCDF73C" w:rsidR="008E4D37" w:rsidRDefault="008E4D37" w:rsidP="00B811D2">
      <w:pPr>
        <w:pStyle w:val="Textparagrafu"/>
        <w:numPr>
          <w:ilvl w:val="0"/>
          <w:numId w:val="28"/>
        </w:numPr>
        <w:tabs>
          <w:tab w:val="left" w:pos="392"/>
        </w:tabs>
        <w:spacing w:before="0"/>
        <w:ind w:left="426" w:hanging="426"/>
      </w:pPr>
      <w:r w:rsidRPr="009C1F97">
        <w:lastRenderedPageBreak/>
        <w:t>e)</w:t>
      </w:r>
      <w:r w:rsidR="00B811D2">
        <w:tab/>
      </w:r>
      <w:r w:rsidRPr="009C1F97">
        <w:t>v</w:t>
      </w:r>
      <w:r>
        <w:t xml:space="preserve"> </w:t>
      </w:r>
      <w:r w:rsidRPr="009C1F97">
        <w:t>rozporu</w:t>
      </w:r>
      <w:r>
        <w:t xml:space="preserve"> </w:t>
      </w:r>
      <w:r w:rsidRPr="009C1F97">
        <w:t>s</w:t>
      </w:r>
      <w:r>
        <w:t xml:space="preserve"> </w:t>
      </w:r>
      <w:r w:rsidRPr="009C1F97">
        <w:t>§</w:t>
      </w:r>
      <w:r>
        <w:t xml:space="preserve"> </w:t>
      </w:r>
      <w:r w:rsidRPr="009C1F97">
        <w:t>19</w:t>
      </w:r>
      <w:r>
        <w:t xml:space="preserve"> </w:t>
      </w:r>
      <w:r w:rsidRPr="009C1F97">
        <w:t>odst.</w:t>
      </w:r>
      <w:r>
        <w:t xml:space="preserve"> </w:t>
      </w:r>
      <w:r w:rsidRPr="009C1F97">
        <w:t>3</w:t>
      </w:r>
      <w:r>
        <w:t xml:space="preserve"> </w:t>
      </w:r>
      <w:r w:rsidRPr="009C1F97">
        <w:t>zřídí</w:t>
      </w:r>
      <w:r>
        <w:t xml:space="preserve"> </w:t>
      </w:r>
      <w:r w:rsidRPr="009C1F97">
        <w:t>nebo</w:t>
      </w:r>
      <w:r>
        <w:t xml:space="preserve"> </w:t>
      </w:r>
      <w:r w:rsidRPr="009C1F97">
        <w:t>provozuje</w:t>
      </w:r>
      <w:r>
        <w:t xml:space="preserve"> </w:t>
      </w:r>
      <w:r w:rsidRPr="009C1F97">
        <w:t>poskytovatele</w:t>
      </w:r>
      <w:r>
        <w:t xml:space="preserve"> </w:t>
      </w:r>
      <w:r w:rsidRPr="009C1F97">
        <w:t>nebo</w:t>
      </w:r>
      <w:r>
        <w:t xml:space="preserve"> </w:t>
      </w:r>
      <w:r w:rsidRPr="009C1F97">
        <w:t>podniká</w:t>
      </w:r>
      <w:r>
        <w:t xml:space="preserve"> </w:t>
      </w:r>
      <w:r w:rsidRPr="009C1F97">
        <w:t>s</w:t>
      </w:r>
      <w:r>
        <w:t xml:space="preserve"> </w:t>
      </w:r>
      <w:r w:rsidRPr="009C1F97">
        <w:t>prostředky</w:t>
      </w:r>
      <w:r>
        <w:t xml:space="preserve"> </w:t>
      </w:r>
      <w:r w:rsidRPr="009C1F97">
        <w:t>plynoucími</w:t>
      </w:r>
      <w:r>
        <w:t xml:space="preserve"> </w:t>
      </w:r>
      <w:r w:rsidRPr="009C1F97">
        <w:t>z</w:t>
      </w:r>
      <w:r>
        <w:t xml:space="preserve"> </w:t>
      </w:r>
      <w:r w:rsidRPr="009C1F97">
        <w:t>veřejného</w:t>
      </w:r>
      <w:r>
        <w:t xml:space="preserve"> </w:t>
      </w:r>
      <w:r w:rsidRPr="009C1F97">
        <w:t>zdravotního</w:t>
      </w:r>
      <w:r>
        <w:t xml:space="preserve"> </w:t>
      </w:r>
      <w:r w:rsidRPr="009C1F97">
        <w:t>pojištění.</w:t>
      </w:r>
    </w:p>
    <w:p w14:paraId="074D46FF" w14:textId="77777777" w:rsidR="008E4D37" w:rsidRDefault="008E4D37" w:rsidP="00471221">
      <w:pPr>
        <w:pStyle w:val="Textparagrafu"/>
        <w:numPr>
          <w:ilvl w:val="0"/>
          <w:numId w:val="28"/>
        </w:numPr>
        <w:tabs>
          <w:tab w:val="left" w:pos="392"/>
        </w:tabs>
        <w:spacing w:before="120" w:after="120"/>
        <w:ind w:firstLine="425"/>
      </w:pPr>
      <w:r w:rsidRPr="009C1F97">
        <w:t>(2)</w:t>
      </w:r>
      <w:r>
        <w:t xml:space="preserve"> </w:t>
      </w:r>
      <w:r w:rsidRPr="009C1F97">
        <w:t>Za</w:t>
      </w:r>
      <w:r>
        <w:t xml:space="preserve"> </w:t>
      </w:r>
      <w:r w:rsidRPr="009C1F97">
        <w:t>přestupek</w:t>
      </w:r>
      <w:r>
        <w:t xml:space="preserve"> </w:t>
      </w:r>
      <w:r w:rsidRPr="009C1F97">
        <w:t>lze</w:t>
      </w:r>
      <w:r>
        <w:t xml:space="preserve"> </w:t>
      </w:r>
      <w:r w:rsidRPr="009C1F97">
        <w:t>uložit</w:t>
      </w:r>
      <w:r>
        <w:t xml:space="preserve"> </w:t>
      </w:r>
      <w:r w:rsidRPr="009C1F97">
        <w:t>pokutu</w:t>
      </w:r>
      <w:r>
        <w:t xml:space="preserve"> </w:t>
      </w:r>
      <w:r w:rsidRPr="009C1F97">
        <w:t>do</w:t>
      </w:r>
    </w:p>
    <w:p w14:paraId="3AA95185" w14:textId="676A71F9" w:rsidR="008E4D37" w:rsidRDefault="008E4D37" w:rsidP="00F80E61">
      <w:pPr>
        <w:pStyle w:val="Textparagrafu"/>
        <w:numPr>
          <w:ilvl w:val="0"/>
          <w:numId w:val="28"/>
        </w:numPr>
        <w:tabs>
          <w:tab w:val="left" w:pos="392"/>
        </w:tabs>
        <w:spacing w:before="0"/>
        <w:ind w:left="426" w:hanging="426"/>
      </w:pPr>
      <w:r w:rsidRPr="009C1F97">
        <w:t>a)</w:t>
      </w:r>
      <w:r w:rsidR="00F80E61">
        <w:tab/>
      </w:r>
      <w:r w:rsidRPr="009C1F97">
        <w:t>200</w:t>
      </w:r>
      <w:r>
        <w:t xml:space="preserve"> </w:t>
      </w:r>
      <w:r w:rsidRPr="009C1F97">
        <w:t>000</w:t>
      </w:r>
      <w:r>
        <w:t xml:space="preserve"> </w:t>
      </w:r>
      <w:r w:rsidRPr="009C1F97">
        <w:t>Kč,</w:t>
      </w:r>
      <w:r>
        <w:t xml:space="preserve"> </w:t>
      </w:r>
      <w:r w:rsidRPr="009C1F97">
        <w:t>jde-li</w:t>
      </w:r>
      <w:r>
        <w:t xml:space="preserve"> </w:t>
      </w:r>
      <w:r w:rsidRPr="009C1F97">
        <w:t>o</w:t>
      </w:r>
      <w:r>
        <w:t xml:space="preserve"> </w:t>
      </w:r>
      <w:r w:rsidRPr="009C1F97">
        <w:t>přestupek</w:t>
      </w:r>
      <w:r>
        <w:t xml:space="preserve"> </w:t>
      </w:r>
      <w:r w:rsidRPr="009C1F97">
        <w:t>podle</w:t>
      </w:r>
      <w:r>
        <w:t xml:space="preserve"> </w:t>
      </w:r>
      <w:r w:rsidRPr="009C1F97">
        <w:t>odstavce</w:t>
      </w:r>
      <w:r>
        <w:t xml:space="preserve"> </w:t>
      </w:r>
      <w:r w:rsidRPr="009C1F97">
        <w:t>1</w:t>
      </w:r>
      <w:r>
        <w:t xml:space="preserve"> </w:t>
      </w:r>
      <w:r w:rsidRPr="009C1F97">
        <w:t>písm.</w:t>
      </w:r>
      <w:r>
        <w:t xml:space="preserve"> </w:t>
      </w:r>
      <w:r w:rsidRPr="009C1F97">
        <w:t>b),</w:t>
      </w:r>
    </w:p>
    <w:p w14:paraId="0CA92D97" w14:textId="397ECC95" w:rsidR="008E4D37" w:rsidRDefault="008E4D37" w:rsidP="00F80E61">
      <w:pPr>
        <w:pStyle w:val="Textparagrafu"/>
        <w:numPr>
          <w:ilvl w:val="0"/>
          <w:numId w:val="28"/>
        </w:numPr>
        <w:tabs>
          <w:tab w:val="left" w:pos="392"/>
        </w:tabs>
        <w:spacing w:before="0"/>
        <w:ind w:left="426" w:hanging="426"/>
      </w:pPr>
      <w:r w:rsidRPr="009C1F97">
        <w:t>b)</w:t>
      </w:r>
      <w:r w:rsidR="00F80E61">
        <w:tab/>
      </w:r>
      <w:r w:rsidRPr="009C1F97">
        <w:t>1</w:t>
      </w:r>
      <w:r>
        <w:t xml:space="preserve"> </w:t>
      </w:r>
      <w:r w:rsidRPr="009C1F97">
        <w:t>000</w:t>
      </w:r>
      <w:r>
        <w:t xml:space="preserve"> </w:t>
      </w:r>
      <w:r w:rsidRPr="009C1F97">
        <w:t>000</w:t>
      </w:r>
      <w:r>
        <w:t xml:space="preserve"> </w:t>
      </w:r>
      <w:r w:rsidRPr="009C1F97">
        <w:t>Kč,</w:t>
      </w:r>
      <w:r>
        <w:t xml:space="preserve"> </w:t>
      </w:r>
      <w:r w:rsidRPr="009C1F97">
        <w:t>jde-li</w:t>
      </w:r>
      <w:r>
        <w:t xml:space="preserve"> </w:t>
      </w:r>
      <w:r w:rsidRPr="009C1F97">
        <w:t>o</w:t>
      </w:r>
      <w:r>
        <w:t xml:space="preserve"> </w:t>
      </w:r>
      <w:r w:rsidRPr="009C1F97">
        <w:t>přestupek</w:t>
      </w:r>
      <w:r>
        <w:t xml:space="preserve"> </w:t>
      </w:r>
      <w:r w:rsidRPr="009C1F97">
        <w:t>podle</w:t>
      </w:r>
      <w:r>
        <w:t xml:space="preserve"> </w:t>
      </w:r>
      <w:r w:rsidRPr="009C1F97">
        <w:t>odstavce</w:t>
      </w:r>
      <w:r>
        <w:t xml:space="preserve"> </w:t>
      </w:r>
      <w:r w:rsidRPr="009C1F97">
        <w:t>1</w:t>
      </w:r>
      <w:r>
        <w:t xml:space="preserve"> </w:t>
      </w:r>
      <w:r w:rsidRPr="009C1F97">
        <w:t>písm.</w:t>
      </w:r>
      <w:r>
        <w:t xml:space="preserve"> </w:t>
      </w:r>
      <w:r w:rsidRPr="009C1F97">
        <w:t>d)</w:t>
      </w:r>
      <w:r>
        <w:t xml:space="preserve"> </w:t>
      </w:r>
      <w:r w:rsidRPr="009C1F97">
        <w:t>nebo</w:t>
      </w:r>
      <w:r>
        <w:t xml:space="preserve"> </w:t>
      </w:r>
      <w:r w:rsidRPr="009C1F97">
        <w:t>e),</w:t>
      </w:r>
    </w:p>
    <w:p w14:paraId="5146BE44" w14:textId="7E802023" w:rsidR="008E4D37" w:rsidRDefault="008E4D37" w:rsidP="00F80E61">
      <w:pPr>
        <w:pStyle w:val="Textparagrafu"/>
        <w:numPr>
          <w:ilvl w:val="0"/>
          <w:numId w:val="28"/>
        </w:numPr>
        <w:tabs>
          <w:tab w:val="left" w:pos="392"/>
        </w:tabs>
        <w:spacing w:before="0"/>
        <w:ind w:left="426" w:hanging="426"/>
      </w:pPr>
      <w:r w:rsidRPr="009C1F97">
        <w:t>c)</w:t>
      </w:r>
      <w:r w:rsidR="00F80E61">
        <w:tab/>
      </w:r>
      <w:r w:rsidRPr="009C1F97">
        <w:t>2</w:t>
      </w:r>
      <w:r>
        <w:t xml:space="preserve"> </w:t>
      </w:r>
      <w:r w:rsidRPr="009C1F97">
        <w:t>000</w:t>
      </w:r>
      <w:r>
        <w:t xml:space="preserve"> </w:t>
      </w:r>
      <w:r w:rsidRPr="009C1F97">
        <w:t>000</w:t>
      </w:r>
      <w:r>
        <w:t xml:space="preserve"> </w:t>
      </w:r>
      <w:r w:rsidRPr="009C1F97">
        <w:t>Kč,</w:t>
      </w:r>
      <w:r>
        <w:t xml:space="preserve"> </w:t>
      </w:r>
      <w:r w:rsidRPr="009C1F97">
        <w:t>jde-li</w:t>
      </w:r>
      <w:r>
        <w:t xml:space="preserve"> </w:t>
      </w:r>
      <w:r w:rsidRPr="009C1F97">
        <w:t>o</w:t>
      </w:r>
      <w:r>
        <w:t xml:space="preserve"> </w:t>
      </w:r>
      <w:r w:rsidRPr="009C1F97">
        <w:t>přestupek</w:t>
      </w:r>
      <w:r>
        <w:t xml:space="preserve"> </w:t>
      </w:r>
      <w:r w:rsidRPr="009C1F97">
        <w:t>podle</w:t>
      </w:r>
      <w:r>
        <w:t xml:space="preserve"> </w:t>
      </w:r>
      <w:r w:rsidRPr="009C1F97">
        <w:t>odstavce</w:t>
      </w:r>
      <w:r>
        <w:t xml:space="preserve"> </w:t>
      </w:r>
      <w:r w:rsidRPr="009C1F97">
        <w:t>1</w:t>
      </w:r>
      <w:r>
        <w:t xml:space="preserve"> </w:t>
      </w:r>
      <w:r w:rsidRPr="009C1F97">
        <w:t>písm.</w:t>
      </w:r>
      <w:r>
        <w:t xml:space="preserve"> </w:t>
      </w:r>
      <w:r w:rsidRPr="009C1F97">
        <w:t>c),</w:t>
      </w:r>
    </w:p>
    <w:p w14:paraId="21FE0A53" w14:textId="57F5DAF3" w:rsidR="008E4D37" w:rsidRPr="009C1F97" w:rsidRDefault="008E4D37" w:rsidP="00F80E61">
      <w:pPr>
        <w:pStyle w:val="Textparagrafu"/>
        <w:numPr>
          <w:ilvl w:val="0"/>
          <w:numId w:val="28"/>
        </w:numPr>
        <w:tabs>
          <w:tab w:val="left" w:pos="392"/>
        </w:tabs>
        <w:spacing w:before="0"/>
        <w:ind w:left="426" w:hanging="426"/>
      </w:pPr>
      <w:r w:rsidRPr="009C1F97">
        <w:t>d)</w:t>
      </w:r>
      <w:r w:rsidR="00F80E61">
        <w:tab/>
      </w:r>
      <w:r w:rsidRPr="009C1F97">
        <w:t>5</w:t>
      </w:r>
      <w:r>
        <w:t xml:space="preserve"> </w:t>
      </w:r>
      <w:r w:rsidRPr="009C1F97">
        <w:t>000</w:t>
      </w:r>
      <w:r>
        <w:t xml:space="preserve"> </w:t>
      </w:r>
      <w:r w:rsidRPr="009C1F97">
        <w:t>000</w:t>
      </w:r>
      <w:r>
        <w:t xml:space="preserve"> </w:t>
      </w:r>
      <w:r w:rsidRPr="009C1F97">
        <w:t>Kč,</w:t>
      </w:r>
      <w:r>
        <w:t xml:space="preserve"> </w:t>
      </w:r>
      <w:r w:rsidRPr="009C1F97">
        <w:t>jde-li</w:t>
      </w:r>
      <w:r>
        <w:t xml:space="preserve"> </w:t>
      </w:r>
      <w:r w:rsidRPr="009C1F97">
        <w:t>o</w:t>
      </w:r>
      <w:r>
        <w:t xml:space="preserve"> </w:t>
      </w:r>
      <w:r w:rsidRPr="009C1F97">
        <w:t>přestupek</w:t>
      </w:r>
      <w:r>
        <w:t xml:space="preserve"> </w:t>
      </w:r>
      <w:r w:rsidRPr="009C1F97">
        <w:t>podle</w:t>
      </w:r>
      <w:r>
        <w:t xml:space="preserve"> </w:t>
      </w:r>
      <w:r w:rsidRPr="009C1F97">
        <w:t>odstavce</w:t>
      </w:r>
      <w:r>
        <w:t xml:space="preserve"> </w:t>
      </w:r>
      <w:r w:rsidRPr="009C1F97">
        <w:t>1</w:t>
      </w:r>
      <w:r>
        <w:t xml:space="preserve"> </w:t>
      </w:r>
      <w:r w:rsidRPr="009C1F97">
        <w:t>písm.</w:t>
      </w:r>
      <w:r>
        <w:t xml:space="preserve"> </w:t>
      </w:r>
      <w:r w:rsidRPr="009C1F97">
        <w:t>a).</w:t>
      </w:r>
    </w:p>
    <w:p w14:paraId="65EA7CB7" w14:textId="77777777" w:rsidR="00A15DC8" w:rsidRDefault="00A15DC8" w:rsidP="00412BC6">
      <w:pPr>
        <w:pStyle w:val="Textparagrafu"/>
        <w:numPr>
          <w:ilvl w:val="0"/>
          <w:numId w:val="28"/>
        </w:numPr>
        <w:ind w:firstLine="425"/>
        <w:rPr>
          <w:b/>
        </w:rPr>
        <w:sectPr w:rsidR="00A15DC8" w:rsidSect="00084391">
          <w:footnotePr>
            <w:numStart w:val="3"/>
          </w:footnotePr>
          <w:endnotePr>
            <w:numFmt w:val="decimal"/>
          </w:endnotePr>
          <w:pgSz w:w="11906" w:h="16838"/>
          <w:pgMar w:top="1418" w:right="1418" w:bottom="1418" w:left="1418" w:header="709" w:footer="709" w:gutter="0"/>
          <w:cols w:space="708"/>
          <w:docGrid w:linePitch="360"/>
        </w:sectPr>
      </w:pPr>
    </w:p>
    <w:p w14:paraId="344EFC98" w14:textId="7C00D7D0" w:rsidR="00850208" w:rsidRDefault="00850208" w:rsidP="00471221">
      <w:pPr>
        <w:pStyle w:val="Odstavecseseznamem"/>
        <w:tabs>
          <w:tab w:val="left" w:pos="851"/>
        </w:tabs>
        <w:spacing w:before="120" w:after="120"/>
        <w:ind w:left="0" w:firstLine="0"/>
        <w:jc w:val="center"/>
        <w:outlineLvl w:val="0"/>
        <w:rPr>
          <w:szCs w:val="24"/>
        </w:rPr>
      </w:pPr>
      <w:r w:rsidRPr="00E70B7D">
        <w:rPr>
          <w:b/>
          <w:szCs w:val="24"/>
        </w:rPr>
        <w:lastRenderedPageBreak/>
        <w:t xml:space="preserve">K části </w:t>
      </w:r>
      <w:r w:rsidR="00F80E61">
        <w:rPr>
          <w:b/>
          <w:szCs w:val="24"/>
        </w:rPr>
        <w:t>sedmnácté</w:t>
      </w:r>
      <w:r w:rsidRPr="00E70B7D">
        <w:rPr>
          <w:b/>
          <w:szCs w:val="24"/>
        </w:rPr>
        <w:t xml:space="preserve"> návrhu zákona – </w:t>
      </w:r>
      <w:r w:rsidRPr="00E70B7D">
        <w:rPr>
          <w:szCs w:val="24"/>
        </w:rPr>
        <w:t xml:space="preserve">změna </w:t>
      </w:r>
      <w:r>
        <w:rPr>
          <w:szCs w:val="24"/>
        </w:rPr>
        <w:t>zákona o</w:t>
      </w:r>
      <w:r w:rsidRPr="00850208">
        <w:rPr>
          <w:szCs w:val="24"/>
        </w:rPr>
        <w:t xml:space="preserve"> Hospodářské komoře České republiky a Agrární komoře České republiky</w:t>
      </w:r>
    </w:p>
    <w:p w14:paraId="6E7412CC" w14:textId="77777777" w:rsidR="004958B0" w:rsidRPr="00AE0742" w:rsidRDefault="004958B0" w:rsidP="004958B0">
      <w:pPr>
        <w:pStyle w:val="Odstavecseseznamem"/>
        <w:tabs>
          <w:tab w:val="left" w:pos="851"/>
        </w:tabs>
        <w:spacing w:before="120" w:after="120"/>
        <w:ind w:left="0" w:firstLine="0"/>
        <w:outlineLvl w:val="0"/>
        <w:rPr>
          <w:b/>
          <w:szCs w:val="24"/>
        </w:rPr>
      </w:pPr>
    </w:p>
    <w:p w14:paraId="553D305B" w14:textId="7879A0A5" w:rsidR="00850208" w:rsidRDefault="00850208" w:rsidP="00850208">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AE0742">
        <w:rPr>
          <w:b/>
          <w:szCs w:val="24"/>
        </w:rPr>
        <w:t>Platné znění</w:t>
      </w:r>
      <w:r w:rsidRPr="00AE0742">
        <w:rPr>
          <w:szCs w:val="24"/>
        </w:rPr>
        <w:t xml:space="preserve"> zákona </w:t>
      </w:r>
      <w:r w:rsidRPr="00AE0742">
        <w:rPr>
          <w:color w:val="000000"/>
          <w:szCs w:val="24"/>
        </w:rPr>
        <w:t>č. </w:t>
      </w:r>
      <w:r>
        <w:rPr>
          <w:color w:val="000000"/>
          <w:szCs w:val="24"/>
        </w:rPr>
        <w:t xml:space="preserve">301/1992 </w:t>
      </w:r>
      <w:r w:rsidRPr="00AE0742">
        <w:rPr>
          <w:color w:val="000000"/>
          <w:szCs w:val="24"/>
        </w:rPr>
        <w:t xml:space="preserve">Sb., </w:t>
      </w:r>
      <w:r w:rsidRPr="007906E0">
        <w:rPr>
          <w:szCs w:val="24"/>
        </w:rPr>
        <w:t xml:space="preserve">o </w:t>
      </w:r>
      <w:r w:rsidRPr="00850208">
        <w:rPr>
          <w:szCs w:val="24"/>
        </w:rPr>
        <w:t>Hospodářské komoře České republiky a Agrární komoře České republiky</w:t>
      </w:r>
    </w:p>
    <w:p w14:paraId="2774E46F" w14:textId="55BD38E4" w:rsidR="00850208" w:rsidRPr="00471221" w:rsidRDefault="00471221" w:rsidP="00471221">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b/>
          <w:szCs w:val="24"/>
        </w:rPr>
      </w:pPr>
      <w:r w:rsidRPr="00A06781">
        <w:rPr>
          <w:b/>
          <w:szCs w:val="24"/>
        </w:rPr>
        <w:t>s vyznačením navrhovaných změn a doplnění k 1. lednu 2025</w:t>
      </w:r>
    </w:p>
    <w:p w14:paraId="5F60E01C" w14:textId="1C28DC9F" w:rsidR="008E4D37" w:rsidRDefault="00850208" w:rsidP="00850208">
      <w:pPr>
        <w:pStyle w:val="Textparagrafu"/>
        <w:numPr>
          <w:ilvl w:val="0"/>
          <w:numId w:val="28"/>
        </w:numPr>
        <w:jc w:val="center"/>
        <w:rPr>
          <w:b/>
        </w:rPr>
      </w:pPr>
      <w:r>
        <w:rPr>
          <w:b/>
        </w:rPr>
        <w:t>***</w:t>
      </w:r>
    </w:p>
    <w:p w14:paraId="4B04352F" w14:textId="77777777" w:rsidR="004769F2" w:rsidRDefault="004769F2" w:rsidP="004769F2">
      <w:pPr>
        <w:pStyle w:val="Textparagrafu"/>
        <w:numPr>
          <w:ilvl w:val="0"/>
          <w:numId w:val="28"/>
        </w:numPr>
        <w:jc w:val="center"/>
      </w:pPr>
      <w:r w:rsidRPr="00480D8C">
        <w:t>§</w:t>
      </w:r>
      <w:r>
        <w:t xml:space="preserve"> </w:t>
      </w:r>
      <w:r w:rsidRPr="00480D8C">
        <w:t>13</w:t>
      </w:r>
    </w:p>
    <w:p w14:paraId="7B7932F3" w14:textId="77777777" w:rsidR="004769F2" w:rsidRPr="004769F2" w:rsidRDefault="004769F2" w:rsidP="004769F2">
      <w:pPr>
        <w:pStyle w:val="Textparagrafu"/>
        <w:numPr>
          <w:ilvl w:val="0"/>
          <w:numId w:val="28"/>
        </w:numPr>
        <w:jc w:val="center"/>
        <w:rPr>
          <w:b/>
        </w:rPr>
      </w:pPr>
      <w:r w:rsidRPr="004769F2">
        <w:rPr>
          <w:b/>
        </w:rPr>
        <w:t>Sněm komory</w:t>
      </w:r>
    </w:p>
    <w:p w14:paraId="73A47D2D" w14:textId="77777777" w:rsidR="004769F2" w:rsidRDefault="004769F2" w:rsidP="00471221">
      <w:pPr>
        <w:pStyle w:val="Textparagrafu"/>
        <w:numPr>
          <w:ilvl w:val="0"/>
          <w:numId w:val="28"/>
        </w:numPr>
        <w:tabs>
          <w:tab w:val="left" w:pos="392"/>
        </w:tabs>
        <w:spacing w:before="120" w:after="120"/>
        <w:ind w:firstLine="426"/>
      </w:pPr>
      <w:r w:rsidRPr="00480D8C">
        <w:t>(1)</w:t>
      </w:r>
      <w:r>
        <w:t xml:space="preserve"> </w:t>
      </w:r>
      <w:r w:rsidRPr="00480D8C">
        <w:t>Sněm</w:t>
      </w:r>
      <w:r>
        <w:t xml:space="preserve"> </w:t>
      </w:r>
      <w:r w:rsidRPr="00480D8C">
        <w:t>komory</w:t>
      </w:r>
      <w:r>
        <w:t xml:space="preserve"> </w:t>
      </w:r>
      <w:r w:rsidRPr="00480D8C">
        <w:t>je</w:t>
      </w:r>
      <w:r>
        <w:t xml:space="preserve"> </w:t>
      </w:r>
      <w:r w:rsidRPr="00480D8C">
        <w:t>nejvyšším</w:t>
      </w:r>
      <w:r>
        <w:t xml:space="preserve"> </w:t>
      </w:r>
      <w:r w:rsidRPr="00480D8C">
        <w:t>orgánem</w:t>
      </w:r>
      <w:r>
        <w:t xml:space="preserve"> </w:t>
      </w:r>
      <w:r w:rsidRPr="00480D8C">
        <w:t>komory.</w:t>
      </w:r>
      <w:r>
        <w:t xml:space="preserve"> </w:t>
      </w:r>
      <w:r w:rsidRPr="00480D8C">
        <w:t>Tvoří</w:t>
      </w:r>
      <w:r>
        <w:t xml:space="preserve"> </w:t>
      </w:r>
      <w:r w:rsidRPr="00480D8C">
        <w:t>jej</w:t>
      </w:r>
      <w:r>
        <w:t xml:space="preserve"> </w:t>
      </w:r>
      <w:r w:rsidRPr="00480D8C">
        <w:t>všeobecná</w:t>
      </w:r>
      <w:r>
        <w:t xml:space="preserve"> </w:t>
      </w:r>
      <w:r w:rsidRPr="00480D8C">
        <w:t>sněmovna</w:t>
      </w:r>
      <w:r>
        <w:t xml:space="preserve"> </w:t>
      </w:r>
      <w:r w:rsidRPr="00480D8C">
        <w:t>složená</w:t>
      </w:r>
      <w:r>
        <w:t xml:space="preserve"> </w:t>
      </w:r>
      <w:r w:rsidRPr="00480D8C">
        <w:t>ze</w:t>
      </w:r>
      <w:r>
        <w:t xml:space="preserve"> </w:t>
      </w:r>
      <w:r w:rsidRPr="00480D8C">
        <w:t>zástupců</w:t>
      </w:r>
      <w:r>
        <w:t xml:space="preserve"> </w:t>
      </w:r>
      <w:r w:rsidRPr="00480D8C">
        <w:t>okresních</w:t>
      </w:r>
      <w:r>
        <w:t xml:space="preserve"> </w:t>
      </w:r>
      <w:r w:rsidRPr="00480D8C">
        <w:t>komor</w:t>
      </w:r>
      <w:r>
        <w:t xml:space="preserve"> </w:t>
      </w:r>
      <w:r w:rsidRPr="00480D8C">
        <w:t>a</w:t>
      </w:r>
      <w:r>
        <w:t xml:space="preserve"> </w:t>
      </w:r>
      <w:r w:rsidRPr="00480D8C">
        <w:t>sněmovna</w:t>
      </w:r>
      <w:r>
        <w:t xml:space="preserve"> </w:t>
      </w:r>
      <w:r w:rsidRPr="00480D8C">
        <w:t>společenstev</w:t>
      </w:r>
      <w:r>
        <w:t xml:space="preserve"> </w:t>
      </w:r>
      <w:r w:rsidRPr="00480D8C">
        <w:t>složená</w:t>
      </w:r>
      <w:r>
        <w:t xml:space="preserve"> </w:t>
      </w:r>
      <w:r w:rsidRPr="00480D8C">
        <w:t>ze</w:t>
      </w:r>
      <w:r>
        <w:t xml:space="preserve"> </w:t>
      </w:r>
      <w:r w:rsidRPr="00480D8C">
        <w:t>zástupců</w:t>
      </w:r>
      <w:r>
        <w:t xml:space="preserve"> </w:t>
      </w:r>
      <w:r w:rsidRPr="00480D8C">
        <w:t>společenstev.</w:t>
      </w:r>
      <w:r>
        <w:t xml:space="preserve"> </w:t>
      </w:r>
      <w:r w:rsidRPr="00480D8C">
        <w:t>Každý</w:t>
      </w:r>
      <w:r>
        <w:t xml:space="preserve"> </w:t>
      </w:r>
      <w:r w:rsidRPr="00480D8C">
        <w:t>zástupce</w:t>
      </w:r>
      <w:r>
        <w:t xml:space="preserve"> </w:t>
      </w:r>
      <w:r w:rsidRPr="00480D8C">
        <w:t>má</w:t>
      </w:r>
      <w:r>
        <w:t xml:space="preserve"> </w:t>
      </w:r>
      <w:r w:rsidRPr="00480D8C">
        <w:t>jeden</w:t>
      </w:r>
      <w:r>
        <w:t xml:space="preserve"> </w:t>
      </w:r>
      <w:r w:rsidRPr="00480D8C">
        <w:t>hlas.</w:t>
      </w:r>
    </w:p>
    <w:p w14:paraId="08630C94" w14:textId="77777777" w:rsidR="004769F2" w:rsidRPr="00480D8C" w:rsidRDefault="004769F2" w:rsidP="00471221">
      <w:pPr>
        <w:pStyle w:val="Textparagrafu"/>
        <w:numPr>
          <w:ilvl w:val="0"/>
          <w:numId w:val="28"/>
        </w:numPr>
        <w:tabs>
          <w:tab w:val="left" w:pos="392"/>
        </w:tabs>
        <w:spacing w:before="120" w:after="120"/>
        <w:ind w:firstLine="425"/>
      </w:pPr>
      <w:r w:rsidRPr="00480D8C">
        <w:t>(2)</w:t>
      </w:r>
      <w:r>
        <w:t xml:space="preserve"> </w:t>
      </w:r>
      <w:r w:rsidRPr="00480D8C">
        <w:t>Sněm</w:t>
      </w:r>
      <w:r>
        <w:t xml:space="preserve"> </w:t>
      </w:r>
      <w:r w:rsidRPr="00480D8C">
        <w:t>komory</w:t>
      </w:r>
    </w:p>
    <w:p w14:paraId="5AE64C87" w14:textId="79B01554" w:rsidR="004769F2" w:rsidRDefault="004769F2" w:rsidP="00F80E61">
      <w:pPr>
        <w:pStyle w:val="Textparagrafu"/>
        <w:numPr>
          <w:ilvl w:val="0"/>
          <w:numId w:val="28"/>
        </w:numPr>
        <w:tabs>
          <w:tab w:val="left" w:pos="392"/>
        </w:tabs>
        <w:spacing w:before="0"/>
        <w:ind w:left="426" w:hanging="426"/>
      </w:pPr>
      <w:r w:rsidRPr="00480D8C">
        <w:t>a)</w:t>
      </w:r>
      <w:r>
        <w:tab/>
      </w:r>
      <w:r w:rsidRPr="00480D8C">
        <w:t>rozhoduje</w:t>
      </w:r>
      <w:r>
        <w:t xml:space="preserve"> </w:t>
      </w:r>
      <w:r w:rsidRPr="00480D8C">
        <w:t>o</w:t>
      </w:r>
      <w:r>
        <w:t xml:space="preserve"> </w:t>
      </w:r>
      <w:r w:rsidRPr="00480D8C">
        <w:t>statutu,</w:t>
      </w:r>
      <w:r>
        <w:t xml:space="preserve"> </w:t>
      </w:r>
      <w:r w:rsidRPr="00480D8C">
        <w:t>volebním</w:t>
      </w:r>
      <w:r>
        <w:t xml:space="preserve"> </w:t>
      </w:r>
      <w:r w:rsidRPr="00480D8C">
        <w:t>a</w:t>
      </w:r>
      <w:r>
        <w:t xml:space="preserve"> </w:t>
      </w:r>
      <w:r w:rsidRPr="00480D8C">
        <w:t>jednacím</w:t>
      </w:r>
      <w:r>
        <w:t xml:space="preserve"> </w:t>
      </w:r>
      <w:r w:rsidRPr="00480D8C">
        <w:t>řádu</w:t>
      </w:r>
      <w:r>
        <w:t xml:space="preserve"> </w:t>
      </w:r>
      <w:r w:rsidRPr="00480D8C">
        <w:t>komory</w:t>
      </w:r>
    </w:p>
    <w:p w14:paraId="5012AAD0" w14:textId="3ADC8844" w:rsidR="004769F2" w:rsidRPr="00480D8C" w:rsidRDefault="004769F2" w:rsidP="00F80E61">
      <w:pPr>
        <w:pStyle w:val="Textparagrafu"/>
        <w:numPr>
          <w:ilvl w:val="0"/>
          <w:numId w:val="28"/>
        </w:numPr>
        <w:tabs>
          <w:tab w:val="left" w:pos="392"/>
        </w:tabs>
        <w:spacing w:before="0"/>
        <w:ind w:left="426" w:hanging="426"/>
      </w:pPr>
      <w:r w:rsidRPr="00480D8C">
        <w:t>a</w:t>
      </w:r>
      <w:r>
        <w:tab/>
      </w:r>
      <w:r w:rsidRPr="00480D8C">
        <w:t>o</w:t>
      </w:r>
      <w:r>
        <w:t xml:space="preserve"> </w:t>
      </w:r>
      <w:r w:rsidRPr="00480D8C">
        <w:t>volebním</w:t>
      </w:r>
      <w:r>
        <w:t xml:space="preserve"> </w:t>
      </w:r>
      <w:r w:rsidRPr="00480D8C">
        <w:t>a</w:t>
      </w:r>
      <w:r>
        <w:t xml:space="preserve"> </w:t>
      </w:r>
      <w:r w:rsidRPr="00480D8C">
        <w:t>jednacím</w:t>
      </w:r>
      <w:r>
        <w:t xml:space="preserve"> </w:t>
      </w:r>
      <w:r w:rsidRPr="00480D8C">
        <w:t>řádu</w:t>
      </w:r>
      <w:r>
        <w:t xml:space="preserve"> </w:t>
      </w:r>
      <w:r w:rsidRPr="00480D8C">
        <w:t>okresních</w:t>
      </w:r>
      <w:r>
        <w:t xml:space="preserve"> </w:t>
      </w:r>
      <w:r w:rsidRPr="00480D8C">
        <w:t>komor,</w:t>
      </w:r>
    </w:p>
    <w:p w14:paraId="772FCA3F" w14:textId="475A5C40" w:rsidR="004769F2" w:rsidRDefault="004769F2" w:rsidP="00F80E61">
      <w:pPr>
        <w:pStyle w:val="Textparagrafu"/>
        <w:numPr>
          <w:ilvl w:val="0"/>
          <w:numId w:val="28"/>
        </w:numPr>
        <w:tabs>
          <w:tab w:val="left" w:pos="392"/>
        </w:tabs>
        <w:spacing w:before="0"/>
        <w:ind w:left="426" w:hanging="426"/>
      </w:pPr>
      <w:r w:rsidRPr="00480D8C">
        <w:t>b)</w:t>
      </w:r>
      <w:r>
        <w:tab/>
      </w:r>
      <w:r w:rsidRPr="00480D8C">
        <w:t>stanoví</w:t>
      </w:r>
      <w:r>
        <w:t xml:space="preserve"> </w:t>
      </w:r>
      <w:r w:rsidRPr="00480D8C">
        <w:t>hlavní</w:t>
      </w:r>
      <w:r>
        <w:t xml:space="preserve"> </w:t>
      </w:r>
      <w:r w:rsidRPr="00480D8C">
        <w:t>úkoly</w:t>
      </w:r>
      <w:r>
        <w:t xml:space="preserve"> </w:t>
      </w:r>
      <w:r w:rsidRPr="00480D8C">
        <w:t>komory,</w:t>
      </w:r>
    </w:p>
    <w:p w14:paraId="7F6EC72C" w14:textId="6F82A034" w:rsidR="004769F2" w:rsidRDefault="004769F2" w:rsidP="00F80E61">
      <w:pPr>
        <w:pStyle w:val="Textparagrafu"/>
        <w:numPr>
          <w:ilvl w:val="0"/>
          <w:numId w:val="28"/>
        </w:numPr>
        <w:tabs>
          <w:tab w:val="left" w:pos="392"/>
        </w:tabs>
        <w:spacing w:before="0"/>
        <w:ind w:left="426" w:hanging="426"/>
      </w:pPr>
      <w:r w:rsidRPr="00480D8C">
        <w:t>c)</w:t>
      </w:r>
      <w:r>
        <w:tab/>
      </w:r>
      <w:r w:rsidRPr="00480D8C">
        <w:t>volí</w:t>
      </w:r>
      <w:r>
        <w:t xml:space="preserve"> </w:t>
      </w:r>
      <w:r w:rsidRPr="00480D8C">
        <w:t>a</w:t>
      </w:r>
      <w:r>
        <w:t xml:space="preserve"> </w:t>
      </w:r>
      <w:r w:rsidRPr="00480D8C">
        <w:t>odvolává</w:t>
      </w:r>
      <w:r>
        <w:t xml:space="preserve"> </w:t>
      </w:r>
      <w:r w:rsidRPr="00480D8C">
        <w:t>prezidenta,</w:t>
      </w:r>
      <w:r>
        <w:t xml:space="preserve"> </w:t>
      </w:r>
      <w:r w:rsidRPr="00480D8C">
        <w:t>viceprezidenty,</w:t>
      </w:r>
      <w:r>
        <w:t xml:space="preserve"> </w:t>
      </w:r>
      <w:r w:rsidRPr="00480D8C">
        <w:t>členy</w:t>
      </w:r>
      <w:r>
        <w:t xml:space="preserve"> </w:t>
      </w:r>
      <w:r w:rsidRPr="00480D8C">
        <w:t>představenstva</w:t>
      </w:r>
      <w:r>
        <w:t xml:space="preserve"> </w:t>
      </w:r>
      <w:r w:rsidRPr="00480D8C">
        <w:t>komory,</w:t>
      </w:r>
      <w:r>
        <w:t xml:space="preserve"> </w:t>
      </w:r>
      <w:r w:rsidRPr="00480D8C">
        <w:t>dozorčí</w:t>
      </w:r>
      <w:r>
        <w:t xml:space="preserve"> </w:t>
      </w:r>
      <w:r w:rsidRPr="00480D8C">
        <w:t>radu</w:t>
      </w:r>
      <w:r>
        <w:t xml:space="preserve"> </w:t>
      </w:r>
      <w:r w:rsidRPr="00480D8C">
        <w:t>komory</w:t>
      </w:r>
      <w:r>
        <w:t xml:space="preserve"> </w:t>
      </w:r>
      <w:r w:rsidRPr="00480D8C">
        <w:t>a</w:t>
      </w:r>
      <w:r>
        <w:t xml:space="preserve"> </w:t>
      </w:r>
      <w:r w:rsidRPr="00480D8C">
        <w:t>členy</w:t>
      </w:r>
      <w:r>
        <w:t xml:space="preserve"> </w:t>
      </w:r>
      <w:r w:rsidRPr="00480D8C">
        <w:t>smírčí</w:t>
      </w:r>
      <w:r>
        <w:t xml:space="preserve"> </w:t>
      </w:r>
      <w:r w:rsidRPr="00480D8C">
        <w:t>komise</w:t>
      </w:r>
      <w:r>
        <w:t xml:space="preserve"> </w:t>
      </w:r>
      <w:r w:rsidRPr="00480D8C">
        <w:t>komory</w:t>
      </w:r>
      <w:r>
        <w:t xml:space="preserve"> </w:t>
      </w:r>
      <w:r w:rsidRPr="00480D8C">
        <w:t>z</w:t>
      </w:r>
      <w:r>
        <w:t xml:space="preserve"> </w:t>
      </w:r>
      <w:r w:rsidRPr="00480D8C">
        <w:t>řad</w:t>
      </w:r>
      <w:r>
        <w:t xml:space="preserve"> </w:t>
      </w:r>
      <w:r w:rsidRPr="00480D8C">
        <w:t>členů</w:t>
      </w:r>
      <w:r>
        <w:t xml:space="preserve"> </w:t>
      </w:r>
      <w:r w:rsidRPr="00480D8C">
        <w:t>komory,</w:t>
      </w:r>
    </w:p>
    <w:p w14:paraId="57DBDF97" w14:textId="03304340" w:rsidR="004769F2" w:rsidRDefault="004769F2" w:rsidP="00F80E61">
      <w:pPr>
        <w:pStyle w:val="Textparagrafu"/>
        <w:numPr>
          <w:ilvl w:val="0"/>
          <w:numId w:val="28"/>
        </w:numPr>
        <w:tabs>
          <w:tab w:val="left" w:pos="392"/>
        </w:tabs>
        <w:spacing w:before="0"/>
        <w:ind w:left="426" w:hanging="426"/>
      </w:pPr>
      <w:r w:rsidRPr="00480D8C">
        <w:t>d)</w:t>
      </w:r>
      <w:r>
        <w:tab/>
      </w:r>
      <w:r w:rsidRPr="00480D8C">
        <w:t>schvaluje</w:t>
      </w:r>
      <w:r>
        <w:t xml:space="preserve"> </w:t>
      </w:r>
      <w:r w:rsidRPr="00480D8C">
        <w:t>výši</w:t>
      </w:r>
      <w:r>
        <w:t xml:space="preserve"> </w:t>
      </w:r>
      <w:r w:rsidRPr="00480D8C">
        <w:t>a</w:t>
      </w:r>
      <w:r>
        <w:t xml:space="preserve"> </w:t>
      </w:r>
      <w:r w:rsidRPr="00480D8C">
        <w:t>způsob</w:t>
      </w:r>
      <w:r>
        <w:t xml:space="preserve"> </w:t>
      </w:r>
      <w:r w:rsidRPr="00480D8C">
        <w:t>placení</w:t>
      </w:r>
      <w:r>
        <w:t xml:space="preserve"> </w:t>
      </w:r>
      <w:r w:rsidRPr="00480D8C">
        <w:t>členských</w:t>
      </w:r>
      <w:r>
        <w:t xml:space="preserve"> </w:t>
      </w:r>
      <w:r w:rsidRPr="00480D8C">
        <w:t>příspěvků</w:t>
      </w:r>
      <w:r>
        <w:t xml:space="preserve"> </w:t>
      </w:r>
      <w:r w:rsidRPr="00480D8C">
        <w:t>(dále</w:t>
      </w:r>
      <w:r>
        <w:t xml:space="preserve"> </w:t>
      </w:r>
      <w:r w:rsidRPr="00480D8C">
        <w:t>jen</w:t>
      </w:r>
      <w:r>
        <w:t xml:space="preserve"> </w:t>
      </w:r>
      <w:r w:rsidRPr="00480D8C">
        <w:t>"příspěvkový</w:t>
      </w:r>
      <w:r>
        <w:t xml:space="preserve"> </w:t>
      </w:r>
      <w:r w:rsidRPr="00480D8C">
        <w:t>řád")</w:t>
      </w:r>
      <w:r>
        <w:t xml:space="preserve"> </w:t>
      </w:r>
      <w:r w:rsidRPr="00480D8C">
        <w:t>a</w:t>
      </w:r>
      <w:r>
        <w:t xml:space="preserve"> </w:t>
      </w:r>
      <w:r w:rsidRPr="00480D8C">
        <w:t>rozhoduje</w:t>
      </w:r>
      <w:r>
        <w:t xml:space="preserve"> </w:t>
      </w:r>
      <w:r w:rsidRPr="00480D8C">
        <w:t>o</w:t>
      </w:r>
      <w:r>
        <w:t xml:space="preserve"> </w:t>
      </w:r>
      <w:r w:rsidRPr="00480D8C">
        <w:t>udělení</w:t>
      </w:r>
      <w:r>
        <w:t xml:space="preserve"> </w:t>
      </w:r>
      <w:r w:rsidRPr="00480D8C">
        <w:t>výjimek</w:t>
      </w:r>
      <w:r>
        <w:t xml:space="preserve"> </w:t>
      </w:r>
      <w:r w:rsidRPr="00480D8C">
        <w:t>z</w:t>
      </w:r>
      <w:r>
        <w:t xml:space="preserve"> </w:t>
      </w:r>
      <w:r w:rsidRPr="00480D8C">
        <w:t>jejich</w:t>
      </w:r>
      <w:r>
        <w:t xml:space="preserve"> </w:t>
      </w:r>
      <w:r w:rsidRPr="00480D8C">
        <w:t>placení,</w:t>
      </w:r>
    </w:p>
    <w:p w14:paraId="291D8065" w14:textId="284C4129" w:rsidR="004769F2" w:rsidRDefault="004769F2" w:rsidP="00F80E61">
      <w:pPr>
        <w:pStyle w:val="Textparagrafu"/>
        <w:numPr>
          <w:ilvl w:val="0"/>
          <w:numId w:val="28"/>
        </w:numPr>
        <w:tabs>
          <w:tab w:val="left" w:pos="392"/>
        </w:tabs>
        <w:spacing w:before="0"/>
        <w:ind w:left="426" w:hanging="426"/>
      </w:pPr>
      <w:r w:rsidRPr="00480D8C">
        <w:t>e)</w:t>
      </w:r>
      <w:r>
        <w:tab/>
      </w:r>
      <w:r w:rsidRPr="00480D8C">
        <w:t>schvaluje</w:t>
      </w:r>
      <w:r>
        <w:t xml:space="preserve"> </w:t>
      </w:r>
      <w:r w:rsidRPr="00480D8C">
        <w:t>rozpočet</w:t>
      </w:r>
      <w:r>
        <w:t xml:space="preserve"> </w:t>
      </w:r>
      <w:r w:rsidRPr="00480D8C">
        <w:t>komory,</w:t>
      </w:r>
      <w:r w:rsidRPr="00E37CA5">
        <w:rPr>
          <w:strike/>
        </w:rPr>
        <w:t xml:space="preserve"> roční</w:t>
      </w:r>
      <w:r>
        <w:t xml:space="preserve"> </w:t>
      </w:r>
      <w:r w:rsidRPr="00480D8C">
        <w:t>účetní</w:t>
      </w:r>
      <w:r>
        <w:t xml:space="preserve"> </w:t>
      </w:r>
      <w:r w:rsidRPr="00480D8C">
        <w:t>závěrku</w:t>
      </w:r>
      <w:r>
        <w:t xml:space="preserve"> </w:t>
      </w:r>
      <w:r w:rsidRPr="00480D8C">
        <w:t>a</w:t>
      </w:r>
      <w:r>
        <w:t xml:space="preserve"> </w:t>
      </w:r>
      <w:r w:rsidRPr="00480D8C">
        <w:t>zprávu</w:t>
      </w:r>
      <w:r>
        <w:t xml:space="preserve"> </w:t>
      </w:r>
      <w:r w:rsidRPr="00480D8C">
        <w:t>představenstva</w:t>
      </w:r>
      <w:r>
        <w:t xml:space="preserve"> </w:t>
      </w:r>
      <w:r w:rsidRPr="00480D8C">
        <w:t>komory</w:t>
      </w:r>
      <w:r>
        <w:t xml:space="preserve"> </w:t>
      </w:r>
      <w:r w:rsidRPr="00480D8C">
        <w:t>a</w:t>
      </w:r>
      <w:r>
        <w:t xml:space="preserve"> </w:t>
      </w:r>
      <w:r w:rsidRPr="00480D8C">
        <w:t>dozorčí</w:t>
      </w:r>
      <w:r>
        <w:t xml:space="preserve"> </w:t>
      </w:r>
      <w:r w:rsidRPr="00480D8C">
        <w:t>rady</w:t>
      </w:r>
      <w:r>
        <w:t xml:space="preserve"> </w:t>
      </w:r>
      <w:r w:rsidRPr="00480D8C">
        <w:t>komory</w:t>
      </w:r>
      <w:r>
        <w:t xml:space="preserve"> </w:t>
      </w:r>
      <w:r w:rsidRPr="00480D8C">
        <w:t>o</w:t>
      </w:r>
      <w:r>
        <w:t xml:space="preserve"> </w:t>
      </w:r>
      <w:r w:rsidRPr="00480D8C">
        <w:t>činnosti</w:t>
      </w:r>
      <w:r>
        <w:t xml:space="preserve"> </w:t>
      </w:r>
      <w:r w:rsidRPr="00480D8C">
        <w:t>a</w:t>
      </w:r>
      <w:r>
        <w:t xml:space="preserve"> </w:t>
      </w:r>
      <w:r w:rsidRPr="00480D8C">
        <w:t>hospodaření</w:t>
      </w:r>
      <w:r>
        <w:t xml:space="preserve"> </w:t>
      </w:r>
      <w:r w:rsidRPr="00480D8C">
        <w:t>komory,</w:t>
      </w:r>
    </w:p>
    <w:p w14:paraId="6BD362AE" w14:textId="657476D4" w:rsidR="004769F2" w:rsidRDefault="004769F2" w:rsidP="00F80E61">
      <w:pPr>
        <w:pStyle w:val="Textparagrafu"/>
        <w:numPr>
          <w:ilvl w:val="0"/>
          <w:numId w:val="28"/>
        </w:numPr>
        <w:tabs>
          <w:tab w:val="left" w:pos="392"/>
        </w:tabs>
        <w:spacing w:before="0"/>
        <w:ind w:left="426" w:hanging="426"/>
      </w:pPr>
      <w:r w:rsidRPr="00480D8C">
        <w:t>f)</w:t>
      </w:r>
      <w:r>
        <w:tab/>
      </w:r>
      <w:r w:rsidRPr="00480D8C">
        <w:t>rozhoduje</w:t>
      </w:r>
      <w:r>
        <w:t xml:space="preserve"> </w:t>
      </w:r>
      <w:r w:rsidRPr="00480D8C">
        <w:t>o</w:t>
      </w:r>
      <w:r>
        <w:t xml:space="preserve"> </w:t>
      </w:r>
      <w:r w:rsidRPr="00480D8C">
        <w:t>pozastaveném</w:t>
      </w:r>
      <w:r>
        <w:t xml:space="preserve"> </w:t>
      </w:r>
      <w:r w:rsidRPr="00480D8C">
        <w:t>rozhodnutí</w:t>
      </w:r>
      <w:r>
        <w:t xml:space="preserve"> </w:t>
      </w:r>
      <w:r w:rsidRPr="00480D8C">
        <w:t>představenstva</w:t>
      </w:r>
      <w:r>
        <w:t xml:space="preserve"> </w:t>
      </w:r>
      <w:r w:rsidRPr="00480D8C">
        <w:t>komory,</w:t>
      </w:r>
    </w:p>
    <w:p w14:paraId="277D8BB3" w14:textId="28387B97" w:rsidR="004769F2" w:rsidRDefault="004769F2" w:rsidP="00F80E61">
      <w:pPr>
        <w:pStyle w:val="Textparagrafu"/>
        <w:numPr>
          <w:ilvl w:val="0"/>
          <w:numId w:val="28"/>
        </w:numPr>
        <w:tabs>
          <w:tab w:val="left" w:pos="392"/>
        </w:tabs>
        <w:spacing w:before="0"/>
        <w:ind w:left="426" w:hanging="426"/>
      </w:pPr>
      <w:r w:rsidRPr="00480D8C">
        <w:t>g)</w:t>
      </w:r>
      <w:r>
        <w:tab/>
      </w:r>
      <w:r w:rsidRPr="00480D8C">
        <w:t>schvaluje</w:t>
      </w:r>
      <w:r>
        <w:t xml:space="preserve"> </w:t>
      </w:r>
      <w:r w:rsidRPr="00480D8C">
        <w:t>zásady</w:t>
      </w:r>
      <w:r>
        <w:t xml:space="preserve"> </w:t>
      </w:r>
      <w:r w:rsidRPr="00480D8C">
        <w:t>odměňování</w:t>
      </w:r>
      <w:r>
        <w:t xml:space="preserve"> </w:t>
      </w:r>
      <w:r w:rsidRPr="00480D8C">
        <w:t>pracovníků</w:t>
      </w:r>
      <w:r>
        <w:t xml:space="preserve"> </w:t>
      </w:r>
      <w:r w:rsidRPr="00480D8C">
        <w:t>komory,</w:t>
      </w:r>
    </w:p>
    <w:p w14:paraId="16650774" w14:textId="476D8D52" w:rsidR="004769F2" w:rsidRDefault="004769F2" w:rsidP="00F80E61">
      <w:pPr>
        <w:pStyle w:val="Textparagrafu"/>
        <w:numPr>
          <w:ilvl w:val="0"/>
          <w:numId w:val="28"/>
        </w:numPr>
        <w:tabs>
          <w:tab w:val="left" w:pos="392"/>
        </w:tabs>
        <w:spacing w:before="0"/>
        <w:ind w:left="426" w:hanging="426"/>
      </w:pPr>
      <w:r w:rsidRPr="00480D8C">
        <w:t>h)</w:t>
      </w:r>
      <w:r>
        <w:tab/>
      </w:r>
      <w:r w:rsidRPr="00480D8C">
        <w:t>rozhoduje</w:t>
      </w:r>
      <w:r>
        <w:t xml:space="preserve"> </w:t>
      </w:r>
      <w:r w:rsidRPr="00480D8C">
        <w:t>o</w:t>
      </w:r>
      <w:r>
        <w:t xml:space="preserve"> </w:t>
      </w:r>
      <w:r w:rsidRPr="00480D8C">
        <w:t>dalších</w:t>
      </w:r>
      <w:r>
        <w:t xml:space="preserve"> </w:t>
      </w:r>
      <w:r w:rsidRPr="00480D8C">
        <w:t>záležitostech,</w:t>
      </w:r>
      <w:r>
        <w:t xml:space="preserve"> </w:t>
      </w:r>
      <w:r w:rsidRPr="00480D8C">
        <w:t>které</w:t>
      </w:r>
      <w:r>
        <w:t xml:space="preserve"> </w:t>
      </w:r>
      <w:r w:rsidRPr="00480D8C">
        <w:t>si</w:t>
      </w:r>
      <w:r>
        <w:t xml:space="preserve"> </w:t>
      </w:r>
      <w:r w:rsidRPr="00480D8C">
        <w:t>vyhradí.</w:t>
      </w:r>
    </w:p>
    <w:p w14:paraId="3CDBB42C" w14:textId="77777777" w:rsidR="004769F2" w:rsidRDefault="004769F2" w:rsidP="00471221">
      <w:pPr>
        <w:pStyle w:val="Textparagrafu"/>
        <w:numPr>
          <w:ilvl w:val="0"/>
          <w:numId w:val="28"/>
        </w:numPr>
        <w:tabs>
          <w:tab w:val="left" w:pos="392"/>
        </w:tabs>
        <w:spacing w:before="120" w:after="120"/>
        <w:ind w:firstLine="426"/>
      </w:pPr>
      <w:r w:rsidRPr="00480D8C">
        <w:t>(3)</w:t>
      </w:r>
      <w:r>
        <w:t xml:space="preserve"> </w:t>
      </w:r>
      <w:r w:rsidRPr="00480D8C">
        <w:t>Sněm</w:t>
      </w:r>
      <w:r>
        <w:t xml:space="preserve"> </w:t>
      </w:r>
      <w:r w:rsidRPr="00480D8C">
        <w:t>komory</w:t>
      </w:r>
      <w:r>
        <w:t xml:space="preserve"> </w:t>
      </w:r>
      <w:r w:rsidRPr="00480D8C">
        <w:t>je</w:t>
      </w:r>
      <w:r>
        <w:t xml:space="preserve"> </w:t>
      </w:r>
      <w:r w:rsidRPr="00480D8C">
        <w:t>schopen</w:t>
      </w:r>
      <w:r>
        <w:t xml:space="preserve"> </w:t>
      </w:r>
      <w:r w:rsidRPr="00480D8C">
        <w:t>se</w:t>
      </w:r>
      <w:r>
        <w:t xml:space="preserve"> </w:t>
      </w:r>
      <w:r w:rsidRPr="00480D8C">
        <w:t>platně</w:t>
      </w:r>
      <w:r>
        <w:t xml:space="preserve"> </w:t>
      </w:r>
      <w:r w:rsidRPr="00480D8C">
        <w:t>usnášet,</w:t>
      </w:r>
      <w:r>
        <w:t xml:space="preserve"> </w:t>
      </w:r>
      <w:r w:rsidRPr="00480D8C">
        <w:t>je-li</w:t>
      </w:r>
      <w:r>
        <w:t xml:space="preserve"> </w:t>
      </w:r>
      <w:r w:rsidRPr="00480D8C">
        <w:t>přítomna</w:t>
      </w:r>
      <w:r>
        <w:t xml:space="preserve"> </w:t>
      </w:r>
      <w:r w:rsidRPr="00480D8C">
        <w:t>nadpoloviční</w:t>
      </w:r>
      <w:r>
        <w:t xml:space="preserve"> </w:t>
      </w:r>
      <w:r w:rsidRPr="00480D8C">
        <w:t>většina</w:t>
      </w:r>
      <w:r>
        <w:t xml:space="preserve"> </w:t>
      </w:r>
      <w:r w:rsidRPr="00480D8C">
        <w:t>zástupců</w:t>
      </w:r>
      <w:r>
        <w:t xml:space="preserve"> </w:t>
      </w:r>
      <w:r w:rsidRPr="00480D8C">
        <w:t>zvolených</w:t>
      </w:r>
      <w:r>
        <w:t xml:space="preserve"> </w:t>
      </w:r>
      <w:r w:rsidRPr="00480D8C">
        <w:t>do</w:t>
      </w:r>
      <w:r>
        <w:t xml:space="preserve"> </w:t>
      </w:r>
      <w:r w:rsidRPr="00480D8C">
        <w:t>všeobecné</w:t>
      </w:r>
      <w:r>
        <w:t xml:space="preserve"> </w:t>
      </w:r>
      <w:r w:rsidRPr="00480D8C">
        <w:t>sněmovny</w:t>
      </w:r>
      <w:r>
        <w:t xml:space="preserve"> </w:t>
      </w:r>
      <w:r w:rsidRPr="00480D8C">
        <w:t>a</w:t>
      </w:r>
      <w:r>
        <w:t xml:space="preserve"> </w:t>
      </w:r>
      <w:r w:rsidRPr="00480D8C">
        <w:t>nadpoloviční</w:t>
      </w:r>
      <w:r>
        <w:t xml:space="preserve"> </w:t>
      </w:r>
      <w:r w:rsidRPr="00480D8C">
        <w:t>většina</w:t>
      </w:r>
      <w:r>
        <w:t xml:space="preserve"> </w:t>
      </w:r>
      <w:r w:rsidRPr="00480D8C">
        <w:t>zástupců</w:t>
      </w:r>
      <w:r>
        <w:t xml:space="preserve"> </w:t>
      </w:r>
      <w:r w:rsidRPr="00480D8C">
        <w:t>zvolených</w:t>
      </w:r>
      <w:r>
        <w:t xml:space="preserve"> </w:t>
      </w:r>
      <w:r w:rsidRPr="00480D8C">
        <w:t>do</w:t>
      </w:r>
      <w:r>
        <w:t xml:space="preserve"> </w:t>
      </w:r>
      <w:r w:rsidRPr="00480D8C">
        <w:t>sněmovny</w:t>
      </w:r>
      <w:r>
        <w:t xml:space="preserve"> </w:t>
      </w:r>
      <w:r w:rsidRPr="00480D8C">
        <w:t>společenstev.</w:t>
      </w:r>
      <w:r>
        <w:t xml:space="preserve"> </w:t>
      </w:r>
      <w:r w:rsidRPr="00480D8C">
        <w:t>K</w:t>
      </w:r>
      <w:r>
        <w:t xml:space="preserve"> </w:t>
      </w:r>
      <w:r w:rsidRPr="00480D8C">
        <w:t>platnosti</w:t>
      </w:r>
      <w:r>
        <w:t xml:space="preserve"> </w:t>
      </w:r>
      <w:r w:rsidRPr="00480D8C">
        <w:t>usnesení</w:t>
      </w:r>
      <w:r>
        <w:t xml:space="preserve"> </w:t>
      </w:r>
      <w:r w:rsidRPr="00480D8C">
        <w:t>sněmovny</w:t>
      </w:r>
      <w:r>
        <w:t xml:space="preserve"> </w:t>
      </w:r>
      <w:r w:rsidRPr="00480D8C">
        <w:t>je</w:t>
      </w:r>
      <w:r>
        <w:t xml:space="preserve"> </w:t>
      </w:r>
      <w:r w:rsidRPr="00480D8C">
        <w:t>třeba</w:t>
      </w:r>
      <w:r>
        <w:t xml:space="preserve"> </w:t>
      </w:r>
      <w:r w:rsidRPr="00480D8C">
        <w:t>souhlasu</w:t>
      </w:r>
      <w:r>
        <w:t xml:space="preserve"> </w:t>
      </w:r>
      <w:r w:rsidRPr="00480D8C">
        <w:t>nadpoloviční</w:t>
      </w:r>
      <w:r>
        <w:t xml:space="preserve"> </w:t>
      </w:r>
      <w:r w:rsidRPr="00480D8C">
        <w:t>většiny</w:t>
      </w:r>
      <w:r>
        <w:t xml:space="preserve"> </w:t>
      </w:r>
      <w:r w:rsidRPr="00480D8C">
        <w:t>přítomných</w:t>
      </w:r>
      <w:r>
        <w:t xml:space="preserve"> </w:t>
      </w:r>
      <w:r w:rsidRPr="00480D8C">
        <w:t>zástupců</w:t>
      </w:r>
      <w:r>
        <w:t xml:space="preserve"> </w:t>
      </w:r>
      <w:r w:rsidRPr="00480D8C">
        <w:t>zvolených</w:t>
      </w:r>
      <w:r>
        <w:t xml:space="preserve"> </w:t>
      </w:r>
      <w:r w:rsidRPr="00480D8C">
        <w:t>do</w:t>
      </w:r>
      <w:r>
        <w:t xml:space="preserve"> </w:t>
      </w:r>
      <w:r w:rsidRPr="00480D8C">
        <w:t>příslušné</w:t>
      </w:r>
      <w:r>
        <w:t xml:space="preserve"> </w:t>
      </w:r>
      <w:r w:rsidRPr="00480D8C">
        <w:t>sněmovny.</w:t>
      </w:r>
      <w:r>
        <w:t xml:space="preserve"> </w:t>
      </w:r>
      <w:r w:rsidRPr="00480D8C">
        <w:t>Sněmovny</w:t>
      </w:r>
      <w:r>
        <w:t xml:space="preserve"> </w:t>
      </w:r>
      <w:r w:rsidRPr="00480D8C">
        <w:t>hlasují</w:t>
      </w:r>
      <w:r>
        <w:t xml:space="preserve"> </w:t>
      </w:r>
      <w:r w:rsidRPr="00480D8C">
        <w:t>odděleně,</w:t>
      </w:r>
      <w:r>
        <w:t xml:space="preserve"> </w:t>
      </w:r>
      <w:r w:rsidRPr="00480D8C">
        <w:t>nestanoví-li</w:t>
      </w:r>
      <w:r>
        <w:t xml:space="preserve"> </w:t>
      </w:r>
      <w:r w:rsidRPr="00480D8C">
        <w:t>tento</w:t>
      </w:r>
      <w:r>
        <w:t xml:space="preserve"> </w:t>
      </w:r>
      <w:r w:rsidRPr="00480D8C">
        <w:t>zákon</w:t>
      </w:r>
      <w:r>
        <w:t xml:space="preserve"> </w:t>
      </w:r>
      <w:r w:rsidRPr="00480D8C">
        <w:t>jinak.</w:t>
      </w:r>
    </w:p>
    <w:p w14:paraId="539BDD51" w14:textId="77777777" w:rsidR="004769F2" w:rsidRDefault="004769F2" w:rsidP="00471221">
      <w:pPr>
        <w:pStyle w:val="Textparagrafu"/>
        <w:numPr>
          <w:ilvl w:val="0"/>
          <w:numId w:val="28"/>
        </w:numPr>
        <w:tabs>
          <w:tab w:val="left" w:pos="392"/>
        </w:tabs>
        <w:spacing w:before="120" w:after="120"/>
        <w:ind w:firstLine="426"/>
      </w:pPr>
      <w:r w:rsidRPr="00480D8C">
        <w:t>(4)</w:t>
      </w:r>
      <w:r>
        <w:t xml:space="preserve"> </w:t>
      </w:r>
      <w:r w:rsidRPr="00480D8C">
        <w:t>Prezidenta,</w:t>
      </w:r>
      <w:r>
        <w:t xml:space="preserve"> </w:t>
      </w:r>
      <w:r w:rsidRPr="00480D8C">
        <w:t>viceprezidenty,</w:t>
      </w:r>
      <w:r>
        <w:t xml:space="preserve"> </w:t>
      </w:r>
      <w:r w:rsidRPr="00480D8C">
        <w:t>dozorčí</w:t>
      </w:r>
      <w:r>
        <w:t xml:space="preserve"> </w:t>
      </w:r>
      <w:r w:rsidRPr="00480D8C">
        <w:t>radu</w:t>
      </w:r>
      <w:r>
        <w:t xml:space="preserve"> </w:t>
      </w:r>
      <w:r w:rsidRPr="00480D8C">
        <w:t>a</w:t>
      </w:r>
      <w:r>
        <w:t xml:space="preserve"> </w:t>
      </w:r>
      <w:r w:rsidRPr="00480D8C">
        <w:t>členy</w:t>
      </w:r>
      <w:r>
        <w:t xml:space="preserve"> </w:t>
      </w:r>
      <w:r w:rsidRPr="00480D8C">
        <w:t>smírčí</w:t>
      </w:r>
      <w:r>
        <w:t xml:space="preserve"> </w:t>
      </w:r>
      <w:r w:rsidRPr="00480D8C">
        <w:t>komise</w:t>
      </w:r>
      <w:r>
        <w:t xml:space="preserve"> </w:t>
      </w:r>
      <w:r w:rsidRPr="00480D8C">
        <w:t>volí</w:t>
      </w:r>
      <w:r>
        <w:t xml:space="preserve"> </w:t>
      </w:r>
      <w:r w:rsidRPr="00480D8C">
        <w:t>obě</w:t>
      </w:r>
      <w:r>
        <w:t xml:space="preserve"> </w:t>
      </w:r>
      <w:r w:rsidRPr="00480D8C">
        <w:t>sněmovny</w:t>
      </w:r>
      <w:r>
        <w:t xml:space="preserve"> </w:t>
      </w:r>
      <w:r w:rsidRPr="00480D8C">
        <w:t>společně.</w:t>
      </w:r>
      <w:r>
        <w:t xml:space="preserve"> </w:t>
      </w:r>
      <w:r w:rsidRPr="00480D8C">
        <w:t>Členy</w:t>
      </w:r>
      <w:r>
        <w:t xml:space="preserve"> </w:t>
      </w:r>
      <w:r w:rsidRPr="00480D8C">
        <w:t>představenstva</w:t>
      </w:r>
      <w:r>
        <w:t xml:space="preserve"> </w:t>
      </w:r>
      <w:r w:rsidRPr="00480D8C">
        <w:t>volí</w:t>
      </w:r>
      <w:r>
        <w:t xml:space="preserve"> </w:t>
      </w:r>
      <w:r w:rsidRPr="00480D8C">
        <w:t>sněm</w:t>
      </w:r>
      <w:r>
        <w:t xml:space="preserve"> </w:t>
      </w:r>
      <w:r w:rsidRPr="00480D8C">
        <w:t>tak,</w:t>
      </w:r>
      <w:r>
        <w:t xml:space="preserve"> </w:t>
      </w:r>
      <w:r w:rsidRPr="00480D8C">
        <w:t>že</w:t>
      </w:r>
      <w:r>
        <w:t xml:space="preserve"> </w:t>
      </w:r>
      <w:r w:rsidRPr="00480D8C">
        <w:t>každá</w:t>
      </w:r>
      <w:r>
        <w:t xml:space="preserve"> </w:t>
      </w:r>
      <w:r w:rsidRPr="00480D8C">
        <w:t>sněmovna</w:t>
      </w:r>
      <w:r>
        <w:t xml:space="preserve"> </w:t>
      </w:r>
      <w:r w:rsidRPr="00480D8C">
        <w:t>volí</w:t>
      </w:r>
      <w:r>
        <w:t xml:space="preserve"> </w:t>
      </w:r>
      <w:r w:rsidRPr="00480D8C">
        <w:t>polovinu</w:t>
      </w:r>
      <w:r>
        <w:t xml:space="preserve"> </w:t>
      </w:r>
      <w:r w:rsidRPr="00480D8C">
        <w:t>z</w:t>
      </w:r>
      <w:r>
        <w:t xml:space="preserve"> </w:t>
      </w:r>
      <w:r w:rsidRPr="00480D8C">
        <w:t>počtu</w:t>
      </w:r>
      <w:r>
        <w:t xml:space="preserve"> </w:t>
      </w:r>
      <w:r w:rsidRPr="00480D8C">
        <w:t>členů</w:t>
      </w:r>
      <w:r>
        <w:t xml:space="preserve"> </w:t>
      </w:r>
      <w:r w:rsidRPr="00480D8C">
        <w:t>představenstva.</w:t>
      </w:r>
    </w:p>
    <w:p w14:paraId="1D864465" w14:textId="77777777" w:rsidR="004769F2" w:rsidRDefault="004769F2" w:rsidP="00471221">
      <w:pPr>
        <w:pStyle w:val="Textparagrafu"/>
        <w:numPr>
          <w:ilvl w:val="0"/>
          <w:numId w:val="28"/>
        </w:numPr>
        <w:tabs>
          <w:tab w:val="left" w:pos="392"/>
        </w:tabs>
        <w:spacing w:before="120" w:after="120"/>
        <w:ind w:firstLine="426"/>
      </w:pPr>
      <w:r w:rsidRPr="00480D8C">
        <w:t>(5)</w:t>
      </w:r>
      <w:r>
        <w:t xml:space="preserve"> </w:t>
      </w:r>
      <w:r w:rsidRPr="00480D8C">
        <w:t>Volba</w:t>
      </w:r>
      <w:r>
        <w:t xml:space="preserve"> </w:t>
      </w:r>
      <w:r w:rsidRPr="00480D8C">
        <w:t>prezidenta</w:t>
      </w:r>
      <w:r>
        <w:t xml:space="preserve"> </w:t>
      </w:r>
      <w:r w:rsidRPr="00480D8C">
        <w:t>se</w:t>
      </w:r>
      <w:r>
        <w:t xml:space="preserve"> </w:t>
      </w:r>
      <w:r w:rsidRPr="00480D8C">
        <w:t>koná</w:t>
      </w:r>
      <w:r>
        <w:t xml:space="preserve"> </w:t>
      </w:r>
      <w:r w:rsidRPr="00480D8C">
        <w:t>tajnou</w:t>
      </w:r>
      <w:r>
        <w:t xml:space="preserve"> </w:t>
      </w:r>
      <w:r w:rsidRPr="00480D8C">
        <w:t>volbou.</w:t>
      </w:r>
      <w:r>
        <w:t xml:space="preserve"> </w:t>
      </w:r>
      <w:r w:rsidRPr="00480D8C">
        <w:t>Statut</w:t>
      </w:r>
      <w:r>
        <w:t xml:space="preserve"> </w:t>
      </w:r>
      <w:r w:rsidRPr="00480D8C">
        <w:t>může</w:t>
      </w:r>
      <w:r>
        <w:t xml:space="preserve"> </w:t>
      </w:r>
      <w:r w:rsidRPr="00480D8C">
        <w:t>stanovit</w:t>
      </w:r>
      <w:r>
        <w:t xml:space="preserve"> </w:t>
      </w:r>
      <w:r w:rsidRPr="00480D8C">
        <w:t>odchylky</w:t>
      </w:r>
      <w:r>
        <w:t xml:space="preserve"> </w:t>
      </w:r>
      <w:r w:rsidRPr="00480D8C">
        <w:t>od</w:t>
      </w:r>
      <w:r>
        <w:t xml:space="preserve"> </w:t>
      </w:r>
      <w:r w:rsidRPr="00480D8C">
        <w:t>odstavce</w:t>
      </w:r>
      <w:r>
        <w:t xml:space="preserve"> </w:t>
      </w:r>
      <w:r w:rsidRPr="00480D8C">
        <w:t>3.</w:t>
      </w:r>
    </w:p>
    <w:p w14:paraId="42FA939C" w14:textId="77777777" w:rsidR="004769F2" w:rsidRDefault="004769F2" w:rsidP="00471221">
      <w:pPr>
        <w:pStyle w:val="Textparagrafu"/>
        <w:numPr>
          <w:ilvl w:val="0"/>
          <w:numId w:val="28"/>
        </w:numPr>
        <w:tabs>
          <w:tab w:val="left" w:pos="392"/>
        </w:tabs>
        <w:spacing w:before="120" w:after="120"/>
        <w:ind w:firstLine="426"/>
      </w:pPr>
      <w:r w:rsidRPr="00480D8C">
        <w:t>(6)</w:t>
      </w:r>
      <w:r>
        <w:t xml:space="preserve"> </w:t>
      </w:r>
      <w:r w:rsidRPr="00480D8C">
        <w:t>Dojde-li</w:t>
      </w:r>
      <w:r>
        <w:t xml:space="preserve"> </w:t>
      </w:r>
      <w:r w:rsidRPr="00480D8C">
        <w:t>k</w:t>
      </w:r>
      <w:r>
        <w:t xml:space="preserve"> </w:t>
      </w:r>
      <w:r w:rsidRPr="00480D8C">
        <w:t>nesouhlasnému</w:t>
      </w:r>
      <w:r>
        <w:t xml:space="preserve"> </w:t>
      </w:r>
      <w:r w:rsidRPr="00480D8C">
        <w:t>rozhodnutí</w:t>
      </w:r>
      <w:r>
        <w:t xml:space="preserve"> </w:t>
      </w:r>
      <w:r w:rsidRPr="00480D8C">
        <w:t>sněmoven,</w:t>
      </w:r>
      <w:r>
        <w:t xml:space="preserve"> </w:t>
      </w:r>
      <w:r w:rsidRPr="00480D8C">
        <w:t>svolá</w:t>
      </w:r>
      <w:r>
        <w:t xml:space="preserve"> </w:t>
      </w:r>
      <w:r w:rsidRPr="00480D8C">
        <w:t>prezident</w:t>
      </w:r>
      <w:r>
        <w:t xml:space="preserve"> </w:t>
      </w:r>
      <w:r w:rsidRPr="00480D8C">
        <w:t>komory</w:t>
      </w:r>
      <w:r>
        <w:t xml:space="preserve"> </w:t>
      </w:r>
      <w:r w:rsidRPr="00480D8C">
        <w:t>dohodovací</w:t>
      </w:r>
      <w:r>
        <w:t xml:space="preserve"> </w:t>
      </w:r>
      <w:r w:rsidRPr="00480D8C">
        <w:t>jednání</w:t>
      </w:r>
      <w:r>
        <w:t xml:space="preserve"> </w:t>
      </w:r>
      <w:r w:rsidRPr="00480D8C">
        <w:t>sněmoven.</w:t>
      </w:r>
      <w:r>
        <w:t xml:space="preserve"> </w:t>
      </w:r>
      <w:r w:rsidRPr="00480D8C">
        <w:t>Postup</w:t>
      </w:r>
      <w:r>
        <w:t xml:space="preserve"> </w:t>
      </w:r>
      <w:r w:rsidRPr="00480D8C">
        <w:t>dohodovacího</w:t>
      </w:r>
      <w:r>
        <w:t xml:space="preserve"> </w:t>
      </w:r>
      <w:r w:rsidRPr="00480D8C">
        <w:t>jednání</w:t>
      </w:r>
      <w:r>
        <w:t xml:space="preserve"> </w:t>
      </w:r>
      <w:r w:rsidRPr="00480D8C">
        <w:t>upraví</w:t>
      </w:r>
      <w:r>
        <w:t xml:space="preserve"> </w:t>
      </w:r>
      <w:r w:rsidRPr="00480D8C">
        <w:t>statut</w:t>
      </w:r>
      <w:r>
        <w:t xml:space="preserve"> </w:t>
      </w:r>
      <w:r w:rsidRPr="00480D8C">
        <w:t>komory.</w:t>
      </w:r>
    </w:p>
    <w:p w14:paraId="64964BBD" w14:textId="77777777" w:rsidR="004769F2" w:rsidRDefault="004769F2" w:rsidP="00471221">
      <w:pPr>
        <w:pStyle w:val="Textparagrafu"/>
        <w:numPr>
          <w:ilvl w:val="0"/>
          <w:numId w:val="28"/>
        </w:numPr>
        <w:tabs>
          <w:tab w:val="left" w:pos="392"/>
        </w:tabs>
        <w:spacing w:before="120" w:after="120"/>
        <w:ind w:firstLine="426"/>
        <w:sectPr w:rsidR="004769F2" w:rsidSect="00084391">
          <w:footnotePr>
            <w:numStart w:val="3"/>
          </w:footnotePr>
          <w:endnotePr>
            <w:numFmt w:val="decimal"/>
          </w:endnotePr>
          <w:pgSz w:w="11906" w:h="16838"/>
          <w:pgMar w:top="1418" w:right="1418" w:bottom="1418" w:left="1418" w:header="709" w:footer="709" w:gutter="0"/>
          <w:cols w:space="708"/>
          <w:docGrid w:linePitch="360"/>
        </w:sectPr>
      </w:pPr>
      <w:r w:rsidRPr="00480D8C">
        <w:t>(7)</w:t>
      </w:r>
      <w:r>
        <w:t xml:space="preserve"> </w:t>
      </w:r>
      <w:r w:rsidRPr="00480D8C">
        <w:t>Sněm</w:t>
      </w:r>
      <w:r>
        <w:t xml:space="preserve"> </w:t>
      </w:r>
      <w:r w:rsidRPr="00480D8C">
        <w:t>komory</w:t>
      </w:r>
      <w:r>
        <w:t xml:space="preserve"> </w:t>
      </w:r>
      <w:r w:rsidRPr="00480D8C">
        <w:t>svolává</w:t>
      </w:r>
      <w:r>
        <w:t xml:space="preserve"> </w:t>
      </w:r>
      <w:r w:rsidRPr="00480D8C">
        <w:t>představenstvo</w:t>
      </w:r>
      <w:r>
        <w:t xml:space="preserve"> </w:t>
      </w:r>
      <w:r w:rsidRPr="00480D8C">
        <w:t>komory</w:t>
      </w:r>
      <w:r>
        <w:t xml:space="preserve"> </w:t>
      </w:r>
      <w:r w:rsidRPr="00480D8C">
        <w:t>nejméně</w:t>
      </w:r>
      <w:r>
        <w:t xml:space="preserve"> </w:t>
      </w:r>
      <w:r w:rsidRPr="00480D8C">
        <w:t>jednou</w:t>
      </w:r>
      <w:r>
        <w:t xml:space="preserve"> </w:t>
      </w:r>
      <w:r w:rsidRPr="00480D8C">
        <w:t>ročně.</w:t>
      </w:r>
      <w:r>
        <w:t xml:space="preserve"> </w:t>
      </w:r>
      <w:r w:rsidRPr="00480D8C">
        <w:t>Představenstvo</w:t>
      </w:r>
      <w:r>
        <w:t xml:space="preserve"> </w:t>
      </w:r>
      <w:r w:rsidRPr="00480D8C">
        <w:t>je</w:t>
      </w:r>
      <w:r>
        <w:t xml:space="preserve"> </w:t>
      </w:r>
      <w:r w:rsidRPr="00480D8C">
        <w:t>povinno</w:t>
      </w:r>
      <w:r>
        <w:t xml:space="preserve"> </w:t>
      </w:r>
      <w:r w:rsidRPr="00480D8C">
        <w:t>sněm</w:t>
      </w:r>
      <w:r>
        <w:t xml:space="preserve"> </w:t>
      </w:r>
      <w:r w:rsidRPr="00480D8C">
        <w:t>komory</w:t>
      </w:r>
      <w:r>
        <w:t xml:space="preserve"> </w:t>
      </w:r>
      <w:r w:rsidRPr="00480D8C">
        <w:t>svolat</w:t>
      </w:r>
      <w:r>
        <w:t xml:space="preserve"> </w:t>
      </w:r>
      <w:r w:rsidRPr="00480D8C">
        <w:t>vždy,</w:t>
      </w:r>
      <w:r>
        <w:t xml:space="preserve"> </w:t>
      </w:r>
      <w:r w:rsidRPr="00480D8C">
        <w:t>požádá-li</w:t>
      </w:r>
      <w:r>
        <w:t xml:space="preserve"> </w:t>
      </w:r>
      <w:r w:rsidRPr="00480D8C">
        <w:t>o</w:t>
      </w:r>
      <w:r>
        <w:t xml:space="preserve"> </w:t>
      </w:r>
      <w:r w:rsidRPr="00480D8C">
        <w:t>to</w:t>
      </w:r>
      <w:r>
        <w:t xml:space="preserve"> </w:t>
      </w:r>
      <w:r w:rsidRPr="00480D8C">
        <w:t>písemně</w:t>
      </w:r>
      <w:r>
        <w:t xml:space="preserve"> </w:t>
      </w:r>
      <w:r w:rsidRPr="00480D8C">
        <w:t>nejméně</w:t>
      </w:r>
      <w:r>
        <w:t xml:space="preserve"> </w:t>
      </w:r>
      <w:r w:rsidRPr="00480D8C">
        <w:t>jedna</w:t>
      </w:r>
      <w:r>
        <w:t xml:space="preserve"> </w:t>
      </w:r>
      <w:r w:rsidRPr="00480D8C">
        <w:t>třetina</w:t>
      </w:r>
      <w:r>
        <w:t xml:space="preserve"> </w:t>
      </w:r>
      <w:r w:rsidRPr="00480D8C">
        <w:t>okresních</w:t>
      </w:r>
      <w:r>
        <w:t xml:space="preserve"> </w:t>
      </w:r>
      <w:r w:rsidRPr="00480D8C">
        <w:t>komor,</w:t>
      </w:r>
      <w:r>
        <w:t xml:space="preserve"> </w:t>
      </w:r>
      <w:r w:rsidRPr="00480D8C">
        <w:t>společenstev</w:t>
      </w:r>
      <w:r>
        <w:t xml:space="preserve"> </w:t>
      </w:r>
      <w:r w:rsidRPr="00480D8C">
        <w:t>nebo</w:t>
      </w:r>
      <w:r>
        <w:t xml:space="preserve"> </w:t>
      </w:r>
      <w:r w:rsidRPr="00480D8C">
        <w:t>jedna</w:t>
      </w:r>
      <w:r>
        <w:t xml:space="preserve"> </w:t>
      </w:r>
      <w:r w:rsidRPr="00480D8C">
        <w:t>desetina</w:t>
      </w:r>
      <w:r>
        <w:t xml:space="preserve"> </w:t>
      </w:r>
      <w:r w:rsidRPr="00480D8C">
        <w:t>zástupců</w:t>
      </w:r>
      <w:r>
        <w:t xml:space="preserve"> </w:t>
      </w:r>
      <w:r w:rsidRPr="00480D8C">
        <w:t>okresních</w:t>
      </w:r>
      <w:r>
        <w:t xml:space="preserve"> </w:t>
      </w:r>
      <w:r w:rsidRPr="00480D8C">
        <w:t>komor</w:t>
      </w:r>
      <w:r>
        <w:t xml:space="preserve"> </w:t>
      </w:r>
      <w:r w:rsidRPr="00480D8C">
        <w:t>nebo</w:t>
      </w:r>
      <w:r>
        <w:t xml:space="preserve"> </w:t>
      </w:r>
      <w:r w:rsidRPr="00480D8C">
        <w:t>zástupců</w:t>
      </w:r>
      <w:r>
        <w:t xml:space="preserve"> </w:t>
      </w:r>
      <w:r w:rsidRPr="00480D8C">
        <w:t>společenstev</w:t>
      </w:r>
      <w:r>
        <w:t xml:space="preserve"> </w:t>
      </w:r>
      <w:r w:rsidRPr="00480D8C">
        <w:t>nebo</w:t>
      </w:r>
      <w:r>
        <w:t xml:space="preserve"> </w:t>
      </w:r>
      <w:r w:rsidRPr="00480D8C">
        <w:t>dozorčí</w:t>
      </w:r>
      <w:r>
        <w:t xml:space="preserve"> </w:t>
      </w:r>
      <w:r w:rsidRPr="00480D8C">
        <w:t>rada</w:t>
      </w:r>
      <w:r>
        <w:t xml:space="preserve"> </w:t>
      </w:r>
      <w:r w:rsidRPr="00480D8C">
        <w:t>komory,</w:t>
      </w:r>
      <w:r>
        <w:t xml:space="preserve"> </w:t>
      </w:r>
      <w:r w:rsidRPr="00480D8C">
        <w:t>a</w:t>
      </w:r>
      <w:r>
        <w:t xml:space="preserve"> </w:t>
      </w:r>
      <w:r w:rsidRPr="00480D8C">
        <w:t>to</w:t>
      </w:r>
      <w:r>
        <w:t xml:space="preserve"> </w:t>
      </w:r>
      <w:r w:rsidRPr="00480D8C">
        <w:t>nejpozději</w:t>
      </w:r>
      <w:r>
        <w:t xml:space="preserve"> </w:t>
      </w:r>
      <w:r w:rsidRPr="00480D8C">
        <w:t>do</w:t>
      </w:r>
      <w:r>
        <w:t xml:space="preserve"> </w:t>
      </w:r>
      <w:r w:rsidRPr="00480D8C">
        <w:t>tří</w:t>
      </w:r>
      <w:r>
        <w:t xml:space="preserve"> </w:t>
      </w:r>
      <w:r w:rsidRPr="00480D8C">
        <w:t>měsíců.</w:t>
      </w:r>
    </w:p>
    <w:p w14:paraId="1D8D4068" w14:textId="4ED7DD6F" w:rsidR="002F5F05" w:rsidRDefault="002F5F05" w:rsidP="00471221">
      <w:pPr>
        <w:pStyle w:val="Odstavecseseznamem"/>
        <w:tabs>
          <w:tab w:val="left" w:pos="851"/>
        </w:tabs>
        <w:spacing w:before="120" w:after="120"/>
        <w:ind w:left="0" w:firstLine="0"/>
        <w:jc w:val="center"/>
        <w:outlineLvl w:val="0"/>
        <w:rPr>
          <w:szCs w:val="24"/>
        </w:rPr>
      </w:pPr>
      <w:r w:rsidRPr="00E70B7D">
        <w:rPr>
          <w:b/>
          <w:szCs w:val="24"/>
        </w:rPr>
        <w:lastRenderedPageBreak/>
        <w:t xml:space="preserve">K části </w:t>
      </w:r>
      <w:r w:rsidR="00F80E61">
        <w:rPr>
          <w:b/>
          <w:szCs w:val="24"/>
        </w:rPr>
        <w:t>osmnácté</w:t>
      </w:r>
      <w:r w:rsidRPr="00E70B7D">
        <w:rPr>
          <w:b/>
          <w:szCs w:val="24"/>
        </w:rPr>
        <w:t xml:space="preserve"> návrhu zákona – </w:t>
      </w:r>
      <w:r w:rsidRPr="00E70B7D">
        <w:rPr>
          <w:szCs w:val="24"/>
        </w:rPr>
        <w:t xml:space="preserve">změna </w:t>
      </w:r>
      <w:r>
        <w:rPr>
          <w:szCs w:val="24"/>
        </w:rPr>
        <w:t>zákona o</w:t>
      </w:r>
      <w:r w:rsidRPr="00850208">
        <w:rPr>
          <w:szCs w:val="24"/>
        </w:rPr>
        <w:t xml:space="preserve"> </w:t>
      </w:r>
      <w:r w:rsidRPr="002F5F05">
        <w:rPr>
          <w:szCs w:val="24"/>
        </w:rPr>
        <w:t>zeměměřických a katastrálních orgánech</w:t>
      </w:r>
    </w:p>
    <w:p w14:paraId="53E7F64B" w14:textId="77777777" w:rsidR="00383BB6" w:rsidRPr="00AE0742" w:rsidRDefault="00383BB6" w:rsidP="004958B0">
      <w:pPr>
        <w:pStyle w:val="Odstavecseseznamem"/>
        <w:tabs>
          <w:tab w:val="left" w:pos="851"/>
        </w:tabs>
        <w:spacing w:before="120" w:after="120"/>
        <w:ind w:left="0" w:firstLine="0"/>
        <w:outlineLvl w:val="0"/>
        <w:rPr>
          <w:b/>
          <w:szCs w:val="24"/>
        </w:rPr>
      </w:pPr>
    </w:p>
    <w:p w14:paraId="4EEC8F8D" w14:textId="6568443A" w:rsidR="002F5F05" w:rsidRDefault="002F5F05" w:rsidP="002F5F05">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AE0742">
        <w:rPr>
          <w:b/>
          <w:szCs w:val="24"/>
        </w:rPr>
        <w:t>Platné znění</w:t>
      </w:r>
      <w:r w:rsidRPr="00AE0742">
        <w:rPr>
          <w:szCs w:val="24"/>
        </w:rPr>
        <w:t xml:space="preserve"> zákona </w:t>
      </w:r>
      <w:r w:rsidRPr="00AE0742">
        <w:rPr>
          <w:color w:val="000000"/>
          <w:szCs w:val="24"/>
        </w:rPr>
        <w:t>č. </w:t>
      </w:r>
      <w:r>
        <w:rPr>
          <w:color w:val="000000"/>
          <w:szCs w:val="24"/>
        </w:rPr>
        <w:t xml:space="preserve">359/1992 </w:t>
      </w:r>
      <w:r w:rsidRPr="00AE0742">
        <w:rPr>
          <w:color w:val="000000"/>
          <w:szCs w:val="24"/>
        </w:rPr>
        <w:t xml:space="preserve">Sb., </w:t>
      </w:r>
      <w:r w:rsidRPr="007906E0">
        <w:rPr>
          <w:szCs w:val="24"/>
        </w:rPr>
        <w:t xml:space="preserve">o </w:t>
      </w:r>
      <w:r w:rsidRPr="002F5F05">
        <w:rPr>
          <w:szCs w:val="24"/>
        </w:rPr>
        <w:t>zeměměřických a katastrálních orgánech</w:t>
      </w:r>
    </w:p>
    <w:p w14:paraId="737AEF21" w14:textId="77777777" w:rsidR="00471221" w:rsidRPr="00A06781" w:rsidRDefault="00471221" w:rsidP="00471221">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b/>
          <w:szCs w:val="24"/>
        </w:rPr>
      </w:pPr>
      <w:r w:rsidRPr="00A06781">
        <w:rPr>
          <w:b/>
          <w:szCs w:val="24"/>
        </w:rPr>
        <w:t>s vyznačením navrhovaných změn a doplnění k 1. lednu 2025</w:t>
      </w:r>
    </w:p>
    <w:p w14:paraId="291F3A5F" w14:textId="08BE7C48" w:rsidR="002F5F05" w:rsidRDefault="002F5F05" w:rsidP="002F5F05">
      <w:pPr>
        <w:pStyle w:val="Textparagrafu"/>
        <w:numPr>
          <w:ilvl w:val="0"/>
          <w:numId w:val="27"/>
        </w:numPr>
        <w:jc w:val="center"/>
      </w:pPr>
      <w:r w:rsidRPr="00DE0A2E">
        <w:t>§</w:t>
      </w:r>
      <w:r>
        <w:t xml:space="preserve"> </w:t>
      </w:r>
      <w:r w:rsidRPr="00DE0A2E">
        <w:t>1</w:t>
      </w:r>
    </w:p>
    <w:p w14:paraId="2E0F1BB0" w14:textId="60FDA6C1" w:rsidR="002F5F05" w:rsidRDefault="002F5F05" w:rsidP="00471221">
      <w:pPr>
        <w:pStyle w:val="Textparagrafu"/>
        <w:numPr>
          <w:ilvl w:val="0"/>
          <w:numId w:val="28"/>
        </w:numPr>
        <w:tabs>
          <w:tab w:val="left" w:pos="392"/>
        </w:tabs>
        <w:spacing w:before="120" w:after="120"/>
        <w:ind w:firstLine="426"/>
      </w:pPr>
      <w:r w:rsidRPr="00DE0A2E">
        <w:t>(1)</w:t>
      </w:r>
      <w:r>
        <w:t xml:space="preserve"> </w:t>
      </w:r>
      <w:r w:rsidRPr="00DE0A2E">
        <w:t>Zřizuje</w:t>
      </w:r>
      <w:r>
        <w:t xml:space="preserve"> </w:t>
      </w:r>
      <w:r w:rsidRPr="00DE0A2E">
        <w:t>se</w:t>
      </w:r>
      <w:r>
        <w:t xml:space="preserve"> </w:t>
      </w:r>
      <w:r w:rsidRPr="00DE0A2E">
        <w:t>Český</w:t>
      </w:r>
      <w:r>
        <w:t xml:space="preserve"> </w:t>
      </w:r>
      <w:r w:rsidRPr="00DE0A2E">
        <w:t>úřad</w:t>
      </w:r>
      <w:r>
        <w:t xml:space="preserve"> </w:t>
      </w:r>
      <w:r w:rsidRPr="00DE0A2E">
        <w:t>zeměměřický</w:t>
      </w:r>
      <w:r>
        <w:t xml:space="preserve"> </w:t>
      </w:r>
      <w:r w:rsidRPr="00DE0A2E">
        <w:t>a</w:t>
      </w:r>
      <w:r>
        <w:t xml:space="preserve"> </w:t>
      </w:r>
      <w:r w:rsidRPr="00DE0A2E">
        <w:t>katastrální</w:t>
      </w:r>
      <w:r>
        <w:t xml:space="preserve"> </w:t>
      </w:r>
      <w:r w:rsidRPr="00DE0A2E">
        <w:t>(dále</w:t>
      </w:r>
      <w:r>
        <w:t xml:space="preserve"> </w:t>
      </w:r>
      <w:r w:rsidRPr="00DE0A2E">
        <w:t>jen</w:t>
      </w:r>
      <w:r>
        <w:t xml:space="preserve"> </w:t>
      </w:r>
      <w:r w:rsidRPr="00DE0A2E">
        <w:t>"Úřad"),</w:t>
      </w:r>
      <w:r>
        <w:t xml:space="preserve"> </w:t>
      </w:r>
      <w:r w:rsidRPr="00DE0A2E">
        <w:t>jako</w:t>
      </w:r>
      <w:r>
        <w:t xml:space="preserve"> </w:t>
      </w:r>
      <w:r w:rsidRPr="00DE0A2E">
        <w:t>ústřední</w:t>
      </w:r>
      <w:r>
        <w:t xml:space="preserve"> </w:t>
      </w:r>
      <w:r w:rsidRPr="00DE0A2E">
        <w:t>správní</w:t>
      </w:r>
      <w:r>
        <w:t xml:space="preserve"> </w:t>
      </w:r>
      <w:r w:rsidRPr="00DE0A2E">
        <w:t>úřad</w:t>
      </w:r>
      <w:r>
        <w:t xml:space="preserve"> </w:t>
      </w:r>
      <w:r w:rsidRPr="00DE0A2E">
        <w:t>zeměměřictví</w:t>
      </w:r>
      <w:r>
        <w:t xml:space="preserve"> </w:t>
      </w:r>
      <w:r w:rsidRPr="00DE0A2E">
        <w:t>a</w:t>
      </w:r>
      <w:r>
        <w:t xml:space="preserve"> </w:t>
      </w:r>
      <w:r w:rsidRPr="00DE0A2E">
        <w:t>katastru</w:t>
      </w:r>
      <w:r>
        <w:t xml:space="preserve"> </w:t>
      </w:r>
      <w:r w:rsidRPr="00DE0A2E">
        <w:t>nemovitostí</w:t>
      </w:r>
      <w:r>
        <w:t xml:space="preserve"> </w:t>
      </w:r>
      <w:r w:rsidRPr="00DE0A2E">
        <w:t>České</w:t>
      </w:r>
      <w:r>
        <w:t xml:space="preserve"> </w:t>
      </w:r>
      <w:r w:rsidRPr="00DE0A2E">
        <w:t>republiky</w:t>
      </w:r>
      <w:r>
        <w:t xml:space="preserve"> </w:t>
      </w:r>
      <w:r w:rsidRPr="00DE0A2E">
        <w:t>se</w:t>
      </w:r>
      <w:r>
        <w:t xml:space="preserve"> </w:t>
      </w:r>
      <w:r w:rsidRPr="00DE0A2E">
        <w:t>sídlem</w:t>
      </w:r>
      <w:r>
        <w:t xml:space="preserve"> </w:t>
      </w:r>
      <w:r w:rsidRPr="00DE0A2E">
        <w:t>v</w:t>
      </w:r>
      <w:r>
        <w:t xml:space="preserve"> </w:t>
      </w:r>
      <w:r w:rsidRPr="00DE0A2E">
        <w:t>Praze.</w:t>
      </w:r>
      <w:r>
        <w:t xml:space="preserve"> </w:t>
      </w:r>
      <w:r w:rsidRPr="00C16EBB">
        <w:rPr>
          <w:strike/>
        </w:rPr>
        <w:t>Úřad je účetní jednotkou.</w:t>
      </w:r>
      <w:r w:rsidRPr="00C16EBB">
        <w:rPr>
          <w:rStyle w:val="Znakapoznpodarou"/>
          <w:strike/>
        </w:rPr>
        <w:footnoteReference w:customMarkFollows="1" w:id="117"/>
        <w:t>1)</w:t>
      </w:r>
    </w:p>
    <w:p w14:paraId="14A60C3A" w14:textId="77777777" w:rsidR="002F5F05" w:rsidRDefault="002F5F05" w:rsidP="00471221">
      <w:pPr>
        <w:pStyle w:val="Textparagrafu"/>
        <w:numPr>
          <w:ilvl w:val="0"/>
          <w:numId w:val="28"/>
        </w:numPr>
        <w:tabs>
          <w:tab w:val="left" w:pos="392"/>
        </w:tabs>
        <w:spacing w:before="120" w:after="120"/>
        <w:ind w:firstLine="426"/>
      </w:pPr>
      <w:r w:rsidRPr="00DE0A2E">
        <w:t>(2)</w:t>
      </w:r>
      <w:r>
        <w:t xml:space="preserve"> </w:t>
      </w:r>
      <w:r w:rsidRPr="00DE0A2E">
        <w:t>V</w:t>
      </w:r>
      <w:r>
        <w:t xml:space="preserve"> </w:t>
      </w:r>
      <w:r w:rsidRPr="00DE0A2E">
        <w:t>čele</w:t>
      </w:r>
      <w:r>
        <w:t xml:space="preserve"> </w:t>
      </w:r>
      <w:r w:rsidRPr="00DE0A2E">
        <w:t>Úřadu</w:t>
      </w:r>
      <w:r>
        <w:t xml:space="preserve"> </w:t>
      </w:r>
      <w:r w:rsidRPr="00DE0A2E">
        <w:t>je</w:t>
      </w:r>
      <w:r>
        <w:t xml:space="preserve"> </w:t>
      </w:r>
      <w:r w:rsidRPr="00DE0A2E">
        <w:t>předseda,</w:t>
      </w:r>
      <w:r>
        <w:t xml:space="preserve"> </w:t>
      </w:r>
      <w:r w:rsidRPr="00DE0A2E">
        <w:t>kterého</w:t>
      </w:r>
      <w:r>
        <w:t xml:space="preserve"> </w:t>
      </w:r>
      <w:r w:rsidRPr="00DE0A2E">
        <w:t>jmenuje</w:t>
      </w:r>
      <w:r>
        <w:t xml:space="preserve"> </w:t>
      </w:r>
      <w:r w:rsidRPr="00DE0A2E">
        <w:t>a</w:t>
      </w:r>
      <w:r>
        <w:t xml:space="preserve"> </w:t>
      </w:r>
      <w:r w:rsidRPr="00DE0A2E">
        <w:t>odvolává</w:t>
      </w:r>
      <w:r>
        <w:t xml:space="preserve"> </w:t>
      </w:r>
      <w:r w:rsidRPr="00DE0A2E">
        <w:t>vláda;</w:t>
      </w:r>
      <w:r>
        <w:t xml:space="preserve"> </w:t>
      </w:r>
      <w:r w:rsidRPr="00DE0A2E">
        <w:t>jeho</w:t>
      </w:r>
      <w:r>
        <w:t xml:space="preserve"> </w:t>
      </w:r>
      <w:r w:rsidRPr="00DE0A2E">
        <w:t>výběr,</w:t>
      </w:r>
      <w:r>
        <w:t xml:space="preserve"> </w:t>
      </w:r>
      <w:r w:rsidRPr="00DE0A2E">
        <w:t>jmenování</w:t>
      </w:r>
      <w:r>
        <w:t xml:space="preserve"> </w:t>
      </w:r>
      <w:r w:rsidRPr="00DE0A2E">
        <w:t>a</w:t>
      </w:r>
      <w:r>
        <w:t xml:space="preserve"> </w:t>
      </w:r>
      <w:r w:rsidRPr="00DE0A2E">
        <w:t>odvolání</w:t>
      </w:r>
      <w:r>
        <w:t xml:space="preserve"> </w:t>
      </w:r>
      <w:r w:rsidRPr="00DE0A2E">
        <w:t>se</w:t>
      </w:r>
      <w:r>
        <w:t xml:space="preserve"> </w:t>
      </w:r>
      <w:r w:rsidRPr="00DE0A2E">
        <w:t>řídí</w:t>
      </w:r>
      <w:r>
        <w:t xml:space="preserve"> </w:t>
      </w:r>
      <w:r w:rsidRPr="00DE0A2E">
        <w:t>zákonem</w:t>
      </w:r>
      <w:r>
        <w:t xml:space="preserve"> </w:t>
      </w:r>
      <w:r w:rsidRPr="00DE0A2E">
        <w:t>o</w:t>
      </w:r>
      <w:r>
        <w:t xml:space="preserve"> </w:t>
      </w:r>
      <w:r w:rsidRPr="00DE0A2E">
        <w:t>státní</w:t>
      </w:r>
      <w:r>
        <w:t xml:space="preserve"> </w:t>
      </w:r>
      <w:r w:rsidRPr="00DE0A2E">
        <w:t>službě.</w:t>
      </w:r>
    </w:p>
    <w:p w14:paraId="412FC604" w14:textId="3FC55F52" w:rsidR="002F5F05" w:rsidRDefault="002F5F05" w:rsidP="002F5F05">
      <w:pPr>
        <w:pStyle w:val="Textparagrafu"/>
        <w:numPr>
          <w:ilvl w:val="0"/>
          <w:numId w:val="27"/>
        </w:numPr>
        <w:jc w:val="center"/>
      </w:pPr>
      <w:r w:rsidRPr="00DE0A2E">
        <w:t>§</w:t>
      </w:r>
      <w:r>
        <w:t xml:space="preserve"> </w:t>
      </w:r>
      <w:r w:rsidRPr="00DE0A2E">
        <w:t>2</w:t>
      </w:r>
    </w:p>
    <w:p w14:paraId="60CC6317" w14:textId="77777777" w:rsidR="002F5F05" w:rsidRDefault="002F5F05" w:rsidP="00471221">
      <w:pPr>
        <w:pStyle w:val="Textparagrafu"/>
        <w:numPr>
          <w:ilvl w:val="0"/>
          <w:numId w:val="27"/>
        </w:numPr>
        <w:spacing w:before="120" w:after="120"/>
        <w:ind w:firstLine="425"/>
      </w:pPr>
      <w:r w:rsidRPr="00DE0A2E">
        <w:t>(1)</w:t>
      </w:r>
      <w:r>
        <w:t xml:space="preserve"> </w:t>
      </w:r>
      <w:r w:rsidRPr="00DE0A2E">
        <w:t>Zřizuje</w:t>
      </w:r>
      <w:r>
        <w:t xml:space="preserve"> </w:t>
      </w:r>
      <w:r w:rsidRPr="00DE0A2E">
        <w:t>se</w:t>
      </w:r>
      <w:r>
        <w:t xml:space="preserve"> </w:t>
      </w:r>
      <w:r w:rsidRPr="00DE0A2E">
        <w:t>Zeměměřický</w:t>
      </w:r>
      <w:r>
        <w:t xml:space="preserve"> </w:t>
      </w:r>
      <w:r w:rsidRPr="00DE0A2E">
        <w:t>úřad</w:t>
      </w:r>
      <w:r>
        <w:t xml:space="preserve"> </w:t>
      </w:r>
      <w:r w:rsidRPr="00DE0A2E">
        <w:t>jako</w:t>
      </w:r>
      <w:r>
        <w:t xml:space="preserve"> </w:t>
      </w:r>
      <w:r w:rsidRPr="00DE0A2E">
        <w:t>jiný</w:t>
      </w:r>
      <w:r>
        <w:t xml:space="preserve"> </w:t>
      </w:r>
      <w:r w:rsidRPr="00DE0A2E">
        <w:t>správní</w:t>
      </w:r>
      <w:r>
        <w:t xml:space="preserve"> </w:t>
      </w:r>
      <w:r w:rsidRPr="00DE0A2E">
        <w:t>úřad</w:t>
      </w:r>
      <w:r>
        <w:t xml:space="preserve"> </w:t>
      </w:r>
      <w:r w:rsidRPr="00DE0A2E">
        <w:t>zeměměřictví</w:t>
      </w:r>
      <w:r>
        <w:t xml:space="preserve"> </w:t>
      </w:r>
      <w:r w:rsidRPr="00DE0A2E">
        <w:t>s</w:t>
      </w:r>
      <w:r>
        <w:t xml:space="preserve"> </w:t>
      </w:r>
      <w:r w:rsidRPr="00DE0A2E">
        <w:t>celostátní</w:t>
      </w:r>
      <w:r>
        <w:t xml:space="preserve"> </w:t>
      </w:r>
      <w:r w:rsidRPr="00DE0A2E">
        <w:t>působností</w:t>
      </w:r>
      <w:r>
        <w:t xml:space="preserve"> </w:t>
      </w:r>
      <w:r w:rsidRPr="00DE0A2E">
        <w:t>se</w:t>
      </w:r>
      <w:r>
        <w:t xml:space="preserve"> </w:t>
      </w:r>
      <w:r w:rsidRPr="00DE0A2E">
        <w:t>sídlem</w:t>
      </w:r>
      <w:r>
        <w:t xml:space="preserve"> </w:t>
      </w:r>
      <w:r w:rsidRPr="00DE0A2E">
        <w:t>v</w:t>
      </w:r>
      <w:r>
        <w:t xml:space="preserve"> </w:t>
      </w:r>
      <w:r w:rsidRPr="00DE0A2E">
        <w:t>Praze.</w:t>
      </w:r>
      <w:r>
        <w:t xml:space="preserve"> </w:t>
      </w:r>
      <w:r w:rsidRPr="00C16EBB">
        <w:rPr>
          <w:strike/>
        </w:rPr>
        <w:t xml:space="preserve">Zeměměřický úřad je účetní </w:t>
      </w:r>
      <w:proofErr w:type="gramStart"/>
      <w:r w:rsidRPr="00C16EBB">
        <w:rPr>
          <w:strike/>
        </w:rPr>
        <w:t>jednotkou.</w:t>
      </w:r>
      <w:r w:rsidRPr="00C16EBB">
        <w:rPr>
          <w:strike/>
          <w:vertAlign w:val="superscript"/>
        </w:rPr>
        <w:t>1)</w:t>
      </w:r>
      <w:proofErr w:type="gramEnd"/>
    </w:p>
    <w:p w14:paraId="1C0248D1" w14:textId="77777777" w:rsidR="002F5F05" w:rsidRDefault="002F5F05" w:rsidP="00471221">
      <w:pPr>
        <w:pStyle w:val="Textparagrafu"/>
        <w:numPr>
          <w:ilvl w:val="0"/>
          <w:numId w:val="27"/>
        </w:numPr>
        <w:spacing w:before="120" w:after="120"/>
        <w:ind w:firstLine="425"/>
      </w:pPr>
      <w:r w:rsidRPr="00DE0A2E">
        <w:t>(2)</w:t>
      </w:r>
      <w:r>
        <w:t xml:space="preserve"> </w:t>
      </w:r>
      <w:r w:rsidRPr="00DE0A2E">
        <w:t>Zřizují</w:t>
      </w:r>
      <w:r>
        <w:t xml:space="preserve"> </w:t>
      </w:r>
      <w:r w:rsidRPr="00DE0A2E">
        <w:t>se</w:t>
      </w:r>
      <w:r>
        <w:t xml:space="preserve"> </w:t>
      </w:r>
      <w:r w:rsidRPr="00DE0A2E">
        <w:t>zeměměřické</w:t>
      </w:r>
      <w:r>
        <w:t xml:space="preserve"> </w:t>
      </w:r>
      <w:r w:rsidRPr="00DE0A2E">
        <w:t>a</w:t>
      </w:r>
      <w:r>
        <w:t xml:space="preserve"> </w:t>
      </w:r>
      <w:r w:rsidRPr="00DE0A2E">
        <w:t>katastrální</w:t>
      </w:r>
      <w:r>
        <w:t xml:space="preserve"> </w:t>
      </w:r>
      <w:r w:rsidRPr="00DE0A2E">
        <w:t>inspektoráty</w:t>
      </w:r>
      <w:r>
        <w:t xml:space="preserve"> </w:t>
      </w:r>
      <w:r w:rsidRPr="00DE0A2E">
        <w:t>(dále</w:t>
      </w:r>
      <w:r>
        <w:t xml:space="preserve"> </w:t>
      </w:r>
      <w:r w:rsidRPr="00DE0A2E">
        <w:t>jen</w:t>
      </w:r>
      <w:r>
        <w:t xml:space="preserve"> </w:t>
      </w:r>
      <w:r w:rsidRPr="00DE0A2E">
        <w:t>"inspektoráty")</w:t>
      </w:r>
      <w:r>
        <w:t xml:space="preserve"> </w:t>
      </w:r>
      <w:r w:rsidRPr="00DE0A2E">
        <w:t>a</w:t>
      </w:r>
      <w:r>
        <w:t xml:space="preserve"> </w:t>
      </w:r>
      <w:r w:rsidRPr="00DE0A2E">
        <w:t>katastrální</w:t>
      </w:r>
      <w:r>
        <w:t xml:space="preserve"> </w:t>
      </w:r>
      <w:r w:rsidRPr="00DE0A2E">
        <w:t>úřady</w:t>
      </w:r>
      <w:r>
        <w:t xml:space="preserve"> </w:t>
      </w:r>
      <w:r w:rsidRPr="00DE0A2E">
        <w:t>jako</w:t>
      </w:r>
      <w:r>
        <w:t xml:space="preserve"> </w:t>
      </w:r>
      <w:r w:rsidRPr="00DE0A2E">
        <w:t>jiné</w:t>
      </w:r>
      <w:r>
        <w:t xml:space="preserve"> </w:t>
      </w:r>
      <w:r w:rsidRPr="00DE0A2E">
        <w:t>správní</w:t>
      </w:r>
      <w:r>
        <w:t xml:space="preserve"> </w:t>
      </w:r>
      <w:r w:rsidRPr="00DE0A2E">
        <w:t>úřady</w:t>
      </w:r>
      <w:r>
        <w:t xml:space="preserve"> </w:t>
      </w:r>
      <w:r w:rsidRPr="00DE0A2E">
        <w:t>pro</w:t>
      </w:r>
      <w:r>
        <w:t xml:space="preserve"> </w:t>
      </w:r>
      <w:r w:rsidRPr="00DE0A2E">
        <w:t>zeměměřictví</w:t>
      </w:r>
      <w:r>
        <w:t xml:space="preserve"> </w:t>
      </w:r>
      <w:r w:rsidRPr="00DE0A2E">
        <w:t>a</w:t>
      </w:r>
      <w:r>
        <w:t xml:space="preserve"> </w:t>
      </w:r>
      <w:r w:rsidRPr="00DE0A2E">
        <w:t>katastr</w:t>
      </w:r>
      <w:r>
        <w:t xml:space="preserve"> </w:t>
      </w:r>
      <w:r w:rsidRPr="00DE0A2E">
        <w:t>nemovitostí</w:t>
      </w:r>
      <w:r>
        <w:t xml:space="preserve"> </w:t>
      </w:r>
      <w:r w:rsidRPr="00DE0A2E">
        <w:t>České</w:t>
      </w:r>
      <w:r>
        <w:t xml:space="preserve"> </w:t>
      </w:r>
      <w:r w:rsidRPr="00DE0A2E">
        <w:t>republiky.</w:t>
      </w:r>
      <w:r>
        <w:t xml:space="preserve"> </w:t>
      </w:r>
      <w:r w:rsidRPr="00C16EBB">
        <w:rPr>
          <w:strike/>
        </w:rPr>
        <w:t xml:space="preserve">Inspektoráty a katastrální úřady jsou účetními </w:t>
      </w:r>
      <w:proofErr w:type="gramStart"/>
      <w:r w:rsidRPr="00C16EBB">
        <w:rPr>
          <w:strike/>
        </w:rPr>
        <w:t>jednotkami.</w:t>
      </w:r>
      <w:r w:rsidRPr="00C16EBB">
        <w:rPr>
          <w:strike/>
          <w:vertAlign w:val="superscript"/>
        </w:rPr>
        <w:t>1)</w:t>
      </w:r>
      <w:proofErr w:type="gramEnd"/>
    </w:p>
    <w:p w14:paraId="1EB03D24" w14:textId="77777777" w:rsidR="002F5F05" w:rsidRDefault="002F5F05" w:rsidP="00471221">
      <w:pPr>
        <w:pStyle w:val="Textparagrafu"/>
        <w:numPr>
          <w:ilvl w:val="0"/>
          <w:numId w:val="27"/>
        </w:numPr>
        <w:spacing w:before="120" w:after="120"/>
        <w:ind w:firstLine="425"/>
      </w:pPr>
      <w:r w:rsidRPr="00DE0A2E">
        <w:t>(3)</w:t>
      </w:r>
      <w:r>
        <w:t xml:space="preserve"> </w:t>
      </w:r>
      <w:r w:rsidRPr="00DE0A2E">
        <w:t>Zeměměřický</w:t>
      </w:r>
      <w:r>
        <w:t xml:space="preserve"> </w:t>
      </w:r>
      <w:r w:rsidRPr="00DE0A2E">
        <w:t>úřad,</w:t>
      </w:r>
      <w:r>
        <w:t xml:space="preserve"> </w:t>
      </w:r>
      <w:r w:rsidRPr="00DE0A2E">
        <w:t>inspektoráty</w:t>
      </w:r>
      <w:r>
        <w:t xml:space="preserve"> </w:t>
      </w:r>
      <w:r w:rsidRPr="00DE0A2E">
        <w:t>a</w:t>
      </w:r>
      <w:r>
        <w:t xml:space="preserve"> </w:t>
      </w:r>
      <w:r w:rsidRPr="00DE0A2E">
        <w:t>katastrální</w:t>
      </w:r>
      <w:r>
        <w:t xml:space="preserve"> </w:t>
      </w:r>
      <w:r w:rsidRPr="00DE0A2E">
        <w:t>úřady</w:t>
      </w:r>
      <w:r>
        <w:t xml:space="preserve"> </w:t>
      </w:r>
      <w:r w:rsidRPr="00DE0A2E">
        <w:t>řídí</w:t>
      </w:r>
      <w:r>
        <w:t xml:space="preserve"> </w:t>
      </w:r>
      <w:r w:rsidRPr="00DE0A2E">
        <w:t>ředitelé;</w:t>
      </w:r>
      <w:r>
        <w:t xml:space="preserve"> </w:t>
      </w:r>
      <w:r w:rsidRPr="00DE0A2E">
        <w:t>jejich</w:t>
      </w:r>
      <w:r>
        <w:t xml:space="preserve"> </w:t>
      </w:r>
      <w:r w:rsidRPr="00DE0A2E">
        <w:t>výběr,</w:t>
      </w:r>
      <w:r>
        <w:t xml:space="preserve"> </w:t>
      </w:r>
      <w:r w:rsidRPr="00DE0A2E">
        <w:t>jmenování</w:t>
      </w:r>
      <w:r>
        <w:t xml:space="preserve"> </w:t>
      </w:r>
      <w:r w:rsidRPr="00DE0A2E">
        <w:t>a</w:t>
      </w:r>
      <w:r>
        <w:t xml:space="preserve"> </w:t>
      </w:r>
      <w:r w:rsidRPr="00DE0A2E">
        <w:t>odvolání</w:t>
      </w:r>
      <w:r>
        <w:t xml:space="preserve"> </w:t>
      </w:r>
      <w:r w:rsidRPr="00DE0A2E">
        <w:t>se</w:t>
      </w:r>
      <w:r>
        <w:t xml:space="preserve"> </w:t>
      </w:r>
      <w:r w:rsidRPr="00DE0A2E">
        <w:t>řídí</w:t>
      </w:r>
      <w:r>
        <w:t xml:space="preserve"> </w:t>
      </w:r>
      <w:r w:rsidRPr="00DE0A2E">
        <w:t>zákonem</w:t>
      </w:r>
      <w:r>
        <w:t xml:space="preserve"> </w:t>
      </w:r>
      <w:r w:rsidRPr="00DE0A2E">
        <w:t>o</w:t>
      </w:r>
      <w:r>
        <w:t xml:space="preserve"> </w:t>
      </w:r>
      <w:r w:rsidRPr="00DE0A2E">
        <w:t>státní</w:t>
      </w:r>
      <w:r>
        <w:t xml:space="preserve"> </w:t>
      </w:r>
      <w:r w:rsidRPr="00DE0A2E">
        <w:t>službě.</w:t>
      </w:r>
    </w:p>
    <w:p w14:paraId="6A263EEE" w14:textId="77777777" w:rsidR="002F5F05" w:rsidRPr="00DE0A2E" w:rsidRDefault="002F5F05" w:rsidP="00471221">
      <w:pPr>
        <w:pStyle w:val="Textparagrafu"/>
        <w:numPr>
          <w:ilvl w:val="0"/>
          <w:numId w:val="27"/>
        </w:numPr>
        <w:spacing w:before="120" w:after="120"/>
        <w:ind w:firstLine="425"/>
      </w:pPr>
      <w:r w:rsidRPr="00DE0A2E">
        <w:t>(4)</w:t>
      </w:r>
      <w:r>
        <w:t xml:space="preserve"> </w:t>
      </w:r>
      <w:r w:rsidRPr="00DE0A2E">
        <w:t>Sídla</w:t>
      </w:r>
      <w:r>
        <w:t xml:space="preserve"> </w:t>
      </w:r>
      <w:r w:rsidRPr="00DE0A2E">
        <w:t>a</w:t>
      </w:r>
      <w:r>
        <w:t xml:space="preserve"> </w:t>
      </w:r>
      <w:r w:rsidRPr="00DE0A2E">
        <w:t>územní</w:t>
      </w:r>
      <w:r>
        <w:t xml:space="preserve"> </w:t>
      </w:r>
      <w:r w:rsidRPr="00DE0A2E">
        <w:t>působnost</w:t>
      </w:r>
      <w:r>
        <w:t xml:space="preserve"> </w:t>
      </w:r>
      <w:r w:rsidRPr="00DE0A2E">
        <w:t>inspektorátů</w:t>
      </w:r>
      <w:r>
        <w:t xml:space="preserve"> </w:t>
      </w:r>
      <w:r w:rsidRPr="00DE0A2E">
        <w:t>jsou</w:t>
      </w:r>
      <w:r>
        <w:t xml:space="preserve"> </w:t>
      </w:r>
      <w:r w:rsidRPr="00DE0A2E">
        <w:t>stanoveny</w:t>
      </w:r>
      <w:r>
        <w:t xml:space="preserve"> </w:t>
      </w:r>
      <w:r w:rsidRPr="00DE0A2E">
        <w:t>v</w:t>
      </w:r>
      <w:r>
        <w:t xml:space="preserve"> </w:t>
      </w:r>
      <w:r w:rsidRPr="00DE0A2E">
        <w:t>příloze</w:t>
      </w:r>
      <w:r>
        <w:t xml:space="preserve"> </w:t>
      </w:r>
      <w:r w:rsidRPr="00DE0A2E">
        <w:t>č.</w:t>
      </w:r>
      <w:r>
        <w:t xml:space="preserve"> </w:t>
      </w:r>
      <w:r w:rsidRPr="00DE0A2E">
        <w:t>1</w:t>
      </w:r>
      <w:r>
        <w:t xml:space="preserve"> </w:t>
      </w:r>
      <w:r w:rsidRPr="00DE0A2E">
        <w:t>tohoto</w:t>
      </w:r>
      <w:r>
        <w:t xml:space="preserve"> </w:t>
      </w:r>
      <w:r w:rsidRPr="00DE0A2E">
        <w:t>zákona.</w:t>
      </w:r>
      <w:r>
        <w:t xml:space="preserve"> </w:t>
      </w:r>
      <w:r w:rsidRPr="00DE0A2E">
        <w:t>Sídla</w:t>
      </w:r>
      <w:r>
        <w:t xml:space="preserve"> </w:t>
      </w:r>
      <w:r w:rsidRPr="00DE0A2E">
        <w:t>a</w:t>
      </w:r>
      <w:r>
        <w:t xml:space="preserve"> </w:t>
      </w:r>
      <w:r w:rsidRPr="00DE0A2E">
        <w:t>územní</w:t>
      </w:r>
      <w:r>
        <w:t xml:space="preserve"> </w:t>
      </w:r>
      <w:r w:rsidRPr="00DE0A2E">
        <w:t>působnost</w:t>
      </w:r>
      <w:r>
        <w:t xml:space="preserve"> </w:t>
      </w:r>
      <w:r w:rsidRPr="00DE0A2E">
        <w:t>katastrálních</w:t>
      </w:r>
      <w:r>
        <w:t xml:space="preserve"> </w:t>
      </w:r>
      <w:r w:rsidRPr="00DE0A2E">
        <w:t>úřadů</w:t>
      </w:r>
      <w:r>
        <w:t xml:space="preserve"> </w:t>
      </w:r>
      <w:r w:rsidRPr="00DE0A2E">
        <w:t>jsou</w:t>
      </w:r>
      <w:r>
        <w:t xml:space="preserve"> </w:t>
      </w:r>
      <w:r w:rsidRPr="00DE0A2E">
        <w:t>stanoveny</w:t>
      </w:r>
      <w:r>
        <w:t xml:space="preserve"> </w:t>
      </w:r>
      <w:r w:rsidRPr="00DE0A2E">
        <w:t>v</w:t>
      </w:r>
      <w:r>
        <w:t xml:space="preserve"> </w:t>
      </w:r>
      <w:r w:rsidRPr="00DE0A2E">
        <w:t>příloze</w:t>
      </w:r>
      <w:r>
        <w:t xml:space="preserve"> </w:t>
      </w:r>
      <w:r w:rsidRPr="00DE0A2E">
        <w:t>č.</w:t>
      </w:r>
      <w:r>
        <w:t xml:space="preserve"> </w:t>
      </w:r>
      <w:r w:rsidRPr="00DE0A2E">
        <w:t>2</w:t>
      </w:r>
      <w:r>
        <w:t xml:space="preserve"> </w:t>
      </w:r>
      <w:r w:rsidRPr="00DE0A2E">
        <w:t>tohoto</w:t>
      </w:r>
      <w:r>
        <w:t xml:space="preserve"> </w:t>
      </w:r>
      <w:r w:rsidRPr="00DE0A2E">
        <w:t>zákona.</w:t>
      </w:r>
    </w:p>
    <w:p w14:paraId="3E6D766D" w14:textId="77777777" w:rsidR="00C16EBB" w:rsidRDefault="00C16EBB" w:rsidP="00C16EBB">
      <w:pPr>
        <w:pStyle w:val="Textparagrafu"/>
        <w:tabs>
          <w:tab w:val="left" w:pos="392"/>
        </w:tabs>
        <w:ind w:firstLine="0"/>
        <w:sectPr w:rsidR="00C16EBB" w:rsidSect="00084391">
          <w:footnotePr>
            <w:numStart w:val="3"/>
          </w:footnotePr>
          <w:endnotePr>
            <w:numFmt w:val="decimal"/>
          </w:endnotePr>
          <w:pgSz w:w="11906" w:h="16838"/>
          <w:pgMar w:top="1418" w:right="1418" w:bottom="1418" w:left="1418" w:header="709" w:footer="709" w:gutter="0"/>
          <w:cols w:space="708"/>
          <w:docGrid w:linePitch="360"/>
        </w:sectPr>
      </w:pPr>
    </w:p>
    <w:p w14:paraId="50E2CB6B" w14:textId="4A3CFA6D" w:rsidR="00C16EBB" w:rsidRPr="00E63135" w:rsidRDefault="00C16EBB" w:rsidP="008F0667">
      <w:pPr>
        <w:pStyle w:val="Odstavecseseznamem"/>
        <w:tabs>
          <w:tab w:val="left" w:pos="851"/>
        </w:tabs>
        <w:spacing w:before="120" w:after="120"/>
        <w:ind w:left="0" w:firstLine="0"/>
        <w:jc w:val="center"/>
        <w:outlineLvl w:val="0"/>
        <w:rPr>
          <w:szCs w:val="24"/>
        </w:rPr>
      </w:pPr>
      <w:r w:rsidRPr="00E63135">
        <w:rPr>
          <w:b/>
          <w:szCs w:val="24"/>
        </w:rPr>
        <w:lastRenderedPageBreak/>
        <w:t xml:space="preserve">K části </w:t>
      </w:r>
      <w:r w:rsidR="00F80E61">
        <w:rPr>
          <w:b/>
          <w:szCs w:val="24"/>
        </w:rPr>
        <w:t>devatenácté</w:t>
      </w:r>
      <w:r w:rsidRPr="00E63135">
        <w:rPr>
          <w:b/>
          <w:szCs w:val="24"/>
        </w:rPr>
        <w:t xml:space="preserve"> návrhu zákona – </w:t>
      </w:r>
      <w:r w:rsidRPr="00E63135">
        <w:rPr>
          <w:szCs w:val="24"/>
        </w:rPr>
        <w:t>změna zákona o Vězeňské službě a justiční stráži České republiky</w:t>
      </w:r>
    </w:p>
    <w:p w14:paraId="31439247" w14:textId="77777777" w:rsidR="00383BB6" w:rsidRPr="00E63135" w:rsidRDefault="00383BB6" w:rsidP="004958B0">
      <w:pPr>
        <w:pStyle w:val="Odstavecseseznamem"/>
        <w:tabs>
          <w:tab w:val="left" w:pos="851"/>
        </w:tabs>
        <w:spacing w:before="120" w:after="120"/>
        <w:ind w:left="0" w:firstLine="0"/>
        <w:outlineLvl w:val="0"/>
        <w:rPr>
          <w:b/>
          <w:szCs w:val="24"/>
        </w:rPr>
      </w:pPr>
    </w:p>
    <w:p w14:paraId="27A29DAA" w14:textId="64FFB54E" w:rsidR="00C16EBB" w:rsidRPr="00E63135" w:rsidRDefault="00C16EBB" w:rsidP="00C16EBB">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E63135">
        <w:rPr>
          <w:b/>
          <w:szCs w:val="24"/>
        </w:rPr>
        <w:t>Platné znění</w:t>
      </w:r>
      <w:r w:rsidRPr="00E63135">
        <w:rPr>
          <w:szCs w:val="24"/>
        </w:rPr>
        <w:t xml:space="preserve"> zákona </w:t>
      </w:r>
      <w:r w:rsidRPr="00E63135">
        <w:rPr>
          <w:color w:val="000000"/>
          <w:szCs w:val="24"/>
        </w:rPr>
        <w:t xml:space="preserve">č. 555/1992 Sb., </w:t>
      </w:r>
      <w:r w:rsidRPr="00E63135">
        <w:rPr>
          <w:szCs w:val="24"/>
        </w:rPr>
        <w:t>o Vězeňské službě a justiční stráži České republiky</w:t>
      </w:r>
    </w:p>
    <w:p w14:paraId="19A90378" w14:textId="77777777" w:rsidR="00471221" w:rsidRPr="00A06781" w:rsidRDefault="00471221" w:rsidP="00471221">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b/>
          <w:szCs w:val="24"/>
        </w:rPr>
      </w:pPr>
      <w:r w:rsidRPr="00A06781">
        <w:rPr>
          <w:b/>
          <w:szCs w:val="24"/>
        </w:rPr>
        <w:t>s vyznačením navrhovaných změn a doplnění k 1. lednu 2025</w:t>
      </w:r>
    </w:p>
    <w:p w14:paraId="18939A81" w14:textId="77777777" w:rsidR="00E63135" w:rsidRPr="00E63135" w:rsidRDefault="00E63135" w:rsidP="00E63135">
      <w:pPr>
        <w:tabs>
          <w:tab w:val="left" w:pos="0"/>
        </w:tabs>
        <w:spacing w:after="120"/>
        <w:ind w:firstLine="0"/>
        <w:jc w:val="center"/>
        <w:rPr>
          <w:color w:val="000000"/>
          <w:szCs w:val="24"/>
        </w:rPr>
      </w:pPr>
      <w:r w:rsidRPr="00E63135">
        <w:rPr>
          <w:color w:val="000000"/>
          <w:szCs w:val="24"/>
        </w:rPr>
        <w:t>§ 1</w:t>
      </w:r>
    </w:p>
    <w:p w14:paraId="719B04C0" w14:textId="77777777" w:rsidR="00E63135" w:rsidRPr="00E63135" w:rsidRDefault="00E63135" w:rsidP="00E63135">
      <w:pPr>
        <w:tabs>
          <w:tab w:val="left" w:pos="426"/>
        </w:tabs>
        <w:spacing w:before="120"/>
        <w:ind w:firstLine="0"/>
        <w:jc w:val="center"/>
        <w:rPr>
          <w:b/>
          <w:color w:val="000000"/>
          <w:szCs w:val="24"/>
        </w:rPr>
      </w:pPr>
      <w:r w:rsidRPr="00E63135">
        <w:rPr>
          <w:b/>
          <w:color w:val="000000"/>
          <w:szCs w:val="24"/>
        </w:rPr>
        <w:t>Úvodní ustanovení</w:t>
      </w:r>
    </w:p>
    <w:p w14:paraId="63123B4D" w14:textId="77777777" w:rsidR="00E63135" w:rsidRPr="00E63135" w:rsidRDefault="00E63135" w:rsidP="00E63135">
      <w:pPr>
        <w:tabs>
          <w:tab w:val="left" w:pos="426"/>
        </w:tabs>
        <w:spacing w:before="120"/>
        <w:ind w:firstLine="426"/>
        <w:rPr>
          <w:color w:val="000000"/>
          <w:szCs w:val="24"/>
        </w:rPr>
      </w:pPr>
      <w:r w:rsidRPr="00E63135">
        <w:rPr>
          <w:color w:val="000000"/>
          <w:szCs w:val="24"/>
        </w:rPr>
        <w:t>(1) Zřizuje se Vězeňská služba České republiky (dále jen „Vězeňská služba“), která zajišťuje výkon vazby, výkon zabezpečovací detence a výkon trestu odnětí svobody a v rozsahu stanoveném tímto zákonem ochranu pořádku a bezpečnosti při výkonu soudnictví a správě soudů a při činnosti státních zastupitelství a Ministerstva spravedlnosti (dále jen „ministerstvo“).</w:t>
      </w:r>
    </w:p>
    <w:p w14:paraId="4D79D50F" w14:textId="77777777" w:rsidR="00E63135" w:rsidRPr="00E63135" w:rsidRDefault="00E63135" w:rsidP="00E63135">
      <w:pPr>
        <w:tabs>
          <w:tab w:val="left" w:pos="426"/>
        </w:tabs>
        <w:spacing w:before="120"/>
        <w:ind w:firstLine="426"/>
        <w:rPr>
          <w:color w:val="000000"/>
          <w:szCs w:val="24"/>
        </w:rPr>
      </w:pPr>
      <w:r w:rsidRPr="00E63135">
        <w:rPr>
          <w:color w:val="000000"/>
          <w:szCs w:val="24"/>
        </w:rPr>
        <w:t>(2) Vězeňská služba je ozbrojeným bezpečnostním sborem. Řídí ji generální ředitel Vězeňské služby (dále jen „generální ředitel“), kterého jmenuje a odvolává ministr spravedlnosti (dále jen „ministr“). Generální ředitel odpovídá ministrovi za činnost Vězeňské služby.</w:t>
      </w:r>
    </w:p>
    <w:p w14:paraId="55EF835B" w14:textId="73AF1129" w:rsidR="00E63135" w:rsidRPr="00E63135" w:rsidRDefault="00E63135" w:rsidP="00E63135">
      <w:pPr>
        <w:tabs>
          <w:tab w:val="left" w:pos="426"/>
        </w:tabs>
        <w:spacing w:before="120"/>
        <w:ind w:firstLine="426"/>
        <w:rPr>
          <w:color w:val="000000"/>
          <w:szCs w:val="24"/>
        </w:rPr>
      </w:pPr>
      <w:r w:rsidRPr="00E63135">
        <w:rPr>
          <w:color w:val="000000"/>
          <w:szCs w:val="24"/>
        </w:rPr>
        <w:t xml:space="preserve">(3) Vězeňská služba je správním úřadem </w:t>
      </w:r>
      <w:r w:rsidRPr="00E63135">
        <w:rPr>
          <w:strike/>
          <w:color w:val="000000"/>
          <w:szCs w:val="24"/>
        </w:rPr>
        <w:t>a účetní jednotkou</w:t>
      </w:r>
      <w:r w:rsidRPr="00E63135">
        <w:rPr>
          <w:color w:val="000000"/>
          <w:szCs w:val="24"/>
        </w:rPr>
        <w:t>.</w:t>
      </w:r>
      <w:r w:rsidR="008F0667" w:rsidRPr="008F0667">
        <w:rPr>
          <w:rStyle w:val="Znakapoznpodarou"/>
          <w:strike/>
          <w:color w:val="000000"/>
          <w:szCs w:val="24"/>
        </w:rPr>
        <w:footnoteReference w:customMarkFollows="1" w:id="118"/>
        <w:t>1)</w:t>
      </w:r>
      <w:r w:rsidR="008F0667" w:rsidRPr="008F0667">
        <w:rPr>
          <w:strike/>
          <w:color w:val="000000"/>
          <w:szCs w:val="24"/>
        </w:rPr>
        <w:t xml:space="preserve"> </w:t>
      </w:r>
    </w:p>
    <w:p w14:paraId="608F0AE8" w14:textId="77777777" w:rsidR="00E63135" w:rsidRPr="00E63135" w:rsidRDefault="00E63135" w:rsidP="00471221">
      <w:pPr>
        <w:tabs>
          <w:tab w:val="left" w:pos="426"/>
        </w:tabs>
        <w:spacing w:before="120" w:after="120"/>
        <w:rPr>
          <w:color w:val="000000"/>
          <w:szCs w:val="24"/>
        </w:rPr>
      </w:pPr>
      <w:r w:rsidRPr="00E63135">
        <w:rPr>
          <w:color w:val="000000"/>
          <w:szCs w:val="24"/>
        </w:rPr>
        <w:t>(4) Organizačními jednotkami Vězeňské služby jsou generální ředitelství, vazební věznice, věznice, ústavy pro výkon zabezpečovací detence, Střední odborné učiliště a Akademie Vězeňské služby. Generální ředitelství zabezpečuje plnění společných úkolů ostatních organizačních jednotek, které metodicky řídí a kontroluje. V čele vazebních věznic, věznic, ústavů pro výkon zabezpečovací detence, Středního odborného učiliště a Akademie Vězeňské služby jsou ředitelé, které jmenuje a odvolává generální ředitel.</w:t>
      </w:r>
    </w:p>
    <w:p w14:paraId="6AA23FBE" w14:textId="18254D05" w:rsidR="008F0667" w:rsidRDefault="00E63135" w:rsidP="00E63135">
      <w:pPr>
        <w:tabs>
          <w:tab w:val="left" w:pos="426"/>
        </w:tabs>
        <w:spacing w:before="120"/>
        <w:ind w:firstLine="426"/>
        <w:rPr>
          <w:color w:val="000000"/>
          <w:szCs w:val="24"/>
        </w:rPr>
      </w:pPr>
      <w:r w:rsidRPr="00E63135">
        <w:rPr>
          <w:color w:val="000000"/>
          <w:szCs w:val="24"/>
        </w:rPr>
        <w:t>(5) Vězeňská služba působí na území České republiky, nestanoví-li zvláštní právní předpis nebo vyhlášená mezinárodní smlouva, k jejíž ratifikaci dal Parlament souhlas a jíž je Česká republika vázána, jinak. Za podmínek, v rozsahu a způsobem stanoveným mezinárodní smlouvou je příslušník Vězeňské služby a občanský zaměstnanec Vězeňské služby oprávněn působit na území jiného státu v rámci mírové nebo jiné operace, které se Česká republika účastní na základě rozhodnutí mezinárodní organizace, jíž je Česká republika členem nebo s níž má uzavřeny příslušné mezinárodní smlouvy. Příslušník Vězeňské služby a občanský zaměstnanec Vězeňské služby je oprávněn působit na území jiného státu také na základě rozhodnutí příslušného orgánu nebo instituce Evropské unie, nebo je-li vyslán k plnění úkolů na základě rozhodnutí ministra se souhlasem příslušného orgánu cizího státu nebo na žádost příslušného orgánu cizího státu.</w:t>
      </w:r>
    </w:p>
    <w:p w14:paraId="5B2DFD69" w14:textId="1E238CD4" w:rsidR="004958B0" w:rsidRPr="008F0667" w:rsidRDefault="008F0667" w:rsidP="008F0667">
      <w:pPr>
        <w:rPr>
          <w:color w:val="000000"/>
          <w:szCs w:val="24"/>
        </w:rPr>
        <w:sectPr w:rsidR="004958B0" w:rsidRPr="008F0667" w:rsidSect="00084391">
          <w:footnotePr>
            <w:numStart w:val="3"/>
          </w:footnotePr>
          <w:endnotePr>
            <w:numFmt w:val="decimal"/>
          </w:endnotePr>
          <w:pgSz w:w="11906" w:h="16838"/>
          <w:pgMar w:top="1418" w:right="1418" w:bottom="1418" w:left="1418" w:header="709" w:footer="709" w:gutter="0"/>
          <w:cols w:space="708"/>
          <w:docGrid w:linePitch="360"/>
        </w:sectPr>
      </w:pPr>
      <w:r>
        <w:rPr>
          <w:color w:val="000000"/>
          <w:szCs w:val="24"/>
        </w:rPr>
        <w:br w:type="page"/>
      </w:r>
    </w:p>
    <w:p w14:paraId="09F49724" w14:textId="77777777" w:rsidR="008F0667" w:rsidRDefault="008F0667" w:rsidP="008F0667">
      <w:pPr>
        <w:pStyle w:val="Odstavecseseznamem"/>
        <w:tabs>
          <w:tab w:val="left" w:pos="851"/>
        </w:tabs>
        <w:spacing w:before="120" w:after="120"/>
        <w:ind w:left="0" w:firstLine="0"/>
        <w:jc w:val="center"/>
        <w:outlineLvl w:val="0"/>
        <w:rPr>
          <w:szCs w:val="24"/>
        </w:rPr>
      </w:pPr>
      <w:r w:rsidRPr="00F96E9D">
        <w:rPr>
          <w:b/>
          <w:szCs w:val="24"/>
        </w:rPr>
        <w:lastRenderedPageBreak/>
        <w:t xml:space="preserve">K části dvacáté návrhu zákona – </w:t>
      </w:r>
      <w:r w:rsidRPr="00F96E9D">
        <w:rPr>
          <w:szCs w:val="24"/>
        </w:rPr>
        <w:t>změna zákona o daních z</w:t>
      </w:r>
      <w:r>
        <w:rPr>
          <w:szCs w:val="24"/>
        </w:rPr>
        <w:t> </w:t>
      </w:r>
      <w:r w:rsidRPr="00F96E9D">
        <w:rPr>
          <w:szCs w:val="24"/>
        </w:rPr>
        <w:t>příjmů</w:t>
      </w:r>
    </w:p>
    <w:p w14:paraId="402ED88B" w14:textId="77777777" w:rsidR="000839A4" w:rsidRPr="000839A4" w:rsidRDefault="000839A4" w:rsidP="000839A4">
      <w:pPr>
        <w:pBdr>
          <w:top w:val="single" w:sz="12" w:space="6" w:color="auto"/>
          <w:left w:val="single" w:sz="12" w:space="0" w:color="auto"/>
          <w:bottom w:val="single" w:sz="12" w:space="15" w:color="auto"/>
          <w:right w:val="single" w:sz="12" w:space="0" w:color="auto"/>
        </w:pBdr>
        <w:spacing w:before="0"/>
        <w:ind w:firstLine="0"/>
        <w:jc w:val="center"/>
        <w:rPr>
          <w:noProof/>
          <w:szCs w:val="24"/>
        </w:rPr>
      </w:pPr>
      <w:r w:rsidRPr="000839A4">
        <w:rPr>
          <w:b/>
          <w:noProof/>
          <w:szCs w:val="24"/>
        </w:rPr>
        <w:t>Platné znění</w:t>
      </w:r>
      <w:r w:rsidRPr="000839A4">
        <w:rPr>
          <w:noProof/>
          <w:szCs w:val="24"/>
        </w:rPr>
        <w:t xml:space="preserve"> částí zákona </w:t>
      </w:r>
      <w:r w:rsidRPr="000839A4">
        <w:rPr>
          <w:noProof/>
          <w:color w:val="000000"/>
          <w:szCs w:val="24"/>
        </w:rPr>
        <w:t xml:space="preserve">č. 586/1992 Sb., </w:t>
      </w:r>
      <w:r w:rsidRPr="000839A4">
        <w:rPr>
          <w:noProof/>
          <w:szCs w:val="24"/>
        </w:rPr>
        <w:t>o daních z příjmů</w:t>
      </w:r>
      <w:r w:rsidRPr="000839A4">
        <w:rPr>
          <w:noProof/>
          <w:color w:val="000000"/>
          <w:szCs w:val="24"/>
        </w:rPr>
        <w:t>,</w:t>
      </w:r>
      <w:r w:rsidRPr="000839A4">
        <w:rPr>
          <w:noProof/>
          <w:szCs w:val="24"/>
        </w:rPr>
        <w:t xml:space="preserve"> </w:t>
      </w:r>
    </w:p>
    <w:p w14:paraId="60361566" w14:textId="3482A256" w:rsidR="000839A4" w:rsidRPr="000839A4" w:rsidRDefault="000839A4" w:rsidP="000839A4">
      <w:pPr>
        <w:pBdr>
          <w:top w:val="single" w:sz="12" w:space="6" w:color="auto"/>
          <w:left w:val="single" w:sz="12" w:space="0" w:color="auto"/>
          <w:bottom w:val="single" w:sz="12" w:space="15" w:color="auto"/>
          <w:right w:val="single" w:sz="12" w:space="0" w:color="auto"/>
        </w:pBdr>
        <w:spacing w:before="0"/>
        <w:ind w:firstLine="0"/>
        <w:jc w:val="center"/>
        <w:rPr>
          <w:b/>
          <w:noProof/>
          <w:szCs w:val="24"/>
          <w:lang w:eastAsia="en-US"/>
        </w:rPr>
      </w:pPr>
      <w:r w:rsidRPr="000839A4">
        <w:rPr>
          <w:b/>
          <w:noProof/>
          <w:szCs w:val="24"/>
          <w:lang w:eastAsia="en-US"/>
        </w:rPr>
        <w:t>s vyznačením navrhovaných změn a doplnění k 1. lednu 2025</w:t>
      </w:r>
    </w:p>
    <w:p w14:paraId="15DFE025" w14:textId="44F2DFDB" w:rsidR="000839A4" w:rsidRPr="000839A4" w:rsidRDefault="000839A4" w:rsidP="00C135CB">
      <w:pPr>
        <w:pBdr>
          <w:top w:val="single" w:sz="12" w:space="6" w:color="auto"/>
          <w:left w:val="single" w:sz="12" w:space="0" w:color="auto"/>
          <w:bottom w:val="single" w:sz="12" w:space="15" w:color="auto"/>
          <w:right w:val="single" w:sz="12" w:space="0" w:color="auto"/>
        </w:pBdr>
        <w:spacing w:before="0"/>
        <w:ind w:firstLine="0"/>
        <w:rPr>
          <w:b/>
          <w:noProof/>
          <w:color w:val="C45911" w:themeColor="accent2" w:themeShade="BF"/>
          <w:szCs w:val="24"/>
        </w:rPr>
      </w:pPr>
      <w:bookmarkStart w:id="6" w:name="_Hlk124981116"/>
    </w:p>
    <w:p w14:paraId="48A6A91B" w14:textId="77777777" w:rsidR="000839A4" w:rsidRPr="000839A4" w:rsidRDefault="000839A4" w:rsidP="000839A4">
      <w:pPr>
        <w:pBdr>
          <w:top w:val="single" w:sz="12" w:space="6" w:color="auto"/>
          <w:left w:val="single" w:sz="12" w:space="0" w:color="auto"/>
          <w:bottom w:val="single" w:sz="12" w:space="15" w:color="auto"/>
          <w:right w:val="single" w:sz="12" w:space="0" w:color="auto"/>
        </w:pBdr>
        <w:spacing w:before="0"/>
        <w:ind w:firstLine="0"/>
        <w:jc w:val="center"/>
        <w:rPr>
          <w:b/>
          <w:bCs/>
          <w:noProof/>
          <w:color w:val="0070C0"/>
          <w:szCs w:val="24"/>
        </w:rPr>
      </w:pPr>
      <w:r w:rsidRPr="000839A4">
        <w:rPr>
          <w:b/>
          <w:bCs/>
          <w:noProof/>
          <w:color w:val="92D050"/>
          <w:szCs w:val="24"/>
        </w:rPr>
        <mc:AlternateContent>
          <mc:Choice Requires="wps">
            <w:drawing>
              <wp:anchor distT="0" distB="0" distL="114300" distR="114300" simplePos="0" relativeHeight="251677696" behindDoc="1" locked="0" layoutInCell="1" allowOverlap="1" wp14:anchorId="5B030BEF" wp14:editId="1EEDA3F9">
                <wp:simplePos x="0" y="0"/>
                <wp:positionH relativeFrom="margin">
                  <wp:align>left</wp:align>
                </wp:positionH>
                <wp:positionV relativeFrom="paragraph">
                  <wp:posOffset>1905</wp:posOffset>
                </wp:positionV>
                <wp:extent cx="5692775" cy="588010"/>
                <wp:effectExtent l="0" t="0" r="22225" b="21590"/>
                <wp:wrapNone/>
                <wp:docPr id="38" name="Obdélník 38"/>
                <wp:cNvGraphicFramePr/>
                <a:graphic xmlns:a="http://schemas.openxmlformats.org/drawingml/2006/main">
                  <a:graphicData uri="http://schemas.microsoft.com/office/word/2010/wordprocessingShape">
                    <wps:wsp>
                      <wps:cNvSpPr/>
                      <wps:spPr>
                        <a:xfrm>
                          <a:off x="0" y="0"/>
                          <a:ext cx="5692775" cy="588010"/>
                        </a:xfrm>
                        <a:prstGeom prst="rect">
                          <a:avLst/>
                        </a:prstGeom>
                        <a:solidFill>
                          <a:sysClr val="window" lastClr="FFFFFF"/>
                        </a:solidFill>
                        <a:ln w="12700" cap="flat" cmpd="sng" algn="ctr">
                          <a:solidFill>
                            <a:srgbClr val="5B9BD5"/>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8E0DD38" id="Obdélník 38" o:spid="_x0000_s1026" style="position:absolute;margin-left:0;margin-top:.15pt;width:448.25pt;height:46.3pt;z-index:-251638784;visibility:visible;mso-wrap-style:square;mso-wrap-distance-left:9pt;mso-wrap-distance-top:0;mso-wrap-distance-right:9pt;mso-wrap-distance-bottom:0;mso-position-horizontal:left;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" fillcolor="window" strokecolor="#5b9bd5" strokeweight="1pt">
                <w10:wrap anchorx="margin"/>
              </v:rect>
            </w:pict>
          </mc:Fallback>
        </mc:AlternateContent>
      </w:r>
      <w:r w:rsidRPr="000839A4">
        <w:rPr>
          <w:b/>
          <w:noProof/>
          <w:color w:val="0070C0"/>
          <w:szCs w:val="24"/>
        </w:rPr>
        <w:t xml:space="preserve">s vyznačením navrhovaných změn a doplnění k účinnosti návrhu zákona, </w:t>
      </w:r>
      <w:r w:rsidRPr="000839A4">
        <w:rPr>
          <w:b/>
          <w:bCs/>
          <w:noProof/>
          <w:color w:val="0070C0"/>
          <w:szCs w:val="24"/>
        </w:rPr>
        <w:t>kterým se mění zákon č. 125/2008 Sb., o přeměnách obchodních společností a družstev, ve znění pozdějších předpisů, a další související zákony (SenT 252)</w:t>
      </w:r>
    </w:p>
    <w:p w14:paraId="3CB25D75" w14:textId="77777777" w:rsidR="000839A4" w:rsidRPr="000839A4" w:rsidRDefault="000839A4" w:rsidP="000839A4">
      <w:pPr>
        <w:pBdr>
          <w:top w:val="single" w:sz="12" w:space="6" w:color="auto"/>
          <w:left w:val="single" w:sz="12" w:space="0" w:color="auto"/>
          <w:bottom w:val="single" w:sz="12" w:space="15" w:color="auto"/>
          <w:right w:val="single" w:sz="12" w:space="0" w:color="auto"/>
        </w:pBdr>
        <w:spacing w:before="0"/>
        <w:ind w:firstLine="0"/>
        <w:jc w:val="center"/>
        <w:rPr>
          <w:b/>
          <w:noProof/>
          <w:color w:val="C45911" w:themeColor="accent2" w:themeShade="BF"/>
          <w:szCs w:val="24"/>
        </w:rPr>
      </w:pPr>
      <w:r w:rsidRPr="000839A4">
        <w:rPr>
          <w:b/>
          <w:bCs/>
          <w:noProof/>
          <w:color w:val="92D050"/>
          <w:szCs w:val="24"/>
        </w:rPr>
        <mc:AlternateContent>
          <mc:Choice Requires="wps">
            <w:drawing>
              <wp:anchor distT="0" distB="0" distL="114300" distR="114300" simplePos="0" relativeHeight="251678720" behindDoc="1" locked="0" layoutInCell="1" allowOverlap="1" wp14:anchorId="1DB83A43" wp14:editId="3F9FD5A9">
                <wp:simplePos x="0" y="0"/>
                <wp:positionH relativeFrom="margin">
                  <wp:align>left</wp:align>
                </wp:positionH>
                <wp:positionV relativeFrom="paragraph">
                  <wp:posOffset>188595</wp:posOffset>
                </wp:positionV>
                <wp:extent cx="5693133" cy="588397"/>
                <wp:effectExtent l="0" t="0" r="22225" b="21590"/>
                <wp:wrapNone/>
                <wp:docPr id="39" name="Obdélník 39"/>
                <wp:cNvGraphicFramePr/>
                <a:graphic xmlns:a="http://schemas.openxmlformats.org/drawingml/2006/main">
                  <a:graphicData uri="http://schemas.microsoft.com/office/word/2010/wordprocessingShape">
                    <wps:wsp>
                      <wps:cNvSpPr/>
                      <wps:spPr>
                        <a:xfrm>
                          <a:off x="0" y="0"/>
                          <a:ext cx="5693133" cy="588397"/>
                        </a:xfrm>
                        <a:prstGeom prst="rect">
                          <a:avLst/>
                        </a:prstGeom>
                        <a:solidFill>
                          <a:sysClr val="window" lastClr="FFFFFF"/>
                        </a:solid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41901D2" id="Obdélník 39" o:spid="_x0000_s1026" style="position:absolute;margin-left:0;margin-top:14.85pt;width:448.3pt;height:46.35pt;z-index:-251637760;visibility:visible;mso-wrap-style:square;mso-wrap-distance-left:9pt;mso-wrap-distance-top:0;mso-wrap-distance-right:9pt;mso-wrap-distance-bottom:0;mso-position-horizontal:left;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" fillcolor="window" strokecolor="#00b050" strokeweight="1pt">
                <w10:wrap anchorx="margin"/>
              </v:rect>
            </w:pict>
          </mc:Fallback>
        </mc:AlternateContent>
      </w:r>
    </w:p>
    <w:p w14:paraId="21B81385" w14:textId="77777777" w:rsidR="000839A4" w:rsidRPr="000839A4" w:rsidRDefault="000839A4" w:rsidP="000839A4">
      <w:pPr>
        <w:pBdr>
          <w:top w:val="single" w:sz="12" w:space="6" w:color="auto"/>
          <w:left w:val="single" w:sz="12" w:space="0" w:color="auto"/>
          <w:bottom w:val="single" w:sz="12" w:space="15" w:color="auto"/>
          <w:right w:val="single" w:sz="12" w:space="0" w:color="auto"/>
        </w:pBdr>
        <w:spacing w:before="0"/>
        <w:ind w:firstLine="0"/>
        <w:jc w:val="center"/>
        <w:rPr>
          <w:b/>
          <w:noProof/>
          <w:color w:val="00B050"/>
          <w:szCs w:val="24"/>
        </w:rPr>
      </w:pPr>
      <w:r w:rsidRPr="000839A4">
        <w:rPr>
          <w:b/>
          <w:noProof/>
          <w:color w:val="00B050"/>
          <w:szCs w:val="24"/>
        </w:rPr>
        <w:t xml:space="preserve">s vyznačením navrhovaných změn a doplnění k účinnosti návrhu zákona, kterým se mění zákon č. 240/2013 Sb., o investičních společnostech a investičních fondech, </w:t>
      </w:r>
      <w:r w:rsidRPr="000839A4">
        <w:rPr>
          <w:b/>
          <w:noProof/>
          <w:color w:val="00B050"/>
          <w:szCs w:val="24"/>
        </w:rPr>
        <w:br/>
        <w:t>ve znění pozdějších předpisů, a další související zákony (SenT 258)</w:t>
      </w:r>
    </w:p>
    <w:p w14:paraId="2DD189C5" w14:textId="77777777" w:rsidR="000839A4" w:rsidRPr="000839A4" w:rsidRDefault="000839A4" w:rsidP="000839A4">
      <w:pPr>
        <w:pBdr>
          <w:top w:val="single" w:sz="12" w:space="6" w:color="auto"/>
          <w:left w:val="single" w:sz="12" w:space="0" w:color="auto"/>
          <w:bottom w:val="single" w:sz="12" w:space="15" w:color="auto"/>
          <w:right w:val="single" w:sz="12" w:space="0" w:color="auto"/>
        </w:pBdr>
        <w:spacing w:before="0"/>
        <w:ind w:firstLine="0"/>
        <w:jc w:val="center"/>
        <w:rPr>
          <w:b/>
          <w:noProof/>
          <w:color w:val="00B050"/>
          <w:szCs w:val="24"/>
        </w:rPr>
      </w:pPr>
    </w:p>
    <w:p w14:paraId="5A9F03BC" w14:textId="77777777" w:rsidR="000839A4" w:rsidRPr="000839A4" w:rsidRDefault="000839A4" w:rsidP="000839A4">
      <w:pPr>
        <w:pBdr>
          <w:top w:val="single" w:sz="12" w:space="6" w:color="auto"/>
          <w:left w:val="single" w:sz="12" w:space="0" w:color="auto"/>
          <w:bottom w:val="single" w:sz="12" w:space="15" w:color="auto"/>
          <w:right w:val="single" w:sz="12" w:space="0" w:color="auto"/>
        </w:pBdr>
        <w:spacing w:before="0"/>
        <w:ind w:firstLine="0"/>
        <w:jc w:val="center"/>
        <w:rPr>
          <w:b/>
          <w:noProof/>
          <w:color w:val="ED7D31" w:themeColor="accent2"/>
          <w:szCs w:val="24"/>
        </w:rPr>
      </w:pPr>
      <w:r w:rsidRPr="000839A4">
        <w:rPr>
          <w:b/>
          <w:noProof/>
          <w:color w:val="ED7D31" w:themeColor="accent2"/>
          <w:szCs w:val="24"/>
        </w:rPr>
        <w:t>s vyznačením navrhovaných změn a doplnění k ú</w:t>
      </w:r>
      <w:r w:rsidRPr="000839A4">
        <w:rPr>
          <w:b/>
          <w:bCs/>
          <w:noProof/>
          <w:color w:val="92D050"/>
          <w:szCs w:val="24"/>
        </w:rPr>
        <mc:AlternateContent>
          <mc:Choice Requires="wps">
            <w:drawing>
              <wp:anchor distT="0" distB="0" distL="114300" distR="114300" simplePos="0" relativeHeight="251700224" behindDoc="1" locked="0" layoutInCell="1" allowOverlap="1" wp14:anchorId="71D48C82" wp14:editId="021F4873">
                <wp:simplePos x="0" y="0"/>
                <wp:positionH relativeFrom="margin">
                  <wp:posOffset>0</wp:posOffset>
                </wp:positionH>
                <wp:positionV relativeFrom="paragraph">
                  <wp:posOffset>-635</wp:posOffset>
                </wp:positionV>
                <wp:extent cx="5693133" cy="588397"/>
                <wp:effectExtent l="0" t="0" r="22225" b="21590"/>
                <wp:wrapNone/>
                <wp:docPr id="28" name="Obdélník 28"/>
                <wp:cNvGraphicFramePr/>
                <a:graphic xmlns:a="http://schemas.openxmlformats.org/drawingml/2006/main">
                  <a:graphicData uri="http://schemas.microsoft.com/office/word/2010/wordprocessingShape">
                    <wps:wsp>
                      <wps:cNvSpPr/>
                      <wps:spPr>
                        <a:xfrm>
                          <a:off x="0" y="0"/>
                          <a:ext cx="5693133" cy="588397"/>
                        </a:xfrm>
                        <a:prstGeom prst="rect">
                          <a:avLst/>
                        </a:prstGeom>
                        <a:solidFill>
                          <a:sysClr val="window" lastClr="FFFFFF"/>
                        </a:solidFill>
                        <a:ln w="12700" cap="flat" cmpd="sng" algn="ctr">
                          <a:solidFill>
                            <a:srgbClr val="ED7D3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1316041B" id="Obdélník 28" o:spid="_x0000_s1026" style="position:absolute;margin-left:0;margin-top:-.05pt;width:448.3pt;height:46.35pt;z-index:-251616256;visibility:visible;mso-wrap-style:square;mso-wrap-distance-left:9pt;mso-wrap-distance-top:0;mso-wrap-distance-right:9pt;mso-wrap-distance-bottom:0;mso-position-horizontal:absolute;mso-position-horizontal-relative:margin;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" fillcolor="window" strokecolor="#ed7d31" strokeweight="1pt">
                <w10:wrap anchorx="margin"/>
              </v:rect>
            </w:pict>
          </mc:Fallback>
        </mc:AlternateContent>
      </w:r>
      <w:r w:rsidRPr="000839A4">
        <w:rPr>
          <w:b/>
          <w:noProof/>
          <w:color w:val="ED7D31" w:themeColor="accent2"/>
          <w:szCs w:val="24"/>
        </w:rPr>
        <w:t>činnosti návrhu zákona o veřejných kulturních institucích a o změně souvisejících zákonů (zákon o veřejných kulturních institucích) (ST 654)</w:t>
      </w:r>
    </w:p>
    <w:p w14:paraId="215F33D7" w14:textId="77777777" w:rsidR="000839A4" w:rsidRPr="000839A4" w:rsidRDefault="000839A4" w:rsidP="000839A4">
      <w:pPr>
        <w:pBdr>
          <w:top w:val="single" w:sz="12" w:space="6" w:color="auto"/>
          <w:left w:val="single" w:sz="12" w:space="0" w:color="auto"/>
          <w:bottom w:val="single" w:sz="12" w:space="15" w:color="auto"/>
          <w:right w:val="single" w:sz="12" w:space="0" w:color="auto"/>
        </w:pBdr>
        <w:spacing w:before="0"/>
        <w:ind w:firstLine="0"/>
        <w:jc w:val="center"/>
        <w:rPr>
          <w:b/>
          <w:noProof/>
          <w:color w:val="ED7D31" w:themeColor="accent2"/>
          <w:szCs w:val="24"/>
        </w:rPr>
      </w:pPr>
      <w:r w:rsidRPr="000839A4">
        <w:rPr>
          <w:b/>
          <w:bCs/>
          <w:noProof/>
          <w:color w:val="7030A0"/>
          <w:szCs w:val="24"/>
        </w:rPr>
        <mc:AlternateContent>
          <mc:Choice Requires="wps">
            <w:drawing>
              <wp:anchor distT="0" distB="0" distL="114300" distR="114300" simplePos="0" relativeHeight="251701248" behindDoc="1" locked="0" layoutInCell="1" allowOverlap="1" wp14:anchorId="052B0294" wp14:editId="5E0E8DFB">
                <wp:simplePos x="0" y="0"/>
                <wp:positionH relativeFrom="margin">
                  <wp:align>left</wp:align>
                </wp:positionH>
                <wp:positionV relativeFrom="paragraph">
                  <wp:posOffset>174553</wp:posOffset>
                </wp:positionV>
                <wp:extent cx="5692775" cy="750498"/>
                <wp:effectExtent l="0" t="0" r="22225" b="12065"/>
                <wp:wrapNone/>
                <wp:docPr id="29" name="Obdélník 29"/>
                <wp:cNvGraphicFramePr/>
                <a:graphic xmlns:a="http://schemas.openxmlformats.org/drawingml/2006/main">
                  <a:graphicData uri="http://schemas.microsoft.com/office/word/2010/wordprocessingShape">
                    <wps:wsp>
                      <wps:cNvSpPr/>
                      <wps:spPr>
                        <a:xfrm>
                          <a:off x="0" y="0"/>
                          <a:ext cx="5692775" cy="750498"/>
                        </a:xfrm>
                        <a:prstGeom prst="rect">
                          <a:avLst/>
                        </a:prstGeom>
                        <a:solidFill>
                          <a:sysClr val="window" lastClr="FFFFFF"/>
                        </a:solidFill>
                        <a:ln w="12700" cap="flat" cmpd="sng" algn="ctr">
                          <a:solidFill>
                            <a:srgbClr val="7030A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264175F" id="Obdélník 29" o:spid="_x0000_s1026" style="position:absolute;margin-left:0;margin-top:13.75pt;width:448.25pt;height:59.1pt;z-index:-251615232;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" fillcolor="window" strokecolor="#7030a0" strokeweight="1pt">
                <w10:wrap anchorx="margin"/>
              </v:rect>
            </w:pict>
          </mc:Fallback>
        </mc:AlternateContent>
      </w:r>
    </w:p>
    <w:p w14:paraId="5C549233" w14:textId="77777777" w:rsidR="000839A4" w:rsidRPr="000839A4" w:rsidRDefault="000839A4" w:rsidP="000839A4">
      <w:pPr>
        <w:pBdr>
          <w:top w:val="single" w:sz="12" w:space="6" w:color="auto"/>
          <w:left w:val="single" w:sz="12" w:space="0" w:color="auto"/>
          <w:bottom w:val="single" w:sz="12" w:space="15" w:color="auto"/>
          <w:right w:val="single" w:sz="12" w:space="0" w:color="auto"/>
        </w:pBdr>
        <w:spacing w:before="0"/>
        <w:ind w:firstLine="0"/>
        <w:jc w:val="center"/>
        <w:rPr>
          <w:b/>
          <w:noProof/>
          <w:color w:val="7030A0"/>
          <w:szCs w:val="24"/>
        </w:rPr>
      </w:pPr>
      <w:r w:rsidRPr="000839A4">
        <w:rPr>
          <w:b/>
          <w:noProof/>
          <w:color w:val="7030A0"/>
          <w:szCs w:val="24"/>
        </w:rPr>
        <w:t>s vyznačením navrhovaných změn a doplnění k účinnosti návrhu zákona,</w:t>
      </w:r>
      <w:r w:rsidRPr="000839A4">
        <w:rPr>
          <w:b/>
          <w:noProof/>
          <w:color w:val="7030A0"/>
          <w:szCs w:val="24"/>
        </w:rPr>
        <w:br/>
        <w:t xml:space="preserve"> </w:t>
      </w:r>
      <w:bookmarkStart w:id="7" w:name="_Hlk139514633"/>
      <w:r w:rsidRPr="000839A4">
        <w:rPr>
          <w:rFonts w:eastAsia="MS Mincho"/>
          <w:b/>
          <w:bCs/>
          <w:noProof/>
          <w:color w:val="7030A0"/>
          <w:szCs w:val="24"/>
        </w:rPr>
        <w:t xml:space="preserve">kterým se mění zákon č. 111/1998 Sb., o vysokých školách a o změně a doplnění </w:t>
      </w:r>
      <w:r w:rsidRPr="000839A4">
        <w:rPr>
          <w:rFonts w:eastAsia="MS Mincho"/>
          <w:b/>
          <w:bCs/>
          <w:noProof/>
          <w:color w:val="7030A0"/>
          <w:szCs w:val="24"/>
        </w:rPr>
        <w:br/>
        <w:t>dalších zákonů (zákon o vysokých školách), ve znění pozdějších předpisů, a další související zákony</w:t>
      </w:r>
      <w:bookmarkEnd w:id="7"/>
      <w:r w:rsidRPr="000839A4">
        <w:rPr>
          <w:rFonts w:eastAsia="MS Mincho"/>
          <w:b/>
          <w:bCs/>
          <w:noProof/>
          <w:color w:val="7030A0"/>
          <w:szCs w:val="24"/>
        </w:rPr>
        <w:t xml:space="preserve"> (ST 660)</w:t>
      </w:r>
    </w:p>
    <w:bookmarkEnd w:id="6"/>
    <w:p w14:paraId="3379993A" w14:textId="77777777" w:rsidR="000839A4" w:rsidRPr="000839A4" w:rsidRDefault="000839A4" w:rsidP="000839A4">
      <w:pPr>
        <w:keepNext/>
        <w:spacing w:before="0" w:after="240"/>
        <w:ind w:firstLine="0"/>
        <w:jc w:val="left"/>
        <w:rPr>
          <w:caps/>
          <w:szCs w:val="24"/>
        </w:rPr>
      </w:pPr>
    </w:p>
    <w:p w14:paraId="74CBE9EC" w14:textId="77777777" w:rsidR="000839A4" w:rsidRPr="000839A4" w:rsidRDefault="000839A4" w:rsidP="000839A4">
      <w:pPr>
        <w:keepNext/>
        <w:ind w:firstLine="0"/>
        <w:jc w:val="center"/>
        <w:rPr>
          <w:szCs w:val="24"/>
        </w:rPr>
      </w:pPr>
      <w:r w:rsidRPr="000839A4">
        <w:rPr>
          <w:szCs w:val="24"/>
        </w:rPr>
        <w:t>§ 1</w:t>
      </w:r>
      <w:r w:rsidRPr="000839A4">
        <w:rPr>
          <w:szCs w:val="24"/>
        </w:rPr>
        <w:br/>
      </w:r>
    </w:p>
    <w:p w14:paraId="4DD9E5F0" w14:textId="77777777" w:rsidR="000839A4" w:rsidRPr="000839A4" w:rsidRDefault="000839A4" w:rsidP="000839A4">
      <w:pPr>
        <w:spacing w:before="120" w:after="120"/>
        <w:ind w:firstLine="482"/>
        <w:rPr>
          <w:szCs w:val="24"/>
        </w:rPr>
      </w:pPr>
      <w:r w:rsidRPr="000839A4">
        <w:rPr>
          <w:szCs w:val="24"/>
        </w:rPr>
        <w:t>Tento zákon zapracovává příslušné předpisy Evropské unie</w:t>
      </w:r>
      <w:r w:rsidRPr="000839A4">
        <w:rPr>
          <w:szCs w:val="24"/>
          <w:vertAlign w:val="superscript"/>
        </w:rPr>
        <w:footnoteReference w:customMarkFollows="1" w:id="119"/>
        <w:t>137)</w:t>
      </w:r>
      <w:r w:rsidRPr="000839A4">
        <w:rPr>
          <w:szCs w:val="24"/>
        </w:rPr>
        <w:t xml:space="preserve"> a upravuje</w:t>
      </w:r>
    </w:p>
    <w:p w14:paraId="3B5714E9"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daň z příjmů fyzických osob,</w:t>
      </w:r>
    </w:p>
    <w:p w14:paraId="16C9F7A1"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daň z příjmů právnických osob.</w:t>
      </w:r>
    </w:p>
    <w:p w14:paraId="5D2D8BD1" w14:textId="77777777" w:rsidR="000839A4" w:rsidRPr="000839A4" w:rsidRDefault="000839A4" w:rsidP="000839A4">
      <w:pPr>
        <w:keepNext/>
        <w:spacing w:before="360"/>
        <w:ind w:firstLine="0"/>
        <w:jc w:val="center"/>
        <w:outlineLvl w:val="0"/>
        <w:rPr>
          <w:caps/>
          <w:szCs w:val="24"/>
        </w:rPr>
      </w:pPr>
      <w:r w:rsidRPr="000839A4">
        <w:rPr>
          <w:caps/>
          <w:szCs w:val="24"/>
        </w:rPr>
        <w:lastRenderedPageBreak/>
        <w:t>ČÁST PRVNÍ</w:t>
      </w:r>
    </w:p>
    <w:p w14:paraId="3759B0D6" w14:textId="77777777" w:rsidR="000839A4" w:rsidRPr="000839A4" w:rsidRDefault="000839A4" w:rsidP="000839A4">
      <w:pPr>
        <w:keepNext/>
        <w:spacing w:before="360"/>
        <w:ind w:firstLine="0"/>
        <w:jc w:val="center"/>
        <w:outlineLvl w:val="0"/>
        <w:rPr>
          <w:b/>
          <w:caps/>
          <w:szCs w:val="24"/>
        </w:rPr>
      </w:pPr>
      <w:r w:rsidRPr="000839A4">
        <w:rPr>
          <w:b/>
          <w:caps/>
          <w:szCs w:val="24"/>
        </w:rPr>
        <w:t>Daň z příjmů fyzických osob</w:t>
      </w:r>
    </w:p>
    <w:p w14:paraId="06E1C867" w14:textId="77777777" w:rsidR="000839A4" w:rsidRPr="000839A4" w:rsidRDefault="000839A4" w:rsidP="000839A4">
      <w:pPr>
        <w:keepNext/>
        <w:keepLines/>
        <w:numPr>
          <w:ilvl w:val="0"/>
          <w:numId w:val="67"/>
        </w:numPr>
        <w:spacing w:before="0"/>
        <w:jc w:val="center"/>
        <w:outlineLvl w:val="5"/>
      </w:pPr>
      <w:r w:rsidRPr="000839A4">
        <w:t>§ 2</w:t>
      </w:r>
    </w:p>
    <w:p w14:paraId="1ED1D5E9" w14:textId="77777777" w:rsidR="000839A4" w:rsidRPr="000839A4" w:rsidRDefault="000839A4" w:rsidP="000839A4">
      <w:pPr>
        <w:keepNext/>
        <w:keepLines/>
        <w:numPr>
          <w:ilvl w:val="0"/>
          <w:numId w:val="67"/>
        </w:numPr>
        <w:spacing w:before="0"/>
        <w:jc w:val="center"/>
        <w:outlineLvl w:val="5"/>
      </w:pPr>
      <w:r w:rsidRPr="000839A4">
        <w:rPr>
          <w:b/>
        </w:rPr>
        <w:t>Poplatníci daně z příjmů fyzických osob</w:t>
      </w:r>
    </w:p>
    <w:p w14:paraId="730811D9" w14:textId="77777777" w:rsidR="000839A4" w:rsidRPr="000839A4" w:rsidRDefault="000839A4" w:rsidP="000839A4">
      <w:pPr>
        <w:spacing w:before="120" w:after="120"/>
        <w:rPr>
          <w:szCs w:val="24"/>
        </w:rPr>
      </w:pPr>
      <w:r w:rsidRPr="000839A4">
        <w:rPr>
          <w:szCs w:val="24"/>
        </w:rPr>
        <w:t>(1) Poplatníky daně z příjmů fyzických osob jsou fyzické osoby. Poplatníci jsou daňovými rezidenty České republiky, nebo daňovými nerezidenty.</w:t>
      </w:r>
    </w:p>
    <w:p w14:paraId="17A1B99B" w14:textId="77777777" w:rsidR="000839A4" w:rsidRPr="000839A4" w:rsidRDefault="000839A4" w:rsidP="000839A4">
      <w:pPr>
        <w:spacing w:before="120" w:after="120"/>
        <w:rPr>
          <w:szCs w:val="24"/>
        </w:rPr>
      </w:pPr>
      <w:r w:rsidRPr="000839A4">
        <w:rPr>
          <w:szCs w:val="24"/>
        </w:rPr>
        <w:t>(2) Poplatníci jsou daňovými rezidenty České republiky, pokud mají na území České republiky bydliště nebo se zde obvykle zdržují. Daňoví rezidenti České republiky mají daňovou povinnost, která se vztahuje jak na příjmy plynoucí ze zdrojů na území České republiky, tak i na příjmy plynoucí ze zdrojů v zahraničí.</w:t>
      </w:r>
    </w:p>
    <w:p w14:paraId="325A27E1" w14:textId="77777777" w:rsidR="000839A4" w:rsidRPr="000839A4" w:rsidRDefault="000839A4" w:rsidP="000839A4">
      <w:pPr>
        <w:spacing w:before="120" w:after="120"/>
        <w:rPr>
          <w:szCs w:val="24"/>
        </w:rPr>
      </w:pPr>
      <w:r w:rsidRPr="000839A4">
        <w:rPr>
          <w:szCs w:val="24"/>
        </w:rPr>
        <w:t>(3) Poplatníci jsou daňovými nerezidenty, pokud nejsou uvedeni v odstavci 2 nebo to o nich stanoví mezinárodní smlouvy. Daňoví nerezidenti mají daňovou povinnost, která se vztahuje jen na příjmy plynoucí ze zdrojů na území České republiky (§ 22). Poplatníci, kteří se na území České republiky zdržují pouze za účelem studia nebo léčení, jsou daňovými nerezidenty a mají daňovou povinnost, která se vztahuje pouze na příjmy plynoucí ze zdrojů na území České republiky, i v případě, že se na území České republiky obvykle zdržují.</w:t>
      </w:r>
    </w:p>
    <w:p w14:paraId="47B8C1E6" w14:textId="77777777" w:rsidR="000839A4" w:rsidRPr="000839A4" w:rsidRDefault="000839A4" w:rsidP="000839A4">
      <w:pPr>
        <w:spacing w:before="120" w:after="120"/>
        <w:rPr>
          <w:szCs w:val="24"/>
        </w:rPr>
      </w:pPr>
      <w:r w:rsidRPr="000839A4">
        <w:rPr>
          <w:szCs w:val="24"/>
        </w:rPr>
        <w:t>(4) Poplatníky obvykle se zdržujícími na území České republiky jsou ti, kteří zde pobývají alespoň 183 dnů v příslušném kalendářním roce, a to souvisle nebo v několika obdobích; do doby 183 dnů se započítává každý započatý den pobytu. Bydlištěm na území České republiky se pro účely tohoto zákona rozumí místo, kde má poplatník stálý byt za okolností, z nichž lze usuzovat na jeho úmysl trvale se v tomto bytě zdržovat.</w:t>
      </w:r>
    </w:p>
    <w:p w14:paraId="15F36242" w14:textId="77777777" w:rsidR="000839A4" w:rsidRPr="000839A4" w:rsidRDefault="000839A4" w:rsidP="000839A4">
      <w:pPr>
        <w:keepNext/>
        <w:keepLines/>
        <w:numPr>
          <w:ilvl w:val="0"/>
          <w:numId w:val="1"/>
        </w:numPr>
        <w:spacing w:before="120"/>
        <w:jc w:val="center"/>
        <w:outlineLvl w:val="5"/>
        <w:rPr>
          <w:b/>
        </w:rPr>
      </w:pPr>
      <w:r w:rsidRPr="000839A4">
        <w:t>§ 2a</w:t>
      </w:r>
    </w:p>
    <w:p w14:paraId="350D3F51" w14:textId="77777777" w:rsidR="000839A4" w:rsidRPr="000839A4" w:rsidRDefault="000839A4" w:rsidP="000839A4">
      <w:pPr>
        <w:keepNext/>
        <w:keepLines/>
        <w:numPr>
          <w:ilvl w:val="0"/>
          <w:numId w:val="1"/>
        </w:numPr>
        <w:spacing w:before="120"/>
        <w:jc w:val="center"/>
        <w:outlineLvl w:val="5"/>
        <w:rPr>
          <w:b/>
        </w:rPr>
      </w:pPr>
      <w:r w:rsidRPr="000839A4">
        <w:rPr>
          <w:b/>
        </w:rPr>
        <w:t>Poplatník v paušálním režimu</w:t>
      </w:r>
    </w:p>
    <w:p w14:paraId="5842C8E3" w14:textId="77777777" w:rsidR="000839A4" w:rsidRPr="000839A4" w:rsidRDefault="000839A4" w:rsidP="000839A4">
      <w:pPr>
        <w:tabs>
          <w:tab w:val="left" w:pos="851"/>
        </w:tabs>
        <w:spacing w:before="120" w:after="120"/>
        <w:outlineLvl w:val="6"/>
      </w:pPr>
      <w:proofErr w:type="gramStart"/>
      <w:r w:rsidRPr="000839A4">
        <w:rPr>
          <w:b/>
        </w:rPr>
        <w:t>(</w:t>
      </w:r>
      <w:r w:rsidRPr="000839A4">
        <w:t>1) Poplatníkem</w:t>
      </w:r>
      <w:proofErr w:type="gramEnd"/>
      <w:r w:rsidRPr="000839A4">
        <w:t xml:space="preserve"> v paušálním režimu je od prvního dne rozhodného zdaňovacího období poplatník daně z příjmů fyzických osob, </w:t>
      </w:r>
      <w:proofErr w:type="gramStart"/>
      <w:r w:rsidRPr="000839A4">
        <w:t>který</w:t>
      </w:r>
      <w:proofErr w:type="gramEnd"/>
    </w:p>
    <w:p w14:paraId="15218ABA" w14:textId="77777777" w:rsidR="000839A4" w:rsidRPr="000839A4" w:rsidRDefault="000839A4" w:rsidP="000839A4">
      <w:pPr>
        <w:spacing w:before="0"/>
        <w:ind w:left="425" w:hanging="425"/>
        <w:outlineLvl w:val="7"/>
      </w:pPr>
      <w:r w:rsidRPr="000839A4">
        <w:t>a)</w:t>
      </w:r>
      <w:r w:rsidRPr="000839A4">
        <w:tab/>
        <w:t>k prvnímu dni rozhodného zdaňovacího období</w:t>
      </w:r>
    </w:p>
    <w:p w14:paraId="42D3C861" w14:textId="77777777" w:rsidR="000839A4" w:rsidRPr="000839A4" w:rsidRDefault="000839A4" w:rsidP="000839A4">
      <w:pPr>
        <w:spacing w:before="0"/>
        <w:ind w:left="851" w:hanging="426"/>
        <w:outlineLvl w:val="8"/>
      </w:pPr>
      <w:r w:rsidRPr="000839A4">
        <w:t>1.</w:t>
      </w:r>
      <w:r w:rsidRPr="000839A4">
        <w:tab/>
        <w:t>je osobou samostatně výdělečně činnou podle zákona upravujícího důchodové pojištění, na kterou se vztahují právní předpisy upravující důchodové pojištění,</w:t>
      </w:r>
    </w:p>
    <w:p w14:paraId="51BAFDAA" w14:textId="77777777" w:rsidR="000839A4" w:rsidRPr="000839A4" w:rsidRDefault="000839A4" w:rsidP="000839A4">
      <w:pPr>
        <w:spacing w:before="0"/>
        <w:ind w:left="851" w:hanging="426"/>
        <w:outlineLvl w:val="8"/>
      </w:pPr>
      <w:r w:rsidRPr="000839A4">
        <w:t xml:space="preserve">2. </w:t>
      </w:r>
      <w:r w:rsidRPr="000839A4">
        <w:tab/>
        <w:t>je osobou samostatně výdělečně činnou podle zákona upravujícího veřejné zdravotní pojištění, na kterou se vztahují právní předpisy upravující veřejné zdravotní pojištění a která není vyňata z povinnosti platit pojistné na veřejné zdravotní pojištění z důvodu dlouhodobého pobytu v cizině,</w:t>
      </w:r>
    </w:p>
    <w:p w14:paraId="0DA24717" w14:textId="77777777" w:rsidR="000839A4" w:rsidRPr="000839A4" w:rsidRDefault="000839A4" w:rsidP="000839A4">
      <w:pPr>
        <w:spacing w:before="0"/>
        <w:ind w:left="851" w:hanging="426"/>
        <w:outlineLvl w:val="8"/>
      </w:pPr>
      <w:r w:rsidRPr="000839A4">
        <w:t xml:space="preserve">3. </w:t>
      </w:r>
      <w:r w:rsidRPr="000839A4">
        <w:tab/>
        <w:t xml:space="preserve">není plátcem daně z přidané hodnoty a nemá registrační povinnost k dani z přidané hodnoty, s výjimkou registrační povinnosti identifikované osoby, </w:t>
      </w:r>
    </w:p>
    <w:p w14:paraId="258DF926" w14:textId="77777777" w:rsidR="000839A4" w:rsidRPr="000839A4" w:rsidRDefault="000839A4" w:rsidP="000839A4">
      <w:pPr>
        <w:spacing w:before="0"/>
        <w:ind w:left="851" w:hanging="426"/>
        <w:outlineLvl w:val="8"/>
      </w:pPr>
      <w:r w:rsidRPr="000839A4">
        <w:t xml:space="preserve">4. </w:t>
      </w:r>
      <w:r w:rsidRPr="000839A4">
        <w:tab/>
        <w:t>není společníkem veřejné obchodní společnosti ani komplementářem komanditní společnosti a</w:t>
      </w:r>
    </w:p>
    <w:p w14:paraId="529BFEB2" w14:textId="77777777" w:rsidR="000839A4" w:rsidRPr="000839A4" w:rsidRDefault="000839A4" w:rsidP="000839A4">
      <w:pPr>
        <w:spacing w:before="0"/>
        <w:ind w:left="851" w:hanging="426"/>
        <w:outlineLvl w:val="8"/>
      </w:pPr>
      <w:r w:rsidRPr="000839A4">
        <w:t xml:space="preserve">5. </w:t>
      </w:r>
      <w:r w:rsidRPr="000839A4">
        <w:tab/>
        <w:t xml:space="preserve">není dlužníkem, vůči němuž bylo zahájeno insolvenční řízení, </w:t>
      </w:r>
    </w:p>
    <w:p w14:paraId="4586CEFA" w14:textId="77777777" w:rsidR="000839A4" w:rsidRPr="000839A4" w:rsidRDefault="000839A4" w:rsidP="000839A4">
      <w:pPr>
        <w:spacing w:before="0"/>
        <w:ind w:left="425" w:hanging="425"/>
        <w:outlineLvl w:val="7"/>
      </w:pPr>
      <w:r w:rsidRPr="000839A4">
        <w:t>b)</w:t>
      </w:r>
      <w:r w:rsidRPr="000839A4">
        <w:tab/>
        <w:t xml:space="preserve">ve zdaňovacím období bezprostředně předcházejícím rozhodnému zdaňovacímu období nepřesáhl rozhodné příjmy pro zvolené pásmo paušálního režimu, </w:t>
      </w:r>
    </w:p>
    <w:p w14:paraId="5FBF1E44" w14:textId="77777777" w:rsidR="000839A4" w:rsidRPr="000839A4" w:rsidRDefault="000839A4" w:rsidP="000839A4">
      <w:pPr>
        <w:spacing w:before="0"/>
        <w:ind w:left="425" w:hanging="425"/>
        <w:outlineLvl w:val="7"/>
      </w:pPr>
      <w:r w:rsidRPr="000839A4">
        <w:t>c)</w:t>
      </w:r>
      <w:r w:rsidRPr="000839A4">
        <w:tab/>
        <w:t>k prvnímu dni rozhodného zdaňovacího období nevykonává činnost, ze které plynou příjmy ze závislé činnosti, s výjimkou příjmů, z nichž je daň vybírána srážkou podle zvláštní sazby daně, a</w:t>
      </w:r>
    </w:p>
    <w:p w14:paraId="41F9018D" w14:textId="77777777" w:rsidR="000839A4" w:rsidRPr="000839A4" w:rsidRDefault="000839A4" w:rsidP="000839A4">
      <w:pPr>
        <w:spacing w:before="0"/>
        <w:ind w:left="425" w:hanging="425"/>
        <w:outlineLvl w:val="7"/>
      </w:pPr>
      <w:r w:rsidRPr="000839A4">
        <w:t>d)</w:t>
      </w:r>
      <w:r w:rsidRPr="000839A4">
        <w:tab/>
        <w:t>podá správci daně oznámení o vstupu do paušálního režimu,</w:t>
      </w:r>
      <w:r w:rsidRPr="000839A4">
        <w:rPr>
          <w:b/>
        </w:rPr>
        <w:t xml:space="preserve"> </w:t>
      </w:r>
      <w:r w:rsidRPr="000839A4">
        <w:t xml:space="preserve">ve kterém si zvolí pásmo paušálního režimu, a nejpozději v poslední den lhůty pro podání oznámení o vstupu do </w:t>
      </w:r>
      <w:r w:rsidRPr="000839A4">
        <w:lastRenderedPageBreak/>
        <w:t>paušálního režimu učinil oznámení o zahájení samostatné výdělečné činnosti podle zákona upravujícího organizaci a provádění sociálního zabezpečení a oznámení o zahájení samostatné výdělečné činnosti podle zákona upravujícího veřejné zdravotní pojištění; tato lhůta je zachována, je-li nejpozději v poslední den této lhůty učiněno podání obsahující údaje požadované v příslušném oznámení správci daně společně s oznámením o vstupu do paušálního režimu nebo živnostenskému úřadu společně s ohlášením živnosti nebo žádostí o koncesi.</w:t>
      </w:r>
    </w:p>
    <w:p w14:paraId="08BD58D1" w14:textId="77777777" w:rsidR="000839A4" w:rsidRPr="000839A4" w:rsidRDefault="000839A4" w:rsidP="000839A4">
      <w:pPr>
        <w:tabs>
          <w:tab w:val="num" w:pos="783"/>
          <w:tab w:val="left" w:pos="851"/>
        </w:tabs>
        <w:spacing w:before="120" w:after="120"/>
        <w:outlineLvl w:val="6"/>
      </w:pPr>
      <w:r w:rsidRPr="000839A4">
        <w:t>(2) Poplatník daně z příjmů fyzických osob, který zahajuje činnost, ze které plynou příjmy ze samostatné činnosti, je poplatníkem v paušálním režimu od prvního dne kalendářního měsíce, ve kterém tuto činnost zahajuje, pokud</w:t>
      </w:r>
    </w:p>
    <w:p w14:paraId="6304EE30" w14:textId="77777777" w:rsidR="000839A4" w:rsidRPr="000839A4" w:rsidRDefault="000839A4" w:rsidP="000839A4">
      <w:pPr>
        <w:spacing w:before="0"/>
        <w:ind w:left="425" w:hanging="425"/>
        <w:outlineLvl w:val="7"/>
      </w:pPr>
      <w:r w:rsidRPr="000839A4">
        <w:t>a)</w:t>
      </w:r>
      <w:r w:rsidRPr="000839A4">
        <w:tab/>
        <w:t>splňuje podmínky podle odstavce 1, přičemž podmínky podle odstavce 1 písm. a) a c) musí být splněny namísto k prvnímu dni rozhodného zdaňovacího období ke dni zahájení této činnosti,</w:t>
      </w:r>
    </w:p>
    <w:p w14:paraId="4F32A458" w14:textId="77777777" w:rsidR="000839A4" w:rsidRPr="000839A4" w:rsidRDefault="000839A4" w:rsidP="000839A4">
      <w:pPr>
        <w:spacing w:before="0"/>
        <w:ind w:left="425" w:hanging="425"/>
        <w:outlineLvl w:val="7"/>
      </w:pPr>
      <w:r w:rsidRPr="000839A4">
        <w:t>b)</w:t>
      </w:r>
      <w:r w:rsidRPr="000839A4">
        <w:tab/>
        <w:t xml:space="preserve">v části rozhodného zdaňovacího období přede dnem zahájení této činnosti nebyl plátcem daně z přidané hodnoty, společníkem veřejné obchodní společnosti ani komplementářem komanditní společnosti a nevykonával činnost, ze které plynou příjmy ze samostatné činnosti, </w:t>
      </w:r>
    </w:p>
    <w:p w14:paraId="64D795F0" w14:textId="77777777" w:rsidR="000839A4" w:rsidRPr="000839A4" w:rsidRDefault="000839A4" w:rsidP="000839A4">
      <w:pPr>
        <w:keepNext/>
        <w:spacing w:before="0"/>
        <w:ind w:left="425" w:hanging="425"/>
        <w:outlineLvl w:val="7"/>
      </w:pPr>
      <w:r w:rsidRPr="000839A4">
        <w:t xml:space="preserve">c) </w:t>
      </w:r>
      <w:r w:rsidRPr="000839A4">
        <w:tab/>
        <w:t>v části rozhodného zdaňovacího období přede dnem zahájení této činnosti měl pouze</w:t>
      </w:r>
    </w:p>
    <w:p w14:paraId="3DA00D73" w14:textId="77777777" w:rsidR="000839A4" w:rsidRPr="000839A4" w:rsidRDefault="000839A4" w:rsidP="000839A4">
      <w:pPr>
        <w:spacing w:before="0"/>
        <w:ind w:left="851" w:hanging="426"/>
        <w:outlineLvl w:val="8"/>
      </w:pPr>
      <w:r w:rsidRPr="000839A4">
        <w:t>1.</w:t>
      </w:r>
      <w:r w:rsidRPr="000839A4">
        <w:tab/>
        <w:t>příjmy od daně osvobozené,</w:t>
      </w:r>
    </w:p>
    <w:p w14:paraId="4030D8E2" w14:textId="77777777" w:rsidR="000839A4" w:rsidRPr="000839A4" w:rsidRDefault="000839A4" w:rsidP="000839A4">
      <w:pPr>
        <w:spacing w:before="0"/>
        <w:ind w:left="851" w:hanging="426"/>
        <w:outlineLvl w:val="8"/>
      </w:pPr>
      <w:r w:rsidRPr="000839A4">
        <w:t>2.</w:t>
      </w:r>
      <w:r w:rsidRPr="000839A4">
        <w:tab/>
        <w:t xml:space="preserve">příjmy, které nejsou předmětem daně, </w:t>
      </w:r>
    </w:p>
    <w:p w14:paraId="2CFD235B" w14:textId="77777777" w:rsidR="000839A4" w:rsidRPr="000839A4" w:rsidRDefault="000839A4" w:rsidP="000839A4">
      <w:pPr>
        <w:spacing w:before="0"/>
        <w:ind w:left="851" w:hanging="426"/>
        <w:outlineLvl w:val="8"/>
      </w:pPr>
      <w:r w:rsidRPr="000839A4">
        <w:t xml:space="preserve">3. </w:t>
      </w:r>
      <w:r w:rsidRPr="000839A4">
        <w:tab/>
        <w:t>příjmy, ze kterých je daň vybírána srážkou podle zvláštní sazby daně,</w:t>
      </w:r>
    </w:p>
    <w:p w14:paraId="064217F4" w14:textId="77777777" w:rsidR="000839A4" w:rsidRPr="000839A4" w:rsidRDefault="000839A4" w:rsidP="000839A4">
      <w:pPr>
        <w:spacing w:before="0"/>
        <w:ind w:left="851" w:hanging="426"/>
        <w:outlineLvl w:val="8"/>
      </w:pPr>
      <w:r w:rsidRPr="000839A4">
        <w:t xml:space="preserve">4. </w:t>
      </w:r>
      <w:r w:rsidRPr="000839A4">
        <w:tab/>
        <w:t>příjmy z kapitálového majetku, příjmy z nájmu a ostatní příjmy, pokud se nejedná o příjmy podle bodů 1 až 3 a pokud celková výše těchto příjmů nepřesáhne 50 000 Kč.</w:t>
      </w:r>
    </w:p>
    <w:p w14:paraId="309DA077" w14:textId="77777777" w:rsidR="000839A4" w:rsidRPr="000839A4" w:rsidRDefault="000839A4" w:rsidP="000839A4">
      <w:pPr>
        <w:tabs>
          <w:tab w:val="num" w:pos="783"/>
          <w:tab w:val="left" w:pos="851"/>
        </w:tabs>
        <w:spacing w:before="120" w:after="120"/>
        <w:outlineLvl w:val="6"/>
      </w:pPr>
      <w:r w:rsidRPr="000839A4">
        <w:t>(3) Poplatník daně z příjmů fyzických osob, který přestal být poplatníkem v paušálním režimu z důvodu, že přerušil činnost, ze které plynou příjmy ze samostatné činnosti, a ve stejném zdaňovacím období tuto činnost znovu zahajuje, je poplatníkem ve stejném pásmu paušálního režimu jako před přerušením této činnosti od prvního dne kalendářního měsíce, ve kterém tuto činnost znovu zahajuje.</w:t>
      </w:r>
    </w:p>
    <w:p w14:paraId="2A21D13E" w14:textId="77777777" w:rsidR="000839A4" w:rsidRPr="000839A4" w:rsidRDefault="000839A4" w:rsidP="000839A4">
      <w:pPr>
        <w:tabs>
          <w:tab w:val="num" w:pos="783"/>
          <w:tab w:val="left" w:pos="851"/>
        </w:tabs>
        <w:spacing w:before="120" w:after="120"/>
        <w:outlineLvl w:val="6"/>
      </w:pPr>
      <w:r w:rsidRPr="000839A4">
        <w:t>(4) Zvolené pásmo paušálního režimu se změní od prvního dne zdaňovacího období na</w:t>
      </w:r>
    </w:p>
    <w:p w14:paraId="6E651375" w14:textId="77777777" w:rsidR="000839A4" w:rsidRPr="000839A4" w:rsidRDefault="000839A4" w:rsidP="000839A4">
      <w:pPr>
        <w:keepNext/>
        <w:spacing w:before="0"/>
        <w:ind w:left="425" w:hanging="425"/>
        <w:outlineLvl w:val="7"/>
      </w:pPr>
      <w:r w:rsidRPr="000839A4">
        <w:t>a)</w:t>
      </w:r>
      <w:r w:rsidRPr="000839A4">
        <w:tab/>
        <w:t>nově zvolené pásmo paušálního režimu, pokud poplatník v paušálním režimu</w:t>
      </w:r>
    </w:p>
    <w:p w14:paraId="36A86AD6" w14:textId="77777777" w:rsidR="000839A4" w:rsidRPr="000839A4" w:rsidRDefault="000839A4" w:rsidP="000839A4">
      <w:pPr>
        <w:spacing w:before="0"/>
        <w:ind w:left="851" w:hanging="426"/>
        <w:outlineLvl w:val="8"/>
      </w:pPr>
      <w:r w:rsidRPr="000839A4">
        <w:t>1.</w:t>
      </w:r>
      <w:r w:rsidRPr="000839A4">
        <w:tab/>
        <w:t>ve zdaňovacím období bezprostředně předcházejícím tomuto zdaňovacímu období nepřesáhl rozhodné příjmy pro nově zvolené pásmo paušálního režimu a</w:t>
      </w:r>
    </w:p>
    <w:p w14:paraId="76176CFB" w14:textId="77777777" w:rsidR="000839A4" w:rsidRPr="000839A4" w:rsidRDefault="000839A4" w:rsidP="000839A4">
      <w:pPr>
        <w:spacing w:before="0"/>
        <w:ind w:left="851" w:hanging="426"/>
        <w:outlineLvl w:val="8"/>
      </w:pPr>
      <w:r w:rsidRPr="000839A4">
        <w:t>2.</w:t>
      </w:r>
      <w:r w:rsidRPr="000839A4">
        <w:tab/>
        <w:t>podá správci daně oznámení o změně zvoleného pásma paušálního režimu, nebo</w:t>
      </w:r>
    </w:p>
    <w:p w14:paraId="7BBCBFD5" w14:textId="77777777" w:rsidR="000839A4" w:rsidRPr="000839A4" w:rsidRDefault="000839A4" w:rsidP="000839A4">
      <w:pPr>
        <w:keepNext/>
        <w:spacing w:before="0"/>
        <w:ind w:left="425" w:hanging="425"/>
        <w:outlineLvl w:val="7"/>
      </w:pPr>
      <w:r w:rsidRPr="000839A4">
        <w:t>b)</w:t>
      </w:r>
      <w:r w:rsidRPr="000839A4">
        <w:tab/>
        <w:t>pásmo paušálního režimu určující výši paušální daně za zdaňovací období bezprostředně předcházející tomuto zdaňovacímu období, pokud poplatník v paušálním režimu</w:t>
      </w:r>
    </w:p>
    <w:p w14:paraId="131848E4" w14:textId="77777777" w:rsidR="000839A4" w:rsidRPr="000839A4" w:rsidRDefault="000839A4" w:rsidP="000839A4">
      <w:pPr>
        <w:spacing w:before="0"/>
        <w:ind w:left="851" w:hanging="426"/>
        <w:outlineLvl w:val="8"/>
      </w:pPr>
      <w:r w:rsidRPr="000839A4">
        <w:t>1.</w:t>
      </w:r>
      <w:r w:rsidRPr="000839A4">
        <w:tab/>
        <w:t>ve zdaňovacím období bezprostředně předcházejícím tomuto zdaňovacímu období nepřesáhl rozhodné příjmy pro toto pásmo,</w:t>
      </w:r>
    </w:p>
    <w:p w14:paraId="25B105B5" w14:textId="77777777" w:rsidR="000839A4" w:rsidRPr="000839A4" w:rsidRDefault="000839A4" w:rsidP="000839A4">
      <w:pPr>
        <w:spacing w:before="0"/>
        <w:ind w:left="851" w:hanging="426"/>
        <w:outlineLvl w:val="8"/>
      </w:pPr>
      <w:r w:rsidRPr="000839A4">
        <w:t>2.</w:t>
      </w:r>
      <w:r w:rsidRPr="000839A4">
        <w:tab/>
        <w:t>podá správci daně oznámení o jiné výši paušální daně na její vyšší výši z důvodu, že přesáhl rozhodné příjmy pro zvolené pásmo ve zdaňovacím období bezprostředně předcházejícím tomuto zdaňovacímu období, a</w:t>
      </w:r>
    </w:p>
    <w:p w14:paraId="1334B10C" w14:textId="77777777" w:rsidR="000839A4" w:rsidRPr="000839A4" w:rsidRDefault="000839A4" w:rsidP="000839A4">
      <w:pPr>
        <w:spacing w:before="0"/>
        <w:ind w:left="851" w:hanging="426"/>
        <w:outlineLvl w:val="8"/>
      </w:pPr>
      <w:r w:rsidRPr="000839A4">
        <w:t>3.</w:t>
      </w:r>
      <w:r w:rsidRPr="000839A4">
        <w:tab/>
        <w:t>pásmo paušálního režimu se nezměnilo podle písmene a).</w:t>
      </w:r>
    </w:p>
    <w:p w14:paraId="6778C6FD" w14:textId="77777777" w:rsidR="000839A4" w:rsidRPr="000839A4" w:rsidRDefault="000839A4" w:rsidP="000839A4">
      <w:pPr>
        <w:tabs>
          <w:tab w:val="left" w:pos="851"/>
        </w:tabs>
        <w:spacing w:before="120" w:after="120"/>
        <w:ind w:left="425" w:firstLine="0"/>
        <w:outlineLvl w:val="6"/>
      </w:pPr>
      <w:r w:rsidRPr="000839A4">
        <w:t>(5) Rozhodnými příjmy pro</w:t>
      </w:r>
    </w:p>
    <w:p w14:paraId="1F76C981" w14:textId="77777777" w:rsidR="000839A4" w:rsidRPr="000839A4" w:rsidRDefault="000839A4" w:rsidP="000839A4">
      <w:pPr>
        <w:tabs>
          <w:tab w:val="left" w:pos="426"/>
        </w:tabs>
        <w:spacing w:before="0"/>
        <w:ind w:firstLine="0"/>
        <w:outlineLvl w:val="7"/>
      </w:pPr>
      <w:r w:rsidRPr="000839A4">
        <w:t>a)</w:t>
      </w:r>
      <w:r w:rsidRPr="000839A4">
        <w:tab/>
        <w:t>první pásmo paušálního režimu jsou příjmy ze samostatné činnosti do výše</w:t>
      </w:r>
    </w:p>
    <w:p w14:paraId="2B1D1B6D" w14:textId="77777777" w:rsidR="000839A4" w:rsidRPr="000839A4" w:rsidRDefault="000839A4" w:rsidP="00FE4A0D">
      <w:pPr>
        <w:numPr>
          <w:ilvl w:val="4"/>
          <w:numId w:val="80"/>
        </w:numPr>
        <w:spacing w:before="0"/>
        <w:jc w:val="left"/>
        <w:outlineLvl w:val="8"/>
      </w:pPr>
      <w:r w:rsidRPr="000839A4">
        <w:t>1 000 000 Kč, a to bez ohledu na to, z jaké samostatné činnosti plynou,</w:t>
      </w:r>
    </w:p>
    <w:p w14:paraId="16B1FBF8" w14:textId="77777777" w:rsidR="000839A4" w:rsidRPr="000839A4" w:rsidRDefault="000839A4" w:rsidP="00FE4A0D">
      <w:pPr>
        <w:numPr>
          <w:ilvl w:val="4"/>
          <w:numId w:val="80"/>
        </w:numPr>
        <w:spacing w:before="0"/>
        <w:jc w:val="left"/>
        <w:outlineLvl w:val="8"/>
      </w:pPr>
      <w:r w:rsidRPr="000839A4">
        <w:t>1 500 000 Kč, pokud alespoň 75 % příjmů ze samostatné činnosti poplatníka tvoří příjmy, k nimž lze uplatnit výdaje ve výši 80 % z příjmů nebo 60 % z příjmů, a</w:t>
      </w:r>
    </w:p>
    <w:p w14:paraId="451C04A1" w14:textId="77777777" w:rsidR="000839A4" w:rsidRPr="000839A4" w:rsidRDefault="000839A4" w:rsidP="00FE4A0D">
      <w:pPr>
        <w:numPr>
          <w:ilvl w:val="4"/>
          <w:numId w:val="80"/>
        </w:numPr>
        <w:spacing w:before="0"/>
        <w:jc w:val="left"/>
        <w:outlineLvl w:val="8"/>
      </w:pPr>
      <w:r w:rsidRPr="000839A4">
        <w:lastRenderedPageBreak/>
        <w:t>2 000 000 Kč, pokud alespoň 75 % příjmů ze samostatné činnosti poplatníka tvoří příjmy, k nimž lze uplatnit výdaje ve výši 80 % z příjmů,</w:t>
      </w:r>
    </w:p>
    <w:p w14:paraId="5EEA5C6B" w14:textId="77777777" w:rsidR="000839A4" w:rsidRPr="000839A4" w:rsidRDefault="000839A4" w:rsidP="000839A4">
      <w:pPr>
        <w:tabs>
          <w:tab w:val="left" w:pos="426"/>
        </w:tabs>
        <w:spacing w:before="0"/>
        <w:ind w:firstLine="0"/>
        <w:outlineLvl w:val="7"/>
      </w:pPr>
      <w:r w:rsidRPr="000839A4">
        <w:t>b)</w:t>
      </w:r>
      <w:r w:rsidRPr="000839A4">
        <w:tab/>
        <w:t>druhé pásmo paušálního režimu jsou příjmy ze samostatné činnosti do výše</w:t>
      </w:r>
    </w:p>
    <w:p w14:paraId="5FE85D18" w14:textId="77777777" w:rsidR="000839A4" w:rsidRPr="000839A4" w:rsidRDefault="000839A4" w:rsidP="00FE4A0D">
      <w:pPr>
        <w:numPr>
          <w:ilvl w:val="4"/>
          <w:numId w:val="81"/>
        </w:numPr>
        <w:spacing w:before="0"/>
        <w:jc w:val="left"/>
        <w:outlineLvl w:val="8"/>
      </w:pPr>
      <w:r w:rsidRPr="000839A4">
        <w:t>1 500 000 Kč, a to bez ohledu na to, z jaké samostatné činnosti plynou, a</w:t>
      </w:r>
    </w:p>
    <w:p w14:paraId="704854F5" w14:textId="77777777" w:rsidR="000839A4" w:rsidRPr="000839A4" w:rsidRDefault="000839A4" w:rsidP="00FE4A0D">
      <w:pPr>
        <w:numPr>
          <w:ilvl w:val="4"/>
          <w:numId w:val="81"/>
        </w:numPr>
        <w:spacing w:before="0"/>
        <w:jc w:val="left"/>
        <w:outlineLvl w:val="8"/>
      </w:pPr>
      <w:r w:rsidRPr="000839A4">
        <w:t>2 000 000 Kč, pokud alespoň 75 % příjmů ze samostatné činnosti poplatníka tvoří příjmy, k nimž lze uplatnit výdaje ve výši 80 % z příjmů nebo 60 % z příjmů, a</w:t>
      </w:r>
    </w:p>
    <w:p w14:paraId="21F022C8" w14:textId="77777777" w:rsidR="000839A4" w:rsidRPr="000839A4" w:rsidRDefault="000839A4" w:rsidP="000839A4">
      <w:pPr>
        <w:tabs>
          <w:tab w:val="left" w:pos="426"/>
        </w:tabs>
        <w:spacing w:before="0"/>
        <w:ind w:firstLine="0"/>
        <w:outlineLvl w:val="7"/>
      </w:pPr>
      <w:r w:rsidRPr="000839A4">
        <w:t>c)</w:t>
      </w:r>
      <w:r w:rsidRPr="000839A4">
        <w:tab/>
        <w:t>třetí pásmo paušálního režimu jsou příjmy ze samostatné činnosti do výše 2 000 000 Kč, a to bez ohledu na to, z jaké samostatné činnosti plynou.</w:t>
      </w:r>
    </w:p>
    <w:p w14:paraId="14731C2A" w14:textId="77777777" w:rsidR="000839A4" w:rsidRPr="000839A4" w:rsidRDefault="000839A4" w:rsidP="000839A4">
      <w:pPr>
        <w:tabs>
          <w:tab w:val="left" w:pos="851"/>
        </w:tabs>
        <w:spacing w:before="120" w:after="120"/>
        <w:ind w:left="425" w:firstLine="0"/>
        <w:outlineLvl w:val="6"/>
      </w:pPr>
      <w:r w:rsidRPr="000839A4">
        <w:t xml:space="preserve">(6) Pro účely odstavce 5 se za příjmy ze samostatné činnosti nepovažují </w:t>
      </w:r>
    </w:p>
    <w:p w14:paraId="1F0C3201" w14:textId="77777777" w:rsidR="000839A4" w:rsidRPr="000839A4" w:rsidRDefault="000839A4" w:rsidP="000839A4">
      <w:pPr>
        <w:keepNext/>
        <w:spacing w:before="0"/>
        <w:ind w:left="425" w:hanging="425"/>
        <w:outlineLvl w:val="7"/>
      </w:pPr>
      <w:r w:rsidRPr="000839A4">
        <w:t>a)</w:t>
      </w:r>
      <w:r w:rsidRPr="000839A4">
        <w:tab/>
        <w:t xml:space="preserve">příjmy od daně osvobozené, </w:t>
      </w:r>
    </w:p>
    <w:p w14:paraId="31E7136D" w14:textId="77777777" w:rsidR="000839A4" w:rsidRPr="000839A4" w:rsidRDefault="000839A4" w:rsidP="000839A4">
      <w:pPr>
        <w:keepNext/>
        <w:spacing w:before="0"/>
        <w:ind w:left="425" w:hanging="425"/>
        <w:outlineLvl w:val="7"/>
      </w:pPr>
      <w:r w:rsidRPr="000839A4">
        <w:t>b)</w:t>
      </w:r>
      <w:r w:rsidRPr="000839A4">
        <w:tab/>
        <w:t>příjmy, které nejsou předmětem daně, a</w:t>
      </w:r>
    </w:p>
    <w:p w14:paraId="08E105E2" w14:textId="77777777" w:rsidR="000839A4" w:rsidRPr="000839A4" w:rsidRDefault="000839A4" w:rsidP="000839A4">
      <w:pPr>
        <w:keepNext/>
        <w:spacing w:before="0"/>
        <w:ind w:left="425" w:hanging="425"/>
        <w:outlineLvl w:val="7"/>
      </w:pPr>
      <w:r w:rsidRPr="000839A4">
        <w:t>c)</w:t>
      </w:r>
      <w:r w:rsidRPr="000839A4">
        <w:tab/>
        <w:t>příjmy, ze kterých je daň vybírána srážkou podle zvláštní sazby daně.</w:t>
      </w:r>
    </w:p>
    <w:p w14:paraId="3BAB54F1" w14:textId="77777777" w:rsidR="000839A4" w:rsidRPr="000839A4" w:rsidRDefault="000839A4" w:rsidP="000839A4">
      <w:pPr>
        <w:tabs>
          <w:tab w:val="num" w:pos="783"/>
          <w:tab w:val="left" w:pos="851"/>
        </w:tabs>
        <w:spacing w:before="120" w:after="120"/>
        <w:outlineLvl w:val="6"/>
        <w:rPr>
          <w:strike/>
        </w:rPr>
      </w:pPr>
      <w:r w:rsidRPr="000839A4">
        <w:rPr>
          <w:strike/>
        </w:rPr>
        <w:t xml:space="preserve">(7) Pro účely paušálního režimu se </w:t>
      </w:r>
    </w:p>
    <w:p w14:paraId="36E670FA" w14:textId="77777777" w:rsidR="000839A4" w:rsidRPr="000839A4" w:rsidRDefault="000839A4" w:rsidP="000839A4">
      <w:pPr>
        <w:spacing w:before="0"/>
        <w:ind w:left="425" w:hanging="425"/>
        <w:outlineLvl w:val="7"/>
        <w:rPr>
          <w:strike/>
        </w:rPr>
      </w:pPr>
      <w:r w:rsidRPr="000839A4">
        <w:rPr>
          <w:strike/>
        </w:rPr>
        <w:t>a)</w:t>
      </w:r>
      <w:r w:rsidRPr="000839A4">
        <w:rPr>
          <w:strike/>
        </w:rPr>
        <w:tab/>
        <w:t>příjmy rozumí příjmy podle tohoto zákona, které by poplatník měl, pokud by nebyl účetní jednotkou,</w:t>
      </w:r>
      <w:r w:rsidRPr="000839A4">
        <w:rPr>
          <w:strike/>
          <w:shd w:val="clear" w:color="auto" w:fill="F4B083" w:themeFill="accent2" w:themeFillTint="99"/>
        </w:rPr>
        <w:t xml:space="preserve"> </w:t>
      </w:r>
    </w:p>
    <w:p w14:paraId="4188EEFA" w14:textId="77777777" w:rsidR="000839A4" w:rsidRPr="000839A4" w:rsidRDefault="000839A4" w:rsidP="000839A4">
      <w:pPr>
        <w:spacing w:before="0"/>
        <w:ind w:left="425" w:hanging="425"/>
        <w:outlineLvl w:val="7"/>
      </w:pPr>
      <w:r w:rsidRPr="000839A4">
        <w:rPr>
          <w:strike/>
        </w:rPr>
        <w:t>b)</w:t>
      </w:r>
      <w:r w:rsidRPr="000839A4">
        <w:rPr>
          <w:strike/>
        </w:rPr>
        <w:tab/>
        <w:t>za příjmy ze samostatné činnosti považují také úroky z vkladů na účtu, který je podle podmínek toho, kdo účet vede, určen k podnikání poplatníka, a nepovažují se za ně příjmy z podílu společníka veřejné obchodní společnosti a komplementáře komanditní společnosti na zisku.</w:t>
      </w:r>
    </w:p>
    <w:p w14:paraId="3D44C396" w14:textId="77777777" w:rsidR="000839A4" w:rsidRPr="000839A4" w:rsidRDefault="000839A4" w:rsidP="000839A4">
      <w:pPr>
        <w:tabs>
          <w:tab w:val="num" w:pos="783"/>
          <w:tab w:val="left" w:pos="851"/>
        </w:tabs>
        <w:spacing w:before="120" w:after="120"/>
        <w:outlineLvl w:val="6"/>
        <w:rPr>
          <w:b/>
        </w:rPr>
      </w:pPr>
      <w:r w:rsidRPr="000839A4">
        <w:rPr>
          <w:b/>
        </w:rPr>
        <w:t>(7) Pro účely paušálního režimu se za příjmy ze samostatné činnosti považují také úroky z vkladů na účtu, který je podle podmínek toho, kdo účet vede, určen k podnikání poplatníka, a nepovažují se za ně příjmy z podílu společníka veřejné obchodní společnosti a komplementáře komanditní společnosti na zisku.</w:t>
      </w:r>
    </w:p>
    <w:p w14:paraId="1210385F" w14:textId="77777777" w:rsidR="000839A4" w:rsidRPr="000839A4" w:rsidRDefault="000839A4" w:rsidP="000839A4">
      <w:pPr>
        <w:tabs>
          <w:tab w:val="num" w:pos="783"/>
          <w:tab w:val="left" w:pos="851"/>
        </w:tabs>
        <w:spacing w:before="120" w:after="120"/>
        <w:outlineLvl w:val="6"/>
      </w:pPr>
      <w:r w:rsidRPr="000839A4">
        <w:t>(8)</w:t>
      </w:r>
      <w:r w:rsidRPr="000839A4">
        <w:tab/>
        <w:t>Poplatník přestává být poplatníkem v paušálním režimu uplynutím</w:t>
      </w:r>
    </w:p>
    <w:p w14:paraId="134F570D" w14:textId="77777777" w:rsidR="000839A4" w:rsidRPr="000839A4" w:rsidRDefault="000839A4" w:rsidP="000839A4">
      <w:pPr>
        <w:spacing w:before="0"/>
        <w:ind w:left="425" w:hanging="425"/>
        <w:outlineLvl w:val="7"/>
      </w:pPr>
      <w:proofErr w:type="gramStart"/>
      <w:r w:rsidRPr="000839A4">
        <w:t>a)</w:t>
      </w:r>
      <w:r w:rsidRPr="000839A4">
        <w:tab/>
        <w:t>zdaňovacího</w:t>
      </w:r>
      <w:proofErr w:type="gramEnd"/>
      <w:r w:rsidRPr="000839A4">
        <w:t xml:space="preserve"> období, ve </w:t>
      </w:r>
      <w:proofErr w:type="gramStart"/>
      <w:r w:rsidRPr="000839A4">
        <w:t>kterém</w:t>
      </w:r>
      <w:proofErr w:type="gramEnd"/>
    </w:p>
    <w:p w14:paraId="65CB4C96" w14:textId="77777777" w:rsidR="000839A4" w:rsidRPr="000839A4" w:rsidRDefault="000839A4" w:rsidP="000839A4">
      <w:pPr>
        <w:spacing w:before="0"/>
        <w:ind w:left="851" w:hanging="426"/>
        <w:outlineLvl w:val="8"/>
      </w:pPr>
      <w:r w:rsidRPr="000839A4">
        <w:t>1.</w:t>
      </w:r>
      <w:r w:rsidRPr="000839A4">
        <w:tab/>
        <w:t>přesáhl rozhodné příjmy pro zvolené pásmo paušálního režimu, ledaže je jeho daň rovna paušální dani,</w:t>
      </w:r>
    </w:p>
    <w:p w14:paraId="4345FF8B" w14:textId="77777777" w:rsidR="000839A4" w:rsidRPr="000839A4" w:rsidRDefault="000839A4" w:rsidP="000839A4">
      <w:pPr>
        <w:spacing w:before="0"/>
        <w:ind w:left="851" w:hanging="426"/>
        <w:outlineLvl w:val="8"/>
      </w:pPr>
      <w:r w:rsidRPr="000839A4">
        <w:t>2.</w:t>
      </w:r>
      <w:r w:rsidRPr="000839A4">
        <w:tab/>
        <w:t>se stane plátcem daně z přidané hodnoty nebo mu vznikne registrační povinnost k dani z přidané hodnoty, s výjimkou registrační povinnosti identifikované osoby,</w:t>
      </w:r>
    </w:p>
    <w:p w14:paraId="6F69444C" w14:textId="77777777" w:rsidR="000839A4" w:rsidRPr="000839A4" w:rsidRDefault="000839A4" w:rsidP="000839A4">
      <w:pPr>
        <w:spacing w:before="0"/>
        <w:ind w:left="851" w:hanging="426"/>
        <w:outlineLvl w:val="8"/>
      </w:pPr>
      <w:r w:rsidRPr="000839A4">
        <w:t>3.</w:t>
      </w:r>
      <w:r w:rsidRPr="000839A4">
        <w:tab/>
        <w:t>se stane společníkem veřejné obchodní společnosti nebo komplementářem komanditní společnosti nebo</w:t>
      </w:r>
    </w:p>
    <w:p w14:paraId="346DF86B" w14:textId="77777777" w:rsidR="000839A4" w:rsidRPr="000839A4" w:rsidRDefault="000839A4" w:rsidP="000839A4">
      <w:pPr>
        <w:spacing w:before="0"/>
        <w:ind w:left="851" w:hanging="426"/>
        <w:outlineLvl w:val="8"/>
      </w:pPr>
      <w:r w:rsidRPr="000839A4">
        <w:t>4.</w:t>
      </w:r>
      <w:r w:rsidRPr="000839A4">
        <w:tab/>
        <w:t>nabylo účinnosti rozhodnutí o úpadku poplatníka a insolvenční řízení nebylo skončeno,</w:t>
      </w:r>
    </w:p>
    <w:p w14:paraId="79DFEE6B" w14:textId="77777777" w:rsidR="000839A4" w:rsidRPr="000839A4" w:rsidRDefault="000839A4" w:rsidP="000839A4">
      <w:pPr>
        <w:spacing w:before="0"/>
        <w:ind w:left="425" w:hanging="425"/>
        <w:outlineLvl w:val="7"/>
      </w:pPr>
      <w:r w:rsidRPr="000839A4">
        <w:t>b)</w:t>
      </w:r>
      <w:r w:rsidRPr="000839A4">
        <w:tab/>
        <w:t>zdaňovacího období, které poplatník uvede v oznámení o dobrovolném vystoupení z paušálního režimu,</w:t>
      </w:r>
    </w:p>
    <w:p w14:paraId="1ECA7F00" w14:textId="77777777" w:rsidR="000839A4" w:rsidRPr="000839A4" w:rsidRDefault="000839A4" w:rsidP="000839A4">
      <w:pPr>
        <w:spacing w:before="0"/>
        <w:ind w:left="425" w:hanging="425"/>
        <w:outlineLvl w:val="7"/>
      </w:pPr>
      <w:r w:rsidRPr="000839A4">
        <w:t>c)</w:t>
      </w:r>
      <w:r w:rsidRPr="000839A4">
        <w:tab/>
        <w:t>kalendářního měsíce, ve kterém přestane být</w:t>
      </w:r>
    </w:p>
    <w:p w14:paraId="5976EDDA" w14:textId="77777777" w:rsidR="000839A4" w:rsidRPr="000839A4" w:rsidRDefault="000839A4" w:rsidP="000839A4">
      <w:pPr>
        <w:spacing w:before="0"/>
        <w:ind w:left="851" w:hanging="426"/>
        <w:outlineLvl w:val="8"/>
      </w:pPr>
      <w:r w:rsidRPr="000839A4">
        <w:t>1.</w:t>
      </w:r>
      <w:r w:rsidRPr="000839A4">
        <w:tab/>
        <w:t>osobou samostatně výdělečně činnou podle zákona upravujícího důchodové pojištění, na kterou se vztahují právní předpisy upravující důchodové pojištění,</w:t>
      </w:r>
      <w:r w:rsidRPr="000839A4" w:rsidDel="0033272B">
        <w:t xml:space="preserve"> </w:t>
      </w:r>
      <w:r w:rsidRPr="000839A4">
        <w:t>nebo</w:t>
      </w:r>
    </w:p>
    <w:p w14:paraId="428FAFA5" w14:textId="77777777" w:rsidR="000839A4" w:rsidRPr="000839A4" w:rsidRDefault="000839A4" w:rsidP="000839A4">
      <w:pPr>
        <w:spacing w:before="0"/>
        <w:ind w:left="851" w:hanging="426"/>
        <w:outlineLvl w:val="8"/>
      </w:pPr>
      <w:r w:rsidRPr="000839A4">
        <w:t>2.</w:t>
      </w:r>
      <w:r w:rsidRPr="000839A4">
        <w:tab/>
        <w:t>osobou samostatně výdělečně činnou podle zákona upravujícího veřejné zdravotní pojištění, na kterou se vztahují právní předpisy upravující veřejné zdravotní pojištění,</w:t>
      </w:r>
    </w:p>
    <w:p w14:paraId="1D52128D" w14:textId="77777777" w:rsidR="000839A4" w:rsidRPr="000839A4" w:rsidRDefault="000839A4" w:rsidP="000839A4">
      <w:pPr>
        <w:spacing w:before="0"/>
        <w:ind w:left="425" w:hanging="425"/>
        <w:outlineLvl w:val="7"/>
      </w:pPr>
      <w:r w:rsidRPr="000839A4">
        <w:t>d)</w:t>
      </w:r>
      <w:r w:rsidRPr="000839A4">
        <w:tab/>
        <w:t xml:space="preserve">kalendářního měsíce bezprostředně předcházejícího kalendářnímu měsíci, od kterého poplatník není povinen platit pojistné na veřejné zdravotní pojištění z důvodu dlouhodobého pobytu v cizině, nebo </w:t>
      </w:r>
    </w:p>
    <w:p w14:paraId="709E7B3E" w14:textId="77777777" w:rsidR="000839A4" w:rsidRPr="000839A4" w:rsidRDefault="000839A4" w:rsidP="000839A4">
      <w:pPr>
        <w:spacing w:before="0"/>
        <w:ind w:left="425" w:hanging="425"/>
        <w:outlineLvl w:val="7"/>
      </w:pPr>
      <w:r w:rsidRPr="000839A4">
        <w:t>e)</w:t>
      </w:r>
      <w:r w:rsidRPr="000839A4">
        <w:tab/>
        <w:t>kalendářního měsíce, ve kterém se poplatník stane daňovým nerezidentem a přestane na území České republiky vykonávat činnost, ze které plynou příjmy ze samostatné činnosti.</w:t>
      </w:r>
    </w:p>
    <w:p w14:paraId="0AEAF96E" w14:textId="77777777" w:rsidR="000839A4" w:rsidRPr="000839A4" w:rsidRDefault="000839A4" w:rsidP="000839A4">
      <w:pPr>
        <w:keepNext/>
        <w:ind w:firstLine="0"/>
        <w:jc w:val="center"/>
        <w:rPr>
          <w:szCs w:val="24"/>
        </w:rPr>
      </w:pPr>
      <w:r w:rsidRPr="000839A4">
        <w:rPr>
          <w:szCs w:val="24"/>
        </w:rPr>
        <w:lastRenderedPageBreak/>
        <w:t>§ 3</w:t>
      </w:r>
    </w:p>
    <w:p w14:paraId="736FA6D5" w14:textId="77777777" w:rsidR="000839A4" w:rsidRPr="000839A4" w:rsidRDefault="000839A4" w:rsidP="000839A4">
      <w:pPr>
        <w:keepNext/>
        <w:ind w:firstLine="0"/>
        <w:jc w:val="center"/>
        <w:rPr>
          <w:b/>
          <w:szCs w:val="24"/>
        </w:rPr>
      </w:pPr>
      <w:r w:rsidRPr="000839A4">
        <w:rPr>
          <w:b/>
          <w:szCs w:val="24"/>
        </w:rPr>
        <w:t>Předmět daně z příjmů fyzických osob</w:t>
      </w:r>
    </w:p>
    <w:p w14:paraId="1D602A39" w14:textId="77777777" w:rsidR="000839A4" w:rsidRPr="000839A4" w:rsidRDefault="000839A4" w:rsidP="000839A4">
      <w:pPr>
        <w:tabs>
          <w:tab w:val="num" w:pos="783"/>
          <w:tab w:val="left" w:pos="851"/>
        </w:tabs>
        <w:spacing w:before="120" w:after="120"/>
        <w:outlineLvl w:val="6"/>
      </w:pPr>
      <w:r w:rsidRPr="000839A4">
        <w:t>(1) Předmětem daně z příjmů fyzických osob jsou</w:t>
      </w:r>
    </w:p>
    <w:p w14:paraId="0D409577"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příjmy ze závislé činnosti (§ 6),</w:t>
      </w:r>
    </w:p>
    <w:p w14:paraId="01B2B806"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příjmy ze samostatné činnosti (§ 7),</w:t>
      </w:r>
    </w:p>
    <w:p w14:paraId="404A5DBA" w14:textId="77777777" w:rsidR="000839A4" w:rsidRPr="000839A4" w:rsidRDefault="000839A4" w:rsidP="000839A4">
      <w:pPr>
        <w:tabs>
          <w:tab w:val="left" w:pos="357"/>
        </w:tabs>
        <w:spacing w:before="0"/>
        <w:ind w:left="357" w:hanging="357"/>
        <w:rPr>
          <w:szCs w:val="24"/>
        </w:rPr>
      </w:pPr>
      <w:r w:rsidRPr="000839A4">
        <w:rPr>
          <w:szCs w:val="24"/>
        </w:rPr>
        <w:t>c)</w:t>
      </w:r>
      <w:r w:rsidRPr="000839A4">
        <w:rPr>
          <w:szCs w:val="24"/>
        </w:rPr>
        <w:tab/>
        <w:t xml:space="preserve">příjmy z kapitálového majetku (§ 8), </w:t>
      </w:r>
    </w:p>
    <w:p w14:paraId="7FFA6E1A" w14:textId="77777777" w:rsidR="000839A4" w:rsidRPr="000839A4" w:rsidRDefault="000839A4" w:rsidP="000839A4">
      <w:pPr>
        <w:tabs>
          <w:tab w:val="left" w:pos="357"/>
        </w:tabs>
        <w:spacing w:before="0"/>
        <w:ind w:left="357" w:hanging="357"/>
        <w:rPr>
          <w:szCs w:val="24"/>
        </w:rPr>
      </w:pPr>
      <w:r w:rsidRPr="000839A4">
        <w:rPr>
          <w:szCs w:val="24"/>
        </w:rPr>
        <w:t>d)</w:t>
      </w:r>
      <w:r w:rsidRPr="000839A4">
        <w:rPr>
          <w:szCs w:val="24"/>
        </w:rPr>
        <w:tab/>
        <w:t xml:space="preserve">příjmy z nájmu (§ 9), </w:t>
      </w:r>
    </w:p>
    <w:p w14:paraId="455EE1DE" w14:textId="77777777" w:rsidR="000839A4" w:rsidRPr="000839A4" w:rsidRDefault="000839A4" w:rsidP="000839A4">
      <w:pPr>
        <w:tabs>
          <w:tab w:val="left" w:pos="357"/>
        </w:tabs>
        <w:spacing w:before="0"/>
        <w:ind w:left="357" w:hanging="357"/>
        <w:rPr>
          <w:szCs w:val="24"/>
        </w:rPr>
      </w:pPr>
      <w:r w:rsidRPr="000839A4">
        <w:rPr>
          <w:szCs w:val="24"/>
        </w:rPr>
        <w:t>e)</w:t>
      </w:r>
      <w:r w:rsidRPr="000839A4">
        <w:rPr>
          <w:szCs w:val="24"/>
        </w:rPr>
        <w:tab/>
        <w:t xml:space="preserve">ostatní příjmy (§ 10). </w:t>
      </w:r>
    </w:p>
    <w:p w14:paraId="640BD664" w14:textId="77777777" w:rsidR="000839A4" w:rsidRPr="000839A4" w:rsidRDefault="000839A4" w:rsidP="000839A4">
      <w:pPr>
        <w:spacing w:before="120" w:after="120"/>
        <w:rPr>
          <w:szCs w:val="24"/>
        </w:rPr>
      </w:pPr>
      <w:r w:rsidRPr="000839A4">
        <w:rPr>
          <w:szCs w:val="24"/>
        </w:rPr>
        <w:t xml:space="preserve">(2) Příjmem ve smyslu odstavce 1 se rozumí příjem peněžní i nepeněžní dosažený i směnou. </w:t>
      </w:r>
    </w:p>
    <w:p w14:paraId="352CA4E1" w14:textId="77777777" w:rsidR="000839A4" w:rsidRPr="000839A4" w:rsidRDefault="000839A4" w:rsidP="000839A4">
      <w:pPr>
        <w:tabs>
          <w:tab w:val="num" w:pos="783"/>
          <w:tab w:val="left" w:pos="851"/>
        </w:tabs>
        <w:spacing w:before="120" w:after="120"/>
        <w:outlineLvl w:val="6"/>
      </w:pPr>
      <w:r w:rsidRPr="000839A4">
        <w:t xml:space="preserve">(3) Nepeněžní příjem se pro účely daně z příjmů fyzických osob oceňuje </w:t>
      </w:r>
    </w:p>
    <w:p w14:paraId="0CBE0A75"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 xml:space="preserve">podle právního předpisu upravujícího oceňování </w:t>
      </w:r>
      <w:r w:rsidRPr="000839A4">
        <w:rPr>
          <w:strike/>
          <w:szCs w:val="24"/>
        </w:rPr>
        <w:t xml:space="preserve">majetku </w:t>
      </w:r>
      <w:r w:rsidRPr="000839A4">
        <w:rPr>
          <w:b/>
          <w:szCs w:val="24"/>
        </w:rPr>
        <w:t>věcí, služeb a dluhů</w:t>
      </w:r>
      <w:r w:rsidRPr="000839A4">
        <w:rPr>
          <w:szCs w:val="24"/>
        </w:rPr>
        <w:t xml:space="preserve">, </w:t>
      </w:r>
    </w:p>
    <w:p w14:paraId="71A3DF40"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r>
      <w:r w:rsidRPr="000839A4">
        <w:rPr>
          <w:strike/>
          <w:szCs w:val="24"/>
        </w:rPr>
        <w:t>jako pětinásobek hodnoty ročního plnění</w:t>
      </w:r>
      <w:r w:rsidRPr="000839A4">
        <w:rPr>
          <w:szCs w:val="24"/>
        </w:rPr>
        <w:t xml:space="preserve"> </w:t>
      </w:r>
      <w:r w:rsidRPr="000839A4">
        <w:rPr>
          <w:b/>
          <w:szCs w:val="24"/>
        </w:rPr>
        <w:t>zjištěnou hodnotou</w:t>
      </w:r>
      <w:r w:rsidRPr="000839A4">
        <w:rPr>
          <w:szCs w:val="24"/>
        </w:rPr>
        <w:t>, pokud příjem spočívá v</w:t>
      </w:r>
      <w:r w:rsidRPr="000839A4">
        <w:rPr>
          <w:b/>
          <w:szCs w:val="24"/>
        </w:rPr>
        <w:t> oprávnění ze služebnosti nebo</w:t>
      </w:r>
      <w:r w:rsidRPr="000839A4">
        <w:rPr>
          <w:szCs w:val="24"/>
        </w:rPr>
        <w:t xml:space="preserve"> jiném majetkovém prospěchu, jehož obsahem je opakující se nebo trvající plnění na dobu </w:t>
      </w:r>
    </w:p>
    <w:p w14:paraId="36B895A8" w14:textId="77777777" w:rsidR="000839A4" w:rsidRPr="000839A4" w:rsidRDefault="000839A4" w:rsidP="000839A4">
      <w:pPr>
        <w:tabs>
          <w:tab w:val="left" w:pos="357"/>
        </w:tabs>
        <w:spacing w:before="0"/>
        <w:ind w:left="714" w:hanging="357"/>
        <w:rPr>
          <w:szCs w:val="24"/>
        </w:rPr>
      </w:pPr>
      <w:r w:rsidRPr="000839A4">
        <w:rPr>
          <w:szCs w:val="24"/>
        </w:rPr>
        <w:t>1.</w:t>
      </w:r>
      <w:r w:rsidRPr="000839A4">
        <w:rPr>
          <w:szCs w:val="24"/>
        </w:rPr>
        <w:tab/>
        <w:t xml:space="preserve">neurčitou, </w:t>
      </w:r>
    </w:p>
    <w:p w14:paraId="62522E2A" w14:textId="77777777" w:rsidR="000839A4" w:rsidRPr="000839A4" w:rsidRDefault="000839A4" w:rsidP="000839A4">
      <w:pPr>
        <w:tabs>
          <w:tab w:val="left" w:pos="357"/>
        </w:tabs>
        <w:spacing w:before="0"/>
        <w:ind w:left="714" w:hanging="357"/>
        <w:rPr>
          <w:szCs w:val="24"/>
        </w:rPr>
      </w:pPr>
      <w:r w:rsidRPr="000839A4">
        <w:rPr>
          <w:szCs w:val="24"/>
        </w:rPr>
        <w:t>2.</w:t>
      </w:r>
      <w:r w:rsidRPr="000839A4">
        <w:rPr>
          <w:szCs w:val="24"/>
        </w:rPr>
        <w:tab/>
        <w:t xml:space="preserve">života člověka nebo </w:t>
      </w:r>
    </w:p>
    <w:p w14:paraId="05C1DCD3" w14:textId="77777777" w:rsidR="000839A4" w:rsidRPr="000839A4" w:rsidRDefault="000839A4" w:rsidP="000839A4">
      <w:pPr>
        <w:tabs>
          <w:tab w:val="left" w:pos="357"/>
        </w:tabs>
        <w:spacing w:before="0"/>
        <w:ind w:left="714" w:hanging="357"/>
        <w:rPr>
          <w:szCs w:val="24"/>
        </w:rPr>
      </w:pPr>
      <w:r w:rsidRPr="000839A4">
        <w:rPr>
          <w:szCs w:val="24"/>
        </w:rPr>
        <w:t>3.</w:t>
      </w:r>
      <w:r w:rsidRPr="000839A4">
        <w:rPr>
          <w:szCs w:val="24"/>
        </w:rPr>
        <w:tab/>
        <w:t xml:space="preserve">delší než 5 let. </w:t>
      </w:r>
    </w:p>
    <w:p w14:paraId="79413CC7" w14:textId="77777777" w:rsidR="000839A4" w:rsidRPr="000839A4" w:rsidRDefault="000839A4" w:rsidP="000839A4">
      <w:pPr>
        <w:spacing w:before="120" w:after="120"/>
        <w:rPr>
          <w:szCs w:val="24"/>
        </w:rPr>
      </w:pPr>
      <w:r w:rsidRPr="000839A4">
        <w:rPr>
          <w:szCs w:val="24"/>
        </w:rPr>
        <w:t xml:space="preserve">(4) Předmětem daně nejsou </w:t>
      </w:r>
    </w:p>
    <w:p w14:paraId="56C58BFD"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 xml:space="preserve">příjmy získané </w:t>
      </w:r>
    </w:p>
    <w:p w14:paraId="73983FC0" w14:textId="77777777" w:rsidR="000839A4" w:rsidRPr="000839A4" w:rsidRDefault="000839A4" w:rsidP="000839A4">
      <w:pPr>
        <w:tabs>
          <w:tab w:val="left" w:pos="357"/>
        </w:tabs>
        <w:spacing w:before="0"/>
        <w:ind w:left="714" w:hanging="357"/>
        <w:rPr>
          <w:szCs w:val="24"/>
        </w:rPr>
      </w:pPr>
      <w:r w:rsidRPr="000839A4">
        <w:rPr>
          <w:szCs w:val="24"/>
        </w:rPr>
        <w:t>1.</w:t>
      </w:r>
      <w:r w:rsidRPr="000839A4">
        <w:rPr>
          <w:szCs w:val="24"/>
        </w:rPr>
        <w:tab/>
        <w:t xml:space="preserve">nabytím akcií nebo podílových listů podle zákona upravujícího podmínky převodu majetku státu na jiné osoby, </w:t>
      </w:r>
    </w:p>
    <w:p w14:paraId="32D29699" w14:textId="77777777" w:rsidR="000839A4" w:rsidRPr="000839A4" w:rsidRDefault="000839A4" w:rsidP="000839A4">
      <w:pPr>
        <w:tabs>
          <w:tab w:val="left" w:pos="357"/>
        </w:tabs>
        <w:spacing w:before="0"/>
        <w:ind w:left="714" w:hanging="357"/>
        <w:rPr>
          <w:szCs w:val="24"/>
        </w:rPr>
      </w:pPr>
      <w:r w:rsidRPr="000839A4">
        <w:rPr>
          <w:szCs w:val="24"/>
        </w:rPr>
        <w:t>2.</w:t>
      </w:r>
      <w:r w:rsidRPr="000839A4">
        <w:rPr>
          <w:szCs w:val="24"/>
        </w:rPr>
        <w:tab/>
        <w:t xml:space="preserve">vydáním podle právních předpisů upravujících restituci majetku, </w:t>
      </w:r>
    </w:p>
    <w:p w14:paraId="53E82A25"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 xml:space="preserve">úvěry nebo zápůjčky s výjimkou </w:t>
      </w:r>
    </w:p>
    <w:p w14:paraId="0CA5C0FC" w14:textId="77777777" w:rsidR="000839A4" w:rsidRPr="000839A4" w:rsidRDefault="000839A4" w:rsidP="000839A4">
      <w:pPr>
        <w:tabs>
          <w:tab w:val="left" w:pos="357"/>
        </w:tabs>
        <w:spacing w:before="0"/>
        <w:ind w:left="714" w:hanging="357"/>
        <w:rPr>
          <w:szCs w:val="24"/>
        </w:rPr>
      </w:pPr>
      <w:r w:rsidRPr="000839A4">
        <w:rPr>
          <w:szCs w:val="24"/>
        </w:rPr>
        <w:t>1.</w:t>
      </w:r>
      <w:r w:rsidRPr="000839A4">
        <w:rPr>
          <w:szCs w:val="24"/>
        </w:rPr>
        <w:tab/>
        <w:t xml:space="preserve">příjmu, který věřitel nabyl z vrácené zápůjčky nebo úvěru úplatným postoupením pohledávky vzniklé na základě této zápůjčky nebo úvěru, a to ve výši rovnající se rozdílu mezi příjmem plynoucím z vrácení zápůjčky nebo úvěru a cenou, za kterou byla pohledávka postoupena, </w:t>
      </w:r>
    </w:p>
    <w:p w14:paraId="4DE93A78" w14:textId="77777777" w:rsidR="000839A4" w:rsidRPr="000839A4" w:rsidRDefault="000839A4" w:rsidP="000839A4">
      <w:pPr>
        <w:tabs>
          <w:tab w:val="left" w:pos="357"/>
        </w:tabs>
        <w:spacing w:before="0"/>
        <w:ind w:left="714" w:hanging="357"/>
        <w:rPr>
          <w:szCs w:val="24"/>
        </w:rPr>
      </w:pPr>
      <w:r w:rsidRPr="000839A4">
        <w:rPr>
          <w:szCs w:val="24"/>
        </w:rPr>
        <w:t>2.</w:t>
      </w:r>
      <w:r w:rsidRPr="000839A4">
        <w:rPr>
          <w:szCs w:val="24"/>
        </w:rPr>
        <w:tab/>
        <w:t>příjmu plynoucího poplatníkovi</w:t>
      </w:r>
      <w:r w:rsidRPr="000839A4">
        <w:rPr>
          <w:strike/>
          <w:szCs w:val="24"/>
        </w:rPr>
        <w:t>, který vede daňovou evidenci,</w:t>
      </w:r>
      <w:r w:rsidRPr="000839A4">
        <w:rPr>
          <w:szCs w:val="24"/>
        </w:rPr>
        <w:t xml:space="preserve"> z eskontního úvěru ze směnky, kterou je hrazena pohledávka, </w:t>
      </w:r>
    </w:p>
    <w:p w14:paraId="0774ECE8" w14:textId="77777777" w:rsidR="000839A4" w:rsidRPr="000839A4" w:rsidRDefault="000839A4" w:rsidP="000839A4">
      <w:pPr>
        <w:tabs>
          <w:tab w:val="left" w:pos="357"/>
        </w:tabs>
        <w:spacing w:before="0"/>
        <w:ind w:left="357" w:hanging="357"/>
        <w:rPr>
          <w:szCs w:val="24"/>
        </w:rPr>
      </w:pPr>
      <w:r w:rsidRPr="000839A4">
        <w:rPr>
          <w:szCs w:val="24"/>
        </w:rPr>
        <w:t>c)</w:t>
      </w:r>
      <w:r w:rsidRPr="000839A4">
        <w:rPr>
          <w:szCs w:val="24"/>
        </w:rPr>
        <w:tab/>
        <w:t xml:space="preserve">příjmy z rozšíření rozsahu nebo vypořádání společného jmění manželů, </w:t>
      </w:r>
    </w:p>
    <w:p w14:paraId="2BB1358F" w14:textId="77777777" w:rsidR="000839A4" w:rsidRPr="000839A4" w:rsidRDefault="000839A4" w:rsidP="000839A4">
      <w:pPr>
        <w:tabs>
          <w:tab w:val="left" w:pos="357"/>
        </w:tabs>
        <w:spacing w:before="0"/>
        <w:ind w:left="357" w:hanging="357"/>
        <w:rPr>
          <w:szCs w:val="24"/>
        </w:rPr>
      </w:pPr>
      <w:r w:rsidRPr="000839A4">
        <w:rPr>
          <w:szCs w:val="24"/>
        </w:rPr>
        <w:t>d)</w:t>
      </w:r>
      <w:r w:rsidRPr="000839A4">
        <w:rPr>
          <w:szCs w:val="24"/>
        </w:rPr>
        <w:tab/>
        <w:t>příjem plynoucí z titulu spravedlivého zadostiučinění přiznaného Evropským soudem pro lidská práva ve výši, kterou je Česká republika povinna uhradit, nebo z titulu urovnání záležitosti před Evropským soudem pro lidská práva na základě smíru nebo jednostranného prohlášení vlády ve výši, kterou se Česká republika zavázala uhradit,</w:t>
      </w:r>
      <w:bookmarkStart w:id="8" w:name="_Ref535916577"/>
      <w:r w:rsidRPr="000839A4">
        <w:rPr>
          <w:szCs w:val="24"/>
          <w:vertAlign w:val="superscript"/>
        </w:rPr>
        <w:footnoteReference w:customMarkFollows="1" w:id="120"/>
        <w:t>1c)</w:t>
      </w:r>
      <w:bookmarkEnd w:id="8"/>
    </w:p>
    <w:p w14:paraId="4860680B" w14:textId="77777777" w:rsidR="000839A4" w:rsidRPr="000839A4" w:rsidRDefault="000839A4" w:rsidP="000839A4">
      <w:pPr>
        <w:tabs>
          <w:tab w:val="left" w:pos="357"/>
        </w:tabs>
        <w:spacing w:before="0"/>
        <w:ind w:left="357" w:hanging="357"/>
        <w:rPr>
          <w:szCs w:val="24"/>
        </w:rPr>
      </w:pPr>
      <w:r w:rsidRPr="000839A4">
        <w:rPr>
          <w:szCs w:val="24"/>
        </w:rPr>
        <w:t>e)</w:t>
      </w:r>
      <w:r w:rsidRPr="000839A4">
        <w:rPr>
          <w:szCs w:val="24"/>
        </w:rPr>
        <w:tab/>
        <w:t xml:space="preserve">příjem plynoucí poplatníkovi uvedenému v § 2 odst. 2, který vypomáhá s domácími pracemi v zahraničí, nebo poplatníkovi uvedenému v § 2 odst. 3, který vypomáhá s domácími pracemi v České republice, a to za stravu a ubytování, jde-li o příjem k uspokojování základních sociálních, kulturních nebo vzdělávacích potřeb (au-pair), </w:t>
      </w:r>
    </w:p>
    <w:p w14:paraId="35845792" w14:textId="77777777" w:rsidR="000839A4" w:rsidRPr="000839A4" w:rsidRDefault="000839A4" w:rsidP="000839A4">
      <w:pPr>
        <w:tabs>
          <w:tab w:val="left" w:pos="357"/>
        </w:tabs>
        <w:spacing w:before="0"/>
        <w:ind w:left="357" w:hanging="357"/>
        <w:rPr>
          <w:szCs w:val="24"/>
        </w:rPr>
      </w:pPr>
      <w:r w:rsidRPr="000839A4">
        <w:rPr>
          <w:szCs w:val="24"/>
        </w:rPr>
        <w:t>f)</w:t>
      </w:r>
      <w:r w:rsidRPr="000839A4">
        <w:rPr>
          <w:szCs w:val="24"/>
        </w:rPr>
        <w:tab/>
        <w:t xml:space="preserve">příjmy získané převodem majetku mezi osobami blízkými v souvislosti s ukončením provozování zemědělské činnosti zemědělského podnikatele, pokud osoba blízká v činnosti </w:t>
      </w:r>
      <w:r w:rsidRPr="000839A4">
        <w:rPr>
          <w:szCs w:val="24"/>
        </w:rPr>
        <w:lastRenderedPageBreak/>
        <w:t xml:space="preserve">zemědělského podnikatele pokračuje alespoň do konce třetího zdaňovacího období následujícího po ukončení provozování zemědělské činnosti zemědělského podnikatele převádějícího tento majetek s výjimkou nepokračování v činnosti z důvodu smrti; při porušení této podmínky jsou tyto příjmy předmětem daně ve zdaňovacím období, kdy k převodu tohoto majetku došlo a má se za to, že poplatník není v prodlení, pokud podá daňové přiznání nebo dodatečné daňové přiznání a zaplatí daň nejpozději do dne, kdy je povinen podat daňové přiznání k dani za zdaňovací období, ve kterém nesplnil tuto podmínku, </w:t>
      </w:r>
    </w:p>
    <w:p w14:paraId="31205342" w14:textId="77777777" w:rsidR="000839A4" w:rsidRPr="000839A4" w:rsidRDefault="000839A4" w:rsidP="000839A4">
      <w:pPr>
        <w:tabs>
          <w:tab w:val="left" w:pos="357"/>
        </w:tabs>
        <w:spacing w:before="0"/>
        <w:ind w:left="357" w:hanging="357"/>
        <w:rPr>
          <w:szCs w:val="24"/>
        </w:rPr>
      </w:pPr>
      <w:r w:rsidRPr="000839A4">
        <w:rPr>
          <w:szCs w:val="24"/>
        </w:rPr>
        <w:t>g)</w:t>
      </w:r>
      <w:r w:rsidRPr="000839A4">
        <w:rPr>
          <w:szCs w:val="24"/>
        </w:rPr>
        <w:tab/>
        <w:t xml:space="preserve">příjem z </w:t>
      </w:r>
    </w:p>
    <w:p w14:paraId="4026CEF0" w14:textId="77777777" w:rsidR="000839A4" w:rsidRPr="000839A4" w:rsidRDefault="000839A4" w:rsidP="000839A4">
      <w:pPr>
        <w:tabs>
          <w:tab w:val="left" w:pos="357"/>
        </w:tabs>
        <w:spacing w:before="0"/>
        <w:ind w:left="714" w:hanging="357"/>
        <w:rPr>
          <w:szCs w:val="24"/>
        </w:rPr>
      </w:pPr>
      <w:r w:rsidRPr="000839A4">
        <w:rPr>
          <w:szCs w:val="24"/>
        </w:rPr>
        <w:t>1.</w:t>
      </w:r>
      <w:r w:rsidRPr="000839A4">
        <w:rPr>
          <w:szCs w:val="24"/>
        </w:rPr>
        <w:tab/>
        <w:t xml:space="preserve">vypořádání spoluvlastnictví rozdělením věci podle velikosti spoluvlastnických podílů, </w:t>
      </w:r>
    </w:p>
    <w:p w14:paraId="2BDD9D5D" w14:textId="77777777" w:rsidR="000839A4" w:rsidRPr="000839A4" w:rsidRDefault="000839A4" w:rsidP="000839A4">
      <w:pPr>
        <w:tabs>
          <w:tab w:val="left" w:pos="357"/>
        </w:tabs>
        <w:spacing w:before="0"/>
        <w:ind w:left="714" w:hanging="357"/>
        <w:rPr>
          <w:szCs w:val="24"/>
        </w:rPr>
      </w:pPr>
      <w:r w:rsidRPr="000839A4">
        <w:rPr>
          <w:szCs w:val="24"/>
        </w:rPr>
        <w:t>2.</w:t>
      </w:r>
      <w:r w:rsidRPr="000839A4">
        <w:rPr>
          <w:szCs w:val="24"/>
        </w:rPr>
        <w:tab/>
        <w:t xml:space="preserve">výměny pozemků při pozemkových úpravách podle zákona upravujícího pozemkové úpravy s výjimkou části pozemku, který je stavbou, </w:t>
      </w:r>
    </w:p>
    <w:p w14:paraId="6FEAB9E5" w14:textId="77777777" w:rsidR="000839A4" w:rsidRPr="000839A4" w:rsidRDefault="000839A4" w:rsidP="000839A4">
      <w:pPr>
        <w:tabs>
          <w:tab w:val="left" w:pos="357"/>
        </w:tabs>
        <w:spacing w:before="0"/>
        <w:ind w:left="357" w:hanging="357"/>
        <w:rPr>
          <w:szCs w:val="24"/>
        </w:rPr>
      </w:pPr>
      <w:r w:rsidRPr="000839A4">
        <w:rPr>
          <w:szCs w:val="24"/>
        </w:rPr>
        <w:t>h)</w:t>
      </w:r>
      <w:r w:rsidRPr="000839A4">
        <w:rPr>
          <w:szCs w:val="24"/>
        </w:rPr>
        <w:tab/>
        <w:t xml:space="preserve">částka uhrazená zdravotní pojišťovnou, o kterou byl překročen limit regulačních poplatků a doplatků na léčiva nebo potraviny podle zvláštních právních předpisů upravujících limity regulačních poplatků a doplatků na léčiva nebo potraviny, </w:t>
      </w:r>
    </w:p>
    <w:p w14:paraId="1AEA807A" w14:textId="77777777" w:rsidR="000839A4" w:rsidRPr="000839A4" w:rsidRDefault="000839A4" w:rsidP="000839A4">
      <w:pPr>
        <w:tabs>
          <w:tab w:val="left" w:pos="357"/>
        </w:tabs>
        <w:spacing w:before="0"/>
        <w:ind w:left="357" w:hanging="357"/>
        <w:rPr>
          <w:szCs w:val="24"/>
        </w:rPr>
      </w:pPr>
      <w:r w:rsidRPr="000839A4">
        <w:rPr>
          <w:szCs w:val="24"/>
        </w:rPr>
        <w:t>i)</w:t>
      </w:r>
      <w:r w:rsidRPr="000839A4">
        <w:rPr>
          <w:szCs w:val="24"/>
        </w:rPr>
        <w:tab/>
        <w:t xml:space="preserve">příjem plynoucí z titulu odškodnění přiznaného mezinárodním trestním soudem, mezinárodním trestním tribunálem, popřípadě obdobným mezinárodním soudním orgánem, které splňují alespoň jednu z podmínek uvedených v § 145 odst. 1 zákona o mezinárodní justiční spolupráci ve věcech trestních. </w:t>
      </w:r>
    </w:p>
    <w:p w14:paraId="314F8C95" w14:textId="77777777" w:rsidR="000839A4" w:rsidRPr="000839A4" w:rsidRDefault="000839A4" w:rsidP="000839A4">
      <w:pPr>
        <w:keepNext/>
        <w:ind w:firstLine="0"/>
        <w:jc w:val="center"/>
        <w:rPr>
          <w:szCs w:val="24"/>
        </w:rPr>
      </w:pPr>
      <w:r w:rsidRPr="000839A4">
        <w:rPr>
          <w:szCs w:val="24"/>
        </w:rPr>
        <w:t>§ 4</w:t>
      </w:r>
    </w:p>
    <w:p w14:paraId="53D0F5D0" w14:textId="77777777" w:rsidR="000839A4" w:rsidRPr="000839A4" w:rsidRDefault="000839A4" w:rsidP="000839A4">
      <w:pPr>
        <w:keepNext/>
        <w:ind w:firstLine="0"/>
        <w:jc w:val="center"/>
        <w:rPr>
          <w:b/>
          <w:szCs w:val="24"/>
        </w:rPr>
      </w:pPr>
      <w:r w:rsidRPr="000839A4">
        <w:rPr>
          <w:b/>
          <w:szCs w:val="24"/>
        </w:rPr>
        <w:t xml:space="preserve"> Osvobození od daně </w:t>
      </w:r>
    </w:p>
    <w:p w14:paraId="1273038F" w14:textId="77777777" w:rsidR="000839A4" w:rsidRPr="000839A4" w:rsidRDefault="000839A4" w:rsidP="000839A4">
      <w:pPr>
        <w:spacing w:before="120" w:after="120"/>
        <w:rPr>
          <w:szCs w:val="24"/>
        </w:rPr>
      </w:pPr>
      <w:r w:rsidRPr="000839A4">
        <w:rPr>
          <w:szCs w:val="24"/>
        </w:rPr>
        <w:t xml:space="preserve">(1) Od daně se osvobozuje </w:t>
      </w:r>
    </w:p>
    <w:p w14:paraId="615C3401"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 xml:space="preserve">příjem z prodeje rodinného domu a souvisejícího pozemku, nebo jednotky, která nezahrnuje nebytový prostor jiný než garáž, sklep nebo komoru, a souvisejícího pozemku, pokud v něm prodávající měl bydliště nejméně po dobu 2 let bezprostředně před prodejem; příjem z prodeje rodinného domu, jednotky, která nezahrnuje nebytový prostor jiný než garáž, sklep nebo komoru, a souvisejícího pozemku, pokud v něm prodávající měl bydliště bezprostředně před prodejem po dobu kratší 2 let a použije-li získané prostředky na obstarání vlastní bytové potřeby; pro osvobození příjmu plynoucího manželům z jejich společného jmění postačí, aby podmínky pro jeho osvobození splnil jen jeden z manželů, pokud majetek, kterého se osvobození týká, není nebo nebyl </w:t>
      </w:r>
      <w:r w:rsidRPr="000839A4">
        <w:rPr>
          <w:strike/>
          <w:szCs w:val="24"/>
        </w:rPr>
        <w:t xml:space="preserve">zařazen do obchodního majetku </w:t>
      </w:r>
      <w:r w:rsidRPr="000839A4">
        <w:rPr>
          <w:b/>
          <w:noProof/>
          <w:szCs w:val="24"/>
        </w:rPr>
        <w:t>evidovaným aktivem</w:t>
      </w:r>
      <w:r w:rsidRPr="000839A4">
        <w:rPr>
          <w:szCs w:val="24"/>
        </w:rPr>
        <w:t xml:space="preserve"> jednoho z manželů; osvobození se nevztahuje na příjem z </w:t>
      </w:r>
    </w:p>
    <w:p w14:paraId="2943E6E7" w14:textId="77777777" w:rsidR="000839A4" w:rsidRPr="000839A4" w:rsidRDefault="000839A4" w:rsidP="000839A4">
      <w:pPr>
        <w:tabs>
          <w:tab w:val="left" w:pos="357"/>
        </w:tabs>
        <w:spacing w:before="0"/>
        <w:ind w:left="714" w:hanging="357"/>
        <w:rPr>
          <w:szCs w:val="24"/>
        </w:rPr>
      </w:pPr>
      <w:r w:rsidRPr="000839A4">
        <w:rPr>
          <w:szCs w:val="24"/>
        </w:rPr>
        <w:t>1.</w:t>
      </w:r>
      <w:r w:rsidRPr="000839A4">
        <w:rPr>
          <w:szCs w:val="24"/>
        </w:rPr>
        <w:tab/>
        <w:t xml:space="preserve">prodeje těchto nemovitých věcí, pokud jsou nebo byly </w:t>
      </w:r>
      <w:r w:rsidRPr="000839A4">
        <w:rPr>
          <w:strike/>
          <w:szCs w:val="24"/>
        </w:rPr>
        <w:t>zahrnuty do obchodního majetku</w:t>
      </w:r>
      <w:r w:rsidRPr="000839A4">
        <w:rPr>
          <w:b/>
          <w:noProof/>
          <w:szCs w:val="24"/>
        </w:rPr>
        <w:t xml:space="preserve"> evidovaným aktivem</w:t>
      </w:r>
      <w:r w:rsidRPr="000839A4">
        <w:rPr>
          <w:szCs w:val="24"/>
        </w:rPr>
        <w:t xml:space="preserve">, a to do 2 let od </w:t>
      </w:r>
      <w:r w:rsidRPr="000839A4">
        <w:rPr>
          <w:strike/>
          <w:szCs w:val="24"/>
        </w:rPr>
        <w:t>jejich</w:t>
      </w:r>
      <w:r w:rsidRPr="000839A4">
        <w:rPr>
          <w:szCs w:val="24"/>
        </w:rPr>
        <w:t xml:space="preserve"> </w:t>
      </w:r>
      <w:r w:rsidRPr="000839A4">
        <w:rPr>
          <w:strike/>
          <w:szCs w:val="24"/>
        </w:rPr>
        <w:t>vyřazení z obchodního majetku</w:t>
      </w:r>
      <w:r w:rsidRPr="000839A4">
        <w:rPr>
          <w:noProof/>
          <w:szCs w:val="24"/>
        </w:rPr>
        <w:t xml:space="preserve"> </w:t>
      </w:r>
      <w:r w:rsidRPr="000839A4">
        <w:rPr>
          <w:b/>
          <w:noProof/>
          <w:szCs w:val="24"/>
        </w:rPr>
        <w:t>okamžiku, kdy přestaly být evidovaným aktivem</w:t>
      </w:r>
      <w:r w:rsidRPr="000839A4">
        <w:rPr>
          <w:szCs w:val="24"/>
        </w:rPr>
        <w:t xml:space="preserve">, </w:t>
      </w:r>
    </w:p>
    <w:p w14:paraId="2CFDEBE9" w14:textId="77777777" w:rsidR="000839A4" w:rsidRPr="000839A4" w:rsidRDefault="000839A4" w:rsidP="000839A4">
      <w:pPr>
        <w:tabs>
          <w:tab w:val="left" w:pos="357"/>
        </w:tabs>
        <w:spacing w:before="0"/>
        <w:ind w:left="714" w:hanging="357"/>
        <w:rPr>
          <w:szCs w:val="24"/>
        </w:rPr>
      </w:pPr>
      <w:r w:rsidRPr="000839A4">
        <w:rPr>
          <w:szCs w:val="24"/>
        </w:rPr>
        <w:t>2.</w:t>
      </w:r>
      <w:r w:rsidRPr="000839A4">
        <w:rPr>
          <w:szCs w:val="24"/>
        </w:rPr>
        <w:tab/>
        <w:t xml:space="preserve">budoucího prodeje těchto nemovitých věcí uskutečněného v době do 2 let od nabytí vlastnického práva k těmto nemovitým věcem, </w:t>
      </w:r>
    </w:p>
    <w:p w14:paraId="245001C5" w14:textId="77777777" w:rsidR="000839A4" w:rsidRPr="000839A4" w:rsidRDefault="000839A4" w:rsidP="000839A4">
      <w:pPr>
        <w:tabs>
          <w:tab w:val="left" w:pos="357"/>
        </w:tabs>
        <w:spacing w:before="0"/>
        <w:ind w:left="714" w:hanging="357"/>
        <w:rPr>
          <w:szCs w:val="24"/>
        </w:rPr>
      </w:pPr>
      <w:r w:rsidRPr="000839A4">
        <w:rPr>
          <w:szCs w:val="24"/>
        </w:rPr>
        <w:t>3.</w:t>
      </w:r>
      <w:r w:rsidRPr="000839A4">
        <w:rPr>
          <w:szCs w:val="24"/>
        </w:rPr>
        <w:tab/>
        <w:t>budoucího prodeje těchto nemovitých věcí uskutečněného v době do 2 let od</w:t>
      </w:r>
      <w:r w:rsidRPr="000839A4">
        <w:rPr>
          <w:strike/>
          <w:szCs w:val="24"/>
        </w:rPr>
        <w:t xml:space="preserve"> jejich vyřazení z obchodního majetku</w:t>
      </w:r>
      <w:r w:rsidRPr="000839A4">
        <w:rPr>
          <w:b/>
          <w:noProof/>
          <w:szCs w:val="24"/>
        </w:rPr>
        <w:t xml:space="preserve"> okamžiku, kdy přestaly být evidovaným aktivem</w:t>
      </w:r>
      <w:r w:rsidRPr="000839A4">
        <w:rPr>
          <w:szCs w:val="24"/>
        </w:rPr>
        <w:t xml:space="preserve">, i když kupní smlouva bude uzavřena až po 2 letech od tohoto nabytí nebo po 2 letech od </w:t>
      </w:r>
      <w:r w:rsidRPr="000839A4">
        <w:rPr>
          <w:strike/>
          <w:szCs w:val="24"/>
        </w:rPr>
        <w:t>tohoto vyřazení z obchodního majetku</w:t>
      </w:r>
      <w:r w:rsidRPr="000839A4">
        <w:rPr>
          <w:szCs w:val="24"/>
        </w:rPr>
        <w:t xml:space="preserve"> </w:t>
      </w:r>
      <w:r w:rsidRPr="000839A4">
        <w:rPr>
          <w:b/>
          <w:noProof/>
          <w:szCs w:val="24"/>
        </w:rPr>
        <w:t>okamžiku, kdy přestaly být evidovaným aktivem</w:t>
      </w:r>
      <w:r w:rsidRPr="000839A4">
        <w:rPr>
          <w:szCs w:val="24"/>
        </w:rPr>
        <w:t xml:space="preserve">, </w:t>
      </w:r>
    </w:p>
    <w:p w14:paraId="2C6097EB" w14:textId="77777777" w:rsidR="000839A4" w:rsidRPr="000839A4" w:rsidRDefault="000839A4" w:rsidP="000839A4">
      <w:pPr>
        <w:spacing w:before="0"/>
        <w:ind w:left="426" w:hanging="426"/>
        <w:outlineLvl w:val="7"/>
      </w:pPr>
      <w:r w:rsidRPr="000839A4">
        <w:t>b)</w:t>
      </w:r>
      <w:r w:rsidRPr="000839A4">
        <w:tab/>
        <w:t xml:space="preserve">příjem z prodeje nemovitých věcí nebo z vypořádání spoluvlastnictví k nemovitým věcem neosvobozený podle písmene a), přesáhne-li doba mezi nabytím vlastnického práva k těmto nemovitým věcem a jejich prodejem nebo vypořádáním spoluvlastnictví k nim dobu 10 let; příjem z prodeje nemovitých věcí nebo z vypořádání spoluvlastnictví </w:t>
      </w:r>
      <w:r w:rsidRPr="000839A4">
        <w:lastRenderedPageBreak/>
        <w:t xml:space="preserve">k nemovitým věcem neosvobozený podle písmene a), nepřesáhne-li doba mezi nabytím vlastnického práva k těmto nemovitým věcem a jejich prodejem nebo vypořádáním spoluvlastnictví k nim dobu 10 let a použije-li poplatník získané prostředky na obstarání vlastní bytové potřeby; doba 10 let se zkracuje o dobu, po kterou byly tyto nemovité věci prokazatelně ve vlastnictví zůstavitele v případě, že jde o prodej nemovitých věcí nabytých děděním od zůstavitele, který byl příbuzným v řadě přímé nebo manželem, nebo o vypořádání spoluvlastnictví k nemovitým věcem nabytým děděním od takového zůstavitele nebo o dobu, po kterou prodávající nebo spoluvlastník vlastnil pozemek, jenž byl předmětem výměny v rámci pozemkových úprav, v případě prodeje nebo vypořádání spoluvlastnictví k pozemku nabytého výměnou od pozemkového úřadu, tato doba se započítává i do doby, která běží od </w:t>
      </w:r>
      <w:r w:rsidRPr="000839A4">
        <w:rPr>
          <w:strike/>
        </w:rPr>
        <w:t>vyřazení vyměněného pozemku z obchodního majetku</w:t>
      </w:r>
      <w:r w:rsidRPr="000839A4">
        <w:rPr>
          <w:b/>
        </w:rPr>
        <w:t xml:space="preserve"> okamžiku, kdy vyměněný pozemek přestal být evidovaným aktivem</w:t>
      </w:r>
      <w:r w:rsidRPr="000839A4">
        <w:t>; osvobození se nevztahuje na příjem z </w:t>
      </w:r>
    </w:p>
    <w:p w14:paraId="10B0D270" w14:textId="77777777" w:rsidR="000839A4" w:rsidRPr="000839A4" w:rsidRDefault="000839A4" w:rsidP="000839A4">
      <w:pPr>
        <w:spacing w:before="0"/>
        <w:ind w:left="851" w:hanging="426"/>
        <w:outlineLvl w:val="8"/>
      </w:pPr>
      <w:r w:rsidRPr="000839A4">
        <w:t>1.</w:t>
      </w:r>
      <w:r w:rsidRPr="000839A4">
        <w:tab/>
        <w:t xml:space="preserve">prodeje těchto nemovitých věcí, které jsou nebo v období 10 let před prodejem byly </w:t>
      </w:r>
      <w:r w:rsidRPr="000839A4">
        <w:rPr>
          <w:strike/>
        </w:rPr>
        <w:t>zahrnuty do obchodního majetku</w:t>
      </w:r>
      <w:r w:rsidRPr="000839A4">
        <w:rPr>
          <w:b/>
        </w:rPr>
        <w:t xml:space="preserve"> evidovaným aktivem</w:t>
      </w:r>
      <w:r w:rsidRPr="000839A4">
        <w:t xml:space="preserve">, nebo vypořádání spoluvlastnictví k takovým nemovitým věcem, </w:t>
      </w:r>
    </w:p>
    <w:p w14:paraId="6A85D1C6" w14:textId="77777777" w:rsidR="000839A4" w:rsidRPr="000839A4" w:rsidRDefault="000839A4" w:rsidP="000839A4">
      <w:pPr>
        <w:spacing w:before="0"/>
        <w:ind w:left="851" w:hanging="426"/>
        <w:outlineLvl w:val="8"/>
      </w:pPr>
      <w:r w:rsidRPr="000839A4">
        <w:t>2.</w:t>
      </w:r>
      <w:r w:rsidRPr="000839A4">
        <w:tab/>
        <w:t xml:space="preserve">budoucího prodeje těchto nemovitých věcí uskutečněného do 10 let příjem z prodeje nemovitých věcí nebo z vypořádání spoluvlastnictví k nemovitým věcem, i když kupní smlouva bude uzavřena až po 10 letech od tohoto nabytí, </w:t>
      </w:r>
    </w:p>
    <w:p w14:paraId="2ACD96E3" w14:textId="77777777" w:rsidR="000839A4" w:rsidRPr="000839A4" w:rsidRDefault="000839A4" w:rsidP="000839A4">
      <w:pPr>
        <w:spacing w:before="0"/>
        <w:ind w:left="851" w:hanging="426"/>
        <w:outlineLvl w:val="8"/>
      </w:pPr>
      <w:r w:rsidRPr="000839A4">
        <w:t>3.</w:t>
      </w:r>
      <w:r w:rsidRPr="000839A4">
        <w:tab/>
        <w:t xml:space="preserve">budoucího prodeje těchto nemovitých věcí uskutečněného do 10 let od </w:t>
      </w:r>
      <w:r w:rsidRPr="000839A4">
        <w:rPr>
          <w:strike/>
        </w:rPr>
        <w:t>jejich vyřazení z obchodního majetku</w:t>
      </w:r>
      <w:r w:rsidRPr="000839A4">
        <w:rPr>
          <w:b/>
        </w:rPr>
        <w:t xml:space="preserve"> okamžiku, kdy přestaly být evidovaným aktivem</w:t>
      </w:r>
      <w:r w:rsidRPr="000839A4">
        <w:t xml:space="preserve">, i když kupní smlouva bude uzavřena až po 10 letech od takového </w:t>
      </w:r>
      <w:r w:rsidRPr="000839A4">
        <w:rPr>
          <w:strike/>
        </w:rPr>
        <w:t xml:space="preserve">vyřazení </w:t>
      </w:r>
      <w:r w:rsidRPr="000839A4">
        <w:rPr>
          <w:b/>
        </w:rPr>
        <w:t>okamžiku</w:t>
      </w:r>
      <w:r w:rsidRPr="000839A4">
        <w:t xml:space="preserve">, </w:t>
      </w:r>
    </w:p>
    <w:p w14:paraId="2C2242E8" w14:textId="77777777" w:rsidR="000839A4" w:rsidRPr="000839A4" w:rsidRDefault="000839A4" w:rsidP="000839A4">
      <w:pPr>
        <w:spacing w:before="0"/>
        <w:ind w:left="851" w:hanging="426"/>
        <w:outlineLvl w:val="8"/>
      </w:pPr>
      <w:r w:rsidRPr="000839A4">
        <w:t>4.</w:t>
      </w:r>
      <w:r w:rsidRPr="000839A4">
        <w:tab/>
        <w:t xml:space="preserve">prodeje práva stavby nebo vypořádání spoluvlastnictví k právu stavby, není-li zřízena stavba vyhovující právu stavby, </w:t>
      </w:r>
    </w:p>
    <w:p w14:paraId="396D79DA" w14:textId="77777777" w:rsidR="000839A4" w:rsidRPr="000839A4" w:rsidRDefault="000839A4" w:rsidP="000839A4">
      <w:pPr>
        <w:tabs>
          <w:tab w:val="left" w:pos="357"/>
        </w:tabs>
        <w:spacing w:before="0"/>
        <w:ind w:left="357" w:hanging="357"/>
        <w:rPr>
          <w:szCs w:val="24"/>
        </w:rPr>
      </w:pPr>
      <w:r w:rsidRPr="000839A4">
        <w:rPr>
          <w:szCs w:val="24"/>
        </w:rPr>
        <w:t>c)</w:t>
      </w:r>
      <w:r w:rsidRPr="000839A4">
        <w:rPr>
          <w:szCs w:val="24"/>
        </w:rPr>
        <w:tab/>
        <w:t xml:space="preserve">příjem z prodeje hmotné movité věci s výjimkou příjmu z prodeje </w:t>
      </w:r>
    </w:p>
    <w:p w14:paraId="37E8632F" w14:textId="77777777" w:rsidR="000839A4" w:rsidRPr="000839A4" w:rsidRDefault="000839A4" w:rsidP="000839A4">
      <w:pPr>
        <w:tabs>
          <w:tab w:val="left" w:pos="357"/>
        </w:tabs>
        <w:spacing w:before="0"/>
        <w:ind w:left="714" w:hanging="357"/>
        <w:rPr>
          <w:szCs w:val="24"/>
        </w:rPr>
      </w:pPr>
      <w:r w:rsidRPr="000839A4">
        <w:rPr>
          <w:szCs w:val="24"/>
        </w:rPr>
        <w:t>1.</w:t>
      </w:r>
      <w:r w:rsidRPr="000839A4">
        <w:rPr>
          <w:szCs w:val="24"/>
        </w:rPr>
        <w:tab/>
        <w:t xml:space="preserve">cenného papíru, </w:t>
      </w:r>
    </w:p>
    <w:p w14:paraId="6931C462" w14:textId="77777777" w:rsidR="000839A4" w:rsidRPr="000839A4" w:rsidRDefault="000839A4" w:rsidP="000839A4">
      <w:pPr>
        <w:tabs>
          <w:tab w:val="left" w:pos="357"/>
        </w:tabs>
        <w:spacing w:before="0"/>
        <w:ind w:left="714" w:hanging="357"/>
        <w:rPr>
          <w:szCs w:val="24"/>
        </w:rPr>
      </w:pPr>
      <w:r w:rsidRPr="000839A4">
        <w:rPr>
          <w:szCs w:val="24"/>
        </w:rPr>
        <w:t>2.</w:t>
      </w:r>
      <w:r w:rsidRPr="000839A4">
        <w:rPr>
          <w:szCs w:val="24"/>
        </w:rPr>
        <w:tab/>
        <w:t xml:space="preserve">motorového vozidla, letadla nebo lodě, nepřesahuje-li doba mezi jejich nabytím a prodejem dobu 1 roku, </w:t>
      </w:r>
    </w:p>
    <w:p w14:paraId="3547DA4A" w14:textId="77777777" w:rsidR="000839A4" w:rsidRPr="000839A4" w:rsidRDefault="000839A4" w:rsidP="000839A4">
      <w:pPr>
        <w:tabs>
          <w:tab w:val="left" w:pos="357"/>
        </w:tabs>
        <w:spacing w:before="0"/>
        <w:ind w:left="714" w:hanging="357"/>
        <w:rPr>
          <w:szCs w:val="24"/>
        </w:rPr>
      </w:pPr>
      <w:r w:rsidRPr="000839A4">
        <w:rPr>
          <w:szCs w:val="24"/>
        </w:rPr>
        <w:t>3.</w:t>
      </w:r>
      <w:r w:rsidRPr="000839A4">
        <w:rPr>
          <w:szCs w:val="24"/>
        </w:rPr>
        <w:tab/>
        <w:t xml:space="preserve">movité věci, která je nebo v období 5 let před prodejem byla </w:t>
      </w:r>
      <w:r w:rsidRPr="000839A4">
        <w:rPr>
          <w:strike/>
          <w:szCs w:val="24"/>
        </w:rPr>
        <w:t xml:space="preserve">zahrnuta do obchodního majetku </w:t>
      </w:r>
      <w:r w:rsidRPr="000839A4">
        <w:rPr>
          <w:b/>
          <w:szCs w:val="24"/>
        </w:rPr>
        <w:t>evidovaným aktivem</w:t>
      </w:r>
      <w:r w:rsidRPr="000839A4">
        <w:rPr>
          <w:szCs w:val="24"/>
        </w:rPr>
        <w:t xml:space="preserve">, </w:t>
      </w:r>
    </w:p>
    <w:p w14:paraId="208E17EF" w14:textId="77777777" w:rsidR="000839A4" w:rsidRPr="000839A4" w:rsidRDefault="000839A4" w:rsidP="000839A4">
      <w:pPr>
        <w:tabs>
          <w:tab w:val="left" w:pos="357"/>
        </w:tabs>
        <w:spacing w:before="0"/>
        <w:ind w:left="357" w:hanging="357"/>
        <w:rPr>
          <w:szCs w:val="24"/>
        </w:rPr>
      </w:pPr>
      <w:r w:rsidRPr="000839A4">
        <w:rPr>
          <w:szCs w:val="24"/>
        </w:rPr>
        <w:t>d)</w:t>
      </w:r>
      <w:r w:rsidRPr="000839A4">
        <w:rPr>
          <w:szCs w:val="24"/>
        </w:rPr>
        <w:tab/>
        <w:t xml:space="preserve">přijatá náhrada majetkové nebo nemajetkové újmy, plnění z pojištění majetku, plnění z pojištění odpovědnosti za škodu, plnění z cestovního pojištění; osvobození se nevztahuje na </w:t>
      </w:r>
    </w:p>
    <w:p w14:paraId="0638F781" w14:textId="77777777" w:rsidR="000839A4" w:rsidRPr="000839A4" w:rsidRDefault="000839A4" w:rsidP="000839A4">
      <w:pPr>
        <w:tabs>
          <w:tab w:val="left" w:pos="357"/>
        </w:tabs>
        <w:spacing w:before="0"/>
        <w:ind w:left="714" w:hanging="357"/>
        <w:rPr>
          <w:szCs w:val="24"/>
        </w:rPr>
      </w:pPr>
      <w:r w:rsidRPr="000839A4">
        <w:rPr>
          <w:szCs w:val="24"/>
        </w:rPr>
        <w:t>1.</w:t>
      </w:r>
      <w:r w:rsidRPr="000839A4">
        <w:rPr>
          <w:szCs w:val="24"/>
        </w:rPr>
        <w:tab/>
        <w:t xml:space="preserve">náhradu za ztrátu příjmu, </w:t>
      </w:r>
    </w:p>
    <w:p w14:paraId="527BD4DF" w14:textId="77777777" w:rsidR="000839A4" w:rsidRPr="000839A4" w:rsidRDefault="000839A4" w:rsidP="000839A4">
      <w:pPr>
        <w:tabs>
          <w:tab w:val="left" w:pos="357"/>
        </w:tabs>
        <w:spacing w:before="0"/>
        <w:ind w:left="714" w:hanging="357"/>
        <w:rPr>
          <w:strike/>
          <w:szCs w:val="24"/>
        </w:rPr>
      </w:pPr>
      <w:r w:rsidRPr="000839A4">
        <w:rPr>
          <w:strike/>
          <w:szCs w:val="24"/>
        </w:rPr>
        <w:t>2.</w:t>
      </w:r>
      <w:r w:rsidRPr="000839A4">
        <w:rPr>
          <w:strike/>
          <w:szCs w:val="24"/>
        </w:rPr>
        <w:tab/>
        <w:t xml:space="preserve">náhradu za škodu způsobenou na majetku, který byl zahrnut do obchodního majetku pro výkon činnosti, ze které plyne příjem ze samostatné činnosti, v době vzniku škody, </w:t>
      </w:r>
    </w:p>
    <w:p w14:paraId="73A25403" w14:textId="77777777" w:rsidR="000839A4" w:rsidRPr="000839A4" w:rsidRDefault="000839A4" w:rsidP="000839A4">
      <w:pPr>
        <w:tabs>
          <w:tab w:val="left" w:pos="357"/>
        </w:tabs>
        <w:spacing w:before="0"/>
        <w:ind w:left="714" w:hanging="357"/>
        <w:rPr>
          <w:szCs w:val="24"/>
        </w:rPr>
      </w:pPr>
      <w:proofErr w:type="gramStart"/>
      <w:r w:rsidRPr="000839A4">
        <w:rPr>
          <w:strike/>
          <w:szCs w:val="24"/>
        </w:rPr>
        <w:t>3.</w:t>
      </w:r>
      <w:r w:rsidRPr="000839A4">
        <w:rPr>
          <w:b/>
          <w:szCs w:val="24"/>
        </w:rPr>
        <w:t>2.</w:t>
      </w:r>
      <w:r w:rsidRPr="000839A4">
        <w:rPr>
          <w:szCs w:val="24"/>
        </w:rPr>
        <w:t xml:space="preserve"> náhradu</w:t>
      </w:r>
      <w:proofErr w:type="gramEnd"/>
      <w:r w:rsidRPr="000839A4">
        <w:rPr>
          <w:szCs w:val="24"/>
        </w:rPr>
        <w:t xml:space="preserve"> za škodu způsobenou na </w:t>
      </w:r>
      <w:r w:rsidRPr="000839A4">
        <w:rPr>
          <w:strike/>
          <w:szCs w:val="24"/>
        </w:rPr>
        <w:t>majetku sloužícím v době vzniku škody k nájmu</w:t>
      </w:r>
      <w:r w:rsidRPr="000839A4">
        <w:rPr>
          <w:noProof/>
          <w:szCs w:val="24"/>
        </w:rPr>
        <w:t xml:space="preserve"> </w:t>
      </w:r>
      <w:r w:rsidRPr="000839A4">
        <w:rPr>
          <w:b/>
          <w:noProof/>
          <w:szCs w:val="24"/>
        </w:rPr>
        <w:t>aktivu, které bylo v době vzniku škody evidovaným</w:t>
      </w:r>
      <w:r w:rsidRPr="000839A4">
        <w:rPr>
          <w:szCs w:val="24"/>
        </w:rPr>
        <w:t xml:space="preserve">, </w:t>
      </w:r>
    </w:p>
    <w:p w14:paraId="357DF199" w14:textId="77777777" w:rsidR="000839A4" w:rsidRPr="000839A4" w:rsidRDefault="000839A4" w:rsidP="000839A4">
      <w:pPr>
        <w:tabs>
          <w:tab w:val="left" w:pos="357"/>
        </w:tabs>
        <w:spacing w:before="0"/>
        <w:ind w:left="714" w:hanging="357"/>
        <w:rPr>
          <w:szCs w:val="24"/>
        </w:rPr>
      </w:pPr>
      <w:proofErr w:type="gramStart"/>
      <w:r w:rsidRPr="000839A4">
        <w:rPr>
          <w:strike/>
          <w:szCs w:val="24"/>
        </w:rPr>
        <w:t>4.</w:t>
      </w:r>
      <w:r w:rsidRPr="000839A4">
        <w:rPr>
          <w:b/>
          <w:szCs w:val="24"/>
        </w:rPr>
        <w:t xml:space="preserve">3. </w:t>
      </w:r>
      <w:r w:rsidRPr="000839A4">
        <w:rPr>
          <w:szCs w:val="24"/>
        </w:rPr>
        <w:t>plnění</w:t>
      </w:r>
      <w:proofErr w:type="gramEnd"/>
      <w:r w:rsidRPr="000839A4">
        <w:rPr>
          <w:szCs w:val="24"/>
        </w:rPr>
        <w:t xml:space="preserve"> z pojištění odpovědnosti za škodu způsobenou v souvislosti s činností, ze které plyne příjem ze samostatné činnosti, poplatníka, </w:t>
      </w:r>
    </w:p>
    <w:p w14:paraId="3BAA53D2" w14:textId="77777777" w:rsidR="000839A4" w:rsidRPr="000839A4" w:rsidRDefault="000839A4" w:rsidP="000839A4">
      <w:pPr>
        <w:tabs>
          <w:tab w:val="left" w:pos="357"/>
        </w:tabs>
        <w:spacing w:before="0"/>
        <w:ind w:left="714" w:hanging="357"/>
        <w:rPr>
          <w:szCs w:val="24"/>
        </w:rPr>
      </w:pPr>
      <w:proofErr w:type="gramStart"/>
      <w:r w:rsidRPr="000839A4">
        <w:rPr>
          <w:strike/>
          <w:szCs w:val="24"/>
        </w:rPr>
        <w:t>5.</w:t>
      </w:r>
      <w:r w:rsidRPr="000839A4">
        <w:rPr>
          <w:b/>
          <w:szCs w:val="24"/>
        </w:rPr>
        <w:t>4.</w:t>
      </w:r>
      <w:r w:rsidRPr="000839A4">
        <w:rPr>
          <w:szCs w:val="24"/>
        </w:rPr>
        <w:t xml:space="preserve"> náhradu</w:t>
      </w:r>
      <w:proofErr w:type="gramEnd"/>
      <w:r w:rsidRPr="000839A4">
        <w:rPr>
          <w:szCs w:val="24"/>
        </w:rPr>
        <w:t xml:space="preserve"> za škodu způsobenou poplatníkem v souvislosti s nájmem,</w:t>
      </w:r>
    </w:p>
    <w:p w14:paraId="105E85F2" w14:textId="77777777" w:rsidR="000839A4" w:rsidRPr="000839A4" w:rsidRDefault="000839A4" w:rsidP="000839A4">
      <w:pPr>
        <w:tabs>
          <w:tab w:val="left" w:pos="357"/>
        </w:tabs>
        <w:spacing w:before="0"/>
        <w:ind w:left="357" w:hanging="357"/>
        <w:rPr>
          <w:szCs w:val="24"/>
        </w:rPr>
      </w:pPr>
      <w:r w:rsidRPr="000839A4">
        <w:rPr>
          <w:szCs w:val="24"/>
        </w:rPr>
        <w:t>e)</w:t>
      </w:r>
      <w:r w:rsidRPr="000839A4">
        <w:rPr>
          <w:szCs w:val="24"/>
        </w:rPr>
        <w:tab/>
        <w:t xml:space="preserve">výnos z prostředků rezerv uložených na zvláštním vázaném účtu v bance podle zákona upravujícího rezervy pro zjištění základu daně z příjmů, stane-li se příjmem zvláštního vázaného účtu, </w:t>
      </w:r>
    </w:p>
    <w:p w14:paraId="1545428C" w14:textId="77777777" w:rsidR="000839A4" w:rsidRPr="000839A4" w:rsidRDefault="000839A4" w:rsidP="000839A4">
      <w:pPr>
        <w:tabs>
          <w:tab w:val="left" w:pos="357"/>
        </w:tabs>
        <w:spacing w:before="0"/>
        <w:ind w:left="357" w:hanging="357"/>
        <w:rPr>
          <w:szCs w:val="24"/>
        </w:rPr>
      </w:pPr>
      <w:r w:rsidRPr="000839A4">
        <w:rPr>
          <w:szCs w:val="24"/>
        </w:rPr>
        <w:t>f)</w:t>
      </w:r>
      <w:r w:rsidRPr="000839A4">
        <w:rPr>
          <w:szCs w:val="24"/>
        </w:rPr>
        <w:tab/>
        <w:t xml:space="preserve">příjem v podobě </w:t>
      </w:r>
    </w:p>
    <w:p w14:paraId="1D16C017" w14:textId="77777777" w:rsidR="000839A4" w:rsidRPr="000839A4" w:rsidRDefault="000839A4" w:rsidP="000839A4">
      <w:pPr>
        <w:tabs>
          <w:tab w:val="left" w:pos="357"/>
        </w:tabs>
        <w:spacing w:before="0"/>
        <w:ind w:left="714" w:hanging="357"/>
        <w:rPr>
          <w:szCs w:val="24"/>
        </w:rPr>
      </w:pPr>
      <w:r w:rsidRPr="000839A4">
        <w:rPr>
          <w:szCs w:val="24"/>
        </w:rPr>
        <w:t>1.</w:t>
      </w:r>
      <w:r w:rsidRPr="000839A4">
        <w:rPr>
          <w:szCs w:val="24"/>
        </w:rPr>
        <w:tab/>
        <w:t xml:space="preserve">náhrady přijaté v souvislosti s nápravou některých majetkových křivd, </w:t>
      </w:r>
    </w:p>
    <w:p w14:paraId="0CD3F3EC" w14:textId="77777777" w:rsidR="000839A4" w:rsidRPr="000839A4" w:rsidRDefault="000839A4" w:rsidP="000839A4">
      <w:pPr>
        <w:tabs>
          <w:tab w:val="left" w:pos="357"/>
        </w:tabs>
        <w:spacing w:before="0"/>
        <w:ind w:left="714" w:hanging="357"/>
        <w:rPr>
          <w:szCs w:val="24"/>
        </w:rPr>
      </w:pPr>
      <w:r w:rsidRPr="000839A4">
        <w:rPr>
          <w:szCs w:val="24"/>
        </w:rPr>
        <w:t>2.</w:t>
      </w:r>
      <w:r w:rsidRPr="000839A4">
        <w:rPr>
          <w:szCs w:val="24"/>
        </w:rPr>
        <w:tab/>
        <w:t xml:space="preserve">úplaty za prodej věci vydané v souvislosti s nápravou některých majetkových křivd podle právních předpisů o restituci majetku; toto osvobození se uplatní i v případě, jestliže v době mezi nabytím a prodejem nemovité věci došlo k vypořádání mezi </w:t>
      </w:r>
      <w:r w:rsidRPr="000839A4">
        <w:rPr>
          <w:szCs w:val="24"/>
        </w:rPr>
        <w:lastRenderedPageBreak/>
        <w:t xml:space="preserve">spoluvlastníky rozdělením věci podle velikosti jejich podílů nebo jestliže v nemovité věci vznikly jednotky; osvobození se neuplatní u věci, která je nebo v období 5 let před prodejem byla </w:t>
      </w:r>
      <w:r w:rsidRPr="000839A4">
        <w:rPr>
          <w:strike/>
          <w:szCs w:val="24"/>
        </w:rPr>
        <w:t xml:space="preserve">zahrnuta do obchodního majetku </w:t>
      </w:r>
      <w:r w:rsidRPr="000839A4">
        <w:rPr>
          <w:b/>
          <w:szCs w:val="24"/>
        </w:rPr>
        <w:t>evidovaným aktivem</w:t>
      </w:r>
      <w:r w:rsidRPr="000839A4">
        <w:rPr>
          <w:szCs w:val="24"/>
        </w:rPr>
        <w:t xml:space="preserve">, </w:t>
      </w:r>
    </w:p>
    <w:p w14:paraId="3A4155BD" w14:textId="77777777" w:rsidR="000839A4" w:rsidRPr="000839A4" w:rsidRDefault="000839A4" w:rsidP="000839A4">
      <w:pPr>
        <w:tabs>
          <w:tab w:val="left" w:pos="357"/>
        </w:tabs>
        <w:spacing w:before="0"/>
        <w:ind w:left="714" w:hanging="357"/>
        <w:rPr>
          <w:szCs w:val="24"/>
        </w:rPr>
      </w:pPr>
      <w:r w:rsidRPr="000839A4">
        <w:rPr>
          <w:szCs w:val="24"/>
        </w:rPr>
        <w:t>3.</w:t>
      </w:r>
      <w:r w:rsidRPr="000839A4">
        <w:rPr>
          <w:szCs w:val="24"/>
        </w:rPr>
        <w:tab/>
        <w:t xml:space="preserve">příplatku nebo příspěvku k důchodu podle jiných právních předpisů, </w:t>
      </w:r>
    </w:p>
    <w:p w14:paraId="7783058E" w14:textId="77777777" w:rsidR="000839A4" w:rsidRPr="000839A4" w:rsidRDefault="000839A4" w:rsidP="000839A4">
      <w:pPr>
        <w:tabs>
          <w:tab w:val="left" w:pos="357"/>
        </w:tabs>
        <w:spacing w:before="0"/>
        <w:ind w:left="714" w:hanging="357"/>
        <w:rPr>
          <w:szCs w:val="24"/>
        </w:rPr>
      </w:pPr>
      <w:r w:rsidRPr="000839A4">
        <w:rPr>
          <w:szCs w:val="24"/>
        </w:rPr>
        <w:t>4.</w:t>
      </w:r>
      <w:r w:rsidRPr="000839A4">
        <w:rPr>
          <w:szCs w:val="24"/>
        </w:rPr>
        <w:tab/>
        <w:t xml:space="preserve">úroku ze státního dluhopisu vydaného v souvislosti s rehabilitačním řízením o nápravách křivd, </w:t>
      </w:r>
    </w:p>
    <w:p w14:paraId="787906E1" w14:textId="77777777" w:rsidR="000839A4" w:rsidRPr="000839A4" w:rsidRDefault="000839A4" w:rsidP="000839A4">
      <w:pPr>
        <w:tabs>
          <w:tab w:val="left" w:pos="357"/>
        </w:tabs>
        <w:spacing w:before="0"/>
        <w:ind w:left="714" w:hanging="357"/>
        <w:rPr>
          <w:szCs w:val="24"/>
        </w:rPr>
      </w:pPr>
      <w:r w:rsidRPr="000839A4">
        <w:rPr>
          <w:szCs w:val="24"/>
        </w:rPr>
        <w:t xml:space="preserve">5. </w:t>
      </w:r>
      <w:r w:rsidRPr="000839A4">
        <w:rPr>
          <w:szCs w:val="24"/>
        </w:rPr>
        <w:tab/>
        <w:t>jednorázové peněžní částky vyplacené státem osobě sterilizované v rozporu s právem,</w:t>
      </w:r>
    </w:p>
    <w:p w14:paraId="5609CDF6" w14:textId="77777777" w:rsidR="000839A4" w:rsidRPr="000839A4" w:rsidRDefault="000839A4" w:rsidP="000839A4">
      <w:pPr>
        <w:tabs>
          <w:tab w:val="left" w:pos="357"/>
        </w:tabs>
        <w:spacing w:before="0"/>
        <w:ind w:left="714" w:hanging="357"/>
        <w:rPr>
          <w:szCs w:val="24"/>
        </w:rPr>
      </w:pPr>
      <w:r w:rsidRPr="000839A4">
        <w:rPr>
          <w:szCs w:val="24"/>
        </w:rPr>
        <w:t>6. jednorázového odškodnění vyplaceného státem osobě v souvislosti s mimořádnou událostí v areálu muničních skladů Vlachovice-</w:t>
      </w:r>
      <w:proofErr w:type="spellStart"/>
      <w:r w:rsidRPr="000839A4">
        <w:rPr>
          <w:szCs w:val="24"/>
        </w:rPr>
        <w:t>Vrbětice</w:t>
      </w:r>
      <w:proofErr w:type="spellEnd"/>
      <w:r w:rsidRPr="000839A4">
        <w:rPr>
          <w:szCs w:val="24"/>
        </w:rPr>
        <w:t>,</w:t>
      </w:r>
    </w:p>
    <w:p w14:paraId="512F49AE" w14:textId="77777777" w:rsidR="000839A4" w:rsidRPr="000839A4" w:rsidRDefault="000839A4" w:rsidP="000839A4">
      <w:pPr>
        <w:tabs>
          <w:tab w:val="left" w:pos="357"/>
        </w:tabs>
        <w:spacing w:before="0"/>
        <w:ind w:left="357" w:hanging="357"/>
        <w:rPr>
          <w:szCs w:val="24"/>
        </w:rPr>
      </w:pPr>
      <w:r w:rsidRPr="000839A4">
        <w:rPr>
          <w:szCs w:val="24"/>
        </w:rPr>
        <w:t>g)</w:t>
      </w:r>
      <w:r w:rsidRPr="000839A4">
        <w:rPr>
          <w:b/>
          <w:color w:val="808080" w:themeColor="background1" w:themeShade="80"/>
          <w:szCs w:val="24"/>
        </w:rPr>
        <w:tab/>
      </w:r>
      <w:r w:rsidRPr="000839A4">
        <w:rPr>
          <w:szCs w:val="24"/>
        </w:rPr>
        <w:t xml:space="preserve">příjem získaný ve formě dávky nebo služby z nemocenského pojištění, důchodového pojištění podle zákona upravujícího důchodové pojištění, peněžní pomoci obětem trestné činnosti podle zákona upravujícího poskytnutí peněžní pomoci obětem trestné činnosti, sociálního zabezpečení, plnění z uplatnění nástrojů státní politiky zaměstnanosti a veřejného zdravotního pojištění, plnění z pojistné smlouvy o pojištění důchodu podle zákona upravujícího důchodové spoření a plnění ze zahraničního povinného pojištění stejného druhu; jde-li však o příjem ve formě pravidelně vypláceného důchodu nebo penze, je od daně osvobozena z úhrnu takových příjmů nejvýše částka ve výši 36násobku minimální mzdy, která je platná k 1. lednu kalendářního roku, za zdaňovací období, do níž se však nezahrnuje výše příplatku nebo příspěvku k důchodu podle jiných právních předpisů, </w:t>
      </w:r>
    </w:p>
    <w:p w14:paraId="1E2A86F5" w14:textId="77777777" w:rsidR="000839A4" w:rsidRPr="000839A4" w:rsidRDefault="000839A4" w:rsidP="000839A4">
      <w:pPr>
        <w:tabs>
          <w:tab w:val="left" w:pos="357"/>
        </w:tabs>
        <w:spacing w:before="0"/>
        <w:ind w:left="357" w:hanging="357"/>
        <w:rPr>
          <w:szCs w:val="24"/>
        </w:rPr>
      </w:pPr>
      <w:r w:rsidRPr="000839A4">
        <w:rPr>
          <w:szCs w:val="24"/>
        </w:rPr>
        <w:t>h)</w:t>
      </w:r>
      <w:r w:rsidRPr="000839A4">
        <w:rPr>
          <w:szCs w:val="24"/>
        </w:rPr>
        <w:tab/>
        <w:t xml:space="preserve">dávka pro osobu se zdravotním postižením, dávka pomoci v hmotné nouzi, sociální služba, dávka státní sociální podpory, dávka pěstounské péče s výjimkou odměny pěstouna, náhradní výživné pro nezaopatřené dítě podle zákona o  náhradním výživném, příspěvek z veřejného rozpočtu a státní dávka nebo příspěvek podle jiných právních předpisů </w:t>
      </w:r>
      <w:r w:rsidRPr="000839A4">
        <w:rPr>
          <w:noProof/>
          <w:szCs w:val="24"/>
        </w:rPr>
        <w:t>s výjimkou státní podpory podle zákona upravujícího stavební spoření</w:t>
      </w:r>
      <w:r w:rsidRPr="000839A4">
        <w:rPr>
          <w:szCs w:val="24"/>
        </w:rPr>
        <w:t xml:space="preserve"> nebo obdobné plnění poskytované ze zahraničí, příjem plynoucí z důvodu péče o blízkou nebo jinou osobu, která má nárok na příspěvek na péči podle zákona upravujícího sociální služby, a to do výše poskytovaného příspěvku, je-li tato péče vykonávána fyzickou osobou, u níž se nevyžaduje registrace podle zákona upravujícího sociální služby; jde-li však o péči o jinou osobu než osobu blízkou, je od daně měsíčně osvobozena v úhrnu maximálně částka do výše příspěvku pro osobu se IV. stupněm závislosti podle zákona upravujícího sociální služby, </w:t>
      </w:r>
    </w:p>
    <w:p w14:paraId="60882A50" w14:textId="77777777" w:rsidR="000839A4" w:rsidRPr="000839A4" w:rsidRDefault="000839A4" w:rsidP="000839A4">
      <w:pPr>
        <w:tabs>
          <w:tab w:val="left" w:pos="357"/>
        </w:tabs>
        <w:spacing w:before="0"/>
        <w:ind w:left="357" w:hanging="357"/>
        <w:rPr>
          <w:szCs w:val="24"/>
        </w:rPr>
      </w:pPr>
      <w:r w:rsidRPr="000839A4">
        <w:rPr>
          <w:szCs w:val="24"/>
        </w:rPr>
        <w:t>i)</w:t>
      </w:r>
      <w:r w:rsidRPr="000839A4">
        <w:rPr>
          <w:szCs w:val="24"/>
        </w:rPr>
        <w:tab/>
        <w:t xml:space="preserve">příjem ve formě náhrady účelně, hospodárně a prokazatelně vynaložených výdajů spojených s darováním a odběrem krve a jejích složek, tkání, buněk nebo orgánů, pokud se tato náhrada poskytuje podle jiných právních předpisů, </w:t>
      </w:r>
    </w:p>
    <w:p w14:paraId="62CC1993" w14:textId="77777777" w:rsidR="000839A4" w:rsidRPr="000839A4" w:rsidRDefault="000839A4" w:rsidP="000839A4">
      <w:pPr>
        <w:tabs>
          <w:tab w:val="left" w:pos="357"/>
        </w:tabs>
        <w:spacing w:before="0"/>
        <w:ind w:left="357" w:hanging="357"/>
        <w:rPr>
          <w:szCs w:val="24"/>
        </w:rPr>
      </w:pPr>
      <w:r w:rsidRPr="000839A4">
        <w:rPr>
          <w:noProof/>
          <w:szCs w:val="24"/>
        </w:rPr>
        <w:t>j)</w:t>
      </w:r>
      <w:r w:rsidRPr="000839A4">
        <w:rPr>
          <w:b/>
          <w:noProof/>
          <w:color w:val="808080" w:themeColor="background1" w:themeShade="80"/>
          <w:szCs w:val="24"/>
        </w:rPr>
        <w:tab/>
      </w:r>
      <w:r w:rsidRPr="000839A4">
        <w:rPr>
          <w:szCs w:val="24"/>
        </w:rPr>
        <w:t xml:space="preserve">příjem v podobě </w:t>
      </w:r>
    </w:p>
    <w:p w14:paraId="4AFE066D" w14:textId="77777777" w:rsidR="000839A4" w:rsidRPr="000839A4" w:rsidRDefault="000839A4" w:rsidP="000839A4">
      <w:pPr>
        <w:tabs>
          <w:tab w:val="left" w:pos="357"/>
        </w:tabs>
        <w:spacing w:before="0"/>
        <w:ind w:left="714" w:hanging="357"/>
        <w:rPr>
          <w:szCs w:val="24"/>
        </w:rPr>
      </w:pPr>
      <w:r w:rsidRPr="000839A4">
        <w:rPr>
          <w:szCs w:val="24"/>
        </w:rPr>
        <w:t>1.</w:t>
      </w:r>
      <w:r w:rsidRPr="000839A4">
        <w:rPr>
          <w:szCs w:val="24"/>
        </w:rPr>
        <w:tab/>
        <w:t xml:space="preserve">stipendia ze státního rozpočtu, z rozpočtu obce, z rozpočtu kraje, z prostředků vysoké školy, veřejné výzkumné instituce nebo právnické osoby, která vykonává činnost střední školy nebo vyšší odborné školy, </w:t>
      </w:r>
    </w:p>
    <w:p w14:paraId="0E495E44" w14:textId="77777777" w:rsidR="000839A4" w:rsidRPr="000839A4" w:rsidRDefault="000839A4" w:rsidP="000839A4">
      <w:pPr>
        <w:tabs>
          <w:tab w:val="left" w:pos="357"/>
        </w:tabs>
        <w:spacing w:before="0"/>
        <w:ind w:left="714" w:hanging="357"/>
        <w:rPr>
          <w:szCs w:val="24"/>
        </w:rPr>
      </w:pPr>
      <w:r w:rsidRPr="000839A4">
        <w:rPr>
          <w:szCs w:val="24"/>
        </w:rPr>
        <w:t>2.</w:t>
      </w:r>
      <w:r w:rsidRPr="000839A4">
        <w:rPr>
          <w:szCs w:val="24"/>
        </w:rPr>
        <w:tab/>
        <w:t xml:space="preserve">podpory nebo příspěvku z prostředků fundace nebo spolku, s výjimkou rodinné fundace, pokud se nejedná o poplatníka, který je členem nebo zaměstnancem těchto právnických osob, nebo o osobu blízkou tomuto poplatníkovi a jde-li o poplatníka, který je členem nebo zaměstnancem těchto právnických osob, nebo o osobu blízkou tomuto poplatníkovi, příjem v podobě podpory nebo příspěvku poskytnutého výlučně ke kompenzaci zdravotního postižení nebo sociálního vyloučení, </w:t>
      </w:r>
    </w:p>
    <w:p w14:paraId="2FB201F0" w14:textId="77777777" w:rsidR="000839A4" w:rsidRPr="000839A4" w:rsidRDefault="000839A4" w:rsidP="000839A4">
      <w:pPr>
        <w:tabs>
          <w:tab w:val="left" w:pos="357"/>
        </w:tabs>
        <w:spacing w:before="0"/>
        <w:ind w:left="714" w:hanging="357"/>
        <w:rPr>
          <w:szCs w:val="24"/>
        </w:rPr>
      </w:pPr>
      <w:r w:rsidRPr="000839A4">
        <w:rPr>
          <w:szCs w:val="24"/>
        </w:rPr>
        <w:t>3.</w:t>
      </w:r>
      <w:r w:rsidRPr="000839A4">
        <w:rPr>
          <w:szCs w:val="24"/>
        </w:rPr>
        <w:tab/>
        <w:t xml:space="preserve">podpory nebo příspěvku z prostředků odborové organizace, </w:t>
      </w:r>
    </w:p>
    <w:p w14:paraId="5B01269B" w14:textId="77777777" w:rsidR="000839A4" w:rsidRPr="000839A4" w:rsidRDefault="000839A4" w:rsidP="000839A4">
      <w:pPr>
        <w:spacing w:before="0"/>
        <w:ind w:left="425" w:hanging="425"/>
        <w:rPr>
          <w:noProof/>
          <w:szCs w:val="24"/>
        </w:rPr>
      </w:pPr>
      <w:r w:rsidRPr="000839A4">
        <w:rPr>
          <w:noProof/>
          <w:szCs w:val="24"/>
        </w:rPr>
        <w:t>k)</w:t>
      </w:r>
      <w:r w:rsidRPr="000839A4">
        <w:rPr>
          <w:sz w:val="16"/>
          <w:szCs w:val="16"/>
        </w:rPr>
        <w:tab/>
      </w:r>
      <w:r w:rsidRPr="000839A4">
        <w:rPr>
          <w:noProof/>
          <w:szCs w:val="24"/>
        </w:rPr>
        <w:t>příjem v podobě</w:t>
      </w:r>
    </w:p>
    <w:p w14:paraId="56330104" w14:textId="77777777" w:rsidR="000839A4" w:rsidRPr="000839A4" w:rsidRDefault="000839A4" w:rsidP="000839A4">
      <w:pPr>
        <w:spacing w:before="0"/>
        <w:ind w:left="567" w:hanging="283"/>
        <w:rPr>
          <w:noProof/>
          <w:szCs w:val="24"/>
        </w:rPr>
      </w:pPr>
      <w:r w:rsidRPr="000839A4">
        <w:rPr>
          <w:noProof/>
          <w:szCs w:val="24"/>
        </w:rPr>
        <w:t>1.</w:t>
      </w:r>
      <w:r w:rsidRPr="000839A4">
        <w:rPr>
          <w:noProof/>
          <w:szCs w:val="24"/>
        </w:rPr>
        <w:tab/>
        <w:t xml:space="preserve">pozůstalostní penze, u které je vymezeno období pobírání nejméně 10 let nebo která je vyplácena doživotně, nebo jiné penze jako dávek vyplácených z penzijního připojištění </w:t>
      </w:r>
      <w:r w:rsidRPr="000839A4">
        <w:rPr>
          <w:noProof/>
          <w:szCs w:val="24"/>
        </w:rPr>
        <w:lastRenderedPageBreak/>
        <w:t>se státním příspěvkem podle zákona upravujícího penzijní připojištění se státním příspěvkem,</w:t>
      </w:r>
    </w:p>
    <w:p w14:paraId="7DBAE831" w14:textId="77777777" w:rsidR="000839A4" w:rsidRPr="000839A4" w:rsidRDefault="000839A4" w:rsidP="000839A4">
      <w:pPr>
        <w:spacing w:before="0"/>
        <w:ind w:left="567" w:hanging="283"/>
        <w:rPr>
          <w:noProof/>
          <w:szCs w:val="24"/>
        </w:rPr>
      </w:pPr>
      <w:r w:rsidRPr="000839A4">
        <w:rPr>
          <w:noProof/>
          <w:szCs w:val="24"/>
        </w:rPr>
        <w:t>2.</w:t>
      </w:r>
      <w:r w:rsidRPr="000839A4">
        <w:rPr>
          <w:noProof/>
          <w:szCs w:val="24"/>
        </w:rPr>
        <w:tab/>
        <w:t>starobní penze, u které je vymezeno období pobírání nejméně 10 let nebo která je vyplácena doživotně, invalidní penze nebo jednorázového pojistného pro penzi jako dávek vyplácených z doplňkového penzijního spoření podle zákona upravujícího doplňkové penzijní spoření,</w:t>
      </w:r>
    </w:p>
    <w:p w14:paraId="066A95AB" w14:textId="77777777" w:rsidR="000839A4" w:rsidRPr="000839A4" w:rsidRDefault="000839A4" w:rsidP="000839A4">
      <w:pPr>
        <w:spacing w:before="0"/>
        <w:ind w:left="567" w:hanging="283"/>
        <w:rPr>
          <w:noProof/>
          <w:szCs w:val="24"/>
        </w:rPr>
      </w:pPr>
      <w:r w:rsidRPr="000839A4">
        <w:rPr>
          <w:noProof/>
          <w:szCs w:val="24"/>
        </w:rPr>
        <w:t>3.</w:t>
      </w:r>
      <w:r w:rsidRPr="000839A4">
        <w:rPr>
          <w:noProof/>
          <w:szCs w:val="24"/>
        </w:rPr>
        <w:tab/>
        <w:t>plnění z penzijního pojištění s výjimkou jednorázového plnění, odbytného, odkupného nebo penze, u které je vymezeno období pobírání kratší než 10 let, a která není invalidní penzí,</w:t>
      </w:r>
    </w:p>
    <w:p w14:paraId="41FC69F5" w14:textId="77777777" w:rsidR="000839A4" w:rsidRPr="000839A4" w:rsidRDefault="000839A4" w:rsidP="000839A4">
      <w:pPr>
        <w:spacing w:before="0"/>
        <w:ind w:left="567" w:hanging="283"/>
        <w:rPr>
          <w:noProof/>
          <w:szCs w:val="24"/>
        </w:rPr>
      </w:pPr>
      <w:r w:rsidRPr="000839A4">
        <w:rPr>
          <w:noProof/>
          <w:szCs w:val="24"/>
        </w:rPr>
        <w:t>4.</w:t>
      </w:r>
      <w:r w:rsidRPr="000839A4">
        <w:rPr>
          <w:noProof/>
          <w:szCs w:val="24"/>
        </w:rPr>
        <w:tab/>
        <w:t>pojistného plnění z pojištění osob s výjimkou jednorázového plnění a důchodu, u kterého je vymezeno období pobírání kratší než 10 let, vyplácených z pojištění pro případ dožití, z pojištění pro případ dožití se stanoveného věku nebo dřívější smrti nebo z pojištění důchodu,</w:t>
      </w:r>
    </w:p>
    <w:p w14:paraId="0B79B59F" w14:textId="77777777" w:rsidR="000839A4" w:rsidRPr="000839A4" w:rsidRDefault="000839A4" w:rsidP="000839A4">
      <w:pPr>
        <w:tabs>
          <w:tab w:val="left" w:pos="357"/>
        </w:tabs>
        <w:spacing w:before="0"/>
        <w:ind w:left="357" w:hanging="357"/>
        <w:rPr>
          <w:szCs w:val="24"/>
        </w:rPr>
      </w:pPr>
      <w:r w:rsidRPr="000839A4">
        <w:rPr>
          <w:szCs w:val="24"/>
        </w:rPr>
        <w:t xml:space="preserve">l) </w:t>
      </w:r>
      <w:r w:rsidRPr="000839A4">
        <w:rPr>
          <w:b/>
          <w:color w:val="808080" w:themeColor="background1" w:themeShade="80"/>
          <w:szCs w:val="24"/>
        </w:rPr>
        <w:tab/>
      </w:r>
      <w:r w:rsidRPr="000839A4">
        <w:rPr>
          <w:szCs w:val="24"/>
        </w:rPr>
        <w:t>plnění poskytovaná ozbrojenými silami žákům škol, kteří nejsou vojáky v činné službě</w:t>
      </w:r>
      <w:bookmarkStart w:id="9" w:name="_Ref535916567"/>
      <w:r w:rsidRPr="000839A4">
        <w:rPr>
          <w:szCs w:val="24"/>
          <w:vertAlign w:val="superscript"/>
        </w:rPr>
        <w:footnoteReference w:customMarkFollows="1" w:id="121"/>
        <w:t>3)</w:t>
      </w:r>
      <w:bookmarkEnd w:id="9"/>
      <w:r w:rsidRPr="000839A4">
        <w:rPr>
          <w:szCs w:val="24"/>
        </w:rPr>
        <w:t>, vojákům v povinné a aktivní záloze povolaným k výkonu vojenské činné služby s výjimkou služného a zvláštního příplatku podle zvláštních právních předpisů</w:t>
      </w:r>
      <w:r w:rsidRPr="000839A4">
        <w:rPr>
          <w:szCs w:val="24"/>
          <w:vertAlign w:val="superscript"/>
        </w:rPr>
        <w:footnoteReference w:customMarkFollows="1" w:id="122"/>
        <w:t>3a)</w:t>
      </w:r>
      <w:r w:rsidRPr="000839A4">
        <w:rPr>
          <w:szCs w:val="24"/>
        </w:rPr>
        <w:t>,</w:t>
      </w:r>
    </w:p>
    <w:p w14:paraId="57395187" w14:textId="77777777" w:rsidR="000839A4" w:rsidRPr="000839A4" w:rsidRDefault="000839A4" w:rsidP="000839A4">
      <w:pPr>
        <w:tabs>
          <w:tab w:val="left" w:pos="357"/>
        </w:tabs>
        <w:spacing w:before="0"/>
        <w:ind w:left="357" w:hanging="357"/>
        <w:rPr>
          <w:szCs w:val="24"/>
        </w:rPr>
      </w:pPr>
      <w:r w:rsidRPr="000839A4">
        <w:rPr>
          <w:szCs w:val="24"/>
        </w:rPr>
        <w:t>m)</w:t>
      </w:r>
      <w:r w:rsidRPr="000839A4">
        <w:rPr>
          <w:b/>
          <w:color w:val="808080" w:themeColor="background1" w:themeShade="80"/>
          <w:szCs w:val="24"/>
        </w:rPr>
        <w:t xml:space="preserve"> </w:t>
      </w:r>
      <w:r w:rsidRPr="000839A4">
        <w:rPr>
          <w:b/>
          <w:color w:val="808080" w:themeColor="background1" w:themeShade="80"/>
          <w:szCs w:val="24"/>
        </w:rPr>
        <w:tab/>
      </w:r>
      <w:r w:rsidRPr="000839A4">
        <w:rPr>
          <w:szCs w:val="24"/>
        </w:rPr>
        <w:t>kázeňské odměny poskytované příslušníkům ozbrojených sil a bezpečnostních sborů podle zvláštních právních předpisů</w:t>
      </w:r>
      <w:r w:rsidRPr="000839A4">
        <w:rPr>
          <w:szCs w:val="24"/>
          <w:vertAlign w:val="superscript"/>
        </w:rPr>
        <w:t>3)</w:t>
      </w:r>
      <w:r w:rsidRPr="000839A4">
        <w:rPr>
          <w:szCs w:val="24"/>
          <w:vertAlign w:val="superscript"/>
        </w:rPr>
        <w:fldChar w:fldCharType="begin"/>
      </w:r>
      <w:r w:rsidRPr="000839A4">
        <w:rPr>
          <w:szCs w:val="24"/>
          <w:vertAlign w:val="superscript"/>
        </w:rPr>
        <w:instrText xml:space="preserve"> NOTEREF _Ref535916567  \* MERGEFORMAT </w:instrText>
      </w:r>
      <w:r w:rsidRPr="000839A4">
        <w:rPr>
          <w:szCs w:val="24"/>
          <w:vertAlign w:val="superscript"/>
        </w:rPr>
        <w:fldChar w:fldCharType="end"/>
      </w:r>
      <w:r w:rsidRPr="000839A4">
        <w:rPr>
          <w:szCs w:val="24"/>
        </w:rPr>
        <w:t xml:space="preserve">, </w:t>
      </w:r>
    </w:p>
    <w:p w14:paraId="4CF98DCC" w14:textId="77777777" w:rsidR="000839A4" w:rsidRPr="000839A4" w:rsidRDefault="000839A4" w:rsidP="000839A4">
      <w:pPr>
        <w:tabs>
          <w:tab w:val="left" w:pos="357"/>
        </w:tabs>
        <w:spacing w:before="0"/>
        <w:ind w:left="357" w:hanging="357"/>
        <w:rPr>
          <w:szCs w:val="24"/>
        </w:rPr>
      </w:pPr>
      <w:r w:rsidRPr="000839A4">
        <w:rPr>
          <w:szCs w:val="24"/>
        </w:rPr>
        <w:t xml:space="preserve">n) </w:t>
      </w:r>
      <w:r w:rsidRPr="000839A4">
        <w:rPr>
          <w:szCs w:val="24"/>
        </w:rPr>
        <w:tab/>
        <w:t>výsluhové náležitosti a služební příspěvek na bydlení u vojáků z povolání a výsluhové nároky u příslušníků bezpečnostních sborů podle zvláštních právních předpisů</w:t>
      </w:r>
      <w:r w:rsidRPr="000839A4">
        <w:rPr>
          <w:szCs w:val="24"/>
          <w:vertAlign w:val="superscript"/>
        </w:rPr>
        <w:t>3)</w:t>
      </w:r>
      <w:r w:rsidRPr="000839A4">
        <w:rPr>
          <w:szCs w:val="24"/>
        </w:rPr>
        <w:t>,</w:t>
      </w:r>
    </w:p>
    <w:p w14:paraId="1CC19837" w14:textId="77777777" w:rsidR="000839A4" w:rsidRPr="000839A4" w:rsidRDefault="000839A4" w:rsidP="000839A4">
      <w:pPr>
        <w:tabs>
          <w:tab w:val="left" w:pos="357"/>
        </w:tabs>
        <w:spacing w:before="0"/>
        <w:ind w:left="357" w:hanging="357"/>
        <w:rPr>
          <w:szCs w:val="24"/>
        </w:rPr>
      </w:pPr>
      <w:r w:rsidRPr="000839A4">
        <w:rPr>
          <w:szCs w:val="24"/>
        </w:rPr>
        <w:t>o)</w:t>
      </w:r>
      <w:r w:rsidRPr="000839A4">
        <w:rPr>
          <w:szCs w:val="24"/>
        </w:rPr>
        <w:tab/>
        <w:t xml:space="preserve">plnění poskytované v souvislosti s výkonem dobrovolnické služby podle zákona upravujícího dobrovolnickou službu, </w:t>
      </w:r>
    </w:p>
    <w:p w14:paraId="49F925EF" w14:textId="77777777" w:rsidR="000839A4" w:rsidRPr="000839A4" w:rsidRDefault="000839A4" w:rsidP="000839A4">
      <w:pPr>
        <w:tabs>
          <w:tab w:val="left" w:pos="357"/>
        </w:tabs>
        <w:spacing w:before="0"/>
        <w:ind w:left="357" w:hanging="357"/>
        <w:rPr>
          <w:szCs w:val="24"/>
        </w:rPr>
      </w:pPr>
      <w:r w:rsidRPr="000839A4">
        <w:rPr>
          <w:szCs w:val="24"/>
        </w:rPr>
        <w:t>p)</w:t>
      </w:r>
      <w:r w:rsidRPr="000839A4">
        <w:rPr>
          <w:b/>
          <w:color w:val="808080" w:themeColor="background1" w:themeShade="80"/>
          <w:szCs w:val="24"/>
        </w:rPr>
        <w:t xml:space="preserve"> </w:t>
      </w:r>
      <w:r w:rsidRPr="000839A4">
        <w:rPr>
          <w:b/>
          <w:color w:val="808080" w:themeColor="background1" w:themeShade="80"/>
          <w:szCs w:val="24"/>
        </w:rPr>
        <w:tab/>
      </w:r>
      <w:r w:rsidRPr="000839A4">
        <w:rPr>
          <w:szCs w:val="24"/>
        </w:rPr>
        <w:t xml:space="preserve">plnění z vyživovací povinnosti, </w:t>
      </w:r>
    </w:p>
    <w:p w14:paraId="76312540" w14:textId="77777777" w:rsidR="000839A4" w:rsidRPr="000839A4" w:rsidRDefault="000839A4" w:rsidP="000839A4">
      <w:pPr>
        <w:tabs>
          <w:tab w:val="left" w:pos="357"/>
        </w:tabs>
        <w:spacing w:before="0"/>
        <w:ind w:left="357" w:hanging="357"/>
        <w:rPr>
          <w:szCs w:val="24"/>
        </w:rPr>
      </w:pPr>
      <w:r w:rsidRPr="000839A4">
        <w:rPr>
          <w:szCs w:val="24"/>
        </w:rPr>
        <w:t xml:space="preserve">q)  </w:t>
      </w:r>
      <w:r w:rsidRPr="000839A4">
        <w:rPr>
          <w:szCs w:val="24"/>
        </w:rPr>
        <w:tab/>
        <w:t xml:space="preserve">příjem z úplatného převodu podílu v obchodní korporaci s výjimkou příjmu z úplatného převodu cenného papíru, přesahuje-li doba mezi jeho nabytím a úplatným převodem dobu 5 let; doba 5 let mezi nabytím a úplatným převodem podílu se zkracuje o dobu, po kterou byl poplatník členem této obchodní korporace před přeměnou obchodní korporace, nebo o dobu, po kterou byl tento podíl prokazatelně ve vlastnictví zůstavitele, v případě, že jde o úplatný převod podílu nabytého děděním od zůstavitele, který byl příbuzným v řadě přímé nebo manželem; jsou-li splněny podmínky uvedené v § 23b nebo 23c, doba 5 let mezi nabytím a úplatným převodem podílu se nepřerušuje při výměně podílů nebo přeměně obchodní korporace; v případě rozdělení podílu v souvislosti s jeho úplatným převodem se doba 5 let mezi nabytím a úplatným převodem podílu v obchodní korporaci u téhož poplatníka nepřerušuje, je-li rozdělením zachována celková výše podílu; osvobození se nevztahuje na </w:t>
      </w:r>
    </w:p>
    <w:p w14:paraId="566F09E0" w14:textId="77777777" w:rsidR="000839A4" w:rsidRPr="000839A4" w:rsidRDefault="000839A4" w:rsidP="000839A4">
      <w:pPr>
        <w:tabs>
          <w:tab w:val="left" w:pos="357"/>
        </w:tabs>
        <w:spacing w:before="0"/>
        <w:ind w:left="714" w:hanging="357"/>
        <w:rPr>
          <w:szCs w:val="24"/>
        </w:rPr>
      </w:pPr>
      <w:r w:rsidRPr="000839A4">
        <w:rPr>
          <w:szCs w:val="24"/>
        </w:rPr>
        <w:t>1.</w:t>
      </w:r>
      <w:r w:rsidRPr="000839A4">
        <w:rPr>
          <w:szCs w:val="24"/>
        </w:rPr>
        <w:tab/>
        <w:t xml:space="preserve">příjem z úplatného převodu podílu v obchodní korporaci, pokud byl pořízen </w:t>
      </w:r>
      <w:r w:rsidRPr="000839A4">
        <w:rPr>
          <w:strike/>
          <w:szCs w:val="24"/>
        </w:rPr>
        <w:t>z</w:t>
      </w:r>
      <w:r w:rsidRPr="000839A4">
        <w:rPr>
          <w:szCs w:val="24"/>
        </w:rPr>
        <w:t xml:space="preserve"> </w:t>
      </w:r>
      <w:r w:rsidRPr="000839A4">
        <w:rPr>
          <w:strike/>
          <w:szCs w:val="24"/>
        </w:rPr>
        <w:t>obchodního majetku</w:t>
      </w:r>
      <w:r w:rsidRPr="000839A4">
        <w:t xml:space="preserve"> </w:t>
      </w:r>
      <w:r w:rsidRPr="000839A4">
        <w:rPr>
          <w:strike/>
          <w:szCs w:val="24"/>
        </w:rPr>
        <w:t>poplatníka</w:t>
      </w:r>
      <w:r w:rsidRPr="000839A4">
        <w:rPr>
          <w:b/>
          <w:szCs w:val="24"/>
        </w:rPr>
        <w:t xml:space="preserve"> </w:t>
      </w:r>
      <w:proofErr w:type="gramStart"/>
      <w:r w:rsidRPr="000839A4">
        <w:rPr>
          <w:b/>
          <w:szCs w:val="24"/>
        </w:rPr>
        <w:t>za  evidované</w:t>
      </w:r>
      <w:proofErr w:type="gramEnd"/>
      <w:r w:rsidRPr="000839A4">
        <w:rPr>
          <w:b/>
          <w:szCs w:val="24"/>
        </w:rPr>
        <w:t xml:space="preserve"> aktivum poplatníka v rámci činnosti, ze které plynou příjmy ze samostatné činnosti</w:t>
      </w:r>
      <w:r w:rsidRPr="000839A4">
        <w:rPr>
          <w:szCs w:val="24"/>
        </w:rPr>
        <w:t xml:space="preserve">, a to do 5 let po ukončení jeho činnosti, ze které plyne příjem ze samostatné činnosti, </w:t>
      </w:r>
    </w:p>
    <w:p w14:paraId="7CDAB980" w14:textId="77777777" w:rsidR="000839A4" w:rsidRPr="000839A4" w:rsidRDefault="000839A4" w:rsidP="000839A4">
      <w:pPr>
        <w:tabs>
          <w:tab w:val="left" w:pos="357"/>
        </w:tabs>
        <w:spacing w:before="0"/>
        <w:ind w:left="714" w:hanging="357"/>
        <w:rPr>
          <w:szCs w:val="24"/>
        </w:rPr>
      </w:pPr>
      <w:r w:rsidRPr="000839A4">
        <w:rPr>
          <w:szCs w:val="24"/>
        </w:rPr>
        <w:t>2.</w:t>
      </w:r>
      <w:r w:rsidRPr="000839A4">
        <w:rPr>
          <w:szCs w:val="24"/>
        </w:rPr>
        <w:tab/>
        <w:t>příjem, který plyne poplatníkovi z budoucího úplatného převodu podílu v obchodní korporaci v době do 5 let od jeho nabytí, i když smlouva o úplatném převodu bude uzavřena až po 5 letech od jeho nabytí,</w:t>
      </w:r>
    </w:p>
    <w:p w14:paraId="6E0B6F9D" w14:textId="77777777" w:rsidR="000839A4" w:rsidRPr="000839A4" w:rsidRDefault="000839A4" w:rsidP="000839A4">
      <w:pPr>
        <w:tabs>
          <w:tab w:val="left" w:pos="357"/>
        </w:tabs>
        <w:spacing w:before="0"/>
        <w:ind w:left="714" w:hanging="357"/>
        <w:rPr>
          <w:szCs w:val="24"/>
        </w:rPr>
      </w:pPr>
      <w:r w:rsidRPr="000839A4">
        <w:rPr>
          <w:szCs w:val="24"/>
        </w:rPr>
        <w:t>3.</w:t>
      </w:r>
      <w:r w:rsidRPr="000839A4">
        <w:rPr>
          <w:szCs w:val="24"/>
        </w:rPr>
        <w:tab/>
        <w:t xml:space="preserve">příjem z budoucího úplatného převodu podílu v obchodní korporaci pořízeného </w:t>
      </w:r>
      <w:r w:rsidRPr="000839A4">
        <w:rPr>
          <w:strike/>
          <w:szCs w:val="24"/>
        </w:rPr>
        <w:t>z poplatníkova obchodního majetku</w:t>
      </w:r>
      <w:r w:rsidRPr="000839A4">
        <w:rPr>
          <w:noProof/>
          <w:szCs w:val="24"/>
        </w:rPr>
        <w:t xml:space="preserve"> </w:t>
      </w:r>
      <w:r w:rsidRPr="000839A4">
        <w:rPr>
          <w:b/>
          <w:szCs w:val="24"/>
        </w:rPr>
        <w:t xml:space="preserve">za evidované aktivum poplatníka v rámci </w:t>
      </w:r>
      <w:r w:rsidRPr="000839A4">
        <w:rPr>
          <w:b/>
          <w:szCs w:val="24"/>
        </w:rPr>
        <w:lastRenderedPageBreak/>
        <w:t>činnosti, ze které plynou příjmy ze samostatné činnosti</w:t>
      </w:r>
      <w:r w:rsidRPr="000839A4">
        <w:rPr>
          <w:szCs w:val="24"/>
        </w:rPr>
        <w:t xml:space="preserve">, pokud příjem z tohoto úplatného převodu plyne v době do 5 let od ukončení činnosti poplatníka, ze které mu plyne příjem ze samostatné činnosti, i když smlouva o úplatném převodu bude uzavřena až po 5 letech od nabytí tohoto podílu nebo od ukončení této činnosti, </w:t>
      </w:r>
    </w:p>
    <w:p w14:paraId="47C5CDA6" w14:textId="77777777" w:rsidR="000839A4" w:rsidRPr="000839A4" w:rsidRDefault="000839A4" w:rsidP="000839A4">
      <w:pPr>
        <w:tabs>
          <w:tab w:val="left" w:pos="357"/>
        </w:tabs>
        <w:spacing w:before="0"/>
        <w:ind w:left="714" w:hanging="357"/>
        <w:rPr>
          <w:szCs w:val="24"/>
        </w:rPr>
      </w:pPr>
      <w:r w:rsidRPr="000839A4">
        <w:rPr>
          <w:szCs w:val="24"/>
        </w:rPr>
        <w:t>4.</w:t>
      </w:r>
      <w:r w:rsidRPr="000839A4">
        <w:rPr>
          <w:szCs w:val="24"/>
        </w:rPr>
        <w:tab/>
        <w:t>příjem z úplatného převodu podílu v obchodní korporaci odpovídající zvýšení nabývací ceny podílu člena nepeněžitým plněním ve prospěch vlastního kapitálu obchodní korporace nebo nabytím podílu od jiného člena, pokud k úplatnému převodu došlo do 5 let od plnění nebo nabytí podílu,</w:t>
      </w:r>
    </w:p>
    <w:p w14:paraId="0A6F3DA3" w14:textId="77777777" w:rsidR="000839A4" w:rsidRPr="000839A4" w:rsidRDefault="000839A4" w:rsidP="000839A4">
      <w:pPr>
        <w:tabs>
          <w:tab w:val="left" w:pos="357"/>
        </w:tabs>
        <w:spacing w:before="0"/>
        <w:ind w:left="357" w:hanging="357"/>
        <w:rPr>
          <w:szCs w:val="24"/>
        </w:rPr>
      </w:pPr>
      <w:r w:rsidRPr="000839A4">
        <w:rPr>
          <w:szCs w:val="24"/>
        </w:rPr>
        <w:t>r)</w:t>
      </w:r>
      <w:r w:rsidRPr="000839A4">
        <w:rPr>
          <w:color w:val="808080" w:themeColor="background1" w:themeShade="80"/>
          <w:szCs w:val="24"/>
        </w:rPr>
        <w:tab/>
      </w:r>
      <w:r w:rsidRPr="000839A4">
        <w:rPr>
          <w:szCs w:val="24"/>
        </w:rPr>
        <w:t xml:space="preserve">dotace ze státního rozpočtu, z rozpočtu obce, kraje, státního fondu, Národního fondu, </w:t>
      </w:r>
      <w:r w:rsidRPr="000839A4">
        <w:rPr>
          <w:strike/>
          <w:szCs w:val="24"/>
        </w:rPr>
        <w:t>regionální rady regionu soudržnosti,</w:t>
      </w:r>
      <w:r w:rsidRPr="000839A4">
        <w:rPr>
          <w:szCs w:val="24"/>
        </w:rPr>
        <w:t xml:space="preserve"> podpora z Vinařského fondu, z přiděleného grantu nebo příspěvek ze státního rozpočtu, který je výdajem státního rozpočtu podle zákona upravujícího rozpočtová pravidla anebo dotace, grant a příspěvek z prostředků Evropské unie, na pořízení hmotného majetku, na jeho technické zhodnocení nebo na odstranění následků živelní pohromy</w:t>
      </w:r>
      <w:r w:rsidRPr="000839A4">
        <w:rPr>
          <w:strike/>
          <w:szCs w:val="24"/>
        </w:rPr>
        <w:t>, s výjimkou dotace a příspěvku, které jsou účtovány do příjmů nebo výnosů podle zákona upravujícího účetnictví</w:t>
      </w:r>
      <w:r w:rsidRPr="000839A4">
        <w:rPr>
          <w:szCs w:val="24"/>
        </w:rPr>
        <w:t>,</w:t>
      </w:r>
    </w:p>
    <w:p w14:paraId="689C5201" w14:textId="77777777" w:rsidR="000839A4" w:rsidRPr="000839A4" w:rsidRDefault="000839A4" w:rsidP="000839A4">
      <w:pPr>
        <w:spacing w:before="0"/>
        <w:ind w:left="426" w:hanging="426"/>
        <w:outlineLvl w:val="7"/>
      </w:pPr>
      <w:r w:rsidRPr="000839A4">
        <w:t>s)</w:t>
      </w:r>
      <w:r w:rsidRPr="000839A4">
        <w:rPr>
          <w:b/>
          <w:color w:val="808080" w:themeColor="background1" w:themeShade="80"/>
        </w:rPr>
        <w:tab/>
      </w:r>
      <w:r w:rsidRPr="000839A4">
        <w:t>příjem získaný formou nabytí vlastnictví k jednotce, která nezahrnuje nebytový prostor jiný než garáž, sklep nebo komoru, jako náhrady za uvolnění bytu nebo jednotky, která nezahrnuje nebytový prostor jiný než garáž, sklep nebo komoru, náhrada (odstupné) za uvolnění bytu nebo jednotky, která nezahrnuje nebytový prostor jiný než garáž, sklep nebo komoru, vyplacená uživateli této jednotky nebo bytu za podmínky, že poplatník náhradu (odstupné) použije na obstarání vlastní bytové potřeby, a příjem z úplatného převodu práv a povinností spojených s členstvím v družstvu, pokud v souvislosti s tímto převodem bude zrušena nájemní smlouva k bytu, použije-li poplatník získané prostředky na obstarání vlastní bytové potřeby,</w:t>
      </w:r>
    </w:p>
    <w:p w14:paraId="5002EE9E" w14:textId="77777777" w:rsidR="000839A4" w:rsidRPr="000839A4" w:rsidRDefault="000839A4" w:rsidP="000839A4">
      <w:pPr>
        <w:tabs>
          <w:tab w:val="left" w:pos="357"/>
        </w:tabs>
        <w:spacing w:before="0"/>
        <w:ind w:left="357" w:hanging="357"/>
        <w:rPr>
          <w:color w:val="808080" w:themeColor="background1" w:themeShade="80"/>
          <w:szCs w:val="24"/>
        </w:rPr>
      </w:pPr>
      <w:r w:rsidRPr="000839A4">
        <w:rPr>
          <w:szCs w:val="24"/>
        </w:rPr>
        <w:t>t)</w:t>
      </w:r>
      <w:r w:rsidRPr="000839A4">
        <w:rPr>
          <w:color w:val="808080" w:themeColor="background1" w:themeShade="80"/>
          <w:szCs w:val="24"/>
        </w:rPr>
        <w:tab/>
      </w:r>
      <w:r w:rsidRPr="000839A4">
        <w:rPr>
          <w:szCs w:val="24"/>
        </w:rPr>
        <w:t xml:space="preserve">příjmy z úplatného převodu cenných papírů, pokud jejich úhrn u poplatníka nepřesáhne ve zdaňovacím období částku 100 000 Kč, a příjem z podílů připadajících na podílové listy při zrušení podílového fondu, pokud výše tohoto příjmu nepřesáhne 100 000 Kč; osvobození se nevztahuje na příjmy z kapitálového majetku a na příjmy z úplatného převodu cenných papírů nebo z podílů připadajících na podílové listy při zrušení podílového fondu, které jsou nebo byly </w:t>
      </w:r>
      <w:r w:rsidRPr="000839A4">
        <w:rPr>
          <w:strike/>
          <w:szCs w:val="24"/>
        </w:rPr>
        <w:t>zahrnuty do obchodního majetku</w:t>
      </w:r>
      <w:r w:rsidRPr="000839A4">
        <w:rPr>
          <w:noProof/>
          <w:szCs w:val="24"/>
        </w:rPr>
        <w:t xml:space="preserve"> </w:t>
      </w:r>
      <w:r w:rsidRPr="000839A4">
        <w:rPr>
          <w:b/>
          <w:noProof/>
          <w:szCs w:val="24"/>
        </w:rPr>
        <w:t>evidovaným aktivem poplatníka v rámci činnosti, ze které plynou příjmy ze samostatné činnosti</w:t>
      </w:r>
      <w:r w:rsidRPr="000839A4">
        <w:rPr>
          <w:szCs w:val="24"/>
        </w:rPr>
        <w:t>, a to do 3 let od ukončení činnosti, ze které plyne příjem ze samostatné činnosti; jedná-li se o kmenový list, činí doba 5 let,</w:t>
      </w:r>
    </w:p>
    <w:p w14:paraId="1B88FFB6" w14:textId="77777777" w:rsidR="000839A4" w:rsidRPr="000839A4" w:rsidRDefault="000839A4" w:rsidP="000839A4">
      <w:pPr>
        <w:tabs>
          <w:tab w:val="left" w:pos="357"/>
        </w:tabs>
        <w:spacing w:before="0"/>
        <w:ind w:left="357" w:hanging="357"/>
        <w:rPr>
          <w:szCs w:val="24"/>
        </w:rPr>
      </w:pPr>
      <w:r w:rsidRPr="000839A4">
        <w:rPr>
          <w:szCs w:val="24"/>
        </w:rPr>
        <w:t xml:space="preserve">u) </w:t>
      </w:r>
      <w:r w:rsidRPr="000839A4">
        <w:rPr>
          <w:szCs w:val="24"/>
        </w:rPr>
        <w:tab/>
        <w:t xml:space="preserve">příjem z úplatného převodu cenného papíru, přesáhne-li doba mezi nabytím a úplatným převodem tohoto cenného papíru při jeho úplatném převodu dobu 3 let, a dále příjem z podílu připadající na podílový list při zrušení podílového fondu, přesáhne-li doba mezi nabytím podílového listu a dnem vyplacení podílu dobu 3 let; doba 3 let se zkracuje o dobu, po kterou byl tento cenný papír nebo podíl připadající na podílový list při zrušení podílového fondu ve vlastnictví zůstavitele, v případě, že jde o úplatný převod cenného papíru nebo podílu připadajícího na podílový list při zrušení podílového fondu nabytého děděním od zůstavitele, který byl příbuzným v řadě přímé nebo manželem; doba 3 let mezi nabytím a úplatným převodem cenného papíru u téhož poplatníka se nepřerušuje při sloučení nebo splynutí podílových fondů nebo při přeměně uzavřeného podílového fondu na otevřený podílový fond; osvobození se nevztahuje na příjem z úplatného převodu cenného papíru, který je nebo byl </w:t>
      </w:r>
      <w:r w:rsidRPr="000839A4">
        <w:rPr>
          <w:strike/>
          <w:szCs w:val="24"/>
        </w:rPr>
        <w:t>zahrnut do obchodního majetku</w:t>
      </w:r>
      <w:r w:rsidRPr="000839A4">
        <w:rPr>
          <w:noProof/>
          <w:szCs w:val="24"/>
        </w:rPr>
        <w:t xml:space="preserve"> </w:t>
      </w:r>
      <w:r w:rsidRPr="000839A4">
        <w:rPr>
          <w:b/>
          <w:noProof/>
          <w:szCs w:val="24"/>
        </w:rPr>
        <w:t>evidovaným aktivem  poplatníka v rámci činnosti, ze které plynou příjmy ze samostatné činnosti</w:t>
      </w:r>
      <w:r w:rsidRPr="000839A4">
        <w:rPr>
          <w:szCs w:val="24"/>
        </w:rPr>
        <w:t xml:space="preserve">, a to do 3 let od ukončení činnosti, ze které plyne příjem ze samostatné činnosti, a na příjem z kapitálového majetku; osvobození se nevztahuje na příjem z podílu připadajícího na podílový list při zrušení podílového fondu, který byl nebo je </w:t>
      </w:r>
      <w:r w:rsidRPr="000839A4">
        <w:rPr>
          <w:strike/>
          <w:szCs w:val="24"/>
        </w:rPr>
        <w:t>zahrnut do obchodního majetku</w:t>
      </w:r>
      <w:r w:rsidRPr="000839A4">
        <w:rPr>
          <w:noProof/>
          <w:szCs w:val="24"/>
        </w:rPr>
        <w:t xml:space="preserve"> </w:t>
      </w:r>
      <w:r w:rsidRPr="000839A4">
        <w:rPr>
          <w:b/>
          <w:noProof/>
          <w:szCs w:val="24"/>
        </w:rPr>
        <w:lastRenderedPageBreak/>
        <w:t>evidovaným aktivem poplatníka v rámci činnosti, ze které plynou příjmy ze samostatné činnosti</w:t>
      </w:r>
      <w:r w:rsidRPr="000839A4">
        <w:rPr>
          <w:szCs w:val="24"/>
        </w:rPr>
        <w:t xml:space="preserve">, a to do 3 let od ukončení činnosti, ze které plyne příjem ze samostatné činnosti; při výměně akcie emitentem za jinou akcii o celkové stejné jmenovité hodnotě se doba 3 let mezi nabytím a úplatným převodem cenného papíru u téhož poplatníka nepřerušuje; obdobně se postupuje i při výměně podílů, fúzi společností nebo rozdělení společnosti, jsou-li splněny podmínky uvedené v § 23b nebo § 23c; osvobození se nevztahuje na příjem, který plyne poplatníkovi z budoucího úplatného převodu cenného papíru, uskutečněného v době do 3 let od nabytí, a z budoucího úplatného převodu cenného papíru, který je nebo byl </w:t>
      </w:r>
      <w:r w:rsidRPr="000839A4">
        <w:rPr>
          <w:strike/>
          <w:szCs w:val="24"/>
        </w:rPr>
        <w:t>zahrnut do obchodního majetku</w:t>
      </w:r>
      <w:r w:rsidRPr="000839A4">
        <w:rPr>
          <w:noProof/>
          <w:szCs w:val="24"/>
        </w:rPr>
        <w:t xml:space="preserve"> </w:t>
      </w:r>
      <w:r w:rsidRPr="000839A4">
        <w:rPr>
          <w:b/>
          <w:noProof/>
          <w:szCs w:val="24"/>
        </w:rPr>
        <w:t>evidovaným aktivem  poplatníka v rámci činnosti, ze které plynou příjmy ze samostatné činnosti</w:t>
      </w:r>
      <w:r w:rsidRPr="000839A4">
        <w:rPr>
          <w:szCs w:val="24"/>
        </w:rPr>
        <w:t xml:space="preserve">, a to do 3 let od ukončení činnosti, ze které plyne příjem ze samostatné činnosti, i když kupní smlouva bude uzavřena až po 3 letech od nabytí nebo po 3 letech od ukončení činnosti, ze které plyne příjem ze samostatné činnosti; obdobně se postupuje u příjmu plynoucího jako protiplnění menšinovému akcionáři v důsledku nuceného přechodu účastnických cenných papírů; jedná-li se o kmenový list, činí doba místo 3 let 5 let, </w:t>
      </w:r>
    </w:p>
    <w:p w14:paraId="71C6BA90" w14:textId="77777777" w:rsidR="000839A4" w:rsidRPr="000839A4" w:rsidRDefault="000839A4" w:rsidP="000839A4">
      <w:pPr>
        <w:tabs>
          <w:tab w:val="left" w:pos="357"/>
        </w:tabs>
        <w:spacing w:before="0"/>
        <w:ind w:left="357" w:hanging="357"/>
        <w:rPr>
          <w:szCs w:val="24"/>
        </w:rPr>
      </w:pPr>
      <w:r w:rsidRPr="000839A4">
        <w:rPr>
          <w:szCs w:val="24"/>
        </w:rPr>
        <w:t>v)</w:t>
      </w:r>
      <w:r w:rsidRPr="000839A4">
        <w:rPr>
          <w:color w:val="808080" w:themeColor="background1" w:themeShade="80"/>
          <w:szCs w:val="24"/>
        </w:rPr>
        <w:t xml:space="preserve">  </w:t>
      </w:r>
      <w:r w:rsidRPr="000839A4">
        <w:rPr>
          <w:color w:val="808080" w:themeColor="background1" w:themeShade="80"/>
          <w:szCs w:val="24"/>
        </w:rPr>
        <w:tab/>
      </w:r>
      <w:r w:rsidRPr="000839A4">
        <w:rPr>
          <w:szCs w:val="24"/>
        </w:rPr>
        <w:t>příjem z nabytí vlastnického práva k jednotce, která nezahrnuje nebytový prostor jiný než garáž, sklep nebo komoru, je-li ve vlastnictví právnické osoby vzniklé za účelem, aby se stala vlastníkem domu s jednotkami, a fyzická osoba, která vlastnické právo k jednotce nabývá,</w:t>
      </w:r>
    </w:p>
    <w:p w14:paraId="6FF01128" w14:textId="77777777" w:rsidR="000839A4" w:rsidRPr="000839A4" w:rsidRDefault="000839A4" w:rsidP="000839A4">
      <w:pPr>
        <w:tabs>
          <w:tab w:val="left" w:pos="357"/>
        </w:tabs>
        <w:spacing w:before="0"/>
        <w:ind w:left="714" w:hanging="357"/>
        <w:rPr>
          <w:szCs w:val="24"/>
        </w:rPr>
      </w:pPr>
      <w:r w:rsidRPr="000839A4">
        <w:rPr>
          <w:szCs w:val="24"/>
        </w:rPr>
        <w:t>1.</w:t>
      </w:r>
      <w:r w:rsidRPr="000839A4">
        <w:rPr>
          <w:szCs w:val="24"/>
        </w:rPr>
        <w:tab/>
        <w:t>je nájemcem této jednotky,</w:t>
      </w:r>
    </w:p>
    <w:p w14:paraId="67CF2CA1" w14:textId="77777777" w:rsidR="000839A4" w:rsidRPr="000839A4" w:rsidRDefault="000839A4" w:rsidP="000839A4">
      <w:pPr>
        <w:tabs>
          <w:tab w:val="left" w:pos="357"/>
        </w:tabs>
        <w:spacing w:before="0"/>
        <w:ind w:left="714" w:hanging="357"/>
        <w:rPr>
          <w:szCs w:val="24"/>
        </w:rPr>
      </w:pPr>
      <w:r w:rsidRPr="000839A4">
        <w:rPr>
          <w:szCs w:val="24"/>
        </w:rPr>
        <w:t>2.</w:t>
      </w:r>
      <w:r w:rsidRPr="000839A4">
        <w:rPr>
          <w:szCs w:val="24"/>
        </w:rPr>
        <w:tab/>
        <w:t>je členem této právnické osoby a</w:t>
      </w:r>
    </w:p>
    <w:p w14:paraId="11F01B7F" w14:textId="77777777" w:rsidR="000839A4" w:rsidRPr="000839A4" w:rsidRDefault="000839A4" w:rsidP="000839A4">
      <w:pPr>
        <w:tabs>
          <w:tab w:val="left" w:pos="357"/>
        </w:tabs>
        <w:spacing w:before="0"/>
        <w:ind w:left="714" w:hanging="357"/>
        <w:rPr>
          <w:szCs w:val="24"/>
        </w:rPr>
      </w:pPr>
      <w:r w:rsidRPr="000839A4">
        <w:rPr>
          <w:szCs w:val="24"/>
        </w:rPr>
        <w:t>3.</w:t>
      </w:r>
      <w:r w:rsidRPr="000839A4">
        <w:rPr>
          <w:szCs w:val="24"/>
        </w:rPr>
        <w:tab/>
        <w:t>podílela se nebo její právní předchůdce se podílel svým peněžním nebo nepeněžním plněním na pořízení domu s jednotkami,</w:t>
      </w:r>
    </w:p>
    <w:p w14:paraId="435B860B" w14:textId="77777777" w:rsidR="000839A4" w:rsidRPr="000839A4" w:rsidRDefault="000839A4" w:rsidP="000839A4">
      <w:pPr>
        <w:tabs>
          <w:tab w:val="left" w:pos="357"/>
        </w:tabs>
        <w:spacing w:before="0"/>
        <w:ind w:left="357" w:hanging="357"/>
        <w:rPr>
          <w:szCs w:val="24"/>
        </w:rPr>
      </w:pPr>
      <w:r w:rsidRPr="000839A4">
        <w:rPr>
          <w:szCs w:val="24"/>
        </w:rPr>
        <w:t>w)</w:t>
      </w:r>
      <w:r w:rsidRPr="000839A4">
        <w:rPr>
          <w:szCs w:val="24"/>
        </w:rPr>
        <w:tab/>
        <w:t xml:space="preserve">příjmy z úroků z přeplatků zaviněných správcem daně, orgánem sociálního zabezpečení a příjmy z penále z přeplatků pojistného, které příslušná zdravotní pojišťovna vrátila po uplynutí lhůty stanovené pro rozhodnutí o přeplatku pojistného, </w:t>
      </w:r>
    </w:p>
    <w:p w14:paraId="29322299" w14:textId="77777777" w:rsidR="000839A4" w:rsidRPr="000839A4" w:rsidRDefault="000839A4" w:rsidP="000839A4">
      <w:pPr>
        <w:spacing w:before="0"/>
        <w:ind w:left="425" w:hanging="425"/>
        <w:rPr>
          <w:strike/>
          <w:szCs w:val="24"/>
        </w:rPr>
      </w:pPr>
      <w:r w:rsidRPr="000839A4">
        <w:rPr>
          <w:noProof/>
          <w:szCs w:val="24"/>
        </w:rPr>
        <w:t>x)</w:t>
      </w:r>
      <w:r w:rsidRPr="000839A4">
        <w:rPr>
          <w:noProof/>
          <w:szCs w:val="24"/>
        </w:rPr>
        <w:tab/>
      </w:r>
      <w:r w:rsidRPr="000839A4">
        <w:rPr>
          <w:szCs w:val="24"/>
        </w:rPr>
        <w:t>výnos dluhopisu podle zákona upravujícího dluhopisy a příjem plynoucí z práva na splacení dluhopisu vydaných členským státem Evropské unie nebo státem tvořícím Evropský hospodářský prostor,</w:t>
      </w:r>
    </w:p>
    <w:p w14:paraId="03660FD1" w14:textId="77777777" w:rsidR="000839A4" w:rsidRPr="000839A4" w:rsidRDefault="000839A4" w:rsidP="000839A4">
      <w:pPr>
        <w:tabs>
          <w:tab w:val="left" w:pos="357"/>
        </w:tabs>
        <w:spacing w:before="0"/>
        <w:ind w:left="357" w:hanging="357"/>
        <w:rPr>
          <w:szCs w:val="24"/>
        </w:rPr>
      </w:pPr>
      <w:r w:rsidRPr="000839A4">
        <w:rPr>
          <w:szCs w:val="24"/>
        </w:rPr>
        <w:t xml:space="preserve">y) </w:t>
      </w:r>
      <w:r w:rsidRPr="000839A4">
        <w:rPr>
          <w:color w:val="808080" w:themeColor="background1" w:themeShade="80"/>
          <w:szCs w:val="24"/>
        </w:rPr>
        <w:tab/>
      </w:r>
      <w:r w:rsidRPr="000839A4">
        <w:rPr>
          <w:szCs w:val="24"/>
        </w:rPr>
        <w:t>příjmy nabyvatele jednotky přijaté v souvislosti se vzájemným vypořádáním prostředků z nájemného určených na financování oprav a údržby bytu, domu a jednotky podle zákona upravujícího převod jednotek některých bytových družstev,</w:t>
      </w:r>
    </w:p>
    <w:p w14:paraId="7D797C4B" w14:textId="77777777" w:rsidR="000839A4" w:rsidRPr="000839A4" w:rsidRDefault="000839A4" w:rsidP="000839A4">
      <w:pPr>
        <w:tabs>
          <w:tab w:val="left" w:pos="357"/>
        </w:tabs>
        <w:spacing w:before="0"/>
        <w:ind w:left="357" w:hanging="357"/>
        <w:rPr>
          <w:szCs w:val="24"/>
        </w:rPr>
      </w:pPr>
      <w:r w:rsidRPr="000839A4">
        <w:rPr>
          <w:szCs w:val="24"/>
        </w:rPr>
        <w:t xml:space="preserve">z) </w:t>
      </w:r>
      <w:r w:rsidRPr="000839A4">
        <w:rPr>
          <w:szCs w:val="24"/>
        </w:rPr>
        <w:tab/>
        <w:t xml:space="preserve">příjmy plynoucí ve formě povinného výtisku na základě zvláštního právního předpisu a ve formě autorské rozmnoženiny, v počtu obvyklém, přijaté v souvislosti s užitím předmětu práva autorského nebo práv souvisejících s právem autorským, </w:t>
      </w:r>
    </w:p>
    <w:p w14:paraId="38A2525E" w14:textId="77777777" w:rsidR="000839A4" w:rsidRPr="000839A4" w:rsidRDefault="000839A4" w:rsidP="000839A4">
      <w:pPr>
        <w:tabs>
          <w:tab w:val="left" w:pos="357"/>
        </w:tabs>
        <w:spacing w:before="0"/>
        <w:ind w:left="357" w:hanging="357"/>
        <w:rPr>
          <w:szCs w:val="24"/>
        </w:rPr>
      </w:pPr>
      <w:r w:rsidRPr="000839A4">
        <w:rPr>
          <w:szCs w:val="24"/>
        </w:rPr>
        <w:t>za)</w:t>
      </w:r>
      <w:r w:rsidRPr="000839A4">
        <w:rPr>
          <w:color w:val="808080" w:themeColor="background1" w:themeShade="80"/>
          <w:szCs w:val="24"/>
        </w:rPr>
        <w:tab/>
      </w:r>
      <w:r w:rsidRPr="000839A4">
        <w:rPr>
          <w:szCs w:val="24"/>
        </w:rPr>
        <w:t>příjem plynoucí jako náhrada za služebnost vzniklou ze zákona nebo rozhodnutím státního orgánu podle jiných právních předpisů a příjem plynoucí jako náhrada za vyvlastnění na základě jiných právních předpisů,</w:t>
      </w:r>
    </w:p>
    <w:p w14:paraId="463EA336" w14:textId="77777777" w:rsidR="000839A4" w:rsidRPr="000839A4" w:rsidRDefault="000839A4" w:rsidP="000839A4">
      <w:pPr>
        <w:tabs>
          <w:tab w:val="left" w:pos="357"/>
        </w:tabs>
        <w:spacing w:before="0"/>
        <w:ind w:left="357" w:hanging="357"/>
        <w:rPr>
          <w:szCs w:val="24"/>
        </w:rPr>
      </w:pPr>
      <w:proofErr w:type="spellStart"/>
      <w:r w:rsidRPr="000839A4">
        <w:rPr>
          <w:szCs w:val="24"/>
        </w:rPr>
        <w:t>zb</w:t>
      </w:r>
      <w:proofErr w:type="spellEnd"/>
      <w:r w:rsidRPr="000839A4">
        <w:rPr>
          <w:szCs w:val="24"/>
        </w:rPr>
        <w:t>)</w:t>
      </w:r>
      <w:r w:rsidRPr="000839A4">
        <w:rPr>
          <w:szCs w:val="24"/>
        </w:rPr>
        <w:tab/>
        <w:t>příjem z nabytí vlastnického práva k věci na základě jeho převodu nebo přechodu podle zákona upravujícího převody vlastnického práva k jednotkám některých bytových družstev, je-li nabyvatelem oprávněný člen družstva,</w:t>
      </w:r>
    </w:p>
    <w:p w14:paraId="6C0817E5" w14:textId="77777777" w:rsidR="000839A4" w:rsidRPr="000839A4" w:rsidRDefault="000839A4" w:rsidP="000839A4">
      <w:pPr>
        <w:tabs>
          <w:tab w:val="left" w:pos="357"/>
        </w:tabs>
        <w:spacing w:before="0"/>
        <w:ind w:left="357" w:hanging="357"/>
        <w:rPr>
          <w:szCs w:val="24"/>
        </w:rPr>
      </w:pPr>
      <w:proofErr w:type="spellStart"/>
      <w:r w:rsidRPr="000839A4">
        <w:rPr>
          <w:szCs w:val="24"/>
        </w:rPr>
        <w:t>zc</w:t>
      </w:r>
      <w:proofErr w:type="spellEnd"/>
      <w:r w:rsidRPr="000839A4">
        <w:rPr>
          <w:szCs w:val="24"/>
        </w:rPr>
        <w:t>)</w:t>
      </w:r>
      <w:r w:rsidRPr="000839A4">
        <w:rPr>
          <w:b/>
          <w:color w:val="808080" w:themeColor="background1" w:themeShade="80"/>
          <w:szCs w:val="24"/>
        </w:rPr>
        <w:tab/>
      </w:r>
      <w:r w:rsidRPr="000839A4">
        <w:rPr>
          <w:szCs w:val="24"/>
        </w:rPr>
        <w:t>příjem z nabytí vlastnického práva k rodinnému domu nebo jednotce, která zahrnuje družstevní byt nebo družstevní nebytový prostor, který je garáží, sklepem nebo komorou, a nezahrnuje jiný nebytový prostor, je-li nabyvatelem fyzická osoba, která je členem bytového družstva, který je nájemcem tohoto rodinného domu nebo jednotky ve vlastnictví družstva a který se sám nebo jeho právní předchůdce podílel na jeho pořízení členským vkladem,</w:t>
      </w:r>
    </w:p>
    <w:p w14:paraId="0D899EC3" w14:textId="77777777" w:rsidR="000839A4" w:rsidRPr="000839A4" w:rsidRDefault="000839A4" w:rsidP="000839A4">
      <w:pPr>
        <w:tabs>
          <w:tab w:val="left" w:pos="357"/>
        </w:tabs>
        <w:spacing w:before="0"/>
        <w:ind w:left="357" w:hanging="357"/>
        <w:rPr>
          <w:szCs w:val="24"/>
        </w:rPr>
      </w:pPr>
      <w:proofErr w:type="spellStart"/>
      <w:r w:rsidRPr="000839A4">
        <w:rPr>
          <w:szCs w:val="24"/>
        </w:rPr>
        <w:lastRenderedPageBreak/>
        <w:t>zd</w:t>
      </w:r>
      <w:proofErr w:type="spellEnd"/>
      <w:r w:rsidRPr="000839A4">
        <w:rPr>
          <w:szCs w:val="24"/>
        </w:rPr>
        <w:t>)</w:t>
      </w:r>
      <w:r w:rsidRPr="000839A4">
        <w:rPr>
          <w:b/>
          <w:color w:val="808080" w:themeColor="background1" w:themeShade="80"/>
          <w:szCs w:val="24"/>
        </w:rPr>
        <w:tab/>
      </w:r>
      <w:r w:rsidRPr="000839A4">
        <w:rPr>
          <w:szCs w:val="24"/>
        </w:rPr>
        <w:t xml:space="preserve">příjem plynoucí z doplatku na dorovnání při přeměně obchodní společnosti nebo výměně podílů obchodní společnosti, na který vznikl společníkovi nárok v souladu se zákonem upravujícím přeměny obchodních společností a družstev, vztahuje-li se k </w:t>
      </w:r>
    </w:p>
    <w:p w14:paraId="739C47F9" w14:textId="77777777" w:rsidR="000839A4" w:rsidRPr="000839A4" w:rsidRDefault="000839A4" w:rsidP="000839A4">
      <w:pPr>
        <w:tabs>
          <w:tab w:val="left" w:pos="357"/>
        </w:tabs>
        <w:spacing w:before="0"/>
        <w:ind w:left="714" w:hanging="357"/>
        <w:rPr>
          <w:szCs w:val="24"/>
        </w:rPr>
      </w:pPr>
      <w:r w:rsidRPr="000839A4">
        <w:rPr>
          <w:szCs w:val="24"/>
        </w:rPr>
        <w:t>1.</w:t>
      </w:r>
      <w:r w:rsidRPr="000839A4">
        <w:rPr>
          <w:szCs w:val="24"/>
        </w:rPr>
        <w:tab/>
        <w:t xml:space="preserve">akcii, u níž doba mezi nabytím a rozhodným dnem přeměny obchodní společnosti nebo výměny podílů obchodní společnosti přesáhla dobu 3 let; osvobození se nevztahuje k akcii, která je nebo byla </w:t>
      </w:r>
      <w:r w:rsidRPr="000839A4">
        <w:rPr>
          <w:strike/>
          <w:szCs w:val="24"/>
        </w:rPr>
        <w:t>zahrnuta do obchodního majetku</w:t>
      </w:r>
      <w:r w:rsidRPr="000839A4">
        <w:rPr>
          <w:noProof/>
          <w:szCs w:val="24"/>
        </w:rPr>
        <w:t xml:space="preserve"> </w:t>
      </w:r>
      <w:r w:rsidRPr="000839A4">
        <w:rPr>
          <w:b/>
          <w:szCs w:val="24"/>
        </w:rPr>
        <w:t>evidovaným aktivem</w:t>
      </w:r>
      <w:r w:rsidRPr="000839A4">
        <w:rPr>
          <w:b/>
          <w:i/>
          <w:szCs w:val="24"/>
        </w:rPr>
        <w:t xml:space="preserve"> </w:t>
      </w:r>
      <w:r w:rsidRPr="000839A4">
        <w:rPr>
          <w:b/>
          <w:szCs w:val="24"/>
        </w:rPr>
        <w:t>poplatníka v rámci činnosti, ze které plynou příjmy ze samostatné činnosti</w:t>
      </w:r>
      <w:r w:rsidRPr="000839A4">
        <w:rPr>
          <w:szCs w:val="24"/>
        </w:rPr>
        <w:t xml:space="preserve">, a to po dobu 3 let od ukončení činnosti, ze které plyne příjem ze samostatné činnosti, </w:t>
      </w:r>
    </w:p>
    <w:p w14:paraId="4D8210F2" w14:textId="77777777" w:rsidR="000839A4" w:rsidRPr="000839A4" w:rsidRDefault="000839A4" w:rsidP="000839A4">
      <w:pPr>
        <w:tabs>
          <w:tab w:val="left" w:pos="357"/>
        </w:tabs>
        <w:spacing w:before="0"/>
        <w:ind w:left="714" w:hanging="357"/>
        <w:rPr>
          <w:szCs w:val="24"/>
        </w:rPr>
      </w:pPr>
      <w:r w:rsidRPr="000839A4">
        <w:rPr>
          <w:szCs w:val="24"/>
        </w:rPr>
        <w:t>2.</w:t>
      </w:r>
      <w:r w:rsidRPr="000839A4">
        <w:rPr>
          <w:szCs w:val="24"/>
        </w:rPr>
        <w:tab/>
        <w:t xml:space="preserve">podílu na obchodní společnosti, u něhož doba mezi nabytím a rozhodným dnem přeměny obchodní společnosti nebo výměny podílů obchodní společnosti přesáhla dobu 5 let; osvobození se nevztahuje k podílu, který je nebo byl </w:t>
      </w:r>
      <w:r w:rsidRPr="000839A4">
        <w:rPr>
          <w:strike/>
          <w:szCs w:val="24"/>
        </w:rPr>
        <w:t>zahrnut do obchodního majetku</w:t>
      </w:r>
      <w:r w:rsidRPr="000839A4">
        <w:rPr>
          <w:noProof/>
          <w:szCs w:val="24"/>
        </w:rPr>
        <w:t xml:space="preserve"> </w:t>
      </w:r>
      <w:r w:rsidRPr="000839A4">
        <w:rPr>
          <w:b/>
          <w:noProof/>
          <w:szCs w:val="24"/>
        </w:rPr>
        <w:t>evidovaným aktivem poplatníka v rámci činnosti, ze které plynou  příjmy ze samostatné činnosti</w:t>
      </w:r>
      <w:r w:rsidRPr="000839A4">
        <w:rPr>
          <w:szCs w:val="24"/>
        </w:rPr>
        <w:t>, a to po dobu 5 let od ukončení činnosti, ze které plyne příjem ze samostatné činnosti,</w:t>
      </w:r>
    </w:p>
    <w:p w14:paraId="11D0E690" w14:textId="77777777" w:rsidR="000839A4" w:rsidRPr="000839A4" w:rsidRDefault="000839A4" w:rsidP="000839A4">
      <w:pPr>
        <w:tabs>
          <w:tab w:val="left" w:pos="357"/>
        </w:tabs>
        <w:spacing w:before="0"/>
        <w:ind w:left="357" w:hanging="357"/>
        <w:rPr>
          <w:szCs w:val="24"/>
        </w:rPr>
      </w:pPr>
      <w:proofErr w:type="gramStart"/>
      <w:r w:rsidRPr="000839A4">
        <w:rPr>
          <w:szCs w:val="24"/>
        </w:rPr>
        <w:t>ze</w:t>
      </w:r>
      <w:proofErr w:type="gramEnd"/>
      <w:r w:rsidRPr="000839A4">
        <w:rPr>
          <w:szCs w:val="24"/>
        </w:rPr>
        <w:t>)</w:t>
      </w:r>
      <w:r w:rsidRPr="000839A4">
        <w:rPr>
          <w:szCs w:val="24"/>
        </w:rPr>
        <w:tab/>
        <w:t>náhrada pobytových výloh nebo příspěvek na pobytové výlohy poskytované orgány Evropské unie zaměstnanci nebo národnímu expertovi vyslanému k působení do instituce Evropské unie,</w:t>
      </w:r>
    </w:p>
    <w:p w14:paraId="1629E334" w14:textId="77777777" w:rsidR="000839A4" w:rsidRPr="000839A4" w:rsidRDefault="000839A4" w:rsidP="000839A4">
      <w:pPr>
        <w:tabs>
          <w:tab w:val="left" w:pos="357"/>
        </w:tabs>
        <w:spacing w:before="0"/>
        <w:ind w:left="357" w:hanging="357"/>
        <w:rPr>
          <w:szCs w:val="24"/>
        </w:rPr>
      </w:pPr>
      <w:proofErr w:type="spellStart"/>
      <w:r w:rsidRPr="000839A4">
        <w:rPr>
          <w:szCs w:val="24"/>
        </w:rPr>
        <w:t>zf</w:t>
      </w:r>
      <w:proofErr w:type="spellEnd"/>
      <w:r w:rsidRPr="000839A4">
        <w:rPr>
          <w:szCs w:val="24"/>
        </w:rPr>
        <w:t>)</w:t>
      </w:r>
      <w:r w:rsidRPr="000839A4">
        <w:rPr>
          <w:color w:val="808080" w:themeColor="background1" w:themeShade="80"/>
          <w:szCs w:val="24"/>
        </w:rPr>
        <w:tab/>
      </w:r>
      <w:r w:rsidRPr="000839A4">
        <w:rPr>
          <w:szCs w:val="24"/>
        </w:rPr>
        <w:t xml:space="preserve">příjem plynoucí ve formě daňového bonusu, </w:t>
      </w:r>
    </w:p>
    <w:p w14:paraId="5FFE00E7" w14:textId="77777777" w:rsidR="000839A4" w:rsidRPr="000839A4" w:rsidRDefault="000839A4" w:rsidP="000839A4">
      <w:pPr>
        <w:tabs>
          <w:tab w:val="left" w:pos="357"/>
        </w:tabs>
        <w:spacing w:before="0"/>
        <w:ind w:left="357" w:hanging="357"/>
        <w:rPr>
          <w:szCs w:val="24"/>
        </w:rPr>
      </w:pPr>
      <w:proofErr w:type="spellStart"/>
      <w:r w:rsidRPr="000839A4">
        <w:rPr>
          <w:szCs w:val="24"/>
        </w:rPr>
        <w:t>zg</w:t>
      </w:r>
      <w:proofErr w:type="spellEnd"/>
      <w:r w:rsidRPr="000839A4">
        <w:rPr>
          <w:szCs w:val="24"/>
        </w:rPr>
        <w:t>)</w:t>
      </w:r>
      <w:r w:rsidRPr="000839A4">
        <w:rPr>
          <w:color w:val="808080" w:themeColor="background1" w:themeShade="80"/>
          <w:szCs w:val="24"/>
        </w:rPr>
        <w:t xml:space="preserve"> </w:t>
      </w:r>
      <w:r w:rsidRPr="000839A4">
        <w:rPr>
          <w:szCs w:val="24"/>
        </w:rPr>
        <w:t>odměna, odchodné, starobní důchod, důchod, příspěvek, naturální plnění a náhrada výdajů poskytované z rozpočtu Evropské unie poslanci nebo bývalému poslanci Evropského parlamentu, zvolenému na území České republiky, dále zaopatření a náhrada výdajů poskytované z rozpočtu Evropské unie pozůstalému manželovi nebo manželce a nezaopatřeným dětem v případě úmrtí poslance Evropského parlamentu, zvoleného na území České republiky,</w:t>
      </w:r>
    </w:p>
    <w:p w14:paraId="2E7594E8" w14:textId="77777777" w:rsidR="000839A4" w:rsidRPr="000839A4" w:rsidRDefault="000839A4" w:rsidP="000839A4">
      <w:pPr>
        <w:tabs>
          <w:tab w:val="left" w:pos="357"/>
        </w:tabs>
        <w:spacing w:before="0"/>
        <w:ind w:left="357" w:hanging="357"/>
        <w:rPr>
          <w:szCs w:val="24"/>
        </w:rPr>
      </w:pPr>
      <w:proofErr w:type="spellStart"/>
      <w:r w:rsidRPr="000839A4">
        <w:rPr>
          <w:szCs w:val="24"/>
        </w:rPr>
        <w:t>zh</w:t>
      </w:r>
      <w:proofErr w:type="spellEnd"/>
      <w:r w:rsidRPr="000839A4">
        <w:rPr>
          <w:szCs w:val="24"/>
        </w:rPr>
        <w:t>)</w:t>
      </w:r>
      <w:r w:rsidRPr="000839A4">
        <w:rPr>
          <w:szCs w:val="24"/>
        </w:rPr>
        <w:tab/>
        <w:t xml:space="preserve">výnos dluhopisu podle zákona upravujícího dluhopisy a příjem plynoucí z práva na splacení dluhopisu vydaných v zahraničí poplatníkem se sídlem v České republice, pokud plynou daňovému nerezidentovi, který není kapitálově spojenou osobou s emitentem dluhopisu, ani s ním nevytvořil právní vztah převážně za účelem snížení základu daně nebo zvýšení daňové ztráty, </w:t>
      </w:r>
    </w:p>
    <w:p w14:paraId="6FDE4CD7" w14:textId="77777777" w:rsidR="000839A4" w:rsidRPr="000839A4" w:rsidRDefault="000839A4" w:rsidP="000839A4">
      <w:pPr>
        <w:tabs>
          <w:tab w:val="left" w:pos="357"/>
        </w:tabs>
        <w:spacing w:before="0"/>
        <w:ind w:left="357" w:hanging="357"/>
        <w:rPr>
          <w:szCs w:val="24"/>
        </w:rPr>
      </w:pPr>
      <w:proofErr w:type="spellStart"/>
      <w:r w:rsidRPr="000839A4">
        <w:rPr>
          <w:szCs w:val="24"/>
        </w:rPr>
        <w:t>zi</w:t>
      </w:r>
      <w:proofErr w:type="spellEnd"/>
      <w:r w:rsidRPr="000839A4">
        <w:rPr>
          <w:szCs w:val="24"/>
        </w:rPr>
        <w:t xml:space="preserve">) příjmy podle § 4a. </w:t>
      </w:r>
    </w:p>
    <w:p w14:paraId="3E36B5AA" w14:textId="77777777" w:rsidR="000839A4" w:rsidRPr="000839A4" w:rsidRDefault="000839A4" w:rsidP="000839A4">
      <w:pPr>
        <w:tabs>
          <w:tab w:val="num" w:pos="783"/>
          <w:tab w:val="left" w:pos="851"/>
        </w:tabs>
        <w:spacing w:before="120" w:after="120"/>
        <w:outlineLvl w:val="6"/>
      </w:pPr>
      <w:r w:rsidRPr="000839A4">
        <w:t xml:space="preserve">(2) Doba mezi nabytím a prodejem podle odstavce 1 písm. a) nebo b) se nepřerušuje, pokud v době mezi nabytím a prodejem došlo k </w:t>
      </w:r>
    </w:p>
    <w:p w14:paraId="53E4016A"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vypořádání mezi spoluvlastníky nemovité věci rozdělením podle velikosti jejich podílů,</w:t>
      </w:r>
    </w:p>
    <w:p w14:paraId="6D17245C"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 xml:space="preserve">tomu, že v domě vznikly jednotky, </w:t>
      </w:r>
    </w:p>
    <w:p w14:paraId="2BDAC9FF" w14:textId="77777777" w:rsidR="000839A4" w:rsidRPr="000839A4" w:rsidRDefault="000839A4" w:rsidP="000839A4">
      <w:pPr>
        <w:tabs>
          <w:tab w:val="left" w:pos="357"/>
        </w:tabs>
        <w:spacing w:before="0"/>
        <w:ind w:left="357" w:hanging="357"/>
        <w:rPr>
          <w:szCs w:val="24"/>
        </w:rPr>
      </w:pPr>
      <w:r w:rsidRPr="000839A4">
        <w:rPr>
          <w:szCs w:val="24"/>
        </w:rPr>
        <w:t>c)</w:t>
      </w:r>
      <w:r w:rsidRPr="000839A4">
        <w:rPr>
          <w:szCs w:val="24"/>
        </w:rPr>
        <w:tab/>
        <w:t xml:space="preserve">vypořádání společného jmění manželů nebo </w:t>
      </w:r>
    </w:p>
    <w:p w14:paraId="0383F6C2" w14:textId="77777777" w:rsidR="000839A4" w:rsidRPr="000839A4" w:rsidRDefault="000839A4" w:rsidP="000839A4">
      <w:pPr>
        <w:tabs>
          <w:tab w:val="left" w:pos="357"/>
        </w:tabs>
        <w:spacing w:before="0"/>
        <w:ind w:left="357" w:hanging="357"/>
        <w:rPr>
          <w:szCs w:val="24"/>
        </w:rPr>
      </w:pPr>
      <w:r w:rsidRPr="000839A4">
        <w:rPr>
          <w:szCs w:val="24"/>
        </w:rPr>
        <w:t>d)</w:t>
      </w:r>
      <w:r w:rsidRPr="000839A4">
        <w:rPr>
          <w:szCs w:val="24"/>
        </w:rPr>
        <w:tab/>
        <w:t xml:space="preserve">rozdělení pozemku. </w:t>
      </w:r>
    </w:p>
    <w:p w14:paraId="789E3003" w14:textId="77777777" w:rsidR="000839A4" w:rsidRPr="000839A4" w:rsidRDefault="000839A4" w:rsidP="000839A4">
      <w:pPr>
        <w:tabs>
          <w:tab w:val="num" w:pos="783"/>
          <w:tab w:val="left" w:pos="851"/>
        </w:tabs>
        <w:spacing w:before="120" w:after="120"/>
        <w:outlineLvl w:val="6"/>
      </w:pPr>
      <w:r w:rsidRPr="000839A4">
        <w:t xml:space="preserve">(3) Pokud úhrn všech příjmů osvobozených podle odstavce 1 písm. q) a příjmů z úplatného převodu cenného papíru osvobozených podle odstavce 1 písm. u) přesahuje 40 000 000 Kč ve zdaňovacím období, příjem osvobozený podle odstavce 1 písm. q) nebo příjem z úplatného převodu cenného papíru osvobozený podle odstavce 1 písm. u) není osvobozen v poměrné části vypočítané podle podílu části úhrnu těchto příjmů převyšující 40 000 000 Kč a úhrnu těchto příjmů. </w:t>
      </w:r>
    </w:p>
    <w:p w14:paraId="67A4E47D" w14:textId="77777777" w:rsidR="000839A4" w:rsidRPr="000839A4" w:rsidRDefault="000839A4" w:rsidP="000839A4">
      <w:pPr>
        <w:spacing w:before="120"/>
        <w:ind w:firstLine="482"/>
        <w:rPr>
          <w:szCs w:val="24"/>
        </w:rPr>
      </w:pPr>
      <w:r w:rsidRPr="000839A4">
        <w:rPr>
          <w:strike/>
          <w:szCs w:val="24"/>
        </w:rPr>
        <w:t xml:space="preserve">(4) Obchodním majetkem poplatníka daně z příjmů fyzických osob se pro účely daní z příjmů rozumí část majetku poplatníka, o které bylo nebo je </w:t>
      </w:r>
      <w:proofErr w:type="gramStart"/>
      <w:r w:rsidRPr="000839A4">
        <w:rPr>
          <w:strike/>
          <w:szCs w:val="24"/>
        </w:rPr>
        <w:t>účtováno anebo</w:t>
      </w:r>
      <w:proofErr w:type="gramEnd"/>
      <w:r w:rsidRPr="000839A4">
        <w:rPr>
          <w:strike/>
          <w:szCs w:val="24"/>
        </w:rPr>
        <w:t xml:space="preserve"> která je nebo byla uvedena v daňové evidenci. Dnem vyřazení určité složky majetku z obchodního majetku poplatníka se rozumí den, kdy poplatník o této složce majetku naposledy účtoval nebo ji naposledy uváděl</w:t>
      </w:r>
      <w:r w:rsidRPr="000839A4">
        <w:rPr>
          <w:b/>
          <w:strike/>
          <w:szCs w:val="24"/>
        </w:rPr>
        <w:t xml:space="preserve"> </w:t>
      </w:r>
      <w:r w:rsidRPr="000839A4">
        <w:rPr>
          <w:strike/>
          <w:szCs w:val="24"/>
        </w:rPr>
        <w:t>v daňové evidenci</w:t>
      </w:r>
      <w:r w:rsidRPr="000839A4">
        <w:rPr>
          <w:szCs w:val="24"/>
        </w:rPr>
        <w:t>.</w:t>
      </w:r>
    </w:p>
    <w:p w14:paraId="3BDE83ED" w14:textId="77777777" w:rsidR="000839A4" w:rsidRPr="000839A4" w:rsidRDefault="000839A4" w:rsidP="000839A4">
      <w:pPr>
        <w:keepNext/>
        <w:ind w:firstLine="0"/>
        <w:jc w:val="center"/>
        <w:rPr>
          <w:szCs w:val="24"/>
        </w:rPr>
      </w:pPr>
      <w:r w:rsidRPr="000839A4">
        <w:rPr>
          <w:szCs w:val="24"/>
        </w:rPr>
        <w:lastRenderedPageBreak/>
        <w:t>§ 4a</w:t>
      </w:r>
    </w:p>
    <w:p w14:paraId="6277DFE1" w14:textId="77777777" w:rsidR="000839A4" w:rsidRPr="000839A4" w:rsidRDefault="000839A4" w:rsidP="000839A4">
      <w:pPr>
        <w:keepNext/>
        <w:ind w:firstLine="0"/>
        <w:jc w:val="center"/>
        <w:rPr>
          <w:b/>
          <w:szCs w:val="24"/>
        </w:rPr>
      </w:pPr>
      <w:r w:rsidRPr="000839A4">
        <w:rPr>
          <w:b/>
          <w:szCs w:val="24"/>
        </w:rPr>
        <w:t>Osvobození bezúplatných příjmů</w:t>
      </w:r>
    </w:p>
    <w:p w14:paraId="2BD4B134" w14:textId="77777777" w:rsidR="000839A4" w:rsidRPr="000839A4" w:rsidRDefault="000839A4" w:rsidP="000839A4">
      <w:pPr>
        <w:tabs>
          <w:tab w:val="num" w:pos="783"/>
          <w:tab w:val="left" w:pos="851"/>
        </w:tabs>
        <w:spacing w:before="120" w:after="120"/>
        <w:outlineLvl w:val="6"/>
      </w:pPr>
      <w:r w:rsidRPr="000839A4">
        <w:t>Od daně z příjmů fyzických osob se osvobozuje bezúplatný příjem</w:t>
      </w:r>
    </w:p>
    <w:p w14:paraId="199ED20A"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z nabytí dědictví nebo odkazu,</w:t>
      </w:r>
    </w:p>
    <w:p w14:paraId="7CEC7B4F" w14:textId="77777777" w:rsidR="000839A4" w:rsidRPr="000839A4" w:rsidRDefault="000839A4" w:rsidP="000839A4">
      <w:pPr>
        <w:tabs>
          <w:tab w:val="left" w:pos="357"/>
        </w:tabs>
        <w:spacing w:before="0"/>
        <w:ind w:left="357" w:hanging="357"/>
        <w:rPr>
          <w:szCs w:val="24"/>
        </w:rPr>
      </w:pPr>
      <w:proofErr w:type="gramStart"/>
      <w:r w:rsidRPr="000839A4">
        <w:rPr>
          <w:szCs w:val="24"/>
        </w:rPr>
        <w:t>b)</w:t>
      </w:r>
      <w:r w:rsidRPr="000839A4">
        <w:rPr>
          <w:szCs w:val="24"/>
        </w:rPr>
        <w:tab/>
        <w:t>obmyšleného</w:t>
      </w:r>
      <w:proofErr w:type="gramEnd"/>
      <w:r w:rsidRPr="000839A4">
        <w:rPr>
          <w:szCs w:val="24"/>
        </w:rPr>
        <w:t xml:space="preserve"> z majetku, </w:t>
      </w:r>
      <w:proofErr w:type="gramStart"/>
      <w:r w:rsidRPr="000839A4">
        <w:rPr>
          <w:szCs w:val="24"/>
        </w:rPr>
        <w:t>který</w:t>
      </w:r>
      <w:proofErr w:type="gramEnd"/>
    </w:p>
    <w:p w14:paraId="17436FF3" w14:textId="77777777" w:rsidR="000839A4" w:rsidRPr="000839A4" w:rsidRDefault="000839A4" w:rsidP="000839A4">
      <w:pPr>
        <w:tabs>
          <w:tab w:val="left" w:pos="357"/>
        </w:tabs>
        <w:spacing w:before="0"/>
        <w:ind w:left="714" w:hanging="357"/>
        <w:rPr>
          <w:szCs w:val="24"/>
        </w:rPr>
      </w:pPr>
      <w:r w:rsidRPr="000839A4">
        <w:rPr>
          <w:szCs w:val="24"/>
        </w:rPr>
        <w:t>1.</w:t>
      </w:r>
      <w:r w:rsidRPr="000839A4">
        <w:rPr>
          <w:szCs w:val="24"/>
        </w:rPr>
        <w:tab/>
        <w:t xml:space="preserve">byl do </w:t>
      </w:r>
      <w:proofErr w:type="spellStart"/>
      <w:r w:rsidRPr="000839A4">
        <w:rPr>
          <w:szCs w:val="24"/>
        </w:rPr>
        <w:t>svěřenského</w:t>
      </w:r>
      <w:proofErr w:type="spellEnd"/>
      <w:r w:rsidRPr="000839A4">
        <w:rPr>
          <w:szCs w:val="24"/>
        </w:rPr>
        <w:t xml:space="preserve"> fondu vyčleněn pořízením pro případ smrti nebo</w:t>
      </w:r>
    </w:p>
    <w:p w14:paraId="112A86A3" w14:textId="77777777" w:rsidR="000839A4" w:rsidRPr="000839A4" w:rsidRDefault="000839A4" w:rsidP="000839A4">
      <w:pPr>
        <w:tabs>
          <w:tab w:val="left" w:pos="357"/>
        </w:tabs>
        <w:spacing w:before="0"/>
        <w:ind w:left="714" w:hanging="357"/>
        <w:rPr>
          <w:szCs w:val="24"/>
        </w:rPr>
      </w:pPr>
      <w:r w:rsidRPr="000839A4">
        <w:rPr>
          <w:szCs w:val="24"/>
        </w:rPr>
        <w:t>2.</w:t>
      </w:r>
      <w:r w:rsidRPr="000839A4">
        <w:rPr>
          <w:szCs w:val="24"/>
        </w:rPr>
        <w:tab/>
        <w:t xml:space="preserve">zvýšil majetek </w:t>
      </w:r>
      <w:proofErr w:type="spellStart"/>
      <w:r w:rsidRPr="000839A4">
        <w:rPr>
          <w:szCs w:val="24"/>
        </w:rPr>
        <w:t>svěřenského</w:t>
      </w:r>
      <w:proofErr w:type="spellEnd"/>
      <w:r w:rsidRPr="000839A4">
        <w:rPr>
          <w:szCs w:val="24"/>
        </w:rPr>
        <w:t xml:space="preserve"> fondu pořízením pro případ smrti,</w:t>
      </w:r>
    </w:p>
    <w:p w14:paraId="277BC806" w14:textId="77777777" w:rsidR="000839A4" w:rsidRPr="000839A4" w:rsidRDefault="000839A4" w:rsidP="000839A4">
      <w:pPr>
        <w:tabs>
          <w:tab w:val="left" w:pos="357"/>
        </w:tabs>
        <w:spacing w:before="0"/>
        <w:ind w:left="357" w:hanging="357"/>
        <w:rPr>
          <w:szCs w:val="24"/>
        </w:rPr>
      </w:pPr>
      <w:r w:rsidRPr="000839A4">
        <w:rPr>
          <w:szCs w:val="24"/>
        </w:rPr>
        <w:t>c)</w:t>
      </w:r>
      <w:r w:rsidRPr="000839A4">
        <w:rPr>
          <w:szCs w:val="24"/>
        </w:rPr>
        <w:tab/>
        <w:t>z nabytí vlastnického práva k movité věci, pokud je zaručena vzájemnost a osoba, od níž se věc nabývá, je</w:t>
      </w:r>
    </w:p>
    <w:p w14:paraId="52B5597B" w14:textId="77777777" w:rsidR="000839A4" w:rsidRPr="000839A4" w:rsidRDefault="000839A4" w:rsidP="000839A4">
      <w:pPr>
        <w:tabs>
          <w:tab w:val="left" w:pos="357"/>
        </w:tabs>
        <w:spacing w:before="0"/>
        <w:ind w:left="714" w:hanging="357"/>
        <w:rPr>
          <w:szCs w:val="24"/>
        </w:rPr>
      </w:pPr>
      <w:r w:rsidRPr="000839A4">
        <w:rPr>
          <w:szCs w:val="24"/>
        </w:rPr>
        <w:t>1.</w:t>
      </w:r>
      <w:r w:rsidRPr="000839A4">
        <w:rPr>
          <w:szCs w:val="24"/>
        </w:rPr>
        <w:tab/>
        <w:t>zástupcem cizího státu pověřeným v České republice,</w:t>
      </w:r>
    </w:p>
    <w:p w14:paraId="1236B295" w14:textId="77777777" w:rsidR="000839A4" w:rsidRPr="000839A4" w:rsidRDefault="000839A4" w:rsidP="000839A4">
      <w:pPr>
        <w:tabs>
          <w:tab w:val="left" w:pos="357"/>
        </w:tabs>
        <w:spacing w:before="0"/>
        <w:ind w:left="714" w:hanging="357"/>
        <w:rPr>
          <w:szCs w:val="24"/>
        </w:rPr>
      </w:pPr>
      <w:r w:rsidRPr="000839A4">
        <w:rPr>
          <w:szCs w:val="24"/>
        </w:rPr>
        <w:t>2.</w:t>
      </w:r>
      <w:r w:rsidRPr="000839A4">
        <w:rPr>
          <w:szCs w:val="24"/>
        </w:rPr>
        <w:tab/>
        <w:t>příslušníkem jeho rodiny žijícím s ním ve společně hospodařící domácnosti,</w:t>
      </w:r>
    </w:p>
    <w:p w14:paraId="576DAB03" w14:textId="77777777" w:rsidR="000839A4" w:rsidRPr="000839A4" w:rsidRDefault="000839A4" w:rsidP="000839A4">
      <w:pPr>
        <w:tabs>
          <w:tab w:val="left" w:pos="357"/>
        </w:tabs>
        <w:spacing w:before="0"/>
        <w:ind w:left="714" w:hanging="357"/>
        <w:rPr>
          <w:szCs w:val="24"/>
        </w:rPr>
      </w:pPr>
      <w:r w:rsidRPr="000839A4">
        <w:rPr>
          <w:szCs w:val="24"/>
        </w:rPr>
        <w:t>3.</w:t>
      </w:r>
      <w:r w:rsidRPr="000839A4">
        <w:rPr>
          <w:szCs w:val="24"/>
        </w:rPr>
        <w:tab/>
        <w:t>jinou osobou, jíž příslušely diplomatické výsady a imunity a která nebyla občanem České republiky,</w:t>
      </w:r>
    </w:p>
    <w:p w14:paraId="2546645D" w14:textId="77777777" w:rsidR="000839A4" w:rsidRPr="000839A4" w:rsidRDefault="000839A4" w:rsidP="000839A4">
      <w:pPr>
        <w:tabs>
          <w:tab w:val="left" w:pos="357"/>
        </w:tabs>
        <w:spacing w:before="0"/>
        <w:ind w:left="357" w:hanging="357"/>
        <w:rPr>
          <w:szCs w:val="24"/>
        </w:rPr>
      </w:pPr>
      <w:r w:rsidRPr="000839A4">
        <w:rPr>
          <w:szCs w:val="24"/>
        </w:rPr>
        <w:t>d)</w:t>
      </w:r>
      <w:r w:rsidRPr="000839A4">
        <w:rPr>
          <w:szCs w:val="24"/>
        </w:rPr>
        <w:tab/>
        <w:t>z nabytí vlastnického práva k pozemku nebo ze zřízení věcného břemene, pokud k těmto příjmům došlo na základě rozhodnutí pozemkového úřadu o pozemkových úpravách,</w:t>
      </w:r>
    </w:p>
    <w:p w14:paraId="18850833" w14:textId="77777777" w:rsidR="000839A4" w:rsidRPr="000839A4" w:rsidRDefault="000839A4" w:rsidP="000839A4">
      <w:pPr>
        <w:tabs>
          <w:tab w:val="left" w:pos="357"/>
        </w:tabs>
        <w:spacing w:before="0"/>
        <w:ind w:left="357" w:hanging="357"/>
        <w:rPr>
          <w:szCs w:val="24"/>
        </w:rPr>
      </w:pPr>
      <w:r w:rsidRPr="000839A4">
        <w:rPr>
          <w:szCs w:val="24"/>
        </w:rPr>
        <w:t>e)</w:t>
      </w:r>
      <w:r w:rsidRPr="000839A4">
        <w:rPr>
          <w:szCs w:val="24"/>
        </w:rPr>
        <w:tab/>
        <w:t>z nabytí vlastnického práva k pozemku nebo podílu na pozemku podle zákona upravujícího majetek České republiky a její vystupování v právních vztazích, je-li organizační složka státu povinna je bezúplatně převést fyzické osobě,</w:t>
      </w:r>
    </w:p>
    <w:p w14:paraId="429839C9" w14:textId="77777777" w:rsidR="000839A4" w:rsidRPr="000839A4" w:rsidRDefault="000839A4" w:rsidP="000839A4">
      <w:pPr>
        <w:tabs>
          <w:tab w:val="left" w:pos="357"/>
        </w:tabs>
        <w:spacing w:before="0"/>
        <w:ind w:left="357" w:hanging="357"/>
        <w:rPr>
          <w:szCs w:val="24"/>
        </w:rPr>
      </w:pPr>
      <w:r w:rsidRPr="000839A4">
        <w:rPr>
          <w:szCs w:val="24"/>
        </w:rPr>
        <w:t>f)</w:t>
      </w:r>
      <w:r w:rsidRPr="000839A4">
        <w:rPr>
          <w:szCs w:val="24"/>
        </w:rPr>
        <w:tab/>
        <w:t>ze vzniku služebnosti bytu podle zákona upravujícího převody vlastnického práva k jednotkám některých bytových družstev,</w:t>
      </w:r>
    </w:p>
    <w:p w14:paraId="64EDA2C4" w14:textId="77777777" w:rsidR="000839A4" w:rsidRPr="000839A4" w:rsidRDefault="000839A4" w:rsidP="000839A4">
      <w:pPr>
        <w:tabs>
          <w:tab w:val="left" w:pos="357"/>
        </w:tabs>
        <w:spacing w:before="0"/>
        <w:ind w:left="357" w:hanging="357"/>
        <w:rPr>
          <w:szCs w:val="24"/>
        </w:rPr>
      </w:pPr>
      <w:r w:rsidRPr="000839A4">
        <w:rPr>
          <w:szCs w:val="24"/>
        </w:rPr>
        <w:t>g)</w:t>
      </w:r>
      <w:r w:rsidRPr="000839A4">
        <w:rPr>
          <w:szCs w:val="24"/>
        </w:rPr>
        <w:tab/>
        <w:t>plynoucí ve formě daru přijatého v souvislosti s činností, ze které plyne příjem ze samostatné činnosti, jako reklamního předmětu opatřeného jménem nebo ochrannou známkou poskytovatele tohoto daru, jehož cena nepřesahuje částku 500 Kč,</w:t>
      </w:r>
    </w:p>
    <w:p w14:paraId="0B8A35BD" w14:textId="77777777" w:rsidR="000839A4" w:rsidRPr="000839A4" w:rsidRDefault="000839A4" w:rsidP="000839A4">
      <w:pPr>
        <w:tabs>
          <w:tab w:val="left" w:pos="357"/>
        </w:tabs>
        <w:spacing w:before="0"/>
        <w:ind w:left="357" w:hanging="357"/>
        <w:rPr>
          <w:szCs w:val="24"/>
        </w:rPr>
      </w:pPr>
      <w:r w:rsidRPr="000839A4">
        <w:rPr>
          <w:szCs w:val="24"/>
        </w:rPr>
        <w:t>h)</w:t>
      </w:r>
      <w:r w:rsidRPr="000839A4">
        <w:rPr>
          <w:szCs w:val="24"/>
        </w:rPr>
        <w:tab/>
        <w:t>příjem plynoucí z odpisu dluhu při reorganizaci nebo při oddlužení provedeném podle zákona upravujícího řešení úpadku,</w:t>
      </w:r>
    </w:p>
    <w:p w14:paraId="503C42CA" w14:textId="77777777" w:rsidR="000839A4" w:rsidRPr="000839A4" w:rsidRDefault="000839A4" w:rsidP="000839A4">
      <w:pPr>
        <w:tabs>
          <w:tab w:val="left" w:pos="357"/>
        </w:tabs>
        <w:spacing w:before="0"/>
        <w:ind w:left="357" w:hanging="357"/>
        <w:rPr>
          <w:szCs w:val="24"/>
        </w:rPr>
      </w:pPr>
      <w:r w:rsidRPr="000839A4">
        <w:rPr>
          <w:szCs w:val="24"/>
        </w:rPr>
        <w:t>i)</w:t>
      </w:r>
      <w:r w:rsidRPr="000839A4">
        <w:rPr>
          <w:szCs w:val="24"/>
        </w:rPr>
        <w:tab/>
        <w:t xml:space="preserve">poplatníka s bydlištěm v členském státě Evropské unie nebo státě tvořícím Evropský hospodářský prostor provozujícího zařízení pro péči o toulavá nebo opuštěná zvířata nebo pro péči o jedince ohrožených druhů živočichů, je-li bezúplatný příjem použit k provozu tohoto zařízení, </w:t>
      </w:r>
    </w:p>
    <w:p w14:paraId="32DB22E4" w14:textId="77777777" w:rsidR="000839A4" w:rsidRPr="000839A4" w:rsidRDefault="000839A4" w:rsidP="000839A4">
      <w:pPr>
        <w:tabs>
          <w:tab w:val="left" w:pos="357"/>
        </w:tabs>
        <w:spacing w:before="0"/>
        <w:ind w:left="357" w:hanging="357"/>
        <w:rPr>
          <w:szCs w:val="24"/>
        </w:rPr>
      </w:pPr>
      <w:r w:rsidRPr="000839A4">
        <w:rPr>
          <w:szCs w:val="24"/>
        </w:rPr>
        <w:t>j)</w:t>
      </w:r>
      <w:r w:rsidRPr="000839A4">
        <w:rPr>
          <w:szCs w:val="24"/>
        </w:rPr>
        <w:tab/>
        <w:t>poplatníka, který jej nejpozději do konce kalendářního roku následujícího po roce jeho přijetí prokazatelně použije na vzdělávání, pokud tento příjem není příjmem ze závislé činnosti, nebo na léčení, úhradu sociálních služeb nebo na zakoupení pomůcky pro zdravotně postižené, jakož i přímé poskytnutí takové pomůcky; nedojde-li ke splnění podmínek pro osvobození příjmu, je tento příjem příjmem podle § 10 v posledním zdaňovacím období, ve kterém mohly být podmínky pro osvobození splněny,</w:t>
      </w:r>
    </w:p>
    <w:p w14:paraId="1BD640B3" w14:textId="77777777" w:rsidR="000839A4" w:rsidRPr="000839A4" w:rsidRDefault="000839A4" w:rsidP="000839A4">
      <w:pPr>
        <w:tabs>
          <w:tab w:val="left" w:pos="357"/>
        </w:tabs>
        <w:spacing w:before="0"/>
        <w:ind w:left="357" w:hanging="357"/>
        <w:rPr>
          <w:szCs w:val="24"/>
        </w:rPr>
      </w:pPr>
      <w:r w:rsidRPr="000839A4">
        <w:rPr>
          <w:szCs w:val="24"/>
        </w:rPr>
        <w:t>k)</w:t>
      </w:r>
      <w:r w:rsidRPr="000839A4">
        <w:rPr>
          <w:szCs w:val="24"/>
        </w:rPr>
        <w:tab/>
        <w:t>na humanitární nebo charitativní účel nebo z veřejné sbírky,</w:t>
      </w:r>
    </w:p>
    <w:p w14:paraId="057CCB87" w14:textId="77777777" w:rsidR="000839A4" w:rsidRPr="000839A4" w:rsidRDefault="000839A4" w:rsidP="000839A4">
      <w:pPr>
        <w:tabs>
          <w:tab w:val="left" w:pos="357"/>
        </w:tabs>
        <w:spacing w:before="0"/>
        <w:ind w:left="357" w:hanging="357"/>
        <w:rPr>
          <w:szCs w:val="24"/>
        </w:rPr>
      </w:pPr>
      <w:r w:rsidRPr="000839A4">
        <w:rPr>
          <w:szCs w:val="24"/>
        </w:rPr>
        <w:t>l)</w:t>
      </w:r>
      <w:r w:rsidRPr="000839A4">
        <w:rPr>
          <w:szCs w:val="24"/>
        </w:rPr>
        <w:tab/>
        <w:t>z nabytí majetku prokazatelně použitého na financování volební kampaně kandidáta na funkci prezidenta republiky podle zákona upravujícího volbu prezidenta republiky, který se zúčastní prvního kola volby,</w:t>
      </w:r>
    </w:p>
    <w:p w14:paraId="1F98ABDF" w14:textId="77777777" w:rsidR="000839A4" w:rsidRPr="000839A4" w:rsidRDefault="000839A4" w:rsidP="000839A4">
      <w:pPr>
        <w:tabs>
          <w:tab w:val="left" w:pos="357"/>
        </w:tabs>
        <w:spacing w:before="0"/>
        <w:ind w:left="357" w:hanging="357"/>
        <w:rPr>
          <w:szCs w:val="24"/>
        </w:rPr>
      </w:pPr>
      <w:r w:rsidRPr="000839A4">
        <w:rPr>
          <w:szCs w:val="24"/>
        </w:rPr>
        <w:t>m)</w:t>
      </w:r>
      <w:r w:rsidRPr="000839A4">
        <w:rPr>
          <w:szCs w:val="24"/>
        </w:rPr>
        <w:tab/>
        <w:t xml:space="preserve">v podobě majetkového prospěchu </w:t>
      </w:r>
      <w:proofErr w:type="spellStart"/>
      <w:r w:rsidRPr="000839A4">
        <w:rPr>
          <w:szCs w:val="24"/>
        </w:rPr>
        <w:t>vydlužitele</w:t>
      </w:r>
      <w:proofErr w:type="spellEnd"/>
      <w:r w:rsidRPr="000839A4">
        <w:rPr>
          <w:szCs w:val="24"/>
        </w:rPr>
        <w:t xml:space="preserve"> při bezúročné zápůjčce, vypůjčitele při výpůjčce nebo </w:t>
      </w:r>
      <w:proofErr w:type="spellStart"/>
      <w:r w:rsidRPr="000839A4">
        <w:rPr>
          <w:szCs w:val="24"/>
        </w:rPr>
        <w:t>výprosníka</w:t>
      </w:r>
      <w:proofErr w:type="spellEnd"/>
      <w:r w:rsidRPr="000839A4">
        <w:rPr>
          <w:szCs w:val="24"/>
        </w:rPr>
        <w:t xml:space="preserve"> při výprose, pokud tyto příjmy nejsou příjmy ze závislé činnosti, a pokud</w:t>
      </w:r>
    </w:p>
    <w:p w14:paraId="3F065BD5" w14:textId="77777777" w:rsidR="000839A4" w:rsidRPr="000839A4" w:rsidRDefault="000839A4" w:rsidP="000839A4">
      <w:pPr>
        <w:tabs>
          <w:tab w:val="left" w:pos="357"/>
        </w:tabs>
        <w:spacing w:before="0"/>
        <w:ind w:left="714" w:hanging="357"/>
        <w:rPr>
          <w:szCs w:val="24"/>
        </w:rPr>
      </w:pPr>
      <w:r w:rsidRPr="000839A4">
        <w:rPr>
          <w:szCs w:val="24"/>
        </w:rPr>
        <w:t>1.</w:t>
      </w:r>
      <w:r w:rsidRPr="000839A4">
        <w:rPr>
          <w:szCs w:val="24"/>
        </w:rPr>
        <w:tab/>
        <w:t>se jedná o příjmy od příbuzného v linii přímé, linii vedlejší, pokud jde o sourozence, strýce, tetu, synovce nebo neteř, manžela, manžela dítěte, dítě manžela, rodiče manžela nebo manžela rodičů,</w:t>
      </w:r>
    </w:p>
    <w:p w14:paraId="71FDE1B4" w14:textId="77777777" w:rsidR="000839A4" w:rsidRPr="000839A4" w:rsidRDefault="000839A4" w:rsidP="000839A4">
      <w:pPr>
        <w:tabs>
          <w:tab w:val="left" w:pos="357"/>
        </w:tabs>
        <w:spacing w:before="0"/>
        <w:ind w:left="714" w:hanging="357"/>
        <w:rPr>
          <w:szCs w:val="24"/>
        </w:rPr>
      </w:pPr>
      <w:r w:rsidRPr="000839A4">
        <w:rPr>
          <w:szCs w:val="24"/>
        </w:rPr>
        <w:lastRenderedPageBreak/>
        <w:t>2.</w:t>
      </w:r>
      <w:r w:rsidRPr="000839A4">
        <w:rPr>
          <w:szCs w:val="24"/>
        </w:rPr>
        <w:tab/>
        <w:t>se jedná o příjmy od osoby, se kterou poplatník žil nejméně po dobu jednoho roku bezprostředně před získáním bezúplatného příjmu ve společně hospodařící domácnosti a z tohoto důvodu pečoval o domácnost nebo byl na tuto osobu odkázán výživou,</w:t>
      </w:r>
    </w:p>
    <w:p w14:paraId="33C8A2BD" w14:textId="77777777" w:rsidR="000839A4" w:rsidRPr="000839A4" w:rsidRDefault="000839A4" w:rsidP="000839A4">
      <w:pPr>
        <w:tabs>
          <w:tab w:val="left" w:pos="357"/>
        </w:tabs>
        <w:spacing w:before="0"/>
        <w:ind w:left="714" w:hanging="357"/>
        <w:rPr>
          <w:szCs w:val="24"/>
        </w:rPr>
      </w:pPr>
      <w:r w:rsidRPr="000839A4">
        <w:rPr>
          <w:szCs w:val="24"/>
        </w:rPr>
        <w:t>3.</w:t>
      </w:r>
      <w:r w:rsidRPr="000839A4">
        <w:rPr>
          <w:szCs w:val="24"/>
        </w:rPr>
        <w:tab/>
        <w:t xml:space="preserve">se jedná o příjmy obmyšleného z jeho majetku, který do </w:t>
      </w:r>
      <w:proofErr w:type="spellStart"/>
      <w:r w:rsidRPr="000839A4">
        <w:rPr>
          <w:szCs w:val="24"/>
        </w:rPr>
        <w:t>svěřenského</w:t>
      </w:r>
      <w:proofErr w:type="spellEnd"/>
      <w:r w:rsidRPr="000839A4">
        <w:rPr>
          <w:szCs w:val="24"/>
        </w:rPr>
        <w:t xml:space="preserve"> fondu vyčlenil nebo kterým zvýšil majetek tohoto fondu, nebo z majetku, který byl do </w:t>
      </w:r>
      <w:proofErr w:type="spellStart"/>
      <w:r w:rsidRPr="000839A4">
        <w:rPr>
          <w:szCs w:val="24"/>
        </w:rPr>
        <w:t>svěřenského</w:t>
      </w:r>
      <w:proofErr w:type="spellEnd"/>
      <w:r w:rsidRPr="000839A4">
        <w:rPr>
          <w:szCs w:val="24"/>
        </w:rPr>
        <w:t xml:space="preserve"> fondu vyčleněn nebo který zvýšil majetek tohoto fondu osobou uvedenou v bodě 1 nebo 2, nebo</w:t>
      </w:r>
    </w:p>
    <w:p w14:paraId="3317F950" w14:textId="77777777" w:rsidR="000839A4" w:rsidRPr="000839A4" w:rsidRDefault="000839A4" w:rsidP="000839A4">
      <w:pPr>
        <w:tabs>
          <w:tab w:val="left" w:pos="357"/>
        </w:tabs>
        <w:spacing w:before="0"/>
        <w:ind w:left="714" w:hanging="357"/>
        <w:rPr>
          <w:szCs w:val="24"/>
        </w:rPr>
      </w:pPr>
      <w:r w:rsidRPr="000839A4">
        <w:rPr>
          <w:szCs w:val="24"/>
        </w:rPr>
        <w:t>4.</w:t>
      </w:r>
      <w:r w:rsidRPr="000839A4">
        <w:rPr>
          <w:szCs w:val="24"/>
        </w:rPr>
        <w:tab/>
        <w:t>v úhrnu příjmy z těchto majetkových prospěchů od téhož poplatníka nepřesáhnou ve zdaňovacím období částku 100 000 Kč,</w:t>
      </w:r>
    </w:p>
    <w:p w14:paraId="39C444EF" w14:textId="77777777" w:rsidR="000839A4" w:rsidRPr="000839A4" w:rsidRDefault="000839A4" w:rsidP="000839A4">
      <w:pPr>
        <w:tabs>
          <w:tab w:val="left" w:pos="357"/>
        </w:tabs>
        <w:spacing w:before="0"/>
        <w:ind w:left="357" w:hanging="357"/>
        <w:rPr>
          <w:szCs w:val="24"/>
        </w:rPr>
      </w:pPr>
      <w:r w:rsidRPr="000839A4">
        <w:rPr>
          <w:szCs w:val="24"/>
        </w:rPr>
        <w:t>n)</w:t>
      </w:r>
      <w:r w:rsidRPr="000839A4">
        <w:rPr>
          <w:szCs w:val="24"/>
        </w:rPr>
        <w:tab/>
        <w:t xml:space="preserve">v podobě plnění poskytnutého pro provoz zoologické zahrady, jejíž provozovatel je držitelem platné licence podle zákona upravujícího zoologické zahrady, </w:t>
      </w:r>
    </w:p>
    <w:p w14:paraId="39955A9E" w14:textId="77777777" w:rsidR="000839A4" w:rsidRPr="000839A4" w:rsidRDefault="000839A4" w:rsidP="000839A4">
      <w:pPr>
        <w:tabs>
          <w:tab w:val="left" w:pos="357"/>
        </w:tabs>
        <w:spacing w:before="0"/>
        <w:ind w:left="357" w:hanging="357"/>
        <w:rPr>
          <w:szCs w:val="24"/>
        </w:rPr>
      </w:pPr>
      <w:r w:rsidRPr="000839A4">
        <w:rPr>
          <w:szCs w:val="24"/>
        </w:rPr>
        <w:t>o)</w:t>
      </w:r>
      <w:r w:rsidRPr="000839A4">
        <w:rPr>
          <w:szCs w:val="24"/>
        </w:rPr>
        <w:tab/>
        <w:t xml:space="preserve">vlastníka jednotky v podobě úhrady nákladů na správu domu a pozemku </w:t>
      </w:r>
    </w:p>
    <w:p w14:paraId="31C2386A" w14:textId="77777777" w:rsidR="000839A4" w:rsidRPr="000839A4" w:rsidRDefault="000839A4" w:rsidP="000839A4">
      <w:pPr>
        <w:tabs>
          <w:tab w:val="left" w:pos="357"/>
        </w:tabs>
        <w:spacing w:before="0"/>
        <w:ind w:left="714" w:hanging="357"/>
        <w:rPr>
          <w:szCs w:val="24"/>
        </w:rPr>
      </w:pPr>
      <w:r w:rsidRPr="000839A4">
        <w:rPr>
          <w:szCs w:val="24"/>
        </w:rPr>
        <w:t>1.</w:t>
      </w:r>
      <w:r w:rsidRPr="000839A4">
        <w:rPr>
          <w:szCs w:val="24"/>
        </w:rPr>
        <w:tab/>
        <w:t>vlastníkem jiné jednotky v tomtéž domě nebo</w:t>
      </w:r>
    </w:p>
    <w:p w14:paraId="02FB0C42" w14:textId="77777777" w:rsidR="000839A4" w:rsidRPr="000839A4" w:rsidRDefault="000839A4" w:rsidP="000839A4">
      <w:pPr>
        <w:tabs>
          <w:tab w:val="left" w:pos="357"/>
        </w:tabs>
        <w:spacing w:before="0"/>
        <w:ind w:left="714" w:hanging="357"/>
        <w:rPr>
          <w:szCs w:val="24"/>
        </w:rPr>
      </w:pPr>
      <w:r w:rsidRPr="000839A4">
        <w:rPr>
          <w:szCs w:val="24"/>
        </w:rPr>
        <w:t>2.</w:t>
      </w:r>
      <w:r w:rsidRPr="000839A4">
        <w:rPr>
          <w:szCs w:val="24"/>
        </w:rPr>
        <w:tab/>
        <w:t>osobou, která se stane vlastníkem vznikající jednotky v tomtéž domě,</w:t>
      </w:r>
    </w:p>
    <w:p w14:paraId="7411F9F8" w14:textId="77777777" w:rsidR="000839A4" w:rsidRPr="000839A4" w:rsidRDefault="000839A4" w:rsidP="00FE4A0D">
      <w:pPr>
        <w:numPr>
          <w:ilvl w:val="0"/>
          <w:numId w:val="82"/>
        </w:numPr>
        <w:tabs>
          <w:tab w:val="left" w:pos="357"/>
        </w:tabs>
        <w:spacing w:before="0"/>
        <w:ind w:left="426" w:hanging="426"/>
        <w:jc w:val="left"/>
        <w:rPr>
          <w:noProof/>
          <w:szCs w:val="24"/>
        </w:rPr>
      </w:pPr>
      <w:r w:rsidRPr="000839A4">
        <w:rPr>
          <w:szCs w:val="24"/>
        </w:rPr>
        <w:t>p)</w:t>
      </w:r>
      <w:r w:rsidRPr="000839A4">
        <w:rPr>
          <w:noProof/>
          <w:szCs w:val="24"/>
        </w:rPr>
        <w:tab/>
        <w:t xml:space="preserve">z nabytí spoluvlastnického podílu na nemovité věci od obce nebo od poplatníka, jehož je obec členem nebo zřizovatelem, pokud </w:t>
      </w:r>
    </w:p>
    <w:p w14:paraId="70AF8F90" w14:textId="77777777" w:rsidR="000839A4" w:rsidRPr="000839A4" w:rsidRDefault="000839A4" w:rsidP="000839A4">
      <w:pPr>
        <w:tabs>
          <w:tab w:val="left" w:pos="357"/>
        </w:tabs>
        <w:spacing w:before="0"/>
        <w:ind w:left="851" w:hanging="425"/>
        <w:rPr>
          <w:noProof/>
          <w:szCs w:val="24"/>
        </w:rPr>
      </w:pPr>
      <w:r w:rsidRPr="000839A4">
        <w:rPr>
          <w:noProof/>
          <w:szCs w:val="24"/>
        </w:rPr>
        <w:t>1.</w:t>
      </w:r>
      <w:r w:rsidRPr="000839A4">
        <w:rPr>
          <w:noProof/>
          <w:szCs w:val="24"/>
        </w:rPr>
        <w:tab/>
        <w:t>na výstavbu této nemovité věci byla v období od roku 1995 do roku 2007 získána dotace ze státního rozpočtu prostřednictvím programu podporujícího výstavbu nájemních bytů a technické infrastruktury nebo ze Státního fondu rozvoje bydlení podle nařízení vlády č. 481/2000 Sb., o použití prostředků Státního fondu rozvoje bydlení formou dotace ke krytí části nákladů spojených s výstavbou bytů, ve znění pozdějších předpisů, a</w:t>
      </w:r>
    </w:p>
    <w:p w14:paraId="1A236A72" w14:textId="77777777" w:rsidR="000839A4" w:rsidRPr="000839A4" w:rsidRDefault="000839A4" w:rsidP="000839A4">
      <w:pPr>
        <w:tabs>
          <w:tab w:val="left" w:pos="426"/>
        </w:tabs>
        <w:spacing w:before="0"/>
        <w:ind w:left="851" w:hanging="425"/>
        <w:rPr>
          <w:noProof/>
          <w:szCs w:val="24"/>
        </w:rPr>
      </w:pPr>
      <w:r w:rsidRPr="000839A4">
        <w:rPr>
          <w:noProof/>
          <w:szCs w:val="24"/>
        </w:rPr>
        <w:t>2.</w:t>
      </w:r>
      <w:r w:rsidRPr="000839A4">
        <w:rPr>
          <w:noProof/>
          <w:szCs w:val="24"/>
        </w:rPr>
        <w:tab/>
        <w:t>převod této nemovité věci na jinou osobu byl po stanovenou dobu zakázán podmínkami poskytnutí dotace podle bodu 1 a jedná se o první převod po uplynutí této doby s tím, že tento převod slouží k tomu, aby tato nemovitá věc byla ve vlastnictví fyzické osoby.</w:t>
      </w:r>
    </w:p>
    <w:p w14:paraId="5BB756E1" w14:textId="77777777" w:rsidR="000839A4" w:rsidRPr="000839A4" w:rsidRDefault="000839A4" w:rsidP="008F0667">
      <w:pPr>
        <w:keepNext/>
        <w:keepLines/>
        <w:numPr>
          <w:ilvl w:val="0"/>
          <w:numId w:val="1"/>
        </w:numPr>
        <w:jc w:val="center"/>
        <w:outlineLvl w:val="5"/>
      </w:pPr>
      <w:r w:rsidRPr="000839A4">
        <w:t>§ 4b</w:t>
      </w:r>
    </w:p>
    <w:p w14:paraId="238CC9CF" w14:textId="77777777" w:rsidR="000839A4" w:rsidRPr="000839A4" w:rsidRDefault="000839A4" w:rsidP="008F0667">
      <w:pPr>
        <w:keepNext/>
        <w:keepLines/>
        <w:numPr>
          <w:ilvl w:val="0"/>
          <w:numId w:val="1"/>
        </w:numPr>
        <w:jc w:val="center"/>
        <w:outlineLvl w:val="5"/>
      </w:pPr>
      <w:r w:rsidRPr="000839A4">
        <w:rPr>
          <w:b/>
        </w:rPr>
        <w:t>Bytová potřeba</w:t>
      </w:r>
    </w:p>
    <w:p w14:paraId="6B26DC65" w14:textId="77777777" w:rsidR="000839A4" w:rsidRPr="000839A4" w:rsidRDefault="000839A4" w:rsidP="000839A4">
      <w:pPr>
        <w:tabs>
          <w:tab w:val="num" w:pos="783"/>
          <w:tab w:val="left" w:pos="851"/>
        </w:tabs>
        <w:spacing w:before="120" w:after="120"/>
        <w:outlineLvl w:val="6"/>
      </w:pPr>
      <w:r w:rsidRPr="000839A4">
        <w:t xml:space="preserve">(1) Bytovou potřebou se pro účely daní z příjmů rozumí </w:t>
      </w:r>
    </w:p>
    <w:p w14:paraId="4CE1F27F" w14:textId="77777777" w:rsidR="000839A4" w:rsidRPr="000839A4" w:rsidRDefault="000839A4" w:rsidP="000839A4">
      <w:pPr>
        <w:spacing w:before="0"/>
        <w:ind w:left="426" w:hanging="426"/>
        <w:outlineLvl w:val="7"/>
      </w:pPr>
      <w:r w:rsidRPr="000839A4">
        <w:t>a)</w:t>
      </w:r>
      <w:r w:rsidRPr="000839A4">
        <w:tab/>
        <w:t xml:space="preserve">výstavba bytového domu, rodinného domu, jednotky, která nezahrnuje nebytový prostor jiný než garáž, sklep nebo komoru, a změna stavby, </w:t>
      </w:r>
    </w:p>
    <w:p w14:paraId="1320C9E1" w14:textId="77777777" w:rsidR="000839A4" w:rsidRPr="000839A4" w:rsidRDefault="000839A4" w:rsidP="000839A4">
      <w:pPr>
        <w:spacing w:before="0"/>
        <w:ind w:left="426" w:hanging="426"/>
        <w:outlineLvl w:val="7"/>
      </w:pPr>
      <w:r w:rsidRPr="000839A4">
        <w:t>b)</w:t>
      </w:r>
      <w:r w:rsidRPr="000839A4">
        <w:tab/>
        <w:t xml:space="preserve">úplatné nabytí pozemku </w:t>
      </w:r>
    </w:p>
    <w:p w14:paraId="6BED8B1C" w14:textId="77777777" w:rsidR="000839A4" w:rsidRPr="000839A4" w:rsidRDefault="000839A4" w:rsidP="000839A4">
      <w:pPr>
        <w:spacing w:before="0"/>
        <w:ind w:left="851" w:hanging="426"/>
        <w:outlineLvl w:val="8"/>
      </w:pPr>
      <w:r w:rsidRPr="000839A4">
        <w:t>1.</w:t>
      </w:r>
      <w:r w:rsidRPr="000839A4">
        <w:tab/>
        <w:t xml:space="preserve">za předpokladu, že na pozemku bude zahájena výstavba bytové potřeby podle písmene a) do 4 let od okamžiku nabytí pozemku, nebo </w:t>
      </w:r>
    </w:p>
    <w:p w14:paraId="12FEB13A" w14:textId="77777777" w:rsidR="000839A4" w:rsidRPr="000839A4" w:rsidRDefault="000839A4" w:rsidP="000839A4">
      <w:pPr>
        <w:spacing w:before="0"/>
        <w:ind w:left="851" w:hanging="426"/>
        <w:outlineLvl w:val="8"/>
      </w:pPr>
      <w:r w:rsidRPr="000839A4">
        <w:t>2.</w:t>
      </w:r>
      <w:r w:rsidRPr="000839A4">
        <w:tab/>
        <w:t>v souvislosti s pořízením bytové potřeby uvedené v písmenu c),</w:t>
      </w:r>
    </w:p>
    <w:p w14:paraId="4FE1C1E1" w14:textId="77777777" w:rsidR="000839A4" w:rsidRPr="000839A4" w:rsidRDefault="000839A4" w:rsidP="000839A4">
      <w:pPr>
        <w:spacing w:before="0"/>
        <w:ind w:left="426" w:hanging="426"/>
        <w:outlineLvl w:val="7"/>
      </w:pPr>
      <w:r w:rsidRPr="000839A4">
        <w:t>c)</w:t>
      </w:r>
      <w:r w:rsidRPr="000839A4">
        <w:tab/>
        <w:t>úplatné nabytí</w:t>
      </w:r>
    </w:p>
    <w:p w14:paraId="22D7BD57" w14:textId="77777777" w:rsidR="000839A4" w:rsidRPr="000839A4" w:rsidRDefault="000839A4" w:rsidP="000839A4">
      <w:pPr>
        <w:spacing w:before="0"/>
        <w:ind w:left="851" w:hanging="426"/>
        <w:outlineLvl w:val="8"/>
      </w:pPr>
      <w:r w:rsidRPr="000839A4">
        <w:t>1.</w:t>
      </w:r>
      <w:r w:rsidRPr="000839A4">
        <w:tab/>
        <w:t>bytového domu,</w:t>
      </w:r>
    </w:p>
    <w:p w14:paraId="49877BF6" w14:textId="77777777" w:rsidR="000839A4" w:rsidRPr="000839A4" w:rsidRDefault="000839A4" w:rsidP="000839A4">
      <w:pPr>
        <w:spacing w:before="0"/>
        <w:ind w:left="851" w:hanging="426"/>
        <w:outlineLvl w:val="8"/>
      </w:pPr>
      <w:r w:rsidRPr="000839A4">
        <w:t>2.</w:t>
      </w:r>
      <w:r w:rsidRPr="000839A4">
        <w:tab/>
        <w:t>rodinného domu,</w:t>
      </w:r>
    </w:p>
    <w:p w14:paraId="6DAB5F89" w14:textId="77777777" w:rsidR="000839A4" w:rsidRPr="000839A4" w:rsidRDefault="000839A4" w:rsidP="000839A4">
      <w:pPr>
        <w:spacing w:before="0"/>
        <w:ind w:left="851" w:hanging="426"/>
        <w:outlineLvl w:val="8"/>
      </w:pPr>
      <w:r w:rsidRPr="000839A4">
        <w:t>3.</w:t>
      </w:r>
      <w:r w:rsidRPr="000839A4">
        <w:tab/>
        <w:t>rozestavěné stavby bytového domu nebo rodinného domu,</w:t>
      </w:r>
    </w:p>
    <w:p w14:paraId="627CFC6F" w14:textId="77777777" w:rsidR="000839A4" w:rsidRPr="000839A4" w:rsidRDefault="000839A4" w:rsidP="000839A4">
      <w:pPr>
        <w:spacing w:before="0"/>
        <w:ind w:left="851" w:hanging="426"/>
        <w:outlineLvl w:val="8"/>
      </w:pPr>
      <w:r w:rsidRPr="000839A4">
        <w:t>4.</w:t>
      </w:r>
      <w:r w:rsidRPr="000839A4">
        <w:tab/>
        <w:t>jednotky, která nezahrnuje nebytový prostor jiný než garáž, sklep nebo komoru,</w:t>
      </w:r>
    </w:p>
    <w:p w14:paraId="6FED1D4A" w14:textId="77777777" w:rsidR="000839A4" w:rsidRPr="000839A4" w:rsidRDefault="000839A4" w:rsidP="000839A4">
      <w:pPr>
        <w:spacing w:before="0"/>
        <w:ind w:left="426" w:hanging="426"/>
        <w:outlineLvl w:val="7"/>
      </w:pPr>
      <w:r w:rsidRPr="000839A4">
        <w:t>d)</w:t>
      </w:r>
      <w:r w:rsidRPr="000839A4">
        <w:tab/>
        <w:t xml:space="preserve">splacení vkladu právnické osobě jejím členem za účelem získání práva nájmu nebo jiného užívání bytu nebo rodinného domu, </w:t>
      </w:r>
    </w:p>
    <w:p w14:paraId="7689A075" w14:textId="77777777" w:rsidR="000839A4" w:rsidRPr="000839A4" w:rsidRDefault="000839A4" w:rsidP="000839A4">
      <w:pPr>
        <w:spacing w:before="0"/>
        <w:ind w:left="426" w:hanging="426"/>
        <w:outlineLvl w:val="7"/>
      </w:pPr>
      <w:r w:rsidRPr="000839A4">
        <w:t>e)</w:t>
      </w:r>
      <w:r w:rsidRPr="000839A4">
        <w:tab/>
        <w:t>údržba a změna stavby bytového domu, rodinného domu, bytu v nájmu nebo v užívání nebo jednotky, která nezahrnuje nebytový prostor jiný než garáž, sklep nebo komoru,</w:t>
      </w:r>
    </w:p>
    <w:p w14:paraId="18DD9D05" w14:textId="77777777" w:rsidR="000839A4" w:rsidRPr="000839A4" w:rsidRDefault="000839A4" w:rsidP="000839A4">
      <w:pPr>
        <w:spacing w:before="0"/>
        <w:ind w:left="426" w:hanging="426"/>
        <w:outlineLvl w:val="7"/>
      </w:pPr>
      <w:r w:rsidRPr="000839A4">
        <w:t>f)</w:t>
      </w:r>
      <w:r w:rsidRPr="000839A4">
        <w:tab/>
        <w:t xml:space="preserve">vypořádání společného jmění manželů nebo vypořádání spoludědiců v případě, že předmětem vypořádání je úhrada podílu spojeného se získáním jednotky, která nezahrnuje </w:t>
      </w:r>
      <w:r w:rsidRPr="000839A4">
        <w:lastRenderedPageBreak/>
        <w:t>nebytový prostor jiný než garáž, sklep nebo komoru, rodinného domu nebo bytového domu,</w:t>
      </w:r>
    </w:p>
    <w:p w14:paraId="08DD8DAE" w14:textId="77777777" w:rsidR="000839A4" w:rsidRPr="000839A4" w:rsidRDefault="000839A4" w:rsidP="000839A4">
      <w:pPr>
        <w:spacing w:before="0"/>
        <w:ind w:left="426" w:hanging="426"/>
        <w:outlineLvl w:val="7"/>
      </w:pPr>
      <w:r w:rsidRPr="000839A4">
        <w:t>g)</w:t>
      </w:r>
      <w:r w:rsidRPr="000839A4">
        <w:tab/>
        <w:t>úhrada za převod podílu v obchodní korporaci jejím členem uskutečněná v souvislosti s převodem práva nájmu nebo jiného užívání bytu,</w:t>
      </w:r>
    </w:p>
    <w:p w14:paraId="3690FCEA" w14:textId="77777777" w:rsidR="000839A4" w:rsidRPr="000839A4" w:rsidRDefault="000839A4" w:rsidP="000839A4">
      <w:pPr>
        <w:spacing w:before="0"/>
        <w:ind w:left="426" w:hanging="426"/>
        <w:outlineLvl w:val="7"/>
      </w:pPr>
      <w:r w:rsidRPr="000839A4">
        <w:t>h)</w:t>
      </w:r>
      <w:r w:rsidRPr="000839A4">
        <w:tab/>
        <w:t>splacení úvěru nebo zápůjčky použitých poplatníkem na financování bytových potřeb uvedených v písmenech a) až g), pokud jsou splněny podmínky pro tyto bytové potřeby.</w:t>
      </w:r>
    </w:p>
    <w:p w14:paraId="73437964" w14:textId="7AEA0421" w:rsidR="000839A4" w:rsidRPr="000839A4" w:rsidRDefault="000839A4" w:rsidP="008F0667">
      <w:pPr>
        <w:pBdr>
          <w:top w:val="single" w:sz="12" w:space="1" w:color="00B050"/>
          <w:left w:val="single" w:sz="12" w:space="4" w:color="00B050"/>
          <w:bottom w:val="single" w:sz="12" w:space="1" w:color="00B050"/>
          <w:right w:val="single" w:sz="12" w:space="4" w:color="00B050"/>
        </w:pBdr>
        <w:spacing w:before="120"/>
        <w:ind w:firstLine="482"/>
        <w:rPr>
          <w:strike/>
          <w:color w:val="00B050"/>
          <w:szCs w:val="24"/>
        </w:rPr>
      </w:pPr>
      <w:r w:rsidRPr="000839A4">
        <w:rPr>
          <w:strike/>
          <w:color w:val="00B050"/>
          <w:szCs w:val="24"/>
        </w:rPr>
        <w:t>(2) Osvobození příjmu, které je podmíněné vynaložením z tohoto příjmu získaných prostředků na obstarání vlastní bytové potřeby, se použije, oznámí-li poplatník správci daně získání těchto prostředků do konce lhůty pro podání daňového přiznání za zdaňovacího období, ve kterém k jejich získání došlo.</w:t>
      </w:r>
    </w:p>
    <w:p w14:paraId="7E94F01A" w14:textId="77777777" w:rsidR="000839A4" w:rsidRPr="000839A4" w:rsidRDefault="000839A4" w:rsidP="008F0667">
      <w:pPr>
        <w:pBdr>
          <w:top w:val="single" w:sz="12" w:space="1" w:color="00B050"/>
          <w:left w:val="single" w:sz="12" w:space="4" w:color="00B050"/>
          <w:bottom w:val="single" w:sz="12" w:space="1" w:color="00B050"/>
          <w:right w:val="single" w:sz="12" w:space="4" w:color="00B050"/>
        </w:pBdr>
        <w:spacing w:before="120"/>
        <w:ind w:firstLine="482"/>
        <w:rPr>
          <w:strike/>
          <w:color w:val="00B050"/>
          <w:szCs w:val="24"/>
        </w:rPr>
      </w:pPr>
      <w:r w:rsidRPr="000839A4">
        <w:rPr>
          <w:strike/>
          <w:color w:val="00B050"/>
          <w:szCs w:val="24"/>
        </w:rPr>
        <w:t>(3) Učiní-li poplatník správci daně oznámení podle odstavce 2, je podmínka pro osvobození příjmu spočívající v použití získaných prostředků na obstarání vlastní bytové potřeby splněna, pokud poplatník daně z příjmů fyzických osob</w:t>
      </w:r>
    </w:p>
    <w:p w14:paraId="32CC2289" w14:textId="7EAD4F09" w:rsidR="000839A4" w:rsidRPr="000839A4" w:rsidRDefault="000839A4" w:rsidP="008F0667">
      <w:pPr>
        <w:pBdr>
          <w:top w:val="single" w:sz="12" w:space="1" w:color="00B050"/>
          <w:left w:val="single" w:sz="12" w:space="4" w:color="00B050"/>
          <w:bottom w:val="single" w:sz="12" w:space="1" w:color="00B050"/>
          <w:right w:val="single" w:sz="12" w:space="4" w:color="00B050"/>
        </w:pBdr>
        <w:spacing w:before="0"/>
        <w:ind w:left="426" w:hanging="426"/>
        <w:outlineLvl w:val="7"/>
        <w:rPr>
          <w:strike/>
          <w:color w:val="00B050"/>
        </w:rPr>
      </w:pPr>
      <w:r w:rsidRPr="000839A4">
        <w:rPr>
          <w:strike/>
          <w:color w:val="00B050"/>
        </w:rPr>
        <w:t>a)</w:t>
      </w:r>
      <w:r w:rsidRPr="000839A4">
        <w:rPr>
          <w:strike/>
          <w:color w:val="00B050"/>
        </w:rPr>
        <w:tab/>
        <w:t xml:space="preserve">použije tyto prostředky na obstarání vlastní bytové potřeby do konce zdaňovacího období bezprostředně následujícího po zdaňovacím období, ve kterém poplatník tyto prostředky získal, nebo </w:t>
      </w:r>
    </w:p>
    <w:p w14:paraId="5C55BCCE" w14:textId="704FEE27" w:rsidR="000839A4" w:rsidRPr="000839A4" w:rsidRDefault="000839A4" w:rsidP="008F0667">
      <w:pPr>
        <w:pBdr>
          <w:top w:val="single" w:sz="12" w:space="1" w:color="00B050"/>
          <w:left w:val="single" w:sz="12" w:space="4" w:color="00B050"/>
          <w:bottom w:val="single" w:sz="12" w:space="1" w:color="00B050"/>
          <w:right w:val="single" w:sz="12" w:space="4" w:color="00B050"/>
        </w:pBdr>
        <w:spacing w:before="0"/>
        <w:ind w:left="426" w:hanging="426"/>
        <w:outlineLvl w:val="7"/>
        <w:rPr>
          <w:strike/>
          <w:color w:val="00B050"/>
        </w:rPr>
      </w:pPr>
      <w:r w:rsidRPr="000839A4">
        <w:rPr>
          <w:strike/>
          <w:color w:val="00B050"/>
        </w:rPr>
        <w:t>b)</w:t>
      </w:r>
      <w:r w:rsidRPr="000839A4">
        <w:rPr>
          <w:strike/>
          <w:color w:val="00B050"/>
        </w:rPr>
        <w:tab/>
        <w:t>použil částku odpovídající získaným prostředkům na obstarání vlastní bytové potřeby před jejich získáním, nejdříve však ve zdaňovacím období bezprostředně předcházejícím zdaňovacímu období, ve kterém poplatník tyto prostředky získal.</w:t>
      </w:r>
    </w:p>
    <w:p w14:paraId="60391F46" w14:textId="77777777" w:rsidR="000839A4" w:rsidRPr="000839A4" w:rsidRDefault="000839A4" w:rsidP="008F0667">
      <w:pPr>
        <w:pBdr>
          <w:top w:val="single" w:sz="12" w:space="1" w:color="00B050"/>
          <w:left w:val="single" w:sz="12" w:space="4" w:color="00B050"/>
          <w:bottom w:val="single" w:sz="12" w:space="1" w:color="00B050"/>
          <w:right w:val="single" w:sz="12" w:space="4" w:color="00B050"/>
        </w:pBdr>
        <w:spacing w:before="120"/>
        <w:ind w:firstLine="482"/>
        <w:rPr>
          <w:b/>
          <w:color w:val="00B050"/>
          <w:szCs w:val="24"/>
        </w:rPr>
      </w:pPr>
      <w:r w:rsidRPr="000839A4">
        <w:rPr>
          <w:b/>
          <w:color w:val="00B050"/>
          <w:szCs w:val="24"/>
        </w:rPr>
        <w:t>(2) Je-li osvobození příjmu podmíněno použitím získaných prostředků na obstarání vlastní bytové potřeby, je tato podmínka splněna, pokud poplatník daně z příjmů fyzických osob</w:t>
      </w:r>
    </w:p>
    <w:p w14:paraId="0A71A49D" w14:textId="77777777" w:rsidR="000839A4" w:rsidRPr="000839A4" w:rsidRDefault="000839A4" w:rsidP="008F0667">
      <w:pPr>
        <w:pBdr>
          <w:top w:val="single" w:sz="12" w:space="1" w:color="00B050"/>
          <w:left w:val="single" w:sz="12" w:space="4" w:color="00B050"/>
          <w:bottom w:val="single" w:sz="12" w:space="1" w:color="00B050"/>
          <w:right w:val="single" w:sz="12" w:space="4" w:color="00B050"/>
        </w:pBdr>
        <w:spacing w:before="0"/>
        <w:ind w:left="426" w:hanging="426"/>
        <w:outlineLvl w:val="7"/>
        <w:rPr>
          <w:b/>
          <w:color w:val="00B050"/>
        </w:rPr>
      </w:pPr>
      <w:r w:rsidRPr="000839A4">
        <w:rPr>
          <w:b/>
          <w:color w:val="00B050"/>
        </w:rPr>
        <w:t>a)</w:t>
      </w:r>
      <w:r w:rsidRPr="000839A4">
        <w:rPr>
          <w:b/>
          <w:color w:val="00B050"/>
        </w:rPr>
        <w:tab/>
        <w:t xml:space="preserve">použije tyto prostředky na obstarání vlastní bytové potřeby do konce zdaňovacího období bezprostředně následujícího po zdaňovacím období, ve kterém poplatník tyto prostředky získal, nebo </w:t>
      </w:r>
    </w:p>
    <w:p w14:paraId="44C4C8E4" w14:textId="77777777" w:rsidR="000839A4" w:rsidRPr="000839A4" w:rsidRDefault="000839A4" w:rsidP="008F0667">
      <w:pPr>
        <w:pBdr>
          <w:top w:val="single" w:sz="12" w:space="1" w:color="00B050"/>
          <w:left w:val="single" w:sz="12" w:space="4" w:color="00B050"/>
          <w:bottom w:val="single" w:sz="12" w:space="1" w:color="00B050"/>
          <w:right w:val="single" w:sz="12" w:space="4" w:color="00B050"/>
        </w:pBdr>
        <w:spacing w:before="0"/>
        <w:ind w:left="426" w:hanging="426"/>
        <w:outlineLvl w:val="7"/>
        <w:rPr>
          <w:b/>
          <w:color w:val="00B050"/>
        </w:rPr>
      </w:pPr>
      <w:r w:rsidRPr="000839A4">
        <w:rPr>
          <w:b/>
          <w:color w:val="00B050"/>
        </w:rPr>
        <w:t>b)</w:t>
      </w:r>
      <w:r w:rsidRPr="000839A4">
        <w:rPr>
          <w:b/>
          <w:color w:val="00B050"/>
        </w:rPr>
        <w:tab/>
        <w:t>použil částku odpovídající získaným prostředkům na obstarání vlastní bytové potřeby před jejich získáním, nejdříve však ve zdaňovacím období bezprostředně předcházejícím zdaňovacímu období, ve kterém poplatník tyto prostředky získal.</w:t>
      </w:r>
    </w:p>
    <w:p w14:paraId="4C5BB2F6" w14:textId="77777777" w:rsidR="000839A4" w:rsidRPr="000839A4" w:rsidRDefault="000839A4" w:rsidP="008F0667">
      <w:pPr>
        <w:pBdr>
          <w:top w:val="single" w:sz="12" w:space="1" w:color="00B050"/>
          <w:left w:val="single" w:sz="12" w:space="4" w:color="00B050"/>
          <w:bottom w:val="single" w:sz="12" w:space="1" w:color="00B050"/>
          <w:right w:val="single" w:sz="12" w:space="4" w:color="00B050"/>
        </w:pBdr>
        <w:spacing w:before="120"/>
        <w:ind w:firstLine="482"/>
        <w:rPr>
          <w:b/>
          <w:color w:val="00B050"/>
          <w:szCs w:val="24"/>
        </w:rPr>
      </w:pPr>
      <w:r w:rsidRPr="000839A4">
        <w:rPr>
          <w:b/>
          <w:color w:val="00B050"/>
          <w:szCs w:val="24"/>
        </w:rPr>
        <w:t>(3) Pokud poplatník daně z příjmů fyzických osob obdrží příjem, jehož osvobození je podmíněno použitím získaných prostředků na obstarání vlastní bytové potřeby, oznámí správci daně získání těchto prostředků do konce lhůty pro podání daňového přiznání za zdaňovací období, ve kterém k jejich získání došlo.</w:t>
      </w:r>
    </w:p>
    <w:p w14:paraId="74ED62ED" w14:textId="77777777" w:rsidR="000839A4" w:rsidRPr="000839A4" w:rsidRDefault="000839A4" w:rsidP="000839A4">
      <w:pPr>
        <w:spacing w:before="120"/>
        <w:ind w:firstLine="482"/>
        <w:rPr>
          <w:szCs w:val="24"/>
        </w:rPr>
      </w:pPr>
      <w:r w:rsidRPr="000839A4">
        <w:rPr>
          <w:szCs w:val="24"/>
        </w:rPr>
        <w:t>(4) Nedojde-li ke splnění podmínky pro osvobození příjmu spočívající v použití získaných prostředků na obstarání vlastní bytové potřeby, je tento příjem příjmem podle § 10 ve zdaňovacím období bezprostředně následujícím po zdaňovacím období, ve kterém poplatník prostředky získal.</w:t>
      </w:r>
    </w:p>
    <w:p w14:paraId="51F91CF3" w14:textId="77777777" w:rsidR="000839A4" w:rsidRPr="000839A4" w:rsidRDefault="000839A4" w:rsidP="000839A4">
      <w:pPr>
        <w:spacing w:before="120"/>
        <w:ind w:firstLine="482"/>
        <w:rPr>
          <w:szCs w:val="24"/>
        </w:rPr>
      </w:pPr>
      <w:r w:rsidRPr="000839A4">
        <w:rPr>
          <w:szCs w:val="24"/>
        </w:rPr>
        <w:t>(5) Nedojde-li v případě bytové potřeby uvedené v odstavci 1 písm. b) bodu 1 k zahájení výstavby, je tento příjem příjmem podle § 10 ve zdaňovacím období, ve kterém marně uplynula lhůta pro zahájení výstavby; pozbyde-li poplatník pozemek před uplynutím lhůty pro zahájení výstavby, je tento příjem příjmem podle § 10 ve zdaňovacím období, ve kterém poplatník tento pozemek pozbyl.</w:t>
      </w:r>
    </w:p>
    <w:p w14:paraId="5CD8840C" w14:textId="77777777" w:rsidR="000839A4" w:rsidRPr="000839A4" w:rsidRDefault="000839A4" w:rsidP="000839A4">
      <w:pPr>
        <w:keepNext/>
        <w:ind w:firstLine="0"/>
        <w:jc w:val="center"/>
        <w:rPr>
          <w:szCs w:val="24"/>
        </w:rPr>
      </w:pPr>
      <w:r w:rsidRPr="000839A4">
        <w:rPr>
          <w:szCs w:val="24"/>
        </w:rPr>
        <w:lastRenderedPageBreak/>
        <w:t>§ 5</w:t>
      </w:r>
    </w:p>
    <w:p w14:paraId="794E9E2B" w14:textId="77777777" w:rsidR="000839A4" w:rsidRPr="000839A4" w:rsidRDefault="000839A4" w:rsidP="000839A4">
      <w:pPr>
        <w:keepNext/>
        <w:ind w:firstLine="0"/>
        <w:jc w:val="center"/>
        <w:rPr>
          <w:b/>
          <w:szCs w:val="24"/>
        </w:rPr>
      </w:pPr>
      <w:r w:rsidRPr="000839A4">
        <w:rPr>
          <w:b/>
          <w:szCs w:val="24"/>
        </w:rPr>
        <w:t xml:space="preserve"> Základ daně a daňová ztráta </w:t>
      </w:r>
    </w:p>
    <w:p w14:paraId="5816C158" w14:textId="77777777" w:rsidR="000839A4" w:rsidRPr="000839A4" w:rsidRDefault="000839A4" w:rsidP="000839A4">
      <w:pPr>
        <w:tabs>
          <w:tab w:val="num" w:pos="783"/>
          <w:tab w:val="left" w:pos="851"/>
        </w:tabs>
        <w:spacing w:before="120" w:after="120"/>
        <w:outlineLvl w:val="6"/>
      </w:pPr>
      <w:r w:rsidRPr="000839A4">
        <w:t xml:space="preserve">(1) Základem daně je částka, o kterou příjmy plynoucí poplatníkovi ve zdaňovacím období přesahují výdaje prokazatelně vynaložené na jejich dosažení, zajištění a udržení, pokud dále u jednotlivých příjmů podle § 6 až 10 není stanoveno jinak. </w:t>
      </w:r>
    </w:p>
    <w:p w14:paraId="7C043232" w14:textId="77777777" w:rsidR="000839A4" w:rsidRPr="000839A4" w:rsidRDefault="000839A4" w:rsidP="000839A4">
      <w:pPr>
        <w:tabs>
          <w:tab w:val="num" w:pos="783"/>
          <w:tab w:val="left" w:pos="851"/>
        </w:tabs>
        <w:spacing w:before="120" w:after="120"/>
        <w:outlineLvl w:val="6"/>
      </w:pPr>
      <w:r w:rsidRPr="000839A4">
        <w:t>(2) U poplatníka, kterému plynou ve zdaňovacím období souběžně dva nebo více druhů příjmů uvedených v § 6 až 10, je základem daně součet dílčích základů daně zjištěných podle jednotlivých druhů příjmů s použitím ustanovení odstavce 1.</w:t>
      </w:r>
    </w:p>
    <w:p w14:paraId="48069137" w14:textId="77777777" w:rsidR="000839A4" w:rsidRPr="000839A4" w:rsidRDefault="000839A4" w:rsidP="000839A4">
      <w:pPr>
        <w:spacing w:before="120"/>
        <w:ind w:firstLine="482"/>
        <w:rPr>
          <w:szCs w:val="24"/>
        </w:rPr>
      </w:pPr>
      <w:r w:rsidRPr="000839A4">
        <w:rPr>
          <w:szCs w:val="24"/>
        </w:rPr>
        <w:t xml:space="preserve">(3) Pokud podle </w:t>
      </w:r>
      <w:r w:rsidRPr="000839A4">
        <w:rPr>
          <w:strike/>
          <w:szCs w:val="24"/>
        </w:rPr>
        <w:t>účetnictví,</w:t>
      </w:r>
      <w:r w:rsidRPr="000839A4">
        <w:rPr>
          <w:szCs w:val="24"/>
        </w:rPr>
        <w:t xml:space="preserve"> daňové evidence nebo podle záznamů o příjmech a výdajích přesáhnou výdaje příjmy uvedené v § 7 a 9, je rozdíl ztrátou. O ztrátu upravenou podle § 23 (dále jen „daňová ztráta“) se sníží úhrn dílčích základů daně zjištěných podle jednotlivých druhů příjmů uvedených v § 7 až 10 s použitím ustanovení odstavce 1. </w:t>
      </w:r>
    </w:p>
    <w:p w14:paraId="3EFDB7EF" w14:textId="77777777" w:rsidR="000839A4" w:rsidRPr="000839A4" w:rsidRDefault="000839A4" w:rsidP="000839A4">
      <w:pPr>
        <w:spacing w:before="120"/>
        <w:ind w:firstLine="482"/>
        <w:rPr>
          <w:szCs w:val="24"/>
        </w:rPr>
      </w:pPr>
      <w:r w:rsidRPr="000839A4">
        <w:rPr>
          <w:szCs w:val="24"/>
        </w:rPr>
        <w:t>(4) Příjmy ze závislé činnosti vyplacené poplatníkovi nebo obdržené poplatníkem nejdéle do 31 dnů po skončení zdaňovacího období, za které byly dosaženy, se považují za příjmy vyplacené nebo obdržené v tomto zdaňovacím období. Příjmy vyplacené nebo obdržené po 31. dni po skončení zdaňovacího období jsou příjmem zdaňovacího období, ve kterém byly vyplaceny nebo obdrženy a zálohy sražené z těchto příjmů plátcem daně se započítají u poplatníka na daňovou povinnost až v tom zdaňovacím období, ve kterém budou vyplaceny nebo obdrženy. Obdobně se postupuje při stanovení základu daně a při evidenci příjmů ze závislé činnosti.</w:t>
      </w:r>
    </w:p>
    <w:p w14:paraId="26861435" w14:textId="77777777" w:rsidR="000839A4" w:rsidRPr="000839A4" w:rsidRDefault="000839A4" w:rsidP="000839A4">
      <w:pPr>
        <w:spacing w:before="120"/>
        <w:ind w:firstLine="482"/>
        <w:rPr>
          <w:szCs w:val="24"/>
        </w:rPr>
      </w:pPr>
      <w:r w:rsidRPr="000839A4">
        <w:rPr>
          <w:szCs w:val="24"/>
        </w:rPr>
        <w:t xml:space="preserve">(5) Do základu daně se nezahrnují příjmy osvobozené od daně a příjmy, pro které je dále stanoveno, že se z nich daň vybírá zvláštní sazbou daně podle § 36 ze samostatného základu daně, pokud § 36 odst. 6 nebo 7 nestanoví jinak. Do základu daně se nezahrnují příjmy zahrnuté do samostatného základu daně zdaňovaného sazbou daně podle § 16a“. </w:t>
      </w:r>
    </w:p>
    <w:p w14:paraId="00C1FA91" w14:textId="77777777" w:rsidR="000839A4" w:rsidRPr="000839A4" w:rsidRDefault="000839A4" w:rsidP="000839A4">
      <w:pPr>
        <w:spacing w:before="120"/>
        <w:ind w:firstLine="482"/>
        <w:rPr>
          <w:szCs w:val="24"/>
        </w:rPr>
      </w:pPr>
      <w:r w:rsidRPr="000839A4">
        <w:rPr>
          <w:szCs w:val="24"/>
        </w:rPr>
        <w:t xml:space="preserve">(6) O příjem zahrnutý do základu daně (dílčího základu daně) v předchozích zdaňovacích obdobích, který byl vrácen, se sníží příjmy </w:t>
      </w:r>
      <w:r w:rsidRPr="000839A4">
        <w:rPr>
          <w:strike/>
          <w:szCs w:val="24"/>
        </w:rPr>
        <w:t>(výnosy)</w:t>
      </w:r>
      <w:r w:rsidRPr="000839A4">
        <w:rPr>
          <w:szCs w:val="24"/>
        </w:rPr>
        <w:t xml:space="preserve"> anebo se zvýší výdaje </w:t>
      </w:r>
      <w:r w:rsidRPr="000839A4">
        <w:rPr>
          <w:strike/>
          <w:szCs w:val="24"/>
        </w:rPr>
        <w:t>(náklady)</w:t>
      </w:r>
      <w:r w:rsidRPr="000839A4">
        <w:rPr>
          <w:szCs w:val="24"/>
        </w:rPr>
        <w:t xml:space="preserve"> ve zdaňovacím období, ve kterém k jeho vrácení došlo, za předpokladu, že pro jeho vrácení existuje právní důvod a vrácení příjmů není zachyceno </w:t>
      </w:r>
      <w:r w:rsidRPr="000839A4">
        <w:rPr>
          <w:strike/>
          <w:szCs w:val="24"/>
        </w:rPr>
        <w:t>v účetnictví nebo</w:t>
      </w:r>
      <w:r w:rsidRPr="000839A4">
        <w:rPr>
          <w:szCs w:val="24"/>
        </w:rPr>
        <w:t xml:space="preserve"> v daňové evidenci poplatníka při zjištění základu daně (dílčího základu daně) podle § 7 a 9. Obdobným způsobem se postupuje v případě výdajů </w:t>
      </w:r>
      <w:r w:rsidRPr="000839A4">
        <w:rPr>
          <w:strike/>
          <w:szCs w:val="24"/>
        </w:rPr>
        <w:t>(nákladů)</w:t>
      </w:r>
      <w:r w:rsidRPr="000839A4">
        <w:rPr>
          <w:szCs w:val="24"/>
        </w:rPr>
        <w:t xml:space="preserve"> uplatněných jako výdaje </w:t>
      </w:r>
      <w:r w:rsidRPr="000839A4">
        <w:rPr>
          <w:strike/>
          <w:szCs w:val="24"/>
        </w:rPr>
        <w:t>(náklady)</w:t>
      </w:r>
      <w:r w:rsidRPr="000839A4">
        <w:rPr>
          <w:szCs w:val="24"/>
        </w:rPr>
        <w:t xml:space="preserve"> na dosažení, zajištění a udržení příjmů, při nedodržení stanovených podmínek pro jejich uplatnění jako výdaje </w:t>
      </w:r>
      <w:r w:rsidRPr="000839A4">
        <w:rPr>
          <w:strike/>
          <w:szCs w:val="24"/>
        </w:rPr>
        <w:t>(náklady)</w:t>
      </w:r>
      <w:r w:rsidRPr="000839A4">
        <w:rPr>
          <w:szCs w:val="24"/>
        </w:rPr>
        <w:t xml:space="preserve"> na dosažení, zajištění a udržení příjmů. Jedná-li se o částky uplatněné jako výdaj </w:t>
      </w:r>
      <w:r w:rsidRPr="000839A4">
        <w:rPr>
          <w:strike/>
          <w:szCs w:val="24"/>
        </w:rPr>
        <w:t>(náklad)</w:t>
      </w:r>
      <w:r w:rsidRPr="000839A4">
        <w:rPr>
          <w:szCs w:val="24"/>
        </w:rPr>
        <w:t xml:space="preserve"> v předchozích zdaňovacích obdobích, u kterých existuje právní důvod k jejich vrácení příjemcem, zvyšují se o tyto částky příjmy </w:t>
      </w:r>
      <w:r w:rsidRPr="000839A4">
        <w:rPr>
          <w:strike/>
          <w:szCs w:val="24"/>
        </w:rPr>
        <w:t>(výnosy)</w:t>
      </w:r>
      <w:r w:rsidRPr="000839A4">
        <w:rPr>
          <w:szCs w:val="24"/>
        </w:rPr>
        <w:t xml:space="preserve"> nebo se sníží výdaje </w:t>
      </w:r>
      <w:r w:rsidRPr="000839A4">
        <w:rPr>
          <w:strike/>
          <w:szCs w:val="24"/>
        </w:rPr>
        <w:t>(náklady)</w:t>
      </w:r>
      <w:r w:rsidRPr="000839A4">
        <w:rPr>
          <w:szCs w:val="24"/>
        </w:rPr>
        <w:t xml:space="preserve"> ve zdaňovacím období, kdy odpadl právní důvod k jejich uplatnění, za předpokladu, že vrácení nebylo zachyceno </w:t>
      </w:r>
      <w:r w:rsidRPr="000839A4">
        <w:rPr>
          <w:strike/>
          <w:szCs w:val="24"/>
        </w:rPr>
        <w:t>v účetnictví nebo</w:t>
      </w:r>
      <w:r w:rsidRPr="000839A4">
        <w:rPr>
          <w:szCs w:val="24"/>
        </w:rPr>
        <w:t xml:space="preserve"> v daňové evidenci poplatníka při zjišťování základu daně (dílčího základu daně) podle § 7 a 9. O příjem ze závislé činnosti zahrnutý v předchozích zdaňovacích obdobích do dílčího základu daně (základu pro výpočet zálohy na daň), k jehož vrácení existuje právní důvod, lze snížit u poplatníka příjem ze závislé činnosti v kalendářním měsíci, popř. v následujících kalendářních měsících ve zdaňovacím období, ve kterém k jeho vrácení došlo. Příjem za daný kalendářní měsíc však může být snížen pouze do výše, ve které byl poplatníkovi zúčtován. </w:t>
      </w:r>
    </w:p>
    <w:p w14:paraId="2CB640D4" w14:textId="77777777" w:rsidR="000839A4" w:rsidRPr="000839A4" w:rsidRDefault="000839A4" w:rsidP="000839A4">
      <w:pPr>
        <w:spacing w:before="120"/>
        <w:ind w:firstLine="482"/>
        <w:rPr>
          <w:szCs w:val="24"/>
        </w:rPr>
      </w:pPr>
      <w:r w:rsidRPr="000839A4">
        <w:rPr>
          <w:szCs w:val="24"/>
        </w:rPr>
        <w:t xml:space="preserve">(7) U poplatníka s příjmy podle § 7 a 9 se přihlédne i k zásobám pořízeným v kalendářním roce předcházejícím roku, v němž zahájil činnost. Totéž platí obdobně i pro jiné nezbytně vynaložené výdaje spojené se zahájením činnosti. </w:t>
      </w:r>
    </w:p>
    <w:p w14:paraId="66E1C8AD" w14:textId="77777777" w:rsidR="000839A4" w:rsidRPr="000839A4" w:rsidRDefault="000839A4" w:rsidP="000839A4">
      <w:pPr>
        <w:spacing w:before="120"/>
        <w:ind w:firstLine="482"/>
        <w:rPr>
          <w:strike/>
          <w:szCs w:val="24"/>
        </w:rPr>
      </w:pPr>
      <w:r w:rsidRPr="000839A4">
        <w:rPr>
          <w:strike/>
          <w:szCs w:val="24"/>
        </w:rPr>
        <w:lastRenderedPageBreak/>
        <w:t>(8) Při přechodu z vedení účetnictví na daňovou evidenci se postupuje podle přílohy č. 2 k tomuto zákonu. Při přechodu z daňové evidence na vedení účetnictví se postupuje podle přílohy č. 3 k tomuto zákonu.</w:t>
      </w:r>
      <w:r w:rsidRPr="000839A4">
        <w:rPr>
          <w:strike/>
          <w:szCs w:val="24"/>
          <w:shd w:val="clear" w:color="auto" w:fill="F7CAAC" w:themeFill="accent2" w:themeFillTint="66"/>
        </w:rPr>
        <w:t xml:space="preserve"> </w:t>
      </w:r>
    </w:p>
    <w:p w14:paraId="7EDC7B02" w14:textId="77777777" w:rsidR="000839A4" w:rsidRPr="000839A4" w:rsidRDefault="000839A4" w:rsidP="000839A4">
      <w:pPr>
        <w:spacing w:before="120"/>
        <w:ind w:firstLine="482"/>
        <w:rPr>
          <w:szCs w:val="24"/>
        </w:rPr>
      </w:pPr>
      <w:proofErr w:type="gramStart"/>
      <w:r w:rsidRPr="000839A4">
        <w:rPr>
          <w:strike/>
          <w:szCs w:val="24"/>
        </w:rPr>
        <w:t>(9)</w:t>
      </w:r>
      <w:r w:rsidRPr="000839A4">
        <w:rPr>
          <w:b/>
          <w:szCs w:val="24"/>
        </w:rPr>
        <w:t xml:space="preserve"> (8) </w:t>
      </w:r>
      <w:r w:rsidRPr="000839A4">
        <w:rPr>
          <w:szCs w:val="24"/>
        </w:rPr>
        <w:t>Pro</w:t>
      </w:r>
      <w:proofErr w:type="gramEnd"/>
      <w:r w:rsidRPr="000839A4">
        <w:rPr>
          <w:szCs w:val="24"/>
        </w:rPr>
        <w:t xml:space="preserve"> poplatníky uvedené v § 2 se hodnotou pohledávky rozumí jmenovitá hodnota nebo pořizovací cena u pohledávky nabyté postoupením a u pohledávky nabyté bezúplatně cena určená ke dni jejího nabytí podle zvláštního právního předpisu o oceňování majetku</w:t>
      </w:r>
      <w:bookmarkStart w:id="10" w:name="_Ref535916573"/>
      <w:r w:rsidRPr="000839A4">
        <w:rPr>
          <w:szCs w:val="24"/>
          <w:vertAlign w:val="superscript"/>
        </w:rPr>
        <w:footnoteReference w:customMarkFollows="1" w:id="123"/>
        <w:t>1a)</w:t>
      </w:r>
      <w:bookmarkEnd w:id="10"/>
      <w:r w:rsidRPr="000839A4">
        <w:rPr>
          <w:szCs w:val="24"/>
        </w:rPr>
        <w:t>. U poplatníků, kteří jsou plátci daně z přidané hodnoty nebo jimi byli v době vzniku pohledávky, se jmenovitá hodnota pohledávky snižuje o výši daně z přidané hodnoty, pokud byla splněna vlastní daňová povinnost na výstupu.</w:t>
      </w:r>
      <w:r w:rsidRPr="000839A4">
        <w:rPr>
          <w:szCs w:val="24"/>
          <w:shd w:val="clear" w:color="auto" w:fill="D9D9D9" w:themeFill="background1" w:themeFillShade="D9"/>
        </w:rPr>
        <w:t xml:space="preserve"> </w:t>
      </w:r>
    </w:p>
    <w:p w14:paraId="6B68024C" w14:textId="77777777" w:rsidR="000839A4" w:rsidRPr="000839A4" w:rsidRDefault="000839A4" w:rsidP="000839A4">
      <w:pPr>
        <w:tabs>
          <w:tab w:val="num" w:pos="783"/>
          <w:tab w:val="left" w:pos="851"/>
        </w:tabs>
        <w:spacing w:before="120" w:after="120"/>
        <w:outlineLvl w:val="6"/>
        <w:rPr>
          <w:strike/>
        </w:rPr>
      </w:pPr>
      <w:r w:rsidRPr="000839A4">
        <w:rPr>
          <w:strike/>
        </w:rPr>
        <w:t>(</w:t>
      </w:r>
      <w:proofErr w:type="gramStart"/>
      <w:r w:rsidRPr="000839A4">
        <w:rPr>
          <w:strike/>
        </w:rPr>
        <w:t xml:space="preserve">10) </w:t>
      </w:r>
      <w:r w:rsidRPr="000839A4">
        <w:rPr>
          <w:b/>
          <w:strike/>
        </w:rPr>
        <w:t>(9)</w:t>
      </w:r>
      <w:r w:rsidRPr="000839A4">
        <w:rPr>
          <w:strike/>
        </w:rPr>
        <w:t xml:space="preserve"> Rozdíl</w:t>
      </w:r>
      <w:proofErr w:type="gramEnd"/>
      <w:r w:rsidRPr="000839A4">
        <w:rPr>
          <w:strike/>
        </w:rPr>
        <w:t xml:space="preserve"> mezi příjmy a výdaji se zvyšuje o </w:t>
      </w:r>
    </w:p>
    <w:p w14:paraId="102D0025" w14:textId="77777777" w:rsidR="000839A4" w:rsidRPr="000839A4" w:rsidRDefault="000839A4" w:rsidP="000839A4">
      <w:pPr>
        <w:tabs>
          <w:tab w:val="left" w:pos="357"/>
        </w:tabs>
        <w:spacing w:before="0"/>
        <w:ind w:left="357" w:hanging="357"/>
        <w:rPr>
          <w:strike/>
          <w:szCs w:val="24"/>
        </w:rPr>
      </w:pPr>
      <w:r w:rsidRPr="000839A4">
        <w:rPr>
          <w:strike/>
          <w:szCs w:val="24"/>
        </w:rPr>
        <w:t>a)</w:t>
      </w:r>
      <w:r w:rsidRPr="000839A4">
        <w:rPr>
          <w:strike/>
          <w:szCs w:val="24"/>
        </w:rPr>
        <w:tab/>
        <w:t xml:space="preserve">výši dluhu, kromě prominuté daně, poplatku nebo jiného obdobného peněžitého plnění, dluhu ze smluvní pokuty, úroku z prodlení a jiných obdobných sankcí, který zanikl jinak než </w:t>
      </w:r>
    </w:p>
    <w:p w14:paraId="296B3986" w14:textId="77777777" w:rsidR="000839A4" w:rsidRPr="000839A4" w:rsidRDefault="000839A4" w:rsidP="000839A4">
      <w:pPr>
        <w:tabs>
          <w:tab w:val="left" w:pos="357"/>
        </w:tabs>
        <w:spacing w:before="0"/>
        <w:ind w:left="714" w:hanging="357"/>
        <w:rPr>
          <w:strike/>
          <w:szCs w:val="24"/>
        </w:rPr>
      </w:pPr>
      <w:r w:rsidRPr="000839A4">
        <w:rPr>
          <w:strike/>
          <w:szCs w:val="24"/>
        </w:rPr>
        <w:t>1.</w:t>
      </w:r>
      <w:r w:rsidRPr="000839A4">
        <w:rPr>
          <w:strike/>
          <w:szCs w:val="24"/>
        </w:rPr>
        <w:tab/>
        <w:t xml:space="preserve">splněním, </w:t>
      </w:r>
    </w:p>
    <w:p w14:paraId="118A985C" w14:textId="77777777" w:rsidR="000839A4" w:rsidRPr="000839A4" w:rsidRDefault="000839A4" w:rsidP="000839A4">
      <w:pPr>
        <w:tabs>
          <w:tab w:val="left" w:pos="357"/>
        </w:tabs>
        <w:spacing w:before="0"/>
        <w:ind w:left="714" w:hanging="357"/>
        <w:rPr>
          <w:strike/>
          <w:szCs w:val="24"/>
        </w:rPr>
      </w:pPr>
      <w:r w:rsidRPr="000839A4">
        <w:rPr>
          <w:strike/>
          <w:szCs w:val="24"/>
        </w:rPr>
        <w:t>2.</w:t>
      </w:r>
      <w:r w:rsidRPr="000839A4">
        <w:rPr>
          <w:strike/>
          <w:szCs w:val="24"/>
        </w:rPr>
        <w:tab/>
        <w:t xml:space="preserve">započtením, </w:t>
      </w:r>
    </w:p>
    <w:p w14:paraId="0D03AA43" w14:textId="77777777" w:rsidR="000839A4" w:rsidRPr="000839A4" w:rsidRDefault="000839A4" w:rsidP="000839A4">
      <w:pPr>
        <w:tabs>
          <w:tab w:val="left" w:pos="357"/>
        </w:tabs>
        <w:spacing w:before="0"/>
        <w:ind w:left="714" w:hanging="357"/>
        <w:rPr>
          <w:strike/>
          <w:szCs w:val="24"/>
        </w:rPr>
      </w:pPr>
      <w:r w:rsidRPr="000839A4">
        <w:rPr>
          <w:strike/>
          <w:szCs w:val="24"/>
        </w:rPr>
        <w:t>3.</w:t>
      </w:r>
      <w:r w:rsidRPr="000839A4">
        <w:rPr>
          <w:strike/>
          <w:szCs w:val="24"/>
        </w:rPr>
        <w:tab/>
        <w:t xml:space="preserve">splynutím práva s povinností u jedné osoby, </w:t>
      </w:r>
    </w:p>
    <w:p w14:paraId="60A77F97" w14:textId="77777777" w:rsidR="000839A4" w:rsidRPr="000839A4" w:rsidRDefault="000839A4" w:rsidP="000839A4">
      <w:pPr>
        <w:tabs>
          <w:tab w:val="left" w:pos="357"/>
        </w:tabs>
        <w:spacing w:before="0"/>
        <w:ind w:left="714" w:hanging="357"/>
        <w:rPr>
          <w:strike/>
          <w:szCs w:val="24"/>
        </w:rPr>
      </w:pPr>
      <w:r w:rsidRPr="000839A4">
        <w:rPr>
          <w:strike/>
          <w:szCs w:val="24"/>
        </w:rPr>
        <w:t>4.</w:t>
      </w:r>
      <w:r w:rsidRPr="000839A4">
        <w:rPr>
          <w:strike/>
          <w:szCs w:val="24"/>
        </w:rPr>
        <w:tab/>
        <w:t xml:space="preserve">narovnáním, </w:t>
      </w:r>
    </w:p>
    <w:p w14:paraId="14D6A6FD" w14:textId="77777777" w:rsidR="000839A4" w:rsidRPr="000839A4" w:rsidRDefault="000839A4" w:rsidP="000839A4">
      <w:pPr>
        <w:tabs>
          <w:tab w:val="left" w:pos="357"/>
        </w:tabs>
        <w:spacing w:before="0"/>
        <w:ind w:left="714" w:hanging="357"/>
        <w:rPr>
          <w:strike/>
          <w:szCs w:val="24"/>
        </w:rPr>
      </w:pPr>
      <w:r w:rsidRPr="000839A4">
        <w:rPr>
          <w:strike/>
          <w:szCs w:val="24"/>
        </w:rPr>
        <w:t>5.</w:t>
      </w:r>
      <w:r w:rsidRPr="000839A4">
        <w:rPr>
          <w:strike/>
          <w:szCs w:val="24"/>
        </w:rPr>
        <w:tab/>
        <w:t xml:space="preserve">dohodou, kterou se dosavadní dluh nahrazuje dluhem novým stejné hodnoty, </w:t>
      </w:r>
    </w:p>
    <w:p w14:paraId="09D0F74E" w14:textId="77777777" w:rsidR="000839A4" w:rsidRPr="000839A4" w:rsidRDefault="000839A4" w:rsidP="000839A4">
      <w:pPr>
        <w:tabs>
          <w:tab w:val="left" w:pos="357"/>
        </w:tabs>
        <w:spacing w:before="0"/>
        <w:ind w:left="357" w:hanging="357"/>
        <w:rPr>
          <w:strike/>
          <w:szCs w:val="24"/>
        </w:rPr>
      </w:pPr>
      <w:r w:rsidRPr="000839A4">
        <w:rPr>
          <w:strike/>
          <w:szCs w:val="24"/>
        </w:rPr>
        <w:t>b)</w:t>
      </w:r>
      <w:r w:rsidRPr="000839A4">
        <w:rPr>
          <w:strike/>
          <w:szCs w:val="24"/>
        </w:rPr>
        <w:tab/>
        <w:t xml:space="preserve">hodnotu záloh, které jsou výdajem na dosažení, zajištění a udržení příjmů, uhrazených poplatníkem s příjmy podle § 7, který nevede účetnictví a výdaje uplatňuje podle § 24, poplatníkovi, který je spojenou osobou (§ 23), který vede účetnictví, s výjimkou záloh z titulu úplaty u finančního leasingu, nedošlo-li k vyúčtování celkového dluhu v tom zdaňovacím období, ve kterém byly zálohy uhrazeny, </w:t>
      </w:r>
    </w:p>
    <w:p w14:paraId="30AC1213" w14:textId="77777777" w:rsidR="000839A4" w:rsidRPr="000839A4" w:rsidRDefault="000839A4" w:rsidP="000839A4">
      <w:pPr>
        <w:tabs>
          <w:tab w:val="left" w:pos="357"/>
        </w:tabs>
        <w:spacing w:before="0"/>
        <w:ind w:left="357" w:hanging="357"/>
        <w:rPr>
          <w:strike/>
          <w:szCs w:val="24"/>
        </w:rPr>
      </w:pPr>
      <w:r w:rsidRPr="000839A4">
        <w:rPr>
          <w:strike/>
          <w:szCs w:val="24"/>
        </w:rPr>
        <w:t>c)</w:t>
      </w:r>
      <w:r w:rsidRPr="000839A4">
        <w:rPr>
          <w:strike/>
          <w:szCs w:val="24"/>
        </w:rPr>
        <w:tab/>
        <w:t xml:space="preserve">příjem plynoucí poplatníkovi, který vede daňovou evidenci, ze směnky, kterou je hrazena pohledávka, jedná-li se o příjem, který je předmětem daně podle § 3, </w:t>
      </w:r>
    </w:p>
    <w:p w14:paraId="543E3938" w14:textId="77777777" w:rsidR="000839A4" w:rsidRPr="000839A4" w:rsidRDefault="000839A4" w:rsidP="000839A4">
      <w:pPr>
        <w:tabs>
          <w:tab w:val="left" w:pos="357"/>
        </w:tabs>
        <w:spacing w:before="0"/>
        <w:ind w:left="357" w:hanging="357"/>
        <w:rPr>
          <w:strike/>
          <w:szCs w:val="24"/>
        </w:rPr>
      </w:pPr>
      <w:r w:rsidRPr="000839A4">
        <w:rPr>
          <w:strike/>
          <w:szCs w:val="24"/>
        </w:rPr>
        <w:t>d)</w:t>
      </w:r>
      <w:r w:rsidRPr="000839A4">
        <w:rPr>
          <w:strike/>
          <w:szCs w:val="24"/>
        </w:rPr>
        <w:tab/>
        <w:t xml:space="preserve"> částku ve výši rozdílu mezi dosavadním dluhem a dluhem novým nižší hodnoty vzniklou na základě dohody, kterou se dosavadní dluh nahrazuje dluhem novým. </w:t>
      </w:r>
    </w:p>
    <w:p w14:paraId="7225FCC5" w14:textId="77777777" w:rsidR="000839A4" w:rsidRPr="000839A4" w:rsidRDefault="000839A4" w:rsidP="000839A4">
      <w:pPr>
        <w:tabs>
          <w:tab w:val="num" w:pos="783"/>
          <w:tab w:val="left" w:pos="851"/>
        </w:tabs>
        <w:spacing w:before="120" w:after="120"/>
        <w:outlineLvl w:val="6"/>
        <w:rPr>
          <w:b/>
        </w:rPr>
      </w:pPr>
      <w:r w:rsidRPr="000839A4">
        <w:rPr>
          <w:b/>
        </w:rPr>
        <w:t xml:space="preserve">(9) Rozdíl mezi příjmy a výdaji se zvyšuje o </w:t>
      </w:r>
    </w:p>
    <w:p w14:paraId="365F1331" w14:textId="77777777" w:rsidR="000839A4" w:rsidRPr="000839A4" w:rsidRDefault="000839A4" w:rsidP="000839A4">
      <w:pPr>
        <w:tabs>
          <w:tab w:val="left" w:pos="357"/>
        </w:tabs>
        <w:spacing w:before="0"/>
        <w:ind w:left="357" w:hanging="357"/>
        <w:rPr>
          <w:b/>
          <w:szCs w:val="24"/>
        </w:rPr>
      </w:pPr>
      <w:r w:rsidRPr="000839A4">
        <w:rPr>
          <w:b/>
          <w:szCs w:val="24"/>
        </w:rPr>
        <w:t>a)</w:t>
      </w:r>
      <w:r w:rsidRPr="000839A4">
        <w:rPr>
          <w:b/>
          <w:szCs w:val="24"/>
        </w:rPr>
        <w:tab/>
        <w:t>výši dluhu, kromě prominuté daně, poplatku nebo jiného obdobného peněžitého plnění, dluhu ze smluvní pokuty, úroku z prodlení a jiných obdobných sankcí, který zanikl jinak než splněním, započtením, splynutím práva s povinností u jedné osoby, narovnáním nebo dohodou, kterou se dosavadní dluh nahrazuje dluhem novým stejné hodnoty,</w:t>
      </w:r>
    </w:p>
    <w:p w14:paraId="787021EE" w14:textId="77777777" w:rsidR="000839A4" w:rsidRPr="000839A4" w:rsidRDefault="000839A4" w:rsidP="000839A4">
      <w:pPr>
        <w:tabs>
          <w:tab w:val="left" w:pos="357"/>
        </w:tabs>
        <w:spacing w:before="0"/>
        <w:ind w:left="357" w:hanging="357"/>
        <w:rPr>
          <w:strike/>
          <w:szCs w:val="24"/>
        </w:rPr>
      </w:pPr>
      <w:r w:rsidRPr="000839A4">
        <w:rPr>
          <w:b/>
          <w:szCs w:val="24"/>
        </w:rPr>
        <w:t>b)</w:t>
      </w:r>
      <w:r w:rsidRPr="000839A4">
        <w:rPr>
          <w:b/>
          <w:szCs w:val="24"/>
        </w:rPr>
        <w:tab/>
        <w:t>částku ve výši rozdílu mezi dosavadním dluhem a dluhem novým nižší hodnoty vzniklou na základě dohody, kterou se dosavadní dluh nahrazuje dluhem novým.</w:t>
      </w:r>
    </w:p>
    <w:p w14:paraId="00D28D38" w14:textId="77777777" w:rsidR="000839A4" w:rsidRPr="000839A4" w:rsidRDefault="000839A4" w:rsidP="000839A4">
      <w:pPr>
        <w:spacing w:before="120"/>
        <w:ind w:firstLine="482"/>
        <w:rPr>
          <w:strike/>
          <w:szCs w:val="24"/>
        </w:rPr>
      </w:pPr>
      <w:r w:rsidRPr="000839A4">
        <w:rPr>
          <w:strike/>
          <w:szCs w:val="24"/>
        </w:rPr>
        <w:t>(</w:t>
      </w:r>
      <w:proofErr w:type="gramStart"/>
      <w:r w:rsidRPr="000839A4">
        <w:rPr>
          <w:strike/>
          <w:szCs w:val="24"/>
        </w:rPr>
        <w:t xml:space="preserve">11) </w:t>
      </w:r>
      <w:r w:rsidRPr="000839A4">
        <w:rPr>
          <w:b/>
          <w:strike/>
          <w:szCs w:val="24"/>
        </w:rPr>
        <w:t>(10</w:t>
      </w:r>
      <w:proofErr w:type="gramEnd"/>
      <w:r w:rsidRPr="000839A4">
        <w:rPr>
          <w:b/>
          <w:strike/>
          <w:szCs w:val="24"/>
        </w:rPr>
        <w:t>)</w:t>
      </w:r>
      <w:r w:rsidRPr="000839A4">
        <w:rPr>
          <w:strike/>
          <w:szCs w:val="24"/>
        </w:rPr>
        <w:t xml:space="preserve"> Rozdíl mezi příjmy a výdaji se snižuje o hodnotu záloh uhrazených poplatníkem s příjmy podle § 7, který nevede účetnictví a výdaje uplatňuje podle § 24, poplatníkovi, který je spojenou osobou (§ 23), který vede účetnictví, s výjimkou záloh z titulu úplaty u finančního leasingu, o které se zvýšil základ daně podle odstavce 10, ve zdaňovacím období, ve kterém byl vyúčtován celkový dluh. </w:t>
      </w:r>
    </w:p>
    <w:p w14:paraId="2880443C" w14:textId="77777777" w:rsidR="000839A4" w:rsidRPr="000839A4" w:rsidRDefault="000839A4" w:rsidP="000839A4">
      <w:pPr>
        <w:keepNext/>
        <w:ind w:firstLine="0"/>
        <w:jc w:val="center"/>
        <w:rPr>
          <w:szCs w:val="24"/>
        </w:rPr>
      </w:pPr>
      <w:r w:rsidRPr="000839A4">
        <w:rPr>
          <w:szCs w:val="24"/>
        </w:rPr>
        <w:lastRenderedPageBreak/>
        <w:t>§ 6</w:t>
      </w:r>
    </w:p>
    <w:p w14:paraId="5BC66FB0" w14:textId="77777777" w:rsidR="000839A4" w:rsidRPr="000839A4" w:rsidRDefault="000839A4" w:rsidP="000839A4">
      <w:pPr>
        <w:keepNext/>
        <w:ind w:firstLine="0"/>
        <w:jc w:val="center"/>
        <w:rPr>
          <w:b/>
          <w:szCs w:val="24"/>
        </w:rPr>
      </w:pPr>
      <w:r w:rsidRPr="000839A4">
        <w:rPr>
          <w:b/>
          <w:szCs w:val="24"/>
        </w:rPr>
        <w:t xml:space="preserve">Příjmy ze závislé činnosti </w:t>
      </w:r>
    </w:p>
    <w:p w14:paraId="66B799A0" w14:textId="77777777" w:rsidR="000839A4" w:rsidRPr="000839A4" w:rsidRDefault="000839A4" w:rsidP="000839A4">
      <w:pPr>
        <w:tabs>
          <w:tab w:val="num" w:pos="783"/>
          <w:tab w:val="left" w:pos="851"/>
        </w:tabs>
        <w:spacing w:before="120" w:after="120"/>
        <w:outlineLvl w:val="6"/>
      </w:pPr>
      <w:r w:rsidRPr="000839A4">
        <w:t xml:space="preserve">(1) Příjmy ze závislé činnosti jsou </w:t>
      </w:r>
    </w:p>
    <w:p w14:paraId="2C8D79D3"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 xml:space="preserve">plnění v podobě </w:t>
      </w:r>
    </w:p>
    <w:p w14:paraId="4A87604E" w14:textId="77777777" w:rsidR="000839A4" w:rsidRPr="000839A4" w:rsidRDefault="000839A4" w:rsidP="000839A4">
      <w:pPr>
        <w:tabs>
          <w:tab w:val="left" w:pos="357"/>
        </w:tabs>
        <w:spacing w:before="0"/>
        <w:ind w:left="714" w:hanging="357"/>
        <w:rPr>
          <w:szCs w:val="24"/>
        </w:rPr>
      </w:pPr>
      <w:r w:rsidRPr="000839A4">
        <w:rPr>
          <w:szCs w:val="24"/>
        </w:rPr>
        <w:t>1.</w:t>
      </w:r>
      <w:r w:rsidRPr="000839A4">
        <w:rPr>
          <w:szCs w:val="24"/>
        </w:rPr>
        <w:tab/>
        <w:t xml:space="preserve">příjmu ze současného nebo dřívějšího pracovněprávního, služebního nebo členského poměru a obdobného poměru, v nichž poplatník při výkonu práce pro plátce příjmu je povinen dbát příkazů plátce, </w:t>
      </w:r>
    </w:p>
    <w:p w14:paraId="46866335" w14:textId="77777777" w:rsidR="000839A4" w:rsidRPr="000839A4" w:rsidRDefault="000839A4" w:rsidP="000839A4">
      <w:pPr>
        <w:tabs>
          <w:tab w:val="left" w:pos="357"/>
        </w:tabs>
        <w:spacing w:before="0"/>
        <w:ind w:left="714" w:hanging="357"/>
        <w:rPr>
          <w:szCs w:val="24"/>
        </w:rPr>
      </w:pPr>
      <w:r w:rsidRPr="000839A4">
        <w:rPr>
          <w:szCs w:val="24"/>
        </w:rPr>
        <w:t>2.</w:t>
      </w:r>
      <w:r w:rsidRPr="000839A4">
        <w:rPr>
          <w:szCs w:val="24"/>
        </w:rPr>
        <w:tab/>
        <w:t xml:space="preserve">funkčního požitku, </w:t>
      </w:r>
    </w:p>
    <w:p w14:paraId="2C98BE0C"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 xml:space="preserve">příjmy za práci </w:t>
      </w:r>
    </w:p>
    <w:p w14:paraId="7ABFAB5F" w14:textId="77777777" w:rsidR="000839A4" w:rsidRPr="000839A4" w:rsidRDefault="000839A4" w:rsidP="000839A4">
      <w:pPr>
        <w:tabs>
          <w:tab w:val="left" w:pos="357"/>
        </w:tabs>
        <w:spacing w:before="0"/>
        <w:ind w:left="714" w:hanging="357"/>
        <w:rPr>
          <w:szCs w:val="24"/>
        </w:rPr>
      </w:pPr>
      <w:r w:rsidRPr="000839A4">
        <w:rPr>
          <w:szCs w:val="24"/>
        </w:rPr>
        <w:t>1.</w:t>
      </w:r>
      <w:r w:rsidRPr="000839A4">
        <w:rPr>
          <w:szCs w:val="24"/>
        </w:rPr>
        <w:tab/>
        <w:t xml:space="preserve">člena družstva, </w:t>
      </w:r>
    </w:p>
    <w:p w14:paraId="261E53A0" w14:textId="77777777" w:rsidR="000839A4" w:rsidRPr="000839A4" w:rsidRDefault="000839A4" w:rsidP="000839A4">
      <w:pPr>
        <w:tabs>
          <w:tab w:val="left" w:pos="357"/>
        </w:tabs>
        <w:spacing w:before="0"/>
        <w:ind w:left="714" w:hanging="357"/>
        <w:rPr>
          <w:szCs w:val="24"/>
        </w:rPr>
      </w:pPr>
      <w:r w:rsidRPr="000839A4">
        <w:rPr>
          <w:szCs w:val="24"/>
        </w:rPr>
        <w:t>2.</w:t>
      </w:r>
      <w:r w:rsidRPr="000839A4">
        <w:rPr>
          <w:szCs w:val="24"/>
        </w:rPr>
        <w:tab/>
        <w:t xml:space="preserve">společníka společnosti s ručením omezeným, </w:t>
      </w:r>
    </w:p>
    <w:p w14:paraId="747ADB31" w14:textId="77777777" w:rsidR="000839A4" w:rsidRPr="000839A4" w:rsidRDefault="000839A4" w:rsidP="000839A4">
      <w:pPr>
        <w:tabs>
          <w:tab w:val="left" w:pos="357"/>
        </w:tabs>
        <w:spacing w:before="0"/>
        <w:ind w:left="714" w:hanging="357"/>
        <w:rPr>
          <w:szCs w:val="24"/>
        </w:rPr>
      </w:pPr>
      <w:r w:rsidRPr="000839A4">
        <w:rPr>
          <w:szCs w:val="24"/>
        </w:rPr>
        <w:t>3.</w:t>
      </w:r>
      <w:r w:rsidRPr="000839A4">
        <w:rPr>
          <w:szCs w:val="24"/>
        </w:rPr>
        <w:tab/>
        <w:t xml:space="preserve">komanditisty komanditní společnosti, </w:t>
      </w:r>
    </w:p>
    <w:p w14:paraId="2837DE3D" w14:textId="77777777" w:rsidR="000839A4" w:rsidRPr="000839A4" w:rsidRDefault="000839A4" w:rsidP="000839A4">
      <w:pPr>
        <w:tabs>
          <w:tab w:val="left" w:pos="357"/>
        </w:tabs>
        <w:spacing w:before="0"/>
        <w:ind w:left="357" w:hanging="357"/>
        <w:rPr>
          <w:szCs w:val="24"/>
        </w:rPr>
      </w:pPr>
      <w:r w:rsidRPr="000839A4">
        <w:rPr>
          <w:szCs w:val="24"/>
        </w:rPr>
        <w:t>c)</w:t>
      </w:r>
      <w:r w:rsidRPr="000839A4">
        <w:rPr>
          <w:szCs w:val="24"/>
        </w:rPr>
        <w:tab/>
        <w:t xml:space="preserve">odměny </w:t>
      </w:r>
    </w:p>
    <w:p w14:paraId="02559252" w14:textId="77777777" w:rsidR="000839A4" w:rsidRPr="000839A4" w:rsidRDefault="000839A4" w:rsidP="000839A4">
      <w:pPr>
        <w:tabs>
          <w:tab w:val="left" w:pos="357"/>
        </w:tabs>
        <w:spacing w:before="0"/>
        <w:ind w:left="714" w:hanging="357"/>
        <w:rPr>
          <w:szCs w:val="24"/>
        </w:rPr>
      </w:pPr>
      <w:r w:rsidRPr="000839A4">
        <w:rPr>
          <w:szCs w:val="24"/>
        </w:rPr>
        <w:t>1.</w:t>
      </w:r>
      <w:r w:rsidRPr="000839A4">
        <w:rPr>
          <w:szCs w:val="24"/>
        </w:rPr>
        <w:tab/>
        <w:t>člena orgánu právnické osoby,</w:t>
      </w:r>
    </w:p>
    <w:p w14:paraId="27DB0432" w14:textId="77777777" w:rsidR="000839A4" w:rsidRPr="000839A4" w:rsidRDefault="000839A4" w:rsidP="000839A4">
      <w:pPr>
        <w:tabs>
          <w:tab w:val="left" w:pos="357"/>
        </w:tabs>
        <w:spacing w:before="0"/>
        <w:ind w:left="714" w:hanging="357"/>
        <w:rPr>
          <w:szCs w:val="24"/>
        </w:rPr>
      </w:pPr>
      <w:r w:rsidRPr="000839A4">
        <w:rPr>
          <w:szCs w:val="24"/>
        </w:rPr>
        <w:t>2.</w:t>
      </w:r>
      <w:r w:rsidRPr="000839A4">
        <w:rPr>
          <w:szCs w:val="24"/>
        </w:rPr>
        <w:tab/>
        <w:t xml:space="preserve">likvidátora, </w:t>
      </w:r>
    </w:p>
    <w:p w14:paraId="183CB2AF" w14:textId="77777777" w:rsidR="000839A4" w:rsidRPr="000839A4" w:rsidRDefault="000839A4" w:rsidP="000839A4">
      <w:pPr>
        <w:tabs>
          <w:tab w:val="left" w:pos="357"/>
        </w:tabs>
        <w:spacing w:before="0"/>
        <w:ind w:left="357" w:hanging="357"/>
        <w:rPr>
          <w:szCs w:val="24"/>
        </w:rPr>
      </w:pPr>
      <w:r w:rsidRPr="000839A4">
        <w:rPr>
          <w:szCs w:val="24"/>
        </w:rPr>
        <w:t>d)</w:t>
      </w:r>
      <w:r w:rsidRPr="000839A4">
        <w:rPr>
          <w:szCs w:val="24"/>
        </w:rPr>
        <w:tab/>
        <w:t xml:space="preserve">příjmy plynoucí v souvislosti se současným, budoucím nebo dřívějším výkonem činnosti, ze které plynou příjmy podle písmen a) až c), bez ohledu na to, zda plynou od plátce, u kterého poplatník vykonává činnost, ze které plyne příjem ze závislé činnosti, nebo od plátce, u kterého poplatník tuto činnost nevykonává. </w:t>
      </w:r>
    </w:p>
    <w:p w14:paraId="6B9F96BF" w14:textId="77777777" w:rsidR="000839A4" w:rsidRPr="000839A4" w:rsidRDefault="000839A4" w:rsidP="000839A4">
      <w:pPr>
        <w:spacing w:before="120"/>
        <w:ind w:firstLine="482"/>
        <w:rPr>
          <w:szCs w:val="24"/>
        </w:rPr>
      </w:pPr>
      <w:r w:rsidRPr="000839A4">
        <w:rPr>
          <w:szCs w:val="24"/>
        </w:rPr>
        <w:t xml:space="preserve">(2) Poplatník s příjmy ze závislé činnosti je dále označen jako „zaměstnanec“, plátce příjmu jako „zaměstnavatel“. Zaměstnavatelem je i poplatník uvedený v § 2 odst. 2 nebo v § 17 odst. 3, u kterého zaměstnanci vykonávají práci podle jeho příkazů, i když příjmy za tuto práci jsou na základě smluvního vztahu vypláceny prostřednictvím osoby se sídlem nebo bydlištěm v zahraničí. Z hlediska dalších ustanovení zákona se takto vyplácený příjem považuje za příjem vyplácený poplatníkem uvedeným v § 2 odst. 2 nebo v § 17 odst. 3. V případě, že v úhradách zaměstnavatele osobě se sídlem nebo bydlištěm v zahraničí s výjimkou osoby se sídlem nebo bydlištěm v jiném členském státě Evropské unie nebo státě tvořícím Evropský hospodářský prostor, která má na území České republiky organizační složku, jejímž předmětem činnosti je zprostředkování zaměstnání na základě povolení podle zákona upravujícího zaměstnanost, je obsažena i částka za zprostředkování, považuje se za příjem zaměstnance nejméně 60 % z celkové úhrady. </w:t>
      </w:r>
    </w:p>
    <w:p w14:paraId="64671FE9" w14:textId="77777777" w:rsidR="000839A4" w:rsidRPr="000839A4" w:rsidRDefault="000839A4" w:rsidP="000839A4">
      <w:pPr>
        <w:spacing w:before="120"/>
        <w:ind w:firstLine="482"/>
        <w:rPr>
          <w:szCs w:val="24"/>
        </w:rPr>
      </w:pPr>
      <w:r w:rsidRPr="000839A4">
        <w:rPr>
          <w:szCs w:val="24"/>
        </w:rPr>
        <w:t xml:space="preserve">(3) Příjmy podle odstavce 1 se rozumějí příjmy pravidelné nebo jednorázové bez ohledu na to, zda je na ně právní nárok či nikoli, zda je od zaměstnavatele dostává zaměstnanec nebo jiná osoba a zda jsou vypláceny nebo připisovány k dobru anebo spočívají v jiné formě plnění prováděné zaměstnavatelem za zaměstnance nebo v jeho prospěch. Příjmem zaměstnance se rozumí i plnění podle odstavce 9 písm. e) a g), plnění ve formě podle odstavce 9 písm. d) a jiné plnění na sociální podmínky nebo péči o zdraví vyplývající z kolektivní smlouvy, vnitřního předpisu zaměstnavatele nebo pracovní nebo jiné smlouvy poskytnutá zaměstnavatelem pro rodinného příslušníka zaměstnance. Příjmem se rozumí rovněž částka, o kterou je úhrada zaměstnance zaměstnavateli za poskytnuté plnění nižší, než je </w:t>
      </w:r>
      <w:r w:rsidRPr="000839A4">
        <w:rPr>
          <w:strike/>
          <w:szCs w:val="24"/>
        </w:rPr>
        <w:t xml:space="preserve">cena </w:t>
      </w:r>
      <w:r w:rsidRPr="000839A4">
        <w:rPr>
          <w:b/>
          <w:szCs w:val="24"/>
        </w:rPr>
        <w:t>hodnota</w:t>
      </w:r>
    </w:p>
    <w:p w14:paraId="634017AB"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 xml:space="preserve">určená podle zákona upravujícího oceňování </w:t>
      </w:r>
      <w:r w:rsidRPr="000839A4">
        <w:rPr>
          <w:strike/>
          <w:szCs w:val="24"/>
        </w:rPr>
        <w:t xml:space="preserve">majetku </w:t>
      </w:r>
      <w:r w:rsidRPr="000839A4">
        <w:rPr>
          <w:b/>
          <w:szCs w:val="24"/>
        </w:rPr>
        <w:t>věcí, služeb a dluhů</w:t>
      </w:r>
      <w:r w:rsidRPr="000839A4">
        <w:rPr>
          <w:szCs w:val="24"/>
        </w:rPr>
        <w:t xml:space="preserve"> nebo cena, kterou účtuje jiným osobám, </w:t>
      </w:r>
    </w:p>
    <w:p w14:paraId="2CD8D5C9" w14:textId="6902E5F2" w:rsidR="000839A4" w:rsidRPr="000839A4" w:rsidRDefault="000839A4" w:rsidP="008F0667">
      <w:pPr>
        <w:keepNext/>
        <w:keepLines/>
        <w:widowControl w:val="0"/>
        <w:pBdr>
          <w:top w:val="single" w:sz="12" w:space="1" w:color="00B050"/>
          <w:left w:val="single" w:sz="12" w:space="4" w:color="00B050"/>
          <w:bottom w:val="single" w:sz="12" w:space="1" w:color="00B050"/>
          <w:right w:val="single" w:sz="12" w:space="4" w:color="00B050"/>
        </w:pBdr>
        <w:spacing w:before="0"/>
        <w:ind w:left="284" w:hanging="284"/>
        <w:jc w:val="left"/>
        <w:rPr>
          <w:noProof/>
          <w:color w:val="00B050"/>
          <w:szCs w:val="24"/>
        </w:rPr>
      </w:pPr>
      <w:r w:rsidRPr="000839A4">
        <w:rPr>
          <w:noProof/>
          <w:szCs w:val="24"/>
        </w:rPr>
        <w:lastRenderedPageBreak/>
        <w:t>b)</w:t>
      </w:r>
      <w:r w:rsidRPr="000839A4">
        <w:rPr>
          <w:noProof/>
          <w:szCs w:val="24"/>
        </w:rPr>
        <w:tab/>
        <w:t>stanovená podle odstavce 6 v případě poskytnutí motorového vozidla k používání pro služební i soukromé účely</w:t>
      </w:r>
      <w:r w:rsidRPr="000839A4">
        <w:rPr>
          <w:strike/>
          <w:noProof/>
          <w:color w:val="00B050"/>
          <w:szCs w:val="24"/>
        </w:rPr>
        <w:t>.</w:t>
      </w:r>
      <w:r w:rsidRPr="000839A4">
        <w:rPr>
          <w:b/>
          <w:noProof/>
          <w:color w:val="00B050"/>
          <w:szCs w:val="24"/>
        </w:rPr>
        <w:t>,</w:t>
      </w:r>
    </w:p>
    <w:p w14:paraId="158E519F" w14:textId="77777777" w:rsidR="000839A4" w:rsidRPr="000839A4" w:rsidRDefault="000839A4" w:rsidP="008F0667">
      <w:pPr>
        <w:keepNext/>
        <w:keepLines/>
        <w:widowControl w:val="0"/>
        <w:pBdr>
          <w:top w:val="single" w:sz="12" w:space="1" w:color="00B050"/>
          <w:left w:val="single" w:sz="12" w:space="4" w:color="00B050"/>
          <w:bottom w:val="single" w:sz="12" w:space="1" w:color="00B050"/>
          <w:right w:val="single" w:sz="12" w:space="4" w:color="00B050"/>
        </w:pBdr>
        <w:spacing w:before="0"/>
        <w:ind w:left="284" w:hanging="284"/>
        <w:jc w:val="left"/>
        <w:rPr>
          <w:b/>
          <w:noProof/>
          <w:color w:val="00B050"/>
          <w:szCs w:val="24"/>
        </w:rPr>
      </w:pPr>
      <w:r w:rsidRPr="000839A4">
        <w:rPr>
          <w:b/>
          <w:noProof/>
          <w:color w:val="00B050"/>
          <w:szCs w:val="24"/>
        </w:rPr>
        <w:t>c)</w:t>
      </w:r>
      <w:r w:rsidRPr="000839A4">
        <w:rPr>
          <w:b/>
          <w:noProof/>
          <w:color w:val="00B050"/>
          <w:szCs w:val="24"/>
        </w:rPr>
        <w:tab/>
        <w:t>stanovená podle odstavce 17 v případě použití zařízení péče o děti předškolního věku včetně mateřské školy podle školského zákona.</w:t>
      </w:r>
    </w:p>
    <w:p w14:paraId="0FDDECD3" w14:textId="77777777" w:rsidR="000839A4" w:rsidRPr="000839A4" w:rsidRDefault="000839A4" w:rsidP="000839A4">
      <w:pPr>
        <w:spacing w:before="120"/>
        <w:ind w:firstLine="482"/>
        <w:rPr>
          <w:szCs w:val="24"/>
        </w:rPr>
      </w:pPr>
      <w:r w:rsidRPr="000839A4">
        <w:rPr>
          <w:szCs w:val="24"/>
        </w:rPr>
        <w:t xml:space="preserve"> (4) Příjmy zúčtované nebo vyplacené plátcem daně jsou samostatným základem daně pro zdanění daní vybíranou srážkou podle zvláštní sazby daně, pokud zaměstnanec u tohoto plátce daně neučinil prohlášení k dani podle § 38k odst. 4, 5 nebo 7 anebo nevyužije-li postup podle § 36 odst. 6 nebo 7 a jedná-li se o příjmy podle odstavce 1</w:t>
      </w:r>
    </w:p>
    <w:p w14:paraId="4FD306A2" w14:textId="59BDFF95" w:rsidR="000839A4" w:rsidRPr="000839A4" w:rsidRDefault="000839A4" w:rsidP="008F0667">
      <w:pPr>
        <w:pBdr>
          <w:top w:val="single" w:sz="12" w:space="1" w:color="00B050"/>
          <w:left w:val="single" w:sz="12" w:space="4" w:color="00B050"/>
          <w:bottom w:val="single" w:sz="12" w:space="1" w:color="00B050"/>
          <w:right w:val="single" w:sz="12" w:space="4" w:color="00B050"/>
        </w:pBdr>
        <w:tabs>
          <w:tab w:val="left" w:pos="357"/>
        </w:tabs>
        <w:spacing w:before="0"/>
        <w:ind w:left="357" w:hanging="357"/>
        <w:rPr>
          <w:strike/>
          <w:color w:val="00B050"/>
          <w:szCs w:val="24"/>
        </w:rPr>
      </w:pPr>
      <w:r w:rsidRPr="000839A4">
        <w:rPr>
          <w:strike/>
          <w:color w:val="00B050"/>
          <w:szCs w:val="24"/>
        </w:rPr>
        <w:t>a)</w:t>
      </w:r>
      <w:r w:rsidRPr="000839A4">
        <w:rPr>
          <w:strike/>
          <w:color w:val="00B050"/>
          <w:szCs w:val="24"/>
        </w:rPr>
        <w:tab/>
        <w:t xml:space="preserve">plynoucí na základě dohody o provedení práce, jejichž úhrnná výše u téhož plátce daně nepřesáhne za kalendářní měsíc částku </w:t>
      </w:r>
      <w:r w:rsidRPr="000839A4">
        <w:rPr>
          <w:strike/>
          <w:noProof/>
          <w:color w:val="00B050"/>
          <w:szCs w:val="24"/>
        </w:rPr>
        <w:t>rozhodnou pro účast zaměstnanců činných na základě dohody o provedení práce na nemocenském pojištění, která je stanovena pro zaměstnání vykonávaná na základě těchto dohod u téhož zaměstnavatele</w:t>
      </w:r>
      <w:r w:rsidRPr="000839A4">
        <w:rPr>
          <w:strike/>
          <w:color w:val="00B050"/>
          <w:szCs w:val="24"/>
        </w:rPr>
        <w:t>, nebo</w:t>
      </w:r>
    </w:p>
    <w:p w14:paraId="6DB26697" w14:textId="77777777" w:rsidR="000839A4" w:rsidRPr="000839A4" w:rsidRDefault="000839A4" w:rsidP="008F0667">
      <w:pPr>
        <w:pBdr>
          <w:top w:val="single" w:sz="12" w:space="1" w:color="00B050"/>
          <w:left w:val="single" w:sz="12" w:space="4" w:color="00B050"/>
          <w:bottom w:val="single" w:sz="12" w:space="1" w:color="00B050"/>
          <w:right w:val="single" w:sz="12" w:space="4" w:color="00B050"/>
        </w:pBdr>
        <w:tabs>
          <w:tab w:val="left" w:pos="357"/>
        </w:tabs>
        <w:spacing w:before="0"/>
        <w:ind w:left="357" w:hanging="357"/>
        <w:rPr>
          <w:strike/>
          <w:color w:val="00B050"/>
          <w:szCs w:val="24"/>
        </w:rPr>
      </w:pPr>
      <w:r w:rsidRPr="000839A4">
        <w:rPr>
          <w:strike/>
          <w:color w:val="00B050"/>
          <w:szCs w:val="24"/>
        </w:rPr>
        <w:t>b)</w:t>
      </w:r>
      <w:r w:rsidRPr="000839A4">
        <w:rPr>
          <w:strike/>
          <w:color w:val="00B050"/>
          <w:szCs w:val="24"/>
        </w:rPr>
        <w:tab/>
        <w:t>v úhrnné výši nepřesahující u téhož plátce daně za kalendářní měsíc částku rozhodnou pro účast zaměstnanců na nemocenském pojištění.</w:t>
      </w:r>
    </w:p>
    <w:p w14:paraId="7016A4B7" w14:textId="77777777" w:rsidR="000839A4" w:rsidRPr="000839A4" w:rsidRDefault="000839A4" w:rsidP="008F0667">
      <w:pPr>
        <w:pBdr>
          <w:top w:val="single" w:sz="12" w:space="1" w:color="00B050"/>
          <w:left w:val="single" w:sz="12" w:space="4" w:color="00B050"/>
          <w:bottom w:val="single" w:sz="12" w:space="1" w:color="00B050"/>
          <w:right w:val="single" w:sz="12" w:space="4" w:color="00B050"/>
        </w:pBdr>
        <w:tabs>
          <w:tab w:val="left" w:pos="357"/>
        </w:tabs>
        <w:spacing w:before="0"/>
        <w:ind w:left="357" w:hanging="357"/>
        <w:rPr>
          <w:b/>
          <w:color w:val="00B050"/>
          <w:szCs w:val="24"/>
        </w:rPr>
      </w:pPr>
      <w:r w:rsidRPr="000839A4">
        <w:rPr>
          <w:b/>
          <w:color w:val="00B050"/>
          <w:szCs w:val="24"/>
        </w:rPr>
        <w:t>a)</w:t>
      </w:r>
      <w:r w:rsidRPr="000839A4">
        <w:rPr>
          <w:b/>
          <w:color w:val="00B050"/>
          <w:szCs w:val="24"/>
        </w:rPr>
        <w:tab/>
        <w:t>plynoucí na základě dohody o provedení práce zaměstnanci od zaměstnavatele, který u tohoto zaměstnance uplatňuje režim oznámené dohody podle zákona upravujícího nemocenské pojištění, jejichž úhrnná výše u téhož plátce daně nedosáhne za kalendářní měsíc rozhodné částky pro účast zaměstnanců činných na základě dohody o provedení práce, u kterých je uplatňován režim oznámené dohody podle zákona upravujícího nemocenské pojištění, na nemocenském pojištění, nebo</w:t>
      </w:r>
    </w:p>
    <w:p w14:paraId="2FB9F60B" w14:textId="77777777" w:rsidR="000839A4" w:rsidRPr="000839A4" w:rsidRDefault="000839A4" w:rsidP="008F0667">
      <w:pPr>
        <w:pBdr>
          <w:top w:val="single" w:sz="12" w:space="1" w:color="00B050"/>
          <w:left w:val="single" w:sz="12" w:space="4" w:color="00B050"/>
          <w:bottom w:val="single" w:sz="12" w:space="1" w:color="00B050"/>
          <w:right w:val="single" w:sz="12" w:space="4" w:color="00B050"/>
        </w:pBdr>
        <w:tabs>
          <w:tab w:val="left" w:pos="357"/>
        </w:tabs>
        <w:spacing w:before="0"/>
        <w:ind w:left="357" w:hanging="357"/>
        <w:rPr>
          <w:b/>
          <w:color w:val="00B050"/>
          <w:szCs w:val="24"/>
        </w:rPr>
      </w:pPr>
      <w:r w:rsidRPr="000839A4">
        <w:rPr>
          <w:b/>
          <w:color w:val="00B050"/>
          <w:szCs w:val="24"/>
        </w:rPr>
        <w:t>b)</w:t>
      </w:r>
      <w:r w:rsidRPr="000839A4">
        <w:rPr>
          <w:b/>
          <w:color w:val="00B050"/>
          <w:szCs w:val="24"/>
        </w:rPr>
        <w:tab/>
        <w:t>v úhrnné výši nedosahující u téhož plátce daně za kalendářní měsíc rozhodné částky pro účast zaměstnanců na nemocenském pojištění.</w:t>
      </w:r>
    </w:p>
    <w:p w14:paraId="0C20DDB0" w14:textId="77777777" w:rsidR="000839A4" w:rsidRPr="000839A4" w:rsidRDefault="000839A4" w:rsidP="000839A4">
      <w:pPr>
        <w:spacing w:before="120"/>
        <w:ind w:firstLine="482"/>
        <w:rPr>
          <w:strike/>
          <w:noProof/>
          <w:color w:val="808080" w:themeColor="background1" w:themeShade="80"/>
          <w:szCs w:val="24"/>
          <w:shd w:val="clear" w:color="auto" w:fill="FFFF99"/>
        </w:rPr>
      </w:pPr>
      <w:r w:rsidRPr="000839A4">
        <w:rPr>
          <w:szCs w:val="24"/>
        </w:rPr>
        <w:t>(5) Plynou-li příjmy uvedené v odstavci 4 ze zdrojů v zahraničí, jsou základem daně (dílčím základem daně) podle § 5 odst. 2.</w:t>
      </w:r>
    </w:p>
    <w:p w14:paraId="63E56CAC" w14:textId="77777777" w:rsidR="000839A4" w:rsidRPr="000839A4" w:rsidRDefault="000839A4" w:rsidP="00FE4A0D">
      <w:pPr>
        <w:numPr>
          <w:ilvl w:val="0"/>
          <w:numId w:val="78"/>
        </w:numPr>
        <w:tabs>
          <w:tab w:val="left" w:pos="782"/>
          <w:tab w:val="left" w:pos="851"/>
        </w:tabs>
        <w:spacing w:before="120" w:after="120"/>
        <w:ind w:left="0" w:firstLine="425"/>
        <w:jc w:val="left"/>
        <w:outlineLvl w:val="6"/>
        <w:rPr>
          <w:szCs w:val="24"/>
        </w:rPr>
      </w:pPr>
      <w:r w:rsidRPr="000839A4">
        <w:t xml:space="preserve">(6) </w:t>
      </w:r>
      <w:r w:rsidRPr="000839A4">
        <w:rPr>
          <w:szCs w:val="24"/>
        </w:rPr>
        <w:t>Poskytuje-li zaměstnavatel zaměstnanci bezplatně silniční motorové vozidlo k používání pro služební i soukromé účely, považuje se za příjem zaměstnance částka ve výši určeného procenta vstupní ceny tohoto vozidla za každý i započatý kalendářní měsíc poskytnutí vozidla.</w:t>
      </w:r>
      <w:r w:rsidRPr="000839A4">
        <w:rPr>
          <w:b/>
          <w:szCs w:val="24"/>
        </w:rPr>
        <w:t xml:space="preserve"> </w:t>
      </w:r>
      <w:r w:rsidRPr="000839A4">
        <w:rPr>
          <w:szCs w:val="24"/>
        </w:rPr>
        <w:t>Jde-li o silniční motorové vozidlo najaté nebo pořízené na finanční leasing, vychází se ze vstupní ceny tohoto vozidla u původního vlastníka, a to i v případě, že dojde k následné koupi vozidla. Pokud ve vstupní ceně není zahrnuta daň z přidané hodnoty, pro účely tohoto ustanovení se o tuto daň zvýší. Je-li částka, která se posuzuje jako příjem zaměstnance za každý i započatý kalendářní měsíc poskytnutí silničního motorového vozidla, nižší než 1 000 Kč, považuje se za příjem zaměstnance částka ve výši 1 000 Kč.</w:t>
      </w:r>
      <w:r w:rsidRPr="000839A4">
        <w:rPr>
          <w:b/>
          <w:szCs w:val="24"/>
        </w:rPr>
        <w:t xml:space="preserve"> </w:t>
      </w:r>
      <w:r w:rsidRPr="000839A4">
        <w:rPr>
          <w:szCs w:val="24"/>
        </w:rPr>
        <w:t>Poskytne-li zaměstnavatel zaměstnanci bezplatně v průběhu kalendářního měsíce postupně za sebou více silničních motorových vozidel k používání pro služební i soukromé účely, považuje se za příjem zaměstnance částka ve výši určeného procenta z nejvyšší vstupní ceny silničního motorového vozidla. Poskytne-li zaměstnavatel zaměstnanci bezplatně pro služební i soukromé účely v průběhu kalendářního měsíce více silničních motorových vozidel současně, považuje se za příjem zaměstnance úhrn částek odpovídajících výši určeného procenta vstupní ceny každého současně poskytnutého vozidla. Určeným procentem se pro účely tohoto ustanovení rozumí</w:t>
      </w:r>
    </w:p>
    <w:p w14:paraId="7386E41D" w14:textId="77777777" w:rsidR="000839A4" w:rsidRPr="000839A4" w:rsidRDefault="000839A4" w:rsidP="00FE4A0D">
      <w:pPr>
        <w:numPr>
          <w:ilvl w:val="0"/>
          <w:numId w:val="78"/>
        </w:numPr>
        <w:tabs>
          <w:tab w:val="left" w:pos="782"/>
          <w:tab w:val="left" w:pos="851"/>
        </w:tabs>
        <w:spacing w:before="0"/>
        <w:ind w:left="425" w:hanging="425"/>
        <w:jc w:val="left"/>
        <w:outlineLvl w:val="6"/>
        <w:rPr>
          <w:szCs w:val="24"/>
        </w:rPr>
      </w:pPr>
      <w:r w:rsidRPr="000839A4">
        <w:rPr>
          <w:szCs w:val="24"/>
        </w:rPr>
        <w:t xml:space="preserve">a) </w:t>
      </w:r>
      <w:r w:rsidRPr="000839A4">
        <w:rPr>
          <w:szCs w:val="24"/>
        </w:rPr>
        <w:tab/>
        <w:t>0,25 %, jedná-li se o bezemisní vozidlo,</w:t>
      </w:r>
    </w:p>
    <w:p w14:paraId="18EA2061" w14:textId="77777777" w:rsidR="000839A4" w:rsidRPr="000839A4" w:rsidRDefault="000839A4" w:rsidP="00FE4A0D">
      <w:pPr>
        <w:numPr>
          <w:ilvl w:val="0"/>
          <w:numId w:val="78"/>
        </w:numPr>
        <w:tabs>
          <w:tab w:val="left" w:pos="782"/>
          <w:tab w:val="left" w:pos="851"/>
        </w:tabs>
        <w:spacing w:before="0"/>
        <w:ind w:left="425" w:hanging="425"/>
        <w:jc w:val="left"/>
        <w:outlineLvl w:val="6"/>
        <w:rPr>
          <w:szCs w:val="24"/>
        </w:rPr>
      </w:pPr>
      <w:r w:rsidRPr="000839A4">
        <w:rPr>
          <w:szCs w:val="24"/>
        </w:rPr>
        <w:t xml:space="preserve">b) </w:t>
      </w:r>
      <w:r w:rsidRPr="000839A4">
        <w:rPr>
          <w:szCs w:val="24"/>
        </w:rPr>
        <w:tab/>
        <w:t>0,5 %, jedná-li se o nízkoemisní vozidlo,</w:t>
      </w:r>
    </w:p>
    <w:p w14:paraId="68E8D5D2" w14:textId="77777777" w:rsidR="000839A4" w:rsidRPr="000839A4" w:rsidRDefault="000839A4" w:rsidP="00FE4A0D">
      <w:pPr>
        <w:numPr>
          <w:ilvl w:val="0"/>
          <w:numId w:val="78"/>
        </w:numPr>
        <w:tabs>
          <w:tab w:val="left" w:pos="782"/>
          <w:tab w:val="left" w:pos="851"/>
        </w:tabs>
        <w:spacing w:before="0"/>
        <w:ind w:left="425" w:hanging="425"/>
        <w:jc w:val="left"/>
        <w:outlineLvl w:val="6"/>
        <w:rPr>
          <w:szCs w:val="24"/>
        </w:rPr>
      </w:pPr>
      <w:r w:rsidRPr="000839A4">
        <w:rPr>
          <w:szCs w:val="24"/>
        </w:rPr>
        <w:t xml:space="preserve">c) </w:t>
      </w:r>
      <w:r w:rsidRPr="000839A4">
        <w:rPr>
          <w:szCs w:val="24"/>
        </w:rPr>
        <w:tab/>
        <w:t>1 %, jedná-li se o silniční motorové vozidlo, které není nízkoemisním ani bezemisním vozidlem.</w:t>
      </w:r>
    </w:p>
    <w:p w14:paraId="475FB60D" w14:textId="77777777" w:rsidR="000839A4" w:rsidRPr="000839A4" w:rsidRDefault="000839A4" w:rsidP="000839A4">
      <w:pPr>
        <w:tabs>
          <w:tab w:val="num" w:pos="783"/>
          <w:tab w:val="left" w:pos="851"/>
        </w:tabs>
        <w:spacing w:before="120" w:after="120"/>
        <w:outlineLvl w:val="6"/>
      </w:pPr>
      <w:r w:rsidRPr="000839A4">
        <w:lastRenderedPageBreak/>
        <w:t xml:space="preserve">(7) Za příjmy ze závislé činnosti se nepovažují a předmětem daně, kromě příjmů, které nejsou předmětem daně podle § 3 odst. 4, dále nejsou </w:t>
      </w:r>
    </w:p>
    <w:p w14:paraId="3DD7E59E"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náhrady cestovních výdajů poskytované v souvislosti s výkonem činnosti, ze které plyne příjem ze závislé činnosti, do výše stanovené nebo umožněné zvláštním právním předpisem</w:t>
      </w:r>
      <w:bookmarkStart w:id="11" w:name="_Ref535916570"/>
      <w:r w:rsidRPr="000839A4">
        <w:rPr>
          <w:szCs w:val="24"/>
          <w:vertAlign w:val="superscript"/>
        </w:rPr>
        <w:footnoteReference w:customMarkFollows="1" w:id="124"/>
        <w:t>5)</w:t>
      </w:r>
      <w:bookmarkEnd w:id="11"/>
      <w:r w:rsidRPr="000839A4">
        <w:rPr>
          <w:szCs w:val="24"/>
        </w:rPr>
        <w:t xml:space="preserve"> pro zaměstnance odměňovaného platem, jakož i hodnota bezplatného stravování poskytovaná zaměstnavatelem na pracovních cestách; jiné a vyšší náhrady, než stanoví tento zvláštní právní předpis, jsou zdanitelným příjmem podle odstavce 1, </w:t>
      </w:r>
    </w:p>
    <w:p w14:paraId="1E90B086"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hodnota osobních ochranných pracovních prostředků, pracovních oděvů a obuvi, mycích, čisticích a dezinfekčních prostředků a ochranných nápojů poskytovaných v rozsahu stanoveném zvláštním předpisem, včetně nákladů na udržování osobních ochranných a pracovních prostředků, pracovních oděvů a obuvi, jakož i hodnota poskytovaných stejnokrojů, včetně příspěvků na jejich udržování, dále hodnota pracovního oblečení, určeného zaměstnavatelem pro výkon zaměstnání, včetně příspěvku na jeho udržování,</w:t>
      </w:r>
    </w:p>
    <w:p w14:paraId="2FD0BB27" w14:textId="77777777" w:rsidR="000839A4" w:rsidRPr="000839A4" w:rsidRDefault="000839A4" w:rsidP="000839A4">
      <w:pPr>
        <w:tabs>
          <w:tab w:val="left" w:pos="357"/>
        </w:tabs>
        <w:spacing w:before="0"/>
        <w:ind w:left="357" w:hanging="357"/>
        <w:rPr>
          <w:szCs w:val="24"/>
        </w:rPr>
      </w:pPr>
      <w:r w:rsidRPr="000839A4">
        <w:rPr>
          <w:szCs w:val="24"/>
        </w:rPr>
        <w:t>c)</w:t>
      </w:r>
      <w:r w:rsidRPr="000839A4">
        <w:rPr>
          <w:szCs w:val="24"/>
        </w:rPr>
        <w:tab/>
        <w:t xml:space="preserve">částky přijaté zaměstnancem zálohově od zaměstnavatele, aby je jeho jménem vydal, nebo částky, kterými zaměstnavatel hradí zaměstnanci prokázané výdaje, které za zaměstnavatele vynaložil ze svého tak, jako by je vynaložil přímo zaměstnavatel, </w:t>
      </w:r>
    </w:p>
    <w:p w14:paraId="75A8A307" w14:textId="77777777" w:rsidR="000839A4" w:rsidRPr="000839A4" w:rsidRDefault="000839A4" w:rsidP="000839A4">
      <w:pPr>
        <w:tabs>
          <w:tab w:val="left" w:pos="357"/>
        </w:tabs>
        <w:spacing w:before="0"/>
        <w:ind w:left="357" w:hanging="357"/>
        <w:rPr>
          <w:szCs w:val="24"/>
        </w:rPr>
      </w:pPr>
      <w:r w:rsidRPr="000839A4">
        <w:rPr>
          <w:szCs w:val="24"/>
        </w:rPr>
        <w:t>d)</w:t>
      </w:r>
      <w:r w:rsidRPr="000839A4">
        <w:rPr>
          <w:szCs w:val="24"/>
        </w:rPr>
        <w:tab/>
        <w:t xml:space="preserve">náhrady za opotřebení vlastního nářadí, zařízení a předmětů potřebných pro výkon práce poskytované zaměstnanci podle zákoníku práce, </w:t>
      </w:r>
    </w:p>
    <w:p w14:paraId="618337E8" w14:textId="77777777" w:rsidR="000839A4" w:rsidRPr="000839A4" w:rsidRDefault="000839A4" w:rsidP="000839A4">
      <w:pPr>
        <w:tabs>
          <w:tab w:val="left" w:pos="357"/>
        </w:tabs>
        <w:spacing w:before="0"/>
        <w:ind w:left="357" w:hanging="357"/>
        <w:rPr>
          <w:noProof/>
          <w:szCs w:val="24"/>
        </w:rPr>
      </w:pPr>
      <w:r w:rsidRPr="000839A4">
        <w:rPr>
          <w:szCs w:val="24"/>
        </w:rPr>
        <w:t>e)</w:t>
      </w:r>
      <w:r w:rsidRPr="000839A4">
        <w:rPr>
          <w:szCs w:val="24"/>
        </w:rPr>
        <w:tab/>
        <w:t>plnění zaměstnavatele na vytváření a dodržování pracovních podmínek pro výkon práce</w:t>
      </w:r>
      <w:r w:rsidRPr="000839A4">
        <w:rPr>
          <w:bCs/>
          <w:noProof/>
          <w:szCs w:val="24"/>
        </w:rPr>
        <w:t>; je-li plnění poskytováno v podobě paušální částky na náhradu nákladů spojených s výkonem práce z jiného místa dohodnutého se zaměstnavatelem, než je pracoviště zaměstnavatele, nepovažuje se za příjem a není předmětem daně do výše paušální částky, kterou lze poskytnout zaměstnancům odměňovaným platem.</w:t>
      </w:r>
    </w:p>
    <w:p w14:paraId="02049C92" w14:textId="77777777" w:rsidR="000839A4" w:rsidRPr="000839A4" w:rsidRDefault="000839A4" w:rsidP="000839A4">
      <w:pPr>
        <w:tabs>
          <w:tab w:val="num" w:pos="783"/>
          <w:tab w:val="left" w:pos="851"/>
        </w:tabs>
        <w:spacing w:before="120" w:after="120"/>
        <w:outlineLvl w:val="6"/>
      </w:pPr>
      <w:r w:rsidRPr="000839A4">
        <w:t xml:space="preserve">(8) Hradí-li zaměstnavatel zaměstnanci výdaje (náhrady) podle odstavce 7 písm. b) až d) paušální částkou, považují se tyto výdaje za prokázané do výše paušálu stanoveného zvláštními předpisy nebo paušálu uvedeného v kolektivní smlouvě, ve vnitřním předpise zaměstnavatele, v pracovní nebo jiné smlouvě za předpokladu, že výše paušálu byla zaměstnavatelem prokazatelně stanovena na základě kalkulace skutečných výdajů. Stejným způsobem postupuje zaměstnavatel při stanovení paušálu v případech, kdy dojde ke změně podmínek, za nichž byl paušál stanoven. Jde-li o paušál za použití vlastního nářadí, zařízení a předmětů potřebných pro výkon práce zaměstnance, které by jinak byly odpisovány, uzná se jen do výše, v jaké by zaměstnavatel uplatňoval odpisy srovnatelného hmotného majetku při rovnoměrném odpisování v dalších letech odpisování. </w:t>
      </w:r>
    </w:p>
    <w:p w14:paraId="05F745FD" w14:textId="77777777" w:rsidR="000839A4" w:rsidRPr="000839A4" w:rsidRDefault="000839A4" w:rsidP="000839A4">
      <w:pPr>
        <w:tabs>
          <w:tab w:val="num" w:pos="783"/>
          <w:tab w:val="left" w:pos="851"/>
        </w:tabs>
        <w:spacing w:before="120" w:after="120"/>
        <w:outlineLvl w:val="6"/>
      </w:pPr>
      <w:r w:rsidRPr="000839A4">
        <w:t xml:space="preserve">(9) Od daně jsou, kromě příjmů uvedených v § 4, dále osvobozeny </w:t>
      </w:r>
    </w:p>
    <w:p w14:paraId="7A44B02F"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nepeněžní plnění vynaložená zaměstnavatelem na odborný rozvoj zaměstnanců související s předmětem činnosti zaměstnavatele nebo nepeněžní plnění vynaložená zaměstnavatelem na rekvalifikaci zaměstnanců podle jiného právního předpisu upravujícího zaměstnanost</w:t>
      </w:r>
      <w:bookmarkStart w:id="12" w:name="_Ref535916585"/>
      <w:r w:rsidRPr="000839A4">
        <w:rPr>
          <w:szCs w:val="24"/>
          <w:vertAlign w:val="superscript"/>
        </w:rPr>
        <w:footnoteReference w:customMarkFollows="1" w:id="125"/>
        <w:t>133)</w:t>
      </w:r>
      <w:bookmarkEnd w:id="12"/>
      <w:r w:rsidRPr="000839A4">
        <w:rPr>
          <w:szCs w:val="24"/>
        </w:rPr>
        <w:t xml:space="preserve">; toto osvobození se nevztahuje na příjmy plynoucí zaměstnancům v této souvislosti jako mzda, plat, odměna nebo jako náhrada za ušlý příjem, jakož i na další peněžní plnění poskytovaná v této souvislosti zaměstnancům, </w:t>
      </w:r>
    </w:p>
    <w:p w14:paraId="3827F187"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 xml:space="preserve">příjem zaměstnance ve formě příspěvku na stravování poskytnutého zaměstnavatelem za jednu směnu podle jiného právního předpisu, pokud během této směny zaměstnanec vykonával práci alespoň 3 hodiny a nevznikl mu během této směny nárok na stravné v rámci </w:t>
      </w:r>
      <w:r w:rsidRPr="000839A4">
        <w:rPr>
          <w:szCs w:val="24"/>
        </w:rPr>
        <w:lastRenderedPageBreak/>
        <w:t>cestovních náhrad podle jiného právního předpisu, a to v úhrnu do výše 70 % horní hranice stravného, které lze poskytnout zaměstnancům odměňovaným platem při pracovní cestě trvající 5 až 12 hodin, a v úhrnu do výše 70 % této hranice, je-li příspěvek poskytnut jako další příspěvek v rámci stejné směny, pokud její délka v úhrnu s přestávkou v práci povinně poskytovanou zaměstnavatelem podle jiného právního předpisu je delší než 11 hodin; v případě zaměstnance vykonávajícího činnost, ze které plyne příjem ze závislé činnosti, jejíž výkon není rozvržen na směny podle jiného právního předpisu, je příjem ve formě příspěvku na stravování poskytnutého zaměstnavatelem od daně osvobozen, pokud během kalendářního dne zaměstnanec vykonával práci alespoň 3 hodiny a nevznikl mu během tohoto dne nárok na stravné v rámci cestovních náhrad podle jiného právního předpisu ani na stravné v rámci cestovních náhrad na základě smlouvy, a to v úhrnu do výše 70 % horní hranice stravného, které lze poskytnout zaměstnancům odměňovaným platem při pracovní cestě trvající 5 až 12 hodin, a v úhrnu do výše 70 % této hranice, je-li příspěvek poskytnut jako další příspěvek v rámci stejného kalendářního dne, pokud během tohoto dne zaměstnanec vykonával práci alespoň 11 hodin;  příspěvkem na stravování se pro účely daní z příjmů rozumí</w:t>
      </w:r>
    </w:p>
    <w:p w14:paraId="6F699956" w14:textId="77777777" w:rsidR="000839A4" w:rsidRPr="000839A4" w:rsidRDefault="000839A4" w:rsidP="000839A4">
      <w:pPr>
        <w:tabs>
          <w:tab w:val="left" w:pos="357"/>
        </w:tabs>
        <w:spacing w:before="0"/>
        <w:ind w:left="714" w:hanging="357"/>
        <w:rPr>
          <w:szCs w:val="24"/>
        </w:rPr>
      </w:pPr>
      <w:r w:rsidRPr="000839A4">
        <w:rPr>
          <w:szCs w:val="24"/>
        </w:rPr>
        <w:tab/>
        <w:t>1.</w:t>
      </w:r>
      <w:r w:rsidRPr="000839A4">
        <w:rPr>
          <w:szCs w:val="24"/>
        </w:rPr>
        <w:tab/>
        <w:t>stravování poskytované jako nepeněžní plnění ke spotřebě na pracovišti zaměstnance nebo v rámci stravování zajišťovaného prostřednictvím jiného subjektu než zaměstnavatele a</w:t>
      </w:r>
    </w:p>
    <w:p w14:paraId="412C7B84" w14:textId="77777777" w:rsidR="000839A4" w:rsidRPr="000839A4" w:rsidRDefault="000839A4" w:rsidP="000839A4">
      <w:pPr>
        <w:tabs>
          <w:tab w:val="left" w:pos="357"/>
        </w:tabs>
        <w:spacing w:before="0"/>
        <w:ind w:left="714" w:hanging="357"/>
        <w:rPr>
          <w:szCs w:val="24"/>
        </w:rPr>
      </w:pPr>
      <w:r w:rsidRPr="000839A4">
        <w:rPr>
          <w:szCs w:val="24"/>
        </w:rPr>
        <w:t xml:space="preserve">2. </w:t>
      </w:r>
      <w:r w:rsidRPr="000839A4">
        <w:rPr>
          <w:szCs w:val="24"/>
        </w:rPr>
        <w:tab/>
        <w:t>peněžitý příspěvek na stravování,</w:t>
      </w:r>
    </w:p>
    <w:p w14:paraId="628B59C8" w14:textId="77777777" w:rsidR="000839A4" w:rsidRPr="000839A4" w:rsidRDefault="000839A4" w:rsidP="000839A4">
      <w:pPr>
        <w:tabs>
          <w:tab w:val="left" w:pos="357"/>
        </w:tabs>
        <w:spacing w:before="0"/>
        <w:ind w:left="357" w:hanging="357"/>
        <w:rPr>
          <w:szCs w:val="24"/>
        </w:rPr>
      </w:pPr>
      <w:r w:rsidRPr="000839A4">
        <w:rPr>
          <w:szCs w:val="24"/>
        </w:rPr>
        <w:t>c)</w:t>
      </w:r>
      <w:r w:rsidRPr="000839A4">
        <w:rPr>
          <w:szCs w:val="24"/>
        </w:rPr>
        <w:tab/>
        <w:t xml:space="preserve">hodnota nealkoholických nápojů poskytovaných jako nepeněžní plnění ze sociálního fondu, ze zisku (příjmu) po jeho zdanění anebo na vrub výdajů (nákladů), které nejsou výdaji (náklady) na dosažení, zajištění a udržení příjmů zaměstnavatelem zaměstnancům ke spotřebě na pracovišti, </w:t>
      </w:r>
    </w:p>
    <w:p w14:paraId="17003DE7" w14:textId="77777777" w:rsidR="000839A4" w:rsidRPr="000839A4" w:rsidRDefault="000839A4" w:rsidP="000839A4">
      <w:pPr>
        <w:tabs>
          <w:tab w:val="left" w:pos="357"/>
        </w:tabs>
        <w:spacing w:before="0"/>
        <w:ind w:left="357" w:hanging="357"/>
        <w:rPr>
          <w:szCs w:val="24"/>
        </w:rPr>
      </w:pPr>
      <w:r w:rsidRPr="000839A4">
        <w:rPr>
          <w:szCs w:val="24"/>
        </w:rPr>
        <w:t>d)</w:t>
      </w:r>
      <w:r w:rsidRPr="000839A4">
        <w:rPr>
          <w:szCs w:val="24"/>
        </w:rPr>
        <w:tab/>
        <w:t>nepeněžní plnění poskytovaná zaměstnavatelem zaměstnanci nebo jeho rodinnému příslušníkovi z fondu kulturních a sociálních potřeb, ze sociálního fondu, ze zisku (příjmu) po jeho zdanění anebo na vrub výdajů (nákladů), které nejsou výdaji (náklady) na dosažení, zajištění a udržení příjmů, v úhrnu do výše poloviny průměrné mzdy za zdaňovací období ve formě</w:t>
      </w:r>
    </w:p>
    <w:p w14:paraId="7F537E23" w14:textId="77777777" w:rsidR="000839A4" w:rsidRPr="000839A4" w:rsidRDefault="000839A4" w:rsidP="000839A4">
      <w:pPr>
        <w:tabs>
          <w:tab w:val="left" w:pos="357"/>
        </w:tabs>
        <w:spacing w:before="0"/>
        <w:ind w:left="714" w:hanging="357"/>
        <w:rPr>
          <w:szCs w:val="24"/>
        </w:rPr>
      </w:pPr>
      <w:r w:rsidRPr="000839A4">
        <w:rPr>
          <w:szCs w:val="24"/>
        </w:rPr>
        <w:t>1.</w:t>
      </w:r>
      <w:r w:rsidRPr="000839A4">
        <w:rPr>
          <w:szCs w:val="24"/>
        </w:rPr>
        <w:tab/>
        <w:t>pořízení zboží nebo služeb zdravotního, léčebného, hygienického a obdobného charakteru od zdravotnických zařízení, pořízení zdravotnických prostředků na lékařský předpis, použití vzdělávacích nebo rekreačních zařízení nebo poskytnutí rekreace nebo zájezdu,</w:t>
      </w:r>
    </w:p>
    <w:p w14:paraId="411AFFE6" w14:textId="77777777" w:rsidR="000839A4" w:rsidRPr="000839A4" w:rsidRDefault="000839A4" w:rsidP="000839A4">
      <w:pPr>
        <w:tabs>
          <w:tab w:val="left" w:pos="357"/>
        </w:tabs>
        <w:spacing w:before="0"/>
        <w:ind w:left="714" w:hanging="357"/>
        <w:rPr>
          <w:szCs w:val="24"/>
        </w:rPr>
      </w:pPr>
      <w:r w:rsidRPr="000839A4">
        <w:rPr>
          <w:szCs w:val="24"/>
        </w:rPr>
        <w:t>2.</w:t>
      </w:r>
      <w:r w:rsidRPr="000839A4">
        <w:rPr>
          <w:szCs w:val="24"/>
        </w:rPr>
        <w:tab/>
        <w:t>použití zařízení péče o děti předškolního věku včetně mateřské školy podle školského zákona, knihovny zaměstnavatele, tělovýchovných a sportovních zařízení,</w:t>
      </w:r>
    </w:p>
    <w:p w14:paraId="43D7E5B5" w14:textId="77777777" w:rsidR="000839A4" w:rsidRPr="000839A4" w:rsidRDefault="000839A4" w:rsidP="000839A4">
      <w:pPr>
        <w:tabs>
          <w:tab w:val="left" w:pos="357"/>
        </w:tabs>
        <w:spacing w:before="0"/>
        <w:ind w:left="714" w:hanging="357"/>
        <w:rPr>
          <w:szCs w:val="24"/>
        </w:rPr>
      </w:pPr>
      <w:r w:rsidRPr="000839A4">
        <w:rPr>
          <w:szCs w:val="24"/>
        </w:rPr>
        <w:t>3.</w:t>
      </w:r>
      <w:r w:rsidRPr="000839A4">
        <w:rPr>
          <w:szCs w:val="24"/>
        </w:rPr>
        <w:tab/>
        <w:t>příspěvku na kulturní nebo sportovní akce,</w:t>
      </w:r>
    </w:p>
    <w:p w14:paraId="4C9431B6" w14:textId="77777777" w:rsidR="000839A4" w:rsidRPr="000839A4" w:rsidRDefault="000839A4" w:rsidP="000839A4">
      <w:pPr>
        <w:tabs>
          <w:tab w:val="left" w:pos="357"/>
        </w:tabs>
        <w:spacing w:before="0"/>
        <w:ind w:left="714" w:hanging="357"/>
        <w:rPr>
          <w:szCs w:val="24"/>
        </w:rPr>
      </w:pPr>
      <w:r w:rsidRPr="000839A4">
        <w:rPr>
          <w:szCs w:val="24"/>
        </w:rPr>
        <w:t>4.</w:t>
      </w:r>
      <w:r w:rsidRPr="000839A4">
        <w:rPr>
          <w:szCs w:val="24"/>
        </w:rPr>
        <w:tab/>
        <w:t>příspěvku na tištěné knihy, včetně obrázkových knih pro děti, mimo knih, ve kterých reklama přesahuje 50 % plochy,</w:t>
      </w:r>
    </w:p>
    <w:p w14:paraId="6C43EE9A" w14:textId="77777777" w:rsidR="000839A4" w:rsidRPr="000839A4" w:rsidRDefault="000839A4" w:rsidP="000839A4">
      <w:pPr>
        <w:tabs>
          <w:tab w:val="left" w:pos="357"/>
        </w:tabs>
        <w:spacing w:before="0"/>
        <w:ind w:left="357" w:hanging="357"/>
        <w:rPr>
          <w:szCs w:val="24"/>
        </w:rPr>
      </w:pPr>
      <w:r w:rsidRPr="000839A4">
        <w:rPr>
          <w:szCs w:val="24"/>
        </w:rPr>
        <w:t xml:space="preserve">e) zvýhodnění poskytovaná zaměstnavatelem provozujícím veřejnou dopravu osob svým zaměstnancům a jejich rodinným příslušníkům ve formě bezplatných nebo zlevněných jízdenek,  </w:t>
      </w:r>
    </w:p>
    <w:p w14:paraId="052581D6" w14:textId="77777777" w:rsidR="000839A4" w:rsidRPr="000839A4" w:rsidRDefault="000839A4" w:rsidP="000839A4">
      <w:pPr>
        <w:tabs>
          <w:tab w:val="left" w:pos="357"/>
        </w:tabs>
        <w:spacing w:before="0"/>
        <w:ind w:left="357" w:hanging="357"/>
        <w:rPr>
          <w:szCs w:val="24"/>
        </w:rPr>
      </w:pPr>
      <w:r w:rsidRPr="000839A4">
        <w:rPr>
          <w:szCs w:val="24"/>
        </w:rPr>
        <w:t>f)</w:t>
      </w:r>
      <w:r w:rsidRPr="000839A4">
        <w:rPr>
          <w:szCs w:val="24"/>
        </w:rPr>
        <w:tab/>
        <w:t xml:space="preserve">příjmy ze závislé činnosti vykonávané na území České republiky, plynoucí poplatníkům daně z příjmů fyzických osob, kteří jsou daňovými nerezidenty, od zaměstnavatelů se sídlem nebo bydlištěm v zahraničí, pokud časové období související s výkonem této činnosti nepřesáhne 183 dnů v jakémkoliv období 12 měsíců po sobě jdoucích, a to s výjimkou příjmů z </w:t>
      </w:r>
    </w:p>
    <w:p w14:paraId="0AF293D6" w14:textId="77777777" w:rsidR="000839A4" w:rsidRPr="000839A4" w:rsidRDefault="000839A4" w:rsidP="000839A4">
      <w:pPr>
        <w:tabs>
          <w:tab w:val="left" w:pos="357"/>
        </w:tabs>
        <w:spacing w:before="0"/>
        <w:ind w:left="714" w:hanging="357"/>
        <w:rPr>
          <w:szCs w:val="24"/>
        </w:rPr>
      </w:pPr>
      <w:r w:rsidRPr="000839A4">
        <w:rPr>
          <w:szCs w:val="24"/>
        </w:rPr>
        <w:t>1.</w:t>
      </w:r>
      <w:r w:rsidRPr="000839A4">
        <w:rPr>
          <w:szCs w:val="24"/>
        </w:rPr>
        <w:tab/>
        <w:t xml:space="preserve">osobně a veřejně vykonávané činnosti umělce, sportovce, artisty nebo spoluúčinkující osoby a </w:t>
      </w:r>
    </w:p>
    <w:p w14:paraId="171E28D9" w14:textId="2F3C678E" w:rsidR="000839A4" w:rsidRPr="000839A4" w:rsidRDefault="000839A4" w:rsidP="000839A4">
      <w:pPr>
        <w:tabs>
          <w:tab w:val="left" w:pos="357"/>
        </w:tabs>
        <w:spacing w:before="0"/>
        <w:ind w:left="714" w:hanging="357"/>
        <w:rPr>
          <w:szCs w:val="24"/>
        </w:rPr>
      </w:pPr>
      <w:r w:rsidRPr="000839A4">
        <w:rPr>
          <w:szCs w:val="24"/>
        </w:rPr>
        <w:t>2.</w:t>
      </w:r>
      <w:r w:rsidRPr="000839A4">
        <w:rPr>
          <w:szCs w:val="24"/>
        </w:rPr>
        <w:tab/>
        <w:t xml:space="preserve">činnosti vykonávané ve stálé provozovně, </w:t>
      </w:r>
    </w:p>
    <w:p w14:paraId="7B11D7D5" w14:textId="77777777" w:rsidR="000839A4" w:rsidRPr="000839A4" w:rsidRDefault="000839A4" w:rsidP="008F0667">
      <w:pPr>
        <w:pBdr>
          <w:top w:val="single" w:sz="12" w:space="1" w:color="00B050"/>
          <w:left w:val="single" w:sz="12" w:space="4" w:color="00B050"/>
          <w:bottom w:val="single" w:sz="12" w:space="1" w:color="00B050"/>
          <w:right w:val="single" w:sz="12" w:space="4" w:color="00B050"/>
        </w:pBdr>
        <w:tabs>
          <w:tab w:val="left" w:pos="357"/>
        </w:tabs>
        <w:spacing w:before="0"/>
        <w:ind w:left="284" w:hanging="284"/>
        <w:rPr>
          <w:szCs w:val="24"/>
        </w:rPr>
      </w:pPr>
      <w:r w:rsidRPr="000839A4">
        <w:rPr>
          <w:szCs w:val="24"/>
        </w:rPr>
        <w:lastRenderedPageBreak/>
        <w:t>g)</w:t>
      </w:r>
      <w:r w:rsidRPr="000839A4">
        <w:rPr>
          <w:szCs w:val="24"/>
        </w:rPr>
        <w:tab/>
      </w:r>
      <w:r w:rsidRPr="000839A4">
        <w:rPr>
          <w:b/>
          <w:color w:val="00B050"/>
          <w:szCs w:val="24"/>
        </w:rPr>
        <w:t xml:space="preserve">nepeněžní </w:t>
      </w:r>
      <w:r w:rsidRPr="000839A4">
        <w:rPr>
          <w:szCs w:val="24"/>
        </w:rPr>
        <w:t xml:space="preserve">příjmy plynoucí z účasti zaměstnance nebo jeho rodinného příslušníka na </w:t>
      </w:r>
      <w:r w:rsidRPr="000839A4">
        <w:rPr>
          <w:strike/>
          <w:color w:val="00B050"/>
          <w:szCs w:val="24"/>
        </w:rPr>
        <w:t>sportovní nebo kulturní</w:t>
      </w:r>
      <w:r w:rsidRPr="000839A4">
        <w:rPr>
          <w:szCs w:val="24"/>
        </w:rPr>
        <w:t xml:space="preserve"> </w:t>
      </w:r>
      <w:r w:rsidRPr="000839A4">
        <w:rPr>
          <w:b/>
          <w:color w:val="00B050"/>
          <w:szCs w:val="24"/>
        </w:rPr>
        <w:t>společenské</w:t>
      </w:r>
      <w:r w:rsidRPr="000839A4">
        <w:rPr>
          <w:color w:val="00B050"/>
          <w:szCs w:val="24"/>
        </w:rPr>
        <w:t xml:space="preserve"> </w:t>
      </w:r>
      <w:r w:rsidRPr="000839A4">
        <w:rPr>
          <w:szCs w:val="24"/>
        </w:rPr>
        <w:t>akci</w:t>
      </w:r>
      <w:r w:rsidRPr="000839A4">
        <w:rPr>
          <w:b/>
          <w:color w:val="00B050"/>
          <w:szCs w:val="24"/>
        </w:rPr>
        <w:t>,</w:t>
      </w:r>
      <w:r w:rsidRPr="000839A4">
        <w:rPr>
          <w:b/>
          <w:noProof/>
          <w:color w:val="FF0000"/>
          <w:szCs w:val="24"/>
        </w:rPr>
        <w:t xml:space="preserve"> </w:t>
      </w:r>
      <w:r w:rsidRPr="000839A4">
        <w:rPr>
          <w:b/>
          <w:noProof/>
          <w:color w:val="00B050"/>
          <w:szCs w:val="24"/>
        </w:rPr>
        <w:t>včetně té s kulturním nebo společenským prvkem,</w:t>
      </w:r>
      <w:r w:rsidRPr="000839A4">
        <w:rPr>
          <w:szCs w:val="24"/>
        </w:rPr>
        <w:t xml:space="preserve"> pořádané zaměstnavatelem pro omezený okruh účastníků, pokud vzhledem k její povaze je pořádání takové akce zaměstnavateli obvyklé a její forma a rozsah jsou přiměřené,</w:t>
      </w:r>
      <w:r w:rsidRPr="000839A4">
        <w:rPr>
          <w:b/>
          <w:bCs/>
          <w:strike/>
          <w:noProof/>
          <w:color w:val="00B050"/>
          <w:szCs w:val="24"/>
        </w:rPr>
        <w:t xml:space="preserve"> </w:t>
      </w:r>
    </w:p>
    <w:p w14:paraId="7691FFC2" w14:textId="77777777" w:rsidR="000839A4" w:rsidRPr="000839A4" w:rsidRDefault="000839A4" w:rsidP="000839A4">
      <w:pPr>
        <w:tabs>
          <w:tab w:val="left" w:pos="357"/>
        </w:tabs>
        <w:spacing w:before="0"/>
        <w:ind w:left="357" w:hanging="357"/>
        <w:rPr>
          <w:szCs w:val="24"/>
        </w:rPr>
      </w:pPr>
      <w:r w:rsidRPr="000839A4">
        <w:rPr>
          <w:szCs w:val="24"/>
        </w:rPr>
        <w:t>h)</w:t>
      </w:r>
      <w:r w:rsidRPr="000839A4">
        <w:rPr>
          <w:b/>
          <w:color w:val="808080" w:themeColor="background1" w:themeShade="80"/>
          <w:szCs w:val="24"/>
        </w:rPr>
        <w:t xml:space="preserve"> </w:t>
      </w:r>
      <w:r w:rsidRPr="000839A4">
        <w:rPr>
          <w:szCs w:val="24"/>
        </w:rPr>
        <w:t xml:space="preserve">peněžní plnění za výstrojní a proviantní náležitosti poskytované příslušníkům ozbrojených sil a naturální náležitosti poskytované příslušníkům bezpečnostních sborů podle zvláštních právních </w:t>
      </w:r>
      <w:proofErr w:type="gramStart"/>
      <w:r w:rsidRPr="000839A4">
        <w:rPr>
          <w:szCs w:val="24"/>
        </w:rPr>
        <w:t>předpisů,</w:t>
      </w:r>
      <w:r w:rsidRPr="000839A4">
        <w:rPr>
          <w:szCs w:val="24"/>
          <w:vertAlign w:val="superscript"/>
        </w:rPr>
        <w:t xml:space="preserve">3) </w:t>
      </w:r>
      <w:r w:rsidRPr="000839A4">
        <w:rPr>
          <w:szCs w:val="24"/>
        </w:rPr>
        <w:t>zvláštní</w:t>
      </w:r>
      <w:proofErr w:type="gramEnd"/>
      <w:r w:rsidRPr="000839A4">
        <w:rPr>
          <w:szCs w:val="24"/>
        </w:rPr>
        <w:t xml:space="preserve"> požitky poskytované příslušníkům bezpečnostních sborů podle zvláštního právního předpisu</w:t>
      </w:r>
      <w:r w:rsidRPr="000839A4">
        <w:rPr>
          <w:szCs w:val="24"/>
          <w:vertAlign w:val="superscript"/>
        </w:rPr>
        <w:footnoteReference w:customMarkFollows="1" w:id="126"/>
        <w:t>6b)</w:t>
      </w:r>
      <w:r w:rsidRPr="000839A4">
        <w:rPr>
          <w:szCs w:val="24"/>
        </w:rPr>
        <w:t xml:space="preserve"> a náhrada majetkové újmy podle zvláštního právního předpisu</w:t>
      </w:r>
      <w:r w:rsidRPr="000839A4">
        <w:rPr>
          <w:szCs w:val="24"/>
          <w:vertAlign w:val="superscript"/>
        </w:rPr>
        <w:footnoteReference w:customMarkFollows="1" w:id="127"/>
        <w:t>6c)</w:t>
      </w:r>
      <w:r w:rsidRPr="000839A4">
        <w:rPr>
          <w:szCs w:val="24"/>
        </w:rPr>
        <w:t xml:space="preserve">. </w:t>
      </w:r>
    </w:p>
    <w:p w14:paraId="5A0DBF91" w14:textId="77777777" w:rsidR="000839A4" w:rsidRPr="000839A4" w:rsidRDefault="000839A4" w:rsidP="000839A4">
      <w:pPr>
        <w:tabs>
          <w:tab w:val="left" w:pos="357"/>
        </w:tabs>
        <w:spacing w:before="0"/>
        <w:ind w:left="357" w:hanging="357"/>
        <w:rPr>
          <w:szCs w:val="24"/>
        </w:rPr>
      </w:pPr>
      <w:r w:rsidRPr="000839A4">
        <w:rPr>
          <w:szCs w:val="24"/>
        </w:rPr>
        <w:t>ch)</w:t>
      </w:r>
      <w:r w:rsidRPr="000839A4">
        <w:rPr>
          <w:b/>
          <w:szCs w:val="24"/>
        </w:rPr>
        <w:t xml:space="preserve"> </w:t>
      </w:r>
      <w:r w:rsidRPr="000839A4">
        <w:rPr>
          <w:szCs w:val="24"/>
        </w:rPr>
        <w:t xml:space="preserve">náhrady za ztrátu na služebním příjmu poskytované příslušníkům bezpečnostních sborů podle právních předpisů účinných do 31. prosince 2005, </w:t>
      </w:r>
    </w:p>
    <w:p w14:paraId="5C7B14E3" w14:textId="77777777" w:rsidR="000839A4" w:rsidRPr="000839A4" w:rsidRDefault="000839A4" w:rsidP="000839A4">
      <w:pPr>
        <w:tabs>
          <w:tab w:val="left" w:pos="357"/>
        </w:tabs>
        <w:spacing w:before="0"/>
        <w:ind w:left="357" w:hanging="357"/>
        <w:rPr>
          <w:szCs w:val="24"/>
        </w:rPr>
      </w:pPr>
      <w:r w:rsidRPr="000839A4">
        <w:rPr>
          <w:szCs w:val="24"/>
        </w:rPr>
        <w:t>i)</w:t>
      </w:r>
      <w:r w:rsidRPr="000839A4">
        <w:rPr>
          <w:b/>
          <w:szCs w:val="24"/>
        </w:rPr>
        <w:tab/>
      </w:r>
      <w:r w:rsidRPr="000839A4">
        <w:rPr>
          <w:szCs w:val="24"/>
        </w:rPr>
        <w:t xml:space="preserve">hodnota přechodného ubytování, nejde-li o ubytování při pracovní cestě, poskytovaná jako nepeněžní plnění zaměstnavatelem zaměstnancům v souvislosti s výkonem práce, pokud obec přechodného ubytování není shodná s obcí, kde má zaměstnanec bydliště, a to maximálně do výše 3 500 Kč měsíčně, </w:t>
      </w:r>
    </w:p>
    <w:p w14:paraId="78DD21ED" w14:textId="77777777" w:rsidR="000839A4" w:rsidRPr="000839A4" w:rsidRDefault="000839A4" w:rsidP="000839A4">
      <w:pPr>
        <w:tabs>
          <w:tab w:val="left" w:pos="357"/>
        </w:tabs>
        <w:spacing w:before="0"/>
        <w:ind w:left="357" w:hanging="357"/>
        <w:rPr>
          <w:szCs w:val="24"/>
        </w:rPr>
      </w:pPr>
      <w:r w:rsidRPr="000839A4">
        <w:rPr>
          <w:szCs w:val="24"/>
        </w:rPr>
        <w:t>j)</w:t>
      </w:r>
      <w:r w:rsidRPr="000839A4">
        <w:rPr>
          <w:color w:val="808080" w:themeColor="background1" w:themeShade="80"/>
          <w:szCs w:val="24"/>
        </w:rPr>
        <w:t xml:space="preserve"> </w:t>
      </w:r>
      <w:r w:rsidRPr="000839A4">
        <w:rPr>
          <w:color w:val="808080" w:themeColor="background1" w:themeShade="80"/>
          <w:szCs w:val="24"/>
        </w:rPr>
        <w:tab/>
      </w:r>
      <w:r w:rsidRPr="000839A4">
        <w:rPr>
          <w:szCs w:val="24"/>
        </w:rPr>
        <w:t xml:space="preserve">náhrada za ztrátu na důchodu přiznaná podle zákoníku práce za dobu před 1. lednem 1989 a vyplácená po 31. prosinci 1992, </w:t>
      </w:r>
    </w:p>
    <w:p w14:paraId="566B7CA7" w14:textId="77777777" w:rsidR="000839A4" w:rsidRPr="000839A4" w:rsidRDefault="000839A4" w:rsidP="000839A4">
      <w:pPr>
        <w:tabs>
          <w:tab w:val="left" w:pos="357"/>
        </w:tabs>
        <w:spacing w:before="0"/>
        <w:ind w:left="357" w:hanging="357"/>
        <w:rPr>
          <w:szCs w:val="24"/>
        </w:rPr>
      </w:pPr>
      <w:r w:rsidRPr="000839A4">
        <w:rPr>
          <w:szCs w:val="24"/>
        </w:rPr>
        <w:t>k)</w:t>
      </w:r>
      <w:r w:rsidRPr="000839A4">
        <w:rPr>
          <w:b/>
          <w:szCs w:val="24"/>
        </w:rPr>
        <w:t xml:space="preserve"> </w:t>
      </w:r>
      <w:r w:rsidRPr="000839A4">
        <w:rPr>
          <w:b/>
          <w:color w:val="808080" w:themeColor="background1" w:themeShade="80"/>
          <w:szCs w:val="24"/>
        </w:rPr>
        <w:tab/>
      </w:r>
      <w:r w:rsidRPr="000839A4">
        <w:rPr>
          <w:szCs w:val="24"/>
        </w:rPr>
        <w:t xml:space="preserve">příjmy za práci žáků a studentů z praktického vyučování a praktické přípravy, </w:t>
      </w:r>
    </w:p>
    <w:p w14:paraId="749A00BC" w14:textId="77777777" w:rsidR="000839A4" w:rsidRPr="000839A4" w:rsidRDefault="000839A4" w:rsidP="000839A4">
      <w:pPr>
        <w:tabs>
          <w:tab w:val="left" w:pos="357"/>
        </w:tabs>
        <w:spacing w:before="0"/>
        <w:ind w:left="357" w:hanging="357"/>
        <w:rPr>
          <w:strike/>
          <w:color w:val="808080" w:themeColor="background1" w:themeShade="80"/>
          <w:szCs w:val="24"/>
        </w:rPr>
      </w:pPr>
      <w:r w:rsidRPr="000839A4">
        <w:rPr>
          <w:szCs w:val="24"/>
        </w:rPr>
        <w:t>l)</w:t>
      </w:r>
      <w:r w:rsidRPr="000839A4">
        <w:rPr>
          <w:szCs w:val="24"/>
        </w:rPr>
        <w:tab/>
        <w:t>zvláštní příplatek nebo příplatek za službu v zahraničí poskytovaný podle zvláštních právních předpisů vojákům a příslušníkům bezpečnostních sborů</w:t>
      </w:r>
      <w:r w:rsidRPr="000839A4">
        <w:rPr>
          <w:szCs w:val="24"/>
          <w:vertAlign w:val="superscript"/>
        </w:rPr>
        <w:footnoteReference w:customMarkFollows="1" w:id="128"/>
        <w:t>6e)</w:t>
      </w:r>
      <w:r w:rsidRPr="000839A4">
        <w:rPr>
          <w:szCs w:val="24"/>
        </w:rPr>
        <w:t xml:space="preserve"> vyslaným v rámci jednotky mnohonárodních sil nebo mezinárodních bezpečnostních sborů mimo území České republiky po dobu působení v zahraničí, </w:t>
      </w:r>
    </w:p>
    <w:p w14:paraId="531B25FB" w14:textId="77777777" w:rsidR="000839A4" w:rsidRPr="000839A4" w:rsidRDefault="000839A4" w:rsidP="000839A4">
      <w:pPr>
        <w:tabs>
          <w:tab w:val="left" w:pos="357"/>
        </w:tabs>
        <w:spacing w:before="0"/>
        <w:ind w:left="357" w:hanging="357"/>
        <w:rPr>
          <w:szCs w:val="24"/>
        </w:rPr>
      </w:pPr>
      <w:r w:rsidRPr="000839A4">
        <w:rPr>
          <w:szCs w:val="24"/>
        </w:rPr>
        <w:t>m)</w:t>
      </w:r>
      <w:r w:rsidRPr="000839A4">
        <w:rPr>
          <w:szCs w:val="24"/>
        </w:rPr>
        <w:tab/>
        <w:t>příjem v podobě příspěvku uhrazeného zaměstnavatelem na daňově podporované produkty spoření na stáří jeho zaměstnance nebo na daňově podporované pojištění dlouhodobé péče, jehož pojistníkem je jeho zaměstnanec, do úhrnné výše 50 000 Kč ročně,</w:t>
      </w:r>
    </w:p>
    <w:p w14:paraId="538CE76C" w14:textId="77777777" w:rsidR="000839A4" w:rsidRPr="000839A4" w:rsidRDefault="000839A4" w:rsidP="000839A4">
      <w:pPr>
        <w:tabs>
          <w:tab w:val="left" w:pos="357"/>
        </w:tabs>
        <w:spacing w:before="0"/>
        <w:ind w:left="357" w:hanging="357"/>
        <w:rPr>
          <w:szCs w:val="24"/>
        </w:rPr>
      </w:pPr>
      <w:r w:rsidRPr="000839A4">
        <w:rPr>
          <w:szCs w:val="24"/>
        </w:rPr>
        <w:t xml:space="preserve">n) </w:t>
      </w:r>
      <w:r w:rsidRPr="000839A4">
        <w:rPr>
          <w:szCs w:val="24"/>
        </w:rPr>
        <w:tab/>
        <w:t>naturální plnění poskytované podle zvláštních právních předpisů</w:t>
      </w:r>
      <w:bookmarkStart w:id="13" w:name="_Ref535916569"/>
      <w:r w:rsidRPr="000839A4">
        <w:rPr>
          <w:szCs w:val="24"/>
          <w:vertAlign w:val="superscript"/>
        </w:rPr>
        <w:footnoteReference w:customMarkFollows="1" w:id="129"/>
        <w:t>6g)</w:t>
      </w:r>
      <w:bookmarkEnd w:id="13"/>
      <w:r w:rsidRPr="000839A4">
        <w:rPr>
          <w:szCs w:val="24"/>
        </w:rPr>
        <w:t xml:space="preserve"> představitelům státní moci a některých státních orgánů a soudcům </w:t>
      </w:r>
      <w:r w:rsidRPr="000839A4">
        <w:rPr>
          <w:noProof/>
          <w:szCs w:val="24"/>
        </w:rPr>
        <w:t>a bývalému prezidentu republiky podle zákona upravujícího zabezpečení prezidenta republiky po skončení funkce</w:t>
      </w:r>
      <w:r w:rsidRPr="000839A4">
        <w:rPr>
          <w:szCs w:val="24"/>
        </w:rPr>
        <w:t xml:space="preserve">, </w:t>
      </w:r>
    </w:p>
    <w:p w14:paraId="5F9700E2" w14:textId="77777777" w:rsidR="000839A4" w:rsidRPr="000839A4" w:rsidRDefault="000839A4" w:rsidP="000839A4">
      <w:pPr>
        <w:tabs>
          <w:tab w:val="left" w:pos="357"/>
        </w:tabs>
        <w:spacing w:before="0"/>
        <w:ind w:left="357" w:hanging="357"/>
        <w:rPr>
          <w:szCs w:val="24"/>
        </w:rPr>
      </w:pPr>
      <w:r w:rsidRPr="000839A4">
        <w:rPr>
          <w:szCs w:val="24"/>
        </w:rPr>
        <w:t>o)</w:t>
      </w:r>
      <w:r w:rsidRPr="000839A4">
        <w:rPr>
          <w:b/>
          <w:color w:val="808080" w:themeColor="background1" w:themeShade="80"/>
          <w:szCs w:val="24"/>
        </w:rPr>
        <w:t xml:space="preserve"> </w:t>
      </w:r>
      <w:r w:rsidRPr="000839A4">
        <w:rPr>
          <w:szCs w:val="24"/>
        </w:rPr>
        <w:t>náhrada prokázaných výdajů poskytovaná podle zvláštních právních předpisů</w:t>
      </w:r>
      <w:r w:rsidRPr="000839A4">
        <w:rPr>
          <w:szCs w:val="24"/>
          <w:vertAlign w:val="superscript"/>
        </w:rPr>
        <w:t>6g)</w:t>
      </w:r>
      <w:r w:rsidRPr="000839A4">
        <w:rPr>
          <w:szCs w:val="24"/>
        </w:rPr>
        <w:t xml:space="preserve"> představitelům státní moci a některých státních orgánů a soudcům, jde-li o </w:t>
      </w:r>
    </w:p>
    <w:p w14:paraId="3F09D876" w14:textId="77777777" w:rsidR="000839A4" w:rsidRPr="000839A4" w:rsidRDefault="000839A4" w:rsidP="000839A4">
      <w:pPr>
        <w:tabs>
          <w:tab w:val="left" w:pos="357"/>
        </w:tabs>
        <w:spacing w:before="0"/>
        <w:ind w:left="714" w:hanging="357"/>
        <w:rPr>
          <w:szCs w:val="24"/>
        </w:rPr>
      </w:pPr>
      <w:r w:rsidRPr="000839A4">
        <w:rPr>
          <w:szCs w:val="24"/>
        </w:rPr>
        <w:t>1.</w:t>
      </w:r>
      <w:r w:rsidRPr="000839A4">
        <w:rPr>
          <w:szCs w:val="24"/>
        </w:rPr>
        <w:tab/>
        <w:t xml:space="preserve">výdaje na leteckou dopravu při tuzemských cestách spojených s výkonem funkce (dále jen „tuzemská cesta“), </w:t>
      </w:r>
    </w:p>
    <w:p w14:paraId="77C1F218" w14:textId="77777777" w:rsidR="000839A4" w:rsidRPr="000839A4" w:rsidRDefault="000839A4" w:rsidP="000839A4">
      <w:pPr>
        <w:tabs>
          <w:tab w:val="left" w:pos="357"/>
        </w:tabs>
        <w:spacing w:before="0"/>
        <w:ind w:left="714" w:hanging="357"/>
        <w:rPr>
          <w:szCs w:val="24"/>
        </w:rPr>
      </w:pPr>
      <w:r w:rsidRPr="000839A4">
        <w:rPr>
          <w:szCs w:val="24"/>
        </w:rPr>
        <w:t>2.</w:t>
      </w:r>
      <w:r w:rsidRPr="000839A4">
        <w:rPr>
          <w:szCs w:val="24"/>
        </w:rPr>
        <w:tab/>
        <w:t xml:space="preserve">výdaje na dopravu při zahraničních cestách spojených s výkonem funkce (dále jen „zahraniční cesta“), </w:t>
      </w:r>
    </w:p>
    <w:p w14:paraId="66716AA4" w14:textId="77777777" w:rsidR="000839A4" w:rsidRPr="000839A4" w:rsidRDefault="000839A4" w:rsidP="000839A4">
      <w:pPr>
        <w:tabs>
          <w:tab w:val="left" w:pos="357"/>
        </w:tabs>
        <w:spacing w:before="0"/>
        <w:ind w:left="714" w:hanging="357"/>
        <w:rPr>
          <w:szCs w:val="24"/>
        </w:rPr>
      </w:pPr>
      <w:r w:rsidRPr="000839A4">
        <w:rPr>
          <w:szCs w:val="24"/>
        </w:rPr>
        <w:t>3.</w:t>
      </w:r>
      <w:r w:rsidRPr="000839A4">
        <w:rPr>
          <w:szCs w:val="24"/>
        </w:rPr>
        <w:tab/>
        <w:t xml:space="preserve">výdaje na stravování při tuzemských cestách, </w:t>
      </w:r>
    </w:p>
    <w:p w14:paraId="28151362" w14:textId="77777777" w:rsidR="000839A4" w:rsidRPr="000839A4" w:rsidRDefault="000839A4" w:rsidP="000839A4">
      <w:pPr>
        <w:tabs>
          <w:tab w:val="left" w:pos="357"/>
        </w:tabs>
        <w:spacing w:before="0"/>
        <w:ind w:left="714" w:hanging="357"/>
        <w:rPr>
          <w:szCs w:val="24"/>
        </w:rPr>
      </w:pPr>
      <w:r w:rsidRPr="000839A4">
        <w:rPr>
          <w:szCs w:val="24"/>
        </w:rPr>
        <w:t>4.</w:t>
      </w:r>
      <w:r w:rsidRPr="000839A4">
        <w:rPr>
          <w:szCs w:val="24"/>
        </w:rPr>
        <w:tab/>
        <w:t xml:space="preserve">výdaje na stravování a některé další výdaje při zahraničních cestách, </w:t>
      </w:r>
    </w:p>
    <w:p w14:paraId="4B956F77" w14:textId="77777777" w:rsidR="000839A4" w:rsidRPr="000839A4" w:rsidRDefault="000839A4" w:rsidP="000839A4">
      <w:pPr>
        <w:tabs>
          <w:tab w:val="left" w:pos="357"/>
        </w:tabs>
        <w:spacing w:before="0"/>
        <w:ind w:left="714" w:hanging="357"/>
        <w:rPr>
          <w:szCs w:val="24"/>
        </w:rPr>
      </w:pPr>
      <w:r w:rsidRPr="000839A4">
        <w:rPr>
          <w:szCs w:val="24"/>
        </w:rPr>
        <w:t>5.</w:t>
      </w:r>
      <w:r w:rsidRPr="000839A4">
        <w:rPr>
          <w:szCs w:val="24"/>
        </w:rPr>
        <w:tab/>
        <w:t xml:space="preserve">výdaje na ubytování při tuzemských cestách, </w:t>
      </w:r>
    </w:p>
    <w:p w14:paraId="3EE21267" w14:textId="77777777" w:rsidR="000839A4" w:rsidRPr="000839A4" w:rsidRDefault="000839A4" w:rsidP="000839A4">
      <w:pPr>
        <w:tabs>
          <w:tab w:val="left" w:pos="357"/>
        </w:tabs>
        <w:spacing w:before="0"/>
        <w:ind w:left="714" w:hanging="357"/>
        <w:rPr>
          <w:szCs w:val="24"/>
        </w:rPr>
      </w:pPr>
      <w:r w:rsidRPr="000839A4">
        <w:rPr>
          <w:szCs w:val="24"/>
        </w:rPr>
        <w:t>6.</w:t>
      </w:r>
      <w:r w:rsidRPr="000839A4">
        <w:rPr>
          <w:szCs w:val="24"/>
        </w:rPr>
        <w:tab/>
        <w:t xml:space="preserve">výdaje na ubytování při zahraničních cestách, </w:t>
      </w:r>
    </w:p>
    <w:p w14:paraId="01E8E206" w14:textId="77777777" w:rsidR="000839A4" w:rsidRPr="000839A4" w:rsidRDefault="000839A4" w:rsidP="000839A4">
      <w:pPr>
        <w:tabs>
          <w:tab w:val="left" w:pos="357"/>
        </w:tabs>
        <w:spacing w:before="0"/>
        <w:ind w:left="714" w:hanging="357"/>
        <w:rPr>
          <w:szCs w:val="24"/>
        </w:rPr>
      </w:pPr>
      <w:r w:rsidRPr="000839A4">
        <w:rPr>
          <w:szCs w:val="24"/>
        </w:rPr>
        <w:t>7.</w:t>
      </w:r>
      <w:r w:rsidRPr="000839A4">
        <w:rPr>
          <w:szCs w:val="24"/>
        </w:rPr>
        <w:tab/>
        <w:t xml:space="preserve">výdaje na přechodné ubytování v místě sídla orgánu, v němž vykonává funkci, </w:t>
      </w:r>
    </w:p>
    <w:p w14:paraId="5E33A32B" w14:textId="77777777" w:rsidR="000839A4" w:rsidRPr="000839A4" w:rsidRDefault="000839A4" w:rsidP="000839A4">
      <w:pPr>
        <w:tabs>
          <w:tab w:val="left" w:pos="357"/>
        </w:tabs>
        <w:spacing w:before="0"/>
        <w:ind w:left="714" w:hanging="357"/>
        <w:rPr>
          <w:szCs w:val="24"/>
        </w:rPr>
      </w:pPr>
      <w:r w:rsidRPr="000839A4">
        <w:rPr>
          <w:szCs w:val="24"/>
        </w:rPr>
        <w:lastRenderedPageBreak/>
        <w:t>8.</w:t>
      </w:r>
      <w:r w:rsidRPr="000839A4">
        <w:rPr>
          <w:szCs w:val="24"/>
        </w:rPr>
        <w:tab/>
        <w:t xml:space="preserve">výdaje na odborné a administrativní práce, </w:t>
      </w:r>
    </w:p>
    <w:p w14:paraId="7E07A227" w14:textId="77777777" w:rsidR="000839A4" w:rsidRPr="000839A4" w:rsidRDefault="000839A4" w:rsidP="000839A4">
      <w:pPr>
        <w:tabs>
          <w:tab w:val="left" w:pos="357"/>
        </w:tabs>
        <w:spacing w:before="0"/>
        <w:ind w:left="714" w:hanging="357"/>
        <w:rPr>
          <w:szCs w:val="24"/>
        </w:rPr>
      </w:pPr>
      <w:r w:rsidRPr="000839A4">
        <w:rPr>
          <w:szCs w:val="24"/>
        </w:rPr>
        <w:t>9.</w:t>
      </w:r>
      <w:r w:rsidRPr="000839A4">
        <w:rPr>
          <w:szCs w:val="24"/>
        </w:rPr>
        <w:tab/>
        <w:t xml:space="preserve">výdaje na činnost průvodce nebo osobního asistenta, </w:t>
      </w:r>
    </w:p>
    <w:p w14:paraId="05E4BAD7" w14:textId="77777777" w:rsidR="000839A4" w:rsidRPr="000839A4" w:rsidRDefault="000839A4" w:rsidP="000839A4">
      <w:pPr>
        <w:tabs>
          <w:tab w:val="left" w:pos="357"/>
        </w:tabs>
        <w:spacing w:before="0"/>
        <w:ind w:left="714" w:hanging="357"/>
        <w:rPr>
          <w:szCs w:val="24"/>
        </w:rPr>
      </w:pPr>
      <w:r w:rsidRPr="000839A4">
        <w:rPr>
          <w:szCs w:val="24"/>
        </w:rPr>
        <w:t>10.</w:t>
      </w:r>
      <w:r w:rsidRPr="000839A4">
        <w:rPr>
          <w:szCs w:val="24"/>
        </w:rPr>
        <w:tab/>
        <w:t xml:space="preserve">výdaje na dopravu veřejnými hromadnými dopravními prostředky soudci při tuzemských cestách, </w:t>
      </w:r>
    </w:p>
    <w:p w14:paraId="32E08992" w14:textId="77777777" w:rsidR="000839A4" w:rsidRPr="000839A4" w:rsidRDefault="000839A4" w:rsidP="000839A4">
      <w:pPr>
        <w:tabs>
          <w:tab w:val="left" w:pos="357"/>
        </w:tabs>
        <w:spacing w:before="0"/>
        <w:ind w:left="357" w:hanging="357"/>
        <w:rPr>
          <w:szCs w:val="24"/>
        </w:rPr>
      </w:pPr>
      <w:r w:rsidRPr="000839A4">
        <w:rPr>
          <w:szCs w:val="24"/>
        </w:rPr>
        <w:t xml:space="preserve">p) </w:t>
      </w:r>
      <w:r w:rsidRPr="000839A4">
        <w:rPr>
          <w:szCs w:val="24"/>
        </w:rPr>
        <w:tab/>
        <w:t>příjem získaný ve formě náhrady mzdy, platu nebo odměny nebo sníženého platu nebo snížené odměny za dobu dočasné pracovní neschopnosti nebo karantény podle zvláštních právních předpisů</w:t>
      </w:r>
      <w:bookmarkStart w:id="14" w:name="_Ref535916584"/>
      <w:r w:rsidRPr="000839A4">
        <w:rPr>
          <w:szCs w:val="24"/>
          <w:vertAlign w:val="superscript"/>
        </w:rPr>
        <w:footnoteReference w:customMarkFollows="1" w:id="130"/>
        <w:t>47a)</w:t>
      </w:r>
      <w:bookmarkEnd w:id="14"/>
      <w:r w:rsidRPr="000839A4">
        <w:rPr>
          <w:szCs w:val="24"/>
        </w:rPr>
        <w:t>, do výše minimálního nároku určeného zvláštním právním předpisem upravujícím pracovně právní vztahy</w:t>
      </w:r>
      <w:r w:rsidRPr="000839A4">
        <w:rPr>
          <w:szCs w:val="24"/>
          <w:vertAlign w:val="superscript"/>
        </w:rPr>
        <w:footnoteReference w:customMarkFollows="1" w:id="131"/>
        <w:t>47b)47b)</w:t>
      </w:r>
      <w:r w:rsidRPr="000839A4">
        <w:rPr>
          <w:szCs w:val="24"/>
        </w:rPr>
        <w:t xml:space="preserve">, </w:t>
      </w:r>
    </w:p>
    <w:p w14:paraId="6B0A7A1B" w14:textId="77777777" w:rsidR="000839A4" w:rsidRPr="000839A4" w:rsidRDefault="000839A4" w:rsidP="000839A4">
      <w:pPr>
        <w:tabs>
          <w:tab w:val="left" w:pos="357"/>
        </w:tabs>
        <w:spacing w:before="0"/>
        <w:ind w:left="357" w:hanging="357"/>
        <w:rPr>
          <w:szCs w:val="24"/>
        </w:rPr>
      </w:pPr>
      <w:r w:rsidRPr="000839A4">
        <w:rPr>
          <w:szCs w:val="24"/>
        </w:rPr>
        <w:t>q)</w:t>
      </w:r>
      <w:r w:rsidRPr="000839A4">
        <w:rPr>
          <w:b/>
          <w:szCs w:val="24"/>
        </w:rPr>
        <w:t xml:space="preserve"> </w:t>
      </w:r>
      <w:r w:rsidRPr="000839A4">
        <w:rPr>
          <w:b/>
          <w:color w:val="808080" w:themeColor="background1" w:themeShade="80"/>
          <w:szCs w:val="24"/>
        </w:rPr>
        <w:tab/>
      </w:r>
      <w:r w:rsidRPr="000839A4">
        <w:rPr>
          <w:szCs w:val="24"/>
        </w:rPr>
        <w:t>částky vynaložené zaměstnavatelem na úhradu výdajů spojených s výplatou mzdy a se srážkami ze mzdy zaměstnanci, s placením příspěvku na pojistné (připojištění) ve prospěch zaměstnance, jakož i částky vynaložené zaměstnavatelem na úhradu výdajů spojených s poskytováním nepeněžitého plnění zaměstnanci,</w:t>
      </w:r>
    </w:p>
    <w:p w14:paraId="0BFB565F" w14:textId="77777777" w:rsidR="000839A4" w:rsidRPr="000839A4" w:rsidRDefault="000839A4" w:rsidP="000839A4">
      <w:pPr>
        <w:tabs>
          <w:tab w:val="left" w:pos="357"/>
        </w:tabs>
        <w:spacing w:before="0"/>
        <w:ind w:left="357" w:hanging="357"/>
        <w:rPr>
          <w:szCs w:val="24"/>
        </w:rPr>
      </w:pPr>
      <w:r w:rsidRPr="000839A4">
        <w:rPr>
          <w:szCs w:val="24"/>
        </w:rPr>
        <w:t xml:space="preserve">r) </w:t>
      </w:r>
      <w:r w:rsidRPr="000839A4">
        <w:rPr>
          <w:szCs w:val="24"/>
        </w:rPr>
        <w:tab/>
        <w:t>příjem od téhož zaměstnavatele plynoucí zaměstnanci v podobě majetkového prospěchu při bezúročné zápůjčce až do úhrnné výše jistin 300 000 Kč z těchto zápůjček; majetkový prospěch z bezúročných zápůjček přesahujících výši jistin 300 000 Kč vypočtený za jednotlivé kalendářní měsíce se oceňuje podle odstavce 3 a zahrnuje do základu daně alespoň jednou za zdaňovací období, a to nejpozději při zúčtování mzdy za měsíc prosinec,</w:t>
      </w:r>
    </w:p>
    <w:p w14:paraId="442D3807" w14:textId="00B9E2A5" w:rsidR="000839A4" w:rsidRPr="000839A4" w:rsidRDefault="000839A4" w:rsidP="000839A4">
      <w:pPr>
        <w:pBdr>
          <w:top w:val="single" w:sz="12" w:space="1" w:color="00B050"/>
          <w:left w:val="single" w:sz="12" w:space="4" w:color="00B050"/>
          <w:bottom w:val="single" w:sz="12" w:space="1" w:color="00B050"/>
          <w:right w:val="single" w:sz="12" w:space="4" w:color="00B050"/>
        </w:pBdr>
        <w:tabs>
          <w:tab w:val="left" w:pos="357"/>
        </w:tabs>
        <w:spacing w:before="0"/>
        <w:ind w:left="357" w:hanging="357"/>
        <w:rPr>
          <w:b/>
          <w:noProof/>
          <w:color w:val="00B050"/>
          <w:szCs w:val="24"/>
          <w:lang w:val="en-US"/>
        </w:rPr>
      </w:pPr>
      <w:r w:rsidRPr="000839A4">
        <w:rPr>
          <w:szCs w:val="24"/>
        </w:rPr>
        <w:t xml:space="preserve">s) </w:t>
      </w:r>
      <w:r w:rsidRPr="000839A4">
        <w:rPr>
          <w:szCs w:val="24"/>
        </w:rPr>
        <w:tab/>
      </w:r>
      <w:r w:rsidRPr="000839A4">
        <w:rPr>
          <w:noProof/>
          <w:szCs w:val="24"/>
        </w:rPr>
        <w:t>zvláštní odměna za výkon funkce člena okrskové volební komise a člena zvláštní okrskové volební komise</w:t>
      </w:r>
      <w:r w:rsidRPr="000839A4">
        <w:rPr>
          <w:strike/>
          <w:noProof/>
          <w:color w:val="00B050"/>
          <w:szCs w:val="24"/>
          <w:lang w:val="en-US"/>
        </w:rPr>
        <w:t>.</w:t>
      </w:r>
      <w:r w:rsidRPr="000839A4">
        <w:rPr>
          <w:b/>
          <w:noProof/>
          <w:color w:val="00B050"/>
          <w:szCs w:val="24"/>
          <w:lang w:val="en-US"/>
        </w:rPr>
        <w:t>,</w:t>
      </w:r>
    </w:p>
    <w:p w14:paraId="15CB4341" w14:textId="77777777" w:rsidR="000839A4" w:rsidRPr="000839A4" w:rsidRDefault="000839A4" w:rsidP="000839A4">
      <w:pPr>
        <w:pBdr>
          <w:top w:val="single" w:sz="12" w:space="1" w:color="00B050"/>
          <w:left w:val="single" w:sz="12" w:space="4" w:color="00B050"/>
          <w:bottom w:val="single" w:sz="12" w:space="1" w:color="00B050"/>
          <w:right w:val="single" w:sz="12" w:space="4" w:color="00B050"/>
        </w:pBdr>
        <w:tabs>
          <w:tab w:val="left" w:pos="357"/>
        </w:tabs>
        <w:spacing w:before="0"/>
        <w:ind w:left="357" w:hanging="357"/>
        <w:rPr>
          <w:noProof/>
          <w:color w:val="00B050"/>
          <w:szCs w:val="24"/>
        </w:rPr>
      </w:pPr>
      <w:r w:rsidRPr="000839A4">
        <w:rPr>
          <w:b/>
          <w:noProof/>
          <w:color w:val="00B050"/>
          <w:szCs w:val="24"/>
          <w:lang w:val="en-US"/>
        </w:rPr>
        <w:t>t)</w:t>
      </w:r>
      <w:r w:rsidRPr="000839A4">
        <w:rPr>
          <w:b/>
          <w:noProof/>
          <w:color w:val="00B050"/>
          <w:szCs w:val="24"/>
          <w:lang w:val="en-US"/>
        </w:rPr>
        <w:tab/>
        <w:t>příjem zaměstnance ve formě stravování poskytovaného jako nepeněžní plnění určené k přímé spotřebě na pracovišti zaměstnavatele nebo k přímé spotřebě v rámci stravování zajišťovaného prostřednictvím jiného subjektu než zaměstnavatele poskytnutého zaměstnavatelem, u kterého tento zaměstnanec do svého odchodu do starobního důchodu nebo invalidního důchodu pro invaliditu třetího stupně vykonával činnost, ze které plynul příjem ze závislé činnosti, a to v úhrnu za kalendářní den do výše 70 % horní hranice stravného, které lze poskytnout zaměstnancům odměňovaným platem při pracovní cestě trvající 5 až 12 hodin, snížené o výši příjmu poskytnutého tímto zaměstnavatelem osvobozeného podle písmene b).</w:t>
      </w:r>
    </w:p>
    <w:p w14:paraId="31DFDEDE" w14:textId="77777777" w:rsidR="000839A4" w:rsidRPr="000839A4" w:rsidRDefault="000839A4" w:rsidP="000839A4">
      <w:pPr>
        <w:tabs>
          <w:tab w:val="num" w:pos="783"/>
          <w:tab w:val="left" w:pos="851"/>
        </w:tabs>
        <w:spacing w:before="120" w:after="120"/>
        <w:outlineLvl w:val="6"/>
      </w:pPr>
      <w:r w:rsidRPr="000839A4">
        <w:t xml:space="preserve">(10) Funkčními požitky jsou </w:t>
      </w:r>
    </w:p>
    <w:p w14:paraId="7475C4B6"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funkční platy a plnění poskytovaná v souvislosti se současným nebo dřívějším výkonem funkce, jejichž výše se stanoví podle zákona upravujícího platy a další náležitosti spojené s výkonem funkce představitelů státní moci, některých státních orgánů a soudců</w:t>
      </w:r>
      <w:r w:rsidRPr="000839A4">
        <w:rPr>
          <w:szCs w:val="24"/>
          <w:vertAlign w:val="superscript"/>
        </w:rPr>
        <w:footnoteReference w:customMarkFollows="1" w:id="132"/>
        <w:t>138)138)</w:t>
      </w:r>
      <w:r w:rsidRPr="000839A4">
        <w:rPr>
          <w:szCs w:val="24"/>
        </w:rPr>
        <w:t xml:space="preserve"> </w:t>
      </w:r>
      <w:r w:rsidRPr="000839A4">
        <w:rPr>
          <w:noProof/>
          <w:szCs w:val="24"/>
        </w:rPr>
        <w:t>a zákona upravujícího zabezpečení prezidenta republiky po skončení funkce</w:t>
      </w:r>
      <w:r w:rsidRPr="000839A4">
        <w:rPr>
          <w:szCs w:val="24"/>
        </w:rPr>
        <w:t>,</w:t>
      </w:r>
    </w:p>
    <w:p w14:paraId="650860B1"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 xml:space="preserve">odměny za výkon funkce a plnění poskytovaná v souvislosti se současným nebo dřívějším výkonem funkce v </w:t>
      </w:r>
    </w:p>
    <w:p w14:paraId="0D7259C5" w14:textId="77777777" w:rsidR="000839A4" w:rsidRPr="000839A4" w:rsidRDefault="000839A4" w:rsidP="000839A4">
      <w:pPr>
        <w:tabs>
          <w:tab w:val="left" w:pos="357"/>
        </w:tabs>
        <w:spacing w:before="0"/>
        <w:ind w:left="714" w:hanging="357"/>
        <w:rPr>
          <w:szCs w:val="24"/>
        </w:rPr>
      </w:pPr>
      <w:r w:rsidRPr="000839A4">
        <w:rPr>
          <w:szCs w:val="24"/>
        </w:rPr>
        <w:t>1.</w:t>
      </w:r>
      <w:r w:rsidRPr="000839A4">
        <w:rPr>
          <w:szCs w:val="24"/>
        </w:rPr>
        <w:tab/>
        <w:t xml:space="preserve">orgánech obcí a jiných orgánech územní samosprávy, </w:t>
      </w:r>
    </w:p>
    <w:p w14:paraId="76EA8A84" w14:textId="77777777" w:rsidR="000839A4" w:rsidRPr="000839A4" w:rsidRDefault="000839A4" w:rsidP="000839A4">
      <w:pPr>
        <w:tabs>
          <w:tab w:val="left" w:pos="357"/>
        </w:tabs>
        <w:spacing w:before="0"/>
        <w:ind w:left="714" w:hanging="357"/>
        <w:rPr>
          <w:szCs w:val="24"/>
        </w:rPr>
      </w:pPr>
      <w:r w:rsidRPr="000839A4">
        <w:rPr>
          <w:szCs w:val="24"/>
        </w:rPr>
        <w:t>2.</w:t>
      </w:r>
      <w:r w:rsidRPr="000839A4">
        <w:rPr>
          <w:szCs w:val="24"/>
        </w:rPr>
        <w:tab/>
        <w:t xml:space="preserve">státních orgánech, </w:t>
      </w:r>
    </w:p>
    <w:p w14:paraId="1ED0F3C0" w14:textId="77777777" w:rsidR="000839A4" w:rsidRPr="000839A4" w:rsidRDefault="000839A4" w:rsidP="000839A4">
      <w:pPr>
        <w:tabs>
          <w:tab w:val="left" w:pos="357"/>
        </w:tabs>
        <w:spacing w:before="0"/>
        <w:ind w:left="714" w:hanging="357"/>
        <w:rPr>
          <w:szCs w:val="24"/>
        </w:rPr>
      </w:pPr>
      <w:r w:rsidRPr="000839A4">
        <w:rPr>
          <w:szCs w:val="24"/>
        </w:rPr>
        <w:t>3.</w:t>
      </w:r>
      <w:r w:rsidRPr="000839A4">
        <w:rPr>
          <w:szCs w:val="24"/>
        </w:rPr>
        <w:tab/>
        <w:t xml:space="preserve">spolcích a zájmových sdruženích, </w:t>
      </w:r>
    </w:p>
    <w:p w14:paraId="5123C1B9" w14:textId="77777777" w:rsidR="000839A4" w:rsidRPr="000839A4" w:rsidRDefault="000839A4" w:rsidP="000839A4">
      <w:pPr>
        <w:tabs>
          <w:tab w:val="left" w:pos="357"/>
        </w:tabs>
        <w:spacing w:before="0"/>
        <w:ind w:left="714" w:hanging="357"/>
        <w:rPr>
          <w:szCs w:val="24"/>
        </w:rPr>
      </w:pPr>
      <w:r w:rsidRPr="000839A4">
        <w:rPr>
          <w:szCs w:val="24"/>
        </w:rPr>
        <w:lastRenderedPageBreak/>
        <w:t>4.</w:t>
      </w:r>
      <w:r w:rsidRPr="000839A4">
        <w:rPr>
          <w:szCs w:val="24"/>
        </w:rPr>
        <w:tab/>
        <w:t xml:space="preserve">odborových organizacích, </w:t>
      </w:r>
    </w:p>
    <w:p w14:paraId="63CBC027" w14:textId="77777777" w:rsidR="000839A4" w:rsidRPr="000839A4" w:rsidRDefault="000839A4" w:rsidP="000839A4">
      <w:pPr>
        <w:tabs>
          <w:tab w:val="left" w:pos="357"/>
        </w:tabs>
        <w:spacing w:before="0"/>
        <w:ind w:left="714" w:hanging="357"/>
        <w:rPr>
          <w:szCs w:val="24"/>
        </w:rPr>
      </w:pPr>
      <w:r w:rsidRPr="000839A4">
        <w:rPr>
          <w:szCs w:val="24"/>
        </w:rPr>
        <w:t>5.</w:t>
      </w:r>
      <w:r w:rsidRPr="000839A4">
        <w:rPr>
          <w:szCs w:val="24"/>
        </w:rPr>
        <w:tab/>
        <w:t xml:space="preserve">komorách, </w:t>
      </w:r>
    </w:p>
    <w:p w14:paraId="1A97923B" w14:textId="77777777" w:rsidR="000839A4" w:rsidRPr="000839A4" w:rsidRDefault="000839A4" w:rsidP="000839A4">
      <w:pPr>
        <w:tabs>
          <w:tab w:val="left" w:pos="357"/>
        </w:tabs>
        <w:spacing w:before="0"/>
        <w:ind w:left="714" w:hanging="357"/>
        <w:rPr>
          <w:szCs w:val="24"/>
        </w:rPr>
      </w:pPr>
      <w:r w:rsidRPr="000839A4">
        <w:rPr>
          <w:szCs w:val="24"/>
        </w:rPr>
        <w:t>6.</w:t>
      </w:r>
      <w:r w:rsidRPr="000839A4">
        <w:rPr>
          <w:szCs w:val="24"/>
        </w:rPr>
        <w:tab/>
        <w:t xml:space="preserve">jiných orgánech a institucích. </w:t>
      </w:r>
    </w:p>
    <w:p w14:paraId="43D190CA" w14:textId="77777777" w:rsidR="000839A4" w:rsidRPr="000839A4" w:rsidRDefault="000839A4" w:rsidP="000839A4">
      <w:pPr>
        <w:tabs>
          <w:tab w:val="num" w:pos="783"/>
          <w:tab w:val="left" w:pos="851"/>
        </w:tabs>
        <w:spacing w:before="120" w:after="120"/>
        <w:outlineLvl w:val="6"/>
      </w:pPr>
      <w:r w:rsidRPr="000839A4">
        <w:t xml:space="preserve">(11) Za funkční požitek se nepovažují příjmy znalců a tlumočníků, zprostředkovatelů kolektivních sporů a rozhodců za činnost vykonávanou podle zvláštních předpisů. </w:t>
      </w:r>
    </w:p>
    <w:p w14:paraId="59AC676E" w14:textId="77777777" w:rsidR="000839A4" w:rsidRPr="000839A4" w:rsidRDefault="000839A4" w:rsidP="000839A4">
      <w:pPr>
        <w:tabs>
          <w:tab w:val="num" w:pos="783"/>
          <w:tab w:val="left" w:pos="851"/>
        </w:tabs>
        <w:spacing w:before="120" w:after="120"/>
        <w:outlineLvl w:val="6"/>
      </w:pPr>
      <w:r w:rsidRPr="000839A4">
        <w:t>(12) Základem daně (dílčím základem daně) jsou příjmy ze závislé činnosti.</w:t>
      </w:r>
    </w:p>
    <w:p w14:paraId="4608BCD4" w14:textId="77777777" w:rsidR="000839A4" w:rsidRPr="000839A4" w:rsidRDefault="000839A4" w:rsidP="000839A4">
      <w:pPr>
        <w:tabs>
          <w:tab w:val="num" w:pos="783"/>
          <w:tab w:val="left" w:pos="851"/>
        </w:tabs>
        <w:spacing w:before="120" w:after="120"/>
        <w:outlineLvl w:val="6"/>
      </w:pPr>
      <w:r w:rsidRPr="000839A4">
        <w:rPr>
          <w:rFonts w:eastAsia="Calibri"/>
        </w:rPr>
        <w:t xml:space="preserve">(13) </w:t>
      </w:r>
      <w:r w:rsidRPr="000839A4">
        <w:t>Jedná</w:t>
      </w:r>
      <w:r w:rsidRPr="000839A4">
        <w:rPr>
          <w:rFonts w:eastAsia="Calibri"/>
        </w:rPr>
        <w:t xml:space="preserve">-li se o příjem plynoucí ze zdrojů v zahraničí, základem daně poplatníka daně z příjmů </w:t>
      </w:r>
      <w:r w:rsidRPr="000839A4">
        <w:t>fyzických</w:t>
      </w:r>
      <w:r w:rsidRPr="000839A4">
        <w:rPr>
          <w:rFonts w:eastAsia="Calibri"/>
        </w:rPr>
        <w:t xml:space="preserve"> osob, který je daňovým rezidentem České republiky, je příjem ze závislé činnosti vykonávané ve státě, s nímž nemá Česká republika uzavřenu mezinárodní smlouvu upravující zamezení dvojímu zdanění všech druhů příjmů, která je prováděna, snížený o daň zaplacenou z tohoto příjmu v zahraničí. Je-li činnost, ze které plyne příjem ze závislé činnosti, vykonávaná ve státě, s nímž má Česká republika uzavřenu mezinárodní smlouvu upravující zamezení dvojímu zdanění všech druhů příjmů, která je prováděna, základem daně poplatníka daně z příjmů fyzických osob, který je daňovým rezidentem České republiky, je příjem ze závislé činnosti vykonávané v tomto státě; tento příjem lze snížit o daň zaplacenou z tohoto příjmu ve státě, s nímž má Česká republika uzavřenu mezinárodní smlouvu upravující zamezení dvojímu zdanění všech druhů příjmů, která je prováděna, a to pouze v rozsahu, ve kterém ji nebylo možno započíst na daňovou povinnost v tuzemsku podle § 38f v bezprostředně předchozím zdaňovacím období. Přitom se musí jednat o nezapočtenou daň z příjmů, které se zahrnují do základu daně. Příjem ze závislé činnosti plynoucí ze zdrojů v zahraničí nelze snížit o daň zaplacenou v zahraničí v rozsahu, ve kterém přesahuje výši uvedenou v mezinárodní smlouvě nebo v právním předpisu jiného státu.</w:t>
      </w:r>
      <w:r w:rsidRPr="000839A4">
        <w:t xml:space="preserve"> </w:t>
      </w:r>
    </w:p>
    <w:p w14:paraId="5840F0FF" w14:textId="77777777" w:rsidR="000839A4" w:rsidRPr="000839A4" w:rsidRDefault="000839A4" w:rsidP="000839A4">
      <w:pPr>
        <w:tabs>
          <w:tab w:val="num" w:pos="783"/>
          <w:tab w:val="left" w:pos="851"/>
        </w:tabs>
        <w:spacing w:before="120" w:after="120"/>
        <w:outlineLvl w:val="6"/>
        <w:rPr>
          <w:rFonts w:eastAsia="Calibri"/>
        </w:rPr>
      </w:pPr>
      <w:r w:rsidRPr="000839A4">
        <w:rPr>
          <w:rFonts w:eastAsia="Calibri"/>
        </w:rPr>
        <w:t xml:space="preserve">(14) </w:t>
      </w:r>
      <w:r w:rsidRPr="000839A4">
        <w:t>Příjem</w:t>
      </w:r>
      <w:r w:rsidRPr="000839A4">
        <w:rPr>
          <w:rFonts w:eastAsia="Calibri"/>
        </w:rPr>
        <w:t xml:space="preserve"> zaměstnance podle odstavce 3 věty třetí se v případě nabytí podílu v obchodní korporaci, která je zaměstnavatelem, u něhož vykonává činnost, ze které mu plynou příjmy podle odstavce 1 písm. a) až c), nebo nabytí podílu v obchodní korporaci, která je mateřskou nebo dceřinou společností nebo kapitálově spojenou osobou tohoto zaměstnavatele, nebo opce na nabytí tohoto podílu považuje za zúčtovaný příjem v kalendářním měsíci nebo za příjem ve zdaňovacím období, ve kterých nastane první z okamžiků, kterými jsou</w:t>
      </w:r>
    </w:p>
    <w:p w14:paraId="4E6A5AA0" w14:textId="77777777" w:rsidR="000839A4" w:rsidRPr="000839A4" w:rsidRDefault="000839A4" w:rsidP="000839A4">
      <w:pPr>
        <w:tabs>
          <w:tab w:val="left" w:pos="357"/>
        </w:tabs>
        <w:spacing w:before="0"/>
        <w:ind w:left="357" w:hanging="357"/>
        <w:rPr>
          <w:noProof/>
          <w:szCs w:val="24"/>
        </w:rPr>
      </w:pPr>
      <w:r w:rsidRPr="000839A4">
        <w:rPr>
          <w:szCs w:val="24"/>
        </w:rPr>
        <w:t xml:space="preserve">a) </w:t>
      </w:r>
      <w:r w:rsidRPr="000839A4">
        <w:rPr>
          <w:szCs w:val="24"/>
        </w:rPr>
        <w:tab/>
        <w:t>okamžik, ke kterému zaměstnanec přestane vykonávat činnost, ze které mu plynou příjmy podle odstavce 1 písm. a) až c) u tohoto zaměstnavatele, jeho mateřské nebo dceřiné společnosti nebo kapitálově spojené osoby nebo u jeho právního nástupce,</w:t>
      </w:r>
    </w:p>
    <w:p w14:paraId="61238CDB" w14:textId="77777777" w:rsidR="000839A4" w:rsidRPr="000839A4" w:rsidRDefault="000839A4" w:rsidP="000839A4">
      <w:pPr>
        <w:tabs>
          <w:tab w:val="left" w:pos="357"/>
        </w:tabs>
        <w:spacing w:before="0"/>
        <w:ind w:left="357" w:hanging="357"/>
        <w:rPr>
          <w:noProof/>
          <w:szCs w:val="24"/>
        </w:rPr>
      </w:pPr>
      <w:r w:rsidRPr="000839A4">
        <w:rPr>
          <w:szCs w:val="24"/>
        </w:rPr>
        <w:t xml:space="preserve">b) </w:t>
      </w:r>
      <w:r w:rsidRPr="000839A4">
        <w:rPr>
          <w:szCs w:val="24"/>
        </w:rPr>
        <w:tab/>
        <w:t>okamžik vstupu tohoto zaměstnavatele do likvidace,</w:t>
      </w:r>
    </w:p>
    <w:p w14:paraId="2BDF9A82" w14:textId="77777777" w:rsidR="000839A4" w:rsidRPr="000839A4" w:rsidRDefault="000839A4" w:rsidP="000839A4">
      <w:pPr>
        <w:tabs>
          <w:tab w:val="left" w:pos="357"/>
        </w:tabs>
        <w:spacing w:before="0"/>
        <w:ind w:left="357" w:hanging="357"/>
        <w:rPr>
          <w:noProof/>
          <w:szCs w:val="24"/>
        </w:rPr>
      </w:pPr>
      <w:r w:rsidRPr="000839A4">
        <w:rPr>
          <w:szCs w:val="24"/>
        </w:rPr>
        <w:t xml:space="preserve">c) </w:t>
      </w:r>
      <w:r w:rsidRPr="000839A4">
        <w:rPr>
          <w:szCs w:val="24"/>
        </w:rPr>
        <w:tab/>
        <w:t>okamžik, ke kterému tento zaměstnavatel nebo zaměstnanec přestanou být daňovými rezidenty České republiky,</w:t>
      </w:r>
    </w:p>
    <w:p w14:paraId="3C3724C0" w14:textId="77777777" w:rsidR="000839A4" w:rsidRPr="000839A4" w:rsidRDefault="000839A4" w:rsidP="000839A4">
      <w:pPr>
        <w:tabs>
          <w:tab w:val="left" w:pos="357"/>
        </w:tabs>
        <w:spacing w:before="0"/>
        <w:ind w:left="357" w:hanging="357"/>
        <w:rPr>
          <w:noProof/>
          <w:szCs w:val="24"/>
        </w:rPr>
      </w:pPr>
      <w:r w:rsidRPr="000839A4">
        <w:rPr>
          <w:szCs w:val="24"/>
        </w:rPr>
        <w:t xml:space="preserve">d) </w:t>
      </w:r>
      <w:r w:rsidRPr="000839A4">
        <w:rPr>
          <w:szCs w:val="24"/>
        </w:rPr>
        <w:tab/>
        <w:t>okamžik převodu nebo přechodu tohoto podílu nebo této opce,</w:t>
      </w:r>
    </w:p>
    <w:p w14:paraId="2A89A415" w14:textId="77777777" w:rsidR="000839A4" w:rsidRPr="000839A4" w:rsidRDefault="000839A4" w:rsidP="000839A4">
      <w:pPr>
        <w:tabs>
          <w:tab w:val="left" w:pos="357"/>
        </w:tabs>
        <w:spacing w:before="0"/>
        <w:ind w:left="357" w:hanging="357"/>
        <w:rPr>
          <w:noProof/>
          <w:szCs w:val="24"/>
        </w:rPr>
      </w:pPr>
      <w:r w:rsidRPr="000839A4">
        <w:rPr>
          <w:szCs w:val="24"/>
        </w:rPr>
        <w:t xml:space="preserve">e) </w:t>
      </w:r>
      <w:r w:rsidRPr="000839A4">
        <w:rPr>
          <w:szCs w:val="24"/>
        </w:rPr>
        <w:tab/>
        <w:t>okamžik uplatnění opce,</w:t>
      </w:r>
    </w:p>
    <w:p w14:paraId="7D68744B" w14:textId="77777777" w:rsidR="000839A4" w:rsidRPr="000839A4" w:rsidRDefault="000839A4" w:rsidP="000839A4">
      <w:pPr>
        <w:tabs>
          <w:tab w:val="left" w:pos="357"/>
        </w:tabs>
        <w:spacing w:before="0"/>
        <w:ind w:left="357" w:hanging="357"/>
        <w:rPr>
          <w:noProof/>
          <w:szCs w:val="24"/>
        </w:rPr>
      </w:pPr>
      <w:r w:rsidRPr="000839A4">
        <w:rPr>
          <w:szCs w:val="24"/>
        </w:rPr>
        <w:t xml:space="preserve">f) </w:t>
      </w:r>
      <w:r w:rsidRPr="000839A4">
        <w:rPr>
          <w:szCs w:val="24"/>
        </w:rPr>
        <w:tab/>
        <w:t>okamžik výměny podílu, při které se mění celková jmenovitá hodnota podílů zaměstnance,</w:t>
      </w:r>
    </w:p>
    <w:p w14:paraId="2B426A11" w14:textId="77777777" w:rsidR="000839A4" w:rsidRPr="000839A4" w:rsidRDefault="000839A4" w:rsidP="000839A4">
      <w:pPr>
        <w:tabs>
          <w:tab w:val="left" w:pos="357"/>
        </w:tabs>
        <w:spacing w:before="0"/>
        <w:ind w:left="357" w:hanging="357"/>
        <w:rPr>
          <w:noProof/>
          <w:szCs w:val="24"/>
        </w:rPr>
      </w:pPr>
      <w:r w:rsidRPr="000839A4">
        <w:rPr>
          <w:szCs w:val="24"/>
        </w:rPr>
        <w:t xml:space="preserve">g) </w:t>
      </w:r>
      <w:r w:rsidRPr="000839A4">
        <w:rPr>
          <w:szCs w:val="24"/>
        </w:rPr>
        <w:tab/>
        <w:t>okamžik uplynutí 10 let ode dne nabytí podílu nebo opce.</w:t>
      </w:r>
    </w:p>
    <w:p w14:paraId="2DEBDBBA" w14:textId="77777777" w:rsidR="000839A4" w:rsidRPr="000839A4" w:rsidRDefault="000839A4" w:rsidP="000839A4">
      <w:pPr>
        <w:tabs>
          <w:tab w:val="num" w:pos="783"/>
          <w:tab w:val="left" w:pos="851"/>
        </w:tabs>
        <w:spacing w:before="120" w:after="120"/>
        <w:outlineLvl w:val="6"/>
      </w:pPr>
      <w:r w:rsidRPr="000839A4">
        <w:t xml:space="preserve">(15) Příjem podle odstavce 14 lze snížit o kladný rozdíl mezi hodnotou podílu v obchodní korporaci, která je zaměstnavatelem, u něhož poplatník vykonává činnost, ze které mu plynou příjmy podle odstavce 1 písm. a) až c), podílu v obchodní korporaci, která je mateřskou nebo dceřinou společností nebo kapitálově spojenou osobou tohoto zaměstnavatele, nebo hodnotou opce na nabytí tohoto podílu určenou podle zákona upravujícího oceňování majetku k okamžiku nabytí tohoto podílu nebo opce a hodnotou tohoto podílu nebo opce určenou podle zákona upravujícího oceňování majetku k prvnímu z okamžiků podle odstavce 14 písm. a) až g) zvýšenou o úhrn příjmů z podílu na zisku, vypořádacího podílu, vrácení emisního ážia, </w:t>
      </w:r>
      <w:r w:rsidRPr="000839A4">
        <w:lastRenderedPageBreak/>
        <w:t>vrácení příplatku mimo základní kapitál a z plnění obdobných těmto plněním vyplacených na základě tohoto podílu snížených o daň z těchto příjmů.</w:t>
      </w:r>
    </w:p>
    <w:p w14:paraId="4C594855" w14:textId="77777777" w:rsidR="000839A4" w:rsidRPr="000839A4" w:rsidRDefault="000839A4" w:rsidP="000839A4">
      <w:pPr>
        <w:tabs>
          <w:tab w:val="num" w:pos="783"/>
          <w:tab w:val="left" w:pos="851"/>
        </w:tabs>
        <w:spacing w:before="120" w:after="120"/>
        <w:outlineLvl w:val="6"/>
      </w:pPr>
      <w:r w:rsidRPr="000839A4">
        <w:t>(16) Poplatník oznámí plátci daně okamžik podle odstavce 14 písm. d) do posledního dne kalendářního měsíce, ve kterém tento okamžik nastal.</w:t>
      </w:r>
    </w:p>
    <w:p w14:paraId="1838D5F3" w14:textId="77777777" w:rsidR="000839A4" w:rsidRPr="000839A4" w:rsidRDefault="000839A4" w:rsidP="000839A4">
      <w:pPr>
        <w:keepNext/>
        <w:keepLines/>
        <w:tabs>
          <w:tab w:val="num" w:pos="783"/>
          <w:tab w:val="left" w:pos="851"/>
        </w:tabs>
        <w:spacing w:before="120" w:after="120"/>
        <w:outlineLvl w:val="6"/>
        <w:rPr>
          <w:b/>
          <w:color w:val="00B050"/>
        </w:rPr>
      </w:pPr>
      <w:r w:rsidRPr="000839A4">
        <w:rPr>
          <w:b/>
          <w:bCs/>
          <w:strike/>
          <w:noProof/>
          <w:color w:val="00B050"/>
        </w:rPr>
        <mc:AlternateContent>
          <mc:Choice Requires="wps">
            <w:drawing>
              <wp:anchor distT="0" distB="0" distL="114300" distR="114300" simplePos="0" relativeHeight="251684864" behindDoc="1" locked="0" layoutInCell="1" allowOverlap="1" wp14:anchorId="53098F1C" wp14:editId="30C3F545">
                <wp:simplePos x="0" y="0"/>
                <wp:positionH relativeFrom="margin">
                  <wp:align>center</wp:align>
                </wp:positionH>
                <wp:positionV relativeFrom="paragraph">
                  <wp:posOffset>-72186</wp:posOffset>
                </wp:positionV>
                <wp:extent cx="5943600" cy="1337095"/>
                <wp:effectExtent l="0" t="0" r="19050" b="15875"/>
                <wp:wrapNone/>
                <wp:docPr id="9" name="Obdélník 9"/>
                <wp:cNvGraphicFramePr/>
                <a:graphic xmlns:a="http://schemas.openxmlformats.org/drawingml/2006/main">
                  <a:graphicData uri="http://schemas.microsoft.com/office/word/2010/wordprocessingShape">
                    <wps:wsp>
                      <wps:cNvSpPr/>
                      <wps:spPr>
                        <a:xfrm>
                          <a:off x="0" y="0"/>
                          <a:ext cx="5943600" cy="1337095"/>
                        </a:xfrm>
                        <a:prstGeom prst="rect">
                          <a:avLst/>
                        </a:prstGeom>
                        <a:solidFill>
                          <a:sysClr val="window" lastClr="FFFFFF"/>
                        </a:solid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497B32D" id="Obdélník 9" o:spid="_x0000_s1026" style="position:absolute;margin-left:0;margin-top:-5.7pt;width:468pt;height:105.3pt;z-index:-25163161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" fillcolor="window" strokecolor="#00b050" strokeweight="1pt">
                <w10:wrap anchorx="margin"/>
              </v:rect>
            </w:pict>
          </mc:Fallback>
        </mc:AlternateContent>
      </w:r>
      <w:r w:rsidRPr="000839A4">
        <w:rPr>
          <w:b/>
          <w:color w:val="00B050"/>
        </w:rPr>
        <w:t>(17) Nepeněžní příjem zaměstnance ve formě použití zařízení péče o děti předškolního věku včetně mateřské školy podle školského zákona rodinným příslušníkem tohoto zaměstnance se ocení v místě a čase obvyklou cenou za použití mateřské školy zřízené státem, krajem, obcí nebo dobrovolným svazkem obcí, nebo nejvyšší měsíční úplatou za předškolní vzdělávání podle vyhlášky upravující předškolní vzdělávání, a to za každý kalendářní měsíc poměrně podle doby používání tohoto zařízení rodinným příslušníkem v daném měsíci. Způsob ocenění podle věty první zvolí zaměstnavatel.</w:t>
      </w:r>
    </w:p>
    <w:p w14:paraId="5774826C" w14:textId="77777777" w:rsidR="000839A4" w:rsidRPr="000839A4" w:rsidRDefault="000839A4" w:rsidP="000839A4">
      <w:pPr>
        <w:keepNext/>
        <w:ind w:firstLine="0"/>
        <w:jc w:val="center"/>
        <w:rPr>
          <w:szCs w:val="24"/>
        </w:rPr>
      </w:pPr>
      <w:r w:rsidRPr="000839A4">
        <w:rPr>
          <w:szCs w:val="24"/>
        </w:rPr>
        <w:t>§ 7</w:t>
      </w:r>
    </w:p>
    <w:p w14:paraId="2BBC5D73" w14:textId="77777777" w:rsidR="000839A4" w:rsidRPr="000839A4" w:rsidRDefault="000839A4" w:rsidP="000839A4">
      <w:pPr>
        <w:keepNext/>
        <w:ind w:firstLine="0"/>
        <w:jc w:val="center"/>
        <w:rPr>
          <w:b/>
          <w:szCs w:val="24"/>
        </w:rPr>
      </w:pPr>
      <w:r w:rsidRPr="000839A4">
        <w:rPr>
          <w:b/>
          <w:szCs w:val="24"/>
        </w:rPr>
        <w:t xml:space="preserve">Příjmy ze samostatné činnosti </w:t>
      </w:r>
    </w:p>
    <w:p w14:paraId="7459D40C" w14:textId="77777777" w:rsidR="000839A4" w:rsidRPr="000839A4" w:rsidRDefault="000839A4" w:rsidP="000839A4">
      <w:pPr>
        <w:tabs>
          <w:tab w:val="num" w:pos="783"/>
          <w:tab w:val="left" w:pos="851"/>
        </w:tabs>
        <w:spacing w:before="120" w:after="120"/>
        <w:outlineLvl w:val="6"/>
      </w:pPr>
      <w:r w:rsidRPr="000839A4">
        <w:t>(1) Příjmem ze samostatné činnosti, pokud nepatří do příjmů uvedených v § 6, je</w:t>
      </w:r>
    </w:p>
    <w:p w14:paraId="3528D74E"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příjem ze zemědělské výroby, lesního a vodního hospodářství,</w:t>
      </w:r>
    </w:p>
    <w:p w14:paraId="7AD8AA6B"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příjem ze živnostenského podnikání,</w:t>
      </w:r>
    </w:p>
    <w:p w14:paraId="650EB7F7" w14:textId="77777777" w:rsidR="000839A4" w:rsidRPr="000839A4" w:rsidRDefault="000839A4" w:rsidP="000839A4">
      <w:pPr>
        <w:tabs>
          <w:tab w:val="left" w:pos="357"/>
        </w:tabs>
        <w:spacing w:before="0"/>
        <w:ind w:left="357" w:hanging="357"/>
        <w:rPr>
          <w:szCs w:val="24"/>
        </w:rPr>
      </w:pPr>
      <w:r w:rsidRPr="000839A4">
        <w:rPr>
          <w:szCs w:val="24"/>
        </w:rPr>
        <w:t>c)</w:t>
      </w:r>
      <w:r w:rsidRPr="000839A4">
        <w:rPr>
          <w:szCs w:val="24"/>
        </w:rPr>
        <w:tab/>
        <w:t>příjem z jiného podnikání neuvedeného v písmenech a) a b), ke kterému je potřeba podnikatelské oprávnění,</w:t>
      </w:r>
    </w:p>
    <w:p w14:paraId="00B46A8E" w14:textId="77777777" w:rsidR="000839A4" w:rsidRPr="000839A4" w:rsidRDefault="000839A4" w:rsidP="000839A4">
      <w:pPr>
        <w:tabs>
          <w:tab w:val="left" w:pos="357"/>
        </w:tabs>
        <w:spacing w:before="0"/>
        <w:ind w:left="357" w:hanging="357"/>
        <w:rPr>
          <w:szCs w:val="24"/>
        </w:rPr>
      </w:pPr>
      <w:r w:rsidRPr="000839A4">
        <w:rPr>
          <w:szCs w:val="24"/>
        </w:rPr>
        <w:t>d)</w:t>
      </w:r>
      <w:r w:rsidRPr="000839A4">
        <w:rPr>
          <w:szCs w:val="24"/>
        </w:rPr>
        <w:tab/>
        <w:t>podíl společníka veřejné obchodní společnosti a komplementáře komanditní společnosti na zisku.</w:t>
      </w:r>
    </w:p>
    <w:p w14:paraId="24688BAD" w14:textId="77777777" w:rsidR="000839A4" w:rsidRPr="000839A4" w:rsidRDefault="000839A4" w:rsidP="000839A4">
      <w:pPr>
        <w:tabs>
          <w:tab w:val="num" w:pos="783"/>
          <w:tab w:val="left" w:pos="851"/>
        </w:tabs>
        <w:spacing w:before="120" w:after="120"/>
        <w:outlineLvl w:val="6"/>
      </w:pPr>
      <w:r w:rsidRPr="000839A4">
        <w:t xml:space="preserve">(2) Příjmem ze samostatné činnosti, pokud nepatří do příjmů uvedených v § 6, je dále </w:t>
      </w:r>
    </w:p>
    <w:p w14:paraId="59C32744"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příjem z užití nebo poskytnutí práv z průmyslového vlastnictví, autorských práv včetně práv příbuzných právu autorskému, a to včetně příjmů z vydávání, rozmnožování a rozšiřování literárních a jiných děl vlastním nákladem,</w:t>
      </w:r>
    </w:p>
    <w:p w14:paraId="2EC6429E"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 xml:space="preserve">příjem z nájmu </w:t>
      </w:r>
      <w:r w:rsidRPr="000839A4">
        <w:rPr>
          <w:strike/>
          <w:szCs w:val="24"/>
        </w:rPr>
        <w:t>majetku zařazeného v obchodním majetku</w:t>
      </w:r>
      <w:r w:rsidRPr="000839A4">
        <w:rPr>
          <w:noProof/>
          <w:szCs w:val="24"/>
        </w:rPr>
        <w:t xml:space="preserve"> </w:t>
      </w:r>
      <w:r w:rsidRPr="000839A4">
        <w:rPr>
          <w:b/>
          <w:noProof/>
          <w:szCs w:val="24"/>
        </w:rPr>
        <w:t>nebo úplatného převodu evidovaného aktiva v rámci činnosti, ze které plynou příjmy ze samostatné činnosti podle odstavce 1 nebo podle písmene a) nebo c</w:t>
      </w:r>
      <w:r w:rsidRPr="000839A4">
        <w:rPr>
          <w:szCs w:val="24"/>
        </w:rPr>
        <w:t>),</w:t>
      </w:r>
    </w:p>
    <w:p w14:paraId="06F68091" w14:textId="77777777" w:rsidR="000839A4" w:rsidRPr="000839A4" w:rsidRDefault="000839A4" w:rsidP="000839A4">
      <w:pPr>
        <w:tabs>
          <w:tab w:val="left" w:pos="357"/>
        </w:tabs>
        <w:spacing w:before="0"/>
        <w:ind w:left="357" w:hanging="357"/>
        <w:rPr>
          <w:szCs w:val="24"/>
        </w:rPr>
      </w:pPr>
      <w:r w:rsidRPr="000839A4">
        <w:rPr>
          <w:szCs w:val="24"/>
        </w:rPr>
        <w:t>c)</w:t>
      </w:r>
      <w:r w:rsidRPr="000839A4">
        <w:rPr>
          <w:szCs w:val="24"/>
        </w:rPr>
        <w:tab/>
        <w:t>příjem z výkonu nezávislého povolání.</w:t>
      </w:r>
    </w:p>
    <w:p w14:paraId="39AEF3FF" w14:textId="77777777" w:rsidR="000839A4" w:rsidRPr="000839A4" w:rsidRDefault="000839A4" w:rsidP="000839A4">
      <w:pPr>
        <w:tabs>
          <w:tab w:val="num" w:pos="783"/>
          <w:tab w:val="left" w:pos="851"/>
        </w:tabs>
        <w:spacing w:before="120" w:after="120"/>
        <w:outlineLvl w:val="6"/>
      </w:pPr>
      <w:r w:rsidRPr="000839A4">
        <w:t>(3) Základem daně (dílčím základem daně) jsou příjmy uvedené v odstavcích 1 a 2 s výjimkou uvedenou v odstavci 6. Tyto příjmy se snižují o výdaje vynaložené na jejich dosažení, zajištění a udržení s výjimkou příjmů uvedených v odstavci 1 písm. d). Pro zjištění základu daně (dílčího základu daně) se použijí ustanovení § 23 až 33.</w:t>
      </w:r>
    </w:p>
    <w:p w14:paraId="07D355C2" w14:textId="77777777" w:rsidR="000839A4" w:rsidRPr="000839A4" w:rsidRDefault="000839A4" w:rsidP="000839A4">
      <w:pPr>
        <w:tabs>
          <w:tab w:val="num" w:pos="783"/>
          <w:tab w:val="left" w:pos="851"/>
        </w:tabs>
        <w:spacing w:before="120" w:after="120"/>
        <w:outlineLvl w:val="6"/>
      </w:pPr>
      <w:r w:rsidRPr="000839A4">
        <w:t>(4) U poplatníka, který je společníkem veřejné obchodní společnosti, je součástí základu daně (dílčího základu daně) poměrná část základu daně nebo daňové ztráty veřejné obchodní společnosti. Tento poměr odpovídá poměru, kterým se společník podílí na zisku veřejné obchodní společnosti.</w:t>
      </w:r>
    </w:p>
    <w:p w14:paraId="518D97F7" w14:textId="77777777" w:rsidR="000839A4" w:rsidRPr="000839A4" w:rsidRDefault="000839A4" w:rsidP="000839A4">
      <w:pPr>
        <w:tabs>
          <w:tab w:val="num" w:pos="783"/>
          <w:tab w:val="left" w:pos="851"/>
        </w:tabs>
        <w:spacing w:before="120" w:after="120"/>
        <w:outlineLvl w:val="6"/>
      </w:pPr>
      <w:r w:rsidRPr="000839A4">
        <w:t xml:space="preserve">(5) U poplatníka, který je komplementářem komanditní společnosti, je součástí základu daně (dílčího základu daně) poměrná část základu daně nebo daňové ztráty komanditní společnosti. Tento poměr odpovídá poměru, kterým se komplementář podílí na zisku komanditní společnosti. </w:t>
      </w:r>
    </w:p>
    <w:p w14:paraId="400BCA2E" w14:textId="77777777" w:rsidR="000839A4" w:rsidRPr="000839A4" w:rsidRDefault="000839A4" w:rsidP="000839A4">
      <w:pPr>
        <w:tabs>
          <w:tab w:val="num" w:pos="783"/>
          <w:tab w:val="left" w:pos="851"/>
        </w:tabs>
        <w:spacing w:before="120" w:after="120"/>
        <w:outlineLvl w:val="6"/>
      </w:pPr>
      <w:r w:rsidRPr="000839A4">
        <w:t xml:space="preserve">(6) Příjem autora za příspěvek do novin, časopisu, rozhlasu nebo televize plynoucí ze zdrojů na území České republiky je samostatným základem daně pro daň vybíranou srážkou </w:t>
      </w:r>
      <w:r w:rsidRPr="000839A4">
        <w:lastRenderedPageBreak/>
        <w:t>podle zvláštní sazby daně za předpokladu, že úhrn těchto příjmů od téhož plátce daně nepřesáhne v kalendářním měsíci 10 000 Kč a jde o příjem uvedený v odstavci 2 písm. a).</w:t>
      </w:r>
    </w:p>
    <w:p w14:paraId="1F580C52" w14:textId="77777777" w:rsidR="000839A4" w:rsidRPr="000839A4" w:rsidRDefault="000839A4" w:rsidP="000839A4">
      <w:pPr>
        <w:tabs>
          <w:tab w:val="num" w:pos="783"/>
          <w:tab w:val="left" w:pos="851"/>
        </w:tabs>
        <w:spacing w:before="120" w:after="120"/>
        <w:outlineLvl w:val="6"/>
      </w:pPr>
      <w:r w:rsidRPr="000839A4">
        <w:t>(7) Neuplatní-li poplatník výdaje prokazatelně vynaložené na dosažení, zajištění a udržení příjmu, může uplatnit výdaje, s výjimkou uvedenou v § 12, ve výši</w:t>
      </w:r>
    </w:p>
    <w:p w14:paraId="0FDD75D1"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80 % z příjmů ze zemědělské výroby, lesního a vodního hospodářství a z příjmů z živnostenského podnikání řemeslného; nejvýše lze však uplatnit výdaje do částky 1 600 000 Kč,</w:t>
      </w:r>
    </w:p>
    <w:p w14:paraId="3DFD861A"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60 % z příjmů ze živnostenského podnikání; nejvýše lze však uplatnit výdaje do částky 1 200 000 Kč,</w:t>
      </w:r>
    </w:p>
    <w:p w14:paraId="420E6F9B" w14:textId="77777777" w:rsidR="000839A4" w:rsidRPr="000839A4" w:rsidRDefault="000839A4" w:rsidP="000839A4">
      <w:pPr>
        <w:tabs>
          <w:tab w:val="left" w:pos="357"/>
        </w:tabs>
        <w:spacing w:before="0"/>
        <w:ind w:left="357" w:hanging="357"/>
        <w:rPr>
          <w:szCs w:val="24"/>
        </w:rPr>
      </w:pPr>
      <w:r w:rsidRPr="000839A4">
        <w:rPr>
          <w:szCs w:val="24"/>
        </w:rPr>
        <w:t>c)</w:t>
      </w:r>
      <w:r w:rsidRPr="000839A4">
        <w:rPr>
          <w:szCs w:val="24"/>
        </w:rPr>
        <w:tab/>
        <w:t>30 % z příjmů z nájmu majetku zařazeného v obchodním majetku; nejvýše lze však uplatnit výdaje do částky 600 000 Kč,</w:t>
      </w:r>
    </w:p>
    <w:p w14:paraId="3EDC772F" w14:textId="77777777" w:rsidR="000839A4" w:rsidRPr="000839A4" w:rsidRDefault="000839A4" w:rsidP="000839A4">
      <w:pPr>
        <w:tabs>
          <w:tab w:val="left" w:pos="357"/>
        </w:tabs>
        <w:spacing w:before="0"/>
        <w:ind w:left="357" w:hanging="357"/>
        <w:rPr>
          <w:szCs w:val="24"/>
        </w:rPr>
      </w:pPr>
      <w:r w:rsidRPr="000839A4">
        <w:rPr>
          <w:szCs w:val="24"/>
        </w:rPr>
        <w:t>d)</w:t>
      </w:r>
      <w:r w:rsidRPr="000839A4">
        <w:rPr>
          <w:szCs w:val="24"/>
        </w:rPr>
        <w:tab/>
        <w:t>40 % z jiných příjmů ze samostatné činnosti, s výjimkou příjmů podle odstavce 1 písm. d) a odstavce 6; nejvýše lze však uplatnit výdaje do částky 800 000 Kč.</w:t>
      </w:r>
    </w:p>
    <w:p w14:paraId="2AD512CD" w14:textId="77777777" w:rsidR="000839A4" w:rsidRPr="000839A4" w:rsidRDefault="000839A4" w:rsidP="000839A4">
      <w:pPr>
        <w:tabs>
          <w:tab w:val="num" w:pos="783"/>
          <w:tab w:val="left" w:pos="851"/>
        </w:tabs>
        <w:spacing w:before="120" w:after="120"/>
        <w:outlineLvl w:val="6"/>
      </w:pPr>
      <w:r w:rsidRPr="000839A4">
        <w:t>Způsob uplatnění výdajů podle tohoto odstavce nelze zpětně měnit.</w:t>
      </w:r>
    </w:p>
    <w:p w14:paraId="4B3F1C50" w14:textId="77777777" w:rsidR="000839A4" w:rsidRPr="000839A4" w:rsidRDefault="000839A4" w:rsidP="000839A4">
      <w:pPr>
        <w:tabs>
          <w:tab w:val="num" w:pos="783"/>
          <w:tab w:val="left" w:pos="851"/>
        </w:tabs>
        <w:spacing w:before="120" w:after="120"/>
        <w:outlineLvl w:val="6"/>
      </w:pPr>
      <w:r w:rsidRPr="000839A4">
        <w:t xml:space="preserve">(8) Uplatní-li poplatník výdaje podle odstavce 7, má se za to, že v částce výdajů jsou zahrnuty veškeré výdaje poplatníka vynaložené v souvislosti s dosahováním příjmů ze samostatné činnosti. </w:t>
      </w:r>
      <w:r w:rsidRPr="000839A4">
        <w:rPr>
          <w:strike/>
        </w:rPr>
        <w:t>Pro účely odstavce 7 se příjmy rozumí příjmy podle tohoto zákona, které by poplatník měl, pokud by nebyl účetní jednotkou</w:t>
      </w:r>
      <w:r w:rsidRPr="000839A4">
        <w:t>. Poplatník, který uplatňuje výdaje způsobem podle odstavce 7, je povinen vždy vést záznamy o příjmech podle odstavce 7 a evidenci pohledávek vzniklých v souvislosti s činností, ze které plyne příjem ze samostatné činnosti</w:t>
      </w:r>
      <w:r w:rsidRPr="000839A4">
        <w:rPr>
          <w:b/>
        </w:rPr>
        <w:t>, a evidenci o evidovaných aktivech poplatníka v rámci činnosti, ze které plynou příjmy ze samostatné činnosti, využívaných a nezbytně nutných pro dosahování příjmů ze samostatné činnosti</w:t>
      </w:r>
      <w:r w:rsidRPr="000839A4">
        <w:t>.</w:t>
      </w:r>
    </w:p>
    <w:p w14:paraId="4F2DFABC" w14:textId="77777777" w:rsidR="000839A4" w:rsidRPr="000839A4" w:rsidRDefault="000839A4" w:rsidP="000839A4">
      <w:pPr>
        <w:tabs>
          <w:tab w:val="num" w:pos="783"/>
          <w:tab w:val="left" w:pos="851"/>
        </w:tabs>
        <w:spacing w:before="120" w:after="120"/>
        <w:outlineLvl w:val="6"/>
      </w:pPr>
      <w:r w:rsidRPr="000839A4">
        <w:t xml:space="preserve">(9) Jde-li o věc ve společném jmění manželů, která je využívána pro činnost, ze které plyne příjem ze samostatné činnosti, jedním z manželů nebo oběma manžely, </w:t>
      </w:r>
      <w:r w:rsidRPr="000839A4">
        <w:rPr>
          <w:strike/>
        </w:rPr>
        <w:t xml:space="preserve">vkládá tuto věc do obchodního majetku jeden </w:t>
      </w:r>
      <w:r w:rsidRPr="000839A4">
        <w:rPr>
          <w:b/>
        </w:rPr>
        <w:t xml:space="preserve">je evidovaným aktivem pouze jednoho </w:t>
      </w:r>
      <w:r w:rsidRPr="000839A4">
        <w:t xml:space="preserve">z manželů. V případě, že </w:t>
      </w:r>
      <w:r w:rsidRPr="000839A4">
        <w:rPr>
          <w:strike/>
        </w:rPr>
        <w:t>tuto věc má v obchodním majetku jeden</w:t>
      </w:r>
      <w:r w:rsidRPr="000839A4">
        <w:t xml:space="preserve"> </w:t>
      </w:r>
      <w:r w:rsidRPr="000839A4">
        <w:rPr>
          <w:b/>
        </w:rPr>
        <w:t>tato věc je evidovaným aktivem jednoho</w:t>
      </w:r>
      <w:r w:rsidRPr="000839A4">
        <w:t xml:space="preserve"> z manželů, avšak je pro činnost, ze které plyne příjem ze samostatné činnosti, využívána také druhým z manželů, lze výdaje (náklady) související s touto věcí, které připadají na část věci využívané pro činnost, ze které plyne příjem ze samostatné činnosti, oběma manžely, rozdělit mezi oba manžele v poměru, v jakém ji využívají při své činnosti podle odstavců 1 a 2. Příjmy z prodeje věci ve společném jmění manželů jsou zdaňovány u toho z manželů, </w:t>
      </w:r>
      <w:r w:rsidRPr="000839A4">
        <w:rPr>
          <w:strike/>
        </w:rPr>
        <w:t xml:space="preserve">který měl takovou věc zahrnutou v obchodním </w:t>
      </w:r>
      <w:proofErr w:type="gramStart"/>
      <w:r w:rsidRPr="000839A4">
        <w:rPr>
          <w:strike/>
        </w:rPr>
        <w:t>majetku</w:t>
      </w:r>
      <w:r w:rsidRPr="000839A4">
        <w:t xml:space="preserve"> </w:t>
      </w:r>
      <w:r w:rsidRPr="000839A4">
        <w:rPr>
          <w:b/>
        </w:rPr>
        <w:t>o jehož</w:t>
      </w:r>
      <w:proofErr w:type="gramEnd"/>
      <w:r w:rsidRPr="000839A4">
        <w:rPr>
          <w:b/>
        </w:rPr>
        <w:t xml:space="preserve"> evidované aktivum jde</w:t>
      </w:r>
      <w:r w:rsidRPr="000839A4">
        <w:t xml:space="preserve">. Po ukončení činnosti, ze které plyne příjem ze samostatné činnosti, se postupuje podle § 10 odst. 5 zákona. </w:t>
      </w:r>
    </w:p>
    <w:p w14:paraId="31F8D7B0" w14:textId="77777777" w:rsidR="000839A4" w:rsidRPr="000839A4" w:rsidRDefault="000839A4" w:rsidP="000839A4">
      <w:pPr>
        <w:tabs>
          <w:tab w:val="num" w:pos="783"/>
          <w:tab w:val="left" w:pos="851"/>
        </w:tabs>
        <w:spacing w:before="120" w:after="120"/>
        <w:outlineLvl w:val="6"/>
      </w:pPr>
      <w:r w:rsidRPr="000839A4">
        <w:t xml:space="preserve">(10) Za příjmy podle § 7 odst. 1 písm. d) se nepovažují a předmětem daně nejsou náhrady cestovních výdajů poskytované společníkům veřejných obchodních společností a komplementářům komanditních společností do výše stanovené zvláštním </w:t>
      </w:r>
      <w:proofErr w:type="gramStart"/>
      <w:r w:rsidRPr="000839A4">
        <w:t>předpisem.</w:t>
      </w:r>
      <w:r w:rsidRPr="000839A4">
        <w:rPr>
          <w:vertAlign w:val="superscript"/>
        </w:rPr>
        <w:t>5)</w:t>
      </w:r>
      <w:proofErr w:type="gramEnd"/>
      <w:r w:rsidRPr="000839A4">
        <w:t xml:space="preserve">  </w:t>
      </w:r>
    </w:p>
    <w:p w14:paraId="3277492A" w14:textId="77777777" w:rsidR="000839A4" w:rsidRPr="000839A4" w:rsidRDefault="000839A4" w:rsidP="000839A4">
      <w:pPr>
        <w:tabs>
          <w:tab w:val="num" w:pos="783"/>
          <w:tab w:val="left" w:pos="851"/>
        </w:tabs>
        <w:spacing w:before="120" w:after="120"/>
        <w:outlineLvl w:val="6"/>
      </w:pPr>
      <w:r w:rsidRPr="000839A4">
        <w:t xml:space="preserve">(11) Dojde-li k ukončení (přerušení) činnosti, ze které plyne příjem ze samostatné činnosti, a poplatník </w:t>
      </w:r>
      <w:r w:rsidRPr="000839A4">
        <w:rPr>
          <w:strike/>
        </w:rPr>
        <w:t>zaplatí částky pojistného podle § 23 odst. 3 písm. a) bodu 5 a § 24 odst. 2 písm. f) po stanoveném termínu a</w:t>
      </w:r>
      <w:r w:rsidRPr="000839A4">
        <w:t xml:space="preserve"> uhradí dluhy uvedené v § 23 odst. 3 písm. a) bod 11, může podat dodatečné daňové přiznání na daňovou povinnost nižší. Obdobně postupuje právní nástupce poplatníka s příjmy podle § 7 v případě úmrtí poplatníka. </w:t>
      </w:r>
    </w:p>
    <w:p w14:paraId="253E9C03" w14:textId="77777777" w:rsidR="000839A4" w:rsidRPr="000839A4" w:rsidRDefault="000839A4" w:rsidP="000839A4">
      <w:pPr>
        <w:spacing w:before="120"/>
        <w:ind w:firstLine="482"/>
        <w:rPr>
          <w:szCs w:val="24"/>
          <w:shd w:val="clear" w:color="auto" w:fill="F4B083" w:themeFill="accent2" w:themeFillTint="99"/>
        </w:rPr>
      </w:pPr>
      <w:r w:rsidRPr="000839A4">
        <w:rPr>
          <w:strike/>
          <w:szCs w:val="24"/>
        </w:rPr>
        <w:lastRenderedPageBreak/>
        <w:t>(12)</w:t>
      </w:r>
      <w:r w:rsidRPr="000839A4">
        <w:rPr>
          <w:szCs w:val="24"/>
        </w:rPr>
        <w:t xml:space="preserve"> </w:t>
      </w:r>
      <w:r w:rsidRPr="000839A4">
        <w:rPr>
          <w:strike/>
          <w:szCs w:val="24"/>
        </w:rPr>
        <w:t xml:space="preserve">Pokud poplatník s příjmy podle § 7 odst. 1 písm. a) nebo b) uplatní jako účetní období hospodářský </w:t>
      </w:r>
      <w:proofErr w:type="gramStart"/>
      <w:r w:rsidRPr="000839A4">
        <w:rPr>
          <w:strike/>
          <w:szCs w:val="24"/>
        </w:rPr>
        <w:t>rok,</w:t>
      </w:r>
      <w:r w:rsidRPr="000839A4">
        <w:rPr>
          <w:strike/>
          <w:szCs w:val="24"/>
          <w:vertAlign w:val="superscript"/>
        </w:rPr>
        <w:footnoteReference w:customMarkFollows="1" w:id="133"/>
        <w:t>20</w:t>
      </w:r>
      <w:proofErr w:type="gramEnd"/>
      <w:r w:rsidRPr="000839A4">
        <w:rPr>
          <w:strike/>
          <w:szCs w:val="24"/>
          <w:vertAlign w:val="superscript"/>
        </w:rPr>
        <w:t>)</w:t>
      </w:r>
      <w:r w:rsidRPr="000839A4">
        <w:rPr>
          <w:strike/>
          <w:szCs w:val="24"/>
        </w:rPr>
        <w:t xml:space="preserve"> je dílčím základem daně nebo daňovou ztrátou rozdíl mezi příjmy a výdaji za ukončený hospodářský rok. Při změně účtování v kalendářním roce na účtování v hospodářském roce je dílčím základem daně nebo daňovou ztrátou podle § 7 rozdíl mezi příjmy a výdaji do posledního dne měsíce, kterým poplatník ukončil účtování v kalendářním roce. Při změně účtování v hospodářském roce na účtování v kalendářním roce je dílčím základem daně nebo daňovou ztrátou podle § 7 odst. 1 písm. a) nebo b) součet rozdílu mezi příjmy a výdaji v hospodářském roce a rozdílu mezi příjmy a výdaji od doby ukončení účtování v hospodářském roce do konce kalendářního roku. Dílčí základ daně se zahrne do daňového přiznání za kalendářní rok, ve kterém končí hospodářský rok nebo účtování přechodu z kalendářního roku na hospodářský rok a naopak. Obdobně postupuje poplatník s příjmy podle § 7 odst. 1 písm. d), pokud veřejná obchodní společnost nebo komanditní společnost uplatní jako účetní období hospodářský rok.</w:t>
      </w:r>
      <w:r w:rsidRPr="000839A4">
        <w:rPr>
          <w:szCs w:val="24"/>
          <w:shd w:val="clear" w:color="auto" w:fill="F7CAAC" w:themeFill="accent2" w:themeFillTint="66"/>
        </w:rPr>
        <w:t xml:space="preserve"> </w:t>
      </w:r>
    </w:p>
    <w:p w14:paraId="6DF3EB11" w14:textId="77777777" w:rsidR="000839A4" w:rsidRPr="000839A4" w:rsidRDefault="000839A4" w:rsidP="000839A4">
      <w:pPr>
        <w:tabs>
          <w:tab w:val="num" w:pos="783"/>
          <w:tab w:val="left" w:pos="851"/>
        </w:tabs>
        <w:spacing w:before="120" w:after="120"/>
        <w:outlineLvl w:val="6"/>
        <w:rPr>
          <w:b/>
        </w:rPr>
      </w:pPr>
      <w:r w:rsidRPr="000839A4">
        <w:rPr>
          <w:b/>
        </w:rPr>
        <w:t>(12)</w:t>
      </w:r>
      <w:r w:rsidRPr="000839A4">
        <w:t xml:space="preserve"> </w:t>
      </w:r>
      <w:r w:rsidRPr="000839A4">
        <w:rPr>
          <w:b/>
        </w:rPr>
        <w:t>Poplatník zahrne příjmy podle § 7 odst. 1 písm. d) do zdaňovacího období, ve kterém končí zdaňovací období veřejné obchodní společnosti nebo komanditní společnosti.</w:t>
      </w:r>
    </w:p>
    <w:p w14:paraId="418DCC0F" w14:textId="77777777" w:rsidR="000839A4" w:rsidRPr="000839A4" w:rsidRDefault="000839A4" w:rsidP="000839A4">
      <w:pPr>
        <w:tabs>
          <w:tab w:val="num" w:pos="783"/>
          <w:tab w:val="left" w:pos="851"/>
        </w:tabs>
        <w:spacing w:before="120" w:after="120"/>
        <w:outlineLvl w:val="6"/>
      </w:pPr>
      <w:r w:rsidRPr="000839A4">
        <w:t xml:space="preserve">(13) Poplatníci s příjmy podle odstavců 1 a 2, kteří </w:t>
      </w:r>
      <w:r w:rsidRPr="000839A4">
        <w:rPr>
          <w:strike/>
        </w:rPr>
        <w:t>nevedou účetnictví,</w:t>
      </w:r>
      <w:r w:rsidRPr="000839A4">
        <w:t xml:space="preserve"> neuplatňují výdaje podle odstavce 7 a jejichž daň za dané zdaňovací období není rovna paušální dani, postupují podle § 7b. Vede-li každý ze společníků společnosti (§ 12), daňovou evidenci, mohou vést i daňovou evidenci, ve které evidují společné příjmy a společné výdaje na dosažení, zajištění a udržení příjmů; přitom na konci zdaňovacího období nebo při ukončení činnosti v průběhu zdaňovacího období, uvedou do své daňové evidence podíl na společných příjmech a podíl na společných výdajích na dosažení, zajištění a udržení příjmů.</w:t>
      </w:r>
    </w:p>
    <w:p w14:paraId="77DA300A" w14:textId="77777777" w:rsidR="000839A4" w:rsidRPr="000839A4" w:rsidRDefault="000839A4" w:rsidP="000839A4">
      <w:pPr>
        <w:tabs>
          <w:tab w:val="num" w:pos="783"/>
          <w:tab w:val="left" w:pos="851"/>
        </w:tabs>
        <w:spacing w:before="120" w:after="120"/>
        <w:outlineLvl w:val="6"/>
      </w:pPr>
      <w:r w:rsidRPr="000839A4">
        <w:t>(14) U poplatníka, který je společníkem veřejné obchodní společnosti nebo komplementářem komanditní společnosti, nejsou příjmy podle § 20b odst. 1 plynoucí těmto společnostem součástí základu daně (dílčího základu daně) podle odstavce 4 nebo 5 a zahrnují se do samostatného základu daně. Ustanovení § 20b odst. 2 platí obdobně.</w:t>
      </w:r>
    </w:p>
    <w:p w14:paraId="0871F29C" w14:textId="77777777" w:rsidR="000839A4" w:rsidRPr="000839A4" w:rsidRDefault="000839A4" w:rsidP="000839A4">
      <w:pPr>
        <w:keepNext/>
        <w:ind w:firstLine="0"/>
        <w:jc w:val="center"/>
        <w:rPr>
          <w:szCs w:val="24"/>
        </w:rPr>
      </w:pPr>
      <w:r w:rsidRPr="000839A4">
        <w:rPr>
          <w:szCs w:val="24"/>
        </w:rPr>
        <w:t>§ 7a</w:t>
      </w:r>
    </w:p>
    <w:p w14:paraId="167511A2" w14:textId="77777777" w:rsidR="000839A4" w:rsidRPr="000839A4" w:rsidRDefault="000839A4" w:rsidP="000839A4">
      <w:pPr>
        <w:keepNext/>
        <w:ind w:firstLine="0"/>
        <w:jc w:val="center"/>
        <w:rPr>
          <w:b/>
          <w:szCs w:val="24"/>
        </w:rPr>
      </w:pPr>
      <w:r w:rsidRPr="000839A4">
        <w:rPr>
          <w:b/>
          <w:szCs w:val="24"/>
        </w:rPr>
        <w:t>Daň stanovená paušální částkou</w:t>
      </w:r>
    </w:p>
    <w:p w14:paraId="243227DB" w14:textId="77777777" w:rsidR="000839A4" w:rsidRPr="000839A4" w:rsidRDefault="000839A4" w:rsidP="000839A4">
      <w:pPr>
        <w:tabs>
          <w:tab w:val="left" w:pos="851"/>
        </w:tabs>
        <w:spacing w:before="120" w:after="120"/>
        <w:ind w:firstLine="427"/>
        <w:outlineLvl w:val="6"/>
      </w:pPr>
      <w:r w:rsidRPr="000839A4">
        <w:t>(1) Daň poplatníka, který je na konci zdaňovacího období poplatníkem v paušálním režimu, je rovna paušální dani, pokud tento poplatník v tomto zdaňovacím období</w:t>
      </w:r>
    </w:p>
    <w:p w14:paraId="332FB249" w14:textId="77777777" w:rsidR="000839A4" w:rsidRPr="000839A4" w:rsidRDefault="000839A4" w:rsidP="000839A4">
      <w:pPr>
        <w:tabs>
          <w:tab w:val="left" w:pos="426"/>
        </w:tabs>
        <w:spacing w:before="0"/>
        <w:ind w:firstLine="0"/>
        <w:outlineLvl w:val="7"/>
      </w:pPr>
      <w:r w:rsidRPr="000839A4">
        <w:t>a)</w:t>
      </w:r>
      <w:r w:rsidRPr="000839A4">
        <w:tab/>
        <w:t>rozhodné příjmy pro zvolené pásmo paušálního režimu</w:t>
      </w:r>
    </w:p>
    <w:p w14:paraId="47D75710" w14:textId="77777777" w:rsidR="000839A4" w:rsidRPr="000839A4" w:rsidRDefault="000839A4" w:rsidP="000839A4">
      <w:pPr>
        <w:spacing w:before="0"/>
        <w:ind w:left="851" w:hanging="426"/>
        <w:outlineLvl w:val="8"/>
      </w:pPr>
      <w:r w:rsidRPr="000839A4">
        <w:t>1.</w:t>
      </w:r>
      <w:r w:rsidRPr="000839A4">
        <w:tab/>
        <w:t>nepřesáhl, nebo</w:t>
      </w:r>
    </w:p>
    <w:p w14:paraId="2B33D1A9" w14:textId="77777777" w:rsidR="000839A4" w:rsidRPr="000839A4" w:rsidRDefault="000839A4" w:rsidP="000839A4">
      <w:pPr>
        <w:spacing w:before="0"/>
        <w:ind w:left="851" w:hanging="426"/>
        <w:outlineLvl w:val="8"/>
      </w:pPr>
      <w:r w:rsidRPr="000839A4">
        <w:t>2.</w:t>
      </w:r>
      <w:r w:rsidRPr="000839A4">
        <w:tab/>
        <w:t>přesáhl, ale nepřesáhl rozhodné příjmy pro vyšší pásmo paušálního režimu a podá správci daně oznámení o jiné výši paušální daně na její výši odpovídající tomuto pásmu paušálního režimu,</w:t>
      </w:r>
    </w:p>
    <w:p w14:paraId="7DFF19DB" w14:textId="77777777" w:rsidR="000839A4" w:rsidRPr="000839A4" w:rsidRDefault="000839A4" w:rsidP="000839A4">
      <w:pPr>
        <w:tabs>
          <w:tab w:val="left" w:pos="426"/>
        </w:tabs>
        <w:spacing w:before="0"/>
        <w:ind w:firstLine="0"/>
        <w:outlineLvl w:val="8"/>
      </w:pPr>
      <w:proofErr w:type="gramStart"/>
      <w:r w:rsidRPr="000839A4">
        <w:t>b)   vedle</w:t>
      </w:r>
      <w:proofErr w:type="gramEnd"/>
      <w:r w:rsidRPr="000839A4">
        <w:t xml:space="preserve"> rozhodných příjmů má pouze </w:t>
      </w:r>
    </w:p>
    <w:p w14:paraId="3E8FE21E" w14:textId="77777777" w:rsidR="000839A4" w:rsidRPr="000839A4" w:rsidRDefault="000839A4" w:rsidP="000839A4">
      <w:pPr>
        <w:spacing w:before="0"/>
        <w:ind w:left="851" w:hanging="426"/>
        <w:outlineLvl w:val="8"/>
      </w:pPr>
      <w:r w:rsidRPr="000839A4">
        <w:t>1.</w:t>
      </w:r>
      <w:r w:rsidRPr="000839A4">
        <w:tab/>
        <w:t>příjmy od daně osvobozené,</w:t>
      </w:r>
    </w:p>
    <w:p w14:paraId="30E2609B" w14:textId="77777777" w:rsidR="000839A4" w:rsidRPr="000839A4" w:rsidRDefault="000839A4" w:rsidP="000839A4">
      <w:pPr>
        <w:spacing w:before="0"/>
        <w:ind w:left="851" w:hanging="426"/>
        <w:outlineLvl w:val="8"/>
      </w:pPr>
      <w:r w:rsidRPr="000839A4">
        <w:t>2.</w:t>
      </w:r>
      <w:r w:rsidRPr="000839A4">
        <w:tab/>
        <w:t>příjmy, které nejsou předmětem daně,</w:t>
      </w:r>
    </w:p>
    <w:p w14:paraId="77A0EDA0" w14:textId="77777777" w:rsidR="000839A4" w:rsidRPr="000839A4" w:rsidRDefault="000839A4" w:rsidP="000839A4">
      <w:pPr>
        <w:spacing w:before="0"/>
        <w:ind w:left="851" w:hanging="426"/>
        <w:outlineLvl w:val="8"/>
      </w:pPr>
      <w:r w:rsidRPr="000839A4">
        <w:t xml:space="preserve">3. </w:t>
      </w:r>
      <w:r w:rsidRPr="000839A4">
        <w:tab/>
        <w:t>příjmy, ze kterých je daň vybírána srážkou podle zvláštní sazby daně, a</w:t>
      </w:r>
    </w:p>
    <w:p w14:paraId="73C912BA" w14:textId="77777777" w:rsidR="000839A4" w:rsidRPr="000839A4" w:rsidRDefault="000839A4" w:rsidP="000839A4">
      <w:pPr>
        <w:spacing w:before="0"/>
        <w:ind w:left="851" w:hanging="426"/>
        <w:outlineLvl w:val="8"/>
      </w:pPr>
      <w:r w:rsidRPr="000839A4">
        <w:lastRenderedPageBreak/>
        <w:t>4.</w:t>
      </w:r>
      <w:r w:rsidRPr="000839A4">
        <w:tab/>
        <w:t>příjmy z kapitálového majetku, příjmy z nájmu a ostatní příjmy, pokud se nejedná o příjmy podle bodů 1 až 3 a pokud celková výše těchto příjmů nepřesahuje 25 000 Kč,</w:t>
      </w:r>
    </w:p>
    <w:p w14:paraId="03E0504D" w14:textId="77777777" w:rsidR="000839A4" w:rsidRPr="000839A4" w:rsidRDefault="000839A4" w:rsidP="000839A4">
      <w:pPr>
        <w:spacing w:before="0"/>
        <w:ind w:left="425" w:hanging="425"/>
        <w:outlineLvl w:val="7"/>
      </w:pPr>
      <w:r w:rsidRPr="000839A4">
        <w:t>c)</w:t>
      </w:r>
      <w:r w:rsidRPr="000839A4">
        <w:tab/>
        <w:t>není plátcem daně z přidané hodnoty a nemá registrační povinnost k dani z přidané hodnoty, s výjimkou registrační povinnosti identifikované osoby, a</w:t>
      </w:r>
    </w:p>
    <w:p w14:paraId="4F754EA6" w14:textId="77777777" w:rsidR="000839A4" w:rsidRPr="000839A4" w:rsidRDefault="000839A4" w:rsidP="000839A4">
      <w:pPr>
        <w:spacing w:before="0"/>
        <w:ind w:left="425" w:hanging="425"/>
        <w:outlineLvl w:val="7"/>
      </w:pPr>
      <w:r w:rsidRPr="000839A4">
        <w:t>d)</w:t>
      </w:r>
      <w:r w:rsidRPr="000839A4">
        <w:tab/>
        <w:t>není společníkem veřejné obchodní společnosti ani komplementářem komanditní společnosti.</w:t>
      </w:r>
    </w:p>
    <w:p w14:paraId="62570461" w14:textId="77777777" w:rsidR="000839A4" w:rsidRPr="000839A4" w:rsidRDefault="000839A4" w:rsidP="000839A4">
      <w:pPr>
        <w:tabs>
          <w:tab w:val="left" w:pos="851"/>
        </w:tabs>
        <w:spacing w:before="120" w:after="120"/>
        <w:ind w:firstLine="427"/>
        <w:outlineLvl w:val="6"/>
      </w:pPr>
      <w:r w:rsidRPr="000839A4">
        <w:t>(2)</w:t>
      </w:r>
      <w:r w:rsidRPr="000839A4">
        <w:tab/>
        <w:t>Pokud poplatník přestal být poplatníkem v paušálním režimu před koncem zdaňovacího období z důvodu, že přerušil činnost, ze které plynou příjmy ze samostatné činnosti, je jeho daň za toto zdaňovací období rovna paušální dani, pokud poplatník</w:t>
      </w:r>
    </w:p>
    <w:p w14:paraId="3F4FE16B" w14:textId="77777777" w:rsidR="000839A4" w:rsidRPr="000839A4" w:rsidRDefault="000839A4" w:rsidP="000839A4">
      <w:pPr>
        <w:spacing w:before="0"/>
        <w:ind w:left="425" w:hanging="425"/>
        <w:outlineLvl w:val="7"/>
      </w:pPr>
      <w:r w:rsidRPr="000839A4">
        <w:t>a)</w:t>
      </w:r>
      <w:r w:rsidRPr="000839A4">
        <w:tab/>
        <w:t>splňuje podmínky podle odstavce 1,</w:t>
      </w:r>
    </w:p>
    <w:p w14:paraId="76879A16" w14:textId="77777777" w:rsidR="000839A4" w:rsidRPr="000839A4" w:rsidRDefault="000839A4" w:rsidP="000839A4">
      <w:pPr>
        <w:spacing w:before="0"/>
        <w:ind w:left="425" w:hanging="425"/>
        <w:outlineLvl w:val="7"/>
      </w:pPr>
      <w:r w:rsidRPr="000839A4">
        <w:t>b)</w:t>
      </w:r>
      <w:r w:rsidRPr="000839A4">
        <w:tab/>
        <w:t>v části tohoto zdaňovacího období po dni, ve kterém přestal být poplatníkem v paušálním režimu, nevykonával činnost, ze které plynou příjmy ze samostatné činnosti, a</w:t>
      </w:r>
    </w:p>
    <w:p w14:paraId="4B2F447D" w14:textId="77777777" w:rsidR="000839A4" w:rsidRPr="000839A4" w:rsidRDefault="000839A4" w:rsidP="000839A4">
      <w:pPr>
        <w:tabs>
          <w:tab w:val="left" w:pos="426"/>
        </w:tabs>
        <w:spacing w:before="0"/>
        <w:ind w:left="420" w:hanging="420"/>
        <w:outlineLvl w:val="7"/>
      </w:pPr>
      <w:r w:rsidRPr="000839A4">
        <w:t>c)</w:t>
      </w:r>
      <w:r w:rsidRPr="000839A4">
        <w:tab/>
        <w:t>do konce lhůty pro podání daňového přiznání za toto zdaňovací období</w:t>
      </w:r>
    </w:p>
    <w:p w14:paraId="6F634B0B" w14:textId="77777777" w:rsidR="000839A4" w:rsidRPr="000839A4" w:rsidRDefault="000839A4" w:rsidP="000839A4">
      <w:pPr>
        <w:spacing w:before="0"/>
        <w:ind w:left="851" w:hanging="426"/>
        <w:outlineLvl w:val="8"/>
      </w:pPr>
      <w:r w:rsidRPr="000839A4">
        <w:t>1.</w:t>
      </w:r>
      <w:r w:rsidRPr="000839A4">
        <w:tab/>
        <w:t>zahájí činnost, ze které plynou příjmy ze samostatné činnosti, nebo</w:t>
      </w:r>
    </w:p>
    <w:p w14:paraId="4F42EAD1" w14:textId="77777777" w:rsidR="000839A4" w:rsidRPr="000839A4" w:rsidRDefault="000839A4" w:rsidP="000839A4">
      <w:pPr>
        <w:spacing w:before="0"/>
        <w:ind w:left="851" w:hanging="426"/>
        <w:outlineLvl w:val="8"/>
      </w:pPr>
      <w:r w:rsidRPr="000839A4">
        <w:t>2.</w:t>
      </w:r>
      <w:r w:rsidRPr="000839A4">
        <w:tab/>
        <w:t xml:space="preserve">nezahájí činnost, ze které plynou příjmy ze samostatné činnosti, nevede účetnictví a úhrn položek, o které by zvyšoval rozdíl mezi příjmy a výdaji, kdyby v tomto zdaňovacím období vedl daňovou evidenci, a příjmů ze samostatné činnosti nepřesáhl rozhodné příjmy pro zvolené pásmo paušálního režimu nebo pro vyšší pásmo paušálního režimu, pokud podá správci daně oznámení o jiné výši paušální daně na její výši odpovídající tomuto pásmu paušálního režimu </w:t>
      </w:r>
    </w:p>
    <w:p w14:paraId="55373DA6" w14:textId="77777777" w:rsidR="000839A4" w:rsidRPr="000839A4" w:rsidRDefault="000839A4" w:rsidP="000839A4">
      <w:pPr>
        <w:tabs>
          <w:tab w:val="left" w:pos="851"/>
        </w:tabs>
        <w:spacing w:before="120" w:after="120"/>
        <w:ind w:firstLine="427"/>
        <w:outlineLvl w:val="6"/>
      </w:pPr>
      <w:r w:rsidRPr="000839A4">
        <w:t>(3)</w:t>
      </w:r>
      <w:r w:rsidRPr="000839A4">
        <w:tab/>
        <w:t xml:space="preserve">Pro účely odstavců 1 a 2 se na poplatníka, který v posledním kalendářním měsíci zdaňovacího období zemřel nebo ukončil činnost, ze které plynou příjmy ze samostatné činnosti, hledí jako na poplatníka, který přestal být poplatníkem v paušálním režimu před koncem tohoto zdaňovacího období. </w:t>
      </w:r>
    </w:p>
    <w:p w14:paraId="4344EE75" w14:textId="77777777" w:rsidR="000839A4" w:rsidRPr="000839A4" w:rsidRDefault="000839A4" w:rsidP="000839A4">
      <w:pPr>
        <w:tabs>
          <w:tab w:val="left" w:pos="851"/>
        </w:tabs>
        <w:spacing w:before="120" w:after="120"/>
        <w:ind w:firstLine="427"/>
        <w:outlineLvl w:val="6"/>
        <w:rPr>
          <w:strike/>
        </w:rPr>
      </w:pPr>
      <w:r w:rsidRPr="000839A4">
        <w:rPr>
          <w:strike/>
        </w:rPr>
        <w:t>(4) Pro účely odstavců 1 a 2 se za příjem ze samostatné činnosti považuje také příjem z úplatného převodu nebo nájmu majetku, který byl v posledním předcházejícím zdaňovacím období, za které nebyla daň poplatníka rovna paušální dani a za které poplatník neuplatňoval výdaje procentem z příjmů, zařazen v obchodním majetku.</w:t>
      </w:r>
    </w:p>
    <w:p w14:paraId="467CE096" w14:textId="77777777" w:rsidR="000839A4" w:rsidRPr="000839A4" w:rsidRDefault="000839A4" w:rsidP="000839A4">
      <w:pPr>
        <w:tabs>
          <w:tab w:val="left" w:pos="851"/>
        </w:tabs>
        <w:spacing w:before="120" w:after="120"/>
        <w:ind w:firstLine="427"/>
        <w:outlineLvl w:val="6"/>
      </w:pPr>
      <w:proofErr w:type="gramStart"/>
      <w:r w:rsidRPr="000839A4">
        <w:rPr>
          <w:strike/>
        </w:rPr>
        <w:t>(5)</w:t>
      </w:r>
      <w:r w:rsidRPr="000839A4">
        <w:rPr>
          <w:b/>
        </w:rPr>
        <w:t xml:space="preserve">(4) </w:t>
      </w:r>
      <w:r w:rsidRPr="000839A4">
        <w:t>Daň</w:t>
      </w:r>
      <w:proofErr w:type="gramEnd"/>
      <w:r w:rsidRPr="000839A4">
        <w:t xml:space="preserve"> se nerovná paušální dani, pokud poplatník podle odstavce 1 nebo 2, který je daňovým rezidentem České republiky, vyloučí dvojí zdanění příjmů plynoucích ze zdrojů v zahraničí v daňovém přiznání.  </w:t>
      </w:r>
    </w:p>
    <w:p w14:paraId="3FC0AB6A" w14:textId="77777777" w:rsidR="000839A4" w:rsidRPr="000839A4" w:rsidRDefault="000839A4" w:rsidP="000839A4">
      <w:pPr>
        <w:tabs>
          <w:tab w:val="num" w:pos="783"/>
          <w:tab w:val="left" w:pos="851"/>
        </w:tabs>
        <w:spacing w:before="120" w:after="120"/>
        <w:ind w:firstLine="427"/>
        <w:outlineLvl w:val="6"/>
      </w:pPr>
      <w:proofErr w:type="gramStart"/>
      <w:r w:rsidRPr="000839A4">
        <w:rPr>
          <w:strike/>
        </w:rPr>
        <w:t>(6)</w:t>
      </w:r>
      <w:r w:rsidRPr="000839A4">
        <w:rPr>
          <w:b/>
        </w:rPr>
        <w:t xml:space="preserve">(5) </w:t>
      </w:r>
      <w:r w:rsidRPr="000839A4">
        <w:t>Paušální</w:t>
      </w:r>
      <w:proofErr w:type="gramEnd"/>
      <w:r w:rsidRPr="000839A4">
        <w:t xml:space="preserve"> daň činí součin počtu kalendářních měsíců zdaňovacího období, ve kterých byl poplatník v paušálním režimu, a zálohy na daň pro</w:t>
      </w:r>
    </w:p>
    <w:p w14:paraId="5D7CE1F0" w14:textId="77777777" w:rsidR="000839A4" w:rsidRPr="000839A4" w:rsidRDefault="000839A4" w:rsidP="00FE4A0D">
      <w:pPr>
        <w:numPr>
          <w:ilvl w:val="3"/>
          <w:numId w:val="83"/>
        </w:numPr>
        <w:spacing w:before="0"/>
        <w:jc w:val="left"/>
        <w:outlineLvl w:val="7"/>
      </w:pPr>
      <w:r w:rsidRPr="000839A4">
        <w:t>zvolené pásmo paušálního režimu, nebo</w:t>
      </w:r>
    </w:p>
    <w:p w14:paraId="1AF4ABA0" w14:textId="77777777" w:rsidR="000839A4" w:rsidRPr="000839A4" w:rsidRDefault="000839A4" w:rsidP="00FE4A0D">
      <w:pPr>
        <w:numPr>
          <w:ilvl w:val="3"/>
          <w:numId w:val="83"/>
        </w:numPr>
        <w:spacing w:before="0"/>
        <w:jc w:val="left"/>
        <w:outlineLvl w:val="7"/>
      </w:pPr>
      <w:r w:rsidRPr="000839A4">
        <w:t>pásmo paušálního režimu určující výši paušální daně v případě, že poplatník podá oznámení o jiné výši paušální daně správci daně, pokud jeho příjmy v tomto zdaňovacím období nepřesáhly rozhodné příjmy pro toto pásmo paušálního režimu.</w:t>
      </w:r>
    </w:p>
    <w:p w14:paraId="3768E122" w14:textId="77777777" w:rsidR="000839A4" w:rsidRPr="000839A4" w:rsidRDefault="000839A4" w:rsidP="000839A4">
      <w:pPr>
        <w:tabs>
          <w:tab w:val="num" w:pos="783"/>
          <w:tab w:val="left" w:pos="851"/>
        </w:tabs>
        <w:spacing w:before="120" w:after="120"/>
        <w:ind w:firstLine="427"/>
        <w:outlineLvl w:val="6"/>
      </w:pPr>
      <w:proofErr w:type="gramStart"/>
      <w:r w:rsidRPr="000839A4">
        <w:rPr>
          <w:strike/>
        </w:rPr>
        <w:t>(7)</w:t>
      </w:r>
      <w:r w:rsidRPr="000839A4">
        <w:rPr>
          <w:b/>
        </w:rPr>
        <w:t xml:space="preserve">(6) </w:t>
      </w:r>
      <w:r w:rsidRPr="000839A4">
        <w:t>Na</w:t>
      </w:r>
      <w:proofErr w:type="gramEnd"/>
      <w:r w:rsidRPr="000839A4">
        <w:t xml:space="preserve"> poplatníka v paušálním režimu se pro účely daní z příjmů hledí jako na poplatníka s příjmy ze samostatné činnosti, které jsou předmětem daně, a to i v případě, že mu v rozhodném období tyto příjmy neplynou.</w:t>
      </w:r>
    </w:p>
    <w:p w14:paraId="4D919E2E" w14:textId="77777777" w:rsidR="000839A4" w:rsidRPr="000839A4" w:rsidRDefault="000839A4" w:rsidP="000839A4">
      <w:pPr>
        <w:tabs>
          <w:tab w:val="num" w:pos="783"/>
          <w:tab w:val="left" w:pos="851"/>
        </w:tabs>
        <w:spacing w:before="120" w:after="120"/>
        <w:ind w:firstLine="427"/>
        <w:outlineLvl w:val="6"/>
      </w:pPr>
      <w:proofErr w:type="gramStart"/>
      <w:r w:rsidRPr="000839A4">
        <w:rPr>
          <w:strike/>
        </w:rPr>
        <w:t>(8)</w:t>
      </w:r>
      <w:r w:rsidRPr="000839A4">
        <w:rPr>
          <w:b/>
        </w:rPr>
        <w:t xml:space="preserve">(7) </w:t>
      </w:r>
      <w:r w:rsidRPr="000839A4">
        <w:t>Poplatník</w:t>
      </w:r>
      <w:proofErr w:type="gramEnd"/>
      <w:r w:rsidRPr="000839A4">
        <w:t xml:space="preserve"> v paušálním režimu, který má příjmy ze samostatné činnosti, ke kterým lze uplatnit výdaje procentem z příjmů v různé výši, vede záznamy o příjmech ze samostatné činnosti pro účely prokázání výše rozhodných příjmů pro zvolené pásmo paušálního režimu. </w:t>
      </w:r>
      <w:r w:rsidRPr="000839A4">
        <w:rPr>
          <w:b/>
        </w:rPr>
        <w:lastRenderedPageBreak/>
        <w:t>Poplatník v paušálním režimu vede evidenci o evidovaných aktivech poplatníka v rámci činnosti, ze které plynou příjmy ze samostatné činnosti.</w:t>
      </w:r>
    </w:p>
    <w:p w14:paraId="666E39D4" w14:textId="77777777" w:rsidR="000839A4" w:rsidRPr="000839A4" w:rsidRDefault="000839A4" w:rsidP="000839A4">
      <w:pPr>
        <w:keepNext/>
        <w:keepLines/>
        <w:ind w:firstLine="0"/>
        <w:jc w:val="center"/>
        <w:rPr>
          <w:szCs w:val="24"/>
        </w:rPr>
      </w:pPr>
      <w:r w:rsidRPr="000839A4">
        <w:rPr>
          <w:szCs w:val="24"/>
        </w:rPr>
        <w:t>§ 7b</w:t>
      </w:r>
    </w:p>
    <w:p w14:paraId="2DAD622B" w14:textId="77777777" w:rsidR="000839A4" w:rsidRPr="000839A4" w:rsidRDefault="000839A4" w:rsidP="000839A4">
      <w:pPr>
        <w:keepNext/>
        <w:keepLines/>
        <w:ind w:firstLine="0"/>
        <w:jc w:val="center"/>
        <w:rPr>
          <w:b/>
          <w:szCs w:val="24"/>
        </w:rPr>
      </w:pPr>
      <w:r w:rsidRPr="000839A4">
        <w:rPr>
          <w:b/>
          <w:szCs w:val="24"/>
        </w:rPr>
        <w:t>Daňová evidence</w:t>
      </w:r>
    </w:p>
    <w:p w14:paraId="6F9BD187" w14:textId="77777777" w:rsidR="000839A4" w:rsidRPr="000839A4" w:rsidRDefault="000839A4" w:rsidP="000839A4">
      <w:pPr>
        <w:tabs>
          <w:tab w:val="left" w:pos="851"/>
        </w:tabs>
        <w:spacing w:before="120" w:after="120"/>
        <w:ind w:firstLine="427"/>
        <w:outlineLvl w:val="6"/>
      </w:pPr>
      <w:r w:rsidRPr="000839A4">
        <w:t>(1) Daňovou evidencí se pro účely daní z příjmů rozumí evidence pro účely stanovení základu daně a daně z příjmů. Tato evidence obsahuje údaje o</w:t>
      </w:r>
    </w:p>
    <w:p w14:paraId="47C213F1"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příjmech a výdajích, v členění potřebném pro zjištění základu daně,</w:t>
      </w:r>
    </w:p>
    <w:p w14:paraId="7B83CD9A"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majetku a dluzích.</w:t>
      </w:r>
    </w:p>
    <w:p w14:paraId="0A7390F9" w14:textId="77777777" w:rsidR="000839A4" w:rsidRPr="000839A4" w:rsidRDefault="000839A4" w:rsidP="000839A4">
      <w:pPr>
        <w:tabs>
          <w:tab w:val="left" w:pos="851"/>
        </w:tabs>
        <w:spacing w:before="120" w:after="120"/>
        <w:ind w:firstLine="427"/>
        <w:outlineLvl w:val="6"/>
      </w:pPr>
      <w:r w:rsidRPr="000839A4">
        <w:t>(2) Pro obsahové vymezení složek majetku v daňové evidenci se použijí zvláštní právní předpisy o účetnictví</w:t>
      </w:r>
      <w:r w:rsidRPr="000839A4">
        <w:rPr>
          <w:strike/>
          <w:vertAlign w:val="superscript"/>
        </w:rPr>
        <w:footnoteReference w:customMarkFollows="1" w:id="134"/>
        <w:t>20h)</w:t>
      </w:r>
      <w:r w:rsidRPr="000839A4">
        <w:t>, není-li dále stanoveno jinak.</w:t>
      </w:r>
    </w:p>
    <w:p w14:paraId="0E8D5609" w14:textId="77777777" w:rsidR="000839A4" w:rsidRPr="000839A4" w:rsidRDefault="000839A4" w:rsidP="000839A4">
      <w:pPr>
        <w:tabs>
          <w:tab w:val="left" w:pos="851"/>
        </w:tabs>
        <w:spacing w:before="120" w:after="120"/>
        <w:ind w:firstLine="427"/>
        <w:outlineLvl w:val="6"/>
      </w:pPr>
      <w:r w:rsidRPr="000839A4">
        <w:t xml:space="preserve">(3) Pro ocenění majetku a dluhů v daňové evidenci se hmotný majetek oceňuje podle § 29, pohledávky se oceňují podle § 5. Ostatní majetek se oceňuje pořizovací </w:t>
      </w:r>
      <w:proofErr w:type="gramStart"/>
      <w:r w:rsidRPr="000839A4">
        <w:t>cenou,</w:t>
      </w:r>
      <w:bookmarkStart w:id="15" w:name="_Ref535916572"/>
      <w:r w:rsidRPr="000839A4">
        <w:rPr>
          <w:vertAlign w:val="superscript"/>
        </w:rPr>
        <w:footnoteReference w:customMarkFollows="1" w:id="135"/>
        <w:t>31</w:t>
      </w:r>
      <w:proofErr w:type="gramEnd"/>
      <w:r w:rsidRPr="000839A4">
        <w:rPr>
          <w:vertAlign w:val="superscript"/>
        </w:rPr>
        <w:t>)</w:t>
      </w:r>
      <w:bookmarkEnd w:id="15"/>
      <w:r w:rsidRPr="000839A4">
        <w:t xml:space="preserve"> je-li pořízen úplatně, vlastními náklady,</w:t>
      </w:r>
      <w:r w:rsidRPr="000839A4">
        <w:rPr>
          <w:vertAlign w:val="superscript"/>
        </w:rPr>
        <w:t xml:space="preserve">31) </w:t>
      </w:r>
      <w:r w:rsidRPr="000839A4">
        <w:t>je-li pořízen ve vlastní režii, nebo cenou určenou podle zvláštního právního předpisu o oceňování majetku</w:t>
      </w:r>
      <w:r w:rsidRPr="000839A4">
        <w:rPr>
          <w:vertAlign w:val="superscript"/>
        </w:rPr>
        <w:t>1a)</w:t>
      </w:r>
      <w:r w:rsidRPr="000839A4">
        <w:t xml:space="preserve"> ke dni nabytí u majetku nabytého bezúplatně. Dluhy se oceňují při vzniku jmenovitou hodnotou, při převzetí pořizovací cenou. Peněžní prostředky a ceniny se oceňují jejich jmenovitými hodnotami. Pořizovací cenou pozemku je cena včetně porostu, pokud se nejedná o pěstitelský celek trvalých porostů (§ 26), bez stavby na něm zřízené. Do pořizovací ceny majetku pořízeného formou finančního leasingu se zahrnou výdaje s jeho pořízením související, hrazené uživatelem. V případě úplatného pořízení majetku a dluhů, za jednu pořizovací cenu, se cena jednotlivých složek majetku stanoví v poměrné výši k ceně jednotlivých složek majetku oceněných podle zvláštního právního předpisu,</w:t>
      </w:r>
      <w:r w:rsidRPr="000839A4">
        <w:rPr>
          <w:vertAlign w:val="superscript"/>
        </w:rPr>
        <w:t>1a)</w:t>
      </w:r>
      <w:r w:rsidRPr="000839A4">
        <w:t xml:space="preserve"> s výjimkou peněz, cenin, pohledávek a dluhů. Je-li v případě úplatného pořízení majetku a dluhů rozdíl mezi pořizovací cenou a oceněním tohoto majetku podle zvláštního právního předpisu,</w:t>
      </w:r>
      <w:r w:rsidRPr="000839A4">
        <w:rPr>
          <w:vertAlign w:val="superscript"/>
        </w:rPr>
        <w:t>1a)</w:t>
      </w:r>
      <w:r w:rsidRPr="000839A4">
        <w:t xml:space="preserve"> zvýšeným o hodnotu peněz, cenin, pohledávek včetně daně z přidané hodnoty, a snížený o hodnotu dluhů, záporný, postupuje se obdobně jako v případě záporného oceňovacího rozdílu při koupi obchodního závodu (§ 23).</w:t>
      </w:r>
    </w:p>
    <w:p w14:paraId="5F2A45E0" w14:textId="77777777" w:rsidR="000839A4" w:rsidRPr="000839A4" w:rsidRDefault="000839A4" w:rsidP="000839A4">
      <w:pPr>
        <w:tabs>
          <w:tab w:val="left" w:pos="851"/>
        </w:tabs>
        <w:spacing w:before="120" w:after="120"/>
        <w:ind w:firstLine="427"/>
        <w:outlineLvl w:val="6"/>
      </w:pPr>
      <w:r w:rsidRPr="000839A4">
        <w:t>(4) Zjištění skutečného stavu zásob, hmotného majetku, pohledávek a dluhů provede poplatník k poslednímu dni zdaňovacího období. O tomto zjištění provede zápis. O případné rozdíly upraví základ daně podle § 24 a 25.</w:t>
      </w:r>
    </w:p>
    <w:p w14:paraId="73C77B76" w14:textId="77777777" w:rsidR="000839A4" w:rsidRPr="000839A4" w:rsidRDefault="000839A4" w:rsidP="000839A4">
      <w:pPr>
        <w:tabs>
          <w:tab w:val="left" w:pos="851"/>
        </w:tabs>
        <w:spacing w:before="120" w:after="120"/>
        <w:ind w:firstLine="427"/>
        <w:outlineLvl w:val="6"/>
      </w:pPr>
      <w:r w:rsidRPr="000839A4">
        <w:t>(5) Poplatník je povinen uschovávat daňovou evidenci za všechna zdaňovací období, pro která neuplynula lhůta pro stanovení daně.</w:t>
      </w:r>
    </w:p>
    <w:p w14:paraId="46D85CF2" w14:textId="77777777" w:rsidR="000839A4" w:rsidRPr="000839A4" w:rsidRDefault="000839A4" w:rsidP="000839A4">
      <w:pPr>
        <w:keepNext/>
        <w:ind w:firstLine="0"/>
        <w:jc w:val="center"/>
        <w:rPr>
          <w:szCs w:val="24"/>
        </w:rPr>
      </w:pPr>
      <w:r w:rsidRPr="000839A4">
        <w:rPr>
          <w:szCs w:val="24"/>
        </w:rPr>
        <w:t>§ 8</w:t>
      </w:r>
    </w:p>
    <w:p w14:paraId="75728C26" w14:textId="77777777" w:rsidR="000839A4" w:rsidRPr="000839A4" w:rsidRDefault="000839A4" w:rsidP="000839A4">
      <w:pPr>
        <w:keepNext/>
        <w:ind w:firstLine="0"/>
        <w:jc w:val="center"/>
        <w:rPr>
          <w:b/>
          <w:szCs w:val="24"/>
        </w:rPr>
      </w:pPr>
      <w:r w:rsidRPr="000839A4">
        <w:rPr>
          <w:b/>
          <w:szCs w:val="24"/>
        </w:rPr>
        <w:t xml:space="preserve"> Příjmy z kapitálového majetku </w:t>
      </w:r>
    </w:p>
    <w:p w14:paraId="46777EA6" w14:textId="77777777" w:rsidR="000839A4" w:rsidRPr="000839A4" w:rsidRDefault="000839A4" w:rsidP="000839A4">
      <w:pPr>
        <w:tabs>
          <w:tab w:val="left" w:pos="851"/>
        </w:tabs>
        <w:spacing w:before="120" w:after="120"/>
        <w:ind w:firstLine="427"/>
        <w:outlineLvl w:val="6"/>
      </w:pPr>
      <w:r w:rsidRPr="000839A4">
        <w:t>(1) Příjmy z kapitálového majetku, pokud nejde o příjmy podle § 6 odst. 1 nebo § 7 odst. 1 písm. d), jsou</w:t>
      </w:r>
    </w:p>
    <w:p w14:paraId="71426F0F"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 xml:space="preserve">podíly na zisku obchodní korporace nebo podílového fondu, je-li v něm podíl představován cenným papírem, úroky z držby cenných papírů a výnosy dluhopisů podle zákona </w:t>
      </w:r>
      <w:r w:rsidRPr="000839A4">
        <w:rPr>
          <w:szCs w:val="24"/>
        </w:rPr>
        <w:lastRenderedPageBreak/>
        <w:t xml:space="preserve">upravujícího dluhopisy s výjimkou výnosu určeného rozdílem mezi jmenovitou hodnotou dluhopisu a jeho emisním kurzem, </w:t>
      </w:r>
    </w:p>
    <w:p w14:paraId="1CAB7A9A"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 xml:space="preserve">podíly na zisku tichého společníka z účasti na podnikání, </w:t>
      </w:r>
    </w:p>
    <w:p w14:paraId="798B2C00" w14:textId="77777777" w:rsidR="000839A4" w:rsidRPr="000839A4" w:rsidRDefault="000839A4" w:rsidP="000839A4">
      <w:pPr>
        <w:tabs>
          <w:tab w:val="left" w:pos="357"/>
        </w:tabs>
        <w:spacing w:before="0"/>
        <w:ind w:left="357" w:hanging="357"/>
        <w:rPr>
          <w:szCs w:val="24"/>
        </w:rPr>
      </w:pPr>
      <w:r w:rsidRPr="000839A4">
        <w:rPr>
          <w:szCs w:val="24"/>
        </w:rPr>
        <w:t>c)</w:t>
      </w:r>
      <w:r w:rsidRPr="000839A4">
        <w:rPr>
          <w:szCs w:val="24"/>
        </w:rPr>
        <w:tab/>
        <w:t xml:space="preserve">úroky, výhry a jiné výnosy z vkladů na vkladních knížkách, úroky z peněžních prostředků na účtu, který není podle podmínek toho, kdo účet vede, určen k podnikání, </w:t>
      </w:r>
    </w:p>
    <w:p w14:paraId="6B23F5D5" w14:textId="77777777" w:rsidR="000839A4" w:rsidRPr="000839A4" w:rsidRDefault="000839A4" w:rsidP="000839A4">
      <w:pPr>
        <w:tabs>
          <w:tab w:val="left" w:pos="357"/>
        </w:tabs>
        <w:spacing w:before="0"/>
        <w:ind w:left="357" w:hanging="357"/>
        <w:rPr>
          <w:szCs w:val="24"/>
        </w:rPr>
      </w:pPr>
      <w:r w:rsidRPr="000839A4">
        <w:rPr>
          <w:szCs w:val="24"/>
        </w:rPr>
        <w:t>d)</w:t>
      </w:r>
      <w:r w:rsidRPr="000839A4">
        <w:rPr>
          <w:szCs w:val="24"/>
        </w:rPr>
        <w:tab/>
        <w:t xml:space="preserve">výnos z jednorázového vkladu a z vkladu jemu na roveň postaveného, </w:t>
      </w:r>
    </w:p>
    <w:p w14:paraId="5D9AD3B4" w14:textId="77777777" w:rsidR="000839A4" w:rsidRPr="000839A4" w:rsidRDefault="000839A4" w:rsidP="000839A4">
      <w:pPr>
        <w:tabs>
          <w:tab w:val="left" w:pos="357"/>
        </w:tabs>
        <w:spacing w:before="0"/>
        <w:ind w:left="357" w:hanging="357"/>
        <w:rPr>
          <w:szCs w:val="24"/>
        </w:rPr>
      </w:pPr>
      <w:r w:rsidRPr="000839A4">
        <w:rPr>
          <w:szCs w:val="24"/>
        </w:rPr>
        <w:t>e)</w:t>
      </w:r>
      <w:r w:rsidRPr="000839A4">
        <w:rPr>
          <w:szCs w:val="24"/>
        </w:rPr>
        <w:tab/>
        <w:t>plnění z penzijního připojištění se státním příspěvkem podle zákona upravujícího penzijní připojištění se státním příspěvkem, z doplňkového penzijního spoření podle zákona upravujícího doplňkové penzijní spoření a z penzijního pojištění,</w:t>
      </w:r>
    </w:p>
    <w:p w14:paraId="17B88CD1" w14:textId="77777777" w:rsidR="000839A4" w:rsidRPr="000839A4" w:rsidRDefault="000839A4" w:rsidP="000839A4">
      <w:pPr>
        <w:tabs>
          <w:tab w:val="left" w:pos="357"/>
        </w:tabs>
        <w:spacing w:before="0"/>
        <w:ind w:left="357" w:hanging="357"/>
        <w:rPr>
          <w:szCs w:val="24"/>
        </w:rPr>
      </w:pPr>
      <w:r w:rsidRPr="000839A4">
        <w:rPr>
          <w:szCs w:val="24"/>
        </w:rPr>
        <w:t>f)</w:t>
      </w:r>
      <w:r w:rsidRPr="000839A4">
        <w:rPr>
          <w:szCs w:val="24"/>
        </w:rPr>
        <w:tab/>
        <w:t>plnění z pojištění pro případ dožití, z pojištění pro případ dožití se stanoveného věku nebo dřívější smrti a z pojištění důchodu a plnění z jiného pojištění osob, které není pojistným plněním,</w:t>
      </w:r>
    </w:p>
    <w:p w14:paraId="1DFEDB09" w14:textId="77777777" w:rsidR="000839A4" w:rsidRPr="000839A4" w:rsidRDefault="000839A4" w:rsidP="000839A4">
      <w:pPr>
        <w:tabs>
          <w:tab w:val="left" w:pos="357"/>
        </w:tabs>
        <w:spacing w:before="0"/>
        <w:ind w:left="357" w:hanging="357"/>
        <w:rPr>
          <w:szCs w:val="24"/>
        </w:rPr>
      </w:pPr>
      <w:r w:rsidRPr="000839A4">
        <w:rPr>
          <w:szCs w:val="24"/>
        </w:rPr>
        <w:t>g)</w:t>
      </w:r>
      <w:r w:rsidRPr="000839A4">
        <w:rPr>
          <w:szCs w:val="24"/>
        </w:rPr>
        <w:tab/>
        <w:t xml:space="preserve">úroky a jiné výnosy z poskytnutých úvěrů nebo zápůjček, úroky z prodlení, poplatek z prodlení, úroky z práva na dorovnání, úroky z vkladů na účtech neuvedených v písmeni c) s výjimkou příjmů poplatníka, jehož daň je rovna paušální dani, a úroky z hodnoty splaceného vkladu ve smluvené výši členů obchodních korporací, </w:t>
      </w:r>
    </w:p>
    <w:p w14:paraId="5525A915" w14:textId="77777777" w:rsidR="000839A4" w:rsidRPr="000839A4" w:rsidRDefault="000839A4" w:rsidP="000839A4">
      <w:pPr>
        <w:tabs>
          <w:tab w:val="left" w:pos="357"/>
        </w:tabs>
        <w:spacing w:before="0"/>
        <w:ind w:left="357" w:hanging="357"/>
        <w:rPr>
          <w:szCs w:val="24"/>
        </w:rPr>
      </w:pPr>
      <w:r w:rsidRPr="000839A4">
        <w:rPr>
          <w:szCs w:val="24"/>
        </w:rPr>
        <w:t>h)</w:t>
      </w:r>
      <w:r w:rsidRPr="000839A4">
        <w:rPr>
          <w:szCs w:val="24"/>
        </w:rPr>
        <w:tab/>
        <w:t xml:space="preserve">úrokové a jiné výnosy z držby směnek (např. diskont z částky směnky, úrok ze směnečné sumy), </w:t>
      </w:r>
    </w:p>
    <w:p w14:paraId="20D4690A" w14:textId="77777777" w:rsidR="000839A4" w:rsidRPr="000839A4" w:rsidRDefault="000839A4" w:rsidP="000839A4">
      <w:pPr>
        <w:tabs>
          <w:tab w:val="left" w:pos="357"/>
        </w:tabs>
        <w:spacing w:before="0"/>
        <w:ind w:left="357" w:hanging="357"/>
        <w:rPr>
          <w:szCs w:val="24"/>
        </w:rPr>
      </w:pPr>
      <w:r w:rsidRPr="000839A4">
        <w:rPr>
          <w:szCs w:val="24"/>
        </w:rPr>
        <w:t>i)</w:t>
      </w:r>
      <w:r w:rsidRPr="000839A4">
        <w:rPr>
          <w:szCs w:val="24"/>
        </w:rPr>
        <w:tab/>
        <w:t xml:space="preserve">plnění ze zisku </w:t>
      </w:r>
      <w:proofErr w:type="spellStart"/>
      <w:r w:rsidRPr="000839A4">
        <w:rPr>
          <w:szCs w:val="24"/>
        </w:rPr>
        <w:t>svěřenského</w:t>
      </w:r>
      <w:proofErr w:type="spellEnd"/>
      <w:r w:rsidRPr="000839A4">
        <w:rPr>
          <w:szCs w:val="24"/>
        </w:rPr>
        <w:t xml:space="preserve"> fondu nebo rodinné fundace. </w:t>
      </w:r>
    </w:p>
    <w:p w14:paraId="0FCE7961" w14:textId="77777777" w:rsidR="000839A4" w:rsidRPr="000839A4" w:rsidRDefault="000839A4" w:rsidP="000839A4">
      <w:pPr>
        <w:tabs>
          <w:tab w:val="left" w:pos="851"/>
        </w:tabs>
        <w:spacing w:before="120" w:after="120"/>
        <w:ind w:firstLine="427"/>
        <w:outlineLvl w:val="6"/>
      </w:pPr>
      <w:r w:rsidRPr="000839A4">
        <w:t xml:space="preserve">(2) Za příjem z kapitálového majetku se považuje také příjem plynoucí z práva na splacení </w:t>
      </w:r>
    </w:p>
    <w:p w14:paraId="7F13426B" w14:textId="77777777" w:rsidR="000839A4" w:rsidRPr="000839A4" w:rsidRDefault="000839A4" w:rsidP="000839A4">
      <w:pPr>
        <w:spacing w:before="0"/>
        <w:ind w:left="425" w:hanging="425"/>
        <w:rPr>
          <w:szCs w:val="24"/>
        </w:rPr>
      </w:pPr>
      <w:r w:rsidRPr="000839A4">
        <w:rPr>
          <w:szCs w:val="24"/>
        </w:rPr>
        <w:t>a)</w:t>
      </w:r>
      <w:r w:rsidRPr="000839A4">
        <w:rPr>
          <w:szCs w:val="24"/>
        </w:rPr>
        <w:tab/>
        <w:t xml:space="preserve">dluhopisu, kterým se pro účely daně z příjmů fyzických osob rozumí kladný rozdíl mezi jmenovitou hodnotou dluhopisu vyplacenou při jeho splacení nebo částkou vyplacenou při jeho předčasném splacení a cenou, za kterou poplatník dluhopis nabyl, nebo </w:t>
      </w:r>
      <w:r w:rsidRPr="000839A4">
        <w:rPr>
          <w:strike/>
          <w:szCs w:val="24"/>
        </w:rPr>
        <w:t>cenou určenou</w:t>
      </w:r>
      <w:r w:rsidRPr="000839A4">
        <w:rPr>
          <w:szCs w:val="24"/>
        </w:rPr>
        <w:t xml:space="preserve"> </w:t>
      </w:r>
      <w:r w:rsidRPr="000839A4">
        <w:rPr>
          <w:b/>
          <w:szCs w:val="24"/>
        </w:rPr>
        <w:t xml:space="preserve">hodnotou určenou </w:t>
      </w:r>
      <w:r w:rsidRPr="000839A4">
        <w:rPr>
          <w:szCs w:val="24"/>
        </w:rPr>
        <w:t xml:space="preserve">podle zákona upravujícího oceňování </w:t>
      </w:r>
      <w:r w:rsidRPr="000839A4">
        <w:rPr>
          <w:strike/>
          <w:szCs w:val="24"/>
        </w:rPr>
        <w:t>majetku</w:t>
      </w:r>
      <w:r w:rsidRPr="000839A4">
        <w:rPr>
          <w:b/>
          <w:szCs w:val="24"/>
        </w:rPr>
        <w:t xml:space="preserve"> věcí, služeb a dluhů</w:t>
      </w:r>
      <w:r w:rsidRPr="000839A4">
        <w:rPr>
          <w:szCs w:val="24"/>
        </w:rPr>
        <w:t xml:space="preserve"> ke dni jeho bezúplatného nabytí, a  </w:t>
      </w:r>
    </w:p>
    <w:p w14:paraId="20E80E51" w14:textId="77777777" w:rsidR="000839A4" w:rsidRPr="000839A4" w:rsidRDefault="000839A4" w:rsidP="000839A4">
      <w:pPr>
        <w:spacing w:before="0"/>
        <w:ind w:left="425" w:hanging="425"/>
        <w:rPr>
          <w:szCs w:val="24"/>
        </w:rPr>
      </w:pPr>
      <w:r w:rsidRPr="000839A4">
        <w:rPr>
          <w:szCs w:val="24"/>
        </w:rPr>
        <w:t>b)</w:t>
      </w:r>
      <w:r w:rsidRPr="000839A4">
        <w:rPr>
          <w:szCs w:val="24"/>
        </w:rPr>
        <w:tab/>
        <w:t xml:space="preserve">vkladního listu vydaného jako cenný papír nebo cenného papíru vkladnímu listu na roveň postaveného, kterým se pro účely daně z příjmů fyzických osob rozumí kladný rozdíl mezi jmenovitou hodnotou vkladního listu vydaného jako cenný papír nebo cenného papíru jemu na roveň postaveného vyplacenou při jejich splacení nebo částkou vyplacenou při jejich předčasném splacení a cenou, za kterou poplatník cenný papír nabyl, nebo </w:t>
      </w:r>
      <w:r w:rsidRPr="000839A4">
        <w:rPr>
          <w:strike/>
          <w:szCs w:val="24"/>
        </w:rPr>
        <w:t>cenou určenou</w:t>
      </w:r>
      <w:r w:rsidRPr="000839A4">
        <w:rPr>
          <w:szCs w:val="24"/>
        </w:rPr>
        <w:t xml:space="preserve"> </w:t>
      </w:r>
      <w:r w:rsidRPr="000839A4">
        <w:rPr>
          <w:b/>
          <w:szCs w:val="24"/>
        </w:rPr>
        <w:t xml:space="preserve">hodnotou určenou </w:t>
      </w:r>
      <w:r w:rsidRPr="000839A4">
        <w:rPr>
          <w:szCs w:val="24"/>
        </w:rPr>
        <w:t xml:space="preserve">podle zákona upravujícího oceňování </w:t>
      </w:r>
      <w:r w:rsidRPr="000839A4">
        <w:rPr>
          <w:strike/>
          <w:szCs w:val="24"/>
        </w:rPr>
        <w:t>majetku</w:t>
      </w:r>
      <w:r w:rsidRPr="000839A4">
        <w:rPr>
          <w:b/>
          <w:szCs w:val="24"/>
        </w:rPr>
        <w:t xml:space="preserve"> věcí, služeb a dluhů</w:t>
      </w:r>
      <w:r w:rsidRPr="000839A4">
        <w:rPr>
          <w:szCs w:val="24"/>
        </w:rPr>
        <w:t xml:space="preserve"> ke dni jeho bezúplatného nabytí.</w:t>
      </w:r>
    </w:p>
    <w:p w14:paraId="0179EE41" w14:textId="77777777" w:rsidR="000839A4" w:rsidRPr="000839A4" w:rsidRDefault="000839A4" w:rsidP="000839A4">
      <w:pPr>
        <w:tabs>
          <w:tab w:val="left" w:pos="851"/>
        </w:tabs>
        <w:spacing w:before="120" w:after="120"/>
        <w:ind w:firstLine="427"/>
        <w:outlineLvl w:val="6"/>
      </w:pPr>
      <w:r w:rsidRPr="000839A4">
        <w:t xml:space="preserve"> (3) Příjmy uvedené v odstavci 1 písm. a) až f) a i) a úrokové příjmy a jiné výnosy z držby směnky vystavené bankou k zajištění pohledávky vzniklé z vkladu věřitele [odstavec 1 písm. h)], plynoucí ze zdrojů na území České republiky, jsou samostatným základem daně pro zdanění zvláštní sazbou daně (§ 36). </w:t>
      </w:r>
    </w:p>
    <w:p w14:paraId="3DB5E943" w14:textId="77777777" w:rsidR="000839A4" w:rsidRPr="000839A4" w:rsidRDefault="000839A4" w:rsidP="000839A4">
      <w:pPr>
        <w:tabs>
          <w:tab w:val="left" w:pos="851"/>
        </w:tabs>
        <w:spacing w:before="120" w:after="120"/>
        <w:ind w:firstLine="427"/>
        <w:outlineLvl w:val="6"/>
      </w:pPr>
      <w:r w:rsidRPr="000839A4">
        <w:t xml:space="preserve">(4) Plynou-li příjmy uvedené v odstavci 1 písm. a) až d) a i) ze zdrojů v zahraničí, jsou nesnížené o výdaje základem daně (dílčím základem daně). Plynou-li příjmy uvedené v odstavci 1 písm. e) a f) ze zdrojů v zahraničí, jsou základem daně (dílčím základem daně). </w:t>
      </w:r>
    </w:p>
    <w:p w14:paraId="06C28B48" w14:textId="77777777" w:rsidR="000839A4" w:rsidRPr="000839A4" w:rsidRDefault="000839A4" w:rsidP="000839A4">
      <w:pPr>
        <w:tabs>
          <w:tab w:val="left" w:pos="851"/>
        </w:tabs>
        <w:spacing w:before="120" w:after="120"/>
        <w:ind w:firstLine="427"/>
        <w:outlineLvl w:val="6"/>
      </w:pPr>
      <w:r w:rsidRPr="000839A4">
        <w:t>(5) Příjmy uvedené v odstavci 1 písm. g) a h) a v odstavci 2 nesnížené o výdaje jsou základem daně (dílčím základem daně), s výjimkou úroků a jiných výnosů ze směnky vystavené bankou k zajištění pohledávky vzniklé z vkladu věřitele, které jsou samostatným základem daně pro zdanění zvláštní sazbou daně (§ 36). U příjmu z úroků ze zápůjčky nebo úvěru je výdajem zaplacený úrok z částek použitých na poskytnutí zápůjčky nebo úvěru, a to až do výše příjmu.</w:t>
      </w:r>
    </w:p>
    <w:p w14:paraId="70660339" w14:textId="77777777" w:rsidR="000839A4" w:rsidRPr="000839A4" w:rsidRDefault="000839A4" w:rsidP="000839A4">
      <w:pPr>
        <w:tabs>
          <w:tab w:val="left" w:pos="851"/>
        </w:tabs>
        <w:spacing w:before="120" w:after="120"/>
        <w:ind w:firstLine="427"/>
        <w:outlineLvl w:val="6"/>
      </w:pPr>
      <w:r w:rsidRPr="000839A4">
        <w:t xml:space="preserve">(6) Plnění z penzijního připojištění se státním příspěvkem podle zákona upravujícího penzijní připojištění se státním příspěvkem, z doplňkového penzijního spoření podle zákona </w:t>
      </w:r>
      <w:r w:rsidRPr="000839A4">
        <w:lastRenderedPageBreak/>
        <w:t>upravujícího doplňkové penzijní spoření a z penzijního pojištění jsou základem daně po snížení o zaplacené příspěvky a státní příspěvky hrazené Českou republikou, pokud tyto státní příspěvky nebyly vráceny; v případě těchto plnění ve formě penze se zaplacené příspěvky a státní příspěvky rozloží na vymezené období pobírání penze. Plnění z pojištění pro případ dožití, z pojištění pro případ dožití se stanoveného věku nebo dřívější smrti a z pojištění důchodu a plnění z jiného pojištění osob, které není pojistným plněním, jsou základem daně po snížení o zaplacené pojistné; v případě těchto plnění ve formě důchodu se zaplacené pojistné rozloží na vymezené období pobírání důchodu.</w:t>
      </w:r>
    </w:p>
    <w:p w14:paraId="14969925" w14:textId="77777777" w:rsidR="000839A4" w:rsidRPr="000839A4" w:rsidRDefault="000839A4" w:rsidP="000839A4">
      <w:pPr>
        <w:tabs>
          <w:tab w:val="left" w:pos="851"/>
        </w:tabs>
        <w:spacing w:before="120" w:after="120"/>
        <w:ind w:firstLine="427"/>
        <w:outlineLvl w:val="6"/>
      </w:pPr>
      <w:r w:rsidRPr="000839A4">
        <w:t>(7)</w:t>
      </w:r>
      <w:r w:rsidRPr="000839A4">
        <w:rPr>
          <w:b/>
        </w:rPr>
        <w:t xml:space="preserve"> </w:t>
      </w:r>
      <w:r w:rsidRPr="000839A4">
        <w:t xml:space="preserve">Jedná-li se o příjem podle odstavce 1 nebo odstavce 2 plynoucí do společného jmění manželů ze zdroje, který je </w:t>
      </w:r>
      <w:r w:rsidRPr="000839A4">
        <w:rPr>
          <w:strike/>
        </w:rPr>
        <w:t>vložen do obchodního majetku</w:t>
      </w:r>
      <w:r w:rsidRPr="000839A4">
        <w:t xml:space="preserve"> </w:t>
      </w:r>
      <w:r w:rsidRPr="000839A4">
        <w:rPr>
          <w:b/>
        </w:rPr>
        <w:t>evidovaným aktivem</w:t>
      </w:r>
      <w:r w:rsidRPr="000839A4">
        <w:t xml:space="preserve"> jednoho z manželů, zdaňuje se jen u tohoto manžela. Jedná-li se o příjem podle odstavce 1 nebo 2 plynoucí do společného jmění manželů ze zdroje, který není </w:t>
      </w:r>
      <w:r w:rsidRPr="000839A4">
        <w:rPr>
          <w:strike/>
        </w:rPr>
        <w:t>vložen do obchodního majetku</w:t>
      </w:r>
      <w:r w:rsidRPr="000839A4">
        <w:t xml:space="preserve"> </w:t>
      </w:r>
      <w:r w:rsidRPr="000839A4">
        <w:rPr>
          <w:b/>
        </w:rPr>
        <w:t>evidovaným aktivem</w:t>
      </w:r>
      <w:r w:rsidRPr="000839A4">
        <w:t xml:space="preserve"> žádného z manželů, zdaňuje se jen u jednoho z nich.</w:t>
      </w:r>
    </w:p>
    <w:p w14:paraId="707DE898" w14:textId="77777777" w:rsidR="000839A4" w:rsidRPr="000839A4" w:rsidRDefault="000839A4" w:rsidP="000839A4">
      <w:pPr>
        <w:tabs>
          <w:tab w:val="left" w:pos="851"/>
        </w:tabs>
        <w:spacing w:before="120" w:after="120"/>
        <w:ind w:firstLine="427"/>
        <w:outlineLvl w:val="6"/>
      </w:pPr>
      <w:r w:rsidRPr="000839A4">
        <w:t>(8) Příjem podle odstavce 4 nebo úrok nebo jiný výnos ze směnky vystavené bankou k zajištění pohledávky vzniklé z vkladu věřitele plynoucí ze zdrojů v zahraničí lze zahrnout do samostatného základu daně zdaňovaného sazbou daně podle § 16a. Zahrne-li se takový příjem do tohoto základu daně, zahrnou se do tohoto základu daně veškeré příjmy podle věty první. Tyto příjmy se nesnižují o výdaje s výjimkou příjmů uvedených v odstavci 1 písm. e) a f), u kterých se postupuje obdobně podle odstavce 6.</w:t>
      </w:r>
    </w:p>
    <w:p w14:paraId="29510C5A" w14:textId="77777777" w:rsidR="000839A4" w:rsidRPr="000839A4" w:rsidRDefault="000839A4" w:rsidP="000839A4">
      <w:pPr>
        <w:keepNext/>
        <w:ind w:firstLine="0"/>
        <w:jc w:val="center"/>
        <w:rPr>
          <w:szCs w:val="24"/>
        </w:rPr>
      </w:pPr>
      <w:r w:rsidRPr="000839A4">
        <w:rPr>
          <w:szCs w:val="24"/>
        </w:rPr>
        <w:t>§ 9</w:t>
      </w:r>
    </w:p>
    <w:p w14:paraId="2553995C" w14:textId="77777777" w:rsidR="000839A4" w:rsidRPr="000839A4" w:rsidRDefault="000839A4" w:rsidP="000839A4">
      <w:pPr>
        <w:keepNext/>
        <w:ind w:firstLine="0"/>
        <w:jc w:val="center"/>
        <w:rPr>
          <w:b/>
          <w:szCs w:val="24"/>
        </w:rPr>
      </w:pPr>
      <w:r w:rsidRPr="000839A4">
        <w:rPr>
          <w:b/>
          <w:szCs w:val="24"/>
        </w:rPr>
        <w:t xml:space="preserve">Příjmy z nájmu </w:t>
      </w:r>
    </w:p>
    <w:p w14:paraId="132F2EE6" w14:textId="77777777" w:rsidR="000839A4" w:rsidRPr="000839A4" w:rsidRDefault="000839A4" w:rsidP="000839A4">
      <w:pPr>
        <w:tabs>
          <w:tab w:val="left" w:pos="851"/>
        </w:tabs>
        <w:spacing w:before="120" w:after="120"/>
        <w:ind w:firstLine="427"/>
        <w:outlineLvl w:val="6"/>
      </w:pPr>
      <w:r w:rsidRPr="000839A4">
        <w:t>(1) Příjmy z nájmu, pokud nejde o příjmy uvedené v § 6 až 8, jsou</w:t>
      </w:r>
    </w:p>
    <w:p w14:paraId="1426E42E"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příjmy z nájmu nemovitých věcí nebo bytů,</w:t>
      </w:r>
    </w:p>
    <w:p w14:paraId="330C7C26"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příjmy z nájmu movitých věcí, kromě příležitostného nájmu podle § 10 odst. 1 písm. a).</w:t>
      </w:r>
    </w:p>
    <w:p w14:paraId="01038391" w14:textId="77777777" w:rsidR="000839A4" w:rsidRPr="000839A4" w:rsidRDefault="000839A4" w:rsidP="000839A4">
      <w:pPr>
        <w:tabs>
          <w:tab w:val="left" w:pos="851"/>
        </w:tabs>
        <w:spacing w:before="120" w:after="120"/>
        <w:ind w:firstLine="427"/>
        <w:outlineLvl w:val="6"/>
        <w:rPr>
          <w:strike/>
        </w:rPr>
      </w:pPr>
      <w:r w:rsidRPr="000839A4">
        <w:rPr>
          <w:strike/>
        </w:rPr>
        <w:t xml:space="preserve">(2) Příjmy podle odstavce 1, plynoucí manželům ze společného jmění manželů, se zdaňují jen u jednoho z nich. </w:t>
      </w:r>
    </w:p>
    <w:p w14:paraId="7EDB0945" w14:textId="77777777" w:rsidR="000839A4" w:rsidRPr="000839A4" w:rsidRDefault="000839A4" w:rsidP="000839A4">
      <w:pPr>
        <w:tabs>
          <w:tab w:val="left" w:pos="851"/>
        </w:tabs>
        <w:spacing w:before="120" w:after="120"/>
        <w:ind w:firstLine="427"/>
        <w:outlineLvl w:val="6"/>
        <w:rPr>
          <w:b/>
        </w:rPr>
      </w:pPr>
      <w:r w:rsidRPr="000839A4">
        <w:rPr>
          <w:b/>
        </w:rPr>
        <w:t>(2) Jde-li o věc ve společném jmění manželů, která je využívána pro činnost, ze které plyne příjem z nájmu, jedním z manželů nebo oběma manžely, je evidovaným aktivem pouze jednoho z manželů a příjmy z jejího nájmu zdaňuje tento manžel.</w:t>
      </w:r>
    </w:p>
    <w:p w14:paraId="33FF93BB" w14:textId="77777777" w:rsidR="000839A4" w:rsidRPr="000839A4" w:rsidRDefault="000839A4" w:rsidP="000839A4">
      <w:pPr>
        <w:tabs>
          <w:tab w:val="left" w:pos="851"/>
        </w:tabs>
        <w:spacing w:before="120" w:after="120"/>
        <w:ind w:firstLine="427"/>
        <w:outlineLvl w:val="6"/>
      </w:pPr>
      <w:r w:rsidRPr="000839A4">
        <w:t>(3) Základem daně (dílčím základem daně) jsou příjmy uvedené v odstavci 1 snížené o výdaje vynaložené na jejich dosažení, zajištění a udržení (§ 5 odst. 2). Pro zjištění základu daně (dílčího základu daně) se použijí ustanovení § 23 až 33. Příjem z nájmu plynoucí poplatníkům uvedeným v § 2 odst. 3 je, s výjimkou příjmů z nájmu nemovitých věcí nebo bytů, samostatným základem daně pro zdanění zvláštní sazbou daně (§ 36).</w:t>
      </w:r>
    </w:p>
    <w:p w14:paraId="6ED32F18" w14:textId="77777777" w:rsidR="000839A4" w:rsidRPr="000839A4" w:rsidRDefault="000839A4" w:rsidP="000839A4">
      <w:pPr>
        <w:tabs>
          <w:tab w:val="left" w:pos="851"/>
        </w:tabs>
        <w:spacing w:before="120" w:after="120"/>
        <w:ind w:firstLine="427"/>
        <w:outlineLvl w:val="6"/>
      </w:pPr>
      <w:r w:rsidRPr="000839A4">
        <w:t>(4) Neuplatní-li poplatník výdaje prokazatelně vynaložené na dosažení, zajištění a udržení příjmů, může je uplatnit ve výši 30 % z příjmů podle odstavce 1, nejvýše však do částky600 000 Kč. Způsob uplatnění výdajů podle tohoto odstavce nelze zpětně měnit.</w:t>
      </w:r>
    </w:p>
    <w:p w14:paraId="36C29478" w14:textId="77777777" w:rsidR="000839A4" w:rsidRPr="000839A4" w:rsidRDefault="000839A4" w:rsidP="000839A4">
      <w:pPr>
        <w:tabs>
          <w:tab w:val="left" w:pos="851"/>
        </w:tabs>
        <w:spacing w:before="120" w:after="120"/>
        <w:ind w:firstLine="427"/>
        <w:outlineLvl w:val="6"/>
      </w:pPr>
      <w:r w:rsidRPr="000839A4">
        <w:t xml:space="preserve">(5) Uplatní-li poplatník výdaje podle odstavce 4, jsou v částkách výdajů zahrnuty veškeré výdaje poplatníka vynaložené v souvislosti s dosahováním příjmů z nájmu podle § 9. Poplatník, který uplatňuje výdaje podle odstavce 4, je povinen vždy vést záznamy o příjmech a evidenci pohledávek vzniklých v souvislosti s nájmem </w:t>
      </w:r>
      <w:r w:rsidRPr="000839A4">
        <w:rPr>
          <w:b/>
        </w:rPr>
        <w:t>a evidenci o evidovaných aktivech poplatníka v rámci činnosti, ze které plynou příjmy z nájmu</w:t>
      </w:r>
      <w:r w:rsidRPr="00FE4A0D">
        <w:t>.</w:t>
      </w:r>
      <w:r w:rsidRPr="000839A4">
        <w:t xml:space="preserve"> </w:t>
      </w:r>
    </w:p>
    <w:p w14:paraId="61C69709" w14:textId="77777777" w:rsidR="000839A4" w:rsidRPr="000839A4" w:rsidRDefault="000839A4" w:rsidP="000839A4">
      <w:pPr>
        <w:tabs>
          <w:tab w:val="left" w:pos="851"/>
        </w:tabs>
        <w:spacing w:before="120" w:after="120"/>
        <w:ind w:firstLine="427"/>
        <w:outlineLvl w:val="6"/>
      </w:pPr>
      <w:r w:rsidRPr="000839A4">
        <w:lastRenderedPageBreak/>
        <w:t xml:space="preserve">(6) Poplatníci mající příjmy z nájmu a uplatňující u těchto příjmů skutečné výdaje vynaložené na jejich dosažení, zajištění a udržení vedou záznamy o příjmech a výdajích vynaložených na dosažení, zajištění a udržení příjmů v časovém sledu, evidenci hmotného majetku, který lze odpisovat, evidenci o tvorbě a použití rezervy na opravy hmotného majetku, pokud ji vytvářejí, evidenci o pohledávkách a dluzích ve zdaňovacím období, ve kterém dochází k ukončení nájmu, a mzdové listy, pokud vyplácejí mzdy. </w:t>
      </w:r>
      <w:r w:rsidRPr="000839A4">
        <w:rPr>
          <w:strike/>
        </w:rPr>
        <w:t>Pokud se však poplatníci rozhodnou vést účetnictví, přestože k tomu nejsou podle účetních předpisů</w:t>
      </w:r>
      <w:r w:rsidRPr="000839A4">
        <w:rPr>
          <w:strike/>
          <w:vertAlign w:val="superscript"/>
        </w:rPr>
        <w:t>20)</w:t>
      </w:r>
      <w:r w:rsidRPr="000839A4">
        <w:rPr>
          <w:strike/>
        </w:rPr>
        <w:t xml:space="preserve"> povinni, pak postupují podle těchto předpisů, budou-li takto postupovat po celé zdaňovací období, přitom se movitý i nemovitý majetek, o kterém je účtováno, nepovažuje za obchodní majetek ve smyslu daně z příjmů fyzických osob.</w:t>
      </w:r>
      <w:r w:rsidRPr="000839A4">
        <w:t xml:space="preserve"> </w:t>
      </w:r>
    </w:p>
    <w:p w14:paraId="1A9D0D23" w14:textId="77777777" w:rsidR="000839A4" w:rsidRPr="000839A4" w:rsidRDefault="000839A4" w:rsidP="000839A4">
      <w:pPr>
        <w:tabs>
          <w:tab w:val="left" w:pos="851"/>
        </w:tabs>
        <w:spacing w:before="120" w:after="120"/>
        <w:ind w:firstLine="427"/>
        <w:outlineLvl w:val="6"/>
      </w:pPr>
      <w:r w:rsidRPr="000839A4">
        <w:t>(7) Při pachtu obchodního závodu je příjmem propachtovatele</w:t>
      </w:r>
      <w:r w:rsidRPr="000839A4">
        <w:rPr>
          <w:strike/>
        </w:rPr>
        <w:t>, který nevede účetnictví,</w:t>
      </w:r>
      <w:r w:rsidRPr="000839A4">
        <w:t xml:space="preserve"> také </w:t>
      </w:r>
    </w:p>
    <w:p w14:paraId="160DBB87"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 xml:space="preserve">hodnota pohledávek a dluhů, s výjimkou dluhů, jejichž úhrada by byla výdajem snižujícím základ daně, které přecházejí na pachtýře, není-li dohodnuta jejich úhrada. Je-li dohodnuta částečná úhrada pohledávek a dluhů, s výjimkou dluhů, jejichž úhrada by byla výdajem snižujícím základ daně, je příjmem jejich hodnota. Je-li dohodnuta úhrada pohledávek a dluhů, s výjimkou dluhů, jejichž úhrada by byla výdajem snižujícím základ daně, vyšší, než je jejich hodnota, je příjmem tato vyšší cena, </w:t>
      </w:r>
    </w:p>
    <w:p w14:paraId="27DFEC48"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 xml:space="preserve">neuhrazený rozdíl mezi hodnotou věcí v obchodním závodu na začátku pachtu a jejich vyšší hodnotou při ukončení pachtu </w:t>
      </w:r>
      <w:r w:rsidRPr="000839A4">
        <w:rPr>
          <w:strike/>
          <w:szCs w:val="24"/>
        </w:rPr>
        <w:t>stanovenou podle zvláštního právního předpisu</w:t>
      </w:r>
      <w:r w:rsidRPr="000839A4">
        <w:rPr>
          <w:strike/>
          <w:szCs w:val="24"/>
          <w:vertAlign w:val="superscript"/>
        </w:rPr>
        <w:t>1a)</w:t>
      </w:r>
      <w:r w:rsidRPr="000839A4">
        <w:rPr>
          <w:strike/>
          <w:szCs w:val="24"/>
          <w:vertAlign w:val="superscript"/>
        </w:rPr>
        <w:fldChar w:fldCharType="begin"/>
      </w:r>
      <w:r w:rsidRPr="000839A4">
        <w:rPr>
          <w:strike/>
          <w:szCs w:val="24"/>
          <w:vertAlign w:val="superscript"/>
        </w:rPr>
        <w:instrText xml:space="preserve"> NOTEREF _Ref535916573  \* MERGEFORMAT </w:instrText>
      </w:r>
      <w:r w:rsidRPr="000839A4">
        <w:rPr>
          <w:strike/>
          <w:szCs w:val="24"/>
          <w:vertAlign w:val="superscript"/>
        </w:rPr>
        <w:fldChar w:fldCharType="end"/>
      </w:r>
      <w:r w:rsidRPr="000839A4">
        <w:rPr>
          <w:szCs w:val="24"/>
          <w:vertAlign w:val="superscript"/>
        </w:rPr>
        <w:t xml:space="preserve"> </w:t>
      </w:r>
      <w:r w:rsidRPr="000839A4">
        <w:rPr>
          <w:b/>
          <w:szCs w:val="24"/>
        </w:rPr>
        <w:t>určenou podle zákona upravujícího oceňování věcí. služeb a dluhů</w:t>
      </w:r>
      <w:r w:rsidRPr="000839A4">
        <w:rPr>
          <w:szCs w:val="24"/>
        </w:rPr>
        <w:t xml:space="preserve"> nebo </w:t>
      </w:r>
      <w:r w:rsidRPr="000839A4">
        <w:rPr>
          <w:strike/>
          <w:szCs w:val="24"/>
        </w:rPr>
        <w:t xml:space="preserve">podle údajů uvedených v účetnictví pachtýře, vedeném podle zvláštních právních </w:t>
      </w:r>
      <w:proofErr w:type="gramStart"/>
      <w:r w:rsidRPr="000839A4">
        <w:rPr>
          <w:strike/>
          <w:szCs w:val="24"/>
        </w:rPr>
        <w:t>předpisů.</w:t>
      </w:r>
      <w:r w:rsidRPr="000839A4">
        <w:rPr>
          <w:strike/>
          <w:szCs w:val="24"/>
          <w:vertAlign w:val="superscript"/>
        </w:rPr>
        <w:t>20</w:t>
      </w:r>
      <w:proofErr w:type="gramEnd"/>
      <w:r w:rsidRPr="000839A4">
        <w:rPr>
          <w:strike/>
          <w:szCs w:val="24"/>
          <w:vertAlign w:val="superscript"/>
        </w:rPr>
        <w:t>)</w:t>
      </w:r>
      <w:r w:rsidRPr="000839A4">
        <w:rPr>
          <w:szCs w:val="24"/>
        </w:rPr>
        <w:t xml:space="preserve"> </w:t>
      </w:r>
      <w:r w:rsidRPr="000839A4">
        <w:rPr>
          <w:b/>
          <w:szCs w:val="24"/>
        </w:rPr>
        <w:t>účetní hodnotou u pachtýře při ukončení pachtu.</w:t>
      </w:r>
    </w:p>
    <w:p w14:paraId="54784F83" w14:textId="77777777" w:rsidR="000839A4" w:rsidRPr="000839A4" w:rsidRDefault="000839A4" w:rsidP="000839A4">
      <w:pPr>
        <w:tabs>
          <w:tab w:val="left" w:pos="851"/>
        </w:tabs>
        <w:spacing w:before="120" w:after="120"/>
        <w:ind w:firstLine="427"/>
        <w:outlineLvl w:val="6"/>
      </w:pPr>
      <w:r w:rsidRPr="000839A4">
        <w:t>Základ daně se nebude zvyšovat dle tohoto ustanovení v případech, kdy bude z titulu operací popsaných v tomto ustanovení zvyšován na základě jiných ustanovení tohoto zákona. Pro účely tohoto ustanovení se nepoužije ustanovení § 23 odst. 13.</w:t>
      </w:r>
    </w:p>
    <w:p w14:paraId="268F27C3" w14:textId="77777777" w:rsidR="000839A4" w:rsidRPr="000839A4" w:rsidRDefault="000839A4" w:rsidP="000839A4">
      <w:pPr>
        <w:keepNext/>
        <w:ind w:firstLine="0"/>
        <w:jc w:val="center"/>
        <w:rPr>
          <w:szCs w:val="24"/>
        </w:rPr>
      </w:pPr>
      <w:r w:rsidRPr="000839A4">
        <w:rPr>
          <w:szCs w:val="24"/>
        </w:rPr>
        <w:t>§ 10</w:t>
      </w:r>
    </w:p>
    <w:p w14:paraId="5CF52F24" w14:textId="77777777" w:rsidR="000839A4" w:rsidRPr="000839A4" w:rsidRDefault="000839A4" w:rsidP="000839A4">
      <w:pPr>
        <w:keepNext/>
        <w:ind w:firstLine="0"/>
        <w:jc w:val="center"/>
        <w:rPr>
          <w:b/>
          <w:szCs w:val="24"/>
        </w:rPr>
      </w:pPr>
      <w:r w:rsidRPr="000839A4">
        <w:rPr>
          <w:b/>
          <w:szCs w:val="24"/>
        </w:rPr>
        <w:t>Ostatní příjmy</w:t>
      </w:r>
    </w:p>
    <w:p w14:paraId="451E66F9" w14:textId="77777777" w:rsidR="000839A4" w:rsidRPr="000839A4" w:rsidRDefault="000839A4" w:rsidP="000839A4">
      <w:pPr>
        <w:tabs>
          <w:tab w:val="left" w:pos="851"/>
        </w:tabs>
        <w:spacing w:before="120" w:after="120"/>
        <w:ind w:firstLine="427"/>
        <w:outlineLvl w:val="6"/>
      </w:pPr>
      <w:r w:rsidRPr="000839A4">
        <w:t>(1) Ostatními příjmy, při kterých dochází ke zvýšení majetku, pokud nejde o příjmy podle § 6 až 9, a jednotlivými druhy příjmu jsou</w:t>
      </w:r>
    </w:p>
    <w:p w14:paraId="3A6131B4"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příjmy z příležitostných činností nebo z příležitostného nájmu movitých věcí, včetně příjmů ze zemědělské výroby a lesního a vodního hospodářství, které nejsou provozovány podnikatelem, a příjmů z provozu výroben elektřiny, ke kterému není vyžadována licence udělovaná Energetickým regulačním úřadem,</w:t>
      </w:r>
    </w:p>
    <w:p w14:paraId="3DBC98AA"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příjmy z úplatného převodu</w:t>
      </w:r>
    </w:p>
    <w:p w14:paraId="0739762C" w14:textId="77777777" w:rsidR="000839A4" w:rsidRPr="000839A4" w:rsidRDefault="000839A4" w:rsidP="000839A4">
      <w:pPr>
        <w:tabs>
          <w:tab w:val="left" w:pos="357"/>
        </w:tabs>
        <w:spacing w:before="0"/>
        <w:ind w:left="714" w:hanging="357"/>
        <w:rPr>
          <w:szCs w:val="24"/>
        </w:rPr>
      </w:pPr>
      <w:r w:rsidRPr="000839A4">
        <w:rPr>
          <w:szCs w:val="24"/>
        </w:rPr>
        <w:t>1.</w:t>
      </w:r>
      <w:r w:rsidRPr="000839A4">
        <w:rPr>
          <w:szCs w:val="24"/>
        </w:rPr>
        <w:tab/>
        <w:t>nemovité věci,</w:t>
      </w:r>
    </w:p>
    <w:p w14:paraId="4277233E" w14:textId="77777777" w:rsidR="000839A4" w:rsidRPr="000839A4" w:rsidRDefault="000839A4" w:rsidP="000839A4">
      <w:pPr>
        <w:tabs>
          <w:tab w:val="left" w:pos="357"/>
        </w:tabs>
        <w:spacing w:before="0"/>
        <w:ind w:left="714" w:hanging="357"/>
        <w:rPr>
          <w:szCs w:val="24"/>
        </w:rPr>
      </w:pPr>
      <w:r w:rsidRPr="000839A4">
        <w:rPr>
          <w:szCs w:val="24"/>
        </w:rPr>
        <w:t>2.</w:t>
      </w:r>
      <w:r w:rsidRPr="000839A4">
        <w:rPr>
          <w:szCs w:val="24"/>
        </w:rPr>
        <w:tab/>
        <w:t>cenného papíru a</w:t>
      </w:r>
    </w:p>
    <w:p w14:paraId="6F8FD045" w14:textId="77777777" w:rsidR="000839A4" w:rsidRPr="000839A4" w:rsidRDefault="000839A4" w:rsidP="000839A4">
      <w:pPr>
        <w:tabs>
          <w:tab w:val="left" w:pos="357"/>
        </w:tabs>
        <w:spacing w:before="0"/>
        <w:ind w:left="714" w:hanging="357"/>
        <w:rPr>
          <w:szCs w:val="24"/>
        </w:rPr>
      </w:pPr>
      <w:r w:rsidRPr="000839A4">
        <w:rPr>
          <w:szCs w:val="24"/>
        </w:rPr>
        <w:t>3.</w:t>
      </w:r>
      <w:r w:rsidRPr="000839A4">
        <w:rPr>
          <w:szCs w:val="24"/>
        </w:rPr>
        <w:tab/>
        <w:t>jiné věci,</w:t>
      </w:r>
    </w:p>
    <w:p w14:paraId="7B35E398" w14:textId="77777777" w:rsidR="000839A4" w:rsidRPr="000839A4" w:rsidRDefault="000839A4" w:rsidP="000839A4">
      <w:pPr>
        <w:tabs>
          <w:tab w:val="left" w:pos="357"/>
        </w:tabs>
        <w:spacing w:before="0"/>
        <w:ind w:left="357" w:hanging="357"/>
        <w:rPr>
          <w:szCs w:val="24"/>
        </w:rPr>
      </w:pPr>
      <w:r w:rsidRPr="000839A4">
        <w:rPr>
          <w:szCs w:val="24"/>
        </w:rPr>
        <w:t>c)</w:t>
      </w:r>
      <w:r w:rsidRPr="000839A4">
        <w:rPr>
          <w:szCs w:val="24"/>
        </w:rPr>
        <w:tab/>
        <w:t>příjmy z převodu podílu ve</w:t>
      </w:r>
      <w:r w:rsidRPr="000839A4">
        <w:rPr>
          <w:b/>
          <w:szCs w:val="24"/>
        </w:rPr>
        <w:t xml:space="preserve"> </w:t>
      </w:r>
      <w:r w:rsidRPr="000839A4">
        <w:rPr>
          <w:szCs w:val="24"/>
        </w:rPr>
        <w:t>společnosti s ručením omezeným nebo podílu</w:t>
      </w:r>
      <w:r w:rsidRPr="000839A4">
        <w:rPr>
          <w:b/>
          <w:szCs w:val="24"/>
        </w:rPr>
        <w:t xml:space="preserve"> </w:t>
      </w:r>
      <w:r w:rsidRPr="000839A4">
        <w:rPr>
          <w:szCs w:val="24"/>
        </w:rPr>
        <w:t>komanditisty na komanditní společnosti, které nejsou představovány cenným papírem, nebo z převodu družstevního podílu,</w:t>
      </w:r>
    </w:p>
    <w:p w14:paraId="5D693A39" w14:textId="77777777" w:rsidR="000839A4" w:rsidRPr="000839A4" w:rsidRDefault="000839A4" w:rsidP="000839A4">
      <w:pPr>
        <w:tabs>
          <w:tab w:val="left" w:pos="357"/>
        </w:tabs>
        <w:spacing w:before="0"/>
        <w:ind w:left="357" w:hanging="357"/>
        <w:rPr>
          <w:szCs w:val="24"/>
        </w:rPr>
      </w:pPr>
      <w:r w:rsidRPr="000839A4">
        <w:rPr>
          <w:szCs w:val="24"/>
        </w:rPr>
        <w:t>d)</w:t>
      </w:r>
      <w:r w:rsidRPr="000839A4">
        <w:rPr>
          <w:szCs w:val="24"/>
        </w:rPr>
        <w:tab/>
        <w:t>příjmy ze zděděných práv z průmyslového a jiného duševního vlastnictví, včetně práv autorských a práv příbuzných právu autorskému,</w:t>
      </w:r>
    </w:p>
    <w:p w14:paraId="28EB8E3A" w14:textId="77777777" w:rsidR="000839A4" w:rsidRPr="000839A4" w:rsidRDefault="000839A4" w:rsidP="000839A4">
      <w:pPr>
        <w:tabs>
          <w:tab w:val="left" w:pos="357"/>
        </w:tabs>
        <w:spacing w:before="0"/>
        <w:ind w:left="357" w:hanging="357"/>
        <w:rPr>
          <w:szCs w:val="24"/>
        </w:rPr>
      </w:pPr>
      <w:r w:rsidRPr="000839A4">
        <w:rPr>
          <w:szCs w:val="24"/>
        </w:rPr>
        <w:t>e)</w:t>
      </w:r>
      <w:r w:rsidRPr="000839A4">
        <w:rPr>
          <w:szCs w:val="24"/>
        </w:rPr>
        <w:tab/>
        <w:t>přijaté výživné, důchody a obdobné opakující se požitky,</w:t>
      </w:r>
    </w:p>
    <w:p w14:paraId="6FBC01A9" w14:textId="77777777" w:rsidR="000839A4" w:rsidRPr="000839A4" w:rsidRDefault="000839A4" w:rsidP="000839A4">
      <w:pPr>
        <w:tabs>
          <w:tab w:val="left" w:pos="357"/>
        </w:tabs>
        <w:spacing w:before="0"/>
        <w:ind w:left="357" w:hanging="357"/>
        <w:rPr>
          <w:szCs w:val="24"/>
        </w:rPr>
      </w:pPr>
      <w:r w:rsidRPr="000839A4">
        <w:rPr>
          <w:szCs w:val="24"/>
        </w:rPr>
        <w:t>f)</w:t>
      </w:r>
      <w:r w:rsidRPr="000839A4">
        <w:rPr>
          <w:szCs w:val="24"/>
        </w:rPr>
        <w:tab/>
        <w:t xml:space="preserve">podíl </w:t>
      </w:r>
    </w:p>
    <w:p w14:paraId="1A98B23F" w14:textId="77777777" w:rsidR="000839A4" w:rsidRPr="000839A4" w:rsidRDefault="000839A4" w:rsidP="000839A4">
      <w:pPr>
        <w:tabs>
          <w:tab w:val="left" w:pos="357"/>
        </w:tabs>
        <w:spacing w:before="0"/>
        <w:ind w:left="714" w:hanging="357"/>
        <w:rPr>
          <w:szCs w:val="24"/>
        </w:rPr>
      </w:pPr>
      <w:r w:rsidRPr="000839A4">
        <w:rPr>
          <w:szCs w:val="24"/>
        </w:rPr>
        <w:lastRenderedPageBreak/>
        <w:t>1.</w:t>
      </w:r>
      <w:r w:rsidRPr="000839A4">
        <w:rPr>
          <w:szCs w:val="24"/>
        </w:rPr>
        <w:tab/>
        <w:t>člena obchodní korporace s výjimkou společníka veřejné obchodní společnosti a komplementáře komanditní společnosti na likvidačním zůstatku, nebo</w:t>
      </w:r>
    </w:p>
    <w:p w14:paraId="6EFAEC7B" w14:textId="77777777" w:rsidR="000839A4" w:rsidRPr="000839A4" w:rsidRDefault="000839A4" w:rsidP="000839A4">
      <w:pPr>
        <w:tabs>
          <w:tab w:val="left" w:pos="357"/>
        </w:tabs>
        <w:spacing w:before="0"/>
        <w:ind w:left="714" w:hanging="357"/>
        <w:rPr>
          <w:szCs w:val="24"/>
        </w:rPr>
      </w:pPr>
      <w:r w:rsidRPr="000839A4">
        <w:rPr>
          <w:szCs w:val="24"/>
        </w:rPr>
        <w:t>2.</w:t>
      </w:r>
      <w:r w:rsidRPr="000839A4">
        <w:rPr>
          <w:szCs w:val="24"/>
        </w:rPr>
        <w:tab/>
        <w:t>majitele podílového listu z podílu připadajícího na podílový list při zrušení podílového fondu s výjimkou splynutí nebo sloučení podílového fondu,</w:t>
      </w:r>
    </w:p>
    <w:p w14:paraId="2B4F2378" w14:textId="77777777" w:rsidR="000839A4" w:rsidRPr="000839A4" w:rsidRDefault="000839A4" w:rsidP="000839A4">
      <w:pPr>
        <w:tabs>
          <w:tab w:val="left" w:pos="357"/>
        </w:tabs>
        <w:spacing w:before="0"/>
        <w:ind w:left="357" w:hanging="357"/>
        <w:rPr>
          <w:szCs w:val="24"/>
        </w:rPr>
      </w:pPr>
      <w:r w:rsidRPr="000839A4">
        <w:rPr>
          <w:szCs w:val="24"/>
        </w:rPr>
        <w:t>g)</w:t>
      </w:r>
      <w:r w:rsidRPr="000839A4">
        <w:rPr>
          <w:szCs w:val="24"/>
        </w:rPr>
        <w:tab/>
        <w:t>vypořádací podíl při zániku účasti člena v obchodní korporaci, s výjimkou společníka veřejné obchodní společnosti a komplementáře komanditní společnosti, podíl na majetku transformovaného družstva, vrácení emisního ážia, příplatku mimo základní kapitál nebo těmto plněním obdobná plnění,</w:t>
      </w:r>
    </w:p>
    <w:p w14:paraId="161084F1" w14:textId="77777777" w:rsidR="000839A4" w:rsidRPr="000839A4" w:rsidRDefault="000839A4" w:rsidP="000839A4">
      <w:pPr>
        <w:spacing w:before="0"/>
        <w:ind w:left="426" w:hanging="426"/>
        <w:outlineLvl w:val="7"/>
        <w:rPr>
          <w:strike/>
          <w:color w:val="808080" w:themeColor="background1" w:themeShade="80"/>
        </w:rPr>
      </w:pPr>
      <w:r w:rsidRPr="000839A4">
        <w:t>h)</w:t>
      </w:r>
      <w:r w:rsidRPr="000839A4">
        <w:tab/>
        <w:t>výhry z </w:t>
      </w:r>
    </w:p>
    <w:p w14:paraId="12C8DCEF" w14:textId="77777777" w:rsidR="000839A4" w:rsidRPr="000839A4" w:rsidRDefault="000839A4" w:rsidP="000839A4">
      <w:pPr>
        <w:spacing w:before="0"/>
        <w:ind w:left="851" w:hanging="426"/>
        <w:outlineLvl w:val="8"/>
      </w:pPr>
      <w:r w:rsidRPr="000839A4">
        <w:t>1.</w:t>
      </w:r>
      <w:r w:rsidRPr="000839A4">
        <w:tab/>
        <w:t>loterie a tomboly,</w:t>
      </w:r>
    </w:p>
    <w:p w14:paraId="3ED065F6" w14:textId="77777777" w:rsidR="000839A4" w:rsidRPr="000839A4" w:rsidRDefault="000839A4" w:rsidP="000839A4">
      <w:pPr>
        <w:spacing w:before="0"/>
        <w:ind w:left="851" w:hanging="426"/>
        <w:outlineLvl w:val="8"/>
      </w:pPr>
      <w:r w:rsidRPr="000839A4">
        <w:t>2.</w:t>
      </w:r>
      <w:r w:rsidRPr="000839A4">
        <w:tab/>
        <w:t>kursové sázky a totalizátorové hry,</w:t>
      </w:r>
    </w:p>
    <w:p w14:paraId="5BE45D7D" w14:textId="77777777" w:rsidR="000839A4" w:rsidRPr="000839A4" w:rsidRDefault="000839A4" w:rsidP="000839A4">
      <w:pPr>
        <w:spacing w:before="0"/>
        <w:ind w:left="851" w:hanging="426"/>
        <w:outlineLvl w:val="8"/>
      </w:pPr>
      <w:r w:rsidRPr="000839A4">
        <w:t>3.</w:t>
      </w:r>
      <w:r w:rsidRPr="000839A4">
        <w:tab/>
        <w:t>technické hry,</w:t>
      </w:r>
    </w:p>
    <w:p w14:paraId="62E37D6B" w14:textId="77777777" w:rsidR="000839A4" w:rsidRPr="000839A4" w:rsidRDefault="000839A4" w:rsidP="000839A4">
      <w:pPr>
        <w:spacing w:before="0"/>
        <w:ind w:left="851" w:hanging="426"/>
        <w:outlineLvl w:val="8"/>
      </w:pPr>
      <w:r w:rsidRPr="000839A4">
        <w:t>4.</w:t>
      </w:r>
      <w:r w:rsidRPr="000839A4">
        <w:tab/>
        <w:t>živé hry s výjimkou turnaje živé hry,</w:t>
      </w:r>
    </w:p>
    <w:p w14:paraId="4C4F591F" w14:textId="77777777" w:rsidR="000839A4" w:rsidRPr="000839A4" w:rsidRDefault="000839A4" w:rsidP="000839A4">
      <w:pPr>
        <w:spacing w:before="0"/>
        <w:ind w:left="851" w:hanging="426"/>
        <w:outlineLvl w:val="8"/>
      </w:pPr>
      <w:r w:rsidRPr="000839A4">
        <w:t>5.</w:t>
      </w:r>
      <w:r w:rsidRPr="000839A4">
        <w:tab/>
        <w:t>turnaje živé hry a turnaje malého rozsahu a</w:t>
      </w:r>
    </w:p>
    <w:p w14:paraId="1B1ADFA4" w14:textId="77777777" w:rsidR="000839A4" w:rsidRPr="000839A4" w:rsidRDefault="000839A4" w:rsidP="000839A4">
      <w:pPr>
        <w:spacing w:before="0"/>
        <w:ind w:left="851" w:hanging="426"/>
        <w:outlineLvl w:val="8"/>
      </w:pPr>
      <w:r w:rsidRPr="000839A4">
        <w:t>6.</w:t>
      </w:r>
      <w:r w:rsidRPr="000839A4">
        <w:tab/>
        <w:t>jiných hazardních her než hazardních her podle bodů 1 až 5,</w:t>
      </w:r>
    </w:p>
    <w:p w14:paraId="71026733" w14:textId="77777777" w:rsidR="000839A4" w:rsidRPr="000839A4" w:rsidRDefault="000839A4" w:rsidP="000839A4">
      <w:pPr>
        <w:spacing w:before="0"/>
        <w:ind w:left="426" w:hanging="426"/>
        <w:outlineLvl w:val="7"/>
      </w:pPr>
      <w:r w:rsidRPr="000839A4">
        <w:t>ch)</w:t>
      </w:r>
      <w:r w:rsidRPr="000839A4">
        <w:tab/>
        <w:t xml:space="preserve">výhry z reklamních soutěží a reklamních slosování, z veřejných soutěží, ze sportovních soutěží a ceny ze soutěží, v nichž je okruh soutěžících omezen podmínkami soutěže, anebo jde o soutěžící vybrané pořadatelem soutěže,  </w:t>
      </w:r>
    </w:p>
    <w:p w14:paraId="043DFA74" w14:textId="77777777" w:rsidR="000839A4" w:rsidRPr="000839A4" w:rsidRDefault="000839A4" w:rsidP="000839A4">
      <w:pPr>
        <w:tabs>
          <w:tab w:val="left" w:pos="357"/>
        </w:tabs>
        <w:spacing w:before="0"/>
        <w:ind w:left="357" w:hanging="357"/>
        <w:rPr>
          <w:szCs w:val="24"/>
        </w:rPr>
      </w:pPr>
      <w:r w:rsidRPr="000839A4">
        <w:rPr>
          <w:szCs w:val="24"/>
        </w:rPr>
        <w:t>i)</w:t>
      </w:r>
      <w:r w:rsidRPr="000839A4">
        <w:rPr>
          <w:szCs w:val="24"/>
        </w:rPr>
        <w:tab/>
        <w:t>příjmy, které společník veřejné obchodní společnosti nebo komplementář komanditní společnosti obdrží v souvislosti s ukončením účasti na veřejné obchodní společnosti nebo komanditní společnosti od jiné osoby než od veřejné obchodní společnosti nebo komanditní společnosti, v níž ukončil účast,</w:t>
      </w:r>
    </w:p>
    <w:p w14:paraId="58BDEF68" w14:textId="77777777" w:rsidR="000839A4" w:rsidRPr="000839A4" w:rsidRDefault="000839A4" w:rsidP="000839A4">
      <w:pPr>
        <w:tabs>
          <w:tab w:val="left" w:pos="357"/>
        </w:tabs>
        <w:spacing w:before="0"/>
        <w:ind w:left="357" w:hanging="357"/>
        <w:rPr>
          <w:szCs w:val="24"/>
        </w:rPr>
      </w:pPr>
      <w:r w:rsidRPr="000839A4">
        <w:rPr>
          <w:szCs w:val="24"/>
        </w:rPr>
        <w:t>j)</w:t>
      </w:r>
      <w:r w:rsidRPr="000839A4">
        <w:rPr>
          <w:szCs w:val="24"/>
        </w:rPr>
        <w:tab/>
        <w:t xml:space="preserve">příjmy z převodu jmění na společníka a příjmy z vypořádání podle zvláštního právního </w:t>
      </w:r>
      <w:proofErr w:type="gramStart"/>
      <w:r w:rsidRPr="000839A4">
        <w:rPr>
          <w:szCs w:val="24"/>
        </w:rPr>
        <w:t>předpisu,</w:t>
      </w:r>
      <w:bookmarkStart w:id="16" w:name="_Ref535916583"/>
      <w:r w:rsidRPr="000839A4">
        <w:rPr>
          <w:szCs w:val="24"/>
          <w:vertAlign w:val="superscript"/>
        </w:rPr>
        <w:footnoteReference w:customMarkFollows="1" w:id="136"/>
        <w:t>131</w:t>
      </w:r>
      <w:proofErr w:type="gramEnd"/>
      <w:r w:rsidRPr="000839A4">
        <w:rPr>
          <w:szCs w:val="24"/>
          <w:vertAlign w:val="superscript"/>
        </w:rPr>
        <w:t>)</w:t>
      </w:r>
      <w:bookmarkEnd w:id="16"/>
    </w:p>
    <w:p w14:paraId="09965CA0" w14:textId="77777777" w:rsidR="000839A4" w:rsidRPr="000839A4" w:rsidRDefault="000839A4" w:rsidP="000839A4">
      <w:pPr>
        <w:tabs>
          <w:tab w:val="left" w:pos="357"/>
        </w:tabs>
        <w:spacing w:before="0"/>
        <w:ind w:left="357" w:hanging="357"/>
        <w:rPr>
          <w:szCs w:val="24"/>
        </w:rPr>
      </w:pPr>
      <w:r w:rsidRPr="000839A4">
        <w:rPr>
          <w:szCs w:val="24"/>
        </w:rPr>
        <w:t>k)</w:t>
      </w:r>
      <w:r w:rsidRPr="000839A4">
        <w:rPr>
          <w:szCs w:val="24"/>
        </w:rPr>
        <w:tab/>
        <w:t>příjem z jednorázové náhrady práv s povahou opakovaného plnění na základě ujednání mezi poškozeným a pojistitelem,</w:t>
      </w:r>
    </w:p>
    <w:p w14:paraId="686C128E" w14:textId="77777777" w:rsidR="000839A4" w:rsidRPr="000839A4" w:rsidRDefault="000839A4" w:rsidP="000839A4">
      <w:pPr>
        <w:tabs>
          <w:tab w:val="left" w:pos="357"/>
        </w:tabs>
        <w:spacing w:before="0"/>
        <w:ind w:left="357" w:hanging="357"/>
        <w:rPr>
          <w:szCs w:val="24"/>
        </w:rPr>
      </w:pPr>
      <w:r w:rsidRPr="000839A4">
        <w:rPr>
          <w:szCs w:val="24"/>
        </w:rPr>
        <w:t>l)</w:t>
      </w:r>
      <w:r w:rsidRPr="000839A4">
        <w:rPr>
          <w:szCs w:val="24"/>
        </w:rPr>
        <w:tab/>
        <w:t>příjem z výměnku,</w:t>
      </w:r>
    </w:p>
    <w:p w14:paraId="1510C6C7" w14:textId="77777777" w:rsidR="000839A4" w:rsidRPr="000839A4" w:rsidRDefault="000839A4" w:rsidP="000839A4">
      <w:pPr>
        <w:tabs>
          <w:tab w:val="left" w:pos="357"/>
        </w:tabs>
        <w:spacing w:before="0"/>
        <w:ind w:left="357" w:hanging="357"/>
        <w:rPr>
          <w:szCs w:val="24"/>
        </w:rPr>
      </w:pPr>
      <w:r w:rsidRPr="000839A4">
        <w:rPr>
          <w:szCs w:val="24"/>
        </w:rPr>
        <w:t>m)</w:t>
      </w:r>
      <w:r w:rsidRPr="000839A4">
        <w:rPr>
          <w:szCs w:val="24"/>
        </w:rPr>
        <w:tab/>
        <w:t xml:space="preserve"> příjem obmyšleného ze </w:t>
      </w:r>
      <w:proofErr w:type="spellStart"/>
      <w:r w:rsidRPr="000839A4">
        <w:rPr>
          <w:szCs w:val="24"/>
        </w:rPr>
        <w:t>svěřenského</w:t>
      </w:r>
      <w:proofErr w:type="spellEnd"/>
      <w:r w:rsidRPr="000839A4">
        <w:rPr>
          <w:szCs w:val="24"/>
        </w:rPr>
        <w:t xml:space="preserve"> fondu,</w:t>
      </w:r>
    </w:p>
    <w:p w14:paraId="3FA67711" w14:textId="77777777" w:rsidR="000839A4" w:rsidRPr="000839A4" w:rsidRDefault="000839A4" w:rsidP="000839A4">
      <w:pPr>
        <w:tabs>
          <w:tab w:val="left" w:pos="357"/>
        </w:tabs>
        <w:spacing w:before="0"/>
        <w:ind w:left="357" w:hanging="357"/>
        <w:rPr>
          <w:szCs w:val="24"/>
        </w:rPr>
      </w:pPr>
      <w:r w:rsidRPr="000839A4">
        <w:rPr>
          <w:szCs w:val="24"/>
        </w:rPr>
        <w:t>n)</w:t>
      </w:r>
      <w:r w:rsidRPr="000839A4">
        <w:rPr>
          <w:szCs w:val="24"/>
        </w:rPr>
        <w:tab/>
        <w:t>bezúplatný příjem,</w:t>
      </w:r>
    </w:p>
    <w:p w14:paraId="7032988C" w14:textId="77777777" w:rsidR="000839A4" w:rsidRPr="000839A4" w:rsidRDefault="000839A4" w:rsidP="000839A4">
      <w:pPr>
        <w:tabs>
          <w:tab w:val="left" w:pos="357"/>
        </w:tabs>
        <w:spacing w:before="0"/>
        <w:ind w:left="357" w:hanging="357"/>
        <w:rPr>
          <w:b/>
          <w:color w:val="808080" w:themeColor="background1" w:themeShade="80"/>
          <w:szCs w:val="24"/>
        </w:rPr>
      </w:pPr>
      <w:r w:rsidRPr="000839A4">
        <w:rPr>
          <w:szCs w:val="24"/>
        </w:rPr>
        <w:t>o)</w:t>
      </w:r>
      <w:r w:rsidRPr="000839A4">
        <w:rPr>
          <w:szCs w:val="24"/>
        </w:rPr>
        <w:tab/>
        <w:t>příjem z rozpuštění rezervního fondu vytvořeného ze zisku nebo z rozpuštění obdobného fondu</w:t>
      </w:r>
      <w:r w:rsidRPr="000839A4">
        <w:rPr>
          <w:strike/>
          <w:color w:val="808080" w:themeColor="background1" w:themeShade="80"/>
          <w:szCs w:val="24"/>
        </w:rPr>
        <w:t>.</w:t>
      </w:r>
      <w:r w:rsidRPr="000839A4">
        <w:rPr>
          <w:b/>
          <w:color w:val="808080" w:themeColor="background1" w:themeShade="80"/>
          <w:szCs w:val="24"/>
        </w:rPr>
        <w:t>,</w:t>
      </w:r>
    </w:p>
    <w:p w14:paraId="601316BD" w14:textId="77777777" w:rsidR="000839A4" w:rsidRPr="000839A4" w:rsidRDefault="000839A4" w:rsidP="000839A4">
      <w:pPr>
        <w:tabs>
          <w:tab w:val="left" w:pos="357"/>
        </w:tabs>
        <w:spacing w:before="0"/>
        <w:ind w:left="357" w:hanging="357"/>
        <w:rPr>
          <w:szCs w:val="24"/>
        </w:rPr>
      </w:pPr>
      <w:r w:rsidRPr="000839A4">
        <w:rPr>
          <w:szCs w:val="24"/>
        </w:rPr>
        <w:t>p)</w:t>
      </w:r>
      <w:r w:rsidRPr="000839A4">
        <w:rPr>
          <w:szCs w:val="24"/>
        </w:rPr>
        <w:tab/>
        <w:t>příjem, který vznikl jako důsledek porušení podmínek uplatnění nezdanitelné části základu daně,</w:t>
      </w:r>
    </w:p>
    <w:p w14:paraId="575C2F71" w14:textId="77777777" w:rsidR="000839A4" w:rsidRPr="000839A4" w:rsidRDefault="000839A4" w:rsidP="000839A4">
      <w:pPr>
        <w:tabs>
          <w:tab w:val="left" w:pos="357"/>
        </w:tabs>
        <w:spacing w:before="0"/>
        <w:ind w:left="357" w:hanging="357"/>
        <w:rPr>
          <w:szCs w:val="24"/>
        </w:rPr>
      </w:pPr>
      <w:r w:rsidRPr="000839A4">
        <w:rPr>
          <w:szCs w:val="24"/>
        </w:rPr>
        <w:t>q)</w:t>
      </w:r>
      <w:r w:rsidRPr="000839A4">
        <w:rPr>
          <w:szCs w:val="24"/>
        </w:rPr>
        <w:tab/>
        <w:t>ostatní příjem, který není příjmem uvedeným v písmenech a) až p).</w:t>
      </w:r>
    </w:p>
    <w:p w14:paraId="0694F9A4" w14:textId="77777777" w:rsidR="000839A4" w:rsidRPr="000839A4" w:rsidRDefault="000839A4" w:rsidP="000839A4">
      <w:pPr>
        <w:tabs>
          <w:tab w:val="left" w:pos="851"/>
        </w:tabs>
        <w:spacing w:before="120" w:after="120"/>
        <w:ind w:firstLine="427"/>
        <w:outlineLvl w:val="6"/>
      </w:pPr>
      <w:r w:rsidRPr="000839A4">
        <w:t xml:space="preserve">(2) Příjmy podle odstavce 1, plynoucí manželům ze společného jmění manželů, se zdaňují u jednoho z nich; obdobně se postupuje u příjmů plynoucích do společného jmění manželů. Příjmy plynoucí manželům z prodeje nebo převodu </w:t>
      </w:r>
      <w:r w:rsidRPr="000839A4">
        <w:rPr>
          <w:strike/>
        </w:rPr>
        <w:t>majetku nebo práva</w:t>
      </w:r>
      <w:r w:rsidRPr="000839A4">
        <w:t xml:space="preserve"> </w:t>
      </w:r>
      <w:r w:rsidRPr="000839A4">
        <w:rPr>
          <w:b/>
        </w:rPr>
        <w:t>věci</w:t>
      </w:r>
      <w:r w:rsidRPr="000839A4">
        <w:t xml:space="preserve"> ve společném jmění manželů, </w:t>
      </w:r>
      <w:r w:rsidRPr="000839A4">
        <w:rPr>
          <w:strike/>
        </w:rPr>
        <w:t>které byly</w:t>
      </w:r>
      <w:r w:rsidRPr="000839A4">
        <w:t xml:space="preserve"> </w:t>
      </w:r>
      <w:r w:rsidRPr="000839A4">
        <w:rPr>
          <w:strike/>
        </w:rPr>
        <w:t xml:space="preserve">zahrnuty v obchodním majetku </w:t>
      </w:r>
      <w:r w:rsidRPr="000839A4">
        <w:t xml:space="preserve"> </w:t>
      </w:r>
      <w:r w:rsidRPr="000839A4">
        <w:rPr>
          <w:b/>
        </w:rPr>
        <w:t>která byla evidovaným aktivem</w:t>
      </w:r>
      <w:r w:rsidRPr="000839A4">
        <w:t xml:space="preserve">, se zdaňují u toho z manželů, </w:t>
      </w:r>
      <w:r w:rsidRPr="000839A4">
        <w:rPr>
          <w:strike/>
        </w:rPr>
        <w:t>který měl takový</w:t>
      </w:r>
      <w:r w:rsidRPr="000839A4">
        <w:t xml:space="preserve"> </w:t>
      </w:r>
      <w:r w:rsidRPr="000839A4">
        <w:rPr>
          <w:strike/>
        </w:rPr>
        <w:t xml:space="preserve">majetek nebo právo zahrnuty v obchodním </w:t>
      </w:r>
      <w:proofErr w:type="gramStart"/>
      <w:r w:rsidRPr="000839A4">
        <w:rPr>
          <w:strike/>
        </w:rPr>
        <w:t xml:space="preserve">majetku </w:t>
      </w:r>
      <w:r w:rsidRPr="000839A4">
        <w:rPr>
          <w:b/>
        </w:rPr>
        <w:t>o jehož</w:t>
      </w:r>
      <w:proofErr w:type="gramEnd"/>
      <w:r w:rsidRPr="000839A4">
        <w:rPr>
          <w:b/>
        </w:rPr>
        <w:t xml:space="preserve"> evidované aktivum šlo</w:t>
      </w:r>
      <w:r w:rsidRPr="000839A4">
        <w:t xml:space="preserve">. U příjmů plynoucích z prodeje nebo převodu </w:t>
      </w:r>
      <w:r w:rsidRPr="000839A4">
        <w:rPr>
          <w:strike/>
        </w:rPr>
        <w:t>majetku nebo práva</w:t>
      </w:r>
      <w:r w:rsidRPr="000839A4">
        <w:t xml:space="preserve"> </w:t>
      </w:r>
      <w:r w:rsidRPr="000839A4">
        <w:rPr>
          <w:b/>
        </w:rPr>
        <w:t>věci</w:t>
      </w:r>
      <w:r w:rsidRPr="000839A4">
        <w:t xml:space="preserve"> ve společném jmění manželů, </w:t>
      </w:r>
      <w:r w:rsidRPr="000839A4">
        <w:rPr>
          <w:strike/>
        </w:rPr>
        <w:t xml:space="preserve">které byly zahrnuty v obchodním </w:t>
      </w:r>
      <w:proofErr w:type="gramStart"/>
      <w:r w:rsidRPr="000839A4">
        <w:rPr>
          <w:strike/>
        </w:rPr>
        <w:t>majetku</w:t>
      </w:r>
      <w:r w:rsidRPr="000839A4">
        <w:t xml:space="preserve"> </w:t>
      </w:r>
      <w:r w:rsidRPr="000839A4">
        <w:rPr>
          <w:b/>
        </w:rPr>
        <w:t>která</w:t>
      </w:r>
      <w:proofErr w:type="gramEnd"/>
      <w:r w:rsidRPr="000839A4">
        <w:rPr>
          <w:b/>
        </w:rPr>
        <w:t xml:space="preserve"> byla evidovaným aktivem</w:t>
      </w:r>
      <w:r w:rsidRPr="000839A4">
        <w:t xml:space="preserve"> zemřelého manžela (manželky), které plynou pozůstalému manželovi (manželce), se </w:t>
      </w:r>
      <w:r w:rsidRPr="000839A4">
        <w:rPr>
          <w:strike/>
        </w:rPr>
        <w:t>k době uvedené v § 4 vztahující se k majetku nebo právu zahrnutým v obchodním majetku, nepřihlíží</w:t>
      </w:r>
      <w:r w:rsidRPr="000839A4">
        <w:t xml:space="preserve"> </w:t>
      </w:r>
      <w:r w:rsidRPr="000839A4">
        <w:rPr>
          <w:b/>
        </w:rPr>
        <w:t>se pro účely určení doby podle § 4 na věc hledí, jako by nikdy nebyla evidovaným aktivem</w:t>
      </w:r>
      <w:r w:rsidRPr="000839A4">
        <w:t>.</w:t>
      </w:r>
    </w:p>
    <w:p w14:paraId="1C39B829" w14:textId="77777777" w:rsidR="000839A4" w:rsidRPr="000839A4" w:rsidRDefault="000839A4" w:rsidP="000839A4">
      <w:pPr>
        <w:tabs>
          <w:tab w:val="left" w:pos="851"/>
        </w:tabs>
        <w:spacing w:before="120" w:after="120"/>
        <w:ind w:firstLine="427"/>
        <w:outlineLvl w:val="6"/>
      </w:pPr>
      <w:r w:rsidRPr="000839A4">
        <w:lastRenderedPageBreak/>
        <w:t>(3) Od daně jsou, kromě příjmů uvedených v § 4, osvobozeny</w:t>
      </w:r>
    </w:p>
    <w:p w14:paraId="6D5ABD7B" w14:textId="77777777" w:rsidR="000839A4" w:rsidRPr="000839A4" w:rsidRDefault="000839A4" w:rsidP="000839A4">
      <w:pPr>
        <w:spacing w:before="0"/>
        <w:ind w:left="426" w:hanging="426"/>
        <w:outlineLvl w:val="7"/>
      </w:pPr>
      <w:r w:rsidRPr="000839A4">
        <w:t>a)</w:t>
      </w:r>
      <w:r w:rsidRPr="000839A4">
        <w:tab/>
        <w:t>ostatní příjmy spadající do jednotlivého druhu příjmu jiného než podle odstavce 1 písm. b) nebo c), odstavce 1 písm. f) bodu 2, odstavce 1 písm. h) bodů 2 až 6 nebo odstavce 1 písm. m), n) nebo p), pokud úhrn příjmů spadajících do tohoto druhu příjmu nepřesáhne ve zdaňovacím období 50 000 Kč; je-li tento ostatní příjem samostatným základem daně pro daň vybíranou srážkou podle zvláštní sazby daně nebo příjmem zahrnovaným do samostatného základu daně zdaňovaného sazbou daně podle § 16a, je od daně osvobozen, pokud výše tohoto příjmu nepřesahuje 50 000 Kč,</w:t>
      </w:r>
    </w:p>
    <w:p w14:paraId="4D24078D" w14:textId="77777777" w:rsidR="000839A4" w:rsidRPr="000839A4" w:rsidRDefault="000839A4" w:rsidP="000839A4">
      <w:pPr>
        <w:spacing w:before="0"/>
        <w:ind w:left="426" w:hanging="426"/>
        <w:outlineLvl w:val="7"/>
      </w:pPr>
      <w:r w:rsidRPr="000839A4">
        <w:t>b)</w:t>
      </w:r>
      <w:r w:rsidRPr="000839A4">
        <w:tab/>
        <w:t>výhry z hazardních her, které jsou jednotlivým druhem příjmu podle odstavce 1 písm. h) bodů 2 až 6, pokud rozdíl mezi úhrnem výher spadajících do tohoto druhu příjmu a úhrnem vkladů do hazardních her v rámci tohoto druhu příjmu za zdaňovací období nepřesahuje 50 000 Kč,</w:t>
      </w:r>
    </w:p>
    <w:p w14:paraId="7A428D67" w14:textId="77777777" w:rsidR="000839A4" w:rsidRPr="000839A4" w:rsidRDefault="000839A4" w:rsidP="000839A4">
      <w:pPr>
        <w:tabs>
          <w:tab w:val="left" w:pos="357"/>
        </w:tabs>
        <w:spacing w:before="0"/>
        <w:ind w:left="357" w:hanging="357"/>
        <w:rPr>
          <w:szCs w:val="24"/>
        </w:rPr>
      </w:pPr>
      <w:r w:rsidRPr="000839A4">
        <w:rPr>
          <w:szCs w:val="24"/>
        </w:rPr>
        <w:t>c)</w:t>
      </w:r>
      <w:r w:rsidRPr="000839A4">
        <w:rPr>
          <w:szCs w:val="24"/>
        </w:rPr>
        <w:tab/>
        <w:t>bezúplatné příjmy</w:t>
      </w:r>
    </w:p>
    <w:p w14:paraId="663798CF" w14:textId="77777777" w:rsidR="000839A4" w:rsidRPr="000839A4" w:rsidRDefault="000839A4" w:rsidP="000839A4">
      <w:pPr>
        <w:tabs>
          <w:tab w:val="left" w:pos="357"/>
        </w:tabs>
        <w:spacing w:before="0"/>
        <w:ind w:left="714" w:hanging="357"/>
        <w:rPr>
          <w:szCs w:val="24"/>
        </w:rPr>
      </w:pPr>
      <w:r w:rsidRPr="000839A4">
        <w:rPr>
          <w:szCs w:val="24"/>
        </w:rPr>
        <w:t>1.</w:t>
      </w:r>
      <w:r w:rsidRPr="000839A4">
        <w:rPr>
          <w:szCs w:val="24"/>
        </w:rPr>
        <w:tab/>
        <w:t>od příbuzného v linii přímé a v linii vedlejší, pokud jde o sourozence, strýce, tetu, synovce nebo neteř, manžela, manžela dítěte, dítěte manžela, rodiče manžela nebo manžela rodičů,</w:t>
      </w:r>
    </w:p>
    <w:p w14:paraId="7DEE28B8" w14:textId="77777777" w:rsidR="000839A4" w:rsidRPr="000839A4" w:rsidRDefault="000839A4" w:rsidP="000839A4">
      <w:pPr>
        <w:tabs>
          <w:tab w:val="left" w:pos="357"/>
        </w:tabs>
        <w:spacing w:before="0"/>
        <w:ind w:left="714" w:hanging="357"/>
        <w:rPr>
          <w:szCs w:val="24"/>
        </w:rPr>
      </w:pPr>
      <w:r w:rsidRPr="000839A4">
        <w:rPr>
          <w:szCs w:val="24"/>
        </w:rPr>
        <w:t>2.</w:t>
      </w:r>
      <w:r w:rsidRPr="000839A4">
        <w:rPr>
          <w:szCs w:val="24"/>
        </w:rPr>
        <w:tab/>
        <w:t>od osoby, se kterou poplatník žil nejméně po dobu jednoho roku bezprostředně před získáním bezúplatného příjmu ve společně hospodařící domácnosti a z tohoto důvodu pečoval o domácnost nebo byl na tuto osobu odkázán výživou,</w:t>
      </w:r>
    </w:p>
    <w:p w14:paraId="349D0DC9" w14:textId="77777777" w:rsidR="000839A4" w:rsidRPr="000839A4" w:rsidRDefault="000839A4" w:rsidP="000839A4">
      <w:pPr>
        <w:tabs>
          <w:tab w:val="left" w:pos="357"/>
        </w:tabs>
        <w:spacing w:before="0"/>
        <w:ind w:left="714" w:hanging="357"/>
        <w:rPr>
          <w:szCs w:val="24"/>
        </w:rPr>
      </w:pPr>
      <w:r w:rsidRPr="000839A4">
        <w:rPr>
          <w:szCs w:val="24"/>
        </w:rPr>
        <w:t>3.</w:t>
      </w:r>
      <w:r w:rsidRPr="000839A4">
        <w:rPr>
          <w:szCs w:val="24"/>
        </w:rPr>
        <w:tab/>
        <w:t xml:space="preserve">obmyšleného z jeho majetku, který do </w:t>
      </w:r>
      <w:proofErr w:type="spellStart"/>
      <w:r w:rsidRPr="000839A4">
        <w:rPr>
          <w:szCs w:val="24"/>
        </w:rPr>
        <w:t>svěřenského</w:t>
      </w:r>
      <w:proofErr w:type="spellEnd"/>
      <w:r w:rsidRPr="000839A4">
        <w:rPr>
          <w:szCs w:val="24"/>
        </w:rPr>
        <w:t xml:space="preserve"> fondu vyčlenil nebo kterým zvýšil majetek tohoto fondu, nebo z majetku, který byl do </w:t>
      </w:r>
      <w:proofErr w:type="spellStart"/>
      <w:r w:rsidRPr="000839A4">
        <w:rPr>
          <w:szCs w:val="24"/>
        </w:rPr>
        <w:t>svěřenského</w:t>
      </w:r>
      <w:proofErr w:type="spellEnd"/>
      <w:r w:rsidRPr="000839A4">
        <w:rPr>
          <w:szCs w:val="24"/>
        </w:rPr>
        <w:t xml:space="preserve"> fondu vyčleněn nebo který zvýšil majetek tohoto fondu osobou uvedenou v bodě 1 nebo 2,</w:t>
      </w:r>
    </w:p>
    <w:p w14:paraId="0826A413" w14:textId="77777777" w:rsidR="000839A4" w:rsidRPr="000839A4" w:rsidRDefault="000839A4" w:rsidP="000839A4">
      <w:pPr>
        <w:tabs>
          <w:tab w:val="left" w:pos="357"/>
        </w:tabs>
        <w:spacing w:before="0"/>
        <w:ind w:left="714" w:hanging="357"/>
        <w:rPr>
          <w:szCs w:val="24"/>
        </w:rPr>
      </w:pPr>
      <w:r w:rsidRPr="000839A4">
        <w:rPr>
          <w:szCs w:val="24"/>
        </w:rPr>
        <w:t>4.</w:t>
      </w:r>
      <w:r w:rsidRPr="000839A4">
        <w:rPr>
          <w:szCs w:val="24"/>
        </w:rPr>
        <w:tab/>
        <w:t>poplatníka z jeho majetku, který vložil do rodinné fundace, nebo z majetku, který byl do rodinné fundace vložen osobou uvedenou v bodě 1 nebo 2,</w:t>
      </w:r>
    </w:p>
    <w:p w14:paraId="4D712E64" w14:textId="77777777" w:rsidR="000839A4" w:rsidRPr="000839A4" w:rsidRDefault="000839A4" w:rsidP="000839A4">
      <w:pPr>
        <w:tabs>
          <w:tab w:val="left" w:pos="357"/>
        </w:tabs>
        <w:spacing w:before="0"/>
        <w:ind w:left="714" w:hanging="357"/>
        <w:rPr>
          <w:szCs w:val="24"/>
        </w:rPr>
      </w:pPr>
      <w:r w:rsidRPr="000839A4">
        <w:rPr>
          <w:szCs w:val="24"/>
        </w:rPr>
        <w:t>5.</w:t>
      </w:r>
      <w:r w:rsidRPr="000839A4">
        <w:rPr>
          <w:szCs w:val="24"/>
        </w:rPr>
        <w:tab/>
        <w:t>nabyté příležitostně, pokud jejich úhrn od téhož poplatníka ve zdaňovacím období nepřevyšuje částku 50 000 Kč.</w:t>
      </w:r>
    </w:p>
    <w:p w14:paraId="0A0D82BB" w14:textId="77777777" w:rsidR="000839A4" w:rsidRPr="000839A4" w:rsidRDefault="000839A4" w:rsidP="000839A4">
      <w:pPr>
        <w:tabs>
          <w:tab w:val="left" w:pos="851"/>
        </w:tabs>
        <w:spacing w:before="120" w:after="120"/>
        <w:ind w:firstLine="427"/>
        <w:outlineLvl w:val="6"/>
      </w:pPr>
      <w:r w:rsidRPr="000839A4">
        <w:t>(4) Základem daně (dílčím základem daně) je příjem snížený o výdaje prokazatelně vynaložené na jeho dosažení. Je-li příjem zahrnut do základu daně jen zčásti z důvodu, že je zčásti od daně osvobozen, výdaje podle věty první snižují příjem jen v části odpovídající poměru, v jakém tento příjem není od daně osvobozen.</w:t>
      </w:r>
      <w:r w:rsidRPr="000839A4">
        <w:rPr>
          <w:b/>
        </w:rPr>
        <w:t xml:space="preserve"> </w:t>
      </w:r>
      <w:r w:rsidRPr="000839A4">
        <w:t>Jsou-li výdaje spojené s jednotlivým druhem příjmu uvedeným v odstavci 1 vyšší než příjem, k rozdílu se nepřihlíží. Plynou-li příjmy podle odstavce 1 písm. h) bodu 1 a písm. ch) ze zdrojů v zahraničí, je základem daně (dílčím základem daně) příjem nesnížený o výdaje. Jde-li o příjmy ze zemědělské výroby, lesního a vodního hospodářství, lze výdaje uplatnit podle § 7 odst. 7 písm. a). Poplatník, který uplatňuje výdaje podle § 7 odst. 7 písm. a), je povinen vždy vést záznamy o příjmech. Příjmy plynoucí ze splátek na základě uzavřené kupní smlouvy nebo ze zálohy na základě uzavřené smlouvy o budoucím prodeji nemovité věci se zahrnou do dílčího základu daně za zdaňovací období, ve kterém byly dosaženy. Plynou-li příjmy podle odstavce 1 písm. k), jsou samostatným základem daně pro zdanění zvláštní sazbou daně (§ 36). Příjmem poplatníka, kterému plyne příjem podle odstavce 1 písm. a) z chovu včel a u kterého nepřekročí ve zdaňovacím období počet včelstev 50, je částka 1 000 Kč na jedno včelstvo. Příjmem podle odstavce 1 písm. q) je také kursový zisk při směně peněz z účtu vedeného v cizí měně, nejedná-li se o účet zahrnutý v obchodním majetku, s výjimkou kursového zisku při směně peněz z účtu vedeného v cizí měně na evropském regulovaném trhu nebo na obdobném zahraničním regulovaném trhu, na kterém se obchody s těmito měnami uskutečňují.</w:t>
      </w:r>
    </w:p>
    <w:p w14:paraId="435CEF97" w14:textId="77777777" w:rsidR="000839A4" w:rsidRPr="000839A4" w:rsidRDefault="000839A4" w:rsidP="000839A4">
      <w:pPr>
        <w:tabs>
          <w:tab w:val="left" w:pos="851"/>
        </w:tabs>
        <w:spacing w:before="120" w:after="120"/>
        <w:ind w:firstLine="427"/>
        <w:outlineLvl w:val="6"/>
      </w:pPr>
      <w:r w:rsidRPr="000839A4">
        <w:t xml:space="preserve">(5) U příjmů podle odstavce 1 písm. b) je výdajem cena, za kterou poplatník věc prokazatelně nabyl, a jde-li o věc nabytou bezúplatně, </w:t>
      </w:r>
      <w:r w:rsidRPr="000839A4">
        <w:rPr>
          <w:strike/>
        </w:rPr>
        <w:t>cena určená podle zvláštního právního předpisu o oceňování majetku</w:t>
      </w:r>
      <w:r w:rsidRPr="000839A4">
        <w:rPr>
          <w:strike/>
          <w:vertAlign w:val="superscript"/>
        </w:rPr>
        <w:t>1a)</w:t>
      </w:r>
      <w:r w:rsidRPr="000839A4">
        <w:t xml:space="preserve"> </w:t>
      </w:r>
      <w:r w:rsidRPr="000839A4">
        <w:rPr>
          <w:b/>
        </w:rPr>
        <w:t xml:space="preserve">hodnota určená podle zákona upravujícího oceňování věcí, </w:t>
      </w:r>
      <w:r w:rsidRPr="000839A4">
        <w:rPr>
          <w:b/>
        </w:rPr>
        <w:lastRenderedPageBreak/>
        <w:t xml:space="preserve">služeb a dluhů </w:t>
      </w:r>
      <w:r w:rsidRPr="000839A4">
        <w:t xml:space="preserve">ke dni nabytí </w:t>
      </w:r>
      <w:r w:rsidRPr="000839A4">
        <w:rPr>
          <w:b/>
        </w:rPr>
        <w:t>s výjimkou služebnosti, která se ocení zjištěnou hodnotou ke dni nabytí</w:t>
      </w:r>
      <w:r w:rsidRPr="000839A4">
        <w:t xml:space="preserve">. </w:t>
      </w:r>
      <w:r w:rsidRPr="000839A4">
        <w:rPr>
          <w:strike/>
        </w:rPr>
        <w:t>Jde-li o hmotný majetek odpisovaný podle § 26 a následujících, který byl zahrnut do obchodního majetku pro výkon činnosti, ze které plyne příjem ze samostatné činnosti, nebo sloužil k nájmu, je výdajem zůstatková cena podle § 29 odst. 2</w:t>
      </w:r>
      <w:r w:rsidRPr="000839A4">
        <w:t xml:space="preserve"> </w:t>
      </w:r>
      <w:r w:rsidRPr="000839A4">
        <w:rPr>
          <w:b/>
        </w:rPr>
        <w:t>Jde-li o aktivum, které bylo daňově odpisovaným aktivem, je výdajem jeho daňová hodnota</w:t>
      </w:r>
      <w:r w:rsidRPr="000839A4">
        <w:t xml:space="preserve">. Jde-li o věc získanou směnou nebo výhrou, vychází se z </w:t>
      </w:r>
      <w:r w:rsidRPr="000839A4">
        <w:rPr>
          <w:strike/>
        </w:rPr>
        <w:t xml:space="preserve">ceny podle zvláštního </w:t>
      </w:r>
      <w:proofErr w:type="gramStart"/>
      <w:r w:rsidRPr="000839A4">
        <w:rPr>
          <w:strike/>
        </w:rPr>
        <w:t>předpisu</w:t>
      </w:r>
      <w:r w:rsidRPr="000839A4">
        <w:rPr>
          <w:strike/>
          <w:vertAlign w:val="superscript"/>
        </w:rPr>
        <w:t>1a)</w:t>
      </w:r>
      <w:r w:rsidRPr="000839A4">
        <w:rPr>
          <w:strike/>
        </w:rPr>
        <w:t xml:space="preserve"> (§ 3 odst.</w:t>
      </w:r>
      <w:proofErr w:type="gramEnd"/>
      <w:r w:rsidRPr="000839A4">
        <w:rPr>
          <w:strike/>
        </w:rPr>
        <w:t xml:space="preserve"> 3)</w:t>
      </w:r>
      <w:r w:rsidRPr="000839A4">
        <w:t xml:space="preserve"> </w:t>
      </w:r>
      <w:r w:rsidRPr="000839A4">
        <w:rPr>
          <w:b/>
        </w:rPr>
        <w:t xml:space="preserve">hodnoty určené podle zákona upravujícího oceňování věcí, </w:t>
      </w:r>
      <w:proofErr w:type="spellStart"/>
      <w:r w:rsidRPr="000839A4">
        <w:rPr>
          <w:b/>
        </w:rPr>
        <w:t>služwb</w:t>
      </w:r>
      <w:proofErr w:type="spellEnd"/>
      <w:r w:rsidRPr="000839A4">
        <w:rPr>
          <w:b/>
        </w:rPr>
        <w:t xml:space="preserve"> a dluhů s výjimkou služebnosti, která se ocení zjištěnou hodnotou ke dni nabytí</w:t>
      </w:r>
      <w:r w:rsidRPr="000839A4">
        <w:t>. Výdajem jsou též částky prokazatelně vynaložené na technické zhodnocení, opravu a údržbu věci, včetně dalších výdajů souvisejících s uskutečněním prodeje s výjimkou výdajů na osobní potřebu poplatníka. K hodnotě vlastní práce poplatníka na věci, kterou si sám vyrobil nebo vlastní prací zhodnotil, se při stanovení výdajů nepřihlíží. U příjmů z úplatného převodu cenných papírů lze kromě nabývací ceny akcie nebo kmenového listu a pořizovací ceny ostatních cenných papírů uplatnit i výdaje související s uskutečněním úplatného převodu a platby za obchodování na trhu s cennými papíry při pořízení cenných papírů. Výdaje, které převyšují příjmy podle odstavce 1 písm. b), c), f) a g) v tom zdaňovacím období, kdy poprvé plynou splátky nebo zálohy na prodej věcí, na budoucí prodej nemovité věci nebo na prodej účasti na společnosti s ručením omezeným, komanditní společnosti, podílu na základním kapitálu družstva nebo pohledávky podle § 33a zákona o úpravě vlastnických vztahů k půdě a jinému zemědělskému majetku, mohou být uplatněny v tomto zdaňovacím období až do výše tohoto příjmu. Jestliže příjem plyne i v dalších zdaňovacích obdobích, postupuje se obdobně, a to až do výše celkové částky, kterou lze podle tohoto ustanovení uplatnit. U příjmů podle odstavce 1 písm. b) je výdajem vrácená záloha, i když je vrácena v jiném zdaňovacím období. U příjmu plynoucího z odvolání daru je výdajem úhrada za zhodnocení daru. U příjmů podle odstavce 1 písm. h) bodů 2 až 6 je výdajem pouze vklad do hazardní hry.</w:t>
      </w:r>
      <w:r w:rsidRPr="000839A4">
        <w:rPr>
          <w:b/>
        </w:rPr>
        <w:t xml:space="preserve"> </w:t>
      </w:r>
      <w:r w:rsidRPr="000839A4">
        <w:t>U příjmů podle odstavce 1 písm. q) je výdajem také kursová ztráta při směně peněz z účtu vedeného v cizí měně, nejedná-li se o účet zahrnutý v obchodním majetku, s výjimkou kursové ztráty při směně peněz z účtu vedeného v cizí měně na evropském regulovaném trhu nebo na obdobném zahraničním regulovaném trhu, na kterém se obchody s těmito měnami uskutečňují.</w:t>
      </w:r>
    </w:p>
    <w:p w14:paraId="5F603B69" w14:textId="77777777" w:rsidR="000839A4" w:rsidRPr="000839A4" w:rsidRDefault="000839A4" w:rsidP="000839A4">
      <w:pPr>
        <w:tabs>
          <w:tab w:val="left" w:pos="851"/>
        </w:tabs>
        <w:spacing w:before="120" w:after="120"/>
        <w:ind w:firstLine="427"/>
        <w:outlineLvl w:val="6"/>
      </w:pPr>
      <w:r w:rsidRPr="000839A4">
        <w:t>(6) U příjmů podle odstavce 1 písm. c), f) a g) se za výdaj považuje nabývací cena podílu. Výdajem není podíl na majetku družstva převedený v rámci transformace družstev podle zvláštního předpisu</w:t>
      </w:r>
      <w:bookmarkStart w:id="17" w:name="_Ref535916575"/>
      <w:r w:rsidRPr="000839A4">
        <w:rPr>
          <w:vertAlign w:val="superscript"/>
        </w:rPr>
        <w:footnoteReference w:customMarkFollows="1" w:id="137"/>
        <w:t>13)</w:t>
      </w:r>
      <w:bookmarkEnd w:id="17"/>
      <w:r w:rsidRPr="000839A4">
        <w:t xml:space="preserve"> s výjimkou podílu nebo jeho části, který je náhradou podle zvláštních předpisů,</w:t>
      </w:r>
      <w:bookmarkStart w:id="18" w:name="_Ref535916576"/>
      <w:r w:rsidRPr="000839A4">
        <w:rPr>
          <w:vertAlign w:val="superscript"/>
        </w:rPr>
        <w:t xml:space="preserve"> </w:t>
      </w:r>
      <w:r w:rsidRPr="000839A4">
        <w:rPr>
          <w:vertAlign w:val="superscript"/>
        </w:rPr>
        <w:footnoteReference w:customMarkFollows="1" w:id="138"/>
        <w:t>2)</w:t>
      </w:r>
      <w:bookmarkEnd w:id="18"/>
      <w:r w:rsidRPr="000839A4">
        <w:t xml:space="preserve"> a s výjimkou dalšího podílu na majetku </w:t>
      </w:r>
      <w:proofErr w:type="gramStart"/>
      <w:r w:rsidRPr="000839A4">
        <w:t>družstva,</w:t>
      </w:r>
      <w:r w:rsidRPr="000839A4">
        <w:rPr>
          <w:vertAlign w:val="superscript"/>
        </w:rPr>
        <w:t>13</w:t>
      </w:r>
      <w:proofErr w:type="gramEnd"/>
      <w:r w:rsidRPr="000839A4">
        <w:rPr>
          <w:vertAlign w:val="superscript"/>
        </w:rPr>
        <w:t>)</w:t>
      </w:r>
      <w:r w:rsidRPr="000839A4">
        <w:t xml:space="preserve"> je-li vydán ve věcném nebo nepeněžitém plnění. Při přeměně investičního fondu na otevřený podílový fond, při přeměně uzavřeného podílového fondu na otevřený podílový fond, při změně obhospodařovatele podílového fondu, při sloučení a splynutí podílových fondů a při sloučení, splynutí a rozdělení investičního fondu se za nabývací cenu akcie nebo podílového listu u téhož poplatníka považuje nabývací cena podílu na původním investičním fondu. U příjmů z převodu jmění na společníka se za výdaj považuje nabývací cena podílu nebo pořizovací cena cenných papírů, převzaté dluhy, které byly následně uhrazeny, a uhrazené vypořádání, i když k uhrazení dojde v jiném </w:t>
      </w:r>
      <w:r w:rsidRPr="000839A4">
        <w:lastRenderedPageBreak/>
        <w:t>zdaňovacím období než v tom, v němž plyne příjem z převodu jmění na společníka. U příjmů z vypořádání se za výdaj považuje nabývací cena podílu nebo pořizovací cena cenných papírů.</w:t>
      </w:r>
    </w:p>
    <w:p w14:paraId="09D416E5" w14:textId="77777777" w:rsidR="000839A4" w:rsidRPr="000839A4" w:rsidRDefault="000839A4" w:rsidP="000839A4">
      <w:pPr>
        <w:tabs>
          <w:tab w:val="left" w:pos="851"/>
        </w:tabs>
        <w:spacing w:before="120" w:after="120"/>
        <w:ind w:firstLine="427"/>
        <w:outlineLvl w:val="6"/>
      </w:pPr>
      <w:r w:rsidRPr="000839A4">
        <w:t>(7) Důchod podle občanského zákoníku se považuje za základ daně (dílčí základ daně) po snížení o částku pořizovací ceny rovnoměrně rozdělenou na období pobírání důchodu. Toto období se stanoví jako střední délka života účastníka podle úmrtnostních tabulek Českého statistického úřadu v době, kdy důchod začne poprvé pobírat.</w:t>
      </w:r>
    </w:p>
    <w:p w14:paraId="287F0A50" w14:textId="77777777" w:rsidR="000839A4" w:rsidRPr="000839A4" w:rsidRDefault="000839A4" w:rsidP="000839A4">
      <w:pPr>
        <w:tabs>
          <w:tab w:val="left" w:pos="851"/>
        </w:tabs>
        <w:spacing w:before="120" w:after="120"/>
        <w:ind w:firstLine="427"/>
        <w:outlineLvl w:val="6"/>
      </w:pPr>
      <w:r w:rsidRPr="000839A4">
        <w:t xml:space="preserve">(8) Příjmem podle odstavce 1 písm. f) a g) je také kladný rozdíl mezi </w:t>
      </w:r>
      <w:r w:rsidRPr="000839A4">
        <w:rPr>
          <w:strike/>
        </w:rPr>
        <w:t>oceněním majetku podle zvláštního právního předpisu</w:t>
      </w:r>
      <w:r w:rsidRPr="000839A4">
        <w:rPr>
          <w:strike/>
          <w:vertAlign w:val="superscript"/>
        </w:rPr>
        <w:t>1a)</w:t>
      </w:r>
      <w:r w:rsidRPr="000839A4">
        <w:t xml:space="preserve"> </w:t>
      </w:r>
      <w:r w:rsidRPr="000839A4">
        <w:rPr>
          <w:b/>
        </w:rPr>
        <w:t>hodnotou věci určené podle zákona upravujícího oceňování věcí, služeb a dluhů</w:t>
      </w:r>
      <w:r w:rsidRPr="000839A4">
        <w:t xml:space="preserve"> a výší </w:t>
      </w:r>
      <w:r w:rsidRPr="000839A4">
        <w:rPr>
          <w:strike/>
        </w:rPr>
        <w:t>jeho hodnoty zachycené v účetnictví</w:t>
      </w:r>
      <w:r w:rsidRPr="000839A4">
        <w:t xml:space="preserve"> </w:t>
      </w:r>
      <w:r w:rsidRPr="000839A4">
        <w:rPr>
          <w:b/>
        </w:rPr>
        <w:t>její</w:t>
      </w:r>
      <w:r w:rsidRPr="000839A4">
        <w:t xml:space="preserve"> </w:t>
      </w:r>
      <w:r w:rsidRPr="000839A4">
        <w:rPr>
          <w:b/>
        </w:rPr>
        <w:t>účetní hodnoty u</w:t>
      </w:r>
      <w:r w:rsidRPr="000839A4">
        <w:t xml:space="preserve"> obchodní korporace při zániku členství v obchodní korporaci, pokud je podíl na likvidačním zůstatku nebo vypořádací podíl vypořádáván v nepeněžní formě. Pokud členovi obchodní korporace při zániku jeho účasti v ní vznikne vedle práva na vypořádací podíl v nepeněžní formě současně i dluh vůči obchodní korporaci, sníží se tento kladný rozdíl o výši dluhu. Příjmy podle odstavce 1 písm. f), g), h) bod 1, ch) a o) s výjimkou příjmů z podílu na likvidačním zůstatku a vypořádacího podílu u společníků veřejné obchodní společnosti a komplementářů komanditní společnosti plynoucí ze zdrojů na území České republiky jsou samostatným základem daně pro zdanění zvláštní sazbou daně (§ 36). Plynou-li tyto příjmy ze zdrojů v zahraničí, jsou základem daně (dílčím základem daně) podle § 5 odst. 2. Je-li v ceně z veřejné soutěže zahrnuta odměna za užití díla nebo výkonu, sníží se o částku připadající na tuto odměnu základ daně zdaňovaný zvláštní sazbou daně a tato částka se zahrne do příjmů uvedených v § 7. U poplatníků uvedených v § 2 odst. 2, u nichž je sportovní činnost činností, ze které plyne příjem ze samostatné činnosti, se považují přijaté ceny ze sportovních soutěží za příjmy podle § 7.</w:t>
      </w:r>
    </w:p>
    <w:p w14:paraId="2CBB5E9A" w14:textId="77777777" w:rsidR="000839A4" w:rsidRPr="000839A4" w:rsidRDefault="000839A4" w:rsidP="000839A4">
      <w:pPr>
        <w:tabs>
          <w:tab w:val="left" w:pos="851"/>
        </w:tabs>
        <w:spacing w:before="120" w:after="120"/>
        <w:ind w:firstLine="427"/>
        <w:outlineLvl w:val="6"/>
      </w:pPr>
      <w:r w:rsidRPr="000839A4">
        <w:t>(9) Je-li příjem z úplatného převodu cenného papíru nebo podílu v obchodní korporaci, který není představován cenným papírem, zahrnut do základu daně jen zčásti z důvodu použití postupu podle § 4 odst. 3 a byl-li tento cenný papír nebo podíl nabytý poplatníkem do 31. prosince 2023, mohou být namísto výdajů podle odstavce 5 nebo 6 výdaji</w:t>
      </w:r>
    </w:p>
    <w:p w14:paraId="2B2914FC"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 xml:space="preserve">tržní hodnota tohoto cenného papíru nebo podílu určená podle zákona upravujícího oceňování majetku </w:t>
      </w:r>
    </w:p>
    <w:p w14:paraId="6216D59F" w14:textId="77777777" w:rsidR="000839A4" w:rsidRPr="000839A4" w:rsidRDefault="000839A4" w:rsidP="000839A4">
      <w:pPr>
        <w:tabs>
          <w:tab w:val="left" w:pos="357"/>
        </w:tabs>
        <w:spacing w:before="0"/>
        <w:ind w:left="714" w:hanging="357"/>
        <w:rPr>
          <w:noProof/>
          <w:szCs w:val="24"/>
        </w:rPr>
      </w:pPr>
      <w:r w:rsidRPr="000839A4">
        <w:rPr>
          <w:noProof/>
          <w:szCs w:val="24"/>
        </w:rPr>
        <w:t>1.</w:t>
      </w:r>
      <w:r w:rsidRPr="000839A4">
        <w:rPr>
          <w:noProof/>
          <w:szCs w:val="24"/>
        </w:rPr>
        <w:tab/>
        <w:t xml:space="preserve">k 31. prosinci 2023, nebo </w:t>
      </w:r>
    </w:p>
    <w:p w14:paraId="210E18F1" w14:textId="77777777" w:rsidR="000839A4" w:rsidRPr="000839A4" w:rsidRDefault="000839A4" w:rsidP="000839A4">
      <w:pPr>
        <w:tabs>
          <w:tab w:val="left" w:pos="357"/>
        </w:tabs>
        <w:spacing w:before="0"/>
        <w:ind w:left="714" w:hanging="357"/>
        <w:rPr>
          <w:noProof/>
          <w:szCs w:val="24"/>
        </w:rPr>
      </w:pPr>
      <w:r w:rsidRPr="000839A4">
        <w:rPr>
          <w:noProof/>
          <w:szCs w:val="24"/>
        </w:rPr>
        <w:t>2.</w:t>
      </w:r>
      <w:r w:rsidRPr="000839A4">
        <w:rPr>
          <w:noProof/>
          <w:szCs w:val="24"/>
        </w:rPr>
        <w:tab/>
        <w:t xml:space="preserve">ke dni úplatného převodu tohoto cenného papíru nebo podílu, pokud se tento úplatný převod uskutečnil před 31. prosincem 2023, a </w:t>
      </w:r>
    </w:p>
    <w:p w14:paraId="34DFA9C5"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výdaje související s uskutečněním úplatného převodu tohoto cenného papíru a platby za obchodování na trhu s cennými papíry při pořízení cenného papíru, jde-li o příjem z úplatného převodu cenného papíru.</w:t>
      </w:r>
    </w:p>
    <w:p w14:paraId="0380CAB4" w14:textId="77777777" w:rsidR="000839A4" w:rsidRPr="000839A4" w:rsidRDefault="000839A4" w:rsidP="000839A4">
      <w:pPr>
        <w:tabs>
          <w:tab w:val="left" w:pos="851"/>
        </w:tabs>
        <w:spacing w:before="120" w:after="120"/>
        <w:ind w:firstLine="427"/>
        <w:outlineLvl w:val="6"/>
      </w:pPr>
      <w:r w:rsidRPr="000839A4">
        <w:t xml:space="preserve">(10) Plyne-li příjem podle odstavce 8 ze zdrojů v zahraničí, lze tento příjem zahrnout do samostatného základu daně zdaňovaného sazbou daně podle § 16a. Zahrne-li se takový příjem do tohoto základu daně, zahrnou se do tohoto základu daně veškeré příjmy podle odstavce 8 plynoucí ze zdrojů v zahraničí. Tyto příjmy se nesnižují o výdaje s výjimkou </w:t>
      </w:r>
    </w:p>
    <w:p w14:paraId="7EED1096"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 xml:space="preserve">příjmů uvedených v odstavci 1 písm. f) a g), které lze snížit o nabývací cenu podílu, a </w:t>
      </w:r>
    </w:p>
    <w:p w14:paraId="67A24958"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ceny z veřejné soutěže, která se sníží o odměnu za užití díla nebo výkonu zahrnutou v této ceně; tato odměna je příjmem ze samostatné činnosti.</w:t>
      </w:r>
    </w:p>
    <w:p w14:paraId="57E4A2BD" w14:textId="77777777" w:rsidR="000839A4" w:rsidRPr="000839A4" w:rsidRDefault="000839A4" w:rsidP="000839A4">
      <w:pPr>
        <w:keepNext/>
        <w:ind w:firstLine="0"/>
        <w:jc w:val="center"/>
        <w:rPr>
          <w:szCs w:val="24"/>
        </w:rPr>
      </w:pPr>
      <w:r w:rsidRPr="000839A4">
        <w:rPr>
          <w:szCs w:val="24"/>
        </w:rPr>
        <w:lastRenderedPageBreak/>
        <w:t>§ 12</w:t>
      </w:r>
    </w:p>
    <w:p w14:paraId="79440A78" w14:textId="77777777" w:rsidR="000839A4" w:rsidRPr="000839A4" w:rsidRDefault="000839A4" w:rsidP="000839A4">
      <w:pPr>
        <w:keepNext/>
        <w:ind w:firstLine="0"/>
        <w:jc w:val="center"/>
        <w:rPr>
          <w:b/>
          <w:szCs w:val="24"/>
        </w:rPr>
      </w:pPr>
      <w:r w:rsidRPr="000839A4">
        <w:rPr>
          <w:b/>
          <w:szCs w:val="24"/>
        </w:rPr>
        <w:t xml:space="preserve"> Společné příjmy a výdaje </w:t>
      </w:r>
    </w:p>
    <w:p w14:paraId="42528751" w14:textId="77777777" w:rsidR="000839A4" w:rsidRPr="000839A4" w:rsidRDefault="000839A4" w:rsidP="000839A4">
      <w:pPr>
        <w:tabs>
          <w:tab w:val="left" w:pos="851"/>
        </w:tabs>
        <w:spacing w:before="120" w:after="120"/>
        <w:ind w:firstLine="427"/>
        <w:outlineLvl w:val="6"/>
      </w:pPr>
      <w:r w:rsidRPr="000839A4">
        <w:t xml:space="preserve">(1) Pokud nejsou společné výdaje související se společnými příjmy ze společnosti nebo ze společenství jmění rozděleny mezi poplatníky stejně jako společné příjmy, mohou poplatníci uplatnit výdaje pouze v prokázané výši. </w:t>
      </w:r>
    </w:p>
    <w:p w14:paraId="731E13A7" w14:textId="77777777" w:rsidR="000839A4" w:rsidRPr="000839A4" w:rsidRDefault="000839A4" w:rsidP="000839A4">
      <w:pPr>
        <w:spacing w:before="120"/>
        <w:ind w:firstLine="482"/>
        <w:rPr>
          <w:szCs w:val="24"/>
        </w:rPr>
      </w:pPr>
      <w:r w:rsidRPr="000839A4">
        <w:rPr>
          <w:szCs w:val="24"/>
        </w:rPr>
        <w:t xml:space="preserve">(2) Pokud nejsou příjmy a výdaje rozděleny mezi spoluvlastníky podle spoluvlastnických podílů, mohou spoluvlastníci uplatnit výdaje pouze v prokázané výši. </w:t>
      </w:r>
    </w:p>
    <w:p w14:paraId="63E4D6B7" w14:textId="77777777" w:rsidR="000839A4" w:rsidRPr="000839A4" w:rsidRDefault="000839A4" w:rsidP="000839A4">
      <w:pPr>
        <w:spacing w:before="120"/>
        <w:ind w:firstLine="482"/>
        <w:rPr>
          <w:szCs w:val="24"/>
        </w:rPr>
      </w:pPr>
      <w:r w:rsidRPr="000839A4">
        <w:rPr>
          <w:szCs w:val="24"/>
        </w:rPr>
        <w:t xml:space="preserve">(3) Příjmy a výdaje plynoucí poplatníkovi ze společenství jmění s výjimkou společenství jmění dědiců za dobu jeho trvání se zahrnují do zdaňovacího období, ve kterém společenství jmění zaniklo.  </w:t>
      </w:r>
    </w:p>
    <w:p w14:paraId="5D0E1DCB" w14:textId="77777777" w:rsidR="000839A4" w:rsidRPr="000839A4" w:rsidRDefault="000839A4" w:rsidP="000839A4">
      <w:pPr>
        <w:keepNext/>
        <w:ind w:firstLine="0"/>
        <w:jc w:val="center"/>
        <w:rPr>
          <w:szCs w:val="24"/>
        </w:rPr>
      </w:pPr>
      <w:r w:rsidRPr="000839A4">
        <w:rPr>
          <w:szCs w:val="24"/>
        </w:rPr>
        <w:t>§ 13</w:t>
      </w:r>
    </w:p>
    <w:p w14:paraId="0199E37F" w14:textId="77777777" w:rsidR="000839A4" w:rsidRPr="000839A4" w:rsidRDefault="000839A4" w:rsidP="000839A4">
      <w:pPr>
        <w:keepNext/>
        <w:ind w:firstLine="0"/>
        <w:jc w:val="center"/>
        <w:rPr>
          <w:b/>
          <w:szCs w:val="24"/>
        </w:rPr>
      </w:pPr>
      <w:r w:rsidRPr="000839A4">
        <w:rPr>
          <w:b/>
          <w:szCs w:val="24"/>
        </w:rPr>
        <w:t>Příjmy a výdaje spolupracujících osob</w:t>
      </w:r>
    </w:p>
    <w:p w14:paraId="07B91E16" w14:textId="77777777" w:rsidR="000839A4" w:rsidRPr="000839A4" w:rsidRDefault="000839A4" w:rsidP="000839A4">
      <w:pPr>
        <w:tabs>
          <w:tab w:val="left" w:pos="851"/>
        </w:tabs>
        <w:spacing w:before="120" w:after="120"/>
        <w:ind w:firstLine="427"/>
        <w:outlineLvl w:val="6"/>
      </w:pPr>
      <w:r w:rsidRPr="000839A4">
        <w:t>(1) Příjmy a výdaje na jejich dosažení, zajištění a udržení při samostatné činnosti s výjimkou podílu společníka veřejné obchodní společnosti a komplementáře komanditní společnosti mohou být rozděleny mezi poplatníka a s ním spolupracující osoby, kterými se rozumí</w:t>
      </w:r>
    </w:p>
    <w:p w14:paraId="63C3E624"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spolupracující manžel,</w:t>
      </w:r>
    </w:p>
    <w:p w14:paraId="6D60E89A"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 xml:space="preserve">spolupracující osoba žijící s poplatníkem ve společně hospodařící domácnosti, </w:t>
      </w:r>
    </w:p>
    <w:p w14:paraId="39C8454C" w14:textId="77777777" w:rsidR="000839A4" w:rsidRPr="000839A4" w:rsidRDefault="000839A4" w:rsidP="000839A4">
      <w:pPr>
        <w:tabs>
          <w:tab w:val="left" w:pos="357"/>
        </w:tabs>
        <w:spacing w:before="0"/>
        <w:ind w:left="357" w:hanging="357"/>
        <w:rPr>
          <w:szCs w:val="24"/>
        </w:rPr>
      </w:pPr>
      <w:r w:rsidRPr="000839A4">
        <w:rPr>
          <w:szCs w:val="24"/>
        </w:rPr>
        <w:t>c)</w:t>
      </w:r>
      <w:r w:rsidRPr="000839A4">
        <w:rPr>
          <w:szCs w:val="24"/>
        </w:rPr>
        <w:tab/>
        <w:t>člen rodiny zúčastněný na provozu rodinného závodu.</w:t>
      </w:r>
    </w:p>
    <w:p w14:paraId="53173712" w14:textId="77777777" w:rsidR="000839A4" w:rsidRPr="000839A4" w:rsidRDefault="000839A4" w:rsidP="000839A4">
      <w:pPr>
        <w:tabs>
          <w:tab w:val="left" w:pos="851"/>
        </w:tabs>
        <w:spacing w:before="120" w:after="120"/>
        <w:ind w:firstLine="427"/>
        <w:outlineLvl w:val="6"/>
      </w:pPr>
      <w:r w:rsidRPr="000839A4">
        <w:t xml:space="preserve">(2) U spolupracujících osob musí být výše podílu na příjmech a výdajích stejná. Příjmy a výdaje se rozdělují tak, aby </w:t>
      </w:r>
    </w:p>
    <w:p w14:paraId="3CA88BCD"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podíl příjmů a výdajů připadající na spolupracující osoby nečinil v úhrnu více než 30 % a</w:t>
      </w:r>
    </w:p>
    <w:p w14:paraId="2907FE48"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 xml:space="preserve">částka, o kterou příjmy převyšují výdaje, činila </w:t>
      </w:r>
    </w:p>
    <w:p w14:paraId="32B2DC96" w14:textId="77777777" w:rsidR="000839A4" w:rsidRPr="000839A4" w:rsidRDefault="000839A4" w:rsidP="000839A4">
      <w:pPr>
        <w:tabs>
          <w:tab w:val="left" w:pos="357"/>
        </w:tabs>
        <w:spacing w:before="0"/>
        <w:ind w:left="714" w:hanging="357"/>
        <w:rPr>
          <w:szCs w:val="24"/>
        </w:rPr>
      </w:pPr>
      <w:r w:rsidRPr="000839A4">
        <w:rPr>
          <w:szCs w:val="24"/>
        </w:rPr>
        <w:t>1.</w:t>
      </w:r>
      <w:r w:rsidRPr="000839A4">
        <w:rPr>
          <w:szCs w:val="24"/>
        </w:rPr>
        <w:tab/>
        <w:t>za zdaňovací období nejvýše 180 000 Kč a</w:t>
      </w:r>
    </w:p>
    <w:p w14:paraId="12C52476" w14:textId="77777777" w:rsidR="000839A4" w:rsidRPr="000839A4" w:rsidRDefault="000839A4" w:rsidP="000839A4">
      <w:pPr>
        <w:tabs>
          <w:tab w:val="left" w:pos="357"/>
        </w:tabs>
        <w:spacing w:before="0"/>
        <w:ind w:left="714" w:hanging="357"/>
        <w:rPr>
          <w:szCs w:val="24"/>
        </w:rPr>
      </w:pPr>
      <w:r w:rsidRPr="000839A4">
        <w:rPr>
          <w:szCs w:val="24"/>
        </w:rPr>
        <w:t>2.</w:t>
      </w:r>
      <w:r w:rsidRPr="000839A4">
        <w:rPr>
          <w:szCs w:val="24"/>
        </w:rPr>
        <w:tab/>
        <w:t>za každý započatý kalendářní měsíc spolupráce nejvýše 15 000 Kč.</w:t>
      </w:r>
    </w:p>
    <w:p w14:paraId="30147EA9" w14:textId="77777777" w:rsidR="000839A4" w:rsidRPr="000839A4" w:rsidRDefault="000839A4" w:rsidP="000839A4">
      <w:pPr>
        <w:tabs>
          <w:tab w:val="left" w:pos="851"/>
        </w:tabs>
        <w:spacing w:before="120" w:after="120"/>
        <w:ind w:firstLine="427"/>
        <w:outlineLvl w:val="6"/>
      </w:pPr>
      <w:r w:rsidRPr="000839A4">
        <w:t xml:space="preserve">(3) V případě, že je spolupracující osobou pouze manžel, se příjmy a výdaje rozdělují tak, aby </w:t>
      </w:r>
    </w:p>
    <w:p w14:paraId="1D4BF14A"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podíl příjmů a výdajů připadající na manžela nečinil více než 50 % a</w:t>
      </w:r>
    </w:p>
    <w:p w14:paraId="057459D6"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 xml:space="preserve">částka, o kterou příjmy převyšují výdaje, činila </w:t>
      </w:r>
    </w:p>
    <w:p w14:paraId="5BA711D3" w14:textId="77777777" w:rsidR="000839A4" w:rsidRPr="000839A4" w:rsidRDefault="000839A4" w:rsidP="000839A4">
      <w:pPr>
        <w:tabs>
          <w:tab w:val="left" w:pos="357"/>
        </w:tabs>
        <w:spacing w:before="0"/>
        <w:ind w:left="714" w:hanging="357"/>
        <w:rPr>
          <w:szCs w:val="24"/>
        </w:rPr>
      </w:pPr>
      <w:r w:rsidRPr="000839A4">
        <w:rPr>
          <w:szCs w:val="24"/>
        </w:rPr>
        <w:t>1.</w:t>
      </w:r>
      <w:r w:rsidRPr="000839A4">
        <w:rPr>
          <w:szCs w:val="24"/>
        </w:rPr>
        <w:tab/>
        <w:t>za zdaňovací období nejvýše 540 000 Kč a</w:t>
      </w:r>
    </w:p>
    <w:p w14:paraId="3363B680" w14:textId="77777777" w:rsidR="000839A4" w:rsidRPr="000839A4" w:rsidRDefault="000839A4" w:rsidP="000839A4">
      <w:pPr>
        <w:tabs>
          <w:tab w:val="left" w:pos="357"/>
        </w:tabs>
        <w:spacing w:before="0"/>
        <w:ind w:left="714" w:hanging="357"/>
        <w:rPr>
          <w:szCs w:val="24"/>
        </w:rPr>
      </w:pPr>
      <w:r w:rsidRPr="000839A4">
        <w:rPr>
          <w:szCs w:val="24"/>
        </w:rPr>
        <w:t>2.</w:t>
      </w:r>
      <w:r w:rsidRPr="000839A4">
        <w:rPr>
          <w:szCs w:val="24"/>
        </w:rPr>
        <w:tab/>
        <w:t>za každý započatý kalendářní měsíc spolupráce nejvýše 45 000 Kč.</w:t>
      </w:r>
    </w:p>
    <w:p w14:paraId="135D2717" w14:textId="77777777" w:rsidR="000839A4" w:rsidRPr="000839A4" w:rsidRDefault="000839A4" w:rsidP="000839A4">
      <w:pPr>
        <w:tabs>
          <w:tab w:val="left" w:pos="851"/>
        </w:tabs>
        <w:spacing w:before="120" w:after="120"/>
        <w:ind w:firstLine="427"/>
        <w:outlineLvl w:val="6"/>
      </w:pPr>
      <w:r w:rsidRPr="000839A4">
        <w:t xml:space="preserve">(4) Příjmy a výdaje nelze rozdělovat </w:t>
      </w:r>
    </w:p>
    <w:p w14:paraId="77B167FB" w14:textId="64373C7C"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na dítě, které nemá ukončenou povinnou školní docházku,</w:t>
      </w:r>
    </w:p>
    <w:p w14:paraId="6BEF0516" w14:textId="3218C64C" w:rsidR="000839A4" w:rsidRPr="000839A4" w:rsidRDefault="000839A4" w:rsidP="00FE4A0D">
      <w:pPr>
        <w:tabs>
          <w:tab w:val="left" w:pos="357"/>
        </w:tabs>
        <w:spacing w:before="0"/>
        <w:ind w:left="357" w:hanging="357"/>
        <w:rPr>
          <w:szCs w:val="24"/>
        </w:rPr>
      </w:pPr>
      <w:r w:rsidRPr="000839A4">
        <w:rPr>
          <w:szCs w:val="24"/>
        </w:rPr>
        <w:t>b)</w:t>
      </w:r>
      <w:r w:rsidRPr="000839A4">
        <w:rPr>
          <w:szCs w:val="24"/>
        </w:rPr>
        <w:tab/>
        <w:t>na dítě v kalendářních měsících, ve kterých je na něj uplatňováno daňové zvýhodnění na vyživované dítě,</w:t>
      </w:r>
    </w:p>
    <w:p w14:paraId="4BA31567" w14:textId="5C63D371" w:rsidR="000839A4" w:rsidRPr="000839A4" w:rsidRDefault="000839A4" w:rsidP="000839A4">
      <w:pPr>
        <w:tabs>
          <w:tab w:val="left" w:pos="357"/>
        </w:tabs>
        <w:spacing w:before="0"/>
        <w:ind w:left="357" w:hanging="357"/>
        <w:rPr>
          <w:szCs w:val="24"/>
        </w:rPr>
      </w:pPr>
      <w:r w:rsidRPr="000839A4">
        <w:rPr>
          <w:szCs w:val="24"/>
        </w:rPr>
        <w:t>c)</w:t>
      </w:r>
      <w:r w:rsidRPr="000839A4">
        <w:rPr>
          <w:szCs w:val="24"/>
        </w:rPr>
        <w:tab/>
        <w:t xml:space="preserve">na manžela, je-li na něj uplatněna sleva na manžela, </w:t>
      </w:r>
    </w:p>
    <w:p w14:paraId="4A78E65C" w14:textId="77777777" w:rsidR="000839A4" w:rsidRPr="00FE4A0D" w:rsidRDefault="000839A4" w:rsidP="00FE4A0D">
      <w:pPr>
        <w:tabs>
          <w:tab w:val="left" w:pos="357"/>
        </w:tabs>
        <w:spacing w:before="0"/>
        <w:ind w:left="357" w:hanging="357"/>
        <w:rPr>
          <w:szCs w:val="24"/>
        </w:rPr>
      </w:pPr>
      <w:r w:rsidRPr="00FE4A0D">
        <w:rPr>
          <w:szCs w:val="24"/>
        </w:rPr>
        <w:t>d)</w:t>
      </w:r>
      <w:r w:rsidRPr="00FE4A0D">
        <w:rPr>
          <w:szCs w:val="24"/>
        </w:rPr>
        <w:tab/>
        <w:t>na a od poplatníka, který zemřel, a</w:t>
      </w:r>
    </w:p>
    <w:p w14:paraId="1B2A3E60" w14:textId="77777777" w:rsidR="000839A4" w:rsidRPr="00FE4A0D" w:rsidRDefault="000839A4" w:rsidP="00FE4A0D">
      <w:pPr>
        <w:tabs>
          <w:tab w:val="left" w:pos="357"/>
        </w:tabs>
        <w:spacing w:before="0"/>
        <w:ind w:left="357" w:hanging="357"/>
        <w:rPr>
          <w:szCs w:val="24"/>
        </w:rPr>
      </w:pPr>
      <w:r w:rsidRPr="00FE4A0D">
        <w:rPr>
          <w:szCs w:val="24"/>
        </w:rPr>
        <w:t>e)</w:t>
      </w:r>
      <w:r w:rsidRPr="00FE4A0D">
        <w:rPr>
          <w:szCs w:val="24"/>
        </w:rPr>
        <w:tab/>
        <w:t>na a od poplatníka, jehož daň je rovna paušální dani.</w:t>
      </w:r>
    </w:p>
    <w:p w14:paraId="3EA7B261" w14:textId="77777777" w:rsidR="000839A4" w:rsidRPr="000839A4" w:rsidRDefault="000839A4" w:rsidP="000839A4">
      <w:pPr>
        <w:keepNext/>
        <w:ind w:firstLine="0"/>
        <w:jc w:val="center"/>
        <w:rPr>
          <w:szCs w:val="24"/>
        </w:rPr>
      </w:pPr>
      <w:r w:rsidRPr="000839A4">
        <w:rPr>
          <w:szCs w:val="24"/>
        </w:rPr>
        <w:lastRenderedPageBreak/>
        <w:t>§ 15</w:t>
      </w:r>
    </w:p>
    <w:p w14:paraId="42731458" w14:textId="77777777" w:rsidR="000839A4" w:rsidRPr="000839A4" w:rsidRDefault="000839A4" w:rsidP="000839A4">
      <w:pPr>
        <w:keepNext/>
        <w:ind w:firstLine="0"/>
        <w:jc w:val="center"/>
        <w:rPr>
          <w:b/>
          <w:szCs w:val="24"/>
        </w:rPr>
      </w:pPr>
      <w:r w:rsidRPr="000839A4">
        <w:rPr>
          <w:b/>
          <w:szCs w:val="24"/>
        </w:rPr>
        <w:t xml:space="preserve">Nezdanitelná část základu daně </w:t>
      </w:r>
    </w:p>
    <w:p w14:paraId="53E05D64" w14:textId="77777777" w:rsidR="000839A4" w:rsidRPr="000839A4" w:rsidRDefault="000839A4" w:rsidP="000839A4">
      <w:pPr>
        <w:tabs>
          <w:tab w:val="left" w:pos="851"/>
        </w:tabs>
        <w:spacing w:before="120" w:after="120"/>
        <w:ind w:firstLine="427"/>
        <w:outlineLvl w:val="6"/>
      </w:pPr>
      <w:r w:rsidRPr="000839A4">
        <w:t>(1) Od základu daně lze odečíst hodnotu bezúplatného plnění poskytnutého obcím, krajům, organizačním složkám státu, právnickým osobám se sídlem na území České republiky, jakož i právnickým osobám, které jsou pořadateli veřejných sbírek podle zvláštního zákona,</w:t>
      </w:r>
      <w:bookmarkStart w:id="19" w:name="_Ref535916578"/>
      <w:r w:rsidRPr="000839A4">
        <w:rPr>
          <w:vertAlign w:val="superscript"/>
        </w:rPr>
        <w:footnoteReference w:customMarkFollows="1" w:id="139"/>
        <w:t>14e)</w:t>
      </w:r>
      <w:bookmarkEnd w:id="19"/>
      <w:r w:rsidRPr="000839A4">
        <w:t xml:space="preserve"> a to na vědu a vzdělávání, výzkumné a vývojové účely, kulturu, školství, na policii, na požární ochranu, na podporu a ochranu mládeže, na ochranu zvířat a jejich zdraví, na účely sociální, zdravotnické a ekologické, humanitární, charitativní, náboženské pro registrované církve a náboženské společnosti, tělovýchovné a sportovní, a politickým stranám, politickým hnutím, evropským politickým stranám nebo evropským politickým nadacím na jejich činnost, dále fyzickým osobám s bydlištěm na území České republiky, které jsou poskytovateli zdravotních služeb nebo provozují školy a školská zařízení a zařízení pro péči o toulavá nebo opuštěná zvířata nebo pro péči o jedince ohrožených druhů živočichů, na financování těchto zařízení, dále fyzickým osobám s bydlištěm na území České republiky, které jsou poživateli invalidního důchodu nebo byly poživateli invalidního důchodu ke dni přiznání starobního důchodu nebo jsou nezletilými dětmi závislými na péči jiné osoby podle zvláštního právního předpisu</w:t>
      </w:r>
      <w:bookmarkStart w:id="20" w:name="_Ref535916580"/>
      <w:r w:rsidRPr="000839A4">
        <w:rPr>
          <w:vertAlign w:val="superscript"/>
        </w:rPr>
        <w:footnoteReference w:customMarkFollows="1" w:id="140"/>
        <w:t>4j)</w:t>
      </w:r>
      <w:bookmarkEnd w:id="20"/>
      <w:r w:rsidRPr="000839A4">
        <w:t>, na zdravotnické prostředky</w:t>
      </w:r>
      <w:bookmarkStart w:id="21" w:name="_Ref535916581"/>
      <w:r w:rsidRPr="000839A4">
        <w:rPr>
          <w:vertAlign w:val="superscript"/>
        </w:rPr>
        <w:footnoteReference w:customMarkFollows="1" w:id="141"/>
        <w:t>114)</w:t>
      </w:r>
      <w:bookmarkEnd w:id="21"/>
      <w:r w:rsidRPr="000839A4">
        <w:t xml:space="preserve"> nejvýše do částky nehrazené zdravotními pojišťovnami nebo na zvláštní pomůcky podle zákona upravujícího poskytování dávek osobám se zdravotním postižením nejvýše do částky nehrazené příspěvkem ze státního rozpočtu, a na majetek usnadňující těmto osobám vzdělání a zařazení do zaměstnání, pokud úhrnná hodnota bezúplatných plnění ve zdaňovacím období přesáhne 2 % ze základu daně anebo činí alespoň 1000 Kč. Obdobně se postupuje u bezúplatných plnění na financování odstraňování následků živelní pohromy, ke které došlo na území členského státu Evropské unie nebo státu tvořícího Evropský hospodářský prostor. V úhrnu lze odečíst nejvýše 15 % ze základu daně; to neplatí pro zdaňovací období kalendářních let 2020 a 2021, za která lze v úhrnu odečíst vždy nejvýše 30 % základu daně. Jako bezúplatné plnění na zdravotnické účely se hodnota jednoho odběru krve nebo jejích složek dárce, kterému nebyla poskytnuta finanční úhrada výdajů spojených s odběrem krve nebo jejích složek podle zákona upravujícího specifické zdravotní služby, s výjimkou úhrady prokázaných cestovních nákladů spojených s odběrem, oceňuje částkou 3 000 Kč, hodnota odběru orgánu od žijícího dárce se oceňuje částkou 20 000 Kč a hodnota jednoho odběru krvetvorných buněk, s výjimkou úhrady prokázaných cestovních nákladů spojených s odběrem, se oceňuje částkou 20 000 Kč. Ustanovení tohoto odstavce se použije i pro bezúplatné plnění poskytnuté právnickým nebo fyzickým osobám se sídlem nebo bydlištěm na území jiného členského státu Evropské unie nebo státu tvořícího Evropský hospodářský prostor než České republiky, pokud příjemce bezúplatného plnění a účel bezúplatného plnění splňují podmínky stanovené tímto zákonem. Poskytnou-li bezúplatné plnění manželé ze společného jmění manželů, může odpočet uplatnit jeden z nich nebo oba poměrnou částí.</w:t>
      </w:r>
    </w:p>
    <w:p w14:paraId="616BB4F8" w14:textId="77777777" w:rsidR="000839A4" w:rsidRPr="000839A4" w:rsidRDefault="000839A4" w:rsidP="000839A4">
      <w:pPr>
        <w:tabs>
          <w:tab w:val="left" w:pos="851"/>
        </w:tabs>
        <w:spacing w:before="120" w:after="120"/>
        <w:ind w:firstLine="427"/>
        <w:outlineLvl w:val="6"/>
      </w:pPr>
      <w:r w:rsidRPr="000839A4">
        <w:t xml:space="preserve">(2) Bezúplatné plnění poskytnuté veřejnou obchodní společností nebo komanditní společností se posuzuje jako bezúplatné plnění poskytnuté jednotlivými společníky veřejné </w:t>
      </w:r>
      <w:r w:rsidRPr="000839A4">
        <w:lastRenderedPageBreak/>
        <w:t xml:space="preserve">obchodní společnosti nebo komplementáři komanditní společnosti a rozdělují se stejně jako základ daně podle § 7 odst. 4 nebo 5. </w:t>
      </w:r>
    </w:p>
    <w:p w14:paraId="7C0A80A8" w14:textId="77777777" w:rsidR="000839A4" w:rsidRPr="000839A4" w:rsidRDefault="000839A4" w:rsidP="000839A4">
      <w:pPr>
        <w:tabs>
          <w:tab w:val="left" w:pos="851"/>
        </w:tabs>
        <w:spacing w:before="120" w:after="120"/>
        <w:ind w:firstLine="427"/>
        <w:outlineLvl w:val="6"/>
      </w:pPr>
      <w:r w:rsidRPr="000839A4">
        <w:t>(3) Od základu daně se odečte částka, která se rovná úrokům zaplaceným ve zdaňovacím období z úvěru ze stavebního spoření,</w:t>
      </w:r>
      <w:bookmarkStart w:id="22" w:name="_Ref535916604"/>
      <w:r w:rsidRPr="000839A4">
        <w:rPr>
          <w:vertAlign w:val="superscript"/>
        </w:rPr>
        <w:footnoteReference w:customMarkFollows="1" w:id="142"/>
        <w:t>4a)</w:t>
      </w:r>
      <w:bookmarkEnd w:id="22"/>
      <w:r w:rsidRPr="000839A4">
        <w:t xml:space="preserve"> úrokům z hypotečního úvěru poskytnutého bankou, sníženým o státní příspěvek poskytnutý podle zvláštních právních předpisů, jakož i úvěru poskytnutého stavební </w:t>
      </w:r>
      <w:proofErr w:type="gramStart"/>
      <w:r w:rsidRPr="000839A4">
        <w:t>spořitelnou,</w:t>
      </w:r>
      <w:r w:rsidRPr="000839A4">
        <w:rPr>
          <w:vertAlign w:val="superscript"/>
        </w:rPr>
        <w:t>56</w:t>
      </w:r>
      <w:proofErr w:type="gramEnd"/>
      <w:r w:rsidRPr="000839A4">
        <w:rPr>
          <w:vertAlign w:val="superscript"/>
        </w:rPr>
        <w:t>)</w:t>
      </w:r>
      <w:r w:rsidRPr="000839A4">
        <w:rPr>
          <w:b/>
        </w:rPr>
        <w:t xml:space="preserve"> </w:t>
      </w:r>
      <w:r w:rsidRPr="000839A4">
        <w:t xml:space="preserve">bankou v souvislosti s úvěrem ze stavebního spoření nebo s hypotečním úvěrem, a použitým na financování bytových potřeb, pokud se nejedná o bytovou výstavbu, údržbu ani o změnu stavby bytového domu nebo jednotky, která nezahrnuje nebytový prostor jiný než garáž, sklep nebo komoru, prováděnou v rámci činnosti, ze které plyne příjem ze samostatné činnosti, nebo pro účely nájmu. Použije-li se nebo používá-li se bytová potřeba nebo její část k činnosti, ze které plyne příjem ze samostatné činnosti, anebo k nájmu, lze odečet úroků po dobu užívání bytové potřeby k uvedeným účelům uplatnit pouze v poměrné výši. </w:t>
      </w:r>
    </w:p>
    <w:p w14:paraId="39F6A2D2" w14:textId="77777777" w:rsidR="000839A4" w:rsidRPr="000839A4" w:rsidRDefault="000839A4" w:rsidP="000839A4">
      <w:pPr>
        <w:tabs>
          <w:tab w:val="left" w:pos="851"/>
        </w:tabs>
        <w:spacing w:before="120" w:after="120"/>
        <w:ind w:firstLine="427"/>
        <w:outlineLvl w:val="6"/>
      </w:pPr>
      <w:r w:rsidRPr="000839A4">
        <w:t xml:space="preserve">(4) V případě, že účastníky smlouvy o úvěru na financování bytové potřeby je více zletilých osob, uplatní odpočet buď jedna z nich, anebo každá z nich, a to rovným dílem. Jde-li o předmět bytové potřeby uvedený v § 4b odst. 1 písm. a) až c) a e), může být základ daně snížen pouze ve zdaňovacím období, po jehož celou dobu poplatník předmět bytové potřeby uvedený v § 4b odst. 1 písm. a) až c) vlastnil a předmět bytové potřeby uvedený v odstavci 3 písm. a), c) a e) užíval k vlastnímu trvalému bydlení nebo trvalému bydlení druhého z manželů, potomků, rodičů nebo prarodičů obou manželů a v případě výstavby, změny stavby nebo koupě rozestavěné stavby užíval předmět bytové potřeby k vlastnímu trvalému bydlení nebo k trvalému bydlení druhého z manželů, potomků, rodičů nebo prarodičů obou manželů po splnění povinností stanovených zvláštním právním předpisem pro užívání </w:t>
      </w:r>
      <w:proofErr w:type="gramStart"/>
      <w:r w:rsidRPr="000839A4">
        <w:t>staveb.</w:t>
      </w:r>
      <w:r w:rsidRPr="000839A4">
        <w:rPr>
          <w:vertAlign w:val="superscript"/>
        </w:rPr>
        <w:footnoteReference w:customMarkFollows="1" w:id="143"/>
        <w:t>63</w:t>
      </w:r>
      <w:proofErr w:type="gramEnd"/>
      <w:r w:rsidRPr="000839A4">
        <w:rPr>
          <w:vertAlign w:val="superscript"/>
        </w:rPr>
        <w:t>)</w:t>
      </w:r>
      <w:r w:rsidRPr="000839A4">
        <w:t xml:space="preserve"> Jde-li o předmět bytové potřeby uvedený v § 4b odst. 1 písm. b), u něhož nebude splněna podmínka zahájení výstavby bytové potřeby do 4 let od okamžiku nabytí pozemku, nárok na uplatnění odpočtu nezdanitelné části základu daně zaniká a příjmem podle § 10 ve zdaňovacím období, ve kterém k této skutečnosti došlo, jsou částky, o které byl v příslušných letech z důvodu zaplacených úroků z úvěrů základ daně snížen. V roce nabytí vlastnictví však stačí, jestliže předmět bytové potřeby poplatník vlastnil ke konci zdaňovacího období. Jde-li o předmět bytové potřeby uvedený v § 4b odst. 1 písm. d), f), g), může být základ daně snížen pouze ve zdaňovacím období, kdy poplatník byt v nájmu nebo v užívání, jednotku, která nezahrnuje nebytový prostor jiný než garáž, sklep nebo komoru, rodinný dům nebo bytový dům získaný podle § 4b odst. 1 písm. d), f), g) užíval k vlastnímu trvalému bydlení nebo k trvalému bydlení druhého z manželů, potomků, rodičů nebo prarodičů obou manželů. Úhrnná částka úroků, o které se snižuje základ daně podle odstavce 3 ze všech úvěrů poplatníků v téže společně hospodařící domácnosti, nesmí překročit 150 000 Kč. Při placení úroků jen po část roku nesmí uplatňovaná částka překročit jednu dvanáctinu této maximální částky za každý měsíc placení úroků. </w:t>
      </w:r>
    </w:p>
    <w:p w14:paraId="45D11A72" w14:textId="77777777" w:rsidR="000839A4" w:rsidRPr="000839A4" w:rsidRDefault="000839A4" w:rsidP="000839A4">
      <w:pPr>
        <w:tabs>
          <w:tab w:val="left" w:pos="851"/>
        </w:tabs>
        <w:spacing w:before="120" w:after="120"/>
        <w:ind w:firstLine="427"/>
        <w:outlineLvl w:val="6"/>
      </w:pPr>
      <w:r w:rsidRPr="000839A4">
        <w:t>(5) Od základu daně lze odečíst příspěvky v celkovém úhrnu nejvýše 48 000 Kč zaplacené poplatníkem ve zdaňovacím období na jeho daňově podporované produkty spoření na stáří a daňově podporované pojištění dlouhodobé péče, jehož je pojistníkem. Příspěvkem na produkt spoření na stáří se rozumí také pojistné na soukromé životní pojištění a majetek připsaný ve prospěch dlouhodobého investičního produktu. Příspěvkem na pojištění dlouhodobé péče se rozumí pojistné na toto pojištění.</w:t>
      </w:r>
    </w:p>
    <w:p w14:paraId="01F05E2F" w14:textId="77777777" w:rsidR="000839A4" w:rsidRPr="000839A4" w:rsidRDefault="000839A4" w:rsidP="000839A4">
      <w:pPr>
        <w:tabs>
          <w:tab w:val="left" w:pos="851"/>
        </w:tabs>
        <w:spacing w:before="120" w:after="120"/>
        <w:ind w:firstLine="427"/>
        <w:outlineLvl w:val="6"/>
      </w:pPr>
      <w:r w:rsidRPr="000839A4">
        <w:lastRenderedPageBreak/>
        <w:t>(6) V případě příspěvků na penzijní připojištění se státním příspěvkem podle zákona upravujícího penzijní připojištění se státním příspěvkem a na doplňkové penzijní spoření podle zákona upravujícího doplňkové penzijní spoření lze odečíst od základu daně podle odstavce 5 pouze část měsíčního příspěvku, která převyšuje částku, od které náleží nejvyšší státní příspěvek podle zákona upravujícího penzijní připojištění se státním příspěvkem nebo zákona upravujícího doplňkové penzijní spoření. V případě zaplacení jednorázového pojistného na soukromé životní pojištění se pro účely odstavce 5 za příspěvek zaplacený ve zdaňovacím období trvání pojištění považuje poměrná část jednorázového pojistného připadající na toto zdaňovací období určená s přesností na dny.</w:t>
      </w:r>
    </w:p>
    <w:p w14:paraId="7D59F196" w14:textId="77777777" w:rsidR="000839A4" w:rsidRPr="000839A4" w:rsidRDefault="000839A4" w:rsidP="000839A4">
      <w:pPr>
        <w:tabs>
          <w:tab w:val="left" w:pos="851"/>
        </w:tabs>
        <w:spacing w:before="120" w:after="120"/>
        <w:ind w:firstLine="427"/>
        <w:outlineLvl w:val="6"/>
      </w:pPr>
      <w:r w:rsidRPr="000839A4">
        <w:t>(7)</w:t>
      </w:r>
      <w:r w:rsidRPr="000839A4">
        <w:rPr>
          <w:b/>
        </w:rPr>
        <w:t xml:space="preserve"> </w:t>
      </w:r>
      <w:r w:rsidRPr="000839A4">
        <w:t>U poplatníka uvedeného v § 2 odst. 3 se základ daně podle odstavců 1 až 6</w:t>
      </w:r>
      <w:r w:rsidRPr="000839A4">
        <w:rPr>
          <w:color w:val="808080" w:themeColor="background1" w:themeShade="80"/>
        </w:rPr>
        <w:t xml:space="preserve"> </w:t>
      </w:r>
      <w:r w:rsidRPr="000839A4">
        <w:t xml:space="preserve">sníží za zdaňovací období, pouze pokud se jedná o poplatníka, který je daňovým rezidentem členského státu Evropské unie nebo státu tvořícího Evropský hospodářský prostor a pokud úhrn jeho příjmů ze zdrojů na území České republiky podle § 22 činí nejméně 90 % všech jeho příjmů s výjimkou příjmů, které nejsou předmětem daně podle § 3 nebo 6, nebo jsou od daně osvobozeny podle § 4, 6 nebo 10, nebo příjmů, z nichž je daň vybírána srážkou podle zvláštní sazby daně. Výši příjmů ze zdrojů v zahraničí prokazuje poplatník potvrzením zahraničního správce daně. </w:t>
      </w:r>
    </w:p>
    <w:p w14:paraId="7E95F064" w14:textId="77777777" w:rsidR="000839A4" w:rsidRPr="000839A4" w:rsidRDefault="000839A4" w:rsidP="000839A4">
      <w:pPr>
        <w:keepNext/>
        <w:ind w:firstLine="0"/>
        <w:jc w:val="center"/>
        <w:rPr>
          <w:szCs w:val="24"/>
        </w:rPr>
      </w:pPr>
      <w:r w:rsidRPr="000839A4">
        <w:rPr>
          <w:szCs w:val="24"/>
        </w:rPr>
        <w:t>§ 15a</w:t>
      </w:r>
    </w:p>
    <w:p w14:paraId="593428A2" w14:textId="77777777" w:rsidR="000839A4" w:rsidRPr="000839A4" w:rsidRDefault="000839A4" w:rsidP="000839A4">
      <w:pPr>
        <w:keepNext/>
        <w:ind w:firstLine="0"/>
        <w:jc w:val="center"/>
        <w:rPr>
          <w:b/>
          <w:noProof/>
          <w:szCs w:val="24"/>
        </w:rPr>
      </w:pPr>
      <w:r w:rsidRPr="000839A4">
        <w:rPr>
          <w:b/>
          <w:noProof/>
          <w:szCs w:val="24"/>
        </w:rPr>
        <w:t>Produkt spoření na stáří</w:t>
      </w:r>
    </w:p>
    <w:p w14:paraId="4107B5E1" w14:textId="77777777" w:rsidR="000839A4" w:rsidRPr="000839A4" w:rsidRDefault="000839A4" w:rsidP="000839A4">
      <w:pPr>
        <w:tabs>
          <w:tab w:val="left" w:pos="851"/>
        </w:tabs>
        <w:spacing w:before="120" w:after="120"/>
        <w:ind w:firstLine="427"/>
        <w:outlineLvl w:val="6"/>
      </w:pPr>
      <w:r w:rsidRPr="000839A4">
        <w:t>(1) Produktem spoření na stáří se pro účely daní z příjmů rozumí</w:t>
      </w:r>
    </w:p>
    <w:p w14:paraId="5FD94936" w14:textId="77777777" w:rsidR="000839A4" w:rsidRPr="000839A4" w:rsidRDefault="000839A4" w:rsidP="000839A4">
      <w:pPr>
        <w:tabs>
          <w:tab w:val="left" w:pos="357"/>
        </w:tabs>
        <w:spacing w:before="0"/>
        <w:ind w:left="357" w:hanging="357"/>
        <w:rPr>
          <w:noProof/>
          <w:szCs w:val="24"/>
        </w:rPr>
      </w:pPr>
      <w:r w:rsidRPr="000839A4">
        <w:rPr>
          <w:noProof/>
          <w:szCs w:val="24"/>
        </w:rPr>
        <w:t>a)</w:t>
      </w:r>
      <w:r w:rsidRPr="000839A4">
        <w:rPr>
          <w:noProof/>
          <w:szCs w:val="24"/>
        </w:rPr>
        <w:tab/>
        <w:t>penzijní připojištění se státním příspěvkem podle zákona upravujícího penzijní připojištění se státním příspěvkem,</w:t>
      </w:r>
    </w:p>
    <w:p w14:paraId="2DDA799B" w14:textId="77777777" w:rsidR="000839A4" w:rsidRPr="000839A4" w:rsidRDefault="000839A4" w:rsidP="000839A4">
      <w:pPr>
        <w:tabs>
          <w:tab w:val="left" w:pos="357"/>
        </w:tabs>
        <w:spacing w:before="0"/>
        <w:ind w:left="357" w:hanging="357"/>
        <w:rPr>
          <w:noProof/>
          <w:szCs w:val="24"/>
        </w:rPr>
      </w:pPr>
      <w:r w:rsidRPr="000839A4">
        <w:rPr>
          <w:noProof/>
          <w:szCs w:val="24"/>
        </w:rPr>
        <w:t>b)</w:t>
      </w:r>
      <w:r w:rsidRPr="000839A4">
        <w:rPr>
          <w:noProof/>
          <w:szCs w:val="24"/>
        </w:rPr>
        <w:tab/>
        <w:t>doplňkové penzijní spoření podle zákona upravujícího doplňkové penzijní spoření,</w:t>
      </w:r>
    </w:p>
    <w:p w14:paraId="3177F2BF" w14:textId="77777777" w:rsidR="000839A4" w:rsidRPr="000839A4" w:rsidRDefault="000839A4" w:rsidP="000839A4">
      <w:pPr>
        <w:tabs>
          <w:tab w:val="left" w:pos="357"/>
        </w:tabs>
        <w:spacing w:before="0"/>
        <w:ind w:left="357" w:hanging="357"/>
        <w:rPr>
          <w:noProof/>
          <w:szCs w:val="24"/>
        </w:rPr>
      </w:pPr>
      <w:r w:rsidRPr="000839A4">
        <w:rPr>
          <w:noProof/>
          <w:szCs w:val="24"/>
        </w:rPr>
        <w:t>c)</w:t>
      </w:r>
      <w:r w:rsidRPr="000839A4">
        <w:rPr>
          <w:noProof/>
          <w:szCs w:val="24"/>
        </w:rPr>
        <w:tab/>
        <w:t>penzijní pojištění u instituce penzijního pojištění,</w:t>
      </w:r>
    </w:p>
    <w:p w14:paraId="61A84F25" w14:textId="77777777" w:rsidR="000839A4" w:rsidRPr="000839A4" w:rsidRDefault="000839A4" w:rsidP="000839A4">
      <w:pPr>
        <w:tabs>
          <w:tab w:val="left" w:pos="357"/>
        </w:tabs>
        <w:spacing w:before="0"/>
        <w:ind w:left="357" w:hanging="357"/>
        <w:rPr>
          <w:noProof/>
          <w:szCs w:val="24"/>
        </w:rPr>
      </w:pPr>
      <w:r w:rsidRPr="000839A4">
        <w:rPr>
          <w:noProof/>
          <w:szCs w:val="24"/>
        </w:rPr>
        <w:t>d)</w:t>
      </w:r>
      <w:r w:rsidRPr="000839A4">
        <w:rPr>
          <w:noProof/>
          <w:szCs w:val="24"/>
        </w:rPr>
        <w:tab/>
        <w:t>soukromé životní pojištění,</w:t>
      </w:r>
    </w:p>
    <w:p w14:paraId="10F11C68" w14:textId="77777777" w:rsidR="000839A4" w:rsidRPr="000839A4" w:rsidRDefault="000839A4" w:rsidP="000839A4">
      <w:pPr>
        <w:tabs>
          <w:tab w:val="left" w:pos="357"/>
        </w:tabs>
        <w:spacing w:before="0"/>
        <w:ind w:left="357" w:hanging="357"/>
        <w:rPr>
          <w:noProof/>
          <w:szCs w:val="24"/>
        </w:rPr>
      </w:pPr>
      <w:r w:rsidRPr="000839A4">
        <w:rPr>
          <w:noProof/>
          <w:szCs w:val="24"/>
        </w:rPr>
        <w:t>e)</w:t>
      </w:r>
      <w:r w:rsidRPr="000839A4">
        <w:rPr>
          <w:noProof/>
          <w:szCs w:val="24"/>
        </w:rPr>
        <w:tab/>
        <w:t>dlouhodobý investiční produkt.</w:t>
      </w:r>
    </w:p>
    <w:p w14:paraId="0CDB6CB8" w14:textId="77777777" w:rsidR="000839A4" w:rsidRPr="000839A4" w:rsidRDefault="000839A4" w:rsidP="000839A4">
      <w:pPr>
        <w:tabs>
          <w:tab w:val="left" w:pos="851"/>
        </w:tabs>
        <w:spacing w:before="120" w:after="120"/>
        <w:ind w:firstLine="427"/>
        <w:outlineLvl w:val="6"/>
      </w:pPr>
      <w:r w:rsidRPr="000839A4">
        <w:t>(2) Institucí penzijního pojištění se pro účely daní z příjmů rozumí poskytovatel finančních služeb oprávněný k provozování penzijního pojištění, který je</w:t>
      </w:r>
    </w:p>
    <w:p w14:paraId="58E68564" w14:textId="77777777" w:rsidR="000839A4" w:rsidRPr="000839A4" w:rsidRDefault="000839A4" w:rsidP="000839A4">
      <w:pPr>
        <w:tabs>
          <w:tab w:val="left" w:pos="357"/>
        </w:tabs>
        <w:spacing w:before="0"/>
        <w:ind w:left="357" w:hanging="357"/>
        <w:rPr>
          <w:noProof/>
          <w:szCs w:val="24"/>
          <w:lang w:val="en-US"/>
        </w:rPr>
      </w:pPr>
      <w:r w:rsidRPr="000839A4">
        <w:rPr>
          <w:noProof/>
          <w:szCs w:val="24"/>
          <w:lang w:val="en-US"/>
        </w:rPr>
        <w:t>a)</w:t>
      </w:r>
      <w:r w:rsidRPr="000839A4">
        <w:rPr>
          <w:noProof/>
          <w:szCs w:val="24"/>
          <w:lang w:val="en-US"/>
        </w:rPr>
        <w:tab/>
        <w:t>provozován na principu fondového hospodaření,</w:t>
      </w:r>
    </w:p>
    <w:p w14:paraId="1E983029" w14:textId="77777777" w:rsidR="000839A4" w:rsidRPr="000839A4" w:rsidRDefault="000839A4" w:rsidP="000839A4">
      <w:pPr>
        <w:tabs>
          <w:tab w:val="left" w:pos="357"/>
        </w:tabs>
        <w:spacing w:before="0"/>
        <w:ind w:left="357" w:hanging="357"/>
        <w:rPr>
          <w:noProof/>
          <w:szCs w:val="24"/>
          <w:lang w:val="en-US"/>
        </w:rPr>
      </w:pPr>
      <w:r w:rsidRPr="000839A4">
        <w:rPr>
          <w:noProof/>
          <w:szCs w:val="24"/>
          <w:lang w:val="en-US"/>
        </w:rPr>
        <w:t>b)</w:t>
      </w:r>
      <w:r w:rsidRPr="000839A4">
        <w:rPr>
          <w:noProof/>
          <w:szCs w:val="24"/>
          <w:lang w:val="en-US"/>
        </w:rPr>
        <w:tab/>
        <w:t>zřízen pro účely poskytování důchodových dávek mimo povinný důchodový systém</w:t>
      </w:r>
      <w:r w:rsidRPr="000839A4">
        <w:rPr>
          <w:noProof/>
          <w:szCs w:val="24"/>
          <w:vertAlign w:val="superscript"/>
          <w:lang w:val="en-US"/>
        </w:rPr>
        <w:footnoteReference w:customMarkFollows="1" w:id="144"/>
        <w:t xml:space="preserve">136) </w:t>
      </w:r>
      <w:r w:rsidRPr="000839A4">
        <w:rPr>
          <w:noProof/>
          <w:szCs w:val="24"/>
          <w:lang w:val="en-US"/>
        </w:rPr>
        <w:t>na základě smlouvy nebo na základě jinak sjednané účasti na penzijním pojištění a vykonává činnost z toho vyplývající a</w:t>
      </w:r>
    </w:p>
    <w:p w14:paraId="4F7C5EC6" w14:textId="77777777" w:rsidR="000839A4" w:rsidRPr="000839A4" w:rsidRDefault="000839A4" w:rsidP="000839A4">
      <w:pPr>
        <w:tabs>
          <w:tab w:val="left" w:pos="357"/>
        </w:tabs>
        <w:spacing w:before="0"/>
        <w:ind w:left="357" w:hanging="357"/>
        <w:rPr>
          <w:noProof/>
          <w:szCs w:val="24"/>
          <w:lang w:val="en-US"/>
        </w:rPr>
      </w:pPr>
      <w:r w:rsidRPr="000839A4">
        <w:rPr>
          <w:noProof/>
          <w:szCs w:val="24"/>
          <w:lang w:val="en-US"/>
        </w:rPr>
        <w:t>c)</w:t>
      </w:r>
      <w:r w:rsidRPr="000839A4">
        <w:rPr>
          <w:noProof/>
          <w:szCs w:val="24"/>
          <w:lang w:val="en-US"/>
        </w:rPr>
        <w:tab/>
        <w:t>povolen a provozuje penzijní pojištění v členském státě Evropské unie nebo státě tvořícím Evropský hospodářský prostor a podléhá dohledu příslušného orgánu v tomto státě.</w:t>
      </w:r>
    </w:p>
    <w:p w14:paraId="714CAF83" w14:textId="77777777" w:rsidR="000839A4" w:rsidRPr="000839A4" w:rsidRDefault="000839A4" w:rsidP="000839A4">
      <w:pPr>
        <w:tabs>
          <w:tab w:val="left" w:pos="851"/>
        </w:tabs>
        <w:spacing w:before="120" w:after="120"/>
        <w:ind w:firstLine="427"/>
        <w:outlineLvl w:val="6"/>
      </w:pPr>
      <w:r w:rsidRPr="000839A4">
        <w:t>(3) Soukromým životním pojištěním se pro účely daní z příjmů rozumí pojištění pro případ dožití, pojištění pro případ dožití se stanoveného věku nebo dřívější smrti a pojištění důchodu, na který vznikne nárok nejdříve v kalendářním roce, ve kterém poplatník dosáhne 60 let věku, sjednaná s pojišťovnou, která je oprávněna k provozování pojišťovací činnosti na území členského státu Evropské unie nebo státu tvořícího Evropský hospodářský prostor, ve kterých pojistná částka pro případ dožití, pokud je sjednána, činí nejméně</w:t>
      </w:r>
    </w:p>
    <w:p w14:paraId="25F62FC6" w14:textId="77777777" w:rsidR="000839A4" w:rsidRPr="000839A4" w:rsidRDefault="000839A4" w:rsidP="000839A4">
      <w:pPr>
        <w:tabs>
          <w:tab w:val="left" w:pos="357"/>
        </w:tabs>
        <w:spacing w:before="0"/>
        <w:ind w:left="357" w:hanging="357"/>
        <w:rPr>
          <w:noProof/>
          <w:szCs w:val="24"/>
        </w:rPr>
      </w:pPr>
      <w:r w:rsidRPr="000839A4">
        <w:rPr>
          <w:noProof/>
          <w:szCs w:val="24"/>
        </w:rPr>
        <w:t>a)</w:t>
      </w:r>
      <w:r w:rsidRPr="000839A4">
        <w:rPr>
          <w:noProof/>
          <w:szCs w:val="24"/>
        </w:rPr>
        <w:tab/>
        <w:t>40 000 Kč, pokud pojistná doba činí nejméně 10 a nejvýše 20 let, nebo</w:t>
      </w:r>
    </w:p>
    <w:p w14:paraId="70938A15" w14:textId="77777777" w:rsidR="000839A4" w:rsidRPr="000839A4" w:rsidRDefault="000839A4" w:rsidP="000839A4">
      <w:pPr>
        <w:tabs>
          <w:tab w:val="left" w:pos="357"/>
        </w:tabs>
        <w:spacing w:before="0"/>
        <w:ind w:left="357" w:hanging="357"/>
        <w:rPr>
          <w:noProof/>
          <w:szCs w:val="24"/>
        </w:rPr>
      </w:pPr>
      <w:r w:rsidRPr="000839A4">
        <w:rPr>
          <w:noProof/>
          <w:szCs w:val="24"/>
        </w:rPr>
        <w:t>b)</w:t>
      </w:r>
      <w:r w:rsidRPr="000839A4">
        <w:rPr>
          <w:noProof/>
          <w:szCs w:val="24"/>
        </w:rPr>
        <w:tab/>
        <w:t>70 000 Kč, pokud pojistná doba činí více než 20 let.</w:t>
      </w:r>
    </w:p>
    <w:p w14:paraId="67252896" w14:textId="77777777" w:rsidR="000839A4" w:rsidRPr="000839A4" w:rsidRDefault="000839A4" w:rsidP="000839A4">
      <w:pPr>
        <w:tabs>
          <w:tab w:val="left" w:pos="851"/>
        </w:tabs>
        <w:spacing w:before="120" w:after="120"/>
        <w:ind w:firstLine="427"/>
        <w:outlineLvl w:val="6"/>
      </w:pPr>
      <w:r w:rsidRPr="000839A4">
        <w:lastRenderedPageBreak/>
        <w:t>(4) Za pojistnou částku pro případ dožití u pojištění důchodu se pro účely daní z příjmů považuje částka odpovídající jednorázovému plnění při dožití.</w:t>
      </w:r>
    </w:p>
    <w:p w14:paraId="1792DE22" w14:textId="77777777" w:rsidR="000839A4" w:rsidRPr="000839A4" w:rsidRDefault="000839A4" w:rsidP="000839A4">
      <w:pPr>
        <w:tabs>
          <w:tab w:val="left" w:pos="851"/>
        </w:tabs>
        <w:spacing w:before="120" w:after="120"/>
        <w:ind w:firstLine="427"/>
        <w:outlineLvl w:val="6"/>
      </w:pPr>
      <w:r w:rsidRPr="000839A4">
        <w:t>(5) Dlouhodobým investičním produktem se pro účely daní z příjmů rozumí dlouhodobý investiční produkt podle zákona upravujícího podnikání na kapitálovém trhu a obdobný produkt poskytovaný zahraniční osobou oprávněnou poskytovat takový produkt v členském státě Evropské unie nebo státě tvořícím Evropský hospodářský prostor.</w:t>
      </w:r>
    </w:p>
    <w:p w14:paraId="78607772" w14:textId="77777777" w:rsidR="000839A4" w:rsidRPr="000839A4" w:rsidRDefault="000839A4" w:rsidP="000839A4">
      <w:pPr>
        <w:keepNext/>
        <w:widowControl w:val="0"/>
        <w:spacing w:after="240"/>
        <w:ind w:firstLine="0"/>
        <w:jc w:val="center"/>
        <w:rPr>
          <w:szCs w:val="24"/>
        </w:rPr>
      </w:pPr>
      <w:r w:rsidRPr="000839A4">
        <w:rPr>
          <w:szCs w:val="24"/>
        </w:rPr>
        <w:t>§ 15b</w:t>
      </w:r>
    </w:p>
    <w:p w14:paraId="27D339FD" w14:textId="77777777" w:rsidR="000839A4" w:rsidRPr="000839A4" w:rsidRDefault="000839A4" w:rsidP="000839A4">
      <w:pPr>
        <w:keepNext/>
        <w:widowControl w:val="0"/>
        <w:spacing w:after="240"/>
        <w:ind w:firstLine="0"/>
        <w:jc w:val="center"/>
        <w:rPr>
          <w:b/>
          <w:noProof/>
          <w:szCs w:val="24"/>
        </w:rPr>
      </w:pPr>
      <w:r w:rsidRPr="000839A4">
        <w:rPr>
          <w:b/>
          <w:noProof/>
          <w:szCs w:val="24"/>
        </w:rPr>
        <w:t>Daňová podpora produktu spoření na stáří</w:t>
      </w:r>
    </w:p>
    <w:p w14:paraId="6D647633" w14:textId="77777777" w:rsidR="000839A4" w:rsidRPr="000839A4" w:rsidRDefault="000839A4" w:rsidP="000839A4">
      <w:pPr>
        <w:tabs>
          <w:tab w:val="left" w:pos="851"/>
        </w:tabs>
        <w:spacing w:before="120" w:after="120"/>
        <w:ind w:firstLine="427"/>
        <w:outlineLvl w:val="6"/>
      </w:pPr>
      <w:r w:rsidRPr="000839A4">
        <w:t>(1) Produkt spoření na stáří je daňově podporovaný, pokud je sjednáno nebo jinak určeno, že výplata peněžních prostředků nebo plnění z tohoto produktu nebo odepsání majetku z dlouhodobého investičního produktu jsou ve prospěch</w:t>
      </w:r>
      <w:r w:rsidRPr="000839A4" w:rsidDel="005347F6">
        <w:t xml:space="preserve"> </w:t>
      </w:r>
    </w:p>
    <w:p w14:paraId="421773D2" w14:textId="77777777" w:rsidR="000839A4" w:rsidRPr="000839A4" w:rsidRDefault="000839A4" w:rsidP="000839A4">
      <w:pPr>
        <w:tabs>
          <w:tab w:val="left" w:pos="357"/>
        </w:tabs>
        <w:spacing w:before="0"/>
        <w:ind w:left="357" w:hanging="357"/>
        <w:rPr>
          <w:noProof/>
          <w:szCs w:val="24"/>
          <w:lang w:val="en-US"/>
        </w:rPr>
      </w:pPr>
      <w:r w:rsidRPr="000839A4">
        <w:rPr>
          <w:noProof/>
          <w:szCs w:val="24"/>
          <w:lang w:val="en-US"/>
        </w:rPr>
        <w:t>a)</w:t>
      </w:r>
      <w:r w:rsidRPr="000839A4">
        <w:rPr>
          <w:noProof/>
          <w:szCs w:val="24"/>
          <w:lang w:val="en-US"/>
        </w:rPr>
        <w:tab/>
        <w:t>poplatníka, který produkt sjednal, a to pouze</w:t>
      </w:r>
    </w:p>
    <w:p w14:paraId="18C30B58" w14:textId="77777777" w:rsidR="000839A4" w:rsidRPr="000839A4" w:rsidRDefault="000839A4" w:rsidP="000839A4">
      <w:pPr>
        <w:tabs>
          <w:tab w:val="left" w:pos="357"/>
        </w:tabs>
        <w:spacing w:before="0"/>
        <w:ind w:left="714" w:hanging="357"/>
        <w:rPr>
          <w:noProof/>
          <w:szCs w:val="24"/>
        </w:rPr>
      </w:pPr>
      <w:r w:rsidRPr="000839A4">
        <w:rPr>
          <w:noProof/>
          <w:szCs w:val="24"/>
        </w:rPr>
        <w:t>1.</w:t>
      </w:r>
      <w:r w:rsidRPr="000839A4">
        <w:rPr>
          <w:noProof/>
          <w:szCs w:val="24"/>
        </w:rPr>
        <w:tab/>
        <w:t>po 120 kalendářních měsících od vzniku produktu, nejdříve však v kalendářním roce, ve kterém poplatník dosáhne 60 let věku, a v případě plnění z doplňkového penzijního spoření, na které podle zákona upravujícího doplňkové penzijní spoření vzniká nárok dosažením věku o 5 let nižšího, než je jeho důchodový věk podle zákona upravujícího důchodové pojištění, nejdříve v okamžiku dosažení věku o 5 let nižšího, než je jeho důchodový věk podle zákona upravujícího důchodové pojištění,</w:t>
      </w:r>
    </w:p>
    <w:p w14:paraId="0D96F076" w14:textId="77777777" w:rsidR="000839A4" w:rsidRPr="000839A4" w:rsidRDefault="000839A4" w:rsidP="000839A4">
      <w:pPr>
        <w:tabs>
          <w:tab w:val="left" w:pos="357"/>
        </w:tabs>
        <w:spacing w:before="0"/>
        <w:ind w:left="714" w:hanging="357"/>
        <w:rPr>
          <w:noProof/>
          <w:szCs w:val="24"/>
        </w:rPr>
      </w:pPr>
      <w:r w:rsidRPr="000839A4">
        <w:rPr>
          <w:noProof/>
          <w:szCs w:val="24"/>
        </w:rPr>
        <w:t>2.</w:t>
      </w:r>
      <w:r w:rsidRPr="000839A4">
        <w:rPr>
          <w:noProof/>
          <w:szCs w:val="24"/>
        </w:rPr>
        <w:tab/>
        <w:t>při jeho invaliditě třetího stupně, nebo</w:t>
      </w:r>
    </w:p>
    <w:p w14:paraId="729388E6" w14:textId="77777777" w:rsidR="000839A4" w:rsidRPr="000839A4" w:rsidRDefault="000839A4" w:rsidP="000839A4">
      <w:pPr>
        <w:tabs>
          <w:tab w:val="left" w:pos="357"/>
        </w:tabs>
        <w:spacing w:before="0"/>
        <w:ind w:left="714" w:hanging="357"/>
        <w:rPr>
          <w:noProof/>
          <w:szCs w:val="24"/>
        </w:rPr>
      </w:pPr>
      <w:r w:rsidRPr="000839A4">
        <w:rPr>
          <w:noProof/>
          <w:szCs w:val="24"/>
        </w:rPr>
        <w:t>3.</w:t>
      </w:r>
      <w:r w:rsidRPr="000839A4">
        <w:rPr>
          <w:noProof/>
          <w:szCs w:val="24"/>
        </w:rPr>
        <w:tab/>
        <w:t>v souvislosti se zánikem produktu spoření na stáří, nebo</w:t>
      </w:r>
    </w:p>
    <w:p w14:paraId="20F7DBF0" w14:textId="77777777" w:rsidR="000839A4" w:rsidRPr="000839A4" w:rsidRDefault="000839A4" w:rsidP="000839A4">
      <w:pPr>
        <w:tabs>
          <w:tab w:val="left" w:pos="357"/>
        </w:tabs>
        <w:spacing w:before="0"/>
        <w:ind w:left="357" w:hanging="357"/>
        <w:rPr>
          <w:noProof/>
          <w:szCs w:val="24"/>
          <w:lang w:val="en-US"/>
        </w:rPr>
      </w:pPr>
      <w:r w:rsidRPr="000839A4">
        <w:rPr>
          <w:noProof/>
          <w:szCs w:val="24"/>
          <w:lang w:val="en-US"/>
        </w:rPr>
        <w:t>b)</w:t>
      </w:r>
      <w:r w:rsidRPr="000839A4">
        <w:rPr>
          <w:noProof/>
          <w:szCs w:val="24"/>
          <w:lang w:val="en-US"/>
        </w:rPr>
        <w:tab/>
        <w:t>jiného poplatníka, a to pouze v případě</w:t>
      </w:r>
    </w:p>
    <w:p w14:paraId="5FBD4DBE" w14:textId="77777777" w:rsidR="000839A4" w:rsidRPr="000839A4" w:rsidRDefault="000839A4" w:rsidP="000839A4">
      <w:pPr>
        <w:tabs>
          <w:tab w:val="left" w:pos="357"/>
        </w:tabs>
        <w:spacing w:before="0"/>
        <w:ind w:left="714" w:hanging="357"/>
        <w:rPr>
          <w:noProof/>
          <w:szCs w:val="24"/>
        </w:rPr>
      </w:pPr>
      <w:r w:rsidRPr="000839A4">
        <w:rPr>
          <w:noProof/>
          <w:szCs w:val="24"/>
        </w:rPr>
        <w:t>1.</w:t>
      </w:r>
      <w:r w:rsidRPr="000839A4">
        <w:rPr>
          <w:noProof/>
          <w:szCs w:val="24"/>
        </w:rPr>
        <w:tab/>
        <w:t>smrti poplatníka, který produkt sjednal,</w:t>
      </w:r>
    </w:p>
    <w:p w14:paraId="7C5C5DC4" w14:textId="77777777" w:rsidR="000839A4" w:rsidRPr="000839A4" w:rsidRDefault="000839A4" w:rsidP="000839A4">
      <w:pPr>
        <w:tabs>
          <w:tab w:val="left" w:pos="357"/>
        </w:tabs>
        <w:spacing w:before="0"/>
        <w:ind w:left="714" w:hanging="357"/>
        <w:rPr>
          <w:noProof/>
          <w:szCs w:val="24"/>
        </w:rPr>
      </w:pPr>
      <w:r w:rsidRPr="000839A4">
        <w:rPr>
          <w:noProof/>
          <w:szCs w:val="24"/>
        </w:rPr>
        <w:t>2.</w:t>
      </w:r>
      <w:r w:rsidRPr="000839A4">
        <w:rPr>
          <w:noProof/>
          <w:szCs w:val="24"/>
        </w:rPr>
        <w:tab/>
        <w:t>úplaty poskytovateli tohoto produktu za jeho vedení nebo služby s ním související,</w:t>
      </w:r>
    </w:p>
    <w:p w14:paraId="7E86300B" w14:textId="77777777" w:rsidR="000839A4" w:rsidRPr="000839A4" w:rsidRDefault="000839A4" w:rsidP="000839A4">
      <w:pPr>
        <w:tabs>
          <w:tab w:val="left" w:pos="357"/>
        </w:tabs>
        <w:spacing w:before="0"/>
        <w:ind w:left="714" w:hanging="357"/>
        <w:rPr>
          <w:noProof/>
          <w:szCs w:val="24"/>
        </w:rPr>
      </w:pPr>
      <w:r w:rsidRPr="000839A4">
        <w:rPr>
          <w:noProof/>
          <w:szCs w:val="24"/>
        </w:rPr>
        <w:t>3.</w:t>
      </w:r>
      <w:r w:rsidRPr="000839A4">
        <w:rPr>
          <w:noProof/>
          <w:szCs w:val="24"/>
        </w:rPr>
        <w:tab/>
        <w:t>odepsání majetku z dlouhodobého investičního produktu za protiplnění poskytnuté ve prospěch tohoto produktu, ledaže se jedná o odepsání za protiplnění, jehož obvyklá cena je podstatně nižší než obvyklá cena odepisovaného majetku, nebo</w:t>
      </w:r>
    </w:p>
    <w:p w14:paraId="7CEE2255" w14:textId="77777777" w:rsidR="000839A4" w:rsidRPr="000839A4" w:rsidRDefault="000839A4" w:rsidP="000839A4">
      <w:pPr>
        <w:tabs>
          <w:tab w:val="left" w:pos="357"/>
        </w:tabs>
        <w:spacing w:before="0"/>
        <w:ind w:left="714" w:hanging="357"/>
        <w:rPr>
          <w:noProof/>
          <w:szCs w:val="24"/>
        </w:rPr>
      </w:pPr>
      <w:r w:rsidRPr="000839A4">
        <w:rPr>
          <w:noProof/>
          <w:szCs w:val="24"/>
        </w:rPr>
        <w:t>4.</w:t>
      </w:r>
      <w:r w:rsidRPr="000839A4">
        <w:rPr>
          <w:noProof/>
          <w:szCs w:val="24"/>
        </w:rPr>
        <w:tab/>
        <w:t>plnění povinnosti stanovené jiným právním předpisem.</w:t>
      </w:r>
    </w:p>
    <w:p w14:paraId="56A81F53" w14:textId="77777777" w:rsidR="000839A4" w:rsidRPr="000839A4" w:rsidRDefault="000839A4" w:rsidP="000839A4">
      <w:pPr>
        <w:tabs>
          <w:tab w:val="left" w:pos="851"/>
        </w:tabs>
        <w:spacing w:before="120" w:after="120"/>
        <w:ind w:firstLine="427"/>
        <w:outlineLvl w:val="6"/>
      </w:pPr>
      <w:r w:rsidRPr="000839A4">
        <w:t>(2) Pro účely osvobození příjmu zaměstnance v podobě příspěvku uhrazeného zaměstnavatelem na zaměstnancův produkt spoření na stáří není tento produkt daňově podporovaným tehdy, je-li sjednáno nebo jinak určeno, že v případě smrti zaměstnance jsou výplata peněžních prostředků nebo plnění z tohoto produktu nebo odepsání majetku z dlouhodobého investičního produktu ve prospěch tohoto zaměstnavatele.</w:t>
      </w:r>
    </w:p>
    <w:p w14:paraId="0AC68427" w14:textId="77777777" w:rsidR="000839A4" w:rsidRPr="000839A4" w:rsidRDefault="000839A4" w:rsidP="000839A4">
      <w:pPr>
        <w:tabs>
          <w:tab w:val="left" w:pos="851"/>
        </w:tabs>
        <w:spacing w:before="120" w:after="120"/>
        <w:ind w:firstLine="427"/>
        <w:outlineLvl w:val="6"/>
      </w:pPr>
      <w:r w:rsidRPr="000839A4">
        <w:t>(3) Zaměstnanec oznámí svému zaměstnavateli, že jeho produkt spoření na stáří přestal být daňově podporovaný nebo že došlo ke skutečnosti, která má za následek navrácení daňové podpory produktu spoření na stáří, do konce kalendářního měsíce, ve kterém k tomu došlo.</w:t>
      </w:r>
    </w:p>
    <w:p w14:paraId="7CC88D34" w14:textId="77777777" w:rsidR="000839A4" w:rsidRPr="000839A4" w:rsidRDefault="000839A4" w:rsidP="000839A4">
      <w:pPr>
        <w:tabs>
          <w:tab w:val="left" w:pos="851"/>
        </w:tabs>
        <w:spacing w:before="120" w:after="120"/>
        <w:ind w:firstLine="427"/>
        <w:outlineLvl w:val="6"/>
      </w:pPr>
      <w:r w:rsidRPr="000839A4">
        <w:t>(4) K navrácení daňové podpory produktu spoření na stáří dochází, pokud před uplynutím 120 kalendářních měsíců od jeho vzniku nebo před kalendářním rokem, ve kterém poplatník dosáhne 60 let věku,</w:t>
      </w:r>
    </w:p>
    <w:p w14:paraId="34DDF735" w14:textId="77777777" w:rsidR="000839A4" w:rsidRPr="000839A4" w:rsidRDefault="000839A4" w:rsidP="000839A4">
      <w:pPr>
        <w:tabs>
          <w:tab w:val="left" w:pos="357"/>
        </w:tabs>
        <w:spacing w:before="0"/>
        <w:ind w:left="357" w:hanging="357"/>
        <w:rPr>
          <w:noProof/>
          <w:szCs w:val="24"/>
        </w:rPr>
      </w:pPr>
      <w:r w:rsidRPr="000839A4">
        <w:rPr>
          <w:noProof/>
          <w:szCs w:val="24"/>
        </w:rPr>
        <w:t>a)</w:t>
      </w:r>
      <w:r w:rsidRPr="000839A4">
        <w:rPr>
          <w:noProof/>
          <w:szCs w:val="24"/>
        </w:rPr>
        <w:tab/>
        <w:t>došlo k výplatě peněžních prostředků nebo plnění z tohoto produktu nebo k odepsání majetku z dlouhodobého investičního produktu ve prospěch poplatníka, který produkt sjednal, nejedná-li se o</w:t>
      </w:r>
    </w:p>
    <w:p w14:paraId="426174B6" w14:textId="77777777" w:rsidR="000839A4" w:rsidRPr="000839A4" w:rsidRDefault="000839A4" w:rsidP="000839A4">
      <w:pPr>
        <w:tabs>
          <w:tab w:val="left" w:pos="357"/>
        </w:tabs>
        <w:spacing w:before="0"/>
        <w:ind w:left="714" w:hanging="357"/>
        <w:rPr>
          <w:noProof/>
          <w:szCs w:val="24"/>
        </w:rPr>
      </w:pPr>
      <w:r w:rsidRPr="000839A4">
        <w:rPr>
          <w:noProof/>
          <w:szCs w:val="24"/>
        </w:rPr>
        <w:t>1.</w:t>
      </w:r>
      <w:r w:rsidRPr="000839A4">
        <w:rPr>
          <w:noProof/>
          <w:szCs w:val="24"/>
        </w:rPr>
        <w:tab/>
        <w:t>výplatu, plnění nebo odepsání při poplatníkově invaliditě třetího stupně,</w:t>
      </w:r>
    </w:p>
    <w:p w14:paraId="2FC73665" w14:textId="77777777" w:rsidR="000839A4" w:rsidRPr="000839A4" w:rsidRDefault="000839A4" w:rsidP="000839A4">
      <w:pPr>
        <w:tabs>
          <w:tab w:val="left" w:pos="357"/>
        </w:tabs>
        <w:spacing w:before="0"/>
        <w:ind w:left="714" w:hanging="357"/>
        <w:rPr>
          <w:noProof/>
          <w:szCs w:val="24"/>
        </w:rPr>
      </w:pPr>
      <w:r w:rsidRPr="000839A4">
        <w:rPr>
          <w:noProof/>
          <w:szCs w:val="24"/>
        </w:rPr>
        <w:t>2.</w:t>
      </w:r>
      <w:r w:rsidRPr="000839A4">
        <w:rPr>
          <w:noProof/>
          <w:szCs w:val="24"/>
        </w:rPr>
        <w:tab/>
        <w:t xml:space="preserve">výplatu, plnění nebo odepsání z důvodu zániku poskytovatele tohoto produktu nebo odnětí povolení k poskytování tohoto produktu poskytovateli, pokud jsou obdržené </w:t>
      </w:r>
      <w:r w:rsidRPr="000839A4">
        <w:rPr>
          <w:noProof/>
          <w:szCs w:val="24"/>
        </w:rPr>
        <w:lastRenderedPageBreak/>
        <w:t>naspořené peněžní prostředky a majetek do 1 měsíce od jejich přijetí vloženy na poplatníkův daňově podporovaný produkt spoření na stáří stejného druhu nebo v případě penzijního připojištění se státním příspěvkem podle zákona upravujícího penzijní připojištění se státním příspěvkem na jeho daňově podporované doplňkové penzijní spoření podle zákona upravujícího doplňkové penzijní spoření, nebo</w:t>
      </w:r>
    </w:p>
    <w:p w14:paraId="087E9716" w14:textId="77777777" w:rsidR="000839A4" w:rsidRPr="000839A4" w:rsidRDefault="000839A4" w:rsidP="000839A4">
      <w:pPr>
        <w:tabs>
          <w:tab w:val="left" w:pos="357"/>
        </w:tabs>
        <w:spacing w:before="0"/>
        <w:ind w:left="714" w:hanging="357"/>
        <w:rPr>
          <w:noProof/>
          <w:szCs w:val="24"/>
        </w:rPr>
      </w:pPr>
      <w:r w:rsidRPr="000839A4">
        <w:rPr>
          <w:noProof/>
          <w:szCs w:val="24"/>
        </w:rPr>
        <w:t>3.</w:t>
      </w:r>
      <w:r w:rsidRPr="000839A4">
        <w:rPr>
          <w:noProof/>
          <w:szCs w:val="24"/>
        </w:rPr>
        <w:tab/>
        <w:t xml:space="preserve">plnění z doplňkového penzijního spoření podle zákona upravujícího doplňkové penzijní spoření, na které vznikl nárok dosažením věku o 5 let nižšího, než je poplatníkův důchodový věk podle zákona upravujícího důchodové pojištění, </w:t>
      </w:r>
    </w:p>
    <w:p w14:paraId="7B76EB06" w14:textId="77777777" w:rsidR="000839A4" w:rsidRPr="000839A4" w:rsidRDefault="000839A4" w:rsidP="000839A4">
      <w:pPr>
        <w:tabs>
          <w:tab w:val="left" w:pos="357"/>
        </w:tabs>
        <w:spacing w:before="0"/>
        <w:ind w:left="357" w:hanging="357"/>
        <w:rPr>
          <w:noProof/>
          <w:szCs w:val="24"/>
        </w:rPr>
      </w:pPr>
      <w:r w:rsidRPr="000839A4">
        <w:rPr>
          <w:noProof/>
          <w:szCs w:val="24"/>
        </w:rPr>
        <w:t>b)</w:t>
      </w:r>
      <w:r w:rsidRPr="000839A4">
        <w:rPr>
          <w:noProof/>
          <w:szCs w:val="24"/>
        </w:rPr>
        <w:tab/>
        <w:t>došlo k výplatě peněžních prostředků nebo plnění z tohoto produktu nebo k odepsání majetku z dlouhodobého investičního produktu poplatníka ve prospěch jiného poplatníka, než který produkt sjednal, nejedná-li se o</w:t>
      </w:r>
    </w:p>
    <w:p w14:paraId="1C2342B0" w14:textId="77777777" w:rsidR="000839A4" w:rsidRPr="000839A4" w:rsidRDefault="000839A4" w:rsidP="000839A4">
      <w:pPr>
        <w:tabs>
          <w:tab w:val="left" w:pos="357"/>
        </w:tabs>
        <w:spacing w:before="0"/>
        <w:ind w:left="714" w:hanging="357"/>
        <w:rPr>
          <w:noProof/>
          <w:szCs w:val="24"/>
        </w:rPr>
      </w:pPr>
      <w:r w:rsidRPr="000839A4">
        <w:rPr>
          <w:noProof/>
          <w:szCs w:val="24"/>
        </w:rPr>
        <w:t>1.</w:t>
      </w:r>
      <w:r w:rsidRPr="000839A4">
        <w:rPr>
          <w:noProof/>
          <w:szCs w:val="24"/>
        </w:rPr>
        <w:tab/>
        <w:t>výplatu, plnění nebo odepsání po smrti poplatníka, který produkt sjednal,</w:t>
      </w:r>
    </w:p>
    <w:p w14:paraId="0FC21702" w14:textId="77777777" w:rsidR="000839A4" w:rsidRPr="000839A4" w:rsidRDefault="000839A4" w:rsidP="000839A4">
      <w:pPr>
        <w:tabs>
          <w:tab w:val="left" w:pos="357"/>
        </w:tabs>
        <w:spacing w:before="0"/>
        <w:ind w:left="714" w:hanging="357"/>
        <w:rPr>
          <w:noProof/>
          <w:szCs w:val="24"/>
        </w:rPr>
      </w:pPr>
      <w:r w:rsidRPr="000839A4">
        <w:rPr>
          <w:noProof/>
          <w:szCs w:val="24"/>
        </w:rPr>
        <w:t>2.</w:t>
      </w:r>
      <w:r w:rsidRPr="000839A4">
        <w:rPr>
          <w:noProof/>
          <w:szCs w:val="24"/>
        </w:rPr>
        <w:tab/>
        <w:t>úplatu poskytovateli tohoto produktu za jeho vedení nebo služby s ním související, nebo</w:t>
      </w:r>
    </w:p>
    <w:p w14:paraId="23F95CA1" w14:textId="77777777" w:rsidR="000839A4" w:rsidRPr="000839A4" w:rsidRDefault="000839A4" w:rsidP="000839A4">
      <w:pPr>
        <w:tabs>
          <w:tab w:val="left" w:pos="357"/>
        </w:tabs>
        <w:spacing w:before="0"/>
        <w:ind w:left="714" w:hanging="357"/>
        <w:rPr>
          <w:noProof/>
          <w:szCs w:val="24"/>
        </w:rPr>
      </w:pPr>
      <w:r w:rsidRPr="000839A4">
        <w:rPr>
          <w:noProof/>
          <w:szCs w:val="24"/>
        </w:rPr>
        <w:t>3.</w:t>
      </w:r>
      <w:r w:rsidRPr="000839A4">
        <w:rPr>
          <w:noProof/>
          <w:szCs w:val="24"/>
        </w:rPr>
        <w:tab/>
        <w:t>odepsání majetku z dlouhodobého investičního produktu za protiplnění poskytnuté ve prospěch tohoto produktu, ledaže se jedná o odepsání za protiplnění, jehož obvyklá cena je podstatně nižší než obvyklá cena odepisovaného majetku,</w:t>
      </w:r>
    </w:p>
    <w:p w14:paraId="3063491B" w14:textId="77777777" w:rsidR="000839A4" w:rsidRPr="000839A4" w:rsidRDefault="000839A4" w:rsidP="000839A4">
      <w:pPr>
        <w:tabs>
          <w:tab w:val="left" w:pos="357"/>
        </w:tabs>
        <w:spacing w:before="0"/>
        <w:ind w:left="357" w:hanging="357"/>
        <w:rPr>
          <w:noProof/>
          <w:szCs w:val="24"/>
        </w:rPr>
      </w:pPr>
      <w:r w:rsidRPr="000839A4">
        <w:rPr>
          <w:noProof/>
          <w:szCs w:val="24"/>
        </w:rPr>
        <w:t>c)</w:t>
      </w:r>
      <w:r w:rsidRPr="000839A4">
        <w:rPr>
          <w:noProof/>
          <w:szCs w:val="24"/>
        </w:rPr>
        <w:tab/>
        <w:t>tento produkt zanikne, aniž by došlo k výplatě peněžních prostředků nebo plnění z něho nebo k odepsání majetku z dlouhodobého investičního produktu poplatníka, nejedná-li se o zánik produktu</w:t>
      </w:r>
    </w:p>
    <w:p w14:paraId="6BF8689F" w14:textId="77777777" w:rsidR="000839A4" w:rsidRPr="000839A4" w:rsidRDefault="000839A4" w:rsidP="000839A4">
      <w:pPr>
        <w:tabs>
          <w:tab w:val="left" w:pos="357"/>
        </w:tabs>
        <w:spacing w:before="0"/>
        <w:ind w:left="714" w:hanging="357"/>
        <w:rPr>
          <w:noProof/>
          <w:szCs w:val="24"/>
        </w:rPr>
      </w:pPr>
      <w:r w:rsidRPr="000839A4">
        <w:rPr>
          <w:noProof/>
          <w:szCs w:val="24"/>
        </w:rPr>
        <w:t>1.</w:t>
      </w:r>
      <w:r w:rsidRPr="000839A4">
        <w:rPr>
          <w:noProof/>
          <w:szCs w:val="24"/>
        </w:rPr>
        <w:tab/>
        <w:t>z důvodu smrti poplatníka,</w:t>
      </w:r>
    </w:p>
    <w:p w14:paraId="33D29778" w14:textId="77777777" w:rsidR="000839A4" w:rsidRPr="000839A4" w:rsidRDefault="000839A4" w:rsidP="000839A4">
      <w:pPr>
        <w:tabs>
          <w:tab w:val="left" w:pos="357"/>
        </w:tabs>
        <w:spacing w:before="0"/>
        <w:ind w:left="714" w:hanging="357"/>
        <w:rPr>
          <w:noProof/>
          <w:szCs w:val="24"/>
        </w:rPr>
      </w:pPr>
      <w:r w:rsidRPr="000839A4">
        <w:rPr>
          <w:noProof/>
          <w:szCs w:val="24"/>
        </w:rPr>
        <w:t>2.</w:t>
      </w:r>
      <w:r w:rsidRPr="000839A4">
        <w:rPr>
          <w:noProof/>
          <w:szCs w:val="24"/>
        </w:rPr>
        <w:tab/>
        <w:t>z důvodu zániku poskytovatele tohoto produktu nebo odnětí povolení k poskytování tohoto produktu poskytovateli, nebo</w:t>
      </w:r>
    </w:p>
    <w:p w14:paraId="3109AC3D" w14:textId="77777777" w:rsidR="000839A4" w:rsidRPr="000839A4" w:rsidRDefault="000839A4" w:rsidP="000839A4">
      <w:pPr>
        <w:tabs>
          <w:tab w:val="left" w:pos="357"/>
        </w:tabs>
        <w:spacing w:before="0"/>
        <w:ind w:left="714" w:hanging="357"/>
        <w:rPr>
          <w:noProof/>
          <w:szCs w:val="24"/>
        </w:rPr>
      </w:pPr>
      <w:r w:rsidRPr="000839A4">
        <w:rPr>
          <w:noProof/>
          <w:szCs w:val="24"/>
        </w:rPr>
        <w:t>3.</w:t>
      </w:r>
      <w:r w:rsidRPr="000839A4">
        <w:rPr>
          <w:noProof/>
          <w:szCs w:val="24"/>
        </w:rPr>
        <w:tab/>
        <w:t>se současným odepsáním všech naspořených peněžních prostředků a majetku na poplatníkův daňově podporovaný produkt spoření na stáří stejného druhu nebo v případě penzijního připojištění se státním příspěvkem podle zákona upravujícího penzijní připojištění se státním příspěvkem na jeho daňově podporované doplňkové penzijní spoření podle zákona upravujícího doplňkové penzijní spoření, nebo</w:t>
      </w:r>
    </w:p>
    <w:p w14:paraId="5B216B3D" w14:textId="77777777" w:rsidR="000839A4" w:rsidRPr="000839A4" w:rsidRDefault="000839A4" w:rsidP="000839A4">
      <w:pPr>
        <w:tabs>
          <w:tab w:val="left" w:pos="357"/>
        </w:tabs>
        <w:spacing w:before="0"/>
        <w:ind w:left="357" w:hanging="357"/>
        <w:rPr>
          <w:noProof/>
          <w:szCs w:val="24"/>
        </w:rPr>
      </w:pPr>
      <w:r w:rsidRPr="000839A4">
        <w:rPr>
          <w:noProof/>
          <w:szCs w:val="24"/>
        </w:rPr>
        <w:t>d)</w:t>
      </w:r>
      <w:r w:rsidRPr="000839A4">
        <w:rPr>
          <w:noProof/>
          <w:szCs w:val="24"/>
        </w:rPr>
        <w:tab/>
        <w:t>došlo k vyplacení výnosů z majetku v rámci dlouhodobého investičního produktu mimo tento produkt.</w:t>
      </w:r>
    </w:p>
    <w:p w14:paraId="2C1BDD27" w14:textId="77777777" w:rsidR="000839A4" w:rsidRPr="000839A4" w:rsidRDefault="000839A4" w:rsidP="000839A4">
      <w:pPr>
        <w:tabs>
          <w:tab w:val="left" w:pos="851"/>
        </w:tabs>
        <w:spacing w:before="120" w:after="120"/>
        <w:ind w:firstLine="427"/>
        <w:outlineLvl w:val="6"/>
      </w:pPr>
      <w:r w:rsidRPr="000839A4">
        <w:t>(5) Navrácením daňové podpory produktu spoření na stáří se rozumí</w:t>
      </w:r>
    </w:p>
    <w:p w14:paraId="43FFDA6A" w14:textId="77777777" w:rsidR="000839A4" w:rsidRPr="000839A4" w:rsidRDefault="000839A4" w:rsidP="000839A4">
      <w:pPr>
        <w:tabs>
          <w:tab w:val="left" w:pos="357"/>
        </w:tabs>
        <w:spacing w:before="0"/>
        <w:ind w:left="357" w:hanging="357"/>
        <w:rPr>
          <w:noProof/>
          <w:szCs w:val="24"/>
        </w:rPr>
      </w:pPr>
      <w:r w:rsidRPr="000839A4">
        <w:rPr>
          <w:noProof/>
          <w:szCs w:val="24"/>
        </w:rPr>
        <w:t>a)</w:t>
      </w:r>
      <w:r w:rsidRPr="000839A4">
        <w:rPr>
          <w:noProof/>
          <w:szCs w:val="24"/>
        </w:rPr>
        <w:tab/>
        <w:t>vznik příjmu podle § 10 ve výši úhrnu příspěvků poplatníka, které byly odečteny od základu daně za bezprostředně předcházejících 10 zdaňovacích období, zaplacených na tento produkt nebo na produkt spoření na stáří stejného druhu, ze kterého byly všechny naspořené peněžní prostředky a majetek převedeny na tento produkt, a</w:t>
      </w:r>
    </w:p>
    <w:p w14:paraId="496AE5A8" w14:textId="77777777" w:rsidR="000839A4" w:rsidRPr="000839A4" w:rsidRDefault="000839A4" w:rsidP="000839A4">
      <w:pPr>
        <w:tabs>
          <w:tab w:val="left" w:pos="357"/>
        </w:tabs>
        <w:spacing w:before="0"/>
        <w:ind w:left="357" w:hanging="357"/>
        <w:rPr>
          <w:noProof/>
          <w:szCs w:val="24"/>
        </w:rPr>
      </w:pPr>
      <w:r w:rsidRPr="000839A4">
        <w:rPr>
          <w:noProof/>
          <w:szCs w:val="24"/>
        </w:rPr>
        <w:t>b)</w:t>
      </w:r>
      <w:r w:rsidRPr="000839A4">
        <w:rPr>
          <w:noProof/>
          <w:szCs w:val="24"/>
        </w:rPr>
        <w:tab/>
        <w:t>vznik příjmu podle § 6 ve výši úhrnu příspěvků hrazených zaměstnavatelem na tento produkt nebo na produkt spoření na stáří stejného druhu, ze kterého byly všechny naspořené peněžní prostředky a majetek převedeny na tento produkt, které byly ve zdaňovacím období, ve kterém nastala skutečnost, která má za následek navrácení daňové podpory produktu spoření na stáří, a v bezprostředně předcházejících 10 zdaňovacích obdobích osvobozeny od daně; tento příjem se nepovažuje za vyplácený plátcem daně z příjmů ze závislé činnosti.</w:t>
      </w:r>
    </w:p>
    <w:p w14:paraId="24F92D02" w14:textId="77777777" w:rsidR="000839A4" w:rsidRPr="000839A4" w:rsidRDefault="000839A4" w:rsidP="000839A4">
      <w:pPr>
        <w:tabs>
          <w:tab w:val="left" w:pos="851"/>
        </w:tabs>
        <w:spacing w:before="120" w:after="120"/>
        <w:ind w:firstLine="427"/>
        <w:outlineLvl w:val="6"/>
      </w:pPr>
      <w:r w:rsidRPr="000839A4">
        <w:t>(6) Pokud nastane skutečnost, která má za následek navrácení daňové podpory produktu spoření na stáří,</w:t>
      </w:r>
    </w:p>
    <w:p w14:paraId="06406A71" w14:textId="77777777" w:rsidR="000839A4" w:rsidRPr="000839A4" w:rsidRDefault="000839A4" w:rsidP="000839A4">
      <w:pPr>
        <w:tabs>
          <w:tab w:val="left" w:pos="357"/>
        </w:tabs>
        <w:spacing w:before="0"/>
        <w:ind w:left="357" w:hanging="357"/>
        <w:rPr>
          <w:noProof/>
          <w:szCs w:val="24"/>
          <w:lang w:val="en-US"/>
        </w:rPr>
      </w:pPr>
      <w:r w:rsidRPr="000839A4">
        <w:rPr>
          <w:noProof/>
          <w:szCs w:val="24"/>
          <w:lang w:val="en-US"/>
        </w:rPr>
        <w:t>a)</w:t>
      </w:r>
      <w:r w:rsidRPr="000839A4">
        <w:rPr>
          <w:noProof/>
          <w:szCs w:val="24"/>
          <w:lang w:val="en-US"/>
        </w:rPr>
        <w:tab/>
        <w:t>přestane být tento produkt daňově podporovaným od</w:t>
      </w:r>
    </w:p>
    <w:p w14:paraId="704013D1" w14:textId="77777777" w:rsidR="000839A4" w:rsidRPr="000839A4" w:rsidRDefault="000839A4" w:rsidP="000839A4">
      <w:pPr>
        <w:keepNext/>
        <w:widowControl w:val="0"/>
        <w:tabs>
          <w:tab w:val="left" w:pos="851"/>
          <w:tab w:val="left" w:pos="993"/>
        </w:tabs>
        <w:spacing w:before="0"/>
        <w:ind w:left="850" w:hanging="425"/>
        <w:rPr>
          <w:noProof/>
          <w:szCs w:val="24"/>
        </w:rPr>
      </w:pPr>
      <w:r w:rsidRPr="000839A4">
        <w:rPr>
          <w:noProof/>
          <w:szCs w:val="24"/>
        </w:rPr>
        <w:t xml:space="preserve">1. zdaňovacího období, ve kterém došlo k této skutečnosti, pro účely odečtení nezdanitelných částí základu daně a </w:t>
      </w:r>
    </w:p>
    <w:p w14:paraId="65451D8D" w14:textId="77777777" w:rsidR="000839A4" w:rsidRPr="000839A4" w:rsidRDefault="000839A4" w:rsidP="000839A4">
      <w:pPr>
        <w:keepNext/>
        <w:widowControl w:val="0"/>
        <w:tabs>
          <w:tab w:val="left" w:pos="851"/>
          <w:tab w:val="left" w:pos="993"/>
        </w:tabs>
        <w:spacing w:before="0"/>
        <w:ind w:left="850" w:hanging="425"/>
        <w:rPr>
          <w:noProof/>
          <w:szCs w:val="24"/>
        </w:rPr>
      </w:pPr>
      <w:r w:rsidRPr="000839A4">
        <w:rPr>
          <w:noProof/>
          <w:szCs w:val="24"/>
        </w:rPr>
        <w:t>2.</w:t>
      </w:r>
      <w:r w:rsidRPr="000839A4">
        <w:rPr>
          <w:noProof/>
          <w:szCs w:val="24"/>
        </w:rPr>
        <w:tab/>
        <w:t xml:space="preserve">kalendářního měsíce následujícího po kalendářním měsíci, ve kterém došlo k této skutečnosti, pro účely osvobození příjmu zaměstnance v podobě příspěvku </w:t>
      </w:r>
      <w:r w:rsidRPr="000839A4">
        <w:rPr>
          <w:noProof/>
          <w:szCs w:val="24"/>
        </w:rPr>
        <w:lastRenderedPageBreak/>
        <w:t>uhrazeného zaměstnavatelem na jeho daňově podporovaný produkt spoření na stáří a</w:t>
      </w:r>
    </w:p>
    <w:p w14:paraId="278BA854" w14:textId="77777777" w:rsidR="000839A4" w:rsidRPr="000839A4" w:rsidRDefault="000839A4" w:rsidP="000839A4">
      <w:pPr>
        <w:tabs>
          <w:tab w:val="left" w:pos="357"/>
        </w:tabs>
        <w:spacing w:before="0"/>
        <w:ind w:left="357" w:hanging="357"/>
        <w:rPr>
          <w:noProof/>
          <w:szCs w:val="24"/>
        </w:rPr>
      </w:pPr>
      <w:r w:rsidRPr="000839A4">
        <w:rPr>
          <w:noProof/>
          <w:szCs w:val="24"/>
        </w:rPr>
        <w:t>b)</w:t>
      </w:r>
      <w:r w:rsidRPr="000839A4">
        <w:rPr>
          <w:noProof/>
          <w:szCs w:val="24"/>
        </w:rPr>
        <w:tab/>
        <w:t>plnění z tohoto produktu se nesnižuje o příspěvky hrazené zaměstnavatelem na tento produkt pro účely určení základu daně s výjimkou</w:t>
      </w:r>
    </w:p>
    <w:p w14:paraId="33C56CE4" w14:textId="77777777" w:rsidR="000839A4" w:rsidRPr="000839A4" w:rsidRDefault="000839A4" w:rsidP="000839A4">
      <w:pPr>
        <w:keepNext/>
        <w:widowControl w:val="0"/>
        <w:tabs>
          <w:tab w:val="left" w:pos="851"/>
          <w:tab w:val="left" w:pos="993"/>
        </w:tabs>
        <w:spacing w:before="0"/>
        <w:ind w:left="850" w:hanging="425"/>
        <w:rPr>
          <w:noProof/>
          <w:szCs w:val="24"/>
        </w:rPr>
      </w:pPr>
      <w:r w:rsidRPr="000839A4">
        <w:rPr>
          <w:noProof/>
          <w:szCs w:val="24"/>
        </w:rPr>
        <w:t>1.</w:t>
      </w:r>
      <w:r w:rsidRPr="000839A4">
        <w:rPr>
          <w:noProof/>
          <w:szCs w:val="24"/>
        </w:rPr>
        <w:tab/>
        <w:t>příspěvků, v jejichž výši vznikl příjem podle odstavce 5 písm. c),</w:t>
      </w:r>
    </w:p>
    <w:p w14:paraId="37EF4085" w14:textId="77777777" w:rsidR="000839A4" w:rsidRPr="000839A4" w:rsidRDefault="000839A4" w:rsidP="000839A4">
      <w:pPr>
        <w:keepNext/>
        <w:widowControl w:val="0"/>
        <w:tabs>
          <w:tab w:val="left" w:pos="851"/>
          <w:tab w:val="left" w:pos="993"/>
        </w:tabs>
        <w:spacing w:before="0"/>
        <w:ind w:left="850" w:hanging="425"/>
        <w:rPr>
          <w:noProof/>
          <w:szCs w:val="24"/>
        </w:rPr>
      </w:pPr>
      <w:r w:rsidRPr="000839A4">
        <w:rPr>
          <w:noProof/>
          <w:szCs w:val="24"/>
        </w:rPr>
        <w:t>2.</w:t>
      </w:r>
      <w:r w:rsidRPr="000839A4">
        <w:rPr>
          <w:noProof/>
          <w:szCs w:val="24"/>
        </w:rPr>
        <w:tab/>
        <w:t>příspěvků neosvobozených od daně z příjmů fyzických osob,</w:t>
      </w:r>
    </w:p>
    <w:p w14:paraId="708AF20D" w14:textId="77777777" w:rsidR="000839A4" w:rsidRPr="000839A4" w:rsidRDefault="000839A4" w:rsidP="000839A4">
      <w:pPr>
        <w:keepNext/>
        <w:widowControl w:val="0"/>
        <w:tabs>
          <w:tab w:val="left" w:pos="851"/>
          <w:tab w:val="left" w:pos="993"/>
        </w:tabs>
        <w:spacing w:before="0"/>
        <w:ind w:left="850" w:hanging="425"/>
        <w:rPr>
          <w:noProof/>
          <w:szCs w:val="24"/>
        </w:rPr>
      </w:pPr>
      <w:r w:rsidRPr="000839A4">
        <w:rPr>
          <w:noProof/>
          <w:szCs w:val="24"/>
        </w:rPr>
        <w:t>3.</w:t>
      </w:r>
      <w:r w:rsidRPr="000839A4">
        <w:rPr>
          <w:noProof/>
          <w:szCs w:val="24"/>
        </w:rPr>
        <w:tab/>
        <w:t>příspěvků hrazených zaměstnavatelem před 1. lednem 2000 na penzijní připojištění se státním příspěvkem podle zákona upravujícího penzijní připojištění se státním příspěvkem a</w:t>
      </w:r>
    </w:p>
    <w:p w14:paraId="1D74BE5B" w14:textId="77777777" w:rsidR="000839A4" w:rsidRPr="000839A4" w:rsidRDefault="000839A4" w:rsidP="000839A4">
      <w:pPr>
        <w:keepNext/>
        <w:widowControl w:val="0"/>
        <w:tabs>
          <w:tab w:val="left" w:pos="851"/>
          <w:tab w:val="left" w:pos="993"/>
        </w:tabs>
        <w:spacing w:before="0"/>
        <w:ind w:left="850" w:hanging="425"/>
        <w:rPr>
          <w:noProof/>
          <w:szCs w:val="24"/>
        </w:rPr>
      </w:pPr>
      <w:r w:rsidRPr="000839A4">
        <w:rPr>
          <w:noProof/>
          <w:szCs w:val="24"/>
        </w:rPr>
        <w:t>4.</w:t>
      </w:r>
      <w:r w:rsidRPr="000839A4">
        <w:rPr>
          <w:noProof/>
          <w:szCs w:val="24"/>
        </w:rPr>
        <w:tab/>
        <w:t>příspěvků hrazených zaměstnavatelem před 1. lednem 2001 na soukromé životní pojištění.</w:t>
      </w:r>
    </w:p>
    <w:p w14:paraId="22B7769D" w14:textId="77777777" w:rsidR="000839A4" w:rsidRPr="000839A4" w:rsidRDefault="000839A4" w:rsidP="000839A4">
      <w:pPr>
        <w:keepNext/>
        <w:ind w:firstLine="0"/>
        <w:jc w:val="center"/>
        <w:rPr>
          <w:szCs w:val="24"/>
        </w:rPr>
      </w:pPr>
      <w:r w:rsidRPr="000839A4">
        <w:rPr>
          <w:szCs w:val="24"/>
        </w:rPr>
        <w:t>§ 15c</w:t>
      </w:r>
    </w:p>
    <w:p w14:paraId="734E186F" w14:textId="77777777" w:rsidR="000839A4" w:rsidRPr="000839A4" w:rsidRDefault="000839A4" w:rsidP="000839A4">
      <w:pPr>
        <w:keepNext/>
        <w:ind w:firstLine="0"/>
        <w:jc w:val="center"/>
        <w:rPr>
          <w:szCs w:val="24"/>
        </w:rPr>
      </w:pPr>
      <w:r w:rsidRPr="000839A4">
        <w:rPr>
          <w:b/>
          <w:noProof/>
          <w:szCs w:val="24"/>
        </w:rPr>
        <w:t>Pojištění dlouhodobé péče</w:t>
      </w:r>
    </w:p>
    <w:p w14:paraId="160C4B65" w14:textId="77777777" w:rsidR="000839A4" w:rsidRPr="000839A4" w:rsidRDefault="000839A4" w:rsidP="000839A4">
      <w:pPr>
        <w:tabs>
          <w:tab w:val="left" w:pos="851"/>
        </w:tabs>
        <w:spacing w:before="120" w:after="120"/>
        <w:ind w:firstLine="427"/>
        <w:outlineLvl w:val="6"/>
      </w:pPr>
      <w:r w:rsidRPr="000839A4">
        <w:t>(1) Pojištěním dlouhodobé péče se pro účely daní z příjmů rozumí pojištění, jehož pojistnou událostí je závislost pojistníka nebo jeho osoby blízké na pomoci jiné fyzické osoby při zvládání základních životních potřeb z důvodu jejich dlouhodobě nepříznivého zdravotního stavu, sjednané s pojišťovnou, která je oprávněna k provozování pojišťovací činnosti na území členského státu Evropské unie nebo státu tvořícího Evropský hospodářský prostor.</w:t>
      </w:r>
    </w:p>
    <w:p w14:paraId="70B518E9" w14:textId="77777777" w:rsidR="000839A4" w:rsidRPr="000839A4" w:rsidRDefault="000839A4" w:rsidP="000839A4">
      <w:pPr>
        <w:tabs>
          <w:tab w:val="left" w:pos="851"/>
        </w:tabs>
        <w:spacing w:before="120" w:after="120"/>
        <w:ind w:firstLine="427"/>
        <w:outlineLvl w:val="6"/>
      </w:pPr>
      <w:r w:rsidRPr="000839A4">
        <w:t xml:space="preserve"> </w:t>
      </w:r>
      <w:proofErr w:type="gramStart"/>
      <w:r w:rsidRPr="000839A4">
        <w:t>(2) Pojištění</w:t>
      </w:r>
      <w:proofErr w:type="gramEnd"/>
      <w:r w:rsidRPr="000839A4">
        <w:t xml:space="preserve"> dlouhodobé péče je daňově podporované v rozsahu, ve </w:t>
      </w:r>
      <w:proofErr w:type="gramStart"/>
      <w:r w:rsidRPr="000839A4">
        <w:t>kterém</w:t>
      </w:r>
      <w:proofErr w:type="gramEnd"/>
    </w:p>
    <w:p w14:paraId="6E899DD3" w14:textId="77777777" w:rsidR="000839A4" w:rsidRPr="000839A4" w:rsidRDefault="000839A4" w:rsidP="000839A4">
      <w:pPr>
        <w:keepNext/>
        <w:widowControl w:val="0"/>
        <w:tabs>
          <w:tab w:val="left" w:pos="851"/>
          <w:tab w:val="left" w:pos="993"/>
        </w:tabs>
        <w:spacing w:before="0"/>
        <w:ind w:firstLine="0"/>
        <w:rPr>
          <w:noProof/>
          <w:szCs w:val="24"/>
        </w:rPr>
      </w:pPr>
      <w:r w:rsidRPr="000839A4">
        <w:rPr>
          <w:noProof/>
          <w:szCs w:val="24"/>
        </w:rPr>
        <w:t>a) právo na pojistné plnění v důsledku pojistné události vzniká pojištěnému,</w:t>
      </w:r>
    </w:p>
    <w:p w14:paraId="3078992C" w14:textId="77777777" w:rsidR="000839A4" w:rsidRPr="000839A4" w:rsidRDefault="000839A4" w:rsidP="000839A4">
      <w:pPr>
        <w:tabs>
          <w:tab w:val="left" w:pos="357"/>
        </w:tabs>
        <w:spacing w:before="0"/>
        <w:ind w:left="357" w:hanging="357"/>
        <w:rPr>
          <w:noProof/>
          <w:szCs w:val="24"/>
        </w:rPr>
      </w:pPr>
      <w:r w:rsidRPr="000839A4">
        <w:rPr>
          <w:noProof/>
          <w:szCs w:val="24"/>
        </w:rPr>
        <w:t>b) se vztahuje na závislost odpovídající stupni závislosti III nebo IV podle zákona upravujícího sociální služby a</w:t>
      </w:r>
    </w:p>
    <w:p w14:paraId="1D98E7A8" w14:textId="77777777" w:rsidR="000839A4" w:rsidRPr="000839A4" w:rsidRDefault="000839A4" w:rsidP="000839A4">
      <w:pPr>
        <w:tabs>
          <w:tab w:val="left" w:pos="357"/>
        </w:tabs>
        <w:spacing w:before="0"/>
        <w:ind w:left="357" w:hanging="357"/>
        <w:rPr>
          <w:noProof/>
          <w:szCs w:val="24"/>
        </w:rPr>
      </w:pPr>
      <w:r w:rsidRPr="000839A4">
        <w:rPr>
          <w:noProof/>
          <w:szCs w:val="24"/>
        </w:rPr>
        <w:t>c) jde o</w:t>
      </w:r>
    </w:p>
    <w:p w14:paraId="0DFBD421" w14:textId="77777777" w:rsidR="000839A4" w:rsidRPr="000839A4" w:rsidRDefault="000839A4" w:rsidP="000839A4">
      <w:pPr>
        <w:keepNext/>
        <w:widowControl w:val="0"/>
        <w:tabs>
          <w:tab w:val="left" w:pos="851"/>
          <w:tab w:val="left" w:pos="993"/>
        </w:tabs>
        <w:spacing w:before="0"/>
        <w:ind w:left="850" w:hanging="425"/>
        <w:rPr>
          <w:noProof/>
          <w:szCs w:val="24"/>
        </w:rPr>
      </w:pPr>
      <w:r w:rsidRPr="000839A4">
        <w:rPr>
          <w:noProof/>
          <w:szCs w:val="24"/>
        </w:rPr>
        <w:t>1. obnosové pojištění se sjednaným opakovaným měsíčním pojistným plněním poskytovaným po celou dobu závislosti pojištěného odpovídající stupni závislosti III nebo IV podle zákona upravujícího sociální služby nebo</w:t>
      </w:r>
    </w:p>
    <w:p w14:paraId="11059D07" w14:textId="77777777" w:rsidR="000839A4" w:rsidRPr="000839A4" w:rsidRDefault="000839A4" w:rsidP="000839A4">
      <w:pPr>
        <w:keepNext/>
        <w:widowControl w:val="0"/>
        <w:tabs>
          <w:tab w:val="left" w:pos="851"/>
          <w:tab w:val="left" w:pos="993"/>
        </w:tabs>
        <w:spacing w:before="0"/>
        <w:ind w:left="850" w:hanging="425"/>
        <w:rPr>
          <w:noProof/>
          <w:szCs w:val="24"/>
        </w:rPr>
      </w:pPr>
      <w:r w:rsidRPr="000839A4">
        <w:rPr>
          <w:noProof/>
          <w:szCs w:val="24"/>
        </w:rPr>
        <w:t xml:space="preserve">2. </w:t>
      </w:r>
      <w:r w:rsidRPr="000839A4">
        <w:rPr>
          <w:noProof/>
          <w:szCs w:val="24"/>
        </w:rPr>
        <w:tab/>
        <w:t>škodové pojištění se sjednaným pojistným plněním ve formě poskytnutí péče o pojištěného po celou dobu závislosti pojištěného odpovídající stupni závislosti III nebo IV podle zákona upravujícího sociální služby nebo náhrady nákladů na takovou péči.</w:t>
      </w:r>
    </w:p>
    <w:p w14:paraId="1F65E15F" w14:textId="77777777" w:rsidR="000839A4" w:rsidRPr="000839A4" w:rsidRDefault="000839A4" w:rsidP="000839A4">
      <w:pPr>
        <w:tabs>
          <w:tab w:val="left" w:pos="851"/>
        </w:tabs>
        <w:spacing w:before="120" w:after="120"/>
        <w:ind w:firstLine="427"/>
        <w:outlineLvl w:val="6"/>
      </w:pPr>
      <w:r w:rsidRPr="000839A4">
        <w:t>(3) Pojištění dlouhodobé péče není daňově podporované, pokud pojistitel</w:t>
      </w:r>
    </w:p>
    <w:p w14:paraId="2283CC76" w14:textId="77777777" w:rsidR="000839A4" w:rsidRPr="000839A4" w:rsidRDefault="000839A4" w:rsidP="000839A4">
      <w:pPr>
        <w:keepNext/>
        <w:widowControl w:val="0"/>
        <w:tabs>
          <w:tab w:val="left" w:pos="851"/>
          <w:tab w:val="left" w:pos="993"/>
        </w:tabs>
        <w:spacing w:before="0"/>
        <w:ind w:firstLine="0"/>
        <w:rPr>
          <w:noProof/>
          <w:szCs w:val="24"/>
        </w:rPr>
      </w:pPr>
      <w:r w:rsidRPr="000839A4">
        <w:rPr>
          <w:noProof/>
          <w:szCs w:val="24"/>
        </w:rPr>
        <w:t>a) může pojistnou smlouvu vypovědět později než 2 měsíce ode dne jejího uzavření nebo ji může vypovědět na základě oznámení vzniku pojistné události nebo</w:t>
      </w:r>
    </w:p>
    <w:p w14:paraId="35478144" w14:textId="77777777" w:rsidR="000839A4" w:rsidRPr="000839A4" w:rsidRDefault="000839A4" w:rsidP="000839A4">
      <w:pPr>
        <w:keepNext/>
        <w:widowControl w:val="0"/>
        <w:tabs>
          <w:tab w:val="left" w:pos="851"/>
          <w:tab w:val="left" w:pos="993"/>
        </w:tabs>
        <w:spacing w:before="0"/>
        <w:ind w:firstLine="0"/>
        <w:rPr>
          <w:noProof/>
          <w:szCs w:val="24"/>
        </w:rPr>
      </w:pPr>
      <w:r w:rsidRPr="000839A4">
        <w:rPr>
          <w:noProof/>
          <w:szCs w:val="24"/>
        </w:rPr>
        <w:t xml:space="preserve"> b) má právo měnit výši pojistného v závislosti na věku nebo zdravotním stavu pojištěného.</w:t>
      </w:r>
    </w:p>
    <w:p w14:paraId="1336E29A" w14:textId="77777777" w:rsidR="000839A4" w:rsidRPr="000839A4" w:rsidRDefault="000839A4" w:rsidP="000839A4">
      <w:pPr>
        <w:tabs>
          <w:tab w:val="left" w:pos="851"/>
        </w:tabs>
        <w:spacing w:before="120"/>
        <w:ind w:firstLine="0"/>
        <w:jc w:val="center"/>
        <w:rPr>
          <w:noProof/>
          <w:szCs w:val="24"/>
        </w:rPr>
      </w:pPr>
      <w:r w:rsidRPr="000839A4">
        <w:rPr>
          <w:noProof/>
          <w:szCs w:val="24"/>
        </w:rPr>
        <w:t>§ 16</w:t>
      </w:r>
    </w:p>
    <w:p w14:paraId="3B9FD9B4" w14:textId="77777777" w:rsidR="000839A4" w:rsidRPr="000839A4" w:rsidRDefault="000839A4" w:rsidP="000839A4">
      <w:pPr>
        <w:tabs>
          <w:tab w:val="left" w:pos="851"/>
        </w:tabs>
        <w:spacing w:before="120"/>
        <w:ind w:firstLine="0"/>
        <w:jc w:val="center"/>
        <w:rPr>
          <w:szCs w:val="24"/>
        </w:rPr>
      </w:pPr>
      <w:r w:rsidRPr="000839A4">
        <w:rPr>
          <w:b/>
          <w:szCs w:val="24"/>
        </w:rPr>
        <w:t>Sazba a výpočet daně pro základ daně</w:t>
      </w:r>
    </w:p>
    <w:p w14:paraId="7E6FAB39" w14:textId="77777777" w:rsidR="000839A4" w:rsidRPr="000839A4" w:rsidRDefault="000839A4" w:rsidP="000839A4">
      <w:pPr>
        <w:tabs>
          <w:tab w:val="left" w:pos="851"/>
        </w:tabs>
        <w:spacing w:before="120" w:after="120"/>
        <w:ind w:firstLine="427"/>
        <w:outlineLvl w:val="6"/>
      </w:pPr>
      <w:r w:rsidRPr="000839A4">
        <w:t>(1) Sazba daně činí</w:t>
      </w:r>
    </w:p>
    <w:p w14:paraId="1D08ABEF"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15 % pro část základu daně do 36násobku průměrné mzdy a</w:t>
      </w:r>
    </w:p>
    <w:p w14:paraId="70B8BDF9"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23 % pro část základu daně přesahující 36násobek průměrné mzdy.</w:t>
      </w:r>
    </w:p>
    <w:p w14:paraId="7A5CE49A" w14:textId="77777777" w:rsidR="000839A4" w:rsidRPr="000839A4" w:rsidRDefault="000839A4" w:rsidP="000839A4">
      <w:pPr>
        <w:tabs>
          <w:tab w:val="left" w:pos="851"/>
        </w:tabs>
        <w:spacing w:before="120" w:after="120"/>
        <w:ind w:firstLine="427"/>
        <w:outlineLvl w:val="6"/>
      </w:pPr>
      <w:r w:rsidRPr="000839A4">
        <w:t>(2) Daň se vypočte ze základu daně sníženého o nezdanitelné části základu daně a o odčitatelné položky od základu daně a zaokrouhleného na celá sta Kč dolů, a to jako součet součinů příslušné části takového základu daně a sazby pro tuto část základu daně.</w:t>
      </w:r>
    </w:p>
    <w:p w14:paraId="58BADE8E" w14:textId="77777777" w:rsidR="000839A4" w:rsidRPr="000839A4" w:rsidRDefault="000839A4" w:rsidP="000839A4">
      <w:pPr>
        <w:keepNext/>
        <w:keepLines/>
        <w:ind w:firstLine="0"/>
        <w:jc w:val="center"/>
        <w:outlineLvl w:val="5"/>
        <w:rPr>
          <w:szCs w:val="22"/>
        </w:rPr>
      </w:pPr>
      <w:r w:rsidRPr="000839A4">
        <w:rPr>
          <w:szCs w:val="22"/>
        </w:rPr>
        <w:lastRenderedPageBreak/>
        <w:t>§ 16a</w:t>
      </w:r>
    </w:p>
    <w:p w14:paraId="13F8DC1C" w14:textId="77777777" w:rsidR="000839A4" w:rsidRPr="000839A4" w:rsidRDefault="000839A4" w:rsidP="000839A4">
      <w:pPr>
        <w:keepNext/>
        <w:keepLines/>
        <w:ind w:firstLine="0"/>
        <w:jc w:val="center"/>
        <w:outlineLvl w:val="5"/>
        <w:rPr>
          <w:b/>
          <w:szCs w:val="22"/>
        </w:rPr>
      </w:pPr>
      <w:r w:rsidRPr="000839A4">
        <w:rPr>
          <w:b/>
          <w:szCs w:val="22"/>
        </w:rPr>
        <w:t>Sazba a výpočet daně pro samostatný základ daně</w:t>
      </w:r>
    </w:p>
    <w:p w14:paraId="4D20CE93" w14:textId="77777777" w:rsidR="000839A4" w:rsidRPr="000839A4" w:rsidRDefault="000839A4" w:rsidP="000839A4">
      <w:pPr>
        <w:tabs>
          <w:tab w:val="left" w:pos="851"/>
        </w:tabs>
        <w:spacing w:before="120" w:after="120"/>
        <w:ind w:firstLine="427"/>
        <w:outlineLvl w:val="6"/>
        <w:rPr>
          <w:szCs w:val="22"/>
        </w:rPr>
      </w:pPr>
      <w:r w:rsidRPr="000839A4">
        <w:rPr>
          <w:szCs w:val="22"/>
        </w:rPr>
        <w:t xml:space="preserve">(1) Sazba </w:t>
      </w:r>
      <w:r w:rsidRPr="000839A4">
        <w:t>daně</w:t>
      </w:r>
      <w:r w:rsidRPr="000839A4">
        <w:rPr>
          <w:szCs w:val="22"/>
        </w:rPr>
        <w:t xml:space="preserve"> pro samostatný základ daně činí 15 %. </w:t>
      </w:r>
    </w:p>
    <w:p w14:paraId="7EA1C446" w14:textId="77777777" w:rsidR="000839A4" w:rsidRPr="000839A4" w:rsidRDefault="000839A4" w:rsidP="000839A4">
      <w:pPr>
        <w:spacing w:before="120" w:after="120"/>
        <w:jc w:val="left"/>
        <w:rPr>
          <w:szCs w:val="22"/>
        </w:rPr>
      </w:pPr>
      <w:r w:rsidRPr="000839A4">
        <w:rPr>
          <w:szCs w:val="22"/>
        </w:rPr>
        <w:t>(2) Daň se vypočte jako součin samostatného základu daně zaokrouhleného na celá sta Kč dolů a sazby daně pro tento základ daně.</w:t>
      </w:r>
    </w:p>
    <w:p w14:paraId="1EF3C0B2" w14:textId="77777777" w:rsidR="000839A4" w:rsidRPr="000839A4" w:rsidRDefault="000839A4" w:rsidP="000839A4">
      <w:pPr>
        <w:tabs>
          <w:tab w:val="left" w:pos="851"/>
        </w:tabs>
        <w:spacing w:before="120"/>
        <w:ind w:firstLine="0"/>
        <w:jc w:val="center"/>
        <w:rPr>
          <w:szCs w:val="22"/>
        </w:rPr>
      </w:pPr>
      <w:r w:rsidRPr="000839A4">
        <w:rPr>
          <w:szCs w:val="22"/>
        </w:rPr>
        <w:t>§ 16ab</w:t>
      </w:r>
    </w:p>
    <w:p w14:paraId="08342B88" w14:textId="77777777" w:rsidR="000839A4" w:rsidRPr="000839A4" w:rsidRDefault="000839A4" w:rsidP="000839A4">
      <w:pPr>
        <w:tabs>
          <w:tab w:val="left" w:pos="851"/>
        </w:tabs>
        <w:spacing w:before="120"/>
        <w:ind w:firstLine="0"/>
        <w:jc w:val="center"/>
        <w:rPr>
          <w:szCs w:val="22"/>
        </w:rPr>
      </w:pPr>
      <w:r w:rsidRPr="000839A4">
        <w:rPr>
          <w:b/>
          <w:szCs w:val="22"/>
        </w:rPr>
        <w:t xml:space="preserve">Výpočet daně  </w:t>
      </w:r>
    </w:p>
    <w:p w14:paraId="5476C317" w14:textId="77777777" w:rsidR="000839A4" w:rsidRPr="000839A4" w:rsidRDefault="000839A4" w:rsidP="000839A4">
      <w:pPr>
        <w:tabs>
          <w:tab w:val="left" w:pos="851"/>
        </w:tabs>
        <w:spacing w:before="120" w:after="120"/>
        <w:ind w:firstLine="427"/>
        <w:outlineLvl w:val="6"/>
        <w:rPr>
          <w:szCs w:val="22"/>
        </w:rPr>
      </w:pPr>
      <w:r w:rsidRPr="000839A4">
        <w:rPr>
          <w:szCs w:val="22"/>
        </w:rPr>
        <w:t>(1) Daň poplatníka se vypočte jako součet daně podle § 16 snížené o slevy na dani a daně podle § 16a.</w:t>
      </w:r>
    </w:p>
    <w:p w14:paraId="6B273C85" w14:textId="77777777" w:rsidR="000839A4" w:rsidRPr="000839A4" w:rsidRDefault="000839A4" w:rsidP="000839A4">
      <w:pPr>
        <w:tabs>
          <w:tab w:val="left" w:pos="851"/>
        </w:tabs>
        <w:spacing w:before="120" w:after="120"/>
        <w:ind w:firstLine="427"/>
        <w:outlineLvl w:val="6"/>
        <w:rPr>
          <w:szCs w:val="22"/>
        </w:rPr>
      </w:pPr>
      <w:r w:rsidRPr="000839A4">
        <w:rPr>
          <w:szCs w:val="22"/>
        </w:rPr>
        <w:t xml:space="preserve">(2) Pokud je daňový bonus podle § 35c odst. 3 vyšší nebo roven dani podle § 16a, sníží se o tuto daň daňový bonus a daň poplatníka se rovná nule. </w:t>
      </w:r>
    </w:p>
    <w:p w14:paraId="5B499B1F" w14:textId="77777777" w:rsidR="000839A4" w:rsidRPr="000839A4" w:rsidRDefault="000839A4" w:rsidP="000839A4">
      <w:pPr>
        <w:tabs>
          <w:tab w:val="left" w:pos="851"/>
        </w:tabs>
        <w:spacing w:before="120" w:after="120"/>
        <w:ind w:firstLine="427"/>
        <w:outlineLvl w:val="6"/>
        <w:rPr>
          <w:szCs w:val="22"/>
        </w:rPr>
      </w:pPr>
      <w:r w:rsidRPr="000839A4">
        <w:rPr>
          <w:szCs w:val="22"/>
        </w:rPr>
        <w:t>(3) Pokud je daňový bonus podle § 35c odst. 3 nižší než daň podle § 16a, daňový bonus je roven nule a daň poplatníka se rovná dani podle § 16a snížené o daňový bonus podle § 35c odst. 3.</w:t>
      </w:r>
    </w:p>
    <w:p w14:paraId="31D0E82D" w14:textId="77777777" w:rsidR="000839A4" w:rsidRPr="000839A4" w:rsidRDefault="000839A4" w:rsidP="000839A4">
      <w:pPr>
        <w:keepNext/>
        <w:ind w:firstLine="0"/>
        <w:jc w:val="center"/>
        <w:rPr>
          <w:szCs w:val="24"/>
        </w:rPr>
      </w:pPr>
      <w:r w:rsidRPr="000839A4">
        <w:rPr>
          <w:szCs w:val="24"/>
        </w:rPr>
        <w:t>§ 16b</w:t>
      </w:r>
    </w:p>
    <w:p w14:paraId="3667E01D" w14:textId="77777777" w:rsidR="000839A4" w:rsidRPr="000839A4" w:rsidRDefault="000839A4" w:rsidP="000839A4">
      <w:pPr>
        <w:keepNext/>
        <w:ind w:firstLine="0"/>
        <w:jc w:val="center"/>
        <w:rPr>
          <w:b/>
          <w:szCs w:val="24"/>
        </w:rPr>
      </w:pPr>
      <w:r w:rsidRPr="000839A4">
        <w:rPr>
          <w:b/>
          <w:szCs w:val="24"/>
        </w:rPr>
        <w:t xml:space="preserve"> Zdaňovací období </w:t>
      </w:r>
    </w:p>
    <w:p w14:paraId="4A0D833D" w14:textId="77777777" w:rsidR="000839A4" w:rsidRPr="000839A4" w:rsidRDefault="000839A4" w:rsidP="000839A4">
      <w:pPr>
        <w:tabs>
          <w:tab w:val="left" w:pos="851"/>
        </w:tabs>
        <w:spacing w:before="120" w:after="120"/>
        <w:ind w:firstLine="427"/>
        <w:outlineLvl w:val="6"/>
      </w:pPr>
      <w:r w:rsidRPr="000839A4">
        <w:t xml:space="preserve">Zdaňovacím </w:t>
      </w:r>
      <w:r w:rsidRPr="000839A4">
        <w:rPr>
          <w:szCs w:val="22"/>
        </w:rPr>
        <w:t>obdobím</w:t>
      </w:r>
      <w:r w:rsidRPr="000839A4">
        <w:t xml:space="preserve"> daně z příjmů fyzických osob je kalendářní rok. </w:t>
      </w:r>
    </w:p>
    <w:p w14:paraId="037098AD" w14:textId="77777777" w:rsidR="000839A4" w:rsidRPr="000839A4" w:rsidRDefault="000839A4" w:rsidP="000839A4">
      <w:pPr>
        <w:keepNext/>
        <w:spacing w:before="360"/>
        <w:ind w:firstLine="0"/>
        <w:jc w:val="center"/>
        <w:outlineLvl w:val="0"/>
        <w:rPr>
          <w:szCs w:val="22"/>
        </w:rPr>
      </w:pPr>
      <w:r w:rsidRPr="000839A4">
        <w:rPr>
          <w:szCs w:val="22"/>
        </w:rPr>
        <w:t>ČÁST DRUHÁ</w:t>
      </w:r>
    </w:p>
    <w:p w14:paraId="119DCC57" w14:textId="77777777" w:rsidR="000839A4" w:rsidRPr="000839A4" w:rsidRDefault="000839A4" w:rsidP="000839A4">
      <w:pPr>
        <w:keepNext/>
        <w:spacing w:before="360"/>
        <w:ind w:firstLine="0"/>
        <w:jc w:val="center"/>
        <w:outlineLvl w:val="0"/>
        <w:rPr>
          <w:b/>
          <w:caps/>
          <w:szCs w:val="24"/>
        </w:rPr>
      </w:pPr>
      <w:r w:rsidRPr="000839A4">
        <w:rPr>
          <w:b/>
          <w:caps/>
          <w:szCs w:val="24"/>
        </w:rPr>
        <w:t xml:space="preserve"> Daň z příjmů právnických osob </w:t>
      </w:r>
    </w:p>
    <w:p w14:paraId="6DB4CE84" w14:textId="77777777" w:rsidR="000839A4" w:rsidRPr="000839A4" w:rsidRDefault="000839A4" w:rsidP="000839A4">
      <w:pPr>
        <w:keepNext/>
        <w:ind w:firstLine="0"/>
        <w:jc w:val="center"/>
        <w:rPr>
          <w:szCs w:val="24"/>
        </w:rPr>
      </w:pPr>
      <w:r w:rsidRPr="000839A4">
        <w:rPr>
          <w:szCs w:val="24"/>
        </w:rPr>
        <w:t>§ 17</w:t>
      </w:r>
    </w:p>
    <w:p w14:paraId="4C637E89" w14:textId="77777777" w:rsidR="000839A4" w:rsidRPr="000839A4" w:rsidRDefault="000839A4" w:rsidP="000839A4">
      <w:pPr>
        <w:keepNext/>
        <w:ind w:firstLine="0"/>
        <w:jc w:val="center"/>
        <w:rPr>
          <w:b/>
          <w:szCs w:val="24"/>
        </w:rPr>
      </w:pPr>
      <w:r w:rsidRPr="000839A4">
        <w:rPr>
          <w:b/>
          <w:szCs w:val="24"/>
        </w:rPr>
        <w:t xml:space="preserve">Poplatníci daně z příjmů právnických osob </w:t>
      </w:r>
    </w:p>
    <w:p w14:paraId="1FFA2CDB" w14:textId="77777777" w:rsidR="000839A4" w:rsidRPr="000839A4" w:rsidRDefault="000839A4" w:rsidP="000839A4">
      <w:pPr>
        <w:tabs>
          <w:tab w:val="left" w:pos="851"/>
        </w:tabs>
        <w:spacing w:before="120" w:after="120"/>
        <w:ind w:firstLine="427"/>
        <w:outlineLvl w:val="6"/>
      </w:pPr>
      <w:r w:rsidRPr="000839A4">
        <w:t xml:space="preserve">(1) </w:t>
      </w:r>
      <w:r w:rsidRPr="000839A4">
        <w:rPr>
          <w:szCs w:val="22"/>
        </w:rPr>
        <w:t>Poplatníkem</w:t>
      </w:r>
      <w:r w:rsidRPr="000839A4">
        <w:t xml:space="preserve"> daně z příjmů právnických osob je </w:t>
      </w:r>
    </w:p>
    <w:p w14:paraId="5B97944A"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 xml:space="preserve">právnická osoba, </w:t>
      </w:r>
    </w:p>
    <w:p w14:paraId="6120C6B4"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 xml:space="preserve">organizační složka státu, </w:t>
      </w:r>
    </w:p>
    <w:p w14:paraId="4173CFD7" w14:textId="77777777" w:rsidR="000839A4" w:rsidRPr="000839A4" w:rsidRDefault="000839A4" w:rsidP="000839A4">
      <w:pPr>
        <w:tabs>
          <w:tab w:val="left" w:pos="357"/>
        </w:tabs>
        <w:spacing w:before="0"/>
        <w:ind w:left="357" w:hanging="357"/>
        <w:rPr>
          <w:szCs w:val="24"/>
        </w:rPr>
      </w:pPr>
      <w:r w:rsidRPr="000839A4">
        <w:rPr>
          <w:szCs w:val="24"/>
        </w:rPr>
        <w:t>c)</w:t>
      </w:r>
      <w:r w:rsidRPr="000839A4">
        <w:rPr>
          <w:szCs w:val="24"/>
        </w:rPr>
        <w:tab/>
        <w:t xml:space="preserve">podílový fond podle zákona upravujícího investiční společnosti a investiční fondy, </w:t>
      </w:r>
    </w:p>
    <w:p w14:paraId="12F94CE4" w14:textId="481D4163" w:rsidR="000839A4" w:rsidRPr="000839A4" w:rsidRDefault="000839A4" w:rsidP="00FE4A0D">
      <w:pPr>
        <w:pBdr>
          <w:top w:val="single" w:sz="12" w:space="1" w:color="00B050"/>
          <w:left w:val="single" w:sz="12" w:space="4" w:color="00B050"/>
          <w:bottom w:val="single" w:sz="12" w:space="1" w:color="00B050"/>
          <w:right w:val="single" w:sz="12" w:space="4" w:color="00B050"/>
        </w:pBdr>
        <w:tabs>
          <w:tab w:val="left" w:pos="357"/>
        </w:tabs>
        <w:spacing w:before="0"/>
        <w:ind w:left="357" w:hanging="357"/>
        <w:rPr>
          <w:szCs w:val="24"/>
        </w:rPr>
      </w:pPr>
      <w:r w:rsidRPr="000839A4">
        <w:rPr>
          <w:szCs w:val="24"/>
        </w:rPr>
        <w:t>d)</w:t>
      </w:r>
      <w:r w:rsidRPr="000839A4">
        <w:rPr>
          <w:szCs w:val="24"/>
        </w:rPr>
        <w:tab/>
      </w:r>
      <w:proofErr w:type="spellStart"/>
      <w:r w:rsidRPr="000839A4">
        <w:rPr>
          <w:szCs w:val="24"/>
        </w:rPr>
        <w:t>podfond</w:t>
      </w:r>
      <w:proofErr w:type="spellEnd"/>
      <w:r w:rsidRPr="000839A4">
        <w:rPr>
          <w:szCs w:val="24"/>
        </w:rPr>
        <w:t xml:space="preserve"> </w:t>
      </w:r>
      <w:r w:rsidRPr="000839A4">
        <w:rPr>
          <w:strike/>
          <w:noProof/>
          <w:color w:val="00B050"/>
          <w:szCs w:val="24"/>
          <w:lang w:val="en-US"/>
        </w:rPr>
        <w:t>akciové společnosti s proměnným základním kapitálem</w:t>
      </w:r>
      <w:r w:rsidRPr="000839A4">
        <w:rPr>
          <w:noProof/>
          <w:color w:val="00B050"/>
          <w:szCs w:val="24"/>
          <w:lang w:val="en-US"/>
        </w:rPr>
        <w:t xml:space="preserve"> </w:t>
      </w:r>
      <w:r w:rsidRPr="000839A4">
        <w:rPr>
          <w:b/>
          <w:noProof/>
          <w:color w:val="00B050"/>
          <w:szCs w:val="24"/>
          <w:lang w:val="en-US"/>
        </w:rPr>
        <w:t>investičního fondu</w:t>
      </w:r>
      <w:r w:rsidRPr="000839A4">
        <w:rPr>
          <w:color w:val="00B050"/>
          <w:szCs w:val="24"/>
        </w:rPr>
        <w:t xml:space="preserve"> </w:t>
      </w:r>
      <w:r w:rsidRPr="000839A4">
        <w:rPr>
          <w:szCs w:val="24"/>
        </w:rPr>
        <w:t xml:space="preserve">podle zákona upravujícího investiční společnosti a investiční fondy, </w:t>
      </w:r>
    </w:p>
    <w:p w14:paraId="01077BE2" w14:textId="77777777" w:rsidR="000839A4" w:rsidRPr="000839A4" w:rsidRDefault="000839A4" w:rsidP="000839A4">
      <w:pPr>
        <w:tabs>
          <w:tab w:val="left" w:pos="357"/>
        </w:tabs>
        <w:spacing w:before="0"/>
        <w:ind w:left="357" w:hanging="357"/>
        <w:rPr>
          <w:szCs w:val="24"/>
        </w:rPr>
      </w:pPr>
      <w:r w:rsidRPr="000839A4">
        <w:rPr>
          <w:szCs w:val="24"/>
        </w:rPr>
        <w:t>e)</w:t>
      </w:r>
      <w:r w:rsidRPr="000839A4">
        <w:rPr>
          <w:szCs w:val="24"/>
        </w:rPr>
        <w:tab/>
        <w:t xml:space="preserve">fond penzijní společnosti, kterým se pro účely tohoto zákona rozumí fond obhospodařovaný penzijní společností podle zákona upravujícího doplňkové penzijní spoření, </w:t>
      </w:r>
    </w:p>
    <w:p w14:paraId="1728314B" w14:textId="77777777" w:rsidR="000839A4" w:rsidRPr="000839A4" w:rsidRDefault="000839A4" w:rsidP="000839A4">
      <w:pPr>
        <w:tabs>
          <w:tab w:val="left" w:pos="357"/>
        </w:tabs>
        <w:spacing w:before="0"/>
        <w:ind w:left="357" w:hanging="357"/>
        <w:rPr>
          <w:szCs w:val="24"/>
        </w:rPr>
      </w:pPr>
      <w:r w:rsidRPr="000839A4">
        <w:rPr>
          <w:szCs w:val="24"/>
        </w:rPr>
        <w:t>f)</w:t>
      </w:r>
      <w:r w:rsidRPr="000839A4">
        <w:rPr>
          <w:szCs w:val="24"/>
        </w:rPr>
        <w:tab/>
      </w:r>
      <w:proofErr w:type="spellStart"/>
      <w:r w:rsidRPr="000839A4">
        <w:rPr>
          <w:szCs w:val="24"/>
        </w:rPr>
        <w:t>svěřenský</w:t>
      </w:r>
      <w:proofErr w:type="spellEnd"/>
      <w:r w:rsidRPr="000839A4">
        <w:rPr>
          <w:szCs w:val="24"/>
        </w:rPr>
        <w:t xml:space="preserve"> fond podle občanského zákoníku, </w:t>
      </w:r>
    </w:p>
    <w:p w14:paraId="7BF7D9D1" w14:textId="77777777" w:rsidR="000839A4" w:rsidRPr="000839A4" w:rsidRDefault="000839A4" w:rsidP="000839A4">
      <w:pPr>
        <w:tabs>
          <w:tab w:val="left" w:pos="357"/>
        </w:tabs>
        <w:spacing w:before="0"/>
        <w:ind w:left="357" w:hanging="357"/>
        <w:rPr>
          <w:szCs w:val="24"/>
        </w:rPr>
      </w:pPr>
      <w:r w:rsidRPr="000839A4">
        <w:rPr>
          <w:szCs w:val="24"/>
        </w:rPr>
        <w:t>g)</w:t>
      </w:r>
      <w:r w:rsidRPr="000839A4">
        <w:rPr>
          <w:szCs w:val="24"/>
        </w:rPr>
        <w:tab/>
        <w:t>jednotka, která je podle právního řádu státu, podle kterého je založena nebo zřízena, poplatníkem,</w:t>
      </w:r>
    </w:p>
    <w:p w14:paraId="6E6C2EE1" w14:textId="77777777" w:rsidR="000839A4" w:rsidRPr="000839A4" w:rsidRDefault="000839A4" w:rsidP="000839A4">
      <w:pPr>
        <w:tabs>
          <w:tab w:val="left" w:pos="357"/>
        </w:tabs>
        <w:spacing w:before="0"/>
        <w:ind w:left="357" w:hanging="357"/>
        <w:rPr>
          <w:szCs w:val="24"/>
        </w:rPr>
      </w:pPr>
      <w:r w:rsidRPr="000839A4">
        <w:rPr>
          <w:szCs w:val="24"/>
        </w:rPr>
        <w:t>h)</w:t>
      </w:r>
      <w:r w:rsidRPr="000839A4">
        <w:rPr>
          <w:szCs w:val="24"/>
        </w:rPr>
        <w:tab/>
        <w:t>fond ve správě Garančního systému finančního trhu podle zákona upravujícího ozdravné postupy a řešení krize na finančním trhu.</w:t>
      </w:r>
    </w:p>
    <w:p w14:paraId="474F7163" w14:textId="77777777" w:rsidR="000839A4" w:rsidRPr="000839A4" w:rsidRDefault="000839A4" w:rsidP="000839A4">
      <w:pPr>
        <w:tabs>
          <w:tab w:val="left" w:pos="851"/>
        </w:tabs>
        <w:spacing w:before="120" w:after="120"/>
        <w:ind w:firstLine="427"/>
        <w:outlineLvl w:val="6"/>
      </w:pPr>
      <w:r w:rsidRPr="000839A4">
        <w:t xml:space="preserve">(2) </w:t>
      </w:r>
      <w:r w:rsidRPr="000839A4">
        <w:rPr>
          <w:szCs w:val="22"/>
        </w:rPr>
        <w:t>Poplatníci</w:t>
      </w:r>
      <w:r w:rsidRPr="000839A4">
        <w:t xml:space="preserve"> jsou daňovými rezidenty České republiky, nebo daňovými nerezidenty. </w:t>
      </w:r>
    </w:p>
    <w:p w14:paraId="4DBDC259" w14:textId="77777777" w:rsidR="000839A4" w:rsidRPr="000839A4" w:rsidRDefault="000839A4" w:rsidP="000839A4">
      <w:pPr>
        <w:tabs>
          <w:tab w:val="left" w:pos="851"/>
        </w:tabs>
        <w:spacing w:before="120" w:after="120"/>
        <w:ind w:firstLine="427"/>
        <w:outlineLvl w:val="6"/>
      </w:pPr>
      <w:r w:rsidRPr="000839A4">
        <w:t xml:space="preserve">(3) Poplatníci jsou daňovými rezidenty České republiky, pokud mají na území České republiky své sídlo nebo </w:t>
      </w:r>
      <w:r w:rsidRPr="000839A4">
        <w:rPr>
          <w:szCs w:val="22"/>
        </w:rPr>
        <w:t>místo</w:t>
      </w:r>
      <w:r w:rsidRPr="000839A4">
        <w:t xml:space="preserve"> svého vedení, kterým se rozumí adresa místa, ze kterého je </w:t>
      </w:r>
      <w:r w:rsidRPr="000839A4">
        <w:lastRenderedPageBreak/>
        <w:t xml:space="preserve">poplatník řízen (dále jen „sídlo“). Daňoví rezidenti České republiky mají daňovou povinnost, která se vztahuje jak na příjmy plynoucí ze zdroje na území České republiky, tak i na příjmy plynoucí ze zdrojů v zahraničí. Pokud je poplatník, který není právnickou osobou, založen nebo zřízen podle právních předpisů České republiky, má se za to, že má na území České republiky sídlo. </w:t>
      </w:r>
    </w:p>
    <w:p w14:paraId="03D5B2F1" w14:textId="77777777" w:rsidR="000839A4" w:rsidRPr="000839A4" w:rsidRDefault="000839A4" w:rsidP="000839A4">
      <w:pPr>
        <w:tabs>
          <w:tab w:val="left" w:pos="851"/>
        </w:tabs>
        <w:spacing w:before="120" w:after="120"/>
        <w:ind w:firstLine="427"/>
        <w:outlineLvl w:val="6"/>
      </w:pPr>
      <w:r w:rsidRPr="000839A4">
        <w:t xml:space="preserve">(4) </w:t>
      </w:r>
      <w:r w:rsidRPr="000839A4">
        <w:rPr>
          <w:szCs w:val="22"/>
        </w:rPr>
        <w:t>Poplatníci</w:t>
      </w:r>
      <w:r w:rsidRPr="000839A4">
        <w:t xml:space="preserve"> jsou daňovými nerezidenty, pokud nemají na území České republiky své sídlo nebo to o nich stanoví mezinárodní smlouvy. Daňoví nerezidenti mají daňovou povinnost, která se vztahuje pouze na příjmy ze zdrojů na území České republiky. </w:t>
      </w:r>
    </w:p>
    <w:p w14:paraId="383E7C87" w14:textId="77777777" w:rsidR="000839A4" w:rsidRPr="000839A4" w:rsidRDefault="000839A4" w:rsidP="000839A4">
      <w:pPr>
        <w:keepNext/>
        <w:ind w:firstLine="0"/>
        <w:jc w:val="center"/>
        <w:rPr>
          <w:szCs w:val="24"/>
        </w:rPr>
      </w:pPr>
      <w:r w:rsidRPr="000839A4">
        <w:rPr>
          <w:szCs w:val="24"/>
        </w:rPr>
        <w:t>§ 17a</w:t>
      </w:r>
    </w:p>
    <w:p w14:paraId="503C0AA1" w14:textId="77777777" w:rsidR="000839A4" w:rsidRPr="000839A4" w:rsidRDefault="000839A4" w:rsidP="000839A4">
      <w:pPr>
        <w:keepNext/>
        <w:ind w:firstLine="0"/>
        <w:jc w:val="center"/>
        <w:rPr>
          <w:b/>
          <w:szCs w:val="24"/>
        </w:rPr>
      </w:pPr>
      <w:r w:rsidRPr="000839A4">
        <w:rPr>
          <w:b/>
          <w:szCs w:val="24"/>
        </w:rPr>
        <w:t xml:space="preserve"> Veřejně prospěšný poplatník </w:t>
      </w:r>
    </w:p>
    <w:p w14:paraId="2A70962F" w14:textId="77777777" w:rsidR="000839A4" w:rsidRPr="000839A4" w:rsidRDefault="000839A4" w:rsidP="000839A4">
      <w:pPr>
        <w:tabs>
          <w:tab w:val="left" w:pos="851"/>
        </w:tabs>
        <w:spacing w:before="120" w:after="120"/>
        <w:ind w:firstLine="427"/>
        <w:outlineLvl w:val="6"/>
      </w:pPr>
      <w:r w:rsidRPr="000839A4">
        <w:t xml:space="preserve">(1) Veřejně prospěšným poplatníkem je poplatník, který v souladu se svým zakladatelským právním jednáním, statutem, stanovami, zákonem nebo rozhodnutím orgánu veřejné moci jako svou hlavní činnost vykonává činnost, která není podnikáním. </w:t>
      </w:r>
    </w:p>
    <w:p w14:paraId="3C3E5ECB" w14:textId="77777777" w:rsidR="000839A4" w:rsidRPr="000839A4" w:rsidRDefault="000839A4" w:rsidP="000839A4">
      <w:pPr>
        <w:tabs>
          <w:tab w:val="left" w:pos="851"/>
        </w:tabs>
        <w:spacing w:before="120" w:after="120"/>
        <w:ind w:firstLine="427"/>
        <w:outlineLvl w:val="6"/>
      </w:pPr>
      <w:r w:rsidRPr="000839A4">
        <w:t xml:space="preserve">(2) Veřejně prospěšným poplatníkem není </w:t>
      </w:r>
    </w:p>
    <w:p w14:paraId="3FC763CB"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 xml:space="preserve">obchodní korporace, </w:t>
      </w:r>
    </w:p>
    <w:p w14:paraId="5F4C389D"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 xml:space="preserve">Česká televize, Český rozhlas a Česká tisková kancelář, </w:t>
      </w:r>
    </w:p>
    <w:p w14:paraId="0A24BF06" w14:textId="77777777" w:rsidR="000839A4" w:rsidRPr="000839A4" w:rsidRDefault="000839A4" w:rsidP="000839A4">
      <w:pPr>
        <w:tabs>
          <w:tab w:val="left" w:pos="357"/>
        </w:tabs>
        <w:spacing w:before="0"/>
        <w:ind w:left="357" w:hanging="357"/>
        <w:rPr>
          <w:szCs w:val="24"/>
        </w:rPr>
      </w:pPr>
      <w:r w:rsidRPr="000839A4">
        <w:rPr>
          <w:szCs w:val="24"/>
        </w:rPr>
        <w:t>c)</w:t>
      </w:r>
      <w:r w:rsidRPr="000839A4">
        <w:rPr>
          <w:szCs w:val="24"/>
        </w:rPr>
        <w:tab/>
        <w:t xml:space="preserve">profesní komora nebo poplatník založený za účelem ochrany a hájení podnikatelských zájmů svých členů, u nichž nejsou členské příspěvky osvobozeny od daně, s výjimkou organizace zaměstnavatelů, </w:t>
      </w:r>
    </w:p>
    <w:p w14:paraId="3EC0F071" w14:textId="77777777" w:rsidR="000839A4" w:rsidRPr="000839A4" w:rsidRDefault="000839A4" w:rsidP="000839A4">
      <w:pPr>
        <w:tabs>
          <w:tab w:val="left" w:pos="357"/>
        </w:tabs>
        <w:spacing w:before="0"/>
        <w:ind w:left="357" w:hanging="357"/>
        <w:rPr>
          <w:szCs w:val="24"/>
        </w:rPr>
      </w:pPr>
      <w:r w:rsidRPr="000839A4">
        <w:rPr>
          <w:szCs w:val="24"/>
        </w:rPr>
        <w:t>d)</w:t>
      </w:r>
      <w:r w:rsidRPr="000839A4">
        <w:rPr>
          <w:szCs w:val="24"/>
        </w:rPr>
        <w:tab/>
        <w:t xml:space="preserve">zdravotní pojišťovna, </w:t>
      </w:r>
    </w:p>
    <w:p w14:paraId="0AD4FFC9" w14:textId="77777777" w:rsidR="000839A4" w:rsidRPr="000839A4" w:rsidRDefault="000839A4" w:rsidP="000839A4">
      <w:pPr>
        <w:tabs>
          <w:tab w:val="left" w:pos="357"/>
        </w:tabs>
        <w:spacing w:before="0"/>
        <w:ind w:left="357" w:hanging="357"/>
        <w:rPr>
          <w:szCs w:val="24"/>
        </w:rPr>
      </w:pPr>
      <w:r w:rsidRPr="000839A4">
        <w:rPr>
          <w:szCs w:val="24"/>
        </w:rPr>
        <w:t>e)</w:t>
      </w:r>
      <w:r w:rsidRPr="000839A4">
        <w:rPr>
          <w:szCs w:val="24"/>
        </w:rPr>
        <w:tab/>
        <w:t xml:space="preserve">společenství vlastníků jednotek a </w:t>
      </w:r>
    </w:p>
    <w:p w14:paraId="2865889B" w14:textId="77777777" w:rsidR="000839A4" w:rsidRPr="000839A4" w:rsidRDefault="000839A4" w:rsidP="000839A4">
      <w:pPr>
        <w:tabs>
          <w:tab w:val="left" w:pos="357"/>
        </w:tabs>
        <w:spacing w:before="0"/>
        <w:ind w:left="357" w:hanging="357"/>
        <w:rPr>
          <w:szCs w:val="24"/>
        </w:rPr>
      </w:pPr>
      <w:r w:rsidRPr="000839A4">
        <w:rPr>
          <w:szCs w:val="24"/>
        </w:rPr>
        <w:t>f)</w:t>
      </w:r>
      <w:r w:rsidRPr="000839A4">
        <w:rPr>
          <w:szCs w:val="24"/>
        </w:rPr>
        <w:tab/>
        <w:t>rodinná fundace, kterou se pro účely tohoto zákona rozumí nadace nebo nadační fond,</w:t>
      </w:r>
    </w:p>
    <w:p w14:paraId="5A3659D4" w14:textId="77777777" w:rsidR="000839A4" w:rsidRPr="000839A4" w:rsidRDefault="000839A4" w:rsidP="000839A4">
      <w:pPr>
        <w:tabs>
          <w:tab w:val="left" w:pos="357"/>
        </w:tabs>
        <w:spacing w:before="0"/>
        <w:ind w:left="714" w:hanging="357"/>
        <w:rPr>
          <w:szCs w:val="24"/>
        </w:rPr>
      </w:pPr>
      <w:r w:rsidRPr="000839A4">
        <w:rPr>
          <w:szCs w:val="24"/>
        </w:rPr>
        <w:t>1.</w:t>
      </w:r>
      <w:r w:rsidRPr="000839A4">
        <w:rPr>
          <w:szCs w:val="24"/>
        </w:rPr>
        <w:tab/>
        <w:t>které podle svého zakladatelského jednání slouží k podpoře zakladatele, nebo osob blízkých zakladateli, nebo</w:t>
      </w:r>
    </w:p>
    <w:p w14:paraId="72210AB4" w14:textId="77777777" w:rsidR="000839A4" w:rsidRPr="000839A4" w:rsidRDefault="000839A4" w:rsidP="000839A4">
      <w:pPr>
        <w:tabs>
          <w:tab w:val="left" w:pos="357"/>
        </w:tabs>
        <w:spacing w:before="0"/>
        <w:ind w:left="714" w:hanging="357"/>
        <w:rPr>
          <w:szCs w:val="24"/>
        </w:rPr>
      </w:pPr>
      <w:r w:rsidRPr="000839A4">
        <w:rPr>
          <w:szCs w:val="24"/>
        </w:rPr>
        <w:t>2.</w:t>
      </w:r>
      <w:r w:rsidRPr="000839A4">
        <w:rPr>
          <w:szCs w:val="24"/>
        </w:rPr>
        <w:tab/>
        <w:t>jejichž činnost směřuje k podpoře zakladatele nebo osob blízkých zakladateli.</w:t>
      </w:r>
    </w:p>
    <w:p w14:paraId="78A4A2C8" w14:textId="77777777" w:rsidR="000839A4" w:rsidRPr="000839A4" w:rsidRDefault="000839A4" w:rsidP="000839A4">
      <w:pPr>
        <w:keepNext/>
        <w:ind w:firstLine="0"/>
        <w:jc w:val="center"/>
        <w:rPr>
          <w:szCs w:val="24"/>
        </w:rPr>
      </w:pPr>
      <w:r w:rsidRPr="000839A4">
        <w:rPr>
          <w:szCs w:val="24"/>
        </w:rPr>
        <w:t>§ 17b</w:t>
      </w:r>
    </w:p>
    <w:p w14:paraId="5F05DB8C" w14:textId="77777777" w:rsidR="000839A4" w:rsidRPr="000839A4" w:rsidRDefault="000839A4" w:rsidP="000839A4">
      <w:pPr>
        <w:keepNext/>
        <w:ind w:firstLine="0"/>
        <w:jc w:val="center"/>
        <w:rPr>
          <w:b/>
          <w:szCs w:val="24"/>
        </w:rPr>
      </w:pPr>
      <w:r w:rsidRPr="000839A4">
        <w:rPr>
          <w:b/>
          <w:szCs w:val="24"/>
        </w:rPr>
        <w:t>Základní investiční fond</w:t>
      </w:r>
    </w:p>
    <w:p w14:paraId="7EC484AA" w14:textId="77777777" w:rsidR="000839A4" w:rsidRPr="000839A4" w:rsidRDefault="000839A4" w:rsidP="000839A4">
      <w:pPr>
        <w:tabs>
          <w:tab w:val="left" w:pos="851"/>
        </w:tabs>
        <w:spacing w:before="120" w:after="120"/>
        <w:ind w:firstLine="427"/>
        <w:outlineLvl w:val="6"/>
      </w:pPr>
      <w:r w:rsidRPr="000839A4">
        <w:rPr>
          <w:b/>
          <w:bCs/>
          <w:strike/>
          <w:noProof/>
          <w:color w:val="00B050"/>
        </w:rPr>
        <mc:AlternateContent>
          <mc:Choice Requires="wps">
            <w:drawing>
              <wp:anchor distT="0" distB="0" distL="114300" distR="114300" simplePos="0" relativeHeight="251686912" behindDoc="1" locked="0" layoutInCell="1" allowOverlap="1" wp14:anchorId="0FF3D44D" wp14:editId="47EF41EE">
                <wp:simplePos x="0" y="0"/>
                <wp:positionH relativeFrom="margin">
                  <wp:posOffset>-70554</wp:posOffset>
                </wp:positionH>
                <wp:positionV relativeFrom="paragraph">
                  <wp:posOffset>332025</wp:posOffset>
                </wp:positionV>
                <wp:extent cx="5939758" cy="2305210"/>
                <wp:effectExtent l="0" t="0" r="23495" b="19050"/>
                <wp:wrapNone/>
                <wp:docPr id="11" name="Obdélník 11"/>
                <wp:cNvGraphicFramePr/>
                <a:graphic xmlns:a="http://schemas.openxmlformats.org/drawingml/2006/main">
                  <a:graphicData uri="http://schemas.microsoft.com/office/word/2010/wordprocessingShape">
                    <wps:wsp>
                      <wps:cNvSpPr/>
                      <wps:spPr>
                        <a:xfrm>
                          <a:off x="0" y="0"/>
                          <a:ext cx="5939758" cy="2305210"/>
                        </a:xfrm>
                        <a:prstGeom prst="rect">
                          <a:avLst/>
                        </a:prstGeom>
                        <a:solidFill>
                          <a:sysClr val="window" lastClr="FFFFFF"/>
                        </a:solid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75EE5D0" id="Obdélník 11" o:spid="_x0000_s1026" style="position:absolute;margin-left:-5.55pt;margin-top:26.15pt;width:467.7pt;height:181.5pt;z-index:-2516295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" fillcolor="window" strokecolor="#00b050" strokeweight="1pt">
                <w10:wrap anchorx="margin"/>
              </v:rect>
            </w:pict>
          </mc:Fallback>
        </mc:AlternateContent>
      </w:r>
      <w:r w:rsidRPr="000839A4">
        <w:t>(1) Základním investičním fondem se pro účely tohoto zákona rozumí</w:t>
      </w:r>
    </w:p>
    <w:p w14:paraId="542262CB"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 xml:space="preserve">investiční fond </w:t>
      </w:r>
      <w:r w:rsidRPr="000839A4">
        <w:rPr>
          <w:b/>
          <w:noProof/>
          <w:color w:val="00B050"/>
          <w:szCs w:val="24"/>
          <w:lang w:val="en-US"/>
        </w:rPr>
        <w:t>a podfond investičního fondu</w:t>
      </w:r>
      <w:r w:rsidRPr="000839A4">
        <w:rPr>
          <w:noProof/>
          <w:color w:val="00B050"/>
          <w:szCs w:val="24"/>
          <w:lang w:val="en-US"/>
        </w:rPr>
        <w:t xml:space="preserve"> </w:t>
      </w:r>
      <w:r w:rsidRPr="000839A4">
        <w:rPr>
          <w:szCs w:val="24"/>
        </w:rPr>
        <w:t xml:space="preserve">podle zákona upravujícího investiční společnosti a investiční fondy, </w:t>
      </w:r>
      <w:r w:rsidRPr="000839A4">
        <w:rPr>
          <w:strike/>
          <w:noProof/>
          <w:color w:val="00B050"/>
          <w:szCs w:val="24"/>
          <w:lang w:val="en-US"/>
        </w:rPr>
        <w:t>jehož</w:t>
      </w:r>
      <w:r w:rsidRPr="000839A4">
        <w:rPr>
          <w:noProof/>
          <w:color w:val="00B050"/>
          <w:szCs w:val="24"/>
          <w:lang w:val="en-US"/>
        </w:rPr>
        <w:t xml:space="preserve"> </w:t>
      </w:r>
      <w:r w:rsidRPr="000839A4">
        <w:rPr>
          <w:b/>
          <w:noProof/>
          <w:color w:val="00B050"/>
          <w:szCs w:val="24"/>
          <w:lang w:val="en-US"/>
        </w:rPr>
        <w:t>jejichž</w:t>
      </w:r>
      <w:r w:rsidRPr="000839A4">
        <w:rPr>
          <w:noProof/>
          <w:color w:val="00B050"/>
          <w:szCs w:val="24"/>
          <w:lang w:val="en-US"/>
        </w:rPr>
        <w:t xml:space="preserve"> </w:t>
      </w:r>
      <w:r w:rsidRPr="000839A4">
        <w:rPr>
          <w:szCs w:val="24"/>
        </w:rPr>
        <w:t>akcie jsou přijaty k obchodování na evropském regulovaném trhu, pokud</w:t>
      </w:r>
    </w:p>
    <w:p w14:paraId="4634FB75" w14:textId="7A903745" w:rsidR="000839A4" w:rsidRPr="000839A4" w:rsidRDefault="000839A4" w:rsidP="000839A4">
      <w:pPr>
        <w:tabs>
          <w:tab w:val="left" w:pos="357"/>
        </w:tabs>
        <w:spacing w:before="0"/>
        <w:ind w:left="714" w:hanging="357"/>
        <w:rPr>
          <w:szCs w:val="24"/>
        </w:rPr>
      </w:pPr>
      <w:r w:rsidRPr="000839A4">
        <w:rPr>
          <w:szCs w:val="24"/>
        </w:rPr>
        <w:t>1.</w:t>
      </w:r>
      <w:r w:rsidRPr="000839A4">
        <w:rPr>
          <w:szCs w:val="24"/>
        </w:rPr>
        <w:tab/>
        <w:t xml:space="preserve">žádný poplatník daně z příjmů právnických osob s výjimkou Světové banky, Mezinárodního měnového fondu, Evropské investiční banky, jiné mezinárodní finanční organizace, státu, centrální banky nebo právnické osoby jimi ovládané nemá podíl na základním kapitálu tohoto investičního fondu </w:t>
      </w:r>
      <w:r w:rsidRPr="000839A4">
        <w:rPr>
          <w:b/>
          <w:noProof/>
          <w:color w:val="00B050"/>
          <w:szCs w:val="24"/>
        </w:rPr>
        <w:t>nebo podfondu investičního fondu</w:t>
      </w:r>
      <w:r w:rsidRPr="000839A4">
        <w:rPr>
          <w:noProof/>
          <w:color w:val="00B050"/>
          <w:szCs w:val="24"/>
        </w:rPr>
        <w:t xml:space="preserve"> </w:t>
      </w:r>
      <w:r w:rsidRPr="000839A4">
        <w:rPr>
          <w:szCs w:val="24"/>
        </w:rPr>
        <w:t xml:space="preserve">10 % nebo více; podíly spojených osob, které jsou poplatníky daně z příjmů právnických osob, se pro tyto účely splnění této podmínky považují za podíly jednoho poplatníka; tato podmínka se považuje za splněnou i v případě, kdy je překročena povolená výše podílu na základním kapitálu po dobu kratší než polovina zdaňovacího období </w:t>
      </w:r>
      <w:r w:rsidRPr="000839A4">
        <w:rPr>
          <w:strike/>
          <w:szCs w:val="24"/>
        </w:rPr>
        <w:t>nebo období, za které se podává daňové přiznání</w:t>
      </w:r>
      <w:r w:rsidRPr="000839A4">
        <w:rPr>
          <w:szCs w:val="24"/>
        </w:rPr>
        <w:t>, nebo po dobu kratší než 6 měsíců, je-li zdaňovací období delší než 12 měsíců, a</w:t>
      </w:r>
    </w:p>
    <w:p w14:paraId="799F9F0D" w14:textId="77777777" w:rsidR="000839A4" w:rsidRPr="000839A4" w:rsidRDefault="000839A4" w:rsidP="000839A4">
      <w:pPr>
        <w:tabs>
          <w:tab w:val="left" w:pos="357"/>
        </w:tabs>
        <w:spacing w:before="0"/>
        <w:ind w:left="714" w:hanging="357"/>
        <w:rPr>
          <w:szCs w:val="24"/>
        </w:rPr>
      </w:pPr>
      <w:r w:rsidRPr="000839A4">
        <w:rPr>
          <w:szCs w:val="24"/>
        </w:rPr>
        <w:lastRenderedPageBreak/>
        <w:t>2.</w:t>
      </w:r>
      <w:r w:rsidRPr="000839A4">
        <w:rPr>
          <w:szCs w:val="24"/>
        </w:rPr>
        <w:tab/>
        <w:t>neprovozuje živnostenské podnikání za podmínek stanovených živnostenským zákonem</w:t>
      </w:r>
      <w:r w:rsidRPr="000839A4">
        <w:rPr>
          <w:szCs w:val="24"/>
          <w:vertAlign w:val="superscript"/>
        </w:rPr>
        <w:footnoteReference w:customMarkFollows="1" w:id="145"/>
        <w:t>139)</w:t>
      </w:r>
      <w:r w:rsidRPr="000839A4">
        <w:rPr>
          <w:szCs w:val="24"/>
        </w:rPr>
        <w:t>,</w:t>
      </w:r>
    </w:p>
    <w:p w14:paraId="7BA5B6F8" w14:textId="009E6C00"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 xml:space="preserve"> podílový fond podle zákona upravujícího investiční společnosti a investiční fondy,</w:t>
      </w:r>
    </w:p>
    <w:p w14:paraId="1F695509" w14:textId="77777777" w:rsidR="000839A4" w:rsidRPr="000839A4" w:rsidRDefault="000839A4" w:rsidP="00FE4A0D">
      <w:pPr>
        <w:pBdr>
          <w:top w:val="single" w:sz="12" w:space="1" w:color="00B050"/>
          <w:left w:val="single" w:sz="12" w:space="4" w:color="00B050"/>
          <w:bottom w:val="single" w:sz="12" w:space="1" w:color="00B050"/>
          <w:right w:val="single" w:sz="12" w:space="4" w:color="00B050"/>
        </w:pBdr>
        <w:tabs>
          <w:tab w:val="left" w:pos="357"/>
        </w:tabs>
        <w:spacing w:before="0"/>
        <w:ind w:left="357" w:hanging="357"/>
        <w:rPr>
          <w:szCs w:val="24"/>
        </w:rPr>
      </w:pPr>
      <w:r w:rsidRPr="000839A4">
        <w:rPr>
          <w:szCs w:val="24"/>
        </w:rPr>
        <w:t>c)</w:t>
      </w:r>
      <w:r w:rsidRPr="000839A4">
        <w:rPr>
          <w:szCs w:val="24"/>
        </w:rPr>
        <w:tab/>
        <w:t xml:space="preserve">investiční fond a </w:t>
      </w:r>
      <w:proofErr w:type="spellStart"/>
      <w:r w:rsidRPr="000839A4">
        <w:rPr>
          <w:szCs w:val="24"/>
        </w:rPr>
        <w:t>podfond</w:t>
      </w:r>
      <w:proofErr w:type="spellEnd"/>
      <w:r w:rsidRPr="000839A4">
        <w:rPr>
          <w:szCs w:val="24"/>
        </w:rPr>
        <w:t xml:space="preserve"> </w:t>
      </w:r>
      <w:r w:rsidRPr="000839A4">
        <w:rPr>
          <w:strike/>
          <w:noProof/>
          <w:color w:val="00B050"/>
          <w:szCs w:val="24"/>
          <w:lang w:val="en-US"/>
        </w:rPr>
        <w:t>akciové společnosti s proměnným základním kapitálem</w:t>
      </w:r>
      <w:r w:rsidRPr="000839A4">
        <w:rPr>
          <w:noProof/>
          <w:color w:val="00B050"/>
          <w:szCs w:val="24"/>
          <w:lang w:val="en-US"/>
        </w:rPr>
        <w:t xml:space="preserve"> </w:t>
      </w:r>
      <w:r w:rsidRPr="000839A4">
        <w:rPr>
          <w:b/>
          <w:noProof/>
          <w:color w:val="00B050"/>
          <w:szCs w:val="24"/>
          <w:lang w:val="en-US"/>
        </w:rPr>
        <w:t>investičního fondu</w:t>
      </w:r>
      <w:r w:rsidRPr="000839A4">
        <w:rPr>
          <w:szCs w:val="24"/>
        </w:rPr>
        <w:t xml:space="preserve"> podle zákona upravujícího investiční společnosti a investiční fondy investující v souladu se svým statutem více než 90% hodnoty svého majetku do</w:t>
      </w:r>
    </w:p>
    <w:p w14:paraId="26F0075F" w14:textId="77777777" w:rsidR="000839A4" w:rsidRPr="000839A4" w:rsidRDefault="000839A4" w:rsidP="000839A4">
      <w:pPr>
        <w:tabs>
          <w:tab w:val="left" w:pos="357"/>
        </w:tabs>
        <w:spacing w:before="0"/>
        <w:ind w:left="714" w:hanging="357"/>
        <w:rPr>
          <w:szCs w:val="24"/>
        </w:rPr>
      </w:pPr>
      <w:r w:rsidRPr="000839A4">
        <w:rPr>
          <w:szCs w:val="24"/>
        </w:rPr>
        <w:t>1.</w:t>
      </w:r>
      <w:r w:rsidRPr="000839A4">
        <w:rPr>
          <w:szCs w:val="24"/>
        </w:rPr>
        <w:tab/>
        <w:t>investičních cenných papírů,</w:t>
      </w:r>
    </w:p>
    <w:p w14:paraId="61579DD4" w14:textId="77777777" w:rsidR="000839A4" w:rsidRPr="000839A4" w:rsidRDefault="000839A4" w:rsidP="000839A4">
      <w:pPr>
        <w:tabs>
          <w:tab w:val="left" w:pos="357"/>
        </w:tabs>
        <w:spacing w:before="0"/>
        <w:ind w:left="714" w:hanging="357"/>
        <w:rPr>
          <w:szCs w:val="24"/>
        </w:rPr>
      </w:pPr>
      <w:r w:rsidRPr="000839A4">
        <w:rPr>
          <w:szCs w:val="24"/>
        </w:rPr>
        <w:t>2.</w:t>
      </w:r>
      <w:r w:rsidRPr="000839A4">
        <w:rPr>
          <w:szCs w:val="24"/>
        </w:rPr>
        <w:tab/>
        <w:t xml:space="preserve">cenných papírů vydaných investičním fondem nebo zahraničním investičním fondem, </w:t>
      </w:r>
    </w:p>
    <w:p w14:paraId="794EB171" w14:textId="77777777" w:rsidR="000839A4" w:rsidRPr="000839A4" w:rsidRDefault="000839A4" w:rsidP="000839A4">
      <w:pPr>
        <w:tabs>
          <w:tab w:val="left" w:pos="357"/>
        </w:tabs>
        <w:spacing w:before="0"/>
        <w:ind w:left="714" w:hanging="357"/>
        <w:rPr>
          <w:szCs w:val="24"/>
        </w:rPr>
      </w:pPr>
      <w:r w:rsidRPr="000839A4">
        <w:rPr>
          <w:szCs w:val="24"/>
        </w:rPr>
        <w:t>3.</w:t>
      </w:r>
      <w:r w:rsidRPr="000839A4">
        <w:rPr>
          <w:szCs w:val="24"/>
        </w:rPr>
        <w:tab/>
        <w:t>účastí v kapitálových obchodních společnostech,</w:t>
      </w:r>
    </w:p>
    <w:p w14:paraId="5AFA3DAD" w14:textId="77777777" w:rsidR="000839A4" w:rsidRPr="000839A4" w:rsidRDefault="000839A4" w:rsidP="000839A4">
      <w:pPr>
        <w:tabs>
          <w:tab w:val="left" w:pos="357"/>
        </w:tabs>
        <w:spacing w:before="0"/>
        <w:ind w:left="714" w:hanging="357"/>
        <w:rPr>
          <w:szCs w:val="24"/>
        </w:rPr>
      </w:pPr>
      <w:r w:rsidRPr="000839A4">
        <w:rPr>
          <w:szCs w:val="24"/>
        </w:rPr>
        <w:t>4.</w:t>
      </w:r>
      <w:r w:rsidRPr="000839A4">
        <w:rPr>
          <w:szCs w:val="24"/>
        </w:rPr>
        <w:tab/>
        <w:t>nástrojů peněžního trhu,</w:t>
      </w:r>
    </w:p>
    <w:p w14:paraId="4D1CF8FA" w14:textId="77777777" w:rsidR="000839A4" w:rsidRPr="000839A4" w:rsidRDefault="000839A4" w:rsidP="000839A4">
      <w:pPr>
        <w:tabs>
          <w:tab w:val="left" w:pos="357"/>
        </w:tabs>
        <w:spacing w:before="0"/>
        <w:ind w:left="714" w:hanging="357"/>
        <w:rPr>
          <w:szCs w:val="24"/>
        </w:rPr>
      </w:pPr>
      <w:r w:rsidRPr="000839A4">
        <w:rPr>
          <w:szCs w:val="24"/>
        </w:rPr>
        <w:t>5.</w:t>
      </w:r>
      <w:r w:rsidRPr="000839A4">
        <w:rPr>
          <w:szCs w:val="24"/>
        </w:rPr>
        <w:tab/>
        <w:t>finančních derivátů podle zákona upravujícího investiční společnosti a investiční fondy,</w:t>
      </w:r>
    </w:p>
    <w:p w14:paraId="6B887492" w14:textId="77777777" w:rsidR="000839A4" w:rsidRPr="000839A4" w:rsidRDefault="000839A4" w:rsidP="000839A4">
      <w:pPr>
        <w:tabs>
          <w:tab w:val="left" w:pos="357"/>
        </w:tabs>
        <w:spacing w:before="0"/>
        <w:ind w:left="714" w:hanging="357"/>
        <w:rPr>
          <w:szCs w:val="24"/>
        </w:rPr>
      </w:pPr>
      <w:r w:rsidRPr="000839A4">
        <w:rPr>
          <w:szCs w:val="24"/>
        </w:rPr>
        <w:t>6.</w:t>
      </w:r>
      <w:r w:rsidRPr="000839A4">
        <w:rPr>
          <w:szCs w:val="24"/>
        </w:rPr>
        <w:tab/>
        <w:t>práv vyplývajících ze zápisu věcí uvedených v bodech 1 až 5 v evidenci a umožňujících oprávněnému přímo nebo nepřímo nakládat s touto hodnotou alespoň obdobným způsobem jako oprávněný držitel,</w:t>
      </w:r>
    </w:p>
    <w:p w14:paraId="6CECF880" w14:textId="77777777" w:rsidR="000839A4" w:rsidRPr="000839A4" w:rsidRDefault="000839A4" w:rsidP="000839A4">
      <w:pPr>
        <w:tabs>
          <w:tab w:val="left" w:pos="357"/>
        </w:tabs>
        <w:spacing w:before="0"/>
        <w:ind w:left="714" w:hanging="357"/>
        <w:rPr>
          <w:szCs w:val="24"/>
        </w:rPr>
      </w:pPr>
      <w:r w:rsidRPr="000839A4">
        <w:rPr>
          <w:szCs w:val="24"/>
        </w:rPr>
        <w:t>7.</w:t>
      </w:r>
      <w:r w:rsidRPr="000839A4">
        <w:rPr>
          <w:szCs w:val="24"/>
        </w:rPr>
        <w:tab/>
        <w:t>pohledávek na výplatu peněžních prostředků z účtu,</w:t>
      </w:r>
    </w:p>
    <w:p w14:paraId="5A064341" w14:textId="6CC72CB7" w:rsidR="000839A4" w:rsidRPr="000839A4" w:rsidRDefault="000839A4" w:rsidP="000839A4">
      <w:pPr>
        <w:tabs>
          <w:tab w:val="left" w:pos="357"/>
        </w:tabs>
        <w:spacing w:before="0"/>
        <w:ind w:left="714" w:hanging="357"/>
        <w:rPr>
          <w:szCs w:val="24"/>
        </w:rPr>
      </w:pPr>
      <w:r w:rsidRPr="000839A4">
        <w:rPr>
          <w:szCs w:val="24"/>
        </w:rPr>
        <w:t>8.</w:t>
      </w:r>
      <w:r w:rsidRPr="000839A4">
        <w:rPr>
          <w:szCs w:val="24"/>
        </w:rPr>
        <w:tab/>
        <w:t>úvěrů a zápůjček poskytnutých investičním fondem,</w:t>
      </w:r>
    </w:p>
    <w:p w14:paraId="3D4EFF16" w14:textId="77777777" w:rsidR="000839A4" w:rsidRPr="000839A4" w:rsidRDefault="000839A4" w:rsidP="00FE4A0D">
      <w:pPr>
        <w:pBdr>
          <w:top w:val="single" w:sz="12" w:space="1" w:color="00B050"/>
          <w:left w:val="single" w:sz="12" w:space="4" w:color="00B050"/>
          <w:bottom w:val="single" w:sz="12" w:space="1" w:color="00B050"/>
          <w:right w:val="single" w:sz="12" w:space="4" w:color="00B050"/>
        </w:pBdr>
        <w:tabs>
          <w:tab w:val="left" w:pos="357"/>
        </w:tabs>
        <w:spacing w:before="0"/>
        <w:ind w:left="357" w:hanging="357"/>
        <w:rPr>
          <w:szCs w:val="24"/>
        </w:rPr>
      </w:pPr>
      <w:r w:rsidRPr="000839A4">
        <w:rPr>
          <w:szCs w:val="24"/>
        </w:rPr>
        <w:t>d)</w:t>
      </w:r>
      <w:r w:rsidRPr="000839A4">
        <w:rPr>
          <w:szCs w:val="24"/>
        </w:rPr>
        <w:tab/>
        <w:t xml:space="preserve">zahraniční investiční fond </w:t>
      </w:r>
      <w:r w:rsidRPr="000839A4">
        <w:rPr>
          <w:strike/>
          <w:noProof/>
          <w:color w:val="00B050"/>
          <w:szCs w:val="24"/>
          <w:lang w:val="en-US"/>
        </w:rPr>
        <w:t>srovnatelný s fondem</w:t>
      </w:r>
      <w:r w:rsidRPr="000839A4">
        <w:rPr>
          <w:noProof/>
          <w:color w:val="00B050"/>
          <w:szCs w:val="24"/>
          <w:lang w:val="en-US"/>
        </w:rPr>
        <w:t xml:space="preserve"> </w:t>
      </w:r>
      <w:r w:rsidRPr="000839A4">
        <w:rPr>
          <w:b/>
          <w:noProof/>
          <w:color w:val="00B050"/>
          <w:szCs w:val="24"/>
          <w:lang w:val="en-US"/>
        </w:rPr>
        <w:t>nebo zahraniční podfond zahraničního investičního fondu srovnatelný s fondem nebo podfondem</w:t>
      </w:r>
      <w:r w:rsidRPr="000839A4">
        <w:rPr>
          <w:noProof/>
          <w:color w:val="00B050"/>
          <w:szCs w:val="24"/>
          <w:lang w:val="en-US"/>
        </w:rPr>
        <w:t xml:space="preserve"> </w:t>
      </w:r>
      <w:r w:rsidRPr="000839A4">
        <w:rPr>
          <w:szCs w:val="24"/>
        </w:rPr>
        <w:t>uvedeným v písmenech a) až c) pokud</w:t>
      </w:r>
    </w:p>
    <w:p w14:paraId="1A9CCD1B" w14:textId="77777777" w:rsidR="000839A4" w:rsidRPr="000839A4" w:rsidRDefault="000839A4" w:rsidP="000839A4">
      <w:pPr>
        <w:tabs>
          <w:tab w:val="left" w:pos="357"/>
        </w:tabs>
        <w:spacing w:before="0"/>
        <w:ind w:left="714" w:hanging="357"/>
        <w:rPr>
          <w:szCs w:val="24"/>
        </w:rPr>
      </w:pPr>
      <w:r w:rsidRPr="000839A4">
        <w:rPr>
          <w:szCs w:val="24"/>
        </w:rPr>
        <w:t>1.</w:t>
      </w:r>
      <w:r w:rsidRPr="000839A4">
        <w:rPr>
          <w:szCs w:val="24"/>
        </w:rPr>
        <w:tab/>
        <w:t>je jeho domovským státem podle zákona upravujícího investiční společnosti a investiční fondy členský stát Evropské unie nebo stát tvořící Evropský hospodářský prostor,</w:t>
      </w:r>
    </w:p>
    <w:p w14:paraId="0C753DAF" w14:textId="77777777" w:rsidR="000839A4" w:rsidRPr="000839A4" w:rsidRDefault="000839A4" w:rsidP="000839A4">
      <w:pPr>
        <w:tabs>
          <w:tab w:val="left" w:pos="357"/>
        </w:tabs>
        <w:spacing w:before="0"/>
        <w:ind w:left="714" w:hanging="357"/>
        <w:rPr>
          <w:szCs w:val="24"/>
        </w:rPr>
      </w:pPr>
      <w:r w:rsidRPr="000839A4">
        <w:rPr>
          <w:szCs w:val="24"/>
        </w:rPr>
        <w:t>2.</w:t>
      </w:r>
      <w:r w:rsidRPr="000839A4">
        <w:rPr>
          <w:szCs w:val="24"/>
        </w:rPr>
        <w:tab/>
        <w:t>prokáže, že je obhospodařován na základě oprávnění srovnatelného s oprávněním k obhospodařování investičního fondu vydávaného Českou národní bankou a obhospodařovatel podléhá dohledu srovnatelnému s dohledem České národní banky,</w:t>
      </w:r>
    </w:p>
    <w:p w14:paraId="08CC10E2" w14:textId="3A15AE29" w:rsidR="000839A4" w:rsidRPr="000839A4" w:rsidRDefault="000839A4" w:rsidP="001C7AED">
      <w:pPr>
        <w:pBdr>
          <w:top w:val="single" w:sz="12" w:space="1" w:color="00B050"/>
          <w:left w:val="single" w:sz="12" w:space="5" w:color="00B050"/>
          <w:bottom w:val="single" w:sz="12" w:space="1" w:color="00B050"/>
          <w:right w:val="single" w:sz="12" w:space="4" w:color="00B050"/>
        </w:pBdr>
        <w:tabs>
          <w:tab w:val="left" w:pos="357"/>
        </w:tabs>
        <w:spacing w:before="0"/>
        <w:ind w:left="714" w:hanging="357"/>
        <w:rPr>
          <w:szCs w:val="24"/>
        </w:rPr>
      </w:pPr>
      <w:r w:rsidRPr="000839A4">
        <w:rPr>
          <w:szCs w:val="24"/>
        </w:rPr>
        <w:t>3.</w:t>
      </w:r>
      <w:r w:rsidRPr="000839A4">
        <w:rPr>
          <w:szCs w:val="24"/>
        </w:rPr>
        <w:tab/>
        <w:t xml:space="preserve">má statut nebo dokument srovnatelný se statutem, ze kterého lze zjistit, že se jedná o zahraniční fond </w:t>
      </w:r>
      <w:r w:rsidRPr="000839A4">
        <w:rPr>
          <w:strike/>
          <w:noProof/>
          <w:color w:val="00B050"/>
          <w:szCs w:val="24"/>
        </w:rPr>
        <w:t>srovnatelný s fondem</w:t>
      </w:r>
      <w:r w:rsidRPr="000839A4">
        <w:rPr>
          <w:noProof/>
          <w:color w:val="00B050"/>
          <w:szCs w:val="24"/>
        </w:rPr>
        <w:t xml:space="preserve"> </w:t>
      </w:r>
      <w:r w:rsidRPr="000839A4">
        <w:rPr>
          <w:b/>
          <w:noProof/>
          <w:color w:val="00B050"/>
          <w:szCs w:val="24"/>
        </w:rPr>
        <w:t>nebo zahraniční podfond zahraničního investičního fondu srovnatelný s fondem nebo podfondem</w:t>
      </w:r>
      <w:r w:rsidRPr="000839A4">
        <w:rPr>
          <w:color w:val="00B050"/>
          <w:szCs w:val="24"/>
        </w:rPr>
        <w:t xml:space="preserve"> </w:t>
      </w:r>
      <w:r w:rsidRPr="000839A4">
        <w:rPr>
          <w:szCs w:val="24"/>
        </w:rPr>
        <w:t>uvedeným v písmenech a) až c), a</w:t>
      </w:r>
    </w:p>
    <w:p w14:paraId="17B06B52" w14:textId="77777777" w:rsidR="000839A4" w:rsidRPr="000839A4" w:rsidRDefault="000839A4" w:rsidP="000839A4">
      <w:pPr>
        <w:tabs>
          <w:tab w:val="left" w:pos="357"/>
        </w:tabs>
        <w:spacing w:before="0"/>
        <w:ind w:left="714" w:hanging="357"/>
        <w:rPr>
          <w:szCs w:val="24"/>
        </w:rPr>
      </w:pPr>
      <w:r w:rsidRPr="000839A4">
        <w:rPr>
          <w:szCs w:val="24"/>
        </w:rPr>
        <w:t>4.</w:t>
      </w:r>
      <w:r w:rsidRPr="000839A4">
        <w:rPr>
          <w:szCs w:val="24"/>
        </w:rPr>
        <w:tab/>
        <w:t>prokáže, že se podle práva jeho domovského státu jeho příjmy ani z části nepřičítají jiným osobám.</w:t>
      </w:r>
    </w:p>
    <w:p w14:paraId="6611EBA0" w14:textId="77777777" w:rsidR="000839A4" w:rsidRPr="000839A4" w:rsidRDefault="000839A4" w:rsidP="000839A4">
      <w:pPr>
        <w:jc w:val="center"/>
        <w:outlineLvl w:val="5"/>
      </w:pPr>
      <w:r w:rsidRPr="000839A4">
        <w:t>§ 17c</w:t>
      </w:r>
    </w:p>
    <w:p w14:paraId="588933DD" w14:textId="77777777" w:rsidR="000839A4" w:rsidRPr="000839A4" w:rsidRDefault="000839A4" w:rsidP="000839A4">
      <w:pPr>
        <w:jc w:val="center"/>
        <w:outlineLvl w:val="5"/>
        <w:rPr>
          <w:b/>
        </w:rPr>
      </w:pPr>
      <w:r w:rsidRPr="000839A4">
        <w:rPr>
          <w:b/>
        </w:rPr>
        <w:t>Poplatník daně z neočekávaných zisků</w:t>
      </w:r>
    </w:p>
    <w:p w14:paraId="22977DDA" w14:textId="77777777" w:rsidR="000839A4" w:rsidRPr="000839A4" w:rsidRDefault="000839A4" w:rsidP="000839A4">
      <w:pPr>
        <w:tabs>
          <w:tab w:val="left" w:pos="851"/>
        </w:tabs>
        <w:spacing w:before="120" w:after="120"/>
        <w:ind w:firstLine="427"/>
        <w:outlineLvl w:val="6"/>
      </w:pPr>
      <w:r w:rsidRPr="000839A4">
        <w:t xml:space="preserve">(1) Poplatníkem daně z neočekávaných zisků je poplatník daně z příjmů právnických osob, který ve  zdaňovacím období </w:t>
      </w:r>
      <w:r w:rsidRPr="000839A4">
        <w:rPr>
          <w:strike/>
        </w:rPr>
        <w:t xml:space="preserve">nebo období, za které se podává daňové </w:t>
      </w:r>
      <w:proofErr w:type="gramStart"/>
      <w:r w:rsidRPr="000839A4">
        <w:rPr>
          <w:strike/>
        </w:rPr>
        <w:t>přiznání</w:t>
      </w:r>
      <w:r w:rsidRPr="000839A4">
        <w:t xml:space="preserve">, </w:t>
      </w:r>
      <w:r w:rsidRPr="000839A4">
        <w:rPr>
          <w:strike/>
        </w:rPr>
        <w:t>která</w:t>
      </w:r>
      <w:proofErr w:type="gramEnd"/>
      <w:r w:rsidRPr="000839A4">
        <w:rPr>
          <w:strike/>
        </w:rPr>
        <w:t xml:space="preserve"> alespoň částečně spadají</w:t>
      </w:r>
      <w:r w:rsidRPr="000839A4">
        <w:t xml:space="preserve"> </w:t>
      </w:r>
      <w:r w:rsidRPr="000839A4">
        <w:rPr>
          <w:b/>
        </w:rPr>
        <w:t xml:space="preserve">které alespoň částečně </w:t>
      </w:r>
      <w:proofErr w:type="gramStart"/>
      <w:r w:rsidRPr="000839A4">
        <w:rPr>
          <w:b/>
        </w:rPr>
        <w:t>spadá</w:t>
      </w:r>
      <w:proofErr w:type="gramEnd"/>
      <w:r w:rsidRPr="000839A4">
        <w:t xml:space="preserve"> do období uplatnění daně z neočekávaných zisků, má rozhodné příjmy pro daň z neočekávaných zisků ve výši alespoň 50 000 000 Kč, pokud</w:t>
      </w:r>
    </w:p>
    <w:p w14:paraId="28C3E27F"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není bankou a</w:t>
      </w:r>
    </w:p>
    <w:p w14:paraId="7DD4F4DB" w14:textId="77777777" w:rsidR="000839A4" w:rsidRPr="000839A4" w:rsidRDefault="000839A4" w:rsidP="000839A4">
      <w:pPr>
        <w:tabs>
          <w:tab w:val="left" w:pos="357"/>
        </w:tabs>
        <w:spacing w:before="0"/>
        <w:ind w:left="714" w:hanging="357"/>
        <w:rPr>
          <w:szCs w:val="24"/>
        </w:rPr>
      </w:pPr>
      <w:r w:rsidRPr="000839A4">
        <w:rPr>
          <w:szCs w:val="24"/>
        </w:rPr>
        <w:t>1.</w:t>
      </w:r>
      <w:r w:rsidRPr="000839A4">
        <w:rPr>
          <w:szCs w:val="24"/>
        </w:rPr>
        <w:tab/>
        <w:t>je v období uplatnění daně z neočekávaných zisků součástí skupiny podniků s neočekávanými zisky, nebo</w:t>
      </w:r>
    </w:p>
    <w:p w14:paraId="6DC263C7" w14:textId="77777777" w:rsidR="000839A4" w:rsidRPr="000839A4" w:rsidRDefault="000839A4" w:rsidP="000839A4">
      <w:pPr>
        <w:tabs>
          <w:tab w:val="left" w:pos="357"/>
        </w:tabs>
        <w:spacing w:before="0"/>
        <w:ind w:left="714" w:hanging="357"/>
        <w:rPr>
          <w:szCs w:val="24"/>
        </w:rPr>
      </w:pPr>
      <w:r w:rsidRPr="000839A4">
        <w:rPr>
          <w:szCs w:val="24"/>
        </w:rPr>
        <w:t>2.</w:t>
      </w:r>
      <w:r w:rsidRPr="000839A4">
        <w:rPr>
          <w:szCs w:val="24"/>
        </w:rPr>
        <w:tab/>
        <w:t>měl rozhodné příjmy pro daň z neočekávaných zisků ve výši alespoň 2 000 000 000 Kč za první účetní období skončené od 1. ledna 2021, nebo</w:t>
      </w:r>
    </w:p>
    <w:p w14:paraId="557AAAA0" w14:textId="77777777" w:rsidR="000839A4" w:rsidRPr="000839A4" w:rsidRDefault="000839A4" w:rsidP="000839A4">
      <w:pPr>
        <w:tabs>
          <w:tab w:val="left" w:pos="357"/>
        </w:tabs>
        <w:spacing w:before="0"/>
        <w:ind w:left="357" w:hanging="357"/>
        <w:rPr>
          <w:szCs w:val="24"/>
        </w:rPr>
      </w:pPr>
      <w:r w:rsidRPr="000839A4">
        <w:rPr>
          <w:szCs w:val="24"/>
        </w:rPr>
        <w:lastRenderedPageBreak/>
        <w:t>b)</w:t>
      </w:r>
      <w:r w:rsidRPr="000839A4">
        <w:rPr>
          <w:szCs w:val="24"/>
        </w:rPr>
        <w:tab/>
        <w:t xml:space="preserve">je bankou a měl rozhodné příjmy pro daň z neočekávaných zisků ve výši alespoň 6 000 000 000 Kč za první účetní období skončené od 1. ledna 2021. </w:t>
      </w:r>
    </w:p>
    <w:p w14:paraId="5DF0942A" w14:textId="77777777" w:rsidR="000839A4" w:rsidRPr="000839A4" w:rsidRDefault="000839A4" w:rsidP="000839A4">
      <w:pPr>
        <w:tabs>
          <w:tab w:val="left" w:pos="851"/>
        </w:tabs>
        <w:spacing w:before="120" w:after="120"/>
        <w:ind w:firstLine="427"/>
        <w:outlineLvl w:val="6"/>
      </w:pPr>
      <w:r w:rsidRPr="000839A4">
        <w:t>(2)</w:t>
      </w:r>
      <w:r w:rsidRPr="000839A4">
        <w:tab/>
        <w:t xml:space="preserve">Poplatníkem daně z neočekávaných zisků je také poplatník daně z příjmů právnických osob, který má ve zdaňovacím období </w:t>
      </w:r>
      <w:r w:rsidRPr="000839A4">
        <w:rPr>
          <w:strike/>
        </w:rPr>
        <w:t>nebo období, za které se podává daňové přiznání</w:t>
      </w:r>
      <w:r w:rsidRPr="000839A4">
        <w:t xml:space="preserve">, </w:t>
      </w:r>
      <w:r w:rsidRPr="000839A4">
        <w:rPr>
          <w:strike/>
        </w:rPr>
        <w:t>která alespoň částečně spadají</w:t>
      </w:r>
      <w:r w:rsidRPr="000839A4">
        <w:t xml:space="preserve"> </w:t>
      </w:r>
      <w:r w:rsidRPr="000839A4">
        <w:rPr>
          <w:b/>
        </w:rPr>
        <w:t>které alespoň částečně spadá</w:t>
      </w:r>
      <w:r w:rsidRPr="000839A4">
        <w:t xml:space="preserve"> do období uplatnění daně z neočekávaných zisků, rozhodné příjmy pro daň z neočekávaných zisků z činností podle odstavce 6 písm. a) až d) ve výši alespoň 50 000 000 Kč, pokud rozhodné příjmy pro daň z neočekávaných zisků z těchto činností za první účetní období skončené od 1. ledna 2021 tvořily alespoň 25 % jeho ročního úhrnu čistého obratu podle zákona upravujícího účetnictví za toto účetní období.</w:t>
      </w:r>
    </w:p>
    <w:p w14:paraId="7170F981" w14:textId="77777777" w:rsidR="000839A4" w:rsidRPr="000839A4" w:rsidRDefault="000839A4" w:rsidP="000839A4">
      <w:pPr>
        <w:tabs>
          <w:tab w:val="left" w:pos="851"/>
        </w:tabs>
        <w:spacing w:before="120" w:after="120"/>
        <w:ind w:firstLine="427"/>
        <w:outlineLvl w:val="6"/>
      </w:pPr>
      <w:r w:rsidRPr="000839A4">
        <w:t>(3)</w:t>
      </w:r>
      <w:r w:rsidRPr="000839A4">
        <w:tab/>
        <w:t>Skupinou podniků s neočekávanými zisky je skupina podniků podle zákona upravujícího mezinárodní spolupráci při správě daní bez zahrnutí bank, pokud úhrn rozhodných příjmů pro daň z neočekávaných zisků poplatníků, kteří jsou součástí této skupiny, za první vykazované účetní období skončené od 1. ledna 2021 dosáhl alespoň 2 000 000 000 Kč. Pokud je poplatník součástí této skupiny pouze po část tohoto období, zohledňují se jeho rozhodné příjmy pro daň z neočekávaných zisků pouze v poměru odpovídajícím této části. Pokud je poplatník zahrnut nebo by byl zahrnut v konsolidované účetní závěrce této skupiny na základě metody poměrné konsolidace, určí se rozhodné příjmy pro daň z neočekávaných zisků pro účely posouzení výše rozhodných příjmů skupiny ve stejném poměru.</w:t>
      </w:r>
    </w:p>
    <w:p w14:paraId="1620B96F" w14:textId="77777777" w:rsidR="000839A4" w:rsidRPr="000839A4" w:rsidRDefault="000839A4" w:rsidP="000839A4">
      <w:pPr>
        <w:tabs>
          <w:tab w:val="left" w:pos="851"/>
        </w:tabs>
        <w:spacing w:before="120" w:after="120"/>
        <w:ind w:firstLine="427"/>
        <w:outlineLvl w:val="6"/>
      </w:pPr>
      <w:r w:rsidRPr="000839A4">
        <w:t>(4)</w:t>
      </w:r>
      <w:r w:rsidRPr="000839A4">
        <w:tab/>
        <w:t>Rozhodnými příjmy pro daň z neočekávaných zisků jsou tuzemské příjmy z rozhodných činností pro daň z neočekávaných zisků s výjimkou příjmu z činností uvedených v odstavci 6 písm. e) a f), pokud poplatník elektřinu nebo plyn dodal jinému poplatníkovi, který je součástí stejné skupiny podniků podle zákona upravujícího mezinárodní spolupráci při správě daní, pro jeho vlastní spotřebu.</w:t>
      </w:r>
    </w:p>
    <w:p w14:paraId="00769CA3" w14:textId="77777777" w:rsidR="000839A4" w:rsidRPr="000839A4" w:rsidRDefault="000839A4" w:rsidP="000839A4">
      <w:pPr>
        <w:tabs>
          <w:tab w:val="left" w:pos="851"/>
        </w:tabs>
        <w:spacing w:before="120" w:after="120"/>
        <w:ind w:firstLine="427"/>
        <w:outlineLvl w:val="6"/>
      </w:pPr>
      <w:r w:rsidRPr="000839A4">
        <w:t>(5)</w:t>
      </w:r>
      <w:r w:rsidRPr="000839A4">
        <w:tab/>
        <w:t xml:space="preserve">Tuzemským příjmem se pro daň z neočekávaných zisků rozumí příjem s výjimkou příjmu ze zdrojů v zahraničí, který podle mezinárodní smlouvy může být zdaněn v zahraničí, pokud je poplatník daňovým rezidentem České republiky, a příjem ze zdrojů na území České republiky s výjimkou příjmu, který podle mezinárodní smlouvy nemůže být zdaněn v České republice, pokud je poplatník daňovým nerezidentem. </w:t>
      </w:r>
    </w:p>
    <w:p w14:paraId="6163CD5D" w14:textId="77777777" w:rsidR="000839A4" w:rsidRPr="000839A4" w:rsidRDefault="000839A4" w:rsidP="000839A4">
      <w:pPr>
        <w:tabs>
          <w:tab w:val="left" w:pos="851"/>
        </w:tabs>
        <w:spacing w:before="120" w:after="120"/>
        <w:outlineLvl w:val="6"/>
      </w:pPr>
      <w:r w:rsidRPr="000839A4">
        <w:t>(6)</w:t>
      </w:r>
      <w:r w:rsidRPr="000839A4">
        <w:tab/>
        <w:t xml:space="preserve">Rozhodnými činnostmi pro daň z neočekávaných zisků jsou </w:t>
      </w:r>
      <w:r w:rsidRPr="000839A4">
        <w:rPr>
          <w:noProof/>
        </w:rPr>
        <w:t>činnosti uvedené</w:t>
      </w:r>
      <w:r w:rsidRPr="000839A4">
        <w:t xml:space="preserve"> v klasifikaci NACE pod kódy</w:t>
      </w:r>
    </w:p>
    <w:p w14:paraId="4CCA52CF" w14:textId="77777777" w:rsidR="000839A4" w:rsidRPr="000839A4" w:rsidRDefault="000839A4" w:rsidP="000839A4">
      <w:pPr>
        <w:keepNext/>
        <w:spacing w:before="0"/>
        <w:ind w:left="425" w:hanging="425"/>
        <w:outlineLvl w:val="7"/>
      </w:pPr>
      <w:r w:rsidRPr="000839A4">
        <w:t>a)</w:t>
      </w:r>
      <w:r w:rsidRPr="000839A4">
        <w:tab/>
        <w:t>05.10 -  Těžba a úprava černého uhlí,</w:t>
      </w:r>
    </w:p>
    <w:p w14:paraId="08D7B555" w14:textId="77777777" w:rsidR="000839A4" w:rsidRPr="000839A4" w:rsidRDefault="000839A4" w:rsidP="000839A4">
      <w:pPr>
        <w:spacing w:before="0"/>
        <w:ind w:left="425" w:hanging="425"/>
        <w:outlineLvl w:val="7"/>
      </w:pPr>
      <w:r w:rsidRPr="000839A4">
        <w:t>b)</w:t>
      </w:r>
      <w:r w:rsidRPr="000839A4">
        <w:tab/>
        <w:t>06 - Těžba ropy a zemního plynu,</w:t>
      </w:r>
    </w:p>
    <w:p w14:paraId="56542118" w14:textId="77777777" w:rsidR="000839A4" w:rsidRPr="000839A4" w:rsidRDefault="000839A4" w:rsidP="000839A4">
      <w:pPr>
        <w:spacing w:before="0"/>
        <w:ind w:left="425" w:hanging="425"/>
        <w:outlineLvl w:val="7"/>
      </w:pPr>
      <w:r w:rsidRPr="000839A4">
        <w:t>c)</w:t>
      </w:r>
      <w:r w:rsidRPr="000839A4">
        <w:tab/>
        <w:t>19.1- Výroba koksárenských produktů,</w:t>
      </w:r>
    </w:p>
    <w:p w14:paraId="74867DCB" w14:textId="77777777" w:rsidR="000839A4" w:rsidRPr="000839A4" w:rsidRDefault="000839A4" w:rsidP="000839A4">
      <w:pPr>
        <w:spacing w:before="0"/>
        <w:ind w:left="425" w:hanging="425"/>
        <w:outlineLvl w:val="7"/>
      </w:pPr>
      <w:r w:rsidRPr="000839A4">
        <w:t>d)</w:t>
      </w:r>
      <w:r w:rsidRPr="000839A4">
        <w:tab/>
        <w:t>19.2 - Výroba rafinovaných ropných produktů,</w:t>
      </w:r>
    </w:p>
    <w:p w14:paraId="6694BA0C" w14:textId="77777777" w:rsidR="000839A4" w:rsidRPr="000839A4" w:rsidRDefault="000839A4" w:rsidP="000839A4">
      <w:pPr>
        <w:spacing w:before="0"/>
        <w:ind w:left="425" w:hanging="425"/>
        <w:outlineLvl w:val="7"/>
      </w:pPr>
      <w:r w:rsidRPr="000839A4">
        <w:t>e)</w:t>
      </w:r>
      <w:r w:rsidRPr="000839A4">
        <w:tab/>
        <w:t>35.1 - Výroba, přenos a rozvod elektřiny s výjimkou kombinované výroby elektřiny a tepla v poměru vyrobené elektřiny a dodávky užitečného tepla menším než 4,4,</w:t>
      </w:r>
    </w:p>
    <w:p w14:paraId="72B24E60" w14:textId="77777777" w:rsidR="000839A4" w:rsidRPr="000839A4" w:rsidRDefault="000839A4" w:rsidP="000839A4">
      <w:pPr>
        <w:spacing w:before="0"/>
        <w:ind w:left="425" w:hanging="425"/>
        <w:outlineLvl w:val="7"/>
      </w:pPr>
      <w:r w:rsidRPr="000839A4">
        <w:t>f)</w:t>
      </w:r>
      <w:r w:rsidRPr="000839A4">
        <w:tab/>
        <w:t>35.2 - Výroba plynu; rozvod plynných paliv prostřednictvím sítí,</w:t>
      </w:r>
    </w:p>
    <w:p w14:paraId="3D75A7EB" w14:textId="77777777" w:rsidR="000839A4" w:rsidRPr="000839A4" w:rsidRDefault="000839A4" w:rsidP="000839A4">
      <w:pPr>
        <w:spacing w:before="0"/>
        <w:ind w:left="425" w:hanging="425"/>
        <w:outlineLvl w:val="7"/>
      </w:pPr>
      <w:r w:rsidRPr="000839A4">
        <w:t>g)</w:t>
      </w:r>
      <w:r w:rsidRPr="000839A4">
        <w:tab/>
        <w:t>46.71.2 -  Velkoobchod s kapalnými palivy a příbuznými výrobky,</w:t>
      </w:r>
    </w:p>
    <w:p w14:paraId="65B7C3B3" w14:textId="77777777" w:rsidR="000839A4" w:rsidRPr="000839A4" w:rsidRDefault="000839A4" w:rsidP="000839A4">
      <w:pPr>
        <w:spacing w:before="0"/>
        <w:ind w:left="425" w:hanging="425"/>
        <w:outlineLvl w:val="7"/>
      </w:pPr>
      <w:r w:rsidRPr="000839A4">
        <w:t>h)</w:t>
      </w:r>
      <w:r w:rsidRPr="000839A4">
        <w:tab/>
        <w:t>46.71.3 - Velkoobchod s plynnými palivy a příbuznými výrobky,</w:t>
      </w:r>
    </w:p>
    <w:p w14:paraId="55DBA85B" w14:textId="77777777" w:rsidR="000839A4" w:rsidRPr="000839A4" w:rsidRDefault="000839A4" w:rsidP="000839A4">
      <w:pPr>
        <w:spacing w:before="0"/>
        <w:ind w:left="425" w:hanging="425"/>
        <w:outlineLvl w:val="7"/>
      </w:pPr>
      <w:r w:rsidRPr="000839A4">
        <w:t>i)</w:t>
      </w:r>
      <w:r w:rsidRPr="000839A4">
        <w:tab/>
        <w:t>49.50.1 -  Potrubní doprava ropovodem,</w:t>
      </w:r>
    </w:p>
    <w:p w14:paraId="66D68E56" w14:textId="77777777" w:rsidR="000839A4" w:rsidRPr="000839A4" w:rsidRDefault="000839A4" w:rsidP="000839A4">
      <w:pPr>
        <w:spacing w:before="0"/>
        <w:ind w:left="425" w:hanging="425"/>
        <w:outlineLvl w:val="7"/>
      </w:pPr>
      <w:r w:rsidRPr="000839A4">
        <w:t>j)</w:t>
      </w:r>
      <w:r w:rsidRPr="000839A4">
        <w:tab/>
        <w:t>49.50.2 – Potrubní doprava plynovodem a</w:t>
      </w:r>
    </w:p>
    <w:p w14:paraId="501F6CEE" w14:textId="77777777" w:rsidR="000839A4" w:rsidRPr="000839A4" w:rsidRDefault="000839A4" w:rsidP="000839A4">
      <w:pPr>
        <w:spacing w:before="0"/>
        <w:ind w:left="425" w:hanging="425"/>
        <w:outlineLvl w:val="7"/>
        <w:rPr>
          <w:szCs w:val="24"/>
        </w:rPr>
      </w:pPr>
      <w:r w:rsidRPr="000839A4">
        <w:rPr>
          <w:szCs w:val="24"/>
        </w:rPr>
        <w:t>k)</w:t>
      </w:r>
      <w:r w:rsidRPr="000839A4">
        <w:rPr>
          <w:szCs w:val="24"/>
        </w:rPr>
        <w:tab/>
        <w:t>64 -</w:t>
      </w:r>
      <w:r w:rsidRPr="000839A4">
        <w:t xml:space="preserve"> Finanční zprostředkování, kromě pojišťovnictví a penzijního financování s výjimkou činnosti uvedené v klasifikaci NACE pod kódem 64.11 – Centrální bankovnictví, jde-li o poplatníka, který je bankou.</w:t>
      </w:r>
    </w:p>
    <w:p w14:paraId="60A2D1AF" w14:textId="77777777" w:rsidR="000839A4" w:rsidRPr="000839A4" w:rsidRDefault="000839A4" w:rsidP="000839A4">
      <w:pPr>
        <w:tabs>
          <w:tab w:val="left" w:pos="851"/>
        </w:tabs>
        <w:spacing w:before="120" w:after="120"/>
        <w:outlineLvl w:val="6"/>
      </w:pPr>
      <w:r w:rsidRPr="000839A4">
        <w:t>(7)</w:t>
      </w:r>
      <w:r w:rsidRPr="000839A4">
        <w:tab/>
        <w:t>Příjmy z rozhodných činností pro daň z neočekávaných zisků se určují jako</w:t>
      </w:r>
    </w:p>
    <w:p w14:paraId="6152FDA4" w14:textId="77777777" w:rsidR="000839A4" w:rsidRPr="000839A4" w:rsidRDefault="000839A4" w:rsidP="000839A4">
      <w:pPr>
        <w:keepNext/>
        <w:tabs>
          <w:tab w:val="num" w:pos="425"/>
        </w:tabs>
        <w:spacing w:before="0"/>
        <w:ind w:left="425" w:hanging="425"/>
        <w:outlineLvl w:val="7"/>
      </w:pPr>
      <w:r w:rsidRPr="000839A4">
        <w:lastRenderedPageBreak/>
        <w:t>a)</w:t>
      </w:r>
      <w:r w:rsidRPr="000839A4">
        <w:tab/>
        <w:t>roční úhrn čistého obratu podle zákona upravujícího účetnictví z těchto činností u poplatníka, který není bankou, nebo</w:t>
      </w:r>
    </w:p>
    <w:p w14:paraId="47D958F7" w14:textId="77777777" w:rsidR="000839A4" w:rsidRPr="000839A4" w:rsidRDefault="000839A4" w:rsidP="000839A4">
      <w:pPr>
        <w:keepNext/>
        <w:tabs>
          <w:tab w:val="num" w:pos="425"/>
        </w:tabs>
        <w:spacing w:before="0"/>
        <w:ind w:left="425" w:hanging="425"/>
        <w:outlineLvl w:val="7"/>
      </w:pPr>
      <w:r w:rsidRPr="000839A4">
        <w:t>b)</w:t>
      </w:r>
      <w:r w:rsidRPr="000839A4">
        <w:tab/>
        <w:t xml:space="preserve">roční čisté úrokové výnosy u poplatníka, který je bankou. </w:t>
      </w:r>
    </w:p>
    <w:p w14:paraId="7836D425" w14:textId="77777777" w:rsidR="000839A4" w:rsidRPr="000839A4" w:rsidRDefault="000839A4" w:rsidP="000839A4">
      <w:pPr>
        <w:tabs>
          <w:tab w:val="left" w:pos="851"/>
        </w:tabs>
        <w:spacing w:before="120" w:after="120"/>
        <w:outlineLvl w:val="6"/>
      </w:pPr>
      <w:r w:rsidRPr="000839A4">
        <w:t>(8) V případě rozdělení poplatníka daně z příjmů právnických osob, který splňoval podmínku výše rozhodných příjmů pro daň z neočekávaných zisků za první účetní období skončené od 1. ledna 2021, se považuje tato podmínka za splněnou i u jeho právních nástupců.</w:t>
      </w:r>
    </w:p>
    <w:p w14:paraId="6A75762A" w14:textId="77777777" w:rsidR="000839A4" w:rsidRPr="000839A4" w:rsidRDefault="000839A4" w:rsidP="000839A4">
      <w:pPr>
        <w:tabs>
          <w:tab w:val="left" w:pos="851"/>
        </w:tabs>
        <w:spacing w:before="120" w:after="120"/>
        <w:outlineLvl w:val="6"/>
      </w:pPr>
      <w:r w:rsidRPr="000839A4">
        <w:t>(9)</w:t>
      </w:r>
      <w:r w:rsidRPr="000839A4">
        <w:tab/>
        <w:t>Výše kritéria rozhodných příjmů pro daň z neočekávaných zisků posuzovaného ve zdaňovacím období nebo období, za které se podává daňové přiznání, která alespoň částečně spadají do období uplatnění daně z neočekávaných zisků, se v případě poplatníka, jehož měnou účetnictví je cizí měna, přepočte na tuto cizí měnu kurzem pro přepočet daně pro poslední den bezprostředně předcházejícího zdaňovacího období nebo období, za které se podává daňové přiznání; takto přepočtená výše se zaokrouhlí na celá čísla.</w:t>
      </w:r>
    </w:p>
    <w:p w14:paraId="37432AA9" w14:textId="77777777" w:rsidR="000839A4" w:rsidRPr="000839A4" w:rsidRDefault="000839A4" w:rsidP="000839A4">
      <w:pPr>
        <w:keepNext/>
        <w:ind w:firstLine="0"/>
        <w:jc w:val="center"/>
        <w:rPr>
          <w:szCs w:val="24"/>
        </w:rPr>
      </w:pPr>
      <w:r w:rsidRPr="000839A4">
        <w:rPr>
          <w:szCs w:val="24"/>
        </w:rPr>
        <w:t>§ 18</w:t>
      </w:r>
    </w:p>
    <w:p w14:paraId="26C86379" w14:textId="77777777" w:rsidR="000839A4" w:rsidRPr="000839A4" w:rsidRDefault="000839A4" w:rsidP="000839A4">
      <w:pPr>
        <w:keepNext/>
        <w:ind w:firstLine="0"/>
        <w:jc w:val="center"/>
        <w:rPr>
          <w:b/>
          <w:szCs w:val="24"/>
        </w:rPr>
      </w:pPr>
      <w:r w:rsidRPr="000839A4">
        <w:rPr>
          <w:b/>
          <w:szCs w:val="24"/>
        </w:rPr>
        <w:t>Obecná ustanovení o předmětu daně</w:t>
      </w:r>
    </w:p>
    <w:p w14:paraId="709CD6C5" w14:textId="77777777" w:rsidR="000839A4" w:rsidRPr="000839A4" w:rsidRDefault="000839A4" w:rsidP="000839A4">
      <w:pPr>
        <w:tabs>
          <w:tab w:val="left" w:pos="851"/>
        </w:tabs>
        <w:spacing w:before="120" w:after="120"/>
        <w:ind w:firstLine="427"/>
        <w:outlineLvl w:val="6"/>
      </w:pPr>
      <w:r w:rsidRPr="000839A4">
        <w:t xml:space="preserve">(1) Předmětem daně jsou příjmy z veškeré činnosti a z nakládání s veškerým majetkem, není-li dále stanoveno jinak. </w:t>
      </w:r>
    </w:p>
    <w:p w14:paraId="4BE83E26" w14:textId="77777777" w:rsidR="000839A4" w:rsidRPr="000839A4" w:rsidRDefault="000839A4" w:rsidP="000839A4">
      <w:pPr>
        <w:tabs>
          <w:tab w:val="left" w:pos="851"/>
        </w:tabs>
        <w:spacing w:before="120" w:after="120"/>
        <w:ind w:firstLine="427"/>
        <w:outlineLvl w:val="6"/>
      </w:pPr>
      <w:r w:rsidRPr="000839A4">
        <w:t xml:space="preserve">(2) Předmětem daně nejsou </w:t>
      </w:r>
    </w:p>
    <w:p w14:paraId="27A517F1"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 xml:space="preserve">příjmy získané nabytím akcií podle zákona upravujícího podmínky převodu majetku státu na jiné osoby, </w:t>
      </w:r>
    </w:p>
    <w:p w14:paraId="03942DC1"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u poplatníků, kteří mají postavení oprávněné osoby na základě zvláštního zákona,</w:t>
      </w:r>
      <w:r w:rsidRPr="000839A4">
        <w:rPr>
          <w:szCs w:val="24"/>
          <w:vertAlign w:val="superscript"/>
        </w:rPr>
        <w:footnoteReference w:customMarkFollows="1" w:id="146"/>
        <w:t>15b)</w:t>
      </w:r>
      <w:r w:rsidRPr="000839A4">
        <w:rPr>
          <w:szCs w:val="24"/>
        </w:rPr>
        <w:t xml:space="preserve"> příjmy získané s vydáním pohledávky, a to do výše náhrad podle zvláštních zákonů,</w:t>
      </w:r>
      <w:r w:rsidRPr="000839A4">
        <w:rPr>
          <w:szCs w:val="24"/>
          <w:vertAlign w:val="superscript"/>
        </w:rPr>
        <w:t xml:space="preserve"> 2)</w:t>
      </w:r>
      <w:r w:rsidRPr="000839A4">
        <w:rPr>
          <w:szCs w:val="24"/>
        </w:rPr>
        <w:t xml:space="preserve"> do výše nároků na vydání základního </w:t>
      </w:r>
      <w:proofErr w:type="gramStart"/>
      <w:r w:rsidRPr="000839A4">
        <w:rPr>
          <w:szCs w:val="24"/>
        </w:rPr>
        <w:t>podílu,</w:t>
      </w:r>
      <w:r w:rsidRPr="000839A4">
        <w:rPr>
          <w:szCs w:val="24"/>
          <w:vertAlign w:val="superscript"/>
        </w:rPr>
        <w:t>13</w:t>
      </w:r>
      <w:proofErr w:type="gramEnd"/>
      <w:r w:rsidRPr="000839A4">
        <w:rPr>
          <w:szCs w:val="24"/>
          <w:vertAlign w:val="superscript"/>
        </w:rPr>
        <w:t>)</w:t>
      </w:r>
      <w:r w:rsidRPr="000839A4">
        <w:rPr>
          <w:szCs w:val="24"/>
        </w:rPr>
        <w:t xml:space="preserve"> a dále příjmy z vydání dalšího podílu</w:t>
      </w:r>
      <w:r w:rsidRPr="000839A4">
        <w:rPr>
          <w:szCs w:val="24"/>
          <w:vertAlign w:val="superscript"/>
        </w:rPr>
        <w:t>13)</w:t>
      </w:r>
      <w:r w:rsidRPr="000839A4">
        <w:rPr>
          <w:szCs w:val="24"/>
        </w:rPr>
        <w:t xml:space="preserve"> v nepeněžní formě, </w:t>
      </w:r>
    </w:p>
    <w:p w14:paraId="66ABF73D" w14:textId="77777777" w:rsidR="000839A4" w:rsidRPr="000839A4" w:rsidRDefault="000839A4" w:rsidP="000839A4">
      <w:pPr>
        <w:tabs>
          <w:tab w:val="left" w:pos="357"/>
        </w:tabs>
        <w:spacing w:before="0"/>
        <w:ind w:left="357" w:hanging="357"/>
        <w:rPr>
          <w:szCs w:val="24"/>
        </w:rPr>
      </w:pPr>
      <w:r w:rsidRPr="000839A4">
        <w:rPr>
          <w:szCs w:val="24"/>
        </w:rPr>
        <w:t>c)</w:t>
      </w:r>
      <w:r w:rsidRPr="000839A4">
        <w:rPr>
          <w:szCs w:val="24"/>
        </w:rPr>
        <w:tab/>
        <w:t xml:space="preserve">příjmy z vlastní činnosti Správy úložišť radioaktivních odpadů s výjimkou příjmů podléhajících zvláštní sazbě daně vybírané srážkou podle § 36 tohoto zákona, </w:t>
      </w:r>
    </w:p>
    <w:p w14:paraId="6E38CCDA" w14:textId="77777777" w:rsidR="000839A4" w:rsidRPr="000839A4" w:rsidRDefault="000839A4" w:rsidP="000839A4">
      <w:pPr>
        <w:tabs>
          <w:tab w:val="left" w:pos="357"/>
        </w:tabs>
        <w:spacing w:before="0"/>
        <w:ind w:left="357" w:hanging="357"/>
        <w:rPr>
          <w:szCs w:val="24"/>
        </w:rPr>
      </w:pPr>
      <w:r w:rsidRPr="000839A4">
        <w:rPr>
          <w:szCs w:val="24"/>
        </w:rPr>
        <w:t>d)</w:t>
      </w:r>
      <w:r w:rsidRPr="000839A4">
        <w:rPr>
          <w:szCs w:val="24"/>
        </w:rPr>
        <w:tab/>
        <w:t>příjmy plynoucí z titulu spravedlivého zadostiučinění přiznaného Evropským soudem pro lidská práva ve výši, kterou je Česká republika povinna uhradit, nebo z titulu urovnání záležitosti před Evropským soudem pro lidská práva na základě smíru nebo jednostranného prohlášení vlády ve výši, kterou se Česká republika zavázala uhradit,</w:t>
      </w:r>
      <w:r w:rsidRPr="000839A4">
        <w:rPr>
          <w:szCs w:val="24"/>
          <w:vertAlign w:val="superscript"/>
        </w:rPr>
        <w:t>1c)</w:t>
      </w:r>
      <w:r w:rsidRPr="000839A4">
        <w:rPr>
          <w:szCs w:val="24"/>
        </w:rPr>
        <w:t xml:space="preserve"> </w:t>
      </w:r>
    </w:p>
    <w:p w14:paraId="1417C467" w14:textId="77777777" w:rsidR="000839A4" w:rsidRPr="000839A4" w:rsidRDefault="000839A4" w:rsidP="000839A4">
      <w:pPr>
        <w:tabs>
          <w:tab w:val="left" w:pos="357"/>
        </w:tabs>
        <w:spacing w:before="0"/>
        <w:ind w:left="357" w:hanging="357"/>
        <w:rPr>
          <w:szCs w:val="24"/>
        </w:rPr>
      </w:pPr>
      <w:r w:rsidRPr="000839A4">
        <w:rPr>
          <w:szCs w:val="24"/>
        </w:rPr>
        <w:t>e)</w:t>
      </w:r>
      <w:r w:rsidRPr="000839A4">
        <w:rPr>
          <w:szCs w:val="24"/>
        </w:rPr>
        <w:tab/>
        <w:t xml:space="preserve">příjmy zdravotní pojišťovny plynoucí ve formě </w:t>
      </w:r>
    </w:p>
    <w:p w14:paraId="6ED66AF9" w14:textId="77777777" w:rsidR="000839A4" w:rsidRPr="000839A4" w:rsidRDefault="000839A4" w:rsidP="000839A4">
      <w:pPr>
        <w:tabs>
          <w:tab w:val="left" w:pos="357"/>
        </w:tabs>
        <w:spacing w:before="0"/>
        <w:ind w:left="714" w:hanging="357"/>
        <w:rPr>
          <w:szCs w:val="24"/>
        </w:rPr>
      </w:pPr>
      <w:r w:rsidRPr="000839A4">
        <w:rPr>
          <w:szCs w:val="24"/>
        </w:rPr>
        <w:t>1.</w:t>
      </w:r>
      <w:r w:rsidRPr="000839A4">
        <w:rPr>
          <w:szCs w:val="24"/>
        </w:rPr>
        <w:tab/>
        <w:t xml:space="preserve">pojistného na veřejné zdravotní pojištění, </w:t>
      </w:r>
    </w:p>
    <w:p w14:paraId="32D2BE34" w14:textId="77777777" w:rsidR="000839A4" w:rsidRPr="000839A4" w:rsidRDefault="000839A4" w:rsidP="000839A4">
      <w:pPr>
        <w:tabs>
          <w:tab w:val="left" w:pos="357"/>
        </w:tabs>
        <w:spacing w:before="0"/>
        <w:ind w:left="714" w:hanging="357"/>
        <w:rPr>
          <w:szCs w:val="24"/>
        </w:rPr>
      </w:pPr>
      <w:r w:rsidRPr="000839A4">
        <w:rPr>
          <w:szCs w:val="24"/>
        </w:rPr>
        <w:t>2.</w:t>
      </w:r>
      <w:r w:rsidRPr="000839A4">
        <w:rPr>
          <w:szCs w:val="24"/>
        </w:rPr>
        <w:tab/>
        <w:t xml:space="preserve">pokuty uložené pojištěnci nebo plátci pojistného, </w:t>
      </w:r>
    </w:p>
    <w:p w14:paraId="59D7B285" w14:textId="77777777" w:rsidR="000839A4" w:rsidRPr="000839A4" w:rsidRDefault="000839A4" w:rsidP="000839A4">
      <w:pPr>
        <w:tabs>
          <w:tab w:val="left" w:pos="357"/>
        </w:tabs>
        <w:spacing w:before="0"/>
        <w:ind w:left="714" w:hanging="357"/>
        <w:rPr>
          <w:szCs w:val="24"/>
        </w:rPr>
      </w:pPr>
      <w:r w:rsidRPr="000839A4">
        <w:rPr>
          <w:szCs w:val="24"/>
        </w:rPr>
        <w:t>3.</w:t>
      </w:r>
      <w:r w:rsidRPr="000839A4">
        <w:rPr>
          <w:szCs w:val="24"/>
        </w:rPr>
        <w:tab/>
        <w:t xml:space="preserve">penále uloženého plátci pojistného, </w:t>
      </w:r>
    </w:p>
    <w:p w14:paraId="42E88C28" w14:textId="77777777" w:rsidR="000839A4" w:rsidRPr="000839A4" w:rsidRDefault="000839A4" w:rsidP="000839A4">
      <w:pPr>
        <w:tabs>
          <w:tab w:val="left" w:pos="357"/>
        </w:tabs>
        <w:spacing w:before="0"/>
        <w:ind w:left="714" w:hanging="357"/>
        <w:rPr>
          <w:szCs w:val="24"/>
        </w:rPr>
      </w:pPr>
      <w:r w:rsidRPr="000839A4">
        <w:rPr>
          <w:szCs w:val="24"/>
        </w:rPr>
        <w:t>4.</w:t>
      </w:r>
      <w:r w:rsidRPr="000839A4">
        <w:rPr>
          <w:szCs w:val="24"/>
        </w:rPr>
        <w:tab/>
        <w:t xml:space="preserve">přirážky k pojistnému vyměřené zaměstnavateli, </w:t>
      </w:r>
    </w:p>
    <w:p w14:paraId="6E55AD53" w14:textId="77777777" w:rsidR="000839A4" w:rsidRPr="000839A4" w:rsidRDefault="000839A4" w:rsidP="000839A4">
      <w:pPr>
        <w:tabs>
          <w:tab w:val="left" w:pos="357"/>
        </w:tabs>
        <w:spacing w:before="0"/>
        <w:ind w:left="714" w:hanging="357"/>
        <w:rPr>
          <w:szCs w:val="24"/>
        </w:rPr>
      </w:pPr>
      <w:r w:rsidRPr="000839A4">
        <w:rPr>
          <w:szCs w:val="24"/>
        </w:rPr>
        <w:t>5.</w:t>
      </w:r>
      <w:r w:rsidRPr="000839A4">
        <w:rPr>
          <w:szCs w:val="24"/>
        </w:rPr>
        <w:tab/>
        <w:t xml:space="preserve">náhrady nákladů na hrazené zdravotní služby, které zdravotní pojišťovna vynaložila v důsledku zaviněného protiprávního jednání třetí osoby vůči pojištěnci, </w:t>
      </w:r>
    </w:p>
    <w:p w14:paraId="67E73E57" w14:textId="77777777" w:rsidR="000839A4" w:rsidRPr="000839A4" w:rsidRDefault="000839A4" w:rsidP="000839A4">
      <w:pPr>
        <w:tabs>
          <w:tab w:val="left" w:pos="357"/>
        </w:tabs>
        <w:spacing w:before="0"/>
        <w:ind w:left="714" w:hanging="357"/>
        <w:rPr>
          <w:szCs w:val="24"/>
        </w:rPr>
      </w:pPr>
      <w:r w:rsidRPr="000839A4">
        <w:rPr>
          <w:szCs w:val="24"/>
        </w:rPr>
        <w:t>6.</w:t>
      </w:r>
      <w:r w:rsidRPr="000839A4">
        <w:rPr>
          <w:szCs w:val="24"/>
        </w:rPr>
        <w:tab/>
        <w:t xml:space="preserve">úhrady plateb za výkony pracovně-lékařských služeb a specifické zdravotní péče od zaměstnavatele, </w:t>
      </w:r>
    </w:p>
    <w:p w14:paraId="2D4F6CBE" w14:textId="77777777" w:rsidR="000839A4" w:rsidRPr="000839A4" w:rsidRDefault="000839A4" w:rsidP="000839A4">
      <w:pPr>
        <w:tabs>
          <w:tab w:val="left" w:pos="357"/>
        </w:tabs>
        <w:spacing w:before="0"/>
        <w:ind w:left="714" w:hanging="357"/>
        <w:rPr>
          <w:szCs w:val="24"/>
        </w:rPr>
      </w:pPr>
      <w:r w:rsidRPr="000839A4">
        <w:rPr>
          <w:szCs w:val="24"/>
        </w:rPr>
        <w:t>7.</w:t>
      </w:r>
      <w:r w:rsidRPr="000839A4">
        <w:rPr>
          <w:szCs w:val="24"/>
        </w:rPr>
        <w:tab/>
        <w:t xml:space="preserve">kauce podle právního předpisu upravujícího resortní, oborové, podnikové a další zdravotní pojišťovny, </w:t>
      </w:r>
    </w:p>
    <w:p w14:paraId="5B0B8665" w14:textId="77777777" w:rsidR="000839A4" w:rsidRPr="000839A4" w:rsidRDefault="000839A4" w:rsidP="000839A4">
      <w:pPr>
        <w:tabs>
          <w:tab w:val="left" w:pos="357"/>
        </w:tabs>
        <w:spacing w:before="0"/>
        <w:ind w:left="714" w:hanging="357"/>
        <w:rPr>
          <w:szCs w:val="24"/>
        </w:rPr>
      </w:pPr>
      <w:r w:rsidRPr="000839A4">
        <w:rPr>
          <w:szCs w:val="24"/>
        </w:rPr>
        <w:lastRenderedPageBreak/>
        <w:t>8.</w:t>
      </w:r>
      <w:r w:rsidRPr="000839A4">
        <w:rPr>
          <w:szCs w:val="24"/>
        </w:rPr>
        <w:tab/>
        <w:t xml:space="preserve">návratné finanční výpomoci ze státního rozpočtu na uhrazení nákladů poskytnutých hrazených služeb po vyčerpání prostředků rezervního fondu v případě platební neschopnosti Všeobecné zdravotní pojišťovny, </w:t>
      </w:r>
    </w:p>
    <w:p w14:paraId="642FB492" w14:textId="77777777" w:rsidR="000839A4" w:rsidRPr="000839A4" w:rsidRDefault="000839A4" w:rsidP="000839A4">
      <w:pPr>
        <w:tabs>
          <w:tab w:val="left" w:pos="357"/>
        </w:tabs>
        <w:spacing w:before="0"/>
        <w:ind w:left="714" w:hanging="357"/>
        <w:rPr>
          <w:szCs w:val="24"/>
        </w:rPr>
      </w:pPr>
      <w:r w:rsidRPr="000839A4">
        <w:rPr>
          <w:szCs w:val="24"/>
        </w:rPr>
        <w:t>9.</w:t>
      </w:r>
      <w:r w:rsidRPr="000839A4">
        <w:rPr>
          <w:szCs w:val="24"/>
        </w:rPr>
        <w:tab/>
        <w:t xml:space="preserve">účelové dotace ze státního rozpočtu, </w:t>
      </w:r>
    </w:p>
    <w:p w14:paraId="152F23C0" w14:textId="77777777" w:rsidR="000839A4" w:rsidRPr="000839A4" w:rsidRDefault="000839A4" w:rsidP="000839A4">
      <w:pPr>
        <w:tabs>
          <w:tab w:val="left" w:pos="357"/>
        </w:tabs>
        <w:spacing w:before="0"/>
        <w:ind w:left="714" w:hanging="357"/>
        <w:rPr>
          <w:szCs w:val="24"/>
        </w:rPr>
      </w:pPr>
      <w:r w:rsidRPr="000839A4">
        <w:rPr>
          <w:szCs w:val="24"/>
        </w:rPr>
        <w:t>10.</w:t>
      </w:r>
      <w:r w:rsidRPr="000839A4">
        <w:rPr>
          <w:szCs w:val="24"/>
        </w:rPr>
        <w:tab/>
        <w:t xml:space="preserve">pohledávky za uhrazené zdravotní služby poskytnuté v České republice cizím pojištěncům, kterými jsou fyzické osoby, za které byly zdravotní služby uhrazeny mezinárodní smlouvy upravující sociální zabezpečení, nebo podle přímo použitelného předpisu Evropské unie, </w:t>
      </w:r>
    </w:p>
    <w:p w14:paraId="4C7B4701" w14:textId="77777777" w:rsidR="000839A4" w:rsidRPr="000839A4" w:rsidRDefault="000839A4" w:rsidP="000839A4">
      <w:pPr>
        <w:tabs>
          <w:tab w:val="left" w:pos="357"/>
        </w:tabs>
        <w:spacing w:before="0"/>
        <w:ind w:left="357" w:hanging="357"/>
        <w:rPr>
          <w:szCs w:val="24"/>
        </w:rPr>
      </w:pPr>
      <w:r w:rsidRPr="000839A4">
        <w:rPr>
          <w:szCs w:val="24"/>
        </w:rPr>
        <w:t>f)</w:t>
      </w:r>
      <w:r w:rsidRPr="000839A4">
        <w:rPr>
          <w:szCs w:val="24"/>
        </w:rPr>
        <w:tab/>
        <w:t xml:space="preserve">příjmy společenství vlastníků jednotek z </w:t>
      </w:r>
    </w:p>
    <w:p w14:paraId="305FCB6E" w14:textId="77777777" w:rsidR="000839A4" w:rsidRPr="000839A4" w:rsidRDefault="000839A4" w:rsidP="000839A4">
      <w:pPr>
        <w:tabs>
          <w:tab w:val="left" w:pos="357"/>
        </w:tabs>
        <w:spacing w:before="0"/>
        <w:ind w:left="714" w:hanging="357"/>
        <w:rPr>
          <w:szCs w:val="24"/>
        </w:rPr>
      </w:pPr>
      <w:r w:rsidRPr="000839A4">
        <w:rPr>
          <w:szCs w:val="24"/>
        </w:rPr>
        <w:t>1.</w:t>
      </w:r>
      <w:r w:rsidRPr="000839A4">
        <w:rPr>
          <w:szCs w:val="24"/>
        </w:rPr>
        <w:tab/>
        <w:t xml:space="preserve">dotací, </w:t>
      </w:r>
    </w:p>
    <w:p w14:paraId="660BFB2C" w14:textId="77777777" w:rsidR="000839A4" w:rsidRPr="000839A4" w:rsidRDefault="000839A4" w:rsidP="000839A4">
      <w:pPr>
        <w:tabs>
          <w:tab w:val="left" w:pos="357"/>
        </w:tabs>
        <w:spacing w:before="0"/>
        <w:ind w:left="714" w:hanging="357"/>
        <w:rPr>
          <w:szCs w:val="24"/>
        </w:rPr>
      </w:pPr>
      <w:r w:rsidRPr="000839A4">
        <w:rPr>
          <w:szCs w:val="24"/>
        </w:rPr>
        <w:t>2.</w:t>
      </w:r>
      <w:r w:rsidRPr="000839A4">
        <w:rPr>
          <w:szCs w:val="24"/>
        </w:rPr>
        <w:tab/>
        <w:t xml:space="preserve">příspěvků vlastníků jednotek na správu domu a pozemku, </w:t>
      </w:r>
    </w:p>
    <w:p w14:paraId="74AFBA5F" w14:textId="77777777" w:rsidR="000839A4" w:rsidRPr="000839A4" w:rsidRDefault="000839A4" w:rsidP="000839A4">
      <w:pPr>
        <w:tabs>
          <w:tab w:val="left" w:pos="357"/>
        </w:tabs>
        <w:spacing w:before="0"/>
        <w:ind w:left="714" w:hanging="357"/>
        <w:rPr>
          <w:szCs w:val="24"/>
        </w:rPr>
      </w:pPr>
      <w:r w:rsidRPr="000839A4">
        <w:rPr>
          <w:szCs w:val="24"/>
        </w:rPr>
        <w:t>3.</w:t>
      </w:r>
      <w:r w:rsidRPr="000839A4">
        <w:rPr>
          <w:szCs w:val="24"/>
        </w:rPr>
        <w:tab/>
        <w:t>úhrad za plnění spojená s užíváním bytu a nebytových prostor,</w:t>
      </w:r>
    </w:p>
    <w:p w14:paraId="148DC43A" w14:textId="77777777" w:rsidR="000839A4" w:rsidRPr="000839A4" w:rsidRDefault="000839A4" w:rsidP="000839A4">
      <w:pPr>
        <w:tabs>
          <w:tab w:val="left" w:pos="357"/>
        </w:tabs>
        <w:spacing w:before="0"/>
        <w:ind w:left="714" w:hanging="357"/>
        <w:rPr>
          <w:strike/>
          <w:szCs w:val="24"/>
        </w:rPr>
      </w:pPr>
      <w:r w:rsidRPr="000839A4">
        <w:rPr>
          <w:szCs w:val="24"/>
        </w:rPr>
        <w:t>4.</w:t>
      </w:r>
      <w:r w:rsidRPr="000839A4">
        <w:rPr>
          <w:szCs w:val="24"/>
        </w:rPr>
        <w:tab/>
        <w:t>pojistného plnění z pojištění domu sjednaného společenstvím vlastníků jednotek</w:t>
      </w:r>
      <w:r w:rsidRPr="000839A4">
        <w:rPr>
          <w:strike/>
          <w:szCs w:val="24"/>
        </w:rPr>
        <w:t>,</w:t>
      </w:r>
    </w:p>
    <w:p w14:paraId="1DADA656" w14:textId="77777777" w:rsidR="000839A4" w:rsidRPr="000839A4" w:rsidRDefault="000839A4" w:rsidP="000839A4">
      <w:pPr>
        <w:tabs>
          <w:tab w:val="left" w:pos="357"/>
        </w:tabs>
        <w:spacing w:before="0"/>
        <w:ind w:left="357" w:hanging="357"/>
        <w:rPr>
          <w:b/>
          <w:szCs w:val="24"/>
        </w:rPr>
      </w:pPr>
      <w:r w:rsidRPr="000839A4">
        <w:rPr>
          <w:szCs w:val="24"/>
        </w:rPr>
        <w:t xml:space="preserve">g) </w:t>
      </w:r>
      <w:r w:rsidRPr="000839A4">
        <w:rPr>
          <w:szCs w:val="24"/>
        </w:rPr>
        <w:tab/>
        <w:t>příjem plynoucí z titulu přiměřeného zadostiučinění za vzniklou nemajetkovou újmu podle zákona upravujícího odpovědnost za škodu způsobenou při výkonu veřejné moci rozhodnutím nebo nesprávným úředním postupem</w:t>
      </w:r>
      <w:r w:rsidRPr="000839A4">
        <w:rPr>
          <w:strike/>
          <w:szCs w:val="24"/>
        </w:rPr>
        <w:t>.</w:t>
      </w:r>
      <w:r w:rsidRPr="000839A4">
        <w:rPr>
          <w:b/>
          <w:szCs w:val="24"/>
        </w:rPr>
        <w:t>,</w:t>
      </w:r>
    </w:p>
    <w:p w14:paraId="29D2ECBD" w14:textId="77777777" w:rsidR="000839A4" w:rsidRPr="000839A4" w:rsidRDefault="000839A4" w:rsidP="000839A4">
      <w:pPr>
        <w:tabs>
          <w:tab w:val="left" w:pos="357"/>
        </w:tabs>
        <w:spacing w:before="0"/>
        <w:ind w:left="357" w:hanging="357"/>
        <w:rPr>
          <w:b/>
          <w:noProof/>
          <w:szCs w:val="24"/>
          <w:lang w:val="en-US"/>
        </w:rPr>
      </w:pPr>
      <w:r w:rsidRPr="000839A4">
        <w:rPr>
          <w:b/>
          <w:szCs w:val="24"/>
          <w:lang w:val="en-US"/>
        </w:rPr>
        <w:t>h)</w:t>
      </w:r>
      <w:r w:rsidRPr="000839A4">
        <w:rPr>
          <w:b/>
          <w:szCs w:val="24"/>
          <w:lang w:val="en-US"/>
        </w:rPr>
        <w:tab/>
      </w:r>
      <w:proofErr w:type="gramStart"/>
      <w:r w:rsidRPr="000839A4">
        <w:rPr>
          <w:b/>
          <w:szCs w:val="24"/>
        </w:rPr>
        <w:t>úvěry</w:t>
      </w:r>
      <w:proofErr w:type="gramEnd"/>
      <w:r w:rsidRPr="000839A4">
        <w:rPr>
          <w:b/>
          <w:noProof/>
          <w:szCs w:val="24"/>
          <w:lang w:val="en-US"/>
        </w:rPr>
        <w:t xml:space="preserve"> nebo zápůjčky u poplatníka s hotovostním základem daně s výjimkou</w:t>
      </w:r>
    </w:p>
    <w:p w14:paraId="1BD0CAAE" w14:textId="77777777" w:rsidR="000839A4" w:rsidRPr="000839A4" w:rsidRDefault="000839A4" w:rsidP="000839A4">
      <w:pPr>
        <w:numPr>
          <w:ilvl w:val="4"/>
          <w:numId w:val="1"/>
        </w:numPr>
        <w:spacing w:before="0"/>
        <w:jc w:val="left"/>
        <w:outlineLvl w:val="8"/>
        <w:rPr>
          <w:b/>
        </w:rPr>
      </w:pPr>
      <w:r w:rsidRPr="000839A4">
        <w:rPr>
          <w:b/>
        </w:rPr>
        <w:t>příjmu, který věřitel nabyl ze splacení pohledávky ze zápůjčky nebo úvěru nabyté úplatným postoupením, a to ve výši rovnající se rozdílu mezi příjmem ze splacení této pohledávky a cenou, za kterou byla pohledávka postoupena,</w:t>
      </w:r>
    </w:p>
    <w:p w14:paraId="33FC3BA5" w14:textId="77777777" w:rsidR="000839A4" w:rsidRPr="000839A4" w:rsidRDefault="000839A4" w:rsidP="000839A4">
      <w:pPr>
        <w:numPr>
          <w:ilvl w:val="4"/>
          <w:numId w:val="1"/>
        </w:numPr>
        <w:spacing w:before="0"/>
        <w:jc w:val="left"/>
        <w:outlineLvl w:val="8"/>
        <w:rPr>
          <w:b/>
        </w:rPr>
      </w:pPr>
      <w:r w:rsidRPr="000839A4">
        <w:rPr>
          <w:b/>
        </w:rPr>
        <w:t>příjmu z eskontního úvěru ze směnky, kterou je hrazena pohledávka.</w:t>
      </w:r>
    </w:p>
    <w:p w14:paraId="6E88F8E3" w14:textId="77777777" w:rsidR="000839A4" w:rsidRPr="000839A4" w:rsidRDefault="000839A4" w:rsidP="000839A4">
      <w:pPr>
        <w:keepNext/>
        <w:ind w:firstLine="0"/>
        <w:jc w:val="center"/>
        <w:rPr>
          <w:szCs w:val="24"/>
        </w:rPr>
      </w:pPr>
      <w:r w:rsidRPr="000839A4">
        <w:rPr>
          <w:szCs w:val="24"/>
        </w:rPr>
        <w:t>§ 18a</w:t>
      </w:r>
    </w:p>
    <w:p w14:paraId="17C11567" w14:textId="77777777" w:rsidR="000839A4" w:rsidRPr="000839A4" w:rsidRDefault="000839A4" w:rsidP="000839A4">
      <w:pPr>
        <w:keepNext/>
        <w:ind w:firstLine="0"/>
        <w:jc w:val="center"/>
        <w:rPr>
          <w:b/>
          <w:szCs w:val="24"/>
        </w:rPr>
      </w:pPr>
      <w:r w:rsidRPr="000839A4">
        <w:rPr>
          <w:b/>
          <w:szCs w:val="24"/>
        </w:rPr>
        <w:t xml:space="preserve">Zvláštní ustanovení o předmětu daně veřejně prospěšných poplatníků </w:t>
      </w:r>
    </w:p>
    <w:p w14:paraId="655ECA7C" w14:textId="77777777" w:rsidR="000839A4" w:rsidRPr="000839A4" w:rsidRDefault="000839A4" w:rsidP="000839A4">
      <w:pPr>
        <w:tabs>
          <w:tab w:val="left" w:pos="851"/>
        </w:tabs>
        <w:spacing w:before="120" w:after="120"/>
        <w:ind w:firstLine="427"/>
        <w:outlineLvl w:val="6"/>
      </w:pPr>
      <w:r w:rsidRPr="000839A4">
        <w:t xml:space="preserve">(1) U veřejně prospěšného poplatníka nejsou předmětem daně </w:t>
      </w:r>
    </w:p>
    <w:p w14:paraId="008AEE7D"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 xml:space="preserve">příjmy z nepodnikatelské činnosti </w:t>
      </w:r>
      <w:r w:rsidRPr="000839A4">
        <w:rPr>
          <w:b/>
          <w:szCs w:val="24"/>
        </w:rPr>
        <w:t>za zdaňovací období</w:t>
      </w:r>
      <w:r w:rsidRPr="000839A4">
        <w:rPr>
          <w:szCs w:val="24"/>
        </w:rPr>
        <w:t xml:space="preserve"> za podmínky, že výdaje (náklady) vynaložené podle tohoto zákona v souvislosti s prováděním této činnosti jsou vyšší</w:t>
      </w:r>
      <w:r w:rsidRPr="000839A4">
        <w:rPr>
          <w:b/>
          <w:noProof/>
          <w:szCs w:val="24"/>
        </w:rPr>
        <w:t>; pro účely tohoto ustanovení se posuzují odděleně příjmy plynoucí od členů poplatníka, členů těchto členů, spojených osob s poplatníkem nebo jeho členy a členů spojených osob s poplatníkem, pokud jsou jim zboží nebo služba poskytovány za nižší ceny než ostatním poplatníkům a tyto ceny jsou nižší než výdaje na dané zboží nebo službu, a výdaje s nimi související a ostatní příjmy z nepodnikatelské činnosti a výdaje s nimi související</w:t>
      </w:r>
      <w:r w:rsidRPr="000839A4">
        <w:rPr>
          <w:szCs w:val="24"/>
        </w:rPr>
        <w:t xml:space="preserve">, </w:t>
      </w:r>
    </w:p>
    <w:p w14:paraId="6CEBD30D"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 xml:space="preserve">dotace, příspěvek, podpora nebo jiná obdobná plnění z veřejných rozpočtů, </w:t>
      </w:r>
    </w:p>
    <w:p w14:paraId="2E0C88EB" w14:textId="77777777" w:rsidR="000839A4" w:rsidRPr="000839A4" w:rsidRDefault="000839A4" w:rsidP="000839A4">
      <w:pPr>
        <w:tabs>
          <w:tab w:val="left" w:pos="357"/>
        </w:tabs>
        <w:spacing w:before="0"/>
        <w:ind w:left="357" w:hanging="357"/>
        <w:rPr>
          <w:szCs w:val="24"/>
        </w:rPr>
      </w:pPr>
      <w:r w:rsidRPr="000839A4">
        <w:rPr>
          <w:szCs w:val="24"/>
        </w:rPr>
        <w:t>c)</w:t>
      </w:r>
      <w:r w:rsidRPr="000839A4">
        <w:rPr>
          <w:szCs w:val="24"/>
        </w:rPr>
        <w:tab/>
        <w:t xml:space="preserve"> podpora od Vinařského fondu, </w:t>
      </w:r>
    </w:p>
    <w:p w14:paraId="31ED73AB" w14:textId="77777777" w:rsidR="000839A4" w:rsidRPr="000839A4" w:rsidRDefault="000839A4" w:rsidP="000839A4">
      <w:pPr>
        <w:tabs>
          <w:tab w:val="left" w:pos="357"/>
        </w:tabs>
        <w:spacing w:before="0"/>
        <w:ind w:left="357" w:hanging="357"/>
        <w:rPr>
          <w:szCs w:val="24"/>
        </w:rPr>
      </w:pPr>
      <w:r w:rsidRPr="000839A4">
        <w:rPr>
          <w:szCs w:val="24"/>
        </w:rPr>
        <w:t>d)</w:t>
      </w:r>
      <w:r w:rsidRPr="000839A4">
        <w:rPr>
          <w:szCs w:val="24"/>
        </w:rPr>
        <w:tab/>
        <w:t xml:space="preserve">výnos daně, poplatku nebo jiného obdobného peněžitého plnění, které plynou obci nebo kraji, </w:t>
      </w:r>
    </w:p>
    <w:p w14:paraId="7D7B27DB" w14:textId="77777777" w:rsidR="000839A4" w:rsidRPr="000839A4" w:rsidRDefault="000839A4" w:rsidP="000839A4">
      <w:pPr>
        <w:tabs>
          <w:tab w:val="left" w:pos="357"/>
        </w:tabs>
        <w:spacing w:before="0"/>
        <w:ind w:left="357" w:hanging="357"/>
        <w:rPr>
          <w:szCs w:val="24"/>
        </w:rPr>
      </w:pPr>
      <w:r w:rsidRPr="000839A4">
        <w:rPr>
          <w:szCs w:val="24"/>
        </w:rPr>
        <w:t>e)</w:t>
      </w:r>
      <w:r w:rsidRPr="000839A4">
        <w:rPr>
          <w:szCs w:val="24"/>
        </w:rPr>
        <w:tab/>
        <w:t xml:space="preserve">úplata, která je příjmem státního rozpočtu za </w:t>
      </w:r>
    </w:p>
    <w:p w14:paraId="78B4FA5C" w14:textId="77777777" w:rsidR="000839A4" w:rsidRPr="000839A4" w:rsidRDefault="000839A4" w:rsidP="000839A4">
      <w:pPr>
        <w:tabs>
          <w:tab w:val="left" w:pos="357"/>
        </w:tabs>
        <w:spacing w:before="0"/>
        <w:ind w:left="714" w:hanging="357"/>
        <w:rPr>
          <w:szCs w:val="24"/>
        </w:rPr>
      </w:pPr>
      <w:r w:rsidRPr="000839A4">
        <w:rPr>
          <w:szCs w:val="24"/>
        </w:rPr>
        <w:t>1.</w:t>
      </w:r>
      <w:r w:rsidRPr="000839A4">
        <w:rPr>
          <w:szCs w:val="24"/>
        </w:rPr>
        <w:tab/>
        <w:t xml:space="preserve">převod nebo užívání státního majetku mezi organizačními složkami státu a státními organizacemi, </w:t>
      </w:r>
    </w:p>
    <w:p w14:paraId="51F59AB9" w14:textId="77777777" w:rsidR="000839A4" w:rsidRPr="000839A4" w:rsidRDefault="000839A4" w:rsidP="000839A4">
      <w:pPr>
        <w:tabs>
          <w:tab w:val="left" w:pos="357"/>
        </w:tabs>
        <w:spacing w:before="0"/>
        <w:ind w:left="714" w:hanging="357"/>
        <w:rPr>
          <w:szCs w:val="24"/>
        </w:rPr>
      </w:pPr>
      <w:r w:rsidRPr="000839A4">
        <w:rPr>
          <w:szCs w:val="24"/>
        </w:rPr>
        <w:t>2.</w:t>
      </w:r>
      <w:r w:rsidRPr="000839A4">
        <w:rPr>
          <w:szCs w:val="24"/>
        </w:rPr>
        <w:tab/>
        <w:t xml:space="preserve">nájem a prodej státního majetku, </w:t>
      </w:r>
    </w:p>
    <w:p w14:paraId="563D9C6C" w14:textId="77777777" w:rsidR="000839A4" w:rsidRPr="000839A4" w:rsidRDefault="000839A4" w:rsidP="000839A4">
      <w:pPr>
        <w:tabs>
          <w:tab w:val="left" w:pos="357"/>
        </w:tabs>
        <w:spacing w:before="0"/>
        <w:ind w:left="357" w:hanging="357"/>
        <w:rPr>
          <w:szCs w:val="24"/>
        </w:rPr>
      </w:pPr>
      <w:r w:rsidRPr="000839A4">
        <w:rPr>
          <w:szCs w:val="24"/>
        </w:rPr>
        <w:t>f)</w:t>
      </w:r>
      <w:r w:rsidRPr="000839A4">
        <w:rPr>
          <w:szCs w:val="24"/>
        </w:rPr>
        <w:tab/>
        <w:t xml:space="preserve">příjmy z bezúplatného nabytí věci podle zákona o majetkovém vyrovnání s církvemi a náboženskými společnostmi. </w:t>
      </w:r>
    </w:p>
    <w:p w14:paraId="14A6C6AF" w14:textId="77777777" w:rsidR="000839A4" w:rsidRPr="000839A4" w:rsidRDefault="000839A4" w:rsidP="000839A4">
      <w:pPr>
        <w:tabs>
          <w:tab w:val="left" w:pos="851"/>
        </w:tabs>
        <w:spacing w:before="120" w:after="120"/>
        <w:ind w:firstLine="427"/>
        <w:outlineLvl w:val="6"/>
      </w:pPr>
      <w:r w:rsidRPr="000839A4">
        <w:t xml:space="preserve">(2) U veřejně prospěšného poplatníka je předmětem daně vždy příjem </w:t>
      </w:r>
    </w:p>
    <w:p w14:paraId="5D20ED2E"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 xml:space="preserve">z reklamy, </w:t>
      </w:r>
    </w:p>
    <w:p w14:paraId="5337F419"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 xml:space="preserve">z členského příspěvku, </w:t>
      </w:r>
    </w:p>
    <w:p w14:paraId="249C3CA0" w14:textId="77777777" w:rsidR="000839A4" w:rsidRPr="000839A4" w:rsidRDefault="000839A4" w:rsidP="000839A4">
      <w:pPr>
        <w:tabs>
          <w:tab w:val="left" w:pos="357"/>
        </w:tabs>
        <w:spacing w:before="0"/>
        <w:ind w:left="357" w:hanging="357"/>
        <w:rPr>
          <w:szCs w:val="24"/>
        </w:rPr>
      </w:pPr>
      <w:r w:rsidRPr="000839A4">
        <w:rPr>
          <w:szCs w:val="24"/>
        </w:rPr>
        <w:t>c)</w:t>
      </w:r>
      <w:r w:rsidRPr="000839A4">
        <w:rPr>
          <w:szCs w:val="24"/>
        </w:rPr>
        <w:tab/>
        <w:t xml:space="preserve">v podobě úroku, </w:t>
      </w:r>
    </w:p>
    <w:p w14:paraId="18CE7BED" w14:textId="77777777" w:rsidR="000839A4" w:rsidRPr="000839A4" w:rsidRDefault="000839A4" w:rsidP="000839A4">
      <w:pPr>
        <w:tabs>
          <w:tab w:val="left" w:pos="357"/>
        </w:tabs>
        <w:spacing w:before="0"/>
        <w:ind w:left="357" w:hanging="357"/>
        <w:rPr>
          <w:szCs w:val="24"/>
        </w:rPr>
      </w:pPr>
      <w:r w:rsidRPr="000839A4">
        <w:rPr>
          <w:szCs w:val="24"/>
        </w:rPr>
        <w:lastRenderedPageBreak/>
        <w:t>d)</w:t>
      </w:r>
      <w:r w:rsidRPr="000839A4">
        <w:rPr>
          <w:szCs w:val="24"/>
        </w:rPr>
        <w:tab/>
        <w:t xml:space="preserve">z nájemného s výjimkou nájmu státního majetku. </w:t>
      </w:r>
    </w:p>
    <w:p w14:paraId="4474F69C" w14:textId="77777777" w:rsidR="000839A4" w:rsidRPr="000839A4" w:rsidRDefault="000839A4" w:rsidP="000839A4">
      <w:pPr>
        <w:tabs>
          <w:tab w:val="left" w:pos="851"/>
        </w:tabs>
        <w:spacing w:before="120" w:after="120"/>
        <w:ind w:firstLine="427"/>
        <w:outlineLvl w:val="6"/>
        <w:rPr>
          <w:strike/>
        </w:rPr>
      </w:pPr>
      <w:r w:rsidRPr="000839A4">
        <w:rPr>
          <w:strike/>
        </w:rPr>
        <w:t xml:space="preserve">(3) U veřejně prospěšného poplatníka se splnění podmínky uvedené v odstavci 1 písm. a) posuzuje za celé zdaňovací období podle jednotlivých druhů činností. Pokud jednotlivá činnost v rámci téhož druhu činnosti je prováděna jak za ceny, kdy dosažené příjmy jsou nižší nebo rovny než související výdaje (náklady) vynaložené na jejich dosažení, zajištění a udržení, tak za ceny, kdy dosažené příjmy jsou vyšší než související výdaje (náklady) vynaložené na jejich dosažení, zajištění a udržení, jsou předmětem daně příjmy z těch jednotlivých činností, které jsou vykonávány za ceny, kdy příjmy převyšují související výdaje. </w:t>
      </w:r>
    </w:p>
    <w:p w14:paraId="56258B66" w14:textId="77777777" w:rsidR="000839A4" w:rsidRPr="000839A4" w:rsidRDefault="000839A4" w:rsidP="000839A4">
      <w:pPr>
        <w:tabs>
          <w:tab w:val="left" w:pos="851"/>
        </w:tabs>
        <w:spacing w:before="120" w:after="120"/>
        <w:ind w:firstLine="427"/>
        <w:outlineLvl w:val="6"/>
        <w:rPr>
          <w:strike/>
        </w:rPr>
      </w:pPr>
      <w:r w:rsidRPr="000839A4">
        <w:rPr>
          <w:strike/>
        </w:rPr>
        <w:t xml:space="preserve">(4) Veřejně prospěšný poplatník je povinen vést účetnictví tak, aby nejpozději ke dni účetní závěrky byly vedeny odděleně příjmy, které jsou předmětem daně, od příjmů, které předmětem daně nejsou, nebo předmětem daně jsou, ale jsou od daně osvobozeny. Obdobně to platí i pro vedení výdajů (nákladů). Pokud tato povinnost nemůže být splněna organizační složkou státu nebo obcí u jejich jednorázových rozpočtových příjmů, učiní se tak mimoúčetně v daňovém přiznání. </w:t>
      </w:r>
    </w:p>
    <w:p w14:paraId="7961A1E4" w14:textId="77777777" w:rsidR="000839A4" w:rsidRPr="000839A4" w:rsidRDefault="000839A4" w:rsidP="000839A4">
      <w:pPr>
        <w:tabs>
          <w:tab w:val="left" w:pos="851"/>
        </w:tabs>
        <w:spacing w:before="120" w:after="120"/>
        <w:ind w:firstLine="427"/>
        <w:outlineLvl w:val="6"/>
        <w:rPr>
          <w:b/>
        </w:rPr>
      </w:pPr>
      <w:r w:rsidRPr="000839A4">
        <w:rPr>
          <w:b/>
        </w:rPr>
        <w:t xml:space="preserve">(3) Veřejně prospěšný poplatník s akruálním základem daně pro účely určení základu daně eviduje příjmy, které nejsou předmětem daně nebo jsou od daně osvobozené, a s nimi související výdaje odděleně od ostatních příjmů a s nimi souvisejících výdajů. </w:t>
      </w:r>
    </w:p>
    <w:p w14:paraId="318C9FDD" w14:textId="77777777" w:rsidR="000839A4" w:rsidRPr="000839A4" w:rsidRDefault="000839A4" w:rsidP="000839A4">
      <w:pPr>
        <w:tabs>
          <w:tab w:val="left" w:pos="851"/>
        </w:tabs>
        <w:spacing w:before="120" w:after="120"/>
        <w:ind w:firstLine="427"/>
        <w:outlineLvl w:val="6"/>
        <w:rPr>
          <w:b/>
        </w:rPr>
      </w:pPr>
      <w:r w:rsidRPr="000839A4">
        <w:rPr>
          <w:b/>
        </w:rPr>
        <w:t xml:space="preserve">(4) Veřejně prospěšný poplatník s hotovostním základem daně prokáže </w:t>
      </w:r>
    </w:p>
    <w:p w14:paraId="7ADDBAD2" w14:textId="77777777" w:rsidR="000839A4" w:rsidRPr="000839A4" w:rsidRDefault="000839A4" w:rsidP="000839A4">
      <w:pPr>
        <w:tabs>
          <w:tab w:val="left" w:pos="357"/>
        </w:tabs>
        <w:spacing w:before="0"/>
        <w:ind w:left="357" w:hanging="357"/>
        <w:rPr>
          <w:b/>
          <w:szCs w:val="24"/>
        </w:rPr>
      </w:pPr>
      <w:r w:rsidRPr="000839A4">
        <w:rPr>
          <w:b/>
          <w:szCs w:val="24"/>
        </w:rPr>
        <w:t xml:space="preserve">a) </w:t>
      </w:r>
      <w:r w:rsidRPr="000839A4">
        <w:rPr>
          <w:b/>
          <w:szCs w:val="24"/>
        </w:rPr>
        <w:tab/>
        <w:t xml:space="preserve">výši výdajů souvisejících s příjmy, které jsou předmětem daně a nejsou od daně osvobozené, a výdajů souvisejících s příjmy, které nejsou předmětem daně nebo jsou od daně osvobozené, </w:t>
      </w:r>
    </w:p>
    <w:p w14:paraId="27550CD1" w14:textId="77777777" w:rsidR="000839A4" w:rsidRPr="000839A4" w:rsidRDefault="000839A4" w:rsidP="000839A4">
      <w:pPr>
        <w:tabs>
          <w:tab w:val="left" w:pos="357"/>
        </w:tabs>
        <w:spacing w:before="0"/>
        <w:ind w:left="357" w:hanging="357"/>
        <w:rPr>
          <w:b/>
          <w:szCs w:val="24"/>
        </w:rPr>
      </w:pPr>
      <w:r w:rsidRPr="000839A4">
        <w:rPr>
          <w:b/>
          <w:szCs w:val="24"/>
        </w:rPr>
        <w:t>b)</w:t>
      </w:r>
      <w:r w:rsidRPr="000839A4">
        <w:rPr>
          <w:b/>
          <w:szCs w:val="24"/>
        </w:rPr>
        <w:tab/>
        <w:t xml:space="preserve">skutečnost, že má pouze příjmy, které nejsou předmětem daně, příjmy od daně osvobozené nebo příjmy, z nich je daň vybírána srážkou podle zvláštní sazby daně. </w:t>
      </w:r>
    </w:p>
    <w:p w14:paraId="04D97197" w14:textId="77777777" w:rsidR="000839A4" w:rsidRPr="000839A4" w:rsidRDefault="000839A4" w:rsidP="000839A4">
      <w:pPr>
        <w:tabs>
          <w:tab w:val="left" w:pos="851"/>
        </w:tabs>
        <w:spacing w:before="120" w:after="120"/>
        <w:ind w:firstLine="427"/>
        <w:outlineLvl w:val="6"/>
      </w:pPr>
      <w:r w:rsidRPr="000839A4">
        <w:t xml:space="preserve">(5) S výjimkou příjmů z investičních dotací jsou předmětem daně všechny příjmy u veřejně prospěšného poplatníka, který je </w:t>
      </w:r>
    </w:p>
    <w:p w14:paraId="24E76228"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 xml:space="preserve">veřejnou vysokou školou, </w:t>
      </w:r>
    </w:p>
    <w:p w14:paraId="5BAD6A20"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 xml:space="preserve">veřejnou výzkumnou institucí, </w:t>
      </w:r>
    </w:p>
    <w:p w14:paraId="26CD4669" w14:textId="77777777" w:rsidR="000839A4" w:rsidRPr="000839A4" w:rsidRDefault="000839A4" w:rsidP="000839A4">
      <w:pPr>
        <w:tabs>
          <w:tab w:val="left" w:pos="357"/>
        </w:tabs>
        <w:spacing w:before="0"/>
        <w:ind w:left="357" w:hanging="357"/>
        <w:rPr>
          <w:szCs w:val="24"/>
        </w:rPr>
      </w:pPr>
      <w:r w:rsidRPr="000839A4">
        <w:rPr>
          <w:szCs w:val="24"/>
        </w:rPr>
        <w:t>c)</w:t>
      </w:r>
      <w:r w:rsidRPr="000839A4">
        <w:rPr>
          <w:szCs w:val="24"/>
        </w:rPr>
        <w:tab/>
        <w:t xml:space="preserve">poskytovatelem zdravotních služeb, který má oprávnění k poskytování zdravotních služeb podle zákona upravujícího zdravotní služby, </w:t>
      </w:r>
    </w:p>
    <w:p w14:paraId="2C12FC7E" w14:textId="77777777" w:rsidR="000839A4" w:rsidRPr="000839A4" w:rsidRDefault="000839A4" w:rsidP="000839A4">
      <w:pPr>
        <w:tabs>
          <w:tab w:val="left" w:pos="357"/>
        </w:tabs>
        <w:spacing w:before="0"/>
        <w:ind w:left="357" w:hanging="357"/>
        <w:rPr>
          <w:szCs w:val="24"/>
        </w:rPr>
      </w:pPr>
      <w:r w:rsidRPr="000839A4">
        <w:rPr>
          <w:szCs w:val="24"/>
        </w:rPr>
        <w:t>d)</w:t>
      </w:r>
      <w:r w:rsidRPr="000839A4">
        <w:rPr>
          <w:szCs w:val="24"/>
        </w:rPr>
        <w:tab/>
        <w:t xml:space="preserve">obecně prospěšnou společností, </w:t>
      </w:r>
    </w:p>
    <w:p w14:paraId="6F6D3926" w14:textId="77777777" w:rsidR="000839A4" w:rsidRPr="000839A4" w:rsidRDefault="000839A4" w:rsidP="000839A4">
      <w:pPr>
        <w:tabs>
          <w:tab w:val="left" w:pos="357"/>
        </w:tabs>
        <w:spacing w:before="0"/>
        <w:ind w:left="357" w:hanging="357"/>
        <w:rPr>
          <w:szCs w:val="24"/>
        </w:rPr>
      </w:pPr>
      <w:r w:rsidRPr="000839A4">
        <w:rPr>
          <w:szCs w:val="24"/>
        </w:rPr>
        <w:t>e)</w:t>
      </w:r>
      <w:r w:rsidRPr="000839A4">
        <w:rPr>
          <w:szCs w:val="24"/>
        </w:rPr>
        <w:tab/>
        <w:t xml:space="preserve">ústavem. </w:t>
      </w:r>
    </w:p>
    <w:p w14:paraId="4C365CAB" w14:textId="77777777" w:rsidR="000839A4" w:rsidRPr="000839A4" w:rsidRDefault="000839A4" w:rsidP="000839A4">
      <w:pPr>
        <w:keepNext/>
        <w:ind w:firstLine="0"/>
        <w:jc w:val="center"/>
        <w:rPr>
          <w:szCs w:val="24"/>
        </w:rPr>
      </w:pPr>
      <w:r w:rsidRPr="000839A4">
        <w:rPr>
          <w:szCs w:val="24"/>
        </w:rPr>
        <w:t>§ 18b</w:t>
      </w:r>
    </w:p>
    <w:p w14:paraId="5C8DDB52" w14:textId="77777777" w:rsidR="000839A4" w:rsidRPr="000839A4" w:rsidRDefault="000839A4" w:rsidP="000839A4">
      <w:pPr>
        <w:keepNext/>
        <w:ind w:firstLine="0"/>
        <w:jc w:val="center"/>
        <w:rPr>
          <w:b/>
          <w:szCs w:val="24"/>
        </w:rPr>
      </w:pPr>
      <w:r w:rsidRPr="000839A4">
        <w:rPr>
          <w:b/>
          <w:szCs w:val="24"/>
        </w:rPr>
        <w:t xml:space="preserve">Zvláštní ustanovení o předmětu daně osobních obchodních společností a jejich společníků </w:t>
      </w:r>
    </w:p>
    <w:p w14:paraId="4923B267" w14:textId="77777777" w:rsidR="000839A4" w:rsidRPr="000839A4" w:rsidRDefault="000839A4" w:rsidP="000839A4">
      <w:pPr>
        <w:tabs>
          <w:tab w:val="left" w:pos="851"/>
        </w:tabs>
        <w:spacing w:before="120" w:after="120"/>
        <w:ind w:firstLine="427"/>
        <w:outlineLvl w:val="6"/>
      </w:pPr>
      <w:r w:rsidRPr="000839A4">
        <w:t xml:space="preserve">(1) U veřejné obchodní společnosti jsou předmětem daně pouze příjmy, z nichž je daň vybírána zvláštní sazbou daně; to neplatí pro účely stanovení základu daně z příjmů fyzických nebo právnických osob společníka veřejné obchodní společnosti. </w:t>
      </w:r>
    </w:p>
    <w:p w14:paraId="797FFC8B" w14:textId="77777777" w:rsidR="000839A4" w:rsidRPr="000839A4" w:rsidRDefault="000839A4" w:rsidP="000839A4">
      <w:pPr>
        <w:tabs>
          <w:tab w:val="left" w:pos="851"/>
        </w:tabs>
        <w:spacing w:before="120" w:after="120"/>
        <w:ind w:firstLine="427"/>
        <w:outlineLvl w:val="6"/>
      </w:pPr>
      <w:r w:rsidRPr="000839A4">
        <w:t xml:space="preserve">(2) U společníka veřejné obchodní společnosti nebo komplementáře komanditní společnosti jsou předmětem daně také příjmy veřejné obchodní společnosti nebo komanditní společnosti. </w:t>
      </w:r>
    </w:p>
    <w:p w14:paraId="3E086C9D" w14:textId="77777777" w:rsidR="000839A4" w:rsidRPr="000839A4" w:rsidRDefault="000839A4" w:rsidP="000839A4">
      <w:pPr>
        <w:keepNext/>
        <w:ind w:firstLine="0"/>
        <w:jc w:val="center"/>
        <w:rPr>
          <w:szCs w:val="24"/>
        </w:rPr>
      </w:pPr>
      <w:r w:rsidRPr="000839A4">
        <w:rPr>
          <w:szCs w:val="24"/>
        </w:rPr>
        <w:lastRenderedPageBreak/>
        <w:t>§ 19</w:t>
      </w:r>
    </w:p>
    <w:p w14:paraId="643B9049" w14:textId="77777777" w:rsidR="000839A4" w:rsidRPr="000839A4" w:rsidRDefault="000839A4" w:rsidP="000839A4">
      <w:pPr>
        <w:keepNext/>
        <w:ind w:firstLine="0"/>
        <w:jc w:val="center"/>
        <w:rPr>
          <w:b/>
          <w:szCs w:val="24"/>
        </w:rPr>
      </w:pPr>
      <w:r w:rsidRPr="000839A4">
        <w:rPr>
          <w:b/>
          <w:szCs w:val="24"/>
        </w:rPr>
        <w:t xml:space="preserve">Osvobození od daně </w:t>
      </w:r>
    </w:p>
    <w:p w14:paraId="5C1B24C6" w14:textId="77777777" w:rsidR="000839A4" w:rsidRPr="000839A4" w:rsidRDefault="000839A4" w:rsidP="000839A4">
      <w:pPr>
        <w:tabs>
          <w:tab w:val="left" w:pos="851"/>
        </w:tabs>
        <w:spacing w:before="120" w:after="120"/>
        <w:ind w:firstLine="427"/>
        <w:outlineLvl w:val="6"/>
      </w:pPr>
      <w:r w:rsidRPr="000839A4">
        <w:t xml:space="preserve">(1) Od daně jsou osvobozeny </w:t>
      </w:r>
    </w:p>
    <w:p w14:paraId="185E9B1F"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 xml:space="preserve">členský příspěvek podle stanov, statutu, zřizovacích nebo zakladatelských listin, přijatý </w:t>
      </w:r>
    </w:p>
    <w:p w14:paraId="0071A9EA" w14:textId="77777777" w:rsidR="000839A4" w:rsidRPr="000839A4" w:rsidRDefault="000839A4" w:rsidP="000839A4">
      <w:pPr>
        <w:tabs>
          <w:tab w:val="left" w:pos="357"/>
        </w:tabs>
        <w:spacing w:before="0"/>
        <w:ind w:left="714" w:hanging="357"/>
        <w:rPr>
          <w:szCs w:val="24"/>
        </w:rPr>
      </w:pPr>
      <w:r w:rsidRPr="000839A4">
        <w:rPr>
          <w:szCs w:val="24"/>
        </w:rPr>
        <w:t>1.</w:t>
      </w:r>
      <w:r w:rsidRPr="000839A4">
        <w:rPr>
          <w:szCs w:val="24"/>
        </w:rPr>
        <w:tab/>
        <w:t xml:space="preserve">zájmovým sdružením právnických osob, u něhož členství není nutnou podmínkou k provozování předmětu podnikání nebo výkonu činnosti, </w:t>
      </w:r>
    </w:p>
    <w:p w14:paraId="23902B95" w14:textId="77777777" w:rsidR="000839A4" w:rsidRPr="000839A4" w:rsidRDefault="000839A4" w:rsidP="000839A4">
      <w:pPr>
        <w:tabs>
          <w:tab w:val="left" w:pos="357"/>
        </w:tabs>
        <w:spacing w:before="0"/>
        <w:ind w:left="714" w:hanging="357"/>
        <w:rPr>
          <w:szCs w:val="24"/>
        </w:rPr>
      </w:pPr>
      <w:r w:rsidRPr="000839A4">
        <w:rPr>
          <w:szCs w:val="24"/>
        </w:rPr>
        <w:t>2.</w:t>
      </w:r>
      <w:r w:rsidRPr="000839A4">
        <w:rPr>
          <w:szCs w:val="24"/>
        </w:rPr>
        <w:tab/>
        <w:t xml:space="preserve">spolkem, který není organizací zaměstnavatelů, nebo evropskou politickou nadací, </w:t>
      </w:r>
    </w:p>
    <w:p w14:paraId="6CE4C819" w14:textId="77777777" w:rsidR="000839A4" w:rsidRPr="000839A4" w:rsidRDefault="000839A4" w:rsidP="000839A4">
      <w:pPr>
        <w:tabs>
          <w:tab w:val="left" w:pos="357"/>
        </w:tabs>
        <w:spacing w:before="0"/>
        <w:ind w:left="714" w:hanging="357"/>
        <w:rPr>
          <w:szCs w:val="24"/>
        </w:rPr>
      </w:pPr>
      <w:r w:rsidRPr="000839A4">
        <w:rPr>
          <w:szCs w:val="24"/>
        </w:rPr>
        <w:t>3.</w:t>
      </w:r>
      <w:r w:rsidRPr="000839A4">
        <w:rPr>
          <w:szCs w:val="24"/>
        </w:rPr>
        <w:tab/>
        <w:t xml:space="preserve">odborovou organizací, </w:t>
      </w:r>
    </w:p>
    <w:p w14:paraId="1FDD4BAD" w14:textId="77777777" w:rsidR="000839A4" w:rsidRPr="000839A4" w:rsidRDefault="000839A4" w:rsidP="000839A4">
      <w:pPr>
        <w:tabs>
          <w:tab w:val="left" w:pos="357"/>
        </w:tabs>
        <w:spacing w:before="0"/>
        <w:ind w:left="714" w:hanging="357"/>
        <w:rPr>
          <w:szCs w:val="24"/>
        </w:rPr>
      </w:pPr>
      <w:r w:rsidRPr="000839A4">
        <w:rPr>
          <w:szCs w:val="24"/>
        </w:rPr>
        <w:t>4.</w:t>
      </w:r>
      <w:r w:rsidRPr="000839A4">
        <w:rPr>
          <w:szCs w:val="24"/>
        </w:rPr>
        <w:tab/>
        <w:t xml:space="preserve">politickou stranou, politickým hnutím nebo evropskou politickou stranou, nebo </w:t>
      </w:r>
    </w:p>
    <w:p w14:paraId="07ACECF7" w14:textId="77777777" w:rsidR="000839A4" w:rsidRPr="000839A4" w:rsidRDefault="000839A4" w:rsidP="000839A4">
      <w:pPr>
        <w:tabs>
          <w:tab w:val="left" w:pos="357"/>
        </w:tabs>
        <w:spacing w:before="0"/>
        <w:ind w:left="714" w:hanging="357"/>
        <w:rPr>
          <w:szCs w:val="24"/>
        </w:rPr>
      </w:pPr>
      <w:r w:rsidRPr="000839A4">
        <w:rPr>
          <w:szCs w:val="24"/>
        </w:rPr>
        <w:t>5.</w:t>
      </w:r>
      <w:r w:rsidRPr="000839A4">
        <w:rPr>
          <w:szCs w:val="24"/>
        </w:rPr>
        <w:tab/>
        <w:t xml:space="preserve">profesní komorou s nepovinným členstvím s výjimkou Hospodářské komory České republiky a Agrární komory České republiky, </w:t>
      </w:r>
    </w:p>
    <w:p w14:paraId="100B6D4A"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 xml:space="preserve">výnosy kostelních sbírek, příjmy za církevní úkony a příspěvky členů u registrovaných církví a náboženských společností, </w:t>
      </w:r>
    </w:p>
    <w:p w14:paraId="216C7425" w14:textId="77777777" w:rsidR="000839A4" w:rsidRPr="000839A4" w:rsidRDefault="000839A4" w:rsidP="000839A4">
      <w:pPr>
        <w:tabs>
          <w:tab w:val="left" w:pos="357"/>
        </w:tabs>
        <w:spacing w:before="0"/>
        <w:ind w:left="357" w:hanging="357"/>
        <w:rPr>
          <w:szCs w:val="24"/>
        </w:rPr>
      </w:pPr>
      <w:r w:rsidRPr="000839A4">
        <w:rPr>
          <w:szCs w:val="24"/>
        </w:rPr>
        <w:t>c)</w:t>
      </w:r>
      <w:r w:rsidRPr="000839A4">
        <w:rPr>
          <w:szCs w:val="24"/>
        </w:rPr>
        <w:tab/>
        <w:t xml:space="preserve">příjem z nájemného družstevního bytu nebo družstevního nebytového prostoru a z úhrady za plnění poskytované s užíváním tohoto bytu nebo nebytového prostoru plynoucí na základě nájemní smlouvy mezi bytovým družstvem a jeho členem; obdobně to platí pro společnost s ručením omezeným a jejího společníka a pro spolek a jeho člena, </w:t>
      </w:r>
    </w:p>
    <w:p w14:paraId="58B07520" w14:textId="77777777" w:rsidR="000839A4" w:rsidRPr="000839A4" w:rsidRDefault="000839A4" w:rsidP="000839A4">
      <w:pPr>
        <w:tabs>
          <w:tab w:val="left" w:pos="357"/>
        </w:tabs>
        <w:spacing w:before="0"/>
        <w:ind w:left="357" w:hanging="357"/>
        <w:rPr>
          <w:szCs w:val="24"/>
        </w:rPr>
      </w:pPr>
      <w:r w:rsidRPr="000839A4">
        <w:rPr>
          <w:szCs w:val="24"/>
        </w:rPr>
        <w:t>d)</w:t>
      </w:r>
      <w:r w:rsidRPr="000839A4">
        <w:rPr>
          <w:szCs w:val="24"/>
        </w:rPr>
        <w:tab/>
        <w:t xml:space="preserve">příjmy, z nichž je daň vybírána srážkou podle zvláštní sazby daně, plynoucí </w:t>
      </w:r>
    </w:p>
    <w:p w14:paraId="048A239F" w14:textId="77777777" w:rsidR="000839A4" w:rsidRPr="000839A4" w:rsidRDefault="000839A4" w:rsidP="000839A4">
      <w:pPr>
        <w:tabs>
          <w:tab w:val="left" w:pos="357"/>
        </w:tabs>
        <w:spacing w:before="0"/>
        <w:ind w:left="714" w:hanging="357"/>
        <w:rPr>
          <w:szCs w:val="24"/>
        </w:rPr>
      </w:pPr>
      <w:r w:rsidRPr="000839A4">
        <w:rPr>
          <w:szCs w:val="24"/>
        </w:rPr>
        <w:t>1.</w:t>
      </w:r>
      <w:r w:rsidRPr="000839A4">
        <w:rPr>
          <w:szCs w:val="24"/>
        </w:rPr>
        <w:tab/>
        <w:t xml:space="preserve">fondu penzijní společnosti, </w:t>
      </w:r>
    </w:p>
    <w:p w14:paraId="428539D1" w14:textId="77777777" w:rsidR="000839A4" w:rsidRPr="000839A4" w:rsidRDefault="000839A4" w:rsidP="000839A4">
      <w:pPr>
        <w:tabs>
          <w:tab w:val="left" w:pos="357"/>
        </w:tabs>
        <w:spacing w:before="0"/>
        <w:ind w:left="714" w:hanging="357"/>
        <w:rPr>
          <w:szCs w:val="24"/>
        </w:rPr>
      </w:pPr>
      <w:r w:rsidRPr="000839A4">
        <w:rPr>
          <w:szCs w:val="24"/>
        </w:rPr>
        <w:t>2.</w:t>
      </w:r>
      <w:r w:rsidRPr="000839A4">
        <w:rPr>
          <w:szCs w:val="24"/>
        </w:rPr>
        <w:tab/>
        <w:t xml:space="preserve">instituci penzijního pojištění, která je skutečným vlastníkem zdaňovaných příjmů podle odstavce 6, s výjimkou penzijní společnosti nebo obdobné společnosti obhospodařující fondy obdobné fondům penzijního pojištění, </w:t>
      </w:r>
    </w:p>
    <w:p w14:paraId="0C07E377" w14:textId="77777777" w:rsidR="000839A4" w:rsidRPr="000839A4" w:rsidRDefault="000839A4" w:rsidP="000839A4">
      <w:pPr>
        <w:tabs>
          <w:tab w:val="left" w:pos="357"/>
        </w:tabs>
        <w:spacing w:before="0"/>
        <w:ind w:left="357" w:hanging="357"/>
        <w:rPr>
          <w:szCs w:val="24"/>
        </w:rPr>
      </w:pPr>
      <w:r w:rsidRPr="000839A4">
        <w:rPr>
          <w:szCs w:val="24"/>
        </w:rPr>
        <w:t>e)</w:t>
      </w:r>
      <w:r w:rsidRPr="000839A4">
        <w:rPr>
          <w:szCs w:val="24"/>
        </w:rPr>
        <w:tab/>
        <w:t xml:space="preserve">příjmy státních fondů stanovené zvláštními </w:t>
      </w:r>
      <w:proofErr w:type="gramStart"/>
      <w:r w:rsidRPr="000839A4">
        <w:rPr>
          <w:szCs w:val="24"/>
        </w:rPr>
        <w:t>předpisy,</w:t>
      </w:r>
      <w:r w:rsidRPr="000839A4">
        <w:rPr>
          <w:szCs w:val="24"/>
          <w:vertAlign w:val="superscript"/>
        </w:rPr>
        <w:footnoteReference w:customMarkFollows="1" w:id="147"/>
        <w:t>19</w:t>
      </w:r>
      <w:proofErr w:type="gramEnd"/>
      <w:r w:rsidRPr="000839A4">
        <w:rPr>
          <w:szCs w:val="24"/>
          <w:vertAlign w:val="superscript"/>
        </w:rPr>
        <w:t>)</w:t>
      </w:r>
    </w:p>
    <w:p w14:paraId="25AE0C39" w14:textId="77777777" w:rsidR="000839A4" w:rsidRPr="000839A4" w:rsidRDefault="000839A4" w:rsidP="000839A4">
      <w:pPr>
        <w:tabs>
          <w:tab w:val="left" w:pos="357"/>
        </w:tabs>
        <w:spacing w:before="0"/>
        <w:ind w:left="357" w:hanging="357"/>
        <w:rPr>
          <w:szCs w:val="24"/>
        </w:rPr>
      </w:pPr>
      <w:r w:rsidRPr="000839A4">
        <w:rPr>
          <w:szCs w:val="24"/>
        </w:rPr>
        <w:t>f)</w:t>
      </w:r>
      <w:r w:rsidRPr="000839A4">
        <w:rPr>
          <w:szCs w:val="24"/>
        </w:rPr>
        <w:tab/>
        <w:t xml:space="preserve">příjem Garančního systému finančního trhu a příjem fondu ve správě Garančního systému finančního trhu podle zákona upravujícího ozdravné postupy a řešení krize na finančním trhu, </w:t>
      </w:r>
    </w:p>
    <w:p w14:paraId="21179ED5" w14:textId="77777777" w:rsidR="000839A4" w:rsidRPr="000839A4" w:rsidRDefault="000839A4" w:rsidP="000839A4">
      <w:pPr>
        <w:tabs>
          <w:tab w:val="left" w:pos="357"/>
        </w:tabs>
        <w:spacing w:before="0"/>
        <w:ind w:left="357" w:hanging="357"/>
        <w:rPr>
          <w:szCs w:val="24"/>
        </w:rPr>
      </w:pPr>
      <w:r w:rsidRPr="000839A4">
        <w:rPr>
          <w:szCs w:val="24"/>
        </w:rPr>
        <w:t>g)</w:t>
      </w:r>
      <w:r w:rsidRPr="000839A4">
        <w:rPr>
          <w:szCs w:val="24"/>
        </w:rPr>
        <w:tab/>
        <w:t xml:space="preserve">výnos z operací na finančním trhu s prostředky zvláštního účtu rezervy důchodového pojištění podle rozpočtových pravidel, </w:t>
      </w:r>
    </w:p>
    <w:p w14:paraId="223506BB" w14:textId="77777777" w:rsidR="000839A4" w:rsidRPr="000839A4" w:rsidRDefault="000839A4" w:rsidP="000839A4">
      <w:pPr>
        <w:tabs>
          <w:tab w:val="left" w:pos="357"/>
        </w:tabs>
        <w:spacing w:before="0"/>
        <w:ind w:left="357" w:hanging="357"/>
        <w:rPr>
          <w:szCs w:val="24"/>
        </w:rPr>
      </w:pPr>
      <w:r w:rsidRPr="000839A4">
        <w:rPr>
          <w:szCs w:val="24"/>
        </w:rPr>
        <w:t>h)</w:t>
      </w:r>
      <w:r w:rsidRPr="000839A4">
        <w:rPr>
          <w:szCs w:val="24"/>
        </w:rPr>
        <w:tab/>
        <w:t>příjmy plynoucí z odpisu dluhů při oddlužení nebo reorganizaci provedené podle zvláštního právního předpisu</w:t>
      </w:r>
      <w:bookmarkStart w:id="23" w:name="_Ref535916582"/>
      <w:r w:rsidRPr="000839A4">
        <w:rPr>
          <w:szCs w:val="24"/>
          <w:vertAlign w:val="superscript"/>
        </w:rPr>
        <w:footnoteReference w:customMarkFollows="1" w:id="148"/>
        <w:t>19a)</w:t>
      </w:r>
      <w:bookmarkEnd w:id="23"/>
      <w:r w:rsidRPr="000839A4">
        <w:rPr>
          <w:strike/>
          <w:szCs w:val="24"/>
        </w:rPr>
        <w:t>, pokud jsou podle zvláštního právního předpisu</w:t>
      </w:r>
      <w:r w:rsidRPr="000839A4">
        <w:rPr>
          <w:strike/>
          <w:szCs w:val="24"/>
          <w:vertAlign w:val="superscript"/>
        </w:rPr>
        <w:t>20)</w:t>
      </w:r>
      <w:r w:rsidRPr="000839A4">
        <w:rPr>
          <w:strike/>
          <w:szCs w:val="24"/>
        </w:rPr>
        <w:t xml:space="preserve"> zaúčtovány ve prospěch výnosů</w:t>
      </w:r>
      <w:r w:rsidRPr="000839A4">
        <w:rPr>
          <w:szCs w:val="24"/>
        </w:rPr>
        <w:t xml:space="preserve">, </w:t>
      </w:r>
    </w:p>
    <w:p w14:paraId="674FF3FF" w14:textId="77777777" w:rsidR="000839A4" w:rsidRPr="000839A4" w:rsidRDefault="000839A4" w:rsidP="000839A4">
      <w:pPr>
        <w:tabs>
          <w:tab w:val="left" w:pos="357"/>
        </w:tabs>
        <w:spacing w:before="0"/>
        <w:ind w:left="357" w:hanging="357"/>
        <w:rPr>
          <w:szCs w:val="24"/>
        </w:rPr>
      </w:pPr>
      <w:r w:rsidRPr="000839A4">
        <w:rPr>
          <w:szCs w:val="24"/>
        </w:rPr>
        <w:t>i)</w:t>
      </w:r>
      <w:r w:rsidRPr="000839A4">
        <w:rPr>
          <w:szCs w:val="24"/>
        </w:rPr>
        <w:tab/>
        <w:t>příjem plynoucí z výnosu dluhopisu podle zákona upravujícího dluhopisy vydaného členským státem Evropské unie nebo státem tvořícím Evropský hospodářský prostor,</w:t>
      </w:r>
    </w:p>
    <w:p w14:paraId="01506318" w14:textId="77777777" w:rsidR="000839A4" w:rsidRPr="000839A4" w:rsidRDefault="000839A4" w:rsidP="000839A4">
      <w:pPr>
        <w:tabs>
          <w:tab w:val="left" w:pos="357"/>
        </w:tabs>
        <w:spacing w:before="0"/>
        <w:ind w:left="357" w:hanging="357"/>
        <w:rPr>
          <w:szCs w:val="24"/>
        </w:rPr>
      </w:pPr>
      <w:r w:rsidRPr="000839A4">
        <w:rPr>
          <w:szCs w:val="24"/>
        </w:rPr>
        <w:t>j)</w:t>
      </w:r>
      <w:r w:rsidRPr="000839A4">
        <w:rPr>
          <w:szCs w:val="24"/>
        </w:rPr>
        <w:tab/>
        <w:t xml:space="preserve">příjmy Podpůrného a garančního rolnického a lesnického fondu, a. s., plynoucí z prodeje cenných papírů v majetku fondu, </w:t>
      </w:r>
    </w:p>
    <w:p w14:paraId="03F640F3" w14:textId="77777777" w:rsidR="000839A4" w:rsidRPr="000839A4" w:rsidRDefault="000839A4" w:rsidP="000839A4">
      <w:pPr>
        <w:tabs>
          <w:tab w:val="left" w:pos="357"/>
        </w:tabs>
        <w:spacing w:before="0"/>
        <w:ind w:left="357" w:hanging="357"/>
        <w:rPr>
          <w:szCs w:val="24"/>
        </w:rPr>
      </w:pPr>
      <w:r w:rsidRPr="000839A4">
        <w:rPr>
          <w:szCs w:val="24"/>
        </w:rPr>
        <w:t>k)</w:t>
      </w:r>
      <w:r w:rsidRPr="000839A4">
        <w:rPr>
          <w:szCs w:val="24"/>
        </w:rPr>
        <w:tab/>
        <w:t xml:space="preserve">podíly na zisku tichého společníka z účasti na podnikání, pokud jsou použity k doplnění vkladu sníženého o podíly na ztrátách do původní výše, </w:t>
      </w:r>
    </w:p>
    <w:p w14:paraId="19266AB8" w14:textId="77777777" w:rsidR="000839A4" w:rsidRPr="000839A4" w:rsidRDefault="000839A4" w:rsidP="000839A4">
      <w:pPr>
        <w:tabs>
          <w:tab w:val="left" w:pos="357"/>
        </w:tabs>
        <w:spacing w:before="0"/>
        <w:ind w:left="357" w:hanging="357"/>
        <w:rPr>
          <w:szCs w:val="24"/>
        </w:rPr>
      </w:pPr>
      <w:r w:rsidRPr="000839A4">
        <w:rPr>
          <w:szCs w:val="24"/>
        </w:rPr>
        <w:t>l)</w:t>
      </w:r>
      <w:r w:rsidRPr="000839A4">
        <w:rPr>
          <w:szCs w:val="24"/>
        </w:rPr>
        <w:tab/>
        <w:t>příjmy plynoucí v souvislosti s privatizovaným majetkem, které jsou vedeny Ministerstvem financí na zvláštních účtech podle zvláštního právního předpisu</w:t>
      </w:r>
      <w:r w:rsidRPr="000839A4">
        <w:rPr>
          <w:szCs w:val="24"/>
          <w:vertAlign w:val="superscript"/>
        </w:rPr>
        <w:footnoteReference w:customMarkFollows="1" w:id="149"/>
        <w:t>125)</w:t>
      </w:r>
      <w:r w:rsidRPr="000839A4">
        <w:rPr>
          <w:szCs w:val="24"/>
        </w:rPr>
        <w:t xml:space="preserve"> a příjmy plynoucí z </w:t>
      </w:r>
      <w:r w:rsidRPr="000839A4">
        <w:rPr>
          <w:szCs w:val="24"/>
        </w:rPr>
        <w:lastRenderedPageBreak/>
        <w:t xml:space="preserve">nakládání s prostředky těchto zvláštních účtů na finančním trhu, a dále příjmy plynoucí z práv, která přešla ze zaniklé České konsolidační agentury na stát podle zvláštního právního předpisu, a příjmy plynoucí z práv, která přešla ze zaniklé České inkasní, s.r.o., nebo ze zrušeného Zajišťovacího fondu družstevních záložen na stát, </w:t>
      </w:r>
    </w:p>
    <w:p w14:paraId="71D8DBE8" w14:textId="77777777" w:rsidR="000839A4" w:rsidRPr="000839A4" w:rsidRDefault="000839A4" w:rsidP="000839A4">
      <w:pPr>
        <w:tabs>
          <w:tab w:val="left" w:pos="357"/>
        </w:tabs>
        <w:spacing w:before="0"/>
        <w:ind w:left="357" w:hanging="357"/>
        <w:rPr>
          <w:szCs w:val="24"/>
        </w:rPr>
      </w:pPr>
      <w:r w:rsidRPr="000839A4">
        <w:rPr>
          <w:szCs w:val="24"/>
        </w:rPr>
        <w:t>m)</w:t>
      </w:r>
      <w:r w:rsidRPr="000839A4">
        <w:rPr>
          <w:szCs w:val="24"/>
        </w:rPr>
        <w:tab/>
        <w:t xml:space="preserve">příjem Garančního fondu obchodníků s cennými papíry, </w:t>
      </w:r>
    </w:p>
    <w:p w14:paraId="277943A8" w14:textId="77777777" w:rsidR="000839A4" w:rsidRPr="000839A4" w:rsidRDefault="000839A4" w:rsidP="000839A4">
      <w:pPr>
        <w:tabs>
          <w:tab w:val="left" w:pos="357"/>
        </w:tabs>
        <w:spacing w:before="0"/>
        <w:ind w:left="357" w:hanging="357"/>
        <w:rPr>
          <w:szCs w:val="24"/>
        </w:rPr>
      </w:pPr>
      <w:r w:rsidRPr="000839A4">
        <w:rPr>
          <w:szCs w:val="24"/>
        </w:rPr>
        <w:t>n)</w:t>
      </w:r>
      <w:r w:rsidRPr="000839A4">
        <w:rPr>
          <w:szCs w:val="24"/>
        </w:rPr>
        <w:tab/>
        <w:t>příjmy z úroků z přeplatků zaviněných správcem daně a z úroků z přeplatků zaviněných orgánem sociálního zabezpečení,</w:t>
      </w:r>
    </w:p>
    <w:p w14:paraId="72255121" w14:textId="77777777" w:rsidR="000839A4" w:rsidRPr="000839A4" w:rsidRDefault="000839A4" w:rsidP="000839A4">
      <w:pPr>
        <w:spacing w:before="0"/>
        <w:ind w:left="426" w:hanging="426"/>
        <w:outlineLvl w:val="7"/>
      </w:pPr>
      <w:r w:rsidRPr="000839A4">
        <w:t>o)</w:t>
      </w:r>
      <w:r w:rsidRPr="000839A4">
        <w:tab/>
        <w:t>příjmy Státního ústavu pro kontrolu léčiv a Ústavu pro státní kontrolu veterinárních biopreparátů a léčiv plynoucí z úkonů vykonávaných podle zákona upravujícího léčiva,</w:t>
      </w:r>
    </w:p>
    <w:p w14:paraId="1CA65BAC" w14:textId="77777777" w:rsidR="000839A4" w:rsidRPr="000839A4" w:rsidRDefault="000839A4" w:rsidP="000839A4">
      <w:pPr>
        <w:tabs>
          <w:tab w:val="left" w:pos="357"/>
        </w:tabs>
        <w:spacing w:before="0"/>
        <w:ind w:left="357" w:hanging="357"/>
        <w:rPr>
          <w:szCs w:val="24"/>
        </w:rPr>
      </w:pPr>
      <w:r w:rsidRPr="000839A4">
        <w:rPr>
          <w:szCs w:val="24"/>
        </w:rPr>
        <w:t>p)</w:t>
      </w:r>
      <w:r w:rsidRPr="000839A4">
        <w:rPr>
          <w:szCs w:val="24"/>
        </w:rPr>
        <w:tab/>
        <w:t xml:space="preserve">výnos z operací s prostředky jaderného účtu na finančním trhu podle atomového zákona, </w:t>
      </w:r>
    </w:p>
    <w:p w14:paraId="3517928D" w14:textId="77777777" w:rsidR="000839A4" w:rsidRPr="000839A4" w:rsidRDefault="000839A4" w:rsidP="000839A4">
      <w:pPr>
        <w:tabs>
          <w:tab w:val="left" w:pos="357"/>
        </w:tabs>
        <w:spacing w:before="0"/>
        <w:ind w:left="357" w:hanging="357"/>
        <w:rPr>
          <w:szCs w:val="24"/>
        </w:rPr>
      </w:pPr>
      <w:r w:rsidRPr="000839A4">
        <w:rPr>
          <w:szCs w:val="24"/>
        </w:rPr>
        <w:t>r)</w:t>
      </w:r>
      <w:r w:rsidRPr="000839A4">
        <w:rPr>
          <w:szCs w:val="24"/>
        </w:rPr>
        <w:tab/>
        <w:t xml:space="preserve">výnos nadace, která je veřejně prospěšným poplatníkem, z majetku vloženého do nadační jistiny a příjem z jeho prodeje, pokud tento příjem slouží jen k účelu, ke kterému byla nadace zřízena, a pokud se nejedná o příjem, který byl nadací použit v rozporu se zákonem, </w:t>
      </w:r>
    </w:p>
    <w:p w14:paraId="645E067C" w14:textId="77777777" w:rsidR="000839A4" w:rsidRPr="000839A4" w:rsidRDefault="000839A4" w:rsidP="000839A4">
      <w:pPr>
        <w:tabs>
          <w:tab w:val="left" w:pos="357"/>
        </w:tabs>
        <w:spacing w:before="0"/>
        <w:ind w:left="357" w:hanging="357"/>
        <w:rPr>
          <w:szCs w:val="24"/>
        </w:rPr>
      </w:pPr>
      <w:r w:rsidRPr="000839A4">
        <w:rPr>
          <w:szCs w:val="24"/>
        </w:rPr>
        <w:t>s)</w:t>
      </w:r>
      <w:r w:rsidRPr="000839A4">
        <w:rPr>
          <w:szCs w:val="24"/>
        </w:rPr>
        <w:tab/>
        <w:t xml:space="preserve">příspěvky do fondu zábrany škod České kanceláře pojistitelů, </w:t>
      </w:r>
    </w:p>
    <w:p w14:paraId="062BA608" w14:textId="77777777" w:rsidR="000839A4" w:rsidRPr="000839A4" w:rsidRDefault="000839A4" w:rsidP="000839A4">
      <w:pPr>
        <w:tabs>
          <w:tab w:val="left" w:pos="357"/>
        </w:tabs>
        <w:spacing w:before="0"/>
        <w:ind w:left="357" w:hanging="357"/>
        <w:rPr>
          <w:szCs w:val="24"/>
        </w:rPr>
      </w:pPr>
      <w:r w:rsidRPr="000839A4">
        <w:rPr>
          <w:szCs w:val="24"/>
        </w:rPr>
        <w:t>t)</w:t>
      </w:r>
      <w:r w:rsidRPr="000839A4">
        <w:rPr>
          <w:szCs w:val="24"/>
        </w:rPr>
        <w:tab/>
        <w:t>příjmy z úroků plynoucí zdravotní pojišťovně zřízené zvláštním právním předpisem nebo podle zvláštního právního předpisu</w:t>
      </w:r>
      <w:r w:rsidRPr="000839A4">
        <w:rPr>
          <w:szCs w:val="24"/>
          <w:vertAlign w:val="superscript"/>
        </w:rPr>
        <w:footnoteReference w:customMarkFollows="1" w:id="150"/>
        <w:t>17e)</w:t>
      </w:r>
      <w:r w:rsidRPr="000839A4">
        <w:rPr>
          <w:szCs w:val="24"/>
        </w:rPr>
        <w:t xml:space="preserve"> z vkladů u bank, pokud jsou vložené prostředky získány ze zdrojů veřejného zdravotního pojištění, </w:t>
      </w:r>
    </w:p>
    <w:p w14:paraId="538D325C" w14:textId="77777777" w:rsidR="000839A4" w:rsidRPr="000839A4" w:rsidRDefault="000839A4" w:rsidP="000839A4">
      <w:pPr>
        <w:tabs>
          <w:tab w:val="left" w:pos="357"/>
        </w:tabs>
        <w:spacing w:before="0"/>
        <w:ind w:left="357" w:hanging="357"/>
        <w:rPr>
          <w:szCs w:val="24"/>
        </w:rPr>
      </w:pPr>
      <w:r w:rsidRPr="000839A4">
        <w:rPr>
          <w:szCs w:val="24"/>
        </w:rPr>
        <w:t>u)</w:t>
      </w:r>
      <w:r w:rsidRPr="000839A4">
        <w:rPr>
          <w:szCs w:val="24"/>
        </w:rPr>
        <w:tab/>
        <w:t xml:space="preserve">příjem České národní banky, </w:t>
      </w:r>
    </w:p>
    <w:p w14:paraId="6AD1C8C3" w14:textId="77777777" w:rsidR="000839A4" w:rsidRPr="000839A4" w:rsidRDefault="000839A4" w:rsidP="000839A4">
      <w:pPr>
        <w:tabs>
          <w:tab w:val="left" w:pos="357"/>
        </w:tabs>
        <w:spacing w:before="0"/>
        <w:ind w:left="357" w:hanging="357"/>
        <w:rPr>
          <w:szCs w:val="24"/>
        </w:rPr>
      </w:pPr>
      <w:r w:rsidRPr="000839A4">
        <w:rPr>
          <w:szCs w:val="24"/>
        </w:rPr>
        <w:t>v)</w:t>
      </w:r>
      <w:r w:rsidRPr="000839A4">
        <w:rPr>
          <w:szCs w:val="24"/>
        </w:rPr>
        <w:tab/>
        <w:t xml:space="preserve">příjmy fondu Energetického regulačního úřadu z příspěvku na úhradu prokazatelné ztráty držitele licence plnícího povinnost dodávky nad rámec </w:t>
      </w:r>
      <w:proofErr w:type="gramStart"/>
      <w:r w:rsidRPr="000839A4">
        <w:rPr>
          <w:szCs w:val="24"/>
        </w:rPr>
        <w:t>licence,</w:t>
      </w:r>
      <w:r w:rsidRPr="000839A4">
        <w:rPr>
          <w:szCs w:val="24"/>
          <w:vertAlign w:val="superscript"/>
        </w:rPr>
        <w:footnoteReference w:customMarkFollows="1" w:id="151"/>
        <w:t>85</w:t>
      </w:r>
      <w:proofErr w:type="gramEnd"/>
      <w:r w:rsidRPr="000839A4">
        <w:rPr>
          <w:szCs w:val="24"/>
          <w:vertAlign w:val="superscript"/>
        </w:rPr>
        <w:t>)</w:t>
      </w:r>
      <w:r w:rsidRPr="000839A4">
        <w:rPr>
          <w:szCs w:val="24"/>
        </w:rPr>
        <w:t xml:space="preserve"> </w:t>
      </w:r>
    </w:p>
    <w:p w14:paraId="0D0FDCC6" w14:textId="77777777" w:rsidR="000839A4" w:rsidRPr="000839A4" w:rsidRDefault="000839A4" w:rsidP="000839A4">
      <w:pPr>
        <w:tabs>
          <w:tab w:val="left" w:pos="357"/>
        </w:tabs>
        <w:spacing w:before="0"/>
        <w:ind w:left="357" w:hanging="357"/>
        <w:rPr>
          <w:szCs w:val="24"/>
        </w:rPr>
      </w:pPr>
      <w:r w:rsidRPr="000839A4">
        <w:rPr>
          <w:szCs w:val="24"/>
        </w:rPr>
        <w:t>w)</w:t>
      </w:r>
      <w:r w:rsidRPr="000839A4">
        <w:rPr>
          <w:szCs w:val="24"/>
        </w:rPr>
        <w:tab/>
        <w:t xml:space="preserve">úrokové příjmy Česko-německého fondu budoucnosti, </w:t>
      </w:r>
    </w:p>
    <w:p w14:paraId="34955C31" w14:textId="77777777" w:rsidR="000839A4" w:rsidRPr="000839A4" w:rsidRDefault="000839A4" w:rsidP="000839A4">
      <w:pPr>
        <w:tabs>
          <w:tab w:val="left" w:pos="357"/>
        </w:tabs>
        <w:spacing w:before="0"/>
        <w:ind w:left="357" w:hanging="357"/>
        <w:rPr>
          <w:szCs w:val="24"/>
        </w:rPr>
      </w:pPr>
      <w:r w:rsidRPr="000839A4">
        <w:rPr>
          <w:szCs w:val="24"/>
        </w:rPr>
        <w:t>x)</w:t>
      </w:r>
      <w:r w:rsidRPr="000839A4">
        <w:rPr>
          <w:szCs w:val="24"/>
        </w:rPr>
        <w:tab/>
        <w:t xml:space="preserve">úrokové příjmy plynoucí orgánu státní správy, samosprávy a subjektu pověřenému Ministerstvem financí zabezpečováním realizace programů pomoci Evropských společenství, a to z vkladu na vkladovém účtu zřízeném pro uložení prostředků poskytnutých České republice Evropskými společenstvími, a dále úrokové příjmy plynoucí orgánu státní správy a samosprávy z vkladu na vkladovém účtu zřízeném pro uložení prostředků poskytnutých České republice Světovou bankou, Evropskou bankou pro obnovu a rozvoj a Evropskou investiční bankou, </w:t>
      </w:r>
    </w:p>
    <w:p w14:paraId="60FE897B" w14:textId="77777777" w:rsidR="000839A4" w:rsidRPr="000839A4" w:rsidRDefault="000839A4" w:rsidP="000839A4">
      <w:pPr>
        <w:tabs>
          <w:tab w:val="left" w:pos="357"/>
        </w:tabs>
        <w:spacing w:before="0"/>
        <w:ind w:left="357" w:hanging="357"/>
        <w:rPr>
          <w:szCs w:val="24"/>
        </w:rPr>
      </w:pPr>
      <w:r w:rsidRPr="000839A4">
        <w:rPr>
          <w:szCs w:val="24"/>
        </w:rPr>
        <w:t>y)</w:t>
      </w:r>
      <w:r w:rsidRPr="000839A4">
        <w:rPr>
          <w:szCs w:val="24"/>
        </w:rPr>
        <w:tab/>
        <w:t>úrokové příjmy plynoucí z prostředků veřejné sbírky</w:t>
      </w:r>
      <w:r w:rsidRPr="000839A4">
        <w:rPr>
          <w:szCs w:val="24"/>
          <w:vertAlign w:val="superscript"/>
        </w:rPr>
        <w:t>14e)</w:t>
      </w:r>
      <w:r w:rsidRPr="000839A4">
        <w:rPr>
          <w:szCs w:val="24"/>
        </w:rPr>
        <w:t xml:space="preserve"> pořádané k účelům vymezeným v § 15 odst. 1 a § 20 odst. 8, </w:t>
      </w:r>
    </w:p>
    <w:p w14:paraId="1FED310A" w14:textId="77777777" w:rsidR="000839A4" w:rsidRPr="000839A4" w:rsidRDefault="000839A4" w:rsidP="000839A4">
      <w:pPr>
        <w:tabs>
          <w:tab w:val="left" w:pos="357"/>
        </w:tabs>
        <w:spacing w:before="0"/>
        <w:ind w:left="357" w:hanging="357"/>
        <w:rPr>
          <w:szCs w:val="24"/>
        </w:rPr>
      </w:pPr>
      <w:r w:rsidRPr="000839A4">
        <w:rPr>
          <w:szCs w:val="24"/>
        </w:rPr>
        <w:t>z)</w:t>
      </w:r>
      <w:r w:rsidRPr="000839A4">
        <w:rPr>
          <w:szCs w:val="24"/>
        </w:rPr>
        <w:tab/>
        <w:t xml:space="preserve">příjem Vinařského fondu stanovený zákonem upravujícím vinohradnictví a vinařství, </w:t>
      </w:r>
    </w:p>
    <w:p w14:paraId="697F220D" w14:textId="77777777" w:rsidR="000839A4" w:rsidRPr="000839A4" w:rsidRDefault="000839A4" w:rsidP="000839A4">
      <w:pPr>
        <w:tabs>
          <w:tab w:val="left" w:pos="357"/>
        </w:tabs>
        <w:spacing w:before="0"/>
        <w:ind w:left="357" w:hanging="357"/>
        <w:rPr>
          <w:szCs w:val="24"/>
        </w:rPr>
      </w:pPr>
      <w:r w:rsidRPr="000839A4">
        <w:rPr>
          <w:szCs w:val="24"/>
        </w:rPr>
        <w:t>za)</w:t>
      </w:r>
      <w:r w:rsidRPr="000839A4">
        <w:rPr>
          <w:szCs w:val="24"/>
        </w:rPr>
        <w:tab/>
        <w:t xml:space="preserve">příjem z podpory od Vinařského fondu, </w:t>
      </w:r>
    </w:p>
    <w:p w14:paraId="4D4A2942" w14:textId="77777777" w:rsidR="000839A4" w:rsidRPr="000839A4" w:rsidRDefault="000839A4" w:rsidP="000839A4">
      <w:pPr>
        <w:tabs>
          <w:tab w:val="left" w:pos="357"/>
        </w:tabs>
        <w:spacing w:before="0"/>
        <w:ind w:left="357" w:hanging="357"/>
        <w:rPr>
          <w:szCs w:val="24"/>
        </w:rPr>
      </w:pPr>
      <w:proofErr w:type="spellStart"/>
      <w:r w:rsidRPr="000839A4">
        <w:rPr>
          <w:szCs w:val="24"/>
        </w:rPr>
        <w:t>zb</w:t>
      </w:r>
      <w:proofErr w:type="spellEnd"/>
      <w:r w:rsidRPr="000839A4">
        <w:rPr>
          <w:szCs w:val="24"/>
        </w:rPr>
        <w:t>)</w:t>
      </w:r>
      <w:r w:rsidRPr="000839A4">
        <w:rPr>
          <w:szCs w:val="24"/>
        </w:rPr>
        <w:tab/>
        <w:t>příjmy plynoucí v souvislosti s výkonem dobrovolnické služby poskytované podle zvláštního právního předpisu,</w:t>
      </w:r>
      <w:r w:rsidRPr="000839A4">
        <w:rPr>
          <w:szCs w:val="24"/>
          <w:vertAlign w:val="superscript"/>
        </w:rPr>
        <w:t xml:space="preserve"> </w:t>
      </w:r>
      <w:r w:rsidRPr="000839A4">
        <w:rPr>
          <w:szCs w:val="24"/>
          <w:vertAlign w:val="superscript"/>
        </w:rPr>
        <w:footnoteReference w:customMarkFollows="1" w:id="152"/>
        <w:t>4h)</w:t>
      </w:r>
    </w:p>
    <w:p w14:paraId="311DAF54" w14:textId="77777777" w:rsidR="000839A4" w:rsidRPr="000839A4" w:rsidRDefault="000839A4" w:rsidP="000839A4">
      <w:pPr>
        <w:tabs>
          <w:tab w:val="left" w:pos="357"/>
        </w:tabs>
        <w:spacing w:before="0"/>
        <w:ind w:left="357" w:hanging="357"/>
        <w:rPr>
          <w:szCs w:val="24"/>
        </w:rPr>
      </w:pPr>
      <w:proofErr w:type="spellStart"/>
      <w:r w:rsidRPr="000839A4">
        <w:rPr>
          <w:szCs w:val="24"/>
        </w:rPr>
        <w:t>zc</w:t>
      </w:r>
      <w:proofErr w:type="spellEnd"/>
      <w:r w:rsidRPr="000839A4">
        <w:rPr>
          <w:szCs w:val="24"/>
        </w:rPr>
        <w:t xml:space="preserve">) příspěvky provozovatelů solárních elektráren nebo výrobců podle zákona upravujícího výrobky s ukončenou životností plynoucí provozovateli kolektivního systému podle zákona upravujícího výrobky s ukončenou životností, pokud jsou použity na zajištění plnění </w:t>
      </w:r>
      <w:r w:rsidRPr="000839A4">
        <w:rPr>
          <w:szCs w:val="24"/>
        </w:rPr>
        <w:lastRenderedPageBreak/>
        <w:t>povinností zpětného odběru, zpracování a využití nebo odstranění výrobků s ukončenou životností s výjimkou nákladů na zřízení sběrného místa provozovatele solární elektrárny, a příspěvky osob, které uvádějí na trh nebo do oběhu obaly, plynoucí autorizované obalové společnosti, pokud jsou použity na zajištění plnění povinnosti zpětného odběru a využití odpadu z obalů,</w:t>
      </w:r>
    </w:p>
    <w:p w14:paraId="5ADC0800" w14:textId="77777777" w:rsidR="000839A4" w:rsidRPr="000839A4" w:rsidRDefault="000839A4" w:rsidP="000839A4">
      <w:pPr>
        <w:tabs>
          <w:tab w:val="left" w:pos="357"/>
        </w:tabs>
        <w:spacing w:before="0"/>
        <w:ind w:left="357" w:hanging="357"/>
        <w:rPr>
          <w:szCs w:val="24"/>
        </w:rPr>
      </w:pPr>
      <w:proofErr w:type="spellStart"/>
      <w:r w:rsidRPr="000839A4">
        <w:rPr>
          <w:szCs w:val="24"/>
        </w:rPr>
        <w:t>zc</w:t>
      </w:r>
      <w:proofErr w:type="spellEnd"/>
      <w:r w:rsidRPr="000839A4">
        <w:rPr>
          <w:szCs w:val="24"/>
        </w:rPr>
        <w:t>)</w:t>
      </w:r>
      <w:r w:rsidRPr="000839A4">
        <w:rPr>
          <w:szCs w:val="24"/>
        </w:rPr>
        <w:tab/>
        <w:t xml:space="preserve">peněžní příspěvky </w:t>
      </w:r>
    </w:p>
    <w:p w14:paraId="462BC3B6" w14:textId="77777777" w:rsidR="000839A4" w:rsidRPr="000839A4" w:rsidRDefault="000839A4" w:rsidP="000839A4">
      <w:pPr>
        <w:tabs>
          <w:tab w:val="left" w:pos="357"/>
        </w:tabs>
        <w:spacing w:before="0"/>
        <w:ind w:left="714" w:hanging="357"/>
        <w:rPr>
          <w:szCs w:val="24"/>
        </w:rPr>
      </w:pPr>
      <w:r w:rsidRPr="000839A4">
        <w:rPr>
          <w:szCs w:val="24"/>
        </w:rPr>
        <w:t>1. provozovatelů solárních elektráren a výrobců podle zákona upravujícího výrobky s ukončenou životností plynoucí provozovateli kolektivního systému za předpokladu jejich použití na zajištění kolektivního plnění povinností výrobců nebo provozovatelů solárních elektráren, s výjimkou nákladů na zřízení místa zpětného odběru provozovatele solární elektrárny,</w:t>
      </w:r>
    </w:p>
    <w:p w14:paraId="1800038C" w14:textId="77777777" w:rsidR="000839A4" w:rsidRPr="000839A4" w:rsidRDefault="000839A4" w:rsidP="000839A4">
      <w:pPr>
        <w:tabs>
          <w:tab w:val="left" w:pos="357"/>
        </w:tabs>
        <w:spacing w:before="0"/>
        <w:ind w:left="714" w:hanging="357"/>
        <w:rPr>
          <w:szCs w:val="24"/>
        </w:rPr>
      </w:pPr>
      <w:r w:rsidRPr="000839A4">
        <w:rPr>
          <w:szCs w:val="24"/>
        </w:rPr>
        <w:t>2. osob, které uvádějí na trh nebo do oběhu obaly, plynoucí autorizované obalové společnosti za předpokladu jejich použití na zajištění sdruženého plnění povinností osob uvádějících obaly na trh nebo do oběhu a</w:t>
      </w:r>
    </w:p>
    <w:p w14:paraId="5394D0F3" w14:textId="77777777" w:rsidR="000839A4" w:rsidRPr="000839A4" w:rsidRDefault="000839A4" w:rsidP="000839A4">
      <w:pPr>
        <w:tabs>
          <w:tab w:val="left" w:pos="357"/>
        </w:tabs>
        <w:spacing w:before="0"/>
        <w:ind w:left="714" w:hanging="357"/>
        <w:rPr>
          <w:szCs w:val="24"/>
        </w:rPr>
      </w:pPr>
      <w:r w:rsidRPr="000839A4">
        <w:rPr>
          <w:szCs w:val="24"/>
        </w:rPr>
        <w:t>3. výrobců podle zákona upravujícího omezení dopadu vybraných plastových výrobků na životní prostředí plynoucí provozovateli kolektivního systému za předpokladu jejich použití na zajištění kolektivního plnění povinností výrobců,</w:t>
      </w:r>
    </w:p>
    <w:p w14:paraId="0F20D1DF" w14:textId="77777777" w:rsidR="000839A4" w:rsidRPr="000839A4" w:rsidRDefault="000839A4" w:rsidP="000839A4">
      <w:pPr>
        <w:tabs>
          <w:tab w:val="left" w:pos="357"/>
        </w:tabs>
        <w:spacing w:before="0"/>
        <w:ind w:left="357" w:hanging="357"/>
        <w:rPr>
          <w:szCs w:val="24"/>
        </w:rPr>
      </w:pPr>
      <w:proofErr w:type="spellStart"/>
      <w:r w:rsidRPr="000839A4">
        <w:rPr>
          <w:szCs w:val="24"/>
        </w:rPr>
        <w:t>zd</w:t>
      </w:r>
      <w:proofErr w:type="spellEnd"/>
      <w:r w:rsidRPr="000839A4">
        <w:rPr>
          <w:szCs w:val="24"/>
        </w:rPr>
        <w:t>) příjem plynoucí z výnosu dluhopisu podle zákona upravujícího dluhopisy nebo z práva na splacení dluhopisu vydaných v zahraničí poplatníkem se sídlem v České republice, pokud plynou daňovému nerezidentovi, který není kapitálově spojenou osobou s emitentem dluhopisu, ani s ním nevytvořil právní vztah převážně za účelem snížení základu daně nebo zvýšení daňové ztráty,</w:t>
      </w:r>
    </w:p>
    <w:p w14:paraId="79201872" w14:textId="77777777" w:rsidR="000839A4" w:rsidRPr="000839A4" w:rsidRDefault="000839A4" w:rsidP="000839A4">
      <w:pPr>
        <w:tabs>
          <w:tab w:val="left" w:pos="357"/>
        </w:tabs>
        <w:spacing w:before="0"/>
        <w:ind w:left="357" w:hanging="357"/>
        <w:rPr>
          <w:szCs w:val="24"/>
        </w:rPr>
      </w:pPr>
      <w:proofErr w:type="gramStart"/>
      <w:r w:rsidRPr="000839A4">
        <w:rPr>
          <w:szCs w:val="24"/>
        </w:rPr>
        <w:t>ze</w:t>
      </w:r>
      <w:proofErr w:type="gramEnd"/>
      <w:r w:rsidRPr="000839A4">
        <w:rPr>
          <w:szCs w:val="24"/>
        </w:rPr>
        <w:t>)</w:t>
      </w:r>
      <w:r w:rsidRPr="000839A4">
        <w:rPr>
          <w:szCs w:val="24"/>
        </w:rPr>
        <w:tab/>
        <w:t xml:space="preserve">příjmy z </w:t>
      </w:r>
    </w:p>
    <w:p w14:paraId="5F56D5B5" w14:textId="77777777" w:rsidR="000839A4" w:rsidRPr="000839A4" w:rsidRDefault="000839A4" w:rsidP="000839A4">
      <w:pPr>
        <w:tabs>
          <w:tab w:val="left" w:pos="357"/>
        </w:tabs>
        <w:spacing w:before="0"/>
        <w:ind w:left="714" w:hanging="357"/>
        <w:rPr>
          <w:szCs w:val="24"/>
        </w:rPr>
      </w:pPr>
      <w:r w:rsidRPr="000839A4">
        <w:rPr>
          <w:szCs w:val="24"/>
        </w:rPr>
        <w:t>1.</w:t>
      </w:r>
      <w:r w:rsidRPr="000839A4">
        <w:rPr>
          <w:szCs w:val="24"/>
        </w:rPr>
        <w:tab/>
        <w:t xml:space="preserve">podílu na zisku, vyplácené dceřinou společností, která je poplatníkem uvedeným v § 17 odst. 3, mateřské společnosti, </w:t>
      </w:r>
    </w:p>
    <w:p w14:paraId="21516A2E" w14:textId="77777777" w:rsidR="000839A4" w:rsidRPr="000839A4" w:rsidRDefault="000839A4" w:rsidP="000839A4">
      <w:pPr>
        <w:tabs>
          <w:tab w:val="left" w:pos="357"/>
        </w:tabs>
        <w:spacing w:before="0"/>
        <w:ind w:left="714" w:hanging="357"/>
        <w:rPr>
          <w:szCs w:val="24"/>
        </w:rPr>
      </w:pPr>
      <w:r w:rsidRPr="000839A4">
        <w:rPr>
          <w:szCs w:val="24"/>
        </w:rPr>
        <w:t>2.</w:t>
      </w:r>
      <w:r w:rsidRPr="000839A4">
        <w:rPr>
          <w:szCs w:val="24"/>
        </w:rPr>
        <w:tab/>
        <w:t xml:space="preserve">převodu podílu mateřské společnosti v dceřiné společnosti plynoucí poplatníkovi uvedenému v § 17 odst. 3 nebo společnosti, která je daňovým rezidentem jiného členského státu Evropské unie než České republiky, </w:t>
      </w:r>
    </w:p>
    <w:p w14:paraId="4B632FFE" w14:textId="77777777" w:rsidR="000839A4" w:rsidRPr="000839A4" w:rsidRDefault="000839A4" w:rsidP="000839A4">
      <w:pPr>
        <w:tabs>
          <w:tab w:val="left" w:pos="357"/>
        </w:tabs>
        <w:spacing w:before="0"/>
        <w:ind w:left="357" w:hanging="357"/>
        <w:rPr>
          <w:szCs w:val="24"/>
        </w:rPr>
      </w:pPr>
      <w:proofErr w:type="spellStart"/>
      <w:r w:rsidRPr="000839A4">
        <w:rPr>
          <w:szCs w:val="24"/>
        </w:rPr>
        <w:t>zf</w:t>
      </w:r>
      <w:proofErr w:type="spellEnd"/>
      <w:r w:rsidRPr="000839A4">
        <w:rPr>
          <w:szCs w:val="24"/>
        </w:rPr>
        <w:t>)</w:t>
      </w:r>
      <w:r w:rsidRPr="000839A4">
        <w:rPr>
          <w:szCs w:val="24"/>
        </w:rPr>
        <w:tab/>
        <w:t xml:space="preserve">příjmy mateřské společnosti při snížení základního kapitálu dceřiné společnosti, a to nejvýše do částky, o kterou byl zvýšen vklad společníka nebo jmenovitá hodnota akcie při zvýšení základního kapitálu z vlastních zdrojů společnosti podle zvláštního právního předpisu, byl-li zdrojem tohoto zvýšení zisk společnosti nebo fond vytvořený ze zisku; obdobně se postupuje u příjmů mateřské společnosti z rozpuštění rezervního fondu nebo obdobného fondu dceřiné společnosti, </w:t>
      </w:r>
    </w:p>
    <w:p w14:paraId="3734EF7A" w14:textId="77777777" w:rsidR="000839A4" w:rsidRPr="000839A4" w:rsidRDefault="000839A4" w:rsidP="000839A4">
      <w:pPr>
        <w:tabs>
          <w:tab w:val="left" w:pos="357"/>
        </w:tabs>
        <w:spacing w:before="0"/>
        <w:ind w:left="357" w:hanging="357"/>
        <w:rPr>
          <w:szCs w:val="24"/>
        </w:rPr>
      </w:pPr>
      <w:proofErr w:type="spellStart"/>
      <w:r w:rsidRPr="000839A4">
        <w:rPr>
          <w:szCs w:val="24"/>
        </w:rPr>
        <w:t>zg</w:t>
      </w:r>
      <w:proofErr w:type="spellEnd"/>
      <w:r w:rsidRPr="000839A4">
        <w:rPr>
          <w:szCs w:val="24"/>
        </w:rPr>
        <w:t>)</w:t>
      </w:r>
      <w:r w:rsidRPr="000839A4">
        <w:rPr>
          <w:szCs w:val="24"/>
        </w:rPr>
        <w:tab/>
        <w:t>příjem plynoucí jako náhrada za služebnost vzniklou ze zákona nebo rozhodnutím státního orgánu podle jiných právních předpisů a příjem plynoucí jako náhrada za vyvlastnění na základě jiných právních předpisů,</w:t>
      </w:r>
    </w:p>
    <w:p w14:paraId="04D3EAC0" w14:textId="77777777" w:rsidR="000839A4" w:rsidRPr="000839A4" w:rsidRDefault="000839A4" w:rsidP="000839A4">
      <w:pPr>
        <w:tabs>
          <w:tab w:val="left" w:pos="357"/>
        </w:tabs>
        <w:spacing w:before="0"/>
        <w:ind w:left="357" w:hanging="357"/>
        <w:rPr>
          <w:szCs w:val="24"/>
        </w:rPr>
      </w:pPr>
      <w:proofErr w:type="spellStart"/>
      <w:r w:rsidRPr="000839A4">
        <w:rPr>
          <w:szCs w:val="24"/>
        </w:rPr>
        <w:t>zh</w:t>
      </w:r>
      <w:proofErr w:type="spellEnd"/>
      <w:r w:rsidRPr="000839A4">
        <w:rPr>
          <w:szCs w:val="24"/>
        </w:rPr>
        <w:t>)</w:t>
      </w:r>
      <w:r w:rsidRPr="000839A4">
        <w:rPr>
          <w:szCs w:val="24"/>
        </w:rPr>
        <w:tab/>
        <w:t>příjem České republiky z operací řízení likvidity státní pokladny a řízení státního dluhu podle zákona upravujícího rozpočtová pravidla,</w:t>
      </w:r>
    </w:p>
    <w:p w14:paraId="50E1698B" w14:textId="77777777" w:rsidR="000839A4" w:rsidRPr="000839A4" w:rsidRDefault="000839A4" w:rsidP="000839A4">
      <w:pPr>
        <w:tabs>
          <w:tab w:val="left" w:pos="357"/>
        </w:tabs>
        <w:spacing w:before="0"/>
        <w:ind w:left="357" w:hanging="357"/>
        <w:rPr>
          <w:szCs w:val="24"/>
        </w:rPr>
      </w:pPr>
      <w:proofErr w:type="spellStart"/>
      <w:r w:rsidRPr="000839A4">
        <w:rPr>
          <w:szCs w:val="24"/>
        </w:rPr>
        <w:t>zi</w:t>
      </w:r>
      <w:proofErr w:type="spellEnd"/>
      <w:r w:rsidRPr="000839A4">
        <w:rPr>
          <w:szCs w:val="24"/>
        </w:rPr>
        <w:t>)</w:t>
      </w:r>
      <w:r w:rsidRPr="000839A4">
        <w:rPr>
          <w:szCs w:val="24"/>
        </w:rPr>
        <w:tab/>
        <w:t xml:space="preserve">příjmy z podílu na zisku, plynoucí od dceřiné společnosti, která je daňovým rezidentem jiného členského státu Evropské unie než České republiky, mateřské společnosti, která je poplatníkem uvedeným v § 17 odst. 3, a stálé provozovně mateřské společnosti, která je poplatníkem uvedeným v § 17 odst. 4 a je umístěna na území České republiky; toto se nevztahuje na podíly na likvidačním zůstatku, vypořádací podíly, podíly na zisku vyplácené dceřinou společností, která je v likvidaci, a na podíly na zisku, pokud má dceřiná společnost možnost snížit o ně základ daně, </w:t>
      </w:r>
    </w:p>
    <w:p w14:paraId="729AD043" w14:textId="77777777" w:rsidR="000839A4" w:rsidRPr="000839A4" w:rsidRDefault="000839A4" w:rsidP="000839A4">
      <w:pPr>
        <w:tabs>
          <w:tab w:val="left" w:pos="357"/>
        </w:tabs>
        <w:spacing w:before="0"/>
        <w:ind w:left="357" w:hanging="357"/>
        <w:rPr>
          <w:szCs w:val="24"/>
        </w:rPr>
      </w:pPr>
      <w:proofErr w:type="spellStart"/>
      <w:r w:rsidRPr="000839A4">
        <w:rPr>
          <w:szCs w:val="24"/>
        </w:rPr>
        <w:t>zj</w:t>
      </w:r>
      <w:proofErr w:type="spellEnd"/>
      <w:r w:rsidRPr="000839A4">
        <w:rPr>
          <w:szCs w:val="24"/>
        </w:rPr>
        <w:t>)</w:t>
      </w:r>
      <w:r w:rsidRPr="000839A4">
        <w:rPr>
          <w:szCs w:val="24"/>
        </w:rPr>
        <w:tab/>
        <w:t xml:space="preserve">licenční poplatky plynoucí obchodní korporaci, která je daňovým rezidentem jiného členského státu Evropské unie než České republiky, od </w:t>
      </w:r>
    </w:p>
    <w:p w14:paraId="38348138" w14:textId="77777777" w:rsidR="000839A4" w:rsidRPr="000839A4" w:rsidRDefault="000839A4" w:rsidP="000839A4">
      <w:pPr>
        <w:tabs>
          <w:tab w:val="left" w:pos="357"/>
        </w:tabs>
        <w:spacing w:before="0"/>
        <w:ind w:left="714" w:hanging="357"/>
        <w:rPr>
          <w:szCs w:val="24"/>
        </w:rPr>
      </w:pPr>
      <w:r w:rsidRPr="000839A4">
        <w:rPr>
          <w:szCs w:val="24"/>
        </w:rPr>
        <w:t>1.</w:t>
      </w:r>
      <w:r w:rsidRPr="000839A4">
        <w:rPr>
          <w:szCs w:val="24"/>
        </w:rPr>
        <w:tab/>
        <w:t xml:space="preserve">obchodní korporace, která je daňovým rezidentem České republiky, nebo </w:t>
      </w:r>
    </w:p>
    <w:p w14:paraId="514E03F4" w14:textId="77777777" w:rsidR="000839A4" w:rsidRPr="000839A4" w:rsidRDefault="000839A4" w:rsidP="000839A4">
      <w:pPr>
        <w:tabs>
          <w:tab w:val="left" w:pos="357"/>
        </w:tabs>
        <w:spacing w:before="0"/>
        <w:ind w:left="714" w:hanging="357"/>
        <w:rPr>
          <w:szCs w:val="24"/>
        </w:rPr>
      </w:pPr>
      <w:r w:rsidRPr="000839A4">
        <w:rPr>
          <w:szCs w:val="24"/>
        </w:rPr>
        <w:lastRenderedPageBreak/>
        <w:t>2.</w:t>
      </w:r>
      <w:r w:rsidRPr="000839A4">
        <w:rPr>
          <w:szCs w:val="24"/>
        </w:rPr>
        <w:tab/>
        <w:t xml:space="preserve">stálé provozovny obchodní korporace, která je daňovým rezidentem jiného členského státu Evropské unie než České republiky, na území České republiky, </w:t>
      </w:r>
    </w:p>
    <w:p w14:paraId="38FA93D6" w14:textId="77777777" w:rsidR="000839A4" w:rsidRPr="000839A4" w:rsidRDefault="000839A4" w:rsidP="000839A4">
      <w:pPr>
        <w:tabs>
          <w:tab w:val="left" w:pos="357"/>
        </w:tabs>
        <w:spacing w:before="0"/>
        <w:ind w:left="357" w:hanging="357"/>
        <w:rPr>
          <w:szCs w:val="24"/>
        </w:rPr>
      </w:pPr>
      <w:proofErr w:type="spellStart"/>
      <w:r w:rsidRPr="000839A4">
        <w:rPr>
          <w:szCs w:val="24"/>
        </w:rPr>
        <w:t>zk</w:t>
      </w:r>
      <w:proofErr w:type="spellEnd"/>
      <w:r w:rsidRPr="000839A4">
        <w:rPr>
          <w:szCs w:val="24"/>
        </w:rPr>
        <w:t>)</w:t>
      </w:r>
      <w:r w:rsidRPr="000839A4">
        <w:rPr>
          <w:szCs w:val="24"/>
        </w:rPr>
        <w:tab/>
        <w:t xml:space="preserve">úrok z úvěrového finančního nástroje plynoucí obchodní korporaci, která je daňovým rezidentem jiného členského státu Evropské unie než České republiky, od obchodní korporace, která je daňovým rezidentem České republiky, nebo od stálé provozovny obchodní korporace, která je daňovým rezidentem jiného členského státu Evropské unie než České republiky, umístěné na území České republiky; úvěrovým finančním nástrojem se pro účely tohoto zákona rozumí závazkový právní vztah, jehož předmětem je vrácení přenechaných nebo poskytnutých peněžních prostředků; úvěrovým finančním nástrojem je vždy </w:t>
      </w:r>
    </w:p>
    <w:p w14:paraId="00065DAD" w14:textId="77777777" w:rsidR="000839A4" w:rsidRPr="000839A4" w:rsidRDefault="000839A4" w:rsidP="000839A4">
      <w:pPr>
        <w:tabs>
          <w:tab w:val="left" w:pos="357"/>
        </w:tabs>
        <w:spacing w:before="0"/>
        <w:ind w:left="714" w:hanging="357"/>
        <w:rPr>
          <w:szCs w:val="24"/>
        </w:rPr>
      </w:pPr>
      <w:r w:rsidRPr="000839A4">
        <w:rPr>
          <w:szCs w:val="24"/>
        </w:rPr>
        <w:t>1.</w:t>
      </w:r>
      <w:r w:rsidRPr="000839A4">
        <w:rPr>
          <w:szCs w:val="24"/>
        </w:rPr>
        <w:tab/>
        <w:t xml:space="preserve">úvěr, </w:t>
      </w:r>
    </w:p>
    <w:p w14:paraId="0F445CAA" w14:textId="77777777" w:rsidR="000839A4" w:rsidRPr="000839A4" w:rsidRDefault="000839A4" w:rsidP="000839A4">
      <w:pPr>
        <w:tabs>
          <w:tab w:val="left" w:pos="357"/>
        </w:tabs>
        <w:spacing w:before="0"/>
        <w:ind w:left="714" w:hanging="357"/>
        <w:rPr>
          <w:szCs w:val="24"/>
        </w:rPr>
      </w:pPr>
      <w:r w:rsidRPr="000839A4">
        <w:rPr>
          <w:szCs w:val="24"/>
        </w:rPr>
        <w:t>2.</w:t>
      </w:r>
      <w:r w:rsidRPr="000839A4">
        <w:rPr>
          <w:szCs w:val="24"/>
        </w:rPr>
        <w:tab/>
        <w:t xml:space="preserve">zápůjčka, </w:t>
      </w:r>
    </w:p>
    <w:p w14:paraId="4CA39CAE" w14:textId="77777777" w:rsidR="000839A4" w:rsidRPr="000839A4" w:rsidRDefault="000839A4" w:rsidP="000839A4">
      <w:pPr>
        <w:tabs>
          <w:tab w:val="left" w:pos="357"/>
        </w:tabs>
        <w:spacing w:before="0"/>
        <w:ind w:left="714" w:hanging="357"/>
        <w:rPr>
          <w:szCs w:val="24"/>
        </w:rPr>
      </w:pPr>
      <w:r w:rsidRPr="000839A4">
        <w:rPr>
          <w:szCs w:val="24"/>
        </w:rPr>
        <w:t>3.</w:t>
      </w:r>
      <w:r w:rsidRPr="000839A4">
        <w:rPr>
          <w:szCs w:val="24"/>
        </w:rPr>
        <w:tab/>
        <w:t xml:space="preserve">dluhopis, </w:t>
      </w:r>
    </w:p>
    <w:p w14:paraId="3BBEAC2D" w14:textId="77777777" w:rsidR="000839A4" w:rsidRPr="000839A4" w:rsidRDefault="000839A4" w:rsidP="000839A4">
      <w:pPr>
        <w:tabs>
          <w:tab w:val="left" w:pos="357"/>
        </w:tabs>
        <w:spacing w:before="0"/>
        <w:ind w:left="714" w:hanging="357"/>
        <w:rPr>
          <w:szCs w:val="24"/>
        </w:rPr>
      </w:pPr>
      <w:r w:rsidRPr="000839A4">
        <w:rPr>
          <w:szCs w:val="24"/>
        </w:rPr>
        <w:t>4.</w:t>
      </w:r>
      <w:r w:rsidRPr="000839A4">
        <w:rPr>
          <w:szCs w:val="24"/>
        </w:rPr>
        <w:tab/>
        <w:t xml:space="preserve">vkladní list, vkladový certifikát a vklad jim na roveň postavený a </w:t>
      </w:r>
    </w:p>
    <w:p w14:paraId="1CE0105E" w14:textId="77777777" w:rsidR="000839A4" w:rsidRPr="000839A4" w:rsidRDefault="000839A4" w:rsidP="000839A4">
      <w:pPr>
        <w:tabs>
          <w:tab w:val="left" w:pos="357"/>
        </w:tabs>
        <w:spacing w:before="0"/>
        <w:ind w:left="714" w:hanging="357"/>
        <w:rPr>
          <w:szCs w:val="24"/>
        </w:rPr>
      </w:pPr>
      <w:r w:rsidRPr="000839A4">
        <w:rPr>
          <w:szCs w:val="24"/>
        </w:rPr>
        <w:t>5.</w:t>
      </w:r>
      <w:r w:rsidRPr="000839A4">
        <w:rPr>
          <w:szCs w:val="24"/>
        </w:rPr>
        <w:tab/>
        <w:t xml:space="preserve">směnka, jejímž vydáním získává směnečný dlužník peněžní prostředky. </w:t>
      </w:r>
    </w:p>
    <w:p w14:paraId="5AE0ADB4" w14:textId="77777777" w:rsidR="000839A4" w:rsidRPr="000839A4" w:rsidRDefault="000839A4" w:rsidP="000839A4">
      <w:pPr>
        <w:tabs>
          <w:tab w:val="left" w:pos="357"/>
        </w:tabs>
        <w:spacing w:before="0"/>
        <w:ind w:left="357" w:hanging="357"/>
        <w:rPr>
          <w:szCs w:val="24"/>
        </w:rPr>
      </w:pPr>
      <w:proofErr w:type="spellStart"/>
      <w:r w:rsidRPr="000839A4">
        <w:rPr>
          <w:szCs w:val="24"/>
        </w:rPr>
        <w:t>zl</w:t>
      </w:r>
      <w:proofErr w:type="spellEnd"/>
      <w:r w:rsidRPr="000839A4">
        <w:rPr>
          <w:szCs w:val="24"/>
        </w:rPr>
        <w:t>)</w:t>
      </w:r>
      <w:r w:rsidRPr="000839A4">
        <w:rPr>
          <w:szCs w:val="24"/>
        </w:rPr>
        <w:tab/>
        <w:t>výnosy z prostředků rezerv uložených na zvláštním vázaném účtu v bance podle zvláštního právního předpisu</w:t>
      </w:r>
      <w:r w:rsidRPr="000839A4">
        <w:rPr>
          <w:szCs w:val="24"/>
          <w:vertAlign w:val="superscript"/>
        </w:rPr>
        <w:footnoteReference w:customMarkFollows="1" w:id="153"/>
        <w:t>22a)</w:t>
      </w:r>
      <w:r w:rsidRPr="000839A4">
        <w:rPr>
          <w:szCs w:val="24"/>
        </w:rPr>
        <w:t xml:space="preserve"> a výnosy ze státních dluhopisů pořízených z prostředků zvláštního vázaného účtu v bance podle zvláštního právního předpisu</w:t>
      </w:r>
      <w:r w:rsidRPr="000839A4">
        <w:rPr>
          <w:szCs w:val="24"/>
          <w:vertAlign w:val="superscript"/>
        </w:rPr>
        <w:t>22a)</w:t>
      </w:r>
      <w:r w:rsidRPr="000839A4">
        <w:rPr>
          <w:szCs w:val="24"/>
        </w:rPr>
        <w:t xml:space="preserve"> a vedených na samostatném účtu u České národní banky, ve Středisku cenných papírů nebo v centrálním depozitáři, na který Česká republika jednající prostřednictvím Ministerstva financí převede evidence Střediska cenných papírů (dále jen „centrální depozitář“), v případě, stanou-li se příjmem zvláštního vázaného účtu podle zvláštního právního předpisu</w:t>
      </w:r>
      <w:r w:rsidRPr="000839A4">
        <w:rPr>
          <w:szCs w:val="24"/>
          <w:vertAlign w:val="superscript"/>
        </w:rPr>
        <w:t>22a)</w:t>
      </w:r>
      <w:r w:rsidRPr="000839A4">
        <w:rPr>
          <w:strike/>
          <w:szCs w:val="24"/>
        </w:rPr>
        <w:t>.</w:t>
      </w:r>
      <w:r w:rsidRPr="000839A4">
        <w:rPr>
          <w:b/>
          <w:szCs w:val="24"/>
        </w:rPr>
        <w:t>,</w:t>
      </w:r>
    </w:p>
    <w:p w14:paraId="7874BE22" w14:textId="77777777" w:rsidR="000839A4" w:rsidRPr="000839A4" w:rsidRDefault="000839A4" w:rsidP="000839A4">
      <w:pPr>
        <w:spacing w:before="0"/>
        <w:ind w:left="426" w:hanging="426"/>
        <w:rPr>
          <w:b/>
          <w:noProof/>
          <w:szCs w:val="24"/>
        </w:rPr>
      </w:pPr>
      <w:r w:rsidRPr="000839A4">
        <w:rPr>
          <w:b/>
          <w:noProof/>
          <w:szCs w:val="24"/>
        </w:rPr>
        <w:t>zm)</w:t>
      </w:r>
      <w:r w:rsidRPr="000839A4">
        <w:rPr>
          <w:b/>
          <w:noProof/>
          <w:szCs w:val="24"/>
        </w:rPr>
        <w:tab/>
        <w:t>příjmy poplatníka, který může snížit základ daně o položku snižující základ daně podle § 20 odst. 7 a jehož příjmy za zdaňovací období nepřesáhnou 300 000 Kč, s výjimkou příjmu, ze kterého je daň vybírána srážkou podle zvláštní sazby daně.</w:t>
      </w:r>
    </w:p>
    <w:p w14:paraId="31AF2633" w14:textId="77777777" w:rsidR="000839A4" w:rsidRPr="000839A4" w:rsidRDefault="000839A4" w:rsidP="000839A4">
      <w:pPr>
        <w:tabs>
          <w:tab w:val="left" w:pos="851"/>
        </w:tabs>
        <w:spacing w:before="120" w:after="120"/>
        <w:ind w:firstLine="427"/>
        <w:outlineLvl w:val="6"/>
      </w:pPr>
      <w:r w:rsidRPr="000839A4">
        <w:t xml:space="preserve">(2) Osvobození podle odstavce 1 písm. ze) a podle odstavců 8 až 10 se nevztahuje na </w:t>
      </w:r>
    </w:p>
    <w:p w14:paraId="27593225"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 xml:space="preserve">podíly na zisku vyplácené dceřinou společností, která je v likvidaci, mateřské společnosti, není-li mateřská společnost společností, která je daňovým rezidentem jiného členského státu Evropské unie než České republiky, </w:t>
      </w:r>
    </w:p>
    <w:p w14:paraId="23E57116"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příjmy z převodu podílu mateřské společnosti v dceřiné společnosti, pokud je dceřiná společnost poplatníkem uvedeným v § 17 odst. 3 a je v likvidaci.</w:t>
      </w:r>
    </w:p>
    <w:p w14:paraId="343022F3" w14:textId="77777777" w:rsidR="000839A4" w:rsidRPr="000839A4" w:rsidRDefault="000839A4" w:rsidP="000839A4">
      <w:pPr>
        <w:tabs>
          <w:tab w:val="left" w:pos="851"/>
        </w:tabs>
        <w:spacing w:before="120" w:after="120"/>
        <w:ind w:firstLine="427"/>
        <w:outlineLvl w:val="6"/>
      </w:pPr>
      <w:r w:rsidRPr="000839A4">
        <w:t xml:space="preserve">(3) Pro účely tohoto zákona se rozumí </w:t>
      </w:r>
    </w:p>
    <w:p w14:paraId="35B98278"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 xml:space="preserve">společností, která je daňovým rezidentem jiného členského státu Evropské unie než České republiky, obchodní korporace, která není poplatníkem uvedeným v § 17 odst. 3 a </w:t>
      </w:r>
    </w:p>
    <w:p w14:paraId="28CF064B" w14:textId="77777777" w:rsidR="000839A4" w:rsidRPr="000839A4" w:rsidRDefault="000839A4" w:rsidP="000839A4">
      <w:pPr>
        <w:tabs>
          <w:tab w:val="left" w:pos="357"/>
        </w:tabs>
        <w:spacing w:before="0"/>
        <w:ind w:left="714" w:hanging="357"/>
        <w:rPr>
          <w:szCs w:val="24"/>
        </w:rPr>
      </w:pPr>
      <w:r w:rsidRPr="000839A4">
        <w:rPr>
          <w:szCs w:val="24"/>
        </w:rPr>
        <w:t>1.</w:t>
      </w:r>
      <w:r w:rsidRPr="000839A4">
        <w:rPr>
          <w:szCs w:val="24"/>
        </w:rPr>
        <w:tab/>
        <w:t>má některou z forem uvedených v předpisech Evropských společenství;</w:t>
      </w:r>
      <w:bookmarkStart w:id="24" w:name="_Ref535916579"/>
      <w:r w:rsidRPr="000839A4">
        <w:rPr>
          <w:szCs w:val="24"/>
          <w:vertAlign w:val="superscript"/>
        </w:rPr>
        <w:footnoteReference w:customMarkFollows="1" w:id="154"/>
        <w:t>93)</w:t>
      </w:r>
      <w:bookmarkEnd w:id="24"/>
      <w:r w:rsidRPr="000839A4">
        <w:rPr>
          <w:szCs w:val="24"/>
        </w:rPr>
        <w:t xml:space="preserve"> tyto formy uveřejní Ministerstvo financí ve Finančním zpravodaji a v informačním systému s dálkovým přístupem a </w:t>
      </w:r>
    </w:p>
    <w:p w14:paraId="293136C7" w14:textId="77777777" w:rsidR="000839A4" w:rsidRPr="000839A4" w:rsidRDefault="000839A4" w:rsidP="000839A4">
      <w:pPr>
        <w:tabs>
          <w:tab w:val="left" w:pos="357"/>
        </w:tabs>
        <w:spacing w:before="0"/>
        <w:ind w:left="714" w:hanging="357"/>
        <w:rPr>
          <w:szCs w:val="24"/>
        </w:rPr>
      </w:pPr>
      <w:r w:rsidRPr="000839A4">
        <w:rPr>
          <w:szCs w:val="24"/>
        </w:rPr>
        <w:t>2.</w:t>
      </w:r>
      <w:r w:rsidRPr="000839A4">
        <w:rPr>
          <w:szCs w:val="24"/>
        </w:rPr>
        <w:tab/>
        <w:t xml:space="preserve">podle daňových zákonů členských států Evropské unie je považována za daňového rezidenta a není považována za daňového rezidenta mimo Evropskou unii podle mezinárodní smlouvy upravující zamezení dvojímu zdanění všech druhů příjmů s třetím státem a </w:t>
      </w:r>
    </w:p>
    <w:p w14:paraId="600F275D" w14:textId="77777777" w:rsidR="000839A4" w:rsidRPr="000839A4" w:rsidRDefault="000839A4" w:rsidP="000839A4">
      <w:pPr>
        <w:tabs>
          <w:tab w:val="left" w:pos="357"/>
        </w:tabs>
        <w:spacing w:before="0"/>
        <w:ind w:left="714" w:hanging="357"/>
        <w:rPr>
          <w:szCs w:val="24"/>
        </w:rPr>
      </w:pPr>
      <w:r w:rsidRPr="000839A4">
        <w:rPr>
          <w:szCs w:val="24"/>
        </w:rPr>
        <w:lastRenderedPageBreak/>
        <w:t>3.</w:t>
      </w:r>
      <w:r w:rsidRPr="000839A4">
        <w:rPr>
          <w:szCs w:val="24"/>
        </w:rPr>
        <w:tab/>
        <w:t xml:space="preserve">podléhá některé z daní uvedených v příslušném právním předpisu Evropských </w:t>
      </w:r>
      <w:proofErr w:type="gramStart"/>
      <w:r w:rsidRPr="000839A4">
        <w:rPr>
          <w:szCs w:val="24"/>
        </w:rPr>
        <w:t>společenství,</w:t>
      </w:r>
      <w:r w:rsidRPr="000839A4">
        <w:rPr>
          <w:szCs w:val="24"/>
          <w:vertAlign w:val="superscript"/>
        </w:rPr>
        <w:t>93</w:t>
      </w:r>
      <w:proofErr w:type="gramEnd"/>
      <w:r w:rsidRPr="000839A4">
        <w:rPr>
          <w:szCs w:val="24"/>
          <w:vertAlign w:val="superscript"/>
        </w:rPr>
        <w:t>)</w:t>
      </w:r>
      <w:r w:rsidRPr="000839A4">
        <w:rPr>
          <w:szCs w:val="24"/>
        </w:rPr>
        <w:t xml:space="preserve"> které mají stejný nebo podobný charakter jako daň z příjmů. Seznam těchto daní uveřejní Ministerstvo financí ve Finančním zpravodaji a v informačním systému s dálkovým přístupem; za obchodní korporaci podléhající těmto daním se nepovažuje obchodní korporace, která je od daně osvobozena nebo si může zvolit osvobození od daně, </w:t>
      </w:r>
    </w:p>
    <w:p w14:paraId="40660808"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mateřskou společností obchodní korporace, je-li poplatníkem uvedeným v § 17 odst. 3 a má některou z forem uvedených v předpisech Evropské unie</w:t>
      </w:r>
      <w:r w:rsidRPr="000839A4">
        <w:rPr>
          <w:szCs w:val="24"/>
          <w:vertAlign w:val="superscript"/>
        </w:rPr>
        <w:t>93)</w:t>
      </w:r>
      <w:r w:rsidRPr="000839A4">
        <w:rPr>
          <w:szCs w:val="24"/>
        </w:rPr>
        <w:t xml:space="preserve"> nebo formu družstva, </w:t>
      </w:r>
      <w:proofErr w:type="spellStart"/>
      <w:r w:rsidRPr="000839A4">
        <w:rPr>
          <w:szCs w:val="24"/>
        </w:rPr>
        <w:t>svěřenský</w:t>
      </w:r>
      <w:proofErr w:type="spellEnd"/>
      <w:r w:rsidRPr="000839A4">
        <w:rPr>
          <w:szCs w:val="24"/>
        </w:rPr>
        <w:t xml:space="preserve"> fond, rodinná fundace, dobrovolný svazek obcí, kraj, Česká republika nebo společnost, která je daňovým rezidentem jiného členského státu Evropské unie než České republiky, pokud </w:t>
      </w:r>
      <w:r w:rsidRPr="000839A4">
        <w:rPr>
          <w:strike/>
          <w:szCs w:val="24"/>
        </w:rPr>
        <w:t>v jejich obchodním majetku je</w:t>
      </w:r>
      <w:r w:rsidRPr="000839A4">
        <w:rPr>
          <w:szCs w:val="24"/>
        </w:rPr>
        <w:t xml:space="preserve"> </w:t>
      </w:r>
      <w:r w:rsidRPr="000839A4">
        <w:rPr>
          <w:b/>
          <w:szCs w:val="24"/>
        </w:rPr>
        <w:t>má</w:t>
      </w:r>
      <w:r w:rsidRPr="000839A4">
        <w:rPr>
          <w:szCs w:val="24"/>
        </w:rPr>
        <w:t xml:space="preserve"> nejméně po dobu 12 měsíců nepřetržitě alespoň 10% podíl na základním kapitálu jiné obchodní korporace, </w:t>
      </w:r>
    </w:p>
    <w:p w14:paraId="254EEE4E" w14:textId="77777777" w:rsidR="000839A4" w:rsidRPr="000839A4" w:rsidRDefault="000839A4" w:rsidP="000839A4">
      <w:pPr>
        <w:tabs>
          <w:tab w:val="left" w:pos="357"/>
        </w:tabs>
        <w:spacing w:before="0"/>
        <w:ind w:left="357" w:hanging="357"/>
        <w:rPr>
          <w:szCs w:val="24"/>
        </w:rPr>
      </w:pPr>
      <w:r w:rsidRPr="000839A4">
        <w:rPr>
          <w:szCs w:val="24"/>
        </w:rPr>
        <w:t>c)</w:t>
      </w:r>
      <w:r w:rsidRPr="000839A4">
        <w:rPr>
          <w:szCs w:val="24"/>
        </w:rPr>
        <w:tab/>
        <w:t>dceřinou společností obchodní korporace, je-li poplatníkem uvedeným v § 17 odst. 3 a má některou z forem uvedených v předpisech Evropské unie</w:t>
      </w:r>
      <w:r w:rsidRPr="000839A4">
        <w:rPr>
          <w:szCs w:val="24"/>
          <w:vertAlign w:val="superscript"/>
        </w:rPr>
        <w:t>93)</w:t>
      </w:r>
      <w:r w:rsidRPr="000839A4">
        <w:rPr>
          <w:szCs w:val="24"/>
        </w:rPr>
        <w:t xml:space="preserve"> nebo formu družstva, nebo obchodní korporace, která je daňovým rezidentem jiného členského státu Evropské unie než České republiky, na jejímž základním kapitálu má mateřská společnost nejméně po dobu 12 měsíců nepřetržitě alespoň 10% podíl, </w:t>
      </w:r>
    </w:p>
    <w:p w14:paraId="6018E02E" w14:textId="77777777" w:rsidR="000839A4" w:rsidRPr="000839A4" w:rsidRDefault="000839A4" w:rsidP="000839A4">
      <w:pPr>
        <w:tabs>
          <w:tab w:val="left" w:pos="357"/>
        </w:tabs>
        <w:spacing w:before="0"/>
        <w:ind w:left="357" w:hanging="357"/>
        <w:rPr>
          <w:szCs w:val="24"/>
        </w:rPr>
      </w:pPr>
      <w:r w:rsidRPr="000839A4">
        <w:rPr>
          <w:szCs w:val="24"/>
        </w:rPr>
        <w:t>d)</w:t>
      </w:r>
      <w:r w:rsidRPr="000839A4">
        <w:rPr>
          <w:szCs w:val="24"/>
        </w:rPr>
        <w:tab/>
        <w:t xml:space="preserve">třetím státem stát, který není členským státem Evropské unie. </w:t>
      </w:r>
    </w:p>
    <w:p w14:paraId="355D273E" w14:textId="77777777" w:rsidR="000839A4" w:rsidRPr="000839A4" w:rsidRDefault="000839A4" w:rsidP="000839A4">
      <w:pPr>
        <w:tabs>
          <w:tab w:val="left" w:pos="851"/>
        </w:tabs>
        <w:spacing w:before="120" w:after="120"/>
        <w:ind w:firstLine="427"/>
        <w:outlineLvl w:val="6"/>
      </w:pPr>
      <w:r w:rsidRPr="000839A4">
        <w:t xml:space="preserve">(4) Osvobození podle odstavce 1 písm. ze), </w:t>
      </w:r>
      <w:proofErr w:type="spellStart"/>
      <w:r w:rsidRPr="000839A4">
        <w:t>zf</w:t>
      </w:r>
      <w:proofErr w:type="spellEnd"/>
      <w:r w:rsidRPr="000839A4">
        <w:t xml:space="preserve">) a </w:t>
      </w:r>
      <w:proofErr w:type="spellStart"/>
      <w:r w:rsidRPr="000839A4">
        <w:t>zi</w:t>
      </w:r>
      <w:proofErr w:type="spellEnd"/>
      <w:r w:rsidRPr="000839A4">
        <w:t xml:space="preserve">) a podle odstavce 9 lze uplatnit při splnění podmínky 10% podílu na základním kapitálu, i před splněním podmínky 12 měsíců nepřetržitého trvání podle odstavce 3, avšak následně musí být tato podmínka splněna. Nebude-li splněna minimální výše podílu 10 % na základním kapitálu nepřetržitě po dobu nejméně 12 měsíců, posuzuje se osvobození od daně podle </w:t>
      </w:r>
    </w:p>
    <w:p w14:paraId="51B749E4"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 xml:space="preserve">odstavce 1 písm. ze) bodu 2, písm. </w:t>
      </w:r>
      <w:proofErr w:type="spellStart"/>
      <w:r w:rsidRPr="000839A4">
        <w:rPr>
          <w:szCs w:val="24"/>
        </w:rPr>
        <w:t>zf</w:t>
      </w:r>
      <w:proofErr w:type="spellEnd"/>
      <w:r w:rsidRPr="000839A4">
        <w:rPr>
          <w:szCs w:val="24"/>
        </w:rPr>
        <w:t xml:space="preserve">) a </w:t>
      </w:r>
      <w:proofErr w:type="spellStart"/>
      <w:r w:rsidRPr="000839A4">
        <w:rPr>
          <w:szCs w:val="24"/>
        </w:rPr>
        <w:t>zi</w:t>
      </w:r>
      <w:proofErr w:type="spellEnd"/>
      <w:r w:rsidRPr="000839A4">
        <w:rPr>
          <w:szCs w:val="24"/>
        </w:rPr>
        <w:t xml:space="preserve">) uplatněné poplatníkem uvedeným v § 17 odst. 3 jako nesplnění jeho daňové povinnosti ve zdaňovacím období </w:t>
      </w:r>
      <w:r w:rsidRPr="000839A4">
        <w:rPr>
          <w:strike/>
          <w:szCs w:val="24"/>
        </w:rPr>
        <w:t>nebo období, za něž je podáváno daňové přiznání</w:t>
      </w:r>
      <w:r w:rsidRPr="000839A4">
        <w:rPr>
          <w:szCs w:val="24"/>
        </w:rPr>
        <w:t xml:space="preserve">, za které bylo osvobození od daně uplatněno, </w:t>
      </w:r>
    </w:p>
    <w:p w14:paraId="7F9A9DE5"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 xml:space="preserve">odstavce 1 písm. ze) bodu 1 a písm. </w:t>
      </w:r>
      <w:proofErr w:type="spellStart"/>
      <w:r w:rsidRPr="000839A4">
        <w:rPr>
          <w:szCs w:val="24"/>
        </w:rPr>
        <w:t>zf</w:t>
      </w:r>
      <w:proofErr w:type="spellEnd"/>
      <w:r w:rsidRPr="000839A4">
        <w:rPr>
          <w:szCs w:val="24"/>
        </w:rPr>
        <w:t xml:space="preserve">) uplatněné plátcem daně jako nesplnění povinnosti plátce daně a postupuje se podle § 38s. </w:t>
      </w:r>
    </w:p>
    <w:p w14:paraId="69A853DF" w14:textId="77777777" w:rsidR="000839A4" w:rsidRPr="000839A4" w:rsidRDefault="000839A4" w:rsidP="000839A4">
      <w:pPr>
        <w:tabs>
          <w:tab w:val="left" w:pos="851"/>
        </w:tabs>
        <w:spacing w:before="120" w:after="120"/>
        <w:ind w:firstLine="427"/>
        <w:outlineLvl w:val="6"/>
      </w:pPr>
      <w:r w:rsidRPr="000839A4">
        <w:t xml:space="preserve">(5) Osvobození podle odstavce 1 písm. </w:t>
      </w:r>
      <w:proofErr w:type="spellStart"/>
      <w:r w:rsidRPr="000839A4">
        <w:t>zj</w:t>
      </w:r>
      <w:proofErr w:type="spellEnd"/>
      <w:r w:rsidRPr="000839A4">
        <w:t xml:space="preserve">) a </w:t>
      </w:r>
      <w:proofErr w:type="spellStart"/>
      <w:r w:rsidRPr="000839A4">
        <w:t>zk</w:t>
      </w:r>
      <w:proofErr w:type="spellEnd"/>
      <w:r w:rsidRPr="000839A4">
        <w:t xml:space="preserve">) lze uplatnit, pokud </w:t>
      </w:r>
    </w:p>
    <w:p w14:paraId="79A6919D" w14:textId="77777777" w:rsidR="000839A4" w:rsidRPr="000839A4" w:rsidRDefault="000839A4" w:rsidP="000839A4">
      <w:pPr>
        <w:tabs>
          <w:tab w:val="left" w:pos="357"/>
        </w:tabs>
        <w:spacing w:before="0"/>
        <w:ind w:left="714" w:hanging="357"/>
        <w:rPr>
          <w:szCs w:val="24"/>
        </w:rPr>
      </w:pPr>
      <w:r w:rsidRPr="000839A4">
        <w:rPr>
          <w:szCs w:val="24"/>
        </w:rPr>
        <w:t>1.</w:t>
      </w:r>
      <w:r w:rsidRPr="000839A4">
        <w:rPr>
          <w:szCs w:val="24"/>
        </w:rPr>
        <w:tab/>
        <w:t xml:space="preserve">plátce úroků z úvěrového finančního nástroje nebo licenčních poplatků a příjemce úroků z úvěrového finančního nástroje nebo licenčních poplatků jsou osobami přímo kapitálově spojenými po dobu alespoň 24 měsíců nepřetržitě po sobě jdoucích a </w:t>
      </w:r>
    </w:p>
    <w:p w14:paraId="062D1AB1" w14:textId="77777777" w:rsidR="000839A4" w:rsidRPr="000839A4" w:rsidRDefault="000839A4" w:rsidP="000839A4">
      <w:pPr>
        <w:tabs>
          <w:tab w:val="left" w:pos="357"/>
        </w:tabs>
        <w:spacing w:before="0"/>
        <w:ind w:left="714" w:hanging="357"/>
        <w:rPr>
          <w:szCs w:val="24"/>
        </w:rPr>
      </w:pPr>
      <w:r w:rsidRPr="000839A4">
        <w:rPr>
          <w:szCs w:val="24"/>
        </w:rPr>
        <w:t>2.</w:t>
      </w:r>
      <w:r w:rsidRPr="000839A4">
        <w:rPr>
          <w:szCs w:val="24"/>
        </w:rPr>
        <w:tab/>
        <w:t xml:space="preserve">příjemce úroků z úvěrového finančního nástroje nebo licenčních poplatků je jejich skutečným vlastníkem a </w:t>
      </w:r>
    </w:p>
    <w:p w14:paraId="0B65A616" w14:textId="77777777" w:rsidR="000839A4" w:rsidRPr="000839A4" w:rsidRDefault="000839A4" w:rsidP="000839A4">
      <w:pPr>
        <w:tabs>
          <w:tab w:val="left" w:pos="357"/>
        </w:tabs>
        <w:spacing w:before="0"/>
        <w:ind w:left="714" w:hanging="357"/>
        <w:rPr>
          <w:szCs w:val="24"/>
        </w:rPr>
      </w:pPr>
      <w:r w:rsidRPr="000839A4">
        <w:rPr>
          <w:szCs w:val="24"/>
        </w:rPr>
        <w:t>3.</w:t>
      </w:r>
      <w:r w:rsidRPr="000839A4">
        <w:rPr>
          <w:szCs w:val="24"/>
        </w:rPr>
        <w:tab/>
        <w:t xml:space="preserve">úroky z úvěrového finančního nástroje nebo licenční poplatky nejsou přičitatelné stálé provozovně umístěné na území České republiky nebo státu, který není členským státem Evropské unie, státem tvořícím Evropský hospodářský prostor nebo Švýcarskou konfederací, a </w:t>
      </w:r>
    </w:p>
    <w:p w14:paraId="55A14CCB" w14:textId="77777777" w:rsidR="000839A4" w:rsidRPr="000839A4" w:rsidRDefault="000839A4" w:rsidP="000839A4">
      <w:pPr>
        <w:tabs>
          <w:tab w:val="left" w:pos="357"/>
        </w:tabs>
        <w:spacing w:before="0"/>
        <w:ind w:left="714" w:hanging="357"/>
        <w:rPr>
          <w:szCs w:val="24"/>
        </w:rPr>
      </w:pPr>
      <w:r w:rsidRPr="000839A4">
        <w:rPr>
          <w:szCs w:val="24"/>
        </w:rPr>
        <w:t>4.</w:t>
      </w:r>
      <w:r w:rsidRPr="000839A4">
        <w:rPr>
          <w:szCs w:val="24"/>
        </w:rPr>
        <w:tab/>
        <w:t xml:space="preserve">příjemci úroků z úvěrového finančního nástroje nebo licenčních poplatků bylo vydáno rozhodnutí podle § 38nb. </w:t>
      </w:r>
    </w:p>
    <w:p w14:paraId="280BE76E" w14:textId="77777777" w:rsidR="000839A4" w:rsidRPr="000839A4" w:rsidRDefault="000839A4" w:rsidP="000839A4">
      <w:pPr>
        <w:tabs>
          <w:tab w:val="left" w:pos="851"/>
        </w:tabs>
        <w:spacing w:before="120" w:after="120"/>
        <w:ind w:firstLine="427"/>
        <w:outlineLvl w:val="6"/>
      </w:pPr>
      <w:r w:rsidRPr="000839A4">
        <w:t xml:space="preserve">Osvobození lze uplatnit i před splněním podmínky uvedené v bodě 1, avšak následně musí být tato podmínka splněna. Při nedodržení této podmínky se postupuje přiměřeně podle odstavce 4. </w:t>
      </w:r>
    </w:p>
    <w:p w14:paraId="6BBA3F13" w14:textId="77777777" w:rsidR="000839A4" w:rsidRPr="000839A4" w:rsidRDefault="000839A4" w:rsidP="000839A4">
      <w:pPr>
        <w:tabs>
          <w:tab w:val="left" w:pos="851"/>
        </w:tabs>
        <w:spacing w:before="120" w:after="120"/>
        <w:ind w:firstLine="427"/>
        <w:outlineLvl w:val="6"/>
      </w:pPr>
      <w:r w:rsidRPr="000839A4">
        <w:t xml:space="preserve">(6) Příjemce podílu na zisku, příjmu z převodu podílu mateřské společnosti v dceřiné společnosti, úroků z úvěrového finančního nástroje a licenčních poplatků je jejich skutečným </w:t>
      </w:r>
      <w:r w:rsidRPr="000839A4">
        <w:lastRenderedPageBreak/>
        <w:t xml:space="preserve">vlastníkem, pokud tyto platby přijímá ve svůj vlastní prospěch a nikoliv jako zprostředkovatel, zástupce nebo zmocněnec pro jinou osobu. </w:t>
      </w:r>
    </w:p>
    <w:p w14:paraId="6312AD1E" w14:textId="77777777" w:rsidR="000839A4" w:rsidRPr="000839A4" w:rsidRDefault="000839A4" w:rsidP="000839A4">
      <w:pPr>
        <w:tabs>
          <w:tab w:val="left" w:pos="851"/>
        </w:tabs>
        <w:spacing w:before="120" w:after="120"/>
        <w:ind w:firstLine="427"/>
        <w:outlineLvl w:val="6"/>
      </w:pPr>
      <w:r w:rsidRPr="000839A4">
        <w:t xml:space="preserve">(7) Licenčním poplatkem se rozumí platba jakéhokoliv druhu, která představuje náhradu za užití nebo za poskytnutí práva na užití autorského nebo jiného obdobného práva k dílu literárnímu, uměleckému nebo vědeckému, včetně filmu a filmových děl, počítačového programu (software), dále práva na patent, ochrannou známku, průmyslový vzor, návrh nebo model, plán, tajný vzorec nebo výrobní postup, nebo za výrobně technické a obchodní poznatky (know-how). Licenčním poplatkem se rozumí také příjem za nájem nebo za jakékoliv jiné využití průmyslového, obchodního nebo vědeckého zařízení. </w:t>
      </w:r>
    </w:p>
    <w:p w14:paraId="5E88436B" w14:textId="77777777" w:rsidR="000839A4" w:rsidRPr="000839A4" w:rsidRDefault="000839A4" w:rsidP="000839A4">
      <w:pPr>
        <w:tabs>
          <w:tab w:val="left" w:pos="851"/>
        </w:tabs>
        <w:spacing w:before="120" w:after="120"/>
        <w:ind w:firstLine="427"/>
        <w:outlineLvl w:val="6"/>
      </w:pPr>
      <w:r w:rsidRPr="000839A4">
        <w:t xml:space="preserve">(8) Osvobození podle odstavce 1 písm. ze) bodu 1 a písm. </w:t>
      </w:r>
      <w:proofErr w:type="spellStart"/>
      <w:r w:rsidRPr="000839A4">
        <w:t>zj</w:t>
      </w:r>
      <w:proofErr w:type="spellEnd"/>
      <w:r w:rsidRPr="000839A4">
        <w:t xml:space="preserve">) a </w:t>
      </w:r>
      <w:proofErr w:type="spellStart"/>
      <w:r w:rsidRPr="000839A4">
        <w:t>zk</w:t>
      </w:r>
      <w:proofErr w:type="spellEnd"/>
      <w:r w:rsidRPr="000839A4">
        <w:t xml:space="preserve">) lze za podmínek uvedených v odstavcích 3 až 7 pro společnost, která je daňovým rezidentem jiného členského státu Evropské unie než České republiky, použít obdobně i pro příjmy vyplácené obchodní korporací, která je poplatníkem uvedeným v § 17 odst. 3, obchodní korporaci, která je daňovým rezidentem Švýcarské konfederace, Norska, Islandu nebo Lichtenštejnska; přitom osvobození podle odstavce 1 písm. </w:t>
      </w:r>
      <w:proofErr w:type="spellStart"/>
      <w:r w:rsidRPr="000839A4">
        <w:t>zj</w:t>
      </w:r>
      <w:proofErr w:type="spellEnd"/>
      <w:r w:rsidRPr="000839A4">
        <w:t xml:space="preserve">) lze použít počínaje dnem 1. ledna 2011. Při využití osvobození podle tohoto odstavce se použije obdobně ustanovení § 25 odst. 1 písm. </w:t>
      </w:r>
      <w:proofErr w:type="spellStart"/>
      <w:r w:rsidRPr="000839A4">
        <w:t>zk</w:t>
      </w:r>
      <w:proofErr w:type="spellEnd"/>
      <w:r w:rsidRPr="000839A4">
        <w:t xml:space="preserve">). </w:t>
      </w:r>
    </w:p>
    <w:p w14:paraId="2C8F52D0" w14:textId="77777777" w:rsidR="000839A4" w:rsidRPr="000839A4" w:rsidRDefault="000839A4" w:rsidP="000839A4">
      <w:pPr>
        <w:tabs>
          <w:tab w:val="left" w:pos="851"/>
        </w:tabs>
        <w:spacing w:before="120" w:after="120"/>
        <w:ind w:firstLine="427"/>
        <w:outlineLvl w:val="6"/>
      </w:pPr>
      <w:r w:rsidRPr="000839A4">
        <w:t xml:space="preserve">(9) Osvobození podle odstavce 1 písm. ze) a </w:t>
      </w:r>
      <w:proofErr w:type="spellStart"/>
      <w:r w:rsidRPr="000839A4">
        <w:t>zi</w:t>
      </w:r>
      <w:proofErr w:type="spellEnd"/>
      <w:r w:rsidRPr="000839A4">
        <w:t xml:space="preserve">) platí i pro příjmy plynoucí poplatníkovi uvedenému v § 17 odst. 3 a společnosti, která je daňovým rezidentem jiného členského státu Evropské unie než České republiky, z podílu na zisku vypláceného obchodní korporací a z převodu podílu v obchodní korporaci, pokud tato obchodní korporace </w:t>
      </w:r>
    </w:p>
    <w:p w14:paraId="1168C178" w14:textId="77777777" w:rsidR="000839A4" w:rsidRPr="000839A4" w:rsidRDefault="000839A4" w:rsidP="000839A4">
      <w:pPr>
        <w:tabs>
          <w:tab w:val="left" w:pos="357"/>
        </w:tabs>
        <w:spacing w:before="0"/>
        <w:ind w:left="714" w:hanging="357"/>
        <w:rPr>
          <w:szCs w:val="24"/>
        </w:rPr>
      </w:pPr>
      <w:r w:rsidRPr="000839A4">
        <w:rPr>
          <w:szCs w:val="24"/>
        </w:rPr>
        <w:t>1.</w:t>
      </w:r>
      <w:r w:rsidRPr="000839A4">
        <w:rPr>
          <w:szCs w:val="24"/>
        </w:rPr>
        <w:tab/>
        <w:t xml:space="preserve">je daňovým rezidentem třetího státu, se kterým má Česká republika uzavřenou mezinárodní smlouvu upravující zamezení dvojímu zdanění všech druhů příjmů, která je prováděna, a </w:t>
      </w:r>
    </w:p>
    <w:p w14:paraId="7AD2CC24" w14:textId="77777777" w:rsidR="000839A4" w:rsidRPr="000839A4" w:rsidRDefault="000839A4" w:rsidP="000839A4">
      <w:pPr>
        <w:tabs>
          <w:tab w:val="left" w:pos="357"/>
        </w:tabs>
        <w:spacing w:before="0"/>
        <w:ind w:left="714" w:hanging="357"/>
        <w:rPr>
          <w:szCs w:val="24"/>
        </w:rPr>
      </w:pPr>
      <w:r w:rsidRPr="000839A4">
        <w:rPr>
          <w:szCs w:val="24"/>
        </w:rPr>
        <w:t>2.</w:t>
      </w:r>
      <w:r w:rsidRPr="000839A4">
        <w:rPr>
          <w:szCs w:val="24"/>
        </w:rPr>
        <w:tab/>
        <w:t xml:space="preserve">má právní formu se srovnatelnou právní charakteristikou jako společnost s ručením omezeným, akciová společnost nebo družstvo podle zvláštního právního předpisu, a </w:t>
      </w:r>
    </w:p>
    <w:p w14:paraId="03EE8016" w14:textId="77777777" w:rsidR="000839A4" w:rsidRPr="000839A4" w:rsidRDefault="000839A4" w:rsidP="000839A4">
      <w:pPr>
        <w:tabs>
          <w:tab w:val="left" w:pos="357"/>
        </w:tabs>
        <w:spacing w:before="0"/>
        <w:ind w:left="714" w:hanging="357"/>
        <w:rPr>
          <w:szCs w:val="24"/>
        </w:rPr>
      </w:pPr>
      <w:r w:rsidRPr="000839A4">
        <w:rPr>
          <w:szCs w:val="24"/>
        </w:rPr>
        <w:t>3.</w:t>
      </w:r>
      <w:r w:rsidRPr="000839A4">
        <w:rPr>
          <w:szCs w:val="24"/>
        </w:rPr>
        <w:tab/>
        <w:t xml:space="preserve">je v obdobném vztahu vůči poplatníkovi, kterému příjmy z podílu na zisku nebo z převodu podílu v obchodní korporaci plynou, jako dceřiná společnost vůči mateřské společnosti za podmínek stanovených v odstavcích 3 a 4, a </w:t>
      </w:r>
    </w:p>
    <w:p w14:paraId="6FB47AF8" w14:textId="77777777" w:rsidR="000839A4" w:rsidRPr="000839A4" w:rsidRDefault="000839A4" w:rsidP="000839A4">
      <w:pPr>
        <w:tabs>
          <w:tab w:val="left" w:pos="357"/>
        </w:tabs>
        <w:spacing w:before="0"/>
        <w:ind w:left="714" w:hanging="357"/>
        <w:rPr>
          <w:szCs w:val="24"/>
        </w:rPr>
      </w:pPr>
      <w:r w:rsidRPr="000839A4">
        <w:rPr>
          <w:szCs w:val="24"/>
        </w:rPr>
        <w:t>4.</w:t>
      </w:r>
      <w:r w:rsidRPr="000839A4">
        <w:rPr>
          <w:szCs w:val="24"/>
        </w:rPr>
        <w:tab/>
        <w:t>podléhá dani obdobné dani z příjmů právnických osob, u níž sazba daně není nižší než 12 %, a to alespoň ve zdaňovacím období, v němž poplatník uvedený v § 17 odst. 3 o příjmu z podílu na zisku nebo z převodu podílu v obchodní korporaci účtuje jako o pohledávce v souladu se zvláštním právním předpisem</w:t>
      </w:r>
      <w:r w:rsidRPr="000839A4">
        <w:rPr>
          <w:strike/>
          <w:szCs w:val="24"/>
          <w:vertAlign w:val="superscript"/>
        </w:rPr>
        <w:t>20)</w:t>
      </w:r>
      <w:r w:rsidRPr="000839A4">
        <w:rPr>
          <w:szCs w:val="24"/>
        </w:rPr>
        <w:t xml:space="preserve">, a ve zdaňovacím období předcházejícím tomuto zdaňovacímu období; přitom došlo-li u obchodní korporace k zániku bez provedení likvidace, posuzuje se splnění této podmínky u právního předchůdce; za obchodní korporaci podléhající takové dani se nepovažuje obchodní korporace, která je od daně osvobozena, nebo si může zvolit osvobození nebo obdobnou úlevu od této daně. </w:t>
      </w:r>
    </w:p>
    <w:p w14:paraId="79DE7806" w14:textId="77777777" w:rsidR="000839A4" w:rsidRPr="000839A4" w:rsidRDefault="000839A4" w:rsidP="000839A4">
      <w:pPr>
        <w:tabs>
          <w:tab w:val="left" w:pos="851"/>
        </w:tabs>
        <w:spacing w:before="120" w:after="120"/>
        <w:ind w:firstLine="427"/>
        <w:outlineLvl w:val="6"/>
      </w:pPr>
      <w:r w:rsidRPr="000839A4">
        <w:t xml:space="preserve">Osvobození podle odstavce 1 písm. ze) a </w:t>
      </w:r>
      <w:proofErr w:type="spellStart"/>
      <w:r w:rsidRPr="000839A4">
        <w:t>zi</w:t>
      </w:r>
      <w:proofErr w:type="spellEnd"/>
      <w:r w:rsidRPr="000839A4">
        <w:t xml:space="preserve">) a podle tohoto odstavce lze uplatnit, pokud příjemce příjmu z podílu na zisku nebo z převodu podílu je jejich skutečný vlastník. Výdajem vynaloženým na příjem uvedený v odstavci 1 písm. ze) bodu 2 je vždy nabývací cena tohoto podílu stanovená podle tohoto zákona. Pro stanovení výdajů (nákladů) vynaložených na příjmy (výnosy) osvobozené podle tohoto odstavce se ustanovení § 25 odst. 1 písm. </w:t>
      </w:r>
      <w:proofErr w:type="spellStart"/>
      <w:r w:rsidRPr="000839A4">
        <w:t>zk</w:t>
      </w:r>
      <w:proofErr w:type="spellEnd"/>
      <w:r w:rsidRPr="000839A4">
        <w:t xml:space="preserve">) použije přiměřeně. Osvobození podle odstavce 1 písm. ze) bodu 2 a podle tohoto odstavce nelze uplatnit u podílů v obchodní korporaci, které byly nabyty v rámci koupě obchodního závodu (§ 23 odst. 15). </w:t>
      </w:r>
    </w:p>
    <w:p w14:paraId="66AF68CD" w14:textId="77777777" w:rsidR="000839A4" w:rsidRPr="000839A4" w:rsidRDefault="000839A4" w:rsidP="000839A4">
      <w:pPr>
        <w:tabs>
          <w:tab w:val="left" w:pos="851"/>
        </w:tabs>
        <w:spacing w:before="120" w:after="120"/>
        <w:ind w:firstLine="427"/>
        <w:outlineLvl w:val="6"/>
      </w:pPr>
      <w:r w:rsidRPr="000839A4">
        <w:lastRenderedPageBreak/>
        <w:t xml:space="preserve">(10) Osvobození podle odstavce 1 písm. ze) bodu 2 a písm. </w:t>
      </w:r>
      <w:proofErr w:type="spellStart"/>
      <w:r w:rsidRPr="000839A4">
        <w:t>zi</w:t>
      </w:r>
      <w:proofErr w:type="spellEnd"/>
      <w:r w:rsidRPr="000839A4">
        <w:t xml:space="preserve">) a podle odstavce 9 lze za podmínek uvedených v odstavcích 3, 4 a 6 pro obchodní korporaci, která je daňovým rezidentem jiného členského státu Evropské unie než České republiky, použít obdobně i pro obchodní korporaci, která je daňovým rezidentem Norska, Islandu nebo Lichtenštejnska. Při využití osvobození podle tohoto odstavce se použije obdobně ustanovení § 25 odst. 1 písm. </w:t>
      </w:r>
      <w:proofErr w:type="spellStart"/>
      <w:r w:rsidRPr="000839A4">
        <w:t>zk</w:t>
      </w:r>
      <w:proofErr w:type="spellEnd"/>
      <w:r w:rsidRPr="000839A4">
        <w:t xml:space="preserve">). </w:t>
      </w:r>
    </w:p>
    <w:p w14:paraId="72546C97" w14:textId="77777777" w:rsidR="000839A4" w:rsidRPr="000839A4" w:rsidRDefault="000839A4" w:rsidP="000839A4">
      <w:pPr>
        <w:tabs>
          <w:tab w:val="left" w:pos="851"/>
        </w:tabs>
        <w:spacing w:before="120" w:after="120"/>
        <w:ind w:firstLine="427"/>
        <w:outlineLvl w:val="6"/>
      </w:pPr>
      <w:r w:rsidRPr="000839A4">
        <w:t xml:space="preserve">(11) Osvobození podle odstavce 1 písm. ze) a </w:t>
      </w:r>
      <w:proofErr w:type="spellStart"/>
      <w:r w:rsidRPr="000839A4">
        <w:t>zi</w:t>
      </w:r>
      <w:proofErr w:type="spellEnd"/>
      <w:r w:rsidRPr="000839A4">
        <w:t xml:space="preserve">) a podle odstavce 10 nelze uplatnit, pokud dceřiná společnost nebo mateřská společnost </w:t>
      </w:r>
    </w:p>
    <w:p w14:paraId="2BD6E12E"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 xml:space="preserve">je od daně z příjmu právnických osob nebo obdobné daně osvobozena, </w:t>
      </w:r>
    </w:p>
    <w:p w14:paraId="6D897328"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 xml:space="preserve">si může zvolit osvobození nebo obdobnou úlevu od daně z příjmů právnických osob nebo obdobné daně, nebo </w:t>
      </w:r>
    </w:p>
    <w:p w14:paraId="4D13B061" w14:textId="77777777" w:rsidR="000839A4" w:rsidRPr="000839A4" w:rsidRDefault="000839A4" w:rsidP="000839A4">
      <w:pPr>
        <w:tabs>
          <w:tab w:val="left" w:pos="357"/>
        </w:tabs>
        <w:spacing w:before="0"/>
        <w:ind w:left="357" w:hanging="357"/>
        <w:rPr>
          <w:szCs w:val="24"/>
        </w:rPr>
      </w:pPr>
      <w:r w:rsidRPr="000839A4">
        <w:rPr>
          <w:szCs w:val="24"/>
        </w:rPr>
        <w:t>c)</w:t>
      </w:r>
      <w:r w:rsidRPr="000839A4">
        <w:rPr>
          <w:szCs w:val="24"/>
        </w:rPr>
        <w:tab/>
        <w:t xml:space="preserve">podléhá dani z příjmů právnických osob nebo obdobné dani se sazbou ve výši 0 %. </w:t>
      </w:r>
    </w:p>
    <w:p w14:paraId="076253FB" w14:textId="77777777" w:rsidR="000839A4" w:rsidRPr="000839A4" w:rsidRDefault="000839A4" w:rsidP="000839A4">
      <w:pPr>
        <w:tabs>
          <w:tab w:val="left" w:pos="851"/>
        </w:tabs>
        <w:spacing w:before="120" w:after="120"/>
        <w:ind w:firstLine="427"/>
        <w:outlineLvl w:val="6"/>
      </w:pPr>
      <w:r w:rsidRPr="000839A4">
        <w:rPr>
          <w:b/>
          <w:bCs/>
          <w:strike/>
          <w:noProof/>
          <w:color w:val="00B050"/>
        </w:rPr>
        <mc:AlternateContent>
          <mc:Choice Requires="wps">
            <w:drawing>
              <wp:anchor distT="0" distB="0" distL="114300" distR="114300" simplePos="0" relativeHeight="251692032" behindDoc="1" locked="0" layoutInCell="1" allowOverlap="1" wp14:anchorId="1EDD33B3" wp14:editId="27151FCA">
                <wp:simplePos x="0" y="0"/>
                <wp:positionH relativeFrom="margin">
                  <wp:posOffset>-132044</wp:posOffset>
                </wp:positionH>
                <wp:positionV relativeFrom="paragraph">
                  <wp:posOffset>84827</wp:posOffset>
                </wp:positionV>
                <wp:extent cx="6003290" cy="612476"/>
                <wp:effectExtent l="0" t="0" r="16510" b="16510"/>
                <wp:wrapNone/>
                <wp:docPr id="17" name="Obdélník 17"/>
                <wp:cNvGraphicFramePr/>
                <a:graphic xmlns:a="http://schemas.openxmlformats.org/drawingml/2006/main">
                  <a:graphicData uri="http://schemas.microsoft.com/office/word/2010/wordprocessingShape">
                    <wps:wsp>
                      <wps:cNvSpPr/>
                      <wps:spPr>
                        <a:xfrm>
                          <a:off x="0" y="0"/>
                          <a:ext cx="6003290" cy="612476"/>
                        </a:xfrm>
                        <a:prstGeom prst="rect">
                          <a:avLst/>
                        </a:prstGeom>
                        <a:solidFill>
                          <a:sysClr val="window" lastClr="FFFFFF"/>
                        </a:solid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3F4BCDA" id="Obdélník 17" o:spid="_x0000_s1026" style="position:absolute;margin-left:-10.4pt;margin-top:6.7pt;width:472.7pt;height:48.25pt;z-index:-2516244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" fillcolor="window" strokecolor="#00b050" strokeweight="1pt">
                <w10:wrap anchorx="margin"/>
              </v:rect>
            </w:pict>
          </mc:Fallback>
        </mc:AlternateContent>
      </w:r>
      <w:r w:rsidRPr="000839A4">
        <w:t xml:space="preserve">(12) U akciové společnosti </w:t>
      </w:r>
      <w:r w:rsidRPr="000839A4">
        <w:rPr>
          <w:strike/>
          <w:color w:val="00B050"/>
        </w:rPr>
        <w:t>s proměnným základním kapitálem</w:t>
      </w:r>
      <w:r w:rsidRPr="000839A4">
        <w:rPr>
          <w:color w:val="00B050"/>
        </w:rPr>
        <w:t xml:space="preserve"> </w:t>
      </w:r>
      <w:r w:rsidRPr="000839A4">
        <w:t xml:space="preserve">tvořící </w:t>
      </w:r>
      <w:proofErr w:type="spellStart"/>
      <w:r w:rsidRPr="000839A4">
        <w:t>podfondy</w:t>
      </w:r>
      <w:proofErr w:type="spellEnd"/>
      <w:r w:rsidRPr="000839A4">
        <w:t xml:space="preserve"> se podmínky podle odstavce 3 písm. b) a c) posuzují za akciovou společnost a </w:t>
      </w:r>
      <w:proofErr w:type="spellStart"/>
      <w:r w:rsidRPr="000839A4">
        <w:t>podfondy</w:t>
      </w:r>
      <w:proofErr w:type="spellEnd"/>
      <w:r w:rsidRPr="000839A4">
        <w:t xml:space="preserve"> samostatně.</w:t>
      </w:r>
    </w:p>
    <w:p w14:paraId="623C7662" w14:textId="77777777" w:rsidR="000839A4" w:rsidRPr="000839A4" w:rsidRDefault="000839A4" w:rsidP="000839A4">
      <w:pPr>
        <w:keepNext/>
        <w:ind w:firstLine="0"/>
        <w:jc w:val="center"/>
        <w:rPr>
          <w:szCs w:val="24"/>
        </w:rPr>
      </w:pPr>
      <w:r w:rsidRPr="000839A4">
        <w:rPr>
          <w:szCs w:val="24"/>
        </w:rPr>
        <w:t>§ 19b</w:t>
      </w:r>
    </w:p>
    <w:p w14:paraId="44968244" w14:textId="77777777" w:rsidR="000839A4" w:rsidRPr="000839A4" w:rsidRDefault="000839A4" w:rsidP="000839A4">
      <w:pPr>
        <w:keepNext/>
        <w:ind w:firstLine="0"/>
        <w:jc w:val="center"/>
        <w:rPr>
          <w:b/>
          <w:szCs w:val="24"/>
        </w:rPr>
      </w:pPr>
      <w:r w:rsidRPr="000839A4">
        <w:rPr>
          <w:b/>
          <w:szCs w:val="24"/>
        </w:rPr>
        <w:t xml:space="preserve">Osvobození bezúplatných příjmů </w:t>
      </w:r>
    </w:p>
    <w:p w14:paraId="5D103D6C" w14:textId="77777777" w:rsidR="000839A4" w:rsidRPr="000839A4" w:rsidRDefault="000839A4" w:rsidP="000839A4">
      <w:pPr>
        <w:tabs>
          <w:tab w:val="left" w:pos="851"/>
        </w:tabs>
        <w:spacing w:before="120" w:after="120"/>
        <w:ind w:firstLine="427"/>
        <w:outlineLvl w:val="6"/>
      </w:pPr>
      <w:r w:rsidRPr="000839A4">
        <w:t xml:space="preserve">(1) Od daně z příjmů právnických osob se osvobozuje bezúplatný </w:t>
      </w:r>
    </w:p>
    <w:p w14:paraId="53114674"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 xml:space="preserve">příjem z nabytí dědictví nebo odkazu, </w:t>
      </w:r>
    </w:p>
    <w:p w14:paraId="58C8B165"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 xml:space="preserve">příjem, pokud k němu došlo na základě rozhodnutí pozemkového úřadu o pozemkových úpravách, v podobě </w:t>
      </w:r>
    </w:p>
    <w:p w14:paraId="264A670E" w14:textId="77777777" w:rsidR="000839A4" w:rsidRPr="000839A4" w:rsidRDefault="000839A4" w:rsidP="000839A4">
      <w:pPr>
        <w:tabs>
          <w:tab w:val="left" w:pos="357"/>
        </w:tabs>
        <w:spacing w:before="0"/>
        <w:ind w:left="714" w:hanging="357"/>
        <w:rPr>
          <w:szCs w:val="24"/>
        </w:rPr>
      </w:pPr>
      <w:r w:rsidRPr="000839A4">
        <w:rPr>
          <w:szCs w:val="24"/>
        </w:rPr>
        <w:t>1.</w:t>
      </w:r>
      <w:r w:rsidRPr="000839A4">
        <w:rPr>
          <w:szCs w:val="24"/>
        </w:rPr>
        <w:tab/>
        <w:t xml:space="preserve">nabytí vlastnického práva k pozemku, </w:t>
      </w:r>
    </w:p>
    <w:p w14:paraId="0F604521" w14:textId="77777777" w:rsidR="000839A4" w:rsidRPr="000839A4" w:rsidRDefault="000839A4" w:rsidP="000839A4">
      <w:pPr>
        <w:tabs>
          <w:tab w:val="left" w:pos="357"/>
        </w:tabs>
        <w:spacing w:before="0"/>
        <w:ind w:left="714" w:hanging="357"/>
        <w:rPr>
          <w:szCs w:val="24"/>
        </w:rPr>
      </w:pPr>
      <w:r w:rsidRPr="000839A4">
        <w:rPr>
          <w:szCs w:val="24"/>
        </w:rPr>
        <w:t>2.</w:t>
      </w:r>
      <w:r w:rsidRPr="000839A4">
        <w:rPr>
          <w:szCs w:val="24"/>
        </w:rPr>
        <w:tab/>
        <w:t>zřízení věcného břemene,</w:t>
      </w:r>
    </w:p>
    <w:p w14:paraId="7B48A993" w14:textId="77777777" w:rsidR="000839A4" w:rsidRPr="000839A4" w:rsidRDefault="000839A4" w:rsidP="000839A4">
      <w:pPr>
        <w:tabs>
          <w:tab w:val="left" w:pos="357"/>
        </w:tabs>
        <w:spacing w:before="0"/>
        <w:ind w:left="357" w:hanging="357"/>
        <w:rPr>
          <w:szCs w:val="24"/>
        </w:rPr>
      </w:pPr>
      <w:r w:rsidRPr="000839A4">
        <w:rPr>
          <w:szCs w:val="24"/>
        </w:rPr>
        <w:t>c)</w:t>
      </w:r>
      <w:r w:rsidRPr="000839A4">
        <w:rPr>
          <w:szCs w:val="24"/>
        </w:rPr>
        <w:tab/>
        <w:t>příjem z nabytí vlastnického práva k pozemku nebo podílu na pozemku podle zákona upravujícího majetek České republiky a její vystupování v právních vztazích, je-li organizační složka státu povinna je bezúplatně převést bytovému družstvu vzniklému před 1. lednem 1992 nebo jeho právnímu nástupci,</w:t>
      </w:r>
    </w:p>
    <w:p w14:paraId="2D9E5B26" w14:textId="77777777" w:rsidR="000839A4" w:rsidRPr="000839A4" w:rsidRDefault="000839A4" w:rsidP="000839A4">
      <w:pPr>
        <w:tabs>
          <w:tab w:val="left" w:pos="357"/>
        </w:tabs>
        <w:spacing w:before="0"/>
        <w:ind w:left="357" w:hanging="357"/>
        <w:rPr>
          <w:szCs w:val="24"/>
        </w:rPr>
      </w:pPr>
      <w:r w:rsidRPr="000839A4">
        <w:rPr>
          <w:szCs w:val="24"/>
        </w:rPr>
        <w:t>d)</w:t>
      </w:r>
      <w:r w:rsidRPr="000839A4">
        <w:rPr>
          <w:szCs w:val="24"/>
        </w:rPr>
        <w:tab/>
        <w:t xml:space="preserve">příjem v podobě majetkového prospěchu, pokud v úhrnu příjmy z tohoto majetkového prospěchu od téže osoby nepřesáhnou ve zdaňovacím období </w:t>
      </w:r>
      <w:r w:rsidRPr="000839A4">
        <w:rPr>
          <w:strike/>
          <w:szCs w:val="24"/>
        </w:rPr>
        <w:t>nebo období, za které se podává daňové přiznání,</w:t>
      </w:r>
      <w:r w:rsidRPr="000839A4">
        <w:rPr>
          <w:szCs w:val="24"/>
        </w:rPr>
        <w:t xml:space="preserve"> částku 100 000 Kč, u</w:t>
      </w:r>
    </w:p>
    <w:p w14:paraId="2F1B8644" w14:textId="77777777" w:rsidR="000839A4" w:rsidRPr="000839A4" w:rsidRDefault="000839A4" w:rsidP="000839A4">
      <w:pPr>
        <w:tabs>
          <w:tab w:val="left" w:pos="357"/>
        </w:tabs>
        <w:spacing w:before="0"/>
        <w:ind w:left="714" w:hanging="357"/>
        <w:rPr>
          <w:szCs w:val="24"/>
        </w:rPr>
      </w:pPr>
      <w:r w:rsidRPr="000839A4">
        <w:rPr>
          <w:szCs w:val="24"/>
        </w:rPr>
        <w:t>1.</w:t>
      </w:r>
      <w:r w:rsidRPr="000839A4">
        <w:rPr>
          <w:szCs w:val="24"/>
        </w:rPr>
        <w:tab/>
      </w:r>
      <w:proofErr w:type="spellStart"/>
      <w:r w:rsidRPr="000839A4">
        <w:rPr>
          <w:szCs w:val="24"/>
        </w:rPr>
        <w:t>vydlužitele</w:t>
      </w:r>
      <w:proofErr w:type="spellEnd"/>
      <w:r w:rsidRPr="000839A4">
        <w:rPr>
          <w:szCs w:val="24"/>
        </w:rPr>
        <w:t xml:space="preserve"> při bezúročné zápůjčce,</w:t>
      </w:r>
    </w:p>
    <w:p w14:paraId="4DFAA0CA" w14:textId="77777777" w:rsidR="000839A4" w:rsidRPr="000839A4" w:rsidRDefault="000839A4" w:rsidP="000839A4">
      <w:pPr>
        <w:tabs>
          <w:tab w:val="left" w:pos="357"/>
        </w:tabs>
        <w:spacing w:before="0"/>
        <w:ind w:left="714" w:hanging="357"/>
        <w:rPr>
          <w:szCs w:val="24"/>
        </w:rPr>
      </w:pPr>
      <w:r w:rsidRPr="000839A4">
        <w:rPr>
          <w:szCs w:val="24"/>
        </w:rPr>
        <w:t>2.</w:t>
      </w:r>
      <w:r w:rsidRPr="000839A4">
        <w:rPr>
          <w:szCs w:val="24"/>
        </w:rPr>
        <w:tab/>
        <w:t>vypůjčitele při výpůjčce a</w:t>
      </w:r>
    </w:p>
    <w:p w14:paraId="22F7472B" w14:textId="77777777" w:rsidR="000839A4" w:rsidRPr="000839A4" w:rsidRDefault="000839A4" w:rsidP="000839A4">
      <w:pPr>
        <w:tabs>
          <w:tab w:val="left" w:pos="357"/>
        </w:tabs>
        <w:spacing w:before="0"/>
        <w:ind w:left="714" w:hanging="357"/>
        <w:rPr>
          <w:szCs w:val="24"/>
        </w:rPr>
      </w:pPr>
      <w:r w:rsidRPr="000839A4">
        <w:rPr>
          <w:szCs w:val="24"/>
        </w:rPr>
        <w:t>3.</w:t>
      </w:r>
      <w:r w:rsidRPr="000839A4">
        <w:rPr>
          <w:szCs w:val="24"/>
        </w:rPr>
        <w:tab/>
      </w:r>
      <w:proofErr w:type="spellStart"/>
      <w:r w:rsidRPr="000839A4">
        <w:rPr>
          <w:szCs w:val="24"/>
        </w:rPr>
        <w:t>výprosníka</w:t>
      </w:r>
      <w:proofErr w:type="spellEnd"/>
      <w:r w:rsidRPr="000839A4">
        <w:rPr>
          <w:szCs w:val="24"/>
        </w:rPr>
        <w:t xml:space="preserve"> při výprose,</w:t>
      </w:r>
    </w:p>
    <w:p w14:paraId="0371F1AD" w14:textId="77777777" w:rsidR="000839A4" w:rsidRPr="000839A4" w:rsidRDefault="000839A4" w:rsidP="000839A4">
      <w:pPr>
        <w:tabs>
          <w:tab w:val="left" w:pos="357"/>
        </w:tabs>
        <w:spacing w:before="0"/>
        <w:ind w:left="357" w:hanging="357"/>
        <w:rPr>
          <w:szCs w:val="24"/>
        </w:rPr>
      </w:pPr>
      <w:r w:rsidRPr="000839A4">
        <w:rPr>
          <w:szCs w:val="24"/>
        </w:rPr>
        <w:t>e)</w:t>
      </w:r>
      <w:r w:rsidRPr="000839A4">
        <w:rPr>
          <w:szCs w:val="24"/>
        </w:rPr>
        <w:tab/>
        <w:t>příjem z nabytí majetku zdravotními pojišťovnami pro fondy veřejného zdravotního pojištění,</w:t>
      </w:r>
    </w:p>
    <w:p w14:paraId="45511E0A" w14:textId="77777777" w:rsidR="000839A4" w:rsidRPr="000839A4" w:rsidRDefault="000839A4" w:rsidP="000839A4">
      <w:pPr>
        <w:tabs>
          <w:tab w:val="left" w:pos="357"/>
        </w:tabs>
        <w:spacing w:before="0"/>
        <w:ind w:left="357" w:hanging="357"/>
        <w:rPr>
          <w:szCs w:val="24"/>
        </w:rPr>
      </w:pPr>
      <w:r w:rsidRPr="000839A4">
        <w:rPr>
          <w:szCs w:val="24"/>
        </w:rPr>
        <w:t>f)</w:t>
      </w:r>
      <w:r w:rsidRPr="000839A4">
        <w:rPr>
          <w:szCs w:val="24"/>
        </w:rPr>
        <w:tab/>
        <w:t xml:space="preserve">příjem vlastníka jednotky v podobě úhrady nákladů na správu domu a pozemku </w:t>
      </w:r>
    </w:p>
    <w:p w14:paraId="53FA3535" w14:textId="77777777" w:rsidR="000839A4" w:rsidRPr="000839A4" w:rsidRDefault="000839A4" w:rsidP="000839A4">
      <w:pPr>
        <w:tabs>
          <w:tab w:val="left" w:pos="357"/>
        </w:tabs>
        <w:spacing w:before="0"/>
        <w:ind w:left="714" w:hanging="357"/>
        <w:rPr>
          <w:szCs w:val="24"/>
        </w:rPr>
      </w:pPr>
      <w:r w:rsidRPr="000839A4">
        <w:rPr>
          <w:szCs w:val="24"/>
        </w:rPr>
        <w:t>1.</w:t>
      </w:r>
      <w:r w:rsidRPr="000839A4">
        <w:rPr>
          <w:szCs w:val="24"/>
        </w:rPr>
        <w:tab/>
        <w:t>vlastníkem jiné jednotky v tomtéž domě nebo</w:t>
      </w:r>
    </w:p>
    <w:p w14:paraId="40D80859" w14:textId="77777777" w:rsidR="000839A4" w:rsidRPr="000839A4" w:rsidRDefault="000839A4" w:rsidP="000839A4">
      <w:pPr>
        <w:tabs>
          <w:tab w:val="left" w:pos="357"/>
        </w:tabs>
        <w:spacing w:before="0"/>
        <w:ind w:left="714" w:hanging="357"/>
        <w:rPr>
          <w:szCs w:val="24"/>
        </w:rPr>
      </w:pPr>
      <w:r w:rsidRPr="000839A4">
        <w:rPr>
          <w:szCs w:val="24"/>
        </w:rPr>
        <w:t>2.</w:t>
      </w:r>
      <w:r w:rsidRPr="000839A4">
        <w:rPr>
          <w:szCs w:val="24"/>
        </w:rPr>
        <w:tab/>
        <w:t>osobou, která se stane vlastníkem vznikající jednotky v tomtéž domě,</w:t>
      </w:r>
    </w:p>
    <w:p w14:paraId="3AC50CDC" w14:textId="77777777" w:rsidR="000839A4" w:rsidRPr="000839A4" w:rsidRDefault="000839A4" w:rsidP="000839A4">
      <w:pPr>
        <w:tabs>
          <w:tab w:val="left" w:pos="357"/>
        </w:tabs>
        <w:spacing w:before="0"/>
        <w:ind w:left="357" w:hanging="357"/>
        <w:rPr>
          <w:noProof/>
          <w:szCs w:val="24"/>
        </w:rPr>
      </w:pPr>
      <w:r w:rsidRPr="000839A4">
        <w:rPr>
          <w:noProof/>
          <w:szCs w:val="24"/>
        </w:rPr>
        <w:t>g)</w:t>
      </w:r>
      <w:r w:rsidRPr="000839A4">
        <w:rPr>
          <w:noProof/>
          <w:szCs w:val="24"/>
        </w:rPr>
        <w:tab/>
        <w:t>příjem z nabytí spoluvlastnického podílu na nemovité věci od obce nebo od poplatníka, jehož je obec členem nebo zřizovatelem, pokud</w:t>
      </w:r>
    </w:p>
    <w:p w14:paraId="348B152F" w14:textId="77777777" w:rsidR="000839A4" w:rsidRPr="000839A4" w:rsidRDefault="000839A4" w:rsidP="000839A4">
      <w:pPr>
        <w:tabs>
          <w:tab w:val="left" w:pos="357"/>
        </w:tabs>
        <w:spacing w:before="0"/>
        <w:ind w:left="714" w:hanging="357"/>
        <w:rPr>
          <w:noProof/>
          <w:szCs w:val="24"/>
        </w:rPr>
      </w:pPr>
      <w:r w:rsidRPr="000839A4">
        <w:rPr>
          <w:noProof/>
          <w:szCs w:val="24"/>
        </w:rPr>
        <w:t>1.</w:t>
      </w:r>
      <w:r w:rsidRPr="000839A4">
        <w:rPr>
          <w:noProof/>
          <w:szCs w:val="24"/>
        </w:rPr>
        <w:tab/>
        <w:t>na výstavbu této nemovité věci byla v období od roku 1995 do roku 2007 získána dotace ze státního rozpočtu prostřednictvím programu podporujícího výstavbu nájemních bytů a technické infrastruktury nebo ze Státního fondu rozvoje bydlení podle nařízení vlády č. 481/2000 Sb., o použití prostředků Státního fondu rozvoje bydlení formou dotace ke krytí části nákladů spojených s výstavbou bytů, ve znění pozdějších předpisů, a</w:t>
      </w:r>
    </w:p>
    <w:p w14:paraId="56B88DEE" w14:textId="77777777" w:rsidR="000839A4" w:rsidRPr="000839A4" w:rsidRDefault="000839A4" w:rsidP="000839A4">
      <w:pPr>
        <w:tabs>
          <w:tab w:val="left" w:pos="357"/>
        </w:tabs>
        <w:spacing w:before="0"/>
        <w:ind w:left="714" w:hanging="357"/>
        <w:rPr>
          <w:noProof/>
          <w:szCs w:val="24"/>
        </w:rPr>
      </w:pPr>
      <w:r w:rsidRPr="000839A4">
        <w:rPr>
          <w:noProof/>
          <w:szCs w:val="24"/>
        </w:rPr>
        <w:lastRenderedPageBreak/>
        <w:t>2.</w:t>
      </w:r>
      <w:r w:rsidRPr="000839A4">
        <w:rPr>
          <w:noProof/>
          <w:szCs w:val="24"/>
        </w:rPr>
        <w:tab/>
        <w:t>převod této nemovité věci na jinou osobu byl po stanovenou dobu zakázán podmínkami poskytnutí dotace podle bodu 1 a jedná se o první převod po uplynutí této doby s tím, že tento převod slouží k tomu, aby tato nemovitá věc byla ve vlastnictví bytového družstva nebo fyzické osoby.</w:t>
      </w:r>
    </w:p>
    <w:p w14:paraId="0129C5D9" w14:textId="77777777" w:rsidR="000839A4" w:rsidRPr="000839A4" w:rsidRDefault="000839A4" w:rsidP="000839A4">
      <w:pPr>
        <w:tabs>
          <w:tab w:val="left" w:pos="851"/>
        </w:tabs>
        <w:spacing w:before="120" w:after="120"/>
        <w:ind w:firstLine="427"/>
        <w:outlineLvl w:val="6"/>
      </w:pPr>
      <w:r w:rsidRPr="000839A4">
        <w:t xml:space="preserve">(2) Od daně z příjmů právnických osob se osvobozuje bezúplatný příjem </w:t>
      </w:r>
    </w:p>
    <w:p w14:paraId="3A97B5E7" w14:textId="77777777" w:rsidR="000839A4" w:rsidRPr="000839A4" w:rsidRDefault="000839A4" w:rsidP="000839A4">
      <w:pPr>
        <w:tabs>
          <w:tab w:val="left" w:pos="357"/>
        </w:tabs>
        <w:spacing w:before="0"/>
        <w:ind w:left="357" w:hanging="357"/>
        <w:rPr>
          <w:szCs w:val="24"/>
        </w:rPr>
      </w:pPr>
      <w:proofErr w:type="gramStart"/>
      <w:r w:rsidRPr="000839A4">
        <w:rPr>
          <w:szCs w:val="24"/>
        </w:rPr>
        <w:t>a)</w:t>
      </w:r>
      <w:r w:rsidRPr="000839A4">
        <w:rPr>
          <w:szCs w:val="24"/>
        </w:rPr>
        <w:tab/>
        <w:t>obmyšleného</w:t>
      </w:r>
      <w:proofErr w:type="gramEnd"/>
      <w:r w:rsidRPr="000839A4">
        <w:rPr>
          <w:szCs w:val="24"/>
        </w:rPr>
        <w:t xml:space="preserve"> z majetku, </w:t>
      </w:r>
      <w:proofErr w:type="gramStart"/>
      <w:r w:rsidRPr="000839A4">
        <w:rPr>
          <w:szCs w:val="24"/>
        </w:rPr>
        <w:t>který</w:t>
      </w:r>
      <w:proofErr w:type="gramEnd"/>
      <w:r w:rsidRPr="000839A4">
        <w:rPr>
          <w:szCs w:val="24"/>
        </w:rPr>
        <w:t xml:space="preserve"> </w:t>
      </w:r>
    </w:p>
    <w:p w14:paraId="692A2EDE" w14:textId="77777777" w:rsidR="000839A4" w:rsidRPr="000839A4" w:rsidRDefault="000839A4" w:rsidP="000839A4">
      <w:pPr>
        <w:tabs>
          <w:tab w:val="left" w:pos="357"/>
        </w:tabs>
        <w:spacing w:before="0"/>
        <w:ind w:left="714" w:hanging="357"/>
        <w:rPr>
          <w:szCs w:val="24"/>
        </w:rPr>
      </w:pPr>
      <w:r w:rsidRPr="000839A4">
        <w:rPr>
          <w:szCs w:val="24"/>
        </w:rPr>
        <w:t>1.</w:t>
      </w:r>
      <w:r w:rsidRPr="000839A4">
        <w:rPr>
          <w:szCs w:val="24"/>
        </w:rPr>
        <w:tab/>
        <w:t xml:space="preserve">byl do </w:t>
      </w:r>
      <w:proofErr w:type="spellStart"/>
      <w:r w:rsidRPr="000839A4">
        <w:rPr>
          <w:szCs w:val="24"/>
        </w:rPr>
        <w:t>svěřenského</w:t>
      </w:r>
      <w:proofErr w:type="spellEnd"/>
      <w:r w:rsidRPr="000839A4">
        <w:rPr>
          <w:szCs w:val="24"/>
        </w:rPr>
        <w:t xml:space="preserve"> fondu vyčleněn pořízením pro případ smrti nebo </w:t>
      </w:r>
    </w:p>
    <w:p w14:paraId="1254D8B0" w14:textId="77777777" w:rsidR="000839A4" w:rsidRPr="000839A4" w:rsidRDefault="000839A4" w:rsidP="000839A4">
      <w:pPr>
        <w:tabs>
          <w:tab w:val="left" w:pos="357"/>
        </w:tabs>
        <w:spacing w:before="0"/>
        <w:ind w:left="714" w:hanging="357"/>
        <w:rPr>
          <w:szCs w:val="24"/>
        </w:rPr>
      </w:pPr>
      <w:r w:rsidRPr="000839A4">
        <w:rPr>
          <w:szCs w:val="24"/>
        </w:rPr>
        <w:t>2.</w:t>
      </w:r>
      <w:r w:rsidRPr="000839A4">
        <w:rPr>
          <w:szCs w:val="24"/>
        </w:rPr>
        <w:tab/>
        <w:t xml:space="preserve">zvýšil majetek </w:t>
      </w:r>
      <w:proofErr w:type="spellStart"/>
      <w:r w:rsidRPr="000839A4">
        <w:rPr>
          <w:szCs w:val="24"/>
        </w:rPr>
        <w:t>svěřenského</w:t>
      </w:r>
      <w:proofErr w:type="spellEnd"/>
      <w:r w:rsidRPr="000839A4">
        <w:rPr>
          <w:szCs w:val="24"/>
        </w:rPr>
        <w:t xml:space="preserve"> fondu pořízením pro případ smrti, </w:t>
      </w:r>
    </w:p>
    <w:p w14:paraId="5C0989D7"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 xml:space="preserve">poplatníka, který je </w:t>
      </w:r>
    </w:p>
    <w:p w14:paraId="74F9D5E5" w14:textId="77777777" w:rsidR="000839A4" w:rsidRPr="000839A4" w:rsidRDefault="000839A4" w:rsidP="000839A4">
      <w:pPr>
        <w:tabs>
          <w:tab w:val="left" w:pos="357"/>
        </w:tabs>
        <w:spacing w:before="0"/>
        <w:ind w:left="714" w:hanging="357"/>
        <w:rPr>
          <w:szCs w:val="24"/>
        </w:rPr>
      </w:pPr>
      <w:r w:rsidRPr="000839A4">
        <w:rPr>
          <w:szCs w:val="24"/>
        </w:rPr>
        <w:t>1.</w:t>
      </w:r>
      <w:r w:rsidRPr="000839A4">
        <w:rPr>
          <w:szCs w:val="24"/>
        </w:rPr>
        <w:tab/>
        <w:t>veřejně prospěšným poplatníkem se sídlem na území České republiky, pokud je nebo bude využit pro účely vymezené v § 15 odst. 1 nebo § 20 odst. 8 nebo jeho kapitálové dovybavení,</w:t>
      </w:r>
    </w:p>
    <w:p w14:paraId="2F8F9566" w14:textId="77777777" w:rsidR="000839A4" w:rsidRPr="000839A4" w:rsidRDefault="000839A4" w:rsidP="000839A4">
      <w:pPr>
        <w:tabs>
          <w:tab w:val="left" w:pos="357"/>
        </w:tabs>
        <w:spacing w:before="0"/>
        <w:ind w:left="714" w:hanging="357"/>
        <w:rPr>
          <w:szCs w:val="24"/>
        </w:rPr>
      </w:pPr>
      <w:r w:rsidRPr="000839A4">
        <w:rPr>
          <w:szCs w:val="24"/>
        </w:rPr>
        <w:t>2.</w:t>
      </w:r>
      <w:r w:rsidRPr="000839A4">
        <w:rPr>
          <w:szCs w:val="24"/>
        </w:rPr>
        <w:tab/>
        <w:t xml:space="preserve">veřejně prospěšným poplatníkem se sídlem na území jiného členského státu Evropské unie nebo státu tvořícího Evropský hospodářský prostor než České republiky, je-li jeho právní forma, předmět činnosti a způsob využití předmětu bezúplatného nabytí obdobný právní formě, předmětu činnosti a způsobu využití těch poplatníků, jejichž příjmy jsou osvobozeny podle bodu 1, </w:t>
      </w:r>
    </w:p>
    <w:p w14:paraId="3263306A" w14:textId="77777777" w:rsidR="000839A4" w:rsidRPr="000839A4" w:rsidRDefault="000839A4" w:rsidP="000839A4">
      <w:pPr>
        <w:tabs>
          <w:tab w:val="left" w:pos="357"/>
        </w:tabs>
        <w:spacing w:before="0"/>
        <w:ind w:left="714" w:hanging="357"/>
        <w:rPr>
          <w:szCs w:val="24"/>
        </w:rPr>
      </w:pPr>
      <w:r w:rsidRPr="000839A4">
        <w:rPr>
          <w:szCs w:val="24"/>
        </w:rPr>
        <w:t>3.</w:t>
      </w:r>
      <w:r w:rsidRPr="000839A4">
        <w:rPr>
          <w:szCs w:val="24"/>
        </w:rPr>
        <w:tab/>
        <w:t>územním samosprávným celkem nebo jím zřízenou příspěvkovou organizací, dobrovolným svazkem obcí, veřejnou výzkumnou institucí nebo veřejnou vysokou školou,</w:t>
      </w:r>
    </w:p>
    <w:p w14:paraId="22451B7D" w14:textId="77777777" w:rsidR="000839A4" w:rsidRPr="000839A4" w:rsidRDefault="000839A4" w:rsidP="000839A4">
      <w:pPr>
        <w:tabs>
          <w:tab w:val="left" w:pos="357"/>
        </w:tabs>
        <w:spacing w:before="0"/>
        <w:ind w:left="714" w:hanging="357"/>
        <w:rPr>
          <w:szCs w:val="24"/>
        </w:rPr>
      </w:pPr>
      <w:r w:rsidRPr="000839A4">
        <w:rPr>
          <w:szCs w:val="24"/>
        </w:rPr>
        <w:t>4.</w:t>
      </w:r>
      <w:r w:rsidRPr="000839A4">
        <w:rPr>
          <w:szCs w:val="24"/>
        </w:rPr>
        <w:tab/>
        <w:t>právnickou osobou se sídlem na území jiného členského státu Evropské unie nebo státu tvořícího Evropský hospodářský prostor než České republiky, je-li jeho právní forma a předmět činnosti obdobný právní formě a předmětu činnosti poplatníka uvedeného v bodě 3,</w:t>
      </w:r>
    </w:p>
    <w:p w14:paraId="503C611A" w14:textId="77777777" w:rsidR="000839A4" w:rsidRPr="000839A4" w:rsidRDefault="000839A4" w:rsidP="000839A4">
      <w:pPr>
        <w:tabs>
          <w:tab w:val="left" w:pos="357"/>
        </w:tabs>
        <w:spacing w:before="0"/>
        <w:ind w:left="357" w:hanging="357"/>
        <w:rPr>
          <w:szCs w:val="24"/>
        </w:rPr>
      </w:pPr>
      <w:r w:rsidRPr="000839A4">
        <w:rPr>
          <w:szCs w:val="24"/>
        </w:rPr>
        <w:t>c)</w:t>
      </w:r>
      <w:r w:rsidRPr="000839A4">
        <w:rPr>
          <w:szCs w:val="24"/>
        </w:rPr>
        <w:tab/>
        <w:t xml:space="preserve">plynoucí do veřejné sbírky, na humanitární nebo charitativní účel, </w:t>
      </w:r>
    </w:p>
    <w:p w14:paraId="3766025B" w14:textId="77777777" w:rsidR="000839A4" w:rsidRPr="000839A4" w:rsidRDefault="000839A4" w:rsidP="000839A4">
      <w:pPr>
        <w:tabs>
          <w:tab w:val="left" w:pos="357"/>
        </w:tabs>
        <w:spacing w:before="0"/>
        <w:ind w:left="357" w:hanging="357"/>
        <w:rPr>
          <w:szCs w:val="24"/>
        </w:rPr>
      </w:pPr>
      <w:r w:rsidRPr="000839A4">
        <w:rPr>
          <w:szCs w:val="24"/>
        </w:rPr>
        <w:t>d)</w:t>
      </w:r>
      <w:r w:rsidRPr="000839A4">
        <w:rPr>
          <w:szCs w:val="24"/>
        </w:rPr>
        <w:tab/>
        <w:t xml:space="preserve">přijatý z veřejné sbírky, </w:t>
      </w:r>
    </w:p>
    <w:p w14:paraId="5F7523B7" w14:textId="77777777" w:rsidR="000839A4" w:rsidRPr="000839A4" w:rsidRDefault="000839A4" w:rsidP="000839A4">
      <w:pPr>
        <w:tabs>
          <w:tab w:val="left" w:pos="357"/>
        </w:tabs>
        <w:spacing w:before="0"/>
        <w:ind w:left="357" w:hanging="357"/>
        <w:rPr>
          <w:szCs w:val="24"/>
        </w:rPr>
      </w:pPr>
      <w:r w:rsidRPr="000839A4">
        <w:rPr>
          <w:szCs w:val="24"/>
        </w:rPr>
        <w:t>e)</w:t>
      </w:r>
      <w:r w:rsidRPr="000839A4">
        <w:rPr>
          <w:szCs w:val="24"/>
        </w:rPr>
        <w:tab/>
        <w:t>členského státu Evropské unie nebo státu tvořícího Evropský hospodářský prostor.</w:t>
      </w:r>
    </w:p>
    <w:p w14:paraId="2BE80856" w14:textId="77777777" w:rsidR="000839A4" w:rsidRPr="000839A4" w:rsidRDefault="000839A4" w:rsidP="000839A4">
      <w:pPr>
        <w:tabs>
          <w:tab w:val="left" w:pos="851"/>
        </w:tabs>
        <w:spacing w:before="120" w:after="120"/>
        <w:ind w:firstLine="427"/>
        <w:outlineLvl w:val="6"/>
      </w:pPr>
      <w:r w:rsidRPr="000839A4">
        <w:t xml:space="preserve">(3) Osvobození bezúplatných příjmů podle odstavce 2 písm. b) až d) se nepoužije, pokud ho veřejně prospěšný poplatník neuplatní. Rozhodnutí veřejně prospěšného poplatníka o uplatnění nebo neuplatnění osvobození bezúplatných příjmů nelze zpětně měnit. </w:t>
      </w:r>
    </w:p>
    <w:p w14:paraId="7F949172" w14:textId="77777777" w:rsidR="000839A4" w:rsidRPr="000839A4" w:rsidRDefault="000839A4" w:rsidP="000839A4">
      <w:pPr>
        <w:keepNext/>
        <w:ind w:firstLine="0"/>
        <w:jc w:val="center"/>
        <w:rPr>
          <w:szCs w:val="24"/>
        </w:rPr>
      </w:pPr>
      <w:r w:rsidRPr="000839A4">
        <w:rPr>
          <w:szCs w:val="24"/>
        </w:rPr>
        <w:t>§ 20</w:t>
      </w:r>
    </w:p>
    <w:p w14:paraId="019CCA30" w14:textId="77777777" w:rsidR="000839A4" w:rsidRPr="000839A4" w:rsidRDefault="000839A4" w:rsidP="000839A4">
      <w:pPr>
        <w:keepNext/>
        <w:ind w:firstLine="0"/>
        <w:jc w:val="center"/>
        <w:rPr>
          <w:szCs w:val="24"/>
        </w:rPr>
      </w:pPr>
      <w:r w:rsidRPr="000839A4">
        <w:rPr>
          <w:b/>
          <w:szCs w:val="24"/>
        </w:rPr>
        <w:t xml:space="preserve">Základ daně a položky snižující základ daně </w:t>
      </w:r>
    </w:p>
    <w:p w14:paraId="77054C01" w14:textId="77777777" w:rsidR="000839A4" w:rsidRPr="000839A4" w:rsidRDefault="000839A4" w:rsidP="000839A4">
      <w:pPr>
        <w:tabs>
          <w:tab w:val="left" w:pos="851"/>
        </w:tabs>
        <w:spacing w:before="120" w:after="120"/>
        <w:ind w:firstLine="427"/>
        <w:outlineLvl w:val="6"/>
      </w:pPr>
      <w:r w:rsidRPr="000839A4">
        <w:t xml:space="preserve">(1) Pro stanovení základu daně platí ustanovení § 23 až 33 a ustanovení odstavců 2 až 6. </w:t>
      </w:r>
    </w:p>
    <w:p w14:paraId="2141C7E4" w14:textId="77777777" w:rsidR="000839A4" w:rsidRPr="000839A4" w:rsidRDefault="000839A4" w:rsidP="000839A4">
      <w:pPr>
        <w:tabs>
          <w:tab w:val="left" w:pos="851"/>
        </w:tabs>
        <w:spacing w:before="120" w:after="120"/>
        <w:ind w:firstLine="427"/>
        <w:outlineLvl w:val="6"/>
      </w:pPr>
      <w:r w:rsidRPr="000839A4">
        <w:t xml:space="preserve">(2) U poplatníka, u něhož dochází ke zrušení s likvidací, je základem daně v průběhu likvidace i po jejím ukončení výsledek hospodaření upravený podle § 23 až 33. </w:t>
      </w:r>
    </w:p>
    <w:p w14:paraId="739E28B4" w14:textId="77777777" w:rsidR="000839A4" w:rsidRPr="000839A4" w:rsidRDefault="000839A4" w:rsidP="000839A4">
      <w:pPr>
        <w:tabs>
          <w:tab w:val="left" w:pos="851"/>
        </w:tabs>
        <w:spacing w:before="120" w:after="120"/>
        <w:ind w:firstLine="427"/>
        <w:outlineLvl w:val="6"/>
      </w:pPr>
      <w:r w:rsidRPr="000839A4">
        <w:t xml:space="preserve">(3) Má-li dojít u investičního fondu ke změně jeho administrátora, je předchozí administrátor povinen tuto změnu oznámit správci daně nejpozději v den, kdy nastane. </w:t>
      </w:r>
    </w:p>
    <w:p w14:paraId="158C680C" w14:textId="77777777" w:rsidR="000839A4" w:rsidRPr="000839A4" w:rsidRDefault="000839A4" w:rsidP="000839A4">
      <w:pPr>
        <w:tabs>
          <w:tab w:val="left" w:pos="851"/>
        </w:tabs>
        <w:spacing w:before="120" w:after="120"/>
        <w:ind w:firstLine="427"/>
        <w:outlineLvl w:val="6"/>
      </w:pPr>
      <w:r w:rsidRPr="000839A4">
        <w:t xml:space="preserve">(4) U komanditní společnosti se základ daně stanovený podle § 23 až 33 snižuje o částku připadající komplementářům. </w:t>
      </w:r>
    </w:p>
    <w:p w14:paraId="46804224" w14:textId="77777777" w:rsidR="000839A4" w:rsidRPr="000839A4" w:rsidRDefault="000839A4" w:rsidP="000839A4">
      <w:pPr>
        <w:tabs>
          <w:tab w:val="left" w:pos="851"/>
        </w:tabs>
        <w:spacing w:before="120" w:after="120"/>
        <w:ind w:firstLine="427"/>
        <w:outlineLvl w:val="6"/>
      </w:pPr>
      <w:r w:rsidRPr="000839A4">
        <w:t xml:space="preserve">(5) U poplatníka, který je společníkem veřejné obchodní společnosti, je součástí základu daně poměrná část základu daně nebo daňové ztráty veřejné obchodní společnosti. Tento poměr odpovídá poměru, kterým se společník podílí na zisku veřejné obchodní společnosti. </w:t>
      </w:r>
    </w:p>
    <w:p w14:paraId="4176383E" w14:textId="77777777" w:rsidR="000839A4" w:rsidRPr="000839A4" w:rsidRDefault="000839A4" w:rsidP="000839A4">
      <w:pPr>
        <w:tabs>
          <w:tab w:val="left" w:pos="851"/>
        </w:tabs>
        <w:spacing w:before="120" w:after="120"/>
        <w:ind w:firstLine="427"/>
        <w:outlineLvl w:val="6"/>
      </w:pPr>
      <w:r w:rsidRPr="000839A4">
        <w:lastRenderedPageBreak/>
        <w:t xml:space="preserve">(6) U poplatníka, který je komplementářem komanditní společnosti, je součástí základu daně poměrná část základu daně nebo daňové ztráty komanditní společnosti. Tento poměr odpovídá poměru, kterým se komplementář podílí na zisku komanditní společnosti. </w:t>
      </w:r>
    </w:p>
    <w:p w14:paraId="6F588234" w14:textId="77777777" w:rsidR="000839A4" w:rsidRPr="000839A4" w:rsidRDefault="000839A4" w:rsidP="000839A4">
      <w:pPr>
        <w:tabs>
          <w:tab w:val="left" w:pos="851"/>
        </w:tabs>
        <w:spacing w:before="120" w:after="120"/>
        <w:ind w:firstLine="427"/>
        <w:outlineLvl w:val="6"/>
      </w:pPr>
      <w:r w:rsidRPr="000839A4">
        <w:t xml:space="preserve">(7) Veřejně prospěšný poplatník s výjimkou obce, kraje, poskytovatele zdravotních služeb, který má oprávnění k poskytování zdravotních služeb podle zákona upravujícího zdravotní služby, a profesní komory a poplatníka založeného za účelem ochrany a hájení podnikatelských zájmů svých členů, kteří nejsou organizací zaměstnavatelů, může základ daně zjištěný podle odstavce 1 snížený podle § 34 dále snížit až o 30 %, maximálně však o 1 000 000 Kč, použije-li prostředky získané touto úsporou na dani v následujícím zdaňovacím období ke krytí nákladů (výdajů) prováděných nepodnikatelských činností. V případě, že 30 % snížení činí méně než 300 000 Kč, lze odečíst částku ve výši 300 000 Kč, maximálně však do výše základu daně. Veřejná vysoká škola, obecně prospěšná společnost nebo ústav, které jsou soukromou vysokou školou podle zákona upravujícího vysoké školy, a veřejná výzkumná instituce mohou základ daně zjištěný podle odstavce 1 snížený podle § 34 dále snížit až o 30 %, maximálně však o 3 000 000 Kč, použijí-li prostředky získané touto úsporou na dani v následujícím zdaňovacím období ke krytí nákladů (výdajů) na vzdělávání, vědecké, výzkumné, vývojové nebo umělecké činnosti a v případě, že 30% snížení činí méně než 1 000 000 Kč, mohou odečíst částku ve výši 1 000 000 Kč, maximálně však do výše základu daně. </w:t>
      </w:r>
    </w:p>
    <w:p w14:paraId="3188035F" w14:textId="77777777" w:rsidR="000839A4" w:rsidRPr="000839A4" w:rsidRDefault="000839A4" w:rsidP="000839A4">
      <w:pPr>
        <w:tabs>
          <w:tab w:val="left" w:pos="851"/>
        </w:tabs>
        <w:spacing w:before="120" w:after="120"/>
        <w:ind w:firstLine="427"/>
        <w:outlineLvl w:val="6"/>
      </w:pPr>
      <w:r w:rsidRPr="000839A4">
        <w:t>(8) Od základu daně sníženého podle § 34 lze odečíst hodnotu bezúplatného plnění poskytnutého obcím, krajům, organizačním složkám státu, právnickým osobám se sídlem na území České republiky, jakož i právnickým osobám, které jsou pořadateli veřejných sbírek podle zvláštního zákona,</w:t>
      </w:r>
      <w:r w:rsidRPr="000839A4">
        <w:rPr>
          <w:vertAlign w:val="superscript"/>
        </w:rPr>
        <w:t>14e)</w:t>
      </w:r>
      <w:r w:rsidRPr="000839A4">
        <w:t xml:space="preserve"> a to na vědu a vzdělávání, výzkumné a vývojové účely, kulturu, školství, na policii, na požární ochranu, na podporu a ochranu mládeže, na ochranu zvířat a jejich zdraví, na účely sociální, zdravotnické, ekologické, humanitární, charitativní, náboženské pro registrované církve a náboženské společnosti, tělovýchovné a sportovní, a politickým stranám, politickým hnutím, evropským politickým stranám nebo evropským politickým nadacím na jejich činnost, dále fyzickým osobám s bydlištěm na území České republiky, které jsou poskytovateli zdravotních služeb nebo které provozují školy a školská zařízení a zařízení na ochranu opuštěných zvířat nebo ohrožených druhů zvířat, na financování těchto zařízení dále fyzickým osobám s bydlištěm na území České republiky, které jsou poživateli invalidního důchodu nebo byly poživateli invalidního důchodu ke dni přiznání starobního důchodu nebo jsou nezletilými dětmi závislými na péči jiné osoby podle zvláštního právního předpisu</w:t>
      </w:r>
      <w:r w:rsidRPr="000839A4">
        <w:rPr>
          <w:vertAlign w:val="superscript"/>
        </w:rPr>
        <w:t>4j)</w:t>
      </w:r>
      <w:r w:rsidRPr="000839A4">
        <w:t>, na zdravotnické prostředky</w:t>
      </w:r>
      <w:r w:rsidRPr="000839A4">
        <w:rPr>
          <w:vertAlign w:val="superscript"/>
        </w:rPr>
        <w:t>114)</w:t>
      </w:r>
      <w:r w:rsidRPr="000839A4">
        <w:t xml:space="preserve"> nejvýše do částky nehrazené zdravotními pojišťovnami nebo na zvláštní pomůcky podle zákona upravujícího poskytování dávek osobám se zdravotním postižením nejvýše do částky nehrazené příspěvkem ze státního rozpočtu, a na majetek usnadňující těmto osobám vzdělání a zařazení do zaměstnání, pokud hodnota bezúplatného plnění činí alespoň 2000 Kč. Obdobně se postupuje u bezúplatného plnění na financování odstraňování následků živelní pohromy, ke které došlo na území členského státu Evropské unie nebo státu tvořícího Evropský hospodářský prostor. U hmotného majetku je hodnotou bezúplatného plnění nejvýše zůstatková cena hmotného majetku (§ 29 odst. 2) nebo hodnota zachycená v účetnictví podle zvláštního právního předpisu</w:t>
      </w:r>
      <w:r w:rsidRPr="000839A4">
        <w:rPr>
          <w:strike/>
          <w:vertAlign w:val="superscript"/>
        </w:rPr>
        <w:t>20)</w:t>
      </w:r>
      <w:r w:rsidRPr="000839A4">
        <w:t xml:space="preserve"> u ostatního majetku. V úhrnu lze odečíst nejvýše 10 % ze základu daně sníženého podle § 34; to neplatí pro zdaňovací období, která skončila v období od 1. 3. 2020 do 28. 2. 2022, za která lze v úhrnu odečíst vždy nejvýše 30 % základu daně sníženého podle § 34.  Tento odpočet nemohou uplatnit veřejně prospěšní poplatníci.</w:t>
      </w:r>
    </w:p>
    <w:p w14:paraId="49F61E5D" w14:textId="77777777" w:rsidR="000839A4" w:rsidRPr="000839A4" w:rsidRDefault="000839A4" w:rsidP="000839A4">
      <w:pPr>
        <w:tabs>
          <w:tab w:val="left" w:pos="851"/>
        </w:tabs>
        <w:spacing w:before="120" w:after="120"/>
        <w:ind w:firstLine="427"/>
        <w:outlineLvl w:val="6"/>
      </w:pPr>
      <w:r w:rsidRPr="000839A4">
        <w:t xml:space="preserve">(9) U poplatníka, který je společníkem veřejné obchodní společnosti, je součástí hodnoty bezúplatného plnění, kterou lze odečíst od základu daně podle odstavce 8, i část hodnoty bezúplatného plnění poskytnutého veřejnou obchodní společností na účely vymezené v </w:t>
      </w:r>
      <w:r w:rsidRPr="000839A4">
        <w:lastRenderedPageBreak/>
        <w:t xml:space="preserve">odstavci 8, stanovená ve stejném poměru, jako se rozděluje základ daně nebo ztráta podle odstavce 5. </w:t>
      </w:r>
    </w:p>
    <w:p w14:paraId="01F7C13D" w14:textId="77777777" w:rsidR="000839A4" w:rsidRPr="000839A4" w:rsidRDefault="000839A4" w:rsidP="000839A4">
      <w:pPr>
        <w:tabs>
          <w:tab w:val="left" w:pos="851"/>
        </w:tabs>
        <w:spacing w:before="120" w:after="120"/>
        <w:ind w:firstLine="427"/>
        <w:outlineLvl w:val="6"/>
      </w:pPr>
      <w:r w:rsidRPr="000839A4">
        <w:t xml:space="preserve">(10) Hodnota bezúplatného plnění poskytnutého komanditní společností na účely vymezené v odstavci 8 se rozděluje na komplementáře a komanditní společnost ve stejném poměru, v jakém se snižuje základ daně podle odstavce 4. U poplatníka, který je komplementářem komanditní společnosti, je součástí hodnoty bezúplatného plnění, kterou lze odečíst podle odstavce 8, i část hodnoty bezúplatného plnění poskytnutého komanditní společností na účely vymezené v odstavci 8, připadající komplementářům v poměru, v jakém se rozděluje na jednotlivé komplementáře základ daně nebo ztráta podle odstavce 6. </w:t>
      </w:r>
    </w:p>
    <w:p w14:paraId="18BCE068" w14:textId="77777777" w:rsidR="000839A4" w:rsidRPr="000839A4" w:rsidRDefault="000839A4" w:rsidP="000839A4">
      <w:pPr>
        <w:tabs>
          <w:tab w:val="left" w:pos="851"/>
        </w:tabs>
        <w:spacing w:before="120" w:after="120"/>
        <w:ind w:firstLine="427"/>
        <w:outlineLvl w:val="6"/>
      </w:pPr>
      <w:r w:rsidRPr="000839A4">
        <w:t xml:space="preserve">(11) Základ daně snížený podle odstavců 7 a 8 a § 34 se zaokrouhluje na celé tisíce Kč dolů. </w:t>
      </w:r>
    </w:p>
    <w:p w14:paraId="20F9C5CF" w14:textId="77777777" w:rsidR="000839A4" w:rsidRPr="000839A4" w:rsidRDefault="000839A4" w:rsidP="000839A4">
      <w:pPr>
        <w:tabs>
          <w:tab w:val="left" w:pos="851"/>
        </w:tabs>
        <w:spacing w:before="120" w:after="120"/>
        <w:ind w:firstLine="427"/>
        <w:outlineLvl w:val="6"/>
      </w:pPr>
      <w:r w:rsidRPr="000839A4">
        <w:t xml:space="preserve">(12) Ustanovení odstavců 8 až 11 se použije i pro bezúplatné plnění poskytnuté právnickým nebo fyzickým osobám se sídlem nebo bydlištěm na území jiného členského státu Evropské unie nebo státu tvořícího Evropský hospodářský prostor než České republiky, pokud příjemce bezúplatného plnění a účel bezúplatného plnění splňují podmínky stanovené tímto zákonem. </w:t>
      </w:r>
    </w:p>
    <w:p w14:paraId="29266061" w14:textId="77777777" w:rsidR="000839A4" w:rsidRPr="000839A4" w:rsidRDefault="000839A4" w:rsidP="000839A4">
      <w:pPr>
        <w:keepNext/>
        <w:ind w:firstLine="0"/>
        <w:jc w:val="center"/>
        <w:rPr>
          <w:szCs w:val="24"/>
        </w:rPr>
      </w:pPr>
      <w:r w:rsidRPr="000839A4">
        <w:rPr>
          <w:szCs w:val="24"/>
        </w:rPr>
        <w:t>§ 20a</w:t>
      </w:r>
    </w:p>
    <w:p w14:paraId="404C3C56" w14:textId="77777777" w:rsidR="000839A4" w:rsidRPr="000839A4" w:rsidRDefault="000839A4" w:rsidP="000839A4">
      <w:pPr>
        <w:tabs>
          <w:tab w:val="left" w:pos="851"/>
        </w:tabs>
        <w:spacing w:before="120" w:after="120"/>
        <w:ind w:firstLine="427"/>
        <w:outlineLvl w:val="6"/>
      </w:pPr>
      <w:r w:rsidRPr="000839A4">
        <w:t xml:space="preserve">Poplatník daně z příjmů právnických osob, který je jen část zdaňovacího období základním investičním fondem, rozdělí základ daně (§ 20 odst. 1) snížený o položky podle § 34 s přesností na dny, a to na část </w:t>
      </w:r>
    </w:p>
    <w:p w14:paraId="47B37394"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 xml:space="preserve">připadající na část zdaňovacího období, v níž byl základním investičním fondem, která se zaokrouhluje na celé tisíce Kč dolů, </w:t>
      </w:r>
    </w:p>
    <w:p w14:paraId="4A65C16B"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 xml:space="preserve">připadající na zbývající část zdaňovacího období, která se zaokrouhluje na celé tisíce Kč dolů. </w:t>
      </w:r>
    </w:p>
    <w:p w14:paraId="3CB9F8BE" w14:textId="77777777" w:rsidR="000839A4" w:rsidRPr="000839A4" w:rsidRDefault="000839A4" w:rsidP="000839A4">
      <w:pPr>
        <w:keepNext/>
        <w:ind w:firstLine="0"/>
        <w:jc w:val="center"/>
        <w:rPr>
          <w:szCs w:val="24"/>
        </w:rPr>
      </w:pPr>
      <w:r w:rsidRPr="000839A4">
        <w:rPr>
          <w:szCs w:val="24"/>
        </w:rPr>
        <w:t>§ 20b</w:t>
      </w:r>
    </w:p>
    <w:p w14:paraId="458866D1" w14:textId="77777777" w:rsidR="000839A4" w:rsidRPr="000839A4" w:rsidRDefault="000839A4" w:rsidP="000839A4">
      <w:pPr>
        <w:keepNext/>
        <w:ind w:firstLine="0"/>
        <w:jc w:val="center"/>
        <w:rPr>
          <w:b/>
          <w:szCs w:val="24"/>
        </w:rPr>
      </w:pPr>
      <w:r w:rsidRPr="000839A4">
        <w:rPr>
          <w:b/>
          <w:szCs w:val="24"/>
        </w:rPr>
        <w:t xml:space="preserve">Samostatný základ daně </w:t>
      </w:r>
    </w:p>
    <w:p w14:paraId="1CDD38F1" w14:textId="77777777" w:rsidR="000839A4" w:rsidRPr="000839A4" w:rsidRDefault="000839A4" w:rsidP="000839A4">
      <w:pPr>
        <w:tabs>
          <w:tab w:val="left" w:pos="851"/>
        </w:tabs>
        <w:spacing w:before="120" w:after="120"/>
        <w:ind w:firstLine="427"/>
        <w:outlineLvl w:val="6"/>
      </w:pPr>
      <w:r w:rsidRPr="000839A4">
        <w:t xml:space="preserve">(1) Do samostatného základu daně se zahrnují veškeré příjmy z podílů na zisku, vypořádacích podílů, podílů na likvidačním zůstatku nebo jim obdobná plnění, a to ve výši včetně daně sražené v zahraničí, plynoucí poplatníkům uvedeným v § 17 odst. 3 ze zdrojů v zahraničí v příslušném zdaňovacím období. Do samostatného základu daně se nezahrnují příjmy osvobozené od daně. Jednotlivý příjem z vypořádacího podílu nebo podílu na likvidačním zůstatku anebo z obdobného plnění zahrnovaného do samostatného základu daně se snižuje o nabývací cenu podílu na obchodní korporaci. Obdobně se postupuje i u poplatníka uvedeného v § 17 odst. 4, pokud příjmy z podílů na zisku, vypořádacích podílů, podílů na likvidačním zůstatku nebo jim obdobná plnění plynoucí ze zahraničí se přičítají jeho stálé provozovně umístěné na území České republiky. Toto ustanovení se nevztahuje na fondy penzijní společnosti. </w:t>
      </w:r>
    </w:p>
    <w:p w14:paraId="6DDE474C" w14:textId="77777777" w:rsidR="000839A4" w:rsidRPr="000839A4" w:rsidRDefault="000839A4" w:rsidP="000839A4">
      <w:pPr>
        <w:tabs>
          <w:tab w:val="left" w:pos="851"/>
        </w:tabs>
        <w:spacing w:before="120" w:after="120"/>
        <w:ind w:firstLine="427"/>
        <w:outlineLvl w:val="6"/>
      </w:pPr>
      <w:r w:rsidRPr="000839A4">
        <w:t xml:space="preserve">(2) U poplatníka, který je společníkem veřejné obchodní společnosti nebo komplementářem komanditní společnosti, je součástí samostatného základu daně i část příjmů veřejné obchodní společnosti nebo komanditní společnosti, podle odstavce 1; přitom tato část samostatného základu se stanoví </w:t>
      </w:r>
    </w:p>
    <w:p w14:paraId="03620EF9"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 xml:space="preserve">u společníka veřejné obchodní společnosti ve stejném poměru, v jakém je rozdělován zisk podle společenské smlouvy, jinak rovným dílem, </w:t>
      </w:r>
    </w:p>
    <w:p w14:paraId="63E50A59" w14:textId="77777777" w:rsidR="000839A4" w:rsidRPr="000839A4" w:rsidRDefault="000839A4" w:rsidP="000839A4">
      <w:pPr>
        <w:tabs>
          <w:tab w:val="left" w:pos="357"/>
        </w:tabs>
        <w:spacing w:before="0"/>
        <w:ind w:left="357" w:hanging="357"/>
        <w:rPr>
          <w:szCs w:val="24"/>
        </w:rPr>
      </w:pPr>
      <w:r w:rsidRPr="000839A4">
        <w:rPr>
          <w:szCs w:val="24"/>
        </w:rPr>
        <w:lastRenderedPageBreak/>
        <w:t>b)</w:t>
      </w:r>
      <w:r w:rsidRPr="000839A4">
        <w:rPr>
          <w:szCs w:val="24"/>
        </w:rPr>
        <w:tab/>
        <w:t xml:space="preserve">u komplementáře komanditní společnosti ve stejném poměru, jakým je rozdělován zisk nebo ztráta komanditní společnosti na tohoto komplementáře podle zvláštního právního předpisu. </w:t>
      </w:r>
    </w:p>
    <w:p w14:paraId="64CAD265" w14:textId="2856B051" w:rsidR="000839A4" w:rsidRDefault="000839A4" w:rsidP="00FE4A0D">
      <w:pPr>
        <w:keepNext/>
        <w:keepLines/>
        <w:numPr>
          <w:ilvl w:val="0"/>
          <w:numId w:val="40"/>
        </w:numPr>
        <w:spacing w:before="120" w:after="120"/>
        <w:jc w:val="center"/>
        <w:outlineLvl w:val="5"/>
      </w:pPr>
      <w:r w:rsidRPr="000839A4">
        <w:t>§ 20ba</w:t>
      </w:r>
    </w:p>
    <w:p w14:paraId="53F65344" w14:textId="77777777" w:rsidR="000839A4" w:rsidRPr="000839A4" w:rsidRDefault="000839A4" w:rsidP="00FE4A0D">
      <w:pPr>
        <w:keepNext/>
        <w:keepLines/>
        <w:numPr>
          <w:ilvl w:val="0"/>
          <w:numId w:val="40"/>
        </w:numPr>
        <w:spacing w:before="120" w:after="120"/>
        <w:jc w:val="center"/>
        <w:outlineLvl w:val="5"/>
      </w:pPr>
      <w:r w:rsidRPr="000839A4">
        <w:rPr>
          <w:b/>
        </w:rPr>
        <w:t>Základ daně z neočekávaných zisků</w:t>
      </w:r>
    </w:p>
    <w:p w14:paraId="2BE54B18" w14:textId="77777777" w:rsidR="000839A4" w:rsidRPr="000839A4" w:rsidRDefault="000839A4" w:rsidP="000839A4">
      <w:pPr>
        <w:tabs>
          <w:tab w:val="left" w:pos="851"/>
        </w:tabs>
        <w:spacing w:before="120" w:after="120"/>
        <w:ind w:firstLine="427"/>
        <w:outlineLvl w:val="6"/>
      </w:pPr>
      <w:r w:rsidRPr="000839A4">
        <w:t>(1)</w:t>
      </w:r>
      <w:r w:rsidRPr="000839A4">
        <w:tab/>
        <w:t xml:space="preserve">Základ daně z neočekávaných zisků se určuje za zdaňovací období </w:t>
      </w:r>
      <w:r w:rsidRPr="000839A4">
        <w:rPr>
          <w:strike/>
        </w:rPr>
        <w:t>nebo období, za které se podává daňové přiznání</w:t>
      </w:r>
      <w:r w:rsidRPr="000839A4">
        <w:t xml:space="preserve">, </w:t>
      </w:r>
      <w:r w:rsidRPr="000839A4">
        <w:rPr>
          <w:strike/>
        </w:rPr>
        <w:t xml:space="preserve">která alespoň částečně </w:t>
      </w:r>
      <w:proofErr w:type="gramStart"/>
      <w:r w:rsidRPr="000839A4">
        <w:rPr>
          <w:strike/>
        </w:rPr>
        <w:t>spadají</w:t>
      </w:r>
      <w:r w:rsidRPr="000839A4">
        <w:t xml:space="preserve"> </w:t>
      </w:r>
      <w:r w:rsidRPr="000839A4">
        <w:rPr>
          <w:b/>
        </w:rPr>
        <w:t>které</w:t>
      </w:r>
      <w:proofErr w:type="gramEnd"/>
      <w:r w:rsidRPr="000839A4">
        <w:rPr>
          <w:b/>
        </w:rPr>
        <w:t xml:space="preserve"> alespoň částečně spadá</w:t>
      </w:r>
      <w:r w:rsidRPr="000839A4">
        <w:rPr>
          <w:b/>
          <w:shd w:val="clear" w:color="auto" w:fill="A8D08D" w:themeFill="accent6" w:themeFillTint="99"/>
        </w:rPr>
        <w:t xml:space="preserve"> </w:t>
      </w:r>
      <w:r w:rsidRPr="000839A4">
        <w:t xml:space="preserve">do období uplatnění daně z neočekávaných zisků. </w:t>
      </w:r>
    </w:p>
    <w:p w14:paraId="167EA712" w14:textId="77777777" w:rsidR="000839A4" w:rsidRPr="000839A4" w:rsidRDefault="000839A4" w:rsidP="000839A4">
      <w:pPr>
        <w:tabs>
          <w:tab w:val="left" w:pos="851"/>
        </w:tabs>
        <w:spacing w:before="120" w:after="120"/>
        <w:ind w:firstLine="427"/>
        <w:outlineLvl w:val="6"/>
      </w:pPr>
      <w:r w:rsidRPr="000839A4">
        <w:t>(2)</w:t>
      </w:r>
      <w:r w:rsidRPr="000839A4">
        <w:tab/>
        <w:t>Základem daně z neočekávaných zisků je rozdíl mezi srovnávaným</w:t>
      </w:r>
      <w:r w:rsidRPr="000839A4">
        <w:rPr>
          <w:b/>
        </w:rPr>
        <w:t xml:space="preserve"> </w:t>
      </w:r>
      <w:r w:rsidRPr="000839A4">
        <w:t>základem daně</w:t>
      </w:r>
      <w:r w:rsidRPr="000839A4">
        <w:rPr>
          <w:i/>
        </w:rPr>
        <w:t xml:space="preserve"> </w:t>
      </w:r>
      <w:r w:rsidRPr="000839A4">
        <w:t>a průměrem upravených srovnávacích základů daně. Pokud je tento rozdíl záporný, základ daně z neočekávaných zisků je nulový.</w:t>
      </w:r>
    </w:p>
    <w:p w14:paraId="13DC1EBB" w14:textId="77777777" w:rsidR="000839A4" w:rsidRPr="000839A4" w:rsidRDefault="000839A4" w:rsidP="000839A4">
      <w:pPr>
        <w:tabs>
          <w:tab w:val="left" w:pos="851"/>
        </w:tabs>
        <w:spacing w:before="120" w:after="120"/>
        <w:ind w:firstLine="427"/>
        <w:outlineLvl w:val="6"/>
      </w:pPr>
      <w:r w:rsidRPr="000839A4">
        <w:t>(3)</w:t>
      </w:r>
      <w:r w:rsidRPr="000839A4">
        <w:tab/>
        <w:t>Obdobím uplatnění daně z neočekávaných zisků jsou kalendářní roky 2023 až 2025.</w:t>
      </w:r>
    </w:p>
    <w:p w14:paraId="7E93A074" w14:textId="77777777" w:rsidR="000839A4" w:rsidRPr="000839A4" w:rsidRDefault="000839A4" w:rsidP="00FE4A0D">
      <w:pPr>
        <w:keepNext/>
        <w:keepLines/>
        <w:numPr>
          <w:ilvl w:val="0"/>
          <w:numId w:val="40"/>
        </w:numPr>
        <w:spacing w:before="120" w:after="120"/>
        <w:jc w:val="center"/>
        <w:outlineLvl w:val="5"/>
      </w:pPr>
      <w:r w:rsidRPr="000839A4">
        <w:t>§ 20bb</w:t>
      </w:r>
    </w:p>
    <w:p w14:paraId="007F8F03" w14:textId="77777777" w:rsidR="000839A4" w:rsidRPr="000839A4" w:rsidRDefault="000839A4" w:rsidP="00FE4A0D">
      <w:pPr>
        <w:keepNext/>
        <w:keepLines/>
        <w:numPr>
          <w:ilvl w:val="0"/>
          <w:numId w:val="40"/>
        </w:numPr>
        <w:spacing w:before="120" w:after="120"/>
        <w:jc w:val="center"/>
        <w:outlineLvl w:val="5"/>
      </w:pPr>
      <w:r w:rsidRPr="000839A4">
        <w:rPr>
          <w:b/>
        </w:rPr>
        <w:t>Srovnávaný základ daně</w:t>
      </w:r>
      <w:r w:rsidRPr="000839A4">
        <w:t xml:space="preserve"> </w:t>
      </w:r>
    </w:p>
    <w:p w14:paraId="389E05C9" w14:textId="77777777" w:rsidR="000839A4" w:rsidRPr="000839A4" w:rsidRDefault="000839A4" w:rsidP="000839A4">
      <w:pPr>
        <w:tabs>
          <w:tab w:val="left" w:pos="851"/>
        </w:tabs>
        <w:spacing w:before="120" w:after="120"/>
        <w:ind w:firstLine="427"/>
        <w:outlineLvl w:val="6"/>
      </w:pPr>
      <w:r w:rsidRPr="000839A4">
        <w:t>(1)</w:t>
      </w:r>
      <w:r w:rsidRPr="000839A4">
        <w:tab/>
        <w:t>Srovnávaným základem daně se rozumí základ daně před uplatněním položek snižujících základ daně a položek odčitatelných od základu daně nebo daňová ztráta. Do srovnávaného základu daně se nezahrnují příjmy ze zdrojů v zahraničí, které podle mezinárodní smlouvy mohou být zdaněny v zahraničí, a s nimi související výdaje. Pokud je srovnávaný základ daně záporný, považuje se za nulový.</w:t>
      </w:r>
    </w:p>
    <w:p w14:paraId="2150C37E" w14:textId="77777777" w:rsidR="000839A4" w:rsidRPr="000839A4" w:rsidRDefault="000839A4" w:rsidP="000839A4">
      <w:pPr>
        <w:tabs>
          <w:tab w:val="left" w:pos="851"/>
        </w:tabs>
        <w:spacing w:before="120" w:after="120"/>
        <w:outlineLvl w:val="6"/>
      </w:pPr>
      <w:r w:rsidRPr="000839A4">
        <w:t>(2)</w:t>
      </w:r>
      <w:r w:rsidRPr="000839A4">
        <w:tab/>
        <w:t>Do srovnávaného základu daně poplatníka, který je komanditní společností, se nezahrnuje také jeho část připadající na komplementáře.</w:t>
      </w:r>
    </w:p>
    <w:p w14:paraId="3268850D" w14:textId="77777777" w:rsidR="000839A4" w:rsidRPr="000839A4" w:rsidRDefault="000839A4" w:rsidP="000839A4">
      <w:pPr>
        <w:tabs>
          <w:tab w:val="left" w:pos="851"/>
        </w:tabs>
        <w:spacing w:before="120" w:after="120"/>
        <w:outlineLvl w:val="6"/>
      </w:pPr>
      <w:r w:rsidRPr="000839A4">
        <w:t>(3)</w:t>
      </w:r>
      <w:r w:rsidRPr="000839A4">
        <w:tab/>
        <w:t xml:space="preserve">Pokud zdaňovací období </w:t>
      </w:r>
      <w:r w:rsidRPr="000839A4">
        <w:rPr>
          <w:strike/>
        </w:rPr>
        <w:t xml:space="preserve">nebo období, za které se podává daňové přiznání, za </w:t>
      </w:r>
      <w:proofErr w:type="gramStart"/>
      <w:r w:rsidRPr="000839A4">
        <w:rPr>
          <w:strike/>
        </w:rPr>
        <w:t>která</w:t>
      </w:r>
      <w:r w:rsidRPr="000839A4">
        <w:t xml:space="preserve"> </w:t>
      </w:r>
      <w:r w:rsidRPr="000839A4">
        <w:rPr>
          <w:b/>
        </w:rPr>
        <w:t>, za</w:t>
      </w:r>
      <w:proofErr w:type="gramEnd"/>
      <w:r w:rsidRPr="000839A4">
        <w:rPr>
          <w:b/>
        </w:rPr>
        <w:t xml:space="preserve"> které</w:t>
      </w:r>
      <w:r w:rsidRPr="000839A4">
        <w:t xml:space="preserve"> se určuje základ daně z neočekávaných zisků, </w:t>
      </w:r>
      <w:r w:rsidRPr="000839A4">
        <w:rPr>
          <w:strike/>
        </w:rPr>
        <w:t xml:space="preserve">spadají </w:t>
      </w:r>
      <w:r w:rsidRPr="000839A4">
        <w:rPr>
          <w:b/>
        </w:rPr>
        <w:t>spadá</w:t>
      </w:r>
      <w:r w:rsidRPr="000839A4">
        <w:t xml:space="preserve"> jen částečně do období uplatnění daně z neočekávaných zisků, za srovnávaný základ daně se nepovažuje jeho poměrná část připadající na část zdaňovacího období </w:t>
      </w:r>
      <w:r w:rsidRPr="000839A4">
        <w:rPr>
          <w:strike/>
        </w:rPr>
        <w:t>nebo období, za které se podává daňové přiznání</w:t>
      </w:r>
      <w:r w:rsidRPr="000839A4">
        <w:t xml:space="preserve">, </w:t>
      </w:r>
      <w:r w:rsidRPr="000839A4">
        <w:rPr>
          <w:strike/>
        </w:rPr>
        <w:t>která</w:t>
      </w:r>
      <w:r w:rsidRPr="000839A4">
        <w:t xml:space="preserve"> </w:t>
      </w:r>
      <w:r w:rsidRPr="000839A4">
        <w:rPr>
          <w:b/>
        </w:rPr>
        <w:t>, které</w:t>
      </w:r>
      <w:r w:rsidRPr="000839A4">
        <w:t xml:space="preserve"> nespadá do období uplatnění daně z neočekávaných zisků.</w:t>
      </w:r>
    </w:p>
    <w:p w14:paraId="6EC51A1D" w14:textId="77777777" w:rsidR="000839A4" w:rsidRPr="000839A4" w:rsidRDefault="000839A4" w:rsidP="000839A4">
      <w:pPr>
        <w:tabs>
          <w:tab w:val="left" w:pos="851"/>
        </w:tabs>
        <w:spacing w:before="120" w:after="120"/>
        <w:ind w:firstLine="427"/>
        <w:outlineLvl w:val="6"/>
      </w:pPr>
      <w:r w:rsidRPr="000839A4">
        <w:t>(4)</w:t>
      </w:r>
      <w:r w:rsidRPr="000839A4">
        <w:tab/>
        <w:t xml:space="preserve">Pokud je poplatník daně z neočekávaných zisků, který je tímto poplatníkem jen z důvodu, že je součástí skupiny podniků s neočekávanými zisky, součástí této skupiny pouze po část zdaňovacího období </w:t>
      </w:r>
      <w:r w:rsidRPr="000839A4">
        <w:rPr>
          <w:strike/>
        </w:rPr>
        <w:t>nebo období, za které se podává daňové přiznání</w:t>
      </w:r>
      <w:r w:rsidRPr="000839A4">
        <w:t xml:space="preserve">, za srovnávaný základ daně se nepovažuje jeho poměrná část připadající na část zdaňovacího období </w:t>
      </w:r>
      <w:r w:rsidRPr="000839A4">
        <w:rPr>
          <w:strike/>
        </w:rPr>
        <w:t>nebo období, za které se podává daňové přiznání</w:t>
      </w:r>
      <w:r w:rsidRPr="000839A4">
        <w:t>, po kterou není součástí této skupiny.</w:t>
      </w:r>
    </w:p>
    <w:p w14:paraId="1A87B4F0" w14:textId="77777777" w:rsidR="000839A4" w:rsidRPr="000839A4" w:rsidRDefault="000839A4" w:rsidP="00FE4A0D">
      <w:pPr>
        <w:keepNext/>
        <w:keepLines/>
        <w:numPr>
          <w:ilvl w:val="0"/>
          <w:numId w:val="40"/>
        </w:numPr>
        <w:spacing w:before="120" w:after="120"/>
        <w:jc w:val="center"/>
        <w:outlineLvl w:val="5"/>
      </w:pPr>
      <w:r w:rsidRPr="000839A4">
        <w:t>§ 20bc</w:t>
      </w:r>
    </w:p>
    <w:p w14:paraId="63350BF7" w14:textId="77777777" w:rsidR="000839A4" w:rsidRPr="000839A4" w:rsidRDefault="000839A4" w:rsidP="00FE4A0D">
      <w:pPr>
        <w:keepNext/>
        <w:keepLines/>
        <w:numPr>
          <w:ilvl w:val="0"/>
          <w:numId w:val="40"/>
        </w:numPr>
        <w:spacing w:before="120" w:after="120"/>
        <w:jc w:val="center"/>
        <w:outlineLvl w:val="5"/>
      </w:pPr>
      <w:r w:rsidRPr="000839A4">
        <w:rPr>
          <w:b/>
        </w:rPr>
        <w:t>Srovnávací základ daně</w:t>
      </w:r>
      <w:r w:rsidRPr="000839A4">
        <w:t xml:space="preserve"> </w:t>
      </w:r>
    </w:p>
    <w:p w14:paraId="0518E617" w14:textId="77777777" w:rsidR="000839A4" w:rsidRPr="000839A4" w:rsidRDefault="000839A4" w:rsidP="000839A4">
      <w:pPr>
        <w:tabs>
          <w:tab w:val="left" w:pos="851"/>
        </w:tabs>
        <w:spacing w:before="120" w:after="120"/>
        <w:ind w:firstLine="427"/>
        <w:outlineLvl w:val="6"/>
      </w:pPr>
      <w:r w:rsidRPr="000839A4">
        <w:t>(1)</w:t>
      </w:r>
      <w:r w:rsidRPr="000839A4">
        <w:tab/>
        <w:t xml:space="preserve">Srovnávacím základem daně se rozumí základ daně před uplatněním položek snižujících základ daně a položek odčitatelných od základu daně nebo daňová ztráta za zdaňovací období </w:t>
      </w:r>
      <w:r w:rsidRPr="000839A4">
        <w:rPr>
          <w:strike/>
        </w:rPr>
        <w:t xml:space="preserve">nebo období, za které se podává daňové přiznání, započatá </w:t>
      </w:r>
      <w:r w:rsidRPr="000839A4">
        <w:rPr>
          <w:b/>
        </w:rPr>
        <w:t>započaté</w:t>
      </w:r>
      <w:r w:rsidRPr="000839A4">
        <w:t xml:space="preserve"> od 1. ledna 2018 a </w:t>
      </w:r>
      <w:r w:rsidRPr="000839A4">
        <w:rPr>
          <w:strike/>
        </w:rPr>
        <w:t>skončená</w:t>
      </w:r>
      <w:r w:rsidRPr="000839A4">
        <w:t xml:space="preserve"> </w:t>
      </w:r>
      <w:r w:rsidRPr="000839A4">
        <w:rPr>
          <w:b/>
        </w:rPr>
        <w:t>skončené</w:t>
      </w:r>
      <w:r w:rsidRPr="000839A4">
        <w:t xml:space="preserve"> do 31. prosince 2021. Do srovnávacího základu daně se nezahrnují příjmy ze zdrojů v zahraničí, které podle mezinárodní smlouvy mohou být zdaněny v zahraničí, a s nimi související výdaje. </w:t>
      </w:r>
    </w:p>
    <w:p w14:paraId="273FAE4A" w14:textId="77777777" w:rsidR="000839A4" w:rsidRPr="000839A4" w:rsidRDefault="000839A4" w:rsidP="000839A4">
      <w:pPr>
        <w:tabs>
          <w:tab w:val="left" w:pos="851"/>
        </w:tabs>
        <w:spacing w:before="120" w:after="120"/>
        <w:ind w:firstLine="427"/>
        <w:outlineLvl w:val="6"/>
      </w:pPr>
      <w:r w:rsidRPr="000839A4">
        <w:t>(2)</w:t>
      </w:r>
      <w:r w:rsidRPr="000839A4">
        <w:tab/>
        <w:t>Do srovnávacího základu daně poplatníka, který je komanditní společností, se nezahrnuje také jeho část připadající na komplementáře.</w:t>
      </w:r>
    </w:p>
    <w:p w14:paraId="510E0D9F" w14:textId="77777777" w:rsidR="000839A4" w:rsidRPr="000839A4" w:rsidRDefault="000839A4" w:rsidP="000839A4">
      <w:pPr>
        <w:tabs>
          <w:tab w:val="left" w:pos="851"/>
        </w:tabs>
        <w:spacing w:before="120" w:after="120"/>
        <w:ind w:firstLine="427"/>
        <w:outlineLvl w:val="6"/>
      </w:pPr>
      <w:r w:rsidRPr="000839A4">
        <w:lastRenderedPageBreak/>
        <w:t>(3)</w:t>
      </w:r>
      <w:r w:rsidRPr="000839A4">
        <w:tab/>
        <w:t xml:space="preserve">Srovnávací základ daně poplatníka, který je daňovým rezidentem České republiky, za </w:t>
      </w:r>
      <w:r w:rsidRPr="000839A4">
        <w:rPr>
          <w:strike/>
        </w:rPr>
        <w:t>období nebo období, za které se podává daňové přiznání, ve kterých</w:t>
      </w:r>
      <w:r w:rsidRPr="000839A4">
        <w:rPr>
          <w:b/>
        </w:rPr>
        <w:t xml:space="preserve"> zdaňovací období</w:t>
      </w:r>
      <w:r w:rsidRPr="000839A4">
        <w:t xml:space="preserve">, </w:t>
      </w:r>
      <w:r w:rsidRPr="000839A4">
        <w:rPr>
          <w:b/>
        </w:rPr>
        <w:t>ve kterém</w:t>
      </w:r>
      <w:r w:rsidRPr="000839A4">
        <w:t xml:space="preserve"> poplatník byl daňovým nerezidentem, se určí ze základu daně podle právních předpisů státu, jehož byl daňovým rezidentem, obdobným způsobem jako srovnávací základ daně poplatníka, který je daňovým rezidentem České republiky.</w:t>
      </w:r>
    </w:p>
    <w:p w14:paraId="232D6435" w14:textId="77777777" w:rsidR="000839A4" w:rsidRPr="000839A4" w:rsidRDefault="000839A4" w:rsidP="000839A4">
      <w:pPr>
        <w:tabs>
          <w:tab w:val="left" w:pos="851"/>
        </w:tabs>
        <w:spacing w:before="120" w:after="120"/>
        <w:ind w:firstLine="427"/>
        <w:outlineLvl w:val="6"/>
      </w:pPr>
      <w:r w:rsidRPr="000839A4">
        <w:t>(4)</w:t>
      </w:r>
      <w:r w:rsidRPr="000839A4">
        <w:tab/>
        <w:t>Srovnávacím základem daně poplatníka je i srovnávací základ daně jeho právního předchůdce v  rozsahu, v jakém v důsledku přeměny přešlo jeho jmění na poplatníka. Srovnávacím základem daně poplatníka není část jeho srovnávacího základu daně v rozsahu, v jakém v důsledku přeměny přešlo jeho jmění na jeho právního nástupce. Pokud byl právní předchůdce daňovým nerezidentem a poplatník je daňovým rezidentem České republiky, určí se srovnávací základ daně právního předchůdce podle odstavce 3. Pokud se přeměna stala účinnou od 1. července 2022, postup podle vět první a druhé se nepoužije, pokud právní předchůdce neměl za první účetní období skončené od 1. ledna 2021 rozhodné příjmy pro daň z neočekávaných zisků ve výši alespoň 50 000 000 Kč.</w:t>
      </w:r>
    </w:p>
    <w:p w14:paraId="1F69F7C2" w14:textId="77777777" w:rsidR="000839A4" w:rsidRPr="000839A4" w:rsidRDefault="000839A4" w:rsidP="000839A4">
      <w:pPr>
        <w:tabs>
          <w:tab w:val="left" w:pos="851"/>
        </w:tabs>
        <w:spacing w:before="120" w:after="120"/>
        <w:ind w:firstLine="427"/>
        <w:outlineLvl w:val="6"/>
      </w:pPr>
      <w:r w:rsidRPr="000839A4">
        <w:t>(5)</w:t>
      </w:r>
      <w:r w:rsidRPr="000839A4">
        <w:tab/>
        <w:t>Pokud je srovnávací základ daně určen za jinak dlouhé období než srovnávaný základ daně, za srovnávací základ daně se považuje jeho výše přepočítaná poměrně tak, jako by byl srovnávací základ daně určen za stejně dlouhé období.</w:t>
      </w:r>
    </w:p>
    <w:p w14:paraId="3F529149" w14:textId="77777777" w:rsidR="000839A4" w:rsidRPr="000839A4" w:rsidRDefault="000839A4" w:rsidP="000839A4">
      <w:pPr>
        <w:tabs>
          <w:tab w:val="left" w:pos="851"/>
        </w:tabs>
        <w:spacing w:before="120" w:after="120"/>
        <w:outlineLvl w:val="6"/>
      </w:pPr>
      <w:r w:rsidRPr="000839A4">
        <w:t>(6)</w:t>
      </w:r>
      <w:r w:rsidRPr="000839A4">
        <w:tab/>
        <w:t>Upraveným srovnávacím základem daně se rozumí srovnávací základ daně zvýšený o absolutní hodnotu 20 % z tohoto základu.</w:t>
      </w:r>
    </w:p>
    <w:p w14:paraId="5D9C861E" w14:textId="77777777" w:rsidR="000839A4" w:rsidRPr="000839A4" w:rsidRDefault="000839A4" w:rsidP="00FE4A0D">
      <w:pPr>
        <w:keepNext/>
        <w:keepLines/>
        <w:numPr>
          <w:ilvl w:val="0"/>
          <w:numId w:val="40"/>
        </w:numPr>
        <w:spacing w:before="120" w:after="120"/>
        <w:jc w:val="center"/>
        <w:outlineLvl w:val="5"/>
      </w:pPr>
      <w:r w:rsidRPr="000839A4">
        <w:t>§ 20bd</w:t>
      </w:r>
    </w:p>
    <w:p w14:paraId="58D21C9E" w14:textId="77777777" w:rsidR="000839A4" w:rsidRPr="000839A4" w:rsidRDefault="000839A4" w:rsidP="00FE4A0D">
      <w:pPr>
        <w:keepNext/>
        <w:keepLines/>
        <w:numPr>
          <w:ilvl w:val="0"/>
          <w:numId w:val="40"/>
        </w:numPr>
        <w:spacing w:before="120" w:after="120"/>
        <w:jc w:val="center"/>
        <w:outlineLvl w:val="5"/>
      </w:pPr>
      <w:r w:rsidRPr="000839A4">
        <w:rPr>
          <w:b/>
        </w:rPr>
        <w:t>Průměr upravených srovnávacích základů daně</w:t>
      </w:r>
    </w:p>
    <w:p w14:paraId="0FA0AC92" w14:textId="77777777" w:rsidR="000839A4" w:rsidRPr="000839A4" w:rsidRDefault="000839A4" w:rsidP="000839A4">
      <w:pPr>
        <w:tabs>
          <w:tab w:val="left" w:pos="851"/>
        </w:tabs>
        <w:spacing w:before="120" w:after="120"/>
        <w:ind w:firstLine="427"/>
        <w:outlineLvl w:val="6"/>
      </w:pPr>
      <w:r w:rsidRPr="000839A4">
        <w:t>(1)</w:t>
      </w:r>
      <w:r w:rsidRPr="000839A4">
        <w:tab/>
        <w:t>Průměr upravených srovnávacích základů se vypočítá jako aritmetický průměr. Pokud je průměr upravených srovnávacích základů daně záporný, považuje se za nulový.</w:t>
      </w:r>
    </w:p>
    <w:p w14:paraId="22092858" w14:textId="77777777" w:rsidR="000839A4" w:rsidRPr="000839A4" w:rsidRDefault="000839A4" w:rsidP="000839A4">
      <w:pPr>
        <w:tabs>
          <w:tab w:val="left" w:pos="851"/>
        </w:tabs>
        <w:spacing w:before="120" w:after="120"/>
        <w:outlineLvl w:val="6"/>
      </w:pPr>
      <w:r w:rsidRPr="000839A4">
        <w:t>(2)</w:t>
      </w:r>
      <w:r w:rsidRPr="000839A4">
        <w:tab/>
        <w:t xml:space="preserve">Průměry upravených srovnávacích základů daně poplatníků, kteří jsou součástí stejné skupiny podniků s neočekávanými zisky a kteří mají shodné období, za které se určuje srovnávaný základ daně, lze v tomto období o shodnou částku u jednoho poplatníka zvýšit a u druhého poplatníka snížit, pokud </w:t>
      </w:r>
    </w:p>
    <w:p w14:paraId="545D8080" w14:textId="77777777" w:rsidR="000839A4" w:rsidRPr="000839A4" w:rsidRDefault="000839A4" w:rsidP="000839A4">
      <w:pPr>
        <w:spacing w:before="0"/>
        <w:ind w:left="425" w:hanging="425"/>
        <w:outlineLvl w:val="7"/>
      </w:pPr>
      <w:r w:rsidRPr="000839A4">
        <w:t>a)</w:t>
      </w:r>
      <w:r w:rsidRPr="000839A4">
        <w:tab/>
        <w:t>toto zvýšení vede k tomu, že daň z neočekávaných zisků prvního poplatníka je nižší, než kdyby k přesunu průměru nedošlo,</w:t>
      </w:r>
    </w:p>
    <w:p w14:paraId="221781BF" w14:textId="77777777" w:rsidR="000839A4" w:rsidRPr="000839A4" w:rsidRDefault="000839A4" w:rsidP="000839A4">
      <w:pPr>
        <w:spacing w:before="0"/>
        <w:ind w:left="425" w:hanging="425"/>
        <w:outlineLvl w:val="7"/>
      </w:pPr>
      <w:r w:rsidRPr="000839A4">
        <w:t>b)</w:t>
      </w:r>
      <w:r w:rsidRPr="000839A4">
        <w:tab/>
        <w:t xml:space="preserve">toto snížení nevede k tomu, že daň z neočekávaných zisků druhého poplatníka je vyšší, než kdyby k přesunu průměru nedošlo, a </w:t>
      </w:r>
    </w:p>
    <w:p w14:paraId="7AD94EA8" w14:textId="77777777" w:rsidR="000839A4" w:rsidRPr="000839A4" w:rsidRDefault="000839A4" w:rsidP="000839A4">
      <w:pPr>
        <w:spacing w:before="0"/>
        <w:ind w:left="425" w:hanging="425"/>
        <w:outlineLvl w:val="7"/>
      </w:pPr>
      <w:r w:rsidRPr="000839A4">
        <w:t>c)</w:t>
      </w:r>
      <w:r w:rsidRPr="000839A4">
        <w:tab/>
        <w:t xml:space="preserve">je podáno oznámení o přesouvání průměrů upravených srovnávacích základů daně v rámci skupiny podniků s neočekávanými zisky v případě, že k přesouvání průměrů dochází na základě podaného daňového přiznání nebo dodatečného daňového přiznání k dani z neočekávaných zisků. </w:t>
      </w:r>
    </w:p>
    <w:p w14:paraId="7DAB6DCD" w14:textId="77777777" w:rsidR="000839A4" w:rsidRPr="000839A4" w:rsidRDefault="000839A4" w:rsidP="000839A4">
      <w:pPr>
        <w:tabs>
          <w:tab w:val="left" w:pos="851"/>
        </w:tabs>
        <w:spacing w:before="120" w:after="120"/>
        <w:ind w:firstLine="427"/>
        <w:outlineLvl w:val="6"/>
      </w:pPr>
      <w:proofErr w:type="gramStart"/>
      <w:r w:rsidRPr="000839A4">
        <w:t>(3) Postup</w:t>
      </w:r>
      <w:proofErr w:type="gramEnd"/>
      <w:r w:rsidRPr="000839A4">
        <w:t xml:space="preserve"> podle odstavce 2 nesmí využít poplatník daně z neočekávaných zisků, </w:t>
      </w:r>
      <w:proofErr w:type="gramStart"/>
      <w:r w:rsidRPr="000839A4">
        <w:t>který</w:t>
      </w:r>
      <w:proofErr w:type="gramEnd"/>
      <w:r w:rsidRPr="000839A4">
        <w:t xml:space="preserve"> </w:t>
      </w:r>
    </w:p>
    <w:p w14:paraId="34A04B88" w14:textId="77777777" w:rsidR="000839A4" w:rsidRPr="000839A4" w:rsidRDefault="000839A4" w:rsidP="000839A4">
      <w:pPr>
        <w:spacing w:before="0"/>
        <w:ind w:left="425" w:hanging="425"/>
        <w:outlineLvl w:val="7"/>
      </w:pPr>
      <w:r w:rsidRPr="000839A4">
        <w:t>a)</w:t>
      </w:r>
      <w:r w:rsidRPr="000839A4">
        <w:tab/>
        <w:t>je součástí více skupin podniků s neočekávanými zisky nebo</w:t>
      </w:r>
    </w:p>
    <w:p w14:paraId="047E7634" w14:textId="77777777" w:rsidR="000839A4" w:rsidRPr="000839A4" w:rsidRDefault="000839A4" w:rsidP="000839A4">
      <w:pPr>
        <w:spacing w:before="0"/>
        <w:ind w:left="425" w:hanging="425"/>
        <w:outlineLvl w:val="7"/>
      </w:pPr>
      <w:r w:rsidRPr="000839A4">
        <w:t>b)</w:t>
      </w:r>
      <w:r w:rsidRPr="000839A4">
        <w:tab/>
        <w:t>neměl za první účetní období skončené od 1. ledna 2021 rozhodné příjmy pro daň z neočekávaných zisků ve výši alespoň 50 000 000 Kč.</w:t>
      </w:r>
    </w:p>
    <w:p w14:paraId="02895B8C" w14:textId="77777777" w:rsidR="000839A4" w:rsidRPr="000839A4" w:rsidRDefault="000839A4" w:rsidP="000839A4">
      <w:pPr>
        <w:tabs>
          <w:tab w:val="left" w:pos="851"/>
        </w:tabs>
        <w:spacing w:before="120" w:after="120"/>
        <w:ind w:firstLine="427"/>
        <w:outlineLvl w:val="6"/>
      </w:pPr>
      <w:r w:rsidRPr="000839A4">
        <w:t>(4)</w:t>
      </w:r>
      <w:r w:rsidRPr="000839A4">
        <w:tab/>
        <w:t xml:space="preserve">K přesouvání průměrů upravených srovnávacích základů může dojít na základě dodatečného daňového přiznání k dani z neočekávaných zisků pouze tehdy, pokud dochází k úpravě přesunu průměrů upravených srovnávacích základů z důvodu, že tento přesun nesplňuje podmínky, za kterých může být učiněn. </w:t>
      </w:r>
    </w:p>
    <w:p w14:paraId="6A89B53E" w14:textId="77777777" w:rsidR="000839A4" w:rsidRPr="000839A4" w:rsidRDefault="000839A4" w:rsidP="000839A4">
      <w:pPr>
        <w:tabs>
          <w:tab w:val="left" w:pos="851"/>
        </w:tabs>
        <w:spacing w:before="120" w:after="120"/>
        <w:outlineLvl w:val="6"/>
      </w:pPr>
      <w:r w:rsidRPr="000839A4">
        <w:lastRenderedPageBreak/>
        <w:t>(5)</w:t>
      </w:r>
      <w:r w:rsidRPr="000839A4">
        <w:tab/>
        <w:t>Využije-li se postup podle odstavce 2, za průměr upravených srovnávacích základů daně se považuje takto upravený průměr upravených srovnávacích základů daně.</w:t>
      </w:r>
    </w:p>
    <w:p w14:paraId="3FFAEBE2" w14:textId="77777777" w:rsidR="000839A4" w:rsidRPr="000839A4" w:rsidRDefault="000839A4" w:rsidP="000839A4">
      <w:pPr>
        <w:tabs>
          <w:tab w:val="left" w:pos="851"/>
        </w:tabs>
        <w:spacing w:before="120" w:after="120"/>
        <w:outlineLvl w:val="6"/>
      </w:pPr>
      <w:r w:rsidRPr="000839A4">
        <w:t>(6)</w:t>
      </w:r>
      <w:r w:rsidRPr="000839A4">
        <w:tab/>
        <w:t xml:space="preserve">Oznámení o přesouvání průměru upravených srovnávacích základů daně v rámci skupiny podniků s neočekávanými zisky může zastupující poplatník podat správci daně do uplynutí lhůty pro podání daňového nebo dodatečného daňového přiznání k dani z neočekávaných zisků poplatníka, který se přesunu účastní a kterému tato lhůta uplyne jako první. </w:t>
      </w:r>
    </w:p>
    <w:p w14:paraId="18381E36" w14:textId="77777777" w:rsidR="000839A4" w:rsidRPr="000839A4" w:rsidRDefault="000839A4" w:rsidP="000839A4">
      <w:pPr>
        <w:tabs>
          <w:tab w:val="left" w:pos="851"/>
        </w:tabs>
        <w:spacing w:before="120" w:after="120"/>
        <w:ind w:firstLine="427"/>
        <w:outlineLvl w:val="6"/>
      </w:pPr>
      <w:r w:rsidRPr="000839A4">
        <w:t>(7)</w:t>
      </w:r>
      <w:r w:rsidRPr="000839A4">
        <w:tab/>
        <w:t xml:space="preserve">Oznámení o přesouvání průměru upravených srovnávacích základů daně v rámci skupiny podniků s neočekávanými zisky je formulářovým podáním a poplatník je v tomto oznámení povinen kromě obecných náležitostí podání uvést </w:t>
      </w:r>
    </w:p>
    <w:p w14:paraId="3BEBC0AE" w14:textId="77777777" w:rsidR="000839A4" w:rsidRPr="000839A4" w:rsidRDefault="000839A4" w:rsidP="000839A4">
      <w:pPr>
        <w:spacing w:before="0"/>
        <w:ind w:left="425" w:hanging="425"/>
        <w:outlineLvl w:val="7"/>
      </w:pPr>
      <w:r w:rsidRPr="000839A4">
        <w:t>a)</w:t>
      </w:r>
      <w:r w:rsidRPr="000839A4">
        <w:tab/>
        <w:t>své identifikační a kontaktní údaje,</w:t>
      </w:r>
    </w:p>
    <w:p w14:paraId="5E4B9C7D" w14:textId="77777777" w:rsidR="000839A4" w:rsidRPr="000839A4" w:rsidRDefault="000839A4" w:rsidP="000839A4">
      <w:pPr>
        <w:spacing w:before="0"/>
        <w:ind w:left="425" w:hanging="425"/>
        <w:outlineLvl w:val="7"/>
      </w:pPr>
      <w:r w:rsidRPr="000839A4">
        <w:t>b)</w:t>
      </w:r>
      <w:r w:rsidRPr="000839A4">
        <w:tab/>
        <w:t>identifikační údaje poplatníků, kteří jsou součástí skupiny podniků s neočekávanými zisky a u kterých dochází ke snížení nebo zvýšení průměru upravených srovnávacích základů daně v důsledku přesouvání průměru upravených srovnávacích základů daně v rámci skupiny podniků s neočekávanými zisky a</w:t>
      </w:r>
    </w:p>
    <w:p w14:paraId="15BF59FA" w14:textId="77777777" w:rsidR="000839A4" w:rsidRPr="000839A4" w:rsidRDefault="000839A4" w:rsidP="000839A4">
      <w:pPr>
        <w:spacing w:before="0"/>
        <w:ind w:left="425" w:hanging="425"/>
        <w:outlineLvl w:val="7"/>
      </w:pPr>
      <w:r w:rsidRPr="000839A4">
        <w:t>c)</w:t>
      </w:r>
      <w:r w:rsidRPr="000839A4">
        <w:tab/>
        <w:t xml:space="preserve">údaje o snížení a zvýšení průměrů upravených srovnávacích základů daně, ke kterým u poplatníků, kteří jsou součástí skupiny podniků s neočekávanými zisky, došlo za zdaňovací období </w:t>
      </w:r>
      <w:r w:rsidRPr="000839A4">
        <w:rPr>
          <w:strike/>
        </w:rPr>
        <w:t>nebo období, za které se podává daňové přiznání</w:t>
      </w:r>
      <w:r w:rsidRPr="000839A4">
        <w:t xml:space="preserve">, a o tom, mezi kterými poplatníky došlo k přesouvání průměru upravených srovnávacích základů daně.  </w:t>
      </w:r>
    </w:p>
    <w:p w14:paraId="68EB9B3E" w14:textId="77777777" w:rsidR="000839A4" w:rsidRPr="000839A4" w:rsidRDefault="000839A4" w:rsidP="000839A4">
      <w:pPr>
        <w:tabs>
          <w:tab w:val="left" w:pos="851"/>
        </w:tabs>
        <w:spacing w:before="120" w:after="120"/>
        <w:ind w:firstLine="427"/>
        <w:outlineLvl w:val="6"/>
      </w:pPr>
      <w:r w:rsidRPr="000839A4">
        <w:t>(8)</w:t>
      </w:r>
      <w:r w:rsidRPr="000839A4">
        <w:tab/>
        <w:t xml:space="preserve">Oznámení o přesouvání průměru upravených srovnávacích základů daně v rámci skupiny podniků s neočekávanými zisky podané po lhůtě podle odstavce 6 je neúčinné. Tuto lhůtu nelze navrátit v předešlý stav.  </w:t>
      </w:r>
    </w:p>
    <w:p w14:paraId="31AF880B" w14:textId="77777777" w:rsidR="000839A4" w:rsidRPr="000839A4" w:rsidRDefault="000839A4" w:rsidP="00FE4A0D">
      <w:pPr>
        <w:tabs>
          <w:tab w:val="left" w:pos="851"/>
        </w:tabs>
        <w:spacing w:before="120" w:after="120"/>
        <w:outlineLvl w:val="6"/>
      </w:pPr>
      <w:r w:rsidRPr="000839A4">
        <w:t>(9)</w:t>
      </w:r>
      <w:r w:rsidRPr="000839A4">
        <w:tab/>
        <w:t>Zastupujícím poplatníkem se pro účely daně z neočekávaných zisků rozumí poplatník daně z příjmů právnických osob, který je daňovým rezidentem České republiky a který je součástí skupiny podniků s neočekávanými zisky a o kterém tato skupina rozhodla, že podává oznámení o přesouvání průměru upravených srovnávacích základů daně v rámci skupiny podniků s neočekávanými zisky. Skupina podniků s neočekávanými zisky může mít pouze jednoho zastupujícího poplatníka.</w:t>
      </w:r>
    </w:p>
    <w:p w14:paraId="3602E4C4" w14:textId="77777777" w:rsidR="000839A4" w:rsidRPr="000839A4" w:rsidRDefault="000839A4" w:rsidP="00FE4A0D">
      <w:pPr>
        <w:keepNext/>
        <w:keepLines/>
        <w:numPr>
          <w:ilvl w:val="0"/>
          <w:numId w:val="40"/>
        </w:numPr>
        <w:spacing w:before="120" w:after="120"/>
        <w:jc w:val="center"/>
        <w:outlineLvl w:val="5"/>
      </w:pPr>
      <w:r w:rsidRPr="000839A4">
        <w:t>§ 20be</w:t>
      </w:r>
    </w:p>
    <w:p w14:paraId="280EF3B8" w14:textId="77777777" w:rsidR="000839A4" w:rsidRPr="000839A4" w:rsidRDefault="000839A4" w:rsidP="00FE4A0D">
      <w:pPr>
        <w:keepNext/>
        <w:keepLines/>
        <w:numPr>
          <w:ilvl w:val="0"/>
          <w:numId w:val="40"/>
        </w:numPr>
        <w:spacing w:before="120" w:after="120"/>
        <w:jc w:val="center"/>
        <w:outlineLvl w:val="5"/>
      </w:pPr>
      <w:r w:rsidRPr="000839A4">
        <w:rPr>
          <w:b/>
        </w:rPr>
        <w:t>Závazné posouzení toho, zda je poplatník součástí skupiny podniků s neočekávanými zisky</w:t>
      </w:r>
    </w:p>
    <w:p w14:paraId="60A89C61" w14:textId="77777777" w:rsidR="000839A4" w:rsidRPr="000839A4" w:rsidRDefault="000839A4" w:rsidP="000839A4">
      <w:pPr>
        <w:tabs>
          <w:tab w:val="left" w:pos="851"/>
        </w:tabs>
        <w:spacing w:before="120" w:after="120"/>
        <w:ind w:firstLine="427"/>
        <w:outlineLvl w:val="6"/>
      </w:pPr>
      <w:r w:rsidRPr="000839A4">
        <w:t xml:space="preserve">(1) Poplatník daně z příjmů právnických osob může požádat Specializovaný finanční úřad o vydání rozhodnutí o závazném posouzení, zda je v určitém zdaňovacím období </w:t>
      </w:r>
      <w:r w:rsidRPr="000839A4">
        <w:rPr>
          <w:strike/>
        </w:rPr>
        <w:t xml:space="preserve">nebo období, za které se podává daňové přiznání, </w:t>
      </w:r>
      <w:r w:rsidRPr="000839A4">
        <w:t>součástí skupiny podniků s neočekávanými zisky spolu s jiným poplatníkem daně z příjmů právnických osob.</w:t>
      </w:r>
    </w:p>
    <w:p w14:paraId="3F841A77" w14:textId="77777777" w:rsidR="000839A4" w:rsidRPr="000839A4" w:rsidRDefault="000839A4" w:rsidP="000839A4">
      <w:pPr>
        <w:tabs>
          <w:tab w:val="left" w:pos="851"/>
        </w:tabs>
        <w:spacing w:before="120" w:after="120"/>
        <w:outlineLvl w:val="6"/>
      </w:pPr>
      <w:r w:rsidRPr="000839A4">
        <w:t>(2)</w:t>
      </w:r>
      <w:r w:rsidRPr="000839A4">
        <w:tab/>
        <w:t>V žádosti podle odstavce 1 je poplatník povinen kromě obecných náležitostí podání uvést</w:t>
      </w:r>
    </w:p>
    <w:p w14:paraId="49F83048" w14:textId="77777777" w:rsidR="000839A4" w:rsidRPr="000839A4" w:rsidRDefault="000839A4" w:rsidP="000839A4">
      <w:pPr>
        <w:spacing w:before="0"/>
        <w:ind w:left="425" w:hanging="425"/>
        <w:outlineLvl w:val="7"/>
      </w:pPr>
      <w:r w:rsidRPr="000839A4">
        <w:t>a)</w:t>
      </w:r>
      <w:r w:rsidRPr="000839A4">
        <w:tab/>
        <w:t>identifikační údaje posuzovaných poplatníků,</w:t>
      </w:r>
    </w:p>
    <w:p w14:paraId="516106F5" w14:textId="77777777" w:rsidR="000839A4" w:rsidRPr="000839A4" w:rsidRDefault="000839A4" w:rsidP="000839A4">
      <w:pPr>
        <w:spacing w:before="0"/>
        <w:ind w:left="425" w:hanging="425"/>
        <w:outlineLvl w:val="7"/>
      </w:pPr>
      <w:r w:rsidRPr="000839A4">
        <w:t>b)</w:t>
      </w:r>
      <w:r w:rsidRPr="000839A4">
        <w:tab/>
        <w:t>popis a dokumentace vztahu mezi poplatníky pro posouzení, zda jsou součástí stejné skupiny podniků s neočekávanými zisky,</w:t>
      </w:r>
    </w:p>
    <w:p w14:paraId="1254C5D0" w14:textId="77777777" w:rsidR="000839A4" w:rsidRPr="000839A4" w:rsidRDefault="000839A4" w:rsidP="000839A4">
      <w:pPr>
        <w:spacing w:before="0"/>
        <w:ind w:left="425" w:hanging="425"/>
        <w:outlineLvl w:val="7"/>
      </w:pPr>
      <w:r w:rsidRPr="000839A4">
        <w:t>c)</w:t>
      </w:r>
      <w:r w:rsidRPr="000839A4">
        <w:tab/>
        <w:t xml:space="preserve">zdaňovací období </w:t>
      </w:r>
      <w:r w:rsidRPr="000839A4">
        <w:rPr>
          <w:strike/>
        </w:rPr>
        <w:t>nebo období, za které se podává daňové přiznání, na která</w:t>
      </w:r>
      <w:r w:rsidRPr="000839A4">
        <w:t xml:space="preserve"> </w:t>
      </w:r>
      <w:r w:rsidRPr="000839A4">
        <w:rPr>
          <w:b/>
        </w:rPr>
        <w:t>na které</w:t>
      </w:r>
      <w:r w:rsidRPr="000839A4">
        <w:t xml:space="preserve"> se má rozhodnutí o závazném posouzení vztahovat, a</w:t>
      </w:r>
    </w:p>
    <w:p w14:paraId="59358A1D" w14:textId="77777777" w:rsidR="000839A4" w:rsidRPr="000839A4" w:rsidRDefault="000839A4" w:rsidP="000839A4">
      <w:pPr>
        <w:spacing w:before="0"/>
        <w:ind w:left="425" w:hanging="425"/>
        <w:outlineLvl w:val="7"/>
      </w:pPr>
      <w:r w:rsidRPr="000839A4">
        <w:t>d)</w:t>
      </w:r>
      <w:r w:rsidRPr="000839A4">
        <w:tab/>
        <w:t>návrh výroku rozhodnutí o závazném posouzení.</w:t>
      </w:r>
    </w:p>
    <w:p w14:paraId="7600544C" w14:textId="77777777" w:rsidR="000839A4" w:rsidRPr="000839A4" w:rsidRDefault="000839A4" w:rsidP="000839A4">
      <w:pPr>
        <w:tabs>
          <w:tab w:val="left" w:pos="851"/>
        </w:tabs>
        <w:spacing w:before="120" w:after="120"/>
        <w:outlineLvl w:val="6"/>
      </w:pPr>
      <w:r w:rsidRPr="000839A4">
        <w:lastRenderedPageBreak/>
        <w:t>(3) Specializovaný finanční úřad o vydaném rozhodnutí o závazném posouzení podle odstavce 1 vhodným způsobem vyrozumí ostatní poplatníky uvedené ve výroku rozhodnutí.</w:t>
      </w:r>
    </w:p>
    <w:p w14:paraId="05AED8AE" w14:textId="77777777" w:rsidR="000839A4" w:rsidRPr="000839A4" w:rsidRDefault="000839A4" w:rsidP="00FE4A0D">
      <w:pPr>
        <w:keepNext/>
        <w:numPr>
          <w:ilvl w:val="0"/>
          <w:numId w:val="40"/>
        </w:numPr>
        <w:spacing w:before="120" w:after="120"/>
        <w:jc w:val="center"/>
        <w:rPr>
          <w:b/>
          <w:szCs w:val="24"/>
        </w:rPr>
      </w:pPr>
      <w:r w:rsidRPr="000839A4">
        <w:rPr>
          <w:strike/>
          <w:szCs w:val="24"/>
        </w:rPr>
        <w:t>§ 20c</w:t>
      </w:r>
    </w:p>
    <w:p w14:paraId="1FBB426F" w14:textId="77777777" w:rsidR="000839A4" w:rsidRPr="000839A4" w:rsidRDefault="000839A4" w:rsidP="00FE4A0D">
      <w:pPr>
        <w:keepNext/>
        <w:numPr>
          <w:ilvl w:val="0"/>
          <w:numId w:val="40"/>
        </w:numPr>
        <w:spacing w:before="120" w:after="120"/>
        <w:jc w:val="center"/>
        <w:rPr>
          <w:b/>
          <w:szCs w:val="24"/>
        </w:rPr>
      </w:pPr>
      <w:r w:rsidRPr="000839A4">
        <w:rPr>
          <w:b/>
          <w:strike/>
          <w:szCs w:val="24"/>
        </w:rPr>
        <w:t>Obchodní majetek poplatníka daně z příjmů právnických osob</w:t>
      </w:r>
      <w:r w:rsidRPr="000839A4">
        <w:rPr>
          <w:b/>
          <w:szCs w:val="24"/>
        </w:rPr>
        <w:t xml:space="preserve"> </w:t>
      </w:r>
    </w:p>
    <w:p w14:paraId="6DF07124" w14:textId="77777777" w:rsidR="000839A4" w:rsidRPr="000839A4" w:rsidRDefault="000839A4" w:rsidP="000839A4">
      <w:pPr>
        <w:tabs>
          <w:tab w:val="left" w:pos="851"/>
        </w:tabs>
        <w:spacing w:before="120" w:after="120"/>
        <w:outlineLvl w:val="6"/>
        <w:rPr>
          <w:strike/>
        </w:rPr>
      </w:pPr>
      <w:proofErr w:type="gramStart"/>
      <w:r w:rsidRPr="000839A4">
        <w:t>Obchodním</w:t>
      </w:r>
      <w:proofErr w:type="gramEnd"/>
      <w:r w:rsidRPr="000839A4">
        <w:t xml:space="preserve"> majetkem poplatníka daně z příjmů právnických osob se pro účely daní z příjmů rozumí </w:t>
      </w:r>
      <w:r w:rsidRPr="000839A4">
        <w:rPr>
          <w:strike/>
        </w:rPr>
        <w:t xml:space="preserve">veškerý majetek, </w:t>
      </w:r>
      <w:proofErr w:type="gramStart"/>
      <w:r w:rsidRPr="000839A4">
        <w:rPr>
          <w:strike/>
        </w:rPr>
        <w:t>který</w:t>
      </w:r>
      <w:proofErr w:type="gramEnd"/>
      <w:r w:rsidRPr="000839A4">
        <w:rPr>
          <w:strike/>
        </w:rPr>
        <w:t xml:space="preserve"> </w:t>
      </w:r>
    </w:p>
    <w:p w14:paraId="3C316398" w14:textId="77777777" w:rsidR="000839A4" w:rsidRPr="000839A4" w:rsidRDefault="000839A4" w:rsidP="000839A4">
      <w:pPr>
        <w:numPr>
          <w:ilvl w:val="0"/>
          <w:numId w:val="40"/>
        </w:numPr>
        <w:tabs>
          <w:tab w:val="left" w:pos="357"/>
        </w:tabs>
        <w:spacing w:before="0"/>
        <w:jc w:val="left"/>
        <w:rPr>
          <w:strike/>
          <w:szCs w:val="24"/>
        </w:rPr>
      </w:pPr>
      <w:r w:rsidRPr="000839A4">
        <w:rPr>
          <w:strike/>
          <w:szCs w:val="24"/>
        </w:rPr>
        <w:t>a)</w:t>
      </w:r>
      <w:r w:rsidRPr="000839A4">
        <w:rPr>
          <w:strike/>
          <w:szCs w:val="24"/>
        </w:rPr>
        <w:tab/>
        <w:t xml:space="preserve">mu patří, pokud jde o poplatníka právnickou osobu, </w:t>
      </w:r>
    </w:p>
    <w:p w14:paraId="4DC69F40" w14:textId="77777777" w:rsidR="000839A4" w:rsidRPr="000839A4" w:rsidRDefault="000839A4" w:rsidP="000839A4">
      <w:pPr>
        <w:numPr>
          <w:ilvl w:val="0"/>
          <w:numId w:val="40"/>
        </w:numPr>
        <w:tabs>
          <w:tab w:val="left" w:pos="357"/>
        </w:tabs>
        <w:spacing w:before="0"/>
        <w:jc w:val="left"/>
        <w:rPr>
          <w:szCs w:val="24"/>
        </w:rPr>
      </w:pPr>
      <w:r w:rsidRPr="000839A4">
        <w:rPr>
          <w:strike/>
          <w:szCs w:val="24"/>
        </w:rPr>
        <w:t>b)</w:t>
      </w:r>
      <w:r w:rsidRPr="000839A4">
        <w:rPr>
          <w:strike/>
          <w:szCs w:val="24"/>
        </w:rPr>
        <w:tab/>
        <w:t>k němu patří, pokud jde o poplatníka, který není právnickou osobou</w:t>
      </w:r>
      <w:r w:rsidRPr="000839A4">
        <w:rPr>
          <w:szCs w:val="24"/>
        </w:rPr>
        <w:t xml:space="preserve">. </w:t>
      </w:r>
    </w:p>
    <w:p w14:paraId="57D83CB4" w14:textId="77777777" w:rsidR="000839A4" w:rsidRPr="000839A4" w:rsidRDefault="000839A4" w:rsidP="00FE4A0D">
      <w:pPr>
        <w:keepNext/>
        <w:keepLines/>
        <w:numPr>
          <w:ilvl w:val="0"/>
          <w:numId w:val="40"/>
        </w:numPr>
        <w:spacing w:before="120" w:after="120"/>
        <w:jc w:val="center"/>
        <w:outlineLvl w:val="5"/>
        <w:rPr>
          <w:b/>
        </w:rPr>
      </w:pPr>
      <w:r w:rsidRPr="000839A4">
        <w:rPr>
          <w:b/>
        </w:rPr>
        <w:t>§ 20c</w:t>
      </w:r>
    </w:p>
    <w:p w14:paraId="1D9DB928" w14:textId="77777777" w:rsidR="000839A4" w:rsidRPr="000839A4" w:rsidRDefault="000839A4" w:rsidP="00FE4A0D">
      <w:pPr>
        <w:keepNext/>
        <w:keepLines/>
        <w:numPr>
          <w:ilvl w:val="0"/>
          <w:numId w:val="40"/>
        </w:numPr>
        <w:spacing w:before="120" w:after="120"/>
        <w:jc w:val="center"/>
        <w:outlineLvl w:val="5"/>
        <w:rPr>
          <w:b/>
        </w:rPr>
      </w:pPr>
      <w:r w:rsidRPr="000839A4">
        <w:rPr>
          <w:b/>
        </w:rPr>
        <w:t>Majetek poplatníka bez právní osobnosti</w:t>
      </w:r>
    </w:p>
    <w:p w14:paraId="46D4FF5C" w14:textId="77777777" w:rsidR="000839A4" w:rsidRPr="000839A4" w:rsidRDefault="000839A4" w:rsidP="000839A4">
      <w:pPr>
        <w:tabs>
          <w:tab w:val="left" w:pos="851"/>
        </w:tabs>
        <w:spacing w:before="120" w:after="120"/>
        <w:ind w:firstLine="427"/>
        <w:outlineLvl w:val="6"/>
        <w:rPr>
          <w:b/>
        </w:rPr>
      </w:pPr>
      <w:r w:rsidRPr="000839A4">
        <w:rPr>
          <w:b/>
        </w:rPr>
        <w:t>V případě poplatníka daně z příjmů právnických osob bez právní osobnosti se pro účely daní z příjmů za věc, která mu patří, považuje věc, která k němu patří.</w:t>
      </w:r>
    </w:p>
    <w:p w14:paraId="74553F5D" w14:textId="77777777" w:rsidR="000839A4" w:rsidRPr="000839A4" w:rsidRDefault="000839A4" w:rsidP="00FE4A0D">
      <w:pPr>
        <w:keepNext/>
        <w:keepLines/>
        <w:numPr>
          <w:ilvl w:val="0"/>
          <w:numId w:val="1"/>
        </w:numPr>
        <w:spacing w:before="120" w:after="120"/>
        <w:jc w:val="center"/>
        <w:outlineLvl w:val="5"/>
        <w:rPr>
          <w:b/>
        </w:rPr>
      </w:pPr>
      <w:r w:rsidRPr="000839A4">
        <w:rPr>
          <w:b/>
        </w:rPr>
        <w:t>§ 20d</w:t>
      </w:r>
    </w:p>
    <w:p w14:paraId="056CD5EA" w14:textId="77777777" w:rsidR="000839A4" w:rsidRPr="000839A4" w:rsidRDefault="000839A4" w:rsidP="00FE4A0D">
      <w:pPr>
        <w:keepNext/>
        <w:keepLines/>
        <w:numPr>
          <w:ilvl w:val="0"/>
          <w:numId w:val="1"/>
        </w:numPr>
        <w:spacing w:before="120" w:after="120"/>
        <w:jc w:val="center"/>
        <w:outlineLvl w:val="5"/>
        <w:rPr>
          <w:b/>
        </w:rPr>
      </w:pPr>
      <w:r w:rsidRPr="000839A4">
        <w:rPr>
          <w:b/>
        </w:rPr>
        <w:t>Výpočet daně zahraničního poplatníka</w:t>
      </w:r>
    </w:p>
    <w:p w14:paraId="3B5720B0" w14:textId="77777777" w:rsidR="000839A4" w:rsidRPr="000839A4" w:rsidRDefault="000839A4" w:rsidP="000839A4">
      <w:pPr>
        <w:tabs>
          <w:tab w:val="left" w:pos="851"/>
        </w:tabs>
        <w:spacing w:before="120" w:after="120"/>
        <w:ind w:firstLine="427"/>
        <w:outlineLvl w:val="6"/>
        <w:rPr>
          <w:b/>
        </w:rPr>
      </w:pPr>
      <w:r w:rsidRPr="000839A4">
        <w:rPr>
          <w:b/>
        </w:rPr>
        <w:t xml:space="preserve">Poplatník daně z příjmů právnických osob, který není účetní jednotkou podle zákona upravujícího účetnictví, v rozsahu potřebném pro výpočet daně postupuje, jako by byl poplatníkem s akruálním základem daně, pokud je </w:t>
      </w:r>
    </w:p>
    <w:p w14:paraId="188DE000" w14:textId="77777777" w:rsidR="000839A4" w:rsidRPr="000839A4" w:rsidRDefault="000839A4" w:rsidP="000839A4">
      <w:pPr>
        <w:spacing w:before="0"/>
        <w:ind w:left="425" w:hanging="425"/>
        <w:outlineLvl w:val="7"/>
        <w:rPr>
          <w:b/>
        </w:rPr>
      </w:pPr>
      <w:r w:rsidRPr="000839A4">
        <w:rPr>
          <w:b/>
        </w:rPr>
        <w:t>a)</w:t>
      </w:r>
      <w:r w:rsidRPr="000839A4">
        <w:rPr>
          <w:b/>
        </w:rPr>
        <w:tab/>
        <w:t>daňovým nerezidentem, kterému vznikla na území České republiky stálá provozovna, ledaže se jedná o stálou provozovnu</w:t>
      </w:r>
    </w:p>
    <w:p w14:paraId="15D70E3C" w14:textId="77777777" w:rsidR="000839A4" w:rsidRPr="000839A4" w:rsidRDefault="000839A4" w:rsidP="000839A4">
      <w:pPr>
        <w:spacing w:before="0"/>
        <w:ind w:left="851" w:hanging="426"/>
        <w:outlineLvl w:val="8"/>
        <w:rPr>
          <w:b/>
        </w:rPr>
      </w:pPr>
      <w:r w:rsidRPr="000839A4">
        <w:rPr>
          <w:b/>
        </w:rPr>
        <w:t>1.</w:t>
      </w:r>
      <w:r w:rsidRPr="000839A4">
        <w:rPr>
          <w:b/>
        </w:rPr>
        <w:tab/>
        <w:t>vzniklou na základě doby trvání, nebo</w:t>
      </w:r>
    </w:p>
    <w:p w14:paraId="7649CA0B" w14:textId="77777777" w:rsidR="000839A4" w:rsidRPr="000839A4" w:rsidRDefault="000839A4" w:rsidP="000839A4">
      <w:pPr>
        <w:spacing w:before="0"/>
        <w:ind w:left="851" w:hanging="426"/>
        <w:outlineLvl w:val="8"/>
        <w:rPr>
          <w:b/>
        </w:rPr>
      </w:pPr>
      <w:r w:rsidRPr="000839A4">
        <w:rPr>
          <w:b/>
        </w:rPr>
        <w:t>2.</w:t>
      </w:r>
      <w:r w:rsidRPr="000839A4">
        <w:rPr>
          <w:b/>
        </w:rPr>
        <w:tab/>
        <w:t>poplatníka, za kterého na území České republiky jedná osoba, která má a obvykle na tomto území vykonává oprávnění uzavírat smlouvy, které jsou pro tohoto poplatníka závazné,</w:t>
      </w:r>
    </w:p>
    <w:p w14:paraId="07D8F552" w14:textId="77777777" w:rsidR="000839A4" w:rsidRPr="000839A4" w:rsidRDefault="000839A4" w:rsidP="000839A4">
      <w:pPr>
        <w:spacing w:before="0"/>
        <w:ind w:left="425" w:hanging="425"/>
        <w:outlineLvl w:val="7"/>
        <w:rPr>
          <w:b/>
        </w:rPr>
      </w:pPr>
      <w:r w:rsidRPr="000839A4">
        <w:rPr>
          <w:b/>
        </w:rPr>
        <w:t>b)</w:t>
      </w:r>
      <w:r w:rsidRPr="000839A4">
        <w:rPr>
          <w:b/>
        </w:rPr>
        <w:tab/>
        <w:t xml:space="preserve">daňovým rezidentem České republiky, který není ustaven podle právního řádu České republiky, nebo </w:t>
      </w:r>
    </w:p>
    <w:p w14:paraId="2947FEDE" w14:textId="77777777" w:rsidR="000839A4" w:rsidRPr="000839A4" w:rsidRDefault="000839A4" w:rsidP="000839A4">
      <w:pPr>
        <w:spacing w:before="0"/>
        <w:ind w:left="425" w:hanging="425"/>
        <w:outlineLvl w:val="7"/>
        <w:rPr>
          <w:b/>
        </w:rPr>
      </w:pPr>
      <w:r w:rsidRPr="000839A4">
        <w:rPr>
          <w:b/>
        </w:rPr>
        <w:t>c)</w:t>
      </w:r>
      <w:r w:rsidRPr="000839A4">
        <w:rPr>
          <w:b/>
        </w:rPr>
        <w:tab/>
        <w:t xml:space="preserve">daňovým nerezidentem, kterému vznikla daňová povinnost ve vztahu k příjmům ze zdrojů na území České republiky z jiného důvodu než podle písmene a), pokud se rozhodne tak postupovat. </w:t>
      </w:r>
    </w:p>
    <w:p w14:paraId="4A094757" w14:textId="77777777" w:rsidR="000839A4" w:rsidRPr="000839A4" w:rsidRDefault="000839A4" w:rsidP="000839A4">
      <w:pPr>
        <w:keepNext/>
        <w:keepLines/>
        <w:ind w:firstLine="0"/>
        <w:jc w:val="center"/>
        <w:outlineLvl w:val="5"/>
        <w:rPr>
          <w:b/>
        </w:rPr>
      </w:pPr>
      <w:r w:rsidRPr="000839A4">
        <w:rPr>
          <w:b/>
        </w:rPr>
        <w:t>§ 20e</w:t>
      </w:r>
    </w:p>
    <w:p w14:paraId="6102B363" w14:textId="77777777" w:rsidR="000839A4" w:rsidRPr="000839A4" w:rsidRDefault="000839A4" w:rsidP="000839A4">
      <w:pPr>
        <w:keepNext/>
        <w:keepLines/>
        <w:ind w:firstLine="0"/>
        <w:jc w:val="center"/>
        <w:outlineLvl w:val="5"/>
        <w:rPr>
          <w:b/>
        </w:rPr>
      </w:pPr>
      <w:r w:rsidRPr="000839A4">
        <w:rPr>
          <w:b/>
        </w:rPr>
        <w:t>Prokazování tvrzení zahraničního poplatníka</w:t>
      </w:r>
    </w:p>
    <w:p w14:paraId="3FA8D48D" w14:textId="77777777" w:rsidR="000839A4" w:rsidRPr="000839A4" w:rsidRDefault="000839A4" w:rsidP="000839A4">
      <w:pPr>
        <w:tabs>
          <w:tab w:val="left" w:pos="851"/>
        </w:tabs>
        <w:spacing w:before="120" w:after="120"/>
        <w:ind w:firstLine="427"/>
        <w:outlineLvl w:val="6"/>
        <w:rPr>
          <w:b/>
        </w:rPr>
      </w:pPr>
      <w:r w:rsidRPr="000839A4">
        <w:rPr>
          <w:b/>
        </w:rPr>
        <w:t xml:space="preserve">(1) Poplatník podle § 20d písm. a) a b) také </w:t>
      </w:r>
    </w:p>
    <w:p w14:paraId="4AEEFB2A" w14:textId="77777777" w:rsidR="000839A4" w:rsidRPr="000839A4" w:rsidRDefault="000839A4" w:rsidP="000839A4">
      <w:pPr>
        <w:spacing w:before="0"/>
        <w:ind w:left="425" w:hanging="425"/>
        <w:outlineLvl w:val="7"/>
        <w:rPr>
          <w:b/>
        </w:rPr>
      </w:pPr>
      <w:r w:rsidRPr="000839A4">
        <w:rPr>
          <w:b/>
        </w:rPr>
        <w:t>a)</w:t>
      </w:r>
      <w:r w:rsidRPr="000839A4">
        <w:rPr>
          <w:b/>
        </w:rPr>
        <w:tab/>
        <w:t xml:space="preserve">vede evidenci zahraničního poplatníka a zajišťuje spolehlivost údajů v ní a </w:t>
      </w:r>
    </w:p>
    <w:p w14:paraId="4D266135" w14:textId="77777777" w:rsidR="000839A4" w:rsidRPr="000839A4" w:rsidRDefault="000839A4" w:rsidP="000839A4">
      <w:pPr>
        <w:spacing w:before="0"/>
        <w:ind w:left="425" w:hanging="425"/>
        <w:outlineLvl w:val="7"/>
        <w:rPr>
          <w:b/>
        </w:rPr>
      </w:pPr>
      <w:r w:rsidRPr="000839A4">
        <w:rPr>
          <w:b/>
        </w:rPr>
        <w:t>b)</w:t>
      </w:r>
      <w:r w:rsidRPr="000839A4">
        <w:rPr>
          <w:b/>
        </w:rPr>
        <w:tab/>
        <w:t xml:space="preserve">v  příloze daňového přiznání uvede v rozsahu potřebném pro výpočet daně údaje, které by obsahovaly rozvaha, výkaz zisku a ztráty a příloha účetní závěrky, které by byly přílohou daňového přiznání tohoto poplatníka, pokud by byl poplatníkem s akruálním základem daně. </w:t>
      </w:r>
    </w:p>
    <w:p w14:paraId="546C1E1F" w14:textId="77777777" w:rsidR="000839A4" w:rsidRPr="000839A4" w:rsidRDefault="000839A4" w:rsidP="000839A4">
      <w:pPr>
        <w:tabs>
          <w:tab w:val="left" w:pos="851"/>
        </w:tabs>
        <w:spacing w:before="120" w:after="120"/>
        <w:ind w:firstLine="427"/>
        <w:outlineLvl w:val="6"/>
        <w:rPr>
          <w:b/>
        </w:rPr>
      </w:pPr>
      <w:r w:rsidRPr="000839A4">
        <w:rPr>
          <w:b/>
        </w:rPr>
        <w:t>(2) Jedná-li se o poplatníka podle § 20d písm. a), povinnosti podle odstavce 1 plní jen ve vztahu k činnosti stálé provozovny vzniklé na území České republiky, a to zvlášť za každou takovou stálou provozovnu.</w:t>
      </w:r>
    </w:p>
    <w:p w14:paraId="52CC6C5E" w14:textId="77777777" w:rsidR="000839A4" w:rsidRPr="000839A4" w:rsidRDefault="000839A4" w:rsidP="00FE4A0D">
      <w:pPr>
        <w:keepNext/>
        <w:keepLines/>
        <w:numPr>
          <w:ilvl w:val="0"/>
          <w:numId w:val="1"/>
        </w:numPr>
        <w:spacing w:before="120" w:after="120"/>
        <w:jc w:val="center"/>
        <w:outlineLvl w:val="5"/>
        <w:rPr>
          <w:b/>
        </w:rPr>
      </w:pPr>
      <w:r w:rsidRPr="000839A4">
        <w:rPr>
          <w:b/>
        </w:rPr>
        <w:lastRenderedPageBreak/>
        <w:t>§ 20f</w:t>
      </w:r>
    </w:p>
    <w:p w14:paraId="07663B94" w14:textId="77777777" w:rsidR="000839A4" w:rsidRPr="000839A4" w:rsidRDefault="000839A4" w:rsidP="00FE4A0D">
      <w:pPr>
        <w:keepNext/>
        <w:keepLines/>
        <w:numPr>
          <w:ilvl w:val="0"/>
          <w:numId w:val="1"/>
        </w:numPr>
        <w:spacing w:before="120" w:after="120"/>
        <w:jc w:val="center"/>
        <w:outlineLvl w:val="5"/>
        <w:rPr>
          <w:b/>
        </w:rPr>
      </w:pPr>
      <w:r w:rsidRPr="000839A4">
        <w:rPr>
          <w:b/>
        </w:rPr>
        <w:t>Evidence zahraničního poplatníka</w:t>
      </w:r>
    </w:p>
    <w:p w14:paraId="78083FAE" w14:textId="77777777" w:rsidR="000839A4" w:rsidRPr="000839A4" w:rsidRDefault="000839A4" w:rsidP="000839A4">
      <w:pPr>
        <w:tabs>
          <w:tab w:val="left" w:pos="851"/>
        </w:tabs>
        <w:spacing w:before="120" w:after="120"/>
        <w:ind w:firstLine="427"/>
        <w:outlineLvl w:val="6"/>
        <w:rPr>
          <w:b/>
        </w:rPr>
      </w:pPr>
      <w:r w:rsidRPr="000839A4">
        <w:rPr>
          <w:b/>
        </w:rPr>
        <w:t xml:space="preserve">(1) Evidence zahraničního poplatníka obsahuje v rozsahu potřebném pro výpočet daně údaje o jeho </w:t>
      </w:r>
    </w:p>
    <w:p w14:paraId="6F7FE8C6" w14:textId="77777777" w:rsidR="000839A4" w:rsidRPr="000839A4" w:rsidRDefault="000839A4" w:rsidP="000839A4">
      <w:pPr>
        <w:spacing w:before="0"/>
        <w:ind w:left="425" w:hanging="425"/>
        <w:outlineLvl w:val="7"/>
        <w:rPr>
          <w:b/>
        </w:rPr>
      </w:pPr>
      <w:r w:rsidRPr="000839A4">
        <w:rPr>
          <w:b/>
        </w:rPr>
        <w:t>a)</w:t>
      </w:r>
      <w:r w:rsidRPr="000839A4">
        <w:rPr>
          <w:b/>
        </w:rPr>
        <w:tab/>
        <w:t xml:space="preserve">aktivech a dluzích a </w:t>
      </w:r>
    </w:p>
    <w:p w14:paraId="1911E9CB" w14:textId="77777777" w:rsidR="000839A4" w:rsidRPr="000839A4" w:rsidRDefault="000839A4" w:rsidP="000839A4">
      <w:pPr>
        <w:spacing w:before="0"/>
        <w:ind w:left="425" w:hanging="425"/>
        <w:outlineLvl w:val="7"/>
        <w:rPr>
          <w:b/>
        </w:rPr>
      </w:pPr>
      <w:r w:rsidRPr="000839A4">
        <w:rPr>
          <w:b/>
        </w:rPr>
        <w:t>b)</w:t>
      </w:r>
      <w:r w:rsidRPr="000839A4">
        <w:rPr>
          <w:b/>
        </w:rPr>
        <w:tab/>
        <w:t>výnosech a nákladech.</w:t>
      </w:r>
    </w:p>
    <w:p w14:paraId="5F42DFF2" w14:textId="77777777" w:rsidR="000839A4" w:rsidRPr="000839A4" w:rsidRDefault="000839A4" w:rsidP="000839A4">
      <w:pPr>
        <w:tabs>
          <w:tab w:val="left" w:pos="851"/>
        </w:tabs>
        <w:spacing w:before="120" w:after="120"/>
        <w:ind w:firstLine="427"/>
        <w:outlineLvl w:val="6"/>
        <w:rPr>
          <w:b/>
        </w:rPr>
      </w:pPr>
      <w:r w:rsidRPr="000839A4">
        <w:rPr>
          <w:b/>
        </w:rPr>
        <w:t>(2)</w:t>
      </w:r>
      <w:r w:rsidRPr="000839A4">
        <w:rPr>
          <w:b/>
        </w:rPr>
        <w:tab/>
        <w:t xml:space="preserve">Ke splnění povinnosti vést evidenci zahraničního poplatníka a zajištění spolehlivosti údajů v této evidenci poplatník vede tuto evidenci obdobně, jako by vedl účetnictví, kdyby byl poplatníkem s akruálním základem daně. </w:t>
      </w:r>
    </w:p>
    <w:p w14:paraId="23962088" w14:textId="77777777" w:rsidR="000839A4" w:rsidRPr="000839A4" w:rsidRDefault="000839A4" w:rsidP="000839A4">
      <w:pPr>
        <w:tabs>
          <w:tab w:val="left" w:pos="851"/>
        </w:tabs>
        <w:spacing w:before="120" w:after="120"/>
        <w:ind w:firstLine="427"/>
        <w:outlineLvl w:val="6"/>
        <w:rPr>
          <w:b/>
        </w:rPr>
      </w:pPr>
      <w:r w:rsidRPr="000839A4">
        <w:rPr>
          <w:b/>
        </w:rPr>
        <w:t>(3)</w:t>
      </w:r>
      <w:r w:rsidRPr="000839A4">
        <w:rPr>
          <w:b/>
        </w:rPr>
        <w:tab/>
        <w:t>Pokud je poplatník účetní jednotkou používající akruální účetnictví podle právního řádu státu, podle kterého je tento poplatník ustaven, lze ke splnění povinnosti vést evidenci zahraničního poplatníka a k zajištění spolehlivosti údajů v ní uvedených využít též účetnictví, které vede podle právního řádu tohoto státu.</w:t>
      </w:r>
    </w:p>
    <w:p w14:paraId="516ABE2C" w14:textId="77777777" w:rsidR="000839A4" w:rsidRPr="000839A4" w:rsidRDefault="000839A4" w:rsidP="000839A4">
      <w:pPr>
        <w:tabs>
          <w:tab w:val="left" w:pos="851"/>
        </w:tabs>
        <w:spacing w:before="120" w:after="120"/>
        <w:ind w:firstLine="427"/>
        <w:outlineLvl w:val="6"/>
        <w:rPr>
          <w:b/>
        </w:rPr>
      </w:pPr>
      <w:r w:rsidRPr="000839A4">
        <w:rPr>
          <w:b/>
        </w:rPr>
        <w:t>(4) Záznamy, evidenci a doklady, na které se vztahuje záznamní povinnost v podobě evidence zahraničního poplatníka, je poplatník povinen uchovávat až do uplynutí lhůty pro stanovení daně, k níž se vztahují.</w:t>
      </w:r>
    </w:p>
    <w:p w14:paraId="070E83BE" w14:textId="77777777" w:rsidR="000839A4" w:rsidRPr="000839A4" w:rsidRDefault="000839A4" w:rsidP="000839A4">
      <w:pPr>
        <w:keepNext/>
        <w:ind w:firstLine="0"/>
        <w:jc w:val="center"/>
        <w:rPr>
          <w:szCs w:val="24"/>
        </w:rPr>
      </w:pPr>
      <w:r w:rsidRPr="000839A4">
        <w:rPr>
          <w:szCs w:val="24"/>
        </w:rPr>
        <w:t>§ 21</w:t>
      </w:r>
    </w:p>
    <w:p w14:paraId="52E0B6C3" w14:textId="77777777" w:rsidR="000839A4" w:rsidRPr="000839A4" w:rsidRDefault="000839A4" w:rsidP="000839A4">
      <w:pPr>
        <w:keepNext/>
        <w:ind w:firstLine="0"/>
        <w:jc w:val="center"/>
        <w:rPr>
          <w:b/>
          <w:szCs w:val="24"/>
        </w:rPr>
      </w:pPr>
      <w:r w:rsidRPr="000839A4">
        <w:rPr>
          <w:b/>
          <w:szCs w:val="24"/>
        </w:rPr>
        <w:t xml:space="preserve">Sazba a výpočet daně </w:t>
      </w:r>
    </w:p>
    <w:p w14:paraId="11D02D29" w14:textId="77777777" w:rsidR="000839A4" w:rsidRPr="000839A4" w:rsidRDefault="000839A4" w:rsidP="000839A4">
      <w:pPr>
        <w:tabs>
          <w:tab w:val="left" w:pos="851"/>
        </w:tabs>
        <w:spacing w:before="120" w:after="120"/>
        <w:ind w:firstLine="427"/>
        <w:outlineLvl w:val="6"/>
      </w:pPr>
      <w:r w:rsidRPr="000839A4">
        <w:t xml:space="preserve">(1) Sazba daně činí 21 %, pokud v odstavcích 2 a 3 není stanoveno jinak. Daň se vypočte jako součin základu daně sníženého o položky snižující základ daně a o odčitatelné položky od základu daně zaokrouhleného na celé tisíce Kč dolů a sazby daně. </w:t>
      </w:r>
    </w:p>
    <w:p w14:paraId="7A613AF5" w14:textId="77777777" w:rsidR="000839A4" w:rsidRPr="000839A4" w:rsidRDefault="000839A4" w:rsidP="000839A4">
      <w:pPr>
        <w:tabs>
          <w:tab w:val="left" w:pos="851"/>
        </w:tabs>
        <w:spacing w:before="120" w:after="120"/>
        <w:ind w:firstLine="427"/>
        <w:outlineLvl w:val="6"/>
      </w:pPr>
      <w:r w:rsidRPr="000839A4">
        <w:t>(2) Sazba daně činí u základního investičního fondu 5 %.</w:t>
      </w:r>
    </w:p>
    <w:p w14:paraId="7F1FCAA0" w14:textId="77777777" w:rsidR="000839A4" w:rsidRPr="000839A4" w:rsidRDefault="000839A4" w:rsidP="000839A4">
      <w:pPr>
        <w:tabs>
          <w:tab w:val="left" w:pos="851"/>
        </w:tabs>
        <w:spacing w:before="120" w:after="120"/>
        <w:ind w:firstLine="427"/>
        <w:outlineLvl w:val="6"/>
      </w:pPr>
      <w:r w:rsidRPr="000839A4">
        <w:t>(3) Sazba daně činí 0 % u fondu penzijní společnosti nebo u instituce penzijního pojištění s výjimkou penzijní společnosti nebo obdobné společnosti obhospodařující fondy obdobné fondům penzijního pojištění.</w:t>
      </w:r>
    </w:p>
    <w:p w14:paraId="01AD659F" w14:textId="77777777" w:rsidR="000839A4" w:rsidRPr="000839A4" w:rsidRDefault="000839A4" w:rsidP="000839A4">
      <w:pPr>
        <w:tabs>
          <w:tab w:val="left" w:pos="851"/>
        </w:tabs>
        <w:spacing w:before="120" w:after="120"/>
        <w:ind w:firstLine="427"/>
        <w:outlineLvl w:val="6"/>
      </w:pPr>
      <w:r w:rsidRPr="000839A4">
        <w:t xml:space="preserve">(4) Sazba daně 15 % se vztahuje na samostatný základ daně podle § 20b zaokrouhlený na celé tisícikoruny dolů. </w:t>
      </w:r>
    </w:p>
    <w:p w14:paraId="74204439" w14:textId="77777777" w:rsidR="000839A4" w:rsidRPr="000839A4" w:rsidRDefault="000839A4" w:rsidP="000839A4">
      <w:pPr>
        <w:tabs>
          <w:tab w:val="left" w:pos="851"/>
        </w:tabs>
        <w:spacing w:before="120" w:after="120"/>
        <w:ind w:firstLine="427"/>
        <w:outlineLvl w:val="6"/>
      </w:pPr>
      <w:r w:rsidRPr="000839A4">
        <w:t>(5) Sazba daně pro základ daně z neočekávaných zisků činí 60 %. Daň z neočekávaných zisků se vypočte jako součin základu daně z neočekávaných zisků zaokrouhleného na celé tisíce Kč dolů a sazby daně pro tento základ daně. Na daň z neočekávaných zisků nelze uplatnit slevu na dani. Daň z neočekávaných zisků se nezahrnuje do daňové povinnosti pro účely použití metody zápočtu. Správcem daně z neočekávaných zisků je Specializovaný finanční úřad. Daň z neočekávaných zisků je samostatnou daní z příjmů právnických osob a netvoří daňové příjmy rozpočtů územních samosprávních celků z daně z příjmů právnických osob. O příjmy zahrnuté do základu daně z neočekávaných zisků se nesnižuje základ daně podle § 23.</w:t>
      </w:r>
    </w:p>
    <w:p w14:paraId="14E63925" w14:textId="77777777" w:rsidR="000839A4" w:rsidRPr="000839A4" w:rsidRDefault="000839A4" w:rsidP="000839A4">
      <w:pPr>
        <w:tabs>
          <w:tab w:val="left" w:pos="851"/>
        </w:tabs>
        <w:spacing w:before="120" w:after="120"/>
        <w:ind w:firstLine="427"/>
        <w:outlineLvl w:val="6"/>
      </w:pPr>
      <w:r w:rsidRPr="000839A4">
        <w:t>(6) U poplatníka daně z příjmu právnických osob, který je pouze část zdaňovacího období základním investičním fondem, se použije sazba daně podle odstavce 2 jen na část základu daně připadající na část zdaňovacího období, ve které byl základním investičním fondem, stanovenou podle § 20a.</w:t>
      </w:r>
    </w:p>
    <w:p w14:paraId="5F2B035A" w14:textId="77777777" w:rsidR="000839A4" w:rsidRPr="000839A4" w:rsidRDefault="000839A4" w:rsidP="000839A4">
      <w:pPr>
        <w:tabs>
          <w:tab w:val="left" w:pos="851"/>
        </w:tabs>
        <w:spacing w:before="120" w:after="120"/>
        <w:ind w:firstLine="427"/>
        <w:outlineLvl w:val="6"/>
      </w:pPr>
      <w:r w:rsidRPr="000839A4">
        <w:rPr>
          <w:strike/>
        </w:rPr>
        <w:t>(7) Pro stanovení daně se použije sazba daně podle předchozích odstavců účinná k prvnímu dni zdaňovacího období nebo období, za něž je podáváno daňové přiznání</w:t>
      </w:r>
      <w:r w:rsidRPr="000839A4">
        <w:t xml:space="preserve">. </w:t>
      </w:r>
    </w:p>
    <w:p w14:paraId="102C7568" w14:textId="77777777" w:rsidR="000839A4" w:rsidRPr="000839A4" w:rsidRDefault="000839A4" w:rsidP="00FE4A0D">
      <w:pPr>
        <w:keepNext/>
        <w:numPr>
          <w:ilvl w:val="0"/>
          <w:numId w:val="1"/>
        </w:numPr>
        <w:spacing w:before="120" w:after="120"/>
        <w:jc w:val="center"/>
        <w:rPr>
          <w:b/>
          <w:strike/>
          <w:szCs w:val="24"/>
        </w:rPr>
      </w:pPr>
      <w:r w:rsidRPr="000839A4">
        <w:rPr>
          <w:strike/>
          <w:szCs w:val="24"/>
        </w:rPr>
        <w:lastRenderedPageBreak/>
        <w:t>§ 21a</w:t>
      </w:r>
    </w:p>
    <w:p w14:paraId="14A0C4DD" w14:textId="77777777" w:rsidR="000839A4" w:rsidRPr="000839A4" w:rsidRDefault="000839A4" w:rsidP="00FE4A0D">
      <w:pPr>
        <w:keepNext/>
        <w:numPr>
          <w:ilvl w:val="0"/>
          <w:numId w:val="1"/>
        </w:numPr>
        <w:spacing w:before="120" w:after="120"/>
        <w:jc w:val="center"/>
        <w:rPr>
          <w:b/>
          <w:strike/>
          <w:szCs w:val="24"/>
        </w:rPr>
      </w:pPr>
      <w:r w:rsidRPr="000839A4">
        <w:rPr>
          <w:b/>
          <w:strike/>
          <w:szCs w:val="24"/>
        </w:rPr>
        <w:t xml:space="preserve">Zdaňovací období </w:t>
      </w:r>
    </w:p>
    <w:p w14:paraId="76AD20F5" w14:textId="77777777" w:rsidR="000839A4" w:rsidRPr="000839A4" w:rsidRDefault="000839A4" w:rsidP="000839A4">
      <w:pPr>
        <w:tabs>
          <w:tab w:val="left" w:pos="851"/>
        </w:tabs>
        <w:spacing w:before="120" w:after="120"/>
        <w:ind w:firstLine="427"/>
        <w:outlineLvl w:val="6"/>
        <w:rPr>
          <w:strike/>
        </w:rPr>
      </w:pPr>
      <w:r w:rsidRPr="000839A4">
        <w:rPr>
          <w:strike/>
        </w:rPr>
        <w:t>Zdaňovacím obdobím daně z příjmů právnických osob je</w:t>
      </w:r>
    </w:p>
    <w:p w14:paraId="6AD64C90" w14:textId="77777777" w:rsidR="000839A4" w:rsidRPr="000839A4" w:rsidRDefault="000839A4" w:rsidP="000839A4">
      <w:pPr>
        <w:spacing w:before="0"/>
        <w:ind w:left="425" w:hanging="425"/>
        <w:outlineLvl w:val="7"/>
        <w:rPr>
          <w:strike/>
        </w:rPr>
      </w:pPr>
      <w:r w:rsidRPr="000839A4">
        <w:rPr>
          <w:strike/>
        </w:rPr>
        <w:t>a)</w:t>
      </w:r>
      <w:r w:rsidRPr="000839A4">
        <w:rPr>
          <w:strike/>
        </w:rPr>
        <w:tab/>
        <w:t>kalendářní rok,</w:t>
      </w:r>
    </w:p>
    <w:p w14:paraId="3A44305E" w14:textId="77777777" w:rsidR="000839A4" w:rsidRPr="000839A4" w:rsidRDefault="000839A4" w:rsidP="000839A4">
      <w:pPr>
        <w:spacing w:before="0"/>
        <w:ind w:left="425" w:hanging="425"/>
        <w:outlineLvl w:val="7"/>
        <w:rPr>
          <w:strike/>
        </w:rPr>
      </w:pPr>
      <w:r w:rsidRPr="000839A4">
        <w:rPr>
          <w:strike/>
        </w:rPr>
        <w:t>b)</w:t>
      </w:r>
      <w:r w:rsidRPr="000839A4">
        <w:rPr>
          <w:strike/>
        </w:rPr>
        <w:tab/>
        <w:t>hospodářský rok,</w:t>
      </w:r>
    </w:p>
    <w:p w14:paraId="650049F5" w14:textId="77777777" w:rsidR="000839A4" w:rsidRPr="000839A4" w:rsidRDefault="000839A4" w:rsidP="000839A4">
      <w:pPr>
        <w:spacing w:before="0"/>
        <w:ind w:left="425" w:hanging="425"/>
        <w:outlineLvl w:val="7"/>
        <w:rPr>
          <w:strike/>
        </w:rPr>
      </w:pPr>
      <w:r w:rsidRPr="000839A4">
        <w:rPr>
          <w:strike/>
        </w:rPr>
        <w:t>c)</w:t>
      </w:r>
      <w:r w:rsidRPr="000839A4">
        <w:rPr>
          <w:strike/>
        </w:rPr>
        <w:tab/>
        <w:t>období od rozhodného dne fúze nebo rozdělení obchodní korporace nebo převodu jmění na společníka do konce kalendářního roku nebo hospodářského roku, ve kterém se přeměna nebo převod jmění staly účinnými, nebo</w:t>
      </w:r>
    </w:p>
    <w:p w14:paraId="5722249A" w14:textId="77777777" w:rsidR="000839A4" w:rsidRPr="000839A4" w:rsidRDefault="000839A4" w:rsidP="000839A4">
      <w:pPr>
        <w:spacing w:before="0"/>
        <w:ind w:left="425" w:hanging="425"/>
        <w:outlineLvl w:val="7"/>
        <w:rPr>
          <w:strike/>
        </w:rPr>
      </w:pPr>
      <w:r w:rsidRPr="000839A4">
        <w:rPr>
          <w:strike/>
        </w:rPr>
        <w:t>d)</w:t>
      </w:r>
      <w:r w:rsidRPr="000839A4">
        <w:rPr>
          <w:strike/>
        </w:rPr>
        <w:tab/>
        <w:t>účetní období, pokud je toto účetní období delší než nepřetržitě po sobě jdoucích 12 měsíců.</w:t>
      </w:r>
    </w:p>
    <w:p w14:paraId="53E317AA" w14:textId="77777777" w:rsidR="000839A4" w:rsidRPr="000839A4" w:rsidRDefault="000839A4" w:rsidP="00FE4A0D">
      <w:pPr>
        <w:keepNext/>
        <w:keepLines/>
        <w:numPr>
          <w:ilvl w:val="0"/>
          <w:numId w:val="1"/>
        </w:numPr>
        <w:spacing w:before="120" w:after="120"/>
        <w:jc w:val="center"/>
        <w:outlineLvl w:val="5"/>
        <w:rPr>
          <w:b/>
        </w:rPr>
      </w:pPr>
      <w:r w:rsidRPr="000839A4">
        <w:rPr>
          <w:b/>
        </w:rPr>
        <w:t>§ 21a</w:t>
      </w:r>
    </w:p>
    <w:p w14:paraId="4A0FA7EE" w14:textId="77777777" w:rsidR="000839A4" w:rsidRPr="000839A4" w:rsidRDefault="000839A4" w:rsidP="00FE4A0D">
      <w:pPr>
        <w:keepNext/>
        <w:keepLines/>
        <w:numPr>
          <w:ilvl w:val="0"/>
          <w:numId w:val="1"/>
        </w:numPr>
        <w:spacing w:before="120" w:after="120"/>
        <w:jc w:val="center"/>
        <w:outlineLvl w:val="5"/>
        <w:rPr>
          <w:b/>
        </w:rPr>
      </w:pPr>
      <w:r w:rsidRPr="000839A4">
        <w:rPr>
          <w:b/>
        </w:rPr>
        <w:t>Zdaňovací období</w:t>
      </w:r>
    </w:p>
    <w:p w14:paraId="55AA20C3" w14:textId="77777777" w:rsidR="000839A4" w:rsidRPr="000839A4" w:rsidRDefault="000839A4" w:rsidP="000839A4">
      <w:pPr>
        <w:tabs>
          <w:tab w:val="left" w:pos="851"/>
        </w:tabs>
        <w:spacing w:before="120" w:after="120"/>
        <w:ind w:firstLine="427"/>
        <w:outlineLvl w:val="6"/>
        <w:rPr>
          <w:b/>
        </w:rPr>
      </w:pPr>
      <w:r w:rsidRPr="000839A4">
        <w:rPr>
          <w:b/>
        </w:rPr>
        <w:t>(1) Zdaňovacím obdobím poplatníka daně z příjmů právnických osob, který je účetní jednotkou, je účetní období.</w:t>
      </w:r>
    </w:p>
    <w:p w14:paraId="7AB7C7BB" w14:textId="77777777" w:rsidR="000839A4" w:rsidRPr="000839A4" w:rsidRDefault="000839A4" w:rsidP="000839A4">
      <w:pPr>
        <w:tabs>
          <w:tab w:val="left" w:pos="851"/>
        </w:tabs>
        <w:spacing w:before="120" w:after="120"/>
        <w:ind w:firstLine="427"/>
        <w:outlineLvl w:val="6"/>
        <w:rPr>
          <w:b/>
        </w:rPr>
      </w:pPr>
      <w:r w:rsidRPr="000839A4">
        <w:rPr>
          <w:b/>
        </w:rPr>
        <w:t>(2) Zdaňovacím obdobím poplatníka daně z příjmů právnických osob, který vede evidenci zahraničního poplatníka, je období, které by bylo účetním obdobím, kdyby byl účetní jednotkou, s tím, že poplatník určí první den kalendářního měsíce, od kterého by se odvozovalo jeho účetní období, s výjimkou účetního období v případě přeměny.</w:t>
      </w:r>
    </w:p>
    <w:p w14:paraId="77764A8A" w14:textId="77777777" w:rsidR="000839A4" w:rsidRPr="000839A4" w:rsidRDefault="000839A4" w:rsidP="000839A4">
      <w:pPr>
        <w:tabs>
          <w:tab w:val="left" w:pos="851"/>
        </w:tabs>
        <w:spacing w:before="120" w:after="120"/>
        <w:ind w:firstLine="427"/>
        <w:outlineLvl w:val="6"/>
        <w:rPr>
          <w:b/>
        </w:rPr>
      </w:pPr>
      <w:r w:rsidRPr="000839A4">
        <w:rPr>
          <w:b/>
        </w:rPr>
        <w:t>(3) Zdaňovacím obdobím poplatníka daně z příjmů právnických osob, který není účetní jednotkou ani nevede evidenci zahraničního poplatníka, je období, které by bylo účetním obdobím, kdyby byl účetní jednotkou s účetním obdobím vymezeným jako kalendářní rok, s výjimkou účetního období v případě přeměny.</w:t>
      </w:r>
    </w:p>
    <w:p w14:paraId="101688D8" w14:textId="77777777" w:rsidR="000839A4" w:rsidRPr="000839A4" w:rsidRDefault="000839A4" w:rsidP="000839A4">
      <w:pPr>
        <w:tabs>
          <w:tab w:val="left" w:pos="851"/>
        </w:tabs>
        <w:spacing w:before="120" w:after="120"/>
        <w:ind w:firstLine="427"/>
        <w:outlineLvl w:val="6"/>
        <w:rPr>
          <w:b/>
        </w:rPr>
      </w:pPr>
      <w:r w:rsidRPr="000839A4">
        <w:rPr>
          <w:b/>
        </w:rPr>
        <w:t>(4) První zdaňovací období poplatníka daně z příjmů právnických osob, který není účetní jednotkou, začíná dnem, ve kterém se stane poplatníkem daně z příjmů právnických osob.</w:t>
      </w:r>
    </w:p>
    <w:p w14:paraId="4B8C91EC" w14:textId="77777777" w:rsidR="000839A4" w:rsidRPr="000839A4" w:rsidRDefault="000839A4" w:rsidP="000839A4">
      <w:pPr>
        <w:tabs>
          <w:tab w:val="left" w:pos="851"/>
        </w:tabs>
        <w:spacing w:before="120" w:after="120"/>
        <w:ind w:firstLine="427"/>
        <w:outlineLvl w:val="6"/>
        <w:rPr>
          <w:b/>
        </w:rPr>
      </w:pPr>
      <w:r w:rsidRPr="000839A4">
        <w:rPr>
          <w:b/>
        </w:rPr>
        <w:t>(5) Poslední zdaňovací období poplatníka daně z příjmů právnických osob, který není účetní jednotkou, končí dnem, ve kterém přestane být poplatníkem daně z příjmů právnických osob.</w:t>
      </w:r>
    </w:p>
    <w:p w14:paraId="6AC6E133" w14:textId="77777777" w:rsidR="000839A4" w:rsidRPr="000839A4" w:rsidRDefault="000839A4" w:rsidP="00FE4A0D">
      <w:pPr>
        <w:keepNext/>
        <w:keepLines/>
        <w:numPr>
          <w:ilvl w:val="0"/>
          <w:numId w:val="85"/>
        </w:numPr>
        <w:spacing w:before="120" w:after="120"/>
        <w:jc w:val="center"/>
        <w:outlineLvl w:val="5"/>
        <w:rPr>
          <w:b/>
        </w:rPr>
      </w:pPr>
      <w:r w:rsidRPr="000839A4">
        <w:rPr>
          <w:b/>
        </w:rPr>
        <w:t>§ 21aa</w:t>
      </w:r>
    </w:p>
    <w:p w14:paraId="6ABA52E4" w14:textId="77777777" w:rsidR="000839A4" w:rsidRPr="000839A4" w:rsidRDefault="000839A4" w:rsidP="00FE4A0D">
      <w:pPr>
        <w:keepNext/>
        <w:keepLines/>
        <w:numPr>
          <w:ilvl w:val="0"/>
          <w:numId w:val="85"/>
        </w:numPr>
        <w:spacing w:before="120" w:after="120"/>
        <w:jc w:val="center"/>
        <w:outlineLvl w:val="5"/>
        <w:rPr>
          <w:b/>
        </w:rPr>
      </w:pPr>
      <w:r w:rsidRPr="000839A4">
        <w:rPr>
          <w:b/>
        </w:rPr>
        <w:t>Oznámení o zdaňovacím období</w:t>
      </w:r>
    </w:p>
    <w:p w14:paraId="090AEE4A" w14:textId="77777777" w:rsidR="000839A4" w:rsidRPr="000839A4" w:rsidRDefault="000839A4" w:rsidP="000839A4">
      <w:pPr>
        <w:tabs>
          <w:tab w:val="left" w:pos="851"/>
        </w:tabs>
        <w:spacing w:before="120" w:after="120"/>
        <w:ind w:firstLine="427"/>
        <w:outlineLvl w:val="6"/>
        <w:rPr>
          <w:b/>
        </w:rPr>
      </w:pPr>
      <w:r w:rsidRPr="000839A4">
        <w:rPr>
          <w:b/>
        </w:rPr>
        <w:t>(1) Poplatník daně z příjmů právnických osob podá správci daně oznámení o zdaňovacím období, pokud</w:t>
      </w:r>
    </w:p>
    <w:p w14:paraId="03645139" w14:textId="77777777" w:rsidR="000839A4" w:rsidRPr="000839A4" w:rsidRDefault="000839A4" w:rsidP="000839A4">
      <w:pPr>
        <w:spacing w:before="0"/>
        <w:ind w:left="425" w:hanging="425"/>
        <w:outlineLvl w:val="7"/>
        <w:rPr>
          <w:b/>
        </w:rPr>
      </w:pPr>
      <w:r w:rsidRPr="000839A4">
        <w:rPr>
          <w:b/>
        </w:rPr>
        <w:t>a)</w:t>
      </w:r>
      <w:r w:rsidRPr="000839A4">
        <w:rPr>
          <w:b/>
        </w:rPr>
        <w:tab/>
        <w:t xml:space="preserve">vymezí své zdaňovací období jinak než jako kalendářní rok, </w:t>
      </w:r>
    </w:p>
    <w:p w14:paraId="3A8C9DFF" w14:textId="77777777" w:rsidR="000839A4" w:rsidRPr="000839A4" w:rsidRDefault="000839A4" w:rsidP="000839A4">
      <w:pPr>
        <w:spacing w:before="0"/>
        <w:ind w:left="425" w:hanging="425"/>
        <w:outlineLvl w:val="7"/>
        <w:rPr>
          <w:b/>
        </w:rPr>
      </w:pPr>
      <w:r w:rsidRPr="000839A4">
        <w:rPr>
          <w:b/>
        </w:rPr>
        <w:t>b)</w:t>
      </w:r>
      <w:r w:rsidRPr="000839A4">
        <w:rPr>
          <w:b/>
        </w:rPr>
        <w:tab/>
        <w:t>změní vymezení svého zdaňovacího období, nebo</w:t>
      </w:r>
    </w:p>
    <w:p w14:paraId="3F961282" w14:textId="77777777" w:rsidR="000839A4" w:rsidRPr="000839A4" w:rsidRDefault="000839A4" w:rsidP="000839A4">
      <w:pPr>
        <w:spacing w:before="0"/>
        <w:ind w:left="425" w:hanging="425"/>
        <w:outlineLvl w:val="7"/>
        <w:rPr>
          <w:b/>
        </w:rPr>
      </w:pPr>
      <w:r w:rsidRPr="000839A4">
        <w:rPr>
          <w:b/>
        </w:rPr>
        <w:t>c)</w:t>
      </w:r>
      <w:r w:rsidRPr="000839A4">
        <w:rPr>
          <w:b/>
        </w:rPr>
        <w:tab/>
        <w:t>spojí dvě zdaňovací období.</w:t>
      </w:r>
    </w:p>
    <w:p w14:paraId="7B50DB04" w14:textId="77777777" w:rsidR="000839A4" w:rsidRPr="000839A4" w:rsidRDefault="000839A4" w:rsidP="000839A4">
      <w:pPr>
        <w:tabs>
          <w:tab w:val="left" w:pos="851"/>
        </w:tabs>
        <w:spacing w:before="120" w:after="120"/>
        <w:ind w:firstLine="427"/>
        <w:outlineLvl w:val="6"/>
        <w:rPr>
          <w:b/>
        </w:rPr>
      </w:pPr>
      <w:r w:rsidRPr="000839A4">
        <w:rPr>
          <w:b/>
        </w:rPr>
        <w:t>(2) V oznámení o zdaňovacím období poplatník uvede kromě obecných náležitostí podání</w:t>
      </w:r>
    </w:p>
    <w:p w14:paraId="67EF27D4" w14:textId="77777777" w:rsidR="000839A4" w:rsidRPr="000839A4" w:rsidRDefault="000839A4" w:rsidP="000839A4">
      <w:pPr>
        <w:spacing w:before="0"/>
        <w:ind w:left="425" w:hanging="425"/>
        <w:outlineLvl w:val="7"/>
        <w:rPr>
          <w:b/>
        </w:rPr>
      </w:pPr>
      <w:r w:rsidRPr="000839A4">
        <w:rPr>
          <w:b/>
        </w:rPr>
        <w:t>a)</w:t>
      </w:r>
      <w:r w:rsidRPr="000839A4">
        <w:rPr>
          <w:b/>
        </w:rPr>
        <w:tab/>
        <w:t>v případě podle odstavce 1 písm. a) vymezení zdaňovacího období,</w:t>
      </w:r>
    </w:p>
    <w:p w14:paraId="5CD7E820" w14:textId="77777777" w:rsidR="000839A4" w:rsidRPr="000839A4" w:rsidRDefault="000839A4" w:rsidP="000839A4">
      <w:pPr>
        <w:spacing w:before="0"/>
        <w:ind w:left="425" w:hanging="425"/>
        <w:outlineLvl w:val="7"/>
        <w:rPr>
          <w:b/>
        </w:rPr>
      </w:pPr>
      <w:r w:rsidRPr="000839A4">
        <w:rPr>
          <w:b/>
        </w:rPr>
        <w:t>b)</w:t>
      </w:r>
      <w:r w:rsidRPr="000839A4">
        <w:rPr>
          <w:b/>
        </w:rPr>
        <w:tab/>
        <w:t xml:space="preserve">v případě podle odstavce 1 písm. b) vymezení zdaňovacího období a rozhodnutí, zda je přechodné období součástí předcházejícího zdaňovacího období, nebo samostatným zdaňovacím obdobím, a </w:t>
      </w:r>
    </w:p>
    <w:p w14:paraId="61F0F3FB" w14:textId="77777777" w:rsidR="000839A4" w:rsidRPr="000839A4" w:rsidRDefault="000839A4" w:rsidP="000839A4">
      <w:pPr>
        <w:spacing w:before="0"/>
        <w:ind w:left="425" w:hanging="425"/>
        <w:outlineLvl w:val="7"/>
        <w:rPr>
          <w:b/>
        </w:rPr>
      </w:pPr>
      <w:r w:rsidRPr="000839A4">
        <w:rPr>
          <w:b/>
        </w:rPr>
        <w:t>c)</w:t>
      </w:r>
      <w:r w:rsidRPr="000839A4">
        <w:rPr>
          <w:b/>
        </w:rPr>
        <w:tab/>
        <w:t>v případě podle odstavce 1 písm. c) spojovaná zdaňovací období.</w:t>
      </w:r>
    </w:p>
    <w:p w14:paraId="73CCD4A6" w14:textId="77777777" w:rsidR="000839A4" w:rsidRPr="000839A4" w:rsidRDefault="000839A4" w:rsidP="000839A4">
      <w:pPr>
        <w:tabs>
          <w:tab w:val="left" w:pos="851"/>
        </w:tabs>
        <w:spacing w:before="120" w:after="120"/>
        <w:ind w:firstLine="427"/>
        <w:outlineLvl w:val="6"/>
        <w:rPr>
          <w:b/>
        </w:rPr>
      </w:pPr>
      <w:r w:rsidRPr="000839A4">
        <w:rPr>
          <w:b/>
        </w:rPr>
        <w:lastRenderedPageBreak/>
        <w:t>(3) Oznámení poplatník učiní do 3 měsíců od posledního dne zdaňovacího období, které by měl, kdyby nenastal důvod pro podání oznámení.</w:t>
      </w:r>
    </w:p>
    <w:p w14:paraId="1406D6CC" w14:textId="77777777" w:rsidR="000839A4" w:rsidRPr="000839A4" w:rsidRDefault="000839A4" w:rsidP="000839A4">
      <w:pPr>
        <w:keepNext/>
        <w:spacing w:before="360"/>
        <w:ind w:firstLine="0"/>
        <w:jc w:val="center"/>
        <w:outlineLvl w:val="0"/>
        <w:rPr>
          <w:caps/>
          <w:szCs w:val="24"/>
        </w:rPr>
      </w:pPr>
      <w:r w:rsidRPr="000839A4">
        <w:rPr>
          <w:caps/>
          <w:szCs w:val="24"/>
        </w:rPr>
        <w:t>ČÁST TŘETÍ</w:t>
      </w:r>
    </w:p>
    <w:p w14:paraId="656B1890" w14:textId="77777777" w:rsidR="000839A4" w:rsidRPr="000839A4" w:rsidRDefault="000839A4" w:rsidP="000839A4">
      <w:pPr>
        <w:keepNext/>
        <w:spacing w:before="360"/>
        <w:ind w:firstLine="0"/>
        <w:jc w:val="center"/>
        <w:outlineLvl w:val="0"/>
        <w:rPr>
          <w:b/>
          <w:caps/>
          <w:szCs w:val="24"/>
        </w:rPr>
      </w:pPr>
      <w:r w:rsidRPr="000839A4">
        <w:rPr>
          <w:b/>
          <w:caps/>
          <w:szCs w:val="24"/>
        </w:rPr>
        <w:t xml:space="preserve">Společná ustanovení </w:t>
      </w:r>
    </w:p>
    <w:p w14:paraId="589A3EF4" w14:textId="77777777" w:rsidR="000839A4" w:rsidRPr="000839A4" w:rsidRDefault="000839A4" w:rsidP="000839A4">
      <w:pPr>
        <w:keepNext/>
        <w:spacing w:before="120"/>
        <w:ind w:firstLine="0"/>
        <w:jc w:val="center"/>
        <w:outlineLvl w:val="7"/>
        <w:rPr>
          <w:b/>
        </w:rPr>
      </w:pPr>
      <w:r w:rsidRPr="000839A4">
        <w:rPr>
          <w:b/>
        </w:rPr>
        <w:t>Hlava I</w:t>
      </w:r>
    </w:p>
    <w:p w14:paraId="306DED09" w14:textId="77777777" w:rsidR="000839A4" w:rsidRPr="000839A4" w:rsidRDefault="000839A4" w:rsidP="000839A4">
      <w:pPr>
        <w:keepNext/>
        <w:spacing w:before="120"/>
        <w:ind w:firstLine="0"/>
        <w:jc w:val="center"/>
        <w:outlineLvl w:val="7"/>
      </w:pPr>
      <w:r w:rsidRPr="000839A4">
        <w:rPr>
          <w:b/>
          <w:bCs/>
        </w:rPr>
        <w:t>Obecná společná ustanovení</w:t>
      </w:r>
    </w:p>
    <w:p w14:paraId="042B364F" w14:textId="77777777" w:rsidR="000839A4" w:rsidRPr="000839A4" w:rsidRDefault="000839A4" w:rsidP="000839A4">
      <w:pPr>
        <w:keepNext/>
        <w:ind w:firstLine="0"/>
        <w:jc w:val="center"/>
        <w:rPr>
          <w:szCs w:val="24"/>
        </w:rPr>
      </w:pPr>
      <w:r w:rsidRPr="000839A4">
        <w:rPr>
          <w:szCs w:val="24"/>
        </w:rPr>
        <w:t>§ 21b</w:t>
      </w:r>
    </w:p>
    <w:p w14:paraId="08CF257B" w14:textId="77777777" w:rsidR="000839A4" w:rsidRPr="000839A4" w:rsidRDefault="000839A4" w:rsidP="000839A4">
      <w:pPr>
        <w:keepNext/>
        <w:ind w:firstLine="0"/>
        <w:jc w:val="center"/>
        <w:rPr>
          <w:b/>
          <w:szCs w:val="24"/>
        </w:rPr>
      </w:pPr>
      <w:r w:rsidRPr="000839A4">
        <w:rPr>
          <w:b/>
          <w:szCs w:val="24"/>
        </w:rPr>
        <w:t xml:space="preserve">Obecná společná ustanovení o věcech </w:t>
      </w:r>
    </w:p>
    <w:p w14:paraId="0DDD9CAE" w14:textId="77777777" w:rsidR="000839A4" w:rsidRPr="000839A4" w:rsidRDefault="000839A4" w:rsidP="000839A4">
      <w:pPr>
        <w:tabs>
          <w:tab w:val="left" w:pos="851"/>
        </w:tabs>
        <w:spacing w:before="120" w:after="120"/>
        <w:ind w:firstLine="427"/>
        <w:outlineLvl w:val="6"/>
      </w:pPr>
      <w:r w:rsidRPr="000839A4">
        <w:t xml:space="preserve">(1) Za věc, a to za věc hmotnou a movitou, se pro účely daní z příjmů považuje také </w:t>
      </w:r>
    </w:p>
    <w:p w14:paraId="09D06D25"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 xml:space="preserve">živé zvíře, </w:t>
      </w:r>
    </w:p>
    <w:p w14:paraId="1BF7E52F"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 xml:space="preserve">část lidského těla a </w:t>
      </w:r>
    </w:p>
    <w:p w14:paraId="101FED28" w14:textId="77777777" w:rsidR="000839A4" w:rsidRPr="000839A4" w:rsidRDefault="000839A4" w:rsidP="000839A4">
      <w:pPr>
        <w:tabs>
          <w:tab w:val="left" w:pos="357"/>
        </w:tabs>
        <w:spacing w:before="0"/>
        <w:ind w:left="357" w:hanging="357"/>
        <w:rPr>
          <w:szCs w:val="24"/>
        </w:rPr>
      </w:pPr>
      <w:r w:rsidRPr="000839A4">
        <w:rPr>
          <w:szCs w:val="24"/>
        </w:rPr>
        <w:t>c)</w:t>
      </w:r>
      <w:r w:rsidRPr="000839A4">
        <w:rPr>
          <w:szCs w:val="24"/>
        </w:rPr>
        <w:tab/>
        <w:t xml:space="preserve">ovladatelná přírodní síla, se kterou se obchoduje. </w:t>
      </w:r>
    </w:p>
    <w:p w14:paraId="33D9CA09" w14:textId="77777777" w:rsidR="000839A4" w:rsidRPr="000839A4" w:rsidRDefault="000839A4" w:rsidP="000839A4">
      <w:pPr>
        <w:tabs>
          <w:tab w:val="left" w:pos="851"/>
        </w:tabs>
        <w:spacing w:before="120" w:after="120"/>
        <w:ind w:firstLine="427"/>
        <w:outlineLvl w:val="6"/>
      </w:pPr>
      <w:r w:rsidRPr="000839A4">
        <w:t xml:space="preserve">(2) Ustanovení o obchodním závodu se pro účely daní z příjmů použijí i na část obchodního závodu tvořící samostatnou organizační složku. </w:t>
      </w:r>
    </w:p>
    <w:p w14:paraId="45287F14" w14:textId="77777777" w:rsidR="000839A4" w:rsidRPr="000839A4" w:rsidRDefault="000839A4" w:rsidP="000839A4">
      <w:pPr>
        <w:tabs>
          <w:tab w:val="left" w:pos="851"/>
        </w:tabs>
        <w:spacing w:before="120" w:after="120"/>
        <w:ind w:firstLine="427"/>
        <w:outlineLvl w:val="6"/>
      </w:pPr>
      <w:r w:rsidRPr="000839A4">
        <w:t xml:space="preserve">(3) Ustanovení tohoto zákona upravující cenné papíry se pro účely daní z příjmů obdobně použijí i pro zaknihované cenné papíry. </w:t>
      </w:r>
    </w:p>
    <w:p w14:paraId="3DA00ADE" w14:textId="77777777" w:rsidR="000839A4" w:rsidRPr="000839A4" w:rsidRDefault="000839A4" w:rsidP="000839A4">
      <w:pPr>
        <w:tabs>
          <w:tab w:val="left" w:pos="851"/>
        </w:tabs>
        <w:spacing w:before="120" w:after="120"/>
        <w:ind w:firstLine="427"/>
        <w:outlineLvl w:val="6"/>
      </w:pPr>
      <w:r w:rsidRPr="000839A4">
        <w:t xml:space="preserve">(4) Ustanovení tohoto zákona o jednotce a o nemovité věci se použijí obdobně i na jednotku, která je vymezena podle zákona o vlastnictví bytů, spolu se s ní spojeným podílem na společných částech domu, a pokud je s ní spojeno vlastnictví k pozemku, tak i spolu s podílem na tomto pozemku. </w:t>
      </w:r>
    </w:p>
    <w:p w14:paraId="3FCDB001" w14:textId="77777777" w:rsidR="000839A4" w:rsidRPr="000839A4" w:rsidRDefault="000839A4" w:rsidP="000839A4">
      <w:pPr>
        <w:tabs>
          <w:tab w:val="left" w:pos="851"/>
        </w:tabs>
        <w:spacing w:before="120" w:after="120"/>
        <w:ind w:firstLine="427"/>
        <w:outlineLvl w:val="6"/>
      </w:pPr>
      <w:r w:rsidRPr="000839A4">
        <w:t>(5) Ustanovení upravující zálohu se pro účely daní z příjmů obdobně použijí i na závdavek.</w:t>
      </w:r>
    </w:p>
    <w:p w14:paraId="50E5E988" w14:textId="77777777" w:rsidR="000839A4" w:rsidRPr="000839A4" w:rsidRDefault="000839A4" w:rsidP="000839A4">
      <w:pPr>
        <w:tabs>
          <w:tab w:val="left" w:pos="851"/>
        </w:tabs>
        <w:spacing w:before="120" w:after="120"/>
        <w:ind w:firstLine="427"/>
        <w:outlineLvl w:val="6"/>
      </w:pPr>
      <w:r w:rsidRPr="000839A4">
        <w:t>(6) Nízkoemisním vozidlem se pro účely daní z příjmů rozumí silniční motorové vozidlo, které je nízkoemisním vozidlem podle zákona upravujícího podporu nízkoemisních vozidel prostřednictvím zadávání veřejných zakázek a veřejných služeb v přepravě cestujících a není bezemisním vozidlem.</w:t>
      </w:r>
    </w:p>
    <w:p w14:paraId="1F3CF813" w14:textId="77777777" w:rsidR="000839A4" w:rsidRPr="000839A4" w:rsidRDefault="000839A4" w:rsidP="000839A4">
      <w:pPr>
        <w:tabs>
          <w:tab w:val="left" w:pos="851"/>
        </w:tabs>
        <w:spacing w:before="120" w:after="120"/>
        <w:ind w:firstLine="427"/>
        <w:outlineLvl w:val="6"/>
      </w:pPr>
      <w:r w:rsidRPr="000839A4">
        <w:t>(7) Bezemisním vozidlem se pro účely daní z příjmů rozumí silniční motorové vozidlo, které používá jako palivo výlučně elektrickou energii nebo vodík, nebo jiné silniční motorové vozidlo, jehož provoz nemá žádné emise CO</w:t>
      </w:r>
      <w:r w:rsidRPr="000839A4">
        <w:rPr>
          <w:vertAlign w:val="subscript"/>
        </w:rPr>
        <w:t>2</w:t>
      </w:r>
      <w:r w:rsidRPr="000839A4">
        <w:t>.</w:t>
      </w:r>
    </w:p>
    <w:p w14:paraId="0105B970" w14:textId="77777777" w:rsidR="000839A4" w:rsidRPr="000839A4" w:rsidRDefault="000839A4" w:rsidP="000839A4">
      <w:pPr>
        <w:keepNext/>
        <w:ind w:firstLine="0"/>
        <w:jc w:val="center"/>
        <w:rPr>
          <w:szCs w:val="24"/>
        </w:rPr>
      </w:pPr>
      <w:r w:rsidRPr="000839A4">
        <w:rPr>
          <w:szCs w:val="24"/>
        </w:rPr>
        <w:t>§ 21c</w:t>
      </w:r>
    </w:p>
    <w:p w14:paraId="53A7AA92" w14:textId="77777777" w:rsidR="000839A4" w:rsidRPr="000839A4" w:rsidRDefault="000839A4" w:rsidP="000839A4">
      <w:pPr>
        <w:keepNext/>
        <w:ind w:firstLine="0"/>
        <w:jc w:val="center"/>
        <w:rPr>
          <w:b/>
          <w:szCs w:val="24"/>
        </w:rPr>
      </w:pPr>
      <w:r w:rsidRPr="000839A4">
        <w:rPr>
          <w:b/>
          <w:szCs w:val="24"/>
        </w:rPr>
        <w:t xml:space="preserve">Obecná společná ustanovení o majetkových právech </w:t>
      </w:r>
    </w:p>
    <w:p w14:paraId="6247754F" w14:textId="77777777" w:rsidR="000839A4" w:rsidRPr="000839A4" w:rsidRDefault="000839A4" w:rsidP="000839A4">
      <w:pPr>
        <w:tabs>
          <w:tab w:val="left" w:pos="851"/>
        </w:tabs>
        <w:spacing w:before="120" w:after="120"/>
        <w:ind w:firstLine="427"/>
        <w:outlineLvl w:val="6"/>
      </w:pPr>
      <w:r w:rsidRPr="000839A4">
        <w:t xml:space="preserve">(1) Pro účely daní z příjmů platí, že při plnění ze </w:t>
      </w:r>
      <w:proofErr w:type="spellStart"/>
      <w:r w:rsidRPr="000839A4">
        <w:t>svěřenského</w:t>
      </w:r>
      <w:proofErr w:type="spellEnd"/>
      <w:r w:rsidRPr="000839A4">
        <w:t xml:space="preserve"> fondu se nejdříve plní ze zisku fondu a až poté z ostatního majetku fondu. </w:t>
      </w:r>
    </w:p>
    <w:p w14:paraId="6A6C4DEF" w14:textId="77777777" w:rsidR="000839A4" w:rsidRPr="000839A4" w:rsidRDefault="000839A4" w:rsidP="000839A4">
      <w:pPr>
        <w:tabs>
          <w:tab w:val="left" w:pos="851"/>
        </w:tabs>
        <w:spacing w:before="120" w:after="120"/>
        <w:ind w:firstLine="427"/>
        <w:outlineLvl w:val="6"/>
      </w:pPr>
      <w:r w:rsidRPr="000839A4">
        <w:t>(2) Pro účely daní z příjmů platí, že při plnění z rodinné fundace se nejdříve plní ze zisku fundace a až poté z ostatního majetku fundace.</w:t>
      </w:r>
    </w:p>
    <w:p w14:paraId="57F6BBCA" w14:textId="77777777" w:rsidR="000839A4" w:rsidRPr="000839A4" w:rsidRDefault="000839A4" w:rsidP="000839A4">
      <w:pPr>
        <w:tabs>
          <w:tab w:val="left" w:pos="851"/>
        </w:tabs>
        <w:spacing w:before="120" w:after="120"/>
        <w:ind w:firstLine="427"/>
        <w:outlineLvl w:val="6"/>
      </w:pPr>
      <w:r w:rsidRPr="000839A4">
        <w:t xml:space="preserve">(3) Bylo-li ujednáno, že i dárce bude navzájem obdarován, jedná se pro účely daní z příjmů o koupi nebo směnu, a to i vzhledem k tomu, oč hodnota plnění jedné strany převyšuje hodnotu plnění druhé strany. </w:t>
      </w:r>
    </w:p>
    <w:p w14:paraId="2F8F18CA" w14:textId="77777777" w:rsidR="000839A4" w:rsidRPr="000839A4" w:rsidRDefault="000839A4" w:rsidP="000839A4">
      <w:pPr>
        <w:tabs>
          <w:tab w:val="left" w:pos="851"/>
        </w:tabs>
        <w:spacing w:before="120" w:after="120"/>
        <w:ind w:firstLine="427"/>
        <w:outlineLvl w:val="6"/>
      </w:pPr>
      <w:r w:rsidRPr="000839A4">
        <w:lastRenderedPageBreak/>
        <w:t xml:space="preserve">(4) Ustanovení tohoto zákona upravující nájem se použijí i pro pacht. </w:t>
      </w:r>
    </w:p>
    <w:p w14:paraId="1FB6C025" w14:textId="77777777" w:rsidR="000839A4" w:rsidRPr="000839A4" w:rsidRDefault="000839A4" w:rsidP="000839A4">
      <w:pPr>
        <w:keepNext/>
        <w:ind w:firstLine="0"/>
        <w:jc w:val="center"/>
        <w:rPr>
          <w:strike/>
          <w:szCs w:val="24"/>
        </w:rPr>
      </w:pPr>
      <w:r w:rsidRPr="000839A4">
        <w:rPr>
          <w:strike/>
          <w:szCs w:val="24"/>
        </w:rPr>
        <w:t>§ 21d</w:t>
      </w:r>
    </w:p>
    <w:p w14:paraId="40F61F36" w14:textId="77777777" w:rsidR="000839A4" w:rsidRPr="000839A4" w:rsidRDefault="000839A4" w:rsidP="000839A4">
      <w:pPr>
        <w:keepNext/>
        <w:ind w:firstLine="0"/>
        <w:jc w:val="center"/>
        <w:rPr>
          <w:b/>
          <w:strike/>
          <w:szCs w:val="24"/>
        </w:rPr>
      </w:pPr>
      <w:r w:rsidRPr="000839A4">
        <w:rPr>
          <w:b/>
          <w:strike/>
          <w:szCs w:val="24"/>
        </w:rPr>
        <w:t xml:space="preserve">Obecná společná ustanovení o finančním leasingu </w:t>
      </w:r>
    </w:p>
    <w:p w14:paraId="3D18374E" w14:textId="77777777" w:rsidR="000839A4" w:rsidRPr="000839A4" w:rsidRDefault="000839A4" w:rsidP="000839A4">
      <w:pPr>
        <w:tabs>
          <w:tab w:val="left" w:pos="851"/>
        </w:tabs>
        <w:spacing w:before="120" w:after="120"/>
        <w:ind w:firstLine="427"/>
        <w:outlineLvl w:val="6"/>
        <w:rPr>
          <w:strike/>
        </w:rPr>
      </w:pPr>
      <w:r w:rsidRPr="000839A4">
        <w:rPr>
          <w:strike/>
        </w:rPr>
        <w:t xml:space="preserve">(1) Finančním leasingem se pro účely daní z příjmů rozumí přenechání hmotného majetku vlastníkem k užití uživateli za úplatu, pokud </w:t>
      </w:r>
    </w:p>
    <w:p w14:paraId="650E7942" w14:textId="77777777" w:rsidR="000839A4" w:rsidRPr="000839A4" w:rsidRDefault="000839A4" w:rsidP="000839A4">
      <w:pPr>
        <w:tabs>
          <w:tab w:val="left" w:pos="357"/>
        </w:tabs>
        <w:spacing w:before="0"/>
        <w:ind w:left="357" w:hanging="357"/>
        <w:rPr>
          <w:strike/>
          <w:szCs w:val="24"/>
        </w:rPr>
      </w:pPr>
      <w:r w:rsidRPr="000839A4">
        <w:rPr>
          <w:strike/>
          <w:szCs w:val="24"/>
        </w:rPr>
        <w:t>a)</w:t>
      </w:r>
      <w:r w:rsidRPr="000839A4">
        <w:rPr>
          <w:strike/>
          <w:szCs w:val="24"/>
        </w:rPr>
        <w:tab/>
        <w:t>je při vzniku smlouvy</w:t>
      </w:r>
    </w:p>
    <w:p w14:paraId="774ED594" w14:textId="77777777" w:rsidR="000839A4" w:rsidRPr="000839A4" w:rsidRDefault="000839A4" w:rsidP="000839A4">
      <w:pPr>
        <w:tabs>
          <w:tab w:val="left" w:pos="357"/>
        </w:tabs>
        <w:spacing w:before="0"/>
        <w:ind w:left="714" w:hanging="357"/>
        <w:rPr>
          <w:strike/>
          <w:szCs w:val="24"/>
        </w:rPr>
      </w:pPr>
      <w:r w:rsidRPr="000839A4">
        <w:rPr>
          <w:strike/>
          <w:szCs w:val="24"/>
        </w:rPr>
        <w:t>1.</w:t>
      </w:r>
      <w:r w:rsidRPr="000839A4">
        <w:rPr>
          <w:strike/>
          <w:szCs w:val="24"/>
        </w:rPr>
        <w:tab/>
        <w:t>ujednáno, že po uplynutí sjednané doby převede vlastník předmětu finančního leasingu vlastnické právo k němu za kupní cenu nebo bezúplatně na uživatele předmětu finančního leasingu nebo</w:t>
      </w:r>
    </w:p>
    <w:p w14:paraId="26649198" w14:textId="77777777" w:rsidR="000839A4" w:rsidRPr="000839A4" w:rsidRDefault="000839A4" w:rsidP="000839A4">
      <w:pPr>
        <w:tabs>
          <w:tab w:val="left" w:pos="357"/>
        </w:tabs>
        <w:spacing w:before="0"/>
        <w:ind w:left="714" w:hanging="357"/>
        <w:rPr>
          <w:strike/>
          <w:szCs w:val="24"/>
        </w:rPr>
      </w:pPr>
      <w:r w:rsidRPr="000839A4">
        <w:rPr>
          <w:strike/>
          <w:szCs w:val="24"/>
        </w:rPr>
        <w:t>2.</w:t>
      </w:r>
      <w:r w:rsidRPr="000839A4">
        <w:rPr>
          <w:strike/>
          <w:szCs w:val="24"/>
        </w:rPr>
        <w:tab/>
        <w:t>ujednáno právo uživatele na převod podle bodu 1,</w:t>
      </w:r>
    </w:p>
    <w:p w14:paraId="7B322D63" w14:textId="77777777" w:rsidR="000839A4" w:rsidRPr="000839A4" w:rsidRDefault="000839A4" w:rsidP="000839A4">
      <w:pPr>
        <w:tabs>
          <w:tab w:val="left" w:pos="357"/>
        </w:tabs>
        <w:spacing w:before="0"/>
        <w:ind w:left="357" w:hanging="357"/>
        <w:rPr>
          <w:strike/>
          <w:szCs w:val="24"/>
        </w:rPr>
      </w:pPr>
      <w:r w:rsidRPr="000839A4">
        <w:rPr>
          <w:strike/>
          <w:szCs w:val="24"/>
        </w:rPr>
        <w:t>b)</w:t>
      </w:r>
      <w:r w:rsidRPr="000839A4">
        <w:rPr>
          <w:strike/>
          <w:szCs w:val="24"/>
        </w:rPr>
        <w:tab/>
        <w:t>ke dni převodu vlastnického práva není kupní cena vyšší než zůstatková cena vypočtená ze vstupní ceny evidované u vlastníka, kterou by předmět finančního leasingu měl při rovnoměrném odpisování bez zvýšení odpisu v prvním roce odpisování, s výjimkou případu, že by předmět finančního leasingu byl při tomto odpisování již odepsán ve výši 100 % vstupní ceny,</w:t>
      </w:r>
    </w:p>
    <w:p w14:paraId="4F041F82" w14:textId="77777777" w:rsidR="000839A4" w:rsidRPr="000839A4" w:rsidRDefault="000839A4" w:rsidP="000839A4">
      <w:pPr>
        <w:tabs>
          <w:tab w:val="left" w:pos="357"/>
        </w:tabs>
        <w:spacing w:before="0"/>
        <w:ind w:left="357" w:hanging="357"/>
        <w:rPr>
          <w:strike/>
          <w:szCs w:val="24"/>
        </w:rPr>
      </w:pPr>
      <w:r w:rsidRPr="000839A4">
        <w:rPr>
          <w:strike/>
          <w:szCs w:val="24"/>
        </w:rPr>
        <w:t>c)</w:t>
      </w:r>
      <w:r w:rsidRPr="000839A4">
        <w:rPr>
          <w:strike/>
          <w:szCs w:val="24"/>
        </w:rPr>
        <w:tab/>
        <w:t>je při vzniku smlouvy ujednáno, že po dobu trvání finančního leasingu budou na uživatele převedeny</w:t>
      </w:r>
    </w:p>
    <w:p w14:paraId="6C399178" w14:textId="77777777" w:rsidR="000839A4" w:rsidRPr="000839A4" w:rsidRDefault="000839A4" w:rsidP="000839A4">
      <w:pPr>
        <w:tabs>
          <w:tab w:val="left" w:pos="357"/>
        </w:tabs>
        <w:spacing w:before="0"/>
        <w:ind w:left="714" w:hanging="357"/>
        <w:rPr>
          <w:strike/>
          <w:szCs w:val="24"/>
        </w:rPr>
      </w:pPr>
      <w:r w:rsidRPr="000839A4">
        <w:rPr>
          <w:strike/>
          <w:szCs w:val="24"/>
        </w:rPr>
        <w:t>1.</w:t>
      </w:r>
      <w:r w:rsidRPr="000839A4">
        <w:rPr>
          <w:strike/>
          <w:szCs w:val="24"/>
        </w:rPr>
        <w:tab/>
        <w:t xml:space="preserve">užívací práva k předmětu leasingu, </w:t>
      </w:r>
    </w:p>
    <w:p w14:paraId="778EA13A" w14:textId="77777777" w:rsidR="000839A4" w:rsidRPr="000839A4" w:rsidRDefault="000839A4" w:rsidP="000839A4">
      <w:pPr>
        <w:tabs>
          <w:tab w:val="left" w:pos="357"/>
        </w:tabs>
        <w:spacing w:before="0"/>
        <w:ind w:left="714" w:hanging="357"/>
        <w:rPr>
          <w:strike/>
          <w:szCs w:val="24"/>
        </w:rPr>
      </w:pPr>
      <w:r w:rsidRPr="000839A4">
        <w:rPr>
          <w:strike/>
          <w:szCs w:val="24"/>
        </w:rPr>
        <w:t>2.</w:t>
      </w:r>
      <w:r w:rsidRPr="000839A4">
        <w:rPr>
          <w:strike/>
          <w:szCs w:val="24"/>
        </w:rPr>
        <w:tab/>
        <w:t xml:space="preserve"> povinnosti spojené s péčí o předmět leasingu a </w:t>
      </w:r>
    </w:p>
    <w:p w14:paraId="35CC18FE" w14:textId="77777777" w:rsidR="000839A4" w:rsidRPr="000839A4" w:rsidRDefault="000839A4" w:rsidP="000839A4">
      <w:pPr>
        <w:tabs>
          <w:tab w:val="left" w:pos="357"/>
        </w:tabs>
        <w:spacing w:before="0"/>
        <w:ind w:left="714" w:hanging="357"/>
        <w:rPr>
          <w:strike/>
          <w:szCs w:val="24"/>
        </w:rPr>
      </w:pPr>
      <w:r w:rsidRPr="000839A4">
        <w:rPr>
          <w:strike/>
          <w:szCs w:val="24"/>
        </w:rPr>
        <w:t>3.</w:t>
      </w:r>
      <w:r w:rsidRPr="000839A4">
        <w:rPr>
          <w:strike/>
          <w:szCs w:val="24"/>
        </w:rPr>
        <w:tab/>
        <w:t>rizika spojená s užíváním předmětu leasingu a</w:t>
      </w:r>
    </w:p>
    <w:p w14:paraId="71E7A9E7" w14:textId="77777777" w:rsidR="000839A4" w:rsidRPr="000839A4" w:rsidRDefault="000839A4" w:rsidP="000839A4">
      <w:pPr>
        <w:tabs>
          <w:tab w:val="left" w:pos="357"/>
        </w:tabs>
        <w:spacing w:before="0"/>
        <w:ind w:left="357" w:hanging="357"/>
        <w:rPr>
          <w:strike/>
          <w:szCs w:val="24"/>
        </w:rPr>
      </w:pPr>
      <w:r w:rsidRPr="000839A4">
        <w:rPr>
          <w:strike/>
          <w:szCs w:val="24"/>
        </w:rPr>
        <w:t>d)</w:t>
      </w:r>
      <w:r w:rsidRPr="000839A4">
        <w:rPr>
          <w:strike/>
          <w:szCs w:val="24"/>
        </w:rPr>
        <w:tab/>
        <w:t>je splněna minimální doba finančního leasingu; doba finančního leasingu se počítá ode dne, kdy byl předmět finančního leasingu uživateli přenechán ve stavu způsobilém obvyklému užívání.</w:t>
      </w:r>
    </w:p>
    <w:p w14:paraId="5F6DF6C1" w14:textId="77777777" w:rsidR="000839A4" w:rsidRPr="000839A4" w:rsidRDefault="000839A4" w:rsidP="000839A4">
      <w:pPr>
        <w:tabs>
          <w:tab w:val="left" w:pos="851"/>
        </w:tabs>
        <w:spacing w:before="120" w:after="120"/>
        <w:ind w:firstLine="427"/>
        <w:outlineLvl w:val="6"/>
        <w:rPr>
          <w:strike/>
        </w:rPr>
      </w:pPr>
      <w:r w:rsidRPr="000839A4">
        <w:rPr>
          <w:strike/>
        </w:rPr>
        <w:t xml:space="preserve">(2) Minimální dobou finančního leasingu je minimální doba odpisování hmotného majetku uvedená v § 30 odst. 1 nebo doba odpisování podle § 30a nebo 30b v okamžiku uzavření </w:t>
      </w:r>
      <w:proofErr w:type="gramStart"/>
      <w:r w:rsidRPr="000839A4">
        <w:rPr>
          <w:strike/>
        </w:rPr>
        <w:t>smlouvy..</w:t>
      </w:r>
      <w:proofErr w:type="gramEnd"/>
      <w:r w:rsidRPr="000839A4">
        <w:rPr>
          <w:strike/>
        </w:rPr>
        <w:t xml:space="preserve"> Pro účely určení minimální doby finančního leasingu se minimální doba odpisování hmotného majetku odpisovaného podle § 30 odst. 1 zařazeného v odpisové skupině 2 až 6 podle přílohy č. 1 k tomuto zákonu zkracuje o 6 měsíců.</w:t>
      </w:r>
    </w:p>
    <w:p w14:paraId="18A0436D" w14:textId="77777777" w:rsidR="000839A4" w:rsidRPr="000839A4" w:rsidRDefault="000839A4" w:rsidP="000839A4">
      <w:pPr>
        <w:tabs>
          <w:tab w:val="left" w:pos="851"/>
        </w:tabs>
        <w:spacing w:before="120" w:after="120"/>
        <w:ind w:firstLine="427"/>
        <w:outlineLvl w:val="6"/>
        <w:rPr>
          <w:strike/>
        </w:rPr>
      </w:pPr>
      <w:r w:rsidRPr="000839A4">
        <w:rPr>
          <w:strike/>
        </w:rPr>
        <w:t xml:space="preserve">(3) Na finanční leasing se nevztahují ustanovení tohoto zákona o nájmu. </w:t>
      </w:r>
    </w:p>
    <w:p w14:paraId="574762FF" w14:textId="77777777" w:rsidR="000839A4" w:rsidRPr="000839A4" w:rsidRDefault="000839A4" w:rsidP="000839A4">
      <w:pPr>
        <w:tabs>
          <w:tab w:val="left" w:pos="851"/>
        </w:tabs>
        <w:spacing w:before="120" w:after="120"/>
        <w:ind w:firstLine="427"/>
        <w:outlineLvl w:val="6"/>
        <w:rPr>
          <w:strike/>
        </w:rPr>
      </w:pPr>
      <w:r w:rsidRPr="000839A4">
        <w:rPr>
          <w:strike/>
        </w:rPr>
        <w:t xml:space="preserve">(4) Finanční leasing se pro účely daní z příjmů považuje od okamžiku uzavření smlouvy o finančním leasingu za nájem, pokud </w:t>
      </w:r>
    </w:p>
    <w:p w14:paraId="68ADA587" w14:textId="77777777" w:rsidR="000839A4" w:rsidRPr="000839A4" w:rsidRDefault="000839A4" w:rsidP="000839A4">
      <w:pPr>
        <w:tabs>
          <w:tab w:val="left" w:pos="357"/>
        </w:tabs>
        <w:spacing w:before="0"/>
        <w:ind w:left="357" w:hanging="357"/>
        <w:rPr>
          <w:strike/>
          <w:szCs w:val="24"/>
        </w:rPr>
      </w:pPr>
      <w:r w:rsidRPr="000839A4">
        <w:rPr>
          <w:strike/>
          <w:szCs w:val="24"/>
        </w:rPr>
        <w:t>a)</w:t>
      </w:r>
      <w:r w:rsidRPr="000839A4">
        <w:rPr>
          <w:strike/>
          <w:szCs w:val="24"/>
        </w:rPr>
        <w:tab/>
        <w:t xml:space="preserve">je finanční leasing ukončen před uplynutím minimální doby finančního leasingu, </w:t>
      </w:r>
    </w:p>
    <w:p w14:paraId="68B42487" w14:textId="77777777" w:rsidR="000839A4" w:rsidRPr="000839A4" w:rsidRDefault="000839A4" w:rsidP="000839A4">
      <w:pPr>
        <w:tabs>
          <w:tab w:val="left" w:pos="357"/>
        </w:tabs>
        <w:spacing w:before="0"/>
        <w:ind w:left="357" w:hanging="357"/>
        <w:rPr>
          <w:strike/>
          <w:szCs w:val="24"/>
        </w:rPr>
      </w:pPr>
      <w:r w:rsidRPr="000839A4">
        <w:rPr>
          <w:strike/>
          <w:szCs w:val="24"/>
        </w:rPr>
        <w:t>b)</w:t>
      </w:r>
      <w:r w:rsidRPr="000839A4">
        <w:rPr>
          <w:strike/>
          <w:szCs w:val="24"/>
        </w:rPr>
        <w:tab/>
        <w:t xml:space="preserve">nedojde k převodu vlastnického práva na uživatele. </w:t>
      </w:r>
    </w:p>
    <w:p w14:paraId="61EA2BE1" w14:textId="77777777" w:rsidR="000839A4" w:rsidRPr="000839A4" w:rsidRDefault="000839A4" w:rsidP="000839A4">
      <w:pPr>
        <w:tabs>
          <w:tab w:val="left" w:pos="851"/>
        </w:tabs>
        <w:spacing w:before="120" w:after="120"/>
        <w:ind w:firstLine="427"/>
        <w:outlineLvl w:val="6"/>
        <w:rPr>
          <w:strike/>
        </w:rPr>
      </w:pPr>
      <w:r w:rsidRPr="000839A4">
        <w:rPr>
          <w:strike/>
        </w:rPr>
        <w:t xml:space="preserve">(5) Přenechá-li uživatel užívající předmět finančního leasingu tento předmět k užívání jiné osobě za úplatu na základě smlouvy, považuje se tato smlouva pro účely daní z příjmů za smlouvu o nájmu. </w:t>
      </w:r>
    </w:p>
    <w:p w14:paraId="6FA23299" w14:textId="77777777" w:rsidR="000839A4" w:rsidRPr="000839A4" w:rsidRDefault="000839A4" w:rsidP="000839A4">
      <w:pPr>
        <w:tabs>
          <w:tab w:val="left" w:pos="851"/>
        </w:tabs>
        <w:spacing w:before="120" w:after="120"/>
        <w:ind w:firstLine="427"/>
        <w:outlineLvl w:val="6"/>
        <w:rPr>
          <w:strike/>
        </w:rPr>
      </w:pPr>
      <w:r w:rsidRPr="000839A4">
        <w:rPr>
          <w:strike/>
        </w:rPr>
        <w:t>(6) Finančním leasingem není přenechání hmotného majetku vyloučeného z odpisování.</w:t>
      </w:r>
    </w:p>
    <w:p w14:paraId="3C7C0BF2" w14:textId="77777777" w:rsidR="000839A4" w:rsidRPr="000839A4" w:rsidRDefault="000839A4" w:rsidP="000839A4">
      <w:pPr>
        <w:keepNext/>
        <w:keepLines/>
        <w:ind w:firstLine="0"/>
        <w:jc w:val="center"/>
        <w:outlineLvl w:val="5"/>
        <w:rPr>
          <w:b/>
        </w:rPr>
      </w:pPr>
      <w:r w:rsidRPr="000839A4">
        <w:rPr>
          <w:b/>
        </w:rPr>
        <w:t>§ 21d</w:t>
      </w:r>
    </w:p>
    <w:p w14:paraId="7DE32032" w14:textId="77777777" w:rsidR="000839A4" w:rsidRPr="000839A4" w:rsidRDefault="000839A4" w:rsidP="000839A4">
      <w:pPr>
        <w:keepNext/>
        <w:keepLines/>
        <w:ind w:firstLine="0"/>
        <w:jc w:val="center"/>
        <w:outlineLvl w:val="5"/>
        <w:rPr>
          <w:b/>
        </w:rPr>
      </w:pPr>
      <w:r w:rsidRPr="000839A4">
        <w:rPr>
          <w:b/>
        </w:rPr>
        <w:t>Právní nástupnictví při přeměnách</w:t>
      </w:r>
    </w:p>
    <w:p w14:paraId="0D5723D7" w14:textId="77777777" w:rsidR="000839A4" w:rsidRPr="000839A4" w:rsidRDefault="000839A4" w:rsidP="000839A4">
      <w:pPr>
        <w:tabs>
          <w:tab w:val="left" w:pos="851"/>
        </w:tabs>
        <w:spacing w:before="120" w:after="120"/>
        <w:ind w:firstLine="427"/>
        <w:outlineLvl w:val="6"/>
        <w:rPr>
          <w:b/>
        </w:rPr>
      </w:pPr>
      <w:r w:rsidRPr="000839A4">
        <w:rPr>
          <w:b/>
        </w:rPr>
        <w:t>(1)</w:t>
      </w:r>
      <w:r w:rsidRPr="000839A4">
        <w:rPr>
          <w:b/>
        </w:rPr>
        <w:tab/>
        <w:t xml:space="preserve">Právnická osoba nebo jiná entita, které jsou poplatníkem daně z příjmů právnických osob a účetní jednotkou, vzniklé při přeměně se považují za poplatníka daně z příjmů právnických osob od rozhodného dne přeměny. Jejich práva a povinnosti jako </w:t>
      </w:r>
      <w:r w:rsidRPr="000839A4">
        <w:rPr>
          <w:b/>
        </w:rPr>
        <w:lastRenderedPageBreak/>
        <w:t>poplatníků plní do dne předcházejícího dni, ve kterém nastanou právní účinky přeměny, jejich právní předchůdce.</w:t>
      </w:r>
    </w:p>
    <w:p w14:paraId="6306A461" w14:textId="77777777" w:rsidR="000839A4" w:rsidRPr="000839A4" w:rsidRDefault="000839A4" w:rsidP="000839A4">
      <w:pPr>
        <w:tabs>
          <w:tab w:val="left" w:pos="851"/>
        </w:tabs>
        <w:spacing w:before="120" w:after="120"/>
        <w:ind w:firstLine="427"/>
        <w:outlineLvl w:val="6"/>
        <w:rPr>
          <w:b/>
        </w:rPr>
      </w:pPr>
      <w:r w:rsidRPr="000839A4">
        <w:rPr>
          <w:b/>
        </w:rPr>
        <w:t xml:space="preserve">(2) Právnická osoba nebo jiná entita zúčastněné na přeměně, které jsou účetní jednotkou, které při přeměně zanikají a jejichž všechny nástupnické osoby nebo jiné entity jsou účetními jednotkami a nejsou fyzickými osobami, přestávají být poplatníkem v den předcházející rozhodnému dni přeměny. Pro účely určení daňového rezidentství této právnické osoby nebo jiné entity a placení záloh se na ně do dne předcházejícího dni, ve kterém nastanou právní účinky přeměny, hledí, jako by byly stále poplatníkem daně z příjmů právnických osob. </w:t>
      </w:r>
    </w:p>
    <w:p w14:paraId="10DCFCB3" w14:textId="77777777" w:rsidR="000839A4" w:rsidRPr="000839A4" w:rsidRDefault="000839A4" w:rsidP="000839A4">
      <w:pPr>
        <w:tabs>
          <w:tab w:val="left" w:pos="851"/>
        </w:tabs>
        <w:spacing w:before="120" w:after="120"/>
        <w:ind w:firstLine="427"/>
        <w:outlineLvl w:val="6"/>
        <w:rPr>
          <w:b/>
        </w:rPr>
      </w:pPr>
      <w:r w:rsidRPr="000839A4">
        <w:rPr>
          <w:b/>
        </w:rPr>
        <w:t>(3) Do výpočtu daně nástupnické právnické osoby nebo jiné entity, které jsou účetní jednotkou, od rozhodného dne přeměny vstupují i položky jejího právního předchůdce, který je účetní jednotkou, připadající na jeho jmění, které na nástupnického poplatníka rozhodným dnem v důsledku přeměny podle zákona upravujícího účetnictví přechází, a jednání s ním související.</w:t>
      </w:r>
    </w:p>
    <w:p w14:paraId="08D7223E" w14:textId="77777777" w:rsidR="000839A4" w:rsidRPr="000839A4" w:rsidRDefault="000839A4" w:rsidP="000839A4">
      <w:pPr>
        <w:tabs>
          <w:tab w:val="left" w:pos="851"/>
        </w:tabs>
        <w:spacing w:before="120" w:after="120"/>
        <w:ind w:firstLine="427"/>
        <w:outlineLvl w:val="6"/>
        <w:rPr>
          <w:b/>
        </w:rPr>
      </w:pPr>
      <w:r w:rsidRPr="000839A4">
        <w:rPr>
          <w:b/>
        </w:rPr>
        <w:t>(4) Pro účely daní z příjmů se od rozhodného dne přeměny do dne předcházejícího dni, ve kterém nastanou právní účinky přeměny, položky nástupnického poplatníka, který je účetní jednotkou, vstupující do výpočtu daně a připadající na jmění právního předchůdce, které na nástupnického poplatníka rozhodným dnem v důsledku přeměny podle zákona upravujícího účetnictví přechází, a jednání s ním související určují, jako by se jednalo o jmění a jednání s ním související právního předchůdce.</w:t>
      </w:r>
    </w:p>
    <w:p w14:paraId="40495561" w14:textId="77777777" w:rsidR="000839A4" w:rsidRPr="000839A4" w:rsidRDefault="000839A4" w:rsidP="000839A4">
      <w:pPr>
        <w:tabs>
          <w:tab w:val="left" w:pos="851"/>
        </w:tabs>
        <w:spacing w:before="120" w:after="120"/>
        <w:ind w:firstLine="427"/>
        <w:outlineLvl w:val="6"/>
        <w:rPr>
          <w:b/>
        </w:rPr>
      </w:pPr>
      <w:r w:rsidRPr="000839A4">
        <w:rPr>
          <w:b/>
        </w:rPr>
        <w:t>(5) Zanikající právnická osoba nebo jiná entita, které jsou účetní jednotkou, při převodu jmění na společníka, který je fyzickou osobou a účetní jednotkou, pro účely daní z příjmů nepřestávají být účetní jednotku dnem předcházejícím rozhodnému dni této přeměny a jejich jmění a jednání s ním související přechází podle zákona upravujícího účetnictví na přejímajícího společníka až dnem, ve kterém nastanou právní účinky této přeměny.</w:t>
      </w:r>
    </w:p>
    <w:p w14:paraId="585D2E32" w14:textId="77777777" w:rsidR="000839A4" w:rsidRPr="000839A4" w:rsidRDefault="000839A4" w:rsidP="000839A4">
      <w:pPr>
        <w:keepNext/>
        <w:ind w:firstLine="0"/>
        <w:jc w:val="center"/>
        <w:rPr>
          <w:szCs w:val="24"/>
        </w:rPr>
      </w:pPr>
      <w:r w:rsidRPr="000839A4">
        <w:rPr>
          <w:szCs w:val="24"/>
        </w:rPr>
        <w:t>§ 21e</w:t>
      </w:r>
    </w:p>
    <w:p w14:paraId="09C22AB4" w14:textId="77777777" w:rsidR="000839A4" w:rsidRPr="000839A4" w:rsidRDefault="000839A4" w:rsidP="000839A4">
      <w:pPr>
        <w:keepNext/>
        <w:ind w:firstLine="0"/>
        <w:jc w:val="center"/>
        <w:rPr>
          <w:b/>
          <w:szCs w:val="24"/>
        </w:rPr>
      </w:pPr>
      <w:r w:rsidRPr="000839A4">
        <w:rPr>
          <w:b/>
          <w:szCs w:val="24"/>
        </w:rPr>
        <w:t xml:space="preserve">Obecná společná ustanovení o osobách </w:t>
      </w:r>
    </w:p>
    <w:p w14:paraId="78ECFC80" w14:textId="77777777" w:rsidR="000839A4" w:rsidRPr="000839A4" w:rsidRDefault="000839A4" w:rsidP="000839A4">
      <w:pPr>
        <w:tabs>
          <w:tab w:val="left" w:pos="851"/>
        </w:tabs>
        <w:spacing w:before="120" w:after="120"/>
        <w:ind w:firstLine="427"/>
        <w:outlineLvl w:val="6"/>
      </w:pPr>
      <w:r w:rsidRPr="000839A4">
        <w:t xml:space="preserve">(1) Bankou se pro účely daní z příjmů rozumí banka, včetně zahraniční banky. </w:t>
      </w:r>
    </w:p>
    <w:p w14:paraId="369FB4C9" w14:textId="77777777" w:rsidR="000839A4" w:rsidRPr="000839A4" w:rsidRDefault="000839A4" w:rsidP="000839A4">
      <w:pPr>
        <w:tabs>
          <w:tab w:val="left" w:pos="851"/>
        </w:tabs>
        <w:spacing w:before="120" w:after="120"/>
        <w:ind w:firstLine="427"/>
        <w:outlineLvl w:val="6"/>
      </w:pPr>
      <w:r w:rsidRPr="000839A4">
        <w:t xml:space="preserve">(2) Za stát se pro účely daní z příjmů považuje také samostatná jurisdikce, která není státem. </w:t>
      </w:r>
    </w:p>
    <w:p w14:paraId="27E74748" w14:textId="77777777" w:rsidR="000839A4" w:rsidRPr="000839A4" w:rsidRDefault="000839A4" w:rsidP="000839A4">
      <w:pPr>
        <w:tabs>
          <w:tab w:val="left" w:pos="851"/>
        </w:tabs>
        <w:spacing w:before="120" w:after="120"/>
        <w:ind w:firstLine="427"/>
        <w:outlineLvl w:val="6"/>
      </w:pPr>
      <w:r w:rsidRPr="000839A4">
        <w:t xml:space="preserve">(3) Manželem (manželkou) se pro účely daní z příjmů rozumí také partner podle zákona upravujícího registrované partnerství. </w:t>
      </w:r>
    </w:p>
    <w:p w14:paraId="6EA65AD6" w14:textId="77777777" w:rsidR="000839A4" w:rsidRPr="000839A4" w:rsidRDefault="000839A4" w:rsidP="000839A4">
      <w:pPr>
        <w:tabs>
          <w:tab w:val="left" w:pos="851"/>
        </w:tabs>
        <w:spacing w:before="120" w:after="120"/>
        <w:ind w:firstLine="427"/>
        <w:outlineLvl w:val="6"/>
      </w:pPr>
      <w:r w:rsidRPr="000839A4">
        <w:t xml:space="preserve">(4) Společně hospodařící domácností se pro účely daní z příjmů rozumí společenství fyzických osob, které spolu trvale žijí a společně uhrazují náklady na své potřeby. </w:t>
      </w:r>
    </w:p>
    <w:p w14:paraId="7EF7C118" w14:textId="77777777" w:rsidR="000839A4" w:rsidRPr="000839A4" w:rsidRDefault="000839A4" w:rsidP="000839A4">
      <w:pPr>
        <w:keepNext/>
        <w:ind w:firstLine="0"/>
        <w:jc w:val="center"/>
        <w:rPr>
          <w:strike/>
          <w:szCs w:val="24"/>
        </w:rPr>
      </w:pPr>
      <w:r w:rsidRPr="000839A4">
        <w:rPr>
          <w:strike/>
          <w:szCs w:val="24"/>
        </w:rPr>
        <w:t>§ 21f</w:t>
      </w:r>
    </w:p>
    <w:p w14:paraId="01B7B194" w14:textId="77777777" w:rsidR="000839A4" w:rsidRPr="000839A4" w:rsidRDefault="000839A4" w:rsidP="000839A4">
      <w:pPr>
        <w:keepNext/>
        <w:ind w:firstLine="0"/>
        <w:jc w:val="center"/>
        <w:rPr>
          <w:b/>
          <w:strike/>
          <w:szCs w:val="24"/>
        </w:rPr>
      </w:pPr>
      <w:r w:rsidRPr="000839A4">
        <w:rPr>
          <w:b/>
          <w:strike/>
          <w:szCs w:val="24"/>
        </w:rPr>
        <w:t xml:space="preserve">Použití ustanovení o vkladech u </w:t>
      </w:r>
      <w:proofErr w:type="spellStart"/>
      <w:r w:rsidRPr="000839A4">
        <w:rPr>
          <w:b/>
          <w:strike/>
          <w:szCs w:val="24"/>
        </w:rPr>
        <w:t>svěřenských</w:t>
      </w:r>
      <w:proofErr w:type="spellEnd"/>
      <w:r w:rsidRPr="000839A4">
        <w:rPr>
          <w:b/>
          <w:strike/>
          <w:szCs w:val="24"/>
        </w:rPr>
        <w:t xml:space="preserve"> fondů, fundací a ústavů</w:t>
      </w:r>
    </w:p>
    <w:p w14:paraId="7F2437FA" w14:textId="77777777" w:rsidR="000839A4" w:rsidRPr="000839A4" w:rsidRDefault="000839A4" w:rsidP="000839A4">
      <w:pPr>
        <w:tabs>
          <w:tab w:val="left" w:pos="851"/>
        </w:tabs>
        <w:spacing w:before="120" w:after="120"/>
        <w:ind w:firstLine="427"/>
        <w:outlineLvl w:val="6"/>
        <w:rPr>
          <w:strike/>
        </w:rPr>
      </w:pPr>
      <w:r w:rsidRPr="000839A4">
        <w:rPr>
          <w:strike/>
        </w:rPr>
        <w:t xml:space="preserve">(1) Pro účely daní z příjmů se na vyčlenění majetku do </w:t>
      </w:r>
      <w:proofErr w:type="spellStart"/>
      <w:r w:rsidRPr="000839A4">
        <w:rPr>
          <w:strike/>
        </w:rPr>
        <w:t>svěřenského</w:t>
      </w:r>
      <w:proofErr w:type="spellEnd"/>
      <w:r w:rsidRPr="000839A4">
        <w:rPr>
          <w:strike/>
        </w:rPr>
        <w:t xml:space="preserve"> fondu a zvýšení majetku </w:t>
      </w:r>
      <w:proofErr w:type="spellStart"/>
      <w:r w:rsidRPr="000839A4">
        <w:rPr>
          <w:strike/>
        </w:rPr>
        <w:t>svěřenského</w:t>
      </w:r>
      <w:proofErr w:type="spellEnd"/>
      <w:r w:rsidRPr="000839A4">
        <w:rPr>
          <w:strike/>
        </w:rPr>
        <w:t xml:space="preserve"> fondu smlouvou nebo pořízením pro případ smrti hledí jako na vklad do obchodní korporace. </w:t>
      </w:r>
    </w:p>
    <w:p w14:paraId="2B848163" w14:textId="77777777" w:rsidR="000839A4" w:rsidRPr="000839A4" w:rsidRDefault="000839A4" w:rsidP="000839A4">
      <w:pPr>
        <w:tabs>
          <w:tab w:val="left" w:pos="851"/>
        </w:tabs>
        <w:spacing w:before="120" w:after="120"/>
        <w:ind w:firstLine="427"/>
        <w:outlineLvl w:val="6"/>
        <w:rPr>
          <w:strike/>
        </w:rPr>
      </w:pPr>
      <w:r w:rsidRPr="000839A4">
        <w:rPr>
          <w:strike/>
        </w:rPr>
        <w:lastRenderedPageBreak/>
        <w:t>(2) Pro účely daní z příjmů se na vklad a vyčlenění majetku do fundace nebo ústavu hledí jako na vklad do obchodní korporace.</w:t>
      </w:r>
    </w:p>
    <w:p w14:paraId="15647E6C" w14:textId="77777777" w:rsidR="000839A4" w:rsidRPr="000839A4" w:rsidRDefault="000839A4" w:rsidP="000839A4">
      <w:pPr>
        <w:keepNext/>
        <w:ind w:firstLine="0"/>
        <w:jc w:val="center"/>
        <w:rPr>
          <w:b/>
          <w:noProof/>
          <w:szCs w:val="24"/>
        </w:rPr>
      </w:pPr>
      <w:r w:rsidRPr="000839A4">
        <w:rPr>
          <w:b/>
          <w:noProof/>
          <w:szCs w:val="24"/>
        </w:rPr>
        <w:t>§ 21f</w:t>
      </w:r>
    </w:p>
    <w:p w14:paraId="4B52A557" w14:textId="77777777" w:rsidR="000839A4" w:rsidRPr="000839A4" w:rsidRDefault="000839A4" w:rsidP="000839A4">
      <w:pPr>
        <w:keepNext/>
        <w:ind w:firstLine="0"/>
        <w:jc w:val="center"/>
        <w:rPr>
          <w:b/>
          <w:noProof/>
          <w:szCs w:val="24"/>
        </w:rPr>
      </w:pPr>
      <w:r w:rsidRPr="000839A4">
        <w:rPr>
          <w:b/>
          <w:noProof/>
          <w:szCs w:val="24"/>
        </w:rPr>
        <w:t>Kapitálový vklad</w:t>
      </w:r>
    </w:p>
    <w:p w14:paraId="3C9DC59C" w14:textId="77777777" w:rsidR="000839A4" w:rsidRPr="000839A4" w:rsidRDefault="000839A4" w:rsidP="000839A4">
      <w:pPr>
        <w:tabs>
          <w:tab w:val="left" w:pos="851"/>
        </w:tabs>
        <w:spacing w:before="120" w:after="120"/>
        <w:ind w:firstLine="427"/>
        <w:outlineLvl w:val="6"/>
        <w:rPr>
          <w:b/>
        </w:rPr>
      </w:pPr>
      <w:r w:rsidRPr="000839A4">
        <w:rPr>
          <w:b/>
        </w:rPr>
        <w:t xml:space="preserve">(1) Kapitálovým vkladem se pro účely daní z příjmů rozumí </w:t>
      </w:r>
    </w:p>
    <w:p w14:paraId="0BB2C4B2" w14:textId="77777777" w:rsidR="000839A4" w:rsidRPr="000839A4" w:rsidRDefault="000839A4" w:rsidP="000839A4">
      <w:pPr>
        <w:tabs>
          <w:tab w:val="left" w:pos="708"/>
        </w:tabs>
        <w:spacing w:before="0"/>
        <w:ind w:left="425" w:hanging="425"/>
        <w:outlineLvl w:val="7"/>
        <w:rPr>
          <w:b/>
        </w:rPr>
      </w:pPr>
      <w:r w:rsidRPr="000839A4">
        <w:rPr>
          <w:b/>
        </w:rPr>
        <w:t>a)</w:t>
      </w:r>
      <w:r w:rsidRPr="000839A4">
        <w:rPr>
          <w:b/>
        </w:rPr>
        <w:tab/>
        <w:t>poskytnutí vkladu právnické osobě s výjimkou poskytnutí vkladu veřejné obchodní společnosti a poskytnutí vkladu komplementáře komanditní společnosti,</w:t>
      </w:r>
    </w:p>
    <w:p w14:paraId="64309E07" w14:textId="77777777" w:rsidR="000839A4" w:rsidRPr="000839A4" w:rsidRDefault="000839A4" w:rsidP="000839A4">
      <w:pPr>
        <w:tabs>
          <w:tab w:val="left" w:pos="708"/>
        </w:tabs>
        <w:spacing w:before="0"/>
        <w:ind w:left="425" w:hanging="425"/>
        <w:outlineLvl w:val="7"/>
        <w:rPr>
          <w:b/>
        </w:rPr>
      </w:pPr>
      <w:r w:rsidRPr="000839A4">
        <w:rPr>
          <w:b/>
        </w:rPr>
        <w:t>b)</w:t>
      </w:r>
      <w:r w:rsidRPr="000839A4">
        <w:rPr>
          <w:b/>
        </w:rPr>
        <w:tab/>
        <w:t>poskytnutí vkladového nebo emisního ážia,</w:t>
      </w:r>
    </w:p>
    <w:p w14:paraId="382B69AE" w14:textId="77777777" w:rsidR="000839A4" w:rsidRPr="000839A4" w:rsidRDefault="000839A4" w:rsidP="000839A4">
      <w:pPr>
        <w:tabs>
          <w:tab w:val="left" w:pos="708"/>
        </w:tabs>
        <w:spacing w:before="0"/>
        <w:ind w:left="425" w:hanging="425"/>
        <w:outlineLvl w:val="7"/>
        <w:rPr>
          <w:b/>
        </w:rPr>
      </w:pPr>
      <w:r w:rsidRPr="000839A4">
        <w:rPr>
          <w:b/>
        </w:rPr>
        <w:t>c)</w:t>
      </w:r>
      <w:r w:rsidRPr="000839A4">
        <w:rPr>
          <w:b/>
        </w:rPr>
        <w:tab/>
        <w:t>poskytnutí příplatku členem obchodní korporace do vlastního kapitálu obchodní korporace nad jeho vklad,</w:t>
      </w:r>
    </w:p>
    <w:p w14:paraId="74820AB4" w14:textId="77777777" w:rsidR="000839A4" w:rsidRPr="000839A4" w:rsidRDefault="000839A4" w:rsidP="000839A4">
      <w:pPr>
        <w:tabs>
          <w:tab w:val="left" w:pos="708"/>
        </w:tabs>
        <w:spacing w:before="0"/>
        <w:ind w:left="425" w:hanging="425"/>
        <w:outlineLvl w:val="7"/>
        <w:rPr>
          <w:b/>
        </w:rPr>
      </w:pPr>
      <w:r w:rsidRPr="000839A4">
        <w:rPr>
          <w:b/>
        </w:rPr>
        <w:t>d)</w:t>
      </w:r>
      <w:r w:rsidRPr="000839A4">
        <w:rPr>
          <w:b/>
        </w:rPr>
        <w:tab/>
        <w:t xml:space="preserve">vyčlenění aktiva do </w:t>
      </w:r>
      <w:proofErr w:type="spellStart"/>
      <w:r w:rsidRPr="000839A4">
        <w:rPr>
          <w:b/>
        </w:rPr>
        <w:t>svěřenského</w:t>
      </w:r>
      <w:proofErr w:type="spellEnd"/>
      <w:r w:rsidRPr="000839A4">
        <w:rPr>
          <w:b/>
        </w:rPr>
        <w:t xml:space="preserve"> fondu nebo zvýšení jeho majetku,</w:t>
      </w:r>
    </w:p>
    <w:p w14:paraId="3BE19B12" w14:textId="77777777" w:rsidR="000839A4" w:rsidRPr="000839A4" w:rsidRDefault="000839A4" w:rsidP="000839A4">
      <w:pPr>
        <w:tabs>
          <w:tab w:val="left" w:pos="708"/>
        </w:tabs>
        <w:spacing w:before="0"/>
        <w:ind w:left="425" w:hanging="425"/>
        <w:outlineLvl w:val="7"/>
        <w:rPr>
          <w:b/>
        </w:rPr>
      </w:pPr>
      <w:r w:rsidRPr="000839A4">
        <w:rPr>
          <w:b/>
        </w:rPr>
        <w:t>e)</w:t>
      </w:r>
      <w:r w:rsidRPr="000839A4">
        <w:rPr>
          <w:b/>
        </w:rPr>
        <w:tab/>
        <w:t>poskytnutí vkladu tichým společníkem,</w:t>
      </w:r>
    </w:p>
    <w:p w14:paraId="5906C8CB" w14:textId="77777777" w:rsidR="000839A4" w:rsidRPr="000839A4" w:rsidRDefault="000839A4" w:rsidP="000839A4">
      <w:pPr>
        <w:tabs>
          <w:tab w:val="left" w:pos="708"/>
        </w:tabs>
        <w:spacing w:before="0"/>
        <w:ind w:left="425" w:hanging="425"/>
        <w:outlineLvl w:val="7"/>
        <w:rPr>
          <w:b/>
        </w:rPr>
      </w:pPr>
      <w:r w:rsidRPr="000839A4">
        <w:rPr>
          <w:b/>
        </w:rPr>
        <w:t>f)</w:t>
      </w:r>
      <w:r w:rsidRPr="000839A4">
        <w:rPr>
          <w:b/>
        </w:rPr>
        <w:tab/>
        <w:t>poskytnutí peněžních prostředků nebo penězi ocenitelné věci podílovému fondu výměnou za podílový list a</w:t>
      </w:r>
    </w:p>
    <w:p w14:paraId="745209FB" w14:textId="77777777" w:rsidR="000839A4" w:rsidRPr="000839A4" w:rsidRDefault="000839A4" w:rsidP="000839A4">
      <w:pPr>
        <w:tabs>
          <w:tab w:val="left" w:pos="708"/>
        </w:tabs>
        <w:spacing w:before="0"/>
        <w:ind w:left="425" w:hanging="425"/>
        <w:outlineLvl w:val="7"/>
        <w:rPr>
          <w:b/>
        </w:rPr>
      </w:pPr>
      <w:r w:rsidRPr="000839A4">
        <w:rPr>
          <w:b/>
        </w:rPr>
        <w:t>g)</w:t>
      </w:r>
      <w:r w:rsidRPr="000839A4">
        <w:rPr>
          <w:b/>
        </w:rPr>
        <w:tab/>
        <w:t>jiná plnění obdobná plněním uvedeným v písmenech a) až f).</w:t>
      </w:r>
    </w:p>
    <w:p w14:paraId="0A55D427" w14:textId="77777777" w:rsidR="000839A4" w:rsidRPr="000839A4" w:rsidRDefault="000839A4" w:rsidP="000839A4">
      <w:pPr>
        <w:tabs>
          <w:tab w:val="left" w:pos="851"/>
        </w:tabs>
        <w:spacing w:before="120" w:after="120"/>
        <w:ind w:firstLine="427"/>
        <w:outlineLvl w:val="6"/>
        <w:rPr>
          <w:b/>
        </w:rPr>
      </w:pPr>
      <w:r w:rsidRPr="000839A4">
        <w:rPr>
          <w:b/>
        </w:rPr>
        <w:t xml:space="preserve">(2) Kapitálovým podílem se pro účely daní z příjmů rozumí podíl v obchodní korporaci vzniklý na základě vkladu do obchodní korporace nebo účast v jiném poplatníkovi, která by vznikla, kdyby se na kapitálový vklad hledělo jako na vklad do obchodní korporace. </w:t>
      </w:r>
    </w:p>
    <w:p w14:paraId="19B89A49" w14:textId="77777777" w:rsidR="000839A4" w:rsidRPr="000839A4" w:rsidRDefault="000839A4" w:rsidP="000839A4">
      <w:pPr>
        <w:keepNext/>
        <w:ind w:firstLine="0"/>
        <w:jc w:val="center"/>
        <w:rPr>
          <w:szCs w:val="24"/>
        </w:rPr>
      </w:pPr>
      <w:r w:rsidRPr="000839A4">
        <w:rPr>
          <w:szCs w:val="24"/>
        </w:rPr>
        <w:t>§ 21g</w:t>
      </w:r>
    </w:p>
    <w:p w14:paraId="5A03AC3F" w14:textId="77777777" w:rsidR="000839A4" w:rsidRPr="000839A4" w:rsidRDefault="000839A4" w:rsidP="000839A4">
      <w:pPr>
        <w:keepNext/>
        <w:ind w:firstLine="0"/>
        <w:jc w:val="center"/>
        <w:rPr>
          <w:b/>
          <w:szCs w:val="24"/>
        </w:rPr>
      </w:pPr>
      <w:r w:rsidRPr="000839A4">
        <w:rPr>
          <w:b/>
          <w:szCs w:val="24"/>
        </w:rPr>
        <w:t>Minimální a průměrná mzda</w:t>
      </w:r>
    </w:p>
    <w:p w14:paraId="59F3E2E6" w14:textId="77777777" w:rsidR="000839A4" w:rsidRPr="000839A4" w:rsidRDefault="000839A4" w:rsidP="000839A4">
      <w:pPr>
        <w:tabs>
          <w:tab w:val="left" w:pos="851"/>
        </w:tabs>
        <w:spacing w:before="120" w:after="120"/>
        <w:ind w:firstLine="427"/>
        <w:outlineLvl w:val="6"/>
      </w:pPr>
      <w:r w:rsidRPr="000839A4">
        <w:t>(1) Minimální mzdou se pro účely daní z příjmů rozumí měsíční sazba minimální mzdy podle právních předpisů upravujících výši minimální mzdy</w:t>
      </w:r>
    </w:p>
    <w:p w14:paraId="7C546E9D"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 xml:space="preserve">účinná k prvnímu dni příslušného zdaňovacího období a </w:t>
      </w:r>
    </w:p>
    <w:p w14:paraId="4E246DCD"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 xml:space="preserve">neupravená s ohledem na odpracovanou dobu a další okolnosti. </w:t>
      </w:r>
    </w:p>
    <w:p w14:paraId="6695398C" w14:textId="77777777" w:rsidR="000839A4" w:rsidRPr="000839A4" w:rsidRDefault="000839A4" w:rsidP="000839A4">
      <w:pPr>
        <w:tabs>
          <w:tab w:val="left" w:pos="851"/>
        </w:tabs>
        <w:spacing w:before="120" w:after="120"/>
        <w:ind w:firstLine="427"/>
        <w:outlineLvl w:val="6"/>
      </w:pPr>
      <w:r w:rsidRPr="000839A4">
        <w:t>(2) Průměrnou mzdou se pro účely daní z příjmů rozumí průměrná mzda stanovená podle zákona upravujícího pojistné na sociální zabezpečení.</w:t>
      </w:r>
    </w:p>
    <w:p w14:paraId="05CD952B" w14:textId="77777777" w:rsidR="000839A4" w:rsidRPr="000839A4" w:rsidRDefault="000839A4" w:rsidP="000839A4">
      <w:pPr>
        <w:keepNext/>
        <w:ind w:firstLine="0"/>
        <w:jc w:val="center"/>
        <w:rPr>
          <w:szCs w:val="24"/>
        </w:rPr>
      </w:pPr>
      <w:r w:rsidRPr="000839A4">
        <w:rPr>
          <w:szCs w:val="24"/>
        </w:rPr>
        <w:t>§ 21h</w:t>
      </w:r>
    </w:p>
    <w:p w14:paraId="3AE035EA" w14:textId="77777777" w:rsidR="000839A4" w:rsidRPr="000839A4" w:rsidRDefault="000839A4" w:rsidP="000839A4">
      <w:pPr>
        <w:keepNext/>
        <w:ind w:firstLine="0"/>
        <w:jc w:val="center"/>
        <w:rPr>
          <w:b/>
          <w:szCs w:val="24"/>
        </w:rPr>
      </w:pPr>
      <w:r w:rsidRPr="000839A4">
        <w:rPr>
          <w:b/>
          <w:szCs w:val="24"/>
        </w:rPr>
        <w:t>Vztah k účetním předpisům</w:t>
      </w:r>
    </w:p>
    <w:p w14:paraId="46811AB0" w14:textId="77777777" w:rsidR="000839A4" w:rsidRPr="000839A4" w:rsidRDefault="000839A4" w:rsidP="000839A4">
      <w:pPr>
        <w:tabs>
          <w:tab w:val="left" w:pos="851"/>
        </w:tabs>
        <w:spacing w:before="120" w:after="120"/>
        <w:ind w:firstLine="427"/>
        <w:outlineLvl w:val="6"/>
      </w:pPr>
      <w:r w:rsidRPr="000839A4">
        <w:rPr>
          <w:b/>
        </w:rPr>
        <w:t>(1)</w:t>
      </w:r>
      <w:r w:rsidRPr="000839A4">
        <w:t xml:space="preserve"> U poplatníka</w:t>
      </w:r>
      <w:r w:rsidRPr="000839A4">
        <w:rPr>
          <w:strike/>
        </w:rPr>
        <w:t>, který je účetní jednotkou,</w:t>
      </w:r>
      <w:r w:rsidRPr="000839A4">
        <w:t xml:space="preserve"> </w:t>
      </w:r>
      <w:r w:rsidRPr="000839A4">
        <w:rPr>
          <w:b/>
        </w:rPr>
        <w:t>s akruálním základem daně</w:t>
      </w:r>
      <w:r w:rsidRPr="000839A4">
        <w:t xml:space="preserve"> jsou příjmy jeho výnosy podle právních předpisů upravujících účetnictví </w:t>
      </w:r>
      <w:r w:rsidRPr="000839A4">
        <w:rPr>
          <w:b/>
        </w:rPr>
        <w:t>a položky, o kterých tak stanoví tento zákon,</w:t>
      </w:r>
      <w:r w:rsidRPr="000839A4">
        <w:t xml:space="preserve"> a výdaji jeho náklady podle právních předpisů upravujících účetnictví</w:t>
      </w:r>
      <w:r w:rsidRPr="000839A4">
        <w:rPr>
          <w:strike/>
        </w:rPr>
        <w:t>, s výjimkou poplatníků, kteří účtují v soustavě jednoduchého účetnictví</w:t>
      </w:r>
      <w:r w:rsidRPr="000839A4">
        <w:t xml:space="preserve"> </w:t>
      </w:r>
      <w:r w:rsidRPr="000839A4">
        <w:rPr>
          <w:b/>
        </w:rPr>
        <w:t>a položky, o kterých tak stanoví tento zákon</w:t>
      </w:r>
      <w:r w:rsidRPr="000839A4">
        <w:t>.</w:t>
      </w:r>
    </w:p>
    <w:p w14:paraId="61E9B31E" w14:textId="77777777" w:rsidR="000839A4" w:rsidRPr="000839A4" w:rsidRDefault="000839A4" w:rsidP="000839A4">
      <w:pPr>
        <w:tabs>
          <w:tab w:val="left" w:pos="851"/>
        </w:tabs>
        <w:spacing w:before="120" w:after="120"/>
        <w:ind w:firstLine="427"/>
        <w:outlineLvl w:val="6"/>
        <w:rPr>
          <w:b/>
        </w:rPr>
      </w:pPr>
      <w:r w:rsidRPr="000839A4">
        <w:rPr>
          <w:b/>
        </w:rPr>
        <w:t xml:space="preserve">(2) Poplatníkem s akruálním základem daně je poplatník daně z příjmů právnických osob, který je účetní jednotkou s výjimkou účetní jednotky používající hotovostní účetnictví. </w:t>
      </w:r>
    </w:p>
    <w:p w14:paraId="5D89764A" w14:textId="77777777" w:rsidR="000839A4" w:rsidRPr="000839A4" w:rsidRDefault="000839A4" w:rsidP="000839A4">
      <w:pPr>
        <w:tabs>
          <w:tab w:val="left" w:pos="851"/>
        </w:tabs>
        <w:spacing w:before="120" w:after="120"/>
        <w:ind w:firstLine="427"/>
        <w:outlineLvl w:val="6"/>
        <w:rPr>
          <w:b/>
        </w:rPr>
      </w:pPr>
      <w:r w:rsidRPr="000839A4">
        <w:rPr>
          <w:b/>
        </w:rPr>
        <w:t xml:space="preserve">(3) Poplatníkem s hotovostním základem daně je poplatník daně z příjmů fyzických osob a poplatník daně z příjmů právnických osob, který není poplatníkem s akruálním </w:t>
      </w:r>
      <w:r w:rsidRPr="000839A4">
        <w:rPr>
          <w:b/>
        </w:rPr>
        <w:lastRenderedPageBreak/>
        <w:t>základem daně. Na poplatníka s hotovostním základem daně, který je účetní jednotkou, se pro účely daní z příjmů hledí, jako by nebyl účetní jednotkou.</w:t>
      </w:r>
    </w:p>
    <w:p w14:paraId="7D8BE067" w14:textId="77777777" w:rsidR="000839A4" w:rsidRPr="000839A4" w:rsidRDefault="000839A4" w:rsidP="000839A4">
      <w:pPr>
        <w:tabs>
          <w:tab w:val="left" w:pos="851"/>
        </w:tabs>
        <w:spacing w:before="120" w:after="120"/>
        <w:ind w:firstLine="427"/>
        <w:outlineLvl w:val="6"/>
        <w:rPr>
          <w:b/>
        </w:rPr>
      </w:pPr>
      <w:r w:rsidRPr="000839A4">
        <w:rPr>
          <w:b/>
        </w:rPr>
        <w:t>(4) Mezinárodními účetními standardy se pro účely daní z příjmů rozumí mezinárodní účetní standardy přijaté přímo použitelným předpisem Evropské unie upravujícím přijímání některých mezinárodních účetních standardů</w:t>
      </w:r>
      <w:r w:rsidRPr="000839A4">
        <w:rPr>
          <w:b/>
          <w:vertAlign w:val="superscript"/>
        </w:rPr>
        <w:footnoteReference w:customMarkFollows="1" w:id="155"/>
        <w:t>143)</w:t>
      </w:r>
      <w:r w:rsidRPr="000839A4">
        <w:rPr>
          <w:b/>
        </w:rPr>
        <w:t>.</w:t>
      </w:r>
    </w:p>
    <w:p w14:paraId="7A2CC25B" w14:textId="77777777" w:rsidR="000839A4" w:rsidRPr="000839A4" w:rsidRDefault="000839A4" w:rsidP="000839A4">
      <w:pPr>
        <w:keepNext/>
        <w:ind w:firstLine="0"/>
        <w:jc w:val="center"/>
        <w:rPr>
          <w:szCs w:val="24"/>
        </w:rPr>
      </w:pPr>
      <w:r w:rsidRPr="000839A4">
        <w:rPr>
          <w:szCs w:val="24"/>
        </w:rPr>
        <w:t>§ 21i</w:t>
      </w:r>
    </w:p>
    <w:p w14:paraId="22290F7A" w14:textId="77777777" w:rsidR="000839A4" w:rsidRPr="000839A4" w:rsidRDefault="000839A4" w:rsidP="000839A4">
      <w:pPr>
        <w:keepNext/>
        <w:ind w:firstLine="0"/>
        <w:jc w:val="center"/>
        <w:rPr>
          <w:b/>
          <w:szCs w:val="24"/>
        </w:rPr>
      </w:pPr>
      <w:r w:rsidRPr="000839A4">
        <w:rPr>
          <w:b/>
          <w:szCs w:val="24"/>
        </w:rPr>
        <w:t>Zvláštní ustanovení o vymezení dividendového příjmu</w:t>
      </w:r>
    </w:p>
    <w:p w14:paraId="1C437CE3" w14:textId="77777777" w:rsidR="000839A4" w:rsidRPr="000839A4" w:rsidRDefault="000839A4" w:rsidP="000839A4">
      <w:pPr>
        <w:tabs>
          <w:tab w:val="left" w:pos="851"/>
        </w:tabs>
        <w:spacing w:before="120" w:after="120"/>
        <w:ind w:firstLine="427"/>
        <w:outlineLvl w:val="6"/>
      </w:pPr>
      <w:r w:rsidRPr="000839A4">
        <w:t xml:space="preserve">Pro účely daní z příjmů se ustanovení o podílech na zisku použijí rovněž na příslušenství investičního nástroje patřícího podle přímo použitelného předpisu Evropské unie upravujícího obezřetnostní požadavky na úvěrové instituce a investiční podniky do vedlejšího kapitálu </w:t>
      </w:r>
      <w:proofErr w:type="spellStart"/>
      <w:r w:rsidRPr="000839A4">
        <w:t>Tier</w:t>
      </w:r>
      <w:proofErr w:type="spellEnd"/>
      <w:r w:rsidRPr="000839A4">
        <w:t xml:space="preserve"> 1.</w:t>
      </w:r>
    </w:p>
    <w:p w14:paraId="641AC177" w14:textId="77777777" w:rsidR="000839A4" w:rsidRPr="000839A4" w:rsidRDefault="000839A4" w:rsidP="000839A4">
      <w:pPr>
        <w:keepNext/>
        <w:ind w:firstLine="0"/>
        <w:jc w:val="center"/>
        <w:rPr>
          <w:szCs w:val="24"/>
        </w:rPr>
      </w:pPr>
      <w:r w:rsidRPr="000839A4">
        <w:rPr>
          <w:szCs w:val="24"/>
        </w:rPr>
        <w:t>§ 22</w:t>
      </w:r>
    </w:p>
    <w:p w14:paraId="717CEA7D" w14:textId="77777777" w:rsidR="000839A4" w:rsidRPr="000839A4" w:rsidRDefault="000839A4" w:rsidP="000839A4">
      <w:pPr>
        <w:keepNext/>
        <w:ind w:firstLine="0"/>
        <w:jc w:val="center"/>
        <w:rPr>
          <w:b/>
          <w:szCs w:val="24"/>
        </w:rPr>
      </w:pPr>
      <w:r w:rsidRPr="000839A4">
        <w:rPr>
          <w:b/>
          <w:szCs w:val="24"/>
        </w:rPr>
        <w:t>Zdroj příjmů</w:t>
      </w:r>
    </w:p>
    <w:p w14:paraId="603CABB4" w14:textId="77777777" w:rsidR="000839A4" w:rsidRPr="000839A4" w:rsidRDefault="000839A4" w:rsidP="000839A4">
      <w:pPr>
        <w:tabs>
          <w:tab w:val="left" w:pos="851"/>
        </w:tabs>
        <w:spacing w:before="120" w:after="120"/>
        <w:ind w:firstLine="427"/>
        <w:outlineLvl w:val="6"/>
      </w:pPr>
      <w:r w:rsidRPr="000839A4">
        <w:t>(1) Za příjmy ze zdrojů na území České republiky se u poplatníků uvedených v § 2 odst. 3 a § 17 odst. 4 považují</w:t>
      </w:r>
    </w:p>
    <w:p w14:paraId="1294009E"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příjmy z činností vykonávaných prostřednictvím stálé provozovny,</w:t>
      </w:r>
    </w:p>
    <w:p w14:paraId="52E87A46"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příjmy ze závislé činnosti (zaměstnání) s výjimkou příjmů uvedených v písmenu f) bodu 2, která je vykonávána na území České republiky nebo na palubách lodí či letadel, které jsou provozovány poplatníky uvedenými v § 2 odst. 2 a § 17 odst. 3,</w:t>
      </w:r>
    </w:p>
    <w:p w14:paraId="3BA7B735" w14:textId="77777777" w:rsidR="000839A4" w:rsidRPr="000839A4" w:rsidRDefault="000839A4" w:rsidP="000839A4">
      <w:pPr>
        <w:tabs>
          <w:tab w:val="left" w:pos="357"/>
        </w:tabs>
        <w:spacing w:before="0"/>
        <w:ind w:left="357" w:hanging="357"/>
        <w:rPr>
          <w:szCs w:val="24"/>
        </w:rPr>
      </w:pPr>
      <w:r w:rsidRPr="000839A4">
        <w:rPr>
          <w:szCs w:val="24"/>
        </w:rPr>
        <w:t>c)</w:t>
      </w:r>
      <w:r w:rsidRPr="000839A4">
        <w:rPr>
          <w:szCs w:val="24"/>
        </w:rPr>
        <w:tab/>
        <w:t>příjmy ze služeb s výjimkou provádění stavebně montážních projektů, příjmy z obchodního, technického nebo jiného poradenství, řídicí a zprostředkovatelské činnosti a obdobných činností poskytovaných na území České republiky,</w:t>
      </w:r>
    </w:p>
    <w:p w14:paraId="2C2C35AF" w14:textId="77777777" w:rsidR="000839A4" w:rsidRPr="000839A4" w:rsidRDefault="000839A4" w:rsidP="000839A4">
      <w:pPr>
        <w:tabs>
          <w:tab w:val="left" w:pos="357"/>
        </w:tabs>
        <w:spacing w:before="0"/>
        <w:ind w:left="357" w:hanging="357"/>
        <w:rPr>
          <w:szCs w:val="24"/>
        </w:rPr>
      </w:pPr>
      <w:r w:rsidRPr="000839A4">
        <w:rPr>
          <w:szCs w:val="24"/>
        </w:rPr>
        <w:t>d)</w:t>
      </w:r>
      <w:r w:rsidRPr="000839A4">
        <w:rPr>
          <w:szCs w:val="24"/>
        </w:rPr>
        <w:tab/>
        <w:t>příjmy z převodu nemovitých věcí umístěných na území České republiky a z práv s nimi spojených,</w:t>
      </w:r>
    </w:p>
    <w:p w14:paraId="371454B7" w14:textId="77777777" w:rsidR="000839A4" w:rsidRPr="000839A4" w:rsidRDefault="000839A4" w:rsidP="000839A4">
      <w:pPr>
        <w:tabs>
          <w:tab w:val="left" w:pos="357"/>
        </w:tabs>
        <w:spacing w:before="0"/>
        <w:ind w:left="357" w:hanging="357"/>
        <w:rPr>
          <w:szCs w:val="24"/>
        </w:rPr>
      </w:pPr>
      <w:r w:rsidRPr="000839A4">
        <w:rPr>
          <w:szCs w:val="24"/>
        </w:rPr>
        <w:t>e)</w:t>
      </w:r>
      <w:r w:rsidRPr="000839A4">
        <w:rPr>
          <w:szCs w:val="24"/>
        </w:rPr>
        <w:tab/>
        <w:t>příjmy z užívání nemovitých věcí nebo bytů umístěných na území České republiky,</w:t>
      </w:r>
    </w:p>
    <w:p w14:paraId="2202B7AA" w14:textId="77777777" w:rsidR="000839A4" w:rsidRPr="000839A4" w:rsidRDefault="000839A4" w:rsidP="000839A4">
      <w:pPr>
        <w:tabs>
          <w:tab w:val="left" w:pos="357"/>
        </w:tabs>
        <w:spacing w:before="0"/>
        <w:ind w:left="357" w:hanging="357"/>
        <w:rPr>
          <w:szCs w:val="24"/>
        </w:rPr>
      </w:pPr>
      <w:r w:rsidRPr="000839A4">
        <w:rPr>
          <w:szCs w:val="24"/>
        </w:rPr>
        <w:t>f)</w:t>
      </w:r>
      <w:r w:rsidRPr="000839A4">
        <w:rPr>
          <w:szCs w:val="24"/>
        </w:rPr>
        <w:tab/>
        <w:t>příjmy</w:t>
      </w:r>
    </w:p>
    <w:p w14:paraId="5D4CBDA9" w14:textId="77777777" w:rsidR="000839A4" w:rsidRPr="000839A4" w:rsidRDefault="000839A4" w:rsidP="000839A4">
      <w:pPr>
        <w:tabs>
          <w:tab w:val="left" w:pos="357"/>
        </w:tabs>
        <w:spacing w:before="0"/>
        <w:ind w:left="714" w:hanging="357"/>
        <w:rPr>
          <w:szCs w:val="24"/>
        </w:rPr>
      </w:pPr>
      <w:r w:rsidRPr="000839A4">
        <w:rPr>
          <w:szCs w:val="24"/>
        </w:rPr>
        <w:t>1.</w:t>
      </w:r>
      <w:r w:rsidRPr="000839A4">
        <w:rPr>
          <w:szCs w:val="24"/>
        </w:rPr>
        <w:tab/>
        <w:t>z nezávislé činnosti, např. architekta, lékaře, inženýra, právníka, vědce, učitele, umělce, daňového či účetního poradce a podobných profesí, vykonávané na území České republiky,</w:t>
      </w:r>
    </w:p>
    <w:p w14:paraId="6414F27B" w14:textId="77777777" w:rsidR="000839A4" w:rsidRPr="000839A4" w:rsidRDefault="000839A4" w:rsidP="000839A4">
      <w:pPr>
        <w:tabs>
          <w:tab w:val="left" w:pos="357"/>
        </w:tabs>
        <w:spacing w:before="0"/>
        <w:ind w:left="714" w:hanging="357"/>
        <w:rPr>
          <w:szCs w:val="24"/>
        </w:rPr>
      </w:pPr>
      <w:r w:rsidRPr="000839A4">
        <w:rPr>
          <w:szCs w:val="24"/>
        </w:rPr>
        <w:t>2.</w:t>
      </w:r>
      <w:r w:rsidRPr="000839A4">
        <w:rPr>
          <w:szCs w:val="24"/>
        </w:rPr>
        <w:tab/>
        <w:t>z osobně vykonávané činnosti na území České republiky nebo zde zhodnocované veřejně vystupujícího umělce, sportovce, artisty a spoluúčinkujících osob, bez ohledu na to, komu tyto příjmy plynou a z jakého právního vztahu,</w:t>
      </w:r>
    </w:p>
    <w:p w14:paraId="12A73CB7" w14:textId="77777777" w:rsidR="000839A4" w:rsidRPr="000839A4" w:rsidRDefault="000839A4" w:rsidP="000839A4">
      <w:pPr>
        <w:tabs>
          <w:tab w:val="left" w:pos="357"/>
        </w:tabs>
        <w:spacing w:before="0"/>
        <w:ind w:left="357" w:hanging="357"/>
        <w:rPr>
          <w:szCs w:val="24"/>
        </w:rPr>
      </w:pPr>
      <w:r w:rsidRPr="000839A4">
        <w:rPr>
          <w:szCs w:val="24"/>
        </w:rPr>
        <w:t>g)</w:t>
      </w:r>
      <w:r w:rsidRPr="000839A4">
        <w:rPr>
          <w:szCs w:val="24"/>
        </w:rPr>
        <w:tab/>
        <w:t>příjmy z úhrad od poplatníků uvedených v § 2 odst. 2 a § 17 odst. 3 a od stálých provozoven poplatníků uvedených v § 2 odst. 3 a § 17 odst. 4, kterými jsou</w:t>
      </w:r>
    </w:p>
    <w:p w14:paraId="34D0FEC4" w14:textId="77777777" w:rsidR="000839A4" w:rsidRPr="000839A4" w:rsidRDefault="000839A4" w:rsidP="000839A4">
      <w:pPr>
        <w:tabs>
          <w:tab w:val="left" w:pos="357"/>
        </w:tabs>
        <w:spacing w:before="0"/>
        <w:ind w:left="714" w:hanging="357"/>
        <w:rPr>
          <w:szCs w:val="24"/>
        </w:rPr>
      </w:pPr>
      <w:r w:rsidRPr="000839A4">
        <w:rPr>
          <w:szCs w:val="24"/>
        </w:rPr>
        <w:t>1.</w:t>
      </w:r>
      <w:r w:rsidRPr="000839A4">
        <w:rPr>
          <w:szCs w:val="24"/>
        </w:rPr>
        <w:tab/>
        <w:t>náhrady za poskytnutí práva na užití nebo za užití předmětu průmyslového vlastnictví, počítačových programů (software), výrobně technických a jiných hospodářsky využitelných poznatků (know-how),</w:t>
      </w:r>
    </w:p>
    <w:p w14:paraId="50CA6737" w14:textId="77777777" w:rsidR="000839A4" w:rsidRPr="000839A4" w:rsidRDefault="000839A4" w:rsidP="000839A4">
      <w:pPr>
        <w:tabs>
          <w:tab w:val="left" w:pos="357"/>
        </w:tabs>
        <w:spacing w:before="0"/>
        <w:ind w:left="714" w:hanging="357"/>
        <w:rPr>
          <w:szCs w:val="24"/>
        </w:rPr>
      </w:pPr>
      <w:r w:rsidRPr="000839A4">
        <w:rPr>
          <w:szCs w:val="24"/>
        </w:rPr>
        <w:t>2.</w:t>
      </w:r>
      <w:r w:rsidRPr="000839A4">
        <w:rPr>
          <w:szCs w:val="24"/>
        </w:rPr>
        <w:tab/>
        <w:t>náhrady za poskytnutí práva na užití nebo za užití práva autorského nebo práva příbuzného právu autorskému,</w:t>
      </w:r>
    </w:p>
    <w:p w14:paraId="7FE683CA" w14:textId="77777777" w:rsidR="000839A4" w:rsidRPr="000839A4" w:rsidRDefault="000839A4" w:rsidP="000839A4">
      <w:pPr>
        <w:tabs>
          <w:tab w:val="left" w:pos="357"/>
        </w:tabs>
        <w:spacing w:before="0"/>
        <w:ind w:left="714" w:hanging="357"/>
        <w:rPr>
          <w:szCs w:val="24"/>
        </w:rPr>
      </w:pPr>
      <w:r w:rsidRPr="000839A4">
        <w:rPr>
          <w:szCs w:val="24"/>
        </w:rPr>
        <w:lastRenderedPageBreak/>
        <w:t>3.</w:t>
      </w:r>
      <w:r w:rsidRPr="000839A4">
        <w:rPr>
          <w:szCs w:val="24"/>
        </w:rPr>
        <w:tab/>
        <w:t xml:space="preserve">podíly na zisku, vypořádací podíly, podíly na likvidačním zůstatku obchodních korporací a jiné příjmy z držby kapitálového majetku a část zisku po zdanění vyplácená tichému společníkovi nebo jinému poplatníkovi, než je člen obchodní korporace. Za podíly na zisku se pro účely tohoto ustanovení považuje i zjištěný rozdíl mezi sjednanou cenou a cenou obvyklou na trhu (§ 23 odst. 7) a dále úroky, které se neuznávají jako výdaj (náklad) podle § 25 odst. 1 písm. w) a </w:t>
      </w:r>
      <w:proofErr w:type="spellStart"/>
      <w:r w:rsidRPr="000839A4">
        <w:rPr>
          <w:szCs w:val="24"/>
        </w:rPr>
        <w:t>zl</w:t>
      </w:r>
      <w:proofErr w:type="spellEnd"/>
      <w:r w:rsidRPr="000839A4">
        <w:rPr>
          <w:szCs w:val="24"/>
        </w:rPr>
        <w:t xml:space="preserve">), s výjimkou zjištěného rozdílu u sjednaných cen a úroků hrazených daňovému rezidentovi jiného členského státu Evropské unie nebo jiného státu tvořícího Evropský hospodářský prostor než České republiky nebo Švýcarské konfederace; podílem na zisku je i plnění ze zisku </w:t>
      </w:r>
      <w:proofErr w:type="spellStart"/>
      <w:r w:rsidRPr="000839A4">
        <w:rPr>
          <w:szCs w:val="24"/>
        </w:rPr>
        <w:t>svěřenského</w:t>
      </w:r>
      <w:proofErr w:type="spellEnd"/>
      <w:r w:rsidRPr="000839A4">
        <w:rPr>
          <w:szCs w:val="24"/>
        </w:rPr>
        <w:t xml:space="preserve"> fondu a ze zisku rodinné fundace,</w:t>
      </w:r>
    </w:p>
    <w:p w14:paraId="495AE248" w14:textId="77777777" w:rsidR="000839A4" w:rsidRPr="000839A4" w:rsidRDefault="000839A4" w:rsidP="000839A4">
      <w:pPr>
        <w:tabs>
          <w:tab w:val="left" w:pos="357"/>
        </w:tabs>
        <w:spacing w:before="0"/>
        <w:ind w:left="714" w:hanging="357"/>
        <w:rPr>
          <w:szCs w:val="24"/>
        </w:rPr>
      </w:pPr>
      <w:r w:rsidRPr="000839A4">
        <w:rPr>
          <w:szCs w:val="24"/>
        </w:rPr>
        <w:t>4.</w:t>
      </w:r>
      <w:r w:rsidRPr="000839A4">
        <w:rPr>
          <w:szCs w:val="24"/>
        </w:rPr>
        <w:tab/>
        <w:t>úroky a jiné výnosy z poskytnutých úvěrových finančních nástrojů a obdobné příjmy plynoucí z jiných obchodních vztahů, z vkladů a z investičních nástrojů podle zvláštního právního předpisu, upravujícího podnikání na kapitálovém trhu,</w:t>
      </w:r>
    </w:p>
    <w:p w14:paraId="3EA7AE69" w14:textId="77777777" w:rsidR="000839A4" w:rsidRPr="000839A4" w:rsidRDefault="000839A4" w:rsidP="000839A4">
      <w:pPr>
        <w:tabs>
          <w:tab w:val="left" w:pos="357"/>
        </w:tabs>
        <w:spacing w:before="0"/>
        <w:ind w:left="714" w:hanging="357"/>
        <w:rPr>
          <w:szCs w:val="24"/>
        </w:rPr>
      </w:pPr>
      <w:r w:rsidRPr="000839A4">
        <w:rPr>
          <w:szCs w:val="24"/>
        </w:rPr>
        <w:t>5.</w:t>
      </w:r>
      <w:r w:rsidRPr="000839A4">
        <w:rPr>
          <w:szCs w:val="24"/>
        </w:rPr>
        <w:tab/>
        <w:t>příjmy z užívání movité věci nebo její části umístěné na území České republiky,</w:t>
      </w:r>
    </w:p>
    <w:p w14:paraId="41DACC35" w14:textId="77777777" w:rsidR="000839A4" w:rsidRPr="000839A4" w:rsidRDefault="000839A4" w:rsidP="000839A4">
      <w:pPr>
        <w:tabs>
          <w:tab w:val="left" w:pos="357"/>
        </w:tabs>
        <w:spacing w:before="0"/>
        <w:ind w:left="714" w:hanging="357"/>
        <w:rPr>
          <w:szCs w:val="24"/>
        </w:rPr>
      </w:pPr>
      <w:r w:rsidRPr="000839A4">
        <w:rPr>
          <w:szCs w:val="24"/>
        </w:rPr>
        <w:t>6.</w:t>
      </w:r>
      <w:r w:rsidRPr="000839A4">
        <w:rPr>
          <w:szCs w:val="24"/>
        </w:rPr>
        <w:tab/>
        <w:t>odměny členů orgánů právnických osob bez ohledu na to, z jakého právního vztahu plynou,</w:t>
      </w:r>
    </w:p>
    <w:p w14:paraId="01D8F3D6" w14:textId="77777777" w:rsidR="000839A4" w:rsidRPr="000839A4" w:rsidRDefault="000839A4" w:rsidP="000839A4">
      <w:pPr>
        <w:tabs>
          <w:tab w:val="left" w:pos="357"/>
        </w:tabs>
        <w:spacing w:before="0"/>
        <w:ind w:left="714" w:hanging="357"/>
        <w:rPr>
          <w:szCs w:val="24"/>
        </w:rPr>
      </w:pPr>
      <w:r w:rsidRPr="000839A4">
        <w:rPr>
          <w:szCs w:val="24"/>
        </w:rPr>
        <w:t>7.</w:t>
      </w:r>
      <w:r w:rsidRPr="000839A4">
        <w:rPr>
          <w:szCs w:val="24"/>
        </w:rPr>
        <w:tab/>
        <w:t>příjmy z prodeje investičních nástrojů podle zákona upravujícího podnikání na kapitálovém trhu a majetkových práv registrovaných na území České republiky neuvedené pod písmeny h) a j),</w:t>
      </w:r>
    </w:p>
    <w:p w14:paraId="7B0EFF67" w14:textId="77777777" w:rsidR="000839A4" w:rsidRPr="000839A4" w:rsidRDefault="000839A4" w:rsidP="000839A4">
      <w:pPr>
        <w:tabs>
          <w:tab w:val="left" w:pos="357"/>
        </w:tabs>
        <w:spacing w:before="0"/>
        <w:ind w:left="714" w:hanging="357"/>
        <w:rPr>
          <w:szCs w:val="24"/>
        </w:rPr>
      </w:pPr>
      <w:r w:rsidRPr="000839A4">
        <w:rPr>
          <w:szCs w:val="24"/>
        </w:rPr>
        <w:t>8.</w:t>
      </w:r>
      <w:r w:rsidRPr="000839A4">
        <w:rPr>
          <w:szCs w:val="24"/>
        </w:rPr>
        <w:tab/>
        <w:t>výhry z hazardních her, výhry z reklamních soutěží a slosování, z veřejných soutěží a ze sportovních soutěží,</w:t>
      </w:r>
    </w:p>
    <w:p w14:paraId="09690823" w14:textId="77777777" w:rsidR="000839A4" w:rsidRPr="000839A4" w:rsidRDefault="000839A4" w:rsidP="000839A4">
      <w:pPr>
        <w:tabs>
          <w:tab w:val="left" w:pos="357"/>
        </w:tabs>
        <w:spacing w:before="0"/>
        <w:ind w:left="714" w:hanging="357"/>
        <w:rPr>
          <w:szCs w:val="24"/>
        </w:rPr>
      </w:pPr>
      <w:r w:rsidRPr="000839A4">
        <w:rPr>
          <w:szCs w:val="24"/>
        </w:rPr>
        <w:t>9.</w:t>
      </w:r>
      <w:r w:rsidRPr="000839A4">
        <w:rPr>
          <w:szCs w:val="24"/>
        </w:rPr>
        <w:tab/>
        <w:t>výživné a důchody,</w:t>
      </w:r>
    </w:p>
    <w:p w14:paraId="1D69D88B" w14:textId="77777777" w:rsidR="000839A4" w:rsidRPr="000839A4" w:rsidRDefault="000839A4" w:rsidP="000839A4">
      <w:pPr>
        <w:tabs>
          <w:tab w:val="left" w:pos="357"/>
        </w:tabs>
        <w:spacing w:before="0"/>
        <w:ind w:left="714" w:hanging="357"/>
        <w:rPr>
          <w:szCs w:val="24"/>
        </w:rPr>
      </w:pPr>
      <w:r w:rsidRPr="000839A4">
        <w:rPr>
          <w:szCs w:val="24"/>
        </w:rPr>
        <w:t>10.</w:t>
      </w:r>
      <w:r w:rsidRPr="000839A4">
        <w:rPr>
          <w:szCs w:val="24"/>
        </w:rPr>
        <w:tab/>
        <w:t>příjmy plynoucí společníkovi obchodní společnosti v souvislosti se snížením základního kapitálu,</w:t>
      </w:r>
    </w:p>
    <w:p w14:paraId="00A51E52" w14:textId="77777777" w:rsidR="000839A4" w:rsidRPr="000839A4" w:rsidRDefault="000839A4" w:rsidP="000839A4">
      <w:pPr>
        <w:tabs>
          <w:tab w:val="left" w:pos="357"/>
        </w:tabs>
        <w:spacing w:before="0"/>
        <w:ind w:left="714" w:hanging="357"/>
        <w:rPr>
          <w:szCs w:val="24"/>
        </w:rPr>
      </w:pPr>
      <w:r w:rsidRPr="000839A4">
        <w:rPr>
          <w:szCs w:val="24"/>
        </w:rPr>
        <w:t>11.</w:t>
      </w:r>
      <w:r w:rsidRPr="000839A4">
        <w:rPr>
          <w:szCs w:val="24"/>
        </w:rPr>
        <w:tab/>
        <w:t>příjmy z úhrad pohledávky nabyté postoupením,</w:t>
      </w:r>
    </w:p>
    <w:p w14:paraId="5988F0C0" w14:textId="77777777" w:rsidR="000839A4" w:rsidRPr="000839A4" w:rsidRDefault="000839A4" w:rsidP="000839A4">
      <w:pPr>
        <w:tabs>
          <w:tab w:val="left" w:pos="357"/>
        </w:tabs>
        <w:spacing w:before="0"/>
        <w:ind w:left="714" w:hanging="357"/>
        <w:rPr>
          <w:szCs w:val="24"/>
        </w:rPr>
      </w:pPr>
      <w:r w:rsidRPr="000839A4">
        <w:rPr>
          <w:szCs w:val="24"/>
        </w:rPr>
        <w:t>12.</w:t>
      </w:r>
      <w:r w:rsidRPr="000839A4">
        <w:rPr>
          <w:szCs w:val="24"/>
        </w:rPr>
        <w:tab/>
        <w:t>sankce ze závazkových vztahů,</w:t>
      </w:r>
    </w:p>
    <w:p w14:paraId="7588E218" w14:textId="77777777" w:rsidR="000839A4" w:rsidRPr="000839A4" w:rsidRDefault="000839A4" w:rsidP="000839A4">
      <w:pPr>
        <w:tabs>
          <w:tab w:val="left" w:pos="357"/>
        </w:tabs>
        <w:spacing w:before="0"/>
        <w:ind w:left="714" w:hanging="357"/>
        <w:rPr>
          <w:szCs w:val="24"/>
        </w:rPr>
      </w:pPr>
      <w:r w:rsidRPr="000839A4">
        <w:rPr>
          <w:szCs w:val="24"/>
        </w:rPr>
        <w:t>13.</w:t>
      </w:r>
      <w:r w:rsidRPr="000839A4">
        <w:rPr>
          <w:szCs w:val="24"/>
        </w:rPr>
        <w:tab/>
        <w:t xml:space="preserve">příjmy ze </w:t>
      </w:r>
      <w:proofErr w:type="spellStart"/>
      <w:r w:rsidRPr="000839A4">
        <w:rPr>
          <w:szCs w:val="24"/>
        </w:rPr>
        <w:t>svěřenského</w:t>
      </w:r>
      <w:proofErr w:type="spellEnd"/>
      <w:r w:rsidRPr="000839A4">
        <w:rPr>
          <w:szCs w:val="24"/>
        </w:rPr>
        <w:t xml:space="preserve"> fondu a z rodinné fundace,</w:t>
      </w:r>
    </w:p>
    <w:p w14:paraId="1F56B10D" w14:textId="77777777" w:rsidR="000839A4" w:rsidRPr="000839A4" w:rsidRDefault="000839A4" w:rsidP="000839A4">
      <w:pPr>
        <w:tabs>
          <w:tab w:val="left" w:pos="357"/>
        </w:tabs>
        <w:spacing w:before="0"/>
        <w:ind w:left="714" w:hanging="357"/>
        <w:rPr>
          <w:szCs w:val="24"/>
        </w:rPr>
      </w:pPr>
      <w:r w:rsidRPr="000839A4">
        <w:rPr>
          <w:szCs w:val="24"/>
        </w:rPr>
        <w:t>14.</w:t>
      </w:r>
      <w:r w:rsidRPr="000839A4">
        <w:rPr>
          <w:szCs w:val="24"/>
        </w:rPr>
        <w:tab/>
        <w:t>bezúplatné příjmy neuvedené pod písmeny d), h) a i),</w:t>
      </w:r>
    </w:p>
    <w:p w14:paraId="5BD2FCCA" w14:textId="77777777" w:rsidR="000839A4" w:rsidRPr="000839A4" w:rsidRDefault="000839A4" w:rsidP="000839A4">
      <w:pPr>
        <w:tabs>
          <w:tab w:val="left" w:pos="357"/>
        </w:tabs>
        <w:spacing w:before="0"/>
        <w:ind w:left="357" w:hanging="357"/>
        <w:rPr>
          <w:szCs w:val="24"/>
        </w:rPr>
      </w:pPr>
      <w:r w:rsidRPr="000839A4">
        <w:rPr>
          <w:szCs w:val="24"/>
        </w:rPr>
        <w:t>h)</w:t>
      </w:r>
      <w:r w:rsidRPr="000839A4">
        <w:rPr>
          <w:szCs w:val="24"/>
        </w:rPr>
        <w:tab/>
        <w:t>příjmy z převodu podílů v obchodních korporacích, které mají sídlo na území České republiky,</w:t>
      </w:r>
    </w:p>
    <w:p w14:paraId="4838ACA5" w14:textId="77777777" w:rsidR="000839A4" w:rsidRPr="000839A4" w:rsidRDefault="000839A4" w:rsidP="000839A4">
      <w:pPr>
        <w:tabs>
          <w:tab w:val="left" w:pos="357"/>
        </w:tabs>
        <w:spacing w:before="0"/>
        <w:ind w:left="357" w:hanging="357"/>
        <w:rPr>
          <w:szCs w:val="24"/>
        </w:rPr>
      </w:pPr>
      <w:r w:rsidRPr="000839A4">
        <w:rPr>
          <w:szCs w:val="24"/>
        </w:rPr>
        <w:t>i)</w:t>
      </w:r>
      <w:r w:rsidRPr="000839A4">
        <w:rPr>
          <w:szCs w:val="24"/>
        </w:rPr>
        <w:tab/>
        <w:t>příjmy z převodu obchodního závodu umístěného na území České republiky,</w:t>
      </w:r>
    </w:p>
    <w:p w14:paraId="414418EC" w14:textId="77777777" w:rsidR="000839A4" w:rsidRPr="000839A4" w:rsidRDefault="000839A4" w:rsidP="000839A4">
      <w:pPr>
        <w:tabs>
          <w:tab w:val="left" w:pos="357"/>
        </w:tabs>
        <w:spacing w:before="0"/>
        <w:ind w:left="357" w:hanging="357"/>
        <w:rPr>
          <w:szCs w:val="24"/>
        </w:rPr>
      </w:pPr>
      <w:r w:rsidRPr="000839A4">
        <w:rPr>
          <w:szCs w:val="24"/>
        </w:rPr>
        <w:t>j)</w:t>
      </w:r>
      <w:r w:rsidRPr="000839A4">
        <w:rPr>
          <w:szCs w:val="24"/>
        </w:rPr>
        <w:tab/>
        <w:t xml:space="preserve">příjmy z prodeje movitých věcí, které jsou </w:t>
      </w:r>
      <w:r w:rsidRPr="000839A4">
        <w:rPr>
          <w:strike/>
          <w:szCs w:val="24"/>
        </w:rPr>
        <w:t>v obchodním majetku stálé provozovny</w:t>
      </w:r>
      <w:r w:rsidRPr="000839A4">
        <w:t xml:space="preserve"> </w:t>
      </w:r>
      <w:r w:rsidRPr="000839A4">
        <w:rPr>
          <w:b/>
          <w:szCs w:val="24"/>
        </w:rPr>
        <w:t>přiřazeny stálé provozovně</w:t>
      </w:r>
      <w:r w:rsidRPr="000839A4">
        <w:rPr>
          <w:szCs w:val="24"/>
        </w:rPr>
        <w:t>, a příjmy z přemístění majetku bez změny vlastnictví z České republiky do zahraničí.</w:t>
      </w:r>
    </w:p>
    <w:p w14:paraId="6C7CED8C" w14:textId="77777777" w:rsidR="000839A4" w:rsidRPr="000839A4" w:rsidRDefault="000839A4" w:rsidP="000839A4">
      <w:pPr>
        <w:tabs>
          <w:tab w:val="left" w:pos="851"/>
        </w:tabs>
        <w:spacing w:before="120" w:after="120"/>
        <w:ind w:firstLine="427"/>
        <w:outlineLvl w:val="6"/>
      </w:pPr>
      <w:r w:rsidRPr="000839A4">
        <w:t>(2) Stálou provozovnou se rozumí místo k výkonu činností poplatníků uvedených v § 2 odst. 3 a § 17 odst. 4 na území České republiky, např. dílna, kancelář, místo k těžbě přírodních zdrojů, místo prodeje (odbytiště), staveniště. Staveniště, místo provádění stavebně montážních projektů a dále poskytování činností a služeb uvedených v odstavci 1 písm. c) a f) bod 1 poplatníkem nebo zaměstnanci či osobami pro něho pracujícími se považují za stálou provozovnu, přesáhne-li jejich doba trvání šest měsíců v jakémkoliv období 12 kalendářních měsíců po sobě jdoucích. Jestliže osoba jedná na území České republiky v zastoupení poplatníka uvedeného v § 2 odst. 3 a § 17 odst. 4 a má a obvykle zde vykonává oprávnění uzavírat smlouvy, které jsou závazné pro tohoto poplatníka, má se za to, že tento poplatník má stálou provozovnu na území České republiky, a to ve vztahu ke všem činnostem, které osoba pro poplatníka na území České republiky provádí.</w:t>
      </w:r>
    </w:p>
    <w:p w14:paraId="0FB20F92" w14:textId="77777777" w:rsidR="000839A4" w:rsidRPr="000839A4" w:rsidRDefault="000839A4" w:rsidP="000839A4">
      <w:pPr>
        <w:tabs>
          <w:tab w:val="left" w:pos="851"/>
        </w:tabs>
        <w:spacing w:before="120" w:after="120"/>
        <w:ind w:firstLine="427"/>
        <w:outlineLvl w:val="6"/>
      </w:pPr>
      <w:r w:rsidRPr="000839A4">
        <w:t xml:space="preserve">(3) Příjem společníka veřejné obchodní společnosti, komplementáře komanditní společnosti nebo společníka společnosti, který je daňovým nerezidentem, plynoucí z účasti v této obchodní korporaci nebo společnosti a z úvěrového finančního nástroje poskytnutého této </w:t>
      </w:r>
      <w:r w:rsidRPr="000839A4">
        <w:lastRenderedPageBreak/>
        <w:t>obchodní korporaci nebo společnosti se považuje za příjem dosahovaný prostřednictvím stálé provozovny. Pro zajištění daně z příjmů společníka veřejné obchodní společnosti nebo komplementáře komanditní společnosti platí ustanovení § 38e odst. 3.</w:t>
      </w:r>
    </w:p>
    <w:p w14:paraId="3D0C0352" w14:textId="77777777" w:rsidR="000839A4" w:rsidRPr="000839A4" w:rsidRDefault="000839A4" w:rsidP="000839A4">
      <w:pPr>
        <w:tabs>
          <w:tab w:val="left" w:pos="851"/>
        </w:tabs>
        <w:spacing w:before="120" w:after="120"/>
        <w:ind w:firstLine="427"/>
        <w:outlineLvl w:val="6"/>
      </w:pPr>
      <w:r w:rsidRPr="000839A4">
        <w:t>(4) Příjmem podle odstavce 1 se rozumí i nepeněžní plnění přijaté poplatníkem.</w:t>
      </w:r>
    </w:p>
    <w:p w14:paraId="10E82BDF" w14:textId="77777777" w:rsidR="000839A4" w:rsidRPr="000839A4" w:rsidRDefault="000839A4" w:rsidP="000839A4">
      <w:pPr>
        <w:keepNext/>
        <w:spacing w:before="120"/>
        <w:ind w:firstLine="0"/>
        <w:jc w:val="center"/>
        <w:outlineLvl w:val="7"/>
        <w:rPr>
          <w:b/>
        </w:rPr>
      </w:pPr>
      <w:r w:rsidRPr="000839A4">
        <w:rPr>
          <w:b/>
        </w:rPr>
        <w:t>Hlava II</w:t>
      </w:r>
    </w:p>
    <w:p w14:paraId="35E7BDA3" w14:textId="77777777" w:rsidR="000839A4" w:rsidRPr="000839A4" w:rsidRDefault="000839A4" w:rsidP="000839A4">
      <w:pPr>
        <w:keepNext/>
        <w:spacing w:before="120"/>
        <w:ind w:firstLine="0"/>
        <w:jc w:val="center"/>
        <w:outlineLvl w:val="7"/>
      </w:pPr>
      <w:r w:rsidRPr="000839A4">
        <w:rPr>
          <w:b/>
          <w:bCs/>
        </w:rPr>
        <w:t>Určování základu daně</w:t>
      </w:r>
    </w:p>
    <w:p w14:paraId="1662F5D4" w14:textId="77777777" w:rsidR="000839A4" w:rsidRPr="000839A4" w:rsidRDefault="000839A4" w:rsidP="000839A4">
      <w:pPr>
        <w:keepNext/>
        <w:ind w:firstLine="0"/>
        <w:jc w:val="center"/>
        <w:rPr>
          <w:szCs w:val="24"/>
        </w:rPr>
      </w:pPr>
      <w:r w:rsidRPr="000839A4">
        <w:rPr>
          <w:szCs w:val="24"/>
        </w:rPr>
        <w:t>§ 23</w:t>
      </w:r>
    </w:p>
    <w:p w14:paraId="6D7D70CC" w14:textId="77777777" w:rsidR="000839A4" w:rsidRPr="000839A4" w:rsidRDefault="000839A4" w:rsidP="000839A4">
      <w:pPr>
        <w:keepNext/>
        <w:ind w:firstLine="0"/>
        <w:jc w:val="center"/>
        <w:rPr>
          <w:b/>
          <w:szCs w:val="24"/>
        </w:rPr>
      </w:pPr>
      <w:r w:rsidRPr="000839A4">
        <w:rPr>
          <w:b/>
          <w:szCs w:val="24"/>
        </w:rPr>
        <w:t xml:space="preserve">Základ daně </w:t>
      </w:r>
    </w:p>
    <w:p w14:paraId="005D3774" w14:textId="77777777" w:rsidR="000839A4" w:rsidRPr="000839A4" w:rsidRDefault="000839A4" w:rsidP="000839A4">
      <w:pPr>
        <w:tabs>
          <w:tab w:val="left" w:pos="851"/>
        </w:tabs>
        <w:spacing w:before="120" w:after="120"/>
        <w:ind w:firstLine="427"/>
        <w:outlineLvl w:val="6"/>
      </w:pPr>
      <w:r w:rsidRPr="000839A4">
        <w:t xml:space="preserve">(1) Základem daně je rozdíl, o který příjmy, s výjimkou příjmů, které nejsou předmětem daně, a příjmů osvobozených od daně, převyšují výdaje (náklady), a to při respektování jejich věcné a časové souvislosti v daném zdaňovacím období; rozdíl se upraví podle tohoto zákona. </w:t>
      </w:r>
    </w:p>
    <w:p w14:paraId="1324FBA4" w14:textId="77777777" w:rsidR="000839A4" w:rsidRPr="000839A4" w:rsidRDefault="000839A4" w:rsidP="000839A4">
      <w:pPr>
        <w:tabs>
          <w:tab w:val="left" w:pos="851"/>
        </w:tabs>
        <w:spacing w:before="120" w:after="120"/>
        <w:ind w:firstLine="427"/>
        <w:outlineLvl w:val="6"/>
        <w:rPr>
          <w:b/>
          <w:strike/>
        </w:rPr>
      </w:pPr>
      <w:r w:rsidRPr="000839A4">
        <w:rPr>
          <w:strike/>
        </w:rPr>
        <w:t xml:space="preserve">(2) Pro zjištění základu daně se vychází </w:t>
      </w:r>
    </w:p>
    <w:p w14:paraId="0CD67349" w14:textId="77777777" w:rsidR="000839A4" w:rsidRPr="000839A4" w:rsidRDefault="000839A4" w:rsidP="000839A4">
      <w:pPr>
        <w:tabs>
          <w:tab w:val="left" w:pos="357"/>
        </w:tabs>
        <w:spacing w:before="0"/>
        <w:ind w:left="357" w:hanging="357"/>
        <w:rPr>
          <w:strike/>
          <w:szCs w:val="24"/>
        </w:rPr>
      </w:pPr>
      <w:r w:rsidRPr="000839A4">
        <w:rPr>
          <w:strike/>
          <w:szCs w:val="24"/>
        </w:rPr>
        <w:t>a)</w:t>
      </w:r>
      <w:r w:rsidRPr="000839A4">
        <w:rPr>
          <w:strike/>
          <w:szCs w:val="24"/>
        </w:rPr>
        <w:tab/>
        <w:t xml:space="preserve">z výsledku hospodaření (zisk nebo ztráta), a to vždy bez vlivu Mezinárodních účetních standardů, u poplatníků, kteří vedou účetnictví. </w:t>
      </w:r>
      <w:r w:rsidRPr="000839A4">
        <w:rPr>
          <w:strike/>
          <w:szCs w:val="24"/>
          <w:vertAlign w:val="superscript"/>
        </w:rPr>
        <w:t>20)</w:t>
      </w:r>
      <w:r w:rsidRPr="000839A4">
        <w:rPr>
          <w:strike/>
          <w:szCs w:val="24"/>
        </w:rPr>
        <w:t xml:space="preserve"> Poplatník, který sestavuje účetní závěrku podle Mezinárodních účetních standardů upravených právem Evropských společenství</w:t>
      </w:r>
      <w:r w:rsidRPr="000839A4">
        <w:rPr>
          <w:strike/>
          <w:szCs w:val="24"/>
          <w:vertAlign w:val="superscript"/>
        </w:rPr>
        <w:footnoteReference w:customMarkFollows="1" w:id="156"/>
        <w:t>126)</w:t>
      </w:r>
      <w:r w:rsidRPr="000839A4">
        <w:rPr>
          <w:strike/>
          <w:szCs w:val="24"/>
        </w:rPr>
        <w:t xml:space="preserve">, pro účely tohoto zákona použije ke zjištění výsledku hospodaření a pro stanovení dalších údajů rozhodných pro stanovení základu daně zvláštní právní předpis </w:t>
      </w:r>
      <w:r w:rsidRPr="000839A4">
        <w:rPr>
          <w:strike/>
          <w:szCs w:val="24"/>
          <w:vertAlign w:val="superscript"/>
        </w:rPr>
        <w:footnoteReference w:customMarkFollows="1" w:id="157"/>
        <w:t>20i)</w:t>
      </w:r>
      <w:r w:rsidRPr="000839A4">
        <w:rPr>
          <w:strike/>
          <w:szCs w:val="24"/>
        </w:rPr>
        <w:t xml:space="preserve">. Při stanovení základu daně se nepřihlíží k zápisům v knihách podrozvahových účtů, není-li v tomto zákoně stanoveno jinak. Pro zjištění základu daně veřejné obchodní společnosti a komanditní společnosti se vychází z výsledku hospodaření upraveného o převod podílů na výsledku hospodaření společníkům veřejné obchodní společnosti nebo komplementářům komanditní společnosti. Pro zjištění základu daně u poplatníků, kteří odpisují majetek metodou komponentního odpisování podle právních předpisů upravujících účetnictví, se vychází z výsledku hospodaření bez vlivu této účetní metody odpisování, </w:t>
      </w:r>
    </w:p>
    <w:p w14:paraId="1A117BEA" w14:textId="77777777" w:rsidR="000839A4" w:rsidRPr="000839A4" w:rsidRDefault="000839A4" w:rsidP="000839A4">
      <w:pPr>
        <w:tabs>
          <w:tab w:val="left" w:pos="357"/>
        </w:tabs>
        <w:spacing w:before="0"/>
        <w:ind w:left="357" w:hanging="357"/>
        <w:rPr>
          <w:strike/>
          <w:szCs w:val="24"/>
        </w:rPr>
      </w:pPr>
      <w:r w:rsidRPr="000839A4">
        <w:rPr>
          <w:strike/>
          <w:szCs w:val="24"/>
        </w:rPr>
        <w:t>b)</w:t>
      </w:r>
      <w:r w:rsidRPr="000839A4">
        <w:rPr>
          <w:strike/>
          <w:szCs w:val="24"/>
        </w:rPr>
        <w:tab/>
        <w:t xml:space="preserve">z rozdílu mezi příjmy a výdaji u poplatníků, kteří nevedou účetnictví, nebo vedou jednoduché účetnictví. </w:t>
      </w:r>
    </w:p>
    <w:p w14:paraId="2BCB751D" w14:textId="77777777" w:rsidR="000839A4" w:rsidRPr="000839A4" w:rsidRDefault="000839A4" w:rsidP="000839A4">
      <w:pPr>
        <w:tabs>
          <w:tab w:val="left" w:pos="851"/>
        </w:tabs>
        <w:spacing w:before="120" w:after="120"/>
        <w:ind w:firstLine="427"/>
        <w:outlineLvl w:val="6"/>
        <w:rPr>
          <w:b/>
        </w:rPr>
      </w:pPr>
      <w:r w:rsidRPr="000839A4">
        <w:rPr>
          <w:b/>
        </w:rPr>
        <w:t xml:space="preserve"> (2) Pro zjištění základu daně se vychází u poplatníka s</w:t>
      </w:r>
    </w:p>
    <w:p w14:paraId="3758B2E8" w14:textId="77777777" w:rsidR="000839A4" w:rsidRPr="000839A4" w:rsidRDefault="000839A4" w:rsidP="000839A4">
      <w:pPr>
        <w:tabs>
          <w:tab w:val="left" w:pos="357"/>
        </w:tabs>
        <w:spacing w:before="0"/>
        <w:ind w:left="357" w:hanging="357"/>
        <w:rPr>
          <w:b/>
          <w:szCs w:val="24"/>
        </w:rPr>
      </w:pPr>
      <w:r w:rsidRPr="000839A4">
        <w:rPr>
          <w:b/>
          <w:szCs w:val="24"/>
        </w:rPr>
        <w:t>a)</w:t>
      </w:r>
      <w:r w:rsidRPr="000839A4">
        <w:rPr>
          <w:b/>
          <w:szCs w:val="24"/>
        </w:rPr>
        <w:tab/>
        <w:t xml:space="preserve">akruálním základem daně z výsledku hospodaření (zisk nebo ztráta) podle účetních předpisů, a to vždy bez vlivu Mezinárodních účetních standardů. Při stanovení základu daně se nepřihlíží k podrozvahovým účtům, není-li v tomto zákoně stanoveno jinak. Pro zjištění základu daně veřejné obchodní společnosti a komanditní společnosti se vychází z výsledku hospodaření upraveného o převod podílů na výsledku hospodaření společníkům veřejné obchodní společnosti nebo komplementářům komanditní společnosti. Pro zjištění základu daně u poplatníků, kteří odpisují majetek </w:t>
      </w:r>
      <w:r w:rsidRPr="000839A4">
        <w:rPr>
          <w:b/>
          <w:szCs w:val="24"/>
        </w:rPr>
        <w:lastRenderedPageBreak/>
        <w:t xml:space="preserve">metodou komponentního odpisování podle účetních předpisů, se vychází z výsledku hospodaření bez vlivu této účetní metody odpisování, </w:t>
      </w:r>
    </w:p>
    <w:p w14:paraId="60D4445F" w14:textId="77777777" w:rsidR="000839A4" w:rsidRPr="000839A4" w:rsidRDefault="000839A4" w:rsidP="000839A4">
      <w:pPr>
        <w:tabs>
          <w:tab w:val="left" w:pos="357"/>
        </w:tabs>
        <w:spacing w:before="0"/>
        <w:ind w:left="357" w:hanging="357"/>
        <w:rPr>
          <w:b/>
          <w:szCs w:val="24"/>
        </w:rPr>
      </w:pPr>
      <w:r w:rsidRPr="000839A4">
        <w:rPr>
          <w:b/>
          <w:szCs w:val="24"/>
        </w:rPr>
        <w:t>b)</w:t>
      </w:r>
      <w:r w:rsidRPr="000839A4">
        <w:rPr>
          <w:b/>
          <w:szCs w:val="24"/>
        </w:rPr>
        <w:tab/>
        <w:t xml:space="preserve">hotovostním základem daně z rozdílu mezi příjmy a výdaji, </w:t>
      </w:r>
    </w:p>
    <w:p w14:paraId="4A4FE566" w14:textId="77777777" w:rsidR="000839A4" w:rsidRPr="000839A4" w:rsidRDefault="000839A4" w:rsidP="000839A4">
      <w:pPr>
        <w:tabs>
          <w:tab w:val="left" w:pos="357"/>
        </w:tabs>
        <w:spacing w:before="0"/>
        <w:ind w:left="357" w:hanging="357"/>
        <w:rPr>
          <w:b/>
          <w:szCs w:val="24"/>
        </w:rPr>
      </w:pPr>
      <w:r w:rsidRPr="000839A4">
        <w:rPr>
          <w:b/>
          <w:szCs w:val="24"/>
        </w:rPr>
        <w:t>c)</w:t>
      </w:r>
      <w:r w:rsidRPr="000839A4">
        <w:rPr>
          <w:b/>
          <w:szCs w:val="24"/>
        </w:rPr>
        <w:tab/>
        <w:t>akruálním základem daně, který při individuálním účetním výkaznictví povinně používá mezinárodní účetní standardy (dále jen „poplatník používající mezinárodní účetní standardy“), z výsledku hospodaření podle mezinárodních účetních standardů.</w:t>
      </w:r>
    </w:p>
    <w:p w14:paraId="762061AD" w14:textId="77777777" w:rsidR="000839A4" w:rsidRPr="000839A4" w:rsidRDefault="000839A4" w:rsidP="000839A4">
      <w:pPr>
        <w:tabs>
          <w:tab w:val="left" w:pos="851"/>
        </w:tabs>
        <w:spacing w:before="120" w:after="120"/>
        <w:ind w:firstLine="427"/>
        <w:outlineLvl w:val="6"/>
      </w:pPr>
      <w:r w:rsidRPr="000839A4">
        <w:t xml:space="preserve"> (3) Výsledek hospodaření nebo rozdíl mezi příjmy a výdaji podle odstavce 2 </w:t>
      </w:r>
    </w:p>
    <w:p w14:paraId="53503211"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 xml:space="preserve">se zvyšuje o </w:t>
      </w:r>
    </w:p>
    <w:p w14:paraId="469D98B5" w14:textId="77777777" w:rsidR="000839A4" w:rsidRPr="000839A4" w:rsidRDefault="000839A4" w:rsidP="000839A4">
      <w:pPr>
        <w:tabs>
          <w:tab w:val="left" w:pos="357"/>
        </w:tabs>
        <w:spacing w:before="0"/>
        <w:ind w:left="714" w:hanging="357"/>
        <w:rPr>
          <w:szCs w:val="24"/>
        </w:rPr>
      </w:pPr>
      <w:r w:rsidRPr="000839A4">
        <w:rPr>
          <w:szCs w:val="24"/>
        </w:rPr>
        <w:t>1.</w:t>
      </w:r>
      <w:r w:rsidRPr="000839A4">
        <w:rPr>
          <w:szCs w:val="24"/>
        </w:rPr>
        <w:tab/>
        <w:t xml:space="preserve">částky neoprávněně zkracující příjmy, </w:t>
      </w:r>
    </w:p>
    <w:p w14:paraId="26F82C20" w14:textId="77777777" w:rsidR="000839A4" w:rsidRPr="000839A4" w:rsidRDefault="000839A4" w:rsidP="000839A4">
      <w:pPr>
        <w:tabs>
          <w:tab w:val="left" w:pos="357"/>
        </w:tabs>
        <w:spacing w:before="0"/>
        <w:ind w:left="714" w:hanging="357"/>
        <w:rPr>
          <w:szCs w:val="24"/>
        </w:rPr>
      </w:pPr>
      <w:r w:rsidRPr="000839A4">
        <w:rPr>
          <w:szCs w:val="24"/>
        </w:rPr>
        <w:t>2.</w:t>
      </w:r>
      <w:r w:rsidRPr="000839A4">
        <w:rPr>
          <w:szCs w:val="24"/>
        </w:rPr>
        <w:tab/>
        <w:t xml:space="preserve">částky, které nelze podle tohoto zákona zahrnout do výdajů (nákladů), </w:t>
      </w:r>
    </w:p>
    <w:p w14:paraId="19C18F56" w14:textId="77777777" w:rsidR="000839A4" w:rsidRPr="000839A4" w:rsidRDefault="000839A4" w:rsidP="000839A4">
      <w:pPr>
        <w:tabs>
          <w:tab w:val="left" w:pos="357"/>
        </w:tabs>
        <w:spacing w:before="0"/>
        <w:ind w:left="714" w:hanging="357"/>
        <w:rPr>
          <w:szCs w:val="24"/>
        </w:rPr>
      </w:pPr>
      <w:r w:rsidRPr="000839A4">
        <w:rPr>
          <w:szCs w:val="24"/>
        </w:rPr>
        <w:t>3.</w:t>
      </w:r>
      <w:r w:rsidRPr="000839A4">
        <w:rPr>
          <w:szCs w:val="24"/>
        </w:rPr>
        <w:tab/>
        <w:t>částky uplatněné v předchozích zdaňovacích obdobích n</w:t>
      </w:r>
      <w:r w:rsidRPr="000839A4">
        <w:rPr>
          <w:strike/>
          <w:szCs w:val="24"/>
        </w:rPr>
        <w:t>ebo v obdobích, za která se podává daňové přiznání,</w:t>
      </w:r>
      <w:r w:rsidRPr="000839A4">
        <w:rPr>
          <w:szCs w:val="24"/>
        </w:rPr>
        <w:t xml:space="preserve"> jako osvobozený bezúplatný příjem veřejně prospěšného poplatníka nebo výdaj (náklad) na dosažení, zajištění a udržení příjmů, pokud následně došlo k porušení podmínek pro jejich osvobození nebo uplatnění jako výdaje (nákladu) na dosažení, zajištění a udržení příjmů, a to ve zdaňovacím období </w:t>
      </w:r>
      <w:r w:rsidRPr="000839A4">
        <w:rPr>
          <w:strike/>
          <w:szCs w:val="24"/>
        </w:rPr>
        <w:t>nebo období, za které se podává daňové přiznání</w:t>
      </w:r>
      <w:r w:rsidRPr="000839A4">
        <w:rPr>
          <w:szCs w:val="24"/>
        </w:rPr>
        <w:t xml:space="preserve">, ve kterém k porušení došlo, </w:t>
      </w:r>
    </w:p>
    <w:p w14:paraId="31A48333" w14:textId="77777777" w:rsidR="000839A4" w:rsidRPr="000839A4" w:rsidRDefault="000839A4" w:rsidP="000839A4">
      <w:pPr>
        <w:tabs>
          <w:tab w:val="left" w:pos="357"/>
        </w:tabs>
        <w:spacing w:before="0"/>
        <w:ind w:left="714" w:hanging="357"/>
        <w:rPr>
          <w:szCs w:val="24"/>
        </w:rPr>
      </w:pPr>
      <w:r w:rsidRPr="000839A4">
        <w:rPr>
          <w:szCs w:val="24"/>
        </w:rPr>
        <w:t>4.</w:t>
      </w:r>
      <w:r w:rsidRPr="000839A4">
        <w:rPr>
          <w:szCs w:val="24"/>
        </w:rPr>
        <w:tab/>
        <w:t xml:space="preserve">částky, o které byl snížen výsledek hospodaření podle písmene c) bodů 1 a 2 za předchozí zdaňovací období, a to ve zdaňovacím období, kdy je oprava nesprávností v účetnictví provedena a ovlivnila výsledek hospodaření. Výsledek hospodaření se zvyšuje dále o částku, o kterou byl snížen výsledek hospodaření podle písmene c) bodu 1 za předchozí zdaňovací období, a to v tom zdaňovacím období, kdy je oprava nesprávností zaúčtována rozvahově, </w:t>
      </w:r>
    </w:p>
    <w:p w14:paraId="0F4A14C5" w14:textId="77777777" w:rsidR="000839A4" w:rsidRPr="000839A4" w:rsidRDefault="000839A4" w:rsidP="000839A4">
      <w:pPr>
        <w:tabs>
          <w:tab w:val="left" w:pos="357"/>
        </w:tabs>
        <w:spacing w:before="0"/>
        <w:ind w:left="714" w:hanging="357"/>
        <w:rPr>
          <w:strike/>
          <w:szCs w:val="24"/>
        </w:rPr>
      </w:pPr>
      <w:r w:rsidRPr="000839A4">
        <w:rPr>
          <w:strike/>
          <w:szCs w:val="24"/>
        </w:rPr>
        <w:t>5.</w:t>
      </w:r>
      <w:r w:rsidRPr="000839A4">
        <w:rPr>
          <w:strike/>
          <w:szCs w:val="24"/>
        </w:rPr>
        <w:tab/>
      </w:r>
      <w:proofErr w:type="gramStart"/>
      <w:r w:rsidRPr="000839A4">
        <w:rPr>
          <w:strike/>
          <w:szCs w:val="24"/>
        </w:rPr>
        <w:t>částky  pojistného</w:t>
      </w:r>
      <w:proofErr w:type="gramEnd"/>
      <w:r w:rsidRPr="000839A4">
        <w:rPr>
          <w:strike/>
          <w:szCs w:val="24"/>
        </w:rPr>
        <w:t xml:space="preserve"> na sociální zabezpečení, příspěvku na státní politiku zaměstnanosti a pojistného na veřejné zdravotní pojištění, které je podle zvláštních právních předpisů povinen platit zaměstnanec a byly zaměstnavatelem, který vede účetnictví, sraženy, avšak neodvedeny do konce měsíce následujícího po uplynutí zdaňovacího období nebo jeho části. Pokud je daňový subjekt povinen podat podle tohoto zákona nebo zvláštního zákona daňové přiznání v průběhu zdaňovacího období, jsou částky pojistného na důchodové spoření, pojistného na sociální zabezpečení, příspěvku na státní politiku zaměstnanosti a pojistného na veřejné zdravotní pojištění částkami, o které se zvýší výsledek hospodaření, nebudou-li odvedeny do termínu pro podání daňového přiznání, </w:t>
      </w:r>
    </w:p>
    <w:p w14:paraId="280B89DB" w14:textId="77777777" w:rsidR="000839A4" w:rsidRPr="000839A4" w:rsidRDefault="000839A4" w:rsidP="000839A4">
      <w:pPr>
        <w:tabs>
          <w:tab w:val="left" w:pos="357"/>
        </w:tabs>
        <w:spacing w:before="0"/>
        <w:ind w:left="714" w:hanging="357"/>
        <w:rPr>
          <w:strike/>
          <w:szCs w:val="24"/>
        </w:rPr>
      </w:pPr>
      <w:r w:rsidRPr="000839A4">
        <w:rPr>
          <w:strike/>
          <w:szCs w:val="24"/>
        </w:rPr>
        <w:t>6.</w:t>
      </w:r>
      <w:r w:rsidRPr="000839A4">
        <w:rPr>
          <w:strike/>
          <w:szCs w:val="24"/>
        </w:rPr>
        <w:tab/>
        <w:t xml:space="preserve">přijaté úhrady smluvních pokut, úroků z prodlení, poplatků z prodlení, penále a jiných sankcí ze závazkových vztahů u věřitele, který vede účetnictví, pokud byly podle písmene b) bodu 1 položkou snižující výsledek hospodaření v předchozích zdaňovacích obdobích; přitom za přijetí úhrady se považuje i vzájemné započtení pohledávek. Věřitel, který vede účetnictví a postoupí pohledávku z těchto smluvních sankcí nebo u kterého pohledávka z těchto sankcí zanikne jiným způsobem než jejím uhrazením nebo splynutím práva s povinností u jedné osoby a její výše byla podle písmene b) bodu 1 položkou snižující výsledek hospodaření v předchozích zdaňovacích obdobích, je povinen o částku této pohledávky zvýšit výsledek hospodaření, pokud již nebyl o stejnou částku zvýšen podle bodu 2. Obdobně to platí pro právního nástupce poplatníka zaniklého bez provedení likvidace, </w:t>
      </w:r>
    </w:p>
    <w:p w14:paraId="5DB46A8D" w14:textId="77777777" w:rsidR="000839A4" w:rsidRPr="000839A4" w:rsidRDefault="000839A4" w:rsidP="000839A4">
      <w:pPr>
        <w:tabs>
          <w:tab w:val="left" w:pos="357"/>
        </w:tabs>
        <w:spacing w:before="0"/>
        <w:ind w:left="714" w:hanging="357"/>
        <w:rPr>
          <w:strike/>
          <w:szCs w:val="24"/>
        </w:rPr>
      </w:pPr>
      <w:r w:rsidRPr="000839A4">
        <w:rPr>
          <w:strike/>
          <w:szCs w:val="24"/>
        </w:rPr>
        <w:t>7.</w:t>
      </w:r>
      <w:r w:rsidRPr="000839A4">
        <w:rPr>
          <w:strike/>
          <w:szCs w:val="24"/>
        </w:rPr>
        <w:tab/>
        <w:t>částku zrušené rezervy, jejíž způsob tvorby a výši pro daňové účely stanoví zvláštní právní předpis,</w:t>
      </w:r>
      <w:r w:rsidRPr="000839A4">
        <w:rPr>
          <w:strike/>
          <w:szCs w:val="24"/>
          <w:vertAlign w:val="superscript"/>
        </w:rPr>
        <w:t>22a)</w:t>
      </w:r>
      <w:r w:rsidRPr="000839A4">
        <w:rPr>
          <w:strike/>
          <w:szCs w:val="24"/>
        </w:rPr>
        <w:t xml:space="preserve"> u poplatníka, který nevede účetnictví, </w:t>
      </w:r>
    </w:p>
    <w:p w14:paraId="6D6894D0" w14:textId="77777777" w:rsidR="000839A4" w:rsidRPr="000839A4" w:rsidRDefault="000839A4" w:rsidP="000839A4">
      <w:pPr>
        <w:tabs>
          <w:tab w:val="left" w:pos="357"/>
        </w:tabs>
        <w:spacing w:before="0"/>
        <w:ind w:left="714" w:hanging="357"/>
        <w:rPr>
          <w:szCs w:val="24"/>
        </w:rPr>
      </w:pPr>
      <w:r w:rsidRPr="000839A4">
        <w:rPr>
          <w:strike/>
          <w:szCs w:val="24"/>
        </w:rPr>
        <w:t>8.</w:t>
      </w:r>
      <w:r w:rsidRPr="000839A4">
        <w:rPr>
          <w:szCs w:val="24"/>
        </w:rPr>
        <w:t xml:space="preserve"> </w:t>
      </w:r>
      <w:r w:rsidRPr="000839A4">
        <w:rPr>
          <w:b/>
          <w:szCs w:val="24"/>
        </w:rPr>
        <w:t>5.</w:t>
      </w:r>
      <w:r w:rsidRPr="000839A4">
        <w:rPr>
          <w:szCs w:val="24"/>
        </w:rPr>
        <w:tab/>
        <w:t xml:space="preserve">částku, o kterou byl snížen základ daně podle § 20 odst. 7, a to ve výši, která odpovídá poměru nevyčerpané úspory na dani, a to v tom zdaňovacím období, </w:t>
      </w:r>
      <w:r w:rsidRPr="000839A4">
        <w:rPr>
          <w:strike/>
          <w:szCs w:val="24"/>
        </w:rPr>
        <w:t>nebo období, za které se podává daňové přiznání,</w:t>
      </w:r>
      <w:r w:rsidRPr="000839A4">
        <w:rPr>
          <w:szCs w:val="24"/>
        </w:rPr>
        <w:t xml:space="preserve"> ve kterém došlo k porušení podmínek pro použití úspory na dani nebo k ukončení činnosti, </w:t>
      </w:r>
    </w:p>
    <w:p w14:paraId="6021D77D" w14:textId="77777777" w:rsidR="000839A4" w:rsidRPr="000839A4" w:rsidRDefault="000839A4" w:rsidP="000839A4">
      <w:pPr>
        <w:tabs>
          <w:tab w:val="left" w:pos="357"/>
        </w:tabs>
        <w:spacing w:before="0"/>
        <w:ind w:left="714" w:hanging="357"/>
        <w:rPr>
          <w:szCs w:val="24"/>
        </w:rPr>
      </w:pPr>
      <w:r w:rsidRPr="000839A4">
        <w:rPr>
          <w:strike/>
          <w:szCs w:val="24"/>
        </w:rPr>
        <w:lastRenderedPageBreak/>
        <w:t>9.</w:t>
      </w:r>
      <w:r w:rsidRPr="000839A4">
        <w:rPr>
          <w:szCs w:val="24"/>
        </w:rPr>
        <w:t xml:space="preserve"> </w:t>
      </w:r>
      <w:r w:rsidRPr="000839A4">
        <w:rPr>
          <w:b/>
          <w:szCs w:val="24"/>
        </w:rPr>
        <w:t>6.</w:t>
      </w:r>
      <w:r w:rsidRPr="000839A4">
        <w:rPr>
          <w:szCs w:val="24"/>
        </w:rPr>
        <w:tab/>
        <w:t xml:space="preserve">kladný rozdíl mezi vzájemnými pohledávkami zúčastněných a nástupnických obchodních korporací, u nichž dochází k zániku v důsledku přeměny splynutím osoby dlužníka a věřitele, vyloučený v zahajovací rozvaze ve prospěch vlastního kapitálu, a to u nástupnické obchodní korporace v prvním zdaňovacím období </w:t>
      </w:r>
      <w:r w:rsidRPr="000839A4">
        <w:rPr>
          <w:strike/>
          <w:szCs w:val="24"/>
        </w:rPr>
        <w:t>nebo období, za něž je nástupnická obchodní korporace povinna podat daňové přiznání</w:t>
      </w:r>
      <w:r w:rsidRPr="000839A4">
        <w:rPr>
          <w:szCs w:val="24"/>
        </w:rPr>
        <w:t xml:space="preserve">, přičemž tento rozdíl se stanoví bez vlivu ocenění reálnou hodnotou pro účely přeměny. Tento rozdíl se snižuje o tu část pohledávky zanikající v důsledku splynutí osoby dlužníka a věřitele, která byla u věřitele odepsána do nákladů, které nebyly považovány za daňově uznatelné podle § 24. Toto ustanovení se nevztahuje na pohledávky z titulu závazkových pokut, úroků z prodlení, poplatků z prodlení, penále a jiných sankcí ze smluvních vztahů, </w:t>
      </w:r>
    </w:p>
    <w:p w14:paraId="0D54ADDB" w14:textId="77777777" w:rsidR="000839A4" w:rsidRPr="000839A4" w:rsidRDefault="000839A4" w:rsidP="000839A4">
      <w:pPr>
        <w:tabs>
          <w:tab w:val="left" w:pos="357"/>
        </w:tabs>
        <w:spacing w:before="0"/>
        <w:ind w:left="714" w:hanging="357"/>
        <w:rPr>
          <w:szCs w:val="24"/>
        </w:rPr>
      </w:pPr>
      <w:r w:rsidRPr="000839A4">
        <w:rPr>
          <w:strike/>
          <w:szCs w:val="24"/>
        </w:rPr>
        <w:t>10.</w:t>
      </w:r>
      <w:r w:rsidRPr="000839A4">
        <w:rPr>
          <w:szCs w:val="24"/>
        </w:rPr>
        <w:t xml:space="preserve"> </w:t>
      </w:r>
      <w:r w:rsidRPr="000839A4">
        <w:rPr>
          <w:b/>
          <w:szCs w:val="24"/>
        </w:rPr>
        <w:t>7.</w:t>
      </w:r>
      <w:r w:rsidRPr="000839A4">
        <w:rPr>
          <w:szCs w:val="24"/>
        </w:rPr>
        <w:tab/>
        <w:t xml:space="preserve">kladný rozdíl mezi </w:t>
      </w:r>
      <w:r w:rsidRPr="000839A4">
        <w:rPr>
          <w:strike/>
          <w:szCs w:val="24"/>
        </w:rPr>
        <w:t>oceněním majetku podle právních předpisů upravujících oceňování majetku, kterým</w:t>
      </w:r>
      <w:r w:rsidRPr="000839A4">
        <w:t xml:space="preserve"> </w:t>
      </w:r>
      <w:r w:rsidRPr="000839A4">
        <w:rPr>
          <w:b/>
          <w:szCs w:val="24"/>
        </w:rPr>
        <w:t>hodnotou věci určenou podle zákona upravujícího oceňování věcí, služeb a dluhů, kterou</w:t>
      </w:r>
      <w:r w:rsidRPr="000839A4">
        <w:rPr>
          <w:szCs w:val="24"/>
        </w:rPr>
        <w:t xml:space="preserve"> je vypořádáván vypořádací podíl nebo likvidační zůstatek v nepeněžní formě, a výší </w:t>
      </w:r>
      <w:r w:rsidRPr="000839A4">
        <w:rPr>
          <w:strike/>
          <w:szCs w:val="24"/>
        </w:rPr>
        <w:t>jeho hodnoty zachycené v účetnictví</w:t>
      </w:r>
      <w:r w:rsidRPr="000839A4">
        <w:rPr>
          <w:szCs w:val="24"/>
        </w:rPr>
        <w:t xml:space="preserve"> </w:t>
      </w:r>
      <w:r w:rsidRPr="000839A4">
        <w:rPr>
          <w:b/>
          <w:szCs w:val="24"/>
        </w:rPr>
        <w:t>její účetní hodnoty u</w:t>
      </w:r>
      <w:r w:rsidRPr="000839A4">
        <w:rPr>
          <w:szCs w:val="24"/>
        </w:rPr>
        <w:t xml:space="preserve"> obchodní korporace </w:t>
      </w:r>
      <w:r w:rsidRPr="000839A4">
        <w:rPr>
          <w:strike/>
          <w:szCs w:val="24"/>
        </w:rPr>
        <w:t>podle právních předpisů upravujících účetnictví</w:t>
      </w:r>
      <w:r w:rsidRPr="000839A4">
        <w:rPr>
          <w:szCs w:val="24"/>
        </w:rPr>
        <w:t>, a to u poplatníka, který je členem obchodní korporace; jestliže poplatníkovi, kterému je vypořádací podíl vyplácen, vznikne dluh vůči obchodní korporaci, sníží se vypočtený kladný rozdíl o hodnotu tohoto dluhu,</w:t>
      </w:r>
      <w:r w:rsidRPr="000839A4">
        <w:rPr>
          <w:color w:val="FFFFFF" w:themeColor="background1"/>
          <w:szCs w:val="24"/>
        </w:rPr>
        <w:t xml:space="preserve"> </w:t>
      </w:r>
    </w:p>
    <w:p w14:paraId="049E5D10" w14:textId="77777777" w:rsidR="000839A4" w:rsidRPr="000839A4" w:rsidRDefault="000839A4" w:rsidP="000839A4">
      <w:pPr>
        <w:tabs>
          <w:tab w:val="left" w:pos="357"/>
        </w:tabs>
        <w:spacing w:before="0"/>
        <w:ind w:left="714" w:hanging="357"/>
        <w:rPr>
          <w:szCs w:val="24"/>
        </w:rPr>
      </w:pPr>
      <w:r w:rsidRPr="000839A4">
        <w:rPr>
          <w:strike/>
          <w:szCs w:val="24"/>
        </w:rPr>
        <w:t>11.</w:t>
      </w:r>
      <w:r w:rsidRPr="000839A4">
        <w:rPr>
          <w:szCs w:val="24"/>
        </w:rPr>
        <w:t xml:space="preserve"> </w:t>
      </w:r>
      <w:r w:rsidRPr="000839A4">
        <w:rPr>
          <w:b/>
          <w:szCs w:val="24"/>
        </w:rPr>
        <w:t>8.</w:t>
      </w:r>
      <w:r w:rsidRPr="000839A4">
        <w:rPr>
          <w:szCs w:val="24"/>
        </w:rPr>
        <w:tab/>
        <w:t>výši neuhrazeného dluhu zachyceného v účetnictví dlužníka odpovídajícího pohledávce, od jejíž splatnosti uplynulo 30 měsíců nebo se promlčela. Toto se nevztahuje na dluhy dlužníka, který je v úpadku podle zvláštního právního předpisu,</w:t>
      </w:r>
      <w:r w:rsidRPr="000839A4">
        <w:rPr>
          <w:szCs w:val="24"/>
          <w:vertAlign w:val="superscript"/>
        </w:rPr>
        <w:t xml:space="preserve"> </w:t>
      </w:r>
      <w:r w:rsidRPr="000839A4">
        <w:rPr>
          <w:szCs w:val="24"/>
          <w:vertAlign w:val="superscript"/>
        </w:rPr>
        <w:footnoteReference w:customMarkFollows="1" w:id="158"/>
        <w:t>127)127)</w:t>
      </w:r>
      <w:r w:rsidRPr="000839A4">
        <w:rPr>
          <w:szCs w:val="24"/>
        </w:rPr>
        <w:t xml:space="preserve"> a u ostatních poplatníků na dluhy z titulu cenných papírů a ostatních investičních nástrojů, plnění ve prospěch vlastního kapitálu, úhrady ztráty obchodní korporace, úvěrů, zápůjček, ručení, záloh, smluvních pokut, úroků z prodlení, poplatků z prodlení a jiných sankcí ze závazkových vztahů a dále na dluhy, z jejichž titulu vznikl výdaj (náklad), ale je výdajem (nákladem) na dosažení, zajištění a udržení zdanitelných příjmů, jen pokud byl zaplacen. Toto ustanovení se dále nevztahuje na dluhy, z jejichž titulu nebyl uplatněn výdaj (náklad) na dosažení, zajištění a udržení zdanitelných příjmů, a dále na dluhy, o které vedou poplatníci rozhodčí řízení podle zvláštního právního předpisu nebo soudní </w:t>
      </w:r>
      <w:proofErr w:type="gramStart"/>
      <w:r w:rsidRPr="000839A4">
        <w:rPr>
          <w:szCs w:val="24"/>
        </w:rPr>
        <w:t>řízení a nebo správní</w:t>
      </w:r>
      <w:proofErr w:type="gramEnd"/>
      <w:r w:rsidRPr="000839A4">
        <w:rPr>
          <w:szCs w:val="24"/>
        </w:rPr>
        <w:t xml:space="preserve"> řízení podle zvláštního právního předpisu, jehož se poplatník řádně účastní a řádně a včas činí úkony potřebné k uplatnění svého práva, a to až do doby pravomocného rozhodnutí. Za dluhy se pro účely tohoto ustanovení v případě </w:t>
      </w:r>
      <w:r w:rsidRPr="000839A4">
        <w:rPr>
          <w:strike/>
          <w:szCs w:val="24"/>
        </w:rPr>
        <w:t xml:space="preserve">poplatníků, kteří vedou účetnictví, </w:t>
      </w:r>
      <w:r w:rsidRPr="000839A4">
        <w:rPr>
          <w:b/>
          <w:szCs w:val="24"/>
        </w:rPr>
        <w:t>poplatníka s akruálním základem daně</w:t>
      </w:r>
      <w:r w:rsidRPr="000839A4">
        <w:rPr>
          <w:szCs w:val="24"/>
        </w:rPr>
        <w:t xml:space="preserve"> nepovažují dohadné položky pasivní nebo rezervy zachycené v účetnictví poplatníka v souladu se zvláštním právním předpisem</w:t>
      </w:r>
      <w:r w:rsidRPr="000839A4">
        <w:rPr>
          <w:strike/>
          <w:szCs w:val="24"/>
          <w:vertAlign w:val="superscript"/>
        </w:rPr>
        <w:t>20)</w:t>
      </w:r>
      <w:r w:rsidRPr="000839A4">
        <w:rPr>
          <w:szCs w:val="24"/>
        </w:rPr>
        <w:t xml:space="preserve">. Poplatníci s příjmy podle § 7 nebo 9, kteří </w:t>
      </w:r>
      <w:r w:rsidRPr="000839A4">
        <w:rPr>
          <w:strike/>
          <w:szCs w:val="24"/>
        </w:rPr>
        <w:t>nevedou účetnictví a</w:t>
      </w:r>
      <w:r w:rsidRPr="000839A4">
        <w:rPr>
          <w:szCs w:val="24"/>
        </w:rPr>
        <w:t xml:space="preserve"> výdaje uplatňují podle § 24</w:t>
      </w:r>
      <w:r w:rsidRPr="000839A4">
        <w:rPr>
          <w:b/>
          <w:noProof/>
          <w:szCs w:val="24"/>
        </w:rPr>
        <w:t xml:space="preserve">, a poplatník daně z příjmů právnických osob </w:t>
      </w:r>
      <w:r w:rsidRPr="000839A4">
        <w:rPr>
          <w:b/>
          <w:szCs w:val="24"/>
        </w:rPr>
        <w:t>s hotovostním základem daně</w:t>
      </w:r>
      <w:r w:rsidRPr="000839A4">
        <w:rPr>
          <w:szCs w:val="24"/>
        </w:rPr>
        <w:t>, zvýší rozdíl mezi příjmy a výdaji o výši neuhrazeného dluhu odpovídajícího pohledávce, od jejíž splatnosti uplynulo 30 měsíců nebo se promlčela, s výjimkou dluhů dlužníka, který je v úpadku podle zvláštního právního předpisu</w:t>
      </w:r>
      <w:r w:rsidRPr="000839A4">
        <w:rPr>
          <w:szCs w:val="24"/>
          <w:vertAlign w:val="superscript"/>
        </w:rPr>
        <w:t>19a) 127)</w:t>
      </w:r>
      <w:r w:rsidRPr="000839A4">
        <w:rPr>
          <w:szCs w:val="24"/>
        </w:rPr>
        <w:t xml:space="preserve">, a u ostatních poplatníků s výjimkou dluhů z titulu úvěrů, zápůjček, smluvních pokut, úroků z prodlení, poplatků z prodlení a jiných sankcí nebo dluhů, které při úhradě nejsou výdajem na dosažení, zajištění a udržení příjmů, nejedná-li se o dluhy z titulu pořízení </w:t>
      </w:r>
      <w:r w:rsidRPr="000839A4">
        <w:rPr>
          <w:strike/>
          <w:szCs w:val="24"/>
        </w:rPr>
        <w:t>hmotného majetku</w:t>
      </w:r>
      <w:r w:rsidRPr="000839A4">
        <w:rPr>
          <w:szCs w:val="24"/>
        </w:rPr>
        <w:t xml:space="preserve"> </w:t>
      </w:r>
      <w:r w:rsidRPr="000839A4">
        <w:rPr>
          <w:b/>
          <w:szCs w:val="24"/>
        </w:rPr>
        <w:t xml:space="preserve">daňově odpisovaného aktiva </w:t>
      </w:r>
      <w:r w:rsidRPr="000839A4">
        <w:rPr>
          <w:szCs w:val="24"/>
        </w:rPr>
        <w:t xml:space="preserve">a úplaty u finančního leasingu,  </w:t>
      </w:r>
    </w:p>
    <w:p w14:paraId="4A64F29F" w14:textId="77777777" w:rsidR="000839A4" w:rsidRPr="000839A4" w:rsidRDefault="000839A4" w:rsidP="000839A4">
      <w:pPr>
        <w:tabs>
          <w:tab w:val="left" w:pos="357"/>
        </w:tabs>
        <w:spacing w:before="0"/>
        <w:ind w:left="714" w:hanging="357"/>
        <w:rPr>
          <w:szCs w:val="24"/>
        </w:rPr>
      </w:pPr>
      <w:r w:rsidRPr="000839A4">
        <w:rPr>
          <w:strike/>
          <w:szCs w:val="24"/>
        </w:rPr>
        <w:t>12.</w:t>
      </w:r>
      <w:r w:rsidRPr="000839A4">
        <w:rPr>
          <w:szCs w:val="24"/>
        </w:rPr>
        <w:t xml:space="preserve"> </w:t>
      </w:r>
      <w:r w:rsidRPr="000839A4">
        <w:rPr>
          <w:b/>
          <w:szCs w:val="24"/>
        </w:rPr>
        <w:t>9.</w:t>
      </w:r>
      <w:r w:rsidRPr="000839A4">
        <w:rPr>
          <w:szCs w:val="24"/>
        </w:rPr>
        <w:tab/>
        <w:t xml:space="preserve">výši dluhu </w:t>
      </w:r>
      <w:r w:rsidRPr="000839A4">
        <w:rPr>
          <w:strike/>
          <w:szCs w:val="24"/>
        </w:rPr>
        <w:t>zachyceného v rozvaze</w:t>
      </w:r>
      <w:r w:rsidRPr="000839A4">
        <w:rPr>
          <w:szCs w:val="24"/>
        </w:rPr>
        <w:t xml:space="preserve">, který zanikl jinak než splněním, započtením, splynutím práva s povinností u jedné osoby, dohodou, kterou se dosavadní dluh </w:t>
      </w:r>
      <w:r w:rsidRPr="000839A4">
        <w:rPr>
          <w:szCs w:val="24"/>
        </w:rPr>
        <w:lastRenderedPageBreak/>
        <w:t xml:space="preserve">nahrazuje dluhem novým stejné hodnoty, nebo narovnáním, pokud nebyla podle právních předpisů upravujících účetnictví zaúčtována ve prospěch výnosů nebo se o tuto výši dluhu nezvyšuje výsledek hospodaření podle bodu </w:t>
      </w:r>
      <w:r w:rsidRPr="000839A4">
        <w:rPr>
          <w:strike/>
          <w:szCs w:val="24"/>
        </w:rPr>
        <w:t>9</w:t>
      </w:r>
      <w:r w:rsidRPr="000839A4">
        <w:rPr>
          <w:szCs w:val="24"/>
        </w:rPr>
        <w:t xml:space="preserve"> </w:t>
      </w:r>
      <w:r w:rsidRPr="000839A4">
        <w:rPr>
          <w:b/>
          <w:szCs w:val="24"/>
        </w:rPr>
        <w:t>6</w:t>
      </w:r>
      <w:r w:rsidRPr="000839A4">
        <w:rPr>
          <w:szCs w:val="24"/>
        </w:rPr>
        <w:t>; toto se nevztahuje na dluh, z jehož titulu vznikl výdaj (náklad), ale je výdajem (nákladem) na dosažení, zajištění a udržení zdanitelných příjmů, jen pokud byl zaplacen</w:t>
      </w:r>
      <w:r w:rsidRPr="000839A4">
        <w:rPr>
          <w:b/>
          <w:szCs w:val="24"/>
        </w:rPr>
        <w:t>, na odpis dluhu při oddlužení nebo reorganizaci provedených podle zákona upravujícího řešení úpadku a na prominutou daň, poplatek nebo jiné obdobné peněžité plnění</w:t>
      </w:r>
      <w:r w:rsidRPr="000839A4">
        <w:rPr>
          <w:szCs w:val="24"/>
        </w:rPr>
        <w:t xml:space="preserve">, </w:t>
      </w:r>
    </w:p>
    <w:p w14:paraId="1DBCA65D" w14:textId="77777777" w:rsidR="000839A4" w:rsidRPr="000839A4" w:rsidRDefault="000839A4" w:rsidP="000839A4">
      <w:pPr>
        <w:tabs>
          <w:tab w:val="left" w:pos="357"/>
        </w:tabs>
        <w:spacing w:before="0"/>
        <w:ind w:left="714" w:hanging="357"/>
        <w:rPr>
          <w:szCs w:val="24"/>
        </w:rPr>
      </w:pPr>
      <w:r w:rsidRPr="000839A4">
        <w:rPr>
          <w:strike/>
          <w:szCs w:val="24"/>
        </w:rPr>
        <w:t>13.</w:t>
      </w:r>
      <w:r w:rsidRPr="000839A4">
        <w:rPr>
          <w:szCs w:val="24"/>
        </w:rPr>
        <w:t xml:space="preserve"> </w:t>
      </w:r>
      <w:r w:rsidRPr="000839A4">
        <w:rPr>
          <w:b/>
          <w:szCs w:val="24"/>
        </w:rPr>
        <w:t>10.</w:t>
      </w:r>
      <w:r w:rsidRPr="000839A4">
        <w:rPr>
          <w:szCs w:val="24"/>
        </w:rPr>
        <w:tab/>
        <w:t xml:space="preserve">částku vzniklou v důsledku změny účetní metody, která zvýšila </w:t>
      </w:r>
      <w:r w:rsidRPr="000839A4">
        <w:rPr>
          <w:strike/>
          <w:szCs w:val="24"/>
        </w:rPr>
        <w:t>vlastní kapitál</w:t>
      </w:r>
      <w:r w:rsidRPr="000839A4">
        <w:rPr>
          <w:szCs w:val="24"/>
        </w:rPr>
        <w:t xml:space="preserve"> </w:t>
      </w:r>
      <w:r w:rsidRPr="000839A4">
        <w:rPr>
          <w:b/>
          <w:szCs w:val="24"/>
        </w:rPr>
        <w:t>výsledek hospodaření minulých let</w:t>
      </w:r>
      <w:r w:rsidRPr="000839A4">
        <w:rPr>
          <w:szCs w:val="24"/>
        </w:rPr>
        <w:t xml:space="preserve">, a to v tom zdaňovacím období, ve kterém </w:t>
      </w:r>
      <w:proofErr w:type="gramStart"/>
      <w:r w:rsidRPr="000839A4">
        <w:rPr>
          <w:strike/>
          <w:szCs w:val="24"/>
        </w:rPr>
        <w:t>bylo</w:t>
      </w:r>
      <w:proofErr w:type="gramEnd"/>
      <w:r w:rsidRPr="000839A4">
        <w:rPr>
          <w:strike/>
          <w:szCs w:val="24"/>
        </w:rPr>
        <w:t xml:space="preserve"> o změně účetní metody účtováno</w:t>
      </w:r>
      <w:r w:rsidRPr="000839A4">
        <w:rPr>
          <w:szCs w:val="24"/>
        </w:rPr>
        <w:t xml:space="preserve"> </w:t>
      </w:r>
      <w:r w:rsidRPr="000839A4">
        <w:rPr>
          <w:b/>
          <w:szCs w:val="24"/>
        </w:rPr>
        <w:t xml:space="preserve">ke změně účetní metody </w:t>
      </w:r>
      <w:proofErr w:type="gramStart"/>
      <w:r w:rsidRPr="000839A4">
        <w:rPr>
          <w:b/>
          <w:szCs w:val="24"/>
        </w:rPr>
        <w:t>došlo</w:t>
      </w:r>
      <w:proofErr w:type="gramEnd"/>
      <w:r w:rsidRPr="000839A4">
        <w:rPr>
          <w:szCs w:val="24"/>
        </w:rPr>
        <w:t xml:space="preserve">, pokud tato změna účetní metody následně ovlivňuje příjmy a výdaje vstupující do základu daně, </w:t>
      </w:r>
    </w:p>
    <w:p w14:paraId="69470723" w14:textId="77777777" w:rsidR="000839A4" w:rsidRPr="000839A4" w:rsidRDefault="000839A4" w:rsidP="000839A4">
      <w:pPr>
        <w:tabs>
          <w:tab w:val="left" w:pos="357"/>
        </w:tabs>
        <w:spacing w:before="0"/>
        <w:ind w:left="714" w:hanging="357"/>
        <w:rPr>
          <w:szCs w:val="24"/>
        </w:rPr>
      </w:pPr>
      <w:r w:rsidRPr="000839A4">
        <w:rPr>
          <w:strike/>
          <w:szCs w:val="24"/>
        </w:rPr>
        <w:t>14.</w:t>
      </w:r>
      <w:r w:rsidRPr="000839A4">
        <w:rPr>
          <w:szCs w:val="24"/>
        </w:rPr>
        <w:t xml:space="preserve"> </w:t>
      </w:r>
      <w:r w:rsidRPr="000839A4">
        <w:rPr>
          <w:b/>
          <w:szCs w:val="24"/>
        </w:rPr>
        <w:t>11.</w:t>
      </w:r>
      <w:r w:rsidRPr="000839A4">
        <w:rPr>
          <w:szCs w:val="24"/>
        </w:rPr>
        <w:tab/>
        <w:t>hodnotu bezúplatného příjmu poplatníka, pokud se o tomto příjmu neúčtuje ve výnosech</w:t>
      </w:r>
      <w:r w:rsidRPr="000839A4">
        <w:rPr>
          <w:b/>
          <w:szCs w:val="24"/>
        </w:rPr>
        <w:t xml:space="preserve"> </w:t>
      </w:r>
      <w:r w:rsidRPr="000839A4">
        <w:rPr>
          <w:szCs w:val="24"/>
        </w:rPr>
        <w:t xml:space="preserve">a nejedná se o příjem osvobozený od daně nebo příjem, který není předmětem daně, nebo o příjem ve formě daru účelově poskytnutého na pořízení hmotného majetku nebo na technické zhodnocení, </w:t>
      </w:r>
    </w:p>
    <w:p w14:paraId="64E9C33F" w14:textId="77777777" w:rsidR="000839A4" w:rsidRPr="000839A4" w:rsidRDefault="000839A4" w:rsidP="000839A4">
      <w:pPr>
        <w:tabs>
          <w:tab w:val="left" w:pos="357"/>
        </w:tabs>
        <w:spacing w:before="0"/>
        <w:ind w:left="714" w:hanging="357"/>
        <w:rPr>
          <w:szCs w:val="24"/>
        </w:rPr>
      </w:pPr>
      <w:r w:rsidRPr="000839A4">
        <w:rPr>
          <w:strike/>
          <w:szCs w:val="24"/>
        </w:rPr>
        <w:t>15.</w:t>
      </w:r>
      <w:r w:rsidRPr="000839A4">
        <w:rPr>
          <w:szCs w:val="24"/>
        </w:rPr>
        <w:t xml:space="preserve"> </w:t>
      </w:r>
      <w:r w:rsidRPr="000839A4">
        <w:rPr>
          <w:b/>
          <w:szCs w:val="24"/>
        </w:rPr>
        <w:t>12.</w:t>
      </w:r>
      <w:r w:rsidRPr="000839A4">
        <w:rPr>
          <w:szCs w:val="24"/>
        </w:rPr>
        <w:tab/>
        <w:t xml:space="preserve">částku ve výši rozdílu mezi </w:t>
      </w:r>
      <w:r w:rsidRPr="000839A4">
        <w:rPr>
          <w:strike/>
          <w:szCs w:val="24"/>
        </w:rPr>
        <w:t>dosavadním dluhem</w:t>
      </w:r>
      <w:r w:rsidRPr="000839A4">
        <w:rPr>
          <w:szCs w:val="24"/>
        </w:rPr>
        <w:t xml:space="preserve"> </w:t>
      </w:r>
      <w:r w:rsidRPr="000839A4">
        <w:rPr>
          <w:b/>
          <w:szCs w:val="24"/>
        </w:rPr>
        <w:t>daňovou hodnotou</w:t>
      </w:r>
      <w:r w:rsidRPr="000839A4">
        <w:rPr>
          <w:szCs w:val="24"/>
        </w:rPr>
        <w:t xml:space="preserve"> </w:t>
      </w:r>
      <w:r w:rsidRPr="000839A4">
        <w:rPr>
          <w:b/>
          <w:szCs w:val="24"/>
        </w:rPr>
        <w:t>dosavadního dluhu</w:t>
      </w:r>
      <w:r w:rsidRPr="000839A4">
        <w:rPr>
          <w:szCs w:val="24"/>
        </w:rPr>
        <w:t xml:space="preserve"> a </w:t>
      </w:r>
      <w:r w:rsidRPr="000839A4">
        <w:rPr>
          <w:strike/>
          <w:szCs w:val="24"/>
        </w:rPr>
        <w:t>dluhem novým nižší hodnoty</w:t>
      </w:r>
      <w:r w:rsidRPr="000839A4">
        <w:rPr>
          <w:szCs w:val="24"/>
        </w:rPr>
        <w:t xml:space="preserve"> </w:t>
      </w:r>
      <w:r w:rsidRPr="000839A4">
        <w:rPr>
          <w:b/>
          <w:szCs w:val="24"/>
        </w:rPr>
        <w:t>daňovou hodnotou dluhu nového, která je nižší,</w:t>
      </w:r>
      <w:r w:rsidRPr="000839A4">
        <w:rPr>
          <w:szCs w:val="24"/>
        </w:rPr>
        <w:t xml:space="preserve"> vzniklou na základě dohody, kterou se dosavadní dluh nahrazuje dluhem novým</w:t>
      </w:r>
      <w:r w:rsidRPr="000839A4">
        <w:rPr>
          <w:b/>
          <w:noProof/>
          <w:szCs w:val="24"/>
        </w:rPr>
        <w:t>, pokud není tato částka zaúčtována ve výnosech</w:t>
      </w:r>
      <w:r w:rsidRPr="000839A4">
        <w:rPr>
          <w:szCs w:val="24"/>
        </w:rPr>
        <w:t xml:space="preserve">, </w:t>
      </w:r>
    </w:p>
    <w:p w14:paraId="76F4398D" w14:textId="77777777" w:rsidR="000839A4" w:rsidRPr="000839A4" w:rsidRDefault="000839A4" w:rsidP="000839A4">
      <w:pPr>
        <w:tabs>
          <w:tab w:val="left" w:pos="357"/>
        </w:tabs>
        <w:spacing w:before="0"/>
        <w:ind w:left="714" w:hanging="357"/>
        <w:rPr>
          <w:szCs w:val="24"/>
        </w:rPr>
      </w:pPr>
      <w:r w:rsidRPr="000839A4">
        <w:rPr>
          <w:strike/>
          <w:szCs w:val="24"/>
        </w:rPr>
        <w:t>16.</w:t>
      </w:r>
      <w:r w:rsidRPr="000839A4">
        <w:rPr>
          <w:szCs w:val="24"/>
        </w:rPr>
        <w:t xml:space="preserve"> </w:t>
      </w:r>
      <w:r w:rsidRPr="000839A4">
        <w:rPr>
          <w:b/>
          <w:szCs w:val="24"/>
        </w:rPr>
        <w:t>13.</w:t>
      </w:r>
      <w:r w:rsidRPr="000839A4">
        <w:rPr>
          <w:szCs w:val="24"/>
        </w:rPr>
        <w:tab/>
        <w:t xml:space="preserve">částku nebo její část uplatněnou v předchozích zdaňovacích obdobích </w:t>
      </w:r>
      <w:r w:rsidRPr="000839A4">
        <w:rPr>
          <w:strike/>
          <w:szCs w:val="24"/>
        </w:rPr>
        <w:t>nebo obdobích, za která se podává daňové přiznání,</w:t>
      </w:r>
      <w:r w:rsidRPr="000839A4">
        <w:rPr>
          <w:szCs w:val="24"/>
        </w:rPr>
        <w:t xml:space="preserve"> jako odpočet na podporu odborného vzdělávání nebo jako odpočet na podporu výzkumu a vývoje, pokud následně došlo k porušení podmínek pro jeho uplatnění, a to ve zdaňovacím období </w:t>
      </w:r>
      <w:r w:rsidRPr="000839A4">
        <w:rPr>
          <w:strike/>
          <w:szCs w:val="24"/>
        </w:rPr>
        <w:t>nebo období, za které se podává daňové přiznání</w:t>
      </w:r>
      <w:r w:rsidRPr="000839A4">
        <w:rPr>
          <w:szCs w:val="24"/>
        </w:rPr>
        <w:t xml:space="preserve">, ve kterém k porušení došlo, </w:t>
      </w:r>
    </w:p>
    <w:p w14:paraId="1250C51F" w14:textId="77777777" w:rsidR="000839A4" w:rsidRPr="000839A4" w:rsidRDefault="000839A4" w:rsidP="000839A4">
      <w:pPr>
        <w:tabs>
          <w:tab w:val="left" w:pos="357"/>
        </w:tabs>
        <w:spacing w:before="0"/>
        <w:ind w:left="714" w:hanging="357"/>
        <w:rPr>
          <w:szCs w:val="24"/>
        </w:rPr>
      </w:pPr>
      <w:r w:rsidRPr="000839A4">
        <w:rPr>
          <w:strike/>
          <w:szCs w:val="24"/>
        </w:rPr>
        <w:t>17.</w:t>
      </w:r>
      <w:r w:rsidRPr="000839A4">
        <w:rPr>
          <w:szCs w:val="24"/>
        </w:rPr>
        <w:t xml:space="preserve"> </w:t>
      </w:r>
      <w:r w:rsidRPr="000839A4">
        <w:rPr>
          <w:b/>
          <w:szCs w:val="24"/>
        </w:rPr>
        <w:t>14.</w:t>
      </w:r>
      <w:r w:rsidRPr="000839A4">
        <w:rPr>
          <w:szCs w:val="24"/>
        </w:rPr>
        <w:tab/>
        <w:t xml:space="preserve">částku ve výši rozdílu mezi cenou sjednanou mezi spojenými osobami a cenou, která by byla sjednána mezi nespojenými osobami v běžných obchodních vztazích za stejných nebo obdobných podmínek, o kterou byl snížen základ daně poplatníka podle § 23 odst. 7; toto ustanovení se nepoužije pro tu část rozdílu, která byla mezi těmito spojenými osobami </w:t>
      </w:r>
      <w:proofErr w:type="gramStart"/>
      <w:r w:rsidRPr="000839A4">
        <w:rPr>
          <w:szCs w:val="24"/>
        </w:rPr>
        <w:t>vypořádána</w:t>
      </w:r>
      <w:r w:rsidRPr="000839A4">
        <w:rPr>
          <w:strike/>
          <w:szCs w:val="24"/>
        </w:rPr>
        <w:t>,</w:t>
      </w:r>
      <w:r w:rsidRPr="000839A4">
        <w:rPr>
          <w:b/>
          <w:szCs w:val="24"/>
        </w:rPr>
        <w:t>.</w:t>
      </w:r>
      <w:proofErr w:type="gramEnd"/>
    </w:p>
    <w:p w14:paraId="3FA6E325" w14:textId="4B8643E1" w:rsidR="000839A4" w:rsidRPr="000839A4" w:rsidRDefault="000839A4" w:rsidP="000839A4">
      <w:pPr>
        <w:tabs>
          <w:tab w:val="left" w:pos="357"/>
        </w:tabs>
        <w:spacing w:before="0"/>
        <w:ind w:left="714" w:hanging="357"/>
        <w:rPr>
          <w:szCs w:val="24"/>
        </w:rPr>
      </w:pPr>
      <w:r w:rsidRPr="000839A4">
        <w:rPr>
          <w:strike/>
          <w:szCs w:val="24"/>
        </w:rPr>
        <w:t>18.</w:t>
      </w:r>
      <w:r w:rsidRPr="000839A4">
        <w:rPr>
          <w:szCs w:val="24"/>
        </w:rPr>
        <w:t xml:space="preserve"> </w:t>
      </w:r>
      <w:r w:rsidRPr="000839A4">
        <w:rPr>
          <w:b/>
          <w:szCs w:val="24"/>
        </w:rPr>
        <w:t>15.</w:t>
      </w:r>
      <w:r w:rsidRPr="000839A4">
        <w:rPr>
          <w:szCs w:val="24"/>
        </w:rPr>
        <w:tab/>
        <w:t xml:space="preserve">částku ve výši zrušené </w:t>
      </w:r>
      <w:r w:rsidRPr="000839A4">
        <w:rPr>
          <w:b/>
          <w:szCs w:val="24"/>
        </w:rPr>
        <w:t xml:space="preserve">daňové </w:t>
      </w:r>
      <w:r w:rsidRPr="000839A4">
        <w:rPr>
          <w:szCs w:val="24"/>
        </w:rPr>
        <w:t xml:space="preserve">rezervy </w:t>
      </w:r>
      <w:r w:rsidRPr="000839A4">
        <w:rPr>
          <w:strike/>
          <w:szCs w:val="24"/>
        </w:rPr>
        <w:t xml:space="preserve">na nakládání s elektroodpadem ze solárních panelů podle zákona upravujícího rezervy pro zjištění základu daně z </w:t>
      </w:r>
      <w:proofErr w:type="gramStart"/>
      <w:r w:rsidRPr="000839A4">
        <w:rPr>
          <w:strike/>
          <w:szCs w:val="24"/>
        </w:rPr>
        <w:t>příjmů,</w:t>
      </w:r>
      <w:r w:rsidRPr="000839A4">
        <w:rPr>
          <w:b/>
          <w:szCs w:val="24"/>
        </w:rPr>
        <w:t>,</w:t>
      </w:r>
      <w:r w:rsidRPr="000839A4">
        <w:rPr>
          <w:szCs w:val="24"/>
        </w:rPr>
        <w:t xml:space="preserve"> </w:t>
      </w:r>
      <w:r w:rsidRPr="000839A4">
        <w:rPr>
          <w:b/>
          <w:szCs w:val="24"/>
        </w:rPr>
        <w:t>která</w:t>
      </w:r>
      <w:proofErr w:type="gramEnd"/>
      <w:r w:rsidRPr="000839A4">
        <w:rPr>
          <w:b/>
          <w:szCs w:val="24"/>
        </w:rPr>
        <w:t xml:space="preserve"> není rezervou v pojišťovnictví ani rezervou podle právních předpisů upravujících účetnictví a </w:t>
      </w:r>
      <w:r w:rsidRPr="000839A4">
        <w:rPr>
          <w:szCs w:val="24"/>
        </w:rPr>
        <w:t xml:space="preserve">o kterou byl snížen výsledek hospodaření podle odstavce 3 písm. c) bodu </w:t>
      </w:r>
      <w:r w:rsidRPr="000839A4">
        <w:rPr>
          <w:strike/>
          <w:szCs w:val="24"/>
        </w:rPr>
        <w:t>10</w:t>
      </w:r>
      <w:r w:rsidRPr="000839A4">
        <w:rPr>
          <w:szCs w:val="24"/>
        </w:rPr>
        <w:t xml:space="preserve"> </w:t>
      </w:r>
      <w:r w:rsidRPr="000839A4">
        <w:rPr>
          <w:b/>
          <w:szCs w:val="24"/>
        </w:rPr>
        <w:t>9</w:t>
      </w:r>
      <w:r w:rsidRPr="000839A4">
        <w:rPr>
          <w:szCs w:val="24"/>
        </w:rPr>
        <w:t>,</w:t>
      </w:r>
    </w:p>
    <w:p w14:paraId="0064D4B8" w14:textId="77777777" w:rsidR="000839A4" w:rsidRPr="000839A4" w:rsidRDefault="000839A4" w:rsidP="000839A4">
      <w:pPr>
        <w:tabs>
          <w:tab w:val="left" w:pos="357"/>
        </w:tabs>
        <w:spacing w:before="0"/>
        <w:ind w:left="714" w:hanging="357"/>
        <w:rPr>
          <w:szCs w:val="24"/>
        </w:rPr>
      </w:pPr>
      <w:r w:rsidRPr="000839A4">
        <w:rPr>
          <w:strike/>
          <w:szCs w:val="24"/>
        </w:rPr>
        <w:t>19.</w:t>
      </w:r>
      <w:r w:rsidRPr="000839A4">
        <w:rPr>
          <w:szCs w:val="24"/>
        </w:rPr>
        <w:tab/>
      </w:r>
      <w:proofErr w:type="gramStart"/>
      <w:r w:rsidRPr="000839A4">
        <w:rPr>
          <w:b/>
          <w:szCs w:val="24"/>
        </w:rPr>
        <w:t>16.</w:t>
      </w:r>
      <w:r w:rsidRPr="000839A4">
        <w:rPr>
          <w:szCs w:val="24"/>
        </w:rPr>
        <w:t>úbytek</w:t>
      </w:r>
      <w:proofErr w:type="gramEnd"/>
      <w:r w:rsidRPr="000839A4">
        <w:rPr>
          <w:szCs w:val="24"/>
        </w:rPr>
        <w:t xml:space="preserve"> rezerv v pojišťovnictví podle zákona upravujícího rezervy pro zjištění základu daně z příjmů,</w:t>
      </w:r>
    </w:p>
    <w:p w14:paraId="374134E4"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 xml:space="preserve">se snižuje o </w:t>
      </w:r>
    </w:p>
    <w:p w14:paraId="5B96E273" w14:textId="77777777" w:rsidR="000839A4" w:rsidRPr="000839A4" w:rsidRDefault="000839A4" w:rsidP="000839A4">
      <w:pPr>
        <w:tabs>
          <w:tab w:val="left" w:pos="357"/>
        </w:tabs>
        <w:spacing w:before="0"/>
        <w:ind w:left="714" w:hanging="357"/>
        <w:rPr>
          <w:strike/>
          <w:szCs w:val="24"/>
        </w:rPr>
      </w:pPr>
      <w:r w:rsidRPr="000839A4">
        <w:rPr>
          <w:strike/>
          <w:szCs w:val="24"/>
        </w:rPr>
        <w:t>1.</w:t>
      </w:r>
      <w:r w:rsidRPr="000839A4">
        <w:rPr>
          <w:strike/>
          <w:szCs w:val="24"/>
        </w:rPr>
        <w:tab/>
        <w:t>rozdíl, o který smluvní pokuty a úroky z prodlení, poplatky z prodlení, penále a jiné sankce ze závazkových vztahů zúčtované ve prospěch výnosů podle zvláštního právního předpisu</w:t>
      </w:r>
      <w:r w:rsidRPr="000839A4">
        <w:rPr>
          <w:strike/>
          <w:szCs w:val="24"/>
          <w:vertAlign w:val="superscript"/>
        </w:rPr>
        <w:t>20)</w:t>
      </w:r>
      <w:r w:rsidRPr="000839A4">
        <w:rPr>
          <w:strike/>
          <w:szCs w:val="24"/>
        </w:rPr>
        <w:t xml:space="preserve"> u poplatníka, který vede účetnictví, převyšují přijaté částky v tomto zdaňovacím období. Do tohoto rozdílu nelze zahrnout částky pohledávek z těchto sankcí, které zanikly v průběhu nebo k poslednímu dni zdaňovacího období. Za zánik pohledávky se pro účely tohoto ustanovení považuje i její postoupení, </w:t>
      </w:r>
    </w:p>
    <w:p w14:paraId="467A32EA" w14:textId="77777777" w:rsidR="000839A4" w:rsidRPr="000839A4" w:rsidRDefault="000839A4" w:rsidP="000839A4">
      <w:pPr>
        <w:tabs>
          <w:tab w:val="left" w:pos="357"/>
        </w:tabs>
        <w:spacing w:before="0"/>
        <w:ind w:left="714" w:hanging="357"/>
        <w:rPr>
          <w:strike/>
          <w:szCs w:val="24"/>
        </w:rPr>
      </w:pPr>
      <w:r w:rsidRPr="000839A4">
        <w:rPr>
          <w:strike/>
          <w:szCs w:val="24"/>
        </w:rPr>
        <w:t>2.</w:t>
      </w:r>
      <w:r w:rsidRPr="000839A4">
        <w:rPr>
          <w:strike/>
          <w:szCs w:val="24"/>
        </w:rPr>
        <w:tab/>
      </w:r>
      <w:proofErr w:type="gramStart"/>
      <w:r w:rsidRPr="000839A4">
        <w:rPr>
          <w:strike/>
          <w:szCs w:val="24"/>
        </w:rPr>
        <w:t>částky  pojistného</w:t>
      </w:r>
      <w:proofErr w:type="gramEnd"/>
      <w:r w:rsidRPr="000839A4">
        <w:rPr>
          <w:strike/>
          <w:szCs w:val="24"/>
        </w:rPr>
        <w:t xml:space="preserve"> na sociální zabezpečení, příspěvku na státní politiku zaměstnanosti a pojistného na veřejné zdravotní pojištění, o které byl zvýšen výsledek hospodaření u poplatníka, který vede účetnictví, podle písmene a) bodu 5, dojde-li k jejich odvedení. Obdobně to platí pro právního nástupce poplatníka zaniklého bez provedení likvidace, pokud tyto částky pojistného a příspěvku odvede za poplatníka zaniklého bez provedení likvidace, </w:t>
      </w:r>
    </w:p>
    <w:p w14:paraId="59000C61" w14:textId="77777777" w:rsidR="000839A4" w:rsidRPr="000839A4" w:rsidRDefault="000839A4" w:rsidP="000839A4">
      <w:pPr>
        <w:tabs>
          <w:tab w:val="left" w:pos="357"/>
        </w:tabs>
        <w:spacing w:before="0"/>
        <w:ind w:left="714" w:hanging="357"/>
        <w:rPr>
          <w:szCs w:val="24"/>
        </w:rPr>
      </w:pPr>
      <w:r w:rsidRPr="000839A4">
        <w:rPr>
          <w:strike/>
          <w:szCs w:val="24"/>
        </w:rPr>
        <w:lastRenderedPageBreak/>
        <w:t>3.</w:t>
      </w:r>
      <w:r w:rsidRPr="000839A4">
        <w:rPr>
          <w:szCs w:val="24"/>
        </w:rPr>
        <w:t xml:space="preserve"> </w:t>
      </w:r>
      <w:r w:rsidRPr="000839A4">
        <w:rPr>
          <w:b/>
          <w:szCs w:val="24"/>
        </w:rPr>
        <w:t>1.</w:t>
      </w:r>
      <w:r w:rsidRPr="000839A4">
        <w:rPr>
          <w:szCs w:val="24"/>
        </w:rPr>
        <w:tab/>
        <w:t xml:space="preserve">částky </w:t>
      </w:r>
      <w:r w:rsidRPr="000839A4">
        <w:rPr>
          <w:strike/>
          <w:szCs w:val="24"/>
        </w:rPr>
        <w:t>dalších</w:t>
      </w:r>
      <w:r w:rsidRPr="000839A4">
        <w:rPr>
          <w:szCs w:val="24"/>
        </w:rPr>
        <w:t xml:space="preserve"> výdajů (nákladů), které lze uplatnit jako výdaje (náklady) na dosažení, zajištění a udržení zdanitelných příjmů, jen pokud byly zaplaceny, dojde-li k jejich zaplacení v jiném zdaňovacím období, než ve kterém tyto náklady ovlivnily výsledek hospodaření. Obdobně to platí pro právního nástupce poplatníka zaniklého bez provedení likvidace. Základ daně nelze snížit o zaplacené úroky, které nebyly výdajem (nákladem) na dosažení, udržení a zajištění příjmů z důvodů uvedených v § 25 odst. 1 písm. </w:t>
      </w:r>
      <w:r w:rsidRPr="000839A4">
        <w:rPr>
          <w:strike/>
          <w:szCs w:val="24"/>
        </w:rPr>
        <w:t>w)</w:t>
      </w:r>
      <w:r w:rsidRPr="000839A4">
        <w:rPr>
          <w:szCs w:val="24"/>
        </w:rPr>
        <w:t xml:space="preserve"> </w:t>
      </w:r>
      <w:r w:rsidRPr="000839A4">
        <w:rPr>
          <w:b/>
          <w:szCs w:val="24"/>
        </w:rPr>
        <w:t>q)</w:t>
      </w:r>
      <w:r w:rsidRPr="000839A4">
        <w:rPr>
          <w:szCs w:val="24"/>
        </w:rPr>
        <w:t xml:space="preserve">, </w:t>
      </w:r>
    </w:p>
    <w:p w14:paraId="71E7C91D" w14:textId="77777777" w:rsidR="000839A4" w:rsidRPr="000839A4" w:rsidRDefault="000839A4" w:rsidP="000839A4">
      <w:pPr>
        <w:tabs>
          <w:tab w:val="left" w:pos="357"/>
        </w:tabs>
        <w:spacing w:before="0"/>
        <w:ind w:left="714" w:hanging="357"/>
        <w:rPr>
          <w:szCs w:val="24"/>
        </w:rPr>
      </w:pPr>
      <w:r w:rsidRPr="000839A4">
        <w:rPr>
          <w:strike/>
          <w:szCs w:val="24"/>
        </w:rPr>
        <w:t>4.</w:t>
      </w:r>
      <w:r w:rsidRPr="000839A4">
        <w:rPr>
          <w:szCs w:val="24"/>
        </w:rPr>
        <w:t xml:space="preserve"> </w:t>
      </w:r>
      <w:r w:rsidRPr="000839A4">
        <w:rPr>
          <w:b/>
          <w:szCs w:val="24"/>
        </w:rPr>
        <w:t>2.</w:t>
      </w:r>
      <w:r w:rsidRPr="000839A4">
        <w:rPr>
          <w:szCs w:val="24"/>
        </w:rPr>
        <w:tab/>
        <w:t>částky zaúčtované podle zvláštního právního předpisu</w:t>
      </w:r>
      <w:r w:rsidRPr="000839A4">
        <w:rPr>
          <w:strike/>
          <w:szCs w:val="24"/>
          <w:vertAlign w:val="superscript"/>
        </w:rPr>
        <w:t>20)</w:t>
      </w:r>
      <w:r w:rsidRPr="000839A4">
        <w:rPr>
          <w:szCs w:val="24"/>
        </w:rPr>
        <w:t xml:space="preserve"> ve prospěch výnosů nebo nákladů v účetnictví společníka při nabytí akcií nebo podílu v obchodní společnosti v rámci přeměny podle zvláštního předpisu, pokud v této souvislosti nedojde ke zvýšení </w:t>
      </w:r>
      <w:r w:rsidRPr="000839A4">
        <w:rPr>
          <w:strike/>
          <w:szCs w:val="24"/>
        </w:rPr>
        <w:t>nabývací ceny (§ 24 odst. 7)</w:t>
      </w:r>
      <w:r w:rsidRPr="000839A4">
        <w:rPr>
          <w:szCs w:val="24"/>
        </w:rPr>
        <w:t xml:space="preserve"> </w:t>
      </w:r>
      <w:r w:rsidRPr="000839A4">
        <w:rPr>
          <w:b/>
          <w:szCs w:val="24"/>
        </w:rPr>
        <w:t>daňové hodnoty</w:t>
      </w:r>
      <w:r w:rsidRPr="000839A4">
        <w:rPr>
          <w:szCs w:val="24"/>
        </w:rPr>
        <w:t xml:space="preserve">, </w:t>
      </w:r>
    </w:p>
    <w:p w14:paraId="641B629B" w14:textId="77777777" w:rsidR="000839A4" w:rsidRPr="000839A4" w:rsidRDefault="000839A4" w:rsidP="000839A4">
      <w:pPr>
        <w:tabs>
          <w:tab w:val="left" w:pos="357"/>
        </w:tabs>
        <w:spacing w:before="0"/>
        <w:ind w:left="714" w:hanging="357"/>
        <w:rPr>
          <w:color w:val="FFFFFF" w:themeColor="background1"/>
          <w:szCs w:val="24"/>
        </w:rPr>
      </w:pPr>
      <w:r w:rsidRPr="000839A4">
        <w:rPr>
          <w:strike/>
          <w:szCs w:val="24"/>
        </w:rPr>
        <w:t>5.</w:t>
      </w:r>
      <w:r w:rsidRPr="000839A4">
        <w:rPr>
          <w:szCs w:val="24"/>
        </w:rPr>
        <w:t xml:space="preserve"> </w:t>
      </w:r>
      <w:r w:rsidRPr="000839A4">
        <w:rPr>
          <w:b/>
          <w:szCs w:val="24"/>
        </w:rPr>
        <w:t>3.</w:t>
      </w:r>
      <w:r w:rsidRPr="000839A4">
        <w:rPr>
          <w:color w:val="FFFFFF" w:themeColor="background1"/>
          <w:szCs w:val="24"/>
        </w:rPr>
        <w:tab/>
      </w:r>
      <w:r w:rsidRPr="000839A4">
        <w:rPr>
          <w:szCs w:val="24"/>
        </w:rPr>
        <w:t>částky zaúčtované podle zvláštního právního předpisu</w:t>
      </w:r>
      <w:r w:rsidRPr="000839A4">
        <w:rPr>
          <w:strike/>
          <w:szCs w:val="24"/>
          <w:vertAlign w:val="superscript"/>
        </w:rPr>
        <w:t>20)</w:t>
      </w:r>
      <w:r w:rsidRPr="000839A4">
        <w:rPr>
          <w:szCs w:val="24"/>
        </w:rPr>
        <w:t xml:space="preserve"> ve prospěch výnosů nebo nákladů v účetnictví společníka při nabytí akcií tímto společníkem, pokud tyto akcie byly nově emitovány na základě zvýšení základního kapitálu podle zvláštního předpisu, byl-li zdrojem tohoto zvýšení zisk obchodní společnosti, fond vytvořený ze zisku či jiné složky vlastního kapitálu, pokud v této souvislosti nedojde ke zvýšení </w:t>
      </w:r>
      <w:r w:rsidRPr="000839A4">
        <w:rPr>
          <w:strike/>
          <w:szCs w:val="24"/>
        </w:rPr>
        <w:t>nabývací ceny (§ 24 odst. 7)</w:t>
      </w:r>
      <w:r w:rsidRPr="000839A4">
        <w:rPr>
          <w:szCs w:val="24"/>
        </w:rPr>
        <w:t xml:space="preserve"> </w:t>
      </w:r>
      <w:r w:rsidRPr="000839A4">
        <w:rPr>
          <w:b/>
          <w:szCs w:val="24"/>
        </w:rPr>
        <w:t>daňové hodnoty</w:t>
      </w:r>
      <w:r w:rsidRPr="000839A4">
        <w:rPr>
          <w:szCs w:val="24"/>
        </w:rPr>
        <w:t xml:space="preserve">, </w:t>
      </w:r>
    </w:p>
    <w:p w14:paraId="09A2C4EE" w14:textId="77777777" w:rsidR="000839A4" w:rsidRPr="000839A4" w:rsidRDefault="000839A4" w:rsidP="000839A4">
      <w:pPr>
        <w:tabs>
          <w:tab w:val="left" w:pos="357"/>
        </w:tabs>
        <w:spacing w:before="0"/>
        <w:ind w:left="714" w:hanging="357"/>
        <w:rPr>
          <w:szCs w:val="24"/>
        </w:rPr>
      </w:pPr>
      <w:r w:rsidRPr="000839A4">
        <w:rPr>
          <w:strike/>
          <w:szCs w:val="24"/>
        </w:rPr>
        <w:t>6.</w:t>
      </w:r>
      <w:r w:rsidRPr="000839A4">
        <w:rPr>
          <w:szCs w:val="24"/>
        </w:rPr>
        <w:t xml:space="preserve"> </w:t>
      </w:r>
      <w:r w:rsidRPr="000839A4">
        <w:rPr>
          <w:b/>
          <w:szCs w:val="24"/>
        </w:rPr>
        <w:t>4.</w:t>
      </w:r>
      <w:r w:rsidRPr="000839A4">
        <w:rPr>
          <w:szCs w:val="24"/>
        </w:rPr>
        <w:tab/>
        <w:t xml:space="preserve">částku vzniklou v důsledku změny účetní metody, která snížila </w:t>
      </w:r>
      <w:r w:rsidRPr="000839A4">
        <w:rPr>
          <w:strike/>
          <w:szCs w:val="24"/>
        </w:rPr>
        <w:t>vlastní kapitál</w:t>
      </w:r>
      <w:r w:rsidRPr="000839A4">
        <w:rPr>
          <w:szCs w:val="24"/>
        </w:rPr>
        <w:t xml:space="preserve"> </w:t>
      </w:r>
      <w:r w:rsidRPr="000839A4">
        <w:rPr>
          <w:b/>
          <w:szCs w:val="24"/>
        </w:rPr>
        <w:t>výsledek hospodaření minulých let</w:t>
      </w:r>
      <w:r w:rsidRPr="000839A4">
        <w:rPr>
          <w:szCs w:val="24"/>
        </w:rPr>
        <w:t xml:space="preserve">, a to v tom zdaňovacím období, ve kterém </w:t>
      </w:r>
      <w:proofErr w:type="gramStart"/>
      <w:r w:rsidRPr="000839A4">
        <w:rPr>
          <w:strike/>
          <w:szCs w:val="24"/>
        </w:rPr>
        <w:t>bylo</w:t>
      </w:r>
      <w:proofErr w:type="gramEnd"/>
      <w:r w:rsidRPr="000839A4">
        <w:rPr>
          <w:strike/>
          <w:szCs w:val="24"/>
        </w:rPr>
        <w:t xml:space="preserve"> o změně účetní metody účtováno</w:t>
      </w:r>
      <w:r w:rsidRPr="000839A4">
        <w:rPr>
          <w:b/>
          <w:strike/>
          <w:szCs w:val="24"/>
        </w:rPr>
        <w:t xml:space="preserve"> </w:t>
      </w:r>
      <w:r w:rsidRPr="000839A4">
        <w:rPr>
          <w:b/>
          <w:szCs w:val="24"/>
        </w:rPr>
        <w:t xml:space="preserve">ke změně účetní metody </w:t>
      </w:r>
      <w:proofErr w:type="gramStart"/>
      <w:r w:rsidRPr="000839A4">
        <w:rPr>
          <w:b/>
          <w:szCs w:val="24"/>
        </w:rPr>
        <w:t>došlo</w:t>
      </w:r>
      <w:proofErr w:type="gramEnd"/>
      <w:r w:rsidRPr="000839A4">
        <w:rPr>
          <w:szCs w:val="24"/>
        </w:rPr>
        <w:t>, pokud tato změna účetní metody následně ovlivňuje příjmy a výdaje vstupující do základu daně,</w:t>
      </w:r>
    </w:p>
    <w:p w14:paraId="44699229" w14:textId="77777777" w:rsidR="000839A4" w:rsidRPr="000839A4" w:rsidRDefault="000839A4" w:rsidP="000839A4">
      <w:pPr>
        <w:tabs>
          <w:tab w:val="left" w:pos="357"/>
        </w:tabs>
        <w:spacing w:before="0"/>
        <w:ind w:left="357" w:hanging="357"/>
        <w:rPr>
          <w:szCs w:val="24"/>
        </w:rPr>
      </w:pPr>
      <w:r w:rsidRPr="000839A4">
        <w:rPr>
          <w:szCs w:val="24"/>
        </w:rPr>
        <w:t>c)</w:t>
      </w:r>
      <w:r w:rsidRPr="000839A4">
        <w:rPr>
          <w:szCs w:val="24"/>
        </w:rPr>
        <w:tab/>
        <w:t xml:space="preserve">lze snížit o </w:t>
      </w:r>
    </w:p>
    <w:p w14:paraId="21191579" w14:textId="77777777" w:rsidR="000839A4" w:rsidRPr="000839A4" w:rsidRDefault="000839A4" w:rsidP="000839A4">
      <w:pPr>
        <w:tabs>
          <w:tab w:val="left" w:pos="357"/>
        </w:tabs>
        <w:spacing w:before="0"/>
        <w:ind w:left="714" w:hanging="357"/>
        <w:rPr>
          <w:szCs w:val="24"/>
        </w:rPr>
      </w:pPr>
      <w:r w:rsidRPr="000839A4">
        <w:rPr>
          <w:szCs w:val="24"/>
        </w:rPr>
        <w:t>1.</w:t>
      </w:r>
      <w:r w:rsidRPr="000839A4">
        <w:rPr>
          <w:szCs w:val="24"/>
        </w:rPr>
        <w:tab/>
        <w:t xml:space="preserve">částky, o které byly nesprávně zvýšeny příjmy, </w:t>
      </w:r>
    </w:p>
    <w:p w14:paraId="5A598FFB" w14:textId="77777777" w:rsidR="000839A4" w:rsidRPr="000839A4" w:rsidRDefault="000839A4" w:rsidP="000839A4">
      <w:pPr>
        <w:tabs>
          <w:tab w:val="left" w:pos="357"/>
        </w:tabs>
        <w:spacing w:before="0"/>
        <w:ind w:left="714" w:hanging="357"/>
        <w:rPr>
          <w:szCs w:val="24"/>
        </w:rPr>
      </w:pPr>
      <w:r w:rsidRPr="000839A4">
        <w:rPr>
          <w:szCs w:val="24"/>
        </w:rPr>
        <w:t>2.</w:t>
      </w:r>
      <w:r w:rsidRPr="000839A4">
        <w:rPr>
          <w:szCs w:val="24"/>
        </w:rPr>
        <w:tab/>
        <w:t xml:space="preserve">částky nezahrnuté do výdajů (nákladů), které lze podle tohoto zákona do výdajů (nákladů) zahrnout, </w:t>
      </w:r>
    </w:p>
    <w:p w14:paraId="38F585E6" w14:textId="77777777" w:rsidR="000839A4" w:rsidRPr="000839A4" w:rsidRDefault="000839A4" w:rsidP="000839A4">
      <w:pPr>
        <w:tabs>
          <w:tab w:val="left" w:pos="357"/>
        </w:tabs>
        <w:spacing w:before="0"/>
        <w:ind w:left="714" w:hanging="357"/>
        <w:rPr>
          <w:strike/>
          <w:szCs w:val="24"/>
        </w:rPr>
      </w:pPr>
      <w:r w:rsidRPr="000839A4">
        <w:rPr>
          <w:strike/>
          <w:szCs w:val="24"/>
        </w:rPr>
        <w:t>3.</w:t>
      </w:r>
      <w:r w:rsidRPr="000839A4">
        <w:rPr>
          <w:strike/>
          <w:szCs w:val="24"/>
        </w:rPr>
        <w:tab/>
        <w:t>částky související s rozpouštěním rezerv a opravných položek, jejichž tvorba nebyla pro daňové účely výdajem (nákladem) na dosažení, zajištění a udržení příjmů, pokud jsou podle zvláštního právního předpisu</w:t>
      </w:r>
      <w:r w:rsidRPr="000839A4">
        <w:rPr>
          <w:strike/>
          <w:szCs w:val="24"/>
          <w:vertAlign w:val="superscript"/>
        </w:rPr>
        <w:t>20)</w:t>
      </w:r>
      <w:r w:rsidRPr="000839A4">
        <w:rPr>
          <w:strike/>
          <w:szCs w:val="24"/>
        </w:rPr>
        <w:t xml:space="preserve"> zaúčtovány ve prospěch nákladů nebo výnosů, </w:t>
      </w:r>
    </w:p>
    <w:p w14:paraId="3E1E89BE" w14:textId="77777777" w:rsidR="000839A4" w:rsidRPr="000839A4" w:rsidRDefault="000839A4" w:rsidP="000839A4">
      <w:pPr>
        <w:tabs>
          <w:tab w:val="left" w:pos="357"/>
        </w:tabs>
        <w:spacing w:before="0"/>
        <w:ind w:left="714" w:hanging="357"/>
        <w:rPr>
          <w:szCs w:val="24"/>
        </w:rPr>
      </w:pPr>
      <w:r w:rsidRPr="000839A4">
        <w:rPr>
          <w:strike/>
          <w:szCs w:val="24"/>
        </w:rPr>
        <w:t>4.</w:t>
      </w:r>
      <w:r w:rsidRPr="000839A4">
        <w:rPr>
          <w:szCs w:val="24"/>
        </w:rPr>
        <w:t xml:space="preserve"> </w:t>
      </w:r>
      <w:r w:rsidRPr="000839A4">
        <w:rPr>
          <w:b/>
          <w:szCs w:val="24"/>
        </w:rPr>
        <w:t>3.</w:t>
      </w:r>
      <w:r w:rsidRPr="000839A4">
        <w:rPr>
          <w:szCs w:val="24"/>
        </w:rPr>
        <w:tab/>
        <w:t xml:space="preserve">oceňovací rozdíl vzniklý jinak než koupí majetku, není-li v tomto zákoně dále stanoveno jinak, </w:t>
      </w:r>
    </w:p>
    <w:p w14:paraId="349718EA" w14:textId="77777777" w:rsidR="000839A4" w:rsidRPr="000839A4" w:rsidRDefault="000839A4" w:rsidP="000839A4">
      <w:pPr>
        <w:tabs>
          <w:tab w:val="left" w:pos="357"/>
        </w:tabs>
        <w:spacing w:before="0"/>
        <w:ind w:left="714" w:hanging="357"/>
        <w:rPr>
          <w:szCs w:val="24"/>
        </w:rPr>
      </w:pPr>
      <w:r w:rsidRPr="000839A4">
        <w:rPr>
          <w:strike/>
          <w:szCs w:val="24"/>
        </w:rPr>
        <w:t>5.</w:t>
      </w:r>
      <w:r w:rsidRPr="000839A4">
        <w:rPr>
          <w:szCs w:val="24"/>
        </w:rPr>
        <w:t xml:space="preserve"> </w:t>
      </w:r>
      <w:r w:rsidRPr="000839A4">
        <w:rPr>
          <w:b/>
          <w:szCs w:val="24"/>
        </w:rPr>
        <w:t>4.</w:t>
      </w:r>
      <w:r w:rsidRPr="000839A4">
        <w:rPr>
          <w:szCs w:val="24"/>
        </w:rPr>
        <w:tab/>
        <w:t xml:space="preserve">částky ve výši záporného rozdílu mezi </w:t>
      </w:r>
      <w:r w:rsidRPr="000839A4">
        <w:rPr>
          <w:strike/>
          <w:szCs w:val="24"/>
        </w:rPr>
        <w:t>oceněním</w:t>
      </w:r>
      <w:r w:rsidRPr="000839A4">
        <w:rPr>
          <w:szCs w:val="24"/>
        </w:rPr>
        <w:t xml:space="preserve"> </w:t>
      </w:r>
      <w:r w:rsidRPr="000839A4">
        <w:rPr>
          <w:b/>
          <w:szCs w:val="24"/>
        </w:rPr>
        <w:t xml:space="preserve">prvotní účetní hodnotou </w:t>
      </w:r>
      <w:r w:rsidRPr="000839A4">
        <w:rPr>
          <w:szCs w:val="24"/>
        </w:rPr>
        <w:t>obchodního závodu při nabytí vkladem nebo přeměnou</w:t>
      </w:r>
      <w:r w:rsidRPr="000839A4">
        <w:rPr>
          <w:szCs w:val="24"/>
          <w:vertAlign w:val="superscript"/>
        </w:rPr>
        <w:t>131)</w:t>
      </w:r>
      <w:r w:rsidRPr="000839A4">
        <w:rPr>
          <w:szCs w:val="24"/>
        </w:rPr>
        <w:t xml:space="preserve"> a </w:t>
      </w:r>
      <w:r w:rsidRPr="000839A4">
        <w:rPr>
          <w:strike/>
          <w:szCs w:val="24"/>
        </w:rPr>
        <w:t>souhrnem jeho individuálně přeceněných složek majetku sníženým o převzaté dluhy (goodwill)</w:t>
      </w:r>
      <w:r w:rsidRPr="000839A4">
        <w:rPr>
          <w:szCs w:val="24"/>
        </w:rPr>
        <w:t xml:space="preserve"> </w:t>
      </w:r>
      <w:r w:rsidRPr="000839A4">
        <w:rPr>
          <w:b/>
          <w:szCs w:val="24"/>
        </w:rPr>
        <w:t>rozdílem</w:t>
      </w:r>
      <w:r w:rsidRPr="000839A4">
        <w:rPr>
          <w:szCs w:val="24"/>
        </w:rPr>
        <w:t xml:space="preserve"> </w:t>
      </w:r>
      <w:r w:rsidRPr="000839A4">
        <w:rPr>
          <w:b/>
          <w:szCs w:val="24"/>
        </w:rPr>
        <w:t>mezi</w:t>
      </w:r>
      <w:r w:rsidRPr="000839A4">
        <w:rPr>
          <w:szCs w:val="24"/>
        </w:rPr>
        <w:t xml:space="preserve"> </w:t>
      </w:r>
      <w:r w:rsidRPr="000839A4">
        <w:rPr>
          <w:b/>
          <w:szCs w:val="24"/>
        </w:rPr>
        <w:t>úhrnem reálných hodnot jednotlivých aktiv a úhrnem reálných hodnot jednotlivých dluhů tohoto obchodního závodu</w:t>
      </w:r>
      <w:r w:rsidRPr="000839A4">
        <w:rPr>
          <w:szCs w:val="24"/>
        </w:rPr>
        <w:t>, pokud jsou podle zvláštního právního předpisu</w:t>
      </w:r>
      <w:r w:rsidRPr="000839A4">
        <w:rPr>
          <w:strike/>
          <w:szCs w:val="24"/>
          <w:vertAlign w:val="superscript"/>
        </w:rPr>
        <w:t>20)</w:t>
      </w:r>
      <w:r w:rsidRPr="000839A4">
        <w:rPr>
          <w:szCs w:val="24"/>
        </w:rPr>
        <w:t xml:space="preserve"> zaúčtovány ve prospěch výnosů, </w:t>
      </w:r>
    </w:p>
    <w:p w14:paraId="23A38926" w14:textId="77777777" w:rsidR="000839A4" w:rsidRPr="000839A4" w:rsidRDefault="000839A4" w:rsidP="000839A4">
      <w:pPr>
        <w:tabs>
          <w:tab w:val="left" w:pos="357"/>
        </w:tabs>
        <w:spacing w:before="0"/>
        <w:ind w:left="714" w:hanging="357"/>
        <w:rPr>
          <w:szCs w:val="24"/>
        </w:rPr>
      </w:pPr>
      <w:r w:rsidRPr="000839A4">
        <w:rPr>
          <w:strike/>
          <w:szCs w:val="24"/>
        </w:rPr>
        <w:t>6.</w:t>
      </w:r>
      <w:r w:rsidRPr="000839A4">
        <w:rPr>
          <w:szCs w:val="24"/>
        </w:rPr>
        <w:t xml:space="preserve"> </w:t>
      </w:r>
      <w:r w:rsidRPr="000839A4">
        <w:rPr>
          <w:b/>
          <w:szCs w:val="24"/>
        </w:rPr>
        <w:t>5.</w:t>
      </w:r>
      <w:r w:rsidRPr="000839A4">
        <w:rPr>
          <w:szCs w:val="24"/>
        </w:rPr>
        <w:tab/>
      </w:r>
      <w:r w:rsidRPr="000839A4">
        <w:rPr>
          <w:strike/>
          <w:szCs w:val="24"/>
        </w:rPr>
        <w:t>hodnotu</w:t>
      </w:r>
      <w:r w:rsidRPr="000839A4">
        <w:rPr>
          <w:szCs w:val="24"/>
        </w:rPr>
        <w:t xml:space="preserve"> </w:t>
      </w:r>
      <w:r w:rsidRPr="000839A4">
        <w:rPr>
          <w:b/>
          <w:szCs w:val="24"/>
        </w:rPr>
        <w:t>částku odpovídající daňové hodnotě</w:t>
      </w:r>
      <w:r w:rsidRPr="000839A4">
        <w:rPr>
          <w:szCs w:val="24"/>
        </w:rPr>
        <w:t xml:space="preserve"> dluhu zaniklého splněním, započtením nebo splynutím, o kterou byl zvýšen výsledek hospodaření nebo rozdíl mezi příjmy a výdaji podle písmene a) bodu </w:t>
      </w:r>
      <w:r w:rsidRPr="000839A4">
        <w:rPr>
          <w:strike/>
          <w:szCs w:val="24"/>
        </w:rPr>
        <w:t>11</w:t>
      </w:r>
      <w:r w:rsidRPr="000839A4">
        <w:rPr>
          <w:szCs w:val="24"/>
        </w:rPr>
        <w:t xml:space="preserve"> </w:t>
      </w:r>
      <w:r w:rsidRPr="000839A4">
        <w:rPr>
          <w:b/>
          <w:szCs w:val="24"/>
        </w:rPr>
        <w:t>8</w:t>
      </w:r>
      <w:r w:rsidRPr="000839A4">
        <w:rPr>
          <w:szCs w:val="24"/>
        </w:rPr>
        <w:t xml:space="preserve">; o tuto hodnotu může snížit výsledek hospodaření nebo rozdíl mezi příjmy a výdaji podle odstavce 2 i právní nástupce poplatníka zaniklého bez provedení likvidace nebo právní nástupce poplatníka, který je fyzickou osobou, pokud u těchto právních nástupců tento dluh takovým způsobem zanikl a o </w:t>
      </w:r>
      <w:r w:rsidRPr="000839A4">
        <w:rPr>
          <w:b/>
          <w:szCs w:val="24"/>
        </w:rPr>
        <w:t>daňovou</w:t>
      </w:r>
      <w:r w:rsidRPr="000839A4">
        <w:rPr>
          <w:szCs w:val="24"/>
        </w:rPr>
        <w:t xml:space="preserve"> hodnotu tohoto dluhu byl u poplatníka zaniklého bez provedení likvidace nebo poplatníka, který je fyzickou osobou, zvýšen výsledek hospodaření nebo rozdíl mezi příjmy a výdaji podle písmene a) bodu </w:t>
      </w:r>
      <w:r w:rsidRPr="000839A4">
        <w:rPr>
          <w:strike/>
          <w:szCs w:val="24"/>
        </w:rPr>
        <w:t>11</w:t>
      </w:r>
      <w:r w:rsidRPr="000839A4">
        <w:rPr>
          <w:szCs w:val="24"/>
        </w:rPr>
        <w:t xml:space="preserve"> </w:t>
      </w:r>
      <w:r w:rsidRPr="000839A4">
        <w:rPr>
          <w:b/>
          <w:szCs w:val="24"/>
        </w:rPr>
        <w:t>8</w:t>
      </w:r>
      <w:r w:rsidRPr="000839A4">
        <w:rPr>
          <w:strike/>
          <w:noProof/>
          <w:szCs w:val="24"/>
        </w:rPr>
        <w:t>. Obdobně postupují poplatníci s příjmy podle § 7 nebo 9, kteří nevedou účetnictví</w:t>
      </w:r>
      <w:r w:rsidRPr="000839A4">
        <w:rPr>
          <w:szCs w:val="24"/>
        </w:rPr>
        <w:t>,</w:t>
      </w:r>
    </w:p>
    <w:p w14:paraId="53D13CDD" w14:textId="77777777" w:rsidR="000839A4" w:rsidRPr="000839A4" w:rsidRDefault="000839A4" w:rsidP="000839A4">
      <w:pPr>
        <w:tabs>
          <w:tab w:val="left" w:pos="357"/>
        </w:tabs>
        <w:spacing w:before="0"/>
        <w:ind w:left="714" w:hanging="357"/>
        <w:rPr>
          <w:szCs w:val="24"/>
        </w:rPr>
      </w:pPr>
      <w:r w:rsidRPr="000839A4">
        <w:rPr>
          <w:strike/>
          <w:szCs w:val="24"/>
        </w:rPr>
        <w:t>7.</w:t>
      </w:r>
      <w:r w:rsidRPr="000839A4">
        <w:rPr>
          <w:szCs w:val="24"/>
        </w:rPr>
        <w:t xml:space="preserve"> </w:t>
      </w:r>
      <w:r w:rsidRPr="000839A4">
        <w:rPr>
          <w:b/>
          <w:szCs w:val="24"/>
        </w:rPr>
        <w:t>6.</w:t>
      </w:r>
      <w:r w:rsidRPr="000839A4">
        <w:rPr>
          <w:szCs w:val="24"/>
        </w:rPr>
        <w:tab/>
      </w:r>
      <w:r w:rsidRPr="000839A4">
        <w:rPr>
          <w:strike/>
          <w:szCs w:val="24"/>
        </w:rPr>
        <w:t>hodnotu</w:t>
      </w:r>
      <w:r w:rsidRPr="000839A4">
        <w:rPr>
          <w:szCs w:val="24"/>
        </w:rPr>
        <w:t xml:space="preserve"> </w:t>
      </w:r>
      <w:r w:rsidRPr="000839A4">
        <w:rPr>
          <w:b/>
          <w:szCs w:val="24"/>
        </w:rPr>
        <w:t>částku odpovídající</w:t>
      </w:r>
      <w:r w:rsidRPr="000839A4">
        <w:rPr>
          <w:szCs w:val="24"/>
        </w:rPr>
        <w:t xml:space="preserve"> </w:t>
      </w:r>
      <w:r w:rsidRPr="000839A4">
        <w:rPr>
          <w:b/>
          <w:szCs w:val="24"/>
        </w:rPr>
        <w:t>daňové hodnotě</w:t>
      </w:r>
      <w:r w:rsidRPr="000839A4">
        <w:rPr>
          <w:szCs w:val="24"/>
        </w:rPr>
        <w:t xml:space="preserve"> odvolaného daru</w:t>
      </w:r>
      <w:r w:rsidRPr="000839A4">
        <w:rPr>
          <w:strike/>
          <w:szCs w:val="24"/>
        </w:rPr>
        <w:t xml:space="preserve">, a to u hmotného majetku nejvýše o zůstatkovou cenu, u ostatního majetku o částku zachycenou v účetnictví, pokud o ní není účtováno v nákladech (výdajích); základ daně lze snížit, </w:t>
      </w:r>
      <w:r w:rsidRPr="000839A4">
        <w:rPr>
          <w:strike/>
          <w:szCs w:val="24"/>
        </w:rPr>
        <w:lastRenderedPageBreak/>
        <w:t>pokud příjem obdarovaného z daru nebyl od daně osvobozen</w:t>
      </w:r>
      <w:r w:rsidRPr="000839A4">
        <w:rPr>
          <w:b/>
          <w:strike/>
          <w:szCs w:val="24"/>
        </w:rPr>
        <w:t xml:space="preserve"> </w:t>
      </w:r>
      <w:r w:rsidRPr="000839A4">
        <w:rPr>
          <w:b/>
          <w:szCs w:val="24"/>
        </w:rPr>
        <w:t>u poplatníka s akruálním základem daně, pokud v důsledku tohoto jeho odvolání nevzniká výdaj snižující daňovou hodnotu</w:t>
      </w:r>
      <w:r w:rsidRPr="000839A4">
        <w:rPr>
          <w:szCs w:val="24"/>
        </w:rPr>
        <w:t xml:space="preserve">, </w:t>
      </w:r>
    </w:p>
    <w:p w14:paraId="1D18BDC2" w14:textId="77777777" w:rsidR="000839A4" w:rsidRPr="000839A4" w:rsidRDefault="000839A4" w:rsidP="000839A4">
      <w:pPr>
        <w:tabs>
          <w:tab w:val="left" w:pos="357"/>
        </w:tabs>
        <w:spacing w:before="0"/>
        <w:ind w:left="714" w:hanging="357"/>
        <w:rPr>
          <w:szCs w:val="24"/>
        </w:rPr>
      </w:pPr>
      <w:r w:rsidRPr="000839A4">
        <w:rPr>
          <w:strike/>
          <w:szCs w:val="24"/>
        </w:rPr>
        <w:t>8.</w:t>
      </w:r>
      <w:r w:rsidRPr="000839A4">
        <w:rPr>
          <w:szCs w:val="24"/>
        </w:rPr>
        <w:t xml:space="preserve"> </w:t>
      </w:r>
      <w:r w:rsidRPr="000839A4">
        <w:rPr>
          <w:b/>
          <w:szCs w:val="24"/>
        </w:rPr>
        <w:t>7.</w:t>
      </w:r>
      <w:r w:rsidRPr="000839A4">
        <w:rPr>
          <w:szCs w:val="24"/>
        </w:rPr>
        <w:tab/>
        <w:t xml:space="preserve">hodnotu bezúplatného příjmu poplatníka, o kterou byl zvýšen výsledek hospodaření nebo rozdíl mezi příjmy a výdaji podle odstavce 3 písm. a) bodu </w:t>
      </w:r>
      <w:r w:rsidRPr="000839A4">
        <w:rPr>
          <w:strike/>
          <w:szCs w:val="24"/>
        </w:rPr>
        <w:t>14</w:t>
      </w:r>
      <w:r w:rsidRPr="000839A4">
        <w:rPr>
          <w:szCs w:val="24"/>
        </w:rPr>
        <w:t xml:space="preserve"> </w:t>
      </w:r>
      <w:r w:rsidRPr="000839A4">
        <w:rPr>
          <w:b/>
          <w:szCs w:val="24"/>
        </w:rPr>
        <w:t>11</w:t>
      </w:r>
      <w:r w:rsidRPr="000839A4">
        <w:rPr>
          <w:szCs w:val="24"/>
        </w:rPr>
        <w:t xml:space="preserve">, pokud je tento bezúplatný příjem využit k dosažení, zajištění a udržení příjmů, které jsou předmětem daně a nejsou od daně osvobozené, a hodnota bezúplatného příjmu není výdajem na dosažení, zajištění a udržení příjmů </w:t>
      </w:r>
      <w:r w:rsidRPr="000839A4">
        <w:rPr>
          <w:b/>
          <w:szCs w:val="24"/>
        </w:rPr>
        <w:t>ani není součástí daňové hodnoty aktiva</w:t>
      </w:r>
      <w:r w:rsidRPr="000839A4">
        <w:rPr>
          <w:szCs w:val="24"/>
        </w:rPr>
        <w:t>,</w:t>
      </w:r>
    </w:p>
    <w:p w14:paraId="59347C4A" w14:textId="77777777" w:rsidR="000839A4" w:rsidRPr="000839A4" w:rsidRDefault="000839A4" w:rsidP="000839A4">
      <w:pPr>
        <w:tabs>
          <w:tab w:val="left" w:pos="357"/>
        </w:tabs>
        <w:spacing w:before="0"/>
        <w:ind w:left="714" w:hanging="357"/>
        <w:rPr>
          <w:strike/>
          <w:szCs w:val="24"/>
        </w:rPr>
      </w:pPr>
      <w:r w:rsidRPr="000839A4">
        <w:rPr>
          <w:strike/>
          <w:szCs w:val="24"/>
        </w:rPr>
        <w:t xml:space="preserve">9. </w:t>
      </w:r>
      <w:r w:rsidRPr="000839A4">
        <w:rPr>
          <w:b/>
          <w:strike/>
          <w:szCs w:val="24"/>
        </w:rPr>
        <w:t>8.</w:t>
      </w:r>
      <w:r w:rsidRPr="000839A4">
        <w:rPr>
          <w:strike/>
          <w:szCs w:val="24"/>
        </w:rPr>
        <w:tab/>
        <w:t>hodnotu bezúplatného příjmu, s výjimkou příjmu od daně osvobozeného a příjmu, který není předmětem daně, ve formě peněžitého daru účelově poskytnutého na pořízení hmotného majetku nebo na jeho technické zhodnocení, pokud poplatník zahrnul tento příjem do základu daně,</w:t>
      </w:r>
    </w:p>
    <w:p w14:paraId="4D91014B" w14:textId="77777777" w:rsidR="000839A4" w:rsidRPr="000839A4" w:rsidRDefault="000839A4" w:rsidP="000839A4">
      <w:pPr>
        <w:tabs>
          <w:tab w:val="left" w:pos="357"/>
        </w:tabs>
        <w:spacing w:before="0"/>
        <w:ind w:left="714" w:hanging="357"/>
        <w:rPr>
          <w:szCs w:val="24"/>
        </w:rPr>
      </w:pPr>
      <w:r w:rsidRPr="000839A4">
        <w:rPr>
          <w:strike/>
          <w:szCs w:val="24"/>
        </w:rPr>
        <w:t xml:space="preserve">10. </w:t>
      </w:r>
      <w:r w:rsidRPr="000839A4">
        <w:rPr>
          <w:b/>
          <w:strike/>
          <w:szCs w:val="24"/>
        </w:rPr>
        <w:t>9.</w:t>
      </w:r>
      <w:r w:rsidRPr="000839A4">
        <w:rPr>
          <w:b/>
          <w:szCs w:val="24"/>
        </w:rPr>
        <w:t xml:space="preserve"> 8.</w:t>
      </w:r>
      <w:r w:rsidRPr="000839A4">
        <w:rPr>
          <w:szCs w:val="24"/>
        </w:rPr>
        <w:tab/>
        <w:t xml:space="preserve">částku ve výši vytvořené </w:t>
      </w:r>
      <w:r w:rsidRPr="000839A4">
        <w:rPr>
          <w:b/>
          <w:szCs w:val="24"/>
        </w:rPr>
        <w:t>daňové</w:t>
      </w:r>
      <w:r w:rsidRPr="000839A4">
        <w:rPr>
          <w:szCs w:val="24"/>
        </w:rPr>
        <w:t xml:space="preserve"> rezervy </w:t>
      </w:r>
      <w:r w:rsidRPr="000839A4">
        <w:rPr>
          <w:strike/>
          <w:szCs w:val="24"/>
        </w:rPr>
        <w:t>na nakládání s elektroodpadem ze solárních panelů podle zákona upravujícího rezervy</w:t>
      </w:r>
      <w:r w:rsidRPr="000839A4">
        <w:rPr>
          <w:b/>
          <w:szCs w:val="24"/>
        </w:rPr>
        <w:t>, která není rezervou v pojišťovnictví ani rezervou podle právních předpisů upravujících účetnictví</w:t>
      </w:r>
      <w:r w:rsidRPr="000839A4">
        <w:rPr>
          <w:szCs w:val="24"/>
        </w:rPr>
        <w:t>,</w:t>
      </w:r>
    </w:p>
    <w:p w14:paraId="4EEB6EFD" w14:textId="77777777" w:rsidR="000839A4" w:rsidRPr="000839A4" w:rsidRDefault="000839A4" w:rsidP="000839A4">
      <w:pPr>
        <w:tabs>
          <w:tab w:val="left" w:pos="357"/>
        </w:tabs>
        <w:spacing w:before="0"/>
        <w:ind w:left="714" w:hanging="357"/>
        <w:rPr>
          <w:szCs w:val="24"/>
        </w:rPr>
      </w:pPr>
      <w:r w:rsidRPr="000839A4">
        <w:rPr>
          <w:strike/>
          <w:szCs w:val="24"/>
        </w:rPr>
        <w:t xml:space="preserve">11. </w:t>
      </w:r>
      <w:r w:rsidRPr="000839A4">
        <w:rPr>
          <w:b/>
          <w:strike/>
          <w:szCs w:val="24"/>
        </w:rPr>
        <w:t>10.</w:t>
      </w:r>
      <w:r w:rsidRPr="000839A4">
        <w:rPr>
          <w:b/>
          <w:szCs w:val="24"/>
        </w:rPr>
        <w:t xml:space="preserve"> 9.</w:t>
      </w:r>
      <w:r w:rsidRPr="000839A4">
        <w:rPr>
          <w:szCs w:val="24"/>
        </w:rPr>
        <w:tab/>
        <w:t>přírůstek rezerv v pojišťovnictví podle zákona upravujícího rezervy pro zjištění základu daně z příjmů.</w:t>
      </w:r>
    </w:p>
    <w:p w14:paraId="390DCA75" w14:textId="77777777" w:rsidR="000839A4" w:rsidRPr="000839A4" w:rsidRDefault="000839A4" w:rsidP="000839A4">
      <w:pPr>
        <w:spacing w:before="120"/>
        <w:ind w:firstLine="0"/>
        <w:rPr>
          <w:strike/>
          <w:szCs w:val="24"/>
        </w:rPr>
      </w:pPr>
      <w:r w:rsidRPr="000839A4">
        <w:rPr>
          <w:strike/>
          <w:szCs w:val="24"/>
        </w:rPr>
        <w:t xml:space="preserve">Obdobně se postupuje, je-li daňové přiznání podáváno za jiné období, než je zdaňovací období. </w:t>
      </w:r>
    </w:p>
    <w:p w14:paraId="611CCF95" w14:textId="77777777" w:rsidR="000839A4" w:rsidRPr="000839A4" w:rsidRDefault="000839A4" w:rsidP="000839A4">
      <w:pPr>
        <w:tabs>
          <w:tab w:val="left" w:pos="851"/>
        </w:tabs>
        <w:spacing w:before="120" w:after="120"/>
        <w:ind w:firstLine="427"/>
        <w:outlineLvl w:val="6"/>
      </w:pPr>
      <w:r w:rsidRPr="000839A4">
        <w:t xml:space="preserve">(4) Do základu daně podle odstavce 1 se nezahrnují </w:t>
      </w:r>
    </w:p>
    <w:p w14:paraId="2954623E"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u poplatníků uvedených v § 2 odst. 3, v § 17 odst. 3 a u stálé provozovny příjmy, z nichž je daň vybírána srážkou podle zvláštní sazby daně,</w:t>
      </w:r>
    </w:p>
    <w:p w14:paraId="2549B992"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 xml:space="preserve">příjmy, které zahrnovány do samostatného základu daně zdaňovaného sazbou daně podle § 16a nebo § 21 odst. 4, </w:t>
      </w:r>
    </w:p>
    <w:p w14:paraId="1860CFBD" w14:textId="77777777" w:rsidR="000839A4" w:rsidRPr="000839A4" w:rsidRDefault="000839A4" w:rsidP="000839A4">
      <w:pPr>
        <w:tabs>
          <w:tab w:val="left" w:pos="357"/>
        </w:tabs>
        <w:spacing w:before="0"/>
        <w:ind w:left="357" w:hanging="357"/>
        <w:rPr>
          <w:strike/>
          <w:szCs w:val="24"/>
        </w:rPr>
      </w:pPr>
      <w:r w:rsidRPr="000839A4">
        <w:rPr>
          <w:strike/>
          <w:szCs w:val="24"/>
        </w:rPr>
        <w:t>c)</w:t>
      </w:r>
      <w:r w:rsidRPr="000839A4">
        <w:rPr>
          <w:strike/>
          <w:szCs w:val="24"/>
        </w:rPr>
        <w:tab/>
        <w:t xml:space="preserve">příjmy z nákupu vlastních akcií pod jmenovitou hodnotu při následném snížení základního kapitálu, </w:t>
      </w:r>
    </w:p>
    <w:p w14:paraId="550E33E4" w14:textId="77777777" w:rsidR="000839A4" w:rsidRPr="000839A4" w:rsidRDefault="000839A4" w:rsidP="000839A4">
      <w:pPr>
        <w:tabs>
          <w:tab w:val="left" w:pos="357"/>
        </w:tabs>
        <w:spacing w:before="0"/>
        <w:ind w:left="357" w:hanging="357"/>
        <w:rPr>
          <w:szCs w:val="24"/>
        </w:rPr>
      </w:pPr>
      <w:r w:rsidRPr="000839A4">
        <w:rPr>
          <w:strike/>
          <w:szCs w:val="24"/>
        </w:rPr>
        <w:t>d)</w:t>
      </w:r>
      <w:r w:rsidRPr="000839A4">
        <w:rPr>
          <w:szCs w:val="24"/>
        </w:rPr>
        <w:t xml:space="preserve"> </w:t>
      </w:r>
      <w:r w:rsidRPr="000839A4">
        <w:rPr>
          <w:b/>
          <w:szCs w:val="24"/>
        </w:rPr>
        <w:t>c)</w:t>
      </w:r>
      <w:r w:rsidRPr="000839A4">
        <w:rPr>
          <w:szCs w:val="24"/>
        </w:rPr>
        <w:tab/>
        <w:t xml:space="preserve">částky, které již byly zdaněny podle tohoto zákona u téhož poplatníka nebo u poplatníka zaniklého bez provedení likvidace v případě, kdy jsou příjmem u jeho právního nástupce, </w:t>
      </w:r>
    </w:p>
    <w:p w14:paraId="1CE98E71" w14:textId="77777777" w:rsidR="000839A4" w:rsidRPr="000839A4" w:rsidRDefault="000839A4" w:rsidP="000839A4">
      <w:pPr>
        <w:tabs>
          <w:tab w:val="left" w:pos="357"/>
        </w:tabs>
        <w:spacing w:before="0"/>
        <w:ind w:left="357" w:hanging="357"/>
        <w:rPr>
          <w:szCs w:val="24"/>
        </w:rPr>
      </w:pPr>
      <w:r w:rsidRPr="000839A4">
        <w:rPr>
          <w:strike/>
          <w:szCs w:val="24"/>
        </w:rPr>
        <w:t>e)</w:t>
      </w:r>
      <w:r w:rsidRPr="000839A4">
        <w:rPr>
          <w:szCs w:val="24"/>
        </w:rPr>
        <w:t xml:space="preserve"> </w:t>
      </w:r>
      <w:r w:rsidRPr="000839A4">
        <w:rPr>
          <w:b/>
          <w:szCs w:val="24"/>
        </w:rPr>
        <w:t>d)</w:t>
      </w:r>
      <w:r w:rsidRPr="000839A4">
        <w:rPr>
          <w:szCs w:val="24"/>
        </w:rPr>
        <w:tab/>
      </w:r>
      <w:r w:rsidRPr="000839A4">
        <w:rPr>
          <w:strike/>
          <w:szCs w:val="24"/>
        </w:rPr>
        <w:t xml:space="preserve">částky zaúčtované do příjmů (výnosů) </w:t>
      </w:r>
      <w:r w:rsidRPr="000839A4">
        <w:rPr>
          <w:b/>
          <w:szCs w:val="24"/>
        </w:rPr>
        <w:t>příjmy</w:t>
      </w:r>
      <w:r w:rsidRPr="000839A4">
        <w:rPr>
          <w:szCs w:val="24"/>
        </w:rPr>
        <w:t>, pokud přímo souvisejí s výdaji (náklady) neuznanými jako výdaje (náklady) na dosažení, zajištění a udržení příjmů, a to maximálně do výše těchto neuznaných výdajů (nákladů)</w:t>
      </w:r>
      <w:r w:rsidRPr="000839A4">
        <w:rPr>
          <w:strike/>
          <w:szCs w:val="24"/>
        </w:rPr>
        <w:t>.</w:t>
      </w:r>
      <w:r w:rsidRPr="000839A4">
        <w:rPr>
          <w:szCs w:val="24"/>
        </w:rPr>
        <w:t xml:space="preserve"> </w:t>
      </w:r>
      <w:r w:rsidRPr="000839A4">
        <w:rPr>
          <w:strike/>
          <w:szCs w:val="24"/>
        </w:rPr>
        <w:t>Obdobně postupují poplatníci uvedení v § 2, kteří nevedou účetnictví</w:t>
      </w:r>
      <w:r w:rsidRPr="000839A4">
        <w:rPr>
          <w:szCs w:val="24"/>
        </w:rPr>
        <w:t>,</w:t>
      </w:r>
      <w:r w:rsidRPr="000839A4">
        <w:rPr>
          <w:szCs w:val="24"/>
          <w:shd w:val="clear" w:color="auto" w:fill="F4B083"/>
        </w:rPr>
        <w:t xml:space="preserve"> </w:t>
      </w:r>
    </w:p>
    <w:p w14:paraId="470A4C02" w14:textId="77777777" w:rsidR="000839A4" w:rsidRPr="000839A4" w:rsidRDefault="000839A4" w:rsidP="000839A4">
      <w:pPr>
        <w:tabs>
          <w:tab w:val="left" w:pos="357"/>
        </w:tabs>
        <w:spacing w:before="0"/>
        <w:ind w:left="357" w:hanging="357"/>
        <w:rPr>
          <w:szCs w:val="24"/>
        </w:rPr>
      </w:pPr>
      <w:r w:rsidRPr="000839A4">
        <w:rPr>
          <w:strike/>
          <w:szCs w:val="24"/>
        </w:rPr>
        <w:t>f)</w:t>
      </w:r>
      <w:r w:rsidRPr="000839A4">
        <w:rPr>
          <w:szCs w:val="24"/>
        </w:rPr>
        <w:t xml:space="preserve"> </w:t>
      </w:r>
      <w:r w:rsidRPr="000839A4">
        <w:rPr>
          <w:b/>
          <w:szCs w:val="24"/>
        </w:rPr>
        <w:t>e)</w:t>
      </w:r>
      <w:r w:rsidRPr="000839A4">
        <w:rPr>
          <w:szCs w:val="24"/>
        </w:rPr>
        <w:tab/>
        <w:t xml:space="preserve">podíl na likvidačním zůstatku nebo vypořádací podíl společníka veřejné obchodní společnosti a komplementáře komanditní společnosti, </w:t>
      </w:r>
    </w:p>
    <w:p w14:paraId="7112C316" w14:textId="77777777" w:rsidR="000839A4" w:rsidRPr="000839A4" w:rsidRDefault="000839A4" w:rsidP="000839A4">
      <w:pPr>
        <w:tabs>
          <w:tab w:val="left" w:pos="357"/>
        </w:tabs>
        <w:spacing w:before="0"/>
        <w:ind w:left="357" w:hanging="357"/>
        <w:rPr>
          <w:szCs w:val="24"/>
        </w:rPr>
      </w:pPr>
      <w:r w:rsidRPr="000839A4">
        <w:rPr>
          <w:strike/>
          <w:szCs w:val="24"/>
        </w:rPr>
        <w:t>g)</w:t>
      </w:r>
      <w:r w:rsidRPr="000839A4">
        <w:rPr>
          <w:szCs w:val="24"/>
        </w:rPr>
        <w:t xml:space="preserve"> </w:t>
      </w:r>
      <w:r w:rsidRPr="000839A4">
        <w:rPr>
          <w:b/>
          <w:szCs w:val="24"/>
        </w:rPr>
        <w:t>f)</w:t>
      </w:r>
      <w:r w:rsidRPr="000839A4">
        <w:rPr>
          <w:szCs w:val="24"/>
        </w:rPr>
        <w:tab/>
      </w:r>
      <w:r w:rsidRPr="000839A4">
        <w:rPr>
          <w:strike/>
          <w:szCs w:val="24"/>
        </w:rPr>
        <w:t xml:space="preserve">částka zaúčtovaná do příjmů (výnosů) podle zvláštního právního </w:t>
      </w:r>
      <w:proofErr w:type="gramStart"/>
      <w:r w:rsidRPr="000839A4">
        <w:rPr>
          <w:strike/>
          <w:szCs w:val="24"/>
        </w:rPr>
        <w:t>předpisu,</w:t>
      </w:r>
      <w:r w:rsidRPr="000839A4">
        <w:rPr>
          <w:strike/>
          <w:szCs w:val="24"/>
          <w:vertAlign w:val="superscript"/>
        </w:rPr>
        <w:t>20</w:t>
      </w:r>
      <w:proofErr w:type="gramEnd"/>
      <w:r w:rsidRPr="000839A4">
        <w:rPr>
          <w:strike/>
          <w:szCs w:val="24"/>
          <w:vertAlign w:val="superscript"/>
        </w:rPr>
        <w:t>)</w:t>
      </w:r>
      <w:r w:rsidRPr="000839A4">
        <w:rPr>
          <w:szCs w:val="24"/>
          <w:vertAlign w:val="superscript"/>
        </w:rPr>
        <w:t xml:space="preserve"> </w:t>
      </w:r>
      <w:r w:rsidRPr="000839A4">
        <w:rPr>
          <w:b/>
          <w:szCs w:val="24"/>
        </w:rPr>
        <w:t>příjem,</w:t>
      </w:r>
      <w:r w:rsidRPr="000839A4">
        <w:rPr>
          <w:szCs w:val="24"/>
          <w:vertAlign w:val="superscript"/>
        </w:rPr>
        <w:t xml:space="preserve"> </w:t>
      </w:r>
      <w:r w:rsidRPr="000839A4">
        <w:rPr>
          <w:szCs w:val="24"/>
        </w:rPr>
        <w:t xml:space="preserve">pokud souvisí s výdajem (nákladem) vynaloženým na příjem, který nebyl v předchozích zdaňovacích obdobích předmětem daně nebo byl od daně osvobozen, a to maximálně do výše tohoto souvisejícího výdaje (nákladu), </w:t>
      </w:r>
    </w:p>
    <w:p w14:paraId="77D32570" w14:textId="77777777" w:rsidR="000839A4" w:rsidRPr="000839A4" w:rsidRDefault="000839A4" w:rsidP="000839A4">
      <w:pPr>
        <w:tabs>
          <w:tab w:val="left" w:pos="357"/>
        </w:tabs>
        <w:spacing w:before="0"/>
        <w:ind w:left="357" w:hanging="357"/>
        <w:rPr>
          <w:strike/>
          <w:color w:val="FFFFFF" w:themeColor="background1"/>
          <w:szCs w:val="24"/>
        </w:rPr>
      </w:pPr>
      <w:r w:rsidRPr="000839A4">
        <w:rPr>
          <w:strike/>
          <w:szCs w:val="24"/>
        </w:rPr>
        <w:t xml:space="preserve">h) </w:t>
      </w:r>
      <w:r w:rsidRPr="000839A4">
        <w:rPr>
          <w:b/>
          <w:strike/>
          <w:szCs w:val="24"/>
        </w:rPr>
        <w:t>g)</w:t>
      </w:r>
      <w:r w:rsidRPr="000839A4">
        <w:rPr>
          <w:strike/>
          <w:szCs w:val="24"/>
        </w:rPr>
        <w:tab/>
      </w:r>
      <w:proofErr w:type="gramStart"/>
      <w:r w:rsidRPr="000839A4">
        <w:rPr>
          <w:strike/>
          <w:szCs w:val="24"/>
        </w:rPr>
        <w:t>částka  vyplacená</w:t>
      </w:r>
      <w:proofErr w:type="gramEnd"/>
      <w:r w:rsidRPr="000839A4">
        <w:rPr>
          <w:strike/>
          <w:szCs w:val="24"/>
        </w:rPr>
        <w:t xml:space="preserve"> členovi obchodní korporace z účasti v ní při snížení základního kapitálu, která snižuje nabývací cenu podílu (§ 24 odst. 7),</w:t>
      </w:r>
      <w:r w:rsidRPr="000839A4">
        <w:rPr>
          <w:strike/>
          <w:color w:val="FFFFFF" w:themeColor="background1"/>
          <w:szCs w:val="24"/>
        </w:rPr>
        <w:t xml:space="preserve"> </w:t>
      </w:r>
    </w:p>
    <w:p w14:paraId="7A504307" w14:textId="77777777" w:rsidR="000839A4" w:rsidRPr="000839A4" w:rsidRDefault="000839A4" w:rsidP="000839A4">
      <w:pPr>
        <w:tabs>
          <w:tab w:val="left" w:pos="357"/>
        </w:tabs>
        <w:spacing w:before="0"/>
        <w:ind w:left="357" w:hanging="357"/>
        <w:rPr>
          <w:strike/>
          <w:szCs w:val="24"/>
          <w:vertAlign w:val="superscript"/>
        </w:rPr>
      </w:pPr>
      <w:r w:rsidRPr="000839A4">
        <w:rPr>
          <w:strike/>
          <w:szCs w:val="24"/>
        </w:rPr>
        <w:t xml:space="preserve">i) </w:t>
      </w:r>
      <w:r w:rsidRPr="000839A4">
        <w:rPr>
          <w:b/>
          <w:strike/>
          <w:szCs w:val="24"/>
        </w:rPr>
        <w:t>h)</w:t>
      </w:r>
      <w:r w:rsidRPr="000839A4">
        <w:rPr>
          <w:strike/>
          <w:szCs w:val="24"/>
        </w:rPr>
        <w:tab/>
        <w:t>změna ocenění podílu v obchodní korporaci ekvivalencí (protihodnotou), pokud je zaúčtována podle zvláštního právního předpisu</w:t>
      </w:r>
      <w:r w:rsidRPr="000839A4">
        <w:rPr>
          <w:strike/>
          <w:szCs w:val="24"/>
          <w:vertAlign w:val="superscript"/>
        </w:rPr>
        <w:t>20)</w:t>
      </w:r>
      <w:r w:rsidRPr="000839A4">
        <w:rPr>
          <w:strike/>
          <w:szCs w:val="24"/>
        </w:rPr>
        <w:t xml:space="preserve"> jako náklad nebo výnos. Ocenění ekvivalencí (protihodnotou) se pro účely tohoto zákona nepovažuje za ocenění reálnou hodnotou,</w:t>
      </w:r>
      <w:r w:rsidRPr="000839A4">
        <w:rPr>
          <w:strike/>
          <w:szCs w:val="24"/>
          <w:vertAlign w:val="superscript"/>
        </w:rPr>
        <w:t xml:space="preserve"> 20)</w:t>
      </w:r>
    </w:p>
    <w:p w14:paraId="742861CB" w14:textId="77777777" w:rsidR="000839A4" w:rsidRPr="000839A4" w:rsidRDefault="000839A4" w:rsidP="000839A4">
      <w:pPr>
        <w:tabs>
          <w:tab w:val="left" w:pos="357"/>
        </w:tabs>
        <w:spacing w:before="0"/>
        <w:ind w:left="357" w:hanging="357"/>
        <w:rPr>
          <w:strike/>
          <w:szCs w:val="24"/>
        </w:rPr>
      </w:pPr>
      <w:r w:rsidRPr="000839A4">
        <w:rPr>
          <w:strike/>
          <w:szCs w:val="24"/>
        </w:rPr>
        <w:t xml:space="preserve">j) </w:t>
      </w:r>
      <w:r w:rsidRPr="000839A4">
        <w:rPr>
          <w:b/>
          <w:strike/>
          <w:szCs w:val="24"/>
        </w:rPr>
        <w:t>i)</w:t>
      </w:r>
      <w:r w:rsidRPr="000839A4">
        <w:rPr>
          <w:b/>
          <w:strike/>
          <w:szCs w:val="24"/>
        </w:rPr>
        <w:tab/>
      </w:r>
      <w:r w:rsidRPr="000839A4">
        <w:rPr>
          <w:strike/>
          <w:szCs w:val="24"/>
        </w:rPr>
        <w:t>změna reálné hodnoty (oceňovací rozdíl) u pohledávek, které poplatník nabyl a určil k obchodování, o kterých je účtováno jako o nákladu nebo výnosu podle zvláštního právního předpisu,</w:t>
      </w:r>
      <w:r w:rsidRPr="000839A4">
        <w:rPr>
          <w:strike/>
          <w:szCs w:val="24"/>
          <w:vertAlign w:val="superscript"/>
        </w:rPr>
        <w:t xml:space="preserve"> 20)</w:t>
      </w:r>
      <w:r w:rsidRPr="000839A4">
        <w:rPr>
          <w:strike/>
          <w:szCs w:val="24"/>
        </w:rPr>
        <w:t xml:space="preserve"> </w:t>
      </w:r>
    </w:p>
    <w:p w14:paraId="4C3CAB7F" w14:textId="77777777" w:rsidR="000839A4" w:rsidRPr="000839A4" w:rsidRDefault="000839A4" w:rsidP="000839A4">
      <w:pPr>
        <w:tabs>
          <w:tab w:val="left" w:pos="357"/>
        </w:tabs>
        <w:spacing w:before="0"/>
        <w:ind w:left="357" w:hanging="357"/>
        <w:rPr>
          <w:b/>
          <w:szCs w:val="24"/>
        </w:rPr>
      </w:pPr>
      <w:r w:rsidRPr="000839A4">
        <w:rPr>
          <w:b/>
          <w:szCs w:val="24"/>
        </w:rPr>
        <w:lastRenderedPageBreak/>
        <w:t>g)</w:t>
      </w:r>
      <w:r w:rsidRPr="000839A4">
        <w:rPr>
          <w:b/>
          <w:szCs w:val="24"/>
        </w:rPr>
        <w:tab/>
        <w:t>oceňovací rozdíl z ocenění aktiva ekvivalenční hodnotou podle právních předpisů upravujících účetnictví,</w:t>
      </w:r>
    </w:p>
    <w:p w14:paraId="4E8BFFA0" w14:textId="77777777" w:rsidR="000839A4" w:rsidRPr="000839A4" w:rsidRDefault="000839A4" w:rsidP="000839A4">
      <w:pPr>
        <w:tabs>
          <w:tab w:val="left" w:pos="357"/>
        </w:tabs>
        <w:spacing w:before="0"/>
        <w:ind w:left="357" w:hanging="357"/>
        <w:rPr>
          <w:b/>
          <w:szCs w:val="24"/>
        </w:rPr>
      </w:pPr>
      <w:proofErr w:type="gramStart"/>
      <w:r w:rsidRPr="000839A4">
        <w:rPr>
          <w:b/>
          <w:szCs w:val="24"/>
        </w:rPr>
        <w:t>h)</w:t>
      </w:r>
      <w:r w:rsidRPr="000839A4">
        <w:rPr>
          <w:b/>
          <w:szCs w:val="24"/>
        </w:rPr>
        <w:tab/>
        <w:t>tvorba</w:t>
      </w:r>
      <w:proofErr w:type="gramEnd"/>
      <w:r w:rsidRPr="000839A4">
        <w:rPr>
          <w:b/>
          <w:szCs w:val="24"/>
        </w:rPr>
        <w:t xml:space="preserve">, použití nebo zrušení rezervy podle právních předpisů upravujících účetnictví s výjimkou rezervy, </w:t>
      </w:r>
      <w:proofErr w:type="gramStart"/>
      <w:r w:rsidRPr="000839A4">
        <w:rPr>
          <w:b/>
          <w:szCs w:val="24"/>
        </w:rPr>
        <w:t>která</w:t>
      </w:r>
      <w:proofErr w:type="gramEnd"/>
    </w:p>
    <w:p w14:paraId="6BDA8AD1" w14:textId="77777777" w:rsidR="000839A4" w:rsidRPr="000839A4" w:rsidRDefault="000839A4" w:rsidP="000839A4">
      <w:pPr>
        <w:tabs>
          <w:tab w:val="left" w:pos="357"/>
        </w:tabs>
        <w:spacing w:before="0"/>
        <w:ind w:left="850" w:hanging="425"/>
        <w:rPr>
          <w:b/>
          <w:szCs w:val="24"/>
        </w:rPr>
      </w:pPr>
      <w:r w:rsidRPr="000839A4">
        <w:rPr>
          <w:b/>
          <w:szCs w:val="24"/>
        </w:rPr>
        <w:t>1.</w:t>
      </w:r>
      <w:r w:rsidRPr="000839A4">
        <w:rPr>
          <w:b/>
          <w:szCs w:val="24"/>
        </w:rPr>
        <w:tab/>
        <w:t>je daňovou rezervou nebo</w:t>
      </w:r>
    </w:p>
    <w:p w14:paraId="3A0C7122" w14:textId="77777777" w:rsidR="000839A4" w:rsidRPr="000839A4" w:rsidRDefault="000839A4" w:rsidP="000839A4">
      <w:pPr>
        <w:tabs>
          <w:tab w:val="left" w:pos="357"/>
        </w:tabs>
        <w:spacing w:before="0"/>
        <w:ind w:left="850" w:hanging="425"/>
        <w:rPr>
          <w:b/>
          <w:szCs w:val="24"/>
        </w:rPr>
      </w:pPr>
      <w:r w:rsidRPr="000839A4">
        <w:rPr>
          <w:b/>
          <w:szCs w:val="24"/>
        </w:rPr>
        <w:t>2.</w:t>
      </w:r>
      <w:r w:rsidRPr="000839A4">
        <w:rPr>
          <w:b/>
          <w:szCs w:val="24"/>
        </w:rPr>
        <w:tab/>
        <w:t>odpovídá výdaji na likvidaci aktiva, který je součástí daňové hodnoty aktiva,</w:t>
      </w:r>
    </w:p>
    <w:p w14:paraId="0A5CECE9" w14:textId="77777777" w:rsidR="000839A4" w:rsidRPr="000839A4" w:rsidRDefault="000839A4" w:rsidP="000839A4">
      <w:pPr>
        <w:tabs>
          <w:tab w:val="left" w:pos="357"/>
        </w:tabs>
        <w:spacing w:before="0"/>
        <w:ind w:left="357" w:hanging="357"/>
        <w:rPr>
          <w:b/>
          <w:szCs w:val="24"/>
        </w:rPr>
      </w:pPr>
      <w:proofErr w:type="gramStart"/>
      <w:r w:rsidRPr="000839A4">
        <w:rPr>
          <w:b/>
          <w:szCs w:val="24"/>
        </w:rPr>
        <w:t>i)</w:t>
      </w:r>
      <w:r w:rsidRPr="000839A4">
        <w:rPr>
          <w:b/>
          <w:szCs w:val="24"/>
          <w:vertAlign w:val="superscript"/>
        </w:rPr>
        <w:tab/>
      </w:r>
      <w:r w:rsidRPr="000839A4">
        <w:rPr>
          <w:b/>
          <w:szCs w:val="24"/>
        </w:rPr>
        <w:t>oceňovací</w:t>
      </w:r>
      <w:proofErr w:type="gramEnd"/>
      <w:r w:rsidRPr="000839A4">
        <w:rPr>
          <w:b/>
          <w:szCs w:val="24"/>
        </w:rPr>
        <w:t xml:space="preserve"> rozdíl z ocenění rezervy podle právních předpisů upravujících účetnictví naběhlou hodnotou, </w:t>
      </w:r>
      <w:proofErr w:type="gramStart"/>
      <w:r w:rsidRPr="000839A4">
        <w:rPr>
          <w:b/>
          <w:szCs w:val="24"/>
        </w:rPr>
        <w:t>která</w:t>
      </w:r>
      <w:proofErr w:type="gramEnd"/>
      <w:r w:rsidRPr="000839A4">
        <w:rPr>
          <w:b/>
          <w:szCs w:val="24"/>
        </w:rPr>
        <w:t xml:space="preserve"> </w:t>
      </w:r>
    </w:p>
    <w:p w14:paraId="29F96C08" w14:textId="77777777" w:rsidR="000839A4" w:rsidRPr="000839A4" w:rsidRDefault="000839A4" w:rsidP="000839A4">
      <w:pPr>
        <w:tabs>
          <w:tab w:val="left" w:pos="357"/>
        </w:tabs>
        <w:spacing w:before="0"/>
        <w:ind w:left="850" w:hanging="425"/>
        <w:rPr>
          <w:b/>
          <w:szCs w:val="24"/>
        </w:rPr>
      </w:pPr>
      <w:r w:rsidRPr="000839A4">
        <w:rPr>
          <w:b/>
          <w:szCs w:val="24"/>
        </w:rPr>
        <w:t>1.</w:t>
      </w:r>
      <w:r w:rsidRPr="000839A4">
        <w:rPr>
          <w:b/>
          <w:szCs w:val="24"/>
        </w:rPr>
        <w:tab/>
        <w:t>neodpovídá výdajům na likvidaci aktiva a není daňovou rezervou, nebo</w:t>
      </w:r>
    </w:p>
    <w:p w14:paraId="60B22A06" w14:textId="77777777" w:rsidR="000839A4" w:rsidRPr="000839A4" w:rsidRDefault="000839A4" w:rsidP="000839A4">
      <w:pPr>
        <w:tabs>
          <w:tab w:val="left" w:pos="357"/>
        </w:tabs>
        <w:spacing w:before="0"/>
        <w:ind w:left="850" w:hanging="425"/>
        <w:rPr>
          <w:b/>
          <w:szCs w:val="24"/>
        </w:rPr>
      </w:pPr>
      <w:r w:rsidRPr="000839A4">
        <w:rPr>
          <w:b/>
          <w:szCs w:val="24"/>
        </w:rPr>
        <w:t>2.</w:t>
      </w:r>
      <w:r w:rsidRPr="000839A4">
        <w:rPr>
          <w:b/>
          <w:szCs w:val="24"/>
        </w:rPr>
        <w:tab/>
        <w:t>odpovídá výdajům na likvidaci aktiva, pokud tyto výdaje nejsou součástí daňové hodnoty aktiva poplatníka,</w:t>
      </w:r>
    </w:p>
    <w:p w14:paraId="2E030E15" w14:textId="77777777" w:rsidR="000839A4" w:rsidRPr="000839A4" w:rsidRDefault="000839A4" w:rsidP="000839A4">
      <w:pPr>
        <w:tabs>
          <w:tab w:val="left" w:pos="357"/>
        </w:tabs>
        <w:spacing w:before="0"/>
        <w:ind w:left="357" w:hanging="357"/>
        <w:rPr>
          <w:strike/>
          <w:szCs w:val="24"/>
        </w:rPr>
      </w:pPr>
      <w:r w:rsidRPr="000839A4">
        <w:rPr>
          <w:strike/>
          <w:szCs w:val="24"/>
        </w:rPr>
        <w:t xml:space="preserve">k) </w:t>
      </w:r>
      <w:r w:rsidRPr="000839A4">
        <w:rPr>
          <w:b/>
          <w:strike/>
          <w:szCs w:val="24"/>
        </w:rPr>
        <w:t>j)</w:t>
      </w:r>
      <w:r w:rsidRPr="000839A4">
        <w:rPr>
          <w:strike/>
          <w:szCs w:val="24"/>
        </w:rPr>
        <w:tab/>
        <w:t>změna reálné hodnoty (oceňovací rozdíl) u podílu, který se v souladu se zvláštním právním předpisem</w:t>
      </w:r>
      <w:r w:rsidRPr="000839A4">
        <w:rPr>
          <w:strike/>
          <w:szCs w:val="24"/>
          <w:vertAlign w:val="superscript"/>
        </w:rPr>
        <w:t>20)</w:t>
      </w:r>
      <w:r w:rsidRPr="000839A4">
        <w:rPr>
          <w:strike/>
          <w:szCs w:val="24"/>
        </w:rPr>
        <w:t xml:space="preserve"> oceňuje reálnou hodnotou a který by byl při převodu osvobozen podle § 19 odst. 1 písm. ze) nebo podle § 19 odst. 9, </w:t>
      </w:r>
    </w:p>
    <w:p w14:paraId="464016AB" w14:textId="77777777" w:rsidR="000839A4" w:rsidRPr="000839A4" w:rsidRDefault="000839A4" w:rsidP="000839A4">
      <w:pPr>
        <w:tabs>
          <w:tab w:val="left" w:pos="357"/>
        </w:tabs>
        <w:spacing w:before="0"/>
        <w:ind w:left="357" w:hanging="357"/>
        <w:rPr>
          <w:szCs w:val="24"/>
        </w:rPr>
      </w:pPr>
      <w:r w:rsidRPr="000839A4">
        <w:rPr>
          <w:strike/>
          <w:szCs w:val="24"/>
        </w:rPr>
        <w:t xml:space="preserve">l) </w:t>
      </w:r>
      <w:r w:rsidRPr="000839A4">
        <w:rPr>
          <w:b/>
          <w:strike/>
          <w:szCs w:val="24"/>
        </w:rPr>
        <w:t>k</w:t>
      </w:r>
      <w:r w:rsidRPr="000839A4">
        <w:rPr>
          <w:b/>
          <w:szCs w:val="24"/>
        </w:rPr>
        <w:t xml:space="preserve">) j) </w:t>
      </w:r>
      <w:r w:rsidRPr="000839A4">
        <w:rPr>
          <w:szCs w:val="24"/>
        </w:rPr>
        <w:t xml:space="preserve">rozdíl mezi hodnotou majetkových podílů stanovených podle jiného právního předpisu o transformaci družstev a vyplacenou částkou podle dohody mezi povinnou a oprávněnou osobou. </w:t>
      </w:r>
    </w:p>
    <w:p w14:paraId="23B26C33" w14:textId="77777777" w:rsidR="000839A4" w:rsidRPr="000839A4" w:rsidRDefault="000839A4" w:rsidP="000839A4">
      <w:pPr>
        <w:tabs>
          <w:tab w:val="left" w:pos="851"/>
        </w:tabs>
        <w:spacing w:before="120" w:after="120"/>
        <w:ind w:firstLine="427"/>
        <w:outlineLvl w:val="6"/>
        <w:rPr>
          <w:strike/>
        </w:rPr>
      </w:pPr>
      <w:r w:rsidRPr="000839A4">
        <w:rPr>
          <w:strike/>
        </w:rPr>
        <w:t xml:space="preserve">(5) Náklady (výdaje) související s druhem činnosti nebo jednotlivou činností v rámci téhož druhu činnosti, z níž dosažené příjmy nejsou předmětem daně nebo jsou předmětem daně, ale jsou od daně osvobozeny, nelze přičítat k nákladům (výdajům) souvisejícím s druhem činnosti nebo jednotlivou činností v rámci téhož druhu činnosti, z níž dosažené příjmy jsou předmětem daně a nejsou od daně osvobozeny. </w:t>
      </w:r>
    </w:p>
    <w:p w14:paraId="0EED9E59" w14:textId="77777777" w:rsidR="000839A4" w:rsidRPr="000839A4" w:rsidRDefault="000839A4" w:rsidP="000839A4">
      <w:pPr>
        <w:tabs>
          <w:tab w:val="left" w:pos="851"/>
        </w:tabs>
        <w:spacing w:before="120" w:after="120"/>
        <w:ind w:firstLine="427"/>
        <w:outlineLvl w:val="6"/>
      </w:pPr>
      <w:r w:rsidRPr="000839A4">
        <w:t>(</w:t>
      </w:r>
      <w:r w:rsidRPr="000839A4">
        <w:rPr>
          <w:strike/>
        </w:rPr>
        <w:t>6) Za příjmy se považuje jak peněžní plnění, tak i nepeněžní plnění, oceněné podle právního předpisu upravujícího oceňování majetku, pokud tento zákon nestanoví jinak; přitom se příjmy získané směnou posuzují pro účely zákona obdobně jako příjmy získané prodejem. Nepeněžní příjem</w:t>
      </w:r>
    </w:p>
    <w:p w14:paraId="4CE06A30" w14:textId="77777777" w:rsidR="000839A4" w:rsidRPr="000839A4" w:rsidRDefault="000839A4" w:rsidP="000839A4">
      <w:pPr>
        <w:tabs>
          <w:tab w:val="left" w:pos="357"/>
        </w:tabs>
        <w:spacing w:before="0"/>
        <w:ind w:left="357" w:hanging="357"/>
        <w:rPr>
          <w:strike/>
          <w:szCs w:val="24"/>
        </w:rPr>
      </w:pPr>
      <w:r w:rsidRPr="000839A4">
        <w:rPr>
          <w:strike/>
          <w:szCs w:val="24"/>
        </w:rPr>
        <w:t>a)</w:t>
      </w:r>
      <w:r w:rsidRPr="000839A4">
        <w:rPr>
          <w:strike/>
          <w:szCs w:val="24"/>
        </w:rPr>
        <w:tab/>
        <w:t>u vlastníka (pronajímatele) jsou výdaje (náklady) vynaložené nájemcem na najatém majetku se souhlasem pronajímatele nad rámec smluveného nájemného a nehrazené vlastníkem (pronajímatelem), a to:</w:t>
      </w:r>
    </w:p>
    <w:p w14:paraId="58569392" w14:textId="77777777" w:rsidR="000839A4" w:rsidRPr="000839A4" w:rsidRDefault="000839A4" w:rsidP="000839A4">
      <w:pPr>
        <w:tabs>
          <w:tab w:val="left" w:pos="357"/>
        </w:tabs>
        <w:spacing w:before="0"/>
        <w:ind w:left="714" w:hanging="357"/>
        <w:rPr>
          <w:strike/>
          <w:szCs w:val="24"/>
        </w:rPr>
      </w:pPr>
      <w:r w:rsidRPr="000839A4">
        <w:rPr>
          <w:strike/>
          <w:szCs w:val="24"/>
        </w:rPr>
        <w:t>1.</w:t>
      </w:r>
      <w:r w:rsidRPr="000839A4">
        <w:rPr>
          <w:strike/>
          <w:szCs w:val="24"/>
        </w:rPr>
        <w:tab/>
        <w:t xml:space="preserve">ve zdaňovacím období, kdy došlo k ukončení nájmu, pokud nepeněžním plněním jsou výdaje (náklady) uvedené v § 24 odst. 2 písm. </w:t>
      </w:r>
      <w:proofErr w:type="spellStart"/>
      <w:r w:rsidRPr="000839A4">
        <w:rPr>
          <w:strike/>
          <w:szCs w:val="24"/>
        </w:rPr>
        <w:t>zb</w:t>
      </w:r>
      <w:proofErr w:type="spellEnd"/>
      <w:r w:rsidRPr="000839A4">
        <w:rPr>
          <w:strike/>
          <w:szCs w:val="24"/>
        </w:rPr>
        <w:t>) a výdaje na dokončené technické zhodnocení, za podmínky, že o hodnotu technického zhodnocení nezvýšil vlastník (pronajímatel) vstupní cenu, ani nebylo v průběhu nájmu odpisováno nájemcem; toto nepeněžní plnění se ocení zůstatkovou cenou, kterou by měl majetek při rovnoměrném odpisování bez zvýšení odpisu v prvním roce odpisování, nebo znaleckým posudkem,</w:t>
      </w:r>
    </w:p>
    <w:p w14:paraId="0C68239B" w14:textId="77777777" w:rsidR="000839A4" w:rsidRPr="000839A4" w:rsidRDefault="000839A4" w:rsidP="000839A4">
      <w:pPr>
        <w:tabs>
          <w:tab w:val="left" w:pos="357"/>
        </w:tabs>
        <w:spacing w:before="0"/>
        <w:ind w:left="714" w:hanging="357"/>
        <w:rPr>
          <w:strike/>
          <w:szCs w:val="24"/>
        </w:rPr>
      </w:pPr>
      <w:r w:rsidRPr="000839A4">
        <w:rPr>
          <w:strike/>
          <w:szCs w:val="24"/>
        </w:rPr>
        <w:t>2.</w:t>
      </w:r>
      <w:r w:rsidRPr="000839A4">
        <w:rPr>
          <w:strike/>
          <w:szCs w:val="24"/>
        </w:rPr>
        <w:tab/>
        <w:t>ve zdaňovacím období, kdy došlo k ukončení nájmu nebo k písemnému zrušení souhlasu vlastníka s odpisováním doručenému nájemci, pokud nepeněžním plněním jsou výdaje na dokončené technické zhodnocení, které odpisoval nájemce se souhlasem vlastníka (pronajímatele); toto nepeněžní plnění se ocení zůstatkovou cenou, kterou by měl majetek při rovnoměrném odpisování bez zvýšení odpisu v prvním roce odpisování, nebo znaleckým posudkem,</w:t>
      </w:r>
    </w:p>
    <w:p w14:paraId="122AA370" w14:textId="77777777" w:rsidR="000839A4" w:rsidRPr="000839A4" w:rsidRDefault="000839A4" w:rsidP="000839A4">
      <w:pPr>
        <w:tabs>
          <w:tab w:val="left" w:pos="357"/>
        </w:tabs>
        <w:spacing w:before="0"/>
        <w:ind w:left="714" w:hanging="357"/>
        <w:rPr>
          <w:strike/>
          <w:szCs w:val="24"/>
        </w:rPr>
      </w:pPr>
      <w:r w:rsidRPr="000839A4">
        <w:rPr>
          <w:strike/>
          <w:szCs w:val="24"/>
        </w:rPr>
        <w:t>3.</w:t>
      </w:r>
      <w:r w:rsidRPr="000839A4">
        <w:rPr>
          <w:strike/>
          <w:szCs w:val="24"/>
        </w:rPr>
        <w:tab/>
        <w:t>ve zdaňovacím období, ve kterém bylo technické zhodnocení uvedeno do užívání, pokud o hodnotu technického zhodnocení vlastník (pronajímatel) zvýší vstupní (zůstatkovou) cenu; toto nepeněžní plnění se ocení ve výši výdajů (nákladů) vynaložených nájemcem,</w:t>
      </w:r>
    </w:p>
    <w:p w14:paraId="08CCC706" w14:textId="77777777" w:rsidR="000839A4" w:rsidRPr="000839A4" w:rsidRDefault="000839A4" w:rsidP="000839A4">
      <w:pPr>
        <w:tabs>
          <w:tab w:val="left" w:pos="357"/>
        </w:tabs>
        <w:spacing w:before="0"/>
        <w:ind w:left="357" w:hanging="357"/>
        <w:rPr>
          <w:strike/>
          <w:szCs w:val="24"/>
        </w:rPr>
      </w:pPr>
      <w:r w:rsidRPr="000839A4">
        <w:rPr>
          <w:strike/>
          <w:szCs w:val="24"/>
        </w:rPr>
        <w:t>b)</w:t>
      </w:r>
      <w:r w:rsidRPr="000839A4">
        <w:rPr>
          <w:strike/>
          <w:szCs w:val="24"/>
        </w:rPr>
        <w:tab/>
        <w:t xml:space="preserve">u veřejně prospěšného poplatníka, pokud se jedná o bezúplatný příjem, se ocení </w:t>
      </w:r>
    </w:p>
    <w:p w14:paraId="32FBE1A9" w14:textId="77777777" w:rsidR="000839A4" w:rsidRPr="000839A4" w:rsidRDefault="000839A4" w:rsidP="000839A4">
      <w:pPr>
        <w:tabs>
          <w:tab w:val="left" w:pos="357"/>
        </w:tabs>
        <w:spacing w:before="0"/>
        <w:ind w:left="714" w:hanging="357"/>
        <w:rPr>
          <w:szCs w:val="24"/>
        </w:rPr>
      </w:pPr>
      <w:r w:rsidRPr="000839A4">
        <w:rPr>
          <w:strike/>
          <w:szCs w:val="24"/>
        </w:rPr>
        <w:t>1.</w:t>
      </w:r>
      <w:r w:rsidRPr="000839A4">
        <w:rPr>
          <w:strike/>
          <w:szCs w:val="24"/>
        </w:rPr>
        <w:tab/>
        <w:t>ve výši 1 Kč v případě</w:t>
      </w:r>
      <w:r w:rsidRPr="000839A4">
        <w:rPr>
          <w:szCs w:val="24"/>
        </w:rPr>
        <w:t xml:space="preserve"> </w:t>
      </w:r>
      <w:r w:rsidRPr="000839A4">
        <w:rPr>
          <w:strike/>
          <w:szCs w:val="24"/>
        </w:rPr>
        <w:t xml:space="preserve">nabytí movité kulturní památky, sbírky muzejní povahy a předmětu kulturní </w:t>
      </w:r>
      <w:proofErr w:type="gramStart"/>
      <w:r w:rsidRPr="000839A4">
        <w:rPr>
          <w:strike/>
          <w:szCs w:val="24"/>
        </w:rPr>
        <w:t>hodnoty</w:t>
      </w:r>
      <w:r w:rsidRPr="000839A4">
        <w:rPr>
          <w:b/>
          <w:szCs w:val="24"/>
        </w:rPr>
        <w:t xml:space="preserve"> </w:t>
      </w:r>
      <w:r w:rsidRPr="000839A4">
        <w:rPr>
          <w:szCs w:val="24"/>
        </w:rPr>
        <w:t>,</w:t>
      </w:r>
      <w:proofErr w:type="gramEnd"/>
    </w:p>
    <w:p w14:paraId="040CD7E1" w14:textId="77777777" w:rsidR="000839A4" w:rsidRPr="000839A4" w:rsidRDefault="000839A4" w:rsidP="000839A4">
      <w:pPr>
        <w:tabs>
          <w:tab w:val="left" w:pos="357"/>
        </w:tabs>
        <w:spacing w:before="0"/>
        <w:ind w:left="714" w:hanging="357"/>
        <w:rPr>
          <w:szCs w:val="24"/>
        </w:rPr>
      </w:pPr>
      <w:r w:rsidRPr="000839A4">
        <w:rPr>
          <w:szCs w:val="24"/>
        </w:rPr>
        <w:lastRenderedPageBreak/>
        <w:t>2.</w:t>
      </w:r>
      <w:r w:rsidRPr="000839A4">
        <w:rPr>
          <w:strike/>
          <w:szCs w:val="24"/>
        </w:rPr>
        <w:tab/>
        <w:t>ve výši ocenění převzatého od účetní jednotky, která o tomto majetku naposledy účtovala, v případě bezúplatného převodu nebo přechodu majetku mezi vybranými účetními jednotkami a</w:t>
      </w:r>
    </w:p>
    <w:p w14:paraId="7BC29126" w14:textId="77777777" w:rsidR="000839A4" w:rsidRPr="000839A4" w:rsidRDefault="000839A4" w:rsidP="000839A4">
      <w:pPr>
        <w:tabs>
          <w:tab w:val="left" w:pos="357"/>
        </w:tabs>
        <w:spacing w:before="0"/>
        <w:ind w:left="714" w:hanging="357"/>
        <w:rPr>
          <w:strike/>
          <w:szCs w:val="24"/>
        </w:rPr>
      </w:pPr>
      <w:r w:rsidRPr="000839A4">
        <w:rPr>
          <w:strike/>
          <w:szCs w:val="24"/>
        </w:rPr>
        <w:t>3.</w:t>
      </w:r>
      <w:r w:rsidRPr="000839A4">
        <w:rPr>
          <w:strike/>
          <w:szCs w:val="24"/>
        </w:rPr>
        <w:tab/>
        <w:t>reprodukční pořizovací cenou podle právních předpisů upravujících účetnictví v ostatních případech.</w:t>
      </w:r>
    </w:p>
    <w:p w14:paraId="72476AC5" w14:textId="77777777" w:rsidR="000839A4" w:rsidRPr="000839A4" w:rsidRDefault="000839A4" w:rsidP="000839A4">
      <w:pPr>
        <w:tabs>
          <w:tab w:val="left" w:pos="851"/>
        </w:tabs>
        <w:spacing w:before="120" w:after="120"/>
        <w:ind w:firstLine="427"/>
        <w:outlineLvl w:val="6"/>
        <w:rPr>
          <w:b/>
        </w:rPr>
      </w:pPr>
      <w:r w:rsidRPr="000839A4">
        <w:rPr>
          <w:b/>
        </w:rPr>
        <w:t>(5) Výsledek hospodaření ani rozdíl mezi příjmy a výdaji nelze snížit o částku, která již byla uplatněna jako výdaj na dosažení, udržení a zajištění zdanitelných příjmů.</w:t>
      </w:r>
    </w:p>
    <w:p w14:paraId="38D7ED18" w14:textId="77777777" w:rsidR="000839A4" w:rsidRPr="000839A4" w:rsidRDefault="000839A4" w:rsidP="000839A4">
      <w:pPr>
        <w:tabs>
          <w:tab w:val="left" w:pos="851"/>
        </w:tabs>
        <w:spacing w:before="120" w:after="120"/>
        <w:ind w:firstLine="427"/>
        <w:outlineLvl w:val="6"/>
        <w:rPr>
          <w:b/>
        </w:rPr>
      </w:pPr>
      <w:r w:rsidRPr="000839A4">
        <w:rPr>
          <w:b/>
        </w:rPr>
        <w:t xml:space="preserve">(6) Nepeněžní příjem se oceňuje podle zákona upravujícího oceňování věcí, služeb a dluhů. Příjmy získané směnou se posuzují pro účely daní z příjmů jako příjmy získané prodejem. Příjem veřejně prospěšného poplatníka z bezúplatného nabytí aktiva se ocení ve výši </w:t>
      </w:r>
    </w:p>
    <w:p w14:paraId="4EAF905A" w14:textId="77777777" w:rsidR="000839A4" w:rsidRPr="000839A4" w:rsidRDefault="000839A4" w:rsidP="000839A4">
      <w:pPr>
        <w:tabs>
          <w:tab w:val="left" w:pos="357"/>
        </w:tabs>
        <w:spacing w:before="0"/>
        <w:ind w:left="357" w:hanging="357"/>
        <w:rPr>
          <w:b/>
          <w:szCs w:val="24"/>
        </w:rPr>
      </w:pPr>
      <w:r w:rsidRPr="000839A4">
        <w:rPr>
          <w:b/>
          <w:szCs w:val="24"/>
        </w:rPr>
        <w:t>a)</w:t>
      </w:r>
      <w:r w:rsidRPr="000839A4">
        <w:rPr>
          <w:b/>
          <w:szCs w:val="24"/>
        </w:rPr>
        <w:tab/>
        <w:t xml:space="preserve">1 Kč, pokud se prvotní účetní hodnota tohoto aktiva rovná 1 Kč, a </w:t>
      </w:r>
    </w:p>
    <w:p w14:paraId="4041B658" w14:textId="77777777" w:rsidR="000839A4" w:rsidRPr="000839A4" w:rsidRDefault="000839A4" w:rsidP="000839A4">
      <w:pPr>
        <w:tabs>
          <w:tab w:val="left" w:pos="357"/>
        </w:tabs>
        <w:spacing w:before="0"/>
        <w:ind w:left="357" w:hanging="357"/>
        <w:rPr>
          <w:b/>
          <w:szCs w:val="24"/>
        </w:rPr>
      </w:pPr>
      <w:r w:rsidRPr="000839A4">
        <w:rPr>
          <w:b/>
          <w:szCs w:val="24"/>
        </w:rPr>
        <w:t>b)</w:t>
      </w:r>
      <w:r w:rsidRPr="000839A4">
        <w:rPr>
          <w:b/>
          <w:szCs w:val="24"/>
        </w:rPr>
        <w:tab/>
        <w:t xml:space="preserve">převzaté daňové hodnoty aktiva v případě jeho bezúplatného převodu nebo přechodu mezi účetními jednotkami veřejného sektoru. </w:t>
      </w:r>
    </w:p>
    <w:p w14:paraId="33FD2C28" w14:textId="77777777" w:rsidR="000839A4" w:rsidRPr="000839A4" w:rsidRDefault="000839A4" w:rsidP="000839A4">
      <w:pPr>
        <w:tabs>
          <w:tab w:val="left" w:pos="851"/>
        </w:tabs>
        <w:spacing w:before="120" w:after="120"/>
        <w:ind w:firstLine="427"/>
        <w:outlineLvl w:val="6"/>
      </w:pPr>
      <w:r w:rsidRPr="000839A4">
        <w:t xml:space="preserve">(7) Liší-li se ceny sjednané mezi spojenými osobami od cen, které by byly sjednány mezi nespojenými osobami v běžných obchodních vztazích za stejných nebo obdobných podmínek, a není-li tento rozdíl uspokojivě doložen, upraví se základ daně poplatníka o zjištěný rozdíl. Nelze-li určit cenu, která by byla sjednávána mezi nespojenými osobami v běžných obchodních vztazích za stejných nebo obdobných podmínek, použije se cena určená podle </w:t>
      </w:r>
      <w:r w:rsidRPr="000839A4">
        <w:rPr>
          <w:strike/>
        </w:rPr>
        <w:t>právního předpisu upravujícího oceňování majetku</w:t>
      </w:r>
      <w:r w:rsidRPr="000839A4">
        <w:t xml:space="preserve"> </w:t>
      </w:r>
      <w:r w:rsidRPr="000839A4">
        <w:rPr>
          <w:b/>
        </w:rPr>
        <w:t>zákona upravujícího oceňování věcí, služeb a dluhů.</w:t>
      </w:r>
      <w:r w:rsidRPr="000839A4">
        <w:t xml:space="preserve"> Ustanovení věty první a druhé se nepoužije v případě uzavření smlouvy o výprose nebo o výpůjčce a v případě, kdy sjednaná výše úroků z úvěrového finančního nástroje mezi spojenými osobami je nižší, než by byla cena sjednaná mezi nespojenými osobami, a věřitelem je daňový nerezident nebo člen obchodní korporace, který je daňovým rezidentem České republiky, nebo poplatník daně z příjmů fyzických osob. Spojenými osobami se pro účely tohoto zákona rozumí</w:t>
      </w:r>
    </w:p>
    <w:p w14:paraId="1293BA60"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 xml:space="preserve">kapitálově spojené osoby, přitom </w:t>
      </w:r>
    </w:p>
    <w:p w14:paraId="48619F0F" w14:textId="77777777" w:rsidR="000839A4" w:rsidRPr="000839A4" w:rsidRDefault="000839A4" w:rsidP="000839A4">
      <w:pPr>
        <w:tabs>
          <w:tab w:val="left" w:pos="357"/>
        </w:tabs>
        <w:spacing w:before="0"/>
        <w:ind w:left="714" w:hanging="357"/>
        <w:rPr>
          <w:szCs w:val="24"/>
        </w:rPr>
      </w:pPr>
      <w:r w:rsidRPr="000839A4">
        <w:rPr>
          <w:szCs w:val="24"/>
        </w:rPr>
        <w:t>1.</w:t>
      </w:r>
      <w:r w:rsidRPr="000839A4">
        <w:rPr>
          <w:szCs w:val="24"/>
        </w:rPr>
        <w:tab/>
        <w:t xml:space="preserve">jestliže se jedna osoba přímo podílí na kapitálu nebo hlasovacích právech druhé osoby, anebo se jedna osoba přímo podílí na kapitálu nebo hlasovacích právech více osob; a přitom tento podíl představuje alespoň 25 % základního kapitálu nebo 25 % hlasovacích práv těchto osob, jsou všechny tyto osoby vzájemně osobami přímo kapitálově spojenými, </w:t>
      </w:r>
    </w:p>
    <w:p w14:paraId="641FE667" w14:textId="77777777" w:rsidR="000839A4" w:rsidRPr="000839A4" w:rsidRDefault="000839A4" w:rsidP="000839A4">
      <w:pPr>
        <w:tabs>
          <w:tab w:val="left" w:pos="357"/>
        </w:tabs>
        <w:spacing w:before="0"/>
        <w:ind w:left="714" w:hanging="357"/>
        <w:rPr>
          <w:szCs w:val="24"/>
        </w:rPr>
      </w:pPr>
      <w:r w:rsidRPr="000839A4">
        <w:rPr>
          <w:szCs w:val="24"/>
        </w:rPr>
        <w:t>2.</w:t>
      </w:r>
      <w:r w:rsidRPr="000839A4">
        <w:rPr>
          <w:szCs w:val="24"/>
        </w:rPr>
        <w:tab/>
        <w:t xml:space="preserve">jestliže se jedna osoba nepřímo podílí na kapitálu nebo hlasovacích právech druhé osoby, anebo se jedna osoba přímo nebo nepřímo podílí na kapitálu nebo hlasovacích právech více osob; a přitom tento podíl představuje alespoň 25 % základního kapitálu nebo 25 % hlasovacích práv těchto osob, jsou všechny tyto osoby vzájemně osobami kapitálově spojenými, </w:t>
      </w:r>
    </w:p>
    <w:p w14:paraId="36D6E319"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 xml:space="preserve">jinak spojené osoby, kterými jsou osoby </w:t>
      </w:r>
    </w:p>
    <w:p w14:paraId="6CD2FC36" w14:textId="77777777" w:rsidR="000839A4" w:rsidRPr="000839A4" w:rsidRDefault="000839A4" w:rsidP="000839A4">
      <w:pPr>
        <w:tabs>
          <w:tab w:val="left" w:pos="357"/>
        </w:tabs>
        <w:spacing w:before="0"/>
        <w:ind w:left="714" w:hanging="357"/>
        <w:rPr>
          <w:szCs w:val="24"/>
        </w:rPr>
      </w:pPr>
      <w:r w:rsidRPr="000839A4">
        <w:rPr>
          <w:szCs w:val="24"/>
        </w:rPr>
        <w:t>1.</w:t>
      </w:r>
      <w:r w:rsidRPr="000839A4">
        <w:rPr>
          <w:szCs w:val="24"/>
        </w:rPr>
        <w:tab/>
        <w:t xml:space="preserve">kdy se jedna osoba podílí na vedení nebo kontrole jiné osoby, </w:t>
      </w:r>
    </w:p>
    <w:p w14:paraId="7522A46A" w14:textId="77777777" w:rsidR="000839A4" w:rsidRPr="000839A4" w:rsidRDefault="000839A4" w:rsidP="000839A4">
      <w:pPr>
        <w:tabs>
          <w:tab w:val="left" w:pos="357"/>
        </w:tabs>
        <w:spacing w:before="0"/>
        <w:ind w:left="714" w:hanging="357"/>
        <w:rPr>
          <w:szCs w:val="24"/>
        </w:rPr>
      </w:pPr>
      <w:r w:rsidRPr="000839A4">
        <w:rPr>
          <w:szCs w:val="24"/>
        </w:rPr>
        <w:t>2.</w:t>
      </w:r>
      <w:r w:rsidRPr="000839A4">
        <w:rPr>
          <w:szCs w:val="24"/>
        </w:rPr>
        <w:tab/>
        <w:t xml:space="preserve">kdy se shodné osoby nebo osoby blízké podílejí na vedení nebo kontrole jiných osob, tyto jiné osoby jsou vzájemně osobami jinak spojenými. Za jinak spojené osoby se nepovažují osoby, kdy je jedna osoba členem dozorčích rad obou osob, </w:t>
      </w:r>
    </w:p>
    <w:p w14:paraId="4D0A8000" w14:textId="77777777" w:rsidR="000839A4" w:rsidRPr="000839A4" w:rsidRDefault="000839A4" w:rsidP="000839A4">
      <w:pPr>
        <w:tabs>
          <w:tab w:val="left" w:pos="357"/>
        </w:tabs>
        <w:spacing w:before="0"/>
        <w:ind w:left="714" w:hanging="357"/>
        <w:rPr>
          <w:szCs w:val="24"/>
        </w:rPr>
      </w:pPr>
      <w:r w:rsidRPr="000839A4">
        <w:rPr>
          <w:szCs w:val="24"/>
        </w:rPr>
        <w:t>3.</w:t>
      </w:r>
      <w:r w:rsidRPr="000839A4">
        <w:rPr>
          <w:szCs w:val="24"/>
        </w:rPr>
        <w:tab/>
        <w:t xml:space="preserve">ovládající a ovládaná a také osoby ovládané stejnou ovládající osobou, </w:t>
      </w:r>
    </w:p>
    <w:p w14:paraId="26DD65D4" w14:textId="77777777" w:rsidR="000839A4" w:rsidRPr="000839A4" w:rsidRDefault="000839A4" w:rsidP="000839A4">
      <w:pPr>
        <w:tabs>
          <w:tab w:val="left" w:pos="357"/>
        </w:tabs>
        <w:spacing w:before="0"/>
        <w:ind w:left="714" w:hanging="357"/>
        <w:rPr>
          <w:szCs w:val="24"/>
        </w:rPr>
      </w:pPr>
      <w:r w:rsidRPr="000839A4">
        <w:rPr>
          <w:szCs w:val="24"/>
        </w:rPr>
        <w:t>4.</w:t>
      </w:r>
      <w:r w:rsidRPr="000839A4">
        <w:rPr>
          <w:szCs w:val="24"/>
        </w:rPr>
        <w:tab/>
        <w:t xml:space="preserve">blízké, </w:t>
      </w:r>
    </w:p>
    <w:p w14:paraId="16984A17" w14:textId="77777777" w:rsidR="000839A4" w:rsidRPr="000839A4" w:rsidRDefault="000839A4" w:rsidP="000839A4">
      <w:pPr>
        <w:tabs>
          <w:tab w:val="left" w:pos="357"/>
        </w:tabs>
        <w:spacing w:before="0"/>
        <w:ind w:left="714" w:hanging="357"/>
        <w:rPr>
          <w:szCs w:val="24"/>
        </w:rPr>
      </w:pPr>
      <w:r w:rsidRPr="000839A4">
        <w:rPr>
          <w:szCs w:val="24"/>
        </w:rPr>
        <w:t>5.</w:t>
      </w:r>
      <w:r w:rsidRPr="000839A4">
        <w:rPr>
          <w:szCs w:val="24"/>
        </w:rPr>
        <w:tab/>
        <w:t xml:space="preserve">které vytvořily právní vztah převážně za účelem snížení základu daně nebo zvýšení daňové ztráty. </w:t>
      </w:r>
    </w:p>
    <w:p w14:paraId="6B5F0030" w14:textId="77777777" w:rsidR="000839A4" w:rsidRPr="000839A4" w:rsidRDefault="000839A4" w:rsidP="000839A4">
      <w:pPr>
        <w:spacing w:before="120"/>
        <w:ind w:firstLine="0"/>
        <w:rPr>
          <w:szCs w:val="24"/>
        </w:rPr>
      </w:pPr>
      <w:r w:rsidRPr="000839A4">
        <w:rPr>
          <w:szCs w:val="24"/>
        </w:rPr>
        <w:lastRenderedPageBreak/>
        <w:t xml:space="preserve">Podíl na základním kapitálu nebo podíl s hlasovacím právem ve zdaňovacím období </w:t>
      </w:r>
      <w:r w:rsidRPr="000839A4">
        <w:rPr>
          <w:strike/>
          <w:szCs w:val="24"/>
        </w:rPr>
        <w:t>nebo období, za něž je podáváno daňové přiznání,</w:t>
      </w:r>
      <w:r w:rsidRPr="000839A4">
        <w:rPr>
          <w:szCs w:val="24"/>
        </w:rPr>
        <w:t xml:space="preserve"> se stanoví jako aritmetický průměr měsíčních stavů. Účast v kontrolní komisi nebo obdobném kontrolním orgánu a provádění kontroly za úplatu se nepovažuje za podílení se na kontrole. </w:t>
      </w:r>
    </w:p>
    <w:p w14:paraId="3697153E" w14:textId="77777777" w:rsidR="000839A4" w:rsidRPr="000839A4" w:rsidRDefault="000839A4" w:rsidP="000839A4">
      <w:pPr>
        <w:tabs>
          <w:tab w:val="left" w:pos="851"/>
        </w:tabs>
        <w:spacing w:before="120" w:after="120"/>
        <w:ind w:firstLine="427"/>
        <w:outlineLvl w:val="6"/>
      </w:pPr>
      <w:r w:rsidRPr="000839A4">
        <w:t xml:space="preserve">(8) Výsledek hospodaření nebo rozdíl mezi příjmy a výdaji, z něhož se vychází pro zjištění základu daně za zdaňovací období </w:t>
      </w:r>
      <w:r w:rsidRPr="000839A4">
        <w:rPr>
          <w:strike/>
        </w:rPr>
        <w:t>(část zdaňovacího období)</w:t>
      </w:r>
      <w:r w:rsidRPr="000839A4">
        <w:t xml:space="preserve"> předcházející dni ukončení činnosti, ze které plyne příjem ze samostatné činnosti, ukončení nájmu nebo zahájení likvidace, se upraví</w:t>
      </w:r>
      <w:r w:rsidRPr="000839A4">
        <w:rPr>
          <w:shd w:val="clear" w:color="auto" w:fill="F7CAAC" w:themeFill="accent2" w:themeFillTint="66"/>
        </w:rPr>
        <w:t xml:space="preserve"> </w:t>
      </w:r>
    </w:p>
    <w:p w14:paraId="5D16C343"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 xml:space="preserve">u </w:t>
      </w:r>
      <w:r w:rsidRPr="000839A4">
        <w:rPr>
          <w:strike/>
          <w:szCs w:val="24"/>
        </w:rPr>
        <w:t xml:space="preserve">poplatníků uvedených v § 17, kteří vedou účetnictví </w:t>
      </w:r>
      <w:r w:rsidRPr="000839A4">
        <w:rPr>
          <w:b/>
          <w:szCs w:val="24"/>
        </w:rPr>
        <w:t>poplatníka s akruálním základem daně</w:t>
      </w:r>
      <w:r w:rsidRPr="000839A4">
        <w:rPr>
          <w:szCs w:val="24"/>
        </w:rPr>
        <w:t xml:space="preserve">, o zůstatky vytvořených </w:t>
      </w:r>
      <w:r w:rsidRPr="000839A4">
        <w:rPr>
          <w:b/>
          <w:szCs w:val="24"/>
        </w:rPr>
        <w:t>daňových</w:t>
      </w:r>
      <w:r w:rsidRPr="000839A4">
        <w:rPr>
          <w:szCs w:val="24"/>
        </w:rPr>
        <w:t xml:space="preserve"> rezerv</w:t>
      </w:r>
      <w:r w:rsidRPr="000839A4">
        <w:rPr>
          <w:szCs w:val="24"/>
          <w:vertAlign w:val="superscript"/>
        </w:rPr>
        <w:t>22a)</w:t>
      </w:r>
      <w:r w:rsidRPr="000839A4">
        <w:rPr>
          <w:szCs w:val="24"/>
        </w:rPr>
        <w:t xml:space="preserve"> a opravných položek, výnosů příštích období, výdajů příštích období, příjmů příštích období a nákladů příštích období, které nebudou prokazatelně zúčtovány v období likvidace,</w:t>
      </w:r>
      <w:r w:rsidRPr="000839A4">
        <w:rPr>
          <w:szCs w:val="24"/>
          <w:vertAlign w:val="superscript"/>
        </w:rPr>
        <w:t xml:space="preserve"> </w:t>
      </w:r>
      <w:r w:rsidRPr="000839A4">
        <w:rPr>
          <w:strike/>
          <w:szCs w:val="24"/>
          <w:vertAlign w:val="superscript"/>
        </w:rPr>
        <w:t>20)</w:t>
      </w:r>
      <w:r w:rsidRPr="000839A4">
        <w:rPr>
          <w:szCs w:val="24"/>
        </w:rPr>
        <w:t xml:space="preserve"> </w:t>
      </w:r>
    </w:p>
    <w:p w14:paraId="4D4DD614" w14:textId="77777777" w:rsidR="000839A4" w:rsidRPr="000839A4" w:rsidRDefault="000839A4" w:rsidP="000839A4">
      <w:pPr>
        <w:tabs>
          <w:tab w:val="left" w:pos="357"/>
        </w:tabs>
        <w:spacing w:before="0"/>
        <w:ind w:left="357" w:hanging="357"/>
        <w:rPr>
          <w:b/>
          <w:szCs w:val="24"/>
        </w:rPr>
      </w:pPr>
      <w:r w:rsidRPr="000839A4">
        <w:rPr>
          <w:szCs w:val="24"/>
        </w:rPr>
        <w:t>b)</w:t>
      </w:r>
      <w:r w:rsidRPr="000839A4">
        <w:rPr>
          <w:szCs w:val="24"/>
        </w:rPr>
        <w:tab/>
        <w:t xml:space="preserve">u </w:t>
      </w:r>
      <w:r w:rsidRPr="000839A4">
        <w:rPr>
          <w:strike/>
          <w:szCs w:val="24"/>
        </w:rPr>
        <w:t>poplatníků uvedených v § 2</w:t>
      </w:r>
      <w:r w:rsidRPr="000839A4">
        <w:rPr>
          <w:b/>
          <w:szCs w:val="24"/>
        </w:rPr>
        <w:t xml:space="preserve"> poplatníka s hotovostním základem daně</w:t>
      </w:r>
      <w:r w:rsidRPr="000839A4">
        <w:rPr>
          <w:szCs w:val="24"/>
        </w:rPr>
        <w:t>,</w:t>
      </w:r>
    </w:p>
    <w:p w14:paraId="3E1A96F5" w14:textId="77777777" w:rsidR="000839A4" w:rsidRPr="000839A4" w:rsidRDefault="000839A4" w:rsidP="000839A4">
      <w:pPr>
        <w:tabs>
          <w:tab w:val="left" w:pos="357"/>
        </w:tabs>
        <w:spacing w:before="0"/>
        <w:ind w:left="714" w:hanging="357"/>
        <w:rPr>
          <w:strike/>
          <w:szCs w:val="24"/>
        </w:rPr>
      </w:pPr>
      <w:r w:rsidRPr="000839A4">
        <w:rPr>
          <w:strike/>
          <w:szCs w:val="24"/>
        </w:rPr>
        <w:t>1.</w:t>
      </w:r>
      <w:r w:rsidRPr="000839A4">
        <w:rPr>
          <w:strike/>
          <w:szCs w:val="24"/>
        </w:rPr>
        <w:tab/>
        <w:t>pokud vedou účetnictví, o zůstatky vytvořených rezerv</w:t>
      </w:r>
      <w:r w:rsidRPr="000839A4">
        <w:rPr>
          <w:strike/>
          <w:szCs w:val="24"/>
          <w:vertAlign w:val="superscript"/>
        </w:rPr>
        <w:t>22a)</w:t>
      </w:r>
      <w:r w:rsidRPr="000839A4">
        <w:rPr>
          <w:strike/>
          <w:szCs w:val="24"/>
        </w:rPr>
        <w:t xml:space="preserve"> a opravných položek, záloh, které by byly zúčtovány prostřednictvím účtů nákladů a výnosů, pokud o částkách z daného titulu nebylo zároveň účtováno prostřednictvím dohadných účtů, výnosů příštích období, výdajů příštích období, příjmů příštích období a nákladů příštích období; avšak nájemné a úplata u finančního leasingu se do základu daně zahrne pouze v poměrné výši připadající ze sjednané doby na příslušné zdaňovací období do ukončení činnosti, ze které plynou příjmy ze samostatné činnosti a do ukončení nájmu, </w:t>
      </w:r>
    </w:p>
    <w:p w14:paraId="1D1DF8BE" w14:textId="77777777" w:rsidR="000839A4" w:rsidRPr="000839A4" w:rsidRDefault="000839A4" w:rsidP="000839A4">
      <w:pPr>
        <w:tabs>
          <w:tab w:val="left" w:pos="357"/>
        </w:tabs>
        <w:spacing w:before="0"/>
        <w:ind w:left="714" w:hanging="357"/>
        <w:rPr>
          <w:szCs w:val="24"/>
        </w:rPr>
      </w:pPr>
      <w:proofErr w:type="gramStart"/>
      <w:r w:rsidRPr="000839A4">
        <w:rPr>
          <w:strike/>
          <w:szCs w:val="24"/>
        </w:rPr>
        <w:t>2.</w:t>
      </w:r>
      <w:r w:rsidRPr="000839A4">
        <w:rPr>
          <w:b/>
          <w:szCs w:val="24"/>
        </w:rPr>
        <w:t>1.</w:t>
      </w:r>
      <w:r w:rsidRPr="000839A4">
        <w:rPr>
          <w:szCs w:val="24"/>
        </w:rPr>
        <w:t xml:space="preserve"> pokud</w:t>
      </w:r>
      <w:proofErr w:type="gramEnd"/>
      <w:r w:rsidRPr="000839A4">
        <w:rPr>
          <w:szCs w:val="24"/>
        </w:rPr>
        <w:t xml:space="preserve"> </w:t>
      </w:r>
      <w:r w:rsidRPr="000839A4">
        <w:rPr>
          <w:strike/>
          <w:szCs w:val="24"/>
        </w:rPr>
        <w:t>vedou daňovou evidenci</w:t>
      </w:r>
      <w:r w:rsidRPr="000839A4">
        <w:rPr>
          <w:szCs w:val="24"/>
        </w:rPr>
        <w:t xml:space="preserve"> </w:t>
      </w:r>
      <w:r w:rsidRPr="000839A4">
        <w:rPr>
          <w:b/>
          <w:szCs w:val="24"/>
        </w:rPr>
        <w:t>uplatňuje výdaje na dosažení, zajištění a udržení příjmů v prokázané výši</w:t>
      </w:r>
      <w:r w:rsidRPr="000839A4">
        <w:rPr>
          <w:szCs w:val="24"/>
        </w:rPr>
        <w:t xml:space="preserve">, o hodnotu pohledávek, které by při úhradě byly zdanitelným příjmem [s výjimkou pohledávek uvedených v § 24 odst. 2 písm. </w:t>
      </w:r>
      <w:r w:rsidRPr="000839A4">
        <w:rPr>
          <w:strike/>
          <w:szCs w:val="24"/>
        </w:rPr>
        <w:t>y)</w:t>
      </w:r>
      <w:r w:rsidRPr="000839A4">
        <w:rPr>
          <w:szCs w:val="24"/>
        </w:rPr>
        <w:t xml:space="preserve"> </w:t>
      </w:r>
      <w:r w:rsidRPr="000839A4">
        <w:rPr>
          <w:b/>
          <w:szCs w:val="24"/>
        </w:rPr>
        <w:t>n)</w:t>
      </w:r>
      <w:r w:rsidRPr="000839A4">
        <w:rPr>
          <w:szCs w:val="24"/>
        </w:rPr>
        <w:t xml:space="preserve">] a hodnotu dluhů, které by při úhradě byly výdajem na dosažení, zajištění a udržení příjmů, s výjimkou přijatých a zaplacených záloh, o cenu nespotřebovaných zásob a o zůstatky vytvořených </w:t>
      </w:r>
      <w:r w:rsidRPr="000839A4">
        <w:rPr>
          <w:b/>
          <w:szCs w:val="24"/>
        </w:rPr>
        <w:t>daňových</w:t>
      </w:r>
      <w:r w:rsidRPr="000839A4">
        <w:rPr>
          <w:szCs w:val="24"/>
        </w:rPr>
        <w:t xml:space="preserve"> rezerv;</w:t>
      </w:r>
      <w:r w:rsidRPr="000839A4">
        <w:rPr>
          <w:szCs w:val="24"/>
          <w:vertAlign w:val="superscript"/>
        </w:rPr>
        <w:t xml:space="preserve"> 22a)</w:t>
      </w:r>
      <w:r w:rsidRPr="000839A4">
        <w:rPr>
          <w:szCs w:val="24"/>
        </w:rPr>
        <w:t xml:space="preserve"> přitom úplata z finančního leasingu se do základu daně zahrne pouze v poměrné výši připadající ze sjednané doby na příslušné zdaňovací období do ukončení činnosti, ze které plyne příjem ze samostatné činnosti, nebo do ukončení nájmu. Do základu daně se zahrne při dalším prodeji nespotřebovaných zásob již zahrnutých do základu daně pouze rozdíl, o který převyšuje cena, za kterou byly nespotřebované zásoby prodány, cenu nespotřebovaných zásob zahrnutých do základu daně</w:t>
      </w:r>
      <w:r w:rsidRPr="000839A4">
        <w:rPr>
          <w:strike/>
          <w:szCs w:val="24"/>
        </w:rPr>
        <w:t>. Obdobně se postupuje u poplatníků, kteří měli příjmy z nájmu (§ 9) a kteří nevedou účetnictví, ale výdaje na dosažení, zajištění a udržení příjmů uplatňují nebo uplatňovali v prokázané výši</w:t>
      </w:r>
      <w:r w:rsidRPr="000839A4">
        <w:rPr>
          <w:szCs w:val="24"/>
        </w:rPr>
        <w:t xml:space="preserve">, </w:t>
      </w:r>
    </w:p>
    <w:p w14:paraId="21DC4C4B" w14:textId="77777777" w:rsidR="000839A4" w:rsidRPr="000839A4" w:rsidRDefault="000839A4" w:rsidP="000839A4">
      <w:pPr>
        <w:tabs>
          <w:tab w:val="left" w:pos="357"/>
        </w:tabs>
        <w:spacing w:before="0"/>
        <w:ind w:left="714" w:hanging="357"/>
        <w:rPr>
          <w:szCs w:val="24"/>
        </w:rPr>
      </w:pPr>
      <w:proofErr w:type="gramStart"/>
      <w:r w:rsidRPr="000839A4">
        <w:rPr>
          <w:strike/>
          <w:szCs w:val="24"/>
        </w:rPr>
        <w:t>3.</w:t>
      </w:r>
      <w:r w:rsidRPr="000839A4">
        <w:rPr>
          <w:b/>
          <w:szCs w:val="24"/>
        </w:rPr>
        <w:t xml:space="preserve">2. </w:t>
      </w:r>
      <w:r w:rsidRPr="000839A4">
        <w:rPr>
          <w:szCs w:val="24"/>
        </w:rPr>
        <w:t>v případech</w:t>
      </w:r>
      <w:proofErr w:type="gramEnd"/>
      <w:r w:rsidRPr="000839A4">
        <w:rPr>
          <w:szCs w:val="24"/>
        </w:rPr>
        <w:t xml:space="preserve">, kdy poplatník uplatňuje výdaje podle § 7 odst. 7 nebo podle § 9 odst. 4, o hodnotu pohledávek, které by při úhradě byly zdanitelným příjmem [s výjimkou pohledávek uvedených v § 24 odst. 2 písm. </w:t>
      </w:r>
      <w:r w:rsidRPr="000839A4">
        <w:rPr>
          <w:strike/>
          <w:szCs w:val="24"/>
        </w:rPr>
        <w:t>y)</w:t>
      </w:r>
      <w:r w:rsidRPr="000839A4">
        <w:rPr>
          <w:szCs w:val="24"/>
        </w:rPr>
        <w:t xml:space="preserve"> </w:t>
      </w:r>
      <w:r w:rsidRPr="000839A4">
        <w:rPr>
          <w:b/>
          <w:szCs w:val="24"/>
        </w:rPr>
        <w:t>n)</w:t>
      </w:r>
      <w:r w:rsidRPr="000839A4">
        <w:rPr>
          <w:szCs w:val="24"/>
        </w:rPr>
        <w:t xml:space="preserve">]. </w:t>
      </w:r>
    </w:p>
    <w:p w14:paraId="1B67A6B9" w14:textId="77777777" w:rsidR="000839A4" w:rsidRPr="000839A4" w:rsidRDefault="000839A4" w:rsidP="000839A4">
      <w:pPr>
        <w:tabs>
          <w:tab w:val="left" w:pos="851"/>
        </w:tabs>
        <w:spacing w:before="120" w:after="120"/>
        <w:ind w:firstLine="427"/>
        <w:outlineLvl w:val="6"/>
      </w:pPr>
      <w:r w:rsidRPr="000839A4">
        <w:t xml:space="preserve">Stejným způsobem postupují poplatníci uvedení v § 2, pokud v průběhu zdaňovacího období přeruší činnost, ze které plynou příjmy ze samostatné činnosti, (§ 7) nebo nájem (§ 9), a činnost, ze které plynou příjmy ze samostatné činnosti, (§ 7) nebo nájem (§ 9) nezahájí do termínu pro podání daňového přiznání za příslušné zdaňovací období, ve kterém byly činnost, ze které plynou příjmy ze samostatné činnosti,(§ 7) nebo nájem (§ 9) přerušeny. Stejným způsobem dále postupují poplatníci uvedení v § 2 při změně způsobu uplatňování výdajů podle § 24 na způsob podle § 7 odst. 7 nebo § 9 odst. 4 anebo při zahájení účtování, nebo při zahájení vedení daňové evidence nebo zahájení vedení záznamů o příjmech a výdajích nebo při přechodu ze zdaňovacího období, ve kterém jejich daň není rovna paušální dani, do zdaňovacího období, za které je jejich daň rovna paušální dani. Stejným způsobem postupuje osoba spravující pozůstalost při skončení řízení o pozůstalosti. Základ daně (dílčí základ daně) se upraví za </w:t>
      </w:r>
      <w:r w:rsidRPr="000839A4">
        <w:lastRenderedPageBreak/>
        <w:t xml:space="preserve">zdaňovací období předcházející zdaňovacímu období, ve kterém ke změně způsobu uplatňování výdajů došlo; v tomto případě se na poplatníka hledí, jako by nebyl v prodlení, pokud podá dodatečné daňové přiznání a zaplatí daň nejpozději do dne, kdy je povinen podat daňové přiznání k dani za zdaňovací období, ve kterém ke změně uplatňování výdajů došlo. Při přechodu ze zdaňovacího období, ve kterém daň poplatníka není rovna paušální dani, do zdaňovacího období, za které je jeho daň rovna paušální dani, se základ daně upraví za zdaňovací období, ve kterém jeho daň není rovna paušální dani; v tomto případě se na poplatníka hledí, jako by nebyl v prodlení, pokud podá dodatečné daňové přiznání a zaplatí daň nejpozději do dne, kdy je povinen podat daňové přiznání k dani za zdaňovací období, ve kterém je daň rovna paušální dani. </w:t>
      </w:r>
    </w:p>
    <w:p w14:paraId="7273DA00" w14:textId="77777777" w:rsidR="000839A4" w:rsidRPr="000839A4" w:rsidRDefault="000839A4" w:rsidP="000839A4">
      <w:pPr>
        <w:tabs>
          <w:tab w:val="left" w:pos="851"/>
        </w:tabs>
        <w:spacing w:before="120" w:after="120"/>
        <w:ind w:firstLine="427"/>
        <w:outlineLvl w:val="6"/>
        <w:rPr>
          <w:strike/>
        </w:rPr>
      </w:pPr>
      <w:r w:rsidRPr="000839A4">
        <w:rPr>
          <w:strike/>
        </w:rPr>
        <w:t>(9) U poplatníků, kteří vedou účetnictví, se výsledek hospodaření neupravuje o oceňovací rozdíl ze změny reálné hodnoty podle zvláštního právního předpisu</w:t>
      </w:r>
      <w:r w:rsidRPr="000839A4">
        <w:rPr>
          <w:strike/>
          <w:vertAlign w:val="superscript"/>
        </w:rPr>
        <w:t>20)</w:t>
      </w:r>
    </w:p>
    <w:p w14:paraId="617F2730" w14:textId="77777777" w:rsidR="000839A4" w:rsidRPr="000839A4" w:rsidRDefault="000839A4" w:rsidP="000839A4">
      <w:pPr>
        <w:tabs>
          <w:tab w:val="left" w:pos="357"/>
        </w:tabs>
        <w:spacing w:before="0"/>
        <w:ind w:left="357" w:hanging="357"/>
        <w:rPr>
          <w:strike/>
          <w:szCs w:val="24"/>
        </w:rPr>
      </w:pPr>
      <w:r w:rsidRPr="000839A4">
        <w:rPr>
          <w:strike/>
          <w:szCs w:val="24"/>
        </w:rPr>
        <w:t>a)</w:t>
      </w:r>
      <w:r w:rsidRPr="000839A4">
        <w:rPr>
          <w:strike/>
          <w:szCs w:val="24"/>
        </w:rPr>
        <w:tab/>
        <w:t xml:space="preserve">cenného papíru s výjimkou směnek a s výjimkou uvedenou v § 23 odst. 4 písm. k), </w:t>
      </w:r>
    </w:p>
    <w:p w14:paraId="660F3992" w14:textId="77777777" w:rsidR="000839A4" w:rsidRPr="000839A4" w:rsidRDefault="000839A4" w:rsidP="000839A4">
      <w:pPr>
        <w:tabs>
          <w:tab w:val="left" w:pos="357"/>
        </w:tabs>
        <w:spacing w:before="0"/>
        <w:ind w:left="357" w:hanging="357"/>
        <w:rPr>
          <w:strike/>
          <w:szCs w:val="24"/>
        </w:rPr>
      </w:pPr>
      <w:r w:rsidRPr="000839A4">
        <w:rPr>
          <w:strike/>
          <w:szCs w:val="24"/>
        </w:rPr>
        <w:t>b)</w:t>
      </w:r>
      <w:r w:rsidRPr="000839A4">
        <w:rPr>
          <w:strike/>
          <w:szCs w:val="24"/>
        </w:rPr>
        <w:tab/>
        <w:t xml:space="preserve">derivátu a části majetku a dluhu zajištěného derivátem, </w:t>
      </w:r>
    </w:p>
    <w:p w14:paraId="71208DC6" w14:textId="77777777" w:rsidR="000839A4" w:rsidRPr="000839A4" w:rsidRDefault="000839A4" w:rsidP="000839A4">
      <w:pPr>
        <w:tabs>
          <w:tab w:val="left" w:pos="357"/>
        </w:tabs>
        <w:spacing w:before="0" w:after="120"/>
        <w:ind w:left="357" w:hanging="357"/>
        <w:rPr>
          <w:strike/>
          <w:szCs w:val="24"/>
        </w:rPr>
      </w:pPr>
      <w:r w:rsidRPr="000839A4">
        <w:rPr>
          <w:strike/>
          <w:szCs w:val="24"/>
        </w:rPr>
        <w:t>c)</w:t>
      </w:r>
      <w:r w:rsidRPr="000839A4">
        <w:rPr>
          <w:strike/>
          <w:szCs w:val="24"/>
        </w:rPr>
        <w:tab/>
        <w:t xml:space="preserve">povinnosti vrátit cenný papír, který poplatník zcizil a do okamžiku ocenění jej nezískal zpět. </w:t>
      </w:r>
    </w:p>
    <w:p w14:paraId="08EBC8D0" w14:textId="77777777" w:rsidR="000839A4" w:rsidRPr="000839A4" w:rsidRDefault="000839A4" w:rsidP="000839A4">
      <w:pPr>
        <w:tabs>
          <w:tab w:val="left" w:pos="851"/>
        </w:tabs>
        <w:spacing w:before="120" w:after="120"/>
        <w:ind w:firstLine="427"/>
        <w:outlineLvl w:val="6"/>
        <w:rPr>
          <w:strike/>
        </w:rPr>
      </w:pPr>
      <w:r w:rsidRPr="000839A4">
        <w:rPr>
          <w:strike/>
        </w:rPr>
        <w:t>(10) Pro zjištění základu daně se vychází z účetnictví vedeného podle zvláštního předpisu,</w:t>
      </w:r>
      <w:r w:rsidRPr="000839A4">
        <w:rPr>
          <w:strike/>
          <w:vertAlign w:val="superscript"/>
        </w:rPr>
        <w:t xml:space="preserve"> 20)</w:t>
      </w:r>
      <w:r w:rsidRPr="000839A4">
        <w:rPr>
          <w:strike/>
        </w:rPr>
        <w:t xml:space="preserve"> pokud zvláštní předpis nebo tento zákon nestanoví jinak anebo pokud nedochází ke krácení daňové povinnosti jiným způsobem. </w:t>
      </w:r>
    </w:p>
    <w:p w14:paraId="58838BFB" w14:textId="77777777" w:rsidR="000839A4" w:rsidRPr="000839A4" w:rsidRDefault="000839A4" w:rsidP="000839A4">
      <w:pPr>
        <w:tabs>
          <w:tab w:val="left" w:pos="851"/>
        </w:tabs>
        <w:spacing w:before="120" w:after="120"/>
        <w:ind w:firstLine="427"/>
        <w:outlineLvl w:val="6"/>
        <w:rPr>
          <w:b/>
        </w:rPr>
      </w:pPr>
      <w:r w:rsidRPr="000839A4">
        <w:rPr>
          <w:b/>
        </w:rPr>
        <w:t>(9) U poplatníka s akruálním základem daně se do základu daně nezahrnuje oceňovací rozdíl ze změny reálné hodnoty podle právních předpisů upravujících účetnictví s výjimkou oceňovacího rozdílu ze změny reálné hodnoty</w:t>
      </w:r>
    </w:p>
    <w:p w14:paraId="499E13C5" w14:textId="77777777" w:rsidR="000839A4" w:rsidRPr="000839A4" w:rsidRDefault="000839A4" w:rsidP="000839A4">
      <w:pPr>
        <w:tabs>
          <w:tab w:val="left" w:pos="357"/>
        </w:tabs>
        <w:spacing w:before="0"/>
        <w:ind w:left="357" w:hanging="357"/>
        <w:rPr>
          <w:b/>
          <w:szCs w:val="24"/>
        </w:rPr>
      </w:pPr>
      <w:r w:rsidRPr="000839A4">
        <w:rPr>
          <w:b/>
          <w:szCs w:val="24"/>
        </w:rPr>
        <w:t>a)</w:t>
      </w:r>
      <w:r w:rsidRPr="000839A4">
        <w:rPr>
          <w:b/>
          <w:szCs w:val="24"/>
        </w:rPr>
        <w:tab/>
        <w:t>cenného papíru s výjimkou směnky a podílu, pokud by příjem z jeho převodu byl osvobozen podle § 19 odst. 1 písm. ze) nebo podle § 19 odst. 9,</w:t>
      </w:r>
    </w:p>
    <w:p w14:paraId="50694282" w14:textId="77777777" w:rsidR="000839A4" w:rsidRPr="000839A4" w:rsidRDefault="000839A4" w:rsidP="000839A4">
      <w:pPr>
        <w:tabs>
          <w:tab w:val="left" w:pos="357"/>
        </w:tabs>
        <w:spacing w:before="0"/>
        <w:ind w:left="357" w:hanging="357"/>
        <w:rPr>
          <w:b/>
          <w:szCs w:val="24"/>
        </w:rPr>
      </w:pPr>
      <w:r w:rsidRPr="000839A4">
        <w:rPr>
          <w:b/>
          <w:szCs w:val="24"/>
        </w:rPr>
        <w:t>b)</w:t>
      </w:r>
      <w:r w:rsidRPr="000839A4">
        <w:rPr>
          <w:b/>
          <w:szCs w:val="24"/>
        </w:rPr>
        <w:tab/>
        <w:t>derivátu,</w:t>
      </w:r>
    </w:p>
    <w:p w14:paraId="71295C2D" w14:textId="77777777" w:rsidR="000839A4" w:rsidRPr="000839A4" w:rsidRDefault="000839A4" w:rsidP="000839A4">
      <w:pPr>
        <w:tabs>
          <w:tab w:val="left" w:pos="357"/>
        </w:tabs>
        <w:spacing w:before="0"/>
        <w:ind w:left="357" w:hanging="357"/>
        <w:rPr>
          <w:b/>
          <w:szCs w:val="24"/>
        </w:rPr>
      </w:pPr>
      <w:r w:rsidRPr="000839A4">
        <w:rPr>
          <w:b/>
          <w:szCs w:val="24"/>
        </w:rPr>
        <w:t>c)</w:t>
      </w:r>
      <w:r w:rsidRPr="000839A4">
        <w:rPr>
          <w:b/>
          <w:szCs w:val="24"/>
        </w:rPr>
        <w:tab/>
        <w:t>části majetku a dluhu, která je zajištěna deriváty,</w:t>
      </w:r>
    </w:p>
    <w:p w14:paraId="5AC21A37" w14:textId="77777777" w:rsidR="000839A4" w:rsidRPr="000839A4" w:rsidRDefault="000839A4" w:rsidP="000839A4">
      <w:pPr>
        <w:tabs>
          <w:tab w:val="left" w:pos="357"/>
        </w:tabs>
        <w:spacing w:before="0"/>
        <w:ind w:left="357" w:hanging="357"/>
        <w:rPr>
          <w:b/>
          <w:szCs w:val="24"/>
        </w:rPr>
      </w:pPr>
      <w:r w:rsidRPr="000839A4">
        <w:rPr>
          <w:b/>
          <w:szCs w:val="24"/>
        </w:rPr>
        <w:t>d)</w:t>
      </w:r>
      <w:r w:rsidRPr="000839A4">
        <w:rPr>
          <w:b/>
          <w:szCs w:val="24"/>
        </w:rPr>
        <w:tab/>
        <w:t>povinnosti vrátit cenný papír, který poplatník zcizil a do okamžiku ocenění nezískal zpět,</w:t>
      </w:r>
    </w:p>
    <w:p w14:paraId="63749129" w14:textId="77777777" w:rsidR="000839A4" w:rsidRPr="000839A4" w:rsidRDefault="000839A4" w:rsidP="000839A4">
      <w:pPr>
        <w:tabs>
          <w:tab w:val="left" w:pos="357"/>
        </w:tabs>
        <w:spacing w:before="0"/>
        <w:ind w:left="357" w:hanging="357"/>
        <w:rPr>
          <w:b/>
          <w:szCs w:val="24"/>
        </w:rPr>
      </w:pPr>
      <w:r w:rsidRPr="000839A4">
        <w:rPr>
          <w:b/>
          <w:szCs w:val="24"/>
        </w:rPr>
        <w:t>e)</w:t>
      </w:r>
      <w:r w:rsidRPr="000839A4">
        <w:rPr>
          <w:b/>
          <w:szCs w:val="24"/>
        </w:rPr>
        <w:tab/>
        <w:t>pohledávky nebo směnky v části odpovídající úrokovému výnosu, pokud je úrokový výnos součástí ocenění pohledávky nebo směnky reálnou hodnotou,</w:t>
      </w:r>
    </w:p>
    <w:p w14:paraId="09F1C24A" w14:textId="77777777" w:rsidR="000839A4" w:rsidRPr="000839A4" w:rsidRDefault="000839A4" w:rsidP="000839A4">
      <w:pPr>
        <w:tabs>
          <w:tab w:val="left" w:pos="357"/>
        </w:tabs>
        <w:spacing w:before="0"/>
        <w:ind w:left="357" w:hanging="357"/>
        <w:rPr>
          <w:b/>
          <w:szCs w:val="24"/>
        </w:rPr>
      </w:pPr>
      <w:r w:rsidRPr="000839A4">
        <w:rPr>
          <w:b/>
          <w:szCs w:val="24"/>
        </w:rPr>
        <w:t>f)</w:t>
      </w:r>
      <w:r w:rsidRPr="000839A4">
        <w:rPr>
          <w:b/>
          <w:szCs w:val="24"/>
        </w:rPr>
        <w:tab/>
        <w:t xml:space="preserve">aktiva oceňovaného podle mezinárodního účetního standardu upravujícího účtování investic do nemovitostí, biologických aktiv v zemědělství nebo mezinárodního účetního standardu upravujícího účtování dlouhodobých aktiv držených k prodeji a ukončovaných činností, pokud jde o poplatníka používajícího mezinárodní účetní standardy. </w:t>
      </w:r>
    </w:p>
    <w:p w14:paraId="1AB7560B" w14:textId="77777777" w:rsidR="000839A4" w:rsidRPr="000839A4" w:rsidRDefault="000839A4" w:rsidP="000839A4">
      <w:pPr>
        <w:tabs>
          <w:tab w:val="left" w:pos="851"/>
        </w:tabs>
        <w:spacing w:before="120" w:after="120"/>
        <w:ind w:firstLine="427"/>
        <w:outlineLvl w:val="6"/>
      </w:pPr>
      <w:r w:rsidRPr="000839A4">
        <w:rPr>
          <w:b/>
        </w:rPr>
        <w:t xml:space="preserve">(10) </w:t>
      </w:r>
      <w:proofErr w:type="spellStart"/>
      <w:r w:rsidRPr="000839A4">
        <w:rPr>
          <w:b/>
        </w:rPr>
        <w:t>Kompenzovaně</w:t>
      </w:r>
      <w:proofErr w:type="spellEnd"/>
      <w:r w:rsidRPr="000839A4">
        <w:rPr>
          <w:b/>
        </w:rPr>
        <w:t xml:space="preserve"> vykazované položky účetních výkazů vztahující se k finanční výkonnosti se pro účely zjištění základu daně posuzují, jako by byly vykazovány bez kompenzace.</w:t>
      </w:r>
    </w:p>
    <w:p w14:paraId="066CB094" w14:textId="77777777" w:rsidR="000839A4" w:rsidRPr="000839A4" w:rsidRDefault="000839A4" w:rsidP="000839A4">
      <w:pPr>
        <w:tabs>
          <w:tab w:val="left" w:pos="851"/>
        </w:tabs>
        <w:spacing w:before="120" w:after="120"/>
        <w:ind w:firstLine="427"/>
        <w:outlineLvl w:val="6"/>
      </w:pPr>
      <w:r w:rsidRPr="000839A4">
        <w:t>(</w:t>
      </w:r>
      <w:proofErr w:type="gramStart"/>
      <w:r w:rsidRPr="000839A4">
        <w:t>11)</w:t>
      </w:r>
      <w:r w:rsidRPr="000839A4">
        <w:rPr>
          <w:b/>
        </w:rPr>
        <w:t xml:space="preserve"> </w:t>
      </w:r>
      <w:r w:rsidRPr="000839A4">
        <w:t xml:space="preserve"> U stálé</w:t>
      </w:r>
      <w:proofErr w:type="gramEnd"/>
      <w:r w:rsidRPr="000839A4">
        <w:t xml:space="preserve"> provozovny (§ 22 odst. 2) nemůže být základ daně nižší nebo daňová ztráta vyšší, než jaké by dosáhl z téže nebo podobné činnosti vykonávané za obdobných podmínek poplatník se sídlem či bydlištěm na území České republiky. Ke stanovení může být použito poměru zisku nebo ztráty k nákladům nebo hrubým příjmům u srovnatelných poplatníků nebo činností, srovnatelné výše obchodního rozpětí (provize) a jiných srovnatelných údajů. Rovněž lze použít metody rozdělení celkových zisků nebo ztrát zřizovatele stálé provozovny jeho různým částem. </w:t>
      </w:r>
    </w:p>
    <w:p w14:paraId="12BEC34F" w14:textId="77777777" w:rsidR="000839A4" w:rsidRPr="000839A4" w:rsidRDefault="000839A4" w:rsidP="000839A4">
      <w:pPr>
        <w:tabs>
          <w:tab w:val="left" w:pos="851"/>
        </w:tabs>
        <w:spacing w:before="120" w:after="120"/>
        <w:ind w:firstLine="427"/>
        <w:outlineLvl w:val="6"/>
        <w:rPr>
          <w:strike/>
        </w:rPr>
      </w:pPr>
      <w:r w:rsidRPr="000839A4">
        <w:rPr>
          <w:strike/>
        </w:rPr>
        <w:t xml:space="preserve">(12) Ustanovení předchozích odstavců platí i pro poplatníky uvedené v § 2, pokud není v § 5 stanoveno jinak. </w:t>
      </w:r>
    </w:p>
    <w:p w14:paraId="3B576140" w14:textId="77777777" w:rsidR="000839A4" w:rsidRPr="000839A4" w:rsidRDefault="000839A4" w:rsidP="000839A4">
      <w:pPr>
        <w:tabs>
          <w:tab w:val="left" w:pos="851"/>
        </w:tabs>
        <w:spacing w:before="120" w:after="120"/>
        <w:ind w:firstLine="427"/>
        <w:outlineLvl w:val="6"/>
      </w:pPr>
      <w:r w:rsidRPr="000839A4">
        <w:rPr>
          <w:strike/>
        </w:rPr>
        <w:lastRenderedPageBreak/>
        <w:t>(13) Při vložení pohledávky, o které nebylo účtováno a nebyl o ni snížen základ daně, do obchodní korporace a při postoupení pohledávky, o které nebylo účtováno a nebyl o ni snížen základ daně, s výjimkou pohledávky podle § 33a zákona o úpravě vlastnických vztahů k půdě a jinému zemědělskému majetku, je příjmem hodnota této pohledávky, a to i v případě, že se jedná o pohledávku postoupenou nebo pohledávku vloženou za cenu nižší, než je její hodnota. Pokud byla pohledávka postoupena za cenu vyšší, než je její hodnota, je příjmem tato vyšší cena. Při postoupení pohledávek uvedených v § 24 odst. 2 písm. y) je příjmem částka, za kterou byly pohledávky postoupeny. Toto ustanovení se nevztahuje na pohledávku vzniklou z titulu příjmu, který není předmětem daně, nebo je od daně osvobozen.</w:t>
      </w:r>
      <w:r w:rsidRPr="000839A4">
        <w:rPr>
          <w:shd w:val="clear" w:color="auto" w:fill="FFC000"/>
        </w:rPr>
        <w:t xml:space="preserve"> </w:t>
      </w:r>
    </w:p>
    <w:p w14:paraId="223AACE4" w14:textId="77777777" w:rsidR="000839A4" w:rsidRPr="000839A4" w:rsidRDefault="000839A4" w:rsidP="000839A4">
      <w:pPr>
        <w:tabs>
          <w:tab w:val="left" w:pos="851"/>
        </w:tabs>
        <w:spacing w:before="120" w:after="120"/>
        <w:ind w:firstLine="427"/>
        <w:outlineLvl w:val="6"/>
        <w:rPr>
          <w:strike/>
        </w:rPr>
      </w:pPr>
      <w:r w:rsidRPr="000839A4">
        <w:rPr>
          <w:strike/>
        </w:rPr>
        <w:t>(14)</w:t>
      </w:r>
      <w:r w:rsidRPr="000839A4">
        <w:rPr>
          <w:b/>
          <w:strike/>
        </w:rPr>
        <w:t xml:space="preserve"> </w:t>
      </w:r>
      <w:r w:rsidRPr="000839A4">
        <w:rPr>
          <w:strike/>
        </w:rPr>
        <w:t xml:space="preserve">Při přechodu z daňové evidence na vedení účetnictví u poplatníka s příjmy podle § 7 lze hodnotu zásob a pohledávek, které poplatník evidoval v době zahájení vedení účetnictví, zahrnout do základu daně buď jednorázově v době zahájení vedení </w:t>
      </w:r>
      <w:proofErr w:type="gramStart"/>
      <w:r w:rsidRPr="000839A4">
        <w:rPr>
          <w:strike/>
        </w:rPr>
        <w:t>účetnictví nebo</w:t>
      </w:r>
      <w:proofErr w:type="gramEnd"/>
      <w:r w:rsidRPr="000839A4">
        <w:rPr>
          <w:strike/>
        </w:rPr>
        <w:t xml:space="preserve"> postupně po 9 následujících zdaňovacích období, počínaje zdaňovacím obdobím zahájení vedení účetnictví. Ukončí-li nebo přeruší-li poplatník činnost nebo ukončí-li vedení účetnictví, nebo vloží-li pohledávky nebo zásoby do obchodní korporace, anebo změní-li způsob uplatňování výdajů podle § 24 na uplatňování výdajů podle § 7 odst. 7 před uplynutím doby zahrnování zásob a pohledávek do základu daně, zvýší ve zdaňovacím období, ve kterém byla činnost přerušena nebo ukončena nebo ve kterém bylo ukončeno vedení účetnictví, nebo ve kterém vložil pohledávky nebo zásoby do obchodní korporace anebo ve kterém uplatňoval výdaje podle § 24 před změnou způsobu uplatňování výdajů podle § 7 odst. 7, základ daně o hodnotu zásob a pohledávek, které nezahrnul do základu daně. </w:t>
      </w:r>
    </w:p>
    <w:p w14:paraId="40077C19" w14:textId="4D6F87B2" w:rsidR="000839A4" w:rsidRPr="000839A4" w:rsidRDefault="000839A4" w:rsidP="000839A4">
      <w:pPr>
        <w:tabs>
          <w:tab w:val="left" w:pos="851"/>
        </w:tabs>
        <w:spacing w:before="120" w:after="120"/>
        <w:ind w:firstLine="427"/>
        <w:outlineLvl w:val="6"/>
      </w:pPr>
      <w:r w:rsidRPr="000839A4">
        <w:rPr>
          <w:strike/>
        </w:rPr>
        <w:t>(15) Do základu daně se zahrnuje i rozdíl mezi oceněním obchodního závodu nabytého koupí a souhrnem ocenění jeho jednotlivých složek majetku v účetnictví prodávajícího sníženým o převzaté dluhy (dále jen „oceňovací rozdíl při koupi obchodního závodu“). Kladný oceňovací rozdíl při koupi obchodního závodu se zahrnuje do výdajů (nákladů) rovnoměrně během 180 měsíců, a to v poměrné výši připadající na počet měsíců v příslušném zdaňovacím období nebo období, za něž je podáváno daňové přiznání. Záporný oceňovací rozdíl při koupi obchodního závodu je částkou zvyšující výsledek hospodaření nebo rozdíl mezi příjmy a výdaji rovnoměrně během 180 měsíců, a to v poměrné výši připadající na počet měsíců v příslušném zdaňovacím období nebo období, za něž je podáváno daňové přiznání, pokud nebyl ve stejné výši podle zvláštního právního předpisu</w:t>
      </w:r>
      <w:r w:rsidRPr="000839A4">
        <w:rPr>
          <w:strike/>
          <w:vertAlign w:val="superscript"/>
        </w:rPr>
        <w:t>20)</w:t>
      </w:r>
      <w:r w:rsidR="008343E8">
        <w:rPr>
          <w:strike/>
        </w:rPr>
        <w:t xml:space="preserve"> </w:t>
      </w:r>
      <w:r w:rsidRPr="000839A4">
        <w:rPr>
          <w:strike/>
        </w:rPr>
        <w:t xml:space="preserve">součástí příjmů (výnosů). Neodepsanou část záporného oceňovacího rozdílu při koupi obchodního závodu je poplatník povinen zahrnout do základu daně při vyřazení poslední složky dlouhodobého nehmotného majetku nebo hmotného majetku; obdobně lze postupovat i u neodepsané části kladného oceňovacího rozdílu při koupi obchodního závodu. Při postupném vyřazování majetku tvořícího koupený obchodní závod se oceňovací rozdíl nemění. Při pachtu obchodního závodu, jehož propachtovatel odpisoval oceňovací rozdíl při koupi obchodního závodu, může pachtýř na základě písemné smlouvy s propachtovatelem pokračovat v zahrnování tohoto oceňovacího rozdílu do základu daně obdobně po dobu trvání pachtu. Při fúzi nebo při převodu jmění na společníka nebo při rozdělení obchodní korporace, kdy rozdělovaná obchodní korporace zaniká, se neodepsaná část kladného nebo záporného oceňovacího rozdílu při koupi obchodního závodu zahrne do základu daně zanikající obchodní korporace, pokud nebylo dohodnuto, že nástupnická obchodní korporace pokračuje v zahrnování do základu daně obdobně, jako by k přeměně nedošlo. Při rozdělení obchodní korporace, kdy rozdělovaná obchodní korporace zaniká a nástupnická obchodní korporace pokračuje v zahrnování kladného nebo záporného oceňovacího rozdílu při koupi obchodního závodu do základu daně, může nástupnická obchodní korporace tento oceňovací rozdíl zahrnovat do základu daně pouze v rozsahu zjištěném podle ekonomicky zdůvodnitelného kritéria. Při rozdělení obchodní korporace, kdy rozdělovaná obchodní </w:t>
      </w:r>
      <w:r w:rsidRPr="000839A4">
        <w:rPr>
          <w:strike/>
        </w:rPr>
        <w:lastRenderedPageBreak/>
        <w:t>korporace nezaniká, je kladný nebo záporný oceňovací rozdíl při koupi obchodního závodu zahrnován do základu daně rozdělované obchodní korporace a do základu daně nástupnické obchodní korporace pouze v rozsahu zjištěném podle ekonomicky zdůvodnitelného kritéria. Kladný nebo záporný rozdíl mezi oceněním obchodního závodu nabytého koupí a souhrnem jeho individuálně přeceněných složek majetku sníženým o převzaté dluhy (goodwill) se zahrnuje do základu daně obdobně jako oceňovací rozdíl při koupi obchodního závodu.</w:t>
      </w:r>
      <w:r w:rsidRPr="000839A4">
        <w:t xml:space="preserve"> </w:t>
      </w:r>
    </w:p>
    <w:p w14:paraId="7A3099AE" w14:textId="77777777" w:rsidR="000839A4" w:rsidRPr="000839A4" w:rsidRDefault="000839A4" w:rsidP="000839A4">
      <w:pPr>
        <w:tabs>
          <w:tab w:val="left" w:pos="851"/>
        </w:tabs>
        <w:spacing w:before="120" w:after="120"/>
        <w:ind w:firstLine="427"/>
        <w:outlineLvl w:val="6"/>
      </w:pPr>
      <w:r w:rsidRPr="000839A4">
        <w:rPr>
          <w:strike/>
        </w:rPr>
        <w:t>(16) Při prodeji obchodního závodu poplatníkem, který nevede účetnictví, vstupuje do základu daně příjem z prodeje a hodnota všech postupovaných dluhů. Jsou-li součástí prodeje obchodního závodu i zásoby uplatněné jako výdaj, zvýší se základ daně o rozdíl mezi hodnotou zásob a jejich cenou stanovenou při prodeji</w:t>
      </w:r>
      <w:r w:rsidRPr="000839A4">
        <w:rPr>
          <w:strike/>
          <w:color w:val="FFFFFF" w:themeColor="background1"/>
        </w:rPr>
        <w:t xml:space="preserve">. </w:t>
      </w:r>
      <w:r w:rsidRPr="000839A4">
        <w:rPr>
          <w:strike/>
        </w:rPr>
        <w:t>Jedná-li se o plátce daně z přidané hodnoty, rozumí se pro účely tohoto ustanovení hodnotou dluhů, jedná-li se o zdanitelné plnění podléhající dani z přidané hodnoty se sníženou nebo základní sazbou, hodnota včetně daně z přidané hodnoty. Pro účely tohoto ustanovení se nepoužije ustanovení odstavce 13</w:t>
      </w:r>
      <w:r w:rsidRPr="000839A4">
        <w:rPr>
          <w:strike/>
          <w:shd w:val="clear" w:color="auto" w:fill="BFBFBF" w:themeFill="background1" w:themeFillShade="BF"/>
        </w:rPr>
        <w:t>.</w:t>
      </w:r>
      <w:r w:rsidRPr="000839A4">
        <w:rPr>
          <w:strike/>
        </w:rPr>
        <w:t xml:space="preserve"> </w:t>
      </w:r>
    </w:p>
    <w:p w14:paraId="358496CE" w14:textId="77777777" w:rsidR="000839A4" w:rsidRPr="000839A4" w:rsidRDefault="000839A4" w:rsidP="000839A4">
      <w:pPr>
        <w:tabs>
          <w:tab w:val="left" w:pos="851"/>
        </w:tabs>
        <w:spacing w:before="120" w:after="120"/>
        <w:ind w:firstLine="427"/>
        <w:outlineLvl w:val="6"/>
        <w:rPr>
          <w:b/>
        </w:rPr>
      </w:pPr>
      <w:r w:rsidRPr="000839A4">
        <w:rPr>
          <w:b/>
        </w:rPr>
        <w:t>(12)</w:t>
      </w:r>
      <w:r w:rsidRPr="000839A4">
        <w:t xml:space="preserve"> </w:t>
      </w:r>
      <w:r w:rsidRPr="000839A4">
        <w:rPr>
          <w:b/>
        </w:rPr>
        <w:t>Základ daně poplatníka používajícího mezinárodní účetní standardy se upraví o částku, která nikdy neovlivní jeho základ daně, pokud by ho ovlivnila, kdyby tento poplatník byl poplatníkem s akruálním základem daně, u kterého se pro zjištění základu daně vychází z výsledku hospodaření podle účetních předpisů bez vlivu mezinárodních účetních standardů, a to ve zdaňovacím období, ve kterém by tato částka jeho základ daně ovlivnila.</w:t>
      </w:r>
    </w:p>
    <w:p w14:paraId="3A9A3A92" w14:textId="77777777" w:rsidR="000839A4" w:rsidRPr="000839A4" w:rsidRDefault="000839A4" w:rsidP="000839A4">
      <w:pPr>
        <w:tabs>
          <w:tab w:val="left" w:pos="851"/>
        </w:tabs>
        <w:spacing w:before="120" w:after="120"/>
        <w:ind w:firstLine="427"/>
        <w:outlineLvl w:val="6"/>
        <w:rPr>
          <w:b/>
        </w:rPr>
      </w:pPr>
      <w:r w:rsidRPr="000839A4">
        <w:rPr>
          <w:b/>
        </w:rPr>
        <w:t>(13) Při změně daňové metody se</w:t>
      </w:r>
    </w:p>
    <w:p w14:paraId="49C5D5CB" w14:textId="77777777" w:rsidR="000839A4" w:rsidRPr="000839A4" w:rsidRDefault="000839A4" w:rsidP="000839A4">
      <w:pPr>
        <w:tabs>
          <w:tab w:val="left" w:pos="357"/>
        </w:tabs>
        <w:spacing w:before="0"/>
        <w:ind w:left="357" w:hanging="357"/>
        <w:rPr>
          <w:b/>
          <w:szCs w:val="24"/>
        </w:rPr>
      </w:pPr>
      <w:r w:rsidRPr="000839A4">
        <w:rPr>
          <w:b/>
          <w:szCs w:val="24"/>
        </w:rPr>
        <w:t>a)</w:t>
      </w:r>
      <w:r w:rsidRPr="000839A4">
        <w:rPr>
          <w:b/>
          <w:szCs w:val="24"/>
        </w:rPr>
        <w:tab/>
        <w:t>k prvnímu dni zdaňovacího období bezprostředně následujícího po této změně určí daňová hodnota evidovaného aktiva a dluhu ve výši, jakou by měly, kdyby poplatník používal daňovou metodu, kterou používá v tomto zdaňovacím období, a</w:t>
      </w:r>
    </w:p>
    <w:p w14:paraId="45A7B605" w14:textId="77777777" w:rsidR="000839A4" w:rsidRPr="000839A4" w:rsidRDefault="000839A4" w:rsidP="000839A4">
      <w:pPr>
        <w:tabs>
          <w:tab w:val="left" w:pos="357"/>
        </w:tabs>
        <w:spacing w:before="0"/>
        <w:ind w:left="357" w:hanging="357"/>
        <w:rPr>
          <w:b/>
          <w:szCs w:val="24"/>
        </w:rPr>
      </w:pPr>
      <w:r w:rsidRPr="000839A4">
        <w:rPr>
          <w:b/>
          <w:szCs w:val="24"/>
        </w:rPr>
        <w:t>b)</w:t>
      </w:r>
      <w:r w:rsidRPr="000839A4">
        <w:rPr>
          <w:b/>
          <w:szCs w:val="24"/>
        </w:rPr>
        <w:tab/>
        <w:t xml:space="preserve">v 10 zdaňovacích obdobích bezprostředně následujících po této změně upraví základ daně o desetinu rozdílu mezi </w:t>
      </w:r>
    </w:p>
    <w:p w14:paraId="4DFEBF86" w14:textId="77777777" w:rsidR="000839A4" w:rsidRPr="000839A4" w:rsidRDefault="000839A4" w:rsidP="000839A4">
      <w:pPr>
        <w:tabs>
          <w:tab w:val="left" w:pos="357"/>
        </w:tabs>
        <w:spacing w:before="0"/>
        <w:ind w:left="714" w:hanging="357"/>
        <w:rPr>
          <w:b/>
          <w:noProof/>
          <w:szCs w:val="24"/>
        </w:rPr>
      </w:pPr>
      <w:r w:rsidRPr="000839A4">
        <w:rPr>
          <w:b/>
          <w:noProof/>
          <w:szCs w:val="24"/>
        </w:rPr>
        <w:t>1.</w:t>
      </w:r>
      <w:r w:rsidRPr="000839A4">
        <w:rPr>
          <w:b/>
          <w:noProof/>
          <w:szCs w:val="24"/>
        </w:rPr>
        <w:tab/>
      </w:r>
      <w:r w:rsidRPr="000839A4">
        <w:rPr>
          <w:b/>
          <w:szCs w:val="24"/>
        </w:rPr>
        <w:t>úhrnem</w:t>
      </w:r>
      <w:r w:rsidRPr="000839A4">
        <w:rPr>
          <w:b/>
          <w:noProof/>
          <w:szCs w:val="24"/>
        </w:rPr>
        <w:t xml:space="preserve"> základů daně za všechna předcházející zdaňovací období, které by poplatník měl, kdyby v těchto zdaňovacích obdobích určoval základ daně tak, jak ho určuje v tomto zdaňovacím období, a</w:t>
      </w:r>
    </w:p>
    <w:p w14:paraId="41064C20" w14:textId="77777777" w:rsidR="000839A4" w:rsidRPr="000839A4" w:rsidRDefault="000839A4" w:rsidP="000839A4">
      <w:pPr>
        <w:tabs>
          <w:tab w:val="left" w:pos="357"/>
        </w:tabs>
        <w:spacing w:before="0"/>
        <w:ind w:left="714" w:hanging="357"/>
        <w:rPr>
          <w:b/>
          <w:noProof/>
          <w:szCs w:val="24"/>
        </w:rPr>
      </w:pPr>
      <w:r w:rsidRPr="000839A4">
        <w:rPr>
          <w:b/>
          <w:noProof/>
          <w:szCs w:val="24"/>
        </w:rPr>
        <w:t>2.</w:t>
      </w:r>
      <w:r w:rsidRPr="000839A4">
        <w:rPr>
          <w:b/>
          <w:noProof/>
          <w:szCs w:val="24"/>
        </w:rPr>
        <w:tab/>
      </w:r>
      <w:r w:rsidRPr="000839A4">
        <w:rPr>
          <w:b/>
          <w:szCs w:val="24"/>
        </w:rPr>
        <w:t>úhrnem</w:t>
      </w:r>
      <w:r w:rsidRPr="000839A4">
        <w:rPr>
          <w:b/>
          <w:noProof/>
          <w:szCs w:val="24"/>
        </w:rPr>
        <w:t xml:space="preserve"> základů daně za všechna předcházející zdaňovací období.</w:t>
      </w:r>
    </w:p>
    <w:p w14:paraId="29A3364D" w14:textId="77777777" w:rsidR="000839A4" w:rsidRPr="000839A4" w:rsidRDefault="000839A4" w:rsidP="000839A4">
      <w:pPr>
        <w:tabs>
          <w:tab w:val="left" w:pos="851"/>
        </w:tabs>
        <w:spacing w:before="120" w:after="120"/>
        <w:ind w:firstLine="427"/>
        <w:outlineLvl w:val="6"/>
        <w:rPr>
          <w:b/>
        </w:rPr>
      </w:pPr>
      <w:r w:rsidRPr="000839A4">
        <w:rPr>
          <w:b/>
        </w:rPr>
        <w:t>(14) Změnou daňové metody je pro účely daní z příjmů skutečnost, že poplatník</w:t>
      </w:r>
    </w:p>
    <w:p w14:paraId="7566F72B" w14:textId="77777777" w:rsidR="000839A4" w:rsidRPr="000839A4" w:rsidRDefault="000839A4" w:rsidP="000839A4">
      <w:pPr>
        <w:tabs>
          <w:tab w:val="left" w:pos="357"/>
        </w:tabs>
        <w:spacing w:before="0"/>
        <w:ind w:left="357" w:hanging="357"/>
        <w:rPr>
          <w:b/>
          <w:szCs w:val="24"/>
        </w:rPr>
      </w:pPr>
      <w:r w:rsidRPr="000839A4">
        <w:rPr>
          <w:b/>
          <w:szCs w:val="24"/>
        </w:rPr>
        <w:t>a)</w:t>
      </w:r>
      <w:r w:rsidRPr="000839A4">
        <w:rPr>
          <w:b/>
          <w:szCs w:val="24"/>
        </w:rPr>
        <w:tab/>
        <w:t>s hotovostním základem daně se stal poplatníkem s akruálním základem daně nebo naopak a</w:t>
      </w:r>
    </w:p>
    <w:p w14:paraId="0A252C9A" w14:textId="77777777" w:rsidR="000839A4" w:rsidRPr="000839A4" w:rsidRDefault="000839A4" w:rsidP="000839A4">
      <w:pPr>
        <w:tabs>
          <w:tab w:val="left" w:pos="357"/>
        </w:tabs>
        <w:spacing w:before="0"/>
        <w:ind w:left="357" w:hanging="357"/>
        <w:rPr>
          <w:b/>
          <w:szCs w:val="24"/>
        </w:rPr>
      </w:pPr>
      <w:r w:rsidRPr="000839A4">
        <w:rPr>
          <w:b/>
          <w:szCs w:val="24"/>
        </w:rPr>
        <w:t>b)</w:t>
      </w:r>
      <w:r w:rsidRPr="000839A4">
        <w:rPr>
          <w:b/>
          <w:szCs w:val="24"/>
        </w:rPr>
        <w:tab/>
        <w:t>používající mezinárodní účetní standardy tyto účetní standardy přestal používat nebo naopak.</w:t>
      </w:r>
    </w:p>
    <w:p w14:paraId="4F2CCCB6" w14:textId="77777777" w:rsidR="000839A4" w:rsidRPr="000839A4" w:rsidRDefault="000839A4" w:rsidP="000839A4">
      <w:pPr>
        <w:tabs>
          <w:tab w:val="left" w:pos="851"/>
        </w:tabs>
        <w:spacing w:before="120" w:after="120"/>
        <w:ind w:firstLine="427"/>
        <w:outlineLvl w:val="6"/>
        <w:rPr>
          <w:b/>
        </w:rPr>
      </w:pPr>
      <w:r w:rsidRPr="000839A4">
        <w:rPr>
          <w:b/>
        </w:rPr>
        <w:t>(15) Je-li rozdíl podle odstavce 13 písm. b) kladný, může poplatník upravit základ daně o celý tento rozdíl ve zdaňovacím období bezprostředně následujícím po změně daňové metody.</w:t>
      </w:r>
    </w:p>
    <w:p w14:paraId="04B647E0" w14:textId="77777777" w:rsidR="000839A4" w:rsidRPr="000839A4" w:rsidRDefault="000839A4" w:rsidP="000839A4">
      <w:pPr>
        <w:tabs>
          <w:tab w:val="left" w:pos="851"/>
        </w:tabs>
        <w:spacing w:before="120" w:after="120"/>
        <w:ind w:firstLine="427"/>
        <w:outlineLvl w:val="6"/>
        <w:rPr>
          <w:b/>
        </w:rPr>
      </w:pPr>
      <w:r w:rsidRPr="000839A4">
        <w:rPr>
          <w:b/>
        </w:rPr>
        <w:t xml:space="preserve">(16) Základ daně se upraví o celou zbývající část rozdílu podle odstavce 13 písm. b) </w:t>
      </w:r>
    </w:p>
    <w:p w14:paraId="5FF0031C" w14:textId="77777777" w:rsidR="000839A4" w:rsidRPr="000839A4" w:rsidRDefault="000839A4" w:rsidP="000839A4">
      <w:pPr>
        <w:tabs>
          <w:tab w:val="left" w:pos="357"/>
        </w:tabs>
        <w:spacing w:before="0"/>
        <w:ind w:left="357" w:hanging="357"/>
        <w:rPr>
          <w:b/>
          <w:szCs w:val="24"/>
        </w:rPr>
      </w:pPr>
      <w:r w:rsidRPr="000839A4">
        <w:rPr>
          <w:b/>
          <w:szCs w:val="24"/>
        </w:rPr>
        <w:t>a)</w:t>
      </w:r>
      <w:r w:rsidRPr="000839A4">
        <w:rPr>
          <w:b/>
          <w:szCs w:val="24"/>
        </w:rPr>
        <w:tab/>
        <w:t>ve zdaňovacím období nebo části zdaňovacího období, za kterou se podává daňové přiznání, které uplynuly přede dnem</w:t>
      </w:r>
    </w:p>
    <w:p w14:paraId="15B445DB" w14:textId="77777777" w:rsidR="000839A4" w:rsidRPr="000839A4" w:rsidRDefault="000839A4" w:rsidP="000839A4">
      <w:pPr>
        <w:tabs>
          <w:tab w:val="left" w:pos="357"/>
        </w:tabs>
        <w:spacing w:before="0"/>
        <w:ind w:left="714" w:hanging="357"/>
        <w:rPr>
          <w:b/>
          <w:noProof/>
          <w:szCs w:val="24"/>
        </w:rPr>
      </w:pPr>
      <w:r w:rsidRPr="000839A4">
        <w:rPr>
          <w:b/>
          <w:noProof/>
          <w:szCs w:val="24"/>
        </w:rPr>
        <w:t>1.</w:t>
      </w:r>
      <w:r w:rsidRPr="000839A4">
        <w:rPr>
          <w:b/>
          <w:noProof/>
          <w:szCs w:val="24"/>
        </w:rPr>
        <w:tab/>
        <w:t>vstupu poplatníka do likvidace,</w:t>
      </w:r>
    </w:p>
    <w:p w14:paraId="3FE89FA0" w14:textId="77777777" w:rsidR="000839A4" w:rsidRPr="000839A4" w:rsidRDefault="000839A4" w:rsidP="000839A4">
      <w:pPr>
        <w:tabs>
          <w:tab w:val="left" w:pos="357"/>
        </w:tabs>
        <w:spacing w:before="0"/>
        <w:ind w:left="714" w:hanging="357"/>
        <w:rPr>
          <w:b/>
          <w:noProof/>
          <w:szCs w:val="24"/>
        </w:rPr>
      </w:pPr>
      <w:r w:rsidRPr="000839A4">
        <w:rPr>
          <w:b/>
          <w:noProof/>
          <w:szCs w:val="24"/>
        </w:rPr>
        <w:t>2.</w:t>
      </w:r>
      <w:r w:rsidRPr="000839A4">
        <w:rPr>
          <w:b/>
          <w:noProof/>
          <w:szCs w:val="24"/>
        </w:rPr>
        <w:tab/>
        <w:t>účinnosti rozhodnutí o úpadku poplatníka nebo</w:t>
      </w:r>
    </w:p>
    <w:p w14:paraId="5A409863" w14:textId="77777777" w:rsidR="000839A4" w:rsidRPr="000839A4" w:rsidRDefault="000839A4" w:rsidP="000839A4">
      <w:pPr>
        <w:tabs>
          <w:tab w:val="left" w:pos="357"/>
        </w:tabs>
        <w:spacing w:before="0"/>
        <w:ind w:left="714" w:hanging="357"/>
        <w:rPr>
          <w:b/>
          <w:noProof/>
          <w:szCs w:val="24"/>
        </w:rPr>
      </w:pPr>
      <w:r w:rsidRPr="000839A4">
        <w:rPr>
          <w:b/>
          <w:noProof/>
          <w:szCs w:val="24"/>
        </w:rPr>
        <w:t>3.</w:t>
      </w:r>
      <w:r w:rsidRPr="000839A4">
        <w:rPr>
          <w:b/>
          <w:noProof/>
          <w:szCs w:val="24"/>
        </w:rPr>
        <w:tab/>
        <w:t>zániku poplatníka, který je zrušen bez likvidace,</w:t>
      </w:r>
    </w:p>
    <w:p w14:paraId="7B22F0F1" w14:textId="77777777" w:rsidR="000839A4" w:rsidRPr="000839A4" w:rsidRDefault="000839A4" w:rsidP="000839A4">
      <w:pPr>
        <w:tabs>
          <w:tab w:val="left" w:pos="357"/>
        </w:tabs>
        <w:spacing w:before="0"/>
        <w:ind w:left="357" w:hanging="357"/>
        <w:rPr>
          <w:b/>
          <w:noProof/>
          <w:szCs w:val="24"/>
        </w:rPr>
      </w:pPr>
      <w:r w:rsidRPr="000839A4">
        <w:rPr>
          <w:b/>
          <w:szCs w:val="24"/>
        </w:rPr>
        <w:t>b)</w:t>
      </w:r>
      <w:r w:rsidRPr="000839A4">
        <w:rPr>
          <w:b/>
          <w:szCs w:val="24"/>
        </w:rPr>
        <w:tab/>
        <w:t>v posledním zdaňovacím období před změnou daňové metody.</w:t>
      </w:r>
    </w:p>
    <w:p w14:paraId="06824BBC" w14:textId="77777777" w:rsidR="000839A4" w:rsidRPr="000839A4" w:rsidRDefault="000839A4" w:rsidP="000839A4">
      <w:pPr>
        <w:tabs>
          <w:tab w:val="left" w:pos="851"/>
        </w:tabs>
        <w:spacing w:before="120" w:after="120"/>
        <w:ind w:firstLine="427"/>
        <w:outlineLvl w:val="6"/>
      </w:pPr>
      <w:r w:rsidRPr="000839A4">
        <w:rPr>
          <w:strike/>
        </w:rPr>
        <w:lastRenderedPageBreak/>
        <w:t>(17) Při nabytí majetku a dluhů poplatníkem uvedeným v § 17 odst. 3 nebo stálou provozovnou poplatníka uvedeného v § 17 odst. 4 na území České republiky vkladem, převodem obchodního závodu, fúzí obchodních korporací nebo rozdělením obchodní korporace od poplatníka uvedeného v § 17 odst. 4 nebo při přemístění majetku a dluhů ze zahraničí do stálé provozovny poplatníka uvedeného v § 2 odst. 3 nebo v § 17 odst. 4 na území České republiky se pro přepočet hodnoty majetku a dluhů na českou měnu použije kurz pro přepočet daně ke dni převodu vlastnictví u majetku nabytého vkladem nebo převodem obchodního závodu nebo k rozhodnému dni u majetku nabytého fúzí obchodních korporací nebo rozdělením obchodní korporace od poplatníka uvedeného v § 17 odst. 4, který nemá stálou provozovnu na území České republiky, a to bez přihlédnutí k oceňovacím rozdílům vyplývajícím z přecenění majetku a dluhů v souladu s právními předpisy příslušného státu (dále jen „přepočtená zahraniční cena“); pokud je poplatník účetní jednotkou podle zákona upravujícího účetnictví a jedná se o položku pro výpočet daně, o které se účtuje, použije se pro tento přepočet na měnu účetnictví kurz použitý v účetnictví, a pokud se jedná o majetek, dluhy, rezervy vytvářené pro daňové účely a jiné položky evidované v měně účetnictví, použije se pro tento přepočet na měnu účetnictví obecný kurz podle zákona upravujícího účetnictví. Stejný kurs se použije pro přepočet hodnoty uplatněných odpisů, opravných položek, daňové ztráty, rezerv, odčitatelných položek a obdobných položek uplatněných podle příslušných právních předpisů v zahraničí vztahujících se k nabytému majetku a dluhům. Přepočtená zahraniční cena se použije také pro účely uvedené v § 24 odst. 11.</w:t>
      </w:r>
    </w:p>
    <w:p w14:paraId="4FA01A47" w14:textId="77777777" w:rsidR="000839A4" w:rsidRPr="000839A4" w:rsidRDefault="000839A4" w:rsidP="000839A4">
      <w:pPr>
        <w:tabs>
          <w:tab w:val="left" w:pos="851"/>
        </w:tabs>
        <w:spacing w:before="120" w:after="120"/>
        <w:ind w:firstLine="427"/>
        <w:outlineLvl w:val="6"/>
        <w:rPr>
          <w:strike/>
        </w:rPr>
      </w:pPr>
      <w:r w:rsidRPr="000839A4">
        <w:rPr>
          <w:strike/>
        </w:rPr>
        <w:t>(18) U veřejně prospěšných poplatníků se při přechodu z vedení účetnictví na jednoduché účetnictví postupuje přiměřeně podle přílohy č. 2 k tomuto zákonu. U těchto poplatníků se při přechodu z jednoduchého účetnictví na vedení účetnictví postupuje přiměřeně podle přílohy č. 3 k tomuto zákonu.</w:t>
      </w:r>
    </w:p>
    <w:p w14:paraId="4C1CEB5C" w14:textId="77777777" w:rsidR="000839A4" w:rsidRPr="000839A4" w:rsidRDefault="000839A4" w:rsidP="000839A4">
      <w:pPr>
        <w:tabs>
          <w:tab w:val="left" w:pos="851"/>
        </w:tabs>
        <w:spacing w:before="120" w:after="120"/>
        <w:ind w:firstLine="427"/>
        <w:outlineLvl w:val="6"/>
        <w:rPr>
          <w:strike/>
        </w:rPr>
      </w:pPr>
      <w:r w:rsidRPr="000839A4">
        <w:rPr>
          <w:strike/>
        </w:rPr>
        <w:t>(19) Výsledek hospodaření poplatníka, který na základě právních předpisů upravujících účetnictví využil možnost oceňovat finanční nástroj reálnou hodnotou do vlastního kapitálu bez ovlivnění výsledku hospodaření, se při realizaci tohoto finančního nástroje upraví o částku odpovídající změnám vlastního kapitálu souvisejícím s tímto finančním nástrojem od jeho pořízení do jeho realizace, pokud neovlivnily základ daně; to neplatí pro finanční nástroj, u kterého by byl příjem z jeho převodu osvobozen.</w:t>
      </w:r>
    </w:p>
    <w:p w14:paraId="0C7E12E6" w14:textId="77777777" w:rsidR="000839A4" w:rsidRPr="000839A4" w:rsidRDefault="000839A4" w:rsidP="000839A4">
      <w:pPr>
        <w:tabs>
          <w:tab w:val="left" w:pos="851"/>
        </w:tabs>
        <w:spacing w:before="120" w:after="120"/>
        <w:ind w:firstLine="427"/>
        <w:outlineLvl w:val="6"/>
        <w:rPr>
          <w:strike/>
        </w:rPr>
      </w:pPr>
      <w:r w:rsidRPr="000839A4">
        <w:rPr>
          <w:strike/>
        </w:rPr>
        <w:t>(20) V případech, kdy poplatník na základě právních předpisů upravujících účetnictví postupuje podle přímo použitelného předpisu Evropské unie upravujícího účetní výkaznictví leasingů</w:t>
      </w:r>
      <w:r w:rsidRPr="000839A4">
        <w:rPr>
          <w:strike/>
          <w:vertAlign w:val="superscript"/>
        </w:rPr>
        <w:footnoteReference w:customMarkFollows="1" w:id="159"/>
        <w:t>140)</w:t>
      </w:r>
      <w:r w:rsidRPr="000839A4">
        <w:rPr>
          <w:strike/>
        </w:rPr>
        <w:t>, se pro zjištění základu daně vychází z výsledku hospodaření, který by byl zjištěn, kdyby poplatník v těchto případech postupoval podle právních předpisů upravujících účetnictví účinných před 1. lednem 2018.</w:t>
      </w:r>
    </w:p>
    <w:p w14:paraId="5BA7B94D" w14:textId="77777777" w:rsidR="000839A4" w:rsidRPr="000839A4" w:rsidRDefault="000839A4" w:rsidP="000839A4">
      <w:pPr>
        <w:keepNext/>
        <w:ind w:firstLine="0"/>
        <w:jc w:val="center"/>
        <w:rPr>
          <w:b/>
          <w:strike/>
          <w:szCs w:val="24"/>
        </w:rPr>
      </w:pPr>
      <w:r w:rsidRPr="000839A4">
        <w:rPr>
          <w:b/>
          <w:strike/>
          <w:szCs w:val="24"/>
        </w:rPr>
        <w:lastRenderedPageBreak/>
        <w:t xml:space="preserve">Společný systém zdanění při převodu obchodního závodu, výměně podílů, fúzi a rozdělení </w:t>
      </w:r>
    </w:p>
    <w:p w14:paraId="4C7C9E35" w14:textId="77777777" w:rsidR="000839A4" w:rsidRPr="000839A4" w:rsidRDefault="000839A4" w:rsidP="000839A4">
      <w:pPr>
        <w:keepNext/>
        <w:spacing w:before="120"/>
        <w:ind w:firstLine="0"/>
        <w:jc w:val="center"/>
        <w:outlineLvl w:val="7"/>
        <w:rPr>
          <w:b/>
        </w:rPr>
      </w:pPr>
      <w:r w:rsidRPr="000839A4">
        <w:rPr>
          <w:b/>
        </w:rPr>
        <w:t>Hlava III</w:t>
      </w:r>
    </w:p>
    <w:p w14:paraId="63CE2BEC" w14:textId="77777777" w:rsidR="000839A4" w:rsidRPr="000839A4" w:rsidRDefault="000839A4" w:rsidP="000839A4">
      <w:pPr>
        <w:keepNext/>
        <w:spacing w:before="120"/>
        <w:ind w:firstLine="0"/>
        <w:jc w:val="center"/>
        <w:outlineLvl w:val="7"/>
        <w:rPr>
          <w:b/>
          <w:bCs/>
        </w:rPr>
      </w:pPr>
      <w:r w:rsidRPr="000839A4">
        <w:rPr>
          <w:b/>
          <w:bCs/>
        </w:rPr>
        <w:t>Společný systém zdanění při převodu obchodního závodu, výměně podílu, fúzi a rozdělení</w:t>
      </w:r>
    </w:p>
    <w:p w14:paraId="7777E050" w14:textId="77777777" w:rsidR="000839A4" w:rsidRPr="000839A4" w:rsidRDefault="000839A4" w:rsidP="000839A4">
      <w:pPr>
        <w:keepNext/>
        <w:ind w:firstLine="0"/>
        <w:jc w:val="center"/>
        <w:rPr>
          <w:szCs w:val="24"/>
        </w:rPr>
      </w:pPr>
      <w:r w:rsidRPr="000839A4">
        <w:rPr>
          <w:szCs w:val="24"/>
        </w:rPr>
        <w:t>§ 23a</w:t>
      </w:r>
    </w:p>
    <w:p w14:paraId="4CE54643" w14:textId="77777777" w:rsidR="000839A4" w:rsidRPr="000839A4" w:rsidRDefault="000839A4" w:rsidP="000839A4">
      <w:pPr>
        <w:keepNext/>
        <w:ind w:firstLine="0"/>
        <w:jc w:val="center"/>
        <w:rPr>
          <w:b/>
          <w:szCs w:val="24"/>
        </w:rPr>
      </w:pPr>
      <w:r w:rsidRPr="000839A4">
        <w:rPr>
          <w:b/>
          <w:szCs w:val="24"/>
        </w:rPr>
        <w:t xml:space="preserve">Převod obchodního závodu na obchodní korporaci </w:t>
      </w:r>
    </w:p>
    <w:p w14:paraId="12C55315" w14:textId="77777777" w:rsidR="000839A4" w:rsidRPr="000839A4" w:rsidRDefault="000839A4" w:rsidP="000839A4">
      <w:pPr>
        <w:tabs>
          <w:tab w:val="left" w:pos="851"/>
        </w:tabs>
        <w:spacing w:before="120" w:after="120"/>
        <w:ind w:firstLine="427"/>
        <w:outlineLvl w:val="6"/>
      </w:pPr>
      <w:r w:rsidRPr="000839A4">
        <w:t xml:space="preserve">(1) Převodem obchodního závodu na obchodní korporaci se pro účely tohoto zákona rozumí postup, při kterém obchodní korporace převádí bez toho, aby zanikla (dále jen „převádějící obchodní korporace“), obchodní závod, na jinou obchodní korporaci (dále jen „přijímající obchodní korporace“) tak, že za převedený obchodní závod získá převádějící obchodní korporace podíl v přijímající obchodní korporaci nebo se zvýší její vklad do základního kapitálu přijímající obchodní korporace </w:t>
      </w:r>
    </w:p>
    <w:p w14:paraId="3710FED5" w14:textId="77777777" w:rsidR="000839A4" w:rsidRPr="000839A4" w:rsidRDefault="000839A4" w:rsidP="000839A4">
      <w:pPr>
        <w:tabs>
          <w:tab w:val="left" w:pos="851"/>
        </w:tabs>
        <w:spacing w:before="120" w:after="120"/>
        <w:ind w:firstLine="427"/>
        <w:outlineLvl w:val="6"/>
      </w:pPr>
      <w:r w:rsidRPr="000839A4">
        <w:t xml:space="preserve">(2) </w:t>
      </w:r>
      <w:r w:rsidRPr="000839A4">
        <w:rPr>
          <w:strike/>
        </w:rPr>
        <w:t>Nabývací cenou</w:t>
      </w:r>
      <w:r w:rsidRPr="000839A4">
        <w:t xml:space="preserve"> </w:t>
      </w:r>
      <w:r w:rsidRPr="000839A4">
        <w:rPr>
          <w:b/>
        </w:rPr>
        <w:t xml:space="preserve">Daňovou hodnotou kapitálového </w:t>
      </w:r>
      <w:r w:rsidRPr="000839A4">
        <w:t xml:space="preserve">podílu v přijímající obchodní korporaci je cena převedeného obchodního závodu, jak byl oceněn pro nepeněžitý vklad podle zvláštního právního předpisu, v ostatních případech </w:t>
      </w:r>
      <w:r w:rsidRPr="000839A4">
        <w:rPr>
          <w:strike/>
        </w:rPr>
        <w:t>cena určená podle právního předpisu upravujícího oceňování majetku</w:t>
      </w:r>
      <w:r w:rsidRPr="000839A4">
        <w:t xml:space="preserve"> </w:t>
      </w:r>
      <w:r w:rsidRPr="000839A4">
        <w:rPr>
          <w:b/>
        </w:rPr>
        <w:t>hodnota určená podle zákona upravujícího oceňování věcí, služeb a dluhů</w:t>
      </w:r>
      <w:r w:rsidRPr="000839A4">
        <w:t>.</w:t>
      </w:r>
    </w:p>
    <w:p w14:paraId="220CFFAE" w14:textId="77777777" w:rsidR="000839A4" w:rsidRPr="000839A4" w:rsidRDefault="000839A4" w:rsidP="000839A4">
      <w:pPr>
        <w:tabs>
          <w:tab w:val="left" w:pos="851"/>
        </w:tabs>
        <w:spacing w:before="120" w:after="120"/>
        <w:ind w:firstLine="427"/>
        <w:outlineLvl w:val="6"/>
      </w:pPr>
      <w:r w:rsidRPr="000839A4">
        <w:t xml:space="preserve">(3) Příjmy (výnosy) vzniklé u převádějící obchodní korporace při převodu obchodního závodu v souvislosti s oceněním </w:t>
      </w:r>
      <w:r w:rsidRPr="000839A4">
        <w:rPr>
          <w:strike/>
        </w:rPr>
        <w:t>převedeného majetku</w:t>
      </w:r>
      <w:r w:rsidRPr="000839A4">
        <w:t xml:space="preserve"> </w:t>
      </w:r>
      <w:r w:rsidRPr="000839A4">
        <w:rPr>
          <w:b/>
        </w:rPr>
        <w:t xml:space="preserve">převedených aktiv </w:t>
      </w:r>
      <w:r w:rsidRPr="000839A4">
        <w:t xml:space="preserve">a dluhů pro účely převodu obchodního závodu se nezahrnují do základu daně. </w:t>
      </w:r>
    </w:p>
    <w:p w14:paraId="67B988EE" w14:textId="77777777" w:rsidR="000839A4" w:rsidRPr="000839A4" w:rsidRDefault="000839A4" w:rsidP="000839A4">
      <w:pPr>
        <w:tabs>
          <w:tab w:val="left" w:pos="851"/>
        </w:tabs>
        <w:spacing w:before="120" w:after="120"/>
        <w:ind w:firstLine="427"/>
        <w:outlineLvl w:val="6"/>
      </w:pPr>
      <w:r w:rsidRPr="000839A4">
        <w:t xml:space="preserve">(4) Přijímající obchodní korporace nebo přijímající obchodní korporace prostřednictvím své stálé provozovny umístěné na území České republiky pokračuje v odpisování započatém převádějící obchodní korporací u převedeného hmotného majetku a nehmotného majetku, který lze odpisovat podle tohoto zákona; je-li převádějící obchodní korporace poplatníkem, který je daňovým nerezidentem a tento hmotný majetek nebyl součástí stálé provozovny na území České republiky, pro stanovení odpisů u přijímající obchodní korporace se použije obdobně ustanovení § </w:t>
      </w:r>
      <w:r w:rsidRPr="000839A4">
        <w:rPr>
          <w:strike/>
        </w:rPr>
        <w:t>32c</w:t>
      </w:r>
      <w:r w:rsidRPr="000839A4">
        <w:t xml:space="preserve"> </w:t>
      </w:r>
      <w:r w:rsidRPr="000839A4">
        <w:rPr>
          <w:b/>
        </w:rPr>
        <w:t>30</w:t>
      </w:r>
      <w:r w:rsidRPr="000839A4">
        <w:t xml:space="preserve">. </w:t>
      </w:r>
    </w:p>
    <w:p w14:paraId="53C700AE" w14:textId="77777777" w:rsidR="000839A4" w:rsidRPr="000839A4" w:rsidRDefault="000839A4" w:rsidP="000839A4">
      <w:pPr>
        <w:tabs>
          <w:tab w:val="left" w:pos="851"/>
        </w:tabs>
        <w:spacing w:before="120" w:after="120"/>
        <w:ind w:firstLine="427"/>
        <w:outlineLvl w:val="6"/>
      </w:pPr>
      <w:r w:rsidRPr="000839A4">
        <w:t xml:space="preserve">(5) Přijímající obchodní korporace nebo přijímající obchodní korporace prostřednictvím své stálé provozovny umístěné na území České republiky je oprávněna  </w:t>
      </w:r>
    </w:p>
    <w:p w14:paraId="1471F479"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převzít rezervy a opravné položky související s převedeným obchodním závodem, vytvořené převádějící obchodní korporací podle právního předpisu upravujícího tvorbu rezerv a opravných položek za podmínek, které by platily pro převádějící obchodní korporaci, pokud by se převod obchodního závodu neuskutečnil, a pokračovat v jejich tvorbě podle právního předpisu upravujícího tvorbu rezerv a opravných položek; přitom je-li převádějící obchodní korporace poplatníkem, který je daňovým nerezidentem a nemá stálou provozovnu na území České republiky, lze převzít zahraniční položky obdobného charakteru jako rezervy a opravné položky související s převedeným obchodním závodem vytvořené podle příslušného právního předpisu jiného členského státu, avšak maximálně do výše stanovené podle právního předpisu upravujícího tvorbu rezerv a opravných položek pro poplatníky, kteří jsou daňovými rezidenty, a za podmínek stanovených tímto zákonem, a pokračovat v jejich tvorbě podle právního předpisu upravujícího tvorbu rezerv a opravných položek,</w:t>
      </w:r>
    </w:p>
    <w:p w14:paraId="72BC7097" w14:textId="77777777" w:rsidR="000839A4" w:rsidRPr="000839A4" w:rsidRDefault="000839A4" w:rsidP="000839A4">
      <w:pPr>
        <w:tabs>
          <w:tab w:val="left" w:pos="357"/>
        </w:tabs>
        <w:spacing w:before="0"/>
        <w:ind w:left="357" w:hanging="357"/>
        <w:rPr>
          <w:szCs w:val="24"/>
        </w:rPr>
      </w:pPr>
      <w:r w:rsidRPr="000839A4">
        <w:rPr>
          <w:szCs w:val="24"/>
        </w:rPr>
        <w:lastRenderedPageBreak/>
        <w:t>b)</w:t>
      </w:r>
      <w:r w:rsidRPr="000839A4">
        <w:rPr>
          <w:szCs w:val="24"/>
        </w:rPr>
        <w:tab/>
        <w:t xml:space="preserve">převzít stanovenou daňovou ztrátu nebo část daňové ztráty, která souvisí s převedeným obchodním závodem a dosud nebyla uplatněna jako položka odčitatelná od základu daně převádějící obchodní korporací; tuto daňovou ztrátu lze uplatnit jako položku odčitatelnou od základu daně ve zdaňovacích obdobích zbývajících do pěti zdaňovacích období bezprostředně následujících po zdaňovacím období </w:t>
      </w:r>
      <w:r w:rsidRPr="000839A4">
        <w:rPr>
          <w:strike/>
          <w:szCs w:val="24"/>
        </w:rPr>
        <w:t>nebo období, za něž je podáváno daňové přiznání</w:t>
      </w:r>
      <w:r w:rsidRPr="000839A4">
        <w:rPr>
          <w:szCs w:val="24"/>
        </w:rPr>
        <w:t xml:space="preserve">, za které byla daňová ztráta převádějící obchodní korporaci stanovena za podmínek stanovených tímto zákonem; neprokáže-li poplatník, jaká část daňové ztráty se vztahuje k převedenému obchodnímu závodu, stanoví se tato část daňové ztráty podle poměru hodnoty převedeného majetku zachycené v účetnictví převádějící obchodní korporace podle právních předpisů upravujících účetnictví bezprostředně před převodem snížené o převedené dluhy při převodu obchodního závodu a hodnoty veškerého majetku zachycené v účetnictví převádějící obchodní korporace podle právních předpisů upravujících účetnictví snížené o veškeré dluhy převádějící obchodní korporace bezprostředně před provedením převodu; přitom je-li převádějící obchodní korporace poplatníkem, který je daňovým nerezidentem a nemá stálou provozovnu na území České republiky, lze převzít daňovou ztrátu, která vznikla převádějící obchodní korporaci v jiném členském státu a která nebyla uplatněna v jiném členském státu jako položka snižující základ daně převádějící obchodní korporace nebo jiné obchodní korporace, maximálně však do výše, do které by byla daňová ztráta stanovena podle tohoto zákona, kdyby převádějící obchodní korporace byla ve zdaňovacím období </w:t>
      </w:r>
      <w:r w:rsidRPr="000839A4">
        <w:rPr>
          <w:strike/>
          <w:szCs w:val="24"/>
        </w:rPr>
        <w:t>nebo období, za něž se podává daňové přiznání</w:t>
      </w:r>
      <w:r w:rsidRPr="000839A4">
        <w:rPr>
          <w:szCs w:val="24"/>
        </w:rPr>
        <w:t>, v němž daňová ztráta vznikla, poplatníkem, který je daňovým rezidentem,</w:t>
      </w:r>
    </w:p>
    <w:p w14:paraId="42383842" w14:textId="77777777" w:rsidR="000839A4" w:rsidRPr="000839A4" w:rsidRDefault="000839A4" w:rsidP="000839A4">
      <w:pPr>
        <w:tabs>
          <w:tab w:val="left" w:pos="357"/>
        </w:tabs>
        <w:spacing w:before="0"/>
        <w:ind w:left="357" w:hanging="357"/>
        <w:rPr>
          <w:szCs w:val="24"/>
        </w:rPr>
      </w:pPr>
      <w:r w:rsidRPr="000839A4">
        <w:rPr>
          <w:szCs w:val="24"/>
        </w:rPr>
        <w:t>c)</w:t>
      </w:r>
      <w:r w:rsidRPr="000839A4">
        <w:rPr>
          <w:szCs w:val="24"/>
        </w:rPr>
        <w:tab/>
        <w:t>převzít položky odčitatelné od základu daně vztahující se k převedenému obchodnímu závodu, na něž vznikl nárok převádějící obchodní korporaci podle § 34 odst. 4 a 5, a které dosud nebyly uplatněny převádějící obchodní korporací, za podmínek, které by platily pro převádějící obchodní korporaci, pokud by se převod obchodního závodu neuskutečnil; přitom je-li převádějící obchodní korporace poplatníkem, který je daňovým nerezidentem, a nemá stálou provozovnu na území České republiky, lze převzít pouze zahraniční položky obdobného charakteru jako položky odčitatelné od základu daně, které dosud nebyly uplatněny v zahraničí, maximálně však do výše a za podmínek stanovených tímto zákonem.</w:t>
      </w:r>
    </w:p>
    <w:p w14:paraId="01D308EF" w14:textId="77777777" w:rsidR="000839A4" w:rsidRPr="000839A4" w:rsidRDefault="000839A4" w:rsidP="000839A4">
      <w:pPr>
        <w:tabs>
          <w:tab w:val="left" w:pos="851"/>
        </w:tabs>
        <w:spacing w:before="120" w:after="120"/>
        <w:ind w:firstLine="427"/>
        <w:outlineLvl w:val="6"/>
      </w:pPr>
      <w:r w:rsidRPr="000839A4">
        <w:t xml:space="preserve">(6) Ustanovení odstavců 2, 3 a 5 se použijí, pokud </w:t>
      </w:r>
    </w:p>
    <w:p w14:paraId="180A5AD8"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 xml:space="preserve">převádějící obchodní korporace i přijímající obchodní korporace jsou poplatníky, kteří jsou daňovými rezidenty a mají formu akciové společnosti, společnosti s ručením omezeným, evropské společnosti, družstva anebo evropské družstevní společnosti, </w:t>
      </w:r>
    </w:p>
    <w:p w14:paraId="604BD5C7"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převádějící obchodní korporace je obchodní korporací, která je daňovým rezidentem jiného členského státu Evropské unie než České republiky a přijímající obchodní korporace je poplatníkem, který je daňovým rezidentem a má formu akciové společnosti, společnosti s ručením omezeným, evropské společnosti, družstva anebo evropské družstevní společnosti, nebo</w:t>
      </w:r>
    </w:p>
    <w:p w14:paraId="585524CF" w14:textId="77777777" w:rsidR="000839A4" w:rsidRPr="000839A4" w:rsidRDefault="000839A4" w:rsidP="000839A4">
      <w:pPr>
        <w:tabs>
          <w:tab w:val="left" w:pos="357"/>
        </w:tabs>
        <w:spacing w:before="0"/>
        <w:ind w:left="357" w:hanging="357"/>
        <w:rPr>
          <w:szCs w:val="24"/>
        </w:rPr>
      </w:pPr>
      <w:r w:rsidRPr="000839A4">
        <w:rPr>
          <w:szCs w:val="24"/>
        </w:rPr>
        <w:t>c)</w:t>
      </w:r>
      <w:r w:rsidRPr="000839A4">
        <w:rPr>
          <w:szCs w:val="24"/>
        </w:rPr>
        <w:tab/>
        <w:t xml:space="preserve">převádějící obchodní korporace je poplatníkem, který je daňovým rezidentem a má formu akciové společnosti, společnosti s ručením omezeným, evropské společnosti, družstva anebo evropské družstevní společnosti nebo je obchodní korporací, která je daňovým rezidentem jiného členského státu Evropské unie než České republiky, a přijímající obchodní korporace je obchodní korporací, která je daňovým rezidentem jiného členského státu Evropské unie než České republiky a </w:t>
      </w:r>
      <w:r w:rsidRPr="000839A4">
        <w:rPr>
          <w:strike/>
          <w:szCs w:val="24"/>
        </w:rPr>
        <w:t>převedený majetek</w:t>
      </w:r>
      <w:r w:rsidRPr="000839A4">
        <w:rPr>
          <w:szCs w:val="24"/>
        </w:rPr>
        <w:t xml:space="preserve"> </w:t>
      </w:r>
      <w:r w:rsidRPr="000839A4">
        <w:rPr>
          <w:b/>
          <w:szCs w:val="24"/>
        </w:rPr>
        <w:t xml:space="preserve">převedená aktiva </w:t>
      </w:r>
      <w:r w:rsidRPr="000839A4">
        <w:rPr>
          <w:szCs w:val="24"/>
        </w:rPr>
        <w:t xml:space="preserve">a dluhy jsou po převodu součástí stálé provozovny přijímající obchodní korporace umístěné na území České republiky. </w:t>
      </w:r>
    </w:p>
    <w:p w14:paraId="5571FA28" w14:textId="77777777" w:rsidR="000839A4" w:rsidRPr="000839A4" w:rsidRDefault="000839A4" w:rsidP="000839A4">
      <w:pPr>
        <w:keepNext/>
        <w:ind w:firstLine="0"/>
        <w:jc w:val="center"/>
        <w:rPr>
          <w:szCs w:val="24"/>
        </w:rPr>
      </w:pPr>
      <w:r w:rsidRPr="000839A4">
        <w:rPr>
          <w:szCs w:val="24"/>
        </w:rPr>
        <w:lastRenderedPageBreak/>
        <w:t>§ 23b</w:t>
      </w:r>
    </w:p>
    <w:p w14:paraId="1096AC06" w14:textId="77777777" w:rsidR="000839A4" w:rsidRPr="000839A4" w:rsidRDefault="000839A4" w:rsidP="000839A4">
      <w:pPr>
        <w:keepNext/>
        <w:ind w:firstLine="0"/>
        <w:jc w:val="center"/>
        <w:rPr>
          <w:b/>
          <w:szCs w:val="24"/>
        </w:rPr>
      </w:pPr>
      <w:r w:rsidRPr="000839A4">
        <w:rPr>
          <w:b/>
          <w:szCs w:val="24"/>
        </w:rPr>
        <w:t xml:space="preserve">Výměna podílů </w:t>
      </w:r>
    </w:p>
    <w:p w14:paraId="7F520D56" w14:textId="77777777" w:rsidR="000839A4" w:rsidRPr="000839A4" w:rsidRDefault="000839A4" w:rsidP="000839A4">
      <w:pPr>
        <w:tabs>
          <w:tab w:val="left" w:pos="851"/>
        </w:tabs>
        <w:spacing w:before="120" w:after="120"/>
        <w:ind w:firstLine="427"/>
        <w:outlineLvl w:val="6"/>
      </w:pPr>
      <w:r w:rsidRPr="000839A4">
        <w:t>(1) Výměnou podílů se pro účely tohoto zákona rozumí postup, při kterém jedna obchodní korporace (dále jen „nabývající obchodní korporace“) získá podíl v jiné obchodní korporaci (dále jen „nabytá obchodní korporace“) v rozsahu, který představuje většinu hlasovacích práv nabyté obchodní korporace, a to tak, že poskytne společníkům nabyté obchodní korporace za podíl v nabyté obchodní korporaci podíl v nabývající obchodní korporaci s případným doplatkem na dorovnání. Většinou hlasovacích práv se rozumí více než 50 % všech hlasovacích práv. Nabytí podílu v nabyté obchodní korporaci provedené nabývající obchodní korporací prostřednictvím obchodníka s cennými papíry nebo osoby s obdobným postavením v zahraničí se posuzuje jako jedna transakce, a to za předpokladu, že se uskuteční v rámci šestiměsíčního období.</w:t>
      </w:r>
    </w:p>
    <w:p w14:paraId="09D68E10" w14:textId="77777777" w:rsidR="000839A4" w:rsidRPr="000839A4" w:rsidRDefault="000839A4" w:rsidP="000839A4">
      <w:pPr>
        <w:tabs>
          <w:tab w:val="left" w:pos="851"/>
        </w:tabs>
        <w:spacing w:before="120" w:after="120"/>
        <w:ind w:firstLine="427"/>
        <w:outlineLvl w:val="6"/>
      </w:pPr>
      <w:r w:rsidRPr="000839A4">
        <w:t xml:space="preserve">(2) Doplatkem na dorovnání se při výměně podílů rozumí platba poskytnutá bývalým majitelům podílu v nabyté obchodní korporaci k podílu v nabývající obchodní korporaci při výměně podílů, jež nesmí přesáhnout 10 % jmenovité hodnoty všech podílů v nabývající obchodní korporaci, nebo nelze-li určit jmenovitou hodnotu podílu v nabývající obchodní korporaci, 10 % účetní hodnoty všech podílů v nabývající obchodní korporaci. </w:t>
      </w:r>
    </w:p>
    <w:p w14:paraId="0714ABFF" w14:textId="77777777" w:rsidR="000839A4" w:rsidRPr="000839A4" w:rsidRDefault="000839A4" w:rsidP="000839A4">
      <w:pPr>
        <w:tabs>
          <w:tab w:val="left" w:pos="851"/>
        </w:tabs>
        <w:spacing w:before="120" w:after="120"/>
        <w:ind w:firstLine="427"/>
        <w:outlineLvl w:val="6"/>
        <w:rPr>
          <w:strike/>
        </w:rPr>
      </w:pPr>
      <w:r w:rsidRPr="000839A4">
        <w:rPr>
          <w:strike/>
        </w:rPr>
        <w:t>(3) Nabývací cenou podílu v nabývající obchodní korporaci je u společníka nabyté obchodní korporace hodnota, jakou měl podíl v nabyté obchodní korporaci pro účely tohoto zákona v době výměny; stejným způsobem se stanoví nabývací cena podílu v nabývající obchodní korporaci, který není zahrnut v obchodním majetku u poplatníka daně z příjmů fyzických osob.</w:t>
      </w:r>
    </w:p>
    <w:p w14:paraId="3F17013F" w14:textId="77777777" w:rsidR="000839A4" w:rsidRPr="000839A4" w:rsidRDefault="000839A4" w:rsidP="000839A4">
      <w:pPr>
        <w:tabs>
          <w:tab w:val="left" w:pos="851"/>
        </w:tabs>
        <w:spacing w:before="120" w:after="120"/>
        <w:ind w:firstLine="427"/>
        <w:outlineLvl w:val="6"/>
        <w:rPr>
          <w:b/>
        </w:rPr>
      </w:pPr>
      <w:r w:rsidRPr="000839A4">
        <w:rPr>
          <w:b/>
        </w:rPr>
        <w:t xml:space="preserve">(3) Daňovou hodnotou kapitálového podílu v nabývající obchodní korporaci je u společníka nabyté obchodní korporace hodnota, jakou měl kapitálový podíl v nabyté obchodní </w:t>
      </w:r>
      <w:r w:rsidRPr="000839A4">
        <w:rPr>
          <w:b/>
          <w:strike/>
        </w:rPr>
        <w:t>korporaci</w:t>
      </w:r>
      <w:r w:rsidRPr="000839A4">
        <w:rPr>
          <w:b/>
        </w:rPr>
        <w:t xml:space="preserve"> pro účely tohoto zákona v době výměny; stejným způsobem se stanoví daňová hodnota kapitálového podílu v nabývající obchodní korporaci, který není evidovaným aktivem poplatníka daně z příjmů fyzických osob.</w:t>
      </w:r>
    </w:p>
    <w:p w14:paraId="70979CC9" w14:textId="77777777" w:rsidR="000839A4" w:rsidRPr="000839A4" w:rsidRDefault="000839A4" w:rsidP="000839A4">
      <w:pPr>
        <w:tabs>
          <w:tab w:val="left" w:pos="851"/>
        </w:tabs>
        <w:spacing w:before="120" w:after="120"/>
        <w:ind w:firstLine="427"/>
        <w:outlineLvl w:val="6"/>
      </w:pPr>
      <w:r w:rsidRPr="000839A4">
        <w:t xml:space="preserve">(4) Příjmy (výnosy) vzniklé u společníka nabyté obchodní korporace z důvodu přecenění podílu v nabyté obchodní korporaci při převodu podílu se nezahrnují při výměně podílů do základu daně; toto se nevztahuje na doplatek na dorovnání.  </w:t>
      </w:r>
    </w:p>
    <w:p w14:paraId="0366AF21" w14:textId="77777777" w:rsidR="000839A4" w:rsidRPr="000839A4" w:rsidRDefault="000839A4" w:rsidP="000839A4">
      <w:pPr>
        <w:tabs>
          <w:tab w:val="left" w:pos="851"/>
        </w:tabs>
        <w:spacing w:before="120" w:after="120"/>
        <w:ind w:firstLine="427"/>
        <w:outlineLvl w:val="6"/>
      </w:pPr>
      <w:r w:rsidRPr="000839A4">
        <w:t xml:space="preserve">(5) </w:t>
      </w:r>
      <w:r w:rsidRPr="000839A4">
        <w:rPr>
          <w:strike/>
        </w:rPr>
        <w:t>Nabývací cena</w:t>
      </w:r>
      <w:r w:rsidRPr="000839A4">
        <w:t xml:space="preserve"> </w:t>
      </w:r>
      <w:r w:rsidRPr="000839A4">
        <w:rPr>
          <w:b/>
        </w:rPr>
        <w:t xml:space="preserve">Daňová hodnota kapitálového </w:t>
      </w:r>
      <w:r w:rsidRPr="000839A4">
        <w:t>podílu v nabyté obchodní korporaci se u nabývající obchodní korporace stanoví jako jejich reálná hodnota podle právních předpisů upravujících účetnictví.</w:t>
      </w:r>
    </w:p>
    <w:p w14:paraId="15592BE1" w14:textId="77777777" w:rsidR="000839A4" w:rsidRPr="000839A4" w:rsidRDefault="000839A4" w:rsidP="000839A4">
      <w:pPr>
        <w:tabs>
          <w:tab w:val="left" w:pos="851"/>
        </w:tabs>
        <w:spacing w:before="120" w:after="120"/>
        <w:ind w:firstLine="427"/>
        <w:outlineLvl w:val="6"/>
      </w:pPr>
      <w:r w:rsidRPr="000839A4">
        <w:t>(6) Ustanovení odstavců 3 až 5 se použijí, pokud nabývající obchodní korporace i nabytá obchodní korporace jsou poplatníky, kteří jsou daňovými rezidenty a mají formu akciové společnosti, společnosti s ručením omezeným, evropské společnosti, družstva anebo evropské družstevní společnosti, nebo jsou obchodními korporacemi, které jsou daňovými rezidenty jiného členského státu Evropské unie než České republiky a společník nabyté obchodní korporace.</w:t>
      </w:r>
    </w:p>
    <w:p w14:paraId="18F514A2"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 xml:space="preserve">je poplatníkem uvedeným v § 2 odst. 2 nebo v § 17 odst. 3, nebo </w:t>
      </w:r>
    </w:p>
    <w:p w14:paraId="0D253FAE"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 xml:space="preserve">není poplatníkem, který je daňovým rezidentem ale držel podíl v nabyté obchodní korporaci a drží podíl v nabývající obchodní korporaci prostřednictvím stálé provozovny, umístěné na území České republiky. </w:t>
      </w:r>
    </w:p>
    <w:p w14:paraId="6908ABDB" w14:textId="77777777" w:rsidR="000839A4" w:rsidRPr="000839A4" w:rsidRDefault="000839A4" w:rsidP="000839A4">
      <w:pPr>
        <w:keepNext/>
        <w:ind w:firstLine="0"/>
        <w:jc w:val="center"/>
        <w:rPr>
          <w:szCs w:val="24"/>
        </w:rPr>
      </w:pPr>
      <w:r w:rsidRPr="000839A4">
        <w:rPr>
          <w:szCs w:val="24"/>
        </w:rPr>
        <w:lastRenderedPageBreak/>
        <w:t>§ 23c</w:t>
      </w:r>
    </w:p>
    <w:p w14:paraId="0CB5F2DD" w14:textId="77777777" w:rsidR="000839A4" w:rsidRPr="000839A4" w:rsidRDefault="000839A4" w:rsidP="000839A4">
      <w:pPr>
        <w:keepNext/>
        <w:ind w:firstLine="0"/>
        <w:jc w:val="center"/>
        <w:rPr>
          <w:b/>
          <w:szCs w:val="24"/>
        </w:rPr>
      </w:pPr>
      <w:r w:rsidRPr="000839A4">
        <w:rPr>
          <w:b/>
          <w:szCs w:val="24"/>
        </w:rPr>
        <w:t xml:space="preserve">Fúze a rozdělení obchodních korporací </w:t>
      </w:r>
    </w:p>
    <w:p w14:paraId="3B32B6E4" w14:textId="77777777" w:rsidR="000839A4" w:rsidRPr="000839A4" w:rsidRDefault="000839A4" w:rsidP="000839A4">
      <w:pPr>
        <w:tabs>
          <w:tab w:val="left" w:pos="851"/>
        </w:tabs>
        <w:spacing w:before="120" w:after="120"/>
        <w:ind w:firstLine="427"/>
        <w:outlineLvl w:val="6"/>
      </w:pPr>
      <w:proofErr w:type="gramStart"/>
      <w:r w:rsidRPr="000839A4">
        <w:t>(1) Fúzí</w:t>
      </w:r>
      <w:proofErr w:type="gramEnd"/>
      <w:r w:rsidRPr="000839A4">
        <w:t xml:space="preserve"> obchodních korporací se pro účely tohoto zákona rozumí postup, při </w:t>
      </w:r>
      <w:proofErr w:type="gramStart"/>
      <w:r w:rsidRPr="000839A4">
        <w:t>kterém</w:t>
      </w:r>
      <w:proofErr w:type="gramEnd"/>
    </w:p>
    <w:p w14:paraId="239F21EC"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veškeré jmění jedné nebo více obchodních korporací, která zaniká a je zrušena bez likvidace (dále jen „zanikající obchodní korporace“), přechází na jinou existující obchodní korporaci (dále jen „nástupnická existující obchodní korporace“), přičemž společníci zanikající obchodní korporace zpravidla nabydou podíl v nástupnické existující obchodní korporaci s případným doplatkem na dorovnání,</w:t>
      </w:r>
    </w:p>
    <w:p w14:paraId="2AE50D16"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 xml:space="preserve">veškeré jmění dvou nebo více zanikajících obchodních korporací přechází na nově vzniklou obchodní korporaci, kterou tyto zanikající obchodní korporace založily (dále jen „nástupnická založená obchodní korporace“), přičemž společníci zanikajících obchodních korporací </w:t>
      </w:r>
      <w:proofErr w:type="spellStart"/>
      <w:r w:rsidRPr="000839A4">
        <w:rPr>
          <w:szCs w:val="24"/>
        </w:rPr>
        <w:t>nabudou</w:t>
      </w:r>
      <w:proofErr w:type="spellEnd"/>
      <w:r w:rsidRPr="000839A4">
        <w:rPr>
          <w:szCs w:val="24"/>
        </w:rPr>
        <w:t xml:space="preserve"> podíl v nástupnické založené obchodní korporaci s případným doplatkem na dorovnání,</w:t>
      </w:r>
    </w:p>
    <w:p w14:paraId="3033E13B" w14:textId="77777777" w:rsidR="000839A4" w:rsidRPr="000839A4" w:rsidRDefault="000839A4" w:rsidP="000839A4">
      <w:pPr>
        <w:tabs>
          <w:tab w:val="left" w:pos="357"/>
        </w:tabs>
        <w:spacing w:before="0"/>
        <w:ind w:left="357" w:hanging="357"/>
        <w:rPr>
          <w:szCs w:val="24"/>
        </w:rPr>
      </w:pPr>
      <w:r w:rsidRPr="000839A4">
        <w:rPr>
          <w:szCs w:val="24"/>
        </w:rPr>
        <w:t>c)</w:t>
      </w:r>
      <w:r w:rsidRPr="000839A4">
        <w:rPr>
          <w:szCs w:val="24"/>
        </w:rPr>
        <w:tab/>
        <w:t xml:space="preserve">veškeré jmění zanikající obchodní korporace přechází na jinou obchodní korporaci, která je jediným společníkem zanikající obchodní korporace (dále jen „nástupnická obchodní korporace, která je jediným společníkem“). </w:t>
      </w:r>
    </w:p>
    <w:p w14:paraId="51545EE9" w14:textId="77777777" w:rsidR="000839A4" w:rsidRPr="000839A4" w:rsidRDefault="000839A4" w:rsidP="000839A4">
      <w:pPr>
        <w:tabs>
          <w:tab w:val="left" w:pos="851"/>
        </w:tabs>
        <w:spacing w:before="120" w:after="120"/>
        <w:ind w:firstLine="427"/>
        <w:outlineLvl w:val="6"/>
      </w:pPr>
      <w:proofErr w:type="gramStart"/>
      <w:r w:rsidRPr="000839A4">
        <w:t>(2) Rozdělením</w:t>
      </w:r>
      <w:proofErr w:type="gramEnd"/>
      <w:r w:rsidRPr="000839A4">
        <w:t xml:space="preserve"> obchodní korporace se pro účely tohoto zákona rozumí postup, při </w:t>
      </w:r>
      <w:proofErr w:type="gramStart"/>
      <w:r w:rsidRPr="000839A4">
        <w:t>kterém</w:t>
      </w:r>
      <w:proofErr w:type="gramEnd"/>
      <w:r w:rsidRPr="000839A4">
        <w:t xml:space="preserve"> </w:t>
      </w:r>
    </w:p>
    <w:p w14:paraId="2CC9FF9D"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 xml:space="preserve">veškerý majetek a dluhy zanikající obchodní korporace přechází na 2 nebo více existujících nebo nově vzniklých obchodních korporací (dále jen „nástupnické obchodní korporace při rozdělení“), přičemž společníci zanikající obchodní korporace zpravidla </w:t>
      </w:r>
      <w:proofErr w:type="spellStart"/>
      <w:r w:rsidRPr="000839A4">
        <w:rPr>
          <w:szCs w:val="24"/>
        </w:rPr>
        <w:t>nabudou</w:t>
      </w:r>
      <w:proofErr w:type="spellEnd"/>
      <w:r w:rsidRPr="000839A4">
        <w:rPr>
          <w:szCs w:val="24"/>
        </w:rPr>
        <w:t xml:space="preserve"> podíl v nástupnických obchodních korporacích při rozdělení s případným doplatkem na dorovnání, nebo </w:t>
      </w:r>
    </w:p>
    <w:p w14:paraId="5C60043F"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 xml:space="preserve">vyčleněná část jmění obchodní korporace, která nezaniká (dále jen „rozdělovaná obchodní korporace“), přechází na jednu nebo více nástupnických obchodních korporací při rozdělení, přičemž společníci rozdělované obchodní korporace zpravidla </w:t>
      </w:r>
      <w:proofErr w:type="spellStart"/>
      <w:r w:rsidRPr="000839A4">
        <w:rPr>
          <w:szCs w:val="24"/>
        </w:rPr>
        <w:t>nabudou</w:t>
      </w:r>
      <w:proofErr w:type="spellEnd"/>
      <w:r w:rsidRPr="000839A4">
        <w:rPr>
          <w:szCs w:val="24"/>
        </w:rPr>
        <w:t xml:space="preserve"> podíl v nástupnické obchodní korporaci při rozdělení nebo nástupnických obchodních korporacích při rozdělení s případným doplatkem na dorovnání.</w:t>
      </w:r>
    </w:p>
    <w:p w14:paraId="6A8FD966" w14:textId="77777777" w:rsidR="000839A4" w:rsidRPr="000839A4" w:rsidRDefault="000839A4" w:rsidP="000839A4">
      <w:pPr>
        <w:tabs>
          <w:tab w:val="left" w:pos="851"/>
        </w:tabs>
        <w:spacing w:before="120" w:after="120"/>
        <w:ind w:firstLine="427"/>
        <w:outlineLvl w:val="6"/>
      </w:pPr>
      <w:r w:rsidRPr="000839A4">
        <w:t xml:space="preserve">(3) Za fúzi obchodních korporací a rozdělení obchodní korporace se považují také přeměny obchodní korporace podle právního předpisu upravujícího přeměny obchodních společností a družstev, přitom převod jmění na společníka se považuje za fúzi obchodních korporací, pouze jsou-li splněny podmínky uvedené v odstavci 1 písm. c). </w:t>
      </w:r>
    </w:p>
    <w:p w14:paraId="2B940934" w14:textId="77777777" w:rsidR="000839A4" w:rsidRPr="000839A4" w:rsidRDefault="000839A4" w:rsidP="000839A4">
      <w:pPr>
        <w:tabs>
          <w:tab w:val="left" w:pos="851"/>
        </w:tabs>
        <w:spacing w:before="120" w:after="120"/>
        <w:ind w:firstLine="427"/>
        <w:outlineLvl w:val="6"/>
      </w:pPr>
      <w:r w:rsidRPr="000839A4">
        <w:t xml:space="preserve">(4) Příjmy (výnosy) nástupnické existující obchodní korporace, nástupnické založené obchodní korporace, nástupnické obchodní korporace, která je jediným společníkem, nebo nástupnické obchodní korporace při rozdělení obchodní korporace vzniklé z důvodu přecenění majetku a dluhů pro účely fúze obchodních korporací nebo rozdělení obchodní korporace se nezahrnují do základu daně. </w:t>
      </w:r>
    </w:p>
    <w:p w14:paraId="6931DFFD" w14:textId="77777777" w:rsidR="000839A4" w:rsidRPr="000839A4" w:rsidRDefault="000839A4" w:rsidP="000839A4">
      <w:pPr>
        <w:tabs>
          <w:tab w:val="left" w:pos="851"/>
        </w:tabs>
        <w:spacing w:before="120" w:after="120"/>
        <w:ind w:firstLine="427"/>
        <w:outlineLvl w:val="6"/>
      </w:pPr>
      <w:r w:rsidRPr="000839A4">
        <w:t xml:space="preserve">(5) Příjmy (výnosy) společníka zanikající nebo rozdělované obchodní korporace vzniklé z důvodu přecenění majetku a dluhů pro účely fúze obchodních korporací nebo rozdělení obchodní korporace se nezahrnují do základu daně, toto se nevztahuje na doplatek na dorovnání; ustanovení tohoto odstavce se použije, pokud zanikající nebo rozdělovaná obchodní korporace i nástupnická existující obchodní korporace, nástupnická založená obchodní korporace, nástupnická obchodní korporace, která je jediným společníkem, nebo nástupnická obchodní korporace při rozdělení jsou daňovými rezidenty České republiky, kteří mají formu akciové společnosti, společnosti s ručením omezeným, evropské společnosti, družstva anebo evropské družstevní společnosti, nebo jsou obchodními korporacemi, které jsou daňovými </w:t>
      </w:r>
      <w:r w:rsidRPr="000839A4">
        <w:lastRenderedPageBreak/>
        <w:t xml:space="preserve">rezidenty jiného členského státu Evropské unie než České republiky, a společník zanikající nebo rozdělované obchodní korporace. </w:t>
      </w:r>
    </w:p>
    <w:p w14:paraId="396ACD6B"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 xml:space="preserve">je poplatníkem uvedeným v § 2 odst. 2 nebo v § 17 odst. 3, nebo </w:t>
      </w:r>
    </w:p>
    <w:p w14:paraId="515759E9"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 xml:space="preserve">není poplatníkem, který je daňovým rezidentem ale drží podíl v rozdělované </w:t>
      </w:r>
      <w:proofErr w:type="gramStart"/>
      <w:r w:rsidRPr="000839A4">
        <w:rPr>
          <w:szCs w:val="24"/>
        </w:rPr>
        <w:t>obchodní  korporaci</w:t>
      </w:r>
      <w:proofErr w:type="gramEnd"/>
      <w:r w:rsidRPr="000839A4">
        <w:rPr>
          <w:szCs w:val="24"/>
        </w:rPr>
        <w:t xml:space="preserve"> nebo držel podíl v zanikající obchodní korporaci a drží podíl v nástupnické existující obchodní korporaci, nástupnické založené obchodní korporaci, nástupnické obchodní korporaci, která je jediným společníkem, nebo nástupnické obchodní korporaci při rozdělení prostřednictvím stálé provozovny umístěné na území České republiky. </w:t>
      </w:r>
    </w:p>
    <w:p w14:paraId="1F2129E5" w14:textId="77777777" w:rsidR="000839A4" w:rsidRPr="000839A4" w:rsidRDefault="000839A4" w:rsidP="000839A4">
      <w:pPr>
        <w:tabs>
          <w:tab w:val="left" w:pos="851"/>
        </w:tabs>
        <w:spacing w:before="120" w:after="120"/>
        <w:ind w:firstLine="427"/>
        <w:outlineLvl w:val="6"/>
      </w:pPr>
      <w:r w:rsidRPr="000839A4">
        <w:t xml:space="preserve">(6) </w:t>
      </w:r>
      <w:r w:rsidRPr="000839A4">
        <w:rPr>
          <w:strike/>
        </w:rPr>
        <w:t>Nabývací cenou</w:t>
      </w:r>
      <w:r w:rsidRPr="000839A4">
        <w:t xml:space="preserve"> </w:t>
      </w:r>
      <w:r w:rsidRPr="000839A4">
        <w:rPr>
          <w:b/>
        </w:rPr>
        <w:t xml:space="preserve">Daňovou hodnotou kapitálového </w:t>
      </w:r>
      <w:r w:rsidRPr="000839A4">
        <w:t xml:space="preserve">podílu v nástupnické existující obchodní korporaci, nástupnické založené obchodní korporaci, nástupnické obchodní korporaci, která je jediným společníkem, nebo nástupnické obchodní korporaci při rozdělení získaného při fúzi obchodních korporací nebo rozdělení obchodní korporace je u společníka zanikající nebo rozdělované obchodní korporace hodnota, jakou měl podíl v zanikající nebo rozdělované obchodní korporaci pro účely tohoto zákona ke dni předcházejícímu rozvahový den před rozhodným dnem fúze nebo rozdělení. </w:t>
      </w:r>
      <w:r w:rsidRPr="000839A4">
        <w:rPr>
          <w:strike/>
        </w:rPr>
        <w:t>Nabývací cena</w:t>
      </w:r>
      <w:r w:rsidRPr="000839A4">
        <w:t xml:space="preserve"> </w:t>
      </w:r>
      <w:r w:rsidRPr="000839A4">
        <w:rPr>
          <w:b/>
        </w:rPr>
        <w:t xml:space="preserve">Daňová hodnota kapitálového </w:t>
      </w:r>
      <w:r w:rsidRPr="000839A4">
        <w:t xml:space="preserve">podílu u společníka zanikající obchodní korporace při rozdělení nebo rozdělované obchodní korporace se rozdělí na </w:t>
      </w:r>
      <w:r w:rsidRPr="000839A4">
        <w:rPr>
          <w:strike/>
        </w:rPr>
        <w:t>nabývací cenu</w:t>
      </w:r>
      <w:r w:rsidRPr="000839A4">
        <w:t xml:space="preserve"> </w:t>
      </w:r>
      <w:r w:rsidRPr="000839A4">
        <w:rPr>
          <w:b/>
        </w:rPr>
        <w:t xml:space="preserve">daňovou hodnotu kapitálového </w:t>
      </w:r>
      <w:r w:rsidRPr="000839A4">
        <w:t xml:space="preserve">podílu na rozdělované obchodní korporaci a na </w:t>
      </w:r>
      <w:r w:rsidRPr="000839A4">
        <w:rPr>
          <w:strike/>
        </w:rPr>
        <w:t>nabývací cenu</w:t>
      </w:r>
      <w:r w:rsidRPr="000839A4">
        <w:t xml:space="preserve"> </w:t>
      </w:r>
      <w:r w:rsidRPr="000839A4">
        <w:rPr>
          <w:b/>
        </w:rPr>
        <w:t>daňovou hodnotu kapitálového</w:t>
      </w:r>
      <w:r w:rsidRPr="000839A4">
        <w:t xml:space="preserve"> podílu na nástupnické obchodní korporaci při rozdělení nebo na </w:t>
      </w:r>
      <w:r w:rsidRPr="000839A4">
        <w:rPr>
          <w:strike/>
        </w:rPr>
        <w:t>nabývací ceny</w:t>
      </w:r>
      <w:r w:rsidRPr="000839A4">
        <w:t xml:space="preserve"> </w:t>
      </w:r>
      <w:r w:rsidRPr="000839A4">
        <w:rPr>
          <w:b/>
        </w:rPr>
        <w:t xml:space="preserve">daňové hodnoty kapitálových </w:t>
      </w:r>
      <w:r w:rsidRPr="000839A4">
        <w:t xml:space="preserve">podílů na nástupnických obchodních korporacích při rozdělení na základě ekonomicky zdůvodnitelného kritéria. Stejným způsobem se stanoví </w:t>
      </w:r>
      <w:r w:rsidRPr="000839A4">
        <w:rPr>
          <w:strike/>
        </w:rPr>
        <w:t>nabývací cena</w:t>
      </w:r>
      <w:r w:rsidRPr="000839A4">
        <w:t xml:space="preserve"> </w:t>
      </w:r>
      <w:r w:rsidRPr="000839A4">
        <w:rPr>
          <w:b/>
        </w:rPr>
        <w:t xml:space="preserve">daňová hodnota kapitálového </w:t>
      </w:r>
      <w:r w:rsidRPr="000839A4">
        <w:t xml:space="preserve">podílu v nástupnické existující obchodní korporaci, nástupnické založené obchodní korporaci, nástupnické obchodní korporaci, která je jediným společníkem, nebo nástupnické obchodní korporaci při rozdělení, který není </w:t>
      </w:r>
      <w:r w:rsidRPr="000839A4">
        <w:rPr>
          <w:strike/>
        </w:rPr>
        <w:t>zahrnut v obchodním majetku u</w:t>
      </w:r>
      <w:r w:rsidRPr="000839A4">
        <w:t xml:space="preserve"> </w:t>
      </w:r>
      <w:r w:rsidRPr="000839A4">
        <w:rPr>
          <w:b/>
        </w:rPr>
        <w:t>evidovaným aktivem</w:t>
      </w:r>
      <w:r w:rsidRPr="000839A4">
        <w:t xml:space="preserve"> poplatníka daně z příjmů fyzických osob.</w:t>
      </w:r>
    </w:p>
    <w:p w14:paraId="5650FF65" w14:textId="77777777" w:rsidR="000839A4" w:rsidRPr="000839A4" w:rsidRDefault="000839A4" w:rsidP="000839A4">
      <w:pPr>
        <w:tabs>
          <w:tab w:val="left" w:pos="851"/>
        </w:tabs>
        <w:spacing w:before="120" w:after="120"/>
        <w:ind w:firstLine="427"/>
        <w:outlineLvl w:val="6"/>
      </w:pPr>
      <w:r w:rsidRPr="000839A4">
        <w:t xml:space="preserve">(7) Nástupnická existující obchodní korporace, nástupnická založená obchodní korporace, nástupnická obchodní korporace, která je jediným společníkem, nebo nástupnická obchodní korporace při rozdělení nebo nástupnická existující obchodní korporace, nástupnická založená obchodní korporace, nástupnická obchodní korporace, která je jediným společníkem, nebo nástupnická obchodní korporace při rozdělení prostřednictvím své stálé provozovny umístěné na území České republiky pokračuje v odpisování započatém zanikající nebo rozdělovanou obchodní korporací u </w:t>
      </w:r>
      <w:r w:rsidRPr="000839A4">
        <w:rPr>
          <w:strike/>
        </w:rPr>
        <w:t>hmotného majetku, jež přešel</w:t>
      </w:r>
      <w:r w:rsidRPr="000839A4">
        <w:t xml:space="preserve"> </w:t>
      </w:r>
      <w:r w:rsidRPr="000839A4">
        <w:rPr>
          <w:b/>
        </w:rPr>
        <w:t xml:space="preserve">aktiv, která přešla </w:t>
      </w:r>
      <w:r w:rsidRPr="000839A4">
        <w:t xml:space="preserve">v důsledku fúze obchodních korporací nebo rozdělení obchodní korporace, </w:t>
      </w:r>
      <w:r w:rsidRPr="000839A4">
        <w:rPr>
          <w:strike/>
        </w:rPr>
        <w:t>a který</w:t>
      </w:r>
      <w:r w:rsidRPr="000839A4">
        <w:t xml:space="preserve"> </w:t>
      </w:r>
      <w:r w:rsidRPr="000839A4">
        <w:rPr>
          <w:b/>
        </w:rPr>
        <w:t xml:space="preserve">a která </w:t>
      </w:r>
      <w:r w:rsidRPr="000839A4">
        <w:t xml:space="preserve">lze odpisovat podle tohoto zákona. Je-li zanikající nebo rozdělovaná obchodní korporace poplatníkem, který je daňovým nerezidentem, a tento hmotný majetek a nehmotný majetek nebyl součástí stálé provozovny na území České republiky, pro stanovení odpisů u nástupnické obchodní korporace se použije obdobně ustanovení § </w:t>
      </w:r>
      <w:r w:rsidRPr="000839A4">
        <w:rPr>
          <w:strike/>
        </w:rPr>
        <w:t>32c</w:t>
      </w:r>
      <w:r w:rsidRPr="000839A4">
        <w:t xml:space="preserve"> </w:t>
      </w:r>
      <w:r w:rsidRPr="000839A4">
        <w:rPr>
          <w:b/>
        </w:rPr>
        <w:t>30</w:t>
      </w:r>
      <w:r w:rsidRPr="000839A4">
        <w:t xml:space="preserve">. </w:t>
      </w:r>
    </w:p>
    <w:p w14:paraId="7C62B149" w14:textId="77777777" w:rsidR="000839A4" w:rsidRPr="000839A4" w:rsidRDefault="000839A4" w:rsidP="000839A4">
      <w:pPr>
        <w:tabs>
          <w:tab w:val="left" w:pos="851"/>
        </w:tabs>
        <w:spacing w:before="120" w:after="120"/>
        <w:ind w:firstLine="427"/>
        <w:outlineLvl w:val="6"/>
      </w:pPr>
      <w:r w:rsidRPr="000839A4">
        <w:t xml:space="preserve">(8) Nástupnická existující obchodní korporace, nástupnická založená obchodní korporace, nástupnická obchodní korporace, která je jediným společníkem, nebo nástupnická obchodní korporace při rozdělení nebo nástupnická existující obchodní korporace, nástupnická založená obchodní korporace, nástupnická obchodní korporace, která je jediným společníkem, nebo nástupnická obchodní korporace při rozdělení prostřednictvím své stálé provozovny umístěné na území České republiky, je oprávněna </w:t>
      </w:r>
    </w:p>
    <w:p w14:paraId="7138376D"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 xml:space="preserve">převzít rezervy a opravné položky vytvořené zanikající nebo rozdělovanou obchodní korporací podle právního předpisu upravujícího tvorbu rezerv a opravných položek za podmínek, které by platily pro zanikající nebo rozdělovanou obchodní korporaci, pokud by se fúze obchodních korporací nebo rozdělení obchodní korporace neuskutečnily, a </w:t>
      </w:r>
      <w:r w:rsidRPr="000839A4">
        <w:rPr>
          <w:szCs w:val="24"/>
        </w:rPr>
        <w:lastRenderedPageBreak/>
        <w:t xml:space="preserve">pokračovat v jejich tvorbě podle právního předpisu upravujícího tvorbu rezerv a opravných položek; přitom je-li zanikající nebo rozdělovaná obchodní korporace poplatníkem, který je daňovým nerezidentem a nemá stálou provozovnu na území České republiky, lze převzít zahraniční položky obdobného charakteru jako rezervy a opravné položky související s </w:t>
      </w:r>
      <w:r w:rsidRPr="000839A4">
        <w:rPr>
          <w:strike/>
          <w:szCs w:val="24"/>
        </w:rPr>
        <w:t>převedeným majetkem</w:t>
      </w:r>
      <w:r w:rsidRPr="000839A4">
        <w:rPr>
          <w:szCs w:val="24"/>
        </w:rPr>
        <w:t xml:space="preserve"> </w:t>
      </w:r>
      <w:r w:rsidRPr="000839A4">
        <w:rPr>
          <w:b/>
          <w:szCs w:val="24"/>
        </w:rPr>
        <w:t>převedenými aktivy</w:t>
      </w:r>
      <w:r w:rsidRPr="000839A4">
        <w:rPr>
          <w:szCs w:val="24"/>
        </w:rPr>
        <w:t xml:space="preserve"> a dluhy vytvořené podle příslušného právního předpisu jiného členského státu, avšak maximálně do výše stanovené podle právního předpisu upravujícího tvorbu rezerv a opravných položek pro poplatníky, kteří jsou daňovými rezidenty, a za podmínek stanovených tímto zákonem, a pokračovat v jejich tvorbě podle právního předpisu upravujícího tvorbu rezerv a opravných položek,</w:t>
      </w:r>
    </w:p>
    <w:p w14:paraId="14B33ED2"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 xml:space="preserve">převzít stanovenou daňovou ztrátu, která dosud nebyla uplatněna jako položka odčitatelná od základu daně zanikající nebo rozdělovanou obchodní korporací; od zanikající nebo rozdělované obchodní korporace lze převzít pouze část její daňové ztráty v rozsahu zjištěném podle ekonomicky zdůvodnitelného kritéria; ustanovení § 38na tím není dotčeno; tuto daňovou ztrátu lze uplatnit jako položku odčitatelnou od základu daně ve zdaňovacích obdobích zbývajících do 5 zdaňovacích období bezprostředně následujících po zdaňovacím období </w:t>
      </w:r>
      <w:r w:rsidRPr="000839A4">
        <w:rPr>
          <w:strike/>
          <w:szCs w:val="24"/>
        </w:rPr>
        <w:t>nebo období, za něž je podáváno daňové přiznání</w:t>
      </w:r>
      <w:r w:rsidRPr="000839A4">
        <w:rPr>
          <w:szCs w:val="24"/>
        </w:rPr>
        <w:t xml:space="preserve">, za které byla daňová ztráta zanikající nebo rozdělované korporaci stanovena za podmínek stanovených tímto zákonem; přitom je-li zanikající nebo rozdělovaná obchodní korporace poplatníkem, který je daňovým nerezidentem a nemá stálou provozovnu na území České republiky, lze převzít daňovou ztrátu, která vznikla zanikající nebo rozdělované obchodní korporaci v jiném členském státu a která nebyla uplatněna v jiném členském státu jako položka snižující základ daně zanikající, rozdělované nebo jiné obchodní korporace, maximálně však do výše, jak by byla daňová ztráta stanovena podle tohoto zákona, kdyby zanikající nebo rozdělovaná obchodní korporace byla ve zdaňovacím období, </w:t>
      </w:r>
      <w:r w:rsidRPr="000839A4">
        <w:rPr>
          <w:strike/>
          <w:szCs w:val="24"/>
        </w:rPr>
        <w:t>nebo období, za něž se podává daňové přiznání,</w:t>
      </w:r>
      <w:r w:rsidRPr="000839A4">
        <w:rPr>
          <w:szCs w:val="24"/>
        </w:rPr>
        <w:t xml:space="preserve"> v němž daňová ztráta vznikla, poplatníkem, který je daňovým rezidentem,</w:t>
      </w:r>
    </w:p>
    <w:p w14:paraId="3B7DB942" w14:textId="77777777" w:rsidR="000839A4" w:rsidRPr="000839A4" w:rsidRDefault="000839A4" w:rsidP="000839A4">
      <w:pPr>
        <w:tabs>
          <w:tab w:val="left" w:pos="357"/>
        </w:tabs>
        <w:spacing w:before="0"/>
        <w:ind w:left="357" w:hanging="357"/>
        <w:rPr>
          <w:szCs w:val="24"/>
        </w:rPr>
      </w:pPr>
      <w:r w:rsidRPr="000839A4">
        <w:rPr>
          <w:szCs w:val="24"/>
        </w:rPr>
        <w:t>c)</w:t>
      </w:r>
      <w:r w:rsidRPr="000839A4">
        <w:rPr>
          <w:szCs w:val="24"/>
        </w:rPr>
        <w:tab/>
        <w:t>převzít položky odčitatelné od základu daně, na něž vznikl nárok zanikající nebo rozdělované obchodní korporaci podle § 34 odst. 4 a 5 a které dosud nebyly uplatněny zanikající nebo rozdělovanou obchodní korporací za podmínek, které by platily pro zanikající nebo rozdělovanou obchodní korporaci, pokud by se fúze obchodních korporací nebo rozdělení obchodní korporace neuskutečnily; od zanikající nebo rozdělované obchodní korporace lze převzít pouze položky odčitatelné od základu daně, na něž vznikl nárok zanikající nebo rozdělované obchodní korporaci a které nebyly dosud zanikající nebo rozdělovanou obchodní korporací uplatněny, a to pouze v rozsahu zjištěném podle ekonomicky zdůvodnitelného kritéria; přitom je-li zanikající nebo rozdělovaná obchodní korporace poplatníkem, který je daňovým nerezidentem a nemá stálou provozovnu na území České republiky, lze převzít pouze zahraniční položky obdobného charakteru jako položky odčitatelné od základu daně, které dosud nebyly uplatněny v zahraničí, maximálně však do výše a za podmínek stanovených tímto zákonem.</w:t>
      </w:r>
    </w:p>
    <w:p w14:paraId="6138F0F1" w14:textId="77777777" w:rsidR="000839A4" w:rsidRPr="000839A4" w:rsidRDefault="000839A4" w:rsidP="000839A4">
      <w:pPr>
        <w:tabs>
          <w:tab w:val="left" w:pos="851"/>
        </w:tabs>
        <w:spacing w:before="120" w:after="120"/>
        <w:ind w:firstLine="427"/>
        <w:outlineLvl w:val="6"/>
      </w:pPr>
      <w:r w:rsidRPr="000839A4">
        <w:t xml:space="preserve">(9) Ustanovení odstavců 4, 5, 6 a 8 se použijí, pokud </w:t>
      </w:r>
    </w:p>
    <w:p w14:paraId="608030D4"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 xml:space="preserve">zanikající obchodní korporace, rozdělovaná obchodní korporace i nástupnická existující obchodní korporace, nástupnická založená obchodní korporace, nástupnická obchodní korporace, která je jediným společníkem, nebo nástupnická obchodní korporace při rozdělení jsou poplatníky, kteří jsou daňovými rezidenty a mají formu akciové společnosti, společnosti s ručením omezeným, evropské společnosti, družstva anebo evropské družstevní společnosti, nebo </w:t>
      </w:r>
    </w:p>
    <w:p w14:paraId="30DE28B5"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 xml:space="preserve">zanikající obchodní korporace nebo rozdělovaná obchodní korporace je obchodní korporací, která je daňovým rezidentem jiného členského státu Evropské unie než České </w:t>
      </w:r>
      <w:r w:rsidRPr="000839A4">
        <w:rPr>
          <w:szCs w:val="24"/>
        </w:rPr>
        <w:lastRenderedPageBreak/>
        <w:t xml:space="preserve">republiky a nástupnická existující obchodní korporace, nástupnická založená obchodní korporace, nástupnická obchodní korporace, která je jediným společníkem, nebo nástupnická obchodní korporace při rozdělení je poplatníkem, který je daňovým rezidentem a má formu akciové společnosti, společnosti s ručením omezeným, evropské společnosti, družstva anebo evropské družstevní společnosti, nebo </w:t>
      </w:r>
    </w:p>
    <w:p w14:paraId="55CC6C9D" w14:textId="77777777" w:rsidR="000839A4" w:rsidRPr="000839A4" w:rsidRDefault="000839A4" w:rsidP="000839A4">
      <w:pPr>
        <w:tabs>
          <w:tab w:val="left" w:pos="357"/>
        </w:tabs>
        <w:spacing w:before="0"/>
        <w:ind w:left="357" w:hanging="357"/>
        <w:rPr>
          <w:szCs w:val="24"/>
        </w:rPr>
      </w:pPr>
      <w:r w:rsidRPr="000839A4">
        <w:rPr>
          <w:szCs w:val="24"/>
        </w:rPr>
        <w:t>c)</w:t>
      </w:r>
      <w:r w:rsidRPr="000839A4">
        <w:rPr>
          <w:szCs w:val="24"/>
        </w:rPr>
        <w:tab/>
        <w:t>zanikající obchodní korporace nebo rozdělovaná obchodní korporace je daňovým rezidentem České republiky a má formu akciové společnosti, společnosti s ručením omezeným, evropské společnosti, družstva anebo evropské družstevní společnosti nebo je obchodní korporací, která je daňovým rezidentem jiného členského státu Evropské unie než České republiky, a nástupnická existující obchodní korporace, nástupnická založená obchodní korporace, nástupnická obchodní korporace, která je jediným společníkem, nebo nástupnická obchodní korporace při rozdělení je obchodní korporací, která je daňovým rezidentem jiného členského státu Evropské unie než České republiky, a pokud jmění, jež přešlo ze zanikající obchodní korporace nebo rozdělované obchodní korporace na nástupnickou založenou obchodní korporaci, nástupnickou obchodní korporaci, která je jediným společníkem, nebo nástupnickou obchodní korporaci při rozdělení v důsledku fúze obchodních korporací nebo rozdělení obchodní korporace, je součástí stálé provozovny nástupnické existující obchodní korporace, nástupnické založené obchodní korporace, nástupnické obchodní korporace, která je jediným společníkem, nebo nástupnické obchodní korporace při rozdělení umístěné na území České republiky.</w:t>
      </w:r>
    </w:p>
    <w:p w14:paraId="1E6F9A1B" w14:textId="77777777" w:rsidR="000839A4" w:rsidRPr="000839A4" w:rsidRDefault="000839A4" w:rsidP="000839A4">
      <w:pPr>
        <w:keepNext/>
        <w:ind w:firstLine="0"/>
        <w:jc w:val="center"/>
        <w:rPr>
          <w:szCs w:val="24"/>
        </w:rPr>
      </w:pPr>
      <w:r w:rsidRPr="000839A4">
        <w:rPr>
          <w:szCs w:val="24"/>
        </w:rPr>
        <w:t>§ 23d</w:t>
      </w:r>
    </w:p>
    <w:p w14:paraId="3A77B3D5" w14:textId="77777777" w:rsidR="000839A4" w:rsidRPr="000839A4" w:rsidRDefault="000839A4" w:rsidP="000839A4">
      <w:pPr>
        <w:tabs>
          <w:tab w:val="left" w:pos="851"/>
        </w:tabs>
        <w:spacing w:before="120" w:after="120"/>
        <w:ind w:firstLine="427"/>
        <w:outlineLvl w:val="6"/>
      </w:pPr>
      <w:r w:rsidRPr="000839A4">
        <w:t xml:space="preserve">(1) Poplatník, který splňuje podmínky uvedené v § 23a, § 23b nebo § 23c, oznámí před převodem obchodního závodu, před výměnou podílů nebo před fúzí nebo rozdělením obchodních korporací svému místně příslušnému správci daně, že bude postupovat podle § 23a, § 23b nebo § 23c. </w:t>
      </w:r>
    </w:p>
    <w:p w14:paraId="1D3ACACC" w14:textId="77777777" w:rsidR="000839A4" w:rsidRPr="000839A4" w:rsidRDefault="000839A4" w:rsidP="000839A4">
      <w:pPr>
        <w:tabs>
          <w:tab w:val="left" w:pos="851"/>
        </w:tabs>
        <w:spacing w:before="120" w:after="120"/>
        <w:ind w:firstLine="427"/>
        <w:outlineLvl w:val="6"/>
      </w:pPr>
      <w:r w:rsidRPr="000839A4">
        <w:t>(2) Ustanovení § 23a odst. 2, § 23a odst. 5 písm. b) a c), § 23b odst. 5 a § 23c odst. 8 písm. b) a c) se nepoužije, pokud je při převodu obchodního závodu přijímající obchodní korporací, při fúzi obchodních korporací nebo při rozdělení obchodní korporace zanikající obchodní korporací, rozdělovanou obchodní korporací, nástupnickou existující obchodní korporací, nástupnickou založenou obchodní korporací, nástupnickou obchodní korporací, která je jediným společníkem, nebo nástupnickou obchodní korporací při rozdělení obchodní korporace, která po dobu delší než 12 měsíců předcházejících převodu obchodního závodu, rozhodnému dni fúze nebo rozdělení ve skutečnosti nevykonávala činnost. To neplatí, pokud dotčený poplatník prokáže, že pro převod obchodního závodu, fúzi obchodních korporací nebo rozdělení obchodní korporace existují řádné ekonomické důvody.</w:t>
      </w:r>
    </w:p>
    <w:p w14:paraId="7382B478" w14:textId="77777777" w:rsidR="000839A4" w:rsidRPr="000839A4" w:rsidRDefault="000839A4" w:rsidP="000839A4">
      <w:pPr>
        <w:tabs>
          <w:tab w:val="left" w:pos="851"/>
        </w:tabs>
        <w:spacing w:before="120" w:after="120"/>
        <w:ind w:firstLine="427"/>
        <w:outlineLvl w:val="6"/>
      </w:pPr>
      <w:r w:rsidRPr="000839A4">
        <w:t>(3) Převede-li převádějící obchodní korporace podíl v přijímající obchodní korporaci, který získala za převedený obchodní závod, nebo část podílu odpovídající zvýšení jejího vkladu do základního kapitálu přijímající obchodní korporace, kterou získala za převedený obchodní závod, v době kratší než 1 rok po převodu obchodního závodu, ustanovení § 23a odst. 2 se nepoužije. To neplatí, pokud dotčený poplatník prokáže, že pro takový převod podílu existují řádné ekonomické důvody.</w:t>
      </w:r>
    </w:p>
    <w:p w14:paraId="785260EB" w14:textId="77777777" w:rsidR="000839A4" w:rsidRPr="000839A4" w:rsidRDefault="000839A4" w:rsidP="000839A4">
      <w:pPr>
        <w:tabs>
          <w:tab w:val="left" w:pos="851"/>
        </w:tabs>
        <w:spacing w:before="120" w:after="120"/>
        <w:ind w:firstLine="427"/>
        <w:outlineLvl w:val="6"/>
      </w:pPr>
      <w:r w:rsidRPr="000839A4">
        <w:t>(4) Převede-li nabývající obchodní korporace podíl v nabyté obchodní korporaci, který získala při výměně podílů, v době kratší než 1 rok po výměně podílů, ustanovení § 23b odst. 5 se nepoužije. To neplatí, pokud dotčený poplatník prokáže, že pro takový převod podílu existují řádné ekonomické důvody.</w:t>
      </w:r>
    </w:p>
    <w:p w14:paraId="0B5D04FF" w14:textId="77777777" w:rsidR="000839A4" w:rsidRPr="000839A4" w:rsidRDefault="000839A4" w:rsidP="000839A4">
      <w:pPr>
        <w:tabs>
          <w:tab w:val="left" w:pos="851"/>
        </w:tabs>
        <w:spacing w:before="120" w:after="120"/>
        <w:ind w:firstLine="427"/>
        <w:outlineLvl w:val="6"/>
      </w:pPr>
      <w:r w:rsidRPr="000839A4">
        <w:lastRenderedPageBreak/>
        <w:t xml:space="preserve">(5) Při nedodržení podmínek stanovených v § 23a až 23c se základ daně stanovený s využitím § 23a až 23c posuzuje jako nesplnění daňové povinnosti poplatníkem. </w:t>
      </w:r>
    </w:p>
    <w:p w14:paraId="0A95543A" w14:textId="77777777" w:rsidR="000839A4" w:rsidRPr="000839A4" w:rsidRDefault="000839A4" w:rsidP="000839A4">
      <w:pPr>
        <w:keepNext/>
        <w:spacing w:before="120"/>
        <w:ind w:firstLine="0"/>
        <w:jc w:val="center"/>
        <w:outlineLvl w:val="7"/>
        <w:rPr>
          <w:b/>
        </w:rPr>
      </w:pPr>
      <w:r w:rsidRPr="000839A4">
        <w:rPr>
          <w:b/>
        </w:rPr>
        <w:t>Hlava IV</w:t>
      </w:r>
    </w:p>
    <w:p w14:paraId="1DCCE148" w14:textId="77777777" w:rsidR="000839A4" w:rsidRPr="000839A4" w:rsidRDefault="000839A4" w:rsidP="000839A4">
      <w:pPr>
        <w:keepNext/>
        <w:spacing w:before="120"/>
        <w:ind w:firstLine="0"/>
        <w:jc w:val="center"/>
        <w:outlineLvl w:val="7"/>
      </w:pPr>
      <w:r w:rsidRPr="000839A4">
        <w:rPr>
          <w:b/>
          <w:bCs/>
        </w:rPr>
        <w:t>Opatření proti vyhýbání se daňové povinnosti</w:t>
      </w:r>
    </w:p>
    <w:p w14:paraId="57EB4113" w14:textId="77777777" w:rsidR="000839A4" w:rsidRPr="000839A4" w:rsidRDefault="000839A4" w:rsidP="000839A4">
      <w:pPr>
        <w:keepNext/>
        <w:ind w:firstLine="0"/>
        <w:jc w:val="center"/>
        <w:rPr>
          <w:szCs w:val="24"/>
        </w:rPr>
      </w:pPr>
      <w:r w:rsidRPr="000839A4">
        <w:rPr>
          <w:szCs w:val="24"/>
        </w:rPr>
        <w:t>§ 23e</w:t>
      </w:r>
    </w:p>
    <w:p w14:paraId="772C5F66" w14:textId="77777777" w:rsidR="000839A4" w:rsidRPr="000839A4" w:rsidRDefault="000839A4" w:rsidP="000839A4">
      <w:pPr>
        <w:keepNext/>
        <w:ind w:firstLine="0"/>
        <w:jc w:val="center"/>
        <w:rPr>
          <w:b/>
          <w:szCs w:val="24"/>
        </w:rPr>
      </w:pPr>
      <w:r w:rsidRPr="000839A4">
        <w:rPr>
          <w:b/>
          <w:szCs w:val="24"/>
        </w:rPr>
        <w:t>Omezení uznatelnosti nadměrných výpůjčních výdajů</w:t>
      </w:r>
    </w:p>
    <w:p w14:paraId="7C54C2AA" w14:textId="77777777" w:rsidR="000839A4" w:rsidRPr="000839A4" w:rsidRDefault="000839A4" w:rsidP="000839A4">
      <w:pPr>
        <w:tabs>
          <w:tab w:val="left" w:pos="851"/>
        </w:tabs>
        <w:spacing w:before="120" w:after="120"/>
        <w:ind w:firstLine="427"/>
        <w:outlineLvl w:val="6"/>
      </w:pPr>
      <w:r w:rsidRPr="000839A4">
        <w:t>(1) Výsledek hospodaření nebo rozdíl mezi příjmy a výdaji poplatníka daně z příjmů právnických osob se zvyšuje o částku odpovídající kladnému rozdílu mezi nadměrnými výpůjčními výdaji a limitem uznatelnosti nadměrných výpůjčních výdajů, kterým je vyšší z částek</w:t>
      </w:r>
    </w:p>
    <w:p w14:paraId="5ABCE247"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30 % daňového zisku před úroky, zdaněním a odpisy, nebo</w:t>
      </w:r>
    </w:p>
    <w:p w14:paraId="1B4194A3"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80 000 000 Kč.</w:t>
      </w:r>
    </w:p>
    <w:p w14:paraId="3DEFF8B2" w14:textId="77777777" w:rsidR="000839A4" w:rsidRPr="000839A4" w:rsidRDefault="000839A4" w:rsidP="000839A4">
      <w:pPr>
        <w:tabs>
          <w:tab w:val="left" w:pos="851"/>
        </w:tabs>
        <w:spacing w:before="120" w:after="120"/>
        <w:ind w:firstLine="427"/>
        <w:outlineLvl w:val="6"/>
      </w:pPr>
      <w:r w:rsidRPr="000839A4">
        <w:t xml:space="preserve">(2) Nadměrnými výpůjčními výdaji se pro účely daní z příjmů rozumí výpůjční výdaje, které jsou výdaji vynaloženými na dosažení, zajištění a udržení zdanitelných příjmů, po odečtení zdanitelných výpůjčních příjmů za dané zdaňovací období </w:t>
      </w:r>
      <w:r w:rsidRPr="000839A4">
        <w:rPr>
          <w:strike/>
        </w:rPr>
        <w:t>nebo období, za které se podává daňové přiznání</w:t>
      </w:r>
      <w:r w:rsidRPr="000839A4">
        <w:t>.</w:t>
      </w:r>
    </w:p>
    <w:p w14:paraId="3A24A971" w14:textId="77777777" w:rsidR="000839A4" w:rsidRPr="000839A4" w:rsidRDefault="000839A4" w:rsidP="000839A4">
      <w:pPr>
        <w:tabs>
          <w:tab w:val="left" w:pos="851"/>
        </w:tabs>
        <w:spacing w:before="120" w:after="120"/>
        <w:ind w:firstLine="427"/>
        <w:outlineLvl w:val="6"/>
      </w:pPr>
      <w:r w:rsidRPr="000839A4">
        <w:t>(3) Výpůjčním výdajem se pro účely daní z příjmů rozumí</w:t>
      </w:r>
    </w:p>
    <w:p w14:paraId="2B8539A8"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finanční výdaj,</w:t>
      </w:r>
    </w:p>
    <w:p w14:paraId="3101A132"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výdaj, který svou podstatou představuje plnění za poskytnutí úvěrového finančního nástroje, bez ohledu na závazek, ze kterého takové plnění plyne,</w:t>
      </w:r>
    </w:p>
    <w:p w14:paraId="2691D9BA" w14:textId="77777777" w:rsidR="000839A4" w:rsidRPr="000839A4" w:rsidRDefault="000839A4" w:rsidP="000839A4">
      <w:pPr>
        <w:tabs>
          <w:tab w:val="left" w:pos="357"/>
        </w:tabs>
        <w:spacing w:before="0"/>
        <w:ind w:left="357" w:hanging="357"/>
        <w:rPr>
          <w:szCs w:val="24"/>
        </w:rPr>
      </w:pPr>
      <w:r w:rsidRPr="000839A4">
        <w:rPr>
          <w:szCs w:val="24"/>
        </w:rPr>
        <w:t>c)</w:t>
      </w:r>
      <w:r w:rsidRPr="000839A4">
        <w:rPr>
          <w:szCs w:val="24"/>
        </w:rPr>
        <w:tab/>
        <w:t>pomyslný úrok v rámci derivátu,</w:t>
      </w:r>
    </w:p>
    <w:p w14:paraId="445A70E3" w14:textId="77777777" w:rsidR="000839A4" w:rsidRPr="000839A4" w:rsidRDefault="000839A4" w:rsidP="000839A4">
      <w:pPr>
        <w:tabs>
          <w:tab w:val="left" w:pos="357"/>
        </w:tabs>
        <w:spacing w:before="0"/>
        <w:ind w:left="357" w:hanging="357"/>
        <w:rPr>
          <w:szCs w:val="24"/>
        </w:rPr>
      </w:pPr>
      <w:r w:rsidRPr="000839A4">
        <w:rPr>
          <w:szCs w:val="24"/>
        </w:rPr>
        <w:t>d)</w:t>
      </w:r>
      <w:r w:rsidRPr="000839A4">
        <w:rPr>
          <w:szCs w:val="24"/>
        </w:rPr>
        <w:tab/>
        <w:t>výdaj související s derivátem sjednaným za účelem zajištění rizika souvisejícího se závazkem podle písmen a) až c),</w:t>
      </w:r>
    </w:p>
    <w:p w14:paraId="5CA996C5" w14:textId="77777777" w:rsidR="000839A4" w:rsidRPr="000839A4" w:rsidRDefault="000839A4" w:rsidP="000839A4">
      <w:pPr>
        <w:tabs>
          <w:tab w:val="left" w:pos="357"/>
        </w:tabs>
        <w:spacing w:before="0"/>
        <w:ind w:left="357" w:hanging="357"/>
        <w:rPr>
          <w:szCs w:val="24"/>
        </w:rPr>
      </w:pPr>
      <w:r w:rsidRPr="000839A4">
        <w:rPr>
          <w:szCs w:val="24"/>
        </w:rPr>
        <w:t>e)</w:t>
      </w:r>
      <w:r w:rsidRPr="000839A4">
        <w:rPr>
          <w:szCs w:val="24"/>
        </w:rPr>
        <w:tab/>
        <w:t>výdaj v podobě kursového rozdílu souvisejícího se závazkem podle písmen a) až d),</w:t>
      </w:r>
    </w:p>
    <w:p w14:paraId="7109E964" w14:textId="77777777" w:rsidR="000839A4" w:rsidRPr="000839A4" w:rsidRDefault="000839A4" w:rsidP="000839A4">
      <w:pPr>
        <w:tabs>
          <w:tab w:val="left" w:pos="357"/>
        </w:tabs>
        <w:spacing w:before="0"/>
        <w:ind w:left="357" w:hanging="357"/>
        <w:rPr>
          <w:szCs w:val="24"/>
        </w:rPr>
      </w:pPr>
      <w:r w:rsidRPr="000839A4">
        <w:rPr>
          <w:szCs w:val="24"/>
        </w:rPr>
        <w:t>f)</w:t>
      </w:r>
      <w:r w:rsidRPr="000839A4">
        <w:rPr>
          <w:szCs w:val="24"/>
        </w:rPr>
        <w:tab/>
        <w:t>úrok obsažený v úplatě na základě závazku o přenechání majetku k úplatnému užití s právem na následné úplatné nabytí tohoto majetku stranou tohoto závazku,</w:t>
      </w:r>
    </w:p>
    <w:p w14:paraId="244B9BC3" w14:textId="77777777" w:rsidR="000839A4" w:rsidRPr="000839A4" w:rsidRDefault="000839A4" w:rsidP="000839A4">
      <w:pPr>
        <w:tabs>
          <w:tab w:val="left" w:pos="357"/>
        </w:tabs>
        <w:spacing w:before="0"/>
        <w:ind w:left="357" w:hanging="357"/>
        <w:rPr>
          <w:szCs w:val="24"/>
        </w:rPr>
      </w:pPr>
      <w:r w:rsidRPr="000839A4">
        <w:rPr>
          <w:szCs w:val="24"/>
        </w:rPr>
        <w:t>g)</w:t>
      </w:r>
      <w:r w:rsidRPr="000839A4">
        <w:rPr>
          <w:szCs w:val="24"/>
        </w:rPr>
        <w:tab/>
        <w:t>úrok, který je součástí ocenění majetku podle právních předpisů upravujících účetnictví,</w:t>
      </w:r>
    </w:p>
    <w:p w14:paraId="03A35A31" w14:textId="77777777" w:rsidR="000839A4" w:rsidRPr="000839A4" w:rsidRDefault="000839A4" w:rsidP="000839A4">
      <w:pPr>
        <w:tabs>
          <w:tab w:val="left" w:pos="357"/>
        </w:tabs>
        <w:spacing w:before="0"/>
        <w:ind w:left="357" w:hanging="357"/>
        <w:rPr>
          <w:szCs w:val="24"/>
        </w:rPr>
      </w:pPr>
      <w:r w:rsidRPr="000839A4">
        <w:rPr>
          <w:szCs w:val="24"/>
        </w:rPr>
        <w:t>h)</w:t>
      </w:r>
      <w:r w:rsidRPr="000839A4">
        <w:rPr>
          <w:szCs w:val="24"/>
        </w:rPr>
        <w:tab/>
        <w:t>výdaj obdobný výdaji podle písmen a) až g).</w:t>
      </w:r>
    </w:p>
    <w:p w14:paraId="2CC7AED1" w14:textId="77777777" w:rsidR="000839A4" w:rsidRPr="000839A4" w:rsidRDefault="000839A4" w:rsidP="000839A4">
      <w:pPr>
        <w:tabs>
          <w:tab w:val="left" w:pos="851"/>
        </w:tabs>
        <w:spacing w:before="120" w:after="120"/>
        <w:ind w:firstLine="427"/>
        <w:outlineLvl w:val="6"/>
      </w:pPr>
      <w:r w:rsidRPr="000839A4">
        <w:t>(4) Výpůjčním příjmem se pro účely daní z příjmů rozumí příjem ve formě úroku z úvěrového finančního nástroje a obdobný příjem z titulu podle odstavce 3.</w:t>
      </w:r>
    </w:p>
    <w:p w14:paraId="038A576E" w14:textId="6E8793C6" w:rsidR="000839A4" w:rsidRPr="000839A4" w:rsidRDefault="000839A4" w:rsidP="000839A4">
      <w:pPr>
        <w:tabs>
          <w:tab w:val="left" w:pos="851"/>
        </w:tabs>
        <w:spacing w:before="120" w:after="120"/>
        <w:ind w:firstLine="427"/>
        <w:outlineLvl w:val="6"/>
      </w:pPr>
      <w:r w:rsidRPr="000839A4">
        <w:t xml:space="preserve">(5) Ve zdaňovacím období </w:t>
      </w:r>
      <w:r w:rsidRPr="000839A4">
        <w:rPr>
          <w:strike/>
        </w:rPr>
        <w:t>nebo období, za které se podává daňové přiznání, ve kterých</w:t>
      </w:r>
      <w:r w:rsidRPr="000839A4">
        <w:rPr>
          <w:b/>
        </w:rPr>
        <w:t>, ve kterém</w:t>
      </w:r>
      <w:r w:rsidRPr="000839A4">
        <w:t xml:space="preserve"> se upraví výsledek hospodaření o kursové rozdíly podle § 23i odst. 4 nebo 5, se nadměrné výpůjční výdaje upraví o tyto kursové rozdíly související se závazkem podle odstavce 3 písm. a) až d).</w:t>
      </w:r>
    </w:p>
    <w:p w14:paraId="6D48BFB8" w14:textId="77777777" w:rsidR="000839A4" w:rsidRPr="000839A4" w:rsidRDefault="000839A4" w:rsidP="000839A4">
      <w:pPr>
        <w:tabs>
          <w:tab w:val="left" w:pos="851"/>
        </w:tabs>
        <w:spacing w:before="120" w:after="120"/>
        <w:ind w:firstLine="427"/>
        <w:outlineLvl w:val="6"/>
        <w:rPr>
          <w:strike/>
          <w:shd w:val="clear" w:color="auto" w:fill="A8D08D" w:themeFill="accent6" w:themeFillTint="99"/>
        </w:rPr>
      </w:pPr>
      <w:r w:rsidRPr="000839A4">
        <w:t xml:space="preserve">(6) Daňovým ziskem před úroky, zdaněním a odpisy se pro účely daní z příjmů rozumí úhrn za zdaňovací období </w:t>
      </w:r>
      <w:r w:rsidRPr="000839A4">
        <w:rPr>
          <w:strike/>
        </w:rPr>
        <w:t>nebo období, za které se podává daňové přiznání,</w:t>
      </w:r>
    </w:p>
    <w:p w14:paraId="1AEFEEDB"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výsledku hospodaření nebo rozdílu mezi příjmy a výdaji upraveného podle tohoto zákona s výjimkou úpravy v důsledku omezení uznatelnosti nadměrných výpůjčních výdajů,</w:t>
      </w:r>
    </w:p>
    <w:p w14:paraId="01AB0887"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základů daně vybírané srážkou podle zvláštní sazby daně,</w:t>
      </w:r>
    </w:p>
    <w:p w14:paraId="1972C2AA" w14:textId="77777777" w:rsidR="000839A4" w:rsidRPr="000839A4" w:rsidRDefault="000839A4" w:rsidP="000839A4">
      <w:pPr>
        <w:tabs>
          <w:tab w:val="left" w:pos="357"/>
        </w:tabs>
        <w:spacing w:before="0"/>
        <w:ind w:left="357" w:hanging="357"/>
        <w:rPr>
          <w:szCs w:val="24"/>
        </w:rPr>
      </w:pPr>
      <w:r w:rsidRPr="000839A4">
        <w:rPr>
          <w:szCs w:val="24"/>
        </w:rPr>
        <w:t>c)</w:t>
      </w:r>
      <w:r w:rsidRPr="000839A4">
        <w:rPr>
          <w:szCs w:val="24"/>
        </w:rPr>
        <w:tab/>
        <w:t>samostatného základu daně zdaňovaného sazbou daně podle § 21 odst. 4,</w:t>
      </w:r>
    </w:p>
    <w:p w14:paraId="62A2C043" w14:textId="77777777" w:rsidR="000839A4" w:rsidRPr="000839A4" w:rsidRDefault="000839A4" w:rsidP="000839A4">
      <w:pPr>
        <w:tabs>
          <w:tab w:val="left" w:pos="357"/>
        </w:tabs>
        <w:spacing w:before="0"/>
        <w:ind w:left="357" w:hanging="357"/>
        <w:rPr>
          <w:szCs w:val="24"/>
        </w:rPr>
      </w:pPr>
      <w:r w:rsidRPr="000839A4">
        <w:rPr>
          <w:szCs w:val="24"/>
        </w:rPr>
        <w:t>d)</w:t>
      </w:r>
      <w:r w:rsidRPr="000839A4">
        <w:rPr>
          <w:szCs w:val="24"/>
        </w:rPr>
        <w:tab/>
        <w:t>odpisů majetku uplatněných jako výdaj vynaložený na dosažení, zajištění a udržení zdanitelných příjmů, s výjimkou části odpisů, které jsou výpůjčním výdajem,</w:t>
      </w:r>
    </w:p>
    <w:p w14:paraId="18B6A648" w14:textId="77777777" w:rsidR="000839A4" w:rsidRPr="000839A4" w:rsidRDefault="000839A4" w:rsidP="000839A4">
      <w:pPr>
        <w:tabs>
          <w:tab w:val="left" w:pos="357"/>
        </w:tabs>
        <w:spacing w:before="0"/>
        <w:ind w:left="357" w:hanging="357"/>
        <w:rPr>
          <w:szCs w:val="24"/>
        </w:rPr>
      </w:pPr>
      <w:r w:rsidRPr="000839A4">
        <w:rPr>
          <w:szCs w:val="24"/>
        </w:rPr>
        <w:lastRenderedPageBreak/>
        <w:t>e)</w:t>
      </w:r>
      <w:r w:rsidRPr="000839A4">
        <w:rPr>
          <w:szCs w:val="24"/>
        </w:rPr>
        <w:tab/>
        <w:t>kladného oceňovacího rozdílu při koupi obchodního závodu nebo kladného rozdílu mezi oceněním obchodního závodu nabytého koupí a souhrnem jeho individuálně přeceněných složek majetku sníženým o převzaté dluhy uplatněného jako výdaj vynaložený na dosažení, zajištění a udržení zdanitelných příjmů a</w:t>
      </w:r>
    </w:p>
    <w:p w14:paraId="3215C6C3" w14:textId="77777777" w:rsidR="000839A4" w:rsidRPr="000839A4" w:rsidRDefault="000839A4" w:rsidP="000839A4">
      <w:pPr>
        <w:tabs>
          <w:tab w:val="left" w:pos="357"/>
        </w:tabs>
        <w:spacing w:before="0"/>
        <w:ind w:left="357" w:hanging="357"/>
        <w:rPr>
          <w:szCs w:val="24"/>
        </w:rPr>
      </w:pPr>
      <w:r w:rsidRPr="000839A4">
        <w:rPr>
          <w:szCs w:val="24"/>
        </w:rPr>
        <w:t>f)</w:t>
      </w:r>
      <w:r w:rsidRPr="000839A4">
        <w:rPr>
          <w:szCs w:val="24"/>
        </w:rPr>
        <w:tab/>
        <w:t>nadměrných výpůjčních výdajů.</w:t>
      </w:r>
    </w:p>
    <w:p w14:paraId="0876FFEF" w14:textId="77777777" w:rsidR="000839A4" w:rsidRPr="000839A4" w:rsidRDefault="000839A4" w:rsidP="000839A4">
      <w:pPr>
        <w:tabs>
          <w:tab w:val="left" w:pos="851"/>
        </w:tabs>
        <w:spacing w:before="120" w:after="120"/>
        <w:ind w:firstLine="427"/>
        <w:outlineLvl w:val="6"/>
      </w:pPr>
      <w:r w:rsidRPr="000839A4">
        <w:t xml:space="preserve">(7) Pokud byl výsledek hospodaření nebo rozdíl mezi příjmy a výdaji zvýšen v důsledku omezení uznatelnosti nadměrných výpůjčních výdajů, lze o částku, o kterou byl takto zvýšen, snížit výsledek hospodaření nebo rozdíl mezi příjmy a výdaji v následujících zdaňovacích obdobích </w:t>
      </w:r>
      <w:r w:rsidRPr="000839A4">
        <w:rPr>
          <w:strike/>
        </w:rPr>
        <w:t>nebo obdobích, za která se podává daňové přiznání</w:t>
      </w:r>
      <w:r w:rsidRPr="000839A4">
        <w:t xml:space="preserve">, a to až do výše kladného rozdílu mezi limitem uznatelnosti nadměrných výpůjčních výdajů a nadměrnými výpůjčními výdaji za dané zdaňovací období </w:t>
      </w:r>
      <w:r w:rsidRPr="000839A4">
        <w:rPr>
          <w:strike/>
        </w:rPr>
        <w:t>nebo období, za které se podává daňové přiznání</w:t>
      </w:r>
      <w:r w:rsidRPr="000839A4">
        <w:t>. Možnost snížit si výsledek hospodaření nebo rozdíl mezi příjmy a výdaji nepřechází na právního nástupce.</w:t>
      </w:r>
    </w:p>
    <w:p w14:paraId="5845262D" w14:textId="77777777" w:rsidR="000839A4" w:rsidRPr="000839A4" w:rsidRDefault="000839A4" w:rsidP="000839A4">
      <w:pPr>
        <w:tabs>
          <w:tab w:val="left" w:pos="851"/>
        </w:tabs>
        <w:spacing w:before="120" w:after="120"/>
        <w:ind w:firstLine="427"/>
        <w:outlineLvl w:val="6"/>
      </w:pPr>
      <w:r w:rsidRPr="000839A4">
        <w:t>(8) Poplatník daně z příjmů právnických osob, který je společníkem veřejné obchodní společnosti, při výpočtu daňového zisku před úroky, zdaněním a odpisy nezohledňuje část základu daně veřejné obchodní společnosti, která je součástí jeho základu daně.</w:t>
      </w:r>
    </w:p>
    <w:p w14:paraId="6FD66895" w14:textId="77777777" w:rsidR="000839A4" w:rsidRPr="000839A4" w:rsidRDefault="000839A4" w:rsidP="000839A4">
      <w:pPr>
        <w:tabs>
          <w:tab w:val="left" w:pos="851"/>
        </w:tabs>
        <w:spacing w:before="120" w:after="120"/>
        <w:ind w:firstLine="427"/>
        <w:outlineLvl w:val="6"/>
      </w:pPr>
      <w:r w:rsidRPr="000839A4">
        <w:t>(9) Poplatník daně z příjmů právnických osob, který je komplementářem komanditní společnosti, při výpočtu daňového zisku před úroky, zdaněním a odpisy nezohledňuje část základu daně komanditní společnosti, která je součástí jeho základu daně.</w:t>
      </w:r>
    </w:p>
    <w:p w14:paraId="0F770CF9" w14:textId="77777777" w:rsidR="000839A4" w:rsidRPr="000839A4" w:rsidRDefault="000839A4" w:rsidP="000839A4">
      <w:pPr>
        <w:keepNext/>
        <w:ind w:firstLine="0"/>
        <w:jc w:val="center"/>
        <w:rPr>
          <w:szCs w:val="24"/>
        </w:rPr>
      </w:pPr>
      <w:r w:rsidRPr="000839A4">
        <w:rPr>
          <w:szCs w:val="24"/>
        </w:rPr>
        <w:t>§ 23f</w:t>
      </w:r>
    </w:p>
    <w:p w14:paraId="65397536" w14:textId="77777777" w:rsidR="000839A4" w:rsidRPr="000839A4" w:rsidRDefault="000839A4" w:rsidP="000839A4">
      <w:pPr>
        <w:keepNext/>
        <w:ind w:firstLine="0"/>
        <w:jc w:val="center"/>
        <w:rPr>
          <w:b/>
          <w:szCs w:val="24"/>
        </w:rPr>
      </w:pPr>
      <w:r w:rsidRPr="000839A4">
        <w:rPr>
          <w:b/>
          <w:szCs w:val="24"/>
        </w:rPr>
        <w:t>Výjimky z režimu omezení uznatelnosti nadměrných výpůjčních výdajů</w:t>
      </w:r>
    </w:p>
    <w:p w14:paraId="685280C4" w14:textId="77777777" w:rsidR="000839A4" w:rsidRPr="000839A4" w:rsidRDefault="000839A4" w:rsidP="000839A4">
      <w:pPr>
        <w:tabs>
          <w:tab w:val="left" w:pos="851"/>
        </w:tabs>
        <w:spacing w:before="120" w:after="120"/>
        <w:ind w:firstLine="427"/>
        <w:outlineLvl w:val="6"/>
      </w:pPr>
      <w:r w:rsidRPr="000839A4">
        <w:t>Úprava výsledku hospodaření nebo rozdílu mezi příjmy a výdaji v důsledku omezení uznatelnosti nadměrných výpůjčních výdajů se nepoužije u poplatníka daně z příjmů právnických osob, který je</w:t>
      </w:r>
    </w:p>
    <w:p w14:paraId="4022CB7A"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bankou,</w:t>
      </w:r>
    </w:p>
    <w:p w14:paraId="11E4CCDB"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spořitelním a úvěrovým družstvem,</w:t>
      </w:r>
    </w:p>
    <w:p w14:paraId="1193B69E" w14:textId="77777777" w:rsidR="000839A4" w:rsidRPr="000839A4" w:rsidRDefault="000839A4" w:rsidP="000839A4">
      <w:pPr>
        <w:tabs>
          <w:tab w:val="left" w:pos="357"/>
        </w:tabs>
        <w:spacing w:before="0"/>
        <w:ind w:left="357" w:hanging="357"/>
        <w:rPr>
          <w:szCs w:val="24"/>
        </w:rPr>
      </w:pPr>
      <w:r w:rsidRPr="000839A4">
        <w:rPr>
          <w:szCs w:val="24"/>
        </w:rPr>
        <w:t>c)</w:t>
      </w:r>
      <w:r w:rsidRPr="000839A4">
        <w:rPr>
          <w:szCs w:val="24"/>
        </w:rPr>
        <w:tab/>
        <w:t>obchodníkem s cennými papíry,</w:t>
      </w:r>
    </w:p>
    <w:p w14:paraId="6AD182B1" w14:textId="77777777" w:rsidR="000839A4" w:rsidRPr="000839A4" w:rsidRDefault="000839A4" w:rsidP="000839A4">
      <w:pPr>
        <w:tabs>
          <w:tab w:val="left" w:pos="357"/>
        </w:tabs>
        <w:spacing w:before="0"/>
        <w:ind w:left="357" w:hanging="357"/>
        <w:rPr>
          <w:szCs w:val="24"/>
        </w:rPr>
      </w:pPr>
      <w:r w:rsidRPr="000839A4">
        <w:rPr>
          <w:szCs w:val="24"/>
        </w:rPr>
        <w:t>d)</w:t>
      </w:r>
      <w:r w:rsidRPr="000839A4">
        <w:rPr>
          <w:szCs w:val="24"/>
        </w:rPr>
        <w:tab/>
        <w:t>pojišťovnou,</w:t>
      </w:r>
    </w:p>
    <w:p w14:paraId="028FC275" w14:textId="77777777" w:rsidR="000839A4" w:rsidRPr="000839A4" w:rsidRDefault="000839A4" w:rsidP="000839A4">
      <w:pPr>
        <w:tabs>
          <w:tab w:val="left" w:pos="357"/>
        </w:tabs>
        <w:spacing w:before="0"/>
        <w:ind w:left="357" w:hanging="357"/>
        <w:rPr>
          <w:szCs w:val="24"/>
        </w:rPr>
      </w:pPr>
      <w:r w:rsidRPr="000839A4">
        <w:rPr>
          <w:szCs w:val="24"/>
        </w:rPr>
        <w:t>e)</w:t>
      </w:r>
      <w:r w:rsidRPr="000839A4">
        <w:rPr>
          <w:szCs w:val="24"/>
        </w:rPr>
        <w:tab/>
        <w:t>zajišťovnou,</w:t>
      </w:r>
    </w:p>
    <w:p w14:paraId="6023A33F" w14:textId="77777777" w:rsidR="000839A4" w:rsidRPr="000839A4" w:rsidRDefault="000839A4" w:rsidP="000839A4">
      <w:pPr>
        <w:tabs>
          <w:tab w:val="left" w:pos="357"/>
        </w:tabs>
        <w:spacing w:before="0"/>
        <w:ind w:left="357" w:hanging="357"/>
        <w:rPr>
          <w:szCs w:val="24"/>
        </w:rPr>
      </w:pPr>
      <w:r w:rsidRPr="000839A4">
        <w:rPr>
          <w:szCs w:val="24"/>
        </w:rPr>
        <w:t>f)</w:t>
      </w:r>
      <w:r w:rsidRPr="000839A4">
        <w:rPr>
          <w:szCs w:val="24"/>
        </w:rPr>
        <w:tab/>
        <w:t>institucí penzijního pojištění,</w:t>
      </w:r>
    </w:p>
    <w:p w14:paraId="523A9030" w14:textId="77777777" w:rsidR="000839A4" w:rsidRPr="000839A4" w:rsidRDefault="000839A4" w:rsidP="000839A4">
      <w:pPr>
        <w:tabs>
          <w:tab w:val="left" w:pos="357"/>
        </w:tabs>
        <w:spacing w:before="0"/>
        <w:ind w:left="357" w:hanging="357"/>
        <w:rPr>
          <w:szCs w:val="24"/>
        </w:rPr>
      </w:pPr>
      <w:r w:rsidRPr="000839A4">
        <w:rPr>
          <w:b/>
          <w:bCs/>
          <w:strike/>
          <w:noProof/>
          <w:color w:val="00B050"/>
          <w:szCs w:val="24"/>
        </w:rPr>
        <mc:AlternateContent>
          <mc:Choice Requires="wps">
            <w:drawing>
              <wp:anchor distT="0" distB="0" distL="114300" distR="114300" simplePos="0" relativeHeight="251693056" behindDoc="1" locked="0" layoutInCell="1" allowOverlap="1" wp14:anchorId="70713FFA" wp14:editId="43B0517B">
                <wp:simplePos x="0" y="0"/>
                <wp:positionH relativeFrom="margin">
                  <wp:posOffset>-132044</wp:posOffset>
                </wp:positionH>
                <wp:positionV relativeFrom="paragraph">
                  <wp:posOffset>175548</wp:posOffset>
                </wp:positionV>
                <wp:extent cx="6003290" cy="517584"/>
                <wp:effectExtent l="0" t="0" r="16510" b="15875"/>
                <wp:wrapNone/>
                <wp:docPr id="18" name="Obdélník 18"/>
                <wp:cNvGraphicFramePr/>
                <a:graphic xmlns:a="http://schemas.openxmlformats.org/drawingml/2006/main">
                  <a:graphicData uri="http://schemas.microsoft.com/office/word/2010/wordprocessingShape">
                    <wps:wsp>
                      <wps:cNvSpPr/>
                      <wps:spPr>
                        <a:xfrm>
                          <a:off x="0" y="0"/>
                          <a:ext cx="6003290" cy="517584"/>
                        </a:xfrm>
                        <a:prstGeom prst="rect">
                          <a:avLst/>
                        </a:prstGeom>
                        <a:solidFill>
                          <a:sysClr val="window" lastClr="FFFFFF"/>
                        </a:solid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6E2EC35" id="Obdélník 18" o:spid="_x0000_s1026" style="position:absolute;margin-left:-10.4pt;margin-top:13.8pt;width:472.7pt;height:40.75pt;z-index:-2516234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" fillcolor="window" strokecolor="#00b050" strokeweight="1pt">
                <w10:wrap anchorx="margin"/>
              </v:rect>
            </w:pict>
          </mc:Fallback>
        </mc:AlternateContent>
      </w:r>
      <w:r w:rsidRPr="000839A4">
        <w:rPr>
          <w:szCs w:val="24"/>
        </w:rPr>
        <w:t>g)</w:t>
      </w:r>
      <w:r w:rsidRPr="000839A4">
        <w:rPr>
          <w:szCs w:val="24"/>
        </w:rPr>
        <w:tab/>
        <w:t>fondem penzijní společnosti,</w:t>
      </w:r>
    </w:p>
    <w:p w14:paraId="2BBA6C49" w14:textId="77777777" w:rsidR="000839A4" w:rsidRPr="000839A4" w:rsidRDefault="000839A4" w:rsidP="000839A4">
      <w:pPr>
        <w:tabs>
          <w:tab w:val="left" w:pos="357"/>
        </w:tabs>
        <w:spacing w:before="0"/>
        <w:ind w:left="357" w:hanging="357"/>
        <w:rPr>
          <w:szCs w:val="24"/>
        </w:rPr>
      </w:pPr>
      <w:r w:rsidRPr="000839A4">
        <w:rPr>
          <w:szCs w:val="24"/>
        </w:rPr>
        <w:t>h)</w:t>
      </w:r>
      <w:r w:rsidRPr="000839A4">
        <w:rPr>
          <w:szCs w:val="24"/>
        </w:rPr>
        <w:tab/>
        <w:t xml:space="preserve">investičním fondem nebo </w:t>
      </w:r>
      <w:proofErr w:type="spellStart"/>
      <w:r w:rsidRPr="000839A4">
        <w:rPr>
          <w:szCs w:val="24"/>
        </w:rPr>
        <w:t>podfondem</w:t>
      </w:r>
      <w:proofErr w:type="spellEnd"/>
      <w:r w:rsidRPr="000839A4">
        <w:rPr>
          <w:szCs w:val="24"/>
        </w:rPr>
        <w:t xml:space="preserve"> </w:t>
      </w:r>
      <w:r w:rsidRPr="000839A4">
        <w:rPr>
          <w:strike/>
          <w:noProof/>
          <w:color w:val="00B050"/>
          <w:szCs w:val="24"/>
          <w:lang w:val="en-US"/>
        </w:rPr>
        <w:t>akciové společnosti s proměnným základním kapitálem</w:t>
      </w:r>
      <w:r w:rsidRPr="000839A4">
        <w:rPr>
          <w:noProof/>
          <w:color w:val="00B050"/>
          <w:szCs w:val="24"/>
          <w:lang w:val="en-US"/>
        </w:rPr>
        <w:t xml:space="preserve"> </w:t>
      </w:r>
      <w:r w:rsidRPr="000839A4">
        <w:rPr>
          <w:b/>
          <w:noProof/>
          <w:color w:val="00B050"/>
          <w:szCs w:val="24"/>
          <w:lang w:val="en-US"/>
        </w:rPr>
        <w:t>investičního fondu</w:t>
      </w:r>
      <w:r w:rsidRPr="000839A4">
        <w:rPr>
          <w:szCs w:val="24"/>
        </w:rPr>
        <w:t xml:space="preserve"> podle zákona o investičních společnostech a investičních fondech nebo obdobným zahraničním fondem,</w:t>
      </w:r>
      <w:r w:rsidRPr="000839A4">
        <w:rPr>
          <w:b/>
          <w:bCs/>
          <w:strike/>
          <w:noProof/>
          <w:color w:val="00B050"/>
          <w:szCs w:val="24"/>
          <w:lang w:val="en-US"/>
        </w:rPr>
        <w:t xml:space="preserve"> </w:t>
      </w:r>
    </w:p>
    <w:p w14:paraId="29D9071C" w14:textId="77777777" w:rsidR="000839A4" w:rsidRPr="000839A4" w:rsidRDefault="000839A4" w:rsidP="000839A4">
      <w:pPr>
        <w:tabs>
          <w:tab w:val="left" w:pos="357"/>
        </w:tabs>
        <w:spacing w:before="0"/>
        <w:ind w:left="357" w:hanging="357"/>
        <w:rPr>
          <w:szCs w:val="24"/>
        </w:rPr>
      </w:pPr>
      <w:r w:rsidRPr="000839A4">
        <w:rPr>
          <w:szCs w:val="24"/>
        </w:rPr>
        <w:t>i)</w:t>
      </w:r>
      <w:r w:rsidRPr="000839A4">
        <w:rPr>
          <w:szCs w:val="24"/>
        </w:rPr>
        <w:tab/>
        <w:t>investiční společností obhospodařující investiční fond,</w:t>
      </w:r>
    </w:p>
    <w:p w14:paraId="05F287CE" w14:textId="77777777" w:rsidR="000839A4" w:rsidRPr="000839A4" w:rsidRDefault="000839A4" w:rsidP="000839A4">
      <w:pPr>
        <w:tabs>
          <w:tab w:val="left" w:pos="357"/>
        </w:tabs>
        <w:spacing w:before="0"/>
        <w:ind w:left="357" w:hanging="357"/>
        <w:rPr>
          <w:szCs w:val="24"/>
        </w:rPr>
      </w:pPr>
      <w:r w:rsidRPr="000839A4">
        <w:rPr>
          <w:szCs w:val="24"/>
        </w:rPr>
        <w:t>j)</w:t>
      </w:r>
      <w:r w:rsidRPr="000839A4">
        <w:rPr>
          <w:szCs w:val="24"/>
        </w:rPr>
        <w:tab/>
        <w:t>ústřední protistranou podle přímo použitelného předpisu Evropské unie upravujícího OTC deriváty, ústřední protistrany a registry obchodních údajů,</w:t>
      </w:r>
    </w:p>
    <w:p w14:paraId="44509A04" w14:textId="77777777" w:rsidR="000839A4" w:rsidRPr="000839A4" w:rsidRDefault="000839A4" w:rsidP="000839A4">
      <w:pPr>
        <w:tabs>
          <w:tab w:val="left" w:pos="357"/>
        </w:tabs>
        <w:spacing w:before="0"/>
        <w:ind w:left="357" w:hanging="357"/>
        <w:rPr>
          <w:szCs w:val="24"/>
        </w:rPr>
      </w:pPr>
      <w:r w:rsidRPr="000839A4">
        <w:rPr>
          <w:szCs w:val="24"/>
        </w:rPr>
        <w:t>k)</w:t>
      </w:r>
      <w:r w:rsidRPr="000839A4">
        <w:rPr>
          <w:szCs w:val="24"/>
        </w:rPr>
        <w:tab/>
        <w:t>centrálním depozitářem podle přímo použitelného předpisu Evropské unie upravujícího zlepšení vypořádání obchodů s cennými papíry v Evropské unii a centrální depozitáře cenných papírů nebo</w:t>
      </w:r>
    </w:p>
    <w:p w14:paraId="63315D6C" w14:textId="77777777" w:rsidR="000839A4" w:rsidRPr="000839A4" w:rsidRDefault="000839A4" w:rsidP="000839A4">
      <w:pPr>
        <w:tabs>
          <w:tab w:val="left" w:pos="357"/>
        </w:tabs>
        <w:spacing w:before="0"/>
        <w:ind w:left="357" w:hanging="357"/>
        <w:rPr>
          <w:szCs w:val="24"/>
        </w:rPr>
      </w:pPr>
      <w:r w:rsidRPr="000839A4">
        <w:rPr>
          <w:szCs w:val="24"/>
        </w:rPr>
        <w:t>l)</w:t>
      </w:r>
      <w:r w:rsidRPr="000839A4">
        <w:rPr>
          <w:szCs w:val="24"/>
        </w:rPr>
        <w:tab/>
        <w:t>poplatníkem, který nemá</w:t>
      </w:r>
    </w:p>
    <w:p w14:paraId="77D9ED7E" w14:textId="77777777" w:rsidR="000839A4" w:rsidRPr="000839A4" w:rsidRDefault="000839A4" w:rsidP="000839A4">
      <w:pPr>
        <w:tabs>
          <w:tab w:val="left" w:pos="357"/>
        </w:tabs>
        <w:spacing w:before="0"/>
        <w:ind w:left="714" w:hanging="357"/>
        <w:rPr>
          <w:szCs w:val="24"/>
        </w:rPr>
      </w:pPr>
      <w:r w:rsidRPr="000839A4">
        <w:rPr>
          <w:szCs w:val="24"/>
        </w:rPr>
        <w:t>1.</w:t>
      </w:r>
      <w:r w:rsidRPr="000839A4">
        <w:rPr>
          <w:szCs w:val="24"/>
        </w:rPr>
        <w:tab/>
        <w:t>přidruženou osobu vymezenou pro účely zdanění ovládané zahraniční společnosti,</w:t>
      </w:r>
    </w:p>
    <w:p w14:paraId="7E79053D" w14:textId="77777777" w:rsidR="000839A4" w:rsidRPr="000839A4" w:rsidRDefault="000839A4" w:rsidP="000839A4">
      <w:pPr>
        <w:tabs>
          <w:tab w:val="left" w:pos="357"/>
        </w:tabs>
        <w:spacing w:before="0"/>
        <w:ind w:left="714" w:hanging="357"/>
        <w:rPr>
          <w:szCs w:val="24"/>
        </w:rPr>
      </w:pPr>
      <w:r w:rsidRPr="000839A4">
        <w:rPr>
          <w:szCs w:val="24"/>
        </w:rPr>
        <w:t>2.</w:t>
      </w:r>
      <w:r w:rsidRPr="000839A4">
        <w:rPr>
          <w:szCs w:val="24"/>
        </w:rPr>
        <w:tab/>
        <w:t>stálou provozovnu a</w:t>
      </w:r>
    </w:p>
    <w:p w14:paraId="03CAE8C7" w14:textId="77777777" w:rsidR="000839A4" w:rsidRPr="000839A4" w:rsidRDefault="000839A4" w:rsidP="000839A4">
      <w:pPr>
        <w:tabs>
          <w:tab w:val="left" w:pos="357"/>
        </w:tabs>
        <w:spacing w:before="0"/>
        <w:ind w:left="714" w:hanging="357"/>
        <w:rPr>
          <w:szCs w:val="24"/>
        </w:rPr>
      </w:pPr>
      <w:r w:rsidRPr="000839A4">
        <w:rPr>
          <w:szCs w:val="24"/>
        </w:rPr>
        <w:t>3.</w:t>
      </w:r>
      <w:r w:rsidRPr="000839A4">
        <w:rPr>
          <w:szCs w:val="24"/>
        </w:rPr>
        <w:tab/>
        <w:t>povinnost podrobit se sestavení konsolidované účetní závěrky podle právních předpisů upravujících účetnictví a není konsolidující účetní jednotkou podle právních předpisů upravujících účetnictví.</w:t>
      </w:r>
    </w:p>
    <w:p w14:paraId="1A50D843" w14:textId="77777777" w:rsidR="000839A4" w:rsidRPr="000839A4" w:rsidRDefault="000839A4" w:rsidP="000839A4">
      <w:pPr>
        <w:keepNext/>
        <w:ind w:firstLine="0"/>
        <w:jc w:val="center"/>
        <w:rPr>
          <w:szCs w:val="24"/>
        </w:rPr>
      </w:pPr>
      <w:r w:rsidRPr="000839A4">
        <w:rPr>
          <w:szCs w:val="24"/>
        </w:rPr>
        <w:lastRenderedPageBreak/>
        <w:t>§ 23g</w:t>
      </w:r>
    </w:p>
    <w:p w14:paraId="2A853E22" w14:textId="77777777" w:rsidR="000839A4" w:rsidRPr="000839A4" w:rsidRDefault="000839A4" w:rsidP="000839A4">
      <w:pPr>
        <w:keepNext/>
        <w:ind w:firstLine="0"/>
        <w:jc w:val="center"/>
        <w:rPr>
          <w:b/>
          <w:szCs w:val="24"/>
        </w:rPr>
      </w:pPr>
      <w:r w:rsidRPr="000839A4">
        <w:rPr>
          <w:b/>
          <w:szCs w:val="24"/>
        </w:rPr>
        <w:t xml:space="preserve"> Zdanění při přemístění majetku bez změny vlastnictví</w:t>
      </w:r>
    </w:p>
    <w:p w14:paraId="54AD763E" w14:textId="77777777" w:rsidR="000839A4" w:rsidRPr="000839A4" w:rsidRDefault="000839A4" w:rsidP="000839A4">
      <w:pPr>
        <w:tabs>
          <w:tab w:val="left" w:pos="851"/>
        </w:tabs>
        <w:spacing w:before="120" w:after="120"/>
        <w:ind w:firstLine="427"/>
        <w:outlineLvl w:val="6"/>
      </w:pPr>
      <w:r w:rsidRPr="000839A4">
        <w:t>(1) Přemístění majetku bez změny vlastnictví z České republiky do zahraničí se pro účely daní z příjmů považuje za úplatný převod takového majetku sobě samému za cenu, která by byla sjednána mezi nespojenými osobami v běžných obchodních vztazích za stejných nebo obdobných podmínek; výsledek hospodaření nebo rozdíl mezi příjmy a výdaji poplatníka daně z příjmů právnických osob se upraví odpovídajícím způsobem.</w:t>
      </w:r>
    </w:p>
    <w:p w14:paraId="1D9E04D6" w14:textId="77777777" w:rsidR="000839A4" w:rsidRPr="000839A4" w:rsidRDefault="000839A4" w:rsidP="000839A4">
      <w:pPr>
        <w:tabs>
          <w:tab w:val="left" w:pos="851"/>
        </w:tabs>
        <w:spacing w:before="120" w:after="120"/>
        <w:ind w:firstLine="427"/>
        <w:outlineLvl w:val="6"/>
      </w:pPr>
      <w:r w:rsidRPr="000839A4">
        <w:t>(2) Přemístěním majetku bez změny vlastnictví z České republiky do zahraničí se pro účely daní z příjmů rozumí přeřazení majetku</w:t>
      </w:r>
    </w:p>
    <w:p w14:paraId="522C5730"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poplatníka daně z příjmů právnických osob, který je daňovým rezidentem České republiky, z České republiky do jeho stálé provozovny umístěné v zahraničí, pokud by v důsledku tohoto přeřazení pro vyloučení dvojího zdanění příjmů plynoucích z následného úplatného převodu tohoto majetku byla použita metoda vynětí,</w:t>
      </w:r>
    </w:p>
    <w:p w14:paraId="0A19B74A"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poplatníka daně z příjmů právnických osob, který je daňovým nerezidentem, ze stálé provozovny umístěné v České republice do zahraničí, pokud by se v důsledku tohoto přeřazení na příjmy plynoucí z následného úplatného převodu tohoto majetku nevztahovala daňová povinnost v České republice,</w:t>
      </w:r>
    </w:p>
    <w:p w14:paraId="1799461C" w14:textId="77777777" w:rsidR="000839A4" w:rsidRPr="000839A4" w:rsidRDefault="000839A4" w:rsidP="000839A4">
      <w:pPr>
        <w:tabs>
          <w:tab w:val="left" w:pos="357"/>
        </w:tabs>
        <w:spacing w:before="0"/>
        <w:ind w:left="357" w:hanging="357"/>
        <w:rPr>
          <w:szCs w:val="24"/>
        </w:rPr>
      </w:pPr>
      <w:r w:rsidRPr="000839A4">
        <w:rPr>
          <w:szCs w:val="24"/>
        </w:rPr>
        <w:t>c)</w:t>
      </w:r>
      <w:r w:rsidRPr="000839A4">
        <w:rPr>
          <w:szCs w:val="24"/>
        </w:rPr>
        <w:tab/>
        <w:t>spojené s přemístěním daňového rezidentství poplatníka daně z příjmů právnických osob z České republiky do zahraničí, pokud by se v důsledku tohoto přeřazení na příjmy plynoucí z následného úplatného převodu tohoto majetku nevztahovala daňová povinnost v České republice.</w:t>
      </w:r>
    </w:p>
    <w:p w14:paraId="6E236ACC" w14:textId="77777777" w:rsidR="000839A4" w:rsidRPr="000839A4" w:rsidRDefault="000839A4" w:rsidP="000839A4">
      <w:pPr>
        <w:tabs>
          <w:tab w:val="left" w:pos="851"/>
        </w:tabs>
        <w:spacing w:before="120" w:after="120"/>
        <w:ind w:firstLine="427"/>
        <w:outlineLvl w:val="6"/>
      </w:pPr>
      <w:r w:rsidRPr="000839A4">
        <w:t>(3) Za úplatný převod majetku sobě samému se nepovažuje přemístění majetku bez změny vlastnictví z České republiky do zahraničí, pokud lze důvodně předpokládat, že do 12 měsíců od tohoto přemístění majetku dojde k jeho přemístění zpět do České republiky, a jedná se o přemístění majetku</w:t>
      </w:r>
    </w:p>
    <w:p w14:paraId="5FC51103"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související s financováním cenných papírů,</w:t>
      </w:r>
    </w:p>
    <w:p w14:paraId="262A9880"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poskytovaného jako finanční kolaterál nebo</w:t>
      </w:r>
    </w:p>
    <w:p w14:paraId="4B293C5E" w14:textId="77777777" w:rsidR="000839A4" w:rsidRPr="000839A4" w:rsidRDefault="000839A4" w:rsidP="000839A4">
      <w:pPr>
        <w:tabs>
          <w:tab w:val="left" w:pos="357"/>
        </w:tabs>
        <w:spacing w:before="0"/>
        <w:ind w:left="357" w:hanging="357"/>
        <w:rPr>
          <w:szCs w:val="24"/>
        </w:rPr>
      </w:pPr>
      <w:r w:rsidRPr="000839A4">
        <w:rPr>
          <w:szCs w:val="24"/>
        </w:rPr>
        <w:t>c)</w:t>
      </w:r>
      <w:r w:rsidRPr="000839A4">
        <w:rPr>
          <w:szCs w:val="24"/>
        </w:rPr>
        <w:tab/>
        <w:t>pro splnění právním předpisem předepsaného požadavku kapitálové přiměřenosti nebo za účelem právním předpisem předepsaného řízení rizika likvidity.</w:t>
      </w:r>
    </w:p>
    <w:p w14:paraId="07FDC223" w14:textId="77777777" w:rsidR="000839A4" w:rsidRPr="000839A4" w:rsidRDefault="000839A4" w:rsidP="000839A4">
      <w:pPr>
        <w:tabs>
          <w:tab w:val="left" w:pos="851"/>
        </w:tabs>
        <w:spacing w:before="120" w:after="120"/>
        <w:ind w:firstLine="427"/>
        <w:outlineLvl w:val="6"/>
      </w:pPr>
      <w:r w:rsidRPr="000839A4">
        <w:t xml:space="preserve">(4) Pokud není v případě podle odstavce 3 splněna podmínka přemístění majetku zpět do České republiky, považuje se přemístění majetku bez změny vlastnictví z České republiky do zahraničí za úplatný převod sobě samému uskutečněný v posledním zdaňovacím období </w:t>
      </w:r>
      <w:r w:rsidRPr="000839A4">
        <w:rPr>
          <w:strike/>
        </w:rPr>
        <w:t>nebo období, za které se podává daňové přiznání</w:t>
      </w:r>
      <w:r w:rsidRPr="000839A4">
        <w:t>, ve kterém mohla být tato podmínka splněna.</w:t>
      </w:r>
    </w:p>
    <w:p w14:paraId="2D0D5FFB" w14:textId="77777777" w:rsidR="000839A4" w:rsidRPr="000839A4" w:rsidRDefault="000839A4" w:rsidP="000839A4">
      <w:pPr>
        <w:tabs>
          <w:tab w:val="left" w:pos="851"/>
        </w:tabs>
        <w:spacing w:before="120" w:after="120"/>
        <w:ind w:firstLine="427"/>
        <w:outlineLvl w:val="6"/>
      </w:pPr>
      <w:r w:rsidRPr="000839A4">
        <w:t>(5) Přeřazení majetku bez změny vlastnictví z jiného členského státu Evropské unie do České republiky, které podléhá v tomto členském státě zdanění při přemístění majetku bez změny vlastnictví, se považuje za úplatné nabytí za cenu, která by byla sjednána mezi nespojenými osobami v běžných obchodních vztazích za stejných nebo obdobných podmínek; přitom u</w:t>
      </w:r>
    </w:p>
    <w:p w14:paraId="7527DA8D" w14:textId="77777777" w:rsidR="000839A4" w:rsidRPr="000839A4" w:rsidRDefault="000839A4" w:rsidP="000839A4">
      <w:pPr>
        <w:tabs>
          <w:tab w:val="left" w:pos="357"/>
        </w:tabs>
        <w:spacing w:before="0"/>
        <w:ind w:left="357" w:hanging="357"/>
        <w:rPr>
          <w:szCs w:val="24"/>
        </w:rPr>
      </w:pPr>
      <w:r w:rsidRPr="000839A4">
        <w:rPr>
          <w:szCs w:val="24"/>
        </w:rPr>
        <w:t>a)</w:t>
      </w:r>
      <w:r w:rsidRPr="000839A4">
        <w:rPr>
          <w:strike/>
          <w:szCs w:val="24"/>
        </w:rPr>
        <w:tab/>
        <w:t>hmotného</w:t>
      </w:r>
      <w:r w:rsidRPr="000839A4">
        <w:rPr>
          <w:szCs w:val="24"/>
        </w:rPr>
        <w:t xml:space="preserve"> </w:t>
      </w:r>
      <w:r w:rsidRPr="000839A4">
        <w:rPr>
          <w:strike/>
          <w:szCs w:val="24"/>
        </w:rPr>
        <w:t>se postupuje podle § 32c s výjimkou jeho odstavce 2</w:t>
      </w:r>
      <w:r w:rsidRPr="000839A4">
        <w:rPr>
          <w:szCs w:val="24"/>
        </w:rPr>
        <w:t xml:space="preserve"> </w:t>
      </w:r>
      <w:r w:rsidRPr="000839A4">
        <w:rPr>
          <w:b/>
          <w:szCs w:val="24"/>
        </w:rPr>
        <w:t>daňově odpisovaného aktiva</w:t>
      </w:r>
      <w:r w:rsidRPr="000839A4">
        <w:rPr>
          <w:szCs w:val="24"/>
        </w:rPr>
        <w:t xml:space="preserve"> </w:t>
      </w:r>
      <w:r w:rsidRPr="000839A4">
        <w:rPr>
          <w:b/>
          <w:szCs w:val="24"/>
        </w:rPr>
        <w:t xml:space="preserve">se postupuje, jako by se daňová hodnota </w:t>
      </w:r>
      <w:proofErr w:type="gramStart"/>
      <w:r w:rsidRPr="000839A4">
        <w:rPr>
          <w:b/>
          <w:szCs w:val="24"/>
        </w:rPr>
        <w:t>aktiva  rovnala</w:t>
      </w:r>
      <w:proofErr w:type="gramEnd"/>
      <w:r w:rsidRPr="000839A4">
        <w:rPr>
          <w:b/>
          <w:szCs w:val="24"/>
        </w:rPr>
        <w:t xml:space="preserve"> zahraniční daňové hodnotě přepočítané kurzem pro přepočet daně pro příslušný den </w:t>
      </w:r>
      <w:r w:rsidRPr="000839A4">
        <w:rPr>
          <w:szCs w:val="24"/>
        </w:rPr>
        <w:t xml:space="preserve">s tím, že místo </w:t>
      </w:r>
      <w:r w:rsidRPr="000839A4">
        <w:rPr>
          <w:strike/>
          <w:szCs w:val="24"/>
        </w:rPr>
        <w:t>přepočtené zahraniční ceny</w:t>
      </w:r>
      <w:r w:rsidRPr="000839A4">
        <w:rPr>
          <w:szCs w:val="24"/>
        </w:rPr>
        <w:t xml:space="preserve"> </w:t>
      </w:r>
      <w:r w:rsidRPr="000839A4">
        <w:rPr>
          <w:b/>
          <w:szCs w:val="24"/>
        </w:rPr>
        <w:t>zahraniční daňové hodnoty přepočítané kurzem pro přepočet daně pro příslušný den</w:t>
      </w:r>
      <w:r w:rsidRPr="000839A4">
        <w:rPr>
          <w:szCs w:val="24"/>
        </w:rPr>
        <w:t xml:space="preserve"> se použije cena, která by byla sjednána mezi nespojenými osobami v běžných obchodních vztazích za stejných nebo obdobných podmínek, přepočtená na měnu účetnictví </w:t>
      </w:r>
      <w:r w:rsidRPr="000839A4">
        <w:rPr>
          <w:strike/>
          <w:szCs w:val="24"/>
        </w:rPr>
        <w:t xml:space="preserve">obecným kurzem podle zákona upravujícího </w:t>
      </w:r>
      <w:r w:rsidRPr="000839A4">
        <w:rPr>
          <w:strike/>
          <w:szCs w:val="24"/>
        </w:rPr>
        <w:lastRenderedPageBreak/>
        <w:t>účetnictví</w:t>
      </w:r>
      <w:r w:rsidRPr="000839A4">
        <w:rPr>
          <w:szCs w:val="24"/>
        </w:rPr>
        <w:t xml:space="preserve"> </w:t>
      </w:r>
      <w:r w:rsidRPr="000839A4">
        <w:rPr>
          <w:b/>
          <w:szCs w:val="24"/>
        </w:rPr>
        <w:t xml:space="preserve">kurzem pro přepočet na měnu účetnictví </w:t>
      </w:r>
      <w:r w:rsidRPr="000839A4">
        <w:rPr>
          <w:szCs w:val="24"/>
        </w:rPr>
        <w:t xml:space="preserve">pro den přeřazení, není-li tato cena v měně účetnictví, </w:t>
      </w:r>
    </w:p>
    <w:p w14:paraId="14F8402C" w14:textId="77777777" w:rsidR="000839A4" w:rsidRPr="000839A4" w:rsidRDefault="000839A4" w:rsidP="000839A4">
      <w:pPr>
        <w:tabs>
          <w:tab w:val="left" w:pos="357"/>
        </w:tabs>
        <w:spacing w:before="0"/>
        <w:ind w:left="357" w:hanging="357"/>
        <w:rPr>
          <w:strike/>
          <w:szCs w:val="24"/>
        </w:rPr>
      </w:pPr>
      <w:r w:rsidRPr="000839A4">
        <w:rPr>
          <w:strike/>
          <w:szCs w:val="24"/>
        </w:rPr>
        <w:t>b)</w:t>
      </w:r>
      <w:r w:rsidRPr="000839A4">
        <w:rPr>
          <w:strike/>
          <w:szCs w:val="24"/>
        </w:rPr>
        <w:tab/>
        <w:t>majetku odpisovaného pouze podle právních předpisů upravujících účetnictví, jehož účetní odpisy by byly výdajem na dosažení, zajištění a udržení zdanitelných příjmů, se výsledek hospodaření nebo rozdíl mezi příjmy a výdaji sníží o cenu, která by byla sjednána mezi nespojenými osobami v běžných obchodních vztazích za stejných nebo obdobných podmínek, přepočtenou na měnu účetnictví obecným kurzem podle zákona upravujícího účetnictví pro den přeřazení, není-li tato cena v měně účetnictví;  účetní odpisy tohoto majetku nejsou výdajem na dosažení, zajištění a udržení zdanitelných příjmů,</w:t>
      </w:r>
    </w:p>
    <w:p w14:paraId="12C28FA9" w14:textId="77777777" w:rsidR="000839A4" w:rsidRPr="000839A4" w:rsidRDefault="000839A4" w:rsidP="000839A4">
      <w:pPr>
        <w:tabs>
          <w:tab w:val="left" w:pos="357"/>
        </w:tabs>
        <w:spacing w:before="0"/>
        <w:ind w:left="357" w:hanging="357"/>
        <w:rPr>
          <w:szCs w:val="24"/>
        </w:rPr>
      </w:pPr>
      <w:r w:rsidRPr="000839A4">
        <w:rPr>
          <w:strike/>
          <w:szCs w:val="24"/>
        </w:rPr>
        <w:t>c)</w:t>
      </w:r>
      <w:r w:rsidRPr="000839A4">
        <w:rPr>
          <w:b/>
          <w:szCs w:val="24"/>
        </w:rPr>
        <w:t>b)</w:t>
      </w:r>
      <w:r w:rsidRPr="000839A4">
        <w:rPr>
          <w:szCs w:val="24"/>
        </w:rPr>
        <w:t xml:space="preserve"> cenného papíru oceňovaného podle právních předpisů upravujících účetnictví reálnou hodnotou, u kterého oceňovací rozdíl ze změny reálné hodnoty ovlivňuje výsledek hospodaření, se výsledek hospodaření nebo rozdíl mezi příjmy a výdaji sníží o kladný rozdíl mezi cenou, která by byla sjednána mezi nespojenými osobami v běžných obchodních vztazích za stejných nebo obdobných podmínek, přepočtenou na měnu účetnictví </w:t>
      </w:r>
      <w:r w:rsidRPr="000839A4">
        <w:rPr>
          <w:strike/>
          <w:szCs w:val="24"/>
        </w:rPr>
        <w:t>obecným kurzem podle zákona upravujícího účetnictví</w:t>
      </w:r>
      <w:r w:rsidRPr="000839A4">
        <w:rPr>
          <w:szCs w:val="24"/>
        </w:rPr>
        <w:t xml:space="preserve"> </w:t>
      </w:r>
      <w:r w:rsidRPr="000839A4">
        <w:rPr>
          <w:b/>
          <w:noProof/>
          <w:szCs w:val="24"/>
        </w:rPr>
        <w:t>kurzem pro přepočet na měnu účetnictví</w:t>
      </w:r>
      <w:r w:rsidRPr="000839A4">
        <w:rPr>
          <w:szCs w:val="24"/>
        </w:rPr>
        <w:t xml:space="preserve"> pro den přeřazení, není-li tato cena v měně účetnictví, a hodnotou tohoto cenného papíru zachycenou v účetnictví v okamžiku přeřazení majetku bez změny vlastnictví, nebo zvýší o záporný rozdíl mezi těmito veličinami; výsledek hospodaření nebo rozdíl mezi příjmy a výdaji se neupravuje u cenného papíru, u kterého by byl příjem z jeho převodu osvobozen, </w:t>
      </w:r>
    </w:p>
    <w:p w14:paraId="4D0DF84C" w14:textId="77777777" w:rsidR="000839A4" w:rsidRPr="000839A4" w:rsidRDefault="000839A4" w:rsidP="000839A4">
      <w:pPr>
        <w:tabs>
          <w:tab w:val="left" w:pos="357"/>
        </w:tabs>
        <w:spacing w:before="0"/>
        <w:ind w:left="357" w:hanging="357"/>
        <w:rPr>
          <w:szCs w:val="24"/>
        </w:rPr>
      </w:pPr>
      <w:r w:rsidRPr="000839A4">
        <w:rPr>
          <w:strike/>
          <w:szCs w:val="24"/>
        </w:rPr>
        <w:t>d)</w:t>
      </w:r>
      <w:r w:rsidRPr="000839A4">
        <w:rPr>
          <w:b/>
          <w:szCs w:val="24"/>
        </w:rPr>
        <w:t>c)</w:t>
      </w:r>
      <w:r w:rsidRPr="000839A4">
        <w:rPr>
          <w:szCs w:val="24"/>
        </w:rPr>
        <w:t xml:space="preserve"> cenného papíru oceňovaného podle právních předpisů upravujících účetnictví reálnou hodnotou, u kterého se oceňovací rozdíl ze změny reálné hodnoty účtuje prostřednictvím rozvahových účtů, se při pozbytí tohoto cenného papíru výsledek hospodaření nebo rozdíl mezi příjmy a výdaji sníží o kladný rozdíl mezi cenou, která by byla sjednána mezi nespojenými osobami v běžných obchodních vztazích za stejných nebo obdobných podmínek v okamžiku přeřazení majetku bez změny vlastnictví, přepočtenou na měnu účetnictví </w:t>
      </w:r>
      <w:r w:rsidRPr="000839A4">
        <w:rPr>
          <w:strike/>
          <w:szCs w:val="24"/>
        </w:rPr>
        <w:t>obecným kurzem podle zákona upravujícího účetnictví</w:t>
      </w:r>
      <w:r w:rsidRPr="000839A4">
        <w:rPr>
          <w:szCs w:val="24"/>
        </w:rPr>
        <w:t xml:space="preserve"> </w:t>
      </w:r>
      <w:r w:rsidRPr="000839A4">
        <w:rPr>
          <w:b/>
          <w:noProof/>
          <w:szCs w:val="24"/>
        </w:rPr>
        <w:t>kurzem pro přepočet na měnu účetnictví</w:t>
      </w:r>
      <w:r w:rsidRPr="000839A4">
        <w:rPr>
          <w:szCs w:val="24"/>
        </w:rPr>
        <w:t xml:space="preserve"> pro den přeřazení, není-li tato cena v měně účetnictví, a hodnotou tohoto cenného papíru zachycenou v účetnictví v okamžiku pozbytí tohoto cenného papíru, nebo zvýší o záporný rozdíl mezi těmito veličinami; výsledek hospodaření nebo rozdíl mezi příjmy a výdaji se neupravuje, pokud při pozbytí tohoto cenného papíru jeho hodnota zachycená v účetnictví neovlivňuje základ daně.</w:t>
      </w:r>
    </w:p>
    <w:p w14:paraId="2BFB5467" w14:textId="77777777" w:rsidR="000839A4" w:rsidRPr="000839A4" w:rsidRDefault="000839A4" w:rsidP="000839A4">
      <w:pPr>
        <w:keepNext/>
        <w:ind w:firstLine="0"/>
        <w:jc w:val="center"/>
        <w:rPr>
          <w:szCs w:val="24"/>
        </w:rPr>
      </w:pPr>
      <w:r w:rsidRPr="000839A4">
        <w:rPr>
          <w:szCs w:val="24"/>
        </w:rPr>
        <w:t>§ 23h</w:t>
      </w:r>
    </w:p>
    <w:p w14:paraId="63E1B042" w14:textId="77777777" w:rsidR="000839A4" w:rsidRPr="000839A4" w:rsidRDefault="000839A4" w:rsidP="000839A4">
      <w:pPr>
        <w:keepNext/>
        <w:ind w:firstLine="0"/>
        <w:jc w:val="center"/>
        <w:rPr>
          <w:b/>
          <w:szCs w:val="24"/>
        </w:rPr>
      </w:pPr>
      <w:r w:rsidRPr="000839A4">
        <w:rPr>
          <w:b/>
          <w:szCs w:val="24"/>
        </w:rPr>
        <w:t>Řešení důsledků rozdílné právní kvalifikace</w:t>
      </w:r>
    </w:p>
    <w:p w14:paraId="6433C0B2" w14:textId="77777777" w:rsidR="000839A4" w:rsidRPr="000839A4" w:rsidRDefault="000839A4" w:rsidP="000839A4">
      <w:pPr>
        <w:tabs>
          <w:tab w:val="left" w:pos="851"/>
        </w:tabs>
        <w:spacing w:before="120" w:after="120"/>
        <w:ind w:firstLine="427"/>
        <w:outlineLvl w:val="6"/>
      </w:pPr>
      <w:r w:rsidRPr="000839A4">
        <w:t>(1) Pokud v důsledku rozdílné právní kvalifikace právní skutečnosti výdaj nebo jiná položka snižující výsledek hospodaření nebo rozdíl mezi příjmy a výdaji snižuje základ daně přidružených osob více než jednou a v souvislosti s tímto vícenásobným snížením nedochází k vícenásobnému zahrnutí odpovídajícího příjmu do základu daně těchto přidružených osob, zvýší se výsledek hospodaření nebo rozdíl mezi příjmy a výdaji poplatníka daně z příjmů právnických osob, který je takovou přidruženou osobou, o částku odpovídající snížení základu daně v případě, že</w:t>
      </w:r>
    </w:p>
    <w:p w14:paraId="30745C02"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státem, ve kterém tato položka vzniká nebo má zdroj (dále jen „stát zdroje“) není Česká republika, nebo</w:t>
      </w:r>
    </w:p>
    <w:p w14:paraId="7AFA8F6A"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státem zdroje je Česká republika a stát, ve kterém také dochází ke snížení základu daně o tuto položku, neuplatňuje postup obdobný postupu podle tohoto odstavce.</w:t>
      </w:r>
    </w:p>
    <w:p w14:paraId="795CDBC7" w14:textId="77777777" w:rsidR="000839A4" w:rsidRPr="000839A4" w:rsidRDefault="000839A4" w:rsidP="000839A4">
      <w:pPr>
        <w:tabs>
          <w:tab w:val="left" w:pos="851"/>
        </w:tabs>
        <w:spacing w:before="120" w:after="120"/>
        <w:ind w:firstLine="427"/>
        <w:outlineLvl w:val="6"/>
      </w:pPr>
      <w:proofErr w:type="gramStart"/>
      <w:r w:rsidRPr="000839A4">
        <w:t>(2) Pokud</w:t>
      </w:r>
      <w:proofErr w:type="gramEnd"/>
      <w:r w:rsidRPr="000839A4">
        <w:t xml:space="preserve"> v důsledku rozdílné právní kvalifikace právní skutečnosti výdaj z důvodu platby mezi přidruženými osobami snižuje základ daně alespoň jedné přidružené osoby a současně </w:t>
      </w:r>
      <w:r w:rsidRPr="000839A4">
        <w:lastRenderedPageBreak/>
        <w:t xml:space="preserve">nedochází k zahrnutí příjmu plynoucího z této platby do základu daně přidružené osoby, které plyne, zvýší se výsledek hospodaření nebo rozdíl mezi příjmy a výdaji poplatníka daně z příjmů právnických osob, který je přidruženou osobou, u </w:t>
      </w:r>
      <w:proofErr w:type="gramStart"/>
      <w:r w:rsidRPr="000839A4">
        <w:t>které</w:t>
      </w:r>
      <w:proofErr w:type="gramEnd"/>
    </w:p>
    <w:p w14:paraId="7A684E4F"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došlo ke snížení základu daně, o částku odpovídající snížení základu daně v rozsahu, v jakém nedochází k odpovídajícímu zahrnutí příjmu do základu daně v případě, že státem zdroje je Česká republika,</w:t>
      </w:r>
    </w:p>
    <w:p w14:paraId="0E9137FF"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nedošlo k zahrnutí příjmu do základu daně, o částku odpovídající nezahrnutému příjmu v případě, že státem zdroje není Česká republika a stát, ve kterém tato platba snižuje základ daně, neuplatňuje postup obdobný postupu podle tohoto odstavce.</w:t>
      </w:r>
    </w:p>
    <w:p w14:paraId="741DD886" w14:textId="77777777" w:rsidR="000839A4" w:rsidRPr="000839A4" w:rsidRDefault="000839A4" w:rsidP="000839A4">
      <w:pPr>
        <w:tabs>
          <w:tab w:val="left" w:pos="851"/>
        </w:tabs>
        <w:spacing w:before="120" w:after="120"/>
        <w:ind w:firstLine="427"/>
        <w:outlineLvl w:val="6"/>
      </w:pPr>
      <w:r w:rsidRPr="000839A4" w:rsidDel="0051560E">
        <w:t xml:space="preserve"> </w:t>
      </w:r>
      <w:r w:rsidRPr="000839A4">
        <w:t>(3) Pro účely odstavců 1 a 2 se na příjem hledí jako na zahrnutý do základu daně, pokud</w:t>
      </w:r>
    </w:p>
    <w:p w14:paraId="380870EF"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 xml:space="preserve">došlo k jeho zahrnutí do základu daně nejpozději do 12 měsíců od konce zdaňovacího období </w:t>
      </w:r>
      <w:r w:rsidRPr="000839A4">
        <w:rPr>
          <w:strike/>
          <w:szCs w:val="24"/>
        </w:rPr>
        <w:t>nebo období, za které se podává daňové přiznání</w:t>
      </w:r>
      <w:r w:rsidRPr="000839A4">
        <w:rPr>
          <w:szCs w:val="24"/>
        </w:rPr>
        <w:t>, ve kterém výdaj vznikl, nebo</w:t>
      </w:r>
    </w:p>
    <w:p w14:paraId="36E15C2A"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lze důvodně očekávat, že bude v přiměřené době zahrnut do základu daně v některém budoucím zdaňovacím období a podmínky finančního nástroje odpovídají podmínkám, které by spolu sjednaly osoby, které nejsou přidruženými osobami.</w:t>
      </w:r>
    </w:p>
    <w:p w14:paraId="7E997AD7" w14:textId="77777777" w:rsidR="000839A4" w:rsidRPr="000839A4" w:rsidRDefault="000839A4" w:rsidP="000839A4">
      <w:pPr>
        <w:tabs>
          <w:tab w:val="left" w:pos="851"/>
        </w:tabs>
        <w:spacing w:before="120" w:after="120"/>
        <w:ind w:firstLine="427"/>
        <w:outlineLvl w:val="6"/>
      </w:pPr>
      <w:r w:rsidRPr="000839A4">
        <w:t>(4) Pokud je výdaj nebo jiná položka snižující výsledek hospodaření nebo rozdíl mezi příjmy a výdaji přidružené osoby zdrojem jiné položky snižující základ daně jiné přidružené osoby v situacích podle odstavce 1 nebo 2, výsledek hospodaření nebo rozdíl mezi příjmy a výdaji poplatníka daně z příjmů právnických osob, který je přidruženou osobou, se zvýší o částku, která odpovídá snížení základu daně touto položkou, a to v rozsahu, v jakém nedošlo v jiném státě k úpravě obdobné odstavci 1 nebo 2.</w:t>
      </w:r>
    </w:p>
    <w:p w14:paraId="610A8429" w14:textId="77777777" w:rsidR="000839A4" w:rsidRPr="000839A4" w:rsidRDefault="000839A4" w:rsidP="000839A4">
      <w:pPr>
        <w:tabs>
          <w:tab w:val="left" w:pos="851"/>
        </w:tabs>
        <w:spacing w:before="120" w:after="120"/>
        <w:ind w:firstLine="427"/>
        <w:outlineLvl w:val="6"/>
      </w:pPr>
      <w:r w:rsidRPr="000839A4">
        <w:t>(5) Přidruženými osobami se pro účely řešení důsledků rozdílné právní kvalifikace rozumí přidružené osoby vymezené pro účely zdanění ovládané zahraniční společnosti s tím, že podmínka hranice podílu na základním kapitálu, hlasovacích právech nebo zisku je alespoň 50 %, jinak spojené osoby a poplatník daně z příjmů právnických osob a jeho stálá provozovna. S osobami, které z hlediska hlasovacích práv nebo podílu na základním kapitálu jednají společně, se pro účely určení přidružených osob zachází, jako by měly na jiné osobě účast v rozsahu veškerých hlasovacích práv nebo podílů na základním kapitálu, které společně jednající osoby drží.</w:t>
      </w:r>
    </w:p>
    <w:p w14:paraId="6B7D150C" w14:textId="77777777" w:rsidR="000839A4" w:rsidRPr="000839A4" w:rsidRDefault="000839A4" w:rsidP="000839A4">
      <w:pPr>
        <w:keepNext/>
        <w:spacing w:before="120"/>
        <w:ind w:firstLine="0"/>
        <w:jc w:val="center"/>
        <w:outlineLvl w:val="7"/>
        <w:rPr>
          <w:b/>
        </w:rPr>
      </w:pPr>
      <w:r w:rsidRPr="000839A4">
        <w:rPr>
          <w:b/>
        </w:rPr>
        <w:t>Hlava V</w:t>
      </w:r>
    </w:p>
    <w:p w14:paraId="389D6CBD" w14:textId="77777777" w:rsidR="000839A4" w:rsidRPr="000839A4" w:rsidRDefault="000839A4" w:rsidP="000839A4">
      <w:pPr>
        <w:keepNext/>
        <w:spacing w:before="120"/>
        <w:ind w:firstLine="0"/>
        <w:jc w:val="center"/>
        <w:outlineLvl w:val="7"/>
      </w:pPr>
      <w:r w:rsidRPr="000839A4">
        <w:rPr>
          <w:b/>
          <w:bCs/>
        </w:rPr>
        <w:t>Zvláštní ustanovení o kursových rozdílech</w:t>
      </w:r>
    </w:p>
    <w:p w14:paraId="0A616069" w14:textId="77777777" w:rsidR="000839A4" w:rsidRPr="000839A4" w:rsidRDefault="000839A4" w:rsidP="000839A4">
      <w:pPr>
        <w:keepNext/>
        <w:ind w:firstLine="0"/>
        <w:jc w:val="center"/>
        <w:rPr>
          <w:szCs w:val="24"/>
        </w:rPr>
      </w:pPr>
      <w:r w:rsidRPr="000839A4">
        <w:rPr>
          <w:szCs w:val="24"/>
        </w:rPr>
        <w:t>§ 23i</w:t>
      </w:r>
    </w:p>
    <w:p w14:paraId="54BC5623" w14:textId="77777777" w:rsidR="000839A4" w:rsidRPr="000839A4" w:rsidRDefault="000839A4" w:rsidP="000839A4">
      <w:pPr>
        <w:keepNext/>
        <w:ind w:firstLine="0"/>
        <w:jc w:val="center"/>
        <w:rPr>
          <w:b/>
          <w:szCs w:val="24"/>
        </w:rPr>
      </w:pPr>
      <w:r w:rsidRPr="000839A4">
        <w:rPr>
          <w:b/>
          <w:szCs w:val="24"/>
        </w:rPr>
        <w:t>Kursový rozdíl</w:t>
      </w:r>
    </w:p>
    <w:p w14:paraId="58416D2E" w14:textId="77777777" w:rsidR="000839A4" w:rsidRPr="000839A4" w:rsidRDefault="000839A4" w:rsidP="000839A4">
      <w:pPr>
        <w:tabs>
          <w:tab w:val="left" w:pos="851"/>
        </w:tabs>
        <w:spacing w:before="120" w:after="120"/>
        <w:ind w:firstLine="427"/>
        <w:outlineLvl w:val="6"/>
      </w:pPr>
      <w:r w:rsidRPr="000839A4">
        <w:t xml:space="preserve"> </w:t>
      </w:r>
      <w:proofErr w:type="gramStart"/>
      <w:r w:rsidRPr="000839A4">
        <w:t>(1) Kursový</w:t>
      </w:r>
      <w:proofErr w:type="gramEnd"/>
      <w:r w:rsidRPr="000839A4">
        <w:t xml:space="preserve"> rozdíl se nezahrnuje do základu daně ve zdaňovacím období nebo období, za které se podává daňové přiznání, ve </w:t>
      </w:r>
      <w:proofErr w:type="gramStart"/>
      <w:r w:rsidRPr="000839A4">
        <w:t>kterých</w:t>
      </w:r>
      <w:proofErr w:type="gramEnd"/>
    </w:p>
    <w:p w14:paraId="61067033"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kursový rozdíl není realizován a</w:t>
      </w:r>
    </w:p>
    <w:p w14:paraId="4F0B4358"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poplatník je poplatníkem v režimu vylučování kursových rozdílů.</w:t>
      </w:r>
    </w:p>
    <w:p w14:paraId="7E23799B" w14:textId="77777777" w:rsidR="000839A4" w:rsidRPr="000839A4" w:rsidRDefault="000839A4" w:rsidP="000839A4">
      <w:pPr>
        <w:tabs>
          <w:tab w:val="left" w:pos="851"/>
        </w:tabs>
        <w:spacing w:before="120" w:after="120"/>
        <w:ind w:firstLine="427"/>
        <w:outlineLvl w:val="6"/>
      </w:pPr>
      <w:proofErr w:type="gramStart"/>
      <w:r w:rsidRPr="000839A4">
        <w:t>(2) Poplatníkem</w:t>
      </w:r>
      <w:proofErr w:type="gramEnd"/>
      <w:r w:rsidRPr="000839A4">
        <w:t xml:space="preserve"> v režimu vylučování kursových rozdílů je od prvního dne rozhodného zdaňovacího období nebo období, za které se podává daňové přiznání, poplatník, </w:t>
      </w:r>
      <w:proofErr w:type="gramStart"/>
      <w:r w:rsidRPr="000839A4">
        <w:t>který</w:t>
      </w:r>
      <w:proofErr w:type="gramEnd"/>
    </w:p>
    <w:p w14:paraId="31FD2C11"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je účetní jednotkou s výjimkou poplatníka, který účtuje v soustavě jednoduchého účetnictví,</w:t>
      </w:r>
    </w:p>
    <w:p w14:paraId="58904C49"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není dlužníkem, vůči němuž bylo zahájeno insolvenční řízení,</w:t>
      </w:r>
    </w:p>
    <w:p w14:paraId="32CB6AA1" w14:textId="77777777" w:rsidR="000839A4" w:rsidRPr="000839A4" w:rsidRDefault="000839A4" w:rsidP="000839A4">
      <w:pPr>
        <w:tabs>
          <w:tab w:val="left" w:pos="357"/>
        </w:tabs>
        <w:spacing w:before="0"/>
        <w:ind w:left="357" w:hanging="357"/>
        <w:rPr>
          <w:szCs w:val="24"/>
        </w:rPr>
      </w:pPr>
      <w:r w:rsidRPr="000839A4">
        <w:rPr>
          <w:szCs w:val="24"/>
        </w:rPr>
        <w:t>c)</w:t>
      </w:r>
      <w:r w:rsidRPr="000839A4">
        <w:rPr>
          <w:szCs w:val="24"/>
        </w:rPr>
        <w:tab/>
        <w:t>není v likvidaci a</w:t>
      </w:r>
    </w:p>
    <w:p w14:paraId="40C681B9" w14:textId="77777777" w:rsidR="000839A4" w:rsidRPr="000839A4" w:rsidRDefault="000839A4" w:rsidP="000839A4">
      <w:pPr>
        <w:tabs>
          <w:tab w:val="left" w:pos="357"/>
        </w:tabs>
        <w:spacing w:before="0"/>
        <w:ind w:left="357" w:hanging="357"/>
        <w:rPr>
          <w:szCs w:val="24"/>
        </w:rPr>
      </w:pPr>
      <w:r w:rsidRPr="000839A4">
        <w:rPr>
          <w:szCs w:val="24"/>
        </w:rPr>
        <w:t>d)</w:t>
      </w:r>
      <w:r w:rsidRPr="000839A4">
        <w:rPr>
          <w:szCs w:val="24"/>
        </w:rPr>
        <w:tab/>
        <w:t>podá správci daně oznámení o vstupu do režimu vylučování kursových rozdílů.</w:t>
      </w:r>
    </w:p>
    <w:p w14:paraId="1A6B6AE1" w14:textId="77777777" w:rsidR="000839A4" w:rsidRPr="000839A4" w:rsidRDefault="000839A4" w:rsidP="000839A4">
      <w:pPr>
        <w:tabs>
          <w:tab w:val="left" w:pos="851"/>
        </w:tabs>
        <w:spacing w:before="120" w:after="120"/>
        <w:ind w:firstLine="427"/>
        <w:outlineLvl w:val="6"/>
      </w:pPr>
      <w:r w:rsidRPr="000839A4">
        <w:lastRenderedPageBreak/>
        <w:t>(3) Poplatník přestává být poplatníkem v režimu vylučování kursových rozdílů uplynutím</w:t>
      </w:r>
    </w:p>
    <w:p w14:paraId="25EFF6F5"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druhého zdaňovacího období nebo období, za které se podává daňové přiznání, následujících po zdaňovacím období nebo období, za které se podává daňové přiznání, ve kterých správci daně oznámí vystoupení z režimu vylučování kursových rozdílů,</w:t>
      </w:r>
    </w:p>
    <w:p w14:paraId="01E1D7D8"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období, za které se podává daňové přiznání, podle § 38ma odst. 1 písm. a), b) a d) až f), nebo zdaňovacího období, které končí stejným dnem jako takové období,</w:t>
      </w:r>
    </w:p>
    <w:p w14:paraId="50222DD8" w14:textId="77777777" w:rsidR="000839A4" w:rsidRPr="000839A4" w:rsidRDefault="000839A4" w:rsidP="000839A4">
      <w:pPr>
        <w:tabs>
          <w:tab w:val="left" w:pos="357"/>
        </w:tabs>
        <w:spacing w:before="0"/>
        <w:ind w:left="357" w:hanging="357"/>
        <w:rPr>
          <w:szCs w:val="24"/>
        </w:rPr>
      </w:pPr>
      <w:r w:rsidRPr="000839A4">
        <w:rPr>
          <w:szCs w:val="24"/>
        </w:rPr>
        <w:t>c)</w:t>
      </w:r>
      <w:r w:rsidRPr="000839A4">
        <w:rPr>
          <w:szCs w:val="24"/>
        </w:rPr>
        <w:tab/>
        <w:t>zdaňovacího období nebo části zdaňovacího období, za kterou se podává daňové přiznání, které uplynuly přede dnem</w:t>
      </w:r>
    </w:p>
    <w:p w14:paraId="4A459009" w14:textId="77777777" w:rsidR="000839A4" w:rsidRPr="000839A4" w:rsidRDefault="000839A4" w:rsidP="000839A4">
      <w:pPr>
        <w:tabs>
          <w:tab w:val="left" w:pos="357"/>
        </w:tabs>
        <w:spacing w:before="0"/>
        <w:ind w:left="714" w:hanging="357"/>
        <w:rPr>
          <w:szCs w:val="24"/>
        </w:rPr>
      </w:pPr>
      <w:r w:rsidRPr="000839A4">
        <w:rPr>
          <w:szCs w:val="24"/>
        </w:rPr>
        <w:t>1.</w:t>
      </w:r>
      <w:r w:rsidRPr="000839A4">
        <w:rPr>
          <w:szCs w:val="24"/>
        </w:rPr>
        <w:tab/>
        <w:t>vstupu poplatníka do likvidace,</w:t>
      </w:r>
    </w:p>
    <w:p w14:paraId="69B38E92" w14:textId="77777777" w:rsidR="000839A4" w:rsidRPr="000839A4" w:rsidRDefault="000839A4" w:rsidP="000839A4">
      <w:pPr>
        <w:tabs>
          <w:tab w:val="left" w:pos="357"/>
        </w:tabs>
        <w:spacing w:before="0"/>
        <w:ind w:left="714" w:hanging="357"/>
        <w:rPr>
          <w:szCs w:val="24"/>
        </w:rPr>
      </w:pPr>
      <w:r w:rsidRPr="000839A4">
        <w:rPr>
          <w:szCs w:val="24"/>
        </w:rPr>
        <w:t>2.</w:t>
      </w:r>
      <w:r w:rsidRPr="000839A4">
        <w:rPr>
          <w:szCs w:val="24"/>
        </w:rPr>
        <w:tab/>
        <w:t>účinnosti rozhodnutí o úpadku poplatníka,</w:t>
      </w:r>
    </w:p>
    <w:p w14:paraId="2871670F" w14:textId="77777777" w:rsidR="000839A4" w:rsidRPr="000839A4" w:rsidRDefault="000839A4" w:rsidP="000839A4">
      <w:pPr>
        <w:tabs>
          <w:tab w:val="left" w:pos="357"/>
        </w:tabs>
        <w:spacing w:before="0"/>
        <w:ind w:left="714" w:hanging="357"/>
        <w:rPr>
          <w:szCs w:val="24"/>
        </w:rPr>
      </w:pPr>
      <w:r w:rsidRPr="000839A4">
        <w:rPr>
          <w:szCs w:val="24"/>
        </w:rPr>
        <w:t>3.</w:t>
      </w:r>
      <w:r w:rsidRPr="000839A4">
        <w:rPr>
          <w:szCs w:val="24"/>
        </w:rPr>
        <w:tab/>
        <w:t>zániku poplatníka, který je zrušen bez likvidace, nebo</w:t>
      </w:r>
    </w:p>
    <w:p w14:paraId="218B7322" w14:textId="77777777" w:rsidR="000839A4" w:rsidRPr="000839A4" w:rsidRDefault="000839A4" w:rsidP="000839A4">
      <w:pPr>
        <w:tabs>
          <w:tab w:val="left" w:pos="357"/>
        </w:tabs>
        <w:spacing w:before="0"/>
        <w:ind w:left="714" w:hanging="357"/>
        <w:rPr>
          <w:szCs w:val="24"/>
        </w:rPr>
      </w:pPr>
      <w:r w:rsidRPr="000839A4">
        <w:rPr>
          <w:b/>
          <w:bCs/>
          <w:strike/>
          <w:noProof/>
          <w:color w:val="00B050"/>
          <w:szCs w:val="24"/>
        </w:rPr>
        <mc:AlternateContent>
          <mc:Choice Requires="wps">
            <w:drawing>
              <wp:anchor distT="0" distB="0" distL="114300" distR="114300" simplePos="0" relativeHeight="251694080" behindDoc="1" locked="0" layoutInCell="1" allowOverlap="1" wp14:anchorId="5E32B8AB" wp14:editId="5AE361EB">
                <wp:simplePos x="0" y="0"/>
                <wp:positionH relativeFrom="margin">
                  <wp:posOffset>-88912</wp:posOffset>
                </wp:positionH>
                <wp:positionV relativeFrom="paragraph">
                  <wp:posOffset>168443</wp:posOffset>
                </wp:positionV>
                <wp:extent cx="6003290" cy="379502"/>
                <wp:effectExtent l="0" t="0" r="16510" b="20955"/>
                <wp:wrapNone/>
                <wp:docPr id="19" name="Obdélník 19"/>
                <wp:cNvGraphicFramePr/>
                <a:graphic xmlns:a="http://schemas.openxmlformats.org/drawingml/2006/main">
                  <a:graphicData uri="http://schemas.microsoft.com/office/word/2010/wordprocessingShape">
                    <wps:wsp>
                      <wps:cNvSpPr/>
                      <wps:spPr>
                        <a:xfrm>
                          <a:off x="0" y="0"/>
                          <a:ext cx="6003290" cy="379502"/>
                        </a:xfrm>
                        <a:prstGeom prst="rect">
                          <a:avLst/>
                        </a:prstGeom>
                        <a:solidFill>
                          <a:sysClr val="window" lastClr="FFFFFF"/>
                        </a:solid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720783" id="Obdélník 19" o:spid="_x0000_s1026" style="position:absolute;margin-left:-7pt;margin-top:13.25pt;width:472.7pt;height:29.9pt;z-index:-2516224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" fillcolor="window" strokecolor="#00b050" strokeweight="1pt">
                <w10:wrap anchorx="margin"/>
              </v:rect>
            </w:pict>
          </mc:Fallback>
        </mc:AlternateContent>
      </w:r>
      <w:r w:rsidRPr="000839A4">
        <w:rPr>
          <w:szCs w:val="24"/>
        </w:rPr>
        <w:t>4.</w:t>
      </w:r>
      <w:r w:rsidRPr="000839A4">
        <w:rPr>
          <w:szCs w:val="24"/>
        </w:rPr>
        <w:tab/>
        <w:t>skončení řízení o pozůstalosti,</w:t>
      </w:r>
    </w:p>
    <w:p w14:paraId="7DCC9A2B" w14:textId="77777777" w:rsidR="000839A4" w:rsidRPr="000839A4" w:rsidRDefault="000839A4" w:rsidP="000839A4">
      <w:pPr>
        <w:tabs>
          <w:tab w:val="left" w:pos="357"/>
        </w:tabs>
        <w:spacing w:before="0"/>
        <w:ind w:left="357" w:hanging="357"/>
        <w:rPr>
          <w:szCs w:val="24"/>
        </w:rPr>
      </w:pPr>
      <w:r w:rsidRPr="000839A4">
        <w:rPr>
          <w:szCs w:val="24"/>
        </w:rPr>
        <w:t>d)</w:t>
      </w:r>
      <w:r w:rsidRPr="000839A4">
        <w:rPr>
          <w:szCs w:val="24"/>
        </w:rPr>
        <w:tab/>
        <w:t>posledního zdaňovacího období nebo období, za které se podává daňové přiznání, před přechodem na vedení jednoduchého účetnictví</w:t>
      </w:r>
      <w:r w:rsidRPr="000839A4">
        <w:rPr>
          <w:b/>
          <w:noProof/>
          <w:color w:val="FF0000"/>
          <w:szCs w:val="24"/>
          <w:lang w:val="en-US"/>
        </w:rPr>
        <w:t xml:space="preserve"> </w:t>
      </w:r>
      <w:r w:rsidRPr="000839A4">
        <w:rPr>
          <w:b/>
          <w:noProof/>
          <w:color w:val="00B050"/>
          <w:szCs w:val="24"/>
          <w:lang w:val="en-US"/>
        </w:rPr>
        <w:t>nebo před změnou měny účetnictví</w:t>
      </w:r>
      <w:r w:rsidRPr="000839A4">
        <w:rPr>
          <w:szCs w:val="24"/>
        </w:rPr>
        <w:t>,</w:t>
      </w:r>
    </w:p>
    <w:p w14:paraId="2D435404" w14:textId="77777777" w:rsidR="000839A4" w:rsidRPr="000839A4" w:rsidRDefault="000839A4" w:rsidP="000839A4">
      <w:pPr>
        <w:tabs>
          <w:tab w:val="left" w:pos="357"/>
        </w:tabs>
        <w:spacing w:before="0"/>
        <w:ind w:left="357" w:hanging="357"/>
        <w:rPr>
          <w:szCs w:val="24"/>
        </w:rPr>
      </w:pPr>
      <w:r w:rsidRPr="000839A4">
        <w:rPr>
          <w:szCs w:val="24"/>
        </w:rPr>
        <w:t>e)</w:t>
      </w:r>
      <w:r w:rsidRPr="000839A4">
        <w:rPr>
          <w:szCs w:val="24"/>
        </w:rPr>
        <w:tab/>
        <w:t>posledního zdaňovacího období poplatníka daně z příjmů fyzických osob před</w:t>
      </w:r>
    </w:p>
    <w:p w14:paraId="0AFAE29E" w14:textId="77777777" w:rsidR="000839A4" w:rsidRPr="000839A4" w:rsidRDefault="000839A4" w:rsidP="000839A4">
      <w:pPr>
        <w:tabs>
          <w:tab w:val="left" w:pos="357"/>
        </w:tabs>
        <w:spacing w:before="0"/>
        <w:ind w:left="714" w:hanging="357"/>
        <w:rPr>
          <w:szCs w:val="24"/>
        </w:rPr>
      </w:pPr>
      <w:r w:rsidRPr="000839A4">
        <w:rPr>
          <w:szCs w:val="24"/>
        </w:rPr>
        <w:t>1.</w:t>
      </w:r>
      <w:r w:rsidRPr="000839A4">
        <w:rPr>
          <w:szCs w:val="24"/>
        </w:rPr>
        <w:tab/>
        <w:t>přechodem na vedení daňové evidence,</w:t>
      </w:r>
    </w:p>
    <w:p w14:paraId="55D46D9C" w14:textId="77777777" w:rsidR="000839A4" w:rsidRPr="000839A4" w:rsidRDefault="000839A4" w:rsidP="000839A4">
      <w:pPr>
        <w:tabs>
          <w:tab w:val="left" w:pos="357"/>
        </w:tabs>
        <w:spacing w:before="0"/>
        <w:ind w:left="714" w:hanging="357"/>
        <w:rPr>
          <w:szCs w:val="24"/>
        </w:rPr>
      </w:pPr>
      <w:r w:rsidRPr="000839A4">
        <w:rPr>
          <w:szCs w:val="24"/>
        </w:rPr>
        <w:t>2.</w:t>
      </w:r>
      <w:r w:rsidRPr="000839A4">
        <w:rPr>
          <w:szCs w:val="24"/>
        </w:rPr>
        <w:tab/>
        <w:t>přechodem na vedení záznamů o příjmech a výdajích,</w:t>
      </w:r>
    </w:p>
    <w:p w14:paraId="517DEBF0" w14:textId="77777777" w:rsidR="000839A4" w:rsidRPr="000839A4" w:rsidRDefault="000839A4" w:rsidP="000839A4">
      <w:pPr>
        <w:tabs>
          <w:tab w:val="left" w:pos="357"/>
        </w:tabs>
        <w:spacing w:before="0"/>
        <w:ind w:left="714" w:hanging="357"/>
        <w:rPr>
          <w:szCs w:val="24"/>
        </w:rPr>
      </w:pPr>
      <w:r w:rsidRPr="000839A4">
        <w:rPr>
          <w:szCs w:val="24"/>
        </w:rPr>
        <w:t>3.</w:t>
      </w:r>
      <w:r w:rsidRPr="000839A4">
        <w:rPr>
          <w:szCs w:val="24"/>
        </w:rPr>
        <w:tab/>
        <w:t>změnou způsobu uplatňování výdajů podle § 24 na způsob podle § 7 odst. 7 nebo § 9 odst. 4 nebo</w:t>
      </w:r>
    </w:p>
    <w:p w14:paraId="66D13019" w14:textId="77777777" w:rsidR="000839A4" w:rsidRPr="000839A4" w:rsidRDefault="000839A4" w:rsidP="000839A4">
      <w:pPr>
        <w:tabs>
          <w:tab w:val="left" w:pos="357"/>
        </w:tabs>
        <w:spacing w:before="0"/>
        <w:ind w:left="714" w:hanging="357"/>
        <w:rPr>
          <w:szCs w:val="24"/>
        </w:rPr>
      </w:pPr>
      <w:r w:rsidRPr="000839A4">
        <w:rPr>
          <w:szCs w:val="24"/>
        </w:rPr>
        <w:t>4.</w:t>
      </w:r>
      <w:r w:rsidRPr="000839A4">
        <w:rPr>
          <w:szCs w:val="24"/>
        </w:rPr>
        <w:tab/>
        <w:t>zdaňovacím obdobím, za které je jeho daň rovna paušální dani, a</w:t>
      </w:r>
    </w:p>
    <w:p w14:paraId="022F2E17" w14:textId="77777777" w:rsidR="000839A4" w:rsidRPr="000839A4" w:rsidRDefault="000839A4" w:rsidP="000839A4">
      <w:pPr>
        <w:tabs>
          <w:tab w:val="left" w:pos="357"/>
        </w:tabs>
        <w:spacing w:before="0"/>
        <w:ind w:left="357" w:hanging="357"/>
        <w:rPr>
          <w:szCs w:val="24"/>
        </w:rPr>
      </w:pPr>
      <w:r w:rsidRPr="000839A4">
        <w:rPr>
          <w:szCs w:val="24"/>
        </w:rPr>
        <w:t>f)</w:t>
      </w:r>
      <w:r w:rsidRPr="000839A4">
        <w:rPr>
          <w:szCs w:val="24"/>
        </w:rPr>
        <w:tab/>
        <w:t>zdaňovacího období, ve kterém poplatník daně z příjmů fyzických osob</w:t>
      </w:r>
    </w:p>
    <w:p w14:paraId="6707D742" w14:textId="77777777" w:rsidR="000839A4" w:rsidRPr="000839A4" w:rsidRDefault="000839A4" w:rsidP="000839A4">
      <w:pPr>
        <w:tabs>
          <w:tab w:val="left" w:pos="357"/>
        </w:tabs>
        <w:spacing w:before="0"/>
        <w:ind w:left="714" w:hanging="357"/>
        <w:rPr>
          <w:szCs w:val="24"/>
        </w:rPr>
      </w:pPr>
      <w:r w:rsidRPr="000839A4">
        <w:rPr>
          <w:szCs w:val="24"/>
        </w:rPr>
        <w:t>1.</w:t>
      </w:r>
      <w:r w:rsidRPr="000839A4">
        <w:rPr>
          <w:szCs w:val="24"/>
        </w:rPr>
        <w:tab/>
        <w:t>ukončil činnost, ze které plyne příjem ze samostatné činnosti, nebo nájem, nebo</w:t>
      </w:r>
    </w:p>
    <w:p w14:paraId="32D9F3F1" w14:textId="77777777" w:rsidR="000839A4" w:rsidRPr="000839A4" w:rsidRDefault="000839A4" w:rsidP="000839A4">
      <w:pPr>
        <w:tabs>
          <w:tab w:val="left" w:pos="357"/>
        </w:tabs>
        <w:spacing w:before="0"/>
        <w:ind w:left="714" w:hanging="357"/>
        <w:rPr>
          <w:szCs w:val="24"/>
        </w:rPr>
      </w:pPr>
      <w:r w:rsidRPr="000839A4">
        <w:rPr>
          <w:szCs w:val="24"/>
        </w:rPr>
        <w:t>2.</w:t>
      </w:r>
      <w:r w:rsidRPr="000839A4">
        <w:rPr>
          <w:szCs w:val="24"/>
        </w:rPr>
        <w:tab/>
        <w:t>přerušil činnost, ze které plyne příjem ze samostatné činnosti, nebo nájem, pokud tuto činnost nebo nájem znovu nezahájí do lhůty pro podání daňového přiznání za zdaňovací období, ve kterém tuto činnost nebo nájem přerušil.</w:t>
      </w:r>
    </w:p>
    <w:p w14:paraId="6E7043C8" w14:textId="77777777" w:rsidR="000839A4" w:rsidRPr="000839A4" w:rsidRDefault="000839A4" w:rsidP="000839A4">
      <w:pPr>
        <w:tabs>
          <w:tab w:val="left" w:pos="851"/>
        </w:tabs>
        <w:spacing w:before="120" w:after="120"/>
        <w:ind w:firstLine="427"/>
        <w:outlineLvl w:val="6"/>
      </w:pPr>
      <w:r w:rsidRPr="000839A4">
        <w:t>(4) Ve zdaňovacím období nebo období, za které se podává daňové přiznání, ve kterých je poplatník poplatníkem v režimu vylučování kursových rozdílů a kursový rozdíl je realizován, se výsledek hospodaření upraví o kursové rozdíly související se stejným majetkem nebo závazkem nezahrnuté do základu daně v předcházejících zdaňovacích obdobích a obdobích, za která se podává daňové přiznání.</w:t>
      </w:r>
    </w:p>
    <w:p w14:paraId="63E54AB0" w14:textId="77777777" w:rsidR="000839A4" w:rsidRPr="000839A4" w:rsidRDefault="000839A4" w:rsidP="000839A4">
      <w:pPr>
        <w:tabs>
          <w:tab w:val="left" w:pos="851"/>
        </w:tabs>
        <w:spacing w:before="120" w:after="120"/>
        <w:ind w:firstLine="427"/>
        <w:outlineLvl w:val="6"/>
      </w:pPr>
      <w:r w:rsidRPr="000839A4">
        <w:t>(5) Ve zdaňovacím období, části zdaňovacího období nebo období, za které se podává daňové přiznání, k jejichž konci poplatník přestává být poplatníkem v režimu vylučování kursových rozdílů, se výsledek hospodaření upraví o kursové rozdíly nezahrnuté do základu daně ve zdaňovacích obdobích nebo obdobích, za která se podává daňové přiznání, ve kterých byl poplatníkem v režimu vylučování kursových rozdílů, o které nebyl upraven výsledek hospodaření podle odstavce 4.</w:t>
      </w:r>
    </w:p>
    <w:p w14:paraId="6E6F25AA" w14:textId="77777777" w:rsidR="000839A4" w:rsidRPr="000839A4" w:rsidRDefault="000839A4" w:rsidP="000839A4">
      <w:pPr>
        <w:tabs>
          <w:tab w:val="left" w:pos="851"/>
        </w:tabs>
        <w:spacing w:before="120" w:after="120"/>
        <w:ind w:firstLine="427"/>
        <w:outlineLvl w:val="6"/>
      </w:pPr>
      <w:r w:rsidRPr="000839A4">
        <w:t>(6) V případech podle odstavce 3 písm. e) bodů 3 a 4 se na poplatníka hledí, jako by nebyl v prodlení, pokud podá dodatečné daňové přiznání a zaplatí daň nejpozději do dne, kdy je povinen podat daňové přiznání za zdaňovací období, ve kterém došlo ke skutečnostem podle odstavce 3 písm. e) bodů 3 a 4.</w:t>
      </w:r>
    </w:p>
    <w:p w14:paraId="3904E1E5" w14:textId="77777777" w:rsidR="000839A4" w:rsidRPr="000839A4" w:rsidRDefault="000839A4" w:rsidP="000839A4">
      <w:pPr>
        <w:keepNext/>
        <w:ind w:firstLine="0"/>
        <w:jc w:val="center"/>
        <w:rPr>
          <w:noProof/>
          <w:szCs w:val="24"/>
        </w:rPr>
      </w:pPr>
      <w:r w:rsidRPr="000839A4">
        <w:rPr>
          <w:noProof/>
          <w:szCs w:val="24"/>
        </w:rPr>
        <w:t>§ 23j</w:t>
      </w:r>
    </w:p>
    <w:p w14:paraId="0B5AE0D7" w14:textId="77777777" w:rsidR="000839A4" w:rsidRPr="000839A4" w:rsidRDefault="000839A4" w:rsidP="000839A4">
      <w:pPr>
        <w:keepNext/>
        <w:ind w:firstLine="0"/>
        <w:jc w:val="center"/>
        <w:rPr>
          <w:noProof/>
          <w:szCs w:val="24"/>
        </w:rPr>
      </w:pPr>
      <w:r w:rsidRPr="000839A4">
        <w:rPr>
          <w:b/>
          <w:noProof/>
          <w:szCs w:val="24"/>
        </w:rPr>
        <w:t>Oznámení v souvislosti s režimem vylučování kursových rozdílů</w:t>
      </w:r>
    </w:p>
    <w:p w14:paraId="387058FF" w14:textId="77777777" w:rsidR="000839A4" w:rsidRPr="000839A4" w:rsidRDefault="000839A4" w:rsidP="000839A4">
      <w:pPr>
        <w:tabs>
          <w:tab w:val="left" w:pos="851"/>
        </w:tabs>
        <w:spacing w:before="120" w:after="120"/>
        <w:ind w:firstLine="427"/>
        <w:outlineLvl w:val="6"/>
      </w:pPr>
      <w:r w:rsidRPr="000839A4">
        <w:t xml:space="preserve">(1) Oznámení o vstupu do režimu vylučování kursových rozdílů může poplatník podat správci daně do 3 měsíců od prvního dne rozhodného zdaňovacího období nebo období, za které se podává daňové přiznání. Pokud je rozhodné zdaňovací období nebo období, za které se </w:t>
      </w:r>
      <w:r w:rsidRPr="000839A4">
        <w:lastRenderedPageBreak/>
        <w:t>podává daňové přiznání, kratší než 3 měsíce, může poplatník oznámení správci daně podat do konce tohoto období.</w:t>
      </w:r>
    </w:p>
    <w:p w14:paraId="4912EDA7" w14:textId="77777777" w:rsidR="000839A4" w:rsidRPr="000839A4" w:rsidRDefault="000839A4" w:rsidP="000839A4">
      <w:pPr>
        <w:tabs>
          <w:tab w:val="left" w:pos="851"/>
        </w:tabs>
        <w:spacing w:before="120" w:after="120"/>
        <w:ind w:firstLine="427"/>
        <w:outlineLvl w:val="6"/>
      </w:pPr>
      <w:r w:rsidRPr="000839A4">
        <w:t>(2) Oznámení o vstupu do režimu vylučování kursových rozdílů podané po lhůtě podle odstavce 1 je neúčinné. Tyto lhůty nelze navrátit v předešlý stav. Oznámení o vstupu do režimu vylučování kursových rozdílů lze měnit nebo vzít zpět do uplynutí lhůty pro jeho podání.</w:t>
      </w:r>
    </w:p>
    <w:p w14:paraId="7633F04A" w14:textId="77777777" w:rsidR="000839A4" w:rsidRPr="000839A4" w:rsidRDefault="000839A4" w:rsidP="000839A4">
      <w:pPr>
        <w:tabs>
          <w:tab w:val="left" w:pos="851"/>
        </w:tabs>
        <w:spacing w:before="120" w:after="120"/>
        <w:ind w:firstLine="427"/>
        <w:outlineLvl w:val="6"/>
      </w:pPr>
      <w:r w:rsidRPr="000839A4">
        <w:t>(3) V oznámení o vstupu do režimu vylučování kursových rozdílů poplatník uvede zdaňovací období nebo období, za které se podává daňové přiznání, od jejichž počátku se stává poplatníkem v režimu vylučování kursových rozdílů.</w:t>
      </w:r>
    </w:p>
    <w:p w14:paraId="419631CE" w14:textId="77777777" w:rsidR="000839A4" w:rsidRPr="000839A4" w:rsidRDefault="000839A4" w:rsidP="000839A4">
      <w:pPr>
        <w:tabs>
          <w:tab w:val="left" w:pos="851"/>
        </w:tabs>
        <w:spacing w:before="120" w:after="120"/>
        <w:ind w:firstLine="427"/>
        <w:outlineLvl w:val="6"/>
      </w:pPr>
      <w:r w:rsidRPr="000839A4">
        <w:t>(4) Oznámení o vystoupení z režimu vylučování kursových rozdílů nelze vzít zpět.</w:t>
      </w:r>
    </w:p>
    <w:p w14:paraId="3A018D78" w14:textId="77777777" w:rsidR="000839A4" w:rsidRPr="000839A4" w:rsidRDefault="000839A4" w:rsidP="000839A4">
      <w:pPr>
        <w:tabs>
          <w:tab w:val="left" w:pos="851"/>
        </w:tabs>
        <w:spacing w:before="120" w:after="120"/>
        <w:ind w:firstLine="427"/>
        <w:outlineLvl w:val="6"/>
      </w:pPr>
      <w:r w:rsidRPr="000839A4">
        <w:t>(5) Pokud poplatník přestane být poplatníkem v režimu vylučování kursových rozdílů z důvodu uvedeného v § 23i odst. 3 písm. b) až f), podá správci daně oznámení o ukončení režimu vylučování kursových rozdílů ve lhůtě pro podání daňového přiznání.</w:t>
      </w:r>
    </w:p>
    <w:p w14:paraId="689D0211" w14:textId="77777777" w:rsidR="000839A4" w:rsidRPr="000839A4" w:rsidRDefault="000839A4" w:rsidP="000839A4">
      <w:pPr>
        <w:tabs>
          <w:tab w:val="left" w:pos="851"/>
        </w:tabs>
        <w:spacing w:before="120" w:after="120"/>
        <w:ind w:firstLine="427"/>
        <w:outlineLvl w:val="6"/>
      </w:pPr>
      <w:r w:rsidRPr="000839A4">
        <w:t>(6) V oznámení o ukončení režimu vylučování kursových rozdílů poplatník uvede zdaňovací období, část zdaňovacího období nebo období, za které se podává daňové přiznání, jehož uplynutím přestává být poplatníkem v režimu vylučování kursových rozdílů, a důvod podle 23i odst. 3 písm. b) až f), který vedl k ukončení tohoto režimu.</w:t>
      </w:r>
    </w:p>
    <w:p w14:paraId="6A653F55" w14:textId="77777777" w:rsidR="000839A4" w:rsidRPr="000839A4" w:rsidRDefault="000839A4" w:rsidP="000839A4">
      <w:pPr>
        <w:keepNext/>
        <w:keepLines/>
        <w:spacing w:before="120"/>
        <w:ind w:firstLine="0"/>
        <w:jc w:val="center"/>
        <w:rPr>
          <w:b/>
          <w:szCs w:val="24"/>
        </w:rPr>
      </w:pPr>
      <w:r w:rsidRPr="000839A4">
        <w:rPr>
          <w:b/>
          <w:szCs w:val="24"/>
        </w:rPr>
        <w:t>Hlava VI</w:t>
      </w:r>
    </w:p>
    <w:p w14:paraId="493B9511" w14:textId="77777777" w:rsidR="000839A4" w:rsidRPr="000839A4" w:rsidRDefault="000839A4" w:rsidP="000839A4">
      <w:pPr>
        <w:keepNext/>
        <w:keepLines/>
        <w:spacing w:before="120"/>
        <w:ind w:firstLine="0"/>
        <w:jc w:val="center"/>
        <w:rPr>
          <w:b/>
          <w:szCs w:val="24"/>
        </w:rPr>
      </w:pPr>
      <w:r w:rsidRPr="000839A4">
        <w:rPr>
          <w:b/>
          <w:szCs w:val="24"/>
        </w:rPr>
        <w:t>Výdaje související s evidovanými aktivy</w:t>
      </w:r>
    </w:p>
    <w:p w14:paraId="0DD28A51" w14:textId="77777777" w:rsidR="000839A4" w:rsidRPr="000839A4" w:rsidRDefault="000839A4" w:rsidP="000839A4">
      <w:pPr>
        <w:keepNext/>
        <w:keepLines/>
        <w:spacing w:before="120"/>
        <w:ind w:firstLine="0"/>
        <w:jc w:val="center"/>
        <w:rPr>
          <w:b/>
          <w:szCs w:val="24"/>
        </w:rPr>
      </w:pPr>
      <w:r w:rsidRPr="000839A4">
        <w:rPr>
          <w:b/>
          <w:szCs w:val="24"/>
        </w:rPr>
        <w:t>Díl 1</w:t>
      </w:r>
    </w:p>
    <w:p w14:paraId="6110F06F" w14:textId="77777777" w:rsidR="000839A4" w:rsidRPr="000839A4" w:rsidRDefault="000839A4" w:rsidP="000839A4">
      <w:pPr>
        <w:keepNext/>
        <w:keepLines/>
        <w:spacing w:before="120"/>
        <w:ind w:firstLine="0"/>
        <w:jc w:val="center"/>
        <w:rPr>
          <w:b/>
          <w:szCs w:val="24"/>
        </w:rPr>
      </w:pPr>
      <w:r w:rsidRPr="000839A4">
        <w:rPr>
          <w:b/>
          <w:szCs w:val="24"/>
        </w:rPr>
        <w:t>Vymezení aktiv a dluhů</w:t>
      </w:r>
    </w:p>
    <w:p w14:paraId="61E4B634" w14:textId="77777777" w:rsidR="000839A4" w:rsidRPr="000839A4" w:rsidRDefault="000839A4" w:rsidP="000839A4">
      <w:pPr>
        <w:keepNext/>
        <w:keepLines/>
        <w:spacing w:before="120"/>
        <w:ind w:firstLine="0"/>
        <w:jc w:val="center"/>
        <w:rPr>
          <w:b/>
          <w:szCs w:val="24"/>
        </w:rPr>
      </w:pPr>
      <w:r w:rsidRPr="000839A4">
        <w:rPr>
          <w:b/>
          <w:szCs w:val="24"/>
        </w:rPr>
        <w:t>§ 23k</w:t>
      </w:r>
    </w:p>
    <w:p w14:paraId="1E2EC79A" w14:textId="77777777" w:rsidR="000839A4" w:rsidRPr="000839A4" w:rsidRDefault="000839A4" w:rsidP="000839A4">
      <w:pPr>
        <w:keepNext/>
        <w:keepLines/>
        <w:spacing w:before="120"/>
        <w:ind w:firstLine="0"/>
        <w:jc w:val="center"/>
        <w:rPr>
          <w:b/>
          <w:noProof/>
          <w:szCs w:val="24"/>
        </w:rPr>
      </w:pPr>
      <w:r w:rsidRPr="000839A4">
        <w:rPr>
          <w:b/>
          <w:noProof/>
          <w:szCs w:val="24"/>
        </w:rPr>
        <w:t>Aktiva a dluhy</w:t>
      </w:r>
    </w:p>
    <w:p w14:paraId="03AC2934" w14:textId="77777777" w:rsidR="000839A4" w:rsidRPr="000839A4" w:rsidRDefault="000839A4" w:rsidP="000839A4">
      <w:pPr>
        <w:tabs>
          <w:tab w:val="left" w:pos="851"/>
        </w:tabs>
        <w:spacing w:before="120" w:after="120"/>
        <w:ind w:firstLine="427"/>
        <w:outlineLvl w:val="6"/>
        <w:rPr>
          <w:b/>
        </w:rPr>
      </w:pPr>
      <w:r w:rsidRPr="000839A4">
        <w:rPr>
          <w:b/>
        </w:rPr>
        <w:t xml:space="preserve">(1) Aktivem je pro účely daní z příjmů uznané aktivum, nebo to, co by bylo uznaným aktivem, kdyby poplatník byl účetní jednotkou. </w:t>
      </w:r>
    </w:p>
    <w:p w14:paraId="7EB56396" w14:textId="77777777" w:rsidR="000839A4" w:rsidRPr="000839A4" w:rsidRDefault="000839A4" w:rsidP="000839A4">
      <w:pPr>
        <w:tabs>
          <w:tab w:val="left" w:pos="851"/>
        </w:tabs>
        <w:spacing w:before="120" w:after="120"/>
        <w:ind w:firstLine="427"/>
        <w:outlineLvl w:val="6"/>
        <w:rPr>
          <w:b/>
        </w:rPr>
      </w:pPr>
      <w:r w:rsidRPr="000839A4">
        <w:rPr>
          <w:b/>
        </w:rPr>
        <w:t xml:space="preserve">(2) Dluhem je pro účely daní z příjmů uznaný dluh podle právních předpisů upravujících účetnictví, nebo to, co by bylo uznaným dluhem podle zákona upravujícího účetnictví, kdyby poplatník byl účetní jednotkou. </w:t>
      </w:r>
    </w:p>
    <w:p w14:paraId="0FBA7E70" w14:textId="77777777" w:rsidR="000839A4" w:rsidRPr="000839A4" w:rsidRDefault="000839A4" w:rsidP="000839A4">
      <w:pPr>
        <w:tabs>
          <w:tab w:val="left" w:pos="851"/>
        </w:tabs>
        <w:spacing w:before="120" w:after="120"/>
        <w:ind w:firstLine="427"/>
        <w:outlineLvl w:val="6"/>
        <w:rPr>
          <w:b/>
        </w:rPr>
      </w:pPr>
      <w:r w:rsidRPr="000839A4">
        <w:rPr>
          <w:b/>
        </w:rPr>
        <w:t xml:space="preserve">(3) Dluhem není pro účely daní z příjmů </w:t>
      </w:r>
    </w:p>
    <w:p w14:paraId="0091356E" w14:textId="77777777" w:rsidR="000839A4" w:rsidRPr="000839A4" w:rsidRDefault="000839A4" w:rsidP="000839A4">
      <w:pPr>
        <w:tabs>
          <w:tab w:val="left" w:pos="357"/>
        </w:tabs>
        <w:spacing w:before="0"/>
        <w:ind w:left="357" w:hanging="357"/>
        <w:rPr>
          <w:b/>
          <w:szCs w:val="24"/>
        </w:rPr>
      </w:pPr>
      <w:r w:rsidRPr="000839A4">
        <w:rPr>
          <w:b/>
          <w:szCs w:val="24"/>
        </w:rPr>
        <w:t>a)</w:t>
      </w:r>
      <w:r w:rsidRPr="000839A4">
        <w:rPr>
          <w:b/>
          <w:szCs w:val="24"/>
        </w:rPr>
        <w:tab/>
        <w:t>rezerva podle právních předpisů upravujících účetnictví,</w:t>
      </w:r>
    </w:p>
    <w:p w14:paraId="5DBB6CEA" w14:textId="77777777" w:rsidR="000839A4" w:rsidRPr="000839A4" w:rsidRDefault="000839A4" w:rsidP="000839A4">
      <w:pPr>
        <w:spacing w:before="0"/>
        <w:ind w:left="425" w:hanging="425"/>
        <w:outlineLvl w:val="7"/>
        <w:rPr>
          <w:b/>
        </w:rPr>
      </w:pPr>
      <w:r w:rsidRPr="000839A4">
        <w:rPr>
          <w:b/>
        </w:rPr>
        <w:t>b)</w:t>
      </w:r>
      <w:r w:rsidRPr="000839A4">
        <w:rPr>
          <w:b/>
        </w:rPr>
        <w:tab/>
        <w:t>dohadná položka pasivní,</w:t>
      </w:r>
    </w:p>
    <w:p w14:paraId="7A4E3070" w14:textId="77777777" w:rsidR="000839A4" w:rsidRPr="000839A4" w:rsidRDefault="000839A4" w:rsidP="000839A4">
      <w:pPr>
        <w:spacing w:before="0"/>
        <w:ind w:left="425" w:hanging="425"/>
        <w:outlineLvl w:val="7"/>
        <w:rPr>
          <w:b/>
        </w:rPr>
      </w:pPr>
      <w:r w:rsidRPr="000839A4">
        <w:rPr>
          <w:b/>
        </w:rPr>
        <w:t>c)</w:t>
      </w:r>
      <w:r w:rsidRPr="000839A4">
        <w:rPr>
          <w:b/>
        </w:rPr>
        <w:tab/>
        <w:t>výdaj příštích období,</w:t>
      </w:r>
    </w:p>
    <w:p w14:paraId="24A51F6B" w14:textId="77777777" w:rsidR="000839A4" w:rsidRPr="000839A4" w:rsidRDefault="000839A4" w:rsidP="000839A4">
      <w:pPr>
        <w:spacing w:before="0"/>
        <w:ind w:left="425" w:hanging="425"/>
        <w:outlineLvl w:val="7"/>
        <w:rPr>
          <w:b/>
        </w:rPr>
      </w:pPr>
      <w:r w:rsidRPr="000839A4">
        <w:rPr>
          <w:b/>
        </w:rPr>
        <w:t>d)</w:t>
      </w:r>
      <w:r w:rsidRPr="000839A4">
        <w:rPr>
          <w:b/>
        </w:rPr>
        <w:tab/>
        <w:t xml:space="preserve">výnos příštích období, nebo </w:t>
      </w:r>
    </w:p>
    <w:p w14:paraId="6DB3008B" w14:textId="77777777" w:rsidR="000839A4" w:rsidRPr="000839A4" w:rsidRDefault="000839A4" w:rsidP="000839A4">
      <w:pPr>
        <w:spacing w:before="0"/>
        <w:ind w:left="425" w:hanging="425"/>
        <w:outlineLvl w:val="7"/>
        <w:rPr>
          <w:b/>
        </w:rPr>
      </w:pPr>
      <w:r w:rsidRPr="000839A4">
        <w:rPr>
          <w:b/>
        </w:rPr>
        <w:t>e)</w:t>
      </w:r>
      <w:r w:rsidRPr="000839A4">
        <w:rPr>
          <w:b/>
        </w:rPr>
        <w:tab/>
        <w:t>dluh, který by dluhem podle písmene a), b), c) nebo d), kdyby poplatník byl účetní jednotkou.</w:t>
      </w:r>
    </w:p>
    <w:p w14:paraId="0728C8F0" w14:textId="77777777" w:rsidR="000839A4" w:rsidRPr="000839A4" w:rsidRDefault="000839A4" w:rsidP="000839A4">
      <w:pPr>
        <w:tabs>
          <w:tab w:val="left" w:pos="851"/>
        </w:tabs>
        <w:spacing w:before="120" w:after="120"/>
        <w:ind w:firstLine="427"/>
        <w:outlineLvl w:val="6"/>
        <w:rPr>
          <w:b/>
        </w:rPr>
      </w:pPr>
      <w:r w:rsidRPr="000839A4">
        <w:rPr>
          <w:b/>
        </w:rPr>
        <w:t>(4) Pohledávkou je pro účely daní z příjmů pohledávka podle právních předpisů upravujících účetnictví, nebo to, co by bylo pohledávkou podle zákona upravujícího účetnictví, kdyby poplatník byl účetní jednotkou.</w:t>
      </w:r>
    </w:p>
    <w:p w14:paraId="42B15D27" w14:textId="77777777" w:rsidR="000839A4" w:rsidRPr="000839A4" w:rsidRDefault="000839A4" w:rsidP="000839A4">
      <w:pPr>
        <w:tabs>
          <w:tab w:val="left" w:pos="851"/>
        </w:tabs>
        <w:spacing w:before="120" w:after="120"/>
        <w:ind w:firstLine="427"/>
        <w:outlineLvl w:val="6"/>
        <w:rPr>
          <w:b/>
        </w:rPr>
      </w:pPr>
      <w:r w:rsidRPr="000839A4">
        <w:rPr>
          <w:b/>
        </w:rPr>
        <w:t xml:space="preserve">(5) Pohledávkou není pro účely daní z příjmů </w:t>
      </w:r>
    </w:p>
    <w:p w14:paraId="294F8353" w14:textId="77777777" w:rsidR="000839A4" w:rsidRPr="000839A4" w:rsidRDefault="000839A4" w:rsidP="000839A4">
      <w:pPr>
        <w:spacing w:before="0"/>
        <w:ind w:left="425" w:hanging="425"/>
        <w:outlineLvl w:val="7"/>
        <w:rPr>
          <w:b/>
        </w:rPr>
      </w:pPr>
      <w:r w:rsidRPr="000839A4">
        <w:rPr>
          <w:b/>
        </w:rPr>
        <w:t>a)</w:t>
      </w:r>
      <w:r w:rsidRPr="000839A4">
        <w:rPr>
          <w:b/>
        </w:rPr>
        <w:tab/>
        <w:t xml:space="preserve">dohadná položka aktivní, </w:t>
      </w:r>
    </w:p>
    <w:p w14:paraId="6A6DDF0A" w14:textId="77777777" w:rsidR="000839A4" w:rsidRPr="000839A4" w:rsidRDefault="000839A4" w:rsidP="000839A4">
      <w:pPr>
        <w:spacing w:before="0"/>
        <w:ind w:left="425" w:hanging="425"/>
        <w:outlineLvl w:val="7"/>
        <w:rPr>
          <w:b/>
        </w:rPr>
      </w:pPr>
      <w:r w:rsidRPr="000839A4">
        <w:rPr>
          <w:b/>
        </w:rPr>
        <w:t>b)</w:t>
      </w:r>
      <w:r w:rsidRPr="000839A4">
        <w:rPr>
          <w:b/>
        </w:rPr>
        <w:tab/>
        <w:t>příjem příštích období,</w:t>
      </w:r>
    </w:p>
    <w:p w14:paraId="14128550" w14:textId="77777777" w:rsidR="000839A4" w:rsidRPr="000839A4" w:rsidRDefault="000839A4" w:rsidP="000839A4">
      <w:pPr>
        <w:spacing w:before="0"/>
        <w:ind w:left="425" w:hanging="425"/>
        <w:outlineLvl w:val="7"/>
        <w:rPr>
          <w:b/>
        </w:rPr>
      </w:pPr>
      <w:r w:rsidRPr="000839A4">
        <w:rPr>
          <w:b/>
        </w:rPr>
        <w:t>c)</w:t>
      </w:r>
      <w:r w:rsidRPr="000839A4">
        <w:rPr>
          <w:b/>
        </w:rPr>
        <w:tab/>
        <w:t xml:space="preserve">náklad příštích období, nebo </w:t>
      </w:r>
    </w:p>
    <w:p w14:paraId="2590F926" w14:textId="77777777" w:rsidR="000839A4" w:rsidRPr="000839A4" w:rsidRDefault="000839A4" w:rsidP="000839A4">
      <w:pPr>
        <w:spacing w:before="0"/>
        <w:ind w:left="425" w:hanging="425"/>
        <w:outlineLvl w:val="7"/>
        <w:rPr>
          <w:b/>
        </w:rPr>
      </w:pPr>
      <w:r w:rsidRPr="000839A4">
        <w:rPr>
          <w:b/>
        </w:rPr>
        <w:lastRenderedPageBreak/>
        <w:t>d)</w:t>
      </w:r>
      <w:r w:rsidRPr="000839A4">
        <w:rPr>
          <w:b/>
        </w:rPr>
        <w:tab/>
        <w:t xml:space="preserve">pohledávka, která by byla pohledávkou podle písmene a), b) nebo c), kdyby poplatník byl účetní jednotkou. </w:t>
      </w:r>
    </w:p>
    <w:p w14:paraId="45B2EB4A" w14:textId="77777777" w:rsidR="000839A4" w:rsidRPr="000839A4" w:rsidRDefault="000839A4" w:rsidP="000839A4">
      <w:pPr>
        <w:tabs>
          <w:tab w:val="left" w:pos="851"/>
        </w:tabs>
        <w:spacing w:before="120" w:after="120"/>
        <w:ind w:firstLine="427"/>
        <w:outlineLvl w:val="6"/>
        <w:rPr>
          <w:b/>
        </w:rPr>
      </w:pPr>
      <w:r w:rsidRPr="000839A4">
        <w:rPr>
          <w:b/>
        </w:rPr>
        <w:t>(6) U poplatníka s hotovostním základem daně nejsou pohledávky podle odstavce 5 aktivem.</w:t>
      </w:r>
    </w:p>
    <w:p w14:paraId="7BF95078" w14:textId="77777777" w:rsidR="000839A4" w:rsidRPr="000839A4" w:rsidRDefault="000839A4" w:rsidP="000839A4">
      <w:pPr>
        <w:spacing w:before="120"/>
        <w:ind w:firstLine="0"/>
        <w:jc w:val="center"/>
        <w:rPr>
          <w:b/>
          <w:szCs w:val="24"/>
        </w:rPr>
      </w:pPr>
      <w:r w:rsidRPr="000839A4">
        <w:rPr>
          <w:b/>
          <w:szCs w:val="24"/>
        </w:rPr>
        <w:t>§ 23l</w:t>
      </w:r>
    </w:p>
    <w:p w14:paraId="2690FC96" w14:textId="77777777" w:rsidR="000839A4" w:rsidRPr="000839A4" w:rsidRDefault="000839A4" w:rsidP="000839A4">
      <w:pPr>
        <w:spacing w:before="120"/>
        <w:ind w:firstLine="0"/>
        <w:jc w:val="center"/>
        <w:rPr>
          <w:noProof/>
          <w:szCs w:val="24"/>
        </w:rPr>
      </w:pPr>
      <w:r w:rsidRPr="000839A4">
        <w:rPr>
          <w:b/>
          <w:noProof/>
          <w:szCs w:val="24"/>
        </w:rPr>
        <w:t>Evidované aktivum</w:t>
      </w:r>
    </w:p>
    <w:p w14:paraId="2336DD09" w14:textId="77777777" w:rsidR="000839A4" w:rsidRPr="000839A4" w:rsidRDefault="000839A4" w:rsidP="000839A4">
      <w:pPr>
        <w:tabs>
          <w:tab w:val="left" w:pos="851"/>
        </w:tabs>
        <w:spacing w:before="120" w:after="120"/>
        <w:ind w:firstLine="427"/>
        <w:outlineLvl w:val="6"/>
        <w:rPr>
          <w:b/>
        </w:rPr>
      </w:pPr>
      <w:r w:rsidRPr="000839A4">
        <w:rPr>
          <w:b/>
        </w:rPr>
        <w:t>(1) Evidovaným aktivem se u poplatníka daně z příjmů fyzických osob pro účely daní z příjmů rozumí aktivum</w:t>
      </w:r>
    </w:p>
    <w:p w14:paraId="0ACA743F" w14:textId="77777777" w:rsidR="000839A4" w:rsidRPr="000839A4" w:rsidRDefault="000839A4" w:rsidP="000839A4">
      <w:pPr>
        <w:spacing w:before="0"/>
        <w:ind w:left="425" w:hanging="425"/>
        <w:outlineLvl w:val="7"/>
        <w:rPr>
          <w:b/>
        </w:rPr>
      </w:pPr>
      <w:r w:rsidRPr="000839A4">
        <w:rPr>
          <w:b/>
        </w:rPr>
        <w:t>a)</w:t>
      </w:r>
      <w:r w:rsidRPr="000839A4">
        <w:rPr>
          <w:b/>
        </w:rPr>
        <w:tab/>
        <w:t xml:space="preserve">uváděné v daňové evidenci, </w:t>
      </w:r>
    </w:p>
    <w:p w14:paraId="13DA3D6D" w14:textId="77777777" w:rsidR="000839A4" w:rsidRPr="000839A4" w:rsidRDefault="000839A4" w:rsidP="000839A4">
      <w:pPr>
        <w:spacing w:before="0"/>
        <w:ind w:left="425" w:hanging="425"/>
        <w:outlineLvl w:val="7"/>
        <w:rPr>
          <w:b/>
        </w:rPr>
      </w:pPr>
      <w:r w:rsidRPr="000839A4">
        <w:rPr>
          <w:b/>
        </w:rPr>
        <w:t>b)</w:t>
      </w:r>
      <w:r w:rsidRPr="000839A4">
        <w:rPr>
          <w:b/>
        </w:rPr>
        <w:tab/>
        <w:t>využívané poplatníkem, kterému plynou příjmy z nájmu, a nutné pro dosahování těchto příjmů,</w:t>
      </w:r>
    </w:p>
    <w:p w14:paraId="36733C57" w14:textId="77777777" w:rsidR="000839A4" w:rsidRPr="000839A4" w:rsidRDefault="000839A4" w:rsidP="000839A4">
      <w:pPr>
        <w:spacing w:before="0"/>
        <w:ind w:left="425" w:hanging="425"/>
        <w:outlineLvl w:val="7"/>
        <w:rPr>
          <w:b/>
        </w:rPr>
      </w:pPr>
      <w:r w:rsidRPr="000839A4">
        <w:rPr>
          <w:b/>
        </w:rPr>
        <w:t>c)</w:t>
      </w:r>
      <w:r w:rsidRPr="000839A4">
        <w:rPr>
          <w:b/>
        </w:rPr>
        <w:tab/>
        <w:t>využívané poplatníkem uplatňujícím výdaje procentem z příjmů a nutné pro dosahování příjmů ze samostatné činnosti nebo</w:t>
      </w:r>
    </w:p>
    <w:p w14:paraId="7DDEA2DA" w14:textId="77777777" w:rsidR="000839A4" w:rsidRPr="000839A4" w:rsidRDefault="000839A4" w:rsidP="000839A4">
      <w:pPr>
        <w:spacing w:before="0"/>
        <w:ind w:left="425" w:hanging="425"/>
        <w:outlineLvl w:val="7"/>
        <w:rPr>
          <w:b/>
        </w:rPr>
      </w:pPr>
      <w:r w:rsidRPr="000839A4">
        <w:rPr>
          <w:b/>
        </w:rPr>
        <w:t>d)</w:t>
      </w:r>
      <w:r w:rsidRPr="000839A4">
        <w:rPr>
          <w:b/>
        </w:rPr>
        <w:tab/>
        <w:t>využívané poplatníkem, jehož daň je rovna paušální dani, a nutné pro dosahování příjmů ze samostatné činnosti.</w:t>
      </w:r>
    </w:p>
    <w:p w14:paraId="611A8FD0" w14:textId="77777777" w:rsidR="000839A4" w:rsidRPr="000839A4" w:rsidRDefault="000839A4" w:rsidP="000839A4">
      <w:pPr>
        <w:tabs>
          <w:tab w:val="left" w:pos="851"/>
        </w:tabs>
        <w:spacing w:before="120" w:after="120"/>
        <w:ind w:firstLine="427"/>
        <w:outlineLvl w:val="6"/>
        <w:rPr>
          <w:b/>
        </w:rPr>
      </w:pPr>
      <w:r w:rsidRPr="000839A4">
        <w:rPr>
          <w:b/>
        </w:rPr>
        <w:t>(2) Evidovaným aktivem se u poplatníka daně z příjmů právnických osob pro účely daní z příjmů rozumí aktivum.</w:t>
      </w:r>
    </w:p>
    <w:p w14:paraId="530BF9E6" w14:textId="77777777" w:rsidR="000839A4" w:rsidRPr="000839A4" w:rsidRDefault="000839A4" w:rsidP="000839A4">
      <w:pPr>
        <w:tabs>
          <w:tab w:val="left" w:pos="851"/>
        </w:tabs>
        <w:spacing w:before="120" w:after="120"/>
        <w:ind w:firstLine="427"/>
        <w:outlineLvl w:val="6"/>
        <w:rPr>
          <w:b/>
        </w:rPr>
      </w:pPr>
      <w:r w:rsidRPr="000839A4">
        <w:rPr>
          <w:b/>
        </w:rPr>
        <w:t>(3) Evidovaným aktivem není u poplatníka, který je</w:t>
      </w:r>
    </w:p>
    <w:p w14:paraId="0D7ED682" w14:textId="77777777" w:rsidR="000839A4" w:rsidRPr="000839A4" w:rsidRDefault="000839A4" w:rsidP="000839A4">
      <w:pPr>
        <w:spacing w:before="0"/>
        <w:ind w:left="425" w:hanging="425"/>
        <w:outlineLvl w:val="7"/>
        <w:rPr>
          <w:b/>
        </w:rPr>
      </w:pPr>
      <w:r w:rsidRPr="000839A4">
        <w:rPr>
          <w:b/>
        </w:rPr>
        <w:t>a)</w:t>
      </w:r>
      <w:r w:rsidRPr="000839A4">
        <w:rPr>
          <w:b/>
        </w:rPr>
        <w:tab/>
        <w:t>daňovým rezidentem České republiky, aktivum, v souvislosti s nímž mohou plynout pouze příjmy ze zdrojů v zahraničí, na které se pro vyloučení dvojího zdanění použije metoda vynětí,</w:t>
      </w:r>
    </w:p>
    <w:p w14:paraId="55F7E68F" w14:textId="77777777" w:rsidR="000839A4" w:rsidRPr="000839A4" w:rsidRDefault="000839A4" w:rsidP="000839A4">
      <w:pPr>
        <w:spacing w:before="0"/>
        <w:ind w:left="425" w:hanging="425"/>
        <w:outlineLvl w:val="7"/>
        <w:rPr>
          <w:b/>
        </w:rPr>
      </w:pPr>
      <w:r w:rsidRPr="000839A4">
        <w:rPr>
          <w:b/>
        </w:rPr>
        <w:t>b)</w:t>
      </w:r>
      <w:r w:rsidRPr="000839A4">
        <w:rPr>
          <w:b/>
        </w:rPr>
        <w:tab/>
        <w:t>daňovým nerezidentem, aktivum, z něhož mohou plynout pouze příjmy, na které se nevztahuje daňová povinnost v České republice.</w:t>
      </w:r>
    </w:p>
    <w:p w14:paraId="2254D1AB" w14:textId="77777777" w:rsidR="000839A4" w:rsidRPr="000839A4" w:rsidRDefault="000839A4" w:rsidP="000839A4">
      <w:pPr>
        <w:tabs>
          <w:tab w:val="left" w:pos="851"/>
        </w:tabs>
        <w:spacing w:before="120" w:after="120"/>
        <w:ind w:firstLine="427"/>
        <w:outlineLvl w:val="6"/>
        <w:rPr>
          <w:b/>
        </w:rPr>
      </w:pPr>
      <w:r w:rsidRPr="000839A4">
        <w:rPr>
          <w:b/>
        </w:rPr>
        <w:t>(4) Vyřazením se pro účely daní z příjmů rozumí okamžik, kdy evidované aktivum přestane být aktivem poplatníka.</w:t>
      </w:r>
    </w:p>
    <w:p w14:paraId="2AFC5F2B" w14:textId="77777777" w:rsidR="000839A4" w:rsidRPr="000839A4" w:rsidRDefault="000839A4" w:rsidP="008343E8">
      <w:pPr>
        <w:keepNext/>
        <w:keepLines/>
        <w:spacing w:before="120"/>
        <w:ind w:firstLine="0"/>
        <w:jc w:val="center"/>
        <w:rPr>
          <w:b/>
          <w:szCs w:val="24"/>
        </w:rPr>
      </w:pPr>
      <w:r w:rsidRPr="000839A4">
        <w:rPr>
          <w:b/>
          <w:szCs w:val="24"/>
        </w:rPr>
        <w:t>Díl 2</w:t>
      </w:r>
    </w:p>
    <w:p w14:paraId="2EDBCA7E" w14:textId="77777777" w:rsidR="000839A4" w:rsidRPr="000839A4" w:rsidRDefault="000839A4" w:rsidP="008343E8">
      <w:pPr>
        <w:keepNext/>
        <w:keepLines/>
        <w:spacing w:before="120"/>
        <w:ind w:firstLine="0"/>
        <w:jc w:val="center"/>
        <w:rPr>
          <w:b/>
          <w:szCs w:val="24"/>
        </w:rPr>
      </w:pPr>
      <w:r w:rsidRPr="000839A4">
        <w:rPr>
          <w:b/>
          <w:szCs w:val="24"/>
        </w:rPr>
        <w:t>Daňová hodnota</w:t>
      </w:r>
    </w:p>
    <w:p w14:paraId="40F3FD65" w14:textId="77777777" w:rsidR="000839A4" w:rsidRPr="000839A4" w:rsidRDefault="000839A4" w:rsidP="000839A4">
      <w:pPr>
        <w:spacing w:before="120"/>
        <w:ind w:firstLine="0"/>
        <w:jc w:val="center"/>
        <w:rPr>
          <w:b/>
          <w:szCs w:val="24"/>
        </w:rPr>
      </w:pPr>
      <w:r w:rsidRPr="000839A4">
        <w:rPr>
          <w:b/>
          <w:szCs w:val="24"/>
        </w:rPr>
        <w:t>Oddíl 1</w:t>
      </w:r>
    </w:p>
    <w:p w14:paraId="6B4CD951" w14:textId="77777777" w:rsidR="000839A4" w:rsidRPr="000839A4" w:rsidRDefault="000839A4" w:rsidP="000839A4">
      <w:pPr>
        <w:spacing w:before="120"/>
        <w:ind w:firstLine="0"/>
        <w:jc w:val="center"/>
        <w:rPr>
          <w:b/>
          <w:szCs w:val="24"/>
        </w:rPr>
      </w:pPr>
      <w:r w:rsidRPr="000839A4">
        <w:rPr>
          <w:b/>
          <w:szCs w:val="24"/>
        </w:rPr>
        <w:t>Daňová hodnota aktiva</w:t>
      </w:r>
    </w:p>
    <w:p w14:paraId="7E39D928" w14:textId="77777777" w:rsidR="000839A4" w:rsidRPr="000839A4" w:rsidRDefault="000839A4" w:rsidP="000839A4">
      <w:pPr>
        <w:spacing w:before="120"/>
        <w:ind w:firstLine="0"/>
        <w:jc w:val="center"/>
        <w:rPr>
          <w:b/>
          <w:szCs w:val="24"/>
        </w:rPr>
      </w:pPr>
      <w:r w:rsidRPr="000839A4">
        <w:rPr>
          <w:b/>
          <w:szCs w:val="24"/>
        </w:rPr>
        <w:t>§ 23m</w:t>
      </w:r>
    </w:p>
    <w:p w14:paraId="0C4CC08E" w14:textId="77777777" w:rsidR="000839A4" w:rsidRPr="000839A4" w:rsidRDefault="000839A4" w:rsidP="000839A4">
      <w:pPr>
        <w:spacing w:before="120"/>
        <w:ind w:firstLine="0"/>
        <w:jc w:val="center"/>
        <w:rPr>
          <w:b/>
          <w:noProof/>
          <w:szCs w:val="24"/>
        </w:rPr>
      </w:pPr>
      <w:r w:rsidRPr="000839A4">
        <w:rPr>
          <w:b/>
          <w:noProof/>
          <w:szCs w:val="24"/>
        </w:rPr>
        <w:t> Vymezení daňové hodnoty aktiva</w:t>
      </w:r>
    </w:p>
    <w:p w14:paraId="7783C626" w14:textId="77777777" w:rsidR="000839A4" w:rsidRPr="000839A4" w:rsidRDefault="000839A4" w:rsidP="000839A4">
      <w:pPr>
        <w:tabs>
          <w:tab w:val="left" w:pos="851"/>
        </w:tabs>
        <w:spacing w:before="120" w:after="120"/>
        <w:ind w:firstLine="427"/>
        <w:outlineLvl w:val="6"/>
        <w:rPr>
          <w:b/>
        </w:rPr>
      </w:pPr>
      <w:r w:rsidRPr="000839A4">
        <w:rPr>
          <w:b/>
        </w:rPr>
        <w:t xml:space="preserve">(1) Daňová hodnota aktiva je hodnotou evidovaného aktiva určenou podle tohoto zákona pro účely daní z příjmů. </w:t>
      </w:r>
    </w:p>
    <w:p w14:paraId="15559359" w14:textId="77777777" w:rsidR="000839A4" w:rsidRPr="000839A4" w:rsidRDefault="000839A4" w:rsidP="000839A4">
      <w:pPr>
        <w:tabs>
          <w:tab w:val="left" w:pos="851"/>
        </w:tabs>
        <w:spacing w:before="120" w:after="120"/>
        <w:ind w:firstLine="427"/>
        <w:outlineLvl w:val="6"/>
        <w:rPr>
          <w:b/>
        </w:rPr>
      </w:pPr>
      <w:r w:rsidRPr="000839A4">
        <w:rPr>
          <w:b/>
        </w:rPr>
        <w:t>(2) Daňová hodnota aktiva je nejvyšší částka, která může být u tohoto aktiva při splnění podmínek stanovených tímto zákonem uplatněna jako výdaj vynaložený na dosažení, zajištění a udržení zdanitelných příjmů.</w:t>
      </w:r>
    </w:p>
    <w:p w14:paraId="0F027468" w14:textId="77777777" w:rsidR="000839A4" w:rsidRPr="000839A4" w:rsidRDefault="000839A4" w:rsidP="000839A4">
      <w:pPr>
        <w:tabs>
          <w:tab w:val="left" w:pos="851"/>
        </w:tabs>
        <w:spacing w:before="120" w:after="120"/>
        <w:ind w:firstLine="427"/>
        <w:outlineLvl w:val="6"/>
        <w:rPr>
          <w:b/>
        </w:rPr>
      </w:pPr>
      <w:r w:rsidRPr="000839A4">
        <w:rPr>
          <w:b/>
        </w:rPr>
        <w:t>(3) Částku, ze které se skládá daňová hodnota aktiva, lze uplatnit jako výdaj vynaložený na dosažení, zajištění a udržení zdanitelných příjmů pouze v okamžiku, kdy tento výdaj snižuje daňovou hodnotu aktiva.</w:t>
      </w:r>
    </w:p>
    <w:p w14:paraId="6C3880A9" w14:textId="77777777" w:rsidR="000839A4" w:rsidRPr="000839A4" w:rsidRDefault="000839A4" w:rsidP="000839A4">
      <w:pPr>
        <w:keepNext/>
        <w:keepLines/>
        <w:numPr>
          <w:ilvl w:val="0"/>
          <w:numId w:val="1"/>
        </w:numPr>
        <w:spacing w:before="120"/>
        <w:jc w:val="center"/>
        <w:outlineLvl w:val="5"/>
        <w:rPr>
          <w:b/>
        </w:rPr>
      </w:pPr>
      <w:r w:rsidRPr="000839A4">
        <w:rPr>
          <w:b/>
        </w:rPr>
        <w:lastRenderedPageBreak/>
        <w:t>§ 23n</w:t>
      </w:r>
      <w:r w:rsidRPr="000839A4">
        <w:rPr>
          <w:b/>
        </w:rPr>
        <w:br/>
        <w:t>Určování prvotní daňové hodnoty aktiva</w:t>
      </w:r>
    </w:p>
    <w:p w14:paraId="4EACCD27" w14:textId="77777777" w:rsidR="000839A4" w:rsidRPr="000839A4" w:rsidRDefault="000839A4" w:rsidP="000839A4">
      <w:pPr>
        <w:tabs>
          <w:tab w:val="left" w:pos="851"/>
        </w:tabs>
        <w:spacing w:before="120" w:after="120"/>
        <w:ind w:firstLine="427"/>
        <w:outlineLvl w:val="6"/>
        <w:rPr>
          <w:b/>
        </w:rPr>
      </w:pPr>
      <w:r w:rsidRPr="000839A4">
        <w:rPr>
          <w:b/>
        </w:rPr>
        <w:t xml:space="preserve">(1) Prvotní daňová hodnota aktiva se určuje k okamžiku, kdy </w:t>
      </w:r>
    </w:p>
    <w:p w14:paraId="56473173" w14:textId="77777777" w:rsidR="000839A4" w:rsidRPr="000839A4" w:rsidRDefault="000839A4" w:rsidP="000839A4">
      <w:pPr>
        <w:spacing w:before="0"/>
        <w:ind w:left="425" w:hanging="425"/>
        <w:outlineLvl w:val="7"/>
        <w:rPr>
          <w:b/>
        </w:rPr>
      </w:pPr>
      <w:r w:rsidRPr="000839A4">
        <w:rPr>
          <w:b/>
        </w:rPr>
        <w:t>a)</w:t>
      </w:r>
      <w:r w:rsidRPr="000839A4">
        <w:rPr>
          <w:b/>
        </w:rPr>
        <w:tab/>
        <w:t>je u poplatníka uznáno jako aktivum,</w:t>
      </w:r>
    </w:p>
    <w:p w14:paraId="0440F248" w14:textId="77777777" w:rsidR="000839A4" w:rsidRPr="000839A4" w:rsidRDefault="000839A4" w:rsidP="000839A4">
      <w:pPr>
        <w:spacing w:before="0"/>
        <w:ind w:left="425" w:hanging="425"/>
        <w:outlineLvl w:val="7"/>
        <w:rPr>
          <w:b/>
        </w:rPr>
      </w:pPr>
      <w:r w:rsidRPr="000839A4">
        <w:rPr>
          <w:b/>
        </w:rPr>
        <w:t>b)</w:t>
      </w:r>
      <w:r w:rsidRPr="000839A4">
        <w:rPr>
          <w:b/>
        </w:rPr>
        <w:tab/>
        <w:t>by bylo u poplatníka, který není účetní jednotkou, uznáno jako aktivum podle právních předpisů upravujících účetnictví.</w:t>
      </w:r>
    </w:p>
    <w:p w14:paraId="4A9B5E0A" w14:textId="77777777" w:rsidR="000839A4" w:rsidRPr="000839A4" w:rsidRDefault="000839A4" w:rsidP="000839A4">
      <w:pPr>
        <w:tabs>
          <w:tab w:val="left" w:pos="851"/>
        </w:tabs>
        <w:spacing w:before="120" w:after="120"/>
        <w:ind w:firstLine="427"/>
        <w:outlineLvl w:val="6"/>
        <w:rPr>
          <w:b/>
        </w:rPr>
      </w:pPr>
      <w:r w:rsidRPr="000839A4">
        <w:rPr>
          <w:b/>
        </w:rPr>
        <w:t>(2) Prvotní daňová hodnota aktiva se rovná jeho prvotní účetní hodnotě bez zahrnutí</w:t>
      </w:r>
    </w:p>
    <w:p w14:paraId="45739414" w14:textId="77777777" w:rsidR="000839A4" w:rsidRPr="000839A4" w:rsidRDefault="000839A4" w:rsidP="000839A4">
      <w:pPr>
        <w:spacing w:before="0"/>
        <w:ind w:left="425" w:hanging="425"/>
        <w:outlineLvl w:val="7"/>
        <w:rPr>
          <w:b/>
        </w:rPr>
      </w:pPr>
      <w:r w:rsidRPr="000839A4">
        <w:rPr>
          <w:b/>
        </w:rPr>
        <w:t>a)</w:t>
      </w:r>
      <w:r w:rsidRPr="000839A4">
        <w:rPr>
          <w:b/>
        </w:rPr>
        <w:tab/>
        <w:t xml:space="preserve">částky odpovídající příjmu plynoucímu z bezúplatného nabytí aktiva, který neovlivní základ daně,  </w:t>
      </w:r>
    </w:p>
    <w:p w14:paraId="7E049310" w14:textId="77777777" w:rsidR="000839A4" w:rsidRPr="000839A4" w:rsidRDefault="000839A4" w:rsidP="000839A4">
      <w:pPr>
        <w:spacing w:before="0"/>
        <w:ind w:left="425" w:hanging="425"/>
        <w:outlineLvl w:val="7"/>
        <w:rPr>
          <w:b/>
        </w:rPr>
      </w:pPr>
      <w:r w:rsidRPr="000839A4">
        <w:rPr>
          <w:b/>
        </w:rPr>
        <w:t>b)</w:t>
      </w:r>
      <w:r w:rsidRPr="000839A4">
        <w:rPr>
          <w:b/>
        </w:rPr>
        <w:tab/>
        <w:t>částky odpovídající peněžním prostředkům účelově poskytnutým na pořízení aktiva a vynaloženým na pořízení aktiva, které neovlivní základ daně, získané z</w:t>
      </w:r>
    </w:p>
    <w:p w14:paraId="108AB7D0" w14:textId="77777777" w:rsidR="000839A4" w:rsidRPr="000839A4" w:rsidRDefault="000839A4" w:rsidP="000839A4">
      <w:pPr>
        <w:spacing w:before="0"/>
        <w:ind w:left="851" w:hanging="426"/>
        <w:outlineLvl w:val="8"/>
        <w:rPr>
          <w:b/>
        </w:rPr>
      </w:pPr>
      <w:r w:rsidRPr="000839A4">
        <w:rPr>
          <w:b/>
        </w:rPr>
        <w:t>1.</w:t>
      </w:r>
      <w:r w:rsidRPr="000839A4">
        <w:rPr>
          <w:b/>
        </w:rPr>
        <w:tab/>
        <w:t xml:space="preserve">dotace ze státního rozpočtu, z rozpočtů obcí, krajů nebo státních fondů, </w:t>
      </w:r>
    </w:p>
    <w:p w14:paraId="34BA68BA" w14:textId="77777777" w:rsidR="000839A4" w:rsidRPr="000839A4" w:rsidRDefault="000839A4" w:rsidP="000839A4">
      <w:pPr>
        <w:spacing w:before="0"/>
        <w:ind w:left="851" w:hanging="426"/>
        <w:outlineLvl w:val="8"/>
        <w:rPr>
          <w:b/>
        </w:rPr>
      </w:pPr>
      <w:r w:rsidRPr="000839A4">
        <w:rPr>
          <w:b/>
        </w:rPr>
        <w:t>2.</w:t>
      </w:r>
      <w:r w:rsidRPr="000839A4">
        <w:rPr>
          <w:b/>
        </w:rPr>
        <w:tab/>
        <w:t xml:space="preserve">grantu podle zvláštního právního předpisu, </w:t>
      </w:r>
    </w:p>
    <w:p w14:paraId="6E5069F4" w14:textId="77777777" w:rsidR="000839A4" w:rsidRPr="000839A4" w:rsidRDefault="000839A4" w:rsidP="000839A4">
      <w:pPr>
        <w:spacing w:before="0"/>
        <w:ind w:left="851" w:hanging="426"/>
        <w:outlineLvl w:val="8"/>
        <w:rPr>
          <w:b/>
        </w:rPr>
      </w:pPr>
      <w:r w:rsidRPr="000839A4">
        <w:rPr>
          <w:b/>
        </w:rPr>
        <w:t>3.</w:t>
      </w:r>
      <w:r w:rsidRPr="000839A4">
        <w:rPr>
          <w:b/>
        </w:rPr>
        <w:tab/>
        <w:t xml:space="preserve">grantu Evropské unie, </w:t>
      </w:r>
    </w:p>
    <w:p w14:paraId="1DFDB34C" w14:textId="77777777" w:rsidR="000839A4" w:rsidRPr="000839A4" w:rsidRDefault="000839A4" w:rsidP="000839A4">
      <w:pPr>
        <w:spacing w:before="0"/>
        <w:ind w:left="851" w:hanging="426"/>
        <w:outlineLvl w:val="8"/>
        <w:rPr>
          <w:b/>
        </w:rPr>
      </w:pPr>
      <w:r w:rsidRPr="000839A4">
        <w:rPr>
          <w:b/>
        </w:rPr>
        <w:t>4.</w:t>
      </w:r>
      <w:r w:rsidRPr="000839A4">
        <w:rPr>
          <w:b/>
        </w:rPr>
        <w:tab/>
        <w:t xml:space="preserve">příspěvku nebo podpory z veřejných rozpočtů a jiných peněžních fondů cizího státu s výjimkou peněžních fondů spravovaných podnikatelskými subjekty se sídlem nebo bydlištěm v zahraničí, </w:t>
      </w:r>
    </w:p>
    <w:p w14:paraId="28D4359D" w14:textId="77777777" w:rsidR="000839A4" w:rsidRPr="000839A4" w:rsidRDefault="000839A4" w:rsidP="000839A4">
      <w:pPr>
        <w:spacing w:before="0"/>
        <w:ind w:left="851" w:hanging="426"/>
        <w:outlineLvl w:val="8"/>
        <w:rPr>
          <w:b/>
        </w:rPr>
      </w:pPr>
      <w:r w:rsidRPr="000839A4">
        <w:rPr>
          <w:b/>
        </w:rPr>
        <w:t>5.</w:t>
      </w:r>
      <w:r w:rsidRPr="000839A4">
        <w:rPr>
          <w:b/>
        </w:rPr>
        <w:tab/>
        <w:t xml:space="preserve">daru, </w:t>
      </w:r>
    </w:p>
    <w:p w14:paraId="70199B0E" w14:textId="77777777" w:rsidR="000839A4" w:rsidRPr="000839A4" w:rsidRDefault="000839A4" w:rsidP="000839A4">
      <w:pPr>
        <w:spacing w:before="0"/>
        <w:ind w:left="425" w:hanging="425"/>
        <w:outlineLvl w:val="7"/>
        <w:rPr>
          <w:b/>
        </w:rPr>
      </w:pPr>
      <w:r w:rsidRPr="000839A4">
        <w:rPr>
          <w:b/>
        </w:rPr>
        <w:t xml:space="preserve">c) </w:t>
      </w:r>
      <w:r w:rsidRPr="000839A4">
        <w:rPr>
          <w:b/>
        </w:rPr>
        <w:tab/>
        <w:t>částky odpovídající peněžním prostředkům získaným darováním a vynaloženým na pořízení aktiva v případě poplatníka daně z příjmů právnických osob, pokud takové získání peněžních prostředků neovlivnilo základ daně,</w:t>
      </w:r>
    </w:p>
    <w:p w14:paraId="215E4BD1" w14:textId="77777777" w:rsidR="000839A4" w:rsidRPr="000839A4" w:rsidRDefault="000839A4" w:rsidP="000839A4">
      <w:pPr>
        <w:spacing w:before="0"/>
        <w:ind w:left="425" w:hanging="425"/>
        <w:outlineLvl w:val="7"/>
        <w:rPr>
          <w:b/>
        </w:rPr>
      </w:pPr>
      <w:r w:rsidRPr="000839A4">
        <w:rPr>
          <w:b/>
        </w:rPr>
        <w:t xml:space="preserve">d) </w:t>
      </w:r>
      <w:r w:rsidRPr="000839A4">
        <w:rPr>
          <w:b/>
        </w:rPr>
        <w:tab/>
        <w:t>rozdílu z prvotního účetního ocenění reálnou hodnotou, které neovlivní základ daně, a</w:t>
      </w:r>
    </w:p>
    <w:p w14:paraId="398F61C6" w14:textId="77777777" w:rsidR="000839A4" w:rsidRPr="000839A4" w:rsidRDefault="000839A4" w:rsidP="000839A4">
      <w:pPr>
        <w:spacing w:before="0"/>
        <w:ind w:left="425" w:hanging="425"/>
        <w:outlineLvl w:val="7"/>
        <w:rPr>
          <w:b/>
        </w:rPr>
      </w:pPr>
      <w:r w:rsidRPr="000839A4">
        <w:rPr>
          <w:b/>
        </w:rPr>
        <w:t xml:space="preserve">e) </w:t>
      </w:r>
      <w:r w:rsidRPr="000839A4">
        <w:rPr>
          <w:b/>
        </w:rPr>
        <w:tab/>
        <w:t xml:space="preserve">výdaje na likvidaci aktiva u poplatníka s </w:t>
      </w:r>
    </w:p>
    <w:p w14:paraId="4CA6C265" w14:textId="77777777" w:rsidR="000839A4" w:rsidRPr="000839A4" w:rsidRDefault="000839A4" w:rsidP="000839A4">
      <w:pPr>
        <w:spacing w:before="0"/>
        <w:ind w:left="851" w:hanging="426"/>
        <w:outlineLvl w:val="8"/>
        <w:rPr>
          <w:b/>
        </w:rPr>
      </w:pPr>
      <w:r w:rsidRPr="000839A4">
        <w:rPr>
          <w:b/>
        </w:rPr>
        <w:t xml:space="preserve">1. </w:t>
      </w:r>
      <w:r w:rsidRPr="000839A4">
        <w:rPr>
          <w:b/>
        </w:rPr>
        <w:tab/>
        <w:t>hotovostním základem daně,</w:t>
      </w:r>
    </w:p>
    <w:p w14:paraId="347C71E3" w14:textId="77777777" w:rsidR="000839A4" w:rsidRPr="000839A4" w:rsidRDefault="000839A4" w:rsidP="000839A4">
      <w:pPr>
        <w:spacing w:before="0"/>
        <w:ind w:left="851" w:hanging="426"/>
        <w:outlineLvl w:val="8"/>
        <w:rPr>
          <w:b/>
        </w:rPr>
      </w:pPr>
      <w:r w:rsidRPr="000839A4">
        <w:rPr>
          <w:b/>
        </w:rPr>
        <w:t xml:space="preserve">2. </w:t>
      </w:r>
      <w:r w:rsidRPr="000839A4">
        <w:rPr>
          <w:b/>
        </w:rPr>
        <w:tab/>
        <w:t xml:space="preserve">akruálním základem daně, pokud související vykazovaná účetní rezerva, kterou se tento výdaj oceňuje podle právních předpisů upravujících účetnictví, je tvořena pro stejné účely jako daňová rezerva. </w:t>
      </w:r>
    </w:p>
    <w:p w14:paraId="2529D919" w14:textId="77777777" w:rsidR="000839A4" w:rsidRPr="000839A4" w:rsidRDefault="000839A4" w:rsidP="000839A4">
      <w:pPr>
        <w:tabs>
          <w:tab w:val="left" w:pos="851"/>
        </w:tabs>
        <w:spacing w:before="120" w:after="120"/>
        <w:ind w:firstLine="427"/>
        <w:outlineLvl w:val="6"/>
        <w:rPr>
          <w:b/>
        </w:rPr>
      </w:pPr>
      <w:r w:rsidRPr="000839A4">
        <w:rPr>
          <w:b/>
        </w:rPr>
        <w:t xml:space="preserve">(3) Poplatník, který není účetní jednotkou, určuje prvotní účetní hodnotu aktiva, jako by byl mikro účetní jednotkou. </w:t>
      </w:r>
    </w:p>
    <w:p w14:paraId="517A606F" w14:textId="77777777" w:rsidR="000839A4" w:rsidRPr="000839A4" w:rsidRDefault="000839A4" w:rsidP="000839A4">
      <w:pPr>
        <w:tabs>
          <w:tab w:val="left" w:pos="851"/>
        </w:tabs>
        <w:spacing w:before="120" w:after="120"/>
        <w:ind w:firstLine="427"/>
        <w:outlineLvl w:val="6"/>
        <w:rPr>
          <w:b/>
        </w:rPr>
      </w:pPr>
      <w:r w:rsidRPr="000839A4">
        <w:rPr>
          <w:b/>
        </w:rPr>
        <w:t xml:space="preserve">(4) Součástí prvotní daňové hodnoty aktiva poplatníka s hotovostním základem daně, které by se podle právních předpisů upravujících účetnictví prvotně oceňovalo pořizovacím výdajem, je vedlejší pořizovací výdaj i tehdy, pokud by součástí pořizovacího výdaje podle právních předpisů upravujících účetnictví nebyly z důvodu, že se jedná o aktivum, které by bylo následně účetně oceňováno reálnou hodnotou. </w:t>
      </w:r>
    </w:p>
    <w:p w14:paraId="5ED25FAF" w14:textId="77777777" w:rsidR="000839A4" w:rsidRPr="000839A4" w:rsidRDefault="000839A4" w:rsidP="000839A4">
      <w:pPr>
        <w:tabs>
          <w:tab w:val="left" w:pos="851"/>
        </w:tabs>
        <w:spacing w:before="120" w:after="120"/>
        <w:ind w:firstLine="427"/>
        <w:outlineLvl w:val="6"/>
        <w:rPr>
          <w:b/>
        </w:rPr>
      </w:pPr>
      <w:r w:rsidRPr="000839A4">
        <w:rPr>
          <w:b/>
        </w:rPr>
        <w:t xml:space="preserve">(5) Pokud je součástí prvotní účetní hodnoty aktiva, následného pořizovacího výdaje zvyšujícího daňovou hodnotu aktiva nebo dodatečného zhodnocení účetní hodnota jiného evidovaného aktiva, je jejich součástí namísto účetní hodnoty tohoto jiného aktiva jeho daňová hodnota. </w:t>
      </w:r>
    </w:p>
    <w:p w14:paraId="47ADA2DA" w14:textId="77777777" w:rsidR="000839A4" w:rsidRPr="000839A4" w:rsidRDefault="000839A4" w:rsidP="000839A4">
      <w:pPr>
        <w:tabs>
          <w:tab w:val="left" w:pos="851"/>
        </w:tabs>
        <w:spacing w:before="120" w:after="120"/>
        <w:ind w:firstLine="427"/>
        <w:outlineLvl w:val="6"/>
        <w:rPr>
          <w:b/>
        </w:rPr>
      </w:pPr>
      <w:r w:rsidRPr="000839A4">
        <w:rPr>
          <w:b/>
        </w:rPr>
        <w:t xml:space="preserve">(6) Prvotní daňová hodnota aktiva poplatníka daně z příjmů fyzických osob nabytého převodem jmění na společníka se rovná tržní hodnotě podle zákona upravujícího oceňování věcí. Prvotní daňová hodnota takto nabyté pohledávky se rovná jmenovité hodnotě peněžních toků, na které má poplatník právo. </w:t>
      </w:r>
    </w:p>
    <w:p w14:paraId="6B4D5CB6" w14:textId="77777777" w:rsidR="000839A4" w:rsidRPr="000839A4" w:rsidRDefault="000839A4" w:rsidP="000839A4">
      <w:pPr>
        <w:keepNext/>
        <w:keepLines/>
        <w:numPr>
          <w:ilvl w:val="0"/>
          <w:numId w:val="1"/>
        </w:numPr>
        <w:spacing w:before="120"/>
        <w:jc w:val="center"/>
        <w:outlineLvl w:val="5"/>
        <w:rPr>
          <w:b/>
        </w:rPr>
      </w:pPr>
      <w:r w:rsidRPr="000839A4">
        <w:rPr>
          <w:b/>
        </w:rPr>
        <w:lastRenderedPageBreak/>
        <w:t>§ 23o</w:t>
      </w:r>
    </w:p>
    <w:p w14:paraId="11EA91F4" w14:textId="77777777" w:rsidR="000839A4" w:rsidRPr="000839A4" w:rsidRDefault="000839A4" w:rsidP="000839A4">
      <w:pPr>
        <w:keepNext/>
        <w:keepLines/>
        <w:numPr>
          <w:ilvl w:val="0"/>
          <w:numId w:val="1"/>
        </w:numPr>
        <w:spacing w:before="120"/>
        <w:jc w:val="center"/>
        <w:outlineLvl w:val="5"/>
        <w:rPr>
          <w:b/>
        </w:rPr>
      </w:pPr>
      <w:r w:rsidRPr="000839A4">
        <w:rPr>
          <w:b/>
        </w:rPr>
        <w:t>Určování daňové hodnoty aktiva</w:t>
      </w:r>
    </w:p>
    <w:p w14:paraId="6EEDFD67" w14:textId="77777777" w:rsidR="000839A4" w:rsidRPr="000839A4" w:rsidRDefault="000839A4" w:rsidP="000839A4">
      <w:pPr>
        <w:tabs>
          <w:tab w:val="left" w:pos="851"/>
        </w:tabs>
        <w:spacing w:before="120" w:after="120"/>
        <w:ind w:firstLine="427"/>
        <w:outlineLvl w:val="6"/>
        <w:rPr>
          <w:b/>
        </w:rPr>
      </w:pPr>
      <w:r w:rsidRPr="000839A4">
        <w:rPr>
          <w:b/>
        </w:rPr>
        <w:t xml:space="preserve">(1) Daňová hodnota aktiva se rovná prvotní daňové hodnotě aktiva upravené o položky zvyšující nebo snižující daňovou hodnotu. </w:t>
      </w:r>
    </w:p>
    <w:p w14:paraId="3B1F485D" w14:textId="77777777" w:rsidR="000839A4" w:rsidRPr="000839A4" w:rsidRDefault="000839A4" w:rsidP="000839A4">
      <w:pPr>
        <w:tabs>
          <w:tab w:val="left" w:pos="851"/>
        </w:tabs>
        <w:spacing w:before="120" w:after="120"/>
        <w:ind w:firstLine="427"/>
        <w:outlineLvl w:val="6"/>
        <w:rPr>
          <w:b/>
        </w:rPr>
      </w:pPr>
      <w:r w:rsidRPr="000839A4">
        <w:rPr>
          <w:b/>
        </w:rPr>
        <w:t xml:space="preserve">(2) Daňová hodnota se zvyšuje o  </w:t>
      </w:r>
    </w:p>
    <w:p w14:paraId="3A27D9A6" w14:textId="77777777" w:rsidR="000839A4" w:rsidRPr="000839A4" w:rsidRDefault="000839A4" w:rsidP="000839A4">
      <w:pPr>
        <w:spacing w:before="0"/>
        <w:ind w:left="425" w:hanging="425"/>
        <w:outlineLvl w:val="7"/>
        <w:rPr>
          <w:b/>
        </w:rPr>
      </w:pPr>
      <w:r w:rsidRPr="000839A4">
        <w:rPr>
          <w:b/>
        </w:rPr>
        <w:t xml:space="preserve">a) </w:t>
      </w:r>
      <w:r w:rsidRPr="000839A4">
        <w:rPr>
          <w:b/>
        </w:rPr>
        <w:tab/>
        <w:t>zvýšení účetní hodnoty při následném ocenění podle právních předpisů upravujících účetnictví reálnou nebo naběhlou hodnotou, které zvyšuje základ daně,</w:t>
      </w:r>
    </w:p>
    <w:p w14:paraId="25D5822F" w14:textId="77777777" w:rsidR="000839A4" w:rsidRPr="000839A4" w:rsidRDefault="000839A4" w:rsidP="000839A4">
      <w:pPr>
        <w:spacing w:before="0"/>
        <w:ind w:left="425" w:hanging="425"/>
        <w:outlineLvl w:val="7"/>
        <w:rPr>
          <w:b/>
        </w:rPr>
      </w:pPr>
      <w:r w:rsidRPr="000839A4">
        <w:rPr>
          <w:b/>
        </w:rPr>
        <w:t xml:space="preserve">b) </w:t>
      </w:r>
      <w:r w:rsidRPr="000839A4">
        <w:rPr>
          <w:b/>
        </w:rPr>
        <w:tab/>
        <w:t xml:space="preserve">dodatečné zvýšení nabývacího výdaje, vedlejšího pořizovacího výdaje nebo výdaje na likvidaci aktiva, pokud </w:t>
      </w:r>
    </w:p>
    <w:p w14:paraId="0AF0067D" w14:textId="77777777" w:rsidR="000839A4" w:rsidRPr="000839A4" w:rsidRDefault="000839A4" w:rsidP="000839A4">
      <w:pPr>
        <w:spacing w:before="0"/>
        <w:ind w:left="851" w:hanging="426"/>
        <w:outlineLvl w:val="8"/>
        <w:rPr>
          <w:b/>
        </w:rPr>
      </w:pPr>
      <w:r w:rsidRPr="000839A4">
        <w:rPr>
          <w:b/>
        </w:rPr>
        <w:t>1.</w:t>
      </w:r>
      <w:r w:rsidRPr="000839A4">
        <w:rPr>
          <w:b/>
        </w:rPr>
        <w:tab/>
        <w:t xml:space="preserve">toto zvýšení zvyšuje prvotní účetní hodnotu aktiva při následném ocenění nebo by ji zvýšilo, kdyby poplatník byl účetní jednotkou, a </w:t>
      </w:r>
    </w:p>
    <w:p w14:paraId="3535B2D7" w14:textId="77777777" w:rsidR="000839A4" w:rsidRPr="000839A4" w:rsidRDefault="000839A4" w:rsidP="000839A4">
      <w:pPr>
        <w:spacing w:before="0"/>
        <w:ind w:left="851" w:hanging="426"/>
        <w:outlineLvl w:val="8"/>
        <w:rPr>
          <w:b/>
        </w:rPr>
      </w:pPr>
      <w:r w:rsidRPr="000839A4">
        <w:rPr>
          <w:b/>
        </w:rPr>
        <w:t>2.</w:t>
      </w:r>
      <w:r w:rsidRPr="000839A4">
        <w:rPr>
          <w:b/>
        </w:rPr>
        <w:tab/>
        <w:t xml:space="preserve">tento výdaj byl součástí prvotní daňové hodnoty aktiva, </w:t>
      </w:r>
    </w:p>
    <w:p w14:paraId="681ABC3E" w14:textId="77777777" w:rsidR="000839A4" w:rsidRPr="000839A4" w:rsidRDefault="000839A4" w:rsidP="000839A4">
      <w:pPr>
        <w:spacing w:before="0"/>
        <w:ind w:left="425" w:hanging="425"/>
        <w:outlineLvl w:val="7"/>
        <w:rPr>
          <w:b/>
        </w:rPr>
      </w:pPr>
      <w:r w:rsidRPr="000839A4">
        <w:rPr>
          <w:b/>
        </w:rPr>
        <w:t>c)</w:t>
      </w:r>
      <w:r w:rsidRPr="000839A4">
        <w:rPr>
          <w:b/>
        </w:rPr>
        <w:tab/>
        <w:t>částku odpovídající vráceným peněžním prostředkům účelově poskytnutým na pořízení aktiva, vynaloženým na pořízení aktiva a nezahrnutým v prvotní daňové hodnotě aktiva získaným z </w:t>
      </w:r>
    </w:p>
    <w:p w14:paraId="64B48411" w14:textId="77777777" w:rsidR="000839A4" w:rsidRPr="000839A4" w:rsidRDefault="000839A4" w:rsidP="000839A4">
      <w:pPr>
        <w:spacing w:before="0"/>
        <w:ind w:left="851" w:hanging="426"/>
        <w:outlineLvl w:val="8"/>
        <w:rPr>
          <w:b/>
        </w:rPr>
      </w:pPr>
      <w:r w:rsidRPr="000839A4">
        <w:rPr>
          <w:b/>
        </w:rPr>
        <w:t xml:space="preserve">1. </w:t>
      </w:r>
      <w:r w:rsidRPr="000839A4">
        <w:rPr>
          <w:b/>
        </w:rPr>
        <w:tab/>
        <w:t xml:space="preserve">dotace ze státního rozpočtu, z rozpočtů obcí, krajů nebo státních fondů, </w:t>
      </w:r>
    </w:p>
    <w:p w14:paraId="7C3B6F71" w14:textId="77777777" w:rsidR="000839A4" w:rsidRPr="000839A4" w:rsidRDefault="000839A4" w:rsidP="000839A4">
      <w:pPr>
        <w:spacing w:before="0"/>
        <w:ind w:left="851" w:hanging="426"/>
        <w:outlineLvl w:val="8"/>
        <w:rPr>
          <w:b/>
        </w:rPr>
      </w:pPr>
      <w:r w:rsidRPr="000839A4">
        <w:rPr>
          <w:b/>
        </w:rPr>
        <w:t>2.</w:t>
      </w:r>
      <w:r w:rsidRPr="000839A4">
        <w:rPr>
          <w:b/>
        </w:rPr>
        <w:tab/>
        <w:t xml:space="preserve">grantu podle zvláštního právního předpisu, </w:t>
      </w:r>
    </w:p>
    <w:p w14:paraId="0F2F3824" w14:textId="77777777" w:rsidR="000839A4" w:rsidRPr="000839A4" w:rsidRDefault="000839A4" w:rsidP="000839A4">
      <w:pPr>
        <w:spacing w:before="0"/>
        <w:ind w:left="851" w:hanging="426"/>
        <w:outlineLvl w:val="8"/>
        <w:rPr>
          <w:b/>
        </w:rPr>
      </w:pPr>
      <w:r w:rsidRPr="000839A4">
        <w:rPr>
          <w:b/>
        </w:rPr>
        <w:t>3.</w:t>
      </w:r>
      <w:r w:rsidRPr="000839A4">
        <w:rPr>
          <w:b/>
        </w:rPr>
        <w:tab/>
        <w:t xml:space="preserve">grantu Evropské unie, </w:t>
      </w:r>
    </w:p>
    <w:p w14:paraId="21897ABF" w14:textId="77777777" w:rsidR="000839A4" w:rsidRPr="000839A4" w:rsidRDefault="000839A4" w:rsidP="000839A4">
      <w:pPr>
        <w:spacing w:before="0"/>
        <w:ind w:left="851" w:hanging="426"/>
        <w:outlineLvl w:val="8"/>
        <w:rPr>
          <w:b/>
        </w:rPr>
      </w:pPr>
      <w:r w:rsidRPr="000839A4">
        <w:rPr>
          <w:b/>
        </w:rPr>
        <w:t>4.</w:t>
      </w:r>
      <w:r w:rsidRPr="000839A4">
        <w:rPr>
          <w:b/>
        </w:rPr>
        <w:tab/>
        <w:t>příspěvku nebo podpory z veřejných rozpočtů a jiných peněžních fondů cizího státu s výjimkou peněžních fondů spravovaných podnikatelskými subjekty se sídlem nebo bydlištěm v zahraničí,</w:t>
      </w:r>
    </w:p>
    <w:p w14:paraId="3236B7AC" w14:textId="77777777" w:rsidR="000839A4" w:rsidRPr="000839A4" w:rsidRDefault="000839A4" w:rsidP="000839A4">
      <w:pPr>
        <w:spacing w:before="0"/>
        <w:ind w:left="851" w:hanging="426"/>
        <w:outlineLvl w:val="8"/>
        <w:rPr>
          <w:b/>
        </w:rPr>
      </w:pPr>
      <w:r w:rsidRPr="000839A4">
        <w:rPr>
          <w:b/>
        </w:rPr>
        <w:t>5.</w:t>
      </w:r>
      <w:r w:rsidRPr="000839A4">
        <w:rPr>
          <w:b/>
        </w:rPr>
        <w:tab/>
        <w:t>daru,</w:t>
      </w:r>
    </w:p>
    <w:p w14:paraId="7831037E" w14:textId="77777777" w:rsidR="000839A4" w:rsidRPr="000839A4" w:rsidRDefault="000839A4" w:rsidP="000839A4">
      <w:pPr>
        <w:spacing w:before="0"/>
        <w:ind w:left="425" w:hanging="425"/>
        <w:outlineLvl w:val="7"/>
        <w:rPr>
          <w:b/>
        </w:rPr>
      </w:pPr>
      <w:r w:rsidRPr="000839A4">
        <w:rPr>
          <w:b/>
        </w:rPr>
        <w:t xml:space="preserve">d) </w:t>
      </w:r>
      <w:r w:rsidRPr="000839A4">
        <w:rPr>
          <w:b/>
        </w:rPr>
        <w:tab/>
        <w:t>částku odpovídající vráceným peněžním prostředkům získaným darováním a vynaloženým na pořízení aktiva v případě poplatníka daně z příjmů právnických osob, pokud nebyla zahrnuta v prvotní daňové hodnotě aktiva.</w:t>
      </w:r>
    </w:p>
    <w:p w14:paraId="0B5FF9F4" w14:textId="77777777" w:rsidR="000839A4" w:rsidRPr="000839A4" w:rsidRDefault="000839A4" w:rsidP="000839A4">
      <w:pPr>
        <w:tabs>
          <w:tab w:val="left" w:pos="851"/>
        </w:tabs>
        <w:spacing w:before="120" w:after="120"/>
        <w:ind w:firstLine="427"/>
        <w:outlineLvl w:val="6"/>
        <w:rPr>
          <w:b/>
        </w:rPr>
      </w:pPr>
      <w:r w:rsidRPr="000839A4">
        <w:rPr>
          <w:b/>
        </w:rPr>
        <w:t xml:space="preserve">(3) Daňová hodnota se snižuje o  </w:t>
      </w:r>
    </w:p>
    <w:p w14:paraId="7C04BECF" w14:textId="77777777" w:rsidR="000839A4" w:rsidRPr="000839A4" w:rsidRDefault="000839A4" w:rsidP="000839A4">
      <w:pPr>
        <w:spacing w:before="0"/>
        <w:ind w:left="425" w:hanging="425"/>
        <w:outlineLvl w:val="7"/>
        <w:rPr>
          <w:b/>
        </w:rPr>
      </w:pPr>
      <w:r w:rsidRPr="000839A4">
        <w:rPr>
          <w:b/>
        </w:rPr>
        <w:t xml:space="preserve">a) </w:t>
      </w:r>
      <w:r w:rsidRPr="000839A4">
        <w:rPr>
          <w:b/>
        </w:rPr>
        <w:tab/>
        <w:t>okamžitý výdaj, odložený výdaj nebo průběžný výdaj, a to bez ohledu na to, zda je výdajem vynaloženým na dosažení, zajištění nebo udržení zdanitelných příjmů,</w:t>
      </w:r>
    </w:p>
    <w:p w14:paraId="5D18FBBD" w14:textId="77777777" w:rsidR="000839A4" w:rsidRPr="000839A4" w:rsidRDefault="000839A4" w:rsidP="000839A4">
      <w:pPr>
        <w:spacing w:before="0"/>
        <w:ind w:left="425" w:hanging="425"/>
        <w:outlineLvl w:val="7"/>
        <w:rPr>
          <w:b/>
        </w:rPr>
      </w:pPr>
      <w:r w:rsidRPr="000839A4">
        <w:rPr>
          <w:b/>
        </w:rPr>
        <w:t xml:space="preserve">b) </w:t>
      </w:r>
      <w:r w:rsidRPr="000839A4">
        <w:rPr>
          <w:b/>
        </w:rPr>
        <w:tab/>
        <w:t xml:space="preserve">částku, která snižuje příjem plynoucí v souvislosti s aktivem, ze kterého je daň vybíraná srážkou podle zvláštní sazby daně, </w:t>
      </w:r>
    </w:p>
    <w:p w14:paraId="227E7B45" w14:textId="77777777" w:rsidR="000839A4" w:rsidRPr="000839A4" w:rsidRDefault="000839A4" w:rsidP="000839A4">
      <w:pPr>
        <w:spacing w:before="0"/>
        <w:ind w:left="425" w:hanging="425"/>
        <w:outlineLvl w:val="7"/>
        <w:rPr>
          <w:b/>
        </w:rPr>
      </w:pPr>
      <w:r w:rsidRPr="000839A4">
        <w:rPr>
          <w:b/>
        </w:rPr>
        <w:t xml:space="preserve">c) </w:t>
      </w:r>
      <w:r w:rsidRPr="000839A4">
        <w:rPr>
          <w:b/>
        </w:rPr>
        <w:tab/>
        <w:t>snížení účetní hodnoty při následném ocenění podle právních předpisů upravujících účetnictví reálnou nebo naběhlou hodnotou, které snižuje základ daně,</w:t>
      </w:r>
    </w:p>
    <w:p w14:paraId="694BD856" w14:textId="77777777" w:rsidR="000839A4" w:rsidRPr="000839A4" w:rsidRDefault="000839A4" w:rsidP="000839A4">
      <w:pPr>
        <w:spacing w:before="0"/>
        <w:ind w:left="425" w:hanging="425"/>
        <w:outlineLvl w:val="7"/>
        <w:rPr>
          <w:b/>
        </w:rPr>
      </w:pPr>
      <w:r w:rsidRPr="000839A4">
        <w:rPr>
          <w:b/>
        </w:rPr>
        <w:t xml:space="preserve">d) </w:t>
      </w:r>
      <w:r w:rsidRPr="000839A4">
        <w:rPr>
          <w:b/>
        </w:rPr>
        <w:tab/>
        <w:t xml:space="preserve">dodatečné snížení nabývacího výdaje, vedlejšího pořizovacího výdaje nebo výdaje na likvidaci aktiva, pokud </w:t>
      </w:r>
    </w:p>
    <w:p w14:paraId="1DB74604" w14:textId="77777777" w:rsidR="000839A4" w:rsidRPr="000839A4" w:rsidRDefault="000839A4" w:rsidP="000839A4">
      <w:pPr>
        <w:spacing w:before="0"/>
        <w:ind w:left="851" w:hanging="426"/>
        <w:outlineLvl w:val="8"/>
        <w:rPr>
          <w:b/>
        </w:rPr>
      </w:pPr>
      <w:r w:rsidRPr="000839A4">
        <w:rPr>
          <w:b/>
        </w:rPr>
        <w:t xml:space="preserve">1. </w:t>
      </w:r>
      <w:r w:rsidRPr="000839A4">
        <w:rPr>
          <w:b/>
        </w:rPr>
        <w:tab/>
        <w:t xml:space="preserve">toto snížení snižuje prvotní účetní hodnotu aktiva při následném ocenění nebo by ji snížilo, kdyby poplatník byl účetní jednotkou, a </w:t>
      </w:r>
    </w:p>
    <w:p w14:paraId="1B05DB13" w14:textId="77777777" w:rsidR="000839A4" w:rsidRPr="000839A4" w:rsidRDefault="000839A4" w:rsidP="000839A4">
      <w:pPr>
        <w:spacing w:before="0"/>
        <w:ind w:left="851" w:hanging="426"/>
        <w:outlineLvl w:val="8"/>
        <w:rPr>
          <w:b/>
        </w:rPr>
      </w:pPr>
      <w:r w:rsidRPr="000839A4">
        <w:rPr>
          <w:b/>
        </w:rPr>
        <w:t xml:space="preserve">2. </w:t>
      </w:r>
      <w:r w:rsidRPr="000839A4">
        <w:rPr>
          <w:b/>
        </w:rPr>
        <w:tab/>
        <w:t>tento výdaj byl součástí prvotní daňové hodnoty aktiva.</w:t>
      </w:r>
    </w:p>
    <w:p w14:paraId="4AB236A7" w14:textId="77777777" w:rsidR="000839A4" w:rsidRPr="000839A4" w:rsidRDefault="000839A4" w:rsidP="000839A4">
      <w:pPr>
        <w:tabs>
          <w:tab w:val="left" w:pos="851"/>
        </w:tabs>
        <w:spacing w:before="120" w:after="120"/>
        <w:ind w:firstLine="427"/>
        <w:outlineLvl w:val="6"/>
        <w:rPr>
          <w:b/>
        </w:rPr>
      </w:pPr>
      <w:r w:rsidRPr="000839A4">
        <w:rPr>
          <w:b/>
        </w:rPr>
        <w:t>(4) Daňová hodnota účetně odpisovaného aktiva poplatníka používajícího mezinárodní účetní standardy, které je účetně odpisovaným aktivem nebo nehmotným aktivem, které není účetně odpisovaným aktivem a jehož účetní hodnota je pravidelně přezkoumávána z hlediska znehodnocení podle právních předpisů upravujících účetnictví (dále jen „znehodnocení“), se také</w:t>
      </w:r>
    </w:p>
    <w:p w14:paraId="31E77AD6" w14:textId="77777777" w:rsidR="000839A4" w:rsidRPr="000839A4" w:rsidRDefault="000839A4" w:rsidP="000839A4">
      <w:pPr>
        <w:spacing w:before="0"/>
        <w:ind w:left="425" w:hanging="425"/>
        <w:outlineLvl w:val="7"/>
        <w:rPr>
          <w:b/>
        </w:rPr>
      </w:pPr>
      <w:r w:rsidRPr="000839A4">
        <w:rPr>
          <w:b/>
        </w:rPr>
        <w:t xml:space="preserve">a) </w:t>
      </w:r>
      <w:r w:rsidRPr="000839A4">
        <w:rPr>
          <w:b/>
        </w:rPr>
        <w:tab/>
        <w:t>snižuje o znehodnocení,</w:t>
      </w:r>
    </w:p>
    <w:p w14:paraId="1860393D" w14:textId="77777777" w:rsidR="000839A4" w:rsidRPr="000839A4" w:rsidRDefault="000839A4" w:rsidP="000839A4">
      <w:pPr>
        <w:spacing w:before="0"/>
        <w:ind w:left="425" w:hanging="425"/>
        <w:outlineLvl w:val="7"/>
        <w:rPr>
          <w:b/>
        </w:rPr>
      </w:pPr>
      <w:r w:rsidRPr="000839A4">
        <w:rPr>
          <w:b/>
        </w:rPr>
        <w:t xml:space="preserve">b) </w:t>
      </w:r>
      <w:r w:rsidRPr="000839A4">
        <w:rPr>
          <w:b/>
        </w:rPr>
        <w:tab/>
        <w:t>zvyšuje o zrušené znehodnocení.</w:t>
      </w:r>
    </w:p>
    <w:p w14:paraId="3E80964D" w14:textId="77777777" w:rsidR="000839A4" w:rsidRPr="000839A4" w:rsidRDefault="000839A4" w:rsidP="000839A4">
      <w:pPr>
        <w:tabs>
          <w:tab w:val="left" w:pos="851"/>
        </w:tabs>
        <w:spacing w:before="120" w:after="120"/>
        <w:ind w:firstLine="427"/>
        <w:outlineLvl w:val="6"/>
        <w:rPr>
          <w:b/>
        </w:rPr>
      </w:pPr>
      <w:r w:rsidRPr="000839A4">
        <w:rPr>
          <w:b/>
        </w:rPr>
        <w:lastRenderedPageBreak/>
        <w:t>(5) Pokud by daňová hodnota aktiva byla po snížení podle odstavce 3 písm. d) záporná,</w:t>
      </w:r>
    </w:p>
    <w:p w14:paraId="6612EA34" w14:textId="77777777" w:rsidR="000839A4" w:rsidRPr="000839A4" w:rsidRDefault="000839A4" w:rsidP="000839A4">
      <w:pPr>
        <w:spacing w:before="0"/>
        <w:ind w:left="425" w:hanging="425"/>
        <w:outlineLvl w:val="7"/>
        <w:rPr>
          <w:b/>
        </w:rPr>
      </w:pPr>
      <w:r w:rsidRPr="000839A4">
        <w:rPr>
          <w:b/>
        </w:rPr>
        <w:t xml:space="preserve">a) </w:t>
      </w:r>
      <w:r w:rsidRPr="000839A4">
        <w:rPr>
          <w:b/>
        </w:rPr>
        <w:tab/>
        <w:t>snížení se neprovede v té části, ve které by vedlo k záporné daňové hodnotě, a</w:t>
      </w:r>
    </w:p>
    <w:p w14:paraId="7EAFABBF" w14:textId="77777777" w:rsidR="000839A4" w:rsidRPr="000839A4" w:rsidRDefault="000839A4" w:rsidP="000839A4">
      <w:pPr>
        <w:spacing w:before="0"/>
        <w:ind w:left="425" w:hanging="425"/>
        <w:outlineLvl w:val="7"/>
        <w:rPr>
          <w:b/>
        </w:rPr>
      </w:pPr>
      <w:r w:rsidRPr="000839A4">
        <w:rPr>
          <w:b/>
        </w:rPr>
        <w:t xml:space="preserve">b) </w:t>
      </w:r>
      <w:r w:rsidRPr="000839A4">
        <w:rPr>
          <w:b/>
        </w:rPr>
        <w:tab/>
        <w:t>rozdíl mezi příjmy a výdaji nebo výsledek hospodaření se zvýší o část, která by vedla k záporné daňové hodnotě a není vykázána ve výnosech, pokud byla u aktiva uplatněna jako výdaje vynaložené na dosažení, zajištění a udržení zdanitelných příjmů vyšší částka, než kdyby toto dodatečné snížení bylo zohledněno v prvotní daňové hodnotě.</w:t>
      </w:r>
    </w:p>
    <w:p w14:paraId="345CBCF1" w14:textId="77777777" w:rsidR="000839A4" w:rsidRPr="000839A4" w:rsidRDefault="000839A4" w:rsidP="000839A4">
      <w:pPr>
        <w:tabs>
          <w:tab w:val="left" w:pos="851"/>
        </w:tabs>
        <w:spacing w:before="120" w:after="120"/>
        <w:ind w:firstLine="427"/>
        <w:outlineLvl w:val="6"/>
        <w:rPr>
          <w:b/>
        </w:rPr>
      </w:pPr>
      <w:r w:rsidRPr="000839A4">
        <w:rPr>
          <w:b/>
        </w:rPr>
        <w:t>(6) Rozdíl mezi příjmy a výdaji nebo výsledek hospodaření se zvýší o část snížení podle odstavce 3 písm. d), která není vykázána ve výnosech, pokud</w:t>
      </w:r>
    </w:p>
    <w:p w14:paraId="64C93B72" w14:textId="77777777" w:rsidR="000839A4" w:rsidRPr="000839A4" w:rsidRDefault="000839A4" w:rsidP="000839A4">
      <w:pPr>
        <w:spacing w:before="0"/>
        <w:ind w:left="425" w:hanging="425"/>
        <w:outlineLvl w:val="7"/>
        <w:rPr>
          <w:b/>
        </w:rPr>
      </w:pPr>
      <w:r w:rsidRPr="000839A4">
        <w:rPr>
          <w:b/>
        </w:rPr>
        <w:t xml:space="preserve">a) </w:t>
      </w:r>
      <w:r w:rsidRPr="000839A4">
        <w:rPr>
          <w:b/>
        </w:rPr>
        <w:tab/>
        <w:t>k tomuto snížení dojde po vyřazení aktiva a</w:t>
      </w:r>
    </w:p>
    <w:p w14:paraId="16FA72B6" w14:textId="77777777" w:rsidR="000839A4" w:rsidRPr="000839A4" w:rsidRDefault="000839A4" w:rsidP="000839A4">
      <w:pPr>
        <w:spacing w:before="0"/>
        <w:ind w:left="425" w:hanging="425"/>
        <w:outlineLvl w:val="7"/>
        <w:rPr>
          <w:b/>
        </w:rPr>
      </w:pPr>
      <w:r w:rsidRPr="000839A4">
        <w:rPr>
          <w:b/>
        </w:rPr>
        <w:t xml:space="preserve">b) </w:t>
      </w:r>
      <w:r w:rsidRPr="000839A4">
        <w:rPr>
          <w:b/>
        </w:rPr>
        <w:tab/>
        <w:t>u aktiva byla uplatněna jako výdaj vynaložený na dosažení, zajištění a udržení zdanitelných příjmů vyšší částka, než kdyby toto snížení bylo zohledněno v prvotní daňové hodnotě.</w:t>
      </w:r>
    </w:p>
    <w:p w14:paraId="210F71FB" w14:textId="77777777" w:rsidR="000839A4" w:rsidRPr="000839A4" w:rsidRDefault="000839A4" w:rsidP="000839A4">
      <w:pPr>
        <w:keepNext/>
        <w:keepLines/>
        <w:numPr>
          <w:ilvl w:val="0"/>
          <w:numId w:val="1"/>
        </w:numPr>
        <w:spacing w:before="120"/>
        <w:jc w:val="center"/>
        <w:outlineLvl w:val="5"/>
        <w:rPr>
          <w:b/>
        </w:rPr>
      </w:pPr>
      <w:r w:rsidRPr="000839A4">
        <w:rPr>
          <w:b/>
        </w:rPr>
        <w:t>§ 23p</w:t>
      </w:r>
    </w:p>
    <w:p w14:paraId="6894770F" w14:textId="77777777" w:rsidR="000839A4" w:rsidRPr="000839A4" w:rsidRDefault="000839A4" w:rsidP="000839A4">
      <w:pPr>
        <w:keepNext/>
        <w:keepLines/>
        <w:numPr>
          <w:ilvl w:val="0"/>
          <w:numId w:val="1"/>
        </w:numPr>
        <w:spacing w:before="120"/>
        <w:jc w:val="center"/>
        <w:outlineLvl w:val="5"/>
        <w:rPr>
          <w:b/>
        </w:rPr>
      </w:pPr>
      <w:r w:rsidRPr="000839A4">
        <w:rPr>
          <w:b/>
        </w:rPr>
        <w:t>Daňová hodnota dříve neevidovaného aktiva</w:t>
      </w:r>
    </w:p>
    <w:p w14:paraId="22A8623A" w14:textId="77777777" w:rsidR="000839A4" w:rsidRPr="000839A4" w:rsidRDefault="000839A4" w:rsidP="000839A4">
      <w:pPr>
        <w:tabs>
          <w:tab w:val="left" w:pos="851"/>
        </w:tabs>
        <w:spacing w:before="120" w:after="120"/>
        <w:ind w:firstLine="427"/>
        <w:outlineLvl w:val="6"/>
        <w:rPr>
          <w:b/>
        </w:rPr>
      </w:pPr>
      <w:r w:rsidRPr="000839A4">
        <w:rPr>
          <w:b/>
        </w:rPr>
        <w:t xml:space="preserve">(1) Daňová hodnota aktiva v okamžiku, kdy se poplatník daně z příjmů fyzických osob rozhodne, že se aktivum u něho poprvé stane evidovaným aktivem, se rovná </w:t>
      </w:r>
    </w:p>
    <w:p w14:paraId="30CD1480" w14:textId="77777777" w:rsidR="000839A4" w:rsidRPr="000839A4" w:rsidRDefault="000839A4" w:rsidP="000839A4">
      <w:pPr>
        <w:spacing w:before="0"/>
        <w:ind w:left="425" w:hanging="425"/>
        <w:outlineLvl w:val="7"/>
        <w:rPr>
          <w:b/>
        </w:rPr>
      </w:pPr>
      <w:r w:rsidRPr="000839A4">
        <w:rPr>
          <w:b/>
        </w:rPr>
        <w:t>a)</w:t>
      </w:r>
      <w:r w:rsidRPr="000839A4">
        <w:rPr>
          <w:b/>
        </w:rPr>
        <w:tab/>
        <w:t>hodnotě určené podle právního předpisu upravujícího oceňování věcí k tomuto okamžiku, pokud toto aktivum nabyl před více než 5 lety,</w:t>
      </w:r>
    </w:p>
    <w:p w14:paraId="46984CA3" w14:textId="77777777" w:rsidR="000839A4" w:rsidRPr="000839A4" w:rsidRDefault="000839A4" w:rsidP="000839A4">
      <w:pPr>
        <w:spacing w:before="0"/>
        <w:ind w:left="425" w:hanging="425"/>
        <w:outlineLvl w:val="7"/>
        <w:rPr>
          <w:b/>
        </w:rPr>
      </w:pPr>
      <w:r w:rsidRPr="000839A4">
        <w:rPr>
          <w:b/>
        </w:rPr>
        <w:t xml:space="preserve">b) </w:t>
      </w:r>
      <w:r w:rsidRPr="000839A4">
        <w:rPr>
          <w:b/>
        </w:rPr>
        <w:tab/>
        <w:t xml:space="preserve">částce, která by byla jeho prvotní daňovou hodnotou při nabytí, kdyby bylo evidovaným aktivem, pokud ho nabyl před 5 lety nebo později; v případě nemovitého aktiva se rovná této částce zvýšené o úhrn částek vynaložených na jeho opravu a zhodnocení. </w:t>
      </w:r>
    </w:p>
    <w:p w14:paraId="5BC0F6C2" w14:textId="77777777" w:rsidR="000839A4" w:rsidRPr="000839A4" w:rsidRDefault="000839A4" w:rsidP="000839A4">
      <w:pPr>
        <w:tabs>
          <w:tab w:val="left" w:pos="851"/>
        </w:tabs>
        <w:spacing w:before="120" w:after="120"/>
        <w:ind w:firstLine="427"/>
        <w:outlineLvl w:val="6"/>
        <w:rPr>
          <w:b/>
        </w:rPr>
      </w:pPr>
      <w:r w:rsidRPr="000839A4">
        <w:rPr>
          <w:b/>
        </w:rPr>
        <w:t>(2) Daňová hodnota aktiva poplatníka daně z příjmů fyzických osob, které dosud nebylo evidovaným aktivem a je poskytováno jako předmět změny hospodaření bez přecenění, se určí podle odstavce 1 obdobně.</w:t>
      </w:r>
    </w:p>
    <w:p w14:paraId="14C75FBF" w14:textId="77777777" w:rsidR="000839A4" w:rsidRPr="000839A4" w:rsidRDefault="000839A4" w:rsidP="000839A4">
      <w:pPr>
        <w:tabs>
          <w:tab w:val="left" w:pos="851"/>
        </w:tabs>
        <w:spacing w:before="120" w:after="120"/>
        <w:ind w:firstLine="427"/>
        <w:outlineLvl w:val="6"/>
        <w:rPr>
          <w:b/>
        </w:rPr>
      </w:pPr>
      <w:r w:rsidRPr="000839A4">
        <w:rPr>
          <w:b/>
        </w:rPr>
        <w:t xml:space="preserve">(3) Daňová hodnota aktiva se rovná jeho zahraniční daňové hodnotě přepočítané kurzem pro přepočet daně pro příslušný den, pokud </w:t>
      </w:r>
    </w:p>
    <w:p w14:paraId="3FB0F21C" w14:textId="77777777" w:rsidR="000839A4" w:rsidRPr="000839A4" w:rsidRDefault="000839A4" w:rsidP="000839A4">
      <w:pPr>
        <w:spacing w:before="0"/>
        <w:ind w:left="425" w:hanging="425"/>
        <w:outlineLvl w:val="7"/>
        <w:rPr>
          <w:b/>
        </w:rPr>
      </w:pPr>
      <w:r w:rsidRPr="000839A4">
        <w:rPr>
          <w:b/>
        </w:rPr>
        <w:t>a)</w:t>
      </w:r>
      <w:r w:rsidRPr="000839A4">
        <w:rPr>
          <w:b/>
        </w:rPr>
        <w:tab/>
        <w:t>se aktivum stává evidovaným aktivem a dosud nebylo evidovaným aktivem z důvodu, že se jednalo o aktivum splňující podmínky uvedené v § 23l odst. 3,</w:t>
      </w:r>
    </w:p>
    <w:p w14:paraId="02450035" w14:textId="77777777" w:rsidR="000839A4" w:rsidRPr="000839A4" w:rsidRDefault="000839A4" w:rsidP="000839A4">
      <w:pPr>
        <w:spacing w:before="0"/>
        <w:ind w:left="425" w:hanging="425"/>
        <w:outlineLvl w:val="7"/>
        <w:rPr>
          <w:b/>
        </w:rPr>
      </w:pPr>
      <w:r w:rsidRPr="000839A4">
        <w:rPr>
          <w:b/>
        </w:rPr>
        <w:t>b)</w:t>
      </w:r>
      <w:r w:rsidRPr="000839A4">
        <w:rPr>
          <w:b/>
        </w:rPr>
        <w:tab/>
        <w:t>je aktivum, které splňuje podmínky uvedené v § 23l odst. 3, poskytováno jako předmět změny hospodaření bez přecenění.</w:t>
      </w:r>
    </w:p>
    <w:p w14:paraId="2C25912D" w14:textId="77777777" w:rsidR="000839A4" w:rsidRPr="000839A4" w:rsidRDefault="000839A4" w:rsidP="000839A4">
      <w:pPr>
        <w:tabs>
          <w:tab w:val="left" w:pos="851"/>
        </w:tabs>
        <w:spacing w:before="120" w:after="120"/>
        <w:ind w:firstLine="427"/>
        <w:outlineLvl w:val="6"/>
        <w:rPr>
          <w:b/>
        </w:rPr>
      </w:pPr>
      <w:r w:rsidRPr="000839A4">
        <w:rPr>
          <w:b/>
        </w:rPr>
        <w:t xml:space="preserve">(4) Pokud nelze postupovat podle odstavce 3 z důvodu, že aktivum nemá zahraniční daňovou hodnotu, určí se jeho daňová hodnota podle odstavce 1 obdobně. </w:t>
      </w:r>
    </w:p>
    <w:p w14:paraId="383F2D5D" w14:textId="77777777" w:rsidR="000839A4" w:rsidRPr="000839A4" w:rsidRDefault="000839A4" w:rsidP="000839A4">
      <w:pPr>
        <w:tabs>
          <w:tab w:val="left" w:pos="851"/>
        </w:tabs>
        <w:spacing w:before="120" w:after="120"/>
        <w:ind w:firstLine="427"/>
        <w:outlineLvl w:val="6"/>
        <w:rPr>
          <w:b/>
        </w:rPr>
      </w:pPr>
      <w:r w:rsidRPr="000839A4">
        <w:rPr>
          <w:b/>
        </w:rPr>
        <w:t>(5) Zahraniční daňovou hodnotou aktiva se pro účely daní z příjmů rozumí hodnota aktiva určená pro účely daní z příjmů právními předpisy státu, ve kterém jsou zdaňovány z něho plynoucí příjmy.</w:t>
      </w:r>
    </w:p>
    <w:p w14:paraId="6ABC143C" w14:textId="77777777" w:rsidR="000839A4" w:rsidRPr="000839A4" w:rsidRDefault="000839A4" w:rsidP="000839A4">
      <w:pPr>
        <w:tabs>
          <w:tab w:val="left" w:pos="851"/>
        </w:tabs>
        <w:spacing w:before="120" w:after="120"/>
        <w:ind w:firstLine="427"/>
        <w:outlineLvl w:val="6"/>
        <w:rPr>
          <w:b/>
        </w:rPr>
      </w:pPr>
      <w:r w:rsidRPr="000839A4">
        <w:rPr>
          <w:b/>
        </w:rPr>
        <w:t>(6) Daňová hodnota aktiva určená podle odstavce 1, 2 nebo 3 se považuje za prvotní daňovou hodnotu tohoto aktiva.</w:t>
      </w:r>
    </w:p>
    <w:p w14:paraId="4C613EA1" w14:textId="77777777" w:rsidR="000839A4" w:rsidRPr="000839A4" w:rsidRDefault="000839A4" w:rsidP="000839A4">
      <w:pPr>
        <w:spacing w:before="120"/>
        <w:ind w:firstLine="0"/>
        <w:jc w:val="center"/>
        <w:rPr>
          <w:b/>
          <w:szCs w:val="24"/>
        </w:rPr>
      </w:pPr>
      <w:r w:rsidRPr="000839A4">
        <w:rPr>
          <w:b/>
          <w:szCs w:val="24"/>
        </w:rPr>
        <w:t>Oddíl 2</w:t>
      </w:r>
    </w:p>
    <w:p w14:paraId="49AC717E" w14:textId="77777777" w:rsidR="000839A4" w:rsidRPr="000839A4" w:rsidRDefault="000839A4" w:rsidP="000839A4">
      <w:pPr>
        <w:spacing w:before="120"/>
        <w:ind w:firstLine="0"/>
        <w:jc w:val="center"/>
        <w:rPr>
          <w:b/>
          <w:szCs w:val="24"/>
        </w:rPr>
      </w:pPr>
      <w:r w:rsidRPr="000839A4">
        <w:rPr>
          <w:b/>
          <w:szCs w:val="24"/>
        </w:rPr>
        <w:t>Daňová hodnota dluhu</w:t>
      </w:r>
    </w:p>
    <w:p w14:paraId="778AC1CA" w14:textId="77777777" w:rsidR="000839A4" w:rsidRPr="000839A4" w:rsidRDefault="000839A4" w:rsidP="000839A4">
      <w:pPr>
        <w:keepNext/>
        <w:ind w:firstLine="0"/>
        <w:jc w:val="center"/>
        <w:rPr>
          <w:b/>
          <w:color w:val="000000" w:themeColor="text1"/>
          <w:szCs w:val="24"/>
        </w:rPr>
      </w:pPr>
      <w:r w:rsidRPr="000839A4">
        <w:rPr>
          <w:b/>
          <w:color w:val="000000" w:themeColor="text1"/>
          <w:szCs w:val="24"/>
        </w:rPr>
        <w:lastRenderedPageBreak/>
        <w:t>§ 23q</w:t>
      </w:r>
    </w:p>
    <w:p w14:paraId="21396C7A" w14:textId="77777777" w:rsidR="000839A4" w:rsidRPr="000839A4" w:rsidRDefault="000839A4" w:rsidP="000839A4">
      <w:pPr>
        <w:keepNext/>
        <w:ind w:firstLine="0"/>
        <w:jc w:val="center"/>
        <w:rPr>
          <w:b/>
          <w:noProof/>
          <w:szCs w:val="24"/>
        </w:rPr>
      </w:pPr>
      <w:r w:rsidRPr="000839A4">
        <w:rPr>
          <w:b/>
          <w:noProof/>
          <w:szCs w:val="24"/>
        </w:rPr>
        <w:t>Určování prvotní daňové hodnoty dluhu</w:t>
      </w:r>
    </w:p>
    <w:p w14:paraId="3303552B" w14:textId="77777777" w:rsidR="000839A4" w:rsidRPr="000839A4" w:rsidRDefault="000839A4" w:rsidP="000839A4">
      <w:pPr>
        <w:tabs>
          <w:tab w:val="left" w:pos="851"/>
        </w:tabs>
        <w:spacing w:before="120" w:after="120"/>
        <w:ind w:firstLine="427"/>
        <w:outlineLvl w:val="6"/>
        <w:rPr>
          <w:b/>
        </w:rPr>
      </w:pPr>
      <w:r w:rsidRPr="000839A4">
        <w:rPr>
          <w:b/>
        </w:rPr>
        <w:t>(1) Daňová hodnota dluhu je hodnotou dluhu určenou podle tohoto zákona pro účely daní z příjmů.</w:t>
      </w:r>
    </w:p>
    <w:p w14:paraId="21E72C16" w14:textId="77777777" w:rsidR="000839A4" w:rsidRPr="000839A4" w:rsidRDefault="000839A4" w:rsidP="000839A4">
      <w:pPr>
        <w:tabs>
          <w:tab w:val="left" w:pos="851"/>
        </w:tabs>
        <w:spacing w:before="120" w:after="120"/>
        <w:ind w:firstLine="427"/>
        <w:outlineLvl w:val="6"/>
        <w:rPr>
          <w:b/>
        </w:rPr>
      </w:pPr>
      <w:r w:rsidRPr="000839A4">
        <w:rPr>
          <w:b/>
        </w:rPr>
        <w:t xml:space="preserve">(2) Prvotní daňová hodnota dluhu se určuje k okamžiku, kdy </w:t>
      </w:r>
    </w:p>
    <w:p w14:paraId="3C931D30" w14:textId="77777777" w:rsidR="000839A4" w:rsidRPr="000839A4" w:rsidRDefault="000839A4" w:rsidP="000839A4">
      <w:pPr>
        <w:spacing w:before="0"/>
        <w:ind w:left="425" w:hanging="425"/>
        <w:outlineLvl w:val="7"/>
        <w:rPr>
          <w:b/>
        </w:rPr>
      </w:pPr>
      <w:r w:rsidRPr="000839A4">
        <w:rPr>
          <w:b/>
        </w:rPr>
        <w:t>a)</w:t>
      </w:r>
      <w:r w:rsidRPr="000839A4">
        <w:rPr>
          <w:b/>
        </w:rPr>
        <w:tab/>
        <w:t>je u poplatníka uznán jako dluh podle právních předpisů upravujících účetnictví,</w:t>
      </w:r>
    </w:p>
    <w:p w14:paraId="72D38211" w14:textId="77777777" w:rsidR="000839A4" w:rsidRPr="000839A4" w:rsidRDefault="000839A4" w:rsidP="000839A4">
      <w:pPr>
        <w:spacing w:before="0"/>
        <w:ind w:left="425" w:hanging="425"/>
        <w:outlineLvl w:val="7"/>
        <w:rPr>
          <w:b/>
        </w:rPr>
      </w:pPr>
      <w:r w:rsidRPr="000839A4">
        <w:rPr>
          <w:b/>
        </w:rPr>
        <w:t>b)</w:t>
      </w:r>
      <w:r w:rsidRPr="000839A4">
        <w:rPr>
          <w:b/>
        </w:rPr>
        <w:tab/>
        <w:t>by byl u poplatníka, který není účetní jednotkou, uznán jako dluh podle zákona upravujícího účetnictví, kdyby poplatník byl účetní jednotkou.</w:t>
      </w:r>
    </w:p>
    <w:p w14:paraId="3731B8E4" w14:textId="77777777" w:rsidR="000839A4" w:rsidRPr="000839A4" w:rsidRDefault="000839A4" w:rsidP="000839A4">
      <w:pPr>
        <w:tabs>
          <w:tab w:val="left" w:pos="851"/>
        </w:tabs>
        <w:spacing w:before="120" w:after="120"/>
        <w:ind w:firstLine="427"/>
        <w:outlineLvl w:val="6"/>
        <w:rPr>
          <w:b/>
        </w:rPr>
      </w:pPr>
      <w:r w:rsidRPr="000839A4">
        <w:rPr>
          <w:b/>
        </w:rPr>
        <w:t>(3) Prvotní daňová hodnota dluhu se rovná jeho prvotní účetní hodnotě.</w:t>
      </w:r>
    </w:p>
    <w:p w14:paraId="098EE044" w14:textId="77777777" w:rsidR="000839A4" w:rsidRPr="000839A4" w:rsidRDefault="000839A4" w:rsidP="000839A4">
      <w:pPr>
        <w:tabs>
          <w:tab w:val="left" w:pos="851"/>
        </w:tabs>
        <w:spacing w:before="120" w:after="120"/>
        <w:ind w:firstLine="427"/>
        <w:outlineLvl w:val="6"/>
        <w:rPr>
          <w:b/>
        </w:rPr>
      </w:pPr>
      <w:r w:rsidRPr="000839A4">
        <w:rPr>
          <w:b/>
        </w:rPr>
        <w:t xml:space="preserve">(4) Poplatník, který není účetní jednotkou, určuje prvotní účetní hodnotu dluhu, jako by byl mikro účetní jednotkou. </w:t>
      </w:r>
    </w:p>
    <w:p w14:paraId="493E5796" w14:textId="77777777" w:rsidR="000839A4" w:rsidRPr="000839A4" w:rsidRDefault="000839A4" w:rsidP="000839A4">
      <w:pPr>
        <w:keepNext/>
        <w:ind w:firstLine="0"/>
        <w:jc w:val="center"/>
        <w:rPr>
          <w:b/>
          <w:color w:val="000000" w:themeColor="text1"/>
          <w:szCs w:val="24"/>
        </w:rPr>
      </w:pPr>
      <w:r w:rsidRPr="000839A4">
        <w:rPr>
          <w:b/>
          <w:color w:val="000000" w:themeColor="text1"/>
          <w:szCs w:val="24"/>
        </w:rPr>
        <w:t>§ 23r</w:t>
      </w:r>
    </w:p>
    <w:p w14:paraId="77B2E8E2" w14:textId="77777777" w:rsidR="000839A4" w:rsidRPr="000839A4" w:rsidRDefault="000839A4" w:rsidP="000839A4">
      <w:pPr>
        <w:keepNext/>
        <w:ind w:firstLine="0"/>
        <w:jc w:val="center"/>
        <w:rPr>
          <w:b/>
          <w:noProof/>
          <w:szCs w:val="24"/>
        </w:rPr>
      </w:pPr>
      <w:r w:rsidRPr="000839A4">
        <w:rPr>
          <w:b/>
          <w:noProof/>
          <w:szCs w:val="24"/>
        </w:rPr>
        <w:t>Určování daňové hodnoty dluhu</w:t>
      </w:r>
    </w:p>
    <w:p w14:paraId="259D2CAD" w14:textId="77777777" w:rsidR="000839A4" w:rsidRPr="000839A4" w:rsidRDefault="000839A4" w:rsidP="000839A4">
      <w:pPr>
        <w:tabs>
          <w:tab w:val="left" w:pos="851"/>
        </w:tabs>
        <w:spacing w:before="120" w:after="120"/>
        <w:ind w:firstLine="427"/>
        <w:outlineLvl w:val="6"/>
        <w:rPr>
          <w:b/>
        </w:rPr>
      </w:pPr>
      <w:r w:rsidRPr="000839A4">
        <w:rPr>
          <w:b/>
        </w:rPr>
        <w:t xml:space="preserve">(1) Daňová hodnota dluhu se rovná prvotní daňové hodnotě dluhu upravené o položky zvyšující nebo snižující daňovou hodnotu. </w:t>
      </w:r>
    </w:p>
    <w:p w14:paraId="19C7A505" w14:textId="77777777" w:rsidR="000839A4" w:rsidRPr="000839A4" w:rsidRDefault="000839A4" w:rsidP="000839A4">
      <w:pPr>
        <w:tabs>
          <w:tab w:val="left" w:pos="851"/>
        </w:tabs>
        <w:spacing w:before="120" w:after="120"/>
        <w:ind w:firstLine="427"/>
        <w:outlineLvl w:val="6"/>
        <w:rPr>
          <w:b/>
        </w:rPr>
      </w:pPr>
      <w:r w:rsidRPr="000839A4">
        <w:rPr>
          <w:b/>
        </w:rPr>
        <w:t xml:space="preserve">(2) Daňová hodnota se zvyšuje o  </w:t>
      </w:r>
    </w:p>
    <w:p w14:paraId="1B125ED3" w14:textId="77777777" w:rsidR="000839A4" w:rsidRPr="000839A4" w:rsidRDefault="000839A4" w:rsidP="000839A4">
      <w:pPr>
        <w:spacing w:before="0"/>
        <w:ind w:left="425" w:hanging="425"/>
        <w:outlineLvl w:val="7"/>
        <w:rPr>
          <w:b/>
        </w:rPr>
      </w:pPr>
      <w:r w:rsidRPr="000839A4">
        <w:rPr>
          <w:b/>
        </w:rPr>
        <w:t>a)</w:t>
      </w:r>
      <w:r w:rsidRPr="000839A4">
        <w:rPr>
          <w:b/>
        </w:rPr>
        <w:tab/>
        <w:t>zvýšení účetní hodnoty při následném ocenění podle právních předpisů upravujících účetnictví reálnou nebo naběhlou hodnotou, které snižuje základ daně,</w:t>
      </w:r>
    </w:p>
    <w:p w14:paraId="2ACC8C5C" w14:textId="77777777" w:rsidR="000839A4" w:rsidRPr="000839A4" w:rsidRDefault="000839A4" w:rsidP="000839A4">
      <w:pPr>
        <w:spacing w:before="0"/>
        <w:ind w:left="425" w:hanging="425"/>
        <w:outlineLvl w:val="7"/>
        <w:rPr>
          <w:b/>
        </w:rPr>
      </w:pPr>
      <w:r w:rsidRPr="000839A4">
        <w:rPr>
          <w:b/>
        </w:rPr>
        <w:t>b)</w:t>
      </w:r>
      <w:r w:rsidRPr="000839A4">
        <w:rPr>
          <w:b/>
        </w:rPr>
        <w:tab/>
        <w:t xml:space="preserve">dodatečné zvýšení pořizovací hodnoty, pokud </w:t>
      </w:r>
    </w:p>
    <w:p w14:paraId="043178BF" w14:textId="77777777" w:rsidR="000839A4" w:rsidRPr="000839A4" w:rsidRDefault="000839A4" w:rsidP="000839A4">
      <w:pPr>
        <w:spacing w:before="0"/>
        <w:ind w:left="851" w:hanging="426"/>
        <w:outlineLvl w:val="8"/>
        <w:rPr>
          <w:b/>
        </w:rPr>
      </w:pPr>
      <w:r w:rsidRPr="000839A4">
        <w:rPr>
          <w:b/>
        </w:rPr>
        <w:t>1.</w:t>
      </w:r>
      <w:r w:rsidRPr="000839A4">
        <w:rPr>
          <w:b/>
        </w:rPr>
        <w:tab/>
        <w:t xml:space="preserve">toto zvýšení zvyšuje prvotní účetní hodnotu dluhu při následném ocenění nebo by ji zvýšilo, kdyby poplatník byl účetní jednotkou, a </w:t>
      </w:r>
    </w:p>
    <w:p w14:paraId="78F1EA43" w14:textId="77777777" w:rsidR="000839A4" w:rsidRPr="000839A4" w:rsidRDefault="000839A4" w:rsidP="000839A4">
      <w:pPr>
        <w:spacing w:before="0"/>
        <w:ind w:left="851" w:hanging="426"/>
        <w:outlineLvl w:val="8"/>
        <w:rPr>
          <w:b/>
        </w:rPr>
      </w:pPr>
      <w:r w:rsidRPr="000839A4">
        <w:rPr>
          <w:b/>
        </w:rPr>
        <w:t>2.</w:t>
      </w:r>
      <w:r w:rsidRPr="000839A4">
        <w:rPr>
          <w:b/>
        </w:rPr>
        <w:tab/>
        <w:t>tato hodnota byla součástí prvotní daňové hodnoty dluhu.</w:t>
      </w:r>
    </w:p>
    <w:p w14:paraId="73B4F2FD" w14:textId="77777777" w:rsidR="000839A4" w:rsidRPr="000839A4" w:rsidRDefault="000839A4" w:rsidP="000839A4">
      <w:pPr>
        <w:tabs>
          <w:tab w:val="left" w:pos="851"/>
        </w:tabs>
        <w:spacing w:before="120" w:after="120"/>
        <w:ind w:firstLine="427"/>
        <w:outlineLvl w:val="6"/>
        <w:rPr>
          <w:b/>
        </w:rPr>
      </w:pPr>
      <w:r w:rsidRPr="000839A4">
        <w:rPr>
          <w:b/>
        </w:rPr>
        <w:t xml:space="preserve">(3) Daňová hodnota se snižuje o  </w:t>
      </w:r>
    </w:p>
    <w:p w14:paraId="7FDACE6A" w14:textId="77777777" w:rsidR="000839A4" w:rsidRPr="000839A4" w:rsidRDefault="000839A4" w:rsidP="000839A4">
      <w:pPr>
        <w:spacing w:before="0"/>
        <w:ind w:left="425" w:hanging="425"/>
        <w:outlineLvl w:val="7"/>
        <w:rPr>
          <w:b/>
        </w:rPr>
      </w:pPr>
      <w:r w:rsidRPr="000839A4">
        <w:rPr>
          <w:b/>
        </w:rPr>
        <w:t>a)</w:t>
      </w:r>
      <w:r w:rsidRPr="000839A4">
        <w:rPr>
          <w:b/>
        </w:rPr>
        <w:tab/>
        <w:t>snížení účetní hodnoty při následném ocenění podle právních předpisů upravujících účetnictví reálnou nebo naběhlou hodnotou, které zvyšuje základ daně,</w:t>
      </w:r>
    </w:p>
    <w:p w14:paraId="082DB81D" w14:textId="77777777" w:rsidR="000839A4" w:rsidRPr="000839A4" w:rsidRDefault="000839A4" w:rsidP="000839A4">
      <w:pPr>
        <w:spacing w:before="0"/>
        <w:ind w:left="425" w:hanging="425"/>
        <w:outlineLvl w:val="7"/>
        <w:rPr>
          <w:b/>
        </w:rPr>
      </w:pPr>
      <w:r w:rsidRPr="000839A4">
        <w:rPr>
          <w:b/>
        </w:rPr>
        <w:t xml:space="preserve">b) </w:t>
      </w:r>
      <w:r w:rsidRPr="000839A4">
        <w:rPr>
          <w:b/>
        </w:rPr>
        <w:tab/>
        <w:t>dodatečné snížení pořizovací hodnoty, pokud</w:t>
      </w:r>
    </w:p>
    <w:p w14:paraId="5CFCF0E6" w14:textId="77777777" w:rsidR="000839A4" w:rsidRPr="000839A4" w:rsidRDefault="000839A4" w:rsidP="000839A4">
      <w:pPr>
        <w:spacing w:before="0"/>
        <w:ind w:left="851" w:hanging="426"/>
        <w:outlineLvl w:val="8"/>
        <w:rPr>
          <w:b/>
        </w:rPr>
      </w:pPr>
      <w:r w:rsidRPr="000839A4">
        <w:rPr>
          <w:b/>
        </w:rPr>
        <w:t>1.</w:t>
      </w:r>
      <w:r w:rsidRPr="000839A4">
        <w:rPr>
          <w:b/>
        </w:rPr>
        <w:tab/>
        <w:t xml:space="preserve">toto snížení snižuje prvotní účetní hodnotu dluhu při následném ocenění nebo by ji snížilo, kdyby poplatník byl účetní jednotkou, a </w:t>
      </w:r>
    </w:p>
    <w:p w14:paraId="6EB28284" w14:textId="77777777" w:rsidR="000839A4" w:rsidRPr="000839A4" w:rsidRDefault="000839A4" w:rsidP="000839A4">
      <w:pPr>
        <w:spacing w:before="0"/>
        <w:ind w:left="851" w:hanging="426"/>
        <w:outlineLvl w:val="8"/>
        <w:rPr>
          <w:b/>
        </w:rPr>
      </w:pPr>
      <w:r w:rsidRPr="000839A4">
        <w:rPr>
          <w:b/>
        </w:rPr>
        <w:t>2.</w:t>
      </w:r>
      <w:r w:rsidRPr="000839A4">
        <w:rPr>
          <w:b/>
        </w:rPr>
        <w:tab/>
        <w:t xml:space="preserve">tato hodnota byla součástí prvotní daňové hodnoty dluhu, </w:t>
      </w:r>
    </w:p>
    <w:p w14:paraId="5145EF6C" w14:textId="77777777" w:rsidR="000839A4" w:rsidRPr="000839A4" w:rsidRDefault="000839A4" w:rsidP="000839A4">
      <w:pPr>
        <w:spacing w:before="0"/>
        <w:ind w:left="425" w:hanging="425"/>
        <w:outlineLvl w:val="7"/>
        <w:rPr>
          <w:b/>
        </w:rPr>
      </w:pPr>
      <w:r w:rsidRPr="000839A4">
        <w:rPr>
          <w:b/>
        </w:rPr>
        <w:t>c)</w:t>
      </w:r>
      <w:r w:rsidRPr="000839A4">
        <w:rPr>
          <w:b/>
        </w:rPr>
        <w:tab/>
        <w:t>daňovou hodnotu zaniklé části dluhu,</w:t>
      </w:r>
    </w:p>
    <w:p w14:paraId="02FEEA9D" w14:textId="77777777" w:rsidR="000839A4" w:rsidRPr="000839A4" w:rsidRDefault="000839A4" w:rsidP="000839A4">
      <w:pPr>
        <w:spacing w:before="0"/>
        <w:ind w:left="425" w:hanging="425"/>
        <w:outlineLvl w:val="7"/>
        <w:rPr>
          <w:b/>
        </w:rPr>
      </w:pPr>
      <w:r w:rsidRPr="000839A4">
        <w:rPr>
          <w:b/>
        </w:rPr>
        <w:t>d)</w:t>
      </w:r>
      <w:r w:rsidRPr="000839A4">
        <w:rPr>
          <w:b/>
        </w:rPr>
        <w:tab/>
        <w:t>daňovou hodnotu části dluhu předávané v rámci převzetí.</w:t>
      </w:r>
    </w:p>
    <w:p w14:paraId="087B3D7D" w14:textId="77777777" w:rsidR="000839A4" w:rsidRPr="000839A4" w:rsidRDefault="000839A4" w:rsidP="000839A4">
      <w:pPr>
        <w:spacing w:before="120"/>
        <w:ind w:firstLine="0"/>
        <w:jc w:val="center"/>
        <w:rPr>
          <w:b/>
          <w:szCs w:val="24"/>
        </w:rPr>
      </w:pPr>
      <w:r w:rsidRPr="000839A4">
        <w:rPr>
          <w:b/>
          <w:szCs w:val="24"/>
        </w:rPr>
        <w:t>Díl 3</w:t>
      </w:r>
    </w:p>
    <w:p w14:paraId="7AF29D94" w14:textId="77777777" w:rsidR="000839A4" w:rsidRPr="000839A4" w:rsidRDefault="000839A4" w:rsidP="000839A4">
      <w:pPr>
        <w:spacing w:before="120"/>
        <w:ind w:firstLine="0"/>
        <w:jc w:val="center"/>
        <w:rPr>
          <w:b/>
          <w:szCs w:val="24"/>
        </w:rPr>
      </w:pPr>
      <w:r w:rsidRPr="000839A4">
        <w:rPr>
          <w:b/>
          <w:szCs w:val="24"/>
        </w:rPr>
        <w:t>Časové rozlišení výdajů souvisejících s evidovaným aktivem</w:t>
      </w:r>
    </w:p>
    <w:p w14:paraId="48943E4D" w14:textId="77777777" w:rsidR="000839A4" w:rsidRPr="000839A4" w:rsidRDefault="000839A4" w:rsidP="000839A4">
      <w:pPr>
        <w:keepNext/>
        <w:keepLines/>
        <w:numPr>
          <w:ilvl w:val="0"/>
          <w:numId w:val="1"/>
        </w:numPr>
        <w:spacing w:before="120"/>
        <w:jc w:val="center"/>
        <w:outlineLvl w:val="5"/>
        <w:rPr>
          <w:b/>
        </w:rPr>
      </w:pPr>
      <w:r w:rsidRPr="000839A4">
        <w:rPr>
          <w:b/>
        </w:rPr>
        <w:t>§ 23s</w:t>
      </w:r>
    </w:p>
    <w:p w14:paraId="7A26F127" w14:textId="77777777" w:rsidR="000839A4" w:rsidRPr="000839A4" w:rsidRDefault="000839A4" w:rsidP="000839A4">
      <w:pPr>
        <w:keepNext/>
        <w:keepLines/>
        <w:numPr>
          <w:ilvl w:val="0"/>
          <w:numId w:val="1"/>
        </w:numPr>
        <w:spacing w:before="120"/>
        <w:jc w:val="center"/>
        <w:outlineLvl w:val="5"/>
        <w:rPr>
          <w:b/>
        </w:rPr>
      </w:pPr>
      <w:r w:rsidRPr="000839A4">
        <w:rPr>
          <w:b/>
        </w:rPr>
        <w:t>Okamžitý výdaj poplatníka s hotovostním základem daně</w:t>
      </w:r>
    </w:p>
    <w:p w14:paraId="42FE5590" w14:textId="77777777" w:rsidR="000839A4" w:rsidRPr="000839A4" w:rsidRDefault="000839A4" w:rsidP="000839A4">
      <w:pPr>
        <w:tabs>
          <w:tab w:val="left" w:pos="851"/>
        </w:tabs>
        <w:spacing w:before="120" w:after="120"/>
        <w:ind w:firstLine="427"/>
        <w:outlineLvl w:val="6"/>
        <w:rPr>
          <w:b/>
        </w:rPr>
      </w:pPr>
      <w:r w:rsidRPr="000839A4">
        <w:rPr>
          <w:b/>
        </w:rPr>
        <w:t>(1) Okamžitý výdaj se týká evidovaného aktiva poplatníka s hotovostním základem daně, kterého se netýká odložený ani průběžný výdaj.</w:t>
      </w:r>
    </w:p>
    <w:p w14:paraId="32253A79" w14:textId="77777777" w:rsidR="000839A4" w:rsidRPr="000839A4" w:rsidRDefault="000839A4" w:rsidP="000839A4">
      <w:pPr>
        <w:tabs>
          <w:tab w:val="left" w:pos="851"/>
        </w:tabs>
        <w:spacing w:before="120" w:after="120"/>
        <w:ind w:firstLine="427"/>
        <w:outlineLvl w:val="6"/>
        <w:rPr>
          <w:b/>
        </w:rPr>
      </w:pPr>
      <w:r w:rsidRPr="000839A4">
        <w:rPr>
          <w:b/>
        </w:rPr>
        <w:t xml:space="preserve">(2) Okamžitý výdaj snižuje daňovou hodnotu aktiva v  </w:t>
      </w:r>
    </w:p>
    <w:p w14:paraId="59410088" w14:textId="77777777" w:rsidR="000839A4" w:rsidRPr="000839A4" w:rsidRDefault="000839A4" w:rsidP="000839A4">
      <w:pPr>
        <w:spacing w:before="0"/>
        <w:ind w:left="425" w:hanging="425"/>
        <w:outlineLvl w:val="7"/>
        <w:rPr>
          <w:b/>
        </w:rPr>
      </w:pPr>
      <w:r w:rsidRPr="000839A4">
        <w:rPr>
          <w:b/>
        </w:rPr>
        <w:t xml:space="preserve">a) </w:t>
      </w:r>
      <w:r w:rsidRPr="000839A4">
        <w:rPr>
          <w:b/>
        </w:rPr>
        <w:tab/>
        <w:t xml:space="preserve">okamžiku jeho úhrady, </w:t>
      </w:r>
    </w:p>
    <w:p w14:paraId="2DBE53AC" w14:textId="77777777" w:rsidR="000839A4" w:rsidRPr="000839A4" w:rsidRDefault="000839A4" w:rsidP="000839A4">
      <w:pPr>
        <w:spacing w:before="0"/>
        <w:ind w:left="425" w:hanging="425"/>
        <w:outlineLvl w:val="7"/>
        <w:rPr>
          <w:b/>
        </w:rPr>
      </w:pPr>
      <w:r w:rsidRPr="000839A4">
        <w:rPr>
          <w:b/>
        </w:rPr>
        <w:lastRenderedPageBreak/>
        <w:t>b)</w:t>
      </w:r>
      <w:r w:rsidRPr="000839A4">
        <w:rPr>
          <w:b/>
        </w:rPr>
        <w:tab/>
        <w:t xml:space="preserve">okamžiku jeho bezúplatného nabytí, </w:t>
      </w:r>
    </w:p>
    <w:p w14:paraId="799CC765" w14:textId="77777777" w:rsidR="000839A4" w:rsidRPr="000839A4" w:rsidRDefault="000839A4" w:rsidP="000839A4">
      <w:pPr>
        <w:spacing w:before="0"/>
        <w:ind w:left="425" w:hanging="425"/>
        <w:outlineLvl w:val="7"/>
        <w:rPr>
          <w:b/>
        </w:rPr>
      </w:pPr>
      <w:r w:rsidRPr="000839A4">
        <w:rPr>
          <w:b/>
        </w:rPr>
        <w:t>c)</w:t>
      </w:r>
      <w:r w:rsidRPr="000839A4">
        <w:rPr>
          <w:b/>
        </w:rPr>
        <w:tab/>
        <w:t>okamžiku, kdy se neevidované aktivum stane evidovaným aktivem.</w:t>
      </w:r>
    </w:p>
    <w:p w14:paraId="0E9A6CB3" w14:textId="77777777" w:rsidR="000839A4" w:rsidRPr="000839A4" w:rsidRDefault="000839A4" w:rsidP="000839A4">
      <w:pPr>
        <w:tabs>
          <w:tab w:val="left" w:pos="851"/>
        </w:tabs>
        <w:spacing w:before="120" w:after="120"/>
        <w:ind w:firstLine="427"/>
        <w:outlineLvl w:val="6"/>
        <w:rPr>
          <w:b/>
        </w:rPr>
      </w:pPr>
      <w:r w:rsidRPr="000839A4">
        <w:rPr>
          <w:b/>
        </w:rPr>
        <w:t xml:space="preserve">(3) Výše okamžitého výdaje je rovna </w:t>
      </w:r>
    </w:p>
    <w:p w14:paraId="5548BE02" w14:textId="77777777" w:rsidR="000839A4" w:rsidRPr="000839A4" w:rsidRDefault="000839A4" w:rsidP="000839A4">
      <w:pPr>
        <w:spacing w:before="0"/>
        <w:ind w:left="425" w:hanging="425"/>
        <w:outlineLvl w:val="7"/>
        <w:rPr>
          <w:b/>
        </w:rPr>
      </w:pPr>
      <w:r w:rsidRPr="000839A4">
        <w:rPr>
          <w:b/>
        </w:rPr>
        <w:t>a)</w:t>
      </w:r>
      <w:r w:rsidRPr="000839A4">
        <w:rPr>
          <w:b/>
        </w:rPr>
        <w:tab/>
        <w:t>výši uhrazené části daňové hodnoty v případě úplatně nabytého aktiva,</w:t>
      </w:r>
    </w:p>
    <w:p w14:paraId="62AE284B" w14:textId="77777777" w:rsidR="000839A4" w:rsidRPr="000839A4" w:rsidRDefault="000839A4" w:rsidP="000839A4">
      <w:pPr>
        <w:spacing w:before="0"/>
        <w:ind w:left="425" w:hanging="425"/>
        <w:outlineLvl w:val="7"/>
        <w:rPr>
          <w:b/>
        </w:rPr>
      </w:pPr>
      <w:r w:rsidRPr="000839A4">
        <w:rPr>
          <w:b/>
        </w:rPr>
        <w:t>b)</w:t>
      </w:r>
      <w:r w:rsidRPr="000839A4">
        <w:rPr>
          <w:b/>
        </w:rPr>
        <w:tab/>
        <w:t>daňové hodnotě aktiva v případě bezúplatně nabytého aktiva</w:t>
      </w:r>
    </w:p>
    <w:p w14:paraId="4E4CAFB8" w14:textId="77777777" w:rsidR="000839A4" w:rsidRPr="000839A4" w:rsidRDefault="000839A4" w:rsidP="000839A4">
      <w:pPr>
        <w:spacing w:before="0"/>
        <w:ind w:left="425" w:hanging="425"/>
        <w:outlineLvl w:val="7"/>
        <w:rPr>
          <w:b/>
        </w:rPr>
      </w:pPr>
      <w:r w:rsidRPr="000839A4">
        <w:rPr>
          <w:b/>
        </w:rPr>
        <w:t>c)</w:t>
      </w:r>
      <w:r w:rsidRPr="000839A4">
        <w:rPr>
          <w:b/>
        </w:rPr>
        <w:tab/>
        <w:t>daňové hodnotě dříve neevidovaného aktiva.</w:t>
      </w:r>
    </w:p>
    <w:p w14:paraId="6EFE03F3" w14:textId="77777777" w:rsidR="000839A4" w:rsidRPr="000839A4" w:rsidRDefault="000839A4" w:rsidP="000839A4">
      <w:pPr>
        <w:tabs>
          <w:tab w:val="left" w:pos="851"/>
        </w:tabs>
        <w:spacing w:before="120" w:after="120"/>
        <w:ind w:firstLine="427"/>
        <w:outlineLvl w:val="6"/>
        <w:rPr>
          <w:b/>
        </w:rPr>
      </w:pPr>
      <w:r w:rsidRPr="000839A4">
        <w:rPr>
          <w:b/>
        </w:rPr>
        <w:t>(4) Okamžitý výdaj nesnižuje daňovou hodnotu aktiva, pokud má být</w:t>
      </w:r>
    </w:p>
    <w:p w14:paraId="21EA86E0" w14:textId="77777777" w:rsidR="000839A4" w:rsidRPr="000839A4" w:rsidRDefault="000839A4" w:rsidP="000839A4">
      <w:pPr>
        <w:spacing w:before="0"/>
        <w:ind w:left="425" w:hanging="425"/>
        <w:outlineLvl w:val="7"/>
        <w:rPr>
          <w:b/>
        </w:rPr>
      </w:pPr>
      <w:r w:rsidRPr="000839A4">
        <w:rPr>
          <w:b/>
        </w:rPr>
        <w:t xml:space="preserve">a) </w:t>
      </w:r>
      <w:r w:rsidRPr="000839A4">
        <w:rPr>
          <w:b/>
        </w:rPr>
        <w:tab/>
        <w:t xml:space="preserve">jeho daňová hodnota součástí prvotní daňové hodnoty jiného aktiva nebo dodatečného zhodnocení, nebo </w:t>
      </w:r>
    </w:p>
    <w:p w14:paraId="3D45141F" w14:textId="77777777" w:rsidR="000839A4" w:rsidRPr="000839A4" w:rsidRDefault="000839A4" w:rsidP="000839A4">
      <w:pPr>
        <w:spacing w:before="0"/>
        <w:ind w:left="425" w:hanging="425"/>
        <w:outlineLvl w:val="7"/>
        <w:rPr>
          <w:b/>
        </w:rPr>
      </w:pPr>
      <w:r w:rsidRPr="000839A4">
        <w:rPr>
          <w:b/>
        </w:rPr>
        <w:t xml:space="preserve">b) </w:t>
      </w:r>
      <w:r w:rsidRPr="000839A4">
        <w:rPr>
          <w:b/>
        </w:rPr>
        <w:tab/>
        <w:t>toto aktivum předmětem kapitálového vkladu.</w:t>
      </w:r>
    </w:p>
    <w:p w14:paraId="1E21AD73" w14:textId="77777777" w:rsidR="000839A4" w:rsidRPr="000839A4" w:rsidRDefault="000839A4" w:rsidP="000839A4">
      <w:pPr>
        <w:tabs>
          <w:tab w:val="left" w:pos="851"/>
        </w:tabs>
        <w:spacing w:before="120" w:after="120"/>
        <w:ind w:firstLine="427"/>
        <w:outlineLvl w:val="6"/>
        <w:rPr>
          <w:b/>
        </w:rPr>
      </w:pPr>
      <w:r w:rsidRPr="000839A4">
        <w:rPr>
          <w:b/>
        </w:rPr>
        <w:t>(5) Byla-li již daňová hodnota aktiva podle odstavce 4 o okamžitý výdaj snížena, zvýší se o částku tohoto výdaje</w:t>
      </w:r>
    </w:p>
    <w:p w14:paraId="0D07D37F" w14:textId="77777777" w:rsidR="000839A4" w:rsidRPr="000839A4" w:rsidRDefault="000839A4" w:rsidP="000839A4">
      <w:pPr>
        <w:spacing w:before="0"/>
        <w:ind w:left="425" w:hanging="425"/>
        <w:outlineLvl w:val="7"/>
        <w:rPr>
          <w:b/>
        </w:rPr>
      </w:pPr>
      <w:r w:rsidRPr="000839A4">
        <w:rPr>
          <w:b/>
        </w:rPr>
        <w:t>a)</w:t>
      </w:r>
      <w:r w:rsidRPr="000839A4">
        <w:rPr>
          <w:b/>
        </w:rPr>
        <w:tab/>
        <w:t xml:space="preserve">jeho daňová hodnota v okamžiku, kdy bylo aktivum použito podle odstavce 4, </w:t>
      </w:r>
    </w:p>
    <w:p w14:paraId="004963E4" w14:textId="77777777" w:rsidR="000839A4" w:rsidRPr="000839A4" w:rsidRDefault="000839A4" w:rsidP="000839A4">
      <w:pPr>
        <w:spacing w:before="0"/>
        <w:ind w:left="425" w:hanging="425"/>
        <w:outlineLvl w:val="7"/>
        <w:rPr>
          <w:b/>
        </w:rPr>
      </w:pPr>
      <w:r w:rsidRPr="000839A4">
        <w:rPr>
          <w:b/>
        </w:rPr>
        <w:t>b)</w:t>
      </w:r>
      <w:r w:rsidRPr="000839A4">
        <w:rPr>
          <w:b/>
        </w:rPr>
        <w:tab/>
        <w:t xml:space="preserve">rozdíl mezi příjmy a výdaji za zdaňovací období, ve kterém bylo aktivum použito podle odstavce 4, pokud byl okamžitý výdaj uplatněn jako výdaj vynaložený na dosažení, zajištění a udržení zdanitelných příjmů. </w:t>
      </w:r>
    </w:p>
    <w:p w14:paraId="1A89D083" w14:textId="77777777" w:rsidR="000839A4" w:rsidRPr="000839A4" w:rsidRDefault="000839A4" w:rsidP="000839A4">
      <w:pPr>
        <w:tabs>
          <w:tab w:val="left" w:pos="851"/>
        </w:tabs>
        <w:spacing w:before="120" w:after="120"/>
        <w:ind w:firstLine="427"/>
        <w:outlineLvl w:val="6"/>
        <w:rPr>
          <w:b/>
        </w:rPr>
      </w:pPr>
      <w:r w:rsidRPr="000839A4">
        <w:rPr>
          <w:b/>
        </w:rPr>
        <w:t>(6) Nebyla-li u aktiva podle odstavce 4 daňová hodnota snížena o okamžitý výdaj a poplatník zjistí, že toto aktivum nebude použito podle odstavce 4, sníží se daňová hodnota tohoto aktiva v okamžiku tohoto zjištění.</w:t>
      </w:r>
      <w:r w:rsidRPr="000839A4" w:rsidDel="00BA7548">
        <w:rPr>
          <w:b/>
        </w:rPr>
        <w:t xml:space="preserve"> </w:t>
      </w:r>
    </w:p>
    <w:p w14:paraId="3410EB4A" w14:textId="77777777" w:rsidR="000839A4" w:rsidRPr="000839A4" w:rsidRDefault="000839A4" w:rsidP="000839A4">
      <w:pPr>
        <w:tabs>
          <w:tab w:val="left" w:pos="851"/>
        </w:tabs>
        <w:spacing w:before="120" w:after="120"/>
        <w:ind w:firstLine="427"/>
        <w:outlineLvl w:val="6"/>
        <w:rPr>
          <w:b/>
        </w:rPr>
      </w:pPr>
      <w:r w:rsidRPr="000839A4">
        <w:rPr>
          <w:b/>
        </w:rPr>
        <w:t xml:space="preserve">(7) Po vyřazení úplatně nabytého aktiva, kterého se týká okamžitý výdaj a jehož daňová hodnota nebyla do okamžiku jeho vyřazení uhrazena, je uhrazená částka odpovídající daňové hodnotě vyřazeného aktiva výdajem v okamžiku jejího uhrazení. </w:t>
      </w:r>
    </w:p>
    <w:p w14:paraId="081F327C" w14:textId="77777777" w:rsidR="000839A4" w:rsidRPr="000839A4" w:rsidRDefault="000839A4" w:rsidP="000839A4">
      <w:pPr>
        <w:keepNext/>
        <w:keepLines/>
        <w:numPr>
          <w:ilvl w:val="0"/>
          <w:numId w:val="1"/>
        </w:numPr>
        <w:spacing w:before="120"/>
        <w:jc w:val="center"/>
        <w:outlineLvl w:val="5"/>
        <w:rPr>
          <w:b/>
        </w:rPr>
      </w:pPr>
      <w:r w:rsidRPr="000839A4">
        <w:rPr>
          <w:b/>
        </w:rPr>
        <w:t>§ 23t</w:t>
      </w:r>
    </w:p>
    <w:p w14:paraId="2FE0785E" w14:textId="77777777" w:rsidR="000839A4" w:rsidRPr="000839A4" w:rsidRDefault="000839A4" w:rsidP="000839A4">
      <w:pPr>
        <w:keepNext/>
        <w:keepLines/>
        <w:numPr>
          <w:ilvl w:val="0"/>
          <w:numId w:val="1"/>
        </w:numPr>
        <w:spacing w:before="120"/>
        <w:jc w:val="center"/>
        <w:outlineLvl w:val="5"/>
        <w:rPr>
          <w:b/>
        </w:rPr>
      </w:pPr>
      <w:r w:rsidRPr="000839A4">
        <w:rPr>
          <w:b/>
        </w:rPr>
        <w:t>Okamžitý výdaj poplatníka s akruálním základem daně</w:t>
      </w:r>
    </w:p>
    <w:p w14:paraId="51768643" w14:textId="77777777" w:rsidR="000839A4" w:rsidRPr="000839A4" w:rsidRDefault="000839A4" w:rsidP="000839A4">
      <w:pPr>
        <w:tabs>
          <w:tab w:val="left" w:pos="851"/>
        </w:tabs>
        <w:spacing w:before="120" w:after="120"/>
        <w:ind w:firstLine="427"/>
        <w:outlineLvl w:val="6"/>
        <w:rPr>
          <w:b/>
        </w:rPr>
      </w:pPr>
      <w:r w:rsidRPr="000839A4">
        <w:rPr>
          <w:b/>
        </w:rPr>
        <w:t>(1) Okamžitý výdaj se týká evidovaného aktiva poplatníka s akruálním základem daně, které není daňově odpisovaným aktivem a jehož účetní hodnota je nákladem v okamžiku uznání aktiva.</w:t>
      </w:r>
    </w:p>
    <w:p w14:paraId="4B09A98E" w14:textId="77777777" w:rsidR="000839A4" w:rsidRPr="000839A4" w:rsidRDefault="000839A4" w:rsidP="000839A4">
      <w:pPr>
        <w:tabs>
          <w:tab w:val="left" w:pos="851"/>
        </w:tabs>
        <w:spacing w:before="120" w:after="120"/>
        <w:ind w:firstLine="427"/>
        <w:outlineLvl w:val="6"/>
        <w:rPr>
          <w:b/>
        </w:rPr>
      </w:pPr>
      <w:r w:rsidRPr="000839A4">
        <w:rPr>
          <w:b/>
        </w:rPr>
        <w:t>(2) Okamžitý výdaj snižuje daňovou hodnotu aktiva v okamžiku uznání souvisejícího nákladu.</w:t>
      </w:r>
    </w:p>
    <w:p w14:paraId="4CBA9808" w14:textId="77777777" w:rsidR="000839A4" w:rsidRPr="000839A4" w:rsidRDefault="000839A4" w:rsidP="000839A4">
      <w:pPr>
        <w:tabs>
          <w:tab w:val="left" w:pos="851"/>
        </w:tabs>
        <w:spacing w:before="120" w:after="120"/>
        <w:ind w:firstLine="427"/>
        <w:outlineLvl w:val="6"/>
        <w:rPr>
          <w:b/>
        </w:rPr>
      </w:pPr>
      <w:r w:rsidRPr="000839A4">
        <w:rPr>
          <w:b/>
        </w:rPr>
        <w:t xml:space="preserve">(3) Výše okamžitého výdaje je rovna daňové hodnotě aktiva. </w:t>
      </w:r>
    </w:p>
    <w:p w14:paraId="2D6756E1" w14:textId="77777777" w:rsidR="000839A4" w:rsidRPr="000839A4" w:rsidRDefault="000839A4" w:rsidP="000839A4">
      <w:pPr>
        <w:keepNext/>
        <w:keepLines/>
        <w:numPr>
          <w:ilvl w:val="0"/>
          <w:numId w:val="1"/>
        </w:numPr>
        <w:spacing w:before="120"/>
        <w:jc w:val="center"/>
        <w:outlineLvl w:val="5"/>
        <w:rPr>
          <w:b/>
        </w:rPr>
      </w:pPr>
      <w:r w:rsidRPr="000839A4">
        <w:rPr>
          <w:b/>
        </w:rPr>
        <w:t>§ 23u</w:t>
      </w:r>
    </w:p>
    <w:p w14:paraId="707CC5C2" w14:textId="77777777" w:rsidR="000839A4" w:rsidRPr="000839A4" w:rsidRDefault="000839A4" w:rsidP="000839A4">
      <w:pPr>
        <w:keepNext/>
        <w:keepLines/>
        <w:numPr>
          <w:ilvl w:val="0"/>
          <w:numId w:val="1"/>
        </w:numPr>
        <w:spacing w:before="120"/>
        <w:jc w:val="center"/>
        <w:outlineLvl w:val="5"/>
        <w:rPr>
          <w:b/>
        </w:rPr>
      </w:pPr>
      <w:r w:rsidRPr="000839A4">
        <w:rPr>
          <w:b/>
        </w:rPr>
        <w:t>Odložený výdaj poplatníka s hotovostním základem daně</w:t>
      </w:r>
    </w:p>
    <w:p w14:paraId="7DBBA360" w14:textId="77777777" w:rsidR="000839A4" w:rsidRPr="000839A4" w:rsidRDefault="000839A4" w:rsidP="000839A4">
      <w:pPr>
        <w:tabs>
          <w:tab w:val="left" w:pos="851"/>
        </w:tabs>
        <w:spacing w:before="120" w:after="120"/>
        <w:ind w:firstLine="427"/>
        <w:outlineLvl w:val="6"/>
        <w:rPr>
          <w:b/>
        </w:rPr>
      </w:pPr>
      <w:r w:rsidRPr="000839A4">
        <w:rPr>
          <w:b/>
        </w:rPr>
        <w:t xml:space="preserve">(1) Odložený výdaj se týká evidovaného aktiva poplatníka s hotovostním základem daně, které je </w:t>
      </w:r>
    </w:p>
    <w:p w14:paraId="22779C7A" w14:textId="77777777" w:rsidR="000839A4" w:rsidRPr="000839A4" w:rsidRDefault="000839A4" w:rsidP="000839A4">
      <w:pPr>
        <w:spacing w:before="0"/>
        <w:ind w:left="425" w:hanging="425"/>
        <w:outlineLvl w:val="7"/>
        <w:rPr>
          <w:b/>
        </w:rPr>
      </w:pPr>
      <w:r w:rsidRPr="000839A4">
        <w:rPr>
          <w:b/>
        </w:rPr>
        <w:t xml:space="preserve">a) </w:t>
      </w:r>
      <w:r w:rsidRPr="000839A4">
        <w:rPr>
          <w:b/>
        </w:rPr>
        <w:tab/>
        <w:t>daňově odpisovaným aktivem,</w:t>
      </w:r>
    </w:p>
    <w:p w14:paraId="61BABEDF" w14:textId="77777777" w:rsidR="000839A4" w:rsidRPr="000839A4" w:rsidRDefault="000839A4" w:rsidP="000839A4">
      <w:pPr>
        <w:spacing w:before="0"/>
        <w:ind w:left="425" w:hanging="425"/>
        <w:outlineLvl w:val="7"/>
        <w:rPr>
          <w:b/>
        </w:rPr>
      </w:pPr>
      <w:r w:rsidRPr="000839A4">
        <w:rPr>
          <w:b/>
        </w:rPr>
        <w:t xml:space="preserve">b) </w:t>
      </w:r>
      <w:r w:rsidRPr="000839A4">
        <w:rPr>
          <w:b/>
        </w:rPr>
        <w:tab/>
        <w:t>pozemkem,</w:t>
      </w:r>
    </w:p>
    <w:p w14:paraId="543966F3" w14:textId="77777777" w:rsidR="000839A4" w:rsidRPr="000839A4" w:rsidRDefault="000839A4" w:rsidP="000839A4">
      <w:pPr>
        <w:spacing w:before="0"/>
        <w:ind w:left="425" w:hanging="425"/>
        <w:outlineLvl w:val="7"/>
        <w:rPr>
          <w:b/>
        </w:rPr>
      </w:pPr>
      <w:r w:rsidRPr="000839A4">
        <w:rPr>
          <w:b/>
        </w:rPr>
        <w:t xml:space="preserve">c) </w:t>
      </w:r>
      <w:r w:rsidRPr="000839A4">
        <w:rPr>
          <w:b/>
        </w:rPr>
        <w:tab/>
        <w:t xml:space="preserve">uměleckým dílem, které není součástí stavby, sbírkou muzejní povahy, movitou kulturní památkou, předmětem kulturní hodnoty a obdobnou hmotnou movitou věcí, pokud by nebyly podle právních předpisů upravujících účetnictví zásobami, </w:t>
      </w:r>
    </w:p>
    <w:p w14:paraId="392F4E5F" w14:textId="77777777" w:rsidR="000839A4" w:rsidRPr="000839A4" w:rsidRDefault="000839A4" w:rsidP="000839A4">
      <w:pPr>
        <w:spacing w:before="0"/>
        <w:ind w:left="425" w:hanging="425"/>
        <w:outlineLvl w:val="7"/>
        <w:rPr>
          <w:b/>
        </w:rPr>
      </w:pPr>
      <w:r w:rsidRPr="000839A4">
        <w:rPr>
          <w:b/>
        </w:rPr>
        <w:t xml:space="preserve">d) </w:t>
      </w:r>
      <w:r w:rsidRPr="000839A4">
        <w:rPr>
          <w:b/>
        </w:rPr>
        <w:tab/>
        <w:t>cenným papírem,</w:t>
      </w:r>
    </w:p>
    <w:p w14:paraId="66DE6109" w14:textId="77777777" w:rsidR="000839A4" w:rsidRPr="000839A4" w:rsidRDefault="000839A4" w:rsidP="000839A4">
      <w:pPr>
        <w:spacing w:before="0"/>
        <w:ind w:left="425" w:hanging="425"/>
        <w:outlineLvl w:val="7"/>
        <w:rPr>
          <w:b/>
        </w:rPr>
      </w:pPr>
      <w:r w:rsidRPr="000839A4">
        <w:rPr>
          <w:b/>
        </w:rPr>
        <w:t>e)</w:t>
      </w:r>
      <w:r w:rsidRPr="000839A4">
        <w:rPr>
          <w:b/>
        </w:rPr>
        <w:tab/>
        <w:t>kapitálovým podílem,</w:t>
      </w:r>
    </w:p>
    <w:p w14:paraId="7C3D7DE4" w14:textId="77777777" w:rsidR="000839A4" w:rsidRPr="000839A4" w:rsidRDefault="000839A4" w:rsidP="000839A4">
      <w:pPr>
        <w:spacing w:before="0"/>
        <w:ind w:left="425" w:hanging="425"/>
        <w:outlineLvl w:val="7"/>
        <w:rPr>
          <w:b/>
        </w:rPr>
      </w:pPr>
      <w:r w:rsidRPr="000839A4">
        <w:rPr>
          <w:b/>
        </w:rPr>
        <w:t xml:space="preserve">f) </w:t>
      </w:r>
      <w:r w:rsidRPr="000839A4">
        <w:rPr>
          <w:b/>
        </w:rPr>
        <w:tab/>
        <w:t>pohledávkou,</w:t>
      </w:r>
    </w:p>
    <w:p w14:paraId="5E139C0C" w14:textId="77777777" w:rsidR="000839A4" w:rsidRPr="000839A4" w:rsidRDefault="000839A4" w:rsidP="000839A4">
      <w:pPr>
        <w:spacing w:before="0"/>
        <w:ind w:left="425" w:hanging="425"/>
        <w:outlineLvl w:val="7"/>
        <w:rPr>
          <w:b/>
        </w:rPr>
      </w:pPr>
      <w:r w:rsidRPr="000839A4">
        <w:rPr>
          <w:b/>
        </w:rPr>
        <w:lastRenderedPageBreak/>
        <w:t xml:space="preserve">g) </w:t>
      </w:r>
      <w:r w:rsidRPr="000839A4">
        <w:rPr>
          <w:b/>
        </w:rPr>
        <w:tab/>
        <w:t>peněžním prostředkem</w:t>
      </w:r>
    </w:p>
    <w:p w14:paraId="31565AE4" w14:textId="77777777" w:rsidR="000839A4" w:rsidRPr="000839A4" w:rsidRDefault="000839A4" w:rsidP="000839A4">
      <w:pPr>
        <w:spacing w:before="0"/>
        <w:ind w:left="851" w:hanging="426"/>
        <w:outlineLvl w:val="8"/>
        <w:rPr>
          <w:b/>
        </w:rPr>
      </w:pPr>
      <w:r w:rsidRPr="000839A4">
        <w:rPr>
          <w:b/>
        </w:rPr>
        <w:t xml:space="preserve">1. </w:t>
      </w:r>
      <w:r w:rsidRPr="000839A4">
        <w:rPr>
          <w:b/>
        </w:rPr>
        <w:tab/>
        <w:t>cizí měny při pozbytí za peněžní prostředek jiné měny, nebo</w:t>
      </w:r>
    </w:p>
    <w:p w14:paraId="58E9B132" w14:textId="77777777" w:rsidR="000839A4" w:rsidRPr="000839A4" w:rsidRDefault="000839A4" w:rsidP="000839A4">
      <w:pPr>
        <w:spacing w:before="0"/>
        <w:ind w:left="851" w:hanging="426"/>
        <w:outlineLvl w:val="8"/>
      </w:pPr>
      <w:r w:rsidRPr="000839A4">
        <w:rPr>
          <w:b/>
        </w:rPr>
        <w:t xml:space="preserve">2. </w:t>
      </w:r>
      <w:r w:rsidRPr="000839A4">
        <w:rPr>
          <w:b/>
        </w:rPr>
        <w:tab/>
        <w:t xml:space="preserve">při pozbytí obchodního závodu nebo aktiv jako celku, jejichž je součástí. </w:t>
      </w:r>
    </w:p>
    <w:p w14:paraId="183FB93D" w14:textId="77777777" w:rsidR="000839A4" w:rsidRPr="000839A4" w:rsidRDefault="000839A4" w:rsidP="000839A4">
      <w:pPr>
        <w:tabs>
          <w:tab w:val="left" w:pos="851"/>
        </w:tabs>
        <w:spacing w:before="120" w:after="120"/>
        <w:ind w:firstLine="427"/>
        <w:outlineLvl w:val="6"/>
        <w:rPr>
          <w:b/>
        </w:rPr>
      </w:pPr>
      <w:r w:rsidRPr="000839A4">
        <w:rPr>
          <w:b/>
        </w:rPr>
        <w:t>(2) Odložený výdaj snižuje daňovou hodnotu aktiva v okamžiku jeho vyřazení.</w:t>
      </w:r>
    </w:p>
    <w:p w14:paraId="5FB2061E" w14:textId="77777777" w:rsidR="000839A4" w:rsidRPr="000839A4" w:rsidRDefault="000839A4" w:rsidP="000839A4">
      <w:pPr>
        <w:tabs>
          <w:tab w:val="left" w:pos="851"/>
        </w:tabs>
        <w:spacing w:before="120" w:after="120"/>
        <w:ind w:firstLine="427"/>
        <w:outlineLvl w:val="6"/>
        <w:rPr>
          <w:b/>
        </w:rPr>
      </w:pPr>
      <w:r w:rsidRPr="000839A4">
        <w:rPr>
          <w:b/>
        </w:rPr>
        <w:t xml:space="preserve">(3) Výše odloženého výdaje je rovna </w:t>
      </w:r>
    </w:p>
    <w:p w14:paraId="4BA18623" w14:textId="77777777" w:rsidR="000839A4" w:rsidRPr="000839A4" w:rsidRDefault="000839A4" w:rsidP="000839A4">
      <w:pPr>
        <w:spacing w:before="0"/>
        <w:ind w:left="425" w:hanging="425"/>
        <w:outlineLvl w:val="7"/>
        <w:rPr>
          <w:b/>
        </w:rPr>
      </w:pPr>
      <w:r w:rsidRPr="000839A4">
        <w:rPr>
          <w:b/>
        </w:rPr>
        <w:t xml:space="preserve">a) </w:t>
      </w:r>
      <w:r w:rsidRPr="000839A4">
        <w:rPr>
          <w:b/>
        </w:rPr>
        <w:tab/>
        <w:t>výši uhrazené části daňové hodnoty v případě úplatně nabytého aktiva,</w:t>
      </w:r>
    </w:p>
    <w:p w14:paraId="0EA3D35F" w14:textId="77777777" w:rsidR="000839A4" w:rsidRPr="000839A4" w:rsidRDefault="000839A4" w:rsidP="000839A4">
      <w:pPr>
        <w:spacing w:before="0"/>
        <w:ind w:left="425" w:hanging="425"/>
        <w:outlineLvl w:val="7"/>
        <w:rPr>
          <w:b/>
        </w:rPr>
      </w:pPr>
      <w:r w:rsidRPr="000839A4">
        <w:rPr>
          <w:b/>
        </w:rPr>
        <w:t xml:space="preserve">b) </w:t>
      </w:r>
      <w:r w:rsidRPr="000839A4">
        <w:rPr>
          <w:b/>
        </w:rPr>
        <w:tab/>
        <w:t>daňové hodnotě aktiva v případě bezúplatně nabytého aktiva.</w:t>
      </w:r>
    </w:p>
    <w:p w14:paraId="3DF09125" w14:textId="77777777" w:rsidR="000839A4" w:rsidRPr="000839A4" w:rsidRDefault="000839A4" w:rsidP="000839A4">
      <w:pPr>
        <w:tabs>
          <w:tab w:val="left" w:pos="851"/>
        </w:tabs>
        <w:spacing w:before="120" w:after="120"/>
        <w:ind w:firstLine="427"/>
        <w:outlineLvl w:val="6"/>
        <w:rPr>
          <w:b/>
        </w:rPr>
      </w:pPr>
      <w:r w:rsidRPr="000839A4">
        <w:rPr>
          <w:b/>
        </w:rPr>
        <w:t xml:space="preserve">(4) Po vyřazení úplatně nabytého aktiva, kterého se týká odložený výdaj a jehož daňová hodnota nebyla do okamžiku jeho vyřazení uhrazena, je uhrazená částka odpovídající daňové hodnotě vyřazeného aktiva výdajem v okamžiku jejího uhrazení. </w:t>
      </w:r>
    </w:p>
    <w:p w14:paraId="50FD03AB" w14:textId="77777777" w:rsidR="000839A4" w:rsidRPr="000839A4" w:rsidRDefault="000839A4" w:rsidP="000839A4">
      <w:pPr>
        <w:keepNext/>
        <w:keepLines/>
        <w:numPr>
          <w:ilvl w:val="0"/>
          <w:numId w:val="1"/>
        </w:numPr>
        <w:spacing w:before="120"/>
        <w:jc w:val="center"/>
        <w:outlineLvl w:val="5"/>
        <w:rPr>
          <w:b/>
        </w:rPr>
      </w:pPr>
      <w:r w:rsidRPr="000839A4">
        <w:rPr>
          <w:b/>
        </w:rPr>
        <w:t>§ 23v</w:t>
      </w:r>
    </w:p>
    <w:p w14:paraId="15829F0D" w14:textId="77777777" w:rsidR="000839A4" w:rsidRPr="000839A4" w:rsidRDefault="000839A4" w:rsidP="000839A4">
      <w:pPr>
        <w:keepNext/>
        <w:keepLines/>
        <w:numPr>
          <w:ilvl w:val="0"/>
          <w:numId w:val="1"/>
        </w:numPr>
        <w:spacing w:before="120"/>
        <w:jc w:val="center"/>
        <w:outlineLvl w:val="5"/>
        <w:rPr>
          <w:b/>
        </w:rPr>
      </w:pPr>
      <w:r w:rsidRPr="000839A4">
        <w:rPr>
          <w:b/>
        </w:rPr>
        <w:t>Odložený výdaj poplatníka s akruálním základem daně</w:t>
      </w:r>
    </w:p>
    <w:p w14:paraId="4F1C66BA" w14:textId="77777777" w:rsidR="000839A4" w:rsidRPr="000839A4" w:rsidRDefault="000839A4" w:rsidP="000839A4">
      <w:pPr>
        <w:tabs>
          <w:tab w:val="left" w:pos="851"/>
        </w:tabs>
        <w:spacing w:before="120" w:after="120"/>
        <w:ind w:firstLine="427"/>
        <w:outlineLvl w:val="6"/>
        <w:rPr>
          <w:b/>
        </w:rPr>
      </w:pPr>
      <w:r w:rsidRPr="000839A4">
        <w:rPr>
          <w:b/>
        </w:rPr>
        <w:t>(1) Odložený výdaj se u poplatníka s akruálním základem daně týká</w:t>
      </w:r>
    </w:p>
    <w:p w14:paraId="0F9DBF78" w14:textId="77777777" w:rsidR="000839A4" w:rsidRPr="000839A4" w:rsidRDefault="000839A4" w:rsidP="000839A4">
      <w:pPr>
        <w:spacing w:before="0"/>
        <w:ind w:left="425" w:hanging="425"/>
        <w:outlineLvl w:val="7"/>
        <w:rPr>
          <w:b/>
        </w:rPr>
      </w:pPr>
      <w:r w:rsidRPr="000839A4">
        <w:rPr>
          <w:b/>
        </w:rPr>
        <w:t>a)</w:t>
      </w:r>
      <w:r w:rsidRPr="000839A4">
        <w:rPr>
          <w:b/>
        </w:rPr>
        <w:tab/>
        <w:t>evidovaného aktiva, jehož účetní hodnota je nákladem v okamžiku jeho vyřazení, a</w:t>
      </w:r>
    </w:p>
    <w:p w14:paraId="31C72687" w14:textId="77777777" w:rsidR="000839A4" w:rsidRPr="000839A4" w:rsidRDefault="000839A4" w:rsidP="000839A4">
      <w:pPr>
        <w:spacing w:before="0"/>
        <w:ind w:left="425" w:hanging="425"/>
        <w:outlineLvl w:val="7"/>
        <w:rPr>
          <w:b/>
        </w:rPr>
      </w:pPr>
      <w:r w:rsidRPr="000839A4">
        <w:rPr>
          <w:b/>
        </w:rPr>
        <w:t>b)</w:t>
      </w:r>
      <w:r w:rsidRPr="000839A4">
        <w:rPr>
          <w:b/>
        </w:rPr>
        <w:tab/>
        <w:t xml:space="preserve">daňově odpisovaného aktiva. </w:t>
      </w:r>
    </w:p>
    <w:p w14:paraId="401DCAE8" w14:textId="77777777" w:rsidR="000839A4" w:rsidRPr="000839A4" w:rsidRDefault="000839A4" w:rsidP="000839A4">
      <w:pPr>
        <w:tabs>
          <w:tab w:val="left" w:pos="851"/>
        </w:tabs>
        <w:spacing w:before="120" w:after="120"/>
        <w:ind w:firstLine="427"/>
        <w:outlineLvl w:val="6"/>
      </w:pPr>
      <w:r w:rsidRPr="000839A4">
        <w:rPr>
          <w:b/>
        </w:rPr>
        <w:t xml:space="preserve">(2) Odložený výdaj snižuje daňovou hodnotu </w:t>
      </w:r>
    </w:p>
    <w:p w14:paraId="51FDF328" w14:textId="77777777" w:rsidR="000839A4" w:rsidRPr="000839A4" w:rsidRDefault="000839A4" w:rsidP="000839A4">
      <w:pPr>
        <w:spacing w:before="0"/>
        <w:ind w:left="425" w:hanging="425"/>
        <w:outlineLvl w:val="7"/>
        <w:rPr>
          <w:b/>
        </w:rPr>
      </w:pPr>
      <w:r w:rsidRPr="000839A4">
        <w:rPr>
          <w:b/>
        </w:rPr>
        <w:t>a)</w:t>
      </w:r>
      <w:r w:rsidRPr="000839A4">
        <w:rPr>
          <w:b/>
        </w:rPr>
        <w:tab/>
        <w:t>aktiva v okamžiku uznání souvisejícího nákladu a</w:t>
      </w:r>
    </w:p>
    <w:p w14:paraId="16662D4F" w14:textId="77777777" w:rsidR="000839A4" w:rsidRPr="000839A4" w:rsidRDefault="000839A4" w:rsidP="000839A4">
      <w:pPr>
        <w:spacing w:before="0"/>
        <w:ind w:left="425" w:hanging="425"/>
        <w:outlineLvl w:val="7"/>
        <w:rPr>
          <w:b/>
        </w:rPr>
      </w:pPr>
      <w:r w:rsidRPr="000839A4">
        <w:rPr>
          <w:b/>
        </w:rPr>
        <w:t>b)</w:t>
      </w:r>
      <w:r w:rsidRPr="000839A4">
        <w:rPr>
          <w:b/>
        </w:rPr>
        <w:tab/>
        <w:t>daňově odpisovaného aktiva v okamžiku jeho vyřazení.</w:t>
      </w:r>
    </w:p>
    <w:p w14:paraId="68E4F920" w14:textId="77777777" w:rsidR="000839A4" w:rsidRPr="000839A4" w:rsidRDefault="000839A4" w:rsidP="000839A4">
      <w:pPr>
        <w:tabs>
          <w:tab w:val="left" w:pos="851"/>
        </w:tabs>
        <w:spacing w:before="120" w:after="120"/>
        <w:ind w:firstLine="427"/>
        <w:outlineLvl w:val="6"/>
        <w:rPr>
          <w:b/>
        </w:rPr>
      </w:pPr>
      <w:r w:rsidRPr="000839A4">
        <w:rPr>
          <w:b/>
        </w:rPr>
        <w:t>(3) Výše odloženého výdaje je rovna daňové hodnotě aktiva.</w:t>
      </w:r>
    </w:p>
    <w:p w14:paraId="33364121" w14:textId="77777777" w:rsidR="000839A4" w:rsidRPr="000839A4" w:rsidRDefault="000839A4" w:rsidP="000839A4">
      <w:pPr>
        <w:keepNext/>
        <w:keepLines/>
        <w:numPr>
          <w:ilvl w:val="0"/>
          <w:numId w:val="1"/>
        </w:numPr>
        <w:spacing w:before="120"/>
        <w:jc w:val="center"/>
        <w:outlineLvl w:val="5"/>
        <w:rPr>
          <w:b/>
        </w:rPr>
      </w:pPr>
      <w:r w:rsidRPr="000839A4">
        <w:rPr>
          <w:b/>
        </w:rPr>
        <w:t>§ 23w</w:t>
      </w:r>
    </w:p>
    <w:p w14:paraId="436D562C" w14:textId="77777777" w:rsidR="000839A4" w:rsidRPr="000839A4" w:rsidRDefault="000839A4" w:rsidP="000839A4">
      <w:pPr>
        <w:keepNext/>
        <w:keepLines/>
        <w:numPr>
          <w:ilvl w:val="0"/>
          <w:numId w:val="1"/>
        </w:numPr>
        <w:spacing w:before="120"/>
        <w:jc w:val="center"/>
        <w:outlineLvl w:val="5"/>
        <w:rPr>
          <w:b/>
        </w:rPr>
      </w:pPr>
      <w:r w:rsidRPr="000839A4">
        <w:rPr>
          <w:b/>
        </w:rPr>
        <w:t xml:space="preserve">Průběžný výdaj </w:t>
      </w:r>
    </w:p>
    <w:p w14:paraId="548F9EE4" w14:textId="77777777" w:rsidR="000839A4" w:rsidRPr="000839A4" w:rsidRDefault="000839A4" w:rsidP="000839A4">
      <w:pPr>
        <w:tabs>
          <w:tab w:val="left" w:pos="851"/>
        </w:tabs>
        <w:spacing w:before="120" w:after="120"/>
        <w:ind w:firstLine="427"/>
        <w:outlineLvl w:val="6"/>
        <w:rPr>
          <w:b/>
        </w:rPr>
      </w:pPr>
      <w:r w:rsidRPr="000839A4">
        <w:rPr>
          <w:b/>
        </w:rPr>
        <w:t>(1) Průběžný výdaj se týká</w:t>
      </w:r>
    </w:p>
    <w:p w14:paraId="24CF608E" w14:textId="77777777" w:rsidR="000839A4" w:rsidRPr="000839A4" w:rsidRDefault="000839A4" w:rsidP="000839A4">
      <w:pPr>
        <w:spacing w:before="0"/>
        <w:ind w:left="425" w:hanging="425"/>
        <w:outlineLvl w:val="7"/>
        <w:rPr>
          <w:b/>
        </w:rPr>
      </w:pPr>
      <w:r w:rsidRPr="000839A4">
        <w:rPr>
          <w:b/>
        </w:rPr>
        <w:t>a)</w:t>
      </w:r>
      <w:r w:rsidRPr="000839A4">
        <w:rPr>
          <w:b/>
        </w:rPr>
        <w:tab/>
        <w:t>daňově odpisovaného aktiva,</w:t>
      </w:r>
    </w:p>
    <w:p w14:paraId="42B7E541" w14:textId="77777777" w:rsidR="000839A4" w:rsidRPr="000839A4" w:rsidRDefault="000839A4" w:rsidP="000839A4">
      <w:pPr>
        <w:spacing w:before="0"/>
        <w:ind w:left="425" w:hanging="425"/>
        <w:outlineLvl w:val="7"/>
        <w:rPr>
          <w:b/>
        </w:rPr>
      </w:pPr>
      <w:r w:rsidRPr="000839A4">
        <w:rPr>
          <w:b/>
        </w:rPr>
        <w:t>b)</w:t>
      </w:r>
      <w:r w:rsidRPr="000839A4">
        <w:rPr>
          <w:b/>
        </w:rPr>
        <w:tab/>
        <w:t>účetně odpisovaného aktiva poplatníka s akruálním základem daně.</w:t>
      </w:r>
    </w:p>
    <w:p w14:paraId="23E2B4E6" w14:textId="77777777" w:rsidR="000839A4" w:rsidRPr="000839A4" w:rsidRDefault="000839A4" w:rsidP="000839A4">
      <w:pPr>
        <w:tabs>
          <w:tab w:val="left" w:pos="851"/>
        </w:tabs>
        <w:spacing w:before="120" w:after="120"/>
        <w:ind w:firstLine="427"/>
        <w:outlineLvl w:val="6"/>
        <w:rPr>
          <w:b/>
        </w:rPr>
      </w:pPr>
      <w:r w:rsidRPr="000839A4">
        <w:rPr>
          <w:b/>
        </w:rPr>
        <w:t xml:space="preserve">(2) Průběžným výdajem snižujícím daňovou hodnotu daňově odpisovaného aktiva je daňový odpis. </w:t>
      </w:r>
    </w:p>
    <w:p w14:paraId="4B429D91" w14:textId="77777777" w:rsidR="000839A4" w:rsidRPr="000839A4" w:rsidRDefault="000839A4" w:rsidP="000839A4">
      <w:pPr>
        <w:tabs>
          <w:tab w:val="left" w:pos="851"/>
        </w:tabs>
        <w:spacing w:before="120" w:after="120"/>
        <w:ind w:firstLine="427"/>
        <w:outlineLvl w:val="6"/>
        <w:rPr>
          <w:b/>
        </w:rPr>
      </w:pPr>
      <w:r w:rsidRPr="000839A4">
        <w:rPr>
          <w:b/>
        </w:rPr>
        <w:t>(3) Průběžným výdajem snižujícím daňovou hodnotu účetně odpisovaného aktiva poplatníka s akruálním základem daně je odpis podle právních předpisů upravujících účetnictví. Je-li daňová hodnota aktiva vyšší než jeho účetní hodnota, část daňové hodnoty převyšující účetní hodnotu se snižuje, jako by bylo toto aktivum nadále odpisováno podle právních předpisů upravujících účetnictví.</w:t>
      </w:r>
    </w:p>
    <w:p w14:paraId="55A39E7D" w14:textId="77777777" w:rsidR="000839A4" w:rsidRPr="000839A4" w:rsidRDefault="000839A4" w:rsidP="000839A4">
      <w:pPr>
        <w:tabs>
          <w:tab w:val="left" w:pos="851"/>
        </w:tabs>
        <w:spacing w:before="120" w:after="120"/>
        <w:ind w:firstLine="427"/>
        <w:outlineLvl w:val="6"/>
        <w:rPr>
          <w:b/>
        </w:rPr>
      </w:pPr>
      <w:r w:rsidRPr="000839A4">
        <w:rPr>
          <w:b/>
        </w:rPr>
        <w:t>(4) Průběžný výdaj snižuje daňovou hodnotu aktiva v okamžiku vzniku daného odpisu.</w:t>
      </w:r>
    </w:p>
    <w:p w14:paraId="010400F3" w14:textId="77777777" w:rsidR="000839A4" w:rsidRPr="000839A4" w:rsidRDefault="000839A4" w:rsidP="000839A4">
      <w:pPr>
        <w:tabs>
          <w:tab w:val="left" w:pos="851"/>
        </w:tabs>
        <w:spacing w:before="120" w:after="120"/>
        <w:ind w:firstLine="427"/>
        <w:outlineLvl w:val="6"/>
        <w:rPr>
          <w:b/>
        </w:rPr>
      </w:pPr>
      <w:r w:rsidRPr="000839A4">
        <w:rPr>
          <w:b/>
        </w:rPr>
        <w:t>(5) Účetně odpisovaným aktivem se pro účely daní z příjmů rozumí evidované aktivum odpisované podle právních předpisů upravujících účetnictví, které není daňově odpisovaným aktivem.</w:t>
      </w:r>
    </w:p>
    <w:p w14:paraId="11A50E19" w14:textId="77777777" w:rsidR="000839A4" w:rsidRPr="000839A4" w:rsidRDefault="000839A4" w:rsidP="000839A4">
      <w:pPr>
        <w:tabs>
          <w:tab w:val="left" w:pos="851"/>
        </w:tabs>
        <w:spacing w:before="120" w:after="120"/>
        <w:ind w:firstLine="427"/>
        <w:outlineLvl w:val="6"/>
        <w:rPr>
          <w:b/>
        </w:rPr>
      </w:pPr>
      <w:r w:rsidRPr="000839A4">
        <w:rPr>
          <w:b/>
        </w:rPr>
        <w:t xml:space="preserve">(6) Evidované aktivum poplatníka používajícího mezinárodní účetní standardy oceňované reálnou hodnotou způsobem podle mezinárodního účetního standardu upravujícího účtování pozemků, budov a zařízení nebo mezinárodního účetního standardu upravujícího účtování nehmotných aktiv se pro účely daní z příjmů považuje </w:t>
      </w:r>
      <w:r w:rsidRPr="000839A4">
        <w:rPr>
          <w:b/>
        </w:rPr>
        <w:lastRenderedPageBreak/>
        <w:t>za účetně odpisované aktivum a odpisuje se způsobem podle mezinárodních účetních standardů. Ke změně účetní hodnoty v důsledku ocenění evidovaného aktiva reálnou hodnotou podle věty první se pro účely daní z příjmů nepřihlíží.</w:t>
      </w:r>
    </w:p>
    <w:p w14:paraId="041A81D2" w14:textId="77777777" w:rsidR="000839A4" w:rsidRPr="000839A4" w:rsidRDefault="000839A4" w:rsidP="000839A4">
      <w:pPr>
        <w:keepNext/>
        <w:keepLines/>
        <w:numPr>
          <w:ilvl w:val="0"/>
          <w:numId w:val="1"/>
        </w:numPr>
        <w:spacing w:before="120"/>
        <w:jc w:val="center"/>
        <w:outlineLvl w:val="5"/>
        <w:rPr>
          <w:b/>
        </w:rPr>
      </w:pPr>
      <w:r w:rsidRPr="000839A4">
        <w:rPr>
          <w:b/>
        </w:rPr>
        <w:t>§ 23x</w:t>
      </w:r>
    </w:p>
    <w:p w14:paraId="07F2FEC4" w14:textId="77777777" w:rsidR="000839A4" w:rsidRPr="000839A4" w:rsidRDefault="000839A4" w:rsidP="000839A4">
      <w:pPr>
        <w:keepNext/>
        <w:keepLines/>
        <w:numPr>
          <w:ilvl w:val="0"/>
          <w:numId w:val="1"/>
        </w:numPr>
        <w:spacing w:before="120"/>
        <w:jc w:val="center"/>
        <w:outlineLvl w:val="5"/>
        <w:rPr>
          <w:b/>
        </w:rPr>
      </w:pPr>
      <w:r w:rsidRPr="000839A4">
        <w:rPr>
          <w:b/>
        </w:rPr>
        <w:t>Změny charakteru evidovaného aktiva</w:t>
      </w:r>
    </w:p>
    <w:p w14:paraId="10245A25" w14:textId="77777777" w:rsidR="000839A4" w:rsidRPr="000839A4" w:rsidRDefault="000839A4" w:rsidP="000839A4">
      <w:pPr>
        <w:tabs>
          <w:tab w:val="left" w:pos="851"/>
        </w:tabs>
        <w:spacing w:before="120" w:after="120"/>
        <w:ind w:firstLine="427"/>
        <w:outlineLvl w:val="6"/>
        <w:rPr>
          <w:b/>
        </w:rPr>
      </w:pPr>
      <w:r w:rsidRPr="000839A4">
        <w:rPr>
          <w:b/>
        </w:rPr>
        <w:t>(1) Pokud se evidované aktivum, kterého se týká odložený nebo průběžný výdaj, stane evidovaným aktivem, kterého se týká okamžitý výdaj, sníží okamžitý výdaj daňovou hodnotu v okamžiku této změny.</w:t>
      </w:r>
    </w:p>
    <w:p w14:paraId="5DA2EA5C" w14:textId="77777777" w:rsidR="000839A4" w:rsidRPr="000839A4" w:rsidRDefault="000839A4" w:rsidP="000839A4">
      <w:pPr>
        <w:tabs>
          <w:tab w:val="left" w:pos="851"/>
        </w:tabs>
        <w:spacing w:before="120" w:after="120"/>
        <w:ind w:firstLine="427"/>
        <w:outlineLvl w:val="6"/>
        <w:rPr>
          <w:b/>
        </w:rPr>
      </w:pPr>
      <w:r w:rsidRPr="000839A4">
        <w:rPr>
          <w:b/>
        </w:rPr>
        <w:t>(2) Pokud byla daňová hodnota aktiva poplatníka s hotovostním základem daně snížena o okamžitý výdaj a následně se toto aktivum stane evidovaným aktivem, kterého se netýká okamžitý výdaj, nebo se stane neevidovaným aktivem, zvýší se</w:t>
      </w:r>
    </w:p>
    <w:p w14:paraId="4E05B45C" w14:textId="77777777" w:rsidR="000839A4" w:rsidRPr="000839A4" w:rsidRDefault="000839A4" w:rsidP="000839A4">
      <w:pPr>
        <w:spacing w:before="0"/>
        <w:ind w:left="425" w:hanging="425"/>
        <w:outlineLvl w:val="7"/>
        <w:rPr>
          <w:b/>
        </w:rPr>
      </w:pPr>
      <w:r w:rsidRPr="000839A4">
        <w:rPr>
          <w:b/>
        </w:rPr>
        <w:t>a)</w:t>
      </w:r>
      <w:r w:rsidRPr="000839A4">
        <w:rPr>
          <w:b/>
        </w:rPr>
        <w:tab/>
        <w:t>jeho daňová hodnota v okamžiku této změny o částku, o kterou byla snížena, a</w:t>
      </w:r>
    </w:p>
    <w:p w14:paraId="4BE502FD" w14:textId="77777777" w:rsidR="000839A4" w:rsidRPr="000839A4" w:rsidRDefault="000839A4" w:rsidP="000839A4">
      <w:pPr>
        <w:spacing w:before="0"/>
        <w:ind w:left="425" w:hanging="425"/>
        <w:outlineLvl w:val="7"/>
        <w:rPr>
          <w:b/>
        </w:rPr>
      </w:pPr>
      <w:r w:rsidRPr="000839A4">
        <w:rPr>
          <w:b/>
        </w:rPr>
        <w:t>b)</w:t>
      </w:r>
      <w:r w:rsidRPr="000839A4">
        <w:rPr>
          <w:b/>
        </w:rPr>
        <w:tab/>
        <w:t>rozdíl mezi příjmy a výdaji za zdaňovací období, ve kterém ke změně došlo, o částku, o kterou byla snížena daňová hodnota, pokud byl okamžitý výdaj uplatněn jako výdaj vynaložený na dosažení, zajištění a udržení zdanitelných příjmů.</w:t>
      </w:r>
    </w:p>
    <w:p w14:paraId="2BB08E63" w14:textId="77777777" w:rsidR="000839A4" w:rsidRPr="000839A4" w:rsidRDefault="000839A4" w:rsidP="000839A4">
      <w:pPr>
        <w:tabs>
          <w:tab w:val="left" w:pos="851"/>
        </w:tabs>
        <w:spacing w:before="120" w:after="120"/>
        <w:ind w:firstLine="427"/>
        <w:outlineLvl w:val="6"/>
        <w:rPr>
          <w:b/>
        </w:rPr>
      </w:pPr>
      <w:r w:rsidRPr="000839A4">
        <w:rPr>
          <w:b/>
        </w:rPr>
        <w:t>(3) Pokud byla daňová hodnota aktiva poplatníka s hotovostním základem daně, které je zásobou nebo by bylo zásobou, kdyby poplatník byl účetní jednotkou, snížena o okamžitý výdaj a toto aktivum je vyřazeno způsobem, kdy výdaj není uznatelný jako výdaj vynaložený na dosažení, zajištění a udržení zdanitelných příjmů, zvýší se rozdíl mezi příjmy a výdaji za zdaňovací období, ve kterém k tomuto vyřazení došlo, o částku, o kterou byla daňová hodnota snížena, pokud byl okamžitý výdaj uplatněn jako výdaj vynaložený na dosažení, zajištění a udržení zdanitelných příjmů.</w:t>
      </w:r>
    </w:p>
    <w:p w14:paraId="2F5323B6" w14:textId="77777777" w:rsidR="000839A4" w:rsidRPr="000839A4" w:rsidRDefault="000839A4" w:rsidP="000839A4">
      <w:pPr>
        <w:keepNext/>
        <w:keepLines/>
        <w:spacing w:before="120"/>
        <w:ind w:firstLine="0"/>
        <w:jc w:val="center"/>
        <w:rPr>
          <w:b/>
          <w:szCs w:val="24"/>
        </w:rPr>
      </w:pPr>
      <w:r w:rsidRPr="000839A4">
        <w:rPr>
          <w:b/>
          <w:szCs w:val="24"/>
        </w:rPr>
        <w:t>Díl 4</w:t>
      </w:r>
    </w:p>
    <w:p w14:paraId="238DDC5A" w14:textId="77777777" w:rsidR="000839A4" w:rsidRPr="000839A4" w:rsidRDefault="000839A4" w:rsidP="000839A4">
      <w:pPr>
        <w:keepNext/>
        <w:keepLines/>
        <w:spacing w:before="120"/>
        <w:ind w:firstLine="0"/>
        <w:jc w:val="center"/>
        <w:rPr>
          <w:b/>
          <w:szCs w:val="24"/>
        </w:rPr>
      </w:pPr>
      <w:r w:rsidRPr="000839A4">
        <w:rPr>
          <w:b/>
          <w:szCs w:val="24"/>
        </w:rPr>
        <w:t>Dodatečné zhodnocení a následný pořizovací výdaj</w:t>
      </w:r>
    </w:p>
    <w:p w14:paraId="144B3D5E" w14:textId="77777777" w:rsidR="000839A4" w:rsidRPr="000839A4" w:rsidRDefault="000839A4" w:rsidP="000839A4">
      <w:pPr>
        <w:keepNext/>
        <w:keepLines/>
        <w:numPr>
          <w:ilvl w:val="0"/>
          <w:numId w:val="1"/>
        </w:numPr>
        <w:spacing w:before="120"/>
        <w:jc w:val="center"/>
        <w:outlineLvl w:val="5"/>
        <w:rPr>
          <w:b/>
        </w:rPr>
      </w:pPr>
      <w:r w:rsidRPr="000839A4">
        <w:rPr>
          <w:b/>
          <w:color w:val="000000" w:themeColor="text1"/>
        </w:rPr>
        <w:t>§ 23y</w:t>
      </w:r>
    </w:p>
    <w:p w14:paraId="257DFC5E" w14:textId="77777777" w:rsidR="000839A4" w:rsidRPr="000839A4" w:rsidRDefault="000839A4" w:rsidP="000839A4">
      <w:pPr>
        <w:keepNext/>
        <w:keepLines/>
        <w:numPr>
          <w:ilvl w:val="0"/>
          <w:numId w:val="1"/>
        </w:numPr>
        <w:spacing w:before="120"/>
        <w:jc w:val="center"/>
        <w:outlineLvl w:val="5"/>
        <w:rPr>
          <w:b/>
        </w:rPr>
      </w:pPr>
      <w:r w:rsidRPr="000839A4">
        <w:rPr>
          <w:b/>
        </w:rPr>
        <w:t>Dodatečné zhodnocení</w:t>
      </w:r>
    </w:p>
    <w:p w14:paraId="6D4764FB" w14:textId="77777777" w:rsidR="000839A4" w:rsidRPr="000839A4" w:rsidRDefault="000839A4" w:rsidP="000839A4">
      <w:pPr>
        <w:tabs>
          <w:tab w:val="left" w:pos="851"/>
        </w:tabs>
        <w:spacing w:before="120" w:after="120"/>
        <w:ind w:firstLine="427"/>
        <w:outlineLvl w:val="6"/>
        <w:rPr>
          <w:b/>
        </w:rPr>
      </w:pPr>
      <w:r w:rsidRPr="000839A4">
        <w:rPr>
          <w:b/>
        </w:rPr>
        <w:t>(1) Daňová hodnota aktiva, které je hmotnou věcí, nebo právem užívání, se zvyšuje o dodatečné zhodnocení.</w:t>
      </w:r>
    </w:p>
    <w:p w14:paraId="66F9F248" w14:textId="77777777" w:rsidR="000839A4" w:rsidRPr="000839A4" w:rsidRDefault="000839A4" w:rsidP="000839A4">
      <w:pPr>
        <w:tabs>
          <w:tab w:val="left" w:pos="851"/>
        </w:tabs>
        <w:spacing w:before="120" w:after="120"/>
        <w:ind w:firstLine="427"/>
        <w:outlineLvl w:val="6"/>
        <w:rPr>
          <w:b/>
        </w:rPr>
      </w:pPr>
      <w:r w:rsidRPr="000839A4">
        <w:rPr>
          <w:b/>
        </w:rPr>
        <w:t>(2) Dodatečným zhodnocením se pro účely daní z příjmů rozumí následné pořizovací výdaje na aktivum, které je hmotnou věcí, nebo právem užívání, pokud jejich úhrn za zdaňovací období</w:t>
      </w:r>
    </w:p>
    <w:p w14:paraId="1DD0B32A" w14:textId="77777777" w:rsidR="000839A4" w:rsidRPr="000839A4" w:rsidRDefault="000839A4" w:rsidP="000839A4">
      <w:pPr>
        <w:spacing w:before="0"/>
        <w:ind w:left="425" w:hanging="425"/>
        <w:outlineLvl w:val="7"/>
        <w:rPr>
          <w:b/>
        </w:rPr>
      </w:pPr>
      <w:r w:rsidRPr="000839A4">
        <w:rPr>
          <w:b/>
        </w:rPr>
        <w:t>a)</w:t>
      </w:r>
      <w:r w:rsidRPr="000839A4">
        <w:rPr>
          <w:b/>
        </w:rPr>
        <w:tab/>
        <w:t>převyšuje částku</w:t>
      </w:r>
    </w:p>
    <w:p w14:paraId="6A760129" w14:textId="77777777" w:rsidR="000839A4" w:rsidRPr="000839A4" w:rsidRDefault="000839A4" w:rsidP="000839A4">
      <w:pPr>
        <w:spacing w:before="0"/>
        <w:ind w:left="851" w:hanging="426"/>
        <w:outlineLvl w:val="8"/>
        <w:rPr>
          <w:b/>
        </w:rPr>
      </w:pPr>
      <w:r w:rsidRPr="000839A4">
        <w:rPr>
          <w:b/>
        </w:rPr>
        <w:t>1.</w:t>
      </w:r>
      <w:r w:rsidRPr="000839A4">
        <w:rPr>
          <w:b/>
        </w:rPr>
        <w:tab/>
        <w:t>100 000 Kč, nebo</w:t>
      </w:r>
    </w:p>
    <w:p w14:paraId="4C1776DB" w14:textId="77777777" w:rsidR="000839A4" w:rsidRPr="000839A4" w:rsidRDefault="000839A4" w:rsidP="000839A4">
      <w:pPr>
        <w:spacing w:before="0"/>
        <w:ind w:left="851" w:hanging="426"/>
        <w:outlineLvl w:val="8"/>
        <w:rPr>
          <w:b/>
        </w:rPr>
      </w:pPr>
      <w:r w:rsidRPr="000839A4">
        <w:rPr>
          <w:b/>
        </w:rPr>
        <w:t>2.</w:t>
      </w:r>
      <w:r w:rsidRPr="000839A4">
        <w:rPr>
          <w:b/>
        </w:rPr>
        <w:tab/>
        <w:t xml:space="preserve">odpovídající 10 % daňové hodnoty zhodnocovaného aktiva, je-li tato částka vyšší než částka podle bodu 1, nejvýše však 10 000 000 Kč, nebo   </w:t>
      </w:r>
    </w:p>
    <w:p w14:paraId="3B379E27" w14:textId="77777777" w:rsidR="000839A4" w:rsidRPr="000839A4" w:rsidRDefault="000839A4" w:rsidP="000839A4">
      <w:pPr>
        <w:spacing w:before="0"/>
        <w:ind w:left="425" w:hanging="425"/>
        <w:outlineLvl w:val="7"/>
        <w:rPr>
          <w:b/>
        </w:rPr>
      </w:pPr>
      <w:r w:rsidRPr="000839A4">
        <w:rPr>
          <w:b/>
        </w:rPr>
        <w:t>b)</w:t>
      </w:r>
      <w:r w:rsidRPr="000839A4">
        <w:rPr>
          <w:b/>
        </w:rPr>
        <w:tab/>
        <w:t xml:space="preserve">nepřevyšuje částku uvedenou v písmenu a) a poplatník se tak rozhodne. </w:t>
      </w:r>
    </w:p>
    <w:p w14:paraId="5FBB1BE7" w14:textId="77777777" w:rsidR="000839A4" w:rsidRPr="000839A4" w:rsidRDefault="000839A4" w:rsidP="000839A4">
      <w:pPr>
        <w:tabs>
          <w:tab w:val="left" w:pos="851"/>
        </w:tabs>
        <w:spacing w:before="120" w:after="120"/>
        <w:ind w:firstLine="427"/>
        <w:outlineLvl w:val="6"/>
        <w:rPr>
          <w:b/>
        </w:rPr>
      </w:pPr>
      <w:r w:rsidRPr="000839A4">
        <w:rPr>
          <w:b/>
        </w:rPr>
        <w:t>(3) Dodatečným zhodnocením se pro účely daní z příjmů rozumí také výdaj vynaložený na restaurování uměleckého díla, které není součástí stavby.</w:t>
      </w:r>
    </w:p>
    <w:p w14:paraId="282A4FAD" w14:textId="77777777" w:rsidR="000839A4" w:rsidRPr="000839A4" w:rsidRDefault="000839A4" w:rsidP="000839A4">
      <w:pPr>
        <w:tabs>
          <w:tab w:val="left" w:pos="851"/>
        </w:tabs>
        <w:spacing w:before="120" w:after="120"/>
        <w:ind w:firstLine="427"/>
        <w:outlineLvl w:val="6"/>
        <w:rPr>
          <w:b/>
        </w:rPr>
      </w:pPr>
      <w:r w:rsidRPr="000839A4">
        <w:rPr>
          <w:b/>
        </w:rPr>
        <w:t>(4) Za dodatečné zhodnocení se pro účely daní z příjmů nepovažuje následný pořizovací výdaj uhrazený z peněžních prostředků účelově poskytnutých na tento výdaj a vynaložených na tento výdaj, které neovlivní základ daně, získaných z</w:t>
      </w:r>
    </w:p>
    <w:p w14:paraId="7A3F62C1" w14:textId="77777777" w:rsidR="000839A4" w:rsidRPr="000839A4" w:rsidRDefault="000839A4" w:rsidP="000839A4">
      <w:pPr>
        <w:spacing w:before="0"/>
        <w:ind w:left="425" w:hanging="425"/>
        <w:outlineLvl w:val="7"/>
        <w:rPr>
          <w:b/>
        </w:rPr>
      </w:pPr>
      <w:r w:rsidRPr="000839A4">
        <w:rPr>
          <w:b/>
        </w:rPr>
        <w:t>a)</w:t>
      </w:r>
      <w:r w:rsidRPr="000839A4">
        <w:rPr>
          <w:b/>
        </w:rPr>
        <w:tab/>
        <w:t xml:space="preserve">dotace ze státního rozpočtu, z rozpočtů obcí, krajů nebo státních fondů, </w:t>
      </w:r>
    </w:p>
    <w:p w14:paraId="6CBC8E2E" w14:textId="77777777" w:rsidR="000839A4" w:rsidRPr="000839A4" w:rsidRDefault="000839A4" w:rsidP="000839A4">
      <w:pPr>
        <w:spacing w:before="0"/>
        <w:ind w:left="425" w:hanging="425"/>
        <w:outlineLvl w:val="7"/>
        <w:rPr>
          <w:b/>
        </w:rPr>
      </w:pPr>
      <w:r w:rsidRPr="000839A4">
        <w:rPr>
          <w:b/>
        </w:rPr>
        <w:lastRenderedPageBreak/>
        <w:t>b)</w:t>
      </w:r>
      <w:r w:rsidRPr="000839A4">
        <w:rPr>
          <w:b/>
        </w:rPr>
        <w:tab/>
        <w:t xml:space="preserve">grantu podle zvláštního právního předpisu, </w:t>
      </w:r>
    </w:p>
    <w:p w14:paraId="18A77585" w14:textId="77777777" w:rsidR="000839A4" w:rsidRPr="000839A4" w:rsidRDefault="000839A4" w:rsidP="000839A4">
      <w:pPr>
        <w:spacing w:before="0"/>
        <w:ind w:left="425" w:hanging="425"/>
        <w:outlineLvl w:val="7"/>
        <w:rPr>
          <w:b/>
        </w:rPr>
      </w:pPr>
      <w:r w:rsidRPr="000839A4">
        <w:rPr>
          <w:b/>
        </w:rPr>
        <w:t>c)</w:t>
      </w:r>
      <w:r w:rsidRPr="000839A4">
        <w:rPr>
          <w:b/>
        </w:rPr>
        <w:tab/>
        <w:t xml:space="preserve">grantu Evropské unie, </w:t>
      </w:r>
    </w:p>
    <w:p w14:paraId="6B543E10" w14:textId="77777777" w:rsidR="000839A4" w:rsidRPr="000839A4" w:rsidRDefault="000839A4" w:rsidP="000839A4">
      <w:pPr>
        <w:spacing w:before="0"/>
        <w:ind w:left="425" w:hanging="425"/>
        <w:outlineLvl w:val="7"/>
        <w:rPr>
          <w:b/>
        </w:rPr>
      </w:pPr>
      <w:r w:rsidRPr="000839A4">
        <w:rPr>
          <w:b/>
        </w:rPr>
        <w:t>d)</w:t>
      </w:r>
      <w:r w:rsidRPr="000839A4">
        <w:rPr>
          <w:b/>
        </w:rPr>
        <w:tab/>
        <w:t xml:space="preserve">příspěvku nebo podpory z veřejných rozpočtů a jiných peněžních fondů cizího státu s výjimkou peněžních fondů spravovaných podnikatelskými subjekty se sídlem nebo bydlištěm v zahraničí, </w:t>
      </w:r>
    </w:p>
    <w:p w14:paraId="19DDE859" w14:textId="77777777" w:rsidR="000839A4" w:rsidRPr="000839A4" w:rsidRDefault="000839A4" w:rsidP="000839A4">
      <w:pPr>
        <w:spacing w:before="0"/>
        <w:ind w:left="425" w:hanging="425"/>
        <w:outlineLvl w:val="7"/>
        <w:rPr>
          <w:b/>
        </w:rPr>
      </w:pPr>
      <w:r w:rsidRPr="000839A4">
        <w:rPr>
          <w:b/>
        </w:rPr>
        <w:t>e)</w:t>
      </w:r>
      <w:r w:rsidRPr="000839A4">
        <w:rPr>
          <w:b/>
        </w:rPr>
        <w:tab/>
        <w:t>daru.</w:t>
      </w:r>
    </w:p>
    <w:p w14:paraId="71274D9C" w14:textId="77777777" w:rsidR="000839A4" w:rsidRPr="000839A4" w:rsidRDefault="000839A4" w:rsidP="000839A4">
      <w:pPr>
        <w:tabs>
          <w:tab w:val="left" w:pos="851"/>
        </w:tabs>
        <w:spacing w:before="120" w:after="120"/>
        <w:ind w:firstLine="427"/>
        <w:outlineLvl w:val="6"/>
        <w:rPr>
          <w:b/>
        </w:rPr>
      </w:pPr>
      <w:r w:rsidRPr="000839A4">
        <w:rPr>
          <w:b/>
        </w:rPr>
        <w:t xml:space="preserve">(5) Za následné pořizovací výdaje se pro účely dodatečného zhodnocení považují výdaje na opravu a údržbu podle zákona upravujícího účetnictví, pokud se tak poplatník rozhodne. </w:t>
      </w:r>
    </w:p>
    <w:p w14:paraId="0BD94B1E" w14:textId="77777777" w:rsidR="000839A4" w:rsidRPr="000839A4" w:rsidRDefault="000839A4" w:rsidP="000839A4">
      <w:pPr>
        <w:tabs>
          <w:tab w:val="left" w:pos="851"/>
        </w:tabs>
        <w:spacing w:before="120" w:after="120"/>
        <w:ind w:firstLine="427"/>
        <w:outlineLvl w:val="6"/>
        <w:rPr>
          <w:b/>
        </w:rPr>
      </w:pPr>
      <w:r w:rsidRPr="000839A4">
        <w:rPr>
          <w:b/>
        </w:rPr>
        <w:t xml:space="preserve">(6) Daňová hodnota spoluvlastnického podílu se zvyšuje o poměrnou část dodatečného zhodnocení provedeného na aktivu ve spoluvlastnictví, která odpovídá výši spoluvlastnického podílu. Spoluvlastníkovi, který neuhradil tuto poměrnou část dodatečného zhodnocení, vzniká příjem ve výši neuhrazené části. </w:t>
      </w:r>
    </w:p>
    <w:p w14:paraId="2A2371AD" w14:textId="77777777" w:rsidR="000839A4" w:rsidRPr="000839A4" w:rsidRDefault="000839A4" w:rsidP="000839A4">
      <w:pPr>
        <w:tabs>
          <w:tab w:val="left" w:pos="851"/>
        </w:tabs>
        <w:spacing w:before="120" w:after="120"/>
        <w:ind w:firstLine="427"/>
        <w:outlineLvl w:val="6"/>
        <w:rPr>
          <w:b/>
        </w:rPr>
      </w:pPr>
      <w:r w:rsidRPr="000839A4">
        <w:rPr>
          <w:b/>
        </w:rPr>
        <w:t xml:space="preserve">(7) Ustanovení upravující dodatečné zhodnocení se na poplatníka používajícího mezinárodní účetní standardy nepoužijí. </w:t>
      </w:r>
    </w:p>
    <w:p w14:paraId="2CCCC108" w14:textId="77777777" w:rsidR="000839A4" w:rsidRPr="000839A4" w:rsidRDefault="000839A4" w:rsidP="000839A4">
      <w:pPr>
        <w:keepNext/>
        <w:keepLines/>
        <w:numPr>
          <w:ilvl w:val="0"/>
          <w:numId w:val="1"/>
        </w:numPr>
        <w:spacing w:before="120"/>
        <w:jc w:val="center"/>
        <w:outlineLvl w:val="5"/>
        <w:rPr>
          <w:b/>
        </w:rPr>
      </w:pPr>
      <w:r w:rsidRPr="000839A4">
        <w:rPr>
          <w:b/>
          <w:color w:val="000000" w:themeColor="text1"/>
        </w:rPr>
        <w:t>§ 23z</w:t>
      </w:r>
    </w:p>
    <w:p w14:paraId="461618D0" w14:textId="77777777" w:rsidR="000839A4" w:rsidRPr="000839A4" w:rsidRDefault="000839A4" w:rsidP="000839A4">
      <w:pPr>
        <w:keepNext/>
        <w:keepLines/>
        <w:numPr>
          <w:ilvl w:val="0"/>
          <w:numId w:val="1"/>
        </w:numPr>
        <w:spacing w:before="120"/>
        <w:jc w:val="center"/>
        <w:outlineLvl w:val="5"/>
        <w:rPr>
          <w:b/>
        </w:rPr>
      </w:pPr>
      <w:r w:rsidRPr="000839A4">
        <w:rPr>
          <w:b/>
        </w:rPr>
        <w:t>Následný pořizovací výdaj, který není dodatečným zhodnocením</w:t>
      </w:r>
    </w:p>
    <w:p w14:paraId="58C2B349" w14:textId="77777777" w:rsidR="000839A4" w:rsidRPr="000839A4" w:rsidRDefault="000839A4" w:rsidP="000839A4">
      <w:pPr>
        <w:tabs>
          <w:tab w:val="left" w:pos="851"/>
        </w:tabs>
        <w:spacing w:before="120" w:after="120"/>
        <w:ind w:firstLine="427"/>
        <w:outlineLvl w:val="6"/>
        <w:rPr>
          <w:b/>
        </w:rPr>
      </w:pPr>
      <w:r w:rsidRPr="000839A4">
        <w:rPr>
          <w:b/>
        </w:rPr>
        <w:t xml:space="preserve">(1) Daňová hodnota účetně odpisovaného aktiva se zvyšuje u poplatníka s akruálním základem daně o následný pořizovací výdaj, který zvyšuje účetní hodnotu tohoto aktiva, pokud není dodatečným zhodnocením. </w:t>
      </w:r>
    </w:p>
    <w:p w14:paraId="4064DB8D" w14:textId="77777777" w:rsidR="000839A4" w:rsidRPr="000839A4" w:rsidRDefault="000839A4" w:rsidP="000839A4">
      <w:pPr>
        <w:tabs>
          <w:tab w:val="left" w:pos="851"/>
        </w:tabs>
        <w:spacing w:before="120" w:after="120"/>
        <w:ind w:firstLine="427"/>
        <w:outlineLvl w:val="6"/>
        <w:rPr>
          <w:b/>
        </w:rPr>
      </w:pPr>
      <w:r w:rsidRPr="000839A4">
        <w:rPr>
          <w:b/>
        </w:rPr>
        <w:t>(2) Následný pořizovací výdaj, který nezvyšuje daňovou hodnotu aktiva, je výdajem.</w:t>
      </w:r>
    </w:p>
    <w:p w14:paraId="78477681" w14:textId="77777777" w:rsidR="000839A4" w:rsidRPr="000839A4" w:rsidRDefault="000839A4" w:rsidP="000839A4">
      <w:pPr>
        <w:keepNext/>
        <w:keepLines/>
        <w:spacing w:before="120"/>
        <w:ind w:firstLine="0"/>
        <w:jc w:val="center"/>
        <w:rPr>
          <w:b/>
          <w:szCs w:val="24"/>
        </w:rPr>
      </w:pPr>
      <w:r w:rsidRPr="000839A4">
        <w:rPr>
          <w:b/>
          <w:szCs w:val="24"/>
        </w:rPr>
        <w:t>Díl 5</w:t>
      </w:r>
    </w:p>
    <w:p w14:paraId="689A1B3C" w14:textId="77777777" w:rsidR="000839A4" w:rsidRPr="000839A4" w:rsidRDefault="000839A4" w:rsidP="000839A4">
      <w:pPr>
        <w:keepNext/>
        <w:keepLines/>
        <w:spacing w:before="120"/>
        <w:ind w:firstLine="0"/>
        <w:jc w:val="center"/>
        <w:rPr>
          <w:b/>
          <w:szCs w:val="24"/>
        </w:rPr>
      </w:pPr>
      <w:r w:rsidRPr="000839A4">
        <w:rPr>
          <w:b/>
          <w:szCs w:val="24"/>
        </w:rPr>
        <w:t>Zvláštní ustanovení o daňové hodnotě některých evidovaných aktiv</w:t>
      </w:r>
    </w:p>
    <w:p w14:paraId="7B13CE0B" w14:textId="77777777" w:rsidR="000839A4" w:rsidRPr="000839A4" w:rsidRDefault="000839A4" w:rsidP="000839A4">
      <w:pPr>
        <w:keepNext/>
        <w:keepLines/>
        <w:ind w:firstLine="0"/>
        <w:jc w:val="center"/>
        <w:rPr>
          <w:b/>
        </w:rPr>
      </w:pPr>
      <w:r w:rsidRPr="000839A4">
        <w:rPr>
          <w:b/>
        </w:rPr>
        <w:t>§ 23za</w:t>
      </w:r>
    </w:p>
    <w:p w14:paraId="41D488DD" w14:textId="77777777" w:rsidR="000839A4" w:rsidRPr="000839A4" w:rsidRDefault="000839A4" w:rsidP="000839A4">
      <w:pPr>
        <w:keepNext/>
        <w:keepLines/>
        <w:ind w:firstLine="0"/>
        <w:jc w:val="center"/>
        <w:rPr>
          <w:b/>
          <w:noProof/>
          <w:szCs w:val="24"/>
        </w:rPr>
      </w:pPr>
      <w:r w:rsidRPr="000839A4">
        <w:rPr>
          <w:b/>
          <w:noProof/>
          <w:szCs w:val="24"/>
        </w:rPr>
        <w:t>Daňová hodnota spoluvlastnického podílu</w:t>
      </w:r>
    </w:p>
    <w:p w14:paraId="11934C59" w14:textId="77777777" w:rsidR="000839A4" w:rsidRPr="000839A4" w:rsidRDefault="000839A4" w:rsidP="000839A4">
      <w:pPr>
        <w:tabs>
          <w:tab w:val="left" w:pos="851"/>
        </w:tabs>
        <w:spacing w:before="120" w:after="120"/>
        <w:ind w:firstLine="427"/>
        <w:outlineLvl w:val="6"/>
        <w:rPr>
          <w:b/>
        </w:rPr>
      </w:pPr>
      <w:r w:rsidRPr="000839A4">
        <w:rPr>
          <w:b/>
        </w:rPr>
        <w:t xml:space="preserve">(1) Daňová hodnota dosavadního spoluvlastnického podílu se zvyšuje o daňovou hodnotu nově nabytého spoluvlastnického podílu. </w:t>
      </w:r>
    </w:p>
    <w:p w14:paraId="5AE49F70" w14:textId="77777777" w:rsidR="000839A4" w:rsidRPr="000839A4" w:rsidRDefault="000839A4" w:rsidP="000839A4">
      <w:pPr>
        <w:tabs>
          <w:tab w:val="left" w:pos="851"/>
        </w:tabs>
        <w:spacing w:before="120" w:after="120"/>
        <w:ind w:firstLine="427"/>
        <w:outlineLvl w:val="6"/>
        <w:rPr>
          <w:b/>
        </w:rPr>
      </w:pPr>
      <w:r w:rsidRPr="000839A4">
        <w:rPr>
          <w:b/>
        </w:rPr>
        <w:t>(2) Nelze-li při nabytí spoluvlastnického podílu určit, který spoluvlastnický podíl je dosavadní, je jím kterýkoliv z nich.</w:t>
      </w:r>
    </w:p>
    <w:p w14:paraId="0FC572DE" w14:textId="77777777" w:rsidR="000839A4" w:rsidRPr="000839A4" w:rsidRDefault="000839A4" w:rsidP="000839A4">
      <w:pPr>
        <w:keepNext/>
        <w:ind w:firstLine="0"/>
        <w:jc w:val="center"/>
        <w:rPr>
          <w:b/>
          <w:noProof/>
          <w:szCs w:val="24"/>
        </w:rPr>
      </w:pPr>
      <w:r w:rsidRPr="000839A4">
        <w:rPr>
          <w:b/>
          <w:color w:val="000000" w:themeColor="text1"/>
          <w:szCs w:val="24"/>
        </w:rPr>
        <w:t>§ 23zb</w:t>
      </w:r>
      <w:r w:rsidRPr="000839A4">
        <w:rPr>
          <w:b/>
          <w:color w:val="000000" w:themeColor="text1"/>
          <w:szCs w:val="24"/>
        </w:rPr>
        <w:br/>
      </w:r>
      <w:r w:rsidRPr="000839A4">
        <w:rPr>
          <w:b/>
          <w:noProof/>
          <w:szCs w:val="24"/>
        </w:rPr>
        <w:t>Daňová hodnota pohledávky poplatníka s hotovostním základem daně</w:t>
      </w:r>
    </w:p>
    <w:p w14:paraId="24D466B2" w14:textId="77777777" w:rsidR="000839A4" w:rsidRPr="000839A4" w:rsidRDefault="000839A4" w:rsidP="000839A4">
      <w:pPr>
        <w:tabs>
          <w:tab w:val="left" w:pos="851"/>
        </w:tabs>
        <w:spacing w:before="120" w:after="120"/>
        <w:ind w:firstLine="427"/>
        <w:outlineLvl w:val="6"/>
        <w:rPr>
          <w:b/>
        </w:rPr>
      </w:pPr>
      <w:r w:rsidRPr="000839A4">
        <w:rPr>
          <w:b/>
        </w:rPr>
        <w:t>(1) Daňová hodnota pohledávky poplatníka s  hotovostním základem daně se snižuje také o daňovou hodnotu zaniklé nebo postoupené části pohledávky.</w:t>
      </w:r>
    </w:p>
    <w:p w14:paraId="03748F69" w14:textId="77777777" w:rsidR="000839A4" w:rsidRPr="000839A4" w:rsidRDefault="000839A4" w:rsidP="000839A4">
      <w:pPr>
        <w:tabs>
          <w:tab w:val="left" w:pos="851"/>
        </w:tabs>
        <w:spacing w:before="120" w:after="120"/>
        <w:ind w:firstLine="427"/>
        <w:outlineLvl w:val="6"/>
        <w:rPr>
          <w:b/>
        </w:rPr>
      </w:pPr>
      <w:r w:rsidRPr="000839A4">
        <w:rPr>
          <w:b/>
        </w:rPr>
        <w:t xml:space="preserve">(2) Příjmem poplatníka s hotovostním základem daně je daňová hodnota pohledávky, která poplatníkovi vznikla a jejíž úhrada by byla zdanitelným příjmem, při jejím </w:t>
      </w:r>
    </w:p>
    <w:p w14:paraId="29AE7355" w14:textId="77777777" w:rsidR="000839A4" w:rsidRPr="000839A4" w:rsidRDefault="000839A4" w:rsidP="000839A4">
      <w:pPr>
        <w:spacing w:before="0"/>
        <w:ind w:left="425" w:hanging="425"/>
        <w:outlineLvl w:val="7"/>
        <w:rPr>
          <w:b/>
        </w:rPr>
      </w:pPr>
      <w:r w:rsidRPr="000839A4">
        <w:rPr>
          <w:b/>
        </w:rPr>
        <w:t>a)</w:t>
      </w:r>
      <w:r w:rsidRPr="000839A4">
        <w:rPr>
          <w:b/>
        </w:rPr>
        <w:tab/>
        <w:t xml:space="preserve">úplatném postoupení za cenu nižší, než je její daňová hodnota, nejde-li o nedobytnou pohledávku, nebo </w:t>
      </w:r>
    </w:p>
    <w:p w14:paraId="248B4299" w14:textId="77777777" w:rsidR="000839A4" w:rsidRPr="000839A4" w:rsidRDefault="000839A4" w:rsidP="000839A4">
      <w:pPr>
        <w:spacing w:before="0"/>
        <w:ind w:left="425" w:hanging="425"/>
        <w:outlineLvl w:val="7"/>
        <w:rPr>
          <w:b/>
        </w:rPr>
      </w:pPr>
      <w:r w:rsidRPr="000839A4">
        <w:rPr>
          <w:b/>
        </w:rPr>
        <w:t>b)</w:t>
      </w:r>
      <w:r w:rsidRPr="000839A4">
        <w:rPr>
          <w:b/>
        </w:rPr>
        <w:tab/>
        <w:t>poskytnutí jako předmětu kapitálového vkladu.</w:t>
      </w:r>
    </w:p>
    <w:p w14:paraId="0D869C56" w14:textId="77777777" w:rsidR="000839A4" w:rsidRPr="000839A4" w:rsidRDefault="000839A4" w:rsidP="000839A4">
      <w:pPr>
        <w:tabs>
          <w:tab w:val="left" w:pos="851"/>
        </w:tabs>
        <w:spacing w:before="120" w:after="120"/>
        <w:ind w:firstLine="427"/>
        <w:outlineLvl w:val="6"/>
        <w:rPr>
          <w:b/>
        </w:rPr>
      </w:pPr>
      <w:r w:rsidRPr="000839A4">
        <w:rPr>
          <w:b/>
        </w:rPr>
        <w:lastRenderedPageBreak/>
        <w:t xml:space="preserve">(3) Částka odpovídající daňové hodnotě pohledávky uvedené v odstavci 2, kterou poplatník s hotovostním základem daně nabyl jako předmět kapitálového vkladu, je odloženým výdajem. </w:t>
      </w:r>
    </w:p>
    <w:p w14:paraId="00283DED" w14:textId="77777777" w:rsidR="000839A4" w:rsidRPr="000839A4" w:rsidRDefault="000839A4" w:rsidP="000839A4">
      <w:pPr>
        <w:tabs>
          <w:tab w:val="left" w:pos="851"/>
        </w:tabs>
        <w:spacing w:before="120" w:after="120"/>
        <w:ind w:firstLine="427"/>
        <w:outlineLvl w:val="6"/>
        <w:rPr>
          <w:b/>
        </w:rPr>
      </w:pPr>
      <w:r w:rsidRPr="000839A4">
        <w:rPr>
          <w:b/>
        </w:rPr>
        <w:t xml:space="preserve">(4) Částka odpovídající daňové hodnotě pohledávky poplatníka s hotovostním základem daně je výdajem, pouze pokud byla pohledávka nabyta postoupením nebo jako předmět změny hospodaření bez přecenění od poplatníka s hotovostním základem daně, který ji nabyl postoupením, nebo od poplatníka s akruálním základem daně. </w:t>
      </w:r>
    </w:p>
    <w:p w14:paraId="22DC66CB" w14:textId="77777777" w:rsidR="000839A4" w:rsidRPr="000839A4" w:rsidRDefault="000839A4" w:rsidP="000839A4">
      <w:pPr>
        <w:keepNext/>
        <w:ind w:firstLine="0"/>
        <w:jc w:val="center"/>
        <w:rPr>
          <w:b/>
          <w:color w:val="000000" w:themeColor="text1"/>
          <w:szCs w:val="24"/>
        </w:rPr>
      </w:pPr>
      <w:r w:rsidRPr="000839A4">
        <w:rPr>
          <w:b/>
          <w:color w:val="000000" w:themeColor="text1"/>
          <w:szCs w:val="24"/>
        </w:rPr>
        <w:t>§ 23zc</w:t>
      </w:r>
    </w:p>
    <w:p w14:paraId="7C604E57" w14:textId="77777777" w:rsidR="000839A4" w:rsidRPr="000839A4" w:rsidRDefault="000839A4" w:rsidP="000839A4">
      <w:pPr>
        <w:keepNext/>
        <w:ind w:firstLine="0"/>
        <w:jc w:val="center"/>
        <w:rPr>
          <w:b/>
          <w:noProof/>
          <w:szCs w:val="24"/>
        </w:rPr>
      </w:pPr>
      <w:r w:rsidRPr="000839A4">
        <w:rPr>
          <w:b/>
          <w:noProof/>
          <w:szCs w:val="24"/>
        </w:rPr>
        <w:t>Daňová hodnota pohledávky poplatníka s akruálním základem daně</w:t>
      </w:r>
    </w:p>
    <w:p w14:paraId="15AA4A9B" w14:textId="77777777" w:rsidR="000839A4" w:rsidRPr="000839A4" w:rsidRDefault="000839A4" w:rsidP="000839A4">
      <w:pPr>
        <w:tabs>
          <w:tab w:val="left" w:pos="851"/>
        </w:tabs>
        <w:spacing w:before="120" w:after="120"/>
        <w:ind w:firstLine="427"/>
        <w:outlineLvl w:val="6"/>
        <w:rPr>
          <w:b/>
        </w:rPr>
      </w:pPr>
      <w:r w:rsidRPr="000839A4">
        <w:rPr>
          <w:b/>
        </w:rPr>
        <w:t>(1) Daňová hodnota pohledávky poplatníka s akruálním základem daně se snižuje také o</w:t>
      </w:r>
    </w:p>
    <w:p w14:paraId="40FCDE78" w14:textId="77777777" w:rsidR="000839A4" w:rsidRPr="000839A4" w:rsidRDefault="000839A4" w:rsidP="000839A4">
      <w:pPr>
        <w:spacing w:before="0"/>
        <w:ind w:left="425" w:hanging="425"/>
        <w:outlineLvl w:val="7"/>
        <w:rPr>
          <w:b/>
        </w:rPr>
      </w:pPr>
      <w:r w:rsidRPr="000839A4">
        <w:rPr>
          <w:b/>
        </w:rPr>
        <w:t>a)</w:t>
      </w:r>
      <w:r w:rsidRPr="000839A4">
        <w:rPr>
          <w:b/>
        </w:rPr>
        <w:tab/>
        <w:t>daňovou hodnotu uhrazené části této pohledávky</w:t>
      </w:r>
    </w:p>
    <w:p w14:paraId="3FEF8A58" w14:textId="77777777" w:rsidR="000839A4" w:rsidRPr="000839A4" w:rsidRDefault="000839A4" w:rsidP="000839A4">
      <w:pPr>
        <w:spacing w:before="0"/>
        <w:ind w:left="425" w:hanging="425"/>
        <w:outlineLvl w:val="7"/>
        <w:rPr>
          <w:b/>
        </w:rPr>
      </w:pPr>
      <w:r w:rsidRPr="000839A4">
        <w:rPr>
          <w:b/>
        </w:rPr>
        <w:t>b)</w:t>
      </w:r>
      <w:r w:rsidRPr="000839A4">
        <w:rPr>
          <w:b/>
        </w:rPr>
        <w:tab/>
        <w:t>opravnou položku,</w:t>
      </w:r>
    </w:p>
    <w:p w14:paraId="639B2942" w14:textId="77777777" w:rsidR="000839A4" w:rsidRPr="000839A4" w:rsidRDefault="000839A4" w:rsidP="000839A4">
      <w:pPr>
        <w:spacing w:before="0"/>
        <w:ind w:left="425" w:hanging="425"/>
        <w:outlineLvl w:val="7"/>
        <w:rPr>
          <w:b/>
        </w:rPr>
      </w:pPr>
      <w:r w:rsidRPr="000839A4">
        <w:rPr>
          <w:b/>
        </w:rPr>
        <w:t>c)</w:t>
      </w:r>
      <w:r w:rsidRPr="000839A4">
        <w:rPr>
          <w:b/>
        </w:rPr>
        <w:tab/>
        <w:t xml:space="preserve">daňovou hodnotu daňově odepsané části nedobytné daňově odepisovatelné pohledávky. </w:t>
      </w:r>
    </w:p>
    <w:p w14:paraId="528ABA44" w14:textId="77777777" w:rsidR="000839A4" w:rsidRPr="000839A4" w:rsidRDefault="000839A4" w:rsidP="000839A4">
      <w:pPr>
        <w:tabs>
          <w:tab w:val="left" w:pos="851"/>
        </w:tabs>
        <w:spacing w:before="120" w:after="120"/>
        <w:ind w:firstLine="427"/>
        <w:outlineLvl w:val="6"/>
        <w:rPr>
          <w:b/>
        </w:rPr>
      </w:pPr>
      <w:r w:rsidRPr="000839A4">
        <w:rPr>
          <w:b/>
        </w:rPr>
        <w:t>(2) Daňová hodnota pohledávky se nesnižuje o znehodnocení, které nesnižuje daňovou hodnotu pohledávky jako opravná položka.</w:t>
      </w:r>
    </w:p>
    <w:p w14:paraId="2F18B51F" w14:textId="77777777" w:rsidR="000839A4" w:rsidRPr="000839A4" w:rsidRDefault="000839A4" w:rsidP="000839A4">
      <w:pPr>
        <w:tabs>
          <w:tab w:val="left" w:pos="851"/>
        </w:tabs>
        <w:spacing w:before="120" w:after="120"/>
        <w:ind w:firstLine="427"/>
        <w:outlineLvl w:val="6"/>
        <w:rPr>
          <w:b/>
        </w:rPr>
      </w:pPr>
      <w:r w:rsidRPr="000839A4">
        <w:rPr>
          <w:b/>
        </w:rPr>
        <w:t>(3) Daňová hodnota pohledávky se zvyšuje také o výši zrušené opravné položky.</w:t>
      </w:r>
    </w:p>
    <w:p w14:paraId="61E927BF" w14:textId="77777777" w:rsidR="000839A4" w:rsidRPr="000839A4" w:rsidRDefault="000839A4" w:rsidP="000839A4">
      <w:pPr>
        <w:tabs>
          <w:tab w:val="left" w:pos="851"/>
        </w:tabs>
        <w:spacing w:before="120" w:after="120"/>
        <w:ind w:firstLine="427"/>
        <w:outlineLvl w:val="6"/>
        <w:rPr>
          <w:b/>
        </w:rPr>
      </w:pPr>
      <w:r w:rsidRPr="000839A4">
        <w:rPr>
          <w:b/>
        </w:rPr>
        <w:t xml:space="preserve">(4) Výsledek hospodaření poplatníka s akruálním základem daně se zvyšuje o výši </w:t>
      </w:r>
    </w:p>
    <w:p w14:paraId="48A6C126" w14:textId="77777777" w:rsidR="000839A4" w:rsidRPr="000839A4" w:rsidRDefault="000839A4" w:rsidP="000839A4">
      <w:pPr>
        <w:spacing w:before="0"/>
        <w:ind w:left="425" w:hanging="425"/>
        <w:outlineLvl w:val="7"/>
        <w:rPr>
          <w:b/>
        </w:rPr>
      </w:pPr>
      <w:r w:rsidRPr="000839A4">
        <w:rPr>
          <w:b/>
        </w:rPr>
        <w:t>a)</w:t>
      </w:r>
      <w:r w:rsidRPr="000839A4">
        <w:rPr>
          <w:b/>
        </w:rPr>
        <w:tab/>
        <w:t>úhrady daňově odepsané pohledávky, která nebyla snížena o znehodnocení, pokud tato úhrada neovlivní výsledek hospodaření,</w:t>
      </w:r>
    </w:p>
    <w:p w14:paraId="404CA4D3" w14:textId="77777777" w:rsidR="000839A4" w:rsidRPr="000839A4" w:rsidRDefault="000839A4" w:rsidP="000839A4">
      <w:pPr>
        <w:spacing w:before="0"/>
        <w:ind w:left="425" w:hanging="425"/>
        <w:outlineLvl w:val="7"/>
        <w:rPr>
          <w:b/>
        </w:rPr>
      </w:pPr>
      <w:r w:rsidRPr="000839A4">
        <w:rPr>
          <w:b/>
        </w:rPr>
        <w:t>b)</w:t>
      </w:r>
      <w:r w:rsidRPr="000839A4">
        <w:rPr>
          <w:b/>
        </w:rPr>
        <w:tab/>
        <w:t xml:space="preserve">zrušené opravné položky, která není znehodnocením. </w:t>
      </w:r>
    </w:p>
    <w:p w14:paraId="575BFA35" w14:textId="77777777" w:rsidR="000839A4" w:rsidRPr="000839A4" w:rsidRDefault="000839A4" w:rsidP="000839A4">
      <w:pPr>
        <w:tabs>
          <w:tab w:val="left" w:pos="851"/>
        </w:tabs>
        <w:spacing w:before="120" w:after="120"/>
        <w:ind w:firstLine="427"/>
        <w:outlineLvl w:val="6"/>
        <w:rPr>
          <w:b/>
        </w:rPr>
      </w:pPr>
      <w:r w:rsidRPr="000839A4">
        <w:rPr>
          <w:b/>
        </w:rPr>
        <w:t>(5) Výsledek hospodaření poplatníka s akruálním základem daně lze snížit o</w:t>
      </w:r>
    </w:p>
    <w:p w14:paraId="7E9AAEFF" w14:textId="77777777" w:rsidR="000839A4" w:rsidRPr="000839A4" w:rsidRDefault="000839A4" w:rsidP="000839A4">
      <w:pPr>
        <w:spacing w:before="0"/>
        <w:ind w:left="425" w:hanging="425"/>
        <w:outlineLvl w:val="7"/>
        <w:rPr>
          <w:b/>
        </w:rPr>
      </w:pPr>
      <w:r w:rsidRPr="000839A4">
        <w:rPr>
          <w:b/>
        </w:rPr>
        <w:t>a)</w:t>
      </w:r>
      <w:r w:rsidRPr="000839A4">
        <w:rPr>
          <w:b/>
        </w:rPr>
        <w:tab/>
        <w:t>výši úhrady daňově neodepsané pohledávky, která poplatníkovi vznikla a byla snížena o znehodnocení, které nesnížilo daňovou hodnotu pohledávky jako opravná položka, pokud tato úhrada ovlivní výsledek hospodaření,</w:t>
      </w:r>
    </w:p>
    <w:p w14:paraId="0F38747C" w14:textId="77777777" w:rsidR="000839A4" w:rsidRPr="000839A4" w:rsidRDefault="000839A4" w:rsidP="000839A4">
      <w:pPr>
        <w:spacing w:before="0"/>
        <w:ind w:left="425" w:hanging="425"/>
        <w:outlineLvl w:val="7"/>
        <w:rPr>
          <w:b/>
        </w:rPr>
      </w:pPr>
      <w:r w:rsidRPr="000839A4">
        <w:rPr>
          <w:b/>
        </w:rPr>
        <w:t>b)</w:t>
      </w:r>
      <w:r w:rsidRPr="000839A4">
        <w:rPr>
          <w:b/>
        </w:rPr>
        <w:tab/>
        <w:t>částky vykázané ve výnosech nebo nákladech v souvislosti se zrušením znehodnocení, které nesnížilo daňovou hodnotu pohledávky jako opravná položka,</w:t>
      </w:r>
    </w:p>
    <w:p w14:paraId="03D978AA" w14:textId="77777777" w:rsidR="000839A4" w:rsidRPr="000839A4" w:rsidRDefault="000839A4" w:rsidP="000839A4">
      <w:pPr>
        <w:spacing w:before="0"/>
        <w:ind w:left="425" w:hanging="425"/>
        <w:outlineLvl w:val="7"/>
        <w:rPr>
          <w:b/>
        </w:rPr>
      </w:pPr>
      <w:r w:rsidRPr="000839A4">
        <w:rPr>
          <w:b/>
        </w:rPr>
        <w:t>c)</w:t>
      </w:r>
      <w:r w:rsidRPr="000839A4">
        <w:rPr>
          <w:b/>
        </w:rPr>
        <w:tab/>
        <w:t xml:space="preserve">opravnou položku, která není znehodnocením. </w:t>
      </w:r>
    </w:p>
    <w:p w14:paraId="48F6CD67" w14:textId="77777777" w:rsidR="000839A4" w:rsidRPr="000839A4" w:rsidRDefault="000839A4" w:rsidP="000839A4">
      <w:pPr>
        <w:keepNext/>
        <w:ind w:firstLine="0"/>
        <w:jc w:val="center"/>
        <w:rPr>
          <w:b/>
          <w:szCs w:val="24"/>
        </w:rPr>
      </w:pPr>
      <w:r w:rsidRPr="000839A4">
        <w:rPr>
          <w:b/>
          <w:szCs w:val="24"/>
        </w:rPr>
        <w:t>§ 23zd</w:t>
      </w:r>
    </w:p>
    <w:p w14:paraId="3F32B25F" w14:textId="77777777" w:rsidR="000839A4" w:rsidRPr="000839A4" w:rsidRDefault="000839A4" w:rsidP="000839A4">
      <w:pPr>
        <w:keepNext/>
        <w:ind w:firstLine="0"/>
        <w:jc w:val="center"/>
        <w:rPr>
          <w:b/>
          <w:noProof/>
          <w:szCs w:val="24"/>
        </w:rPr>
      </w:pPr>
      <w:r w:rsidRPr="000839A4">
        <w:rPr>
          <w:b/>
          <w:noProof/>
          <w:szCs w:val="24"/>
        </w:rPr>
        <w:t xml:space="preserve">Daňová hodnota kapitálového podílu </w:t>
      </w:r>
    </w:p>
    <w:p w14:paraId="16F1CB11" w14:textId="77777777" w:rsidR="000839A4" w:rsidRPr="000839A4" w:rsidRDefault="000839A4" w:rsidP="000839A4">
      <w:pPr>
        <w:tabs>
          <w:tab w:val="left" w:pos="851"/>
        </w:tabs>
        <w:spacing w:before="120" w:after="120"/>
        <w:ind w:firstLine="427"/>
        <w:outlineLvl w:val="6"/>
        <w:rPr>
          <w:b/>
        </w:rPr>
      </w:pPr>
      <w:r w:rsidRPr="000839A4">
        <w:rPr>
          <w:b/>
        </w:rPr>
        <w:t xml:space="preserve">(1) Prvotní daňová hodnota kapitálového podílu při jeho vzniku se rovná úhrnu daňových hodnot předmětů kapitálového vkladu, na základě kterých vznikl kapitálový podíl. </w:t>
      </w:r>
    </w:p>
    <w:p w14:paraId="55081BDF" w14:textId="77777777" w:rsidR="000839A4" w:rsidRPr="000839A4" w:rsidRDefault="000839A4" w:rsidP="000839A4">
      <w:pPr>
        <w:tabs>
          <w:tab w:val="left" w:pos="851"/>
        </w:tabs>
        <w:spacing w:before="120" w:after="120"/>
        <w:ind w:firstLine="427"/>
        <w:outlineLvl w:val="6"/>
        <w:rPr>
          <w:b/>
        </w:rPr>
      </w:pPr>
      <w:r w:rsidRPr="000839A4">
        <w:rPr>
          <w:b/>
        </w:rPr>
        <w:t xml:space="preserve">(2) Daňová hodnota kapitálového podílu se </w:t>
      </w:r>
    </w:p>
    <w:p w14:paraId="33222BE7" w14:textId="77777777" w:rsidR="000839A4" w:rsidRPr="000839A4" w:rsidRDefault="000839A4" w:rsidP="000839A4">
      <w:pPr>
        <w:spacing w:before="0"/>
        <w:ind w:left="425" w:hanging="425"/>
        <w:outlineLvl w:val="7"/>
        <w:rPr>
          <w:b/>
        </w:rPr>
      </w:pPr>
      <w:r w:rsidRPr="000839A4">
        <w:rPr>
          <w:b/>
        </w:rPr>
        <w:t>a)</w:t>
      </w:r>
      <w:r w:rsidRPr="000839A4">
        <w:rPr>
          <w:b/>
        </w:rPr>
        <w:tab/>
        <w:t xml:space="preserve">zvyšuje také o </w:t>
      </w:r>
    </w:p>
    <w:p w14:paraId="40FB1A5B" w14:textId="77777777" w:rsidR="000839A4" w:rsidRPr="000839A4" w:rsidRDefault="000839A4" w:rsidP="000839A4">
      <w:pPr>
        <w:spacing w:before="0"/>
        <w:ind w:left="851" w:hanging="426"/>
        <w:outlineLvl w:val="8"/>
        <w:rPr>
          <w:b/>
        </w:rPr>
      </w:pPr>
      <w:r w:rsidRPr="000839A4">
        <w:rPr>
          <w:b/>
        </w:rPr>
        <w:t>1.</w:t>
      </w:r>
      <w:r w:rsidRPr="000839A4">
        <w:rPr>
          <w:b/>
        </w:rPr>
        <w:tab/>
        <w:t>daňovou hodnotu předmětu kapitálového vkladu poskytnutého po nabytí kapitálového podílu s výjimkou daňové hodnoty předmětu kapitálového vkladu poskytnutého tichým společníkem ze zisku tiché společnosti k doplnění vkladu sníženého o podíl na ztrátě do původní výše,</w:t>
      </w:r>
    </w:p>
    <w:p w14:paraId="7C2EDBF0" w14:textId="77777777" w:rsidR="000839A4" w:rsidRPr="000839A4" w:rsidRDefault="000839A4" w:rsidP="000839A4">
      <w:pPr>
        <w:spacing w:before="0"/>
        <w:ind w:left="851" w:hanging="426"/>
        <w:outlineLvl w:val="8"/>
        <w:rPr>
          <w:b/>
        </w:rPr>
      </w:pPr>
      <w:r w:rsidRPr="000839A4">
        <w:rPr>
          <w:b/>
        </w:rPr>
        <w:lastRenderedPageBreak/>
        <w:t>2.</w:t>
      </w:r>
      <w:r w:rsidRPr="000839A4">
        <w:rPr>
          <w:b/>
        </w:rPr>
        <w:tab/>
        <w:t xml:space="preserve">částku odvedené daně z přidané hodnoty vztahující se k předmětu kapitálového vkladu, </w:t>
      </w:r>
    </w:p>
    <w:p w14:paraId="2CB87FF3" w14:textId="77777777" w:rsidR="000839A4" w:rsidRPr="000839A4" w:rsidRDefault="000839A4" w:rsidP="000839A4">
      <w:pPr>
        <w:spacing w:before="0"/>
        <w:ind w:left="425" w:hanging="425"/>
        <w:outlineLvl w:val="7"/>
        <w:rPr>
          <w:b/>
        </w:rPr>
      </w:pPr>
      <w:r w:rsidRPr="000839A4">
        <w:rPr>
          <w:b/>
        </w:rPr>
        <w:t>b)</w:t>
      </w:r>
      <w:r w:rsidRPr="000839A4">
        <w:rPr>
          <w:b/>
        </w:rPr>
        <w:tab/>
        <w:t xml:space="preserve">snižuje také o částku, která byla poplatníkovi vrácena jako rozdíl mezi hodnotou předmětu nepeněžitého vkladu určenou podle zákona upravujícího obchodní korporace a výší vkladu. </w:t>
      </w:r>
    </w:p>
    <w:p w14:paraId="3D114733" w14:textId="77777777" w:rsidR="000839A4" w:rsidRPr="000839A4" w:rsidRDefault="000839A4" w:rsidP="000839A4">
      <w:pPr>
        <w:tabs>
          <w:tab w:val="left" w:pos="851"/>
        </w:tabs>
        <w:spacing w:before="120" w:after="120"/>
        <w:ind w:firstLine="427"/>
        <w:outlineLvl w:val="6"/>
        <w:rPr>
          <w:b/>
        </w:rPr>
      </w:pPr>
      <w:r w:rsidRPr="000839A4">
        <w:rPr>
          <w:b/>
        </w:rPr>
        <w:t>(3) Daňová hodnota kapitálového podílu v dceřiné společnosti se může zvýšit o výdaje přímo související s vlastnictvím tohoto podílu mateřskou společností, které nejsou výdajem vynaloženým za účelem dosažení, zajištění a udržení zdanitelných příjmů.</w:t>
      </w:r>
    </w:p>
    <w:p w14:paraId="5AE532A9" w14:textId="77777777" w:rsidR="000839A4" w:rsidRPr="000839A4" w:rsidRDefault="000839A4" w:rsidP="000839A4">
      <w:pPr>
        <w:tabs>
          <w:tab w:val="left" w:pos="851"/>
        </w:tabs>
        <w:spacing w:before="120" w:after="120"/>
        <w:ind w:firstLine="427"/>
        <w:outlineLvl w:val="6"/>
        <w:rPr>
          <w:b/>
        </w:rPr>
      </w:pPr>
      <w:r w:rsidRPr="000839A4">
        <w:rPr>
          <w:b/>
        </w:rPr>
        <w:t>(4) Odložený výdaj nesnižuje daňovou hodnotu kapitálového podílu, která byla určena daňovou hodnotou peněžního předmětu kapitálového vkladu, v nesplacené části tohoto vkladu.</w:t>
      </w:r>
    </w:p>
    <w:p w14:paraId="25D57402" w14:textId="77777777" w:rsidR="000839A4" w:rsidRPr="000839A4" w:rsidRDefault="000839A4" w:rsidP="000839A4">
      <w:pPr>
        <w:tabs>
          <w:tab w:val="left" w:pos="851"/>
        </w:tabs>
        <w:spacing w:before="120" w:after="120"/>
        <w:ind w:firstLine="427"/>
        <w:outlineLvl w:val="6"/>
        <w:rPr>
          <w:b/>
        </w:rPr>
      </w:pPr>
      <w:r w:rsidRPr="000839A4">
        <w:rPr>
          <w:b/>
        </w:rPr>
        <w:t xml:space="preserve">(5) Příjem, ze kterého je daň vybírána srážkou podle zvláštní sazby daně, plynoucí v souvislosti s kapitálovým podílem, jehož daňová hodnota byla určena daňovou hodnotou peněžního předmětu kapitálového vkladu, se nesnižuje o nesplacenou část tohoto vkladu. </w:t>
      </w:r>
    </w:p>
    <w:p w14:paraId="08D038D0" w14:textId="77777777" w:rsidR="000839A4" w:rsidRPr="000839A4" w:rsidRDefault="000839A4" w:rsidP="000839A4">
      <w:pPr>
        <w:tabs>
          <w:tab w:val="left" w:pos="851"/>
        </w:tabs>
        <w:spacing w:before="120" w:after="120"/>
        <w:ind w:firstLine="427"/>
        <w:outlineLvl w:val="6"/>
        <w:rPr>
          <w:b/>
        </w:rPr>
      </w:pPr>
      <w:r w:rsidRPr="000839A4">
        <w:rPr>
          <w:b/>
        </w:rPr>
        <w:t xml:space="preserve">(6) Po vyřazení kapitálového podílu, jehož daňová hodnota byla určena daňovou hodnotou peněžního předmětu kapitálového vkladu, je uhrazená částka odpovídající jeho daňové hodnotě výdajem v okamžiku jejího uhrazení. </w:t>
      </w:r>
    </w:p>
    <w:p w14:paraId="37202D00" w14:textId="77777777" w:rsidR="000839A4" w:rsidRPr="000839A4" w:rsidRDefault="000839A4" w:rsidP="000839A4">
      <w:pPr>
        <w:keepNext/>
        <w:ind w:firstLine="0"/>
        <w:jc w:val="center"/>
        <w:rPr>
          <w:b/>
          <w:szCs w:val="24"/>
        </w:rPr>
      </w:pPr>
      <w:r w:rsidRPr="000839A4">
        <w:rPr>
          <w:b/>
          <w:szCs w:val="24"/>
        </w:rPr>
        <w:t>§ 23ze</w:t>
      </w:r>
    </w:p>
    <w:p w14:paraId="686B1DA2" w14:textId="77777777" w:rsidR="000839A4" w:rsidRPr="000839A4" w:rsidRDefault="000839A4" w:rsidP="000839A4">
      <w:pPr>
        <w:keepNext/>
        <w:ind w:firstLine="0"/>
        <w:jc w:val="center"/>
        <w:rPr>
          <w:noProof/>
          <w:szCs w:val="24"/>
        </w:rPr>
      </w:pPr>
      <w:r w:rsidRPr="000839A4">
        <w:rPr>
          <w:b/>
          <w:noProof/>
          <w:szCs w:val="24"/>
        </w:rPr>
        <w:t>Daňová hodnota kapitálového podílu poplatníka s hotovostním základem daně</w:t>
      </w:r>
    </w:p>
    <w:p w14:paraId="705CB860" w14:textId="77777777" w:rsidR="000839A4" w:rsidRPr="000839A4" w:rsidRDefault="000839A4" w:rsidP="000839A4">
      <w:pPr>
        <w:tabs>
          <w:tab w:val="left" w:pos="851"/>
        </w:tabs>
        <w:spacing w:before="120" w:after="120"/>
        <w:ind w:firstLine="427"/>
        <w:outlineLvl w:val="6"/>
        <w:rPr>
          <w:b/>
        </w:rPr>
      </w:pPr>
      <w:r w:rsidRPr="000839A4">
        <w:rPr>
          <w:b/>
        </w:rPr>
        <w:t>(1) Odložený výdaj nesnižuje daňovou hodnotu kapitálového podílu poplatníka s hotovostním základem daně, která byla určena daňovou hodnotou nepeněžního předmětu kapitálového vkladu, v neuhrazené části daňové hodnoty tohoto předmětu kapitálového vkladu, pokud tento předmět kapitálového vkladu</w:t>
      </w:r>
    </w:p>
    <w:p w14:paraId="301A23A0" w14:textId="77777777" w:rsidR="000839A4" w:rsidRPr="000839A4" w:rsidRDefault="000839A4" w:rsidP="000839A4">
      <w:pPr>
        <w:spacing w:before="0"/>
        <w:ind w:left="425" w:hanging="425"/>
        <w:outlineLvl w:val="7"/>
        <w:rPr>
          <w:b/>
        </w:rPr>
      </w:pPr>
      <w:r w:rsidRPr="000839A4">
        <w:rPr>
          <w:b/>
        </w:rPr>
        <w:t>a)</w:t>
      </w:r>
      <w:r w:rsidRPr="000839A4">
        <w:rPr>
          <w:b/>
        </w:rPr>
        <w:tab/>
        <w:t xml:space="preserve">poplatník nabyl úplatně a </w:t>
      </w:r>
    </w:p>
    <w:p w14:paraId="75D58890" w14:textId="77777777" w:rsidR="000839A4" w:rsidRPr="000839A4" w:rsidRDefault="000839A4" w:rsidP="000839A4">
      <w:pPr>
        <w:spacing w:before="0"/>
        <w:ind w:left="425" w:hanging="425"/>
        <w:outlineLvl w:val="7"/>
        <w:rPr>
          <w:b/>
        </w:rPr>
      </w:pPr>
      <w:r w:rsidRPr="000839A4">
        <w:rPr>
          <w:b/>
        </w:rPr>
        <w:t>b)</w:t>
      </w:r>
      <w:r w:rsidRPr="000839A4">
        <w:rPr>
          <w:b/>
        </w:rPr>
        <w:tab/>
        <w:t xml:space="preserve">byl u poplatníka aktivem, kterého se týká okamžitý nebo odložený výdaj, nejde-li o daňově odpisované aktivum. </w:t>
      </w:r>
    </w:p>
    <w:p w14:paraId="1BE4FB8B" w14:textId="77777777" w:rsidR="000839A4" w:rsidRPr="000839A4" w:rsidRDefault="000839A4" w:rsidP="000839A4">
      <w:pPr>
        <w:tabs>
          <w:tab w:val="left" w:pos="851"/>
        </w:tabs>
        <w:spacing w:before="120" w:after="120"/>
        <w:ind w:firstLine="427"/>
        <w:outlineLvl w:val="6"/>
        <w:rPr>
          <w:b/>
        </w:rPr>
      </w:pPr>
      <w:r w:rsidRPr="000839A4">
        <w:rPr>
          <w:b/>
        </w:rPr>
        <w:t xml:space="preserve">(2) Příjem poplatníka s hotovostním základem daně, ze kterého je daň vybírána srážkou podle zvláštní sazby daně, plynoucí v souvislosti s kapitálovým podílem, jehož daňová hodnota byla určena daňovou hodnotou nepeněžního předmětu kapitálového vkladu, se nesnižuje o neuhrazenou část daňové hodnoty tohoto předmětu kapitálového vkladu. </w:t>
      </w:r>
    </w:p>
    <w:p w14:paraId="3A92C775" w14:textId="77777777" w:rsidR="000839A4" w:rsidRPr="000839A4" w:rsidRDefault="000839A4" w:rsidP="000839A4">
      <w:pPr>
        <w:tabs>
          <w:tab w:val="left" w:pos="851"/>
        </w:tabs>
        <w:spacing w:before="120" w:after="120"/>
        <w:ind w:firstLine="427"/>
        <w:outlineLvl w:val="6"/>
        <w:rPr>
          <w:b/>
        </w:rPr>
      </w:pPr>
      <w:r w:rsidRPr="000839A4">
        <w:rPr>
          <w:b/>
        </w:rPr>
        <w:t xml:space="preserve">(3) Po vyřazení kapitálového podílu poplatníka s hotovostním základem daně, jehož daňová hodnota byla určena daňovou hodnotou nepeněžního předmětu kapitálového vkladu, je částka odpovídající uhrazené části daňové hodnoty tohoto předmětu kapitálového vkladu výdajem v okamžiku jejího uhrazení. </w:t>
      </w:r>
    </w:p>
    <w:p w14:paraId="2BFAA3AE" w14:textId="77777777" w:rsidR="000839A4" w:rsidRPr="000839A4" w:rsidRDefault="000839A4" w:rsidP="000839A4">
      <w:pPr>
        <w:keepNext/>
        <w:ind w:firstLine="0"/>
        <w:jc w:val="center"/>
        <w:rPr>
          <w:b/>
          <w:color w:val="000000" w:themeColor="text1"/>
          <w:szCs w:val="24"/>
        </w:rPr>
      </w:pPr>
      <w:r w:rsidRPr="000839A4">
        <w:rPr>
          <w:b/>
          <w:color w:val="000000" w:themeColor="text1"/>
          <w:szCs w:val="24"/>
        </w:rPr>
        <w:t>§ 23zf</w:t>
      </w:r>
    </w:p>
    <w:p w14:paraId="49660B53" w14:textId="77777777" w:rsidR="000839A4" w:rsidRPr="000839A4" w:rsidRDefault="000839A4" w:rsidP="000839A4">
      <w:pPr>
        <w:keepNext/>
        <w:ind w:firstLine="0"/>
        <w:jc w:val="center"/>
        <w:rPr>
          <w:noProof/>
          <w:color w:val="000000" w:themeColor="text1"/>
          <w:szCs w:val="24"/>
        </w:rPr>
      </w:pPr>
      <w:r w:rsidRPr="000839A4">
        <w:rPr>
          <w:b/>
          <w:noProof/>
          <w:color w:val="000000" w:themeColor="text1"/>
          <w:szCs w:val="24"/>
        </w:rPr>
        <w:t>Úplatné nabytí obchodního závodu</w:t>
      </w:r>
    </w:p>
    <w:p w14:paraId="6ACD4312" w14:textId="77777777" w:rsidR="000839A4" w:rsidRPr="000839A4" w:rsidRDefault="000839A4" w:rsidP="000839A4">
      <w:pPr>
        <w:tabs>
          <w:tab w:val="left" w:pos="851"/>
        </w:tabs>
        <w:spacing w:before="120" w:after="120"/>
        <w:ind w:firstLine="427"/>
        <w:outlineLvl w:val="6"/>
        <w:rPr>
          <w:b/>
        </w:rPr>
      </w:pPr>
      <w:r w:rsidRPr="000839A4">
        <w:rPr>
          <w:b/>
        </w:rPr>
        <w:t xml:space="preserve">(1) </w:t>
      </w:r>
      <w:r w:rsidRPr="000839A4" w:rsidDel="008D7A7D">
        <w:rPr>
          <w:b/>
        </w:rPr>
        <w:t xml:space="preserve">Aktivem poplatníka pro účely daní z příjmů není goodwill s výjimkou goodwillu vzniklého při úplatném nabytí obchodního závodu. </w:t>
      </w:r>
    </w:p>
    <w:p w14:paraId="5F92F429" w14:textId="77777777" w:rsidR="000839A4" w:rsidRPr="000839A4" w:rsidRDefault="000839A4" w:rsidP="000839A4">
      <w:pPr>
        <w:tabs>
          <w:tab w:val="left" w:pos="851"/>
        </w:tabs>
        <w:spacing w:before="120" w:after="120"/>
        <w:ind w:firstLine="427"/>
        <w:outlineLvl w:val="6"/>
        <w:rPr>
          <w:b/>
        </w:rPr>
      </w:pPr>
      <w:r w:rsidRPr="000839A4">
        <w:rPr>
          <w:b/>
        </w:rPr>
        <w:t xml:space="preserve">(2) Goodwillem se pro účely daní z příjmů rozumí kladný rozdíl mezi </w:t>
      </w:r>
    </w:p>
    <w:p w14:paraId="23ADB505" w14:textId="77777777" w:rsidR="000839A4" w:rsidRPr="000839A4" w:rsidRDefault="000839A4" w:rsidP="000839A4">
      <w:pPr>
        <w:spacing w:before="0"/>
        <w:ind w:left="425" w:hanging="425"/>
        <w:outlineLvl w:val="7"/>
        <w:rPr>
          <w:b/>
        </w:rPr>
      </w:pPr>
      <w:r w:rsidRPr="000839A4">
        <w:rPr>
          <w:b/>
        </w:rPr>
        <w:lastRenderedPageBreak/>
        <w:t>a)</w:t>
      </w:r>
      <w:r w:rsidRPr="000839A4">
        <w:rPr>
          <w:b/>
        </w:rPr>
        <w:tab/>
        <w:t xml:space="preserve">prvotní účetní hodnotou obchodního závodu a </w:t>
      </w:r>
    </w:p>
    <w:p w14:paraId="5A063869" w14:textId="77777777" w:rsidR="000839A4" w:rsidRPr="000839A4" w:rsidRDefault="000839A4" w:rsidP="000839A4">
      <w:pPr>
        <w:spacing w:before="0"/>
        <w:ind w:left="425" w:hanging="425"/>
        <w:outlineLvl w:val="7"/>
        <w:rPr>
          <w:b/>
        </w:rPr>
      </w:pPr>
      <w:r w:rsidRPr="000839A4">
        <w:rPr>
          <w:b/>
        </w:rPr>
        <w:t>b)</w:t>
      </w:r>
      <w:r w:rsidRPr="000839A4">
        <w:rPr>
          <w:b/>
        </w:rPr>
        <w:tab/>
        <w:t>kladným nebo záporným rozdílem mezi</w:t>
      </w:r>
    </w:p>
    <w:p w14:paraId="3BAF0BCE" w14:textId="77777777" w:rsidR="000839A4" w:rsidRPr="000839A4" w:rsidRDefault="000839A4" w:rsidP="000839A4">
      <w:pPr>
        <w:spacing w:before="0"/>
        <w:ind w:left="851" w:hanging="426"/>
        <w:outlineLvl w:val="8"/>
        <w:rPr>
          <w:b/>
        </w:rPr>
      </w:pPr>
      <w:r w:rsidRPr="000839A4">
        <w:rPr>
          <w:b/>
        </w:rPr>
        <w:t>1.</w:t>
      </w:r>
      <w:r w:rsidRPr="000839A4">
        <w:rPr>
          <w:b/>
        </w:rPr>
        <w:tab/>
        <w:t>úhrnem reálných hodnot jednotlivých aktiv tohoto obchodního závodu a </w:t>
      </w:r>
    </w:p>
    <w:p w14:paraId="4564BABF" w14:textId="77777777" w:rsidR="000839A4" w:rsidRPr="000839A4" w:rsidRDefault="000839A4" w:rsidP="000839A4">
      <w:pPr>
        <w:spacing w:before="0"/>
        <w:ind w:left="851" w:hanging="426"/>
        <w:outlineLvl w:val="8"/>
        <w:rPr>
          <w:b/>
        </w:rPr>
      </w:pPr>
      <w:r w:rsidRPr="000839A4">
        <w:rPr>
          <w:b/>
        </w:rPr>
        <w:t>2.</w:t>
      </w:r>
      <w:r w:rsidRPr="000839A4">
        <w:rPr>
          <w:b/>
        </w:rPr>
        <w:tab/>
        <w:t>úhrnem reálných hodnot jednotlivých dluhů tohoto obchodního závodu.</w:t>
      </w:r>
    </w:p>
    <w:p w14:paraId="445D1438" w14:textId="77777777" w:rsidR="000839A4" w:rsidRPr="000839A4" w:rsidRDefault="000839A4" w:rsidP="000839A4">
      <w:pPr>
        <w:tabs>
          <w:tab w:val="left" w:pos="851"/>
        </w:tabs>
        <w:spacing w:before="120" w:after="120"/>
        <w:ind w:firstLine="427"/>
        <w:outlineLvl w:val="6"/>
        <w:rPr>
          <w:b/>
        </w:rPr>
      </w:pPr>
      <w:r w:rsidRPr="000839A4">
        <w:rPr>
          <w:b/>
        </w:rPr>
        <w:t>(3) Goodwillem se u poplatníka používajícího mezinárodní účetní standardy pro účely daní z příjmů rozumí goodwill podle mezinárodních účetních standardů.</w:t>
      </w:r>
    </w:p>
    <w:p w14:paraId="41DD7239" w14:textId="77777777" w:rsidR="000839A4" w:rsidRPr="000839A4" w:rsidRDefault="000839A4" w:rsidP="000839A4">
      <w:pPr>
        <w:tabs>
          <w:tab w:val="left" w:pos="851"/>
        </w:tabs>
        <w:spacing w:before="120" w:after="120"/>
        <w:ind w:firstLine="427"/>
        <w:outlineLvl w:val="6"/>
        <w:rPr>
          <w:b/>
        </w:rPr>
      </w:pPr>
      <w:r w:rsidRPr="000839A4">
        <w:rPr>
          <w:b/>
        </w:rPr>
        <w:t>(4) Vyřazením goodwillu, který je aktivem, se pro účely daní z příjmů rozumí vyřazení posledního aktiva úplatně nabytého obchodního závodu.</w:t>
      </w:r>
    </w:p>
    <w:p w14:paraId="6773D24A" w14:textId="77777777" w:rsidR="000839A4" w:rsidRPr="000839A4" w:rsidRDefault="000839A4" w:rsidP="000839A4">
      <w:pPr>
        <w:keepNext/>
        <w:ind w:firstLine="0"/>
        <w:jc w:val="center"/>
        <w:rPr>
          <w:b/>
          <w:szCs w:val="24"/>
        </w:rPr>
      </w:pPr>
      <w:r w:rsidRPr="000839A4">
        <w:rPr>
          <w:b/>
          <w:szCs w:val="24"/>
        </w:rPr>
        <w:t>§ 23zg</w:t>
      </w:r>
    </w:p>
    <w:p w14:paraId="61575C10" w14:textId="77777777" w:rsidR="000839A4" w:rsidRPr="000839A4" w:rsidRDefault="000839A4" w:rsidP="000839A4">
      <w:pPr>
        <w:keepNext/>
        <w:ind w:firstLine="0"/>
        <w:jc w:val="center"/>
        <w:rPr>
          <w:noProof/>
          <w:szCs w:val="24"/>
        </w:rPr>
      </w:pPr>
      <w:r w:rsidRPr="000839A4">
        <w:rPr>
          <w:b/>
          <w:noProof/>
          <w:szCs w:val="24"/>
        </w:rPr>
        <w:t>Úplatné nabytí obchodního závodu poplatníkem s hotovostním základem daně</w:t>
      </w:r>
    </w:p>
    <w:p w14:paraId="6F73C354" w14:textId="77777777" w:rsidR="000839A4" w:rsidRPr="000839A4" w:rsidRDefault="000839A4" w:rsidP="000839A4">
      <w:pPr>
        <w:tabs>
          <w:tab w:val="left" w:pos="851"/>
        </w:tabs>
        <w:spacing w:before="120" w:after="120"/>
        <w:ind w:firstLine="427"/>
        <w:outlineLvl w:val="6"/>
        <w:rPr>
          <w:b/>
        </w:rPr>
      </w:pPr>
      <w:r w:rsidRPr="000839A4">
        <w:rPr>
          <w:b/>
        </w:rPr>
        <w:t xml:space="preserve">(1) Příjmem poplatníka s hotovostním základem daně při úplatném nabytí obchodního závodu je záporný rozdíl mezi </w:t>
      </w:r>
    </w:p>
    <w:p w14:paraId="47194E79" w14:textId="77777777" w:rsidR="000839A4" w:rsidRPr="000839A4" w:rsidRDefault="000839A4" w:rsidP="000839A4">
      <w:pPr>
        <w:spacing w:before="0"/>
        <w:ind w:left="425" w:hanging="425"/>
        <w:outlineLvl w:val="7"/>
        <w:rPr>
          <w:b/>
        </w:rPr>
      </w:pPr>
      <w:r w:rsidRPr="000839A4">
        <w:rPr>
          <w:b/>
        </w:rPr>
        <w:t>a)</w:t>
      </w:r>
      <w:r w:rsidRPr="000839A4">
        <w:rPr>
          <w:b/>
        </w:rPr>
        <w:tab/>
        <w:t xml:space="preserve">pořizovacím výdajem a </w:t>
      </w:r>
    </w:p>
    <w:p w14:paraId="30E45398" w14:textId="77777777" w:rsidR="000839A4" w:rsidRPr="000839A4" w:rsidRDefault="000839A4" w:rsidP="000839A4">
      <w:pPr>
        <w:spacing w:before="0"/>
        <w:ind w:left="425" w:hanging="425"/>
        <w:outlineLvl w:val="7"/>
        <w:rPr>
          <w:b/>
        </w:rPr>
      </w:pPr>
      <w:r w:rsidRPr="000839A4">
        <w:rPr>
          <w:b/>
        </w:rPr>
        <w:t>b)</w:t>
      </w:r>
      <w:r w:rsidRPr="000839A4">
        <w:rPr>
          <w:b/>
        </w:rPr>
        <w:tab/>
        <w:t xml:space="preserve">kladným nebo záporným rozdílem mezi </w:t>
      </w:r>
    </w:p>
    <w:p w14:paraId="4267CDAD" w14:textId="77777777" w:rsidR="000839A4" w:rsidRPr="000839A4" w:rsidRDefault="000839A4" w:rsidP="000839A4">
      <w:pPr>
        <w:spacing w:before="0"/>
        <w:ind w:left="851" w:hanging="426"/>
        <w:outlineLvl w:val="8"/>
        <w:rPr>
          <w:b/>
        </w:rPr>
      </w:pPr>
      <w:r w:rsidRPr="000839A4">
        <w:rPr>
          <w:b/>
        </w:rPr>
        <w:t>1.</w:t>
      </w:r>
      <w:r w:rsidRPr="000839A4">
        <w:rPr>
          <w:b/>
        </w:rPr>
        <w:tab/>
        <w:t>úhrnem tržních hodnot jednotlivých aktiv, nejde-li o pohledávky, peněžní prostředky a ceniny, a jmenovitých hodnot peněžních toků postoupených pohledávek, peněžních prostředků a cenin a</w:t>
      </w:r>
    </w:p>
    <w:p w14:paraId="234A4F6C" w14:textId="77777777" w:rsidR="000839A4" w:rsidRPr="000839A4" w:rsidRDefault="000839A4" w:rsidP="000839A4">
      <w:pPr>
        <w:spacing w:before="0"/>
        <w:ind w:left="851" w:hanging="426"/>
        <w:outlineLvl w:val="8"/>
        <w:rPr>
          <w:b/>
        </w:rPr>
      </w:pPr>
      <w:r w:rsidRPr="000839A4">
        <w:rPr>
          <w:b/>
        </w:rPr>
        <w:t>2.</w:t>
      </w:r>
      <w:r w:rsidRPr="000839A4">
        <w:rPr>
          <w:b/>
        </w:rPr>
        <w:tab/>
        <w:t xml:space="preserve">úhrnem jmenovitých hodnot peněžních toků převzatých dluhů. </w:t>
      </w:r>
    </w:p>
    <w:p w14:paraId="74D5B973" w14:textId="77777777" w:rsidR="000839A4" w:rsidRPr="000839A4" w:rsidRDefault="000839A4" w:rsidP="000839A4">
      <w:pPr>
        <w:tabs>
          <w:tab w:val="left" w:pos="851"/>
        </w:tabs>
        <w:spacing w:before="120" w:after="120"/>
        <w:ind w:firstLine="427"/>
        <w:outlineLvl w:val="6"/>
        <w:rPr>
          <w:b/>
        </w:rPr>
      </w:pPr>
      <w:r w:rsidRPr="000839A4">
        <w:rPr>
          <w:b/>
        </w:rPr>
        <w:t>(2) Příjem podle odstavce 1 převyšující 100 000 Kč zvyšuje rozdíl mezi příjmy a výdaji rovnoměrně po dobu 180 kalendářních měsíců počínaje kalendářním měsícem, ve kterém poplatník nabyl obchodní závod. Při vyřazení posledního aktiva úplatně nabytého obchodního závodu se zvýší rozdíl mezi příjmy a výdaji o zbývající část tohoto příjmu.</w:t>
      </w:r>
    </w:p>
    <w:p w14:paraId="46385B1A" w14:textId="77777777" w:rsidR="000839A4" w:rsidRPr="000839A4" w:rsidRDefault="000839A4" w:rsidP="000839A4">
      <w:pPr>
        <w:tabs>
          <w:tab w:val="left" w:pos="851"/>
        </w:tabs>
        <w:spacing w:before="120" w:after="120"/>
        <w:ind w:firstLine="427"/>
        <w:outlineLvl w:val="6"/>
        <w:rPr>
          <w:b/>
        </w:rPr>
      </w:pPr>
      <w:r w:rsidRPr="000839A4">
        <w:rPr>
          <w:b/>
        </w:rPr>
        <w:t xml:space="preserve">(3) Prvotní daňová hodnota aktiva nabytého při úplatném nabytí obchodního závodu se rovná jeho tržní hodnotě. </w:t>
      </w:r>
    </w:p>
    <w:p w14:paraId="7B0BC4B1" w14:textId="77777777" w:rsidR="000839A4" w:rsidRPr="000839A4" w:rsidRDefault="000839A4" w:rsidP="000839A4">
      <w:pPr>
        <w:tabs>
          <w:tab w:val="left" w:pos="851"/>
        </w:tabs>
        <w:spacing w:before="120" w:after="120"/>
        <w:ind w:firstLine="427"/>
        <w:outlineLvl w:val="6"/>
        <w:rPr>
          <w:b/>
        </w:rPr>
      </w:pPr>
      <w:r w:rsidRPr="000839A4">
        <w:rPr>
          <w:b/>
        </w:rPr>
        <w:t>(4) Prvotní daňová hodnota pohledávky postoupené a dluhu převzatého při úplatném nabytí obchodního závodu se rovná jmenovité hodnotě peněžních toků.</w:t>
      </w:r>
    </w:p>
    <w:p w14:paraId="0D85A8C0" w14:textId="77777777" w:rsidR="000839A4" w:rsidRPr="000839A4" w:rsidRDefault="000839A4" w:rsidP="000839A4">
      <w:pPr>
        <w:keepNext/>
        <w:ind w:firstLine="0"/>
        <w:jc w:val="center"/>
        <w:rPr>
          <w:b/>
          <w:szCs w:val="24"/>
        </w:rPr>
      </w:pPr>
      <w:r w:rsidRPr="000839A4">
        <w:rPr>
          <w:b/>
          <w:szCs w:val="24"/>
        </w:rPr>
        <w:t>§ 23zh</w:t>
      </w:r>
    </w:p>
    <w:p w14:paraId="5BA77755" w14:textId="77777777" w:rsidR="000839A4" w:rsidRPr="000839A4" w:rsidRDefault="000839A4" w:rsidP="000839A4">
      <w:pPr>
        <w:keepNext/>
        <w:ind w:firstLine="0"/>
        <w:jc w:val="center"/>
        <w:rPr>
          <w:b/>
          <w:noProof/>
          <w:szCs w:val="24"/>
        </w:rPr>
      </w:pPr>
      <w:r w:rsidRPr="000839A4">
        <w:rPr>
          <w:b/>
          <w:noProof/>
          <w:szCs w:val="24"/>
        </w:rPr>
        <w:t>Úplatné pozbytí obchodního závodu nebo jiného souboru aktiv a dluhů za jednu cenu</w:t>
      </w:r>
    </w:p>
    <w:p w14:paraId="4299F0D0" w14:textId="77777777" w:rsidR="000839A4" w:rsidRPr="000839A4" w:rsidRDefault="000839A4" w:rsidP="000839A4">
      <w:pPr>
        <w:tabs>
          <w:tab w:val="left" w:pos="851"/>
        </w:tabs>
        <w:spacing w:before="120" w:after="120"/>
        <w:ind w:firstLine="427"/>
        <w:outlineLvl w:val="6"/>
        <w:rPr>
          <w:b/>
        </w:rPr>
      </w:pPr>
      <w:r w:rsidRPr="000839A4">
        <w:rPr>
          <w:b/>
        </w:rPr>
        <w:t>(1) Při úplatném pozbytí aktiva v rámci úplatného pozbytí obchodního závodu nebo jiného souboru aktiv a dluhů za jednu cenu se neuplatní omezení výše částky odpovídající daňové hodnotě aktiva, která je výdajem vynaloženým na dosažení, zajištění a udržení zdanitelných příjmů.</w:t>
      </w:r>
    </w:p>
    <w:p w14:paraId="26B83BD9" w14:textId="77777777" w:rsidR="000839A4" w:rsidRPr="000839A4" w:rsidRDefault="000839A4" w:rsidP="000839A4">
      <w:pPr>
        <w:tabs>
          <w:tab w:val="left" w:pos="851"/>
        </w:tabs>
        <w:spacing w:before="120" w:after="120"/>
        <w:ind w:firstLine="427"/>
        <w:outlineLvl w:val="6"/>
        <w:rPr>
          <w:b/>
        </w:rPr>
      </w:pPr>
      <w:r w:rsidRPr="000839A4">
        <w:rPr>
          <w:b/>
        </w:rPr>
        <w:t>(2) Poplatníkovi s hotovostním základem daně, který úplatně pozbyde obchodní závod nebo jiný soubor aktiv a dluhů za jednu cenu, vzniká příjem ve výši ceny za toto pozbytí zvýšené o úhrn daňových hodnot dluhů předávaných při tomto pozbytí.</w:t>
      </w:r>
    </w:p>
    <w:p w14:paraId="04DCB6F9" w14:textId="77777777" w:rsidR="000839A4" w:rsidRPr="000839A4" w:rsidRDefault="000839A4" w:rsidP="000839A4">
      <w:pPr>
        <w:ind w:firstLine="0"/>
        <w:jc w:val="center"/>
        <w:rPr>
          <w:b/>
          <w:szCs w:val="24"/>
        </w:rPr>
      </w:pPr>
      <w:r w:rsidRPr="000839A4">
        <w:rPr>
          <w:b/>
          <w:szCs w:val="24"/>
        </w:rPr>
        <w:t>§ 23zi</w:t>
      </w:r>
    </w:p>
    <w:p w14:paraId="22641858" w14:textId="77777777" w:rsidR="000839A4" w:rsidRPr="000839A4" w:rsidRDefault="000839A4" w:rsidP="000839A4">
      <w:pPr>
        <w:ind w:firstLine="0"/>
        <w:jc w:val="center"/>
        <w:rPr>
          <w:b/>
          <w:noProof/>
          <w:szCs w:val="24"/>
        </w:rPr>
      </w:pPr>
      <w:r w:rsidRPr="000839A4">
        <w:rPr>
          <w:b/>
          <w:noProof/>
          <w:szCs w:val="24"/>
        </w:rPr>
        <w:t>Finanční leasing</w:t>
      </w:r>
    </w:p>
    <w:p w14:paraId="7506B00C" w14:textId="77777777" w:rsidR="000839A4" w:rsidRPr="000839A4" w:rsidRDefault="000839A4" w:rsidP="000839A4">
      <w:pPr>
        <w:tabs>
          <w:tab w:val="left" w:pos="851"/>
        </w:tabs>
        <w:spacing w:before="120" w:after="120"/>
        <w:ind w:firstLine="427"/>
        <w:outlineLvl w:val="6"/>
        <w:rPr>
          <w:b/>
        </w:rPr>
      </w:pPr>
      <w:r w:rsidRPr="000839A4">
        <w:rPr>
          <w:b/>
        </w:rPr>
        <w:t xml:space="preserve">(1) Poskytne-li poplatník s akruálním základem daně aktivum do užívání jinému poplatníkovi a vznikne-li mu tak pohledávka z finančního leasingu, jeho výsledek </w:t>
      </w:r>
      <w:r w:rsidRPr="000839A4">
        <w:rPr>
          <w:b/>
        </w:rPr>
        <w:lastRenderedPageBreak/>
        <w:t>hospodaření se upraví o kladný nebo záporný rozdíl mezi účetní hodnotou tohoto aktiva a jeho daňovou hodnotou.</w:t>
      </w:r>
    </w:p>
    <w:p w14:paraId="1C9CB286" w14:textId="77777777" w:rsidR="000839A4" w:rsidRPr="000839A4" w:rsidRDefault="000839A4" w:rsidP="000839A4">
      <w:pPr>
        <w:tabs>
          <w:tab w:val="left" w:pos="851"/>
        </w:tabs>
        <w:spacing w:before="120" w:after="120"/>
        <w:ind w:firstLine="427"/>
        <w:outlineLvl w:val="6"/>
        <w:rPr>
          <w:b/>
        </w:rPr>
      </w:pPr>
      <w:r w:rsidRPr="000839A4">
        <w:rPr>
          <w:b/>
        </w:rPr>
        <w:t xml:space="preserve">(2) Poskytne-li poplatník s hotovostním základem daně aktivum do užívání jinému poplatníkovi, určí základ daně, jako by se jednalo o poskytnutí do užívání způsobem, se kterým právní předpisy upravující účetnictví nespojují vznik pohledávky z finančního leasingu. </w:t>
      </w:r>
    </w:p>
    <w:p w14:paraId="42798364" w14:textId="77777777" w:rsidR="000839A4" w:rsidRPr="000839A4" w:rsidRDefault="000839A4" w:rsidP="000839A4">
      <w:pPr>
        <w:ind w:firstLine="0"/>
        <w:jc w:val="center"/>
        <w:rPr>
          <w:b/>
          <w:szCs w:val="24"/>
        </w:rPr>
      </w:pPr>
      <w:r w:rsidRPr="000839A4">
        <w:rPr>
          <w:b/>
          <w:szCs w:val="24"/>
        </w:rPr>
        <w:t>§ 23zj</w:t>
      </w:r>
    </w:p>
    <w:p w14:paraId="4AB25C75" w14:textId="77777777" w:rsidR="000839A4" w:rsidRPr="000839A4" w:rsidRDefault="000839A4" w:rsidP="000839A4">
      <w:pPr>
        <w:ind w:firstLine="0"/>
        <w:jc w:val="center"/>
        <w:rPr>
          <w:noProof/>
          <w:szCs w:val="24"/>
        </w:rPr>
      </w:pPr>
      <w:r w:rsidRPr="000839A4">
        <w:rPr>
          <w:b/>
          <w:noProof/>
          <w:szCs w:val="24"/>
        </w:rPr>
        <w:t xml:space="preserve">Právo užívání s následnou koupí </w:t>
      </w:r>
    </w:p>
    <w:p w14:paraId="3791D922" w14:textId="77777777" w:rsidR="000839A4" w:rsidRPr="000839A4" w:rsidRDefault="000839A4" w:rsidP="000839A4">
      <w:pPr>
        <w:tabs>
          <w:tab w:val="left" w:pos="851"/>
        </w:tabs>
        <w:spacing w:before="120" w:after="120"/>
        <w:ind w:firstLine="427"/>
        <w:outlineLvl w:val="6"/>
        <w:rPr>
          <w:b/>
        </w:rPr>
      </w:pPr>
      <w:r w:rsidRPr="000839A4">
        <w:rPr>
          <w:b/>
        </w:rPr>
        <w:t xml:space="preserve">(1) Aktivem poplatníka s hotovostním základem daně není právo užívání jiné než právo užívání s následnou koupí. </w:t>
      </w:r>
    </w:p>
    <w:p w14:paraId="7143C504" w14:textId="77777777" w:rsidR="000839A4" w:rsidRPr="000839A4" w:rsidRDefault="000839A4" w:rsidP="000839A4">
      <w:pPr>
        <w:tabs>
          <w:tab w:val="left" w:pos="851"/>
        </w:tabs>
        <w:spacing w:before="120" w:after="120"/>
        <w:ind w:firstLine="427"/>
        <w:outlineLvl w:val="6"/>
        <w:rPr>
          <w:b/>
        </w:rPr>
      </w:pPr>
      <w:r w:rsidRPr="000839A4">
        <w:rPr>
          <w:b/>
        </w:rPr>
        <w:t>(2) Právem užívání s následnou koupí se pro účely daní z příjmů rozumí právo užívání, které je aktivem a při jehož vzniku je</w:t>
      </w:r>
    </w:p>
    <w:p w14:paraId="4FEA1839" w14:textId="77777777" w:rsidR="000839A4" w:rsidRPr="000839A4" w:rsidRDefault="000839A4" w:rsidP="000839A4">
      <w:pPr>
        <w:spacing w:before="0"/>
        <w:ind w:left="425" w:hanging="425"/>
        <w:outlineLvl w:val="7"/>
        <w:rPr>
          <w:b/>
        </w:rPr>
      </w:pPr>
      <w:r w:rsidRPr="000839A4">
        <w:rPr>
          <w:b/>
        </w:rPr>
        <w:t>a)</w:t>
      </w:r>
      <w:r w:rsidRPr="000839A4">
        <w:rPr>
          <w:b/>
        </w:rPr>
        <w:tab/>
        <w:t>sjednáno, že po uplynutí sjednané doby užívání vlastník předmětu užívání úplatně nebo bezúplatně převede vlastnické právo k němu na uživatele, nebo</w:t>
      </w:r>
    </w:p>
    <w:p w14:paraId="62B02097" w14:textId="77777777" w:rsidR="000839A4" w:rsidRPr="000839A4" w:rsidRDefault="000839A4" w:rsidP="000839A4">
      <w:pPr>
        <w:spacing w:before="0"/>
        <w:ind w:left="425" w:hanging="425"/>
        <w:outlineLvl w:val="7"/>
        <w:rPr>
          <w:b/>
        </w:rPr>
      </w:pPr>
      <w:r w:rsidRPr="000839A4">
        <w:rPr>
          <w:b/>
        </w:rPr>
        <w:t>b)</w:t>
      </w:r>
      <w:r w:rsidRPr="000839A4">
        <w:rPr>
          <w:b/>
        </w:rPr>
        <w:tab/>
        <w:t>sjednáno právo uživatele na převod vlastnického práva k němu za předem určenou cenu nebo bezúplatně.</w:t>
      </w:r>
    </w:p>
    <w:p w14:paraId="19DF318D" w14:textId="77777777" w:rsidR="000839A4" w:rsidRPr="000839A4" w:rsidRDefault="000839A4" w:rsidP="000839A4">
      <w:pPr>
        <w:spacing w:before="120"/>
        <w:ind w:firstLine="0"/>
        <w:jc w:val="center"/>
        <w:rPr>
          <w:b/>
          <w:szCs w:val="24"/>
        </w:rPr>
      </w:pPr>
      <w:r w:rsidRPr="000839A4">
        <w:rPr>
          <w:b/>
          <w:szCs w:val="24"/>
        </w:rPr>
        <w:t>Díl 6</w:t>
      </w:r>
    </w:p>
    <w:p w14:paraId="227CA8E5" w14:textId="77777777" w:rsidR="000839A4" w:rsidRPr="000839A4" w:rsidRDefault="000839A4" w:rsidP="000839A4">
      <w:pPr>
        <w:spacing w:before="120"/>
        <w:ind w:firstLine="0"/>
        <w:jc w:val="center"/>
        <w:rPr>
          <w:b/>
          <w:szCs w:val="24"/>
        </w:rPr>
      </w:pPr>
      <w:r w:rsidRPr="000839A4">
        <w:rPr>
          <w:b/>
          <w:szCs w:val="24"/>
        </w:rPr>
        <w:t>Daňová hodnota při změně hospodaření bez přecenění</w:t>
      </w:r>
    </w:p>
    <w:p w14:paraId="23681549" w14:textId="77777777" w:rsidR="000839A4" w:rsidRPr="000839A4" w:rsidRDefault="000839A4" w:rsidP="000839A4">
      <w:pPr>
        <w:keepNext/>
        <w:ind w:firstLine="0"/>
        <w:jc w:val="center"/>
        <w:rPr>
          <w:b/>
          <w:szCs w:val="24"/>
        </w:rPr>
      </w:pPr>
      <w:r w:rsidRPr="000839A4">
        <w:rPr>
          <w:b/>
          <w:szCs w:val="24"/>
        </w:rPr>
        <w:t>§ 23zk</w:t>
      </w:r>
    </w:p>
    <w:p w14:paraId="6B055EEB" w14:textId="77777777" w:rsidR="000839A4" w:rsidRPr="000839A4" w:rsidRDefault="000839A4" w:rsidP="000839A4">
      <w:pPr>
        <w:keepNext/>
        <w:ind w:firstLine="0"/>
        <w:jc w:val="center"/>
        <w:rPr>
          <w:noProof/>
          <w:szCs w:val="24"/>
        </w:rPr>
      </w:pPr>
      <w:r w:rsidRPr="000839A4">
        <w:rPr>
          <w:b/>
          <w:noProof/>
          <w:szCs w:val="24"/>
        </w:rPr>
        <w:t>Změna hospodaření s aktivem bez přecenění</w:t>
      </w:r>
    </w:p>
    <w:p w14:paraId="48174F90" w14:textId="77777777" w:rsidR="000839A4" w:rsidRPr="000839A4" w:rsidRDefault="000839A4" w:rsidP="000839A4">
      <w:pPr>
        <w:tabs>
          <w:tab w:val="left" w:pos="851"/>
        </w:tabs>
        <w:spacing w:before="120" w:after="120"/>
        <w:ind w:firstLine="427"/>
        <w:outlineLvl w:val="6"/>
        <w:rPr>
          <w:b/>
        </w:rPr>
      </w:pPr>
      <w:r w:rsidRPr="000839A4">
        <w:rPr>
          <w:b/>
        </w:rPr>
        <w:t xml:space="preserve">(1) Při změně hospodaření s aktivem bez přecenění nevzniká příjem a výdaj a přebírá se daňová hodnota aktiva, která se stává prvotní daňovou hodnotou aktiva po této změně. </w:t>
      </w:r>
    </w:p>
    <w:p w14:paraId="41541A42" w14:textId="77777777" w:rsidR="000839A4" w:rsidRPr="000839A4" w:rsidRDefault="000839A4" w:rsidP="000839A4">
      <w:pPr>
        <w:tabs>
          <w:tab w:val="left" w:pos="851"/>
        </w:tabs>
        <w:spacing w:before="120" w:after="120"/>
        <w:ind w:firstLine="427"/>
        <w:outlineLvl w:val="6"/>
        <w:rPr>
          <w:b/>
        </w:rPr>
      </w:pPr>
      <w:r w:rsidRPr="000839A4">
        <w:rPr>
          <w:b/>
        </w:rPr>
        <w:t xml:space="preserve">(2) Daňová hodnota aktiva převzatá při změně hospodaření bez přecenění se zvyšuje o vedlejší pořizovací výdaj, který se při této změně stal součástí účetní hodnoty tohoto aktiva nebo by se stal její součástí, kdyby byl poplatník účetní jednotkou. </w:t>
      </w:r>
    </w:p>
    <w:p w14:paraId="528032BD" w14:textId="77777777" w:rsidR="000839A4" w:rsidRPr="000839A4" w:rsidRDefault="000839A4" w:rsidP="000839A4">
      <w:pPr>
        <w:tabs>
          <w:tab w:val="left" w:pos="851"/>
        </w:tabs>
        <w:spacing w:before="120" w:after="120"/>
        <w:ind w:firstLine="427"/>
        <w:outlineLvl w:val="6"/>
        <w:rPr>
          <w:b/>
        </w:rPr>
      </w:pPr>
      <w:r w:rsidRPr="000839A4">
        <w:rPr>
          <w:b/>
        </w:rPr>
        <w:t>(3) Je-li aktivum před změnou hospodaření bez přecenění i po této změně daňově odpisovaným aktivem, pokračuje se v daňovém odpisování, jako by k této změně nedošlo. Pro účely určení, zda je aktivum po změně hospodaření bez přecenění daňově odpisovaným aktivem, se za jeho prvotní daňovou hodnotu považuje jeho prvotní daňová hodnota před změnou hospodaření s ním bez přecenění.</w:t>
      </w:r>
    </w:p>
    <w:p w14:paraId="1B27518E" w14:textId="77777777" w:rsidR="000839A4" w:rsidRPr="000839A4" w:rsidRDefault="000839A4" w:rsidP="000839A4">
      <w:pPr>
        <w:tabs>
          <w:tab w:val="left" w:pos="851"/>
        </w:tabs>
        <w:spacing w:before="120" w:after="120"/>
        <w:ind w:firstLine="427"/>
        <w:outlineLvl w:val="6"/>
        <w:rPr>
          <w:b/>
        </w:rPr>
      </w:pPr>
      <w:r w:rsidRPr="000839A4">
        <w:rPr>
          <w:b/>
        </w:rPr>
        <w:t>(4) Změnou hospodaření s aktivem bez přecenění se pro účely daní z příjmů rozumí</w:t>
      </w:r>
    </w:p>
    <w:p w14:paraId="4E7086B5" w14:textId="77777777" w:rsidR="000839A4" w:rsidRPr="000839A4" w:rsidRDefault="000839A4" w:rsidP="000839A4">
      <w:pPr>
        <w:spacing w:before="0"/>
        <w:ind w:left="425" w:hanging="425"/>
        <w:outlineLvl w:val="7"/>
        <w:rPr>
          <w:b/>
        </w:rPr>
      </w:pPr>
      <w:r w:rsidRPr="000839A4">
        <w:rPr>
          <w:b/>
        </w:rPr>
        <w:t>a)</w:t>
      </w:r>
      <w:r w:rsidRPr="000839A4">
        <w:rPr>
          <w:b/>
        </w:rPr>
        <w:tab/>
        <w:t xml:space="preserve">nabytí aktiva </w:t>
      </w:r>
    </w:p>
    <w:p w14:paraId="4DECAA97" w14:textId="77777777" w:rsidR="000839A4" w:rsidRPr="000839A4" w:rsidRDefault="000839A4" w:rsidP="000839A4">
      <w:pPr>
        <w:spacing w:before="0"/>
        <w:ind w:left="851" w:hanging="426"/>
        <w:outlineLvl w:val="8"/>
        <w:rPr>
          <w:b/>
        </w:rPr>
      </w:pPr>
      <w:r w:rsidRPr="000839A4">
        <w:rPr>
          <w:b/>
        </w:rPr>
        <w:t>1.</w:t>
      </w:r>
      <w:r w:rsidRPr="000839A4">
        <w:rPr>
          <w:b/>
        </w:rPr>
        <w:tab/>
        <w:t>kapitálovým vkladem od jiného poplatníka,</w:t>
      </w:r>
    </w:p>
    <w:p w14:paraId="0B593EB9" w14:textId="77777777" w:rsidR="000839A4" w:rsidRPr="000839A4" w:rsidRDefault="000839A4" w:rsidP="000839A4">
      <w:pPr>
        <w:spacing w:before="0"/>
        <w:ind w:left="851" w:hanging="426"/>
        <w:outlineLvl w:val="8"/>
        <w:rPr>
          <w:b/>
        </w:rPr>
      </w:pPr>
      <w:r w:rsidRPr="000839A4">
        <w:rPr>
          <w:b/>
        </w:rPr>
        <w:t>2.</w:t>
      </w:r>
      <w:r w:rsidRPr="000839A4">
        <w:rPr>
          <w:b/>
        </w:rPr>
        <w:tab/>
        <w:t>poskytnutím vkladu společníka veřejné obchodní společnosti nebo vkladu komplementáře komanditní společnosti,</w:t>
      </w:r>
    </w:p>
    <w:p w14:paraId="79C7E6D7" w14:textId="77777777" w:rsidR="000839A4" w:rsidRPr="000839A4" w:rsidRDefault="000839A4" w:rsidP="000839A4">
      <w:pPr>
        <w:spacing w:before="0"/>
        <w:ind w:left="851" w:hanging="426"/>
        <w:outlineLvl w:val="8"/>
        <w:rPr>
          <w:b/>
        </w:rPr>
      </w:pPr>
      <w:r w:rsidRPr="000839A4">
        <w:rPr>
          <w:b/>
        </w:rPr>
        <w:t>3.</w:t>
      </w:r>
      <w:r w:rsidRPr="000839A4">
        <w:rPr>
          <w:b/>
        </w:rPr>
        <w:tab/>
        <w:t>jako součásti vypořádacího podílu nebo podílu na likvidačním zůstatku společníka veřejné obchodní společnosti nebo komplementáře komanditní společnosti,</w:t>
      </w:r>
    </w:p>
    <w:p w14:paraId="04EFC9AF" w14:textId="77777777" w:rsidR="000839A4" w:rsidRPr="000839A4" w:rsidRDefault="000839A4" w:rsidP="000839A4">
      <w:pPr>
        <w:spacing w:before="0"/>
        <w:ind w:left="851" w:hanging="426"/>
        <w:outlineLvl w:val="8"/>
        <w:rPr>
          <w:b/>
        </w:rPr>
      </w:pPr>
      <w:r w:rsidRPr="000839A4">
        <w:rPr>
          <w:b/>
        </w:rPr>
        <w:t>4.</w:t>
      </w:r>
      <w:r w:rsidRPr="000839A4">
        <w:rPr>
          <w:b/>
        </w:rPr>
        <w:tab/>
        <w:t>vrácením vkladu tichému společníkovi,</w:t>
      </w:r>
    </w:p>
    <w:p w14:paraId="7E18F08C" w14:textId="77777777" w:rsidR="000839A4" w:rsidRPr="000839A4" w:rsidRDefault="000839A4" w:rsidP="000839A4">
      <w:pPr>
        <w:spacing w:before="0"/>
        <w:ind w:left="851" w:hanging="426"/>
        <w:outlineLvl w:val="8"/>
        <w:rPr>
          <w:b/>
        </w:rPr>
      </w:pPr>
      <w:r w:rsidRPr="000839A4">
        <w:rPr>
          <w:b/>
        </w:rPr>
        <w:t>5.</w:t>
      </w:r>
      <w:r w:rsidRPr="000839A4">
        <w:rPr>
          <w:b/>
        </w:rPr>
        <w:tab/>
        <w:t>přeměnou s výjimkou převodu jmění na společníka, který je fyzickou osobou,</w:t>
      </w:r>
    </w:p>
    <w:p w14:paraId="1DD130FC" w14:textId="77777777" w:rsidR="000839A4" w:rsidRPr="000839A4" w:rsidRDefault="000839A4" w:rsidP="000839A4">
      <w:pPr>
        <w:spacing w:before="0"/>
        <w:ind w:left="425" w:hanging="425"/>
        <w:outlineLvl w:val="7"/>
        <w:rPr>
          <w:b/>
        </w:rPr>
      </w:pPr>
      <w:r w:rsidRPr="000839A4">
        <w:rPr>
          <w:b/>
        </w:rPr>
        <w:t>b)</w:t>
      </w:r>
      <w:r w:rsidRPr="000839A4">
        <w:rPr>
          <w:b/>
        </w:rPr>
        <w:tab/>
        <w:t>nabytí aktiva dědicem,</w:t>
      </w:r>
    </w:p>
    <w:p w14:paraId="7D50EC6A" w14:textId="77777777" w:rsidR="000839A4" w:rsidRPr="000839A4" w:rsidRDefault="000839A4" w:rsidP="000839A4">
      <w:pPr>
        <w:spacing w:before="0"/>
        <w:ind w:left="425" w:hanging="425"/>
        <w:outlineLvl w:val="7"/>
        <w:rPr>
          <w:b/>
        </w:rPr>
      </w:pPr>
      <w:r w:rsidRPr="000839A4">
        <w:rPr>
          <w:b/>
        </w:rPr>
        <w:lastRenderedPageBreak/>
        <w:t>c)</w:t>
      </w:r>
      <w:r w:rsidRPr="000839A4">
        <w:rPr>
          <w:b/>
        </w:rPr>
        <w:tab/>
        <w:t>bezúplatné předání aktiva v rámci změny příslušnosti hospodařit nebo práva hospodařit s majetkem státu,</w:t>
      </w:r>
    </w:p>
    <w:p w14:paraId="248A998B" w14:textId="77777777" w:rsidR="000839A4" w:rsidRPr="000839A4" w:rsidRDefault="000839A4" w:rsidP="000839A4">
      <w:pPr>
        <w:spacing w:before="0"/>
        <w:ind w:left="425" w:hanging="425"/>
        <w:outlineLvl w:val="7"/>
        <w:rPr>
          <w:b/>
        </w:rPr>
      </w:pPr>
      <w:r w:rsidRPr="000839A4">
        <w:rPr>
          <w:b/>
        </w:rPr>
        <w:t>d)</w:t>
      </w:r>
      <w:r w:rsidRPr="000839A4">
        <w:rPr>
          <w:b/>
        </w:rPr>
        <w:tab/>
        <w:t>bezúplatné předání aktiva územním samosprávním celkem nebo dobrovolným svazkem obcí k hospodaření jím zřízené příspěvkové organizaci a zpětné bezúplatné předání tohoto aktiva,</w:t>
      </w:r>
    </w:p>
    <w:p w14:paraId="743126DC" w14:textId="77777777" w:rsidR="000839A4" w:rsidRPr="000839A4" w:rsidRDefault="000839A4" w:rsidP="000839A4">
      <w:pPr>
        <w:spacing w:before="0"/>
        <w:ind w:left="425" w:hanging="425"/>
        <w:outlineLvl w:val="7"/>
        <w:rPr>
          <w:b/>
        </w:rPr>
      </w:pPr>
      <w:r w:rsidRPr="000839A4">
        <w:rPr>
          <w:b/>
        </w:rPr>
        <w:t>e)</w:t>
      </w:r>
      <w:r w:rsidRPr="000839A4">
        <w:rPr>
          <w:b/>
        </w:rPr>
        <w:tab/>
        <w:t>vložení aktiva členskou obcí do dobrovolného svazku obcí a zpětné bezúplatné předání tohoto aktiva,</w:t>
      </w:r>
    </w:p>
    <w:p w14:paraId="1CACBD0F" w14:textId="77777777" w:rsidR="000839A4" w:rsidRPr="000839A4" w:rsidRDefault="000839A4" w:rsidP="000839A4">
      <w:pPr>
        <w:spacing w:before="0"/>
        <w:ind w:left="425" w:hanging="425"/>
        <w:outlineLvl w:val="7"/>
        <w:rPr>
          <w:b/>
        </w:rPr>
      </w:pPr>
      <w:r w:rsidRPr="000839A4">
        <w:rPr>
          <w:b/>
        </w:rPr>
        <w:t>f)</w:t>
      </w:r>
      <w:r w:rsidRPr="000839A4">
        <w:rPr>
          <w:b/>
        </w:rPr>
        <w:tab/>
        <w:t>bezúplatné nabytí aktiva převodem nebo přechodem mezi poplatníky, kteří jsou účetními jednotkami veřejného sektoru,</w:t>
      </w:r>
    </w:p>
    <w:p w14:paraId="29DDBB19" w14:textId="77777777" w:rsidR="000839A4" w:rsidRPr="000839A4" w:rsidRDefault="000839A4" w:rsidP="000839A4">
      <w:pPr>
        <w:spacing w:before="0"/>
        <w:ind w:left="425" w:hanging="425"/>
        <w:outlineLvl w:val="7"/>
        <w:rPr>
          <w:b/>
        </w:rPr>
      </w:pPr>
      <w:r w:rsidRPr="000839A4">
        <w:rPr>
          <w:b/>
        </w:rPr>
        <w:t>g)</w:t>
      </w:r>
      <w:r w:rsidRPr="000839A4">
        <w:rPr>
          <w:b/>
        </w:rPr>
        <w:tab/>
        <w:t>bezúplatné nabytí aktiva</w:t>
      </w:r>
    </w:p>
    <w:p w14:paraId="3A5F6EF8" w14:textId="77777777" w:rsidR="000839A4" w:rsidRPr="000839A4" w:rsidRDefault="000839A4" w:rsidP="000839A4">
      <w:pPr>
        <w:spacing w:before="0"/>
        <w:ind w:left="851" w:hanging="426"/>
        <w:outlineLvl w:val="8"/>
        <w:rPr>
          <w:b/>
        </w:rPr>
      </w:pPr>
      <w:r w:rsidRPr="000839A4">
        <w:rPr>
          <w:b/>
        </w:rPr>
        <w:t>1.</w:t>
      </w:r>
      <w:r w:rsidRPr="000839A4">
        <w:rPr>
          <w:b/>
        </w:rPr>
        <w:tab/>
        <w:t>podle zákona upravujícího podmínky převodu majetku státu na jiné osoby,</w:t>
      </w:r>
    </w:p>
    <w:p w14:paraId="7A310578" w14:textId="77777777" w:rsidR="000839A4" w:rsidRPr="000839A4" w:rsidRDefault="000839A4" w:rsidP="000839A4">
      <w:pPr>
        <w:spacing w:before="0"/>
        <w:ind w:left="851" w:hanging="426"/>
        <w:outlineLvl w:val="8"/>
        <w:rPr>
          <w:b/>
        </w:rPr>
      </w:pPr>
      <w:r w:rsidRPr="000839A4">
        <w:rPr>
          <w:b/>
        </w:rPr>
        <w:t>2.</w:t>
      </w:r>
      <w:r w:rsidRPr="000839A4">
        <w:rPr>
          <w:b/>
        </w:rPr>
        <w:tab/>
        <w:t>podle zákona upravujícího přechod majetku České republiky do vlastnictví obce,</w:t>
      </w:r>
    </w:p>
    <w:p w14:paraId="45ABC394" w14:textId="77777777" w:rsidR="000839A4" w:rsidRPr="000839A4" w:rsidRDefault="000839A4" w:rsidP="000839A4">
      <w:pPr>
        <w:spacing w:before="0"/>
        <w:ind w:left="851" w:hanging="426"/>
        <w:outlineLvl w:val="8"/>
        <w:rPr>
          <w:b/>
        </w:rPr>
      </w:pPr>
      <w:r w:rsidRPr="000839A4">
        <w:rPr>
          <w:b/>
        </w:rPr>
        <w:t>3.</w:t>
      </w:r>
      <w:r w:rsidRPr="000839A4">
        <w:rPr>
          <w:b/>
        </w:rPr>
        <w:tab/>
        <w:t>v důsledku delimitace státních organizací,</w:t>
      </w:r>
    </w:p>
    <w:p w14:paraId="697AEFB0" w14:textId="77777777" w:rsidR="000839A4" w:rsidRPr="000839A4" w:rsidRDefault="000839A4" w:rsidP="000839A4">
      <w:pPr>
        <w:spacing w:before="0"/>
        <w:ind w:left="425" w:hanging="425"/>
        <w:outlineLvl w:val="7"/>
        <w:rPr>
          <w:b/>
        </w:rPr>
      </w:pPr>
      <w:r w:rsidRPr="000839A4">
        <w:rPr>
          <w:b/>
        </w:rPr>
        <w:t>h)</w:t>
      </w:r>
      <w:r w:rsidRPr="000839A4">
        <w:rPr>
          <w:b/>
        </w:rPr>
        <w:tab/>
        <w:t>nabytí aktiva</w:t>
      </w:r>
    </w:p>
    <w:p w14:paraId="2C4A147F" w14:textId="77777777" w:rsidR="000839A4" w:rsidRPr="000839A4" w:rsidRDefault="000839A4" w:rsidP="000839A4">
      <w:pPr>
        <w:spacing w:before="0"/>
        <w:ind w:left="851" w:hanging="426"/>
        <w:outlineLvl w:val="8"/>
        <w:rPr>
          <w:b/>
        </w:rPr>
      </w:pPr>
      <w:r w:rsidRPr="000839A4">
        <w:rPr>
          <w:b/>
        </w:rPr>
        <w:t>1.</w:t>
      </w:r>
      <w:r w:rsidRPr="000839A4">
        <w:rPr>
          <w:b/>
        </w:rPr>
        <w:tab/>
        <w:t>na základě smlouvy o zápůjčce,</w:t>
      </w:r>
    </w:p>
    <w:p w14:paraId="310112A5" w14:textId="77777777" w:rsidR="000839A4" w:rsidRPr="000839A4" w:rsidRDefault="000839A4" w:rsidP="000839A4">
      <w:pPr>
        <w:spacing w:before="0"/>
        <w:ind w:left="851" w:hanging="426"/>
        <w:outlineLvl w:val="8"/>
        <w:rPr>
          <w:b/>
        </w:rPr>
      </w:pPr>
      <w:r w:rsidRPr="000839A4">
        <w:rPr>
          <w:b/>
        </w:rPr>
        <w:t>2.</w:t>
      </w:r>
      <w:r w:rsidRPr="000839A4">
        <w:rPr>
          <w:b/>
        </w:rPr>
        <w:tab/>
        <w:t>vrácením zapůjčené věci,</w:t>
      </w:r>
    </w:p>
    <w:p w14:paraId="11351ADD" w14:textId="77777777" w:rsidR="000839A4" w:rsidRPr="000839A4" w:rsidRDefault="000839A4" w:rsidP="000839A4">
      <w:pPr>
        <w:spacing w:before="0"/>
        <w:ind w:left="425" w:hanging="425"/>
        <w:outlineLvl w:val="7"/>
        <w:rPr>
          <w:b/>
        </w:rPr>
      </w:pPr>
      <w:r w:rsidRPr="000839A4">
        <w:rPr>
          <w:b/>
        </w:rPr>
        <w:t>i)</w:t>
      </w:r>
      <w:r w:rsidRPr="000839A4">
        <w:rPr>
          <w:b/>
        </w:rPr>
        <w:tab/>
        <w:t>nabytí daňově odpisovaného aktiva při propachtování obchodního závodu a vrácení daňově odpisovaného aktiva při ukončení pachtu obchodního závodu,</w:t>
      </w:r>
    </w:p>
    <w:p w14:paraId="3D54385F" w14:textId="77777777" w:rsidR="000839A4" w:rsidRPr="000839A4" w:rsidRDefault="000839A4" w:rsidP="000839A4">
      <w:pPr>
        <w:spacing w:before="0"/>
        <w:ind w:left="425" w:hanging="425"/>
        <w:outlineLvl w:val="7"/>
        <w:rPr>
          <w:b/>
        </w:rPr>
      </w:pPr>
      <w:r w:rsidRPr="000839A4">
        <w:rPr>
          <w:b/>
        </w:rPr>
        <w:t>j)</w:t>
      </w:r>
      <w:r w:rsidRPr="000839A4">
        <w:rPr>
          <w:b/>
        </w:rPr>
        <w:tab/>
        <w:t>nabytí aktiva společníkem vkladem do společnosti od jiného společníka,</w:t>
      </w:r>
    </w:p>
    <w:p w14:paraId="6303752B" w14:textId="77777777" w:rsidR="000839A4" w:rsidRPr="000839A4" w:rsidRDefault="000839A4" w:rsidP="000839A4">
      <w:pPr>
        <w:spacing w:before="0"/>
        <w:ind w:left="425" w:hanging="425"/>
        <w:outlineLvl w:val="7"/>
        <w:rPr>
          <w:b/>
        </w:rPr>
      </w:pPr>
      <w:r w:rsidRPr="000839A4">
        <w:rPr>
          <w:b/>
        </w:rPr>
        <w:t>k)</w:t>
      </w:r>
      <w:r w:rsidRPr="000839A4">
        <w:rPr>
          <w:b/>
        </w:rPr>
        <w:tab/>
        <w:t>vrácení vkladu aktiva určeného podle druhu společníkovi při zániku společnosti nebo zániku členství ve společnosti,</w:t>
      </w:r>
    </w:p>
    <w:p w14:paraId="16B2D89A" w14:textId="77777777" w:rsidR="000839A4" w:rsidRPr="000839A4" w:rsidRDefault="000839A4" w:rsidP="000839A4">
      <w:pPr>
        <w:spacing w:before="0"/>
        <w:ind w:left="425" w:hanging="425"/>
        <w:outlineLvl w:val="7"/>
        <w:rPr>
          <w:b/>
        </w:rPr>
      </w:pPr>
      <w:r w:rsidRPr="000839A4">
        <w:rPr>
          <w:b/>
        </w:rPr>
        <w:t>l)</w:t>
      </w:r>
      <w:r w:rsidRPr="000839A4">
        <w:rPr>
          <w:b/>
        </w:rPr>
        <w:tab/>
        <w:t xml:space="preserve">vypořádání spoluvlastnictví aktiva rozdělením věci odpovídajícím výši spoluvlastnických podílů, </w:t>
      </w:r>
    </w:p>
    <w:p w14:paraId="662C4796" w14:textId="77777777" w:rsidR="000839A4" w:rsidRPr="000839A4" w:rsidRDefault="000839A4" w:rsidP="000839A4">
      <w:pPr>
        <w:spacing w:before="0"/>
        <w:ind w:left="425" w:hanging="425"/>
        <w:outlineLvl w:val="7"/>
        <w:rPr>
          <w:b/>
        </w:rPr>
      </w:pPr>
      <w:r w:rsidRPr="000839A4">
        <w:rPr>
          <w:b/>
        </w:rPr>
        <w:t>m)</w:t>
      </w:r>
      <w:r w:rsidRPr="000839A4">
        <w:rPr>
          <w:b/>
        </w:rPr>
        <w:tab/>
        <w:t>vymezení jednotek v budově; daňové hodnoty jednotek se určí poměrně podle výměry jednotek tak, aby jejich úhrn odpovídal daňové hodnotě budovy,</w:t>
      </w:r>
    </w:p>
    <w:p w14:paraId="4BC335CF" w14:textId="77777777" w:rsidR="000839A4" w:rsidRPr="000839A4" w:rsidRDefault="000839A4" w:rsidP="000839A4">
      <w:pPr>
        <w:spacing w:before="0"/>
        <w:ind w:left="425" w:hanging="425"/>
        <w:outlineLvl w:val="7"/>
        <w:rPr>
          <w:b/>
        </w:rPr>
      </w:pPr>
      <w:r w:rsidRPr="000839A4">
        <w:rPr>
          <w:b/>
        </w:rPr>
        <w:t>n)</w:t>
      </w:r>
      <w:r w:rsidRPr="000839A4">
        <w:rPr>
          <w:b/>
        </w:rPr>
        <w:tab/>
        <w:t>výměna cenného papíru představujícího kapitálový podíl za jiný cenný papír představující stejný kapitálový podíl,</w:t>
      </w:r>
    </w:p>
    <w:p w14:paraId="1AF42AC1" w14:textId="77777777" w:rsidR="000839A4" w:rsidRPr="000839A4" w:rsidRDefault="000839A4" w:rsidP="000839A4">
      <w:pPr>
        <w:spacing w:before="0"/>
        <w:ind w:left="425" w:hanging="425"/>
        <w:outlineLvl w:val="7"/>
        <w:rPr>
          <w:b/>
        </w:rPr>
      </w:pPr>
      <w:r w:rsidRPr="000839A4">
        <w:rPr>
          <w:b/>
        </w:rPr>
        <w:t>o)</w:t>
      </w:r>
      <w:r w:rsidRPr="000839A4">
        <w:rPr>
          <w:b/>
        </w:rPr>
        <w:tab/>
        <w:t>nabytí aktiva rozšířením rozsahu nebo vypořádáním společného jmění manželů,</w:t>
      </w:r>
    </w:p>
    <w:p w14:paraId="2418FED0" w14:textId="77777777" w:rsidR="000839A4" w:rsidRPr="000839A4" w:rsidRDefault="000839A4" w:rsidP="000839A4">
      <w:pPr>
        <w:spacing w:before="0"/>
        <w:ind w:left="425" w:hanging="425"/>
        <w:outlineLvl w:val="7"/>
        <w:rPr>
          <w:b/>
        </w:rPr>
      </w:pPr>
      <w:r w:rsidRPr="000839A4">
        <w:rPr>
          <w:b/>
        </w:rPr>
        <w:t>p)</w:t>
      </w:r>
      <w:r w:rsidRPr="000839A4">
        <w:rPr>
          <w:b/>
        </w:rPr>
        <w:tab/>
        <w:t>skutečnost, že se aktivum stane opět evidovaným aktivem u poplatníka na základě rozhodnutí poplatníka,</w:t>
      </w:r>
    </w:p>
    <w:p w14:paraId="6DF43D16" w14:textId="77777777" w:rsidR="000839A4" w:rsidRPr="000839A4" w:rsidRDefault="000839A4" w:rsidP="000839A4">
      <w:pPr>
        <w:spacing w:before="0"/>
        <w:ind w:left="425" w:hanging="425"/>
        <w:outlineLvl w:val="7"/>
        <w:rPr>
          <w:b/>
        </w:rPr>
      </w:pPr>
      <w:r w:rsidRPr="000839A4">
        <w:rPr>
          <w:b/>
        </w:rPr>
        <w:t>q)</w:t>
      </w:r>
      <w:r w:rsidRPr="000839A4">
        <w:rPr>
          <w:b/>
        </w:rPr>
        <w:tab/>
        <w:t>skutečnost, že se aktivum poprvé stane evidovaným aktivem poplatníka po jeho získání jako předmětu jiné změny hospodaření bez přecenění, před kterou bylo evidovaným aktivem,</w:t>
      </w:r>
    </w:p>
    <w:p w14:paraId="4DD878CA" w14:textId="77777777" w:rsidR="000839A4" w:rsidRPr="000839A4" w:rsidRDefault="000839A4" w:rsidP="000839A4">
      <w:pPr>
        <w:spacing w:before="0"/>
        <w:ind w:left="425" w:hanging="425"/>
        <w:outlineLvl w:val="7"/>
        <w:rPr>
          <w:b/>
        </w:rPr>
      </w:pPr>
      <w:r w:rsidRPr="000839A4">
        <w:rPr>
          <w:b/>
        </w:rPr>
        <w:t>r)</w:t>
      </w:r>
      <w:r w:rsidRPr="000839A4">
        <w:rPr>
          <w:b/>
        </w:rPr>
        <w:tab/>
        <w:t>skutečnost, že se aktivum ve společném jmění manželů stane evidovaným aktivem, pokud bylo evidovaným aktivem jednoho z manželů.</w:t>
      </w:r>
    </w:p>
    <w:p w14:paraId="049ECAB5" w14:textId="77777777" w:rsidR="000839A4" w:rsidRPr="000839A4" w:rsidRDefault="000839A4" w:rsidP="000839A4">
      <w:pPr>
        <w:tabs>
          <w:tab w:val="left" w:pos="851"/>
        </w:tabs>
        <w:spacing w:before="120" w:after="120"/>
        <w:ind w:firstLine="427"/>
        <w:outlineLvl w:val="6"/>
        <w:rPr>
          <w:b/>
        </w:rPr>
      </w:pPr>
      <w:r w:rsidRPr="000839A4">
        <w:rPr>
          <w:b/>
        </w:rPr>
        <w:t xml:space="preserve">(5) Daňová hodnota aktiva převzatá při nabytí aktiva od jiného poplatníka způsobem podle odstavce 4 písm. a) bodu 1 nebo 2 se zvyšuje o částku, která byla jinému poplatníkovi vrácena jako rozdíl mezi </w:t>
      </w:r>
    </w:p>
    <w:p w14:paraId="5AD335C1" w14:textId="77777777" w:rsidR="000839A4" w:rsidRPr="000839A4" w:rsidRDefault="000839A4" w:rsidP="000839A4">
      <w:pPr>
        <w:spacing w:before="0"/>
        <w:ind w:left="425" w:hanging="425"/>
        <w:outlineLvl w:val="7"/>
        <w:rPr>
          <w:b/>
        </w:rPr>
      </w:pPr>
      <w:r w:rsidRPr="000839A4">
        <w:rPr>
          <w:b/>
        </w:rPr>
        <w:t>a)</w:t>
      </w:r>
      <w:r w:rsidRPr="000839A4">
        <w:rPr>
          <w:b/>
        </w:rPr>
        <w:tab/>
        <w:t xml:space="preserve">hodnotou předmětu nepeněžitého vkladu určenou podle zákona upravujícího obchodní korporace a </w:t>
      </w:r>
    </w:p>
    <w:p w14:paraId="73C20933" w14:textId="77777777" w:rsidR="000839A4" w:rsidRPr="000839A4" w:rsidRDefault="000839A4" w:rsidP="000839A4">
      <w:pPr>
        <w:spacing w:before="0"/>
        <w:ind w:left="425" w:hanging="425"/>
        <w:outlineLvl w:val="7"/>
        <w:rPr>
          <w:b/>
        </w:rPr>
      </w:pPr>
      <w:r w:rsidRPr="000839A4">
        <w:rPr>
          <w:b/>
        </w:rPr>
        <w:t>b)</w:t>
      </w:r>
      <w:r w:rsidRPr="000839A4">
        <w:rPr>
          <w:b/>
        </w:rPr>
        <w:tab/>
        <w:t xml:space="preserve">výší vkladu. </w:t>
      </w:r>
    </w:p>
    <w:p w14:paraId="75E7CC6E" w14:textId="77777777" w:rsidR="000839A4" w:rsidRPr="000839A4" w:rsidRDefault="000839A4" w:rsidP="000839A4">
      <w:pPr>
        <w:tabs>
          <w:tab w:val="left" w:pos="851"/>
        </w:tabs>
        <w:spacing w:before="120" w:after="120"/>
        <w:ind w:firstLine="427"/>
        <w:outlineLvl w:val="6"/>
        <w:rPr>
          <w:b/>
        </w:rPr>
      </w:pPr>
      <w:r w:rsidRPr="000839A4">
        <w:rPr>
          <w:b/>
        </w:rPr>
        <w:t>(6) Daňová hodnota cenného papíru nabytého podle odstavce 4 písm. n) se určí jako</w:t>
      </w:r>
    </w:p>
    <w:p w14:paraId="589A8F2C" w14:textId="77777777" w:rsidR="000839A4" w:rsidRPr="000839A4" w:rsidRDefault="000839A4" w:rsidP="000839A4">
      <w:pPr>
        <w:spacing w:before="0"/>
        <w:ind w:left="425" w:hanging="425"/>
        <w:outlineLvl w:val="7"/>
        <w:rPr>
          <w:b/>
        </w:rPr>
      </w:pPr>
      <w:r w:rsidRPr="000839A4">
        <w:rPr>
          <w:b/>
        </w:rPr>
        <w:t>a)</w:t>
      </w:r>
      <w:r w:rsidRPr="000839A4">
        <w:rPr>
          <w:b/>
        </w:rPr>
        <w:tab/>
        <w:t>poměrná část daňové hodnoty vyměněného cenného papíru, pokud množství vyměněných cenných papírů je nižší než množství nabytých cenných papírů,</w:t>
      </w:r>
    </w:p>
    <w:p w14:paraId="3C736486" w14:textId="77777777" w:rsidR="000839A4" w:rsidRPr="000839A4" w:rsidRDefault="000839A4" w:rsidP="000839A4">
      <w:pPr>
        <w:spacing w:before="0"/>
        <w:ind w:left="425" w:hanging="425"/>
        <w:outlineLvl w:val="7"/>
        <w:rPr>
          <w:b/>
        </w:rPr>
      </w:pPr>
      <w:r w:rsidRPr="000839A4">
        <w:rPr>
          <w:b/>
        </w:rPr>
        <w:t>b)</w:t>
      </w:r>
      <w:r w:rsidRPr="000839A4">
        <w:rPr>
          <w:b/>
        </w:rPr>
        <w:tab/>
        <w:t>úhrn daňových hodnot vyměněných cenných papírů, pokud množství vyměněných cenných papírů je vyšší než množství nabytých cenných papírů.</w:t>
      </w:r>
    </w:p>
    <w:p w14:paraId="31E444D8" w14:textId="77777777" w:rsidR="000839A4" w:rsidRPr="000839A4" w:rsidRDefault="000839A4" w:rsidP="000839A4">
      <w:pPr>
        <w:tabs>
          <w:tab w:val="left" w:pos="851"/>
        </w:tabs>
        <w:spacing w:before="120" w:after="120"/>
        <w:ind w:firstLine="427"/>
        <w:outlineLvl w:val="6"/>
        <w:rPr>
          <w:b/>
        </w:rPr>
      </w:pPr>
      <w:r w:rsidRPr="000839A4">
        <w:rPr>
          <w:b/>
        </w:rPr>
        <w:lastRenderedPageBreak/>
        <w:t>(7) U pohledávky nabyté při přeměně</w:t>
      </w:r>
      <w:r w:rsidRPr="000839A4">
        <w:rPr>
          <w:b/>
          <w:vertAlign w:val="superscript"/>
        </w:rPr>
        <w:t>131)</w:t>
      </w:r>
      <w:r w:rsidRPr="000839A4">
        <w:rPr>
          <w:b/>
        </w:rPr>
        <w:t>, nebyla-li nikdy součástí podrozvahových účtů zanikající nebo rozdělované obchodní korporace, pokračuje nástupnická obchodní korporace v odpisu pohledávky nebo v tvorbě opravné položky,</w:t>
      </w:r>
      <w:r w:rsidRPr="000839A4">
        <w:rPr>
          <w:b/>
          <w:vertAlign w:val="superscript"/>
        </w:rPr>
        <w:t>22a)</w:t>
      </w:r>
      <w:r w:rsidRPr="000839A4">
        <w:rPr>
          <w:b/>
        </w:rPr>
        <w:t xml:space="preserve"> jako by ke změně v osobě věřitele nedošlo, a to maximálně do výše, v jaké by mohla uplatnit odpis nebo tvorbu opravné položky zanikající nebo rozdělovaná obchodní korporace.</w:t>
      </w:r>
    </w:p>
    <w:p w14:paraId="1D31D5FB" w14:textId="77777777" w:rsidR="000839A4" w:rsidRPr="000839A4" w:rsidRDefault="000839A4" w:rsidP="000839A4">
      <w:pPr>
        <w:keepNext/>
        <w:ind w:firstLine="0"/>
        <w:jc w:val="center"/>
        <w:rPr>
          <w:b/>
          <w:strike/>
          <w:szCs w:val="24"/>
        </w:rPr>
      </w:pPr>
      <w:r w:rsidRPr="000839A4">
        <w:rPr>
          <w:b/>
          <w:strike/>
          <w:szCs w:val="24"/>
        </w:rPr>
        <w:t xml:space="preserve">Výdaje (náklady) vynaložené na dosažení, zajištění a udržení příjmů </w:t>
      </w:r>
    </w:p>
    <w:p w14:paraId="1BEACAEA" w14:textId="77777777" w:rsidR="000839A4" w:rsidRPr="000839A4" w:rsidRDefault="000839A4" w:rsidP="000839A4">
      <w:pPr>
        <w:keepNext/>
        <w:spacing w:before="120"/>
        <w:ind w:firstLine="0"/>
        <w:jc w:val="center"/>
        <w:outlineLvl w:val="7"/>
        <w:rPr>
          <w:b/>
        </w:rPr>
      </w:pPr>
      <w:r w:rsidRPr="000839A4">
        <w:rPr>
          <w:b/>
        </w:rPr>
        <w:t>Hlava VII</w:t>
      </w:r>
    </w:p>
    <w:p w14:paraId="1977267C" w14:textId="77777777" w:rsidR="000839A4" w:rsidRPr="000839A4" w:rsidRDefault="000839A4" w:rsidP="000839A4">
      <w:pPr>
        <w:keepNext/>
        <w:spacing w:before="120"/>
        <w:ind w:firstLine="0"/>
        <w:jc w:val="center"/>
        <w:outlineLvl w:val="7"/>
      </w:pPr>
      <w:r w:rsidRPr="000839A4">
        <w:rPr>
          <w:b/>
          <w:bCs/>
        </w:rPr>
        <w:t>Výdaje vynaložené na dosažení, zajištění a udržení zdanitelných příjmů</w:t>
      </w:r>
    </w:p>
    <w:p w14:paraId="0B0C34B9" w14:textId="77777777" w:rsidR="000839A4" w:rsidRPr="000839A4" w:rsidRDefault="000839A4" w:rsidP="000839A4">
      <w:pPr>
        <w:keepNext/>
        <w:ind w:firstLine="0"/>
        <w:jc w:val="center"/>
        <w:rPr>
          <w:szCs w:val="24"/>
        </w:rPr>
      </w:pPr>
      <w:r w:rsidRPr="000839A4">
        <w:rPr>
          <w:szCs w:val="24"/>
        </w:rPr>
        <w:t>§ 24</w:t>
      </w:r>
    </w:p>
    <w:p w14:paraId="6E4F503B" w14:textId="77777777" w:rsidR="000839A4" w:rsidRPr="000839A4" w:rsidRDefault="000839A4" w:rsidP="000839A4">
      <w:pPr>
        <w:tabs>
          <w:tab w:val="left" w:pos="851"/>
        </w:tabs>
        <w:spacing w:before="120" w:after="120"/>
        <w:ind w:firstLine="427"/>
        <w:outlineLvl w:val="6"/>
      </w:pPr>
      <w:r w:rsidRPr="000839A4">
        <w:t xml:space="preserve">(1) Výdaje (náklady) vynaložené na dosažení, zajištění a udržení zdanitelných příjmů se pro zjištění základu daně odečtou ve výši prokázané poplatníkem a ve výši stanovené tímto zákonem a zvláštními </w:t>
      </w:r>
      <w:proofErr w:type="gramStart"/>
      <w:r w:rsidRPr="000839A4">
        <w:t>předpisy.</w:t>
      </w:r>
      <w:r w:rsidRPr="000839A4">
        <w:rPr>
          <w:vertAlign w:val="superscript"/>
        </w:rPr>
        <w:t>5)</w:t>
      </w:r>
      <w:r w:rsidRPr="000839A4">
        <w:t xml:space="preserve"> Ve</w:t>
      </w:r>
      <w:proofErr w:type="gramEnd"/>
      <w:r w:rsidRPr="000839A4">
        <w:t xml:space="preserve"> výdajích na dosažení, zajištění a udržení příjmů nelze uplatnit výdaje, které již byly v předchozích zdaňovacích obdobích ve výdajích na dosažení, zajištění a udržení příjmů uplatněny</w:t>
      </w:r>
      <w:r w:rsidRPr="000839A4">
        <w:rPr>
          <w:b/>
        </w:rPr>
        <w:t>, a částky, které byly položkou snižující základ daně</w:t>
      </w:r>
      <w:r w:rsidRPr="000839A4">
        <w:t xml:space="preserve">. </w:t>
      </w:r>
      <w:r w:rsidRPr="000839A4">
        <w:rPr>
          <w:strike/>
        </w:rPr>
        <w:t>Pokud poplatník účtuje v souladu se zvláštním právním předpisem</w:t>
      </w:r>
      <w:r w:rsidRPr="000839A4">
        <w:rPr>
          <w:strike/>
          <w:vertAlign w:val="superscript"/>
        </w:rPr>
        <w:t>20)</w:t>
      </w:r>
      <w:r w:rsidRPr="000839A4">
        <w:rPr>
          <w:strike/>
        </w:rPr>
        <w:t xml:space="preserve"> některé účetní operace </w:t>
      </w:r>
      <w:proofErr w:type="spellStart"/>
      <w:r w:rsidRPr="000839A4">
        <w:rPr>
          <w:strike/>
        </w:rPr>
        <w:t>kompenzovaně</w:t>
      </w:r>
      <w:proofErr w:type="spellEnd"/>
      <w:r w:rsidRPr="000839A4">
        <w:rPr>
          <w:strike/>
        </w:rPr>
        <w:t>, posuzují se náklady, jejichž uznatelnost je limitována výší příjmů s nimi souvisejících, obdobně jako by byly účtovány odděleně náklady a výnosy.</w:t>
      </w:r>
      <w:r w:rsidRPr="000839A4">
        <w:t xml:space="preserve"> </w:t>
      </w:r>
    </w:p>
    <w:p w14:paraId="73C5DC05" w14:textId="77777777" w:rsidR="000839A4" w:rsidRPr="000839A4" w:rsidRDefault="000839A4" w:rsidP="000839A4">
      <w:pPr>
        <w:tabs>
          <w:tab w:val="left" w:pos="851"/>
        </w:tabs>
        <w:spacing w:before="120" w:after="120"/>
        <w:ind w:firstLine="427"/>
        <w:outlineLvl w:val="6"/>
      </w:pPr>
      <w:r w:rsidRPr="000839A4">
        <w:t xml:space="preserve">(2) Výdaji (náklady) podle odstavce 1 jsou také </w:t>
      </w:r>
    </w:p>
    <w:p w14:paraId="08969DF0" w14:textId="77777777" w:rsidR="000839A4" w:rsidRPr="000839A4" w:rsidRDefault="000839A4" w:rsidP="000839A4">
      <w:pPr>
        <w:tabs>
          <w:tab w:val="left" w:pos="357"/>
        </w:tabs>
        <w:spacing w:before="0"/>
        <w:ind w:left="357" w:hanging="357"/>
        <w:rPr>
          <w:strike/>
          <w:szCs w:val="24"/>
        </w:rPr>
      </w:pPr>
      <w:r w:rsidRPr="000839A4">
        <w:rPr>
          <w:strike/>
          <w:szCs w:val="24"/>
        </w:rPr>
        <w:t>a)</w:t>
      </w:r>
      <w:r w:rsidRPr="000839A4">
        <w:rPr>
          <w:strike/>
          <w:szCs w:val="24"/>
        </w:rPr>
        <w:tab/>
        <w:t xml:space="preserve">odpisy hmotného majetku (§ 26 až 33), </w:t>
      </w:r>
    </w:p>
    <w:p w14:paraId="1535A5E1" w14:textId="77777777" w:rsidR="000839A4" w:rsidRPr="000839A4" w:rsidRDefault="000839A4" w:rsidP="000839A4">
      <w:pPr>
        <w:tabs>
          <w:tab w:val="left" w:pos="357"/>
        </w:tabs>
        <w:spacing w:before="0"/>
        <w:ind w:left="357" w:hanging="357"/>
        <w:rPr>
          <w:strike/>
          <w:szCs w:val="24"/>
        </w:rPr>
      </w:pPr>
      <w:r w:rsidRPr="000839A4">
        <w:rPr>
          <w:strike/>
          <w:szCs w:val="24"/>
        </w:rPr>
        <w:t>b)</w:t>
      </w:r>
      <w:r w:rsidRPr="000839A4">
        <w:rPr>
          <w:strike/>
          <w:szCs w:val="24"/>
        </w:rPr>
        <w:tab/>
        <w:t xml:space="preserve">zůstatková cena hmotného majetku (§ 29 odst. 2), s výjimkou uvedenou v písmenu c) a § 25, a to u </w:t>
      </w:r>
    </w:p>
    <w:p w14:paraId="46296A3A" w14:textId="77777777" w:rsidR="000839A4" w:rsidRPr="000839A4" w:rsidRDefault="000839A4" w:rsidP="000839A4">
      <w:pPr>
        <w:tabs>
          <w:tab w:val="left" w:pos="357"/>
        </w:tabs>
        <w:spacing w:before="0"/>
        <w:ind w:left="714" w:hanging="357"/>
        <w:rPr>
          <w:strike/>
          <w:szCs w:val="24"/>
        </w:rPr>
      </w:pPr>
      <w:r w:rsidRPr="000839A4">
        <w:rPr>
          <w:strike/>
          <w:szCs w:val="24"/>
        </w:rPr>
        <w:t>1.</w:t>
      </w:r>
      <w:r w:rsidRPr="000839A4">
        <w:rPr>
          <w:strike/>
          <w:szCs w:val="24"/>
        </w:rPr>
        <w:tab/>
        <w:t xml:space="preserve">pěstitelských celků, trvalých porostů a zvířat podle přílohy č. 1 k tomuto zákonu, při jejich vyřazení, </w:t>
      </w:r>
    </w:p>
    <w:p w14:paraId="3DDD0378" w14:textId="77777777" w:rsidR="000839A4" w:rsidRPr="000839A4" w:rsidRDefault="000839A4" w:rsidP="000839A4">
      <w:pPr>
        <w:tabs>
          <w:tab w:val="left" w:pos="357"/>
        </w:tabs>
        <w:spacing w:before="0"/>
        <w:ind w:left="714" w:hanging="357"/>
        <w:rPr>
          <w:strike/>
          <w:szCs w:val="24"/>
        </w:rPr>
      </w:pPr>
      <w:r w:rsidRPr="000839A4">
        <w:rPr>
          <w:strike/>
          <w:szCs w:val="24"/>
        </w:rPr>
        <w:t>2.</w:t>
      </w:r>
      <w:r w:rsidRPr="000839A4">
        <w:rPr>
          <w:strike/>
          <w:szCs w:val="24"/>
        </w:rPr>
        <w:tab/>
        <w:t>prodaného nebo zlikvidovaného hmotného majetku, který lze podle tohoto zákona odpisovat; v případě vypořádání hmotného majetku při zániku práva stavby se postupuje obdobně,</w:t>
      </w:r>
    </w:p>
    <w:p w14:paraId="62DAE89C" w14:textId="77777777" w:rsidR="000839A4" w:rsidRPr="000839A4" w:rsidRDefault="000839A4" w:rsidP="000839A4">
      <w:pPr>
        <w:tabs>
          <w:tab w:val="left" w:pos="357"/>
        </w:tabs>
        <w:spacing w:before="0"/>
        <w:ind w:left="714" w:hanging="357"/>
        <w:rPr>
          <w:strike/>
          <w:szCs w:val="24"/>
        </w:rPr>
      </w:pPr>
      <w:r w:rsidRPr="000839A4">
        <w:rPr>
          <w:strike/>
          <w:szCs w:val="24"/>
        </w:rPr>
        <w:t>3.</w:t>
      </w:r>
      <w:r w:rsidRPr="000839A4">
        <w:rPr>
          <w:strike/>
          <w:szCs w:val="24"/>
        </w:rPr>
        <w:tab/>
        <w:t>hmotného majetku předaného povinně bezúplatně podle jiných právních předpisů, snížená o přijaté dotace na jeho pořízení.</w:t>
      </w:r>
    </w:p>
    <w:p w14:paraId="031A9699" w14:textId="77777777" w:rsidR="000839A4" w:rsidRPr="000839A4" w:rsidRDefault="000839A4" w:rsidP="000839A4">
      <w:pPr>
        <w:tabs>
          <w:tab w:val="left" w:pos="851"/>
        </w:tabs>
        <w:spacing w:before="120" w:after="120"/>
        <w:ind w:firstLine="427"/>
        <w:outlineLvl w:val="6"/>
      </w:pPr>
      <w:r w:rsidRPr="000839A4">
        <w:rPr>
          <w:strike/>
        </w:rPr>
        <w:t>Při částečném prodeji nebo zlikvidování hmotného majetku je výdajem poměrná část zůstatkové ceny. Zůstatkovou cenu nebo její část nelze uplatnit v případě, kdy je stavební dílo (dům, budova, stavba) likvidováno zcela nebo zčásti v souvislosti s výstavbou nového stavebního díla nebo jeho technickým zhodnocením. Obdobně se toto ustanovení vztahuje na zůstatkovou cenu hmotného majetku a nehmotného majetku odpisovaného pouze podle právních předpisů upravujících účetnictví, jehož účetní odpisy jsou výdajem podle písmene v),</w:t>
      </w:r>
    </w:p>
    <w:p w14:paraId="2E100A9B" w14:textId="77777777" w:rsidR="000839A4" w:rsidRPr="000839A4" w:rsidRDefault="000839A4" w:rsidP="000839A4">
      <w:pPr>
        <w:tabs>
          <w:tab w:val="left" w:pos="357"/>
        </w:tabs>
        <w:spacing w:before="0"/>
        <w:ind w:left="357" w:hanging="357"/>
        <w:rPr>
          <w:strike/>
          <w:szCs w:val="24"/>
        </w:rPr>
      </w:pPr>
      <w:r w:rsidRPr="000839A4">
        <w:rPr>
          <w:strike/>
          <w:szCs w:val="24"/>
        </w:rPr>
        <w:t>c)</w:t>
      </w:r>
      <w:r w:rsidRPr="000839A4">
        <w:rPr>
          <w:strike/>
          <w:szCs w:val="24"/>
        </w:rPr>
        <w:tab/>
        <w:t>zůstatková cena hmotného majetku (§ 29 odst. 2) vyřazeného v důsledku škody jen do výše náhrad s výjimkou uvedenou v písmenu l). Obdobně se toto ustanovení vztahuje na zůstatkovou cenu hmotného majetku a nehmotného majetku odpisovaného pouze podle zvláštního právního předpisu,</w:t>
      </w:r>
      <w:r w:rsidRPr="000839A4">
        <w:rPr>
          <w:strike/>
          <w:szCs w:val="24"/>
          <w:vertAlign w:val="superscript"/>
        </w:rPr>
        <w:t xml:space="preserve"> 20)</w:t>
      </w:r>
      <w:r w:rsidRPr="000839A4">
        <w:rPr>
          <w:strike/>
          <w:szCs w:val="24"/>
        </w:rPr>
        <w:t xml:space="preserve"> </w:t>
      </w:r>
      <w:r w:rsidRPr="000839A4">
        <w:rPr>
          <w:strike/>
          <w:szCs w:val="24"/>
          <w:vertAlign w:val="superscript"/>
        </w:rPr>
        <w:fldChar w:fldCharType="begin"/>
      </w:r>
      <w:r w:rsidRPr="000839A4">
        <w:rPr>
          <w:strike/>
          <w:szCs w:val="24"/>
          <w:vertAlign w:val="superscript"/>
        </w:rPr>
        <w:instrText xml:space="preserve"> NOTEREF _Ref535916574  \* MERGEFORMAT </w:instrText>
      </w:r>
      <w:r w:rsidRPr="000839A4">
        <w:rPr>
          <w:strike/>
          <w:szCs w:val="24"/>
          <w:vertAlign w:val="superscript"/>
        </w:rPr>
        <w:fldChar w:fldCharType="end"/>
      </w:r>
      <w:r w:rsidRPr="000839A4">
        <w:rPr>
          <w:strike/>
          <w:szCs w:val="24"/>
        </w:rPr>
        <w:t xml:space="preserve">jehož účetní odpisy jsou výdajem (nákladem) podle písmene v), </w:t>
      </w:r>
    </w:p>
    <w:p w14:paraId="3873976E" w14:textId="77777777" w:rsidR="000839A4" w:rsidRPr="000839A4" w:rsidRDefault="000839A4" w:rsidP="000839A4">
      <w:pPr>
        <w:tabs>
          <w:tab w:val="left" w:pos="357"/>
        </w:tabs>
        <w:spacing w:before="0"/>
        <w:ind w:left="357" w:hanging="357"/>
        <w:rPr>
          <w:szCs w:val="24"/>
        </w:rPr>
      </w:pPr>
      <w:r w:rsidRPr="000839A4">
        <w:rPr>
          <w:strike/>
          <w:szCs w:val="24"/>
        </w:rPr>
        <w:t>d)</w:t>
      </w:r>
      <w:r w:rsidRPr="000839A4">
        <w:rPr>
          <w:szCs w:val="24"/>
        </w:rPr>
        <w:t xml:space="preserve"> </w:t>
      </w:r>
      <w:r w:rsidRPr="000839A4">
        <w:rPr>
          <w:b/>
          <w:szCs w:val="24"/>
        </w:rPr>
        <w:t>a)</w:t>
      </w:r>
      <w:r w:rsidRPr="000839A4">
        <w:rPr>
          <w:szCs w:val="24"/>
        </w:rPr>
        <w:tab/>
        <w:t xml:space="preserve">členský příspěvek </w:t>
      </w:r>
    </w:p>
    <w:p w14:paraId="45852D81" w14:textId="77777777" w:rsidR="000839A4" w:rsidRPr="000839A4" w:rsidRDefault="000839A4" w:rsidP="000839A4">
      <w:pPr>
        <w:tabs>
          <w:tab w:val="left" w:pos="357"/>
        </w:tabs>
        <w:spacing w:before="0"/>
        <w:ind w:left="714" w:hanging="357"/>
        <w:rPr>
          <w:szCs w:val="24"/>
        </w:rPr>
      </w:pPr>
      <w:r w:rsidRPr="000839A4">
        <w:rPr>
          <w:szCs w:val="24"/>
        </w:rPr>
        <w:t>1.</w:t>
      </w:r>
      <w:r w:rsidRPr="000839A4">
        <w:rPr>
          <w:szCs w:val="24"/>
        </w:rPr>
        <w:tab/>
        <w:t xml:space="preserve">právnické osobě, pokud povinnost členství vyplývá ze zvláštních právních předpisů, </w:t>
      </w:r>
    </w:p>
    <w:p w14:paraId="212F7FD6" w14:textId="77777777" w:rsidR="000839A4" w:rsidRPr="000839A4" w:rsidRDefault="000839A4" w:rsidP="000839A4">
      <w:pPr>
        <w:tabs>
          <w:tab w:val="left" w:pos="357"/>
        </w:tabs>
        <w:spacing w:before="0"/>
        <w:ind w:left="714" w:hanging="357"/>
        <w:rPr>
          <w:szCs w:val="24"/>
        </w:rPr>
      </w:pPr>
      <w:r w:rsidRPr="000839A4">
        <w:rPr>
          <w:szCs w:val="24"/>
        </w:rPr>
        <w:t>2.</w:t>
      </w:r>
      <w:r w:rsidRPr="000839A4">
        <w:rPr>
          <w:szCs w:val="24"/>
        </w:rPr>
        <w:tab/>
        <w:t>právnické osobě, u níž členství je nutnou podmínkou k provozování předmětu podnikání nebo výkonu činnosti,</w:t>
      </w:r>
    </w:p>
    <w:p w14:paraId="364803A5" w14:textId="77777777" w:rsidR="000839A4" w:rsidRPr="000839A4" w:rsidRDefault="000839A4" w:rsidP="000839A4">
      <w:pPr>
        <w:tabs>
          <w:tab w:val="left" w:pos="357"/>
        </w:tabs>
        <w:spacing w:before="0"/>
        <w:ind w:left="714" w:hanging="357"/>
        <w:rPr>
          <w:szCs w:val="24"/>
        </w:rPr>
      </w:pPr>
      <w:r w:rsidRPr="000839A4">
        <w:rPr>
          <w:szCs w:val="24"/>
        </w:rPr>
        <w:lastRenderedPageBreak/>
        <w:t>3.</w:t>
      </w:r>
      <w:r w:rsidRPr="000839A4">
        <w:rPr>
          <w:szCs w:val="24"/>
        </w:rPr>
        <w:tab/>
        <w:t xml:space="preserve">placený zaměstnavatelem za zaměstnance v případě, kdy členství zaměstnance je podmínkou k provozování předmětu podnikání nebo výkonu činnosti zaměstnavatele, </w:t>
      </w:r>
    </w:p>
    <w:p w14:paraId="03C08EB0" w14:textId="77777777" w:rsidR="000839A4" w:rsidRPr="000839A4" w:rsidRDefault="000839A4" w:rsidP="000839A4">
      <w:pPr>
        <w:tabs>
          <w:tab w:val="left" w:pos="357"/>
        </w:tabs>
        <w:spacing w:before="0"/>
        <w:ind w:left="714" w:hanging="357"/>
        <w:rPr>
          <w:szCs w:val="24"/>
        </w:rPr>
      </w:pPr>
      <w:r w:rsidRPr="000839A4">
        <w:rPr>
          <w:szCs w:val="24"/>
        </w:rPr>
        <w:t>4.</w:t>
      </w:r>
      <w:r w:rsidRPr="000839A4">
        <w:rPr>
          <w:szCs w:val="24"/>
        </w:rPr>
        <w:tab/>
        <w:t>organizaci zaměstnavatelů, nebo</w:t>
      </w:r>
    </w:p>
    <w:p w14:paraId="0D2E9CD4" w14:textId="77777777" w:rsidR="000839A4" w:rsidRPr="000839A4" w:rsidRDefault="000839A4" w:rsidP="000839A4">
      <w:pPr>
        <w:tabs>
          <w:tab w:val="left" w:pos="357"/>
        </w:tabs>
        <w:spacing w:before="0"/>
        <w:ind w:left="714" w:hanging="357"/>
        <w:rPr>
          <w:szCs w:val="24"/>
        </w:rPr>
      </w:pPr>
      <w:r w:rsidRPr="000839A4">
        <w:rPr>
          <w:szCs w:val="24"/>
        </w:rPr>
        <w:t>5.</w:t>
      </w:r>
      <w:r w:rsidRPr="000839A4">
        <w:rPr>
          <w:szCs w:val="24"/>
        </w:rPr>
        <w:tab/>
        <w:t xml:space="preserve">Hospodářské komoře České republiky a Agrární komoře České republiky, </w:t>
      </w:r>
    </w:p>
    <w:p w14:paraId="50432EE8" w14:textId="77777777" w:rsidR="000839A4" w:rsidRPr="000839A4" w:rsidRDefault="000839A4" w:rsidP="000839A4">
      <w:pPr>
        <w:tabs>
          <w:tab w:val="left" w:pos="357"/>
        </w:tabs>
        <w:spacing w:before="0"/>
        <w:ind w:left="357" w:hanging="357"/>
        <w:rPr>
          <w:szCs w:val="24"/>
        </w:rPr>
      </w:pPr>
      <w:r w:rsidRPr="000839A4">
        <w:rPr>
          <w:strike/>
          <w:szCs w:val="24"/>
        </w:rPr>
        <w:t>e)</w:t>
      </w:r>
      <w:r w:rsidRPr="000839A4">
        <w:rPr>
          <w:szCs w:val="24"/>
        </w:rPr>
        <w:t xml:space="preserve"> </w:t>
      </w:r>
      <w:r w:rsidRPr="000839A4">
        <w:rPr>
          <w:b/>
          <w:szCs w:val="24"/>
        </w:rPr>
        <w:t>b)</w:t>
      </w:r>
      <w:r w:rsidRPr="000839A4">
        <w:rPr>
          <w:szCs w:val="24"/>
        </w:rPr>
        <w:tab/>
        <w:t>pojistné hrazené poplatníkem, pokud souvisí s příjmem, který je předmětem daně a není od daně osvobozen, a dále pojistné hrazené zaměstnavatelem pojišťovně za pojištění rizika placení náhrady mzdy, platu nebo odměny nebo sníženého platu (snížení odměny) za dobu dočasné pracovní neschopnosti (karantény) podle zvláštního právního předpisu</w:t>
      </w:r>
      <w:r w:rsidRPr="000839A4">
        <w:rPr>
          <w:szCs w:val="24"/>
          <w:vertAlign w:val="superscript"/>
        </w:rPr>
        <w:t>47a)</w:t>
      </w:r>
      <w:r w:rsidRPr="000839A4">
        <w:rPr>
          <w:szCs w:val="24"/>
          <w:vertAlign w:val="superscript"/>
        </w:rPr>
        <w:fldChar w:fldCharType="begin"/>
      </w:r>
      <w:r w:rsidRPr="000839A4">
        <w:rPr>
          <w:szCs w:val="24"/>
          <w:vertAlign w:val="superscript"/>
        </w:rPr>
        <w:instrText xml:space="preserve"> NOTEREF _Ref535916584 </w:instrText>
      </w:r>
      <w:r w:rsidRPr="000839A4">
        <w:rPr>
          <w:szCs w:val="24"/>
          <w:vertAlign w:val="superscript"/>
        </w:rPr>
        <w:fldChar w:fldCharType="end"/>
      </w:r>
      <w:r w:rsidRPr="000839A4">
        <w:rPr>
          <w:szCs w:val="24"/>
        </w:rPr>
        <w:t xml:space="preserve">, </w:t>
      </w:r>
    </w:p>
    <w:p w14:paraId="3C6B5578" w14:textId="77777777" w:rsidR="000839A4" w:rsidRPr="000839A4" w:rsidRDefault="000839A4" w:rsidP="000839A4">
      <w:pPr>
        <w:tabs>
          <w:tab w:val="left" w:pos="357"/>
        </w:tabs>
        <w:spacing w:before="0"/>
        <w:ind w:left="357" w:hanging="357"/>
        <w:rPr>
          <w:szCs w:val="24"/>
        </w:rPr>
      </w:pPr>
      <w:r w:rsidRPr="000839A4">
        <w:rPr>
          <w:strike/>
          <w:szCs w:val="24"/>
        </w:rPr>
        <w:t xml:space="preserve">f) </w:t>
      </w:r>
      <w:r w:rsidRPr="000839A4">
        <w:rPr>
          <w:b/>
          <w:strike/>
          <w:szCs w:val="24"/>
        </w:rPr>
        <w:t>c)</w:t>
      </w:r>
      <w:r w:rsidRPr="000839A4">
        <w:rPr>
          <w:strike/>
          <w:szCs w:val="24"/>
        </w:rPr>
        <w:tab/>
        <w:t xml:space="preserve">pojistné na sociální zabezpečení a příspěvek na státní politiku zaměstnanosti a pojistné na veřejné zdravotní pojištění hrazené zaměstnavatelem podle zvláštních právních předpisů. Toto pojistné a příspěvek jsou u poplatníků, kteří vedou účetnictví, výdajem (nákladem), jen pokud byly zaplaceny, a to nejpozději do konce měsíce následujícího po uplynutí zdaňovacího období nebo jeho části. Pokud je daňový subjekt povinen podat podle tohoto zákona nebo zvláštního právního předpisu daňové přiznání v průběhu zdaňovacího období, jsou toto pojistné a příspěvek výdajem (nákladem) pouze tehdy, budou-li zaplaceny do termínu pro podání daňového přiznání. Toto pojistné a příspěvek zaplacené po uvedeném termínu jsou výdajem (nákladem) toho zdaňovacího období, ve kterém byly zaplaceny, pokud však již neovlivnily základ daně v předchozích zdaňovacích obdobích. Obdobně to platí pro právního nástupce poplatníka zaniklého bez provedení likvidace, pokud toto pojistné a příspěvek zaplatí za poplatníka zaniklého bez provedení likvidace, </w:t>
      </w:r>
    </w:p>
    <w:p w14:paraId="7CBAB89A" w14:textId="77777777" w:rsidR="000839A4" w:rsidRPr="000839A4" w:rsidRDefault="000839A4" w:rsidP="000839A4">
      <w:pPr>
        <w:tabs>
          <w:tab w:val="left" w:pos="357"/>
        </w:tabs>
        <w:spacing w:before="0"/>
        <w:ind w:left="357" w:hanging="357"/>
        <w:rPr>
          <w:szCs w:val="24"/>
        </w:rPr>
      </w:pPr>
      <w:r w:rsidRPr="000839A4">
        <w:rPr>
          <w:strike/>
          <w:szCs w:val="24"/>
        </w:rPr>
        <w:t xml:space="preserve">g) </w:t>
      </w:r>
      <w:r w:rsidRPr="000839A4">
        <w:rPr>
          <w:b/>
          <w:strike/>
          <w:szCs w:val="24"/>
        </w:rPr>
        <w:t>d)</w:t>
      </w:r>
      <w:r w:rsidRPr="000839A4">
        <w:rPr>
          <w:b/>
          <w:szCs w:val="24"/>
        </w:rPr>
        <w:t xml:space="preserve"> c)</w:t>
      </w:r>
      <w:r w:rsidRPr="000839A4">
        <w:rPr>
          <w:szCs w:val="24"/>
        </w:rPr>
        <w:tab/>
        <w:t xml:space="preserve">výdaje (náklady) na provoz vlastního zařízení k ochraně životního prostředí podle zvláštních předpisů, </w:t>
      </w:r>
    </w:p>
    <w:p w14:paraId="2248EE3F" w14:textId="77777777" w:rsidR="000839A4" w:rsidRPr="000839A4" w:rsidRDefault="000839A4" w:rsidP="000839A4">
      <w:pPr>
        <w:tabs>
          <w:tab w:val="left" w:pos="357"/>
        </w:tabs>
        <w:spacing w:before="0"/>
        <w:ind w:left="357" w:hanging="357"/>
        <w:rPr>
          <w:strike/>
          <w:szCs w:val="24"/>
        </w:rPr>
      </w:pPr>
      <w:r w:rsidRPr="000839A4">
        <w:rPr>
          <w:strike/>
          <w:szCs w:val="24"/>
        </w:rPr>
        <w:t xml:space="preserve">h) </w:t>
      </w:r>
      <w:r w:rsidRPr="000839A4">
        <w:rPr>
          <w:b/>
          <w:strike/>
          <w:szCs w:val="24"/>
        </w:rPr>
        <w:t>e) d)</w:t>
      </w:r>
      <w:r w:rsidRPr="000839A4">
        <w:rPr>
          <w:strike/>
          <w:szCs w:val="24"/>
        </w:rPr>
        <w:tab/>
        <w:t xml:space="preserve">plnění v podobě </w:t>
      </w:r>
    </w:p>
    <w:p w14:paraId="62E8BBEE" w14:textId="77777777" w:rsidR="000839A4" w:rsidRPr="000839A4" w:rsidRDefault="000839A4" w:rsidP="000839A4">
      <w:pPr>
        <w:tabs>
          <w:tab w:val="left" w:pos="357"/>
        </w:tabs>
        <w:spacing w:before="0"/>
        <w:ind w:left="714" w:hanging="357"/>
        <w:rPr>
          <w:strike/>
          <w:szCs w:val="24"/>
        </w:rPr>
      </w:pPr>
      <w:r w:rsidRPr="000839A4">
        <w:rPr>
          <w:strike/>
          <w:szCs w:val="24"/>
        </w:rPr>
        <w:t>1.</w:t>
      </w:r>
      <w:r w:rsidRPr="000839A4">
        <w:rPr>
          <w:strike/>
          <w:szCs w:val="24"/>
        </w:rPr>
        <w:tab/>
        <w:t xml:space="preserve">nájemného podle právních předpisů upravujících účetnictví, s výjimkou nájemného uvedeného v § 25 odst. 1 písm. za); </w:t>
      </w:r>
      <w:r w:rsidRPr="000839A4">
        <w:rPr>
          <w:strike/>
          <w:color w:val="000000" w:themeColor="text1"/>
          <w:szCs w:val="24"/>
        </w:rPr>
        <w:t xml:space="preserve">u pachtu obchodního závodu je výdajem pouze část </w:t>
      </w:r>
      <w:proofErr w:type="spellStart"/>
      <w:r w:rsidRPr="000839A4">
        <w:rPr>
          <w:strike/>
          <w:color w:val="000000" w:themeColor="text1"/>
          <w:szCs w:val="24"/>
        </w:rPr>
        <w:t>pachtovného</w:t>
      </w:r>
      <w:proofErr w:type="spellEnd"/>
      <w:r w:rsidRPr="000839A4">
        <w:rPr>
          <w:strike/>
          <w:color w:val="000000" w:themeColor="text1"/>
          <w:szCs w:val="24"/>
        </w:rPr>
        <w:t>, která převyšuje účetní odpisy</w:t>
      </w:r>
      <w:r w:rsidRPr="000839A4">
        <w:rPr>
          <w:strike/>
          <w:szCs w:val="24"/>
        </w:rPr>
        <w:t xml:space="preserve">, </w:t>
      </w:r>
    </w:p>
    <w:p w14:paraId="157E7986" w14:textId="77777777" w:rsidR="000839A4" w:rsidRPr="000839A4" w:rsidRDefault="000839A4" w:rsidP="000839A4">
      <w:pPr>
        <w:tabs>
          <w:tab w:val="left" w:pos="357"/>
        </w:tabs>
        <w:spacing w:before="0"/>
        <w:ind w:left="714" w:hanging="357"/>
        <w:rPr>
          <w:strike/>
          <w:szCs w:val="24"/>
        </w:rPr>
      </w:pPr>
      <w:r w:rsidRPr="000839A4">
        <w:rPr>
          <w:strike/>
          <w:szCs w:val="24"/>
        </w:rPr>
        <w:t>2.</w:t>
      </w:r>
      <w:r w:rsidRPr="000839A4">
        <w:rPr>
          <w:strike/>
          <w:szCs w:val="24"/>
        </w:rPr>
        <w:tab/>
      </w:r>
      <w:r w:rsidRPr="000839A4">
        <w:rPr>
          <w:strike/>
          <w:color w:val="000000" w:themeColor="text1"/>
          <w:szCs w:val="24"/>
        </w:rPr>
        <w:t>úplaty u finančního leasingu za podmínky uvedené v odstavci 4; přitom u poplatníka, který vede daňovou evidenci, je tato úplata výdajem jen v poměrné výši připadající ze sjednané doby na příslušné zdaňovací období; úplatou je u postupníka i jím hrazená částka postupiteli ve výši rozdílu mezi úplatou u finančního leasingu, která byla postupitelem zaplacena, a úplatou u finančního leasingu, která je u postupitele výdajem podle § 24 odst. 6 při postoupení smlouvy o finančním leasingu</w:t>
      </w:r>
      <w:r w:rsidRPr="000839A4">
        <w:rPr>
          <w:strike/>
          <w:szCs w:val="24"/>
        </w:rPr>
        <w:t>,</w:t>
      </w:r>
    </w:p>
    <w:p w14:paraId="3008B7E9" w14:textId="77777777" w:rsidR="000839A4" w:rsidRPr="000839A4" w:rsidRDefault="000839A4" w:rsidP="000839A4">
      <w:pPr>
        <w:spacing w:before="0"/>
        <w:ind w:left="425" w:hanging="425"/>
        <w:outlineLvl w:val="7"/>
      </w:pPr>
      <w:r w:rsidRPr="000839A4">
        <w:rPr>
          <w:strike/>
        </w:rPr>
        <w:t xml:space="preserve">ch) </w:t>
      </w:r>
      <w:r w:rsidRPr="000839A4">
        <w:rPr>
          <w:b/>
          <w:strike/>
        </w:rPr>
        <w:t>f) e)</w:t>
      </w:r>
      <w:r w:rsidRPr="000839A4">
        <w:rPr>
          <w:b/>
        </w:rPr>
        <w:t xml:space="preserve"> d)</w:t>
      </w:r>
      <w:r w:rsidRPr="000839A4">
        <w:tab/>
        <w:t>daň z nemovitých věcí, pokud byla zaplacena a </w:t>
      </w:r>
      <w:r w:rsidRPr="000839A4">
        <w:rPr>
          <w:strike/>
        </w:rPr>
        <w:t xml:space="preserve">není součástí ocenění majetku, dále </w:t>
      </w:r>
      <w:r w:rsidRPr="000839A4">
        <w:rPr>
          <w:b/>
        </w:rPr>
        <w:t>nemovitá věc je evidovaným aktivem,</w:t>
      </w:r>
      <w:r w:rsidRPr="000839A4">
        <w:t xml:space="preserve"> ostatní daně a poplatky s výjimkami uvedenými v § 25. Daň z příjmů a daň darovací zaplacená v zahraničí je u  daňového rezidenta České republiky výdajem pouze u příjmů, které se zahrnují do základu daně, případně do samostatného základu daně zdaňovaného sazbou daně podle § 16a nebo § 21 odst. 4, a to pouze v rozsahu, v jakém ji nebylo možno započíst na daňovou povinnost v tuzemsku podle § 38f; výdajem není daň zaplacená v zahraničí v rozsahu, ve kterém přesahuje výši uvedenou v mezinárodní smlouvě nebo v právním předpisu jiného státu. Tento výdaj (náklad) se uplatní ve zdaňovacím období </w:t>
      </w:r>
      <w:r w:rsidRPr="000839A4">
        <w:rPr>
          <w:strike/>
        </w:rPr>
        <w:t>nebo období, za něž je podáváno daňové přiznání,</w:t>
      </w:r>
      <w:r w:rsidRPr="000839A4">
        <w:t xml:space="preserve"> </w:t>
      </w:r>
      <w:r w:rsidRPr="000839A4">
        <w:rPr>
          <w:strike/>
        </w:rPr>
        <w:t>následujícím</w:t>
      </w:r>
      <w:r w:rsidRPr="000839A4">
        <w:t xml:space="preserve"> </w:t>
      </w:r>
      <w:proofErr w:type="spellStart"/>
      <w:r w:rsidRPr="000839A4">
        <w:rPr>
          <w:b/>
        </w:rPr>
        <w:t>následujícím</w:t>
      </w:r>
      <w:proofErr w:type="spellEnd"/>
      <w:r w:rsidRPr="000839A4">
        <w:t xml:space="preserve"> po zdaňovacím období, </w:t>
      </w:r>
      <w:r w:rsidRPr="000839A4">
        <w:rPr>
          <w:strike/>
        </w:rPr>
        <w:t>nebo období, za něž je podáváno daňové přiznání, jehož</w:t>
      </w:r>
      <w:r w:rsidRPr="000839A4">
        <w:rPr>
          <w:b/>
        </w:rPr>
        <w:t xml:space="preserve"> </w:t>
      </w:r>
      <w:proofErr w:type="spellStart"/>
      <w:r w:rsidRPr="000839A4">
        <w:rPr>
          <w:b/>
        </w:rPr>
        <w:t>jehož</w:t>
      </w:r>
      <w:proofErr w:type="spellEnd"/>
      <w:r w:rsidRPr="000839A4">
        <w:t xml:space="preserve"> se týká zahraniční daň, která nebyla započtena na daňovou povinnost v tuzemsku; jako výdaj se neuplatní zahraniční daň týkající se období, ve kterém je jako položka odčitatelná od základu daně uplatněna daňová ztráta stanovená za zdaňovací období </w:t>
      </w:r>
      <w:r w:rsidRPr="000839A4">
        <w:rPr>
          <w:strike/>
        </w:rPr>
        <w:t>nebo období, za které se podává daňové přiznání</w:t>
      </w:r>
      <w:r w:rsidRPr="000839A4">
        <w:t>, která následují po období uplatnění této daňové ztráty; tímto postupem není ovlivněna výše takto uplatňované daňové ztráty,</w:t>
      </w:r>
    </w:p>
    <w:p w14:paraId="59844241" w14:textId="77777777" w:rsidR="000839A4" w:rsidRPr="000839A4" w:rsidRDefault="000839A4" w:rsidP="000839A4">
      <w:pPr>
        <w:spacing w:before="0"/>
        <w:ind w:left="425" w:hanging="425"/>
        <w:outlineLvl w:val="7"/>
      </w:pPr>
      <w:r w:rsidRPr="000839A4">
        <w:rPr>
          <w:strike/>
        </w:rPr>
        <w:lastRenderedPageBreak/>
        <w:t xml:space="preserve">i) </w:t>
      </w:r>
      <w:r w:rsidRPr="000839A4">
        <w:rPr>
          <w:b/>
          <w:strike/>
        </w:rPr>
        <w:t>g) f)</w:t>
      </w:r>
      <w:r w:rsidRPr="000839A4">
        <w:rPr>
          <w:b/>
        </w:rPr>
        <w:t xml:space="preserve"> e)</w:t>
      </w:r>
      <w:r w:rsidRPr="000839A4">
        <w:tab/>
      </w:r>
      <w:r w:rsidRPr="000839A4">
        <w:rPr>
          <w:strike/>
        </w:rPr>
        <w:t>rezervy a</w:t>
      </w:r>
      <w:r w:rsidRPr="000839A4">
        <w:t> </w:t>
      </w:r>
      <w:r w:rsidRPr="000839A4">
        <w:rPr>
          <w:color w:val="000000" w:themeColor="text1"/>
        </w:rPr>
        <w:t>opravné položky, jejichž způsob tvorby a výši pro daňové účely stanoví zvláštní zákon</w:t>
      </w:r>
      <w:r w:rsidRPr="000839A4">
        <w:rPr>
          <w:color w:val="000000" w:themeColor="text1"/>
          <w:vertAlign w:val="superscript"/>
        </w:rPr>
        <w:t>22a)</w:t>
      </w:r>
      <w:r w:rsidRPr="000839A4">
        <w:rPr>
          <w:color w:val="000000" w:themeColor="text1"/>
        </w:rPr>
        <w:t xml:space="preserve"> </w:t>
      </w:r>
      <w:r w:rsidRPr="000839A4">
        <w:rPr>
          <w:strike/>
          <w:color w:val="000000" w:themeColor="text1"/>
        </w:rPr>
        <w:t>a odstavec 9 pro případy, kdy pohledávka byla nabyta přeměnou</w:t>
      </w:r>
      <w:r w:rsidRPr="000839A4">
        <w:rPr>
          <w:strike/>
          <w:color w:val="000000" w:themeColor="text1"/>
          <w:vertAlign w:val="superscript"/>
        </w:rPr>
        <w:t>131</w:t>
      </w:r>
      <w:r w:rsidRPr="000839A4">
        <w:rPr>
          <w:strike/>
          <w:vertAlign w:val="superscript"/>
        </w:rPr>
        <w:t>)</w:t>
      </w:r>
      <w:r w:rsidRPr="000839A4">
        <w:rPr>
          <w:strike/>
        </w:rPr>
        <w:t>, s výjimkou rezerv vytvářených poplatníky v souvislosti s dosahováním příjmů plynoucích jim podle § 10, s výjimkou rezervy na nakládání s elektroodpadem ze solárních panelů podle zákona upravujícího rezervy pro zjištění základu daně z příjmů a s výjimkou rezervy v pojišťovnictví podle zákona upravujícího rezervy pro zjištění základu daně z </w:t>
      </w:r>
      <w:proofErr w:type="gramStart"/>
      <w:r w:rsidRPr="000839A4">
        <w:rPr>
          <w:strike/>
        </w:rPr>
        <w:t>příjmů</w:t>
      </w:r>
      <w:r w:rsidRPr="000839A4">
        <w:t xml:space="preserve"> </w:t>
      </w:r>
      <w:r w:rsidRPr="000839A4">
        <w:rPr>
          <w:b/>
        </w:rPr>
        <w:t>, a</w:t>
      </w:r>
      <w:r w:rsidRPr="000839A4">
        <w:t xml:space="preserve"> </w:t>
      </w:r>
      <w:r w:rsidRPr="000839A4">
        <w:rPr>
          <w:b/>
        </w:rPr>
        <w:t>tvorba</w:t>
      </w:r>
      <w:proofErr w:type="gramEnd"/>
      <w:r w:rsidRPr="000839A4">
        <w:rPr>
          <w:b/>
        </w:rPr>
        <w:t xml:space="preserve"> rezervy podle právních předpisů upravujících účetnictví</w:t>
      </w:r>
      <w:r w:rsidRPr="000839A4">
        <w:rPr>
          <w:b/>
          <w:szCs w:val="24"/>
        </w:rPr>
        <w:t>,</w:t>
      </w:r>
      <w:r w:rsidRPr="000839A4">
        <w:rPr>
          <w:b/>
        </w:rPr>
        <w:t xml:space="preserve"> </w:t>
      </w:r>
      <w:r w:rsidRPr="000839A4">
        <w:rPr>
          <w:b/>
          <w:szCs w:val="24"/>
        </w:rPr>
        <w:t>pokud je daňovou rezervou</w:t>
      </w:r>
      <w:r w:rsidRPr="000839A4">
        <w:t>,</w:t>
      </w:r>
    </w:p>
    <w:p w14:paraId="41EEA4EF" w14:textId="77777777" w:rsidR="000839A4" w:rsidRPr="000839A4" w:rsidRDefault="000839A4" w:rsidP="000839A4">
      <w:pPr>
        <w:tabs>
          <w:tab w:val="left" w:pos="357"/>
        </w:tabs>
        <w:spacing w:before="0"/>
        <w:ind w:left="357" w:hanging="357"/>
        <w:rPr>
          <w:szCs w:val="24"/>
        </w:rPr>
      </w:pPr>
      <w:r w:rsidRPr="000839A4">
        <w:rPr>
          <w:strike/>
          <w:szCs w:val="24"/>
        </w:rPr>
        <w:t xml:space="preserve">j) </w:t>
      </w:r>
      <w:r w:rsidRPr="000839A4">
        <w:rPr>
          <w:b/>
          <w:strike/>
          <w:szCs w:val="24"/>
        </w:rPr>
        <w:t>h) g)</w:t>
      </w:r>
      <w:r w:rsidRPr="000839A4">
        <w:rPr>
          <w:b/>
          <w:szCs w:val="24"/>
        </w:rPr>
        <w:t xml:space="preserve"> f)</w:t>
      </w:r>
      <w:r w:rsidRPr="000839A4">
        <w:rPr>
          <w:szCs w:val="24"/>
        </w:rPr>
        <w:tab/>
        <w:t xml:space="preserve">výdaje (náklady) na pracovní a sociální podmínky, péči o zdraví a zvýšený rozsah doby odpočinku zaměstnanců vynaložené na </w:t>
      </w:r>
    </w:p>
    <w:p w14:paraId="7B3A3F2F" w14:textId="77777777" w:rsidR="000839A4" w:rsidRPr="000839A4" w:rsidRDefault="000839A4" w:rsidP="000839A4">
      <w:pPr>
        <w:tabs>
          <w:tab w:val="left" w:pos="357"/>
        </w:tabs>
        <w:spacing w:before="0"/>
        <w:ind w:left="714" w:hanging="357"/>
        <w:rPr>
          <w:szCs w:val="24"/>
        </w:rPr>
      </w:pPr>
      <w:r w:rsidRPr="000839A4">
        <w:rPr>
          <w:szCs w:val="24"/>
        </w:rPr>
        <w:t>1.</w:t>
      </w:r>
      <w:r w:rsidRPr="000839A4">
        <w:rPr>
          <w:szCs w:val="24"/>
        </w:rPr>
        <w:tab/>
        <w:t>bezpečnost a ochranu zdraví při práci a hygienické vybavení pracovišť, výdaje (náklady) na pořízení ochranných nápojů lze uplatnit v rozsahu stanoveném zvláštními právními předpisy</w:t>
      </w:r>
      <w:r w:rsidRPr="000839A4">
        <w:rPr>
          <w:szCs w:val="24"/>
          <w:vertAlign w:val="superscript"/>
        </w:rPr>
        <w:footnoteReference w:customMarkFollows="1" w:id="160"/>
        <w:t>122)</w:t>
      </w:r>
      <w:r w:rsidRPr="000839A4">
        <w:rPr>
          <w:szCs w:val="24"/>
        </w:rPr>
        <w:t xml:space="preserve">, </w:t>
      </w:r>
    </w:p>
    <w:p w14:paraId="0496F087" w14:textId="77777777" w:rsidR="000839A4" w:rsidRPr="000839A4" w:rsidRDefault="000839A4" w:rsidP="000839A4">
      <w:pPr>
        <w:tabs>
          <w:tab w:val="left" w:pos="357"/>
        </w:tabs>
        <w:spacing w:before="0"/>
        <w:ind w:left="714" w:hanging="357"/>
        <w:rPr>
          <w:szCs w:val="24"/>
        </w:rPr>
      </w:pPr>
      <w:r w:rsidRPr="000839A4">
        <w:rPr>
          <w:szCs w:val="24"/>
        </w:rPr>
        <w:t>2.</w:t>
      </w:r>
      <w:r w:rsidRPr="000839A4">
        <w:rPr>
          <w:szCs w:val="24"/>
        </w:rPr>
        <w:tab/>
      </w:r>
      <w:proofErr w:type="spellStart"/>
      <w:r w:rsidRPr="000839A4">
        <w:rPr>
          <w:szCs w:val="24"/>
        </w:rPr>
        <w:t>pracovnělékařské</w:t>
      </w:r>
      <w:proofErr w:type="spellEnd"/>
      <w:r w:rsidRPr="000839A4">
        <w:rPr>
          <w:szCs w:val="24"/>
        </w:rPr>
        <w:t xml:space="preserve"> služby poskytované poskytovatelem těchto služeb v rozsahu stanoveném zvláštními předpisy</w:t>
      </w:r>
      <w:r w:rsidRPr="000839A4">
        <w:rPr>
          <w:szCs w:val="24"/>
          <w:vertAlign w:val="superscript"/>
        </w:rPr>
        <w:footnoteReference w:customMarkFollows="1" w:id="161"/>
        <w:t>23)</w:t>
      </w:r>
      <w:r w:rsidRPr="000839A4">
        <w:rPr>
          <w:szCs w:val="24"/>
        </w:rPr>
        <w:t xml:space="preserve"> a nehrazeném zdravotní pojišťovnou, na lékařské prohlídky a lékařská vyšetření stanovené zvláštními předpisy, </w:t>
      </w:r>
    </w:p>
    <w:p w14:paraId="2D9627A9" w14:textId="77777777" w:rsidR="000839A4" w:rsidRPr="000839A4" w:rsidRDefault="000839A4" w:rsidP="000839A4">
      <w:pPr>
        <w:tabs>
          <w:tab w:val="left" w:pos="357"/>
        </w:tabs>
        <w:spacing w:before="0"/>
        <w:ind w:left="714" w:hanging="357"/>
        <w:rPr>
          <w:szCs w:val="24"/>
        </w:rPr>
      </w:pPr>
      <w:r w:rsidRPr="000839A4">
        <w:rPr>
          <w:szCs w:val="24"/>
        </w:rPr>
        <w:t>3.</w:t>
      </w:r>
      <w:r w:rsidRPr="000839A4">
        <w:rPr>
          <w:szCs w:val="24"/>
        </w:rPr>
        <w:tab/>
        <w:t>provoz vlastních vzdělávacích zařízení nebo výdaje (náklady) spojené s odborným rozvojem zaměstnanců podle jiného právního předpisu</w:t>
      </w:r>
      <w:r w:rsidRPr="000839A4">
        <w:rPr>
          <w:szCs w:val="24"/>
          <w:vertAlign w:val="superscript"/>
        </w:rPr>
        <w:footnoteReference w:customMarkFollows="1" w:id="162"/>
        <w:t>132)132)</w:t>
      </w:r>
      <w:r w:rsidRPr="000839A4">
        <w:rPr>
          <w:szCs w:val="24"/>
        </w:rPr>
        <w:t xml:space="preserve"> a rekvalifikací zaměstnanců podle jiného právního předpisu upravujícího zaměstnanost</w:t>
      </w:r>
      <w:r w:rsidRPr="000839A4">
        <w:rPr>
          <w:szCs w:val="24"/>
          <w:vertAlign w:val="superscript"/>
        </w:rPr>
        <w:t>133)</w:t>
      </w:r>
      <w:r w:rsidRPr="000839A4">
        <w:rPr>
          <w:szCs w:val="24"/>
          <w:vertAlign w:val="superscript"/>
        </w:rPr>
        <w:fldChar w:fldCharType="begin"/>
      </w:r>
      <w:r w:rsidRPr="000839A4">
        <w:rPr>
          <w:szCs w:val="24"/>
          <w:vertAlign w:val="superscript"/>
        </w:rPr>
        <w:instrText xml:space="preserve"> NOTEREF _Ref535916585 </w:instrText>
      </w:r>
      <w:r w:rsidRPr="000839A4">
        <w:rPr>
          <w:szCs w:val="24"/>
          <w:vertAlign w:val="superscript"/>
        </w:rPr>
        <w:fldChar w:fldCharType="end"/>
      </w:r>
      <w:r w:rsidRPr="000839A4">
        <w:rPr>
          <w:szCs w:val="24"/>
        </w:rPr>
        <w:t xml:space="preserve">, pokud souvisejí s předmětem činnosti zaměstnavatele, </w:t>
      </w:r>
    </w:p>
    <w:p w14:paraId="747C5635" w14:textId="77777777" w:rsidR="000839A4" w:rsidRPr="000839A4" w:rsidRDefault="000839A4" w:rsidP="000839A4">
      <w:pPr>
        <w:tabs>
          <w:tab w:val="left" w:pos="357"/>
        </w:tabs>
        <w:spacing w:before="0"/>
        <w:ind w:left="714" w:hanging="357"/>
        <w:rPr>
          <w:szCs w:val="24"/>
        </w:rPr>
      </w:pPr>
      <w:r w:rsidRPr="000839A4">
        <w:rPr>
          <w:szCs w:val="24"/>
        </w:rPr>
        <w:t>4.</w:t>
      </w:r>
      <w:r w:rsidRPr="000839A4">
        <w:rPr>
          <w:b/>
          <w:color w:val="808080" w:themeColor="background1" w:themeShade="80"/>
          <w:szCs w:val="24"/>
        </w:rPr>
        <w:t xml:space="preserve"> </w:t>
      </w:r>
      <w:r w:rsidRPr="000839A4">
        <w:rPr>
          <w:b/>
          <w:color w:val="808080" w:themeColor="background1" w:themeShade="80"/>
          <w:szCs w:val="24"/>
        </w:rPr>
        <w:tab/>
      </w:r>
      <w:r w:rsidRPr="000839A4">
        <w:rPr>
          <w:szCs w:val="24"/>
        </w:rPr>
        <w:t>práva zaměstnanců vyplývající z kolektivní smlouvy, vnitřního předpisu zaměstnavatele, pracovní nebo jiné smlouvy, pokud tento nebo zvláštní zákon nestanoví jinak; to platí i pro výdaje vynaložené na sociální podmínky nebo péči o zdraví rodinného příslušníka zaměstnance, jedná-li se o práva zaměstnanců vyplývající z kolektivní smlouvy, vnitřního předpisu zaměstnavatele, pracovní nebo jiné smlouvy,</w:t>
      </w:r>
    </w:p>
    <w:p w14:paraId="61042AF5" w14:textId="77777777" w:rsidR="000839A4" w:rsidRPr="000839A4" w:rsidRDefault="000839A4" w:rsidP="000839A4">
      <w:pPr>
        <w:tabs>
          <w:tab w:val="left" w:pos="357"/>
        </w:tabs>
        <w:spacing w:before="0"/>
        <w:ind w:left="357" w:hanging="357"/>
        <w:rPr>
          <w:szCs w:val="24"/>
        </w:rPr>
      </w:pPr>
      <w:r w:rsidRPr="000839A4">
        <w:rPr>
          <w:strike/>
          <w:szCs w:val="24"/>
        </w:rPr>
        <w:t xml:space="preserve">k) </w:t>
      </w:r>
      <w:r w:rsidRPr="000839A4">
        <w:rPr>
          <w:b/>
          <w:strike/>
          <w:szCs w:val="24"/>
        </w:rPr>
        <w:t>i) h)</w:t>
      </w:r>
      <w:r w:rsidRPr="000839A4">
        <w:rPr>
          <w:b/>
          <w:szCs w:val="24"/>
        </w:rPr>
        <w:t xml:space="preserve"> g)</w:t>
      </w:r>
      <w:r w:rsidRPr="000839A4">
        <w:rPr>
          <w:szCs w:val="24"/>
        </w:rPr>
        <w:tab/>
        <w:t xml:space="preserve">výdaje (náklady) na pracovní cesty, včetně výdajů (nákladů) na pracovní cestu spolupracujících osob (§ 13) a společníků veřejných obchodních společností a komplementářů komanditních společností, a to maximálně ve výši podle zvláštních </w:t>
      </w:r>
      <w:proofErr w:type="gramStart"/>
      <w:r w:rsidRPr="000839A4">
        <w:rPr>
          <w:szCs w:val="24"/>
        </w:rPr>
        <w:t>předpisů,</w:t>
      </w:r>
      <w:r w:rsidRPr="000839A4">
        <w:rPr>
          <w:szCs w:val="24"/>
          <w:vertAlign w:val="superscript"/>
        </w:rPr>
        <w:t>5)</w:t>
      </w:r>
      <w:r w:rsidRPr="000839A4">
        <w:rPr>
          <w:szCs w:val="24"/>
        </w:rPr>
        <w:t xml:space="preserve"> pokud</w:t>
      </w:r>
      <w:proofErr w:type="gramEnd"/>
      <w:r w:rsidRPr="000839A4">
        <w:rPr>
          <w:szCs w:val="24"/>
        </w:rPr>
        <w:t xml:space="preserve"> není dále stanoveno jinak, přitom </w:t>
      </w:r>
    </w:p>
    <w:p w14:paraId="77F0F502" w14:textId="77777777" w:rsidR="000839A4" w:rsidRPr="000839A4" w:rsidRDefault="000839A4" w:rsidP="000839A4">
      <w:pPr>
        <w:tabs>
          <w:tab w:val="left" w:pos="357"/>
        </w:tabs>
        <w:spacing w:before="0"/>
        <w:ind w:left="714" w:hanging="357"/>
        <w:rPr>
          <w:szCs w:val="24"/>
        </w:rPr>
      </w:pPr>
      <w:r w:rsidRPr="000839A4">
        <w:rPr>
          <w:szCs w:val="24"/>
        </w:rPr>
        <w:t>1.</w:t>
      </w:r>
      <w:r w:rsidRPr="000839A4">
        <w:rPr>
          <w:szCs w:val="24"/>
        </w:rPr>
        <w:tab/>
        <w:t xml:space="preserve">na ubytování, na dopravu hromadnými dopravními prostředky, na pohonné hmoty spotřebované silničním motorovým vozidlem </w:t>
      </w:r>
      <w:r w:rsidRPr="000839A4">
        <w:rPr>
          <w:strike/>
          <w:szCs w:val="24"/>
        </w:rPr>
        <w:t xml:space="preserve">zahrnutým v obchodním majetku poplatníka, </w:t>
      </w:r>
      <w:r w:rsidRPr="000839A4">
        <w:rPr>
          <w:strike/>
          <w:color w:val="000000" w:themeColor="text1"/>
          <w:szCs w:val="24"/>
        </w:rPr>
        <w:t>pořizovaným na finanční leasing</w:t>
      </w:r>
      <w:r w:rsidRPr="000839A4">
        <w:rPr>
          <w:strike/>
          <w:szCs w:val="24"/>
        </w:rPr>
        <w:t xml:space="preserve">, v nájmu nebo užívaným na základě smlouvy o výpůjčce uzavřené s věřitelem na dobu zajištění dluhu převodem vlastnického práva k tomuto </w:t>
      </w:r>
      <w:proofErr w:type="gramStart"/>
      <w:r w:rsidRPr="000839A4">
        <w:rPr>
          <w:strike/>
          <w:szCs w:val="24"/>
        </w:rPr>
        <w:t>vozidlu</w:t>
      </w:r>
      <w:r w:rsidRPr="000839A4">
        <w:rPr>
          <w:szCs w:val="24"/>
        </w:rPr>
        <w:t xml:space="preserve"> </w:t>
      </w:r>
      <w:r w:rsidRPr="000839A4">
        <w:rPr>
          <w:b/>
          <w:noProof/>
          <w:szCs w:val="24"/>
        </w:rPr>
        <w:t>, které</w:t>
      </w:r>
      <w:proofErr w:type="gramEnd"/>
      <w:r w:rsidRPr="000839A4">
        <w:rPr>
          <w:b/>
          <w:noProof/>
          <w:szCs w:val="24"/>
        </w:rPr>
        <w:t xml:space="preserve"> je jeho evidovaným aktivem nebo které má v nájmu,</w:t>
      </w:r>
      <w:r w:rsidRPr="000839A4">
        <w:rPr>
          <w:szCs w:val="24"/>
        </w:rPr>
        <w:t xml:space="preserve">  (s výjimkou uvedenou v bodě 4) a na nezbytné výdaje spojené s pracovní cestou v prokázané výši; pro stanovení výdajů za pohonné hmoty spotřebované vozidlem, které má elektrický pohon nebo hybridní pohon kombinující spalovací motor a elektromotor, lze použít průměrnou cenu elektřiny stanovenou pro účely poskytování cestovních náhrad podle zákoníku práce,</w:t>
      </w:r>
    </w:p>
    <w:p w14:paraId="71F43F2A" w14:textId="77777777" w:rsidR="000839A4" w:rsidRPr="000839A4" w:rsidRDefault="000839A4" w:rsidP="000839A4">
      <w:pPr>
        <w:tabs>
          <w:tab w:val="left" w:pos="357"/>
        </w:tabs>
        <w:spacing w:before="0"/>
        <w:ind w:left="714" w:hanging="357"/>
        <w:rPr>
          <w:szCs w:val="24"/>
        </w:rPr>
      </w:pPr>
      <w:r w:rsidRPr="000839A4">
        <w:rPr>
          <w:szCs w:val="24"/>
        </w:rPr>
        <w:t>2.</w:t>
      </w:r>
      <w:r w:rsidRPr="000839A4">
        <w:rPr>
          <w:szCs w:val="24"/>
        </w:rPr>
        <w:tab/>
        <w:t>zvýšené stravovací výdaje (stravné)</w:t>
      </w:r>
      <w:proofErr w:type="gramStart"/>
      <w:r w:rsidRPr="000839A4">
        <w:rPr>
          <w:szCs w:val="24"/>
          <w:vertAlign w:val="superscript"/>
        </w:rPr>
        <w:footnoteReference w:customMarkFollows="1" w:id="163"/>
        <w:t>5b)</w:t>
      </w:r>
      <w:r w:rsidRPr="000839A4">
        <w:rPr>
          <w:szCs w:val="24"/>
        </w:rPr>
        <w:t xml:space="preserve">  při</w:t>
      </w:r>
      <w:proofErr w:type="gramEnd"/>
      <w:r w:rsidRPr="000839A4">
        <w:rPr>
          <w:szCs w:val="24"/>
        </w:rPr>
        <w:t xml:space="preserve"> tuzemských pracovních cestách delších než 12 hodin v kalendářním dnu, zahraniční stravné a kapesné při zahraničních pracovních cestách pro poplatníky s příjmy podle § 7, a to maximálně do výše náhrad vymezených </w:t>
      </w:r>
      <w:r w:rsidRPr="000839A4">
        <w:rPr>
          <w:szCs w:val="24"/>
        </w:rPr>
        <w:lastRenderedPageBreak/>
        <w:t>pro zaměstnance</w:t>
      </w:r>
      <w:r w:rsidRPr="000839A4">
        <w:rPr>
          <w:b/>
        </w:rPr>
        <w:t xml:space="preserve"> </w:t>
      </w:r>
      <w:r w:rsidRPr="000839A4">
        <w:rPr>
          <w:szCs w:val="24"/>
        </w:rPr>
        <w:t xml:space="preserve">odměňovaného platem. Pravidelným pracovištěm pro poplatníky s příjmy podle § 7 se také rozumí sídlo podnikatele nebo místo výkonu jiné činnosti, ze které plyne příjem ze samostatné činnosti, </w:t>
      </w:r>
    </w:p>
    <w:p w14:paraId="42282EC3" w14:textId="77777777" w:rsidR="000839A4" w:rsidRPr="000839A4" w:rsidRDefault="000839A4" w:rsidP="000839A4">
      <w:pPr>
        <w:tabs>
          <w:tab w:val="left" w:pos="357"/>
        </w:tabs>
        <w:spacing w:before="0"/>
        <w:ind w:left="714" w:hanging="357"/>
        <w:rPr>
          <w:szCs w:val="24"/>
        </w:rPr>
      </w:pPr>
      <w:r w:rsidRPr="000839A4">
        <w:rPr>
          <w:szCs w:val="24"/>
        </w:rPr>
        <w:t>3.</w:t>
      </w:r>
      <w:r w:rsidRPr="000839A4">
        <w:rPr>
          <w:szCs w:val="24"/>
        </w:rPr>
        <w:tab/>
        <w:t xml:space="preserve">na dopravu </w:t>
      </w:r>
      <w:r w:rsidRPr="000839A4">
        <w:rPr>
          <w:strike/>
          <w:szCs w:val="24"/>
        </w:rPr>
        <w:t>vlastním</w:t>
      </w:r>
      <w:r w:rsidRPr="000839A4">
        <w:rPr>
          <w:szCs w:val="24"/>
        </w:rPr>
        <w:t xml:space="preserve"> silničním motorovým vozidlem </w:t>
      </w:r>
      <w:r w:rsidRPr="000839A4">
        <w:rPr>
          <w:strike/>
          <w:szCs w:val="24"/>
        </w:rPr>
        <w:t>nezahrnutým do obchodního majetku poplatníka</w:t>
      </w:r>
      <w:r w:rsidRPr="000839A4">
        <w:rPr>
          <w:szCs w:val="24"/>
        </w:rPr>
        <w:t xml:space="preserve"> </w:t>
      </w:r>
      <w:r w:rsidRPr="000839A4">
        <w:rPr>
          <w:b/>
          <w:noProof/>
          <w:szCs w:val="24"/>
        </w:rPr>
        <w:t>, které je aktivem poplatníka a není evidovaným aktivem</w:t>
      </w:r>
      <w:r w:rsidRPr="000839A4">
        <w:rPr>
          <w:b/>
          <w:noProof/>
          <w:szCs w:val="24"/>
          <w:shd w:val="clear" w:color="auto" w:fill="FFFFCC"/>
        </w:rPr>
        <w:t>,</w:t>
      </w:r>
      <w:r w:rsidRPr="000839A4">
        <w:rPr>
          <w:szCs w:val="24"/>
        </w:rPr>
        <w:t xml:space="preserve"> ve výši sazby základní náhrady, a to maximálně do výše sazby základní náhrady vymezené pro zaměstnance odměňovaného platem, a náhrady výdajů za spotřebované pohonné </w:t>
      </w:r>
      <w:proofErr w:type="gramStart"/>
      <w:r w:rsidRPr="000839A4">
        <w:rPr>
          <w:szCs w:val="24"/>
        </w:rPr>
        <w:t>hmoty.</w:t>
      </w:r>
      <w:r w:rsidRPr="000839A4">
        <w:rPr>
          <w:szCs w:val="24"/>
          <w:vertAlign w:val="superscript"/>
        </w:rPr>
        <w:t>5)</w:t>
      </w:r>
      <w:r w:rsidRPr="000839A4">
        <w:rPr>
          <w:szCs w:val="24"/>
        </w:rPr>
        <w:t xml:space="preserve">  Na</w:t>
      </w:r>
      <w:proofErr w:type="gramEnd"/>
      <w:r w:rsidRPr="000839A4">
        <w:rPr>
          <w:szCs w:val="24"/>
        </w:rPr>
        <w:t xml:space="preserve"> dopravu </w:t>
      </w:r>
      <w:r w:rsidRPr="000839A4">
        <w:rPr>
          <w:strike/>
          <w:szCs w:val="24"/>
        </w:rPr>
        <w:t>vlastním</w:t>
      </w:r>
      <w:r w:rsidRPr="000839A4">
        <w:rPr>
          <w:szCs w:val="24"/>
        </w:rPr>
        <w:t xml:space="preserve"> silničním motorovým </w:t>
      </w:r>
      <w:r w:rsidRPr="000839A4">
        <w:rPr>
          <w:color w:val="000000" w:themeColor="text1"/>
          <w:szCs w:val="24"/>
        </w:rPr>
        <w:t xml:space="preserve">vozidlem, které </w:t>
      </w:r>
      <w:r w:rsidRPr="000839A4">
        <w:rPr>
          <w:strike/>
          <w:color w:val="000000" w:themeColor="text1"/>
          <w:szCs w:val="24"/>
        </w:rPr>
        <w:t xml:space="preserve">není zahrnuto do obchodního majetku poplatníka, ale v obchodním majetku poplatníka zahrnuto bylo, nebo bylo u poplatníka předmětem finančního leasingu a úplatu u finančního leasingu uplatnil (uplatňuje) jako výdaj na dosažení, zajištění a udržení příjmů </w:t>
      </w:r>
      <w:r w:rsidRPr="000839A4">
        <w:rPr>
          <w:b/>
          <w:noProof/>
          <w:color w:val="000000" w:themeColor="text1"/>
          <w:szCs w:val="24"/>
        </w:rPr>
        <w:t xml:space="preserve">                                                                                                                                                                                                            </w:t>
      </w:r>
      <w:r w:rsidRPr="000839A4">
        <w:rPr>
          <w:b/>
          <w:color w:val="000000" w:themeColor="text1"/>
          <w:szCs w:val="24"/>
        </w:rPr>
        <w:t xml:space="preserve"> je aktivem poplatníka a není evidovaným aktivem</w:t>
      </w:r>
      <w:r w:rsidRPr="000839A4">
        <w:rPr>
          <w:b/>
          <w:noProof/>
          <w:color w:val="000000" w:themeColor="text1"/>
          <w:szCs w:val="24"/>
        </w:rPr>
        <w:t>, ale evidovaným aktivem poplatníka bylo</w:t>
      </w:r>
      <w:r w:rsidRPr="000839A4">
        <w:rPr>
          <w:szCs w:val="24"/>
        </w:rPr>
        <w:t xml:space="preserve">, a u silničního motorového vozidla užívaného na základě smlouvy o výpůjčce, </w:t>
      </w:r>
      <w:r w:rsidRPr="000839A4">
        <w:rPr>
          <w:strike/>
          <w:szCs w:val="24"/>
        </w:rPr>
        <w:t>s výjimkou smlouvy o výpůjčce uzavřené s věřitelem na dobu zajištění dluhu převodem vlastnického práva k tomuto vozidlu</w:t>
      </w:r>
      <w:r w:rsidRPr="000839A4">
        <w:rPr>
          <w:noProof/>
          <w:szCs w:val="24"/>
        </w:rPr>
        <w:t xml:space="preserve"> </w:t>
      </w:r>
      <w:r w:rsidRPr="000839A4">
        <w:rPr>
          <w:b/>
          <w:noProof/>
          <w:szCs w:val="24"/>
        </w:rPr>
        <w:t>které není aktivem poplatníka</w:t>
      </w:r>
      <w:r w:rsidRPr="000839A4">
        <w:rPr>
          <w:szCs w:val="24"/>
        </w:rPr>
        <w:t>, nebo smlouvy o výprose ve výši náhrady výdajů za spotřebované pohonné hmoty. Pro stanovení výdajů za spotřebované pohonné hmoty lze použít průměrné ceny pohonných hmot stanovené pro účely poskytování cestovních náhrad podle zákoníku práce. Použije-li poplatník ceny vyšší, je povinen je doložit doklady o jejich nákupu. U nákladních automobilů a autobusů se použije sazba základní náhrady pro osobní silniční motorová vozidla, a to maximálně do výše sazby základní náhrady vymezené pro zaměstnance odměňovaného platem,</w:t>
      </w:r>
    </w:p>
    <w:p w14:paraId="1A96B619" w14:textId="77777777" w:rsidR="000839A4" w:rsidRPr="000839A4" w:rsidRDefault="000839A4" w:rsidP="000839A4">
      <w:pPr>
        <w:tabs>
          <w:tab w:val="left" w:pos="357"/>
        </w:tabs>
        <w:spacing w:before="0"/>
        <w:ind w:left="714" w:hanging="357"/>
        <w:rPr>
          <w:szCs w:val="24"/>
        </w:rPr>
      </w:pPr>
      <w:r w:rsidRPr="000839A4">
        <w:rPr>
          <w:szCs w:val="24"/>
        </w:rPr>
        <w:t>4.</w:t>
      </w:r>
      <w:r w:rsidRPr="000839A4">
        <w:rPr>
          <w:szCs w:val="24"/>
        </w:rPr>
        <w:tab/>
        <w:t xml:space="preserve">na dopravu silničním motorovým vozidlem </w:t>
      </w:r>
      <w:r w:rsidRPr="000839A4">
        <w:rPr>
          <w:strike/>
          <w:color w:val="000000" w:themeColor="text1"/>
          <w:szCs w:val="24"/>
        </w:rPr>
        <w:t>zahrnutým do obchodního majetku poplatníka, pořizovaným na finanční leasing</w:t>
      </w:r>
      <w:r w:rsidRPr="000839A4">
        <w:rPr>
          <w:strike/>
          <w:szCs w:val="24"/>
        </w:rPr>
        <w:t>, v nájmu nebo užívaným na základě smlouvy o výpůjčce uzavřené s věřitelem na dobu zajištění dluhu převodem vlastnického práva</w:t>
      </w:r>
      <w:r w:rsidRPr="000839A4">
        <w:rPr>
          <w:szCs w:val="24"/>
        </w:rPr>
        <w:t xml:space="preserve"> </w:t>
      </w:r>
      <w:r w:rsidRPr="000839A4">
        <w:rPr>
          <w:strike/>
          <w:szCs w:val="24"/>
        </w:rPr>
        <w:t>k tomuto vozidlu</w:t>
      </w:r>
      <w:r w:rsidRPr="000839A4">
        <w:rPr>
          <w:b/>
          <w:noProof/>
          <w:szCs w:val="24"/>
        </w:rPr>
        <w:t>, které je jeho evidovaným aktivem nebo které má v nájmu</w:t>
      </w:r>
      <w:r w:rsidRPr="000839A4">
        <w:rPr>
          <w:noProof/>
          <w:szCs w:val="24"/>
        </w:rPr>
        <w:t xml:space="preserve">, </w:t>
      </w:r>
      <w:r w:rsidRPr="000839A4">
        <w:rPr>
          <w:szCs w:val="24"/>
        </w:rPr>
        <w:t>v prokázané výši a ve výši náhrady výdajů za spotřebované pohonné hmoty</w:t>
      </w:r>
      <w:r w:rsidRPr="000839A4">
        <w:rPr>
          <w:szCs w:val="24"/>
          <w:vertAlign w:val="superscript"/>
        </w:rPr>
        <w:t>5)</w:t>
      </w:r>
      <w:r w:rsidRPr="000839A4">
        <w:rPr>
          <w:szCs w:val="24"/>
        </w:rPr>
        <w:t xml:space="preserve"> u zahraničních pracovních cest, při kterých výdaje (náklady) na pohonné hmoty nelze prokázat, a to s použitím tuzemských cen pohonných hmot platných v době použití vozidla, </w:t>
      </w:r>
    </w:p>
    <w:p w14:paraId="22D4ACF5" w14:textId="77777777" w:rsidR="000839A4" w:rsidRPr="000839A4" w:rsidRDefault="000839A4" w:rsidP="000839A4">
      <w:pPr>
        <w:tabs>
          <w:tab w:val="left" w:pos="357"/>
        </w:tabs>
        <w:spacing w:before="0"/>
        <w:ind w:left="357" w:hanging="357"/>
        <w:rPr>
          <w:szCs w:val="24"/>
        </w:rPr>
      </w:pPr>
      <w:r w:rsidRPr="000839A4">
        <w:rPr>
          <w:strike/>
          <w:szCs w:val="24"/>
        </w:rPr>
        <w:t xml:space="preserve">l) </w:t>
      </w:r>
      <w:r w:rsidRPr="000839A4">
        <w:rPr>
          <w:b/>
          <w:strike/>
          <w:szCs w:val="24"/>
        </w:rPr>
        <w:t>j) i)</w:t>
      </w:r>
      <w:r w:rsidRPr="000839A4">
        <w:rPr>
          <w:b/>
          <w:szCs w:val="24"/>
        </w:rPr>
        <w:t xml:space="preserve"> h)</w:t>
      </w:r>
      <w:r w:rsidRPr="000839A4">
        <w:rPr>
          <w:szCs w:val="24"/>
        </w:rPr>
        <w:tab/>
        <w:t xml:space="preserve">škody vzniklé v důsledku živelních pohrom nebo škody způsobené podle potvrzení policie neznámým pachatelem anebo jako zvýšené výdaje v důsledku opatření stanovených zvláštními předpisy, </w:t>
      </w:r>
    </w:p>
    <w:p w14:paraId="53FBFE9B" w14:textId="77777777" w:rsidR="000839A4" w:rsidRPr="000839A4" w:rsidRDefault="000839A4" w:rsidP="000839A4">
      <w:pPr>
        <w:tabs>
          <w:tab w:val="left" w:pos="357"/>
        </w:tabs>
        <w:spacing w:before="0"/>
        <w:ind w:left="357" w:hanging="357"/>
        <w:rPr>
          <w:szCs w:val="24"/>
        </w:rPr>
      </w:pPr>
      <w:r w:rsidRPr="000839A4">
        <w:rPr>
          <w:strike/>
          <w:szCs w:val="24"/>
        </w:rPr>
        <w:t xml:space="preserve">m) </w:t>
      </w:r>
      <w:r w:rsidRPr="000839A4">
        <w:rPr>
          <w:b/>
          <w:strike/>
          <w:szCs w:val="24"/>
        </w:rPr>
        <w:t>k) j)</w:t>
      </w:r>
      <w:r w:rsidRPr="000839A4">
        <w:rPr>
          <w:b/>
          <w:szCs w:val="24"/>
        </w:rPr>
        <w:t xml:space="preserve"> i)</w:t>
      </w:r>
      <w:r w:rsidRPr="000839A4">
        <w:rPr>
          <w:szCs w:val="24"/>
        </w:rPr>
        <w:tab/>
        <w:t xml:space="preserve">výdaje (náklady) na zabezpečení požární </w:t>
      </w:r>
      <w:proofErr w:type="gramStart"/>
      <w:r w:rsidRPr="000839A4">
        <w:rPr>
          <w:szCs w:val="24"/>
        </w:rPr>
        <w:t>ochrany,</w:t>
      </w:r>
      <w:r w:rsidRPr="000839A4">
        <w:rPr>
          <w:szCs w:val="24"/>
          <w:vertAlign w:val="superscript"/>
        </w:rPr>
        <w:footnoteReference w:customMarkFollows="1" w:id="164"/>
        <w:t>24</w:t>
      </w:r>
      <w:proofErr w:type="gramEnd"/>
      <w:r w:rsidRPr="000839A4">
        <w:rPr>
          <w:szCs w:val="24"/>
          <w:vertAlign w:val="superscript"/>
        </w:rPr>
        <w:t>)</w:t>
      </w:r>
    </w:p>
    <w:p w14:paraId="056364B7" w14:textId="77777777" w:rsidR="000839A4" w:rsidRPr="000839A4" w:rsidRDefault="000839A4" w:rsidP="000839A4">
      <w:pPr>
        <w:tabs>
          <w:tab w:val="left" w:pos="357"/>
        </w:tabs>
        <w:spacing w:before="0"/>
        <w:ind w:left="357" w:hanging="357"/>
        <w:rPr>
          <w:szCs w:val="24"/>
        </w:rPr>
      </w:pPr>
      <w:r w:rsidRPr="000839A4">
        <w:rPr>
          <w:strike/>
          <w:szCs w:val="24"/>
        </w:rPr>
        <w:t xml:space="preserve">n) </w:t>
      </w:r>
      <w:r w:rsidRPr="000839A4">
        <w:rPr>
          <w:b/>
          <w:strike/>
          <w:szCs w:val="24"/>
        </w:rPr>
        <w:t>l) k)</w:t>
      </w:r>
      <w:r w:rsidRPr="000839A4">
        <w:rPr>
          <w:b/>
          <w:szCs w:val="24"/>
        </w:rPr>
        <w:t xml:space="preserve"> j)</w:t>
      </w:r>
      <w:r w:rsidRPr="000839A4">
        <w:rPr>
          <w:szCs w:val="24"/>
        </w:rPr>
        <w:tab/>
        <w:t xml:space="preserve">výdaje (náklady) spojené s uchováním výrobních schopností pro zabezpečení obranyschopnosti státu, </w:t>
      </w:r>
    </w:p>
    <w:p w14:paraId="511B833E" w14:textId="77777777" w:rsidR="000839A4" w:rsidRPr="000839A4" w:rsidRDefault="000839A4" w:rsidP="000839A4">
      <w:pPr>
        <w:tabs>
          <w:tab w:val="left" w:pos="357"/>
        </w:tabs>
        <w:spacing w:before="0"/>
        <w:ind w:left="357" w:hanging="357"/>
        <w:rPr>
          <w:strike/>
          <w:szCs w:val="24"/>
        </w:rPr>
      </w:pPr>
      <w:r w:rsidRPr="000839A4">
        <w:rPr>
          <w:strike/>
          <w:szCs w:val="24"/>
        </w:rPr>
        <w:t xml:space="preserve">o) </w:t>
      </w:r>
      <w:r w:rsidRPr="000839A4">
        <w:rPr>
          <w:b/>
          <w:strike/>
          <w:szCs w:val="24"/>
        </w:rPr>
        <w:t>m) l) k)</w:t>
      </w:r>
      <w:r w:rsidRPr="000839A4">
        <w:rPr>
          <w:strike/>
          <w:szCs w:val="24"/>
        </w:rPr>
        <w:tab/>
        <w:t>u poplatníků, kteří vedou daňovou evidenci, uhrazená pořizovací cena</w:t>
      </w:r>
      <w:r w:rsidRPr="000839A4">
        <w:rPr>
          <w:strike/>
          <w:szCs w:val="24"/>
          <w:vertAlign w:val="superscript"/>
        </w:rPr>
        <w:t>20)</w:t>
      </w:r>
      <w:r w:rsidRPr="000839A4">
        <w:rPr>
          <w:strike/>
          <w:szCs w:val="24"/>
        </w:rPr>
        <w:t xml:space="preserve"> u pohledávky nabyté postoupením, a to jen do výše příjmů z této pohledávky, </w:t>
      </w:r>
    </w:p>
    <w:p w14:paraId="2786B54C" w14:textId="77777777" w:rsidR="000839A4" w:rsidRPr="000839A4" w:rsidRDefault="000839A4" w:rsidP="000839A4">
      <w:pPr>
        <w:tabs>
          <w:tab w:val="left" w:pos="357"/>
        </w:tabs>
        <w:spacing w:before="0"/>
        <w:ind w:left="357" w:hanging="357"/>
        <w:rPr>
          <w:szCs w:val="24"/>
        </w:rPr>
      </w:pPr>
      <w:r w:rsidRPr="000839A4">
        <w:rPr>
          <w:strike/>
          <w:szCs w:val="24"/>
        </w:rPr>
        <w:t xml:space="preserve">p) </w:t>
      </w:r>
      <w:r w:rsidRPr="000839A4">
        <w:rPr>
          <w:b/>
          <w:strike/>
          <w:szCs w:val="24"/>
        </w:rPr>
        <w:t>n) m) l)</w:t>
      </w:r>
      <w:r w:rsidRPr="000839A4">
        <w:rPr>
          <w:b/>
          <w:szCs w:val="24"/>
        </w:rPr>
        <w:t xml:space="preserve"> k)</w:t>
      </w:r>
      <w:r w:rsidRPr="000839A4">
        <w:rPr>
          <w:szCs w:val="24"/>
        </w:rPr>
        <w:tab/>
        <w:t xml:space="preserve">výdaje (náklady), k jejichž úhradě je poplatník povinen podle zvláštních zákonů, </w:t>
      </w:r>
    </w:p>
    <w:p w14:paraId="75E5DAEE" w14:textId="77777777" w:rsidR="000839A4" w:rsidRPr="000839A4" w:rsidRDefault="000839A4" w:rsidP="000839A4">
      <w:pPr>
        <w:tabs>
          <w:tab w:val="left" w:pos="357"/>
        </w:tabs>
        <w:spacing w:before="0"/>
        <w:ind w:left="357" w:hanging="357"/>
        <w:rPr>
          <w:strike/>
          <w:szCs w:val="24"/>
        </w:rPr>
      </w:pPr>
      <w:r w:rsidRPr="000839A4">
        <w:rPr>
          <w:strike/>
          <w:szCs w:val="24"/>
        </w:rPr>
        <w:t xml:space="preserve">r) </w:t>
      </w:r>
      <w:r w:rsidRPr="000839A4">
        <w:rPr>
          <w:b/>
          <w:strike/>
          <w:szCs w:val="24"/>
        </w:rPr>
        <w:t>o) n) m) l)</w:t>
      </w:r>
      <w:r w:rsidRPr="000839A4">
        <w:rPr>
          <w:strike/>
          <w:szCs w:val="24"/>
        </w:rPr>
        <w:tab/>
        <w:t xml:space="preserve">hodnota cenného papíru při prodeji zachycená v účetnictví v souladu se zvláštním právním </w:t>
      </w:r>
      <w:proofErr w:type="gramStart"/>
      <w:r w:rsidRPr="000839A4">
        <w:rPr>
          <w:strike/>
          <w:szCs w:val="24"/>
        </w:rPr>
        <w:t>předpisem</w:t>
      </w:r>
      <w:r w:rsidRPr="000839A4">
        <w:rPr>
          <w:strike/>
          <w:szCs w:val="24"/>
          <w:vertAlign w:val="superscript"/>
        </w:rPr>
        <w:t>20)</w:t>
      </w:r>
      <w:r w:rsidRPr="000839A4">
        <w:rPr>
          <w:strike/>
          <w:szCs w:val="24"/>
        </w:rPr>
        <w:t xml:space="preserve">  ke</w:t>
      </w:r>
      <w:proofErr w:type="gramEnd"/>
      <w:r w:rsidRPr="000839A4">
        <w:rPr>
          <w:strike/>
          <w:szCs w:val="24"/>
        </w:rPr>
        <w:t xml:space="preserve"> dni jeho prodeje, s výjimkou uvedenou v písmenech w) a ze) a s výjimkou cenného papíru, u kterého je příjem z jeho převodu osvobozen podle § 19 odst. 1 písm. ze) nebo podle § 19 odst. 9, </w:t>
      </w:r>
    </w:p>
    <w:p w14:paraId="0E0CD0C1" w14:textId="77777777" w:rsidR="000839A4" w:rsidRPr="000839A4" w:rsidRDefault="000839A4" w:rsidP="000839A4">
      <w:pPr>
        <w:tabs>
          <w:tab w:val="left" w:pos="357"/>
        </w:tabs>
        <w:spacing w:before="0"/>
        <w:ind w:left="357" w:hanging="357"/>
        <w:rPr>
          <w:strike/>
          <w:szCs w:val="24"/>
        </w:rPr>
      </w:pPr>
      <w:r w:rsidRPr="000839A4">
        <w:rPr>
          <w:strike/>
          <w:szCs w:val="24"/>
        </w:rPr>
        <w:t xml:space="preserve">s) </w:t>
      </w:r>
      <w:r w:rsidRPr="000839A4">
        <w:rPr>
          <w:b/>
          <w:strike/>
          <w:szCs w:val="24"/>
        </w:rPr>
        <w:t>p) o) n) m)</w:t>
      </w:r>
      <w:r w:rsidRPr="000839A4">
        <w:rPr>
          <w:strike/>
          <w:szCs w:val="24"/>
        </w:rPr>
        <w:tab/>
        <w:t xml:space="preserve">u poplatníka, který vede účetnictví </w:t>
      </w:r>
    </w:p>
    <w:p w14:paraId="1CB12BFF" w14:textId="77777777" w:rsidR="000839A4" w:rsidRPr="000839A4" w:rsidRDefault="000839A4" w:rsidP="000839A4">
      <w:pPr>
        <w:tabs>
          <w:tab w:val="left" w:pos="357"/>
        </w:tabs>
        <w:spacing w:before="0"/>
        <w:ind w:left="714" w:hanging="357"/>
        <w:rPr>
          <w:strike/>
          <w:szCs w:val="24"/>
        </w:rPr>
      </w:pPr>
      <w:r w:rsidRPr="000839A4">
        <w:rPr>
          <w:strike/>
          <w:szCs w:val="24"/>
        </w:rPr>
        <w:lastRenderedPageBreak/>
        <w:t>1.</w:t>
      </w:r>
      <w:r w:rsidRPr="000839A4">
        <w:rPr>
          <w:strike/>
          <w:szCs w:val="24"/>
        </w:rPr>
        <w:tab/>
        <w:t xml:space="preserve">jmenovitá hodnota pohledávky při jejím postoupení, a to do výše příjmu plynoucího z jejího postoupení, </w:t>
      </w:r>
    </w:p>
    <w:p w14:paraId="53F18BBC" w14:textId="77777777" w:rsidR="000839A4" w:rsidRPr="000839A4" w:rsidRDefault="000839A4" w:rsidP="000839A4">
      <w:pPr>
        <w:tabs>
          <w:tab w:val="left" w:pos="357"/>
        </w:tabs>
        <w:spacing w:before="0"/>
        <w:ind w:left="714" w:hanging="357"/>
        <w:rPr>
          <w:strike/>
          <w:szCs w:val="24"/>
        </w:rPr>
      </w:pPr>
      <w:r w:rsidRPr="000839A4">
        <w:rPr>
          <w:strike/>
          <w:szCs w:val="24"/>
        </w:rPr>
        <w:t>2.</w:t>
      </w:r>
      <w:r w:rsidRPr="000839A4">
        <w:rPr>
          <w:strike/>
          <w:szCs w:val="24"/>
        </w:rPr>
        <w:tab/>
        <w:t>pořizovací cena</w:t>
      </w:r>
      <w:r w:rsidRPr="000839A4">
        <w:rPr>
          <w:strike/>
          <w:szCs w:val="24"/>
          <w:vertAlign w:val="superscript"/>
        </w:rPr>
        <w:t>20)</w:t>
      </w:r>
      <w:r w:rsidRPr="000839A4">
        <w:rPr>
          <w:strike/>
          <w:szCs w:val="24"/>
        </w:rPr>
        <w:t xml:space="preserve"> u pohledávky nabyté postoupením, a to do výše příjmu plynoucího z její úhrady dlužníkem nebo postupníkem při jejím následném postoupení. </w:t>
      </w:r>
    </w:p>
    <w:p w14:paraId="748A8AAD" w14:textId="77777777" w:rsidR="000839A4" w:rsidRPr="000839A4" w:rsidRDefault="000839A4" w:rsidP="000839A4">
      <w:pPr>
        <w:spacing w:before="120"/>
        <w:ind w:left="360" w:firstLine="0"/>
        <w:rPr>
          <w:strike/>
          <w:color w:val="000000" w:themeColor="text1"/>
          <w:szCs w:val="24"/>
        </w:rPr>
      </w:pPr>
      <w:r w:rsidRPr="000839A4">
        <w:rPr>
          <w:strike/>
          <w:color w:val="000000" w:themeColor="text1"/>
          <w:szCs w:val="24"/>
        </w:rPr>
        <w:t>Příjmy uvedené v bodech 1 a 2 lze zvýšit o vytvořenou opravnou položku nebo rezervu (její část) podle zvláštního zákona</w:t>
      </w:r>
      <w:r w:rsidRPr="000839A4">
        <w:rPr>
          <w:strike/>
          <w:color w:val="000000" w:themeColor="text1"/>
          <w:szCs w:val="24"/>
          <w:vertAlign w:val="superscript"/>
        </w:rPr>
        <w:t>22a)</w:t>
      </w:r>
      <w:r w:rsidRPr="000839A4">
        <w:rPr>
          <w:strike/>
          <w:color w:val="000000" w:themeColor="text1"/>
          <w:szCs w:val="24"/>
        </w:rPr>
        <w:t xml:space="preserve"> a u pohledávky postoupené před dobou splatnosti o diskont připadající na zbývající dobu do doby splatnosti. Výše diskontu se posuzuje podle úrokové sazby obvyklé při poskytování finančních prostředků s odpovídající dobou splatnosti. </w:t>
      </w:r>
    </w:p>
    <w:p w14:paraId="01F717D2" w14:textId="77777777" w:rsidR="000839A4" w:rsidRPr="000839A4" w:rsidRDefault="000839A4" w:rsidP="000839A4">
      <w:pPr>
        <w:tabs>
          <w:tab w:val="left" w:pos="357"/>
        </w:tabs>
        <w:spacing w:before="0"/>
        <w:ind w:left="357" w:hanging="357"/>
        <w:rPr>
          <w:strike/>
          <w:szCs w:val="24"/>
        </w:rPr>
      </w:pPr>
      <w:r w:rsidRPr="000839A4">
        <w:rPr>
          <w:strike/>
          <w:szCs w:val="24"/>
        </w:rPr>
        <w:t xml:space="preserve">t) </w:t>
      </w:r>
      <w:r w:rsidRPr="000839A4">
        <w:rPr>
          <w:b/>
          <w:strike/>
          <w:szCs w:val="24"/>
        </w:rPr>
        <w:t>q) p) o) n)</w:t>
      </w:r>
      <w:r w:rsidRPr="000839A4">
        <w:rPr>
          <w:strike/>
          <w:szCs w:val="24"/>
        </w:rPr>
        <w:tab/>
        <w:t xml:space="preserve">do výše příjmů z prodeje jednotlivého majetku </w:t>
      </w:r>
    </w:p>
    <w:p w14:paraId="7F598843" w14:textId="77777777" w:rsidR="000839A4" w:rsidRPr="000839A4" w:rsidRDefault="000839A4" w:rsidP="000839A4">
      <w:pPr>
        <w:tabs>
          <w:tab w:val="left" w:pos="357"/>
        </w:tabs>
        <w:spacing w:before="0"/>
        <w:ind w:left="714" w:hanging="357"/>
        <w:rPr>
          <w:strike/>
          <w:szCs w:val="24"/>
        </w:rPr>
      </w:pPr>
      <w:r w:rsidRPr="000839A4">
        <w:rPr>
          <w:strike/>
          <w:szCs w:val="24"/>
        </w:rPr>
        <w:t>1.</w:t>
      </w:r>
      <w:r w:rsidRPr="000839A4">
        <w:rPr>
          <w:strike/>
          <w:szCs w:val="24"/>
        </w:rPr>
        <w:tab/>
        <w:t xml:space="preserve">vstupní cena hmotného majetku vyloučeného z odpisování, </w:t>
      </w:r>
    </w:p>
    <w:p w14:paraId="28CD5C4B" w14:textId="77777777" w:rsidR="000839A4" w:rsidRPr="000839A4" w:rsidRDefault="000839A4" w:rsidP="000839A4">
      <w:pPr>
        <w:tabs>
          <w:tab w:val="left" w:pos="357"/>
        </w:tabs>
        <w:spacing w:before="0"/>
        <w:ind w:left="714" w:hanging="357"/>
        <w:rPr>
          <w:strike/>
          <w:szCs w:val="24"/>
        </w:rPr>
      </w:pPr>
      <w:r w:rsidRPr="000839A4">
        <w:rPr>
          <w:strike/>
          <w:szCs w:val="24"/>
        </w:rPr>
        <w:t>2.</w:t>
      </w:r>
      <w:r w:rsidRPr="000839A4">
        <w:rPr>
          <w:strike/>
          <w:szCs w:val="24"/>
        </w:rPr>
        <w:tab/>
        <w:t xml:space="preserve">vstupní cena hmotného majetku evidovaného u veřejně prospěšného poplatníka, pokud tento hmotný majetek byl využíván k činnostem, z nichž dosahované příjmy nejsou předmětem daně z příjmů, </w:t>
      </w:r>
    </w:p>
    <w:p w14:paraId="695A6DA7" w14:textId="77777777" w:rsidR="000839A4" w:rsidRPr="000839A4" w:rsidRDefault="000839A4" w:rsidP="000839A4">
      <w:pPr>
        <w:tabs>
          <w:tab w:val="left" w:pos="357"/>
        </w:tabs>
        <w:spacing w:before="0"/>
        <w:ind w:left="714" w:hanging="357"/>
        <w:rPr>
          <w:strike/>
          <w:szCs w:val="24"/>
        </w:rPr>
      </w:pPr>
      <w:r w:rsidRPr="000839A4">
        <w:rPr>
          <w:strike/>
          <w:szCs w:val="24"/>
        </w:rPr>
        <w:t>3.</w:t>
      </w:r>
      <w:r w:rsidRPr="000839A4">
        <w:rPr>
          <w:strike/>
          <w:szCs w:val="24"/>
        </w:rPr>
        <w:tab/>
        <w:t xml:space="preserve">pořizovací cena, vlastní náklady nebo reprodukční pořizovací cena nehmotného majetku určená podle právního předpisu upravujícího účetnictví, jehož účetní odpisy nejsou výdajem (nákladem) podle písmene v), </w:t>
      </w:r>
    </w:p>
    <w:p w14:paraId="4D2D99A7" w14:textId="77777777" w:rsidR="000839A4" w:rsidRPr="000839A4" w:rsidRDefault="000839A4" w:rsidP="000839A4">
      <w:pPr>
        <w:tabs>
          <w:tab w:val="left" w:pos="357"/>
        </w:tabs>
        <w:spacing w:before="0"/>
        <w:ind w:left="714" w:hanging="357"/>
        <w:rPr>
          <w:strike/>
          <w:szCs w:val="24"/>
        </w:rPr>
      </w:pPr>
      <w:r w:rsidRPr="000839A4">
        <w:rPr>
          <w:strike/>
          <w:szCs w:val="24"/>
        </w:rPr>
        <w:t>4.</w:t>
      </w:r>
      <w:r w:rsidRPr="000839A4">
        <w:rPr>
          <w:strike/>
          <w:szCs w:val="24"/>
        </w:rPr>
        <w:tab/>
        <w:t xml:space="preserve">část hodnoty vyvolané investice při jejím prodeji, která není součástí vstupní ceny hmotného majetku, </w:t>
      </w:r>
    </w:p>
    <w:p w14:paraId="696C6A6A" w14:textId="77777777" w:rsidR="000839A4" w:rsidRPr="000839A4" w:rsidRDefault="000839A4" w:rsidP="000839A4">
      <w:pPr>
        <w:tabs>
          <w:tab w:val="left" w:pos="357"/>
        </w:tabs>
        <w:spacing w:before="0"/>
        <w:ind w:left="714" w:hanging="357"/>
        <w:rPr>
          <w:strike/>
          <w:szCs w:val="24"/>
        </w:rPr>
      </w:pPr>
      <w:r w:rsidRPr="000839A4">
        <w:rPr>
          <w:strike/>
          <w:szCs w:val="24"/>
        </w:rPr>
        <w:t>5.</w:t>
      </w:r>
      <w:r w:rsidRPr="000839A4">
        <w:rPr>
          <w:strike/>
          <w:szCs w:val="24"/>
        </w:rPr>
        <w:tab/>
        <w:t xml:space="preserve">pořizovací cena pozemku, s výjimkou stavby, která je jeho součástí, u poplatníka fyzické osoby, </w:t>
      </w:r>
    </w:p>
    <w:p w14:paraId="7F3B6109" w14:textId="77777777" w:rsidR="000839A4" w:rsidRPr="000839A4" w:rsidRDefault="000839A4" w:rsidP="000839A4">
      <w:pPr>
        <w:tabs>
          <w:tab w:val="left" w:pos="357"/>
        </w:tabs>
        <w:spacing w:before="0"/>
        <w:ind w:left="357" w:hanging="357"/>
        <w:rPr>
          <w:strike/>
          <w:szCs w:val="24"/>
        </w:rPr>
      </w:pPr>
      <w:r w:rsidRPr="000839A4">
        <w:rPr>
          <w:strike/>
          <w:szCs w:val="24"/>
        </w:rPr>
        <w:t xml:space="preserve">ta) </w:t>
      </w:r>
      <w:r w:rsidRPr="000839A4">
        <w:rPr>
          <w:b/>
          <w:strike/>
          <w:szCs w:val="24"/>
        </w:rPr>
        <w:t>r) q) p) o)</w:t>
      </w:r>
      <w:r w:rsidRPr="000839A4">
        <w:rPr>
          <w:strike/>
          <w:szCs w:val="24"/>
        </w:rPr>
        <w:tab/>
        <w:t xml:space="preserve">u obchodní korporace cena pozemku nabytého vkladem člena, který je fyzickou osobou, který neměl pozemek zahrnut v obchodním majetku a vklad uskutečnil do 5 let od nabytí pozemku; touto cenou pozemku se rozumí </w:t>
      </w:r>
    </w:p>
    <w:p w14:paraId="24069221" w14:textId="77777777" w:rsidR="000839A4" w:rsidRPr="000839A4" w:rsidRDefault="000839A4" w:rsidP="000839A4">
      <w:pPr>
        <w:tabs>
          <w:tab w:val="left" w:pos="357"/>
        </w:tabs>
        <w:spacing w:before="0"/>
        <w:ind w:left="714" w:hanging="357"/>
        <w:rPr>
          <w:strike/>
          <w:szCs w:val="24"/>
        </w:rPr>
      </w:pPr>
      <w:r w:rsidRPr="000839A4">
        <w:rPr>
          <w:strike/>
          <w:szCs w:val="24"/>
        </w:rPr>
        <w:t>1.</w:t>
      </w:r>
      <w:r w:rsidRPr="000839A4">
        <w:rPr>
          <w:strike/>
          <w:szCs w:val="24"/>
        </w:rPr>
        <w:tab/>
        <w:t xml:space="preserve">pořizovací cena, která byla zjištěna u člena obchodní korporace, pokud jej nabyl úplatně, </w:t>
      </w:r>
    </w:p>
    <w:p w14:paraId="2B20B935" w14:textId="77777777" w:rsidR="000839A4" w:rsidRPr="000839A4" w:rsidRDefault="000839A4" w:rsidP="000839A4">
      <w:pPr>
        <w:tabs>
          <w:tab w:val="left" w:pos="357"/>
        </w:tabs>
        <w:spacing w:before="0"/>
        <w:ind w:left="714" w:hanging="357"/>
        <w:rPr>
          <w:strike/>
          <w:szCs w:val="24"/>
        </w:rPr>
      </w:pPr>
      <w:r w:rsidRPr="000839A4">
        <w:rPr>
          <w:strike/>
          <w:szCs w:val="24"/>
        </w:rPr>
        <w:t>2.</w:t>
      </w:r>
      <w:r w:rsidRPr="000839A4">
        <w:rPr>
          <w:strike/>
          <w:szCs w:val="24"/>
        </w:rPr>
        <w:tab/>
        <w:t xml:space="preserve">cena podle právního předpisu upravujícího oceňování majetku ke dni nabytí pozemku členem obchodní korporace, pokud jej nabyl bezúplatně, </w:t>
      </w:r>
    </w:p>
    <w:p w14:paraId="216DE918" w14:textId="77777777" w:rsidR="000839A4" w:rsidRPr="000839A4" w:rsidRDefault="000839A4" w:rsidP="000839A4">
      <w:pPr>
        <w:tabs>
          <w:tab w:val="left" w:pos="357"/>
        </w:tabs>
        <w:spacing w:before="0"/>
        <w:ind w:left="357" w:hanging="357"/>
        <w:rPr>
          <w:strike/>
          <w:szCs w:val="24"/>
        </w:rPr>
      </w:pPr>
      <w:proofErr w:type="spellStart"/>
      <w:r w:rsidRPr="000839A4">
        <w:rPr>
          <w:strike/>
          <w:szCs w:val="24"/>
        </w:rPr>
        <w:t>tb</w:t>
      </w:r>
      <w:proofErr w:type="spellEnd"/>
      <w:r w:rsidRPr="000839A4">
        <w:rPr>
          <w:strike/>
          <w:szCs w:val="24"/>
        </w:rPr>
        <w:t xml:space="preserve">) </w:t>
      </w:r>
      <w:r w:rsidRPr="000839A4">
        <w:rPr>
          <w:b/>
          <w:strike/>
          <w:szCs w:val="24"/>
        </w:rPr>
        <w:t>s) r) q) p)</w:t>
      </w:r>
      <w:r w:rsidRPr="000839A4">
        <w:rPr>
          <w:strike/>
          <w:szCs w:val="24"/>
        </w:rPr>
        <w:tab/>
        <w:t xml:space="preserve">zůstatková cena technického zhodnocení odpisovaného nájemcem při ukončení nájmu nebo při zrušení souhlasu vlastníka s odpisováním do výše náhrady výdajů (nákladů) vynaložených na toto technické zhodnocení, </w:t>
      </w:r>
    </w:p>
    <w:p w14:paraId="1093F219" w14:textId="77777777" w:rsidR="000839A4" w:rsidRPr="000839A4" w:rsidRDefault="000839A4" w:rsidP="000839A4">
      <w:pPr>
        <w:tabs>
          <w:tab w:val="left" w:pos="357"/>
        </w:tabs>
        <w:spacing w:before="0"/>
        <w:ind w:left="357" w:hanging="357"/>
        <w:rPr>
          <w:szCs w:val="24"/>
        </w:rPr>
      </w:pPr>
      <w:r w:rsidRPr="000839A4">
        <w:rPr>
          <w:strike/>
          <w:szCs w:val="24"/>
        </w:rPr>
        <w:t xml:space="preserve">u) </w:t>
      </w:r>
      <w:r w:rsidRPr="000839A4">
        <w:rPr>
          <w:b/>
          <w:strike/>
          <w:szCs w:val="24"/>
        </w:rPr>
        <w:t>t) s) r) q)</w:t>
      </w:r>
      <w:r w:rsidRPr="000839A4">
        <w:rPr>
          <w:b/>
          <w:szCs w:val="24"/>
        </w:rPr>
        <w:t xml:space="preserve"> l)</w:t>
      </w:r>
      <w:r w:rsidRPr="000839A4">
        <w:rPr>
          <w:szCs w:val="24"/>
        </w:rPr>
        <w:tab/>
        <w:t xml:space="preserve">daň z příjmů fyzických osob zaplacená plátcem za poplatníka z příjmů uvedených v § 10 odst. 1 písm. h) bodu 1 a písm. ch), u nichž se uplatňuje zvláštní sazba daně (§ 36), je-li výhra nebo cena v nepeněžním plnění, a silniční daň zaplacená jedním z manželů, který je zapsán jako </w:t>
      </w:r>
      <w:r w:rsidRPr="000839A4">
        <w:rPr>
          <w:rFonts w:eastAsia="TimesNewRoman,Bold"/>
          <w:noProof/>
          <w:szCs w:val="24"/>
        </w:rPr>
        <w:t xml:space="preserve">provozovatel </w:t>
      </w:r>
      <w:r w:rsidRPr="000839A4">
        <w:rPr>
          <w:szCs w:val="24"/>
        </w:rPr>
        <w:t xml:space="preserve">motorového vozidla v osvědčení o registraci vozidla, přičemž vozidlo je používáno pro činnost, ze které plyne příjem ze samostatné činnosti, druhým z manželů, který jako </w:t>
      </w:r>
      <w:r w:rsidRPr="000839A4">
        <w:rPr>
          <w:rFonts w:eastAsia="TimesNewRoman,Bold"/>
          <w:noProof/>
          <w:szCs w:val="24"/>
        </w:rPr>
        <w:t xml:space="preserve">provozovatel </w:t>
      </w:r>
      <w:r w:rsidRPr="000839A4">
        <w:rPr>
          <w:szCs w:val="24"/>
        </w:rPr>
        <w:t xml:space="preserve">v </w:t>
      </w:r>
      <w:r w:rsidRPr="000839A4">
        <w:rPr>
          <w:rFonts w:eastAsia="TimesNewRoman,Bold"/>
          <w:noProof/>
          <w:szCs w:val="24"/>
        </w:rPr>
        <w:t xml:space="preserve">osvědčení o registraci vozidla </w:t>
      </w:r>
      <w:r w:rsidRPr="000839A4">
        <w:rPr>
          <w:szCs w:val="24"/>
        </w:rPr>
        <w:t xml:space="preserve">zapsán není, a dále silniční daň zaplacená veřejnou obchodní společností za společníky veřejné obchodní společnosti nebo komanditní společností za komplementáře, kteří pro pracovní cesty používají vlastní vozidlo,  </w:t>
      </w:r>
    </w:p>
    <w:p w14:paraId="16BB5B49" w14:textId="77777777" w:rsidR="000839A4" w:rsidRPr="000839A4" w:rsidRDefault="000839A4" w:rsidP="000839A4">
      <w:pPr>
        <w:tabs>
          <w:tab w:val="left" w:pos="357"/>
        </w:tabs>
        <w:spacing w:before="0"/>
        <w:ind w:left="357" w:hanging="357"/>
        <w:rPr>
          <w:strike/>
          <w:szCs w:val="24"/>
        </w:rPr>
      </w:pPr>
      <w:r w:rsidRPr="000839A4">
        <w:rPr>
          <w:strike/>
          <w:szCs w:val="24"/>
        </w:rPr>
        <w:t xml:space="preserve">v) </w:t>
      </w:r>
      <w:r w:rsidRPr="000839A4">
        <w:rPr>
          <w:b/>
          <w:strike/>
          <w:szCs w:val="24"/>
        </w:rPr>
        <w:t>u) t) s) r) m)</w:t>
      </w:r>
      <w:r w:rsidRPr="000839A4">
        <w:rPr>
          <w:strike/>
          <w:szCs w:val="24"/>
        </w:rPr>
        <w:tab/>
        <w:t>účetní odpisy,</w:t>
      </w:r>
      <w:r w:rsidRPr="000839A4">
        <w:rPr>
          <w:strike/>
          <w:szCs w:val="24"/>
          <w:vertAlign w:val="superscript"/>
        </w:rPr>
        <w:t xml:space="preserve"> 20)</w:t>
      </w:r>
      <w:r w:rsidRPr="000839A4">
        <w:rPr>
          <w:strike/>
          <w:szCs w:val="24"/>
        </w:rPr>
        <w:t xml:space="preserve"> s výjimkou uvedenou v § 25 odst. 1 písm. </w:t>
      </w:r>
      <w:proofErr w:type="spellStart"/>
      <w:r w:rsidRPr="000839A4">
        <w:rPr>
          <w:strike/>
          <w:szCs w:val="24"/>
        </w:rPr>
        <w:t>zg</w:t>
      </w:r>
      <w:proofErr w:type="spellEnd"/>
      <w:r w:rsidRPr="000839A4">
        <w:rPr>
          <w:strike/>
          <w:szCs w:val="24"/>
        </w:rPr>
        <w:t xml:space="preserve">), a to pouze u </w:t>
      </w:r>
    </w:p>
    <w:p w14:paraId="2CA9CDD2" w14:textId="77777777" w:rsidR="000839A4" w:rsidRPr="000839A4" w:rsidRDefault="000839A4" w:rsidP="000839A4">
      <w:pPr>
        <w:tabs>
          <w:tab w:val="left" w:pos="357"/>
        </w:tabs>
        <w:spacing w:before="0"/>
        <w:ind w:left="714" w:hanging="357"/>
        <w:rPr>
          <w:strike/>
          <w:szCs w:val="24"/>
        </w:rPr>
      </w:pPr>
      <w:r w:rsidRPr="000839A4">
        <w:rPr>
          <w:strike/>
          <w:szCs w:val="24"/>
        </w:rPr>
        <w:t>1.</w:t>
      </w:r>
      <w:r w:rsidRPr="000839A4">
        <w:rPr>
          <w:strike/>
          <w:szCs w:val="24"/>
        </w:rPr>
        <w:tab/>
        <w:t>hmotného majetku,</w:t>
      </w:r>
      <w:r w:rsidRPr="000839A4">
        <w:rPr>
          <w:strike/>
          <w:szCs w:val="24"/>
          <w:vertAlign w:val="superscript"/>
        </w:rPr>
        <w:t xml:space="preserve"> </w:t>
      </w:r>
      <w:proofErr w:type="gramStart"/>
      <w:r w:rsidRPr="000839A4">
        <w:rPr>
          <w:strike/>
          <w:szCs w:val="24"/>
          <w:vertAlign w:val="superscript"/>
        </w:rPr>
        <w:t>20)</w:t>
      </w:r>
      <w:r w:rsidRPr="000839A4">
        <w:rPr>
          <w:strike/>
          <w:szCs w:val="24"/>
        </w:rPr>
        <w:t xml:space="preserve">  který</w:t>
      </w:r>
      <w:proofErr w:type="gramEnd"/>
      <w:r w:rsidRPr="000839A4">
        <w:rPr>
          <w:strike/>
          <w:szCs w:val="24"/>
        </w:rPr>
        <w:t xml:space="preserve"> není vymezen pro účely zákona jako hmotný majetek (§ 26 odst. 2 a 3); přitom u tohoto majetku nabytého vkladem člena obchodní korporace s bydlištěm nebo sídlem na území České republiky, který byl zároveň u fyzické osoby zahrnut v obchodním majetku a u právnické osoby v jejím majetku, nabytého vkladem obce, pokud tento majetek byl ve vlastnictví obce a byl zahrnut v jejím majetku, nabytého přeměnou</w:t>
      </w:r>
      <w:r w:rsidRPr="000839A4">
        <w:rPr>
          <w:strike/>
          <w:szCs w:val="24"/>
          <w:vertAlign w:val="superscript"/>
        </w:rPr>
        <w:t>131)</w:t>
      </w:r>
      <w:r w:rsidRPr="000839A4">
        <w:rPr>
          <w:strike/>
          <w:szCs w:val="24"/>
          <w:vertAlign w:val="superscript"/>
        </w:rPr>
        <w:fldChar w:fldCharType="begin"/>
      </w:r>
      <w:r w:rsidRPr="000839A4">
        <w:rPr>
          <w:strike/>
          <w:szCs w:val="24"/>
          <w:vertAlign w:val="superscript"/>
        </w:rPr>
        <w:instrText xml:space="preserve"> NOTEREF _Ref535916583  \* MERGEFORMAT </w:instrText>
      </w:r>
      <w:r w:rsidRPr="000839A4">
        <w:rPr>
          <w:strike/>
          <w:szCs w:val="24"/>
          <w:vertAlign w:val="superscript"/>
        </w:rPr>
        <w:fldChar w:fldCharType="end"/>
      </w:r>
      <w:r w:rsidRPr="000839A4">
        <w:rPr>
          <w:strike/>
          <w:szCs w:val="24"/>
        </w:rPr>
        <w:t>, jsou účetní odpisy výdajem (nákladem) jen do výše zůstatkové ceny</w:t>
      </w:r>
      <w:r w:rsidRPr="000839A4">
        <w:rPr>
          <w:strike/>
          <w:szCs w:val="24"/>
          <w:vertAlign w:val="superscript"/>
        </w:rPr>
        <w:t>20)</w:t>
      </w:r>
      <w:r w:rsidRPr="000839A4">
        <w:rPr>
          <w:strike/>
          <w:szCs w:val="24"/>
        </w:rPr>
        <w:t xml:space="preserve"> evidované u vkladatele ke dni vkladu nebo u zanikající nebo rozdělované obchodní korporace ke dni předcházejícímu rozhodný den přeměny bez vlivu ocenění reálnou </w:t>
      </w:r>
      <w:proofErr w:type="gramStart"/>
      <w:r w:rsidRPr="000839A4">
        <w:rPr>
          <w:strike/>
          <w:szCs w:val="24"/>
        </w:rPr>
        <w:t>hodnotou,</w:t>
      </w:r>
      <w:r w:rsidRPr="000839A4">
        <w:rPr>
          <w:strike/>
          <w:szCs w:val="24"/>
          <w:vertAlign w:val="superscript"/>
        </w:rPr>
        <w:t>20</w:t>
      </w:r>
      <w:proofErr w:type="gramEnd"/>
      <w:r w:rsidRPr="000839A4">
        <w:rPr>
          <w:strike/>
          <w:szCs w:val="24"/>
          <w:vertAlign w:val="superscript"/>
        </w:rPr>
        <w:t>)</w:t>
      </w:r>
      <w:r w:rsidRPr="000839A4">
        <w:rPr>
          <w:strike/>
          <w:szCs w:val="24"/>
        </w:rPr>
        <w:t xml:space="preserve"> </w:t>
      </w:r>
    </w:p>
    <w:p w14:paraId="0949C403" w14:textId="77777777" w:rsidR="000839A4" w:rsidRPr="000839A4" w:rsidRDefault="000839A4" w:rsidP="000839A4">
      <w:pPr>
        <w:tabs>
          <w:tab w:val="left" w:pos="357"/>
        </w:tabs>
        <w:spacing w:before="0"/>
        <w:ind w:left="714" w:hanging="357"/>
        <w:rPr>
          <w:strike/>
          <w:szCs w:val="24"/>
        </w:rPr>
      </w:pPr>
      <w:r w:rsidRPr="000839A4">
        <w:rPr>
          <w:strike/>
          <w:szCs w:val="24"/>
        </w:rPr>
        <w:lastRenderedPageBreak/>
        <w:t>2.</w:t>
      </w:r>
      <w:r w:rsidRPr="000839A4">
        <w:rPr>
          <w:strike/>
          <w:szCs w:val="24"/>
        </w:rPr>
        <w:tab/>
        <w:t>nehmotného majetku</w:t>
      </w:r>
      <w:r w:rsidRPr="000839A4">
        <w:rPr>
          <w:strike/>
          <w:szCs w:val="24"/>
          <w:vertAlign w:val="superscript"/>
        </w:rPr>
        <w:t>20)</w:t>
      </w:r>
      <w:r w:rsidRPr="000839A4">
        <w:rPr>
          <w:strike/>
          <w:szCs w:val="24"/>
          <w:vertAlign w:val="superscript"/>
        </w:rPr>
        <w:fldChar w:fldCharType="begin"/>
      </w:r>
      <w:r w:rsidRPr="000839A4">
        <w:rPr>
          <w:strike/>
          <w:szCs w:val="24"/>
          <w:vertAlign w:val="superscript"/>
        </w:rPr>
        <w:instrText xml:space="preserve"> NOTEREF _Ref535916574  \* MERGEFORMAT </w:instrText>
      </w:r>
      <w:r w:rsidRPr="000839A4">
        <w:rPr>
          <w:strike/>
          <w:szCs w:val="24"/>
          <w:vertAlign w:val="superscript"/>
        </w:rPr>
        <w:fldChar w:fldCharType="end"/>
      </w:r>
      <w:r w:rsidRPr="000839A4">
        <w:rPr>
          <w:strike/>
          <w:szCs w:val="24"/>
        </w:rPr>
        <w:t xml:space="preserve"> za podmínky, že byl poplatníkem pořízen úplatně nebo ve vlastní režii za účelem obchodování s ním anebo nabyt vkladem, přeměnou nebo bezúplatně. U nehmotného majetku nabytého vkladem jsou účetní odpisy výdajem (nákladem) jen v případě, že byl tento vkládaný nehmotný majetek u člena obchodní korporace s bydlištěm nebo sídlem na území České republiky pořízen úplatně a zároveň byl u fyzické osoby zahrnut v obchodním majetku a u právnické osoby v jejím majetku; přitom v úhrnu lze u nabyvatele uplatnit účetní odpisy jen do výše zůstatkové ceny</w:t>
      </w:r>
      <w:r w:rsidRPr="000839A4">
        <w:rPr>
          <w:strike/>
          <w:szCs w:val="24"/>
          <w:vertAlign w:val="superscript"/>
        </w:rPr>
        <w:t>20)</w:t>
      </w:r>
      <w:r w:rsidRPr="000839A4">
        <w:rPr>
          <w:strike/>
          <w:szCs w:val="24"/>
        </w:rPr>
        <w:t xml:space="preserve"> prokázané u vkladatele ke dni jeho vkladu. U nehmotného majetku nabytého přeměnou jsou účetní odpisy výdajem (nákladem) u nástupnické obchodní korporace jen do výše zůstatkové ceny</w:t>
      </w:r>
      <w:r w:rsidRPr="000839A4">
        <w:rPr>
          <w:strike/>
          <w:szCs w:val="24"/>
          <w:vertAlign w:val="superscript"/>
        </w:rPr>
        <w:t>20)</w:t>
      </w:r>
      <w:r w:rsidRPr="000839A4">
        <w:rPr>
          <w:strike/>
          <w:szCs w:val="24"/>
        </w:rPr>
        <w:t xml:space="preserve"> evidované u zanikající nebo rozdělované obchodní korporace ke dni předcházejícímu rozhodný den přeměny bez vlivu ocenění reálnou hodnotou,</w:t>
      </w:r>
      <w:r w:rsidRPr="000839A4">
        <w:rPr>
          <w:strike/>
          <w:szCs w:val="24"/>
          <w:vertAlign w:val="superscript"/>
        </w:rPr>
        <w:t xml:space="preserve"> </w:t>
      </w:r>
      <w:proofErr w:type="gramStart"/>
      <w:r w:rsidRPr="000839A4">
        <w:rPr>
          <w:strike/>
          <w:szCs w:val="24"/>
          <w:vertAlign w:val="superscript"/>
        </w:rPr>
        <w:t>20)</w:t>
      </w:r>
      <w:r w:rsidRPr="000839A4">
        <w:rPr>
          <w:strike/>
          <w:szCs w:val="24"/>
        </w:rPr>
        <w:t xml:space="preserve">  a to</w:t>
      </w:r>
      <w:proofErr w:type="gramEnd"/>
      <w:r w:rsidRPr="000839A4">
        <w:rPr>
          <w:strike/>
          <w:szCs w:val="24"/>
        </w:rPr>
        <w:t xml:space="preserve"> za podmínky, že bylo možné uplatňovat odpisy z tohoto nehmotného majetku u zanikající nebo rozdělované obchodní korporace podle tohoto ustanovení. U nehmotného majetku</w:t>
      </w:r>
      <w:r w:rsidRPr="000839A4">
        <w:rPr>
          <w:strike/>
          <w:szCs w:val="24"/>
          <w:vertAlign w:val="superscript"/>
        </w:rPr>
        <w:t>20)</w:t>
      </w:r>
      <w:r w:rsidRPr="000839A4">
        <w:rPr>
          <w:strike/>
          <w:szCs w:val="24"/>
        </w:rPr>
        <w:t xml:space="preserve"> vloženého poplatníkem uvedeným v § 2 odst. 3 a § 17 odst. 4 lze u nabyvatele uplatnit v úhrnu účetní odpisy jako výdaje (náklady) jen do výše úhrady prokázané vkladatelem.</w:t>
      </w:r>
      <w:r w:rsidRPr="000839A4">
        <w:rPr>
          <w:szCs w:val="24"/>
        </w:rPr>
        <w:t xml:space="preserve"> </w:t>
      </w:r>
      <w:r w:rsidRPr="000839A4">
        <w:rPr>
          <w:strike/>
          <w:szCs w:val="24"/>
        </w:rPr>
        <w:t xml:space="preserve">Toto ustanovení se nevztahuje na kladný nebo záporný rozdíl mezi oceněním obchodního závodu nabytého zejména koupí, vkladem nebo oceněním majetku a dluhů v rámci přeměn obchodních korporací, a souhrnem jeho individuálně přeceněných složek majetku sníženým o převzaté dluhy (goodwill), </w:t>
      </w:r>
    </w:p>
    <w:p w14:paraId="6DF16EF2" w14:textId="77777777" w:rsidR="000839A4" w:rsidRPr="000839A4" w:rsidRDefault="000839A4" w:rsidP="000839A4">
      <w:pPr>
        <w:tabs>
          <w:tab w:val="left" w:pos="357"/>
        </w:tabs>
        <w:spacing w:before="0"/>
        <w:ind w:left="357" w:hanging="357"/>
        <w:rPr>
          <w:strike/>
          <w:szCs w:val="24"/>
        </w:rPr>
      </w:pPr>
      <w:r w:rsidRPr="000839A4">
        <w:rPr>
          <w:strike/>
          <w:szCs w:val="24"/>
        </w:rPr>
        <w:t xml:space="preserve">w) </w:t>
      </w:r>
      <w:r w:rsidRPr="000839A4">
        <w:rPr>
          <w:b/>
          <w:strike/>
          <w:szCs w:val="24"/>
        </w:rPr>
        <w:t>v) u) t) s) n)</w:t>
      </w:r>
      <w:r w:rsidRPr="000839A4">
        <w:rPr>
          <w:strike/>
          <w:szCs w:val="24"/>
        </w:rPr>
        <w:tab/>
        <w:t>nabývací cena akcie nebo kmenového listu, které nejsou podle právních předpisů upravujících účetnictví oceňovány reálnou hodnotou, a nabývací cena podílu na společnosti s ručením omezeným nebo na komanditní společnosti anebo na družstvu, a to jen do výše příjmů z prodeje této akcie, tohoto kmenového listu nebo tohoto podílu; toto omezení se nepoužije u cenného papíru, který není podle právních předpisů upravujících účetnictví oceňován reálnou hodnotou pouze z toho důvodu, že poplatník daně z příjmů právnických osob je mikro účetní jednotkou podle právních předpisů upravujících účetnictví, nebo daňovým nerezidentem, který je povinen podle právního řádu státu, podle kterého je založen nebo zřízen, vést účetnictví, a příjem z prodeje cenného papíru není přičitatelný jeho stálé provozovně na území České republiky,</w:t>
      </w:r>
    </w:p>
    <w:p w14:paraId="623A1B2B" w14:textId="77777777" w:rsidR="000839A4" w:rsidRPr="000839A4" w:rsidRDefault="000839A4" w:rsidP="000839A4">
      <w:pPr>
        <w:tabs>
          <w:tab w:val="left" w:pos="357"/>
        </w:tabs>
        <w:spacing w:before="0"/>
        <w:ind w:left="357" w:hanging="357"/>
        <w:rPr>
          <w:szCs w:val="24"/>
        </w:rPr>
      </w:pPr>
      <w:r w:rsidRPr="000839A4">
        <w:rPr>
          <w:strike/>
          <w:szCs w:val="24"/>
        </w:rPr>
        <w:t xml:space="preserve">x) </w:t>
      </w:r>
      <w:r w:rsidRPr="000839A4">
        <w:rPr>
          <w:b/>
          <w:strike/>
          <w:szCs w:val="24"/>
        </w:rPr>
        <w:t>w) v) u) t) o)</w:t>
      </w:r>
      <w:r w:rsidRPr="000839A4">
        <w:rPr>
          <w:b/>
          <w:szCs w:val="24"/>
        </w:rPr>
        <w:t xml:space="preserve"> m)</w:t>
      </w:r>
      <w:r w:rsidRPr="000839A4">
        <w:rPr>
          <w:szCs w:val="24"/>
        </w:rPr>
        <w:tab/>
        <w:t xml:space="preserve">paušální částky hrazené zaměstnavatelem zaměstnanci podle § 6 odst. 8, </w:t>
      </w:r>
    </w:p>
    <w:p w14:paraId="6A313821" w14:textId="77777777" w:rsidR="000839A4" w:rsidRPr="000839A4" w:rsidRDefault="000839A4" w:rsidP="000839A4">
      <w:pPr>
        <w:tabs>
          <w:tab w:val="left" w:pos="357"/>
        </w:tabs>
        <w:spacing w:before="0"/>
        <w:ind w:left="357" w:hanging="357"/>
        <w:rPr>
          <w:szCs w:val="24"/>
        </w:rPr>
      </w:pPr>
      <w:r w:rsidRPr="000839A4">
        <w:rPr>
          <w:strike/>
          <w:szCs w:val="24"/>
        </w:rPr>
        <w:t xml:space="preserve">y) </w:t>
      </w:r>
      <w:r w:rsidRPr="000839A4">
        <w:rPr>
          <w:b/>
          <w:strike/>
          <w:szCs w:val="24"/>
        </w:rPr>
        <w:t>x) w) v) u) p)</w:t>
      </w:r>
      <w:r w:rsidRPr="000839A4">
        <w:rPr>
          <w:b/>
          <w:szCs w:val="24"/>
        </w:rPr>
        <w:t xml:space="preserve"> n)</w:t>
      </w:r>
      <w:r w:rsidRPr="000839A4">
        <w:rPr>
          <w:szCs w:val="24"/>
        </w:rPr>
        <w:tab/>
      </w:r>
      <w:r w:rsidRPr="000839A4">
        <w:rPr>
          <w:strike/>
          <w:szCs w:val="24"/>
        </w:rPr>
        <w:t xml:space="preserve">u poplatníků, kteří vedou účetnictví, </w:t>
      </w:r>
      <w:r w:rsidRPr="000839A4">
        <w:rPr>
          <w:strike/>
          <w:color w:val="000000" w:themeColor="text1"/>
          <w:szCs w:val="24"/>
        </w:rPr>
        <w:t>jmenovitá hodnota pohledávky</w:t>
      </w:r>
      <w:r w:rsidRPr="000839A4">
        <w:rPr>
          <w:b/>
          <w:strike/>
          <w:color w:val="000000" w:themeColor="text1"/>
          <w:szCs w:val="24"/>
        </w:rPr>
        <w:t>;</w:t>
      </w:r>
      <w:r w:rsidRPr="000839A4">
        <w:rPr>
          <w:strike/>
          <w:color w:val="000000" w:themeColor="text1"/>
          <w:szCs w:val="24"/>
        </w:rPr>
        <w:t xml:space="preserve"> nebo pořizovací cena pohledávky nabyté postoupením, vkladem a při přeměně obchodní </w:t>
      </w:r>
      <w:proofErr w:type="gramStart"/>
      <w:r w:rsidRPr="000839A4">
        <w:rPr>
          <w:strike/>
          <w:color w:val="000000" w:themeColor="text1"/>
          <w:szCs w:val="24"/>
        </w:rPr>
        <w:t>korporace,</w:t>
      </w:r>
      <w:r w:rsidRPr="000839A4">
        <w:rPr>
          <w:strike/>
          <w:color w:val="000000" w:themeColor="text1"/>
          <w:szCs w:val="24"/>
          <w:vertAlign w:val="superscript"/>
        </w:rPr>
        <w:t>131</w:t>
      </w:r>
      <w:proofErr w:type="gramEnd"/>
      <w:r w:rsidRPr="000839A4">
        <w:rPr>
          <w:strike/>
          <w:color w:val="000000" w:themeColor="text1"/>
          <w:szCs w:val="24"/>
          <w:vertAlign w:val="superscript"/>
        </w:rPr>
        <w:t>)</w:t>
      </w:r>
      <w:r w:rsidRPr="000839A4">
        <w:rPr>
          <w:strike/>
          <w:color w:val="000000" w:themeColor="text1"/>
          <w:szCs w:val="24"/>
        </w:rPr>
        <w:t xml:space="preserve">  a to za předpokladu, že lze k této pohledávce uplatňovat opravné položky podle písmene i)</w:t>
      </w:r>
      <w:r w:rsidRPr="000839A4">
        <w:rPr>
          <w:b/>
          <w:strike/>
          <w:color w:val="000000" w:themeColor="text1"/>
          <w:szCs w:val="24"/>
        </w:rPr>
        <w:t xml:space="preserve"> </w:t>
      </w:r>
      <w:r w:rsidRPr="000839A4">
        <w:rPr>
          <w:strike/>
          <w:color w:val="000000" w:themeColor="text1"/>
          <w:szCs w:val="24"/>
        </w:rPr>
        <w:t>nebo se jedná o pohledávku, ke které nelze tvořit opravnou položku podle právního předpisu upravujícího tvorbu rezerv a opravných položek pro zjištění základu dan</w:t>
      </w:r>
      <w:r w:rsidRPr="000839A4">
        <w:rPr>
          <w:strike/>
          <w:szCs w:val="24"/>
        </w:rPr>
        <w:t>ě z příjmů pouze proto, že od její splatnosti uplynulo méně než 18 měsíců a u pohledávek nabytých postoupením i v případě, že se jedná o pohledávku se jmenovitou hodnotou v okamžiku vzniku vyšší než 200 000 Kč, ohledně které nebylo zahájeno rozhodčí řízení, soudní řízení nebo správní řízení,</w:t>
      </w:r>
      <w:r w:rsidRPr="000839A4">
        <w:rPr>
          <w:szCs w:val="24"/>
        </w:rPr>
        <w:t xml:space="preserve"> </w:t>
      </w:r>
    </w:p>
    <w:p w14:paraId="7D433F53" w14:textId="77777777" w:rsidR="000839A4" w:rsidRPr="000839A4" w:rsidRDefault="000839A4" w:rsidP="000839A4">
      <w:pPr>
        <w:tabs>
          <w:tab w:val="left" w:pos="357"/>
        </w:tabs>
        <w:spacing w:before="0"/>
        <w:ind w:left="357" w:hanging="357"/>
        <w:rPr>
          <w:b/>
          <w:szCs w:val="24"/>
        </w:rPr>
      </w:pPr>
      <w:r w:rsidRPr="000839A4">
        <w:rPr>
          <w:szCs w:val="24"/>
        </w:rPr>
        <w:tab/>
      </w:r>
      <w:r w:rsidRPr="000839A4">
        <w:rPr>
          <w:b/>
          <w:szCs w:val="24"/>
        </w:rPr>
        <w:t xml:space="preserve">u poplatníků, kteří vedou účetnictví, </w:t>
      </w:r>
      <w:r w:rsidRPr="000839A4">
        <w:rPr>
          <w:b/>
          <w:color w:val="000000" w:themeColor="text1"/>
          <w:szCs w:val="24"/>
        </w:rPr>
        <w:t>daňová hodnota nedobytné daňově odepisovatelné pohledávky; daňově odepisovatelnou pohledávkou se pro účely daní z příjmů rozumí pohledávka, u níž lze uplatňovat opravné položky podle písmene e), a pohledávka, ke které nelze tvořit opravnou položku podle právního předpisu upravujícího tvorbu rezerv a opravných položek pro zjištění základu dan</w:t>
      </w:r>
      <w:r w:rsidRPr="000839A4">
        <w:rPr>
          <w:b/>
          <w:szCs w:val="24"/>
        </w:rPr>
        <w:t>ě z příjmů pouze proto, že od její splatnosti uplynulo méně než 18 měsíců a u pohledávek nabytých postoupením i v případě, že se jedná o pohledávku se jmenovitou hodnotou v okamžiku vzniku vyšší než 200 000 Kč, ohledně které nebylo zahájeno rozhodčí řízení, soudní řízení nebo správní řízení; nedobytnou pohledávkou se pro účely daní z příjmů rozumí pohledávka za dlužníkem,</w:t>
      </w:r>
    </w:p>
    <w:p w14:paraId="17E13E3A" w14:textId="77777777" w:rsidR="000839A4" w:rsidRPr="000839A4" w:rsidRDefault="000839A4" w:rsidP="000839A4">
      <w:pPr>
        <w:tabs>
          <w:tab w:val="left" w:pos="357"/>
        </w:tabs>
        <w:spacing w:before="0"/>
        <w:ind w:left="714" w:hanging="357"/>
        <w:rPr>
          <w:szCs w:val="24"/>
        </w:rPr>
      </w:pPr>
      <w:r w:rsidRPr="000839A4">
        <w:rPr>
          <w:szCs w:val="24"/>
        </w:rPr>
        <w:lastRenderedPageBreak/>
        <w:t>1.</w:t>
      </w:r>
      <w:r w:rsidRPr="000839A4">
        <w:rPr>
          <w:szCs w:val="24"/>
        </w:rPr>
        <w:tab/>
        <w:t>u něhož soud zrušil konkurs</w:t>
      </w:r>
      <w:r w:rsidRPr="000839A4">
        <w:rPr>
          <w:szCs w:val="24"/>
          <w:vertAlign w:val="superscript"/>
        </w:rPr>
        <w:footnoteReference w:customMarkFollows="1" w:id="165"/>
        <w:t>26i)</w:t>
      </w:r>
      <w:r w:rsidRPr="000839A4">
        <w:rPr>
          <w:szCs w:val="24"/>
        </w:rPr>
        <w:t xml:space="preserve"> proto, že majetek dlužníka je zcela nepostačující, a pohledávka byla poplatníkem přihlášena u insolvenčního soudu a měla být vypořádána z majetkové podstaty, </w:t>
      </w:r>
    </w:p>
    <w:p w14:paraId="371D0047" w14:textId="77777777" w:rsidR="000839A4" w:rsidRPr="000839A4" w:rsidRDefault="000839A4" w:rsidP="000839A4">
      <w:pPr>
        <w:tabs>
          <w:tab w:val="left" w:pos="357"/>
        </w:tabs>
        <w:spacing w:before="0"/>
        <w:ind w:left="714" w:hanging="357"/>
        <w:rPr>
          <w:szCs w:val="24"/>
        </w:rPr>
      </w:pPr>
      <w:r w:rsidRPr="000839A4">
        <w:rPr>
          <w:szCs w:val="24"/>
        </w:rPr>
        <w:t>2.</w:t>
      </w:r>
      <w:r w:rsidRPr="000839A4">
        <w:rPr>
          <w:szCs w:val="24"/>
        </w:rPr>
        <w:tab/>
        <w:t>který je v úpadku nebo jemuž úpadek hrozí</w:t>
      </w:r>
      <w:r w:rsidRPr="000839A4">
        <w:rPr>
          <w:szCs w:val="24"/>
          <w:vertAlign w:val="superscript"/>
        </w:rPr>
        <w:t>26i)</w:t>
      </w:r>
      <w:r w:rsidRPr="000839A4">
        <w:rPr>
          <w:szCs w:val="24"/>
        </w:rPr>
        <w:t xml:space="preserve"> na základě výsledků insolvenčního řízení, </w:t>
      </w:r>
    </w:p>
    <w:p w14:paraId="6EA06906" w14:textId="77777777" w:rsidR="000839A4" w:rsidRPr="000839A4" w:rsidRDefault="000839A4" w:rsidP="000839A4">
      <w:pPr>
        <w:tabs>
          <w:tab w:val="left" w:pos="357"/>
        </w:tabs>
        <w:spacing w:before="0"/>
        <w:ind w:left="714" w:hanging="357"/>
        <w:rPr>
          <w:szCs w:val="24"/>
        </w:rPr>
      </w:pPr>
      <w:r w:rsidRPr="000839A4">
        <w:rPr>
          <w:szCs w:val="24"/>
        </w:rPr>
        <w:t>3.</w:t>
      </w:r>
      <w:r w:rsidRPr="000839A4">
        <w:rPr>
          <w:szCs w:val="24"/>
        </w:rPr>
        <w:tab/>
        <w:t xml:space="preserve">který zemřel, a pohledávka nemohla být uspokojena ani vymáháním na dědicích dlužníka, </w:t>
      </w:r>
    </w:p>
    <w:p w14:paraId="1AEA0517" w14:textId="77777777" w:rsidR="000839A4" w:rsidRPr="000839A4" w:rsidRDefault="000839A4" w:rsidP="000839A4">
      <w:pPr>
        <w:tabs>
          <w:tab w:val="left" w:pos="357"/>
        </w:tabs>
        <w:spacing w:before="0"/>
        <w:ind w:left="714" w:hanging="357"/>
        <w:rPr>
          <w:szCs w:val="24"/>
        </w:rPr>
      </w:pPr>
      <w:r w:rsidRPr="000839A4">
        <w:rPr>
          <w:szCs w:val="24"/>
        </w:rPr>
        <w:t>4.</w:t>
      </w:r>
      <w:r w:rsidRPr="000839A4">
        <w:rPr>
          <w:szCs w:val="24"/>
        </w:rPr>
        <w:tab/>
        <w:t xml:space="preserve">který byl právnickou osobou a zanikl bez právního nástupce a věřitel nebyl s původním dlužníkem spojenou osobou (§ 23 odst. 7), </w:t>
      </w:r>
    </w:p>
    <w:p w14:paraId="1ED20B37" w14:textId="77777777" w:rsidR="000839A4" w:rsidRPr="000839A4" w:rsidRDefault="000839A4" w:rsidP="000839A4">
      <w:pPr>
        <w:tabs>
          <w:tab w:val="left" w:pos="357"/>
        </w:tabs>
        <w:spacing w:before="0"/>
        <w:ind w:left="714" w:hanging="357"/>
        <w:rPr>
          <w:szCs w:val="24"/>
        </w:rPr>
      </w:pPr>
      <w:r w:rsidRPr="000839A4">
        <w:rPr>
          <w:szCs w:val="24"/>
        </w:rPr>
        <w:t>5.</w:t>
      </w:r>
      <w:r w:rsidRPr="000839A4">
        <w:rPr>
          <w:szCs w:val="24"/>
        </w:rPr>
        <w:tab/>
        <w:t>na jehož majetek, ke kterému se daná pohledávka váže, je uplatňována veřejná dražba,</w:t>
      </w:r>
      <w:r w:rsidRPr="000839A4">
        <w:rPr>
          <w:szCs w:val="24"/>
          <w:vertAlign w:val="superscript"/>
        </w:rPr>
        <w:t xml:space="preserve"> </w:t>
      </w:r>
      <w:r w:rsidRPr="000839A4">
        <w:rPr>
          <w:szCs w:val="24"/>
          <w:vertAlign w:val="superscript"/>
        </w:rPr>
        <w:footnoteReference w:customMarkFollows="1" w:id="166"/>
        <w:t>26j)</w:t>
      </w:r>
      <w:r w:rsidRPr="000839A4">
        <w:rPr>
          <w:szCs w:val="24"/>
        </w:rPr>
        <w:t xml:space="preserve"> a to na základě výsledků této dražby, </w:t>
      </w:r>
    </w:p>
    <w:p w14:paraId="7B04F7DF" w14:textId="77777777" w:rsidR="000839A4" w:rsidRPr="000839A4" w:rsidRDefault="000839A4" w:rsidP="000839A4">
      <w:pPr>
        <w:tabs>
          <w:tab w:val="left" w:pos="357"/>
        </w:tabs>
        <w:spacing w:before="0"/>
        <w:ind w:left="714" w:hanging="357"/>
        <w:rPr>
          <w:szCs w:val="24"/>
        </w:rPr>
      </w:pPr>
      <w:r w:rsidRPr="000839A4">
        <w:rPr>
          <w:szCs w:val="24"/>
        </w:rPr>
        <w:t>6.</w:t>
      </w:r>
      <w:r w:rsidRPr="000839A4">
        <w:rPr>
          <w:szCs w:val="24"/>
        </w:rPr>
        <w:tab/>
        <w:t>jehož majetek, ke kterému se daná pohledávka váže, je postižen exekucí, a to na základě výsledků provedení této exekuce,</w:t>
      </w:r>
    </w:p>
    <w:p w14:paraId="08A61D60" w14:textId="77777777" w:rsidR="000839A4" w:rsidRPr="000839A4" w:rsidRDefault="000839A4" w:rsidP="000839A4">
      <w:pPr>
        <w:tabs>
          <w:tab w:val="left" w:pos="357"/>
        </w:tabs>
        <w:spacing w:before="0"/>
        <w:ind w:left="714" w:hanging="357"/>
        <w:rPr>
          <w:bCs/>
          <w:noProof/>
          <w:szCs w:val="24"/>
        </w:rPr>
      </w:pPr>
      <w:r w:rsidRPr="000839A4">
        <w:rPr>
          <w:bCs/>
          <w:noProof/>
          <w:szCs w:val="24"/>
        </w:rPr>
        <w:t xml:space="preserve">7. </w:t>
      </w:r>
      <w:r w:rsidRPr="000839A4">
        <w:rPr>
          <w:szCs w:val="24"/>
        </w:rPr>
        <w:t>který</w:t>
      </w:r>
      <w:r w:rsidRPr="000839A4">
        <w:rPr>
          <w:bCs/>
          <w:noProof/>
          <w:szCs w:val="24"/>
        </w:rPr>
        <w:t xml:space="preserve"> je v preventivní restrukturalizaci, pokud je pohledávka přímo dotčena restrukturalizačním plánem a zanikla prominutím dluhu podle účinného restrukturalizačního plánu.</w:t>
      </w:r>
    </w:p>
    <w:p w14:paraId="67C1ACFC" w14:textId="77777777" w:rsidR="000839A4" w:rsidRPr="000839A4" w:rsidRDefault="000839A4" w:rsidP="000839A4">
      <w:pPr>
        <w:tabs>
          <w:tab w:val="left" w:pos="851"/>
        </w:tabs>
        <w:spacing w:before="120" w:after="120"/>
        <w:ind w:firstLine="427"/>
        <w:outlineLvl w:val="6"/>
      </w:pPr>
      <w:r w:rsidRPr="000839A4">
        <w:t>Obdobně to platí pro pohledávku nebo její část, a to do výše kryté použitím rezervy nebo opravné položky vytvořené podle zvláštního zákona,</w:t>
      </w:r>
      <w:r w:rsidRPr="000839A4">
        <w:rPr>
          <w:vertAlign w:val="superscript"/>
        </w:rPr>
        <w:t xml:space="preserve"> 22a)</w:t>
      </w:r>
      <w:r w:rsidRPr="000839A4">
        <w:t xml:space="preserve"> nebo která vznikla podle zákona č. 499/1990 Sb., o přepočtu devizových aktiv a pasiv v oblasti zahraničních pohledávek a závazků organizací v souvislosti s kursovými opatřeními. </w:t>
      </w:r>
      <w:r w:rsidRPr="000839A4">
        <w:rPr>
          <w:strike/>
        </w:rPr>
        <w:t>Neuhrazenou část pohledávky za dlužníkem se sídlem nebo bydlištěm v zahraničí, která byla předmětem přepočtu podle zákona č. 499/1990 Sb., vznikla do konce roku 1990 a u níž termín splatnosti nastal do konce roku 1994, sníženou o uplatněný odpis pohledávky,</w:t>
      </w:r>
      <w:r w:rsidRPr="000839A4">
        <w:rPr>
          <w:strike/>
          <w:vertAlign w:val="superscript"/>
        </w:rPr>
        <w:footnoteReference w:customMarkFollows="1" w:id="167"/>
        <w:t xml:space="preserve">22b) </w:t>
      </w:r>
      <w:r w:rsidRPr="000839A4">
        <w:rPr>
          <w:strike/>
        </w:rPr>
        <w:t>lze uplatnit jako výdaj (náklad) na dosažení, zajištění a udržení příjmů buď jednorázově, nebo postupně s výjimkou pohledávek, které byly nabyty postoupením nebo vkladem. Neuhrazenou část pohledávky za dlužníkem se sídlem nebo bydlištěm v zahraničí, která nebyla předmětem přepočtu podle zákona č. 499/1990 Sb., nebo nepodléhala ustanovení tohoto odstavce, avšak podléhala režimu financování vývozu v rámci dokončení pohledávek na vládní úvěry podle přílohy č. 2 usnesení vlády České a Slovenské Federativní Republiky č. 192/1991 lze uplatnit jako výdaj (náklad) na dosažení, zajištění a udržení příjmů buď jednorázově, nebo postupně, s výjimkou pohledávek, které byly nabyty postoupením nebo vkladem. Toto ustanovení se nepoužije, pokud účetní hodnota pohledávky nebo pořizovací cena pohledávky nabyté postoupením byla již odepsána na vrub výsledku hospodaření. U poplatníků, kteří přešli z vedení daňové evidence na vedení účetnictví, se postupuje obdobně,</w:t>
      </w:r>
      <w:r w:rsidRPr="000839A4">
        <w:t xml:space="preserve"> </w:t>
      </w:r>
    </w:p>
    <w:p w14:paraId="0C1639D5" w14:textId="77777777" w:rsidR="000839A4" w:rsidRPr="000839A4" w:rsidRDefault="000839A4" w:rsidP="000839A4">
      <w:pPr>
        <w:tabs>
          <w:tab w:val="left" w:pos="357"/>
        </w:tabs>
        <w:spacing w:before="0"/>
        <w:ind w:left="357" w:hanging="357"/>
        <w:rPr>
          <w:szCs w:val="24"/>
        </w:rPr>
      </w:pPr>
      <w:r w:rsidRPr="000839A4">
        <w:rPr>
          <w:strike/>
          <w:szCs w:val="24"/>
        </w:rPr>
        <w:t xml:space="preserve">z) </w:t>
      </w:r>
      <w:r w:rsidRPr="000839A4">
        <w:rPr>
          <w:b/>
          <w:strike/>
          <w:szCs w:val="24"/>
        </w:rPr>
        <w:t>y) x) w) v) q)</w:t>
      </w:r>
      <w:r w:rsidRPr="000839A4">
        <w:rPr>
          <w:b/>
          <w:szCs w:val="24"/>
        </w:rPr>
        <w:t xml:space="preserve"> o)</w:t>
      </w:r>
      <w:r w:rsidRPr="000839A4">
        <w:rPr>
          <w:szCs w:val="24"/>
        </w:rPr>
        <w:tab/>
        <w:t xml:space="preserve">majetek, s výjimkou </w:t>
      </w:r>
      <w:r w:rsidRPr="000839A4">
        <w:rPr>
          <w:strike/>
          <w:szCs w:val="24"/>
        </w:rPr>
        <w:t>hmotného majetku podle § 26 odst. 2</w:t>
      </w:r>
      <w:r w:rsidRPr="000839A4">
        <w:rPr>
          <w:szCs w:val="24"/>
        </w:rPr>
        <w:t xml:space="preserve"> </w:t>
      </w:r>
      <w:r w:rsidRPr="000839A4">
        <w:rPr>
          <w:b/>
          <w:szCs w:val="24"/>
        </w:rPr>
        <w:t>daňově</w:t>
      </w:r>
      <w:r w:rsidRPr="000839A4">
        <w:rPr>
          <w:szCs w:val="24"/>
        </w:rPr>
        <w:t xml:space="preserve"> </w:t>
      </w:r>
      <w:r w:rsidRPr="000839A4">
        <w:rPr>
          <w:b/>
          <w:szCs w:val="24"/>
        </w:rPr>
        <w:t>odpisovaných aktiv</w:t>
      </w:r>
      <w:r w:rsidRPr="000839A4">
        <w:rPr>
          <w:szCs w:val="24"/>
        </w:rPr>
        <w:t xml:space="preserve">, dále poskytnuté služby a zásoby, pokud jsou vydány jako plnění restitučních nároků nebo majetkových podílů na transformaci družstev podle zvláštních </w:t>
      </w:r>
      <w:proofErr w:type="gramStart"/>
      <w:r w:rsidRPr="000839A4">
        <w:rPr>
          <w:szCs w:val="24"/>
        </w:rPr>
        <w:t>předpisů,</w:t>
      </w:r>
      <w:r w:rsidRPr="000839A4">
        <w:rPr>
          <w:szCs w:val="24"/>
          <w:vertAlign w:val="superscript"/>
        </w:rPr>
        <w:t>2)</w:t>
      </w:r>
      <w:r w:rsidRPr="000839A4">
        <w:rPr>
          <w:szCs w:val="24"/>
        </w:rPr>
        <w:t xml:space="preserve"> vypořádacího</w:t>
      </w:r>
      <w:proofErr w:type="gramEnd"/>
      <w:r w:rsidRPr="000839A4">
        <w:rPr>
          <w:szCs w:val="24"/>
        </w:rPr>
        <w:t xml:space="preserve"> podílu na majetku družstva nebo likvidačního zůstatku v případě likvidace družstva a použity k podnikání. Pro stanovení základu daně se výdaje uplatní v hodnotě, ve které byl majetek nebo zásoba vydána nebo služba poskytnuta, </w:t>
      </w:r>
    </w:p>
    <w:p w14:paraId="4BB564A3" w14:textId="77777777" w:rsidR="000839A4" w:rsidRPr="000839A4" w:rsidRDefault="000839A4" w:rsidP="000839A4">
      <w:pPr>
        <w:tabs>
          <w:tab w:val="left" w:pos="357"/>
        </w:tabs>
        <w:spacing w:before="0"/>
        <w:ind w:left="357" w:hanging="357"/>
        <w:rPr>
          <w:szCs w:val="24"/>
        </w:rPr>
      </w:pPr>
      <w:r w:rsidRPr="000839A4">
        <w:rPr>
          <w:strike/>
          <w:szCs w:val="24"/>
        </w:rPr>
        <w:t xml:space="preserve">za) </w:t>
      </w:r>
      <w:r w:rsidRPr="000839A4">
        <w:rPr>
          <w:b/>
          <w:strike/>
          <w:szCs w:val="24"/>
        </w:rPr>
        <w:t>z) y) x) w) r)</w:t>
      </w:r>
      <w:r w:rsidRPr="000839A4">
        <w:rPr>
          <w:b/>
          <w:szCs w:val="24"/>
        </w:rPr>
        <w:t xml:space="preserve"> p)</w:t>
      </w:r>
      <w:r w:rsidRPr="000839A4">
        <w:rPr>
          <w:szCs w:val="24"/>
        </w:rPr>
        <w:tab/>
        <w:t xml:space="preserve">náhrada za uvolnění bytu nebo jednotky, která nezahrnuje nebytový prostor jiný než garáž, sklep nebo komoru, poskytnutá jejím vlastníkem, pokud začne být vlastníkem do 2 let od uvolnění využívána pro činnost, ze které plyne příjem ze samostatné činnosti, nebo nájem a bude takto využívána nejméně po dobu 2 let; za porušení podmínek se nepovažuje prodej jednotky, </w:t>
      </w:r>
    </w:p>
    <w:p w14:paraId="08E2AD44" w14:textId="77777777" w:rsidR="000839A4" w:rsidRPr="000839A4" w:rsidRDefault="000839A4" w:rsidP="000839A4">
      <w:pPr>
        <w:tabs>
          <w:tab w:val="left" w:pos="357"/>
        </w:tabs>
        <w:spacing w:before="0"/>
        <w:ind w:left="357" w:hanging="357"/>
        <w:rPr>
          <w:strike/>
          <w:szCs w:val="24"/>
        </w:rPr>
      </w:pPr>
      <w:proofErr w:type="spellStart"/>
      <w:r w:rsidRPr="000839A4">
        <w:rPr>
          <w:strike/>
          <w:szCs w:val="24"/>
        </w:rPr>
        <w:lastRenderedPageBreak/>
        <w:t>zb</w:t>
      </w:r>
      <w:proofErr w:type="spellEnd"/>
      <w:r w:rsidRPr="000839A4">
        <w:rPr>
          <w:strike/>
          <w:szCs w:val="24"/>
        </w:rPr>
        <w:t xml:space="preserve">) </w:t>
      </w:r>
      <w:r w:rsidRPr="000839A4">
        <w:rPr>
          <w:b/>
          <w:strike/>
          <w:szCs w:val="24"/>
        </w:rPr>
        <w:t>za) z) y) x) s) q)</w:t>
      </w:r>
      <w:r w:rsidRPr="000839A4">
        <w:rPr>
          <w:strike/>
          <w:szCs w:val="24"/>
        </w:rPr>
        <w:tab/>
        <w:t xml:space="preserve">výdaje (náklady) na dokončenou nástavbu, přístavbu a stavební úpravy, rekonstrukci a modernizaci jednotlivého majetku, které nejsou technickým zhodnocením podle § 33 odst. 1, </w:t>
      </w:r>
    </w:p>
    <w:p w14:paraId="7B1DBA54" w14:textId="77777777" w:rsidR="000839A4" w:rsidRPr="000839A4" w:rsidRDefault="000839A4" w:rsidP="000839A4">
      <w:pPr>
        <w:tabs>
          <w:tab w:val="left" w:pos="357"/>
        </w:tabs>
        <w:spacing w:before="0"/>
        <w:ind w:left="357" w:hanging="357"/>
        <w:rPr>
          <w:szCs w:val="24"/>
        </w:rPr>
      </w:pPr>
      <w:proofErr w:type="spellStart"/>
      <w:r w:rsidRPr="000839A4">
        <w:rPr>
          <w:strike/>
          <w:szCs w:val="24"/>
        </w:rPr>
        <w:t>zc</w:t>
      </w:r>
      <w:proofErr w:type="spellEnd"/>
      <w:r w:rsidRPr="000839A4">
        <w:rPr>
          <w:strike/>
          <w:szCs w:val="24"/>
        </w:rPr>
        <w:t xml:space="preserve">) </w:t>
      </w:r>
      <w:proofErr w:type="spellStart"/>
      <w:r w:rsidRPr="000839A4">
        <w:rPr>
          <w:b/>
          <w:strike/>
          <w:szCs w:val="24"/>
        </w:rPr>
        <w:t>zb</w:t>
      </w:r>
      <w:proofErr w:type="spellEnd"/>
      <w:r w:rsidRPr="000839A4">
        <w:rPr>
          <w:b/>
          <w:strike/>
          <w:szCs w:val="24"/>
        </w:rPr>
        <w:t>) za) z) y) t) r)</w:t>
      </w:r>
      <w:r w:rsidRPr="000839A4">
        <w:rPr>
          <w:b/>
          <w:szCs w:val="24"/>
        </w:rPr>
        <w:t xml:space="preserve"> q)</w:t>
      </w:r>
      <w:r w:rsidRPr="000839A4">
        <w:rPr>
          <w:szCs w:val="24"/>
        </w:rPr>
        <w:tab/>
        <w:t xml:space="preserve">výdaje (náklady), které nejsou výdaji (náklady) na dosažení, zajištění a udržení příjmů a jsou poplatníkem zcela nebo zčásti určeny k přeúčtování jiné osobě nebo je tato osoba povinna je uhradit na základě závazku nebo jiného právního předpisu, a to jen do výše příjmů (výnosů) z tohoto přeúčtování nebo předpisu úhrady za podmínky, že tyto příjmy (výnosy) ovlivnily výsledek hospodaření ve stejném zdaňovacím období nebo ve zdaňovacích obdobích předcházejících; obdobně </w:t>
      </w:r>
      <w:r w:rsidRPr="000839A4">
        <w:rPr>
          <w:strike/>
          <w:szCs w:val="24"/>
        </w:rPr>
        <w:t>postupují poplatníci</w:t>
      </w:r>
      <w:r w:rsidRPr="000839A4">
        <w:rPr>
          <w:szCs w:val="24"/>
        </w:rPr>
        <w:t xml:space="preserve"> </w:t>
      </w:r>
      <w:r w:rsidRPr="000839A4">
        <w:rPr>
          <w:strike/>
          <w:szCs w:val="24"/>
        </w:rPr>
        <w:t xml:space="preserve">daně z příjmů fyzických osob, kteří </w:t>
      </w:r>
      <w:proofErr w:type="gramStart"/>
      <w:r w:rsidRPr="000839A4">
        <w:rPr>
          <w:strike/>
          <w:szCs w:val="24"/>
        </w:rPr>
        <w:t>nevedou</w:t>
      </w:r>
      <w:proofErr w:type="gramEnd"/>
      <w:r w:rsidRPr="000839A4">
        <w:rPr>
          <w:strike/>
          <w:szCs w:val="24"/>
        </w:rPr>
        <w:t xml:space="preserve"> účetnictví</w:t>
      </w:r>
      <w:r w:rsidRPr="000839A4">
        <w:rPr>
          <w:szCs w:val="24"/>
        </w:rPr>
        <w:t xml:space="preserve"> </w:t>
      </w:r>
      <w:proofErr w:type="gramStart"/>
      <w:r w:rsidRPr="000839A4">
        <w:rPr>
          <w:b/>
          <w:szCs w:val="24"/>
        </w:rPr>
        <w:t>postupuje</w:t>
      </w:r>
      <w:proofErr w:type="gramEnd"/>
      <w:r w:rsidRPr="000839A4">
        <w:rPr>
          <w:b/>
          <w:szCs w:val="24"/>
        </w:rPr>
        <w:t xml:space="preserve"> poplatník s hotovostním základem daně</w:t>
      </w:r>
      <w:r w:rsidRPr="000839A4">
        <w:rPr>
          <w:szCs w:val="24"/>
        </w:rPr>
        <w:t>,</w:t>
      </w:r>
    </w:p>
    <w:p w14:paraId="3E82244C" w14:textId="77777777" w:rsidR="000839A4" w:rsidRPr="000839A4" w:rsidRDefault="000839A4" w:rsidP="000839A4">
      <w:pPr>
        <w:tabs>
          <w:tab w:val="left" w:pos="357"/>
        </w:tabs>
        <w:spacing w:before="0"/>
        <w:ind w:left="357" w:hanging="357"/>
        <w:rPr>
          <w:szCs w:val="24"/>
        </w:rPr>
      </w:pPr>
      <w:proofErr w:type="spellStart"/>
      <w:r w:rsidRPr="000839A4">
        <w:rPr>
          <w:strike/>
          <w:szCs w:val="24"/>
        </w:rPr>
        <w:t>zd</w:t>
      </w:r>
      <w:proofErr w:type="spellEnd"/>
      <w:r w:rsidRPr="000839A4">
        <w:rPr>
          <w:strike/>
          <w:szCs w:val="24"/>
        </w:rPr>
        <w:t xml:space="preserve">) </w:t>
      </w:r>
      <w:proofErr w:type="spellStart"/>
      <w:r w:rsidRPr="000839A4">
        <w:rPr>
          <w:b/>
          <w:strike/>
          <w:szCs w:val="24"/>
        </w:rPr>
        <w:t>zc</w:t>
      </w:r>
      <w:proofErr w:type="spellEnd"/>
      <w:r w:rsidRPr="000839A4">
        <w:rPr>
          <w:b/>
          <w:strike/>
          <w:szCs w:val="24"/>
        </w:rPr>
        <w:t xml:space="preserve">) </w:t>
      </w:r>
      <w:proofErr w:type="spellStart"/>
      <w:r w:rsidRPr="000839A4">
        <w:rPr>
          <w:b/>
          <w:strike/>
          <w:szCs w:val="24"/>
        </w:rPr>
        <w:t>zb</w:t>
      </w:r>
      <w:proofErr w:type="spellEnd"/>
      <w:r w:rsidRPr="000839A4">
        <w:rPr>
          <w:b/>
          <w:strike/>
          <w:szCs w:val="24"/>
        </w:rPr>
        <w:t>) za) z) u) s)</w:t>
      </w:r>
      <w:r w:rsidRPr="000839A4">
        <w:rPr>
          <w:b/>
          <w:szCs w:val="24"/>
        </w:rPr>
        <w:t xml:space="preserve"> r)</w:t>
      </w:r>
      <w:r w:rsidRPr="000839A4">
        <w:rPr>
          <w:szCs w:val="24"/>
        </w:rPr>
        <w:tab/>
        <w:t xml:space="preserve">výdaje (náklady) na pořízení karet, jejichž vlastnictví zakládá nárok na slevy z cen zboží a služeb souvisejících s předmětem činnosti poplatníka, případně je spojené s reklamou jeho činnosti, a to u fyzických osob s příjmy podle § 7 a u poplatníků uvedených v § 17. Pokud jsou tyto karty použitelné i pro osobní potřebu poplatníka, popř. jiných osob nebo pro poskytování slev na výdaje (náklady) uvedené v § 25, lze uplatnit výdaje (náklady) na pořízení karty pouze v poloviční výši, </w:t>
      </w:r>
    </w:p>
    <w:p w14:paraId="21B75426" w14:textId="77777777" w:rsidR="000839A4" w:rsidRPr="000839A4" w:rsidRDefault="000839A4" w:rsidP="000839A4">
      <w:pPr>
        <w:tabs>
          <w:tab w:val="left" w:pos="357"/>
        </w:tabs>
        <w:spacing w:before="0"/>
        <w:ind w:left="357" w:hanging="357"/>
        <w:rPr>
          <w:strike/>
          <w:szCs w:val="24"/>
        </w:rPr>
      </w:pPr>
      <w:proofErr w:type="gramStart"/>
      <w:r w:rsidRPr="000839A4">
        <w:rPr>
          <w:strike/>
          <w:szCs w:val="24"/>
        </w:rPr>
        <w:t>ze</w:t>
      </w:r>
      <w:proofErr w:type="gramEnd"/>
      <w:r w:rsidRPr="000839A4">
        <w:rPr>
          <w:strike/>
          <w:szCs w:val="24"/>
        </w:rPr>
        <w:t xml:space="preserve">) </w:t>
      </w:r>
      <w:proofErr w:type="spellStart"/>
      <w:r w:rsidRPr="000839A4">
        <w:rPr>
          <w:b/>
          <w:strike/>
          <w:szCs w:val="24"/>
        </w:rPr>
        <w:t>zd</w:t>
      </w:r>
      <w:proofErr w:type="spellEnd"/>
      <w:r w:rsidRPr="000839A4">
        <w:rPr>
          <w:b/>
          <w:strike/>
          <w:szCs w:val="24"/>
        </w:rPr>
        <w:t xml:space="preserve">) </w:t>
      </w:r>
      <w:proofErr w:type="spellStart"/>
      <w:r w:rsidRPr="000839A4">
        <w:rPr>
          <w:b/>
          <w:strike/>
          <w:szCs w:val="24"/>
        </w:rPr>
        <w:t>zc</w:t>
      </w:r>
      <w:proofErr w:type="spellEnd"/>
      <w:r w:rsidRPr="000839A4">
        <w:rPr>
          <w:b/>
          <w:strike/>
          <w:szCs w:val="24"/>
        </w:rPr>
        <w:t xml:space="preserve">) </w:t>
      </w:r>
      <w:proofErr w:type="spellStart"/>
      <w:r w:rsidRPr="000839A4">
        <w:rPr>
          <w:b/>
          <w:strike/>
          <w:szCs w:val="24"/>
        </w:rPr>
        <w:t>zb</w:t>
      </w:r>
      <w:proofErr w:type="spellEnd"/>
      <w:r w:rsidRPr="000839A4">
        <w:rPr>
          <w:b/>
          <w:strike/>
          <w:szCs w:val="24"/>
        </w:rPr>
        <w:t>) za) v) t) s)</w:t>
      </w:r>
      <w:r w:rsidRPr="000839A4">
        <w:rPr>
          <w:strike/>
          <w:szCs w:val="24"/>
        </w:rPr>
        <w:tab/>
        <w:t xml:space="preserve">pořizovací cena směnky při prodeji, a to jen do výše příjmů z jejího prodeje, </w:t>
      </w:r>
    </w:p>
    <w:p w14:paraId="1123F5CC" w14:textId="77777777" w:rsidR="000839A4" w:rsidRPr="000839A4" w:rsidRDefault="000839A4" w:rsidP="000839A4">
      <w:pPr>
        <w:tabs>
          <w:tab w:val="left" w:pos="357"/>
        </w:tabs>
        <w:spacing w:before="0"/>
        <w:ind w:left="357" w:hanging="357"/>
        <w:rPr>
          <w:strike/>
          <w:szCs w:val="24"/>
        </w:rPr>
      </w:pPr>
      <w:proofErr w:type="spellStart"/>
      <w:r w:rsidRPr="000839A4">
        <w:rPr>
          <w:strike/>
          <w:szCs w:val="24"/>
        </w:rPr>
        <w:t>zf</w:t>
      </w:r>
      <w:proofErr w:type="spellEnd"/>
      <w:r w:rsidRPr="000839A4">
        <w:rPr>
          <w:strike/>
          <w:szCs w:val="24"/>
        </w:rPr>
        <w:t xml:space="preserve">) </w:t>
      </w:r>
      <w:r w:rsidRPr="000839A4">
        <w:rPr>
          <w:b/>
          <w:strike/>
          <w:szCs w:val="24"/>
        </w:rPr>
        <w:t xml:space="preserve">ze) </w:t>
      </w:r>
      <w:proofErr w:type="spellStart"/>
      <w:r w:rsidRPr="000839A4">
        <w:rPr>
          <w:b/>
          <w:strike/>
          <w:szCs w:val="24"/>
        </w:rPr>
        <w:t>zd</w:t>
      </w:r>
      <w:proofErr w:type="spellEnd"/>
      <w:r w:rsidRPr="000839A4">
        <w:rPr>
          <w:b/>
          <w:strike/>
          <w:szCs w:val="24"/>
        </w:rPr>
        <w:t xml:space="preserve">) </w:t>
      </w:r>
      <w:proofErr w:type="spellStart"/>
      <w:r w:rsidRPr="000839A4">
        <w:rPr>
          <w:b/>
          <w:strike/>
          <w:szCs w:val="24"/>
        </w:rPr>
        <w:t>zc</w:t>
      </w:r>
      <w:proofErr w:type="spellEnd"/>
      <w:r w:rsidRPr="000839A4">
        <w:rPr>
          <w:b/>
          <w:strike/>
          <w:szCs w:val="24"/>
        </w:rPr>
        <w:t xml:space="preserve">) </w:t>
      </w:r>
      <w:proofErr w:type="spellStart"/>
      <w:r w:rsidRPr="000839A4">
        <w:rPr>
          <w:b/>
          <w:strike/>
          <w:szCs w:val="24"/>
        </w:rPr>
        <w:t>zb</w:t>
      </w:r>
      <w:proofErr w:type="spellEnd"/>
      <w:r w:rsidRPr="000839A4">
        <w:rPr>
          <w:b/>
          <w:strike/>
          <w:szCs w:val="24"/>
        </w:rPr>
        <w:t>) w) u) t)</w:t>
      </w:r>
      <w:r w:rsidRPr="000839A4">
        <w:rPr>
          <w:strike/>
          <w:szCs w:val="24"/>
        </w:rPr>
        <w:tab/>
        <w:t xml:space="preserve">výdaje (náklady) vynaložené po 1. lednu 1997 na restaurování uměleckého díla, a to jen do výše příjmu z jeho prodeje, sníženého o pořizovací cenu tohoto uměleckého díla, </w:t>
      </w:r>
    </w:p>
    <w:p w14:paraId="2B994B3B" w14:textId="77777777" w:rsidR="000839A4" w:rsidRPr="000839A4" w:rsidRDefault="000839A4" w:rsidP="000839A4">
      <w:pPr>
        <w:tabs>
          <w:tab w:val="left" w:pos="357"/>
        </w:tabs>
        <w:spacing w:before="0"/>
        <w:ind w:left="357" w:hanging="357"/>
        <w:rPr>
          <w:szCs w:val="24"/>
        </w:rPr>
      </w:pPr>
      <w:proofErr w:type="spellStart"/>
      <w:r w:rsidRPr="000839A4">
        <w:rPr>
          <w:strike/>
          <w:szCs w:val="24"/>
        </w:rPr>
        <w:t>zg</w:t>
      </w:r>
      <w:proofErr w:type="spellEnd"/>
      <w:r w:rsidRPr="000839A4">
        <w:rPr>
          <w:strike/>
          <w:szCs w:val="24"/>
        </w:rPr>
        <w:t xml:space="preserve">) </w:t>
      </w:r>
      <w:proofErr w:type="spellStart"/>
      <w:r w:rsidRPr="000839A4">
        <w:rPr>
          <w:b/>
          <w:strike/>
          <w:szCs w:val="24"/>
        </w:rPr>
        <w:t>zf</w:t>
      </w:r>
      <w:proofErr w:type="spellEnd"/>
      <w:r w:rsidRPr="000839A4">
        <w:rPr>
          <w:b/>
          <w:strike/>
          <w:szCs w:val="24"/>
        </w:rPr>
        <w:t xml:space="preserve">) ze) </w:t>
      </w:r>
      <w:proofErr w:type="spellStart"/>
      <w:r w:rsidRPr="000839A4">
        <w:rPr>
          <w:b/>
          <w:strike/>
          <w:szCs w:val="24"/>
        </w:rPr>
        <w:t>zd</w:t>
      </w:r>
      <w:proofErr w:type="spellEnd"/>
      <w:r w:rsidRPr="000839A4">
        <w:rPr>
          <w:b/>
          <w:strike/>
          <w:szCs w:val="24"/>
        </w:rPr>
        <w:t xml:space="preserve">) </w:t>
      </w:r>
      <w:proofErr w:type="spellStart"/>
      <w:r w:rsidRPr="000839A4">
        <w:rPr>
          <w:b/>
          <w:strike/>
          <w:szCs w:val="24"/>
        </w:rPr>
        <w:t>zc</w:t>
      </w:r>
      <w:proofErr w:type="spellEnd"/>
      <w:r w:rsidRPr="000839A4">
        <w:rPr>
          <w:b/>
          <w:strike/>
          <w:szCs w:val="24"/>
        </w:rPr>
        <w:t>) x) v) u)</w:t>
      </w:r>
      <w:r w:rsidRPr="000839A4">
        <w:rPr>
          <w:b/>
          <w:szCs w:val="24"/>
        </w:rPr>
        <w:t xml:space="preserve"> s)</w:t>
      </w:r>
      <w:r w:rsidRPr="000839A4">
        <w:rPr>
          <w:szCs w:val="24"/>
        </w:rPr>
        <w:tab/>
        <w:t>výdaje (náklady) vzniklé v důsledku prokazatelně provedené likvidace zásob materiálu, zboží, nedokončené výroby, polotovarů a hotových výrobků; u léků, léčiv či potravinářských výrobků pouze, pokud je nelze dle zvláštních právních předpisů uvádět dále do oběhu</w:t>
      </w:r>
      <w:r w:rsidRPr="000839A4">
        <w:rPr>
          <w:szCs w:val="24"/>
          <w:vertAlign w:val="superscript"/>
        </w:rPr>
        <w:footnoteReference w:customMarkFollows="1" w:id="168"/>
        <w:t>128)128)</w:t>
      </w:r>
      <w:r w:rsidRPr="000839A4">
        <w:rPr>
          <w:szCs w:val="24"/>
        </w:rPr>
        <w:t xml:space="preserve">. K prokázání likvidace je poplatník povinen vypracovat protokol, kde uvede důvody likvidace, způsob, čas a místo provedení likvidace, specifikaci předmětů likvidace a způsob naložení se zlikvidovanými předměty, a dále uvede pracovníky zodpovědné za provedení likvidace, </w:t>
      </w:r>
    </w:p>
    <w:p w14:paraId="32E7F226" w14:textId="77777777" w:rsidR="000839A4" w:rsidRPr="000839A4" w:rsidRDefault="000839A4" w:rsidP="000839A4">
      <w:pPr>
        <w:tabs>
          <w:tab w:val="left" w:pos="357"/>
        </w:tabs>
        <w:spacing w:before="0"/>
        <w:ind w:left="357" w:hanging="357"/>
        <w:rPr>
          <w:szCs w:val="24"/>
        </w:rPr>
      </w:pPr>
      <w:proofErr w:type="spellStart"/>
      <w:r w:rsidRPr="000839A4">
        <w:rPr>
          <w:strike/>
          <w:szCs w:val="24"/>
        </w:rPr>
        <w:t>zh</w:t>
      </w:r>
      <w:proofErr w:type="spellEnd"/>
      <w:r w:rsidRPr="000839A4">
        <w:rPr>
          <w:strike/>
          <w:szCs w:val="24"/>
        </w:rPr>
        <w:t xml:space="preserve">) </w:t>
      </w:r>
      <w:proofErr w:type="spellStart"/>
      <w:r w:rsidRPr="000839A4">
        <w:rPr>
          <w:b/>
          <w:strike/>
          <w:szCs w:val="24"/>
        </w:rPr>
        <w:t>zg</w:t>
      </w:r>
      <w:proofErr w:type="spellEnd"/>
      <w:r w:rsidRPr="000839A4">
        <w:rPr>
          <w:b/>
          <w:strike/>
          <w:szCs w:val="24"/>
        </w:rPr>
        <w:t xml:space="preserve">) </w:t>
      </w:r>
      <w:proofErr w:type="spellStart"/>
      <w:r w:rsidRPr="000839A4">
        <w:rPr>
          <w:b/>
          <w:strike/>
          <w:szCs w:val="24"/>
        </w:rPr>
        <w:t>zf</w:t>
      </w:r>
      <w:proofErr w:type="spellEnd"/>
      <w:r w:rsidRPr="000839A4">
        <w:rPr>
          <w:b/>
          <w:strike/>
          <w:szCs w:val="24"/>
        </w:rPr>
        <w:t xml:space="preserve">) ze) </w:t>
      </w:r>
      <w:proofErr w:type="spellStart"/>
      <w:r w:rsidRPr="000839A4">
        <w:rPr>
          <w:b/>
          <w:strike/>
          <w:szCs w:val="24"/>
        </w:rPr>
        <w:t>zd</w:t>
      </w:r>
      <w:proofErr w:type="spellEnd"/>
      <w:r w:rsidRPr="000839A4">
        <w:rPr>
          <w:b/>
          <w:strike/>
          <w:szCs w:val="24"/>
        </w:rPr>
        <w:t>) y) w) v)</w:t>
      </w:r>
      <w:r w:rsidRPr="000839A4">
        <w:rPr>
          <w:b/>
          <w:szCs w:val="24"/>
        </w:rPr>
        <w:t xml:space="preserve"> t)</w:t>
      </w:r>
      <w:r w:rsidRPr="000839A4">
        <w:rPr>
          <w:szCs w:val="24"/>
        </w:rPr>
        <w:tab/>
        <w:t>náhrady cestovních výdajů do výše stanovené zvláštním právním předpisem</w:t>
      </w:r>
      <w:r w:rsidRPr="000839A4">
        <w:rPr>
          <w:szCs w:val="24"/>
          <w:vertAlign w:val="superscript"/>
        </w:rPr>
        <w:t>5)</w:t>
      </w:r>
      <w:r w:rsidRPr="000839A4">
        <w:rPr>
          <w:szCs w:val="24"/>
        </w:rPr>
        <w:t xml:space="preserve">, </w:t>
      </w:r>
    </w:p>
    <w:p w14:paraId="07415BDF" w14:textId="77777777" w:rsidR="000839A4" w:rsidRPr="000839A4" w:rsidRDefault="000839A4" w:rsidP="000839A4">
      <w:pPr>
        <w:tabs>
          <w:tab w:val="left" w:pos="357"/>
        </w:tabs>
        <w:spacing w:before="0"/>
        <w:ind w:left="357" w:hanging="357"/>
        <w:rPr>
          <w:strike/>
          <w:szCs w:val="24"/>
        </w:rPr>
      </w:pPr>
      <w:proofErr w:type="spellStart"/>
      <w:r w:rsidRPr="000839A4">
        <w:rPr>
          <w:strike/>
          <w:szCs w:val="24"/>
        </w:rPr>
        <w:t>zi</w:t>
      </w:r>
      <w:proofErr w:type="spellEnd"/>
      <w:r w:rsidRPr="000839A4">
        <w:rPr>
          <w:strike/>
          <w:szCs w:val="24"/>
        </w:rPr>
        <w:t xml:space="preserve">) </w:t>
      </w:r>
      <w:proofErr w:type="spellStart"/>
      <w:r w:rsidRPr="000839A4">
        <w:rPr>
          <w:b/>
          <w:strike/>
          <w:szCs w:val="24"/>
        </w:rPr>
        <w:t>zh</w:t>
      </w:r>
      <w:proofErr w:type="spellEnd"/>
      <w:r w:rsidRPr="000839A4">
        <w:rPr>
          <w:b/>
          <w:strike/>
          <w:szCs w:val="24"/>
        </w:rPr>
        <w:t xml:space="preserve">) </w:t>
      </w:r>
      <w:proofErr w:type="spellStart"/>
      <w:r w:rsidRPr="000839A4">
        <w:rPr>
          <w:b/>
          <w:strike/>
          <w:szCs w:val="24"/>
        </w:rPr>
        <w:t>zg</w:t>
      </w:r>
      <w:proofErr w:type="spellEnd"/>
      <w:r w:rsidRPr="000839A4">
        <w:rPr>
          <w:b/>
          <w:strike/>
          <w:szCs w:val="24"/>
        </w:rPr>
        <w:t xml:space="preserve">) </w:t>
      </w:r>
      <w:proofErr w:type="spellStart"/>
      <w:r w:rsidRPr="000839A4">
        <w:rPr>
          <w:b/>
          <w:strike/>
          <w:szCs w:val="24"/>
        </w:rPr>
        <w:t>zf</w:t>
      </w:r>
      <w:proofErr w:type="spellEnd"/>
      <w:r w:rsidRPr="000839A4">
        <w:rPr>
          <w:b/>
          <w:strike/>
          <w:szCs w:val="24"/>
        </w:rPr>
        <w:t>) ze) z) x) w) u)</w:t>
      </w:r>
      <w:r w:rsidRPr="000839A4">
        <w:rPr>
          <w:strike/>
          <w:szCs w:val="24"/>
        </w:rPr>
        <w:tab/>
        <w:t xml:space="preserve">smluvní pokuty, úroky z prodlení, poplatky z prodlení, penále a jiné sankce ze závazkových vztahů, jen pokud byly zaplaceny; a dále úroky ze zápůjček a úroky z úvěrů v případě, kdy věřitelem je poplatník uvedený v § 2, který nevede účetnictví, jen pokud byly zaplaceny, </w:t>
      </w:r>
    </w:p>
    <w:p w14:paraId="716E3919" w14:textId="77777777" w:rsidR="000839A4" w:rsidRPr="000839A4" w:rsidRDefault="000839A4" w:rsidP="000839A4">
      <w:pPr>
        <w:tabs>
          <w:tab w:val="left" w:pos="357"/>
        </w:tabs>
        <w:spacing w:before="0"/>
        <w:ind w:left="357" w:hanging="357"/>
        <w:rPr>
          <w:strike/>
          <w:szCs w:val="24"/>
        </w:rPr>
      </w:pPr>
      <w:proofErr w:type="spellStart"/>
      <w:r w:rsidRPr="000839A4">
        <w:rPr>
          <w:strike/>
          <w:szCs w:val="24"/>
        </w:rPr>
        <w:t>zj</w:t>
      </w:r>
      <w:proofErr w:type="spellEnd"/>
      <w:r w:rsidRPr="000839A4">
        <w:rPr>
          <w:strike/>
          <w:szCs w:val="24"/>
        </w:rPr>
        <w:t xml:space="preserve">) </w:t>
      </w:r>
      <w:proofErr w:type="spellStart"/>
      <w:r w:rsidRPr="000839A4">
        <w:rPr>
          <w:b/>
          <w:strike/>
          <w:szCs w:val="24"/>
        </w:rPr>
        <w:t>zi</w:t>
      </w:r>
      <w:proofErr w:type="spellEnd"/>
      <w:r w:rsidRPr="000839A4">
        <w:rPr>
          <w:b/>
          <w:strike/>
          <w:szCs w:val="24"/>
        </w:rPr>
        <w:t xml:space="preserve">) </w:t>
      </w:r>
      <w:proofErr w:type="spellStart"/>
      <w:r w:rsidRPr="000839A4">
        <w:rPr>
          <w:b/>
          <w:strike/>
          <w:szCs w:val="24"/>
        </w:rPr>
        <w:t>zh</w:t>
      </w:r>
      <w:proofErr w:type="spellEnd"/>
      <w:r w:rsidRPr="000839A4">
        <w:rPr>
          <w:b/>
          <w:strike/>
          <w:szCs w:val="24"/>
        </w:rPr>
        <w:t xml:space="preserve">) </w:t>
      </w:r>
      <w:proofErr w:type="spellStart"/>
      <w:r w:rsidRPr="000839A4">
        <w:rPr>
          <w:b/>
          <w:strike/>
          <w:szCs w:val="24"/>
        </w:rPr>
        <w:t>zg</w:t>
      </w:r>
      <w:proofErr w:type="spellEnd"/>
      <w:r w:rsidRPr="000839A4">
        <w:rPr>
          <w:b/>
          <w:strike/>
          <w:szCs w:val="24"/>
        </w:rPr>
        <w:t xml:space="preserve">) </w:t>
      </w:r>
      <w:proofErr w:type="spellStart"/>
      <w:r w:rsidRPr="000839A4">
        <w:rPr>
          <w:b/>
          <w:strike/>
          <w:szCs w:val="24"/>
        </w:rPr>
        <w:t>zf</w:t>
      </w:r>
      <w:proofErr w:type="spellEnd"/>
      <w:r w:rsidRPr="000839A4">
        <w:rPr>
          <w:b/>
          <w:strike/>
          <w:szCs w:val="24"/>
        </w:rPr>
        <w:t>) za) y) x) v)</w:t>
      </w:r>
      <w:r w:rsidRPr="000839A4">
        <w:rPr>
          <w:strike/>
          <w:szCs w:val="24"/>
        </w:rPr>
        <w:tab/>
        <w:t xml:space="preserve">vstupní cena etiketovacího zařízení pro povinné značení lihu podle zvláštního právního předpisu, pokud se výrobce nebo dovozce lihu nerozhodne etiketovací zařízení odpisovat podle § 26 až 33, </w:t>
      </w:r>
    </w:p>
    <w:p w14:paraId="2C91720A" w14:textId="77777777" w:rsidR="000839A4" w:rsidRPr="000839A4" w:rsidRDefault="000839A4" w:rsidP="000839A4">
      <w:pPr>
        <w:tabs>
          <w:tab w:val="left" w:pos="357"/>
        </w:tabs>
        <w:spacing w:before="0"/>
        <w:ind w:left="357" w:hanging="357"/>
        <w:rPr>
          <w:szCs w:val="24"/>
        </w:rPr>
      </w:pPr>
      <w:proofErr w:type="spellStart"/>
      <w:r w:rsidRPr="000839A4">
        <w:rPr>
          <w:strike/>
          <w:szCs w:val="24"/>
        </w:rPr>
        <w:t>zk</w:t>
      </w:r>
      <w:proofErr w:type="spellEnd"/>
      <w:r w:rsidRPr="000839A4">
        <w:rPr>
          <w:strike/>
          <w:szCs w:val="24"/>
        </w:rPr>
        <w:t xml:space="preserve">) </w:t>
      </w:r>
      <w:proofErr w:type="spellStart"/>
      <w:r w:rsidRPr="000839A4">
        <w:rPr>
          <w:b/>
          <w:strike/>
          <w:szCs w:val="24"/>
        </w:rPr>
        <w:t>zj</w:t>
      </w:r>
      <w:proofErr w:type="spellEnd"/>
      <w:r w:rsidRPr="000839A4">
        <w:rPr>
          <w:b/>
          <w:strike/>
          <w:szCs w:val="24"/>
        </w:rPr>
        <w:t xml:space="preserve">) </w:t>
      </w:r>
      <w:proofErr w:type="spellStart"/>
      <w:r w:rsidRPr="000839A4">
        <w:rPr>
          <w:b/>
          <w:strike/>
          <w:szCs w:val="24"/>
        </w:rPr>
        <w:t>zi</w:t>
      </w:r>
      <w:proofErr w:type="spellEnd"/>
      <w:r w:rsidRPr="000839A4">
        <w:rPr>
          <w:b/>
          <w:strike/>
          <w:szCs w:val="24"/>
        </w:rPr>
        <w:t xml:space="preserve">) </w:t>
      </w:r>
      <w:proofErr w:type="spellStart"/>
      <w:r w:rsidRPr="000839A4">
        <w:rPr>
          <w:b/>
          <w:strike/>
          <w:szCs w:val="24"/>
        </w:rPr>
        <w:t>zh</w:t>
      </w:r>
      <w:proofErr w:type="spellEnd"/>
      <w:r w:rsidRPr="000839A4">
        <w:rPr>
          <w:b/>
          <w:strike/>
          <w:szCs w:val="24"/>
        </w:rPr>
        <w:t xml:space="preserve">) </w:t>
      </w:r>
      <w:proofErr w:type="spellStart"/>
      <w:r w:rsidRPr="000839A4">
        <w:rPr>
          <w:b/>
          <w:strike/>
          <w:szCs w:val="24"/>
        </w:rPr>
        <w:t>zg</w:t>
      </w:r>
      <w:proofErr w:type="spellEnd"/>
      <w:r w:rsidRPr="000839A4">
        <w:rPr>
          <w:b/>
          <w:strike/>
          <w:szCs w:val="24"/>
        </w:rPr>
        <w:t xml:space="preserve">) </w:t>
      </w:r>
      <w:proofErr w:type="spellStart"/>
      <w:r w:rsidRPr="000839A4">
        <w:rPr>
          <w:b/>
          <w:strike/>
          <w:szCs w:val="24"/>
        </w:rPr>
        <w:t>zb</w:t>
      </w:r>
      <w:proofErr w:type="spellEnd"/>
      <w:r w:rsidRPr="000839A4">
        <w:rPr>
          <w:b/>
          <w:strike/>
          <w:szCs w:val="24"/>
        </w:rPr>
        <w:t>) z) y) w)</w:t>
      </w:r>
      <w:r w:rsidRPr="000839A4">
        <w:rPr>
          <w:b/>
          <w:szCs w:val="24"/>
        </w:rPr>
        <w:t xml:space="preserve"> u)</w:t>
      </w:r>
      <w:r w:rsidRPr="000839A4">
        <w:rPr>
          <w:szCs w:val="24"/>
        </w:rPr>
        <w:tab/>
        <w:t xml:space="preserve">výdaje na civilní ochranu vynaložené se souhlasem nebo na pokyn orgánu krizového řízení, </w:t>
      </w:r>
    </w:p>
    <w:p w14:paraId="62D0AA25" w14:textId="77777777" w:rsidR="000839A4" w:rsidRPr="000839A4" w:rsidRDefault="000839A4" w:rsidP="000839A4">
      <w:pPr>
        <w:tabs>
          <w:tab w:val="left" w:pos="357"/>
        </w:tabs>
        <w:spacing w:before="0"/>
        <w:ind w:left="357" w:hanging="357"/>
        <w:rPr>
          <w:strike/>
          <w:szCs w:val="24"/>
        </w:rPr>
      </w:pPr>
      <w:proofErr w:type="spellStart"/>
      <w:r w:rsidRPr="000839A4">
        <w:rPr>
          <w:strike/>
          <w:szCs w:val="24"/>
        </w:rPr>
        <w:t>zl</w:t>
      </w:r>
      <w:proofErr w:type="spellEnd"/>
      <w:r w:rsidRPr="000839A4">
        <w:rPr>
          <w:strike/>
          <w:szCs w:val="24"/>
        </w:rPr>
        <w:t xml:space="preserve">) </w:t>
      </w:r>
      <w:proofErr w:type="spellStart"/>
      <w:r w:rsidRPr="000839A4">
        <w:rPr>
          <w:b/>
          <w:strike/>
          <w:szCs w:val="24"/>
        </w:rPr>
        <w:t>zk</w:t>
      </w:r>
      <w:proofErr w:type="spellEnd"/>
      <w:r w:rsidRPr="000839A4">
        <w:rPr>
          <w:b/>
          <w:strike/>
          <w:szCs w:val="24"/>
        </w:rPr>
        <w:t xml:space="preserve">) </w:t>
      </w:r>
      <w:proofErr w:type="spellStart"/>
      <w:r w:rsidRPr="000839A4">
        <w:rPr>
          <w:b/>
          <w:strike/>
          <w:szCs w:val="24"/>
        </w:rPr>
        <w:t>zj</w:t>
      </w:r>
      <w:proofErr w:type="spellEnd"/>
      <w:r w:rsidRPr="000839A4">
        <w:rPr>
          <w:b/>
          <w:strike/>
          <w:szCs w:val="24"/>
        </w:rPr>
        <w:t xml:space="preserve">) </w:t>
      </w:r>
      <w:proofErr w:type="spellStart"/>
      <w:r w:rsidRPr="000839A4">
        <w:rPr>
          <w:b/>
          <w:strike/>
          <w:szCs w:val="24"/>
        </w:rPr>
        <w:t>zi</w:t>
      </w:r>
      <w:proofErr w:type="spellEnd"/>
      <w:r w:rsidRPr="000839A4">
        <w:rPr>
          <w:b/>
          <w:strike/>
          <w:szCs w:val="24"/>
        </w:rPr>
        <w:t xml:space="preserve">) </w:t>
      </w:r>
      <w:proofErr w:type="spellStart"/>
      <w:r w:rsidRPr="000839A4">
        <w:rPr>
          <w:b/>
          <w:strike/>
          <w:szCs w:val="24"/>
        </w:rPr>
        <w:t>zh</w:t>
      </w:r>
      <w:proofErr w:type="spellEnd"/>
      <w:r w:rsidRPr="000839A4">
        <w:rPr>
          <w:b/>
          <w:strike/>
          <w:szCs w:val="24"/>
        </w:rPr>
        <w:t xml:space="preserve">) </w:t>
      </w:r>
      <w:proofErr w:type="spellStart"/>
      <w:r w:rsidRPr="000839A4">
        <w:rPr>
          <w:b/>
          <w:strike/>
          <w:szCs w:val="24"/>
        </w:rPr>
        <w:t>zc</w:t>
      </w:r>
      <w:proofErr w:type="spellEnd"/>
      <w:r w:rsidRPr="000839A4">
        <w:rPr>
          <w:b/>
          <w:strike/>
          <w:szCs w:val="24"/>
        </w:rPr>
        <w:t>) za) z) x) v)</w:t>
      </w:r>
      <w:r w:rsidRPr="000839A4">
        <w:rPr>
          <w:strike/>
          <w:szCs w:val="24"/>
        </w:rPr>
        <w:tab/>
      </w:r>
      <w:r w:rsidRPr="000839A4">
        <w:rPr>
          <w:strike/>
          <w:color w:val="000000" w:themeColor="text1"/>
          <w:szCs w:val="24"/>
        </w:rPr>
        <w:t>výdaje (náklady) hrazené uživatelem hmotného majetku, které podle zvláštního právního předpisu</w:t>
      </w:r>
      <w:r w:rsidRPr="000839A4">
        <w:rPr>
          <w:strike/>
          <w:color w:val="000000" w:themeColor="text1"/>
          <w:szCs w:val="24"/>
          <w:vertAlign w:val="superscript"/>
        </w:rPr>
        <w:t>20)</w:t>
      </w:r>
      <w:r w:rsidRPr="000839A4">
        <w:rPr>
          <w:strike/>
          <w:color w:val="000000" w:themeColor="text1"/>
          <w:szCs w:val="24"/>
        </w:rPr>
        <w:t xml:space="preserve"> tvoří součást ocenění hmotného majetku, který je předmětem finančního leasingu, pokud v úhrnu se sjednanou kupní cenou ve smlouvě nepřevýší u movitého majetku částku uvedenou v § 26 odst. 3 písm. c)</w:t>
      </w:r>
      <w:r w:rsidRPr="000839A4">
        <w:rPr>
          <w:strike/>
          <w:szCs w:val="24"/>
        </w:rPr>
        <w:t xml:space="preserve">, </w:t>
      </w:r>
    </w:p>
    <w:p w14:paraId="7A1C3656" w14:textId="77777777" w:rsidR="000839A4" w:rsidRPr="000839A4" w:rsidRDefault="000839A4" w:rsidP="000839A4">
      <w:pPr>
        <w:tabs>
          <w:tab w:val="left" w:pos="357"/>
        </w:tabs>
        <w:spacing w:before="0"/>
        <w:ind w:left="357" w:hanging="357"/>
        <w:rPr>
          <w:szCs w:val="24"/>
        </w:rPr>
      </w:pPr>
      <w:proofErr w:type="spellStart"/>
      <w:r w:rsidRPr="000839A4">
        <w:rPr>
          <w:strike/>
          <w:szCs w:val="24"/>
        </w:rPr>
        <w:lastRenderedPageBreak/>
        <w:t>zm</w:t>
      </w:r>
      <w:proofErr w:type="spellEnd"/>
      <w:r w:rsidRPr="000839A4">
        <w:rPr>
          <w:strike/>
          <w:szCs w:val="24"/>
        </w:rPr>
        <w:t xml:space="preserve">) </w:t>
      </w:r>
      <w:proofErr w:type="spellStart"/>
      <w:r w:rsidRPr="000839A4">
        <w:rPr>
          <w:b/>
          <w:strike/>
          <w:szCs w:val="24"/>
        </w:rPr>
        <w:t>zl</w:t>
      </w:r>
      <w:proofErr w:type="spellEnd"/>
      <w:r w:rsidRPr="000839A4">
        <w:rPr>
          <w:b/>
          <w:strike/>
          <w:szCs w:val="24"/>
        </w:rPr>
        <w:t xml:space="preserve">) </w:t>
      </w:r>
      <w:proofErr w:type="spellStart"/>
      <w:r w:rsidRPr="000839A4">
        <w:rPr>
          <w:b/>
          <w:strike/>
          <w:szCs w:val="24"/>
        </w:rPr>
        <w:t>zk</w:t>
      </w:r>
      <w:proofErr w:type="spellEnd"/>
      <w:r w:rsidRPr="000839A4">
        <w:rPr>
          <w:b/>
          <w:strike/>
          <w:szCs w:val="24"/>
        </w:rPr>
        <w:t xml:space="preserve">) </w:t>
      </w:r>
      <w:proofErr w:type="spellStart"/>
      <w:r w:rsidRPr="000839A4">
        <w:rPr>
          <w:b/>
          <w:strike/>
          <w:szCs w:val="24"/>
        </w:rPr>
        <w:t>zj</w:t>
      </w:r>
      <w:proofErr w:type="spellEnd"/>
      <w:r w:rsidRPr="000839A4">
        <w:rPr>
          <w:b/>
          <w:strike/>
          <w:szCs w:val="24"/>
        </w:rPr>
        <w:t xml:space="preserve">) </w:t>
      </w:r>
      <w:proofErr w:type="spellStart"/>
      <w:r w:rsidRPr="000839A4">
        <w:rPr>
          <w:b/>
          <w:strike/>
          <w:szCs w:val="24"/>
        </w:rPr>
        <w:t>zi</w:t>
      </w:r>
      <w:proofErr w:type="spellEnd"/>
      <w:r w:rsidRPr="000839A4">
        <w:rPr>
          <w:b/>
          <w:strike/>
          <w:szCs w:val="24"/>
        </w:rPr>
        <w:t xml:space="preserve">) </w:t>
      </w:r>
      <w:proofErr w:type="spellStart"/>
      <w:r w:rsidRPr="000839A4">
        <w:rPr>
          <w:b/>
          <w:strike/>
          <w:szCs w:val="24"/>
        </w:rPr>
        <w:t>zd</w:t>
      </w:r>
      <w:proofErr w:type="spellEnd"/>
      <w:r w:rsidRPr="000839A4">
        <w:rPr>
          <w:b/>
          <w:strike/>
          <w:szCs w:val="24"/>
        </w:rPr>
        <w:t xml:space="preserve">) </w:t>
      </w:r>
      <w:proofErr w:type="spellStart"/>
      <w:r w:rsidRPr="000839A4">
        <w:rPr>
          <w:b/>
          <w:strike/>
          <w:szCs w:val="24"/>
        </w:rPr>
        <w:t>zb</w:t>
      </w:r>
      <w:proofErr w:type="spellEnd"/>
      <w:r w:rsidRPr="000839A4">
        <w:rPr>
          <w:b/>
          <w:strike/>
          <w:szCs w:val="24"/>
        </w:rPr>
        <w:t>) za) y) w)</w:t>
      </w:r>
      <w:r w:rsidRPr="000839A4">
        <w:rPr>
          <w:b/>
          <w:szCs w:val="24"/>
        </w:rPr>
        <w:t xml:space="preserve"> v)</w:t>
      </w:r>
      <w:r w:rsidRPr="000839A4">
        <w:rPr>
          <w:szCs w:val="24"/>
        </w:rPr>
        <w:t xml:space="preserve"> odvod do státního rozpočtu z titulu plnění povinného podílu zaměstnávání osob se zdravotním postižením podle zvláštního právního </w:t>
      </w:r>
      <w:proofErr w:type="gramStart"/>
      <w:r w:rsidRPr="000839A4">
        <w:rPr>
          <w:szCs w:val="24"/>
        </w:rPr>
        <w:t>předpisu,</w:t>
      </w:r>
      <w:r w:rsidRPr="000839A4">
        <w:rPr>
          <w:szCs w:val="24"/>
          <w:vertAlign w:val="superscript"/>
        </w:rPr>
        <w:footnoteReference w:customMarkFollows="1" w:id="169"/>
        <w:t>80</w:t>
      </w:r>
      <w:proofErr w:type="gramEnd"/>
      <w:r w:rsidRPr="000839A4">
        <w:rPr>
          <w:szCs w:val="24"/>
          <w:vertAlign w:val="superscript"/>
        </w:rPr>
        <w:t>)</w:t>
      </w:r>
    </w:p>
    <w:p w14:paraId="275D8CD6" w14:textId="77777777" w:rsidR="000839A4" w:rsidRPr="000839A4" w:rsidRDefault="000839A4" w:rsidP="000839A4">
      <w:pPr>
        <w:tabs>
          <w:tab w:val="left" w:pos="357"/>
        </w:tabs>
        <w:spacing w:before="0"/>
        <w:ind w:left="357" w:hanging="357"/>
        <w:rPr>
          <w:szCs w:val="24"/>
        </w:rPr>
      </w:pPr>
      <w:proofErr w:type="spellStart"/>
      <w:r w:rsidRPr="000839A4">
        <w:rPr>
          <w:strike/>
          <w:szCs w:val="24"/>
        </w:rPr>
        <w:t>zn</w:t>
      </w:r>
      <w:proofErr w:type="spellEnd"/>
      <w:r w:rsidRPr="000839A4">
        <w:rPr>
          <w:strike/>
          <w:szCs w:val="24"/>
        </w:rPr>
        <w:t xml:space="preserve">) </w:t>
      </w:r>
      <w:proofErr w:type="spellStart"/>
      <w:r w:rsidRPr="000839A4">
        <w:rPr>
          <w:b/>
          <w:strike/>
          <w:szCs w:val="24"/>
        </w:rPr>
        <w:t>zm</w:t>
      </w:r>
      <w:proofErr w:type="spellEnd"/>
      <w:r w:rsidRPr="000839A4">
        <w:rPr>
          <w:b/>
          <w:strike/>
          <w:szCs w:val="24"/>
        </w:rPr>
        <w:t xml:space="preserve">) </w:t>
      </w:r>
      <w:proofErr w:type="spellStart"/>
      <w:r w:rsidRPr="000839A4">
        <w:rPr>
          <w:b/>
          <w:strike/>
          <w:szCs w:val="24"/>
        </w:rPr>
        <w:t>zl</w:t>
      </w:r>
      <w:proofErr w:type="spellEnd"/>
      <w:r w:rsidRPr="000839A4">
        <w:rPr>
          <w:b/>
          <w:strike/>
          <w:szCs w:val="24"/>
        </w:rPr>
        <w:t xml:space="preserve">) </w:t>
      </w:r>
      <w:proofErr w:type="spellStart"/>
      <w:r w:rsidRPr="000839A4">
        <w:rPr>
          <w:b/>
          <w:strike/>
          <w:szCs w:val="24"/>
        </w:rPr>
        <w:t>zk</w:t>
      </w:r>
      <w:proofErr w:type="spellEnd"/>
      <w:r w:rsidRPr="000839A4">
        <w:rPr>
          <w:b/>
          <w:strike/>
          <w:szCs w:val="24"/>
        </w:rPr>
        <w:t xml:space="preserve">) </w:t>
      </w:r>
      <w:proofErr w:type="spellStart"/>
      <w:r w:rsidRPr="000839A4">
        <w:rPr>
          <w:b/>
          <w:strike/>
          <w:szCs w:val="24"/>
        </w:rPr>
        <w:t>zj</w:t>
      </w:r>
      <w:proofErr w:type="spellEnd"/>
      <w:r w:rsidRPr="000839A4">
        <w:rPr>
          <w:b/>
          <w:strike/>
          <w:szCs w:val="24"/>
        </w:rPr>
        <w:t xml:space="preserve">) ze) </w:t>
      </w:r>
      <w:proofErr w:type="spellStart"/>
      <w:r w:rsidRPr="000839A4">
        <w:rPr>
          <w:b/>
          <w:strike/>
          <w:szCs w:val="24"/>
        </w:rPr>
        <w:t>zc</w:t>
      </w:r>
      <w:proofErr w:type="spellEnd"/>
      <w:r w:rsidRPr="000839A4">
        <w:rPr>
          <w:b/>
          <w:strike/>
          <w:szCs w:val="24"/>
        </w:rPr>
        <w:t xml:space="preserve">) </w:t>
      </w:r>
      <w:proofErr w:type="spellStart"/>
      <w:r w:rsidRPr="000839A4">
        <w:rPr>
          <w:b/>
          <w:strike/>
          <w:szCs w:val="24"/>
        </w:rPr>
        <w:t>zb</w:t>
      </w:r>
      <w:proofErr w:type="spellEnd"/>
      <w:r w:rsidRPr="000839A4">
        <w:rPr>
          <w:b/>
          <w:strike/>
          <w:szCs w:val="24"/>
        </w:rPr>
        <w:t>) z) x)</w:t>
      </w:r>
      <w:r w:rsidRPr="000839A4">
        <w:rPr>
          <w:b/>
          <w:szCs w:val="24"/>
        </w:rPr>
        <w:t xml:space="preserve"> w)</w:t>
      </w:r>
      <w:r w:rsidRPr="000839A4">
        <w:rPr>
          <w:szCs w:val="24"/>
        </w:rPr>
        <w:tab/>
        <w:t xml:space="preserve">výdaje na pořízení nehmotného </w:t>
      </w:r>
      <w:r w:rsidRPr="000839A4">
        <w:rPr>
          <w:strike/>
          <w:szCs w:val="24"/>
        </w:rPr>
        <w:t>majetku</w:t>
      </w:r>
      <w:r w:rsidRPr="000839A4">
        <w:rPr>
          <w:strike/>
          <w:szCs w:val="24"/>
          <w:vertAlign w:val="superscript"/>
        </w:rPr>
        <w:t>20)</w:t>
      </w:r>
      <w:r w:rsidRPr="000839A4">
        <w:rPr>
          <w:szCs w:val="24"/>
        </w:rPr>
        <w:t xml:space="preserve"> </w:t>
      </w:r>
      <w:r w:rsidRPr="000839A4">
        <w:rPr>
          <w:b/>
          <w:szCs w:val="24"/>
        </w:rPr>
        <w:t>aktiva</w:t>
      </w:r>
      <w:r w:rsidRPr="000839A4">
        <w:rPr>
          <w:szCs w:val="24"/>
        </w:rPr>
        <w:t xml:space="preserve"> nebo jeho </w:t>
      </w:r>
      <w:r w:rsidRPr="000839A4">
        <w:rPr>
          <w:strike/>
          <w:szCs w:val="24"/>
        </w:rPr>
        <w:t>technického</w:t>
      </w:r>
      <w:r w:rsidRPr="000839A4">
        <w:rPr>
          <w:szCs w:val="24"/>
        </w:rPr>
        <w:t xml:space="preserve"> </w:t>
      </w:r>
      <w:r w:rsidRPr="000839A4">
        <w:rPr>
          <w:b/>
          <w:szCs w:val="24"/>
        </w:rPr>
        <w:t>dodatečného</w:t>
      </w:r>
      <w:r w:rsidRPr="000839A4">
        <w:rPr>
          <w:szCs w:val="24"/>
        </w:rPr>
        <w:t xml:space="preserve"> zhodnocení u poplatníků s </w:t>
      </w:r>
      <w:r w:rsidRPr="000839A4">
        <w:rPr>
          <w:strike/>
          <w:szCs w:val="24"/>
        </w:rPr>
        <w:t>příjmy podle § 7 nebo § 9, pokud nevedou účetnictví</w:t>
      </w:r>
      <w:r w:rsidRPr="000839A4">
        <w:rPr>
          <w:szCs w:val="24"/>
        </w:rPr>
        <w:t xml:space="preserve"> </w:t>
      </w:r>
      <w:r w:rsidRPr="000839A4">
        <w:rPr>
          <w:b/>
          <w:szCs w:val="24"/>
        </w:rPr>
        <w:t>hotovostním základem daně</w:t>
      </w:r>
      <w:r w:rsidRPr="000839A4">
        <w:rPr>
          <w:szCs w:val="24"/>
        </w:rPr>
        <w:t>,</w:t>
      </w:r>
    </w:p>
    <w:p w14:paraId="4AF0B081" w14:textId="77777777" w:rsidR="000839A4" w:rsidRPr="000839A4" w:rsidRDefault="000839A4" w:rsidP="000839A4">
      <w:pPr>
        <w:tabs>
          <w:tab w:val="left" w:pos="357"/>
        </w:tabs>
        <w:spacing w:before="0"/>
        <w:ind w:left="357" w:hanging="357"/>
        <w:rPr>
          <w:szCs w:val="24"/>
        </w:rPr>
      </w:pPr>
      <w:proofErr w:type="spellStart"/>
      <w:r w:rsidRPr="000839A4">
        <w:rPr>
          <w:strike/>
          <w:szCs w:val="24"/>
        </w:rPr>
        <w:t>zo</w:t>
      </w:r>
      <w:proofErr w:type="spellEnd"/>
      <w:r w:rsidRPr="000839A4">
        <w:rPr>
          <w:strike/>
          <w:szCs w:val="24"/>
        </w:rPr>
        <w:t xml:space="preserve">) </w:t>
      </w:r>
      <w:proofErr w:type="spellStart"/>
      <w:r w:rsidRPr="000839A4">
        <w:rPr>
          <w:b/>
          <w:strike/>
          <w:szCs w:val="24"/>
        </w:rPr>
        <w:t>zn</w:t>
      </w:r>
      <w:proofErr w:type="spellEnd"/>
      <w:r w:rsidRPr="000839A4">
        <w:rPr>
          <w:b/>
          <w:strike/>
          <w:szCs w:val="24"/>
        </w:rPr>
        <w:t xml:space="preserve">) </w:t>
      </w:r>
      <w:proofErr w:type="spellStart"/>
      <w:r w:rsidRPr="000839A4">
        <w:rPr>
          <w:b/>
          <w:strike/>
          <w:szCs w:val="24"/>
        </w:rPr>
        <w:t>zm</w:t>
      </w:r>
      <w:proofErr w:type="spellEnd"/>
      <w:r w:rsidRPr="000839A4">
        <w:rPr>
          <w:b/>
          <w:strike/>
          <w:szCs w:val="24"/>
        </w:rPr>
        <w:t xml:space="preserve">) </w:t>
      </w:r>
      <w:proofErr w:type="spellStart"/>
      <w:r w:rsidRPr="000839A4">
        <w:rPr>
          <w:b/>
          <w:strike/>
          <w:szCs w:val="24"/>
        </w:rPr>
        <w:t>zl</w:t>
      </w:r>
      <w:proofErr w:type="spellEnd"/>
      <w:r w:rsidRPr="000839A4">
        <w:rPr>
          <w:b/>
          <w:strike/>
          <w:szCs w:val="24"/>
        </w:rPr>
        <w:t xml:space="preserve">) </w:t>
      </w:r>
      <w:proofErr w:type="spellStart"/>
      <w:r w:rsidRPr="000839A4">
        <w:rPr>
          <w:b/>
          <w:strike/>
          <w:szCs w:val="24"/>
        </w:rPr>
        <w:t>zk</w:t>
      </w:r>
      <w:proofErr w:type="spellEnd"/>
      <w:r w:rsidRPr="000839A4">
        <w:rPr>
          <w:b/>
          <w:strike/>
          <w:szCs w:val="24"/>
        </w:rPr>
        <w:t xml:space="preserve">) </w:t>
      </w:r>
      <w:proofErr w:type="spellStart"/>
      <w:r w:rsidRPr="000839A4">
        <w:rPr>
          <w:b/>
          <w:strike/>
          <w:szCs w:val="24"/>
        </w:rPr>
        <w:t>zf</w:t>
      </w:r>
      <w:proofErr w:type="spellEnd"/>
      <w:r w:rsidRPr="000839A4">
        <w:rPr>
          <w:b/>
          <w:strike/>
          <w:szCs w:val="24"/>
        </w:rPr>
        <w:t xml:space="preserve">) </w:t>
      </w:r>
      <w:proofErr w:type="spellStart"/>
      <w:r w:rsidRPr="000839A4">
        <w:rPr>
          <w:b/>
          <w:strike/>
          <w:szCs w:val="24"/>
        </w:rPr>
        <w:t>zd</w:t>
      </w:r>
      <w:proofErr w:type="spellEnd"/>
      <w:r w:rsidRPr="000839A4">
        <w:rPr>
          <w:b/>
          <w:strike/>
          <w:szCs w:val="24"/>
        </w:rPr>
        <w:t xml:space="preserve">) </w:t>
      </w:r>
      <w:proofErr w:type="spellStart"/>
      <w:r w:rsidRPr="000839A4">
        <w:rPr>
          <w:b/>
          <w:strike/>
          <w:szCs w:val="24"/>
        </w:rPr>
        <w:t>zc</w:t>
      </w:r>
      <w:proofErr w:type="spellEnd"/>
      <w:r w:rsidRPr="000839A4">
        <w:rPr>
          <w:b/>
          <w:strike/>
          <w:szCs w:val="24"/>
        </w:rPr>
        <w:t>) za) y)</w:t>
      </w:r>
      <w:r w:rsidRPr="000839A4">
        <w:rPr>
          <w:b/>
          <w:szCs w:val="24"/>
        </w:rPr>
        <w:t xml:space="preserve"> x)</w:t>
      </w:r>
      <w:r w:rsidRPr="000839A4">
        <w:rPr>
          <w:szCs w:val="24"/>
        </w:rPr>
        <w:tab/>
        <w:t>převod prostředků z garančního fondu do fondu zábrany škod,</w:t>
      </w:r>
    </w:p>
    <w:p w14:paraId="0EB018A3" w14:textId="77777777" w:rsidR="000839A4" w:rsidRPr="000839A4" w:rsidRDefault="000839A4" w:rsidP="000839A4">
      <w:pPr>
        <w:tabs>
          <w:tab w:val="left" w:pos="357"/>
        </w:tabs>
        <w:spacing w:before="0"/>
        <w:ind w:left="357" w:hanging="357"/>
        <w:rPr>
          <w:szCs w:val="24"/>
        </w:rPr>
      </w:pPr>
      <w:proofErr w:type="spellStart"/>
      <w:r w:rsidRPr="000839A4">
        <w:rPr>
          <w:strike/>
          <w:szCs w:val="24"/>
        </w:rPr>
        <w:t>zp</w:t>
      </w:r>
      <w:proofErr w:type="spellEnd"/>
      <w:r w:rsidRPr="000839A4">
        <w:rPr>
          <w:strike/>
          <w:szCs w:val="24"/>
        </w:rPr>
        <w:t xml:space="preserve">) </w:t>
      </w:r>
      <w:proofErr w:type="spellStart"/>
      <w:r w:rsidRPr="000839A4">
        <w:rPr>
          <w:b/>
          <w:strike/>
          <w:szCs w:val="24"/>
        </w:rPr>
        <w:t>zo</w:t>
      </w:r>
      <w:proofErr w:type="spellEnd"/>
      <w:r w:rsidRPr="000839A4">
        <w:rPr>
          <w:b/>
          <w:strike/>
          <w:szCs w:val="24"/>
        </w:rPr>
        <w:t xml:space="preserve">) </w:t>
      </w:r>
      <w:proofErr w:type="spellStart"/>
      <w:r w:rsidRPr="000839A4">
        <w:rPr>
          <w:b/>
          <w:strike/>
          <w:szCs w:val="24"/>
        </w:rPr>
        <w:t>zn</w:t>
      </w:r>
      <w:proofErr w:type="spellEnd"/>
      <w:r w:rsidRPr="000839A4">
        <w:rPr>
          <w:b/>
          <w:strike/>
          <w:szCs w:val="24"/>
        </w:rPr>
        <w:t xml:space="preserve">) </w:t>
      </w:r>
      <w:proofErr w:type="spellStart"/>
      <w:r w:rsidRPr="000839A4">
        <w:rPr>
          <w:b/>
          <w:strike/>
          <w:szCs w:val="24"/>
        </w:rPr>
        <w:t>zm</w:t>
      </w:r>
      <w:proofErr w:type="spellEnd"/>
      <w:r w:rsidRPr="000839A4">
        <w:rPr>
          <w:b/>
          <w:strike/>
          <w:szCs w:val="24"/>
        </w:rPr>
        <w:t xml:space="preserve">) </w:t>
      </w:r>
      <w:proofErr w:type="spellStart"/>
      <w:r w:rsidRPr="000839A4">
        <w:rPr>
          <w:b/>
          <w:strike/>
          <w:szCs w:val="24"/>
        </w:rPr>
        <w:t>zl</w:t>
      </w:r>
      <w:proofErr w:type="spellEnd"/>
      <w:r w:rsidRPr="000839A4">
        <w:rPr>
          <w:b/>
          <w:strike/>
          <w:szCs w:val="24"/>
        </w:rPr>
        <w:t xml:space="preserve">) </w:t>
      </w:r>
      <w:proofErr w:type="spellStart"/>
      <w:r w:rsidRPr="000839A4">
        <w:rPr>
          <w:b/>
          <w:strike/>
          <w:szCs w:val="24"/>
        </w:rPr>
        <w:t>zg</w:t>
      </w:r>
      <w:proofErr w:type="spellEnd"/>
      <w:r w:rsidRPr="000839A4">
        <w:rPr>
          <w:b/>
          <w:strike/>
          <w:szCs w:val="24"/>
        </w:rPr>
        <w:t xml:space="preserve">) ze) </w:t>
      </w:r>
      <w:proofErr w:type="spellStart"/>
      <w:r w:rsidRPr="000839A4">
        <w:rPr>
          <w:b/>
          <w:strike/>
          <w:szCs w:val="24"/>
        </w:rPr>
        <w:t>zd</w:t>
      </w:r>
      <w:proofErr w:type="spellEnd"/>
      <w:r w:rsidRPr="000839A4">
        <w:rPr>
          <w:b/>
          <w:strike/>
          <w:szCs w:val="24"/>
        </w:rPr>
        <w:t xml:space="preserve">) </w:t>
      </w:r>
      <w:proofErr w:type="spellStart"/>
      <w:r w:rsidRPr="000839A4">
        <w:rPr>
          <w:b/>
          <w:strike/>
          <w:szCs w:val="24"/>
        </w:rPr>
        <w:t>zb</w:t>
      </w:r>
      <w:proofErr w:type="spellEnd"/>
      <w:r w:rsidRPr="000839A4">
        <w:rPr>
          <w:b/>
          <w:strike/>
          <w:szCs w:val="24"/>
        </w:rPr>
        <w:t>) z)</w:t>
      </w:r>
      <w:r w:rsidRPr="000839A4">
        <w:rPr>
          <w:b/>
          <w:szCs w:val="24"/>
        </w:rPr>
        <w:t xml:space="preserve"> y)</w:t>
      </w:r>
      <w:r w:rsidRPr="000839A4">
        <w:rPr>
          <w:szCs w:val="24"/>
        </w:rPr>
        <w:tab/>
        <w:t xml:space="preserve">výdaje (náklady) vynaložené v rámci pomoci poskytnuté formou nepeněžního plnění v souvislosti s odstraňováním následků živelních pohrom, ke kterým došlo na území členského státu Evropské unie, nebo státu tvořícího Evropský hospodářský prostor. Tyto výdaje (náklady) nelze současně uplatnit jako nezdanitelnou část podle § 15 odst. 1 nebo položku snižující základ daně podle § 20 odst. 8, </w:t>
      </w:r>
    </w:p>
    <w:p w14:paraId="14ADDB8A" w14:textId="77777777" w:rsidR="000839A4" w:rsidRPr="000839A4" w:rsidRDefault="000839A4" w:rsidP="000839A4">
      <w:pPr>
        <w:tabs>
          <w:tab w:val="left" w:pos="357"/>
        </w:tabs>
        <w:spacing w:before="0"/>
        <w:ind w:left="357" w:hanging="357"/>
        <w:rPr>
          <w:szCs w:val="24"/>
        </w:rPr>
      </w:pPr>
      <w:r w:rsidRPr="000839A4">
        <w:rPr>
          <w:b/>
          <w:bCs/>
          <w:strike/>
          <w:noProof/>
          <w:color w:val="00B050"/>
          <w:szCs w:val="24"/>
        </w:rPr>
        <mc:AlternateContent>
          <mc:Choice Requires="wps">
            <w:drawing>
              <wp:anchor distT="0" distB="0" distL="114300" distR="114300" simplePos="0" relativeHeight="251698176" behindDoc="1" locked="0" layoutInCell="1" allowOverlap="1" wp14:anchorId="6030607E" wp14:editId="3AF29FBC">
                <wp:simplePos x="0" y="0"/>
                <wp:positionH relativeFrom="margin">
                  <wp:posOffset>-97539</wp:posOffset>
                </wp:positionH>
                <wp:positionV relativeFrom="paragraph">
                  <wp:posOffset>-863</wp:posOffset>
                </wp:positionV>
                <wp:extent cx="6021165" cy="1578443"/>
                <wp:effectExtent l="0" t="0" r="17780" b="22225"/>
                <wp:wrapNone/>
                <wp:docPr id="26" name="Obdélník 26"/>
                <wp:cNvGraphicFramePr/>
                <a:graphic xmlns:a="http://schemas.openxmlformats.org/drawingml/2006/main">
                  <a:graphicData uri="http://schemas.microsoft.com/office/word/2010/wordprocessingShape">
                    <wps:wsp>
                      <wps:cNvSpPr/>
                      <wps:spPr>
                        <a:xfrm>
                          <a:off x="0" y="0"/>
                          <a:ext cx="6021165" cy="1578443"/>
                        </a:xfrm>
                        <a:prstGeom prst="rect">
                          <a:avLst/>
                        </a:prstGeom>
                        <a:solidFill>
                          <a:sysClr val="window" lastClr="FFFFFF"/>
                        </a:solidFill>
                        <a:ln w="12700" cap="flat" cmpd="sng" algn="ctr">
                          <a:solidFill>
                            <a:srgbClr val="ED7D3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4D70BA3" id="Obdélník 26" o:spid="_x0000_s1026" style="position:absolute;margin-left:-7.7pt;margin-top:-.05pt;width:474.1pt;height:124.3pt;z-index:-2516183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" fillcolor="window" strokecolor="#ed7d31" strokeweight="1pt">
                <w10:wrap anchorx="margin"/>
              </v:rect>
            </w:pict>
          </mc:Fallback>
        </mc:AlternateContent>
      </w:r>
      <w:proofErr w:type="spellStart"/>
      <w:r w:rsidRPr="000839A4">
        <w:rPr>
          <w:strike/>
          <w:szCs w:val="24"/>
        </w:rPr>
        <w:t>zr</w:t>
      </w:r>
      <w:proofErr w:type="spellEnd"/>
      <w:r w:rsidRPr="000839A4">
        <w:rPr>
          <w:strike/>
          <w:szCs w:val="24"/>
        </w:rPr>
        <w:t xml:space="preserve">) </w:t>
      </w:r>
      <w:proofErr w:type="spellStart"/>
      <w:r w:rsidRPr="000839A4">
        <w:rPr>
          <w:b/>
          <w:strike/>
          <w:szCs w:val="24"/>
        </w:rPr>
        <w:t>zp</w:t>
      </w:r>
      <w:proofErr w:type="spellEnd"/>
      <w:r w:rsidRPr="000839A4">
        <w:rPr>
          <w:b/>
          <w:strike/>
          <w:szCs w:val="24"/>
        </w:rPr>
        <w:t xml:space="preserve">) </w:t>
      </w:r>
      <w:proofErr w:type="spellStart"/>
      <w:r w:rsidRPr="000839A4">
        <w:rPr>
          <w:b/>
          <w:strike/>
          <w:szCs w:val="24"/>
        </w:rPr>
        <w:t>zo</w:t>
      </w:r>
      <w:proofErr w:type="spellEnd"/>
      <w:r w:rsidRPr="000839A4">
        <w:rPr>
          <w:b/>
          <w:strike/>
          <w:szCs w:val="24"/>
        </w:rPr>
        <w:t xml:space="preserve">) </w:t>
      </w:r>
      <w:proofErr w:type="spellStart"/>
      <w:r w:rsidRPr="000839A4">
        <w:rPr>
          <w:b/>
          <w:strike/>
          <w:szCs w:val="24"/>
        </w:rPr>
        <w:t>zn</w:t>
      </w:r>
      <w:proofErr w:type="spellEnd"/>
      <w:r w:rsidRPr="000839A4">
        <w:rPr>
          <w:b/>
          <w:strike/>
          <w:szCs w:val="24"/>
        </w:rPr>
        <w:t xml:space="preserve">) </w:t>
      </w:r>
      <w:proofErr w:type="spellStart"/>
      <w:r w:rsidRPr="000839A4">
        <w:rPr>
          <w:b/>
          <w:strike/>
          <w:szCs w:val="24"/>
        </w:rPr>
        <w:t>zm</w:t>
      </w:r>
      <w:proofErr w:type="spellEnd"/>
      <w:r w:rsidRPr="000839A4">
        <w:rPr>
          <w:b/>
          <w:strike/>
          <w:szCs w:val="24"/>
        </w:rPr>
        <w:t xml:space="preserve">) </w:t>
      </w:r>
      <w:proofErr w:type="spellStart"/>
      <w:r w:rsidRPr="000839A4">
        <w:rPr>
          <w:b/>
          <w:strike/>
          <w:szCs w:val="24"/>
        </w:rPr>
        <w:t>zh</w:t>
      </w:r>
      <w:proofErr w:type="spellEnd"/>
      <w:r w:rsidRPr="000839A4">
        <w:rPr>
          <w:b/>
          <w:strike/>
          <w:szCs w:val="24"/>
        </w:rPr>
        <w:t xml:space="preserve">) </w:t>
      </w:r>
      <w:proofErr w:type="spellStart"/>
      <w:r w:rsidRPr="000839A4">
        <w:rPr>
          <w:b/>
          <w:strike/>
          <w:szCs w:val="24"/>
        </w:rPr>
        <w:t>zf</w:t>
      </w:r>
      <w:proofErr w:type="spellEnd"/>
      <w:r w:rsidRPr="000839A4">
        <w:rPr>
          <w:b/>
          <w:strike/>
          <w:szCs w:val="24"/>
        </w:rPr>
        <w:t xml:space="preserve">) ze) </w:t>
      </w:r>
      <w:proofErr w:type="spellStart"/>
      <w:r w:rsidRPr="000839A4">
        <w:rPr>
          <w:b/>
          <w:strike/>
          <w:szCs w:val="24"/>
        </w:rPr>
        <w:t>zc</w:t>
      </w:r>
      <w:proofErr w:type="spellEnd"/>
      <w:r w:rsidRPr="000839A4">
        <w:rPr>
          <w:b/>
          <w:strike/>
          <w:szCs w:val="24"/>
        </w:rPr>
        <w:t>) za)</w:t>
      </w:r>
      <w:r w:rsidRPr="000839A4">
        <w:rPr>
          <w:b/>
          <w:szCs w:val="24"/>
        </w:rPr>
        <w:t xml:space="preserve"> z)</w:t>
      </w:r>
      <w:r w:rsidRPr="000839A4">
        <w:rPr>
          <w:szCs w:val="24"/>
        </w:rPr>
        <w:tab/>
        <w:t xml:space="preserve">výdaje na tvorbu </w:t>
      </w:r>
    </w:p>
    <w:p w14:paraId="6CCC0B0E" w14:textId="77777777" w:rsidR="000839A4" w:rsidRPr="000839A4" w:rsidRDefault="000839A4" w:rsidP="000839A4">
      <w:pPr>
        <w:tabs>
          <w:tab w:val="left" w:pos="357"/>
        </w:tabs>
        <w:spacing w:before="0"/>
        <w:ind w:left="714" w:hanging="357"/>
        <w:rPr>
          <w:szCs w:val="24"/>
        </w:rPr>
      </w:pPr>
      <w:r w:rsidRPr="000839A4">
        <w:rPr>
          <w:szCs w:val="24"/>
        </w:rPr>
        <w:t>1.</w:t>
      </w:r>
      <w:r w:rsidRPr="000839A4">
        <w:rPr>
          <w:szCs w:val="24"/>
        </w:rPr>
        <w:tab/>
        <w:t>fondu kulturních a sociálních potřeb u veřejně prospěšného poplatníka nebo sociálního fondu u poplatníka, který je veřejnou vysokou školou</w:t>
      </w:r>
      <w:r w:rsidRPr="000839A4">
        <w:rPr>
          <w:b/>
          <w:noProof/>
          <w:color w:val="ED7D31" w:themeColor="accent2"/>
          <w:szCs w:val="24"/>
        </w:rPr>
        <w:t>, veřejnou kulturní institucí</w:t>
      </w:r>
      <w:r w:rsidRPr="000839A4">
        <w:rPr>
          <w:color w:val="ED7D31" w:themeColor="accent2"/>
          <w:szCs w:val="24"/>
        </w:rPr>
        <w:t xml:space="preserve"> </w:t>
      </w:r>
      <w:r w:rsidRPr="000839A4">
        <w:rPr>
          <w:szCs w:val="24"/>
        </w:rPr>
        <w:t>nebo veřejnou výzkumnou institucí, do procentuální výše úhrnu vyměřovacích základů zaměstnance pro pojistné na sociální zabezpečení a příspěvek na státní politiku zaměstnanosti za zdaňovací období, v jakém lze mzdu zaměstnance uplatnit jako výdaj související s dosažením, zajištěním a udržením zdanitelných příjmů, která je shodná s procentuální výší základního přídělu, kterým je tvořen fond kulturních a sociálních potřeb,</w:t>
      </w:r>
    </w:p>
    <w:p w14:paraId="6AD114B0" w14:textId="77777777" w:rsidR="000839A4" w:rsidRPr="000839A4" w:rsidRDefault="000839A4" w:rsidP="000839A4">
      <w:pPr>
        <w:tabs>
          <w:tab w:val="left" w:pos="357"/>
        </w:tabs>
        <w:spacing w:before="0"/>
        <w:ind w:left="714" w:hanging="357"/>
        <w:rPr>
          <w:szCs w:val="24"/>
        </w:rPr>
      </w:pPr>
      <w:r w:rsidRPr="000839A4">
        <w:rPr>
          <w:szCs w:val="24"/>
        </w:rPr>
        <w:t>2.</w:t>
      </w:r>
      <w:r w:rsidRPr="000839A4">
        <w:rPr>
          <w:szCs w:val="24"/>
        </w:rPr>
        <w:tab/>
        <w:t>fondu účelově určených prostředků u poplatníka, který je veřejnou vysokou školou nebo veřejnou výzkumnou institucí,</w:t>
      </w:r>
    </w:p>
    <w:p w14:paraId="7213A6D6" w14:textId="77777777" w:rsidR="000839A4" w:rsidRPr="000839A4" w:rsidRDefault="000839A4" w:rsidP="000839A4">
      <w:pPr>
        <w:tabs>
          <w:tab w:val="left" w:pos="357"/>
        </w:tabs>
        <w:spacing w:before="0"/>
        <w:ind w:left="714" w:hanging="357"/>
        <w:rPr>
          <w:szCs w:val="24"/>
        </w:rPr>
      </w:pPr>
      <w:r w:rsidRPr="000839A4">
        <w:rPr>
          <w:szCs w:val="24"/>
        </w:rPr>
        <w:t>3.</w:t>
      </w:r>
      <w:r w:rsidRPr="000839A4">
        <w:rPr>
          <w:szCs w:val="24"/>
        </w:rPr>
        <w:tab/>
        <w:t>fondu provozních prostředků u poplatníka, který je veřejnou vysokou školou,</w:t>
      </w:r>
    </w:p>
    <w:p w14:paraId="76F4462B" w14:textId="77777777" w:rsidR="000839A4" w:rsidRPr="000839A4" w:rsidRDefault="000839A4" w:rsidP="000839A4">
      <w:pPr>
        <w:tabs>
          <w:tab w:val="left" w:pos="357"/>
        </w:tabs>
        <w:spacing w:before="0"/>
        <w:ind w:left="714" w:hanging="357"/>
        <w:rPr>
          <w:szCs w:val="24"/>
        </w:rPr>
      </w:pPr>
      <w:r w:rsidRPr="000839A4">
        <w:rPr>
          <w:szCs w:val="24"/>
        </w:rPr>
        <w:t>4.</w:t>
      </w:r>
      <w:r w:rsidRPr="000839A4">
        <w:rPr>
          <w:szCs w:val="24"/>
        </w:rPr>
        <w:tab/>
        <w:t>stipendijního fondu u poplatníka, který je vysokou školou,</w:t>
      </w:r>
    </w:p>
    <w:p w14:paraId="1434C527" w14:textId="77777777" w:rsidR="000839A4" w:rsidRPr="000839A4" w:rsidRDefault="000839A4" w:rsidP="000839A4">
      <w:pPr>
        <w:tabs>
          <w:tab w:val="left" w:pos="357"/>
        </w:tabs>
        <w:spacing w:before="0"/>
        <w:ind w:left="714" w:hanging="357"/>
        <w:rPr>
          <w:szCs w:val="24"/>
        </w:rPr>
      </w:pPr>
      <w:r w:rsidRPr="000839A4">
        <w:rPr>
          <w:szCs w:val="24"/>
        </w:rPr>
        <w:t>5.</w:t>
      </w:r>
      <w:r w:rsidRPr="000839A4">
        <w:rPr>
          <w:szCs w:val="24"/>
        </w:rPr>
        <w:tab/>
        <w:t>fondů k zabezpečení působnosti České kanceláře pojistitelů vymezené zákonem upravujícím pojištění odpovědnosti z provozu vozidla, s výjimkou výdajů na tvorbu fondu zábrany škod,</w:t>
      </w:r>
    </w:p>
    <w:p w14:paraId="477C2170" w14:textId="77777777" w:rsidR="000839A4" w:rsidRPr="000839A4" w:rsidRDefault="000839A4" w:rsidP="000839A4">
      <w:pPr>
        <w:tabs>
          <w:tab w:val="left" w:pos="357"/>
        </w:tabs>
        <w:spacing w:before="0"/>
        <w:ind w:left="357" w:hanging="357"/>
        <w:rPr>
          <w:noProof/>
          <w:szCs w:val="24"/>
        </w:rPr>
      </w:pPr>
      <w:r w:rsidRPr="000839A4">
        <w:rPr>
          <w:strike/>
          <w:noProof/>
          <w:szCs w:val="24"/>
        </w:rPr>
        <w:t xml:space="preserve">zs) </w:t>
      </w:r>
      <w:r w:rsidRPr="000839A4">
        <w:rPr>
          <w:b/>
          <w:strike/>
          <w:noProof/>
          <w:szCs w:val="24"/>
        </w:rPr>
        <w:t>zq) zp) zo) zn) zi) zg) zf) zd) zb)</w:t>
      </w:r>
      <w:r w:rsidRPr="000839A4">
        <w:rPr>
          <w:b/>
          <w:noProof/>
          <w:szCs w:val="24"/>
        </w:rPr>
        <w:t xml:space="preserve"> za)</w:t>
      </w:r>
      <w:r w:rsidRPr="000839A4">
        <w:rPr>
          <w:noProof/>
          <w:szCs w:val="24"/>
        </w:rPr>
        <w:t xml:space="preserve"> výdaje v podobě</w:t>
      </w:r>
    </w:p>
    <w:p w14:paraId="001BAF57" w14:textId="77777777" w:rsidR="000839A4" w:rsidRPr="000839A4" w:rsidRDefault="000839A4" w:rsidP="000839A4">
      <w:pPr>
        <w:numPr>
          <w:ilvl w:val="4"/>
          <w:numId w:val="1"/>
        </w:numPr>
        <w:spacing w:before="0"/>
        <w:jc w:val="left"/>
        <w:outlineLvl w:val="8"/>
      </w:pPr>
      <w:r w:rsidRPr="000839A4">
        <w:t>výdajů na provoz vlastního zařízení péče o děti předškolního věku nebo mateřské školy, nebo</w:t>
      </w:r>
    </w:p>
    <w:p w14:paraId="4122546D" w14:textId="77777777" w:rsidR="000839A4" w:rsidRPr="000839A4" w:rsidRDefault="000839A4" w:rsidP="000839A4">
      <w:pPr>
        <w:numPr>
          <w:ilvl w:val="4"/>
          <w:numId w:val="1"/>
        </w:numPr>
        <w:spacing w:before="0"/>
        <w:jc w:val="left"/>
        <w:outlineLvl w:val="8"/>
      </w:pPr>
      <w:r w:rsidRPr="000839A4">
        <w:t>příspěvku na provoz zařízení péče o děti předškolního věku nebo mateřské školy zajišťovaný jinými subjekty pro děti vlastních zaměstnanců,</w:t>
      </w:r>
    </w:p>
    <w:p w14:paraId="5D0DBFCD" w14:textId="77777777" w:rsidR="000839A4" w:rsidRPr="000839A4" w:rsidRDefault="000839A4" w:rsidP="000839A4">
      <w:pPr>
        <w:tabs>
          <w:tab w:val="left" w:pos="357"/>
        </w:tabs>
        <w:spacing w:before="0"/>
        <w:ind w:left="357" w:hanging="357"/>
        <w:rPr>
          <w:szCs w:val="24"/>
        </w:rPr>
      </w:pPr>
      <w:proofErr w:type="spellStart"/>
      <w:r w:rsidRPr="000839A4">
        <w:rPr>
          <w:strike/>
          <w:szCs w:val="24"/>
        </w:rPr>
        <w:t>zt</w:t>
      </w:r>
      <w:proofErr w:type="spellEnd"/>
      <w:r w:rsidRPr="000839A4">
        <w:rPr>
          <w:strike/>
          <w:szCs w:val="24"/>
        </w:rPr>
        <w:t xml:space="preserve">) </w:t>
      </w:r>
      <w:proofErr w:type="spellStart"/>
      <w:r w:rsidRPr="000839A4">
        <w:rPr>
          <w:b/>
          <w:strike/>
          <w:szCs w:val="24"/>
        </w:rPr>
        <w:t>zr</w:t>
      </w:r>
      <w:proofErr w:type="spellEnd"/>
      <w:r w:rsidRPr="000839A4">
        <w:rPr>
          <w:b/>
          <w:strike/>
          <w:szCs w:val="24"/>
        </w:rPr>
        <w:t xml:space="preserve">) </w:t>
      </w:r>
      <w:proofErr w:type="spellStart"/>
      <w:r w:rsidRPr="000839A4">
        <w:rPr>
          <w:b/>
          <w:strike/>
          <w:szCs w:val="24"/>
        </w:rPr>
        <w:t>zq</w:t>
      </w:r>
      <w:proofErr w:type="spellEnd"/>
      <w:r w:rsidRPr="000839A4">
        <w:rPr>
          <w:b/>
          <w:strike/>
          <w:szCs w:val="24"/>
        </w:rPr>
        <w:t xml:space="preserve">) </w:t>
      </w:r>
      <w:proofErr w:type="spellStart"/>
      <w:r w:rsidRPr="000839A4">
        <w:rPr>
          <w:b/>
          <w:strike/>
          <w:szCs w:val="24"/>
        </w:rPr>
        <w:t>zp</w:t>
      </w:r>
      <w:proofErr w:type="spellEnd"/>
      <w:r w:rsidRPr="000839A4">
        <w:rPr>
          <w:b/>
          <w:strike/>
          <w:szCs w:val="24"/>
        </w:rPr>
        <w:t xml:space="preserve">) </w:t>
      </w:r>
      <w:proofErr w:type="spellStart"/>
      <w:r w:rsidRPr="000839A4">
        <w:rPr>
          <w:b/>
          <w:strike/>
          <w:szCs w:val="24"/>
        </w:rPr>
        <w:t>zo</w:t>
      </w:r>
      <w:proofErr w:type="spellEnd"/>
      <w:r w:rsidRPr="000839A4">
        <w:rPr>
          <w:b/>
          <w:strike/>
          <w:szCs w:val="24"/>
        </w:rPr>
        <w:t xml:space="preserve">) </w:t>
      </w:r>
      <w:proofErr w:type="spellStart"/>
      <w:r w:rsidRPr="000839A4">
        <w:rPr>
          <w:b/>
          <w:strike/>
          <w:szCs w:val="24"/>
        </w:rPr>
        <w:t>zj</w:t>
      </w:r>
      <w:proofErr w:type="spellEnd"/>
      <w:r w:rsidRPr="000839A4">
        <w:rPr>
          <w:b/>
          <w:strike/>
          <w:szCs w:val="24"/>
        </w:rPr>
        <w:t xml:space="preserve">) </w:t>
      </w:r>
      <w:proofErr w:type="spellStart"/>
      <w:r w:rsidRPr="000839A4">
        <w:rPr>
          <w:b/>
          <w:strike/>
          <w:szCs w:val="24"/>
        </w:rPr>
        <w:t>zh</w:t>
      </w:r>
      <w:proofErr w:type="spellEnd"/>
      <w:r w:rsidRPr="000839A4">
        <w:rPr>
          <w:b/>
          <w:strike/>
          <w:szCs w:val="24"/>
        </w:rPr>
        <w:t xml:space="preserve">) </w:t>
      </w:r>
      <w:proofErr w:type="spellStart"/>
      <w:r w:rsidRPr="000839A4">
        <w:rPr>
          <w:b/>
          <w:strike/>
          <w:szCs w:val="24"/>
        </w:rPr>
        <w:t>zg</w:t>
      </w:r>
      <w:proofErr w:type="spellEnd"/>
      <w:r w:rsidRPr="000839A4">
        <w:rPr>
          <w:b/>
          <w:strike/>
          <w:szCs w:val="24"/>
        </w:rPr>
        <w:t xml:space="preserve">) ze) </w:t>
      </w:r>
      <w:proofErr w:type="spellStart"/>
      <w:r w:rsidRPr="000839A4">
        <w:rPr>
          <w:b/>
          <w:strike/>
          <w:szCs w:val="24"/>
        </w:rPr>
        <w:t>zc</w:t>
      </w:r>
      <w:proofErr w:type="spellEnd"/>
      <w:r w:rsidRPr="000839A4">
        <w:rPr>
          <w:b/>
          <w:strike/>
          <w:szCs w:val="24"/>
        </w:rPr>
        <w:t>)</w:t>
      </w:r>
      <w:r w:rsidRPr="000839A4">
        <w:rPr>
          <w:b/>
          <w:szCs w:val="24"/>
        </w:rPr>
        <w:t xml:space="preserve"> </w:t>
      </w:r>
      <w:proofErr w:type="spellStart"/>
      <w:r w:rsidRPr="000839A4">
        <w:rPr>
          <w:b/>
          <w:szCs w:val="24"/>
        </w:rPr>
        <w:t>zb</w:t>
      </w:r>
      <w:proofErr w:type="spellEnd"/>
      <w:r w:rsidRPr="000839A4">
        <w:rPr>
          <w:b/>
          <w:szCs w:val="24"/>
        </w:rPr>
        <w:t>)</w:t>
      </w:r>
      <w:r w:rsidRPr="000839A4">
        <w:rPr>
          <w:szCs w:val="24"/>
        </w:rPr>
        <w:tab/>
        <w:t xml:space="preserve">paušální výdaj na dopravu silničním motorovým vozidlem (dále jen „paušální výdaj na dopravu“), pokud nebyl uplatněn výdaj na dopravu silničním motorovým vozidlem podle písmene k) tohoto odstavce, ve výši 5 000 Kč na jedno silniční motorové vozidlo za každý celý kalendářní měsíc zdaňovacího období </w:t>
      </w:r>
      <w:r w:rsidRPr="000839A4">
        <w:rPr>
          <w:strike/>
          <w:szCs w:val="24"/>
        </w:rPr>
        <w:t>nebo období, za které se podává daňové přiznání</w:t>
      </w:r>
      <w:r w:rsidRPr="000839A4">
        <w:rPr>
          <w:szCs w:val="24"/>
        </w:rPr>
        <w:t xml:space="preserve">, ve kterém poplatník využíval příslušné silniční motorové vozidlo k dosažení, zajištění nebo udržení zdanitelných příjmů a současně toto silniční motorové vozidlo nepřenechal ani po část příslušného kalendářního měsíce k užívání jiné osobě. Za přenechání silničního motorového vozidla k užívání jiné osobě se nepovažuje uskutečnění pracovní cesty silničním motorovým vozidlem spolupracující osobou nebo zaměstnancem, který silniční motorové vozidlo nevyužívá i pro soukromé účely. Používá-li poplatník některé silniční motorové vozidlo, u něhož uplatňuje paušální výdaj na dopravu, pouze zčásti k dosažení, zajištění a udržení zdanitelného příjmu, lze na </w:t>
      </w:r>
      <w:r w:rsidRPr="000839A4">
        <w:rPr>
          <w:szCs w:val="24"/>
        </w:rPr>
        <w:lastRenderedPageBreak/>
        <w:t xml:space="preserve">takové silniční motorového vozidlo uplatnit pouze část paušálního výdaje na dopravu stanoveného podle první věty ve výši 80 % této částky (dále jen „krácený paušální výdaj na dopravu“). Pokud poplatník u některého vozidla uplatní v souladu s předchozí větou krácený paušální výdaj na dopravu, potom pro účely tohoto zákona platí, že ostatní vozidla, u nichž poplatník v souladu s tímto ustanovením uplatní paušální výdaje na dopravu, užívá výlučně k dosažení, zajištění a udržení zdanitelných příjmů. Pro účely tohoto zákona se má za to, že poplatník užívá silniční motorové vozidlo, u kterého uplatňuje paušální výdaj na dopravu, výlučně k dosažení, zajištění nebo udržení zdanitelných příjmů, pokud tak prohlásí, není-li prokázáno jinak. Paušální výdaj na dopravu možno uplatnit nejvýše za 3 </w:t>
      </w:r>
      <w:r w:rsidRPr="000839A4">
        <w:rPr>
          <w:strike/>
          <w:szCs w:val="24"/>
        </w:rPr>
        <w:t>vlastní silniční motorová vozidla</w:t>
      </w:r>
      <w:r w:rsidRPr="000839A4">
        <w:rPr>
          <w:szCs w:val="24"/>
        </w:rPr>
        <w:t xml:space="preserve"> </w:t>
      </w:r>
      <w:r w:rsidRPr="000839A4">
        <w:rPr>
          <w:strike/>
          <w:szCs w:val="24"/>
        </w:rPr>
        <w:t>zahrnutá nebo nezahrnutá do obchodního majetku nebo v nájmu</w:t>
      </w:r>
      <w:r w:rsidRPr="000839A4">
        <w:rPr>
          <w:szCs w:val="24"/>
        </w:rPr>
        <w:t xml:space="preserve"> </w:t>
      </w:r>
      <w:r w:rsidRPr="000839A4">
        <w:rPr>
          <w:b/>
          <w:noProof/>
          <w:szCs w:val="24"/>
        </w:rPr>
        <w:t>silniční motorová vozidla, která jsou jeho aktivy nebo která má v nájmu,</w:t>
      </w:r>
      <w:r w:rsidRPr="000839A4">
        <w:rPr>
          <w:szCs w:val="24"/>
        </w:rPr>
        <w:t xml:space="preserve"> za zdaňovací období </w:t>
      </w:r>
      <w:r w:rsidRPr="000839A4">
        <w:rPr>
          <w:strike/>
          <w:szCs w:val="24"/>
        </w:rPr>
        <w:t>nebo období, za které se podává daňové přiznání</w:t>
      </w:r>
      <w:r w:rsidRPr="000839A4">
        <w:rPr>
          <w:szCs w:val="24"/>
        </w:rPr>
        <w:t xml:space="preserve">. V průběhu zdaňovacího období nelze měnit způsob uplatnění paušálního výdaje na dopravu na způsob uplatnění výdajů podle písmene </w:t>
      </w:r>
      <w:r w:rsidRPr="000839A4">
        <w:rPr>
          <w:strike/>
          <w:szCs w:val="24"/>
        </w:rPr>
        <w:t>k)</w:t>
      </w:r>
      <w:r w:rsidRPr="000839A4">
        <w:rPr>
          <w:szCs w:val="24"/>
        </w:rPr>
        <w:t xml:space="preserve"> </w:t>
      </w:r>
      <w:r w:rsidRPr="000839A4">
        <w:rPr>
          <w:b/>
          <w:szCs w:val="24"/>
        </w:rPr>
        <w:t xml:space="preserve">g) </w:t>
      </w:r>
      <w:r w:rsidRPr="000839A4">
        <w:rPr>
          <w:szCs w:val="24"/>
        </w:rPr>
        <w:t xml:space="preserve">a naopak. V měsíci pořízení nebo vyřazení silničního motorového vozidla lze uplatnit poměrnou část paušálního výdaje na dopravu. Využívá-li k dosažení, zajištění a udržení příjmů silniční motorové vozidlo, které je ve společném jmění manželů nebo ve spoluvlastnictví, více poplatníků, mohou si v úhrnu uplatnit paušální výdaj na dopravu nejvýše 5 000 Kč. Paušální výdaj na dopravu nemohou uplatnit veřejně prospěšní poplatníci s výjimkou poplatníků, kteří jsou veřejnou vysokou školou, veřejnou výzkumnou institucí, poskytovatelem zdravotních služeb, který má oprávnění k poskytování zdravotních služeb podle zákona upravujícího zdravotní služby, obecně prospěšnou společností nebo ústavem, </w:t>
      </w:r>
    </w:p>
    <w:p w14:paraId="7383FA67" w14:textId="77777777" w:rsidR="000839A4" w:rsidRPr="000839A4" w:rsidRDefault="000839A4" w:rsidP="000839A4">
      <w:pPr>
        <w:tabs>
          <w:tab w:val="left" w:pos="357"/>
        </w:tabs>
        <w:spacing w:before="0"/>
        <w:ind w:left="357" w:hanging="357"/>
        <w:rPr>
          <w:szCs w:val="24"/>
        </w:rPr>
      </w:pPr>
      <w:proofErr w:type="spellStart"/>
      <w:r w:rsidRPr="000839A4">
        <w:rPr>
          <w:strike/>
          <w:szCs w:val="24"/>
        </w:rPr>
        <w:t>zu</w:t>
      </w:r>
      <w:proofErr w:type="spellEnd"/>
      <w:r w:rsidRPr="000839A4">
        <w:rPr>
          <w:strike/>
          <w:szCs w:val="24"/>
        </w:rPr>
        <w:t xml:space="preserve">) </w:t>
      </w:r>
      <w:proofErr w:type="spellStart"/>
      <w:r w:rsidRPr="000839A4">
        <w:rPr>
          <w:b/>
          <w:strike/>
          <w:szCs w:val="24"/>
        </w:rPr>
        <w:t>zs</w:t>
      </w:r>
      <w:proofErr w:type="spellEnd"/>
      <w:r w:rsidRPr="000839A4">
        <w:rPr>
          <w:b/>
          <w:strike/>
          <w:szCs w:val="24"/>
        </w:rPr>
        <w:t xml:space="preserve">) </w:t>
      </w:r>
      <w:proofErr w:type="spellStart"/>
      <w:r w:rsidRPr="000839A4">
        <w:rPr>
          <w:b/>
          <w:strike/>
          <w:szCs w:val="24"/>
        </w:rPr>
        <w:t>zr</w:t>
      </w:r>
      <w:proofErr w:type="spellEnd"/>
      <w:r w:rsidRPr="000839A4">
        <w:rPr>
          <w:b/>
          <w:strike/>
          <w:szCs w:val="24"/>
        </w:rPr>
        <w:t xml:space="preserve">) </w:t>
      </w:r>
      <w:proofErr w:type="spellStart"/>
      <w:r w:rsidRPr="000839A4">
        <w:rPr>
          <w:b/>
          <w:strike/>
          <w:szCs w:val="24"/>
        </w:rPr>
        <w:t>zq</w:t>
      </w:r>
      <w:proofErr w:type="spellEnd"/>
      <w:r w:rsidRPr="000839A4">
        <w:rPr>
          <w:b/>
          <w:strike/>
          <w:szCs w:val="24"/>
        </w:rPr>
        <w:t xml:space="preserve">) </w:t>
      </w:r>
      <w:proofErr w:type="spellStart"/>
      <w:r w:rsidRPr="000839A4">
        <w:rPr>
          <w:b/>
          <w:strike/>
          <w:szCs w:val="24"/>
        </w:rPr>
        <w:t>zp</w:t>
      </w:r>
      <w:proofErr w:type="spellEnd"/>
      <w:r w:rsidRPr="000839A4">
        <w:rPr>
          <w:b/>
          <w:strike/>
          <w:szCs w:val="24"/>
        </w:rPr>
        <w:t xml:space="preserve">) </w:t>
      </w:r>
      <w:proofErr w:type="spellStart"/>
      <w:r w:rsidRPr="000839A4">
        <w:rPr>
          <w:b/>
          <w:strike/>
          <w:szCs w:val="24"/>
        </w:rPr>
        <w:t>zk</w:t>
      </w:r>
      <w:proofErr w:type="spellEnd"/>
      <w:r w:rsidRPr="000839A4">
        <w:rPr>
          <w:b/>
          <w:strike/>
          <w:szCs w:val="24"/>
        </w:rPr>
        <w:t xml:space="preserve">) </w:t>
      </w:r>
      <w:proofErr w:type="spellStart"/>
      <w:r w:rsidRPr="000839A4">
        <w:rPr>
          <w:b/>
          <w:strike/>
          <w:szCs w:val="24"/>
        </w:rPr>
        <w:t>zi</w:t>
      </w:r>
      <w:proofErr w:type="spellEnd"/>
      <w:r w:rsidRPr="000839A4">
        <w:rPr>
          <w:b/>
          <w:strike/>
          <w:szCs w:val="24"/>
        </w:rPr>
        <w:t xml:space="preserve">) </w:t>
      </w:r>
      <w:proofErr w:type="spellStart"/>
      <w:r w:rsidRPr="000839A4">
        <w:rPr>
          <w:b/>
          <w:strike/>
          <w:szCs w:val="24"/>
        </w:rPr>
        <w:t>zh</w:t>
      </w:r>
      <w:proofErr w:type="spellEnd"/>
      <w:r w:rsidRPr="000839A4">
        <w:rPr>
          <w:b/>
          <w:strike/>
          <w:szCs w:val="24"/>
        </w:rPr>
        <w:t xml:space="preserve">) </w:t>
      </w:r>
      <w:proofErr w:type="spellStart"/>
      <w:r w:rsidRPr="000839A4">
        <w:rPr>
          <w:b/>
          <w:strike/>
          <w:szCs w:val="24"/>
        </w:rPr>
        <w:t>zf</w:t>
      </w:r>
      <w:proofErr w:type="spellEnd"/>
      <w:r w:rsidRPr="000839A4">
        <w:rPr>
          <w:b/>
          <w:strike/>
          <w:szCs w:val="24"/>
        </w:rPr>
        <w:t xml:space="preserve">) </w:t>
      </w:r>
      <w:proofErr w:type="spellStart"/>
      <w:r w:rsidRPr="000839A4">
        <w:rPr>
          <w:b/>
          <w:strike/>
          <w:szCs w:val="24"/>
        </w:rPr>
        <w:t>zd</w:t>
      </w:r>
      <w:proofErr w:type="spellEnd"/>
      <w:r w:rsidRPr="000839A4">
        <w:rPr>
          <w:b/>
          <w:strike/>
          <w:szCs w:val="24"/>
        </w:rPr>
        <w:t>)</w:t>
      </w:r>
      <w:r w:rsidRPr="000839A4">
        <w:rPr>
          <w:b/>
          <w:szCs w:val="24"/>
        </w:rPr>
        <w:t xml:space="preserve"> </w:t>
      </w:r>
      <w:proofErr w:type="spellStart"/>
      <w:r w:rsidRPr="000839A4">
        <w:rPr>
          <w:b/>
          <w:szCs w:val="24"/>
        </w:rPr>
        <w:t>zc</w:t>
      </w:r>
      <w:proofErr w:type="spellEnd"/>
      <w:r w:rsidRPr="000839A4">
        <w:rPr>
          <w:b/>
          <w:szCs w:val="24"/>
        </w:rPr>
        <w:t>)</w:t>
      </w:r>
      <w:r w:rsidRPr="000839A4">
        <w:rPr>
          <w:szCs w:val="24"/>
        </w:rPr>
        <w:tab/>
        <w:t xml:space="preserve">motivační příspěvek poskytnutý na základě smluvního vztahu žákovi nebo studentovi připravujícímu se pro poplatníka na výkon profese, a to do výše 5 000 Kč měsíčně, v případě studenta vysoké školy do výše 10 000 Kč měsíčně; motivačním příspěvkem se pro účely tohoto zákona rozumí stipendium, příspěvek na stravování, ubytování, vzdělávání ve vzdělávacích zařízeních související s budoucím výkonem profese, jízdné v prostředcích hromadné dopravy do místa vzdělávání a na pořízení osobních ochranných prostředků a pomůcek poskytovaných nad rámec zvláštních právních </w:t>
      </w:r>
      <w:proofErr w:type="gramStart"/>
      <w:r w:rsidRPr="000839A4">
        <w:rPr>
          <w:szCs w:val="24"/>
        </w:rPr>
        <w:t>předpisů</w:t>
      </w:r>
      <w:r w:rsidRPr="000839A4">
        <w:rPr>
          <w:strike/>
          <w:szCs w:val="24"/>
        </w:rPr>
        <w:t>,</w:t>
      </w:r>
      <w:r w:rsidRPr="000839A4">
        <w:rPr>
          <w:b/>
          <w:szCs w:val="24"/>
        </w:rPr>
        <w:t>.</w:t>
      </w:r>
      <w:proofErr w:type="gramEnd"/>
    </w:p>
    <w:p w14:paraId="292A46F1" w14:textId="77777777" w:rsidR="000839A4" w:rsidRPr="000839A4" w:rsidRDefault="000839A4" w:rsidP="000839A4">
      <w:pPr>
        <w:tabs>
          <w:tab w:val="left" w:pos="357"/>
        </w:tabs>
        <w:spacing w:before="0"/>
        <w:ind w:left="357" w:hanging="357"/>
        <w:rPr>
          <w:color w:val="000000" w:themeColor="text1"/>
          <w:szCs w:val="24"/>
        </w:rPr>
      </w:pPr>
      <w:proofErr w:type="spellStart"/>
      <w:r w:rsidRPr="000839A4">
        <w:rPr>
          <w:strike/>
          <w:color w:val="000000" w:themeColor="text1"/>
          <w:szCs w:val="24"/>
        </w:rPr>
        <w:t>zv</w:t>
      </w:r>
      <w:proofErr w:type="spellEnd"/>
      <w:r w:rsidRPr="000839A4">
        <w:rPr>
          <w:strike/>
          <w:color w:val="000000" w:themeColor="text1"/>
          <w:szCs w:val="24"/>
        </w:rPr>
        <w:t xml:space="preserve">) </w:t>
      </w:r>
      <w:proofErr w:type="spellStart"/>
      <w:r w:rsidRPr="000839A4">
        <w:rPr>
          <w:b/>
          <w:strike/>
          <w:color w:val="000000" w:themeColor="text1"/>
          <w:szCs w:val="24"/>
        </w:rPr>
        <w:t>zt</w:t>
      </w:r>
      <w:proofErr w:type="spellEnd"/>
      <w:r w:rsidRPr="000839A4">
        <w:rPr>
          <w:b/>
          <w:strike/>
          <w:color w:val="000000" w:themeColor="text1"/>
          <w:szCs w:val="24"/>
        </w:rPr>
        <w:t xml:space="preserve">) </w:t>
      </w:r>
      <w:proofErr w:type="spellStart"/>
      <w:r w:rsidRPr="000839A4">
        <w:rPr>
          <w:b/>
          <w:strike/>
          <w:color w:val="000000" w:themeColor="text1"/>
          <w:szCs w:val="24"/>
        </w:rPr>
        <w:t>zs</w:t>
      </w:r>
      <w:proofErr w:type="spellEnd"/>
      <w:r w:rsidRPr="000839A4">
        <w:rPr>
          <w:b/>
          <w:strike/>
          <w:color w:val="000000" w:themeColor="text1"/>
          <w:szCs w:val="24"/>
        </w:rPr>
        <w:t xml:space="preserve">) </w:t>
      </w:r>
      <w:proofErr w:type="spellStart"/>
      <w:r w:rsidRPr="000839A4">
        <w:rPr>
          <w:b/>
          <w:strike/>
          <w:color w:val="000000" w:themeColor="text1"/>
          <w:szCs w:val="24"/>
        </w:rPr>
        <w:t>zr</w:t>
      </w:r>
      <w:proofErr w:type="spellEnd"/>
      <w:r w:rsidRPr="000839A4">
        <w:rPr>
          <w:b/>
          <w:strike/>
          <w:color w:val="000000" w:themeColor="text1"/>
          <w:szCs w:val="24"/>
        </w:rPr>
        <w:t xml:space="preserve">) </w:t>
      </w:r>
      <w:proofErr w:type="spellStart"/>
      <w:r w:rsidRPr="000839A4">
        <w:rPr>
          <w:b/>
          <w:strike/>
          <w:color w:val="000000" w:themeColor="text1"/>
          <w:szCs w:val="24"/>
        </w:rPr>
        <w:t>zq</w:t>
      </w:r>
      <w:proofErr w:type="spellEnd"/>
      <w:r w:rsidRPr="000839A4">
        <w:rPr>
          <w:b/>
          <w:strike/>
          <w:color w:val="000000" w:themeColor="text1"/>
          <w:szCs w:val="24"/>
        </w:rPr>
        <w:t xml:space="preserve">) </w:t>
      </w:r>
      <w:proofErr w:type="spellStart"/>
      <w:r w:rsidRPr="000839A4">
        <w:rPr>
          <w:b/>
          <w:strike/>
          <w:color w:val="000000" w:themeColor="text1"/>
          <w:szCs w:val="24"/>
        </w:rPr>
        <w:t>zl</w:t>
      </w:r>
      <w:proofErr w:type="spellEnd"/>
      <w:r w:rsidRPr="000839A4">
        <w:rPr>
          <w:b/>
          <w:strike/>
          <w:color w:val="000000" w:themeColor="text1"/>
          <w:szCs w:val="24"/>
        </w:rPr>
        <w:t xml:space="preserve">) </w:t>
      </w:r>
      <w:proofErr w:type="spellStart"/>
      <w:r w:rsidRPr="000839A4">
        <w:rPr>
          <w:b/>
          <w:strike/>
          <w:color w:val="000000" w:themeColor="text1"/>
          <w:szCs w:val="24"/>
        </w:rPr>
        <w:t>zj</w:t>
      </w:r>
      <w:proofErr w:type="spellEnd"/>
      <w:r w:rsidRPr="000839A4">
        <w:rPr>
          <w:b/>
          <w:strike/>
          <w:color w:val="000000" w:themeColor="text1"/>
          <w:szCs w:val="24"/>
        </w:rPr>
        <w:t xml:space="preserve">) </w:t>
      </w:r>
      <w:proofErr w:type="spellStart"/>
      <w:r w:rsidRPr="000839A4">
        <w:rPr>
          <w:b/>
          <w:strike/>
          <w:color w:val="000000" w:themeColor="text1"/>
          <w:szCs w:val="24"/>
        </w:rPr>
        <w:t>zi</w:t>
      </w:r>
      <w:proofErr w:type="spellEnd"/>
      <w:r w:rsidRPr="000839A4">
        <w:rPr>
          <w:b/>
          <w:strike/>
          <w:color w:val="000000" w:themeColor="text1"/>
          <w:szCs w:val="24"/>
        </w:rPr>
        <w:t xml:space="preserve">) </w:t>
      </w:r>
      <w:proofErr w:type="spellStart"/>
      <w:r w:rsidRPr="000839A4">
        <w:rPr>
          <w:b/>
          <w:strike/>
          <w:color w:val="000000" w:themeColor="text1"/>
          <w:szCs w:val="24"/>
        </w:rPr>
        <w:t>zg</w:t>
      </w:r>
      <w:proofErr w:type="spellEnd"/>
      <w:r w:rsidRPr="000839A4">
        <w:rPr>
          <w:b/>
          <w:strike/>
          <w:color w:val="000000" w:themeColor="text1"/>
          <w:szCs w:val="24"/>
        </w:rPr>
        <w:t>) ze)</w:t>
      </w:r>
      <w:r w:rsidRPr="000839A4">
        <w:rPr>
          <w:b/>
          <w:color w:val="000000" w:themeColor="text1"/>
          <w:szCs w:val="24"/>
        </w:rPr>
        <w:t xml:space="preserve"> </w:t>
      </w:r>
      <w:proofErr w:type="spellStart"/>
      <w:r w:rsidRPr="000839A4">
        <w:rPr>
          <w:b/>
          <w:color w:val="000000" w:themeColor="text1"/>
          <w:szCs w:val="24"/>
        </w:rPr>
        <w:t>zd</w:t>
      </w:r>
      <w:proofErr w:type="spellEnd"/>
      <w:r w:rsidRPr="000839A4">
        <w:rPr>
          <w:b/>
          <w:color w:val="000000" w:themeColor="text1"/>
          <w:szCs w:val="24"/>
        </w:rPr>
        <w:t>)</w:t>
      </w:r>
      <w:r w:rsidRPr="000839A4">
        <w:rPr>
          <w:color w:val="000000" w:themeColor="text1"/>
          <w:szCs w:val="24"/>
        </w:rPr>
        <w:tab/>
        <w:t>jmenovitá hodnota pohledávky, nebo části pohledávky, z úvěru pojištěné u pojistitele se sídlem na území členského státu Evropské unie, která nikdy nevstoupila do základu pro výpočet limitu tvorby bankovních opravných položek podle jiného právního předpisu</w:t>
      </w:r>
      <w:r w:rsidRPr="000839A4">
        <w:rPr>
          <w:color w:val="000000" w:themeColor="text1"/>
          <w:szCs w:val="24"/>
          <w:vertAlign w:val="superscript"/>
        </w:rPr>
        <w:t>22a)</w:t>
      </w:r>
      <w:r w:rsidRPr="000839A4">
        <w:rPr>
          <w:color w:val="000000" w:themeColor="text1"/>
          <w:szCs w:val="24"/>
        </w:rPr>
        <w:t xml:space="preserve"> a ke které banka</w:t>
      </w:r>
      <w:r w:rsidRPr="000839A4">
        <w:rPr>
          <w:color w:val="000000" w:themeColor="text1"/>
          <w:szCs w:val="24"/>
          <w:vertAlign w:val="superscript"/>
        </w:rPr>
        <w:footnoteReference w:customMarkFollows="1" w:id="170"/>
        <w:t>109)</w:t>
      </w:r>
      <w:r w:rsidRPr="000839A4">
        <w:rPr>
          <w:color w:val="000000" w:themeColor="text1"/>
          <w:szCs w:val="24"/>
        </w:rPr>
        <w:t xml:space="preserve"> nikdy netvořila opravnou položku podle jiného právního předpisu</w:t>
      </w:r>
      <w:r w:rsidRPr="000839A4">
        <w:rPr>
          <w:color w:val="000000" w:themeColor="text1"/>
          <w:szCs w:val="24"/>
          <w:vertAlign w:val="superscript"/>
        </w:rPr>
        <w:t>22a)</w:t>
      </w:r>
      <w:r w:rsidRPr="000839A4">
        <w:rPr>
          <w:color w:val="000000" w:themeColor="text1"/>
          <w:szCs w:val="24"/>
        </w:rPr>
        <w:t xml:space="preserve">, a to do výše přijatého pojistného plnění; pohledávkou z úvěru se pro účely tohoto ustanovení rozumí pohledávka z titulu </w:t>
      </w:r>
    </w:p>
    <w:p w14:paraId="55F05966" w14:textId="77777777" w:rsidR="000839A4" w:rsidRPr="000839A4" w:rsidRDefault="000839A4" w:rsidP="000839A4">
      <w:pPr>
        <w:tabs>
          <w:tab w:val="left" w:pos="357"/>
        </w:tabs>
        <w:spacing w:before="0"/>
        <w:ind w:left="714" w:hanging="357"/>
        <w:rPr>
          <w:color w:val="000000" w:themeColor="text1"/>
          <w:szCs w:val="24"/>
        </w:rPr>
      </w:pPr>
      <w:r w:rsidRPr="000839A4">
        <w:rPr>
          <w:color w:val="000000" w:themeColor="text1"/>
          <w:szCs w:val="24"/>
        </w:rPr>
        <w:t>1.</w:t>
      </w:r>
      <w:r w:rsidRPr="000839A4">
        <w:rPr>
          <w:color w:val="000000" w:themeColor="text1"/>
          <w:szCs w:val="24"/>
        </w:rPr>
        <w:tab/>
        <w:t xml:space="preserve">jistiny a úroku z úvěru poskytnutého bankou, </w:t>
      </w:r>
    </w:p>
    <w:p w14:paraId="00A293B2" w14:textId="77777777" w:rsidR="000839A4" w:rsidRPr="000839A4" w:rsidRDefault="000839A4" w:rsidP="000839A4">
      <w:pPr>
        <w:tabs>
          <w:tab w:val="left" w:pos="357"/>
        </w:tabs>
        <w:spacing w:before="0"/>
        <w:ind w:left="714" w:hanging="357"/>
        <w:rPr>
          <w:color w:val="000000" w:themeColor="text1"/>
          <w:szCs w:val="24"/>
        </w:rPr>
      </w:pPr>
      <w:r w:rsidRPr="000839A4">
        <w:rPr>
          <w:color w:val="000000" w:themeColor="text1"/>
          <w:szCs w:val="24"/>
        </w:rPr>
        <w:t>2.</w:t>
      </w:r>
      <w:r w:rsidRPr="000839A4">
        <w:rPr>
          <w:color w:val="000000" w:themeColor="text1"/>
          <w:szCs w:val="24"/>
        </w:rPr>
        <w:tab/>
        <w:t>plnění z bankovní záruky poskytnutého bankou za nebankovním subjektem</w:t>
      </w:r>
      <w:r w:rsidRPr="000839A4">
        <w:rPr>
          <w:b/>
          <w:color w:val="000000" w:themeColor="text1"/>
          <w:szCs w:val="24"/>
        </w:rPr>
        <w:t>.</w:t>
      </w:r>
    </w:p>
    <w:p w14:paraId="7808CDE1" w14:textId="77777777" w:rsidR="000839A4" w:rsidRPr="000839A4" w:rsidRDefault="000839A4" w:rsidP="000839A4">
      <w:pPr>
        <w:spacing w:before="120"/>
        <w:rPr>
          <w:strike/>
          <w:szCs w:val="24"/>
        </w:rPr>
      </w:pPr>
      <w:r w:rsidRPr="000839A4">
        <w:rPr>
          <w:strike/>
          <w:szCs w:val="24"/>
        </w:rPr>
        <w:t xml:space="preserve">(3) U poplatníků, u nichž zdanění podléhají pouze příjmy z podnikatelské nebo jinak vymezené činnosti, a u veřejně prospěšných poplatníků se jako výdaje (náklady) uznávají pouze výdaje vynaložené na dosažení, zajištění a udržení příjmů, které jsou předmětem daně. </w:t>
      </w:r>
    </w:p>
    <w:p w14:paraId="04CF361E" w14:textId="77777777" w:rsidR="000839A4" w:rsidRPr="000839A4" w:rsidRDefault="000839A4" w:rsidP="000839A4">
      <w:pPr>
        <w:spacing w:before="120"/>
        <w:rPr>
          <w:strike/>
          <w:szCs w:val="24"/>
        </w:rPr>
      </w:pPr>
      <w:proofErr w:type="gramStart"/>
      <w:r w:rsidRPr="000839A4">
        <w:rPr>
          <w:strike/>
          <w:szCs w:val="24"/>
        </w:rPr>
        <w:t>(4</w:t>
      </w:r>
      <w:r w:rsidRPr="000839A4">
        <w:rPr>
          <w:b/>
          <w:strike/>
          <w:color w:val="000000" w:themeColor="text1"/>
          <w:szCs w:val="24"/>
        </w:rPr>
        <w:t xml:space="preserve">)  </w:t>
      </w:r>
      <w:r w:rsidRPr="000839A4">
        <w:rPr>
          <w:strike/>
          <w:color w:val="000000" w:themeColor="text1"/>
          <w:szCs w:val="24"/>
        </w:rPr>
        <w:t>Výdajem</w:t>
      </w:r>
      <w:proofErr w:type="gramEnd"/>
      <w:r w:rsidRPr="000839A4">
        <w:rPr>
          <w:strike/>
          <w:color w:val="000000" w:themeColor="text1"/>
          <w:szCs w:val="24"/>
        </w:rPr>
        <w:t xml:space="preserve"> podle odstavce 1 je také úplata u finančního leasingu, pokud po jeho ukončení je předmět finančního leasingu zahrnut do obchodního majetku</w:t>
      </w:r>
      <w:r w:rsidRPr="000839A4">
        <w:rPr>
          <w:strike/>
          <w:szCs w:val="24"/>
        </w:rPr>
        <w:t>.</w:t>
      </w:r>
    </w:p>
    <w:p w14:paraId="1C5BC1D7" w14:textId="77777777" w:rsidR="000839A4" w:rsidRPr="000839A4" w:rsidRDefault="000839A4" w:rsidP="000839A4">
      <w:pPr>
        <w:spacing w:before="120"/>
        <w:rPr>
          <w:strike/>
          <w:color w:val="000000" w:themeColor="text1"/>
          <w:szCs w:val="24"/>
        </w:rPr>
      </w:pPr>
      <w:r w:rsidRPr="000839A4">
        <w:rPr>
          <w:strike/>
          <w:color w:val="000000" w:themeColor="text1"/>
          <w:szCs w:val="24"/>
        </w:rPr>
        <w:lastRenderedPageBreak/>
        <w:t>(5) Pokud je poplatníkem úplatně nabyt majetek, který předtím úplatně užíval, a pokud nejsou splněny podmínky finančního leasingu, je úplata za užívání výdajem podle odstavce 1 pouze za podmínky, že poplatník zahrne tento majetek do obchodního majetku a cena za nabytí</w:t>
      </w:r>
    </w:p>
    <w:p w14:paraId="07281DA4" w14:textId="77777777" w:rsidR="000839A4" w:rsidRPr="000839A4" w:rsidRDefault="000839A4" w:rsidP="000839A4">
      <w:pPr>
        <w:tabs>
          <w:tab w:val="left" w:pos="357"/>
        </w:tabs>
        <w:spacing w:before="0"/>
        <w:ind w:left="357" w:hanging="357"/>
        <w:rPr>
          <w:strike/>
          <w:color w:val="000000" w:themeColor="text1"/>
          <w:szCs w:val="24"/>
        </w:rPr>
      </w:pPr>
      <w:r w:rsidRPr="000839A4">
        <w:rPr>
          <w:strike/>
          <w:color w:val="000000" w:themeColor="text1"/>
          <w:szCs w:val="24"/>
        </w:rPr>
        <w:t>a)</w:t>
      </w:r>
      <w:r w:rsidRPr="000839A4">
        <w:rPr>
          <w:strike/>
          <w:color w:val="000000" w:themeColor="text1"/>
          <w:szCs w:val="24"/>
        </w:rPr>
        <w:tab/>
        <w:t xml:space="preserve">hmotného majetku, který lze odpisovat podle tohoto zákona, nebude nižší než zůstatková cena vypočtená rovnoměrným způsobem podle § 31 odst. 1 písm. a) ze vstupní ceny evidované u vlastníka nebo pronajímatele za dobu, po kterou mohl být tento majetek odpisován; přitom při výpočtu zůstatkové ceny osobního automobilu se vždy vychází ze vstupní ceny včetně daně z přidané hodnoty. Je-li vlastníkem nebo pronajímatelem poplatník, který u pronajímaného hmotného majetku pokračoval v odpisování podle § 30 odst. 10, stanoví se zůstatková cena, jako by ke změně v osobě vlastníka nebo pronajímatele nedošlo, </w:t>
      </w:r>
    </w:p>
    <w:p w14:paraId="2905C976" w14:textId="77777777" w:rsidR="000839A4" w:rsidRPr="000839A4" w:rsidRDefault="000839A4" w:rsidP="000839A4">
      <w:pPr>
        <w:tabs>
          <w:tab w:val="left" w:pos="357"/>
        </w:tabs>
        <w:spacing w:before="0"/>
        <w:ind w:left="357" w:hanging="357"/>
        <w:rPr>
          <w:strike/>
          <w:color w:val="000000" w:themeColor="text1"/>
          <w:szCs w:val="24"/>
        </w:rPr>
      </w:pPr>
      <w:r w:rsidRPr="000839A4">
        <w:rPr>
          <w:strike/>
          <w:color w:val="000000" w:themeColor="text1"/>
          <w:szCs w:val="24"/>
        </w:rPr>
        <w:t>b)</w:t>
      </w:r>
      <w:r w:rsidRPr="000839A4">
        <w:rPr>
          <w:strike/>
          <w:color w:val="000000" w:themeColor="text1"/>
          <w:szCs w:val="24"/>
        </w:rPr>
        <w:tab/>
        <w:t>pozemku nebude nižší než cena určená podle zvláštního právního předpisu,</w:t>
      </w:r>
      <w:proofErr w:type="gramStart"/>
      <w:r w:rsidRPr="000839A4">
        <w:rPr>
          <w:strike/>
          <w:color w:val="000000" w:themeColor="text1"/>
          <w:szCs w:val="24"/>
          <w:vertAlign w:val="superscript"/>
        </w:rPr>
        <w:t>1a)</w:t>
      </w:r>
      <w:r w:rsidRPr="000839A4">
        <w:rPr>
          <w:strike/>
          <w:color w:val="000000" w:themeColor="text1"/>
          <w:szCs w:val="24"/>
        </w:rPr>
        <w:t xml:space="preserve">  platná</w:t>
      </w:r>
      <w:proofErr w:type="gramEnd"/>
      <w:r w:rsidRPr="000839A4">
        <w:rPr>
          <w:strike/>
          <w:color w:val="000000" w:themeColor="text1"/>
          <w:szCs w:val="24"/>
        </w:rPr>
        <w:t xml:space="preserve"> ke dni nabytí pozemku. Je-li mezi nájemcem a pronajímatelem sjednána dohoda o budoucí koupi pozemku v souvislosti se smlouvou o finančním leasingu stavebního díla umístěného na tomto pozemku, uznává se nájemné do výdajů (nákladů) za podmínky, že bude kupní cena pozemku vyšší než cena určená podle zvláštního právního </w:t>
      </w:r>
      <w:proofErr w:type="gramStart"/>
      <w:r w:rsidRPr="000839A4">
        <w:rPr>
          <w:strike/>
          <w:color w:val="000000" w:themeColor="text1"/>
          <w:szCs w:val="24"/>
        </w:rPr>
        <w:t>předpisu</w:t>
      </w:r>
      <w:r w:rsidRPr="000839A4">
        <w:rPr>
          <w:strike/>
          <w:color w:val="000000" w:themeColor="text1"/>
          <w:szCs w:val="24"/>
          <w:vertAlign w:val="superscript"/>
        </w:rPr>
        <w:t>1a)</w:t>
      </w:r>
      <w:r w:rsidRPr="000839A4">
        <w:rPr>
          <w:strike/>
          <w:color w:val="000000" w:themeColor="text1"/>
          <w:szCs w:val="24"/>
        </w:rPr>
        <w:t xml:space="preserve">  ke</w:t>
      </w:r>
      <w:proofErr w:type="gramEnd"/>
      <w:r w:rsidRPr="000839A4">
        <w:rPr>
          <w:strike/>
          <w:color w:val="000000" w:themeColor="text1"/>
          <w:szCs w:val="24"/>
        </w:rPr>
        <w:t xml:space="preserve"> dni prokazatelného sjednání dohody o budoucí koupi pozemku, </w:t>
      </w:r>
    </w:p>
    <w:p w14:paraId="5E0E8623" w14:textId="77777777" w:rsidR="000839A4" w:rsidRPr="000839A4" w:rsidRDefault="000839A4" w:rsidP="000839A4">
      <w:pPr>
        <w:tabs>
          <w:tab w:val="left" w:pos="357"/>
        </w:tabs>
        <w:spacing w:before="0"/>
        <w:ind w:left="357" w:hanging="357"/>
        <w:rPr>
          <w:strike/>
          <w:color w:val="000000" w:themeColor="text1"/>
          <w:szCs w:val="24"/>
        </w:rPr>
      </w:pPr>
      <w:r w:rsidRPr="000839A4">
        <w:rPr>
          <w:strike/>
          <w:color w:val="000000" w:themeColor="text1"/>
          <w:szCs w:val="24"/>
        </w:rPr>
        <w:t>c)</w:t>
      </w:r>
      <w:r w:rsidRPr="000839A4">
        <w:rPr>
          <w:strike/>
          <w:color w:val="000000" w:themeColor="text1"/>
          <w:szCs w:val="24"/>
        </w:rPr>
        <w:tab/>
        <w:t>hmotného majetku vyloučeného z odpisování (§ 27) nebude nižší než cena určená podle zvláštního právního předpisu,</w:t>
      </w:r>
      <w:proofErr w:type="gramStart"/>
      <w:r w:rsidRPr="000839A4">
        <w:rPr>
          <w:strike/>
          <w:color w:val="000000" w:themeColor="text1"/>
          <w:szCs w:val="24"/>
          <w:vertAlign w:val="superscript"/>
        </w:rPr>
        <w:t>1a)</w:t>
      </w:r>
      <w:r w:rsidRPr="000839A4">
        <w:rPr>
          <w:strike/>
          <w:color w:val="000000" w:themeColor="text1"/>
          <w:szCs w:val="24"/>
        </w:rPr>
        <w:t xml:space="preserve">  platná</w:t>
      </w:r>
      <w:proofErr w:type="gramEnd"/>
      <w:r w:rsidRPr="000839A4">
        <w:rPr>
          <w:strike/>
          <w:color w:val="000000" w:themeColor="text1"/>
          <w:szCs w:val="24"/>
        </w:rPr>
        <w:t xml:space="preserve"> ke dni sjednání kupní smlouvy, </w:t>
      </w:r>
    </w:p>
    <w:p w14:paraId="6E3CD77C" w14:textId="77777777" w:rsidR="000839A4" w:rsidRPr="000839A4" w:rsidRDefault="000839A4" w:rsidP="000839A4">
      <w:pPr>
        <w:tabs>
          <w:tab w:val="left" w:pos="357"/>
        </w:tabs>
        <w:spacing w:before="0"/>
        <w:ind w:left="357" w:hanging="357"/>
        <w:rPr>
          <w:strike/>
          <w:color w:val="000000" w:themeColor="text1"/>
          <w:szCs w:val="24"/>
        </w:rPr>
      </w:pPr>
      <w:r w:rsidRPr="000839A4">
        <w:rPr>
          <w:strike/>
          <w:color w:val="000000" w:themeColor="text1"/>
          <w:szCs w:val="24"/>
        </w:rPr>
        <w:t>d)</w:t>
      </w:r>
      <w:r w:rsidRPr="000839A4">
        <w:rPr>
          <w:strike/>
          <w:color w:val="000000" w:themeColor="text1"/>
          <w:szCs w:val="24"/>
        </w:rPr>
        <w:tab/>
        <w:t xml:space="preserve">hmotného majetku odpisovaného podle § 30b nebude nižší než zůstatková cena stanovená podle § 30b ze vstupní ceny evidované u vlastníka nebo pronajímatele za dobu, po kterou byl tento majetek odpisován; je-li vlastníkem nebo pronajímatelem poplatník, který u tohoto majetku pokračoval v odpisování podle § 30 odst. 10, stanoví se zůstatková cena, jako by ke změně v osobě vlastníka nebo pronajímatele nedošlo. </w:t>
      </w:r>
    </w:p>
    <w:p w14:paraId="2F23AA08" w14:textId="77777777" w:rsidR="000839A4" w:rsidRPr="000839A4" w:rsidRDefault="000839A4" w:rsidP="000839A4">
      <w:pPr>
        <w:spacing w:before="120"/>
        <w:rPr>
          <w:strike/>
          <w:szCs w:val="24"/>
        </w:rPr>
      </w:pPr>
      <w:r w:rsidRPr="000839A4">
        <w:rPr>
          <w:strike/>
          <w:szCs w:val="24"/>
        </w:rPr>
        <w:t xml:space="preserve">(6) </w:t>
      </w:r>
      <w:r w:rsidRPr="000839A4">
        <w:rPr>
          <w:strike/>
          <w:color w:val="000000" w:themeColor="text1"/>
          <w:szCs w:val="24"/>
        </w:rPr>
        <w:t>Je-li finanční leasing ukončen před uplynutím minimální doby finančního leasingu, je výdajem k dosažení, zajištění a udržení příjmů pouze poměrná část úplaty, která je výdajem (nákladem) podle, připadající ze sjednané doby finančního leasingu na skutečnou dobu finančního leasingu nebo skutečně zaplacená úplata, je-li nižší než poměrná část úplaty, která je výdajem (nákladem), připadající na skutečnou dobu finančního leasingu</w:t>
      </w:r>
      <w:r w:rsidRPr="000839A4">
        <w:rPr>
          <w:strike/>
          <w:szCs w:val="24"/>
        </w:rPr>
        <w:t xml:space="preserve">. </w:t>
      </w:r>
      <w:r w:rsidRPr="000839A4">
        <w:rPr>
          <w:strike/>
          <w:noProof/>
          <w:szCs w:val="24"/>
        </w:rPr>
        <w:t>U vozidel kategorie M1, u kterých byla úplata u finančního leasingu během doby finančního leasingu výdajem na dosažení, zajištění a udržení zdanitelných příjmů pouze v poměrné části podle § 30f odst. 1, se poměrná část podle věty první počítá z poměrné části úplaty u finančního leasingu, která byla výdajem na dosažení, zajištění a udržení zdanitelných příjmů podle § 30f odst. 1.</w:t>
      </w:r>
    </w:p>
    <w:p w14:paraId="063EC3A9" w14:textId="77777777" w:rsidR="000839A4" w:rsidRPr="000839A4" w:rsidRDefault="000839A4" w:rsidP="000839A4">
      <w:pPr>
        <w:spacing w:before="120"/>
        <w:rPr>
          <w:strike/>
          <w:szCs w:val="24"/>
        </w:rPr>
      </w:pPr>
      <w:proofErr w:type="gramStart"/>
      <w:r w:rsidRPr="000839A4">
        <w:rPr>
          <w:strike/>
          <w:szCs w:val="24"/>
        </w:rPr>
        <w:t xml:space="preserve">(7)  </w:t>
      </w:r>
      <w:r w:rsidRPr="000839A4">
        <w:rPr>
          <w:strike/>
          <w:color w:val="000000" w:themeColor="text1"/>
          <w:szCs w:val="24"/>
        </w:rPr>
        <w:t>Nabývací</w:t>
      </w:r>
      <w:proofErr w:type="gramEnd"/>
      <w:r w:rsidRPr="000839A4">
        <w:rPr>
          <w:strike/>
          <w:szCs w:val="24"/>
        </w:rPr>
        <w:t xml:space="preserve"> cenou se v případě podílů v obchodní korporaci pro účely tohoto zákona rozumí </w:t>
      </w:r>
    </w:p>
    <w:p w14:paraId="30E4DA33" w14:textId="77777777" w:rsidR="000839A4" w:rsidRPr="000839A4" w:rsidRDefault="000839A4" w:rsidP="000839A4">
      <w:pPr>
        <w:tabs>
          <w:tab w:val="left" w:pos="357"/>
        </w:tabs>
        <w:spacing w:before="0"/>
        <w:ind w:left="357" w:hanging="357"/>
        <w:rPr>
          <w:strike/>
          <w:szCs w:val="24"/>
        </w:rPr>
      </w:pPr>
      <w:r w:rsidRPr="000839A4">
        <w:rPr>
          <w:strike/>
          <w:szCs w:val="24"/>
        </w:rPr>
        <w:t>a)</w:t>
      </w:r>
      <w:r w:rsidRPr="000839A4">
        <w:rPr>
          <w:strike/>
          <w:szCs w:val="24"/>
        </w:rPr>
        <w:tab/>
        <w:t xml:space="preserve">hodnota splaceného peněžitého vkladu člena obchodní korporace, </w:t>
      </w:r>
    </w:p>
    <w:p w14:paraId="5693AC05" w14:textId="77777777" w:rsidR="000839A4" w:rsidRPr="000839A4" w:rsidRDefault="000839A4" w:rsidP="000839A4">
      <w:pPr>
        <w:tabs>
          <w:tab w:val="left" w:pos="357"/>
        </w:tabs>
        <w:spacing w:before="0"/>
        <w:ind w:left="357" w:hanging="357"/>
        <w:rPr>
          <w:strike/>
          <w:szCs w:val="24"/>
        </w:rPr>
      </w:pPr>
      <w:r w:rsidRPr="000839A4">
        <w:rPr>
          <w:strike/>
          <w:szCs w:val="24"/>
        </w:rPr>
        <w:t>b)</w:t>
      </w:r>
      <w:r w:rsidRPr="000839A4">
        <w:rPr>
          <w:strike/>
          <w:szCs w:val="24"/>
        </w:rPr>
        <w:tab/>
        <w:t xml:space="preserve">hodnota nepeněžitého vkladu člena obchodní korporace. Hodnota tohoto vkladu se stanoví u člena obchodní korporace, který je </w:t>
      </w:r>
    </w:p>
    <w:p w14:paraId="7A3B1F51" w14:textId="77777777" w:rsidR="000839A4" w:rsidRPr="000839A4" w:rsidRDefault="000839A4" w:rsidP="000839A4">
      <w:pPr>
        <w:tabs>
          <w:tab w:val="left" w:pos="357"/>
        </w:tabs>
        <w:spacing w:before="0"/>
        <w:ind w:left="714" w:hanging="357"/>
        <w:rPr>
          <w:strike/>
          <w:szCs w:val="24"/>
        </w:rPr>
      </w:pPr>
      <w:r w:rsidRPr="000839A4">
        <w:rPr>
          <w:strike/>
          <w:szCs w:val="24"/>
        </w:rPr>
        <w:t>1.</w:t>
      </w:r>
      <w:r w:rsidRPr="000839A4">
        <w:rPr>
          <w:strike/>
          <w:szCs w:val="24"/>
        </w:rPr>
        <w:tab/>
        <w:t xml:space="preserve">poplatníkem uvedeným v § 2 odst. 2, obdobně jako hodnota nepeněžitého příjmu v době provedení vkladu (§ 3 odst. 3). Hmotný majetek, který byl zahrnut v obchodním majetku poplatníka, se ocení zůstatkovou cenou (§ 29 odst. 2) a ostatní majetek pořizovací cenou, je-li pořízen úplatně, vlastními náklady, je-li pořízen ve vlastní režii, nebo cenou určenou podle zvláštního právního předpisu o oceňování </w:t>
      </w:r>
      <w:proofErr w:type="gramStart"/>
      <w:r w:rsidRPr="000839A4">
        <w:rPr>
          <w:strike/>
          <w:szCs w:val="24"/>
        </w:rPr>
        <w:t>majetku</w:t>
      </w:r>
      <w:r w:rsidRPr="000839A4">
        <w:rPr>
          <w:strike/>
          <w:szCs w:val="24"/>
          <w:vertAlign w:val="superscript"/>
        </w:rPr>
        <w:t>1a)</w:t>
      </w:r>
      <w:r w:rsidRPr="000839A4">
        <w:rPr>
          <w:strike/>
          <w:szCs w:val="24"/>
        </w:rPr>
        <w:t xml:space="preserve">  ke</w:t>
      </w:r>
      <w:proofErr w:type="gramEnd"/>
      <w:r w:rsidRPr="000839A4">
        <w:rPr>
          <w:strike/>
          <w:szCs w:val="24"/>
        </w:rPr>
        <w:t xml:space="preserve"> dni nabytí u majetku nabytého bezúplatně. Je-li vkladem majetek, který nebyl zahrnut do obchodního majetku poplatníka a byl pořízen nebo nabyt v době kratší než 5 let před splacením tohoto vkladu do obchodní korporace, ocení se pořizovací </w:t>
      </w:r>
      <w:proofErr w:type="gramStart"/>
      <w:r w:rsidRPr="000839A4">
        <w:rPr>
          <w:strike/>
          <w:szCs w:val="24"/>
        </w:rPr>
        <w:t>cenou,</w:t>
      </w:r>
      <w:r w:rsidRPr="000839A4">
        <w:rPr>
          <w:strike/>
          <w:szCs w:val="24"/>
          <w:vertAlign w:val="superscript"/>
        </w:rPr>
        <w:t>20</w:t>
      </w:r>
      <w:proofErr w:type="gramEnd"/>
      <w:r w:rsidRPr="000839A4">
        <w:rPr>
          <w:strike/>
          <w:szCs w:val="24"/>
          <w:vertAlign w:val="superscript"/>
        </w:rPr>
        <w:t>)</w:t>
      </w:r>
      <w:r w:rsidRPr="000839A4">
        <w:rPr>
          <w:strike/>
          <w:szCs w:val="24"/>
        </w:rPr>
        <w:t xml:space="preserve">  je-li pořízen úplatně, vlastními náklady,</w:t>
      </w:r>
      <w:r w:rsidRPr="000839A4">
        <w:rPr>
          <w:strike/>
          <w:szCs w:val="24"/>
          <w:vertAlign w:val="superscript"/>
        </w:rPr>
        <w:t>20)</w:t>
      </w:r>
      <w:r w:rsidRPr="000839A4">
        <w:rPr>
          <w:strike/>
          <w:szCs w:val="24"/>
        </w:rPr>
        <w:t xml:space="preserve"> je-li pořízen nebo vyroben ve vlastní režii, a při nabytí majetku bezúplatně cenou určenou podle zvláštního právního předpisu o </w:t>
      </w:r>
      <w:r w:rsidRPr="000839A4">
        <w:rPr>
          <w:strike/>
          <w:szCs w:val="24"/>
        </w:rPr>
        <w:lastRenderedPageBreak/>
        <w:t>oceňování majetku</w:t>
      </w:r>
      <w:r w:rsidRPr="000839A4">
        <w:rPr>
          <w:strike/>
          <w:szCs w:val="24"/>
          <w:vertAlign w:val="superscript"/>
        </w:rPr>
        <w:t xml:space="preserve">1a) </w:t>
      </w:r>
      <w:r w:rsidRPr="000839A4">
        <w:rPr>
          <w:strike/>
          <w:szCs w:val="24"/>
        </w:rPr>
        <w:t xml:space="preserve">ke dni nabytí; přitom u nemovitých věcí se nabývací cena zvyšuje o náklady prokazatelně vynaložené na jejich opravy a technické zhodnocení před splacením vkladu, </w:t>
      </w:r>
    </w:p>
    <w:p w14:paraId="492D6F05" w14:textId="77777777" w:rsidR="000839A4" w:rsidRPr="000839A4" w:rsidRDefault="000839A4" w:rsidP="000839A4">
      <w:pPr>
        <w:tabs>
          <w:tab w:val="left" w:pos="357"/>
        </w:tabs>
        <w:spacing w:before="0"/>
        <w:ind w:left="714" w:hanging="357"/>
        <w:rPr>
          <w:strike/>
          <w:szCs w:val="24"/>
        </w:rPr>
      </w:pPr>
      <w:r w:rsidRPr="000839A4">
        <w:rPr>
          <w:strike/>
          <w:szCs w:val="24"/>
        </w:rPr>
        <w:t>2.</w:t>
      </w:r>
      <w:r w:rsidRPr="000839A4">
        <w:rPr>
          <w:strike/>
          <w:szCs w:val="24"/>
        </w:rPr>
        <w:tab/>
        <w:t>poplatníkem uvedeným v § 17 odst. 3, ve výši zůstatkové ceny (§ 29 odst. 2) vkládaného hmotného majetku a dále ve výši účetní hodnoty</w:t>
      </w:r>
      <w:r w:rsidRPr="000839A4">
        <w:rPr>
          <w:strike/>
          <w:szCs w:val="24"/>
          <w:vertAlign w:val="superscript"/>
        </w:rPr>
        <w:t>20)</w:t>
      </w:r>
      <w:r w:rsidRPr="000839A4">
        <w:rPr>
          <w:strike/>
          <w:szCs w:val="24"/>
        </w:rPr>
        <w:t xml:space="preserve"> ostatního vkládaného majetku, </w:t>
      </w:r>
    </w:p>
    <w:p w14:paraId="6F08F1BF" w14:textId="77777777" w:rsidR="000839A4" w:rsidRPr="000839A4" w:rsidRDefault="000839A4" w:rsidP="000839A4">
      <w:pPr>
        <w:tabs>
          <w:tab w:val="left" w:pos="357"/>
        </w:tabs>
        <w:spacing w:before="0"/>
        <w:ind w:left="714" w:hanging="357"/>
        <w:rPr>
          <w:strike/>
          <w:szCs w:val="24"/>
        </w:rPr>
      </w:pPr>
      <w:r w:rsidRPr="000839A4">
        <w:rPr>
          <w:strike/>
          <w:szCs w:val="24"/>
        </w:rPr>
        <w:t>3.</w:t>
      </w:r>
      <w:r w:rsidRPr="000839A4">
        <w:rPr>
          <w:strike/>
          <w:szCs w:val="24"/>
        </w:rPr>
        <w:tab/>
        <w:t xml:space="preserve">poplatníkem uvedeným v § 2 odst. 3 a v § 17 odst. 4, ve výši přepočtené zahraniční ceny, </w:t>
      </w:r>
    </w:p>
    <w:p w14:paraId="452F31E9" w14:textId="77777777" w:rsidR="000839A4" w:rsidRPr="000839A4" w:rsidRDefault="000839A4" w:rsidP="000839A4">
      <w:pPr>
        <w:tabs>
          <w:tab w:val="left" w:pos="357"/>
        </w:tabs>
        <w:spacing w:before="0"/>
        <w:ind w:left="357" w:hanging="357"/>
        <w:rPr>
          <w:strike/>
          <w:szCs w:val="24"/>
        </w:rPr>
      </w:pPr>
      <w:r w:rsidRPr="000839A4">
        <w:rPr>
          <w:strike/>
          <w:szCs w:val="24"/>
        </w:rPr>
        <w:t>c)</w:t>
      </w:r>
      <w:r w:rsidRPr="000839A4">
        <w:rPr>
          <w:strike/>
          <w:szCs w:val="24"/>
        </w:rPr>
        <w:tab/>
        <w:t>pořizovací cena</w:t>
      </w:r>
      <w:r w:rsidRPr="000839A4">
        <w:rPr>
          <w:strike/>
          <w:szCs w:val="24"/>
          <w:vertAlign w:val="superscript"/>
        </w:rPr>
        <w:t>20)</w:t>
      </w:r>
      <w:r w:rsidRPr="000839A4">
        <w:rPr>
          <w:strike/>
          <w:szCs w:val="24"/>
        </w:rPr>
        <w:t xml:space="preserve"> majetkové účasti v případě nabytí podílu koupí nebo cena určená podle zvláštního právního předpisu o oceňování majetku</w:t>
      </w:r>
      <w:r w:rsidRPr="000839A4">
        <w:rPr>
          <w:strike/>
          <w:szCs w:val="24"/>
          <w:vertAlign w:val="superscript"/>
        </w:rPr>
        <w:t>1a)</w:t>
      </w:r>
      <w:r w:rsidRPr="000839A4">
        <w:rPr>
          <w:strike/>
          <w:szCs w:val="24"/>
        </w:rPr>
        <w:t xml:space="preserve"> ke dni nabytí v případě nabytí podílu bezúplatně. </w:t>
      </w:r>
    </w:p>
    <w:p w14:paraId="3E9A857F" w14:textId="77777777" w:rsidR="000839A4" w:rsidRPr="000839A4" w:rsidRDefault="000839A4" w:rsidP="000839A4">
      <w:pPr>
        <w:spacing w:before="120"/>
        <w:rPr>
          <w:strike/>
          <w:szCs w:val="24"/>
          <w:vertAlign w:val="superscript"/>
        </w:rPr>
      </w:pPr>
      <w:r w:rsidRPr="000839A4">
        <w:rPr>
          <w:strike/>
          <w:color w:val="000000" w:themeColor="text1"/>
          <w:szCs w:val="24"/>
        </w:rPr>
        <w:t>Nabývací cena podílu na obchodní korporaci se nemění při změně právní formy obchodní korporace a při fúzi, převodu jmění na společníka nebo rozdělení obchodní korporace</w:t>
      </w:r>
      <w:r w:rsidRPr="000839A4">
        <w:rPr>
          <w:strike/>
          <w:color w:val="000000" w:themeColor="text1"/>
          <w:szCs w:val="24"/>
          <w:vertAlign w:val="superscript"/>
        </w:rPr>
        <w:t>131)</w:t>
      </w:r>
      <w:r w:rsidRPr="000839A4">
        <w:rPr>
          <w:strike/>
          <w:color w:val="000000" w:themeColor="text1"/>
          <w:szCs w:val="24"/>
        </w:rPr>
        <w:t xml:space="preserve">. Nabývací cena podílu na akciové společnosti se nemění, nemění-li se hodnota vkladu společníka a dochází pouze k výměně jedné akcie za jednu jinou akcii nebo k výměně jedné akcie za více akcií anebo více akcií za jednu akcii; přitom je-li výměnou získán vyšší nebo nižší počet akcií, je nabývací cenou jedné akcie poměrný díl nabývací ceny původní akcie nebo součet nabývacích cen původních akcií. Obdobně to platí pro výměnu jednoho druhu cenného papíru (například zatímního listu, vyměnitelného dluhopisu, prioritního dluhopisu) za akcie, nemění-li se hodnota vkladu společníka. Nabývací cenu podílu na obchodní korporaci lze zvýšit o výdaje (náklady) přímo související s držbou podílu v obchodní korporaci, pokud poplatník prokáže, že podle § 25 odst. 1 písm. </w:t>
      </w:r>
      <w:proofErr w:type="spellStart"/>
      <w:r w:rsidRPr="000839A4">
        <w:rPr>
          <w:strike/>
          <w:color w:val="000000" w:themeColor="text1"/>
          <w:szCs w:val="24"/>
        </w:rPr>
        <w:t>zk</w:t>
      </w:r>
      <w:proofErr w:type="spellEnd"/>
      <w:r w:rsidRPr="000839A4">
        <w:rPr>
          <w:strike/>
          <w:color w:val="000000" w:themeColor="text1"/>
          <w:szCs w:val="24"/>
        </w:rPr>
        <w:t xml:space="preserve">) nebyly uznány jako výdaje (náklady) na dosažení, zajištění a udržení příjmů. U člena obchodní korporace, který je plátcem daně z přidané hodnoty, lze nabývací cenu podílu na obchodní korporaci, není-li tato obchodní korporace plátcem daně z přidané hodnoty, zvýšit o částku odvedené daně z přidané hodnoty vztahující se k vloženému majetku. Nabývací cena se u poplatníků uvedených v § 17 snižuje o doplatek na dorovnání nebo dorovnání v penězích, na který vznikne poplatníkovi nárok podle zvláštního právního </w:t>
      </w:r>
      <w:proofErr w:type="gramStart"/>
      <w:r w:rsidRPr="000839A4">
        <w:rPr>
          <w:strike/>
          <w:color w:val="000000" w:themeColor="text1"/>
          <w:szCs w:val="24"/>
        </w:rPr>
        <w:t>předpisu,</w:t>
      </w:r>
      <w:r w:rsidRPr="000839A4">
        <w:rPr>
          <w:strike/>
          <w:color w:val="000000" w:themeColor="text1"/>
          <w:szCs w:val="24"/>
          <w:vertAlign w:val="superscript"/>
        </w:rPr>
        <w:t>131</w:t>
      </w:r>
      <w:proofErr w:type="gramEnd"/>
      <w:r w:rsidRPr="000839A4">
        <w:rPr>
          <w:strike/>
          <w:color w:val="000000" w:themeColor="text1"/>
          <w:szCs w:val="24"/>
          <w:vertAlign w:val="superscript"/>
        </w:rPr>
        <w:t>)</w:t>
      </w:r>
      <w:r w:rsidRPr="000839A4">
        <w:rPr>
          <w:strike/>
          <w:color w:val="000000" w:themeColor="text1"/>
          <w:szCs w:val="24"/>
        </w:rPr>
        <w:t xml:space="preserve">  pokud byl tento doplatek na dorovnání nebo dorovnání v penězích zaúčtován v rozvaze. Nabývací cena nedosahuje záporných hodnot. Vkladem se pro účely tohoto zákona rozumí vklad do základního kapitálu včetně jiného plnění ve prospěch vlastního kapitálu. Nabývací cena podílu na obchodní korporaci se dále snižuje o příjmy plynoucí členovi obchodní korporace při snížení základního kapitálu, s výjimkou příjmů podléhajících zvláštní sazbě daně podle § 36 odst. 1 písm. b) bodu 3 nebo § 36 odst. 2 a u společníka společnosti s ručením omezeným i o vrácený příplatek vložený společníkem mimo základní kapitál. Nabývací cena se snižuje o ty části, které již byly uplatněny jako výdaje na dosažení, zajištění a udržení příjmů nebo které snížily základ daně pro daň vybíranou srážkou podle zvláštní sazby daně</w:t>
      </w:r>
      <w:r w:rsidRPr="000839A4">
        <w:rPr>
          <w:strike/>
          <w:szCs w:val="24"/>
        </w:rPr>
        <w:t>.</w:t>
      </w:r>
    </w:p>
    <w:p w14:paraId="49002869" w14:textId="77777777" w:rsidR="000839A4" w:rsidRPr="000839A4" w:rsidRDefault="000839A4" w:rsidP="000839A4">
      <w:pPr>
        <w:spacing w:before="120"/>
        <w:rPr>
          <w:strike/>
          <w:szCs w:val="24"/>
        </w:rPr>
      </w:pPr>
      <w:r w:rsidRPr="000839A4">
        <w:rPr>
          <w:strike/>
          <w:szCs w:val="24"/>
        </w:rPr>
        <w:t>(8</w:t>
      </w:r>
      <w:r w:rsidRPr="000839A4">
        <w:rPr>
          <w:strike/>
          <w:color w:val="000000" w:themeColor="text1"/>
          <w:szCs w:val="24"/>
        </w:rPr>
        <w:t>) Při prodeji obchodního závodu se nepoužijí ustanovení odstavce 2, která omezují uplatnění výdajů (nákladů) výší souvisejících příjmů u jednotlivě prodávaných majetků</w:t>
      </w:r>
      <w:r w:rsidRPr="000839A4">
        <w:rPr>
          <w:strike/>
          <w:szCs w:val="24"/>
        </w:rPr>
        <w:t xml:space="preserve">. </w:t>
      </w:r>
    </w:p>
    <w:p w14:paraId="261B24BB" w14:textId="77777777" w:rsidR="000839A4" w:rsidRPr="000839A4" w:rsidRDefault="000839A4" w:rsidP="000839A4">
      <w:pPr>
        <w:spacing w:before="120"/>
        <w:rPr>
          <w:strike/>
          <w:szCs w:val="24"/>
        </w:rPr>
      </w:pPr>
      <w:r w:rsidRPr="000839A4">
        <w:rPr>
          <w:strike/>
          <w:szCs w:val="24"/>
        </w:rPr>
        <w:t xml:space="preserve">(9) </w:t>
      </w:r>
      <w:r w:rsidRPr="000839A4">
        <w:rPr>
          <w:strike/>
          <w:color w:val="000000" w:themeColor="text1"/>
          <w:szCs w:val="24"/>
        </w:rPr>
        <w:t>U pohledávky nabyté při přeměně</w:t>
      </w:r>
      <w:r w:rsidRPr="000839A4">
        <w:rPr>
          <w:strike/>
          <w:color w:val="000000" w:themeColor="text1"/>
          <w:szCs w:val="24"/>
          <w:vertAlign w:val="superscript"/>
        </w:rPr>
        <w:t>131)</w:t>
      </w:r>
      <w:r w:rsidRPr="000839A4">
        <w:rPr>
          <w:strike/>
          <w:color w:val="000000" w:themeColor="text1"/>
          <w:szCs w:val="24"/>
        </w:rPr>
        <w:t xml:space="preserve">, nebyla-li nikdy součástí podrozvahových účtů zanikající nebo rozdělované obchodní korporace, pokračuje nástupnická obchodní korporace v odpisu </w:t>
      </w:r>
      <w:proofErr w:type="gramStart"/>
      <w:r w:rsidRPr="000839A4">
        <w:rPr>
          <w:strike/>
          <w:color w:val="000000" w:themeColor="text1"/>
          <w:szCs w:val="24"/>
        </w:rPr>
        <w:t>pohledávky</w:t>
      </w:r>
      <w:r w:rsidRPr="000839A4">
        <w:rPr>
          <w:strike/>
          <w:color w:val="000000" w:themeColor="text1"/>
          <w:szCs w:val="24"/>
          <w:vertAlign w:val="superscript"/>
        </w:rPr>
        <w:t>22b)</w:t>
      </w:r>
      <w:r w:rsidRPr="000839A4">
        <w:rPr>
          <w:strike/>
          <w:color w:val="000000" w:themeColor="text1"/>
          <w:szCs w:val="24"/>
        </w:rPr>
        <w:t xml:space="preserve">  nebo</w:t>
      </w:r>
      <w:proofErr w:type="gramEnd"/>
      <w:r w:rsidRPr="000839A4">
        <w:rPr>
          <w:strike/>
          <w:color w:val="000000" w:themeColor="text1"/>
          <w:szCs w:val="24"/>
        </w:rPr>
        <w:t xml:space="preserve"> v tvorbě opravné položky,</w:t>
      </w:r>
      <w:r w:rsidRPr="000839A4">
        <w:rPr>
          <w:strike/>
          <w:color w:val="000000" w:themeColor="text1"/>
          <w:szCs w:val="24"/>
          <w:vertAlign w:val="superscript"/>
        </w:rPr>
        <w:t>22a)</w:t>
      </w:r>
      <w:r w:rsidRPr="000839A4">
        <w:rPr>
          <w:strike/>
          <w:color w:val="000000" w:themeColor="text1"/>
          <w:szCs w:val="24"/>
        </w:rPr>
        <w:t xml:space="preserve"> jako by ke změně v osobě věřitele nedošlo, a to maximálně do výše, v jaké by mohla uplatnit odpis nebo tvorbu opravné položky zanikající nebo rozdělovaná obchodní korporace</w:t>
      </w:r>
      <w:r w:rsidRPr="000839A4">
        <w:rPr>
          <w:strike/>
          <w:szCs w:val="24"/>
        </w:rPr>
        <w:t xml:space="preserve">. </w:t>
      </w:r>
    </w:p>
    <w:p w14:paraId="7A5CD293" w14:textId="77777777" w:rsidR="000839A4" w:rsidRPr="000839A4" w:rsidRDefault="000839A4" w:rsidP="000839A4">
      <w:pPr>
        <w:spacing w:before="120"/>
        <w:rPr>
          <w:szCs w:val="24"/>
        </w:rPr>
      </w:pPr>
      <w:r w:rsidRPr="000839A4">
        <w:rPr>
          <w:strike/>
          <w:szCs w:val="24"/>
        </w:rPr>
        <w:t>(</w:t>
      </w:r>
      <w:proofErr w:type="gramStart"/>
      <w:r w:rsidRPr="000839A4">
        <w:rPr>
          <w:strike/>
          <w:szCs w:val="24"/>
        </w:rPr>
        <w:t>10)</w:t>
      </w:r>
      <w:r w:rsidRPr="000839A4">
        <w:rPr>
          <w:szCs w:val="24"/>
        </w:rPr>
        <w:t xml:space="preserve"> </w:t>
      </w:r>
      <w:r w:rsidRPr="000839A4">
        <w:rPr>
          <w:b/>
          <w:szCs w:val="24"/>
        </w:rPr>
        <w:t>(3)</w:t>
      </w:r>
      <w:r w:rsidRPr="000839A4">
        <w:rPr>
          <w:szCs w:val="24"/>
        </w:rPr>
        <w:t xml:space="preserve"> Za</w:t>
      </w:r>
      <w:proofErr w:type="gramEnd"/>
      <w:r w:rsidRPr="000839A4">
        <w:rPr>
          <w:szCs w:val="24"/>
        </w:rPr>
        <w:t xml:space="preserve"> živelní pohromu se pro účely tohoto zákona považují nezaviněný požár a výbuch, blesk, vichřice s rychlostí větru nad 75 km/h, povodeň, záplava, krupobití, sesouvání půdy, sesuny půdy a skalní zřícení, pokud k nim nedošlo v souvislosti s průmyslovým nebo stavebním provozem, sesouvání nebo zřícení lavin a zemětřesení dosahující alespoň 4. stupně </w:t>
      </w:r>
      <w:r w:rsidRPr="000839A4">
        <w:rPr>
          <w:szCs w:val="24"/>
        </w:rPr>
        <w:lastRenderedPageBreak/>
        <w:t xml:space="preserve">mezinárodní stupnice udávající </w:t>
      </w:r>
      <w:proofErr w:type="spellStart"/>
      <w:r w:rsidRPr="000839A4">
        <w:rPr>
          <w:szCs w:val="24"/>
        </w:rPr>
        <w:t>makroseismické</w:t>
      </w:r>
      <w:proofErr w:type="spellEnd"/>
      <w:r w:rsidRPr="000839A4">
        <w:rPr>
          <w:szCs w:val="24"/>
        </w:rPr>
        <w:t xml:space="preserve"> účinky zemětřesení. Výše škody musí být doložena posudkem pojišťovny, a to i v případě, že poplatník není pojištěn, nebo posudkem soudního znalce. </w:t>
      </w:r>
    </w:p>
    <w:p w14:paraId="56075DE4" w14:textId="77777777" w:rsidR="000839A4" w:rsidRPr="000839A4" w:rsidRDefault="000839A4" w:rsidP="000839A4">
      <w:pPr>
        <w:spacing w:before="120"/>
        <w:rPr>
          <w:szCs w:val="24"/>
        </w:rPr>
      </w:pPr>
      <w:r w:rsidRPr="000839A4">
        <w:rPr>
          <w:strike/>
          <w:szCs w:val="24"/>
        </w:rPr>
        <w:t>(</w:t>
      </w:r>
      <w:proofErr w:type="gramStart"/>
      <w:r w:rsidRPr="000839A4">
        <w:rPr>
          <w:strike/>
          <w:szCs w:val="24"/>
        </w:rPr>
        <w:t xml:space="preserve">11) </w:t>
      </w:r>
      <w:r w:rsidRPr="000839A4">
        <w:rPr>
          <w:b/>
          <w:strike/>
          <w:szCs w:val="24"/>
        </w:rPr>
        <w:t>(4)</w:t>
      </w:r>
      <w:r w:rsidRPr="000839A4">
        <w:rPr>
          <w:strike/>
          <w:szCs w:val="24"/>
        </w:rPr>
        <w:t xml:space="preserve"> Při</w:t>
      </w:r>
      <w:proofErr w:type="gramEnd"/>
      <w:r w:rsidRPr="000839A4">
        <w:rPr>
          <w:strike/>
          <w:szCs w:val="24"/>
        </w:rPr>
        <w:t xml:space="preserve"> prodeji majetku, který se neodpisuje podle tohoto zákona ani podle zvláštního právního předpisu</w:t>
      </w:r>
      <w:r w:rsidRPr="000839A4">
        <w:rPr>
          <w:strike/>
          <w:szCs w:val="24"/>
          <w:vertAlign w:val="superscript"/>
        </w:rPr>
        <w:t>20)</w:t>
      </w:r>
      <w:r w:rsidRPr="000839A4">
        <w:rPr>
          <w:strike/>
          <w:szCs w:val="24"/>
        </w:rPr>
        <w:t xml:space="preserve">, nebo obdobného právního předpisu v zahraničí a byl nabyt vkladem, při přeměně, při převodu obchodního závodu podle § 23a, při fúzi obchodních společností nebo při rozdělení obchodní společnosti podle § 23c, lze související výdaj (náklad) na dosažení, zajištění a udržení příjmů uplatnit jen do výše jeho hodnoty evidované v účetnictví nebo v daňové evidenci u vkladatele, u zanikající, u rozdělované nebo u převádějící obchodní korporace před oceněním tohoto majetku reálnou hodnotou. Hodnotu majetku evidovanou v účetnictví nebo v daňové evidenci u vkladatele, u zanikající, u rozdělované nebo u převádějící obchodní korporace lze zvýšit o případné opravné položky vytvořené k uvedenému majetku, jejichž tvorba nebyla u vkladatele, u zanikající, u rozdělované nebo u převádějící obchodní korporace pro daňové účely výdajem (nákladem) na dosažení, zajištění a udržení příjmů, není-li stanoveno v tomto zákoně jinak. Obdobně se postupuje při vyřazení majetku z důvodu spotřeby. Takto stanovený výdaj (náklad) se použije i při následném vkladu, následné </w:t>
      </w:r>
      <w:proofErr w:type="gramStart"/>
      <w:r w:rsidRPr="000839A4">
        <w:rPr>
          <w:strike/>
          <w:szCs w:val="24"/>
        </w:rPr>
        <w:t>přeměně,</w:t>
      </w:r>
      <w:r w:rsidRPr="000839A4">
        <w:rPr>
          <w:strike/>
          <w:szCs w:val="24"/>
          <w:vertAlign w:val="superscript"/>
        </w:rPr>
        <w:t>131</w:t>
      </w:r>
      <w:proofErr w:type="gramEnd"/>
      <w:r w:rsidRPr="000839A4">
        <w:rPr>
          <w:strike/>
          <w:szCs w:val="24"/>
          <w:vertAlign w:val="superscript"/>
        </w:rPr>
        <w:t>)</w:t>
      </w:r>
      <w:r w:rsidRPr="000839A4">
        <w:rPr>
          <w:strike/>
          <w:szCs w:val="24"/>
        </w:rPr>
        <w:t xml:space="preserve"> převodu obchodního závodu podle § 23a nebo fúzi obchodních společností nebo rozdělení obchodní společnosti. </w:t>
      </w:r>
    </w:p>
    <w:p w14:paraId="73A9E3D8" w14:textId="77777777" w:rsidR="000839A4" w:rsidRPr="000839A4" w:rsidRDefault="000839A4" w:rsidP="000839A4">
      <w:pPr>
        <w:spacing w:before="120" w:after="120"/>
        <w:rPr>
          <w:strike/>
          <w:color w:val="000000" w:themeColor="text1"/>
          <w:szCs w:val="24"/>
        </w:rPr>
      </w:pPr>
      <w:r w:rsidRPr="000839A4">
        <w:rPr>
          <w:strike/>
          <w:szCs w:val="24"/>
        </w:rPr>
        <w:t>(</w:t>
      </w:r>
      <w:proofErr w:type="gramStart"/>
      <w:r w:rsidRPr="000839A4">
        <w:rPr>
          <w:strike/>
          <w:szCs w:val="24"/>
        </w:rPr>
        <w:t xml:space="preserve">12) </w:t>
      </w:r>
      <w:r w:rsidRPr="000839A4">
        <w:rPr>
          <w:b/>
          <w:strike/>
          <w:szCs w:val="24"/>
        </w:rPr>
        <w:t xml:space="preserve">(5) (4) </w:t>
      </w:r>
      <w:r w:rsidRPr="000839A4">
        <w:rPr>
          <w:strike/>
          <w:color w:val="000000" w:themeColor="text1"/>
          <w:szCs w:val="24"/>
        </w:rPr>
        <w:t>Při</w:t>
      </w:r>
      <w:proofErr w:type="gramEnd"/>
      <w:r w:rsidRPr="000839A4">
        <w:rPr>
          <w:strike/>
          <w:color w:val="000000" w:themeColor="text1"/>
          <w:szCs w:val="24"/>
        </w:rPr>
        <w:t xml:space="preserve"> prodeji obchodního závodu poplatníkem, který nevede účetnictví, pokud neuplatňuje výdaje podle § 7 odst. 7 je výdajem na dosažení, zajištění a udržení příjmů </w:t>
      </w:r>
    </w:p>
    <w:p w14:paraId="5796C483" w14:textId="77777777" w:rsidR="000839A4" w:rsidRPr="000839A4" w:rsidRDefault="000839A4" w:rsidP="000839A4">
      <w:pPr>
        <w:tabs>
          <w:tab w:val="left" w:pos="357"/>
        </w:tabs>
        <w:spacing w:before="0"/>
        <w:ind w:left="357" w:hanging="357"/>
        <w:rPr>
          <w:strike/>
          <w:color w:val="000000" w:themeColor="text1"/>
          <w:szCs w:val="24"/>
        </w:rPr>
      </w:pPr>
      <w:r w:rsidRPr="000839A4">
        <w:rPr>
          <w:strike/>
          <w:color w:val="000000" w:themeColor="text1"/>
          <w:szCs w:val="24"/>
        </w:rPr>
        <w:t>a)</w:t>
      </w:r>
      <w:r w:rsidRPr="000839A4">
        <w:rPr>
          <w:strike/>
          <w:color w:val="000000" w:themeColor="text1"/>
          <w:szCs w:val="24"/>
        </w:rPr>
        <w:tab/>
        <w:t xml:space="preserve">součet zůstatkových cen hmotného majetku, </w:t>
      </w:r>
    </w:p>
    <w:p w14:paraId="4DFDB6EC" w14:textId="77777777" w:rsidR="000839A4" w:rsidRPr="000839A4" w:rsidRDefault="000839A4" w:rsidP="000839A4">
      <w:pPr>
        <w:tabs>
          <w:tab w:val="left" w:pos="357"/>
        </w:tabs>
        <w:spacing w:before="0"/>
        <w:ind w:left="357" w:hanging="357"/>
        <w:rPr>
          <w:strike/>
          <w:color w:val="000000" w:themeColor="text1"/>
          <w:szCs w:val="24"/>
        </w:rPr>
      </w:pPr>
      <w:r w:rsidRPr="000839A4">
        <w:rPr>
          <w:strike/>
          <w:color w:val="000000" w:themeColor="text1"/>
          <w:szCs w:val="24"/>
        </w:rPr>
        <w:t>b)</w:t>
      </w:r>
      <w:r w:rsidRPr="000839A4">
        <w:rPr>
          <w:strike/>
          <w:color w:val="000000" w:themeColor="text1"/>
          <w:szCs w:val="24"/>
        </w:rPr>
        <w:tab/>
        <w:t xml:space="preserve">součet zůstatkových cen nehmotného majetku evidovaného v majetku poplatníka do 31. prosince 2000, který může být odpisován, </w:t>
      </w:r>
    </w:p>
    <w:p w14:paraId="195F53B4" w14:textId="77777777" w:rsidR="000839A4" w:rsidRPr="000839A4" w:rsidRDefault="000839A4" w:rsidP="000839A4">
      <w:pPr>
        <w:tabs>
          <w:tab w:val="left" w:pos="357"/>
        </w:tabs>
        <w:spacing w:before="0"/>
        <w:ind w:left="357" w:hanging="357"/>
        <w:rPr>
          <w:strike/>
          <w:color w:val="000000" w:themeColor="text1"/>
          <w:szCs w:val="24"/>
        </w:rPr>
      </w:pPr>
      <w:r w:rsidRPr="000839A4">
        <w:rPr>
          <w:strike/>
          <w:color w:val="000000" w:themeColor="text1"/>
          <w:szCs w:val="24"/>
        </w:rPr>
        <w:t>c)</w:t>
      </w:r>
      <w:r w:rsidRPr="000839A4">
        <w:rPr>
          <w:strike/>
          <w:color w:val="000000" w:themeColor="text1"/>
          <w:szCs w:val="24"/>
        </w:rPr>
        <w:tab/>
        <w:t xml:space="preserve">hodnota peněžních prostředků a cenin, </w:t>
      </w:r>
    </w:p>
    <w:p w14:paraId="791ADD4E" w14:textId="77777777" w:rsidR="000839A4" w:rsidRPr="000839A4" w:rsidRDefault="000839A4" w:rsidP="000839A4">
      <w:pPr>
        <w:tabs>
          <w:tab w:val="left" w:pos="357"/>
        </w:tabs>
        <w:spacing w:before="0"/>
        <w:ind w:left="357" w:hanging="357"/>
        <w:rPr>
          <w:strike/>
          <w:color w:val="000000" w:themeColor="text1"/>
          <w:szCs w:val="24"/>
        </w:rPr>
      </w:pPr>
      <w:r w:rsidRPr="000839A4">
        <w:rPr>
          <w:strike/>
          <w:color w:val="000000" w:themeColor="text1"/>
          <w:szCs w:val="24"/>
        </w:rPr>
        <w:t>d)</w:t>
      </w:r>
      <w:r w:rsidRPr="000839A4">
        <w:rPr>
          <w:strike/>
          <w:color w:val="000000" w:themeColor="text1"/>
          <w:szCs w:val="24"/>
        </w:rPr>
        <w:tab/>
        <w:t xml:space="preserve">hodnota finančního majetku, </w:t>
      </w:r>
    </w:p>
    <w:p w14:paraId="16A8ED07" w14:textId="77777777" w:rsidR="000839A4" w:rsidRPr="000839A4" w:rsidRDefault="000839A4" w:rsidP="000839A4">
      <w:pPr>
        <w:tabs>
          <w:tab w:val="left" w:pos="357"/>
        </w:tabs>
        <w:spacing w:before="0"/>
        <w:ind w:left="357" w:hanging="357"/>
        <w:rPr>
          <w:strike/>
          <w:color w:val="000000" w:themeColor="text1"/>
          <w:szCs w:val="24"/>
        </w:rPr>
      </w:pPr>
      <w:r w:rsidRPr="000839A4">
        <w:rPr>
          <w:strike/>
          <w:color w:val="000000" w:themeColor="text1"/>
          <w:szCs w:val="24"/>
        </w:rPr>
        <w:t>e)</w:t>
      </w:r>
      <w:r w:rsidRPr="000839A4">
        <w:rPr>
          <w:strike/>
          <w:color w:val="000000" w:themeColor="text1"/>
          <w:szCs w:val="24"/>
        </w:rPr>
        <w:tab/>
        <w:t xml:space="preserve">vstupní cena hmotného majetku vyloučeného z odpisování, </w:t>
      </w:r>
    </w:p>
    <w:p w14:paraId="6999EA66" w14:textId="77777777" w:rsidR="000839A4" w:rsidRPr="000839A4" w:rsidRDefault="000839A4" w:rsidP="000839A4">
      <w:pPr>
        <w:tabs>
          <w:tab w:val="left" w:pos="357"/>
        </w:tabs>
        <w:spacing w:before="0"/>
        <w:ind w:left="357" w:hanging="357"/>
        <w:rPr>
          <w:strike/>
          <w:color w:val="000000" w:themeColor="text1"/>
          <w:szCs w:val="24"/>
        </w:rPr>
      </w:pPr>
      <w:r w:rsidRPr="000839A4">
        <w:rPr>
          <w:strike/>
          <w:color w:val="000000" w:themeColor="text1"/>
          <w:szCs w:val="24"/>
        </w:rPr>
        <w:t>f)</w:t>
      </w:r>
      <w:r w:rsidRPr="000839A4">
        <w:rPr>
          <w:strike/>
          <w:color w:val="000000" w:themeColor="text1"/>
          <w:szCs w:val="24"/>
        </w:rPr>
        <w:tab/>
        <w:t xml:space="preserve">pořizovací cena pozemku, </w:t>
      </w:r>
    </w:p>
    <w:p w14:paraId="50C2487C" w14:textId="77777777" w:rsidR="000839A4" w:rsidRPr="000839A4" w:rsidRDefault="000839A4" w:rsidP="000839A4">
      <w:pPr>
        <w:tabs>
          <w:tab w:val="left" w:pos="357"/>
        </w:tabs>
        <w:spacing w:before="0"/>
        <w:ind w:left="357" w:hanging="357"/>
        <w:rPr>
          <w:strike/>
          <w:color w:val="000000" w:themeColor="text1"/>
          <w:szCs w:val="24"/>
        </w:rPr>
      </w:pPr>
      <w:r w:rsidRPr="000839A4">
        <w:rPr>
          <w:strike/>
          <w:color w:val="000000" w:themeColor="text1"/>
          <w:szCs w:val="24"/>
        </w:rPr>
        <w:t>g)</w:t>
      </w:r>
      <w:r w:rsidRPr="000839A4">
        <w:rPr>
          <w:strike/>
          <w:color w:val="000000" w:themeColor="text1"/>
          <w:szCs w:val="24"/>
        </w:rPr>
        <w:tab/>
        <w:t xml:space="preserve">hodnota pohledávky, jejíž úhrada by nebyla zdanitelným příjmem, </w:t>
      </w:r>
    </w:p>
    <w:p w14:paraId="4863996F" w14:textId="77777777" w:rsidR="000839A4" w:rsidRPr="000839A4" w:rsidRDefault="000839A4" w:rsidP="000839A4">
      <w:pPr>
        <w:tabs>
          <w:tab w:val="left" w:pos="357"/>
        </w:tabs>
        <w:spacing w:before="0"/>
        <w:ind w:left="357" w:hanging="357"/>
        <w:rPr>
          <w:strike/>
          <w:color w:val="000000" w:themeColor="text1"/>
          <w:szCs w:val="24"/>
        </w:rPr>
      </w:pPr>
      <w:r w:rsidRPr="000839A4">
        <w:rPr>
          <w:strike/>
          <w:color w:val="000000" w:themeColor="text1"/>
          <w:szCs w:val="24"/>
        </w:rPr>
        <w:t>h)</w:t>
      </w:r>
      <w:r w:rsidRPr="000839A4">
        <w:rPr>
          <w:strike/>
          <w:color w:val="000000" w:themeColor="text1"/>
          <w:szCs w:val="24"/>
        </w:rPr>
        <w:tab/>
        <w:t xml:space="preserve">úplata u finančního leasingu zaplacená uživatelem, která převyšuje poměrnou část úplaty uznané jako daňový výdaj podle odstavce 2 písm. h), přechází-li smlouva o finančním leasingu na kupujícího, </w:t>
      </w:r>
    </w:p>
    <w:p w14:paraId="30020FBE" w14:textId="77777777" w:rsidR="000839A4" w:rsidRPr="000839A4" w:rsidRDefault="000839A4" w:rsidP="000839A4">
      <w:pPr>
        <w:tabs>
          <w:tab w:val="left" w:pos="357"/>
        </w:tabs>
        <w:spacing w:before="0"/>
        <w:ind w:left="357" w:hanging="357"/>
        <w:rPr>
          <w:strike/>
          <w:color w:val="000000" w:themeColor="text1"/>
          <w:szCs w:val="24"/>
        </w:rPr>
      </w:pPr>
      <w:r w:rsidRPr="000839A4">
        <w:rPr>
          <w:strike/>
          <w:color w:val="000000" w:themeColor="text1"/>
          <w:szCs w:val="24"/>
        </w:rPr>
        <w:t>i)</w:t>
      </w:r>
      <w:r w:rsidRPr="000839A4">
        <w:rPr>
          <w:strike/>
          <w:color w:val="000000" w:themeColor="text1"/>
          <w:szCs w:val="24"/>
        </w:rPr>
        <w:tab/>
        <w:t xml:space="preserve">hodnota dluhů, jejichž úhrada by byla výdajem. </w:t>
      </w:r>
    </w:p>
    <w:p w14:paraId="5A22AC63" w14:textId="77777777" w:rsidR="000839A4" w:rsidRPr="000839A4" w:rsidRDefault="000839A4" w:rsidP="000839A4">
      <w:pPr>
        <w:spacing w:before="120" w:after="120"/>
        <w:rPr>
          <w:b/>
          <w:color w:val="000000" w:themeColor="text1"/>
          <w:szCs w:val="24"/>
        </w:rPr>
      </w:pPr>
      <w:r w:rsidRPr="000839A4">
        <w:rPr>
          <w:b/>
          <w:szCs w:val="24"/>
        </w:rPr>
        <w:t>(4) Při</w:t>
      </w:r>
      <w:r w:rsidRPr="000839A4">
        <w:rPr>
          <w:b/>
          <w:noProof/>
          <w:color w:val="000000"/>
          <w:szCs w:val="24"/>
        </w:rPr>
        <w:t xml:space="preserve">  </w:t>
      </w:r>
      <w:r w:rsidRPr="000839A4">
        <w:rPr>
          <w:b/>
          <w:noProof/>
          <w:szCs w:val="24"/>
        </w:rPr>
        <w:t xml:space="preserve">úplatném pozbytí obchodního závodu nebo jiného souboru aktiv a dluhů za jednu cenu </w:t>
      </w:r>
      <w:r w:rsidRPr="000839A4">
        <w:rPr>
          <w:b/>
          <w:noProof/>
          <w:color w:val="000000"/>
          <w:szCs w:val="24"/>
        </w:rPr>
        <w:t>je v</w:t>
      </w:r>
      <w:r w:rsidRPr="000839A4">
        <w:rPr>
          <w:b/>
          <w:noProof/>
          <w:szCs w:val="24"/>
        </w:rPr>
        <w:t>ýdajem na dosažení, zajištění a udržení zdanitelných příjmů poplatníka s hotovostním základem daně, který neuplatňuje výdaje podle § 7 odst. 7, také částka odpovídající daňové hodnotě</w:t>
      </w:r>
      <w:r w:rsidRPr="000839A4">
        <w:rPr>
          <w:b/>
          <w:color w:val="000000" w:themeColor="text1"/>
          <w:szCs w:val="24"/>
        </w:rPr>
        <w:t xml:space="preserve"> </w:t>
      </w:r>
    </w:p>
    <w:p w14:paraId="7F3C2CED" w14:textId="77777777" w:rsidR="000839A4" w:rsidRPr="000839A4" w:rsidRDefault="000839A4" w:rsidP="000839A4">
      <w:pPr>
        <w:tabs>
          <w:tab w:val="left" w:pos="357"/>
        </w:tabs>
        <w:spacing w:before="0"/>
        <w:ind w:left="357" w:hanging="357"/>
        <w:rPr>
          <w:b/>
          <w:color w:val="000000" w:themeColor="text1"/>
          <w:szCs w:val="24"/>
        </w:rPr>
      </w:pPr>
      <w:r w:rsidRPr="000839A4">
        <w:rPr>
          <w:b/>
          <w:color w:val="000000" w:themeColor="text1"/>
          <w:szCs w:val="24"/>
        </w:rPr>
        <w:t>a)</w:t>
      </w:r>
      <w:r w:rsidRPr="000839A4">
        <w:rPr>
          <w:b/>
          <w:color w:val="000000" w:themeColor="text1"/>
          <w:szCs w:val="24"/>
        </w:rPr>
        <w:tab/>
      </w:r>
      <w:r w:rsidRPr="000839A4">
        <w:rPr>
          <w:b/>
          <w:noProof/>
          <w:szCs w:val="24"/>
        </w:rPr>
        <w:t>dluhu předávaného při tomto pozbytí, jehož úhrada poplatníkem by byla výdajem vynaloženým na dosažení, zajištění a udržení zdanitelných příjmů</w:t>
      </w:r>
      <w:r w:rsidRPr="000839A4">
        <w:rPr>
          <w:b/>
          <w:color w:val="000000" w:themeColor="text1"/>
          <w:szCs w:val="24"/>
        </w:rPr>
        <w:t xml:space="preserve">, </w:t>
      </w:r>
    </w:p>
    <w:p w14:paraId="42946D91" w14:textId="77777777" w:rsidR="000839A4" w:rsidRPr="000839A4" w:rsidRDefault="000839A4" w:rsidP="000839A4">
      <w:pPr>
        <w:tabs>
          <w:tab w:val="left" w:pos="357"/>
        </w:tabs>
        <w:spacing w:before="0"/>
        <w:ind w:left="357" w:hanging="357"/>
        <w:rPr>
          <w:b/>
          <w:color w:val="000000" w:themeColor="text1"/>
          <w:szCs w:val="24"/>
        </w:rPr>
      </w:pPr>
      <w:r w:rsidRPr="000839A4">
        <w:rPr>
          <w:b/>
          <w:color w:val="000000" w:themeColor="text1"/>
          <w:szCs w:val="24"/>
        </w:rPr>
        <w:t>b)</w:t>
      </w:r>
      <w:r w:rsidRPr="000839A4">
        <w:rPr>
          <w:b/>
          <w:color w:val="000000" w:themeColor="text1"/>
          <w:szCs w:val="24"/>
        </w:rPr>
        <w:tab/>
      </w:r>
      <w:r w:rsidRPr="000839A4">
        <w:rPr>
          <w:b/>
          <w:noProof/>
          <w:szCs w:val="24"/>
        </w:rPr>
        <w:t>pozbývaných peněžních prostředků a</w:t>
      </w:r>
      <w:r w:rsidRPr="000839A4">
        <w:rPr>
          <w:b/>
          <w:color w:val="000000" w:themeColor="text1"/>
          <w:szCs w:val="24"/>
        </w:rPr>
        <w:t xml:space="preserve"> </w:t>
      </w:r>
    </w:p>
    <w:p w14:paraId="533C3C0D" w14:textId="77777777" w:rsidR="000839A4" w:rsidRPr="000839A4" w:rsidRDefault="000839A4" w:rsidP="000839A4">
      <w:pPr>
        <w:tabs>
          <w:tab w:val="left" w:pos="357"/>
        </w:tabs>
        <w:spacing w:before="0"/>
        <w:ind w:left="357" w:hanging="357"/>
        <w:rPr>
          <w:b/>
          <w:color w:val="000000" w:themeColor="text1"/>
          <w:szCs w:val="24"/>
        </w:rPr>
      </w:pPr>
      <w:r w:rsidRPr="000839A4">
        <w:rPr>
          <w:b/>
          <w:color w:val="000000" w:themeColor="text1"/>
          <w:szCs w:val="24"/>
        </w:rPr>
        <w:t>c)</w:t>
      </w:r>
      <w:r w:rsidRPr="000839A4">
        <w:rPr>
          <w:b/>
          <w:color w:val="000000" w:themeColor="text1"/>
          <w:szCs w:val="24"/>
        </w:rPr>
        <w:tab/>
      </w:r>
      <w:r w:rsidRPr="000839A4">
        <w:rPr>
          <w:b/>
          <w:noProof/>
          <w:szCs w:val="24"/>
        </w:rPr>
        <w:t>postupované pohledávky, jejíž úhrada by nebyla zdanitelným příjmem</w:t>
      </w:r>
      <w:r w:rsidRPr="000839A4">
        <w:rPr>
          <w:b/>
          <w:color w:val="000000" w:themeColor="text1"/>
          <w:szCs w:val="24"/>
        </w:rPr>
        <w:t>.</w:t>
      </w:r>
    </w:p>
    <w:p w14:paraId="48D89989" w14:textId="77777777" w:rsidR="000839A4" w:rsidRPr="000839A4" w:rsidRDefault="000839A4" w:rsidP="000839A4">
      <w:pPr>
        <w:spacing w:before="120" w:after="120"/>
        <w:rPr>
          <w:szCs w:val="24"/>
        </w:rPr>
      </w:pPr>
      <w:r w:rsidRPr="000839A4">
        <w:rPr>
          <w:strike/>
          <w:szCs w:val="24"/>
        </w:rPr>
        <w:t>(</w:t>
      </w:r>
      <w:proofErr w:type="gramStart"/>
      <w:r w:rsidRPr="000839A4">
        <w:rPr>
          <w:strike/>
          <w:szCs w:val="24"/>
        </w:rPr>
        <w:t xml:space="preserve">13) </w:t>
      </w:r>
      <w:r w:rsidRPr="000839A4">
        <w:rPr>
          <w:b/>
          <w:strike/>
          <w:szCs w:val="24"/>
        </w:rPr>
        <w:t>(6)</w:t>
      </w:r>
      <w:r w:rsidRPr="000839A4">
        <w:rPr>
          <w:b/>
          <w:szCs w:val="24"/>
        </w:rPr>
        <w:t xml:space="preserve"> (5)</w:t>
      </w:r>
      <w:r w:rsidRPr="000839A4">
        <w:rPr>
          <w:szCs w:val="24"/>
        </w:rPr>
        <w:t xml:space="preserve">  Jedná</w:t>
      </w:r>
      <w:proofErr w:type="gramEnd"/>
      <w:r w:rsidRPr="000839A4">
        <w:rPr>
          <w:szCs w:val="24"/>
        </w:rPr>
        <w:t xml:space="preserve">-li se o plátce daně z přidané hodnoty, rozumí se pro účely odstavce </w:t>
      </w:r>
      <w:r w:rsidRPr="000839A4">
        <w:rPr>
          <w:strike/>
          <w:szCs w:val="24"/>
        </w:rPr>
        <w:t>12</w:t>
      </w:r>
      <w:r w:rsidRPr="000839A4">
        <w:rPr>
          <w:szCs w:val="24"/>
        </w:rPr>
        <w:t xml:space="preserve"> </w:t>
      </w:r>
      <w:r w:rsidRPr="000839A4">
        <w:rPr>
          <w:b/>
          <w:szCs w:val="24"/>
        </w:rPr>
        <w:t>4</w:t>
      </w:r>
      <w:r w:rsidRPr="000839A4">
        <w:rPr>
          <w:szCs w:val="24"/>
        </w:rPr>
        <w:t xml:space="preserve"> hodnotou dluhů hodnota bez daně z přidané hodnoty, byl-li uplatněn odpočet daně z přidané hodnoty na vstupu. U pohledávek, jejichž úhrada by byla zdanitelným příjmem, je výdajem daň z přidané hodnoty, byla-li splněna daňová povinnost na výstupu. </w:t>
      </w:r>
    </w:p>
    <w:p w14:paraId="3886FC4E" w14:textId="77777777" w:rsidR="000839A4" w:rsidRPr="000839A4" w:rsidRDefault="000839A4" w:rsidP="000839A4">
      <w:pPr>
        <w:spacing w:before="120" w:after="120"/>
        <w:rPr>
          <w:szCs w:val="24"/>
        </w:rPr>
      </w:pPr>
      <w:r w:rsidRPr="000839A4">
        <w:rPr>
          <w:strike/>
          <w:szCs w:val="24"/>
        </w:rPr>
        <w:t>(</w:t>
      </w:r>
      <w:proofErr w:type="gramStart"/>
      <w:r w:rsidRPr="000839A4">
        <w:rPr>
          <w:strike/>
          <w:szCs w:val="24"/>
        </w:rPr>
        <w:t>14)</w:t>
      </w:r>
      <w:r w:rsidRPr="000839A4">
        <w:rPr>
          <w:szCs w:val="24"/>
        </w:rPr>
        <w:t xml:space="preserve"> </w:t>
      </w:r>
      <w:r w:rsidRPr="000839A4">
        <w:rPr>
          <w:b/>
          <w:strike/>
          <w:szCs w:val="24"/>
        </w:rPr>
        <w:t>(7)</w:t>
      </w:r>
      <w:r w:rsidRPr="000839A4">
        <w:rPr>
          <w:b/>
          <w:szCs w:val="24"/>
        </w:rPr>
        <w:t xml:space="preserve"> (6)</w:t>
      </w:r>
      <w:r w:rsidRPr="000839A4">
        <w:rPr>
          <w:szCs w:val="24"/>
        </w:rPr>
        <w:t xml:space="preserve">  Úhrn</w:t>
      </w:r>
      <w:proofErr w:type="gramEnd"/>
      <w:r w:rsidRPr="000839A4">
        <w:rPr>
          <w:szCs w:val="24"/>
        </w:rPr>
        <w:t xml:space="preserve"> </w:t>
      </w:r>
      <w:r w:rsidRPr="000839A4">
        <w:rPr>
          <w:strike/>
          <w:szCs w:val="24"/>
        </w:rPr>
        <w:t>pořizovacích cen</w:t>
      </w:r>
      <w:r w:rsidRPr="000839A4">
        <w:rPr>
          <w:szCs w:val="24"/>
        </w:rPr>
        <w:t xml:space="preserve"> </w:t>
      </w:r>
      <w:r w:rsidRPr="000839A4">
        <w:rPr>
          <w:b/>
          <w:szCs w:val="24"/>
        </w:rPr>
        <w:t>daňových hodnot</w:t>
      </w:r>
      <w:r w:rsidRPr="000839A4">
        <w:rPr>
          <w:szCs w:val="24"/>
        </w:rPr>
        <w:t xml:space="preserve"> pohledávek nebo jejich částí, které nelze uznat jako výdaj (náklad) podle ostatních ustanovení tohoto zákona, je možné u </w:t>
      </w:r>
      <w:r w:rsidRPr="000839A4">
        <w:rPr>
          <w:szCs w:val="24"/>
        </w:rPr>
        <w:lastRenderedPageBreak/>
        <w:t xml:space="preserve">poplatníků, jejichž hlavním předmětem činnosti je nákup, prodej a vymáhání pohledávek, uznat jako daňový výdaj (náklad) až do výše úhrnu zisků z jiných pohledávek v rámci stejného souboru pohledávek v daném zdaňovacím období. Ziskem z pohledávky v daném zdaňovacím období se pro účely tohoto ustanovení rozumí úhrn příjmů plynoucích v daném zdaňovacím období z úhrad pohledávky dlužníkem nebo postupníkem při následném postoupení pohledávky zvýšený o vytvořenou opravnou položku nebo </w:t>
      </w:r>
      <w:r w:rsidRPr="000839A4">
        <w:rPr>
          <w:b/>
          <w:szCs w:val="24"/>
        </w:rPr>
        <w:t>daňovou</w:t>
      </w:r>
      <w:r w:rsidRPr="000839A4">
        <w:rPr>
          <w:szCs w:val="24"/>
        </w:rPr>
        <w:t xml:space="preserve"> rezervu (její část) </w:t>
      </w:r>
      <w:r w:rsidRPr="000839A4">
        <w:rPr>
          <w:strike/>
          <w:szCs w:val="24"/>
        </w:rPr>
        <w:t xml:space="preserve">podle zvláštního </w:t>
      </w:r>
      <w:proofErr w:type="gramStart"/>
      <w:r w:rsidRPr="000839A4">
        <w:rPr>
          <w:strike/>
          <w:szCs w:val="24"/>
        </w:rPr>
        <w:t>zákona</w:t>
      </w:r>
      <w:r w:rsidRPr="000839A4">
        <w:rPr>
          <w:strike/>
          <w:szCs w:val="24"/>
          <w:vertAlign w:val="superscript"/>
        </w:rPr>
        <w:t>22a)</w:t>
      </w:r>
      <w:r w:rsidRPr="000839A4">
        <w:rPr>
          <w:szCs w:val="24"/>
        </w:rPr>
        <w:t xml:space="preserve">  ve</w:t>
      </w:r>
      <w:proofErr w:type="gramEnd"/>
      <w:r w:rsidRPr="000839A4">
        <w:rPr>
          <w:szCs w:val="24"/>
        </w:rPr>
        <w:t xml:space="preserve"> výši převyšující </w:t>
      </w:r>
      <w:r w:rsidRPr="000839A4">
        <w:rPr>
          <w:strike/>
          <w:szCs w:val="24"/>
        </w:rPr>
        <w:t>pořizovací cenu</w:t>
      </w:r>
      <w:r w:rsidRPr="000839A4">
        <w:rPr>
          <w:strike/>
          <w:szCs w:val="24"/>
          <w:vertAlign w:val="superscript"/>
        </w:rPr>
        <w:t>20)</w:t>
      </w:r>
      <w:r w:rsidRPr="000839A4">
        <w:rPr>
          <w:szCs w:val="24"/>
        </w:rPr>
        <w:t xml:space="preserve"> </w:t>
      </w:r>
      <w:r w:rsidRPr="000839A4">
        <w:rPr>
          <w:b/>
          <w:szCs w:val="24"/>
        </w:rPr>
        <w:t xml:space="preserve">daňovou hodnotu </w:t>
      </w:r>
      <w:r w:rsidRPr="000839A4">
        <w:rPr>
          <w:szCs w:val="24"/>
        </w:rPr>
        <w:t xml:space="preserve">pohledávky </w:t>
      </w:r>
      <w:r w:rsidRPr="000839A4">
        <w:rPr>
          <w:strike/>
          <w:szCs w:val="24"/>
        </w:rPr>
        <w:t>sníženou o částky úhrad pohledávky dlužníkem plynoucí v předchozích zdaňovacích obdobích a o části pořizovací ceny pohledávky odepsané v předchozích zdaňovacích obdobích</w:t>
      </w:r>
      <w:r w:rsidRPr="000839A4">
        <w:rPr>
          <w:szCs w:val="24"/>
        </w:rPr>
        <w:t xml:space="preserve">. </w:t>
      </w:r>
      <w:r w:rsidRPr="000839A4">
        <w:rPr>
          <w:strike/>
          <w:szCs w:val="24"/>
        </w:rPr>
        <w:t>Pro účely výpočtu zisku z pohledávky nelze pořizovací cenu pohledávky snížit o částku vyšší, než je pořizovací cena pohledávky.</w:t>
      </w:r>
      <w:r w:rsidRPr="000839A4">
        <w:rPr>
          <w:szCs w:val="24"/>
        </w:rPr>
        <w:t xml:space="preserve"> Pokud celkový úhrn </w:t>
      </w:r>
      <w:r w:rsidRPr="000839A4">
        <w:rPr>
          <w:strike/>
          <w:szCs w:val="24"/>
        </w:rPr>
        <w:t>pořizovacích cen nebo jejích částí</w:t>
      </w:r>
      <w:r w:rsidRPr="000839A4">
        <w:rPr>
          <w:szCs w:val="24"/>
        </w:rPr>
        <w:t xml:space="preserve"> </w:t>
      </w:r>
      <w:r w:rsidRPr="000839A4">
        <w:rPr>
          <w:b/>
          <w:szCs w:val="24"/>
        </w:rPr>
        <w:t>daňových hodnot</w:t>
      </w:r>
      <w:r w:rsidRPr="000839A4">
        <w:rPr>
          <w:szCs w:val="24"/>
        </w:rPr>
        <w:t xml:space="preserve">, které nelze uznat jako výdaj (náklad) podle ustanovení tohoto zákona, je za zdaňovací období vyšší než celkový úhrn zisků z jiných pohledávek v rámci stejného souboru pohledávek, lze tento rozdíl u poplatníků, jejichž hlavním předmětem činnosti je nákup, prodej a vymáhání pohledávek, uplatnit jako výdaj (náklad) nejdéle ve 3 bezprostředně následujících zdaňovacích obdobích </w:t>
      </w:r>
      <w:r w:rsidRPr="000839A4">
        <w:rPr>
          <w:strike/>
          <w:szCs w:val="24"/>
        </w:rPr>
        <w:t>nebo obdobích, za něž je podáváno daňové přiznání</w:t>
      </w:r>
      <w:r w:rsidRPr="000839A4">
        <w:rPr>
          <w:szCs w:val="24"/>
        </w:rPr>
        <w:t xml:space="preserve">, a to v jednotlivých obdobích maximálně ve výši částky, o kterou úhrn zisků z pohledávek v rámci tohoto stejného souboru pohledávek převýší </w:t>
      </w:r>
      <w:r w:rsidRPr="000839A4">
        <w:rPr>
          <w:strike/>
          <w:szCs w:val="24"/>
        </w:rPr>
        <w:t>úhrn pořizovacích cen</w:t>
      </w:r>
      <w:r w:rsidRPr="000839A4">
        <w:rPr>
          <w:szCs w:val="24"/>
        </w:rPr>
        <w:t xml:space="preserve"> </w:t>
      </w:r>
      <w:r w:rsidRPr="000839A4">
        <w:rPr>
          <w:b/>
          <w:szCs w:val="24"/>
        </w:rPr>
        <w:t>úhrn</w:t>
      </w:r>
      <w:r w:rsidRPr="000839A4">
        <w:rPr>
          <w:szCs w:val="24"/>
        </w:rPr>
        <w:t xml:space="preserve"> </w:t>
      </w:r>
      <w:r w:rsidRPr="000839A4">
        <w:rPr>
          <w:b/>
          <w:szCs w:val="24"/>
        </w:rPr>
        <w:t xml:space="preserve">daňových hodnot </w:t>
      </w:r>
      <w:r w:rsidRPr="000839A4">
        <w:rPr>
          <w:szCs w:val="24"/>
        </w:rPr>
        <w:t xml:space="preserve">pohledávek nebo jejích částí, které nelze uznat jako výdaj (náklad) podle ustanovení tohoto zákona. Za poplatníky, jejichž hlavním předmětem činnosti je nákup, prodej a vymáhání pohledávek, se pro účely tohoto zákona považují poplatníci, u nichž alespoň 80 % veškerých příjmů (výnosů) tvoří příjmy (výnosy) plynoucí v souvislosti s nákupem, prodejem, držbou a vymáháním nakoupených pohledávek. Souborem pohledávek se pro účely tohoto ustanovení rozumí soubor pohledávek nakoupený poplatníkem od jedné osoby v jednom zdaňovacím období. </w:t>
      </w:r>
      <w:r w:rsidRPr="000839A4">
        <w:rPr>
          <w:strike/>
          <w:szCs w:val="24"/>
        </w:rPr>
        <w:t xml:space="preserve">Toto ustanovení se použije obdobně pro období, za něž je podáváno daňové přiznání. </w:t>
      </w:r>
    </w:p>
    <w:p w14:paraId="2D8A0684" w14:textId="77777777" w:rsidR="000839A4" w:rsidRPr="000839A4" w:rsidRDefault="000839A4" w:rsidP="000839A4">
      <w:pPr>
        <w:keepNext/>
        <w:ind w:firstLine="0"/>
        <w:jc w:val="center"/>
        <w:rPr>
          <w:szCs w:val="24"/>
        </w:rPr>
      </w:pPr>
      <w:r w:rsidRPr="000839A4">
        <w:rPr>
          <w:szCs w:val="24"/>
        </w:rPr>
        <w:t>§ 24a</w:t>
      </w:r>
    </w:p>
    <w:p w14:paraId="2328C90D" w14:textId="77777777" w:rsidR="000839A4" w:rsidRPr="000839A4" w:rsidRDefault="000839A4" w:rsidP="000839A4">
      <w:pPr>
        <w:keepNext/>
        <w:ind w:firstLine="0"/>
        <w:jc w:val="center"/>
        <w:rPr>
          <w:b/>
          <w:szCs w:val="24"/>
        </w:rPr>
      </w:pPr>
      <w:r w:rsidRPr="000839A4">
        <w:rPr>
          <w:b/>
          <w:szCs w:val="24"/>
        </w:rPr>
        <w:t xml:space="preserve">Závazné posouzení způsobu rozdělení výdajů (nákladů), které nelze přiřadit pouze ke zdanitelným příjmům </w:t>
      </w:r>
    </w:p>
    <w:p w14:paraId="6EB5BC0E" w14:textId="77777777" w:rsidR="000839A4" w:rsidRPr="000839A4" w:rsidRDefault="000839A4" w:rsidP="000839A4">
      <w:pPr>
        <w:spacing w:before="120" w:after="120"/>
        <w:rPr>
          <w:szCs w:val="24"/>
        </w:rPr>
      </w:pPr>
      <w:r w:rsidRPr="000839A4">
        <w:rPr>
          <w:szCs w:val="24"/>
        </w:rPr>
        <w:t xml:space="preserve">(1) Poplatník, kterému vzniknou výdaje (náklady) související se zdanitelnými příjmy a příjmy, které nejsou předmětem daně nebo jsou od daně osvobozeny, může požádat příslušného správce daně o vydání rozhodnutí o závazném posouzení, zda za příslušné zdaňovací období způsob jeho rozdělení jím vynaložených výdajů (nákladů) odpovídá § 23 odst. 5 a § 24 odst. 3. </w:t>
      </w:r>
    </w:p>
    <w:p w14:paraId="4CFC581A" w14:textId="77777777" w:rsidR="000839A4" w:rsidRPr="000839A4" w:rsidRDefault="000839A4" w:rsidP="000839A4">
      <w:pPr>
        <w:spacing w:before="120" w:after="120"/>
        <w:rPr>
          <w:szCs w:val="24"/>
        </w:rPr>
      </w:pPr>
      <w:r w:rsidRPr="000839A4">
        <w:rPr>
          <w:szCs w:val="24"/>
        </w:rPr>
        <w:t xml:space="preserve">(2) V žádosti o vydání rozhodnutí o závazném posouzení způsobu rozdělení výdajů (nákladů) podle odstavce 1 poplatník uvede </w:t>
      </w:r>
    </w:p>
    <w:p w14:paraId="07CCB065"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 xml:space="preserve">jméno, bydliště a sídlo podnikatele, je-li poplatník fyzickou osobou, nebo název, právní formu a sídlo, je-li poplatník právnickou osobou, a daňové identifikační číslo, pokud bylo přiděleno, </w:t>
      </w:r>
    </w:p>
    <w:p w14:paraId="5297C917"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 xml:space="preserve">výši celkově vynaložených výdajů (nákladů) a výši celkově dosažených příjmů (výnosů), v případě veřejně prospěšných poplatníků i výši příjmů (výnosů) dosažených v jednotlivých druzích činností, které nejsou podnikáním, </w:t>
      </w:r>
    </w:p>
    <w:p w14:paraId="240A4C40" w14:textId="77777777" w:rsidR="000839A4" w:rsidRPr="000839A4" w:rsidRDefault="000839A4" w:rsidP="000839A4">
      <w:pPr>
        <w:tabs>
          <w:tab w:val="left" w:pos="357"/>
        </w:tabs>
        <w:spacing w:before="0"/>
        <w:ind w:left="357" w:hanging="357"/>
        <w:rPr>
          <w:szCs w:val="24"/>
        </w:rPr>
      </w:pPr>
      <w:r w:rsidRPr="000839A4">
        <w:rPr>
          <w:szCs w:val="24"/>
        </w:rPr>
        <w:t>c)</w:t>
      </w:r>
      <w:r w:rsidRPr="000839A4">
        <w:rPr>
          <w:szCs w:val="24"/>
        </w:rPr>
        <w:tab/>
        <w:t xml:space="preserve">výši jednotlivých dotací, příspěvků a podpor poskytnutých z veřejných zdrojů s uvedením jejich účelu a poskytovatele, </w:t>
      </w:r>
    </w:p>
    <w:p w14:paraId="3A1C055F" w14:textId="77777777" w:rsidR="000839A4" w:rsidRPr="000839A4" w:rsidRDefault="000839A4" w:rsidP="000839A4">
      <w:pPr>
        <w:tabs>
          <w:tab w:val="left" w:pos="357"/>
        </w:tabs>
        <w:spacing w:before="0"/>
        <w:ind w:left="357" w:hanging="357"/>
        <w:rPr>
          <w:szCs w:val="24"/>
        </w:rPr>
      </w:pPr>
      <w:r w:rsidRPr="000839A4">
        <w:rPr>
          <w:szCs w:val="24"/>
        </w:rPr>
        <w:t>d)</w:t>
      </w:r>
      <w:r w:rsidRPr="000839A4">
        <w:rPr>
          <w:szCs w:val="24"/>
        </w:rPr>
        <w:tab/>
        <w:t xml:space="preserve">výši a stručný popis jednotlivých vynaložených výdajů (nákladů) souvisejících jednak se zdanitelnými příjmy a jednak s příjmy, které nejsou předmětem daně nebo jsou od daně osvobozeny, a výši těchto jednotlivých druhů příjmů, které mají být předmětem posouzení, </w:t>
      </w:r>
    </w:p>
    <w:p w14:paraId="6006EA59" w14:textId="77777777" w:rsidR="000839A4" w:rsidRPr="000839A4" w:rsidRDefault="000839A4" w:rsidP="000839A4">
      <w:pPr>
        <w:tabs>
          <w:tab w:val="left" w:pos="357"/>
        </w:tabs>
        <w:spacing w:before="0"/>
        <w:ind w:left="357" w:hanging="357"/>
        <w:rPr>
          <w:szCs w:val="24"/>
        </w:rPr>
      </w:pPr>
      <w:r w:rsidRPr="000839A4">
        <w:rPr>
          <w:szCs w:val="24"/>
        </w:rPr>
        <w:lastRenderedPageBreak/>
        <w:t>e)</w:t>
      </w:r>
      <w:r w:rsidRPr="000839A4">
        <w:rPr>
          <w:szCs w:val="24"/>
        </w:rPr>
        <w:tab/>
        <w:t xml:space="preserve">údaje o </w:t>
      </w:r>
      <w:r w:rsidRPr="000839A4">
        <w:rPr>
          <w:strike/>
          <w:szCs w:val="24"/>
        </w:rPr>
        <w:t>majetku používaném</w:t>
      </w:r>
      <w:r w:rsidRPr="000839A4">
        <w:rPr>
          <w:szCs w:val="24"/>
        </w:rPr>
        <w:t xml:space="preserve"> </w:t>
      </w:r>
      <w:r w:rsidRPr="000839A4">
        <w:rPr>
          <w:b/>
          <w:szCs w:val="24"/>
        </w:rPr>
        <w:t xml:space="preserve">aktivech používaných </w:t>
      </w:r>
      <w:r w:rsidRPr="000839A4">
        <w:rPr>
          <w:szCs w:val="24"/>
        </w:rPr>
        <w:t xml:space="preserve">na dosažení, zajištění a udržení zdanitelných příjmů a u </w:t>
      </w:r>
      <w:r w:rsidRPr="000839A4">
        <w:rPr>
          <w:strike/>
          <w:szCs w:val="24"/>
        </w:rPr>
        <w:t>majetku</w:t>
      </w:r>
      <w:r w:rsidRPr="000839A4">
        <w:rPr>
          <w:b/>
          <w:szCs w:val="24"/>
        </w:rPr>
        <w:t xml:space="preserve"> aktiva</w:t>
      </w:r>
      <w:r w:rsidRPr="000839A4">
        <w:rPr>
          <w:szCs w:val="24"/>
        </w:rPr>
        <w:t xml:space="preserve">, ke kterému má vlastnické právo, i rozsah jeho využívání v souvislosti s těmito příjmy, </w:t>
      </w:r>
    </w:p>
    <w:p w14:paraId="04593433" w14:textId="77777777" w:rsidR="000839A4" w:rsidRPr="000839A4" w:rsidRDefault="000839A4" w:rsidP="000839A4">
      <w:pPr>
        <w:tabs>
          <w:tab w:val="left" w:pos="357"/>
        </w:tabs>
        <w:spacing w:before="0"/>
        <w:ind w:left="357" w:hanging="357"/>
        <w:rPr>
          <w:szCs w:val="24"/>
        </w:rPr>
      </w:pPr>
      <w:r w:rsidRPr="000839A4">
        <w:rPr>
          <w:szCs w:val="24"/>
        </w:rPr>
        <w:t>f)</w:t>
      </w:r>
      <w:r w:rsidRPr="000839A4">
        <w:rPr>
          <w:szCs w:val="24"/>
        </w:rPr>
        <w:tab/>
        <w:t xml:space="preserve">zdůvodnění navrhovaného způsobu rozdělení výdajů (nákladů) souvisejících s jednotlivými druhy příjmů, </w:t>
      </w:r>
    </w:p>
    <w:p w14:paraId="6D343029" w14:textId="77777777" w:rsidR="000839A4" w:rsidRPr="000839A4" w:rsidRDefault="000839A4" w:rsidP="000839A4">
      <w:pPr>
        <w:tabs>
          <w:tab w:val="left" w:pos="357"/>
        </w:tabs>
        <w:spacing w:before="0"/>
        <w:ind w:left="357" w:hanging="357"/>
        <w:rPr>
          <w:szCs w:val="24"/>
        </w:rPr>
      </w:pPr>
      <w:r w:rsidRPr="000839A4">
        <w:rPr>
          <w:szCs w:val="24"/>
        </w:rPr>
        <w:t>g)</w:t>
      </w:r>
      <w:r w:rsidRPr="000839A4">
        <w:rPr>
          <w:szCs w:val="24"/>
        </w:rPr>
        <w:tab/>
        <w:t xml:space="preserve">zdaňovací období, kterého se má rozhodnutí o závazném posouzení způsobu rozdělení výdajů (nákladů) podle odstavce 1 týkat, </w:t>
      </w:r>
    </w:p>
    <w:p w14:paraId="06289879" w14:textId="77777777" w:rsidR="000839A4" w:rsidRPr="000839A4" w:rsidRDefault="000839A4" w:rsidP="000839A4">
      <w:pPr>
        <w:tabs>
          <w:tab w:val="left" w:pos="357"/>
        </w:tabs>
        <w:spacing w:before="0"/>
        <w:ind w:left="357" w:hanging="357"/>
        <w:rPr>
          <w:szCs w:val="24"/>
        </w:rPr>
      </w:pPr>
      <w:r w:rsidRPr="000839A4">
        <w:rPr>
          <w:szCs w:val="24"/>
        </w:rPr>
        <w:t>h)</w:t>
      </w:r>
      <w:r w:rsidRPr="000839A4">
        <w:rPr>
          <w:szCs w:val="24"/>
        </w:rPr>
        <w:tab/>
        <w:t xml:space="preserve">návrh výroku rozhodnutí o závazném posouzení způsobu rozdělení výdajů (nákladů) podle odstavce 1. </w:t>
      </w:r>
    </w:p>
    <w:p w14:paraId="5E6E0BEF" w14:textId="77777777" w:rsidR="000839A4" w:rsidRPr="000839A4" w:rsidRDefault="000839A4" w:rsidP="000839A4">
      <w:pPr>
        <w:keepNext/>
        <w:ind w:firstLine="0"/>
        <w:jc w:val="center"/>
        <w:rPr>
          <w:szCs w:val="24"/>
        </w:rPr>
      </w:pPr>
      <w:r w:rsidRPr="000839A4">
        <w:rPr>
          <w:szCs w:val="24"/>
        </w:rPr>
        <w:t>§ 24b</w:t>
      </w:r>
    </w:p>
    <w:p w14:paraId="3ECCAF95" w14:textId="77777777" w:rsidR="000839A4" w:rsidRPr="000839A4" w:rsidRDefault="000839A4" w:rsidP="000839A4">
      <w:pPr>
        <w:keepNext/>
        <w:ind w:firstLine="0"/>
        <w:jc w:val="center"/>
        <w:rPr>
          <w:b/>
          <w:szCs w:val="24"/>
        </w:rPr>
      </w:pPr>
      <w:r w:rsidRPr="000839A4">
        <w:rPr>
          <w:b/>
          <w:szCs w:val="24"/>
        </w:rPr>
        <w:t xml:space="preserve">Závazné posouzení poměru výdajů (nákladů) spojených s provozem nemovité věci používané zčásti k činnosti, ze které plyne příjem ze samostatné činnosti, anebo k nájmu a zčásti k soukromým účelům, které lze uplatnit jako výdaj (náklad) na dosažení, zajištění a udržení příjmů </w:t>
      </w:r>
    </w:p>
    <w:p w14:paraId="4D78C636" w14:textId="77777777" w:rsidR="000839A4" w:rsidRPr="000839A4" w:rsidRDefault="000839A4" w:rsidP="000839A4">
      <w:pPr>
        <w:spacing w:before="120" w:after="120"/>
        <w:rPr>
          <w:szCs w:val="24"/>
        </w:rPr>
      </w:pPr>
      <w:r w:rsidRPr="000839A4">
        <w:rPr>
          <w:szCs w:val="24"/>
        </w:rPr>
        <w:t xml:space="preserve">(1) Poplatník s příjmy podle § 7 nebo 9, který používá nemovitou věc zčásti k činnosti, ze které plyne příjem ze samostatné činnosti, anebo k nájmu a zčásti k soukromým účelům, může požádat příslušného správce daně o vydání rozhodnutí o závazném posouzení, zda způsob uplatnění výdajů (nákladů) spojených s provozem nemovité věci do výdajů na dosažení, zajištění a udržení příjmů, odpovídá § 24 odst. 3. </w:t>
      </w:r>
    </w:p>
    <w:p w14:paraId="2D58F2B7" w14:textId="77777777" w:rsidR="000839A4" w:rsidRPr="000839A4" w:rsidRDefault="000839A4" w:rsidP="000839A4">
      <w:pPr>
        <w:spacing w:before="120" w:after="120"/>
        <w:rPr>
          <w:szCs w:val="24"/>
        </w:rPr>
      </w:pPr>
      <w:r w:rsidRPr="000839A4">
        <w:rPr>
          <w:szCs w:val="24"/>
        </w:rPr>
        <w:t xml:space="preserve">(2) V žádosti o vydání rozhodnutí o závazném posouzení výdajů (nákladů) podle odstavce 1 poplatník uvede </w:t>
      </w:r>
    </w:p>
    <w:p w14:paraId="48641BF0"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 xml:space="preserve">jméno, bydliště, sídlo podnikatele a daňové identifikační číslo, pokud bylo přiděleno, </w:t>
      </w:r>
    </w:p>
    <w:p w14:paraId="4390AEA3"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 xml:space="preserve">adresu, na které se nemovitá věc používaná zčásti k činnosti, ze které plyne příjem ze samostatné činnosti, anebo k nájmu a zčásti k soukromým účelům nachází, </w:t>
      </w:r>
    </w:p>
    <w:p w14:paraId="20888500" w14:textId="77777777" w:rsidR="000839A4" w:rsidRPr="000839A4" w:rsidRDefault="000839A4" w:rsidP="000839A4">
      <w:pPr>
        <w:tabs>
          <w:tab w:val="left" w:pos="357"/>
        </w:tabs>
        <w:spacing w:before="0"/>
        <w:ind w:left="357" w:hanging="357"/>
        <w:rPr>
          <w:szCs w:val="24"/>
        </w:rPr>
      </w:pPr>
      <w:r w:rsidRPr="000839A4">
        <w:rPr>
          <w:szCs w:val="24"/>
        </w:rPr>
        <w:t>c)</w:t>
      </w:r>
      <w:r w:rsidRPr="000839A4">
        <w:rPr>
          <w:szCs w:val="24"/>
        </w:rPr>
        <w:tab/>
        <w:t xml:space="preserve">plochu a objem jednotlivých obytných i neobytných prostor nemovité věci s rozdělením na prostory využívané a nevyužívané k činnosti, ze které plyne příjem ze samostatné činnosti, anebo k nájmu, včetně údajů o jejich vytápění, klimatizaci apod. </w:t>
      </w:r>
    </w:p>
    <w:p w14:paraId="3063060D" w14:textId="77777777" w:rsidR="000839A4" w:rsidRPr="000839A4" w:rsidRDefault="000839A4" w:rsidP="000839A4">
      <w:pPr>
        <w:tabs>
          <w:tab w:val="left" w:pos="357"/>
        </w:tabs>
        <w:spacing w:before="0"/>
        <w:ind w:left="357" w:hanging="357"/>
        <w:rPr>
          <w:szCs w:val="24"/>
        </w:rPr>
      </w:pPr>
      <w:r w:rsidRPr="000839A4">
        <w:rPr>
          <w:szCs w:val="24"/>
        </w:rPr>
        <w:t>d)</w:t>
      </w:r>
      <w:r w:rsidRPr="000839A4">
        <w:rPr>
          <w:szCs w:val="24"/>
        </w:rPr>
        <w:tab/>
        <w:t xml:space="preserve">popis, jak jsou jednotlivé prostory nemovité věci využívány k činnosti, ze které plyne příjem ze samostatné činnosti, anebo k nájmu ve zdaňovacím období, kterého se má rozhodnutí o závazném posouzení výdajů (nákladů) podle odstavce 1 týkat, </w:t>
      </w:r>
    </w:p>
    <w:p w14:paraId="61EBEB46" w14:textId="77777777" w:rsidR="000839A4" w:rsidRPr="000839A4" w:rsidRDefault="000839A4" w:rsidP="000839A4">
      <w:pPr>
        <w:tabs>
          <w:tab w:val="left" w:pos="357"/>
        </w:tabs>
        <w:spacing w:before="0"/>
        <w:ind w:left="357" w:hanging="357"/>
        <w:rPr>
          <w:szCs w:val="24"/>
        </w:rPr>
      </w:pPr>
      <w:r w:rsidRPr="000839A4">
        <w:rPr>
          <w:szCs w:val="24"/>
        </w:rPr>
        <w:t>e)</w:t>
      </w:r>
      <w:r w:rsidRPr="000839A4">
        <w:rPr>
          <w:szCs w:val="24"/>
        </w:rPr>
        <w:tab/>
        <w:t xml:space="preserve">popis a dokumentaci způsobu, jakým byly výdaje (náklady) spojené s provozem nemovité věci používané zčásti k činnosti, ze které plyne příjem ze samostatné činnosti, anebo k nájmu a zčásti k soukromým účelům, do výdajů (nákladů) na dosažení, zajištění a udržení příjmů, uplatněny, </w:t>
      </w:r>
    </w:p>
    <w:p w14:paraId="32ADD25E" w14:textId="77777777" w:rsidR="000839A4" w:rsidRPr="000839A4" w:rsidRDefault="000839A4" w:rsidP="000839A4">
      <w:pPr>
        <w:tabs>
          <w:tab w:val="left" w:pos="357"/>
        </w:tabs>
        <w:spacing w:before="0"/>
        <w:ind w:left="357" w:hanging="357"/>
        <w:rPr>
          <w:szCs w:val="24"/>
        </w:rPr>
      </w:pPr>
      <w:r w:rsidRPr="000839A4">
        <w:rPr>
          <w:szCs w:val="24"/>
        </w:rPr>
        <w:t>f)</w:t>
      </w:r>
      <w:r w:rsidRPr="000839A4">
        <w:rPr>
          <w:szCs w:val="24"/>
        </w:rPr>
        <w:tab/>
        <w:t xml:space="preserve">návrh výroku rozhodnutí o závazném posouzení výdajů (nákladů) podle odstavce 1. </w:t>
      </w:r>
    </w:p>
    <w:p w14:paraId="516C363E" w14:textId="77777777" w:rsidR="000839A4" w:rsidRPr="000839A4" w:rsidRDefault="000839A4" w:rsidP="000839A4">
      <w:pPr>
        <w:keepNext/>
        <w:ind w:firstLine="0"/>
        <w:jc w:val="center"/>
        <w:rPr>
          <w:szCs w:val="24"/>
        </w:rPr>
      </w:pPr>
      <w:r w:rsidRPr="000839A4">
        <w:rPr>
          <w:szCs w:val="24"/>
        </w:rPr>
        <w:t>§ 25</w:t>
      </w:r>
    </w:p>
    <w:p w14:paraId="3F69B70C" w14:textId="77777777" w:rsidR="000839A4" w:rsidRPr="000839A4" w:rsidRDefault="000839A4" w:rsidP="000839A4">
      <w:pPr>
        <w:spacing w:before="120" w:after="120"/>
        <w:rPr>
          <w:szCs w:val="24"/>
        </w:rPr>
      </w:pPr>
      <w:r w:rsidRPr="000839A4">
        <w:rPr>
          <w:szCs w:val="24"/>
        </w:rPr>
        <w:t xml:space="preserve">(1) Za výdaje (náklady) vynaložené k dosažení, zajištění a udržení příjmů pro daňové účely nelze uznat zejména </w:t>
      </w:r>
    </w:p>
    <w:p w14:paraId="55A02EFC" w14:textId="77777777" w:rsidR="000839A4" w:rsidRPr="000839A4" w:rsidRDefault="000839A4" w:rsidP="000839A4">
      <w:pPr>
        <w:tabs>
          <w:tab w:val="left" w:pos="357"/>
        </w:tabs>
        <w:spacing w:before="0"/>
        <w:ind w:left="357" w:hanging="357"/>
        <w:rPr>
          <w:strike/>
          <w:szCs w:val="24"/>
        </w:rPr>
      </w:pPr>
      <w:r w:rsidRPr="000839A4">
        <w:rPr>
          <w:strike/>
          <w:szCs w:val="24"/>
        </w:rPr>
        <w:t>a)</w:t>
      </w:r>
      <w:r w:rsidRPr="000839A4">
        <w:rPr>
          <w:strike/>
          <w:szCs w:val="24"/>
        </w:rPr>
        <w:tab/>
        <w:t>výdaje (náklady) na pořízení hmotného majetku</w:t>
      </w:r>
      <w:r w:rsidRPr="000839A4">
        <w:rPr>
          <w:strike/>
          <w:szCs w:val="24"/>
          <w:vertAlign w:val="superscript"/>
        </w:rPr>
        <w:t xml:space="preserve">20) </w:t>
      </w:r>
      <w:r w:rsidRPr="000839A4">
        <w:rPr>
          <w:strike/>
          <w:szCs w:val="24"/>
        </w:rPr>
        <w:t xml:space="preserve">a nehmotného </w:t>
      </w:r>
      <w:proofErr w:type="gramStart"/>
      <w:r w:rsidRPr="000839A4">
        <w:rPr>
          <w:strike/>
          <w:szCs w:val="24"/>
        </w:rPr>
        <w:t>majetku,</w:t>
      </w:r>
      <w:r w:rsidRPr="000839A4">
        <w:rPr>
          <w:strike/>
          <w:szCs w:val="24"/>
          <w:vertAlign w:val="superscript"/>
        </w:rPr>
        <w:t>20</w:t>
      </w:r>
      <w:proofErr w:type="gramEnd"/>
      <w:r w:rsidRPr="000839A4">
        <w:rPr>
          <w:strike/>
          <w:szCs w:val="24"/>
          <w:vertAlign w:val="superscript"/>
        </w:rPr>
        <w:t>)</w:t>
      </w:r>
      <w:r w:rsidRPr="000839A4">
        <w:rPr>
          <w:strike/>
          <w:szCs w:val="24"/>
        </w:rPr>
        <w:t xml:space="preserve">  s výjimkou uvedenou v § 24 odst. 2, včetně splátek a úroků z úvěrů a zápůjček spojených s jejich pořízením, jsou-li součástí jejich ocenění,</w:t>
      </w:r>
      <w:r w:rsidRPr="000839A4">
        <w:rPr>
          <w:strike/>
          <w:szCs w:val="24"/>
          <w:vertAlign w:val="superscript"/>
        </w:rPr>
        <w:t>20)</w:t>
      </w:r>
      <w:r w:rsidRPr="000839A4">
        <w:rPr>
          <w:strike/>
          <w:szCs w:val="24"/>
        </w:rPr>
        <w:t xml:space="preserve">  </w:t>
      </w:r>
    </w:p>
    <w:p w14:paraId="7D375B66" w14:textId="77777777" w:rsidR="000839A4" w:rsidRPr="000839A4" w:rsidRDefault="000839A4" w:rsidP="000839A4">
      <w:pPr>
        <w:tabs>
          <w:tab w:val="left" w:pos="357"/>
        </w:tabs>
        <w:spacing w:before="0"/>
        <w:ind w:left="357" w:hanging="357"/>
        <w:rPr>
          <w:strike/>
          <w:szCs w:val="24"/>
        </w:rPr>
      </w:pPr>
      <w:r w:rsidRPr="000839A4">
        <w:rPr>
          <w:strike/>
          <w:szCs w:val="24"/>
        </w:rPr>
        <w:t>b)</w:t>
      </w:r>
      <w:r w:rsidRPr="000839A4">
        <w:rPr>
          <w:strike/>
          <w:szCs w:val="24"/>
        </w:rPr>
        <w:tab/>
        <w:t xml:space="preserve">výdaje na zvýšení základního kapitálu včetně splácení zápůjček, </w:t>
      </w:r>
    </w:p>
    <w:p w14:paraId="4FBA60CC" w14:textId="77777777" w:rsidR="000839A4" w:rsidRPr="000839A4" w:rsidRDefault="000839A4" w:rsidP="000839A4">
      <w:pPr>
        <w:tabs>
          <w:tab w:val="left" w:pos="357"/>
        </w:tabs>
        <w:spacing w:before="0"/>
        <w:ind w:left="357" w:hanging="357"/>
        <w:rPr>
          <w:strike/>
          <w:szCs w:val="24"/>
        </w:rPr>
      </w:pPr>
      <w:r w:rsidRPr="000839A4">
        <w:rPr>
          <w:strike/>
          <w:szCs w:val="24"/>
        </w:rPr>
        <w:t>c)</w:t>
      </w:r>
      <w:r w:rsidRPr="000839A4">
        <w:rPr>
          <w:strike/>
          <w:szCs w:val="24"/>
        </w:rPr>
        <w:tab/>
        <w:t>pořizovací cenu</w:t>
      </w:r>
      <w:r w:rsidRPr="000839A4">
        <w:rPr>
          <w:strike/>
          <w:szCs w:val="24"/>
          <w:vertAlign w:val="superscript"/>
        </w:rPr>
        <w:t>20)</w:t>
      </w:r>
      <w:r w:rsidRPr="000839A4">
        <w:rPr>
          <w:strike/>
          <w:szCs w:val="24"/>
        </w:rPr>
        <w:t xml:space="preserve"> cenného papíru s výjimkou uvedenou v § 24 odst. 2 písm. r), w) a ze) a dále s výjimkou opčních listů při uplatnění přednostního práva, </w:t>
      </w:r>
    </w:p>
    <w:p w14:paraId="3C205EFB" w14:textId="77777777" w:rsidR="000839A4" w:rsidRPr="000839A4" w:rsidRDefault="000839A4" w:rsidP="000839A4">
      <w:pPr>
        <w:tabs>
          <w:tab w:val="left" w:pos="357"/>
        </w:tabs>
        <w:spacing w:before="0"/>
        <w:ind w:left="357" w:hanging="357"/>
        <w:rPr>
          <w:szCs w:val="24"/>
        </w:rPr>
      </w:pPr>
      <w:r w:rsidRPr="000839A4">
        <w:rPr>
          <w:strike/>
          <w:szCs w:val="24"/>
        </w:rPr>
        <w:lastRenderedPageBreak/>
        <w:t>d)</w:t>
      </w:r>
      <w:r w:rsidRPr="000839A4">
        <w:rPr>
          <w:szCs w:val="24"/>
        </w:rPr>
        <w:t xml:space="preserve"> </w:t>
      </w:r>
      <w:r w:rsidRPr="000839A4">
        <w:rPr>
          <w:b/>
          <w:szCs w:val="24"/>
        </w:rPr>
        <w:t>a)</w:t>
      </w:r>
      <w:r w:rsidRPr="000839A4">
        <w:rPr>
          <w:szCs w:val="24"/>
        </w:rPr>
        <w:tab/>
        <w:t xml:space="preserve">pojistné hrazené za člena statutárního orgánu a dalšího orgánu právnické osoby a za jednatele společnosti s ručením omezeným z titulu odpovědnosti za škodu způsobenou společnosti při výkonu funkce, </w:t>
      </w:r>
    </w:p>
    <w:p w14:paraId="40E89A1A" w14:textId="77777777" w:rsidR="000839A4" w:rsidRPr="000839A4" w:rsidRDefault="000839A4" w:rsidP="000839A4">
      <w:pPr>
        <w:tabs>
          <w:tab w:val="left" w:pos="357"/>
        </w:tabs>
        <w:spacing w:before="0"/>
        <w:ind w:left="357" w:hanging="357"/>
        <w:rPr>
          <w:szCs w:val="24"/>
        </w:rPr>
      </w:pPr>
      <w:r w:rsidRPr="000839A4">
        <w:rPr>
          <w:strike/>
          <w:szCs w:val="24"/>
        </w:rPr>
        <w:t>e)</w:t>
      </w:r>
      <w:r w:rsidRPr="000839A4">
        <w:rPr>
          <w:szCs w:val="24"/>
        </w:rPr>
        <w:t xml:space="preserve"> </w:t>
      </w:r>
      <w:r w:rsidRPr="000839A4">
        <w:rPr>
          <w:b/>
          <w:szCs w:val="24"/>
        </w:rPr>
        <w:t>b)</w:t>
      </w:r>
      <w:r w:rsidRPr="000839A4">
        <w:rPr>
          <w:szCs w:val="24"/>
        </w:rPr>
        <w:tab/>
        <w:t xml:space="preserve">vyplácené podíly na zisku, </w:t>
      </w:r>
    </w:p>
    <w:p w14:paraId="366CA5E5" w14:textId="77777777" w:rsidR="000839A4" w:rsidRPr="000839A4" w:rsidRDefault="000839A4" w:rsidP="000839A4">
      <w:pPr>
        <w:tabs>
          <w:tab w:val="left" w:pos="357"/>
        </w:tabs>
        <w:spacing w:before="0"/>
        <w:ind w:left="357" w:hanging="357"/>
        <w:rPr>
          <w:szCs w:val="24"/>
        </w:rPr>
      </w:pPr>
      <w:r w:rsidRPr="000839A4">
        <w:rPr>
          <w:strike/>
          <w:szCs w:val="24"/>
        </w:rPr>
        <w:t>f)</w:t>
      </w:r>
      <w:r w:rsidRPr="000839A4">
        <w:rPr>
          <w:szCs w:val="24"/>
        </w:rPr>
        <w:t xml:space="preserve"> </w:t>
      </w:r>
      <w:r w:rsidRPr="000839A4">
        <w:rPr>
          <w:b/>
          <w:szCs w:val="24"/>
        </w:rPr>
        <w:t>c)</w:t>
      </w:r>
      <w:r w:rsidRPr="000839A4">
        <w:rPr>
          <w:szCs w:val="24"/>
        </w:rPr>
        <w:tab/>
        <w:t xml:space="preserve">penále, úroky z prodlení a pokuty s výjimkou uvedenou v </w:t>
      </w:r>
      <w:r w:rsidRPr="000839A4">
        <w:rPr>
          <w:strike/>
          <w:szCs w:val="24"/>
        </w:rPr>
        <w:t xml:space="preserve">§ 24 odst. 2 písm. </w:t>
      </w:r>
      <w:proofErr w:type="spellStart"/>
      <w:r w:rsidRPr="000839A4">
        <w:rPr>
          <w:strike/>
          <w:szCs w:val="24"/>
        </w:rPr>
        <w:t>zi</w:t>
      </w:r>
      <w:proofErr w:type="spellEnd"/>
      <w:r w:rsidRPr="000839A4">
        <w:rPr>
          <w:strike/>
          <w:szCs w:val="24"/>
        </w:rPr>
        <w:t>)</w:t>
      </w:r>
      <w:r w:rsidRPr="000839A4">
        <w:rPr>
          <w:szCs w:val="24"/>
        </w:rPr>
        <w:t xml:space="preserve"> </w:t>
      </w:r>
      <w:r w:rsidRPr="000839A4">
        <w:rPr>
          <w:b/>
          <w:szCs w:val="24"/>
        </w:rPr>
        <w:t>odstavci 4 písm. e)</w:t>
      </w:r>
      <w:r w:rsidRPr="000839A4">
        <w:rPr>
          <w:szCs w:val="24"/>
        </w:rPr>
        <w:t xml:space="preserve">, úroky z posečkané částky, peněžité tresty, přirážky k pojistnému na sociální zabezpečení a příspěvku na státní politiku zaměstnanosti a k pojistnému na veřejné zdravotní pojištění, a náklady spojené s trestem uveřejnění rozsudku podle zvláštního právního předpisu, </w:t>
      </w:r>
    </w:p>
    <w:p w14:paraId="012522DA" w14:textId="77777777" w:rsidR="000839A4" w:rsidRPr="000839A4" w:rsidRDefault="000839A4" w:rsidP="000839A4">
      <w:pPr>
        <w:tabs>
          <w:tab w:val="left" w:pos="357"/>
        </w:tabs>
        <w:spacing w:before="0"/>
        <w:ind w:left="357" w:hanging="357"/>
        <w:rPr>
          <w:szCs w:val="24"/>
        </w:rPr>
      </w:pPr>
      <w:r w:rsidRPr="000839A4">
        <w:rPr>
          <w:strike/>
          <w:szCs w:val="24"/>
        </w:rPr>
        <w:t>g)</w:t>
      </w:r>
      <w:r w:rsidRPr="000839A4">
        <w:rPr>
          <w:szCs w:val="24"/>
        </w:rPr>
        <w:t xml:space="preserve"> </w:t>
      </w:r>
      <w:r w:rsidRPr="000839A4">
        <w:rPr>
          <w:b/>
          <w:szCs w:val="24"/>
        </w:rPr>
        <w:t>d)</w:t>
      </w:r>
      <w:r w:rsidRPr="000839A4">
        <w:rPr>
          <w:szCs w:val="24"/>
        </w:rPr>
        <w:tab/>
        <w:t xml:space="preserve"> pojistné na sociální zabezpečení a příspěvek na státní politiku zaměstnanosti a pojistné na veřejné zdravotní pojištění hrazené veřejnou obchodní společností za společníky této obchodní společnosti, komanditní společností za komplementáře, poplatníkem majícím příjmy ze samostatné činnosti, poplatníkem majícím příjmy z nájmu a pojistné hrazené osobami samostatně výdělečně činnými, které nejsou </w:t>
      </w:r>
      <w:proofErr w:type="spellStart"/>
      <w:r w:rsidRPr="000839A4">
        <w:rPr>
          <w:szCs w:val="24"/>
        </w:rPr>
        <w:t>nemocensky</w:t>
      </w:r>
      <w:proofErr w:type="spellEnd"/>
      <w:r w:rsidRPr="000839A4">
        <w:rPr>
          <w:szCs w:val="24"/>
        </w:rPr>
        <w:t xml:space="preserve"> pojištěny a pojistí se na denní dávku při dočasné pracovní neschopnosti u soukromé pojišťovny</w:t>
      </w:r>
      <w:r w:rsidRPr="000839A4">
        <w:rPr>
          <w:szCs w:val="24"/>
          <w:vertAlign w:val="superscript"/>
        </w:rPr>
        <w:footnoteReference w:customMarkFollows="1" w:id="171"/>
        <w:t>21a)</w:t>
      </w:r>
      <w:r w:rsidRPr="000839A4">
        <w:rPr>
          <w:szCs w:val="24"/>
        </w:rPr>
        <w:t xml:space="preserve">, s výjimkou uvedenou v § 24, </w:t>
      </w:r>
    </w:p>
    <w:p w14:paraId="08B6C4D0" w14:textId="77777777" w:rsidR="000839A4" w:rsidRPr="000839A4" w:rsidRDefault="000839A4" w:rsidP="000839A4">
      <w:pPr>
        <w:tabs>
          <w:tab w:val="left" w:pos="357"/>
        </w:tabs>
        <w:spacing w:before="0"/>
        <w:ind w:left="357" w:hanging="357"/>
        <w:rPr>
          <w:szCs w:val="24"/>
        </w:rPr>
      </w:pPr>
      <w:r w:rsidRPr="000839A4">
        <w:rPr>
          <w:b/>
          <w:bCs/>
          <w:strike/>
          <w:noProof/>
          <w:color w:val="00B050"/>
          <w:szCs w:val="24"/>
        </w:rPr>
        <mc:AlternateContent>
          <mc:Choice Requires="wps">
            <w:drawing>
              <wp:anchor distT="0" distB="0" distL="114300" distR="114300" simplePos="0" relativeHeight="251695104" behindDoc="1" locked="0" layoutInCell="1" allowOverlap="1" wp14:anchorId="08E6C099" wp14:editId="1242451F">
                <wp:simplePos x="0" y="0"/>
                <wp:positionH relativeFrom="margin">
                  <wp:posOffset>-85923</wp:posOffset>
                </wp:positionH>
                <wp:positionV relativeFrom="paragraph">
                  <wp:posOffset>4173</wp:posOffset>
                </wp:positionV>
                <wp:extent cx="5957185" cy="1388853"/>
                <wp:effectExtent l="0" t="0" r="24765" b="20955"/>
                <wp:wrapNone/>
                <wp:docPr id="20" name="Obdélník 20"/>
                <wp:cNvGraphicFramePr/>
                <a:graphic xmlns:a="http://schemas.openxmlformats.org/drawingml/2006/main">
                  <a:graphicData uri="http://schemas.microsoft.com/office/word/2010/wordprocessingShape">
                    <wps:wsp>
                      <wps:cNvSpPr/>
                      <wps:spPr>
                        <a:xfrm>
                          <a:off x="0" y="0"/>
                          <a:ext cx="5957185" cy="1388853"/>
                        </a:xfrm>
                        <a:prstGeom prst="rect">
                          <a:avLst/>
                        </a:prstGeom>
                        <a:solidFill>
                          <a:sysClr val="window" lastClr="FFFFFF"/>
                        </a:solid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EECD241" id="Obdélník 20" o:spid="_x0000_s1026" style="position:absolute;margin-left:-6.75pt;margin-top:.35pt;width:469.05pt;height:109.35pt;z-index:-2516213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" fillcolor="window" strokecolor="#00b050" strokeweight="1pt">
                <w10:wrap anchorx="margin"/>
              </v:rect>
            </w:pict>
          </mc:Fallback>
        </mc:AlternateContent>
      </w:r>
      <w:r w:rsidRPr="000839A4">
        <w:rPr>
          <w:strike/>
          <w:szCs w:val="24"/>
        </w:rPr>
        <w:t>h)</w:t>
      </w:r>
      <w:r w:rsidRPr="000839A4">
        <w:rPr>
          <w:szCs w:val="24"/>
        </w:rPr>
        <w:t xml:space="preserve"> </w:t>
      </w:r>
      <w:r w:rsidRPr="000839A4">
        <w:rPr>
          <w:b/>
          <w:szCs w:val="24"/>
        </w:rPr>
        <w:t>e)</w:t>
      </w:r>
      <w:r w:rsidRPr="000839A4">
        <w:rPr>
          <w:szCs w:val="24"/>
        </w:rPr>
        <w:tab/>
        <w:t>nepeněžní plnění poskytovaná zaměstnavatelem zaměstnanci, pokud je toto plnění u zaměstnance osvobozeno od daně, a to ve formě</w:t>
      </w:r>
    </w:p>
    <w:p w14:paraId="66A91B34" w14:textId="77777777" w:rsidR="000839A4" w:rsidRPr="000839A4" w:rsidRDefault="000839A4" w:rsidP="000839A4">
      <w:pPr>
        <w:tabs>
          <w:tab w:val="left" w:pos="357"/>
        </w:tabs>
        <w:spacing w:before="0"/>
        <w:ind w:left="714" w:hanging="357"/>
        <w:rPr>
          <w:szCs w:val="24"/>
        </w:rPr>
      </w:pPr>
      <w:r w:rsidRPr="000839A4">
        <w:rPr>
          <w:szCs w:val="24"/>
        </w:rPr>
        <w:t>1. příspěvku na kulturní pořady, zájezdy, sportovní akce</w:t>
      </w:r>
      <w:r w:rsidRPr="000839A4">
        <w:rPr>
          <w:b/>
          <w:noProof/>
          <w:color w:val="00B050"/>
          <w:szCs w:val="24"/>
        </w:rPr>
        <w:t>, společenské akce, včetně těch s kulturním nebo sportovním prvkem,</w:t>
      </w:r>
      <w:r w:rsidRPr="000839A4">
        <w:rPr>
          <w:color w:val="00B050"/>
          <w:szCs w:val="24"/>
        </w:rPr>
        <w:t xml:space="preserve"> </w:t>
      </w:r>
      <w:r w:rsidRPr="000839A4">
        <w:rPr>
          <w:szCs w:val="24"/>
        </w:rPr>
        <w:t>a tištěné knihy, včetně obrázkových knih pro děti, mimo knih, ve kterých reklama přesahuje 50 % plochy,</w:t>
      </w:r>
    </w:p>
    <w:p w14:paraId="008595B7" w14:textId="77777777" w:rsidR="000839A4" w:rsidRPr="000839A4" w:rsidRDefault="000839A4" w:rsidP="000839A4">
      <w:pPr>
        <w:tabs>
          <w:tab w:val="left" w:pos="357"/>
        </w:tabs>
        <w:spacing w:before="0"/>
        <w:ind w:left="714" w:hanging="357"/>
        <w:rPr>
          <w:szCs w:val="24"/>
        </w:rPr>
      </w:pPr>
      <w:r w:rsidRPr="000839A4">
        <w:rPr>
          <w:szCs w:val="24"/>
        </w:rPr>
        <w:t xml:space="preserve">2. možnosti používat rekreační, zdravotnická a vzdělávací zařízení, závodní knihovny, tělovýchovná a sportovní zařízení, s výjimkou zařízení uvedených v § 24 odst. 2 písm. </w:t>
      </w:r>
      <w:r w:rsidRPr="000839A4">
        <w:rPr>
          <w:strike/>
          <w:szCs w:val="24"/>
        </w:rPr>
        <w:t>j)</w:t>
      </w:r>
      <w:r w:rsidRPr="000839A4">
        <w:rPr>
          <w:szCs w:val="24"/>
        </w:rPr>
        <w:t xml:space="preserve"> </w:t>
      </w:r>
      <w:r w:rsidRPr="000839A4">
        <w:rPr>
          <w:b/>
          <w:szCs w:val="24"/>
        </w:rPr>
        <w:t>f)</w:t>
      </w:r>
      <w:r w:rsidRPr="000839A4">
        <w:rPr>
          <w:szCs w:val="24"/>
        </w:rPr>
        <w:t xml:space="preserve"> bodech 1 až 3,</w:t>
      </w:r>
    </w:p>
    <w:p w14:paraId="1FCD33FF" w14:textId="77777777" w:rsidR="000839A4" w:rsidRPr="000839A4" w:rsidRDefault="000839A4" w:rsidP="000839A4">
      <w:pPr>
        <w:tabs>
          <w:tab w:val="left" w:pos="357"/>
        </w:tabs>
        <w:spacing w:before="0"/>
        <w:ind w:left="357" w:hanging="357"/>
        <w:rPr>
          <w:szCs w:val="24"/>
        </w:rPr>
      </w:pPr>
      <w:r w:rsidRPr="000839A4">
        <w:rPr>
          <w:strike/>
          <w:szCs w:val="24"/>
        </w:rPr>
        <w:t>i)</w:t>
      </w:r>
      <w:r w:rsidRPr="000839A4">
        <w:rPr>
          <w:szCs w:val="24"/>
        </w:rPr>
        <w:t xml:space="preserve"> </w:t>
      </w:r>
      <w:r w:rsidRPr="000839A4">
        <w:rPr>
          <w:b/>
          <w:szCs w:val="24"/>
        </w:rPr>
        <w:t>f)</w:t>
      </w:r>
      <w:r w:rsidRPr="000839A4">
        <w:rPr>
          <w:szCs w:val="24"/>
        </w:rPr>
        <w:tab/>
        <w:t>výdaje vynaložené na příjmy, které nejsou předmětem daně, na příjmy od daně osvobozené nebo nezahrnované do základu daně a u  poplatníka daně z příjmů fyzických osob, který je daňovým rezidentem České republiky, výdaje vynaložené na příjmy vyňaté podle mezinárodní smlouvy, převyšující tyto příjmy; obdobně to platí pro výdaje hrazené z prostředků, jejichž zdrojem byl u poplatníka daně z příjmů právnických osob příjem z darování a bezúplatných služeb od daně osvobozený nebo příjem, který nebyl předmětem daně; toto ustanovení se u veřejně prospěšných poplatníků nepoužije pro výdaje vynaložené na úrokové příjmy, které podléhají zvláštní sazbě daně, a pro použití prostředků z kapitálového dovybavení,</w:t>
      </w:r>
    </w:p>
    <w:p w14:paraId="1E507F0D" w14:textId="77777777" w:rsidR="000839A4" w:rsidRPr="000839A4" w:rsidRDefault="000839A4" w:rsidP="000839A4">
      <w:pPr>
        <w:tabs>
          <w:tab w:val="left" w:pos="357"/>
        </w:tabs>
        <w:spacing w:before="0"/>
        <w:ind w:left="357" w:hanging="357"/>
        <w:rPr>
          <w:szCs w:val="24"/>
        </w:rPr>
      </w:pPr>
      <w:r w:rsidRPr="000839A4">
        <w:rPr>
          <w:strike/>
          <w:szCs w:val="24"/>
        </w:rPr>
        <w:t>j)</w:t>
      </w:r>
      <w:r w:rsidRPr="000839A4">
        <w:rPr>
          <w:szCs w:val="24"/>
        </w:rPr>
        <w:t xml:space="preserve"> </w:t>
      </w:r>
      <w:r w:rsidRPr="000839A4">
        <w:rPr>
          <w:b/>
          <w:szCs w:val="24"/>
        </w:rPr>
        <w:t>g)</w:t>
      </w:r>
      <w:r w:rsidRPr="000839A4">
        <w:rPr>
          <w:szCs w:val="24"/>
        </w:rPr>
        <w:tab/>
        <w:t>výdaje nad limity stanovené tímto zákonem nebo zvláštními předpisy,</w:t>
      </w:r>
      <w:r w:rsidRPr="000839A4">
        <w:rPr>
          <w:szCs w:val="24"/>
          <w:vertAlign w:val="superscript"/>
        </w:rPr>
        <w:t xml:space="preserve"> 5) 23)</w:t>
      </w:r>
      <w:r w:rsidRPr="000839A4">
        <w:rPr>
          <w:szCs w:val="24"/>
        </w:rPr>
        <w:t xml:space="preserve">  </w:t>
      </w:r>
    </w:p>
    <w:p w14:paraId="1126EAA8" w14:textId="77777777" w:rsidR="000839A4" w:rsidRPr="000839A4" w:rsidRDefault="000839A4" w:rsidP="004C5D51">
      <w:pPr>
        <w:pBdr>
          <w:top w:val="single" w:sz="12" w:space="1" w:color="00B050"/>
          <w:left w:val="single" w:sz="12" w:space="4" w:color="00B050"/>
          <w:bottom w:val="single" w:sz="12" w:space="1" w:color="00B050"/>
          <w:right w:val="single" w:sz="12" w:space="4" w:color="00B050"/>
        </w:pBdr>
        <w:tabs>
          <w:tab w:val="left" w:pos="357"/>
        </w:tabs>
        <w:spacing w:before="0"/>
        <w:ind w:left="357" w:hanging="357"/>
        <w:rPr>
          <w:szCs w:val="24"/>
        </w:rPr>
      </w:pPr>
      <w:r w:rsidRPr="000839A4">
        <w:rPr>
          <w:strike/>
          <w:szCs w:val="24"/>
        </w:rPr>
        <w:t>k)</w:t>
      </w:r>
      <w:r w:rsidRPr="000839A4">
        <w:rPr>
          <w:szCs w:val="24"/>
        </w:rPr>
        <w:t xml:space="preserve"> </w:t>
      </w:r>
      <w:r w:rsidRPr="000839A4">
        <w:rPr>
          <w:b/>
          <w:szCs w:val="24"/>
        </w:rPr>
        <w:t>h)</w:t>
      </w:r>
      <w:r w:rsidRPr="000839A4">
        <w:rPr>
          <w:szCs w:val="24"/>
        </w:rPr>
        <w:tab/>
        <w:t xml:space="preserve">výdaje (náklady) převyšující příjmy v zařízeních k uspokojování potřeb zaměstnanců nebo jiných osob s výjimkou § 24 odst. 2 písm. </w:t>
      </w:r>
      <w:r w:rsidRPr="000839A4">
        <w:rPr>
          <w:strike/>
          <w:szCs w:val="24"/>
        </w:rPr>
        <w:t>j)</w:t>
      </w:r>
      <w:r w:rsidRPr="000839A4">
        <w:rPr>
          <w:szCs w:val="24"/>
        </w:rPr>
        <w:t xml:space="preserve"> </w:t>
      </w:r>
      <w:r w:rsidRPr="000839A4">
        <w:rPr>
          <w:b/>
          <w:szCs w:val="24"/>
        </w:rPr>
        <w:t>f)</w:t>
      </w:r>
      <w:r w:rsidRPr="000839A4">
        <w:rPr>
          <w:szCs w:val="24"/>
        </w:rPr>
        <w:t xml:space="preserve"> body 1 až 3, písm. </w:t>
      </w:r>
      <w:proofErr w:type="spellStart"/>
      <w:r w:rsidRPr="000839A4">
        <w:rPr>
          <w:strike/>
          <w:szCs w:val="24"/>
        </w:rPr>
        <w:t>zs</w:t>
      </w:r>
      <w:proofErr w:type="spellEnd"/>
      <w:r w:rsidRPr="000839A4">
        <w:rPr>
          <w:strike/>
          <w:szCs w:val="24"/>
        </w:rPr>
        <w:t>)</w:t>
      </w:r>
      <w:r w:rsidRPr="000839A4">
        <w:rPr>
          <w:szCs w:val="24"/>
        </w:rPr>
        <w:t xml:space="preserve"> </w:t>
      </w:r>
      <w:r w:rsidRPr="000839A4">
        <w:rPr>
          <w:b/>
          <w:szCs w:val="24"/>
        </w:rPr>
        <w:t>za)</w:t>
      </w:r>
      <w:r w:rsidRPr="000839A4">
        <w:rPr>
          <w:szCs w:val="24"/>
        </w:rPr>
        <w:t xml:space="preserve"> a s výjimkou výdajů (nákladů) na přechodné ubytování zaměstnanců, nejde-li o ubytování při pracovní cestě, poskytované jako nepeněžní plnění zaměstnavatelem zaměstnanci v souvislosti s výkonem práce, pokud obec přechodného ubytování není shodná s obcí, kde má zaměstnanec bydliště, přičemž výdaje (náklady) i příjmy se posuzují za každé zařízení k uspokojování potřeb zaměstnanců nebo jiných osob, samostatně</w:t>
      </w:r>
      <w:r w:rsidRPr="000839A4">
        <w:rPr>
          <w:b/>
          <w:noProof/>
          <w:color w:val="FF0000"/>
          <w:szCs w:val="24"/>
          <w:lang w:val="en-US"/>
        </w:rPr>
        <w:t xml:space="preserve"> </w:t>
      </w:r>
      <w:r w:rsidRPr="000839A4">
        <w:rPr>
          <w:b/>
          <w:noProof/>
          <w:color w:val="00B050"/>
          <w:szCs w:val="24"/>
          <w:lang w:val="en-US"/>
        </w:rPr>
        <w:t>a nezohledňují se výdaje, které nelze uznat za výdaje (náklady) vynaložené k dosažení, zajištění a udržení příjmů pro daňové účely podle jiných ustanovení tohoto zákona</w:t>
      </w:r>
      <w:r w:rsidRPr="000839A4">
        <w:rPr>
          <w:szCs w:val="24"/>
        </w:rPr>
        <w:t xml:space="preserve">, </w:t>
      </w:r>
      <w:r w:rsidRPr="000839A4">
        <w:rPr>
          <w:b/>
          <w:szCs w:val="24"/>
        </w:rPr>
        <w:tab/>
      </w:r>
    </w:p>
    <w:p w14:paraId="1D04F175" w14:textId="77777777" w:rsidR="000839A4" w:rsidRPr="000839A4" w:rsidRDefault="000839A4" w:rsidP="000839A4">
      <w:pPr>
        <w:tabs>
          <w:tab w:val="left" w:pos="357"/>
        </w:tabs>
        <w:spacing w:before="0"/>
        <w:ind w:left="357" w:hanging="357"/>
        <w:rPr>
          <w:szCs w:val="24"/>
        </w:rPr>
      </w:pPr>
      <w:r w:rsidRPr="000839A4">
        <w:rPr>
          <w:strike/>
          <w:szCs w:val="24"/>
        </w:rPr>
        <w:lastRenderedPageBreak/>
        <w:t>l)</w:t>
      </w:r>
      <w:r w:rsidRPr="000839A4">
        <w:rPr>
          <w:szCs w:val="24"/>
        </w:rPr>
        <w:t xml:space="preserve"> </w:t>
      </w:r>
      <w:r w:rsidRPr="000839A4">
        <w:rPr>
          <w:b/>
          <w:szCs w:val="24"/>
        </w:rPr>
        <w:t>i)</w:t>
      </w:r>
      <w:r w:rsidRPr="000839A4">
        <w:rPr>
          <w:szCs w:val="24"/>
        </w:rPr>
        <w:tab/>
        <w:t xml:space="preserve">tvorbu rezervních a ostatních účelových fondů, pokud zvláštní předpis nestanoví jinak, s výjimkou uvedenou v § 24 odst. 2 písm. </w:t>
      </w:r>
      <w:proofErr w:type="spellStart"/>
      <w:r w:rsidRPr="000839A4">
        <w:rPr>
          <w:strike/>
          <w:szCs w:val="24"/>
        </w:rPr>
        <w:t>zr</w:t>
      </w:r>
      <w:proofErr w:type="spellEnd"/>
      <w:r w:rsidRPr="000839A4">
        <w:rPr>
          <w:strike/>
          <w:szCs w:val="24"/>
        </w:rPr>
        <w:t>)</w:t>
      </w:r>
      <w:r w:rsidRPr="000839A4">
        <w:rPr>
          <w:szCs w:val="24"/>
        </w:rPr>
        <w:t xml:space="preserve"> </w:t>
      </w:r>
      <w:r w:rsidRPr="000839A4">
        <w:rPr>
          <w:b/>
          <w:szCs w:val="24"/>
        </w:rPr>
        <w:t>z)</w:t>
      </w:r>
      <w:r w:rsidRPr="000839A4">
        <w:rPr>
          <w:szCs w:val="24"/>
        </w:rPr>
        <w:t xml:space="preserve">, </w:t>
      </w:r>
    </w:p>
    <w:p w14:paraId="61AFDD19" w14:textId="77777777" w:rsidR="000839A4" w:rsidRPr="000839A4" w:rsidRDefault="000839A4" w:rsidP="000839A4">
      <w:pPr>
        <w:tabs>
          <w:tab w:val="left" w:pos="357"/>
        </w:tabs>
        <w:spacing w:before="0"/>
        <w:ind w:left="357" w:hanging="357"/>
        <w:rPr>
          <w:szCs w:val="24"/>
        </w:rPr>
      </w:pPr>
      <w:r w:rsidRPr="000839A4">
        <w:rPr>
          <w:strike/>
          <w:szCs w:val="24"/>
        </w:rPr>
        <w:t>m)</w:t>
      </w:r>
      <w:r w:rsidRPr="000839A4">
        <w:rPr>
          <w:szCs w:val="24"/>
        </w:rPr>
        <w:t xml:space="preserve"> </w:t>
      </w:r>
      <w:r w:rsidRPr="000839A4">
        <w:rPr>
          <w:b/>
          <w:szCs w:val="24"/>
        </w:rPr>
        <w:t>j)</w:t>
      </w:r>
      <w:r w:rsidRPr="000839A4">
        <w:rPr>
          <w:szCs w:val="24"/>
        </w:rPr>
        <w:tab/>
      </w:r>
      <w:r w:rsidRPr="000839A4">
        <w:rPr>
          <w:color w:val="000000" w:themeColor="text1"/>
          <w:szCs w:val="24"/>
        </w:rPr>
        <w:t xml:space="preserve">plnění ve prospěch vlastního kapitálu s výjimkou uvedenou v § 10 odst. 6 a </w:t>
      </w:r>
      <w:r w:rsidRPr="000839A4">
        <w:rPr>
          <w:strike/>
          <w:color w:val="000000" w:themeColor="text1"/>
          <w:szCs w:val="24"/>
        </w:rPr>
        <w:t>§ 24 odst. 2 písm. r) a w)</w:t>
      </w:r>
      <w:r w:rsidRPr="000839A4">
        <w:rPr>
          <w:color w:val="000000" w:themeColor="text1"/>
          <w:szCs w:val="24"/>
        </w:rPr>
        <w:t xml:space="preserve"> </w:t>
      </w:r>
      <w:r w:rsidRPr="000839A4">
        <w:rPr>
          <w:b/>
          <w:color w:val="000000" w:themeColor="text1"/>
          <w:szCs w:val="24"/>
        </w:rPr>
        <w:t>odstavci 5 písm. d)</w:t>
      </w:r>
      <w:r w:rsidRPr="000839A4">
        <w:rPr>
          <w:color w:val="000000" w:themeColor="text1"/>
          <w:szCs w:val="24"/>
        </w:rPr>
        <w:t xml:space="preserve"> a členský příspěvek poskytnutý evropskému hospodářskému zájmovému sdružení se sídlem na území České republiky</w:t>
      </w:r>
      <w:r w:rsidRPr="000839A4">
        <w:rPr>
          <w:color w:val="000000" w:themeColor="text1"/>
          <w:szCs w:val="24"/>
          <w:vertAlign w:val="superscript"/>
        </w:rPr>
        <w:footnoteReference w:customMarkFollows="1" w:id="172"/>
        <w:t>25a)</w:t>
      </w:r>
      <w:r w:rsidRPr="000839A4">
        <w:rPr>
          <w:color w:val="000000" w:themeColor="text1"/>
          <w:szCs w:val="24"/>
        </w:rPr>
        <w:t>,</w:t>
      </w:r>
      <w:r w:rsidRPr="000839A4">
        <w:rPr>
          <w:color w:val="000000" w:themeColor="text1"/>
          <w:szCs w:val="24"/>
          <w:shd w:val="clear" w:color="auto" w:fill="FF0000"/>
        </w:rPr>
        <w:t xml:space="preserve"> </w:t>
      </w:r>
    </w:p>
    <w:p w14:paraId="32C1E422" w14:textId="77777777" w:rsidR="000839A4" w:rsidRPr="000839A4" w:rsidRDefault="000839A4" w:rsidP="000839A4">
      <w:pPr>
        <w:tabs>
          <w:tab w:val="left" w:pos="357"/>
        </w:tabs>
        <w:spacing w:before="0"/>
        <w:ind w:left="357" w:hanging="357"/>
        <w:rPr>
          <w:szCs w:val="24"/>
        </w:rPr>
      </w:pPr>
      <w:r w:rsidRPr="000839A4">
        <w:rPr>
          <w:strike/>
          <w:szCs w:val="24"/>
        </w:rPr>
        <w:t>n)</w:t>
      </w:r>
      <w:r w:rsidRPr="000839A4">
        <w:rPr>
          <w:szCs w:val="24"/>
        </w:rPr>
        <w:t xml:space="preserve"> </w:t>
      </w:r>
      <w:r w:rsidRPr="000839A4">
        <w:rPr>
          <w:b/>
          <w:szCs w:val="24"/>
        </w:rPr>
        <w:t>k)</w:t>
      </w:r>
      <w:r w:rsidRPr="000839A4">
        <w:rPr>
          <w:szCs w:val="24"/>
        </w:rPr>
        <w:tab/>
        <w:t xml:space="preserve">manka a škody přesahující náhrady s výjimkou uvedenou v § 24, </w:t>
      </w:r>
    </w:p>
    <w:p w14:paraId="5359B8A1" w14:textId="77777777" w:rsidR="000839A4" w:rsidRPr="000839A4" w:rsidRDefault="000839A4" w:rsidP="000839A4">
      <w:pPr>
        <w:tabs>
          <w:tab w:val="left" w:pos="357"/>
        </w:tabs>
        <w:spacing w:before="0"/>
        <w:ind w:left="357" w:hanging="357"/>
        <w:rPr>
          <w:szCs w:val="24"/>
        </w:rPr>
      </w:pPr>
      <w:r w:rsidRPr="000839A4">
        <w:rPr>
          <w:strike/>
          <w:szCs w:val="24"/>
        </w:rPr>
        <w:t>o)</w:t>
      </w:r>
      <w:r w:rsidRPr="000839A4">
        <w:rPr>
          <w:szCs w:val="24"/>
        </w:rPr>
        <w:t xml:space="preserve"> </w:t>
      </w:r>
      <w:r w:rsidRPr="000839A4">
        <w:rPr>
          <w:b/>
          <w:szCs w:val="24"/>
        </w:rPr>
        <w:t>l)</w:t>
      </w:r>
      <w:r w:rsidRPr="000839A4">
        <w:rPr>
          <w:szCs w:val="24"/>
        </w:rPr>
        <w:tab/>
      </w:r>
      <w:r w:rsidRPr="000839A4">
        <w:rPr>
          <w:strike/>
          <w:szCs w:val="24"/>
        </w:rPr>
        <w:t>zůstatkovou cenu (§ 29 odst. 2) hmotného majetku</w:t>
      </w:r>
      <w:r w:rsidRPr="000839A4">
        <w:rPr>
          <w:szCs w:val="24"/>
        </w:rPr>
        <w:t xml:space="preserve"> </w:t>
      </w:r>
      <w:r w:rsidRPr="000839A4">
        <w:rPr>
          <w:b/>
          <w:szCs w:val="24"/>
        </w:rPr>
        <w:t xml:space="preserve">daňovou hodnotu aktiva </w:t>
      </w:r>
      <w:r w:rsidRPr="000839A4">
        <w:rPr>
          <w:szCs w:val="24"/>
        </w:rPr>
        <w:t>vyřazeného v důsledku darování nebo bezúplatného převodu, ke kterému není poplatník povinen podle zvláštního právního předpisu</w:t>
      </w:r>
      <w:r w:rsidRPr="000839A4">
        <w:rPr>
          <w:strike/>
          <w:szCs w:val="24"/>
        </w:rPr>
        <w:t xml:space="preserve">. Toto se vztahuje i na hmotný majetek a nehmotný majetek odpisovaný pouze podle zvláštního právního </w:t>
      </w:r>
      <w:proofErr w:type="gramStart"/>
      <w:r w:rsidRPr="000839A4">
        <w:rPr>
          <w:strike/>
          <w:szCs w:val="24"/>
        </w:rPr>
        <w:t>předpisu,</w:t>
      </w:r>
      <w:r w:rsidRPr="000839A4">
        <w:rPr>
          <w:strike/>
          <w:szCs w:val="24"/>
          <w:vertAlign w:val="superscript"/>
        </w:rPr>
        <w:t>20</w:t>
      </w:r>
      <w:proofErr w:type="gramEnd"/>
      <w:r w:rsidRPr="000839A4">
        <w:rPr>
          <w:strike/>
          <w:szCs w:val="24"/>
          <w:vertAlign w:val="superscript"/>
        </w:rPr>
        <w:t>)</w:t>
      </w:r>
      <w:r w:rsidRPr="000839A4">
        <w:rPr>
          <w:szCs w:val="24"/>
        </w:rPr>
        <w:t xml:space="preserve"> </w:t>
      </w:r>
      <w:r w:rsidRPr="000839A4">
        <w:rPr>
          <w:b/>
          <w:szCs w:val="24"/>
        </w:rPr>
        <w:t>,</w:t>
      </w:r>
      <w:r w:rsidRPr="000839A4">
        <w:rPr>
          <w:szCs w:val="24"/>
        </w:rPr>
        <w:t xml:space="preserve"> </w:t>
      </w:r>
    </w:p>
    <w:p w14:paraId="340CCEE2" w14:textId="77777777" w:rsidR="000839A4" w:rsidRPr="000839A4" w:rsidRDefault="000839A4" w:rsidP="000839A4">
      <w:pPr>
        <w:tabs>
          <w:tab w:val="left" w:pos="357"/>
        </w:tabs>
        <w:spacing w:before="0"/>
        <w:ind w:left="357" w:hanging="357"/>
        <w:rPr>
          <w:strike/>
          <w:szCs w:val="24"/>
        </w:rPr>
      </w:pPr>
      <w:r w:rsidRPr="000839A4">
        <w:rPr>
          <w:strike/>
          <w:szCs w:val="24"/>
        </w:rPr>
        <w:t xml:space="preserve">p) </w:t>
      </w:r>
      <w:r w:rsidRPr="000839A4">
        <w:rPr>
          <w:b/>
          <w:strike/>
          <w:szCs w:val="24"/>
        </w:rPr>
        <w:t>m)</w:t>
      </w:r>
      <w:r w:rsidRPr="000839A4">
        <w:rPr>
          <w:strike/>
          <w:szCs w:val="24"/>
        </w:rPr>
        <w:tab/>
        <w:t xml:space="preserve">technické zhodnocení (§ 33), </w:t>
      </w:r>
    </w:p>
    <w:p w14:paraId="6A697822" w14:textId="77777777" w:rsidR="000839A4" w:rsidRPr="000839A4" w:rsidRDefault="000839A4" w:rsidP="000839A4">
      <w:pPr>
        <w:tabs>
          <w:tab w:val="left" w:pos="357"/>
        </w:tabs>
        <w:spacing w:before="0"/>
        <w:ind w:left="357" w:hanging="357"/>
        <w:rPr>
          <w:szCs w:val="24"/>
        </w:rPr>
      </w:pPr>
      <w:r w:rsidRPr="000839A4">
        <w:rPr>
          <w:strike/>
          <w:szCs w:val="24"/>
        </w:rPr>
        <w:t>r) n)</w:t>
      </w:r>
      <w:r w:rsidRPr="000839A4">
        <w:rPr>
          <w:szCs w:val="24"/>
        </w:rPr>
        <w:t xml:space="preserve"> </w:t>
      </w:r>
      <w:r w:rsidRPr="000839A4">
        <w:rPr>
          <w:b/>
          <w:szCs w:val="24"/>
        </w:rPr>
        <w:t>m)</w:t>
      </w:r>
      <w:r w:rsidRPr="000839A4">
        <w:rPr>
          <w:szCs w:val="24"/>
        </w:rPr>
        <w:tab/>
        <w:t xml:space="preserve">daně zaplacené za jiného poplatníka s výjimkou uvedenou v § 24 odst. 2 písm. </w:t>
      </w:r>
      <w:r w:rsidRPr="000839A4">
        <w:rPr>
          <w:strike/>
          <w:szCs w:val="24"/>
        </w:rPr>
        <w:t>ch) a u)</w:t>
      </w:r>
      <w:r w:rsidRPr="000839A4">
        <w:rPr>
          <w:szCs w:val="24"/>
        </w:rPr>
        <w:t xml:space="preserve"> </w:t>
      </w:r>
      <w:r w:rsidRPr="000839A4">
        <w:rPr>
          <w:b/>
          <w:szCs w:val="24"/>
        </w:rPr>
        <w:t>d) a l)</w:t>
      </w:r>
      <w:r w:rsidRPr="000839A4">
        <w:rPr>
          <w:szCs w:val="24"/>
        </w:rPr>
        <w:t xml:space="preserve">, </w:t>
      </w:r>
    </w:p>
    <w:p w14:paraId="6B32ADDB" w14:textId="77777777" w:rsidR="000839A4" w:rsidRPr="000839A4" w:rsidRDefault="000839A4" w:rsidP="000839A4">
      <w:pPr>
        <w:tabs>
          <w:tab w:val="left" w:pos="357"/>
        </w:tabs>
        <w:spacing w:before="0"/>
        <w:ind w:left="357" w:hanging="357"/>
        <w:rPr>
          <w:szCs w:val="24"/>
        </w:rPr>
      </w:pPr>
      <w:r w:rsidRPr="000839A4">
        <w:rPr>
          <w:strike/>
          <w:szCs w:val="24"/>
        </w:rPr>
        <w:t xml:space="preserve">s) </w:t>
      </w:r>
      <w:r w:rsidRPr="000839A4">
        <w:rPr>
          <w:b/>
          <w:strike/>
          <w:szCs w:val="24"/>
        </w:rPr>
        <w:t>o)</w:t>
      </w:r>
      <w:r w:rsidRPr="000839A4">
        <w:rPr>
          <w:b/>
          <w:szCs w:val="24"/>
        </w:rPr>
        <w:t xml:space="preserve"> n)</w:t>
      </w:r>
      <w:r w:rsidRPr="000839A4">
        <w:rPr>
          <w:b/>
          <w:szCs w:val="24"/>
        </w:rPr>
        <w:tab/>
      </w:r>
      <w:r w:rsidRPr="000839A4">
        <w:rPr>
          <w:szCs w:val="24"/>
        </w:rPr>
        <w:t xml:space="preserve">daň z příjmů fyzických osob a daň z příjmů právnických osob a obdobné daně zaplacené v zahraničí s výjimkou uvedenou v § 24 odst. 2 písm. </w:t>
      </w:r>
      <w:r w:rsidRPr="000839A4">
        <w:rPr>
          <w:strike/>
          <w:szCs w:val="24"/>
        </w:rPr>
        <w:t>ch)</w:t>
      </w:r>
      <w:r w:rsidRPr="000839A4">
        <w:rPr>
          <w:szCs w:val="24"/>
        </w:rPr>
        <w:t xml:space="preserve"> </w:t>
      </w:r>
      <w:r w:rsidRPr="000839A4">
        <w:rPr>
          <w:b/>
          <w:szCs w:val="24"/>
        </w:rPr>
        <w:t>d)</w:t>
      </w:r>
      <w:r w:rsidRPr="000839A4">
        <w:rPr>
          <w:szCs w:val="24"/>
        </w:rPr>
        <w:t xml:space="preserve"> a dále odloženou daň podle zvláštního právního předpisu</w:t>
      </w:r>
      <w:r w:rsidRPr="000839A4">
        <w:rPr>
          <w:strike/>
          <w:szCs w:val="24"/>
          <w:vertAlign w:val="superscript"/>
        </w:rPr>
        <w:t>20)</w:t>
      </w:r>
      <w:r w:rsidRPr="000839A4">
        <w:rPr>
          <w:szCs w:val="24"/>
        </w:rPr>
        <w:t xml:space="preserve">, </w:t>
      </w:r>
    </w:p>
    <w:p w14:paraId="12448DEB" w14:textId="77777777" w:rsidR="000839A4" w:rsidRPr="000839A4" w:rsidRDefault="000839A4" w:rsidP="000839A4">
      <w:pPr>
        <w:tabs>
          <w:tab w:val="left" w:pos="357"/>
        </w:tabs>
        <w:spacing w:before="0"/>
        <w:ind w:left="357" w:hanging="357"/>
        <w:rPr>
          <w:szCs w:val="24"/>
        </w:rPr>
      </w:pPr>
      <w:r w:rsidRPr="000839A4">
        <w:rPr>
          <w:strike/>
          <w:szCs w:val="24"/>
        </w:rPr>
        <w:t xml:space="preserve">t) </w:t>
      </w:r>
      <w:r w:rsidRPr="000839A4">
        <w:rPr>
          <w:b/>
          <w:strike/>
          <w:szCs w:val="24"/>
        </w:rPr>
        <w:t>p)</w:t>
      </w:r>
      <w:r w:rsidRPr="000839A4">
        <w:rPr>
          <w:b/>
          <w:szCs w:val="24"/>
        </w:rPr>
        <w:t xml:space="preserve"> o)</w:t>
      </w:r>
      <w:r w:rsidRPr="000839A4">
        <w:rPr>
          <w:szCs w:val="24"/>
        </w:rPr>
        <w:tab/>
        <w:t xml:space="preserve">výdaje na reprezentaci, kterými jsou zejména výdaje na pohoštění, občerstvení a dar; za dar se nepovažuje reklamní nebo propagační předmět, který je opatřen jménem nebo ochrannou známkou poskytovatele tohoto předmětu nebo názvem propagovaného zboží nebo služby, jehož hodnota bez daně z přidané hodnoty nepřesahuje 500 Kč a který není předmětem spotřební daně, </w:t>
      </w:r>
    </w:p>
    <w:p w14:paraId="6B051E73" w14:textId="77777777" w:rsidR="000839A4" w:rsidRPr="000839A4" w:rsidRDefault="000839A4" w:rsidP="000839A4">
      <w:pPr>
        <w:tabs>
          <w:tab w:val="left" w:pos="357"/>
        </w:tabs>
        <w:spacing w:before="0"/>
        <w:ind w:left="357" w:hanging="357"/>
        <w:rPr>
          <w:szCs w:val="24"/>
        </w:rPr>
      </w:pPr>
      <w:r w:rsidRPr="000839A4">
        <w:rPr>
          <w:strike/>
          <w:szCs w:val="24"/>
        </w:rPr>
        <w:t xml:space="preserve">u) </w:t>
      </w:r>
      <w:r w:rsidRPr="000839A4">
        <w:rPr>
          <w:b/>
          <w:strike/>
          <w:szCs w:val="24"/>
        </w:rPr>
        <w:t>q)</w:t>
      </w:r>
      <w:r w:rsidRPr="000839A4">
        <w:rPr>
          <w:b/>
          <w:szCs w:val="24"/>
        </w:rPr>
        <w:t xml:space="preserve"> p)</w:t>
      </w:r>
      <w:r w:rsidRPr="000839A4">
        <w:rPr>
          <w:szCs w:val="24"/>
        </w:rPr>
        <w:tab/>
        <w:t>výdaje na osobní potřebu poplatníka</w:t>
      </w:r>
      <w:r w:rsidRPr="000839A4">
        <w:rPr>
          <w:strike/>
          <w:szCs w:val="24"/>
        </w:rPr>
        <w:t>; včetně výdajů vynaložených na opravu, údržbu nebo technické zhodnocení majetku sloužícího k činnosti, ze které plyne příjem ze samostatné činnosti, který poplatník uvedený v § 2 nezařadí do obchodního majetku podle § 4 odst. 4</w:t>
      </w:r>
      <w:r w:rsidRPr="000839A4">
        <w:rPr>
          <w:szCs w:val="24"/>
        </w:rPr>
        <w:t xml:space="preserve">, </w:t>
      </w:r>
    </w:p>
    <w:p w14:paraId="3E6E16D1" w14:textId="77777777" w:rsidR="000839A4" w:rsidRPr="000839A4" w:rsidRDefault="000839A4" w:rsidP="000839A4">
      <w:pPr>
        <w:tabs>
          <w:tab w:val="left" w:pos="357"/>
        </w:tabs>
        <w:spacing w:before="0"/>
        <w:ind w:left="357" w:hanging="357"/>
        <w:rPr>
          <w:strike/>
          <w:szCs w:val="24"/>
        </w:rPr>
      </w:pPr>
      <w:r w:rsidRPr="000839A4">
        <w:rPr>
          <w:strike/>
          <w:szCs w:val="24"/>
        </w:rPr>
        <w:t xml:space="preserve">v) </w:t>
      </w:r>
      <w:r w:rsidRPr="000839A4">
        <w:rPr>
          <w:b/>
          <w:strike/>
          <w:szCs w:val="24"/>
        </w:rPr>
        <w:t>r) q)</w:t>
      </w:r>
      <w:r w:rsidRPr="000839A4">
        <w:rPr>
          <w:strike/>
          <w:szCs w:val="24"/>
        </w:rPr>
        <w:tab/>
        <w:t>tvorbu opravných položek na vrub nákladů,</w:t>
      </w:r>
      <w:r w:rsidRPr="000839A4">
        <w:rPr>
          <w:strike/>
          <w:szCs w:val="24"/>
          <w:vertAlign w:val="superscript"/>
        </w:rPr>
        <w:t xml:space="preserve"> 20)</w:t>
      </w:r>
      <w:r w:rsidRPr="000839A4">
        <w:rPr>
          <w:strike/>
          <w:szCs w:val="24"/>
        </w:rPr>
        <w:t xml:space="preserve"> s výjimkou uvedenou v § 24, </w:t>
      </w:r>
    </w:p>
    <w:p w14:paraId="206E1F47" w14:textId="77777777" w:rsidR="000839A4" w:rsidRPr="000839A4" w:rsidRDefault="000839A4" w:rsidP="000839A4">
      <w:pPr>
        <w:tabs>
          <w:tab w:val="left" w:pos="357"/>
        </w:tabs>
        <w:spacing w:before="0"/>
        <w:ind w:left="357" w:hanging="357"/>
        <w:rPr>
          <w:szCs w:val="24"/>
        </w:rPr>
      </w:pPr>
      <w:r w:rsidRPr="000839A4">
        <w:rPr>
          <w:strike/>
          <w:szCs w:val="24"/>
        </w:rPr>
        <w:t xml:space="preserve">w) </w:t>
      </w:r>
      <w:r w:rsidRPr="000839A4">
        <w:rPr>
          <w:b/>
          <w:strike/>
          <w:szCs w:val="24"/>
        </w:rPr>
        <w:t>s) r)</w:t>
      </w:r>
      <w:r w:rsidRPr="000839A4">
        <w:rPr>
          <w:b/>
          <w:szCs w:val="24"/>
        </w:rPr>
        <w:t xml:space="preserve"> q)</w:t>
      </w:r>
      <w:r w:rsidRPr="000839A4">
        <w:rPr>
          <w:szCs w:val="24"/>
        </w:rPr>
        <w:tab/>
        <w:t xml:space="preserve">finanční výdaje (náklady), kterými se pro účely tohoto zákona rozumí úroky z úvěrových finančních nástrojů a související výdaje (náklady), včetně výdajů (nákladů) na obstarání, zpracování úvěrů, poplatků za záruky, pokud je věřitel osobou spojenou ve vztahu k dlužníkovi (§ 23 odst. 7), a to ve výši finančních výdajů (nákladů) z částky, o kterou úhrn úvěrových finančních nástrojů od spojených osob v průběhu zdaňovacího období </w:t>
      </w:r>
      <w:r w:rsidRPr="000839A4">
        <w:rPr>
          <w:strike/>
          <w:szCs w:val="24"/>
        </w:rPr>
        <w:t>nebo období, za něž se podává daňové přiznání,</w:t>
      </w:r>
      <w:r w:rsidRPr="000839A4">
        <w:rPr>
          <w:szCs w:val="24"/>
        </w:rPr>
        <w:t xml:space="preserve"> přesahuje šestinásobek výše vlastního kapitálu, je-li příjemcem úvěrového finančního nástroje banka nebo pojišťovna, nebo čtyřnásobek výše vlastního kapitálu u ostatních příjemců úvěrových finančních nástrojů. V případě, že podmínkou pro poskytnutí úvěrového finančního nástroje dlužníkovi věřitelem je poskytnutí přímo souvisejícího úvěru, zápůjčky nebo vkladu tomuto věřiteli osobou spojenou ve vztahu k dlužníkovi, považuje se pro účely tohoto ustanovení a vzhledem k tomuto úvěrovému finančnímu nástroji věřitel za osobu spojenou ve vztahu k dlužníkovi, </w:t>
      </w:r>
    </w:p>
    <w:p w14:paraId="3BB2A7FB" w14:textId="77777777" w:rsidR="000839A4" w:rsidRPr="000839A4" w:rsidRDefault="000839A4" w:rsidP="000839A4">
      <w:pPr>
        <w:tabs>
          <w:tab w:val="left" w:pos="357"/>
        </w:tabs>
        <w:spacing w:before="0"/>
        <w:ind w:left="357" w:hanging="357"/>
        <w:rPr>
          <w:szCs w:val="24"/>
        </w:rPr>
      </w:pPr>
      <w:r w:rsidRPr="000839A4">
        <w:rPr>
          <w:strike/>
          <w:szCs w:val="24"/>
        </w:rPr>
        <w:t xml:space="preserve">x) </w:t>
      </w:r>
      <w:r w:rsidRPr="000839A4">
        <w:rPr>
          <w:b/>
          <w:strike/>
          <w:szCs w:val="24"/>
        </w:rPr>
        <w:t>t) s)</w:t>
      </w:r>
      <w:r w:rsidRPr="000839A4">
        <w:rPr>
          <w:b/>
          <w:szCs w:val="24"/>
        </w:rPr>
        <w:t xml:space="preserve"> r)</w:t>
      </w:r>
      <w:r w:rsidRPr="000839A4">
        <w:rPr>
          <w:szCs w:val="24"/>
        </w:rPr>
        <w:tab/>
        <w:t xml:space="preserve">výdaje (náklady) na spotřebované pohonné hmoty a parkovné při pracovní cestě vynaložené v souvislosti s užíváním silničního motorového vozidla, u kterého poplatník uplatní paušální výdaj na dopravu, a 20 % ostatních výdajů (nákladů) s výjimkou </w:t>
      </w:r>
      <w:r w:rsidRPr="000839A4">
        <w:rPr>
          <w:b/>
          <w:szCs w:val="24"/>
        </w:rPr>
        <w:t xml:space="preserve">daňových </w:t>
      </w:r>
      <w:r w:rsidRPr="000839A4">
        <w:rPr>
          <w:szCs w:val="24"/>
        </w:rPr>
        <w:t xml:space="preserve">odpisů </w:t>
      </w:r>
      <w:r w:rsidRPr="000839A4">
        <w:rPr>
          <w:b/>
          <w:szCs w:val="24"/>
        </w:rPr>
        <w:t>a odpisů podle právních předpisů upravujících účetnictví</w:t>
      </w:r>
      <w:r w:rsidRPr="000839A4">
        <w:rPr>
          <w:szCs w:val="24"/>
        </w:rPr>
        <w:t xml:space="preserve"> vynaložených v souvislosti se silničním motorovým vozidlem, u kterého je poplatník povinen uplatnit krácený paušální výdaj na dopravu; u silničního motorového vozidla, u kterého poplatník </w:t>
      </w:r>
      <w:r w:rsidRPr="000839A4">
        <w:rPr>
          <w:szCs w:val="24"/>
        </w:rPr>
        <w:lastRenderedPageBreak/>
        <w:t xml:space="preserve">uplatní paušální výdaj na dopravu, nelze dále uplatnit náhradu výdajů za spotřebované pohonné hmoty a sazbu základní náhrady,  </w:t>
      </w:r>
    </w:p>
    <w:p w14:paraId="4FE32312" w14:textId="77777777" w:rsidR="000839A4" w:rsidRPr="000839A4" w:rsidRDefault="000839A4" w:rsidP="000839A4">
      <w:pPr>
        <w:tabs>
          <w:tab w:val="left" w:pos="357"/>
        </w:tabs>
        <w:spacing w:before="0"/>
        <w:ind w:left="357" w:hanging="357"/>
        <w:rPr>
          <w:szCs w:val="24"/>
        </w:rPr>
      </w:pPr>
      <w:r w:rsidRPr="000839A4">
        <w:rPr>
          <w:strike/>
          <w:szCs w:val="24"/>
        </w:rPr>
        <w:t xml:space="preserve">y) </w:t>
      </w:r>
      <w:r w:rsidRPr="000839A4">
        <w:rPr>
          <w:b/>
          <w:strike/>
          <w:szCs w:val="24"/>
        </w:rPr>
        <w:t>u) t)</w:t>
      </w:r>
      <w:r w:rsidRPr="000839A4">
        <w:rPr>
          <w:b/>
          <w:szCs w:val="24"/>
        </w:rPr>
        <w:t xml:space="preserve"> s)</w:t>
      </w:r>
      <w:r w:rsidRPr="000839A4">
        <w:rPr>
          <w:szCs w:val="24"/>
        </w:rPr>
        <w:tab/>
        <w:t>u poplatníků, kteří jsou účetními jednotkami, dílčí platba příspěvku na zajištění financování, zpracování, využití a odstranění elektroodpadu ze solárních panelů uvedených na trh do 1. ledna 2013 prováděné provozovatelem kolektivního systému,</w:t>
      </w:r>
    </w:p>
    <w:p w14:paraId="57C5500A" w14:textId="77777777" w:rsidR="000839A4" w:rsidRPr="000839A4" w:rsidRDefault="000839A4" w:rsidP="000839A4">
      <w:pPr>
        <w:tabs>
          <w:tab w:val="left" w:pos="357"/>
        </w:tabs>
        <w:spacing w:before="0"/>
        <w:ind w:left="357" w:hanging="357"/>
        <w:rPr>
          <w:strike/>
          <w:szCs w:val="24"/>
        </w:rPr>
      </w:pPr>
      <w:r w:rsidRPr="000839A4">
        <w:rPr>
          <w:strike/>
          <w:szCs w:val="24"/>
        </w:rPr>
        <w:t xml:space="preserve">z) </w:t>
      </w:r>
      <w:r w:rsidRPr="000839A4">
        <w:rPr>
          <w:b/>
          <w:strike/>
          <w:szCs w:val="24"/>
        </w:rPr>
        <w:t>v) u) t)</w:t>
      </w:r>
      <w:r w:rsidRPr="000839A4">
        <w:rPr>
          <w:strike/>
          <w:szCs w:val="24"/>
        </w:rPr>
        <w:tab/>
      </w:r>
      <w:proofErr w:type="gramStart"/>
      <w:r w:rsidRPr="000839A4">
        <w:rPr>
          <w:strike/>
          <w:szCs w:val="24"/>
        </w:rPr>
        <w:t xml:space="preserve">jmenovitá </w:t>
      </w:r>
      <w:r w:rsidRPr="000839A4">
        <w:rPr>
          <w:b/>
          <w:strike/>
          <w:szCs w:val="24"/>
        </w:rPr>
        <w:t xml:space="preserve"> </w:t>
      </w:r>
      <w:r w:rsidRPr="000839A4">
        <w:rPr>
          <w:strike/>
          <w:szCs w:val="24"/>
        </w:rPr>
        <w:t>hodnota</w:t>
      </w:r>
      <w:proofErr w:type="gramEnd"/>
      <w:r w:rsidRPr="000839A4">
        <w:rPr>
          <w:strike/>
          <w:szCs w:val="24"/>
        </w:rPr>
        <w:t xml:space="preserve"> pohledávky nebo pořizovací cena</w:t>
      </w:r>
      <w:r w:rsidRPr="000839A4">
        <w:rPr>
          <w:strike/>
          <w:szCs w:val="24"/>
          <w:vertAlign w:val="superscript"/>
        </w:rPr>
        <w:t>20)</w:t>
      </w:r>
      <w:r w:rsidRPr="000839A4">
        <w:rPr>
          <w:strike/>
          <w:szCs w:val="24"/>
        </w:rPr>
        <w:t xml:space="preserve"> postoupené pohledávky s výjimkou uvedenou v § 24 a § 10, </w:t>
      </w:r>
    </w:p>
    <w:p w14:paraId="479C7C0E" w14:textId="77777777" w:rsidR="000839A4" w:rsidRPr="000839A4" w:rsidRDefault="000839A4" w:rsidP="000839A4">
      <w:pPr>
        <w:tabs>
          <w:tab w:val="left" w:pos="357"/>
        </w:tabs>
        <w:spacing w:before="0"/>
        <w:ind w:left="357" w:hanging="357"/>
        <w:rPr>
          <w:szCs w:val="24"/>
        </w:rPr>
      </w:pPr>
      <w:r w:rsidRPr="000839A4">
        <w:rPr>
          <w:strike/>
          <w:szCs w:val="24"/>
        </w:rPr>
        <w:t xml:space="preserve">za) </w:t>
      </w:r>
      <w:r w:rsidRPr="000839A4">
        <w:rPr>
          <w:b/>
          <w:strike/>
          <w:szCs w:val="24"/>
        </w:rPr>
        <w:t>w) v) u)</w:t>
      </w:r>
      <w:r w:rsidRPr="000839A4">
        <w:rPr>
          <w:b/>
          <w:szCs w:val="24"/>
        </w:rPr>
        <w:t xml:space="preserve"> t)</w:t>
      </w:r>
      <w:r w:rsidRPr="000839A4">
        <w:rPr>
          <w:szCs w:val="24"/>
        </w:rPr>
        <w:tab/>
        <w:t xml:space="preserve">nájemné za umělecká díla a výdaje (náklady) za restaurování uměleckých děl, která nejsou součástí staveb a budov, a to u poplatníků, u nichž není výstavní, muzejní a galerijní činnost předmětem činnosti, s výjimkou uvedenou v </w:t>
      </w:r>
      <w:r w:rsidRPr="000839A4">
        <w:rPr>
          <w:strike/>
          <w:szCs w:val="24"/>
        </w:rPr>
        <w:t xml:space="preserve">§ 24 odst. 2 písm. </w:t>
      </w:r>
      <w:proofErr w:type="spellStart"/>
      <w:r w:rsidRPr="000839A4">
        <w:rPr>
          <w:strike/>
          <w:szCs w:val="24"/>
        </w:rPr>
        <w:t>zf</w:t>
      </w:r>
      <w:proofErr w:type="spellEnd"/>
      <w:r w:rsidRPr="000839A4">
        <w:rPr>
          <w:strike/>
          <w:szCs w:val="24"/>
        </w:rPr>
        <w:t>)</w:t>
      </w:r>
      <w:r w:rsidRPr="000839A4">
        <w:rPr>
          <w:szCs w:val="24"/>
        </w:rPr>
        <w:t xml:space="preserve"> </w:t>
      </w:r>
      <w:r w:rsidRPr="000839A4">
        <w:rPr>
          <w:b/>
          <w:szCs w:val="24"/>
        </w:rPr>
        <w:t>odstavci 5 písm. c)</w:t>
      </w:r>
      <w:r w:rsidRPr="000839A4">
        <w:rPr>
          <w:szCs w:val="24"/>
        </w:rPr>
        <w:t xml:space="preserve">, </w:t>
      </w:r>
    </w:p>
    <w:p w14:paraId="594FF88E" w14:textId="77777777" w:rsidR="000839A4" w:rsidRPr="000839A4" w:rsidRDefault="000839A4" w:rsidP="000839A4">
      <w:pPr>
        <w:tabs>
          <w:tab w:val="left" w:pos="357"/>
        </w:tabs>
        <w:spacing w:before="0"/>
        <w:ind w:left="357" w:hanging="357"/>
        <w:rPr>
          <w:strike/>
          <w:szCs w:val="24"/>
        </w:rPr>
      </w:pPr>
      <w:proofErr w:type="spellStart"/>
      <w:r w:rsidRPr="000839A4">
        <w:rPr>
          <w:strike/>
          <w:szCs w:val="24"/>
        </w:rPr>
        <w:t>zb</w:t>
      </w:r>
      <w:proofErr w:type="spellEnd"/>
      <w:r w:rsidRPr="000839A4">
        <w:rPr>
          <w:strike/>
          <w:szCs w:val="24"/>
        </w:rPr>
        <w:t xml:space="preserve">) </w:t>
      </w:r>
      <w:r w:rsidRPr="000839A4">
        <w:rPr>
          <w:b/>
          <w:strike/>
          <w:szCs w:val="24"/>
        </w:rPr>
        <w:t>x) w) v) u)</w:t>
      </w:r>
      <w:r w:rsidRPr="000839A4">
        <w:rPr>
          <w:b/>
          <w:strike/>
          <w:szCs w:val="24"/>
        </w:rPr>
        <w:tab/>
      </w:r>
      <w:r w:rsidRPr="000839A4">
        <w:rPr>
          <w:strike/>
          <w:szCs w:val="24"/>
        </w:rPr>
        <w:t xml:space="preserve">u poplatníků, kteří nevedou účetnictví, výdaje na pořízení uměleckých děl, která nejsou součástí staveb a budov a v jednotlivém případě nepřesáhnou částku 80 000 Kč, </w:t>
      </w:r>
    </w:p>
    <w:p w14:paraId="6BFF46C3" w14:textId="77777777" w:rsidR="000839A4" w:rsidRPr="000839A4" w:rsidRDefault="000839A4" w:rsidP="000839A4">
      <w:pPr>
        <w:tabs>
          <w:tab w:val="left" w:pos="357"/>
        </w:tabs>
        <w:spacing w:before="0"/>
        <w:ind w:left="357" w:hanging="357"/>
        <w:rPr>
          <w:szCs w:val="24"/>
        </w:rPr>
      </w:pPr>
      <w:proofErr w:type="spellStart"/>
      <w:r w:rsidRPr="000839A4">
        <w:rPr>
          <w:strike/>
          <w:color w:val="000000" w:themeColor="text1"/>
          <w:szCs w:val="24"/>
        </w:rPr>
        <w:t>zc</w:t>
      </w:r>
      <w:proofErr w:type="spellEnd"/>
      <w:r w:rsidRPr="000839A4">
        <w:rPr>
          <w:strike/>
          <w:color w:val="000000" w:themeColor="text1"/>
          <w:szCs w:val="24"/>
        </w:rPr>
        <w:t xml:space="preserve">) </w:t>
      </w:r>
      <w:r w:rsidRPr="000839A4">
        <w:rPr>
          <w:b/>
          <w:strike/>
          <w:color w:val="000000" w:themeColor="text1"/>
          <w:szCs w:val="24"/>
        </w:rPr>
        <w:t>y) x) w) v)</w:t>
      </w:r>
      <w:r w:rsidRPr="000839A4">
        <w:rPr>
          <w:b/>
          <w:color w:val="000000" w:themeColor="text1"/>
          <w:szCs w:val="24"/>
        </w:rPr>
        <w:t xml:space="preserve"> u)</w:t>
      </w:r>
      <w:r w:rsidRPr="000839A4">
        <w:rPr>
          <w:color w:val="000000" w:themeColor="text1"/>
          <w:szCs w:val="24"/>
        </w:rPr>
        <w:tab/>
        <w:t>odpis pohledávky</w:t>
      </w:r>
      <w:r w:rsidRPr="000839A4">
        <w:rPr>
          <w:color w:val="000000" w:themeColor="text1"/>
          <w:szCs w:val="24"/>
          <w:vertAlign w:val="superscript"/>
        </w:rPr>
        <w:t>22b)</w:t>
      </w:r>
      <w:r w:rsidRPr="000839A4">
        <w:rPr>
          <w:color w:val="000000" w:themeColor="text1"/>
          <w:szCs w:val="24"/>
        </w:rPr>
        <w:t xml:space="preserve"> nebo tvorbu opravné položky</w:t>
      </w:r>
      <w:r w:rsidRPr="000839A4">
        <w:rPr>
          <w:color w:val="000000" w:themeColor="text1"/>
          <w:szCs w:val="24"/>
          <w:vertAlign w:val="superscript"/>
        </w:rPr>
        <w:t>22a)</w:t>
      </w:r>
      <w:r w:rsidRPr="000839A4">
        <w:rPr>
          <w:color w:val="000000" w:themeColor="text1"/>
          <w:szCs w:val="24"/>
        </w:rPr>
        <w:t xml:space="preserve"> u pohledávky nabyté obchodní korporací na základě vkladu uskutečněného od 1. července 1996, s výjimkou pohledávek </w:t>
      </w:r>
      <w:r w:rsidRPr="000839A4">
        <w:rPr>
          <w:strike/>
          <w:color w:val="000000" w:themeColor="text1"/>
          <w:szCs w:val="24"/>
        </w:rPr>
        <w:t>uvedených v § 24 odst. 9</w:t>
      </w:r>
      <w:r w:rsidRPr="000839A4">
        <w:rPr>
          <w:szCs w:val="24"/>
        </w:rPr>
        <w:t xml:space="preserve"> </w:t>
      </w:r>
      <w:r w:rsidRPr="000839A4">
        <w:rPr>
          <w:b/>
          <w:szCs w:val="24"/>
        </w:rPr>
        <w:t>nabytých při přeměně, které nikdy nebyly součástí podrozvahových účtů zanikající nebo rozdělované obchodní korporace</w:t>
      </w:r>
      <w:r w:rsidRPr="000839A4">
        <w:rPr>
          <w:szCs w:val="24"/>
        </w:rPr>
        <w:t xml:space="preserve">, </w:t>
      </w:r>
    </w:p>
    <w:p w14:paraId="3B4A8540" w14:textId="77777777" w:rsidR="000839A4" w:rsidRPr="000839A4" w:rsidRDefault="000839A4" w:rsidP="000839A4">
      <w:pPr>
        <w:tabs>
          <w:tab w:val="left" w:pos="357"/>
        </w:tabs>
        <w:spacing w:before="0"/>
        <w:ind w:left="357" w:hanging="357"/>
        <w:rPr>
          <w:szCs w:val="24"/>
        </w:rPr>
      </w:pPr>
      <w:proofErr w:type="spellStart"/>
      <w:r w:rsidRPr="000839A4">
        <w:rPr>
          <w:strike/>
          <w:szCs w:val="24"/>
        </w:rPr>
        <w:t>zd</w:t>
      </w:r>
      <w:proofErr w:type="spellEnd"/>
      <w:r w:rsidRPr="000839A4">
        <w:rPr>
          <w:strike/>
          <w:szCs w:val="24"/>
        </w:rPr>
        <w:t xml:space="preserve">) </w:t>
      </w:r>
      <w:r w:rsidRPr="000839A4">
        <w:rPr>
          <w:b/>
          <w:strike/>
          <w:szCs w:val="24"/>
        </w:rPr>
        <w:t>z) y) x) w)</w:t>
      </w:r>
      <w:r w:rsidRPr="000839A4">
        <w:rPr>
          <w:b/>
          <w:szCs w:val="24"/>
        </w:rPr>
        <w:t xml:space="preserve"> v)</w:t>
      </w:r>
      <w:r w:rsidRPr="000839A4">
        <w:rPr>
          <w:szCs w:val="24"/>
        </w:rPr>
        <w:tab/>
        <w:t xml:space="preserve">výdaje spojené s úhradou dluhu, s výjimkou dluhu vzniklého z důvodu pořízení </w:t>
      </w:r>
      <w:r w:rsidRPr="000839A4">
        <w:rPr>
          <w:strike/>
          <w:szCs w:val="24"/>
        </w:rPr>
        <w:t>hmotného majetku</w:t>
      </w:r>
      <w:r w:rsidRPr="000839A4">
        <w:rPr>
          <w:szCs w:val="24"/>
        </w:rPr>
        <w:t xml:space="preserve"> </w:t>
      </w:r>
      <w:r w:rsidRPr="000839A4">
        <w:rPr>
          <w:b/>
          <w:szCs w:val="24"/>
        </w:rPr>
        <w:t>daňově odpisovaného aktiva</w:t>
      </w:r>
      <w:r w:rsidRPr="000839A4">
        <w:rPr>
          <w:szCs w:val="24"/>
        </w:rPr>
        <w:t xml:space="preserve"> (§ 26), vzniklého ve zdaňovacím období, ve kterém poplatník uplatňoval výdaje podle § 7 odst. 7 nebo § 9 odst. 4 a výdaje spojené s úhradou dluhu, o jehož hodnotu byl snížen </w:t>
      </w:r>
      <w:r w:rsidRPr="000839A4">
        <w:rPr>
          <w:strike/>
          <w:szCs w:val="24"/>
        </w:rPr>
        <w:t>výsledek hospodaření nebo</w:t>
      </w:r>
      <w:r w:rsidRPr="000839A4">
        <w:rPr>
          <w:szCs w:val="24"/>
        </w:rPr>
        <w:t xml:space="preserve"> rozdíl mezi příjmy a výdaji v některém z minulých zdaňovacích období, </w:t>
      </w:r>
    </w:p>
    <w:p w14:paraId="34E6BCFF" w14:textId="77777777" w:rsidR="000839A4" w:rsidRPr="000839A4" w:rsidRDefault="000839A4" w:rsidP="000839A4">
      <w:pPr>
        <w:tabs>
          <w:tab w:val="left" w:pos="357"/>
        </w:tabs>
        <w:spacing w:before="0"/>
        <w:ind w:left="357" w:hanging="357"/>
        <w:rPr>
          <w:color w:val="FFFFFF" w:themeColor="background1"/>
          <w:szCs w:val="24"/>
        </w:rPr>
      </w:pPr>
      <w:proofErr w:type="gramStart"/>
      <w:r w:rsidRPr="000839A4">
        <w:rPr>
          <w:strike/>
          <w:szCs w:val="24"/>
        </w:rPr>
        <w:t>ze</w:t>
      </w:r>
      <w:proofErr w:type="gramEnd"/>
      <w:r w:rsidRPr="000839A4">
        <w:rPr>
          <w:strike/>
          <w:szCs w:val="24"/>
        </w:rPr>
        <w:t xml:space="preserve">) </w:t>
      </w:r>
      <w:r w:rsidRPr="000839A4">
        <w:rPr>
          <w:b/>
          <w:strike/>
          <w:szCs w:val="24"/>
        </w:rPr>
        <w:t>za) z) y) x)</w:t>
      </w:r>
      <w:r w:rsidRPr="000839A4">
        <w:rPr>
          <w:b/>
          <w:szCs w:val="24"/>
        </w:rPr>
        <w:t xml:space="preserve"> w)</w:t>
      </w:r>
      <w:r w:rsidRPr="000839A4">
        <w:rPr>
          <w:color w:val="FFFFFF" w:themeColor="background1"/>
          <w:szCs w:val="24"/>
        </w:rPr>
        <w:tab/>
      </w:r>
      <w:r w:rsidRPr="000839A4">
        <w:rPr>
          <w:color w:val="000000" w:themeColor="text1"/>
          <w:szCs w:val="24"/>
        </w:rPr>
        <w:t xml:space="preserve">rozdíl, o který částka hrazená postupníkem postupiteli při změně osoby uživatele podle smlouvy o finančním leasingu převyšuje částku úplaty připadající u postupníka na zbývající dobu finančního leasingu sníženou o úplatu jím hrazenou vlastníkovi užívaného majetku v souladu se smlouvou, pokud tento rozdíl není součástí </w:t>
      </w:r>
      <w:r w:rsidRPr="000839A4">
        <w:rPr>
          <w:strike/>
          <w:color w:val="000000" w:themeColor="text1"/>
          <w:szCs w:val="24"/>
        </w:rPr>
        <w:t xml:space="preserve">vstupní ceny majetku </w:t>
      </w:r>
      <w:r w:rsidRPr="000839A4">
        <w:rPr>
          <w:b/>
          <w:color w:val="000000" w:themeColor="text1"/>
          <w:szCs w:val="24"/>
        </w:rPr>
        <w:t>daňové hodnoty aktiva</w:t>
      </w:r>
      <w:r w:rsidRPr="000839A4">
        <w:rPr>
          <w:color w:val="000000" w:themeColor="text1"/>
          <w:szCs w:val="24"/>
        </w:rPr>
        <w:t>,</w:t>
      </w:r>
      <w:r w:rsidRPr="000839A4">
        <w:rPr>
          <w:color w:val="000000" w:themeColor="text1"/>
          <w:szCs w:val="24"/>
          <w:shd w:val="clear" w:color="auto" w:fill="00B050"/>
        </w:rPr>
        <w:t xml:space="preserve"> </w:t>
      </w:r>
    </w:p>
    <w:p w14:paraId="12ED46D3" w14:textId="77777777" w:rsidR="000839A4" w:rsidRPr="000839A4" w:rsidRDefault="000839A4" w:rsidP="000839A4">
      <w:pPr>
        <w:tabs>
          <w:tab w:val="left" w:pos="357"/>
        </w:tabs>
        <w:spacing w:before="0"/>
        <w:ind w:left="357" w:hanging="357"/>
        <w:rPr>
          <w:szCs w:val="24"/>
        </w:rPr>
      </w:pPr>
      <w:proofErr w:type="spellStart"/>
      <w:r w:rsidRPr="000839A4">
        <w:rPr>
          <w:strike/>
          <w:szCs w:val="24"/>
        </w:rPr>
        <w:t>zf</w:t>
      </w:r>
      <w:proofErr w:type="spellEnd"/>
      <w:r w:rsidRPr="000839A4">
        <w:rPr>
          <w:strike/>
          <w:szCs w:val="24"/>
        </w:rPr>
        <w:t xml:space="preserve">) </w:t>
      </w:r>
      <w:proofErr w:type="spellStart"/>
      <w:r w:rsidRPr="000839A4">
        <w:rPr>
          <w:b/>
          <w:strike/>
          <w:szCs w:val="24"/>
        </w:rPr>
        <w:t>zb</w:t>
      </w:r>
      <w:proofErr w:type="spellEnd"/>
      <w:r w:rsidRPr="000839A4">
        <w:rPr>
          <w:b/>
          <w:strike/>
          <w:szCs w:val="24"/>
        </w:rPr>
        <w:t xml:space="preserve">) za) z) y) </w:t>
      </w:r>
      <w:r w:rsidRPr="000839A4">
        <w:rPr>
          <w:b/>
          <w:szCs w:val="24"/>
        </w:rPr>
        <w:t>x)</w:t>
      </w:r>
      <w:r w:rsidRPr="000839A4">
        <w:rPr>
          <w:szCs w:val="24"/>
        </w:rPr>
        <w:tab/>
        <w:t xml:space="preserve">plnění poskytnuté zahraničnímu státnímu úředníkovi nebo zahraničnímu veřejnému činiteli nebo s jejich souhlasem jiné osobě v souvislosti s výkonem jeho funkce, a to ani v případech, kdy se jedná o úředníka státu nebo veřejného činitele působícího ve státě, ve kterém je poskytnutí takového plnění tolerováno nebo není považováno za trestný čin anebo je obvyklé, </w:t>
      </w:r>
    </w:p>
    <w:p w14:paraId="33C2CB5E" w14:textId="77777777" w:rsidR="000839A4" w:rsidRPr="000839A4" w:rsidRDefault="000839A4" w:rsidP="000839A4">
      <w:pPr>
        <w:tabs>
          <w:tab w:val="left" w:pos="357"/>
        </w:tabs>
        <w:spacing w:before="0"/>
        <w:ind w:left="357" w:hanging="357"/>
        <w:rPr>
          <w:strike/>
          <w:szCs w:val="24"/>
        </w:rPr>
      </w:pPr>
      <w:proofErr w:type="spellStart"/>
      <w:r w:rsidRPr="000839A4">
        <w:rPr>
          <w:strike/>
          <w:szCs w:val="24"/>
        </w:rPr>
        <w:t>zg</w:t>
      </w:r>
      <w:proofErr w:type="spellEnd"/>
      <w:r w:rsidRPr="000839A4">
        <w:rPr>
          <w:strike/>
          <w:szCs w:val="24"/>
        </w:rPr>
        <w:t xml:space="preserve">) </w:t>
      </w:r>
      <w:proofErr w:type="spellStart"/>
      <w:r w:rsidRPr="000839A4">
        <w:rPr>
          <w:b/>
          <w:strike/>
          <w:szCs w:val="24"/>
        </w:rPr>
        <w:t>zc</w:t>
      </w:r>
      <w:proofErr w:type="spellEnd"/>
      <w:r w:rsidRPr="000839A4">
        <w:rPr>
          <w:b/>
          <w:strike/>
          <w:szCs w:val="24"/>
        </w:rPr>
        <w:t xml:space="preserve">) </w:t>
      </w:r>
      <w:proofErr w:type="spellStart"/>
      <w:r w:rsidRPr="000839A4">
        <w:rPr>
          <w:b/>
          <w:strike/>
          <w:szCs w:val="24"/>
        </w:rPr>
        <w:t>zb</w:t>
      </w:r>
      <w:proofErr w:type="spellEnd"/>
      <w:r w:rsidRPr="000839A4">
        <w:rPr>
          <w:b/>
          <w:strike/>
          <w:szCs w:val="24"/>
        </w:rPr>
        <w:t>) za) z) y)</w:t>
      </w:r>
      <w:r w:rsidRPr="000839A4">
        <w:rPr>
          <w:strike/>
          <w:szCs w:val="24"/>
        </w:rPr>
        <w:tab/>
        <w:t>účetní odpisy dlouhodobého majetku,</w:t>
      </w:r>
      <w:r w:rsidRPr="000839A4">
        <w:rPr>
          <w:strike/>
          <w:szCs w:val="24"/>
          <w:vertAlign w:val="superscript"/>
        </w:rPr>
        <w:t xml:space="preserve"> 20)</w:t>
      </w:r>
      <w:r w:rsidRPr="000839A4">
        <w:rPr>
          <w:strike/>
          <w:szCs w:val="24"/>
        </w:rPr>
        <w:t xml:space="preserve"> a hodnota majetku nebo její část zaúčtovaná na vrub nákladů, který není dlouhodobým majetkem podle zvláštního právního </w:t>
      </w:r>
      <w:proofErr w:type="gramStart"/>
      <w:r w:rsidRPr="000839A4">
        <w:rPr>
          <w:strike/>
          <w:szCs w:val="24"/>
        </w:rPr>
        <w:t>předpisu,</w:t>
      </w:r>
      <w:r w:rsidRPr="000839A4">
        <w:rPr>
          <w:strike/>
          <w:szCs w:val="24"/>
          <w:vertAlign w:val="superscript"/>
        </w:rPr>
        <w:t>20</w:t>
      </w:r>
      <w:proofErr w:type="gramEnd"/>
      <w:r w:rsidRPr="000839A4">
        <w:rPr>
          <w:strike/>
          <w:szCs w:val="24"/>
          <w:vertAlign w:val="superscript"/>
        </w:rPr>
        <w:t>)</w:t>
      </w:r>
      <w:r w:rsidRPr="000839A4">
        <w:rPr>
          <w:strike/>
          <w:szCs w:val="24"/>
        </w:rPr>
        <w:t xml:space="preserve"> ale zároveň je hmotným majetkem podle § 26 až 33, </w:t>
      </w:r>
    </w:p>
    <w:p w14:paraId="5300B043" w14:textId="77777777" w:rsidR="000839A4" w:rsidRPr="000839A4" w:rsidRDefault="000839A4" w:rsidP="000839A4">
      <w:pPr>
        <w:tabs>
          <w:tab w:val="left" w:pos="357"/>
        </w:tabs>
        <w:spacing w:before="0"/>
        <w:ind w:left="357" w:hanging="357"/>
        <w:rPr>
          <w:szCs w:val="24"/>
        </w:rPr>
      </w:pPr>
      <w:proofErr w:type="spellStart"/>
      <w:r w:rsidRPr="000839A4">
        <w:rPr>
          <w:strike/>
          <w:szCs w:val="24"/>
        </w:rPr>
        <w:t>zh</w:t>
      </w:r>
      <w:proofErr w:type="spellEnd"/>
      <w:r w:rsidRPr="000839A4">
        <w:rPr>
          <w:strike/>
          <w:szCs w:val="24"/>
        </w:rPr>
        <w:t xml:space="preserve">) </w:t>
      </w:r>
      <w:proofErr w:type="spellStart"/>
      <w:r w:rsidRPr="000839A4">
        <w:rPr>
          <w:b/>
          <w:strike/>
          <w:szCs w:val="24"/>
        </w:rPr>
        <w:t>zd</w:t>
      </w:r>
      <w:proofErr w:type="spellEnd"/>
      <w:r w:rsidRPr="000839A4">
        <w:rPr>
          <w:b/>
          <w:strike/>
          <w:szCs w:val="24"/>
        </w:rPr>
        <w:t xml:space="preserve">) </w:t>
      </w:r>
      <w:proofErr w:type="spellStart"/>
      <w:r w:rsidRPr="000839A4">
        <w:rPr>
          <w:b/>
          <w:strike/>
          <w:szCs w:val="24"/>
        </w:rPr>
        <w:t>zc</w:t>
      </w:r>
      <w:proofErr w:type="spellEnd"/>
      <w:r w:rsidRPr="000839A4">
        <w:rPr>
          <w:b/>
          <w:strike/>
          <w:szCs w:val="24"/>
        </w:rPr>
        <w:t xml:space="preserve">) </w:t>
      </w:r>
      <w:proofErr w:type="spellStart"/>
      <w:r w:rsidRPr="000839A4">
        <w:rPr>
          <w:b/>
          <w:strike/>
          <w:szCs w:val="24"/>
        </w:rPr>
        <w:t>zb</w:t>
      </w:r>
      <w:proofErr w:type="spellEnd"/>
      <w:r w:rsidRPr="000839A4">
        <w:rPr>
          <w:b/>
          <w:strike/>
          <w:szCs w:val="24"/>
        </w:rPr>
        <w:t>) za) z)</w:t>
      </w:r>
      <w:r w:rsidRPr="000839A4">
        <w:rPr>
          <w:b/>
          <w:szCs w:val="24"/>
        </w:rPr>
        <w:t xml:space="preserve"> y)</w:t>
      </w:r>
      <w:r w:rsidRPr="000839A4">
        <w:rPr>
          <w:szCs w:val="24"/>
        </w:rPr>
        <w:tab/>
        <w:t>oceňovací rozdíl vzniklý jinak než koupí, pokud je podle zvláštního právního předpisu</w:t>
      </w:r>
      <w:r w:rsidRPr="000839A4">
        <w:rPr>
          <w:strike/>
          <w:szCs w:val="24"/>
          <w:vertAlign w:val="superscript"/>
        </w:rPr>
        <w:t>20)</w:t>
      </w:r>
      <w:r w:rsidRPr="000839A4">
        <w:rPr>
          <w:szCs w:val="24"/>
        </w:rPr>
        <w:t xml:space="preserve"> výdajem (nákladem), není-li v tomto zákoně stanoveno jinak, </w:t>
      </w:r>
    </w:p>
    <w:p w14:paraId="5C76CF62" w14:textId="77777777" w:rsidR="000839A4" w:rsidRPr="000839A4" w:rsidRDefault="000839A4" w:rsidP="000839A4">
      <w:pPr>
        <w:tabs>
          <w:tab w:val="left" w:pos="357"/>
        </w:tabs>
        <w:spacing w:before="0"/>
        <w:ind w:left="357" w:hanging="357"/>
        <w:rPr>
          <w:strike/>
          <w:szCs w:val="24"/>
        </w:rPr>
      </w:pPr>
      <w:proofErr w:type="spellStart"/>
      <w:r w:rsidRPr="000839A4">
        <w:rPr>
          <w:strike/>
          <w:szCs w:val="24"/>
        </w:rPr>
        <w:t>zi</w:t>
      </w:r>
      <w:proofErr w:type="spellEnd"/>
      <w:r w:rsidRPr="000839A4">
        <w:rPr>
          <w:strike/>
          <w:szCs w:val="24"/>
        </w:rPr>
        <w:t xml:space="preserve">) </w:t>
      </w:r>
      <w:r w:rsidRPr="000839A4">
        <w:rPr>
          <w:b/>
          <w:strike/>
          <w:szCs w:val="24"/>
        </w:rPr>
        <w:t xml:space="preserve">ze) </w:t>
      </w:r>
      <w:proofErr w:type="spellStart"/>
      <w:r w:rsidRPr="000839A4">
        <w:rPr>
          <w:b/>
          <w:strike/>
          <w:szCs w:val="24"/>
        </w:rPr>
        <w:t>zd</w:t>
      </w:r>
      <w:proofErr w:type="spellEnd"/>
      <w:r w:rsidRPr="000839A4">
        <w:rPr>
          <w:b/>
          <w:strike/>
          <w:szCs w:val="24"/>
        </w:rPr>
        <w:t xml:space="preserve">) </w:t>
      </w:r>
      <w:proofErr w:type="spellStart"/>
      <w:r w:rsidRPr="000839A4">
        <w:rPr>
          <w:b/>
          <w:strike/>
          <w:szCs w:val="24"/>
        </w:rPr>
        <w:t>zc</w:t>
      </w:r>
      <w:proofErr w:type="spellEnd"/>
      <w:r w:rsidRPr="000839A4">
        <w:rPr>
          <w:b/>
          <w:strike/>
          <w:szCs w:val="24"/>
        </w:rPr>
        <w:t xml:space="preserve">) </w:t>
      </w:r>
      <w:proofErr w:type="spellStart"/>
      <w:r w:rsidRPr="000839A4">
        <w:rPr>
          <w:b/>
          <w:strike/>
          <w:szCs w:val="24"/>
        </w:rPr>
        <w:t>zb</w:t>
      </w:r>
      <w:proofErr w:type="spellEnd"/>
      <w:r w:rsidRPr="000839A4">
        <w:rPr>
          <w:b/>
          <w:strike/>
          <w:szCs w:val="24"/>
        </w:rPr>
        <w:t>) za) z)</w:t>
      </w:r>
      <w:r w:rsidRPr="000839A4">
        <w:rPr>
          <w:strike/>
          <w:szCs w:val="24"/>
        </w:rPr>
        <w:tab/>
        <w:t>kladný rozdíl mezi oceněním obchodního závodu při nabytí vkladem nebo přeměnou</w:t>
      </w:r>
      <w:r w:rsidRPr="000839A4">
        <w:rPr>
          <w:strike/>
          <w:szCs w:val="24"/>
          <w:vertAlign w:val="superscript"/>
        </w:rPr>
        <w:t>131)</w:t>
      </w:r>
      <w:r w:rsidRPr="000839A4">
        <w:rPr>
          <w:strike/>
          <w:szCs w:val="24"/>
        </w:rPr>
        <w:t xml:space="preserve"> a souhrnem jeho individuálně přeceněných složek majetku sníženým o převzaté dluhy (goodwill), pokud jsou podle zvláštního právního předpisu</w:t>
      </w:r>
      <w:r w:rsidRPr="000839A4">
        <w:rPr>
          <w:strike/>
          <w:szCs w:val="24"/>
          <w:vertAlign w:val="superscript"/>
        </w:rPr>
        <w:t>20)</w:t>
      </w:r>
      <w:r w:rsidRPr="000839A4">
        <w:rPr>
          <w:strike/>
          <w:szCs w:val="24"/>
        </w:rPr>
        <w:t xml:space="preserve"> výdajem (nákladem), </w:t>
      </w:r>
    </w:p>
    <w:p w14:paraId="54FEC2A9" w14:textId="77777777" w:rsidR="000839A4" w:rsidRPr="000839A4" w:rsidRDefault="000839A4" w:rsidP="000839A4">
      <w:pPr>
        <w:tabs>
          <w:tab w:val="left" w:pos="357"/>
        </w:tabs>
        <w:spacing w:before="0"/>
        <w:ind w:left="357" w:hanging="357"/>
        <w:rPr>
          <w:strike/>
          <w:color w:val="000000" w:themeColor="text1"/>
          <w:szCs w:val="24"/>
        </w:rPr>
      </w:pPr>
      <w:proofErr w:type="spellStart"/>
      <w:r w:rsidRPr="000839A4">
        <w:rPr>
          <w:strike/>
          <w:color w:val="000000" w:themeColor="text1"/>
          <w:szCs w:val="24"/>
        </w:rPr>
        <w:t>zj</w:t>
      </w:r>
      <w:proofErr w:type="spellEnd"/>
      <w:r w:rsidRPr="000839A4">
        <w:rPr>
          <w:strike/>
          <w:color w:val="000000" w:themeColor="text1"/>
          <w:szCs w:val="24"/>
        </w:rPr>
        <w:t xml:space="preserve">) </w:t>
      </w:r>
      <w:proofErr w:type="spellStart"/>
      <w:r w:rsidRPr="000839A4">
        <w:rPr>
          <w:b/>
          <w:strike/>
          <w:color w:val="000000" w:themeColor="text1"/>
          <w:szCs w:val="24"/>
        </w:rPr>
        <w:t>zf</w:t>
      </w:r>
      <w:proofErr w:type="spellEnd"/>
      <w:r w:rsidRPr="000839A4">
        <w:rPr>
          <w:b/>
          <w:strike/>
          <w:color w:val="000000" w:themeColor="text1"/>
          <w:szCs w:val="24"/>
        </w:rPr>
        <w:t xml:space="preserve">) ze) </w:t>
      </w:r>
      <w:proofErr w:type="spellStart"/>
      <w:r w:rsidRPr="000839A4">
        <w:rPr>
          <w:b/>
          <w:strike/>
          <w:color w:val="000000" w:themeColor="text1"/>
          <w:szCs w:val="24"/>
        </w:rPr>
        <w:t>zd</w:t>
      </w:r>
      <w:proofErr w:type="spellEnd"/>
      <w:r w:rsidRPr="000839A4">
        <w:rPr>
          <w:b/>
          <w:strike/>
          <w:color w:val="000000" w:themeColor="text1"/>
          <w:szCs w:val="24"/>
        </w:rPr>
        <w:t xml:space="preserve">) </w:t>
      </w:r>
      <w:proofErr w:type="spellStart"/>
      <w:r w:rsidRPr="000839A4">
        <w:rPr>
          <w:b/>
          <w:strike/>
          <w:color w:val="000000" w:themeColor="text1"/>
          <w:szCs w:val="24"/>
        </w:rPr>
        <w:t>zc</w:t>
      </w:r>
      <w:proofErr w:type="spellEnd"/>
      <w:r w:rsidRPr="000839A4">
        <w:rPr>
          <w:b/>
          <w:strike/>
          <w:color w:val="000000" w:themeColor="text1"/>
          <w:szCs w:val="24"/>
        </w:rPr>
        <w:t xml:space="preserve">) </w:t>
      </w:r>
      <w:proofErr w:type="spellStart"/>
      <w:r w:rsidRPr="000839A4">
        <w:rPr>
          <w:b/>
          <w:strike/>
          <w:color w:val="000000" w:themeColor="text1"/>
          <w:szCs w:val="24"/>
        </w:rPr>
        <w:t>zb</w:t>
      </w:r>
      <w:proofErr w:type="spellEnd"/>
      <w:r w:rsidRPr="000839A4">
        <w:rPr>
          <w:b/>
          <w:strike/>
          <w:color w:val="000000" w:themeColor="text1"/>
          <w:szCs w:val="24"/>
        </w:rPr>
        <w:t>) za)</w:t>
      </w:r>
      <w:r w:rsidRPr="000839A4">
        <w:rPr>
          <w:strike/>
          <w:color w:val="000000" w:themeColor="text1"/>
          <w:szCs w:val="24"/>
        </w:rPr>
        <w:tab/>
        <w:t xml:space="preserve">výdaje (náklady) z nákupu vlastních akcií pod jmenovitou hodnotou při následném snížení základního kapitálu, </w:t>
      </w:r>
    </w:p>
    <w:p w14:paraId="4C7EA1FD" w14:textId="77777777" w:rsidR="000839A4" w:rsidRPr="000839A4" w:rsidRDefault="000839A4" w:rsidP="000839A4">
      <w:pPr>
        <w:tabs>
          <w:tab w:val="left" w:pos="357"/>
        </w:tabs>
        <w:spacing w:before="0"/>
        <w:ind w:left="357" w:hanging="357"/>
        <w:rPr>
          <w:szCs w:val="24"/>
        </w:rPr>
      </w:pPr>
      <w:proofErr w:type="spellStart"/>
      <w:r w:rsidRPr="000839A4">
        <w:rPr>
          <w:strike/>
          <w:szCs w:val="24"/>
        </w:rPr>
        <w:t>zk</w:t>
      </w:r>
      <w:proofErr w:type="spellEnd"/>
      <w:r w:rsidRPr="000839A4">
        <w:rPr>
          <w:strike/>
          <w:szCs w:val="24"/>
        </w:rPr>
        <w:t xml:space="preserve">) </w:t>
      </w:r>
      <w:proofErr w:type="spellStart"/>
      <w:r w:rsidRPr="000839A4">
        <w:rPr>
          <w:b/>
          <w:strike/>
          <w:szCs w:val="24"/>
        </w:rPr>
        <w:t>zg</w:t>
      </w:r>
      <w:proofErr w:type="spellEnd"/>
      <w:r w:rsidRPr="000839A4">
        <w:rPr>
          <w:b/>
          <w:strike/>
          <w:szCs w:val="24"/>
        </w:rPr>
        <w:t xml:space="preserve">) </w:t>
      </w:r>
      <w:proofErr w:type="spellStart"/>
      <w:r w:rsidRPr="000839A4">
        <w:rPr>
          <w:b/>
          <w:strike/>
          <w:szCs w:val="24"/>
        </w:rPr>
        <w:t>zf</w:t>
      </w:r>
      <w:proofErr w:type="spellEnd"/>
      <w:r w:rsidRPr="000839A4">
        <w:rPr>
          <w:b/>
          <w:strike/>
          <w:szCs w:val="24"/>
        </w:rPr>
        <w:t xml:space="preserve">) ze) </w:t>
      </w:r>
      <w:proofErr w:type="spellStart"/>
      <w:r w:rsidRPr="000839A4">
        <w:rPr>
          <w:b/>
          <w:strike/>
          <w:szCs w:val="24"/>
        </w:rPr>
        <w:t>zd</w:t>
      </w:r>
      <w:proofErr w:type="spellEnd"/>
      <w:r w:rsidRPr="000839A4">
        <w:rPr>
          <w:b/>
          <w:strike/>
          <w:szCs w:val="24"/>
        </w:rPr>
        <w:t xml:space="preserve">) </w:t>
      </w:r>
      <w:proofErr w:type="spellStart"/>
      <w:r w:rsidRPr="000839A4">
        <w:rPr>
          <w:b/>
          <w:strike/>
          <w:szCs w:val="24"/>
        </w:rPr>
        <w:t>zc</w:t>
      </w:r>
      <w:proofErr w:type="spellEnd"/>
      <w:r w:rsidRPr="000839A4">
        <w:rPr>
          <w:b/>
          <w:strike/>
          <w:szCs w:val="24"/>
        </w:rPr>
        <w:t xml:space="preserve">) </w:t>
      </w:r>
      <w:proofErr w:type="spellStart"/>
      <w:r w:rsidRPr="000839A4">
        <w:rPr>
          <w:b/>
          <w:strike/>
          <w:szCs w:val="24"/>
        </w:rPr>
        <w:t>zb</w:t>
      </w:r>
      <w:proofErr w:type="spellEnd"/>
      <w:r w:rsidRPr="000839A4">
        <w:rPr>
          <w:b/>
          <w:strike/>
          <w:szCs w:val="24"/>
        </w:rPr>
        <w:t>)</w:t>
      </w:r>
      <w:r w:rsidRPr="000839A4">
        <w:rPr>
          <w:b/>
          <w:szCs w:val="24"/>
        </w:rPr>
        <w:t xml:space="preserve"> z)</w:t>
      </w:r>
      <w:r w:rsidRPr="000839A4">
        <w:rPr>
          <w:b/>
          <w:szCs w:val="24"/>
        </w:rPr>
        <w:tab/>
      </w:r>
      <w:r w:rsidRPr="000839A4">
        <w:rPr>
          <w:szCs w:val="24"/>
        </w:rPr>
        <w:t xml:space="preserve">výdaje (náklady) mateřské společnosti související s držbou podílu v dceřiné společnosti. Úroky z úvěrového finančního nástroje přijatého v období šesti měsíců před nabytím tohoto podílu se považují za výdaj (náklad) přímo související s držbou podílu v dceřiné společnosti po dobu trvání této držby a po dobu, kdy podíl drží osoba, která je s osobou, která úvěrový finanční nástroj přijala, spojenou osobou, pokud poplatník </w:t>
      </w:r>
      <w:r w:rsidRPr="000839A4">
        <w:rPr>
          <w:szCs w:val="24"/>
        </w:rPr>
        <w:lastRenderedPageBreak/>
        <w:t xml:space="preserve">neprokáže, že úvěrový finanční nástroj s držbou tohoto podílu nesouvisí. Případné režijní (nepřímé) náklady související s držbou podílu v dceřiné společnosti se pro účely tohoto ustanovení omezují výší 5 % příjmů z podílů na zisku vyplácených dceřinou společností, pokud poplatník neprokáže, že skutečná výše těchto režijních (nepřímých) nákladů je nižší, </w:t>
      </w:r>
    </w:p>
    <w:p w14:paraId="31194386" w14:textId="77777777" w:rsidR="000839A4" w:rsidRPr="000839A4" w:rsidRDefault="000839A4" w:rsidP="000839A4">
      <w:pPr>
        <w:tabs>
          <w:tab w:val="left" w:pos="357"/>
        </w:tabs>
        <w:spacing w:before="0"/>
        <w:ind w:left="357" w:hanging="357"/>
        <w:rPr>
          <w:szCs w:val="24"/>
        </w:rPr>
      </w:pPr>
      <w:proofErr w:type="spellStart"/>
      <w:r w:rsidRPr="000839A4">
        <w:rPr>
          <w:strike/>
          <w:szCs w:val="24"/>
        </w:rPr>
        <w:t>zl</w:t>
      </w:r>
      <w:proofErr w:type="spellEnd"/>
      <w:r w:rsidRPr="000839A4">
        <w:rPr>
          <w:strike/>
          <w:szCs w:val="24"/>
        </w:rPr>
        <w:t xml:space="preserve">) </w:t>
      </w:r>
      <w:proofErr w:type="spellStart"/>
      <w:r w:rsidRPr="000839A4">
        <w:rPr>
          <w:b/>
          <w:strike/>
          <w:szCs w:val="24"/>
        </w:rPr>
        <w:t>zh</w:t>
      </w:r>
      <w:proofErr w:type="spellEnd"/>
      <w:r w:rsidRPr="000839A4">
        <w:rPr>
          <w:b/>
          <w:strike/>
          <w:szCs w:val="24"/>
        </w:rPr>
        <w:t xml:space="preserve">) </w:t>
      </w:r>
      <w:proofErr w:type="spellStart"/>
      <w:r w:rsidRPr="000839A4">
        <w:rPr>
          <w:b/>
          <w:strike/>
          <w:szCs w:val="24"/>
        </w:rPr>
        <w:t>zg</w:t>
      </w:r>
      <w:proofErr w:type="spellEnd"/>
      <w:r w:rsidRPr="000839A4">
        <w:rPr>
          <w:b/>
          <w:strike/>
          <w:szCs w:val="24"/>
        </w:rPr>
        <w:t xml:space="preserve">) </w:t>
      </w:r>
      <w:proofErr w:type="spellStart"/>
      <w:r w:rsidRPr="000839A4">
        <w:rPr>
          <w:b/>
          <w:strike/>
          <w:szCs w:val="24"/>
        </w:rPr>
        <w:t>zf</w:t>
      </w:r>
      <w:proofErr w:type="spellEnd"/>
      <w:r w:rsidRPr="000839A4">
        <w:rPr>
          <w:b/>
          <w:strike/>
          <w:szCs w:val="24"/>
        </w:rPr>
        <w:t xml:space="preserve">) ze) </w:t>
      </w:r>
      <w:proofErr w:type="spellStart"/>
      <w:r w:rsidRPr="000839A4">
        <w:rPr>
          <w:b/>
          <w:strike/>
          <w:szCs w:val="24"/>
        </w:rPr>
        <w:t>zd</w:t>
      </w:r>
      <w:proofErr w:type="spellEnd"/>
      <w:r w:rsidRPr="000839A4">
        <w:rPr>
          <w:b/>
          <w:strike/>
          <w:szCs w:val="24"/>
        </w:rPr>
        <w:t xml:space="preserve">) </w:t>
      </w:r>
      <w:proofErr w:type="spellStart"/>
      <w:r w:rsidRPr="000839A4">
        <w:rPr>
          <w:b/>
          <w:strike/>
          <w:szCs w:val="24"/>
        </w:rPr>
        <w:t>zc</w:t>
      </w:r>
      <w:proofErr w:type="spellEnd"/>
      <w:r w:rsidRPr="000839A4">
        <w:rPr>
          <w:b/>
          <w:strike/>
          <w:szCs w:val="24"/>
        </w:rPr>
        <w:t xml:space="preserve">) </w:t>
      </w:r>
      <w:r w:rsidRPr="000839A4">
        <w:rPr>
          <w:b/>
          <w:szCs w:val="24"/>
        </w:rPr>
        <w:t>za)</w:t>
      </w:r>
      <w:r w:rsidRPr="000839A4">
        <w:rPr>
          <w:szCs w:val="24"/>
        </w:rPr>
        <w:tab/>
        <w:t xml:space="preserve">finanční výdaje (náklady), které plynou z úvěrového finančního nástroje, kde úrok nebo výnos nebo skutečnost, zda se finanční výdaje (náklady) stanou splatnými, závisí zcela nebo převážně na zisku dlužníka, </w:t>
      </w:r>
    </w:p>
    <w:p w14:paraId="314032A3" w14:textId="77777777" w:rsidR="000839A4" w:rsidRPr="000839A4" w:rsidRDefault="000839A4" w:rsidP="000839A4">
      <w:pPr>
        <w:tabs>
          <w:tab w:val="left" w:pos="357"/>
        </w:tabs>
        <w:spacing w:before="0"/>
        <w:ind w:left="357" w:hanging="357"/>
        <w:rPr>
          <w:szCs w:val="24"/>
        </w:rPr>
      </w:pPr>
      <w:proofErr w:type="spellStart"/>
      <w:r w:rsidRPr="000839A4">
        <w:rPr>
          <w:strike/>
          <w:szCs w:val="24"/>
        </w:rPr>
        <w:t>zm</w:t>
      </w:r>
      <w:proofErr w:type="spellEnd"/>
      <w:r w:rsidRPr="000839A4">
        <w:rPr>
          <w:strike/>
          <w:szCs w:val="24"/>
        </w:rPr>
        <w:t xml:space="preserve">) </w:t>
      </w:r>
      <w:proofErr w:type="spellStart"/>
      <w:r w:rsidRPr="000839A4">
        <w:rPr>
          <w:b/>
          <w:strike/>
          <w:szCs w:val="24"/>
        </w:rPr>
        <w:t>zi</w:t>
      </w:r>
      <w:proofErr w:type="spellEnd"/>
      <w:r w:rsidRPr="000839A4">
        <w:rPr>
          <w:b/>
          <w:strike/>
          <w:szCs w:val="24"/>
        </w:rPr>
        <w:t xml:space="preserve">) </w:t>
      </w:r>
      <w:proofErr w:type="spellStart"/>
      <w:r w:rsidRPr="000839A4">
        <w:rPr>
          <w:b/>
          <w:strike/>
          <w:szCs w:val="24"/>
        </w:rPr>
        <w:t>zh</w:t>
      </w:r>
      <w:proofErr w:type="spellEnd"/>
      <w:r w:rsidRPr="000839A4">
        <w:rPr>
          <w:b/>
          <w:strike/>
          <w:szCs w:val="24"/>
        </w:rPr>
        <w:t xml:space="preserve">) </w:t>
      </w:r>
      <w:proofErr w:type="spellStart"/>
      <w:r w:rsidRPr="000839A4">
        <w:rPr>
          <w:b/>
          <w:strike/>
          <w:szCs w:val="24"/>
        </w:rPr>
        <w:t>zg</w:t>
      </w:r>
      <w:proofErr w:type="spellEnd"/>
      <w:r w:rsidRPr="000839A4">
        <w:rPr>
          <w:b/>
          <w:strike/>
          <w:szCs w:val="24"/>
        </w:rPr>
        <w:t xml:space="preserve">) </w:t>
      </w:r>
      <w:proofErr w:type="spellStart"/>
      <w:r w:rsidRPr="000839A4">
        <w:rPr>
          <w:b/>
          <w:strike/>
          <w:szCs w:val="24"/>
        </w:rPr>
        <w:t>zf</w:t>
      </w:r>
      <w:proofErr w:type="spellEnd"/>
      <w:r w:rsidRPr="000839A4">
        <w:rPr>
          <w:b/>
          <w:strike/>
          <w:szCs w:val="24"/>
        </w:rPr>
        <w:t xml:space="preserve">) ze) </w:t>
      </w:r>
      <w:proofErr w:type="spellStart"/>
      <w:r w:rsidRPr="000839A4">
        <w:rPr>
          <w:b/>
          <w:strike/>
          <w:szCs w:val="24"/>
        </w:rPr>
        <w:t>zd</w:t>
      </w:r>
      <w:proofErr w:type="spellEnd"/>
      <w:r w:rsidRPr="000839A4">
        <w:rPr>
          <w:b/>
          <w:strike/>
          <w:szCs w:val="24"/>
        </w:rPr>
        <w:t>)</w:t>
      </w:r>
      <w:r w:rsidRPr="000839A4">
        <w:rPr>
          <w:b/>
          <w:szCs w:val="24"/>
        </w:rPr>
        <w:t xml:space="preserve"> </w:t>
      </w:r>
      <w:proofErr w:type="spellStart"/>
      <w:r w:rsidRPr="000839A4">
        <w:rPr>
          <w:b/>
          <w:szCs w:val="24"/>
        </w:rPr>
        <w:t>zb</w:t>
      </w:r>
      <w:proofErr w:type="spellEnd"/>
      <w:r w:rsidRPr="000839A4">
        <w:rPr>
          <w:b/>
          <w:szCs w:val="24"/>
        </w:rPr>
        <w:t>)</w:t>
      </w:r>
      <w:r w:rsidRPr="000839A4">
        <w:rPr>
          <w:szCs w:val="24"/>
        </w:rPr>
        <w:tab/>
      </w:r>
      <w:r w:rsidRPr="000839A4">
        <w:rPr>
          <w:b/>
          <w:szCs w:val="24"/>
        </w:rPr>
        <w:t>daňová</w:t>
      </w:r>
      <w:r w:rsidRPr="000839A4">
        <w:rPr>
          <w:szCs w:val="24"/>
        </w:rPr>
        <w:t xml:space="preserve"> hodnota nealkoholických nápojů poskytovaných jako nepeněžní plnění zaměstnavatelem zaměstnancům ke spotřebě na pracovišti,</w:t>
      </w:r>
    </w:p>
    <w:p w14:paraId="06E37195" w14:textId="77777777" w:rsidR="000839A4" w:rsidRPr="000839A4" w:rsidRDefault="000839A4" w:rsidP="000839A4">
      <w:pPr>
        <w:tabs>
          <w:tab w:val="left" w:pos="357"/>
        </w:tabs>
        <w:spacing w:before="0"/>
        <w:ind w:left="357" w:hanging="357"/>
        <w:rPr>
          <w:szCs w:val="24"/>
        </w:rPr>
      </w:pPr>
      <w:proofErr w:type="spellStart"/>
      <w:r w:rsidRPr="000839A4">
        <w:rPr>
          <w:strike/>
          <w:szCs w:val="24"/>
        </w:rPr>
        <w:t>zn</w:t>
      </w:r>
      <w:proofErr w:type="spellEnd"/>
      <w:r w:rsidRPr="000839A4">
        <w:rPr>
          <w:strike/>
          <w:szCs w:val="24"/>
        </w:rPr>
        <w:t xml:space="preserve">) </w:t>
      </w:r>
      <w:proofErr w:type="spellStart"/>
      <w:r w:rsidRPr="000839A4">
        <w:rPr>
          <w:b/>
          <w:strike/>
          <w:szCs w:val="24"/>
        </w:rPr>
        <w:t>zj</w:t>
      </w:r>
      <w:proofErr w:type="spellEnd"/>
      <w:r w:rsidRPr="000839A4">
        <w:rPr>
          <w:b/>
          <w:strike/>
          <w:szCs w:val="24"/>
        </w:rPr>
        <w:t xml:space="preserve">) </w:t>
      </w:r>
      <w:proofErr w:type="spellStart"/>
      <w:r w:rsidRPr="000839A4">
        <w:rPr>
          <w:b/>
          <w:strike/>
          <w:szCs w:val="24"/>
        </w:rPr>
        <w:t>zi</w:t>
      </w:r>
      <w:proofErr w:type="spellEnd"/>
      <w:r w:rsidRPr="000839A4">
        <w:rPr>
          <w:b/>
          <w:strike/>
          <w:szCs w:val="24"/>
        </w:rPr>
        <w:t xml:space="preserve">) </w:t>
      </w:r>
      <w:proofErr w:type="spellStart"/>
      <w:r w:rsidRPr="000839A4">
        <w:rPr>
          <w:b/>
          <w:strike/>
          <w:szCs w:val="24"/>
        </w:rPr>
        <w:t>zh</w:t>
      </w:r>
      <w:proofErr w:type="spellEnd"/>
      <w:r w:rsidRPr="000839A4">
        <w:rPr>
          <w:b/>
          <w:strike/>
          <w:szCs w:val="24"/>
        </w:rPr>
        <w:t xml:space="preserve">) </w:t>
      </w:r>
      <w:proofErr w:type="spellStart"/>
      <w:r w:rsidRPr="000839A4">
        <w:rPr>
          <w:b/>
          <w:strike/>
          <w:szCs w:val="24"/>
        </w:rPr>
        <w:t>zg</w:t>
      </w:r>
      <w:proofErr w:type="spellEnd"/>
      <w:r w:rsidRPr="000839A4">
        <w:rPr>
          <w:b/>
          <w:strike/>
          <w:szCs w:val="24"/>
        </w:rPr>
        <w:t xml:space="preserve">) </w:t>
      </w:r>
      <w:proofErr w:type="spellStart"/>
      <w:r w:rsidRPr="000839A4">
        <w:rPr>
          <w:b/>
          <w:strike/>
          <w:szCs w:val="24"/>
        </w:rPr>
        <w:t>zf</w:t>
      </w:r>
      <w:proofErr w:type="spellEnd"/>
      <w:r w:rsidRPr="000839A4">
        <w:rPr>
          <w:b/>
          <w:strike/>
          <w:szCs w:val="24"/>
        </w:rPr>
        <w:t>) ze)</w:t>
      </w:r>
      <w:r w:rsidRPr="000839A4">
        <w:rPr>
          <w:b/>
          <w:szCs w:val="24"/>
        </w:rPr>
        <w:t xml:space="preserve"> </w:t>
      </w:r>
      <w:proofErr w:type="spellStart"/>
      <w:r w:rsidRPr="000839A4">
        <w:rPr>
          <w:b/>
          <w:szCs w:val="24"/>
        </w:rPr>
        <w:t>zc</w:t>
      </w:r>
      <w:proofErr w:type="spellEnd"/>
      <w:r w:rsidRPr="000839A4">
        <w:rPr>
          <w:b/>
          <w:szCs w:val="24"/>
        </w:rPr>
        <w:t>)</w:t>
      </w:r>
      <w:r w:rsidRPr="000839A4">
        <w:rPr>
          <w:szCs w:val="24"/>
        </w:rPr>
        <w:tab/>
        <w:t xml:space="preserve">pojistné ve výši určené ke krytí budoucích dluhů pojišťovny vyplývajících z pojistné smlouvy uzavřené zaměstnavatelem pro případ dožití se stanoveného věku jeho zaměstnancem nebo dožití se jeho zaměstnancem dohodnuté doby nebo setrvání tohoto zaměstnance v pracovněprávním vztahu k zaměstnavateli po dohodnutou dobu, </w:t>
      </w:r>
    </w:p>
    <w:p w14:paraId="5E8916DA" w14:textId="77777777" w:rsidR="000839A4" w:rsidRPr="000839A4" w:rsidRDefault="000839A4" w:rsidP="000839A4">
      <w:pPr>
        <w:tabs>
          <w:tab w:val="left" w:pos="357"/>
        </w:tabs>
        <w:spacing w:before="0"/>
        <w:ind w:left="357" w:hanging="357"/>
        <w:rPr>
          <w:szCs w:val="24"/>
        </w:rPr>
      </w:pPr>
      <w:proofErr w:type="spellStart"/>
      <w:r w:rsidRPr="000839A4">
        <w:rPr>
          <w:strike/>
          <w:szCs w:val="24"/>
        </w:rPr>
        <w:t>zo</w:t>
      </w:r>
      <w:proofErr w:type="spellEnd"/>
      <w:r w:rsidRPr="000839A4">
        <w:rPr>
          <w:strike/>
          <w:szCs w:val="24"/>
        </w:rPr>
        <w:t xml:space="preserve">) </w:t>
      </w:r>
      <w:proofErr w:type="spellStart"/>
      <w:r w:rsidRPr="000839A4">
        <w:rPr>
          <w:b/>
          <w:strike/>
          <w:szCs w:val="24"/>
        </w:rPr>
        <w:t>zk</w:t>
      </w:r>
      <w:proofErr w:type="spellEnd"/>
      <w:r w:rsidRPr="000839A4">
        <w:rPr>
          <w:b/>
          <w:strike/>
          <w:szCs w:val="24"/>
        </w:rPr>
        <w:t xml:space="preserve">) </w:t>
      </w:r>
      <w:proofErr w:type="spellStart"/>
      <w:r w:rsidRPr="000839A4">
        <w:rPr>
          <w:b/>
          <w:strike/>
          <w:szCs w:val="24"/>
        </w:rPr>
        <w:t>zj</w:t>
      </w:r>
      <w:proofErr w:type="spellEnd"/>
      <w:r w:rsidRPr="000839A4">
        <w:rPr>
          <w:b/>
          <w:strike/>
          <w:szCs w:val="24"/>
        </w:rPr>
        <w:t xml:space="preserve">) </w:t>
      </w:r>
      <w:proofErr w:type="spellStart"/>
      <w:r w:rsidRPr="000839A4">
        <w:rPr>
          <w:b/>
          <w:strike/>
          <w:szCs w:val="24"/>
        </w:rPr>
        <w:t>zi</w:t>
      </w:r>
      <w:proofErr w:type="spellEnd"/>
      <w:r w:rsidRPr="000839A4">
        <w:rPr>
          <w:b/>
          <w:strike/>
          <w:szCs w:val="24"/>
        </w:rPr>
        <w:t xml:space="preserve">) </w:t>
      </w:r>
      <w:proofErr w:type="spellStart"/>
      <w:r w:rsidRPr="000839A4">
        <w:rPr>
          <w:b/>
          <w:strike/>
          <w:szCs w:val="24"/>
        </w:rPr>
        <w:t>zh</w:t>
      </w:r>
      <w:proofErr w:type="spellEnd"/>
      <w:r w:rsidRPr="000839A4">
        <w:rPr>
          <w:b/>
          <w:strike/>
          <w:szCs w:val="24"/>
        </w:rPr>
        <w:t xml:space="preserve">) </w:t>
      </w:r>
      <w:proofErr w:type="spellStart"/>
      <w:r w:rsidRPr="000839A4">
        <w:rPr>
          <w:b/>
          <w:strike/>
          <w:szCs w:val="24"/>
        </w:rPr>
        <w:t>zg</w:t>
      </w:r>
      <w:proofErr w:type="spellEnd"/>
      <w:r w:rsidRPr="000839A4">
        <w:rPr>
          <w:b/>
          <w:strike/>
          <w:szCs w:val="24"/>
        </w:rPr>
        <w:t xml:space="preserve">) </w:t>
      </w:r>
      <w:proofErr w:type="spellStart"/>
      <w:r w:rsidRPr="000839A4">
        <w:rPr>
          <w:b/>
          <w:strike/>
          <w:szCs w:val="24"/>
        </w:rPr>
        <w:t>zf</w:t>
      </w:r>
      <w:proofErr w:type="spellEnd"/>
      <w:r w:rsidRPr="000839A4">
        <w:rPr>
          <w:b/>
          <w:strike/>
          <w:szCs w:val="24"/>
        </w:rPr>
        <w:t>)</w:t>
      </w:r>
      <w:r w:rsidRPr="000839A4">
        <w:rPr>
          <w:b/>
          <w:szCs w:val="24"/>
        </w:rPr>
        <w:t xml:space="preserve"> </w:t>
      </w:r>
      <w:proofErr w:type="spellStart"/>
      <w:r w:rsidRPr="000839A4">
        <w:rPr>
          <w:b/>
          <w:szCs w:val="24"/>
        </w:rPr>
        <w:t>zd</w:t>
      </w:r>
      <w:proofErr w:type="spellEnd"/>
      <w:r w:rsidRPr="000839A4">
        <w:rPr>
          <w:b/>
          <w:szCs w:val="24"/>
        </w:rPr>
        <w:t>)</w:t>
      </w:r>
      <w:r w:rsidRPr="000839A4">
        <w:rPr>
          <w:szCs w:val="24"/>
        </w:rPr>
        <w:tab/>
        <w:t xml:space="preserve">členský příspěvek hrazený poplatníkem příjemci, který je u tohoto příjemce osvobozen od </w:t>
      </w:r>
      <w:proofErr w:type="gramStart"/>
      <w:r w:rsidRPr="000839A4">
        <w:rPr>
          <w:szCs w:val="24"/>
        </w:rPr>
        <w:t>daně</w:t>
      </w:r>
      <w:r w:rsidRPr="000839A4">
        <w:rPr>
          <w:strike/>
          <w:szCs w:val="24"/>
        </w:rPr>
        <w:t>,</w:t>
      </w:r>
      <w:r w:rsidRPr="000839A4">
        <w:rPr>
          <w:b/>
          <w:szCs w:val="24"/>
        </w:rPr>
        <w:t>.</w:t>
      </w:r>
      <w:proofErr w:type="gramEnd"/>
    </w:p>
    <w:p w14:paraId="4C3E8C1A" w14:textId="77777777" w:rsidR="000839A4" w:rsidRPr="000839A4" w:rsidRDefault="000839A4" w:rsidP="000839A4">
      <w:pPr>
        <w:tabs>
          <w:tab w:val="left" w:pos="357"/>
        </w:tabs>
        <w:spacing w:before="0"/>
        <w:ind w:left="357" w:hanging="357"/>
        <w:rPr>
          <w:strike/>
          <w:szCs w:val="24"/>
        </w:rPr>
      </w:pPr>
      <w:proofErr w:type="spellStart"/>
      <w:r w:rsidRPr="000839A4">
        <w:rPr>
          <w:strike/>
          <w:szCs w:val="24"/>
        </w:rPr>
        <w:t>zp</w:t>
      </w:r>
      <w:proofErr w:type="spellEnd"/>
      <w:r w:rsidRPr="000839A4">
        <w:rPr>
          <w:strike/>
          <w:szCs w:val="24"/>
        </w:rPr>
        <w:t xml:space="preserve">) </w:t>
      </w:r>
      <w:proofErr w:type="spellStart"/>
      <w:r w:rsidRPr="000839A4">
        <w:rPr>
          <w:b/>
          <w:strike/>
          <w:szCs w:val="24"/>
        </w:rPr>
        <w:t>zl</w:t>
      </w:r>
      <w:proofErr w:type="spellEnd"/>
      <w:r w:rsidRPr="000839A4">
        <w:rPr>
          <w:b/>
          <w:strike/>
          <w:szCs w:val="24"/>
        </w:rPr>
        <w:t xml:space="preserve">) </w:t>
      </w:r>
      <w:proofErr w:type="spellStart"/>
      <w:r w:rsidRPr="000839A4">
        <w:rPr>
          <w:b/>
          <w:strike/>
          <w:szCs w:val="24"/>
        </w:rPr>
        <w:t>zk</w:t>
      </w:r>
      <w:proofErr w:type="spellEnd"/>
      <w:r w:rsidRPr="000839A4">
        <w:rPr>
          <w:b/>
          <w:strike/>
          <w:szCs w:val="24"/>
        </w:rPr>
        <w:t xml:space="preserve">) </w:t>
      </w:r>
      <w:proofErr w:type="spellStart"/>
      <w:r w:rsidRPr="000839A4">
        <w:rPr>
          <w:b/>
          <w:strike/>
          <w:szCs w:val="24"/>
        </w:rPr>
        <w:t>zj</w:t>
      </w:r>
      <w:proofErr w:type="spellEnd"/>
      <w:r w:rsidRPr="000839A4">
        <w:rPr>
          <w:b/>
          <w:strike/>
          <w:szCs w:val="24"/>
        </w:rPr>
        <w:t xml:space="preserve">) </w:t>
      </w:r>
      <w:proofErr w:type="spellStart"/>
      <w:r w:rsidRPr="000839A4">
        <w:rPr>
          <w:b/>
          <w:strike/>
          <w:szCs w:val="24"/>
        </w:rPr>
        <w:t>zi</w:t>
      </w:r>
      <w:proofErr w:type="spellEnd"/>
      <w:r w:rsidRPr="000839A4">
        <w:rPr>
          <w:b/>
          <w:strike/>
          <w:szCs w:val="24"/>
        </w:rPr>
        <w:t xml:space="preserve">) </w:t>
      </w:r>
      <w:proofErr w:type="spellStart"/>
      <w:r w:rsidRPr="000839A4">
        <w:rPr>
          <w:b/>
          <w:strike/>
          <w:szCs w:val="24"/>
        </w:rPr>
        <w:t>zh</w:t>
      </w:r>
      <w:proofErr w:type="spellEnd"/>
      <w:r w:rsidRPr="000839A4">
        <w:rPr>
          <w:b/>
          <w:strike/>
          <w:szCs w:val="24"/>
        </w:rPr>
        <w:t xml:space="preserve">) </w:t>
      </w:r>
      <w:proofErr w:type="spellStart"/>
      <w:r w:rsidRPr="000839A4">
        <w:rPr>
          <w:b/>
          <w:strike/>
          <w:szCs w:val="24"/>
        </w:rPr>
        <w:t>zg</w:t>
      </w:r>
      <w:proofErr w:type="spellEnd"/>
      <w:r w:rsidRPr="000839A4">
        <w:rPr>
          <w:b/>
          <w:strike/>
          <w:szCs w:val="24"/>
        </w:rPr>
        <w:t>) ze)</w:t>
      </w:r>
      <w:r w:rsidRPr="000839A4">
        <w:rPr>
          <w:b/>
          <w:strike/>
          <w:szCs w:val="24"/>
        </w:rPr>
        <w:tab/>
      </w:r>
      <w:r w:rsidRPr="000839A4">
        <w:rPr>
          <w:strike/>
          <w:szCs w:val="24"/>
        </w:rPr>
        <w:t xml:space="preserve">účetní odpisy hmotného a nehmotného majetku odpisovaného pouze podle právních předpisů upravujících účetnictví, který byl nabyt darováním, plněním ze </w:t>
      </w:r>
      <w:proofErr w:type="spellStart"/>
      <w:r w:rsidRPr="000839A4">
        <w:rPr>
          <w:strike/>
          <w:szCs w:val="24"/>
        </w:rPr>
        <w:t>svěřenského</w:t>
      </w:r>
      <w:proofErr w:type="spellEnd"/>
      <w:r w:rsidRPr="000839A4">
        <w:rPr>
          <w:strike/>
          <w:szCs w:val="24"/>
        </w:rPr>
        <w:t xml:space="preserve"> fondu nebo z rodinné fundace, a tento příjem byl od daně z příjmů osvobozen nebo nebyl zahrnut do jejího předmětu; obdobně to platí pro zůstatkovou cenu v případě prodeje nebo likvidace tohoto majetku, </w:t>
      </w:r>
    </w:p>
    <w:p w14:paraId="1691924C" w14:textId="77777777" w:rsidR="000839A4" w:rsidRPr="000839A4" w:rsidRDefault="000839A4" w:rsidP="000839A4">
      <w:pPr>
        <w:tabs>
          <w:tab w:val="left" w:pos="357"/>
        </w:tabs>
        <w:spacing w:before="0"/>
        <w:ind w:left="357" w:hanging="357"/>
        <w:rPr>
          <w:strike/>
          <w:szCs w:val="24"/>
        </w:rPr>
      </w:pPr>
      <w:proofErr w:type="spellStart"/>
      <w:r w:rsidRPr="000839A4">
        <w:rPr>
          <w:strike/>
          <w:szCs w:val="24"/>
        </w:rPr>
        <w:t>zq</w:t>
      </w:r>
      <w:proofErr w:type="spellEnd"/>
      <w:r w:rsidRPr="000839A4">
        <w:rPr>
          <w:strike/>
          <w:szCs w:val="24"/>
        </w:rPr>
        <w:t xml:space="preserve">) </w:t>
      </w:r>
      <w:proofErr w:type="spellStart"/>
      <w:r w:rsidRPr="000839A4">
        <w:rPr>
          <w:b/>
          <w:strike/>
          <w:szCs w:val="24"/>
        </w:rPr>
        <w:t>zm</w:t>
      </w:r>
      <w:proofErr w:type="spellEnd"/>
      <w:r w:rsidRPr="000839A4">
        <w:rPr>
          <w:b/>
          <w:strike/>
          <w:szCs w:val="24"/>
        </w:rPr>
        <w:t xml:space="preserve">) </w:t>
      </w:r>
      <w:proofErr w:type="spellStart"/>
      <w:r w:rsidRPr="000839A4">
        <w:rPr>
          <w:b/>
          <w:strike/>
          <w:szCs w:val="24"/>
        </w:rPr>
        <w:t>zl</w:t>
      </w:r>
      <w:proofErr w:type="spellEnd"/>
      <w:r w:rsidRPr="000839A4">
        <w:rPr>
          <w:b/>
          <w:strike/>
          <w:szCs w:val="24"/>
        </w:rPr>
        <w:t xml:space="preserve">) </w:t>
      </w:r>
      <w:proofErr w:type="spellStart"/>
      <w:r w:rsidRPr="000839A4">
        <w:rPr>
          <w:b/>
          <w:strike/>
          <w:szCs w:val="24"/>
        </w:rPr>
        <w:t>zk</w:t>
      </w:r>
      <w:proofErr w:type="spellEnd"/>
      <w:r w:rsidRPr="000839A4">
        <w:rPr>
          <w:b/>
          <w:strike/>
          <w:szCs w:val="24"/>
        </w:rPr>
        <w:t xml:space="preserve">) </w:t>
      </w:r>
      <w:proofErr w:type="spellStart"/>
      <w:r w:rsidRPr="000839A4">
        <w:rPr>
          <w:b/>
          <w:strike/>
          <w:szCs w:val="24"/>
        </w:rPr>
        <w:t>zj</w:t>
      </w:r>
      <w:proofErr w:type="spellEnd"/>
      <w:r w:rsidRPr="000839A4">
        <w:rPr>
          <w:b/>
          <w:strike/>
          <w:szCs w:val="24"/>
        </w:rPr>
        <w:t xml:space="preserve">) </w:t>
      </w:r>
      <w:proofErr w:type="spellStart"/>
      <w:r w:rsidRPr="000839A4">
        <w:rPr>
          <w:b/>
          <w:strike/>
          <w:szCs w:val="24"/>
        </w:rPr>
        <w:t>zi</w:t>
      </w:r>
      <w:proofErr w:type="spellEnd"/>
      <w:r w:rsidRPr="000839A4">
        <w:rPr>
          <w:b/>
          <w:strike/>
          <w:szCs w:val="24"/>
        </w:rPr>
        <w:t xml:space="preserve">) </w:t>
      </w:r>
      <w:proofErr w:type="spellStart"/>
      <w:r w:rsidRPr="000839A4">
        <w:rPr>
          <w:b/>
          <w:strike/>
          <w:szCs w:val="24"/>
        </w:rPr>
        <w:t>zh</w:t>
      </w:r>
      <w:proofErr w:type="spellEnd"/>
      <w:r w:rsidRPr="000839A4">
        <w:rPr>
          <w:b/>
          <w:strike/>
          <w:szCs w:val="24"/>
        </w:rPr>
        <w:t xml:space="preserve">) </w:t>
      </w:r>
      <w:proofErr w:type="spellStart"/>
      <w:r w:rsidRPr="000839A4">
        <w:rPr>
          <w:b/>
          <w:strike/>
          <w:szCs w:val="24"/>
        </w:rPr>
        <w:t>zf</w:t>
      </w:r>
      <w:proofErr w:type="spellEnd"/>
      <w:r w:rsidRPr="000839A4">
        <w:rPr>
          <w:b/>
          <w:strike/>
          <w:szCs w:val="24"/>
        </w:rPr>
        <w:t>)</w:t>
      </w:r>
      <w:r w:rsidRPr="000839A4">
        <w:rPr>
          <w:strike/>
          <w:szCs w:val="24"/>
        </w:rPr>
        <w:tab/>
        <w:t xml:space="preserve">hodnotu majetku, který se neodpisuje podle tohoto zákona ani podle právních předpisů upravujících účetnictví, nabytého darováním, plněním ze </w:t>
      </w:r>
      <w:proofErr w:type="spellStart"/>
      <w:r w:rsidRPr="000839A4">
        <w:rPr>
          <w:strike/>
          <w:szCs w:val="24"/>
        </w:rPr>
        <w:t>svěřenského</w:t>
      </w:r>
      <w:proofErr w:type="spellEnd"/>
      <w:r w:rsidRPr="000839A4">
        <w:rPr>
          <w:strike/>
          <w:szCs w:val="24"/>
        </w:rPr>
        <w:t xml:space="preserve"> fondu nebo z rodinné </w:t>
      </w:r>
      <w:proofErr w:type="spellStart"/>
      <w:r w:rsidRPr="000839A4">
        <w:rPr>
          <w:strike/>
          <w:szCs w:val="24"/>
        </w:rPr>
        <w:t>fundacenebo</w:t>
      </w:r>
      <w:proofErr w:type="spellEnd"/>
      <w:r w:rsidRPr="000839A4">
        <w:rPr>
          <w:strike/>
          <w:szCs w:val="24"/>
        </w:rPr>
        <w:t xml:space="preserve"> hodnotu bezúplatně přijatých služeb, pokud tento příjem byl od daně osvobozen nebo nebyl zahrnut do jejího předmětu.</w:t>
      </w:r>
    </w:p>
    <w:p w14:paraId="69A620B5" w14:textId="77777777" w:rsidR="000839A4" w:rsidRPr="000839A4" w:rsidRDefault="000839A4" w:rsidP="000839A4">
      <w:pPr>
        <w:spacing w:before="120" w:after="120"/>
        <w:rPr>
          <w:szCs w:val="24"/>
        </w:rPr>
      </w:pPr>
      <w:r w:rsidRPr="000839A4">
        <w:rPr>
          <w:szCs w:val="24"/>
        </w:rPr>
        <w:t xml:space="preserve">(2) Škodou podle odstavce 1 písm. </w:t>
      </w:r>
      <w:r w:rsidRPr="000839A4">
        <w:rPr>
          <w:strike/>
          <w:szCs w:val="24"/>
        </w:rPr>
        <w:t>n)</w:t>
      </w:r>
      <w:r w:rsidRPr="000839A4">
        <w:rPr>
          <w:szCs w:val="24"/>
        </w:rPr>
        <w:t xml:space="preserve"> </w:t>
      </w:r>
      <w:r w:rsidRPr="000839A4">
        <w:rPr>
          <w:b/>
          <w:szCs w:val="24"/>
        </w:rPr>
        <w:t>k)</w:t>
      </w:r>
      <w:r w:rsidRPr="000839A4">
        <w:rPr>
          <w:szCs w:val="24"/>
        </w:rPr>
        <w:t xml:space="preserve"> se rozumí fyzické znehodnocení (poškození nebo zničení) </w:t>
      </w:r>
      <w:r w:rsidRPr="000839A4">
        <w:rPr>
          <w:strike/>
          <w:szCs w:val="24"/>
        </w:rPr>
        <w:t>majetku ve vlastnictví</w:t>
      </w:r>
      <w:r w:rsidRPr="000839A4">
        <w:rPr>
          <w:szCs w:val="24"/>
        </w:rPr>
        <w:t xml:space="preserve"> </w:t>
      </w:r>
      <w:r w:rsidRPr="000839A4">
        <w:rPr>
          <w:b/>
          <w:szCs w:val="24"/>
        </w:rPr>
        <w:t>evidovaného</w:t>
      </w:r>
      <w:r w:rsidRPr="000839A4">
        <w:rPr>
          <w:szCs w:val="24"/>
        </w:rPr>
        <w:t xml:space="preserve"> </w:t>
      </w:r>
      <w:r w:rsidRPr="000839A4">
        <w:rPr>
          <w:b/>
          <w:szCs w:val="24"/>
        </w:rPr>
        <w:t xml:space="preserve">aktiva </w:t>
      </w:r>
      <w:r w:rsidRPr="000839A4">
        <w:rPr>
          <w:szCs w:val="24"/>
        </w:rPr>
        <w:t xml:space="preserve">poplatníka, a to z objektivních i subjektivních příčin, pokud je </w:t>
      </w:r>
      <w:r w:rsidRPr="000839A4">
        <w:rPr>
          <w:strike/>
          <w:szCs w:val="24"/>
        </w:rPr>
        <w:t>majetek</w:t>
      </w:r>
      <w:r w:rsidRPr="000839A4">
        <w:rPr>
          <w:szCs w:val="24"/>
        </w:rPr>
        <w:t xml:space="preserve"> </w:t>
      </w:r>
      <w:r w:rsidRPr="000839A4">
        <w:rPr>
          <w:b/>
          <w:szCs w:val="24"/>
        </w:rPr>
        <w:t>evidované</w:t>
      </w:r>
      <w:r w:rsidRPr="000839A4">
        <w:rPr>
          <w:szCs w:val="24"/>
        </w:rPr>
        <w:t xml:space="preserve"> </w:t>
      </w:r>
      <w:r w:rsidRPr="000839A4">
        <w:rPr>
          <w:b/>
          <w:szCs w:val="24"/>
        </w:rPr>
        <w:t>aktivum</w:t>
      </w:r>
      <w:r w:rsidRPr="000839A4">
        <w:rPr>
          <w:szCs w:val="24"/>
        </w:rPr>
        <w:t xml:space="preserve"> v důsledku škody </w:t>
      </w:r>
      <w:r w:rsidRPr="000839A4">
        <w:rPr>
          <w:strike/>
          <w:szCs w:val="24"/>
        </w:rPr>
        <w:t>vyřazen</w:t>
      </w:r>
      <w:r w:rsidRPr="000839A4">
        <w:rPr>
          <w:szCs w:val="24"/>
        </w:rPr>
        <w:t xml:space="preserve"> </w:t>
      </w:r>
      <w:r w:rsidRPr="000839A4">
        <w:rPr>
          <w:b/>
          <w:szCs w:val="24"/>
        </w:rPr>
        <w:t>vyřazeno</w:t>
      </w:r>
      <w:r w:rsidRPr="000839A4">
        <w:rPr>
          <w:szCs w:val="24"/>
        </w:rPr>
        <w:t xml:space="preserve">. Mankem se rozumí inventarizační rozdíl, kdy skutečný stav je nižší než účetní. Za tyto škody a manka se nepovažují technologické a technické úbytky a úbytky vyplývající z přirozených vlastností zásob vznikající např. rozprachem, sesycháním v rámci technologických úbytků ve výrobním, zásobovacím a odbytovém procesu (přirozené úbytky zásob materiálu, zboží, nedokončené výroby, polotovarů a hotových výrobků), ztratné v maloobchodním prodeji a nezaviněné úhyny zvířat, která nejsou pro účely zákona hmotným </w:t>
      </w:r>
      <w:r w:rsidRPr="000839A4">
        <w:rPr>
          <w:strike/>
          <w:szCs w:val="24"/>
        </w:rPr>
        <w:t xml:space="preserve">majetkem </w:t>
      </w:r>
      <w:r w:rsidRPr="000839A4">
        <w:rPr>
          <w:b/>
          <w:szCs w:val="24"/>
        </w:rPr>
        <w:t>aktivem</w:t>
      </w:r>
      <w:r w:rsidRPr="000839A4">
        <w:rPr>
          <w:szCs w:val="24"/>
        </w:rPr>
        <w:t xml:space="preserve">, a to do výše ekonomicky zdůvodněné normy přirozených úbytků a ztratného stanovené poplatníkem. Správce daně může posoudit, zda výše stanovené normy odpovídá charakteru činnosti poplatníka a obvyklé výši norem jiných poplatníků se shodnou nebo obdobnou činností, a o zjištěný rozdíl upravit základ daně. Škodou není prokázaný nezaviněný úhyn nebo nutná porážka zvířete základního stáda. </w:t>
      </w:r>
    </w:p>
    <w:p w14:paraId="2541BB50" w14:textId="77777777" w:rsidR="000839A4" w:rsidRPr="000839A4" w:rsidRDefault="000839A4" w:rsidP="000839A4">
      <w:pPr>
        <w:spacing w:before="120" w:after="120"/>
        <w:rPr>
          <w:szCs w:val="24"/>
        </w:rPr>
      </w:pPr>
      <w:r w:rsidRPr="000839A4">
        <w:rPr>
          <w:szCs w:val="24"/>
        </w:rPr>
        <w:t xml:space="preserve">(3) Do úvěrových finančních nástrojů se pro účely odstavce 1 písm. </w:t>
      </w:r>
      <w:r w:rsidRPr="000839A4">
        <w:rPr>
          <w:strike/>
          <w:szCs w:val="24"/>
        </w:rPr>
        <w:t>w)</w:t>
      </w:r>
      <w:r w:rsidRPr="000839A4">
        <w:rPr>
          <w:szCs w:val="24"/>
        </w:rPr>
        <w:t xml:space="preserve"> </w:t>
      </w:r>
      <w:r w:rsidRPr="000839A4">
        <w:rPr>
          <w:b/>
          <w:szCs w:val="24"/>
        </w:rPr>
        <w:t>q)</w:t>
      </w:r>
      <w:r w:rsidRPr="000839A4">
        <w:rPr>
          <w:szCs w:val="24"/>
        </w:rPr>
        <w:t xml:space="preserve"> nezahrnují úvěrové finanční nástroje, z nichž úroky jsou součástí </w:t>
      </w:r>
      <w:r w:rsidRPr="000839A4">
        <w:rPr>
          <w:strike/>
          <w:szCs w:val="24"/>
        </w:rPr>
        <w:t>vstupní ceny</w:t>
      </w:r>
      <w:r w:rsidRPr="000839A4">
        <w:rPr>
          <w:szCs w:val="24"/>
        </w:rPr>
        <w:t xml:space="preserve"> </w:t>
      </w:r>
      <w:r w:rsidRPr="000839A4">
        <w:rPr>
          <w:strike/>
          <w:szCs w:val="24"/>
        </w:rPr>
        <w:t>majetku</w:t>
      </w:r>
      <w:r w:rsidRPr="000839A4">
        <w:rPr>
          <w:b/>
          <w:szCs w:val="24"/>
        </w:rPr>
        <w:t xml:space="preserve"> daňové hodnoty aktiva</w:t>
      </w:r>
      <w:r w:rsidRPr="000839A4">
        <w:rPr>
          <w:szCs w:val="24"/>
        </w:rPr>
        <w:t xml:space="preserve">, a dále prokazatelně poskytnuté bezúročné úvěrové finanční nástroje. Ustanovení odstavce 1 písm. </w:t>
      </w:r>
      <w:r w:rsidRPr="000839A4">
        <w:rPr>
          <w:strike/>
          <w:szCs w:val="24"/>
        </w:rPr>
        <w:t xml:space="preserve">w) a </w:t>
      </w:r>
      <w:proofErr w:type="spellStart"/>
      <w:r w:rsidRPr="000839A4">
        <w:rPr>
          <w:strike/>
          <w:szCs w:val="24"/>
        </w:rPr>
        <w:t>zl</w:t>
      </w:r>
      <w:proofErr w:type="spellEnd"/>
      <w:r w:rsidRPr="000839A4">
        <w:rPr>
          <w:strike/>
          <w:szCs w:val="24"/>
        </w:rPr>
        <w:t>)</w:t>
      </w:r>
      <w:r w:rsidRPr="000839A4">
        <w:rPr>
          <w:szCs w:val="24"/>
        </w:rPr>
        <w:t xml:space="preserve"> </w:t>
      </w:r>
      <w:r w:rsidRPr="000839A4">
        <w:rPr>
          <w:b/>
          <w:szCs w:val="24"/>
        </w:rPr>
        <w:t>q) a za)</w:t>
      </w:r>
      <w:r w:rsidRPr="000839A4">
        <w:rPr>
          <w:szCs w:val="24"/>
        </w:rPr>
        <w:t xml:space="preserve"> se nevztahují na veřejně prospěšné poplatníky, na organizátora regulovaného trhu a na poplatníky uvedené v § 2. </w:t>
      </w:r>
    </w:p>
    <w:p w14:paraId="65BBB3B1" w14:textId="77777777" w:rsidR="000839A4" w:rsidRPr="000839A4" w:rsidRDefault="000839A4" w:rsidP="000839A4">
      <w:pPr>
        <w:spacing w:before="120" w:after="120"/>
        <w:rPr>
          <w:b/>
          <w:szCs w:val="24"/>
        </w:rPr>
      </w:pPr>
      <w:r w:rsidRPr="000839A4">
        <w:rPr>
          <w:b/>
          <w:szCs w:val="24"/>
        </w:rPr>
        <w:t>(4) Výdaji vynaloženými k dosažení, zajištění a udržení příjmů nejsou</w:t>
      </w:r>
    </w:p>
    <w:p w14:paraId="6CE98003" w14:textId="77777777" w:rsidR="000839A4" w:rsidRPr="000839A4" w:rsidRDefault="000839A4" w:rsidP="000839A4">
      <w:pPr>
        <w:tabs>
          <w:tab w:val="left" w:pos="357"/>
        </w:tabs>
        <w:spacing w:before="0"/>
        <w:ind w:left="357" w:hanging="357"/>
        <w:rPr>
          <w:b/>
          <w:szCs w:val="24"/>
        </w:rPr>
      </w:pPr>
      <w:r w:rsidRPr="000839A4">
        <w:rPr>
          <w:b/>
          <w:szCs w:val="24"/>
        </w:rPr>
        <w:t>a)</w:t>
      </w:r>
      <w:r w:rsidRPr="000839A4">
        <w:rPr>
          <w:b/>
          <w:szCs w:val="24"/>
        </w:rPr>
        <w:tab/>
        <w:t xml:space="preserve">částka ve výši daňové hodnoty aktiva vyřazeného v důsledku škody, která nevznikla v důsledku živelních pohrom ani nebyla způsobena podle potvrzení policie neznámým </w:t>
      </w:r>
      <w:r w:rsidRPr="000839A4">
        <w:rPr>
          <w:b/>
          <w:szCs w:val="24"/>
        </w:rPr>
        <w:lastRenderedPageBreak/>
        <w:t>pachatelem ani jako zvýšené výdaje v důsledku opatření stanoveného jiným právním předpisem, v části přesahující výši náhrady,</w:t>
      </w:r>
    </w:p>
    <w:p w14:paraId="54E0F6D0" w14:textId="77777777" w:rsidR="000839A4" w:rsidRPr="000839A4" w:rsidRDefault="000839A4" w:rsidP="000839A4">
      <w:pPr>
        <w:tabs>
          <w:tab w:val="left" w:pos="357"/>
        </w:tabs>
        <w:spacing w:before="0"/>
        <w:ind w:left="357" w:hanging="357"/>
        <w:rPr>
          <w:b/>
          <w:szCs w:val="24"/>
        </w:rPr>
      </w:pPr>
      <w:r w:rsidRPr="000839A4">
        <w:rPr>
          <w:b/>
          <w:szCs w:val="24"/>
        </w:rPr>
        <w:t>b)</w:t>
      </w:r>
      <w:r w:rsidRPr="000839A4">
        <w:rPr>
          <w:b/>
          <w:szCs w:val="24"/>
        </w:rPr>
        <w:tab/>
        <w:t>částka ve výši daňové hodnoty pohledávky nabyté postoupením v části přesahující výši příjmů z úhrady této pohledávky dlužníkem nebo z jejího následného postoupení,</w:t>
      </w:r>
    </w:p>
    <w:p w14:paraId="55696FFD" w14:textId="77777777" w:rsidR="000839A4" w:rsidRPr="000839A4" w:rsidRDefault="000839A4" w:rsidP="000839A4">
      <w:pPr>
        <w:tabs>
          <w:tab w:val="left" w:pos="357"/>
        </w:tabs>
        <w:spacing w:before="0"/>
        <w:ind w:left="357" w:hanging="357"/>
        <w:rPr>
          <w:b/>
          <w:szCs w:val="24"/>
        </w:rPr>
      </w:pPr>
      <w:r w:rsidRPr="000839A4">
        <w:rPr>
          <w:b/>
          <w:szCs w:val="24"/>
        </w:rPr>
        <w:t>c)</w:t>
      </w:r>
      <w:r w:rsidRPr="000839A4">
        <w:rPr>
          <w:b/>
          <w:szCs w:val="24"/>
        </w:rPr>
        <w:tab/>
        <w:t>částka ve výši daňové hodnoty postoupené pohledávky v části přesahující výši příjmu plynoucího z jejího postoupení u poplatníka s akruálním základem daně,</w:t>
      </w:r>
    </w:p>
    <w:p w14:paraId="48FA225D" w14:textId="77777777" w:rsidR="000839A4" w:rsidRPr="000839A4" w:rsidRDefault="000839A4" w:rsidP="000839A4">
      <w:pPr>
        <w:tabs>
          <w:tab w:val="left" w:pos="357"/>
        </w:tabs>
        <w:spacing w:before="0"/>
        <w:ind w:left="357" w:hanging="357"/>
        <w:rPr>
          <w:b/>
          <w:szCs w:val="24"/>
        </w:rPr>
      </w:pPr>
      <w:r w:rsidRPr="000839A4">
        <w:rPr>
          <w:b/>
          <w:szCs w:val="24"/>
        </w:rPr>
        <w:t>d)</w:t>
      </w:r>
      <w:r w:rsidRPr="000839A4">
        <w:rPr>
          <w:b/>
          <w:szCs w:val="24"/>
        </w:rPr>
        <w:tab/>
        <w:t>částka ve výši daňové hodnoty úplatně pozbyté směnky v části přesahující výši příjmů z úplatného pozbytí,</w:t>
      </w:r>
    </w:p>
    <w:p w14:paraId="3F052160" w14:textId="77777777" w:rsidR="000839A4" w:rsidRPr="000839A4" w:rsidRDefault="000839A4" w:rsidP="000839A4">
      <w:pPr>
        <w:tabs>
          <w:tab w:val="left" w:pos="357"/>
        </w:tabs>
        <w:spacing w:before="0"/>
        <w:ind w:left="357" w:hanging="357"/>
        <w:rPr>
          <w:b/>
          <w:szCs w:val="24"/>
        </w:rPr>
      </w:pPr>
      <w:r w:rsidRPr="000839A4">
        <w:rPr>
          <w:b/>
          <w:szCs w:val="24"/>
        </w:rPr>
        <w:t>e)</w:t>
      </w:r>
      <w:r w:rsidRPr="000839A4">
        <w:rPr>
          <w:b/>
          <w:szCs w:val="24"/>
        </w:rPr>
        <w:tab/>
        <w:t>smluvní pokuta, úrok z prodlení, penále a jiné sankce ze závazkových vztahů v části, ve které nebyly zaplaceny,</w:t>
      </w:r>
    </w:p>
    <w:p w14:paraId="42DE46AD" w14:textId="77777777" w:rsidR="000839A4" w:rsidRPr="000839A4" w:rsidRDefault="000839A4" w:rsidP="000839A4">
      <w:pPr>
        <w:tabs>
          <w:tab w:val="left" w:pos="357"/>
        </w:tabs>
        <w:spacing w:before="0"/>
        <w:ind w:left="357" w:hanging="357"/>
        <w:rPr>
          <w:b/>
          <w:szCs w:val="24"/>
        </w:rPr>
      </w:pPr>
      <w:r w:rsidRPr="000839A4">
        <w:rPr>
          <w:b/>
          <w:szCs w:val="24"/>
        </w:rPr>
        <w:t>f)</w:t>
      </w:r>
      <w:r w:rsidRPr="000839A4">
        <w:rPr>
          <w:b/>
          <w:szCs w:val="24"/>
        </w:rPr>
        <w:tab/>
        <w:t>úrok ze zápůjčky nebo úvěru v části, ve které nebyl zaplacen, pokud je věřitelem poplatník daně z příjmů fyzických osob, který není účetní jednotkou.</w:t>
      </w:r>
    </w:p>
    <w:p w14:paraId="644A3CC7" w14:textId="77777777" w:rsidR="000839A4" w:rsidRPr="000839A4" w:rsidRDefault="000839A4" w:rsidP="000839A4">
      <w:pPr>
        <w:spacing w:before="120" w:after="120"/>
        <w:rPr>
          <w:b/>
          <w:szCs w:val="24"/>
        </w:rPr>
      </w:pPr>
      <w:r w:rsidRPr="000839A4">
        <w:rPr>
          <w:b/>
          <w:szCs w:val="24"/>
        </w:rPr>
        <w:t>(5) U poplatníka daně z příjmů fyzických osob nejsou výdaji vynaloženými k dosažení, zajištění a udržení příjmů také</w:t>
      </w:r>
    </w:p>
    <w:p w14:paraId="0F0A87A5" w14:textId="77777777" w:rsidR="000839A4" w:rsidRPr="000839A4" w:rsidRDefault="000839A4" w:rsidP="000839A4">
      <w:pPr>
        <w:tabs>
          <w:tab w:val="left" w:pos="357"/>
        </w:tabs>
        <w:spacing w:before="0"/>
        <w:ind w:left="357" w:hanging="357"/>
        <w:rPr>
          <w:b/>
          <w:szCs w:val="24"/>
        </w:rPr>
      </w:pPr>
      <w:r w:rsidRPr="000839A4">
        <w:rPr>
          <w:b/>
          <w:szCs w:val="24"/>
        </w:rPr>
        <w:t>a)</w:t>
      </w:r>
      <w:r w:rsidRPr="000839A4">
        <w:rPr>
          <w:b/>
          <w:szCs w:val="24"/>
        </w:rPr>
        <w:tab/>
        <w:t>částka ve výši daňové hodnoty úplatně pozbytého daňově neodpisovaného aktiva v části přesahující výši příjmů z jeho úplatného pozbytí,</w:t>
      </w:r>
    </w:p>
    <w:p w14:paraId="22028741" w14:textId="77777777" w:rsidR="000839A4" w:rsidRPr="000839A4" w:rsidRDefault="000839A4" w:rsidP="000839A4">
      <w:pPr>
        <w:tabs>
          <w:tab w:val="left" w:pos="357"/>
        </w:tabs>
        <w:spacing w:before="0"/>
        <w:ind w:left="357" w:hanging="357"/>
        <w:rPr>
          <w:b/>
          <w:szCs w:val="24"/>
        </w:rPr>
      </w:pPr>
      <w:r w:rsidRPr="000839A4">
        <w:rPr>
          <w:b/>
          <w:szCs w:val="24"/>
        </w:rPr>
        <w:t>b)</w:t>
      </w:r>
      <w:r w:rsidRPr="000839A4">
        <w:rPr>
          <w:b/>
          <w:szCs w:val="24"/>
        </w:rPr>
        <w:tab/>
        <w:t>částka ve výši daňové hodnoty úplatně pozbytého pozemku přesahující výši příjmů z jeho úplatného pozbytí,</w:t>
      </w:r>
    </w:p>
    <w:p w14:paraId="560B98EF" w14:textId="77777777" w:rsidR="000839A4" w:rsidRPr="000839A4" w:rsidRDefault="000839A4" w:rsidP="000839A4">
      <w:pPr>
        <w:tabs>
          <w:tab w:val="left" w:pos="357"/>
        </w:tabs>
        <w:spacing w:before="0"/>
        <w:ind w:left="357" w:hanging="357"/>
        <w:rPr>
          <w:b/>
          <w:szCs w:val="24"/>
        </w:rPr>
      </w:pPr>
      <w:r w:rsidRPr="000839A4">
        <w:rPr>
          <w:b/>
          <w:szCs w:val="24"/>
        </w:rPr>
        <w:t>c)</w:t>
      </w:r>
      <w:r w:rsidRPr="000839A4">
        <w:rPr>
          <w:b/>
          <w:szCs w:val="24"/>
        </w:rPr>
        <w:tab/>
        <w:t>částka ve výši daňové hodnoty úplatně pozbytého uměleckého díla, které není součástí stavby, sbírky muzejní povahy, movité kulturní památky, souboru movitých kulturních památek, předmětu kulturní hodnoty nebo obdobné hmotné movité věci přesahující výši příjmů z jejich úplatného pozbytí,</w:t>
      </w:r>
    </w:p>
    <w:p w14:paraId="15F6FE3D" w14:textId="77777777" w:rsidR="000839A4" w:rsidRPr="000839A4" w:rsidRDefault="000839A4" w:rsidP="000839A4">
      <w:pPr>
        <w:tabs>
          <w:tab w:val="left" w:pos="357"/>
        </w:tabs>
        <w:spacing w:before="0"/>
        <w:ind w:left="357" w:hanging="357"/>
        <w:rPr>
          <w:b/>
          <w:szCs w:val="24"/>
        </w:rPr>
      </w:pPr>
      <w:r w:rsidRPr="000839A4">
        <w:rPr>
          <w:b/>
          <w:szCs w:val="24"/>
        </w:rPr>
        <w:t>d)</w:t>
      </w:r>
      <w:r w:rsidRPr="000839A4">
        <w:rPr>
          <w:b/>
          <w:szCs w:val="24"/>
        </w:rPr>
        <w:tab/>
        <w:t>částka ve výši daňové hodnoty úplatně pozbyté akcie, kmenového listu a podílu na společnosti s ručením omezeným, na komanditní společnosti nebo družstvu v části přesahující výši příjmů z úplatného pozbytí.</w:t>
      </w:r>
    </w:p>
    <w:p w14:paraId="3F8435D7" w14:textId="77777777" w:rsidR="000839A4" w:rsidRPr="000839A4" w:rsidRDefault="000839A4" w:rsidP="000839A4">
      <w:pPr>
        <w:keepNext/>
        <w:ind w:firstLine="0"/>
        <w:jc w:val="center"/>
        <w:rPr>
          <w:b/>
          <w:strike/>
          <w:szCs w:val="24"/>
        </w:rPr>
      </w:pPr>
      <w:r w:rsidRPr="000839A4">
        <w:rPr>
          <w:b/>
          <w:strike/>
          <w:szCs w:val="24"/>
        </w:rPr>
        <w:t xml:space="preserve">Odpisy hmotného majetku </w:t>
      </w:r>
    </w:p>
    <w:p w14:paraId="4E123E1D" w14:textId="77777777" w:rsidR="000839A4" w:rsidRPr="000839A4" w:rsidRDefault="000839A4" w:rsidP="000839A4">
      <w:pPr>
        <w:keepNext/>
        <w:spacing w:before="120"/>
        <w:ind w:firstLine="0"/>
        <w:jc w:val="center"/>
        <w:outlineLvl w:val="7"/>
        <w:rPr>
          <w:b/>
        </w:rPr>
      </w:pPr>
      <w:r w:rsidRPr="000839A4">
        <w:rPr>
          <w:b/>
        </w:rPr>
        <w:t>Hlava VIII</w:t>
      </w:r>
    </w:p>
    <w:p w14:paraId="2CE5C38A" w14:textId="77777777" w:rsidR="000839A4" w:rsidRPr="000839A4" w:rsidRDefault="000839A4" w:rsidP="000839A4">
      <w:pPr>
        <w:keepNext/>
        <w:spacing w:before="120"/>
        <w:ind w:firstLine="0"/>
        <w:jc w:val="center"/>
        <w:outlineLvl w:val="7"/>
        <w:rPr>
          <w:b/>
          <w:bCs/>
        </w:rPr>
      </w:pPr>
      <w:r w:rsidRPr="000839A4">
        <w:rPr>
          <w:b/>
          <w:bCs/>
        </w:rPr>
        <w:t>Daňové odpisování</w:t>
      </w:r>
    </w:p>
    <w:p w14:paraId="058B5948" w14:textId="77777777" w:rsidR="000839A4" w:rsidRPr="000839A4" w:rsidRDefault="000839A4" w:rsidP="000839A4">
      <w:pPr>
        <w:keepNext/>
        <w:ind w:firstLine="0"/>
        <w:jc w:val="center"/>
        <w:rPr>
          <w:strike/>
          <w:szCs w:val="24"/>
        </w:rPr>
      </w:pPr>
      <w:r w:rsidRPr="000839A4">
        <w:rPr>
          <w:strike/>
          <w:szCs w:val="24"/>
        </w:rPr>
        <w:t>§ 26</w:t>
      </w:r>
    </w:p>
    <w:p w14:paraId="4DECD1F5" w14:textId="77777777" w:rsidR="000839A4" w:rsidRPr="000839A4" w:rsidRDefault="000839A4" w:rsidP="000839A4">
      <w:pPr>
        <w:spacing w:before="120" w:after="120"/>
        <w:rPr>
          <w:strike/>
          <w:szCs w:val="24"/>
        </w:rPr>
      </w:pPr>
      <w:r w:rsidRPr="000839A4">
        <w:rPr>
          <w:strike/>
          <w:szCs w:val="24"/>
        </w:rPr>
        <w:t xml:space="preserve">(1) Odpisy se stanoví pro účely tohoto zákona podle § 30, 30a, 30b, § 31 nebo § 32 z hmotného majetku, s výjimkou uvedenou v § 27. </w:t>
      </w:r>
    </w:p>
    <w:p w14:paraId="113F83B1" w14:textId="77777777" w:rsidR="000839A4" w:rsidRPr="000839A4" w:rsidRDefault="000839A4" w:rsidP="000839A4">
      <w:pPr>
        <w:spacing w:before="120" w:after="120"/>
        <w:rPr>
          <w:strike/>
          <w:szCs w:val="24"/>
        </w:rPr>
      </w:pPr>
      <w:r w:rsidRPr="000839A4">
        <w:rPr>
          <w:strike/>
          <w:szCs w:val="24"/>
        </w:rPr>
        <w:t xml:space="preserve">(2) Hmotným majetkem se pro účely tohoto zákona rozumí </w:t>
      </w:r>
    </w:p>
    <w:p w14:paraId="4CABCF0D" w14:textId="77777777" w:rsidR="000839A4" w:rsidRPr="000839A4" w:rsidRDefault="000839A4" w:rsidP="000839A4">
      <w:pPr>
        <w:tabs>
          <w:tab w:val="left" w:pos="357"/>
        </w:tabs>
        <w:spacing w:before="0"/>
        <w:ind w:left="357" w:hanging="357"/>
        <w:rPr>
          <w:strike/>
          <w:szCs w:val="24"/>
        </w:rPr>
      </w:pPr>
      <w:r w:rsidRPr="000839A4">
        <w:rPr>
          <w:strike/>
          <w:szCs w:val="24"/>
        </w:rPr>
        <w:t>a)</w:t>
      </w:r>
      <w:r w:rsidRPr="000839A4">
        <w:rPr>
          <w:strike/>
          <w:szCs w:val="24"/>
        </w:rPr>
        <w:tab/>
        <w:t xml:space="preserve">samostatné hmotné movité věci, popřípadě soubory hmotných movitých věcí se samostatným </w:t>
      </w:r>
      <w:proofErr w:type="spellStart"/>
      <w:r w:rsidRPr="000839A4">
        <w:rPr>
          <w:strike/>
          <w:szCs w:val="24"/>
        </w:rPr>
        <w:t>technicko-ekonomickým</w:t>
      </w:r>
      <w:proofErr w:type="spellEnd"/>
      <w:r w:rsidRPr="000839A4">
        <w:rPr>
          <w:strike/>
          <w:szCs w:val="24"/>
        </w:rPr>
        <w:t xml:space="preserve"> určením, jejichž vstupní cena (§ 29) je vyšší než 80 000 Kč a mají provozně-technické funkce delší než jeden rok, </w:t>
      </w:r>
    </w:p>
    <w:p w14:paraId="763316F0" w14:textId="77777777" w:rsidR="000839A4" w:rsidRPr="000839A4" w:rsidRDefault="000839A4" w:rsidP="000839A4">
      <w:pPr>
        <w:tabs>
          <w:tab w:val="left" w:pos="357"/>
        </w:tabs>
        <w:spacing w:before="0"/>
        <w:ind w:left="357" w:hanging="357"/>
        <w:rPr>
          <w:strike/>
          <w:szCs w:val="24"/>
        </w:rPr>
      </w:pPr>
      <w:r w:rsidRPr="000839A4">
        <w:rPr>
          <w:strike/>
          <w:szCs w:val="24"/>
        </w:rPr>
        <w:t>b)</w:t>
      </w:r>
      <w:r w:rsidRPr="000839A4">
        <w:rPr>
          <w:strike/>
          <w:szCs w:val="24"/>
        </w:rPr>
        <w:tab/>
        <w:t xml:space="preserve">budovy, domy a jednotky, </w:t>
      </w:r>
    </w:p>
    <w:p w14:paraId="2103E0A3" w14:textId="77777777" w:rsidR="000839A4" w:rsidRPr="000839A4" w:rsidRDefault="000839A4" w:rsidP="000839A4">
      <w:pPr>
        <w:tabs>
          <w:tab w:val="left" w:pos="357"/>
        </w:tabs>
        <w:spacing w:before="0"/>
        <w:ind w:left="357" w:hanging="357"/>
        <w:rPr>
          <w:strike/>
          <w:szCs w:val="24"/>
        </w:rPr>
      </w:pPr>
      <w:r w:rsidRPr="000839A4">
        <w:rPr>
          <w:strike/>
          <w:szCs w:val="24"/>
        </w:rPr>
        <w:t>c)</w:t>
      </w:r>
      <w:r w:rsidRPr="000839A4">
        <w:rPr>
          <w:strike/>
          <w:szCs w:val="24"/>
        </w:rPr>
        <w:tab/>
        <w:t xml:space="preserve">stavby, s výjimkou </w:t>
      </w:r>
    </w:p>
    <w:p w14:paraId="2CCD92F9" w14:textId="77777777" w:rsidR="000839A4" w:rsidRPr="000839A4" w:rsidRDefault="000839A4" w:rsidP="000839A4">
      <w:pPr>
        <w:tabs>
          <w:tab w:val="left" w:pos="357"/>
        </w:tabs>
        <w:spacing w:before="0"/>
        <w:ind w:left="714" w:hanging="357"/>
        <w:rPr>
          <w:strike/>
          <w:szCs w:val="24"/>
        </w:rPr>
      </w:pPr>
      <w:r w:rsidRPr="000839A4">
        <w:rPr>
          <w:strike/>
          <w:szCs w:val="24"/>
        </w:rPr>
        <w:t>1.</w:t>
      </w:r>
      <w:r w:rsidRPr="000839A4">
        <w:rPr>
          <w:strike/>
          <w:szCs w:val="24"/>
        </w:rPr>
        <w:tab/>
        <w:t xml:space="preserve">provozních důlních děl, </w:t>
      </w:r>
    </w:p>
    <w:p w14:paraId="658C386A" w14:textId="77777777" w:rsidR="000839A4" w:rsidRPr="000839A4" w:rsidRDefault="000839A4" w:rsidP="000839A4">
      <w:pPr>
        <w:tabs>
          <w:tab w:val="left" w:pos="357"/>
        </w:tabs>
        <w:spacing w:before="0"/>
        <w:ind w:left="714" w:hanging="357"/>
        <w:rPr>
          <w:strike/>
          <w:szCs w:val="24"/>
        </w:rPr>
      </w:pPr>
      <w:r w:rsidRPr="000839A4">
        <w:rPr>
          <w:strike/>
          <w:szCs w:val="24"/>
        </w:rPr>
        <w:t>2.</w:t>
      </w:r>
      <w:r w:rsidRPr="000839A4">
        <w:rPr>
          <w:strike/>
          <w:szCs w:val="24"/>
        </w:rPr>
        <w:tab/>
        <w:t xml:space="preserve">drobných staveb na pozemcích určených k plnění funkcí lesa, sloužících k zajišťování provozu lesních školek nebo k provozování myslivosti, pokud jejich zastavěná plocha nepřesahuje 30 m2 a výšku 5 m, </w:t>
      </w:r>
    </w:p>
    <w:p w14:paraId="4F5D322B" w14:textId="77777777" w:rsidR="000839A4" w:rsidRPr="000839A4" w:rsidRDefault="000839A4" w:rsidP="000839A4">
      <w:pPr>
        <w:tabs>
          <w:tab w:val="left" w:pos="357"/>
        </w:tabs>
        <w:spacing w:before="0"/>
        <w:ind w:left="714" w:hanging="357"/>
        <w:rPr>
          <w:strike/>
          <w:szCs w:val="24"/>
        </w:rPr>
      </w:pPr>
      <w:r w:rsidRPr="000839A4">
        <w:rPr>
          <w:strike/>
          <w:szCs w:val="24"/>
        </w:rPr>
        <w:t>3.</w:t>
      </w:r>
      <w:r w:rsidRPr="000839A4">
        <w:rPr>
          <w:strike/>
          <w:szCs w:val="24"/>
        </w:rPr>
        <w:tab/>
        <w:t xml:space="preserve">oplocení sloužícího k zajišťování lesní výroby a myslivosti, které je drobnou stavbou, </w:t>
      </w:r>
    </w:p>
    <w:p w14:paraId="455A7888" w14:textId="77777777" w:rsidR="000839A4" w:rsidRPr="000839A4" w:rsidRDefault="000839A4" w:rsidP="000839A4">
      <w:pPr>
        <w:tabs>
          <w:tab w:val="left" w:pos="357"/>
        </w:tabs>
        <w:spacing w:before="0"/>
        <w:ind w:left="357" w:hanging="357"/>
        <w:rPr>
          <w:strike/>
          <w:szCs w:val="24"/>
        </w:rPr>
      </w:pPr>
      <w:r w:rsidRPr="000839A4">
        <w:rPr>
          <w:strike/>
          <w:szCs w:val="24"/>
        </w:rPr>
        <w:t>d)</w:t>
      </w:r>
      <w:r w:rsidRPr="000839A4">
        <w:rPr>
          <w:strike/>
          <w:szCs w:val="24"/>
        </w:rPr>
        <w:tab/>
        <w:t xml:space="preserve">pěstitelské celky trvalých porostů s dobou plodnosti delší než tři roky vymezené v odstavci 9, </w:t>
      </w:r>
    </w:p>
    <w:p w14:paraId="3ACEDC3D" w14:textId="77777777" w:rsidR="000839A4" w:rsidRPr="000839A4" w:rsidRDefault="000839A4" w:rsidP="000839A4">
      <w:pPr>
        <w:tabs>
          <w:tab w:val="left" w:pos="357"/>
        </w:tabs>
        <w:spacing w:before="0"/>
        <w:ind w:left="357" w:hanging="357"/>
        <w:rPr>
          <w:strike/>
          <w:szCs w:val="24"/>
        </w:rPr>
      </w:pPr>
      <w:r w:rsidRPr="000839A4">
        <w:rPr>
          <w:strike/>
          <w:szCs w:val="24"/>
        </w:rPr>
        <w:lastRenderedPageBreak/>
        <w:t>e)</w:t>
      </w:r>
      <w:r w:rsidRPr="000839A4">
        <w:rPr>
          <w:strike/>
          <w:szCs w:val="24"/>
        </w:rPr>
        <w:tab/>
        <w:t>dospělá zvířata a jejich skupiny</w:t>
      </w:r>
      <w:r w:rsidRPr="000839A4">
        <w:rPr>
          <w:strike/>
          <w:szCs w:val="24"/>
          <w:vertAlign w:val="superscript"/>
        </w:rPr>
        <w:t>20)</w:t>
      </w:r>
      <w:r w:rsidRPr="000839A4">
        <w:rPr>
          <w:strike/>
          <w:szCs w:val="24"/>
        </w:rPr>
        <w:t xml:space="preserve">, jejichž vstupní cena (§ 29) je vyšší než 80 000 Kč, </w:t>
      </w:r>
    </w:p>
    <w:p w14:paraId="2CE3DA0A" w14:textId="77777777" w:rsidR="000839A4" w:rsidRPr="000839A4" w:rsidRDefault="000839A4" w:rsidP="000839A4">
      <w:pPr>
        <w:tabs>
          <w:tab w:val="left" w:pos="357"/>
        </w:tabs>
        <w:spacing w:before="0"/>
        <w:ind w:left="357" w:hanging="357"/>
        <w:rPr>
          <w:strike/>
          <w:szCs w:val="24"/>
        </w:rPr>
      </w:pPr>
      <w:r w:rsidRPr="000839A4">
        <w:rPr>
          <w:strike/>
          <w:szCs w:val="24"/>
        </w:rPr>
        <w:t>f)</w:t>
      </w:r>
      <w:r w:rsidRPr="000839A4">
        <w:rPr>
          <w:strike/>
          <w:szCs w:val="24"/>
        </w:rPr>
        <w:tab/>
        <w:t xml:space="preserve">jiný majetek vymezený v odstavci 3. </w:t>
      </w:r>
    </w:p>
    <w:p w14:paraId="3C308F38" w14:textId="77777777" w:rsidR="000839A4" w:rsidRPr="000839A4" w:rsidRDefault="000839A4" w:rsidP="000839A4">
      <w:pPr>
        <w:spacing w:before="120" w:after="120"/>
        <w:rPr>
          <w:szCs w:val="24"/>
        </w:rPr>
      </w:pPr>
      <w:r w:rsidRPr="000839A4">
        <w:rPr>
          <w:strike/>
          <w:szCs w:val="24"/>
        </w:rPr>
        <w:t xml:space="preserve">Hmotným majetkem pro účely tohoto zákona však nejsou zásoby. Za samostatné hmotné movité věci se považují také výrobní zařízení, jakož i zařízení a předměty sloužící k provozování služeb (výkonů) a účelová zařízení a předměty, která s budovou nebo se stavbou netvoří jeden funkční celek, i když jsou s ní pevně spojeny. Souborem hmotných movitých věcí se samostatným </w:t>
      </w:r>
      <w:proofErr w:type="spellStart"/>
      <w:r w:rsidRPr="000839A4">
        <w:rPr>
          <w:strike/>
          <w:szCs w:val="24"/>
        </w:rPr>
        <w:t>technicko-ekonomickým</w:t>
      </w:r>
      <w:proofErr w:type="spellEnd"/>
      <w:r w:rsidRPr="000839A4">
        <w:rPr>
          <w:strike/>
          <w:szCs w:val="24"/>
        </w:rPr>
        <w:t xml:space="preserve"> určením se rozumí dílčí část výrobního či jiného celku. Soubor hmotných movitých věcí je nutné evidovat zvlášť tak, aby byly zajištěny průkazné technické i hodnotové údaje o jednotlivých věcech zařazených do souboru, určení hlavního funkčního předmětu a o všech změnách souboru (přírůstky, úbytky) včetně údajů o datu změny, rozsahu změny, vstupních cenách jednotlivých přírůstků nebo úbytků, celkové ceny souboru věcí a dále částky odpisů včetně jejich změn vyplývajících ze změny vstupní ceny souboru hmotných movitých věcí. Soubor hmotných movitých věcí se zařazuje do odpisové skupiny podle hlavního funkčního předmětu. </w:t>
      </w:r>
    </w:p>
    <w:p w14:paraId="2DF32C2A" w14:textId="77777777" w:rsidR="000839A4" w:rsidRPr="000839A4" w:rsidRDefault="000839A4" w:rsidP="000839A4">
      <w:pPr>
        <w:spacing w:before="120" w:after="120"/>
        <w:rPr>
          <w:strike/>
          <w:szCs w:val="24"/>
        </w:rPr>
      </w:pPr>
      <w:r w:rsidRPr="000839A4">
        <w:rPr>
          <w:strike/>
          <w:szCs w:val="24"/>
        </w:rPr>
        <w:t xml:space="preserve">(3) Jiným majetkem se pro účely tohoto zákona rozumí </w:t>
      </w:r>
    </w:p>
    <w:p w14:paraId="64F21269" w14:textId="77777777" w:rsidR="000839A4" w:rsidRPr="000839A4" w:rsidRDefault="000839A4" w:rsidP="000839A4">
      <w:pPr>
        <w:tabs>
          <w:tab w:val="left" w:pos="357"/>
        </w:tabs>
        <w:spacing w:before="0"/>
        <w:ind w:left="357" w:hanging="357"/>
        <w:rPr>
          <w:strike/>
          <w:szCs w:val="24"/>
        </w:rPr>
      </w:pPr>
      <w:r w:rsidRPr="000839A4">
        <w:rPr>
          <w:strike/>
          <w:szCs w:val="24"/>
        </w:rPr>
        <w:t>a)</w:t>
      </w:r>
      <w:r w:rsidRPr="000839A4">
        <w:rPr>
          <w:strike/>
          <w:szCs w:val="24"/>
        </w:rPr>
        <w:tab/>
        <w:t xml:space="preserve">technické zhodnocení a výdaje na otvírky nových lomů, pískoven a hlinišť, pokud nezvyšuje vstupní cenu a zůstatkovou cenu hmotného majetku, s výjimkou uvedenou v § 29 odst. 1 písm. f), </w:t>
      </w:r>
    </w:p>
    <w:p w14:paraId="35B9271A" w14:textId="77777777" w:rsidR="000839A4" w:rsidRPr="000839A4" w:rsidRDefault="000839A4" w:rsidP="000839A4">
      <w:pPr>
        <w:tabs>
          <w:tab w:val="left" w:pos="357"/>
        </w:tabs>
        <w:spacing w:before="0"/>
        <w:ind w:left="357" w:hanging="357"/>
        <w:rPr>
          <w:strike/>
          <w:szCs w:val="24"/>
        </w:rPr>
      </w:pPr>
      <w:r w:rsidRPr="000839A4">
        <w:rPr>
          <w:strike/>
          <w:szCs w:val="24"/>
        </w:rPr>
        <w:t>b)</w:t>
      </w:r>
      <w:r w:rsidRPr="000839A4">
        <w:rPr>
          <w:strike/>
          <w:szCs w:val="24"/>
        </w:rPr>
        <w:tab/>
        <w:t>technické rekultivace, pokud zvláštní zákon nestanoví jinak,</w:t>
      </w:r>
      <w:r w:rsidRPr="000839A4">
        <w:rPr>
          <w:strike/>
          <w:szCs w:val="24"/>
          <w:vertAlign w:val="superscript"/>
        </w:rPr>
        <w:t xml:space="preserve"> </w:t>
      </w:r>
      <w:r w:rsidRPr="000839A4">
        <w:rPr>
          <w:strike/>
          <w:szCs w:val="24"/>
          <w:vertAlign w:val="superscript"/>
        </w:rPr>
        <w:footnoteReference w:customMarkFollows="1" w:id="173"/>
        <w:t>29b)</w:t>
      </w:r>
    </w:p>
    <w:p w14:paraId="1B1DEBEF" w14:textId="77777777" w:rsidR="000839A4" w:rsidRPr="000839A4" w:rsidRDefault="000839A4" w:rsidP="000839A4">
      <w:pPr>
        <w:tabs>
          <w:tab w:val="left" w:pos="357"/>
        </w:tabs>
        <w:spacing w:before="0"/>
        <w:ind w:left="357" w:hanging="357"/>
        <w:rPr>
          <w:strike/>
          <w:szCs w:val="24"/>
        </w:rPr>
      </w:pPr>
      <w:r w:rsidRPr="000839A4">
        <w:rPr>
          <w:strike/>
          <w:szCs w:val="24"/>
        </w:rPr>
        <w:t>c)</w:t>
      </w:r>
      <w:r w:rsidRPr="000839A4">
        <w:rPr>
          <w:strike/>
          <w:szCs w:val="24"/>
        </w:rPr>
        <w:tab/>
        <w:t>výdaje hrazené uživatelem, které podle zvláštních předpisů</w:t>
      </w:r>
      <w:r w:rsidRPr="000839A4">
        <w:rPr>
          <w:strike/>
          <w:szCs w:val="24"/>
          <w:vertAlign w:val="superscript"/>
        </w:rPr>
        <w:t>20)</w:t>
      </w:r>
      <w:r w:rsidRPr="000839A4">
        <w:rPr>
          <w:strike/>
          <w:szCs w:val="24"/>
        </w:rPr>
        <w:t xml:space="preserve"> nebo podle daňové evidence tvoří součást ocenění hmotného majetku, který je předmětem finančního leasingu, a které v úhrnu se sjednanou kupní cenou ve smlouvě převýší u movitého majetku hodnotu 80 000 Kč,</w:t>
      </w:r>
    </w:p>
    <w:p w14:paraId="65F10158" w14:textId="77777777" w:rsidR="000839A4" w:rsidRPr="000839A4" w:rsidRDefault="000839A4" w:rsidP="000839A4">
      <w:pPr>
        <w:tabs>
          <w:tab w:val="left" w:pos="357"/>
        </w:tabs>
        <w:spacing w:before="0"/>
        <w:ind w:left="357" w:hanging="357"/>
        <w:rPr>
          <w:strike/>
          <w:szCs w:val="24"/>
        </w:rPr>
      </w:pPr>
      <w:r w:rsidRPr="000839A4">
        <w:rPr>
          <w:strike/>
          <w:szCs w:val="24"/>
        </w:rPr>
        <w:t>d)</w:t>
      </w:r>
      <w:r w:rsidRPr="000839A4">
        <w:rPr>
          <w:strike/>
          <w:szCs w:val="24"/>
        </w:rPr>
        <w:tab/>
        <w:t>právo stavby u poplatníka, který nevede účetnictví.</w:t>
      </w:r>
    </w:p>
    <w:p w14:paraId="69CD7EC8" w14:textId="77777777" w:rsidR="000839A4" w:rsidRPr="000839A4" w:rsidRDefault="000839A4" w:rsidP="000839A4">
      <w:pPr>
        <w:spacing w:before="120" w:after="120"/>
        <w:rPr>
          <w:strike/>
          <w:szCs w:val="24"/>
        </w:rPr>
      </w:pPr>
      <w:r w:rsidRPr="000839A4">
        <w:rPr>
          <w:strike/>
          <w:szCs w:val="24"/>
        </w:rPr>
        <w:t xml:space="preserve">(4) Je-li majetek ve spoluvlastnictví, pak pro posouzení toho, zda dosáhl vstupní ceny uvedené v odstavci 2, je rozhodující vstupní cena, která se rovná součtu hodnot spoluvlastnických podílů u jednotlivých spoluvlastníků, a nikoliv vstupní cena jednotlivého spoluvlastnického podílu. </w:t>
      </w:r>
    </w:p>
    <w:p w14:paraId="0B85BB7E" w14:textId="77777777" w:rsidR="000839A4" w:rsidRPr="000839A4" w:rsidRDefault="000839A4" w:rsidP="000839A4">
      <w:pPr>
        <w:spacing w:before="120" w:after="120"/>
        <w:rPr>
          <w:strike/>
          <w:szCs w:val="24"/>
        </w:rPr>
      </w:pPr>
      <w:r w:rsidRPr="000839A4">
        <w:rPr>
          <w:strike/>
          <w:szCs w:val="24"/>
        </w:rPr>
        <w:t xml:space="preserve">(5) Odpisováním se pro účely tohoto zákona rozumí zahrnování odpisů z hmotného majetku evidovaného u poplatníka, který se vztahuje k zajištění zdanitelného příjmu, do výdajů (nákladů) k zajištění tohoto příjmu. Odpisování lze zahájit po uvedení pořizované věci do stavu způsobilého obvyklému užívání, kterým se rozumí dokončení věci a splnění technických funkcí a povinností stanovených zvláštními právními předpisy pro užívání. Obdobně to platí pro technické zhodnocení (§ 33). Poplatník s příjmy podle § 7 a 9, který nevede účetnictví a uplatňuje výdaje na dosažení, zajištění a udržení příjmů podle § 24, může zahájit odpisování hmotného majetku, jedná-li se o hmotný majetek v daňové evidenci nebo pronajímaný hmotný majetek, evidovaný podle § 9 odst. 6; přitom zvířata z vlastního chovu, nakoupená a darovaná zvířata po dosažení dospělosti zůstávají součástí zásob. </w:t>
      </w:r>
    </w:p>
    <w:p w14:paraId="2476756A" w14:textId="77777777" w:rsidR="000839A4" w:rsidRPr="000839A4" w:rsidRDefault="000839A4" w:rsidP="000839A4">
      <w:pPr>
        <w:spacing w:before="120" w:after="120"/>
        <w:rPr>
          <w:strike/>
          <w:szCs w:val="24"/>
        </w:rPr>
      </w:pPr>
      <w:r w:rsidRPr="000839A4">
        <w:rPr>
          <w:strike/>
          <w:szCs w:val="24"/>
        </w:rPr>
        <w:t xml:space="preserve">(6) Odpis ve výši ročního odpisu vypočteného podle § 31 a 32 lze uplatnit z hmotného majetku evidovaného u poplatníka ke konci příslušného zdaňovacího období s výjimkou uvedenou v odstavci 7 písm. b) až d). Ročním odpisem u poplatníků uvedených v § 17 se rozumí odpis za zdaňovací období. </w:t>
      </w:r>
    </w:p>
    <w:p w14:paraId="6F833687" w14:textId="77777777" w:rsidR="000839A4" w:rsidRPr="000839A4" w:rsidRDefault="000839A4" w:rsidP="000839A4">
      <w:pPr>
        <w:spacing w:before="120" w:after="120"/>
        <w:rPr>
          <w:strike/>
          <w:szCs w:val="24"/>
        </w:rPr>
      </w:pPr>
      <w:r w:rsidRPr="000839A4">
        <w:rPr>
          <w:strike/>
          <w:szCs w:val="24"/>
        </w:rPr>
        <w:lastRenderedPageBreak/>
        <w:t xml:space="preserve">(7) Odpis pouze ve výši jedné poloviny ročního odpisu vypočteného podle § 31 a 32 lze uplatnit </w:t>
      </w:r>
    </w:p>
    <w:p w14:paraId="17CFBCC6" w14:textId="77777777" w:rsidR="000839A4" w:rsidRPr="000839A4" w:rsidRDefault="000839A4" w:rsidP="000839A4">
      <w:pPr>
        <w:tabs>
          <w:tab w:val="left" w:pos="357"/>
        </w:tabs>
        <w:spacing w:before="0"/>
        <w:ind w:left="357" w:hanging="357"/>
        <w:rPr>
          <w:strike/>
          <w:szCs w:val="24"/>
        </w:rPr>
      </w:pPr>
      <w:r w:rsidRPr="000839A4">
        <w:rPr>
          <w:strike/>
          <w:szCs w:val="24"/>
        </w:rPr>
        <w:t>a)</w:t>
      </w:r>
      <w:r w:rsidRPr="000839A4">
        <w:rPr>
          <w:strike/>
          <w:szCs w:val="24"/>
        </w:rPr>
        <w:tab/>
        <w:t xml:space="preserve">z hmotného majetku evidovaného u poplatníka na počátku příslušného zdaňovacího období, dojde-li v průběhu zdaňovacího období </w:t>
      </w:r>
    </w:p>
    <w:p w14:paraId="1789C8C8" w14:textId="77777777" w:rsidR="000839A4" w:rsidRPr="000839A4" w:rsidRDefault="000839A4" w:rsidP="000839A4">
      <w:pPr>
        <w:tabs>
          <w:tab w:val="left" w:pos="357"/>
        </w:tabs>
        <w:spacing w:before="0"/>
        <w:ind w:left="714" w:hanging="357"/>
        <w:rPr>
          <w:strike/>
          <w:szCs w:val="24"/>
        </w:rPr>
      </w:pPr>
      <w:r w:rsidRPr="000839A4">
        <w:rPr>
          <w:strike/>
          <w:szCs w:val="24"/>
        </w:rPr>
        <w:t>1.</w:t>
      </w:r>
      <w:r w:rsidRPr="000839A4">
        <w:rPr>
          <w:strike/>
          <w:szCs w:val="24"/>
        </w:rPr>
        <w:tab/>
        <w:t xml:space="preserve">k vyřazení majetku před koncem zdaňovacího období, pokud již v průběhu zdaňovacího období nebyl uplatněn odpis podle bodů 2 a 3, </w:t>
      </w:r>
    </w:p>
    <w:p w14:paraId="1BE853C3" w14:textId="77777777" w:rsidR="000839A4" w:rsidRPr="000839A4" w:rsidRDefault="000839A4" w:rsidP="000839A4">
      <w:pPr>
        <w:tabs>
          <w:tab w:val="left" w:pos="357"/>
        </w:tabs>
        <w:spacing w:before="0"/>
        <w:ind w:left="714" w:hanging="357"/>
        <w:rPr>
          <w:strike/>
          <w:szCs w:val="24"/>
        </w:rPr>
      </w:pPr>
      <w:r w:rsidRPr="000839A4">
        <w:rPr>
          <w:strike/>
          <w:szCs w:val="24"/>
        </w:rPr>
        <w:t>2.</w:t>
      </w:r>
      <w:r w:rsidRPr="000839A4">
        <w:rPr>
          <w:strike/>
          <w:szCs w:val="24"/>
        </w:rPr>
        <w:tab/>
        <w:t>k převedení majetku na jiné právnické nebo fyzické osoby podle zvláštních právních předpisů,</w:t>
      </w:r>
      <w:r w:rsidRPr="000839A4">
        <w:rPr>
          <w:strike/>
          <w:szCs w:val="24"/>
          <w:vertAlign w:val="superscript"/>
        </w:rPr>
        <w:footnoteReference w:customMarkFollows="1" w:id="174"/>
        <w:t>29a)</w:t>
      </w:r>
      <w:r w:rsidRPr="000839A4">
        <w:rPr>
          <w:strike/>
          <w:szCs w:val="24"/>
        </w:rPr>
        <w:t xml:space="preserve"> který je evidován u poplatníka k datu předcházejícímu dni převodu majetku, </w:t>
      </w:r>
    </w:p>
    <w:p w14:paraId="3AE20EAC" w14:textId="77777777" w:rsidR="000839A4" w:rsidRPr="000839A4" w:rsidRDefault="000839A4" w:rsidP="000839A4">
      <w:pPr>
        <w:tabs>
          <w:tab w:val="left" w:pos="357"/>
        </w:tabs>
        <w:spacing w:before="0"/>
        <w:ind w:left="714" w:hanging="357"/>
        <w:rPr>
          <w:strike/>
          <w:szCs w:val="24"/>
        </w:rPr>
      </w:pPr>
      <w:r w:rsidRPr="000839A4">
        <w:rPr>
          <w:strike/>
          <w:szCs w:val="24"/>
        </w:rPr>
        <w:t>3.</w:t>
      </w:r>
      <w:r w:rsidRPr="000839A4">
        <w:rPr>
          <w:strike/>
          <w:szCs w:val="24"/>
        </w:rPr>
        <w:tab/>
        <w:t xml:space="preserve">k ukončení činnosti, ze které plyne příjem ze samostatné činnosti, nebo k ukončení nájmu, přeměně, zrušení bez likvidace, zániku bez likvidace, zrušení s likvidací, účinkům rozhodnutí o úpadku nebo k přechodu oprávnění nakládat s majetkem náležejícím do majetkové podstaty z insolvenčního správce na daňový subjekt nebo opačně z majetku evidovaného ke dni ukončení činnosti, ze které plyne příjem ze samostatné činnosti, ke dni ukončení nájmu, ke dni předcházejícímu rozhodný den fúze, převodu jmění na společníka nebo rozdělení obchodní korporace a v ostatních případech zrušení bez likvidace ke dni předcházejícímu den zániku, ke dni předcházejícímu první den hospodářského roku nebo kalendářního roku při změně účetního období, ke dni předcházejícímu den vstupu do likvidace nebo ke dni předcházejícímu den, ke kterému nastanou účinky rozhodnutí o úpadku, nebo den přechodu oprávnění nakládat s majetkem náležejícím do majetkové podstaty z insolvenčního správce na daňový subjekt nebo opačně. Obdobně postupuje poplatník uvedený v § 2, který v průběhu zdaňovacího období přerušil činnost, ze které plyne příjem ze samostatné činnosti, nebo nájem a tuto činnost nezahájil do termínu pro podání daňového přiznání za příslušné zdaňovací období, ve kterém byla činnost přerušena, </w:t>
      </w:r>
    </w:p>
    <w:p w14:paraId="0D59A41F" w14:textId="77777777" w:rsidR="000839A4" w:rsidRPr="000839A4" w:rsidRDefault="000839A4" w:rsidP="000839A4">
      <w:pPr>
        <w:tabs>
          <w:tab w:val="left" w:pos="357"/>
        </w:tabs>
        <w:spacing w:before="0"/>
        <w:ind w:left="714" w:hanging="357"/>
        <w:rPr>
          <w:strike/>
          <w:szCs w:val="24"/>
        </w:rPr>
      </w:pPr>
      <w:r w:rsidRPr="000839A4">
        <w:rPr>
          <w:strike/>
          <w:szCs w:val="24"/>
        </w:rPr>
        <w:t>4.</w:t>
      </w:r>
      <w:r w:rsidRPr="000839A4">
        <w:rPr>
          <w:strike/>
          <w:szCs w:val="24"/>
        </w:rPr>
        <w:tab/>
        <w:t xml:space="preserve">k ukončení nájemního vztahu při odpisování technického zhodnocení nájemcem (§ 28 odst. 3) nebo při ukončení výpůjčky movitého hmotného majetku (§ 28 odst. 4), </w:t>
      </w:r>
    </w:p>
    <w:p w14:paraId="42F9DF40" w14:textId="77777777" w:rsidR="000839A4" w:rsidRPr="000839A4" w:rsidRDefault="000839A4" w:rsidP="000839A4">
      <w:pPr>
        <w:tabs>
          <w:tab w:val="left" w:pos="357"/>
        </w:tabs>
        <w:spacing w:before="0"/>
        <w:ind w:left="357" w:hanging="357"/>
        <w:rPr>
          <w:strike/>
          <w:szCs w:val="24"/>
        </w:rPr>
      </w:pPr>
      <w:r w:rsidRPr="000839A4">
        <w:rPr>
          <w:strike/>
          <w:szCs w:val="24"/>
        </w:rPr>
        <w:t>b)</w:t>
      </w:r>
      <w:r w:rsidRPr="000839A4">
        <w:rPr>
          <w:strike/>
          <w:szCs w:val="24"/>
        </w:rPr>
        <w:tab/>
        <w:t xml:space="preserve">z hmotného majetku nabytého v průběhu zdaňovacího období a evidovaného u poplatníka na konci zdaňovacího období, u něhož poplatník pokračuje v odpisování započatém původním </w:t>
      </w:r>
      <w:proofErr w:type="spellStart"/>
      <w:r w:rsidRPr="000839A4">
        <w:rPr>
          <w:strike/>
          <w:szCs w:val="24"/>
        </w:rPr>
        <w:t>odpisovatelem</w:t>
      </w:r>
      <w:proofErr w:type="spellEnd"/>
      <w:r w:rsidRPr="000839A4">
        <w:rPr>
          <w:strike/>
          <w:szCs w:val="24"/>
        </w:rPr>
        <w:t xml:space="preserve"> podle § 30 odst. 10 nebo který odpisuje podle § 30c odst. 2, a z hmotného movitého majetku, k němuž poplatník nabyl vlastnické právo v průběhu zdaňovacího období splněním dluhu, který byl zajištěn převodem práva, a má tento majetek evidován na konci zdaňovacího období, </w:t>
      </w:r>
    </w:p>
    <w:p w14:paraId="06F6779D" w14:textId="77777777" w:rsidR="000839A4" w:rsidRPr="000839A4" w:rsidRDefault="000839A4" w:rsidP="000839A4">
      <w:pPr>
        <w:tabs>
          <w:tab w:val="left" w:pos="357"/>
        </w:tabs>
        <w:spacing w:before="0"/>
        <w:ind w:left="357" w:hanging="357"/>
        <w:rPr>
          <w:strike/>
          <w:szCs w:val="24"/>
        </w:rPr>
      </w:pPr>
      <w:r w:rsidRPr="000839A4">
        <w:rPr>
          <w:strike/>
          <w:szCs w:val="24"/>
        </w:rPr>
        <w:t>c)</w:t>
      </w:r>
      <w:r w:rsidRPr="000839A4">
        <w:rPr>
          <w:strike/>
          <w:szCs w:val="24"/>
        </w:rPr>
        <w:tab/>
        <w:t xml:space="preserve">z hmotného majetku evidovaného po celé zdaňovací období u poplatníka, u něhož v průběhu zdaňovacího období nastaly účinky rozhodnutí o úpadku nebo došlo k přechodu oprávnění nakládat s majetkem náležejícím do majetkové podstaty z insolvenčního správce na daňový subjekt a opačně anebo který v průběhu zdaňovacího období vstoupil do likvidace, </w:t>
      </w:r>
    </w:p>
    <w:p w14:paraId="385781F3" w14:textId="77777777" w:rsidR="000839A4" w:rsidRPr="000839A4" w:rsidRDefault="000839A4" w:rsidP="000839A4">
      <w:pPr>
        <w:tabs>
          <w:tab w:val="left" w:pos="357"/>
        </w:tabs>
        <w:spacing w:before="0"/>
        <w:ind w:left="357" w:hanging="357"/>
        <w:rPr>
          <w:strike/>
          <w:szCs w:val="24"/>
        </w:rPr>
      </w:pPr>
      <w:r w:rsidRPr="000839A4">
        <w:rPr>
          <w:strike/>
          <w:szCs w:val="24"/>
        </w:rPr>
        <w:t>d)</w:t>
      </w:r>
      <w:r w:rsidRPr="000839A4">
        <w:rPr>
          <w:strike/>
          <w:szCs w:val="24"/>
        </w:rPr>
        <w:tab/>
        <w:t xml:space="preserve">z hmotného majetku evidovaného u poplatníka uvedeného v § 17 za zdaňovací období vymezené v § 21a písm. c), je-li toto zdaňovací období kratší než dvanáct měsíců nepřetržitě po sobě jdoucích; toto se nepoužije u hmotného majetku zaevidovaného u poplatníka v průběhu tohoto zdaňovacího období nebo v průběhu části zdaňovacího období předcházející tomuto zdaňovacímu období, za kterou se podává daňové přiznání podle § 38ma odst. 1 písm. a). </w:t>
      </w:r>
    </w:p>
    <w:p w14:paraId="10211ECC" w14:textId="77777777" w:rsidR="000839A4" w:rsidRPr="000839A4" w:rsidRDefault="000839A4" w:rsidP="000839A4">
      <w:pPr>
        <w:spacing w:before="120"/>
        <w:ind w:firstLine="0"/>
        <w:rPr>
          <w:strike/>
          <w:szCs w:val="24"/>
        </w:rPr>
      </w:pPr>
      <w:r w:rsidRPr="000839A4">
        <w:rPr>
          <w:strike/>
          <w:noProof/>
          <w:szCs w:val="24"/>
        </w:rPr>
        <w:lastRenderedPageBreak/>
        <mc:AlternateContent>
          <mc:Choice Requires="wps">
            <w:drawing>
              <wp:anchor distT="0" distB="0" distL="114300" distR="114300" simplePos="0" relativeHeight="251675648" behindDoc="1" locked="0" layoutInCell="1" allowOverlap="1" wp14:anchorId="5A4928D1" wp14:editId="3D1A23A7">
                <wp:simplePos x="0" y="0"/>
                <wp:positionH relativeFrom="column">
                  <wp:posOffset>-132027</wp:posOffset>
                </wp:positionH>
                <wp:positionV relativeFrom="paragraph">
                  <wp:posOffset>966</wp:posOffset>
                </wp:positionV>
                <wp:extent cx="6114553" cy="1158181"/>
                <wp:effectExtent l="0" t="0" r="19685" b="23495"/>
                <wp:wrapNone/>
                <wp:docPr id="34" name="Obdélník 34"/>
                <wp:cNvGraphicFramePr/>
                <a:graphic xmlns:a="http://schemas.openxmlformats.org/drawingml/2006/main">
                  <a:graphicData uri="http://schemas.microsoft.com/office/word/2010/wordprocessingShape">
                    <wps:wsp>
                      <wps:cNvSpPr/>
                      <wps:spPr>
                        <a:xfrm>
                          <a:off x="0" y="0"/>
                          <a:ext cx="6114553" cy="1158181"/>
                        </a:xfrm>
                        <a:prstGeom prst="rect">
                          <a:avLst/>
                        </a:prstGeom>
                        <a:solidFill>
                          <a:sysClr val="window" lastClr="FFFFFF"/>
                        </a:solidFill>
                        <a:ln w="12700" cap="flat" cmpd="sng" algn="ctr">
                          <a:solidFill>
                            <a:srgbClr val="5B9BD5"/>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CEDF34E" id="Obdélník 34" o:spid="_x0000_s1026" style="position:absolute;margin-left:-10.4pt;margin-top:.1pt;width:481.45pt;height:91.2pt;z-index:-2516408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" fillcolor="window" strokecolor="#5b9bd5" strokeweight="1pt"/>
            </w:pict>
          </mc:Fallback>
        </mc:AlternateContent>
      </w:r>
      <w:r w:rsidRPr="000839A4">
        <w:rPr>
          <w:strike/>
          <w:szCs w:val="24"/>
        </w:rPr>
        <w:t xml:space="preserve">Ustanovení tohoto odstavce se použije přiměřeně, dojde-li v průběhu zdaňovacího období </w:t>
      </w:r>
      <w:r w:rsidRPr="000839A4">
        <w:rPr>
          <w:b/>
          <w:strike/>
          <w:color w:val="0070C0"/>
          <w:szCs w:val="24"/>
        </w:rPr>
        <w:t>k přemístění daňového rezidenství poplatníka z České republiky do zahraničí z důvodu přemístění sídla nebo místa svého vedení</w:t>
      </w:r>
      <w:r w:rsidRPr="000839A4">
        <w:rPr>
          <w:strike/>
          <w:szCs w:val="24"/>
        </w:rPr>
        <w:t xml:space="preserve"> nebo ke změně právní formy veřejné obchodní společnosti nebo komanditní společnosti na jinou obchodní korporaci a akciové společnosti nebo společnosti s ručením omezeným anebo družstva na veřejnou obchodní společnost nebo komanditní společnost. </w:t>
      </w:r>
    </w:p>
    <w:p w14:paraId="61A73194" w14:textId="77777777" w:rsidR="000839A4" w:rsidRPr="000839A4" w:rsidRDefault="000839A4" w:rsidP="000839A4">
      <w:pPr>
        <w:spacing w:before="120" w:after="120"/>
        <w:rPr>
          <w:strike/>
          <w:szCs w:val="24"/>
        </w:rPr>
      </w:pPr>
      <w:r w:rsidRPr="000839A4">
        <w:rPr>
          <w:strike/>
          <w:szCs w:val="24"/>
        </w:rPr>
        <w:t>(8) Odpisy pro účely zákona není poplatník povinen uplatnit, přitom odpisování lze i přerušit, ale při dalším odpisování je nutné pokračovat způsobem, jako by odpisování přerušeno nebylo, a to za podmínky, že v době přerušení neuplatní poplatník (vlastník ani nájemce) výdaje paušální částkou podle § 7 nebo § 9. Pokud poplatník (vlastník nebo nájemce) uplatní výdaje paušální částkou nebo je jeho daň rovna paušální dani, nelze za toto zdaňovací období uplatnit odpisy v prokázané výši ani o tuto dobu prodloužit odpisování pro daňové účely. Po dobu uplatňování výdajů paušální částkou a ve zdaňovacím období, za které je jeho daň rovna paušální dani, vede poplatník (vlastník nebo nájemce) odpisy pouze evidenčně.</w:t>
      </w:r>
    </w:p>
    <w:p w14:paraId="6625E0D1" w14:textId="77777777" w:rsidR="000839A4" w:rsidRPr="000839A4" w:rsidRDefault="000839A4" w:rsidP="000839A4">
      <w:pPr>
        <w:spacing w:before="120" w:after="120"/>
        <w:rPr>
          <w:strike/>
          <w:szCs w:val="24"/>
        </w:rPr>
      </w:pPr>
      <w:r w:rsidRPr="000839A4">
        <w:rPr>
          <w:strike/>
          <w:szCs w:val="24"/>
        </w:rPr>
        <w:t xml:space="preserve">(9) Pěstitelskými celky trvalých porostů s dobou plodnosti delší než tři roky se podle odstavce 2 rozumějí </w:t>
      </w:r>
    </w:p>
    <w:p w14:paraId="562E9AE6" w14:textId="77777777" w:rsidR="000839A4" w:rsidRPr="000839A4" w:rsidRDefault="000839A4" w:rsidP="000839A4">
      <w:pPr>
        <w:tabs>
          <w:tab w:val="left" w:pos="357"/>
        </w:tabs>
        <w:spacing w:before="0"/>
        <w:ind w:left="357" w:hanging="357"/>
        <w:rPr>
          <w:strike/>
          <w:szCs w:val="24"/>
        </w:rPr>
      </w:pPr>
      <w:r w:rsidRPr="000839A4">
        <w:rPr>
          <w:strike/>
          <w:szCs w:val="24"/>
        </w:rPr>
        <w:t>a)</w:t>
      </w:r>
      <w:r w:rsidRPr="000839A4">
        <w:rPr>
          <w:strike/>
          <w:szCs w:val="24"/>
        </w:rPr>
        <w:tab/>
        <w:t xml:space="preserve">ovocné stromy vysázené na souvislém pozemku o výměře nad 0,25 ha v hustotě nejméně 90 stromů na 1 ha, </w:t>
      </w:r>
    </w:p>
    <w:p w14:paraId="54F955C0" w14:textId="77777777" w:rsidR="000839A4" w:rsidRPr="000839A4" w:rsidRDefault="000839A4" w:rsidP="000839A4">
      <w:pPr>
        <w:tabs>
          <w:tab w:val="left" w:pos="357"/>
        </w:tabs>
        <w:spacing w:before="0"/>
        <w:ind w:left="357" w:hanging="357"/>
        <w:rPr>
          <w:strike/>
          <w:szCs w:val="24"/>
        </w:rPr>
      </w:pPr>
      <w:r w:rsidRPr="000839A4">
        <w:rPr>
          <w:strike/>
          <w:szCs w:val="24"/>
        </w:rPr>
        <w:t>b)</w:t>
      </w:r>
      <w:r w:rsidRPr="000839A4">
        <w:rPr>
          <w:strike/>
          <w:szCs w:val="24"/>
        </w:rPr>
        <w:tab/>
        <w:t xml:space="preserve">ovocné keře vysázené na souvislém pozemku o výměře nad 0,25 ha v hustotě nejméně 1000 keřů na 1 ha, </w:t>
      </w:r>
    </w:p>
    <w:p w14:paraId="7C5B8BAD" w14:textId="77777777" w:rsidR="000839A4" w:rsidRPr="000839A4" w:rsidRDefault="000839A4" w:rsidP="000839A4">
      <w:pPr>
        <w:tabs>
          <w:tab w:val="left" w:pos="357"/>
        </w:tabs>
        <w:spacing w:before="0"/>
        <w:ind w:left="357" w:hanging="357"/>
        <w:rPr>
          <w:strike/>
          <w:szCs w:val="24"/>
        </w:rPr>
      </w:pPr>
      <w:r w:rsidRPr="000839A4">
        <w:rPr>
          <w:strike/>
          <w:szCs w:val="24"/>
        </w:rPr>
        <w:t>c)</w:t>
      </w:r>
      <w:r w:rsidRPr="000839A4">
        <w:rPr>
          <w:strike/>
          <w:szCs w:val="24"/>
        </w:rPr>
        <w:tab/>
        <w:t xml:space="preserve">chmelnice a vinice. </w:t>
      </w:r>
    </w:p>
    <w:p w14:paraId="5F0A5F63" w14:textId="77777777" w:rsidR="000839A4" w:rsidRPr="000839A4" w:rsidRDefault="000839A4" w:rsidP="000839A4">
      <w:pPr>
        <w:spacing w:before="120" w:after="120"/>
        <w:rPr>
          <w:strike/>
          <w:szCs w:val="24"/>
        </w:rPr>
      </w:pPr>
      <w:r w:rsidRPr="000839A4">
        <w:rPr>
          <w:strike/>
          <w:szCs w:val="24"/>
        </w:rPr>
        <w:t xml:space="preserve">(10) Hmotným majetkem se stávají věci uvedené do stavu způsobilého obvyklému užívání, kterým se rozumí dokončení věci a splnění technických funkcí a povinností stanovených zvláštními právními předpisy pro užívání. </w:t>
      </w:r>
    </w:p>
    <w:p w14:paraId="2BFA3667" w14:textId="77777777" w:rsidR="000839A4" w:rsidRPr="000839A4" w:rsidRDefault="000839A4" w:rsidP="000839A4">
      <w:pPr>
        <w:keepNext/>
        <w:ind w:firstLine="0"/>
        <w:jc w:val="center"/>
        <w:rPr>
          <w:strike/>
          <w:szCs w:val="24"/>
        </w:rPr>
      </w:pPr>
      <w:r w:rsidRPr="000839A4">
        <w:rPr>
          <w:strike/>
          <w:szCs w:val="24"/>
        </w:rPr>
        <w:t>§ 27</w:t>
      </w:r>
    </w:p>
    <w:p w14:paraId="3905D44D" w14:textId="77777777" w:rsidR="000839A4" w:rsidRPr="000839A4" w:rsidRDefault="000839A4" w:rsidP="000839A4">
      <w:pPr>
        <w:spacing w:before="120" w:after="120"/>
        <w:rPr>
          <w:strike/>
          <w:szCs w:val="24"/>
        </w:rPr>
      </w:pPr>
      <w:r w:rsidRPr="000839A4">
        <w:rPr>
          <w:strike/>
          <w:szCs w:val="24"/>
        </w:rPr>
        <w:t xml:space="preserve">Hmotným majetkem vyloučeným z odpisování je </w:t>
      </w:r>
    </w:p>
    <w:p w14:paraId="2FAE615F" w14:textId="77777777" w:rsidR="000839A4" w:rsidRPr="000839A4" w:rsidRDefault="000839A4" w:rsidP="000839A4">
      <w:pPr>
        <w:tabs>
          <w:tab w:val="left" w:pos="357"/>
        </w:tabs>
        <w:spacing w:before="0"/>
        <w:ind w:left="357" w:hanging="357"/>
        <w:rPr>
          <w:strike/>
          <w:szCs w:val="24"/>
        </w:rPr>
      </w:pPr>
      <w:r w:rsidRPr="000839A4">
        <w:rPr>
          <w:strike/>
          <w:szCs w:val="24"/>
        </w:rPr>
        <w:t>a)</w:t>
      </w:r>
      <w:r w:rsidRPr="000839A4">
        <w:rPr>
          <w:strike/>
          <w:szCs w:val="24"/>
        </w:rPr>
        <w:tab/>
        <w:t xml:space="preserve">bezúplatně převedený majetek podle smlouvy o finančním leasingu, pokud výdaje (náklady) související s jeho pořízením nepřevýší 80 000 Kč, </w:t>
      </w:r>
    </w:p>
    <w:p w14:paraId="4FDA335B" w14:textId="77777777" w:rsidR="000839A4" w:rsidRPr="000839A4" w:rsidRDefault="000839A4" w:rsidP="000839A4">
      <w:pPr>
        <w:tabs>
          <w:tab w:val="left" w:pos="357"/>
        </w:tabs>
        <w:spacing w:before="0"/>
        <w:ind w:left="357" w:hanging="357"/>
        <w:rPr>
          <w:strike/>
          <w:szCs w:val="24"/>
        </w:rPr>
      </w:pPr>
      <w:r w:rsidRPr="000839A4">
        <w:rPr>
          <w:strike/>
          <w:szCs w:val="24"/>
        </w:rPr>
        <w:t>b)</w:t>
      </w:r>
      <w:r w:rsidRPr="000839A4">
        <w:rPr>
          <w:strike/>
          <w:szCs w:val="24"/>
        </w:rPr>
        <w:tab/>
        <w:t xml:space="preserve">pěstitelský celek trvalých porostů s dobou plodnosti delší než 3 roky, jež nedosáhl plodonosného stáří, </w:t>
      </w:r>
    </w:p>
    <w:p w14:paraId="00F10C98" w14:textId="77777777" w:rsidR="000839A4" w:rsidRPr="000839A4" w:rsidRDefault="000839A4" w:rsidP="000839A4">
      <w:pPr>
        <w:tabs>
          <w:tab w:val="left" w:pos="357"/>
        </w:tabs>
        <w:spacing w:before="0"/>
        <w:ind w:left="357" w:hanging="357"/>
        <w:rPr>
          <w:strike/>
          <w:szCs w:val="24"/>
        </w:rPr>
      </w:pPr>
      <w:r w:rsidRPr="000839A4">
        <w:rPr>
          <w:strike/>
          <w:szCs w:val="24"/>
        </w:rPr>
        <w:t>c)</w:t>
      </w:r>
      <w:r w:rsidRPr="000839A4">
        <w:rPr>
          <w:strike/>
          <w:szCs w:val="24"/>
        </w:rPr>
        <w:tab/>
      </w:r>
      <w:proofErr w:type="spellStart"/>
      <w:r w:rsidRPr="000839A4">
        <w:rPr>
          <w:strike/>
          <w:szCs w:val="24"/>
        </w:rPr>
        <w:t>hydromeliorace</w:t>
      </w:r>
      <w:proofErr w:type="spellEnd"/>
      <w:r w:rsidRPr="000839A4">
        <w:rPr>
          <w:strike/>
          <w:szCs w:val="24"/>
        </w:rPr>
        <w:t xml:space="preserve"> do 2 let po jejím dokončení, </w:t>
      </w:r>
    </w:p>
    <w:p w14:paraId="3A7CD13A" w14:textId="77777777" w:rsidR="000839A4" w:rsidRPr="000839A4" w:rsidRDefault="000839A4" w:rsidP="000839A4">
      <w:pPr>
        <w:tabs>
          <w:tab w:val="left" w:pos="357"/>
        </w:tabs>
        <w:spacing w:before="0"/>
        <w:ind w:left="357" w:hanging="357"/>
        <w:rPr>
          <w:strike/>
          <w:szCs w:val="24"/>
        </w:rPr>
      </w:pPr>
      <w:r w:rsidRPr="000839A4">
        <w:rPr>
          <w:strike/>
          <w:szCs w:val="24"/>
        </w:rPr>
        <w:t>d)</w:t>
      </w:r>
      <w:r w:rsidRPr="000839A4">
        <w:rPr>
          <w:strike/>
          <w:szCs w:val="24"/>
        </w:rPr>
        <w:tab/>
        <w:t xml:space="preserve">umělecké dílo, které je hmotným majetkem a není součástí stavby a budovy, předměty muzejní a galerijní hodnoty, popřípadě jejich soubory v muzeích a památkových objektech, stálé výstavní soubory a knihovní fondy knihoven jednotné soustavy, popřípadě jiné fondy, </w:t>
      </w:r>
    </w:p>
    <w:p w14:paraId="617365C7" w14:textId="77777777" w:rsidR="000839A4" w:rsidRPr="000839A4" w:rsidRDefault="000839A4" w:rsidP="000839A4">
      <w:pPr>
        <w:tabs>
          <w:tab w:val="left" w:pos="357"/>
        </w:tabs>
        <w:spacing w:before="0"/>
        <w:ind w:left="357" w:hanging="357"/>
        <w:rPr>
          <w:strike/>
          <w:szCs w:val="24"/>
        </w:rPr>
      </w:pPr>
      <w:r w:rsidRPr="000839A4">
        <w:rPr>
          <w:strike/>
          <w:szCs w:val="24"/>
        </w:rPr>
        <w:t>e)</w:t>
      </w:r>
      <w:r w:rsidRPr="000839A4">
        <w:rPr>
          <w:strike/>
          <w:szCs w:val="24"/>
        </w:rPr>
        <w:tab/>
        <w:t xml:space="preserve">movitá kulturní památka a soubory movitých kulturních památek, </w:t>
      </w:r>
    </w:p>
    <w:p w14:paraId="23146214" w14:textId="77777777" w:rsidR="000839A4" w:rsidRPr="000839A4" w:rsidRDefault="000839A4" w:rsidP="000839A4">
      <w:pPr>
        <w:tabs>
          <w:tab w:val="left" w:pos="357"/>
        </w:tabs>
        <w:spacing w:before="0"/>
        <w:ind w:left="357" w:hanging="357"/>
        <w:rPr>
          <w:strike/>
          <w:szCs w:val="24"/>
        </w:rPr>
      </w:pPr>
      <w:r w:rsidRPr="000839A4">
        <w:rPr>
          <w:strike/>
          <w:szCs w:val="24"/>
        </w:rPr>
        <w:t>f)</w:t>
      </w:r>
      <w:r w:rsidRPr="000839A4">
        <w:rPr>
          <w:strike/>
          <w:szCs w:val="24"/>
        </w:rPr>
        <w:tab/>
        <w:t xml:space="preserve">hmotný majetek převzatý povinně bezúplatně podle zvláštních právních předpisů, </w:t>
      </w:r>
    </w:p>
    <w:p w14:paraId="60036A7C" w14:textId="77777777" w:rsidR="000839A4" w:rsidRPr="000839A4" w:rsidRDefault="000839A4" w:rsidP="000839A4">
      <w:pPr>
        <w:tabs>
          <w:tab w:val="left" w:pos="357"/>
        </w:tabs>
        <w:spacing w:before="0"/>
        <w:ind w:left="357" w:hanging="357"/>
        <w:rPr>
          <w:strike/>
          <w:szCs w:val="24"/>
        </w:rPr>
      </w:pPr>
      <w:r w:rsidRPr="000839A4">
        <w:rPr>
          <w:strike/>
          <w:szCs w:val="24"/>
        </w:rPr>
        <w:t>g)</w:t>
      </w:r>
      <w:r w:rsidRPr="000839A4">
        <w:rPr>
          <w:strike/>
          <w:szCs w:val="24"/>
        </w:rPr>
        <w:tab/>
        <w:t>inventarizační přebytky hmotného majetku zjištěné podle zvláštního právního předpisu</w:t>
      </w:r>
      <w:r w:rsidRPr="000839A4">
        <w:rPr>
          <w:strike/>
          <w:szCs w:val="24"/>
          <w:vertAlign w:val="superscript"/>
        </w:rPr>
        <w:t>20)</w:t>
      </w:r>
      <w:r w:rsidRPr="000839A4">
        <w:rPr>
          <w:strike/>
          <w:szCs w:val="24"/>
        </w:rPr>
        <w:t xml:space="preserve">, pokud nebyly při zjištění zaúčtovány ve prospěch výnosů, </w:t>
      </w:r>
    </w:p>
    <w:p w14:paraId="7E191359" w14:textId="77777777" w:rsidR="000839A4" w:rsidRPr="000839A4" w:rsidRDefault="000839A4" w:rsidP="000839A4">
      <w:pPr>
        <w:tabs>
          <w:tab w:val="left" w:pos="357"/>
        </w:tabs>
        <w:spacing w:before="0"/>
        <w:ind w:left="357" w:hanging="357"/>
        <w:rPr>
          <w:strike/>
          <w:szCs w:val="24"/>
        </w:rPr>
      </w:pPr>
      <w:r w:rsidRPr="000839A4">
        <w:rPr>
          <w:strike/>
          <w:szCs w:val="24"/>
        </w:rPr>
        <w:t>h)</w:t>
      </w:r>
      <w:r w:rsidRPr="000839A4">
        <w:rPr>
          <w:strike/>
          <w:szCs w:val="24"/>
        </w:rPr>
        <w:tab/>
        <w:t xml:space="preserve">hmotný movitý majetek nabytý věřitelem v důsledku zajištění dluhu převodem práva, a to po dobu zajištění tohoto dluhu a za předpokladu, že jej po tuto dobu bude odpisovat původní </w:t>
      </w:r>
      <w:proofErr w:type="spellStart"/>
      <w:r w:rsidRPr="000839A4">
        <w:rPr>
          <w:strike/>
          <w:szCs w:val="24"/>
        </w:rPr>
        <w:t>odpisovatel</w:t>
      </w:r>
      <w:proofErr w:type="spellEnd"/>
      <w:r w:rsidRPr="000839A4">
        <w:rPr>
          <w:strike/>
          <w:szCs w:val="24"/>
        </w:rPr>
        <w:t xml:space="preserve">, uzavře-li s věřitelem smlouvu o výpůjčce, </w:t>
      </w:r>
    </w:p>
    <w:p w14:paraId="23084AA6" w14:textId="77777777" w:rsidR="000839A4" w:rsidRPr="000839A4" w:rsidRDefault="000839A4" w:rsidP="000839A4">
      <w:pPr>
        <w:tabs>
          <w:tab w:val="left" w:pos="357"/>
        </w:tabs>
        <w:spacing w:before="0"/>
        <w:ind w:left="357" w:hanging="357"/>
        <w:rPr>
          <w:strike/>
          <w:szCs w:val="24"/>
        </w:rPr>
      </w:pPr>
      <w:r w:rsidRPr="000839A4">
        <w:rPr>
          <w:strike/>
          <w:szCs w:val="24"/>
        </w:rPr>
        <w:t>ch)</w:t>
      </w:r>
      <w:r w:rsidRPr="000839A4">
        <w:rPr>
          <w:strike/>
          <w:szCs w:val="24"/>
        </w:rPr>
        <w:tab/>
        <w:t xml:space="preserve">zrušeno, </w:t>
      </w:r>
    </w:p>
    <w:p w14:paraId="10248BF6" w14:textId="77777777" w:rsidR="000839A4" w:rsidRPr="000839A4" w:rsidRDefault="000839A4" w:rsidP="000839A4">
      <w:pPr>
        <w:tabs>
          <w:tab w:val="left" w:pos="357"/>
        </w:tabs>
        <w:spacing w:before="0"/>
        <w:ind w:left="357" w:hanging="357"/>
        <w:rPr>
          <w:strike/>
          <w:szCs w:val="24"/>
        </w:rPr>
      </w:pPr>
      <w:r w:rsidRPr="000839A4">
        <w:rPr>
          <w:strike/>
          <w:szCs w:val="24"/>
        </w:rPr>
        <w:t>i)</w:t>
      </w:r>
      <w:r w:rsidRPr="000839A4">
        <w:rPr>
          <w:strike/>
          <w:szCs w:val="24"/>
        </w:rPr>
        <w:tab/>
        <w:t xml:space="preserve">hmotný majetek, u něhož odpisy nebo zahraniční položky obdobného charakteru jako odpisy uplatňuje jiná osoba než </w:t>
      </w:r>
      <w:proofErr w:type="spellStart"/>
      <w:r w:rsidRPr="000839A4">
        <w:rPr>
          <w:strike/>
          <w:szCs w:val="24"/>
        </w:rPr>
        <w:t>odpisovatel</w:t>
      </w:r>
      <w:proofErr w:type="spellEnd"/>
      <w:r w:rsidRPr="000839A4">
        <w:rPr>
          <w:strike/>
          <w:szCs w:val="24"/>
        </w:rPr>
        <w:t xml:space="preserve"> podle tohoto zákona, jde-li o </w:t>
      </w:r>
    </w:p>
    <w:p w14:paraId="651A250C" w14:textId="77777777" w:rsidR="000839A4" w:rsidRPr="000839A4" w:rsidRDefault="000839A4" w:rsidP="000839A4">
      <w:pPr>
        <w:tabs>
          <w:tab w:val="left" w:pos="357"/>
        </w:tabs>
        <w:spacing w:before="0"/>
        <w:ind w:left="714" w:hanging="357"/>
        <w:rPr>
          <w:strike/>
          <w:szCs w:val="24"/>
        </w:rPr>
      </w:pPr>
      <w:r w:rsidRPr="000839A4">
        <w:rPr>
          <w:strike/>
          <w:szCs w:val="24"/>
        </w:rPr>
        <w:t>1.</w:t>
      </w:r>
      <w:r w:rsidRPr="000839A4">
        <w:rPr>
          <w:strike/>
          <w:szCs w:val="24"/>
        </w:rPr>
        <w:tab/>
        <w:t xml:space="preserve">pronajatý hmotný majetek, </w:t>
      </w:r>
    </w:p>
    <w:p w14:paraId="370C1E8B" w14:textId="77777777" w:rsidR="000839A4" w:rsidRPr="000839A4" w:rsidRDefault="000839A4" w:rsidP="000839A4">
      <w:pPr>
        <w:tabs>
          <w:tab w:val="left" w:pos="357"/>
        </w:tabs>
        <w:spacing w:before="0"/>
        <w:ind w:left="714" w:hanging="357"/>
        <w:rPr>
          <w:strike/>
          <w:szCs w:val="24"/>
        </w:rPr>
      </w:pPr>
      <w:r w:rsidRPr="000839A4">
        <w:rPr>
          <w:strike/>
          <w:szCs w:val="24"/>
        </w:rPr>
        <w:t>2.</w:t>
      </w:r>
      <w:r w:rsidRPr="000839A4">
        <w:rPr>
          <w:strike/>
          <w:szCs w:val="24"/>
        </w:rPr>
        <w:tab/>
        <w:t xml:space="preserve">hmotný majetek, který je předmětem finančního leasingu, </w:t>
      </w:r>
    </w:p>
    <w:p w14:paraId="66FC8486" w14:textId="77777777" w:rsidR="000839A4" w:rsidRPr="000839A4" w:rsidRDefault="000839A4" w:rsidP="000839A4">
      <w:pPr>
        <w:tabs>
          <w:tab w:val="left" w:pos="357"/>
        </w:tabs>
        <w:spacing w:before="0"/>
        <w:ind w:left="357" w:hanging="357"/>
        <w:rPr>
          <w:strike/>
          <w:szCs w:val="24"/>
        </w:rPr>
      </w:pPr>
      <w:r w:rsidRPr="000839A4">
        <w:rPr>
          <w:strike/>
          <w:szCs w:val="24"/>
        </w:rPr>
        <w:lastRenderedPageBreak/>
        <w:t>j)</w:t>
      </w:r>
      <w:r w:rsidRPr="000839A4">
        <w:rPr>
          <w:strike/>
          <w:szCs w:val="24"/>
        </w:rPr>
        <w:tab/>
        <w:t xml:space="preserve">hmotný majetek nabytý darováním, plněním ze </w:t>
      </w:r>
      <w:proofErr w:type="spellStart"/>
      <w:r w:rsidRPr="000839A4">
        <w:rPr>
          <w:strike/>
          <w:szCs w:val="24"/>
        </w:rPr>
        <w:t>svěřenského</w:t>
      </w:r>
      <w:proofErr w:type="spellEnd"/>
      <w:r w:rsidRPr="000839A4">
        <w:rPr>
          <w:strike/>
          <w:szCs w:val="24"/>
        </w:rPr>
        <w:t xml:space="preserve"> fondu nebo z rodinné fundace, jehož nabytí bylo od daně z příjmů osvobozeno nebo nebylo předmětem daně.</w:t>
      </w:r>
    </w:p>
    <w:p w14:paraId="0074F435" w14:textId="77777777" w:rsidR="000839A4" w:rsidRPr="000839A4" w:rsidRDefault="000839A4" w:rsidP="000839A4">
      <w:pPr>
        <w:keepNext/>
        <w:ind w:firstLine="0"/>
        <w:jc w:val="center"/>
        <w:rPr>
          <w:strike/>
          <w:szCs w:val="24"/>
        </w:rPr>
      </w:pPr>
      <w:r w:rsidRPr="000839A4">
        <w:rPr>
          <w:strike/>
          <w:szCs w:val="24"/>
        </w:rPr>
        <w:t>§ 28</w:t>
      </w:r>
    </w:p>
    <w:p w14:paraId="21C93B78" w14:textId="77777777" w:rsidR="000839A4" w:rsidRPr="000839A4" w:rsidRDefault="000839A4" w:rsidP="000839A4">
      <w:pPr>
        <w:spacing w:before="120" w:after="120"/>
        <w:rPr>
          <w:strike/>
          <w:szCs w:val="24"/>
        </w:rPr>
      </w:pPr>
      <w:r w:rsidRPr="000839A4">
        <w:rPr>
          <w:strike/>
          <w:szCs w:val="24"/>
        </w:rPr>
        <w:t xml:space="preserve">(1) Hmotný majetek odpisuje </w:t>
      </w:r>
      <w:proofErr w:type="spellStart"/>
      <w:r w:rsidRPr="000839A4">
        <w:rPr>
          <w:strike/>
          <w:szCs w:val="24"/>
        </w:rPr>
        <w:t>odpisovatel</w:t>
      </w:r>
      <w:proofErr w:type="spellEnd"/>
      <w:r w:rsidRPr="000839A4">
        <w:rPr>
          <w:strike/>
          <w:szCs w:val="24"/>
        </w:rPr>
        <w:t xml:space="preserve">. Hmotný majetek je oprávněn odpisovat vždy pouze jeden poplatník. </w:t>
      </w:r>
      <w:proofErr w:type="spellStart"/>
      <w:r w:rsidRPr="000839A4">
        <w:rPr>
          <w:strike/>
          <w:szCs w:val="24"/>
        </w:rPr>
        <w:t>Odpisovatelem</w:t>
      </w:r>
      <w:proofErr w:type="spellEnd"/>
      <w:r w:rsidRPr="000839A4">
        <w:rPr>
          <w:strike/>
          <w:szCs w:val="24"/>
        </w:rPr>
        <w:t xml:space="preserve"> je </w:t>
      </w:r>
    </w:p>
    <w:p w14:paraId="3FFB367F" w14:textId="77777777" w:rsidR="000839A4" w:rsidRPr="000839A4" w:rsidRDefault="000839A4" w:rsidP="000839A4">
      <w:pPr>
        <w:tabs>
          <w:tab w:val="left" w:pos="357"/>
        </w:tabs>
        <w:spacing w:before="0"/>
        <w:ind w:left="357" w:hanging="357"/>
        <w:rPr>
          <w:strike/>
          <w:szCs w:val="24"/>
        </w:rPr>
      </w:pPr>
      <w:r w:rsidRPr="000839A4">
        <w:rPr>
          <w:strike/>
          <w:szCs w:val="24"/>
        </w:rPr>
        <w:t>a)</w:t>
      </w:r>
      <w:r w:rsidRPr="000839A4">
        <w:rPr>
          <w:strike/>
          <w:szCs w:val="24"/>
        </w:rPr>
        <w:tab/>
        <w:t xml:space="preserve">poplatník, který má k hmotnému majetku vlastnické právo, </w:t>
      </w:r>
    </w:p>
    <w:p w14:paraId="23668B8E" w14:textId="77777777" w:rsidR="000839A4" w:rsidRPr="000839A4" w:rsidRDefault="000839A4" w:rsidP="000839A4">
      <w:pPr>
        <w:tabs>
          <w:tab w:val="left" w:pos="357"/>
        </w:tabs>
        <w:spacing w:before="0"/>
        <w:ind w:left="357" w:hanging="357"/>
        <w:rPr>
          <w:strike/>
          <w:szCs w:val="24"/>
        </w:rPr>
      </w:pPr>
      <w:r w:rsidRPr="000839A4">
        <w:rPr>
          <w:strike/>
          <w:szCs w:val="24"/>
        </w:rPr>
        <w:t>b)</w:t>
      </w:r>
      <w:r w:rsidRPr="000839A4">
        <w:rPr>
          <w:strike/>
          <w:szCs w:val="24"/>
        </w:rPr>
        <w:tab/>
        <w:t xml:space="preserve">organizační složka státu příslušná hospodařit s majetkem státu, </w:t>
      </w:r>
    </w:p>
    <w:p w14:paraId="3004877A" w14:textId="77777777" w:rsidR="000839A4" w:rsidRPr="000839A4" w:rsidRDefault="000839A4" w:rsidP="000839A4">
      <w:pPr>
        <w:tabs>
          <w:tab w:val="left" w:pos="357"/>
        </w:tabs>
        <w:spacing w:before="0"/>
        <w:ind w:left="357" w:hanging="357"/>
        <w:rPr>
          <w:strike/>
          <w:szCs w:val="24"/>
        </w:rPr>
      </w:pPr>
      <w:r w:rsidRPr="000839A4">
        <w:rPr>
          <w:strike/>
          <w:szCs w:val="24"/>
        </w:rPr>
        <w:t>c)</w:t>
      </w:r>
      <w:r w:rsidRPr="000839A4">
        <w:rPr>
          <w:strike/>
          <w:szCs w:val="24"/>
        </w:rPr>
        <w:tab/>
        <w:t>státní příspěvková organizace, státní podnik nebo jiná státní organizace příslušná hospodařit nebo s právem hospodařit s majetkem státu,</w:t>
      </w:r>
    </w:p>
    <w:p w14:paraId="38CE1256" w14:textId="77777777" w:rsidR="000839A4" w:rsidRPr="000839A4" w:rsidRDefault="000839A4" w:rsidP="000839A4">
      <w:pPr>
        <w:tabs>
          <w:tab w:val="left" w:pos="357"/>
        </w:tabs>
        <w:spacing w:before="0"/>
        <w:ind w:left="357" w:hanging="357"/>
        <w:rPr>
          <w:strike/>
          <w:szCs w:val="24"/>
        </w:rPr>
      </w:pPr>
      <w:r w:rsidRPr="000839A4">
        <w:rPr>
          <w:strike/>
          <w:szCs w:val="24"/>
        </w:rPr>
        <w:t>d)</w:t>
      </w:r>
      <w:r w:rsidRPr="000839A4">
        <w:rPr>
          <w:strike/>
          <w:szCs w:val="24"/>
        </w:rPr>
        <w:tab/>
        <w:t>příspěvková organizace zřízená územním samosprávným celkem u hmotného majetku předaného zřizovatelem k hospodaření,</w:t>
      </w:r>
    </w:p>
    <w:p w14:paraId="54A23DDD" w14:textId="77777777" w:rsidR="000839A4" w:rsidRPr="000839A4" w:rsidRDefault="000839A4" w:rsidP="000839A4">
      <w:pPr>
        <w:tabs>
          <w:tab w:val="left" w:pos="357"/>
        </w:tabs>
        <w:spacing w:before="0"/>
        <w:ind w:left="357" w:hanging="357"/>
        <w:rPr>
          <w:strike/>
          <w:szCs w:val="24"/>
        </w:rPr>
      </w:pPr>
      <w:r w:rsidRPr="000839A4">
        <w:rPr>
          <w:b/>
          <w:bCs/>
          <w:strike/>
          <w:noProof/>
          <w:color w:val="00B050"/>
          <w:szCs w:val="24"/>
        </w:rPr>
        <mc:AlternateContent>
          <mc:Choice Requires="wps">
            <w:drawing>
              <wp:anchor distT="0" distB="0" distL="114300" distR="114300" simplePos="0" relativeHeight="251699200" behindDoc="1" locked="0" layoutInCell="1" allowOverlap="1" wp14:anchorId="49EBB135" wp14:editId="450ED4BF">
                <wp:simplePos x="0" y="0"/>
                <wp:positionH relativeFrom="margin">
                  <wp:posOffset>-78238</wp:posOffset>
                </wp:positionH>
                <wp:positionV relativeFrom="paragraph">
                  <wp:posOffset>188328</wp:posOffset>
                </wp:positionV>
                <wp:extent cx="5901337" cy="439240"/>
                <wp:effectExtent l="0" t="0" r="23495" b="18415"/>
                <wp:wrapNone/>
                <wp:docPr id="27" name="Obdélník 27"/>
                <wp:cNvGraphicFramePr/>
                <a:graphic xmlns:a="http://schemas.openxmlformats.org/drawingml/2006/main">
                  <a:graphicData uri="http://schemas.microsoft.com/office/word/2010/wordprocessingShape">
                    <wps:wsp>
                      <wps:cNvSpPr/>
                      <wps:spPr>
                        <a:xfrm>
                          <a:off x="0" y="0"/>
                          <a:ext cx="5901337" cy="439240"/>
                        </a:xfrm>
                        <a:prstGeom prst="rect">
                          <a:avLst/>
                        </a:prstGeom>
                        <a:solidFill>
                          <a:sysClr val="window" lastClr="FFFFFF"/>
                        </a:solidFill>
                        <a:ln w="12700" cap="flat" cmpd="sng" algn="ctr">
                          <a:solidFill>
                            <a:srgbClr val="ED7D31"/>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605BF97" id="Obdélník 27" o:spid="_x0000_s1026" style="position:absolute;margin-left:-6.15pt;margin-top:14.85pt;width:464.65pt;height:34.6pt;z-index:-2516172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" fillcolor="window" strokecolor="#ed7d31" strokeweight="1pt">
                <w10:wrap anchorx="margin"/>
              </v:rect>
            </w:pict>
          </mc:Fallback>
        </mc:AlternateContent>
      </w:r>
      <w:r w:rsidRPr="000839A4">
        <w:rPr>
          <w:strike/>
          <w:szCs w:val="24"/>
        </w:rPr>
        <w:t>e)</w:t>
      </w:r>
      <w:r w:rsidRPr="000839A4">
        <w:rPr>
          <w:strike/>
          <w:szCs w:val="24"/>
        </w:rPr>
        <w:tab/>
        <w:t>dobrovolný svazek obcí u hmotného majetku vloženého členskou obcí,</w:t>
      </w:r>
    </w:p>
    <w:p w14:paraId="6F2C3235" w14:textId="77777777" w:rsidR="000839A4" w:rsidRPr="000839A4" w:rsidRDefault="000839A4" w:rsidP="000839A4">
      <w:pPr>
        <w:tabs>
          <w:tab w:val="left" w:pos="357"/>
        </w:tabs>
        <w:spacing w:before="0"/>
        <w:ind w:left="357" w:hanging="357"/>
        <w:rPr>
          <w:b/>
          <w:strike/>
          <w:szCs w:val="24"/>
        </w:rPr>
      </w:pPr>
      <w:r w:rsidRPr="000839A4">
        <w:rPr>
          <w:b/>
          <w:strike/>
          <w:szCs w:val="24"/>
        </w:rPr>
        <w:t>f)</w:t>
      </w:r>
      <w:r w:rsidRPr="000839A4">
        <w:rPr>
          <w:b/>
          <w:strike/>
          <w:szCs w:val="24"/>
        </w:rPr>
        <w:tab/>
      </w:r>
      <w:r w:rsidRPr="000839A4">
        <w:rPr>
          <w:b/>
          <w:strike/>
          <w:noProof/>
          <w:szCs w:val="24"/>
          <w:lang w:val="en-US" w:eastAsia="ar-SA"/>
        </w:rPr>
        <w:t>veřejná kulturní instituce u hmotného majetku předaného zřizovatelem k hospodaření,</w:t>
      </w:r>
    </w:p>
    <w:p w14:paraId="0D8EFCD0" w14:textId="164C9923" w:rsidR="000839A4" w:rsidRPr="000839A4" w:rsidRDefault="001C7AED" w:rsidP="000839A4">
      <w:pPr>
        <w:tabs>
          <w:tab w:val="left" w:pos="2187"/>
        </w:tabs>
        <w:spacing w:before="0"/>
        <w:ind w:firstLine="0"/>
        <w:rPr>
          <w:szCs w:val="24"/>
        </w:rPr>
      </w:pPr>
      <w:r w:rsidRPr="000839A4">
        <w:rPr>
          <w:b/>
          <w:bCs/>
          <w:noProof/>
          <w:color w:val="00B050"/>
          <w:szCs w:val="24"/>
        </w:rPr>
        <mc:AlternateContent>
          <mc:Choice Requires="wps">
            <w:drawing>
              <wp:anchor distT="0" distB="0" distL="114300" distR="114300" simplePos="0" relativeHeight="251696128" behindDoc="1" locked="0" layoutInCell="1" allowOverlap="1" wp14:anchorId="21BA8B0F" wp14:editId="5207875B">
                <wp:simplePos x="0" y="0"/>
                <wp:positionH relativeFrom="margin">
                  <wp:posOffset>-132027</wp:posOffset>
                </wp:positionH>
                <wp:positionV relativeFrom="paragraph">
                  <wp:posOffset>185511</wp:posOffset>
                </wp:positionV>
                <wp:extent cx="6003290" cy="2320364"/>
                <wp:effectExtent l="0" t="0" r="16510" b="22860"/>
                <wp:wrapNone/>
                <wp:docPr id="22" name="Obdélník 22"/>
                <wp:cNvGraphicFramePr/>
                <a:graphic xmlns:a="http://schemas.openxmlformats.org/drawingml/2006/main">
                  <a:graphicData uri="http://schemas.microsoft.com/office/word/2010/wordprocessingShape">
                    <wps:wsp>
                      <wps:cNvSpPr/>
                      <wps:spPr>
                        <a:xfrm>
                          <a:off x="0" y="0"/>
                          <a:ext cx="6003290" cy="2320364"/>
                        </a:xfrm>
                        <a:prstGeom prst="rect">
                          <a:avLst/>
                        </a:prstGeom>
                        <a:solidFill>
                          <a:sysClr val="window" lastClr="FFFFFF"/>
                        </a:solid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73DBA0B" id="Obdélník 22" o:spid="_x0000_s1026" style="position:absolute;margin-left:-10.4pt;margin-top:14.6pt;width:472.7pt;height:182.7pt;z-index:-2516203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" fillcolor="window" strokecolor="#00b050" strokeweight="1pt">
                <w10:wrap anchorx="margin"/>
              </v:rect>
            </w:pict>
          </mc:Fallback>
        </mc:AlternateContent>
      </w:r>
      <w:r w:rsidR="000839A4" w:rsidRPr="000839A4">
        <w:rPr>
          <w:szCs w:val="24"/>
        </w:rPr>
        <w:tab/>
      </w:r>
    </w:p>
    <w:p w14:paraId="41857E38" w14:textId="673CB2DD" w:rsidR="000839A4" w:rsidRPr="000839A4" w:rsidRDefault="000839A4" w:rsidP="001C7AED">
      <w:pPr>
        <w:tabs>
          <w:tab w:val="left" w:pos="357"/>
        </w:tabs>
        <w:spacing w:before="0"/>
        <w:ind w:left="357" w:hanging="357"/>
        <w:rPr>
          <w:strike/>
          <w:szCs w:val="24"/>
        </w:rPr>
      </w:pPr>
      <w:r w:rsidRPr="000839A4">
        <w:rPr>
          <w:strike/>
          <w:szCs w:val="24"/>
        </w:rPr>
        <w:t>f)</w:t>
      </w:r>
      <w:r w:rsidRPr="000839A4">
        <w:rPr>
          <w:b/>
          <w:strike/>
          <w:szCs w:val="24"/>
        </w:rPr>
        <w:t>g)</w:t>
      </w:r>
      <w:r w:rsidRPr="000839A4">
        <w:rPr>
          <w:strike/>
          <w:szCs w:val="24"/>
        </w:rPr>
        <w:tab/>
        <w:t xml:space="preserve">podílový fond, jehož součástí je hmotný majetek, </w:t>
      </w:r>
    </w:p>
    <w:p w14:paraId="39480F33" w14:textId="2CFA383F" w:rsidR="000839A4" w:rsidRPr="000839A4" w:rsidRDefault="000839A4" w:rsidP="000839A4">
      <w:pPr>
        <w:keepNext/>
        <w:widowControl w:val="0"/>
        <w:spacing w:before="0"/>
        <w:ind w:left="284" w:hanging="284"/>
        <w:jc w:val="left"/>
        <w:rPr>
          <w:b/>
          <w:strike/>
          <w:noProof/>
          <w:szCs w:val="24"/>
        </w:rPr>
      </w:pPr>
      <w:r w:rsidRPr="000839A4">
        <w:rPr>
          <w:b/>
          <w:strike/>
          <w:noProof/>
          <w:szCs w:val="24"/>
        </w:rPr>
        <w:t>g)</w:t>
      </w:r>
      <w:r w:rsidRPr="000839A4">
        <w:rPr>
          <w:b/>
          <w:strike/>
          <w:noProof/>
          <w:szCs w:val="24"/>
        </w:rPr>
        <w:tab/>
        <w:t>jiný poplatník daně z příjmů právnických osob, který není právnickou osobou a jehož součástí je hmotný majetek,</w:t>
      </w:r>
    </w:p>
    <w:p w14:paraId="1C7BDDBD" w14:textId="77777777" w:rsidR="000839A4" w:rsidRPr="000839A4" w:rsidRDefault="000839A4" w:rsidP="000839A4">
      <w:pPr>
        <w:tabs>
          <w:tab w:val="left" w:pos="357"/>
        </w:tabs>
        <w:spacing w:before="0"/>
        <w:ind w:left="357" w:hanging="357"/>
        <w:rPr>
          <w:strike/>
          <w:szCs w:val="24"/>
        </w:rPr>
      </w:pPr>
      <w:r w:rsidRPr="000839A4">
        <w:rPr>
          <w:strike/>
          <w:szCs w:val="24"/>
        </w:rPr>
        <w:t>g)</w:t>
      </w:r>
      <w:r w:rsidRPr="000839A4">
        <w:rPr>
          <w:b/>
          <w:strike/>
          <w:szCs w:val="24"/>
        </w:rPr>
        <w:t>h)</w:t>
      </w:r>
      <w:r w:rsidRPr="000839A4">
        <w:rPr>
          <w:strike/>
          <w:szCs w:val="24"/>
        </w:rPr>
        <w:t xml:space="preserve"> </w:t>
      </w:r>
      <w:proofErr w:type="spellStart"/>
      <w:r w:rsidRPr="000839A4">
        <w:rPr>
          <w:strike/>
          <w:szCs w:val="24"/>
        </w:rPr>
        <w:t>svěřenský</w:t>
      </w:r>
      <w:proofErr w:type="spellEnd"/>
      <w:r w:rsidRPr="000839A4">
        <w:rPr>
          <w:strike/>
          <w:szCs w:val="24"/>
        </w:rPr>
        <w:t xml:space="preserve"> fond, jehož součástí je hmotný majetek, </w:t>
      </w:r>
    </w:p>
    <w:p w14:paraId="56F656B4" w14:textId="77777777" w:rsidR="000839A4" w:rsidRPr="000839A4" w:rsidRDefault="000839A4" w:rsidP="000839A4">
      <w:pPr>
        <w:tabs>
          <w:tab w:val="left" w:pos="357"/>
        </w:tabs>
        <w:spacing w:before="0"/>
        <w:ind w:left="357" w:hanging="357"/>
        <w:rPr>
          <w:strike/>
          <w:szCs w:val="24"/>
        </w:rPr>
      </w:pPr>
      <w:r w:rsidRPr="000839A4">
        <w:rPr>
          <w:strike/>
          <w:szCs w:val="24"/>
        </w:rPr>
        <w:t>h)</w:t>
      </w:r>
      <w:r w:rsidRPr="000839A4">
        <w:rPr>
          <w:b/>
          <w:strike/>
          <w:szCs w:val="24"/>
        </w:rPr>
        <w:t xml:space="preserve">i)h) </w:t>
      </w:r>
      <w:r w:rsidRPr="000839A4">
        <w:rPr>
          <w:strike/>
          <w:szCs w:val="24"/>
        </w:rPr>
        <w:t xml:space="preserve">nástupnická obchodní korporace zanikající nebo rozdělované obchodní korporace při přeměně; to platí pro </w:t>
      </w:r>
    </w:p>
    <w:p w14:paraId="43691653" w14:textId="77777777" w:rsidR="000839A4" w:rsidRPr="000839A4" w:rsidRDefault="000839A4" w:rsidP="000839A4">
      <w:pPr>
        <w:tabs>
          <w:tab w:val="left" w:pos="357"/>
        </w:tabs>
        <w:spacing w:before="0"/>
        <w:ind w:left="714" w:hanging="357"/>
        <w:rPr>
          <w:strike/>
          <w:szCs w:val="24"/>
        </w:rPr>
      </w:pPr>
      <w:r w:rsidRPr="000839A4">
        <w:rPr>
          <w:strike/>
          <w:szCs w:val="24"/>
        </w:rPr>
        <w:t>1.</w:t>
      </w:r>
      <w:r w:rsidRPr="000839A4">
        <w:rPr>
          <w:strike/>
          <w:szCs w:val="24"/>
        </w:rPr>
        <w:tab/>
        <w:t xml:space="preserve">hmotný majetek ve vlastnictví zanikající nebo rozdělované obchodní korporace k rozhodnému dni fúze, převodu jmění na společníka nebo rozdělení obchodní korporace a převáděný na nástupnickou obchodní korporaci a </w:t>
      </w:r>
    </w:p>
    <w:p w14:paraId="318A4D50" w14:textId="77777777" w:rsidR="000839A4" w:rsidRPr="000839A4" w:rsidRDefault="000839A4" w:rsidP="000839A4">
      <w:pPr>
        <w:tabs>
          <w:tab w:val="left" w:pos="357"/>
        </w:tabs>
        <w:spacing w:before="0"/>
        <w:ind w:left="714" w:hanging="357"/>
        <w:rPr>
          <w:strike/>
          <w:szCs w:val="24"/>
        </w:rPr>
      </w:pPr>
      <w:r w:rsidRPr="000839A4">
        <w:rPr>
          <w:strike/>
          <w:szCs w:val="24"/>
        </w:rPr>
        <w:t>2.</w:t>
      </w:r>
      <w:r w:rsidRPr="000839A4">
        <w:rPr>
          <w:strike/>
          <w:szCs w:val="24"/>
        </w:rPr>
        <w:tab/>
        <w:t xml:space="preserve">hmotný majetek, nabytý zanikající nebo rozdělovanou obchodní korporací od rozhodného dne do dne zápisu fúze, převodu jmění na společníka nebo rozdělení obchodní korporace do obchodního rejstříku a převáděný na nástupnickou obchodní korporaci. </w:t>
      </w:r>
    </w:p>
    <w:p w14:paraId="21C4C3C4" w14:textId="77777777" w:rsidR="000839A4" w:rsidRPr="000839A4" w:rsidRDefault="000839A4" w:rsidP="000839A4">
      <w:pPr>
        <w:spacing w:before="120" w:after="120"/>
        <w:rPr>
          <w:strike/>
          <w:szCs w:val="24"/>
        </w:rPr>
      </w:pPr>
      <w:r w:rsidRPr="000839A4">
        <w:rPr>
          <w:strike/>
          <w:szCs w:val="24"/>
        </w:rPr>
        <w:t xml:space="preserve">(2) Technickou rekultivaci, prováděnou na pozemku jinou osobou než </w:t>
      </w:r>
      <w:proofErr w:type="spellStart"/>
      <w:r w:rsidRPr="000839A4">
        <w:rPr>
          <w:strike/>
          <w:szCs w:val="24"/>
        </w:rPr>
        <w:t>odpisovatelem</w:t>
      </w:r>
      <w:proofErr w:type="spellEnd"/>
      <w:r w:rsidRPr="000839A4">
        <w:rPr>
          <w:strike/>
          <w:szCs w:val="24"/>
        </w:rPr>
        <w:t xml:space="preserve">, může odpisovat pouze poplatník, který je k provedení rekultivace zavázán. </w:t>
      </w:r>
    </w:p>
    <w:p w14:paraId="1496F78B" w14:textId="77777777" w:rsidR="000839A4" w:rsidRPr="000839A4" w:rsidRDefault="000839A4" w:rsidP="000839A4">
      <w:pPr>
        <w:spacing w:before="120" w:after="120"/>
        <w:rPr>
          <w:strike/>
          <w:szCs w:val="24"/>
        </w:rPr>
      </w:pPr>
      <w:r w:rsidRPr="000839A4">
        <w:rPr>
          <w:strike/>
          <w:szCs w:val="24"/>
        </w:rPr>
        <w:t xml:space="preserve">(3) Technické zhodnocení pronajatého hmotného majetku nebo majetku pořizovaného na finanční leasing a jiný majetek uvedený v § 26 odst. 3 písm. c), jsou-li hrazené nájemcem nebo uživatelem, může na základě písemné smlouvy odpisovat nájemce nebo uživatel, pokud není vstupní cena u </w:t>
      </w:r>
      <w:proofErr w:type="spellStart"/>
      <w:r w:rsidRPr="000839A4">
        <w:rPr>
          <w:strike/>
          <w:szCs w:val="24"/>
        </w:rPr>
        <w:t>odpisovatele</w:t>
      </w:r>
      <w:proofErr w:type="spellEnd"/>
      <w:r w:rsidRPr="000839A4">
        <w:rPr>
          <w:strike/>
          <w:szCs w:val="24"/>
        </w:rPr>
        <w:t xml:space="preserve"> hmotného majetku zvýšena o tyto výdaje; přitom je zatřídí do odpisové skupiny, ve které je zatříděn pronajatý hmotný majetek nebo majetek pořizovaný na finanční leasing, a odpisuje podle tohoto zákona. Při odpisování technického zhodnocení postupuje nájemce nebo uživatel způsobem stanoveným pro hmotný majetek a zatřídí technické zhodnocení do odpisové skupiny, ve které je zatříděn pronajatý hmotný majetek nebo majetek pořizovaný na finanční leasing. </w:t>
      </w:r>
    </w:p>
    <w:p w14:paraId="7EA351F4" w14:textId="77777777" w:rsidR="000839A4" w:rsidRPr="000839A4" w:rsidRDefault="000839A4" w:rsidP="000839A4">
      <w:pPr>
        <w:spacing w:before="120" w:after="120"/>
        <w:rPr>
          <w:strike/>
          <w:szCs w:val="24"/>
        </w:rPr>
      </w:pPr>
      <w:r w:rsidRPr="000839A4">
        <w:rPr>
          <w:strike/>
          <w:szCs w:val="24"/>
        </w:rPr>
        <w:t xml:space="preserve">(4) Při převodu vlastnictví hmotného movitého majetku v důsledku zajištění dluhu převodem práva na věřitele může tento majetek odpisovat původní </w:t>
      </w:r>
      <w:proofErr w:type="spellStart"/>
      <w:r w:rsidRPr="000839A4">
        <w:rPr>
          <w:strike/>
          <w:szCs w:val="24"/>
        </w:rPr>
        <w:t>odpisovatel</w:t>
      </w:r>
      <w:proofErr w:type="spellEnd"/>
      <w:r w:rsidRPr="000839A4">
        <w:rPr>
          <w:strike/>
          <w:szCs w:val="24"/>
        </w:rPr>
        <w:t xml:space="preserve">, pokud uzavře s věřitelem smlouvu o výpůjčce tohoto majetku na dobu zajištění dluhu převodem práva. </w:t>
      </w:r>
    </w:p>
    <w:p w14:paraId="5A8C0243" w14:textId="77777777" w:rsidR="000839A4" w:rsidRPr="000839A4" w:rsidRDefault="000839A4" w:rsidP="000839A4">
      <w:pPr>
        <w:spacing w:before="120" w:after="120"/>
        <w:rPr>
          <w:strike/>
          <w:szCs w:val="24"/>
        </w:rPr>
      </w:pPr>
      <w:r w:rsidRPr="000839A4">
        <w:rPr>
          <w:strike/>
          <w:szCs w:val="24"/>
        </w:rPr>
        <w:t xml:space="preserve">(5) Hmotný majetek vymezený v § 26 odst. 2 písm. c) a d), který je dokončen na cizím pozemku a jeho hodnota není u </w:t>
      </w:r>
      <w:proofErr w:type="spellStart"/>
      <w:r w:rsidRPr="000839A4">
        <w:rPr>
          <w:strike/>
          <w:szCs w:val="24"/>
        </w:rPr>
        <w:t>odpisovatele</w:t>
      </w:r>
      <w:proofErr w:type="spellEnd"/>
      <w:r w:rsidRPr="000839A4">
        <w:rPr>
          <w:strike/>
          <w:szCs w:val="24"/>
        </w:rPr>
        <w:t xml:space="preserve"> součástí ocenění tohoto pozemku podle zvláštního právního předpisu,</w:t>
      </w:r>
      <w:r w:rsidRPr="000839A4">
        <w:rPr>
          <w:strike/>
          <w:szCs w:val="24"/>
          <w:vertAlign w:val="superscript"/>
        </w:rPr>
        <w:t xml:space="preserve"> 20)</w:t>
      </w:r>
      <w:r w:rsidRPr="000839A4">
        <w:rPr>
          <w:strike/>
          <w:szCs w:val="24"/>
        </w:rPr>
        <w:t xml:space="preserve"> může odpisovat poplatník, u něhož je tento hmotný majetek evidován (§ 26 odst. 5). </w:t>
      </w:r>
    </w:p>
    <w:p w14:paraId="483FB1A9" w14:textId="77777777" w:rsidR="000839A4" w:rsidRPr="000839A4" w:rsidRDefault="000839A4" w:rsidP="000839A4">
      <w:pPr>
        <w:spacing w:before="120" w:after="120"/>
        <w:rPr>
          <w:strike/>
          <w:szCs w:val="24"/>
        </w:rPr>
      </w:pPr>
      <w:r w:rsidRPr="000839A4">
        <w:rPr>
          <w:strike/>
          <w:szCs w:val="24"/>
        </w:rPr>
        <w:lastRenderedPageBreak/>
        <w:t xml:space="preserve">(6) Při odpisování hmotného majetku, který je pouze zčásti používán k zajištění zdanitelného příjmu, se do výdajů k zajištění zdanitelného příjmu zahrnuje poměrná část odpisů. Při odpisování silničního motorového vozidla, u kterého je poplatník povinen uplatnit krácený paušální výdaj na dopravu, se poměrnou částí odpisů rozumí 80 % odpisů. </w:t>
      </w:r>
      <w:r w:rsidRPr="000839A4">
        <w:rPr>
          <w:strike/>
          <w:noProof/>
          <w:szCs w:val="24"/>
        </w:rPr>
        <w:t>U vozidel kategorie M1, technického zhodnocení provedeného na tomto vozidle, které je jiným majetkem, a výdajů hrazených uživatelem vynaložených na takové vozidlo, které je předmětem finančního leasingu, které jsou jiným majetkem, se poměrná část podle vět první a druhé počítá z poměrné části odpisů vozidla vypočítané podle poměru částky omezení výdajů a úhrnu výdajů vynaložených na toto vozidlo, pokud je tento poměr nižší než 1.</w:t>
      </w:r>
    </w:p>
    <w:p w14:paraId="4E8F7AC2" w14:textId="77777777" w:rsidR="000839A4" w:rsidRPr="000839A4" w:rsidRDefault="000839A4" w:rsidP="000839A4">
      <w:pPr>
        <w:spacing w:before="120" w:after="120"/>
        <w:rPr>
          <w:strike/>
          <w:szCs w:val="24"/>
        </w:rPr>
      </w:pPr>
      <w:r w:rsidRPr="000839A4">
        <w:rPr>
          <w:strike/>
          <w:szCs w:val="24"/>
        </w:rPr>
        <w:t xml:space="preserve">(7) U poplatníka, který není nájemcem ani uživatelem a kterému byl přenechán k užívání hmotný majetek, se u technického zhodnocení na tomto hmotném majetku postupuje obdobně jako u technického zhodnocení hrazeného nájemcem. Při ukončení takového užívání nebo zrušení souhlasu s odpisováním se postupuje obdobně jako při ukončení nájmu nebo zrušení souhlasu </w:t>
      </w:r>
      <w:proofErr w:type="spellStart"/>
      <w:r w:rsidRPr="000839A4">
        <w:rPr>
          <w:strike/>
          <w:szCs w:val="24"/>
        </w:rPr>
        <w:t>odpisovatele</w:t>
      </w:r>
      <w:proofErr w:type="spellEnd"/>
      <w:r w:rsidRPr="000839A4">
        <w:rPr>
          <w:strike/>
          <w:szCs w:val="24"/>
        </w:rPr>
        <w:t xml:space="preserve"> hmotného majetku s odpisováním nájemcem. Pro účely tohoto ustanovení je poplatník, kterému byl přenechán k užívání hmotný majetek, v postavení nájemce a poplatník, který přenechal k užívání tento majetek, v postavení </w:t>
      </w:r>
      <w:proofErr w:type="spellStart"/>
      <w:r w:rsidRPr="000839A4">
        <w:rPr>
          <w:strike/>
          <w:szCs w:val="24"/>
        </w:rPr>
        <w:t>odpisovatele</w:t>
      </w:r>
      <w:proofErr w:type="spellEnd"/>
      <w:r w:rsidRPr="000839A4">
        <w:rPr>
          <w:strike/>
          <w:szCs w:val="24"/>
        </w:rPr>
        <w:t xml:space="preserve"> hmotného majetku.</w:t>
      </w:r>
    </w:p>
    <w:p w14:paraId="71654090" w14:textId="77777777" w:rsidR="000839A4" w:rsidRPr="000839A4" w:rsidRDefault="000839A4" w:rsidP="000839A4">
      <w:pPr>
        <w:keepNext/>
        <w:ind w:firstLine="0"/>
        <w:jc w:val="center"/>
        <w:rPr>
          <w:strike/>
          <w:szCs w:val="24"/>
        </w:rPr>
      </w:pPr>
      <w:r w:rsidRPr="000839A4">
        <w:rPr>
          <w:strike/>
          <w:szCs w:val="24"/>
        </w:rPr>
        <w:t>§ 29</w:t>
      </w:r>
    </w:p>
    <w:p w14:paraId="546AB738" w14:textId="77777777" w:rsidR="000839A4" w:rsidRPr="000839A4" w:rsidRDefault="000839A4" w:rsidP="000839A4">
      <w:pPr>
        <w:spacing w:before="120" w:after="120"/>
        <w:rPr>
          <w:strike/>
          <w:szCs w:val="24"/>
        </w:rPr>
      </w:pPr>
      <w:r w:rsidRPr="000839A4">
        <w:rPr>
          <w:strike/>
          <w:szCs w:val="24"/>
        </w:rPr>
        <w:t xml:space="preserve">(1) Vstupní cenou hmotného majetku se rozumí </w:t>
      </w:r>
    </w:p>
    <w:p w14:paraId="1D03B032" w14:textId="77777777" w:rsidR="000839A4" w:rsidRPr="000839A4" w:rsidRDefault="000839A4" w:rsidP="000839A4">
      <w:pPr>
        <w:tabs>
          <w:tab w:val="left" w:pos="357"/>
        </w:tabs>
        <w:spacing w:before="0"/>
        <w:ind w:left="357" w:hanging="357"/>
        <w:rPr>
          <w:strike/>
          <w:szCs w:val="24"/>
        </w:rPr>
      </w:pPr>
      <w:r w:rsidRPr="000839A4">
        <w:rPr>
          <w:strike/>
          <w:szCs w:val="24"/>
        </w:rPr>
        <w:t>a)</w:t>
      </w:r>
      <w:r w:rsidRPr="000839A4">
        <w:rPr>
          <w:strike/>
          <w:szCs w:val="24"/>
        </w:rPr>
        <w:tab/>
        <w:t xml:space="preserve">pořizovací </w:t>
      </w:r>
      <w:proofErr w:type="gramStart"/>
      <w:r w:rsidRPr="000839A4">
        <w:rPr>
          <w:strike/>
          <w:szCs w:val="24"/>
        </w:rPr>
        <w:t>cena,</w:t>
      </w:r>
      <w:r w:rsidRPr="000839A4">
        <w:rPr>
          <w:strike/>
          <w:szCs w:val="24"/>
          <w:vertAlign w:val="superscript"/>
        </w:rPr>
        <w:t>31</w:t>
      </w:r>
      <w:proofErr w:type="gramEnd"/>
      <w:r w:rsidRPr="000839A4">
        <w:rPr>
          <w:strike/>
          <w:szCs w:val="24"/>
          <w:vertAlign w:val="superscript"/>
        </w:rPr>
        <w:t>)</w:t>
      </w:r>
      <w:r w:rsidRPr="000839A4">
        <w:rPr>
          <w:strike/>
          <w:szCs w:val="24"/>
        </w:rPr>
        <w:t xml:space="preserve">  je-li pořízen úplatně. Při odkoupení najatého majetku, u něhož nájemce odpisoval technické zhodnocení podle § 28 odst. 3, je součástí vstupní ceny, s výjimkou uvedenou v odstavci 4, i zůstatková cena tohoto technického zhodnocení. Nejsou-li při bezprostředním úplatném nabytí hmotného majetku po ukončení úplatného užívání dodrženy podmínky uvedené v § 24 odst. 4 nebo odst. 5, lze do vstupní ceny zahrnout úplatu za užívání, která byla uhrazena do data ukončení smlouvy a nebyla výdajem (nákladem) podle § 24; přitom u poplatníka, který nevede účetnictví, lze do vstupní ceny zahrnout i zálohy na úplatu za užívání do data ukončení smlouvy. U nemovitého majetku, který poplatník uvedený v § 2 pořídil úplatně v době delší než 5 let před jeho vložením do obchodního majetku nebo v době delší než 5 let před zahájením nájmu, cena podle písmene d). U nemovitého majetku, který poplatník uvedený v § 2 pořídil úplatně v době kratší než 5 let před jejich vložením do obchodního majetku nebo v době kratší než 5 let před zahájením nájmu, se pořizovací cena zvyšuje o náklady prokazatelně vynaložené na jejich opravy a technické zhodnocení. U movitého majetku, který poplatník uvedený v § 2 pořídil úplatně v době delší než 1 rok před vložením do obchodního majetku nebo v době delší než 1 rok před zahájením nájmu, je vstupní cenou cena podle písmene d) s výjimkou majetku nabytého formou finančního leasingu, </w:t>
      </w:r>
    </w:p>
    <w:p w14:paraId="318B2144" w14:textId="77777777" w:rsidR="000839A4" w:rsidRPr="000839A4" w:rsidRDefault="000839A4" w:rsidP="000839A4">
      <w:pPr>
        <w:tabs>
          <w:tab w:val="left" w:pos="357"/>
        </w:tabs>
        <w:spacing w:before="0"/>
        <w:ind w:left="357" w:hanging="357"/>
        <w:rPr>
          <w:strike/>
          <w:szCs w:val="24"/>
        </w:rPr>
      </w:pPr>
      <w:r w:rsidRPr="000839A4">
        <w:rPr>
          <w:strike/>
          <w:szCs w:val="24"/>
        </w:rPr>
        <w:t>b)</w:t>
      </w:r>
      <w:r w:rsidRPr="000839A4">
        <w:rPr>
          <w:strike/>
          <w:szCs w:val="24"/>
        </w:rPr>
        <w:tab/>
        <w:t xml:space="preserve">vlastní </w:t>
      </w:r>
      <w:proofErr w:type="gramStart"/>
      <w:r w:rsidRPr="000839A4">
        <w:rPr>
          <w:strike/>
          <w:szCs w:val="24"/>
        </w:rPr>
        <w:t>náklady,</w:t>
      </w:r>
      <w:r w:rsidRPr="000839A4">
        <w:rPr>
          <w:strike/>
          <w:szCs w:val="24"/>
          <w:vertAlign w:val="superscript"/>
        </w:rPr>
        <w:t>31</w:t>
      </w:r>
      <w:proofErr w:type="gramEnd"/>
      <w:r w:rsidRPr="000839A4">
        <w:rPr>
          <w:strike/>
          <w:szCs w:val="24"/>
          <w:vertAlign w:val="superscript"/>
        </w:rPr>
        <w:t>)</w:t>
      </w:r>
      <w:r w:rsidRPr="000839A4">
        <w:rPr>
          <w:strike/>
          <w:szCs w:val="24"/>
        </w:rPr>
        <w:t xml:space="preserve">  je-li pořízen nebo vyroben ve vlastní režii. Toto ustanovení se použije i u poplatníků, kteří nevedou účetnictví. U nemovitých věcí, které poplatník uvedený v § 2 pořídil nebo vyrobil ve vlastní režii v době delší než 5 let před jejich vložením do obchodního majetku nebo v době delší než 5 let před zahájením nájmu, cena podle písmene d). U nemovitých věcí, které poplatník uvedený v § 2 pořídil nebo vyrobil ve vlastní režii v době kratší než 5 let před jejich vložením do obchodního majetku nebo v době kratší než 5 let před zahájením nájmu, se vlastní náklady zvyšují o náklady prokazatelně vynaložené na jejich opravy a technické zhodnocení, </w:t>
      </w:r>
    </w:p>
    <w:p w14:paraId="418802E6" w14:textId="77777777" w:rsidR="000839A4" w:rsidRPr="000839A4" w:rsidRDefault="000839A4" w:rsidP="000839A4">
      <w:pPr>
        <w:tabs>
          <w:tab w:val="left" w:pos="357"/>
        </w:tabs>
        <w:spacing w:before="0"/>
        <w:ind w:left="357" w:hanging="357"/>
        <w:rPr>
          <w:strike/>
          <w:szCs w:val="24"/>
        </w:rPr>
      </w:pPr>
      <w:r w:rsidRPr="000839A4">
        <w:rPr>
          <w:strike/>
          <w:szCs w:val="24"/>
        </w:rPr>
        <w:t>c)</w:t>
      </w:r>
      <w:r w:rsidRPr="000839A4">
        <w:rPr>
          <w:strike/>
          <w:szCs w:val="24"/>
        </w:rPr>
        <w:tab/>
        <w:t xml:space="preserve">hodnota nesplacené pohledávky zajištěné převodem práva, a to u hmotného movitého majetku, který zůstává ve vlastnictví věřitele, </w:t>
      </w:r>
    </w:p>
    <w:p w14:paraId="19E3F930" w14:textId="77777777" w:rsidR="000839A4" w:rsidRPr="000839A4" w:rsidRDefault="000839A4" w:rsidP="000839A4">
      <w:pPr>
        <w:tabs>
          <w:tab w:val="left" w:pos="357"/>
        </w:tabs>
        <w:spacing w:before="0"/>
        <w:ind w:left="357" w:hanging="357"/>
        <w:rPr>
          <w:strike/>
          <w:szCs w:val="24"/>
        </w:rPr>
      </w:pPr>
      <w:r w:rsidRPr="000839A4">
        <w:rPr>
          <w:strike/>
          <w:szCs w:val="24"/>
        </w:rPr>
        <w:lastRenderedPageBreak/>
        <w:t>d)</w:t>
      </w:r>
      <w:r w:rsidRPr="000839A4">
        <w:rPr>
          <w:strike/>
          <w:szCs w:val="24"/>
        </w:rPr>
        <w:tab/>
        <w:t>reprodukční pořizovací cena v ostatních případech určená podle zvláštního právního předpisu;</w:t>
      </w:r>
      <w:proofErr w:type="gramStart"/>
      <w:r w:rsidRPr="000839A4">
        <w:rPr>
          <w:strike/>
          <w:szCs w:val="24"/>
          <w:vertAlign w:val="superscript"/>
        </w:rPr>
        <w:t>1a)</w:t>
      </w:r>
      <w:r w:rsidRPr="000839A4">
        <w:rPr>
          <w:strike/>
          <w:szCs w:val="24"/>
        </w:rPr>
        <w:t xml:space="preserve">  přitom</w:t>
      </w:r>
      <w:proofErr w:type="gramEnd"/>
      <w:r w:rsidRPr="000839A4">
        <w:rPr>
          <w:strike/>
          <w:szCs w:val="24"/>
        </w:rPr>
        <w:t xml:space="preserve"> u nemovité kulturní památky se reprodukční pořizovací cena stanoví jako cena stavby určená podle zvláštního právního předpisu bez přihlédnutí ke kategorii kulturní památky, historickému stáří kulturní památky a k ceně uměleckých a uměleckořemeslných děl, která jsou součástí stavby. U poplatníka, který má příjmy z nájmu podle § 9, je třeba reprodukční pořizovací cenu stanovit již při zahájení nájmu, </w:t>
      </w:r>
    </w:p>
    <w:p w14:paraId="59DB72CA" w14:textId="77777777" w:rsidR="000839A4" w:rsidRPr="000839A4" w:rsidRDefault="000839A4" w:rsidP="000839A4">
      <w:pPr>
        <w:tabs>
          <w:tab w:val="left" w:pos="357"/>
        </w:tabs>
        <w:spacing w:before="0"/>
        <w:ind w:left="357" w:hanging="357"/>
        <w:rPr>
          <w:strike/>
          <w:szCs w:val="24"/>
        </w:rPr>
      </w:pPr>
      <w:r w:rsidRPr="000839A4">
        <w:rPr>
          <w:strike/>
          <w:szCs w:val="24"/>
        </w:rPr>
        <w:t>e)</w:t>
      </w:r>
      <w:r w:rsidRPr="000839A4">
        <w:rPr>
          <w:strike/>
          <w:szCs w:val="24"/>
        </w:rPr>
        <w:tab/>
        <w:t xml:space="preserve">při nabytí majetku bezúplatně cena určená podle zvláštního právního předpisu o oceňování </w:t>
      </w:r>
      <w:proofErr w:type="gramStart"/>
      <w:r w:rsidRPr="000839A4">
        <w:rPr>
          <w:strike/>
          <w:szCs w:val="24"/>
        </w:rPr>
        <w:t>majetku</w:t>
      </w:r>
      <w:r w:rsidRPr="000839A4">
        <w:rPr>
          <w:strike/>
          <w:szCs w:val="24"/>
          <w:vertAlign w:val="superscript"/>
        </w:rPr>
        <w:t>1a)</w:t>
      </w:r>
      <w:r w:rsidRPr="000839A4">
        <w:rPr>
          <w:strike/>
          <w:szCs w:val="24"/>
        </w:rPr>
        <w:t xml:space="preserve">  ke</w:t>
      </w:r>
      <w:proofErr w:type="gramEnd"/>
      <w:r w:rsidRPr="000839A4">
        <w:rPr>
          <w:strike/>
          <w:szCs w:val="24"/>
        </w:rPr>
        <w:t xml:space="preserve"> dni nabytí, s výjimkou majetku odpisovaného podle § 30 odst. 10 písm. a), pokud u poplatníků uvedených v § 2 neuplynula od nabytí doba delší než 5 let, zvýšená u nemovitých věcí o náklady vynaložené na opravy a technické zhodnocení; je-li doba od nabytí delší než 5 let, rozumí se u poplatníků uvedených v § 2 vstupní cenou cena podle písmene d), </w:t>
      </w:r>
    </w:p>
    <w:p w14:paraId="52CF8CBE" w14:textId="77777777" w:rsidR="000839A4" w:rsidRPr="000839A4" w:rsidRDefault="000839A4" w:rsidP="000839A4">
      <w:pPr>
        <w:tabs>
          <w:tab w:val="left" w:pos="357"/>
        </w:tabs>
        <w:spacing w:before="0"/>
        <w:ind w:left="357" w:hanging="357"/>
        <w:rPr>
          <w:strike/>
          <w:szCs w:val="24"/>
        </w:rPr>
      </w:pPr>
      <w:r w:rsidRPr="000839A4">
        <w:rPr>
          <w:strike/>
          <w:szCs w:val="24"/>
        </w:rPr>
        <w:t>f)</w:t>
      </w:r>
      <w:r w:rsidRPr="000839A4">
        <w:rPr>
          <w:strike/>
          <w:szCs w:val="24"/>
        </w:rPr>
        <w:tab/>
        <w:t xml:space="preserve">hodnota technického zhodnocení podle § 33 odst. 1 dokončeného počínaje 1. lednem 2001 na hmotném majetku, jehož účetní odpisy jsou výdajem (nákladem) podle § 24 odst. 2 písm. v) bodu 1, zvýšená o ocenění tohoto odpisovaného hmotného majetku; přitom odpisy pro účely tohoto zákona lze uplatnit jen do výše vstupní ceny snížené o dosud uplatněné účetní odpisy hmotného majetku podle § 24 odst. 2 písm. v) bodu 1, </w:t>
      </w:r>
    </w:p>
    <w:p w14:paraId="7F573B4C" w14:textId="77777777" w:rsidR="000839A4" w:rsidRPr="000839A4" w:rsidRDefault="000839A4" w:rsidP="000839A4">
      <w:pPr>
        <w:tabs>
          <w:tab w:val="left" w:pos="357"/>
        </w:tabs>
        <w:spacing w:before="0"/>
        <w:ind w:left="357" w:hanging="357"/>
        <w:rPr>
          <w:strike/>
          <w:szCs w:val="24"/>
        </w:rPr>
      </w:pPr>
      <w:r w:rsidRPr="000839A4">
        <w:rPr>
          <w:strike/>
          <w:szCs w:val="24"/>
        </w:rPr>
        <w:t>g)</w:t>
      </w:r>
      <w:r w:rsidRPr="000839A4">
        <w:rPr>
          <w:strike/>
          <w:szCs w:val="24"/>
        </w:rPr>
        <w:tab/>
        <w:t>přepočtená zahraniční cena (§ 23 odst. 17),</w:t>
      </w:r>
    </w:p>
    <w:p w14:paraId="508AD07D" w14:textId="77777777" w:rsidR="000839A4" w:rsidRPr="000839A4" w:rsidRDefault="000839A4" w:rsidP="000839A4">
      <w:pPr>
        <w:tabs>
          <w:tab w:val="left" w:pos="357"/>
        </w:tabs>
        <w:spacing w:before="0"/>
        <w:ind w:left="357" w:hanging="357"/>
        <w:rPr>
          <w:strike/>
          <w:szCs w:val="24"/>
        </w:rPr>
      </w:pPr>
      <w:r w:rsidRPr="000839A4">
        <w:rPr>
          <w:strike/>
          <w:szCs w:val="24"/>
        </w:rPr>
        <w:t>h)</w:t>
      </w:r>
      <w:r w:rsidRPr="000839A4">
        <w:rPr>
          <w:strike/>
          <w:szCs w:val="24"/>
        </w:rPr>
        <w:tab/>
        <w:t>u veřejně prospěšného poplatníka ocenění převzaté od účetní jednotky, která o tomto majetku naposledy účtovala, v případě bezúplatného převodu nebo přechodu majetku mezi vybranými účetními jednotkami podle právních předpisů upravujících účetnictví.</w:t>
      </w:r>
    </w:p>
    <w:p w14:paraId="786D2B3E" w14:textId="77777777" w:rsidR="000839A4" w:rsidRPr="000839A4" w:rsidRDefault="000839A4" w:rsidP="000839A4">
      <w:pPr>
        <w:spacing w:before="120" w:after="120"/>
        <w:rPr>
          <w:szCs w:val="24"/>
        </w:rPr>
      </w:pPr>
      <w:r w:rsidRPr="000839A4">
        <w:rPr>
          <w:strike/>
          <w:szCs w:val="24"/>
        </w:rPr>
        <w:t xml:space="preserve">Součástí vstupní ceny podle písmen a) až f) je i technické zhodnocení provedené po uvedení věci do stavu způsobilého obvyklému užívání, s výjimkou technického zhodnocení provedeného na nemovité kulturní památce a na hmotném majetku vyloučeném z odpisování (§ 27), nejpozději však v prvním roce odpisování. Součástí vstupní ceny jednotky není ocenění té části jednotky, která je pozemkem. Pokud původní </w:t>
      </w:r>
      <w:proofErr w:type="spellStart"/>
      <w:r w:rsidRPr="000839A4">
        <w:rPr>
          <w:strike/>
          <w:szCs w:val="24"/>
        </w:rPr>
        <w:t>odpisovatel</w:t>
      </w:r>
      <w:proofErr w:type="spellEnd"/>
      <w:r w:rsidRPr="000839A4">
        <w:rPr>
          <w:strike/>
          <w:szCs w:val="24"/>
        </w:rPr>
        <w:t xml:space="preserve"> v případech uvedených v § 30 odst. 10 nezapočal odpisování, je u nabyvatele vstupní cenou hmotného majetku vstupní cena, z níž by původní </w:t>
      </w:r>
      <w:proofErr w:type="spellStart"/>
      <w:r w:rsidRPr="000839A4">
        <w:rPr>
          <w:strike/>
          <w:szCs w:val="24"/>
        </w:rPr>
        <w:t>odpisovatel</w:t>
      </w:r>
      <w:proofErr w:type="spellEnd"/>
      <w:r w:rsidRPr="000839A4">
        <w:rPr>
          <w:strike/>
          <w:szCs w:val="24"/>
        </w:rPr>
        <w:t xml:space="preserve"> odpisy uplatňoval. Vstupní cena hmotného majetku se snižuje o poskytnuté dotace ze státního rozpočtu, z rozpočtů obcí a krajů, státních fondů, regionální rady regionu soudržnosti</w:t>
      </w:r>
      <w:r w:rsidRPr="000839A4">
        <w:rPr>
          <w:strike/>
          <w:szCs w:val="24"/>
          <w:vertAlign w:val="superscript"/>
        </w:rPr>
        <w:footnoteReference w:customMarkFollows="1" w:id="175"/>
        <w:t>124)</w:t>
      </w:r>
      <w:r w:rsidRPr="000839A4">
        <w:rPr>
          <w:strike/>
          <w:szCs w:val="24"/>
          <w:vertAlign w:val="superscript"/>
        </w:rPr>
        <w:fldChar w:fldCharType="begin"/>
      </w:r>
      <w:r w:rsidRPr="000839A4">
        <w:rPr>
          <w:strike/>
          <w:szCs w:val="24"/>
          <w:vertAlign w:val="superscript"/>
        </w:rPr>
        <w:instrText xml:space="preserve"> NOTEREF _Ref535916594  \* MERGEFORMAT </w:instrText>
      </w:r>
      <w:r w:rsidRPr="000839A4">
        <w:rPr>
          <w:strike/>
          <w:szCs w:val="24"/>
          <w:vertAlign w:val="superscript"/>
        </w:rPr>
        <w:fldChar w:fldCharType="end"/>
      </w:r>
      <w:r w:rsidRPr="000839A4">
        <w:rPr>
          <w:strike/>
          <w:szCs w:val="24"/>
        </w:rPr>
        <w:t>, o poskytnuté prostředky (granty) přidělené podle zvláštního právního předpisu, o poskytnuté granty Evropských společenství, o poskytnuté dotace, příspěvky a podpory z veřejných rozpočtů a jiných peněžních fondů cizího státu s výjimkou peněžních fondů spravovaných podnikatelskými subjekty se sídlem nebo bydlištěm v zahraničí (dále jen "veřejné zdroje"), poskytnuté na jeho pořízení nebo na jeho technické zhodnocení, pokud se tyto prostředky neúčtují podle zvláštního právního předpisu</w:t>
      </w:r>
      <w:r w:rsidRPr="000839A4">
        <w:rPr>
          <w:strike/>
          <w:szCs w:val="24"/>
          <w:vertAlign w:val="superscript"/>
        </w:rPr>
        <w:t>20)</w:t>
      </w:r>
      <w:r w:rsidRPr="000839A4">
        <w:rPr>
          <w:strike/>
          <w:szCs w:val="24"/>
        </w:rPr>
        <w:t xml:space="preserve"> ve prospěch výnosů (příjmů). Obdobně se postupuje i u hmotného majetku vytvořeného vlastní činností. Vstupní cena hmotného majetku se snižuje o bezúplatný příjem ve formě účelového peněžitého daru na pořízení hmotného majetku nebo na jeho technické zhodnocení. Do vstupní ceny hmotného majetku uvedeného v § 26 odst. 2 písm. b) a c) lze zahrnout i výdaje (náklady) na vyvolanou investici, kterou se pro účely tohoto zákona rozumí výdaje (náklady) vynaložené na pořízení majetku převedeného do vlastnictví jiné osoby nebo předaného jiné osobě nebo týkající se změny majetku ve vlastnictví jiné osoby a podmiňujícího funkci nebo užívání hmotného majetku uvedeného v § 26 odst. 2 písm. b) a c). V případě stavebního díla odpisovaného podle tohoto zákona, které je likvidováno v souvislosti s výstavbou nového stavebního díla nebo jeho technickým zhodnocením, je součástí vstupní ceny nového </w:t>
      </w:r>
      <w:r w:rsidRPr="000839A4">
        <w:rPr>
          <w:strike/>
          <w:szCs w:val="24"/>
        </w:rPr>
        <w:lastRenderedPageBreak/>
        <w:t>stavebního díla zůstatková cena likvidovaného stavebního díla namísto zůstatkové ceny likvidovaného stavebního díla podle právních předpisů upravujících účetnictví.</w:t>
      </w:r>
    </w:p>
    <w:p w14:paraId="0F20CF94" w14:textId="77777777" w:rsidR="000839A4" w:rsidRPr="000839A4" w:rsidRDefault="000839A4" w:rsidP="000839A4">
      <w:pPr>
        <w:spacing w:before="120" w:after="120"/>
        <w:rPr>
          <w:strike/>
          <w:szCs w:val="24"/>
        </w:rPr>
      </w:pPr>
      <w:r w:rsidRPr="000839A4">
        <w:rPr>
          <w:strike/>
          <w:szCs w:val="24"/>
        </w:rPr>
        <w:t>(2) Za zůstatkovou cenu se pro účely tohoto zákona považuje rozdíl mezi vstupní cenou hmotného majetku a celkovou výší odpisů stanovených podle § 26 a § 30 až 32 z tohoto majetku, a to i tehdy, když do výdajů na zajištění zdanitelných příjmů [§ 24 odst. 2 písm. a)] zahrnul poplatník pouze poměrnou část odpisů podle § 28 odst. 6</w:t>
      </w:r>
      <w:r w:rsidRPr="000839A4">
        <w:rPr>
          <w:strike/>
          <w:noProof/>
          <w:szCs w:val="24"/>
        </w:rPr>
        <w:t xml:space="preserve">, § 30e odst. 1 nebo 5 nebo § 30f odst. 5 </w:t>
      </w:r>
      <w:r w:rsidRPr="000839A4">
        <w:rPr>
          <w:strike/>
          <w:szCs w:val="24"/>
        </w:rPr>
        <w:t xml:space="preserve">nebo uplatňoval v některých zdaňovacích obdobích výdaje procentem z příjmů. </w:t>
      </w:r>
    </w:p>
    <w:p w14:paraId="78C82386" w14:textId="77777777" w:rsidR="000839A4" w:rsidRPr="000839A4" w:rsidRDefault="000839A4" w:rsidP="000839A4">
      <w:pPr>
        <w:spacing w:before="120" w:after="120"/>
        <w:rPr>
          <w:strike/>
          <w:szCs w:val="24"/>
        </w:rPr>
      </w:pPr>
      <w:r w:rsidRPr="000839A4">
        <w:rPr>
          <w:strike/>
          <w:szCs w:val="24"/>
        </w:rPr>
        <w:t>(3) Technické zhodnocení zvyšuje vstupní cenu (dále jen "zvýšená vstupní cena") a zároveň u majetku odpisovaného podle § 32 i zůstatkovou cenu (dále jen "zvýšená zůstatková cena") příslušného majetku v tom zdaňovacím období, kdy je technické zhodnocení dokončeno a uvedeno do stavu způsobilého obvyklému užívání; přitom poplatník, který samostatně eviduje a odpisuje technické zhodnocení hmotného majetku podle § 26 odst. 3 písm. a) nebo výdaje vymezené v § 26 odst. 3 písm. c) zvyšuje o každé další technické zhodnocení dokončené na původním majetku vstupní cenu a zároveň u majetku odpisovaného podle § 32 i zůstatkovou cenu již evidovaného jiného majetku v tom zdaňovacím období, kdy je technické zhodnocení dokončeno a uvedeno do stavu způsobilého obvyklému užívání. Ustanovení předchozí věty se nepoužije u technického zhodnocení v případech uvedených v odstavcích 1, 4 a 6, § 30a odst. 5 a u technického zhodnocení provedeného na nemovité kulturní památce odpisovaného podle § 30 odst. 6 nebo u technického zhodnocení provedeného na hmotném majetku vyloučeném z odpisování. Povinnost zvýšit vstupní cenu samostatně evidovaného a odpisovaného technického zhodnocení o každé další technické zhodnocení dokončené na původním majetku se nevztahuje na technické zhodnocení provedené na nemovité kulturní památce, které se odpisuje podle § 30 odst. 6 vždy samostatně.</w:t>
      </w:r>
    </w:p>
    <w:p w14:paraId="3107C5D0" w14:textId="77777777" w:rsidR="000839A4" w:rsidRPr="000839A4" w:rsidRDefault="000839A4" w:rsidP="000839A4">
      <w:pPr>
        <w:spacing w:before="120" w:after="120"/>
        <w:rPr>
          <w:strike/>
          <w:szCs w:val="24"/>
        </w:rPr>
      </w:pPr>
      <w:r w:rsidRPr="000839A4">
        <w:rPr>
          <w:strike/>
          <w:szCs w:val="24"/>
        </w:rPr>
        <w:t xml:space="preserve">(4) Poplatník, který odpisoval technické zhodnocení a výdaje vymezené v § 26 odst. 3 písm. c) nebo jejich část, která není vyloučena z odpisování, související s majetkem odkoupeným podle smlouvy o finančním leasingu, zvýší o pořizovací cenu odkoupeného majetku vstupní (zůstatkovou) cenu již odpisovaného jiného majetku v tom zdaňovacím období, kdy je majetek odkoupen, a pokračuje v započatém odpisování. </w:t>
      </w:r>
    </w:p>
    <w:p w14:paraId="123C9967" w14:textId="77777777" w:rsidR="000839A4" w:rsidRPr="000839A4" w:rsidRDefault="000839A4" w:rsidP="000839A4">
      <w:pPr>
        <w:spacing w:before="120" w:after="120"/>
        <w:rPr>
          <w:strike/>
          <w:szCs w:val="24"/>
        </w:rPr>
      </w:pPr>
      <w:r w:rsidRPr="000839A4">
        <w:rPr>
          <w:strike/>
          <w:szCs w:val="24"/>
        </w:rPr>
        <w:t xml:space="preserve">(5) Vstupní cenou hmotného majetku ve spoluvlastnictví je u spoluvlastníka vstupní cena podle odstavce 1 ve výši hodnoty jeho spoluvlastnického podílu. Hodnota technického zhodnocení provedeného na hmotném majetku ve spoluvlastnictví se u jednotlivých spoluvlastníků určí podle jejich spoluvlastnického podílu. </w:t>
      </w:r>
    </w:p>
    <w:p w14:paraId="39D5B9EB" w14:textId="77777777" w:rsidR="000839A4" w:rsidRPr="000839A4" w:rsidRDefault="000839A4" w:rsidP="000839A4">
      <w:pPr>
        <w:spacing w:before="120" w:after="120"/>
        <w:rPr>
          <w:strike/>
          <w:szCs w:val="24"/>
        </w:rPr>
      </w:pPr>
      <w:r w:rsidRPr="000839A4">
        <w:rPr>
          <w:strike/>
          <w:szCs w:val="24"/>
        </w:rPr>
        <w:t xml:space="preserve">(6) Odpisuje-li technické zhodnocení nájemce, zvyšuje se vstupní cena (zůstatková cena) u </w:t>
      </w:r>
      <w:proofErr w:type="spellStart"/>
      <w:r w:rsidRPr="000839A4">
        <w:rPr>
          <w:strike/>
          <w:szCs w:val="24"/>
        </w:rPr>
        <w:t>odpisovatele</w:t>
      </w:r>
      <w:proofErr w:type="spellEnd"/>
      <w:r w:rsidRPr="000839A4">
        <w:rPr>
          <w:strike/>
          <w:szCs w:val="24"/>
        </w:rPr>
        <w:t xml:space="preserve"> (pronajímatele) v roce ukončení nájmu nebo zrušení souhlasu </w:t>
      </w:r>
      <w:proofErr w:type="spellStart"/>
      <w:r w:rsidRPr="000839A4">
        <w:rPr>
          <w:strike/>
          <w:szCs w:val="24"/>
        </w:rPr>
        <w:t>odpisovatele</w:t>
      </w:r>
      <w:proofErr w:type="spellEnd"/>
      <w:r w:rsidRPr="000839A4">
        <w:rPr>
          <w:strike/>
          <w:szCs w:val="24"/>
        </w:rPr>
        <w:t xml:space="preserve"> s odpisováním nájemcem, a to </w:t>
      </w:r>
    </w:p>
    <w:p w14:paraId="574A3A5F" w14:textId="77777777" w:rsidR="000839A4" w:rsidRPr="000839A4" w:rsidRDefault="000839A4" w:rsidP="000839A4">
      <w:pPr>
        <w:tabs>
          <w:tab w:val="left" w:pos="357"/>
        </w:tabs>
        <w:spacing w:before="0"/>
        <w:ind w:left="357" w:hanging="357"/>
        <w:rPr>
          <w:strike/>
          <w:szCs w:val="24"/>
        </w:rPr>
      </w:pPr>
      <w:r w:rsidRPr="000839A4">
        <w:rPr>
          <w:strike/>
          <w:szCs w:val="24"/>
        </w:rPr>
        <w:t>a)</w:t>
      </w:r>
      <w:r w:rsidRPr="000839A4">
        <w:rPr>
          <w:strike/>
          <w:szCs w:val="24"/>
        </w:rPr>
        <w:tab/>
        <w:t xml:space="preserve">o částku nepeněžního příjmu stanoveného podle § 23 odst. 6 písm. a) bodu 2, je-li technické zhodnocení provedeno nad rámec nájemného, </w:t>
      </w:r>
    </w:p>
    <w:p w14:paraId="55AE2BB9" w14:textId="77777777" w:rsidR="000839A4" w:rsidRPr="000839A4" w:rsidRDefault="000839A4" w:rsidP="000839A4">
      <w:pPr>
        <w:tabs>
          <w:tab w:val="left" w:pos="357"/>
        </w:tabs>
        <w:spacing w:before="0"/>
        <w:ind w:left="357" w:hanging="357"/>
        <w:rPr>
          <w:strike/>
          <w:szCs w:val="24"/>
        </w:rPr>
      </w:pPr>
      <w:r w:rsidRPr="000839A4">
        <w:rPr>
          <w:strike/>
          <w:szCs w:val="24"/>
        </w:rPr>
        <w:t>b)</w:t>
      </w:r>
      <w:r w:rsidRPr="000839A4">
        <w:rPr>
          <w:strike/>
          <w:szCs w:val="24"/>
        </w:rPr>
        <w:tab/>
        <w:t xml:space="preserve">o zůstatkovou cenu technického zhodnocení evidovanou u nájemce, je-li jím plněno nájemné. </w:t>
      </w:r>
    </w:p>
    <w:p w14:paraId="15D0308D" w14:textId="77777777" w:rsidR="000839A4" w:rsidRPr="000839A4" w:rsidRDefault="000839A4" w:rsidP="000839A4">
      <w:pPr>
        <w:spacing w:before="120" w:after="120"/>
        <w:rPr>
          <w:strike/>
          <w:szCs w:val="24"/>
        </w:rPr>
      </w:pPr>
      <w:r w:rsidRPr="000839A4">
        <w:rPr>
          <w:strike/>
          <w:szCs w:val="24"/>
        </w:rPr>
        <w:t xml:space="preserve">Provede-li nájemce technické zhodnocení nad rámec smluveného nájemného se souhlasem </w:t>
      </w:r>
      <w:proofErr w:type="spellStart"/>
      <w:r w:rsidRPr="000839A4">
        <w:rPr>
          <w:strike/>
          <w:szCs w:val="24"/>
        </w:rPr>
        <w:t>odpisovatele</w:t>
      </w:r>
      <w:proofErr w:type="spellEnd"/>
      <w:r w:rsidRPr="000839A4">
        <w:rPr>
          <w:strike/>
          <w:szCs w:val="24"/>
        </w:rPr>
        <w:t xml:space="preserve"> (pronajímatele) a neodpisuje-li je nájemce ani </w:t>
      </w:r>
      <w:proofErr w:type="spellStart"/>
      <w:r w:rsidRPr="000839A4">
        <w:rPr>
          <w:strike/>
          <w:szCs w:val="24"/>
        </w:rPr>
        <w:t>odpisovatel</w:t>
      </w:r>
      <w:proofErr w:type="spellEnd"/>
      <w:r w:rsidRPr="000839A4">
        <w:rPr>
          <w:strike/>
          <w:szCs w:val="24"/>
        </w:rPr>
        <w:t xml:space="preserve"> (pronajímatel), zvyšuje se vstupní (zůstatková) cena příslušného majetku u </w:t>
      </w:r>
      <w:proofErr w:type="spellStart"/>
      <w:r w:rsidRPr="000839A4">
        <w:rPr>
          <w:strike/>
          <w:szCs w:val="24"/>
        </w:rPr>
        <w:t>odpisovatele</w:t>
      </w:r>
      <w:proofErr w:type="spellEnd"/>
      <w:r w:rsidRPr="000839A4">
        <w:rPr>
          <w:strike/>
          <w:szCs w:val="24"/>
        </w:rPr>
        <w:t xml:space="preserve"> (pronajímatele) v roce ukončení pronájmu o částku nepeněžního příjmu podle § 23 odst. 6 písm. a) bodu 1. Po zvýšení vstupní (zůstatkové) ceny podle tohoto odstavce pokračuje </w:t>
      </w:r>
      <w:proofErr w:type="spellStart"/>
      <w:r w:rsidRPr="000839A4">
        <w:rPr>
          <w:strike/>
          <w:szCs w:val="24"/>
        </w:rPr>
        <w:t>odpisovatel</w:t>
      </w:r>
      <w:proofErr w:type="spellEnd"/>
      <w:r w:rsidRPr="000839A4">
        <w:rPr>
          <w:strike/>
          <w:szCs w:val="24"/>
        </w:rPr>
        <w:t xml:space="preserve"> (pronajímatel) v odpisování ze zvýšené vstupní ceny nebo ze zvýšené zůstatkové ceny. Nemá-li poplatník majetek, jehož vstupní cenu by bylo možné zvýšit, vznikne mu jiný majetek v ocenění, které </w:t>
      </w:r>
      <w:r w:rsidRPr="000839A4">
        <w:rPr>
          <w:strike/>
          <w:szCs w:val="24"/>
        </w:rPr>
        <w:lastRenderedPageBreak/>
        <w:t xml:space="preserve">by jinak zvyšovalo vstupní cenu. Toto ustanovení se nepoužije, pokud dochází k ukončení nájmu z důvodu odkoupení najaté věci nájemcem, který zahrne zůstatkovou cenu jím odpisovaného technického zhodnocení do vstupní ceny podle § 29 odst. 1 písm. a). </w:t>
      </w:r>
    </w:p>
    <w:p w14:paraId="6EE34A9D" w14:textId="77777777" w:rsidR="000839A4" w:rsidRPr="000839A4" w:rsidRDefault="000839A4" w:rsidP="000839A4">
      <w:pPr>
        <w:spacing w:before="120" w:after="120"/>
        <w:rPr>
          <w:strike/>
          <w:szCs w:val="24"/>
        </w:rPr>
      </w:pPr>
      <w:r w:rsidRPr="000839A4">
        <w:rPr>
          <w:strike/>
          <w:szCs w:val="24"/>
        </w:rPr>
        <w:t xml:space="preserve">(7) Při zvýšení nebo snížení vstupní ceny, ke kterému dochází u již odpisovaného majetku z jiného důvodu, než je jeho technické zhodnocení (dále jen "změněná vstupní cena"), se odpis stanoví ze změněné vstupní (zůstatkové) ceny při zachování platné sazby (koeficientu) podle § 31 nebo § 32. </w:t>
      </w:r>
    </w:p>
    <w:p w14:paraId="20B26E7C" w14:textId="77777777" w:rsidR="000839A4" w:rsidRPr="000839A4" w:rsidRDefault="000839A4" w:rsidP="000839A4">
      <w:pPr>
        <w:spacing w:before="120" w:after="120"/>
        <w:rPr>
          <w:strike/>
          <w:szCs w:val="24"/>
        </w:rPr>
      </w:pPr>
      <w:r w:rsidRPr="000839A4">
        <w:rPr>
          <w:strike/>
          <w:szCs w:val="24"/>
        </w:rPr>
        <w:t>(8) U hmotného majetku, který poplatník uvedený v § 2 pořídil v době kratší než 5 let před jeho vložením do obchodní korporace a nebyl zahrnut do obchodního majetku, je u nabyvatele vstupní cenou, byl-li pořízen úplatně, pořizovací cena, byl-li pořízen nebo vyroben ve vlastní režii, jsou vstupní cenou vlastní náklady, a při nabytí hmotného majetku bezúplatně, cena hmotného majetku podle zvláštního právního předpisu o oceňování majetku</w:t>
      </w:r>
      <w:r w:rsidRPr="000839A4">
        <w:rPr>
          <w:strike/>
          <w:szCs w:val="24"/>
          <w:vertAlign w:val="superscript"/>
        </w:rPr>
        <w:t>1a)</w:t>
      </w:r>
      <w:r w:rsidRPr="000839A4">
        <w:rPr>
          <w:strike/>
          <w:szCs w:val="24"/>
        </w:rPr>
        <w:t xml:space="preserve"> ke dni nabytí. Přitom u nemovitých věcí lze vstupní cenu u nabyvatele zvýšit o náklady prokazatelně vynaložené na jejich opravy a technické zhodnocení před vložením do obchodní korporace. Dnem vkladu do obchodní korporace se pro účely tohoto zákona rozumí den uvedený ve smlouvě o vkladu. </w:t>
      </w:r>
    </w:p>
    <w:p w14:paraId="784551DA" w14:textId="77777777" w:rsidR="000839A4" w:rsidRPr="000839A4" w:rsidRDefault="000839A4" w:rsidP="000839A4">
      <w:pPr>
        <w:spacing w:before="120" w:after="120"/>
        <w:rPr>
          <w:strike/>
          <w:szCs w:val="24"/>
        </w:rPr>
      </w:pPr>
      <w:r w:rsidRPr="000839A4">
        <w:rPr>
          <w:strike/>
          <w:szCs w:val="24"/>
        </w:rPr>
        <w:t xml:space="preserve">(9) Vstupní cena hmotného majetku se nemění, </w:t>
      </w:r>
    </w:p>
    <w:p w14:paraId="16620AFD" w14:textId="77777777" w:rsidR="000839A4" w:rsidRPr="000839A4" w:rsidRDefault="000839A4" w:rsidP="000839A4">
      <w:pPr>
        <w:tabs>
          <w:tab w:val="left" w:pos="357"/>
        </w:tabs>
        <w:spacing w:before="0"/>
        <w:ind w:left="357" w:hanging="357"/>
        <w:rPr>
          <w:strike/>
          <w:szCs w:val="24"/>
        </w:rPr>
      </w:pPr>
      <w:r w:rsidRPr="000839A4">
        <w:rPr>
          <w:strike/>
          <w:szCs w:val="24"/>
        </w:rPr>
        <w:t>a)</w:t>
      </w:r>
      <w:r w:rsidRPr="000839A4">
        <w:rPr>
          <w:strike/>
          <w:szCs w:val="24"/>
        </w:rPr>
        <w:tab/>
        <w:t>dochází-li k ocenění jmění při fúzi nebo rozdělení obchodní korporace podle zvláštního právního předpisu</w:t>
      </w:r>
      <w:r w:rsidRPr="000839A4">
        <w:rPr>
          <w:strike/>
          <w:szCs w:val="24"/>
          <w:vertAlign w:val="superscript"/>
        </w:rPr>
        <w:t>20)</w:t>
      </w:r>
      <w:r w:rsidRPr="000839A4">
        <w:rPr>
          <w:strike/>
          <w:szCs w:val="24"/>
        </w:rPr>
        <w:t xml:space="preserve"> v případě, kdy to vyžaduje zvláštní právní </w:t>
      </w:r>
      <w:proofErr w:type="gramStart"/>
      <w:r w:rsidRPr="000839A4">
        <w:rPr>
          <w:strike/>
          <w:szCs w:val="24"/>
        </w:rPr>
        <w:t>předpis,</w:t>
      </w:r>
      <w:r w:rsidRPr="000839A4">
        <w:rPr>
          <w:strike/>
          <w:szCs w:val="24"/>
          <w:vertAlign w:val="superscript"/>
        </w:rPr>
        <w:t>131</w:t>
      </w:r>
      <w:proofErr w:type="gramEnd"/>
      <w:r w:rsidRPr="000839A4">
        <w:rPr>
          <w:strike/>
          <w:szCs w:val="24"/>
          <w:vertAlign w:val="superscript"/>
        </w:rPr>
        <w:t>)</w:t>
      </w:r>
      <w:r w:rsidRPr="000839A4">
        <w:rPr>
          <w:strike/>
          <w:szCs w:val="24"/>
        </w:rPr>
        <w:t xml:space="preserve">  </w:t>
      </w:r>
    </w:p>
    <w:p w14:paraId="4A4C49E0" w14:textId="77777777" w:rsidR="000839A4" w:rsidRPr="000839A4" w:rsidRDefault="000839A4" w:rsidP="000839A4">
      <w:pPr>
        <w:tabs>
          <w:tab w:val="left" w:pos="357"/>
        </w:tabs>
        <w:spacing w:before="0"/>
        <w:ind w:left="357" w:hanging="357"/>
        <w:rPr>
          <w:strike/>
          <w:szCs w:val="24"/>
        </w:rPr>
      </w:pPr>
      <w:r w:rsidRPr="000839A4">
        <w:rPr>
          <w:strike/>
          <w:szCs w:val="24"/>
        </w:rPr>
        <w:t>b)</w:t>
      </w:r>
      <w:r w:rsidRPr="000839A4">
        <w:rPr>
          <w:strike/>
          <w:szCs w:val="24"/>
        </w:rPr>
        <w:tab/>
        <w:t xml:space="preserve">dojde-li k vypořádání mezi podílovými spoluvlastníky rozdělením věci podle zvláštního právního předpisu, nebo </w:t>
      </w:r>
    </w:p>
    <w:p w14:paraId="6BBAF887" w14:textId="77777777" w:rsidR="000839A4" w:rsidRPr="000839A4" w:rsidRDefault="000839A4" w:rsidP="000839A4">
      <w:pPr>
        <w:tabs>
          <w:tab w:val="left" w:pos="357"/>
        </w:tabs>
        <w:spacing w:before="0"/>
        <w:ind w:left="357" w:hanging="357"/>
        <w:rPr>
          <w:strike/>
          <w:szCs w:val="24"/>
        </w:rPr>
      </w:pPr>
      <w:r w:rsidRPr="000839A4">
        <w:rPr>
          <w:strike/>
          <w:szCs w:val="24"/>
        </w:rPr>
        <w:t>c)</w:t>
      </w:r>
      <w:r w:rsidRPr="000839A4">
        <w:rPr>
          <w:strike/>
          <w:szCs w:val="24"/>
        </w:rPr>
        <w:tab/>
        <w:t>jsou-li v budově vymezeny jednotky.</w:t>
      </w:r>
    </w:p>
    <w:p w14:paraId="7EDD514B" w14:textId="77777777" w:rsidR="000839A4" w:rsidRPr="000839A4" w:rsidRDefault="000839A4" w:rsidP="000839A4">
      <w:pPr>
        <w:spacing w:before="120" w:after="120"/>
        <w:rPr>
          <w:strike/>
          <w:szCs w:val="24"/>
        </w:rPr>
      </w:pPr>
      <w:r w:rsidRPr="000839A4">
        <w:rPr>
          <w:strike/>
          <w:szCs w:val="24"/>
        </w:rPr>
        <w:t xml:space="preserve">(10) Vstupní cena hmotného majetku původního </w:t>
      </w:r>
      <w:proofErr w:type="spellStart"/>
      <w:r w:rsidRPr="000839A4">
        <w:rPr>
          <w:strike/>
          <w:szCs w:val="24"/>
        </w:rPr>
        <w:t>odpisovatele</w:t>
      </w:r>
      <w:proofErr w:type="spellEnd"/>
      <w:r w:rsidRPr="000839A4">
        <w:rPr>
          <w:strike/>
          <w:szCs w:val="24"/>
        </w:rPr>
        <w:t xml:space="preserve"> použitá při pokračování v odpisování se zvyšuje o částky, které se u poplatníka, který pokračuje v odpisování započatém původním </w:t>
      </w:r>
      <w:proofErr w:type="spellStart"/>
      <w:r w:rsidRPr="000839A4">
        <w:rPr>
          <w:strike/>
          <w:szCs w:val="24"/>
        </w:rPr>
        <w:t>odpisovatelem</w:t>
      </w:r>
      <w:proofErr w:type="spellEnd"/>
      <w:r w:rsidRPr="000839A4">
        <w:rPr>
          <w:strike/>
          <w:szCs w:val="24"/>
        </w:rPr>
        <w:t>, staly součástí ocenění tohoto majetku podle právních předpisů upravujících účetnictví.</w:t>
      </w:r>
    </w:p>
    <w:p w14:paraId="0B84AD00" w14:textId="77777777" w:rsidR="000839A4" w:rsidRPr="000839A4" w:rsidRDefault="000839A4" w:rsidP="000839A4">
      <w:pPr>
        <w:keepNext/>
        <w:ind w:firstLine="0"/>
        <w:jc w:val="center"/>
        <w:rPr>
          <w:strike/>
          <w:szCs w:val="24"/>
        </w:rPr>
      </w:pPr>
      <w:r w:rsidRPr="000839A4">
        <w:rPr>
          <w:strike/>
          <w:szCs w:val="24"/>
        </w:rPr>
        <w:t>§ 30</w:t>
      </w:r>
    </w:p>
    <w:p w14:paraId="62FF3851" w14:textId="149D8B38" w:rsidR="000839A4" w:rsidRPr="00602C4F" w:rsidRDefault="000839A4" w:rsidP="00602C4F">
      <w:pPr>
        <w:spacing w:before="120" w:after="120"/>
        <w:rPr>
          <w:strike/>
          <w:szCs w:val="24"/>
        </w:rPr>
      </w:pPr>
      <w:r w:rsidRPr="000839A4">
        <w:rPr>
          <w:strike/>
          <w:szCs w:val="24"/>
        </w:rPr>
        <w:t>(1) V prvním roce odpisování zatřídí poplatník hmotný majetek do odpisových skupin uvedených v příloze č. 1 k tomuto zákonu. Došlo-li u stavebního díla ke změně hlavního užívání a v důsledku této změny se mění i zatřídění do odpisové skupiny uvedené v příloze č. 1 k tomuto zákonu, provede poplatník změnu zatřídění tohoto majetku ve zdaňovacím období nebo v období, za něž se podává daňové přiznání, ve kterém ke změně došlo. Samostatně odpisované technické zhodnocení provedené na hmotném majetku vyloučeném z odpisování se zatřídí do odpisové skupiny, do které náleží hmotný majetek, na němž bylo technické zhodnocení provedeno. Doba odpisování činí minimáln</w:t>
      </w:r>
      <w:r w:rsidR="00602C4F">
        <w:rPr>
          <w:strike/>
          <w:szCs w:val="24"/>
        </w:rPr>
        <w:t xml:space="preserve">ě: </w:t>
      </w:r>
    </w:p>
    <w:tbl>
      <w:tblPr>
        <w:tblStyle w:val="Mkatabulky"/>
        <w:tblW w:w="0" w:type="auto"/>
        <w:tblInd w:w="1980" w:type="dxa"/>
        <w:tblLook w:val="04A0" w:firstRow="1" w:lastRow="0" w:firstColumn="1" w:lastColumn="0" w:noHBand="0" w:noVBand="1"/>
      </w:tblPr>
      <w:tblGrid>
        <w:gridCol w:w="2693"/>
        <w:gridCol w:w="2835"/>
      </w:tblGrid>
      <w:tr w:rsidR="00602C4F" w14:paraId="389DC1BF" w14:textId="77777777" w:rsidTr="00602C4F">
        <w:tc>
          <w:tcPr>
            <w:tcW w:w="2693" w:type="dxa"/>
          </w:tcPr>
          <w:p w14:paraId="42A7958D" w14:textId="0D14F987" w:rsidR="00602C4F" w:rsidRDefault="00602C4F" w:rsidP="00602C4F">
            <w:pPr>
              <w:spacing w:before="120" w:after="120"/>
              <w:ind w:firstLine="0"/>
              <w:jc w:val="center"/>
              <w:rPr>
                <w:strike/>
                <w:szCs w:val="24"/>
              </w:rPr>
            </w:pPr>
            <w:r>
              <w:rPr>
                <w:strike/>
                <w:szCs w:val="24"/>
              </w:rPr>
              <w:t>Odpisová skupina</w:t>
            </w:r>
          </w:p>
        </w:tc>
        <w:tc>
          <w:tcPr>
            <w:tcW w:w="2835" w:type="dxa"/>
          </w:tcPr>
          <w:p w14:paraId="32210A88" w14:textId="4D88A634" w:rsidR="00602C4F" w:rsidRDefault="00602C4F" w:rsidP="00602C4F">
            <w:pPr>
              <w:spacing w:before="120" w:after="120"/>
              <w:ind w:firstLine="0"/>
              <w:jc w:val="center"/>
              <w:rPr>
                <w:strike/>
                <w:szCs w:val="24"/>
              </w:rPr>
            </w:pPr>
            <w:r>
              <w:rPr>
                <w:strike/>
                <w:szCs w:val="24"/>
              </w:rPr>
              <w:t>Doba odpisování</w:t>
            </w:r>
          </w:p>
        </w:tc>
      </w:tr>
      <w:tr w:rsidR="00602C4F" w14:paraId="5AA1CB6A" w14:textId="77777777" w:rsidTr="00602C4F">
        <w:tc>
          <w:tcPr>
            <w:tcW w:w="2693" w:type="dxa"/>
          </w:tcPr>
          <w:p w14:paraId="171E9B06" w14:textId="0E5CF0EF" w:rsidR="00602C4F" w:rsidRDefault="00602C4F" w:rsidP="00602C4F">
            <w:pPr>
              <w:spacing w:before="120" w:after="120"/>
              <w:ind w:firstLine="0"/>
              <w:jc w:val="center"/>
              <w:rPr>
                <w:strike/>
                <w:szCs w:val="24"/>
              </w:rPr>
            </w:pPr>
            <w:r>
              <w:rPr>
                <w:strike/>
                <w:szCs w:val="24"/>
              </w:rPr>
              <w:t>1</w:t>
            </w:r>
          </w:p>
        </w:tc>
        <w:tc>
          <w:tcPr>
            <w:tcW w:w="2835" w:type="dxa"/>
          </w:tcPr>
          <w:p w14:paraId="0C2DF878" w14:textId="2B48E3A8" w:rsidR="00602C4F" w:rsidRDefault="00602C4F" w:rsidP="00602C4F">
            <w:pPr>
              <w:spacing w:before="120" w:after="120"/>
              <w:ind w:firstLine="0"/>
              <w:jc w:val="center"/>
              <w:rPr>
                <w:strike/>
                <w:szCs w:val="24"/>
              </w:rPr>
            </w:pPr>
            <w:r>
              <w:rPr>
                <w:strike/>
                <w:szCs w:val="24"/>
              </w:rPr>
              <w:t>3 roky</w:t>
            </w:r>
          </w:p>
        </w:tc>
      </w:tr>
      <w:tr w:rsidR="00602C4F" w14:paraId="29FC5AB7" w14:textId="77777777" w:rsidTr="00602C4F">
        <w:tc>
          <w:tcPr>
            <w:tcW w:w="2693" w:type="dxa"/>
          </w:tcPr>
          <w:p w14:paraId="0C0587B7" w14:textId="1E93C4B6" w:rsidR="00602C4F" w:rsidRDefault="00602C4F" w:rsidP="00602C4F">
            <w:pPr>
              <w:spacing w:before="120" w:after="120"/>
              <w:ind w:firstLine="0"/>
              <w:jc w:val="center"/>
              <w:rPr>
                <w:strike/>
                <w:szCs w:val="24"/>
              </w:rPr>
            </w:pPr>
            <w:r>
              <w:rPr>
                <w:strike/>
                <w:szCs w:val="24"/>
              </w:rPr>
              <w:t>2</w:t>
            </w:r>
          </w:p>
        </w:tc>
        <w:tc>
          <w:tcPr>
            <w:tcW w:w="2835" w:type="dxa"/>
          </w:tcPr>
          <w:p w14:paraId="4B3421AA" w14:textId="35BF23F4" w:rsidR="00602C4F" w:rsidRDefault="00602C4F" w:rsidP="00602C4F">
            <w:pPr>
              <w:spacing w:before="120" w:after="120"/>
              <w:ind w:firstLine="0"/>
              <w:jc w:val="center"/>
              <w:rPr>
                <w:strike/>
                <w:szCs w:val="24"/>
              </w:rPr>
            </w:pPr>
            <w:r>
              <w:rPr>
                <w:strike/>
                <w:szCs w:val="24"/>
              </w:rPr>
              <w:t>5 let</w:t>
            </w:r>
          </w:p>
        </w:tc>
      </w:tr>
      <w:tr w:rsidR="00602C4F" w14:paraId="1E6BA1F7" w14:textId="77777777" w:rsidTr="00602C4F">
        <w:tc>
          <w:tcPr>
            <w:tcW w:w="2693" w:type="dxa"/>
          </w:tcPr>
          <w:p w14:paraId="5130DDCB" w14:textId="25EE4353" w:rsidR="00602C4F" w:rsidRDefault="00602C4F" w:rsidP="00602C4F">
            <w:pPr>
              <w:spacing w:before="120" w:after="120"/>
              <w:ind w:firstLine="0"/>
              <w:jc w:val="center"/>
              <w:rPr>
                <w:strike/>
                <w:szCs w:val="24"/>
              </w:rPr>
            </w:pPr>
            <w:r>
              <w:rPr>
                <w:strike/>
                <w:szCs w:val="24"/>
              </w:rPr>
              <w:t>3</w:t>
            </w:r>
          </w:p>
        </w:tc>
        <w:tc>
          <w:tcPr>
            <w:tcW w:w="2835" w:type="dxa"/>
          </w:tcPr>
          <w:p w14:paraId="5AB9A13E" w14:textId="35F526EE" w:rsidR="00602C4F" w:rsidRDefault="00602C4F" w:rsidP="00602C4F">
            <w:pPr>
              <w:spacing w:before="120" w:after="120"/>
              <w:ind w:firstLine="0"/>
              <w:jc w:val="center"/>
              <w:rPr>
                <w:strike/>
                <w:szCs w:val="24"/>
              </w:rPr>
            </w:pPr>
            <w:r>
              <w:rPr>
                <w:strike/>
                <w:szCs w:val="24"/>
              </w:rPr>
              <w:t>10 let</w:t>
            </w:r>
          </w:p>
        </w:tc>
      </w:tr>
      <w:tr w:rsidR="00602C4F" w14:paraId="7A618C09" w14:textId="77777777" w:rsidTr="00602C4F">
        <w:tc>
          <w:tcPr>
            <w:tcW w:w="2693" w:type="dxa"/>
          </w:tcPr>
          <w:p w14:paraId="22313D6D" w14:textId="40998C63" w:rsidR="00602C4F" w:rsidRDefault="00602C4F" w:rsidP="00602C4F">
            <w:pPr>
              <w:spacing w:before="120" w:after="120"/>
              <w:ind w:firstLine="0"/>
              <w:jc w:val="center"/>
              <w:rPr>
                <w:strike/>
                <w:szCs w:val="24"/>
              </w:rPr>
            </w:pPr>
            <w:r>
              <w:rPr>
                <w:strike/>
                <w:szCs w:val="24"/>
              </w:rPr>
              <w:t>4</w:t>
            </w:r>
          </w:p>
        </w:tc>
        <w:tc>
          <w:tcPr>
            <w:tcW w:w="2835" w:type="dxa"/>
          </w:tcPr>
          <w:p w14:paraId="560E3705" w14:textId="3D2AE93C" w:rsidR="00602C4F" w:rsidRDefault="00602C4F" w:rsidP="00602C4F">
            <w:pPr>
              <w:spacing w:before="120" w:after="120"/>
              <w:ind w:firstLine="0"/>
              <w:jc w:val="center"/>
              <w:rPr>
                <w:strike/>
                <w:szCs w:val="24"/>
              </w:rPr>
            </w:pPr>
            <w:r>
              <w:rPr>
                <w:strike/>
                <w:szCs w:val="24"/>
              </w:rPr>
              <w:t>20 let</w:t>
            </w:r>
          </w:p>
        </w:tc>
      </w:tr>
      <w:tr w:rsidR="00602C4F" w14:paraId="616B3B6F" w14:textId="77777777" w:rsidTr="00602C4F">
        <w:tc>
          <w:tcPr>
            <w:tcW w:w="2693" w:type="dxa"/>
          </w:tcPr>
          <w:p w14:paraId="0B463194" w14:textId="5DAB8582" w:rsidR="00602C4F" w:rsidRDefault="00602C4F" w:rsidP="00602C4F">
            <w:pPr>
              <w:spacing w:before="120" w:after="120"/>
              <w:ind w:firstLine="0"/>
              <w:jc w:val="center"/>
              <w:rPr>
                <w:strike/>
                <w:szCs w:val="24"/>
              </w:rPr>
            </w:pPr>
            <w:r>
              <w:rPr>
                <w:strike/>
                <w:szCs w:val="24"/>
              </w:rPr>
              <w:lastRenderedPageBreak/>
              <w:t>5</w:t>
            </w:r>
          </w:p>
        </w:tc>
        <w:tc>
          <w:tcPr>
            <w:tcW w:w="2835" w:type="dxa"/>
          </w:tcPr>
          <w:p w14:paraId="1EE8BB6E" w14:textId="2DCDDA53" w:rsidR="00602C4F" w:rsidRDefault="00602C4F" w:rsidP="00602C4F">
            <w:pPr>
              <w:spacing w:before="120" w:after="120"/>
              <w:ind w:firstLine="0"/>
              <w:jc w:val="center"/>
              <w:rPr>
                <w:strike/>
                <w:szCs w:val="24"/>
              </w:rPr>
            </w:pPr>
            <w:r>
              <w:rPr>
                <w:strike/>
                <w:szCs w:val="24"/>
              </w:rPr>
              <w:t>30 let</w:t>
            </w:r>
          </w:p>
        </w:tc>
      </w:tr>
      <w:tr w:rsidR="00602C4F" w14:paraId="3FB99242" w14:textId="77777777" w:rsidTr="00602C4F">
        <w:tc>
          <w:tcPr>
            <w:tcW w:w="2693" w:type="dxa"/>
          </w:tcPr>
          <w:p w14:paraId="69D3EE4F" w14:textId="182DBA60" w:rsidR="00602C4F" w:rsidRDefault="00602C4F" w:rsidP="00602C4F">
            <w:pPr>
              <w:spacing w:before="120" w:after="120"/>
              <w:ind w:firstLine="0"/>
              <w:jc w:val="center"/>
              <w:rPr>
                <w:strike/>
                <w:szCs w:val="24"/>
              </w:rPr>
            </w:pPr>
            <w:r>
              <w:rPr>
                <w:strike/>
                <w:szCs w:val="24"/>
              </w:rPr>
              <w:t>6</w:t>
            </w:r>
          </w:p>
        </w:tc>
        <w:tc>
          <w:tcPr>
            <w:tcW w:w="2835" w:type="dxa"/>
          </w:tcPr>
          <w:p w14:paraId="026A3681" w14:textId="29F1A289" w:rsidR="00602C4F" w:rsidRDefault="00602C4F" w:rsidP="00602C4F">
            <w:pPr>
              <w:spacing w:before="120" w:after="120"/>
              <w:ind w:firstLine="0"/>
              <w:jc w:val="center"/>
              <w:rPr>
                <w:strike/>
                <w:szCs w:val="24"/>
              </w:rPr>
            </w:pPr>
            <w:r>
              <w:rPr>
                <w:strike/>
                <w:szCs w:val="24"/>
              </w:rPr>
              <w:t>50 let.</w:t>
            </w:r>
          </w:p>
        </w:tc>
      </w:tr>
    </w:tbl>
    <w:p w14:paraId="742078A1" w14:textId="01FAFAE0" w:rsidR="000839A4" w:rsidRPr="000839A4" w:rsidRDefault="000839A4" w:rsidP="000839A4">
      <w:pPr>
        <w:spacing w:before="120" w:after="120"/>
        <w:rPr>
          <w:strike/>
          <w:szCs w:val="24"/>
        </w:rPr>
      </w:pPr>
      <w:r w:rsidRPr="000839A4">
        <w:rPr>
          <w:strike/>
          <w:szCs w:val="24"/>
        </w:rPr>
        <w:t xml:space="preserve">Stanovená doba odpisování se nevztahuje na hmotný majetek, u něhož došlo v průběhu odpisování k prodloužení doby odpisování. Stavební dílo (dům, budova, stavba) se zařazuje do odpisové skupiny podle jeho hlavního užívání v souladu se zvláštní právním předpisem. Při užívání budovy k několika účelům je pro zařazení do odpisové skupiny rozhodující převažující podíl užívání na celkové využitelné podlahové </w:t>
      </w:r>
      <w:proofErr w:type="gramStart"/>
      <w:r w:rsidRPr="000839A4">
        <w:rPr>
          <w:strike/>
          <w:szCs w:val="24"/>
        </w:rPr>
        <w:t>ploše.</w:t>
      </w:r>
      <w:r w:rsidRPr="000839A4">
        <w:rPr>
          <w:strike/>
          <w:szCs w:val="24"/>
          <w:vertAlign w:val="superscript"/>
        </w:rPr>
        <w:footnoteReference w:customMarkFollows="1" w:id="176"/>
        <w:t>99</w:t>
      </w:r>
      <w:proofErr w:type="gramEnd"/>
      <w:r w:rsidRPr="000839A4">
        <w:rPr>
          <w:strike/>
          <w:szCs w:val="24"/>
          <w:vertAlign w:val="superscript"/>
        </w:rPr>
        <w:t>)</w:t>
      </w:r>
      <w:r w:rsidRPr="000839A4">
        <w:rPr>
          <w:strike/>
          <w:szCs w:val="24"/>
        </w:rPr>
        <w:t xml:space="preserve"> Hmotný majetek, který nelze zařadit do odpisových skupin podle přílohy č. 1 k tomuto zákonu, s výjimkou uvedenou v odstavcích 6 až 8, zatříděný podle Klasifikace stavebních děl CZ-CC vydané Českým statistickým úřadem</w:t>
      </w:r>
      <w:r w:rsidRPr="000839A4">
        <w:rPr>
          <w:strike/>
          <w:szCs w:val="24"/>
          <w:vertAlign w:val="superscript"/>
        </w:rPr>
        <w:t>99)</w:t>
      </w:r>
      <w:r w:rsidRPr="000839A4">
        <w:rPr>
          <w:strike/>
          <w:szCs w:val="24"/>
        </w:rPr>
        <w:t xml:space="preserve"> se zařadí do odpisové skupiny 5 a ostatní hmotný majetek zatříděný podle klasifikace produkce CZ-CPA se zařadí do odpisové skupiny 2. </w:t>
      </w:r>
    </w:p>
    <w:p w14:paraId="1CC0A656" w14:textId="77777777" w:rsidR="000839A4" w:rsidRPr="000839A4" w:rsidRDefault="000839A4" w:rsidP="000839A4">
      <w:pPr>
        <w:spacing w:before="120" w:after="120"/>
        <w:rPr>
          <w:strike/>
          <w:szCs w:val="24"/>
        </w:rPr>
      </w:pPr>
      <w:r w:rsidRPr="000839A4">
        <w:rPr>
          <w:strike/>
          <w:szCs w:val="24"/>
        </w:rPr>
        <w:t xml:space="preserve">(2) Poplatník provádí rovnoměrné (§ 31) nebo zrychlené odpisování (§ 32). Způsob odpisování pro každý nově pořízený hmotný majetek stanoví </w:t>
      </w:r>
      <w:proofErr w:type="spellStart"/>
      <w:r w:rsidRPr="000839A4">
        <w:rPr>
          <w:strike/>
          <w:szCs w:val="24"/>
        </w:rPr>
        <w:t>odpisovatel</w:t>
      </w:r>
      <w:proofErr w:type="spellEnd"/>
      <w:r w:rsidRPr="000839A4">
        <w:rPr>
          <w:strike/>
          <w:szCs w:val="24"/>
        </w:rPr>
        <w:t xml:space="preserve">, s výjimkou uvedenou v odstavci 10, a nelze jej změnit po celou dobu jeho odpisování. </w:t>
      </w:r>
    </w:p>
    <w:p w14:paraId="25B9EFCF" w14:textId="77777777" w:rsidR="000839A4" w:rsidRPr="000839A4" w:rsidRDefault="000839A4" w:rsidP="000839A4">
      <w:pPr>
        <w:spacing w:before="120" w:after="120"/>
        <w:rPr>
          <w:strike/>
          <w:szCs w:val="24"/>
        </w:rPr>
      </w:pPr>
      <w:r w:rsidRPr="000839A4">
        <w:rPr>
          <w:strike/>
          <w:szCs w:val="24"/>
        </w:rPr>
        <w:t xml:space="preserve">(3) Hmotný majetek se odpisuje nejvýše do vstupní ceny nebo do zvýšené vstupní ceny. </w:t>
      </w:r>
    </w:p>
    <w:p w14:paraId="6931A560" w14:textId="77777777" w:rsidR="000839A4" w:rsidRPr="000839A4" w:rsidRDefault="000839A4" w:rsidP="000839A4">
      <w:pPr>
        <w:spacing w:before="120" w:after="120"/>
        <w:rPr>
          <w:strike/>
          <w:szCs w:val="24"/>
        </w:rPr>
      </w:pPr>
      <w:r w:rsidRPr="000839A4">
        <w:rPr>
          <w:strike/>
          <w:szCs w:val="24"/>
        </w:rPr>
        <w:t>(4) Roční odpis otvírek nových lomů, pískoven, hlinišť a technické rekultivace, pokud tyto nejsou součástí hmotného majetku, do jehož vstupní ceny jsou zahrnuty, dočasných staveb a důlních děl, se stanoví jako podíl vstupní ceny a stanovené doby trvání. Obdobně se odpisuje hmotný majetek, jehož životnost nebo doba trvání je stanovena v letech obecně závazným předpisem nebo příslušným orgánem na základě zmocnění ve zvláštním zákoně. Roční odpis práva stavby se stanoví jako podíl vstupní ceny a sjednané doby trvání práva stavby.</w:t>
      </w:r>
    </w:p>
    <w:p w14:paraId="30A23129" w14:textId="77777777" w:rsidR="000839A4" w:rsidRPr="000839A4" w:rsidRDefault="000839A4" w:rsidP="000839A4">
      <w:pPr>
        <w:spacing w:before="120" w:after="120"/>
        <w:rPr>
          <w:strike/>
          <w:szCs w:val="24"/>
        </w:rPr>
      </w:pPr>
      <w:r w:rsidRPr="000839A4">
        <w:rPr>
          <w:strike/>
          <w:szCs w:val="24"/>
        </w:rPr>
        <w:t xml:space="preserve">(5) U matric, zápustek, forem, modelů a šablon v klasifikaci produkce CZ-CPA označených kódem 25.73.50 a kódem 25.73.60 se roční odpis stanoví jako podíl vstupní ceny a stanovené doby použitelnosti nebo stanoveného počtu vyrobených odlitků nebo výlisků. </w:t>
      </w:r>
    </w:p>
    <w:p w14:paraId="5944D134" w14:textId="77777777" w:rsidR="000839A4" w:rsidRPr="000839A4" w:rsidRDefault="000839A4" w:rsidP="000839A4">
      <w:pPr>
        <w:spacing w:before="120" w:after="120"/>
        <w:rPr>
          <w:strike/>
          <w:szCs w:val="24"/>
        </w:rPr>
      </w:pPr>
      <w:r w:rsidRPr="000839A4">
        <w:rPr>
          <w:strike/>
          <w:szCs w:val="24"/>
        </w:rPr>
        <w:t xml:space="preserve">(6) U technického zhodnocení provedeného na nemovité kulturní památce (§ 29 odst. 3) se roční odpis stanoví ve výši jedné patnáctiny vstupní ceny. </w:t>
      </w:r>
    </w:p>
    <w:p w14:paraId="401A9387" w14:textId="77777777" w:rsidR="000839A4" w:rsidRPr="000839A4" w:rsidRDefault="000839A4" w:rsidP="000839A4">
      <w:pPr>
        <w:spacing w:before="120" w:after="120"/>
        <w:rPr>
          <w:strike/>
          <w:szCs w:val="24"/>
        </w:rPr>
      </w:pPr>
      <w:r w:rsidRPr="000839A4">
        <w:rPr>
          <w:strike/>
          <w:szCs w:val="24"/>
        </w:rPr>
        <w:t xml:space="preserve">(7) Roční odpis podle odstavců 4 až 6 se stanoví s přesností na dny nebo s přesností na celé měsíce, počínaje následujícím měsícem po dni, v němž byly splněny podmínky pro odpisování; přitom odpisování nelze přerušit. </w:t>
      </w:r>
    </w:p>
    <w:p w14:paraId="569A8180" w14:textId="77777777" w:rsidR="000839A4" w:rsidRPr="000839A4" w:rsidRDefault="000839A4" w:rsidP="000839A4">
      <w:pPr>
        <w:spacing w:before="120" w:after="120"/>
        <w:rPr>
          <w:strike/>
          <w:szCs w:val="24"/>
        </w:rPr>
      </w:pPr>
      <w:r w:rsidRPr="000839A4">
        <w:rPr>
          <w:strike/>
          <w:szCs w:val="24"/>
        </w:rPr>
        <w:t xml:space="preserve">(8) Při zahájení (ukončení) odpisování podle odstavců 4 až 6 v průběhu zdaňovacího období lze uplatnit roční odpisy pouze ve výši připadající na toto zdaňovací období v závislosti na zvoleném způsobu stanovení přesnosti odpisů podle odstavce 7. </w:t>
      </w:r>
    </w:p>
    <w:p w14:paraId="0066F514" w14:textId="77777777" w:rsidR="000839A4" w:rsidRPr="000839A4" w:rsidRDefault="000839A4" w:rsidP="000839A4">
      <w:pPr>
        <w:spacing w:before="120" w:after="120"/>
        <w:rPr>
          <w:strike/>
          <w:szCs w:val="24"/>
        </w:rPr>
      </w:pPr>
      <w:r w:rsidRPr="000839A4">
        <w:rPr>
          <w:strike/>
          <w:szCs w:val="24"/>
        </w:rPr>
        <w:t xml:space="preserve">(9) Odpisy stanovené podle odstavců 4 až 6 se zaokrouhlují na celé koruny nahoru. </w:t>
      </w:r>
    </w:p>
    <w:p w14:paraId="08D4B11F" w14:textId="77777777" w:rsidR="000839A4" w:rsidRPr="000839A4" w:rsidRDefault="000839A4" w:rsidP="000839A4">
      <w:pPr>
        <w:spacing w:before="120" w:after="120"/>
        <w:rPr>
          <w:strike/>
          <w:szCs w:val="24"/>
        </w:rPr>
      </w:pPr>
      <w:r w:rsidRPr="000839A4">
        <w:rPr>
          <w:strike/>
          <w:szCs w:val="24"/>
        </w:rPr>
        <w:t xml:space="preserve">(10) Ze vstupní ceny, ze které odpisoval původní </w:t>
      </w:r>
      <w:proofErr w:type="spellStart"/>
      <w:r w:rsidRPr="000839A4">
        <w:rPr>
          <w:strike/>
          <w:szCs w:val="24"/>
        </w:rPr>
        <w:t>odpisovatel</w:t>
      </w:r>
      <w:proofErr w:type="spellEnd"/>
      <w:r w:rsidRPr="000839A4">
        <w:rPr>
          <w:strike/>
          <w:szCs w:val="24"/>
        </w:rPr>
        <w:t xml:space="preserve">, který je poplatníkem uvedeným v § 2 nebo v § 17 odst. 3 nebo stálou provozovnou poplatníka uvedeného v § 17 odst. 4 na území České republiky, s výjimkou uvedenou v § 29 odst. 7, a při zachování způsobu odpisování pokračuje v odpisování započatém původním </w:t>
      </w:r>
      <w:proofErr w:type="spellStart"/>
      <w:r w:rsidRPr="000839A4">
        <w:rPr>
          <w:strike/>
          <w:szCs w:val="24"/>
        </w:rPr>
        <w:t>odpisovatelem</w:t>
      </w:r>
      <w:proofErr w:type="spellEnd"/>
      <w:r w:rsidRPr="000839A4">
        <w:rPr>
          <w:strike/>
          <w:szCs w:val="24"/>
        </w:rPr>
        <w:t xml:space="preserve"> </w:t>
      </w:r>
    </w:p>
    <w:p w14:paraId="629BB639" w14:textId="77777777" w:rsidR="000839A4" w:rsidRPr="000839A4" w:rsidRDefault="000839A4" w:rsidP="000839A4">
      <w:pPr>
        <w:tabs>
          <w:tab w:val="left" w:pos="357"/>
        </w:tabs>
        <w:spacing w:before="0"/>
        <w:ind w:left="357" w:hanging="357"/>
        <w:rPr>
          <w:strike/>
          <w:szCs w:val="24"/>
        </w:rPr>
      </w:pPr>
      <w:r w:rsidRPr="000839A4">
        <w:rPr>
          <w:strike/>
          <w:szCs w:val="24"/>
        </w:rPr>
        <w:t>a)</w:t>
      </w:r>
      <w:r w:rsidRPr="000839A4">
        <w:rPr>
          <w:strike/>
          <w:szCs w:val="24"/>
        </w:rPr>
        <w:tab/>
        <w:t xml:space="preserve">právní nástupce poplatníka a nástupnická obchodní korporace, </w:t>
      </w:r>
    </w:p>
    <w:p w14:paraId="0AAA8743" w14:textId="77777777" w:rsidR="000839A4" w:rsidRPr="000839A4" w:rsidRDefault="000839A4" w:rsidP="000839A4">
      <w:pPr>
        <w:tabs>
          <w:tab w:val="left" w:pos="357"/>
        </w:tabs>
        <w:spacing w:before="0"/>
        <w:ind w:left="357" w:hanging="357"/>
        <w:rPr>
          <w:strike/>
          <w:szCs w:val="24"/>
        </w:rPr>
      </w:pPr>
      <w:r w:rsidRPr="000839A4">
        <w:rPr>
          <w:strike/>
          <w:szCs w:val="24"/>
        </w:rPr>
        <w:t>b)</w:t>
      </w:r>
      <w:r w:rsidRPr="000839A4">
        <w:rPr>
          <w:strike/>
          <w:szCs w:val="24"/>
        </w:rPr>
        <w:tab/>
        <w:t>poplatník u hmotného majetku nabytého</w:t>
      </w:r>
    </w:p>
    <w:p w14:paraId="4B13C25F" w14:textId="77777777" w:rsidR="000839A4" w:rsidRPr="000839A4" w:rsidRDefault="000839A4" w:rsidP="000839A4">
      <w:pPr>
        <w:tabs>
          <w:tab w:val="left" w:pos="357"/>
        </w:tabs>
        <w:spacing w:before="0"/>
        <w:ind w:left="714" w:hanging="357"/>
        <w:rPr>
          <w:strike/>
          <w:szCs w:val="24"/>
        </w:rPr>
      </w:pPr>
      <w:r w:rsidRPr="000839A4">
        <w:rPr>
          <w:strike/>
          <w:szCs w:val="24"/>
        </w:rPr>
        <w:lastRenderedPageBreak/>
        <w:t>1.</w:t>
      </w:r>
      <w:r w:rsidRPr="000839A4">
        <w:rPr>
          <w:strike/>
          <w:szCs w:val="24"/>
        </w:rPr>
        <w:tab/>
        <w:t xml:space="preserve">vkladem společníka, podílníka nebo člena družstva s bydlištěm nebo sídlem na území České republiky, který byl zároveň u fyzické osoby zahrnut v obchodním majetku a u právnické osoby v jejím majetku, </w:t>
      </w:r>
    </w:p>
    <w:p w14:paraId="501496B8" w14:textId="77777777" w:rsidR="000839A4" w:rsidRPr="000839A4" w:rsidRDefault="000839A4" w:rsidP="000839A4">
      <w:pPr>
        <w:tabs>
          <w:tab w:val="left" w:pos="357"/>
        </w:tabs>
        <w:spacing w:before="0"/>
        <w:ind w:left="714" w:hanging="357"/>
        <w:rPr>
          <w:strike/>
          <w:szCs w:val="24"/>
        </w:rPr>
      </w:pPr>
      <w:r w:rsidRPr="000839A4">
        <w:rPr>
          <w:strike/>
          <w:szCs w:val="24"/>
        </w:rPr>
        <w:t>2.</w:t>
      </w:r>
      <w:r w:rsidRPr="000839A4">
        <w:rPr>
          <w:strike/>
          <w:szCs w:val="24"/>
        </w:rPr>
        <w:tab/>
        <w:t xml:space="preserve">vkladem obce nebo kraje, pokud byl tento majetek ve vlastnictví obce nebo kraje a byl zahrnut v jejich majetku, </w:t>
      </w:r>
    </w:p>
    <w:p w14:paraId="40E6F360" w14:textId="77777777" w:rsidR="000839A4" w:rsidRPr="000839A4" w:rsidRDefault="000839A4" w:rsidP="000839A4">
      <w:pPr>
        <w:tabs>
          <w:tab w:val="left" w:pos="357"/>
        </w:tabs>
        <w:spacing w:before="0"/>
        <w:ind w:left="714" w:hanging="357"/>
        <w:rPr>
          <w:strike/>
          <w:szCs w:val="24"/>
        </w:rPr>
      </w:pPr>
      <w:r w:rsidRPr="000839A4">
        <w:rPr>
          <w:strike/>
          <w:szCs w:val="24"/>
        </w:rPr>
        <w:t>3.</w:t>
      </w:r>
      <w:r w:rsidRPr="000839A4">
        <w:rPr>
          <w:strike/>
          <w:szCs w:val="24"/>
        </w:rPr>
        <w:tab/>
        <w:t xml:space="preserve">přeměnou. </w:t>
      </w:r>
    </w:p>
    <w:p w14:paraId="77137E3E" w14:textId="77777777" w:rsidR="000839A4" w:rsidRPr="000839A4" w:rsidRDefault="000839A4" w:rsidP="000839A4">
      <w:pPr>
        <w:tabs>
          <w:tab w:val="left" w:pos="357"/>
        </w:tabs>
        <w:spacing w:before="0"/>
        <w:ind w:left="357" w:hanging="357"/>
        <w:rPr>
          <w:strike/>
          <w:szCs w:val="24"/>
        </w:rPr>
      </w:pPr>
      <w:r w:rsidRPr="000839A4">
        <w:rPr>
          <w:strike/>
          <w:szCs w:val="24"/>
        </w:rPr>
        <w:t>c)</w:t>
      </w:r>
      <w:r w:rsidRPr="000839A4">
        <w:rPr>
          <w:strike/>
          <w:szCs w:val="24"/>
        </w:rPr>
        <w:tab/>
        <w:t>poplatník u hmotného majetku nabytého vkladem tichého společníka s bydlištěm nebo sídlem na území České republiky spolu s nabytím vlastnických práv k tomuto majetku, pokud tichý společník měl před uskutečněním vkladu tento majetek zahrnut v obchodním majetku,</w:t>
      </w:r>
    </w:p>
    <w:p w14:paraId="41DEFE98" w14:textId="77777777" w:rsidR="000839A4" w:rsidRPr="000839A4" w:rsidRDefault="000839A4" w:rsidP="000839A4">
      <w:pPr>
        <w:tabs>
          <w:tab w:val="left" w:pos="357"/>
        </w:tabs>
        <w:spacing w:before="0"/>
        <w:ind w:left="357" w:hanging="357"/>
        <w:rPr>
          <w:strike/>
          <w:szCs w:val="24"/>
        </w:rPr>
      </w:pPr>
      <w:r w:rsidRPr="000839A4">
        <w:rPr>
          <w:strike/>
          <w:szCs w:val="24"/>
        </w:rPr>
        <w:t>d)</w:t>
      </w:r>
      <w:r w:rsidRPr="000839A4">
        <w:rPr>
          <w:strike/>
          <w:szCs w:val="24"/>
        </w:rPr>
        <w:tab/>
        <w:t xml:space="preserve">tichý společník u hmotného majetku nabytého vrácením jeho vkladu, pokud nabyl vlastnická práva k tomuto majetku, </w:t>
      </w:r>
    </w:p>
    <w:p w14:paraId="22D9E09E" w14:textId="77777777" w:rsidR="000839A4" w:rsidRPr="000839A4" w:rsidRDefault="000839A4" w:rsidP="000839A4">
      <w:pPr>
        <w:tabs>
          <w:tab w:val="left" w:pos="357"/>
        </w:tabs>
        <w:spacing w:before="0"/>
        <w:ind w:left="357" w:hanging="357"/>
        <w:rPr>
          <w:strike/>
          <w:szCs w:val="24"/>
        </w:rPr>
      </w:pPr>
      <w:r w:rsidRPr="000839A4">
        <w:rPr>
          <w:strike/>
          <w:szCs w:val="24"/>
        </w:rPr>
        <w:t>e)</w:t>
      </w:r>
      <w:r w:rsidRPr="000839A4">
        <w:rPr>
          <w:strike/>
          <w:szCs w:val="24"/>
        </w:rPr>
        <w:tab/>
        <w:t>poplatník u hmotného majetku, který nabyl bezúplatným převodem podle zvláštních předpisů</w:t>
      </w:r>
      <w:r w:rsidRPr="000839A4">
        <w:rPr>
          <w:strike/>
          <w:szCs w:val="24"/>
          <w:vertAlign w:val="superscript"/>
        </w:rPr>
        <w:footnoteReference w:customMarkFollows="1" w:id="177"/>
        <w:t>31c)</w:t>
      </w:r>
      <w:r w:rsidRPr="000839A4">
        <w:rPr>
          <w:strike/>
          <w:szCs w:val="24"/>
        </w:rPr>
        <w:t xml:space="preserve"> nebo bezúplatným převodem v důsledku delimitace státních organizací, </w:t>
      </w:r>
    </w:p>
    <w:p w14:paraId="1B8AC73F" w14:textId="77777777" w:rsidR="000839A4" w:rsidRPr="000839A4" w:rsidRDefault="000839A4" w:rsidP="000839A4">
      <w:pPr>
        <w:tabs>
          <w:tab w:val="left" w:pos="357"/>
        </w:tabs>
        <w:spacing w:before="0"/>
        <w:ind w:left="357" w:hanging="357"/>
        <w:rPr>
          <w:strike/>
          <w:szCs w:val="24"/>
        </w:rPr>
      </w:pPr>
      <w:r w:rsidRPr="000839A4">
        <w:rPr>
          <w:strike/>
          <w:szCs w:val="24"/>
        </w:rPr>
        <w:t>f)</w:t>
      </w:r>
      <w:r w:rsidRPr="000839A4">
        <w:rPr>
          <w:strike/>
          <w:szCs w:val="24"/>
        </w:rPr>
        <w:tab/>
        <w:t xml:space="preserve">poplatník uvedený v § 2, který vyřadil hmotný majetek z obchodního majetku a následně hmotný majetek do obchodního majetku opět zařadil. Obdobně se postupuje i v případě přerušení nájmu (§ 9), </w:t>
      </w:r>
    </w:p>
    <w:p w14:paraId="360A780E" w14:textId="77777777" w:rsidR="000839A4" w:rsidRPr="000839A4" w:rsidRDefault="000839A4" w:rsidP="000839A4">
      <w:pPr>
        <w:tabs>
          <w:tab w:val="left" w:pos="357"/>
        </w:tabs>
        <w:spacing w:before="0"/>
        <w:ind w:left="357" w:hanging="357"/>
        <w:rPr>
          <w:strike/>
          <w:szCs w:val="24"/>
        </w:rPr>
      </w:pPr>
      <w:r w:rsidRPr="000839A4">
        <w:rPr>
          <w:strike/>
          <w:szCs w:val="24"/>
        </w:rPr>
        <w:t>g)</w:t>
      </w:r>
      <w:r w:rsidRPr="000839A4">
        <w:rPr>
          <w:strike/>
          <w:szCs w:val="24"/>
        </w:rPr>
        <w:tab/>
        <w:t xml:space="preserve">postupník při postoupení smlouvy o finančním leasingu, jestliže dodrží smluvenou celkovou výši úplaty, kupní cenu a nedojde ke zkrácení původně stanovené doby leasingu. Je-li postoupena užívaná věc za nižší cenu, než byla vstupní cena evidovaná u postupitele, lze odpisy uplatnit maximálně do výše ceny hrazené postupníkem, </w:t>
      </w:r>
    </w:p>
    <w:p w14:paraId="4AAC8574" w14:textId="77777777" w:rsidR="000839A4" w:rsidRPr="000839A4" w:rsidRDefault="000839A4" w:rsidP="000839A4">
      <w:pPr>
        <w:tabs>
          <w:tab w:val="left" w:pos="357"/>
        </w:tabs>
        <w:spacing w:before="0"/>
        <w:ind w:left="357" w:hanging="357"/>
        <w:rPr>
          <w:strike/>
          <w:szCs w:val="24"/>
        </w:rPr>
      </w:pPr>
      <w:r w:rsidRPr="000839A4">
        <w:rPr>
          <w:strike/>
          <w:szCs w:val="24"/>
        </w:rPr>
        <w:t>h)</w:t>
      </w:r>
      <w:r w:rsidRPr="000839A4">
        <w:rPr>
          <w:strike/>
          <w:szCs w:val="24"/>
        </w:rPr>
        <w:tab/>
        <w:t xml:space="preserve">poplatník, který nabyl právo k užívání hmotného movitého majetku smlouvou o výpůjčce, a to po dobu zajištění dluhu převodem práva k tomuto majetku, </w:t>
      </w:r>
    </w:p>
    <w:p w14:paraId="5788A136" w14:textId="77777777" w:rsidR="000839A4" w:rsidRPr="000839A4" w:rsidRDefault="000839A4" w:rsidP="000839A4">
      <w:pPr>
        <w:tabs>
          <w:tab w:val="left" w:pos="357"/>
        </w:tabs>
        <w:spacing w:before="0"/>
        <w:ind w:left="357" w:hanging="357"/>
        <w:rPr>
          <w:strike/>
          <w:szCs w:val="24"/>
        </w:rPr>
      </w:pPr>
      <w:r w:rsidRPr="000839A4">
        <w:rPr>
          <w:strike/>
          <w:szCs w:val="24"/>
        </w:rPr>
        <w:t>i)</w:t>
      </w:r>
      <w:r w:rsidRPr="000839A4">
        <w:rPr>
          <w:strike/>
          <w:szCs w:val="24"/>
        </w:rPr>
        <w:tab/>
        <w:t xml:space="preserve">dlužník, který nabyl do vlastnictví hmotný majetek na základě smlouvy o zápůjčce. V odpisování pokračuje i poplatník, pokud k tomuto majetku nabyl vlastnická práva vrácením zapůjčené věci, </w:t>
      </w:r>
    </w:p>
    <w:p w14:paraId="2F9D67F0" w14:textId="77777777" w:rsidR="000839A4" w:rsidRPr="000839A4" w:rsidRDefault="000839A4" w:rsidP="000839A4">
      <w:pPr>
        <w:tabs>
          <w:tab w:val="left" w:pos="357"/>
        </w:tabs>
        <w:spacing w:before="0"/>
        <w:ind w:left="357" w:hanging="357"/>
        <w:rPr>
          <w:strike/>
          <w:szCs w:val="24"/>
        </w:rPr>
      </w:pPr>
      <w:r w:rsidRPr="000839A4">
        <w:rPr>
          <w:strike/>
          <w:szCs w:val="24"/>
        </w:rPr>
        <w:t>j)</w:t>
      </w:r>
      <w:r w:rsidRPr="000839A4">
        <w:rPr>
          <w:strike/>
          <w:szCs w:val="24"/>
        </w:rPr>
        <w:tab/>
        <w:t xml:space="preserve">manžel (manželka), který má v obchodním majetku hmotný majetek, který již byl v obchodním majetku a byl odpisován manželkou (manželem), s výjimkou majetku nabytého koupí od druhého z manželů, </w:t>
      </w:r>
    </w:p>
    <w:p w14:paraId="44A93B6D" w14:textId="77777777" w:rsidR="000839A4" w:rsidRPr="000839A4" w:rsidRDefault="000839A4" w:rsidP="000839A4">
      <w:pPr>
        <w:tabs>
          <w:tab w:val="left" w:pos="357"/>
        </w:tabs>
        <w:spacing w:before="0"/>
        <w:ind w:left="357" w:hanging="357"/>
        <w:rPr>
          <w:strike/>
          <w:szCs w:val="24"/>
        </w:rPr>
      </w:pPr>
      <w:r w:rsidRPr="000839A4">
        <w:rPr>
          <w:strike/>
          <w:szCs w:val="24"/>
        </w:rPr>
        <w:t>k)</w:t>
      </w:r>
      <w:r w:rsidRPr="000839A4">
        <w:rPr>
          <w:strike/>
          <w:szCs w:val="24"/>
        </w:rPr>
        <w:tab/>
        <w:t xml:space="preserve">poplatník, který odpisoval hmotný majetek před ukončením činnosti, </w:t>
      </w:r>
    </w:p>
    <w:p w14:paraId="2B59AB40" w14:textId="77777777" w:rsidR="000839A4" w:rsidRPr="000839A4" w:rsidRDefault="000839A4" w:rsidP="000839A4">
      <w:pPr>
        <w:tabs>
          <w:tab w:val="left" w:pos="357"/>
        </w:tabs>
        <w:spacing w:before="0"/>
        <w:ind w:left="357" w:hanging="357"/>
        <w:rPr>
          <w:strike/>
          <w:szCs w:val="24"/>
        </w:rPr>
      </w:pPr>
      <w:r w:rsidRPr="000839A4">
        <w:rPr>
          <w:strike/>
          <w:szCs w:val="24"/>
        </w:rPr>
        <w:t>l)</w:t>
      </w:r>
      <w:r w:rsidRPr="000839A4">
        <w:rPr>
          <w:strike/>
          <w:szCs w:val="24"/>
        </w:rPr>
        <w:tab/>
        <w:t xml:space="preserve">společník společnosti u majetku určeného podle druhu, </w:t>
      </w:r>
    </w:p>
    <w:p w14:paraId="2A0B8A3F" w14:textId="77777777" w:rsidR="000839A4" w:rsidRPr="000839A4" w:rsidRDefault="000839A4" w:rsidP="000839A4">
      <w:pPr>
        <w:tabs>
          <w:tab w:val="left" w:pos="357"/>
        </w:tabs>
        <w:spacing w:before="0"/>
        <w:ind w:left="357" w:hanging="357"/>
        <w:rPr>
          <w:strike/>
          <w:szCs w:val="24"/>
        </w:rPr>
      </w:pPr>
      <w:r w:rsidRPr="000839A4">
        <w:rPr>
          <w:strike/>
          <w:szCs w:val="24"/>
        </w:rPr>
        <w:t>m)</w:t>
      </w:r>
      <w:r w:rsidRPr="000839A4">
        <w:rPr>
          <w:strike/>
          <w:szCs w:val="24"/>
        </w:rPr>
        <w:tab/>
        <w:t>poplatník, který převzal majetek v rámci změny příslušnosti hospodařit nebo práva hospodařit s majetkem státu,</w:t>
      </w:r>
    </w:p>
    <w:p w14:paraId="17C35E1E" w14:textId="77777777" w:rsidR="000839A4" w:rsidRPr="000839A4" w:rsidRDefault="000839A4" w:rsidP="000839A4">
      <w:pPr>
        <w:tabs>
          <w:tab w:val="left" w:pos="357"/>
        </w:tabs>
        <w:spacing w:before="0"/>
        <w:ind w:left="357" w:hanging="357"/>
        <w:rPr>
          <w:strike/>
          <w:szCs w:val="24"/>
        </w:rPr>
      </w:pPr>
      <w:r w:rsidRPr="000839A4">
        <w:rPr>
          <w:strike/>
          <w:szCs w:val="24"/>
        </w:rPr>
        <w:t>n)</w:t>
      </w:r>
      <w:r w:rsidRPr="000839A4">
        <w:rPr>
          <w:strike/>
          <w:szCs w:val="24"/>
        </w:rPr>
        <w:tab/>
        <w:t>příspěvková organizace územního samosprávného celku nebo dobrovolného svazku obcí u hmotného majetku předaného zřizovatelem k hospodaření a její zřizovatel při zpětném předání tohoto majetku,</w:t>
      </w:r>
    </w:p>
    <w:p w14:paraId="3CFE6676" w14:textId="77777777" w:rsidR="000839A4" w:rsidRPr="000839A4" w:rsidRDefault="000839A4" w:rsidP="000839A4">
      <w:pPr>
        <w:tabs>
          <w:tab w:val="left" w:pos="357"/>
        </w:tabs>
        <w:spacing w:before="0"/>
        <w:ind w:left="357" w:hanging="357"/>
        <w:rPr>
          <w:strike/>
          <w:szCs w:val="24"/>
        </w:rPr>
      </w:pPr>
      <w:r w:rsidRPr="000839A4">
        <w:rPr>
          <w:strike/>
          <w:szCs w:val="24"/>
        </w:rPr>
        <w:t>o)</w:t>
      </w:r>
      <w:r w:rsidRPr="000839A4">
        <w:rPr>
          <w:strike/>
          <w:szCs w:val="24"/>
        </w:rPr>
        <w:tab/>
        <w:t>dobrovolný svazek obcí u majetku vloženého členskou obcí a člen dobrovolného svazku obcí při zpětném předání tohoto majetku.</w:t>
      </w:r>
    </w:p>
    <w:p w14:paraId="06AD943D" w14:textId="77777777" w:rsidR="000839A4" w:rsidRPr="000839A4" w:rsidRDefault="000839A4" w:rsidP="000839A4">
      <w:pPr>
        <w:spacing w:before="120" w:after="120"/>
        <w:rPr>
          <w:strike/>
          <w:szCs w:val="24"/>
        </w:rPr>
      </w:pPr>
      <w:r w:rsidRPr="000839A4">
        <w:rPr>
          <w:strike/>
          <w:szCs w:val="24"/>
        </w:rPr>
        <w:t xml:space="preserve">V odpisování hmotného movitého majetku pokračuje i poplatník, pokud k tomuto majetku nabyl znovu vlastnická práva splněním dluhu, který byl zajištěn převodem práva, a to způsobem uplatňovaným po dobu zajištění dluhu podle písmene h). Obdobně pokračuje v odpisování i poplatník u hmotného majetku vráceného při ukončení nájmu a poplatník při zániku společnosti nebo zániku členství ve společnosti u majetku určeného podle druhu, který jím byl do této společnosti vložen. Obdobně pokračuje v odpisování i poplatník, který je fyzickou osobou, u </w:t>
      </w:r>
      <w:r w:rsidRPr="000839A4">
        <w:rPr>
          <w:strike/>
          <w:szCs w:val="24"/>
        </w:rPr>
        <w:lastRenderedPageBreak/>
        <w:t xml:space="preserve">jím pronajímaného hmotného majetku vyřazeného z obchodního majetku nebo v případě zařazení jím pronajímaného hmotného majetku do obchodního majetku. </w:t>
      </w:r>
    </w:p>
    <w:p w14:paraId="4C1C93B1" w14:textId="77777777" w:rsidR="000839A4" w:rsidRPr="000839A4" w:rsidRDefault="000839A4" w:rsidP="000839A4">
      <w:pPr>
        <w:keepNext/>
        <w:ind w:firstLine="0"/>
        <w:jc w:val="center"/>
        <w:rPr>
          <w:strike/>
          <w:szCs w:val="24"/>
        </w:rPr>
      </w:pPr>
      <w:r w:rsidRPr="000839A4">
        <w:rPr>
          <w:strike/>
          <w:szCs w:val="24"/>
        </w:rPr>
        <w:t>§ 30a</w:t>
      </w:r>
    </w:p>
    <w:p w14:paraId="7F5ADB97" w14:textId="77777777" w:rsidR="000839A4" w:rsidRPr="000839A4" w:rsidRDefault="000839A4" w:rsidP="000839A4">
      <w:pPr>
        <w:keepNext/>
        <w:ind w:firstLine="0"/>
        <w:jc w:val="center"/>
        <w:rPr>
          <w:b/>
          <w:strike/>
          <w:szCs w:val="24"/>
        </w:rPr>
      </w:pPr>
      <w:r w:rsidRPr="000839A4">
        <w:rPr>
          <w:b/>
          <w:strike/>
          <w:szCs w:val="24"/>
        </w:rPr>
        <w:t>Mimořádné odpisy</w:t>
      </w:r>
    </w:p>
    <w:p w14:paraId="5BA73E71" w14:textId="77777777" w:rsidR="000839A4" w:rsidRPr="000839A4" w:rsidRDefault="000839A4" w:rsidP="000839A4">
      <w:pPr>
        <w:spacing w:before="120" w:after="120"/>
        <w:rPr>
          <w:strike/>
          <w:szCs w:val="24"/>
        </w:rPr>
      </w:pPr>
      <w:r w:rsidRPr="000839A4">
        <w:rPr>
          <w:strike/>
          <w:szCs w:val="24"/>
        </w:rPr>
        <w:t xml:space="preserve">(1) Hmotný majetek, který je bezemisním vozidlem, pořízený v období od 1. ledna 2024 do 31. prosince 2028 může poplatník, který je jeho prvním </w:t>
      </w:r>
      <w:proofErr w:type="spellStart"/>
      <w:r w:rsidRPr="000839A4">
        <w:rPr>
          <w:strike/>
          <w:szCs w:val="24"/>
        </w:rPr>
        <w:t>odpisovatelem</w:t>
      </w:r>
      <w:proofErr w:type="spellEnd"/>
      <w:r w:rsidRPr="000839A4">
        <w:rPr>
          <w:strike/>
          <w:szCs w:val="24"/>
        </w:rPr>
        <w:t>, odepsat bez přerušení do 100 % vstupní ceny za 24 měsíců, přitom za prvních 12 měsíců uplatní odpisy rovnoměrně do výše 60 % vstupní ceny hmotného majetku a za dalších bezprostředně následujících 12 měsíců uplatní odpisy rovnoměrně do výše 40 % vstupní ceny hmotného majetku.</w:t>
      </w:r>
    </w:p>
    <w:p w14:paraId="3A13685E" w14:textId="77777777" w:rsidR="000839A4" w:rsidRPr="000839A4" w:rsidRDefault="000839A4" w:rsidP="000839A4">
      <w:pPr>
        <w:spacing w:before="120" w:after="120"/>
        <w:rPr>
          <w:strike/>
          <w:szCs w:val="24"/>
        </w:rPr>
      </w:pPr>
      <w:r w:rsidRPr="000839A4">
        <w:rPr>
          <w:strike/>
          <w:szCs w:val="24"/>
        </w:rPr>
        <w:t xml:space="preserve">(2) Odpisy podle odstavce 1 se stanoví s přesností na celé měsíce; přitom poplatník má povinnost zahájit odpisování počínaje následujícím měsícem po dni, v němž byly splněny podmínky pro odpisování. Při zahájení nebo ukončení odpisování v průběhu zdaňovacího období lze uplatnit odpisy pouze ve výši připadající na toto zdaňovací období. Odpisy se zaokrouhlují na celé koruny nahoru. </w:t>
      </w:r>
    </w:p>
    <w:p w14:paraId="1597A688" w14:textId="77777777" w:rsidR="000839A4" w:rsidRPr="000839A4" w:rsidRDefault="000839A4" w:rsidP="000839A4">
      <w:pPr>
        <w:spacing w:before="120" w:after="120"/>
        <w:rPr>
          <w:strike/>
          <w:szCs w:val="24"/>
        </w:rPr>
      </w:pPr>
      <w:r w:rsidRPr="000839A4">
        <w:rPr>
          <w:strike/>
          <w:szCs w:val="24"/>
        </w:rPr>
        <w:t xml:space="preserve">(3) Technické zhodnocení hmotného majetku odpisovaného podle odstavce 1 nezvyšuje jeho vstupní cenu. Ukončené technické zhodnocení se zatřídí do odpisové skupiny, ve které je zatříděn hmotný majetek, na kterém je technické zhodnocení provedeno, a odpisuje se jako hmotný majetek podle § 26 až 30 a § 31 až 33. </w:t>
      </w:r>
    </w:p>
    <w:p w14:paraId="75DC74B6" w14:textId="77777777" w:rsidR="000839A4" w:rsidRPr="000839A4" w:rsidRDefault="000839A4" w:rsidP="000839A4">
      <w:pPr>
        <w:keepNext/>
        <w:ind w:firstLine="0"/>
        <w:jc w:val="center"/>
        <w:rPr>
          <w:strike/>
          <w:szCs w:val="24"/>
        </w:rPr>
      </w:pPr>
      <w:r w:rsidRPr="000839A4">
        <w:rPr>
          <w:strike/>
          <w:szCs w:val="24"/>
        </w:rPr>
        <w:t>§ 30b</w:t>
      </w:r>
    </w:p>
    <w:p w14:paraId="25766AFF" w14:textId="77777777" w:rsidR="000839A4" w:rsidRPr="000839A4" w:rsidRDefault="000839A4" w:rsidP="000839A4">
      <w:pPr>
        <w:keepNext/>
        <w:ind w:firstLine="0"/>
        <w:jc w:val="center"/>
        <w:rPr>
          <w:b/>
          <w:strike/>
          <w:szCs w:val="24"/>
        </w:rPr>
      </w:pPr>
      <w:r w:rsidRPr="000839A4">
        <w:rPr>
          <w:b/>
          <w:strike/>
          <w:szCs w:val="24"/>
        </w:rPr>
        <w:t xml:space="preserve">Odpisy hmotného majetku využívaného k výrobě elektřiny ze slunečního záření </w:t>
      </w:r>
    </w:p>
    <w:p w14:paraId="4AF37C4C" w14:textId="77777777" w:rsidR="000839A4" w:rsidRPr="000839A4" w:rsidRDefault="000839A4" w:rsidP="000839A4">
      <w:pPr>
        <w:spacing w:before="120" w:after="120"/>
        <w:rPr>
          <w:strike/>
          <w:szCs w:val="24"/>
        </w:rPr>
      </w:pPr>
      <w:r w:rsidRPr="000839A4">
        <w:rPr>
          <w:strike/>
          <w:szCs w:val="24"/>
        </w:rPr>
        <w:t xml:space="preserve">(1) Hmotný majetek v klasifikaci produkce CZ-CPA označený kódem skupiny 27.11, 27.12 a dále v subkategorii CZ-CPA </w:t>
      </w:r>
      <w:proofErr w:type="gramStart"/>
      <w:r w:rsidRPr="000839A4">
        <w:rPr>
          <w:strike/>
          <w:szCs w:val="24"/>
        </w:rPr>
        <w:t>26.11.22</w:t>
      </w:r>
      <w:proofErr w:type="gramEnd"/>
      <w:r w:rsidRPr="000839A4">
        <w:rPr>
          <w:strike/>
          <w:szCs w:val="24"/>
        </w:rPr>
        <w:t xml:space="preserve"> využívaný k výrobě elektřiny ze zařízení pro výrobu elektřiny ze slunečního záření se odpisuje rovnoměrně bez přerušení po dobu 240 měsíců do 100 % vstupní ceny nebo zvýšené vstupní ceny. </w:t>
      </w:r>
    </w:p>
    <w:p w14:paraId="79F44A45" w14:textId="77777777" w:rsidR="000839A4" w:rsidRPr="000839A4" w:rsidRDefault="000839A4" w:rsidP="000839A4">
      <w:pPr>
        <w:spacing w:before="120" w:after="120"/>
        <w:rPr>
          <w:strike/>
          <w:szCs w:val="24"/>
        </w:rPr>
      </w:pPr>
      <w:r w:rsidRPr="000839A4">
        <w:rPr>
          <w:strike/>
          <w:szCs w:val="24"/>
        </w:rPr>
        <w:t xml:space="preserve">(2) Odpisy podle odstavce 1 se stanoví s přesností na celé měsíce; přitom poplatník má povinnost zahájit odpisování počínaje následujícím měsícem po měsíci, v němž byly splněny podmínky pro odpisování. Při zahájení nebo ukončení odpisování v průběhu zdaňovacího období lze uplatnit odpisy pouze ve výši připadající na toto zdaňovací období. Odpisy se zaokrouhlují na celé koruny nahoru. </w:t>
      </w:r>
    </w:p>
    <w:p w14:paraId="2BD23107" w14:textId="77777777" w:rsidR="000839A4" w:rsidRPr="000839A4" w:rsidRDefault="000839A4" w:rsidP="000839A4">
      <w:pPr>
        <w:spacing w:before="120" w:after="120"/>
        <w:rPr>
          <w:strike/>
          <w:szCs w:val="24"/>
        </w:rPr>
      </w:pPr>
      <w:r w:rsidRPr="000839A4">
        <w:rPr>
          <w:strike/>
          <w:szCs w:val="24"/>
        </w:rPr>
        <w:t xml:space="preserve">(3) Technické zhodnocení hmotného majetku odpisovaného podle odstavce 1 zvyšuje jeho vstupní cenu. Poplatník pokračuje v odpisování hmotného majetku ze zvýšené vstupní ceny snížené o již uplatněné odpisy od měsíce následujícího po měsíci, v němž bylo technické zhodnocení ukončeno, a to rovnoměrně bez přerušení po zbývající dobu odpisování stanovenou v odstavci 1, nejméně však po dobu 120 měsíců. </w:t>
      </w:r>
    </w:p>
    <w:p w14:paraId="39AFAC0A" w14:textId="77777777" w:rsidR="000839A4" w:rsidRPr="000839A4" w:rsidRDefault="000839A4" w:rsidP="00D90D00">
      <w:pPr>
        <w:keepNext/>
        <w:spacing w:before="120" w:after="120"/>
        <w:ind w:firstLine="0"/>
        <w:jc w:val="center"/>
        <w:rPr>
          <w:strike/>
          <w:szCs w:val="24"/>
        </w:rPr>
      </w:pPr>
      <w:r w:rsidRPr="000839A4">
        <w:rPr>
          <w:strike/>
          <w:szCs w:val="24"/>
        </w:rPr>
        <w:t>§ 30c</w:t>
      </w:r>
    </w:p>
    <w:p w14:paraId="2367D4F3" w14:textId="77777777" w:rsidR="000839A4" w:rsidRPr="000839A4" w:rsidRDefault="000839A4" w:rsidP="00D90D00">
      <w:pPr>
        <w:keepNext/>
        <w:spacing w:before="120" w:after="120"/>
        <w:ind w:firstLine="0"/>
        <w:jc w:val="center"/>
        <w:rPr>
          <w:b/>
          <w:strike/>
          <w:szCs w:val="24"/>
        </w:rPr>
      </w:pPr>
      <w:r w:rsidRPr="000839A4">
        <w:rPr>
          <w:b/>
          <w:strike/>
          <w:szCs w:val="24"/>
        </w:rPr>
        <w:t>Odpisy při zvýšení spoluvlastnického podílu</w:t>
      </w:r>
    </w:p>
    <w:p w14:paraId="61613588" w14:textId="77777777" w:rsidR="000839A4" w:rsidRPr="000839A4" w:rsidRDefault="000839A4" w:rsidP="000839A4">
      <w:pPr>
        <w:spacing w:before="120" w:after="120"/>
        <w:rPr>
          <w:strike/>
          <w:szCs w:val="24"/>
        </w:rPr>
      </w:pPr>
      <w:r w:rsidRPr="000839A4">
        <w:rPr>
          <w:strike/>
          <w:szCs w:val="24"/>
        </w:rPr>
        <w:t>(1) Pokud dojde ke zvýšení spoluvlastnického podílu u poplatníka, slučuje se nově nabývaný spoluvlastnický podíl s dosavadním spoluvlastnickým podílem a poplatník pokračuje ve způsobu odpisování dosavadního hmotného majetku ze změněné vstupní ceny.</w:t>
      </w:r>
    </w:p>
    <w:p w14:paraId="694F98A4" w14:textId="77777777" w:rsidR="000839A4" w:rsidRPr="000839A4" w:rsidRDefault="000839A4" w:rsidP="000839A4">
      <w:pPr>
        <w:spacing w:before="120" w:after="120"/>
        <w:rPr>
          <w:strike/>
          <w:szCs w:val="24"/>
        </w:rPr>
      </w:pPr>
      <w:r w:rsidRPr="000839A4">
        <w:rPr>
          <w:strike/>
          <w:szCs w:val="24"/>
        </w:rPr>
        <w:lastRenderedPageBreak/>
        <w:t>(2) Pokud dochází ke zvýšení spoluvlastnického podílu způsoby uvedenými v § 30 odst. 10, lze odpisy uplatnit jen do výše součtu zůstatkových cen. Do úhrnu zůstatkových cen se přitom nezahrnuje zůstatková cena majetku u spoluvlastnického podílu, který byl vyloučen z odpisování.</w:t>
      </w:r>
    </w:p>
    <w:p w14:paraId="2D9FBD8C" w14:textId="77777777" w:rsidR="000839A4" w:rsidRPr="000839A4" w:rsidRDefault="000839A4" w:rsidP="000839A4">
      <w:pPr>
        <w:spacing w:before="120" w:after="120"/>
        <w:rPr>
          <w:strike/>
          <w:szCs w:val="24"/>
        </w:rPr>
      </w:pPr>
      <w:r w:rsidRPr="000839A4">
        <w:rPr>
          <w:strike/>
          <w:szCs w:val="24"/>
        </w:rPr>
        <w:t>(3) Pokud nelze určit, který spoluvlastnický podíl je dosavadní, způsob odpisování si zvolí poplatník jako při pořízení nového majetku.</w:t>
      </w:r>
    </w:p>
    <w:p w14:paraId="643761E6" w14:textId="77777777" w:rsidR="000839A4" w:rsidRPr="000839A4" w:rsidRDefault="000839A4" w:rsidP="00D90D00">
      <w:pPr>
        <w:keepNext/>
        <w:keepLines/>
        <w:numPr>
          <w:ilvl w:val="0"/>
          <w:numId w:val="84"/>
        </w:numPr>
        <w:spacing w:before="120" w:after="120"/>
        <w:jc w:val="center"/>
        <w:outlineLvl w:val="5"/>
        <w:rPr>
          <w:strike/>
        </w:rPr>
      </w:pPr>
      <w:r w:rsidRPr="000839A4">
        <w:rPr>
          <w:strike/>
        </w:rPr>
        <w:t>§ 30d</w:t>
      </w:r>
    </w:p>
    <w:p w14:paraId="3BB39DAE" w14:textId="77777777" w:rsidR="000839A4" w:rsidRPr="000839A4" w:rsidRDefault="000839A4" w:rsidP="00D90D00">
      <w:pPr>
        <w:keepNext/>
        <w:keepLines/>
        <w:numPr>
          <w:ilvl w:val="0"/>
          <w:numId w:val="84"/>
        </w:numPr>
        <w:spacing w:before="120" w:after="120"/>
        <w:jc w:val="center"/>
        <w:outlineLvl w:val="5"/>
        <w:rPr>
          <w:strike/>
        </w:rPr>
      </w:pPr>
      <w:r w:rsidRPr="000839A4">
        <w:rPr>
          <w:b/>
          <w:strike/>
        </w:rPr>
        <w:t>Nemovitá kulturní památka</w:t>
      </w:r>
    </w:p>
    <w:p w14:paraId="74B4EFFA" w14:textId="77777777" w:rsidR="000839A4" w:rsidRPr="000839A4" w:rsidRDefault="000839A4" w:rsidP="000839A4">
      <w:pPr>
        <w:spacing w:before="120" w:after="120"/>
        <w:rPr>
          <w:strike/>
          <w:noProof/>
          <w:szCs w:val="24"/>
        </w:rPr>
      </w:pPr>
      <w:r w:rsidRPr="000839A4">
        <w:rPr>
          <w:strike/>
          <w:noProof/>
          <w:szCs w:val="24"/>
        </w:rPr>
        <w:t xml:space="preserve">(1) Nemovitá věc, která byla kulturní památkou podle zákona č. 22/1958 Sb., o kulturních památkách, ve znění účinném ke dni 31. prosince 1987, nebyla k 31. prosinci 1987 zapsaná do státního seznamu kulturních památek a nebyla prohlášena za kulturní památku podle zákona č. 20/1987 Sb., o státní památkové péči, ve znění pozdějších předpisů, se pro účely daní z příjmů považuje za nemovitou kulturní památku, a to i ve zdaňovacích obdobích nebo obdobích, za která se podává daňové přiznání, započatých přede dnem nabytí účinnosti tohoto zákona. To neplatí, je-li taková nemovitá věc nabyta ve zdaňovacím období nebo období, za které se podává daňové přiznání, započatých od 1. ledna 2022 jiným způsobem než způsobem podle § 30 odst. 10.  </w:t>
      </w:r>
    </w:p>
    <w:p w14:paraId="5C674CDE" w14:textId="77777777" w:rsidR="000839A4" w:rsidRPr="000839A4" w:rsidRDefault="000839A4" w:rsidP="000839A4">
      <w:pPr>
        <w:spacing w:before="120" w:after="120"/>
        <w:rPr>
          <w:strike/>
          <w:noProof/>
          <w:szCs w:val="24"/>
        </w:rPr>
      </w:pPr>
      <w:r w:rsidRPr="000839A4">
        <w:rPr>
          <w:strike/>
          <w:noProof/>
          <w:szCs w:val="24"/>
        </w:rPr>
        <w:t>(2) Poplatník může v prvním zdaňovacím období nebo období, za které se podává daňové přiznání, započatých od 1. ledna 2022 rozhodnout, že nemovitá věc podle odstavce 1 věty první není od tohoto období pro účely daní z příjmů považována za nemovitou kulturní památku; v takovém případě se</w:t>
      </w:r>
    </w:p>
    <w:p w14:paraId="01FCD504" w14:textId="77777777" w:rsidR="000839A4" w:rsidRPr="000839A4" w:rsidRDefault="000839A4" w:rsidP="00FE4A0D">
      <w:pPr>
        <w:numPr>
          <w:ilvl w:val="0"/>
          <w:numId w:val="84"/>
        </w:numPr>
        <w:spacing w:before="0"/>
        <w:ind w:left="425" w:hanging="425"/>
        <w:jc w:val="left"/>
        <w:outlineLvl w:val="7"/>
        <w:rPr>
          <w:strike/>
        </w:rPr>
      </w:pPr>
      <w:r w:rsidRPr="000839A4">
        <w:rPr>
          <w:strike/>
        </w:rPr>
        <w:t>a)</w:t>
      </w:r>
      <w:r w:rsidRPr="000839A4">
        <w:rPr>
          <w:strike/>
        </w:rPr>
        <w:tab/>
        <w:t xml:space="preserve">v daném období výsledek hospodaření nebo rozdíl mezi příjmy a výdaji </w:t>
      </w:r>
    </w:p>
    <w:p w14:paraId="5B84B14D" w14:textId="77777777" w:rsidR="000839A4" w:rsidRPr="000839A4" w:rsidRDefault="000839A4" w:rsidP="00FE4A0D">
      <w:pPr>
        <w:numPr>
          <w:ilvl w:val="0"/>
          <w:numId w:val="84"/>
        </w:numPr>
        <w:spacing w:before="0"/>
        <w:ind w:left="850" w:hanging="425"/>
        <w:jc w:val="left"/>
        <w:outlineLvl w:val="7"/>
        <w:rPr>
          <w:strike/>
        </w:rPr>
      </w:pPr>
      <w:r w:rsidRPr="000839A4">
        <w:rPr>
          <w:strike/>
        </w:rPr>
        <w:t xml:space="preserve">1. </w:t>
      </w:r>
      <w:r w:rsidRPr="000839A4">
        <w:rPr>
          <w:strike/>
        </w:rPr>
        <w:tab/>
        <w:t>zvýší o úhrn odpisů, které byly uplatněny jím nebo poplatníkem, od kterého byla nemovitá věc nabyta některým ze způsobů podle § 30 odst. 10, jako výdaj ve zdaňovacích obdobích a obdobích, za která se podává daňové přiznání, předcházejících danému období, a </w:t>
      </w:r>
    </w:p>
    <w:p w14:paraId="0C92AF52" w14:textId="77777777" w:rsidR="000839A4" w:rsidRPr="000839A4" w:rsidRDefault="000839A4" w:rsidP="00FE4A0D">
      <w:pPr>
        <w:numPr>
          <w:ilvl w:val="0"/>
          <w:numId w:val="84"/>
        </w:numPr>
        <w:spacing w:before="0"/>
        <w:ind w:left="850" w:hanging="425"/>
        <w:jc w:val="left"/>
        <w:outlineLvl w:val="7"/>
        <w:rPr>
          <w:strike/>
        </w:rPr>
      </w:pPr>
      <w:r w:rsidRPr="000839A4">
        <w:rPr>
          <w:strike/>
        </w:rPr>
        <w:t>2.</w:t>
      </w:r>
      <w:r w:rsidRPr="000839A4">
        <w:rPr>
          <w:strike/>
        </w:rPr>
        <w:tab/>
        <w:t>sníží o úhrn odpisů, které by v obdobích podle písmene a) mohly být uplatněny, kdyby věc nebyla považována za nemovitou kulturní památku,</w:t>
      </w:r>
    </w:p>
    <w:p w14:paraId="725C86D2" w14:textId="77777777" w:rsidR="000839A4" w:rsidRPr="000839A4" w:rsidRDefault="000839A4" w:rsidP="00FE4A0D">
      <w:pPr>
        <w:numPr>
          <w:ilvl w:val="0"/>
          <w:numId w:val="84"/>
        </w:numPr>
        <w:spacing w:before="0"/>
        <w:ind w:left="425" w:hanging="425"/>
        <w:jc w:val="left"/>
        <w:outlineLvl w:val="7"/>
        <w:rPr>
          <w:strike/>
        </w:rPr>
      </w:pPr>
      <w:r w:rsidRPr="000839A4">
        <w:rPr>
          <w:strike/>
        </w:rPr>
        <w:t>b)</w:t>
      </w:r>
      <w:r w:rsidRPr="000839A4">
        <w:rPr>
          <w:strike/>
        </w:rPr>
        <w:tab/>
        <w:t>od daného období pro účely daní z příjmů zachází s takovou nemovitou věcí, jako by od 1. ledna 1988 nebyla nemovitou kulturní památkou, a </w:t>
      </w:r>
    </w:p>
    <w:p w14:paraId="62AD22AB" w14:textId="77777777" w:rsidR="000839A4" w:rsidRPr="000839A4" w:rsidRDefault="000839A4" w:rsidP="00FE4A0D">
      <w:pPr>
        <w:numPr>
          <w:ilvl w:val="0"/>
          <w:numId w:val="84"/>
        </w:numPr>
        <w:spacing w:before="0"/>
        <w:ind w:left="425" w:hanging="425"/>
        <w:jc w:val="left"/>
        <w:outlineLvl w:val="7"/>
        <w:rPr>
          <w:strike/>
        </w:rPr>
      </w:pPr>
      <w:r w:rsidRPr="000839A4">
        <w:rPr>
          <w:strike/>
        </w:rPr>
        <w:t>c)</w:t>
      </w:r>
      <w:r w:rsidRPr="000839A4">
        <w:rPr>
          <w:strike/>
        </w:rPr>
        <w:tab/>
        <w:t>pro účely určení zůstatkové ceny se za celkovou výši odpisů stanovených podle § 26 a § 30 až 32 ve zdaňovacích obdobích a obdobích, za která se podává daňové přiznání, předcházejících danému období považuje úhrn odpisů, o které byl podle písmene b) bodu 2 snížen výsledek hospodaření nebo rozdíl mezi příjmy a výdaji.</w:t>
      </w:r>
    </w:p>
    <w:p w14:paraId="2717E80B" w14:textId="77777777" w:rsidR="000839A4" w:rsidRPr="000839A4" w:rsidRDefault="000839A4" w:rsidP="000839A4">
      <w:pPr>
        <w:spacing w:before="120" w:after="120"/>
        <w:rPr>
          <w:strike/>
          <w:noProof/>
          <w:szCs w:val="24"/>
        </w:rPr>
      </w:pPr>
      <w:r w:rsidRPr="000839A4">
        <w:rPr>
          <w:strike/>
          <w:noProof/>
          <w:szCs w:val="24"/>
        </w:rPr>
        <w:t>(3) Pokud poplatník postupoval ve zdaňovacím období nebo období, za které se podává daňové přiznání, započatých před 1. lednem 2022 tak, jako by nemovitá věc podle odstavce 1 věty první nebyla nemovitou kulturní památkou, odstavec 1 věta první se nepoužije; v takovém případě poplatník nesmí uplatnit jako výdaj odpisy tak, aby v úhrnné výši přesahovaly vstupní cenu nebo zvýšenou vstupní cenu.</w:t>
      </w:r>
    </w:p>
    <w:p w14:paraId="5B2DB361" w14:textId="77777777" w:rsidR="000839A4" w:rsidRPr="000839A4" w:rsidRDefault="000839A4" w:rsidP="000839A4">
      <w:pPr>
        <w:keepNext/>
        <w:ind w:firstLine="0"/>
        <w:jc w:val="center"/>
        <w:rPr>
          <w:b/>
          <w:szCs w:val="24"/>
        </w:rPr>
      </w:pPr>
      <w:r w:rsidRPr="000839A4">
        <w:rPr>
          <w:b/>
          <w:szCs w:val="24"/>
        </w:rPr>
        <w:t>§ 26</w:t>
      </w:r>
    </w:p>
    <w:p w14:paraId="034771B9" w14:textId="77777777" w:rsidR="000839A4" w:rsidRPr="000839A4" w:rsidRDefault="000839A4" w:rsidP="000839A4">
      <w:pPr>
        <w:keepNext/>
        <w:ind w:firstLine="0"/>
        <w:jc w:val="center"/>
        <w:rPr>
          <w:noProof/>
          <w:szCs w:val="24"/>
        </w:rPr>
      </w:pPr>
      <w:r w:rsidRPr="000839A4">
        <w:rPr>
          <w:b/>
          <w:noProof/>
          <w:szCs w:val="24"/>
        </w:rPr>
        <w:t>Daňově odpisované aktivum</w:t>
      </w:r>
    </w:p>
    <w:p w14:paraId="66E285BF" w14:textId="77777777" w:rsidR="000839A4" w:rsidRPr="000839A4" w:rsidRDefault="000839A4" w:rsidP="000839A4">
      <w:pPr>
        <w:spacing w:before="120" w:after="120"/>
        <w:rPr>
          <w:b/>
          <w:noProof/>
          <w:szCs w:val="24"/>
        </w:rPr>
      </w:pPr>
      <w:r w:rsidRPr="000839A4">
        <w:rPr>
          <w:b/>
          <w:noProof/>
          <w:szCs w:val="24"/>
        </w:rPr>
        <w:t xml:space="preserve">(1) Daňově odpisovaným aktivem je evidované aktivum, </w:t>
      </w:r>
    </w:p>
    <w:p w14:paraId="1B31CB6E" w14:textId="77777777" w:rsidR="000839A4" w:rsidRPr="000839A4" w:rsidRDefault="000839A4" w:rsidP="000839A4">
      <w:pPr>
        <w:spacing w:before="0"/>
        <w:ind w:left="425" w:hanging="425"/>
        <w:outlineLvl w:val="7"/>
        <w:rPr>
          <w:b/>
        </w:rPr>
      </w:pPr>
      <w:r w:rsidRPr="000839A4">
        <w:rPr>
          <w:b/>
        </w:rPr>
        <w:t>a)</w:t>
      </w:r>
      <w:r w:rsidRPr="000839A4">
        <w:rPr>
          <w:b/>
        </w:rPr>
        <w:tab/>
        <w:t>které je</w:t>
      </w:r>
    </w:p>
    <w:p w14:paraId="6055F9AD" w14:textId="77777777" w:rsidR="000839A4" w:rsidRPr="000839A4" w:rsidRDefault="000839A4" w:rsidP="000839A4">
      <w:pPr>
        <w:spacing w:before="0"/>
        <w:ind w:left="851" w:hanging="426"/>
        <w:outlineLvl w:val="8"/>
        <w:rPr>
          <w:b/>
        </w:rPr>
      </w:pPr>
      <w:r w:rsidRPr="000839A4">
        <w:rPr>
          <w:b/>
        </w:rPr>
        <w:lastRenderedPageBreak/>
        <w:t xml:space="preserve">1. </w:t>
      </w:r>
      <w:r w:rsidRPr="000839A4">
        <w:rPr>
          <w:b/>
        </w:rPr>
        <w:tab/>
        <w:t>hmotnou věcí,</w:t>
      </w:r>
    </w:p>
    <w:p w14:paraId="5D583CF6" w14:textId="77777777" w:rsidR="000839A4" w:rsidRPr="000839A4" w:rsidRDefault="000839A4" w:rsidP="000839A4">
      <w:pPr>
        <w:spacing w:before="0"/>
        <w:ind w:left="851" w:hanging="426"/>
        <w:outlineLvl w:val="8"/>
        <w:rPr>
          <w:b/>
        </w:rPr>
      </w:pPr>
      <w:r w:rsidRPr="000839A4">
        <w:rPr>
          <w:b/>
        </w:rPr>
        <w:t xml:space="preserve">2. </w:t>
      </w:r>
      <w:r w:rsidRPr="000839A4">
        <w:rPr>
          <w:b/>
        </w:rPr>
        <w:tab/>
        <w:t>goodwillem,</w:t>
      </w:r>
    </w:p>
    <w:p w14:paraId="1D277E6A" w14:textId="77777777" w:rsidR="000839A4" w:rsidRPr="000839A4" w:rsidRDefault="000839A4" w:rsidP="000839A4">
      <w:pPr>
        <w:spacing w:before="0"/>
        <w:ind w:left="851" w:hanging="426"/>
        <w:outlineLvl w:val="8"/>
        <w:rPr>
          <w:b/>
        </w:rPr>
      </w:pPr>
      <w:r w:rsidRPr="000839A4">
        <w:rPr>
          <w:b/>
        </w:rPr>
        <w:t>3.</w:t>
      </w:r>
      <w:r w:rsidRPr="000839A4">
        <w:rPr>
          <w:b/>
        </w:rPr>
        <w:tab/>
        <w:t>právem užívání s následnou koupí, nebo</w:t>
      </w:r>
    </w:p>
    <w:p w14:paraId="0F296235" w14:textId="77777777" w:rsidR="000839A4" w:rsidRPr="000839A4" w:rsidRDefault="000839A4" w:rsidP="000839A4">
      <w:pPr>
        <w:spacing w:before="0"/>
        <w:ind w:left="851" w:hanging="426"/>
        <w:outlineLvl w:val="8"/>
        <w:rPr>
          <w:b/>
        </w:rPr>
      </w:pPr>
      <w:r w:rsidRPr="000839A4">
        <w:rPr>
          <w:b/>
        </w:rPr>
        <w:t>4.</w:t>
      </w:r>
      <w:r w:rsidRPr="000839A4">
        <w:rPr>
          <w:b/>
        </w:rPr>
        <w:tab/>
        <w:t>právem stavby, jde-li o evidované aktivum poplatníka s hotovostním základem daně, a</w:t>
      </w:r>
    </w:p>
    <w:p w14:paraId="41A9397C" w14:textId="77777777" w:rsidR="000839A4" w:rsidRPr="000839A4" w:rsidRDefault="000839A4" w:rsidP="000839A4">
      <w:pPr>
        <w:spacing w:before="0"/>
        <w:ind w:left="425" w:hanging="425"/>
        <w:outlineLvl w:val="7"/>
        <w:rPr>
          <w:b/>
        </w:rPr>
      </w:pPr>
      <w:r w:rsidRPr="000839A4">
        <w:rPr>
          <w:b/>
        </w:rPr>
        <w:t>b)</w:t>
      </w:r>
      <w:r w:rsidRPr="000839A4">
        <w:rPr>
          <w:b/>
        </w:rPr>
        <w:tab/>
        <w:t>které není</w:t>
      </w:r>
    </w:p>
    <w:p w14:paraId="140F26A9" w14:textId="77777777" w:rsidR="000839A4" w:rsidRPr="000839A4" w:rsidRDefault="000839A4" w:rsidP="000839A4">
      <w:pPr>
        <w:spacing w:before="0"/>
        <w:ind w:left="851" w:hanging="426"/>
        <w:outlineLvl w:val="8"/>
        <w:rPr>
          <w:b/>
        </w:rPr>
      </w:pPr>
      <w:r w:rsidRPr="000839A4">
        <w:rPr>
          <w:b/>
        </w:rPr>
        <w:t>1.</w:t>
      </w:r>
      <w:r w:rsidRPr="000839A4">
        <w:rPr>
          <w:b/>
        </w:rPr>
        <w:tab/>
        <w:t>pozemkem,</w:t>
      </w:r>
    </w:p>
    <w:p w14:paraId="244AE85B" w14:textId="77777777" w:rsidR="000839A4" w:rsidRPr="000839A4" w:rsidRDefault="000839A4" w:rsidP="000839A4">
      <w:pPr>
        <w:spacing w:before="0"/>
        <w:ind w:left="851" w:hanging="426"/>
        <w:outlineLvl w:val="8"/>
        <w:rPr>
          <w:b/>
        </w:rPr>
      </w:pPr>
      <w:r w:rsidRPr="000839A4">
        <w:rPr>
          <w:b/>
        </w:rPr>
        <w:t>2.</w:t>
      </w:r>
      <w:r w:rsidRPr="000839A4">
        <w:rPr>
          <w:b/>
        </w:rPr>
        <w:tab/>
        <w:t>uměleckým dílem, které není součástí stavby, sbírkou muzejní povahy, movitou kulturní památkou, předmětem kulturní hodnoty ani obdobnou hmotnou movitou věcí,</w:t>
      </w:r>
    </w:p>
    <w:p w14:paraId="68C09F0F" w14:textId="77777777" w:rsidR="000839A4" w:rsidRPr="000839A4" w:rsidRDefault="000839A4" w:rsidP="000839A4">
      <w:pPr>
        <w:spacing w:before="0"/>
        <w:ind w:left="851" w:hanging="426"/>
        <w:outlineLvl w:val="8"/>
        <w:rPr>
          <w:b/>
        </w:rPr>
      </w:pPr>
      <w:r w:rsidRPr="000839A4">
        <w:rPr>
          <w:b/>
        </w:rPr>
        <w:t>3.</w:t>
      </w:r>
      <w:r w:rsidRPr="000839A4">
        <w:rPr>
          <w:b/>
        </w:rPr>
        <w:tab/>
        <w:t>církevní stavbou užívanou k církevním a náboženským účelům u poplatníka, který je neziskovou účetní jednotkou nebo by jí byl, kdyby byl účetní jednotkou,</w:t>
      </w:r>
    </w:p>
    <w:p w14:paraId="40A2DE89" w14:textId="77777777" w:rsidR="000839A4" w:rsidRPr="000839A4" w:rsidRDefault="000839A4" w:rsidP="000839A4">
      <w:pPr>
        <w:spacing w:before="0"/>
        <w:ind w:left="851" w:hanging="426"/>
        <w:outlineLvl w:val="8"/>
        <w:rPr>
          <w:b/>
        </w:rPr>
      </w:pPr>
      <w:r w:rsidRPr="000839A4">
        <w:rPr>
          <w:b/>
        </w:rPr>
        <w:t>4.</w:t>
      </w:r>
      <w:r w:rsidRPr="000839A4">
        <w:rPr>
          <w:b/>
        </w:rPr>
        <w:tab/>
        <w:t xml:space="preserve">nedokončeným hmotným aktivem a </w:t>
      </w:r>
    </w:p>
    <w:p w14:paraId="434010AD" w14:textId="77777777" w:rsidR="000839A4" w:rsidRPr="000839A4" w:rsidRDefault="000839A4" w:rsidP="000839A4">
      <w:pPr>
        <w:spacing w:before="0"/>
        <w:ind w:left="425" w:hanging="425"/>
        <w:outlineLvl w:val="7"/>
        <w:rPr>
          <w:b/>
        </w:rPr>
      </w:pPr>
      <w:r w:rsidRPr="000839A4">
        <w:rPr>
          <w:b/>
        </w:rPr>
        <w:t>c)</w:t>
      </w:r>
      <w:r w:rsidRPr="000839A4">
        <w:rPr>
          <w:b/>
        </w:rPr>
        <w:tab/>
        <w:t>jehož daňová hodnota převýšila 100 000 Kč.</w:t>
      </w:r>
    </w:p>
    <w:p w14:paraId="0BCC8DB3" w14:textId="77777777" w:rsidR="000839A4" w:rsidRPr="000839A4" w:rsidRDefault="000839A4" w:rsidP="000839A4">
      <w:pPr>
        <w:spacing w:before="120" w:after="120"/>
        <w:rPr>
          <w:b/>
          <w:noProof/>
          <w:szCs w:val="24"/>
        </w:rPr>
      </w:pPr>
      <w:r w:rsidRPr="000839A4">
        <w:rPr>
          <w:b/>
          <w:noProof/>
          <w:szCs w:val="24"/>
        </w:rPr>
        <w:t>(2) Daňově odpisovaným aktivem je také aktivum podle odstavce 1 písm. a) a b), jehož daňová hodnota byla snížena okamžitým výdajem a zvýšena následným pořizovacím výdajem, který je dodatečným zhodnocením na základě rozhodnutí poplatníka.</w:t>
      </w:r>
    </w:p>
    <w:p w14:paraId="4164BF21" w14:textId="77777777" w:rsidR="000839A4" w:rsidRPr="000839A4" w:rsidRDefault="000839A4" w:rsidP="000839A4">
      <w:pPr>
        <w:spacing w:before="120" w:after="120"/>
        <w:rPr>
          <w:b/>
          <w:noProof/>
          <w:szCs w:val="24"/>
        </w:rPr>
      </w:pPr>
      <w:r w:rsidRPr="000839A4">
        <w:rPr>
          <w:b/>
          <w:noProof/>
          <w:szCs w:val="24"/>
        </w:rPr>
        <w:t>(3) Daňově odpisovaným aktivem poplatníka s akruálním základem daně není stavba, která je součástí práva stavby.</w:t>
      </w:r>
    </w:p>
    <w:p w14:paraId="51052A2E" w14:textId="77777777" w:rsidR="000839A4" w:rsidRPr="000839A4" w:rsidRDefault="000839A4" w:rsidP="000839A4">
      <w:pPr>
        <w:spacing w:before="120" w:after="120"/>
        <w:rPr>
          <w:b/>
          <w:noProof/>
          <w:szCs w:val="24"/>
        </w:rPr>
      </w:pPr>
      <w:r w:rsidRPr="000839A4">
        <w:rPr>
          <w:b/>
          <w:noProof/>
          <w:szCs w:val="24"/>
        </w:rPr>
        <w:t>(4) Daňově odpisovaným aktivem není evidované aktivum poplatníka používajícího mezinárodní účetní standardy.</w:t>
      </w:r>
    </w:p>
    <w:p w14:paraId="4E3014B5" w14:textId="77777777" w:rsidR="000839A4" w:rsidRPr="000839A4" w:rsidRDefault="000839A4" w:rsidP="000839A4">
      <w:pPr>
        <w:keepNext/>
        <w:ind w:firstLine="0"/>
        <w:jc w:val="center"/>
        <w:rPr>
          <w:b/>
          <w:szCs w:val="24"/>
        </w:rPr>
      </w:pPr>
      <w:r w:rsidRPr="000839A4">
        <w:rPr>
          <w:b/>
          <w:szCs w:val="24"/>
        </w:rPr>
        <w:t>§ 27</w:t>
      </w:r>
    </w:p>
    <w:p w14:paraId="2597301C" w14:textId="77777777" w:rsidR="000839A4" w:rsidRPr="000839A4" w:rsidRDefault="000839A4" w:rsidP="000839A4">
      <w:pPr>
        <w:keepNext/>
        <w:ind w:firstLine="0"/>
        <w:jc w:val="center"/>
        <w:rPr>
          <w:noProof/>
          <w:szCs w:val="24"/>
        </w:rPr>
      </w:pPr>
      <w:r w:rsidRPr="000839A4">
        <w:rPr>
          <w:b/>
          <w:noProof/>
          <w:szCs w:val="24"/>
        </w:rPr>
        <w:t>Určování daňových odpisů</w:t>
      </w:r>
    </w:p>
    <w:p w14:paraId="341D592C" w14:textId="77777777" w:rsidR="000839A4" w:rsidRPr="000839A4" w:rsidRDefault="000839A4" w:rsidP="000839A4">
      <w:pPr>
        <w:spacing w:before="120" w:after="120"/>
        <w:rPr>
          <w:b/>
          <w:noProof/>
          <w:szCs w:val="24"/>
        </w:rPr>
      </w:pPr>
      <w:r w:rsidRPr="000839A4">
        <w:rPr>
          <w:b/>
          <w:noProof/>
          <w:szCs w:val="24"/>
        </w:rPr>
        <w:t>(1) Daňovým odpisováním se rozumí určování daňových odpisů daňově odpisovaného aktiva.</w:t>
      </w:r>
    </w:p>
    <w:p w14:paraId="64F2ACE5" w14:textId="77777777" w:rsidR="000839A4" w:rsidRPr="000839A4" w:rsidRDefault="000839A4" w:rsidP="000839A4">
      <w:pPr>
        <w:spacing w:before="120" w:after="120"/>
        <w:rPr>
          <w:b/>
          <w:noProof/>
          <w:szCs w:val="24"/>
        </w:rPr>
      </w:pPr>
      <w:r w:rsidRPr="000839A4">
        <w:rPr>
          <w:b/>
          <w:noProof/>
          <w:szCs w:val="24"/>
        </w:rPr>
        <w:t xml:space="preserve">(2) Daňový odpis se určuje za jednotlivý kalendářní měsíc doby daňového odpisování od kalendářního měsíce bezprostředně následujícího po kalendářním měsíci, v němž byly splněny podmínky pro odpisování.  </w:t>
      </w:r>
    </w:p>
    <w:p w14:paraId="4CDFCB12" w14:textId="77777777" w:rsidR="000839A4" w:rsidRPr="000839A4" w:rsidRDefault="000839A4" w:rsidP="000839A4">
      <w:pPr>
        <w:spacing w:before="120" w:after="120"/>
        <w:rPr>
          <w:b/>
          <w:noProof/>
          <w:szCs w:val="24"/>
        </w:rPr>
      </w:pPr>
      <w:r w:rsidRPr="000839A4">
        <w:rPr>
          <w:b/>
          <w:noProof/>
          <w:szCs w:val="24"/>
        </w:rPr>
        <w:t>(3) Daňové odpisování nelze přerušit.</w:t>
      </w:r>
    </w:p>
    <w:p w14:paraId="407E515F" w14:textId="77777777" w:rsidR="000839A4" w:rsidRPr="000839A4" w:rsidRDefault="000839A4" w:rsidP="000839A4">
      <w:pPr>
        <w:keepNext/>
        <w:ind w:firstLine="0"/>
        <w:jc w:val="center"/>
        <w:rPr>
          <w:b/>
          <w:szCs w:val="24"/>
        </w:rPr>
      </w:pPr>
      <w:r w:rsidRPr="000839A4">
        <w:rPr>
          <w:b/>
          <w:szCs w:val="24"/>
        </w:rPr>
        <w:t>§ 28</w:t>
      </w:r>
    </w:p>
    <w:p w14:paraId="49048F90" w14:textId="77777777" w:rsidR="000839A4" w:rsidRPr="000839A4" w:rsidRDefault="000839A4" w:rsidP="000839A4">
      <w:pPr>
        <w:keepNext/>
        <w:ind w:firstLine="0"/>
        <w:jc w:val="center"/>
        <w:rPr>
          <w:noProof/>
          <w:szCs w:val="24"/>
        </w:rPr>
      </w:pPr>
      <w:r w:rsidRPr="000839A4">
        <w:rPr>
          <w:b/>
          <w:noProof/>
          <w:szCs w:val="24"/>
        </w:rPr>
        <w:t>Výpočet daňového odpisu</w:t>
      </w:r>
    </w:p>
    <w:p w14:paraId="4F047049" w14:textId="77777777" w:rsidR="000839A4" w:rsidRPr="000839A4" w:rsidRDefault="000839A4" w:rsidP="000839A4">
      <w:pPr>
        <w:spacing w:before="120" w:after="120"/>
        <w:rPr>
          <w:b/>
          <w:szCs w:val="24"/>
        </w:rPr>
      </w:pPr>
      <w:r w:rsidRPr="000839A4">
        <w:rPr>
          <w:b/>
          <w:szCs w:val="24"/>
        </w:rPr>
        <w:t xml:space="preserve">(1) Daňový odpis se vypočítá jako podíl </w:t>
      </w:r>
    </w:p>
    <w:p w14:paraId="78548CB6" w14:textId="77777777" w:rsidR="000839A4" w:rsidRPr="000839A4" w:rsidRDefault="000839A4" w:rsidP="000839A4">
      <w:pPr>
        <w:spacing w:before="0"/>
        <w:ind w:left="425" w:hanging="425"/>
        <w:outlineLvl w:val="7"/>
        <w:rPr>
          <w:b/>
        </w:rPr>
      </w:pPr>
      <w:r w:rsidRPr="000839A4">
        <w:rPr>
          <w:b/>
        </w:rPr>
        <w:t>a)</w:t>
      </w:r>
      <w:r w:rsidRPr="000839A4">
        <w:rPr>
          <w:b/>
        </w:rPr>
        <w:tab/>
        <w:t xml:space="preserve">daňové hodnoty daňově odpisovaného aktiva v okamžiku, ve kterém se stane daňově odpisovaným aktivem, a </w:t>
      </w:r>
    </w:p>
    <w:p w14:paraId="5EA72D68" w14:textId="77777777" w:rsidR="000839A4" w:rsidRPr="000839A4" w:rsidRDefault="000839A4" w:rsidP="000839A4">
      <w:pPr>
        <w:spacing w:before="0"/>
        <w:ind w:left="425" w:hanging="425"/>
        <w:outlineLvl w:val="7"/>
        <w:rPr>
          <w:b/>
        </w:rPr>
      </w:pPr>
      <w:r w:rsidRPr="000839A4">
        <w:rPr>
          <w:b/>
        </w:rPr>
        <w:t>b)</w:t>
      </w:r>
      <w:r w:rsidRPr="000839A4">
        <w:rPr>
          <w:b/>
        </w:rPr>
        <w:tab/>
        <w:t xml:space="preserve">počtu kalendářních měsíců doby daňového odpisování.  </w:t>
      </w:r>
    </w:p>
    <w:p w14:paraId="4E85E265" w14:textId="77777777" w:rsidR="000839A4" w:rsidRPr="000839A4" w:rsidRDefault="000839A4" w:rsidP="000839A4">
      <w:pPr>
        <w:spacing w:before="120" w:after="120"/>
        <w:rPr>
          <w:b/>
          <w:noProof/>
          <w:szCs w:val="24"/>
        </w:rPr>
      </w:pPr>
      <w:r w:rsidRPr="000839A4">
        <w:rPr>
          <w:b/>
          <w:noProof/>
          <w:szCs w:val="24"/>
        </w:rPr>
        <w:t>(2) Daňový odpis se zaokrouhluje na celé koruny nahoru.</w:t>
      </w:r>
    </w:p>
    <w:p w14:paraId="014B20F3" w14:textId="77777777" w:rsidR="000839A4" w:rsidRPr="000839A4" w:rsidRDefault="000839A4" w:rsidP="000839A4">
      <w:pPr>
        <w:keepNext/>
        <w:ind w:firstLine="0"/>
        <w:jc w:val="center"/>
        <w:rPr>
          <w:b/>
          <w:szCs w:val="24"/>
        </w:rPr>
      </w:pPr>
      <w:r w:rsidRPr="000839A4">
        <w:rPr>
          <w:b/>
          <w:szCs w:val="24"/>
        </w:rPr>
        <w:lastRenderedPageBreak/>
        <w:t>§ 29</w:t>
      </w:r>
    </w:p>
    <w:p w14:paraId="3A3BBF1A" w14:textId="77777777" w:rsidR="000839A4" w:rsidRPr="000839A4" w:rsidRDefault="000839A4" w:rsidP="000839A4">
      <w:pPr>
        <w:keepNext/>
        <w:ind w:firstLine="0"/>
        <w:jc w:val="center"/>
        <w:rPr>
          <w:noProof/>
          <w:szCs w:val="24"/>
        </w:rPr>
      </w:pPr>
      <w:r w:rsidRPr="000839A4">
        <w:rPr>
          <w:b/>
          <w:noProof/>
          <w:szCs w:val="24"/>
        </w:rPr>
        <w:t>Doba daňového odpisování</w:t>
      </w:r>
    </w:p>
    <w:p w14:paraId="211F2476" w14:textId="77777777" w:rsidR="000839A4" w:rsidRPr="000839A4" w:rsidRDefault="000839A4" w:rsidP="000839A4">
      <w:pPr>
        <w:spacing w:before="120" w:after="120"/>
        <w:rPr>
          <w:b/>
          <w:szCs w:val="24"/>
        </w:rPr>
      </w:pPr>
      <w:r w:rsidRPr="000839A4">
        <w:rPr>
          <w:b/>
          <w:szCs w:val="24"/>
        </w:rPr>
        <w:t xml:space="preserve">(1) Poplatník zvolí dobu daňového odpisování jednotlivého daňově odpisovaného aktiva při určení prvního daňového odpisu tak, aby činila nejméně minimální dobu daňového odpisování, neuplatňuje-li se zvláštní doba daňového odpisování. </w:t>
      </w:r>
    </w:p>
    <w:p w14:paraId="42C683E8" w14:textId="77777777" w:rsidR="000839A4" w:rsidRPr="000839A4" w:rsidRDefault="000839A4" w:rsidP="000839A4">
      <w:pPr>
        <w:spacing w:before="120" w:after="120"/>
        <w:rPr>
          <w:b/>
          <w:szCs w:val="24"/>
        </w:rPr>
      </w:pPr>
      <w:r w:rsidRPr="000839A4">
        <w:rPr>
          <w:b/>
          <w:szCs w:val="24"/>
        </w:rPr>
        <w:t>(2) Zvolenou dobu daňového odpisování nelze změnit.</w:t>
      </w:r>
    </w:p>
    <w:p w14:paraId="54BF283B" w14:textId="77777777" w:rsidR="000839A4" w:rsidRPr="000839A4" w:rsidRDefault="000839A4" w:rsidP="000839A4">
      <w:pPr>
        <w:spacing w:before="120" w:after="120"/>
        <w:rPr>
          <w:b/>
          <w:szCs w:val="24"/>
        </w:rPr>
      </w:pPr>
      <w:r w:rsidRPr="000839A4">
        <w:rPr>
          <w:b/>
          <w:szCs w:val="24"/>
        </w:rPr>
        <w:t>(3) Minimální doba daňového odpisování činí</w:t>
      </w:r>
    </w:p>
    <w:p w14:paraId="44774E2D" w14:textId="77777777" w:rsidR="000839A4" w:rsidRPr="000839A4" w:rsidRDefault="000839A4" w:rsidP="000839A4">
      <w:pPr>
        <w:spacing w:before="0"/>
        <w:ind w:left="425" w:hanging="425"/>
        <w:outlineLvl w:val="7"/>
        <w:rPr>
          <w:b/>
        </w:rPr>
      </w:pPr>
      <w:r w:rsidRPr="000839A4">
        <w:rPr>
          <w:b/>
        </w:rPr>
        <w:t>a)</w:t>
      </w:r>
      <w:r w:rsidRPr="000839A4">
        <w:rPr>
          <w:b/>
        </w:rPr>
        <w:tab/>
        <w:t xml:space="preserve">60 měsíců, </w:t>
      </w:r>
    </w:p>
    <w:p w14:paraId="2FFF0005" w14:textId="77777777" w:rsidR="000839A4" w:rsidRPr="000839A4" w:rsidRDefault="000839A4" w:rsidP="000839A4">
      <w:pPr>
        <w:spacing w:before="0"/>
        <w:ind w:left="425" w:hanging="425"/>
        <w:outlineLvl w:val="7"/>
        <w:rPr>
          <w:b/>
        </w:rPr>
      </w:pPr>
      <w:r w:rsidRPr="000839A4">
        <w:rPr>
          <w:b/>
        </w:rPr>
        <w:t>b)</w:t>
      </w:r>
      <w:r w:rsidRPr="000839A4">
        <w:rPr>
          <w:b/>
        </w:rPr>
        <w:tab/>
        <w:t>180 měsíců pro aktivum, které je goodwillem,</w:t>
      </w:r>
    </w:p>
    <w:p w14:paraId="64B09A54" w14:textId="77777777" w:rsidR="000839A4" w:rsidRPr="000839A4" w:rsidRDefault="000839A4" w:rsidP="000839A4">
      <w:pPr>
        <w:spacing w:before="0"/>
        <w:ind w:left="425" w:hanging="425"/>
        <w:outlineLvl w:val="7"/>
        <w:rPr>
          <w:b/>
        </w:rPr>
      </w:pPr>
      <w:r w:rsidRPr="000839A4">
        <w:rPr>
          <w:b/>
        </w:rPr>
        <w:t>c)</w:t>
      </w:r>
      <w:r w:rsidRPr="000839A4">
        <w:rPr>
          <w:b/>
        </w:rPr>
        <w:tab/>
        <w:t>360 měsíců pro aktivum, které je nemovité a jehož daňová hodnota převyšuje 2 000 000 Kč.</w:t>
      </w:r>
    </w:p>
    <w:p w14:paraId="661D728A" w14:textId="77777777" w:rsidR="000839A4" w:rsidRPr="000839A4" w:rsidRDefault="000839A4" w:rsidP="000839A4">
      <w:pPr>
        <w:spacing w:before="120" w:after="120"/>
        <w:rPr>
          <w:b/>
          <w:szCs w:val="24"/>
        </w:rPr>
      </w:pPr>
      <w:r w:rsidRPr="000839A4">
        <w:rPr>
          <w:b/>
          <w:szCs w:val="24"/>
        </w:rPr>
        <w:t xml:space="preserve">(4) Pro určení minimální doby daňového odpisování se použije daňová hodnota aktiva v okamžiku, ve kterém se stane daňově odpisovaným aktivem. </w:t>
      </w:r>
    </w:p>
    <w:p w14:paraId="12BFF2CD" w14:textId="77777777" w:rsidR="000839A4" w:rsidRPr="000839A4" w:rsidRDefault="000839A4" w:rsidP="000839A4">
      <w:pPr>
        <w:spacing w:before="120" w:after="120"/>
        <w:rPr>
          <w:b/>
          <w:szCs w:val="24"/>
        </w:rPr>
      </w:pPr>
      <w:r w:rsidRPr="000839A4">
        <w:rPr>
          <w:b/>
          <w:szCs w:val="24"/>
        </w:rPr>
        <w:t>(5) Pěstitelský celek trvalého porostu se pro účely doby daňového odpisování považuje za movité aktivum.</w:t>
      </w:r>
    </w:p>
    <w:p w14:paraId="68D24DB4" w14:textId="77777777" w:rsidR="000839A4" w:rsidRPr="000839A4" w:rsidRDefault="000839A4" w:rsidP="000839A4">
      <w:pPr>
        <w:keepNext/>
        <w:ind w:firstLine="0"/>
        <w:jc w:val="center"/>
        <w:rPr>
          <w:b/>
          <w:szCs w:val="24"/>
        </w:rPr>
      </w:pPr>
      <w:r w:rsidRPr="000839A4">
        <w:rPr>
          <w:b/>
          <w:szCs w:val="24"/>
        </w:rPr>
        <w:t>§ 30</w:t>
      </w:r>
    </w:p>
    <w:p w14:paraId="66FBEB2C" w14:textId="77777777" w:rsidR="000839A4" w:rsidRPr="000839A4" w:rsidRDefault="000839A4" w:rsidP="000839A4">
      <w:pPr>
        <w:keepNext/>
        <w:ind w:firstLine="0"/>
        <w:jc w:val="center"/>
        <w:rPr>
          <w:noProof/>
          <w:szCs w:val="24"/>
        </w:rPr>
      </w:pPr>
      <w:r w:rsidRPr="000839A4">
        <w:rPr>
          <w:b/>
          <w:noProof/>
          <w:szCs w:val="24"/>
        </w:rPr>
        <w:t>Daňové odpisování aktiva se zahraniční daňovou hodnotou</w:t>
      </w:r>
    </w:p>
    <w:p w14:paraId="6979EFB1" w14:textId="77777777" w:rsidR="000839A4" w:rsidRPr="000839A4" w:rsidRDefault="000839A4" w:rsidP="000839A4">
      <w:pPr>
        <w:spacing w:before="120" w:after="120"/>
        <w:rPr>
          <w:b/>
          <w:szCs w:val="24"/>
        </w:rPr>
      </w:pPr>
      <w:r w:rsidRPr="000839A4">
        <w:rPr>
          <w:b/>
          <w:szCs w:val="24"/>
        </w:rPr>
        <w:t xml:space="preserve">(1) Minimální doba daňového odpisování aktiva, jehož prvotní daňová hodnota se rovná zahraniční daňové hodnotě přepočítané kurzem pro přepočet daně pro příslušný den, se zkrátí o počet měsíců, po které bylo aktivum odpisováno podle právních předpisů státu, ve kterém byly zdaňovány z něho plynoucí příjmy. </w:t>
      </w:r>
    </w:p>
    <w:p w14:paraId="05ED4B0C" w14:textId="77777777" w:rsidR="000839A4" w:rsidRPr="000839A4" w:rsidRDefault="000839A4" w:rsidP="000839A4">
      <w:pPr>
        <w:spacing w:before="120" w:after="120"/>
        <w:rPr>
          <w:b/>
          <w:szCs w:val="24"/>
        </w:rPr>
      </w:pPr>
      <w:r w:rsidRPr="000839A4">
        <w:rPr>
          <w:b/>
          <w:szCs w:val="24"/>
        </w:rPr>
        <w:t xml:space="preserve">(2) Zkrátí-li se minimální doba daňového odpisování podle odstavce 1 na nulu a nezvolí-li poplatník delší dobu daňového odpisování, částka ve výši prvotní daňové hodnoty aktiva je výdajem snižujícím jeho daňovou hodnotu v okamžiku, kdy se aktivum stalo daňově odpisovaným aktivem.  </w:t>
      </w:r>
    </w:p>
    <w:p w14:paraId="7B64B47E" w14:textId="77777777" w:rsidR="000839A4" w:rsidRPr="000839A4" w:rsidRDefault="000839A4" w:rsidP="000839A4">
      <w:pPr>
        <w:keepNext/>
        <w:ind w:firstLine="0"/>
        <w:jc w:val="center"/>
        <w:rPr>
          <w:b/>
          <w:szCs w:val="24"/>
        </w:rPr>
      </w:pPr>
      <w:r w:rsidRPr="000839A4">
        <w:rPr>
          <w:b/>
          <w:szCs w:val="24"/>
        </w:rPr>
        <w:t>§ 30a</w:t>
      </w:r>
    </w:p>
    <w:p w14:paraId="616D3B42" w14:textId="77777777" w:rsidR="000839A4" w:rsidRPr="000839A4" w:rsidRDefault="000839A4" w:rsidP="000839A4">
      <w:pPr>
        <w:keepNext/>
        <w:ind w:firstLine="0"/>
        <w:jc w:val="center"/>
        <w:rPr>
          <w:noProof/>
          <w:szCs w:val="24"/>
        </w:rPr>
      </w:pPr>
      <w:r w:rsidRPr="000839A4">
        <w:rPr>
          <w:b/>
          <w:noProof/>
          <w:szCs w:val="24"/>
        </w:rPr>
        <w:t>Daňové odpisování při zvýšení daňové hodnoty</w:t>
      </w:r>
    </w:p>
    <w:p w14:paraId="36874BFD" w14:textId="77777777" w:rsidR="000839A4" w:rsidRPr="000839A4" w:rsidRDefault="000839A4" w:rsidP="000839A4">
      <w:pPr>
        <w:spacing w:before="120" w:after="120"/>
        <w:rPr>
          <w:b/>
          <w:szCs w:val="24"/>
        </w:rPr>
      </w:pPr>
      <w:r w:rsidRPr="000839A4">
        <w:rPr>
          <w:b/>
          <w:szCs w:val="24"/>
        </w:rPr>
        <w:t>(1) Zvýší-li se daňová hodnota daňově odpisovaného aktiva,</w:t>
      </w:r>
    </w:p>
    <w:p w14:paraId="7F7AE9CB" w14:textId="77777777" w:rsidR="000839A4" w:rsidRPr="000839A4" w:rsidRDefault="000839A4" w:rsidP="000839A4">
      <w:pPr>
        <w:spacing w:before="0"/>
        <w:ind w:left="425" w:hanging="425"/>
        <w:outlineLvl w:val="7"/>
        <w:rPr>
          <w:b/>
        </w:rPr>
      </w:pPr>
      <w:r w:rsidRPr="000839A4">
        <w:rPr>
          <w:b/>
        </w:rPr>
        <w:t>a)</w:t>
      </w:r>
      <w:r w:rsidRPr="000839A4">
        <w:rPr>
          <w:b/>
        </w:rPr>
        <w:tab/>
        <w:t>neupravuje se výše daňového odpisu a</w:t>
      </w:r>
    </w:p>
    <w:p w14:paraId="29681C7D" w14:textId="77777777" w:rsidR="000839A4" w:rsidRPr="000839A4" w:rsidRDefault="000839A4" w:rsidP="000839A4">
      <w:pPr>
        <w:spacing w:before="0"/>
        <w:ind w:left="425" w:hanging="425"/>
        <w:outlineLvl w:val="7"/>
        <w:rPr>
          <w:b/>
        </w:rPr>
      </w:pPr>
      <w:r w:rsidRPr="000839A4">
        <w:rPr>
          <w:b/>
        </w:rPr>
        <w:t>b)</w:t>
      </w:r>
      <w:r w:rsidRPr="000839A4">
        <w:rPr>
          <w:b/>
        </w:rPr>
        <w:tab/>
        <w:t>prodlužuje se doba daňového odpisování o takový počet měsíců, aby byla odepsána celá daňová hodnota aktiva, a to od kalendářního měsíce následujícího po kalendářním měsíci, ve kterém došlo k tomuto zvýšení.</w:t>
      </w:r>
    </w:p>
    <w:p w14:paraId="1A19B81C" w14:textId="77777777" w:rsidR="000839A4" w:rsidRPr="000839A4" w:rsidDel="00642D6F" w:rsidRDefault="000839A4" w:rsidP="000839A4">
      <w:pPr>
        <w:spacing w:before="120" w:after="120"/>
        <w:rPr>
          <w:b/>
          <w:szCs w:val="24"/>
        </w:rPr>
      </w:pPr>
      <w:r w:rsidRPr="000839A4" w:rsidDel="00642D6F">
        <w:rPr>
          <w:b/>
          <w:szCs w:val="24"/>
        </w:rPr>
        <w:t xml:space="preserve">(2) Dojde-li ke zkrácení nebo prodloužení prodloužené doby daňového odpisování aktiva, upraví se výše daňového odpisu od kalendářního měsíce následujícího po kalendářním měsíci, ve kterém se zvýší daňová hodnota daňově odpisovaného aktiva. </w:t>
      </w:r>
    </w:p>
    <w:p w14:paraId="67B8D5B3" w14:textId="77777777" w:rsidR="000839A4" w:rsidRPr="000839A4" w:rsidDel="00642D6F" w:rsidRDefault="000839A4" w:rsidP="000839A4">
      <w:pPr>
        <w:spacing w:before="120" w:after="120"/>
        <w:rPr>
          <w:b/>
          <w:szCs w:val="24"/>
        </w:rPr>
      </w:pPr>
      <w:r w:rsidRPr="000839A4" w:rsidDel="00642D6F">
        <w:rPr>
          <w:b/>
          <w:szCs w:val="24"/>
        </w:rPr>
        <w:t xml:space="preserve">(3) Výše daňového odpisu upravená podle odstavce 2 se vypočítá jako podíl </w:t>
      </w:r>
    </w:p>
    <w:p w14:paraId="38EB1177" w14:textId="77777777" w:rsidR="000839A4" w:rsidRPr="000839A4" w:rsidDel="00642D6F" w:rsidRDefault="000839A4" w:rsidP="000839A4">
      <w:pPr>
        <w:spacing w:before="0"/>
        <w:ind w:left="425" w:hanging="425"/>
        <w:outlineLvl w:val="7"/>
        <w:rPr>
          <w:b/>
        </w:rPr>
      </w:pPr>
      <w:r w:rsidRPr="000839A4" w:rsidDel="00642D6F">
        <w:rPr>
          <w:b/>
        </w:rPr>
        <w:t>a)</w:t>
      </w:r>
      <w:r w:rsidRPr="000839A4" w:rsidDel="00642D6F">
        <w:rPr>
          <w:b/>
        </w:rPr>
        <w:tab/>
        <w:t xml:space="preserve">zvýšené daňové hodnoty daňově odpisovaného aktiva a </w:t>
      </w:r>
    </w:p>
    <w:p w14:paraId="2D09C91D" w14:textId="77777777" w:rsidR="000839A4" w:rsidRPr="000839A4" w:rsidRDefault="000839A4" w:rsidP="000839A4">
      <w:pPr>
        <w:spacing w:before="0"/>
        <w:ind w:left="425" w:hanging="425"/>
        <w:outlineLvl w:val="7"/>
        <w:rPr>
          <w:b/>
        </w:rPr>
      </w:pPr>
      <w:r w:rsidRPr="000839A4" w:rsidDel="00642D6F">
        <w:rPr>
          <w:b/>
        </w:rPr>
        <w:t>b)</w:t>
      </w:r>
      <w:r w:rsidRPr="000839A4" w:rsidDel="00642D6F">
        <w:rPr>
          <w:b/>
        </w:rPr>
        <w:tab/>
        <w:t>počtu kalendářních měsíců zbývající doby daňového odpisování.</w:t>
      </w:r>
    </w:p>
    <w:p w14:paraId="6B7530EE" w14:textId="77777777" w:rsidR="000839A4" w:rsidRPr="000839A4" w:rsidRDefault="000839A4" w:rsidP="000839A4">
      <w:pPr>
        <w:keepNext/>
        <w:ind w:firstLine="0"/>
        <w:jc w:val="center"/>
        <w:rPr>
          <w:b/>
          <w:szCs w:val="24"/>
        </w:rPr>
      </w:pPr>
      <w:r w:rsidRPr="000839A4">
        <w:rPr>
          <w:b/>
          <w:szCs w:val="24"/>
        </w:rPr>
        <w:lastRenderedPageBreak/>
        <w:t>§ 30b</w:t>
      </w:r>
    </w:p>
    <w:p w14:paraId="09E2FAAC" w14:textId="77777777" w:rsidR="000839A4" w:rsidRPr="000839A4" w:rsidRDefault="000839A4" w:rsidP="000839A4">
      <w:pPr>
        <w:keepNext/>
        <w:ind w:firstLine="0"/>
        <w:jc w:val="center"/>
        <w:rPr>
          <w:noProof/>
          <w:szCs w:val="24"/>
        </w:rPr>
      </w:pPr>
      <w:r w:rsidRPr="000839A4">
        <w:rPr>
          <w:b/>
          <w:noProof/>
          <w:szCs w:val="24"/>
        </w:rPr>
        <w:t>Úprava doby daňového odpisování při zvýšení daňové hodnoty</w:t>
      </w:r>
    </w:p>
    <w:p w14:paraId="63B754A6" w14:textId="77777777" w:rsidR="000839A4" w:rsidRPr="000839A4" w:rsidRDefault="000839A4" w:rsidP="000839A4">
      <w:pPr>
        <w:spacing w:before="120" w:after="120"/>
        <w:rPr>
          <w:b/>
          <w:szCs w:val="24"/>
        </w:rPr>
      </w:pPr>
      <w:r w:rsidRPr="000839A4">
        <w:rPr>
          <w:b/>
          <w:szCs w:val="24"/>
        </w:rPr>
        <w:t xml:space="preserve">(1) Přesahuje-li v důsledku prodloužení doby daňového odpisování zbývající doba daňového odpisování aktiva minimální dobu daňového odpisování tohoto aktiva, může poplatník prodlouženou dobu daňového odpisování zkrátit. </w:t>
      </w:r>
    </w:p>
    <w:p w14:paraId="0B375F0A" w14:textId="77777777" w:rsidR="000839A4" w:rsidRPr="000839A4" w:rsidRDefault="000839A4" w:rsidP="000839A4">
      <w:pPr>
        <w:spacing w:before="120" w:after="120"/>
        <w:rPr>
          <w:b/>
          <w:szCs w:val="24"/>
        </w:rPr>
      </w:pPr>
      <w:r w:rsidRPr="000839A4">
        <w:rPr>
          <w:b/>
          <w:szCs w:val="24"/>
        </w:rPr>
        <w:t>(2) Prodlouženou dobu daňového odpisování nelze zkrátit tak, aby byla zbývající doba daňového odpisování kratší než minimální doba daňového odpisování.</w:t>
      </w:r>
    </w:p>
    <w:p w14:paraId="6645CA56" w14:textId="77777777" w:rsidR="000839A4" w:rsidRPr="000839A4" w:rsidRDefault="000839A4" w:rsidP="000839A4">
      <w:pPr>
        <w:spacing w:before="120" w:after="120"/>
        <w:rPr>
          <w:b/>
          <w:szCs w:val="24"/>
        </w:rPr>
      </w:pPr>
      <w:r w:rsidRPr="000839A4">
        <w:rPr>
          <w:b/>
          <w:szCs w:val="24"/>
        </w:rPr>
        <w:t xml:space="preserve">(3) Zvýší-li se daňová hodnota daňově odpisovaného aktiva tak, že vzroste jeho minimální doba daňového odpisování, prodlouží se doba daňového odpisování tak, aby odpovídala nejméně této minimální době daňového odpisování. </w:t>
      </w:r>
    </w:p>
    <w:p w14:paraId="1E703EEE" w14:textId="77777777" w:rsidR="000839A4" w:rsidRPr="000839A4" w:rsidRDefault="000839A4" w:rsidP="000839A4">
      <w:pPr>
        <w:spacing w:before="120" w:after="120"/>
        <w:rPr>
          <w:b/>
          <w:szCs w:val="24"/>
        </w:rPr>
      </w:pPr>
      <w:r w:rsidRPr="000839A4">
        <w:rPr>
          <w:b/>
          <w:szCs w:val="24"/>
        </w:rPr>
        <w:t>(4) Vzroste-li v důsledku zvýšení daňové hodnoty daňově odpisovaného aktiva minimální doba daňového odpisování, použije se pro účely odstavců 1 a 2 vždy tato doba.</w:t>
      </w:r>
    </w:p>
    <w:p w14:paraId="532AE356" w14:textId="77777777" w:rsidR="000839A4" w:rsidRPr="000839A4" w:rsidRDefault="000839A4" w:rsidP="000839A4">
      <w:pPr>
        <w:keepNext/>
        <w:ind w:firstLine="0"/>
        <w:jc w:val="center"/>
        <w:rPr>
          <w:b/>
          <w:szCs w:val="24"/>
        </w:rPr>
      </w:pPr>
      <w:r w:rsidRPr="000839A4">
        <w:rPr>
          <w:b/>
          <w:szCs w:val="24"/>
        </w:rPr>
        <w:t>§ 30c</w:t>
      </w:r>
    </w:p>
    <w:p w14:paraId="2F6040E5" w14:textId="77777777" w:rsidR="000839A4" w:rsidRPr="000839A4" w:rsidRDefault="000839A4" w:rsidP="000839A4">
      <w:pPr>
        <w:keepNext/>
        <w:ind w:firstLine="0"/>
        <w:jc w:val="center"/>
        <w:rPr>
          <w:noProof/>
          <w:szCs w:val="24"/>
        </w:rPr>
      </w:pPr>
      <w:r w:rsidRPr="000839A4">
        <w:rPr>
          <w:b/>
          <w:noProof/>
          <w:szCs w:val="24"/>
        </w:rPr>
        <w:t>Daňové odpisování při snížení daňové hodnoty</w:t>
      </w:r>
    </w:p>
    <w:p w14:paraId="1AA66530" w14:textId="77777777" w:rsidR="000839A4" w:rsidRPr="000839A4" w:rsidRDefault="000839A4" w:rsidP="000839A4">
      <w:pPr>
        <w:spacing w:before="120" w:after="120"/>
        <w:rPr>
          <w:b/>
          <w:szCs w:val="24"/>
        </w:rPr>
      </w:pPr>
      <w:r w:rsidRPr="000839A4">
        <w:rPr>
          <w:b/>
          <w:szCs w:val="24"/>
        </w:rPr>
        <w:t>(1) Sníží-li se daňová hodnota daňově odpisovaného aktiva jinak než daňovým odpisováním, upraví se výše daňového odpisu od kalendářního měsíce následujícího po kalendářním měsíci, ve kterém ke snížení došlo.</w:t>
      </w:r>
    </w:p>
    <w:p w14:paraId="7C84ADAA" w14:textId="77777777" w:rsidR="000839A4" w:rsidRPr="000839A4" w:rsidRDefault="000839A4" w:rsidP="000839A4">
      <w:pPr>
        <w:spacing w:before="120" w:after="120"/>
        <w:rPr>
          <w:b/>
          <w:szCs w:val="24"/>
        </w:rPr>
      </w:pPr>
      <w:r w:rsidRPr="000839A4">
        <w:rPr>
          <w:b/>
          <w:szCs w:val="24"/>
        </w:rPr>
        <w:t xml:space="preserve">(2) Výše daňového dopisu upravená podle odstavce 1 se vypočítá jako podíl </w:t>
      </w:r>
    </w:p>
    <w:p w14:paraId="09073AB0" w14:textId="77777777" w:rsidR="000839A4" w:rsidRPr="000839A4" w:rsidRDefault="000839A4" w:rsidP="000839A4">
      <w:pPr>
        <w:spacing w:before="0"/>
        <w:ind w:left="425" w:hanging="425"/>
        <w:outlineLvl w:val="7"/>
        <w:rPr>
          <w:b/>
        </w:rPr>
      </w:pPr>
      <w:r w:rsidRPr="000839A4">
        <w:rPr>
          <w:b/>
        </w:rPr>
        <w:t>a)</w:t>
      </w:r>
      <w:r w:rsidRPr="000839A4">
        <w:rPr>
          <w:b/>
        </w:rPr>
        <w:tab/>
        <w:t xml:space="preserve">snížené daňové hodnoty daňově odpisovaného aktiva a </w:t>
      </w:r>
    </w:p>
    <w:p w14:paraId="75632303" w14:textId="77777777" w:rsidR="000839A4" w:rsidRPr="000839A4" w:rsidRDefault="000839A4" w:rsidP="000839A4">
      <w:pPr>
        <w:spacing w:before="0"/>
        <w:ind w:left="425" w:hanging="425"/>
        <w:outlineLvl w:val="7"/>
        <w:rPr>
          <w:b/>
        </w:rPr>
      </w:pPr>
      <w:r w:rsidRPr="000839A4">
        <w:rPr>
          <w:b/>
        </w:rPr>
        <w:t>b)</w:t>
      </w:r>
      <w:r w:rsidRPr="000839A4">
        <w:rPr>
          <w:b/>
        </w:rPr>
        <w:tab/>
        <w:t>počtu kalendářních měsíců zbývající doby daňového odpisování.</w:t>
      </w:r>
    </w:p>
    <w:p w14:paraId="77432951" w14:textId="77777777" w:rsidR="000839A4" w:rsidRPr="000839A4" w:rsidRDefault="000839A4" w:rsidP="000839A4">
      <w:pPr>
        <w:keepNext/>
        <w:ind w:firstLine="0"/>
        <w:jc w:val="center"/>
        <w:rPr>
          <w:b/>
          <w:szCs w:val="24"/>
        </w:rPr>
      </w:pPr>
      <w:r w:rsidRPr="000839A4">
        <w:rPr>
          <w:b/>
          <w:szCs w:val="24"/>
        </w:rPr>
        <w:t>§ 30d</w:t>
      </w:r>
    </w:p>
    <w:p w14:paraId="6694F2BF" w14:textId="77777777" w:rsidR="000839A4" w:rsidRPr="000839A4" w:rsidRDefault="000839A4" w:rsidP="000839A4">
      <w:pPr>
        <w:keepNext/>
        <w:ind w:firstLine="0"/>
        <w:jc w:val="center"/>
        <w:rPr>
          <w:noProof/>
          <w:szCs w:val="24"/>
        </w:rPr>
      </w:pPr>
      <w:r w:rsidRPr="000839A4">
        <w:rPr>
          <w:b/>
          <w:noProof/>
          <w:szCs w:val="24"/>
        </w:rPr>
        <w:t>Zvláštní doba daňového odpisování</w:t>
      </w:r>
    </w:p>
    <w:p w14:paraId="7B317FFF" w14:textId="77777777" w:rsidR="000839A4" w:rsidRPr="000839A4" w:rsidRDefault="000839A4" w:rsidP="000839A4">
      <w:pPr>
        <w:spacing w:before="120" w:after="120"/>
        <w:rPr>
          <w:b/>
          <w:szCs w:val="24"/>
        </w:rPr>
      </w:pPr>
      <w:r w:rsidRPr="000839A4">
        <w:rPr>
          <w:b/>
          <w:szCs w:val="24"/>
        </w:rPr>
        <w:t xml:space="preserve">(1) Zvláštní doba daňového odpisování se uplatňuje u daňově odpisovaného aktiva, jehož životnost nebo doba trvání je stanovena právním předpisem nebo orgánem veřejné moci; takovým aktivem může být zejména otvírka nového lomu, pískovna, hliniště, technická rekultivace, dočasná stavba nebo důlní dílo. </w:t>
      </w:r>
    </w:p>
    <w:p w14:paraId="35084815" w14:textId="77777777" w:rsidR="000839A4" w:rsidRPr="000839A4" w:rsidRDefault="000839A4" w:rsidP="000839A4">
      <w:pPr>
        <w:spacing w:before="120" w:after="120"/>
        <w:rPr>
          <w:b/>
          <w:szCs w:val="24"/>
        </w:rPr>
      </w:pPr>
      <w:r w:rsidRPr="000839A4">
        <w:rPr>
          <w:b/>
          <w:szCs w:val="24"/>
        </w:rPr>
        <w:t>(2) Zvláštní doba odpisování se rovná životnosti nebo době trvání stanovené právním předpisem nebo orgánem veřejné moci.</w:t>
      </w:r>
    </w:p>
    <w:p w14:paraId="19C21D94" w14:textId="77777777" w:rsidR="000839A4" w:rsidRPr="000839A4" w:rsidRDefault="000839A4" w:rsidP="000839A4">
      <w:pPr>
        <w:spacing w:before="120" w:after="120"/>
        <w:rPr>
          <w:b/>
          <w:szCs w:val="24"/>
        </w:rPr>
      </w:pPr>
      <w:r w:rsidRPr="000839A4">
        <w:rPr>
          <w:b/>
          <w:szCs w:val="24"/>
        </w:rPr>
        <w:t>(3) Zvláštní dobu daňového odpisování uplatňuje poplatník s hotovostním základem daně u práva stavby a stavby, která je součástí práva stavby a byla zřízena před zřízením práva stavby. Tato zvláštní doba odpisování se rovná době trvání práva stavby.</w:t>
      </w:r>
    </w:p>
    <w:p w14:paraId="46F58956" w14:textId="77777777" w:rsidR="000839A4" w:rsidRPr="000839A4" w:rsidRDefault="000839A4" w:rsidP="000839A4">
      <w:pPr>
        <w:spacing w:before="120" w:after="120"/>
        <w:rPr>
          <w:b/>
          <w:szCs w:val="24"/>
        </w:rPr>
      </w:pPr>
      <w:r w:rsidRPr="000839A4">
        <w:rPr>
          <w:b/>
          <w:szCs w:val="24"/>
        </w:rPr>
        <w:t xml:space="preserve">(4) Daňový odpis daňově odpisovaného aktiva se zvláštní dobou daňového odpisování se vypočítá za jednotlivý kalendářní měsíc, a to jako podíl </w:t>
      </w:r>
    </w:p>
    <w:p w14:paraId="54A28886" w14:textId="77777777" w:rsidR="000839A4" w:rsidRPr="000839A4" w:rsidRDefault="000839A4" w:rsidP="000839A4">
      <w:pPr>
        <w:spacing w:before="0"/>
        <w:ind w:left="425" w:hanging="425"/>
        <w:outlineLvl w:val="7"/>
        <w:rPr>
          <w:b/>
        </w:rPr>
      </w:pPr>
      <w:r w:rsidRPr="000839A4">
        <w:rPr>
          <w:b/>
        </w:rPr>
        <w:t>a)</w:t>
      </w:r>
      <w:r w:rsidRPr="000839A4">
        <w:rPr>
          <w:b/>
        </w:rPr>
        <w:tab/>
        <w:t xml:space="preserve">daňové hodnoty aktiva a </w:t>
      </w:r>
    </w:p>
    <w:p w14:paraId="7A5C662D" w14:textId="77777777" w:rsidR="000839A4" w:rsidRPr="000839A4" w:rsidRDefault="000839A4" w:rsidP="000839A4">
      <w:pPr>
        <w:spacing w:before="0"/>
        <w:ind w:left="425" w:hanging="425"/>
        <w:outlineLvl w:val="7"/>
        <w:rPr>
          <w:b/>
        </w:rPr>
      </w:pPr>
      <w:r w:rsidRPr="000839A4">
        <w:rPr>
          <w:b/>
        </w:rPr>
        <w:t>b)</w:t>
      </w:r>
      <w:r w:rsidRPr="000839A4">
        <w:rPr>
          <w:b/>
        </w:rPr>
        <w:tab/>
        <w:t>počtu kalendářních měsíců zbývající zvláštní doby daňového odpisování.</w:t>
      </w:r>
    </w:p>
    <w:p w14:paraId="45C8C2F6" w14:textId="77777777" w:rsidR="000839A4" w:rsidRPr="000839A4" w:rsidRDefault="000839A4" w:rsidP="000839A4">
      <w:pPr>
        <w:keepNext/>
        <w:ind w:firstLine="0"/>
        <w:jc w:val="center"/>
        <w:rPr>
          <w:b/>
          <w:szCs w:val="24"/>
        </w:rPr>
      </w:pPr>
      <w:r w:rsidRPr="000839A4">
        <w:rPr>
          <w:b/>
          <w:szCs w:val="24"/>
        </w:rPr>
        <w:lastRenderedPageBreak/>
        <w:t>§ 30da</w:t>
      </w:r>
    </w:p>
    <w:p w14:paraId="41EC1F86" w14:textId="77777777" w:rsidR="000839A4" w:rsidRPr="000839A4" w:rsidRDefault="000839A4" w:rsidP="000839A4">
      <w:pPr>
        <w:keepNext/>
        <w:ind w:firstLine="0"/>
        <w:jc w:val="center"/>
        <w:rPr>
          <w:noProof/>
          <w:szCs w:val="24"/>
        </w:rPr>
      </w:pPr>
      <w:r w:rsidRPr="000839A4">
        <w:rPr>
          <w:b/>
          <w:noProof/>
          <w:szCs w:val="24"/>
        </w:rPr>
        <w:t>Změna režimu daňového odpisování</w:t>
      </w:r>
      <w:r w:rsidRPr="000839A4">
        <w:rPr>
          <w:noProof/>
          <w:szCs w:val="24"/>
        </w:rPr>
        <w:t xml:space="preserve"> </w:t>
      </w:r>
    </w:p>
    <w:p w14:paraId="1A822E73" w14:textId="77777777" w:rsidR="000839A4" w:rsidRPr="000839A4" w:rsidRDefault="000839A4" w:rsidP="000839A4">
      <w:pPr>
        <w:spacing w:before="120" w:after="120"/>
        <w:rPr>
          <w:b/>
          <w:szCs w:val="24"/>
        </w:rPr>
      </w:pPr>
      <w:r w:rsidRPr="000839A4">
        <w:rPr>
          <w:b/>
          <w:szCs w:val="24"/>
        </w:rPr>
        <w:t xml:space="preserve">(1) Byla-li u daňově odpisovaného aktiva zrušena zvláštní doba daňového odpisování, výše daňového odpisu se neupravuje. </w:t>
      </w:r>
    </w:p>
    <w:p w14:paraId="0F3CB24B" w14:textId="77777777" w:rsidR="000839A4" w:rsidRPr="000839A4" w:rsidRDefault="000839A4" w:rsidP="000839A4">
      <w:pPr>
        <w:spacing w:before="120" w:after="120"/>
        <w:rPr>
          <w:b/>
          <w:szCs w:val="24"/>
        </w:rPr>
      </w:pPr>
      <w:r w:rsidRPr="000839A4">
        <w:rPr>
          <w:b/>
          <w:szCs w:val="24"/>
        </w:rPr>
        <w:t xml:space="preserve">(2) Pokud je celková doba daňového odpisování aktiva, u kterého byla zrušena zvláštní doba odpisování, </w:t>
      </w:r>
    </w:p>
    <w:p w14:paraId="2690A9C9" w14:textId="77777777" w:rsidR="000839A4" w:rsidRPr="000839A4" w:rsidRDefault="000839A4" w:rsidP="000839A4">
      <w:pPr>
        <w:spacing w:before="0"/>
        <w:ind w:left="425" w:hanging="425"/>
        <w:outlineLvl w:val="7"/>
        <w:rPr>
          <w:b/>
        </w:rPr>
      </w:pPr>
      <w:r w:rsidRPr="000839A4">
        <w:rPr>
          <w:b/>
        </w:rPr>
        <w:t>a)</w:t>
      </w:r>
      <w:r w:rsidRPr="000839A4">
        <w:rPr>
          <w:b/>
        </w:rPr>
        <w:tab/>
        <w:t>kratší než minimální doba daňového odpisování, prodlouží se tak, aby odpovídala nejméně minimální době daňového odpisování,</w:t>
      </w:r>
    </w:p>
    <w:p w14:paraId="16CE42E3" w14:textId="77777777" w:rsidR="000839A4" w:rsidRPr="000839A4" w:rsidRDefault="000839A4" w:rsidP="000839A4">
      <w:pPr>
        <w:spacing w:before="0"/>
        <w:ind w:left="425" w:hanging="425"/>
        <w:outlineLvl w:val="7"/>
        <w:rPr>
          <w:b/>
        </w:rPr>
      </w:pPr>
      <w:r w:rsidRPr="000839A4">
        <w:rPr>
          <w:b/>
        </w:rPr>
        <w:t>b)</w:t>
      </w:r>
      <w:r w:rsidRPr="000839A4">
        <w:rPr>
          <w:b/>
        </w:rPr>
        <w:tab/>
        <w:t xml:space="preserve">delší než minimální doba daňového odpisování, může ji poplatník zkrátit, nejvíce však na minimální dobu daňového odpisování. </w:t>
      </w:r>
    </w:p>
    <w:p w14:paraId="01E8C128" w14:textId="77777777" w:rsidR="000839A4" w:rsidRPr="000839A4" w:rsidRDefault="000839A4" w:rsidP="000839A4">
      <w:pPr>
        <w:spacing w:before="120" w:after="120"/>
        <w:rPr>
          <w:b/>
          <w:szCs w:val="24"/>
        </w:rPr>
      </w:pPr>
      <w:r w:rsidRPr="000839A4">
        <w:rPr>
          <w:b/>
          <w:szCs w:val="24"/>
        </w:rPr>
        <w:t xml:space="preserve">(3) Pokud daňové odpisování aktiva trvalo před zrušením zvláštní doby odpisování alespoň po dobu, která odpovídá minimální době daňového odpisování, vzniká výdaj ve výši daňové hodnoty aktiva, a to v okamžiku tohoto zrušení. </w:t>
      </w:r>
    </w:p>
    <w:p w14:paraId="5946C1F8" w14:textId="77777777" w:rsidR="000839A4" w:rsidRPr="000839A4" w:rsidRDefault="000839A4" w:rsidP="000839A4">
      <w:pPr>
        <w:spacing w:before="120" w:after="120"/>
        <w:rPr>
          <w:b/>
          <w:szCs w:val="24"/>
        </w:rPr>
      </w:pPr>
      <w:r w:rsidRPr="000839A4">
        <w:rPr>
          <w:b/>
          <w:szCs w:val="24"/>
        </w:rPr>
        <w:t>(4) Dojde-li ke zkrácení nebo prodloužení celkové doby daňového odpisování aktiva, upraví se výše daňového odpisu od kalendářního měsíce následujícího po kalendářním měsíci, ve kterém došlo ke zrušení zvláštní doby daňového odpisování.</w:t>
      </w:r>
    </w:p>
    <w:p w14:paraId="0A8C27E8" w14:textId="77777777" w:rsidR="000839A4" w:rsidRPr="000839A4" w:rsidRDefault="000839A4" w:rsidP="000839A4">
      <w:pPr>
        <w:spacing w:before="120" w:after="120"/>
        <w:rPr>
          <w:b/>
          <w:szCs w:val="24"/>
        </w:rPr>
      </w:pPr>
      <w:r w:rsidRPr="000839A4">
        <w:rPr>
          <w:b/>
          <w:szCs w:val="24"/>
        </w:rPr>
        <w:t xml:space="preserve"> (5) Výše daňového odpisu upravená podle odstavce 4 se vypočítá jako podíl </w:t>
      </w:r>
    </w:p>
    <w:p w14:paraId="3DE3AD79" w14:textId="77777777" w:rsidR="000839A4" w:rsidRPr="000839A4" w:rsidRDefault="000839A4" w:rsidP="000839A4">
      <w:pPr>
        <w:spacing w:before="0"/>
        <w:ind w:left="425" w:hanging="425"/>
        <w:outlineLvl w:val="7"/>
        <w:rPr>
          <w:b/>
        </w:rPr>
      </w:pPr>
      <w:r w:rsidRPr="000839A4">
        <w:rPr>
          <w:b/>
        </w:rPr>
        <w:t>a)</w:t>
      </w:r>
      <w:r w:rsidRPr="000839A4">
        <w:rPr>
          <w:b/>
        </w:rPr>
        <w:tab/>
        <w:t xml:space="preserve">daňové hodnoty daňově odpisovaného aktiva a </w:t>
      </w:r>
    </w:p>
    <w:p w14:paraId="6282CBA7" w14:textId="77777777" w:rsidR="000839A4" w:rsidRPr="000839A4" w:rsidRDefault="000839A4" w:rsidP="000839A4">
      <w:pPr>
        <w:spacing w:before="0"/>
        <w:ind w:left="425" w:hanging="425"/>
        <w:outlineLvl w:val="7"/>
        <w:rPr>
          <w:b/>
        </w:rPr>
      </w:pPr>
      <w:r w:rsidRPr="000839A4">
        <w:rPr>
          <w:b/>
        </w:rPr>
        <w:t>b)</w:t>
      </w:r>
      <w:r w:rsidRPr="000839A4">
        <w:rPr>
          <w:b/>
        </w:rPr>
        <w:tab/>
        <w:t>počtu kalendářních měsíců zbývající doby daňového odpisování.</w:t>
      </w:r>
    </w:p>
    <w:p w14:paraId="4ECBB78F" w14:textId="77777777" w:rsidR="000839A4" w:rsidRPr="000839A4" w:rsidRDefault="000839A4" w:rsidP="00D90D00">
      <w:pPr>
        <w:keepNext/>
        <w:numPr>
          <w:ilvl w:val="0"/>
          <w:numId w:val="84"/>
        </w:numPr>
        <w:jc w:val="center"/>
        <w:rPr>
          <w:b/>
          <w:szCs w:val="24"/>
        </w:rPr>
      </w:pPr>
      <w:r w:rsidRPr="000839A4">
        <w:rPr>
          <w:szCs w:val="24"/>
        </w:rPr>
        <w:t>§ 30e</w:t>
      </w:r>
    </w:p>
    <w:p w14:paraId="784DC662" w14:textId="77777777" w:rsidR="000839A4" w:rsidRPr="000839A4" w:rsidRDefault="000839A4" w:rsidP="00D90D00">
      <w:pPr>
        <w:keepNext/>
        <w:numPr>
          <w:ilvl w:val="0"/>
          <w:numId w:val="84"/>
        </w:numPr>
        <w:jc w:val="center"/>
        <w:rPr>
          <w:b/>
          <w:szCs w:val="24"/>
        </w:rPr>
      </w:pPr>
      <w:r w:rsidRPr="000839A4">
        <w:rPr>
          <w:b/>
          <w:szCs w:val="24"/>
        </w:rPr>
        <w:t>Odpisovaná vozidla kategorie M1</w:t>
      </w:r>
    </w:p>
    <w:p w14:paraId="5AC08AD9" w14:textId="77777777" w:rsidR="000839A4" w:rsidRPr="000839A4" w:rsidRDefault="000839A4" w:rsidP="000839A4">
      <w:pPr>
        <w:spacing w:before="120" w:after="120"/>
        <w:rPr>
          <w:noProof/>
          <w:szCs w:val="24"/>
        </w:rPr>
      </w:pPr>
      <w:r w:rsidRPr="000839A4">
        <w:rPr>
          <w:noProof/>
          <w:szCs w:val="24"/>
        </w:rPr>
        <w:t xml:space="preserve">(1) </w:t>
      </w:r>
      <w:r w:rsidRPr="000839A4">
        <w:rPr>
          <w:szCs w:val="24"/>
        </w:rPr>
        <w:t>Při</w:t>
      </w:r>
      <w:r w:rsidRPr="000839A4">
        <w:rPr>
          <w:noProof/>
          <w:szCs w:val="24"/>
        </w:rPr>
        <w:t xml:space="preserve"> odpisování vozidla kategorie M1 se do výdajů k zajištění zdanitelného příjmu zahrnuje pouze poměrná část odpisu vypočítaná podle poměru částky omezení výdajů u vozidla kategorie M1 a úhrnu výdajů vynaložených na vozidlo kategorie M1. </w:t>
      </w:r>
    </w:p>
    <w:p w14:paraId="279B7A61" w14:textId="77777777" w:rsidR="000839A4" w:rsidRPr="000839A4" w:rsidRDefault="000839A4" w:rsidP="000839A4">
      <w:pPr>
        <w:spacing w:before="120" w:after="120"/>
        <w:rPr>
          <w:noProof/>
          <w:szCs w:val="24"/>
        </w:rPr>
      </w:pPr>
      <w:r w:rsidRPr="000839A4">
        <w:rPr>
          <w:noProof/>
          <w:szCs w:val="24"/>
        </w:rPr>
        <w:t>(2) Částka omezení výdajů u vozidla kategorie M1 činí 2 000 000 Kč a úhrn výdajů vynaložených na vozidlo kategorie M1 se rovná jeho vstupní ceně.</w:t>
      </w:r>
    </w:p>
    <w:p w14:paraId="12B2A306" w14:textId="77777777" w:rsidR="000839A4" w:rsidRPr="000839A4" w:rsidRDefault="000839A4" w:rsidP="000839A4">
      <w:pPr>
        <w:spacing w:before="120" w:after="120"/>
        <w:rPr>
          <w:noProof/>
          <w:szCs w:val="24"/>
        </w:rPr>
      </w:pPr>
      <w:r w:rsidRPr="000839A4">
        <w:rPr>
          <w:noProof/>
          <w:szCs w:val="24"/>
        </w:rPr>
        <w:t>(3) Pokud je na vozidle kategorie M1 provedeno technické zhodnocení, je od okamžiku, kdy je technické zhodnocení dokončeno a uvedeno do stavu způsobilého obvyklému užívání,</w:t>
      </w:r>
    </w:p>
    <w:p w14:paraId="6A24D11A" w14:textId="77777777" w:rsidR="000839A4" w:rsidRPr="000839A4" w:rsidRDefault="000839A4" w:rsidP="000839A4">
      <w:pPr>
        <w:tabs>
          <w:tab w:val="left" w:pos="357"/>
        </w:tabs>
        <w:spacing w:before="0"/>
        <w:ind w:left="357" w:hanging="357"/>
        <w:rPr>
          <w:noProof/>
          <w:szCs w:val="24"/>
        </w:rPr>
      </w:pPr>
      <w:r w:rsidRPr="000839A4">
        <w:rPr>
          <w:noProof/>
          <w:szCs w:val="24"/>
        </w:rPr>
        <w:t>a)</w:t>
      </w:r>
      <w:r w:rsidRPr="000839A4">
        <w:rPr>
          <w:noProof/>
          <w:szCs w:val="24"/>
        </w:rPr>
        <w:tab/>
        <w:t>částka omezení výdajů u tohoto vozidla rovna rozdílu mezi částkou 2 000 000 Kč a úhrnem částí odpisů, které byly výdajem na dosažení, zajištění a udržení zdanitelných příjmů, a</w:t>
      </w:r>
    </w:p>
    <w:p w14:paraId="2176CDEE" w14:textId="77777777" w:rsidR="000839A4" w:rsidRPr="000839A4" w:rsidRDefault="000839A4" w:rsidP="000839A4">
      <w:pPr>
        <w:tabs>
          <w:tab w:val="left" w:pos="357"/>
        </w:tabs>
        <w:spacing w:before="0"/>
        <w:ind w:left="357" w:hanging="357"/>
        <w:rPr>
          <w:noProof/>
          <w:szCs w:val="24"/>
        </w:rPr>
      </w:pPr>
      <w:r w:rsidRPr="000839A4">
        <w:rPr>
          <w:noProof/>
          <w:szCs w:val="24"/>
        </w:rPr>
        <w:t>b)</w:t>
      </w:r>
      <w:r w:rsidRPr="000839A4">
        <w:rPr>
          <w:noProof/>
          <w:szCs w:val="24"/>
        </w:rPr>
        <w:tab/>
        <w:t>úhrn výdajů vynaložených na toto vozidlo roven součtu zůstatkové ceny v daném okamžiku a výdajů na technické zhodnocení.</w:t>
      </w:r>
    </w:p>
    <w:p w14:paraId="65C6E41F" w14:textId="77777777" w:rsidR="000839A4" w:rsidRPr="000839A4" w:rsidRDefault="000839A4" w:rsidP="000839A4">
      <w:pPr>
        <w:spacing w:before="120" w:after="120"/>
        <w:rPr>
          <w:noProof/>
          <w:szCs w:val="24"/>
        </w:rPr>
      </w:pPr>
      <w:r w:rsidRPr="000839A4">
        <w:rPr>
          <w:noProof/>
          <w:szCs w:val="24"/>
        </w:rPr>
        <w:t xml:space="preserve">(4) Pokud dojde ke zvýšení nebo snížení vstupní ceny již odpisovaného vozidla kategorie M1 z jiného důvodu než technického zhodnocení, je od tohoto okamžiku </w:t>
      </w:r>
    </w:p>
    <w:p w14:paraId="1A2A701A" w14:textId="77777777" w:rsidR="000839A4" w:rsidRPr="000839A4" w:rsidRDefault="000839A4" w:rsidP="000839A4">
      <w:pPr>
        <w:tabs>
          <w:tab w:val="left" w:pos="357"/>
        </w:tabs>
        <w:spacing w:before="0"/>
        <w:ind w:left="357" w:hanging="357"/>
        <w:rPr>
          <w:noProof/>
          <w:szCs w:val="24"/>
        </w:rPr>
      </w:pPr>
      <w:r w:rsidRPr="000839A4">
        <w:rPr>
          <w:noProof/>
          <w:szCs w:val="24"/>
        </w:rPr>
        <w:t>a)</w:t>
      </w:r>
      <w:r w:rsidRPr="000839A4">
        <w:rPr>
          <w:noProof/>
          <w:szCs w:val="24"/>
        </w:rPr>
        <w:tab/>
        <w:t>částka omezení výdajů u tohoto vozidla rovna rozdílu mezi částkou 2 000 000 Kč a úhrnem částí odpisů, které byly výdajem na dosažení, zajištění a udržení zdanitelných příjmů, a</w:t>
      </w:r>
    </w:p>
    <w:p w14:paraId="691B4C11" w14:textId="77777777" w:rsidR="000839A4" w:rsidRPr="000839A4" w:rsidRDefault="000839A4" w:rsidP="000839A4">
      <w:pPr>
        <w:tabs>
          <w:tab w:val="left" w:pos="357"/>
        </w:tabs>
        <w:spacing w:before="0"/>
        <w:ind w:left="357" w:hanging="357"/>
        <w:rPr>
          <w:noProof/>
          <w:szCs w:val="24"/>
        </w:rPr>
      </w:pPr>
      <w:r w:rsidRPr="000839A4">
        <w:rPr>
          <w:noProof/>
          <w:szCs w:val="24"/>
        </w:rPr>
        <w:t>b)</w:t>
      </w:r>
      <w:r w:rsidRPr="000839A4">
        <w:rPr>
          <w:noProof/>
          <w:szCs w:val="24"/>
        </w:rPr>
        <w:tab/>
        <w:t>úhrn výdajů vynaložených na toto vozidlo roven zůstatkové ceně v daném okamžiku upravené o částku, o kterou byla zvýšena nebo snížena vstupní cena.</w:t>
      </w:r>
    </w:p>
    <w:p w14:paraId="574211F9" w14:textId="77777777" w:rsidR="000839A4" w:rsidRPr="000839A4" w:rsidRDefault="000839A4" w:rsidP="000839A4">
      <w:pPr>
        <w:spacing w:before="120" w:after="120"/>
        <w:rPr>
          <w:noProof/>
          <w:szCs w:val="24"/>
        </w:rPr>
      </w:pPr>
      <w:r w:rsidRPr="000839A4">
        <w:rPr>
          <w:noProof/>
          <w:szCs w:val="24"/>
        </w:rPr>
        <w:t xml:space="preserve">(5) Při odpisování technického zhodnocení vozidla kategorie M1 odpisovaného podle § 30a se do výdajů k zajištění zdanitelného příjmu zahrnuje pouze poměrná část odpisu </w:t>
      </w:r>
      <w:r w:rsidRPr="000839A4">
        <w:rPr>
          <w:noProof/>
          <w:szCs w:val="24"/>
        </w:rPr>
        <w:lastRenderedPageBreak/>
        <w:t>vypočítaná podle stejného poměru jako u vozidla, na kterém bylo technické zhodnocení provedeno. Pokud je na takovém vozidle provedeno další technické zhodnocení, je od okamžiku, kdy je další technické zhodnocení dokončeno a uvedeno do stavu způsobilého obvyklému užívání,</w:t>
      </w:r>
    </w:p>
    <w:p w14:paraId="1CB86995" w14:textId="77777777" w:rsidR="000839A4" w:rsidRPr="000839A4" w:rsidRDefault="000839A4" w:rsidP="000839A4">
      <w:pPr>
        <w:tabs>
          <w:tab w:val="left" w:pos="357"/>
        </w:tabs>
        <w:spacing w:before="0"/>
        <w:ind w:left="357" w:hanging="357"/>
        <w:rPr>
          <w:noProof/>
          <w:szCs w:val="24"/>
        </w:rPr>
      </w:pPr>
      <w:r w:rsidRPr="000839A4">
        <w:rPr>
          <w:noProof/>
          <w:szCs w:val="24"/>
        </w:rPr>
        <w:t>a)</w:t>
      </w:r>
      <w:r w:rsidRPr="000839A4">
        <w:rPr>
          <w:noProof/>
          <w:szCs w:val="24"/>
        </w:rPr>
        <w:tab/>
        <w:t>částka omezení výdajů u tohoto vozidla i u technického zhodnocení rovna rozdílu mezi částkou 2 000 000 Kč a úhrnem částí odpisů vozidla, které byly výdajem na dosažení, zajištění a udržení zdanitelných příjmů, a částí odpisů technického zhodnocení, které byly výdajem na dosažení, zajištění a udržení zdanitelných příjmů, a</w:t>
      </w:r>
    </w:p>
    <w:p w14:paraId="69B730B9" w14:textId="77777777" w:rsidR="000839A4" w:rsidRPr="000839A4" w:rsidRDefault="000839A4" w:rsidP="000839A4">
      <w:pPr>
        <w:tabs>
          <w:tab w:val="left" w:pos="357"/>
        </w:tabs>
        <w:spacing w:before="0"/>
        <w:ind w:left="357" w:hanging="357"/>
        <w:rPr>
          <w:noProof/>
          <w:szCs w:val="24"/>
        </w:rPr>
      </w:pPr>
      <w:r w:rsidRPr="000839A4">
        <w:rPr>
          <w:noProof/>
          <w:szCs w:val="24"/>
        </w:rPr>
        <w:t>b)</w:t>
      </w:r>
      <w:r w:rsidRPr="000839A4">
        <w:rPr>
          <w:noProof/>
          <w:szCs w:val="24"/>
        </w:rPr>
        <w:tab/>
        <w:t>úhrn výdajů vynaložených na toto vozidlo i na technické zhodnocení roven součtu zůstatkové ceny vozidla v daném okamžiku, zůstatkové ceny technického zhodnocení v daném okamžiku a výdajů na další technické zhodnocení.</w:t>
      </w:r>
    </w:p>
    <w:p w14:paraId="33D520DE" w14:textId="77777777" w:rsidR="000839A4" w:rsidRPr="000839A4" w:rsidRDefault="000839A4" w:rsidP="000839A4">
      <w:pPr>
        <w:spacing w:before="120" w:after="120"/>
        <w:rPr>
          <w:noProof/>
          <w:szCs w:val="24"/>
        </w:rPr>
      </w:pPr>
      <w:r w:rsidRPr="000839A4">
        <w:rPr>
          <w:noProof/>
          <w:szCs w:val="24"/>
        </w:rPr>
        <w:t>(6) V případě spoluvlastnického podílu na vozidlu kategorie M1 je</w:t>
      </w:r>
    </w:p>
    <w:p w14:paraId="125AC190" w14:textId="77777777" w:rsidR="000839A4" w:rsidRPr="000839A4" w:rsidRDefault="000839A4" w:rsidP="000839A4">
      <w:pPr>
        <w:tabs>
          <w:tab w:val="left" w:pos="357"/>
        </w:tabs>
        <w:spacing w:before="0"/>
        <w:ind w:left="357" w:hanging="357"/>
        <w:rPr>
          <w:noProof/>
          <w:szCs w:val="24"/>
        </w:rPr>
      </w:pPr>
      <w:r w:rsidRPr="000839A4">
        <w:rPr>
          <w:noProof/>
          <w:szCs w:val="24"/>
        </w:rPr>
        <w:t>a)</w:t>
      </w:r>
      <w:r w:rsidRPr="000839A4">
        <w:rPr>
          <w:noProof/>
          <w:szCs w:val="24"/>
        </w:rPr>
        <w:tab/>
        <w:t>částka omezení výdajů u tohoto podílu rovna poměrné části částky 2 000 000 Kč vypočítané podle výše spoluvlastnického podílu a</w:t>
      </w:r>
    </w:p>
    <w:p w14:paraId="3EC06DC8" w14:textId="77777777" w:rsidR="000839A4" w:rsidRPr="000839A4" w:rsidRDefault="000839A4" w:rsidP="000839A4">
      <w:pPr>
        <w:tabs>
          <w:tab w:val="left" w:pos="357"/>
        </w:tabs>
        <w:spacing w:before="0"/>
        <w:ind w:left="357" w:hanging="357"/>
        <w:rPr>
          <w:noProof/>
          <w:szCs w:val="24"/>
        </w:rPr>
      </w:pPr>
      <w:r w:rsidRPr="000839A4">
        <w:rPr>
          <w:noProof/>
          <w:szCs w:val="24"/>
        </w:rPr>
        <w:t>b)</w:t>
      </w:r>
      <w:r w:rsidRPr="000839A4">
        <w:rPr>
          <w:noProof/>
          <w:szCs w:val="24"/>
        </w:rPr>
        <w:tab/>
        <w:t>úhrn výdajů vynaložených na tento podíl roven jeho vstupní ceně.</w:t>
      </w:r>
    </w:p>
    <w:p w14:paraId="77405B88" w14:textId="77777777" w:rsidR="000839A4" w:rsidRPr="000839A4" w:rsidRDefault="000839A4" w:rsidP="000839A4">
      <w:pPr>
        <w:spacing w:before="120" w:after="120"/>
        <w:rPr>
          <w:noProof/>
          <w:szCs w:val="24"/>
        </w:rPr>
      </w:pPr>
      <w:r w:rsidRPr="000839A4">
        <w:rPr>
          <w:noProof/>
          <w:szCs w:val="24"/>
        </w:rPr>
        <w:t>(7) Pokud je zvýšen spoluvlastnický podíl na vozidlu kategorie M1, je od tohoto okamžiku</w:t>
      </w:r>
    </w:p>
    <w:p w14:paraId="7B04745A" w14:textId="77777777" w:rsidR="000839A4" w:rsidRPr="000839A4" w:rsidRDefault="000839A4" w:rsidP="000839A4">
      <w:pPr>
        <w:tabs>
          <w:tab w:val="left" w:pos="357"/>
        </w:tabs>
        <w:spacing w:before="0"/>
        <w:ind w:left="357" w:hanging="357"/>
        <w:rPr>
          <w:noProof/>
          <w:szCs w:val="24"/>
        </w:rPr>
      </w:pPr>
      <w:r w:rsidRPr="000839A4">
        <w:rPr>
          <w:noProof/>
          <w:szCs w:val="24"/>
        </w:rPr>
        <w:t>a)</w:t>
      </w:r>
      <w:r w:rsidRPr="000839A4">
        <w:rPr>
          <w:noProof/>
          <w:szCs w:val="24"/>
        </w:rPr>
        <w:tab/>
        <w:t>částka omezení výdajů u tohoto podílu rovna rozdílu mezi poměrnou částí částky 2 000 000 Kč vypočítanou podle nové výše spoluvlastnického podílu a úhrnem poměrných částí odpisů, které byly výdajem na dosažení, zajištění a udržení zdanitelných příjmů, vypočítaných podle poměru nové výše spoluvlastnického podílu a původní výše spoluvlastnického podílu a</w:t>
      </w:r>
    </w:p>
    <w:p w14:paraId="74F09BF3" w14:textId="77777777" w:rsidR="000839A4" w:rsidRPr="000839A4" w:rsidRDefault="000839A4" w:rsidP="000839A4">
      <w:pPr>
        <w:tabs>
          <w:tab w:val="left" w:pos="357"/>
        </w:tabs>
        <w:spacing w:before="0"/>
        <w:ind w:left="357" w:hanging="357"/>
        <w:rPr>
          <w:noProof/>
          <w:szCs w:val="24"/>
        </w:rPr>
      </w:pPr>
      <w:r w:rsidRPr="000839A4">
        <w:rPr>
          <w:noProof/>
          <w:szCs w:val="24"/>
        </w:rPr>
        <w:t>b)</w:t>
      </w:r>
      <w:r w:rsidRPr="000839A4">
        <w:rPr>
          <w:noProof/>
          <w:szCs w:val="24"/>
        </w:rPr>
        <w:tab/>
        <w:t>úhrn výdajů vynaložených na tento podíl roven součtu zůstatkové ceny v daném okamžiku a vstupní ceny nově nabývaného spoluvlastnického podílu.</w:t>
      </w:r>
    </w:p>
    <w:p w14:paraId="4D9BB1D6" w14:textId="77777777" w:rsidR="000839A4" w:rsidRPr="000839A4" w:rsidRDefault="000839A4" w:rsidP="000839A4">
      <w:pPr>
        <w:spacing w:before="120" w:after="120"/>
        <w:rPr>
          <w:noProof/>
          <w:szCs w:val="24"/>
        </w:rPr>
      </w:pPr>
      <w:r w:rsidRPr="000839A4">
        <w:rPr>
          <w:noProof/>
          <w:szCs w:val="24"/>
        </w:rPr>
        <w:t>(8) Pokud je snížen spoluvlastnický podíl na vozidlu kategorie M1, je od tohoto okamžiku</w:t>
      </w:r>
    </w:p>
    <w:p w14:paraId="6902429F" w14:textId="77777777" w:rsidR="000839A4" w:rsidRPr="000839A4" w:rsidRDefault="000839A4" w:rsidP="000839A4">
      <w:pPr>
        <w:tabs>
          <w:tab w:val="left" w:pos="357"/>
        </w:tabs>
        <w:spacing w:before="0"/>
        <w:ind w:left="357" w:hanging="357"/>
        <w:rPr>
          <w:noProof/>
          <w:szCs w:val="24"/>
        </w:rPr>
      </w:pPr>
      <w:r w:rsidRPr="000839A4">
        <w:rPr>
          <w:noProof/>
          <w:szCs w:val="24"/>
        </w:rPr>
        <w:t>a)</w:t>
      </w:r>
      <w:r w:rsidRPr="000839A4">
        <w:rPr>
          <w:noProof/>
          <w:szCs w:val="24"/>
        </w:rPr>
        <w:tab/>
        <w:t>částka omezení výdajů u tohoto podílu rovna rozdílu mezi poměrnou částí částky 2 000 000 Kč vypočítanou podle nové výše spoluvlastnického podílu a úhrnem poměrných částí odpisů, které byly výdajem na dosažení, zajištění a udržení zdanitelných příjmů, vypočítaných podle poměru nové výše spoluvlastnického podílu a původní výše spoluvlastnického podílu a</w:t>
      </w:r>
    </w:p>
    <w:p w14:paraId="16C2AC79" w14:textId="77777777" w:rsidR="000839A4" w:rsidRPr="000839A4" w:rsidRDefault="000839A4" w:rsidP="000839A4">
      <w:pPr>
        <w:tabs>
          <w:tab w:val="left" w:pos="357"/>
        </w:tabs>
        <w:spacing w:before="0"/>
        <w:ind w:left="357" w:hanging="357"/>
        <w:rPr>
          <w:noProof/>
          <w:szCs w:val="24"/>
        </w:rPr>
      </w:pPr>
      <w:r w:rsidRPr="000839A4">
        <w:rPr>
          <w:noProof/>
          <w:szCs w:val="24"/>
        </w:rPr>
        <w:t>b)</w:t>
      </w:r>
      <w:r w:rsidRPr="000839A4">
        <w:rPr>
          <w:noProof/>
          <w:szCs w:val="24"/>
        </w:rPr>
        <w:tab/>
        <w:t>úhrn výdajů vynaložených na tento podíl roven zůstakové ceně nové výše spoluvlastnického podílu.</w:t>
      </w:r>
    </w:p>
    <w:p w14:paraId="455F6836" w14:textId="77777777" w:rsidR="000839A4" w:rsidRPr="000839A4" w:rsidRDefault="000839A4" w:rsidP="000839A4">
      <w:pPr>
        <w:spacing w:before="120" w:after="120"/>
        <w:rPr>
          <w:noProof/>
          <w:szCs w:val="24"/>
        </w:rPr>
      </w:pPr>
      <w:r w:rsidRPr="000839A4">
        <w:rPr>
          <w:noProof/>
          <w:szCs w:val="24"/>
        </w:rPr>
        <w:t>(9) Pokud je na vozidle kategorie M1, které je ve spoluvlastnictví, provedeno technické zhodnocení, je od okamžiku, kdy je technické zhodnocení dokončeno a uvedeno do stavu způsobilého obvyklému užívání, u spoluvlastnického podílu</w:t>
      </w:r>
    </w:p>
    <w:p w14:paraId="782DB9AE" w14:textId="77777777" w:rsidR="000839A4" w:rsidRPr="000839A4" w:rsidRDefault="000839A4" w:rsidP="000839A4">
      <w:pPr>
        <w:tabs>
          <w:tab w:val="left" w:pos="357"/>
        </w:tabs>
        <w:spacing w:before="0"/>
        <w:ind w:left="357" w:hanging="357"/>
        <w:rPr>
          <w:noProof/>
          <w:szCs w:val="24"/>
        </w:rPr>
      </w:pPr>
      <w:r w:rsidRPr="000839A4">
        <w:rPr>
          <w:noProof/>
          <w:szCs w:val="24"/>
        </w:rPr>
        <w:t>a)</w:t>
      </w:r>
      <w:r w:rsidRPr="000839A4">
        <w:rPr>
          <w:noProof/>
          <w:szCs w:val="24"/>
        </w:rPr>
        <w:tab/>
        <w:t>částka omezení výdajů rovna rozdílu mezi poměrnou částí částky 2 000 000 Kč vypočítanou podle výše spoluvlastnického podílu a úhrnem částí odpisů, které byly výdajem na dosažení, zajištění a udržení zdanitelných příjmů, a</w:t>
      </w:r>
    </w:p>
    <w:p w14:paraId="0D392ECB" w14:textId="77777777" w:rsidR="000839A4" w:rsidRPr="000839A4" w:rsidRDefault="000839A4" w:rsidP="000839A4">
      <w:pPr>
        <w:tabs>
          <w:tab w:val="left" w:pos="357"/>
        </w:tabs>
        <w:spacing w:before="0"/>
        <w:ind w:left="357" w:hanging="357"/>
        <w:rPr>
          <w:noProof/>
          <w:szCs w:val="24"/>
        </w:rPr>
      </w:pPr>
      <w:r w:rsidRPr="000839A4">
        <w:rPr>
          <w:noProof/>
          <w:szCs w:val="24"/>
        </w:rPr>
        <w:t>b)</w:t>
      </w:r>
      <w:r w:rsidRPr="000839A4">
        <w:rPr>
          <w:noProof/>
          <w:szCs w:val="24"/>
        </w:rPr>
        <w:tab/>
        <w:t>úhrn výdajů vynaložených na tento podíl roven součtu zůstatkové ceny v daném okamžiku a části výdajů na technické zhodnocení připadající na tento podíl.</w:t>
      </w:r>
    </w:p>
    <w:p w14:paraId="65C4C87B" w14:textId="77777777" w:rsidR="000839A4" w:rsidRPr="000839A4" w:rsidRDefault="000839A4" w:rsidP="000839A4">
      <w:pPr>
        <w:spacing w:before="120" w:after="120"/>
        <w:rPr>
          <w:noProof/>
          <w:szCs w:val="24"/>
        </w:rPr>
      </w:pPr>
      <w:r w:rsidRPr="000839A4">
        <w:rPr>
          <w:noProof/>
          <w:szCs w:val="24"/>
        </w:rPr>
        <w:t>(10) Pokud dojde ke zvýšení nebo snížení vstupní ceny již odpisovaného vozidla kategorie M1, které je ve spoluvlastnictví, z jiného důvodu než technického zhodnocení, je od tohoto okamžiku</w:t>
      </w:r>
    </w:p>
    <w:p w14:paraId="494C135D" w14:textId="77777777" w:rsidR="000839A4" w:rsidRPr="000839A4" w:rsidRDefault="000839A4" w:rsidP="000839A4">
      <w:pPr>
        <w:tabs>
          <w:tab w:val="left" w:pos="357"/>
        </w:tabs>
        <w:spacing w:before="0"/>
        <w:ind w:left="357" w:hanging="357"/>
        <w:rPr>
          <w:noProof/>
          <w:szCs w:val="24"/>
        </w:rPr>
      </w:pPr>
      <w:r w:rsidRPr="000839A4">
        <w:rPr>
          <w:noProof/>
          <w:szCs w:val="24"/>
        </w:rPr>
        <w:lastRenderedPageBreak/>
        <w:t>a)</w:t>
      </w:r>
      <w:r w:rsidRPr="000839A4">
        <w:rPr>
          <w:noProof/>
          <w:szCs w:val="24"/>
        </w:rPr>
        <w:tab/>
        <w:t>částka omezení výdajů rovna rozdílu mezi poměrnou částí částky 2 000 000 Kč vypočítanou podle výše spoluvlastnického podílu a úhrnem částí odpisů, které byly výdajem na dosažení, zajištění a udržení zdanitelných příjmů, a</w:t>
      </w:r>
    </w:p>
    <w:p w14:paraId="068FBA38" w14:textId="77777777" w:rsidR="000839A4" w:rsidRPr="000839A4" w:rsidRDefault="000839A4" w:rsidP="000839A4">
      <w:pPr>
        <w:tabs>
          <w:tab w:val="left" w:pos="357"/>
        </w:tabs>
        <w:spacing w:before="0"/>
        <w:ind w:left="357" w:hanging="357"/>
        <w:rPr>
          <w:noProof/>
          <w:szCs w:val="24"/>
        </w:rPr>
      </w:pPr>
      <w:r w:rsidRPr="000839A4">
        <w:rPr>
          <w:noProof/>
          <w:szCs w:val="24"/>
        </w:rPr>
        <w:t>b)</w:t>
      </w:r>
      <w:r w:rsidRPr="000839A4">
        <w:rPr>
          <w:noProof/>
          <w:szCs w:val="24"/>
        </w:rPr>
        <w:tab/>
        <w:t>úhrn výdajů vynaložených na tento podíl roven součtu zůstatkové ceny v daném okamžiku upravené o část částky, o kterou byla zvýšena nebo snížena vstupní cena, připadající na tento podíl.</w:t>
      </w:r>
    </w:p>
    <w:p w14:paraId="52E7AB3E" w14:textId="77777777" w:rsidR="000839A4" w:rsidRPr="000839A4" w:rsidRDefault="000839A4" w:rsidP="00D90D00">
      <w:pPr>
        <w:keepNext/>
        <w:numPr>
          <w:ilvl w:val="0"/>
          <w:numId w:val="84"/>
        </w:numPr>
        <w:jc w:val="center"/>
        <w:rPr>
          <w:strike/>
          <w:szCs w:val="24"/>
        </w:rPr>
      </w:pPr>
      <w:r w:rsidRPr="000839A4">
        <w:rPr>
          <w:strike/>
          <w:szCs w:val="24"/>
        </w:rPr>
        <w:t>§ 30f</w:t>
      </w:r>
    </w:p>
    <w:p w14:paraId="1CA14C82" w14:textId="77777777" w:rsidR="000839A4" w:rsidRPr="000839A4" w:rsidRDefault="000839A4" w:rsidP="00D90D00">
      <w:pPr>
        <w:keepNext/>
        <w:numPr>
          <w:ilvl w:val="0"/>
          <w:numId w:val="84"/>
        </w:numPr>
        <w:jc w:val="center"/>
        <w:rPr>
          <w:strike/>
          <w:szCs w:val="24"/>
        </w:rPr>
      </w:pPr>
      <w:r w:rsidRPr="000839A4">
        <w:rPr>
          <w:b/>
          <w:strike/>
          <w:szCs w:val="24"/>
        </w:rPr>
        <w:t>Vozidlo kategorie M1 pořízené na finanční leasing</w:t>
      </w:r>
    </w:p>
    <w:p w14:paraId="7300C8AD" w14:textId="77777777" w:rsidR="000839A4" w:rsidRPr="000839A4" w:rsidRDefault="000839A4" w:rsidP="000839A4">
      <w:pPr>
        <w:spacing w:before="120" w:after="120"/>
        <w:rPr>
          <w:strike/>
          <w:noProof/>
          <w:szCs w:val="24"/>
        </w:rPr>
      </w:pPr>
      <w:r w:rsidRPr="000839A4">
        <w:rPr>
          <w:strike/>
          <w:noProof/>
          <w:szCs w:val="24"/>
        </w:rPr>
        <w:t>(1) Pokud je vozidlo kategorie M1 předmětem finančního leasingu, je úplata u finančního leasingu výdajem na dosažení, zajištění a udržení zdanitelných příjmů pouze v poměrné části vypočítané podle poměru částky 2 000 000 Kč a úhrnu úplat. Pokud poplatníkovi vznikne v souvislosti s vozidlem podle věty první jiný majetek, použije se pro účely věty první poměrná část vypočítaná pro tento jiný majetek.</w:t>
      </w:r>
    </w:p>
    <w:p w14:paraId="001F908F" w14:textId="77777777" w:rsidR="000839A4" w:rsidRPr="000839A4" w:rsidRDefault="000839A4" w:rsidP="000839A4">
      <w:pPr>
        <w:spacing w:before="120" w:after="120"/>
        <w:rPr>
          <w:strike/>
          <w:noProof/>
          <w:szCs w:val="24"/>
        </w:rPr>
      </w:pPr>
      <w:r w:rsidRPr="000839A4">
        <w:rPr>
          <w:strike/>
          <w:noProof/>
          <w:szCs w:val="24"/>
        </w:rPr>
        <w:t>(2) Pokud je vozidlo kategorie M1 nabyto jako předmět finančního leasingu, je</w:t>
      </w:r>
    </w:p>
    <w:p w14:paraId="55F96D3A" w14:textId="77777777" w:rsidR="000839A4" w:rsidRPr="000839A4" w:rsidRDefault="000839A4" w:rsidP="000839A4">
      <w:pPr>
        <w:tabs>
          <w:tab w:val="left" w:pos="357"/>
        </w:tabs>
        <w:spacing w:before="0"/>
        <w:ind w:left="357" w:hanging="357"/>
        <w:rPr>
          <w:strike/>
          <w:noProof/>
          <w:szCs w:val="24"/>
        </w:rPr>
      </w:pPr>
      <w:r w:rsidRPr="000839A4">
        <w:rPr>
          <w:strike/>
          <w:noProof/>
          <w:szCs w:val="24"/>
        </w:rPr>
        <w:t>a)</w:t>
      </w:r>
      <w:r w:rsidRPr="000839A4">
        <w:rPr>
          <w:strike/>
          <w:noProof/>
          <w:szCs w:val="24"/>
        </w:rPr>
        <w:tab/>
        <w:t>částka omezení výdajů u tohoto vozidla rovna rozdílu mezi částkou 2 000 000 Kč a úhrnem částí úplat u finančního leasingu, které byly výdajem na dosažení, zajištění a udržení zdanitelných příjmů, a</w:t>
      </w:r>
    </w:p>
    <w:p w14:paraId="5CE03B83" w14:textId="77777777" w:rsidR="000839A4" w:rsidRPr="000839A4" w:rsidRDefault="000839A4" w:rsidP="000839A4">
      <w:pPr>
        <w:tabs>
          <w:tab w:val="left" w:pos="357"/>
        </w:tabs>
        <w:spacing w:before="0"/>
        <w:ind w:left="357" w:hanging="357"/>
        <w:rPr>
          <w:strike/>
          <w:noProof/>
          <w:szCs w:val="24"/>
        </w:rPr>
      </w:pPr>
      <w:r w:rsidRPr="000839A4">
        <w:rPr>
          <w:strike/>
          <w:noProof/>
          <w:szCs w:val="24"/>
        </w:rPr>
        <w:t>b)</w:t>
      </w:r>
      <w:r w:rsidRPr="000839A4">
        <w:rPr>
          <w:strike/>
          <w:noProof/>
          <w:szCs w:val="24"/>
        </w:rPr>
        <w:tab/>
        <w:t>úhrn výdajů vynaložených na toto vozidlo roven jeho vstupní ceně.</w:t>
      </w:r>
    </w:p>
    <w:p w14:paraId="2157F8F8" w14:textId="77777777" w:rsidR="000839A4" w:rsidRPr="000839A4" w:rsidRDefault="000839A4" w:rsidP="000839A4">
      <w:pPr>
        <w:spacing w:before="120" w:after="120"/>
        <w:rPr>
          <w:strike/>
          <w:noProof/>
          <w:szCs w:val="24"/>
        </w:rPr>
      </w:pPr>
      <w:r w:rsidRPr="000839A4">
        <w:rPr>
          <w:strike/>
          <w:noProof/>
          <w:szCs w:val="24"/>
        </w:rPr>
        <w:t>(3) Pokud je na vozidle kategorie M1, které bylo nabyto jako předmět finančního leasingu, provedeno technické zhodnocení, je od okamžiku, kdy je technické zhodnocení dokončeno a uvedeno do stavu způsobilého obvyklému užívání,</w:t>
      </w:r>
    </w:p>
    <w:p w14:paraId="46F6F68B" w14:textId="77777777" w:rsidR="000839A4" w:rsidRPr="000839A4" w:rsidRDefault="000839A4" w:rsidP="000839A4">
      <w:pPr>
        <w:tabs>
          <w:tab w:val="left" w:pos="357"/>
        </w:tabs>
        <w:spacing w:before="0"/>
        <w:ind w:left="357" w:hanging="357"/>
        <w:rPr>
          <w:strike/>
          <w:noProof/>
          <w:szCs w:val="24"/>
        </w:rPr>
      </w:pPr>
      <w:r w:rsidRPr="000839A4">
        <w:rPr>
          <w:strike/>
          <w:szCs w:val="24"/>
        </w:rPr>
        <w:t>a)</w:t>
      </w:r>
      <w:r w:rsidRPr="000839A4">
        <w:rPr>
          <w:strike/>
          <w:szCs w:val="24"/>
        </w:rPr>
        <w:tab/>
        <w:t>částka</w:t>
      </w:r>
      <w:r w:rsidRPr="000839A4">
        <w:rPr>
          <w:strike/>
          <w:noProof/>
          <w:szCs w:val="24"/>
        </w:rPr>
        <w:t xml:space="preserve"> omezení výdajů u tohoto vozidla rovna rozdílu mezi částkou 2 000 000 Kč a úhrnem částí úplat u finančního leasingu, které byly výdajem na dosažení, zajištění a udržení zdanitelných příjmů, a částí odpisů, které byly výdajem na dosažení, zajištění a udržení zdanitelných příjmů, a</w:t>
      </w:r>
    </w:p>
    <w:p w14:paraId="0B5D1209" w14:textId="77777777" w:rsidR="000839A4" w:rsidRPr="000839A4" w:rsidRDefault="000839A4" w:rsidP="000839A4">
      <w:pPr>
        <w:tabs>
          <w:tab w:val="left" w:pos="357"/>
        </w:tabs>
        <w:spacing w:before="0"/>
        <w:ind w:left="357" w:hanging="357"/>
        <w:rPr>
          <w:strike/>
          <w:noProof/>
          <w:szCs w:val="24"/>
        </w:rPr>
      </w:pPr>
      <w:r w:rsidRPr="000839A4">
        <w:rPr>
          <w:strike/>
          <w:noProof/>
          <w:szCs w:val="24"/>
        </w:rPr>
        <w:t>b)</w:t>
      </w:r>
      <w:r w:rsidRPr="000839A4">
        <w:rPr>
          <w:strike/>
          <w:noProof/>
          <w:szCs w:val="24"/>
        </w:rPr>
        <w:tab/>
        <w:t>úhrn výdajů vynaložených na toto vozidlo roven součtu zůstatkové ceny v daném okamžiku a výdajů na technické zhodnocení.</w:t>
      </w:r>
    </w:p>
    <w:p w14:paraId="0C898717" w14:textId="77777777" w:rsidR="000839A4" w:rsidRPr="000839A4" w:rsidRDefault="000839A4" w:rsidP="000839A4">
      <w:pPr>
        <w:spacing w:before="120" w:after="120"/>
        <w:rPr>
          <w:strike/>
          <w:noProof/>
          <w:szCs w:val="24"/>
        </w:rPr>
      </w:pPr>
      <w:r w:rsidRPr="000839A4">
        <w:rPr>
          <w:strike/>
          <w:noProof/>
          <w:szCs w:val="24"/>
        </w:rPr>
        <w:t xml:space="preserve">(4) Pokud dojde ke zvýšení nebo snížení vstupní ceny již odpisovaného vozidla kategorie M1, které bylo nabyto jako předmět finančního leasingu, z jiného důvodu než technického zhodnocení, je od tohoto okamžiku </w:t>
      </w:r>
    </w:p>
    <w:p w14:paraId="13102A17" w14:textId="77777777" w:rsidR="000839A4" w:rsidRPr="000839A4" w:rsidRDefault="000839A4" w:rsidP="000839A4">
      <w:pPr>
        <w:tabs>
          <w:tab w:val="left" w:pos="357"/>
        </w:tabs>
        <w:spacing w:before="0"/>
        <w:ind w:left="357" w:hanging="357"/>
        <w:rPr>
          <w:strike/>
          <w:noProof/>
          <w:szCs w:val="24"/>
        </w:rPr>
      </w:pPr>
      <w:r w:rsidRPr="000839A4">
        <w:rPr>
          <w:strike/>
          <w:noProof/>
          <w:szCs w:val="24"/>
        </w:rPr>
        <w:t>a)</w:t>
      </w:r>
      <w:r w:rsidRPr="000839A4">
        <w:rPr>
          <w:strike/>
          <w:noProof/>
          <w:szCs w:val="24"/>
        </w:rPr>
        <w:tab/>
        <w:t>částka omezení výdajů u tohoto vozidla rovna rozdílu mezi částkou 2 000 000 Kč a úhrnem částí úplat u finančního leasingu, které byly výdajem na dosažení, zajištění a udržení zdanitelných příjmů, a částí odpisů, které byly výdajem na dosažení, zajištění a udržení zdanitelných příjmů, a</w:t>
      </w:r>
    </w:p>
    <w:p w14:paraId="6E2B78B0" w14:textId="77777777" w:rsidR="000839A4" w:rsidRPr="000839A4" w:rsidRDefault="000839A4" w:rsidP="000839A4">
      <w:pPr>
        <w:tabs>
          <w:tab w:val="left" w:pos="357"/>
        </w:tabs>
        <w:spacing w:before="0"/>
        <w:ind w:left="357" w:hanging="357"/>
        <w:rPr>
          <w:strike/>
          <w:noProof/>
          <w:szCs w:val="24"/>
        </w:rPr>
      </w:pPr>
      <w:r w:rsidRPr="000839A4">
        <w:rPr>
          <w:strike/>
          <w:noProof/>
          <w:szCs w:val="24"/>
        </w:rPr>
        <w:t>b)</w:t>
      </w:r>
      <w:r w:rsidRPr="000839A4">
        <w:rPr>
          <w:strike/>
          <w:noProof/>
          <w:szCs w:val="24"/>
        </w:rPr>
        <w:tab/>
        <w:t>úhrn výdajů vynaložených na toto vozidlo roven zůstatkové ceně v daném okamžiku upravené o částku, o kterou byla zvýšena nebo snížena vstupní cena.</w:t>
      </w:r>
    </w:p>
    <w:p w14:paraId="14C1EAF5" w14:textId="77777777" w:rsidR="000839A4" w:rsidRPr="000839A4" w:rsidRDefault="000839A4" w:rsidP="000839A4">
      <w:pPr>
        <w:spacing w:before="120" w:after="120"/>
        <w:rPr>
          <w:strike/>
          <w:noProof/>
          <w:szCs w:val="24"/>
        </w:rPr>
      </w:pPr>
      <w:r w:rsidRPr="000839A4">
        <w:rPr>
          <w:strike/>
          <w:noProof/>
          <w:szCs w:val="24"/>
        </w:rPr>
        <w:t>(5) Při odpisování technického zhodnocení provedeného na vozidle kategorie M1, které je předmětem finančního leasingu, které je jiným majetkem, a při odpisování výdajů hrazených uživatelem vynaložených na takové vozidlo, které jsou jiným majetkem, se do výdajů k zajištění zdanitelného příjmu zahrnuje pouze poměrná část odpisu vypočítaná podle poměru částky omezení výdajů u tohoto jiného majetku a úhrnu výdajů vynaložených na tento jiný majetek.</w:t>
      </w:r>
    </w:p>
    <w:p w14:paraId="6E5F6595" w14:textId="77777777" w:rsidR="000839A4" w:rsidRPr="000839A4" w:rsidRDefault="000839A4" w:rsidP="000839A4">
      <w:pPr>
        <w:spacing w:before="120" w:after="120"/>
        <w:rPr>
          <w:strike/>
          <w:noProof/>
          <w:szCs w:val="24"/>
        </w:rPr>
      </w:pPr>
      <w:r w:rsidRPr="000839A4">
        <w:rPr>
          <w:strike/>
          <w:noProof/>
          <w:szCs w:val="24"/>
        </w:rPr>
        <w:t>(6) U jiného majetku podle odstavce 5 je</w:t>
      </w:r>
    </w:p>
    <w:p w14:paraId="5CC90841" w14:textId="77777777" w:rsidR="000839A4" w:rsidRPr="000839A4" w:rsidRDefault="000839A4" w:rsidP="000839A4">
      <w:pPr>
        <w:tabs>
          <w:tab w:val="left" w:pos="357"/>
        </w:tabs>
        <w:spacing w:before="0"/>
        <w:ind w:left="357" w:hanging="357"/>
        <w:rPr>
          <w:strike/>
          <w:noProof/>
          <w:szCs w:val="24"/>
        </w:rPr>
      </w:pPr>
      <w:r w:rsidRPr="000839A4">
        <w:rPr>
          <w:strike/>
          <w:noProof/>
          <w:szCs w:val="24"/>
        </w:rPr>
        <w:lastRenderedPageBreak/>
        <w:t>a)</w:t>
      </w:r>
      <w:r w:rsidRPr="000839A4">
        <w:rPr>
          <w:strike/>
          <w:noProof/>
          <w:szCs w:val="24"/>
        </w:rPr>
        <w:tab/>
        <w:t>částka omezení výdajů rovna rozdílu mezi částkou 2 000 000 Kč a úhrnem částí úplat u finančního leasingu, které byly výdajem na dosažení, zajištění a udržení zdanitelných příjmů, a</w:t>
      </w:r>
    </w:p>
    <w:p w14:paraId="274E7AA9" w14:textId="77777777" w:rsidR="000839A4" w:rsidRPr="000839A4" w:rsidRDefault="000839A4" w:rsidP="000839A4">
      <w:pPr>
        <w:tabs>
          <w:tab w:val="left" w:pos="357"/>
        </w:tabs>
        <w:spacing w:before="0"/>
        <w:ind w:left="357" w:hanging="357"/>
        <w:rPr>
          <w:strike/>
          <w:noProof/>
          <w:szCs w:val="24"/>
        </w:rPr>
      </w:pPr>
      <w:r w:rsidRPr="000839A4">
        <w:rPr>
          <w:strike/>
          <w:noProof/>
          <w:szCs w:val="24"/>
        </w:rPr>
        <w:t>b)</w:t>
      </w:r>
      <w:r w:rsidRPr="000839A4">
        <w:rPr>
          <w:strike/>
          <w:noProof/>
          <w:szCs w:val="24"/>
        </w:rPr>
        <w:tab/>
        <w:t>úhrn výdajů vynaložených na tento jiný majetek roven součtu úplat u finančního leasingu, které ještě nebyly výdajem, a vstupní ceny jiného majetku.</w:t>
      </w:r>
    </w:p>
    <w:p w14:paraId="08C45F18" w14:textId="77777777" w:rsidR="000839A4" w:rsidRPr="000839A4" w:rsidRDefault="000839A4" w:rsidP="000839A4">
      <w:pPr>
        <w:spacing w:before="120" w:after="120"/>
        <w:rPr>
          <w:strike/>
          <w:noProof/>
          <w:szCs w:val="24"/>
        </w:rPr>
      </w:pPr>
      <w:r w:rsidRPr="000839A4">
        <w:rPr>
          <w:strike/>
          <w:noProof/>
          <w:szCs w:val="24"/>
        </w:rPr>
        <w:t>(7) Pokud je na vozidle kategorie M1 podle odstavce 5 provedeno další technické zhodnocení, je u jiného majetku podle odstavce 5 od okamžiku, kdy je další technické zhodnocení dokončeno a uvedeno do stavu způsobilého obvyklému užívání,</w:t>
      </w:r>
    </w:p>
    <w:p w14:paraId="7080C9F2" w14:textId="77777777" w:rsidR="000839A4" w:rsidRPr="000839A4" w:rsidRDefault="000839A4" w:rsidP="000839A4">
      <w:pPr>
        <w:tabs>
          <w:tab w:val="left" w:pos="357"/>
        </w:tabs>
        <w:spacing w:before="0"/>
        <w:ind w:left="357" w:hanging="357"/>
        <w:rPr>
          <w:strike/>
          <w:noProof/>
          <w:szCs w:val="24"/>
        </w:rPr>
      </w:pPr>
      <w:r w:rsidRPr="000839A4">
        <w:rPr>
          <w:strike/>
          <w:noProof/>
          <w:szCs w:val="24"/>
        </w:rPr>
        <w:t>a)</w:t>
      </w:r>
      <w:r w:rsidRPr="000839A4">
        <w:rPr>
          <w:strike/>
          <w:noProof/>
          <w:szCs w:val="24"/>
        </w:rPr>
        <w:tab/>
        <w:t>částka omezení výdajů rovna rozdílu mezi částku 2 000 000 Kč a úhrnem částí úplat u finančního leasingu, které byly výdajem na dosažení, zajištění a udržení zdanitelných příjmů, a částí odpisů jiného majetku, které byly výdajem na dosažení, zajištění a udržení zdanitelných příjmů, a</w:t>
      </w:r>
    </w:p>
    <w:p w14:paraId="17D04BE4" w14:textId="77777777" w:rsidR="000839A4" w:rsidRPr="000839A4" w:rsidRDefault="000839A4" w:rsidP="000839A4">
      <w:pPr>
        <w:tabs>
          <w:tab w:val="left" w:pos="357"/>
        </w:tabs>
        <w:spacing w:before="0"/>
        <w:ind w:left="357" w:hanging="357"/>
        <w:rPr>
          <w:strike/>
          <w:noProof/>
          <w:szCs w:val="24"/>
        </w:rPr>
      </w:pPr>
      <w:r w:rsidRPr="000839A4">
        <w:rPr>
          <w:strike/>
          <w:noProof/>
          <w:szCs w:val="24"/>
        </w:rPr>
        <w:t>b)</w:t>
      </w:r>
      <w:r w:rsidRPr="000839A4">
        <w:rPr>
          <w:strike/>
          <w:noProof/>
          <w:szCs w:val="24"/>
        </w:rPr>
        <w:tab/>
        <w:t>úhrn výdajů vynaložených na tento jiný majetek roven součtu úplat u finančního leasingu, které ještě nebyly výdajem, zůstatkové ceny jiného majetku v tomto okamžiku a výdajů na další technické zhodnocení.</w:t>
      </w:r>
    </w:p>
    <w:p w14:paraId="2CFC30C9" w14:textId="77777777" w:rsidR="000839A4" w:rsidRPr="000839A4" w:rsidRDefault="000839A4" w:rsidP="000839A4">
      <w:pPr>
        <w:spacing w:before="120" w:after="120"/>
        <w:rPr>
          <w:strike/>
          <w:noProof/>
          <w:szCs w:val="24"/>
        </w:rPr>
      </w:pPr>
      <w:r w:rsidRPr="000839A4">
        <w:rPr>
          <w:strike/>
          <w:noProof/>
          <w:szCs w:val="24"/>
        </w:rPr>
        <w:t xml:space="preserve">(8) Pokud je nabyto vozidlo kategorie M1 podle odstavce 5 jako předmět finančního leasingu, je u jiného majetku podle odstavce 5 od tohoto okamžiku </w:t>
      </w:r>
    </w:p>
    <w:p w14:paraId="61E86962" w14:textId="77777777" w:rsidR="000839A4" w:rsidRPr="000839A4" w:rsidRDefault="000839A4" w:rsidP="000839A4">
      <w:pPr>
        <w:tabs>
          <w:tab w:val="left" w:pos="357"/>
        </w:tabs>
        <w:spacing w:before="0"/>
        <w:ind w:left="357" w:hanging="357"/>
        <w:rPr>
          <w:strike/>
          <w:noProof/>
          <w:szCs w:val="24"/>
        </w:rPr>
      </w:pPr>
      <w:r w:rsidRPr="000839A4">
        <w:rPr>
          <w:strike/>
          <w:noProof/>
          <w:szCs w:val="24"/>
        </w:rPr>
        <w:t>a)</w:t>
      </w:r>
      <w:r w:rsidRPr="000839A4">
        <w:rPr>
          <w:strike/>
          <w:noProof/>
          <w:szCs w:val="24"/>
        </w:rPr>
        <w:tab/>
        <w:t>částka omezení výdajů rovna rozdílu mezi částku 2 000 000 Kč a úhrnem částí úplat u finančního leasingu, které byly výdajem na dosažení, zajištění a udržení zdanitelných příjmů, a částí odpisů jiného majetku, které byly výdajem na dosažení, zajištění a udržení zdanitelných příjmů, a</w:t>
      </w:r>
    </w:p>
    <w:p w14:paraId="2C1FB0B1" w14:textId="77777777" w:rsidR="000839A4" w:rsidRPr="000839A4" w:rsidRDefault="000839A4" w:rsidP="000839A4">
      <w:pPr>
        <w:tabs>
          <w:tab w:val="left" w:pos="357"/>
        </w:tabs>
        <w:spacing w:before="0"/>
        <w:ind w:left="357" w:hanging="357"/>
        <w:rPr>
          <w:strike/>
          <w:noProof/>
          <w:szCs w:val="24"/>
        </w:rPr>
      </w:pPr>
      <w:r w:rsidRPr="000839A4">
        <w:rPr>
          <w:strike/>
          <w:noProof/>
          <w:szCs w:val="24"/>
        </w:rPr>
        <w:t>b)</w:t>
      </w:r>
      <w:r w:rsidRPr="000839A4">
        <w:rPr>
          <w:strike/>
          <w:noProof/>
          <w:szCs w:val="24"/>
        </w:rPr>
        <w:tab/>
        <w:t>úhrn výdajů vynaložených na tento jiný majetek roven součtu zůstatkové ceny jiného majetku v tomto okamžiku a kupní ceny vozidla.</w:t>
      </w:r>
    </w:p>
    <w:p w14:paraId="56CA32D7" w14:textId="77777777" w:rsidR="000839A4" w:rsidRPr="000839A4" w:rsidRDefault="000839A4" w:rsidP="00D90D00">
      <w:pPr>
        <w:keepNext/>
        <w:numPr>
          <w:ilvl w:val="0"/>
          <w:numId w:val="84"/>
        </w:numPr>
        <w:jc w:val="center"/>
        <w:rPr>
          <w:b/>
          <w:szCs w:val="24"/>
        </w:rPr>
      </w:pPr>
      <w:r w:rsidRPr="000839A4">
        <w:rPr>
          <w:szCs w:val="24"/>
        </w:rPr>
        <w:t>§ 30g</w:t>
      </w:r>
    </w:p>
    <w:p w14:paraId="260D5951" w14:textId="77777777" w:rsidR="000839A4" w:rsidRPr="000839A4" w:rsidRDefault="000839A4" w:rsidP="00D90D00">
      <w:pPr>
        <w:keepNext/>
        <w:numPr>
          <w:ilvl w:val="0"/>
          <w:numId w:val="84"/>
        </w:numPr>
        <w:jc w:val="center"/>
        <w:rPr>
          <w:b/>
          <w:szCs w:val="24"/>
        </w:rPr>
      </w:pPr>
      <w:r w:rsidRPr="000839A4">
        <w:rPr>
          <w:b/>
          <w:szCs w:val="24"/>
        </w:rPr>
        <w:t xml:space="preserve">Společná ustanovení pro vozidlo kategorie M1 </w:t>
      </w:r>
    </w:p>
    <w:p w14:paraId="692851E3" w14:textId="77777777" w:rsidR="000839A4" w:rsidRPr="000839A4" w:rsidRDefault="000839A4" w:rsidP="000839A4">
      <w:pPr>
        <w:spacing w:before="120" w:after="120"/>
        <w:rPr>
          <w:noProof/>
          <w:szCs w:val="24"/>
        </w:rPr>
      </w:pPr>
      <w:r w:rsidRPr="000839A4">
        <w:rPr>
          <w:noProof/>
          <w:szCs w:val="24"/>
        </w:rPr>
        <w:t>(1) Vozidlem kategorie M1 se pro účely daní z příjmů rozumí vozidlo kategorie M1 podle nařízení Evropského parlamentu a Rady upravujícího schvalování motorových vozidel a jejich přípojných vozidel</w:t>
      </w:r>
      <w:r w:rsidRPr="000839A4">
        <w:rPr>
          <w:noProof/>
          <w:szCs w:val="24"/>
          <w:vertAlign w:val="superscript"/>
        </w:rPr>
        <w:footnoteReference w:customMarkFollows="1" w:id="178"/>
        <w:t>142)</w:t>
      </w:r>
      <w:r w:rsidRPr="000839A4">
        <w:rPr>
          <w:noProof/>
          <w:szCs w:val="24"/>
        </w:rPr>
        <w:t>.</w:t>
      </w:r>
    </w:p>
    <w:p w14:paraId="4ADA6D05" w14:textId="77777777" w:rsidR="000839A4" w:rsidRPr="000839A4" w:rsidRDefault="000839A4" w:rsidP="000839A4">
      <w:pPr>
        <w:spacing w:before="120" w:after="120"/>
        <w:rPr>
          <w:noProof/>
          <w:szCs w:val="24"/>
        </w:rPr>
      </w:pPr>
      <w:r w:rsidRPr="000839A4">
        <w:rPr>
          <w:noProof/>
          <w:szCs w:val="24"/>
        </w:rPr>
        <w:t xml:space="preserve">(2) Pro účely § 30e a 30f se za odpisy, které byly výdajem na dosažení, zajištění a udržení zdanitelných příjmů, a úplaty u finančního leasingu, které byly výdajem na dosažení, zajištění a udržení zdanitelných příjmů, považují i odpisy, které byly výdajem na dosažení, zajištění a udržení zdanitelných příjmů u poplatníka, od kterého bylo vozidlo kategorie M1 nabyto některým ze způsobů podle § 30 odst. 10, a úplaty u finančního leasingu, které byly výdajem na dosažení, zajištění a udržení zdanitelných příjmů u poplatníka, od kterého bylo vozidlo kategorie M1 nabyto některým ze způsobů podle § 30 odst. 10. </w:t>
      </w:r>
    </w:p>
    <w:p w14:paraId="389546D0" w14:textId="77777777" w:rsidR="000839A4" w:rsidRPr="000839A4" w:rsidRDefault="000839A4" w:rsidP="000839A4">
      <w:pPr>
        <w:spacing w:before="120" w:after="120"/>
        <w:rPr>
          <w:noProof/>
          <w:szCs w:val="24"/>
        </w:rPr>
      </w:pPr>
      <w:r w:rsidRPr="000839A4">
        <w:rPr>
          <w:noProof/>
          <w:szCs w:val="24"/>
        </w:rPr>
        <w:t xml:space="preserve">(3) Zůstatková cena vozidla kategorie M1 podle § 29 odst. 2 pro jiné účely než pro stanovování odpisů se určí tak, jako by bylo toto vozidlo odpisováno bez přerušení po minimální dobu odpisování způsobem, který poplatník pro odpisování zvolil. Pokud u vozidla </w:t>
      </w:r>
      <w:r w:rsidRPr="000839A4">
        <w:rPr>
          <w:noProof/>
          <w:szCs w:val="24"/>
        </w:rPr>
        <w:lastRenderedPageBreak/>
        <w:t xml:space="preserve">nebyly odpisy stanovovány, ačkoli mohly být, platí pro účely věty první, že poplatník zvolil rovnoměrné odpisování bez zvýšení odpisu v prvním roce odpisování. </w:t>
      </w:r>
    </w:p>
    <w:p w14:paraId="51CA65EA" w14:textId="77777777" w:rsidR="000839A4" w:rsidRPr="000839A4" w:rsidRDefault="000839A4" w:rsidP="000839A4">
      <w:pPr>
        <w:spacing w:before="120" w:after="120"/>
        <w:rPr>
          <w:noProof/>
          <w:szCs w:val="24"/>
        </w:rPr>
      </w:pPr>
      <w:r w:rsidRPr="000839A4">
        <w:rPr>
          <w:noProof/>
          <w:szCs w:val="24"/>
        </w:rPr>
        <w:t>(4)</w:t>
      </w:r>
      <w:r w:rsidRPr="000839A4">
        <w:rPr>
          <w:noProof/>
          <w:szCs w:val="24"/>
        </w:rPr>
        <w:tab/>
        <w:t xml:space="preserve"> Pokud je zůstatková cena vozidla kategorie M1 uplatněna jako výdaj na dosažení, zajištění a udržení zdanitelných příjmů, § 23 odst. 4 písm. e) se nepoužije v části, ve které výdaje nebyly uznány jako výdaje na dosažení, zajištění a udržení zdanitelných příjmů z důvodu použití postupu podle § 30e odst. 1 a 5 a § 30f odst. 1 a 5.</w:t>
      </w:r>
    </w:p>
    <w:p w14:paraId="5CB49F5E" w14:textId="77777777" w:rsidR="000839A4" w:rsidRPr="000839A4" w:rsidRDefault="000839A4" w:rsidP="000839A4">
      <w:pPr>
        <w:spacing w:before="120" w:after="120"/>
        <w:rPr>
          <w:noProof/>
          <w:szCs w:val="24"/>
        </w:rPr>
      </w:pPr>
      <w:r w:rsidRPr="000839A4">
        <w:rPr>
          <w:noProof/>
          <w:szCs w:val="24"/>
        </w:rPr>
        <w:t>(5) Ustanovení § 30e odst. 1 a 5 a § 30f odst. 1 a 5 se nepoužijí, pokud je poměr, podle kterého se počítá poměrná část odpisů nebo úplaty u finančního leasingu, která je výdajem na dosažení, zajištění a udržení zdanitelných příjmů, 1 nebo vyšší. Odstavec 3 se nepoužije, pokud byl poměr, podle kterého se počítá poměrná část odpisů nebo úplaty u finančního leasingu, u vozidla kategorie M1 u poplatníka po celou dobu 1 nebo vyšší.</w:t>
      </w:r>
    </w:p>
    <w:p w14:paraId="1852BF6E" w14:textId="77777777" w:rsidR="000839A4" w:rsidRPr="000839A4" w:rsidRDefault="000839A4" w:rsidP="000839A4">
      <w:pPr>
        <w:spacing w:before="120" w:after="120"/>
        <w:rPr>
          <w:noProof/>
          <w:szCs w:val="24"/>
        </w:rPr>
      </w:pPr>
      <w:r w:rsidRPr="000839A4">
        <w:rPr>
          <w:noProof/>
          <w:szCs w:val="24"/>
        </w:rPr>
        <w:t>(6) Ustanovení § 28 odst. 6 věty druhé, § 30e odst. 1 a 5 a § 30f odst. 1 a 5 se nepoužijí na vozidlo kategorie M1, které je sanitním nebo pohřebním automobilem nebo je využíváno k provozování silniční motorové dopravy na základě koncese, ani na vozidlo kategorie M1 poplatníka, který ho poskytuje jako předmět finančního leasingu, a to i v případě, že je finanční leasing ukončen před uplynutím minimální doby finančního leasingu nebo nedojde k převodu vlastnického práva na uživatele. Pokud vozidlo kategorie M1 v průběhu doby odpisování přestane být vozidlem podle věty první, určí se poměr, podle kterého se počítá poměrná část odpisů nebo úplaty u finančního leasingu, která je výdajem na dosažení, zajištění a udržení zdanitelných příjmů, jako by nebylo vozidlem podle věty první od začátku odpisování. Odstavec 3 se nepoužije, pokud vozidlo kategorie M1 bylo u poplatníka po celou dobu vozidlem podle věty první.</w:t>
      </w:r>
    </w:p>
    <w:p w14:paraId="3986901D" w14:textId="77777777" w:rsidR="000839A4" w:rsidRPr="000839A4" w:rsidRDefault="000839A4" w:rsidP="000839A4">
      <w:pPr>
        <w:keepNext/>
        <w:ind w:firstLine="0"/>
        <w:jc w:val="center"/>
        <w:rPr>
          <w:strike/>
          <w:szCs w:val="24"/>
        </w:rPr>
      </w:pPr>
      <w:r w:rsidRPr="000839A4">
        <w:rPr>
          <w:strike/>
          <w:szCs w:val="24"/>
        </w:rPr>
        <w:t>§ 31</w:t>
      </w:r>
    </w:p>
    <w:p w14:paraId="7A53885D" w14:textId="77777777" w:rsidR="000839A4" w:rsidRPr="000839A4" w:rsidRDefault="000839A4" w:rsidP="000839A4">
      <w:pPr>
        <w:spacing w:before="120" w:after="120"/>
        <w:rPr>
          <w:strike/>
          <w:szCs w:val="24"/>
        </w:rPr>
      </w:pPr>
      <w:r w:rsidRPr="000839A4">
        <w:rPr>
          <w:strike/>
          <w:szCs w:val="24"/>
        </w:rPr>
        <w:t xml:space="preserve">(1) Při rovnoměrném odpisování hmotného majetku jsou odpisovým skupinám přiřazeny tyto maximální roční odpisové sazby: </w:t>
      </w:r>
    </w:p>
    <w:p w14:paraId="71A36433" w14:textId="77777777" w:rsidR="000839A4" w:rsidRPr="000839A4" w:rsidRDefault="000839A4" w:rsidP="000839A4">
      <w:pPr>
        <w:tabs>
          <w:tab w:val="left" w:pos="357"/>
        </w:tabs>
        <w:spacing w:before="0"/>
        <w:ind w:left="357" w:hanging="357"/>
        <w:rPr>
          <w:strike/>
          <w:szCs w:val="24"/>
        </w:rPr>
      </w:pPr>
      <w:r w:rsidRPr="000839A4">
        <w:rPr>
          <w:strike/>
          <w:szCs w:val="24"/>
        </w:rPr>
        <w:t>a)</w:t>
      </w:r>
      <w:r w:rsidRPr="000839A4">
        <w:rPr>
          <w:strike/>
          <w:szCs w:val="24"/>
        </w:rPr>
        <w:tab/>
        <w:t xml:space="preserve">Roční odpisová sazba pro hmotný majetek neodpisovaný podle písmen b) až d) </w:t>
      </w:r>
    </w:p>
    <w:tbl>
      <w:tblPr>
        <w:tblStyle w:val="Mkatabulky2"/>
        <w:tblW w:w="0" w:type="auto"/>
        <w:tblInd w:w="357" w:type="dxa"/>
        <w:tblLook w:val="04A0" w:firstRow="1" w:lastRow="0" w:firstColumn="1" w:lastColumn="0" w:noHBand="0" w:noVBand="1"/>
      </w:tblPr>
      <w:tblGrid>
        <w:gridCol w:w="2170"/>
        <w:gridCol w:w="2181"/>
        <w:gridCol w:w="2182"/>
        <w:gridCol w:w="2170"/>
      </w:tblGrid>
      <w:tr w:rsidR="000839A4" w:rsidRPr="000839A4" w14:paraId="3AD88EAA" w14:textId="77777777" w:rsidTr="000839A4">
        <w:tc>
          <w:tcPr>
            <w:tcW w:w="2265" w:type="dxa"/>
          </w:tcPr>
          <w:p w14:paraId="2447E1A7" w14:textId="77777777" w:rsidR="000839A4" w:rsidRPr="000839A4" w:rsidRDefault="000839A4" w:rsidP="000839A4">
            <w:pPr>
              <w:tabs>
                <w:tab w:val="left" w:pos="357"/>
              </w:tabs>
              <w:jc w:val="center"/>
              <w:rPr>
                <w:strike/>
                <w:szCs w:val="24"/>
              </w:rPr>
            </w:pPr>
            <w:r w:rsidRPr="000839A4">
              <w:rPr>
                <w:strike/>
                <w:szCs w:val="24"/>
              </w:rPr>
              <w:t>Odpisová skupina</w:t>
            </w:r>
          </w:p>
        </w:tc>
        <w:tc>
          <w:tcPr>
            <w:tcW w:w="2265" w:type="dxa"/>
          </w:tcPr>
          <w:p w14:paraId="74A89783" w14:textId="77777777" w:rsidR="000839A4" w:rsidRPr="000839A4" w:rsidRDefault="000839A4" w:rsidP="000839A4">
            <w:pPr>
              <w:tabs>
                <w:tab w:val="left" w:pos="357"/>
              </w:tabs>
              <w:jc w:val="center"/>
              <w:rPr>
                <w:strike/>
                <w:szCs w:val="24"/>
              </w:rPr>
            </w:pPr>
            <w:r w:rsidRPr="000839A4">
              <w:rPr>
                <w:strike/>
                <w:szCs w:val="24"/>
              </w:rPr>
              <w:t>v prvním roce odpisování</w:t>
            </w:r>
          </w:p>
        </w:tc>
        <w:tc>
          <w:tcPr>
            <w:tcW w:w="2266" w:type="dxa"/>
          </w:tcPr>
          <w:p w14:paraId="02C96040" w14:textId="77777777" w:rsidR="000839A4" w:rsidRPr="000839A4" w:rsidRDefault="000839A4" w:rsidP="000839A4">
            <w:pPr>
              <w:tabs>
                <w:tab w:val="left" w:pos="357"/>
              </w:tabs>
              <w:jc w:val="center"/>
              <w:rPr>
                <w:strike/>
                <w:szCs w:val="24"/>
              </w:rPr>
            </w:pPr>
            <w:r w:rsidRPr="000839A4">
              <w:rPr>
                <w:strike/>
                <w:szCs w:val="24"/>
              </w:rPr>
              <w:t>v dalších letech odpisování</w:t>
            </w:r>
          </w:p>
        </w:tc>
        <w:tc>
          <w:tcPr>
            <w:tcW w:w="2266" w:type="dxa"/>
          </w:tcPr>
          <w:p w14:paraId="027E1AD8" w14:textId="77777777" w:rsidR="000839A4" w:rsidRPr="000839A4" w:rsidRDefault="000839A4" w:rsidP="000839A4">
            <w:pPr>
              <w:tabs>
                <w:tab w:val="left" w:pos="357"/>
              </w:tabs>
              <w:jc w:val="center"/>
              <w:rPr>
                <w:strike/>
                <w:szCs w:val="24"/>
              </w:rPr>
            </w:pPr>
            <w:r w:rsidRPr="000839A4">
              <w:rPr>
                <w:strike/>
                <w:szCs w:val="24"/>
              </w:rPr>
              <w:t>pro zvýšenou vstupní cenu</w:t>
            </w:r>
          </w:p>
        </w:tc>
      </w:tr>
      <w:tr w:rsidR="000839A4" w:rsidRPr="000839A4" w14:paraId="74291D72" w14:textId="77777777" w:rsidTr="000839A4">
        <w:tc>
          <w:tcPr>
            <w:tcW w:w="2265" w:type="dxa"/>
          </w:tcPr>
          <w:p w14:paraId="20E5D118" w14:textId="77777777" w:rsidR="000839A4" w:rsidRPr="000839A4" w:rsidRDefault="000839A4" w:rsidP="000839A4">
            <w:pPr>
              <w:tabs>
                <w:tab w:val="left" w:pos="357"/>
              </w:tabs>
              <w:jc w:val="center"/>
              <w:rPr>
                <w:strike/>
                <w:szCs w:val="24"/>
              </w:rPr>
            </w:pPr>
            <w:r w:rsidRPr="000839A4">
              <w:rPr>
                <w:strike/>
                <w:szCs w:val="24"/>
              </w:rPr>
              <w:t>1</w:t>
            </w:r>
          </w:p>
        </w:tc>
        <w:tc>
          <w:tcPr>
            <w:tcW w:w="2265" w:type="dxa"/>
          </w:tcPr>
          <w:p w14:paraId="2B93408A" w14:textId="77777777" w:rsidR="000839A4" w:rsidRPr="000839A4" w:rsidRDefault="000839A4" w:rsidP="000839A4">
            <w:pPr>
              <w:tabs>
                <w:tab w:val="left" w:pos="357"/>
              </w:tabs>
              <w:jc w:val="center"/>
              <w:rPr>
                <w:strike/>
                <w:szCs w:val="24"/>
              </w:rPr>
            </w:pPr>
            <w:r w:rsidRPr="000839A4">
              <w:rPr>
                <w:strike/>
                <w:szCs w:val="24"/>
              </w:rPr>
              <w:t>20</w:t>
            </w:r>
          </w:p>
        </w:tc>
        <w:tc>
          <w:tcPr>
            <w:tcW w:w="2266" w:type="dxa"/>
          </w:tcPr>
          <w:p w14:paraId="4B1FB829" w14:textId="77777777" w:rsidR="000839A4" w:rsidRPr="000839A4" w:rsidRDefault="000839A4" w:rsidP="000839A4">
            <w:pPr>
              <w:tabs>
                <w:tab w:val="left" w:pos="357"/>
              </w:tabs>
              <w:jc w:val="center"/>
              <w:rPr>
                <w:strike/>
                <w:szCs w:val="24"/>
              </w:rPr>
            </w:pPr>
            <w:r w:rsidRPr="000839A4">
              <w:rPr>
                <w:strike/>
                <w:szCs w:val="24"/>
              </w:rPr>
              <w:t>40</w:t>
            </w:r>
          </w:p>
        </w:tc>
        <w:tc>
          <w:tcPr>
            <w:tcW w:w="2266" w:type="dxa"/>
          </w:tcPr>
          <w:p w14:paraId="1AE8E86B" w14:textId="77777777" w:rsidR="000839A4" w:rsidRPr="000839A4" w:rsidRDefault="000839A4" w:rsidP="000839A4">
            <w:pPr>
              <w:tabs>
                <w:tab w:val="left" w:pos="357"/>
              </w:tabs>
              <w:jc w:val="center"/>
              <w:rPr>
                <w:strike/>
                <w:szCs w:val="24"/>
              </w:rPr>
            </w:pPr>
            <w:r w:rsidRPr="000839A4">
              <w:rPr>
                <w:strike/>
                <w:szCs w:val="24"/>
              </w:rPr>
              <w:t>33,3</w:t>
            </w:r>
          </w:p>
        </w:tc>
      </w:tr>
      <w:tr w:rsidR="000839A4" w:rsidRPr="000839A4" w14:paraId="55223542" w14:textId="77777777" w:rsidTr="000839A4">
        <w:tc>
          <w:tcPr>
            <w:tcW w:w="2265" w:type="dxa"/>
          </w:tcPr>
          <w:p w14:paraId="685B90AD" w14:textId="77777777" w:rsidR="000839A4" w:rsidRPr="000839A4" w:rsidRDefault="000839A4" w:rsidP="000839A4">
            <w:pPr>
              <w:tabs>
                <w:tab w:val="left" w:pos="357"/>
              </w:tabs>
              <w:jc w:val="center"/>
              <w:rPr>
                <w:strike/>
                <w:szCs w:val="24"/>
              </w:rPr>
            </w:pPr>
            <w:r w:rsidRPr="000839A4">
              <w:rPr>
                <w:strike/>
                <w:szCs w:val="24"/>
              </w:rPr>
              <w:t>2</w:t>
            </w:r>
          </w:p>
        </w:tc>
        <w:tc>
          <w:tcPr>
            <w:tcW w:w="2265" w:type="dxa"/>
          </w:tcPr>
          <w:p w14:paraId="1BCA3D34" w14:textId="77777777" w:rsidR="000839A4" w:rsidRPr="000839A4" w:rsidRDefault="000839A4" w:rsidP="000839A4">
            <w:pPr>
              <w:tabs>
                <w:tab w:val="left" w:pos="357"/>
              </w:tabs>
              <w:jc w:val="center"/>
              <w:rPr>
                <w:strike/>
                <w:szCs w:val="24"/>
              </w:rPr>
            </w:pPr>
            <w:r w:rsidRPr="000839A4">
              <w:rPr>
                <w:strike/>
                <w:szCs w:val="24"/>
              </w:rPr>
              <w:t>11</w:t>
            </w:r>
          </w:p>
        </w:tc>
        <w:tc>
          <w:tcPr>
            <w:tcW w:w="2266" w:type="dxa"/>
          </w:tcPr>
          <w:p w14:paraId="389AAD23" w14:textId="77777777" w:rsidR="000839A4" w:rsidRPr="000839A4" w:rsidRDefault="000839A4" w:rsidP="000839A4">
            <w:pPr>
              <w:tabs>
                <w:tab w:val="left" w:pos="357"/>
              </w:tabs>
              <w:jc w:val="center"/>
              <w:rPr>
                <w:strike/>
                <w:szCs w:val="24"/>
              </w:rPr>
            </w:pPr>
            <w:r w:rsidRPr="000839A4">
              <w:rPr>
                <w:strike/>
                <w:szCs w:val="24"/>
              </w:rPr>
              <w:t>22,25</w:t>
            </w:r>
          </w:p>
        </w:tc>
        <w:tc>
          <w:tcPr>
            <w:tcW w:w="2266" w:type="dxa"/>
          </w:tcPr>
          <w:p w14:paraId="20F0E8DD" w14:textId="77777777" w:rsidR="000839A4" w:rsidRPr="000839A4" w:rsidRDefault="000839A4" w:rsidP="000839A4">
            <w:pPr>
              <w:tabs>
                <w:tab w:val="left" w:pos="357"/>
              </w:tabs>
              <w:jc w:val="center"/>
              <w:rPr>
                <w:strike/>
                <w:szCs w:val="24"/>
              </w:rPr>
            </w:pPr>
            <w:r w:rsidRPr="000839A4">
              <w:rPr>
                <w:strike/>
                <w:szCs w:val="24"/>
              </w:rPr>
              <w:t>20</w:t>
            </w:r>
          </w:p>
        </w:tc>
      </w:tr>
      <w:tr w:rsidR="000839A4" w:rsidRPr="000839A4" w14:paraId="08FFCD12" w14:textId="77777777" w:rsidTr="000839A4">
        <w:tc>
          <w:tcPr>
            <w:tcW w:w="2265" w:type="dxa"/>
          </w:tcPr>
          <w:p w14:paraId="1C62100D" w14:textId="77777777" w:rsidR="000839A4" w:rsidRPr="000839A4" w:rsidRDefault="000839A4" w:rsidP="000839A4">
            <w:pPr>
              <w:tabs>
                <w:tab w:val="left" w:pos="357"/>
              </w:tabs>
              <w:jc w:val="center"/>
              <w:rPr>
                <w:strike/>
                <w:szCs w:val="24"/>
              </w:rPr>
            </w:pPr>
            <w:r w:rsidRPr="000839A4">
              <w:rPr>
                <w:strike/>
                <w:szCs w:val="24"/>
              </w:rPr>
              <w:t>3</w:t>
            </w:r>
          </w:p>
        </w:tc>
        <w:tc>
          <w:tcPr>
            <w:tcW w:w="2265" w:type="dxa"/>
          </w:tcPr>
          <w:p w14:paraId="790E8BD9" w14:textId="77777777" w:rsidR="000839A4" w:rsidRPr="000839A4" w:rsidRDefault="000839A4" w:rsidP="000839A4">
            <w:pPr>
              <w:tabs>
                <w:tab w:val="left" w:pos="357"/>
              </w:tabs>
              <w:jc w:val="center"/>
              <w:rPr>
                <w:strike/>
                <w:szCs w:val="24"/>
              </w:rPr>
            </w:pPr>
            <w:r w:rsidRPr="000839A4">
              <w:rPr>
                <w:strike/>
                <w:szCs w:val="24"/>
              </w:rPr>
              <w:t>5,5</w:t>
            </w:r>
          </w:p>
        </w:tc>
        <w:tc>
          <w:tcPr>
            <w:tcW w:w="2266" w:type="dxa"/>
          </w:tcPr>
          <w:p w14:paraId="3E180ED3" w14:textId="77777777" w:rsidR="000839A4" w:rsidRPr="000839A4" w:rsidRDefault="000839A4" w:rsidP="000839A4">
            <w:pPr>
              <w:tabs>
                <w:tab w:val="left" w:pos="357"/>
              </w:tabs>
              <w:jc w:val="center"/>
              <w:rPr>
                <w:strike/>
                <w:szCs w:val="24"/>
              </w:rPr>
            </w:pPr>
            <w:r w:rsidRPr="000839A4">
              <w:rPr>
                <w:strike/>
                <w:szCs w:val="24"/>
              </w:rPr>
              <w:t>10,5</w:t>
            </w:r>
          </w:p>
        </w:tc>
        <w:tc>
          <w:tcPr>
            <w:tcW w:w="2266" w:type="dxa"/>
          </w:tcPr>
          <w:p w14:paraId="3BFD8C65" w14:textId="77777777" w:rsidR="000839A4" w:rsidRPr="000839A4" w:rsidRDefault="000839A4" w:rsidP="000839A4">
            <w:pPr>
              <w:tabs>
                <w:tab w:val="left" w:pos="357"/>
              </w:tabs>
              <w:jc w:val="center"/>
              <w:rPr>
                <w:strike/>
                <w:szCs w:val="24"/>
              </w:rPr>
            </w:pPr>
            <w:r w:rsidRPr="000839A4">
              <w:rPr>
                <w:strike/>
                <w:szCs w:val="24"/>
              </w:rPr>
              <w:t>10</w:t>
            </w:r>
          </w:p>
        </w:tc>
      </w:tr>
      <w:tr w:rsidR="000839A4" w:rsidRPr="000839A4" w14:paraId="048D4E3B" w14:textId="77777777" w:rsidTr="000839A4">
        <w:tc>
          <w:tcPr>
            <w:tcW w:w="2265" w:type="dxa"/>
          </w:tcPr>
          <w:p w14:paraId="586ADEDD" w14:textId="77777777" w:rsidR="000839A4" w:rsidRPr="000839A4" w:rsidRDefault="000839A4" w:rsidP="000839A4">
            <w:pPr>
              <w:tabs>
                <w:tab w:val="left" w:pos="357"/>
              </w:tabs>
              <w:jc w:val="center"/>
              <w:rPr>
                <w:strike/>
                <w:szCs w:val="24"/>
              </w:rPr>
            </w:pPr>
            <w:r w:rsidRPr="000839A4">
              <w:rPr>
                <w:strike/>
                <w:szCs w:val="24"/>
              </w:rPr>
              <w:t>4</w:t>
            </w:r>
          </w:p>
        </w:tc>
        <w:tc>
          <w:tcPr>
            <w:tcW w:w="2265" w:type="dxa"/>
          </w:tcPr>
          <w:p w14:paraId="16F4AE63" w14:textId="77777777" w:rsidR="000839A4" w:rsidRPr="000839A4" w:rsidRDefault="000839A4" w:rsidP="000839A4">
            <w:pPr>
              <w:tabs>
                <w:tab w:val="left" w:pos="357"/>
              </w:tabs>
              <w:jc w:val="center"/>
              <w:rPr>
                <w:strike/>
                <w:szCs w:val="24"/>
              </w:rPr>
            </w:pPr>
            <w:r w:rsidRPr="000839A4">
              <w:rPr>
                <w:strike/>
                <w:szCs w:val="24"/>
              </w:rPr>
              <w:t>2,15</w:t>
            </w:r>
          </w:p>
        </w:tc>
        <w:tc>
          <w:tcPr>
            <w:tcW w:w="2266" w:type="dxa"/>
          </w:tcPr>
          <w:p w14:paraId="43D2C73C" w14:textId="77777777" w:rsidR="000839A4" w:rsidRPr="000839A4" w:rsidRDefault="000839A4" w:rsidP="000839A4">
            <w:pPr>
              <w:tabs>
                <w:tab w:val="left" w:pos="357"/>
              </w:tabs>
              <w:jc w:val="center"/>
              <w:rPr>
                <w:strike/>
                <w:szCs w:val="24"/>
              </w:rPr>
            </w:pPr>
            <w:r w:rsidRPr="000839A4">
              <w:rPr>
                <w:strike/>
                <w:szCs w:val="24"/>
              </w:rPr>
              <w:t>5,15</w:t>
            </w:r>
          </w:p>
        </w:tc>
        <w:tc>
          <w:tcPr>
            <w:tcW w:w="2266" w:type="dxa"/>
          </w:tcPr>
          <w:p w14:paraId="08321647" w14:textId="77777777" w:rsidR="000839A4" w:rsidRPr="000839A4" w:rsidRDefault="000839A4" w:rsidP="000839A4">
            <w:pPr>
              <w:tabs>
                <w:tab w:val="left" w:pos="357"/>
              </w:tabs>
              <w:jc w:val="center"/>
              <w:rPr>
                <w:strike/>
                <w:szCs w:val="24"/>
              </w:rPr>
            </w:pPr>
            <w:r w:rsidRPr="000839A4">
              <w:rPr>
                <w:strike/>
                <w:szCs w:val="24"/>
              </w:rPr>
              <w:t>5,0</w:t>
            </w:r>
          </w:p>
        </w:tc>
      </w:tr>
      <w:tr w:rsidR="000839A4" w:rsidRPr="000839A4" w14:paraId="432C00AE" w14:textId="77777777" w:rsidTr="000839A4">
        <w:tc>
          <w:tcPr>
            <w:tcW w:w="2265" w:type="dxa"/>
          </w:tcPr>
          <w:p w14:paraId="3BFED5E5" w14:textId="77777777" w:rsidR="000839A4" w:rsidRPr="000839A4" w:rsidRDefault="000839A4" w:rsidP="000839A4">
            <w:pPr>
              <w:tabs>
                <w:tab w:val="left" w:pos="357"/>
              </w:tabs>
              <w:jc w:val="center"/>
              <w:rPr>
                <w:strike/>
                <w:szCs w:val="24"/>
              </w:rPr>
            </w:pPr>
            <w:r w:rsidRPr="000839A4">
              <w:rPr>
                <w:strike/>
                <w:szCs w:val="24"/>
              </w:rPr>
              <w:t>5</w:t>
            </w:r>
          </w:p>
        </w:tc>
        <w:tc>
          <w:tcPr>
            <w:tcW w:w="2265" w:type="dxa"/>
          </w:tcPr>
          <w:p w14:paraId="3A608F54" w14:textId="77777777" w:rsidR="000839A4" w:rsidRPr="000839A4" w:rsidRDefault="000839A4" w:rsidP="000839A4">
            <w:pPr>
              <w:tabs>
                <w:tab w:val="left" w:pos="357"/>
              </w:tabs>
              <w:jc w:val="center"/>
              <w:rPr>
                <w:strike/>
                <w:szCs w:val="24"/>
              </w:rPr>
            </w:pPr>
            <w:r w:rsidRPr="000839A4">
              <w:rPr>
                <w:strike/>
                <w:szCs w:val="24"/>
              </w:rPr>
              <w:t>1,4</w:t>
            </w:r>
          </w:p>
        </w:tc>
        <w:tc>
          <w:tcPr>
            <w:tcW w:w="2266" w:type="dxa"/>
          </w:tcPr>
          <w:p w14:paraId="25675AE4" w14:textId="77777777" w:rsidR="000839A4" w:rsidRPr="000839A4" w:rsidRDefault="000839A4" w:rsidP="000839A4">
            <w:pPr>
              <w:tabs>
                <w:tab w:val="left" w:pos="357"/>
              </w:tabs>
              <w:jc w:val="center"/>
              <w:rPr>
                <w:strike/>
                <w:szCs w:val="24"/>
              </w:rPr>
            </w:pPr>
            <w:r w:rsidRPr="000839A4">
              <w:rPr>
                <w:strike/>
                <w:szCs w:val="24"/>
              </w:rPr>
              <w:t>3,4</w:t>
            </w:r>
          </w:p>
        </w:tc>
        <w:tc>
          <w:tcPr>
            <w:tcW w:w="2266" w:type="dxa"/>
          </w:tcPr>
          <w:p w14:paraId="09169A59" w14:textId="77777777" w:rsidR="000839A4" w:rsidRPr="000839A4" w:rsidRDefault="000839A4" w:rsidP="000839A4">
            <w:pPr>
              <w:tabs>
                <w:tab w:val="left" w:pos="357"/>
              </w:tabs>
              <w:jc w:val="center"/>
              <w:rPr>
                <w:strike/>
                <w:szCs w:val="24"/>
              </w:rPr>
            </w:pPr>
            <w:r w:rsidRPr="000839A4">
              <w:rPr>
                <w:strike/>
                <w:szCs w:val="24"/>
              </w:rPr>
              <w:t>3,4</w:t>
            </w:r>
          </w:p>
        </w:tc>
      </w:tr>
      <w:tr w:rsidR="000839A4" w:rsidRPr="000839A4" w14:paraId="71ABF46E" w14:textId="77777777" w:rsidTr="000839A4">
        <w:tc>
          <w:tcPr>
            <w:tcW w:w="2265" w:type="dxa"/>
          </w:tcPr>
          <w:p w14:paraId="0A22DD78" w14:textId="77777777" w:rsidR="000839A4" w:rsidRPr="000839A4" w:rsidRDefault="000839A4" w:rsidP="000839A4">
            <w:pPr>
              <w:tabs>
                <w:tab w:val="left" w:pos="357"/>
              </w:tabs>
              <w:jc w:val="center"/>
              <w:rPr>
                <w:strike/>
                <w:szCs w:val="24"/>
              </w:rPr>
            </w:pPr>
            <w:r w:rsidRPr="000839A4">
              <w:rPr>
                <w:strike/>
                <w:szCs w:val="24"/>
              </w:rPr>
              <w:t>6</w:t>
            </w:r>
          </w:p>
        </w:tc>
        <w:tc>
          <w:tcPr>
            <w:tcW w:w="2265" w:type="dxa"/>
          </w:tcPr>
          <w:p w14:paraId="7696F84B" w14:textId="77777777" w:rsidR="000839A4" w:rsidRPr="000839A4" w:rsidRDefault="000839A4" w:rsidP="000839A4">
            <w:pPr>
              <w:tabs>
                <w:tab w:val="left" w:pos="357"/>
              </w:tabs>
              <w:jc w:val="center"/>
              <w:rPr>
                <w:strike/>
                <w:szCs w:val="24"/>
              </w:rPr>
            </w:pPr>
            <w:r w:rsidRPr="000839A4">
              <w:rPr>
                <w:strike/>
                <w:szCs w:val="24"/>
              </w:rPr>
              <w:t>1,02</w:t>
            </w:r>
          </w:p>
        </w:tc>
        <w:tc>
          <w:tcPr>
            <w:tcW w:w="2266" w:type="dxa"/>
          </w:tcPr>
          <w:p w14:paraId="18C03BD3" w14:textId="77777777" w:rsidR="000839A4" w:rsidRPr="000839A4" w:rsidRDefault="000839A4" w:rsidP="000839A4">
            <w:pPr>
              <w:tabs>
                <w:tab w:val="left" w:pos="357"/>
              </w:tabs>
              <w:jc w:val="center"/>
              <w:rPr>
                <w:strike/>
                <w:szCs w:val="24"/>
              </w:rPr>
            </w:pPr>
            <w:r w:rsidRPr="000839A4">
              <w:rPr>
                <w:strike/>
                <w:szCs w:val="24"/>
              </w:rPr>
              <w:t>2,02</w:t>
            </w:r>
          </w:p>
        </w:tc>
        <w:tc>
          <w:tcPr>
            <w:tcW w:w="2266" w:type="dxa"/>
          </w:tcPr>
          <w:p w14:paraId="21C3DAC1" w14:textId="77777777" w:rsidR="000839A4" w:rsidRPr="000839A4" w:rsidRDefault="000839A4" w:rsidP="000839A4">
            <w:pPr>
              <w:tabs>
                <w:tab w:val="left" w:pos="357"/>
              </w:tabs>
              <w:jc w:val="center"/>
              <w:rPr>
                <w:strike/>
                <w:szCs w:val="24"/>
              </w:rPr>
            </w:pPr>
            <w:r w:rsidRPr="000839A4">
              <w:rPr>
                <w:strike/>
                <w:szCs w:val="24"/>
              </w:rPr>
              <w:t>2,</w:t>
            </w:r>
          </w:p>
        </w:tc>
      </w:tr>
    </w:tbl>
    <w:p w14:paraId="6CCD0363" w14:textId="77777777" w:rsidR="000839A4" w:rsidRPr="000839A4" w:rsidRDefault="000839A4" w:rsidP="000839A4">
      <w:pPr>
        <w:spacing w:before="120"/>
        <w:ind w:firstLine="357"/>
        <w:jc w:val="center"/>
        <w:rPr>
          <w:szCs w:val="24"/>
        </w:rPr>
      </w:pPr>
    </w:p>
    <w:p w14:paraId="1007EEAB" w14:textId="77777777" w:rsidR="000839A4" w:rsidRPr="000839A4" w:rsidRDefault="000839A4" w:rsidP="000839A4">
      <w:pPr>
        <w:tabs>
          <w:tab w:val="left" w:pos="357"/>
        </w:tabs>
        <w:spacing w:before="0"/>
        <w:ind w:firstLine="0"/>
        <w:rPr>
          <w:strike/>
          <w:szCs w:val="24"/>
        </w:rPr>
      </w:pPr>
      <w:r w:rsidRPr="000839A4">
        <w:rPr>
          <w:strike/>
          <w:szCs w:val="24"/>
        </w:rPr>
        <w:t>b)</w:t>
      </w:r>
      <w:r w:rsidRPr="000839A4">
        <w:rPr>
          <w:strike/>
          <w:szCs w:val="24"/>
        </w:rPr>
        <w:tab/>
        <w:t xml:space="preserve">Roční odpisová sazba při zvýšení odpisu v prvním roce odpisování o 20 % </w:t>
      </w:r>
    </w:p>
    <w:tbl>
      <w:tblPr>
        <w:tblStyle w:val="Mkatabulky2"/>
        <w:tblW w:w="0" w:type="auto"/>
        <w:tblInd w:w="425" w:type="dxa"/>
        <w:tblLook w:val="04A0" w:firstRow="1" w:lastRow="0" w:firstColumn="1" w:lastColumn="0" w:noHBand="0" w:noVBand="1"/>
      </w:tblPr>
      <w:tblGrid>
        <w:gridCol w:w="2152"/>
        <w:gridCol w:w="2165"/>
        <w:gridCol w:w="2166"/>
        <w:gridCol w:w="2152"/>
      </w:tblGrid>
      <w:tr w:rsidR="000839A4" w:rsidRPr="000839A4" w14:paraId="53B62B4F" w14:textId="77777777" w:rsidTr="000839A4">
        <w:tc>
          <w:tcPr>
            <w:tcW w:w="2265" w:type="dxa"/>
          </w:tcPr>
          <w:p w14:paraId="1B5BD9C9" w14:textId="77777777" w:rsidR="000839A4" w:rsidRPr="000839A4" w:rsidRDefault="000839A4" w:rsidP="000839A4">
            <w:pPr>
              <w:tabs>
                <w:tab w:val="left" w:pos="357"/>
              </w:tabs>
              <w:jc w:val="center"/>
              <w:rPr>
                <w:strike/>
                <w:szCs w:val="24"/>
              </w:rPr>
            </w:pPr>
            <w:r w:rsidRPr="000839A4">
              <w:rPr>
                <w:strike/>
                <w:szCs w:val="24"/>
              </w:rPr>
              <w:t>Odpisová skupina</w:t>
            </w:r>
          </w:p>
        </w:tc>
        <w:tc>
          <w:tcPr>
            <w:tcW w:w="2265" w:type="dxa"/>
          </w:tcPr>
          <w:p w14:paraId="2DBEA852" w14:textId="77777777" w:rsidR="000839A4" w:rsidRPr="000839A4" w:rsidRDefault="000839A4" w:rsidP="000839A4">
            <w:pPr>
              <w:tabs>
                <w:tab w:val="left" w:pos="357"/>
              </w:tabs>
              <w:jc w:val="center"/>
              <w:rPr>
                <w:strike/>
                <w:szCs w:val="24"/>
              </w:rPr>
            </w:pPr>
            <w:r w:rsidRPr="000839A4">
              <w:rPr>
                <w:strike/>
                <w:szCs w:val="24"/>
              </w:rPr>
              <w:t>v prvním roce odpisování</w:t>
            </w:r>
          </w:p>
        </w:tc>
        <w:tc>
          <w:tcPr>
            <w:tcW w:w="2266" w:type="dxa"/>
          </w:tcPr>
          <w:p w14:paraId="064C2364" w14:textId="77777777" w:rsidR="000839A4" w:rsidRPr="000839A4" w:rsidRDefault="000839A4" w:rsidP="000839A4">
            <w:pPr>
              <w:tabs>
                <w:tab w:val="left" w:pos="357"/>
              </w:tabs>
              <w:jc w:val="center"/>
              <w:rPr>
                <w:strike/>
                <w:szCs w:val="24"/>
              </w:rPr>
            </w:pPr>
            <w:r w:rsidRPr="000839A4">
              <w:rPr>
                <w:strike/>
                <w:szCs w:val="24"/>
              </w:rPr>
              <w:t>v dalších letech odpisování</w:t>
            </w:r>
          </w:p>
        </w:tc>
        <w:tc>
          <w:tcPr>
            <w:tcW w:w="2266" w:type="dxa"/>
          </w:tcPr>
          <w:p w14:paraId="31F65F63" w14:textId="77777777" w:rsidR="000839A4" w:rsidRPr="000839A4" w:rsidRDefault="000839A4" w:rsidP="000839A4">
            <w:pPr>
              <w:tabs>
                <w:tab w:val="left" w:pos="357"/>
              </w:tabs>
              <w:jc w:val="center"/>
              <w:rPr>
                <w:strike/>
                <w:szCs w:val="24"/>
              </w:rPr>
            </w:pPr>
            <w:r w:rsidRPr="000839A4">
              <w:rPr>
                <w:strike/>
                <w:szCs w:val="24"/>
              </w:rPr>
              <w:t>pro zvýšenou vstupní cenu</w:t>
            </w:r>
          </w:p>
        </w:tc>
      </w:tr>
      <w:tr w:rsidR="000839A4" w:rsidRPr="000839A4" w14:paraId="386A2313" w14:textId="77777777" w:rsidTr="000839A4">
        <w:tc>
          <w:tcPr>
            <w:tcW w:w="2265" w:type="dxa"/>
          </w:tcPr>
          <w:p w14:paraId="0EA86772" w14:textId="77777777" w:rsidR="000839A4" w:rsidRPr="000839A4" w:rsidRDefault="000839A4" w:rsidP="000839A4">
            <w:pPr>
              <w:tabs>
                <w:tab w:val="left" w:pos="357"/>
              </w:tabs>
              <w:jc w:val="center"/>
              <w:rPr>
                <w:strike/>
                <w:szCs w:val="24"/>
              </w:rPr>
            </w:pPr>
            <w:r w:rsidRPr="000839A4">
              <w:rPr>
                <w:strike/>
                <w:szCs w:val="24"/>
              </w:rPr>
              <w:t>1</w:t>
            </w:r>
          </w:p>
        </w:tc>
        <w:tc>
          <w:tcPr>
            <w:tcW w:w="2265" w:type="dxa"/>
          </w:tcPr>
          <w:p w14:paraId="6D95298C" w14:textId="77777777" w:rsidR="000839A4" w:rsidRPr="000839A4" w:rsidRDefault="000839A4" w:rsidP="000839A4">
            <w:pPr>
              <w:tabs>
                <w:tab w:val="left" w:pos="357"/>
              </w:tabs>
              <w:jc w:val="center"/>
              <w:rPr>
                <w:strike/>
                <w:szCs w:val="24"/>
              </w:rPr>
            </w:pPr>
            <w:r w:rsidRPr="000839A4">
              <w:rPr>
                <w:strike/>
                <w:szCs w:val="24"/>
              </w:rPr>
              <w:t>40</w:t>
            </w:r>
          </w:p>
        </w:tc>
        <w:tc>
          <w:tcPr>
            <w:tcW w:w="2266" w:type="dxa"/>
          </w:tcPr>
          <w:p w14:paraId="0E67D55A" w14:textId="77777777" w:rsidR="000839A4" w:rsidRPr="000839A4" w:rsidRDefault="000839A4" w:rsidP="000839A4">
            <w:pPr>
              <w:tabs>
                <w:tab w:val="left" w:pos="357"/>
              </w:tabs>
              <w:jc w:val="center"/>
              <w:rPr>
                <w:strike/>
                <w:szCs w:val="24"/>
              </w:rPr>
            </w:pPr>
            <w:r w:rsidRPr="000839A4">
              <w:rPr>
                <w:strike/>
                <w:szCs w:val="24"/>
              </w:rPr>
              <w:t>30</w:t>
            </w:r>
          </w:p>
        </w:tc>
        <w:tc>
          <w:tcPr>
            <w:tcW w:w="2266" w:type="dxa"/>
          </w:tcPr>
          <w:p w14:paraId="407089FA" w14:textId="77777777" w:rsidR="000839A4" w:rsidRPr="000839A4" w:rsidRDefault="000839A4" w:rsidP="000839A4">
            <w:pPr>
              <w:tabs>
                <w:tab w:val="left" w:pos="357"/>
              </w:tabs>
              <w:jc w:val="center"/>
              <w:rPr>
                <w:strike/>
                <w:szCs w:val="24"/>
              </w:rPr>
            </w:pPr>
            <w:r w:rsidRPr="000839A4">
              <w:rPr>
                <w:strike/>
                <w:szCs w:val="24"/>
              </w:rPr>
              <w:t>33,3</w:t>
            </w:r>
          </w:p>
        </w:tc>
      </w:tr>
      <w:tr w:rsidR="000839A4" w:rsidRPr="000839A4" w14:paraId="40D8E6B7" w14:textId="77777777" w:rsidTr="000839A4">
        <w:tc>
          <w:tcPr>
            <w:tcW w:w="2265" w:type="dxa"/>
          </w:tcPr>
          <w:p w14:paraId="5AD04EEA" w14:textId="77777777" w:rsidR="000839A4" w:rsidRPr="000839A4" w:rsidRDefault="000839A4" w:rsidP="000839A4">
            <w:pPr>
              <w:tabs>
                <w:tab w:val="left" w:pos="357"/>
              </w:tabs>
              <w:jc w:val="center"/>
              <w:rPr>
                <w:strike/>
                <w:szCs w:val="24"/>
              </w:rPr>
            </w:pPr>
            <w:r w:rsidRPr="000839A4">
              <w:rPr>
                <w:strike/>
                <w:szCs w:val="24"/>
              </w:rPr>
              <w:t>2</w:t>
            </w:r>
          </w:p>
        </w:tc>
        <w:tc>
          <w:tcPr>
            <w:tcW w:w="2265" w:type="dxa"/>
          </w:tcPr>
          <w:p w14:paraId="04705DFF" w14:textId="77777777" w:rsidR="000839A4" w:rsidRPr="000839A4" w:rsidRDefault="000839A4" w:rsidP="000839A4">
            <w:pPr>
              <w:tabs>
                <w:tab w:val="left" w:pos="357"/>
              </w:tabs>
              <w:jc w:val="center"/>
              <w:rPr>
                <w:strike/>
                <w:szCs w:val="24"/>
              </w:rPr>
            </w:pPr>
            <w:r w:rsidRPr="000839A4">
              <w:rPr>
                <w:strike/>
                <w:szCs w:val="24"/>
              </w:rPr>
              <w:t>31</w:t>
            </w:r>
          </w:p>
        </w:tc>
        <w:tc>
          <w:tcPr>
            <w:tcW w:w="2266" w:type="dxa"/>
          </w:tcPr>
          <w:p w14:paraId="65D2C432" w14:textId="77777777" w:rsidR="000839A4" w:rsidRPr="000839A4" w:rsidRDefault="000839A4" w:rsidP="000839A4">
            <w:pPr>
              <w:tabs>
                <w:tab w:val="left" w:pos="357"/>
              </w:tabs>
              <w:jc w:val="center"/>
              <w:rPr>
                <w:strike/>
                <w:szCs w:val="24"/>
              </w:rPr>
            </w:pPr>
            <w:r w:rsidRPr="000839A4">
              <w:rPr>
                <w:strike/>
                <w:szCs w:val="24"/>
              </w:rPr>
              <w:t>17,25</w:t>
            </w:r>
          </w:p>
        </w:tc>
        <w:tc>
          <w:tcPr>
            <w:tcW w:w="2266" w:type="dxa"/>
          </w:tcPr>
          <w:p w14:paraId="61BD93B8" w14:textId="77777777" w:rsidR="000839A4" w:rsidRPr="000839A4" w:rsidRDefault="000839A4" w:rsidP="000839A4">
            <w:pPr>
              <w:tabs>
                <w:tab w:val="left" w:pos="357"/>
              </w:tabs>
              <w:jc w:val="center"/>
              <w:rPr>
                <w:strike/>
                <w:szCs w:val="24"/>
              </w:rPr>
            </w:pPr>
            <w:r w:rsidRPr="000839A4">
              <w:rPr>
                <w:strike/>
                <w:szCs w:val="24"/>
              </w:rPr>
              <w:t>20</w:t>
            </w:r>
          </w:p>
        </w:tc>
      </w:tr>
      <w:tr w:rsidR="000839A4" w:rsidRPr="000839A4" w14:paraId="46F4D454" w14:textId="77777777" w:rsidTr="000839A4">
        <w:tc>
          <w:tcPr>
            <w:tcW w:w="2265" w:type="dxa"/>
          </w:tcPr>
          <w:p w14:paraId="5C17D165" w14:textId="77777777" w:rsidR="000839A4" w:rsidRPr="000839A4" w:rsidRDefault="000839A4" w:rsidP="000839A4">
            <w:pPr>
              <w:tabs>
                <w:tab w:val="left" w:pos="357"/>
              </w:tabs>
              <w:jc w:val="center"/>
              <w:rPr>
                <w:strike/>
                <w:szCs w:val="24"/>
              </w:rPr>
            </w:pPr>
            <w:r w:rsidRPr="000839A4">
              <w:rPr>
                <w:strike/>
                <w:szCs w:val="24"/>
              </w:rPr>
              <w:t>3</w:t>
            </w:r>
          </w:p>
        </w:tc>
        <w:tc>
          <w:tcPr>
            <w:tcW w:w="2265" w:type="dxa"/>
          </w:tcPr>
          <w:p w14:paraId="18C90482" w14:textId="77777777" w:rsidR="000839A4" w:rsidRPr="000839A4" w:rsidRDefault="000839A4" w:rsidP="000839A4">
            <w:pPr>
              <w:tabs>
                <w:tab w:val="left" w:pos="357"/>
              </w:tabs>
              <w:jc w:val="center"/>
              <w:rPr>
                <w:strike/>
                <w:szCs w:val="24"/>
              </w:rPr>
            </w:pPr>
            <w:r w:rsidRPr="000839A4">
              <w:rPr>
                <w:strike/>
                <w:szCs w:val="24"/>
              </w:rPr>
              <w:t>24,4</w:t>
            </w:r>
          </w:p>
        </w:tc>
        <w:tc>
          <w:tcPr>
            <w:tcW w:w="2266" w:type="dxa"/>
          </w:tcPr>
          <w:p w14:paraId="72BEA985" w14:textId="77777777" w:rsidR="000839A4" w:rsidRPr="000839A4" w:rsidRDefault="000839A4" w:rsidP="000839A4">
            <w:pPr>
              <w:tabs>
                <w:tab w:val="left" w:pos="357"/>
              </w:tabs>
              <w:jc w:val="center"/>
              <w:rPr>
                <w:strike/>
                <w:szCs w:val="24"/>
              </w:rPr>
            </w:pPr>
            <w:r w:rsidRPr="000839A4">
              <w:rPr>
                <w:strike/>
                <w:szCs w:val="24"/>
              </w:rPr>
              <w:t>8,4</w:t>
            </w:r>
          </w:p>
        </w:tc>
        <w:tc>
          <w:tcPr>
            <w:tcW w:w="2266" w:type="dxa"/>
          </w:tcPr>
          <w:p w14:paraId="177A394C" w14:textId="77777777" w:rsidR="000839A4" w:rsidRPr="000839A4" w:rsidRDefault="000839A4" w:rsidP="000839A4">
            <w:pPr>
              <w:tabs>
                <w:tab w:val="left" w:pos="357"/>
              </w:tabs>
              <w:jc w:val="center"/>
              <w:rPr>
                <w:strike/>
                <w:szCs w:val="24"/>
              </w:rPr>
            </w:pPr>
            <w:r w:rsidRPr="000839A4">
              <w:rPr>
                <w:strike/>
                <w:szCs w:val="24"/>
              </w:rPr>
              <w:t>10,</w:t>
            </w:r>
          </w:p>
        </w:tc>
      </w:tr>
    </w:tbl>
    <w:p w14:paraId="39826B70" w14:textId="77777777" w:rsidR="000839A4" w:rsidRPr="000839A4" w:rsidRDefault="000839A4" w:rsidP="000839A4">
      <w:pPr>
        <w:tabs>
          <w:tab w:val="left" w:pos="357"/>
        </w:tabs>
        <w:spacing w:before="0"/>
        <w:ind w:left="425" w:firstLine="0"/>
        <w:rPr>
          <w:strike/>
          <w:szCs w:val="24"/>
        </w:rPr>
      </w:pPr>
    </w:p>
    <w:p w14:paraId="5B60881E" w14:textId="77777777" w:rsidR="000839A4" w:rsidRPr="000839A4" w:rsidRDefault="000839A4" w:rsidP="000839A4">
      <w:pPr>
        <w:tabs>
          <w:tab w:val="left" w:pos="357"/>
        </w:tabs>
        <w:spacing w:before="0"/>
        <w:ind w:left="357" w:hanging="357"/>
        <w:rPr>
          <w:strike/>
          <w:szCs w:val="24"/>
        </w:rPr>
      </w:pPr>
      <w:r w:rsidRPr="000839A4">
        <w:rPr>
          <w:strike/>
          <w:szCs w:val="24"/>
        </w:rPr>
        <w:t>c)</w:t>
      </w:r>
      <w:r w:rsidRPr="000839A4">
        <w:rPr>
          <w:strike/>
          <w:szCs w:val="24"/>
        </w:rPr>
        <w:tab/>
        <w:t xml:space="preserve">Roční odpisová sazba při zvýšení odpisu v prvním roce odpisování o 15 % </w:t>
      </w:r>
    </w:p>
    <w:tbl>
      <w:tblPr>
        <w:tblStyle w:val="Mkatabulky2"/>
        <w:tblW w:w="0" w:type="auto"/>
        <w:tblInd w:w="357" w:type="dxa"/>
        <w:tblLook w:val="04A0" w:firstRow="1" w:lastRow="0" w:firstColumn="1" w:lastColumn="0" w:noHBand="0" w:noVBand="1"/>
      </w:tblPr>
      <w:tblGrid>
        <w:gridCol w:w="2174"/>
        <w:gridCol w:w="2176"/>
        <w:gridCol w:w="2177"/>
        <w:gridCol w:w="2176"/>
      </w:tblGrid>
      <w:tr w:rsidR="000839A4" w:rsidRPr="000839A4" w14:paraId="08BC19C2" w14:textId="77777777" w:rsidTr="000839A4">
        <w:tc>
          <w:tcPr>
            <w:tcW w:w="2175" w:type="dxa"/>
          </w:tcPr>
          <w:p w14:paraId="2152DE56" w14:textId="77777777" w:rsidR="000839A4" w:rsidRPr="000839A4" w:rsidRDefault="000839A4" w:rsidP="000839A4">
            <w:pPr>
              <w:tabs>
                <w:tab w:val="left" w:pos="357"/>
              </w:tabs>
              <w:jc w:val="center"/>
              <w:rPr>
                <w:strike/>
                <w:szCs w:val="24"/>
              </w:rPr>
            </w:pPr>
            <w:r w:rsidRPr="000839A4">
              <w:rPr>
                <w:strike/>
                <w:szCs w:val="24"/>
              </w:rPr>
              <w:t>Odpisová skupina</w:t>
            </w:r>
          </w:p>
        </w:tc>
        <w:tc>
          <w:tcPr>
            <w:tcW w:w="2176" w:type="dxa"/>
          </w:tcPr>
          <w:p w14:paraId="03285141" w14:textId="77777777" w:rsidR="000839A4" w:rsidRPr="000839A4" w:rsidRDefault="000839A4" w:rsidP="000839A4">
            <w:pPr>
              <w:tabs>
                <w:tab w:val="left" w:pos="357"/>
              </w:tabs>
              <w:jc w:val="center"/>
              <w:rPr>
                <w:strike/>
                <w:szCs w:val="24"/>
              </w:rPr>
            </w:pPr>
            <w:r w:rsidRPr="000839A4">
              <w:rPr>
                <w:strike/>
                <w:szCs w:val="24"/>
              </w:rPr>
              <w:t>v prvním roce odpisování</w:t>
            </w:r>
          </w:p>
        </w:tc>
        <w:tc>
          <w:tcPr>
            <w:tcW w:w="2177" w:type="dxa"/>
          </w:tcPr>
          <w:p w14:paraId="3CC1CD15" w14:textId="77777777" w:rsidR="000839A4" w:rsidRPr="000839A4" w:rsidRDefault="000839A4" w:rsidP="000839A4">
            <w:pPr>
              <w:tabs>
                <w:tab w:val="left" w:pos="357"/>
              </w:tabs>
              <w:jc w:val="center"/>
              <w:rPr>
                <w:strike/>
                <w:szCs w:val="24"/>
              </w:rPr>
            </w:pPr>
            <w:r w:rsidRPr="000839A4">
              <w:rPr>
                <w:strike/>
                <w:szCs w:val="24"/>
              </w:rPr>
              <w:t>v dalších letech odpisování</w:t>
            </w:r>
          </w:p>
        </w:tc>
        <w:tc>
          <w:tcPr>
            <w:tcW w:w="2177" w:type="dxa"/>
          </w:tcPr>
          <w:p w14:paraId="71E56762" w14:textId="77777777" w:rsidR="000839A4" w:rsidRPr="000839A4" w:rsidRDefault="000839A4" w:rsidP="000839A4">
            <w:pPr>
              <w:tabs>
                <w:tab w:val="left" w:pos="357"/>
              </w:tabs>
              <w:jc w:val="center"/>
              <w:rPr>
                <w:strike/>
                <w:szCs w:val="24"/>
              </w:rPr>
            </w:pPr>
            <w:r w:rsidRPr="000839A4">
              <w:rPr>
                <w:strike/>
                <w:szCs w:val="24"/>
              </w:rPr>
              <w:t>pro zvýšenou vstupní cenu</w:t>
            </w:r>
          </w:p>
        </w:tc>
      </w:tr>
      <w:tr w:rsidR="000839A4" w:rsidRPr="000839A4" w14:paraId="2E3D3C8C" w14:textId="77777777" w:rsidTr="000839A4">
        <w:tc>
          <w:tcPr>
            <w:tcW w:w="2175" w:type="dxa"/>
          </w:tcPr>
          <w:p w14:paraId="3334E465" w14:textId="77777777" w:rsidR="000839A4" w:rsidRPr="000839A4" w:rsidRDefault="000839A4" w:rsidP="000839A4">
            <w:pPr>
              <w:tabs>
                <w:tab w:val="left" w:pos="357"/>
              </w:tabs>
              <w:jc w:val="center"/>
              <w:rPr>
                <w:strike/>
                <w:szCs w:val="24"/>
              </w:rPr>
            </w:pPr>
            <w:r w:rsidRPr="000839A4">
              <w:rPr>
                <w:strike/>
                <w:szCs w:val="24"/>
              </w:rPr>
              <w:lastRenderedPageBreak/>
              <w:t>1</w:t>
            </w:r>
          </w:p>
        </w:tc>
        <w:tc>
          <w:tcPr>
            <w:tcW w:w="2176" w:type="dxa"/>
          </w:tcPr>
          <w:p w14:paraId="0F2AC405" w14:textId="77777777" w:rsidR="000839A4" w:rsidRPr="000839A4" w:rsidRDefault="000839A4" w:rsidP="000839A4">
            <w:pPr>
              <w:tabs>
                <w:tab w:val="left" w:pos="357"/>
              </w:tabs>
              <w:jc w:val="center"/>
              <w:rPr>
                <w:strike/>
                <w:szCs w:val="24"/>
              </w:rPr>
            </w:pPr>
            <w:r w:rsidRPr="000839A4">
              <w:rPr>
                <w:strike/>
                <w:szCs w:val="24"/>
              </w:rPr>
              <w:t>35</w:t>
            </w:r>
          </w:p>
        </w:tc>
        <w:tc>
          <w:tcPr>
            <w:tcW w:w="2177" w:type="dxa"/>
          </w:tcPr>
          <w:p w14:paraId="76AEB8AC" w14:textId="77777777" w:rsidR="000839A4" w:rsidRPr="000839A4" w:rsidRDefault="000839A4" w:rsidP="000839A4">
            <w:pPr>
              <w:tabs>
                <w:tab w:val="left" w:pos="357"/>
              </w:tabs>
              <w:jc w:val="center"/>
              <w:rPr>
                <w:strike/>
                <w:szCs w:val="24"/>
              </w:rPr>
            </w:pPr>
            <w:r w:rsidRPr="000839A4">
              <w:rPr>
                <w:strike/>
                <w:szCs w:val="24"/>
              </w:rPr>
              <w:t>32,5</w:t>
            </w:r>
          </w:p>
        </w:tc>
        <w:tc>
          <w:tcPr>
            <w:tcW w:w="2177" w:type="dxa"/>
          </w:tcPr>
          <w:p w14:paraId="27EF9BEB" w14:textId="77777777" w:rsidR="000839A4" w:rsidRPr="000839A4" w:rsidRDefault="000839A4" w:rsidP="000839A4">
            <w:pPr>
              <w:tabs>
                <w:tab w:val="left" w:pos="357"/>
              </w:tabs>
              <w:jc w:val="center"/>
              <w:rPr>
                <w:strike/>
                <w:szCs w:val="24"/>
              </w:rPr>
            </w:pPr>
            <w:r w:rsidRPr="000839A4">
              <w:rPr>
                <w:strike/>
                <w:szCs w:val="24"/>
              </w:rPr>
              <w:t>33,3</w:t>
            </w:r>
          </w:p>
        </w:tc>
      </w:tr>
      <w:tr w:rsidR="000839A4" w:rsidRPr="000839A4" w14:paraId="29ABB16C" w14:textId="77777777" w:rsidTr="000839A4">
        <w:tc>
          <w:tcPr>
            <w:tcW w:w="2175" w:type="dxa"/>
          </w:tcPr>
          <w:p w14:paraId="7E4886D8" w14:textId="77777777" w:rsidR="000839A4" w:rsidRPr="000839A4" w:rsidRDefault="000839A4" w:rsidP="000839A4">
            <w:pPr>
              <w:tabs>
                <w:tab w:val="left" w:pos="357"/>
              </w:tabs>
              <w:jc w:val="center"/>
              <w:rPr>
                <w:strike/>
                <w:szCs w:val="24"/>
              </w:rPr>
            </w:pPr>
            <w:r w:rsidRPr="000839A4">
              <w:rPr>
                <w:strike/>
                <w:szCs w:val="24"/>
              </w:rPr>
              <w:t>2</w:t>
            </w:r>
          </w:p>
        </w:tc>
        <w:tc>
          <w:tcPr>
            <w:tcW w:w="2176" w:type="dxa"/>
          </w:tcPr>
          <w:p w14:paraId="3F6A1151" w14:textId="77777777" w:rsidR="000839A4" w:rsidRPr="000839A4" w:rsidRDefault="000839A4" w:rsidP="000839A4">
            <w:pPr>
              <w:tabs>
                <w:tab w:val="left" w:pos="357"/>
              </w:tabs>
              <w:jc w:val="center"/>
              <w:rPr>
                <w:strike/>
                <w:szCs w:val="24"/>
              </w:rPr>
            </w:pPr>
            <w:r w:rsidRPr="000839A4">
              <w:rPr>
                <w:strike/>
                <w:szCs w:val="24"/>
              </w:rPr>
              <w:t>26</w:t>
            </w:r>
          </w:p>
        </w:tc>
        <w:tc>
          <w:tcPr>
            <w:tcW w:w="2177" w:type="dxa"/>
          </w:tcPr>
          <w:p w14:paraId="63272C36" w14:textId="77777777" w:rsidR="000839A4" w:rsidRPr="000839A4" w:rsidRDefault="000839A4" w:rsidP="000839A4">
            <w:pPr>
              <w:tabs>
                <w:tab w:val="left" w:pos="357"/>
              </w:tabs>
              <w:jc w:val="center"/>
              <w:rPr>
                <w:strike/>
                <w:szCs w:val="24"/>
              </w:rPr>
            </w:pPr>
            <w:r w:rsidRPr="000839A4">
              <w:rPr>
                <w:strike/>
                <w:szCs w:val="24"/>
              </w:rPr>
              <w:t>18,5</w:t>
            </w:r>
          </w:p>
        </w:tc>
        <w:tc>
          <w:tcPr>
            <w:tcW w:w="2177" w:type="dxa"/>
          </w:tcPr>
          <w:p w14:paraId="70D80103" w14:textId="77777777" w:rsidR="000839A4" w:rsidRPr="000839A4" w:rsidRDefault="000839A4" w:rsidP="000839A4">
            <w:pPr>
              <w:tabs>
                <w:tab w:val="left" w:pos="357"/>
              </w:tabs>
              <w:jc w:val="center"/>
              <w:rPr>
                <w:strike/>
                <w:szCs w:val="24"/>
              </w:rPr>
            </w:pPr>
            <w:r w:rsidRPr="000839A4">
              <w:rPr>
                <w:strike/>
                <w:szCs w:val="24"/>
              </w:rPr>
              <w:t>20</w:t>
            </w:r>
          </w:p>
        </w:tc>
      </w:tr>
      <w:tr w:rsidR="000839A4" w:rsidRPr="000839A4" w14:paraId="3E6A085B" w14:textId="77777777" w:rsidTr="000839A4">
        <w:tc>
          <w:tcPr>
            <w:tcW w:w="2175" w:type="dxa"/>
          </w:tcPr>
          <w:p w14:paraId="3AC25447" w14:textId="77777777" w:rsidR="000839A4" w:rsidRPr="000839A4" w:rsidRDefault="000839A4" w:rsidP="000839A4">
            <w:pPr>
              <w:tabs>
                <w:tab w:val="left" w:pos="357"/>
              </w:tabs>
              <w:jc w:val="center"/>
              <w:rPr>
                <w:strike/>
                <w:szCs w:val="24"/>
              </w:rPr>
            </w:pPr>
            <w:r w:rsidRPr="000839A4">
              <w:rPr>
                <w:strike/>
                <w:szCs w:val="24"/>
              </w:rPr>
              <w:t>3</w:t>
            </w:r>
          </w:p>
        </w:tc>
        <w:tc>
          <w:tcPr>
            <w:tcW w:w="2176" w:type="dxa"/>
          </w:tcPr>
          <w:p w14:paraId="4C27EBAD" w14:textId="77777777" w:rsidR="000839A4" w:rsidRPr="000839A4" w:rsidRDefault="000839A4" w:rsidP="000839A4">
            <w:pPr>
              <w:tabs>
                <w:tab w:val="left" w:pos="357"/>
              </w:tabs>
              <w:jc w:val="center"/>
              <w:rPr>
                <w:strike/>
                <w:szCs w:val="24"/>
              </w:rPr>
            </w:pPr>
            <w:r w:rsidRPr="000839A4">
              <w:rPr>
                <w:strike/>
                <w:szCs w:val="24"/>
              </w:rPr>
              <w:t>19</w:t>
            </w:r>
          </w:p>
        </w:tc>
        <w:tc>
          <w:tcPr>
            <w:tcW w:w="2177" w:type="dxa"/>
          </w:tcPr>
          <w:p w14:paraId="32893B6B" w14:textId="77777777" w:rsidR="000839A4" w:rsidRPr="000839A4" w:rsidRDefault="000839A4" w:rsidP="000839A4">
            <w:pPr>
              <w:tabs>
                <w:tab w:val="left" w:pos="357"/>
              </w:tabs>
              <w:jc w:val="center"/>
              <w:rPr>
                <w:strike/>
                <w:szCs w:val="24"/>
              </w:rPr>
            </w:pPr>
            <w:r w:rsidRPr="000839A4">
              <w:rPr>
                <w:strike/>
                <w:szCs w:val="24"/>
              </w:rPr>
              <w:t>9</w:t>
            </w:r>
          </w:p>
        </w:tc>
        <w:tc>
          <w:tcPr>
            <w:tcW w:w="2177" w:type="dxa"/>
          </w:tcPr>
          <w:p w14:paraId="55B93D1B" w14:textId="77777777" w:rsidR="000839A4" w:rsidRPr="000839A4" w:rsidRDefault="000839A4" w:rsidP="000839A4">
            <w:pPr>
              <w:tabs>
                <w:tab w:val="left" w:pos="357"/>
              </w:tabs>
              <w:jc w:val="center"/>
              <w:rPr>
                <w:strike/>
                <w:szCs w:val="24"/>
              </w:rPr>
            </w:pPr>
            <w:r w:rsidRPr="000839A4">
              <w:rPr>
                <w:strike/>
                <w:szCs w:val="24"/>
              </w:rPr>
              <w:t>10,</w:t>
            </w:r>
          </w:p>
        </w:tc>
      </w:tr>
    </w:tbl>
    <w:p w14:paraId="04CF52D8" w14:textId="77777777" w:rsidR="000839A4" w:rsidRPr="000839A4" w:rsidRDefault="000839A4" w:rsidP="000839A4">
      <w:pPr>
        <w:tabs>
          <w:tab w:val="left" w:pos="357"/>
        </w:tabs>
        <w:spacing w:before="0"/>
        <w:ind w:left="357" w:hanging="357"/>
        <w:rPr>
          <w:strike/>
          <w:szCs w:val="24"/>
        </w:rPr>
      </w:pPr>
    </w:p>
    <w:p w14:paraId="20A9DC65" w14:textId="77777777" w:rsidR="000839A4" w:rsidRPr="000839A4" w:rsidRDefault="000839A4" w:rsidP="000839A4">
      <w:pPr>
        <w:tabs>
          <w:tab w:val="left" w:pos="357"/>
        </w:tabs>
        <w:spacing w:before="0"/>
        <w:ind w:left="357" w:hanging="357"/>
        <w:rPr>
          <w:strike/>
          <w:szCs w:val="24"/>
        </w:rPr>
      </w:pPr>
      <w:r w:rsidRPr="000839A4">
        <w:rPr>
          <w:strike/>
          <w:szCs w:val="24"/>
        </w:rPr>
        <w:t>d)</w:t>
      </w:r>
      <w:r w:rsidRPr="000839A4">
        <w:rPr>
          <w:strike/>
          <w:szCs w:val="24"/>
        </w:rPr>
        <w:tab/>
        <w:t xml:space="preserve">Roční odpisová sazba při zvýšení odpisu v prvním roce odpisování o 10 % </w:t>
      </w:r>
    </w:p>
    <w:tbl>
      <w:tblPr>
        <w:tblStyle w:val="Mkatabulky2"/>
        <w:tblW w:w="0" w:type="auto"/>
        <w:tblInd w:w="357" w:type="dxa"/>
        <w:tblLook w:val="04A0" w:firstRow="1" w:lastRow="0" w:firstColumn="1" w:lastColumn="0" w:noHBand="0" w:noVBand="1"/>
      </w:tblPr>
      <w:tblGrid>
        <w:gridCol w:w="2174"/>
        <w:gridCol w:w="2176"/>
        <w:gridCol w:w="2177"/>
        <w:gridCol w:w="2176"/>
      </w:tblGrid>
      <w:tr w:rsidR="000839A4" w:rsidRPr="000839A4" w14:paraId="7B03DD7B" w14:textId="77777777" w:rsidTr="000839A4">
        <w:tc>
          <w:tcPr>
            <w:tcW w:w="2175" w:type="dxa"/>
          </w:tcPr>
          <w:p w14:paraId="2F78E3D0" w14:textId="77777777" w:rsidR="000839A4" w:rsidRPr="000839A4" w:rsidRDefault="000839A4" w:rsidP="000839A4">
            <w:pPr>
              <w:tabs>
                <w:tab w:val="left" w:pos="357"/>
              </w:tabs>
              <w:jc w:val="center"/>
              <w:rPr>
                <w:strike/>
                <w:szCs w:val="24"/>
              </w:rPr>
            </w:pPr>
            <w:r w:rsidRPr="000839A4">
              <w:rPr>
                <w:strike/>
                <w:szCs w:val="24"/>
              </w:rPr>
              <w:t>Odpisová skupina</w:t>
            </w:r>
          </w:p>
        </w:tc>
        <w:tc>
          <w:tcPr>
            <w:tcW w:w="2176" w:type="dxa"/>
          </w:tcPr>
          <w:p w14:paraId="4BC8633A" w14:textId="77777777" w:rsidR="000839A4" w:rsidRPr="000839A4" w:rsidRDefault="000839A4" w:rsidP="000839A4">
            <w:pPr>
              <w:tabs>
                <w:tab w:val="left" w:pos="357"/>
              </w:tabs>
              <w:jc w:val="center"/>
              <w:rPr>
                <w:strike/>
                <w:szCs w:val="24"/>
              </w:rPr>
            </w:pPr>
            <w:r w:rsidRPr="000839A4">
              <w:rPr>
                <w:strike/>
                <w:szCs w:val="24"/>
              </w:rPr>
              <w:t>v prvním roce odpisování</w:t>
            </w:r>
          </w:p>
        </w:tc>
        <w:tc>
          <w:tcPr>
            <w:tcW w:w="2177" w:type="dxa"/>
          </w:tcPr>
          <w:p w14:paraId="6193788B" w14:textId="77777777" w:rsidR="000839A4" w:rsidRPr="000839A4" w:rsidRDefault="000839A4" w:rsidP="000839A4">
            <w:pPr>
              <w:tabs>
                <w:tab w:val="left" w:pos="357"/>
              </w:tabs>
              <w:jc w:val="center"/>
              <w:rPr>
                <w:strike/>
                <w:szCs w:val="24"/>
              </w:rPr>
            </w:pPr>
            <w:r w:rsidRPr="000839A4">
              <w:rPr>
                <w:strike/>
                <w:szCs w:val="24"/>
              </w:rPr>
              <w:t>v dalších letech odpisování</w:t>
            </w:r>
          </w:p>
        </w:tc>
        <w:tc>
          <w:tcPr>
            <w:tcW w:w="2177" w:type="dxa"/>
          </w:tcPr>
          <w:p w14:paraId="7184497B" w14:textId="77777777" w:rsidR="000839A4" w:rsidRPr="000839A4" w:rsidRDefault="000839A4" w:rsidP="000839A4">
            <w:pPr>
              <w:tabs>
                <w:tab w:val="left" w:pos="357"/>
              </w:tabs>
              <w:jc w:val="center"/>
              <w:rPr>
                <w:strike/>
                <w:szCs w:val="24"/>
              </w:rPr>
            </w:pPr>
            <w:r w:rsidRPr="000839A4">
              <w:rPr>
                <w:strike/>
                <w:szCs w:val="24"/>
              </w:rPr>
              <w:t>pro zvýšenou vstupní cenu</w:t>
            </w:r>
          </w:p>
        </w:tc>
      </w:tr>
      <w:tr w:rsidR="000839A4" w:rsidRPr="000839A4" w14:paraId="024B5D14" w14:textId="77777777" w:rsidTr="000839A4">
        <w:tc>
          <w:tcPr>
            <w:tcW w:w="2175" w:type="dxa"/>
          </w:tcPr>
          <w:p w14:paraId="5E54A3CE" w14:textId="77777777" w:rsidR="000839A4" w:rsidRPr="000839A4" w:rsidRDefault="000839A4" w:rsidP="000839A4">
            <w:pPr>
              <w:tabs>
                <w:tab w:val="left" w:pos="357"/>
              </w:tabs>
              <w:jc w:val="center"/>
              <w:rPr>
                <w:strike/>
                <w:szCs w:val="24"/>
              </w:rPr>
            </w:pPr>
            <w:r w:rsidRPr="000839A4">
              <w:rPr>
                <w:strike/>
                <w:szCs w:val="24"/>
              </w:rPr>
              <w:t>1</w:t>
            </w:r>
          </w:p>
        </w:tc>
        <w:tc>
          <w:tcPr>
            <w:tcW w:w="2176" w:type="dxa"/>
          </w:tcPr>
          <w:p w14:paraId="701CF3DE" w14:textId="77777777" w:rsidR="000839A4" w:rsidRPr="000839A4" w:rsidRDefault="000839A4" w:rsidP="000839A4">
            <w:pPr>
              <w:tabs>
                <w:tab w:val="left" w:pos="357"/>
              </w:tabs>
              <w:jc w:val="center"/>
              <w:rPr>
                <w:strike/>
                <w:szCs w:val="24"/>
              </w:rPr>
            </w:pPr>
            <w:r w:rsidRPr="000839A4">
              <w:rPr>
                <w:strike/>
                <w:szCs w:val="24"/>
              </w:rPr>
              <w:t>30</w:t>
            </w:r>
          </w:p>
        </w:tc>
        <w:tc>
          <w:tcPr>
            <w:tcW w:w="2177" w:type="dxa"/>
          </w:tcPr>
          <w:p w14:paraId="21C48A48" w14:textId="77777777" w:rsidR="000839A4" w:rsidRPr="000839A4" w:rsidRDefault="000839A4" w:rsidP="000839A4">
            <w:pPr>
              <w:tabs>
                <w:tab w:val="left" w:pos="357"/>
              </w:tabs>
              <w:jc w:val="center"/>
              <w:rPr>
                <w:strike/>
                <w:szCs w:val="24"/>
              </w:rPr>
            </w:pPr>
            <w:r w:rsidRPr="000839A4">
              <w:rPr>
                <w:strike/>
                <w:szCs w:val="24"/>
              </w:rPr>
              <w:t>35</w:t>
            </w:r>
          </w:p>
        </w:tc>
        <w:tc>
          <w:tcPr>
            <w:tcW w:w="2177" w:type="dxa"/>
          </w:tcPr>
          <w:p w14:paraId="0BF99EBD" w14:textId="77777777" w:rsidR="000839A4" w:rsidRPr="000839A4" w:rsidRDefault="000839A4" w:rsidP="000839A4">
            <w:pPr>
              <w:tabs>
                <w:tab w:val="left" w:pos="357"/>
              </w:tabs>
              <w:jc w:val="center"/>
              <w:rPr>
                <w:strike/>
                <w:szCs w:val="24"/>
              </w:rPr>
            </w:pPr>
            <w:r w:rsidRPr="000839A4">
              <w:rPr>
                <w:strike/>
                <w:szCs w:val="24"/>
              </w:rPr>
              <w:t>33,3</w:t>
            </w:r>
          </w:p>
        </w:tc>
      </w:tr>
      <w:tr w:rsidR="000839A4" w:rsidRPr="000839A4" w14:paraId="298939B9" w14:textId="77777777" w:rsidTr="000839A4">
        <w:tc>
          <w:tcPr>
            <w:tcW w:w="2175" w:type="dxa"/>
          </w:tcPr>
          <w:p w14:paraId="203E8662" w14:textId="77777777" w:rsidR="000839A4" w:rsidRPr="000839A4" w:rsidRDefault="000839A4" w:rsidP="000839A4">
            <w:pPr>
              <w:tabs>
                <w:tab w:val="left" w:pos="357"/>
              </w:tabs>
              <w:jc w:val="center"/>
              <w:rPr>
                <w:strike/>
                <w:szCs w:val="24"/>
              </w:rPr>
            </w:pPr>
            <w:r w:rsidRPr="000839A4">
              <w:rPr>
                <w:strike/>
                <w:szCs w:val="24"/>
              </w:rPr>
              <w:t>2</w:t>
            </w:r>
          </w:p>
        </w:tc>
        <w:tc>
          <w:tcPr>
            <w:tcW w:w="2176" w:type="dxa"/>
          </w:tcPr>
          <w:p w14:paraId="19B62756" w14:textId="77777777" w:rsidR="000839A4" w:rsidRPr="000839A4" w:rsidRDefault="000839A4" w:rsidP="000839A4">
            <w:pPr>
              <w:tabs>
                <w:tab w:val="left" w:pos="357"/>
              </w:tabs>
              <w:jc w:val="center"/>
              <w:rPr>
                <w:strike/>
                <w:szCs w:val="24"/>
              </w:rPr>
            </w:pPr>
            <w:r w:rsidRPr="000839A4">
              <w:rPr>
                <w:strike/>
                <w:szCs w:val="24"/>
              </w:rPr>
              <w:t>21</w:t>
            </w:r>
          </w:p>
        </w:tc>
        <w:tc>
          <w:tcPr>
            <w:tcW w:w="2177" w:type="dxa"/>
          </w:tcPr>
          <w:p w14:paraId="7C0FCE87" w14:textId="77777777" w:rsidR="000839A4" w:rsidRPr="000839A4" w:rsidRDefault="000839A4" w:rsidP="000839A4">
            <w:pPr>
              <w:tabs>
                <w:tab w:val="left" w:pos="357"/>
              </w:tabs>
              <w:jc w:val="center"/>
              <w:rPr>
                <w:strike/>
                <w:szCs w:val="24"/>
              </w:rPr>
            </w:pPr>
            <w:r w:rsidRPr="000839A4">
              <w:rPr>
                <w:strike/>
                <w:szCs w:val="24"/>
              </w:rPr>
              <w:t>19,75</w:t>
            </w:r>
          </w:p>
        </w:tc>
        <w:tc>
          <w:tcPr>
            <w:tcW w:w="2177" w:type="dxa"/>
          </w:tcPr>
          <w:p w14:paraId="05730B68" w14:textId="77777777" w:rsidR="000839A4" w:rsidRPr="000839A4" w:rsidRDefault="000839A4" w:rsidP="000839A4">
            <w:pPr>
              <w:tabs>
                <w:tab w:val="left" w:pos="357"/>
              </w:tabs>
              <w:jc w:val="center"/>
              <w:rPr>
                <w:strike/>
                <w:szCs w:val="24"/>
              </w:rPr>
            </w:pPr>
            <w:r w:rsidRPr="000839A4">
              <w:rPr>
                <w:strike/>
                <w:szCs w:val="24"/>
              </w:rPr>
              <w:t>20</w:t>
            </w:r>
          </w:p>
        </w:tc>
      </w:tr>
      <w:tr w:rsidR="000839A4" w:rsidRPr="000839A4" w14:paraId="23E75E00" w14:textId="77777777" w:rsidTr="000839A4">
        <w:tc>
          <w:tcPr>
            <w:tcW w:w="2175" w:type="dxa"/>
          </w:tcPr>
          <w:p w14:paraId="107836BE" w14:textId="77777777" w:rsidR="000839A4" w:rsidRPr="000839A4" w:rsidRDefault="000839A4" w:rsidP="000839A4">
            <w:pPr>
              <w:tabs>
                <w:tab w:val="left" w:pos="357"/>
              </w:tabs>
              <w:jc w:val="center"/>
              <w:rPr>
                <w:strike/>
                <w:szCs w:val="24"/>
              </w:rPr>
            </w:pPr>
            <w:r w:rsidRPr="000839A4">
              <w:rPr>
                <w:strike/>
                <w:szCs w:val="24"/>
              </w:rPr>
              <w:t>3</w:t>
            </w:r>
          </w:p>
        </w:tc>
        <w:tc>
          <w:tcPr>
            <w:tcW w:w="2176" w:type="dxa"/>
          </w:tcPr>
          <w:p w14:paraId="6ED8C3E7" w14:textId="77777777" w:rsidR="000839A4" w:rsidRPr="000839A4" w:rsidRDefault="000839A4" w:rsidP="000839A4">
            <w:pPr>
              <w:tabs>
                <w:tab w:val="left" w:pos="357"/>
              </w:tabs>
              <w:jc w:val="center"/>
              <w:rPr>
                <w:strike/>
                <w:szCs w:val="24"/>
              </w:rPr>
            </w:pPr>
            <w:r w:rsidRPr="000839A4">
              <w:rPr>
                <w:strike/>
                <w:szCs w:val="24"/>
              </w:rPr>
              <w:t>15,4</w:t>
            </w:r>
          </w:p>
        </w:tc>
        <w:tc>
          <w:tcPr>
            <w:tcW w:w="2177" w:type="dxa"/>
          </w:tcPr>
          <w:p w14:paraId="0CE06D8E" w14:textId="77777777" w:rsidR="000839A4" w:rsidRPr="000839A4" w:rsidRDefault="000839A4" w:rsidP="000839A4">
            <w:pPr>
              <w:tabs>
                <w:tab w:val="left" w:pos="357"/>
              </w:tabs>
              <w:jc w:val="center"/>
              <w:rPr>
                <w:strike/>
                <w:szCs w:val="24"/>
              </w:rPr>
            </w:pPr>
            <w:r w:rsidRPr="000839A4">
              <w:rPr>
                <w:strike/>
                <w:szCs w:val="24"/>
              </w:rPr>
              <w:t>9,4</w:t>
            </w:r>
          </w:p>
        </w:tc>
        <w:tc>
          <w:tcPr>
            <w:tcW w:w="2177" w:type="dxa"/>
          </w:tcPr>
          <w:p w14:paraId="18D7A526" w14:textId="77777777" w:rsidR="000839A4" w:rsidRPr="000839A4" w:rsidRDefault="000839A4" w:rsidP="000839A4">
            <w:pPr>
              <w:tabs>
                <w:tab w:val="left" w:pos="357"/>
              </w:tabs>
              <w:jc w:val="center"/>
              <w:rPr>
                <w:strike/>
                <w:szCs w:val="24"/>
              </w:rPr>
            </w:pPr>
            <w:r w:rsidRPr="000839A4">
              <w:rPr>
                <w:strike/>
                <w:szCs w:val="24"/>
              </w:rPr>
              <w:t>10.</w:t>
            </w:r>
          </w:p>
        </w:tc>
      </w:tr>
    </w:tbl>
    <w:p w14:paraId="7E0DEC81" w14:textId="77777777" w:rsidR="000839A4" w:rsidRPr="000839A4" w:rsidRDefault="000839A4" w:rsidP="000839A4">
      <w:pPr>
        <w:tabs>
          <w:tab w:val="left" w:pos="357"/>
        </w:tabs>
        <w:spacing w:before="0"/>
        <w:ind w:left="357" w:hanging="357"/>
        <w:rPr>
          <w:strike/>
          <w:szCs w:val="24"/>
        </w:rPr>
      </w:pPr>
    </w:p>
    <w:p w14:paraId="77370E24" w14:textId="77777777" w:rsidR="000839A4" w:rsidRPr="000839A4" w:rsidRDefault="000839A4" w:rsidP="000839A4">
      <w:pPr>
        <w:spacing w:before="120" w:after="120"/>
        <w:rPr>
          <w:strike/>
          <w:szCs w:val="24"/>
        </w:rPr>
      </w:pPr>
      <w:r w:rsidRPr="000839A4">
        <w:rPr>
          <w:strike/>
          <w:szCs w:val="24"/>
        </w:rPr>
        <w:t xml:space="preserve">(2) Roční odpisovou sazbu uvedenou v odstavci 1 písm. b) může použít poplatník s převážně zemědělskou a lesní </w:t>
      </w:r>
      <w:proofErr w:type="gramStart"/>
      <w:r w:rsidRPr="000839A4">
        <w:rPr>
          <w:strike/>
          <w:szCs w:val="24"/>
        </w:rPr>
        <w:t>výrobou,</w:t>
      </w:r>
      <w:r w:rsidRPr="000839A4">
        <w:rPr>
          <w:strike/>
          <w:szCs w:val="24"/>
          <w:vertAlign w:val="superscript"/>
        </w:rPr>
        <w:footnoteReference w:customMarkFollows="1" w:id="179"/>
        <w:t>7)</w:t>
      </w:r>
      <w:r w:rsidRPr="000839A4">
        <w:rPr>
          <w:strike/>
          <w:szCs w:val="24"/>
        </w:rPr>
        <w:t xml:space="preserve"> který</w:t>
      </w:r>
      <w:proofErr w:type="gramEnd"/>
      <w:r w:rsidRPr="000839A4">
        <w:rPr>
          <w:strike/>
          <w:szCs w:val="24"/>
        </w:rPr>
        <w:t xml:space="preserve"> je prvním </w:t>
      </w:r>
      <w:proofErr w:type="spellStart"/>
      <w:r w:rsidRPr="000839A4">
        <w:rPr>
          <w:strike/>
          <w:szCs w:val="24"/>
        </w:rPr>
        <w:t>odpisovatelem</w:t>
      </w:r>
      <w:proofErr w:type="spellEnd"/>
      <w:r w:rsidRPr="000839A4">
        <w:rPr>
          <w:strike/>
          <w:szCs w:val="24"/>
        </w:rPr>
        <w:t xml:space="preserve"> stroje pro zemědělství a lesnictví, v klasifikaci produkce CZ-CPA označeného kódem 28.3. Za poplatníka s převážně zemědělskou a lesní výrobou se pro účely tohoto zákona považuje poplatník, u něhož příjmy z této činnosti činily v předcházejícím zdaňovacím období více než 50 % z celkových příjmů; přitom u poplatníka, jemuž vznikla daňová povinnost v průběhu zdaňovacího období, je rozhodný poměr skutečně dosažených příjmů. </w:t>
      </w:r>
    </w:p>
    <w:p w14:paraId="16266FE5" w14:textId="77777777" w:rsidR="000839A4" w:rsidRPr="000839A4" w:rsidRDefault="000839A4" w:rsidP="000839A4">
      <w:pPr>
        <w:spacing w:before="120" w:after="120"/>
        <w:rPr>
          <w:strike/>
          <w:szCs w:val="24"/>
        </w:rPr>
      </w:pPr>
      <w:r w:rsidRPr="000839A4">
        <w:rPr>
          <w:strike/>
          <w:szCs w:val="24"/>
        </w:rPr>
        <w:t xml:space="preserve">(3) Roční odpisovou sazbu uvedenou v odstavci 1 písm. c) může použít poplatník, který je prvním </w:t>
      </w:r>
      <w:proofErr w:type="spellStart"/>
      <w:r w:rsidRPr="000839A4">
        <w:rPr>
          <w:strike/>
          <w:szCs w:val="24"/>
        </w:rPr>
        <w:t>odpisovatelem</w:t>
      </w:r>
      <w:proofErr w:type="spellEnd"/>
      <w:r w:rsidRPr="000839A4">
        <w:rPr>
          <w:strike/>
          <w:szCs w:val="24"/>
        </w:rPr>
        <w:t xml:space="preserve"> zařízení pro čištění a úpravu vod v klasifikaci produkce CZ-CPA označeného kódem 28.29.12 využívaného ve stavbách zařazených podle Klasifikace stavebních děl CZ-CC vydané Českým statistickým úřadem</w:t>
      </w:r>
      <w:r w:rsidRPr="000839A4">
        <w:rPr>
          <w:strike/>
          <w:szCs w:val="24"/>
          <w:vertAlign w:val="superscript"/>
        </w:rPr>
        <w:t>99)</w:t>
      </w:r>
      <w:r w:rsidRPr="000839A4">
        <w:rPr>
          <w:strike/>
          <w:szCs w:val="24"/>
        </w:rPr>
        <w:t xml:space="preserve"> do podtřídy 125113, pro třídicí a úpravárenské zařízení na zhodnocení druhotných surovin zahrnutých v oddílu 28, pomocí něhož jsou zpracovány druhotné suroviny specifikované ve třídě CZ-CPA 38.32. </w:t>
      </w:r>
    </w:p>
    <w:p w14:paraId="5B9F5E8F" w14:textId="77777777" w:rsidR="000839A4" w:rsidRPr="000839A4" w:rsidRDefault="000839A4" w:rsidP="000839A4">
      <w:pPr>
        <w:spacing w:before="120" w:after="120"/>
        <w:rPr>
          <w:strike/>
          <w:szCs w:val="24"/>
        </w:rPr>
      </w:pPr>
      <w:r w:rsidRPr="000839A4">
        <w:rPr>
          <w:strike/>
          <w:szCs w:val="24"/>
        </w:rPr>
        <w:t xml:space="preserve">(4) Roční odpisovou sazbu uvedenou v odstavci 1 písm. d) může použít poplatník, který je prvním </w:t>
      </w:r>
      <w:proofErr w:type="spellStart"/>
      <w:r w:rsidRPr="000839A4">
        <w:rPr>
          <w:strike/>
          <w:szCs w:val="24"/>
        </w:rPr>
        <w:t>odpisovatelem</w:t>
      </w:r>
      <w:proofErr w:type="spellEnd"/>
      <w:r w:rsidRPr="000839A4">
        <w:rPr>
          <w:strike/>
          <w:szCs w:val="24"/>
        </w:rPr>
        <w:t xml:space="preserve"> hmotného majetku zatříděného podle tohoto zákona v odpisových skupinách 1 až 3 s výjimkou hmotného majetku uvedeného v odstavcích 2, 3 a 5. </w:t>
      </w:r>
    </w:p>
    <w:p w14:paraId="0BFB80E6" w14:textId="77777777" w:rsidR="000839A4" w:rsidRPr="000839A4" w:rsidRDefault="000839A4" w:rsidP="000839A4">
      <w:pPr>
        <w:spacing w:before="120" w:after="120"/>
        <w:rPr>
          <w:strike/>
          <w:szCs w:val="24"/>
        </w:rPr>
      </w:pPr>
      <w:r w:rsidRPr="000839A4">
        <w:rPr>
          <w:strike/>
          <w:szCs w:val="24"/>
        </w:rPr>
        <w:t xml:space="preserve">(5) Roční odpisovou sazbu podle odstavce 1 písm. b) až d) nelze uplatnit u letadel, pokud nejsou využívána provozovateli letecké dopravy a leteckých prací na základě vydané koncese a provozovateli leteckých škol, u motocyklů a osobních automobilů, pokud nejsou využívány provozovateli silniční motorové dopravy a provozovateli taxislužby na základě vydané koncese a provozovateli autoškol nebo pokud se nejedná o osobní automobily v provedení speciální vozidlo podskupiny sanitní a pohřební podle zvláštního právního </w:t>
      </w:r>
      <w:proofErr w:type="gramStart"/>
      <w:r w:rsidRPr="000839A4">
        <w:rPr>
          <w:strike/>
          <w:szCs w:val="24"/>
        </w:rPr>
        <w:t>předpisu,</w:t>
      </w:r>
      <w:r w:rsidRPr="000839A4">
        <w:rPr>
          <w:strike/>
          <w:szCs w:val="24"/>
          <w:vertAlign w:val="superscript"/>
        </w:rPr>
        <w:footnoteReference w:customMarkFollows="1" w:id="180"/>
        <w:t>78</w:t>
      </w:r>
      <w:proofErr w:type="gramEnd"/>
      <w:r w:rsidRPr="000839A4">
        <w:rPr>
          <w:strike/>
          <w:szCs w:val="24"/>
          <w:vertAlign w:val="superscript"/>
        </w:rPr>
        <w:t>)</w:t>
      </w:r>
      <w:r w:rsidRPr="000839A4">
        <w:rPr>
          <w:strike/>
          <w:szCs w:val="24"/>
        </w:rPr>
        <w:t xml:space="preserve"> hmotného majetku v klasifikaci produkce CZ-CPA označeného kódem 27.5 (spotřebiče převážně pro domácnost) a kódem 30.12 (rekreační a sportovní čluny). </w:t>
      </w:r>
    </w:p>
    <w:p w14:paraId="4A8CAF14" w14:textId="77777777" w:rsidR="000839A4" w:rsidRPr="000839A4" w:rsidRDefault="000839A4" w:rsidP="000839A4">
      <w:pPr>
        <w:spacing w:before="120" w:after="120"/>
        <w:rPr>
          <w:strike/>
          <w:szCs w:val="24"/>
        </w:rPr>
      </w:pPr>
      <w:r w:rsidRPr="000839A4">
        <w:rPr>
          <w:strike/>
          <w:szCs w:val="24"/>
        </w:rPr>
        <w:t xml:space="preserve">(6) Za prvního </w:t>
      </w:r>
      <w:proofErr w:type="spellStart"/>
      <w:r w:rsidRPr="000839A4">
        <w:rPr>
          <w:strike/>
          <w:szCs w:val="24"/>
        </w:rPr>
        <w:t>odpisovatele</w:t>
      </w:r>
      <w:proofErr w:type="spellEnd"/>
      <w:r w:rsidRPr="000839A4">
        <w:rPr>
          <w:strike/>
          <w:szCs w:val="24"/>
        </w:rPr>
        <w:t xml:space="preserve"> hmotného movitého majetku se pro účely tohoto zákona považuje poplatník, který si jako první pořídil nový hmotný movitý majetek, který dosud nebyl užíván k určenému účelu a u předchozího </w:t>
      </w:r>
      <w:proofErr w:type="spellStart"/>
      <w:r w:rsidRPr="000839A4">
        <w:rPr>
          <w:strike/>
          <w:szCs w:val="24"/>
        </w:rPr>
        <w:t>odpisovatele</w:t>
      </w:r>
      <w:proofErr w:type="spellEnd"/>
      <w:r w:rsidRPr="000839A4">
        <w:rPr>
          <w:strike/>
          <w:szCs w:val="24"/>
        </w:rPr>
        <w:t xml:space="preserve"> byl zbožím. Za prvního </w:t>
      </w:r>
      <w:proofErr w:type="spellStart"/>
      <w:r w:rsidRPr="000839A4">
        <w:rPr>
          <w:strike/>
          <w:szCs w:val="24"/>
        </w:rPr>
        <w:t>odpisovatele</w:t>
      </w:r>
      <w:proofErr w:type="spellEnd"/>
      <w:r w:rsidRPr="000839A4">
        <w:rPr>
          <w:strike/>
          <w:szCs w:val="24"/>
        </w:rPr>
        <w:t xml:space="preserve"> hmotného movitého majetku se považuje i poplatník, který tento majetek pořídil nebo vyrobil ve vlastní režii. </w:t>
      </w:r>
    </w:p>
    <w:p w14:paraId="12255C99" w14:textId="77777777" w:rsidR="000839A4" w:rsidRPr="000839A4" w:rsidRDefault="000839A4" w:rsidP="000839A4">
      <w:pPr>
        <w:spacing w:before="120" w:after="120"/>
        <w:rPr>
          <w:strike/>
          <w:szCs w:val="24"/>
        </w:rPr>
      </w:pPr>
      <w:r w:rsidRPr="000839A4">
        <w:rPr>
          <w:strike/>
          <w:szCs w:val="24"/>
        </w:rPr>
        <w:t xml:space="preserve">(7) Při rovnoměrném odpisování se stanoví odpisy hmotného majetku za dané zdaňovací období ve výši jedné setiny součinu jeho vstupní ceny a přiřazené roční odpisové sazby. </w:t>
      </w:r>
      <w:r w:rsidRPr="000839A4">
        <w:rPr>
          <w:strike/>
          <w:szCs w:val="24"/>
        </w:rPr>
        <w:lastRenderedPageBreak/>
        <w:t xml:space="preserve">Poplatník může na základě svého rozhodnutí použít i sazby nižší než maximální sazby uvedené v odstavci 1. Sazby nižší než maximální sazby uvedené v odstavci 1 nemůže použít poplatník uvedený v § 2, který uplatňuje výdaje podle § 7 odst. 7 nebo § 9 odst. 4 a je povinen vést odpisy pouze evidenčně podle § 26 odst. 8 anebo používá hmotný majetek pouze zčásti k zajištění zdanitelného příjmu a do výdajů k zajištění zdanitelného příjmu zahrnuje poměrnou část odpisů podle § 28 odst. 6. </w:t>
      </w:r>
    </w:p>
    <w:p w14:paraId="3E5E1440" w14:textId="77777777" w:rsidR="000839A4" w:rsidRPr="000839A4" w:rsidRDefault="000839A4" w:rsidP="000839A4">
      <w:pPr>
        <w:spacing w:before="120" w:after="120"/>
        <w:rPr>
          <w:strike/>
          <w:szCs w:val="24"/>
        </w:rPr>
      </w:pPr>
      <w:r w:rsidRPr="000839A4">
        <w:rPr>
          <w:strike/>
          <w:szCs w:val="24"/>
        </w:rPr>
        <w:t xml:space="preserve">(8) Při rovnoměrném odpisování ze zvýšené vstupní ceny hmotného majetku se stanoví odpisy tohoto majetku za dané zdaňovací období ve výši jedné setiny součinu jeho zvýšené vstupní ceny a přiřazené roční odpisové sazby platné pro zvýšenou vstupní cenu. </w:t>
      </w:r>
    </w:p>
    <w:p w14:paraId="3A3BBDB5" w14:textId="77777777" w:rsidR="000839A4" w:rsidRPr="000839A4" w:rsidRDefault="000839A4" w:rsidP="000839A4">
      <w:pPr>
        <w:spacing w:before="120" w:after="120"/>
        <w:rPr>
          <w:strike/>
          <w:szCs w:val="24"/>
        </w:rPr>
      </w:pPr>
      <w:r w:rsidRPr="000839A4">
        <w:rPr>
          <w:strike/>
          <w:szCs w:val="24"/>
        </w:rPr>
        <w:t xml:space="preserve">(9) Odpisy stanovené podle odstavců 7 a 8 se zaokrouhlují na celé koruny nahoru. </w:t>
      </w:r>
    </w:p>
    <w:p w14:paraId="20E99628" w14:textId="77777777" w:rsidR="000839A4" w:rsidRPr="000839A4" w:rsidRDefault="000839A4" w:rsidP="000839A4">
      <w:pPr>
        <w:keepNext/>
        <w:ind w:firstLine="0"/>
        <w:jc w:val="center"/>
        <w:rPr>
          <w:strike/>
          <w:szCs w:val="24"/>
        </w:rPr>
      </w:pPr>
      <w:r w:rsidRPr="000839A4">
        <w:rPr>
          <w:strike/>
          <w:szCs w:val="24"/>
        </w:rPr>
        <w:t>§ 32</w:t>
      </w:r>
    </w:p>
    <w:p w14:paraId="3C32485C" w14:textId="77777777" w:rsidR="000839A4" w:rsidRPr="000839A4" w:rsidRDefault="000839A4" w:rsidP="000839A4">
      <w:pPr>
        <w:spacing w:before="120" w:after="120"/>
        <w:rPr>
          <w:strike/>
          <w:szCs w:val="24"/>
        </w:rPr>
      </w:pPr>
      <w:r w:rsidRPr="000839A4">
        <w:rPr>
          <w:strike/>
          <w:szCs w:val="24"/>
        </w:rPr>
        <w:t xml:space="preserve">(1) Při zrychleném odpisování hmotného majetku jsou odpisovým skupinám přiřazeny tyto koeficienty pro zrychlené odpisování: </w:t>
      </w:r>
    </w:p>
    <w:tbl>
      <w:tblPr>
        <w:tblStyle w:val="Mkatabulky2"/>
        <w:tblW w:w="0" w:type="auto"/>
        <w:tblLook w:val="04A0" w:firstRow="1" w:lastRow="0" w:firstColumn="1" w:lastColumn="0" w:noHBand="0" w:noVBand="1"/>
      </w:tblPr>
      <w:tblGrid>
        <w:gridCol w:w="2263"/>
        <w:gridCol w:w="2265"/>
        <w:gridCol w:w="2266"/>
        <w:gridCol w:w="2266"/>
      </w:tblGrid>
      <w:tr w:rsidR="000839A4" w:rsidRPr="000839A4" w14:paraId="019026EA" w14:textId="77777777" w:rsidTr="000839A4">
        <w:tc>
          <w:tcPr>
            <w:tcW w:w="9062" w:type="dxa"/>
            <w:gridSpan w:val="4"/>
          </w:tcPr>
          <w:p w14:paraId="700EC45D" w14:textId="77777777" w:rsidR="000839A4" w:rsidRPr="000839A4" w:rsidRDefault="000839A4" w:rsidP="000839A4">
            <w:pPr>
              <w:spacing w:before="120"/>
              <w:jc w:val="center"/>
              <w:rPr>
                <w:strike/>
                <w:szCs w:val="24"/>
              </w:rPr>
            </w:pPr>
            <w:r w:rsidRPr="000839A4">
              <w:rPr>
                <w:strike/>
                <w:szCs w:val="24"/>
              </w:rPr>
              <w:t>Koeficient pro zrychlené odpisování</w:t>
            </w:r>
          </w:p>
        </w:tc>
      </w:tr>
      <w:tr w:rsidR="000839A4" w:rsidRPr="000839A4" w14:paraId="113F7080" w14:textId="77777777" w:rsidTr="000839A4">
        <w:tc>
          <w:tcPr>
            <w:tcW w:w="2265" w:type="dxa"/>
          </w:tcPr>
          <w:p w14:paraId="12318DB1" w14:textId="77777777" w:rsidR="000839A4" w:rsidRPr="000839A4" w:rsidRDefault="000839A4" w:rsidP="000839A4">
            <w:pPr>
              <w:spacing w:before="120"/>
              <w:jc w:val="center"/>
              <w:rPr>
                <w:strike/>
                <w:szCs w:val="24"/>
              </w:rPr>
            </w:pPr>
            <w:r w:rsidRPr="000839A4">
              <w:rPr>
                <w:strike/>
                <w:szCs w:val="24"/>
              </w:rPr>
              <w:t>Odpisová skupina</w:t>
            </w:r>
          </w:p>
        </w:tc>
        <w:tc>
          <w:tcPr>
            <w:tcW w:w="2265" w:type="dxa"/>
          </w:tcPr>
          <w:p w14:paraId="12157900" w14:textId="77777777" w:rsidR="000839A4" w:rsidRPr="000839A4" w:rsidRDefault="000839A4" w:rsidP="000839A4">
            <w:pPr>
              <w:spacing w:before="120"/>
              <w:jc w:val="center"/>
              <w:rPr>
                <w:strike/>
                <w:szCs w:val="24"/>
              </w:rPr>
            </w:pPr>
            <w:r w:rsidRPr="000839A4">
              <w:rPr>
                <w:strike/>
                <w:szCs w:val="24"/>
              </w:rPr>
              <w:t>v prvním roce odpisování</w:t>
            </w:r>
          </w:p>
        </w:tc>
        <w:tc>
          <w:tcPr>
            <w:tcW w:w="2266" w:type="dxa"/>
          </w:tcPr>
          <w:p w14:paraId="5CCFAEBB" w14:textId="77777777" w:rsidR="000839A4" w:rsidRPr="000839A4" w:rsidRDefault="000839A4" w:rsidP="000839A4">
            <w:pPr>
              <w:spacing w:before="120"/>
              <w:jc w:val="center"/>
              <w:rPr>
                <w:strike/>
                <w:szCs w:val="24"/>
              </w:rPr>
            </w:pPr>
            <w:r w:rsidRPr="000839A4">
              <w:rPr>
                <w:strike/>
                <w:szCs w:val="24"/>
              </w:rPr>
              <w:t>v dalších letech odpisování</w:t>
            </w:r>
          </w:p>
        </w:tc>
        <w:tc>
          <w:tcPr>
            <w:tcW w:w="2266" w:type="dxa"/>
          </w:tcPr>
          <w:p w14:paraId="266F2732" w14:textId="77777777" w:rsidR="000839A4" w:rsidRPr="000839A4" w:rsidRDefault="000839A4" w:rsidP="000839A4">
            <w:pPr>
              <w:spacing w:before="120"/>
              <w:jc w:val="center"/>
              <w:rPr>
                <w:strike/>
                <w:szCs w:val="24"/>
              </w:rPr>
            </w:pPr>
            <w:r w:rsidRPr="000839A4">
              <w:rPr>
                <w:strike/>
                <w:szCs w:val="24"/>
              </w:rPr>
              <w:t>pro zvýšenou zůstatkovou cenu</w:t>
            </w:r>
          </w:p>
        </w:tc>
      </w:tr>
      <w:tr w:rsidR="000839A4" w:rsidRPr="000839A4" w14:paraId="6A606B0A" w14:textId="77777777" w:rsidTr="000839A4">
        <w:tc>
          <w:tcPr>
            <w:tcW w:w="2265" w:type="dxa"/>
          </w:tcPr>
          <w:p w14:paraId="49CB8EFA" w14:textId="77777777" w:rsidR="000839A4" w:rsidRPr="000839A4" w:rsidRDefault="000839A4" w:rsidP="000839A4">
            <w:pPr>
              <w:spacing w:before="120"/>
              <w:jc w:val="center"/>
              <w:rPr>
                <w:strike/>
                <w:szCs w:val="24"/>
              </w:rPr>
            </w:pPr>
            <w:r w:rsidRPr="000839A4">
              <w:rPr>
                <w:strike/>
                <w:szCs w:val="24"/>
              </w:rPr>
              <w:t>1</w:t>
            </w:r>
          </w:p>
        </w:tc>
        <w:tc>
          <w:tcPr>
            <w:tcW w:w="2265" w:type="dxa"/>
          </w:tcPr>
          <w:p w14:paraId="2138FAAB" w14:textId="77777777" w:rsidR="000839A4" w:rsidRPr="000839A4" w:rsidRDefault="000839A4" w:rsidP="000839A4">
            <w:pPr>
              <w:spacing w:before="120"/>
              <w:jc w:val="center"/>
              <w:rPr>
                <w:strike/>
                <w:szCs w:val="24"/>
              </w:rPr>
            </w:pPr>
            <w:r w:rsidRPr="000839A4">
              <w:rPr>
                <w:strike/>
                <w:szCs w:val="24"/>
              </w:rPr>
              <w:t>3</w:t>
            </w:r>
          </w:p>
        </w:tc>
        <w:tc>
          <w:tcPr>
            <w:tcW w:w="2266" w:type="dxa"/>
          </w:tcPr>
          <w:p w14:paraId="21F5308A" w14:textId="77777777" w:rsidR="000839A4" w:rsidRPr="000839A4" w:rsidRDefault="000839A4" w:rsidP="000839A4">
            <w:pPr>
              <w:spacing w:before="120"/>
              <w:jc w:val="center"/>
              <w:rPr>
                <w:strike/>
                <w:szCs w:val="24"/>
              </w:rPr>
            </w:pPr>
            <w:r w:rsidRPr="000839A4">
              <w:rPr>
                <w:strike/>
                <w:szCs w:val="24"/>
              </w:rPr>
              <w:t>4</w:t>
            </w:r>
          </w:p>
        </w:tc>
        <w:tc>
          <w:tcPr>
            <w:tcW w:w="2266" w:type="dxa"/>
          </w:tcPr>
          <w:p w14:paraId="5653DD5F" w14:textId="77777777" w:rsidR="000839A4" w:rsidRPr="000839A4" w:rsidRDefault="000839A4" w:rsidP="000839A4">
            <w:pPr>
              <w:spacing w:before="120"/>
              <w:jc w:val="center"/>
              <w:rPr>
                <w:strike/>
                <w:szCs w:val="24"/>
              </w:rPr>
            </w:pPr>
            <w:r w:rsidRPr="000839A4">
              <w:rPr>
                <w:strike/>
                <w:szCs w:val="24"/>
              </w:rPr>
              <w:t>3</w:t>
            </w:r>
          </w:p>
        </w:tc>
      </w:tr>
      <w:tr w:rsidR="000839A4" w:rsidRPr="000839A4" w14:paraId="661718BA" w14:textId="77777777" w:rsidTr="000839A4">
        <w:tc>
          <w:tcPr>
            <w:tcW w:w="2265" w:type="dxa"/>
          </w:tcPr>
          <w:p w14:paraId="0FF73D32" w14:textId="77777777" w:rsidR="000839A4" w:rsidRPr="000839A4" w:rsidRDefault="000839A4" w:rsidP="000839A4">
            <w:pPr>
              <w:spacing w:before="120"/>
              <w:jc w:val="center"/>
              <w:rPr>
                <w:strike/>
                <w:szCs w:val="24"/>
              </w:rPr>
            </w:pPr>
            <w:r w:rsidRPr="000839A4">
              <w:rPr>
                <w:strike/>
                <w:szCs w:val="24"/>
              </w:rPr>
              <w:t>2</w:t>
            </w:r>
          </w:p>
        </w:tc>
        <w:tc>
          <w:tcPr>
            <w:tcW w:w="2265" w:type="dxa"/>
          </w:tcPr>
          <w:p w14:paraId="1AF3637C" w14:textId="77777777" w:rsidR="000839A4" w:rsidRPr="000839A4" w:rsidRDefault="000839A4" w:rsidP="000839A4">
            <w:pPr>
              <w:spacing w:before="120"/>
              <w:jc w:val="center"/>
              <w:rPr>
                <w:strike/>
                <w:szCs w:val="24"/>
              </w:rPr>
            </w:pPr>
            <w:r w:rsidRPr="000839A4">
              <w:rPr>
                <w:strike/>
                <w:szCs w:val="24"/>
              </w:rPr>
              <w:t>5</w:t>
            </w:r>
          </w:p>
        </w:tc>
        <w:tc>
          <w:tcPr>
            <w:tcW w:w="2266" w:type="dxa"/>
          </w:tcPr>
          <w:p w14:paraId="063C47FE" w14:textId="77777777" w:rsidR="000839A4" w:rsidRPr="000839A4" w:rsidRDefault="000839A4" w:rsidP="000839A4">
            <w:pPr>
              <w:spacing w:before="120"/>
              <w:jc w:val="center"/>
              <w:rPr>
                <w:strike/>
                <w:szCs w:val="24"/>
              </w:rPr>
            </w:pPr>
            <w:r w:rsidRPr="000839A4">
              <w:rPr>
                <w:strike/>
                <w:szCs w:val="24"/>
              </w:rPr>
              <w:t>6</w:t>
            </w:r>
          </w:p>
        </w:tc>
        <w:tc>
          <w:tcPr>
            <w:tcW w:w="2266" w:type="dxa"/>
          </w:tcPr>
          <w:p w14:paraId="51A29ABD" w14:textId="77777777" w:rsidR="000839A4" w:rsidRPr="000839A4" w:rsidRDefault="000839A4" w:rsidP="000839A4">
            <w:pPr>
              <w:spacing w:before="120"/>
              <w:jc w:val="center"/>
              <w:rPr>
                <w:strike/>
                <w:szCs w:val="24"/>
              </w:rPr>
            </w:pPr>
            <w:r w:rsidRPr="000839A4">
              <w:rPr>
                <w:strike/>
                <w:szCs w:val="24"/>
              </w:rPr>
              <w:t>5</w:t>
            </w:r>
          </w:p>
        </w:tc>
      </w:tr>
      <w:tr w:rsidR="000839A4" w:rsidRPr="000839A4" w14:paraId="4F6711B5" w14:textId="77777777" w:rsidTr="000839A4">
        <w:tc>
          <w:tcPr>
            <w:tcW w:w="2265" w:type="dxa"/>
          </w:tcPr>
          <w:p w14:paraId="1F1C9022" w14:textId="77777777" w:rsidR="000839A4" w:rsidRPr="000839A4" w:rsidRDefault="000839A4" w:rsidP="000839A4">
            <w:pPr>
              <w:spacing w:before="120"/>
              <w:jc w:val="center"/>
              <w:rPr>
                <w:strike/>
                <w:szCs w:val="24"/>
              </w:rPr>
            </w:pPr>
            <w:r w:rsidRPr="000839A4">
              <w:rPr>
                <w:strike/>
                <w:szCs w:val="24"/>
              </w:rPr>
              <w:t>3</w:t>
            </w:r>
          </w:p>
        </w:tc>
        <w:tc>
          <w:tcPr>
            <w:tcW w:w="2265" w:type="dxa"/>
          </w:tcPr>
          <w:p w14:paraId="25D225CB" w14:textId="77777777" w:rsidR="000839A4" w:rsidRPr="000839A4" w:rsidRDefault="000839A4" w:rsidP="000839A4">
            <w:pPr>
              <w:spacing w:before="120"/>
              <w:jc w:val="center"/>
              <w:rPr>
                <w:strike/>
                <w:szCs w:val="24"/>
              </w:rPr>
            </w:pPr>
            <w:r w:rsidRPr="000839A4">
              <w:rPr>
                <w:strike/>
                <w:szCs w:val="24"/>
              </w:rPr>
              <w:t>10</w:t>
            </w:r>
          </w:p>
        </w:tc>
        <w:tc>
          <w:tcPr>
            <w:tcW w:w="2266" w:type="dxa"/>
          </w:tcPr>
          <w:p w14:paraId="0A00B47E" w14:textId="77777777" w:rsidR="000839A4" w:rsidRPr="000839A4" w:rsidRDefault="000839A4" w:rsidP="000839A4">
            <w:pPr>
              <w:spacing w:before="120"/>
              <w:jc w:val="center"/>
              <w:rPr>
                <w:strike/>
                <w:szCs w:val="24"/>
              </w:rPr>
            </w:pPr>
            <w:r w:rsidRPr="000839A4">
              <w:rPr>
                <w:strike/>
                <w:szCs w:val="24"/>
              </w:rPr>
              <w:t>11</w:t>
            </w:r>
          </w:p>
        </w:tc>
        <w:tc>
          <w:tcPr>
            <w:tcW w:w="2266" w:type="dxa"/>
          </w:tcPr>
          <w:p w14:paraId="5818EDC9" w14:textId="77777777" w:rsidR="000839A4" w:rsidRPr="000839A4" w:rsidRDefault="000839A4" w:rsidP="000839A4">
            <w:pPr>
              <w:spacing w:before="120"/>
              <w:jc w:val="center"/>
              <w:rPr>
                <w:strike/>
                <w:szCs w:val="24"/>
              </w:rPr>
            </w:pPr>
            <w:r w:rsidRPr="000839A4">
              <w:rPr>
                <w:strike/>
                <w:szCs w:val="24"/>
              </w:rPr>
              <w:t>10</w:t>
            </w:r>
          </w:p>
        </w:tc>
      </w:tr>
      <w:tr w:rsidR="000839A4" w:rsidRPr="000839A4" w14:paraId="7FA087EF" w14:textId="77777777" w:rsidTr="000839A4">
        <w:tc>
          <w:tcPr>
            <w:tcW w:w="2265" w:type="dxa"/>
          </w:tcPr>
          <w:p w14:paraId="401F36DA" w14:textId="77777777" w:rsidR="000839A4" w:rsidRPr="000839A4" w:rsidRDefault="000839A4" w:rsidP="000839A4">
            <w:pPr>
              <w:spacing w:before="120"/>
              <w:jc w:val="center"/>
              <w:rPr>
                <w:strike/>
                <w:szCs w:val="24"/>
              </w:rPr>
            </w:pPr>
            <w:r w:rsidRPr="000839A4">
              <w:rPr>
                <w:strike/>
                <w:szCs w:val="24"/>
              </w:rPr>
              <w:t>4</w:t>
            </w:r>
          </w:p>
        </w:tc>
        <w:tc>
          <w:tcPr>
            <w:tcW w:w="2265" w:type="dxa"/>
          </w:tcPr>
          <w:p w14:paraId="08882AD5" w14:textId="77777777" w:rsidR="000839A4" w:rsidRPr="000839A4" w:rsidRDefault="000839A4" w:rsidP="000839A4">
            <w:pPr>
              <w:spacing w:before="120"/>
              <w:jc w:val="center"/>
              <w:rPr>
                <w:strike/>
                <w:szCs w:val="24"/>
              </w:rPr>
            </w:pPr>
            <w:r w:rsidRPr="000839A4">
              <w:rPr>
                <w:strike/>
                <w:szCs w:val="24"/>
              </w:rPr>
              <w:t>20</w:t>
            </w:r>
          </w:p>
        </w:tc>
        <w:tc>
          <w:tcPr>
            <w:tcW w:w="2266" w:type="dxa"/>
          </w:tcPr>
          <w:p w14:paraId="6ADFD47D" w14:textId="77777777" w:rsidR="000839A4" w:rsidRPr="000839A4" w:rsidRDefault="000839A4" w:rsidP="000839A4">
            <w:pPr>
              <w:spacing w:before="120"/>
              <w:jc w:val="center"/>
              <w:rPr>
                <w:strike/>
                <w:szCs w:val="24"/>
              </w:rPr>
            </w:pPr>
            <w:r w:rsidRPr="000839A4">
              <w:rPr>
                <w:strike/>
                <w:szCs w:val="24"/>
              </w:rPr>
              <w:t>21</w:t>
            </w:r>
          </w:p>
        </w:tc>
        <w:tc>
          <w:tcPr>
            <w:tcW w:w="2266" w:type="dxa"/>
          </w:tcPr>
          <w:p w14:paraId="27E7B892" w14:textId="77777777" w:rsidR="000839A4" w:rsidRPr="000839A4" w:rsidRDefault="000839A4" w:rsidP="000839A4">
            <w:pPr>
              <w:spacing w:before="120"/>
              <w:jc w:val="center"/>
              <w:rPr>
                <w:strike/>
                <w:szCs w:val="24"/>
              </w:rPr>
            </w:pPr>
            <w:r w:rsidRPr="000839A4">
              <w:rPr>
                <w:strike/>
                <w:szCs w:val="24"/>
              </w:rPr>
              <w:t>20</w:t>
            </w:r>
          </w:p>
        </w:tc>
      </w:tr>
      <w:tr w:rsidR="000839A4" w:rsidRPr="000839A4" w14:paraId="1C7D02F8" w14:textId="77777777" w:rsidTr="000839A4">
        <w:tc>
          <w:tcPr>
            <w:tcW w:w="2265" w:type="dxa"/>
          </w:tcPr>
          <w:p w14:paraId="4C8BE64B" w14:textId="77777777" w:rsidR="000839A4" w:rsidRPr="000839A4" w:rsidRDefault="000839A4" w:rsidP="000839A4">
            <w:pPr>
              <w:spacing w:before="120"/>
              <w:jc w:val="center"/>
              <w:rPr>
                <w:strike/>
                <w:szCs w:val="24"/>
              </w:rPr>
            </w:pPr>
            <w:r w:rsidRPr="000839A4">
              <w:rPr>
                <w:strike/>
                <w:szCs w:val="24"/>
              </w:rPr>
              <w:t>5</w:t>
            </w:r>
          </w:p>
        </w:tc>
        <w:tc>
          <w:tcPr>
            <w:tcW w:w="2265" w:type="dxa"/>
          </w:tcPr>
          <w:p w14:paraId="2E0E9880" w14:textId="77777777" w:rsidR="000839A4" w:rsidRPr="000839A4" w:rsidRDefault="000839A4" w:rsidP="000839A4">
            <w:pPr>
              <w:spacing w:before="120"/>
              <w:jc w:val="center"/>
              <w:rPr>
                <w:strike/>
                <w:szCs w:val="24"/>
              </w:rPr>
            </w:pPr>
            <w:r w:rsidRPr="000839A4">
              <w:rPr>
                <w:strike/>
                <w:szCs w:val="24"/>
              </w:rPr>
              <w:t>30</w:t>
            </w:r>
          </w:p>
        </w:tc>
        <w:tc>
          <w:tcPr>
            <w:tcW w:w="2266" w:type="dxa"/>
          </w:tcPr>
          <w:p w14:paraId="00FD2465" w14:textId="77777777" w:rsidR="000839A4" w:rsidRPr="000839A4" w:rsidRDefault="000839A4" w:rsidP="000839A4">
            <w:pPr>
              <w:spacing w:before="120"/>
              <w:jc w:val="center"/>
              <w:rPr>
                <w:strike/>
                <w:szCs w:val="24"/>
              </w:rPr>
            </w:pPr>
            <w:r w:rsidRPr="000839A4">
              <w:rPr>
                <w:strike/>
                <w:szCs w:val="24"/>
              </w:rPr>
              <w:t>31</w:t>
            </w:r>
          </w:p>
        </w:tc>
        <w:tc>
          <w:tcPr>
            <w:tcW w:w="2266" w:type="dxa"/>
          </w:tcPr>
          <w:p w14:paraId="0A69EB85" w14:textId="77777777" w:rsidR="000839A4" w:rsidRPr="000839A4" w:rsidRDefault="000839A4" w:rsidP="000839A4">
            <w:pPr>
              <w:spacing w:before="120"/>
              <w:jc w:val="center"/>
              <w:rPr>
                <w:strike/>
                <w:szCs w:val="24"/>
              </w:rPr>
            </w:pPr>
            <w:r w:rsidRPr="000839A4">
              <w:rPr>
                <w:strike/>
                <w:szCs w:val="24"/>
              </w:rPr>
              <w:t>30</w:t>
            </w:r>
          </w:p>
        </w:tc>
      </w:tr>
      <w:tr w:rsidR="000839A4" w:rsidRPr="000839A4" w14:paraId="4F1D98B0" w14:textId="77777777" w:rsidTr="000839A4">
        <w:tc>
          <w:tcPr>
            <w:tcW w:w="2265" w:type="dxa"/>
          </w:tcPr>
          <w:p w14:paraId="02E7A52C" w14:textId="77777777" w:rsidR="000839A4" w:rsidRPr="000839A4" w:rsidRDefault="000839A4" w:rsidP="000839A4">
            <w:pPr>
              <w:spacing w:before="120"/>
              <w:jc w:val="center"/>
              <w:rPr>
                <w:strike/>
                <w:szCs w:val="24"/>
              </w:rPr>
            </w:pPr>
            <w:r w:rsidRPr="000839A4">
              <w:rPr>
                <w:strike/>
                <w:szCs w:val="24"/>
              </w:rPr>
              <w:t>6</w:t>
            </w:r>
          </w:p>
        </w:tc>
        <w:tc>
          <w:tcPr>
            <w:tcW w:w="2265" w:type="dxa"/>
          </w:tcPr>
          <w:p w14:paraId="0BB8463E" w14:textId="77777777" w:rsidR="000839A4" w:rsidRPr="000839A4" w:rsidRDefault="000839A4" w:rsidP="000839A4">
            <w:pPr>
              <w:spacing w:before="120"/>
              <w:jc w:val="center"/>
              <w:rPr>
                <w:strike/>
                <w:szCs w:val="24"/>
              </w:rPr>
            </w:pPr>
            <w:r w:rsidRPr="000839A4">
              <w:rPr>
                <w:strike/>
                <w:szCs w:val="24"/>
              </w:rPr>
              <w:t>50</w:t>
            </w:r>
          </w:p>
        </w:tc>
        <w:tc>
          <w:tcPr>
            <w:tcW w:w="2266" w:type="dxa"/>
          </w:tcPr>
          <w:p w14:paraId="376B6BAA" w14:textId="77777777" w:rsidR="000839A4" w:rsidRPr="000839A4" w:rsidRDefault="000839A4" w:rsidP="000839A4">
            <w:pPr>
              <w:spacing w:before="120"/>
              <w:jc w:val="center"/>
              <w:rPr>
                <w:strike/>
                <w:szCs w:val="24"/>
              </w:rPr>
            </w:pPr>
            <w:r w:rsidRPr="000839A4">
              <w:rPr>
                <w:strike/>
                <w:szCs w:val="24"/>
              </w:rPr>
              <w:t>51</w:t>
            </w:r>
          </w:p>
        </w:tc>
        <w:tc>
          <w:tcPr>
            <w:tcW w:w="2266" w:type="dxa"/>
          </w:tcPr>
          <w:p w14:paraId="2F0E3540" w14:textId="77777777" w:rsidR="000839A4" w:rsidRPr="000839A4" w:rsidRDefault="000839A4" w:rsidP="000839A4">
            <w:pPr>
              <w:spacing w:before="120"/>
              <w:jc w:val="center"/>
              <w:rPr>
                <w:strike/>
                <w:szCs w:val="24"/>
              </w:rPr>
            </w:pPr>
            <w:r w:rsidRPr="000839A4">
              <w:rPr>
                <w:strike/>
                <w:szCs w:val="24"/>
              </w:rPr>
              <w:t>50.</w:t>
            </w:r>
          </w:p>
        </w:tc>
      </w:tr>
    </w:tbl>
    <w:p w14:paraId="3D7779DF" w14:textId="77777777" w:rsidR="000839A4" w:rsidRPr="000839A4" w:rsidRDefault="000839A4" w:rsidP="000839A4">
      <w:pPr>
        <w:spacing w:before="120" w:after="120"/>
        <w:rPr>
          <w:strike/>
          <w:szCs w:val="24"/>
        </w:rPr>
      </w:pPr>
      <w:r w:rsidRPr="000839A4">
        <w:rPr>
          <w:strike/>
          <w:szCs w:val="24"/>
        </w:rPr>
        <w:t xml:space="preserve">(2) Při zrychleném odpisování se stanoví odpisy hmotného majetku </w:t>
      </w:r>
    </w:p>
    <w:p w14:paraId="2B8B2300" w14:textId="77777777" w:rsidR="000839A4" w:rsidRPr="000839A4" w:rsidRDefault="000839A4" w:rsidP="000839A4">
      <w:pPr>
        <w:tabs>
          <w:tab w:val="left" w:pos="357"/>
        </w:tabs>
        <w:spacing w:before="0"/>
        <w:ind w:left="357" w:hanging="357"/>
        <w:rPr>
          <w:strike/>
          <w:szCs w:val="24"/>
        </w:rPr>
      </w:pPr>
      <w:r w:rsidRPr="000839A4">
        <w:rPr>
          <w:strike/>
          <w:szCs w:val="24"/>
        </w:rPr>
        <w:t>a)</w:t>
      </w:r>
      <w:r w:rsidRPr="000839A4">
        <w:rPr>
          <w:strike/>
          <w:szCs w:val="24"/>
        </w:rPr>
        <w:tab/>
        <w:t xml:space="preserve">v prvním roce odpisování jako podíl jeho vstupní ceny a přiřazeného koeficientu pro zrychlené odpisování platného v prvním roce odpisování; přitom poplatník, který je prvním </w:t>
      </w:r>
      <w:proofErr w:type="spellStart"/>
      <w:r w:rsidRPr="000839A4">
        <w:rPr>
          <w:strike/>
          <w:szCs w:val="24"/>
        </w:rPr>
        <w:t>odpisovatelem</w:t>
      </w:r>
      <w:proofErr w:type="spellEnd"/>
      <w:r w:rsidRPr="000839A4">
        <w:rPr>
          <w:strike/>
          <w:szCs w:val="24"/>
        </w:rPr>
        <w:t xml:space="preserve">, může tento odpis zvýšit o </w:t>
      </w:r>
    </w:p>
    <w:p w14:paraId="13CA7951" w14:textId="77777777" w:rsidR="000839A4" w:rsidRPr="000839A4" w:rsidRDefault="000839A4" w:rsidP="000839A4">
      <w:pPr>
        <w:tabs>
          <w:tab w:val="left" w:pos="357"/>
        </w:tabs>
        <w:spacing w:before="0"/>
        <w:ind w:left="714" w:hanging="357"/>
        <w:rPr>
          <w:strike/>
          <w:szCs w:val="24"/>
        </w:rPr>
      </w:pPr>
      <w:r w:rsidRPr="000839A4">
        <w:rPr>
          <w:strike/>
          <w:szCs w:val="24"/>
        </w:rPr>
        <w:t>1.</w:t>
      </w:r>
      <w:r w:rsidRPr="000839A4">
        <w:rPr>
          <w:strike/>
          <w:szCs w:val="24"/>
        </w:rPr>
        <w:tab/>
        <w:t xml:space="preserve">20 % vstupní ceny stroje pro zemědělství a lesnictví, v klasifikaci produkce CZ-CPA označeného kódem 28.3, a to jen u poplatníka s převážně zemědělskou a lesní </w:t>
      </w:r>
      <w:proofErr w:type="gramStart"/>
      <w:r w:rsidRPr="000839A4">
        <w:rPr>
          <w:strike/>
          <w:szCs w:val="24"/>
        </w:rPr>
        <w:t>výrobou,</w:t>
      </w:r>
      <w:r w:rsidRPr="000839A4">
        <w:rPr>
          <w:strike/>
          <w:szCs w:val="24"/>
          <w:vertAlign w:val="superscript"/>
        </w:rPr>
        <w:t>7)</w:t>
      </w:r>
      <w:proofErr w:type="gramEnd"/>
      <w:r w:rsidRPr="000839A4">
        <w:rPr>
          <w:strike/>
          <w:szCs w:val="24"/>
        </w:rPr>
        <w:t xml:space="preserve">  </w:t>
      </w:r>
    </w:p>
    <w:p w14:paraId="599CC262" w14:textId="77777777" w:rsidR="000839A4" w:rsidRPr="000839A4" w:rsidRDefault="000839A4" w:rsidP="000839A4">
      <w:pPr>
        <w:tabs>
          <w:tab w:val="left" w:pos="357"/>
        </w:tabs>
        <w:spacing w:before="0"/>
        <w:ind w:left="714" w:hanging="357"/>
        <w:rPr>
          <w:strike/>
          <w:szCs w:val="24"/>
        </w:rPr>
      </w:pPr>
      <w:r w:rsidRPr="000839A4">
        <w:rPr>
          <w:strike/>
          <w:szCs w:val="24"/>
        </w:rPr>
        <w:t>2.</w:t>
      </w:r>
      <w:r w:rsidRPr="000839A4">
        <w:rPr>
          <w:strike/>
          <w:szCs w:val="24"/>
        </w:rPr>
        <w:tab/>
        <w:t>15 % vstupní ceny zařízení pro čištění a úpravu vod v klasifikaci produkce CZ-CPA označeného kódem 28.29.12 využívaného ve stavbách zařazených podle Klasifikace stavebních děl CZ-CC vydané Českým statistickým úřadem</w:t>
      </w:r>
      <w:r w:rsidRPr="000839A4">
        <w:rPr>
          <w:strike/>
          <w:szCs w:val="24"/>
          <w:vertAlign w:val="superscript"/>
        </w:rPr>
        <w:t>99)</w:t>
      </w:r>
      <w:r w:rsidRPr="000839A4">
        <w:rPr>
          <w:strike/>
          <w:szCs w:val="24"/>
        </w:rPr>
        <w:t xml:space="preserve"> do podtřídy 125113, pro třídicí a úpravárenské zařízení na zhodnocení druhotných surovin zahrnutých v oddílu 28, pomocí něhož jsou zpracovány druhotné suroviny specifikované ve třídě CZ-CPA 38.32, </w:t>
      </w:r>
    </w:p>
    <w:p w14:paraId="6DDA1F03" w14:textId="77777777" w:rsidR="000839A4" w:rsidRPr="000839A4" w:rsidRDefault="000839A4" w:rsidP="000839A4">
      <w:pPr>
        <w:tabs>
          <w:tab w:val="left" w:pos="357"/>
        </w:tabs>
        <w:spacing w:before="0"/>
        <w:ind w:left="714" w:hanging="357"/>
        <w:rPr>
          <w:strike/>
          <w:szCs w:val="24"/>
        </w:rPr>
      </w:pPr>
      <w:r w:rsidRPr="000839A4">
        <w:rPr>
          <w:strike/>
          <w:szCs w:val="24"/>
        </w:rPr>
        <w:t>3.</w:t>
      </w:r>
      <w:r w:rsidRPr="000839A4">
        <w:rPr>
          <w:strike/>
          <w:szCs w:val="24"/>
        </w:rPr>
        <w:tab/>
        <w:t xml:space="preserve">10 % vstupní ceny hmotného majetku zatříděného podle tohoto zákona v odpisových skupinách 1 až 3 s výjimkou hmotného majetku uvedeného v bodech 1 a 2 a v § 31 odst. 5, </w:t>
      </w:r>
    </w:p>
    <w:p w14:paraId="63E4A821" w14:textId="77777777" w:rsidR="000839A4" w:rsidRPr="000839A4" w:rsidRDefault="000839A4" w:rsidP="000839A4">
      <w:pPr>
        <w:tabs>
          <w:tab w:val="left" w:pos="357"/>
        </w:tabs>
        <w:spacing w:before="0"/>
        <w:ind w:left="357" w:hanging="357"/>
        <w:rPr>
          <w:strike/>
          <w:szCs w:val="24"/>
        </w:rPr>
      </w:pPr>
      <w:r w:rsidRPr="000839A4">
        <w:rPr>
          <w:strike/>
          <w:szCs w:val="24"/>
        </w:rPr>
        <w:t>b)</w:t>
      </w:r>
      <w:r w:rsidRPr="000839A4">
        <w:rPr>
          <w:strike/>
          <w:szCs w:val="24"/>
        </w:rPr>
        <w:tab/>
        <w:t xml:space="preserve">v dalších zdaňovacích obdobích jako podíl dvojnásobku jeho zůstatkové ceny a rozdílu mezi přiřazeným koeficientem pro zrychlené odpisování a počtem let, po které byl již odpisován. </w:t>
      </w:r>
    </w:p>
    <w:p w14:paraId="5612E582" w14:textId="77777777" w:rsidR="000839A4" w:rsidRPr="000839A4" w:rsidRDefault="000839A4" w:rsidP="000839A4">
      <w:pPr>
        <w:spacing w:before="120" w:after="120"/>
        <w:rPr>
          <w:strike/>
          <w:szCs w:val="24"/>
        </w:rPr>
      </w:pPr>
      <w:r w:rsidRPr="000839A4">
        <w:rPr>
          <w:strike/>
          <w:szCs w:val="24"/>
        </w:rPr>
        <w:t xml:space="preserve">(3) Při zrychleném odpisování majetku zvýšeného o jeho technické zhodnocení se odpisy stanoví </w:t>
      </w:r>
    </w:p>
    <w:p w14:paraId="2DFB9F2B" w14:textId="77777777" w:rsidR="000839A4" w:rsidRPr="000839A4" w:rsidRDefault="000839A4" w:rsidP="000839A4">
      <w:pPr>
        <w:tabs>
          <w:tab w:val="left" w:pos="357"/>
        </w:tabs>
        <w:spacing w:before="0"/>
        <w:ind w:left="357" w:hanging="357"/>
        <w:rPr>
          <w:strike/>
          <w:szCs w:val="24"/>
        </w:rPr>
      </w:pPr>
      <w:r w:rsidRPr="000839A4">
        <w:rPr>
          <w:strike/>
          <w:szCs w:val="24"/>
        </w:rPr>
        <w:lastRenderedPageBreak/>
        <w:t>a)</w:t>
      </w:r>
      <w:r w:rsidRPr="000839A4">
        <w:rPr>
          <w:strike/>
          <w:szCs w:val="24"/>
        </w:rPr>
        <w:tab/>
        <w:t xml:space="preserve">v roce zvýšení zůstatkové ceny jako podíl dvojnásobku zvýšené zůstatkové ceny majetku a přiřazeného koeficientu zrychleného odpisování platného pro zvýšenou zůstatkovou cenu, </w:t>
      </w:r>
    </w:p>
    <w:p w14:paraId="29160086" w14:textId="77777777" w:rsidR="000839A4" w:rsidRPr="000839A4" w:rsidRDefault="000839A4" w:rsidP="000839A4">
      <w:pPr>
        <w:tabs>
          <w:tab w:val="left" w:pos="357"/>
        </w:tabs>
        <w:spacing w:before="0"/>
        <w:ind w:left="357" w:hanging="357"/>
        <w:rPr>
          <w:strike/>
          <w:szCs w:val="24"/>
        </w:rPr>
      </w:pPr>
      <w:r w:rsidRPr="000839A4">
        <w:rPr>
          <w:strike/>
          <w:szCs w:val="24"/>
        </w:rPr>
        <w:t>b)</w:t>
      </w:r>
      <w:r w:rsidRPr="000839A4">
        <w:rPr>
          <w:strike/>
          <w:szCs w:val="24"/>
        </w:rPr>
        <w:tab/>
        <w:t xml:space="preserve">v dalších zdaňovacích obdobích jako podíl dvojnásobku zůstatkové ceny majetku a rozdílu mezi přiřazeným koeficientem zrychleného odpisování platným pro zvýšenou zůstatkovou cenu a počtem let, po které byl odpisován ze zvýšené zůstatkové ceny. </w:t>
      </w:r>
    </w:p>
    <w:p w14:paraId="4C1EEE98" w14:textId="77777777" w:rsidR="000839A4" w:rsidRPr="000839A4" w:rsidRDefault="000839A4" w:rsidP="000839A4">
      <w:pPr>
        <w:spacing w:before="120" w:after="120"/>
        <w:rPr>
          <w:strike/>
          <w:szCs w:val="24"/>
        </w:rPr>
      </w:pPr>
      <w:r w:rsidRPr="000839A4">
        <w:rPr>
          <w:strike/>
          <w:szCs w:val="24"/>
        </w:rPr>
        <w:t xml:space="preserve">(4) Při zkrácení doby odpisování podle § 30 odst. 1 u již odpisovaného hmotného majetku, kdy rozdíl mezi přiřazeným koeficientem pro zrychlené odpisování a počtem let, po které byl již hmotný majetek odpisován, je menší než 2, se pro stanovení ročního odpisu použije vždy rozdíl mezi přiřazeným koeficientem pro zrychlené odpisování a počtem let, po které byl již hmotný majetek odpisován, ve výši 2; přitom do počtu let se zahrnují pouze celá zdaňovací období podle § 21a. </w:t>
      </w:r>
    </w:p>
    <w:p w14:paraId="59B415DC" w14:textId="77777777" w:rsidR="000839A4" w:rsidRPr="000839A4" w:rsidRDefault="000839A4" w:rsidP="000839A4">
      <w:pPr>
        <w:spacing w:before="120" w:after="120"/>
        <w:rPr>
          <w:strike/>
          <w:szCs w:val="24"/>
        </w:rPr>
      </w:pPr>
      <w:r w:rsidRPr="000839A4">
        <w:rPr>
          <w:strike/>
          <w:szCs w:val="24"/>
        </w:rPr>
        <w:t xml:space="preserve">(5) Odpisy stanovené podle odstavců 2 až 4 se zaokrouhlují na celé koruny nahoru. </w:t>
      </w:r>
    </w:p>
    <w:p w14:paraId="6CB76E30" w14:textId="77777777" w:rsidR="000839A4" w:rsidRPr="000839A4" w:rsidRDefault="000839A4" w:rsidP="000839A4">
      <w:pPr>
        <w:keepNext/>
        <w:spacing w:before="120"/>
        <w:ind w:firstLine="0"/>
        <w:jc w:val="center"/>
        <w:outlineLvl w:val="7"/>
        <w:rPr>
          <w:b/>
        </w:rPr>
      </w:pPr>
      <w:r w:rsidRPr="000839A4">
        <w:rPr>
          <w:b/>
        </w:rPr>
        <w:t>Hlava IX</w:t>
      </w:r>
    </w:p>
    <w:p w14:paraId="540B1C66" w14:textId="77777777" w:rsidR="000839A4" w:rsidRPr="000839A4" w:rsidRDefault="000839A4" w:rsidP="000839A4">
      <w:pPr>
        <w:keepNext/>
        <w:spacing w:before="120"/>
        <w:ind w:firstLine="0"/>
        <w:jc w:val="center"/>
        <w:outlineLvl w:val="7"/>
      </w:pPr>
      <w:r w:rsidRPr="000839A4">
        <w:rPr>
          <w:b/>
          <w:bCs/>
        </w:rPr>
        <w:t>Zvláštní ustanovení o pachtu obchodního závodu</w:t>
      </w:r>
    </w:p>
    <w:p w14:paraId="494D63B9" w14:textId="77777777" w:rsidR="000839A4" w:rsidRPr="000839A4" w:rsidRDefault="000839A4" w:rsidP="000839A4">
      <w:pPr>
        <w:keepNext/>
        <w:ind w:firstLine="0"/>
        <w:jc w:val="center"/>
        <w:rPr>
          <w:szCs w:val="24"/>
        </w:rPr>
      </w:pPr>
      <w:r w:rsidRPr="000839A4">
        <w:rPr>
          <w:szCs w:val="24"/>
        </w:rPr>
        <w:t>§ 32b</w:t>
      </w:r>
    </w:p>
    <w:p w14:paraId="38F794E9" w14:textId="77777777" w:rsidR="000839A4" w:rsidRPr="000839A4" w:rsidRDefault="000839A4" w:rsidP="000839A4">
      <w:pPr>
        <w:keepNext/>
        <w:ind w:firstLine="0"/>
        <w:jc w:val="center"/>
        <w:rPr>
          <w:b/>
          <w:szCs w:val="24"/>
        </w:rPr>
      </w:pPr>
      <w:r w:rsidRPr="000839A4">
        <w:rPr>
          <w:b/>
          <w:szCs w:val="24"/>
        </w:rPr>
        <w:t xml:space="preserve"> Pacht obchodního závodu </w:t>
      </w:r>
    </w:p>
    <w:p w14:paraId="0D188D48" w14:textId="77777777" w:rsidR="000839A4" w:rsidRPr="000839A4" w:rsidRDefault="000839A4" w:rsidP="000839A4">
      <w:pPr>
        <w:spacing w:before="120" w:after="120"/>
        <w:rPr>
          <w:strike/>
          <w:szCs w:val="24"/>
        </w:rPr>
      </w:pPr>
      <w:r w:rsidRPr="000839A4">
        <w:rPr>
          <w:strike/>
          <w:szCs w:val="24"/>
        </w:rPr>
        <w:t xml:space="preserve">(1) Pachtýř obchodního závodu, který má písemný souhlas propachtovatele k odpisování, postupuje při uplatňování odpisů hmotného majetku obdobně podle ustanovení o odpisování při zajištění dluhu převodem práva. </w:t>
      </w:r>
    </w:p>
    <w:p w14:paraId="01F0C672" w14:textId="77777777" w:rsidR="000839A4" w:rsidRPr="000839A4" w:rsidRDefault="000839A4" w:rsidP="000839A4">
      <w:pPr>
        <w:spacing w:before="120" w:after="120"/>
        <w:rPr>
          <w:szCs w:val="24"/>
        </w:rPr>
      </w:pPr>
      <w:proofErr w:type="gramStart"/>
      <w:r w:rsidRPr="000839A4">
        <w:rPr>
          <w:strike/>
          <w:szCs w:val="24"/>
        </w:rPr>
        <w:t>(2)</w:t>
      </w:r>
      <w:r w:rsidRPr="000839A4">
        <w:rPr>
          <w:szCs w:val="24"/>
        </w:rPr>
        <w:t xml:space="preserve"> </w:t>
      </w:r>
      <w:r w:rsidRPr="000839A4">
        <w:rPr>
          <w:b/>
          <w:szCs w:val="24"/>
        </w:rPr>
        <w:t xml:space="preserve">(1) </w:t>
      </w:r>
      <w:r w:rsidRPr="000839A4">
        <w:rPr>
          <w:szCs w:val="24"/>
        </w:rPr>
        <w:t>Při</w:t>
      </w:r>
      <w:proofErr w:type="gramEnd"/>
      <w:r w:rsidRPr="000839A4">
        <w:rPr>
          <w:szCs w:val="24"/>
        </w:rPr>
        <w:t xml:space="preserve"> pachtu obchodního závodu se zvyšuje výsledek hospodaření u </w:t>
      </w:r>
    </w:p>
    <w:p w14:paraId="0CF9BB3D"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 xml:space="preserve">pachtýře o </w:t>
      </w:r>
    </w:p>
    <w:p w14:paraId="6390D300" w14:textId="77777777" w:rsidR="000839A4" w:rsidRPr="000839A4" w:rsidRDefault="000839A4" w:rsidP="000839A4">
      <w:pPr>
        <w:tabs>
          <w:tab w:val="left" w:pos="357"/>
        </w:tabs>
        <w:spacing w:before="0"/>
        <w:ind w:left="714" w:hanging="357"/>
        <w:rPr>
          <w:szCs w:val="24"/>
        </w:rPr>
      </w:pPr>
      <w:r w:rsidRPr="000839A4">
        <w:rPr>
          <w:szCs w:val="24"/>
        </w:rPr>
        <w:t>1.</w:t>
      </w:r>
      <w:r w:rsidRPr="000839A4">
        <w:rPr>
          <w:szCs w:val="24"/>
        </w:rPr>
        <w:tab/>
      </w:r>
      <w:r w:rsidRPr="000839A4">
        <w:rPr>
          <w:b/>
          <w:szCs w:val="24"/>
        </w:rPr>
        <w:t xml:space="preserve">kladný </w:t>
      </w:r>
      <w:r w:rsidRPr="000839A4">
        <w:rPr>
          <w:szCs w:val="24"/>
        </w:rPr>
        <w:t xml:space="preserve">rozdíl mezi odpisy podle </w:t>
      </w:r>
      <w:r w:rsidRPr="000839A4">
        <w:rPr>
          <w:strike/>
          <w:szCs w:val="24"/>
        </w:rPr>
        <w:t>právního předpisu upravujícího</w:t>
      </w:r>
      <w:r w:rsidRPr="000839A4">
        <w:rPr>
          <w:szCs w:val="24"/>
        </w:rPr>
        <w:t xml:space="preserve"> </w:t>
      </w:r>
      <w:r w:rsidRPr="000839A4">
        <w:rPr>
          <w:b/>
          <w:szCs w:val="24"/>
        </w:rPr>
        <w:t xml:space="preserve">právních předpisů upravujících </w:t>
      </w:r>
      <w:r w:rsidRPr="000839A4">
        <w:rPr>
          <w:szCs w:val="24"/>
        </w:rPr>
        <w:t xml:space="preserve">účetnictví a </w:t>
      </w:r>
      <w:proofErr w:type="spellStart"/>
      <w:r w:rsidRPr="000839A4">
        <w:rPr>
          <w:szCs w:val="24"/>
        </w:rPr>
        <w:t>pachtovným</w:t>
      </w:r>
      <w:proofErr w:type="spellEnd"/>
      <w:r w:rsidRPr="000839A4">
        <w:rPr>
          <w:szCs w:val="24"/>
        </w:rPr>
        <w:t xml:space="preserve">, </w:t>
      </w:r>
    </w:p>
    <w:p w14:paraId="45FB8E8B" w14:textId="77777777" w:rsidR="000839A4" w:rsidRPr="000839A4" w:rsidRDefault="000839A4" w:rsidP="000839A4">
      <w:pPr>
        <w:tabs>
          <w:tab w:val="left" w:pos="357"/>
        </w:tabs>
        <w:spacing w:before="0"/>
        <w:ind w:left="714" w:hanging="357"/>
        <w:rPr>
          <w:szCs w:val="24"/>
        </w:rPr>
      </w:pPr>
      <w:r w:rsidRPr="000839A4">
        <w:rPr>
          <w:szCs w:val="24"/>
        </w:rPr>
        <w:t>2.</w:t>
      </w:r>
      <w:r w:rsidRPr="000839A4">
        <w:rPr>
          <w:szCs w:val="24"/>
        </w:rPr>
        <w:tab/>
      </w:r>
      <w:r w:rsidRPr="000839A4">
        <w:rPr>
          <w:strike/>
          <w:szCs w:val="24"/>
        </w:rPr>
        <w:t>výši pohledávky</w:t>
      </w:r>
      <w:r w:rsidRPr="000839A4">
        <w:rPr>
          <w:szCs w:val="24"/>
        </w:rPr>
        <w:t xml:space="preserve"> </w:t>
      </w:r>
      <w:r w:rsidRPr="000839A4">
        <w:rPr>
          <w:b/>
          <w:szCs w:val="24"/>
        </w:rPr>
        <w:t>částku odpovídající daňové hodnotě pohledávky</w:t>
      </w:r>
      <w:r w:rsidRPr="000839A4">
        <w:rPr>
          <w:szCs w:val="24"/>
        </w:rPr>
        <w:t xml:space="preserve">, která na něj přechází na základě smlouvy o pachtu obchodního závodu, a to ve výši, v jaké ji neuhradil propachtovateli, </w:t>
      </w:r>
    </w:p>
    <w:p w14:paraId="5E983619"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 xml:space="preserve">propachtovatele o </w:t>
      </w:r>
      <w:r w:rsidRPr="000839A4">
        <w:rPr>
          <w:strike/>
          <w:szCs w:val="24"/>
        </w:rPr>
        <w:t>částku ve výši dluhu zachyceného na rozvahových účtech</w:t>
      </w:r>
      <w:r w:rsidRPr="000839A4">
        <w:rPr>
          <w:szCs w:val="24"/>
        </w:rPr>
        <w:t xml:space="preserve"> </w:t>
      </w:r>
      <w:r w:rsidRPr="000839A4">
        <w:rPr>
          <w:b/>
          <w:szCs w:val="24"/>
        </w:rPr>
        <w:t>účetní hodnotu dluhu</w:t>
      </w:r>
      <w:r w:rsidRPr="000839A4">
        <w:rPr>
          <w:szCs w:val="24"/>
        </w:rPr>
        <w:t xml:space="preserve">, který přechází na pachtýře na základě smlouvy o pachtu obchodního závodu, a to ve výši, v jaké ho neuhradil pachtýři. </w:t>
      </w:r>
    </w:p>
    <w:p w14:paraId="1060417D" w14:textId="77777777" w:rsidR="000839A4" w:rsidRPr="000839A4" w:rsidRDefault="000839A4" w:rsidP="000839A4">
      <w:pPr>
        <w:spacing w:before="120" w:after="120"/>
        <w:rPr>
          <w:szCs w:val="24"/>
        </w:rPr>
      </w:pPr>
      <w:proofErr w:type="gramStart"/>
      <w:r w:rsidRPr="000839A4">
        <w:rPr>
          <w:strike/>
          <w:szCs w:val="24"/>
        </w:rPr>
        <w:t>(3)</w:t>
      </w:r>
      <w:r w:rsidRPr="000839A4">
        <w:rPr>
          <w:szCs w:val="24"/>
        </w:rPr>
        <w:t xml:space="preserve"> (</w:t>
      </w:r>
      <w:r w:rsidRPr="000839A4">
        <w:rPr>
          <w:b/>
          <w:szCs w:val="24"/>
        </w:rPr>
        <w:t xml:space="preserve">2) </w:t>
      </w:r>
      <w:r w:rsidRPr="000839A4">
        <w:rPr>
          <w:szCs w:val="24"/>
        </w:rPr>
        <w:t>Zvyšování</w:t>
      </w:r>
      <w:proofErr w:type="gramEnd"/>
      <w:r w:rsidRPr="000839A4">
        <w:rPr>
          <w:szCs w:val="24"/>
        </w:rPr>
        <w:t xml:space="preserve"> výsledku hospodaření podle odstavce </w:t>
      </w:r>
      <w:r w:rsidRPr="000839A4">
        <w:rPr>
          <w:strike/>
          <w:szCs w:val="24"/>
        </w:rPr>
        <w:t>2</w:t>
      </w:r>
      <w:r w:rsidRPr="000839A4">
        <w:rPr>
          <w:szCs w:val="24"/>
        </w:rPr>
        <w:t xml:space="preserve"> </w:t>
      </w:r>
      <w:r w:rsidRPr="000839A4">
        <w:rPr>
          <w:b/>
          <w:szCs w:val="24"/>
        </w:rPr>
        <w:t xml:space="preserve">1 </w:t>
      </w:r>
      <w:r w:rsidRPr="000839A4">
        <w:rPr>
          <w:szCs w:val="24"/>
        </w:rPr>
        <w:t xml:space="preserve">se netýká </w:t>
      </w:r>
    </w:p>
    <w:p w14:paraId="57BD1B2C"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 xml:space="preserve">částky, která byla </w:t>
      </w:r>
      <w:r w:rsidRPr="000839A4">
        <w:rPr>
          <w:strike/>
          <w:szCs w:val="24"/>
        </w:rPr>
        <w:t>zaúčtována ve prospěch příjmů</w:t>
      </w:r>
      <w:r w:rsidRPr="000839A4">
        <w:rPr>
          <w:b/>
          <w:szCs w:val="24"/>
        </w:rPr>
        <w:t xml:space="preserve"> vykázaná ve výnosech</w:t>
      </w:r>
      <w:r w:rsidRPr="000839A4">
        <w:rPr>
          <w:szCs w:val="24"/>
        </w:rPr>
        <w:t xml:space="preserve">, </w:t>
      </w:r>
    </w:p>
    <w:p w14:paraId="0CC83AC2"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 xml:space="preserve">dluhu ze smluvní pokuty, </w:t>
      </w:r>
    </w:p>
    <w:p w14:paraId="7882DACC" w14:textId="77777777" w:rsidR="000839A4" w:rsidRPr="000839A4" w:rsidRDefault="000839A4" w:rsidP="000839A4">
      <w:pPr>
        <w:tabs>
          <w:tab w:val="left" w:pos="357"/>
        </w:tabs>
        <w:spacing w:before="0"/>
        <w:ind w:left="357" w:hanging="357"/>
        <w:rPr>
          <w:szCs w:val="24"/>
        </w:rPr>
      </w:pPr>
      <w:r w:rsidRPr="000839A4">
        <w:rPr>
          <w:szCs w:val="24"/>
        </w:rPr>
        <w:t>c)</w:t>
      </w:r>
      <w:r w:rsidRPr="000839A4">
        <w:rPr>
          <w:szCs w:val="24"/>
        </w:rPr>
        <w:tab/>
        <w:t xml:space="preserve">dluhu z úroku z prodlení, </w:t>
      </w:r>
    </w:p>
    <w:p w14:paraId="4F10B866" w14:textId="77777777" w:rsidR="000839A4" w:rsidRPr="000839A4" w:rsidRDefault="000839A4" w:rsidP="000839A4">
      <w:pPr>
        <w:tabs>
          <w:tab w:val="left" w:pos="357"/>
        </w:tabs>
        <w:spacing w:before="0"/>
        <w:ind w:left="357" w:hanging="357"/>
        <w:rPr>
          <w:szCs w:val="24"/>
        </w:rPr>
      </w:pPr>
      <w:r w:rsidRPr="000839A4">
        <w:rPr>
          <w:szCs w:val="24"/>
        </w:rPr>
        <w:t>d)</w:t>
      </w:r>
      <w:r w:rsidRPr="000839A4">
        <w:rPr>
          <w:szCs w:val="24"/>
        </w:rPr>
        <w:tab/>
        <w:t xml:space="preserve">dluhu z jiné sankce ze závazkového vztahu, </w:t>
      </w:r>
    </w:p>
    <w:p w14:paraId="4F7EF74C" w14:textId="77777777" w:rsidR="000839A4" w:rsidRPr="000839A4" w:rsidRDefault="000839A4" w:rsidP="000839A4">
      <w:pPr>
        <w:tabs>
          <w:tab w:val="left" w:pos="357"/>
        </w:tabs>
        <w:spacing w:before="0"/>
        <w:ind w:left="357" w:hanging="357"/>
        <w:rPr>
          <w:szCs w:val="24"/>
        </w:rPr>
      </w:pPr>
      <w:r w:rsidRPr="000839A4">
        <w:rPr>
          <w:szCs w:val="24"/>
        </w:rPr>
        <w:t>e)</w:t>
      </w:r>
      <w:r w:rsidRPr="000839A4">
        <w:rPr>
          <w:szCs w:val="24"/>
        </w:rPr>
        <w:tab/>
        <w:t xml:space="preserve">dluhu, na jehož základě vznikl výdaj, pokud jde o výdaj na dosažení, zajištění a udržení zdanitelných příjmů, který byl zaplacen. </w:t>
      </w:r>
    </w:p>
    <w:p w14:paraId="54E1FB12" w14:textId="77777777" w:rsidR="000839A4" w:rsidRPr="000839A4" w:rsidRDefault="000839A4" w:rsidP="000839A4">
      <w:pPr>
        <w:spacing w:before="120" w:after="120"/>
        <w:rPr>
          <w:szCs w:val="24"/>
        </w:rPr>
      </w:pPr>
      <w:proofErr w:type="gramStart"/>
      <w:r w:rsidRPr="000839A4">
        <w:rPr>
          <w:strike/>
          <w:szCs w:val="24"/>
        </w:rPr>
        <w:t>(4)</w:t>
      </w:r>
      <w:r w:rsidRPr="000839A4">
        <w:rPr>
          <w:szCs w:val="24"/>
        </w:rPr>
        <w:t xml:space="preserve"> </w:t>
      </w:r>
      <w:r w:rsidRPr="000839A4">
        <w:rPr>
          <w:b/>
          <w:szCs w:val="24"/>
        </w:rPr>
        <w:t xml:space="preserve">(3) </w:t>
      </w:r>
      <w:r w:rsidRPr="000839A4">
        <w:rPr>
          <w:szCs w:val="24"/>
        </w:rPr>
        <w:t>Při</w:t>
      </w:r>
      <w:proofErr w:type="gramEnd"/>
      <w:r w:rsidRPr="000839A4">
        <w:rPr>
          <w:szCs w:val="24"/>
        </w:rPr>
        <w:t xml:space="preserve"> výpočtu rozdílu mezi odpisy podle</w:t>
      </w:r>
      <w:r w:rsidRPr="000839A4">
        <w:rPr>
          <w:strike/>
          <w:szCs w:val="24"/>
        </w:rPr>
        <w:t xml:space="preserve"> právního předpisu upravujícího účetnictví</w:t>
      </w:r>
      <w:r w:rsidRPr="000839A4">
        <w:rPr>
          <w:szCs w:val="24"/>
        </w:rPr>
        <w:t xml:space="preserve"> </w:t>
      </w:r>
      <w:r w:rsidRPr="000839A4">
        <w:rPr>
          <w:b/>
          <w:noProof/>
          <w:szCs w:val="24"/>
        </w:rPr>
        <w:t>účetních předpisů</w:t>
      </w:r>
      <w:r w:rsidRPr="000839A4">
        <w:rPr>
          <w:noProof/>
          <w:szCs w:val="24"/>
        </w:rPr>
        <w:t xml:space="preserve"> </w:t>
      </w:r>
      <w:r w:rsidRPr="000839A4">
        <w:rPr>
          <w:szCs w:val="24"/>
        </w:rPr>
        <w:t xml:space="preserve">a </w:t>
      </w:r>
      <w:proofErr w:type="spellStart"/>
      <w:r w:rsidRPr="000839A4">
        <w:rPr>
          <w:szCs w:val="24"/>
        </w:rPr>
        <w:t>pachtovným</w:t>
      </w:r>
      <w:proofErr w:type="spellEnd"/>
      <w:r w:rsidRPr="000839A4">
        <w:rPr>
          <w:szCs w:val="24"/>
        </w:rPr>
        <w:t xml:space="preserve"> se </w:t>
      </w:r>
      <w:proofErr w:type="spellStart"/>
      <w:r w:rsidRPr="000839A4">
        <w:rPr>
          <w:szCs w:val="24"/>
        </w:rPr>
        <w:t>pachtovné</w:t>
      </w:r>
      <w:proofErr w:type="spellEnd"/>
      <w:r w:rsidRPr="000839A4">
        <w:rPr>
          <w:szCs w:val="24"/>
        </w:rPr>
        <w:t xml:space="preserve"> sníží o část určenou k úhradě jiného dluhu vůči propachtovateli; za úhradu jiného dluhu se nepovažuje </w:t>
      </w:r>
      <w:r w:rsidRPr="000839A4">
        <w:rPr>
          <w:strike/>
          <w:szCs w:val="24"/>
        </w:rPr>
        <w:t>účtování</w:t>
      </w:r>
      <w:r w:rsidRPr="000839A4">
        <w:rPr>
          <w:szCs w:val="24"/>
        </w:rPr>
        <w:t xml:space="preserve"> </w:t>
      </w:r>
      <w:r w:rsidRPr="000839A4">
        <w:rPr>
          <w:b/>
          <w:szCs w:val="24"/>
        </w:rPr>
        <w:t xml:space="preserve">vykázání </w:t>
      </w:r>
      <w:proofErr w:type="spellStart"/>
      <w:r w:rsidRPr="000839A4">
        <w:rPr>
          <w:szCs w:val="24"/>
        </w:rPr>
        <w:t>pachtovného</w:t>
      </w:r>
      <w:proofErr w:type="spellEnd"/>
      <w:r w:rsidRPr="000839A4">
        <w:rPr>
          <w:szCs w:val="24"/>
        </w:rPr>
        <w:t xml:space="preserve"> na vrub příslušného účtu dlouhodobého </w:t>
      </w:r>
      <w:r w:rsidRPr="000839A4">
        <w:rPr>
          <w:strike/>
          <w:szCs w:val="24"/>
        </w:rPr>
        <w:t>závazku</w:t>
      </w:r>
      <w:r w:rsidRPr="000839A4">
        <w:rPr>
          <w:szCs w:val="24"/>
        </w:rPr>
        <w:t xml:space="preserve"> </w:t>
      </w:r>
      <w:r w:rsidRPr="000839A4">
        <w:rPr>
          <w:b/>
          <w:szCs w:val="24"/>
        </w:rPr>
        <w:t>dluhu podle účetních předpisů</w:t>
      </w:r>
      <w:r w:rsidRPr="000839A4">
        <w:rPr>
          <w:szCs w:val="24"/>
        </w:rPr>
        <w:t xml:space="preserve">. </w:t>
      </w:r>
    </w:p>
    <w:p w14:paraId="7C69C0EB" w14:textId="77777777" w:rsidR="000839A4" w:rsidRPr="000839A4" w:rsidRDefault="000839A4" w:rsidP="000839A4">
      <w:pPr>
        <w:spacing w:before="120" w:after="120"/>
        <w:rPr>
          <w:b/>
          <w:szCs w:val="24"/>
        </w:rPr>
      </w:pPr>
      <w:r w:rsidRPr="000839A4">
        <w:rPr>
          <w:b/>
          <w:szCs w:val="24"/>
        </w:rPr>
        <w:t xml:space="preserve">(4) Při pachtu obchodního závodu je výdajem na dosažení, zajištění a udržení příjmů část </w:t>
      </w:r>
      <w:proofErr w:type="spellStart"/>
      <w:r w:rsidRPr="000839A4">
        <w:rPr>
          <w:b/>
          <w:szCs w:val="24"/>
        </w:rPr>
        <w:t>pachtovného</w:t>
      </w:r>
      <w:proofErr w:type="spellEnd"/>
      <w:r w:rsidRPr="000839A4">
        <w:rPr>
          <w:b/>
          <w:szCs w:val="24"/>
        </w:rPr>
        <w:t xml:space="preserve"> převyšující účetní odpisy.</w:t>
      </w:r>
    </w:p>
    <w:p w14:paraId="001B0058" w14:textId="77777777" w:rsidR="000839A4" w:rsidRPr="000839A4" w:rsidRDefault="000839A4" w:rsidP="000839A4">
      <w:pPr>
        <w:spacing w:before="120" w:after="120"/>
        <w:rPr>
          <w:b/>
          <w:szCs w:val="24"/>
        </w:rPr>
      </w:pPr>
      <w:r w:rsidRPr="000839A4">
        <w:rPr>
          <w:b/>
          <w:szCs w:val="24"/>
        </w:rPr>
        <w:lastRenderedPageBreak/>
        <w:t>(5) Při pachtu obchodního závodu se základ daně poplatníka používajícího mezinárodní účetní standardy upraví o rozdíl mezi daňovou hodnotou obchodního závodu a jeho účetní hodnotou. Ustanovení odstavců 1 až 3 se na poplatníka používajícího mezinárodní účetní standardy nepoužijí.</w:t>
      </w:r>
    </w:p>
    <w:p w14:paraId="26E8E4F2" w14:textId="77777777" w:rsidR="000839A4" w:rsidRPr="000839A4" w:rsidRDefault="000839A4" w:rsidP="000839A4">
      <w:pPr>
        <w:keepNext/>
        <w:ind w:firstLine="0"/>
        <w:jc w:val="center"/>
        <w:rPr>
          <w:strike/>
          <w:szCs w:val="24"/>
        </w:rPr>
      </w:pPr>
      <w:r w:rsidRPr="000839A4">
        <w:rPr>
          <w:strike/>
          <w:szCs w:val="24"/>
        </w:rPr>
        <w:t>§ 32c</w:t>
      </w:r>
    </w:p>
    <w:p w14:paraId="4FA3DB80" w14:textId="77777777" w:rsidR="000839A4" w:rsidRPr="000839A4" w:rsidRDefault="000839A4" w:rsidP="000839A4">
      <w:pPr>
        <w:keepNext/>
        <w:ind w:firstLine="0"/>
        <w:jc w:val="center"/>
        <w:rPr>
          <w:b/>
          <w:strike/>
          <w:szCs w:val="24"/>
        </w:rPr>
      </w:pPr>
      <w:r w:rsidRPr="000839A4">
        <w:rPr>
          <w:b/>
          <w:strike/>
          <w:szCs w:val="24"/>
        </w:rPr>
        <w:t xml:space="preserve">Nepeněžité vklady ze zahraničí </w:t>
      </w:r>
    </w:p>
    <w:p w14:paraId="5C289F94" w14:textId="77777777" w:rsidR="000839A4" w:rsidRPr="000839A4" w:rsidRDefault="000839A4" w:rsidP="000839A4">
      <w:pPr>
        <w:spacing w:before="120" w:after="120"/>
        <w:rPr>
          <w:strike/>
          <w:szCs w:val="24"/>
        </w:rPr>
      </w:pPr>
      <w:r w:rsidRPr="000839A4">
        <w:rPr>
          <w:strike/>
          <w:szCs w:val="24"/>
        </w:rPr>
        <w:t>(1) Při nabytí hmotného majetku, který nebyl součástí stálé provozovny na území České republiky, vkladem od poplatníka uvedeného v § 2 odst. 3 nebo v § 17 odst. 4 pokračuje obchodní korporace nebo stálá provozovna poplatníka uvedeného v § 17 odst. 4 na území České republiky v odpisování tohoto hmotného majetku z přepočtené zahraniční ceny stanovené podle § 23 odst. 17, ze které poplatník uvedený v § 17 odst. 4 uplatňoval odpisy nebo zahraniční položky obdobného charakteru; přitom hmotný majetek zatřídí do odpisové skupiny podle přílohy č. 1 k tomuto zákonu a odpisuje rovnoměrně příslušnou sazbou stanovenou v § 31 ve sloupci označeném slovy „v dalších letech odpisování“.</w:t>
      </w:r>
    </w:p>
    <w:p w14:paraId="1D7EE80E" w14:textId="77777777" w:rsidR="000839A4" w:rsidRPr="000839A4" w:rsidRDefault="000839A4" w:rsidP="000839A4">
      <w:pPr>
        <w:spacing w:before="120" w:after="120"/>
        <w:rPr>
          <w:strike/>
          <w:szCs w:val="24"/>
        </w:rPr>
      </w:pPr>
      <w:r w:rsidRPr="000839A4">
        <w:rPr>
          <w:strike/>
          <w:szCs w:val="24"/>
        </w:rPr>
        <w:t xml:space="preserve">(2) Odpisy v České republice lze uplatnit v úhrnu do výše rozdílu mezi přepočtenou zahraniční cenou a odpisy nebo zahraničními položkami obdobného charakteru. </w:t>
      </w:r>
    </w:p>
    <w:p w14:paraId="28991B28" w14:textId="77777777" w:rsidR="000839A4" w:rsidRPr="000839A4" w:rsidRDefault="000839A4" w:rsidP="000839A4">
      <w:pPr>
        <w:spacing w:before="120" w:after="120"/>
        <w:rPr>
          <w:strike/>
          <w:szCs w:val="24"/>
        </w:rPr>
      </w:pPr>
      <w:r w:rsidRPr="000839A4">
        <w:rPr>
          <w:strike/>
          <w:szCs w:val="24"/>
        </w:rPr>
        <w:t xml:space="preserve">(3) Byl-li vkládaný hmotný majetek odpisován vkladatelem v době vkladu již po dobu, která je v § 30 odst. 1 uvedena jako minimální doba odpisování, lze rozdíl mezi přepočtenou zahraniční cenou a odpisy nebo odčitatelnými položkami obdobného charakteru, uplatněnými vkladatelem v zahraničí, uplatnit u nabyvatele jako výdaj (náklad) ve zdaňovacím období nebo období, za něž se podává daňové přiznání, ve kterém byl tento majetek nabyt. </w:t>
      </w:r>
    </w:p>
    <w:p w14:paraId="14B39E9B" w14:textId="77777777" w:rsidR="000839A4" w:rsidRPr="000839A4" w:rsidRDefault="000839A4" w:rsidP="000839A4">
      <w:pPr>
        <w:spacing w:before="120" w:after="120"/>
        <w:rPr>
          <w:strike/>
          <w:szCs w:val="24"/>
        </w:rPr>
      </w:pPr>
      <w:r w:rsidRPr="000839A4">
        <w:rPr>
          <w:strike/>
          <w:szCs w:val="24"/>
        </w:rPr>
        <w:t xml:space="preserve">(4) U hmotného majetku, který lze podle tohoto zákona odpisovat, avšak z něhož zahraniční položky obdobného charakteru jako odpisy nebylo možné u vkladatele uplatňovat, lze u nabyvatele odpisovat ze vstupní ceny podle § 29 odst. 1 písm. g). </w:t>
      </w:r>
    </w:p>
    <w:p w14:paraId="49D86850" w14:textId="77777777" w:rsidR="000839A4" w:rsidRPr="000839A4" w:rsidRDefault="000839A4" w:rsidP="00D90D00">
      <w:pPr>
        <w:keepNext/>
        <w:pBdr>
          <w:top w:val="single" w:sz="12" w:space="1" w:color="0070C0"/>
          <w:left w:val="single" w:sz="12" w:space="4" w:color="0070C0"/>
          <w:bottom w:val="single" w:sz="12" w:space="1" w:color="0070C0"/>
          <w:right w:val="single" w:sz="12" w:space="4" w:color="0070C0"/>
        </w:pBdr>
        <w:ind w:firstLine="0"/>
        <w:jc w:val="center"/>
        <w:rPr>
          <w:strike/>
          <w:szCs w:val="24"/>
        </w:rPr>
      </w:pPr>
      <w:r w:rsidRPr="000839A4">
        <w:rPr>
          <w:strike/>
          <w:szCs w:val="24"/>
        </w:rPr>
        <w:t>§ 32d</w:t>
      </w:r>
    </w:p>
    <w:p w14:paraId="0E26B442" w14:textId="77777777" w:rsidR="000839A4" w:rsidRPr="000839A4" w:rsidRDefault="000839A4" w:rsidP="00D90D00">
      <w:pPr>
        <w:pBdr>
          <w:top w:val="single" w:sz="12" w:space="1" w:color="0070C0"/>
          <w:left w:val="single" w:sz="12" w:space="4" w:color="0070C0"/>
          <w:bottom w:val="single" w:sz="12" w:space="1" w:color="0070C0"/>
          <w:right w:val="single" w:sz="12" w:space="4" w:color="0070C0"/>
        </w:pBdr>
        <w:spacing w:before="120" w:after="120"/>
        <w:rPr>
          <w:strike/>
          <w:szCs w:val="24"/>
        </w:rPr>
      </w:pPr>
      <w:r w:rsidRPr="000839A4">
        <w:rPr>
          <w:strike/>
          <w:szCs w:val="24"/>
        </w:rPr>
        <w:t>U hmotného majetku, který byl přemístěn ze zahraničí do stálé provozovny poplatníka uvedeného v § 2 odst. 3 nebo v § 17 odst. 4 na území České republiky a který byl tímto poplatníkem odpisován v zahraničí, odpisuje poplatník tento majetek obdobně jako nabyvatel majetku podle § 32c.</w:t>
      </w:r>
    </w:p>
    <w:p w14:paraId="7DDE10BA" w14:textId="77777777" w:rsidR="000839A4" w:rsidRPr="000839A4" w:rsidRDefault="000839A4" w:rsidP="00D90D00">
      <w:pPr>
        <w:pBdr>
          <w:top w:val="single" w:sz="12" w:space="1" w:color="0070C0"/>
          <w:left w:val="single" w:sz="12" w:space="4" w:color="0070C0"/>
          <w:bottom w:val="single" w:sz="12" w:space="1" w:color="0070C0"/>
          <w:right w:val="single" w:sz="12" w:space="4" w:color="0070C0"/>
        </w:pBdr>
        <w:spacing w:before="120"/>
        <w:ind w:firstLine="0"/>
        <w:jc w:val="center"/>
        <w:rPr>
          <w:b/>
          <w:strike/>
          <w:noProof/>
          <w:szCs w:val="28"/>
        </w:rPr>
      </w:pPr>
      <w:bookmarkStart w:id="25" w:name="_Hlk118896089"/>
      <w:r w:rsidRPr="000839A4">
        <w:rPr>
          <w:b/>
          <w:strike/>
          <w:noProof/>
          <w:szCs w:val="28"/>
        </w:rPr>
        <w:t>§ 32d</w:t>
      </w:r>
    </w:p>
    <w:p w14:paraId="4B34BE15" w14:textId="77777777" w:rsidR="000839A4" w:rsidRPr="000839A4" w:rsidRDefault="000839A4" w:rsidP="00D90D00">
      <w:pPr>
        <w:pBdr>
          <w:top w:val="single" w:sz="12" w:space="1" w:color="0070C0"/>
          <w:left w:val="single" w:sz="12" w:space="4" w:color="0070C0"/>
          <w:bottom w:val="single" w:sz="12" w:space="1" w:color="0070C0"/>
          <w:right w:val="single" w:sz="12" w:space="4" w:color="0070C0"/>
        </w:pBdr>
        <w:spacing w:before="120"/>
        <w:ind w:firstLine="0"/>
        <w:jc w:val="center"/>
        <w:rPr>
          <w:b/>
          <w:bCs/>
          <w:strike/>
          <w:szCs w:val="28"/>
        </w:rPr>
      </w:pPr>
      <w:r w:rsidRPr="000839A4">
        <w:rPr>
          <w:b/>
          <w:bCs/>
          <w:strike/>
          <w:noProof/>
          <w:szCs w:val="28"/>
        </w:rPr>
        <w:t>Odpisy hmotného majetku odpisovaného v zahraničí</w:t>
      </w:r>
    </w:p>
    <w:p w14:paraId="416D180D" w14:textId="77777777" w:rsidR="000839A4" w:rsidRPr="000839A4" w:rsidRDefault="000839A4" w:rsidP="00D90D00">
      <w:pPr>
        <w:pBdr>
          <w:top w:val="single" w:sz="12" w:space="1" w:color="0070C0"/>
          <w:left w:val="single" w:sz="12" w:space="4" w:color="0070C0"/>
          <w:bottom w:val="single" w:sz="12" w:space="1" w:color="0070C0"/>
          <w:right w:val="single" w:sz="12" w:space="4" w:color="0070C0"/>
        </w:pBdr>
        <w:spacing w:before="120" w:after="120"/>
        <w:rPr>
          <w:b/>
          <w:strike/>
          <w:szCs w:val="24"/>
        </w:rPr>
      </w:pPr>
      <w:r w:rsidRPr="000839A4">
        <w:rPr>
          <w:b/>
          <w:strike/>
          <w:szCs w:val="24"/>
        </w:rPr>
        <w:t>Hmotný majetek, který byl odpisovaný v zahraničí před změnou daňového rezidenství poplatníka ze zahraničí do České republiky, nebo před jeho přeřazením do stálé provozovny poplatníka, který je daňovým nerezidentem, umístěné v České republice, poplatník odpisuje po tomto přemístění nebo přeřazení obdobně jako nabyvatel majetku podle § 32c.</w:t>
      </w:r>
      <w:bookmarkEnd w:id="25"/>
    </w:p>
    <w:p w14:paraId="11407E32" w14:textId="77777777" w:rsidR="000839A4" w:rsidRPr="000839A4" w:rsidRDefault="000839A4" w:rsidP="000839A4">
      <w:pPr>
        <w:keepNext/>
        <w:ind w:firstLine="0"/>
        <w:jc w:val="center"/>
        <w:rPr>
          <w:strike/>
          <w:szCs w:val="24"/>
        </w:rPr>
      </w:pPr>
      <w:r w:rsidRPr="000839A4">
        <w:rPr>
          <w:strike/>
          <w:szCs w:val="24"/>
        </w:rPr>
        <w:t>§ 33</w:t>
      </w:r>
    </w:p>
    <w:p w14:paraId="723604F9" w14:textId="77777777" w:rsidR="000839A4" w:rsidRPr="000839A4" w:rsidRDefault="000839A4" w:rsidP="000839A4">
      <w:pPr>
        <w:spacing w:before="120" w:after="120"/>
        <w:rPr>
          <w:strike/>
          <w:szCs w:val="24"/>
        </w:rPr>
      </w:pPr>
      <w:r w:rsidRPr="000839A4">
        <w:rPr>
          <w:strike/>
          <w:szCs w:val="24"/>
        </w:rPr>
        <w:t xml:space="preserve">(1) Technickým zhodnocením se pro účely tohoto zákona rozumí vždy výdaje na dokončené nástavby, přístavby a stavební úpravy, rekonstrukce a modernizace majetku, pokud převýšily u jednotlivého majetku v úhrnu 80 000 Kč. Technickým zhodnocením jsou i uvedené </w:t>
      </w:r>
      <w:r w:rsidRPr="000839A4">
        <w:rPr>
          <w:strike/>
          <w:szCs w:val="24"/>
        </w:rPr>
        <w:lastRenderedPageBreak/>
        <w:t xml:space="preserve">výdaje nepřesahující stanovené částky, které poplatník na základě svého rozhodnutí neuplatní jako výdaj (náklad) podle § 24 odst. 2 písm. </w:t>
      </w:r>
      <w:proofErr w:type="spellStart"/>
      <w:r w:rsidRPr="000839A4">
        <w:rPr>
          <w:strike/>
          <w:szCs w:val="24"/>
        </w:rPr>
        <w:t>zb</w:t>
      </w:r>
      <w:proofErr w:type="spellEnd"/>
      <w:r w:rsidRPr="000839A4">
        <w:rPr>
          <w:strike/>
          <w:szCs w:val="24"/>
        </w:rPr>
        <w:t xml:space="preserve">). </w:t>
      </w:r>
    </w:p>
    <w:p w14:paraId="1D69C93B" w14:textId="77777777" w:rsidR="000839A4" w:rsidRPr="000839A4" w:rsidRDefault="000839A4" w:rsidP="000839A4">
      <w:pPr>
        <w:spacing w:before="120" w:after="120"/>
        <w:rPr>
          <w:strike/>
          <w:szCs w:val="24"/>
        </w:rPr>
      </w:pPr>
      <w:r w:rsidRPr="000839A4">
        <w:rPr>
          <w:strike/>
          <w:szCs w:val="24"/>
        </w:rPr>
        <w:t xml:space="preserve">(2) Rekonstrukcí se pro účely tohoto zákona rozumí zásahy do majetku, které mají za následek změnu jeho účelu nebo technických parametrů. </w:t>
      </w:r>
    </w:p>
    <w:p w14:paraId="7E59B12D" w14:textId="77777777" w:rsidR="000839A4" w:rsidRPr="000839A4" w:rsidRDefault="000839A4" w:rsidP="000839A4">
      <w:pPr>
        <w:spacing w:before="120" w:after="120"/>
        <w:rPr>
          <w:strike/>
          <w:szCs w:val="24"/>
        </w:rPr>
      </w:pPr>
      <w:r w:rsidRPr="000839A4">
        <w:rPr>
          <w:strike/>
          <w:szCs w:val="24"/>
        </w:rPr>
        <w:t xml:space="preserve">(3) Modernizací se pro účely tohoto zákona rozumí rozšíření vybavenosti nebo použitelnosti majetku. </w:t>
      </w:r>
    </w:p>
    <w:p w14:paraId="51EEF5E5" w14:textId="77777777" w:rsidR="000839A4" w:rsidRPr="000839A4" w:rsidRDefault="000839A4" w:rsidP="000839A4">
      <w:pPr>
        <w:spacing w:before="120" w:after="120"/>
        <w:rPr>
          <w:strike/>
          <w:szCs w:val="24"/>
        </w:rPr>
      </w:pPr>
      <w:r w:rsidRPr="000839A4">
        <w:rPr>
          <w:strike/>
          <w:szCs w:val="24"/>
        </w:rPr>
        <w:t xml:space="preserve">(4) Technickým zhodnocením jsou také výdaje podle odstavce 1, pokud je hradí budoucí nájemce na cizím hmotném majetku v průběhu jeho pořizování za podmínky, že se stane nájemcem tohoto hmotného majetku nebo jeho části, a vlastník tohoto hmotného majetku nezahrne výdaje vynaložené budoucím nájemcem do vstupní ceny. </w:t>
      </w:r>
    </w:p>
    <w:p w14:paraId="575C376B" w14:textId="77777777" w:rsidR="000839A4" w:rsidRPr="000839A4" w:rsidRDefault="000839A4" w:rsidP="000839A4">
      <w:pPr>
        <w:spacing w:before="120" w:after="120"/>
        <w:rPr>
          <w:strike/>
          <w:szCs w:val="24"/>
        </w:rPr>
      </w:pPr>
      <w:r w:rsidRPr="000839A4">
        <w:rPr>
          <w:strike/>
          <w:szCs w:val="24"/>
        </w:rPr>
        <w:t xml:space="preserve">(5) Ustanovení odstavce 1 se použije i na technické zhodnocení, podává-li se daňové přiznání za jiné období, než je zdaňovací období vymezené tímto zákonem. </w:t>
      </w:r>
    </w:p>
    <w:p w14:paraId="07C6ECED" w14:textId="77777777" w:rsidR="000839A4" w:rsidRPr="000839A4" w:rsidRDefault="000839A4" w:rsidP="000839A4">
      <w:pPr>
        <w:keepNext/>
        <w:ind w:firstLine="0"/>
        <w:jc w:val="center"/>
        <w:rPr>
          <w:strike/>
          <w:szCs w:val="24"/>
        </w:rPr>
      </w:pPr>
      <w:r w:rsidRPr="000839A4">
        <w:rPr>
          <w:strike/>
          <w:szCs w:val="24"/>
        </w:rPr>
        <w:t>§ 33a</w:t>
      </w:r>
    </w:p>
    <w:p w14:paraId="757BE688" w14:textId="77777777" w:rsidR="000839A4" w:rsidRPr="000839A4" w:rsidRDefault="000839A4" w:rsidP="000839A4">
      <w:pPr>
        <w:keepNext/>
        <w:ind w:firstLine="0"/>
        <w:jc w:val="center"/>
        <w:rPr>
          <w:b/>
          <w:strike/>
          <w:szCs w:val="24"/>
        </w:rPr>
      </w:pPr>
      <w:r w:rsidRPr="000839A4">
        <w:rPr>
          <w:b/>
          <w:strike/>
          <w:szCs w:val="24"/>
        </w:rPr>
        <w:t xml:space="preserve">Závazné posouzení skutečnosti, zda je zásah do majetku technickým zhodnocením </w:t>
      </w:r>
    </w:p>
    <w:p w14:paraId="2D47F694" w14:textId="77777777" w:rsidR="000839A4" w:rsidRPr="000839A4" w:rsidRDefault="000839A4" w:rsidP="000839A4">
      <w:pPr>
        <w:spacing w:before="120" w:after="120"/>
        <w:rPr>
          <w:strike/>
          <w:szCs w:val="24"/>
        </w:rPr>
      </w:pPr>
      <w:r w:rsidRPr="000839A4">
        <w:rPr>
          <w:strike/>
          <w:szCs w:val="24"/>
        </w:rPr>
        <w:t xml:space="preserve">(1) Poplatník, který bude provádět, provádí nebo provedl zásah do majetku, může požádat příslušného správce daně o vydání rozhodnutí o závazném posouzení, zda je tento zásah do majetku technickým zhodnocením podle a § 33. </w:t>
      </w:r>
    </w:p>
    <w:p w14:paraId="3CCB5951" w14:textId="77777777" w:rsidR="000839A4" w:rsidRPr="000839A4" w:rsidRDefault="000839A4" w:rsidP="000839A4">
      <w:pPr>
        <w:spacing w:before="120" w:after="120"/>
        <w:rPr>
          <w:strike/>
          <w:szCs w:val="24"/>
        </w:rPr>
      </w:pPr>
      <w:r w:rsidRPr="000839A4">
        <w:rPr>
          <w:strike/>
          <w:szCs w:val="24"/>
        </w:rPr>
        <w:t xml:space="preserve">(2) V žádosti o vydání rozhodnutí o závazném posouzení zásahu do majetku podle odstavce 1 poplatník uvede </w:t>
      </w:r>
    </w:p>
    <w:p w14:paraId="602E5230" w14:textId="77777777" w:rsidR="000839A4" w:rsidRPr="000839A4" w:rsidRDefault="000839A4" w:rsidP="000839A4">
      <w:pPr>
        <w:tabs>
          <w:tab w:val="left" w:pos="357"/>
        </w:tabs>
        <w:spacing w:before="0"/>
        <w:ind w:left="357" w:hanging="357"/>
        <w:rPr>
          <w:strike/>
          <w:szCs w:val="24"/>
        </w:rPr>
      </w:pPr>
      <w:r w:rsidRPr="000839A4">
        <w:rPr>
          <w:strike/>
          <w:szCs w:val="24"/>
        </w:rPr>
        <w:t>a)</w:t>
      </w:r>
      <w:r w:rsidRPr="000839A4">
        <w:rPr>
          <w:strike/>
          <w:szCs w:val="24"/>
        </w:rPr>
        <w:tab/>
        <w:t xml:space="preserve">jméno, bydliště a sídlo podnikatele, je-li poplatník fyzickou osobou, nebo název, právní formu a sídlo, je-li poplatník právnickou osobou, a daňové identifikační číslo, pokud bylo přiděleno, </w:t>
      </w:r>
    </w:p>
    <w:p w14:paraId="6C13EC80" w14:textId="77777777" w:rsidR="000839A4" w:rsidRPr="000839A4" w:rsidRDefault="000839A4" w:rsidP="000839A4">
      <w:pPr>
        <w:tabs>
          <w:tab w:val="left" w:pos="357"/>
        </w:tabs>
        <w:spacing w:before="0"/>
        <w:ind w:left="357" w:hanging="357"/>
        <w:rPr>
          <w:strike/>
          <w:szCs w:val="24"/>
        </w:rPr>
      </w:pPr>
      <w:r w:rsidRPr="000839A4">
        <w:rPr>
          <w:strike/>
          <w:szCs w:val="24"/>
        </w:rPr>
        <w:t>b)</w:t>
      </w:r>
      <w:r w:rsidRPr="000839A4">
        <w:rPr>
          <w:strike/>
          <w:szCs w:val="24"/>
        </w:rPr>
        <w:tab/>
        <w:t xml:space="preserve">název, popis nebo číselné označení majetku, do něhož bude, je nebo bylo zasahováno (dále jen "posuzovaný majetek"), datum a způsob jeho pořízení a uvedení do užívání, jeho ocenění a údaje o zvoleném postupu účetního a daňového odpisování, </w:t>
      </w:r>
    </w:p>
    <w:p w14:paraId="5364EE5F" w14:textId="77777777" w:rsidR="000839A4" w:rsidRPr="000839A4" w:rsidRDefault="000839A4" w:rsidP="000839A4">
      <w:pPr>
        <w:tabs>
          <w:tab w:val="left" w:pos="357"/>
        </w:tabs>
        <w:spacing w:before="0"/>
        <w:ind w:left="357" w:hanging="357"/>
        <w:rPr>
          <w:strike/>
          <w:szCs w:val="24"/>
        </w:rPr>
      </w:pPr>
      <w:r w:rsidRPr="000839A4">
        <w:rPr>
          <w:strike/>
          <w:szCs w:val="24"/>
        </w:rPr>
        <w:t>c)</w:t>
      </w:r>
      <w:r w:rsidRPr="000839A4">
        <w:rPr>
          <w:strike/>
          <w:szCs w:val="24"/>
        </w:rPr>
        <w:tab/>
        <w:t xml:space="preserve">u posuzovaného majetku, který tvoří soubor hmotných movitých věcí, rovněž jednotlivé části souboru věcně a v hodnotovém vyjádření; pokud k tomuto souboru hmotných movitých věcí byla přiřazena další věc nebo naopak byla vyřazena, datum přiřazení nebo vyřazení této věci, </w:t>
      </w:r>
    </w:p>
    <w:p w14:paraId="6219A6B9" w14:textId="77777777" w:rsidR="000839A4" w:rsidRPr="000839A4" w:rsidRDefault="000839A4" w:rsidP="000839A4">
      <w:pPr>
        <w:tabs>
          <w:tab w:val="left" w:pos="357"/>
        </w:tabs>
        <w:spacing w:before="0"/>
        <w:ind w:left="357" w:hanging="357"/>
        <w:rPr>
          <w:strike/>
          <w:szCs w:val="24"/>
        </w:rPr>
      </w:pPr>
      <w:r w:rsidRPr="000839A4">
        <w:rPr>
          <w:strike/>
          <w:szCs w:val="24"/>
        </w:rPr>
        <w:t>d)</w:t>
      </w:r>
      <w:r w:rsidRPr="000839A4">
        <w:rPr>
          <w:strike/>
          <w:szCs w:val="24"/>
        </w:rPr>
        <w:tab/>
        <w:t xml:space="preserve">popis stavu posuzovaného majetku při pořízení a před zahájením zásahu, popis současného využití majetku a využití majetku po provedení zásahu, </w:t>
      </w:r>
    </w:p>
    <w:p w14:paraId="0D1DFCD9" w14:textId="77777777" w:rsidR="000839A4" w:rsidRPr="000839A4" w:rsidRDefault="000839A4" w:rsidP="000839A4">
      <w:pPr>
        <w:tabs>
          <w:tab w:val="left" w:pos="357"/>
        </w:tabs>
        <w:spacing w:before="0"/>
        <w:ind w:left="357" w:hanging="357"/>
        <w:rPr>
          <w:strike/>
          <w:szCs w:val="24"/>
        </w:rPr>
      </w:pPr>
      <w:r w:rsidRPr="000839A4">
        <w:rPr>
          <w:strike/>
          <w:szCs w:val="24"/>
        </w:rPr>
        <w:t>e)</w:t>
      </w:r>
      <w:r w:rsidRPr="000839A4">
        <w:rPr>
          <w:strike/>
          <w:szCs w:val="24"/>
        </w:rPr>
        <w:tab/>
        <w:t xml:space="preserve">výdaje (náklady), u kterých má poplatník pochybnosti včetně zdůvodnění těchto pochybností, </w:t>
      </w:r>
    </w:p>
    <w:p w14:paraId="5279CB0D" w14:textId="77777777" w:rsidR="000839A4" w:rsidRPr="000839A4" w:rsidRDefault="000839A4" w:rsidP="000839A4">
      <w:pPr>
        <w:tabs>
          <w:tab w:val="left" w:pos="357"/>
        </w:tabs>
        <w:spacing w:before="0"/>
        <w:ind w:left="357" w:hanging="357"/>
        <w:rPr>
          <w:strike/>
          <w:szCs w:val="24"/>
        </w:rPr>
      </w:pPr>
      <w:r w:rsidRPr="000839A4">
        <w:rPr>
          <w:strike/>
          <w:szCs w:val="24"/>
        </w:rPr>
        <w:t>f)</w:t>
      </w:r>
      <w:r w:rsidRPr="000839A4">
        <w:rPr>
          <w:strike/>
          <w:szCs w:val="24"/>
        </w:rPr>
        <w:tab/>
        <w:t xml:space="preserve">popis prací, které budou, jsou nebo byly vykonány v rámci zásahu do posuzovaného majetku, </w:t>
      </w:r>
    </w:p>
    <w:p w14:paraId="256F90BC" w14:textId="77777777" w:rsidR="000839A4" w:rsidRPr="000839A4" w:rsidRDefault="000839A4" w:rsidP="000839A4">
      <w:pPr>
        <w:tabs>
          <w:tab w:val="left" w:pos="357"/>
        </w:tabs>
        <w:spacing w:before="0"/>
        <w:ind w:left="357" w:hanging="357"/>
        <w:rPr>
          <w:strike/>
          <w:szCs w:val="24"/>
        </w:rPr>
      </w:pPr>
      <w:r w:rsidRPr="000839A4">
        <w:rPr>
          <w:strike/>
          <w:szCs w:val="24"/>
        </w:rPr>
        <w:t>g)</w:t>
      </w:r>
      <w:r w:rsidRPr="000839A4">
        <w:rPr>
          <w:strike/>
          <w:szCs w:val="24"/>
        </w:rPr>
        <w:tab/>
        <w:t xml:space="preserve">předpokládaný rozpočet zásahu do majetku nebo v případě ukončení zásahu do posuzovaného majetku souhrn skutečně vynaložených výdajů (nákladů), </w:t>
      </w:r>
    </w:p>
    <w:p w14:paraId="44103C10" w14:textId="77777777" w:rsidR="000839A4" w:rsidRPr="000839A4" w:rsidRDefault="000839A4" w:rsidP="000839A4">
      <w:pPr>
        <w:tabs>
          <w:tab w:val="left" w:pos="357"/>
        </w:tabs>
        <w:spacing w:before="0"/>
        <w:ind w:left="357" w:hanging="357"/>
        <w:rPr>
          <w:strike/>
          <w:szCs w:val="24"/>
        </w:rPr>
      </w:pPr>
      <w:r w:rsidRPr="000839A4">
        <w:rPr>
          <w:strike/>
          <w:szCs w:val="24"/>
        </w:rPr>
        <w:t>h)</w:t>
      </w:r>
      <w:r w:rsidRPr="000839A4">
        <w:rPr>
          <w:strike/>
          <w:szCs w:val="24"/>
        </w:rPr>
        <w:tab/>
        <w:t xml:space="preserve"> zdaňovací období, kterého se má rozhodnutí o závazném posouzení zásahu do majetku podle odstavce 1 týkat, </w:t>
      </w:r>
    </w:p>
    <w:p w14:paraId="3DDCFB64" w14:textId="77777777" w:rsidR="000839A4" w:rsidRPr="000839A4" w:rsidRDefault="000839A4" w:rsidP="000839A4">
      <w:pPr>
        <w:tabs>
          <w:tab w:val="left" w:pos="357"/>
        </w:tabs>
        <w:spacing w:before="0"/>
        <w:ind w:left="357" w:hanging="357"/>
        <w:rPr>
          <w:strike/>
          <w:szCs w:val="24"/>
        </w:rPr>
      </w:pPr>
      <w:r w:rsidRPr="000839A4">
        <w:rPr>
          <w:strike/>
          <w:szCs w:val="24"/>
        </w:rPr>
        <w:t>i)</w:t>
      </w:r>
      <w:r w:rsidRPr="000839A4">
        <w:rPr>
          <w:strike/>
          <w:szCs w:val="24"/>
        </w:rPr>
        <w:tab/>
        <w:t xml:space="preserve">návrh výroku rozhodnutí o závazném posouzení zásahu do majetku podle odstavce 1. </w:t>
      </w:r>
    </w:p>
    <w:p w14:paraId="61A51367" w14:textId="77777777" w:rsidR="000839A4" w:rsidRPr="000839A4" w:rsidRDefault="000839A4" w:rsidP="000839A4">
      <w:pPr>
        <w:spacing w:before="120" w:after="120"/>
        <w:rPr>
          <w:strike/>
          <w:szCs w:val="24"/>
        </w:rPr>
      </w:pPr>
      <w:r w:rsidRPr="000839A4">
        <w:rPr>
          <w:strike/>
          <w:szCs w:val="24"/>
        </w:rPr>
        <w:t xml:space="preserve">(3) Poplatník spolu s podáním žádosti o vydání rozhodnutí o závazném posouzení zásahu do majetku podle odstavce 1 je povinen předložit </w:t>
      </w:r>
    </w:p>
    <w:p w14:paraId="14E63BB9" w14:textId="77777777" w:rsidR="000839A4" w:rsidRPr="000839A4" w:rsidRDefault="000839A4" w:rsidP="000839A4">
      <w:pPr>
        <w:tabs>
          <w:tab w:val="left" w:pos="357"/>
        </w:tabs>
        <w:spacing w:before="0"/>
        <w:ind w:left="357" w:hanging="357"/>
        <w:rPr>
          <w:strike/>
          <w:szCs w:val="24"/>
        </w:rPr>
      </w:pPr>
      <w:r w:rsidRPr="000839A4">
        <w:rPr>
          <w:strike/>
          <w:szCs w:val="24"/>
        </w:rPr>
        <w:lastRenderedPageBreak/>
        <w:t>a)</w:t>
      </w:r>
      <w:r w:rsidRPr="000839A4">
        <w:rPr>
          <w:strike/>
          <w:szCs w:val="24"/>
        </w:rPr>
        <w:tab/>
        <w:t xml:space="preserve">doklad o vlastnictví posuzovaného majetku, v případě zásahu do posuzovaného majetku v nájmu i souhlas vlastníka posuzovaného majetku, popřípadě pronajímatele s předpokládanými zásahy, </w:t>
      </w:r>
    </w:p>
    <w:p w14:paraId="5F8DF1DC" w14:textId="77777777" w:rsidR="000839A4" w:rsidRPr="000839A4" w:rsidRDefault="000839A4" w:rsidP="000839A4">
      <w:pPr>
        <w:tabs>
          <w:tab w:val="left" w:pos="357"/>
        </w:tabs>
        <w:spacing w:before="0"/>
        <w:ind w:left="357" w:hanging="357"/>
        <w:rPr>
          <w:strike/>
          <w:szCs w:val="24"/>
        </w:rPr>
      </w:pPr>
      <w:r w:rsidRPr="000839A4">
        <w:rPr>
          <w:strike/>
          <w:szCs w:val="24"/>
        </w:rPr>
        <w:t>b)</w:t>
      </w:r>
      <w:r w:rsidRPr="000839A4">
        <w:rPr>
          <w:strike/>
          <w:szCs w:val="24"/>
        </w:rPr>
        <w:tab/>
        <w:t xml:space="preserve">dokumentaci v rozsahu umožňujícím posouzení, zda je zásah do posuzovaného majetku technickým zhodnocením podle § 33, v případě zásahu do nemovité věci stavební dokumentaci zachycující změny v nemovité věci. </w:t>
      </w:r>
    </w:p>
    <w:p w14:paraId="638473F7" w14:textId="77777777" w:rsidR="000839A4" w:rsidRPr="000839A4" w:rsidRDefault="000839A4" w:rsidP="000839A4">
      <w:pPr>
        <w:keepNext/>
        <w:spacing w:before="120"/>
        <w:ind w:firstLine="0"/>
        <w:jc w:val="center"/>
        <w:outlineLvl w:val="7"/>
        <w:rPr>
          <w:b/>
        </w:rPr>
      </w:pPr>
      <w:r w:rsidRPr="000839A4">
        <w:rPr>
          <w:b/>
        </w:rPr>
        <w:t>Hlava X</w:t>
      </w:r>
    </w:p>
    <w:p w14:paraId="6B61ABE9" w14:textId="77777777" w:rsidR="000839A4" w:rsidRPr="000839A4" w:rsidRDefault="000839A4" w:rsidP="000839A4">
      <w:pPr>
        <w:keepNext/>
        <w:spacing w:before="120"/>
        <w:ind w:firstLine="0"/>
        <w:jc w:val="center"/>
        <w:outlineLvl w:val="7"/>
        <w:rPr>
          <w:b/>
          <w:bCs/>
        </w:rPr>
      </w:pPr>
      <w:r w:rsidRPr="000839A4">
        <w:rPr>
          <w:b/>
          <w:bCs/>
        </w:rPr>
        <w:t>Položky odčitatelné od základu daně</w:t>
      </w:r>
    </w:p>
    <w:p w14:paraId="1D0CFA0A" w14:textId="77777777" w:rsidR="000839A4" w:rsidRPr="000839A4" w:rsidRDefault="000839A4" w:rsidP="000839A4">
      <w:pPr>
        <w:keepNext/>
        <w:ind w:firstLine="0"/>
        <w:jc w:val="center"/>
        <w:rPr>
          <w:szCs w:val="24"/>
        </w:rPr>
      </w:pPr>
      <w:r w:rsidRPr="000839A4">
        <w:rPr>
          <w:szCs w:val="24"/>
        </w:rPr>
        <w:t>§ 34</w:t>
      </w:r>
    </w:p>
    <w:p w14:paraId="15E116CB" w14:textId="77777777" w:rsidR="000839A4" w:rsidRPr="000839A4" w:rsidRDefault="000839A4" w:rsidP="000839A4">
      <w:pPr>
        <w:keepNext/>
        <w:ind w:firstLine="0"/>
        <w:jc w:val="center"/>
        <w:rPr>
          <w:b/>
          <w:szCs w:val="24"/>
        </w:rPr>
      </w:pPr>
      <w:r w:rsidRPr="000839A4">
        <w:rPr>
          <w:b/>
          <w:strike/>
          <w:szCs w:val="24"/>
        </w:rPr>
        <w:t>Položky odčitatelné</w:t>
      </w:r>
      <w:r w:rsidRPr="000839A4">
        <w:rPr>
          <w:b/>
          <w:szCs w:val="24"/>
        </w:rPr>
        <w:t xml:space="preserve"> Vymezení položek odčitatelných od základu daně </w:t>
      </w:r>
    </w:p>
    <w:p w14:paraId="77343652" w14:textId="77777777" w:rsidR="000839A4" w:rsidRPr="000839A4" w:rsidRDefault="000839A4" w:rsidP="000839A4">
      <w:pPr>
        <w:spacing w:before="120" w:after="120"/>
        <w:rPr>
          <w:szCs w:val="24"/>
        </w:rPr>
      </w:pPr>
      <w:r w:rsidRPr="000839A4">
        <w:rPr>
          <w:szCs w:val="24"/>
        </w:rPr>
        <w:t xml:space="preserve">(1) </w:t>
      </w:r>
      <w:r w:rsidRPr="000839A4">
        <w:rPr>
          <w:strike/>
          <w:szCs w:val="24"/>
        </w:rPr>
        <w:t>Od základu daně lze odečíst pravomocně stanovenou daňovou ztrátu nebo její část, a to ve 2 zdaňovacích obdobích bezprostředně předcházejících zdaňovacímu období nebo období, za které se podává daňové přiznání, za která se daňová ztráta stanoví, nebo v 5 zdaňovacích obdobích bezprostředně následujících po období, za které se daňová ztráta stanoví. Poplatník se může vzdát práva na uplatnění daňové ztráty pro zdaňovací období následující po období, za které se tato daňová ztráta stanoví, oznámením správci daně ve lhůtě pro podání daňového přiznání za období, za které se daňová ztráta stanoví; lhůtu pro podání tohoto oznámení nelze navrátit v předešlý stav.</w:t>
      </w:r>
      <w:r w:rsidRPr="000839A4">
        <w:rPr>
          <w:szCs w:val="24"/>
        </w:rPr>
        <w:t xml:space="preserve"> </w:t>
      </w:r>
      <w:r w:rsidRPr="000839A4">
        <w:rPr>
          <w:b/>
          <w:noProof/>
          <w:szCs w:val="24"/>
        </w:rPr>
        <w:t xml:space="preserve">Od základu daně lze odečíst pravomocně stanovenou daňovou ztrátu nebo její část, a to ve zdaňovacích obdobích, která započala v období 2 let před začátkem zdaňovacího období, za které se daňová ztráta stanoví, nebo v období 5 let po skončení tohoto období. Období 2 let a období 5 let počíná běžet dnem, kdy došlo ke skutečnosti určující počátek běhu doby, a připadne-li poslední den na sobotu, neděli nebo svátek, končí toto období v tento den. </w:t>
      </w:r>
      <w:r w:rsidRPr="000839A4">
        <w:rPr>
          <w:strike/>
          <w:szCs w:val="24"/>
        </w:rPr>
        <w:t>Vzdání se práva má účinky pro všechna období následující po období, za které se tato daňová ztráta stanoví. Vzdání se práva na uplatnění daňové ztráty nelze vzít zpět.</w:t>
      </w:r>
      <w:r w:rsidRPr="000839A4">
        <w:rPr>
          <w:szCs w:val="24"/>
        </w:rPr>
        <w:t xml:space="preserve"> Ve zdaňovacích obdobích předcházejících období, za které se daňová ztráta stanoví, lze tuto daňovou ztrátu odečíst od základu daně pouze do souhrnné výše nepřesahující 30 000 000 Kč. U poplatníka, který je společníkem veřejné obchodní společnosti, se daňová ztráta upraví o část základu daně nebo část daňové ztráty veřejné obchodní společnosti; přitom tato část základu daně nebo daňové ztráty se stanoví ve stejném poměru, v jakém je rozdělován zisk podle společenské smlouvy, jinak rovným dílem. U poplatníka, který je komplementářem komanditní společnosti, se daňová ztráta upraví o část základu daně nebo část daňové ztráty komanditní společnosti určené ve stejném poměru, v jakém je rozdělován zisk nebo ztráta komanditní společnosti podle zvláštního právního předpisu. U poplatníka daně z příjmů fyzických osob lze daňovou ztrátu odečíst od základu daně pouze do výše úhrnu dílčích základů daně podle § 7 až 10. V daňovém přiznání nebo dodatečném daňovém přiznání poplatník také uvede zdaňovací období </w:t>
      </w:r>
      <w:r w:rsidRPr="000839A4">
        <w:rPr>
          <w:strike/>
          <w:szCs w:val="24"/>
        </w:rPr>
        <w:t>nebo období, za které se podává daňové přiznání, za která</w:t>
      </w:r>
      <w:r w:rsidRPr="000839A4">
        <w:rPr>
          <w:b/>
          <w:szCs w:val="24"/>
        </w:rPr>
        <w:t xml:space="preserve">, za které </w:t>
      </w:r>
      <w:r w:rsidRPr="000839A4">
        <w:rPr>
          <w:szCs w:val="24"/>
        </w:rPr>
        <w:t>byla daňová ztráta, kterou uplatňuje jako položku odčitatelnou od základu daně, stanovena, a výši, v jaké ji uplatňuje.</w:t>
      </w:r>
    </w:p>
    <w:p w14:paraId="2914DA0E" w14:textId="77777777" w:rsidR="000839A4" w:rsidRPr="000839A4" w:rsidRDefault="000839A4" w:rsidP="000839A4">
      <w:pPr>
        <w:spacing w:before="120" w:after="120"/>
        <w:rPr>
          <w:b/>
          <w:noProof/>
          <w:szCs w:val="24"/>
        </w:rPr>
      </w:pPr>
      <w:r w:rsidRPr="000839A4">
        <w:rPr>
          <w:b/>
          <w:noProof/>
          <w:szCs w:val="24"/>
        </w:rPr>
        <w:t>(2) Poplatník se může vzdát práva na uplatnění daňové ztráty pro zdaňovací období následující po období, za které se tato daňová ztráta stanoví, oznámením správci daně ve lhůtě pro podání daňového přiznání za období, za které se daňová ztráta stanoví; lhůtu pro podání tohoto oznámení nelze navrátit v předešlý stav. Vzdání se práva má účinky pro všechna období následující po období, za které se tato daňová ztráta stanoví. Vzdání se práva na uplatnění daňové ztráty nelze vzít zpět.</w:t>
      </w:r>
    </w:p>
    <w:p w14:paraId="1FFE2514" w14:textId="77777777" w:rsidR="000839A4" w:rsidRPr="000839A4" w:rsidRDefault="000839A4" w:rsidP="000839A4">
      <w:pPr>
        <w:spacing w:before="120" w:after="120"/>
        <w:rPr>
          <w:szCs w:val="24"/>
        </w:rPr>
      </w:pPr>
      <w:proofErr w:type="gramStart"/>
      <w:r w:rsidRPr="000839A4">
        <w:rPr>
          <w:strike/>
          <w:szCs w:val="24"/>
        </w:rPr>
        <w:lastRenderedPageBreak/>
        <w:t>(2)</w:t>
      </w:r>
      <w:r w:rsidRPr="000839A4">
        <w:rPr>
          <w:b/>
          <w:szCs w:val="24"/>
        </w:rPr>
        <w:t>(3)</w:t>
      </w:r>
      <w:r w:rsidRPr="000839A4">
        <w:rPr>
          <w:szCs w:val="24"/>
        </w:rPr>
        <w:t xml:space="preserve"> Pro</w:t>
      </w:r>
      <w:proofErr w:type="gramEnd"/>
      <w:r w:rsidRPr="000839A4">
        <w:rPr>
          <w:szCs w:val="24"/>
        </w:rPr>
        <w:t xml:space="preserve"> stanovení daňové ztráty, kterou lze podle odstavce 1 odečíst, platí ustanovení § 23 až 33 a § 38n. U komanditní společnosti se daňová ztráta snižuje o částku připadající komplementářům. </w:t>
      </w:r>
    </w:p>
    <w:p w14:paraId="73E12982" w14:textId="77777777" w:rsidR="000839A4" w:rsidRPr="000839A4" w:rsidRDefault="000839A4" w:rsidP="000839A4">
      <w:pPr>
        <w:spacing w:before="120" w:after="120"/>
        <w:rPr>
          <w:szCs w:val="24"/>
        </w:rPr>
      </w:pPr>
      <w:proofErr w:type="gramStart"/>
      <w:r w:rsidRPr="000839A4">
        <w:rPr>
          <w:strike/>
          <w:szCs w:val="24"/>
        </w:rPr>
        <w:t>(3)</w:t>
      </w:r>
      <w:r w:rsidRPr="000839A4">
        <w:rPr>
          <w:b/>
          <w:szCs w:val="24"/>
        </w:rPr>
        <w:t>(4)</w:t>
      </w:r>
      <w:r w:rsidRPr="000839A4">
        <w:rPr>
          <w:szCs w:val="24"/>
        </w:rPr>
        <w:t xml:space="preserve"> Ustanovení</w:t>
      </w:r>
      <w:proofErr w:type="gramEnd"/>
      <w:r w:rsidRPr="000839A4">
        <w:rPr>
          <w:szCs w:val="24"/>
        </w:rPr>
        <w:t xml:space="preserve"> odstavců 1 </w:t>
      </w:r>
      <w:r w:rsidRPr="000839A4">
        <w:rPr>
          <w:strike/>
          <w:szCs w:val="24"/>
        </w:rPr>
        <w:t>a 2</w:t>
      </w:r>
      <w:r w:rsidRPr="000839A4">
        <w:rPr>
          <w:szCs w:val="24"/>
        </w:rPr>
        <w:t xml:space="preserve"> </w:t>
      </w:r>
      <w:r w:rsidRPr="000839A4">
        <w:rPr>
          <w:b/>
          <w:szCs w:val="24"/>
        </w:rPr>
        <w:t>až 3</w:t>
      </w:r>
      <w:r w:rsidRPr="000839A4">
        <w:rPr>
          <w:szCs w:val="24"/>
        </w:rPr>
        <w:t xml:space="preserve"> se nevztahují na obecně prospěšné společnosti, s výjimkou obecně prospěšných společností, které jsou vysokou školou nebo poskytovateli zdravotních služeb, kteří mají oprávnění k poskytování zdravotních služeb podle zákona upravujícího zdravotní služby. </w:t>
      </w:r>
    </w:p>
    <w:p w14:paraId="200257BD" w14:textId="77777777" w:rsidR="000839A4" w:rsidRPr="000839A4" w:rsidRDefault="000839A4" w:rsidP="000839A4">
      <w:pPr>
        <w:spacing w:before="120" w:after="120"/>
        <w:rPr>
          <w:szCs w:val="24"/>
        </w:rPr>
      </w:pPr>
      <w:proofErr w:type="gramStart"/>
      <w:r w:rsidRPr="000839A4">
        <w:rPr>
          <w:strike/>
          <w:szCs w:val="24"/>
        </w:rPr>
        <w:t>(4)</w:t>
      </w:r>
      <w:r w:rsidRPr="000839A4">
        <w:rPr>
          <w:b/>
          <w:szCs w:val="24"/>
        </w:rPr>
        <w:t>(5)</w:t>
      </w:r>
      <w:r w:rsidRPr="000839A4">
        <w:rPr>
          <w:szCs w:val="24"/>
        </w:rPr>
        <w:t xml:space="preserve"> Od</w:t>
      </w:r>
      <w:proofErr w:type="gramEnd"/>
      <w:r w:rsidRPr="000839A4">
        <w:rPr>
          <w:szCs w:val="24"/>
        </w:rPr>
        <w:t xml:space="preserve"> základu daně lze odečíst odpočet na podporu výzkumu a vývoje nebo odpočet na podporu odborného vzdělávání. </w:t>
      </w:r>
    </w:p>
    <w:p w14:paraId="14ECBCB6" w14:textId="77777777" w:rsidR="000839A4" w:rsidRPr="000839A4" w:rsidRDefault="000839A4" w:rsidP="000839A4">
      <w:pPr>
        <w:spacing w:before="120" w:after="120"/>
        <w:rPr>
          <w:szCs w:val="24"/>
        </w:rPr>
      </w:pPr>
      <w:proofErr w:type="gramStart"/>
      <w:r w:rsidRPr="000839A4">
        <w:rPr>
          <w:strike/>
          <w:szCs w:val="24"/>
        </w:rPr>
        <w:t>(5)</w:t>
      </w:r>
      <w:r w:rsidRPr="000839A4">
        <w:rPr>
          <w:b/>
          <w:szCs w:val="24"/>
        </w:rPr>
        <w:t>(6)</w:t>
      </w:r>
      <w:r w:rsidRPr="000839A4">
        <w:rPr>
          <w:szCs w:val="24"/>
        </w:rPr>
        <w:t xml:space="preserve"> Pokud</w:t>
      </w:r>
      <w:proofErr w:type="gramEnd"/>
      <w:r w:rsidRPr="000839A4">
        <w:rPr>
          <w:szCs w:val="24"/>
        </w:rPr>
        <w:t xml:space="preserve"> není možné odpočet na podporu výzkumu a vývoje nebo odpočet na podporu odborného vzdělávání odečíst z důvodu nízkého základu daně nebo daňové ztráty, lze je odečíst nejpozději ve třetím období následujícím po období, ve kterém vznikly. </w:t>
      </w:r>
    </w:p>
    <w:p w14:paraId="59105DCB" w14:textId="77777777" w:rsidR="000839A4" w:rsidRPr="000839A4" w:rsidRDefault="000839A4" w:rsidP="000839A4">
      <w:pPr>
        <w:keepNext/>
        <w:ind w:firstLine="0"/>
        <w:jc w:val="center"/>
        <w:rPr>
          <w:szCs w:val="24"/>
        </w:rPr>
      </w:pPr>
      <w:r w:rsidRPr="000839A4">
        <w:rPr>
          <w:szCs w:val="24"/>
        </w:rPr>
        <w:t>§ 34a</w:t>
      </w:r>
    </w:p>
    <w:p w14:paraId="63EB201E" w14:textId="77777777" w:rsidR="000839A4" w:rsidRPr="000839A4" w:rsidRDefault="000839A4" w:rsidP="000839A4">
      <w:pPr>
        <w:keepNext/>
        <w:ind w:firstLine="0"/>
        <w:jc w:val="center"/>
        <w:rPr>
          <w:b/>
          <w:szCs w:val="24"/>
        </w:rPr>
      </w:pPr>
      <w:r w:rsidRPr="000839A4">
        <w:rPr>
          <w:b/>
          <w:szCs w:val="24"/>
        </w:rPr>
        <w:t xml:space="preserve">Výše odpočtu na podporu výzkumu a vývoje </w:t>
      </w:r>
    </w:p>
    <w:p w14:paraId="4E3C03E7" w14:textId="77777777" w:rsidR="000839A4" w:rsidRPr="000839A4" w:rsidRDefault="000839A4" w:rsidP="000839A4">
      <w:pPr>
        <w:spacing w:before="120" w:after="120"/>
        <w:rPr>
          <w:szCs w:val="24"/>
        </w:rPr>
      </w:pPr>
      <w:r w:rsidRPr="000839A4">
        <w:rPr>
          <w:szCs w:val="24"/>
        </w:rPr>
        <w:t xml:space="preserve">(1) Odpočet na podporu výzkumu a vývoje činí součet </w:t>
      </w:r>
    </w:p>
    <w:p w14:paraId="6F6E890F"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 xml:space="preserve">100 % výdajů vynaložených v období na výzkum a vývoj zahrnovaných do odpočtu, které nepřevyšují úhrn výdajů vynaložených v rozhodné době na výzkum a vývoj zahrnovaných do odpočtu, a </w:t>
      </w:r>
    </w:p>
    <w:p w14:paraId="7E8D03F9"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 xml:space="preserve">110 % výdajů vynaložených v období na výzkum a vývoj zahrnovaných do odpočtu, které převyšují úhrn výdajů vynaložených v rozhodné době na výzkum a vývoj zahrnovaných do odpočtu. </w:t>
      </w:r>
    </w:p>
    <w:p w14:paraId="02DE6DA8" w14:textId="77777777" w:rsidR="000839A4" w:rsidRPr="000839A4" w:rsidRDefault="000839A4" w:rsidP="000839A4">
      <w:pPr>
        <w:spacing w:before="120" w:after="120"/>
        <w:rPr>
          <w:szCs w:val="24"/>
        </w:rPr>
      </w:pPr>
      <w:r w:rsidRPr="000839A4">
        <w:rPr>
          <w:szCs w:val="24"/>
        </w:rPr>
        <w:t xml:space="preserve">(2) Rozhodnou dobou se pro účely odpočtu na podporu výzkumu a vývoje rozumí doba, která </w:t>
      </w:r>
    </w:p>
    <w:p w14:paraId="2A2185CC"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 xml:space="preserve">končí dnem předcházejícím dni, ve kterém začíná období, a </w:t>
      </w:r>
    </w:p>
    <w:p w14:paraId="6316ACB1"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 xml:space="preserve">je stejně dlouhá jako období. </w:t>
      </w:r>
    </w:p>
    <w:p w14:paraId="77EBDB03" w14:textId="77777777" w:rsidR="000839A4" w:rsidRPr="000839A4" w:rsidRDefault="000839A4" w:rsidP="000839A4">
      <w:pPr>
        <w:spacing w:before="120" w:after="120"/>
        <w:rPr>
          <w:strike/>
          <w:szCs w:val="24"/>
        </w:rPr>
      </w:pPr>
      <w:r w:rsidRPr="000839A4">
        <w:rPr>
          <w:strike/>
          <w:szCs w:val="24"/>
        </w:rPr>
        <w:t xml:space="preserve">(3) Obdobím se pro účely odpočtu na podporu výzkumu a vývoje rozumí </w:t>
      </w:r>
    </w:p>
    <w:p w14:paraId="2E3E04B1" w14:textId="77777777" w:rsidR="000839A4" w:rsidRPr="000839A4" w:rsidRDefault="000839A4" w:rsidP="000839A4">
      <w:pPr>
        <w:tabs>
          <w:tab w:val="left" w:pos="357"/>
        </w:tabs>
        <w:spacing w:before="0"/>
        <w:ind w:left="357" w:hanging="357"/>
        <w:rPr>
          <w:strike/>
          <w:szCs w:val="24"/>
        </w:rPr>
      </w:pPr>
      <w:r w:rsidRPr="000839A4">
        <w:rPr>
          <w:strike/>
          <w:szCs w:val="24"/>
        </w:rPr>
        <w:t>a)</w:t>
      </w:r>
      <w:r w:rsidRPr="000839A4">
        <w:rPr>
          <w:strike/>
          <w:szCs w:val="24"/>
        </w:rPr>
        <w:tab/>
        <w:t xml:space="preserve">zdaňovací období, nebo </w:t>
      </w:r>
    </w:p>
    <w:p w14:paraId="1C46C4DB" w14:textId="77777777" w:rsidR="000839A4" w:rsidRPr="000839A4" w:rsidRDefault="000839A4" w:rsidP="000839A4">
      <w:pPr>
        <w:tabs>
          <w:tab w:val="left" w:pos="357"/>
        </w:tabs>
        <w:spacing w:before="0"/>
        <w:ind w:left="357" w:hanging="357"/>
        <w:rPr>
          <w:strike/>
          <w:szCs w:val="24"/>
        </w:rPr>
      </w:pPr>
      <w:r w:rsidRPr="000839A4">
        <w:rPr>
          <w:strike/>
          <w:szCs w:val="24"/>
        </w:rPr>
        <w:t>b)</w:t>
      </w:r>
      <w:r w:rsidRPr="000839A4">
        <w:rPr>
          <w:strike/>
          <w:szCs w:val="24"/>
        </w:rPr>
        <w:tab/>
        <w:t xml:space="preserve">období, za které se podává daňové přiznání. </w:t>
      </w:r>
    </w:p>
    <w:p w14:paraId="61FAD521" w14:textId="77777777" w:rsidR="000839A4" w:rsidRPr="000839A4" w:rsidRDefault="000839A4" w:rsidP="000839A4">
      <w:pPr>
        <w:spacing w:before="120" w:after="120"/>
        <w:rPr>
          <w:strike/>
          <w:szCs w:val="24"/>
        </w:rPr>
      </w:pPr>
      <w:r w:rsidRPr="000839A4">
        <w:rPr>
          <w:b/>
          <w:szCs w:val="24"/>
        </w:rPr>
        <w:t>(3) Obdobím se pro účely odpočtu na podporu výzkumu a vývoje rozumí zdaňovací období.</w:t>
      </w:r>
    </w:p>
    <w:p w14:paraId="6ECF4F71" w14:textId="77777777" w:rsidR="000839A4" w:rsidRPr="000839A4" w:rsidRDefault="000839A4" w:rsidP="000839A4">
      <w:pPr>
        <w:keepNext/>
        <w:ind w:firstLine="0"/>
        <w:jc w:val="center"/>
        <w:rPr>
          <w:szCs w:val="24"/>
        </w:rPr>
      </w:pPr>
      <w:r w:rsidRPr="000839A4">
        <w:rPr>
          <w:szCs w:val="24"/>
        </w:rPr>
        <w:t>§ 34b</w:t>
      </w:r>
    </w:p>
    <w:p w14:paraId="222796F1" w14:textId="77777777" w:rsidR="000839A4" w:rsidRPr="000839A4" w:rsidRDefault="000839A4" w:rsidP="000839A4">
      <w:pPr>
        <w:keepNext/>
        <w:ind w:firstLine="0"/>
        <w:jc w:val="center"/>
        <w:rPr>
          <w:b/>
          <w:szCs w:val="24"/>
        </w:rPr>
      </w:pPr>
      <w:r w:rsidRPr="000839A4">
        <w:rPr>
          <w:b/>
          <w:szCs w:val="24"/>
        </w:rPr>
        <w:t xml:space="preserve">Výdaje vynaložené na výzkum a vývoj zahrnované do odpočtu </w:t>
      </w:r>
    </w:p>
    <w:p w14:paraId="63D65CD0" w14:textId="77777777" w:rsidR="000839A4" w:rsidRPr="000839A4" w:rsidRDefault="000839A4" w:rsidP="000839A4">
      <w:pPr>
        <w:spacing w:before="120" w:after="120"/>
        <w:rPr>
          <w:szCs w:val="24"/>
        </w:rPr>
      </w:pPr>
      <w:proofErr w:type="gramStart"/>
      <w:r w:rsidRPr="000839A4">
        <w:rPr>
          <w:szCs w:val="24"/>
        </w:rPr>
        <w:t>(1) Výdaji</w:t>
      </w:r>
      <w:proofErr w:type="gramEnd"/>
      <w:r w:rsidRPr="000839A4">
        <w:rPr>
          <w:szCs w:val="24"/>
        </w:rPr>
        <w:t xml:space="preserve"> vynaloženými na výzkum a vývoj zahrnovanými do odpočtu se rozumí výdaje (náklady), </w:t>
      </w:r>
      <w:proofErr w:type="gramStart"/>
      <w:r w:rsidRPr="000839A4">
        <w:rPr>
          <w:szCs w:val="24"/>
        </w:rPr>
        <w:t>které</w:t>
      </w:r>
      <w:proofErr w:type="gramEnd"/>
      <w:r w:rsidRPr="000839A4">
        <w:rPr>
          <w:szCs w:val="24"/>
        </w:rPr>
        <w:t xml:space="preserve"> </w:t>
      </w:r>
    </w:p>
    <w:p w14:paraId="31B3796C"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 xml:space="preserve">poplatník vynaložil ode dne podání oznámení o záměru odečíst od základu daně odpočet na podporu výzkumu a vývoje při realizaci projektu výzkumu a vývoje na </w:t>
      </w:r>
    </w:p>
    <w:p w14:paraId="4D45E040" w14:textId="77777777" w:rsidR="000839A4" w:rsidRPr="000839A4" w:rsidRDefault="000839A4" w:rsidP="000839A4">
      <w:pPr>
        <w:tabs>
          <w:tab w:val="left" w:pos="357"/>
        </w:tabs>
        <w:spacing w:before="0"/>
        <w:ind w:left="714" w:hanging="357"/>
        <w:rPr>
          <w:szCs w:val="24"/>
        </w:rPr>
      </w:pPr>
      <w:r w:rsidRPr="000839A4">
        <w:rPr>
          <w:szCs w:val="24"/>
        </w:rPr>
        <w:t>1.</w:t>
      </w:r>
      <w:r w:rsidRPr="000839A4">
        <w:rPr>
          <w:szCs w:val="24"/>
        </w:rPr>
        <w:tab/>
        <w:t xml:space="preserve">experimentální či teoretické práce, </w:t>
      </w:r>
    </w:p>
    <w:p w14:paraId="0CB8E40D" w14:textId="77777777" w:rsidR="000839A4" w:rsidRPr="000839A4" w:rsidRDefault="000839A4" w:rsidP="000839A4">
      <w:pPr>
        <w:tabs>
          <w:tab w:val="left" w:pos="357"/>
        </w:tabs>
        <w:spacing w:before="0"/>
        <w:ind w:left="714" w:hanging="357"/>
        <w:rPr>
          <w:szCs w:val="24"/>
        </w:rPr>
      </w:pPr>
      <w:r w:rsidRPr="000839A4">
        <w:rPr>
          <w:szCs w:val="24"/>
        </w:rPr>
        <w:t>2.</w:t>
      </w:r>
      <w:r w:rsidRPr="000839A4">
        <w:rPr>
          <w:szCs w:val="24"/>
        </w:rPr>
        <w:tab/>
        <w:t xml:space="preserve">projekční a konstrukční práce, </w:t>
      </w:r>
    </w:p>
    <w:p w14:paraId="2C11704F" w14:textId="77777777" w:rsidR="000839A4" w:rsidRPr="000839A4" w:rsidRDefault="000839A4" w:rsidP="000839A4">
      <w:pPr>
        <w:tabs>
          <w:tab w:val="left" w:pos="357"/>
        </w:tabs>
        <w:spacing w:before="0"/>
        <w:ind w:left="714" w:hanging="357"/>
        <w:rPr>
          <w:szCs w:val="24"/>
        </w:rPr>
      </w:pPr>
      <w:r w:rsidRPr="000839A4">
        <w:rPr>
          <w:szCs w:val="24"/>
        </w:rPr>
        <w:t>3.</w:t>
      </w:r>
      <w:r w:rsidRPr="000839A4">
        <w:rPr>
          <w:szCs w:val="24"/>
        </w:rPr>
        <w:tab/>
        <w:t xml:space="preserve">výpočty, </w:t>
      </w:r>
    </w:p>
    <w:p w14:paraId="340E5945" w14:textId="77777777" w:rsidR="000839A4" w:rsidRPr="000839A4" w:rsidRDefault="000839A4" w:rsidP="000839A4">
      <w:pPr>
        <w:tabs>
          <w:tab w:val="left" w:pos="357"/>
        </w:tabs>
        <w:spacing w:before="0"/>
        <w:ind w:left="714" w:hanging="357"/>
        <w:rPr>
          <w:szCs w:val="24"/>
        </w:rPr>
      </w:pPr>
      <w:r w:rsidRPr="000839A4">
        <w:rPr>
          <w:szCs w:val="24"/>
        </w:rPr>
        <w:t>4.</w:t>
      </w:r>
      <w:r w:rsidRPr="000839A4">
        <w:rPr>
          <w:szCs w:val="24"/>
        </w:rPr>
        <w:tab/>
        <w:t xml:space="preserve">návrhy technologií, </w:t>
      </w:r>
    </w:p>
    <w:p w14:paraId="25838C5A" w14:textId="77777777" w:rsidR="000839A4" w:rsidRPr="000839A4" w:rsidRDefault="000839A4" w:rsidP="000839A4">
      <w:pPr>
        <w:tabs>
          <w:tab w:val="left" w:pos="357"/>
        </w:tabs>
        <w:spacing w:before="0"/>
        <w:ind w:left="714" w:hanging="357"/>
        <w:rPr>
          <w:szCs w:val="24"/>
        </w:rPr>
      </w:pPr>
      <w:r w:rsidRPr="000839A4">
        <w:rPr>
          <w:szCs w:val="24"/>
        </w:rPr>
        <w:lastRenderedPageBreak/>
        <w:t>5.</w:t>
      </w:r>
      <w:r w:rsidRPr="000839A4">
        <w:rPr>
          <w:szCs w:val="24"/>
        </w:rPr>
        <w:tab/>
        <w:t xml:space="preserve">výrobu funkčního vzorku či prototypu produktu nebo jeho části související s realizací projektu výzkumu a vývoje, </w:t>
      </w:r>
    </w:p>
    <w:p w14:paraId="42AC1BD5"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 xml:space="preserve">jsou výdaji (náklady) na dosažení zajištění a udržení příjmů a </w:t>
      </w:r>
    </w:p>
    <w:p w14:paraId="5FB48AA0" w14:textId="77777777" w:rsidR="000839A4" w:rsidRPr="000839A4" w:rsidRDefault="000839A4" w:rsidP="000839A4">
      <w:pPr>
        <w:tabs>
          <w:tab w:val="left" w:pos="357"/>
        </w:tabs>
        <w:spacing w:before="0"/>
        <w:ind w:left="357" w:hanging="357"/>
        <w:rPr>
          <w:szCs w:val="24"/>
        </w:rPr>
      </w:pPr>
      <w:r w:rsidRPr="000839A4">
        <w:rPr>
          <w:szCs w:val="24"/>
        </w:rPr>
        <w:t>c)</w:t>
      </w:r>
      <w:r w:rsidRPr="000839A4">
        <w:rPr>
          <w:szCs w:val="24"/>
        </w:rPr>
        <w:tab/>
        <w:t xml:space="preserve">jsou evidovány odděleně od ostatních výdajů (nákladů). </w:t>
      </w:r>
    </w:p>
    <w:p w14:paraId="2C370A92" w14:textId="77777777" w:rsidR="000839A4" w:rsidRPr="000839A4" w:rsidRDefault="000839A4" w:rsidP="000839A4">
      <w:pPr>
        <w:spacing w:before="120" w:after="120"/>
        <w:rPr>
          <w:szCs w:val="24"/>
        </w:rPr>
      </w:pPr>
      <w:r w:rsidRPr="000839A4">
        <w:rPr>
          <w:szCs w:val="24"/>
        </w:rPr>
        <w:t xml:space="preserve">(2) Výdaji vynaloženými na výzkum a vývoj zahrnovanými do odpočtu nejsou </w:t>
      </w:r>
    </w:p>
    <w:p w14:paraId="569D52D6"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 xml:space="preserve">výdaje (náklady), na něž byla byť jen z části poskytnuta podpora z veřejných zdrojů, </w:t>
      </w:r>
    </w:p>
    <w:p w14:paraId="6C7FC6BD"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 xml:space="preserve">výdaje (náklady) na služby, s výjimkou výdajů (nákladů) na </w:t>
      </w:r>
    </w:p>
    <w:p w14:paraId="7CF8292F" w14:textId="77777777" w:rsidR="000839A4" w:rsidRPr="000839A4" w:rsidRDefault="000839A4" w:rsidP="000839A4">
      <w:pPr>
        <w:tabs>
          <w:tab w:val="left" w:pos="357"/>
        </w:tabs>
        <w:spacing w:before="0"/>
        <w:ind w:left="714" w:hanging="357"/>
        <w:rPr>
          <w:szCs w:val="24"/>
        </w:rPr>
      </w:pPr>
      <w:r w:rsidRPr="000839A4">
        <w:rPr>
          <w:szCs w:val="24"/>
        </w:rPr>
        <w:t>1.</w:t>
      </w:r>
      <w:r w:rsidRPr="000839A4">
        <w:rPr>
          <w:szCs w:val="24"/>
        </w:rPr>
        <w:tab/>
        <w:t xml:space="preserve">služby, které souvisí s realizací projektu výzkumu a vývoje a které jsou pořízeny od veřejné vysoké školy nebo výzkumné organizace vymezené v zákoně upravujícím podporu výzkumu a vývoje pro účely poskytování podpory, a to v podobě činností uvedených v odstavci 1 písm. a), </w:t>
      </w:r>
    </w:p>
    <w:p w14:paraId="5750D8E6" w14:textId="77777777" w:rsidR="000839A4" w:rsidRPr="000839A4" w:rsidRDefault="000839A4" w:rsidP="000839A4">
      <w:pPr>
        <w:tabs>
          <w:tab w:val="left" w:pos="357"/>
        </w:tabs>
        <w:spacing w:before="0"/>
        <w:ind w:left="714" w:hanging="357"/>
        <w:rPr>
          <w:b/>
          <w:szCs w:val="24"/>
        </w:rPr>
      </w:pPr>
      <w:r w:rsidRPr="000839A4">
        <w:rPr>
          <w:szCs w:val="24"/>
        </w:rPr>
        <w:t>2.</w:t>
      </w:r>
      <w:r w:rsidRPr="000839A4">
        <w:rPr>
          <w:szCs w:val="24"/>
        </w:rPr>
        <w:tab/>
        <w:t xml:space="preserve">služby, které souvisí s realizací projektu výzkumu a vývoje a které spočívají v ověření nebo prokázání toho, že výsledek výzkumu a vývoje splňuje požadavky stanovené právními předpisy, pokud výdaje na ověření nebo prokázání nebyly zahrnuty do odpočtu u jiného </w:t>
      </w:r>
      <w:proofErr w:type="gramStart"/>
      <w:r w:rsidRPr="000839A4">
        <w:rPr>
          <w:szCs w:val="24"/>
        </w:rPr>
        <w:t>poplatníka</w:t>
      </w:r>
      <w:r w:rsidRPr="000839A4">
        <w:rPr>
          <w:strike/>
          <w:szCs w:val="24"/>
        </w:rPr>
        <w:t>,</w:t>
      </w:r>
      <w:r w:rsidRPr="000839A4">
        <w:rPr>
          <w:b/>
          <w:szCs w:val="24"/>
        </w:rPr>
        <w:t>.</w:t>
      </w:r>
      <w:proofErr w:type="gramEnd"/>
    </w:p>
    <w:p w14:paraId="539DCDE3" w14:textId="77777777" w:rsidR="000839A4" w:rsidRPr="000839A4" w:rsidRDefault="000839A4" w:rsidP="000839A4">
      <w:pPr>
        <w:tabs>
          <w:tab w:val="left" w:pos="357"/>
        </w:tabs>
        <w:spacing w:before="0"/>
        <w:ind w:left="714" w:hanging="357"/>
        <w:rPr>
          <w:strike/>
          <w:szCs w:val="24"/>
        </w:rPr>
      </w:pPr>
      <w:r w:rsidRPr="000839A4">
        <w:rPr>
          <w:strike/>
          <w:szCs w:val="24"/>
        </w:rPr>
        <w:t>3.</w:t>
      </w:r>
      <w:r w:rsidRPr="000839A4">
        <w:rPr>
          <w:strike/>
          <w:szCs w:val="24"/>
        </w:rPr>
        <w:tab/>
        <w:t xml:space="preserve">úplatu u finančního leasingu hmotného movitého majetku, která souvisí s realizací projektu výzkumu a vývoje, </w:t>
      </w:r>
    </w:p>
    <w:p w14:paraId="67F0719A" w14:textId="77777777" w:rsidR="000839A4" w:rsidRPr="000839A4" w:rsidRDefault="000839A4" w:rsidP="000839A4">
      <w:pPr>
        <w:tabs>
          <w:tab w:val="left" w:pos="357"/>
        </w:tabs>
        <w:spacing w:before="0"/>
        <w:ind w:left="357" w:hanging="357"/>
        <w:rPr>
          <w:szCs w:val="24"/>
        </w:rPr>
      </w:pPr>
      <w:r w:rsidRPr="000839A4">
        <w:rPr>
          <w:szCs w:val="24"/>
        </w:rPr>
        <w:t>c)</w:t>
      </w:r>
      <w:r w:rsidRPr="000839A4">
        <w:rPr>
          <w:szCs w:val="24"/>
        </w:rPr>
        <w:tab/>
        <w:t xml:space="preserve">licenční poplatky, </w:t>
      </w:r>
    </w:p>
    <w:p w14:paraId="0E430F9E" w14:textId="77777777" w:rsidR="000839A4" w:rsidRPr="000839A4" w:rsidRDefault="000839A4" w:rsidP="000839A4">
      <w:pPr>
        <w:tabs>
          <w:tab w:val="left" w:pos="357"/>
        </w:tabs>
        <w:spacing w:before="0"/>
        <w:ind w:left="357" w:hanging="357"/>
        <w:rPr>
          <w:szCs w:val="24"/>
        </w:rPr>
      </w:pPr>
      <w:r w:rsidRPr="000839A4">
        <w:rPr>
          <w:szCs w:val="24"/>
        </w:rPr>
        <w:t>d)</w:t>
      </w:r>
      <w:r w:rsidRPr="000839A4">
        <w:rPr>
          <w:szCs w:val="24"/>
        </w:rPr>
        <w:tab/>
        <w:t xml:space="preserve">výdaje (náklady) na nehmotné výsledky výzkumu a vývoje pořízené od jiných osob s výjimkou těch, které souvisí s realizací projektu výzkumu a vývoje a které jsou pořízeny od veřejné vysoké školy nebo výzkumné organizace vymezené v zákoně upravujícím podporu výzkumu a vývoje pro účely poskytování podpory. </w:t>
      </w:r>
    </w:p>
    <w:p w14:paraId="3DBADEBD" w14:textId="77777777" w:rsidR="000839A4" w:rsidRPr="000839A4" w:rsidRDefault="000839A4" w:rsidP="000839A4">
      <w:pPr>
        <w:spacing w:before="120" w:after="120"/>
        <w:rPr>
          <w:szCs w:val="24"/>
        </w:rPr>
      </w:pPr>
      <w:r w:rsidRPr="000839A4">
        <w:rPr>
          <w:szCs w:val="24"/>
        </w:rPr>
        <w:t xml:space="preserve">(3) Pokud výdaje (náklady) podle odstavce 1 souvisejí s realizací projektů výzkumu a vývoje pouze zčásti, zahrnují se do výdajů vynaložených na výzkum a vývoj zahrnovaných do odpočtu pouze jejich poměrné části. </w:t>
      </w:r>
    </w:p>
    <w:p w14:paraId="44FFD74B" w14:textId="77777777" w:rsidR="000839A4" w:rsidRPr="000839A4" w:rsidRDefault="000839A4" w:rsidP="000839A4">
      <w:pPr>
        <w:keepNext/>
        <w:ind w:firstLine="0"/>
        <w:jc w:val="center"/>
        <w:rPr>
          <w:szCs w:val="24"/>
        </w:rPr>
      </w:pPr>
      <w:r w:rsidRPr="000839A4">
        <w:rPr>
          <w:szCs w:val="24"/>
        </w:rPr>
        <w:t>§ 34ba</w:t>
      </w:r>
    </w:p>
    <w:p w14:paraId="25F341E6" w14:textId="77777777" w:rsidR="000839A4" w:rsidRPr="000839A4" w:rsidRDefault="000839A4" w:rsidP="000839A4">
      <w:pPr>
        <w:keepNext/>
        <w:ind w:firstLine="0"/>
        <w:jc w:val="center"/>
        <w:rPr>
          <w:b/>
          <w:szCs w:val="24"/>
        </w:rPr>
      </w:pPr>
      <w:r w:rsidRPr="000839A4">
        <w:rPr>
          <w:b/>
          <w:szCs w:val="24"/>
        </w:rPr>
        <w:t>Oznámení o záměru odečíst od základu daně odpočet na podporu výzkumu a vývoje</w:t>
      </w:r>
    </w:p>
    <w:p w14:paraId="0033CC61" w14:textId="77777777" w:rsidR="000839A4" w:rsidRPr="000839A4" w:rsidRDefault="000839A4" w:rsidP="000839A4">
      <w:pPr>
        <w:spacing w:before="120" w:after="120"/>
        <w:rPr>
          <w:szCs w:val="24"/>
        </w:rPr>
      </w:pPr>
      <w:r w:rsidRPr="000839A4">
        <w:rPr>
          <w:szCs w:val="24"/>
        </w:rPr>
        <w:t>(1) Poplatník, který hodlá v souvislosti s realizací projektu výzkumu a vývoje odečíst od základu daně odpočet na podporu výzkumu a vývoje, oznámí tuto skutečnost správci daně zvlášť za jednotlivý projekt výzkumu a vývoje.</w:t>
      </w:r>
    </w:p>
    <w:p w14:paraId="5E346513" w14:textId="77777777" w:rsidR="000839A4" w:rsidRPr="000839A4" w:rsidRDefault="000839A4" w:rsidP="000839A4">
      <w:pPr>
        <w:spacing w:before="120" w:after="120"/>
        <w:rPr>
          <w:szCs w:val="24"/>
        </w:rPr>
      </w:pPr>
      <w:r w:rsidRPr="000839A4">
        <w:rPr>
          <w:szCs w:val="24"/>
        </w:rPr>
        <w:t>(2) V oznámení podle odstavce 1 je poplatník povinen uvést</w:t>
      </w:r>
    </w:p>
    <w:p w14:paraId="1B1680D1"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název projektu výzkumu a vývoje vystihující jeho obecné zaměření a</w:t>
      </w:r>
    </w:p>
    <w:p w14:paraId="49589DE7"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základní identifikační údaje o poplatníkovi, kterými jsou</w:t>
      </w:r>
    </w:p>
    <w:p w14:paraId="67AE87CC" w14:textId="77777777" w:rsidR="000839A4" w:rsidRPr="000839A4" w:rsidRDefault="000839A4" w:rsidP="000839A4">
      <w:pPr>
        <w:tabs>
          <w:tab w:val="left" w:pos="357"/>
        </w:tabs>
        <w:spacing w:before="0"/>
        <w:ind w:left="714" w:hanging="357"/>
        <w:rPr>
          <w:szCs w:val="24"/>
        </w:rPr>
      </w:pPr>
      <w:r w:rsidRPr="000839A4">
        <w:rPr>
          <w:szCs w:val="24"/>
        </w:rPr>
        <w:t>1.</w:t>
      </w:r>
      <w:r w:rsidRPr="000839A4">
        <w:rPr>
          <w:szCs w:val="24"/>
        </w:rPr>
        <w:tab/>
        <w:t>obchodní firma nebo název a adresa sídla poplatníka, je-li poplatníkem daně z příjmů právnických osob,</w:t>
      </w:r>
    </w:p>
    <w:p w14:paraId="2D9C97FE" w14:textId="77777777" w:rsidR="000839A4" w:rsidRPr="000839A4" w:rsidRDefault="000839A4" w:rsidP="000839A4">
      <w:pPr>
        <w:tabs>
          <w:tab w:val="left" w:pos="357"/>
        </w:tabs>
        <w:spacing w:before="0"/>
        <w:ind w:left="714" w:hanging="357"/>
        <w:rPr>
          <w:szCs w:val="24"/>
        </w:rPr>
      </w:pPr>
      <w:r w:rsidRPr="000839A4">
        <w:rPr>
          <w:szCs w:val="24"/>
        </w:rPr>
        <w:t>2.</w:t>
      </w:r>
      <w:r w:rsidRPr="000839A4">
        <w:rPr>
          <w:szCs w:val="24"/>
        </w:rPr>
        <w:tab/>
        <w:t>jméno, adresa sídla podnikatele a adresa místa trvalého pobytu poplatníka, je-li poplatníkem daně z příjmů fyzických osob, a</w:t>
      </w:r>
    </w:p>
    <w:p w14:paraId="6B7FC0EA" w14:textId="77777777" w:rsidR="000839A4" w:rsidRPr="000839A4" w:rsidRDefault="000839A4" w:rsidP="000839A4">
      <w:pPr>
        <w:tabs>
          <w:tab w:val="left" w:pos="357"/>
        </w:tabs>
        <w:spacing w:before="0"/>
        <w:ind w:left="714" w:hanging="357"/>
        <w:rPr>
          <w:szCs w:val="24"/>
        </w:rPr>
      </w:pPr>
      <w:r w:rsidRPr="000839A4">
        <w:rPr>
          <w:szCs w:val="24"/>
        </w:rPr>
        <w:t>3.</w:t>
      </w:r>
      <w:r w:rsidRPr="000839A4">
        <w:rPr>
          <w:szCs w:val="24"/>
        </w:rPr>
        <w:tab/>
        <w:t>daňové identifikační číslo, pokud bylo přiděleno.</w:t>
      </w:r>
    </w:p>
    <w:p w14:paraId="1F18C274" w14:textId="77777777" w:rsidR="000839A4" w:rsidRPr="000839A4" w:rsidRDefault="000839A4" w:rsidP="000839A4">
      <w:pPr>
        <w:spacing w:before="120" w:after="120"/>
        <w:rPr>
          <w:szCs w:val="24"/>
        </w:rPr>
      </w:pPr>
      <w:r w:rsidRPr="000839A4">
        <w:rPr>
          <w:szCs w:val="24"/>
        </w:rPr>
        <w:t>(3) Pokuta za nesplnění povinnosti nepeněžité povahy se neuplatní v případě, že poplatník nepodá oznámení o záměru odečíst od základu daně odpočet na podporu výzkumu a vývoje.</w:t>
      </w:r>
    </w:p>
    <w:p w14:paraId="13E88FEB" w14:textId="77777777" w:rsidR="000839A4" w:rsidRPr="000839A4" w:rsidRDefault="000839A4" w:rsidP="000839A4">
      <w:pPr>
        <w:keepNext/>
        <w:ind w:firstLine="0"/>
        <w:jc w:val="center"/>
        <w:rPr>
          <w:szCs w:val="24"/>
        </w:rPr>
      </w:pPr>
      <w:r w:rsidRPr="000839A4">
        <w:rPr>
          <w:szCs w:val="24"/>
        </w:rPr>
        <w:lastRenderedPageBreak/>
        <w:t>§ 34c</w:t>
      </w:r>
    </w:p>
    <w:p w14:paraId="5BE5F18D" w14:textId="77777777" w:rsidR="000839A4" w:rsidRPr="000839A4" w:rsidRDefault="000839A4" w:rsidP="000839A4">
      <w:pPr>
        <w:keepNext/>
        <w:ind w:firstLine="0"/>
        <w:jc w:val="center"/>
        <w:rPr>
          <w:b/>
          <w:szCs w:val="24"/>
        </w:rPr>
      </w:pPr>
      <w:r w:rsidRPr="000839A4">
        <w:rPr>
          <w:b/>
          <w:szCs w:val="24"/>
        </w:rPr>
        <w:t>Projektová dokumentace</w:t>
      </w:r>
    </w:p>
    <w:p w14:paraId="1F709D7E" w14:textId="77777777" w:rsidR="000839A4" w:rsidRPr="000839A4" w:rsidRDefault="000839A4" w:rsidP="000839A4">
      <w:pPr>
        <w:spacing w:before="120" w:after="120"/>
        <w:rPr>
          <w:szCs w:val="24"/>
        </w:rPr>
      </w:pPr>
      <w:r w:rsidRPr="000839A4">
        <w:rPr>
          <w:szCs w:val="24"/>
        </w:rPr>
        <w:t xml:space="preserve">(1) K projektu výzkumu a vývoje, ke kterému se váže oznámení o záměru odečíst od základu daně odpočet na podporu výzkumu a vývoje, poplatník zpracuje projektovou dokumentaci, ve které uvede oznámený název projektu výzkumu a vývoje a vymezí činnost ve výzkumu a vývoji podle zákona upravujícího podporu výzkumu a vývoje. Projektová dokumentace obsahuje </w:t>
      </w:r>
    </w:p>
    <w:p w14:paraId="3E56BA7F"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 xml:space="preserve">základní identifikační údaje o poplatníkovi, kterými jsou </w:t>
      </w:r>
    </w:p>
    <w:p w14:paraId="203D7E2B" w14:textId="77777777" w:rsidR="000839A4" w:rsidRPr="000839A4" w:rsidRDefault="000839A4" w:rsidP="000839A4">
      <w:pPr>
        <w:tabs>
          <w:tab w:val="left" w:pos="357"/>
        </w:tabs>
        <w:spacing w:before="0"/>
        <w:ind w:left="714" w:hanging="357"/>
        <w:rPr>
          <w:szCs w:val="24"/>
        </w:rPr>
      </w:pPr>
      <w:r w:rsidRPr="000839A4">
        <w:rPr>
          <w:szCs w:val="24"/>
        </w:rPr>
        <w:t>1.</w:t>
      </w:r>
      <w:r w:rsidRPr="000839A4">
        <w:rPr>
          <w:szCs w:val="24"/>
        </w:rPr>
        <w:tab/>
        <w:t xml:space="preserve">obchodní firma nebo název a adresa sídla poplatníka, je-li poplatníkem daně z příjmů právnických osob, </w:t>
      </w:r>
    </w:p>
    <w:p w14:paraId="721DFDE7" w14:textId="77777777" w:rsidR="000839A4" w:rsidRPr="000839A4" w:rsidRDefault="000839A4" w:rsidP="000839A4">
      <w:pPr>
        <w:tabs>
          <w:tab w:val="left" w:pos="357"/>
        </w:tabs>
        <w:spacing w:before="0"/>
        <w:ind w:left="714" w:hanging="357"/>
        <w:rPr>
          <w:szCs w:val="24"/>
        </w:rPr>
      </w:pPr>
      <w:r w:rsidRPr="000839A4">
        <w:rPr>
          <w:szCs w:val="24"/>
        </w:rPr>
        <w:t>2.</w:t>
      </w:r>
      <w:r w:rsidRPr="000839A4">
        <w:rPr>
          <w:szCs w:val="24"/>
        </w:rPr>
        <w:tab/>
        <w:t xml:space="preserve">jméno, adresa sídla podnikatele a adresa místa trvalého pobytu poplatníka, je-li poplatníkem daně z příjmů fyzických osob, </w:t>
      </w:r>
    </w:p>
    <w:p w14:paraId="03A26F4C" w14:textId="77777777" w:rsidR="000839A4" w:rsidRPr="000839A4" w:rsidRDefault="000839A4" w:rsidP="000839A4">
      <w:pPr>
        <w:tabs>
          <w:tab w:val="left" w:pos="357"/>
        </w:tabs>
        <w:spacing w:before="0"/>
        <w:ind w:left="714" w:hanging="357"/>
        <w:rPr>
          <w:szCs w:val="24"/>
        </w:rPr>
      </w:pPr>
      <w:r w:rsidRPr="000839A4">
        <w:rPr>
          <w:szCs w:val="24"/>
        </w:rPr>
        <w:t>3.</w:t>
      </w:r>
      <w:r w:rsidRPr="000839A4">
        <w:rPr>
          <w:szCs w:val="24"/>
        </w:rPr>
        <w:tab/>
        <w:t xml:space="preserve">daňové identifikační číslo, pokud bylo přiděleno, </w:t>
      </w:r>
    </w:p>
    <w:p w14:paraId="09946B23"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 xml:space="preserve">dobu řešení projektu, kterou je doba ode dne zahájení do dne ukončení řešení projektu, </w:t>
      </w:r>
    </w:p>
    <w:p w14:paraId="1DDEDDDB" w14:textId="77777777" w:rsidR="000839A4" w:rsidRPr="000839A4" w:rsidRDefault="000839A4" w:rsidP="000839A4">
      <w:pPr>
        <w:tabs>
          <w:tab w:val="left" w:pos="357"/>
        </w:tabs>
        <w:spacing w:before="0"/>
        <w:ind w:left="357" w:hanging="357"/>
        <w:rPr>
          <w:szCs w:val="24"/>
        </w:rPr>
      </w:pPr>
      <w:r w:rsidRPr="000839A4">
        <w:rPr>
          <w:szCs w:val="24"/>
        </w:rPr>
        <w:t>c)</w:t>
      </w:r>
      <w:r w:rsidRPr="000839A4">
        <w:rPr>
          <w:szCs w:val="24"/>
        </w:rPr>
        <w:tab/>
        <w:t xml:space="preserve">cíle projektu, které jsou dosažitelné v době řešení projektu a vyhodnotitelné po jeho ukončení,  </w:t>
      </w:r>
    </w:p>
    <w:p w14:paraId="09F1E09F" w14:textId="77777777" w:rsidR="000839A4" w:rsidRPr="000839A4" w:rsidRDefault="000839A4" w:rsidP="000839A4">
      <w:pPr>
        <w:tabs>
          <w:tab w:val="left" w:pos="357"/>
        </w:tabs>
        <w:spacing w:before="0"/>
        <w:ind w:left="357" w:hanging="357"/>
        <w:rPr>
          <w:szCs w:val="24"/>
        </w:rPr>
      </w:pPr>
      <w:r w:rsidRPr="000839A4">
        <w:rPr>
          <w:szCs w:val="24"/>
        </w:rPr>
        <w:t>d)</w:t>
      </w:r>
      <w:r w:rsidRPr="000839A4">
        <w:rPr>
          <w:szCs w:val="24"/>
        </w:rPr>
        <w:tab/>
        <w:t>předpokládané výdaje v jednotlivých letech řešení projektu od roku, ve kterém bylo podáno oznámení o záměru odečíst od základu daně odpočet na podporu výzkumu a vývoje, a předpokládané celkové výdaje na řešení projektu,</w:t>
      </w:r>
    </w:p>
    <w:p w14:paraId="1F42E0DF" w14:textId="77777777" w:rsidR="000839A4" w:rsidRPr="000839A4" w:rsidRDefault="000839A4" w:rsidP="000839A4">
      <w:pPr>
        <w:tabs>
          <w:tab w:val="left" w:pos="357"/>
        </w:tabs>
        <w:spacing w:before="0"/>
        <w:ind w:left="357" w:hanging="357"/>
        <w:rPr>
          <w:szCs w:val="24"/>
        </w:rPr>
      </w:pPr>
      <w:r w:rsidRPr="000839A4">
        <w:rPr>
          <w:szCs w:val="24"/>
        </w:rPr>
        <w:t>e)</w:t>
      </w:r>
      <w:r w:rsidRPr="000839A4">
        <w:rPr>
          <w:szCs w:val="24"/>
        </w:rPr>
        <w:tab/>
        <w:t xml:space="preserve">jména všech osob, které ode dne podání oznámení o záměru odečíst od základu daně odpočet na podporu výzkumu a vývoje odborně zajišťují nebo budou zajišťovat řešení projektu s uvedením jejich kvalifikace a formy pracovněprávního vztahu k poplatníkovi, </w:t>
      </w:r>
    </w:p>
    <w:p w14:paraId="63B98BD3" w14:textId="77777777" w:rsidR="000839A4" w:rsidRPr="000839A4" w:rsidRDefault="000839A4" w:rsidP="000839A4">
      <w:pPr>
        <w:tabs>
          <w:tab w:val="left" w:pos="357"/>
        </w:tabs>
        <w:spacing w:before="0"/>
        <w:ind w:left="357" w:hanging="357"/>
        <w:rPr>
          <w:szCs w:val="24"/>
        </w:rPr>
      </w:pPr>
      <w:r w:rsidRPr="000839A4">
        <w:rPr>
          <w:szCs w:val="24"/>
        </w:rPr>
        <w:t>f)</w:t>
      </w:r>
      <w:r w:rsidRPr="000839A4">
        <w:rPr>
          <w:szCs w:val="24"/>
        </w:rPr>
        <w:tab/>
        <w:t xml:space="preserve">způsob kontroly a hodnocení postupu řešení projektu a dosažených výsledků prováděných ode dne podání oznámení o záměru odečíst od základu daně odpočet na podporu výzkumu a vývoje, </w:t>
      </w:r>
    </w:p>
    <w:p w14:paraId="6035FC0F" w14:textId="77777777" w:rsidR="000839A4" w:rsidRPr="000839A4" w:rsidRDefault="000839A4" w:rsidP="000839A4">
      <w:pPr>
        <w:tabs>
          <w:tab w:val="left" w:pos="357"/>
        </w:tabs>
        <w:spacing w:before="0"/>
        <w:ind w:left="357" w:hanging="357"/>
        <w:rPr>
          <w:szCs w:val="24"/>
        </w:rPr>
      </w:pPr>
      <w:r w:rsidRPr="000839A4">
        <w:rPr>
          <w:szCs w:val="24"/>
        </w:rPr>
        <w:t>g)</w:t>
      </w:r>
      <w:r w:rsidRPr="000839A4">
        <w:rPr>
          <w:szCs w:val="24"/>
        </w:rPr>
        <w:tab/>
        <w:t xml:space="preserve">den schválení projektové dokumentace, </w:t>
      </w:r>
    </w:p>
    <w:p w14:paraId="1213C68F" w14:textId="77777777" w:rsidR="000839A4" w:rsidRPr="000839A4" w:rsidRDefault="000839A4" w:rsidP="000839A4">
      <w:pPr>
        <w:tabs>
          <w:tab w:val="left" w:pos="357"/>
        </w:tabs>
        <w:spacing w:before="0"/>
        <w:ind w:left="357" w:hanging="357"/>
        <w:rPr>
          <w:szCs w:val="24"/>
        </w:rPr>
      </w:pPr>
      <w:r w:rsidRPr="000839A4">
        <w:rPr>
          <w:szCs w:val="24"/>
        </w:rPr>
        <w:t>h)</w:t>
      </w:r>
      <w:r w:rsidRPr="000839A4">
        <w:rPr>
          <w:szCs w:val="24"/>
        </w:rPr>
        <w:tab/>
        <w:t xml:space="preserve">jméno a podpis osoby schvalující projektovou dokumentaci. </w:t>
      </w:r>
    </w:p>
    <w:p w14:paraId="1BB52023" w14:textId="77777777" w:rsidR="000839A4" w:rsidRPr="000839A4" w:rsidRDefault="000839A4" w:rsidP="000839A4">
      <w:pPr>
        <w:spacing w:before="120" w:after="120"/>
        <w:rPr>
          <w:szCs w:val="24"/>
        </w:rPr>
      </w:pPr>
      <w:r w:rsidRPr="000839A4">
        <w:rPr>
          <w:szCs w:val="24"/>
        </w:rPr>
        <w:t>(2) Odpočet na podporu výzkumu a vývoje související s oznámeným projektem výzkumu a vývoje lze odečíst od základu daně nejdříve za období, pro které je ve lhůtě pro podání řádného daňového přiznání schválena projektová dokumentace. Projektová dokumentace musí být v této lhůtě schválena i v případě, že v takovém období nelze odpočet na podporu výzkumu a vývoje odečíst z důvodu nízkého základu daně nebo daňové ztráty.</w:t>
      </w:r>
    </w:p>
    <w:p w14:paraId="0E9E9D6F" w14:textId="77777777" w:rsidR="000839A4" w:rsidRPr="000839A4" w:rsidRDefault="000839A4" w:rsidP="000839A4">
      <w:pPr>
        <w:spacing w:before="120" w:after="120"/>
        <w:rPr>
          <w:szCs w:val="24"/>
        </w:rPr>
      </w:pPr>
      <w:r w:rsidRPr="000839A4">
        <w:rPr>
          <w:szCs w:val="24"/>
        </w:rPr>
        <w:t>(3) Osobou schvalující projektovou dokumentaci je u poplatníka daně z příjmů</w:t>
      </w:r>
    </w:p>
    <w:p w14:paraId="760A6012"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fyzických osob tento poplatník nebo fyzická osoba oprávněná jednat za tohoto poplatníka,</w:t>
      </w:r>
    </w:p>
    <w:p w14:paraId="07148DF3"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právnických osob fyzická osoba oprávněná jednat za tohoto poplatníka.</w:t>
      </w:r>
    </w:p>
    <w:p w14:paraId="3A965D0C" w14:textId="77777777" w:rsidR="000839A4" w:rsidRPr="000839A4" w:rsidRDefault="000839A4" w:rsidP="000839A4">
      <w:pPr>
        <w:spacing w:before="120" w:after="120"/>
        <w:rPr>
          <w:szCs w:val="24"/>
        </w:rPr>
      </w:pPr>
      <w:r w:rsidRPr="000839A4">
        <w:rPr>
          <w:szCs w:val="24"/>
        </w:rPr>
        <w:t>(4) Poplatník eviduje změny skutečností uvedených v projektové dokumentaci, ke kterým dojde po jejím schválení. Název a cíle projektu výzkumu a vývoje nelze po dobu řešení projektu výzkumu a vývoje měnit.</w:t>
      </w:r>
    </w:p>
    <w:p w14:paraId="357C70EC" w14:textId="77777777" w:rsidR="000839A4" w:rsidRPr="000839A4" w:rsidRDefault="000839A4" w:rsidP="000839A4">
      <w:pPr>
        <w:spacing w:before="120" w:after="120"/>
        <w:rPr>
          <w:szCs w:val="24"/>
        </w:rPr>
      </w:pPr>
      <w:r w:rsidRPr="000839A4">
        <w:rPr>
          <w:szCs w:val="24"/>
        </w:rPr>
        <w:t>(5) V případě pochybností správce daně lze obsahové náležitosti projektové dokumentace podle odstavce 1 prokazovat dalšími důkazními prostředky.</w:t>
      </w:r>
    </w:p>
    <w:p w14:paraId="0204E63B" w14:textId="77777777" w:rsidR="000839A4" w:rsidRPr="000839A4" w:rsidRDefault="000839A4" w:rsidP="000839A4">
      <w:pPr>
        <w:keepNext/>
        <w:ind w:firstLine="0"/>
        <w:jc w:val="center"/>
        <w:rPr>
          <w:szCs w:val="24"/>
        </w:rPr>
      </w:pPr>
      <w:r w:rsidRPr="000839A4">
        <w:rPr>
          <w:szCs w:val="24"/>
        </w:rPr>
        <w:lastRenderedPageBreak/>
        <w:t>§ 34d</w:t>
      </w:r>
    </w:p>
    <w:p w14:paraId="11010668" w14:textId="77777777" w:rsidR="000839A4" w:rsidRPr="000839A4" w:rsidRDefault="000839A4" w:rsidP="000839A4">
      <w:pPr>
        <w:keepNext/>
        <w:ind w:firstLine="0"/>
        <w:jc w:val="center"/>
        <w:rPr>
          <w:b/>
          <w:szCs w:val="24"/>
        </w:rPr>
      </w:pPr>
      <w:r w:rsidRPr="000839A4">
        <w:rPr>
          <w:b/>
          <w:szCs w:val="24"/>
        </w:rPr>
        <w:t xml:space="preserve">Odpočet na podporu výzkumu a vývoje u společníků osobních obchodních společností </w:t>
      </w:r>
    </w:p>
    <w:p w14:paraId="6F5F7442" w14:textId="77777777" w:rsidR="000839A4" w:rsidRPr="000839A4" w:rsidRDefault="000839A4" w:rsidP="000839A4">
      <w:pPr>
        <w:spacing w:before="120" w:after="120"/>
        <w:rPr>
          <w:szCs w:val="24"/>
        </w:rPr>
      </w:pPr>
      <w:r w:rsidRPr="000839A4">
        <w:rPr>
          <w:szCs w:val="24"/>
        </w:rPr>
        <w:t xml:space="preserve">(1) U poplatníka, který je společníkem veřejné obchodní společnosti, lze odpočet na podporu výzkumu a vývoje zvýšit o poměrnou část odpočtu na podporu výzkumu a vývoje. Tento poměr odpovídá poměru, kterým se společník podílí na zisku veřejné obchodní společnosti. </w:t>
      </w:r>
    </w:p>
    <w:p w14:paraId="3BFC0CD3" w14:textId="77777777" w:rsidR="000839A4" w:rsidRPr="000839A4" w:rsidRDefault="000839A4" w:rsidP="000839A4">
      <w:pPr>
        <w:spacing w:before="120" w:after="120"/>
        <w:rPr>
          <w:szCs w:val="24"/>
        </w:rPr>
      </w:pPr>
      <w:r w:rsidRPr="000839A4">
        <w:rPr>
          <w:szCs w:val="24"/>
        </w:rPr>
        <w:t xml:space="preserve">(2) U poplatníka, který je komplementářem komanditní společnosti, lze odpočet na podporu výzkumu a vývoje zvýšit o poměrnou část odpočtu na podporu výzkumu a vývoje. Tento poměr odpovídá poměru, kterým se komplementář podílí na zisku komanditní společnosti. </w:t>
      </w:r>
    </w:p>
    <w:p w14:paraId="4F84D670" w14:textId="77777777" w:rsidR="000839A4" w:rsidRPr="000839A4" w:rsidRDefault="000839A4" w:rsidP="000839A4">
      <w:pPr>
        <w:keepNext/>
        <w:ind w:firstLine="0"/>
        <w:jc w:val="center"/>
        <w:rPr>
          <w:szCs w:val="24"/>
        </w:rPr>
      </w:pPr>
      <w:r w:rsidRPr="000839A4">
        <w:rPr>
          <w:szCs w:val="24"/>
        </w:rPr>
        <w:t>§ 34e</w:t>
      </w:r>
    </w:p>
    <w:p w14:paraId="36237415" w14:textId="77777777" w:rsidR="000839A4" w:rsidRPr="000839A4" w:rsidRDefault="000839A4" w:rsidP="000839A4">
      <w:pPr>
        <w:keepNext/>
        <w:ind w:firstLine="0"/>
        <w:jc w:val="center"/>
        <w:rPr>
          <w:b/>
          <w:szCs w:val="24"/>
        </w:rPr>
      </w:pPr>
      <w:r w:rsidRPr="000839A4">
        <w:rPr>
          <w:b/>
          <w:szCs w:val="24"/>
        </w:rPr>
        <w:t xml:space="preserve">Závazné posouzení výdajů vynaložených na výzkum a vývoj zahrnovaných do odpočtu </w:t>
      </w:r>
    </w:p>
    <w:p w14:paraId="09292AF7" w14:textId="77777777" w:rsidR="000839A4" w:rsidRPr="000839A4" w:rsidRDefault="000839A4" w:rsidP="000839A4">
      <w:pPr>
        <w:spacing w:before="120" w:after="120"/>
        <w:rPr>
          <w:szCs w:val="24"/>
        </w:rPr>
      </w:pPr>
      <w:r w:rsidRPr="000839A4">
        <w:rPr>
          <w:szCs w:val="24"/>
        </w:rPr>
        <w:t xml:space="preserve">(1) Správce daně vydá na žádost poplatníka, který podal oznámení o záměru odečíst od základu daně odpočet na podporu výzkumu a vývoje, rozhodnutí o závazném posouzení výdajů vynaložených na výzkum a vývoj zahrnovaných do odpočtu. </w:t>
      </w:r>
    </w:p>
    <w:p w14:paraId="0B61F756" w14:textId="77777777" w:rsidR="000839A4" w:rsidRPr="000839A4" w:rsidRDefault="000839A4" w:rsidP="000839A4">
      <w:pPr>
        <w:spacing w:before="120" w:after="120"/>
        <w:rPr>
          <w:szCs w:val="24"/>
        </w:rPr>
      </w:pPr>
      <w:r w:rsidRPr="000839A4">
        <w:rPr>
          <w:szCs w:val="24"/>
        </w:rPr>
        <w:t xml:space="preserve">(2) Předmětem závazného posouzení výdajů vynaložených na výzkum a vývoj zahrnovaných do odpočtu je určení výdajů vynaložených na výzkum a vývoj zahrnovaných do odpočtu pro účely odpočtu na podporu výzkumu a vývoje. </w:t>
      </w:r>
    </w:p>
    <w:p w14:paraId="485A5B29" w14:textId="77777777" w:rsidR="000839A4" w:rsidRPr="000839A4" w:rsidRDefault="000839A4" w:rsidP="000839A4">
      <w:pPr>
        <w:spacing w:before="120" w:after="120"/>
        <w:rPr>
          <w:szCs w:val="24"/>
        </w:rPr>
      </w:pPr>
      <w:r w:rsidRPr="000839A4">
        <w:rPr>
          <w:szCs w:val="24"/>
        </w:rPr>
        <w:t xml:space="preserve">(3) V žádosti o vydání rozhodnutí o závazném posouzení výdajů vynaložených na výzkum a vývoj zahrnovaných do odpočtu poplatník uvede </w:t>
      </w:r>
    </w:p>
    <w:p w14:paraId="4D680138"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 xml:space="preserve">název a cíle projektu výzkumu a vývoje, </w:t>
      </w:r>
    </w:p>
    <w:p w14:paraId="2A03AC91"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 xml:space="preserve">výčet činností, které poplatník považuje za činnosti prováděné při realizaci projektu výzkumu a vývoje spolu s odůvodněním, proč poplatník tyto činnosti považuje za činnosti prováděné při realizaci projektu výzkumu a vývoje, </w:t>
      </w:r>
    </w:p>
    <w:p w14:paraId="6A000DBD" w14:textId="77777777" w:rsidR="000839A4" w:rsidRPr="000839A4" w:rsidRDefault="000839A4" w:rsidP="000839A4">
      <w:pPr>
        <w:tabs>
          <w:tab w:val="left" w:pos="357"/>
        </w:tabs>
        <w:spacing w:before="0"/>
        <w:ind w:left="357" w:hanging="357"/>
        <w:rPr>
          <w:szCs w:val="24"/>
        </w:rPr>
      </w:pPr>
      <w:r w:rsidRPr="000839A4">
        <w:rPr>
          <w:szCs w:val="24"/>
        </w:rPr>
        <w:t>c)</w:t>
      </w:r>
      <w:r w:rsidRPr="000839A4">
        <w:rPr>
          <w:szCs w:val="24"/>
        </w:rPr>
        <w:tab/>
        <w:t xml:space="preserve">výčet výdajů na činnosti, které poplatník považuje za činnosti prováděné při realizaci projektu výzkumu a vývoje, </w:t>
      </w:r>
    </w:p>
    <w:p w14:paraId="1F1C0E6A" w14:textId="77777777" w:rsidR="000839A4" w:rsidRPr="000839A4" w:rsidRDefault="000839A4" w:rsidP="000839A4">
      <w:pPr>
        <w:tabs>
          <w:tab w:val="left" w:pos="357"/>
        </w:tabs>
        <w:spacing w:before="0"/>
        <w:ind w:left="357" w:hanging="357"/>
        <w:rPr>
          <w:szCs w:val="24"/>
        </w:rPr>
      </w:pPr>
      <w:r w:rsidRPr="000839A4">
        <w:rPr>
          <w:szCs w:val="24"/>
        </w:rPr>
        <w:t>d)</w:t>
      </w:r>
      <w:r w:rsidRPr="000839A4">
        <w:rPr>
          <w:szCs w:val="24"/>
        </w:rPr>
        <w:tab/>
        <w:t xml:space="preserve">výčet činností, u kterých má poplatník pochybnosti, zda výdaje na tyto činnosti vynaložené jsou výdaji na výzkum a vývoj zahrnované do odpočtu spolu s uvedením těchto pochybností, </w:t>
      </w:r>
    </w:p>
    <w:p w14:paraId="1261AA90" w14:textId="77777777" w:rsidR="000839A4" w:rsidRPr="000839A4" w:rsidRDefault="000839A4" w:rsidP="000839A4">
      <w:pPr>
        <w:tabs>
          <w:tab w:val="left" w:pos="357"/>
        </w:tabs>
        <w:spacing w:before="0"/>
        <w:ind w:left="357" w:hanging="357"/>
        <w:rPr>
          <w:szCs w:val="24"/>
        </w:rPr>
      </w:pPr>
      <w:r w:rsidRPr="000839A4">
        <w:rPr>
          <w:szCs w:val="24"/>
        </w:rPr>
        <w:t>e)</w:t>
      </w:r>
      <w:r w:rsidRPr="000839A4">
        <w:rPr>
          <w:szCs w:val="24"/>
        </w:rPr>
        <w:tab/>
        <w:t xml:space="preserve">způsob rozdělení jednotlivých výdajů vynaložených jak na realizaci projektu výzkumu a vývoje, tak na ostatní činnosti, a použitá kritéria rozdělení, </w:t>
      </w:r>
    </w:p>
    <w:p w14:paraId="47D916AD" w14:textId="77777777" w:rsidR="000839A4" w:rsidRPr="000839A4" w:rsidRDefault="000839A4" w:rsidP="000839A4">
      <w:pPr>
        <w:tabs>
          <w:tab w:val="left" w:pos="357"/>
        </w:tabs>
        <w:spacing w:before="0"/>
        <w:ind w:left="357" w:hanging="357"/>
        <w:rPr>
          <w:szCs w:val="24"/>
        </w:rPr>
      </w:pPr>
      <w:r w:rsidRPr="000839A4">
        <w:rPr>
          <w:szCs w:val="24"/>
        </w:rPr>
        <w:t>f)</w:t>
      </w:r>
      <w:r w:rsidRPr="000839A4">
        <w:rPr>
          <w:szCs w:val="24"/>
        </w:rPr>
        <w:tab/>
        <w:t xml:space="preserve">období, kterého se má rozhodnutí o závazném posouzení týkat, </w:t>
      </w:r>
    </w:p>
    <w:p w14:paraId="6E47C5CF" w14:textId="77777777" w:rsidR="000839A4" w:rsidRPr="000839A4" w:rsidRDefault="000839A4" w:rsidP="000839A4">
      <w:pPr>
        <w:tabs>
          <w:tab w:val="left" w:pos="357"/>
        </w:tabs>
        <w:spacing w:before="0"/>
        <w:ind w:left="357" w:hanging="357"/>
        <w:rPr>
          <w:szCs w:val="24"/>
        </w:rPr>
      </w:pPr>
      <w:r w:rsidRPr="000839A4">
        <w:rPr>
          <w:szCs w:val="24"/>
        </w:rPr>
        <w:t>g)</w:t>
      </w:r>
      <w:r w:rsidRPr="000839A4">
        <w:rPr>
          <w:szCs w:val="24"/>
        </w:rPr>
        <w:tab/>
        <w:t xml:space="preserve">návrh výroku rozhodnutí o závazném posouzení. </w:t>
      </w:r>
    </w:p>
    <w:p w14:paraId="527C83AB" w14:textId="77777777" w:rsidR="000839A4" w:rsidRPr="000839A4" w:rsidRDefault="000839A4" w:rsidP="000839A4">
      <w:pPr>
        <w:keepNext/>
        <w:ind w:firstLine="0"/>
        <w:jc w:val="center"/>
        <w:rPr>
          <w:szCs w:val="24"/>
        </w:rPr>
      </w:pPr>
      <w:r w:rsidRPr="000839A4">
        <w:rPr>
          <w:szCs w:val="24"/>
        </w:rPr>
        <w:t>§ 34f</w:t>
      </w:r>
    </w:p>
    <w:p w14:paraId="0DD41F80" w14:textId="77777777" w:rsidR="000839A4" w:rsidRPr="000839A4" w:rsidRDefault="000839A4" w:rsidP="000839A4">
      <w:pPr>
        <w:keepNext/>
        <w:ind w:firstLine="0"/>
        <w:jc w:val="center"/>
        <w:rPr>
          <w:b/>
          <w:szCs w:val="24"/>
        </w:rPr>
      </w:pPr>
      <w:r w:rsidRPr="000839A4">
        <w:rPr>
          <w:b/>
          <w:szCs w:val="24"/>
        </w:rPr>
        <w:t xml:space="preserve">Obecné ustanovení o odpočtu na podporu odborného vzdělávání </w:t>
      </w:r>
    </w:p>
    <w:p w14:paraId="1DC925F4" w14:textId="77777777" w:rsidR="000839A4" w:rsidRPr="000839A4" w:rsidRDefault="000839A4" w:rsidP="000839A4">
      <w:pPr>
        <w:spacing w:before="120" w:after="120"/>
        <w:rPr>
          <w:szCs w:val="24"/>
        </w:rPr>
      </w:pPr>
      <w:r w:rsidRPr="000839A4">
        <w:rPr>
          <w:szCs w:val="24"/>
        </w:rPr>
        <w:t xml:space="preserve">(1) Odpočet na podporu odborného vzdělávání činí součet odpočtu na podporu pořízení </w:t>
      </w:r>
      <w:r w:rsidRPr="000839A4">
        <w:rPr>
          <w:strike/>
          <w:szCs w:val="24"/>
        </w:rPr>
        <w:t>majetku</w:t>
      </w:r>
      <w:r w:rsidRPr="000839A4">
        <w:rPr>
          <w:szCs w:val="24"/>
        </w:rPr>
        <w:t xml:space="preserve"> </w:t>
      </w:r>
      <w:r w:rsidRPr="000839A4">
        <w:rPr>
          <w:b/>
          <w:szCs w:val="24"/>
        </w:rPr>
        <w:t xml:space="preserve">aktiv </w:t>
      </w:r>
      <w:r w:rsidRPr="000839A4">
        <w:rPr>
          <w:szCs w:val="24"/>
        </w:rPr>
        <w:t xml:space="preserve">na odborné vzdělávání a odpočtu na podporu výdajů vynaložených na žáka nebo studenta v rámci odborného vzdělávání. </w:t>
      </w:r>
    </w:p>
    <w:p w14:paraId="48C1BAD0" w14:textId="77777777" w:rsidR="000839A4" w:rsidRPr="000839A4" w:rsidRDefault="000839A4" w:rsidP="000839A4">
      <w:pPr>
        <w:spacing w:before="120" w:after="120"/>
        <w:rPr>
          <w:szCs w:val="24"/>
        </w:rPr>
      </w:pPr>
      <w:r w:rsidRPr="000839A4">
        <w:rPr>
          <w:szCs w:val="24"/>
        </w:rPr>
        <w:t xml:space="preserve">(2) Odborným vzděláváním se pro účely odpočtu na podporu odborného vzdělávání rozumí vzdělávací činnost v rámci </w:t>
      </w:r>
    </w:p>
    <w:p w14:paraId="4B2887BE" w14:textId="77777777" w:rsidR="000839A4" w:rsidRPr="000839A4" w:rsidRDefault="000839A4" w:rsidP="000839A4">
      <w:pPr>
        <w:tabs>
          <w:tab w:val="left" w:pos="357"/>
        </w:tabs>
        <w:spacing w:before="0"/>
        <w:ind w:left="357" w:hanging="357"/>
        <w:rPr>
          <w:szCs w:val="24"/>
        </w:rPr>
      </w:pPr>
      <w:r w:rsidRPr="000839A4">
        <w:rPr>
          <w:szCs w:val="24"/>
        </w:rPr>
        <w:lastRenderedPageBreak/>
        <w:t>a)</w:t>
      </w:r>
      <w:r w:rsidRPr="000839A4">
        <w:rPr>
          <w:szCs w:val="24"/>
        </w:rPr>
        <w:tab/>
        <w:t xml:space="preserve">praktického vyučování ve středním vzdělávání podle školského zákona nebo odborné praxe ve vyšším odborném vzdělávání podle školského zákona uskutečňovaná na pracovišti osoby, která má oprávnění k činnosti související s daným oborem vzdělání a uzavřela s právnickou osobou vykonávající činnost střední školy nebo vyšší odborné školy smlouvu o obsahu a rozsahu praktického vyučování nebo odborné praxe a o podmínkách pro jejich konání, </w:t>
      </w:r>
    </w:p>
    <w:p w14:paraId="6CEC571E"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 xml:space="preserve">části akreditovaného studijního programu vysoké školy podle zákona upravujícího vysoké školy uskutečňovaná na pracovišti osoby, která má oprávnění k činnosti související s daným studijním programem a uzavřela s vysokou školou smlouvu o obsahu a rozsahu této vzdělávací činnosti a o podmínkách pro její konání. </w:t>
      </w:r>
    </w:p>
    <w:p w14:paraId="41D70499" w14:textId="77777777" w:rsidR="000839A4" w:rsidRPr="000839A4" w:rsidRDefault="000839A4" w:rsidP="000839A4">
      <w:pPr>
        <w:spacing w:before="120" w:after="120"/>
        <w:rPr>
          <w:szCs w:val="24"/>
        </w:rPr>
      </w:pPr>
      <w:r w:rsidRPr="000839A4">
        <w:rPr>
          <w:szCs w:val="24"/>
        </w:rPr>
        <w:t xml:space="preserve">(3) Pro účely prokázání doby provozu </w:t>
      </w:r>
      <w:r w:rsidRPr="000839A4">
        <w:rPr>
          <w:strike/>
          <w:szCs w:val="24"/>
        </w:rPr>
        <w:t>majetku</w:t>
      </w:r>
      <w:r w:rsidRPr="000839A4">
        <w:rPr>
          <w:szCs w:val="24"/>
        </w:rPr>
        <w:t xml:space="preserve"> </w:t>
      </w:r>
      <w:r w:rsidRPr="000839A4">
        <w:rPr>
          <w:b/>
          <w:szCs w:val="24"/>
        </w:rPr>
        <w:t xml:space="preserve">aktiv </w:t>
      </w:r>
      <w:r w:rsidRPr="000839A4">
        <w:rPr>
          <w:szCs w:val="24"/>
        </w:rPr>
        <w:t xml:space="preserve">a počtu uskutečněných hodin praktického vyučování, odborné praxe a vzdělávací činnosti v rámci části akreditovaného studijního programu vysoké školy je poplatník povinen vést třídní knihu nebo obdobnou evidenci obsahující průkazné údaje o poskytované vzdělávací činnosti a jejím průběhu. </w:t>
      </w:r>
    </w:p>
    <w:p w14:paraId="70D82E3B" w14:textId="77777777" w:rsidR="000839A4" w:rsidRPr="000839A4" w:rsidRDefault="000839A4" w:rsidP="000839A4">
      <w:pPr>
        <w:spacing w:before="120" w:after="120"/>
        <w:rPr>
          <w:strike/>
          <w:szCs w:val="24"/>
        </w:rPr>
      </w:pPr>
      <w:r w:rsidRPr="000839A4">
        <w:rPr>
          <w:strike/>
          <w:szCs w:val="24"/>
        </w:rPr>
        <w:t xml:space="preserve">(4) Obdobím se pro účely odpočtu na podporu odborného vzdělávání rozumí </w:t>
      </w:r>
    </w:p>
    <w:p w14:paraId="307286AB" w14:textId="77777777" w:rsidR="000839A4" w:rsidRPr="000839A4" w:rsidRDefault="000839A4" w:rsidP="000839A4">
      <w:pPr>
        <w:tabs>
          <w:tab w:val="left" w:pos="357"/>
        </w:tabs>
        <w:spacing w:before="0"/>
        <w:ind w:left="357" w:hanging="357"/>
        <w:rPr>
          <w:strike/>
          <w:szCs w:val="24"/>
        </w:rPr>
      </w:pPr>
      <w:r w:rsidRPr="000839A4">
        <w:rPr>
          <w:strike/>
          <w:szCs w:val="24"/>
        </w:rPr>
        <w:t>a)</w:t>
      </w:r>
      <w:r w:rsidRPr="000839A4">
        <w:rPr>
          <w:strike/>
          <w:szCs w:val="24"/>
        </w:rPr>
        <w:tab/>
        <w:t xml:space="preserve">zdaňovací období, nebo </w:t>
      </w:r>
    </w:p>
    <w:p w14:paraId="34A52411" w14:textId="77777777" w:rsidR="000839A4" w:rsidRPr="000839A4" w:rsidRDefault="000839A4" w:rsidP="000839A4">
      <w:pPr>
        <w:tabs>
          <w:tab w:val="left" w:pos="357"/>
        </w:tabs>
        <w:spacing w:before="0"/>
        <w:ind w:left="357" w:hanging="357"/>
        <w:rPr>
          <w:strike/>
          <w:szCs w:val="24"/>
        </w:rPr>
      </w:pPr>
      <w:r w:rsidRPr="000839A4">
        <w:rPr>
          <w:strike/>
          <w:szCs w:val="24"/>
        </w:rPr>
        <w:t>b)</w:t>
      </w:r>
      <w:r w:rsidRPr="000839A4">
        <w:rPr>
          <w:strike/>
          <w:szCs w:val="24"/>
        </w:rPr>
        <w:tab/>
        <w:t xml:space="preserve">období, za které se podává daňové přiznání. </w:t>
      </w:r>
    </w:p>
    <w:p w14:paraId="3E6560C4" w14:textId="77777777" w:rsidR="000839A4" w:rsidRPr="000839A4" w:rsidRDefault="000839A4" w:rsidP="000839A4">
      <w:pPr>
        <w:spacing w:before="120" w:after="120"/>
        <w:rPr>
          <w:b/>
          <w:szCs w:val="24"/>
        </w:rPr>
      </w:pPr>
      <w:r w:rsidRPr="000839A4">
        <w:rPr>
          <w:b/>
          <w:szCs w:val="24"/>
        </w:rPr>
        <w:t>(4) Obdobím se pro účely odpočtu na podporu odborného vzdělávání rozumí zdaňovací období.</w:t>
      </w:r>
    </w:p>
    <w:p w14:paraId="523E08B5" w14:textId="77777777" w:rsidR="000839A4" w:rsidRPr="000839A4" w:rsidRDefault="000839A4" w:rsidP="000839A4">
      <w:pPr>
        <w:spacing w:before="120" w:after="120"/>
        <w:rPr>
          <w:szCs w:val="24"/>
        </w:rPr>
      </w:pPr>
      <w:r w:rsidRPr="000839A4">
        <w:rPr>
          <w:szCs w:val="24"/>
        </w:rPr>
        <w:t xml:space="preserve"> (5) Odpočet na podporu odborného vzdělávání se u poplatníka, který je společníkem veřejné obchodní společnosti nebo komplementářem komanditní společnosti, uplatní obdobně jako odpočet na podporu výzkumu a vývoje. </w:t>
      </w:r>
    </w:p>
    <w:p w14:paraId="30E0E8DD" w14:textId="77777777" w:rsidR="000839A4" w:rsidRPr="000839A4" w:rsidRDefault="000839A4" w:rsidP="000839A4">
      <w:pPr>
        <w:spacing w:before="120" w:after="120"/>
        <w:rPr>
          <w:szCs w:val="24"/>
        </w:rPr>
      </w:pPr>
      <w:r w:rsidRPr="000839A4">
        <w:rPr>
          <w:szCs w:val="24"/>
        </w:rPr>
        <w:t>(6) Podmínku uzavření smlouvy podle odstavce 2 písm. a) lze nahradit prohlášením o odborném vzdělávání, pokud u výkonu praktického vyučování nebo odborné praxe žáky nebo studenty školy, jejíž činnost vykonává sám poplatník, praktické vyučování nebo odborná praxe jsou vykonávány na pracovišti tohoto poplatníka, které slouží jinému druhu činnosti, která není činností školy a je jeho převažující činností. V prohlášení musí být vymezen obsah a rozsah praktického vyučování nebo odborné praxe a podmínky jejího konání.</w:t>
      </w:r>
    </w:p>
    <w:p w14:paraId="3F522959" w14:textId="77777777" w:rsidR="000839A4" w:rsidRPr="000839A4" w:rsidRDefault="000839A4" w:rsidP="000839A4">
      <w:pPr>
        <w:keepNext/>
        <w:ind w:firstLine="0"/>
        <w:jc w:val="center"/>
        <w:rPr>
          <w:szCs w:val="24"/>
        </w:rPr>
      </w:pPr>
      <w:r w:rsidRPr="000839A4">
        <w:rPr>
          <w:szCs w:val="24"/>
        </w:rPr>
        <w:t>§ 34g</w:t>
      </w:r>
    </w:p>
    <w:p w14:paraId="4E09049D" w14:textId="77777777" w:rsidR="000839A4" w:rsidRPr="000839A4" w:rsidRDefault="000839A4" w:rsidP="000839A4">
      <w:pPr>
        <w:keepNext/>
        <w:ind w:firstLine="0"/>
        <w:jc w:val="center"/>
        <w:rPr>
          <w:b/>
          <w:szCs w:val="24"/>
        </w:rPr>
      </w:pPr>
      <w:r w:rsidRPr="000839A4">
        <w:rPr>
          <w:b/>
          <w:szCs w:val="24"/>
        </w:rPr>
        <w:t xml:space="preserve">Odpočet na podporu pořízení </w:t>
      </w:r>
      <w:r w:rsidRPr="000839A4">
        <w:rPr>
          <w:b/>
          <w:strike/>
          <w:szCs w:val="24"/>
        </w:rPr>
        <w:t>majetku</w:t>
      </w:r>
      <w:r w:rsidRPr="000839A4">
        <w:rPr>
          <w:b/>
          <w:szCs w:val="24"/>
        </w:rPr>
        <w:t xml:space="preserve"> aktiv na odborné vzdělávání </w:t>
      </w:r>
    </w:p>
    <w:p w14:paraId="4B02C73D" w14:textId="77777777" w:rsidR="000839A4" w:rsidRPr="000839A4" w:rsidRDefault="000839A4" w:rsidP="000839A4">
      <w:pPr>
        <w:spacing w:before="120" w:after="120"/>
        <w:rPr>
          <w:szCs w:val="24"/>
        </w:rPr>
      </w:pPr>
      <w:r w:rsidRPr="000839A4">
        <w:rPr>
          <w:szCs w:val="24"/>
        </w:rPr>
        <w:t xml:space="preserve">(1) Odpočet na podporu pořízení </w:t>
      </w:r>
      <w:r w:rsidRPr="000839A4">
        <w:rPr>
          <w:strike/>
          <w:szCs w:val="24"/>
        </w:rPr>
        <w:t>majetku</w:t>
      </w:r>
      <w:r w:rsidRPr="000839A4">
        <w:rPr>
          <w:szCs w:val="24"/>
        </w:rPr>
        <w:t xml:space="preserve"> </w:t>
      </w:r>
      <w:r w:rsidRPr="000839A4">
        <w:rPr>
          <w:b/>
          <w:szCs w:val="24"/>
        </w:rPr>
        <w:t xml:space="preserve">aktiv </w:t>
      </w:r>
      <w:r w:rsidRPr="000839A4">
        <w:rPr>
          <w:szCs w:val="24"/>
        </w:rPr>
        <w:t xml:space="preserve">na odborné vzdělávání činí součet </w:t>
      </w:r>
    </w:p>
    <w:p w14:paraId="44A23E96"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 xml:space="preserve">110 % </w:t>
      </w:r>
      <w:r w:rsidRPr="000839A4">
        <w:rPr>
          <w:strike/>
          <w:szCs w:val="24"/>
        </w:rPr>
        <w:t>vstupní ceny majetku</w:t>
      </w:r>
      <w:r w:rsidRPr="000839A4">
        <w:rPr>
          <w:szCs w:val="24"/>
        </w:rPr>
        <w:t xml:space="preserve"> </w:t>
      </w:r>
      <w:r w:rsidRPr="000839A4">
        <w:rPr>
          <w:b/>
          <w:szCs w:val="24"/>
        </w:rPr>
        <w:t>prvotní daňové hodnoty aktiva</w:t>
      </w:r>
      <w:r w:rsidRPr="000839A4">
        <w:rPr>
          <w:szCs w:val="24"/>
        </w:rPr>
        <w:t xml:space="preserve">, </w:t>
      </w:r>
    </w:p>
    <w:p w14:paraId="1F47C8A7" w14:textId="77777777" w:rsidR="000839A4" w:rsidRPr="000839A4" w:rsidRDefault="000839A4" w:rsidP="000839A4">
      <w:pPr>
        <w:tabs>
          <w:tab w:val="left" w:pos="357"/>
        </w:tabs>
        <w:spacing w:before="0"/>
        <w:ind w:left="714" w:hanging="357"/>
        <w:rPr>
          <w:strike/>
          <w:szCs w:val="24"/>
        </w:rPr>
      </w:pPr>
      <w:r w:rsidRPr="000839A4">
        <w:rPr>
          <w:strike/>
          <w:szCs w:val="24"/>
        </w:rPr>
        <w:t>1.</w:t>
      </w:r>
      <w:r w:rsidRPr="000839A4">
        <w:rPr>
          <w:strike/>
          <w:szCs w:val="24"/>
        </w:rPr>
        <w:tab/>
        <w:t xml:space="preserve">jehož je poplatník prvním vlastníkem, </w:t>
      </w:r>
    </w:p>
    <w:p w14:paraId="1FE95F13" w14:textId="77777777" w:rsidR="000839A4" w:rsidRPr="000839A4" w:rsidRDefault="000839A4" w:rsidP="000839A4">
      <w:pPr>
        <w:tabs>
          <w:tab w:val="left" w:pos="357"/>
        </w:tabs>
        <w:spacing w:before="0"/>
        <w:ind w:left="714" w:hanging="357"/>
        <w:rPr>
          <w:b/>
          <w:szCs w:val="24"/>
        </w:rPr>
      </w:pPr>
      <w:r w:rsidRPr="000839A4">
        <w:rPr>
          <w:b/>
          <w:szCs w:val="24"/>
        </w:rPr>
        <w:t>1.</w:t>
      </w:r>
      <w:r w:rsidRPr="000839A4">
        <w:rPr>
          <w:b/>
          <w:szCs w:val="24"/>
        </w:rPr>
        <w:tab/>
        <w:t>u kterého je poplatník prvním poplatníkem, který aktivum uznal jako stálé aktivum,</w:t>
      </w:r>
    </w:p>
    <w:p w14:paraId="56F11C6A" w14:textId="77777777" w:rsidR="000839A4" w:rsidRPr="000839A4" w:rsidRDefault="000839A4" w:rsidP="000839A4">
      <w:pPr>
        <w:tabs>
          <w:tab w:val="left" w:pos="357"/>
        </w:tabs>
        <w:spacing w:before="0"/>
        <w:ind w:left="714" w:hanging="357"/>
        <w:rPr>
          <w:szCs w:val="24"/>
        </w:rPr>
      </w:pPr>
      <w:r w:rsidRPr="000839A4">
        <w:rPr>
          <w:szCs w:val="24"/>
        </w:rPr>
        <w:t>2.</w:t>
      </w:r>
      <w:r w:rsidRPr="000839A4">
        <w:rPr>
          <w:szCs w:val="24"/>
        </w:rPr>
        <w:tab/>
        <w:t xml:space="preserve">který je pořízen pro účely odborného vzdělávání a </w:t>
      </w:r>
    </w:p>
    <w:p w14:paraId="7ADBF767" w14:textId="77777777" w:rsidR="000839A4" w:rsidRPr="000839A4" w:rsidRDefault="000839A4" w:rsidP="000839A4">
      <w:pPr>
        <w:tabs>
          <w:tab w:val="left" w:pos="357"/>
        </w:tabs>
        <w:spacing w:before="0"/>
        <w:ind w:left="714" w:hanging="357"/>
        <w:rPr>
          <w:szCs w:val="24"/>
        </w:rPr>
      </w:pPr>
      <w:r w:rsidRPr="000839A4">
        <w:rPr>
          <w:szCs w:val="24"/>
        </w:rPr>
        <w:t>3.</w:t>
      </w:r>
      <w:r w:rsidRPr="000839A4">
        <w:rPr>
          <w:szCs w:val="24"/>
        </w:rPr>
        <w:tab/>
        <w:t>který je použit pro odborné vzdělávání více než 50 % doby jeho provozu ve třech po sobě bezprostředně následujících zdaňovacích obdobích</w:t>
      </w:r>
      <w:r w:rsidRPr="000839A4">
        <w:rPr>
          <w:strike/>
          <w:szCs w:val="24"/>
        </w:rPr>
        <w:t>,</w:t>
      </w:r>
      <w:r w:rsidRPr="000839A4">
        <w:rPr>
          <w:szCs w:val="24"/>
        </w:rPr>
        <w:t xml:space="preserve"> </w:t>
      </w:r>
      <w:r w:rsidRPr="000839A4">
        <w:rPr>
          <w:b/>
          <w:szCs w:val="24"/>
        </w:rPr>
        <w:t>a</w:t>
      </w:r>
    </w:p>
    <w:p w14:paraId="63AF3602"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 xml:space="preserve">50 % </w:t>
      </w:r>
      <w:r w:rsidRPr="000839A4">
        <w:rPr>
          <w:strike/>
          <w:szCs w:val="24"/>
        </w:rPr>
        <w:t>vstupní ceny majetku</w:t>
      </w:r>
      <w:r w:rsidRPr="000839A4">
        <w:rPr>
          <w:szCs w:val="24"/>
        </w:rPr>
        <w:t xml:space="preserve"> </w:t>
      </w:r>
      <w:r w:rsidRPr="000839A4">
        <w:rPr>
          <w:b/>
          <w:szCs w:val="24"/>
        </w:rPr>
        <w:t>prvotní daňové hodnoty aktiva</w:t>
      </w:r>
      <w:r w:rsidRPr="000839A4">
        <w:rPr>
          <w:szCs w:val="24"/>
        </w:rPr>
        <w:t xml:space="preserve">, </w:t>
      </w:r>
    </w:p>
    <w:p w14:paraId="53B7D3DA" w14:textId="77777777" w:rsidR="000839A4" w:rsidRPr="000839A4" w:rsidRDefault="000839A4" w:rsidP="000839A4">
      <w:pPr>
        <w:tabs>
          <w:tab w:val="left" w:pos="357"/>
        </w:tabs>
        <w:spacing w:before="0"/>
        <w:ind w:left="714" w:hanging="357"/>
        <w:rPr>
          <w:strike/>
          <w:szCs w:val="24"/>
        </w:rPr>
      </w:pPr>
      <w:r w:rsidRPr="000839A4">
        <w:rPr>
          <w:strike/>
          <w:szCs w:val="24"/>
        </w:rPr>
        <w:t>1.</w:t>
      </w:r>
      <w:r w:rsidRPr="000839A4">
        <w:rPr>
          <w:strike/>
          <w:szCs w:val="24"/>
        </w:rPr>
        <w:tab/>
        <w:t xml:space="preserve">jehož je poplatník prvním vlastníkem, </w:t>
      </w:r>
    </w:p>
    <w:p w14:paraId="4E4725F7" w14:textId="77777777" w:rsidR="000839A4" w:rsidRPr="000839A4" w:rsidRDefault="000839A4" w:rsidP="000839A4">
      <w:pPr>
        <w:tabs>
          <w:tab w:val="left" w:pos="357"/>
        </w:tabs>
        <w:spacing w:before="0"/>
        <w:ind w:left="714" w:hanging="357"/>
        <w:rPr>
          <w:b/>
          <w:szCs w:val="24"/>
        </w:rPr>
      </w:pPr>
      <w:r w:rsidRPr="000839A4">
        <w:rPr>
          <w:b/>
          <w:szCs w:val="24"/>
        </w:rPr>
        <w:t>1.</w:t>
      </w:r>
      <w:r w:rsidRPr="000839A4">
        <w:rPr>
          <w:b/>
          <w:szCs w:val="24"/>
        </w:rPr>
        <w:tab/>
        <w:t>u kterého je poplatník prvním poplatníkem, který aktivum uznal jako stálé aktivum,</w:t>
      </w:r>
    </w:p>
    <w:p w14:paraId="1A88516B" w14:textId="77777777" w:rsidR="000839A4" w:rsidRPr="000839A4" w:rsidRDefault="000839A4" w:rsidP="000839A4">
      <w:pPr>
        <w:tabs>
          <w:tab w:val="left" w:pos="357"/>
        </w:tabs>
        <w:spacing w:before="0"/>
        <w:ind w:left="714" w:hanging="357"/>
        <w:rPr>
          <w:szCs w:val="24"/>
        </w:rPr>
      </w:pPr>
      <w:r w:rsidRPr="000839A4">
        <w:rPr>
          <w:szCs w:val="24"/>
        </w:rPr>
        <w:t>2.</w:t>
      </w:r>
      <w:r w:rsidRPr="000839A4">
        <w:rPr>
          <w:szCs w:val="24"/>
        </w:rPr>
        <w:tab/>
        <w:t xml:space="preserve">který je pořízen pro účely odborného vzdělávání a </w:t>
      </w:r>
    </w:p>
    <w:p w14:paraId="7AA843CB" w14:textId="77777777" w:rsidR="000839A4" w:rsidRPr="000839A4" w:rsidRDefault="000839A4" w:rsidP="000839A4">
      <w:pPr>
        <w:tabs>
          <w:tab w:val="left" w:pos="357"/>
        </w:tabs>
        <w:spacing w:before="0"/>
        <w:ind w:left="714" w:hanging="357"/>
        <w:rPr>
          <w:szCs w:val="24"/>
        </w:rPr>
      </w:pPr>
      <w:r w:rsidRPr="000839A4">
        <w:rPr>
          <w:szCs w:val="24"/>
        </w:rPr>
        <w:lastRenderedPageBreak/>
        <w:t>3.</w:t>
      </w:r>
      <w:r w:rsidRPr="000839A4">
        <w:rPr>
          <w:szCs w:val="24"/>
        </w:rPr>
        <w:tab/>
        <w:t>který je použit pro odborné vzdělávání v rozsahu 30 % až 50 % doby jeho provozu ve třech po sobě bezprostředně následujících zdaňovacích obdobích</w:t>
      </w:r>
      <w:r w:rsidRPr="000839A4">
        <w:rPr>
          <w:noProof/>
          <w:szCs w:val="24"/>
        </w:rPr>
        <w:t>,</w:t>
      </w:r>
      <w:r w:rsidRPr="000839A4">
        <w:rPr>
          <w:szCs w:val="24"/>
        </w:rPr>
        <w:t xml:space="preserve"> </w:t>
      </w:r>
    </w:p>
    <w:p w14:paraId="243DBF5B" w14:textId="77777777" w:rsidR="000839A4" w:rsidRPr="000839A4" w:rsidRDefault="000839A4" w:rsidP="000839A4">
      <w:pPr>
        <w:tabs>
          <w:tab w:val="left" w:pos="357"/>
        </w:tabs>
        <w:spacing w:before="0"/>
        <w:ind w:left="357" w:hanging="357"/>
        <w:rPr>
          <w:strike/>
          <w:szCs w:val="24"/>
        </w:rPr>
      </w:pPr>
      <w:r w:rsidRPr="000839A4">
        <w:rPr>
          <w:strike/>
          <w:szCs w:val="24"/>
        </w:rPr>
        <w:t>c)</w:t>
      </w:r>
      <w:r w:rsidRPr="000839A4">
        <w:rPr>
          <w:strike/>
          <w:szCs w:val="24"/>
        </w:rPr>
        <w:tab/>
        <w:t xml:space="preserve">110 % vstupní ceny majetku u původního vlastníka, který je jeho prvním vlastníkem, pokud je majetek </w:t>
      </w:r>
    </w:p>
    <w:p w14:paraId="6FE2BC3B" w14:textId="77777777" w:rsidR="000839A4" w:rsidRPr="000839A4" w:rsidRDefault="000839A4" w:rsidP="000839A4">
      <w:pPr>
        <w:tabs>
          <w:tab w:val="left" w:pos="357"/>
        </w:tabs>
        <w:spacing w:before="0"/>
        <w:ind w:left="714" w:hanging="357"/>
        <w:rPr>
          <w:strike/>
          <w:szCs w:val="24"/>
        </w:rPr>
      </w:pPr>
      <w:r w:rsidRPr="000839A4">
        <w:rPr>
          <w:strike/>
          <w:szCs w:val="24"/>
        </w:rPr>
        <w:t>1.</w:t>
      </w:r>
      <w:r w:rsidRPr="000839A4">
        <w:rPr>
          <w:strike/>
          <w:szCs w:val="24"/>
        </w:rPr>
        <w:tab/>
        <w:t xml:space="preserve">předmětem finančního leasingu a úplata z tohoto finančního leasingu je výdajem k dosažení, zajištění a udržení příjmů podle tohoto zákona, </w:t>
      </w:r>
    </w:p>
    <w:p w14:paraId="685C09C9" w14:textId="77777777" w:rsidR="000839A4" w:rsidRPr="000839A4" w:rsidRDefault="000839A4" w:rsidP="000839A4">
      <w:pPr>
        <w:tabs>
          <w:tab w:val="left" w:pos="357"/>
        </w:tabs>
        <w:spacing w:before="0"/>
        <w:ind w:left="714" w:hanging="357"/>
        <w:rPr>
          <w:strike/>
          <w:szCs w:val="24"/>
        </w:rPr>
      </w:pPr>
      <w:r w:rsidRPr="000839A4">
        <w:rPr>
          <w:strike/>
          <w:szCs w:val="24"/>
        </w:rPr>
        <w:t>2.</w:t>
      </w:r>
      <w:r w:rsidRPr="000839A4">
        <w:rPr>
          <w:strike/>
          <w:szCs w:val="24"/>
        </w:rPr>
        <w:tab/>
        <w:t xml:space="preserve">pořizován pro účely odborného vzdělávání a </w:t>
      </w:r>
    </w:p>
    <w:p w14:paraId="2DF042A8" w14:textId="77777777" w:rsidR="000839A4" w:rsidRPr="000839A4" w:rsidRDefault="000839A4" w:rsidP="000839A4">
      <w:pPr>
        <w:tabs>
          <w:tab w:val="left" w:pos="357"/>
        </w:tabs>
        <w:spacing w:before="0"/>
        <w:ind w:left="714" w:hanging="357"/>
        <w:rPr>
          <w:strike/>
          <w:szCs w:val="24"/>
        </w:rPr>
      </w:pPr>
      <w:r w:rsidRPr="000839A4">
        <w:rPr>
          <w:strike/>
          <w:szCs w:val="24"/>
        </w:rPr>
        <w:t>3.</w:t>
      </w:r>
      <w:r w:rsidRPr="000839A4">
        <w:rPr>
          <w:strike/>
          <w:szCs w:val="24"/>
        </w:rPr>
        <w:tab/>
        <w:t xml:space="preserve">použit pro odborné vzdělávání více než 50 % doby jeho provozu ve třech po sobě bezprostředně následujících zdaňovacích obdobích a </w:t>
      </w:r>
    </w:p>
    <w:p w14:paraId="7539EA50" w14:textId="77777777" w:rsidR="000839A4" w:rsidRPr="000839A4" w:rsidRDefault="000839A4" w:rsidP="000839A4">
      <w:pPr>
        <w:tabs>
          <w:tab w:val="left" w:pos="357"/>
        </w:tabs>
        <w:spacing w:before="0"/>
        <w:ind w:left="357" w:hanging="357"/>
        <w:rPr>
          <w:strike/>
          <w:szCs w:val="24"/>
        </w:rPr>
      </w:pPr>
      <w:r w:rsidRPr="000839A4">
        <w:rPr>
          <w:strike/>
          <w:szCs w:val="24"/>
        </w:rPr>
        <w:t>d)</w:t>
      </w:r>
      <w:r w:rsidRPr="000839A4">
        <w:rPr>
          <w:strike/>
          <w:szCs w:val="24"/>
        </w:rPr>
        <w:tab/>
        <w:t xml:space="preserve">50 % vstupní ceny majetku u původního vlastníka, který je jeho prvním vlastníkem, pokud je majetek </w:t>
      </w:r>
    </w:p>
    <w:p w14:paraId="49DF039C" w14:textId="77777777" w:rsidR="000839A4" w:rsidRPr="000839A4" w:rsidRDefault="000839A4" w:rsidP="000839A4">
      <w:pPr>
        <w:tabs>
          <w:tab w:val="left" w:pos="357"/>
        </w:tabs>
        <w:spacing w:before="0"/>
        <w:ind w:left="714" w:hanging="357"/>
        <w:rPr>
          <w:strike/>
          <w:szCs w:val="24"/>
        </w:rPr>
      </w:pPr>
      <w:r w:rsidRPr="000839A4">
        <w:rPr>
          <w:strike/>
          <w:szCs w:val="24"/>
        </w:rPr>
        <w:t>1.</w:t>
      </w:r>
      <w:r w:rsidRPr="000839A4">
        <w:rPr>
          <w:strike/>
          <w:szCs w:val="24"/>
        </w:rPr>
        <w:tab/>
        <w:t xml:space="preserve">předmětem finančního leasingu a úplata z tohoto finančního leasingu je výdajem k dosažení, zajištění a udržení příjmů podle tohoto zákona, </w:t>
      </w:r>
    </w:p>
    <w:p w14:paraId="0B9A5DF4" w14:textId="77777777" w:rsidR="000839A4" w:rsidRPr="000839A4" w:rsidRDefault="000839A4" w:rsidP="000839A4">
      <w:pPr>
        <w:tabs>
          <w:tab w:val="left" w:pos="357"/>
        </w:tabs>
        <w:spacing w:before="0"/>
        <w:ind w:left="714" w:hanging="357"/>
        <w:rPr>
          <w:strike/>
          <w:szCs w:val="24"/>
        </w:rPr>
      </w:pPr>
      <w:r w:rsidRPr="000839A4">
        <w:rPr>
          <w:strike/>
          <w:szCs w:val="24"/>
        </w:rPr>
        <w:t>2.</w:t>
      </w:r>
      <w:r w:rsidRPr="000839A4">
        <w:rPr>
          <w:strike/>
          <w:szCs w:val="24"/>
        </w:rPr>
        <w:tab/>
        <w:t xml:space="preserve">pořizován pro účely odborného vzdělávání a </w:t>
      </w:r>
    </w:p>
    <w:p w14:paraId="3C130ACB" w14:textId="77777777" w:rsidR="000839A4" w:rsidRPr="000839A4" w:rsidRDefault="000839A4" w:rsidP="000839A4">
      <w:pPr>
        <w:tabs>
          <w:tab w:val="left" w:pos="357"/>
        </w:tabs>
        <w:spacing w:before="0"/>
        <w:ind w:left="714" w:hanging="357"/>
        <w:rPr>
          <w:strike/>
          <w:szCs w:val="24"/>
        </w:rPr>
      </w:pPr>
      <w:r w:rsidRPr="000839A4">
        <w:rPr>
          <w:strike/>
          <w:szCs w:val="24"/>
        </w:rPr>
        <w:t>3.</w:t>
      </w:r>
      <w:r w:rsidRPr="000839A4">
        <w:rPr>
          <w:strike/>
          <w:szCs w:val="24"/>
        </w:rPr>
        <w:tab/>
        <w:t xml:space="preserve">použit pro odborné vzdělávání v rozsahu 30 % až 50 % doby jeho provozu ve třech po sobě bezprostředně následujících zdaňovacích obdobích. </w:t>
      </w:r>
    </w:p>
    <w:p w14:paraId="4191ED94" w14:textId="77777777" w:rsidR="000839A4" w:rsidRPr="000839A4" w:rsidRDefault="000839A4" w:rsidP="000839A4">
      <w:pPr>
        <w:spacing w:before="120" w:after="120"/>
        <w:rPr>
          <w:szCs w:val="24"/>
        </w:rPr>
      </w:pPr>
      <w:r w:rsidRPr="000839A4">
        <w:rPr>
          <w:szCs w:val="24"/>
        </w:rPr>
        <w:t xml:space="preserve">(2) Odpočet podle odstavce 1 lze odečíst od základu daně v období </w:t>
      </w:r>
      <w:r w:rsidRPr="000839A4">
        <w:rPr>
          <w:strike/>
          <w:szCs w:val="24"/>
        </w:rPr>
        <w:t>pořízení majetku</w:t>
      </w:r>
      <w:r w:rsidRPr="000839A4">
        <w:rPr>
          <w:szCs w:val="24"/>
        </w:rPr>
        <w:t xml:space="preserve"> </w:t>
      </w:r>
      <w:r w:rsidRPr="000839A4">
        <w:rPr>
          <w:b/>
          <w:szCs w:val="24"/>
        </w:rPr>
        <w:t xml:space="preserve">pořízení aktiva </w:t>
      </w:r>
      <w:r w:rsidRPr="000839A4">
        <w:rPr>
          <w:szCs w:val="24"/>
        </w:rPr>
        <w:t xml:space="preserve">podle odstavce 1 písm. a) a b) </w:t>
      </w:r>
      <w:r w:rsidRPr="000839A4">
        <w:rPr>
          <w:strike/>
          <w:szCs w:val="24"/>
        </w:rPr>
        <w:t>nebo přenechání majetku podle odstavce 1 písm. c) a d) uživateli do užívání</w:t>
      </w:r>
      <w:r w:rsidRPr="000839A4">
        <w:rPr>
          <w:szCs w:val="24"/>
        </w:rPr>
        <w:t xml:space="preserve">. </w:t>
      </w:r>
    </w:p>
    <w:p w14:paraId="16542CD2" w14:textId="77777777" w:rsidR="000839A4" w:rsidRPr="000839A4" w:rsidRDefault="000839A4" w:rsidP="000839A4">
      <w:pPr>
        <w:spacing w:before="120" w:after="120"/>
        <w:rPr>
          <w:szCs w:val="24"/>
        </w:rPr>
      </w:pPr>
      <w:r w:rsidRPr="000839A4">
        <w:rPr>
          <w:szCs w:val="24"/>
        </w:rPr>
        <w:t xml:space="preserve">(3) Odpočet podle odstavce 1 může činit nejvýše částku ve výši součinu 5 000 Kč a počtu hodin praktického vyučování, odborné praxe a vzdělávací činnosti v rámci části akreditovaného studijního programu vysoké školy uskutečněných na pracovišti poplatníka v období </w:t>
      </w:r>
      <w:r w:rsidRPr="000839A4">
        <w:rPr>
          <w:strike/>
          <w:szCs w:val="24"/>
        </w:rPr>
        <w:t>pořízení majetku</w:t>
      </w:r>
      <w:r w:rsidRPr="000839A4">
        <w:rPr>
          <w:szCs w:val="24"/>
        </w:rPr>
        <w:t xml:space="preserve"> </w:t>
      </w:r>
      <w:r w:rsidRPr="000839A4">
        <w:rPr>
          <w:b/>
          <w:szCs w:val="24"/>
        </w:rPr>
        <w:t>pořízení aktiva</w:t>
      </w:r>
      <w:r w:rsidRPr="000839A4">
        <w:rPr>
          <w:szCs w:val="24"/>
        </w:rPr>
        <w:t xml:space="preserve"> podle odstavce 1 písm. a) a b) </w:t>
      </w:r>
      <w:r w:rsidRPr="000839A4">
        <w:rPr>
          <w:strike/>
          <w:szCs w:val="24"/>
        </w:rPr>
        <w:t>nebo přenechání majetku podle odstavce 1 písm. c) a d) uživateli do užívání</w:t>
      </w:r>
      <w:r w:rsidRPr="000839A4">
        <w:rPr>
          <w:szCs w:val="24"/>
        </w:rPr>
        <w:t xml:space="preserve">. </w:t>
      </w:r>
    </w:p>
    <w:p w14:paraId="364836E7" w14:textId="77777777" w:rsidR="000839A4" w:rsidRPr="000839A4" w:rsidRDefault="000839A4" w:rsidP="000839A4">
      <w:pPr>
        <w:spacing w:before="120" w:after="120"/>
        <w:rPr>
          <w:szCs w:val="24"/>
        </w:rPr>
      </w:pPr>
      <w:r w:rsidRPr="000839A4">
        <w:rPr>
          <w:szCs w:val="24"/>
        </w:rPr>
        <w:t xml:space="preserve">(4) </w:t>
      </w:r>
      <w:r w:rsidRPr="000839A4">
        <w:rPr>
          <w:strike/>
          <w:szCs w:val="24"/>
        </w:rPr>
        <w:t>Majetkem pořízeným nebo pořizovaným</w:t>
      </w:r>
      <w:r w:rsidRPr="000839A4">
        <w:rPr>
          <w:szCs w:val="24"/>
        </w:rPr>
        <w:t xml:space="preserve"> </w:t>
      </w:r>
      <w:r w:rsidRPr="000839A4">
        <w:rPr>
          <w:b/>
          <w:szCs w:val="24"/>
        </w:rPr>
        <w:t xml:space="preserve">Aktivem pořízeným </w:t>
      </w:r>
      <w:r w:rsidRPr="000839A4">
        <w:rPr>
          <w:szCs w:val="24"/>
        </w:rPr>
        <w:t xml:space="preserve">pro účely odpočtu podle odstavce 1 se rozumí </w:t>
      </w:r>
      <w:r w:rsidRPr="000839A4">
        <w:rPr>
          <w:strike/>
          <w:szCs w:val="24"/>
        </w:rPr>
        <w:t xml:space="preserve">majetek </w:t>
      </w:r>
      <w:r w:rsidRPr="000839A4">
        <w:rPr>
          <w:b/>
          <w:szCs w:val="24"/>
        </w:rPr>
        <w:t>aktivum</w:t>
      </w:r>
      <w:r w:rsidRPr="000839A4">
        <w:rPr>
          <w:szCs w:val="24"/>
        </w:rPr>
        <w:t xml:space="preserve">, </w:t>
      </w:r>
    </w:p>
    <w:p w14:paraId="0B6F01C1"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r>
      <w:r w:rsidRPr="000839A4">
        <w:rPr>
          <w:strike/>
          <w:szCs w:val="24"/>
        </w:rPr>
        <w:t xml:space="preserve">který </w:t>
      </w:r>
      <w:proofErr w:type="gramStart"/>
      <w:r w:rsidRPr="000839A4">
        <w:rPr>
          <w:strike/>
          <w:szCs w:val="24"/>
        </w:rPr>
        <w:t>je</w:t>
      </w:r>
      <w:proofErr w:type="gramEnd"/>
      <w:r w:rsidRPr="000839A4">
        <w:rPr>
          <w:strike/>
          <w:szCs w:val="24"/>
        </w:rPr>
        <w:t xml:space="preserve"> vymezen</w:t>
      </w:r>
      <w:r w:rsidRPr="000839A4">
        <w:rPr>
          <w:szCs w:val="24"/>
        </w:rPr>
        <w:t xml:space="preserve"> </w:t>
      </w:r>
      <w:r w:rsidRPr="000839A4">
        <w:rPr>
          <w:b/>
          <w:szCs w:val="24"/>
        </w:rPr>
        <w:t xml:space="preserve">které je vymezeno </w:t>
      </w:r>
      <w:r w:rsidRPr="000839A4">
        <w:rPr>
          <w:szCs w:val="24"/>
        </w:rPr>
        <w:t xml:space="preserve">ve smlouvě uzavřené mezi poplatníkem a právnickou osobou vykonávající činnost střední školy, vyšší odborné školy nebo vysoké školy o obsahu a rozsahu praktického vyučování, odborné praxe nebo vzdělávací činnosti v rámci části akreditovaného studijního programu vysoké školy a o podmínkách pro jejich konání nebo prohlášení o odborném vzdělávání jako </w:t>
      </w:r>
      <w:r w:rsidRPr="000839A4">
        <w:rPr>
          <w:strike/>
          <w:szCs w:val="24"/>
        </w:rPr>
        <w:t>majetek, který bude využíván</w:t>
      </w:r>
      <w:r w:rsidRPr="000839A4">
        <w:rPr>
          <w:szCs w:val="24"/>
        </w:rPr>
        <w:t xml:space="preserve"> </w:t>
      </w:r>
      <w:r w:rsidRPr="000839A4">
        <w:rPr>
          <w:b/>
          <w:szCs w:val="24"/>
        </w:rPr>
        <w:t xml:space="preserve">aktivum, které bude využíváno </w:t>
      </w:r>
      <w:r w:rsidRPr="000839A4">
        <w:rPr>
          <w:szCs w:val="24"/>
        </w:rPr>
        <w:t xml:space="preserve">při </w:t>
      </w:r>
    </w:p>
    <w:p w14:paraId="3CA307AE" w14:textId="77777777" w:rsidR="000839A4" w:rsidRPr="000839A4" w:rsidRDefault="000839A4" w:rsidP="000839A4">
      <w:pPr>
        <w:tabs>
          <w:tab w:val="left" w:pos="357"/>
        </w:tabs>
        <w:spacing w:before="0"/>
        <w:ind w:left="714" w:hanging="357"/>
        <w:rPr>
          <w:szCs w:val="24"/>
        </w:rPr>
      </w:pPr>
      <w:r w:rsidRPr="000839A4">
        <w:rPr>
          <w:szCs w:val="24"/>
        </w:rPr>
        <w:t>1.</w:t>
      </w:r>
      <w:r w:rsidRPr="000839A4">
        <w:rPr>
          <w:szCs w:val="24"/>
        </w:rPr>
        <w:tab/>
        <w:t xml:space="preserve">praktickém vyučování, </w:t>
      </w:r>
    </w:p>
    <w:p w14:paraId="556A6B63" w14:textId="77777777" w:rsidR="000839A4" w:rsidRPr="000839A4" w:rsidRDefault="000839A4" w:rsidP="000839A4">
      <w:pPr>
        <w:tabs>
          <w:tab w:val="left" w:pos="357"/>
        </w:tabs>
        <w:spacing w:before="0"/>
        <w:ind w:left="714" w:hanging="357"/>
        <w:rPr>
          <w:szCs w:val="24"/>
        </w:rPr>
      </w:pPr>
      <w:r w:rsidRPr="000839A4">
        <w:rPr>
          <w:szCs w:val="24"/>
        </w:rPr>
        <w:t>2.</w:t>
      </w:r>
      <w:r w:rsidRPr="000839A4">
        <w:rPr>
          <w:szCs w:val="24"/>
        </w:rPr>
        <w:tab/>
        <w:t xml:space="preserve">odborné praxi nebo </w:t>
      </w:r>
    </w:p>
    <w:p w14:paraId="6EA6923F" w14:textId="77777777" w:rsidR="000839A4" w:rsidRPr="000839A4" w:rsidRDefault="000839A4" w:rsidP="000839A4">
      <w:pPr>
        <w:tabs>
          <w:tab w:val="left" w:pos="357"/>
        </w:tabs>
        <w:spacing w:before="0"/>
        <w:ind w:left="714" w:hanging="357"/>
        <w:rPr>
          <w:szCs w:val="24"/>
        </w:rPr>
      </w:pPr>
      <w:r w:rsidRPr="000839A4">
        <w:rPr>
          <w:szCs w:val="24"/>
        </w:rPr>
        <w:t>3.</w:t>
      </w:r>
      <w:r w:rsidRPr="000839A4">
        <w:rPr>
          <w:szCs w:val="24"/>
        </w:rPr>
        <w:tab/>
        <w:t>vzdělávací činnosti v rámci části akreditovaného studijního programu vysoké školy na pracovišti poplatníka,</w:t>
      </w:r>
    </w:p>
    <w:p w14:paraId="07458090" w14:textId="77777777" w:rsidR="000839A4" w:rsidRPr="000839A4" w:rsidRDefault="000839A4" w:rsidP="000839A4">
      <w:pPr>
        <w:tabs>
          <w:tab w:val="left" w:pos="357"/>
        </w:tabs>
        <w:spacing w:before="0"/>
        <w:ind w:left="357" w:hanging="357"/>
        <w:rPr>
          <w:strike/>
          <w:szCs w:val="24"/>
        </w:rPr>
      </w:pPr>
      <w:r w:rsidRPr="000839A4">
        <w:rPr>
          <w:strike/>
          <w:szCs w:val="24"/>
        </w:rPr>
        <w:t>b)</w:t>
      </w:r>
      <w:r w:rsidRPr="000839A4">
        <w:rPr>
          <w:strike/>
          <w:szCs w:val="24"/>
        </w:rPr>
        <w:tab/>
        <w:t xml:space="preserve">u kterého je vstupní cenou pořizovací cena nebo vlastní náklady, nebo který je oceněn podle právních předpisů upravujících účetnictví pořizovací cenou nebo vlastními náklady a </w:t>
      </w:r>
    </w:p>
    <w:p w14:paraId="1061C997" w14:textId="77777777" w:rsidR="000839A4" w:rsidRPr="000839A4" w:rsidRDefault="000839A4" w:rsidP="000839A4">
      <w:pPr>
        <w:tabs>
          <w:tab w:val="left" w:pos="357"/>
        </w:tabs>
        <w:spacing w:before="0"/>
        <w:ind w:left="357" w:hanging="357"/>
        <w:rPr>
          <w:b/>
          <w:noProof/>
          <w:szCs w:val="24"/>
        </w:rPr>
      </w:pPr>
      <w:r w:rsidRPr="000839A4">
        <w:rPr>
          <w:b/>
          <w:noProof/>
          <w:szCs w:val="24"/>
        </w:rPr>
        <w:t>b)</w:t>
      </w:r>
      <w:r w:rsidRPr="000839A4">
        <w:rPr>
          <w:b/>
          <w:noProof/>
          <w:szCs w:val="24"/>
        </w:rPr>
        <w:tab/>
        <w:t xml:space="preserve">u </w:t>
      </w:r>
      <w:r w:rsidRPr="000839A4">
        <w:rPr>
          <w:b/>
          <w:szCs w:val="24"/>
        </w:rPr>
        <w:t>kterého</w:t>
      </w:r>
      <w:r w:rsidRPr="000839A4">
        <w:rPr>
          <w:b/>
          <w:noProof/>
          <w:szCs w:val="24"/>
        </w:rPr>
        <w:t xml:space="preserve"> je prvotní daňová hodnota rovna pořizovacímu výdaji a</w:t>
      </w:r>
    </w:p>
    <w:p w14:paraId="127F5EF4" w14:textId="77777777" w:rsidR="000839A4" w:rsidRPr="000839A4" w:rsidRDefault="000839A4" w:rsidP="000839A4">
      <w:pPr>
        <w:tabs>
          <w:tab w:val="left" w:pos="357"/>
        </w:tabs>
        <w:spacing w:before="0"/>
        <w:ind w:left="357" w:hanging="357"/>
        <w:rPr>
          <w:szCs w:val="24"/>
        </w:rPr>
      </w:pPr>
      <w:r w:rsidRPr="000839A4">
        <w:rPr>
          <w:szCs w:val="24"/>
        </w:rPr>
        <w:t>c)</w:t>
      </w:r>
      <w:r w:rsidRPr="000839A4">
        <w:rPr>
          <w:szCs w:val="24"/>
        </w:rPr>
        <w:tab/>
        <w:t xml:space="preserve">na jehož pořízení nebo pořizování nebyla ani z části poskytnuta podpora z veřejných zdrojů </w:t>
      </w:r>
    </w:p>
    <w:p w14:paraId="3B6A79DA" w14:textId="77777777" w:rsidR="000839A4" w:rsidRPr="000839A4" w:rsidRDefault="000839A4" w:rsidP="000839A4">
      <w:pPr>
        <w:spacing w:before="120" w:after="120"/>
        <w:rPr>
          <w:szCs w:val="24"/>
        </w:rPr>
      </w:pPr>
      <w:r w:rsidRPr="000839A4">
        <w:rPr>
          <w:szCs w:val="24"/>
        </w:rPr>
        <w:t xml:space="preserve">(5) </w:t>
      </w:r>
      <w:r w:rsidRPr="000839A4">
        <w:rPr>
          <w:strike/>
          <w:szCs w:val="24"/>
        </w:rPr>
        <w:t>Majetkem</w:t>
      </w:r>
      <w:r w:rsidRPr="000839A4">
        <w:rPr>
          <w:szCs w:val="24"/>
        </w:rPr>
        <w:t xml:space="preserve"> </w:t>
      </w:r>
      <w:r w:rsidRPr="000839A4">
        <w:rPr>
          <w:b/>
          <w:szCs w:val="24"/>
        </w:rPr>
        <w:t xml:space="preserve">Aktivem </w:t>
      </w:r>
      <w:r w:rsidRPr="000839A4">
        <w:rPr>
          <w:szCs w:val="24"/>
        </w:rPr>
        <w:t xml:space="preserve">pořízeným </w:t>
      </w:r>
      <w:r w:rsidRPr="000839A4">
        <w:rPr>
          <w:strike/>
          <w:szCs w:val="24"/>
        </w:rPr>
        <w:t>nebo pořizovaným</w:t>
      </w:r>
      <w:r w:rsidRPr="000839A4">
        <w:rPr>
          <w:szCs w:val="24"/>
        </w:rPr>
        <w:t xml:space="preserve"> pro účely odpočtu podle odstavce 1 je pouze </w:t>
      </w:r>
    </w:p>
    <w:p w14:paraId="7ED17769" w14:textId="77777777" w:rsidR="000839A4" w:rsidRPr="000839A4" w:rsidRDefault="000839A4" w:rsidP="000839A4">
      <w:pPr>
        <w:tabs>
          <w:tab w:val="left" w:pos="357"/>
        </w:tabs>
        <w:spacing w:before="0"/>
        <w:ind w:left="357" w:hanging="357"/>
        <w:rPr>
          <w:strike/>
          <w:szCs w:val="24"/>
        </w:rPr>
      </w:pPr>
      <w:r w:rsidRPr="000839A4">
        <w:rPr>
          <w:strike/>
          <w:szCs w:val="24"/>
        </w:rPr>
        <w:t>a)</w:t>
      </w:r>
      <w:r w:rsidRPr="000839A4">
        <w:rPr>
          <w:strike/>
          <w:szCs w:val="24"/>
        </w:rPr>
        <w:tab/>
        <w:t xml:space="preserve">hmotný majetek zařazený v odpisové skupině 1, 2 nebo 3 podle přílohy č. 1 k tomuto zákonu nebo </w:t>
      </w:r>
    </w:p>
    <w:p w14:paraId="44DEE178" w14:textId="77777777" w:rsidR="000839A4" w:rsidRPr="000839A4" w:rsidRDefault="000839A4" w:rsidP="000839A4">
      <w:pPr>
        <w:tabs>
          <w:tab w:val="left" w:pos="357"/>
        </w:tabs>
        <w:spacing w:before="0"/>
        <w:ind w:left="357" w:hanging="357"/>
        <w:rPr>
          <w:b/>
          <w:noProof/>
          <w:szCs w:val="24"/>
        </w:rPr>
      </w:pPr>
      <w:r w:rsidRPr="000839A4">
        <w:rPr>
          <w:b/>
          <w:noProof/>
          <w:szCs w:val="24"/>
        </w:rPr>
        <w:t xml:space="preserve">a) </w:t>
      </w:r>
      <w:r w:rsidRPr="000839A4">
        <w:rPr>
          <w:b/>
          <w:noProof/>
          <w:szCs w:val="24"/>
        </w:rPr>
        <w:tab/>
      </w:r>
      <w:r w:rsidRPr="000839A4">
        <w:rPr>
          <w:b/>
          <w:szCs w:val="24"/>
        </w:rPr>
        <w:t>movité</w:t>
      </w:r>
      <w:r w:rsidRPr="000839A4">
        <w:rPr>
          <w:b/>
          <w:noProof/>
          <w:szCs w:val="24"/>
        </w:rPr>
        <w:t xml:space="preserve"> aktivum, které by bylo daňově odepisované, pokud by poplatník byl malou účetní jednotkou,</w:t>
      </w:r>
    </w:p>
    <w:p w14:paraId="357C88D8" w14:textId="77777777" w:rsidR="000839A4" w:rsidRPr="000839A4" w:rsidRDefault="000839A4" w:rsidP="000839A4">
      <w:pPr>
        <w:tabs>
          <w:tab w:val="left" w:pos="357"/>
        </w:tabs>
        <w:spacing w:before="0"/>
        <w:ind w:left="357" w:hanging="357"/>
        <w:rPr>
          <w:szCs w:val="24"/>
        </w:rPr>
      </w:pPr>
      <w:r w:rsidRPr="000839A4">
        <w:rPr>
          <w:szCs w:val="24"/>
        </w:rPr>
        <w:lastRenderedPageBreak/>
        <w:t>b)</w:t>
      </w:r>
      <w:r w:rsidRPr="000839A4">
        <w:rPr>
          <w:szCs w:val="24"/>
        </w:rPr>
        <w:tab/>
        <w:t xml:space="preserve">software, který je </w:t>
      </w:r>
      <w:r w:rsidRPr="000839A4">
        <w:rPr>
          <w:strike/>
          <w:szCs w:val="24"/>
        </w:rPr>
        <w:t>dlouhodobým nehmotným majetkem</w:t>
      </w:r>
      <w:r w:rsidRPr="000839A4">
        <w:rPr>
          <w:szCs w:val="24"/>
        </w:rPr>
        <w:t xml:space="preserve"> </w:t>
      </w:r>
      <w:r w:rsidRPr="000839A4">
        <w:rPr>
          <w:b/>
          <w:szCs w:val="24"/>
        </w:rPr>
        <w:t xml:space="preserve">stálým nehmotným aktivem </w:t>
      </w:r>
      <w:r w:rsidRPr="000839A4">
        <w:rPr>
          <w:szCs w:val="24"/>
        </w:rPr>
        <w:t xml:space="preserve">podle právních předpisů upravující účetnictví s oceněním vyšším 80 000 Kč. </w:t>
      </w:r>
    </w:p>
    <w:p w14:paraId="059A8E8E" w14:textId="77777777" w:rsidR="000839A4" w:rsidRPr="000839A4" w:rsidRDefault="000839A4" w:rsidP="000839A4">
      <w:pPr>
        <w:spacing w:before="120" w:after="120"/>
        <w:rPr>
          <w:strike/>
          <w:noProof/>
          <w:szCs w:val="24"/>
        </w:rPr>
      </w:pPr>
      <w:r w:rsidRPr="000839A4">
        <w:rPr>
          <w:strike/>
          <w:noProof/>
          <w:szCs w:val="24"/>
        </w:rPr>
        <w:t>(6) Pokud ve zdaňovacím období započatém od 1. dubna 2019 do 30. dubna 2021 nebyla splněna podmínka doby použití majetku pro odborné vzdělávání podle odstavce 1, považuje se za splněnou. Počet zdaňovacích období, po která musí být podle odstavce 1 tato podmínka splněna, se v takovém případě prodlužuje o počet zdaňovacích období, ve kterých je považována za splněnou podle věty první.</w:t>
      </w:r>
    </w:p>
    <w:p w14:paraId="155B8706" w14:textId="77777777" w:rsidR="000839A4" w:rsidRPr="000839A4" w:rsidRDefault="000839A4" w:rsidP="000839A4">
      <w:pPr>
        <w:keepNext/>
        <w:ind w:firstLine="0"/>
        <w:jc w:val="center"/>
        <w:rPr>
          <w:szCs w:val="24"/>
        </w:rPr>
      </w:pPr>
      <w:r w:rsidRPr="000839A4">
        <w:rPr>
          <w:szCs w:val="24"/>
        </w:rPr>
        <w:t>§ 34h</w:t>
      </w:r>
    </w:p>
    <w:p w14:paraId="7357B5D0" w14:textId="77777777" w:rsidR="000839A4" w:rsidRPr="000839A4" w:rsidRDefault="000839A4" w:rsidP="000839A4">
      <w:pPr>
        <w:keepNext/>
        <w:ind w:firstLine="0"/>
        <w:jc w:val="center"/>
        <w:rPr>
          <w:b/>
          <w:szCs w:val="24"/>
        </w:rPr>
      </w:pPr>
      <w:r w:rsidRPr="000839A4">
        <w:rPr>
          <w:b/>
          <w:szCs w:val="24"/>
        </w:rPr>
        <w:t xml:space="preserve">Odpočet na podporu výdajů vynaložených na žáka nebo studenta </w:t>
      </w:r>
    </w:p>
    <w:p w14:paraId="06E6D517" w14:textId="77777777" w:rsidR="000839A4" w:rsidRPr="000839A4" w:rsidRDefault="000839A4" w:rsidP="000839A4">
      <w:pPr>
        <w:spacing w:before="120" w:after="120"/>
        <w:rPr>
          <w:szCs w:val="24"/>
        </w:rPr>
      </w:pPr>
      <w:r w:rsidRPr="000839A4">
        <w:rPr>
          <w:noProof/>
          <w:szCs w:val="24"/>
        </w:rPr>
        <w:t>Odpočet</w:t>
      </w:r>
      <w:r w:rsidRPr="000839A4">
        <w:rPr>
          <w:szCs w:val="24"/>
        </w:rPr>
        <w:t xml:space="preserve"> na podporu výdajů vynaložených na žáka nebo studenta v rámci odborného vzdělávání činí součin </w:t>
      </w:r>
    </w:p>
    <w:p w14:paraId="608995D1"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 xml:space="preserve">200 Kč a </w:t>
      </w:r>
    </w:p>
    <w:p w14:paraId="19455130"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 xml:space="preserve">počtu hodin uskutečněných v období na pracovišti poplatníka v rámci </w:t>
      </w:r>
    </w:p>
    <w:p w14:paraId="1348653F" w14:textId="77777777" w:rsidR="000839A4" w:rsidRPr="000839A4" w:rsidRDefault="000839A4" w:rsidP="000839A4">
      <w:pPr>
        <w:tabs>
          <w:tab w:val="left" w:pos="357"/>
        </w:tabs>
        <w:spacing w:before="0"/>
        <w:ind w:left="714" w:hanging="357"/>
        <w:rPr>
          <w:szCs w:val="24"/>
        </w:rPr>
      </w:pPr>
      <w:r w:rsidRPr="000839A4">
        <w:rPr>
          <w:szCs w:val="24"/>
        </w:rPr>
        <w:t>1.</w:t>
      </w:r>
      <w:r w:rsidRPr="000839A4">
        <w:rPr>
          <w:szCs w:val="24"/>
        </w:rPr>
        <w:tab/>
        <w:t xml:space="preserve">praktického vyučování, </w:t>
      </w:r>
    </w:p>
    <w:p w14:paraId="5B60EE50" w14:textId="77777777" w:rsidR="000839A4" w:rsidRPr="000839A4" w:rsidRDefault="000839A4" w:rsidP="000839A4">
      <w:pPr>
        <w:tabs>
          <w:tab w:val="left" w:pos="357"/>
        </w:tabs>
        <w:spacing w:before="0"/>
        <w:ind w:left="714" w:hanging="357"/>
        <w:rPr>
          <w:szCs w:val="24"/>
        </w:rPr>
      </w:pPr>
      <w:r w:rsidRPr="000839A4">
        <w:rPr>
          <w:szCs w:val="24"/>
        </w:rPr>
        <w:t>2.</w:t>
      </w:r>
      <w:r w:rsidRPr="000839A4">
        <w:rPr>
          <w:szCs w:val="24"/>
        </w:rPr>
        <w:tab/>
        <w:t xml:space="preserve">odborné praxe, </w:t>
      </w:r>
    </w:p>
    <w:p w14:paraId="30A35765" w14:textId="77777777" w:rsidR="000839A4" w:rsidRPr="000839A4" w:rsidRDefault="000839A4" w:rsidP="000839A4">
      <w:pPr>
        <w:tabs>
          <w:tab w:val="left" w:pos="357"/>
        </w:tabs>
        <w:spacing w:before="0"/>
        <w:ind w:left="714" w:hanging="357"/>
        <w:rPr>
          <w:szCs w:val="24"/>
        </w:rPr>
      </w:pPr>
      <w:r w:rsidRPr="000839A4">
        <w:rPr>
          <w:szCs w:val="24"/>
        </w:rPr>
        <w:t>3.</w:t>
      </w:r>
      <w:r w:rsidRPr="000839A4">
        <w:rPr>
          <w:szCs w:val="24"/>
        </w:rPr>
        <w:tab/>
        <w:t xml:space="preserve">vzdělávací činnosti v rámci části akreditovaného studijního programu vysoké školy. </w:t>
      </w:r>
    </w:p>
    <w:p w14:paraId="055C797D" w14:textId="77777777" w:rsidR="000839A4" w:rsidRPr="000839A4" w:rsidRDefault="000839A4" w:rsidP="000839A4">
      <w:pPr>
        <w:keepNext/>
        <w:spacing w:before="120"/>
        <w:ind w:firstLine="0"/>
        <w:jc w:val="center"/>
        <w:outlineLvl w:val="7"/>
        <w:rPr>
          <w:b/>
        </w:rPr>
      </w:pPr>
      <w:r w:rsidRPr="000839A4">
        <w:rPr>
          <w:b/>
        </w:rPr>
        <w:t>Hlava XI</w:t>
      </w:r>
    </w:p>
    <w:p w14:paraId="47AD61F0" w14:textId="77777777" w:rsidR="000839A4" w:rsidRPr="000839A4" w:rsidRDefault="000839A4" w:rsidP="000839A4">
      <w:pPr>
        <w:keepNext/>
        <w:spacing w:before="120"/>
        <w:ind w:firstLine="0"/>
        <w:jc w:val="center"/>
        <w:outlineLvl w:val="7"/>
      </w:pPr>
      <w:r w:rsidRPr="000839A4">
        <w:rPr>
          <w:b/>
          <w:bCs/>
        </w:rPr>
        <w:t>Slevy na dani a daňové zvýhodnění</w:t>
      </w:r>
    </w:p>
    <w:p w14:paraId="6193107F" w14:textId="77777777" w:rsidR="000839A4" w:rsidRPr="000839A4" w:rsidRDefault="000839A4" w:rsidP="000839A4">
      <w:pPr>
        <w:keepNext/>
        <w:ind w:firstLine="0"/>
        <w:jc w:val="center"/>
        <w:rPr>
          <w:szCs w:val="24"/>
        </w:rPr>
      </w:pPr>
      <w:r w:rsidRPr="000839A4">
        <w:rPr>
          <w:szCs w:val="24"/>
        </w:rPr>
        <w:t>§ 35</w:t>
      </w:r>
    </w:p>
    <w:p w14:paraId="61ECCFF2" w14:textId="77777777" w:rsidR="000839A4" w:rsidRPr="000839A4" w:rsidRDefault="000839A4" w:rsidP="000839A4">
      <w:pPr>
        <w:keepNext/>
        <w:ind w:firstLine="0"/>
        <w:jc w:val="center"/>
        <w:rPr>
          <w:b/>
          <w:szCs w:val="24"/>
        </w:rPr>
      </w:pPr>
      <w:r w:rsidRPr="000839A4">
        <w:rPr>
          <w:b/>
          <w:szCs w:val="24"/>
        </w:rPr>
        <w:t xml:space="preserve"> Sleva na dani </w:t>
      </w:r>
    </w:p>
    <w:p w14:paraId="54F261C3" w14:textId="77777777" w:rsidR="000839A4" w:rsidRPr="000839A4" w:rsidRDefault="000839A4" w:rsidP="000839A4">
      <w:pPr>
        <w:spacing w:before="120" w:after="120"/>
        <w:rPr>
          <w:szCs w:val="24"/>
        </w:rPr>
      </w:pPr>
      <w:r w:rsidRPr="000839A4">
        <w:rPr>
          <w:szCs w:val="24"/>
        </w:rPr>
        <w:t xml:space="preserve">(1) </w:t>
      </w:r>
      <w:r w:rsidRPr="000839A4">
        <w:rPr>
          <w:strike/>
          <w:szCs w:val="24"/>
        </w:rPr>
        <w:t>Poplatníkům uvedeným v § 2 a 17 se daň za zdaňovací období, kterým je kalendářní rok, nebo za zdaňovací období kratší než nepřetržitě po sobě jdoucích dvanáct měsíců spadajících do kalendářního roku, anebo za část uvedených zdaňovacích období, za kterou se podává daňové přiznání, snižuje o</w:t>
      </w:r>
      <w:r w:rsidRPr="000839A4">
        <w:rPr>
          <w:szCs w:val="24"/>
        </w:rPr>
        <w:t xml:space="preserve"> </w:t>
      </w:r>
      <w:r w:rsidRPr="000839A4">
        <w:rPr>
          <w:b/>
          <w:noProof/>
          <w:szCs w:val="24"/>
        </w:rPr>
        <w:t xml:space="preserve">Daň poplatníka vypočtená za zdaňovací období nebo za část zdaňovacího období, jejichž začátek i konec spadají do stejného kalendářního roku, se snižuje o </w:t>
      </w:r>
    </w:p>
    <w:p w14:paraId="719D506D"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částku 18 000 Kč za každého zaměstnance se zdravotním postižením, s výjimkou zaměstnance s těžším zdravotním postižením</w:t>
      </w:r>
      <w:r w:rsidRPr="000839A4">
        <w:rPr>
          <w:szCs w:val="24"/>
          <w:vertAlign w:val="superscript"/>
        </w:rPr>
        <w:footnoteReference w:customMarkFollows="1" w:id="181"/>
        <w:t>33)</w:t>
      </w:r>
      <w:r w:rsidRPr="000839A4">
        <w:rPr>
          <w:szCs w:val="24"/>
        </w:rPr>
        <w:t xml:space="preserve"> a poměrnou část z této částky, je-li výsledkem průměrného ročního přepočteného počtu těchto zaměstnanců podle odstavce 2 desetinné číslo,  </w:t>
      </w:r>
    </w:p>
    <w:p w14:paraId="3B235697"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částku 60 000 Kč za každého zaměstnance s těžším zdravotním postižením</w:t>
      </w:r>
      <w:r w:rsidRPr="000839A4">
        <w:rPr>
          <w:szCs w:val="24"/>
          <w:vertAlign w:val="superscript"/>
        </w:rPr>
        <w:t>33)</w:t>
      </w:r>
      <w:r w:rsidRPr="000839A4">
        <w:rPr>
          <w:szCs w:val="24"/>
        </w:rPr>
        <w:t xml:space="preserve"> a poměrnou část z této částky, je-li výsledkem průměrného ročního přepočteného počtu těchto zaměstnanců podle odstavce 2 desetinné číslo. </w:t>
      </w:r>
    </w:p>
    <w:p w14:paraId="55BDB566" w14:textId="77777777" w:rsidR="000839A4" w:rsidRPr="000839A4" w:rsidRDefault="000839A4" w:rsidP="000839A4">
      <w:pPr>
        <w:spacing w:before="120" w:after="120"/>
        <w:rPr>
          <w:szCs w:val="24"/>
        </w:rPr>
      </w:pPr>
      <w:r w:rsidRPr="000839A4">
        <w:rPr>
          <w:szCs w:val="24"/>
        </w:rPr>
        <w:t xml:space="preserve"> Přitom u poplatníků, kteří jsou společníky veřejné obchodní společnosti, u komplementářů komanditní společnosti a u komanditní společnosti se daň sníží podle písmen a) a b) pouze o částku, která odpovídá poměru, jakým byl mezi ně rozdělen základ daně zjištěný za veřejnou obchodní společnost nebo za komanditní společnost. </w:t>
      </w:r>
    </w:p>
    <w:p w14:paraId="69E4DC06" w14:textId="77777777" w:rsidR="000839A4" w:rsidRPr="000839A4" w:rsidRDefault="000839A4" w:rsidP="000839A4">
      <w:pPr>
        <w:spacing w:before="120" w:after="120"/>
        <w:rPr>
          <w:szCs w:val="24"/>
        </w:rPr>
      </w:pPr>
      <w:r w:rsidRPr="000839A4">
        <w:rPr>
          <w:szCs w:val="24"/>
        </w:rPr>
        <w:t>(2) Pro výpočet slev podle odstavce 1 písm. a) a b) je rozhodný průměrný roční přepočtený počet zaměstnanců se zdravotním postižením</w:t>
      </w:r>
      <w:r w:rsidRPr="000839A4">
        <w:rPr>
          <w:szCs w:val="24"/>
          <w:vertAlign w:val="superscript"/>
        </w:rPr>
        <w:t>33)</w:t>
      </w:r>
      <w:r w:rsidRPr="000839A4">
        <w:rPr>
          <w:szCs w:val="24"/>
          <w:vertAlign w:val="superscript"/>
        </w:rPr>
        <w:fldChar w:fldCharType="begin"/>
      </w:r>
      <w:r w:rsidRPr="000839A4">
        <w:rPr>
          <w:szCs w:val="24"/>
          <w:vertAlign w:val="superscript"/>
        </w:rPr>
        <w:instrText xml:space="preserve"> NOTEREF _Ref535916601 </w:instrText>
      </w:r>
      <w:r w:rsidRPr="000839A4">
        <w:rPr>
          <w:szCs w:val="24"/>
          <w:vertAlign w:val="superscript"/>
        </w:rPr>
        <w:fldChar w:fldCharType="end"/>
      </w:r>
      <w:r w:rsidRPr="000839A4">
        <w:rPr>
          <w:szCs w:val="24"/>
        </w:rPr>
        <w:t xml:space="preserve">. Průměrný přepočtený počet zaměstnanců se </w:t>
      </w:r>
      <w:r w:rsidRPr="000839A4">
        <w:rPr>
          <w:szCs w:val="24"/>
        </w:rPr>
        <w:lastRenderedPageBreak/>
        <w:t xml:space="preserve">vypočítá samostatně za každou skupinu zaměstnanců vymezenou v předchozí větě jako podíl celkového počtu hodin, který těmto zaměstnancům vyplývá z rozvržení pracovní doby nebo z individuálně sjednané pracovní doby po dobu (délky) trvání pracovního poměru v období, za které se podle odstavce 1 podává daňové přiznání, a celkového ročního fondu pracovní doby připadajícího na jednoho zaměstnance pracujícího na plnou pracovní dobu stanovenou zvláštními právními předpisy. Do celkového počtu hodin se nezapočítají neodpracované hodiny v důsledku neomluvené nepřítomnosti v práci, nenapracovaného pracovního volna poskytnutého zaměstnavatelem bez náhrady mzdy, pokud zaměstnanec nemohl konat práci z jiných důležitých důvodů týkajících se jeho osoby, a dočasné pracovní neschopnosti nebo karantény, za kterou nepřísluší náhrada mzdy, platu nebo odměny nebo sníženého platu nebo snížené odměny za dobu dočasné pracovní neschopnosti nebo karantény podle zvláštního právního </w:t>
      </w:r>
      <w:proofErr w:type="gramStart"/>
      <w:r w:rsidRPr="000839A4">
        <w:rPr>
          <w:szCs w:val="24"/>
        </w:rPr>
        <w:t>předpisu</w:t>
      </w:r>
      <w:r w:rsidRPr="000839A4">
        <w:rPr>
          <w:szCs w:val="24"/>
          <w:vertAlign w:val="superscript"/>
        </w:rPr>
        <w:t>47a)</w:t>
      </w:r>
      <w:r w:rsidRPr="000839A4">
        <w:rPr>
          <w:szCs w:val="24"/>
        </w:rPr>
        <w:t xml:space="preserve">  nebo</w:t>
      </w:r>
      <w:proofErr w:type="gramEnd"/>
      <w:r w:rsidRPr="000839A4">
        <w:rPr>
          <w:szCs w:val="24"/>
        </w:rPr>
        <w:t xml:space="preserve"> nemocenské z nemocenského pojištění. Do trvání pracovního poměru se nezapočítává mateřská</w:t>
      </w:r>
      <w:r w:rsidRPr="000839A4">
        <w:rPr>
          <w:b/>
          <w:szCs w:val="24"/>
        </w:rPr>
        <w:t>, otcovská</w:t>
      </w:r>
      <w:r w:rsidRPr="000839A4">
        <w:rPr>
          <w:szCs w:val="24"/>
        </w:rPr>
        <w:t xml:space="preserve"> nebo rodičovská dovolená, služba v ozbrojených silách, výkon civilní služby a dlouhodobé uvolnění pro výkon veřejné funkce. Vypočtený podíl se zaokrouhluje na dvě desetinná místa.</w:t>
      </w:r>
    </w:p>
    <w:p w14:paraId="0BD9C772" w14:textId="77777777" w:rsidR="000839A4" w:rsidRPr="000839A4" w:rsidRDefault="000839A4" w:rsidP="000839A4">
      <w:pPr>
        <w:spacing w:before="120" w:after="120"/>
        <w:rPr>
          <w:szCs w:val="24"/>
        </w:rPr>
      </w:pPr>
      <w:r w:rsidRPr="000839A4">
        <w:rPr>
          <w:szCs w:val="24"/>
        </w:rPr>
        <w:t xml:space="preserve">(3) </w:t>
      </w:r>
      <w:r w:rsidRPr="000839A4">
        <w:rPr>
          <w:strike/>
          <w:szCs w:val="24"/>
        </w:rPr>
        <w:t xml:space="preserve">Budou-li slevy na dani podle odstavce 1 písm. a) a b) uplatňovat poplatníci uvedení v § 17 za zdaňovací období, kterým je hospodářský rok, nebo za zdaňovací období delší než nepřetržitě po sobě jdoucích dvanáct měsíců, anebo za jinak vymezené období, za které se podává daňové přiznání, jehož začátek a konec spadá do dvou různých kalendářních roků, zjistí se celková částka slevy jako součet dílčích částek těchto slev, vypočtených samostatně za kalendářní rok, do něhož spadá začátek, a za kalendářní rok, do něhož spadá konec období, za které se podává daňové přiznání. </w:t>
      </w:r>
      <w:r w:rsidRPr="000839A4">
        <w:rPr>
          <w:b/>
          <w:noProof/>
          <w:szCs w:val="24"/>
        </w:rPr>
        <w:t>Slevy na dani podle odstavce 1 písm. a) a b) lze uplatnit také za zdaňovací období, jehož začátek a konec spadají do dvou různých kalendářních roků; v takovém případě se zjistí celková částka slevy jako součet dílčích částek těchto slev vypočtených samostatně za každý kalendářní rok, do kterého zdaňovací období spadá</w:t>
      </w:r>
      <w:r w:rsidRPr="000839A4">
        <w:rPr>
          <w:noProof/>
          <w:szCs w:val="24"/>
        </w:rPr>
        <w:t xml:space="preserve">. </w:t>
      </w:r>
      <w:r w:rsidRPr="000839A4">
        <w:rPr>
          <w:szCs w:val="24"/>
        </w:rPr>
        <w:t xml:space="preserve">Při výpočtu každé z dílčích částek slev se jako dělitel použije celkový roční fond pracovní doby připadající na jednoho zaměstnance pracujícího na plnou pracovní dobu stanovenou zvláštními předpisy, příslušného kalendářního roku, a částka slevy podle odstavce 1 písm. a) a b) platná k poslednímu dni </w:t>
      </w:r>
      <w:r w:rsidRPr="000839A4">
        <w:rPr>
          <w:strike/>
          <w:szCs w:val="24"/>
        </w:rPr>
        <w:t xml:space="preserve">období, za které se podává daňové přiznání </w:t>
      </w:r>
      <w:r w:rsidRPr="000839A4">
        <w:rPr>
          <w:b/>
          <w:szCs w:val="24"/>
        </w:rPr>
        <w:t>zdaňovacího období</w:t>
      </w:r>
      <w:r w:rsidRPr="000839A4">
        <w:rPr>
          <w:szCs w:val="24"/>
        </w:rPr>
        <w:t xml:space="preserve">. </w:t>
      </w:r>
    </w:p>
    <w:p w14:paraId="3CC51E28" w14:textId="77777777" w:rsidR="000839A4" w:rsidRPr="000839A4" w:rsidRDefault="000839A4" w:rsidP="000839A4">
      <w:pPr>
        <w:spacing w:before="120" w:after="120"/>
        <w:rPr>
          <w:szCs w:val="24"/>
        </w:rPr>
      </w:pPr>
      <w:r w:rsidRPr="000839A4">
        <w:rPr>
          <w:szCs w:val="24"/>
        </w:rPr>
        <w:t xml:space="preserve">(4) Daň poplatníka vypočtená za zdaňovací období </w:t>
      </w:r>
      <w:r w:rsidRPr="000839A4">
        <w:rPr>
          <w:strike/>
          <w:szCs w:val="24"/>
        </w:rPr>
        <w:t xml:space="preserve">nebo období, za které se podává daňové přiznání, </w:t>
      </w:r>
      <w:r w:rsidRPr="000839A4">
        <w:rPr>
          <w:szCs w:val="24"/>
        </w:rPr>
        <w:t>se snižuje o slevu za zastavenou exekuci, jejíž výše odpovídá výši náhrady, kterou oprávněnému v daném zdaňovacím období nebo období, za které se podává daňové přiznání, přizná exekutor při zastavení exekuce, jejímž předmětem byla pohledávka nepřevyšující částku 1 500 Kč bez příslušenství, a která probíhala po dobu alespoň tří let přede dnem nabytí účinnosti zákona 286/2021 Sb., z důvodu, že v těchto třech letech nebyla tato pohledávka vymožena ani z části.</w:t>
      </w:r>
    </w:p>
    <w:p w14:paraId="7122B1C8" w14:textId="77777777" w:rsidR="000839A4" w:rsidRPr="000839A4" w:rsidRDefault="000839A4" w:rsidP="000839A4">
      <w:pPr>
        <w:spacing w:before="120" w:after="120"/>
        <w:rPr>
          <w:szCs w:val="24"/>
        </w:rPr>
      </w:pPr>
      <w:r w:rsidRPr="000839A4">
        <w:rPr>
          <w:szCs w:val="24"/>
        </w:rPr>
        <w:t>(5) Slevu na dani podle odstavců 1 a 4 nelze uplatnit na daň (část daně) ze samostatného základu daně zdaňovaného sazbou daně podle § 16a nebo § 21 odst. 4.</w:t>
      </w:r>
    </w:p>
    <w:p w14:paraId="5B0B29E9" w14:textId="77777777" w:rsidR="000839A4" w:rsidRPr="000839A4" w:rsidRDefault="000839A4" w:rsidP="000839A4">
      <w:pPr>
        <w:keepNext/>
        <w:ind w:firstLine="0"/>
        <w:jc w:val="center"/>
        <w:rPr>
          <w:szCs w:val="24"/>
        </w:rPr>
      </w:pPr>
      <w:r w:rsidRPr="000839A4">
        <w:rPr>
          <w:szCs w:val="24"/>
        </w:rPr>
        <w:t>§ 35a</w:t>
      </w:r>
    </w:p>
    <w:p w14:paraId="5653AAFB" w14:textId="77777777" w:rsidR="000839A4" w:rsidRPr="000839A4" w:rsidRDefault="000839A4" w:rsidP="000839A4">
      <w:pPr>
        <w:spacing w:before="120" w:after="120"/>
        <w:rPr>
          <w:szCs w:val="24"/>
        </w:rPr>
      </w:pPr>
      <w:r w:rsidRPr="000839A4">
        <w:rPr>
          <w:szCs w:val="24"/>
        </w:rPr>
        <w:t xml:space="preserve">(1) Poplatník, kterému byl poskytnut příslib investiční pobídky podle zvláštního právního </w:t>
      </w:r>
      <w:proofErr w:type="gramStart"/>
      <w:r w:rsidRPr="000839A4">
        <w:rPr>
          <w:szCs w:val="24"/>
        </w:rPr>
        <w:t>předpisu,</w:t>
      </w:r>
      <w:r w:rsidRPr="000839A4">
        <w:rPr>
          <w:szCs w:val="24"/>
          <w:vertAlign w:val="superscript"/>
        </w:rPr>
        <w:footnoteReference w:customMarkFollows="1" w:id="182"/>
        <w:t>67</w:t>
      </w:r>
      <w:proofErr w:type="gramEnd"/>
      <w:r w:rsidRPr="000839A4">
        <w:rPr>
          <w:szCs w:val="24"/>
          <w:vertAlign w:val="superscript"/>
        </w:rPr>
        <w:t xml:space="preserve">) </w:t>
      </w:r>
      <w:r w:rsidRPr="000839A4">
        <w:rPr>
          <w:szCs w:val="24"/>
        </w:rPr>
        <w:t xml:space="preserve">který pro poskytnutí příslibu zahájil podnikání a je registrován jako poplatník k dani z příjmů, pokud je poplatníkem daně z příjmů právnických osob, může, splnil-li všeobecné </w:t>
      </w:r>
      <w:r w:rsidRPr="000839A4">
        <w:rPr>
          <w:szCs w:val="24"/>
        </w:rPr>
        <w:lastRenderedPageBreak/>
        <w:t>podmínky stanovené zvláštním právním předpisem a zvláštní podmínky stanovené tímto zákonem, uplatnit slevu na dani, a to,</w:t>
      </w:r>
    </w:p>
    <w:p w14:paraId="62D34921"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jde-li o poplatníka daně z příjmů právnických osob, ve výši součinu sazby daně podle § 21 odst. 1 a základu daně podle § 20 odst. 1, sníženého o položky podle § 34 a § 20 odst. 8 a o rozdíl, o který úrokové příjmy zahrnované do základu daně podle § 20 odst. 1 převyšují s nimi související výdaje (náklady)</w:t>
      </w:r>
    </w:p>
    <w:p w14:paraId="5EA9710B"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jde-li o poplatníka daně z příjmů fyzických osob, ve výši daně vypočtené podle § 16 připadající na dílčí základ daně z příjmů ze samostatné činnosti.</w:t>
      </w:r>
    </w:p>
    <w:p w14:paraId="2562AF14" w14:textId="77777777" w:rsidR="000839A4" w:rsidRPr="000839A4" w:rsidRDefault="000839A4" w:rsidP="000839A4">
      <w:pPr>
        <w:spacing w:before="120" w:after="120"/>
        <w:rPr>
          <w:szCs w:val="24"/>
        </w:rPr>
      </w:pPr>
      <w:r w:rsidRPr="000839A4">
        <w:rPr>
          <w:szCs w:val="24"/>
        </w:rPr>
        <w:t>Výše slevy na dani se nemění, je-li dodatečně vyměřena vyšší daňová povinnost.</w:t>
      </w:r>
    </w:p>
    <w:p w14:paraId="55E36450" w14:textId="77777777" w:rsidR="000839A4" w:rsidRPr="000839A4" w:rsidRDefault="000839A4" w:rsidP="000839A4">
      <w:pPr>
        <w:spacing w:before="120" w:after="120"/>
        <w:rPr>
          <w:szCs w:val="24"/>
        </w:rPr>
      </w:pPr>
      <w:r w:rsidRPr="000839A4">
        <w:rPr>
          <w:szCs w:val="24"/>
        </w:rPr>
        <w:t>(2) Zvláštními podmínkami, za kterých lze uplatnit slevu na dani podle odstavce 1, jsou</w:t>
      </w:r>
    </w:p>
    <w:p w14:paraId="0F8C26EF"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poplatník počínaje zdaňovacím obdobím, ve kterém splnil všeobecné podmínky podle zákona upravujícího investiční pobídky, uplatní při stanovení základu daně v nejvyšší možné míře</w:t>
      </w:r>
    </w:p>
    <w:p w14:paraId="0EBE5873" w14:textId="77777777" w:rsidR="000839A4" w:rsidRPr="000839A4" w:rsidRDefault="000839A4" w:rsidP="000839A4">
      <w:pPr>
        <w:tabs>
          <w:tab w:val="left" w:pos="357"/>
        </w:tabs>
        <w:spacing w:before="0"/>
        <w:ind w:left="714" w:hanging="357"/>
        <w:rPr>
          <w:szCs w:val="24"/>
        </w:rPr>
      </w:pPr>
      <w:r w:rsidRPr="000839A4">
        <w:rPr>
          <w:szCs w:val="24"/>
        </w:rPr>
        <w:t>1.</w:t>
      </w:r>
      <w:r w:rsidRPr="000839A4">
        <w:rPr>
          <w:szCs w:val="24"/>
        </w:rPr>
        <w:tab/>
        <w:t xml:space="preserve">všechny odpisy podle </w:t>
      </w:r>
      <w:r w:rsidRPr="000839A4">
        <w:rPr>
          <w:strike/>
          <w:szCs w:val="24"/>
        </w:rPr>
        <w:t>§ 26 až 33</w:t>
      </w:r>
      <w:r w:rsidRPr="000839A4">
        <w:rPr>
          <w:szCs w:val="24"/>
        </w:rPr>
        <w:t xml:space="preserve">; v období uplatňování slevy nelze odpisování přerušit </w:t>
      </w:r>
      <w:r w:rsidRPr="000839A4">
        <w:rPr>
          <w:strike/>
          <w:szCs w:val="24"/>
        </w:rPr>
        <w:t>(§ 26 odst. 8)</w:t>
      </w:r>
      <w:r w:rsidRPr="000839A4">
        <w:rPr>
          <w:szCs w:val="24"/>
        </w:rPr>
        <w:t>, způsob odpisování podle tohoto zákona stanoví poplatník,</w:t>
      </w:r>
    </w:p>
    <w:p w14:paraId="3753DB0A" w14:textId="77777777" w:rsidR="000839A4" w:rsidRPr="000839A4" w:rsidRDefault="000839A4" w:rsidP="000839A4">
      <w:pPr>
        <w:tabs>
          <w:tab w:val="left" w:pos="357"/>
        </w:tabs>
        <w:spacing w:before="0"/>
        <w:ind w:left="714" w:hanging="357"/>
        <w:rPr>
          <w:szCs w:val="24"/>
        </w:rPr>
      </w:pPr>
      <w:r w:rsidRPr="000839A4">
        <w:rPr>
          <w:szCs w:val="24"/>
        </w:rPr>
        <w:t>2.</w:t>
      </w:r>
      <w:r w:rsidRPr="000839A4">
        <w:rPr>
          <w:szCs w:val="24"/>
        </w:rPr>
        <w:tab/>
        <w:t>opravné položky k pohledávkám podle zvláštního právního předpisu</w:t>
      </w:r>
      <w:r w:rsidRPr="000839A4">
        <w:rPr>
          <w:szCs w:val="24"/>
          <w:vertAlign w:val="superscript"/>
        </w:rPr>
        <w:t>22a)</w:t>
      </w:r>
      <w:r w:rsidRPr="000839A4">
        <w:rPr>
          <w:szCs w:val="24"/>
        </w:rPr>
        <w:t>,</w:t>
      </w:r>
    </w:p>
    <w:p w14:paraId="2706EF5E" w14:textId="77777777" w:rsidR="000839A4" w:rsidRPr="000839A4" w:rsidRDefault="000839A4" w:rsidP="000839A4">
      <w:pPr>
        <w:tabs>
          <w:tab w:val="left" w:pos="357"/>
        </w:tabs>
        <w:spacing w:before="0"/>
        <w:ind w:left="714" w:hanging="357"/>
        <w:rPr>
          <w:szCs w:val="24"/>
        </w:rPr>
      </w:pPr>
      <w:r w:rsidRPr="000839A4">
        <w:rPr>
          <w:szCs w:val="24"/>
        </w:rPr>
        <w:t>3.</w:t>
      </w:r>
      <w:r w:rsidRPr="000839A4">
        <w:rPr>
          <w:szCs w:val="24"/>
        </w:rPr>
        <w:tab/>
        <w:t>položky odčitatelné od základu daně podle § 34 v nejbližším zdaňovacím období, za které bude vykázán základ daně,</w:t>
      </w:r>
      <w:r w:rsidRPr="000839A4">
        <w:rPr>
          <w:rFonts w:ascii="Arial" w:hAnsi="Arial" w:cs="Arial"/>
          <w:sz w:val="16"/>
          <w:szCs w:val="16"/>
        </w:rPr>
        <w:t xml:space="preserve"> </w:t>
      </w:r>
      <w:r w:rsidRPr="000839A4">
        <w:rPr>
          <w:szCs w:val="24"/>
        </w:rPr>
        <w:t>pokud nebyly uplatněny v předchozích zdaňovacích obdobích,</w:t>
      </w:r>
    </w:p>
    <w:p w14:paraId="5019AFBB"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 xml:space="preserve">poplatník bude u </w:t>
      </w:r>
      <w:r w:rsidRPr="000839A4">
        <w:rPr>
          <w:strike/>
          <w:szCs w:val="24"/>
        </w:rPr>
        <w:t xml:space="preserve">dlouhodobého hmotného </w:t>
      </w:r>
      <w:proofErr w:type="gramStart"/>
      <w:r w:rsidRPr="000839A4">
        <w:rPr>
          <w:strike/>
          <w:szCs w:val="24"/>
        </w:rPr>
        <w:t>majetku,</w:t>
      </w:r>
      <w:r w:rsidRPr="000839A4">
        <w:rPr>
          <w:strike/>
          <w:szCs w:val="24"/>
          <w:vertAlign w:val="superscript"/>
        </w:rPr>
        <w:t>20</w:t>
      </w:r>
      <w:proofErr w:type="gramEnd"/>
      <w:r w:rsidRPr="000839A4">
        <w:rPr>
          <w:strike/>
          <w:szCs w:val="24"/>
          <w:vertAlign w:val="superscript"/>
        </w:rPr>
        <w:t>)</w:t>
      </w:r>
      <w:r w:rsidRPr="000839A4">
        <w:rPr>
          <w:szCs w:val="24"/>
        </w:rPr>
        <w:t xml:space="preserve"> </w:t>
      </w:r>
      <w:r w:rsidRPr="000839A4">
        <w:rPr>
          <w:b/>
          <w:szCs w:val="24"/>
        </w:rPr>
        <w:t xml:space="preserve"> stálých hmotných aktiv </w:t>
      </w:r>
      <w:r w:rsidRPr="000839A4">
        <w:rPr>
          <w:szCs w:val="24"/>
        </w:rPr>
        <w:t xml:space="preserve">s výjimkou nemovitých věcí, </w:t>
      </w:r>
      <w:r w:rsidRPr="000839A4">
        <w:rPr>
          <w:strike/>
          <w:szCs w:val="24"/>
        </w:rPr>
        <w:t>pořízeného</w:t>
      </w:r>
      <w:r w:rsidRPr="000839A4">
        <w:rPr>
          <w:szCs w:val="24"/>
        </w:rPr>
        <w:t xml:space="preserve"> </w:t>
      </w:r>
      <w:r w:rsidRPr="000839A4">
        <w:rPr>
          <w:b/>
          <w:szCs w:val="24"/>
        </w:rPr>
        <w:t xml:space="preserve">pořízených </w:t>
      </w:r>
      <w:r w:rsidRPr="000839A4">
        <w:rPr>
          <w:szCs w:val="24"/>
        </w:rPr>
        <w:t xml:space="preserve">v rámci investiční akce posuzované pro účely poskytnutí veřejné podpory, prvním vlastníkem na území České republiky; toto se nevztahuje na </w:t>
      </w:r>
      <w:r w:rsidRPr="000839A4">
        <w:rPr>
          <w:strike/>
          <w:szCs w:val="24"/>
        </w:rPr>
        <w:t>majetek nabytý</w:t>
      </w:r>
      <w:r w:rsidRPr="000839A4">
        <w:rPr>
          <w:szCs w:val="24"/>
        </w:rPr>
        <w:t xml:space="preserve"> </w:t>
      </w:r>
      <w:r w:rsidRPr="000839A4">
        <w:rPr>
          <w:b/>
          <w:szCs w:val="24"/>
        </w:rPr>
        <w:t xml:space="preserve">aktivum nabyté </w:t>
      </w:r>
      <w:r w:rsidRPr="000839A4">
        <w:rPr>
          <w:szCs w:val="24"/>
        </w:rPr>
        <w:t>v rámci zpeněžení majetkové podstaty podle zvláštního právního předpisu</w:t>
      </w:r>
      <w:r w:rsidRPr="000839A4">
        <w:rPr>
          <w:szCs w:val="24"/>
          <w:vertAlign w:val="superscript"/>
        </w:rPr>
        <w:t>19a)</w:t>
      </w:r>
      <w:r w:rsidRPr="000839A4">
        <w:rPr>
          <w:szCs w:val="24"/>
        </w:rPr>
        <w:t>,</w:t>
      </w:r>
    </w:p>
    <w:p w14:paraId="047776D3" w14:textId="77777777" w:rsidR="000839A4" w:rsidRPr="000839A4" w:rsidRDefault="000839A4" w:rsidP="000839A4">
      <w:pPr>
        <w:tabs>
          <w:tab w:val="left" w:pos="357"/>
        </w:tabs>
        <w:spacing w:before="0"/>
        <w:ind w:left="357" w:hanging="357"/>
        <w:rPr>
          <w:szCs w:val="24"/>
        </w:rPr>
      </w:pPr>
      <w:r w:rsidRPr="000839A4">
        <w:rPr>
          <w:szCs w:val="24"/>
        </w:rPr>
        <w:t>c)</w:t>
      </w:r>
      <w:r w:rsidRPr="000839A4">
        <w:rPr>
          <w:szCs w:val="24"/>
        </w:rPr>
        <w:tab/>
        <w:t xml:space="preserve">poplatník v období, za které může uplatnit slevu na dani podle odstavce 3, nebude </w:t>
      </w:r>
      <w:proofErr w:type="gramStart"/>
      <w:r w:rsidRPr="000839A4">
        <w:rPr>
          <w:szCs w:val="24"/>
        </w:rPr>
        <w:t>zrušen,  nebude</w:t>
      </w:r>
      <w:proofErr w:type="gramEnd"/>
      <w:r w:rsidRPr="000839A4">
        <w:rPr>
          <w:szCs w:val="24"/>
        </w:rPr>
        <w:t xml:space="preserve"> vůči němu vydáno rozhodnutí o úpadku nebo v případě fyzické osoby neukončí nebo nepřeruší podnikatelskou činnost,</w:t>
      </w:r>
    </w:p>
    <w:p w14:paraId="7616209D" w14:textId="77777777" w:rsidR="000839A4" w:rsidRPr="000839A4" w:rsidRDefault="000839A4" w:rsidP="000839A4">
      <w:pPr>
        <w:tabs>
          <w:tab w:val="left" w:pos="357"/>
        </w:tabs>
        <w:spacing w:before="0"/>
        <w:ind w:left="357" w:hanging="357"/>
        <w:rPr>
          <w:szCs w:val="24"/>
        </w:rPr>
      </w:pPr>
      <w:r w:rsidRPr="000839A4">
        <w:rPr>
          <w:szCs w:val="24"/>
        </w:rPr>
        <w:t>d)</w:t>
      </w:r>
      <w:r w:rsidRPr="000839A4">
        <w:rPr>
          <w:szCs w:val="24"/>
        </w:rPr>
        <w:tab/>
        <w:t>poplatník počínaje zdaňovacím obdobím, ve kterém splnil všeobecné podmínky podle zákona upravujícího investiční pobídky, nezvýší základ pro výpočet slevy na dani obchodními operacemi ve vztazích s osobami uvedenými v ustanovení § 23 odst. 7 způsobem, který neodpovídá ekonomickým principům běžných obchodních vztahů,</w:t>
      </w:r>
    </w:p>
    <w:p w14:paraId="49EE2E6E" w14:textId="77777777" w:rsidR="000839A4" w:rsidRPr="000839A4" w:rsidRDefault="000839A4" w:rsidP="000839A4">
      <w:pPr>
        <w:tabs>
          <w:tab w:val="left" w:pos="357"/>
        </w:tabs>
        <w:spacing w:before="0"/>
        <w:ind w:left="357" w:hanging="357"/>
        <w:rPr>
          <w:szCs w:val="24"/>
        </w:rPr>
      </w:pPr>
      <w:r w:rsidRPr="000839A4">
        <w:rPr>
          <w:szCs w:val="24"/>
        </w:rPr>
        <w:t>e)</w:t>
      </w:r>
      <w:r w:rsidRPr="000839A4">
        <w:rPr>
          <w:szCs w:val="24"/>
        </w:rPr>
        <w:tab/>
        <w:t xml:space="preserve">poplatník pořídí a eviduje v </w:t>
      </w:r>
      <w:r w:rsidRPr="000839A4">
        <w:rPr>
          <w:strike/>
          <w:szCs w:val="24"/>
        </w:rPr>
        <w:t xml:space="preserve">majetku dlouhodobý hmotný a nehmotný </w:t>
      </w:r>
      <w:proofErr w:type="gramStart"/>
      <w:r w:rsidRPr="000839A4">
        <w:rPr>
          <w:strike/>
          <w:szCs w:val="24"/>
        </w:rPr>
        <w:t>majetek</w:t>
      </w:r>
      <w:r w:rsidRPr="000839A4">
        <w:rPr>
          <w:strike/>
          <w:szCs w:val="24"/>
          <w:vertAlign w:val="superscript"/>
        </w:rPr>
        <w:t>20)</w:t>
      </w:r>
      <w:r w:rsidRPr="000839A4">
        <w:rPr>
          <w:szCs w:val="24"/>
        </w:rPr>
        <w:t xml:space="preserve"> </w:t>
      </w:r>
      <w:r w:rsidRPr="000839A4">
        <w:rPr>
          <w:b/>
          <w:szCs w:val="24"/>
        </w:rPr>
        <w:t xml:space="preserve"> aktivech</w:t>
      </w:r>
      <w:proofErr w:type="gramEnd"/>
      <w:r w:rsidRPr="000839A4">
        <w:rPr>
          <w:b/>
          <w:szCs w:val="24"/>
        </w:rPr>
        <w:t xml:space="preserve"> stálá hmotná i nehmotná aktiva </w:t>
      </w:r>
      <w:r w:rsidRPr="000839A4">
        <w:rPr>
          <w:szCs w:val="24"/>
        </w:rPr>
        <w:t>nejméně v částkách uvedených ve všeobecných podmínkách pro investiční akci podle zákona upravujícího investiční pobídky,</w:t>
      </w:r>
    </w:p>
    <w:p w14:paraId="5178147E" w14:textId="77777777" w:rsidR="000839A4" w:rsidRPr="000839A4" w:rsidRDefault="000839A4" w:rsidP="000839A4">
      <w:pPr>
        <w:tabs>
          <w:tab w:val="left" w:pos="357"/>
        </w:tabs>
        <w:spacing w:before="0"/>
        <w:ind w:left="357" w:hanging="357"/>
        <w:rPr>
          <w:szCs w:val="24"/>
        </w:rPr>
      </w:pPr>
      <w:r w:rsidRPr="000839A4">
        <w:rPr>
          <w:szCs w:val="24"/>
        </w:rPr>
        <w:t>f)</w:t>
      </w:r>
      <w:r w:rsidRPr="000839A4">
        <w:rPr>
          <w:szCs w:val="24"/>
        </w:rPr>
        <w:tab/>
        <w:t>poplatník, kterému bylo poskytnuto podle zvláštního právního předpisu</w:t>
      </w:r>
      <w:r w:rsidRPr="000839A4">
        <w:rPr>
          <w:szCs w:val="24"/>
          <w:vertAlign w:val="superscript"/>
        </w:rPr>
        <w:t>67)</w:t>
      </w:r>
      <w:r w:rsidRPr="000839A4">
        <w:rPr>
          <w:szCs w:val="24"/>
        </w:rPr>
        <w:t xml:space="preserve"> více příslibů investičních pobídek pro stejný typ investiční akce vymezený v zákoně upravujícím investiční pobídky, může uplatnit slevu na dani za zdaňovací období pouze podle jednoho z těchto příslibů. Uplatní-li slevu na dani podle později poskytnutého příslibu, nemůže za všechna následující zdaňovací období uplatnit slevu na dani podle dříve vydaných příslibů pro stejný typ investiční akce vymezený v zákoně upravujícím investiční pobídky.</w:t>
      </w:r>
    </w:p>
    <w:p w14:paraId="06B6FA26" w14:textId="77777777" w:rsidR="000839A4" w:rsidRPr="000839A4" w:rsidRDefault="000839A4" w:rsidP="000839A4">
      <w:pPr>
        <w:spacing w:before="120" w:after="120"/>
        <w:rPr>
          <w:szCs w:val="24"/>
        </w:rPr>
      </w:pPr>
      <w:r w:rsidRPr="000839A4">
        <w:rPr>
          <w:szCs w:val="24"/>
        </w:rPr>
        <w:t>(3) Slevu na dani podle odstavce 1 lze uplatňovat po dobu deseti po sobě bezprostředně následujících zdaňovacích období, přičemž prvním zdaňovacím obdobím, za které lze slevu na dani uplatnit, je zdaňovací období, ve kterém poplatník splnil všeobecné podmínky podle zvláštního právního předpisu</w:t>
      </w:r>
      <w:r w:rsidRPr="000839A4">
        <w:rPr>
          <w:szCs w:val="24"/>
          <w:vertAlign w:val="superscript"/>
        </w:rPr>
        <w:t>67)</w:t>
      </w:r>
      <w:r w:rsidRPr="000839A4">
        <w:rPr>
          <w:szCs w:val="24"/>
          <w:vertAlign w:val="superscript"/>
        </w:rPr>
        <w:fldChar w:fldCharType="begin"/>
      </w:r>
      <w:r w:rsidRPr="000839A4">
        <w:rPr>
          <w:szCs w:val="24"/>
          <w:vertAlign w:val="superscript"/>
        </w:rPr>
        <w:instrText xml:space="preserve"> NOTEREF _Ref535916602 </w:instrText>
      </w:r>
      <w:r w:rsidRPr="000839A4">
        <w:rPr>
          <w:szCs w:val="24"/>
          <w:vertAlign w:val="superscript"/>
        </w:rPr>
        <w:fldChar w:fldCharType="end"/>
      </w:r>
      <w:r w:rsidRPr="000839A4">
        <w:rPr>
          <w:szCs w:val="24"/>
        </w:rPr>
        <w:t xml:space="preserve"> a zvláštní podmínky stanovené tímto zákonem, nejpozději však zdaňovací období, ve kterém uplynuly 3 roky od vydání rozhodnutí o příslibu investičních pobídek podle zvláštního právního předpisu. V případě, že byla prodloužena lhůta pro splnění všeobecných podmínek podle zvláštního právního předpisu</w:t>
      </w:r>
      <w:r w:rsidRPr="000839A4">
        <w:rPr>
          <w:szCs w:val="24"/>
          <w:vertAlign w:val="superscript"/>
        </w:rPr>
        <w:t>67)</w:t>
      </w:r>
      <w:r w:rsidRPr="000839A4">
        <w:rPr>
          <w:szCs w:val="24"/>
        </w:rPr>
        <w:t xml:space="preserve">, je prvním zdaňovacím obdobím, </w:t>
      </w:r>
      <w:r w:rsidRPr="000839A4">
        <w:rPr>
          <w:szCs w:val="24"/>
        </w:rPr>
        <w:lastRenderedPageBreak/>
        <w:t>za které lze slevu na dani uplatnit, nejpozději zdaňovací období, ve kterém tato prodloužená lhůta uplynula.</w:t>
      </w:r>
    </w:p>
    <w:p w14:paraId="34A72526" w14:textId="77777777" w:rsidR="000839A4" w:rsidRPr="000839A4" w:rsidRDefault="000839A4" w:rsidP="000839A4">
      <w:pPr>
        <w:spacing w:before="120" w:after="120"/>
        <w:rPr>
          <w:szCs w:val="24"/>
        </w:rPr>
      </w:pPr>
      <w:r w:rsidRPr="000839A4">
        <w:rPr>
          <w:szCs w:val="24"/>
        </w:rPr>
        <w:t>(4) Sleva na dani nesmí v jednotlivých zdaňovacích obdobích překročit míru veřejné podpory podle zákona upravujícího investiční pobídky vztaženou k dosud skutečně vynaloženým způsobilým nákladům a současně nemůže v celkovém souhrnu s dalšími formami investiční pobídky překročit maximální výši veřejné podpory stanovenou rozhodnutím podle zákona upravujícího investiční pobídky.</w:t>
      </w:r>
    </w:p>
    <w:p w14:paraId="0B48F621" w14:textId="77777777" w:rsidR="000839A4" w:rsidRPr="000839A4" w:rsidRDefault="000839A4" w:rsidP="000839A4">
      <w:pPr>
        <w:spacing w:before="120" w:after="120"/>
        <w:rPr>
          <w:szCs w:val="24"/>
        </w:rPr>
      </w:pPr>
      <w:r w:rsidRPr="000839A4">
        <w:rPr>
          <w:szCs w:val="24"/>
        </w:rPr>
        <w:t>(5) Částka slevy na dani se zaokrouhluje na celé Kč dolů.</w:t>
      </w:r>
    </w:p>
    <w:p w14:paraId="091702DE" w14:textId="77777777" w:rsidR="000839A4" w:rsidRPr="000839A4" w:rsidRDefault="000839A4" w:rsidP="000839A4">
      <w:pPr>
        <w:spacing w:before="120" w:after="120"/>
        <w:rPr>
          <w:szCs w:val="24"/>
        </w:rPr>
      </w:pPr>
      <w:r w:rsidRPr="000839A4">
        <w:rPr>
          <w:szCs w:val="24"/>
        </w:rPr>
        <w:t xml:space="preserve">(6) Nedodrží-li poplatník některou z podmínek uvedených v odstavci 2, s </w:t>
      </w:r>
      <w:proofErr w:type="gramStart"/>
      <w:r w:rsidRPr="000839A4">
        <w:rPr>
          <w:szCs w:val="24"/>
        </w:rPr>
        <w:t>výjimkou  podmínek</w:t>
      </w:r>
      <w:proofErr w:type="gramEnd"/>
      <w:r w:rsidRPr="000839A4">
        <w:rPr>
          <w:szCs w:val="24"/>
        </w:rPr>
        <w:t xml:space="preserve"> uvedených v odstavci 2 písm. a) a d), nebo některou ze všeobecných podmínek stanovených zvláštním právním předpisem, nebo některou z povinností, jejichž nesplněním pozbývá rozhodnutí o příslibu investiční pobídky platnosti, nárok na slevu podle odstavce 1 zaniká a poplatník je povinen podat dodatečné daňové přiznání za všechna zdaňovací období, ve kterých slevu uplatnil. Nedodrží-li poplatník podmínku uvedenou v odstavci 2 písm. a) nebo d), nárok na slevu za zdaňovací období, ve kterém tato podmínka nebyla dodržena, se snižuje o částku ve výši součinu sazby daně podle § 21 odst. 1 a té části změny základu daně po snížení o položky podle § 20 odst. 8 a § 34, která vznikla porušením podmínky podle odstavce 2 písm. a), a poplatník je povinen podat dodatečné daňové přiznání za všechna zdaňovací období, ve kterých podmínku nedodržel. Sleva na dani nemůže dosáhnout záporných hodnot. Pokud poplatník podá dodatečné daňové přiznání na základě rozhodnutí o závazném posouzení způsobu, jakým byla vytvořena cena sjednaná mezi spojenými osobami, vydaného v souvislosti s aplikací mezinárodní smlouvy, nárok na slevu se nesnižuje.</w:t>
      </w:r>
    </w:p>
    <w:p w14:paraId="52D5BEF0" w14:textId="77777777" w:rsidR="000839A4" w:rsidRPr="000839A4" w:rsidRDefault="000839A4" w:rsidP="000839A4">
      <w:pPr>
        <w:spacing w:before="120" w:after="120"/>
        <w:rPr>
          <w:szCs w:val="24"/>
        </w:rPr>
      </w:pPr>
      <w:r w:rsidRPr="000839A4">
        <w:rPr>
          <w:szCs w:val="24"/>
        </w:rPr>
        <w:t>(7) Pokud se poplatník v období od vydání rozhodnutí o příslibu investiční pobídky do uplynutí lhůty, po kterou může uplatňovat slevu na dani podle odstavce 3, zúčastní fúze nebo rozdělení sloučením jako nástupnická obchodní korporace nebo jako přejímající společník převezme jmění obchodní korporace zrušené s převodem jmění na společníka, nemůže již v následujících zdaňovacích obdobích, počínaje zdaňovacím obdobím podle § 21a písm. c), uplatňovat slevu na dani podle odstavce 1. Tuto skutečnost sdělí poplatník správci daně, Ministerstvu financí a Ministerstvu průmyslu a obchodu. Povinnost plnění podmínek stanovených zákonem upravujícím investiční pobídky tím není dotčena.</w:t>
      </w:r>
    </w:p>
    <w:p w14:paraId="6D0AD12E" w14:textId="77777777" w:rsidR="000839A4" w:rsidRPr="000839A4" w:rsidRDefault="000839A4" w:rsidP="000839A4">
      <w:pPr>
        <w:spacing w:before="120" w:after="120"/>
        <w:rPr>
          <w:szCs w:val="24"/>
        </w:rPr>
      </w:pPr>
      <w:r w:rsidRPr="000839A4">
        <w:rPr>
          <w:szCs w:val="24"/>
        </w:rPr>
        <w:t>(8) Pokud poplatník v období od vydání rozhodnutí o příslibu investiční pobídky do uplynutí lhůty, po kterou může uplatňovat slevu na dani podle odstavce 3, zvýší základ pro výpočet slevy na dani převodem majetku nebo jeho části osob uvedených v § 23 odst. 7, který u nich bude mít za následek snížení základu daně nebo zvýšení daňové ztráty, nemůže již v následujících zdaňovacích obdobích, počínaje zdaňovacím obdobím, ve kterém skutečnost nastala, uplatňovat slevu na dani podle odstavce 1. Tuto skutečnost sdělí poplatník správci daně, Ministerstvu financí a Ministerstvu průmyslu a obchodu. Povinnost plnění podmínek stanovených zákonem upravujícím investiční pobídky tím není dotčena.</w:t>
      </w:r>
    </w:p>
    <w:p w14:paraId="5307C34D" w14:textId="77777777" w:rsidR="000839A4" w:rsidRPr="000839A4" w:rsidRDefault="000839A4" w:rsidP="000839A4">
      <w:pPr>
        <w:spacing w:before="120" w:after="120"/>
        <w:rPr>
          <w:szCs w:val="24"/>
        </w:rPr>
      </w:pPr>
      <w:r w:rsidRPr="000839A4">
        <w:rPr>
          <w:szCs w:val="24"/>
        </w:rPr>
        <w:t xml:space="preserve">(9) Pokud poplatník v období od vydání rozhodnutí o příslibu investiční pobídky do uplynutí lhůty, po kterou může uplatňovat slevu na dani podle odstavce 3, zvýší základ pro výpočet slevy na dani převodem majetku nebo jeho části osob uvedených v § 23 odst. 7, který u nich bude mít za následek snížení základu daně nebo zvýšení daňové ztráty, nemůže již v následujících zdaňovacích obdobích, počínaje zdaňovacím obdobím, ve kterém skutečnost nastala, uplatňovat slevu na dani podle odstavce 1. Tuto skutečnost sdělí poplatník správci daně, Ministerstvu financí a Ministerstvu průmyslu a obchodu. Povinnost plnění podmínek stanovených zákonem upravujícím investiční pobídky tím není dotčen, pokud poplatník v </w:t>
      </w:r>
      <w:r w:rsidRPr="000839A4">
        <w:rPr>
          <w:szCs w:val="24"/>
        </w:rPr>
        <w:lastRenderedPageBreak/>
        <w:t>období, za které může uplatnit slevu na dani podle odstavce 3, oznámí správci daně, že již nebude uplatňovat slevu na dani podle odstavce 1, nemůže již v následujících zdaňovacích obdobích, počínaje zdaňovacím obdobím, ve kterém byla skutečnost správci daně oznámena, uplatňovat slevu na dani podle odstavce 1. Tuto skutečnost sdělí poplatník také Ministerstvu financí a Ministerstvu průmyslu a obchodu. Povinnost plnění podmínek stanovených zákonem upravujícím investiční pobídky tím není dotčena.</w:t>
      </w:r>
    </w:p>
    <w:p w14:paraId="6BDC48E5" w14:textId="77777777" w:rsidR="000839A4" w:rsidRPr="000839A4" w:rsidRDefault="000839A4" w:rsidP="000839A4">
      <w:pPr>
        <w:spacing w:before="120" w:after="120"/>
        <w:ind w:firstLine="0"/>
        <w:jc w:val="center"/>
        <w:rPr>
          <w:szCs w:val="24"/>
        </w:rPr>
      </w:pPr>
      <w:r w:rsidRPr="000839A4">
        <w:rPr>
          <w:szCs w:val="24"/>
        </w:rPr>
        <w:t>§35b</w:t>
      </w:r>
    </w:p>
    <w:p w14:paraId="7CE576EB" w14:textId="77777777" w:rsidR="000839A4" w:rsidRPr="000839A4" w:rsidRDefault="000839A4" w:rsidP="000839A4">
      <w:pPr>
        <w:spacing w:before="120" w:after="120"/>
        <w:rPr>
          <w:szCs w:val="24"/>
        </w:rPr>
      </w:pPr>
      <w:r w:rsidRPr="000839A4">
        <w:rPr>
          <w:szCs w:val="24"/>
        </w:rPr>
        <w:t>(1) Poplatník, kterému byl poskytnut příslib investiční pobídky podle zvláštního právního předpisu a na kterého se nevztahuje ustanovení § 35a, může, splnil-li všeobecné podmínky stanovené zvláštním právním předpisem a zvláštní podmínky stanovené tímto zákonem, uplatnit slevu na dani, která se vypočte podle vzorce S1 minus S2, přičemž</w:t>
      </w:r>
    </w:p>
    <w:p w14:paraId="0A100DC9"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S1 se rovná částce daně vypočtené podle odstavce 2 za zdaňovací období, za které bude sleva uplatněna; tato částka se nezvyšuje, je-li dodatečně vyměřena vyšší daňová povinnost,</w:t>
      </w:r>
    </w:p>
    <w:p w14:paraId="24ED879A"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S2 se rovná aritmetickému průměru částek daně vypočtených podle odstavce 2 za tři zdaňovací období bezprostředně předcházející zdaňovacímu období, za které lze slevu uplatnit poprvé. U poplatníka daně z příjmů právnických osob, od jehož registrace k dani z příjmů uplynula doba kratší než tři zdaňovací období, se vypočítá aritmetický průměr částek daně za všechna zdaňovací období. U poplatníka daně z příjmů fyzických osob, který vykonává činnost, která je zdrojem příjmů ze samostatné činnosti, po dobu kratší než 3 zdaňovací období, se vypočítá aritmetický průměr částek daně za zdaňovací období, ve kterých vykonával tuto činnost. V případě, že příslušné zdaňovací období bude kratší nebo delší než 12 měsíců, bude částka daně vypočtená podle odstavce 2 pro účely výpočtu aritmetického průměru částek daně přepočtena na období 12 měsíců. Tento aritmetický průměr částek daně bude upraven o hodnoty jednotlivých meziročních odvětvových indexů cen vyhlašovaných Českým statistickým úřadem, a to počínaje indexem vztahujícím se k poslednímu zdaňovacímu období z těch, za která byl aritmetický průměr částek daně vypočten; aritmetický průměr částek daně se nesnižuje, je-li za příslušná zdaňovací období dodatečně vyměřena nižší daňová povinnost.</w:t>
      </w:r>
    </w:p>
    <w:p w14:paraId="4777DF89" w14:textId="77777777" w:rsidR="000839A4" w:rsidRPr="000839A4" w:rsidRDefault="000839A4" w:rsidP="000839A4">
      <w:pPr>
        <w:spacing w:before="120" w:after="120"/>
        <w:rPr>
          <w:szCs w:val="24"/>
        </w:rPr>
      </w:pPr>
      <w:r w:rsidRPr="000839A4">
        <w:rPr>
          <w:szCs w:val="24"/>
        </w:rPr>
        <w:t>(2) Částka daně pro účely odstavce 1 je</w:t>
      </w:r>
    </w:p>
    <w:p w14:paraId="5CC75446"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u poplatníka daně z příjmů právnických osob rovna částce vypočtené sazbou daně podle § 21 odst. 1 ze základu daně podle § 20 odst. 1 sníženého o položky podle § 34 a § 20 odst. 8 a o rozdíl, o který úrokové příjmy zahrnované do základu daně podle § 20 odst. 1 převyšují s nimi související výdaje (náklady),</w:t>
      </w:r>
    </w:p>
    <w:p w14:paraId="65F8E289"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u poplatníka daně z příjmů fyzických osob rovna částce vypočtené podle § 16 připadající na dílčí základ daně z příjmů ze samostatné činnosti.</w:t>
      </w:r>
    </w:p>
    <w:p w14:paraId="18178B32" w14:textId="77777777" w:rsidR="000839A4" w:rsidRPr="000839A4" w:rsidRDefault="000839A4" w:rsidP="000839A4">
      <w:pPr>
        <w:spacing w:before="120" w:after="120"/>
        <w:rPr>
          <w:szCs w:val="24"/>
        </w:rPr>
      </w:pPr>
      <w:r w:rsidRPr="000839A4">
        <w:rPr>
          <w:szCs w:val="24"/>
        </w:rPr>
        <w:t>(3) Pokud vykázal poplatník za příslušné zdaňovací období, za které byl vypočten aritmetický průměr částek daně podle odstavce 1 písm. b), daňovou ztrátu nebo mu daňová povinnost nevznikla, použije se za příslušné zdaňovací období pro účely výpočtu aritmetického průměru částek daně podle odstavce 1 písm. b) nulová hodnota.</w:t>
      </w:r>
    </w:p>
    <w:p w14:paraId="5A43C671" w14:textId="77777777" w:rsidR="000839A4" w:rsidRPr="000839A4" w:rsidRDefault="000839A4" w:rsidP="000839A4">
      <w:pPr>
        <w:spacing w:before="120" w:after="120"/>
        <w:rPr>
          <w:szCs w:val="24"/>
        </w:rPr>
      </w:pPr>
      <w:r w:rsidRPr="000839A4">
        <w:rPr>
          <w:szCs w:val="24"/>
        </w:rPr>
        <w:t>(4) Slevu na dani podle odstavce 1 lze uplatňovat po dobu deseti po sobě bezprostředně následujících zdaňovacích období, přičemž prvním zdaňovacím obdobím, za které lze slevu na dani uplatnit, je zdaňovací období, ve kterém poplatník splnil všeobecné podmínky podle zvláštního právního předpisu</w:t>
      </w:r>
      <w:r w:rsidRPr="000839A4">
        <w:rPr>
          <w:szCs w:val="24"/>
          <w:vertAlign w:val="superscript"/>
        </w:rPr>
        <w:t>67)</w:t>
      </w:r>
      <w:r w:rsidRPr="000839A4">
        <w:rPr>
          <w:szCs w:val="24"/>
        </w:rPr>
        <w:t xml:space="preserve"> a zvláštní podmínky stanovené tímto zákonem, nejpozději však zdaňovací období, ve kterém uplynuly 3 roky od vydání rozhodnutí o příslibu investičních pobídek podle zvláštního právního předpisu. V případě, že byla prodloužena lhůta pro splnění všeobecných podmínek podle zvláštního právního předpisu</w:t>
      </w:r>
      <w:r w:rsidRPr="000839A4">
        <w:rPr>
          <w:szCs w:val="24"/>
          <w:vertAlign w:val="superscript"/>
        </w:rPr>
        <w:t>67)</w:t>
      </w:r>
      <w:r w:rsidRPr="000839A4">
        <w:rPr>
          <w:szCs w:val="24"/>
        </w:rPr>
        <w:t xml:space="preserve">, je prvním zdaňovacím obdobím, </w:t>
      </w:r>
      <w:r w:rsidRPr="000839A4">
        <w:rPr>
          <w:szCs w:val="24"/>
        </w:rPr>
        <w:lastRenderedPageBreak/>
        <w:t>za které lze slevu na dani uplatnit, nejpozději zdaňovací období, ve kterém tato prodloužená lhůta uplynula.</w:t>
      </w:r>
    </w:p>
    <w:p w14:paraId="7520CF9D" w14:textId="77777777" w:rsidR="000839A4" w:rsidRPr="000839A4" w:rsidRDefault="000839A4" w:rsidP="000839A4">
      <w:pPr>
        <w:spacing w:before="120" w:after="120"/>
        <w:rPr>
          <w:szCs w:val="24"/>
        </w:rPr>
      </w:pPr>
      <w:r w:rsidRPr="000839A4">
        <w:rPr>
          <w:szCs w:val="24"/>
        </w:rPr>
        <w:t>(5) Sleva na dani nesmí v jednotlivých zdaňovacích obdobích překročit míru veřejné podpory podle zákona upravujícího investiční pobídky vztaženou k dosud skutečně vynaloženým způsobilým nákladům a současně nemůže v celkovém souhrnu s dalšími formami investiční pobídky překročit maximální výši veřejné podpory stanovenou rozhodnutím podle zákona upravujícího investiční pobídky.</w:t>
      </w:r>
    </w:p>
    <w:p w14:paraId="06C9AFD4" w14:textId="77777777" w:rsidR="000839A4" w:rsidRPr="000839A4" w:rsidRDefault="000839A4" w:rsidP="000839A4">
      <w:pPr>
        <w:spacing w:before="120" w:after="120"/>
        <w:rPr>
          <w:szCs w:val="24"/>
        </w:rPr>
      </w:pPr>
      <w:r w:rsidRPr="000839A4">
        <w:rPr>
          <w:szCs w:val="24"/>
        </w:rPr>
        <w:t xml:space="preserve">(6) Ustanovení § 35a </w:t>
      </w:r>
      <w:proofErr w:type="gramStart"/>
      <w:r w:rsidRPr="000839A4">
        <w:rPr>
          <w:szCs w:val="24"/>
        </w:rPr>
        <w:t>odst. 2 , 5, 7, 8 a 9 platí</w:t>
      </w:r>
      <w:proofErr w:type="gramEnd"/>
      <w:r w:rsidRPr="000839A4">
        <w:rPr>
          <w:szCs w:val="24"/>
        </w:rPr>
        <w:t xml:space="preserve"> obdobně.</w:t>
      </w:r>
    </w:p>
    <w:p w14:paraId="026AF9D0" w14:textId="77777777" w:rsidR="000839A4" w:rsidRPr="000839A4" w:rsidRDefault="000839A4" w:rsidP="000839A4">
      <w:pPr>
        <w:spacing w:before="120" w:after="120"/>
        <w:rPr>
          <w:szCs w:val="24"/>
        </w:rPr>
      </w:pPr>
      <w:r w:rsidRPr="000839A4">
        <w:rPr>
          <w:szCs w:val="24"/>
        </w:rPr>
        <w:t xml:space="preserve">(7) Nedodrží-li poplatník některou z podmínek uvedených v § 35a odst. 2, s </w:t>
      </w:r>
      <w:proofErr w:type="gramStart"/>
      <w:r w:rsidRPr="000839A4">
        <w:rPr>
          <w:szCs w:val="24"/>
        </w:rPr>
        <w:t>výjimkou  podmínek</w:t>
      </w:r>
      <w:proofErr w:type="gramEnd"/>
      <w:r w:rsidRPr="000839A4">
        <w:rPr>
          <w:szCs w:val="24"/>
        </w:rPr>
        <w:t xml:space="preserve"> uvedených v odstavci 2 písm. a) a d), nebo některou ze všeobecných podmínek stanovených zvláštním právním předpisem, nebo některou z povinností, jejichž nesplněním pozbývá rozhodnutí o příslibu investiční pobídky platnosti, nárok na slevu podle odstavce 1 zaniká a poplatník je povinen podat dodatečné daňové přiznání za všechna zdaňovací období, ve kterých slevu uplatnil. Nedodrží-li poplatník podmínku uvedenou v § 35a odst. 2 písm. a) nebo d), nárok na slevu za zdaňovací období, ve kterém tato podmínka nebyla dodržena, se snižuje o částku ve výši součinu sazby daně podle § 21 odst. 1 a té části změny základu daně po snížení o položky podle § 20 odst. 8 a § 34, která vznikla porušením podmínky podle odstavce 2 písm. a), a poplatník je povinen podat dodatečné daňové přiznání za všechna zdaňovací období, ve kterých podmínku nedodržel. Sleva na dani nemůže dosáhnout záporných hodnot. Pokud poplatník podá dodatečné daňové přiznání na základě rozhodnutí o závazném posouzení způsobu, jakým byla vytvořena cena sjednaná mezi spojenými osobami, vydaného v souvislosti s aplikací mezinárodní smlouvy, nárok na slevu se nesnižuje.</w:t>
      </w:r>
    </w:p>
    <w:p w14:paraId="5CFE50F7" w14:textId="77777777" w:rsidR="000839A4" w:rsidRPr="000839A4" w:rsidRDefault="000839A4" w:rsidP="000839A4">
      <w:pPr>
        <w:keepNext/>
        <w:ind w:firstLine="0"/>
        <w:jc w:val="center"/>
        <w:rPr>
          <w:szCs w:val="24"/>
        </w:rPr>
      </w:pPr>
      <w:r w:rsidRPr="000839A4">
        <w:rPr>
          <w:szCs w:val="24"/>
        </w:rPr>
        <w:t>§ 35ba</w:t>
      </w:r>
    </w:p>
    <w:p w14:paraId="2374FA9D" w14:textId="77777777" w:rsidR="000839A4" w:rsidRPr="000839A4" w:rsidRDefault="000839A4" w:rsidP="000839A4">
      <w:pPr>
        <w:keepNext/>
        <w:ind w:firstLine="0"/>
        <w:jc w:val="center"/>
        <w:rPr>
          <w:b/>
          <w:szCs w:val="24"/>
        </w:rPr>
      </w:pPr>
      <w:r w:rsidRPr="000839A4">
        <w:rPr>
          <w:b/>
          <w:szCs w:val="24"/>
        </w:rPr>
        <w:t>Slevy na dani pro poplatníky daně z příjmů fyzických osob</w:t>
      </w:r>
    </w:p>
    <w:p w14:paraId="59BF0C36" w14:textId="77777777" w:rsidR="000839A4" w:rsidRPr="000839A4" w:rsidRDefault="000839A4" w:rsidP="000839A4">
      <w:pPr>
        <w:spacing w:before="120" w:after="120"/>
        <w:rPr>
          <w:szCs w:val="24"/>
        </w:rPr>
      </w:pPr>
      <w:r w:rsidRPr="000839A4">
        <w:rPr>
          <w:szCs w:val="24"/>
        </w:rPr>
        <w:t>(1) Poplatníkům uvedeným v § 2 se daň vypočtená podle § 16, případně snížená podle § 35, 35a nebo § 35b za zdaňovací období snižuje o</w:t>
      </w:r>
    </w:p>
    <w:p w14:paraId="11444FC8"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základní slevu ve výši 30 840 Kč na poplatníka,</w:t>
      </w:r>
    </w:p>
    <w:p w14:paraId="04B56F2C" w14:textId="77777777" w:rsidR="000839A4" w:rsidRPr="000839A4" w:rsidRDefault="000839A4" w:rsidP="000839A4">
      <w:pPr>
        <w:tabs>
          <w:tab w:val="left" w:pos="357"/>
        </w:tabs>
        <w:spacing w:before="0"/>
        <w:ind w:left="357" w:hanging="357"/>
        <w:rPr>
          <w:noProof/>
          <w:szCs w:val="24"/>
          <w:lang w:eastAsia="en-US"/>
        </w:rPr>
      </w:pPr>
      <w:r w:rsidRPr="000839A4">
        <w:rPr>
          <w:iCs/>
          <w:noProof/>
          <w:szCs w:val="24"/>
          <w:lang w:eastAsia="en-US"/>
        </w:rPr>
        <w:t>b)</w:t>
      </w:r>
      <w:r w:rsidRPr="000839A4">
        <w:rPr>
          <w:noProof/>
          <w:szCs w:val="24"/>
          <w:lang w:eastAsia="en-US"/>
        </w:rPr>
        <w:tab/>
      </w:r>
      <w:r w:rsidRPr="000839A4">
        <w:rPr>
          <w:szCs w:val="24"/>
        </w:rPr>
        <w:t>slevu</w:t>
      </w:r>
      <w:r w:rsidRPr="000839A4">
        <w:rPr>
          <w:noProof/>
          <w:szCs w:val="24"/>
          <w:lang w:eastAsia="en-US"/>
        </w:rPr>
        <w:t xml:space="preserve"> na manžela, </w:t>
      </w:r>
    </w:p>
    <w:p w14:paraId="3F769159" w14:textId="77777777" w:rsidR="000839A4" w:rsidRPr="000839A4" w:rsidRDefault="000839A4" w:rsidP="000839A4">
      <w:pPr>
        <w:tabs>
          <w:tab w:val="left" w:pos="357"/>
        </w:tabs>
        <w:spacing w:before="0"/>
        <w:ind w:left="357" w:hanging="357"/>
        <w:rPr>
          <w:szCs w:val="24"/>
        </w:rPr>
      </w:pPr>
      <w:r w:rsidRPr="000839A4">
        <w:rPr>
          <w:szCs w:val="24"/>
        </w:rPr>
        <w:t>c)</w:t>
      </w:r>
      <w:r w:rsidRPr="000839A4">
        <w:rPr>
          <w:szCs w:val="24"/>
        </w:rPr>
        <w:tab/>
        <w:t>základní slevu na invaliditu ve výši 2 520 Kč, je-li poplatníkovi přiznán invalidní důchod pro invaliditu prvního nebo druhého stupně z důchodového pojištění podle zákona o důchodovém pojištění</w:t>
      </w:r>
      <w:r w:rsidRPr="000839A4">
        <w:rPr>
          <w:szCs w:val="24"/>
          <w:vertAlign w:val="superscript"/>
        </w:rPr>
        <w:footnoteReference w:customMarkFollows="1" w:id="183"/>
        <w:t>43)</w:t>
      </w:r>
      <w:r w:rsidRPr="000839A4">
        <w:rPr>
          <w:szCs w:val="24"/>
        </w:rPr>
        <w:t xml:space="preserve"> nebo zanikl-li nárok na invalidní důchod pro invaliditu prvního nebo druhého stupně z důvodu souběhu nároku na výplatu tohoto invalidního důchodu a starobního důchodu,</w:t>
      </w:r>
    </w:p>
    <w:p w14:paraId="42B2DD2C" w14:textId="77777777" w:rsidR="000839A4" w:rsidRPr="000839A4" w:rsidRDefault="000839A4" w:rsidP="000839A4">
      <w:pPr>
        <w:tabs>
          <w:tab w:val="left" w:pos="357"/>
        </w:tabs>
        <w:spacing w:before="0"/>
        <w:ind w:left="357" w:hanging="357"/>
        <w:rPr>
          <w:szCs w:val="24"/>
        </w:rPr>
      </w:pPr>
      <w:r w:rsidRPr="000839A4">
        <w:rPr>
          <w:szCs w:val="24"/>
        </w:rPr>
        <w:t>d)</w:t>
      </w:r>
      <w:r w:rsidRPr="000839A4">
        <w:rPr>
          <w:szCs w:val="24"/>
        </w:rPr>
        <w:tab/>
        <w:t>rozšířenou slevu na invaliditu ve výši 5 040 Kč, je-li poplatníkovi přiznán invalidní důchod pro invaliditu třetího stupně nebo jiný důchod z důchodového pojištění podle zákona o důchodovém pojištění</w:t>
      </w:r>
      <w:r w:rsidRPr="000839A4">
        <w:rPr>
          <w:szCs w:val="24"/>
          <w:vertAlign w:val="superscript"/>
        </w:rPr>
        <w:t>43)</w:t>
      </w:r>
      <w:r w:rsidRPr="000839A4">
        <w:rPr>
          <w:szCs w:val="24"/>
        </w:rPr>
        <w:t>, u něhož jednou z podmínek přiznání je, že je invalidní ve třetím stupni, zanikl-li nárok na invalidní důchod pro invaliditu třetího stupně z důvodu souběhu nároku na výplatu invalidního důchodu pro invaliditu třetího stupně a starobního důchodu nebo je poplatník podle zvláštních předpisů invalidní ve třetím stupni, avšak jeho žádost o invalidní důchod pro invaliditu třetího stupně byla zamítnuta z jiných důvodů než proto, že není invalidní ve třetím stupni,</w:t>
      </w:r>
    </w:p>
    <w:p w14:paraId="62DBB2A8" w14:textId="77777777" w:rsidR="000839A4" w:rsidRPr="000839A4" w:rsidRDefault="000839A4" w:rsidP="000839A4">
      <w:pPr>
        <w:tabs>
          <w:tab w:val="left" w:pos="357"/>
        </w:tabs>
        <w:spacing w:before="0"/>
        <w:ind w:left="357" w:hanging="357"/>
        <w:rPr>
          <w:color w:val="808080" w:themeColor="background1" w:themeShade="80"/>
          <w:szCs w:val="24"/>
        </w:rPr>
      </w:pPr>
      <w:r w:rsidRPr="000839A4">
        <w:rPr>
          <w:szCs w:val="24"/>
        </w:rPr>
        <w:lastRenderedPageBreak/>
        <w:t>e)</w:t>
      </w:r>
      <w:r w:rsidRPr="000839A4">
        <w:rPr>
          <w:szCs w:val="24"/>
        </w:rPr>
        <w:tab/>
        <w:t>slevu na držitele průkazu ZTP/P ve výši 16 140 Kč, je-li poplatníkovi přiznán nárok na průkaz ZTP/P.</w:t>
      </w:r>
    </w:p>
    <w:p w14:paraId="2161B06C" w14:textId="77777777" w:rsidR="000839A4" w:rsidRPr="000839A4" w:rsidRDefault="000839A4" w:rsidP="000839A4">
      <w:pPr>
        <w:spacing w:before="120" w:after="120"/>
        <w:rPr>
          <w:szCs w:val="24"/>
        </w:rPr>
      </w:pPr>
      <w:r w:rsidRPr="000839A4">
        <w:rPr>
          <w:szCs w:val="24"/>
        </w:rPr>
        <w:t>(2) U poplatníka uvedeného v § 2 odst. 3 se daň sníží o výši slev uvedených v odstavci 1 písm. b) až e), pouze pokud se jedná o poplatníka, který je daňovým rezidentem členského státu Evropské unie nebo státu tvořícího Evropský hospodářský prostor a pokud úhrn jeho příjmů ze zdrojů na území České republiky podle § 22 činí nejméně 90 % všech jeho příjmů s výjimkou příjmů, které nejsou předmětem daně podle § 3 nebo 6, nebo jsou od daně osvobozeny podle § 4, 6 nebo 10, nebo příjmů, z nichž je daň vybírána srážkou podle zvláštní sazby daně. Výši příjmů ze zdrojů v zahraničí prokazuje poplatník potvrzením zahraničního správce daně.</w:t>
      </w:r>
    </w:p>
    <w:p w14:paraId="3BB9ED76" w14:textId="77777777" w:rsidR="000839A4" w:rsidRPr="000839A4" w:rsidRDefault="000839A4" w:rsidP="000839A4">
      <w:pPr>
        <w:spacing w:before="120" w:after="120"/>
        <w:rPr>
          <w:szCs w:val="24"/>
        </w:rPr>
      </w:pPr>
      <w:r w:rsidRPr="000839A4">
        <w:rPr>
          <w:szCs w:val="24"/>
        </w:rPr>
        <w:t>(3) Poplatník může uplatnit slevu na dani podle odstavce 1 písm. b) až e) o částku ve výši jedné dvanáctiny za každý kalendářní měsíc, na jehož počátku byly podmínky pro uplatnění nároku na slevu na dani splněny.</w:t>
      </w:r>
    </w:p>
    <w:p w14:paraId="66D7939E" w14:textId="77777777" w:rsidR="000839A4" w:rsidRPr="000839A4" w:rsidRDefault="000839A4" w:rsidP="000839A4">
      <w:pPr>
        <w:spacing w:before="120" w:after="120"/>
        <w:rPr>
          <w:szCs w:val="24"/>
        </w:rPr>
      </w:pPr>
      <w:r w:rsidRPr="000839A4">
        <w:rPr>
          <w:szCs w:val="24"/>
        </w:rPr>
        <w:t>(4) V daňovém přiznání ke společným příjmům a výdajům ve společenství jmění poplatník může uplatnit slevu na dani za období trvání společenství jmění, s výjimkou společenství jmění dědiců, na kterou měl nárok a která nebyla uplatněna.</w:t>
      </w:r>
    </w:p>
    <w:p w14:paraId="774706BC" w14:textId="77777777" w:rsidR="000839A4" w:rsidRPr="000839A4" w:rsidRDefault="000839A4" w:rsidP="000839A4">
      <w:pPr>
        <w:keepNext/>
        <w:ind w:firstLine="0"/>
        <w:jc w:val="center"/>
        <w:rPr>
          <w:szCs w:val="24"/>
        </w:rPr>
      </w:pPr>
      <w:r w:rsidRPr="000839A4">
        <w:rPr>
          <w:szCs w:val="24"/>
        </w:rPr>
        <w:t>§ 35bb</w:t>
      </w:r>
    </w:p>
    <w:p w14:paraId="7ADA618A" w14:textId="77777777" w:rsidR="000839A4" w:rsidRPr="000839A4" w:rsidRDefault="000839A4" w:rsidP="000839A4">
      <w:pPr>
        <w:keepNext/>
        <w:ind w:firstLine="0"/>
        <w:jc w:val="center"/>
        <w:rPr>
          <w:b/>
          <w:strike/>
          <w:szCs w:val="24"/>
        </w:rPr>
      </w:pPr>
      <w:r w:rsidRPr="000839A4">
        <w:rPr>
          <w:b/>
          <w:szCs w:val="24"/>
        </w:rPr>
        <w:t>Sleva na manžela</w:t>
      </w:r>
      <w:r w:rsidRPr="000839A4">
        <w:rPr>
          <w:b/>
          <w:strike/>
          <w:szCs w:val="24"/>
        </w:rPr>
        <w:t xml:space="preserve"> </w:t>
      </w:r>
    </w:p>
    <w:p w14:paraId="26DCE618" w14:textId="77777777" w:rsidR="000839A4" w:rsidRPr="000839A4" w:rsidRDefault="000839A4" w:rsidP="000839A4">
      <w:pPr>
        <w:spacing w:before="120" w:after="120"/>
        <w:rPr>
          <w:noProof/>
          <w:szCs w:val="24"/>
        </w:rPr>
      </w:pPr>
      <w:r w:rsidRPr="000839A4">
        <w:rPr>
          <w:szCs w:val="24"/>
        </w:rPr>
        <w:t xml:space="preserve">(1) Výše slevy na manžela činí 24 840 Kč. Výše slevy se zvyšuje na dvojnásobek, pokud je sleva uplatňována na </w:t>
      </w:r>
      <w:r w:rsidRPr="000839A4">
        <w:rPr>
          <w:noProof/>
          <w:szCs w:val="24"/>
        </w:rPr>
        <w:t>manžela, kterému je přiznán nárok na průkaz ZTP/P.</w:t>
      </w:r>
    </w:p>
    <w:p w14:paraId="0373DD0C" w14:textId="77777777" w:rsidR="000839A4" w:rsidRPr="000839A4" w:rsidRDefault="000839A4" w:rsidP="000839A4">
      <w:pPr>
        <w:spacing w:before="120" w:after="120"/>
        <w:rPr>
          <w:szCs w:val="24"/>
        </w:rPr>
      </w:pPr>
      <w:r w:rsidRPr="000839A4">
        <w:rPr>
          <w:szCs w:val="24"/>
        </w:rPr>
        <w:t>(2) Slevu na manžela lze uplatnit pouze tehdy, pokud</w:t>
      </w:r>
    </w:p>
    <w:p w14:paraId="0EF3BCED" w14:textId="77777777" w:rsidR="000839A4" w:rsidRPr="000839A4" w:rsidRDefault="000839A4" w:rsidP="000839A4">
      <w:pPr>
        <w:spacing w:before="0"/>
        <w:ind w:left="425" w:hanging="425"/>
        <w:outlineLvl w:val="7"/>
      </w:pPr>
      <w:r w:rsidRPr="000839A4">
        <w:t>a)</w:t>
      </w:r>
      <w:r w:rsidRPr="000839A4">
        <w:tab/>
        <w:t>poplatník žije ve společně hospodařící domácnosti s manželem a vyživovaným dítětem poplatníka, které nedovršilo věku 3 let, a</w:t>
      </w:r>
    </w:p>
    <w:p w14:paraId="37A37FFA" w14:textId="77777777" w:rsidR="000839A4" w:rsidRPr="000839A4" w:rsidRDefault="000839A4" w:rsidP="000839A4">
      <w:pPr>
        <w:spacing w:before="0"/>
        <w:ind w:left="425" w:hanging="425"/>
        <w:outlineLvl w:val="7"/>
      </w:pPr>
      <w:r w:rsidRPr="000839A4">
        <w:t>b)</w:t>
      </w:r>
      <w:r w:rsidRPr="000839A4">
        <w:tab/>
        <w:t xml:space="preserve">manžel poplatníka nemá vlastní příjem přesahující za zdaňovací období 68 000 Kč. </w:t>
      </w:r>
    </w:p>
    <w:p w14:paraId="16717649" w14:textId="77777777" w:rsidR="000839A4" w:rsidRPr="000839A4" w:rsidRDefault="000839A4" w:rsidP="000839A4">
      <w:pPr>
        <w:spacing w:before="120" w:after="120"/>
        <w:rPr>
          <w:szCs w:val="24"/>
        </w:rPr>
      </w:pPr>
      <w:r w:rsidRPr="000839A4">
        <w:rPr>
          <w:noProof/>
          <w:szCs w:val="24"/>
        </w:rPr>
        <w:t xml:space="preserve">(3) </w:t>
      </w:r>
      <w:r w:rsidRPr="000839A4">
        <w:rPr>
          <w:szCs w:val="24"/>
        </w:rPr>
        <w:t xml:space="preserve">Pro účely </w:t>
      </w:r>
      <w:r w:rsidRPr="000839A4">
        <w:rPr>
          <w:noProof/>
          <w:szCs w:val="24"/>
        </w:rPr>
        <w:t>slevy na manžela</w:t>
      </w:r>
      <w:r w:rsidRPr="000839A4">
        <w:rPr>
          <w:szCs w:val="24"/>
        </w:rPr>
        <w:t xml:space="preserve"> se za vyživované dítě poplatníka nepovažuje vlastní vnuk nebo vnuk druhého z manželů, není-li v péči těchto osob, která nahrazuje péči rodičů.</w:t>
      </w:r>
    </w:p>
    <w:p w14:paraId="19D3878B" w14:textId="77777777" w:rsidR="000839A4" w:rsidRPr="000839A4" w:rsidRDefault="000839A4" w:rsidP="000839A4">
      <w:pPr>
        <w:spacing w:before="120" w:after="120"/>
        <w:rPr>
          <w:szCs w:val="24"/>
        </w:rPr>
      </w:pPr>
      <w:r w:rsidRPr="000839A4">
        <w:rPr>
          <w:szCs w:val="24"/>
        </w:rPr>
        <w:t>(4) Do vlastního příjmu manžela pro účely slevy na manžela se nezahrnují</w:t>
      </w:r>
    </w:p>
    <w:p w14:paraId="63039BBD" w14:textId="77777777" w:rsidR="000839A4" w:rsidRPr="000839A4" w:rsidRDefault="000839A4" w:rsidP="000839A4">
      <w:pPr>
        <w:spacing w:before="0"/>
        <w:ind w:left="425" w:hanging="425"/>
        <w:outlineLvl w:val="7"/>
      </w:pPr>
      <w:r w:rsidRPr="000839A4">
        <w:t>a)</w:t>
      </w:r>
      <w:r w:rsidRPr="000839A4">
        <w:tab/>
        <w:t>dávky osobám se zdravotním postižením, pomoci v hmotné nouzi, státní sociální podpory a pěstounské péče s výjimkou odměny pěstouna,</w:t>
      </w:r>
    </w:p>
    <w:p w14:paraId="1C7A7D00" w14:textId="77777777" w:rsidR="000839A4" w:rsidRPr="000839A4" w:rsidRDefault="000839A4" w:rsidP="000839A4">
      <w:pPr>
        <w:spacing w:before="0"/>
        <w:ind w:left="425" w:hanging="425"/>
        <w:outlineLvl w:val="7"/>
      </w:pPr>
      <w:r w:rsidRPr="000839A4">
        <w:t>b)</w:t>
      </w:r>
      <w:r w:rsidRPr="000839A4">
        <w:tab/>
        <w:t xml:space="preserve">příspěvky na péči a na sociální služby, </w:t>
      </w:r>
    </w:p>
    <w:p w14:paraId="221A2C96" w14:textId="77777777" w:rsidR="000839A4" w:rsidRPr="000839A4" w:rsidRDefault="000839A4" w:rsidP="000839A4">
      <w:pPr>
        <w:spacing w:before="0"/>
        <w:ind w:left="425" w:hanging="425"/>
        <w:outlineLvl w:val="7"/>
      </w:pPr>
      <w:r w:rsidRPr="000839A4">
        <w:t>c)</w:t>
      </w:r>
      <w:r w:rsidRPr="000839A4">
        <w:tab/>
        <w:t>státní příspěvky na penzijní připojištění se státním příspěvkem podle zákona upravujícího penzijní připojištění se státním příspěvkem, státní příspěvky na doplňkové penzijní spoření podle zákona upravujícího doplňkové penzijní spoření a státní podpory podle zákona upravujícího stavební spoření,</w:t>
      </w:r>
    </w:p>
    <w:p w14:paraId="612D4A2F" w14:textId="77777777" w:rsidR="000839A4" w:rsidRPr="000839A4" w:rsidRDefault="000839A4" w:rsidP="000839A4">
      <w:pPr>
        <w:spacing w:before="0"/>
        <w:ind w:left="425" w:hanging="425"/>
        <w:outlineLvl w:val="7"/>
      </w:pPr>
      <w:r w:rsidRPr="000839A4">
        <w:t>d)</w:t>
      </w:r>
      <w:r w:rsidRPr="000839A4">
        <w:tab/>
        <w:t>stipendia poskytovaná studujícím soustavně se připravujícím na budoucí povolání,</w:t>
      </w:r>
    </w:p>
    <w:p w14:paraId="2183E928" w14:textId="77777777" w:rsidR="000839A4" w:rsidRPr="000839A4" w:rsidRDefault="000839A4" w:rsidP="000839A4">
      <w:pPr>
        <w:spacing w:before="0"/>
        <w:ind w:left="425" w:hanging="425"/>
        <w:outlineLvl w:val="7"/>
      </w:pPr>
      <w:r w:rsidRPr="000839A4">
        <w:t>e)</w:t>
      </w:r>
      <w:r w:rsidRPr="000839A4">
        <w:tab/>
        <w:t>příjmy plynoucí z důvodu péče o blízkou nebo jinou osobu, která má nárok na příspěvek na péči podle zákona upravujícího sociální služby, který je od daně osvobozen,</w:t>
      </w:r>
    </w:p>
    <w:p w14:paraId="5C947594" w14:textId="77777777" w:rsidR="000839A4" w:rsidRPr="000839A4" w:rsidRDefault="000839A4" w:rsidP="000839A4">
      <w:pPr>
        <w:spacing w:before="0"/>
        <w:ind w:left="425" w:hanging="425"/>
        <w:outlineLvl w:val="7"/>
      </w:pPr>
      <w:r w:rsidRPr="000839A4">
        <w:t>f)</w:t>
      </w:r>
      <w:r w:rsidRPr="000839A4">
        <w:tab/>
        <w:t xml:space="preserve">příjmy, které vznikly jako důsledek porušení podmínek osvobození příjmu nebo uplatnění nezdanitelné části základu daně, a </w:t>
      </w:r>
    </w:p>
    <w:p w14:paraId="466F84A2" w14:textId="77777777" w:rsidR="000839A4" w:rsidRPr="000839A4" w:rsidRDefault="000839A4" w:rsidP="000839A4">
      <w:pPr>
        <w:spacing w:before="0"/>
        <w:ind w:left="425" w:hanging="425"/>
        <w:outlineLvl w:val="7"/>
      </w:pPr>
      <w:r w:rsidRPr="000839A4">
        <w:t>g)</w:t>
      </w:r>
      <w:r w:rsidRPr="000839A4">
        <w:tab/>
        <w:t>příjmy, které plynou druhému z manželů nebo se pro účely daně z příjmů považují za příjem druhého z manželů v případě manželů, kteří mají společné jmění manželů</w:t>
      </w:r>
      <w:r w:rsidRPr="000839A4">
        <w:rPr>
          <w:noProof/>
          <w:szCs w:val="24"/>
        </w:rPr>
        <w:t>.</w:t>
      </w:r>
    </w:p>
    <w:p w14:paraId="3F401AD6" w14:textId="77777777" w:rsidR="000839A4" w:rsidRPr="000839A4" w:rsidRDefault="000839A4" w:rsidP="000839A4">
      <w:pPr>
        <w:tabs>
          <w:tab w:val="left" w:pos="357"/>
        </w:tabs>
        <w:spacing w:before="0"/>
        <w:ind w:left="714" w:hanging="357"/>
        <w:rPr>
          <w:szCs w:val="24"/>
        </w:rPr>
      </w:pPr>
    </w:p>
    <w:p w14:paraId="1952515F" w14:textId="77777777" w:rsidR="000839A4" w:rsidRPr="000839A4" w:rsidRDefault="000839A4" w:rsidP="000839A4">
      <w:pPr>
        <w:keepNext/>
        <w:ind w:firstLine="0"/>
        <w:jc w:val="center"/>
        <w:rPr>
          <w:szCs w:val="24"/>
        </w:rPr>
      </w:pPr>
      <w:r w:rsidRPr="000839A4">
        <w:rPr>
          <w:szCs w:val="24"/>
        </w:rPr>
        <w:lastRenderedPageBreak/>
        <w:t>§ 35c</w:t>
      </w:r>
    </w:p>
    <w:p w14:paraId="060863E2" w14:textId="77777777" w:rsidR="000839A4" w:rsidRPr="000839A4" w:rsidRDefault="000839A4" w:rsidP="000839A4">
      <w:pPr>
        <w:keepNext/>
        <w:ind w:firstLine="0"/>
        <w:jc w:val="center"/>
        <w:rPr>
          <w:b/>
          <w:szCs w:val="24"/>
        </w:rPr>
      </w:pPr>
      <w:r w:rsidRPr="000839A4">
        <w:rPr>
          <w:b/>
          <w:szCs w:val="24"/>
        </w:rPr>
        <w:t>Daňové zvýhodnění pro poplatníky daně z příjmů fyzických osob</w:t>
      </w:r>
    </w:p>
    <w:p w14:paraId="0AEC9BB0" w14:textId="77777777" w:rsidR="000839A4" w:rsidRPr="000839A4" w:rsidRDefault="000839A4" w:rsidP="000839A4">
      <w:pPr>
        <w:spacing w:before="120" w:after="120"/>
        <w:rPr>
          <w:szCs w:val="24"/>
        </w:rPr>
      </w:pPr>
      <w:r w:rsidRPr="000839A4">
        <w:rPr>
          <w:szCs w:val="24"/>
        </w:rPr>
        <w:t>(1) Poplatník uvedený v § 2 má nárok na daňové zvýhodnění na vyživované dítě žijící s ním ve společně hospodařící domácnosti na území členského státu Evropské unie, nebo státu tvořícího Evropský hospodářský prostor (dále jen „daňové zvýhodnění“) ve výši 15 204 Kč ročně na jedno dítě, 22 320 Kč ročně na druhé dítě a 27 840 Kč ročně na třetí a každé další dítě, pokud neuplatňuje slevu na dani podle § 35a nebo § 35b.  Poplatník o daňové zvýhodnění sníží daň vypočtenou podle § 16, případně sníženou podle § 35 nebo § 35ba nebo 35bb. Daňové zvýhodnění může poplatník uplatnit formou slevy na dani, daňového bonusu nebo slevy na dani a daňového bonusu. Je-li v jedné společně hospodařící domácnosti více vyživovaných dětí poplatníka, posuzují se pro účely tohoto ustanovení dohromady.</w:t>
      </w:r>
    </w:p>
    <w:p w14:paraId="321D6676" w14:textId="77777777" w:rsidR="000839A4" w:rsidRPr="000839A4" w:rsidRDefault="000839A4" w:rsidP="000839A4">
      <w:pPr>
        <w:spacing w:before="120" w:after="120"/>
        <w:rPr>
          <w:szCs w:val="24"/>
        </w:rPr>
      </w:pPr>
      <w:r w:rsidRPr="000839A4">
        <w:rPr>
          <w:szCs w:val="24"/>
        </w:rPr>
        <w:t>(2) Slevu na dani podle odstavce 1 může poplatník uplatnit až do výše daně vypočtené podle § 16 snížené o slevy na dani podle § 35 a § 35ba.</w:t>
      </w:r>
    </w:p>
    <w:p w14:paraId="2CF08733" w14:textId="77777777" w:rsidR="000839A4" w:rsidRPr="000839A4" w:rsidRDefault="000839A4" w:rsidP="000839A4">
      <w:pPr>
        <w:spacing w:before="120" w:after="120"/>
        <w:rPr>
          <w:szCs w:val="24"/>
        </w:rPr>
      </w:pPr>
      <w:r w:rsidRPr="000839A4">
        <w:rPr>
          <w:szCs w:val="24"/>
        </w:rPr>
        <w:t>(3) Je-li nárok poplatníka na daňové zvýhodnění podle odstavce 1 vyšší než daň vypočtená podle § 16 snížená o slevy na dani podle § 35 a § 35ba, je vzniklý rozdíl daňovým bonusem. Poplatník může daňový bonus uplatnit, pokud jeho výše činí alespoň 100 Kč.</w:t>
      </w:r>
    </w:p>
    <w:p w14:paraId="227F6A33" w14:textId="77777777" w:rsidR="000839A4" w:rsidRPr="000839A4" w:rsidRDefault="000839A4" w:rsidP="000839A4">
      <w:pPr>
        <w:spacing w:before="120" w:after="120"/>
        <w:rPr>
          <w:szCs w:val="24"/>
        </w:rPr>
      </w:pPr>
      <w:r w:rsidRPr="000839A4">
        <w:rPr>
          <w:szCs w:val="24"/>
        </w:rPr>
        <w:t>(4) Daňový bonus může uplatnit poplatník, který ve zdaňovacím období měl příjem podle § 6 nebo 7 alespoň ve výši šestinásobku minimální mzdy. Do těchto příjmů se nezahrnují příjmy od daně osvobozené, příjmy, z nichž je daň vybírána srážkou podle zvláštní sazby daně s výjimkou příjmů, u nichž se uplatní postup dle § 36 odst. 6 nebo 7 a příjmy, které jsou podle § 38f vyjmuty ze zdanění.</w:t>
      </w:r>
    </w:p>
    <w:p w14:paraId="0D19E2A0" w14:textId="77777777" w:rsidR="000839A4" w:rsidRPr="000839A4" w:rsidRDefault="000839A4" w:rsidP="000839A4">
      <w:pPr>
        <w:spacing w:before="120" w:after="120"/>
        <w:rPr>
          <w:szCs w:val="24"/>
        </w:rPr>
      </w:pPr>
      <w:r w:rsidRPr="000839A4">
        <w:rPr>
          <w:szCs w:val="24"/>
        </w:rPr>
        <w:t>(5) Poplatník uvedený v § 2 odst. 3 může daňové zvýhodnění uplatnit, pouze pokud je daňovým rezidentem členského státu Evropské unie, nebo státu tvořícího Evropský hospodářský prostor a jestliže úhrn všech jeho příjmů ze zdrojů na území České republiky (§ 22) činí nejméně 90 % všech jeho příjmů s výjimkou příjmů, které nejsou předmětem daně podle § 3 nebo § 6, jsou od daně osvobozeny podle § 4, 6 nebo § 10, nebo příjmů, z nichž je daň vybírána srážkou podle zvláštní sazby daně. Výši příjmů ze zdrojů v zahraničí prokazuje poplatník potvrzením zahraničního správce daně.</w:t>
      </w:r>
    </w:p>
    <w:p w14:paraId="3517BB2A" w14:textId="77777777" w:rsidR="000839A4" w:rsidRPr="000839A4" w:rsidRDefault="000839A4" w:rsidP="000839A4">
      <w:pPr>
        <w:spacing w:before="120" w:after="120"/>
        <w:rPr>
          <w:szCs w:val="24"/>
        </w:rPr>
      </w:pPr>
      <w:r w:rsidRPr="000839A4">
        <w:rPr>
          <w:szCs w:val="24"/>
        </w:rPr>
        <w:t>(6) Za vyživované dítě poplatníka se pro účely tohoto zákona považuje dítě vlastní, osvojenec, dítě v péči, která nahrazuje péči rodičů, dítě, které přestalo být u tohoto poplatníka z důvodu nabytí plné svéprávnosti nebo zletilosti v pěstounské péči, dítě druhého z manželů, vlastní vnuk nebo vnuk druhého z manželů, pokud jeho rodiče nemají dostatečné příjmy, z nichž by mohli daňové zvýhodnění uplatnit, pokud je</w:t>
      </w:r>
    </w:p>
    <w:p w14:paraId="6A740615"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nezletilým dítětem,</w:t>
      </w:r>
    </w:p>
    <w:p w14:paraId="001A4CF1"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zletilým dítětem až do dovršení věku 26 let, jestliže mu není přiznán invalidní důchod pro invaliditu třetího stupně a</w:t>
      </w:r>
    </w:p>
    <w:p w14:paraId="0C066FF4" w14:textId="77777777" w:rsidR="000839A4" w:rsidRPr="000839A4" w:rsidRDefault="000839A4" w:rsidP="000839A4">
      <w:pPr>
        <w:tabs>
          <w:tab w:val="left" w:pos="357"/>
        </w:tabs>
        <w:spacing w:before="0"/>
        <w:ind w:left="714" w:hanging="357"/>
        <w:rPr>
          <w:szCs w:val="24"/>
        </w:rPr>
      </w:pPr>
      <w:r w:rsidRPr="000839A4">
        <w:rPr>
          <w:szCs w:val="24"/>
        </w:rPr>
        <w:t>1.</w:t>
      </w:r>
      <w:r w:rsidRPr="000839A4">
        <w:rPr>
          <w:szCs w:val="24"/>
        </w:rPr>
        <w:tab/>
        <w:t>soustavně se připravuje na budoucí povolání; příprava na budoucí povolání se posuzuje podle zákona o státní sociální podpoře</w:t>
      </w:r>
      <w:r w:rsidRPr="000839A4">
        <w:rPr>
          <w:szCs w:val="24"/>
          <w:vertAlign w:val="superscript"/>
        </w:rPr>
        <w:t>,</w:t>
      </w:r>
      <w:r w:rsidRPr="000839A4">
        <w:rPr>
          <w:szCs w:val="24"/>
          <w:vertAlign w:val="superscript"/>
        </w:rPr>
        <w:footnoteReference w:customMarkFollows="1" w:id="184"/>
        <w:t>14d)</w:t>
      </w:r>
      <w:r w:rsidRPr="000839A4">
        <w:rPr>
          <w:szCs w:val="24"/>
          <w:vertAlign w:val="superscript"/>
        </w:rPr>
        <w:fldChar w:fldCharType="begin"/>
      </w:r>
      <w:r w:rsidRPr="000839A4">
        <w:rPr>
          <w:szCs w:val="24"/>
          <w:vertAlign w:val="superscript"/>
        </w:rPr>
        <w:instrText xml:space="preserve"> NOTEREF _Ref535916606 </w:instrText>
      </w:r>
      <w:r w:rsidRPr="000839A4">
        <w:rPr>
          <w:szCs w:val="24"/>
          <w:vertAlign w:val="superscript"/>
        </w:rPr>
        <w:fldChar w:fldCharType="end"/>
      </w:r>
    </w:p>
    <w:p w14:paraId="6E01922C" w14:textId="77777777" w:rsidR="000839A4" w:rsidRPr="000839A4" w:rsidRDefault="000839A4" w:rsidP="000839A4">
      <w:pPr>
        <w:tabs>
          <w:tab w:val="left" w:pos="357"/>
        </w:tabs>
        <w:spacing w:before="0"/>
        <w:ind w:left="714" w:hanging="357"/>
        <w:rPr>
          <w:szCs w:val="24"/>
        </w:rPr>
      </w:pPr>
      <w:r w:rsidRPr="000839A4">
        <w:rPr>
          <w:szCs w:val="24"/>
        </w:rPr>
        <w:t>2.</w:t>
      </w:r>
      <w:r w:rsidRPr="000839A4">
        <w:rPr>
          <w:szCs w:val="24"/>
        </w:rPr>
        <w:tab/>
        <w:t>nemůže se soustavně připravovat na budoucí povolání nebo vykonávat výdělečnou činnost pro nemoc nebo úraz, nebo</w:t>
      </w:r>
    </w:p>
    <w:p w14:paraId="4D51827B" w14:textId="77777777" w:rsidR="000839A4" w:rsidRPr="000839A4" w:rsidRDefault="000839A4" w:rsidP="000839A4">
      <w:pPr>
        <w:tabs>
          <w:tab w:val="left" w:pos="357"/>
        </w:tabs>
        <w:spacing w:before="0"/>
        <w:ind w:left="714" w:hanging="357"/>
        <w:rPr>
          <w:szCs w:val="24"/>
        </w:rPr>
      </w:pPr>
      <w:r w:rsidRPr="000839A4">
        <w:rPr>
          <w:szCs w:val="24"/>
        </w:rPr>
        <w:t>3.</w:t>
      </w:r>
      <w:r w:rsidRPr="000839A4">
        <w:rPr>
          <w:szCs w:val="24"/>
        </w:rPr>
        <w:tab/>
        <w:t>z důvodu dlouhodobě nepříznivého zdravotního stavu je neschopno vykonávat soustavnou výdělečnou činnost.</w:t>
      </w:r>
    </w:p>
    <w:p w14:paraId="4B0797F4" w14:textId="77777777" w:rsidR="000839A4" w:rsidRPr="000839A4" w:rsidRDefault="000839A4" w:rsidP="000839A4">
      <w:pPr>
        <w:spacing w:before="120" w:after="120"/>
        <w:rPr>
          <w:szCs w:val="24"/>
        </w:rPr>
      </w:pPr>
      <w:r w:rsidRPr="000839A4">
        <w:rPr>
          <w:szCs w:val="24"/>
        </w:rPr>
        <w:lastRenderedPageBreak/>
        <w:t>(7) Dočasný pobyt dítěte mimo společně hospodařící domácnost nemá vliv na uplatnění daňového zvýhodnění. Jedná-li se o dítě, kterému je přiznán nárok na průkaz ZTP/P, zvyšuje se na ně částka daňového zvýhodnění na dvojnásobek</w:t>
      </w:r>
      <w:r w:rsidRPr="000839A4">
        <w:rPr>
          <w:strike/>
          <w:szCs w:val="24"/>
        </w:rPr>
        <w:t>; maximální výše daňového bonusu podle odstavce 3 zůstává zachována</w:t>
      </w:r>
      <w:r w:rsidRPr="000839A4">
        <w:rPr>
          <w:szCs w:val="24"/>
        </w:rPr>
        <w:t>.</w:t>
      </w:r>
    </w:p>
    <w:p w14:paraId="7D5D3B5C" w14:textId="77777777" w:rsidR="000839A4" w:rsidRPr="000839A4" w:rsidRDefault="000839A4" w:rsidP="000839A4">
      <w:pPr>
        <w:spacing w:before="120" w:after="120"/>
        <w:rPr>
          <w:szCs w:val="24"/>
        </w:rPr>
      </w:pPr>
      <w:r w:rsidRPr="000839A4" w:rsidDel="00EB04BE">
        <w:rPr>
          <w:iCs/>
          <w:noProof/>
          <w:szCs w:val="24"/>
        </w:rPr>
        <w:t xml:space="preserve"> </w:t>
      </w:r>
      <w:r w:rsidRPr="000839A4">
        <w:rPr>
          <w:szCs w:val="24"/>
        </w:rPr>
        <w:t>(8) Uzavře</w:t>
      </w:r>
      <w:r w:rsidRPr="000839A4">
        <w:rPr>
          <w:noProof/>
          <w:szCs w:val="24"/>
        </w:rPr>
        <w:t>-li dítě uvedené v odstavci 6 manželství a žije-li ve společně hospodařící domácnosti s manželem, může uplatnit manžel slevu na manžela při splnění podmínek pro její uplatnění. Nemá-li manžel dostatečné příjmy, z nichž by mohl uplatnit slevu na manžela při splnění podmínek pro její uplatnění, může daňové zvýhodnění uplatnit rodič dítěte nebo poplatník, u něhož jde ve vztahu k dítěti o péči nahrazující péči rodičů, pokud dítě a vyživované dítě tohoto dítěte vymezené pro uplatnění slevy na manžela s ním žije ve společně hospodařící domácnosti.</w:t>
      </w:r>
    </w:p>
    <w:p w14:paraId="7CBB42D0" w14:textId="77777777" w:rsidR="000839A4" w:rsidRPr="000839A4" w:rsidRDefault="000839A4" w:rsidP="000839A4">
      <w:pPr>
        <w:spacing w:before="120" w:after="120"/>
        <w:rPr>
          <w:szCs w:val="24"/>
        </w:rPr>
      </w:pPr>
      <w:r w:rsidRPr="000839A4">
        <w:rPr>
          <w:szCs w:val="24"/>
        </w:rPr>
        <w:t xml:space="preserve"> (9) Vyživuje-li dítě v jedné společně hospodařící domácnosti více poplatníků, může daňové zvýhodnění uplatnit ve zdaňovacím období nebo v tomtéž kalendářním měsíci zdaňovacího období jen jeden z nich. </w:t>
      </w:r>
    </w:p>
    <w:p w14:paraId="36FF1249" w14:textId="77777777" w:rsidR="000839A4" w:rsidRPr="000839A4" w:rsidRDefault="000839A4" w:rsidP="000839A4">
      <w:pPr>
        <w:spacing w:before="120" w:after="120"/>
        <w:rPr>
          <w:szCs w:val="24"/>
        </w:rPr>
      </w:pPr>
      <w:r w:rsidRPr="000839A4">
        <w:rPr>
          <w:szCs w:val="24"/>
        </w:rPr>
        <w:t>(10) Poplatníkovi, který vyživuje dítě jen jeden kalendářní měsíc nebo několik kalendářních měsíců ve zdaňovacím období, lze poskytnout daňové zvýhodnění ve výši 1/12 za každý kalendářní měsíc, na jehož počátku byly splněny podmínky pro jeho uplatnění. Daňové zvýhodnění lze uplatnit již v kalendářním měsíci, ve kterém se dítě narodilo, nebo ve kterém začíná soustavná příprava dítěte na budoucí povolání, anebo ve kterém bylo dítě osvojeno nebo převzato do péče nahrazující péči rodičů na základě rozhodnutí příslušného orgánu.</w:t>
      </w:r>
    </w:p>
    <w:p w14:paraId="726D4392" w14:textId="77777777" w:rsidR="000839A4" w:rsidRPr="000839A4" w:rsidRDefault="000839A4" w:rsidP="000839A4">
      <w:pPr>
        <w:spacing w:before="120" w:after="120"/>
        <w:rPr>
          <w:szCs w:val="24"/>
        </w:rPr>
      </w:pPr>
      <w:r w:rsidRPr="000839A4">
        <w:rPr>
          <w:szCs w:val="24"/>
        </w:rPr>
        <w:t>(11) Poplatník, který je povinen podat daňové přiznání podle § 38g, nebo který se tak rozhodl učinit, uplatní daňový bonus v daňovém přiznání a požádá místně příslušného správce daně o jeho vyplacení. Při výplatě daňového bonusu postupuje správce daně obdobně jako při vrácení přeplatku podle zvláštního právního předpisu o správě daní.</w:t>
      </w:r>
    </w:p>
    <w:p w14:paraId="64C63C10" w14:textId="77777777" w:rsidR="000839A4" w:rsidRPr="000839A4" w:rsidRDefault="000839A4" w:rsidP="000839A4">
      <w:pPr>
        <w:spacing w:before="120" w:after="120"/>
        <w:rPr>
          <w:szCs w:val="24"/>
        </w:rPr>
      </w:pPr>
      <w:r w:rsidRPr="000839A4">
        <w:rPr>
          <w:szCs w:val="24"/>
        </w:rPr>
        <w:t>(12) Pokud úhrn měsíčních daňových bonusů vyplacených podle § 35d u poplatníka podávajícího daňové přiznání přesahuje částku daňového bonusu vypočteného za zdaňovací období, považuje se vzniklý rozdíl za daňový nedoplatek; pokud poplatník, kterému byly vyplaceny měsíční daňové bonusy, nárok na daňové zvýhodnění za zdaňovací období v daňovém přiznání neuplatní vůbec, považují se za daňový nedoplatek částky ve výši vyplacených měsíčních daňových bonusů.</w:t>
      </w:r>
    </w:p>
    <w:p w14:paraId="23FB0DC0" w14:textId="77777777" w:rsidR="000839A4" w:rsidRPr="000839A4" w:rsidRDefault="000839A4" w:rsidP="000839A4">
      <w:pPr>
        <w:keepNext/>
        <w:ind w:firstLine="0"/>
        <w:jc w:val="center"/>
        <w:rPr>
          <w:szCs w:val="24"/>
        </w:rPr>
      </w:pPr>
      <w:r w:rsidRPr="000839A4">
        <w:rPr>
          <w:szCs w:val="24"/>
        </w:rPr>
        <w:t>§ 35d</w:t>
      </w:r>
    </w:p>
    <w:p w14:paraId="714B53B7" w14:textId="77777777" w:rsidR="000839A4" w:rsidRPr="000839A4" w:rsidRDefault="000839A4" w:rsidP="000839A4">
      <w:pPr>
        <w:spacing w:before="120" w:after="120"/>
        <w:rPr>
          <w:szCs w:val="24"/>
        </w:rPr>
      </w:pPr>
      <w:r w:rsidRPr="000839A4">
        <w:rPr>
          <w:szCs w:val="24"/>
        </w:rPr>
        <w:t>(1) Poplatník s příjmy podle § 6 může při výpočtu zálohy na daň podle § 38h odst. 4 uplatnit nárok na slevu na dani podle § 35ba odst. 1 písm. a), c) až e) a na daňové zvýhodnění.</w:t>
      </w:r>
    </w:p>
    <w:p w14:paraId="71D792EE" w14:textId="77777777" w:rsidR="000839A4" w:rsidRPr="000839A4" w:rsidRDefault="000839A4" w:rsidP="000839A4">
      <w:pPr>
        <w:spacing w:before="120" w:after="120"/>
        <w:rPr>
          <w:szCs w:val="24"/>
        </w:rPr>
      </w:pPr>
      <w:r w:rsidRPr="000839A4">
        <w:rPr>
          <w:szCs w:val="24"/>
        </w:rPr>
        <w:t xml:space="preserve">(2) Záloha na daň vypočtená podle tohoto zákona se sníží u poplatníka s učiněným prohlášením k dani podle § 38k odst. 4 o částku ve výši odpovídající jedné dvanáctině částky stanovené v § 35ba odst. 1 písm. a), c) </w:t>
      </w:r>
      <w:proofErr w:type="gramStart"/>
      <w:r w:rsidRPr="000839A4">
        <w:rPr>
          <w:szCs w:val="24"/>
        </w:rPr>
        <w:t>až e) (dále</w:t>
      </w:r>
      <w:proofErr w:type="gramEnd"/>
      <w:r w:rsidRPr="000839A4">
        <w:rPr>
          <w:szCs w:val="24"/>
        </w:rPr>
        <w:t xml:space="preserve"> jen „měsíční sleva na dani podle § 35ba“) a o daňové zvýhodnění ve výši odpovídající jedné dvanáctině částky stanovené v § 35c (dále jen „měsíční daňové zvýhodnění“). Měsíční daňové zvýhodnění plátce poskytne poplatníkovi formou měsíční slevy na dani podle § 35c, měsíčního daňového bonusu nebo měsíční slevy na dani podle § 35c a měsíčního daňového bonusu.</w:t>
      </w:r>
    </w:p>
    <w:p w14:paraId="762CB39C" w14:textId="77777777" w:rsidR="000839A4" w:rsidRPr="000839A4" w:rsidRDefault="000839A4" w:rsidP="000839A4">
      <w:pPr>
        <w:spacing w:before="120" w:after="120"/>
        <w:rPr>
          <w:szCs w:val="24"/>
        </w:rPr>
      </w:pPr>
      <w:r w:rsidRPr="000839A4">
        <w:rPr>
          <w:szCs w:val="24"/>
        </w:rPr>
        <w:t xml:space="preserve"> (3) Měsíční slevu na dani podle § 35ba poskytne plátce daně poplatníkovi maximálně do výše zálohy na daň vypočtené podle § 38h odst. 2 a 3. Měsíční slevu na dani podle § 35c poskytne plátce daně poplatníkovi maximálně do výše zálohy na daň snížené o měsíční slevu na dani podle § 35ba.</w:t>
      </w:r>
    </w:p>
    <w:p w14:paraId="2BF37151" w14:textId="77777777" w:rsidR="000839A4" w:rsidRPr="000839A4" w:rsidRDefault="000839A4" w:rsidP="000839A4">
      <w:pPr>
        <w:spacing w:before="120" w:after="120"/>
        <w:rPr>
          <w:szCs w:val="24"/>
        </w:rPr>
      </w:pPr>
      <w:r w:rsidRPr="000839A4">
        <w:rPr>
          <w:szCs w:val="24"/>
        </w:rPr>
        <w:lastRenderedPageBreak/>
        <w:t>(4) Je-li výše zálohy na daň snížené o měsíční slevu na dani podle § 35ba nižší než částka měsíčního daňového zvýhodnění, je vzniklý rozdíl měsíčním daňovým bonusem. Měsíční daňový bonus lze vyplatit, pokud jeho výše činí alespoň 50 Kč. Plátce daně je povinen vyplatit poplatníkovi měsíční daňový bonus ve výši stanovené tímto zákonem při výplatě příjmů ze závislé činnosti, jestliže jejich úhrn vyplacený nebo zúčtovaný tímto plátcem za příslušný kalendářní měsíc (§ 38h odst. 1) dosahuje u poplatníka alespoň výše poloviny minimální mzdy, zaokrouhlené na celé koruny dolů (dále jen „polovina minimální mzdy“). Do těchto příjmů se nezahrnují příjmy od daně osvobozené a příjmy, z nichž je daň vybírána srážkou podle zvláštní sazby daně.</w:t>
      </w:r>
    </w:p>
    <w:p w14:paraId="354EFDD4" w14:textId="77777777" w:rsidR="000839A4" w:rsidRPr="000839A4" w:rsidRDefault="000839A4" w:rsidP="000839A4">
      <w:pPr>
        <w:spacing w:before="120" w:after="120"/>
        <w:rPr>
          <w:szCs w:val="24"/>
        </w:rPr>
      </w:pPr>
      <w:r w:rsidRPr="000839A4">
        <w:rPr>
          <w:szCs w:val="24"/>
        </w:rPr>
        <w:t>(5) O vyplacený měsíční daňový bonus plátce daně sníží odvod záloh na daň za příslušný kalendářní měsíc. Pokud nelze nárok poplatníka uspokojit z celkového objemu záloh na daň, plátce daně je povinen vyplatit měsíční daňový bonus nebo jeho část poplatníkovi z vlastních finančních prostředků. O tyto částky sníží odvody záloh na daň správci daně v následujících měsících, nejdéle do konce zdaňovacího období, pokud nepožádá správce daně o poukázání chybějící částky na tiskopise vydaném Ministerstvem financí. Vznikne-li na základě tohoto požadavku vratitelný přeplatek, vrátí jej správce daně plátci daně nejpozději do 20 dnů od doručení této žádosti.</w:t>
      </w:r>
    </w:p>
    <w:p w14:paraId="326C79D8" w14:textId="77777777" w:rsidR="000839A4" w:rsidRPr="000839A4" w:rsidRDefault="000839A4" w:rsidP="000839A4">
      <w:pPr>
        <w:spacing w:before="120" w:after="120"/>
        <w:rPr>
          <w:szCs w:val="24"/>
        </w:rPr>
      </w:pPr>
      <w:r w:rsidRPr="000839A4">
        <w:rPr>
          <w:szCs w:val="24"/>
        </w:rPr>
        <w:t>(6) Při ročním zúčtování záloh a daňového zvýhodnění poskytne plátce daně poplatníkovi slevu na dani podle § 35c maximálně do výše daně snížené o slevy na dani pro poplatníky daně z příjmů fyzických osob. Je-li nárok na daňové zvýhodnění vyšší než takto vypočtená daň, má poplatník nárok na vyplacení daňového zvýhodnění formou daňového bonusu, jen pokud úhrn jeho příjmů ze závislé činnosti od všech plátců daně v uplynulém zdaňovacím období, z nichž mu plátce daně provádí roční zúčtování záloh a daňového zvýhodnění, dosáhl alespoň šestinásobku minimální mzdy. Jestliže u poplatníka úhrn těchto příjmů nedosáhl alespoň šestinásobku minimální mzdy, poplatník při ročním zúčtování záloh a daňového zvýhodnění na vyplacené měsíční daňové bonusy v kalendářních měsících, v nichž úhrn jeho příjmů dosáhl alespoň výše poloviny minimální mzdy, již nárok neztrácí.</w:t>
      </w:r>
    </w:p>
    <w:p w14:paraId="068B266B" w14:textId="77777777" w:rsidR="000839A4" w:rsidRPr="000839A4" w:rsidRDefault="000839A4" w:rsidP="000839A4">
      <w:pPr>
        <w:spacing w:before="120" w:after="120"/>
        <w:rPr>
          <w:szCs w:val="24"/>
        </w:rPr>
      </w:pPr>
      <w:r w:rsidRPr="000839A4">
        <w:rPr>
          <w:szCs w:val="24"/>
        </w:rPr>
        <w:t>(7) Při ročním zúčtování záloh a daňového zvýhodnění plátce daně u poplatníka nejdříve daň sníží o slevy na dani pro poplatníky daně z příjmů fyzických osob a pak vypočte částku daňového zvýhodnění náležející poplatníkovi formou slevy na dani podle § 35c a daňového bonusu. Daň sníženou o slevu na dani pro poplatníky daně z příjmů fyzických osob poté sníží ještě o slevu na dani podle § 35c a až takto sníženou daň porovná s úhrnem zálohově sražené daně a vypočte rozdíl na dani. Dále porovná daňový bonus s úhrnem již vyplacených měsíčních daňových bonusů a vypočte rozdíl na daňovém bonusu. Jestliže je úhrn částek vyplacených na měsíčních daňových bonusech nižší než daňový bonus, zvýší plátce daně o nevyplacenou částku na daňovém bonusu vypočtený kladný rozdíl na dani, nebo nevyplacenou částku na daňovém bonusu sníží o vypočtený záporný rozdíl na dani. Jestliže je úhrn vyplacených měsíčních daňových bonusů vyšší než daňový bonus, sníží plátce daně o přeplacenou částku na daňovém bonusu vypočtený kladný rozdíl na dani, nebo o ni zvýší vypočtený záporný rozdíl na dani.</w:t>
      </w:r>
    </w:p>
    <w:p w14:paraId="234D8D45" w14:textId="77777777" w:rsidR="000839A4" w:rsidRPr="000839A4" w:rsidRDefault="000839A4" w:rsidP="000839A4">
      <w:pPr>
        <w:spacing w:before="120" w:after="120"/>
        <w:rPr>
          <w:szCs w:val="24"/>
        </w:rPr>
      </w:pPr>
      <w:r w:rsidRPr="000839A4">
        <w:rPr>
          <w:szCs w:val="24"/>
        </w:rPr>
        <w:t>(8) Přeplatek na dani z ročního zúčtování záloh a daňového zvýhodnění a doplatek na daňovém bonusu (dále jen „doplatek ze zúčtování“), které vzniknou provedením ročního zúčtování záloh a daňového zvýhodnění, vyplatí plátce daně poplatníkovi nejpozději při zúčtování mzdy za březen po uplynutí zdaňovacího období, činí-li úhrnná výše doplatku ze zúčtování více než 50 Kč. Případný nedoplatek z ročního zúčtování záloh a daňového zvýhodnění plátce daně poplatníkovi nesráží.</w:t>
      </w:r>
    </w:p>
    <w:p w14:paraId="713164F5" w14:textId="77777777" w:rsidR="000839A4" w:rsidRPr="000839A4" w:rsidRDefault="000839A4" w:rsidP="000839A4">
      <w:pPr>
        <w:spacing w:before="120" w:after="120"/>
        <w:rPr>
          <w:szCs w:val="24"/>
        </w:rPr>
      </w:pPr>
      <w:r w:rsidRPr="000839A4">
        <w:rPr>
          <w:szCs w:val="24"/>
        </w:rPr>
        <w:lastRenderedPageBreak/>
        <w:t>(9) O částku daňového zvýhodnění vyplaceného formou doplatku na daňovém bonusu sníží plátce daně nejbližší odvod záloh na daň správci daně. V případě, že nelze nárok poplatníka uspokojit z celkového objemu záloh na daň, vyplatí plátce daně poplatníkovi doplatek na daňovém bonusu nebo jeho část ze svých finančních prostředků a o tyto částky sníží odvody záloh na daň správci daně v následujících měsících, nejdéle do konce zdaňovacího období, pokud nepožádá místně příslušného správce daně o poukázání chybějící částky na tiskopise vydaném Ministerstvem financí. Vznikne-li na základě tohoto požadavku vratitelný přeplatek, vrátí jej správce daně plátci daně nejpozději do 20 dnů od doručení této žádosti. Při vrácení přeplatku z ročního zúčtování záloh a daňového zvýhodnění postupuje plátce daně podle § 38ch odst. 5.</w:t>
      </w:r>
    </w:p>
    <w:p w14:paraId="0EFB037E" w14:textId="77777777" w:rsidR="000839A4" w:rsidRPr="000839A4" w:rsidRDefault="000839A4" w:rsidP="000839A4">
      <w:pPr>
        <w:keepNext/>
        <w:spacing w:before="120"/>
        <w:ind w:firstLine="0"/>
        <w:jc w:val="center"/>
        <w:outlineLvl w:val="7"/>
        <w:rPr>
          <w:b/>
        </w:rPr>
      </w:pPr>
      <w:r w:rsidRPr="000839A4">
        <w:rPr>
          <w:b/>
        </w:rPr>
        <w:t>Hlava XII</w:t>
      </w:r>
    </w:p>
    <w:p w14:paraId="4EC1AF3F" w14:textId="77777777" w:rsidR="000839A4" w:rsidRPr="000839A4" w:rsidRDefault="000839A4" w:rsidP="000839A4">
      <w:pPr>
        <w:keepNext/>
        <w:spacing w:before="120"/>
        <w:ind w:firstLine="0"/>
        <w:jc w:val="center"/>
        <w:outlineLvl w:val="7"/>
        <w:rPr>
          <w:b/>
          <w:bCs/>
        </w:rPr>
      </w:pPr>
      <w:r w:rsidRPr="000839A4">
        <w:rPr>
          <w:b/>
          <w:bCs/>
        </w:rPr>
        <w:t>Ostatní společná ustanovení</w:t>
      </w:r>
    </w:p>
    <w:p w14:paraId="776CDFBF" w14:textId="77777777" w:rsidR="000839A4" w:rsidRPr="000839A4" w:rsidRDefault="000839A4" w:rsidP="000839A4">
      <w:pPr>
        <w:keepNext/>
        <w:ind w:firstLine="0"/>
        <w:jc w:val="center"/>
        <w:rPr>
          <w:szCs w:val="24"/>
        </w:rPr>
      </w:pPr>
      <w:r w:rsidRPr="000839A4">
        <w:rPr>
          <w:szCs w:val="24"/>
        </w:rPr>
        <w:t>§ 36</w:t>
      </w:r>
    </w:p>
    <w:p w14:paraId="26D096C1" w14:textId="77777777" w:rsidR="000839A4" w:rsidRPr="000839A4" w:rsidRDefault="000839A4" w:rsidP="000839A4">
      <w:pPr>
        <w:keepNext/>
        <w:ind w:firstLine="0"/>
        <w:jc w:val="center"/>
        <w:rPr>
          <w:b/>
          <w:szCs w:val="24"/>
        </w:rPr>
      </w:pPr>
      <w:r w:rsidRPr="000839A4">
        <w:rPr>
          <w:b/>
          <w:szCs w:val="24"/>
        </w:rPr>
        <w:t>Zvláštní sazba daně</w:t>
      </w:r>
    </w:p>
    <w:p w14:paraId="2B34210A" w14:textId="77777777" w:rsidR="000839A4" w:rsidRPr="000839A4" w:rsidRDefault="000839A4" w:rsidP="000839A4">
      <w:pPr>
        <w:spacing w:before="120" w:after="120"/>
        <w:rPr>
          <w:szCs w:val="24"/>
        </w:rPr>
      </w:pPr>
      <w:r w:rsidRPr="000839A4">
        <w:rPr>
          <w:szCs w:val="24"/>
        </w:rPr>
        <w:t>(1) Zvláštní sazba daně z příjmů pro poplatníky uvedené v § 2 odst. 3 a § 17 odst. 4, s výjimkou stálé provozovny (§ 22 odst. 2 a 3) a s výjimkou ustanovení odstavce 5, činí</w:t>
      </w:r>
    </w:p>
    <w:p w14:paraId="09E43595"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15 %, a to</w:t>
      </w:r>
    </w:p>
    <w:p w14:paraId="12E84A68" w14:textId="77777777" w:rsidR="000839A4" w:rsidRPr="000839A4" w:rsidRDefault="000839A4" w:rsidP="000839A4">
      <w:pPr>
        <w:tabs>
          <w:tab w:val="left" w:pos="357"/>
        </w:tabs>
        <w:spacing w:before="0"/>
        <w:ind w:left="714" w:hanging="357"/>
        <w:rPr>
          <w:szCs w:val="24"/>
        </w:rPr>
      </w:pPr>
      <w:r w:rsidRPr="000839A4">
        <w:rPr>
          <w:szCs w:val="24"/>
        </w:rPr>
        <w:t>1.</w:t>
      </w:r>
      <w:r w:rsidRPr="000839A4">
        <w:rPr>
          <w:szCs w:val="24"/>
        </w:rPr>
        <w:tab/>
        <w:t>z příjmů uvedených v § 22 odst. 1 písm. c), f) a g) bodech 1, 2, 6, 12 až 14, s výjimkou příjmů, pro které je stanovena zvláštní sazba daně v odstavci 2 písm. e),</w:t>
      </w:r>
    </w:p>
    <w:p w14:paraId="747B30E0" w14:textId="77777777" w:rsidR="000839A4" w:rsidRPr="000839A4" w:rsidRDefault="000839A4" w:rsidP="000839A4">
      <w:pPr>
        <w:tabs>
          <w:tab w:val="left" w:pos="357"/>
        </w:tabs>
        <w:spacing w:before="0"/>
        <w:ind w:left="714" w:hanging="357"/>
        <w:rPr>
          <w:szCs w:val="24"/>
        </w:rPr>
      </w:pPr>
      <w:r w:rsidRPr="000839A4">
        <w:rPr>
          <w:szCs w:val="24"/>
        </w:rPr>
        <w:t>2.</w:t>
      </w:r>
      <w:r w:rsidRPr="000839A4">
        <w:rPr>
          <w:szCs w:val="24"/>
        </w:rPr>
        <w:tab/>
        <w:t>z příjmů z nájemného movité věci nebo její části umístěné na území České republiky,</w:t>
      </w:r>
    </w:p>
    <w:p w14:paraId="350EEAF3" w14:textId="77777777" w:rsidR="000839A4" w:rsidRPr="000839A4" w:rsidRDefault="000839A4" w:rsidP="000839A4">
      <w:pPr>
        <w:tabs>
          <w:tab w:val="left" w:pos="357"/>
        </w:tabs>
        <w:spacing w:before="0"/>
        <w:ind w:left="714" w:hanging="357"/>
        <w:rPr>
          <w:szCs w:val="24"/>
        </w:rPr>
      </w:pPr>
      <w:r w:rsidRPr="000839A4">
        <w:rPr>
          <w:szCs w:val="24"/>
        </w:rPr>
        <w:t>3.</w:t>
      </w:r>
      <w:r w:rsidRPr="000839A4">
        <w:rPr>
          <w:szCs w:val="24"/>
        </w:rPr>
        <w:tab/>
        <w:t>z bezúplatných příjmů uvedených v § 22 odst. 1 písm. d), h) a i), jedná-li se o příjmy plynoucí od daňových rezidentů České republiky nebo od stálých provozoven daňových nerezidentů umístěných na území České republiky,</w:t>
      </w:r>
    </w:p>
    <w:p w14:paraId="18584392"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15 %, a to</w:t>
      </w:r>
    </w:p>
    <w:p w14:paraId="0D2502F9" w14:textId="77777777" w:rsidR="000839A4" w:rsidRPr="000839A4" w:rsidRDefault="000839A4" w:rsidP="000839A4">
      <w:pPr>
        <w:tabs>
          <w:tab w:val="left" w:pos="357"/>
        </w:tabs>
        <w:spacing w:before="0"/>
        <w:ind w:left="714" w:hanging="357"/>
        <w:rPr>
          <w:szCs w:val="24"/>
        </w:rPr>
      </w:pPr>
      <w:r w:rsidRPr="000839A4">
        <w:rPr>
          <w:szCs w:val="24"/>
        </w:rPr>
        <w:t>1.</w:t>
      </w:r>
      <w:r w:rsidRPr="000839A4">
        <w:rPr>
          <w:szCs w:val="24"/>
        </w:rPr>
        <w:tab/>
        <w:t>z příjmů uvedených v § 22 odst. 1 písm. g) bodech 3 a 4</w:t>
      </w:r>
      <w:r w:rsidRPr="000839A4">
        <w:rPr>
          <w:sz w:val="22"/>
          <w:szCs w:val="22"/>
        </w:rPr>
        <w:t xml:space="preserve"> </w:t>
      </w:r>
      <w:r w:rsidRPr="000839A4">
        <w:rPr>
          <w:szCs w:val="24"/>
        </w:rPr>
        <w:t>s výjimkou příjmu plynoucího z práva na splacení dluhopisu, vkladního listu vydaného jako cenný papír nebo cenného papíru vkladnímu listu na roveň postaveného; přičemž příjem z vypořádacího podílu, z podílu na likvidačním zůstatku a jiný příjem z držby kapitálového majetku ve formě vrácení emisního ážia, příplatku mimo základní kapitál nebo těmto plněním obdobná plnění se snižuje o nabývací cenu podílu na obchodní korporaci, je-li plátci poplatníkem prokázána,</w:t>
      </w:r>
    </w:p>
    <w:p w14:paraId="5FEFB025" w14:textId="77777777" w:rsidR="000839A4" w:rsidRPr="000839A4" w:rsidRDefault="000839A4" w:rsidP="000839A4">
      <w:pPr>
        <w:tabs>
          <w:tab w:val="left" w:pos="357"/>
        </w:tabs>
        <w:spacing w:before="0"/>
        <w:ind w:left="714" w:hanging="357"/>
        <w:rPr>
          <w:szCs w:val="24"/>
        </w:rPr>
      </w:pPr>
      <w:r w:rsidRPr="000839A4">
        <w:rPr>
          <w:szCs w:val="24"/>
        </w:rPr>
        <w:t>2.</w:t>
      </w:r>
      <w:r w:rsidRPr="000839A4">
        <w:rPr>
          <w:szCs w:val="24"/>
        </w:rPr>
        <w:tab/>
        <w:t>u poplatníků daně z příjmů fyzických osob z podílu připadajícího na podílový list při zrušení podílového fondu, sníženého o pořizovací cenu</w:t>
      </w:r>
      <w:r w:rsidRPr="000839A4">
        <w:rPr>
          <w:strike/>
          <w:szCs w:val="24"/>
          <w:vertAlign w:val="superscript"/>
        </w:rPr>
        <w:t>20)</w:t>
      </w:r>
      <w:r w:rsidRPr="000839A4">
        <w:rPr>
          <w:szCs w:val="24"/>
        </w:rPr>
        <w:t xml:space="preserve"> podílového listu, je-li plátci poplatníkem prokázána,</w:t>
      </w:r>
    </w:p>
    <w:p w14:paraId="0945634C" w14:textId="77777777" w:rsidR="000839A4" w:rsidRPr="000839A4" w:rsidRDefault="000839A4" w:rsidP="000839A4">
      <w:pPr>
        <w:tabs>
          <w:tab w:val="left" w:pos="357"/>
        </w:tabs>
        <w:spacing w:before="0"/>
        <w:ind w:left="714" w:hanging="357"/>
        <w:rPr>
          <w:szCs w:val="24"/>
        </w:rPr>
      </w:pPr>
      <w:r w:rsidRPr="000839A4">
        <w:rPr>
          <w:szCs w:val="24"/>
        </w:rPr>
        <w:t>3.</w:t>
      </w:r>
      <w:r w:rsidRPr="000839A4">
        <w:rPr>
          <w:szCs w:val="24"/>
        </w:rPr>
        <w:tab/>
        <w:t>z příjmu společníka společnosti s ručením omezeným nebo akciové společnosti při snížení základního kapitálu nejvýše do částky, o kterou byl zvýšen vklad společníka nebo jmenovitá hodnota akcie při zvýšení základního kapitálu, byl-li zdrojem tohoto zvýšení zisk obchodní společnosti nebo fond vytvořený ze zisku; přitom pro tento příjem vždy platí, že se základní kapitál snižuje nejprve o tu část, která byla zvýšena ze zisku obchodní společnosti nebo fondu vytvořeného ze zisku.</w:t>
      </w:r>
    </w:p>
    <w:p w14:paraId="45FF04A5" w14:textId="77777777" w:rsidR="000839A4" w:rsidRPr="000839A4" w:rsidRDefault="000839A4" w:rsidP="000839A4">
      <w:pPr>
        <w:spacing w:before="120" w:after="120"/>
        <w:rPr>
          <w:szCs w:val="24"/>
        </w:rPr>
      </w:pPr>
      <w:r w:rsidRPr="000839A4">
        <w:rPr>
          <w:szCs w:val="24"/>
        </w:rPr>
        <w:t>Za podíly na zisku se pro účely tohoto zákona považují i částky použité ze zisku po zdanění na zvýšení vkladu komanditisty v komanditní společnosti nebo na zvýšení členského vkladu člena družstva. Za podíly na zisku se nepovažuje zvýšení základního kapitálu, byl-li zdrojem tohoto zvýšení zisk obchodní společnosti nebo fond vytvořený ze zisku,</w:t>
      </w:r>
    </w:p>
    <w:p w14:paraId="636203F5" w14:textId="77777777" w:rsidR="000839A4" w:rsidRPr="000839A4" w:rsidRDefault="000839A4" w:rsidP="000839A4">
      <w:pPr>
        <w:tabs>
          <w:tab w:val="left" w:pos="357"/>
        </w:tabs>
        <w:spacing w:before="0"/>
        <w:ind w:left="357" w:hanging="357"/>
        <w:rPr>
          <w:szCs w:val="24"/>
        </w:rPr>
      </w:pPr>
      <w:r w:rsidRPr="000839A4">
        <w:rPr>
          <w:szCs w:val="24"/>
        </w:rPr>
        <w:lastRenderedPageBreak/>
        <w:t>c)</w:t>
      </w:r>
      <w:r w:rsidRPr="000839A4">
        <w:rPr>
          <w:szCs w:val="24"/>
        </w:rPr>
        <w:tab/>
        <w:t>35 % z příjmů uvedených v písmenech a) a b), a to pro poplatníky, kteří nejsou daňovými rezidenty</w:t>
      </w:r>
    </w:p>
    <w:p w14:paraId="423EBBED" w14:textId="77777777" w:rsidR="000839A4" w:rsidRPr="000839A4" w:rsidRDefault="000839A4" w:rsidP="000839A4">
      <w:pPr>
        <w:tabs>
          <w:tab w:val="left" w:pos="357"/>
        </w:tabs>
        <w:spacing w:before="0"/>
        <w:ind w:left="714" w:hanging="357"/>
        <w:rPr>
          <w:szCs w:val="24"/>
        </w:rPr>
      </w:pPr>
      <w:r w:rsidRPr="000839A4">
        <w:rPr>
          <w:szCs w:val="24"/>
        </w:rPr>
        <w:t>1.</w:t>
      </w:r>
      <w:r w:rsidRPr="000839A4">
        <w:rPr>
          <w:szCs w:val="24"/>
        </w:rPr>
        <w:tab/>
        <w:t>jiného členského státu Evropské unie nebo dalšího státu tvořícího Evropský hospodářský prostor, nebo</w:t>
      </w:r>
    </w:p>
    <w:p w14:paraId="7BBC387A" w14:textId="77777777" w:rsidR="000839A4" w:rsidRPr="000839A4" w:rsidRDefault="000839A4" w:rsidP="000839A4">
      <w:pPr>
        <w:tabs>
          <w:tab w:val="left" w:pos="357"/>
        </w:tabs>
        <w:spacing w:before="0"/>
        <w:ind w:left="714" w:hanging="357"/>
        <w:rPr>
          <w:szCs w:val="24"/>
        </w:rPr>
      </w:pPr>
      <w:r w:rsidRPr="000839A4">
        <w:rPr>
          <w:szCs w:val="24"/>
        </w:rPr>
        <w:t>2.</w:t>
      </w:r>
      <w:r w:rsidRPr="000839A4">
        <w:rPr>
          <w:szCs w:val="24"/>
        </w:rPr>
        <w:tab/>
        <w:t>třetího státu, se kterým má Česká republika uzavřenu mezinárodní smlouvu upravující zamezení dvojímu zdanění všech druhů příjmů, která je prováděna, nebo mezinárodní smlouvu upravující výměnu informací v daňových záležitostech pro oblast daní z příjmů, která je prováděna, nebo který je smluvní stranou mnohostranné mezinárodní smlouvy obsahující ustanovení upravující výměnu informací v daňových záležitostech pro oblast daní z příjmů, která je v tomto státě a v České republice prováděna,</w:t>
      </w:r>
    </w:p>
    <w:p w14:paraId="7ECFA829" w14:textId="77777777" w:rsidR="000839A4" w:rsidRPr="000839A4" w:rsidRDefault="000839A4" w:rsidP="000839A4">
      <w:pPr>
        <w:tabs>
          <w:tab w:val="left" w:pos="357"/>
        </w:tabs>
        <w:spacing w:before="0"/>
        <w:ind w:left="357" w:hanging="357"/>
        <w:rPr>
          <w:szCs w:val="24"/>
        </w:rPr>
      </w:pPr>
      <w:r w:rsidRPr="000839A4">
        <w:rPr>
          <w:szCs w:val="24"/>
        </w:rPr>
        <w:t>d)</w:t>
      </w:r>
      <w:r w:rsidRPr="000839A4">
        <w:rPr>
          <w:szCs w:val="24"/>
        </w:rPr>
        <w:tab/>
        <w:t>5 % z úplaty u finančního leasingu.</w:t>
      </w:r>
    </w:p>
    <w:p w14:paraId="7F73393B" w14:textId="77777777" w:rsidR="000839A4" w:rsidRPr="000839A4" w:rsidRDefault="000839A4" w:rsidP="000839A4">
      <w:pPr>
        <w:spacing w:before="120" w:after="120"/>
        <w:rPr>
          <w:szCs w:val="24"/>
        </w:rPr>
      </w:pPr>
      <w:r w:rsidRPr="000839A4">
        <w:rPr>
          <w:szCs w:val="24"/>
        </w:rPr>
        <w:t>(2) Zvláštní sazba daně z příjmů pro poplatníky uvedené v § 2 a 17, pokud není v odstavci 1 nebo 5 stanoveno jinak, činí 15 %, a to</w:t>
      </w:r>
    </w:p>
    <w:p w14:paraId="026794E2"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 xml:space="preserve">z podílu na zisku z účasti na obchodní společnosti nebo v podílovém fondu, je-li podíl v nich představován cenným papírem, a z plnění ze zisku </w:t>
      </w:r>
      <w:proofErr w:type="spellStart"/>
      <w:r w:rsidRPr="000839A4">
        <w:rPr>
          <w:szCs w:val="24"/>
        </w:rPr>
        <w:t>svěřenského</w:t>
      </w:r>
      <w:proofErr w:type="spellEnd"/>
      <w:r w:rsidRPr="000839A4">
        <w:rPr>
          <w:szCs w:val="24"/>
        </w:rPr>
        <w:t xml:space="preserve"> fondu nebo rodinné fundace; u poplatníků podle § 2 z rozdílu mezi vyplacenou jmenovitou hodnotou a emisním kursem dluhopisu, vkladního listu nebo vkladu jemu na roveň postavenému nebo v případě jejich zpětného odkupu z rozdílu mezi cenou zpětného odkupu a jejich emisním kursem, z úrokového příjmu z dluhopisu</w:t>
      </w:r>
      <w:r w:rsidRPr="000839A4">
        <w:rPr>
          <w:szCs w:val="24"/>
          <w:vertAlign w:val="superscript"/>
        </w:rPr>
        <w:t>35a)</w:t>
      </w:r>
      <w:r w:rsidRPr="000839A4">
        <w:rPr>
          <w:szCs w:val="24"/>
        </w:rPr>
        <w:t>, ze směnky vystavené bankou k zajištění pohledávky vzniklé z vkladu věřitele, vkladního listu a vkladu mu na roveň postavenému, s výjimkou úrokového příjmu z dluhopisu vydaného v zahraničí poplatníkem se sídlem v České republice nebo Českou republikou plynoucího poplatníkovi uvedenému v § 2 odst. 2,</w:t>
      </w:r>
    </w:p>
    <w:p w14:paraId="5AC74CBC"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z podílu na zisku z účasti na společnosti s ručením omezeným, z účasti komanditisty na komanditní společnosti,</w:t>
      </w:r>
    </w:p>
    <w:p w14:paraId="2AD7AFB4" w14:textId="77777777" w:rsidR="000839A4" w:rsidRPr="000839A4" w:rsidRDefault="000839A4" w:rsidP="000839A4">
      <w:pPr>
        <w:tabs>
          <w:tab w:val="left" w:pos="357"/>
        </w:tabs>
        <w:spacing w:before="0"/>
        <w:ind w:left="357" w:hanging="357"/>
        <w:rPr>
          <w:szCs w:val="24"/>
        </w:rPr>
      </w:pPr>
      <w:r w:rsidRPr="000839A4">
        <w:rPr>
          <w:szCs w:val="24"/>
        </w:rPr>
        <w:t>c)</w:t>
      </w:r>
      <w:r w:rsidRPr="000839A4">
        <w:rPr>
          <w:szCs w:val="24"/>
        </w:rPr>
        <w:tab/>
        <w:t>z podílu na zisku a obdobného plnění z členství v družstvu,</w:t>
      </w:r>
    </w:p>
    <w:p w14:paraId="2F7C49FC" w14:textId="77777777" w:rsidR="000839A4" w:rsidRPr="000839A4" w:rsidRDefault="000839A4" w:rsidP="000839A4">
      <w:pPr>
        <w:tabs>
          <w:tab w:val="left" w:pos="357"/>
        </w:tabs>
        <w:spacing w:before="0"/>
        <w:ind w:left="357" w:hanging="357"/>
        <w:rPr>
          <w:szCs w:val="24"/>
        </w:rPr>
      </w:pPr>
      <w:r w:rsidRPr="000839A4">
        <w:rPr>
          <w:szCs w:val="24"/>
        </w:rPr>
        <w:t>d)</w:t>
      </w:r>
      <w:r w:rsidRPr="000839A4">
        <w:rPr>
          <w:szCs w:val="24"/>
        </w:rPr>
        <w:tab/>
        <w:t>z podílu na zisku tichého společníka nebo jiného poplatníka, než je člen obchodní korporace,</w:t>
      </w:r>
    </w:p>
    <w:p w14:paraId="4E2F07DC" w14:textId="77777777" w:rsidR="000839A4" w:rsidRPr="000839A4" w:rsidRDefault="000839A4" w:rsidP="000839A4">
      <w:pPr>
        <w:tabs>
          <w:tab w:val="left" w:pos="357"/>
        </w:tabs>
        <w:spacing w:before="0"/>
        <w:ind w:left="357" w:hanging="357"/>
        <w:rPr>
          <w:szCs w:val="24"/>
        </w:rPr>
      </w:pPr>
      <w:r w:rsidRPr="000839A4">
        <w:rPr>
          <w:szCs w:val="24"/>
        </w:rPr>
        <w:t>e)</w:t>
      </w:r>
      <w:r w:rsidRPr="000839A4">
        <w:rPr>
          <w:szCs w:val="24"/>
        </w:rPr>
        <w:tab/>
        <w:t>z vypořádacího podílu při zániku účasti společníka ve společnosti s ručením omezeným, komanditisty v komanditní společnosti a při zániku členství v družstvu, z vrácení emisního ážia, příplatku mimo základní kapitál</w:t>
      </w:r>
      <w:r w:rsidRPr="000839A4">
        <w:rPr>
          <w:b/>
          <w:szCs w:val="24"/>
        </w:rPr>
        <w:t>, z příjmu společníka společnosti s ručením omezeným nebo akciové společnosti při snížení základního kapitálu o částku, o kterou nebyl zvýšen vklad společníka ani jmenovitá hodnota akcie při zvýšení základního kapitálu z vlastních zdrojů,</w:t>
      </w:r>
      <w:r w:rsidRPr="000839A4">
        <w:rPr>
          <w:szCs w:val="24"/>
        </w:rPr>
        <w:t xml:space="preserve"> nebo</w:t>
      </w:r>
      <w:r w:rsidRPr="000839A4">
        <w:rPr>
          <w:strike/>
          <w:szCs w:val="24"/>
        </w:rPr>
        <w:t xml:space="preserve"> těmto plněním obdobná plnění </w:t>
      </w:r>
      <w:r w:rsidRPr="000839A4">
        <w:rPr>
          <w:b/>
          <w:szCs w:val="24"/>
        </w:rPr>
        <w:t>z plnění obdobného těmto plněním, které plyne od poplatníka, na kterém má poplatník kapitálový podíl</w:t>
      </w:r>
      <w:r w:rsidRPr="000839A4">
        <w:rPr>
          <w:szCs w:val="24"/>
        </w:rPr>
        <w:t xml:space="preserve">; tento příjem se snižuje o </w:t>
      </w:r>
      <w:r w:rsidRPr="000839A4">
        <w:rPr>
          <w:strike/>
          <w:szCs w:val="24"/>
        </w:rPr>
        <w:t xml:space="preserve">nabývací cenu podílu na obchodní korporaci </w:t>
      </w:r>
      <w:r w:rsidRPr="000839A4">
        <w:rPr>
          <w:b/>
          <w:szCs w:val="24"/>
        </w:rPr>
        <w:t>daňovou hodnotu kapitálového podílu</w:t>
      </w:r>
      <w:r w:rsidRPr="000839A4">
        <w:rPr>
          <w:szCs w:val="24"/>
        </w:rPr>
        <w:t>, je-li plátci poplatníkem prokázána,</w:t>
      </w:r>
    </w:p>
    <w:p w14:paraId="7D4D6F6A" w14:textId="77777777" w:rsidR="000839A4" w:rsidRPr="000839A4" w:rsidRDefault="000839A4" w:rsidP="000839A4">
      <w:pPr>
        <w:tabs>
          <w:tab w:val="left" w:pos="357"/>
        </w:tabs>
        <w:spacing w:before="0"/>
        <w:ind w:left="357" w:hanging="357"/>
        <w:rPr>
          <w:szCs w:val="24"/>
        </w:rPr>
      </w:pPr>
      <w:r w:rsidRPr="000839A4">
        <w:rPr>
          <w:szCs w:val="24"/>
        </w:rPr>
        <w:t>f)</w:t>
      </w:r>
      <w:r w:rsidRPr="000839A4">
        <w:rPr>
          <w:szCs w:val="24"/>
        </w:rPr>
        <w:tab/>
        <w:t>z podílu na likvidačním zůstatku společníka v akciové společnosti nebo ve společnosti s ručením omezeným, komanditisty v komanditní společnosti a člena družstva ve družstvu</w:t>
      </w:r>
      <w:r w:rsidRPr="000839A4">
        <w:rPr>
          <w:strike/>
          <w:szCs w:val="24"/>
        </w:rPr>
        <w:t xml:space="preserve">, sníženého o nabývací cenu podílu na obchodní korporaci </w:t>
      </w:r>
      <w:r w:rsidRPr="000839A4">
        <w:rPr>
          <w:b/>
          <w:szCs w:val="24"/>
        </w:rPr>
        <w:t>nebo</w:t>
      </w:r>
      <w:r w:rsidRPr="000839A4">
        <w:rPr>
          <w:szCs w:val="24"/>
        </w:rPr>
        <w:t xml:space="preserve"> </w:t>
      </w:r>
      <w:r w:rsidRPr="000839A4">
        <w:rPr>
          <w:b/>
          <w:szCs w:val="24"/>
        </w:rPr>
        <w:t>z plnění obdobného tomuto plněním, které plyne od poplatníka, na kterém má poplatník kapitálový podíl</w:t>
      </w:r>
      <w:r w:rsidRPr="000839A4">
        <w:rPr>
          <w:szCs w:val="24"/>
        </w:rPr>
        <w:t xml:space="preserve">; tento příjem se snižuje o </w:t>
      </w:r>
      <w:r w:rsidRPr="000839A4">
        <w:rPr>
          <w:b/>
          <w:szCs w:val="24"/>
        </w:rPr>
        <w:t>daňovou hodnotu kapitálového podílu</w:t>
      </w:r>
      <w:r w:rsidRPr="000839A4">
        <w:rPr>
          <w:szCs w:val="24"/>
        </w:rPr>
        <w:t>, je-li plátci poplatníkem prokázána,</w:t>
      </w:r>
    </w:p>
    <w:p w14:paraId="1EB83650" w14:textId="77777777" w:rsidR="000839A4" w:rsidRPr="000839A4" w:rsidRDefault="000839A4" w:rsidP="000839A4">
      <w:pPr>
        <w:tabs>
          <w:tab w:val="left" w:pos="357"/>
        </w:tabs>
        <w:spacing w:before="0"/>
        <w:ind w:left="357" w:hanging="357"/>
        <w:rPr>
          <w:szCs w:val="24"/>
        </w:rPr>
      </w:pPr>
      <w:r w:rsidRPr="000839A4">
        <w:rPr>
          <w:szCs w:val="24"/>
        </w:rPr>
        <w:t>g)</w:t>
      </w:r>
      <w:r w:rsidRPr="000839A4">
        <w:rPr>
          <w:szCs w:val="24"/>
        </w:rPr>
        <w:tab/>
      </w:r>
      <w:r w:rsidRPr="000839A4">
        <w:rPr>
          <w:strike/>
          <w:szCs w:val="24"/>
        </w:rPr>
        <w:t>u poplatníků daně z příjmů fyzických osob</w:t>
      </w:r>
      <w:r w:rsidRPr="000839A4">
        <w:rPr>
          <w:szCs w:val="24"/>
        </w:rPr>
        <w:t xml:space="preserve"> z podílu připadajícího na podílový list při zrušení podílového fondu, sníženého o</w:t>
      </w:r>
      <w:r w:rsidRPr="000839A4">
        <w:rPr>
          <w:strike/>
          <w:szCs w:val="24"/>
        </w:rPr>
        <w:t xml:space="preserve"> pořizovací cenu</w:t>
      </w:r>
      <w:r w:rsidRPr="000839A4">
        <w:rPr>
          <w:strike/>
          <w:szCs w:val="24"/>
          <w:vertAlign w:val="superscript"/>
        </w:rPr>
        <w:t>20)</w:t>
      </w:r>
      <w:r w:rsidRPr="000839A4">
        <w:rPr>
          <w:szCs w:val="24"/>
        </w:rPr>
        <w:t xml:space="preserve"> </w:t>
      </w:r>
      <w:r w:rsidRPr="000839A4">
        <w:rPr>
          <w:strike/>
          <w:szCs w:val="24"/>
        </w:rPr>
        <w:t>podílového listu</w:t>
      </w:r>
      <w:r w:rsidRPr="000839A4">
        <w:rPr>
          <w:szCs w:val="24"/>
        </w:rPr>
        <w:t xml:space="preserve"> </w:t>
      </w:r>
      <w:r w:rsidRPr="000839A4">
        <w:rPr>
          <w:b/>
          <w:szCs w:val="24"/>
        </w:rPr>
        <w:t>daňovou hodnotu kapitálového podílu</w:t>
      </w:r>
      <w:r w:rsidRPr="000839A4">
        <w:rPr>
          <w:szCs w:val="24"/>
        </w:rPr>
        <w:t>, je-li plátci poplatníkem prokázána,</w:t>
      </w:r>
    </w:p>
    <w:p w14:paraId="1C0857D5" w14:textId="77777777" w:rsidR="000839A4" w:rsidRPr="000839A4" w:rsidRDefault="000839A4" w:rsidP="000839A4">
      <w:pPr>
        <w:tabs>
          <w:tab w:val="left" w:pos="357"/>
        </w:tabs>
        <w:spacing w:before="0"/>
        <w:ind w:left="357" w:hanging="357"/>
        <w:rPr>
          <w:szCs w:val="24"/>
        </w:rPr>
      </w:pPr>
      <w:r w:rsidRPr="000839A4">
        <w:rPr>
          <w:szCs w:val="24"/>
        </w:rPr>
        <w:t>h)</w:t>
      </w:r>
      <w:r w:rsidRPr="000839A4">
        <w:rPr>
          <w:szCs w:val="24"/>
        </w:rPr>
        <w:tab/>
        <w:t>z příjmu společníka společnosti s ručením omezeným nebo akciové společnosti při snížení základního kapitálu nejvýše do částky, o kterou byl zvýšen vklad společníka nebo jmenovitá hodnota akcie při zvýšení základního kapitálu</w:t>
      </w:r>
      <w:r w:rsidRPr="000839A4">
        <w:rPr>
          <w:strike/>
          <w:szCs w:val="24"/>
        </w:rPr>
        <w:t xml:space="preserve">, byl-li zdrojem tohoto zvýšení zisk obchodní </w:t>
      </w:r>
      <w:r w:rsidRPr="000839A4">
        <w:rPr>
          <w:strike/>
          <w:szCs w:val="24"/>
        </w:rPr>
        <w:lastRenderedPageBreak/>
        <w:t>společnosti nebo fond vytvořený ze zisku</w:t>
      </w:r>
      <w:r w:rsidRPr="000839A4">
        <w:rPr>
          <w:szCs w:val="24"/>
        </w:rPr>
        <w:t xml:space="preserve"> </w:t>
      </w:r>
      <w:r w:rsidRPr="000839A4">
        <w:rPr>
          <w:b/>
          <w:szCs w:val="24"/>
        </w:rPr>
        <w:t>z vlastních zdrojů</w:t>
      </w:r>
      <w:r w:rsidRPr="000839A4">
        <w:rPr>
          <w:szCs w:val="24"/>
        </w:rPr>
        <w:t xml:space="preserve">; přitom pro tento příjem vždy platí, že se základní kapitál snižuje nejprve o tu část, která byla zvýšena </w:t>
      </w:r>
      <w:r w:rsidRPr="000839A4">
        <w:rPr>
          <w:strike/>
          <w:szCs w:val="24"/>
        </w:rPr>
        <w:t>ze zisku obchodní společnosti nebo z fondu vytvořeného ze zisku</w:t>
      </w:r>
      <w:r w:rsidRPr="000839A4">
        <w:rPr>
          <w:szCs w:val="24"/>
        </w:rPr>
        <w:t xml:space="preserve"> </w:t>
      </w:r>
      <w:r w:rsidRPr="000839A4">
        <w:rPr>
          <w:b/>
          <w:szCs w:val="24"/>
        </w:rPr>
        <w:t>z vlastních zdrojů</w:t>
      </w:r>
      <w:r w:rsidRPr="000839A4">
        <w:rPr>
          <w:szCs w:val="24"/>
        </w:rPr>
        <w:t>; obdobně se postupuje u příjmu člena obchodní korporace z rozpuštění rezervního fondu nebo obdobného fondu,</w:t>
      </w:r>
    </w:p>
    <w:p w14:paraId="071E45C6" w14:textId="77777777" w:rsidR="000839A4" w:rsidRPr="000839A4" w:rsidRDefault="000839A4" w:rsidP="000839A4">
      <w:pPr>
        <w:tabs>
          <w:tab w:val="left" w:pos="357"/>
        </w:tabs>
        <w:spacing w:before="0"/>
        <w:ind w:left="357" w:hanging="357"/>
        <w:rPr>
          <w:szCs w:val="24"/>
        </w:rPr>
      </w:pPr>
      <w:r w:rsidRPr="000839A4">
        <w:rPr>
          <w:szCs w:val="24"/>
        </w:rPr>
        <w:t>i)</w:t>
      </w:r>
      <w:r w:rsidRPr="000839A4">
        <w:rPr>
          <w:szCs w:val="24"/>
        </w:rPr>
        <w:tab/>
        <w:t xml:space="preserve">z příjmů plynoucích fyzickým osobám z reklamních soutěží a reklamních slosování, z cen z veřejných soutěží, ze sportovních soutěží a ze soutěží, v nichž je okruh soutěžících omezen podmínkami </w:t>
      </w:r>
      <w:proofErr w:type="gramStart"/>
      <w:r w:rsidRPr="000839A4">
        <w:rPr>
          <w:szCs w:val="24"/>
        </w:rPr>
        <w:t>soutěže a nebo jde</w:t>
      </w:r>
      <w:proofErr w:type="gramEnd"/>
      <w:r w:rsidRPr="000839A4">
        <w:rPr>
          <w:szCs w:val="24"/>
        </w:rPr>
        <w:t xml:space="preserve"> o soutěžící vybrané pořadatelem soutěže [§ 10 odst. 1 písm. ch)], a z příjmu v podobě výhry z loterie a tomboly,</w:t>
      </w:r>
    </w:p>
    <w:p w14:paraId="2F6763AB" w14:textId="77777777" w:rsidR="000839A4" w:rsidRPr="000839A4" w:rsidRDefault="000839A4" w:rsidP="000839A4">
      <w:pPr>
        <w:tabs>
          <w:tab w:val="left" w:pos="357"/>
        </w:tabs>
        <w:spacing w:before="0"/>
        <w:ind w:left="357" w:hanging="357"/>
        <w:rPr>
          <w:szCs w:val="24"/>
        </w:rPr>
      </w:pPr>
      <w:r w:rsidRPr="000839A4">
        <w:rPr>
          <w:szCs w:val="24"/>
        </w:rPr>
        <w:t>j)</w:t>
      </w:r>
      <w:r w:rsidRPr="000839A4">
        <w:rPr>
          <w:szCs w:val="24"/>
        </w:rPr>
        <w:tab/>
        <w:t>z příjmů plynoucích fyzickým osobám z úroků, výher a jiných výnosů z vkladů na vkladních knížkách, z úroků z peněžních prostředků na vkladních listech na jméno a vkladech na jméno jim na roveň postaveným, kdy majitelem vkladu je fyzická osoba, a to po celou dobu trvání vkladového vztahu podle občanského zákoníku, z úroků z vkladů na účtech, které nejsou podle podmínek toho, kdo účet vede, určeny k podnikání, např. sporožirové účty, devizové účty [§ 8 odst. 1 písm. c)],</w:t>
      </w:r>
    </w:p>
    <w:p w14:paraId="2C676D71" w14:textId="77777777" w:rsidR="000839A4" w:rsidRPr="000839A4" w:rsidRDefault="000839A4" w:rsidP="000839A4">
      <w:pPr>
        <w:tabs>
          <w:tab w:val="left" w:pos="357"/>
        </w:tabs>
        <w:spacing w:before="0"/>
        <w:ind w:left="357" w:hanging="357"/>
        <w:rPr>
          <w:szCs w:val="24"/>
        </w:rPr>
      </w:pPr>
      <w:r w:rsidRPr="000839A4">
        <w:rPr>
          <w:szCs w:val="24"/>
        </w:rPr>
        <w:t>k)</w:t>
      </w:r>
      <w:r w:rsidRPr="000839A4">
        <w:rPr>
          <w:szCs w:val="24"/>
        </w:rPr>
        <w:tab/>
        <w:t>z plnění z penzijního připojištění se státním příspěvkem podle zákona upravujícího penzijní připojištění se státním příspěvkem, doplňkového penzijního spoření podle zákona upravujícího doplňkové penzijní spoření, penzijního pojištění, pojištění pro případ dožití, pojištění pro případ dožití se stanoveného věku nebo dřívější smrti a pojištění důchodu a z plnění z jiného pojištění osob, které není pojistným plněním,</w:t>
      </w:r>
    </w:p>
    <w:p w14:paraId="16DE451F" w14:textId="77777777" w:rsidR="000839A4" w:rsidRPr="000839A4" w:rsidRDefault="000839A4" w:rsidP="000839A4">
      <w:pPr>
        <w:tabs>
          <w:tab w:val="left" w:pos="357"/>
        </w:tabs>
        <w:spacing w:before="0"/>
        <w:ind w:left="357" w:hanging="357"/>
        <w:rPr>
          <w:szCs w:val="24"/>
        </w:rPr>
      </w:pPr>
      <w:r w:rsidRPr="000839A4">
        <w:rPr>
          <w:szCs w:val="24"/>
        </w:rPr>
        <w:t>l)</w:t>
      </w:r>
      <w:r w:rsidRPr="000839A4">
        <w:rPr>
          <w:szCs w:val="24"/>
        </w:rPr>
        <w:tab/>
        <w:t>z vypláceného dalšího podílu v rámci transformace družstev podle zvláštního právního předpisu</w:t>
      </w:r>
      <w:r w:rsidRPr="000839A4">
        <w:rPr>
          <w:szCs w:val="24"/>
          <w:vertAlign w:val="superscript"/>
        </w:rPr>
        <w:t>13)</w:t>
      </w:r>
      <w:r w:rsidRPr="000839A4">
        <w:rPr>
          <w:szCs w:val="24"/>
          <w:vertAlign w:val="superscript"/>
        </w:rPr>
        <w:fldChar w:fldCharType="begin"/>
      </w:r>
      <w:r w:rsidRPr="000839A4">
        <w:rPr>
          <w:szCs w:val="24"/>
          <w:vertAlign w:val="superscript"/>
        </w:rPr>
        <w:instrText xml:space="preserve"> NOTEREF _Ref535916575 </w:instrText>
      </w:r>
      <w:r w:rsidRPr="000839A4">
        <w:rPr>
          <w:szCs w:val="24"/>
          <w:vertAlign w:val="superscript"/>
        </w:rPr>
        <w:fldChar w:fldCharType="end"/>
      </w:r>
      <w:r w:rsidRPr="000839A4">
        <w:rPr>
          <w:szCs w:val="24"/>
        </w:rPr>
        <w:t>, a to i v případě, kdy je vyplácen členovi transformovaného družstva při zániku členství nebo společníkovi společnosti s ručením omezeným a komanditistovi v komanditní společnosti, které vznikly podle transformačního projektu, při zániku jejich účasti jako součást vypořádacího podílu nebo jako součást likvidačního zůstatku při likvidaci družstva, akciové společnosti, společnosti s ručením omezeným a u komanditní společnosti v případě komanditistů,</w:t>
      </w:r>
    </w:p>
    <w:p w14:paraId="680E6B29" w14:textId="77777777" w:rsidR="000839A4" w:rsidRPr="000839A4" w:rsidRDefault="000839A4" w:rsidP="000839A4">
      <w:pPr>
        <w:tabs>
          <w:tab w:val="left" w:pos="357"/>
        </w:tabs>
        <w:spacing w:before="0"/>
        <w:ind w:left="357" w:hanging="357"/>
        <w:rPr>
          <w:szCs w:val="24"/>
        </w:rPr>
      </w:pPr>
      <w:r w:rsidRPr="000839A4">
        <w:rPr>
          <w:szCs w:val="24"/>
        </w:rPr>
        <w:t>m)</w:t>
      </w:r>
      <w:r w:rsidRPr="000839A4">
        <w:rPr>
          <w:szCs w:val="24"/>
        </w:rPr>
        <w:tab/>
        <w:t>z příjmů uvedených v § 6 odst. 4,</w:t>
      </w:r>
    </w:p>
    <w:p w14:paraId="0C31E6E1" w14:textId="77777777" w:rsidR="000839A4" w:rsidRPr="000839A4" w:rsidRDefault="000839A4" w:rsidP="000839A4">
      <w:pPr>
        <w:tabs>
          <w:tab w:val="left" w:pos="357"/>
        </w:tabs>
        <w:spacing w:before="0"/>
        <w:ind w:left="357" w:hanging="357"/>
        <w:rPr>
          <w:szCs w:val="24"/>
        </w:rPr>
      </w:pPr>
      <w:r w:rsidRPr="000839A4">
        <w:rPr>
          <w:szCs w:val="24"/>
        </w:rPr>
        <w:t>n)</w:t>
      </w:r>
      <w:r w:rsidRPr="000839A4">
        <w:rPr>
          <w:szCs w:val="24"/>
        </w:rPr>
        <w:tab/>
        <w:t>z příjmu z jednorázové náhrady práv s povahou opakovaného plnění na základě ujednání mezi poškozeným a pojistitelem,</w:t>
      </w:r>
    </w:p>
    <w:p w14:paraId="7172F730" w14:textId="77777777" w:rsidR="000839A4" w:rsidRPr="000839A4" w:rsidRDefault="000839A4" w:rsidP="000839A4">
      <w:pPr>
        <w:tabs>
          <w:tab w:val="left" w:pos="357"/>
        </w:tabs>
        <w:spacing w:before="0"/>
        <w:ind w:left="357" w:hanging="357"/>
        <w:rPr>
          <w:szCs w:val="24"/>
        </w:rPr>
      </w:pPr>
      <w:r w:rsidRPr="000839A4">
        <w:rPr>
          <w:szCs w:val="24"/>
        </w:rPr>
        <w:t xml:space="preserve">o) </w:t>
      </w:r>
      <w:r w:rsidRPr="000839A4">
        <w:rPr>
          <w:szCs w:val="24"/>
        </w:rPr>
        <w:tab/>
        <w:t>z příjmů autorů podle § 7 odst. 6,</w:t>
      </w:r>
    </w:p>
    <w:p w14:paraId="6281E824" w14:textId="77777777" w:rsidR="000839A4" w:rsidRPr="000839A4" w:rsidRDefault="000839A4" w:rsidP="000839A4">
      <w:pPr>
        <w:tabs>
          <w:tab w:val="left" w:pos="357"/>
        </w:tabs>
        <w:spacing w:before="0"/>
        <w:ind w:left="357" w:hanging="357"/>
        <w:rPr>
          <w:szCs w:val="24"/>
        </w:rPr>
      </w:pPr>
      <w:r w:rsidRPr="000839A4">
        <w:rPr>
          <w:szCs w:val="24"/>
        </w:rPr>
        <w:t xml:space="preserve">p) </w:t>
      </w:r>
      <w:r w:rsidRPr="000839A4">
        <w:rPr>
          <w:szCs w:val="24"/>
        </w:rPr>
        <w:tab/>
        <w:t>z příjmu komplementáře komanditní společnosti a společníka veřejné obchodní společnosti plynoucí jako zisk po zdanění u akciové společnosti nebo společnosti s ručením omezeným po přeměně akciové společnosti nebo společnosti s ručením omezeným na komanditní společnost nebo veřejnou obchodní společnost.</w:t>
      </w:r>
    </w:p>
    <w:p w14:paraId="2CB3A916" w14:textId="77777777" w:rsidR="000839A4" w:rsidRPr="000839A4" w:rsidRDefault="000839A4" w:rsidP="000839A4">
      <w:pPr>
        <w:spacing w:before="120" w:after="120"/>
        <w:rPr>
          <w:szCs w:val="24"/>
        </w:rPr>
      </w:pPr>
      <w:r w:rsidRPr="000839A4">
        <w:rPr>
          <w:szCs w:val="24"/>
        </w:rPr>
        <w:t>Za podíly na zisku se pro účely tohoto zákona považují i částky použité ze zisku po zdanění na zvýšení vkladu komanditisty v komanditní společnosti nebo na zvýšení členského vkladu člena družstva. Za podíly na zisku se nepovažuje zvýšení základního kapitálu, byl-li zdrojem tohoto zvýšení zisk obchodní společnosti nebo fond vytvořený ze zisku.</w:t>
      </w:r>
    </w:p>
    <w:p w14:paraId="036A7C13" w14:textId="77777777" w:rsidR="000839A4" w:rsidRPr="000839A4" w:rsidRDefault="000839A4" w:rsidP="000839A4">
      <w:pPr>
        <w:spacing w:before="120" w:after="120"/>
        <w:rPr>
          <w:szCs w:val="24"/>
        </w:rPr>
      </w:pPr>
      <w:r w:rsidRPr="000839A4">
        <w:rPr>
          <w:szCs w:val="24"/>
        </w:rPr>
        <w:t xml:space="preserve">(3) Základem daně pro zvláštní sazbu daně je pouze příjem, pokud v tomto zákoně není stanoveno jinak. Základ daně se stanoví samostatně za jednotlivé cenné papíry, a to i v případě držby cenných papírů stejného druhu od jednoho emitenta. Základ daně se nesnižuje o nezdanitelnou část základu daně (§ 15) a zaokrouhluje se na celé koruny dolů, s výjimkou příjmu plynoucího z podílu na zisku z účasti v obchodní společnosti nebo v podílovém fondu, je-li podíl v nich představován cenným papírem, u něhož se základ daně zaokrouhluje na celé haléře dolů. Pokud plynou v cizí měně úroky z účtu, který není podle podmínek toho, kdo účet vede, určen k podnikání, a z vkladního listu, stanoví se základ daně v cizí měně, a to bez zaokrouhlení. Daň z příjmů vybíraná zvláštní sazbou se zaokrouhluje na celé koruny dolů. U příjmu plynoucího z podílu na zisku z účasti v obchodní společnosti nebo v podílovém fondu, </w:t>
      </w:r>
      <w:r w:rsidRPr="000839A4">
        <w:rPr>
          <w:szCs w:val="24"/>
        </w:rPr>
        <w:lastRenderedPageBreak/>
        <w:t>je-li podíl v nich představován cenným papírem, se sražená daň (§ 38d), připadající na jednotlivý cenný papír nezaokrouhluje, avšak celková částka daně sražená plátcem z veškerých příjmů plynoucích jednomu poplatníkovi z majetkové účasti v jedné obchodní společnosti nebo z držby podílových listů jednoho podílového fondu se zaokrouhluje na celé koruny dolů. U příjmů uvedených v odstavci 2 písm. a) nebo j) s výjimkou příjmu plynoucího z podílu na zisku z účasti v obchodní společnosti nebo v podílovém fondu, je-li podíl v nich představován cenným papírem, se základ daně a sražená daň nezaokrouhluje a celková částka daně sražená plátcem z jednotlivého druhu příjmu poplatníka fyzické osoby nebo poplatníka daně z příjmů právnických osob se zaokrouhluje na celé koruny dolů. U příjmů uvedených v § 22 odst. 1 písm. g) bodu 4 se do základu daně pro daň vybíranou srážkou podle zvláštní sazby daně nezahrnuje hodnota podkladového nástroje nebo aktiva.</w:t>
      </w:r>
    </w:p>
    <w:p w14:paraId="27269888" w14:textId="77777777" w:rsidR="000839A4" w:rsidRPr="000839A4" w:rsidRDefault="000839A4" w:rsidP="000839A4">
      <w:pPr>
        <w:spacing w:before="120" w:after="120"/>
        <w:rPr>
          <w:szCs w:val="24"/>
        </w:rPr>
      </w:pPr>
      <w:r w:rsidRPr="000839A4">
        <w:rPr>
          <w:szCs w:val="24"/>
        </w:rPr>
        <w:t>(4) U příjmů plynoucích z podílu na zisku z účasti v základním investičním fondu je základem daně pro daň vybíranou srážkou podle zvláštní sazby daně příjem snížený o poměrnou část příjmů podléhajících dani vybírané srážkou podle zvláštní sazby daně nebo sazbě daně podle § 21 odst. 4 připadající na tento základ daně, které byly zúčtovány ve prospěch výnosů investičního fondu ve zdaňovacím období, s nímž tyto příjmy souvisí. Pokud byly výše uvedené příjmy zúčtovány ve prospěch výnosů včetně daně, základ daně pro daň vybíranou srážkou podle zvláštní sazby daně se snižuje pouze o částku sníženou o daň. Poměrná část připadající na tento základ daně se stanoví ve stejném poměru, v jakém je rozdělován zisk určený k výplatě příjmů mezi akcionáře nebo majitele podílových listů. Obdobně se postupuje i u příjmu z podílu na likvidačním zůstatku investičního fondu nebo z vypořádacího podílu při zániku účasti společníka ve společnosti s ručením omezeným nebo komanditisty v komanditní společnosti, které jsou investičním fondem.</w:t>
      </w:r>
    </w:p>
    <w:p w14:paraId="0EB652A8" w14:textId="77777777" w:rsidR="000839A4" w:rsidRPr="000839A4" w:rsidRDefault="000839A4" w:rsidP="000839A4">
      <w:pPr>
        <w:spacing w:before="120" w:after="120"/>
        <w:rPr>
          <w:szCs w:val="24"/>
        </w:rPr>
      </w:pPr>
      <w:r w:rsidRPr="000839A4">
        <w:rPr>
          <w:szCs w:val="24"/>
        </w:rPr>
        <w:t xml:space="preserve"> (5) Zvláštní sazba daně z příjmů činí 21 % z úrokového příjmu z účtu a vkladu u bank a spořitelních a úvěrních družstev u</w:t>
      </w:r>
    </w:p>
    <w:p w14:paraId="038DA1D2"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veřejně prospěšného poplatníka, který není obcí, krajem, nebo poplatníkem uvedeným v § 18a odst. 5,</w:t>
      </w:r>
    </w:p>
    <w:p w14:paraId="6B859DE6"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společenství vlastníků jednotek.</w:t>
      </w:r>
    </w:p>
    <w:p w14:paraId="00076BA2" w14:textId="77777777" w:rsidR="000839A4" w:rsidRPr="000839A4" w:rsidRDefault="000839A4" w:rsidP="000839A4">
      <w:pPr>
        <w:spacing w:before="120" w:after="120"/>
        <w:rPr>
          <w:szCs w:val="24"/>
        </w:rPr>
      </w:pPr>
      <w:r w:rsidRPr="000839A4">
        <w:rPr>
          <w:szCs w:val="24"/>
        </w:rPr>
        <w:t>(6) Zahrne-li poplatník, který je daňovým rezidentem České republiky, veškeré příjmy uvedené v § 6 odst. 4 nebo veškeré příjmy uvedené v § 10 odst. 1 písm. h) bodě 1, které byly samostatným základem daně pro zdanění zvláštní sazbou daně podle § 36, nesnížené o výdaje do daňového přiznání za zdaňovací období, ve kterém byly příjmy vyplaceny, započte se daň sražená z těchto příjmů na jeho daň.</w:t>
      </w:r>
    </w:p>
    <w:p w14:paraId="37B8C8B2" w14:textId="77777777" w:rsidR="000839A4" w:rsidRPr="000839A4" w:rsidRDefault="000839A4" w:rsidP="000839A4">
      <w:pPr>
        <w:spacing w:before="120" w:after="120"/>
        <w:rPr>
          <w:szCs w:val="24"/>
        </w:rPr>
      </w:pPr>
      <w:r w:rsidRPr="000839A4">
        <w:rPr>
          <w:szCs w:val="24"/>
        </w:rPr>
        <w:t>(7) Zahrne-li do daňového přiznání poplatník, který není daňovým rezidentem České republiky a který je daňovým rezidentem členského státu Evropské unie nebo státu tvořícího Evropský hospodářský prostor, veškeré příjmy uvedené v § 22 odst. 1 písm. b), c), d), f), g) bodech 1, 2, 4, 5, 6, 12 až 14, h) a i), započte se sražená daň na jeho celkovou daňovou povinnost vztahující se k příjmům ze zdrojů na území České republiky, za které v České republice podává daňové přiznání. Pokud nelze sraženou daň nebo její část započítat na tuto jejich celkovou daňovou povinnost proto, že poplatníkovi vznikla daňová povinnost ve výši nula nebo vykázal daňovou ztrátu anebo jeho celková daňová povinnost je nižší než daň sražená, vznikne ve výši daňové povinnosti, kterou nelze započítat, přeplatek. Nezahrne-li poplatník příjmy uvedené v § 22 odst. 1 písm. b), c), d), f), g) bodech 1, 2, 4, 5, 6, 12 až 14, h) a i) do daňového přiznání do konce lhůty stanovené zvláštním právním předpisem, použije se obdobně § 38e odst. 7.</w:t>
      </w:r>
    </w:p>
    <w:p w14:paraId="46F819E6" w14:textId="77777777" w:rsidR="000839A4" w:rsidRPr="000839A4" w:rsidRDefault="000839A4" w:rsidP="000839A4">
      <w:pPr>
        <w:keepNext/>
        <w:ind w:firstLine="0"/>
        <w:jc w:val="center"/>
        <w:rPr>
          <w:szCs w:val="24"/>
        </w:rPr>
      </w:pPr>
      <w:r w:rsidRPr="000839A4">
        <w:rPr>
          <w:szCs w:val="24"/>
        </w:rPr>
        <w:lastRenderedPageBreak/>
        <w:t>§ 37</w:t>
      </w:r>
    </w:p>
    <w:p w14:paraId="37066DBD" w14:textId="77777777" w:rsidR="000839A4" w:rsidRPr="000839A4" w:rsidRDefault="000839A4" w:rsidP="000839A4">
      <w:pPr>
        <w:spacing w:before="120" w:after="120"/>
        <w:rPr>
          <w:szCs w:val="24"/>
        </w:rPr>
      </w:pPr>
      <w:r w:rsidRPr="000839A4">
        <w:rPr>
          <w:szCs w:val="24"/>
        </w:rPr>
        <w:t>Ustanovení tohoto zákona se použije, jen pokud mezinárodní smlouva, kterou je Česká republika vázána, nestanoví jinak. Výraz „stálá základna“ používaný v mezinárodních smlouvách je obsahově totožný s výrazem „stálá provozovna“.</w:t>
      </w:r>
    </w:p>
    <w:p w14:paraId="0CACB5B1" w14:textId="77777777" w:rsidR="000839A4" w:rsidRPr="000839A4" w:rsidRDefault="000839A4" w:rsidP="00D90D00">
      <w:pPr>
        <w:keepNext/>
        <w:keepLines/>
        <w:numPr>
          <w:ilvl w:val="0"/>
          <w:numId w:val="59"/>
        </w:numPr>
        <w:jc w:val="center"/>
        <w:outlineLvl w:val="5"/>
      </w:pPr>
      <w:r w:rsidRPr="000839A4">
        <w:t>§ 37</w:t>
      </w:r>
    </w:p>
    <w:p w14:paraId="58C30C75" w14:textId="77777777" w:rsidR="000839A4" w:rsidRPr="000839A4" w:rsidRDefault="000839A4" w:rsidP="00D90D00">
      <w:pPr>
        <w:keepNext/>
        <w:keepLines/>
        <w:numPr>
          <w:ilvl w:val="0"/>
          <w:numId w:val="59"/>
        </w:numPr>
        <w:jc w:val="center"/>
        <w:outlineLvl w:val="5"/>
      </w:pPr>
      <w:r w:rsidRPr="000839A4">
        <w:rPr>
          <w:b/>
        </w:rPr>
        <w:t>Mezinárodní smlouva</w:t>
      </w:r>
    </w:p>
    <w:p w14:paraId="4DC1D772" w14:textId="77777777" w:rsidR="000839A4" w:rsidRPr="000839A4" w:rsidRDefault="000839A4" w:rsidP="000839A4">
      <w:pPr>
        <w:spacing w:before="120" w:after="120"/>
        <w:rPr>
          <w:szCs w:val="24"/>
        </w:rPr>
      </w:pPr>
      <w:r w:rsidRPr="000839A4">
        <w:rPr>
          <w:szCs w:val="24"/>
        </w:rPr>
        <w:t>(1) Mezinárodní smlouvou se pro účely daní z příjmů rozumí mezinárodní smlouva, která je součástí právního řádu České republiky.</w:t>
      </w:r>
    </w:p>
    <w:p w14:paraId="2072FC52" w14:textId="77777777" w:rsidR="000839A4" w:rsidRPr="000839A4" w:rsidRDefault="000839A4" w:rsidP="000839A4">
      <w:pPr>
        <w:spacing w:before="120" w:after="120"/>
        <w:rPr>
          <w:szCs w:val="24"/>
        </w:rPr>
      </w:pPr>
      <w:r w:rsidRPr="000839A4">
        <w:rPr>
          <w:szCs w:val="24"/>
        </w:rPr>
        <w:t>(2) Na zákon upravující zamezení dvojímu zdanění ve vztahu k jurisdikci, která není státem, se pro účely daní z příjmů hledí jako na mezinárodní smlouvu upravující zamezení dvojímu zdanění všech druhů příjmů.</w:t>
      </w:r>
    </w:p>
    <w:p w14:paraId="76468956" w14:textId="77777777" w:rsidR="000839A4" w:rsidRPr="000839A4" w:rsidRDefault="000839A4" w:rsidP="000839A4">
      <w:pPr>
        <w:spacing w:before="120" w:after="120"/>
        <w:rPr>
          <w:szCs w:val="24"/>
        </w:rPr>
      </w:pPr>
      <w:r w:rsidRPr="000839A4">
        <w:rPr>
          <w:szCs w:val="24"/>
        </w:rPr>
        <w:t>(3) Výraz „stálá základna“ používaný v mezinárodních smlouvách je obsahově totožný s výrazem „stálá provozovna“.</w:t>
      </w:r>
    </w:p>
    <w:p w14:paraId="0B0FA740" w14:textId="77777777" w:rsidR="000839A4" w:rsidRPr="000839A4" w:rsidRDefault="000839A4" w:rsidP="000839A4">
      <w:pPr>
        <w:keepNext/>
        <w:ind w:firstLine="0"/>
        <w:jc w:val="center"/>
        <w:rPr>
          <w:szCs w:val="24"/>
        </w:rPr>
      </w:pPr>
      <w:r w:rsidRPr="000839A4">
        <w:rPr>
          <w:szCs w:val="24"/>
        </w:rPr>
        <w:t>§ 37a</w:t>
      </w:r>
    </w:p>
    <w:p w14:paraId="728FF13A" w14:textId="77777777" w:rsidR="000839A4" w:rsidRPr="000839A4" w:rsidRDefault="000839A4" w:rsidP="000839A4">
      <w:pPr>
        <w:spacing w:before="120" w:after="120"/>
        <w:rPr>
          <w:szCs w:val="24"/>
        </w:rPr>
      </w:pPr>
      <w:r w:rsidRPr="000839A4">
        <w:rPr>
          <w:szCs w:val="24"/>
        </w:rPr>
        <w:t>(1) Není-li v tomto zákoně stanoveno jinak, použijí se pro stanovení základu daně, daňové ztráty a daňové povinnosti evropského hospodářského zájmového sdružení ustanovení pro stanovení základu daně, daňové ztráty a daňové povinnosti veřejné obchodní společnosti.</w:t>
      </w:r>
    </w:p>
    <w:p w14:paraId="17263A01" w14:textId="77777777" w:rsidR="000839A4" w:rsidRPr="000839A4" w:rsidRDefault="000839A4" w:rsidP="000839A4">
      <w:pPr>
        <w:spacing w:before="120" w:after="120"/>
        <w:rPr>
          <w:szCs w:val="24"/>
        </w:rPr>
      </w:pPr>
      <w:r w:rsidRPr="000839A4">
        <w:rPr>
          <w:szCs w:val="24"/>
        </w:rPr>
        <w:t>(2) Není-li v tomto zákoně stanoveno jinak, použijí se pro stanovení základu daně, daňové ztráty a daňové povinnosti člena evropského hospodářského zájmového sdružení ustanovení pro stanovení základu daně, daňové ztráty a daňové povinnosti společníka veřejné obchodní společnosti.</w:t>
      </w:r>
    </w:p>
    <w:p w14:paraId="308BFCA0" w14:textId="77777777" w:rsidR="000839A4" w:rsidRPr="000839A4" w:rsidRDefault="000839A4" w:rsidP="000839A4">
      <w:pPr>
        <w:spacing w:before="120" w:after="120"/>
        <w:rPr>
          <w:szCs w:val="24"/>
        </w:rPr>
      </w:pPr>
      <w:r w:rsidRPr="000839A4">
        <w:rPr>
          <w:szCs w:val="24"/>
        </w:rPr>
        <w:t>(3) Příjem člena evropského hospodářského zájmového sdružení, který je poplatníkem podle § 2 odst. 3 nebo § 17 odst. 4, plynoucí z členství v evropském hospodářském zájmovém sdružení a z úvěrových finančních nástrojů poskytnutých tomuto sdružení se považuje za příjem dosahovaný prostřednictvím stálé provozovny.</w:t>
      </w:r>
    </w:p>
    <w:p w14:paraId="05674BD0" w14:textId="77777777" w:rsidR="000839A4" w:rsidRPr="000839A4" w:rsidRDefault="000839A4" w:rsidP="000839A4">
      <w:pPr>
        <w:spacing w:before="120" w:after="120"/>
        <w:rPr>
          <w:szCs w:val="24"/>
        </w:rPr>
      </w:pPr>
      <w:r w:rsidRPr="000839A4">
        <w:rPr>
          <w:szCs w:val="24"/>
        </w:rPr>
        <w:t>(4) Není-li v tomto zákoně stanoveno jinak, postupuje v daňovém řízení evropské hospodářské zájmové sdružení obdobně jako veřejná obchodní společnost a člen evropského sdružení obdobně jako společník veřejné obchodní společnosti.</w:t>
      </w:r>
    </w:p>
    <w:p w14:paraId="66D41B30" w14:textId="77777777" w:rsidR="000839A4" w:rsidRPr="000839A4" w:rsidRDefault="000839A4" w:rsidP="000839A4">
      <w:pPr>
        <w:spacing w:before="120" w:after="120"/>
        <w:rPr>
          <w:szCs w:val="24"/>
        </w:rPr>
      </w:pPr>
      <w:r w:rsidRPr="000839A4">
        <w:rPr>
          <w:szCs w:val="24"/>
        </w:rPr>
        <w:t>(5) Evropská společnost</w:t>
      </w:r>
      <w:r w:rsidRPr="000839A4">
        <w:rPr>
          <w:szCs w:val="24"/>
          <w:vertAlign w:val="superscript"/>
        </w:rPr>
        <w:footnoteReference w:customMarkFollows="1" w:id="185"/>
        <w:t xml:space="preserve">35f) </w:t>
      </w:r>
      <w:r w:rsidRPr="000839A4">
        <w:rPr>
          <w:szCs w:val="24"/>
        </w:rPr>
        <w:t>postupuje při stanovení základu daně, daňové ztráty a daňové povinnosti a v daňovém řízení obdobně jako akciová společnost.</w:t>
      </w:r>
    </w:p>
    <w:p w14:paraId="7223FC37" w14:textId="77777777" w:rsidR="000839A4" w:rsidRPr="000839A4" w:rsidRDefault="000839A4" w:rsidP="000839A4">
      <w:pPr>
        <w:spacing w:before="120" w:after="120"/>
        <w:rPr>
          <w:szCs w:val="24"/>
        </w:rPr>
      </w:pPr>
      <w:r w:rsidRPr="000839A4">
        <w:rPr>
          <w:szCs w:val="24"/>
        </w:rPr>
        <w:t>(6) Evropská družstevní společnost postupuje při stanovení základu daně, daňové ztráty a daňové povinnosti a v daňovém řízení obdobně jako družstvo.</w:t>
      </w:r>
    </w:p>
    <w:p w14:paraId="698FCCE1" w14:textId="77777777" w:rsidR="000839A4" w:rsidRPr="000839A4" w:rsidRDefault="000839A4" w:rsidP="000839A4">
      <w:pPr>
        <w:keepNext/>
        <w:ind w:firstLine="0"/>
        <w:jc w:val="center"/>
        <w:rPr>
          <w:szCs w:val="24"/>
        </w:rPr>
      </w:pPr>
      <w:r w:rsidRPr="000839A4">
        <w:rPr>
          <w:szCs w:val="24"/>
        </w:rPr>
        <w:t>§ 37b</w:t>
      </w:r>
    </w:p>
    <w:p w14:paraId="4CB3BA2A" w14:textId="77777777" w:rsidR="000839A4" w:rsidRPr="000839A4" w:rsidRDefault="000839A4" w:rsidP="000839A4">
      <w:pPr>
        <w:spacing w:before="120" w:after="120"/>
        <w:rPr>
          <w:szCs w:val="24"/>
        </w:rPr>
      </w:pPr>
      <w:r w:rsidRPr="000839A4">
        <w:rPr>
          <w:szCs w:val="24"/>
        </w:rPr>
        <w:t>U stálé provozovny evropské společnosti</w:t>
      </w:r>
      <w:r w:rsidRPr="000839A4">
        <w:rPr>
          <w:szCs w:val="24"/>
          <w:vertAlign w:val="superscript"/>
        </w:rPr>
        <w:t>35f)</w:t>
      </w:r>
      <w:r w:rsidRPr="000839A4">
        <w:rPr>
          <w:szCs w:val="24"/>
        </w:rPr>
        <w:t xml:space="preserve"> nebo evropské družstevní společnosti vzniklé na území České republiky po přemístění sídla evropské společnosti nebo evropské družstevní společnosti zapsaného v obchodním rejstříku z území České republiky do jiného členského státu Evropské unie nebo některého ze států, které tvoří Evropský hospodářský prostor, se </w:t>
      </w:r>
      <w:r w:rsidRPr="000839A4">
        <w:rPr>
          <w:szCs w:val="24"/>
        </w:rPr>
        <w:lastRenderedPageBreak/>
        <w:t>použijí přiměřeně ustanovení § 23a až 23d</w:t>
      </w:r>
      <w:r w:rsidRPr="000839A4">
        <w:rPr>
          <w:szCs w:val="24"/>
          <w:vertAlign w:val="superscript"/>
        </w:rPr>
        <w:t>93)</w:t>
      </w:r>
      <w:r w:rsidRPr="000839A4">
        <w:rPr>
          <w:szCs w:val="24"/>
        </w:rPr>
        <w:t>, pokud aktiva i pasiva evropské společnosti</w:t>
      </w:r>
      <w:r w:rsidRPr="000839A4">
        <w:rPr>
          <w:szCs w:val="24"/>
          <w:vertAlign w:val="superscript"/>
        </w:rPr>
        <w:t>35f)</w:t>
      </w:r>
      <w:r w:rsidRPr="000839A4">
        <w:rPr>
          <w:szCs w:val="24"/>
        </w:rPr>
        <w:t xml:space="preserve"> nebo evropské družstevní společnosti jsou nadále prokazatelně spojena s touto stálou provozovnou.</w:t>
      </w:r>
    </w:p>
    <w:p w14:paraId="25F9C2B6" w14:textId="77777777" w:rsidR="000839A4" w:rsidRPr="000839A4" w:rsidRDefault="000839A4" w:rsidP="00D90D00">
      <w:pPr>
        <w:keepNext/>
        <w:pBdr>
          <w:top w:val="single" w:sz="12" w:space="1" w:color="00B050"/>
          <w:left w:val="single" w:sz="12" w:space="4" w:color="00B050"/>
          <w:bottom w:val="single" w:sz="12" w:space="1" w:color="00B050"/>
          <w:right w:val="single" w:sz="12" w:space="4" w:color="00B050"/>
        </w:pBdr>
        <w:ind w:firstLine="0"/>
        <w:jc w:val="center"/>
        <w:rPr>
          <w:szCs w:val="24"/>
        </w:rPr>
      </w:pPr>
      <w:r w:rsidRPr="000839A4">
        <w:rPr>
          <w:szCs w:val="24"/>
        </w:rPr>
        <w:t>§ 37c</w:t>
      </w:r>
    </w:p>
    <w:p w14:paraId="79AF97B5" w14:textId="77777777" w:rsidR="000839A4" w:rsidRPr="000839A4" w:rsidRDefault="000839A4" w:rsidP="00D90D00">
      <w:pPr>
        <w:pBdr>
          <w:top w:val="single" w:sz="12" w:space="1" w:color="00B050"/>
          <w:left w:val="single" w:sz="12" w:space="4" w:color="00B050"/>
          <w:bottom w:val="single" w:sz="12" w:space="1" w:color="00B050"/>
          <w:right w:val="single" w:sz="12" w:space="4" w:color="00B050"/>
        </w:pBdr>
        <w:spacing w:before="120" w:after="120"/>
        <w:rPr>
          <w:szCs w:val="24"/>
        </w:rPr>
      </w:pPr>
      <w:r w:rsidRPr="000839A4">
        <w:rPr>
          <w:szCs w:val="24"/>
        </w:rPr>
        <w:t xml:space="preserve">Ustanovení tohoto zákona vztahující se na otevřený podílový fond a podílový list se použijí obdobně také pro </w:t>
      </w:r>
      <w:proofErr w:type="spellStart"/>
      <w:r w:rsidRPr="000839A4">
        <w:rPr>
          <w:szCs w:val="24"/>
        </w:rPr>
        <w:t>podfond</w:t>
      </w:r>
      <w:proofErr w:type="spellEnd"/>
      <w:r w:rsidRPr="000839A4">
        <w:rPr>
          <w:szCs w:val="24"/>
        </w:rPr>
        <w:t xml:space="preserve"> akciové společnosti </w:t>
      </w:r>
      <w:r w:rsidRPr="000839A4">
        <w:rPr>
          <w:strike/>
          <w:color w:val="00B050"/>
          <w:szCs w:val="24"/>
        </w:rPr>
        <w:t>s proměnným základním kapitálem</w:t>
      </w:r>
      <w:r w:rsidRPr="000839A4">
        <w:rPr>
          <w:color w:val="00B050"/>
          <w:szCs w:val="24"/>
        </w:rPr>
        <w:t xml:space="preserve"> </w:t>
      </w:r>
      <w:r w:rsidRPr="000839A4">
        <w:rPr>
          <w:szCs w:val="24"/>
        </w:rPr>
        <w:t>a investiční akcii.</w:t>
      </w:r>
    </w:p>
    <w:p w14:paraId="605BE18E" w14:textId="77777777" w:rsidR="000839A4" w:rsidRPr="000839A4" w:rsidRDefault="000839A4" w:rsidP="000839A4">
      <w:pPr>
        <w:keepNext/>
        <w:ind w:firstLine="0"/>
        <w:jc w:val="center"/>
        <w:rPr>
          <w:szCs w:val="24"/>
        </w:rPr>
      </w:pPr>
    </w:p>
    <w:p w14:paraId="3FE8E684" w14:textId="77777777" w:rsidR="000839A4" w:rsidRPr="000839A4" w:rsidRDefault="000839A4" w:rsidP="00D90D00">
      <w:pPr>
        <w:keepNext/>
        <w:pBdr>
          <w:top w:val="single" w:sz="12" w:space="1" w:color="00B050"/>
          <w:left w:val="single" w:sz="12" w:space="4" w:color="00B050"/>
          <w:bottom w:val="single" w:sz="12" w:space="1" w:color="00B050"/>
          <w:right w:val="single" w:sz="12" w:space="4" w:color="00B050"/>
        </w:pBdr>
        <w:ind w:firstLine="0"/>
        <w:jc w:val="center"/>
        <w:rPr>
          <w:szCs w:val="24"/>
        </w:rPr>
      </w:pPr>
      <w:r w:rsidRPr="000839A4">
        <w:rPr>
          <w:szCs w:val="24"/>
        </w:rPr>
        <w:t>§ 37d</w:t>
      </w:r>
    </w:p>
    <w:p w14:paraId="64E03F4D" w14:textId="77777777" w:rsidR="000839A4" w:rsidRPr="000839A4" w:rsidRDefault="000839A4" w:rsidP="00D90D00">
      <w:pPr>
        <w:pBdr>
          <w:top w:val="single" w:sz="12" w:space="1" w:color="00B050"/>
          <w:left w:val="single" w:sz="12" w:space="4" w:color="00B050"/>
          <w:bottom w:val="single" w:sz="12" w:space="1" w:color="00B050"/>
          <w:right w:val="single" w:sz="12" w:space="4" w:color="00B050"/>
        </w:pBdr>
        <w:spacing w:before="120" w:after="120"/>
        <w:rPr>
          <w:szCs w:val="24"/>
        </w:rPr>
      </w:pPr>
      <w:r w:rsidRPr="000839A4">
        <w:rPr>
          <w:szCs w:val="24"/>
        </w:rPr>
        <w:t xml:space="preserve">Ustanovení tohoto zákona vztahující se na komanditní společnost a podíl komanditisty se použijí obdobně také pro komanditní společnost na investiční listy </w:t>
      </w:r>
      <w:r w:rsidRPr="000839A4">
        <w:rPr>
          <w:b/>
          <w:noProof/>
          <w:color w:val="00B050"/>
          <w:szCs w:val="24"/>
        </w:rPr>
        <w:t>a její podfondy</w:t>
      </w:r>
      <w:r w:rsidRPr="000839A4">
        <w:rPr>
          <w:noProof/>
          <w:color w:val="00B050"/>
          <w:szCs w:val="24"/>
        </w:rPr>
        <w:t> </w:t>
      </w:r>
      <w:r w:rsidRPr="000839A4">
        <w:rPr>
          <w:color w:val="00B050"/>
          <w:szCs w:val="24"/>
        </w:rPr>
        <w:t xml:space="preserve"> </w:t>
      </w:r>
      <w:r w:rsidRPr="000839A4">
        <w:rPr>
          <w:szCs w:val="24"/>
        </w:rPr>
        <w:t>a investiční list.</w:t>
      </w:r>
    </w:p>
    <w:p w14:paraId="09E955A7" w14:textId="77777777" w:rsidR="000839A4" w:rsidRPr="000839A4" w:rsidRDefault="000839A4" w:rsidP="000839A4">
      <w:pPr>
        <w:keepNext/>
        <w:ind w:firstLine="0"/>
        <w:jc w:val="center"/>
        <w:rPr>
          <w:szCs w:val="24"/>
        </w:rPr>
      </w:pPr>
      <w:r w:rsidRPr="000839A4">
        <w:rPr>
          <w:szCs w:val="24"/>
        </w:rPr>
        <w:t>§ 37e</w:t>
      </w:r>
    </w:p>
    <w:p w14:paraId="578791A0" w14:textId="77777777" w:rsidR="000839A4" w:rsidRPr="000839A4" w:rsidRDefault="000839A4" w:rsidP="000839A4">
      <w:pPr>
        <w:keepNext/>
        <w:ind w:firstLine="0"/>
        <w:jc w:val="center"/>
        <w:rPr>
          <w:b/>
          <w:szCs w:val="24"/>
        </w:rPr>
      </w:pPr>
      <w:r w:rsidRPr="000839A4">
        <w:rPr>
          <w:b/>
          <w:szCs w:val="24"/>
        </w:rPr>
        <w:t>Přeměny jiných poplatníků než obchodních korporací</w:t>
      </w:r>
    </w:p>
    <w:p w14:paraId="06EA9C8B" w14:textId="77777777" w:rsidR="000839A4" w:rsidRPr="000839A4" w:rsidRDefault="000839A4" w:rsidP="000839A4">
      <w:pPr>
        <w:spacing w:before="120" w:after="120"/>
        <w:rPr>
          <w:szCs w:val="24"/>
        </w:rPr>
      </w:pPr>
      <w:r w:rsidRPr="000839A4">
        <w:rPr>
          <w:szCs w:val="24"/>
        </w:rPr>
        <w:t>(1) Daňové povinnosti, které se váží k přeměnám poplatníků, kteří nejsou obchodními korporacemi, jakož i práva a povinnosti s nimi související se řídí obdobnými ustanoveními, kterými se řídí přeměny obchodních korporací.</w:t>
      </w:r>
    </w:p>
    <w:p w14:paraId="718425CF" w14:textId="77777777" w:rsidR="000839A4" w:rsidRPr="000839A4" w:rsidRDefault="000839A4" w:rsidP="000839A4">
      <w:pPr>
        <w:spacing w:before="120" w:after="120"/>
        <w:rPr>
          <w:szCs w:val="24"/>
        </w:rPr>
      </w:pPr>
      <w:r w:rsidRPr="000839A4">
        <w:rPr>
          <w:szCs w:val="24"/>
        </w:rPr>
        <w:t>(2) Při přeměnách poplatníků podle odstavce 1 se nepoužijí ustanovení § 23a až 23d.</w:t>
      </w:r>
    </w:p>
    <w:p w14:paraId="75AB6192" w14:textId="77777777" w:rsidR="000839A4" w:rsidRPr="000839A4" w:rsidRDefault="000839A4" w:rsidP="000839A4">
      <w:pPr>
        <w:spacing w:before="120"/>
        <w:ind w:firstLine="0"/>
        <w:jc w:val="center"/>
        <w:rPr>
          <w:szCs w:val="24"/>
        </w:rPr>
      </w:pPr>
      <w:r w:rsidRPr="000839A4">
        <w:rPr>
          <w:szCs w:val="24"/>
        </w:rPr>
        <w:t>§ 38</w:t>
      </w:r>
    </w:p>
    <w:p w14:paraId="4ACB031E" w14:textId="77777777" w:rsidR="000839A4" w:rsidRPr="000839A4" w:rsidRDefault="000839A4" w:rsidP="000839A4">
      <w:pPr>
        <w:spacing w:before="120"/>
        <w:ind w:firstLine="0"/>
        <w:jc w:val="center"/>
        <w:rPr>
          <w:b/>
          <w:noProof/>
          <w:szCs w:val="24"/>
        </w:rPr>
      </w:pPr>
      <w:r w:rsidRPr="000839A4">
        <w:rPr>
          <w:b/>
          <w:noProof/>
          <w:szCs w:val="24"/>
        </w:rPr>
        <w:t>Přepočet měny pro výpočet daní z příjmů</w:t>
      </w:r>
    </w:p>
    <w:p w14:paraId="69437115" w14:textId="77777777" w:rsidR="000839A4" w:rsidRPr="000839A4" w:rsidRDefault="000839A4" w:rsidP="000839A4">
      <w:pPr>
        <w:spacing w:before="120" w:after="120"/>
        <w:rPr>
          <w:noProof/>
          <w:szCs w:val="24"/>
        </w:rPr>
      </w:pPr>
      <w:r w:rsidRPr="000839A4">
        <w:rPr>
          <w:noProof/>
          <w:szCs w:val="24"/>
        </w:rPr>
        <w:t xml:space="preserve">(1) Přepočet cizí měny na českou měnu provede </w:t>
      </w:r>
      <w:r w:rsidRPr="000839A4">
        <w:rPr>
          <w:strike/>
          <w:noProof/>
          <w:szCs w:val="24"/>
        </w:rPr>
        <w:t>poplatník, který</w:t>
      </w:r>
    </w:p>
    <w:p w14:paraId="5B563501" w14:textId="77777777" w:rsidR="000839A4" w:rsidRPr="000839A4" w:rsidRDefault="000839A4" w:rsidP="000839A4">
      <w:pPr>
        <w:spacing w:before="0"/>
        <w:ind w:left="425" w:hanging="425"/>
        <w:outlineLvl w:val="7"/>
      </w:pPr>
      <w:r w:rsidRPr="000839A4">
        <w:t>a)</w:t>
      </w:r>
      <w:r w:rsidRPr="000839A4">
        <w:tab/>
      </w:r>
      <w:r w:rsidRPr="000839A4">
        <w:rPr>
          <w:strike/>
        </w:rPr>
        <w:t>je účetní jednotkou podle zákona upravujícího účetnictví</w:t>
      </w:r>
      <w:r w:rsidRPr="000839A4">
        <w:t xml:space="preserve"> </w:t>
      </w:r>
      <w:r w:rsidRPr="000839A4">
        <w:rPr>
          <w:b/>
        </w:rPr>
        <w:t>poplatník s akruálním základem daně</w:t>
      </w:r>
      <w:r w:rsidRPr="000839A4">
        <w:t>,</w:t>
      </w:r>
    </w:p>
    <w:p w14:paraId="153C434E" w14:textId="77777777" w:rsidR="000839A4" w:rsidRPr="000839A4" w:rsidRDefault="000839A4" w:rsidP="000839A4">
      <w:pPr>
        <w:tabs>
          <w:tab w:val="left" w:pos="357"/>
        </w:tabs>
        <w:spacing w:before="0"/>
        <w:ind w:left="714" w:hanging="357"/>
        <w:rPr>
          <w:szCs w:val="24"/>
        </w:rPr>
      </w:pPr>
      <w:r w:rsidRPr="000839A4">
        <w:rPr>
          <w:szCs w:val="24"/>
        </w:rPr>
        <w:t>1.</w:t>
      </w:r>
      <w:r w:rsidRPr="000839A4">
        <w:rPr>
          <w:szCs w:val="24"/>
        </w:rPr>
        <w:tab/>
        <w:t>kurzem použitým v účetnictví, pokud se jedná o položku pro výpočet daně, o které se účtuje, a měnou účetnictví poplatníka je česká měna,</w:t>
      </w:r>
    </w:p>
    <w:p w14:paraId="43EEB5F1" w14:textId="77777777" w:rsidR="000839A4" w:rsidRPr="000839A4" w:rsidRDefault="000839A4" w:rsidP="000839A4">
      <w:pPr>
        <w:tabs>
          <w:tab w:val="left" w:pos="357"/>
        </w:tabs>
        <w:spacing w:before="0"/>
        <w:ind w:left="714" w:hanging="357"/>
        <w:rPr>
          <w:noProof/>
          <w:szCs w:val="24"/>
        </w:rPr>
      </w:pPr>
      <w:r w:rsidRPr="000839A4">
        <w:rPr>
          <w:noProof/>
          <w:szCs w:val="24"/>
        </w:rPr>
        <w:t>2.</w:t>
      </w:r>
      <w:r w:rsidRPr="000839A4">
        <w:rPr>
          <w:noProof/>
          <w:szCs w:val="24"/>
        </w:rPr>
        <w:tab/>
      </w:r>
      <w:r w:rsidRPr="000839A4">
        <w:rPr>
          <w:szCs w:val="24"/>
        </w:rPr>
        <w:t>kurzem</w:t>
      </w:r>
      <w:r w:rsidRPr="000839A4">
        <w:rPr>
          <w:noProof/>
          <w:szCs w:val="24"/>
        </w:rPr>
        <w:t xml:space="preserve"> pro přepočet daně pro poslední den zdaňovacího období, </w:t>
      </w:r>
      <w:r w:rsidRPr="000839A4">
        <w:rPr>
          <w:strike/>
          <w:noProof/>
          <w:szCs w:val="24"/>
        </w:rPr>
        <w:t>období, za které se podává daňové přiznání,</w:t>
      </w:r>
      <w:r w:rsidRPr="000839A4">
        <w:rPr>
          <w:noProof/>
          <w:szCs w:val="24"/>
        </w:rPr>
        <w:t xml:space="preserve"> nebo části zdaňovacího období, za kterou se podává daňové přiznání, pokud se jedná o položku pro výpočet daně, o které se neúčtuje,</w:t>
      </w:r>
    </w:p>
    <w:p w14:paraId="37C6B7A4" w14:textId="77777777" w:rsidR="000839A4" w:rsidRPr="000839A4" w:rsidRDefault="000839A4" w:rsidP="000839A4">
      <w:pPr>
        <w:spacing w:before="0"/>
        <w:ind w:left="425" w:hanging="425"/>
        <w:outlineLvl w:val="7"/>
      </w:pPr>
      <w:r w:rsidRPr="000839A4">
        <w:t>b)</w:t>
      </w:r>
      <w:r w:rsidRPr="000839A4">
        <w:tab/>
      </w:r>
      <w:r w:rsidRPr="000839A4">
        <w:rPr>
          <w:strike/>
        </w:rPr>
        <w:t xml:space="preserve">není účetní jednotkou podle zákona upravujícího účetnictví </w:t>
      </w:r>
      <w:r w:rsidRPr="000839A4">
        <w:rPr>
          <w:b/>
        </w:rPr>
        <w:t>poplatník s hotovostním základem daně</w:t>
      </w:r>
      <w:r w:rsidRPr="000839A4">
        <w:t>,</w:t>
      </w:r>
    </w:p>
    <w:p w14:paraId="5D7FE74B" w14:textId="77777777" w:rsidR="000839A4" w:rsidRPr="000839A4" w:rsidRDefault="000839A4" w:rsidP="000839A4">
      <w:pPr>
        <w:tabs>
          <w:tab w:val="left" w:pos="357"/>
        </w:tabs>
        <w:spacing w:before="0"/>
        <w:ind w:left="714" w:hanging="357"/>
        <w:rPr>
          <w:szCs w:val="24"/>
        </w:rPr>
      </w:pPr>
      <w:r w:rsidRPr="000839A4">
        <w:rPr>
          <w:szCs w:val="24"/>
        </w:rPr>
        <w:t>1.</w:t>
      </w:r>
      <w:r w:rsidRPr="000839A4">
        <w:rPr>
          <w:szCs w:val="24"/>
        </w:rPr>
        <w:tab/>
        <w:t>kurzem pro přepočet daně pro den vzniku příjmu, výdaje nebo jiné položky pro výpočet daně, nebo</w:t>
      </w:r>
    </w:p>
    <w:p w14:paraId="0ED9047C" w14:textId="77777777" w:rsidR="000839A4" w:rsidRPr="000839A4" w:rsidRDefault="000839A4" w:rsidP="000839A4">
      <w:pPr>
        <w:tabs>
          <w:tab w:val="left" w:pos="357"/>
        </w:tabs>
        <w:spacing w:before="0"/>
        <w:ind w:left="714" w:hanging="357"/>
        <w:rPr>
          <w:szCs w:val="24"/>
        </w:rPr>
      </w:pPr>
      <w:r w:rsidRPr="000839A4">
        <w:rPr>
          <w:szCs w:val="24"/>
        </w:rPr>
        <w:t>2.</w:t>
      </w:r>
      <w:r w:rsidRPr="000839A4">
        <w:rPr>
          <w:szCs w:val="24"/>
        </w:rPr>
        <w:tab/>
        <w:t>jednotným kurzem.</w:t>
      </w:r>
    </w:p>
    <w:p w14:paraId="368DD387" w14:textId="77777777" w:rsidR="000839A4" w:rsidRPr="000839A4" w:rsidRDefault="000839A4" w:rsidP="000839A4">
      <w:pPr>
        <w:spacing w:before="120" w:after="120"/>
        <w:rPr>
          <w:noProof/>
          <w:szCs w:val="24"/>
        </w:rPr>
      </w:pPr>
      <w:r w:rsidRPr="000839A4">
        <w:rPr>
          <w:noProof/>
          <w:szCs w:val="24"/>
        </w:rPr>
        <w:t>(2) Při přepočtu daně z úroků (úrokového příjmu) plynoucích v cizí měně z účtu, který není podle podmínek toho, kdo účet vede, určen k podnikání, a z vkladního listu, z nichž je daň vybírána zvláštní sazbou podle § 36, se použije pro přepočet na českou měnu kurz pro přepočet daně pro den připsání úroků ve prospěch poplatníka. Takto vypočtená daň se nezaokrouhluje.</w:t>
      </w:r>
    </w:p>
    <w:p w14:paraId="79F8AAA5" w14:textId="77777777" w:rsidR="000839A4" w:rsidRPr="000839A4" w:rsidRDefault="000839A4" w:rsidP="000839A4">
      <w:pPr>
        <w:spacing w:before="120" w:after="120"/>
        <w:rPr>
          <w:noProof/>
          <w:szCs w:val="24"/>
        </w:rPr>
      </w:pPr>
      <w:r w:rsidRPr="000839A4">
        <w:rPr>
          <w:noProof/>
          <w:szCs w:val="24"/>
        </w:rPr>
        <w:t xml:space="preserve">(3) Při přepočtu základu daně pro zvláštní sazbu daně (§ 36) vztahující se na příjmy plynoucí v cizí měně, s výjimkou úroků plynoucích v cizí měně z účtu, který není podle podmínek toho, kdo účet vede, určen k podnikání, a z vkladního listu, použije plátce daně pro </w:t>
      </w:r>
      <w:r w:rsidRPr="000839A4">
        <w:rPr>
          <w:noProof/>
          <w:szCs w:val="24"/>
        </w:rPr>
        <w:lastRenderedPageBreak/>
        <w:t>přepočet na českou měnu kurz použitý v účetnictví nebo kurz pro přepočet daně, není-li kurz použitý v účetnictví uplatnitelný pro přepočet toho příjmu na českou měnu. Obdobně se postupuje při přepočtu příjmu plynoucího v cizí měně, ze kterého se sráží zajištění daně, na českou měnu.</w:t>
      </w:r>
    </w:p>
    <w:p w14:paraId="53B77C84" w14:textId="77777777" w:rsidR="000839A4" w:rsidRPr="000839A4" w:rsidRDefault="000839A4" w:rsidP="000839A4">
      <w:pPr>
        <w:spacing w:before="120" w:after="120"/>
        <w:rPr>
          <w:noProof/>
          <w:szCs w:val="24"/>
        </w:rPr>
      </w:pPr>
      <w:r w:rsidRPr="000839A4">
        <w:rPr>
          <w:noProof/>
          <w:szCs w:val="24"/>
        </w:rPr>
        <w:t>(4) Při přepočtu příjmu pro výpočet zálohy na daň z příjmů ze závislé činnosti a pro účely ročního zúčtování se použije kurz pro přepočet daně pro poslední den kalendářního měsíce předcházejícího měsíci, v jehož průběhu se záloha sráží.</w:t>
      </w:r>
    </w:p>
    <w:p w14:paraId="4130C878" w14:textId="77777777" w:rsidR="000839A4" w:rsidRPr="000839A4" w:rsidRDefault="000839A4" w:rsidP="000839A4">
      <w:pPr>
        <w:spacing w:before="120" w:after="120"/>
        <w:rPr>
          <w:noProof/>
          <w:szCs w:val="24"/>
        </w:rPr>
      </w:pPr>
      <w:r w:rsidRPr="000839A4">
        <w:rPr>
          <w:noProof/>
          <w:szCs w:val="24"/>
        </w:rPr>
        <w:t>(5) Kurzem pro přepočet daně se pro účely daní z příjmů rozumí kurz devizového trhu vyhlášený Českou národní bankou.</w:t>
      </w:r>
    </w:p>
    <w:p w14:paraId="07876862" w14:textId="77777777" w:rsidR="000839A4" w:rsidRPr="000839A4" w:rsidRDefault="000839A4" w:rsidP="000839A4">
      <w:pPr>
        <w:spacing w:before="120" w:after="120"/>
        <w:rPr>
          <w:noProof/>
          <w:szCs w:val="24"/>
        </w:rPr>
      </w:pPr>
      <w:r w:rsidRPr="000839A4">
        <w:rPr>
          <w:noProof/>
          <w:szCs w:val="24"/>
        </w:rPr>
        <w:t>(6) Není-li k cizí měně Českou národní bankou vyhlašován kurz devizového trhu, za kurz pro přepočet daně se považuje kurz</w:t>
      </w:r>
    </w:p>
    <w:p w14:paraId="70BC2155" w14:textId="77777777" w:rsidR="000839A4" w:rsidRPr="000839A4" w:rsidRDefault="000839A4" w:rsidP="000839A4">
      <w:pPr>
        <w:spacing w:before="0"/>
        <w:ind w:left="425" w:hanging="425"/>
        <w:outlineLvl w:val="7"/>
      </w:pPr>
      <w:r w:rsidRPr="000839A4">
        <w:t>a)</w:t>
      </w:r>
      <w:r w:rsidRPr="000839A4">
        <w:tab/>
        <w:t>ostatních měn vyhlášený Českou národní bankou k cizí měně, nebo</w:t>
      </w:r>
    </w:p>
    <w:p w14:paraId="7C57C0BF" w14:textId="77777777" w:rsidR="000839A4" w:rsidRPr="000839A4" w:rsidRDefault="000839A4" w:rsidP="000839A4">
      <w:pPr>
        <w:spacing w:before="0"/>
        <w:ind w:left="425" w:hanging="425"/>
        <w:outlineLvl w:val="7"/>
      </w:pPr>
      <w:r w:rsidRPr="000839A4">
        <w:t>b)</w:t>
      </w:r>
      <w:r w:rsidRPr="000839A4">
        <w:tab/>
        <w:t>vyhlášený k euru nebo americkému dolaru centrální bankou příslušnou pro cizí měnu, přepočítaný na českou měnu kurzem devizového trhu vyhlášeným Českou národní bankou k euru nebo americkému dolaru.</w:t>
      </w:r>
    </w:p>
    <w:p w14:paraId="4D8A5DCA" w14:textId="77777777" w:rsidR="000839A4" w:rsidRPr="000839A4" w:rsidRDefault="000839A4" w:rsidP="000839A4">
      <w:pPr>
        <w:spacing w:before="120" w:after="120"/>
        <w:rPr>
          <w:noProof/>
          <w:szCs w:val="24"/>
        </w:rPr>
      </w:pPr>
      <w:r w:rsidRPr="000839A4">
        <w:rPr>
          <w:noProof/>
          <w:szCs w:val="24"/>
        </w:rPr>
        <w:t xml:space="preserve"> (7) Jednotným kurzem se pro účely daní z příjmů rozumí kurz určený průměrem kurzů devizového trhu vyhlášených Českou národní bankou pro poslední den každého započatého kalendářního měsíce zdaňovacího období, </w:t>
      </w:r>
      <w:r w:rsidRPr="000839A4">
        <w:rPr>
          <w:strike/>
          <w:noProof/>
          <w:szCs w:val="24"/>
        </w:rPr>
        <w:t>období, za které se podává daňové přiznání,</w:t>
      </w:r>
      <w:r w:rsidRPr="000839A4">
        <w:rPr>
          <w:noProof/>
          <w:szCs w:val="24"/>
        </w:rPr>
        <w:t xml:space="preserve"> nebo části zdaňovacího období, za kterou se podává daňové přiznání. V rámci zdaňovacího období nebo období, za které se podává daňové přiznání, nelze použít kurz pro přepočet daně a jednotný kurz současně.</w:t>
      </w:r>
    </w:p>
    <w:p w14:paraId="503CF8B5" w14:textId="77777777" w:rsidR="000839A4" w:rsidRPr="000839A4" w:rsidRDefault="000839A4" w:rsidP="000839A4">
      <w:pPr>
        <w:spacing w:before="120" w:after="120"/>
        <w:rPr>
          <w:noProof/>
          <w:szCs w:val="24"/>
        </w:rPr>
      </w:pPr>
      <w:r w:rsidRPr="000839A4">
        <w:rPr>
          <w:noProof/>
          <w:szCs w:val="24"/>
        </w:rPr>
        <w:t xml:space="preserve">(8) Poplatník </w:t>
      </w:r>
      <w:r w:rsidRPr="000839A4">
        <w:rPr>
          <w:strike/>
          <w:noProof/>
          <w:szCs w:val="24"/>
        </w:rPr>
        <w:t>daně z příjmů právnických osob, který je účetní jednotkou podle zákona upravujícího účetnictví a</w:t>
      </w:r>
      <w:r w:rsidRPr="000839A4">
        <w:rPr>
          <w:noProof/>
          <w:szCs w:val="24"/>
        </w:rPr>
        <w:t xml:space="preserve"> </w:t>
      </w:r>
      <w:r w:rsidRPr="000839A4">
        <w:rPr>
          <w:b/>
          <w:noProof/>
          <w:szCs w:val="24"/>
        </w:rPr>
        <w:t xml:space="preserve">s akruálním základem daně, </w:t>
      </w:r>
      <w:r w:rsidRPr="000839A4">
        <w:rPr>
          <w:noProof/>
          <w:szCs w:val="24"/>
        </w:rPr>
        <w:t xml:space="preserve">jehož měnou účetnictví je cizí měna, provede přepočet </w:t>
      </w:r>
    </w:p>
    <w:p w14:paraId="4E1E07ED" w14:textId="77777777" w:rsidR="000839A4" w:rsidRPr="000839A4" w:rsidRDefault="000839A4" w:rsidP="000839A4">
      <w:pPr>
        <w:spacing w:before="0"/>
        <w:ind w:left="425" w:hanging="425"/>
        <w:outlineLvl w:val="7"/>
      </w:pPr>
      <w:r w:rsidRPr="000839A4">
        <w:t>a)</w:t>
      </w:r>
      <w:r w:rsidRPr="000839A4">
        <w:tab/>
        <w:t>jiné měny na měnu účetnictví kurzem použitým v účetnictví, pokud se jedná o položku pro výpočet daně, o které se účtuje,</w:t>
      </w:r>
    </w:p>
    <w:p w14:paraId="7122F692" w14:textId="77777777" w:rsidR="000839A4" w:rsidRPr="000839A4" w:rsidRDefault="000839A4" w:rsidP="000839A4">
      <w:pPr>
        <w:spacing w:before="0"/>
        <w:ind w:left="425" w:hanging="425"/>
        <w:outlineLvl w:val="7"/>
      </w:pPr>
      <w:r w:rsidRPr="000839A4">
        <w:rPr>
          <w:b/>
          <w:bCs/>
          <w:strike/>
          <w:noProof/>
          <w:color w:val="00B050"/>
        </w:rPr>
        <mc:AlternateContent>
          <mc:Choice Requires="wps">
            <w:drawing>
              <wp:anchor distT="0" distB="0" distL="114300" distR="114300" simplePos="0" relativeHeight="251697152" behindDoc="1" locked="0" layoutInCell="1" allowOverlap="1" wp14:anchorId="146EB0B3" wp14:editId="757D6F9B">
                <wp:simplePos x="0" y="0"/>
                <wp:positionH relativeFrom="margin">
                  <wp:posOffset>-132044</wp:posOffset>
                </wp:positionH>
                <wp:positionV relativeFrom="paragraph">
                  <wp:posOffset>692557</wp:posOffset>
                </wp:positionV>
                <wp:extent cx="6003290" cy="1742536"/>
                <wp:effectExtent l="0" t="0" r="16510" b="10160"/>
                <wp:wrapNone/>
                <wp:docPr id="24" name="Obdélník 24"/>
                <wp:cNvGraphicFramePr/>
                <a:graphic xmlns:a="http://schemas.openxmlformats.org/drawingml/2006/main">
                  <a:graphicData uri="http://schemas.microsoft.com/office/word/2010/wordprocessingShape">
                    <wps:wsp>
                      <wps:cNvSpPr/>
                      <wps:spPr>
                        <a:xfrm>
                          <a:off x="0" y="0"/>
                          <a:ext cx="6003290" cy="1742536"/>
                        </a:xfrm>
                        <a:prstGeom prst="rect">
                          <a:avLst/>
                        </a:prstGeom>
                        <a:solidFill>
                          <a:sysClr val="window" lastClr="FFFFFF"/>
                        </a:solidFill>
                        <a:ln w="12700"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D9A19AD" id="Obdélník 24" o:spid="_x0000_s1026" style="position:absolute;margin-left:-10.4pt;margin-top:54.55pt;width:472.7pt;height:137.2pt;z-index:-2516193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" fillcolor="window" strokecolor="#00b050" strokeweight="1pt">
                <w10:wrap anchorx="margin"/>
              </v:rect>
            </w:pict>
          </mc:Fallback>
        </mc:AlternateContent>
      </w:r>
      <w:r w:rsidRPr="000839A4">
        <w:t>b)</w:t>
      </w:r>
      <w:r w:rsidRPr="000839A4">
        <w:tab/>
        <w:t xml:space="preserve">položky pro výpočet daně podle písmene a), která se uvádí v daňovém přiznání, na českou měnu kurzem pro přepočet daně pro poslední den zdaňovacího období, </w:t>
      </w:r>
      <w:r w:rsidRPr="000839A4">
        <w:rPr>
          <w:strike/>
        </w:rPr>
        <w:t>období, za které se podává daňové přiznání,</w:t>
      </w:r>
      <w:r w:rsidRPr="000839A4">
        <w:t xml:space="preserve"> nebo části zdaňovacího období, za kterou se podává daňové přiznání, a</w:t>
      </w:r>
    </w:p>
    <w:p w14:paraId="655A3952" w14:textId="77777777" w:rsidR="000839A4" w:rsidRPr="000839A4" w:rsidRDefault="000839A4" w:rsidP="000839A4">
      <w:pPr>
        <w:spacing w:before="0"/>
        <w:ind w:left="425" w:hanging="425"/>
        <w:outlineLvl w:val="7"/>
        <w:rPr>
          <w:b/>
          <w:color w:val="00B050"/>
        </w:rPr>
      </w:pPr>
      <w:r w:rsidRPr="000839A4">
        <w:t>c)</w:t>
      </w:r>
      <w:r w:rsidRPr="000839A4">
        <w:tab/>
      </w:r>
      <w:r w:rsidRPr="000839A4">
        <w:rPr>
          <w:strike/>
        </w:rPr>
        <w:t>majetku</w:t>
      </w:r>
      <w:r w:rsidRPr="000839A4">
        <w:t xml:space="preserve"> </w:t>
      </w:r>
      <w:r w:rsidRPr="000839A4">
        <w:rPr>
          <w:b/>
        </w:rPr>
        <w:t>evidovaných aktiv</w:t>
      </w:r>
      <w:r w:rsidRPr="000839A4">
        <w:t xml:space="preserve">, dluhů, rezerv vytvářených pro daňové účely a jiných položek evidovaných v měně účetnictví na měnu účetnictví </w:t>
      </w:r>
      <w:r w:rsidRPr="000839A4">
        <w:rPr>
          <w:strike/>
          <w:color w:val="00B050"/>
        </w:rPr>
        <w:t xml:space="preserve">obecným kurzem podle zákona upravujícího účetnictví </w:t>
      </w:r>
      <w:r w:rsidRPr="000839A4">
        <w:rPr>
          <w:b/>
          <w:color w:val="00B050"/>
        </w:rPr>
        <w:t xml:space="preserve">kurzem použitým v účetnictví, nebo není-li takový kurz, </w:t>
      </w:r>
      <w:r w:rsidRPr="000839A4">
        <w:rPr>
          <w:b/>
          <w:strike/>
        </w:rPr>
        <w:t>obecným kurzem podle zákona upravujícího účetnictví</w:t>
      </w:r>
      <w:r w:rsidRPr="000839A4">
        <w:rPr>
          <w:b/>
        </w:rPr>
        <w:t xml:space="preserve"> kurzem pro přepočet na měnu účetnictví </w:t>
      </w:r>
      <w:r w:rsidRPr="000839A4">
        <w:rPr>
          <w:b/>
          <w:color w:val="00B050"/>
        </w:rPr>
        <w:t xml:space="preserve">pro poslední den zdaňovacího období, </w:t>
      </w:r>
      <w:r w:rsidRPr="000839A4">
        <w:rPr>
          <w:b/>
          <w:strike/>
        </w:rPr>
        <w:t>období, za které se podává daňové přiznání,</w:t>
      </w:r>
      <w:r w:rsidRPr="000839A4">
        <w:rPr>
          <w:b/>
        </w:rPr>
        <w:t xml:space="preserve"> </w:t>
      </w:r>
      <w:r w:rsidRPr="000839A4">
        <w:rPr>
          <w:b/>
          <w:color w:val="00B050"/>
        </w:rPr>
        <w:t>nebo části zdaňovacího období, za kterou se podává daňové přiznání</w:t>
      </w:r>
      <w:r w:rsidRPr="000839A4">
        <w:t>.</w:t>
      </w:r>
    </w:p>
    <w:p w14:paraId="5155E969" w14:textId="77777777" w:rsidR="000839A4" w:rsidRPr="000839A4" w:rsidRDefault="000839A4" w:rsidP="000839A4">
      <w:pPr>
        <w:spacing w:before="120" w:after="120"/>
        <w:rPr>
          <w:b/>
          <w:strike/>
          <w:noProof/>
          <w:szCs w:val="24"/>
        </w:rPr>
      </w:pPr>
      <w:r w:rsidRPr="000839A4">
        <w:rPr>
          <w:b/>
          <w:strike/>
          <w:noProof/>
          <w:szCs w:val="24"/>
        </w:rPr>
        <w:t>(9) Pro účely daně z příjmů poplatníka daně z příjmů fyzických osob, který je účetní jednotkou a jehož měnou účetnictví je cizí měna, se vychází z účetnictví, jako by byl účetní jednotkou, jejíž měnou účetnictví je česká měna.</w:t>
      </w:r>
    </w:p>
    <w:p w14:paraId="3236710B" w14:textId="3B3BE353" w:rsidR="00D90D00" w:rsidRPr="00D90D00" w:rsidRDefault="00D90D00" w:rsidP="00D90D00">
      <w:pPr>
        <w:keepNext/>
        <w:keepLines/>
        <w:ind w:firstLine="0"/>
        <w:rPr>
          <w:i/>
          <w:noProof/>
          <w:color w:val="FF0000"/>
          <w:szCs w:val="24"/>
        </w:rPr>
      </w:pPr>
      <w:r w:rsidRPr="00D90D00">
        <w:rPr>
          <w:i/>
          <w:noProof/>
          <w:color w:val="FF0000"/>
          <w:szCs w:val="24"/>
        </w:rPr>
        <w:t>Znění účinné od 1. ledna 2027</w:t>
      </w:r>
    </w:p>
    <w:p w14:paraId="67E84D30" w14:textId="67047CD9" w:rsidR="000839A4" w:rsidRPr="00D90D00" w:rsidRDefault="000839A4" w:rsidP="000839A4">
      <w:pPr>
        <w:keepNext/>
        <w:keepLines/>
        <w:ind w:firstLine="0"/>
        <w:jc w:val="center"/>
        <w:rPr>
          <w:noProof/>
          <w:color w:val="FF0000"/>
          <w:szCs w:val="24"/>
        </w:rPr>
      </w:pPr>
      <w:r w:rsidRPr="00D90D00">
        <w:rPr>
          <w:noProof/>
          <w:color w:val="FF0000"/>
          <w:szCs w:val="24"/>
        </w:rPr>
        <w:t>§ 38</w:t>
      </w:r>
    </w:p>
    <w:p w14:paraId="55E627CB" w14:textId="77777777" w:rsidR="000839A4" w:rsidRPr="00D90D00" w:rsidRDefault="000839A4" w:rsidP="000839A4">
      <w:pPr>
        <w:keepNext/>
        <w:keepLines/>
        <w:spacing w:before="120"/>
        <w:ind w:firstLine="0"/>
        <w:jc w:val="center"/>
        <w:rPr>
          <w:b/>
          <w:noProof/>
          <w:color w:val="FF0000"/>
          <w:szCs w:val="24"/>
        </w:rPr>
      </w:pPr>
      <w:r w:rsidRPr="00D90D00">
        <w:rPr>
          <w:b/>
          <w:noProof/>
          <w:color w:val="FF0000"/>
          <w:szCs w:val="24"/>
        </w:rPr>
        <w:t>Přepočet měny pro výpočet daní z příjmů</w:t>
      </w:r>
    </w:p>
    <w:p w14:paraId="79916C29" w14:textId="77777777" w:rsidR="000839A4" w:rsidRPr="00D90D00" w:rsidRDefault="000839A4" w:rsidP="000839A4">
      <w:pPr>
        <w:spacing w:before="120" w:after="120"/>
        <w:rPr>
          <w:noProof/>
          <w:color w:val="FF0000"/>
          <w:szCs w:val="24"/>
        </w:rPr>
      </w:pPr>
      <w:r w:rsidRPr="00D90D00">
        <w:rPr>
          <w:noProof/>
          <w:color w:val="FF0000"/>
          <w:szCs w:val="24"/>
        </w:rPr>
        <w:t xml:space="preserve">(1) Přepočet </w:t>
      </w:r>
      <w:r w:rsidRPr="00D90D00">
        <w:rPr>
          <w:strike/>
          <w:noProof/>
          <w:color w:val="FF0000"/>
          <w:szCs w:val="24"/>
        </w:rPr>
        <w:t>cizí</w:t>
      </w:r>
      <w:r w:rsidRPr="00D90D00">
        <w:rPr>
          <w:noProof/>
          <w:color w:val="FF0000"/>
          <w:szCs w:val="24"/>
        </w:rPr>
        <w:t xml:space="preserve"> </w:t>
      </w:r>
      <w:r w:rsidRPr="00D90D00">
        <w:rPr>
          <w:b/>
          <w:noProof/>
          <w:color w:val="FF0000"/>
          <w:szCs w:val="24"/>
        </w:rPr>
        <w:t xml:space="preserve">jiné </w:t>
      </w:r>
      <w:r w:rsidRPr="00D90D00">
        <w:rPr>
          <w:noProof/>
          <w:color w:val="FF0000"/>
          <w:szCs w:val="24"/>
        </w:rPr>
        <w:t xml:space="preserve">měny na </w:t>
      </w:r>
      <w:r w:rsidRPr="00D90D00">
        <w:rPr>
          <w:strike/>
          <w:noProof/>
          <w:color w:val="FF0000"/>
          <w:szCs w:val="24"/>
        </w:rPr>
        <w:t>českou měnu</w:t>
      </w:r>
      <w:r w:rsidRPr="00D90D00">
        <w:rPr>
          <w:noProof/>
          <w:color w:val="FF0000"/>
          <w:szCs w:val="24"/>
        </w:rPr>
        <w:t xml:space="preserve"> </w:t>
      </w:r>
      <w:r w:rsidRPr="00D90D00">
        <w:rPr>
          <w:b/>
          <w:noProof/>
          <w:color w:val="FF0000"/>
          <w:szCs w:val="24"/>
        </w:rPr>
        <w:t xml:space="preserve">měnu výpočtu daně </w:t>
      </w:r>
      <w:r w:rsidRPr="00D90D00">
        <w:rPr>
          <w:noProof/>
          <w:color w:val="FF0000"/>
          <w:szCs w:val="24"/>
        </w:rPr>
        <w:t xml:space="preserve">provede </w:t>
      </w:r>
    </w:p>
    <w:p w14:paraId="5AEF63CB" w14:textId="77777777" w:rsidR="000839A4" w:rsidRPr="00D90D00" w:rsidRDefault="000839A4" w:rsidP="000839A4">
      <w:pPr>
        <w:spacing w:before="0"/>
        <w:ind w:left="425" w:hanging="425"/>
        <w:outlineLvl w:val="7"/>
        <w:rPr>
          <w:color w:val="FF0000"/>
        </w:rPr>
      </w:pPr>
      <w:r w:rsidRPr="00D90D00">
        <w:rPr>
          <w:color w:val="FF0000"/>
        </w:rPr>
        <w:lastRenderedPageBreak/>
        <w:t>a)</w:t>
      </w:r>
      <w:r w:rsidRPr="00D90D00">
        <w:rPr>
          <w:color w:val="FF0000"/>
        </w:rPr>
        <w:tab/>
        <w:t>poplatník s akruálním základem daně,</w:t>
      </w:r>
    </w:p>
    <w:p w14:paraId="2CD4492D" w14:textId="77777777" w:rsidR="000839A4" w:rsidRPr="00D90D00" w:rsidRDefault="000839A4" w:rsidP="000839A4">
      <w:pPr>
        <w:tabs>
          <w:tab w:val="left" w:pos="357"/>
        </w:tabs>
        <w:spacing w:before="0"/>
        <w:ind w:left="714" w:hanging="357"/>
        <w:rPr>
          <w:noProof/>
          <w:color w:val="FF0000"/>
          <w:szCs w:val="24"/>
        </w:rPr>
      </w:pPr>
      <w:r w:rsidRPr="00D90D00">
        <w:rPr>
          <w:noProof/>
          <w:color w:val="FF0000"/>
          <w:szCs w:val="24"/>
        </w:rPr>
        <w:t>1.</w:t>
      </w:r>
      <w:r w:rsidRPr="00D90D00">
        <w:rPr>
          <w:noProof/>
          <w:color w:val="FF0000"/>
          <w:szCs w:val="24"/>
        </w:rPr>
        <w:tab/>
        <w:t xml:space="preserve">kurzem použitým v účetnictví, pokud se jedná o položku pro výpočet daně, o které se účtuje, </w:t>
      </w:r>
      <w:r w:rsidRPr="00D90D00">
        <w:rPr>
          <w:strike/>
          <w:noProof/>
          <w:color w:val="FF0000"/>
          <w:szCs w:val="24"/>
        </w:rPr>
        <w:t>a měnou účetnictví poplatníka je česká měna,</w:t>
      </w:r>
    </w:p>
    <w:p w14:paraId="6708026F" w14:textId="77777777" w:rsidR="000839A4" w:rsidRPr="00D90D00" w:rsidRDefault="000839A4" w:rsidP="000839A4">
      <w:pPr>
        <w:tabs>
          <w:tab w:val="left" w:pos="357"/>
        </w:tabs>
        <w:spacing w:before="0"/>
        <w:ind w:left="714" w:hanging="357"/>
        <w:rPr>
          <w:noProof/>
          <w:color w:val="FF0000"/>
          <w:szCs w:val="24"/>
        </w:rPr>
      </w:pPr>
      <w:r w:rsidRPr="00D90D00">
        <w:rPr>
          <w:noProof/>
          <w:color w:val="FF0000"/>
          <w:szCs w:val="24"/>
        </w:rPr>
        <w:t>2.</w:t>
      </w:r>
      <w:r w:rsidRPr="00D90D00">
        <w:rPr>
          <w:noProof/>
          <w:color w:val="FF0000"/>
          <w:szCs w:val="24"/>
        </w:rPr>
        <w:tab/>
        <w:t xml:space="preserve">kurzem </w:t>
      </w:r>
      <w:r w:rsidRPr="00D90D00">
        <w:rPr>
          <w:strike/>
          <w:noProof/>
          <w:color w:val="FF0000"/>
          <w:szCs w:val="24"/>
        </w:rPr>
        <w:t>pro přepočet daně</w:t>
      </w:r>
      <w:r w:rsidRPr="00D90D00">
        <w:rPr>
          <w:noProof/>
          <w:color w:val="FF0000"/>
          <w:szCs w:val="24"/>
        </w:rPr>
        <w:t xml:space="preserve"> </w:t>
      </w:r>
      <w:r w:rsidRPr="00D90D00">
        <w:rPr>
          <w:b/>
          <w:noProof/>
          <w:color w:val="FF0000"/>
          <w:szCs w:val="24"/>
        </w:rPr>
        <w:t xml:space="preserve">přepočtu na měnu účetnictví </w:t>
      </w:r>
      <w:r w:rsidRPr="00D90D00">
        <w:rPr>
          <w:noProof/>
          <w:color w:val="FF0000"/>
          <w:szCs w:val="24"/>
        </w:rPr>
        <w:t>pro poslední den zdaňovacího období, nebo části zdaňovacího období, za kterou se podává daňové přiznání, pokud se jedná o položku pro výpočet daně, o které se neúčtuje,</w:t>
      </w:r>
    </w:p>
    <w:p w14:paraId="39525A48" w14:textId="77777777" w:rsidR="000839A4" w:rsidRPr="00D90D00" w:rsidRDefault="000839A4" w:rsidP="000839A4">
      <w:pPr>
        <w:spacing w:before="0"/>
        <w:ind w:left="425" w:hanging="425"/>
        <w:outlineLvl w:val="7"/>
        <w:rPr>
          <w:color w:val="FF0000"/>
        </w:rPr>
      </w:pPr>
      <w:r w:rsidRPr="00D90D00">
        <w:rPr>
          <w:color w:val="FF0000"/>
        </w:rPr>
        <w:t>b)</w:t>
      </w:r>
      <w:r w:rsidRPr="00D90D00">
        <w:rPr>
          <w:color w:val="FF0000"/>
        </w:rPr>
        <w:tab/>
        <w:t>poplatník s hotovostním základem daně,</w:t>
      </w:r>
    </w:p>
    <w:p w14:paraId="275E3C99" w14:textId="77777777" w:rsidR="000839A4" w:rsidRPr="00D90D00" w:rsidRDefault="000839A4" w:rsidP="000839A4">
      <w:pPr>
        <w:tabs>
          <w:tab w:val="left" w:pos="357"/>
        </w:tabs>
        <w:spacing w:before="0"/>
        <w:ind w:left="714" w:hanging="357"/>
        <w:rPr>
          <w:noProof/>
          <w:color w:val="FF0000"/>
          <w:szCs w:val="24"/>
        </w:rPr>
      </w:pPr>
      <w:r w:rsidRPr="00D90D00">
        <w:rPr>
          <w:noProof/>
          <w:color w:val="FF0000"/>
          <w:szCs w:val="24"/>
        </w:rPr>
        <w:t>1.</w:t>
      </w:r>
      <w:r w:rsidRPr="00D90D00">
        <w:rPr>
          <w:noProof/>
          <w:color w:val="FF0000"/>
          <w:szCs w:val="24"/>
        </w:rPr>
        <w:tab/>
        <w:t>kurzem pro přepočet daně pro den vzniku příjmu, výdaje nebo jiné položky pro výpočet daně, nebo</w:t>
      </w:r>
    </w:p>
    <w:p w14:paraId="65477526" w14:textId="77777777" w:rsidR="000839A4" w:rsidRPr="00D90D00" w:rsidRDefault="000839A4" w:rsidP="000839A4">
      <w:pPr>
        <w:tabs>
          <w:tab w:val="left" w:pos="357"/>
        </w:tabs>
        <w:spacing w:before="0"/>
        <w:ind w:left="714" w:hanging="357"/>
        <w:rPr>
          <w:noProof/>
          <w:color w:val="FF0000"/>
          <w:szCs w:val="24"/>
        </w:rPr>
      </w:pPr>
      <w:r w:rsidRPr="00D90D00">
        <w:rPr>
          <w:noProof/>
          <w:color w:val="FF0000"/>
          <w:szCs w:val="24"/>
        </w:rPr>
        <w:t>2.</w:t>
      </w:r>
      <w:r w:rsidRPr="00D90D00">
        <w:rPr>
          <w:noProof/>
          <w:color w:val="FF0000"/>
          <w:szCs w:val="24"/>
        </w:rPr>
        <w:tab/>
        <w:t>jednotným kurzem.</w:t>
      </w:r>
    </w:p>
    <w:p w14:paraId="01661C28" w14:textId="77777777" w:rsidR="000839A4" w:rsidRPr="00D90D00" w:rsidRDefault="000839A4" w:rsidP="000839A4">
      <w:pPr>
        <w:spacing w:before="120" w:after="120"/>
        <w:rPr>
          <w:noProof/>
          <w:color w:val="FF0000"/>
          <w:szCs w:val="24"/>
        </w:rPr>
      </w:pPr>
      <w:r w:rsidRPr="00D90D00">
        <w:rPr>
          <w:noProof/>
          <w:color w:val="FF0000"/>
          <w:szCs w:val="24"/>
        </w:rPr>
        <w:t>(2) Při přepočtu daně z úroků (úrokového příjmu) plynoucích v cizí měně z účtu, který není podle podmínek toho, kdo účet vede, určen k podnikání, a z vkladního listu, z nichž je daň vybírána zvláštní sazbou podle § 36, se použije pro přepočet na českou měnu kurz pro přepočet daně pro den připsání úroků ve prospěch poplatníka. Takto vypočtená daň se nezaokrouhluje.</w:t>
      </w:r>
    </w:p>
    <w:p w14:paraId="4552ECD8" w14:textId="77777777" w:rsidR="000839A4" w:rsidRPr="00D90D00" w:rsidRDefault="000839A4" w:rsidP="000839A4">
      <w:pPr>
        <w:spacing w:before="120" w:after="120"/>
        <w:rPr>
          <w:noProof/>
          <w:color w:val="FF0000"/>
          <w:szCs w:val="24"/>
        </w:rPr>
      </w:pPr>
      <w:r w:rsidRPr="00D90D00">
        <w:rPr>
          <w:noProof/>
          <w:color w:val="FF0000"/>
          <w:szCs w:val="24"/>
        </w:rPr>
        <w:t>(3) Při přepočtu základu daně pro zvláštní sazbu daně (§ 36) vztahující se na příjmy plynoucí v cizí měně, s výjimkou úroků plynoucích v cizí měně z účtu, který není podle podmínek toho, kdo účet vede, určen k podnikání, a z vkladního listu, použije plátce daně pro přepočet na českou měnu kurz použitý v účetnictví nebo kurz pro přepočet daně, není-li kurz použitý v účetnictví uplatnitelný pro přepočet toho příjmu na českou měnu. Obdobně se postupuje při přepočtu příjmu plynoucího v cizí měně, ze kterého se sráží zajištění daně, na českou měnu.</w:t>
      </w:r>
    </w:p>
    <w:p w14:paraId="1954EACC" w14:textId="77777777" w:rsidR="000839A4" w:rsidRPr="00D90D00" w:rsidRDefault="000839A4" w:rsidP="000839A4">
      <w:pPr>
        <w:spacing w:before="120" w:after="120"/>
        <w:rPr>
          <w:noProof/>
          <w:color w:val="FF0000"/>
          <w:szCs w:val="24"/>
        </w:rPr>
      </w:pPr>
      <w:r w:rsidRPr="00D90D00">
        <w:rPr>
          <w:noProof/>
          <w:color w:val="FF0000"/>
          <w:szCs w:val="24"/>
        </w:rPr>
        <w:t>(4) Při přepočtu příjmu pro výpočet zálohy na daň z příjmů ze závislé činnosti a pro účely ročního zúčtování se použije kurz pro přepočet daně pro poslední den kalendářního měsíce předcházejícího měsíci, v jehož průběhu se záloha sráží.</w:t>
      </w:r>
    </w:p>
    <w:p w14:paraId="69C04842" w14:textId="77777777" w:rsidR="000839A4" w:rsidRPr="00D90D00" w:rsidRDefault="000839A4" w:rsidP="000839A4">
      <w:pPr>
        <w:spacing w:before="120" w:after="120"/>
        <w:rPr>
          <w:strike/>
          <w:noProof/>
          <w:color w:val="FF0000"/>
          <w:szCs w:val="24"/>
        </w:rPr>
      </w:pPr>
      <w:r w:rsidRPr="00D90D00">
        <w:rPr>
          <w:strike/>
          <w:noProof/>
          <w:color w:val="FF0000"/>
          <w:szCs w:val="24"/>
        </w:rPr>
        <w:t>(5) Kurzem pro přepočet daně se pro účely daní z příjmů rozumí kurz devizového trhu vyhlášený Českou národní bankou.</w:t>
      </w:r>
    </w:p>
    <w:p w14:paraId="10A0F601" w14:textId="77777777" w:rsidR="000839A4" w:rsidRPr="00D90D00" w:rsidRDefault="000839A4" w:rsidP="000839A4">
      <w:pPr>
        <w:spacing w:before="120" w:after="120"/>
        <w:rPr>
          <w:strike/>
          <w:noProof/>
          <w:color w:val="FF0000"/>
          <w:szCs w:val="24"/>
        </w:rPr>
      </w:pPr>
      <w:r w:rsidRPr="00D90D00">
        <w:rPr>
          <w:strike/>
          <w:noProof/>
          <w:color w:val="FF0000"/>
          <w:szCs w:val="24"/>
        </w:rPr>
        <w:t>(6) Není-li k cizí měně Českou národní bankou vyhlašován kurz devizového trhu, za kurz pro přepočet daně se považuje kurz</w:t>
      </w:r>
    </w:p>
    <w:p w14:paraId="0A0A38AB" w14:textId="77777777" w:rsidR="000839A4" w:rsidRPr="00D90D00" w:rsidRDefault="000839A4" w:rsidP="000839A4">
      <w:pPr>
        <w:spacing w:before="0"/>
        <w:ind w:left="425" w:hanging="425"/>
        <w:outlineLvl w:val="7"/>
        <w:rPr>
          <w:strike/>
          <w:color w:val="FF0000"/>
        </w:rPr>
      </w:pPr>
      <w:r w:rsidRPr="00D90D00">
        <w:rPr>
          <w:strike/>
          <w:color w:val="FF0000"/>
        </w:rPr>
        <w:t>a)</w:t>
      </w:r>
      <w:r w:rsidRPr="00D90D00">
        <w:rPr>
          <w:strike/>
          <w:color w:val="FF0000"/>
        </w:rPr>
        <w:tab/>
        <w:t>ostatních měn vyhlášený Českou národní bankou k cizí měně, nebo</w:t>
      </w:r>
    </w:p>
    <w:p w14:paraId="452CA35B" w14:textId="77777777" w:rsidR="000839A4" w:rsidRPr="00D90D00" w:rsidRDefault="000839A4" w:rsidP="000839A4">
      <w:pPr>
        <w:spacing w:before="0"/>
        <w:ind w:left="425" w:hanging="425"/>
        <w:outlineLvl w:val="7"/>
        <w:rPr>
          <w:strike/>
          <w:color w:val="FF0000"/>
        </w:rPr>
      </w:pPr>
      <w:r w:rsidRPr="00D90D00">
        <w:rPr>
          <w:strike/>
          <w:color w:val="FF0000"/>
        </w:rPr>
        <w:t>b)</w:t>
      </w:r>
      <w:r w:rsidRPr="00D90D00">
        <w:rPr>
          <w:strike/>
          <w:color w:val="FF0000"/>
        </w:rPr>
        <w:tab/>
        <w:t>vyhlášený k euru nebo americkému dolaru centrální bankou příslušnou pro cizí měnu, přepočítaný na českou měnu kurzem devizového trhu vyhlášeným Českou národní bankou k euru nebo americkému dolaru.</w:t>
      </w:r>
    </w:p>
    <w:p w14:paraId="5C83AC7A" w14:textId="77777777" w:rsidR="000839A4" w:rsidRPr="00D90D00" w:rsidRDefault="000839A4" w:rsidP="000839A4">
      <w:pPr>
        <w:spacing w:before="120" w:after="120"/>
        <w:rPr>
          <w:b/>
          <w:noProof/>
          <w:color w:val="FF0000"/>
          <w:szCs w:val="24"/>
        </w:rPr>
      </w:pPr>
      <w:r w:rsidRPr="00D90D00">
        <w:rPr>
          <w:b/>
          <w:noProof/>
          <w:color w:val="FF0000"/>
          <w:szCs w:val="24"/>
        </w:rPr>
        <w:t xml:space="preserve">(5) </w:t>
      </w:r>
      <w:r w:rsidRPr="00D90D00">
        <w:rPr>
          <w:noProof/>
          <w:color w:val="FF0000"/>
          <w:szCs w:val="24"/>
        </w:rPr>
        <w:t>Kurzem</w:t>
      </w:r>
      <w:r w:rsidRPr="00D90D00">
        <w:rPr>
          <w:b/>
          <w:noProof/>
          <w:color w:val="FF0000"/>
          <w:szCs w:val="24"/>
        </w:rPr>
        <w:t xml:space="preserve"> pro přepočet daně se pro účely daní z příjmů rozumí kurz</w:t>
      </w:r>
    </w:p>
    <w:p w14:paraId="427CBD08" w14:textId="77777777" w:rsidR="000839A4" w:rsidRPr="00D90D00" w:rsidRDefault="000839A4" w:rsidP="000839A4">
      <w:pPr>
        <w:spacing w:before="0"/>
        <w:ind w:left="425" w:hanging="425"/>
        <w:outlineLvl w:val="7"/>
        <w:rPr>
          <w:b/>
          <w:color w:val="FF0000"/>
        </w:rPr>
      </w:pPr>
      <w:r w:rsidRPr="00D90D00">
        <w:rPr>
          <w:b/>
          <w:color w:val="FF0000"/>
        </w:rPr>
        <w:t xml:space="preserve">a) </w:t>
      </w:r>
      <w:r w:rsidRPr="00D90D00">
        <w:rPr>
          <w:b/>
          <w:color w:val="FF0000"/>
        </w:rPr>
        <w:tab/>
        <w:t>devizového trhu vyhlášený Českou národní bankou, jedná-li se o přepočet české měny na cizí měnu nebo cizí měny na českou měnu, nebo</w:t>
      </w:r>
    </w:p>
    <w:p w14:paraId="466CA749" w14:textId="77777777" w:rsidR="000839A4" w:rsidRPr="00D90D00" w:rsidRDefault="000839A4" w:rsidP="000839A4">
      <w:pPr>
        <w:spacing w:before="0"/>
        <w:ind w:left="425" w:hanging="425"/>
        <w:outlineLvl w:val="7"/>
        <w:rPr>
          <w:b/>
          <w:color w:val="FF0000"/>
        </w:rPr>
      </w:pPr>
      <w:r w:rsidRPr="00D90D00">
        <w:rPr>
          <w:b/>
          <w:color w:val="FF0000"/>
        </w:rPr>
        <w:t xml:space="preserve">b) </w:t>
      </w:r>
      <w:r w:rsidRPr="00D90D00">
        <w:rPr>
          <w:b/>
          <w:color w:val="FF0000"/>
        </w:rPr>
        <w:tab/>
        <w:t>cizí měny, ve které se spravuje daň, vyhlašovaný centrální bankou příslušnou pro tuto měnu každý pracovní den nebo každý týden, jedná-li se o přepočet cizí měny na jinou cizí měnu.</w:t>
      </w:r>
    </w:p>
    <w:p w14:paraId="515A6B05" w14:textId="77777777" w:rsidR="000839A4" w:rsidRPr="00D90D00" w:rsidRDefault="000839A4" w:rsidP="000839A4">
      <w:pPr>
        <w:spacing w:before="120" w:after="120"/>
        <w:rPr>
          <w:b/>
          <w:noProof/>
          <w:color w:val="FF0000"/>
          <w:szCs w:val="24"/>
        </w:rPr>
      </w:pPr>
      <w:r w:rsidRPr="00D90D00">
        <w:rPr>
          <w:b/>
          <w:noProof/>
          <w:color w:val="FF0000"/>
          <w:szCs w:val="24"/>
        </w:rPr>
        <w:t xml:space="preserve"> (6) Má-li být pro účely daní použit kurz vyhlašovaný centrální bankou každý pracovní den nebo každý týden a centrální banka takový kurz nevyhlašuje, použije se </w:t>
      </w:r>
    </w:p>
    <w:p w14:paraId="14C86DF2" w14:textId="77777777" w:rsidR="000839A4" w:rsidRPr="00D90D00" w:rsidRDefault="000839A4" w:rsidP="000839A4">
      <w:pPr>
        <w:spacing w:before="0"/>
        <w:ind w:left="425" w:hanging="425"/>
        <w:outlineLvl w:val="7"/>
        <w:rPr>
          <w:b/>
          <w:color w:val="FF0000"/>
        </w:rPr>
      </w:pPr>
      <w:r w:rsidRPr="00D90D00">
        <w:rPr>
          <w:b/>
          <w:color w:val="FF0000"/>
        </w:rPr>
        <w:t>a)</w:t>
      </w:r>
      <w:r w:rsidRPr="00D90D00">
        <w:rPr>
          <w:b/>
          <w:color w:val="FF0000"/>
        </w:rPr>
        <w:tab/>
        <w:t>kurz vyhlašovaný centrální bankou cizí měny, ve které se nespravuje daň, každý pracovní den nebo každý týden,</w:t>
      </w:r>
    </w:p>
    <w:p w14:paraId="682E8932" w14:textId="77777777" w:rsidR="000839A4" w:rsidRPr="00D90D00" w:rsidRDefault="000839A4" w:rsidP="000839A4">
      <w:pPr>
        <w:spacing w:before="0"/>
        <w:ind w:left="425" w:hanging="425"/>
        <w:outlineLvl w:val="7"/>
        <w:rPr>
          <w:b/>
          <w:color w:val="FF0000"/>
        </w:rPr>
      </w:pPr>
      <w:r w:rsidRPr="00D90D00">
        <w:rPr>
          <w:b/>
          <w:color w:val="FF0000"/>
        </w:rPr>
        <w:t>b)</w:t>
      </w:r>
      <w:r w:rsidRPr="00D90D00">
        <w:rPr>
          <w:b/>
          <w:color w:val="FF0000"/>
        </w:rPr>
        <w:tab/>
        <w:t xml:space="preserve">kurz vyhlašovaný centrální bankou cizí měny, ve které se nespravuje daň, každý pracovní den nebo každý týden k euru nebo americkému dolaru a devizový kurz vyhlášený Českou národní bankou k euru nebo americkému dolaru, nebo </w:t>
      </w:r>
    </w:p>
    <w:p w14:paraId="5C522A6A" w14:textId="77777777" w:rsidR="000839A4" w:rsidRPr="00D90D00" w:rsidRDefault="000839A4" w:rsidP="000839A4">
      <w:pPr>
        <w:spacing w:before="0"/>
        <w:ind w:left="425" w:hanging="425"/>
        <w:outlineLvl w:val="7"/>
        <w:rPr>
          <w:b/>
          <w:color w:val="FF0000"/>
        </w:rPr>
      </w:pPr>
      <w:r w:rsidRPr="00D90D00">
        <w:rPr>
          <w:b/>
          <w:color w:val="FF0000"/>
        </w:rPr>
        <w:lastRenderedPageBreak/>
        <w:t>c)</w:t>
      </w:r>
      <w:r w:rsidRPr="00D90D00">
        <w:rPr>
          <w:b/>
          <w:color w:val="FF0000"/>
        </w:rPr>
        <w:tab/>
        <w:t xml:space="preserve">kurz ostatních měn vyhlášený Českou národní bankou k cizí měně, jsou-li obtížně zjistitelné kurzy podle písmen a) a b). </w:t>
      </w:r>
    </w:p>
    <w:p w14:paraId="573209E2" w14:textId="77777777" w:rsidR="000839A4" w:rsidRPr="00D90D00" w:rsidRDefault="000839A4" w:rsidP="000839A4">
      <w:pPr>
        <w:spacing w:before="120" w:after="120"/>
        <w:rPr>
          <w:noProof/>
          <w:color w:val="FF0000"/>
          <w:szCs w:val="24"/>
        </w:rPr>
      </w:pPr>
      <w:r w:rsidRPr="00D90D00">
        <w:rPr>
          <w:noProof/>
          <w:color w:val="FF0000"/>
          <w:szCs w:val="24"/>
        </w:rPr>
        <w:t>(7) Jednotným kurzem se pro účely daní z příjmů rozumí kurz určený průměrem kurzů devizového trhu vyhlášených Českou národní bankou pro poslední den každého započatého kalendářního měsíce zdaňovacího období, nebo části zdaňovacího období, za kterou se podává daňové přiznání. V rámci zdaňovacího období nebo období, za které se podává daňové přiznání, nelze použít kurz pro přepočet daně a jednotný kurz současně.</w:t>
      </w:r>
    </w:p>
    <w:p w14:paraId="35B21A17" w14:textId="77777777" w:rsidR="000839A4" w:rsidRPr="00D90D00" w:rsidRDefault="000839A4" w:rsidP="000839A4">
      <w:pPr>
        <w:spacing w:before="120" w:after="120"/>
        <w:rPr>
          <w:strike/>
          <w:noProof/>
          <w:color w:val="FF0000"/>
          <w:szCs w:val="24"/>
        </w:rPr>
      </w:pPr>
      <w:r w:rsidRPr="00D90D00">
        <w:rPr>
          <w:strike/>
          <w:noProof/>
          <w:color w:val="FF0000"/>
          <w:szCs w:val="24"/>
        </w:rPr>
        <w:t xml:space="preserve">(8) Poplatník s akruálním základem daně, jehož měnou účetnictví je cizí měna, provede přepočet </w:t>
      </w:r>
    </w:p>
    <w:p w14:paraId="0C9FA8EB" w14:textId="77777777" w:rsidR="000839A4" w:rsidRPr="00D90D00" w:rsidRDefault="000839A4" w:rsidP="000839A4">
      <w:pPr>
        <w:spacing w:before="0"/>
        <w:ind w:left="425" w:hanging="425"/>
        <w:outlineLvl w:val="7"/>
        <w:rPr>
          <w:strike/>
          <w:color w:val="FF0000"/>
        </w:rPr>
      </w:pPr>
      <w:r w:rsidRPr="00D90D00">
        <w:rPr>
          <w:strike/>
          <w:color w:val="FF0000"/>
        </w:rPr>
        <w:t>a)</w:t>
      </w:r>
      <w:r w:rsidRPr="00D90D00">
        <w:rPr>
          <w:strike/>
          <w:color w:val="FF0000"/>
        </w:rPr>
        <w:tab/>
        <w:t>jiné měny na měnu účetnictví kurzem použitým v účetnictví, pokud se jedná o položku pro výpočet daně, o které se účtuje,</w:t>
      </w:r>
    </w:p>
    <w:p w14:paraId="641FFA90" w14:textId="77777777" w:rsidR="000839A4" w:rsidRPr="00D90D00" w:rsidRDefault="000839A4" w:rsidP="000839A4">
      <w:pPr>
        <w:spacing w:before="0"/>
        <w:ind w:left="425" w:hanging="425"/>
        <w:outlineLvl w:val="7"/>
        <w:rPr>
          <w:strike/>
          <w:color w:val="FF0000"/>
        </w:rPr>
      </w:pPr>
      <w:r w:rsidRPr="00D90D00">
        <w:rPr>
          <w:strike/>
          <w:color w:val="FF0000"/>
        </w:rPr>
        <w:t>b)</w:t>
      </w:r>
      <w:r w:rsidRPr="00D90D00">
        <w:rPr>
          <w:strike/>
          <w:color w:val="FF0000"/>
        </w:rPr>
        <w:tab/>
        <w:t>položky pro výpočet daně podle písmene a), která se uvádí v daňovém přiznání, na českou měnu kurzem pro přepočet daně pro poslední den zdaňovacího období, nebo části zdaňovacího období, za kterou se podává daňové přiznání, a</w:t>
      </w:r>
    </w:p>
    <w:p w14:paraId="39DC532F" w14:textId="77777777" w:rsidR="000839A4" w:rsidRPr="00D90D00" w:rsidRDefault="000839A4" w:rsidP="000839A4">
      <w:pPr>
        <w:spacing w:before="0"/>
        <w:ind w:left="425" w:hanging="425"/>
        <w:outlineLvl w:val="7"/>
        <w:rPr>
          <w:strike/>
          <w:color w:val="FF0000"/>
        </w:rPr>
      </w:pPr>
      <w:r w:rsidRPr="00D90D00">
        <w:rPr>
          <w:strike/>
          <w:color w:val="FF0000"/>
        </w:rPr>
        <w:t>c)</w:t>
      </w:r>
      <w:r w:rsidRPr="00D90D00">
        <w:rPr>
          <w:strike/>
          <w:color w:val="FF0000"/>
        </w:rPr>
        <w:tab/>
        <w:t>evidovaných aktiv, dluhů, rezerv vytvářených pro daňové účely a jiných položek evidovaných v měně účetnictví na měnu účetnictví kurzem použitým v účetnictví, nebo není-li takový kurz, kurzem pro přepočet na měnu účetnictví pro poslední den zdaňovacího období, nebo části zdaňovacího období, za kterou se podává daňové přiznání.</w:t>
      </w:r>
    </w:p>
    <w:p w14:paraId="547008FD" w14:textId="77777777" w:rsidR="000839A4" w:rsidRPr="000839A4" w:rsidRDefault="000839A4" w:rsidP="000839A4">
      <w:pPr>
        <w:keepNext/>
        <w:ind w:firstLine="0"/>
        <w:jc w:val="center"/>
        <w:rPr>
          <w:szCs w:val="24"/>
        </w:rPr>
      </w:pPr>
      <w:r w:rsidRPr="000839A4">
        <w:rPr>
          <w:szCs w:val="24"/>
        </w:rPr>
        <w:t>§ 38a</w:t>
      </w:r>
    </w:p>
    <w:p w14:paraId="6915C6B9" w14:textId="77777777" w:rsidR="000839A4" w:rsidRPr="000839A4" w:rsidRDefault="000839A4" w:rsidP="000839A4">
      <w:pPr>
        <w:keepNext/>
        <w:ind w:firstLine="0"/>
        <w:jc w:val="center"/>
        <w:rPr>
          <w:b/>
          <w:szCs w:val="24"/>
        </w:rPr>
      </w:pPr>
      <w:r w:rsidRPr="000839A4">
        <w:rPr>
          <w:b/>
          <w:szCs w:val="24"/>
        </w:rPr>
        <w:t xml:space="preserve">Zálohy </w:t>
      </w:r>
    </w:p>
    <w:p w14:paraId="037587DE" w14:textId="77777777" w:rsidR="000839A4" w:rsidRPr="000839A4" w:rsidRDefault="000839A4" w:rsidP="000839A4">
      <w:pPr>
        <w:spacing w:before="120" w:after="120"/>
        <w:rPr>
          <w:szCs w:val="24"/>
        </w:rPr>
      </w:pPr>
      <w:r w:rsidRPr="000839A4">
        <w:rPr>
          <w:szCs w:val="24"/>
        </w:rPr>
        <w:t xml:space="preserve">(1) Zálohy na daň z příjmů se platí v průběhu zálohového období. Zálohové období je období od prvního dne následujícího po uplynutí posledního dne lhůty pro podání daňového přiznání za minulé zdaňovací období do posledního dne lhůty pro podání daňového přiznání v následujícím zdaňovacím období. Při stanovení výše a periodicity záloh se vychází z poslední známé daňové povinnosti. Za poslední známou daňovou povinnost se pro stanovení periodicity a výše záloh v zálohovém období považuje rovněž částka, kterou si poplatník sám vypočetl a uvedl v daňovém (dodatečném) přiznání za období bezprostředně předcházející zdaňovacímu období, s platností od následujícího dne po termínu pro podání daňového (dodatečného) přiznání, a bylo-li daňové (dodatečné) přiznání podáno opožděně, s platností od následujícího dne po dni jeho podání, do účinnosti další změny poslední známé daňové povinnosti podle tohoto ustanovení nebo zvláštního právního předpisu. Poplatník uvedený v § 2 pro účely výpočtu poslední známé daňové povinnosti však vyloučí příjmy a výdaje podle § 10. Po skončení zdaňovacího období </w:t>
      </w:r>
      <w:r w:rsidRPr="000839A4">
        <w:rPr>
          <w:strike/>
          <w:szCs w:val="24"/>
        </w:rPr>
        <w:t>nebo období, za něž je podáváno daňové přiznán</w:t>
      </w:r>
      <w:r w:rsidRPr="000839A4">
        <w:rPr>
          <w:szCs w:val="24"/>
        </w:rPr>
        <w:t>í</w:t>
      </w:r>
      <w:r w:rsidRPr="000839A4">
        <w:rPr>
          <w:strike/>
          <w:szCs w:val="24"/>
        </w:rPr>
        <w:t>,</w:t>
      </w:r>
      <w:r w:rsidRPr="000839A4">
        <w:rPr>
          <w:szCs w:val="24"/>
        </w:rPr>
        <w:t xml:space="preserve"> se zaplacené zálohy na daň, splatné v jeho průběhu, započítávají na úhradu skutečné výše daně. Ze záloh, u nichž došlo k prodlení s placením, se na úhradu skutečné výše daně započítají pouze zálohy zaplacené do lhůty pro podání daňového přiznání. Do poslední známé daňové povinnosti se nezahrnuje daň ze samostatného základu daně zdaňovaného sazbou daně podle § 16a nebo § 21 odst. 4 a </w:t>
      </w:r>
      <w:r w:rsidRPr="000839A4">
        <w:rPr>
          <w:noProof/>
          <w:szCs w:val="24"/>
        </w:rPr>
        <w:t>daň z neočekávaných zisků</w:t>
      </w:r>
      <w:r w:rsidRPr="000839A4">
        <w:rPr>
          <w:szCs w:val="24"/>
        </w:rPr>
        <w:t>. Záloha na daň se spravuje jako daň podle daňového řádu.</w:t>
      </w:r>
    </w:p>
    <w:p w14:paraId="4EEA0F43" w14:textId="77777777" w:rsidR="000839A4" w:rsidRPr="000839A4" w:rsidRDefault="000839A4" w:rsidP="000839A4">
      <w:pPr>
        <w:spacing w:before="120" w:after="120"/>
        <w:rPr>
          <w:szCs w:val="24"/>
        </w:rPr>
      </w:pPr>
      <w:r w:rsidRPr="000839A4">
        <w:rPr>
          <w:szCs w:val="24"/>
        </w:rPr>
        <w:t xml:space="preserve">(2) Zálohy neplatí </w:t>
      </w:r>
    </w:p>
    <w:p w14:paraId="04585F5A"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poplatník, jehož poslední známá daňová povinnost nepřesáhla 30 000 Kč,</w:t>
      </w:r>
    </w:p>
    <w:p w14:paraId="4D4EA349"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 xml:space="preserve">obec nebo kraj, </w:t>
      </w:r>
    </w:p>
    <w:p w14:paraId="5CDB0C12" w14:textId="77777777" w:rsidR="000839A4" w:rsidRPr="000839A4" w:rsidRDefault="000839A4" w:rsidP="000839A4">
      <w:pPr>
        <w:tabs>
          <w:tab w:val="left" w:pos="357"/>
        </w:tabs>
        <w:spacing w:before="0"/>
        <w:ind w:left="357" w:hanging="357"/>
        <w:rPr>
          <w:szCs w:val="24"/>
        </w:rPr>
      </w:pPr>
      <w:r w:rsidRPr="000839A4">
        <w:rPr>
          <w:szCs w:val="24"/>
        </w:rPr>
        <w:t>c)</w:t>
      </w:r>
      <w:r w:rsidRPr="000839A4">
        <w:rPr>
          <w:szCs w:val="24"/>
        </w:rPr>
        <w:tab/>
        <w:t>zůstavitel ode dne jeho smrti.</w:t>
      </w:r>
    </w:p>
    <w:p w14:paraId="5A6B0599" w14:textId="77777777" w:rsidR="000839A4" w:rsidRPr="000839A4" w:rsidRDefault="000839A4" w:rsidP="000839A4">
      <w:pPr>
        <w:spacing w:before="120" w:after="120"/>
        <w:rPr>
          <w:szCs w:val="24"/>
        </w:rPr>
      </w:pPr>
      <w:r w:rsidRPr="000839A4">
        <w:rPr>
          <w:szCs w:val="24"/>
        </w:rPr>
        <w:t xml:space="preserve"> (3) Poplatníci, jejichž poslední známá daňová povinnost přesáhla 30 000 Kč, avšak nepřesáhla 150 000 Kč, platí zálohy na daň na zdaňovací období, a to ve výši 40 % poslední </w:t>
      </w:r>
      <w:r w:rsidRPr="000839A4">
        <w:rPr>
          <w:szCs w:val="24"/>
        </w:rPr>
        <w:lastRenderedPageBreak/>
        <w:t>známé daňové povinnosti. První záloha je splatná do 15. dne šestého měsíce zdaňovacího období a druhá je splatná do 15. dne dvanáctého měsíce zdaňovacího období.</w:t>
      </w:r>
    </w:p>
    <w:p w14:paraId="56C2B079" w14:textId="77777777" w:rsidR="000839A4" w:rsidRPr="000839A4" w:rsidRDefault="000839A4" w:rsidP="000839A4">
      <w:pPr>
        <w:spacing w:before="120" w:after="120"/>
        <w:rPr>
          <w:szCs w:val="24"/>
        </w:rPr>
      </w:pPr>
      <w:r w:rsidRPr="000839A4">
        <w:rPr>
          <w:szCs w:val="24"/>
        </w:rPr>
        <w:t>(4) Poplatníci, jejichž poslední známá daňová povinnost přesáhla 150 000 Kč, platí zálohy na daň na zdaňovací období, a to ve výši 1/4 poslední známé daňové povinnosti. První záloha je splatná do 15. dne třetího měsíce zdaňovacího období, druhá záloha je splatná do 15. dne šestého měsíce zdaňovacího období, třetí záloha je splatná do 15. dne devátého měsíce zdaňovacího období a čtvrtá záloha je splatná do 15. dne dvanáctého měsíce zdaňovacího období.</w:t>
      </w:r>
    </w:p>
    <w:p w14:paraId="05F8EF65" w14:textId="77777777" w:rsidR="000839A4" w:rsidRPr="000839A4" w:rsidRDefault="000839A4" w:rsidP="000839A4">
      <w:pPr>
        <w:spacing w:before="120" w:after="120"/>
        <w:rPr>
          <w:szCs w:val="24"/>
        </w:rPr>
      </w:pPr>
      <w:r w:rsidRPr="000839A4">
        <w:rPr>
          <w:szCs w:val="24"/>
        </w:rPr>
        <w:t>(5) Poplatník, u něhož základ daně tvoří součet dílčích základů daně, zálohy podle odstavců 3 a 4 neplatí, pokud je jedním z nich i dílčí základ daně z příjmů ze závislé činnosti, ze kterého měl plátce povinnost srazit zálohy na daň (§ 38h), a tento dílčí základ daně je roven nebo činí více než 50 % z celkového základu daně. Činí-li dílčí základ daně ze závislé činnosti, ze kterého měl plátce povinnost srazit zálohy na daň (§ 38h), méně než 15 %, platí se zálohy vypočtené podle odstavců 3 a 4 z celkového základu daně. Činí-li dílčí základ daně ze závislé činnosti, ze kterého měl plátce povinnost srazit zálohy na daň (§ 38h), 15 % a více, avšak méně než 50 %, platí se zálohy podle odstavců 3 a 4 v poloviční výši.</w:t>
      </w:r>
    </w:p>
    <w:p w14:paraId="3A04BC93" w14:textId="77777777" w:rsidR="000839A4" w:rsidRPr="000839A4" w:rsidRDefault="000839A4" w:rsidP="000839A4">
      <w:pPr>
        <w:spacing w:before="120" w:after="120"/>
        <w:rPr>
          <w:strike/>
          <w:szCs w:val="24"/>
        </w:rPr>
      </w:pPr>
      <w:r w:rsidRPr="000839A4">
        <w:rPr>
          <w:strike/>
          <w:szCs w:val="24"/>
        </w:rPr>
        <w:t>(6) Jestliže se poslední známá daňová povinnost týkala jen části zdaňovacího období nebo zdaňovacího období kratšího či delšího než 12 měsíců, je poplatník daně z příjmů právnických osob povinen si pro placení záloh dopočítat poslední známou daňovou povinnost tak, jako by se týkala zdaňovacího období v délce 12 měsíců. Propočet se provede tak, že poslední známá daňová povinnost, týkající se části zdaňovacího období nebo zdaňovacího období kratšího či delšího než 12 měsíců, vydělí se počtem měsíců, za které poplatník pobíral příjmy podléhající dani, a násobí se 12.</w:t>
      </w:r>
    </w:p>
    <w:p w14:paraId="62C326CC" w14:textId="77777777" w:rsidR="000839A4" w:rsidRPr="000839A4" w:rsidRDefault="000839A4" w:rsidP="000839A4">
      <w:pPr>
        <w:spacing w:before="120" w:after="120"/>
        <w:rPr>
          <w:b/>
          <w:szCs w:val="24"/>
        </w:rPr>
      </w:pPr>
      <w:r w:rsidRPr="000839A4">
        <w:rPr>
          <w:b/>
          <w:szCs w:val="24"/>
        </w:rPr>
        <w:t>(6) Je-li poslední známá daňová povinnost poplatníka daně z příjmů právnických osob jen za část zdaňovacího období nebo za zdaňovací období, které netrvá 12 měsíců nebo 52 nebo 53 týdnů, přepočítá se tato poslední známá daňová povinnost na zdaňovací období trvající 365 dnů.</w:t>
      </w:r>
    </w:p>
    <w:p w14:paraId="73B44051" w14:textId="77777777" w:rsidR="000839A4" w:rsidRPr="000839A4" w:rsidRDefault="000839A4" w:rsidP="000839A4">
      <w:pPr>
        <w:spacing w:before="120" w:after="120"/>
        <w:rPr>
          <w:szCs w:val="24"/>
        </w:rPr>
      </w:pPr>
      <w:r w:rsidRPr="000839A4">
        <w:rPr>
          <w:szCs w:val="24"/>
        </w:rPr>
        <w:t>(7) Při změně poslední známé daňové povinnosti v průběhu zdaňovacího období se zálohy do té doby splatné nemění.</w:t>
      </w:r>
    </w:p>
    <w:p w14:paraId="651445F4" w14:textId="77777777" w:rsidR="000839A4" w:rsidRPr="000839A4" w:rsidRDefault="000839A4" w:rsidP="000839A4">
      <w:pPr>
        <w:spacing w:before="120" w:after="120"/>
        <w:rPr>
          <w:szCs w:val="24"/>
        </w:rPr>
      </w:pPr>
      <w:r w:rsidRPr="000839A4">
        <w:rPr>
          <w:szCs w:val="24"/>
        </w:rPr>
        <w:t>(8) Poplatník není povinen platit zálohy na daň, jestliže ukončil činnost, z níž mu plynuly zdanitelné příjmy, nebo zanikl zdroj zdanitelných příjmů, a to od splátky následující po dni, v němž došlo ke změně rozhodných skutečností; tyto skutečnosti poplatník oznámí správci daně podle zvláštního právního předpisu.</w:t>
      </w:r>
    </w:p>
    <w:p w14:paraId="55CC9C72" w14:textId="77777777" w:rsidR="000839A4" w:rsidRPr="000839A4" w:rsidRDefault="000839A4" w:rsidP="000839A4">
      <w:pPr>
        <w:spacing w:before="120" w:after="120"/>
        <w:rPr>
          <w:szCs w:val="24"/>
        </w:rPr>
      </w:pPr>
      <w:r w:rsidRPr="000839A4">
        <w:rPr>
          <w:szCs w:val="24"/>
        </w:rPr>
        <w:t>(9) Placení záloh podle odstavců 1 až 8 se nevztahuje na příjmy ze závislé činnosti, pokud nejde o příjmy ze závislé činnosti plynoucí poplatníkovi ze zahraničí, nemá-li poplatník současně jiné příjmy podrobené dani.</w:t>
      </w:r>
    </w:p>
    <w:p w14:paraId="259AB674" w14:textId="77777777" w:rsidR="000839A4" w:rsidRPr="000839A4" w:rsidRDefault="000839A4" w:rsidP="000839A4">
      <w:pPr>
        <w:spacing w:before="120" w:after="120"/>
        <w:rPr>
          <w:strike/>
          <w:szCs w:val="24"/>
        </w:rPr>
      </w:pPr>
      <w:r w:rsidRPr="000839A4">
        <w:rPr>
          <w:strike/>
          <w:szCs w:val="24"/>
        </w:rPr>
        <w:t xml:space="preserve">(10) Ve zdaňovacím období podle § 21a písm. c) do dne předcházejícího dni zápisu přeměny do obchodního rejstříku, platí za nástupnickou obchodní korporaci zálohy zanikající nebo rozdělovaná obchodní korporace, a to ve výši a periodicitě stanovené podle odstavců 1 až 9, s výjimkou sloučení, kdy takto stanovené zálohy nadále platí i nástupnická obchodní korporace. Ode dne zápisu fúze do obchodního rejstříku platí zálohy nástupnická obchodní korporace, a to ve výši a periodicitě odvozené ze součtu posledních známých daňových povinností zaniklých obchodních korporací, stanovených podle odstavce 1 věty třetí s případným dopočtem podle odstavce 6, který se při sloučení dále zvýší o poslední známou daňovou povinnost nástupnické obchodní korporace. Při převodu jmění na společníka, který je právnickou osobou, se výše a periodicita záloh placených ve zdaňovacím období podle § 21a </w:t>
      </w:r>
      <w:r w:rsidRPr="000839A4">
        <w:rPr>
          <w:strike/>
          <w:szCs w:val="24"/>
        </w:rPr>
        <w:lastRenderedPageBreak/>
        <w:t>písm. c) nemění; bude-li právním nástupcem zanikající obchodní korporace fyzická osoba, stanoví zálohy na období ode dne zápisu převodu jmění na společníka do obchodního rejstříku do konce kalendářního roku správce daně, s přihlédnutím k zálohám splatným od rozhodného dne do dne zápisu převodu jmění na společníka do obchodního rejstříku. U přeměny rozdělením stanoví nástupnickým obchodním korporacím zálohy na část zdaňovacího období podle § 21a písm. c) ode dne zápisu přeměny do obchodního rejstříku správce daně, který tímto rozhodnutím zároveň stanoví způsob rozdělení záloh zaplacených zanikající nebo rozdělovanou obchodní korporací k zápočtu na daňovou povinnost nástupnických obchodních korporací. Zálohy zaplacené v průběhu celého zdaňovacího období podle § 21a písm. c) zanikajícími, rozdělovanými a nástupnickými obchodními korporacemi, se započtou na celkovou daňovou povinnost nástupnických obchodních korporací. Obdobně se postupuje u přeměn, u nichž rozhodným dnem přeměny bude první den kalendářního roku nebo hospodářského roku.</w:t>
      </w:r>
    </w:p>
    <w:p w14:paraId="3B564F57" w14:textId="77777777" w:rsidR="000839A4" w:rsidRPr="000839A4" w:rsidRDefault="000839A4" w:rsidP="000839A4">
      <w:pPr>
        <w:spacing w:before="120" w:after="120"/>
        <w:rPr>
          <w:b/>
          <w:noProof/>
          <w:szCs w:val="24"/>
        </w:rPr>
      </w:pPr>
      <w:r w:rsidRPr="000839A4">
        <w:rPr>
          <w:b/>
          <w:noProof/>
          <w:szCs w:val="24"/>
        </w:rPr>
        <w:t>(10) Zálohou nástupnického poplatníka při přeměně, který je účetní jednotkou podle zákona upravujícího účetnictví, je i záloha jeho právního předchůdce, jehož jmění a jednání s ním související přechází podle zákona upravujícího účetnictví na nástupnického poplatníka rozhodným dnem, která byla splatná od rozhodného dne přeměny do dne předcházejícího dni, ve kterém nastanou právní účinky přeměny; to neplatí v případě převodu jmění na společníka, který je fyzickou osobou. Nástupnický poplatník při fúzi a převodu jmění na společníka, který je poplatníkem daně z příjmů právnických osob, platí ode dne, ve kterém nastanou právní účinky této přeměny, zálohy ve výši a periodicitě odvozených ze součtu posledních známých daňových povinností poplatníků zúčastněných na přeměně. Při převodu jmění na společníka stanoví výši a periodicitu záloh přejímajícího společníka, který je fyzickou osobou, ode dne, ve kterém nastanou právní účinky tohoto převodu, správce daně. Při rozdělení stanoví výši a periodicitu záloh rozdělovaného poplatníka a nástupnického poplatníka ode dne, ve kterém nastanou právní účinky tohoto rozdělení, správce daně, který též rozhodne, v jakém rozsahu jsou zálohy právního předchůdce splatné od rozhodného dne přeměny zálohami nástupnického poplatníka.</w:t>
      </w:r>
    </w:p>
    <w:p w14:paraId="792E9637" w14:textId="77777777" w:rsidR="000839A4" w:rsidRPr="000839A4" w:rsidRDefault="000839A4" w:rsidP="000839A4">
      <w:pPr>
        <w:keepNext/>
        <w:ind w:firstLine="0"/>
        <w:jc w:val="center"/>
        <w:outlineLvl w:val="5"/>
      </w:pPr>
      <w:r w:rsidRPr="000839A4">
        <w:t>§ 38aa</w:t>
      </w:r>
    </w:p>
    <w:p w14:paraId="0B45C57A" w14:textId="77777777" w:rsidR="000839A4" w:rsidRPr="000839A4" w:rsidRDefault="000839A4" w:rsidP="000839A4">
      <w:pPr>
        <w:keepNext/>
        <w:ind w:firstLine="0"/>
        <w:jc w:val="center"/>
        <w:outlineLvl w:val="5"/>
        <w:rPr>
          <w:b/>
        </w:rPr>
      </w:pPr>
      <w:r w:rsidRPr="000839A4">
        <w:rPr>
          <w:b/>
        </w:rPr>
        <w:t>Zálohy na daň z neočekávaných zisků</w:t>
      </w:r>
    </w:p>
    <w:p w14:paraId="0EB598CA" w14:textId="77777777" w:rsidR="000839A4" w:rsidRPr="000839A4" w:rsidRDefault="000839A4" w:rsidP="000839A4">
      <w:pPr>
        <w:spacing w:before="120" w:after="120"/>
        <w:rPr>
          <w:noProof/>
          <w:szCs w:val="24"/>
        </w:rPr>
      </w:pPr>
      <w:r w:rsidRPr="000839A4">
        <w:rPr>
          <w:noProof/>
          <w:szCs w:val="24"/>
        </w:rPr>
        <w:t>(1)</w:t>
      </w:r>
      <w:r w:rsidRPr="000839A4">
        <w:rPr>
          <w:noProof/>
          <w:szCs w:val="24"/>
        </w:rPr>
        <w:tab/>
        <w:t xml:space="preserve"> Pro účely záloh na daň z neočekávaných zisků se použijí obdobně ustanovení upravující zálohy na daň z příjmů, které vycházejí z poslední známé daňové povinnosti, nestanoví-li tento zákon jinak. Poslední známá daňová povinnost pro účely záloh na daň z neočekávaných zisků zahrnuje daň z neočekávaných zisků.</w:t>
      </w:r>
    </w:p>
    <w:p w14:paraId="67B32B16" w14:textId="77777777" w:rsidR="000839A4" w:rsidRPr="000839A4" w:rsidRDefault="000839A4" w:rsidP="000839A4">
      <w:pPr>
        <w:spacing w:before="120" w:after="120"/>
        <w:rPr>
          <w:noProof/>
          <w:szCs w:val="24"/>
        </w:rPr>
      </w:pPr>
      <w:r w:rsidRPr="000839A4">
        <w:rPr>
          <w:noProof/>
          <w:szCs w:val="24"/>
        </w:rPr>
        <w:t>(2)</w:t>
      </w:r>
      <w:r w:rsidRPr="000839A4">
        <w:rPr>
          <w:noProof/>
          <w:szCs w:val="24"/>
        </w:rPr>
        <w:tab/>
        <w:t xml:space="preserve"> Zálohy na daň z neočekávaných zisků platí pouze poplatník zálohy na daň z neočekávaných zisků v části zálohového období spadající do období uplatnění daně z neočekávaných zisků.</w:t>
      </w:r>
    </w:p>
    <w:p w14:paraId="5F88E38D" w14:textId="77777777" w:rsidR="000839A4" w:rsidRPr="000839A4" w:rsidRDefault="000839A4" w:rsidP="000839A4">
      <w:pPr>
        <w:spacing w:before="120" w:after="120"/>
        <w:rPr>
          <w:noProof/>
          <w:szCs w:val="24"/>
        </w:rPr>
      </w:pPr>
      <w:r w:rsidRPr="000839A4">
        <w:rPr>
          <w:noProof/>
          <w:szCs w:val="24"/>
        </w:rPr>
        <w:t>(3)</w:t>
      </w:r>
      <w:r w:rsidRPr="000839A4">
        <w:rPr>
          <w:noProof/>
          <w:szCs w:val="24"/>
        </w:rPr>
        <w:tab/>
        <w:t xml:space="preserve"> Poplatníkem zálohy na daň z neočekávaných zisků je poplatník daně z příjmů právnických osob, který v bezprostředně předcházejícím zdaňovacím období </w:t>
      </w:r>
      <w:r w:rsidRPr="000839A4">
        <w:rPr>
          <w:strike/>
          <w:noProof/>
          <w:szCs w:val="24"/>
        </w:rPr>
        <w:t>nebo období, za které se podává daňové přiznání,</w:t>
      </w:r>
      <w:r w:rsidRPr="000839A4">
        <w:rPr>
          <w:noProof/>
          <w:szCs w:val="24"/>
        </w:rPr>
        <w:t xml:space="preserve"> byl poplatníkem daně z neočekávaných zisků, nebo by jím byl, pokud by toto bezprostředně předcházející období spadalo do období uplatnění daně z neočekávaných zisků.</w:t>
      </w:r>
    </w:p>
    <w:p w14:paraId="218E7C08" w14:textId="77777777" w:rsidR="000839A4" w:rsidRPr="000839A4" w:rsidRDefault="000839A4" w:rsidP="00FE4A0D">
      <w:pPr>
        <w:keepNext/>
        <w:keepLines/>
        <w:numPr>
          <w:ilvl w:val="0"/>
          <w:numId w:val="87"/>
        </w:numPr>
        <w:spacing w:before="0"/>
        <w:jc w:val="center"/>
        <w:outlineLvl w:val="5"/>
      </w:pPr>
      <w:r w:rsidRPr="000839A4">
        <w:lastRenderedPageBreak/>
        <w:t>§ 38ab</w:t>
      </w:r>
    </w:p>
    <w:p w14:paraId="7238F048" w14:textId="77777777" w:rsidR="000839A4" w:rsidRPr="000839A4" w:rsidRDefault="000839A4" w:rsidP="00FE4A0D">
      <w:pPr>
        <w:keepNext/>
        <w:keepLines/>
        <w:numPr>
          <w:ilvl w:val="0"/>
          <w:numId w:val="87"/>
        </w:numPr>
        <w:spacing w:before="0"/>
        <w:jc w:val="center"/>
        <w:outlineLvl w:val="5"/>
      </w:pPr>
      <w:r w:rsidRPr="000839A4">
        <w:rPr>
          <w:b/>
        </w:rPr>
        <w:t>Zálohy na daň z neočekávaných zisků před stanovením daně z neočekávaných zisků</w:t>
      </w:r>
    </w:p>
    <w:p w14:paraId="0D66EEE6" w14:textId="77777777" w:rsidR="000839A4" w:rsidRPr="000839A4" w:rsidRDefault="000839A4" w:rsidP="000839A4">
      <w:pPr>
        <w:spacing w:before="120" w:after="120"/>
        <w:rPr>
          <w:noProof/>
          <w:szCs w:val="24"/>
        </w:rPr>
      </w:pPr>
      <w:r w:rsidRPr="000839A4">
        <w:rPr>
          <w:noProof/>
          <w:szCs w:val="24"/>
        </w:rPr>
        <w:t>(1)</w:t>
      </w:r>
      <w:r w:rsidRPr="000839A4">
        <w:rPr>
          <w:noProof/>
          <w:szCs w:val="24"/>
        </w:rPr>
        <w:tab/>
        <w:t xml:space="preserve"> První zálohové období pro daň z neočekávaných zisků poplatníka daně z příjmů právnických osob, který by byl poplatníkem daně z neočekávaných zisků, pokud by poslední zdaňovací období</w:t>
      </w:r>
      <w:r w:rsidRPr="000839A4">
        <w:rPr>
          <w:strike/>
          <w:noProof/>
          <w:szCs w:val="24"/>
        </w:rPr>
        <w:t xml:space="preserve"> nebo období, za které se podává daňové přiznání, skončená před 1. lednem 2023 spadala</w:t>
      </w:r>
      <w:r w:rsidRPr="000839A4">
        <w:rPr>
          <w:noProof/>
          <w:szCs w:val="24"/>
        </w:rPr>
        <w:t xml:space="preserve"> </w:t>
      </w:r>
      <w:r w:rsidRPr="000839A4">
        <w:rPr>
          <w:b/>
          <w:noProof/>
          <w:szCs w:val="24"/>
        </w:rPr>
        <w:t>skončené před 1. lednem 2023 spadalo</w:t>
      </w:r>
      <w:r w:rsidRPr="000839A4">
        <w:rPr>
          <w:noProof/>
          <w:szCs w:val="24"/>
        </w:rPr>
        <w:t xml:space="preserve"> do období uplatnění daně z neočekávaných zisků, je období od 1. ledna 2023 do posledního dne lhůty pro podání daňového přiznání k dani z neočekávaných zisků za první zdaňovací období </w:t>
      </w:r>
      <w:r w:rsidRPr="000839A4">
        <w:rPr>
          <w:strike/>
          <w:noProof/>
          <w:szCs w:val="24"/>
        </w:rPr>
        <w:t>nebo období, za které se podává daňové přiznání,</w:t>
      </w:r>
      <w:r w:rsidRPr="000839A4">
        <w:rPr>
          <w:noProof/>
          <w:szCs w:val="24"/>
        </w:rPr>
        <w:t xml:space="preserve"> alespoň částečně spadající do období uplatnění daně z neočekávaných zisků.</w:t>
      </w:r>
    </w:p>
    <w:p w14:paraId="40E7A108" w14:textId="77777777" w:rsidR="000839A4" w:rsidRPr="000839A4" w:rsidRDefault="000839A4" w:rsidP="000839A4">
      <w:pPr>
        <w:spacing w:before="120" w:after="120"/>
        <w:rPr>
          <w:noProof/>
          <w:szCs w:val="24"/>
        </w:rPr>
      </w:pPr>
      <w:r w:rsidRPr="000839A4">
        <w:rPr>
          <w:noProof/>
          <w:szCs w:val="24"/>
        </w:rPr>
        <w:t>(2)</w:t>
      </w:r>
      <w:r w:rsidRPr="000839A4">
        <w:rPr>
          <w:noProof/>
          <w:szCs w:val="24"/>
        </w:rPr>
        <w:tab/>
        <w:t xml:space="preserve"> Pro účely poslední známé daňové povinnosti pro zálohy na daň z neočekávaných zisků splatných v prvním zálohovém období pro daň z neočekáváných zisků podle odstavce 1 se částka</w:t>
      </w:r>
    </w:p>
    <w:p w14:paraId="11198195" w14:textId="77777777" w:rsidR="000839A4" w:rsidRPr="000839A4" w:rsidRDefault="000839A4" w:rsidP="000839A4">
      <w:pPr>
        <w:spacing w:before="0"/>
        <w:ind w:left="425" w:hanging="425"/>
        <w:outlineLvl w:val="7"/>
      </w:pPr>
      <w:r w:rsidRPr="000839A4">
        <w:t>a)</w:t>
      </w:r>
      <w:r w:rsidRPr="000839A4">
        <w:tab/>
        <w:t>oznámená poplatníkem zálohy na daň z neočekávaných zisků správci daně v oznámení o fiktivní dani z neočekávaných zisků jako částka, která by byla daní z neočekávaných zisků, pokud by poslední zdaňovací období</w:t>
      </w:r>
      <w:r w:rsidRPr="000839A4">
        <w:rPr>
          <w:strike/>
        </w:rPr>
        <w:t xml:space="preserve"> nebo období, za které se podává daňové přiznání, skončená před 1. lednem 2023 </w:t>
      </w:r>
      <w:proofErr w:type="gramStart"/>
      <w:r w:rsidRPr="000839A4">
        <w:rPr>
          <w:strike/>
        </w:rPr>
        <w:t>spadala</w:t>
      </w:r>
      <w:proofErr w:type="gramEnd"/>
      <w:r w:rsidRPr="000839A4">
        <w:t xml:space="preserve"> </w:t>
      </w:r>
      <w:r w:rsidRPr="000839A4">
        <w:rPr>
          <w:b/>
        </w:rPr>
        <w:t xml:space="preserve">skončené před 1. lednem 2023 </w:t>
      </w:r>
      <w:proofErr w:type="gramStart"/>
      <w:r w:rsidRPr="000839A4">
        <w:rPr>
          <w:b/>
        </w:rPr>
        <w:t>spadalo</w:t>
      </w:r>
      <w:proofErr w:type="gramEnd"/>
      <w:r w:rsidRPr="000839A4">
        <w:t xml:space="preserve"> do období uplatnění daně z neočekávaných zisků (dále jen „fiktivní daň z neočekávaných zisků“), považuje za daň z neočekávaných zisků tvrzenou poplatníkem za toto poslední období; tato částka je jako poslední známá daňová povinnost účinná od prvního dne prvního zálohového období pro daň z neočekáváných zisků, a </w:t>
      </w:r>
    </w:p>
    <w:p w14:paraId="1A8CE428" w14:textId="77777777" w:rsidR="000839A4" w:rsidRPr="000839A4" w:rsidRDefault="000839A4" w:rsidP="000839A4">
      <w:pPr>
        <w:spacing w:before="0"/>
        <w:ind w:left="425" w:hanging="425"/>
        <w:outlineLvl w:val="7"/>
      </w:pPr>
      <w:r w:rsidRPr="000839A4">
        <w:t>b)</w:t>
      </w:r>
      <w:r w:rsidRPr="000839A4">
        <w:tab/>
        <w:t>fiktivní daně z neočekávaných zisků určená v rozhodnutí správce daně o výši záloh na daň z neočekávaných zisků považuje za daň z neočekávaných zisků stanovenou správcem daně za toto poslední období.</w:t>
      </w:r>
    </w:p>
    <w:p w14:paraId="2A19A0C2" w14:textId="77777777" w:rsidR="000839A4" w:rsidRPr="000839A4" w:rsidRDefault="000839A4" w:rsidP="000839A4">
      <w:pPr>
        <w:spacing w:before="120" w:after="120"/>
        <w:rPr>
          <w:noProof/>
          <w:szCs w:val="24"/>
        </w:rPr>
      </w:pPr>
      <w:r w:rsidRPr="000839A4">
        <w:rPr>
          <w:noProof/>
          <w:szCs w:val="24"/>
        </w:rPr>
        <w:t>(3)</w:t>
      </w:r>
      <w:r w:rsidRPr="000839A4">
        <w:rPr>
          <w:noProof/>
          <w:szCs w:val="24"/>
        </w:rPr>
        <w:tab/>
        <w:t xml:space="preserve"> Poplatník zálohy na daň z neočekávaných zisků je povinen správci daně oznámit fiktivní daň z neočekávaných zisků za poslední zdaňovací období </w:t>
      </w:r>
      <w:r w:rsidRPr="000839A4">
        <w:rPr>
          <w:strike/>
          <w:noProof/>
          <w:szCs w:val="24"/>
        </w:rPr>
        <w:t>nebo období, za které se podává daňové přiznání,</w:t>
      </w:r>
      <w:r w:rsidRPr="000839A4">
        <w:rPr>
          <w:noProof/>
          <w:szCs w:val="24"/>
        </w:rPr>
        <w:t xml:space="preserve"> skončené před 1. lednem 2023, a to do posledního dne uplynutí lhůty pro podání daňového přiznání za toto poslední období. Pokud uplynula lhůta pro podání přiznání za toto poslední období před 3. červencem 2023, lhůta pro podání oznámení o fiktivní dani z neočekávaných zisků se prodlužuje do 3. července 2023. Oznámení o přesouvání průměru upravených srovnávacích základů daně v rámci skupiny podniků s neočekávanými zisky se podává do uplynutí lhůty pro podání oznámení o fiktivní dani z neočekávaných zisků poplatníka, který se přesunu účastní a kterému tato lhůta uplyne jako první.</w:t>
      </w:r>
    </w:p>
    <w:p w14:paraId="3438FE3B" w14:textId="77777777" w:rsidR="000839A4" w:rsidRPr="000839A4" w:rsidRDefault="000839A4" w:rsidP="000839A4">
      <w:pPr>
        <w:spacing w:before="120" w:after="120"/>
        <w:rPr>
          <w:noProof/>
          <w:szCs w:val="24"/>
        </w:rPr>
      </w:pPr>
      <w:r w:rsidRPr="000839A4">
        <w:rPr>
          <w:noProof/>
          <w:szCs w:val="24"/>
        </w:rPr>
        <w:t>(4)</w:t>
      </w:r>
      <w:r w:rsidRPr="000839A4">
        <w:rPr>
          <w:noProof/>
          <w:szCs w:val="24"/>
        </w:rPr>
        <w:tab/>
        <w:t xml:space="preserve"> Povinnost podat oznámení o fiktivní dani z neočekávaných zisků nevzniká, pokud před uplynutím lhůty pro podání tohoto oznámení uplynula lhůta pro podání daňového přiznání k dani z neočekávaných zisků za první zdaňovací období </w:t>
      </w:r>
      <w:r w:rsidRPr="000839A4">
        <w:rPr>
          <w:strike/>
          <w:noProof/>
          <w:szCs w:val="24"/>
        </w:rPr>
        <w:t>nebo období, za které se podává daňové přiznání,</w:t>
      </w:r>
      <w:r w:rsidRPr="000839A4">
        <w:rPr>
          <w:noProof/>
          <w:szCs w:val="24"/>
        </w:rPr>
        <w:t xml:space="preserve"> alespoň částečně spadající do období uplatnění daně z neočekávaných zisků a poplatník podal daňové přiznání k dani z neočekávaných zisků za toto období. </w:t>
      </w:r>
    </w:p>
    <w:p w14:paraId="097DE96A" w14:textId="77777777" w:rsidR="000839A4" w:rsidRPr="000839A4" w:rsidRDefault="000839A4" w:rsidP="000839A4">
      <w:pPr>
        <w:spacing w:before="120" w:after="120"/>
        <w:rPr>
          <w:noProof/>
          <w:szCs w:val="24"/>
        </w:rPr>
      </w:pPr>
      <w:r w:rsidRPr="000839A4">
        <w:rPr>
          <w:noProof/>
          <w:szCs w:val="24"/>
        </w:rPr>
        <w:t>(5) Poplatník v oznámení o fiktivní dani z neočekávaných zisků uvede údaje, které by uvedl v daňovém přiznání k dani z neočekávaných zisků.</w:t>
      </w:r>
    </w:p>
    <w:p w14:paraId="3E704207" w14:textId="77777777" w:rsidR="000839A4" w:rsidRPr="000839A4" w:rsidRDefault="000839A4" w:rsidP="000839A4">
      <w:pPr>
        <w:spacing w:before="120" w:after="120"/>
        <w:rPr>
          <w:noProof/>
          <w:szCs w:val="24"/>
        </w:rPr>
      </w:pPr>
      <w:r w:rsidRPr="000839A4">
        <w:rPr>
          <w:noProof/>
          <w:szCs w:val="24"/>
        </w:rPr>
        <w:t xml:space="preserve">(6) Pokud není splněna povinnost podat oznámení o fiktivní dani z neočekávaných zisků nebo pokud není oznámená nebo určená částka fiktivní daně z neočekávaných zisků ve správné výši, správce daně rozhodne o výši záloh na daň z neočekávaných zisků a v rozhodnutí určí výši fiktivní daně z neočekávaných zisků. </w:t>
      </w:r>
    </w:p>
    <w:p w14:paraId="73A1DB0F" w14:textId="77777777" w:rsidR="000839A4" w:rsidRPr="000839A4" w:rsidRDefault="000839A4" w:rsidP="000839A4">
      <w:pPr>
        <w:spacing w:before="120" w:after="120"/>
        <w:rPr>
          <w:noProof/>
          <w:szCs w:val="24"/>
        </w:rPr>
      </w:pPr>
      <w:r w:rsidRPr="000839A4">
        <w:rPr>
          <w:noProof/>
          <w:szCs w:val="24"/>
        </w:rPr>
        <w:t>(7)</w:t>
      </w:r>
      <w:r w:rsidRPr="000839A4">
        <w:rPr>
          <w:noProof/>
          <w:szCs w:val="24"/>
        </w:rPr>
        <w:tab/>
        <w:t xml:space="preserve"> Splatnost zálohy na daň z neočekávaných zisků splatné před uplynutím lhůty pro podání oznámení o fiktivní dani z neočekávaných zisků nebo přede dnem jeho podání, je-li </w:t>
      </w:r>
      <w:r w:rsidRPr="000839A4">
        <w:rPr>
          <w:noProof/>
          <w:szCs w:val="24"/>
        </w:rPr>
        <w:lastRenderedPageBreak/>
        <w:t xml:space="preserve">podáno opožděně, se posouvá na den splatnosti první zálohy na daň z neočekávaných zisků splatné po těchto okamžicích. Nevznikne-li povinnost podat oznámení o fiktivní dani z neočekávaných zisků, splatnost zálohy na daň z neočekávaných zisků splatné před uplynutím lhůty pro podání daňového přiznání k dani z neočekávaných zisků za první zdaňovací období </w:t>
      </w:r>
      <w:r w:rsidRPr="000839A4">
        <w:rPr>
          <w:strike/>
          <w:noProof/>
          <w:szCs w:val="24"/>
        </w:rPr>
        <w:t>nebo období, za které se podává daňové přiznání,</w:t>
      </w:r>
      <w:r w:rsidRPr="000839A4">
        <w:rPr>
          <w:noProof/>
          <w:szCs w:val="24"/>
        </w:rPr>
        <w:t xml:space="preserve"> alespoň částečně spadající do období uplatnění daně z neočekávaných zisků, nebo splatné přede dnem jeho podání, je-li podáno opožděně, se posouvá na den splatnosti první zálohy na daň z neočekávaných zisků splatné po těchto okamžicích. Pokud by posunutím splatnosti byla záloha placena v jiném zdaňovacím období </w:t>
      </w:r>
      <w:r w:rsidRPr="000839A4">
        <w:rPr>
          <w:strike/>
          <w:noProof/>
          <w:szCs w:val="24"/>
        </w:rPr>
        <w:t>nebo období, za které se podává daňové přiznání, než do kterých</w:t>
      </w:r>
      <w:r w:rsidRPr="000839A4">
        <w:rPr>
          <w:b/>
          <w:noProof/>
          <w:szCs w:val="24"/>
        </w:rPr>
        <w:t>, než do kterého</w:t>
      </w:r>
      <w:r w:rsidRPr="000839A4">
        <w:rPr>
          <w:noProof/>
          <w:szCs w:val="24"/>
        </w:rPr>
        <w:t xml:space="preserve"> spadala původní splatnost zálohy, záloha se neplatí.</w:t>
      </w:r>
    </w:p>
    <w:p w14:paraId="235DCA75" w14:textId="77777777" w:rsidR="000839A4" w:rsidRPr="000839A4" w:rsidRDefault="000839A4" w:rsidP="000839A4">
      <w:pPr>
        <w:keepNext/>
        <w:ind w:firstLine="0"/>
        <w:jc w:val="center"/>
        <w:rPr>
          <w:szCs w:val="24"/>
        </w:rPr>
      </w:pPr>
      <w:r w:rsidRPr="000839A4">
        <w:rPr>
          <w:szCs w:val="24"/>
        </w:rPr>
        <w:t>§ 38b</w:t>
      </w:r>
    </w:p>
    <w:p w14:paraId="602CB5A8" w14:textId="77777777" w:rsidR="000839A4" w:rsidRPr="000839A4" w:rsidRDefault="000839A4" w:rsidP="000839A4">
      <w:pPr>
        <w:keepNext/>
        <w:ind w:firstLine="0"/>
        <w:jc w:val="center"/>
        <w:rPr>
          <w:b/>
          <w:szCs w:val="24"/>
        </w:rPr>
      </w:pPr>
      <w:r w:rsidRPr="000839A4">
        <w:rPr>
          <w:b/>
          <w:szCs w:val="24"/>
        </w:rPr>
        <w:t>Minimální výše daně</w:t>
      </w:r>
    </w:p>
    <w:p w14:paraId="2E41CEFD" w14:textId="77777777" w:rsidR="000839A4" w:rsidRPr="000839A4" w:rsidRDefault="000839A4" w:rsidP="000839A4">
      <w:pPr>
        <w:spacing w:before="120" w:after="120"/>
        <w:rPr>
          <w:szCs w:val="24"/>
        </w:rPr>
      </w:pPr>
      <w:r w:rsidRPr="000839A4">
        <w:rPr>
          <w:noProof/>
          <w:szCs w:val="24"/>
        </w:rPr>
        <w:t>Daň</w:t>
      </w:r>
      <w:r w:rsidRPr="000839A4">
        <w:rPr>
          <w:szCs w:val="24"/>
        </w:rPr>
        <w:t xml:space="preserve"> nebo penále se nepředepíše a neplatí, nepřesáhne-li 200 Kč nebo celkové zdanitelné příjmy nečiní u fyzické osoby více než 50 000 Kč. To neplatí, byla-li z těchto příjmů vybrána daň nebo záloha na daň srážkou.</w:t>
      </w:r>
    </w:p>
    <w:p w14:paraId="2DAE9B66" w14:textId="77777777" w:rsidR="000839A4" w:rsidRPr="000839A4" w:rsidRDefault="000839A4" w:rsidP="000839A4">
      <w:pPr>
        <w:keepNext/>
        <w:keepLines/>
        <w:ind w:firstLine="0"/>
        <w:jc w:val="center"/>
        <w:rPr>
          <w:noProof/>
          <w:szCs w:val="24"/>
        </w:rPr>
      </w:pPr>
      <w:r w:rsidRPr="000839A4">
        <w:rPr>
          <w:noProof/>
          <w:szCs w:val="24"/>
        </w:rPr>
        <w:t>§ 38ba</w:t>
      </w:r>
    </w:p>
    <w:p w14:paraId="1E8C6994" w14:textId="77777777" w:rsidR="000839A4" w:rsidRPr="000839A4" w:rsidRDefault="000839A4" w:rsidP="000839A4">
      <w:pPr>
        <w:keepNext/>
        <w:keepLines/>
        <w:ind w:firstLine="0"/>
        <w:jc w:val="center"/>
        <w:rPr>
          <w:b/>
          <w:noProof/>
          <w:szCs w:val="24"/>
        </w:rPr>
      </w:pPr>
      <w:r w:rsidRPr="000839A4">
        <w:rPr>
          <w:b/>
          <w:noProof/>
          <w:szCs w:val="24"/>
        </w:rPr>
        <w:t xml:space="preserve">Položky evidované v měně účetnictví </w:t>
      </w:r>
    </w:p>
    <w:p w14:paraId="0BBB1E39" w14:textId="77777777" w:rsidR="000839A4" w:rsidRPr="000839A4" w:rsidRDefault="000839A4" w:rsidP="000839A4">
      <w:pPr>
        <w:keepNext/>
        <w:keepLines/>
        <w:spacing w:before="120" w:after="120"/>
        <w:rPr>
          <w:noProof/>
          <w:szCs w:val="24"/>
        </w:rPr>
      </w:pPr>
      <w:r w:rsidRPr="000839A4">
        <w:rPr>
          <w:strike/>
          <w:noProof/>
          <w:szCs w:val="24"/>
        </w:rPr>
        <w:t xml:space="preserve">(1) </w:t>
      </w:r>
      <w:r w:rsidRPr="000839A4">
        <w:rPr>
          <w:strike/>
          <w:szCs w:val="24"/>
        </w:rPr>
        <w:t>Majetek</w:t>
      </w:r>
      <w:r w:rsidRPr="000839A4">
        <w:rPr>
          <w:strike/>
          <w:noProof/>
          <w:szCs w:val="24"/>
        </w:rPr>
        <w:t>, dluhy, rezervy vytvářené pro daňové účely a jiné položky, jejichž způsob tvorby nebo uplatnění je upraven zákonem upravujícím daně z příjmů, se u poplatníka daně z příjmů právnických osob, který je účetní jednotkou podle zákona upravujícího účetnictví, evidují v měně účetnictví.</w:t>
      </w:r>
    </w:p>
    <w:p w14:paraId="248320D0" w14:textId="77777777" w:rsidR="000839A4" w:rsidRPr="000839A4" w:rsidRDefault="000839A4" w:rsidP="000839A4">
      <w:pPr>
        <w:keepNext/>
        <w:keepLines/>
        <w:spacing w:before="120" w:after="120"/>
        <w:rPr>
          <w:b/>
          <w:noProof/>
          <w:szCs w:val="24"/>
        </w:rPr>
      </w:pPr>
      <w:r w:rsidRPr="000839A4">
        <w:rPr>
          <w:b/>
          <w:noProof/>
          <w:szCs w:val="24"/>
        </w:rPr>
        <w:t xml:space="preserve">(1) Evidovaná aktiva, dluhy, rezervy vytvářené pro daňové účely a jiné položky, jejichž </w:t>
      </w:r>
      <w:r w:rsidRPr="000839A4">
        <w:rPr>
          <w:b/>
          <w:szCs w:val="24"/>
        </w:rPr>
        <w:t>způsob</w:t>
      </w:r>
      <w:r w:rsidRPr="000839A4">
        <w:rPr>
          <w:b/>
          <w:noProof/>
          <w:szCs w:val="24"/>
        </w:rPr>
        <w:t xml:space="preserve"> tvorby nebo uplatnění je upraven zákonem upravujícím daně z příjmů, se evidují v</w:t>
      </w:r>
    </w:p>
    <w:p w14:paraId="558E9691" w14:textId="77777777" w:rsidR="000839A4" w:rsidRPr="000839A4" w:rsidRDefault="000839A4" w:rsidP="000839A4">
      <w:pPr>
        <w:spacing w:before="0"/>
        <w:ind w:left="425" w:hanging="425"/>
        <w:outlineLvl w:val="7"/>
        <w:rPr>
          <w:b/>
        </w:rPr>
      </w:pPr>
      <w:r w:rsidRPr="000839A4">
        <w:rPr>
          <w:b/>
        </w:rPr>
        <w:t xml:space="preserve">a) </w:t>
      </w:r>
      <w:r w:rsidRPr="000839A4">
        <w:rPr>
          <w:b/>
        </w:rPr>
        <w:tab/>
        <w:t>měně účetnictví, jde-li o poplatníka s akruálním základem daně,</w:t>
      </w:r>
    </w:p>
    <w:p w14:paraId="5A330BB2" w14:textId="77777777" w:rsidR="000839A4" w:rsidRPr="000839A4" w:rsidRDefault="000839A4" w:rsidP="000839A4">
      <w:pPr>
        <w:spacing w:before="0"/>
        <w:ind w:left="425" w:hanging="425"/>
        <w:outlineLvl w:val="7"/>
        <w:rPr>
          <w:b/>
        </w:rPr>
      </w:pPr>
      <w:r w:rsidRPr="000839A4">
        <w:rPr>
          <w:b/>
        </w:rPr>
        <w:t xml:space="preserve">b) </w:t>
      </w:r>
      <w:r w:rsidRPr="000839A4">
        <w:rPr>
          <w:b/>
        </w:rPr>
        <w:tab/>
        <w:t>české měně, jde-li o poplatníka s hotovostním základem daně.</w:t>
      </w:r>
    </w:p>
    <w:p w14:paraId="73548F64" w14:textId="77777777" w:rsidR="000839A4" w:rsidRPr="000839A4" w:rsidRDefault="000839A4" w:rsidP="000839A4">
      <w:pPr>
        <w:keepNext/>
        <w:keepLines/>
        <w:spacing w:before="120" w:after="120"/>
        <w:rPr>
          <w:noProof/>
          <w:szCs w:val="24"/>
        </w:rPr>
      </w:pPr>
      <w:r w:rsidRPr="000839A4">
        <w:rPr>
          <w:noProof/>
          <w:szCs w:val="24"/>
        </w:rPr>
        <w:t xml:space="preserve">(2) Při </w:t>
      </w:r>
      <w:r w:rsidRPr="000839A4">
        <w:rPr>
          <w:szCs w:val="24"/>
        </w:rPr>
        <w:t>změně</w:t>
      </w:r>
      <w:r w:rsidRPr="000839A4">
        <w:rPr>
          <w:noProof/>
          <w:szCs w:val="24"/>
        </w:rPr>
        <w:t xml:space="preserve"> měny účetnictví se položky uvedené v odstavci 1 přepočtou na měnu účetnictví </w:t>
      </w:r>
      <w:r w:rsidRPr="000839A4">
        <w:rPr>
          <w:strike/>
          <w:noProof/>
          <w:szCs w:val="24"/>
        </w:rPr>
        <w:t>obecným kurzem podle zákona upravujícího účetnictví</w:t>
      </w:r>
      <w:r w:rsidRPr="000839A4">
        <w:rPr>
          <w:noProof/>
          <w:szCs w:val="24"/>
        </w:rPr>
        <w:t xml:space="preserve"> </w:t>
      </w:r>
      <w:r w:rsidRPr="000839A4">
        <w:rPr>
          <w:b/>
          <w:noProof/>
          <w:szCs w:val="24"/>
        </w:rPr>
        <w:t xml:space="preserve">kurzem přepočtu na měnu účetnictví </w:t>
      </w:r>
      <w:r w:rsidRPr="000839A4">
        <w:rPr>
          <w:noProof/>
          <w:szCs w:val="24"/>
        </w:rPr>
        <w:t xml:space="preserve">pro poslední den zdaňovacího období </w:t>
      </w:r>
      <w:r w:rsidRPr="000839A4">
        <w:rPr>
          <w:strike/>
          <w:noProof/>
          <w:szCs w:val="24"/>
        </w:rPr>
        <w:t>nebo období, za které se podává daňové přiznání,</w:t>
      </w:r>
      <w:r w:rsidRPr="000839A4">
        <w:rPr>
          <w:noProof/>
          <w:szCs w:val="24"/>
        </w:rPr>
        <w:t xml:space="preserve"> bezprostředně předcházejícího zdaňovacímu období </w:t>
      </w:r>
      <w:r w:rsidRPr="000839A4">
        <w:rPr>
          <w:strike/>
          <w:noProof/>
          <w:szCs w:val="24"/>
        </w:rPr>
        <w:t>nebo období, za které se podává daňové přiznání, ve kterých</w:t>
      </w:r>
      <w:r w:rsidRPr="000839A4">
        <w:rPr>
          <w:b/>
          <w:noProof/>
          <w:szCs w:val="24"/>
        </w:rPr>
        <w:t>,</w:t>
      </w:r>
      <w:r w:rsidRPr="000839A4">
        <w:rPr>
          <w:noProof/>
          <w:szCs w:val="24"/>
        </w:rPr>
        <w:t xml:space="preserve"> </w:t>
      </w:r>
      <w:r w:rsidRPr="000839A4">
        <w:rPr>
          <w:b/>
          <w:noProof/>
          <w:szCs w:val="24"/>
        </w:rPr>
        <w:t xml:space="preserve">ve kterém </w:t>
      </w:r>
      <w:r w:rsidRPr="000839A4">
        <w:rPr>
          <w:noProof/>
          <w:szCs w:val="24"/>
        </w:rPr>
        <w:t>došlo ke změně měny účetnictví.</w:t>
      </w:r>
    </w:p>
    <w:p w14:paraId="0E0DE678" w14:textId="77777777" w:rsidR="000839A4" w:rsidRPr="000839A4" w:rsidRDefault="000839A4" w:rsidP="000839A4">
      <w:pPr>
        <w:ind w:firstLine="0"/>
        <w:jc w:val="center"/>
        <w:rPr>
          <w:noProof/>
          <w:szCs w:val="24"/>
        </w:rPr>
      </w:pPr>
      <w:r w:rsidRPr="000839A4">
        <w:rPr>
          <w:noProof/>
          <w:szCs w:val="24"/>
        </w:rPr>
        <w:t>§ 38bb</w:t>
      </w:r>
    </w:p>
    <w:p w14:paraId="464F35E0" w14:textId="77777777" w:rsidR="000839A4" w:rsidRPr="000839A4" w:rsidRDefault="000839A4" w:rsidP="000839A4">
      <w:pPr>
        <w:ind w:firstLine="0"/>
        <w:jc w:val="center"/>
        <w:rPr>
          <w:b/>
          <w:noProof/>
          <w:szCs w:val="24"/>
        </w:rPr>
      </w:pPr>
      <w:r w:rsidRPr="000839A4">
        <w:rPr>
          <w:b/>
          <w:noProof/>
          <w:szCs w:val="24"/>
        </w:rPr>
        <w:t xml:space="preserve">Přepočet kritérií v české měně </w:t>
      </w:r>
    </w:p>
    <w:p w14:paraId="67D2B9A0" w14:textId="77777777" w:rsidR="000839A4" w:rsidRPr="000839A4" w:rsidRDefault="000839A4" w:rsidP="00D90D00">
      <w:pPr>
        <w:pBdr>
          <w:top w:val="single" w:sz="12" w:space="1" w:color="00B050"/>
          <w:left w:val="single" w:sz="12" w:space="4" w:color="00B050"/>
          <w:bottom w:val="single" w:sz="12" w:space="1" w:color="00B050"/>
          <w:right w:val="single" w:sz="12" w:space="4" w:color="00B050"/>
        </w:pBdr>
        <w:spacing w:before="120" w:after="120"/>
        <w:rPr>
          <w:noProof/>
          <w:szCs w:val="24"/>
        </w:rPr>
      </w:pPr>
      <w:r w:rsidRPr="000839A4">
        <w:rPr>
          <w:noProof/>
          <w:szCs w:val="24"/>
        </w:rPr>
        <w:t>(1) Kritérium uvedené v české měně v tomto zákoně, v jiném právním předpisu nebo v rozhodnutí orgánu veřejné moci, které se posuzuje pro účely daní z příjmů a vztahuje se k položce pro výpočet daně, o které se účtuje</w:t>
      </w:r>
      <w:r w:rsidRPr="000839A4">
        <w:rPr>
          <w:b/>
          <w:noProof/>
          <w:color w:val="00B050"/>
          <w:szCs w:val="24"/>
        </w:rPr>
        <w:t>, nebo k </w:t>
      </w:r>
      <w:r w:rsidRPr="000839A4">
        <w:rPr>
          <w:b/>
          <w:strike/>
          <w:noProof/>
          <w:szCs w:val="24"/>
        </w:rPr>
        <w:t>majetku</w:t>
      </w:r>
      <w:r w:rsidRPr="000839A4">
        <w:rPr>
          <w:noProof/>
          <w:szCs w:val="24"/>
        </w:rPr>
        <w:t xml:space="preserve"> </w:t>
      </w:r>
      <w:r w:rsidRPr="000839A4">
        <w:rPr>
          <w:b/>
          <w:noProof/>
          <w:szCs w:val="24"/>
        </w:rPr>
        <w:t>evidovanému aktivu</w:t>
      </w:r>
      <w:r w:rsidRPr="000839A4">
        <w:rPr>
          <w:b/>
          <w:noProof/>
          <w:color w:val="00B050"/>
          <w:szCs w:val="24"/>
        </w:rPr>
        <w:t>, dluhu, rezervě vytvářené pro daňové účely nebo jiné položce evidované v měně účetnictví,</w:t>
      </w:r>
      <w:r w:rsidRPr="000839A4">
        <w:rPr>
          <w:noProof/>
          <w:color w:val="00B050"/>
          <w:szCs w:val="24"/>
        </w:rPr>
        <w:t xml:space="preserve"> </w:t>
      </w:r>
      <w:r w:rsidRPr="000839A4">
        <w:rPr>
          <w:noProof/>
          <w:szCs w:val="24"/>
        </w:rPr>
        <w:t xml:space="preserve">se v případě, že měnou účetnictví poplatníka je cizí měna, přepočte na měnu účetnictví kurzem pro přepočet daně pro poslední den bezprostředně předcházejícího zdaňovacího období </w:t>
      </w:r>
      <w:r w:rsidRPr="000839A4">
        <w:rPr>
          <w:strike/>
          <w:noProof/>
          <w:szCs w:val="24"/>
        </w:rPr>
        <w:t>nebo období, za které se podává daňové přiznání</w:t>
      </w:r>
      <w:r w:rsidRPr="000839A4">
        <w:rPr>
          <w:noProof/>
          <w:szCs w:val="24"/>
        </w:rPr>
        <w:t>.</w:t>
      </w:r>
    </w:p>
    <w:p w14:paraId="1A281481" w14:textId="77777777" w:rsidR="000839A4" w:rsidRPr="000839A4" w:rsidRDefault="000839A4" w:rsidP="000839A4">
      <w:pPr>
        <w:keepNext/>
        <w:keepLines/>
        <w:spacing w:before="120" w:after="120"/>
        <w:rPr>
          <w:noProof/>
          <w:szCs w:val="24"/>
        </w:rPr>
      </w:pPr>
      <w:r w:rsidRPr="000839A4">
        <w:rPr>
          <w:noProof/>
          <w:szCs w:val="24"/>
        </w:rPr>
        <w:lastRenderedPageBreak/>
        <w:t xml:space="preserve">(2) Částka přepočtená podle odstavce 1 se </w:t>
      </w:r>
    </w:p>
    <w:p w14:paraId="0EA7697D" w14:textId="77777777" w:rsidR="000839A4" w:rsidRPr="000839A4" w:rsidRDefault="000839A4" w:rsidP="000839A4">
      <w:pPr>
        <w:spacing w:before="0"/>
        <w:ind w:left="425" w:hanging="425"/>
        <w:outlineLvl w:val="7"/>
      </w:pPr>
      <w:r w:rsidRPr="000839A4">
        <w:t>a)</w:t>
      </w:r>
      <w:r w:rsidRPr="000839A4">
        <w:tab/>
        <w:t>nezaokrouhluje, pokud je přepočítávaná částka uvedena s přesností na celé stokoruny, desetikoruny nebo koruny nebo haléře,</w:t>
      </w:r>
    </w:p>
    <w:p w14:paraId="4786A4F8" w14:textId="77777777" w:rsidR="000839A4" w:rsidRPr="000839A4" w:rsidRDefault="000839A4" w:rsidP="000839A4">
      <w:pPr>
        <w:spacing w:before="0"/>
        <w:ind w:left="425" w:hanging="425"/>
        <w:outlineLvl w:val="7"/>
      </w:pPr>
      <w:r w:rsidRPr="000839A4">
        <w:t>b)</w:t>
      </w:r>
      <w:r w:rsidRPr="000839A4">
        <w:tab/>
        <w:t>zaokrouhluje na celá čísla, pokud je přepočítávaná částka uvedena s přesností na celé tisícikoruny.</w:t>
      </w:r>
    </w:p>
    <w:p w14:paraId="13739FA7" w14:textId="77777777" w:rsidR="000839A4" w:rsidRPr="000839A4" w:rsidRDefault="000839A4" w:rsidP="000839A4">
      <w:pPr>
        <w:keepNext/>
        <w:keepLines/>
        <w:spacing w:before="120" w:after="120"/>
        <w:rPr>
          <w:noProof/>
          <w:szCs w:val="24"/>
        </w:rPr>
      </w:pPr>
      <w:r w:rsidRPr="000839A4">
        <w:rPr>
          <w:noProof/>
          <w:szCs w:val="24"/>
        </w:rPr>
        <w:t xml:space="preserve">(3) Pro posouzení splnění kritérií uvedených v české měně v rozhodnutí orgánu veřejné moci pro účely uplatnění slevy na dani podle § 35a nebo 35b poplatníka, jehož měnou účetnictví je cizí měna, se posuzované položky přepočtou na českou měnu kurzem pro přepočet daně pro poslední den zdaňovacího období, </w:t>
      </w:r>
      <w:r w:rsidRPr="000839A4">
        <w:rPr>
          <w:strike/>
          <w:noProof/>
          <w:szCs w:val="24"/>
        </w:rPr>
        <w:t>období, za které se podává daňové přiznání,</w:t>
      </w:r>
      <w:r w:rsidRPr="000839A4">
        <w:rPr>
          <w:noProof/>
          <w:szCs w:val="24"/>
        </w:rPr>
        <w:t xml:space="preserve"> nebo části zdaňovacího období, za kterou se podává daňové přiznání, ve kterých má být tato sleva uplatněna.</w:t>
      </w:r>
    </w:p>
    <w:p w14:paraId="55C0902D" w14:textId="77777777" w:rsidR="000839A4" w:rsidRPr="000839A4" w:rsidRDefault="000839A4" w:rsidP="000839A4">
      <w:pPr>
        <w:keepNext/>
        <w:keepLines/>
        <w:ind w:firstLine="0"/>
        <w:jc w:val="center"/>
        <w:rPr>
          <w:noProof/>
          <w:szCs w:val="24"/>
        </w:rPr>
      </w:pPr>
      <w:r w:rsidRPr="000839A4">
        <w:rPr>
          <w:noProof/>
          <w:szCs w:val="24"/>
        </w:rPr>
        <w:t>§ 38bc</w:t>
      </w:r>
    </w:p>
    <w:p w14:paraId="5767E543" w14:textId="77777777" w:rsidR="000839A4" w:rsidRPr="000839A4" w:rsidRDefault="000839A4" w:rsidP="000839A4">
      <w:pPr>
        <w:keepNext/>
        <w:keepLines/>
        <w:ind w:firstLine="0"/>
        <w:jc w:val="center"/>
        <w:rPr>
          <w:noProof/>
          <w:szCs w:val="24"/>
        </w:rPr>
      </w:pPr>
      <w:r w:rsidRPr="000839A4">
        <w:rPr>
          <w:b/>
          <w:noProof/>
          <w:szCs w:val="24"/>
        </w:rPr>
        <w:t>Měna přenositelných daňových položek pro jejich uplatnění</w:t>
      </w:r>
    </w:p>
    <w:p w14:paraId="47D33027" w14:textId="77777777" w:rsidR="000839A4" w:rsidRPr="000839A4" w:rsidRDefault="000839A4" w:rsidP="000839A4">
      <w:pPr>
        <w:keepNext/>
        <w:keepLines/>
        <w:spacing w:before="120" w:after="120"/>
        <w:rPr>
          <w:noProof/>
          <w:szCs w:val="24"/>
        </w:rPr>
      </w:pPr>
      <w:r w:rsidRPr="000839A4">
        <w:rPr>
          <w:noProof/>
          <w:szCs w:val="24"/>
        </w:rPr>
        <w:t>(1) Přenositelnou daňovou položkou se pro účely daní z příjmů rozumí</w:t>
      </w:r>
    </w:p>
    <w:p w14:paraId="0BEB28D4" w14:textId="77777777" w:rsidR="000839A4" w:rsidRPr="000839A4" w:rsidRDefault="000839A4" w:rsidP="000839A4">
      <w:pPr>
        <w:spacing w:before="0"/>
        <w:ind w:left="425" w:hanging="425"/>
        <w:outlineLvl w:val="7"/>
      </w:pPr>
      <w:r w:rsidRPr="000839A4">
        <w:t xml:space="preserve">a) </w:t>
      </w:r>
      <w:r w:rsidRPr="000839A4">
        <w:tab/>
        <w:t xml:space="preserve">částka, o kterou lze snížit výsledek hospodaření nebo rozdíl mezi příjmy a výdaji podle § 23e odst. </w:t>
      </w:r>
      <w:r w:rsidRPr="000839A4">
        <w:rPr>
          <w:strike/>
        </w:rPr>
        <w:t>6</w:t>
      </w:r>
      <w:r w:rsidRPr="000839A4">
        <w:t xml:space="preserve"> 7,</w:t>
      </w:r>
    </w:p>
    <w:p w14:paraId="578A0CA1" w14:textId="77777777" w:rsidR="000839A4" w:rsidRPr="000839A4" w:rsidRDefault="000839A4" w:rsidP="000839A4">
      <w:pPr>
        <w:spacing w:before="0"/>
        <w:ind w:left="425" w:hanging="425"/>
        <w:outlineLvl w:val="7"/>
      </w:pPr>
      <w:r w:rsidRPr="000839A4">
        <w:t xml:space="preserve">b) </w:t>
      </w:r>
      <w:r w:rsidRPr="000839A4">
        <w:tab/>
        <w:t>částka, o kterou lze snížit výsledek hospodaření nebo rozdíl mezi příjmy a výdaji podle § 38fa odst. 8 a</w:t>
      </w:r>
    </w:p>
    <w:p w14:paraId="66135E7E" w14:textId="77777777" w:rsidR="000839A4" w:rsidRPr="000839A4" w:rsidRDefault="000839A4" w:rsidP="000839A4">
      <w:pPr>
        <w:spacing w:before="0"/>
        <w:ind w:left="425" w:hanging="425"/>
        <w:outlineLvl w:val="7"/>
      </w:pPr>
      <w:r w:rsidRPr="000839A4">
        <w:t xml:space="preserve">c) </w:t>
      </w:r>
      <w:r w:rsidRPr="000839A4">
        <w:tab/>
        <w:t xml:space="preserve">výše skutečně vynaložených způsobilých nákladů za zdaňovací období </w:t>
      </w:r>
      <w:r w:rsidRPr="000839A4">
        <w:rPr>
          <w:strike/>
        </w:rPr>
        <w:t>nebo období, za které se podává daňové přiznání</w:t>
      </w:r>
      <w:r w:rsidRPr="000839A4">
        <w:t xml:space="preserve"> pro účely slevy na dani podle § 35a nebo § 35b, výše uplatnění této slevy za toto období a částky daně pro účely výpočtu S2.</w:t>
      </w:r>
    </w:p>
    <w:p w14:paraId="101CF818" w14:textId="77777777" w:rsidR="000839A4" w:rsidRPr="000839A4" w:rsidRDefault="000839A4" w:rsidP="000839A4">
      <w:pPr>
        <w:keepNext/>
        <w:keepLines/>
        <w:spacing w:before="120" w:after="120"/>
        <w:rPr>
          <w:strike/>
          <w:noProof/>
          <w:szCs w:val="24"/>
        </w:rPr>
      </w:pPr>
      <w:r w:rsidRPr="000839A4">
        <w:rPr>
          <w:strike/>
          <w:noProof/>
          <w:szCs w:val="24"/>
        </w:rPr>
        <w:t>(2) Výše přenositelné daňové položky, která vznikla ve zdaňovacím období nebo období, za které se podává daňové přiznání, ve kterých</w:t>
      </w:r>
      <w:r w:rsidRPr="000839A4">
        <w:rPr>
          <w:b/>
          <w:strike/>
          <w:noProof/>
          <w:szCs w:val="24"/>
        </w:rPr>
        <w:t xml:space="preserve"> </w:t>
      </w:r>
      <w:r w:rsidRPr="000839A4">
        <w:rPr>
          <w:strike/>
          <w:noProof/>
          <w:szCs w:val="24"/>
        </w:rPr>
        <w:t>byla měnou účetnictví cizí měna, pro účely jejího uplatnění nebo jiného zohlednění v jiném zdaňovacím období nebo období, za které se podává daňové přiznání, než ve kterých</w:t>
      </w:r>
      <w:r w:rsidRPr="000839A4">
        <w:rPr>
          <w:b/>
          <w:strike/>
          <w:noProof/>
          <w:szCs w:val="24"/>
        </w:rPr>
        <w:t xml:space="preserve"> </w:t>
      </w:r>
      <w:r w:rsidRPr="000839A4">
        <w:rPr>
          <w:strike/>
          <w:noProof/>
          <w:szCs w:val="24"/>
        </w:rPr>
        <w:t>vznikla, odpovídá výši přenositelné daňové položky v měně účetnictví ve zdaňovacím období nebo období, za které se podává daňové přiznání, ve kterých</w:t>
      </w:r>
      <w:r w:rsidRPr="000839A4">
        <w:rPr>
          <w:b/>
          <w:strike/>
          <w:noProof/>
          <w:szCs w:val="24"/>
        </w:rPr>
        <w:t xml:space="preserve"> </w:t>
      </w:r>
      <w:r w:rsidRPr="000839A4">
        <w:rPr>
          <w:strike/>
          <w:noProof/>
          <w:szCs w:val="24"/>
        </w:rPr>
        <w:t>tato položka vznikla, přepočtené na českou měnu kurzem pro přepočet daně pro poslední den tohoto období.</w:t>
      </w:r>
    </w:p>
    <w:p w14:paraId="42666EE9" w14:textId="77777777" w:rsidR="000839A4" w:rsidRPr="000839A4" w:rsidRDefault="000839A4" w:rsidP="000839A4">
      <w:pPr>
        <w:keepNext/>
        <w:keepLines/>
        <w:spacing w:before="120" w:after="120"/>
        <w:rPr>
          <w:b/>
          <w:noProof/>
          <w:szCs w:val="24"/>
        </w:rPr>
      </w:pPr>
      <w:r w:rsidRPr="000839A4">
        <w:rPr>
          <w:b/>
          <w:noProof/>
          <w:szCs w:val="24"/>
        </w:rPr>
        <w:t>(2) Výše přenositelné daňové položky, která vznikla ve zdaňovacím období, ve kterém byla měnou účetnictví cizí měna, pro účely jejího uplatnění nebo jiného zohlednění v jiném zdaňovacím období, než ve kterém vznikla, odpovídá výši přenositelné daňové položky v měně účetnictví ve zdaňovacím období, ve kterém tato položka vznikla, přepočtené na českou měnu kurzem pro přepočet daně pro poslední den tohoto období.</w:t>
      </w:r>
    </w:p>
    <w:p w14:paraId="6DE3322A" w14:textId="6A94F615" w:rsidR="00D90D00" w:rsidRPr="00D90D00" w:rsidRDefault="00D90D00" w:rsidP="00D90D00">
      <w:pPr>
        <w:keepNext/>
        <w:keepLines/>
        <w:ind w:firstLine="0"/>
        <w:rPr>
          <w:i/>
          <w:noProof/>
          <w:color w:val="FF0000"/>
          <w:szCs w:val="24"/>
        </w:rPr>
      </w:pPr>
      <w:r w:rsidRPr="00D90D00">
        <w:rPr>
          <w:i/>
          <w:noProof/>
          <w:color w:val="FF0000"/>
          <w:szCs w:val="24"/>
        </w:rPr>
        <w:t>Znění účinné od 1. ledna 2027</w:t>
      </w:r>
    </w:p>
    <w:p w14:paraId="6EB9B157" w14:textId="67CE3C10" w:rsidR="000839A4" w:rsidRPr="00D90D00" w:rsidRDefault="000839A4" w:rsidP="000839A4">
      <w:pPr>
        <w:ind w:firstLine="0"/>
        <w:jc w:val="center"/>
        <w:rPr>
          <w:strike/>
          <w:noProof/>
          <w:color w:val="FF0000"/>
          <w:szCs w:val="24"/>
        </w:rPr>
      </w:pPr>
      <w:r w:rsidRPr="00D90D00">
        <w:rPr>
          <w:strike/>
          <w:noProof/>
          <w:color w:val="FF0000"/>
          <w:szCs w:val="24"/>
        </w:rPr>
        <w:t>§ 38ba</w:t>
      </w:r>
    </w:p>
    <w:p w14:paraId="64D5487F" w14:textId="77777777" w:rsidR="000839A4" w:rsidRPr="00D90D00" w:rsidRDefault="000839A4" w:rsidP="000839A4">
      <w:pPr>
        <w:ind w:firstLine="0"/>
        <w:jc w:val="center"/>
        <w:rPr>
          <w:b/>
          <w:strike/>
          <w:noProof/>
          <w:color w:val="FF0000"/>
          <w:szCs w:val="24"/>
        </w:rPr>
      </w:pPr>
      <w:r w:rsidRPr="00D90D00">
        <w:rPr>
          <w:b/>
          <w:strike/>
          <w:noProof/>
          <w:color w:val="FF0000"/>
          <w:szCs w:val="24"/>
        </w:rPr>
        <w:t xml:space="preserve">Položky evidované v měně účetnictví </w:t>
      </w:r>
    </w:p>
    <w:p w14:paraId="654B0D92" w14:textId="77777777" w:rsidR="000839A4" w:rsidRPr="00D90D00" w:rsidRDefault="000839A4" w:rsidP="000839A4">
      <w:pPr>
        <w:keepNext/>
        <w:keepLines/>
        <w:spacing w:before="120" w:after="120"/>
        <w:rPr>
          <w:strike/>
          <w:noProof/>
          <w:color w:val="FF0000"/>
          <w:szCs w:val="24"/>
        </w:rPr>
      </w:pPr>
      <w:r w:rsidRPr="00D90D00">
        <w:rPr>
          <w:strike/>
          <w:noProof/>
          <w:color w:val="FF0000"/>
          <w:szCs w:val="24"/>
        </w:rPr>
        <w:t>(1) Evidovaná aktiva, dluhy, rezervy vytvářené pro daňové účely a jiné položky, jejichž způsob tvorby nebo uplatnění je upraven zákonem upravujícím daně z příjmů, se evidují v</w:t>
      </w:r>
    </w:p>
    <w:p w14:paraId="0B54874A" w14:textId="77777777" w:rsidR="000839A4" w:rsidRPr="00D90D00" w:rsidRDefault="000839A4" w:rsidP="000839A4">
      <w:pPr>
        <w:spacing w:before="0"/>
        <w:ind w:left="425" w:hanging="425"/>
        <w:outlineLvl w:val="7"/>
        <w:rPr>
          <w:strike/>
          <w:color w:val="FF0000"/>
        </w:rPr>
      </w:pPr>
      <w:r w:rsidRPr="00D90D00">
        <w:rPr>
          <w:strike/>
          <w:color w:val="FF0000"/>
        </w:rPr>
        <w:t xml:space="preserve">a) </w:t>
      </w:r>
      <w:r w:rsidRPr="00D90D00">
        <w:rPr>
          <w:strike/>
          <w:color w:val="FF0000"/>
        </w:rPr>
        <w:tab/>
        <w:t>měně účetnictví, jde-li o poplatníka s akruálním základem daně,</w:t>
      </w:r>
    </w:p>
    <w:p w14:paraId="44D6CEEA" w14:textId="77777777" w:rsidR="000839A4" w:rsidRPr="00D90D00" w:rsidRDefault="000839A4" w:rsidP="000839A4">
      <w:pPr>
        <w:spacing w:before="0"/>
        <w:ind w:left="425" w:hanging="425"/>
        <w:outlineLvl w:val="7"/>
        <w:rPr>
          <w:strike/>
          <w:color w:val="FF0000"/>
        </w:rPr>
      </w:pPr>
      <w:r w:rsidRPr="00D90D00">
        <w:rPr>
          <w:strike/>
          <w:color w:val="FF0000"/>
        </w:rPr>
        <w:t xml:space="preserve">b) </w:t>
      </w:r>
      <w:r w:rsidRPr="00D90D00">
        <w:rPr>
          <w:strike/>
          <w:color w:val="FF0000"/>
        </w:rPr>
        <w:tab/>
        <w:t>české měně, jde-li o poplatníka s hotovostním základem daně.</w:t>
      </w:r>
    </w:p>
    <w:p w14:paraId="7FCCC736" w14:textId="77777777" w:rsidR="000839A4" w:rsidRPr="00D90D00" w:rsidRDefault="000839A4" w:rsidP="000839A4">
      <w:pPr>
        <w:keepNext/>
        <w:keepLines/>
        <w:spacing w:before="120" w:after="120"/>
        <w:rPr>
          <w:strike/>
          <w:noProof/>
          <w:color w:val="FF0000"/>
          <w:szCs w:val="24"/>
        </w:rPr>
      </w:pPr>
      <w:r w:rsidRPr="00D90D00">
        <w:rPr>
          <w:strike/>
          <w:noProof/>
          <w:color w:val="FF0000"/>
          <w:szCs w:val="24"/>
        </w:rPr>
        <w:lastRenderedPageBreak/>
        <w:t>(2) Při změně měny účetnictví se položky uvedené v odstavci 1 přepočtou na měnu účetnictví kurzem přepočtu na měnu účetnictví pro poslední den zdaňovacího období bezprostředně předcházejícího zdaňovacímu období, ve kterém došlo ke změně měny účetnictví.</w:t>
      </w:r>
    </w:p>
    <w:p w14:paraId="6E036B82" w14:textId="77777777" w:rsidR="000839A4" w:rsidRPr="00D90D00" w:rsidRDefault="000839A4" w:rsidP="000839A4">
      <w:pPr>
        <w:ind w:firstLine="0"/>
        <w:jc w:val="center"/>
        <w:rPr>
          <w:strike/>
          <w:noProof/>
          <w:color w:val="FF0000"/>
          <w:szCs w:val="24"/>
        </w:rPr>
      </w:pPr>
      <w:r w:rsidRPr="00D90D00">
        <w:rPr>
          <w:strike/>
          <w:noProof/>
          <w:color w:val="FF0000"/>
          <w:szCs w:val="24"/>
        </w:rPr>
        <w:t>§ 38bb</w:t>
      </w:r>
    </w:p>
    <w:p w14:paraId="14405509" w14:textId="77777777" w:rsidR="000839A4" w:rsidRPr="00D90D00" w:rsidRDefault="000839A4" w:rsidP="000839A4">
      <w:pPr>
        <w:ind w:firstLine="0"/>
        <w:jc w:val="center"/>
        <w:rPr>
          <w:b/>
          <w:strike/>
          <w:noProof/>
          <w:color w:val="FF0000"/>
          <w:szCs w:val="24"/>
        </w:rPr>
      </w:pPr>
      <w:r w:rsidRPr="00D90D00">
        <w:rPr>
          <w:b/>
          <w:strike/>
          <w:noProof/>
          <w:color w:val="FF0000"/>
          <w:szCs w:val="24"/>
        </w:rPr>
        <w:t xml:space="preserve">Přepočet kritérií v české měně </w:t>
      </w:r>
    </w:p>
    <w:p w14:paraId="030B0906" w14:textId="77777777" w:rsidR="000839A4" w:rsidRPr="00D90D00" w:rsidRDefault="000839A4" w:rsidP="000839A4">
      <w:pPr>
        <w:keepNext/>
        <w:keepLines/>
        <w:spacing w:before="120" w:after="120"/>
        <w:rPr>
          <w:strike/>
          <w:noProof/>
          <w:color w:val="FF0000"/>
          <w:szCs w:val="24"/>
        </w:rPr>
      </w:pPr>
      <w:r w:rsidRPr="00D90D00">
        <w:rPr>
          <w:strike/>
          <w:noProof/>
          <w:color w:val="FF0000"/>
          <w:szCs w:val="24"/>
        </w:rPr>
        <w:t>(1) Kritérium uvedené v české měně v tomto zákoně, v jiném právním předpisu nebo v rozhodnutí orgánu veřejné moci, které se posuzuje pro účely daní z příjmů a vztahuje se k položce pro výpočet daně, o které se účtuje, nebo k evidovanému aktivu, dluhu, rezervě vytvářené pro daňové účely nebo jiné položce evidované v měně účetnictví, se v případě, že měnou účetnictví poplatníka je cizí měna, přepočte na měnu účetnictví kurzem pro přepočet daně pro poslední den bezprostředně předcházejícího zdaňovacího období.</w:t>
      </w:r>
    </w:p>
    <w:p w14:paraId="5965DAFC" w14:textId="77777777" w:rsidR="000839A4" w:rsidRPr="00D90D00" w:rsidRDefault="000839A4" w:rsidP="000839A4">
      <w:pPr>
        <w:keepNext/>
        <w:keepLines/>
        <w:spacing w:before="120" w:after="120"/>
        <w:rPr>
          <w:strike/>
          <w:noProof/>
          <w:color w:val="FF0000"/>
          <w:szCs w:val="24"/>
        </w:rPr>
      </w:pPr>
      <w:r w:rsidRPr="00D90D00">
        <w:rPr>
          <w:strike/>
          <w:noProof/>
          <w:color w:val="FF0000"/>
          <w:szCs w:val="24"/>
        </w:rPr>
        <w:t xml:space="preserve">(2) Částka přepočtená podle odstavce 1 se </w:t>
      </w:r>
    </w:p>
    <w:p w14:paraId="338ECB0B" w14:textId="77777777" w:rsidR="000839A4" w:rsidRPr="00D90D00" w:rsidRDefault="000839A4" w:rsidP="000839A4">
      <w:pPr>
        <w:spacing w:before="0"/>
        <w:ind w:left="425" w:hanging="425"/>
        <w:outlineLvl w:val="7"/>
        <w:rPr>
          <w:strike/>
          <w:color w:val="FF0000"/>
        </w:rPr>
      </w:pPr>
      <w:r w:rsidRPr="00D90D00">
        <w:rPr>
          <w:strike/>
          <w:color w:val="FF0000"/>
        </w:rPr>
        <w:t>a)</w:t>
      </w:r>
      <w:r w:rsidRPr="00D90D00">
        <w:rPr>
          <w:strike/>
          <w:color w:val="FF0000"/>
        </w:rPr>
        <w:tab/>
        <w:t>nezaokrouhluje, pokud je přepočítávaná částka uvedena s přesností na celé stokoruny, desetikoruny nebo koruny nebo haléře,</w:t>
      </w:r>
    </w:p>
    <w:p w14:paraId="08103925" w14:textId="77777777" w:rsidR="000839A4" w:rsidRPr="00D90D00" w:rsidRDefault="000839A4" w:rsidP="000839A4">
      <w:pPr>
        <w:spacing w:before="0"/>
        <w:ind w:left="425" w:hanging="425"/>
        <w:outlineLvl w:val="7"/>
        <w:rPr>
          <w:strike/>
          <w:color w:val="FF0000"/>
        </w:rPr>
      </w:pPr>
      <w:r w:rsidRPr="00D90D00">
        <w:rPr>
          <w:strike/>
          <w:color w:val="FF0000"/>
        </w:rPr>
        <w:t>b)</w:t>
      </w:r>
      <w:r w:rsidRPr="00D90D00">
        <w:rPr>
          <w:strike/>
          <w:color w:val="FF0000"/>
        </w:rPr>
        <w:tab/>
        <w:t>zaokrouhluje na celá čísla, pokud je přepočítávaná částka uvedena s přesností na celé tisícikoruny.</w:t>
      </w:r>
    </w:p>
    <w:p w14:paraId="716CF33D" w14:textId="77777777" w:rsidR="000839A4" w:rsidRPr="00D90D00" w:rsidRDefault="000839A4" w:rsidP="000839A4">
      <w:pPr>
        <w:keepNext/>
        <w:keepLines/>
        <w:spacing w:before="120" w:after="120"/>
        <w:rPr>
          <w:strike/>
          <w:noProof/>
          <w:color w:val="FF0000"/>
          <w:szCs w:val="24"/>
        </w:rPr>
      </w:pPr>
      <w:r w:rsidRPr="00D90D00">
        <w:rPr>
          <w:strike/>
          <w:noProof/>
          <w:color w:val="FF0000"/>
          <w:szCs w:val="24"/>
        </w:rPr>
        <w:t>(3) Pro posouzení splnění kritérií uvedených v české měně v rozhodnutí orgánu veřejné moci pro účely uplatnění slevy na dani podle § 35a nebo 35b poplatníka, jehož měnou účetnictví je cizí měna, se posuzované položky přepočtou na českou měnu kurzem pro přepočet daně pro poslední den zdaňovacího období, nebo části zdaňovacího období, za kterou se podává daňové přiznání, ve kterých má být tato sleva uplatněna.</w:t>
      </w:r>
    </w:p>
    <w:p w14:paraId="7BBC7134" w14:textId="77777777" w:rsidR="000839A4" w:rsidRPr="00D90D00" w:rsidRDefault="000839A4" w:rsidP="000839A4">
      <w:pPr>
        <w:keepNext/>
        <w:keepLines/>
        <w:ind w:firstLine="0"/>
        <w:jc w:val="center"/>
        <w:rPr>
          <w:strike/>
          <w:noProof/>
          <w:color w:val="FF0000"/>
          <w:szCs w:val="24"/>
        </w:rPr>
      </w:pPr>
      <w:r w:rsidRPr="00D90D00">
        <w:rPr>
          <w:strike/>
          <w:noProof/>
          <w:color w:val="FF0000"/>
          <w:szCs w:val="24"/>
        </w:rPr>
        <w:t>§ 38bc</w:t>
      </w:r>
    </w:p>
    <w:p w14:paraId="074FD673" w14:textId="77777777" w:rsidR="000839A4" w:rsidRPr="00D90D00" w:rsidRDefault="000839A4" w:rsidP="000839A4">
      <w:pPr>
        <w:keepNext/>
        <w:keepLines/>
        <w:ind w:firstLine="0"/>
        <w:jc w:val="center"/>
        <w:rPr>
          <w:strike/>
          <w:noProof/>
          <w:color w:val="FF0000"/>
          <w:szCs w:val="24"/>
        </w:rPr>
      </w:pPr>
      <w:r w:rsidRPr="00D90D00">
        <w:rPr>
          <w:b/>
          <w:strike/>
          <w:noProof/>
          <w:color w:val="FF0000"/>
          <w:szCs w:val="24"/>
        </w:rPr>
        <w:t>Měna přenositelných daňových položek pro jejich uplatnění</w:t>
      </w:r>
    </w:p>
    <w:p w14:paraId="1CE2A550" w14:textId="77777777" w:rsidR="000839A4" w:rsidRPr="00D90D00" w:rsidRDefault="000839A4" w:rsidP="000839A4">
      <w:pPr>
        <w:keepNext/>
        <w:keepLines/>
        <w:spacing w:before="120" w:after="120"/>
        <w:rPr>
          <w:strike/>
          <w:noProof/>
          <w:color w:val="FF0000"/>
          <w:szCs w:val="24"/>
        </w:rPr>
      </w:pPr>
      <w:r w:rsidRPr="00D90D00">
        <w:rPr>
          <w:strike/>
          <w:noProof/>
          <w:color w:val="FF0000"/>
          <w:szCs w:val="24"/>
        </w:rPr>
        <w:t>(1) Přenositelnou daňovou položkou se pro účely daní z příjmů rozumí</w:t>
      </w:r>
    </w:p>
    <w:p w14:paraId="3DECB5FE" w14:textId="77777777" w:rsidR="000839A4" w:rsidRPr="00D90D00" w:rsidRDefault="000839A4" w:rsidP="000839A4">
      <w:pPr>
        <w:spacing w:before="0"/>
        <w:ind w:left="425" w:hanging="425"/>
        <w:outlineLvl w:val="7"/>
        <w:rPr>
          <w:strike/>
          <w:color w:val="FF0000"/>
        </w:rPr>
      </w:pPr>
      <w:r w:rsidRPr="00D90D00">
        <w:rPr>
          <w:strike/>
          <w:color w:val="FF0000"/>
        </w:rPr>
        <w:t xml:space="preserve">a) </w:t>
      </w:r>
      <w:r w:rsidRPr="00D90D00">
        <w:rPr>
          <w:strike/>
          <w:color w:val="FF0000"/>
        </w:rPr>
        <w:tab/>
        <w:t>částka, o kterou lze snížit výsledek hospodaření nebo rozdíl mezi příjmy a výdaji podle § 23e odst. 6,</w:t>
      </w:r>
    </w:p>
    <w:p w14:paraId="3D0EB980" w14:textId="77777777" w:rsidR="000839A4" w:rsidRPr="00D90D00" w:rsidRDefault="000839A4" w:rsidP="000839A4">
      <w:pPr>
        <w:spacing w:before="0"/>
        <w:ind w:left="425" w:hanging="425"/>
        <w:outlineLvl w:val="7"/>
        <w:rPr>
          <w:strike/>
          <w:color w:val="FF0000"/>
        </w:rPr>
      </w:pPr>
      <w:r w:rsidRPr="00D90D00">
        <w:rPr>
          <w:strike/>
          <w:color w:val="FF0000"/>
        </w:rPr>
        <w:t xml:space="preserve">b) </w:t>
      </w:r>
      <w:r w:rsidRPr="00D90D00">
        <w:rPr>
          <w:strike/>
          <w:color w:val="FF0000"/>
        </w:rPr>
        <w:tab/>
        <w:t>částka, o kterou lze snížit výsledek hospodaření nebo rozdíl mezi příjmy a výdaji podle § 38fa odst. 8 a</w:t>
      </w:r>
    </w:p>
    <w:p w14:paraId="78EF3060" w14:textId="77777777" w:rsidR="000839A4" w:rsidRPr="00D90D00" w:rsidRDefault="000839A4" w:rsidP="000839A4">
      <w:pPr>
        <w:spacing w:before="0"/>
        <w:ind w:left="425" w:hanging="425"/>
        <w:outlineLvl w:val="7"/>
        <w:rPr>
          <w:strike/>
          <w:color w:val="FF0000"/>
        </w:rPr>
      </w:pPr>
      <w:r w:rsidRPr="00D90D00">
        <w:rPr>
          <w:strike/>
          <w:color w:val="FF0000"/>
        </w:rPr>
        <w:t xml:space="preserve">c) </w:t>
      </w:r>
      <w:r w:rsidRPr="00D90D00">
        <w:rPr>
          <w:strike/>
          <w:color w:val="FF0000"/>
        </w:rPr>
        <w:tab/>
        <w:t>výše skutečně vynaložených způsobilých nákladů za zdaňovací období pro účely slevy na dani podle § 35a nebo § 35b, výše uplatnění této slevy za toto období a částky daně pro účely výpočtu S2.</w:t>
      </w:r>
    </w:p>
    <w:p w14:paraId="0B1FBAA7" w14:textId="77777777" w:rsidR="000839A4" w:rsidRPr="00D90D00" w:rsidRDefault="000839A4" w:rsidP="000839A4">
      <w:pPr>
        <w:keepNext/>
        <w:keepLines/>
        <w:spacing w:before="120" w:after="120"/>
        <w:rPr>
          <w:strike/>
          <w:noProof/>
          <w:color w:val="FF0000"/>
          <w:szCs w:val="24"/>
        </w:rPr>
      </w:pPr>
      <w:r w:rsidRPr="00D90D00">
        <w:rPr>
          <w:strike/>
          <w:noProof/>
          <w:color w:val="FF0000"/>
          <w:szCs w:val="24"/>
        </w:rPr>
        <w:lastRenderedPageBreak/>
        <w:t>(2) Výše přenositelné daňové položky, která vznikla ve zdaňovacím období, ve kterém byla měnou účetnictví cizí měna, pro účely jejího uplatnění nebo jiného zohlednění v jiném zdaňovacím období, než ve kterém vznikla, odpovídá výši přenositelné daňové položky v měně účetnictví ve zdaňovacím období, ve kterém tato položka vznikla, přepočtené na českou měnu kurzem pro přepočet daně pro poslední den tohoto období.</w:t>
      </w:r>
    </w:p>
    <w:p w14:paraId="5B48622C" w14:textId="77777777" w:rsidR="000839A4" w:rsidRPr="00D90D00" w:rsidRDefault="000839A4" w:rsidP="00D90D00">
      <w:pPr>
        <w:keepNext/>
        <w:keepLines/>
        <w:numPr>
          <w:ilvl w:val="0"/>
          <w:numId w:val="1"/>
        </w:numPr>
        <w:jc w:val="center"/>
        <w:outlineLvl w:val="5"/>
        <w:rPr>
          <w:color w:val="FF0000"/>
        </w:rPr>
      </w:pPr>
      <w:r w:rsidRPr="00D90D00">
        <w:rPr>
          <w:b/>
          <w:color w:val="FF0000"/>
        </w:rPr>
        <w:t>§ 38ba</w:t>
      </w:r>
    </w:p>
    <w:p w14:paraId="02EB1318" w14:textId="77777777" w:rsidR="000839A4" w:rsidRPr="00D90D00" w:rsidRDefault="000839A4" w:rsidP="00D90D00">
      <w:pPr>
        <w:keepNext/>
        <w:keepLines/>
        <w:numPr>
          <w:ilvl w:val="0"/>
          <w:numId w:val="1"/>
        </w:numPr>
        <w:jc w:val="center"/>
        <w:outlineLvl w:val="5"/>
        <w:rPr>
          <w:color w:val="FF0000"/>
        </w:rPr>
      </w:pPr>
      <w:r w:rsidRPr="00D90D00">
        <w:rPr>
          <w:b/>
          <w:color w:val="FF0000"/>
        </w:rPr>
        <w:t>Daň z příjmů v cizí měně</w:t>
      </w:r>
    </w:p>
    <w:p w14:paraId="0F4842C8" w14:textId="77777777" w:rsidR="000839A4" w:rsidRPr="00D90D00" w:rsidRDefault="000839A4" w:rsidP="000839A4">
      <w:pPr>
        <w:keepNext/>
        <w:keepLines/>
        <w:spacing w:before="120" w:after="120"/>
        <w:rPr>
          <w:b/>
          <w:noProof/>
          <w:color w:val="FF0000"/>
          <w:szCs w:val="24"/>
        </w:rPr>
      </w:pPr>
      <w:r w:rsidRPr="00D90D00">
        <w:rPr>
          <w:b/>
          <w:noProof/>
          <w:color w:val="FF0000"/>
          <w:szCs w:val="24"/>
        </w:rPr>
        <w:t xml:space="preserve"> (1) Daň poplatníka s akruálním základem daně, jehož měnou účetnictví je cizí měna, se vypočte v této cizí měně. </w:t>
      </w:r>
    </w:p>
    <w:p w14:paraId="6236BBF0" w14:textId="77777777" w:rsidR="000839A4" w:rsidRPr="00D90D00" w:rsidRDefault="000839A4" w:rsidP="000839A4">
      <w:pPr>
        <w:keepNext/>
        <w:keepLines/>
        <w:spacing w:before="120" w:after="120"/>
        <w:rPr>
          <w:b/>
          <w:noProof/>
          <w:color w:val="FF0000"/>
          <w:szCs w:val="24"/>
        </w:rPr>
      </w:pPr>
      <w:r w:rsidRPr="00D90D00">
        <w:rPr>
          <w:b/>
          <w:noProof/>
          <w:color w:val="FF0000"/>
          <w:szCs w:val="24"/>
        </w:rPr>
        <w:t xml:space="preserve"> (2) Daň poplatníka vypočtená v eurech se spravuje v  eurech.   </w:t>
      </w:r>
    </w:p>
    <w:p w14:paraId="68D4C964" w14:textId="77777777" w:rsidR="000839A4" w:rsidRPr="00D90D00" w:rsidRDefault="000839A4" w:rsidP="000839A4">
      <w:pPr>
        <w:ind w:firstLine="0"/>
        <w:jc w:val="center"/>
        <w:rPr>
          <w:b/>
          <w:noProof/>
          <w:color w:val="FF0000"/>
          <w:szCs w:val="24"/>
        </w:rPr>
      </w:pPr>
      <w:r w:rsidRPr="00D90D00">
        <w:rPr>
          <w:b/>
          <w:noProof/>
          <w:color w:val="FF0000"/>
          <w:szCs w:val="24"/>
        </w:rPr>
        <w:t>§ 38bb</w:t>
      </w:r>
    </w:p>
    <w:p w14:paraId="463EEE0D" w14:textId="77777777" w:rsidR="000839A4" w:rsidRPr="00D90D00" w:rsidRDefault="000839A4" w:rsidP="000839A4">
      <w:pPr>
        <w:ind w:firstLine="0"/>
        <w:jc w:val="center"/>
        <w:rPr>
          <w:b/>
          <w:noProof/>
          <w:color w:val="FF0000"/>
          <w:szCs w:val="24"/>
        </w:rPr>
      </w:pPr>
      <w:r w:rsidRPr="00D90D00">
        <w:rPr>
          <w:b/>
          <w:noProof/>
          <w:color w:val="FF0000"/>
          <w:szCs w:val="24"/>
        </w:rPr>
        <w:t>Položky evidované v měně výpočtu daně</w:t>
      </w:r>
    </w:p>
    <w:p w14:paraId="773F31B3" w14:textId="77777777" w:rsidR="000839A4" w:rsidRPr="00D90D00" w:rsidRDefault="000839A4" w:rsidP="000839A4">
      <w:pPr>
        <w:spacing w:before="120" w:after="120"/>
        <w:rPr>
          <w:b/>
          <w:noProof/>
          <w:color w:val="FF0000"/>
          <w:szCs w:val="24"/>
        </w:rPr>
      </w:pPr>
      <w:r w:rsidRPr="00D90D00">
        <w:rPr>
          <w:b/>
          <w:noProof/>
          <w:color w:val="FF0000"/>
          <w:szCs w:val="24"/>
        </w:rPr>
        <w:t>(1) Evidovaná aktiva, dluhy, rezervy vytvářené pro daňové účely a jiné položky, jejichž způsob tvorby nebo uplatnění je upraven zákonem upravujícím daně z příjmů, se evidují v měně výpočtu daně.</w:t>
      </w:r>
    </w:p>
    <w:p w14:paraId="4E629D15" w14:textId="77777777" w:rsidR="000839A4" w:rsidRPr="00D90D00" w:rsidRDefault="000839A4" w:rsidP="000839A4">
      <w:pPr>
        <w:spacing w:before="120" w:after="120"/>
        <w:rPr>
          <w:b/>
          <w:noProof/>
          <w:color w:val="FF0000"/>
          <w:szCs w:val="24"/>
        </w:rPr>
      </w:pPr>
      <w:r w:rsidRPr="00D90D00">
        <w:rPr>
          <w:b/>
          <w:noProof/>
          <w:color w:val="FF0000"/>
          <w:szCs w:val="24"/>
        </w:rPr>
        <w:t>(2) Při změně měny výpočtu daně se položky uvedené v odstavci 1 přepočtou na měnu výpočtu daně kurzem pro přepočet na měnu účetnictví pro poslední den zdaňovacího období bezprostředně předcházejícího zdaňovacímu období, ve kterém došlo ke změně měny účetnictví.</w:t>
      </w:r>
    </w:p>
    <w:p w14:paraId="38310E9D" w14:textId="77777777" w:rsidR="000839A4" w:rsidRPr="00D90D00" w:rsidRDefault="000839A4" w:rsidP="000839A4">
      <w:pPr>
        <w:keepNext/>
        <w:keepLines/>
        <w:ind w:firstLine="0"/>
        <w:jc w:val="center"/>
        <w:rPr>
          <w:b/>
          <w:noProof/>
          <w:color w:val="FF0000"/>
          <w:szCs w:val="24"/>
        </w:rPr>
      </w:pPr>
      <w:r w:rsidRPr="00D90D00">
        <w:rPr>
          <w:b/>
          <w:noProof/>
          <w:color w:val="FF0000"/>
          <w:szCs w:val="24"/>
        </w:rPr>
        <w:t>§ 38bc</w:t>
      </w:r>
    </w:p>
    <w:p w14:paraId="4D0A6AA9" w14:textId="77777777" w:rsidR="000839A4" w:rsidRPr="00D90D00" w:rsidRDefault="000839A4" w:rsidP="000839A4">
      <w:pPr>
        <w:keepNext/>
        <w:keepLines/>
        <w:ind w:firstLine="0"/>
        <w:jc w:val="center"/>
        <w:rPr>
          <w:b/>
          <w:noProof/>
          <w:color w:val="FF0000"/>
          <w:szCs w:val="24"/>
        </w:rPr>
      </w:pPr>
      <w:r w:rsidRPr="00D90D00">
        <w:rPr>
          <w:b/>
          <w:noProof/>
          <w:color w:val="FF0000"/>
          <w:szCs w:val="24"/>
        </w:rPr>
        <w:t>Přepočet kritérií v české měně a zaokrouhlování při výpočtu daně v cizí měně</w:t>
      </w:r>
    </w:p>
    <w:p w14:paraId="23AAB621" w14:textId="77777777" w:rsidR="000839A4" w:rsidRPr="00D90D00" w:rsidRDefault="000839A4" w:rsidP="000839A4">
      <w:pPr>
        <w:keepNext/>
        <w:keepLines/>
        <w:spacing w:before="120" w:after="120"/>
        <w:rPr>
          <w:b/>
          <w:noProof/>
          <w:color w:val="FF0000"/>
          <w:szCs w:val="24"/>
        </w:rPr>
      </w:pPr>
      <w:r w:rsidRPr="00D90D00">
        <w:rPr>
          <w:b/>
          <w:noProof/>
          <w:color w:val="FF0000"/>
          <w:szCs w:val="24"/>
        </w:rPr>
        <w:t>(1) Kritérium uvedené v české měně v tomto zákoně, v jiném právním předpisu nebo v rozhodnutí orgánu veřejné moci, které se posuzuje pro účely daní z příjmů a vztahuje se k položce pro výpočet daně, o které se účtuje, nebo k evidovanému aktivu, dluhu, rezervě vytvářené pro daňové účely nebo jiné položce evidované v měně účetnictví, se v případě daně vypočtené v cizí měně přepočte na měnu výpočtu daně kurzem pro přepočet daně pro poslední den bezprostředně předcházejícího zdaňovacího.</w:t>
      </w:r>
    </w:p>
    <w:p w14:paraId="6719D692" w14:textId="77777777" w:rsidR="000839A4" w:rsidRPr="00D90D00" w:rsidRDefault="000839A4" w:rsidP="000839A4">
      <w:pPr>
        <w:keepNext/>
        <w:keepLines/>
        <w:spacing w:before="120" w:after="120"/>
        <w:rPr>
          <w:b/>
          <w:noProof/>
          <w:color w:val="FF0000"/>
          <w:szCs w:val="24"/>
        </w:rPr>
      </w:pPr>
      <w:r w:rsidRPr="00D90D00">
        <w:rPr>
          <w:b/>
          <w:noProof/>
          <w:color w:val="FF0000"/>
          <w:szCs w:val="24"/>
        </w:rPr>
        <w:t xml:space="preserve">(2) Částka přepočtená podle odstavce 1 se </w:t>
      </w:r>
    </w:p>
    <w:p w14:paraId="65497CEC" w14:textId="77777777" w:rsidR="000839A4" w:rsidRPr="00D90D00" w:rsidRDefault="000839A4" w:rsidP="000839A4">
      <w:pPr>
        <w:spacing w:before="0"/>
        <w:ind w:left="425" w:hanging="425"/>
        <w:outlineLvl w:val="7"/>
        <w:rPr>
          <w:b/>
          <w:color w:val="FF0000"/>
        </w:rPr>
      </w:pPr>
      <w:r w:rsidRPr="00D90D00">
        <w:rPr>
          <w:b/>
          <w:color w:val="FF0000"/>
        </w:rPr>
        <w:t>a)</w:t>
      </w:r>
      <w:r w:rsidRPr="00D90D00">
        <w:rPr>
          <w:b/>
          <w:color w:val="FF0000"/>
        </w:rPr>
        <w:tab/>
        <w:t>nezaokrouhluje, pokud je přepočítávaná částka uvedena s přesností na celé stokoruny, desetikoruny nebo koruny nebo haléře,</w:t>
      </w:r>
    </w:p>
    <w:p w14:paraId="4F4A5A6D" w14:textId="77777777" w:rsidR="000839A4" w:rsidRPr="00D90D00" w:rsidRDefault="000839A4" w:rsidP="000839A4">
      <w:pPr>
        <w:spacing w:before="0"/>
        <w:ind w:left="425" w:hanging="425"/>
        <w:outlineLvl w:val="7"/>
        <w:rPr>
          <w:b/>
          <w:color w:val="FF0000"/>
        </w:rPr>
      </w:pPr>
      <w:r w:rsidRPr="00D90D00">
        <w:rPr>
          <w:b/>
          <w:color w:val="FF0000"/>
        </w:rPr>
        <w:t>b)</w:t>
      </w:r>
      <w:r w:rsidRPr="00D90D00">
        <w:rPr>
          <w:b/>
          <w:color w:val="FF0000"/>
        </w:rPr>
        <w:tab/>
        <w:t>zaokrouhluje na celá čísla, pokud je přepočítávaná částka uvedena s přesností na celé tisícikoruny.</w:t>
      </w:r>
    </w:p>
    <w:p w14:paraId="727BE8A1" w14:textId="77777777" w:rsidR="000839A4" w:rsidRPr="00D90D00" w:rsidRDefault="000839A4" w:rsidP="000839A4">
      <w:pPr>
        <w:keepNext/>
        <w:keepLines/>
        <w:spacing w:before="120" w:after="120"/>
        <w:rPr>
          <w:b/>
          <w:noProof/>
          <w:color w:val="FF0000"/>
          <w:szCs w:val="24"/>
        </w:rPr>
      </w:pPr>
      <w:r w:rsidRPr="00D90D00">
        <w:rPr>
          <w:b/>
          <w:noProof/>
          <w:color w:val="FF0000"/>
          <w:szCs w:val="24"/>
        </w:rPr>
        <w:lastRenderedPageBreak/>
        <w:t>(3) Pro posouzení splnění kritérií uvedených v české měně v rozhodnutí orgánu veřejné moci pro účely uplatnění slevy na dani podle § 35a nebo 35b poplatníka, jehož měnou výpočtu daně je cizí měna, se posuzované položky přepočtou na českou měnu kurzem pro přepočet daně pro poslední den zdaňovacího období, nebo části zdaňovacího období, za kterou se podává daňové přiznání, ve kterých má být tato sleva uplatněna.</w:t>
      </w:r>
    </w:p>
    <w:p w14:paraId="16984AF2" w14:textId="77777777" w:rsidR="000839A4" w:rsidRPr="00D90D00" w:rsidRDefault="000839A4" w:rsidP="000839A4">
      <w:pPr>
        <w:keepNext/>
        <w:keepLines/>
        <w:spacing w:before="120" w:after="120"/>
        <w:rPr>
          <w:b/>
          <w:noProof/>
          <w:color w:val="FF0000"/>
          <w:szCs w:val="24"/>
        </w:rPr>
      </w:pPr>
      <w:r w:rsidRPr="00D90D00">
        <w:rPr>
          <w:b/>
          <w:noProof/>
          <w:color w:val="FF0000"/>
          <w:szCs w:val="24"/>
        </w:rPr>
        <w:t xml:space="preserve">(4) Při výpočtu daně v cizí měně se prvky jejího výpočtu, které se podle zákona zaokrouhlují na </w:t>
      </w:r>
    </w:p>
    <w:p w14:paraId="6B7FF376" w14:textId="77777777" w:rsidR="000839A4" w:rsidRPr="00D90D00" w:rsidRDefault="000839A4" w:rsidP="000839A4">
      <w:pPr>
        <w:spacing w:before="0"/>
        <w:ind w:left="425" w:hanging="425"/>
        <w:outlineLvl w:val="7"/>
        <w:rPr>
          <w:b/>
          <w:color w:val="FF0000"/>
        </w:rPr>
      </w:pPr>
      <w:r w:rsidRPr="00D90D00">
        <w:rPr>
          <w:b/>
          <w:color w:val="FF0000"/>
        </w:rPr>
        <w:t>a) celé tisíce Kč nebo celé stokoruny, zaokrouhlují na celá čísla,</w:t>
      </w:r>
    </w:p>
    <w:p w14:paraId="26ABF5FF" w14:textId="77777777" w:rsidR="000839A4" w:rsidRPr="00D90D00" w:rsidRDefault="000839A4" w:rsidP="000839A4">
      <w:pPr>
        <w:spacing w:before="0"/>
        <w:ind w:left="425" w:hanging="425"/>
        <w:outlineLvl w:val="7"/>
        <w:rPr>
          <w:b/>
          <w:color w:val="FF0000"/>
        </w:rPr>
      </w:pPr>
      <w:r w:rsidRPr="00D90D00">
        <w:rPr>
          <w:b/>
          <w:color w:val="FF0000"/>
        </w:rPr>
        <w:t>b) celé koruny, zaokrouhlují na dvě desetinná místa.</w:t>
      </w:r>
    </w:p>
    <w:p w14:paraId="2E09027E" w14:textId="77777777" w:rsidR="000839A4" w:rsidRPr="00D90D00" w:rsidRDefault="000839A4" w:rsidP="000839A4">
      <w:pPr>
        <w:keepNext/>
        <w:keepLines/>
        <w:ind w:firstLine="0"/>
        <w:jc w:val="center"/>
        <w:rPr>
          <w:b/>
          <w:noProof/>
          <w:color w:val="FF0000"/>
          <w:szCs w:val="24"/>
        </w:rPr>
      </w:pPr>
      <w:r w:rsidRPr="00D90D00">
        <w:rPr>
          <w:b/>
          <w:noProof/>
          <w:color w:val="FF0000"/>
          <w:szCs w:val="24"/>
        </w:rPr>
        <w:t>§ 38bd</w:t>
      </w:r>
    </w:p>
    <w:p w14:paraId="2AB160DC" w14:textId="77777777" w:rsidR="000839A4" w:rsidRPr="00D90D00" w:rsidRDefault="000839A4" w:rsidP="000839A4">
      <w:pPr>
        <w:keepNext/>
        <w:keepLines/>
        <w:ind w:firstLine="0"/>
        <w:jc w:val="center"/>
        <w:rPr>
          <w:noProof/>
          <w:color w:val="FF0000"/>
          <w:szCs w:val="24"/>
        </w:rPr>
      </w:pPr>
      <w:r w:rsidRPr="00D90D00">
        <w:rPr>
          <w:b/>
          <w:noProof/>
          <w:color w:val="FF0000"/>
          <w:szCs w:val="24"/>
        </w:rPr>
        <w:t>Měna přenositelných daňových položek a daňové ztráty pro jejich uplatnění</w:t>
      </w:r>
    </w:p>
    <w:p w14:paraId="71DD9D87" w14:textId="77777777" w:rsidR="000839A4" w:rsidRPr="00D90D00" w:rsidRDefault="000839A4" w:rsidP="000839A4">
      <w:pPr>
        <w:spacing w:before="120" w:after="120"/>
        <w:rPr>
          <w:b/>
          <w:noProof/>
          <w:color w:val="FF0000"/>
          <w:szCs w:val="24"/>
        </w:rPr>
      </w:pPr>
      <w:r w:rsidRPr="00D90D00">
        <w:rPr>
          <w:b/>
          <w:noProof/>
          <w:color w:val="FF0000"/>
          <w:szCs w:val="24"/>
        </w:rPr>
        <w:t>(1) Přenositelnou daňovou položkou se pro účely daní z příjmů rozumí</w:t>
      </w:r>
    </w:p>
    <w:p w14:paraId="5DF13A6E" w14:textId="77777777" w:rsidR="000839A4" w:rsidRPr="00D90D00" w:rsidRDefault="000839A4" w:rsidP="000839A4">
      <w:pPr>
        <w:spacing w:before="0"/>
        <w:ind w:left="425" w:hanging="425"/>
        <w:outlineLvl w:val="7"/>
        <w:rPr>
          <w:b/>
          <w:color w:val="FF0000"/>
        </w:rPr>
      </w:pPr>
      <w:r w:rsidRPr="00D90D00">
        <w:rPr>
          <w:b/>
          <w:color w:val="FF0000"/>
        </w:rPr>
        <w:t xml:space="preserve">a) </w:t>
      </w:r>
      <w:r w:rsidRPr="00D90D00">
        <w:rPr>
          <w:b/>
          <w:color w:val="FF0000"/>
        </w:rPr>
        <w:tab/>
        <w:t>částka, o kterou lze snížit výsledek hospodaření nebo rozdíl mezi příjmy a výdaji podle § 23e odst. 7,</w:t>
      </w:r>
    </w:p>
    <w:p w14:paraId="0A5B6781" w14:textId="77777777" w:rsidR="000839A4" w:rsidRPr="00D90D00" w:rsidRDefault="000839A4" w:rsidP="000839A4">
      <w:pPr>
        <w:spacing w:before="0"/>
        <w:ind w:left="425" w:hanging="425"/>
        <w:outlineLvl w:val="7"/>
        <w:rPr>
          <w:b/>
          <w:color w:val="FF0000"/>
        </w:rPr>
      </w:pPr>
      <w:r w:rsidRPr="00D90D00">
        <w:rPr>
          <w:b/>
          <w:color w:val="FF0000"/>
        </w:rPr>
        <w:t xml:space="preserve">b) </w:t>
      </w:r>
      <w:r w:rsidRPr="00D90D00">
        <w:rPr>
          <w:b/>
          <w:color w:val="FF0000"/>
        </w:rPr>
        <w:tab/>
        <w:t>částka, o kterou lze snížit výsledek hospodaření nebo rozdíl mezi příjmy a výdaji podle § 38fa odst. 8, a</w:t>
      </w:r>
    </w:p>
    <w:p w14:paraId="6F9E75A9" w14:textId="77777777" w:rsidR="000839A4" w:rsidRPr="00D90D00" w:rsidRDefault="000839A4" w:rsidP="000839A4">
      <w:pPr>
        <w:spacing w:before="0"/>
        <w:ind w:left="425" w:hanging="425"/>
        <w:outlineLvl w:val="7"/>
        <w:rPr>
          <w:b/>
          <w:color w:val="FF0000"/>
        </w:rPr>
      </w:pPr>
      <w:r w:rsidRPr="00D90D00">
        <w:rPr>
          <w:b/>
          <w:color w:val="FF0000"/>
        </w:rPr>
        <w:t xml:space="preserve">c) </w:t>
      </w:r>
      <w:r w:rsidRPr="00D90D00">
        <w:rPr>
          <w:b/>
          <w:color w:val="FF0000"/>
        </w:rPr>
        <w:tab/>
        <w:t>výše skutečně vynaložených způsobilých nákladů za zdaňovací období pro účely slevy na dani podle § 35a nebo § 35b, výše uplatnění této slevy za toto období a částky daně pro účely výpočtu S2.</w:t>
      </w:r>
    </w:p>
    <w:p w14:paraId="2D14BE45" w14:textId="77777777" w:rsidR="000839A4" w:rsidRPr="00D90D00" w:rsidRDefault="000839A4" w:rsidP="000839A4">
      <w:pPr>
        <w:spacing w:before="120" w:after="120"/>
        <w:rPr>
          <w:b/>
          <w:noProof/>
          <w:color w:val="FF0000"/>
          <w:szCs w:val="24"/>
        </w:rPr>
      </w:pPr>
      <w:r w:rsidRPr="00D90D00">
        <w:rPr>
          <w:b/>
          <w:noProof/>
          <w:color w:val="FF0000"/>
          <w:szCs w:val="24"/>
        </w:rPr>
        <w:t>(2) Vznikla-li přenositelná daňová položka v měně odlišné od měny výpočtu daně za zdaňovací období, ve kterém se tato položka uplatňuje nebo jinak zohledňuje, přepočte se tato položka na měnu výpočtu této daně kurzem pro přepočet na měnu účetnictví pro poslední den zdaňovacího období, ve kterém tato položka vznikla.</w:t>
      </w:r>
    </w:p>
    <w:p w14:paraId="0FD429DF" w14:textId="77777777" w:rsidR="000839A4" w:rsidRPr="00D90D00" w:rsidRDefault="000839A4" w:rsidP="000839A4">
      <w:pPr>
        <w:spacing w:before="120" w:after="120"/>
        <w:rPr>
          <w:b/>
          <w:noProof/>
          <w:color w:val="FF0000"/>
          <w:szCs w:val="24"/>
        </w:rPr>
      </w:pPr>
      <w:r w:rsidRPr="00D90D00">
        <w:rPr>
          <w:b/>
          <w:noProof/>
          <w:color w:val="FF0000"/>
          <w:szCs w:val="24"/>
        </w:rPr>
        <w:t xml:space="preserve"> (3) Je-li daňová ztráta stanovena v měně odlišné od měny výpočtu daně za zdaňovací období, ve kterém se tato daňová ztráta uplatňuje, přepočte se stanovená daňová ztráta na měnu výpočtu této daně kurzem pro přepočet daně pro poslední den zdaňovacího období, za které byla daňová ztráta stanovena.</w:t>
      </w:r>
    </w:p>
    <w:p w14:paraId="59570A74" w14:textId="77777777" w:rsidR="000839A4" w:rsidRPr="00D90D00" w:rsidRDefault="000839A4" w:rsidP="00D90D00">
      <w:pPr>
        <w:keepNext/>
        <w:keepLines/>
        <w:numPr>
          <w:ilvl w:val="0"/>
          <w:numId w:val="1"/>
        </w:numPr>
        <w:jc w:val="center"/>
        <w:outlineLvl w:val="5"/>
        <w:rPr>
          <w:b/>
          <w:color w:val="FF0000"/>
        </w:rPr>
      </w:pPr>
      <w:r w:rsidRPr="00D90D00">
        <w:rPr>
          <w:b/>
          <w:color w:val="FF0000"/>
        </w:rPr>
        <w:t>§ 38be</w:t>
      </w:r>
    </w:p>
    <w:p w14:paraId="7B38F80D" w14:textId="77777777" w:rsidR="000839A4" w:rsidRPr="00D90D00" w:rsidRDefault="000839A4" w:rsidP="00D90D00">
      <w:pPr>
        <w:keepNext/>
        <w:keepLines/>
        <w:numPr>
          <w:ilvl w:val="0"/>
          <w:numId w:val="1"/>
        </w:numPr>
        <w:jc w:val="center"/>
        <w:outlineLvl w:val="5"/>
        <w:rPr>
          <w:b/>
          <w:color w:val="FF0000"/>
        </w:rPr>
      </w:pPr>
      <w:r w:rsidRPr="00D90D00">
        <w:rPr>
          <w:b/>
          <w:color w:val="FF0000"/>
        </w:rPr>
        <w:t>Přepočet daně vypočtené v cizí měně spravované v české měně</w:t>
      </w:r>
    </w:p>
    <w:p w14:paraId="53910AD9" w14:textId="77777777" w:rsidR="000839A4" w:rsidRPr="00D90D00" w:rsidRDefault="000839A4" w:rsidP="000839A4">
      <w:pPr>
        <w:spacing w:before="120" w:after="120"/>
        <w:rPr>
          <w:b/>
          <w:noProof/>
          <w:color w:val="FF0000"/>
          <w:szCs w:val="24"/>
        </w:rPr>
      </w:pPr>
      <w:r w:rsidRPr="00D90D00">
        <w:rPr>
          <w:b/>
          <w:noProof/>
          <w:color w:val="FF0000"/>
          <w:szCs w:val="24"/>
        </w:rPr>
        <w:t>Daň vypočtená v cizí měně spravovaná v české měně se pro účely tvrzení daně přepočte na českou měnu kurzem pro přepočet daně pro poslední den zdaňovacího období nebo části zdaňovacího období, za kterou se podává daňové přiznání; takto přepočtená daň se zaokrouhluje na celé koruny české nahoru.</w:t>
      </w:r>
    </w:p>
    <w:p w14:paraId="7E5A180C" w14:textId="77777777" w:rsidR="000839A4" w:rsidRPr="00D90D00" w:rsidRDefault="000839A4" w:rsidP="00D90D00">
      <w:pPr>
        <w:keepNext/>
        <w:keepLines/>
        <w:numPr>
          <w:ilvl w:val="0"/>
          <w:numId w:val="1"/>
        </w:numPr>
        <w:jc w:val="center"/>
        <w:outlineLvl w:val="5"/>
        <w:rPr>
          <w:b/>
          <w:color w:val="FF0000"/>
        </w:rPr>
      </w:pPr>
      <w:r w:rsidRPr="00D90D00">
        <w:rPr>
          <w:b/>
          <w:color w:val="FF0000"/>
        </w:rPr>
        <w:t>§ 38bf</w:t>
      </w:r>
    </w:p>
    <w:p w14:paraId="61596FCE" w14:textId="77777777" w:rsidR="000839A4" w:rsidRPr="00D90D00" w:rsidRDefault="000839A4" w:rsidP="00D90D00">
      <w:pPr>
        <w:keepNext/>
        <w:keepLines/>
        <w:numPr>
          <w:ilvl w:val="0"/>
          <w:numId w:val="1"/>
        </w:numPr>
        <w:jc w:val="center"/>
        <w:outlineLvl w:val="5"/>
        <w:rPr>
          <w:b/>
          <w:color w:val="FF0000"/>
        </w:rPr>
      </w:pPr>
      <w:r w:rsidRPr="00D90D00">
        <w:rPr>
          <w:b/>
          <w:color w:val="FF0000"/>
        </w:rPr>
        <w:t xml:space="preserve">Zjištění periodicity a výše záloh v cizí měně </w:t>
      </w:r>
    </w:p>
    <w:p w14:paraId="3F231DF5" w14:textId="77777777" w:rsidR="000839A4" w:rsidRPr="00D90D00" w:rsidRDefault="000839A4" w:rsidP="000839A4">
      <w:pPr>
        <w:spacing w:before="120" w:after="120"/>
        <w:rPr>
          <w:b/>
          <w:noProof/>
          <w:color w:val="FF0000"/>
          <w:szCs w:val="24"/>
        </w:rPr>
      </w:pPr>
      <w:r w:rsidRPr="00D90D00">
        <w:rPr>
          <w:b/>
          <w:noProof/>
          <w:color w:val="FF0000"/>
          <w:szCs w:val="24"/>
        </w:rPr>
        <w:t xml:space="preserve">(1) Je-li poslední známá daňová povinnost poplatníka spravována v cizí měně, výše poslední známé daňové povinnosti rozhodná pro vznik povinnosti platit zálohy a pro zjištění periodicity záloh, uvedená v tomto zákoně v české měně, se s přesností na celá čísla přepočte na měnu, ve které je spravována poslední známá daňová povinnost poplatníka, </w:t>
      </w:r>
      <w:r w:rsidRPr="00D90D00">
        <w:rPr>
          <w:b/>
          <w:noProof/>
          <w:color w:val="FF0000"/>
          <w:szCs w:val="24"/>
        </w:rPr>
        <w:lastRenderedPageBreak/>
        <w:t>kurzem pro přepočet daně pro poslední den zdaňovacího období, za které byla tato poslední známá daňová povinnost tvrzena nebo stanovena.</w:t>
      </w:r>
    </w:p>
    <w:p w14:paraId="41411DF7" w14:textId="77777777" w:rsidR="000839A4" w:rsidRPr="00D90D00" w:rsidRDefault="000839A4" w:rsidP="000839A4">
      <w:pPr>
        <w:spacing w:before="120" w:after="120"/>
        <w:rPr>
          <w:b/>
          <w:noProof/>
          <w:color w:val="FF0000"/>
          <w:szCs w:val="24"/>
        </w:rPr>
      </w:pPr>
      <w:r w:rsidRPr="00D90D00">
        <w:rPr>
          <w:b/>
          <w:noProof/>
          <w:color w:val="FF0000"/>
          <w:szCs w:val="24"/>
        </w:rPr>
        <w:t>(2) Je-li poslední známá daňová povinnost poplatníka spravovaná v měně odlišné od měny správy daně, na jejíž úhradu se započítávají zálohy zjištěné z této poslední známé daňové povinnosti, přepočte se tato poslední známá daňová povinnost pro účely zjištění výše záloh na měnu správy daně, na jejíž úhradu se započítávají zálohy z této poslední známé daňové povinnosti zjištěné, kurzem pro přepočet daně pro poslední den zdaňovacího období, za které byla poslední známá daňová povinnost poplatníka tvrzena nebo stanovena.</w:t>
      </w:r>
    </w:p>
    <w:p w14:paraId="7A275E06" w14:textId="77777777" w:rsidR="000839A4" w:rsidRPr="000839A4" w:rsidRDefault="000839A4" w:rsidP="000839A4">
      <w:pPr>
        <w:keepNext/>
        <w:ind w:firstLine="0"/>
        <w:jc w:val="center"/>
        <w:rPr>
          <w:szCs w:val="24"/>
        </w:rPr>
      </w:pPr>
      <w:r w:rsidRPr="000839A4">
        <w:rPr>
          <w:szCs w:val="24"/>
        </w:rPr>
        <w:t>§ 38c</w:t>
      </w:r>
    </w:p>
    <w:p w14:paraId="534F0F74" w14:textId="77777777" w:rsidR="000839A4" w:rsidRPr="000839A4" w:rsidRDefault="000839A4" w:rsidP="000839A4">
      <w:pPr>
        <w:keepNext/>
        <w:ind w:firstLine="0"/>
        <w:jc w:val="center"/>
        <w:rPr>
          <w:b/>
          <w:szCs w:val="24"/>
        </w:rPr>
      </w:pPr>
      <w:r w:rsidRPr="000839A4">
        <w:rPr>
          <w:b/>
          <w:szCs w:val="24"/>
        </w:rPr>
        <w:t>Plátce daně</w:t>
      </w:r>
    </w:p>
    <w:p w14:paraId="1B10B7F9" w14:textId="77777777" w:rsidR="000839A4" w:rsidRPr="000839A4" w:rsidRDefault="000839A4" w:rsidP="000839A4">
      <w:pPr>
        <w:spacing w:before="120" w:after="120"/>
        <w:rPr>
          <w:szCs w:val="24"/>
        </w:rPr>
      </w:pPr>
      <w:r w:rsidRPr="000839A4">
        <w:rPr>
          <w:szCs w:val="24"/>
        </w:rPr>
        <w:t>(1) Plátcem daně se rozumí poplatník se sídlem nebo bydlištěm na území České republiky, s výjimkou fondu penzijní společnosti, který je plátcem</w:t>
      </w:r>
    </w:p>
    <w:p w14:paraId="6B6E9556"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příjmu ze závislé činnosti,</w:t>
      </w:r>
    </w:p>
    <w:p w14:paraId="0C63E1D5"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příjmu, z kterého je daň vybírána srážkou podle zvláštní sazby daně, nebo</w:t>
      </w:r>
    </w:p>
    <w:p w14:paraId="6EDB56E8" w14:textId="77777777" w:rsidR="000839A4" w:rsidRPr="000839A4" w:rsidRDefault="000839A4" w:rsidP="000839A4">
      <w:pPr>
        <w:tabs>
          <w:tab w:val="left" w:pos="357"/>
        </w:tabs>
        <w:spacing w:before="0"/>
        <w:ind w:left="357" w:hanging="357"/>
        <w:rPr>
          <w:szCs w:val="24"/>
        </w:rPr>
      </w:pPr>
      <w:r w:rsidRPr="000839A4">
        <w:rPr>
          <w:szCs w:val="24"/>
        </w:rPr>
        <w:t>c)</w:t>
      </w:r>
      <w:r w:rsidRPr="000839A4">
        <w:rPr>
          <w:szCs w:val="24"/>
        </w:rPr>
        <w:tab/>
        <w:t>příjmu, z kterého se sráží úhrada na zajištění daně.</w:t>
      </w:r>
    </w:p>
    <w:p w14:paraId="6FA1FAC3" w14:textId="77777777" w:rsidR="000839A4" w:rsidRPr="000839A4" w:rsidRDefault="000839A4" w:rsidP="000839A4">
      <w:pPr>
        <w:spacing w:before="120" w:after="120"/>
        <w:rPr>
          <w:szCs w:val="24"/>
        </w:rPr>
      </w:pPr>
      <w:r w:rsidRPr="000839A4">
        <w:rPr>
          <w:szCs w:val="24"/>
        </w:rPr>
        <w:t>(2) Plátcem daně se rozumí též poplatník uvedený v § 2 odst. 3 a § 17 odst. 4, který má na území České republiky stálou provozovnu (§ 22 odst. 2) nebo zaměstnává zde své zaměstnance déle než 183 dnů s výjimkou případů poskytování služeb ve smyslu ustanovení § 22 odst. 1 písm. c) a s výjimkou zahraničních zastupitelských úřadů v tuzemsku. V případě uvedeném v § 6 odst. 2 ve větě druhé a třetí není plátcem daně poplatník uvedený v § 2 odst. 3 a v § 17 odst. 4 s výjimkou poplatníka se sídlem nebo bydlištěm v jiném členském státě Evropské unie nebo státě tvořícím Evropský hospodářský prostor, který má na území České republiky organizační složku, jejímž předmětem činnosti je zprostředkování zaměstnání na základě povolení podle zákona upravujícího zaměstnanost; takový poplatník je plátcem daně.</w:t>
      </w:r>
    </w:p>
    <w:p w14:paraId="341E0E0A" w14:textId="77777777" w:rsidR="000839A4" w:rsidRPr="000839A4" w:rsidRDefault="000839A4" w:rsidP="000839A4">
      <w:pPr>
        <w:keepNext/>
        <w:ind w:firstLine="0"/>
        <w:jc w:val="center"/>
        <w:rPr>
          <w:szCs w:val="24"/>
        </w:rPr>
      </w:pPr>
      <w:r w:rsidRPr="000839A4">
        <w:rPr>
          <w:szCs w:val="24"/>
        </w:rPr>
        <w:t>§ 38d</w:t>
      </w:r>
    </w:p>
    <w:p w14:paraId="000D7193" w14:textId="77777777" w:rsidR="000839A4" w:rsidRPr="000839A4" w:rsidRDefault="000839A4" w:rsidP="000839A4">
      <w:pPr>
        <w:keepNext/>
        <w:ind w:firstLine="0"/>
        <w:jc w:val="center"/>
        <w:rPr>
          <w:b/>
          <w:szCs w:val="24"/>
        </w:rPr>
      </w:pPr>
      <w:r w:rsidRPr="000839A4">
        <w:rPr>
          <w:b/>
          <w:szCs w:val="24"/>
        </w:rPr>
        <w:t>Daň vybíraná srážkou podle zvláštní sazby daně</w:t>
      </w:r>
    </w:p>
    <w:p w14:paraId="1ECAC303" w14:textId="77777777" w:rsidR="000839A4" w:rsidRPr="000839A4" w:rsidRDefault="000839A4" w:rsidP="000839A4">
      <w:pPr>
        <w:spacing w:before="120" w:after="120"/>
        <w:rPr>
          <w:szCs w:val="24"/>
          <w:vertAlign w:val="superscript"/>
        </w:rPr>
      </w:pPr>
      <w:r w:rsidRPr="000839A4">
        <w:rPr>
          <w:szCs w:val="24"/>
        </w:rPr>
        <w:t xml:space="preserve">(1) Daň se vybírá srážkou z příjmů, na které se vztahuje zvláštní sazba daně podle § 36. Je-li plnění hrazeno formou záloh, je samostatným příjmem každá záloha i doplatek z vyúčtování celkového plnění. Srážku je povinen provést plátce daně, s výjimkou uvedenou v odstavci 2, při výplatě, poukázání nebo připsání úhrady ve prospěch poplatníka, avšak u příjmů uvedených v § 22 odst. 1 písm. c), f) a g) bodech 1, 2, 5, 6 a 12 a u úroků a jiných výnosů z poskytnutých zápůjček a z poskytnutých úvěrů, plynoucích poplatníkům uvedeným v § 2 odst. 3 a § 17 odst. 4, nejpozději v den, kdy o dluhu účtuje v souladu se zvláštním právním </w:t>
      </w:r>
      <w:proofErr w:type="gramStart"/>
      <w:r w:rsidRPr="000839A4">
        <w:rPr>
          <w:szCs w:val="24"/>
        </w:rPr>
        <w:t>předpisem.</w:t>
      </w:r>
      <w:r w:rsidRPr="000839A4">
        <w:rPr>
          <w:strike/>
          <w:szCs w:val="24"/>
          <w:vertAlign w:val="superscript"/>
        </w:rPr>
        <w:t>20</w:t>
      </w:r>
      <w:proofErr w:type="gramEnd"/>
      <w:r w:rsidRPr="000839A4">
        <w:rPr>
          <w:strike/>
          <w:szCs w:val="24"/>
          <w:vertAlign w:val="superscript"/>
        </w:rPr>
        <w:t>)</w:t>
      </w:r>
    </w:p>
    <w:p w14:paraId="63A7FCD1" w14:textId="77777777" w:rsidR="000839A4" w:rsidRPr="000839A4" w:rsidRDefault="000839A4" w:rsidP="000839A4">
      <w:pPr>
        <w:spacing w:before="120" w:after="120"/>
        <w:rPr>
          <w:szCs w:val="24"/>
        </w:rPr>
      </w:pPr>
      <w:r w:rsidRPr="000839A4">
        <w:rPr>
          <w:szCs w:val="24"/>
        </w:rPr>
        <w:t xml:space="preserve">(2) U příjmů plynoucích z podílů na zisku uvedených v § 36, s výjimkou příjmů plynoucích ze zaknihovaných cenných papírů, je plátce daně povinen srazit daň při jejich výplatě, nejpozději však do konce třetího měsíce následujícího po měsíci, v němž byla schválena účetní závěrka a bylo rozhodnuto o rozdělení zisku nebo o úhradě ztráty. U příjmů z podílů na zisku plynoucích ze zaknihovaných cenných papírů je plátce povinen srazit daň nejpozději do konce měsíce následujícího po měsíci, v němž byla schválena účetní závěrka a bylo rozhodnuto o rozdělení zisku nebo o úhradě ztráty. U příjmu z podřízeného podílu na zisku, jehož výplata je spojena se splněním podmínky, která do konce lhůty pro sražení daně nenastala, a u příjmů z podílu na zisku, jejichž vyplacení bylo statutárním orgánem odmítnuto, je plátce daně povinen </w:t>
      </w:r>
      <w:r w:rsidRPr="000839A4">
        <w:rPr>
          <w:szCs w:val="24"/>
        </w:rPr>
        <w:lastRenderedPageBreak/>
        <w:t xml:space="preserve">srazit daň při jejich výplatě. Jestliže je v okamžiku stanoveném zákonem pro sražení srážkové daně vlastníkem vlastního podílu, s nímž je spojeno právo na podíl na zisku, sama obchodní korporace, srážka se provede v okamžiku jeho nabytí jiným poplatníkem, pokud předtím právo na podíl na zisku nezaniklo. Ve stejných lhůtách je plátce daně povinen srazit daň u příjmu uvedeného v § 36 odst. 1 písm. b) bodu 3 a odst. 2. U příjmů plynoucích z podílových listů je plátce daně povinen srazit daň při jejich výplatě, nejpozději však do konce třetího měsíce následujícího po měsíci, v němž rozhodl obhospodařovatel o rozdělení zisku podílového fondu. Nebyla-li výplata příjmů plynoucích z podílu na zisku provedena ani posledního dne období, kdy je plátce daně povinen daň srazit, má se pro účely zákona za to, že srážka daně byla provedena poslední den vymezeného období; přitom u úrokových příjmů a u rozdílu mezi sjednanou cenou, které jsou považovány za podíly na zisku [§ 22 odst. 1 písm. g) bod 3], se dnem provedení srážky rozumí poslední den zdaňovacího období </w:t>
      </w:r>
      <w:r w:rsidRPr="000839A4">
        <w:rPr>
          <w:strike/>
          <w:szCs w:val="24"/>
        </w:rPr>
        <w:t>nebo období, za něž se podává daňové přiznání</w:t>
      </w:r>
      <w:r w:rsidRPr="000839A4">
        <w:rPr>
          <w:szCs w:val="24"/>
        </w:rPr>
        <w:t>.</w:t>
      </w:r>
    </w:p>
    <w:p w14:paraId="3E9AC447" w14:textId="77777777" w:rsidR="000839A4" w:rsidRPr="000839A4" w:rsidRDefault="000839A4" w:rsidP="000839A4">
      <w:pPr>
        <w:spacing w:before="120" w:after="120"/>
        <w:rPr>
          <w:szCs w:val="24"/>
        </w:rPr>
      </w:pPr>
      <w:r w:rsidRPr="000839A4">
        <w:rPr>
          <w:szCs w:val="24"/>
        </w:rPr>
        <w:t>(3) Plátce daně je povinen sraženou daň odvést svému místně příslušnému správci daně do konce kalendářního měsíce následujícího po kalendářním měsíci, ve kterém byl povinen provést srážku podle odstavců 1 a 2. Pokud je plátce povinen podat daňové přiznání v průběhu zdaňovacího období, je povinen sraženou daň odvést svému místně příslušnému správci daně nejpozději do termínu pro podání tohoto daňového přiznání. Srážka daně se provádí ze základu daně stanoveného podle § 36.</w:t>
      </w:r>
    </w:p>
    <w:p w14:paraId="5268B647" w14:textId="77777777" w:rsidR="000839A4" w:rsidRPr="000839A4" w:rsidRDefault="000839A4" w:rsidP="000839A4">
      <w:pPr>
        <w:spacing w:before="120" w:after="120"/>
        <w:rPr>
          <w:szCs w:val="24"/>
        </w:rPr>
      </w:pPr>
      <w:r w:rsidRPr="000839A4">
        <w:rPr>
          <w:szCs w:val="24"/>
        </w:rPr>
        <w:t>(4) Daňová povinnost poplatníka, pokud jde o příjmy nebo zálohy na ně, z nichž je srážena daň, se považuje za splněnou řádným a včasným provedením srážky daně, kromě příjmů uvedených</w:t>
      </w:r>
    </w:p>
    <w:p w14:paraId="16259D82"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 xml:space="preserve">v § 36 odst. 2 </w:t>
      </w:r>
      <w:proofErr w:type="gramStart"/>
      <w:r w:rsidRPr="000839A4">
        <w:rPr>
          <w:szCs w:val="24"/>
        </w:rPr>
        <w:t>písm.  m), pokud</w:t>
      </w:r>
      <w:proofErr w:type="gramEnd"/>
      <w:r w:rsidRPr="000839A4">
        <w:rPr>
          <w:szCs w:val="24"/>
        </w:rPr>
        <w:t xml:space="preserve"> poplatník</w:t>
      </w:r>
    </w:p>
    <w:p w14:paraId="3C18444A" w14:textId="77777777" w:rsidR="000839A4" w:rsidRPr="000839A4" w:rsidRDefault="000839A4" w:rsidP="000839A4">
      <w:pPr>
        <w:tabs>
          <w:tab w:val="left" w:pos="357"/>
        </w:tabs>
        <w:spacing w:before="0"/>
        <w:ind w:left="714" w:hanging="357"/>
        <w:rPr>
          <w:szCs w:val="24"/>
        </w:rPr>
      </w:pPr>
      <w:r w:rsidRPr="000839A4">
        <w:rPr>
          <w:szCs w:val="24"/>
        </w:rPr>
        <w:t>1.</w:t>
      </w:r>
      <w:r w:rsidRPr="000839A4">
        <w:rPr>
          <w:szCs w:val="24"/>
        </w:rPr>
        <w:tab/>
        <w:t>prokazatelně učiní za období, za které byla ve zdaňovacím období z těchto příjmů daň sražena, dodatečně prohlášení k dani (§ 38k odst. 7),</w:t>
      </w:r>
    </w:p>
    <w:p w14:paraId="0A00B057" w14:textId="77777777" w:rsidR="000839A4" w:rsidRPr="000839A4" w:rsidRDefault="000839A4" w:rsidP="000839A4">
      <w:pPr>
        <w:tabs>
          <w:tab w:val="left" w:pos="357"/>
        </w:tabs>
        <w:spacing w:before="0"/>
        <w:ind w:left="714" w:hanging="357"/>
        <w:rPr>
          <w:szCs w:val="24"/>
        </w:rPr>
      </w:pPr>
      <w:r w:rsidRPr="000839A4">
        <w:rPr>
          <w:szCs w:val="24"/>
        </w:rPr>
        <w:t>2.</w:t>
      </w:r>
      <w:r w:rsidRPr="000839A4">
        <w:rPr>
          <w:szCs w:val="24"/>
        </w:rPr>
        <w:tab/>
        <w:t>zahrne příjmy uvedené v § 6 odst. 4 do daňového přiznání podaného za zdaňovací období, ve kterém mu tyto příjmy plynou,</w:t>
      </w:r>
    </w:p>
    <w:p w14:paraId="5779AAD5"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v § 36 odst. 6 a 7.</w:t>
      </w:r>
    </w:p>
    <w:p w14:paraId="719B942E" w14:textId="77777777" w:rsidR="000839A4" w:rsidRPr="000839A4" w:rsidRDefault="000839A4" w:rsidP="000839A4">
      <w:pPr>
        <w:spacing w:before="120"/>
        <w:ind w:firstLine="482"/>
        <w:rPr>
          <w:szCs w:val="24"/>
        </w:rPr>
      </w:pPr>
      <w:r w:rsidRPr="000839A4">
        <w:rPr>
          <w:szCs w:val="24"/>
        </w:rPr>
        <w:t>(5) Neprovede-li plátce daně srážku daně vůbec, popřípadě provede-li ji v nesprávné výši nebo sraženou daň včas neodvede, bude na něm vymáhána jako jeho dluh. U příjmů uvedených v § 36 odst. 7 se použije obdobně § 38e odst. 9 věta třetí.</w:t>
      </w:r>
    </w:p>
    <w:p w14:paraId="78908AA4" w14:textId="77777777" w:rsidR="000839A4" w:rsidRPr="000839A4" w:rsidRDefault="000839A4" w:rsidP="000839A4">
      <w:pPr>
        <w:spacing w:before="120"/>
        <w:ind w:firstLine="482"/>
        <w:rPr>
          <w:szCs w:val="24"/>
        </w:rPr>
      </w:pPr>
      <w:r w:rsidRPr="000839A4">
        <w:rPr>
          <w:szCs w:val="24"/>
        </w:rPr>
        <w:t>(6) Správce daně může plátci daně stanovit pro úhradu daně vybírané srážkou lhůtu delší.</w:t>
      </w:r>
    </w:p>
    <w:p w14:paraId="5C239F00" w14:textId="77777777" w:rsidR="000839A4" w:rsidRPr="000839A4" w:rsidRDefault="000839A4" w:rsidP="000839A4">
      <w:pPr>
        <w:spacing w:before="120" w:after="120"/>
        <w:rPr>
          <w:szCs w:val="24"/>
        </w:rPr>
      </w:pPr>
      <w:r w:rsidRPr="000839A4">
        <w:rPr>
          <w:szCs w:val="24"/>
        </w:rPr>
        <w:t>(7) Na základě žádosti poplatníka uvedeného v § 2 odst. 3 a § 17 odst. 4 vydá správce daně plátce „Potvrzení o sražení daně“. O potvrzení může poplatník požádat i prostřednictvím plátce. Obdobně postupuje právní nástupce poplatníka.</w:t>
      </w:r>
    </w:p>
    <w:p w14:paraId="5D97B2B7" w14:textId="77777777" w:rsidR="000839A4" w:rsidRPr="000839A4" w:rsidRDefault="000839A4" w:rsidP="000839A4">
      <w:pPr>
        <w:spacing w:before="120" w:after="120"/>
        <w:rPr>
          <w:szCs w:val="24"/>
        </w:rPr>
      </w:pPr>
      <w:r w:rsidRPr="000839A4">
        <w:rPr>
          <w:szCs w:val="24"/>
        </w:rPr>
        <w:t>(8) Poplatníkovi, kterému plátce daně z příjmů ze závislé činnosti srazí daň vyšší, než je stanoveno, vrátí plátce daně nesprávně sraženou částku, pokud neuplynuly 3 roky od konce lhůty, ve které byl plátce daně povinen podat vyúčtování daně z příjmů vybírané srážkou podle zvláštní sazby daně a pokud poplatník nevyužil postup uvedený v § 36 odst. 6 a 7. Poplatníkovi, kterému plátce daně z příjmů ze závislé činnosti nesrazil daň ve stanovené výši, může ji srazit dodatečně, pokud neuplynuly 2 roky od konce lhůty pro podání vyúčtování daně z příjmů vybírané srážkou podle zvláštní sazby daně.</w:t>
      </w:r>
    </w:p>
    <w:p w14:paraId="1FB01004" w14:textId="77777777" w:rsidR="000839A4" w:rsidRPr="000839A4" w:rsidRDefault="000839A4" w:rsidP="000839A4">
      <w:pPr>
        <w:spacing w:before="120" w:after="120"/>
        <w:rPr>
          <w:szCs w:val="24"/>
        </w:rPr>
      </w:pPr>
      <w:r w:rsidRPr="000839A4">
        <w:rPr>
          <w:szCs w:val="24"/>
        </w:rPr>
        <w:t>(9) Plátce daně je povinen podat místně příslušnému správci daně vyúčtování daně z příjmů vybírané srážkou podle zvláštní sazby. Lhůtu stanovenou pro podání tohoto vyúčtování nelze prodloužit.</w:t>
      </w:r>
    </w:p>
    <w:p w14:paraId="406334C2" w14:textId="77777777" w:rsidR="000839A4" w:rsidRPr="000839A4" w:rsidRDefault="000839A4" w:rsidP="000839A4">
      <w:pPr>
        <w:spacing w:before="120" w:after="120"/>
        <w:rPr>
          <w:szCs w:val="24"/>
        </w:rPr>
      </w:pPr>
      <w:r w:rsidRPr="000839A4">
        <w:rPr>
          <w:szCs w:val="24"/>
        </w:rPr>
        <w:lastRenderedPageBreak/>
        <w:t>(10) Vrací-li se vyplacená záloha na podíl na zisku poté, co došlo k převodu nebo přechodu podílu v obchodní korporaci, náleží právo na vrácení neoprávněně sražené daně vztahující se k vyplacené záloze na podíl na zisku poplatníkovi, kterému vznikla povinnost vrátit zálohu na podíl na zisku.</w:t>
      </w:r>
    </w:p>
    <w:p w14:paraId="38EBBF02" w14:textId="77777777" w:rsidR="000839A4" w:rsidRPr="000839A4" w:rsidRDefault="000839A4" w:rsidP="000839A4">
      <w:pPr>
        <w:spacing w:before="120" w:after="120"/>
        <w:rPr>
          <w:szCs w:val="24"/>
        </w:rPr>
      </w:pPr>
      <w:r w:rsidRPr="000839A4">
        <w:rPr>
          <w:szCs w:val="24"/>
        </w:rPr>
        <w:t>(11) Má-li poplatník pochyby o správnosti sražené daně vybírané srážkou podle zvláštní sazby daně, může požádat plátce daně o vysvětlení do 2 let ode dne sražení daně; po uplynutí této lhůty může o vysvětlení požádat do 60 dnů ode dne, kdy se o výši sražené daně dozvěděl.</w:t>
      </w:r>
    </w:p>
    <w:p w14:paraId="470B82F9" w14:textId="77777777" w:rsidR="000839A4" w:rsidRPr="000839A4" w:rsidRDefault="000839A4" w:rsidP="000839A4">
      <w:pPr>
        <w:keepNext/>
        <w:ind w:firstLine="0"/>
        <w:jc w:val="center"/>
        <w:rPr>
          <w:szCs w:val="24"/>
        </w:rPr>
      </w:pPr>
      <w:r w:rsidRPr="000839A4">
        <w:rPr>
          <w:szCs w:val="24"/>
        </w:rPr>
        <w:t>§ 38da</w:t>
      </w:r>
    </w:p>
    <w:p w14:paraId="1FAC5CBB" w14:textId="77777777" w:rsidR="000839A4" w:rsidRPr="000839A4" w:rsidRDefault="000839A4" w:rsidP="000839A4">
      <w:pPr>
        <w:keepNext/>
        <w:ind w:firstLine="0"/>
        <w:jc w:val="center"/>
        <w:rPr>
          <w:b/>
          <w:szCs w:val="24"/>
        </w:rPr>
      </w:pPr>
      <w:r w:rsidRPr="000839A4">
        <w:rPr>
          <w:b/>
          <w:szCs w:val="24"/>
        </w:rPr>
        <w:t>Oznámení o příjmech plynoucích do zahraničí</w:t>
      </w:r>
    </w:p>
    <w:p w14:paraId="326E3658" w14:textId="77777777" w:rsidR="000839A4" w:rsidRPr="000839A4" w:rsidRDefault="000839A4" w:rsidP="000839A4">
      <w:pPr>
        <w:spacing w:before="120" w:after="120"/>
        <w:rPr>
          <w:noProof/>
          <w:szCs w:val="24"/>
        </w:rPr>
      </w:pPr>
      <w:r w:rsidRPr="000839A4">
        <w:rPr>
          <w:noProof/>
          <w:szCs w:val="24"/>
        </w:rPr>
        <w:t>(1)</w:t>
      </w:r>
      <w:r w:rsidRPr="000839A4">
        <w:rPr>
          <w:noProof/>
          <w:szCs w:val="24"/>
        </w:rPr>
        <w:tab/>
        <w:t xml:space="preserve"> Plátce daně, který je plátcem příjmu plynoucího ze zdrojů na území České republiky daňovému nerezidentovi, ze kterého je daň vybírána srážkou podle zvláštní sazby daně, je povinen správci daně podat oznámení o tomto příjmu; to platí i pro takový příjem, který je od daně osvobozen nebo o němž mezinárodní smlouva stanoví, že nepodléhá zdanění v České republice, jedná-li se o příjem   </w:t>
      </w:r>
    </w:p>
    <w:p w14:paraId="4927A197" w14:textId="77777777" w:rsidR="000839A4" w:rsidRPr="000839A4" w:rsidRDefault="000839A4" w:rsidP="000839A4">
      <w:pPr>
        <w:spacing w:before="0"/>
        <w:ind w:left="425" w:hanging="425"/>
        <w:outlineLvl w:val="7"/>
        <w:rPr>
          <w:noProof/>
          <w:szCs w:val="24"/>
        </w:rPr>
      </w:pPr>
      <w:r w:rsidRPr="000839A4">
        <w:rPr>
          <w:noProof/>
          <w:szCs w:val="24"/>
        </w:rPr>
        <w:t>a)</w:t>
      </w:r>
      <w:r w:rsidRPr="000839A4">
        <w:rPr>
          <w:noProof/>
          <w:szCs w:val="24"/>
        </w:rPr>
        <w:tab/>
        <w:t>v podobě licenčního poplatku, nebo</w:t>
      </w:r>
    </w:p>
    <w:p w14:paraId="106EEC9C" w14:textId="77777777" w:rsidR="000839A4" w:rsidRPr="000839A4" w:rsidRDefault="000839A4" w:rsidP="000839A4">
      <w:pPr>
        <w:spacing w:before="0"/>
        <w:ind w:left="425" w:hanging="425"/>
        <w:outlineLvl w:val="7"/>
        <w:rPr>
          <w:noProof/>
          <w:szCs w:val="24"/>
        </w:rPr>
      </w:pPr>
      <w:r w:rsidRPr="000839A4">
        <w:rPr>
          <w:noProof/>
          <w:szCs w:val="24"/>
        </w:rPr>
        <w:t>b)</w:t>
      </w:r>
      <w:r w:rsidRPr="000839A4">
        <w:rPr>
          <w:noProof/>
          <w:szCs w:val="24"/>
        </w:rPr>
        <w:tab/>
        <w:t>podle § 22 odst. 1 písm. g) bodu 3 nebo 4.</w:t>
      </w:r>
    </w:p>
    <w:p w14:paraId="0A77CC7B" w14:textId="77777777" w:rsidR="000839A4" w:rsidRPr="000839A4" w:rsidRDefault="000839A4" w:rsidP="000839A4">
      <w:pPr>
        <w:spacing w:before="120" w:after="120"/>
        <w:rPr>
          <w:noProof/>
          <w:szCs w:val="24"/>
        </w:rPr>
      </w:pPr>
      <w:r w:rsidRPr="000839A4">
        <w:rPr>
          <w:noProof/>
          <w:szCs w:val="24"/>
        </w:rPr>
        <w:t>(2)</w:t>
      </w:r>
      <w:r w:rsidRPr="000839A4">
        <w:rPr>
          <w:noProof/>
          <w:szCs w:val="24"/>
        </w:rPr>
        <w:tab/>
        <w:t xml:space="preserve"> Plátce daně je povinen správci daně podat oznámení podle odstavce 1, jde-li o příjem, ze kterého je daň vybírána srážkou podle zvláštní sazby daně, ve lhůtě pro odvedení daně, která byla z daného příjmu sražena nebo vybrána. Oznámení podle odstavce 1, jde-li o příjem, který je od daně osvobozen nebo o němž mezinárodní smlouva stanoví, že nepodléhá zdanění v České republice, je plátce daně povinen správci daně podat do 31. ledna kalendářního roku bezprostředně následujícího po kalendářním roce, ve kterém by byl povinen provést srážku daně, kdyby daný příjem nebyl od daně osvobozen a podléhal by zdanění v České republice.</w:t>
      </w:r>
    </w:p>
    <w:p w14:paraId="30EC39D1" w14:textId="77777777" w:rsidR="000839A4" w:rsidRPr="000839A4" w:rsidRDefault="000839A4" w:rsidP="000839A4">
      <w:pPr>
        <w:spacing w:before="120" w:after="120"/>
        <w:rPr>
          <w:noProof/>
          <w:szCs w:val="24"/>
        </w:rPr>
      </w:pPr>
      <w:r w:rsidRPr="000839A4">
        <w:rPr>
          <w:noProof/>
          <w:szCs w:val="24"/>
        </w:rPr>
        <w:t>(3) Oznámení podle odstavce 1 je formulářovým podáním.</w:t>
      </w:r>
    </w:p>
    <w:p w14:paraId="7172C411" w14:textId="77777777" w:rsidR="000839A4" w:rsidRPr="000839A4" w:rsidRDefault="000839A4" w:rsidP="000839A4">
      <w:pPr>
        <w:spacing w:before="120" w:after="120"/>
        <w:rPr>
          <w:noProof/>
          <w:szCs w:val="24"/>
        </w:rPr>
      </w:pPr>
      <w:r w:rsidRPr="000839A4">
        <w:rPr>
          <w:noProof/>
          <w:szCs w:val="24"/>
        </w:rPr>
        <w:t>(4) V oznámení podle odstavce 1 je plátce daně povinen kromě obecných náležitostí formulářového podání uvést také údaje týkající se příjmu podle odstavce 1 a daně sražené nebo vybrané z tohoto příjmu.</w:t>
      </w:r>
    </w:p>
    <w:p w14:paraId="5AD8A268" w14:textId="77777777" w:rsidR="000839A4" w:rsidRPr="000839A4" w:rsidRDefault="000839A4" w:rsidP="000839A4">
      <w:pPr>
        <w:tabs>
          <w:tab w:val="left" w:pos="782"/>
          <w:tab w:val="left" w:pos="851"/>
        </w:tabs>
        <w:spacing w:before="120" w:after="120"/>
        <w:outlineLvl w:val="6"/>
        <w:rPr>
          <w:noProof/>
          <w:szCs w:val="24"/>
        </w:rPr>
      </w:pPr>
      <w:r w:rsidRPr="000839A4">
        <w:rPr>
          <w:noProof/>
          <w:szCs w:val="24"/>
        </w:rPr>
        <w:t>(5) Plátce daně není povinen podat oznámení podle odstavce 1 o</w:t>
      </w:r>
    </w:p>
    <w:p w14:paraId="43DB4EB7" w14:textId="77777777" w:rsidR="000839A4" w:rsidRPr="000839A4" w:rsidRDefault="000839A4" w:rsidP="000839A4">
      <w:pPr>
        <w:spacing w:before="0"/>
        <w:ind w:left="425" w:hanging="425"/>
        <w:outlineLvl w:val="7"/>
        <w:rPr>
          <w:noProof/>
          <w:szCs w:val="24"/>
        </w:rPr>
      </w:pPr>
      <w:r w:rsidRPr="000839A4">
        <w:rPr>
          <w:noProof/>
          <w:szCs w:val="24"/>
        </w:rPr>
        <w:t>a)</w:t>
      </w:r>
      <w:r w:rsidRPr="000839A4">
        <w:rPr>
          <w:noProof/>
          <w:szCs w:val="24"/>
        </w:rPr>
        <w:tab/>
        <w:t>příjmech podle § 22 odst. 1 písm. g) bodu 4, které jsou od daně osvobozeny nebo o nichž mezinárodní smlouva stanoví, že nepodléhají zdanění v České republice, pokud souhrnná hodnota těchto příjmů nepřesahuje v kalendářním měsíci, ve kterém by plátce daně byl povinen danému daňovému nerezidentovi z těchto příjmů provést srážku daně, 300 000 Kč,</w:t>
      </w:r>
    </w:p>
    <w:p w14:paraId="4F67A1A4" w14:textId="77777777" w:rsidR="000839A4" w:rsidRPr="000839A4" w:rsidRDefault="000839A4" w:rsidP="000839A4">
      <w:pPr>
        <w:spacing w:before="0"/>
        <w:ind w:left="425" w:hanging="425"/>
        <w:outlineLvl w:val="7"/>
        <w:rPr>
          <w:noProof/>
          <w:szCs w:val="24"/>
        </w:rPr>
      </w:pPr>
      <w:r w:rsidRPr="000839A4">
        <w:rPr>
          <w:noProof/>
          <w:szCs w:val="24"/>
        </w:rPr>
        <w:t>b)</w:t>
      </w:r>
      <w:r w:rsidRPr="000839A4">
        <w:rPr>
          <w:noProof/>
          <w:szCs w:val="24"/>
        </w:rPr>
        <w:tab/>
        <w:t>příjmu podle § 6 odst. 4,</w:t>
      </w:r>
    </w:p>
    <w:p w14:paraId="55B0DE47" w14:textId="77777777" w:rsidR="000839A4" w:rsidRPr="000839A4" w:rsidRDefault="000839A4" w:rsidP="000839A4">
      <w:pPr>
        <w:spacing w:before="0"/>
        <w:ind w:left="425" w:hanging="425"/>
        <w:outlineLvl w:val="7"/>
        <w:rPr>
          <w:noProof/>
          <w:szCs w:val="24"/>
        </w:rPr>
      </w:pPr>
      <w:r w:rsidRPr="000839A4">
        <w:rPr>
          <w:noProof/>
          <w:szCs w:val="24"/>
        </w:rPr>
        <w:t>c)</w:t>
      </w:r>
      <w:r w:rsidRPr="000839A4">
        <w:rPr>
          <w:noProof/>
          <w:szCs w:val="24"/>
        </w:rPr>
        <w:tab/>
        <w:t>příjmu, o kterém má povinnost podat správci daně oznámení podle zákona o mezinárodní spolupráci při správě daní.</w:t>
      </w:r>
    </w:p>
    <w:p w14:paraId="7D4C317E" w14:textId="77777777" w:rsidR="000839A4" w:rsidRPr="000839A4" w:rsidRDefault="000839A4" w:rsidP="000839A4">
      <w:pPr>
        <w:tabs>
          <w:tab w:val="left" w:pos="782"/>
          <w:tab w:val="left" w:pos="851"/>
        </w:tabs>
        <w:spacing w:before="120" w:after="120"/>
        <w:outlineLvl w:val="6"/>
        <w:rPr>
          <w:noProof/>
          <w:szCs w:val="24"/>
        </w:rPr>
      </w:pPr>
      <w:r w:rsidRPr="000839A4">
        <w:rPr>
          <w:noProof/>
          <w:szCs w:val="24"/>
        </w:rPr>
        <w:t>(6) Správce daně může plátce daně na základě jeho žádosti v odůvodněných případech zprostit oznamovací povinnosti podle odstavce 1 na dobu nejvýše 5 let.</w:t>
      </w:r>
    </w:p>
    <w:p w14:paraId="6F139798" w14:textId="77777777" w:rsidR="000839A4" w:rsidRPr="000839A4" w:rsidRDefault="000839A4" w:rsidP="000839A4">
      <w:pPr>
        <w:keepNext/>
        <w:ind w:firstLine="0"/>
        <w:jc w:val="center"/>
        <w:rPr>
          <w:szCs w:val="24"/>
        </w:rPr>
      </w:pPr>
      <w:r w:rsidRPr="000839A4">
        <w:rPr>
          <w:szCs w:val="24"/>
        </w:rPr>
        <w:lastRenderedPageBreak/>
        <w:t>§ 38e</w:t>
      </w:r>
    </w:p>
    <w:p w14:paraId="5DABA6EA" w14:textId="77777777" w:rsidR="000839A4" w:rsidRPr="000839A4" w:rsidRDefault="000839A4" w:rsidP="000839A4">
      <w:pPr>
        <w:keepNext/>
        <w:ind w:firstLine="0"/>
        <w:jc w:val="center"/>
        <w:rPr>
          <w:b/>
          <w:szCs w:val="24"/>
        </w:rPr>
      </w:pPr>
      <w:r w:rsidRPr="000839A4">
        <w:rPr>
          <w:b/>
          <w:szCs w:val="24"/>
        </w:rPr>
        <w:t>Zajištění daně</w:t>
      </w:r>
    </w:p>
    <w:p w14:paraId="1D2F5339" w14:textId="77777777" w:rsidR="000839A4" w:rsidRPr="000839A4" w:rsidRDefault="000839A4" w:rsidP="000839A4">
      <w:pPr>
        <w:tabs>
          <w:tab w:val="left" w:pos="782"/>
          <w:tab w:val="left" w:pos="851"/>
        </w:tabs>
        <w:spacing w:before="120" w:after="120"/>
        <w:outlineLvl w:val="6"/>
        <w:rPr>
          <w:szCs w:val="24"/>
        </w:rPr>
      </w:pPr>
      <w:r w:rsidRPr="000839A4">
        <w:rPr>
          <w:szCs w:val="24"/>
        </w:rPr>
        <w:t>(1) K zajištění daně ze zdanitelných příjmů poplatníků podle § 2, z nichž není daň vybírána srážkou podle zvláštní sazby daně, jsou plátci daně při výplatě, poukázání nebo připsání úhrady ve prospěch poplatníka, nejpozději v den, kdy o dluhu účtují v souladu s platnými účetními předpisy, povinni srazit zajištění daně poplatníkům uvedeným v § 2 odst. 3, kteří nejsou daňovými rezidenty členského státu Evropské unie nebo dalších států, které tvoří Evropský hospodářský prostor, ve výši</w:t>
      </w:r>
    </w:p>
    <w:p w14:paraId="3B9880FB" w14:textId="77777777" w:rsidR="000839A4" w:rsidRPr="000839A4" w:rsidRDefault="000839A4" w:rsidP="000839A4">
      <w:pPr>
        <w:spacing w:before="0"/>
        <w:ind w:left="426" w:hanging="426"/>
        <w:outlineLvl w:val="7"/>
      </w:pPr>
      <w:r w:rsidRPr="000839A4">
        <w:t>a)</w:t>
      </w:r>
      <w:r w:rsidRPr="000839A4">
        <w:tab/>
        <w:t>1 % z částky vyplacené při splatnosti dluhopisu, vkladního listu vydaného jako cenný papír nebo cenného papíru vkladnímu listu na roveň postaveného u příjmů plynoucích z práva na splacení uvedených cenných papírů,</w:t>
      </w:r>
    </w:p>
    <w:p w14:paraId="6498FDC4"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1 % z příjmů z prodeje investičních nástrojů podle zvláštního právního předpisu upravujícího podnikání na kapitálovém trhu a z příjmů z úhrad pohledávky nabyté postoupením,</w:t>
      </w:r>
    </w:p>
    <w:p w14:paraId="5C4C2736" w14:textId="77777777" w:rsidR="000839A4" w:rsidRPr="000839A4" w:rsidRDefault="000839A4" w:rsidP="000839A4">
      <w:pPr>
        <w:tabs>
          <w:tab w:val="left" w:pos="357"/>
        </w:tabs>
        <w:spacing w:before="0"/>
        <w:ind w:left="357" w:hanging="357"/>
        <w:rPr>
          <w:szCs w:val="24"/>
        </w:rPr>
      </w:pPr>
      <w:r w:rsidRPr="000839A4">
        <w:rPr>
          <w:szCs w:val="24"/>
        </w:rPr>
        <w:t>c)</w:t>
      </w:r>
      <w:r w:rsidRPr="000839A4">
        <w:rPr>
          <w:szCs w:val="24"/>
        </w:rPr>
        <w:tab/>
        <w:t>10 % z příjmů ze zdrojů na území České republiky (§ 22), s výjimkami uvedenými v písmenech a) a b) a odstavcích 3 a 4.</w:t>
      </w:r>
    </w:p>
    <w:p w14:paraId="708928BE" w14:textId="77777777" w:rsidR="000839A4" w:rsidRPr="000839A4" w:rsidRDefault="000839A4" w:rsidP="000839A4">
      <w:pPr>
        <w:spacing w:before="120"/>
        <w:ind w:firstLine="0"/>
        <w:rPr>
          <w:szCs w:val="24"/>
        </w:rPr>
      </w:pPr>
      <w:r w:rsidRPr="000839A4">
        <w:rPr>
          <w:szCs w:val="24"/>
        </w:rPr>
        <w:t>K zajištění daně nejsou plátci daně povinni v případě, kdy je záloha srážena z příjmů ze závislé činnosti.</w:t>
      </w:r>
    </w:p>
    <w:p w14:paraId="58ECF0F7" w14:textId="77777777" w:rsidR="000839A4" w:rsidRPr="000839A4" w:rsidRDefault="000839A4" w:rsidP="000839A4">
      <w:pPr>
        <w:tabs>
          <w:tab w:val="left" w:pos="782"/>
          <w:tab w:val="left" w:pos="851"/>
        </w:tabs>
        <w:spacing w:before="120" w:after="120"/>
        <w:outlineLvl w:val="6"/>
        <w:rPr>
          <w:szCs w:val="24"/>
        </w:rPr>
      </w:pPr>
      <w:r w:rsidRPr="000839A4">
        <w:rPr>
          <w:szCs w:val="24"/>
        </w:rPr>
        <w:t>(2) K zajištění daně ze zdanitelných příjmů poplatníků podle § 17, z nichž není daň vybírána srážkou podle zvláštní sazby daně, je plátce daně při výplatě, poukázání nebo připsání úhrady ve prospěch poplatníka, nejpozději v den, kdy o dluhu účtuje v souladu se zvláštními právními předpisy</w:t>
      </w:r>
      <w:r w:rsidRPr="000839A4">
        <w:rPr>
          <w:strike/>
          <w:szCs w:val="24"/>
          <w:vertAlign w:val="superscript"/>
        </w:rPr>
        <w:t>20)</w:t>
      </w:r>
      <w:r w:rsidRPr="000839A4">
        <w:rPr>
          <w:szCs w:val="24"/>
        </w:rPr>
        <w:t>, povinen srazit zajištění daně poplatníkovi uvedenému v § 17 odst. 4, který není daňovým rezidentem členského státu Evropské unie nebo dalších států, které tvoří Evropský hospodářský prostor, ve výši</w:t>
      </w:r>
    </w:p>
    <w:p w14:paraId="14E51BF5" w14:textId="77777777" w:rsidR="000839A4" w:rsidRPr="000839A4" w:rsidRDefault="000839A4" w:rsidP="000839A4">
      <w:pPr>
        <w:spacing w:before="0"/>
        <w:ind w:left="426" w:hanging="426"/>
        <w:outlineLvl w:val="7"/>
      </w:pPr>
      <w:r w:rsidRPr="000839A4">
        <w:t>a)</w:t>
      </w:r>
      <w:r w:rsidRPr="000839A4">
        <w:tab/>
        <w:t>1 % z částky vyplacené při splatnosti dluhopisu, vkladního listu vydaného jako cenný papír nebo cenného papíru vkladnímu listu na roveň postaveného u příjmů plynoucích z práva na splacení uvedených cenných papírů,</w:t>
      </w:r>
    </w:p>
    <w:p w14:paraId="346E52E2" w14:textId="77777777" w:rsidR="000839A4" w:rsidRPr="000839A4" w:rsidRDefault="000839A4" w:rsidP="000839A4">
      <w:pPr>
        <w:spacing w:before="0"/>
        <w:ind w:left="426" w:hanging="426"/>
        <w:outlineLvl w:val="7"/>
      </w:pPr>
      <w:r w:rsidRPr="000839A4">
        <w:t>b)</w:t>
      </w:r>
      <w:r w:rsidRPr="000839A4">
        <w:tab/>
        <w:t>1 % z příjmů z prodeje investičních nástrojů podle zvláštního právního předpisu upravujícího podnikání na kapitálovém trhu a z příjmů z úhrad pohledávky nabyté postoupením,</w:t>
      </w:r>
    </w:p>
    <w:p w14:paraId="076E6985" w14:textId="77777777" w:rsidR="000839A4" w:rsidRPr="000839A4" w:rsidRDefault="000839A4" w:rsidP="000839A4">
      <w:pPr>
        <w:spacing w:before="0"/>
        <w:ind w:left="426" w:hanging="426"/>
        <w:outlineLvl w:val="7"/>
      </w:pPr>
      <w:r w:rsidRPr="000839A4">
        <w:t>c)</w:t>
      </w:r>
      <w:r w:rsidRPr="000839A4">
        <w:tab/>
        <w:t>10 % z příjmů ze zdrojů na území České republiky (§ 22), s výjimkami uvedenými v písmenech a) a b) a v odstavcích 3 a 4. Tato povinnost se nevztahuje na banky, jde-li o peněžité plnění, poukázání nebo připsání úroků u bank.</w:t>
      </w:r>
    </w:p>
    <w:p w14:paraId="31D2B662" w14:textId="77777777" w:rsidR="000839A4" w:rsidRPr="000839A4" w:rsidRDefault="000839A4" w:rsidP="000839A4">
      <w:pPr>
        <w:tabs>
          <w:tab w:val="left" w:pos="782"/>
          <w:tab w:val="left" w:pos="851"/>
        </w:tabs>
        <w:spacing w:before="120" w:after="120"/>
        <w:outlineLvl w:val="6"/>
        <w:rPr>
          <w:szCs w:val="24"/>
        </w:rPr>
      </w:pPr>
      <w:r w:rsidRPr="000839A4">
        <w:rPr>
          <w:szCs w:val="24"/>
        </w:rPr>
        <w:t>(3) Plátci daně jsou povinni srazit zajištění daně ze zdanitelných příjmů poplatníkům uvedeným v § 2 odst. 3 a § 17 odst. 4, kteří nejsou daňovými rezidenty členského státu Evropské unie nebo dalších států, které tvoří Evropský hospodářský prostor, při výplatě, poukázání nebo připsání úhrady ve prospěch poplatníka, nenastane-li dříve žádná z těchto skutečností nejpozději do dvou měsíců po uplynutí příslušného zdaňovacího období, ve výši stanovené s použitím</w:t>
      </w:r>
    </w:p>
    <w:p w14:paraId="7BABA7BD"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sazby daně podle § 16 ze základu daně veřejné obchodní společnosti nebo komanditní společnosti připadajícího na společníka veřejné obchodní společnosti nebo komplementáře komanditní společnosti, který je poplatníkem podle § 2 odst. 3,</w:t>
      </w:r>
    </w:p>
    <w:p w14:paraId="034EEB36"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sazby daně podle § 21 ze základu daně veřejné obchodní společnosti nebo komanditní společnosti připadajícího na společníka veřejné obchodní společnosti nebo komplementáře komanditní společnosti, který je poplatníkem podle § 17 odst. 4.</w:t>
      </w:r>
    </w:p>
    <w:p w14:paraId="05A21950" w14:textId="77777777" w:rsidR="000839A4" w:rsidRPr="000839A4" w:rsidRDefault="000839A4" w:rsidP="000839A4">
      <w:pPr>
        <w:tabs>
          <w:tab w:val="left" w:pos="782"/>
          <w:tab w:val="left" w:pos="851"/>
        </w:tabs>
        <w:spacing w:before="120" w:after="120"/>
        <w:outlineLvl w:val="6"/>
        <w:rPr>
          <w:szCs w:val="24"/>
        </w:rPr>
      </w:pPr>
      <w:r w:rsidRPr="000839A4">
        <w:rPr>
          <w:szCs w:val="24"/>
        </w:rPr>
        <w:lastRenderedPageBreak/>
        <w:t>(4) Ustanovení odstavců 1 a 2 se neuplatní, pokud se jedná o úhrady za zboží či služby prováděné v maloobchodě, kde prodejcem je poplatník uvedený v § 2 odst. 3 nebo v § 17 odst. 4. Stejně se postupuje u úhrad nájemného placeného fyzickými osobami za bytové prostory užívané k bydlení a činnostem s ním spojeným.</w:t>
      </w:r>
    </w:p>
    <w:p w14:paraId="36B1C95D" w14:textId="77777777" w:rsidR="000839A4" w:rsidRPr="000839A4" w:rsidRDefault="000839A4" w:rsidP="000839A4">
      <w:pPr>
        <w:tabs>
          <w:tab w:val="left" w:pos="782"/>
          <w:tab w:val="left" w:pos="851"/>
        </w:tabs>
        <w:spacing w:before="120" w:after="120"/>
        <w:outlineLvl w:val="6"/>
        <w:rPr>
          <w:szCs w:val="24"/>
        </w:rPr>
      </w:pPr>
      <w:r w:rsidRPr="000839A4">
        <w:rPr>
          <w:szCs w:val="24"/>
        </w:rPr>
        <w:t>(5) Částka zajištění daně se zaokrouhluje na celé koruny nahoru.</w:t>
      </w:r>
    </w:p>
    <w:p w14:paraId="5D86C133" w14:textId="77777777" w:rsidR="000839A4" w:rsidRPr="000839A4" w:rsidRDefault="000839A4" w:rsidP="000839A4">
      <w:pPr>
        <w:tabs>
          <w:tab w:val="left" w:pos="782"/>
          <w:tab w:val="left" w:pos="851"/>
        </w:tabs>
        <w:spacing w:before="120" w:after="120"/>
        <w:outlineLvl w:val="6"/>
        <w:rPr>
          <w:szCs w:val="24"/>
        </w:rPr>
      </w:pPr>
      <w:r w:rsidRPr="000839A4">
        <w:rPr>
          <w:szCs w:val="24"/>
        </w:rPr>
        <w:t>(6) Částky zajištění daně sražené plátcem daně poplatníkům podle odstavců 1 až 4 se odvádějí do konce měsíce následujícího po měsíci, ve kterém vznikla povinnost zajištění daně srazit, místně příslušnému správci daně plátce daně. Současně s platbou zajištění daně je plátce daně povinen podat správci daně hlášení o provedeném zajištění daně. Částka zajištění daně se bez zbytečného odkladu převede z osobního daňového účtu plátce na osobní daňový účet poplatníka.</w:t>
      </w:r>
    </w:p>
    <w:p w14:paraId="15AEBCF0" w14:textId="77777777" w:rsidR="000839A4" w:rsidRPr="000839A4" w:rsidRDefault="000839A4" w:rsidP="000839A4">
      <w:pPr>
        <w:tabs>
          <w:tab w:val="left" w:pos="782"/>
          <w:tab w:val="left" w:pos="851"/>
        </w:tabs>
        <w:spacing w:before="120" w:after="120"/>
        <w:outlineLvl w:val="6"/>
        <w:rPr>
          <w:szCs w:val="24"/>
        </w:rPr>
      </w:pPr>
      <w:r w:rsidRPr="000839A4">
        <w:rPr>
          <w:szCs w:val="24"/>
        </w:rPr>
        <w:t>(7) Nepodá-li poplatník daňové přiznání do konce lhůty stanovené zvláštním právním předpisem, může místně příslušný správce daně poplatníka považovat částky zajištění daně za vyměřenou a uhrazenou daňovou povinnost poplatníka. Úhrn částek zajištění daně sražených a odvedených plátci daně se v takovém případě považuje po uplynutí osmého měsíce po skončení zdaňovacího období za platbu na daň provedenou poplatníkem. Pokud poplatník nepodá do uplynutí lhůty, ve které lze daň vyměřit, daňové přiznání, považuje se daňová povinnost poplatníka za vyměřenou ve výši této platby.</w:t>
      </w:r>
    </w:p>
    <w:p w14:paraId="6B92FCE1" w14:textId="77777777" w:rsidR="000839A4" w:rsidRPr="000839A4" w:rsidRDefault="000839A4" w:rsidP="000839A4">
      <w:pPr>
        <w:tabs>
          <w:tab w:val="left" w:pos="782"/>
          <w:tab w:val="left" w:pos="851"/>
        </w:tabs>
        <w:spacing w:before="120" w:after="120"/>
        <w:outlineLvl w:val="6"/>
        <w:rPr>
          <w:szCs w:val="24"/>
        </w:rPr>
      </w:pPr>
      <w:r w:rsidRPr="000839A4">
        <w:rPr>
          <w:szCs w:val="24"/>
        </w:rPr>
        <w:t>(8) Správce daně poplatníka může v odůvodněných případech rozhodnout o tom, že zajištění daně podle předchozích odstavců v určeném zdaňovacím období bude nižší nebo nebude prováděno. Proti tomuto rozhodnutí se nelze odvolat. Toto rozhodnutí je závazné i pro plátce daně.</w:t>
      </w:r>
    </w:p>
    <w:p w14:paraId="00FC3EB3" w14:textId="77777777" w:rsidR="000839A4" w:rsidRPr="000839A4" w:rsidRDefault="000839A4" w:rsidP="000839A4">
      <w:pPr>
        <w:tabs>
          <w:tab w:val="left" w:pos="782"/>
          <w:tab w:val="left" w:pos="851"/>
        </w:tabs>
        <w:spacing w:before="120" w:after="120"/>
        <w:outlineLvl w:val="6"/>
        <w:rPr>
          <w:szCs w:val="24"/>
        </w:rPr>
      </w:pPr>
      <w:r w:rsidRPr="000839A4">
        <w:rPr>
          <w:szCs w:val="24"/>
        </w:rPr>
        <w:t>(9) Nesrazí-li plátce daně zajištění daně vůbec, popřípadě ve správné výši, předepíše mu správce daně tuto částku k přímému placení. Pokud částku zajištění daně plátce daně včas neodvede, bude mu rovněž předepsána a vymáhána na něm jako jeho dluh. Po úhradě daně, na kterou mělo být zajištěno, poplatníkem, nelze zajištění daně plátci daně předepsat ani na něm vymáhat, pokud úhradu této daně poplatníkem prokáže nebo tato úhrada bude zřejmá z evidence správců daní. Úroky z prodlení vzniklé z důvodu nesplnění povinnosti plátce srazit a odvést zajištění daně je příjmem státního rozpočtu.</w:t>
      </w:r>
    </w:p>
    <w:p w14:paraId="67FE0F59" w14:textId="77777777" w:rsidR="000839A4" w:rsidRPr="000839A4" w:rsidRDefault="000839A4" w:rsidP="000839A4">
      <w:pPr>
        <w:tabs>
          <w:tab w:val="left" w:pos="782"/>
          <w:tab w:val="left" w:pos="851"/>
        </w:tabs>
        <w:spacing w:before="120" w:after="120"/>
        <w:outlineLvl w:val="6"/>
        <w:rPr>
          <w:szCs w:val="24"/>
        </w:rPr>
      </w:pPr>
      <w:r w:rsidRPr="000839A4">
        <w:rPr>
          <w:szCs w:val="24"/>
        </w:rPr>
        <w:t>(10) Sražené zajištění daně se po skončení zdaňovacího období započte na celkovou daňovou povinnost poplatníka, na kterou bylo zajišťováno. Pokud nelze zajištění daně nebo jeho část započíst na celkovou daňovou povinnost proto, že poplatníkovi vznikla daňová povinnost ve výši nula nebo vykázal daňovou ztrátu anebo jeho celková daňová povinnost je nižší než zajištění daně sražené plátci daně, vznikne poplatníkovi ve výši zajištění daně sražených plátci daně, které nelze započíst, přeplatek na dani.</w:t>
      </w:r>
    </w:p>
    <w:p w14:paraId="189FBDA0" w14:textId="77777777" w:rsidR="000839A4" w:rsidRPr="000839A4" w:rsidRDefault="000839A4" w:rsidP="000839A4">
      <w:pPr>
        <w:tabs>
          <w:tab w:val="left" w:pos="782"/>
          <w:tab w:val="left" w:pos="851"/>
        </w:tabs>
        <w:spacing w:before="120" w:after="120"/>
        <w:outlineLvl w:val="6"/>
        <w:rPr>
          <w:szCs w:val="24"/>
        </w:rPr>
      </w:pPr>
      <w:r w:rsidRPr="000839A4">
        <w:rPr>
          <w:szCs w:val="24"/>
        </w:rPr>
        <w:t>(11) Při správě zajištění daně se postupuje jako při správě záloh na daň, nestanoví-li tento zákon jinak.</w:t>
      </w:r>
    </w:p>
    <w:p w14:paraId="433A5E78" w14:textId="77777777" w:rsidR="000839A4" w:rsidRPr="000839A4" w:rsidRDefault="000839A4" w:rsidP="000839A4">
      <w:pPr>
        <w:tabs>
          <w:tab w:val="left" w:pos="782"/>
          <w:tab w:val="left" w:pos="851"/>
        </w:tabs>
        <w:spacing w:before="120" w:after="120"/>
        <w:outlineLvl w:val="6"/>
        <w:rPr>
          <w:szCs w:val="24"/>
        </w:rPr>
      </w:pPr>
      <w:r w:rsidRPr="000839A4">
        <w:rPr>
          <w:szCs w:val="24"/>
        </w:rPr>
        <w:t>(12) Plátce daně nemá povinnost podat místně příslušnému správci daně vyúčtování sraženého zajištění daně.</w:t>
      </w:r>
    </w:p>
    <w:p w14:paraId="3146F60A" w14:textId="77777777" w:rsidR="000839A4" w:rsidRPr="000839A4" w:rsidRDefault="000839A4" w:rsidP="000839A4">
      <w:pPr>
        <w:keepNext/>
        <w:ind w:firstLine="0"/>
        <w:jc w:val="center"/>
        <w:rPr>
          <w:szCs w:val="24"/>
        </w:rPr>
      </w:pPr>
      <w:r w:rsidRPr="000839A4">
        <w:rPr>
          <w:szCs w:val="24"/>
        </w:rPr>
        <w:t>§ 38f</w:t>
      </w:r>
    </w:p>
    <w:p w14:paraId="0A59AC50" w14:textId="77777777" w:rsidR="000839A4" w:rsidRPr="000839A4" w:rsidRDefault="000839A4" w:rsidP="000839A4">
      <w:pPr>
        <w:keepNext/>
        <w:ind w:firstLine="0"/>
        <w:jc w:val="center"/>
        <w:rPr>
          <w:b/>
          <w:szCs w:val="24"/>
        </w:rPr>
      </w:pPr>
      <w:r w:rsidRPr="000839A4">
        <w:rPr>
          <w:b/>
          <w:szCs w:val="24"/>
        </w:rPr>
        <w:t>Vyloučení dvojího zdanění příjmů ze zahraničí</w:t>
      </w:r>
    </w:p>
    <w:p w14:paraId="2D3421E6" w14:textId="77777777" w:rsidR="000839A4" w:rsidRPr="000839A4" w:rsidRDefault="000839A4" w:rsidP="000839A4">
      <w:pPr>
        <w:tabs>
          <w:tab w:val="left" w:pos="782"/>
          <w:tab w:val="left" w:pos="851"/>
        </w:tabs>
        <w:spacing w:before="120" w:after="120"/>
        <w:outlineLvl w:val="6"/>
        <w:rPr>
          <w:szCs w:val="24"/>
        </w:rPr>
      </w:pPr>
      <w:r w:rsidRPr="000839A4">
        <w:rPr>
          <w:szCs w:val="24"/>
        </w:rPr>
        <w:t>(1) Při vyloučení dvojího zdanění příjmu plynoucího daňovému rezidentovi České republiky ze zdrojů v zahraničí se postupuje podle mezinárodní smlouvy.</w:t>
      </w:r>
    </w:p>
    <w:p w14:paraId="44054E2B" w14:textId="77777777" w:rsidR="000839A4" w:rsidRPr="000839A4" w:rsidRDefault="000839A4" w:rsidP="000839A4">
      <w:pPr>
        <w:tabs>
          <w:tab w:val="left" w:pos="782"/>
          <w:tab w:val="left" w:pos="851"/>
        </w:tabs>
        <w:spacing w:before="120" w:after="120"/>
        <w:outlineLvl w:val="6"/>
        <w:rPr>
          <w:szCs w:val="24"/>
        </w:rPr>
      </w:pPr>
      <w:r w:rsidRPr="000839A4">
        <w:rPr>
          <w:szCs w:val="24"/>
        </w:rPr>
        <w:lastRenderedPageBreak/>
        <w:t>(2) Při použití metody úplného zápočtu lze daňovou povinnost snížit o daň z příjmů zaplacenou v zahraničí. Při použití metody prostého zápočtu lze daňovou povinnost snížit o daň z příjmů zaplacenou v zahraničí, nejvýše však o částku daně z příjmů vypočtenou podle tohoto zákona, která připadá na příjmy ze zdrojů v zahraničí. Tato částka se stanoví jako součin daňové povinnosti, která se vztahuje k příjmům plynoucím ze zdrojů na území České republiky i ze zdrojů v zahraničí a podílu příjmů ze zdrojů v zahraničí na základu daně před uplatněním položek odčitatelných od základu daně a nezdanitelných částí základu daně. Započtení lze provést nejvýše do částky vzniklé daňové povinnosti.</w:t>
      </w:r>
    </w:p>
    <w:p w14:paraId="1A94AAC1" w14:textId="77777777" w:rsidR="000839A4" w:rsidRPr="000839A4" w:rsidRDefault="000839A4" w:rsidP="000839A4">
      <w:pPr>
        <w:tabs>
          <w:tab w:val="left" w:pos="782"/>
          <w:tab w:val="left" w:pos="851"/>
        </w:tabs>
        <w:spacing w:before="120" w:after="120"/>
        <w:outlineLvl w:val="6"/>
        <w:rPr>
          <w:szCs w:val="24"/>
        </w:rPr>
      </w:pPr>
      <w:r w:rsidRPr="000839A4">
        <w:rPr>
          <w:szCs w:val="24"/>
        </w:rPr>
        <w:t>(3) Příjmy ze zdrojů v zahraničí se pro účely vyloučení dvojího zdanění příjmů ze zahraničí rozumí příjmy plynoucí ze zdrojů v zahraničí, které podléhají zdanění v zahraničí v souladu s mezinárodní smlouvou, snížené o související výdaje stanovené podle tohoto zákona. Odčitatelné položky a položky snižující základ daně podle zahraničních právních předpisů nelze při stanovení základu daně použít. Nelze-li u některých výdajů prokazatelně stanovit, zda souvisí s příjmy plynoucími ze zdrojů v zahraničí, považuje se za související výdaje jejich část stanovená ve stejném poměru, v jakém příjmy plynoucí ze zdrojů v zahraničí nesnížené o výdaje připadají na celosvětové příjmy.</w:t>
      </w:r>
    </w:p>
    <w:p w14:paraId="54676D80" w14:textId="77777777" w:rsidR="000839A4" w:rsidRPr="000839A4" w:rsidRDefault="000839A4" w:rsidP="000839A4">
      <w:pPr>
        <w:tabs>
          <w:tab w:val="left" w:pos="782"/>
          <w:tab w:val="left" w:pos="851"/>
        </w:tabs>
        <w:spacing w:before="120" w:after="120"/>
        <w:outlineLvl w:val="6"/>
        <w:rPr>
          <w:szCs w:val="24"/>
        </w:rPr>
      </w:pPr>
      <w:r w:rsidRPr="000839A4">
        <w:rPr>
          <w:szCs w:val="24"/>
        </w:rPr>
        <w:t>(4) Příjmy ze závislé činnosti vykonávané ve státě, s nímž má Česká republika uzavřenu mezinárodní smlouvu upravující zamezení dvojímu zdanění všech druhů příjmů, která je prováděna, plynoucí poplatníkovi daně z příjmů fyzických osob, který je daňovým rezidentem České republiky, od zaměstnavatele, který je daňovým rezidentem státu, ve kterém je taková činnost vykonávána, nebo od zaměstnavatele, který je daňovým rezidentem České republiky nebo daňovým nerezidentem, a příjmy ze závislé činnosti pro takového zaměstnavatele jdou k tíži stálé provozovny umístěné ve státě, s nímž Česká republika má uzavřenu mezinárodní smlouvu upravující zamezení dvojímu zdanění všech druhů příjmů, která je prováděna, se v České republice vyjímají ze zdanění za předpokladu, že uvedené příjmy byly ve státě zdroje zdaněny. Z ostatního příjmu poplatníka se vypočte daň sazbou daně zjištěnou ze základu daně nesníženého o tyto vyjmuté příjmy ze zdrojů v zahraničí. V případě, že je to pro poplatníka výhodnější, použije se i u těchto příjmů ustanovení odstavce 1.</w:t>
      </w:r>
    </w:p>
    <w:p w14:paraId="1EE0BAF8" w14:textId="77777777" w:rsidR="000839A4" w:rsidRPr="000839A4" w:rsidRDefault="000839A4" w:rsidP="000839A4">
      <w:pPr>
        <w:tabs>
          <w:tab w:val="left" w:pos="782"/>
          <w:tab w:val="left" w:pos="851"/>
        </w:tabs>
        <w:spacing w:before="120" w:after="120"/>
        <w:outlineLvl w:val="6"/>
        <w:rPr>
          <w:szCs w:val="24"/>
        </w:rPr>
      </w:pPr>
      <w:r w:rsidRPr="000839A4">
        <w:rPr>
          <w:szCs w:val="24"/>
        </w:rPr>
        <w:t>(5) Daň zaplacená v zahraničí se prokazuje potvrzením zahraničního správce daně. Tento důkazní prostředek lze vyžadovat nejdříve po třiceti dnech ode dne doručení potvrzení zahraničního správce daně daňovému subjektu. V odůvodněných případech lze daň zaplacenou v zahraničí prokazovat i potvrzením plátce příjmu nebo depozitáře o sražení daně.</w:t>
      </w:r>
    </w:p>
    <w:p w14:paraId="2E716C0D" w14:textId="77777777" w:rsidR="000839A4" w:rsidRPr="000839A4" w:rsidRDefault="000839A4" w:rsidP="000839A4">
      <w:pPr>
        <w:tabs>
          <w:tab w:val="left" w:pos="782"/>
          <w:tab w:val="left" w:pos="851"/>
        </w:tabs>
        <w:spacing w:before="120" w:after="120"/>
        <w:outlineLvl w:val="6"/>
        <w:rPr>
          <w:szCs w:val="24"/>
        </w:rPr>
      </w:pPr>
      <w:r w:rsidRPr="000839A4">
        <w:rPr>
          <w:szCs w:val="24"/>
        </w:rPr>
        <w:t>(6) Při použití metody úplného vynětí se ze základu daně (daňové ztráty) u poplatníků uvedených v § 17 odst. 3 a z úhrnu dílčích základů daně podle § 6 až 10 sníženého o úhrn ztrát podle § 5 u poplatníků uvedených v § 2 odst. 2 před uplatněním nezdanitelných částí základu daně a částek odčitatelných od základu daně vyjímají příjmy ze zdrojů v zahraničí.</w:t>
      </w:r>
    </w:p>
    <w:p w14:paraId="504AEBCA" w14:textId="77777777" w:rsidR="000839A4" w:rsidRPr="000839A4" w:rsidRDefault="000839A4" w:rsidP="000839A4">
      <w:pPr>
        <w:tabs>
          <w:tab w:val="left" w:pos="782"/>
          <w:tab w:val="left" w:pos="851"/>
        </w:tabs>
        <w:spacing w:before="120" w:after="120"/>
        <w:outlineLvl w:val="6"/>
        <w:rPr>
          <w:szCs w:val="24"/>
        </w:rPr>
      </w:pPr>
      <w:r w:rsidRPr="000839A4">
        <w:rPr>
          <w:szCs w:val="24"/>
        </w:rPr>
        <w:t>(7) Při použití metody vynětí s výhradou progrese se z úhrnu dílčích základů daně podle § 6 až 10 sníženého o úhrn ztrát podle § 5, před uplatněním nezdanitelných částí základu daně a částek odčitatelných od základu daně vyjímají příjmy ze zdrojů v zahraničí. Z ostatního příjmu poplatníka se vypočte daň sazbou daně zjištěnou ze základu daně nesníženého o vyjmuté příjmy ze zdrojů v zahraničí.</w:t>
      </w:r>
    </w:p>
    <w:p w14:paraId="65447FA5" w14:textId="77777777" w:rsidR="000839A4" w:rsidRPr="000839A4" w:rsidRDefault="000839A4" w:rsidP="000839A4">
      <w:pPr>
        <w:tabs>
          <w:tab w:val="left" w:pos="782"/>
          <w:tab w:val="left" w:pos="851"/>
        </w:tabs>
        <w:spacing w:before="120" w:after="120"/>
        <w:outlineLvl w:val="6"/>
        <w:rPr>
          <w:szCs w:val="24"/>
        </w:rPr>
      </w:pPr>
      <w:r w:rsidRPr="000839A4">
        <w:rPr>
          <w:szCs w:val="24"/>
        </w:rPr>
        <w:t xml:space="preserve">(8) Plynou-li poplatníkovi příjmy z několika různých států, s nimiž má Česká republika uzavřenu mezinárodní smlouvu upravující zamezení dvojímu zdanění všech druhů příjmů, která je prováděna, vyloučení dvojího zdanění metodou prostého zápočtu se provede samostatně za každý stát. Při použití metody úplného vynětí a metody vynětí s výhradou progrese se ze základu daně vyjímá podle předchozích odstavců úhrn veškerých příjmů ze </w:t>
      </w:r>
      <w:r w:rsidRPr="000839A4">
        <w:rPr>
          <w:szCs w:val="24"/>
        </w:rPr>
        <w:lastRenderedPageBreak/>
        <w:t>zdrojů zahraničí, které se vyjímají ze zdanění. Pokud mají být při vyloučení dvojího zdanění použity metoda úplného vynětí nebo metoda vynětí s výhradou progrese i metoda prostého zápočtu, provede se nejprve vynětí příjmů ze zdrojů zahraničí, a pak prostý zápočet podle předchozích odstavců.</w:t>
      </w:r>
    </w:p>
    <w:p w14:paraId="0FE1BFED" w14:textId="77777777" w:rsidR="000839A4" w:rsidRPr="000839A4" w:rsidRDefault="000839A4" w:rsidP="000839A4">
      <w:pPr>
        <w:tabs>
          <w:tab w:val="left" w:pos="782"/>
          <w:tab w:val="left" w:pos="851"/>
        </w:tabs>
        <w:spacing w:before="120" w:after="120"/>
        <w:outlineLvl w:val="6"/>
        <w:rPr>
          <w:szCs w:val="24"/>
        </w:rPr>
      </w:pPr>
      <w:r w:rsidRPr="000839A4">
        <w:rPr>
          <w:szCs w:val="24"/>
        </w:rPr>
        <w:t xml:space="preserve">(9) Jestliže v důsledku odlišného začátku nebo délky zdaňovacího období v zahraničí nemá poplatník ve lhůtě k podání daňového přiznání doklad zahraničního správce daně, uvede v daňovém přiznání předpokládanou výši příjmů ze zdrojů v zahraničí nebo daně, připadajících na toto zdaňovací období </w:t>
      </w:r>
      <w:r w:rsidRPr="000839A4">
        <w:rPr>
          <w:strike/>
          <w:szCs w:val="24"/>
        </w:rPr>
        <w:t>nebo období, za něž je daňové přiznání podáváno</w:t>
      </w:r>
      <w:r w:rsidRPr="000839A4">
        <w:rPr>
          <w:szCs w:val="24"/>
        </w:rPr>
        <w:t xml:space="preserve">. O rozdíl mezi částkou uplatněnou podle předchozí věty a částkou uvedenou v dokladu zahraničního správce daně se upraví výsledek hospodaření nebo rozdíl mezi příjmy a výdaji ve zdaňovacím období </w:t>
      </w:r>
      <w:r w:rsidRPr="000839A4">
        <w:rPr>
          <w:strike/>
          <w:szCs w:val="24"/>
        </w:rPr>
        <w:t>nebo období, za něž je podáváno daňové přiznání</w:t>
      </w:r>
      <w:r w:rsidRPr="000839A4">
        <w:rPr>
          <w:szCs w:val="24"/>
        </w:rPr>
        <w:t>, ve kterém poplatník doklad zahraničního správce daně obdrží.</w:t>
      </w:r>
    </w:p>
    <w:p w14:paraId="628C988C" w14:textId="77777777" w:rsidR="000839A4" w:rsidRPr="000839A4" w:rsidRDefault="000839A4" w:rsidP="000839A4">
      <w:pPr>
        <w:tabs>
          <w:tab w:val="left" w:pos="782"/>
          <w:tab w:val="left" w:pos="851"/>
        </w:tabs>
        <w:spacing w:before="120" w:after="120"/>
        <w:outlineLvl w:val="6"/>
        <w:rPr>
          <w:szCs w:val="24"/>
        </w:rPr>
      </w:pPr>
      <w:r w:rsidRPr="000839A4">
        <w:rPr>
          <w:szCs w:val="24"/>
        </w:rPr>
        <w:t>(10) Nárok na vyloučení dvojího zdanění podle odstavce 1 uplatní poplatník na základě seznamu všech potvrzení podle odstavce 5, která měl k dispozici v zákonné lhůtě pro podání daňového přiznání, předkládaného současně s daňovým přiznáním. Jednotlivé položky tohoto seznamu musí obsahovat údaje identifikující zahraničního správce daně nebo zahraničního plátce daně anebo depozitáře, stát zdroje zahraničních příjmů, částku daně zaplacené v tomto státě v místní měně a v přepočtu na koruny a výši příjmů ze zdrojů v tomto státě, stanovenou podle odstavce 3. Součástí seznamu bude též přehled zahraničních správců daně, jejichž doklady nemá poplatník ve lhůtě k podání daňového přiznání k dispozici z důvodů uvedených v odstavci 9, který musí obsahovat údaje o státě zdroje zahraničních příjmů, předpokládané výši příjmů ze zdrojů v daném státě nebo daně, uplatněné v daňovém přiznání. Přitom je daňový subjekt povinen na výzvu správce daně prokázat kdykoliv ve lhůtě pro vyměření daně oprávněnost nároku na vyloučení dvojího zdanění uplatněného v daňovém přiznání a doložit jej potvrzeními podle odstavce 5.</w:t>
      </w:r>
    </w:p>
    <w:p w14:paraId="46C52E91" w14:textId="77777777" w:rsidR="000839A4" w:rsidRPr="000839A4" w:rsidRDefault="000839A4" w:rsidP="000839A4">
      <w:pPr>
        <w:tabs>
          <w:tab w:val="left" w:pos="782"/>
          <w:tab w:val="left" w:pos="851"/>
        </w:tabs>
        <w:spacing w:before="120" w:after="120"/>
        <w:outlineLvl w:val="6"/>
        <w:rPr>
          <w:szCs w:val="24"/>
        </w:rPr>
      </w:pPr>
      <w:r w:rsidRPr="000839A4">
        <w:rPr>
          <w:szCs w:val="24"/>
        </w:rPr>
        <w:t>(11) Zjistí-li poplatník, že v důsledku stanovení základu daně nebo daně zahraničním správcem daně má být jeho daňová povinnost jiná, než jak byla vyměřena, postupuje podle daňového řádu.</w:t>
      </w:r>
    </w:p>
    <w:p w14:paraId="1598463F" w14:textId="77777777" w:rsidR="000839A4" w:rsidRPr="000839A4" w:rsidRDefault="000839A4" w:rsidP="000839A4">
      <w:pPr>
        <w:tabs>
          <w:tab w:val="left" w:pos="782"/>
          <w:tab w:val="left" w:pos="851"/>
        </w:tabs>
        <w:spacing w:before="120" w:after="120"/>
        <w:outlineLvl w:val="6"/>
        <w:rPr>
          <w:szCs w:val="24"/>
        </w:rPr>
      </w:pPr>
      <w:r w:rsidRPr="000839A4">
        <w:rPr>
          <w:szCs w:val="24"/>
        </w:rPr>
        <w:t xml:space="preserve">(12) Byla-li poplatníkovi daně z příjmů fyzických osob, který je daňovým rezidentem České republiky z příjmů úrokového charakteru  v zahraničí sražena daň vyšší, než jaká je uvedena v mezinárodní smlouvě, lze o ni snížit daňovou povinnost, pokud tato daň byla v zahraničí sražena v souladu s právním předpisem Evropských </w:t>
      </w:r>
      <w:proofErr w:type="gramStart"/>
      <w:r w:rsidRPr="000839A4">
        <w:rPr>
          <w:szCs w:val="24"/>
        </w:rPr>
        <w:t>společenství.</w:t>
      </w:r>
      <w:r w:rsidRPr="000839A4">
        <w:rPr>
          <w:szCs w:val="24"/>
          <w:vertAlign w:val="superscript"/>
        </w:rPr>
        <w:footnoteReference w:customMarkFollows="1" w:id="186"/>
        <w:t>104</w:t>
      </w:r>
      <w:proofErr w:type="gramEnd"/>
      <w:r w:rsidRPr="000839A4">
        <w:rPr>
          <w:szCs w:val="24"/>
          <w:vertAlign w:val="superscript"/>
        </w:rPr>
        <w:t>)</w:t>
      </w:r>
      <w:r w:rsidRPr="000839A4">
        <w:rPr>
          <w:szCs w:val="24"/>
        </w:rPr>
        <w:t xml:space="preserve"> Je-li celková daňová povinnost nižší než daň sražená v souladu s právním předpisem Evropských společenství,</w:t>
      </w:r>
      <w:r w:rsidRPr="000839A4">
        <w:rPr>
          <w:szCs w:val="24"/>
          <w:vertAlign w:val="superscript"/>
        </w:rPr>
        <w:t>104)</w:t>
      </w:r>
      <w:r w:rsidRPr="000839A4">
        <w:rPr>
          <w:szCs w:val="24"/>
          <w:vertAlign w:val="superscript"/>
        </w:rPr>
        <w:fldChar w:fldCharType="begin"/>
      </w:r>
      <w:r w:rsidRPr="000839A4">
        <w:rPr>
          <w:szCs w:val="24"/>
          <w:vertAlign w:val="superscript"/>
        </w:rPr>
        <w:instrText xml:space="preserve"> NOTEREF _Ref535916574 </w:instrText>
      </w:r>
      <w:r w:rsidRPr="000839A4">
        <w:rPr>
          <w:szCs w:val="24"/>
          <w:vertAlign w:val="superscript"/>
        </w:rPr>
        <w:fldChar w:fldCharType="end"/>
      </w:r>
      <w:r w:rsidRPr="000839A4">
        <w:rPr>
          <w:szCs w:val="24"/>
        </w:rPr>
        <w:t xml:space="preserve"> vznikne poplatníkovi ve výši rozdílu přeplatek.</w:t>
      </w:r>
    </w:p>
    <w:p w14:paraId="0DCBA300" w14:textId="77777777" w:rsidR="000839A4" w:rsidRPr="000839A4" w:rsidRDefault="000839A4" w:rsidP="000839A4">
      <w:pPr>
        <w:tabs>
          <w:tab w:val="left" w:pos="782"/>
          <w:tab w:val="left" w:pos="851"/>
        </w:tabs>
        <w:spacing w:before="120" w:after="120"/>
        <w:outlineLvl w:val="6"/>
        <w:rPr>
          <w:szCs w:val="24"/>
        </w:rPr>
      </w:pPr>
      <w:r w:rsidRPr="000839A4">
        <w:rPr>
          <w:szCs w:val="24"/>
        </w:rPr>
        <w:t>(13) V případě bezúplatných příjmů nabytých darem, které byly předmětem mezinárodní smlouvy upravující zamezení dvojímu zdanění v oboru daně dědické a darovací, která je prováděna se mezinárodní dvojí zdanění pro účely daní z příjmů v České republice vylučuje v souladu s metodou uvedenou v této smlouvě.</w:t>
      </w:r>
    </w:p>
    <w:p w14:paraId="5838EEBF" w14:textId="77777777" w:rsidR="000839A4" w:rsidRPr="000839A4" w:rsidRDefault="000839A4" w:rsidP="000839A4">
      <w:pPr>
        <w:keepNext/>
        <w:ind w:firstLine="0"/>
        <w:jc w:val="center"/>
        <w:rPr>
          <w:szCs w:val="24"/>
        </w:rPr>
      </w:pPr>
      <w:r w:rsidRPr="000839A4">
        <w:rPr>
          <w:szCs w:val="24"/>
        </w:rPr>
        <w:lastRenderedPageBreak/>
        <w:t>§ 38fa</w:t>
      </w:r>
    </w:p>
    <w:p w14:paraId="1B2BF4A0" w14:textId="77777777" w:rsidR="000839A4" w:rsidRPr="000839A4" w:rsidRDefault="000839A4" w:rsidP="000839A4">
      <w:pPr>
        <w:keepNext/>
        <w:ind w:firstLine="0"/>
        <w:jc w:val="center"/>
        <w:rPr>
          <w:b/>
          <w:szCs w:val="24"/>
        </w:rPr>
      </w:pPr>
      <w:r w:rsidRPr="000839A4">
        <w:rPr>
          <w:b/>
          <w:szCs w:val="24"/>
        </w:rPr>
        <w:t>Zdanění ovládané zahraniční společnosti</w:t>
      </w:r>
    </w:p>
    <w:p w14:paraId="00544C6F" w14:textId="77777777" w:rsidR="000839A4" w:rsidRPr="000839A4" w:rsidRDefault="000839A4" w:rsidP="000839A4">
      <w:pPr>
        <w:tabs>
          <w:tab w:val="left" w:pos="782"/>
          <w:tab w:val="left" w:pos="851"/>
        </w:tabs>
        <w:spacing w:before="120" w:after="120"/>
        <w:outlineLvl w:val="6"/>
        <w:rPr>
          <w:szCs w:val="24"/>
        </w:rPr>
      </w:pPr>
      <w:r w:rsidRPr="000839A4">
        <w:rPr>
          <w:szCs w:val="24"/>
        </w:rPr>
        <w:t>(1) Pro účely daní z příjmů se na činnost ovládané zahraniční společnosti, která není k okamžiku skončení svého zdaňovacího období daňovým rezidentem státu uvedeného na unijním seznamu jurisdikcí nespolupracujících v daňové oblasti schváleném Radou Evropské unie ani stálou provozovnou umístěnou v takovém státě, a nakládání s jejím majetkem, ze kterých plynou zahrnované příjmy, hledí, jako by byly uskutečněny ovládající společností na území České republiky k okamžiku skončení zdaňovacího období ovládané zahraniční společnosti v zahraničí, pokud</w:t>
      </w:r>
    </w:p>
    <w:p w14:paraId="3D04FB8B"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ovládaná zahraniční společnost nevykonává podstatnou hospodářskou činnost a</w:t>
      </w:r>
    </w:p>
    <w:p w14:paraId="0332C656"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daň obdobná dani z příjmů právnických osob</w:t>
      </w:r>
    </w:p>
    <w:p w14:paraId="4DEF9401" w14:textId="77777777" w:rsidR="000839A4" w:rsidRPr="000839A4" w:rsidRDefault="000839A4" w:rsidP="000839A4">
      <w:pPr>
        <w:tabs>
          <w:tab w:val="left" w:pos="357"/>
        </w:tabs>
        <w:spacing w:before="0"/>
        <w:ind w:left="714" w:hanging="357"/>
        <w:rPr>
          <w:szCs w:val="24"/>
        </w:rPr>
      </w:pPr>
      <w:r w:rsidRPr="000839A4">
        <w:rPr>
          <w:szCs w:val="24"/>
        </w:rPr>
        <w:t>1.</w:t>
      </w:r>
      <w:r w:rsidRPr="000839A4">
        <w:rPr>
          <w:szCs w:val="24"/>
        </w:rPr>
        <w:tab/>
        <w:t>ovládané zahraniční společnosti, která je poplatníkem daně z příjmů právnických osob, ve státě, jehož je daňovým rezidentem, je nižší než polovina daně, která by jí byla stanovena, pokud by byla daňovým rezidentem České republiky, nebo</w:t>
      </w:r>
    </w:p>
    <w:p w14:paraId="7B0DBE22" w14:textId="77777777" w:rsidR="000839A4" w:rsidRPr="000839A4" w:rsidRDefault="000839A4" w:rsidP="000839A4">
      <w:pPr>
        <w:tabs>
          <w:tab w:val="left" w:pos="357"/>
        </w:tabs>
        <w:spacing w:before="0"/>
        <w:ind w:left="714" w:hanging="357"/>
        <w:rPr>
          <w:szCs w:val="24"/>
        </w:rPr>
      </w:pPr>
      <w:r w:rsidRPr="000839A4">
        <w:rPr>
          <w:szCs w:val="24"/>
        </w:rPr>
        <w:t>2.</w:t>
      </w:r>
      <w:r w:rsidRPr="000839A4">
        <w:rPr>
          <w:szCs w:val="24"/>
        </w:rPr>
        <w:tab/>
        <w:t>ovládající společnosti ve státě, ve kterém je umístěna stálá provozovna, která je ovládanou zahraniční společností, je nižší než polovina daně, která by byla stanovena, pokud by činnost stálé provozovny a nakládání s jejím majetkem byly uskutečněny na území České republiky.</w:t>
      </w:r>
    </w:p>
    <w:p w14:paraId="5944120A" w14:textId="77777777" w:rsidR="000839A4" w:rsidRPr="000839A4" w:rsidRDefault="000839A4" w:rsidP="000839A4">
      <w:pPr>
        <w:tabs>
          <w:tab w:val="left" w:pos="782"/>
          <w:tab w:val="left" w:pos="851"/>
        </w:tabs>
        <w:spacing w:before="120" w:after="120"/>
        <w:outlineLvl w:val="6"/>
        <w:rPr>
          <w:szCs w:val="24"/>
        </w:rPr>
      </w:pPr>
      <w:r w:rsidRPr="000839A4">
        <w:rPr>
          <w:szCs w:val="24"/>
        </w:rPr>
        <w:t>(2) Pro účely daní z příjmů se na činnost ovládané zahraniční společnosti, která je k okamžiku skončení svého zdaňovacího období daňovým rezidentem státu uvedeného na unijním seznamu jurisdikcí nespolupracujících v daňové oblasti schváleném Radou Evropské unie nebo stálou provozovnou umístěnou v takovém státě, a nakládání s jejím majetkem, ze kterých plynou v daném zdaňovacím období příjmy, hledí, jako by byly uskutečněny ovládající společností na území České republiky k okamžiku skončení zdaňovacího období ovládané zahraniční společnosti. Ministerstvo financí uveřejní ve Finančním zpravodaji, které státy jsou na tomto seznamu uvedeny.</w:t>
      </w:r>
    </w:p>
    <w:p w14:paraId="2374F4DB" w14:textId="77777777" w:rsidR="000839A4" w:rsidRPr="000839A4" w:rsidRDefault="000839A4" w:rsidP="000839A4">
      <w:pPr>
        <w:tabs>
          <w:tab w:val="left" w:pos="782"/>
          <w:tab w:val="left" w:pos="851"/>
        </w:tabs>
        <w:spacing w:before="120" w:after="120"/>
        <w:outlineLvl w:val="6"/>
        <w:rPr>
          <w:szCs w:val="24"/>
        </w:rPr>
      </w:pPr>
      <w:r w:rsidRPr="000839A4">
        <w:rPr>
          <w:szCs w:val="24"/>
        </w:rPr>
        <w:t>(3) Ovládající společností se pro účely daní z příjmů rozumí poplatník daně z příjmů právnických osob, který je daňovým rezidentem České republiky a</w:t>
      </w:r>
    </w:p>
    <w:p w14:paraId="58E24CA0"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který se přímo nebo nepřímo podílí na základním kapitálu ovládané zahraniční společnosti, pokud sám nebo společně s přidruženými osobami splňuje jednu z podmínek podle odstavce 4 písm. a) bodů 1 a 2, nebo</w:t>
      </w:r>
    </w:p>
    <w:p w14:paraId="7CA27282"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jehož stálá provozovna je ovládanou zahraniční společností.</w:t>
      </w:r>
    </w:p>
    <w:p w14:paraId="7F0FE400" w14:textId="77777777" w:rsidR="000839A4" w:rsidRPr="000839A4" w:rsidRDefault="000839A4" w:rsidP="000839A4">
      <w:pPr>
        <w:tabs>
          <w:tab w:val="left" w:pos="782"/>
          <w:tab w:val="left" w:pos="851"/>
        </w:tabs>
        <w:spacing w:before="120" w:after="120"/>
        <w:outlineLvl w:val="6"/>
        <w:rPr>
          <w:szCs w:val="24"/>
        </w:rPr>
      </w:pPr>
      <w:r w:rsidRPr="000839A4">
        <w:rPr>
          <w:szCs w:val="24"/>
        </w:rPr>
        <w:t>(4) Ovládanou zahraniční společností se pro účely daní z příjmů rozumí</w:t>
      </w:r>
    </w:p>
    <w:p w14:paraId="1FAAE118"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poplatník daně z příjmů právnických osob, který je daňovým nerezidentem, pokud poplatník daně z příjmů právnických osob, který je daňovým rezidentem České republiky, sám nebo společně s přidruženými osobami</w:t>
      </w:r>
    </w:p>
    <w:p w14:paraId="798A0A64" w14:textId="77777777" w:rsidR="000839A4" w:rsidRPr="000839A4" w:rsidRDefault="000839A4" w:rsidP="000839A4">
      <w:pPr>
        <w:tabs>
          <w:tab w:val="left" w:pos="357"/>
        </w:tabs>
        <w:spacing w:before="0"/>
        <w:ind w:left="714" w:hanging="357"/>
        <w:rPr>
          <w:szCs w:val="24"/>
        </w:rPr>
      </w:pPr>
      <w:r w:rsidRPr="000839A4">
        <w:rPr>
          <w:szCs w:val="24"/>
        </w:rPr>
        <w:t>1.</w:t>
      </w:r>
      <w:r w:rsidRPr="000839A4">
        <w:rPr>
          <w:szCs w:val="24"/>
        </w:rPr>
        <w:tab/>
        <w:t>se přímo nebo nepřímo podílí na základním kapitálu tohoto poplatníka nebo hlasovacích právech z více než 50 %, nebo</w:t>
      </w:r>
    </w:p>
    <w:p w14:paraId="3FBD92C4" w14:textId="77777777" w:rsidR="000839A4" w:rsidRPr="000839A4" w:rsidRDefault="000839A4" w:rsidP="000839A4">
      <w:pPr>
        <w:tabs>
          <w:tab w:val="left" w:pos="357"/>
        </w:tabs>
        <w:spacing w:before="0"/>
        <w:ind w:left="714" w:hanging="357"/>
        <w:rPr>
          <w:szCs w:val="24"/>
        </w:rPr>
      </w:pPr>
      <w:r w:rsidRPr="000839A4">
        <w:rPr>
          <w:szCs w:val="24"/>
        </w:rPr>
        <w:t>2.</w:t>
      </w:r>
      <w:r w:rsidRPr="000839A4">
        <w:rPr>
          <w:szCs w:val="24"/>
        </w:rPr>
        <w:tab/>
        <w:t>má právo na více než 50 % podílu na jeho zisku,</w:t>
      </w:r>
    </w:p>
    <w:p w14:paraId="66B44D88"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stálá provozovna poplatníka daně z příjmů právnických osob, který je daňovým rezidentem České republiky, umístěná ve státě, se kterým má Česká republika uzavřenou mezinárodní smlouvu upravující zamezení dvojímu zdanění všech druhů příjmů, která je prováděna a podle které se dvojí zdanění jejích příjmů vylučuje metodou vynětí.</w:t>
      </w:r>
    </w:p>
    <w:p w14:paraId="2E0F3C90" w14:textId="77777777" w:rsidR="000839A4" w:rsidRPr="000839A4" w:rsidRDefault="000839A4" w:rsidP="000839A4">
      <w:pPr>
        <w:tabs>
          <w:tab w:val="left" w:pos="782"/>
          <w:tab w:val="left" w:pos="851"/>
        </w:tabs>
        <w:spacing w:before="120" w:after="120"/>
        <w:outlineLvl w:val="6"/>
        <w:rPr>
          <w:szCs w:val="24"/>
        </w:rPr>
      </w:pPr>
      <w:r w:rsidRPr="000839A4">
        <w:rPr>
          <w:szCs w:val="24"/>
        </w:rPr>
        <w:lastRenderedPageBreak/>
        <w:t>(5) Přidruženými osobami se pro účely zdanění ovládané zahraniční společnosti rozumí kapitálově spojené osoby a osoby, pokud má jedna osoba právo na alespoň 25 % podílu na zisku druhé osoby.</w:t>
      </w:r>
    </w:p>
    <w:p w14:paraId="19933835" w14:textId="77777777" w:rsidR="000839A4" w:rsidRPr="000839A4" w:rsidRDefault="000839A4" w:rsidP="000839A4">
      <w:pPr>
        <w:tabs>
          <w:tab w:val="left" w:pos="782"/>
          <w:tab w:val="left" w:pos="851"/>
        </w:tabs>
        <w:spacing w:before="120" w:after="120"/>
        <w:outlineLvl w:val="6"/>
        <w:rPr>
          <w:szCs w:val="24"/>
        </w:rPr>
      </w:pPr>
      <w:r w:rsidRPr="000839A4">
        <w:rPr>
          <w:szCs w:val="24"/>
        </w:rPr>
        <w:t>(6) Zahrnovanými příjmy se pro účely zdanění ovládané zahraniční společnosti rozumí příjmy ovládané zahraniční společnosti plynoucí v jejím zdaňovacím období v zahraničí</w:t>
      </w:r>
    </w:p>
    <w:p w14:paraId="3FDFFF34"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ve formě výpůjčních příjmů,</w:t>
      </w:r>
    </w:p>
    <w:p w14:paraId="0F4E3F57"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ve formě licenčních poplatků,</w:t>
      </w:r>
    </w:p>
    <w:p w14:paraId="47E0B117" w14:textId="77777777" w:rsidR="000839A4" w:rsidRPr="000839A4" w:rsidRDefault="000839A4" w:rsidP="000839A4">
      <w:pPr>
        <w:tabs>
          <w:tab w:val="left" w:pos="357"/>
        </w:tabs>
        <w:spacing w:before="0"/>
        <w:ind w:left="357" w:hanging="357"/>
        <w:rPr>
          <w:szCs w:val="24"/>
        </w:rPr>
      </w:pPr>
      <w:r w:rsidRPr="000839A4">
        <w:rPr>
          <w:szCs w:val="24"/>
        </w:rPr>
        <w:t>c)</w:t>
      </w:r>
      <w:r w:rsidRPr="000839A4">
        <w:rPr>
          <w:szCs w:val="24"/>
        </w:rPr>
        <w:tab/>
        <w:t>z podílu na zisku,</w:t>
      </w:r>
    </w:p>
    <w:p w14:paraId="11F699F2" w14:textId="77777777" w:rsidR="000839A4" w:rsidRPr="000839A4" w:rsidRDefault="000839A4" w:rsidP="000839A4">
      <w:pPr>
        <w:tabs>
          <w:tab w:val="left" w:pos="357"/>
        </w:tabs>
        <w:spacing w:before="0"/>
        <w:ind w:left="357" w:hanging="357"/>
        <w:rPr>
          <w:szCs w:val="24"/>
        </w:rPr>
      </w:pPr>
      <w:r w:rsidRPr="000839A4">
        <w:rPr>
          <w:szCs w:val="24"/>
        </w:rPr>
        <w:t>d)</w:t>
      </w:r>
      <w:r w:rsidRPr="000839A4">
        <w:rPr>
          <w:szCs w:val="24"/>
        </w:rPr>
        <w:tab/>
        <w:t>z pozbytí podílu v poplatníkovi daně z příjmů právnických osob,</w:t>
      </w:r>
    </w:p>
    <w:p w14:paraId="3C7CA38B" w14:textId="77777777" w:rsidR="000839A4" w:rsidRPr="000839A4" w:rsidRDefault="000839A4" w:rsidP="000839A4">
      <w:pPr>
        <w:tabs>
          <w:tab w:val="left" w:pos="357"/>
        </w:tabs>
        <w:spacing w:before="0"/>
        <w:ind w:left="357" w:hanging="357"/>
        <w:rPr>
          <w:szCs w:val="24"/>
        </w:rPr>
      </w:pPr>
      <w:r w:rsidRPr="000839A4">
        <w:rPr>
          <w:szCs w:val="24"/>
        </w:rPr>
        <w:t>e)</w:t>
      </w:r>
      <w:r w:rsidRPr="000839A4">
        <w:rPr>
          <w:szCs w:val="24"/>
        </w:rPr>
        <w:tab/>
        <w:t>z přenechání majetku k úplatnému užití s právem na následné úplatné nabytí tohoto majetku stranou tohoto závazku,</w:t>
      </w:r>
    </w:p>
    <w:p w14:paraId="149AE20B" w14:textId="77777777" w:rsidR="000839A4" w:rsidRPr="000839A4" w:rsidRDefault="000839A4" w:rsidP="000839A4">
      <w:pPr>
        <w:tabs>
          <w:tab w:val="left" w:pos="357"/>
        </w:tabs>
        <w:spacing w:before="0"/>
        <w:ind w:left="357" w:hanging="357"/>
        <w:rPr>
          <w:szCs w:val="24"/>
        </w:rPr>
      </w:pPr>
      <w:r w:rsidRPr="000839A4">
        <w:rPr>
          <w:szCs w:val="24"/>
        </w:rPr>
        <w:t>f)</w:t>
      </w:r>
      <w:r w:rsidRPr="000839A4">
        <w:rPr>
          <w:szCs w:val="24"/>
        </w:rPr>
        <w:tab/>
        <w:t>z pojišťovacích, bankovních a jiných finančních činností,</w:t>
      </w:r>
    </w:p>
    <w:p w14:paraId="14DE6B9B" w14:textId="77777777" w:rsidR="000839A4" w:rsidRPr="000839A4" w:rsidRDefault="000839A4" w:rsidP="000839A4">
      <w:pPr>
        <w:tabs>
          <w:tab w:val="left" w:pos="357"/>
        </w:tabs>
        <w:spacing w:before="0"/>
        <w:ind w:left="357" w:hanging="357"/>
        <w:rPr>
          <w:szCs w:val="24"/>
        </w:rPr>
      </w:pPr>
      <w:r w:rsidRPr="000839A4">
        <w:rPr>
          <w:szCs w:val="24"/>
        </w:rPr>
        <w:t>g)</w:t>
      </w:r>
      <w:r w:rsidRPr="000839A4">
        <w:rPr>
          <w:szCs w:val="24"/>
        </w:rPr>
        <w:tab/>
        <w:t>z prodeje zboží a poskytování služeb nakoupených od přidružených osob a přidruženým osobám prodávaných bez přidané ekonomické hodnoty nebo pouze s malou přidanou ekonomickou hodnotou,</w:t>
      </w:r>
    </w:p>
    <w:p w14:paraId="33D2E836" w14:textId="77777777" w:rsidR="000839A4" w:rsidRPr="000839A4" w:rsidRDefault="000839A4" w:rsidP="000839A4">
      <w:pPr>
        <w:tabs>
          <w:tab w:val="left" w:pos="357"/>
        </w:tabs>
        <w:spacing w:before="0"/>
        <w:ind w:left="357" w:hanging="357"/>
        <w:rPr>
          <w:szCs w:val="24"/>
        </w:rPr>
      </w:pPr>
      <w:r w:rsidRPr="000839A4">
        <w:rPr>
          <w:szCs w:val="24"/>
        </w:rPr>
        <w:t>h)</w:t>
      </w:r>
      <w:r w:rsidRPr="000839A4">
        <w:rPr>
          <w:szCs w:val="24"/>
        </w:rPr>
        <w:tab/>
        <w:t>z prodeje zboží nebo poskytnutí služby přidružené osobě, jejíž činnost spočívá převážně v nákupu zboží a služeb od přidružených osob a následném prodeji tohoto zboží a poskytování těchto služeb přidruženým osobám bez přidané ekonomické hodnoty nebo pouze s malou přidanou ekonomickou hodnotou.</w:t>
      </w:r>
    </w:p>
    <w:p w14:paraId="3D231D5C" w14:textId="77777777" w:rsidR="000839A4" w:rsidRPr="000839A4" w:rsidRDefault="000839A4" w:rsidP="000839A4">
      <w:pPr>
        <w:tabs>
          <w:tab w:val="left" w:pos="782"/>
          <w:tab w:val="left" w:pos="851"/>
        </w:tabs>
        <w:spacing w:before="120" w:after="120"/>
        <w:outlineLvl w:val="6"/>
        <w:rPr>
          <w:szCs w:val="24"/>
        </w:rPr>
      </w:pPr>
      <w:r w:rsidRPr="000839A4">
        <w:rPr>
          <w:szCs w:val="24"/>
        </w:rPr>
        <w:t>(7) Na činnost ovládané zahraniční společnosti a nakládání s jejím majetkem se hledí, jako by byly uskutečněny ovládající společností na území České republiky pouze v poměrné části vypočítané podle jejího podílu na základním kapitálu ovládané zahraniční společnosti k okamžiku uskutečnění této činnosti nebo tohoto nakládání s jejím majetkem. Podíl ovládající společnosti na základním kapitálu ovládané zahraniční společnosti se snižuje o část podílu drženou prostřednictvím jiné ovládající společnosti, která není základním investičním fondem.</w:t>
      </w:r>
    </w:p>
    <w:p w14:paraId="072A1FAD" w14:textId="77777777" w:rsidR="000839A4" w:rsidRPr="000839A4" w:rsidRDefault="000839A4" w:rsidP="000839A4">
      <w:pPr>
        <w:tabs>
          <w:tab w:val="left" w:pos="782"/>
          <w:tab w:val="left" w:pos="851"/>
        </w:tabs>
        <w:spacing w:before="120" w:after="120"/>
        <w:outlineLvl w:val="6"/>
        <w:rPr>
          <w:szCs w:val="24"/>
        </w:rPr>
      </w:pPr>
      <w:r w:rsidRPr="000839A4">
        <w:rPr>
          <w:szCs w:val="24"/>
        </w:rPr>
        <w:t>(8) Výsledek hospodaření nebo rozdíl mezi příjmy a výdaji ovládající společnosti se upraví v souladu s odstavci 1 a 2. Pokud by tato úprava vedla ke snížení výsledku hospodaření nebo rozdílu mezi příjmy a výdaji, neprovede se a o částku, o kterou by byl výsledek hospodaření nebo rozdíl mezi příjmy a výdaji snížen podle odstavce 1, lze snížit výsledek hospodaření nebo rozdíl mezi příjmy a výdaji ve 3 bezprostředně následujících zdaňovacích obdobích vždy do výše částky, o kterou se v daném zdaňovacím období výsledek hospodaření nebo rozdíl mezi příjmy a výdaji na základě odstavce 1 zvyšuje.</w:t>
      </w:r>
    </w:p>
    <w:p w14:paraId="760DEDBC" w14:textId="77777777" w:rsidR="000839A4" w:rsidRPr="000839A4" w:rsidRDefault="000839A4" w:rsidP="000839A4">
      <w:pPr>
        <w:tabs>
          <w:tab w:val="left" w:pos="782"/>
          <w:tab w:val="left" w:pos="851"/>
        </w:tabs>
        <w:spacing w:before="120" w:after="120"/>
        <w:outlineLvl w:val="6"/>
        <w:rPr>
          <w:szCs w:val="24"/>
        </w:rPr>
      </w:pPr>
      <w:r w:rsidRPr="000839A4">
        <w:rPr>
          <w:szCs w:val="24"/>
        </w:rPr>
        <w:t>(9) Daň ovládající společnosti lze snížit o daň obdobnou dani z příjmů právnických osob zaplacenou z příjmů z činnosti a nakládání s majetkem, na které se použije odstavec 1 nebo 2,</w:t>
      </w:r>
    </w:p>
    <w:p w14:paraId="0F6646DA"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ovládanou zahraniční společností, která je poplatníkem daně z příjmů právnických osob, ve státě, jehož je daňovým rezidentem,</w:t>
      </w:r>
    </w:p>
    <w:p w14:paraId="61B8CEEB"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ovládající společností ve státě, ve kterém je umístěna stálá provozovna, která je ovládanou zahraniční společností,</w:t>
      </w:r>
    </w:p>
    <w:p w14:paraId="09E6F048" w14:textId="77777777" w:rsidR="000839A4" w:rsidRPr="000839A4" w:rsidRDefault="000839A4" w:rsidP="000839A4">
      <w:pPr>
        <w:tabs>
          <w:tab w:val="left" w:pos="357"/>
        </w:tabs>
        <w:spacing w:before="0"/>
        <w:ind w:left="357" w:hanging="357"/>
        <w:rPr>
          <w:szCs w:val="24"/>
        </w:rPr>
      </w:pPr>
      <w:r w:rsidRPr="000839A4">
        <w:rPr>
          <w:szCs w:val="24"/>
        </w:rPr>
        <w:t>c)</w:t>
      </w:r>
      <w:r w:rsidRPr="000839A4">
        <w:rPr>
          <w:szCs w:val="24"/>
        </w:rPr>
        <w:tab/>
        <w:t>poplatníkem daně z příjmů právnických osob, který je daňovým nerezidentem a prostřednictvím kterého ovládající společnost drží podíl na základním kapitálu ovládané zahraniční společnosti, ve státě, jehož je daňovým rezidentem.</w:t>
      </w:r>
    </w:p>
    <w:p w14:paraId="7B9CA4A3" w14:textId="77777777" w:rsidR="000839A4" w:rsidRPr="000839A4" w:rsidRDefault="000839A4" w:rsidP="000839A4">
      <w:pPr>
        <w:tabs>
          <w:tab w:val="left" w:pos="782"/>
          <w:tab w:val="left" w:pos="851"/>
        </w:tabs>
        <w:spacing w:before="120" w:after="120"/>
        <w:outlineLvl w:val="6"/>
        <w:rPr>
          <w:szCs w:val="24"/>
        </w:rPr>
      </w:pPr>
      <w:r w:rsidRPr="000839A4">
        <w:rPr>
          <w:szCs w:val="24"/>
        </w:rPr>
        <w:t>(10) Daň ovládající společnosti lze snížit o daň z příjmů právnických osob zaplacenou z příjmů z činnosti a nakládání s majetkem, na které tato ovládající společnost použije odstavec 1 nebo 2, základním investičním fondem, který je ovládající společností stejné ovládané zahraniční společnosti a prostřednictvím kterého ovládající společnost drží podíl na základním kapitálu této ovládané zahraniční společnosti.</w:t>
      </w:r>
    </w:p>
    <w:p w14:paraId="4365010B" w14:textId="77777777" w:rsidR="000839A4" w:rsidRPr="000839A4" w:rsidRDefault="000839A4" w:rsidP="000839A4">
      <w:pPr>
        <w:tabs>
          <w:tab w:val="left" w:pos="782"/>
          <w:tab w:val="left" w:pos="851"/>
        </w:tabs>
        <w:spacing w:before="120" w:after="120"/>
        <w:outlineLvl w:val="6"/>
        <w:rPr>
          <w:szCs w:val="24"/>
        </w:rPr>
      </w:pPr>
      <w:r w:rsidRPr="000839A4">
        <w:rPr>
          <w:szCs w:val="24"/>
        </w:rPr>
        <w:lastRenderedPageBreak/>
        <w:t>(11) Při snížení daně podle odstavce 9 se postupuje obdobně jako při použití metody prostého zápočtu podle § 38f.</w:t>
      </w:r>
    </w:p>
    <w:p w14:paraId="14E5D858" w14:textId="77777777" w:rsidR="000839A4" w:rsidRPr="000839A4" w:rsidRDefault="000839A4" w:rsidP="000839A4">
      <w:pPr>
        <w:tabs>
          <w:tab w:val="left" w:pos="782"/>
          <w:tab w:val="left" w:pos="851"/>
        </w:tabs>
        <w:spacing w:before="120" w:after="120"/>
        <w:outlineLvl w:val="6"/>
        <w:rPr>
          <w:szCs w:val="24"/>
        </w:rPr>
      </w:pPr>
      <w:r w:rsidRPr="000839A4">
        <w:rPr>
          <w:szCs w:val="24"/>
        </w:rPr>
        <w:t>(12) Předmětem daně není příjem ovládající společnosti z pozbytí podílu v ovládané zahraniční společnosti nebo z pozbytí majetku stálé provozovny, která je ovládanou zahraniční společností, v rozsahu, ve kterém připadá na nerozdělený zisk z činnosti ovládané zahraniční společnosti a z nakládání s jejím majetkem, na které se u této ovládající společnosti uplatnil odstavec 1 nebo 2.</w:t>
      </w:r>
    </w:p>
    <w:p w14:paraId="50A9572C" w14:textId="77777777" w:rsidR="000839A4" w:rsidRPr="000839A4" w:rsidRDefault="000839A4" w:rsidP="000839A4">
      <w:pPr>
        <w:keepNext/>
        <w:spacing w:before="360"/>
        <w:ind w:firstLine="0"/>
        <w:jc w:val="center"/>
        <w:outlineLvl w:val="0"/>
        <w:rPr>
          <w:caps/>
          <w:szCs w:val="24"/>
        </w:rPr>
      </w:pPr>
      <w:r w:rsidRPr="000839A4">
        <w:rPr>
          <w:caps/>
          <w:szCs w:val="24"/>
        </w:rPr>
        <w:t>ČÁST ČTVRTÁ</w:t>
      </w:r>
    </w:p>
    <w:p w14:paraId="0B821D76" w14:textId="77777777" w:rsidR="000839A4" w:rsidRPr="000839A4" w:rsidRDefault="000839A4" w:rsidP="000839A4">
      <w:pPr>
        <w:keepNext/>
        <w:spacing w:before="360"/>
        <w:ind w:firstLine="0"/>
        <w:jc w:val="center"/>
        <w:outlineLvl w:val="0"/>
        <w:rPr>
          <w:b/>
          <w:caps/>
          <w:szCs w:val="24"/>
        </w:rPr>
      </w:pPr>
      <w:r w:rsidRPr="000839A4">
        <w:rPr>
          <w:b/>
          <w:caps/>
          <w:szCs w:val="24"/>
        </w:rPr>
        <w:t>ZVLÁŠTNÍ USTANOVENÍ PRO VYBÍRÁNÍ DANĚ Z PŘÍJMŮ</w:t>
      </w:r>
    </w:p>
    <w:p w14:paraId="19B0EF9E" w14:textId="77777777" w:rsidR="000839A4" w:rsidRPr="000839A4" w:rsidRDefault="000839A4" w:rsidP="000839A4">
      <w:pPr>
        <w:keepNext/>
        <w:ind w:firstLine="0"/>
        <w:jc w:val="center"/>
        <w:rPr>
          <w:b/>
          <w:szCs w:val="24"/>
        </w:rPr>
      </w:pPr>
      <w:r w:rsidRPr="000839A4">
        <w:rPr>
          <w:b/>
          <w:szCs w:val="24"/>
        </w:rPr>
        <w:t>Zvláštní ustanovení pro vybírání daně z příjmů fyzických osob</w:t>
      </w:r>
    </w:p>
    <w:p w14:paraId="33E53945" w14:textId="77777777" w:rsidR="000839A4" w:rsidRPr="000839A4" w:rsidRDefault="000839A4" w:rsidP="000839A4">
      <w:pPr>
        <w:keepNext/>
        <w:ind w:firstLine="0"/>
        <w:jc w:val="center"/>
        <w:rPr>
          <w:szCs w:val="24"/>
        </w:rPr>
      </w:pPr>
      <w:r w:rsidRPr="000839A4">
        <w:rPr>
          <w:szCs w:val="24"/>
        </w:rPr>
        <w:t>§ 38g</w:t>
      </w:r>
    </w:p>
    <w:p w14:paraId="7BD2E0BB" w14:textId="77777777" w:rsidR="000839A4" w:rsidRPr="000839A4" w:rsidRDefault="000839A4" w:rsidP="000839A4">
      <w:pPr>
        <w:keepNext/>
        <w:ind w:firstLine="0"/>
        <w:jc w:val="center"/>
        <w:rPr>
          <w:b/>
          <w:szCs w:val="24"/>
        </w:rPr>
      </w:pPr>
      <w:r w:rsidRPr="000839A4">
        <w:rPr>
          <w:b/>
          <w:szCs w:val="24"/>
        </w:rPr>
        <w:t>Daňové přiznání k dani z příjmů fyzických osob</w:t>
      </w:r>
    </w:p>
    <w:p w14:paraId="64046FE0" w14:textId="77777777" w:rsidR="000839A4" w:rsidRPr="000839A4" w:rsidRDefault="000839A4" w:rsidP="000839A4">
      <w:pPr>
        <w:tabs>
          <w:tab w:val="left" w:pos="782"/>
          <w:tab w:val="left" w:pos="851"/>
        </w:tabs>
        <w:spacing w:before="120" w:after="120"/>
        <w:outlineLvl w:val="6"/>
        <w:rPr>
          <w:szCs w:val="24"/>
        </w:rPr>
      </w:pPr>
      <w:r w:rsidRPr="000839A4">
        <w:rPr>
          <w:szCs w:val="24"/>
        </w:rPr>
        <w:t>(1) Daňové přiznání je povinen podat každý, jehož roční příjmy, které jsou předmětem daně z příjmů fyzických osob, přesáhly 50 000 Kč, pokud se nejedná o příjmy od daně osvobozené nebo o příjmy, z nichž je daň vybírána srážkou podle zvláštní sazby daně. Daňové přiznání je povinen podat i ten, jehož roční příjmy, které jsou předmětem daně z příjmů fyzických osob, nepřesáhly 50 000 Kč, ale vykazuje daňovou ztrátu.</w:t>
      </w:r>
    </w:p>
    <w:p w14:paraId="1944CDA7" w14:textId="77777777" w:rsidR="000839A4" w:rsidRPr="000839A4" w:rsidRDefault="000839A4" w:rsidP="000839A4">
      <w:pPr>
        <w:tabs>
          <w:tab w:val="left" w:pos="782"/>
          <w:tab w:val="left" w:pos="851"/>
        </w:tabs>
        <w:spacing w:before="120" w:after="120"/>
        <w:outlineLvl w:val="6"/>
        <w:rPr>
          <w:szCs w:val="24"/>
        </w:rPr>
      </w:pPr>
      <w:r w:rsidRPr="000839A4">
        <w:rPr>
          <w:szCs w:val="24"/>
        </w:rPr>
        <w:t xml:space="preserve">(2) Daňové přiznání není povinen podat poplatník, který má příjmy ze závislé činnosti podle § 6 pouze od </w:t>
      </w:r>
      <w:proofErr w:type="gramStart"/>
      <w:r w:rsidRPr="000839A4">
        <w:rPr>
          <w:szCs w:val="24"/>
        </w:rPr>
        <w:t>jednoho a nebo postupně</w:t>
      </w:r>
      <w:proofErr w:type="gramEnd"/>
      <w:r w:rsidRPr="000839A4">
        <w:rPr>
          <w:szCs w:val="24"/>
        </w:rPr>
        <w:t xml:space="preserve"> od více plátců daně včetně doplatků mezd od těchto plátců (§ 38ch odst. 4). Podmínkou je, že poplatník učinil u všech těchto plátců daně na příslušné zdaňovací období prohlášení k dani podle § 38k, a vyjma příjmů od daně osvobozených a příjmů, z nichž je vybírána daň srážkou sazbou daně podle § 36, nemá jiné příjmy podle § 7 až 10 vyšší než 20 000 Kč. Rovněž není povinen podat daňové přiznání poplatník, jemuž plynou pouze příjmy ze závislé činnosti ze zahraničí, které jsou podle § 38f vyjmuty ze zdanění. Daňové přiznání za zdaňovací období je ale povinen podat poplatník uvedený v § 2 odst. 3, který uplatňuje slevu na dani podle § 35ba odst. 1 písm. b) až e),</w:t>
      </w:r>
      <w:r w:rsidRPr="000839A4">
        <w:rPr>
          <w:color w:val="808080" w:themeColor="background1" w:themeShade="80"/>
          <w:szCs w:val="24"/>
        </w:rPr>
        <w:t xml:space="preserve"> </w:t>
      </w:r>
      <w:r w:rsidRPr="000839A4">
        <w:rPr>
          <w:szCs w:val="24"/>
        </w:rPr>
        <w:t xml:space="preserve">nebo daňové </w:t>
      </w:r>
      <w:proofErr w:type="gramStart"/>
      <w:r w:rsidRPr="000839A4">
        <w:rPr>
          <w:szCs w:val="24"/>
        </w:rPr>
        <w:t>zvýhodnění a nebo nezdanitelnou</w:t>
      </w:r>
      <w:proofErr w:type="gramEnd"/>
      <w:r w:rsidRPr="000839A4">
        <w:rPr>
          <w:szCs w:val="24"/>
        </w:rPr>
        <w:t xml:space="preserve"> část základu daně. Daňové přiznání je také povinen podat poplatník, kterému byly vyplaceny nebo který jiným způsobem obdržel příjmy ze závislé činnosti za uplynulá léta, které se nepovažovaly podle § 5 odst. 4 za jeho příjmy ve zdaňovacím období, kdy byly zúčtovány plátcem daně v jeho prospěch, a dále poplatník s příjmy ze závislé činnosti, který uplatňuje pro snížení základu daně hodnotu bezúplatného plnění poskytnutého do zahraničí za podmínek uvedených v § 15 odst. 1.</w:t>
      </w:r>
    </w:p>
    <w:p w14:paraId="7F923B02" w14:textId="77777777" w:rsidR="000839A4" w:rsidRPr="000839A4" w:rsidRDefault="000839A4" w:rsidP="000839A4">
      <w:pPr>
        <w:tabs>
          <w:tab w:val="left" w:pos="782"/>
          <w:tab w:val="left" w:pos="851"/>
        </w:tabs>
        <w:spacing w:before="120" w:after="120"/>
        <w:outlineLvl w:val="6"/>
        <w:rPr>
          <w:szCs w:val="24"/>
        </w:rPr>
      </w:pPr>
      <w:r w:rsidRPr="000839A4">
        <w:rPr>
          <w:szCs w:val="24"/>
        </w:rPr>
        <w:t>(3) V daňovém přiznání poplatník uvede veškeré příjmy, které jsou předmětem daně, kromě příjmů od daně osvobozených, příjmů, z nichž je daň vybírána zvláštní sazbou daně, pokud nevyužije postup podle § 36 odst. 6 nebo 7. V daňovém přiznání poplatník rovněž uvede částku slevy na dani a daňového zvýhodnění podle § 35c a 35d. Jsou-li součástí zdanitelných příjmů též příjmy ze závislé činnosti, doloží je poplatník daně dokladem vystaveným podle § 38j odst. 3.</w:t>
      </w:r>
    </w:p>
    <w:p w14:paraId="27EEB689" w14:textId="77777777" w:rsidR="000839A4" w:rsidRPr="000839A4" w:rsidRDefault="000839A4" w:rsidP="000839A4">
      <w:pPr>
        <w:tabs>
          <w:tab w:val="left" w:pos="782"/>
          <w:tab w:val="left" w:pos="851"/>
        </w:tabs>
        <w:spacing w:before="120" w:after="120"/>
        <w:outlineLvl w:val="6"/>
        <w:rPr>
          <w:szCs w:val="24"/>
        </w:rPr>
      </w:pPr>
      <w:r w:rsidRPr="000839A4">
        <w:rPr>
          <w:szCs w:val="24"/>
        </w:rPr>
        <w:t>(4) Daňové přiznání je povinen podat také poplatník, jehož plátce daně oznámil dlužnou částku na dani nebo neoprávněně vyplacenou částku na daňovém bonusu vzniklou zaviněním poplatníka správci daně a předal doklady potřebné k vybrání vzniklého rozdílu podle § 38i odst. 5 písm. b).</w:t>
      </w:r>
    </w:p>
    <w:p w14:paraId="0BDD7486" w14:textId="77777777" w:rsidR="000839A4" w:rsidRPr="000839A4" w:rsidRDefault="000839A4" w:rsidP="000839A4">
      <w:pPr>
        <w:tabs>
          <w:tab w:val="left" w:pos="782"/>
          <w:tab w:val="left" w:pos="851"/>
        </w:tabs>
        <w:spacing w:before="120" w:after="120"/>
        <w:outlineLvl w:val="6"/>
        <w:rPr>
          <w:szCs w:val="24"/>
        </w:rPr>
      </w:pPr>
      <w:r w:rsidRPr="000839A4">
        <w:rPr>
          <w:szCs w:val="24"/>
        </w:rPr>
        <w:lastRenderedPageBreak/>
        <w:t>(5) Daňové přiznání je povinen podat poplatník, kterému v rámci navrácení daňové podpory produktu spoření na stáří vznikl příjem podle § 6.</w:t>
      </w:r>
    </w:p>
    <w:p w14:paraId="49CBE87C" w14:textId="77777777" w:rsidR="000839A4" w:rsidRPr="000839A4" w:rsidRDefault="000839A4" w:rsidP="000839A4">
      <w:pPr>
        <w:keepNext/>
        <w:ind w:firstLine="0"/>
        <w:jc w:val="center"/>
        <w:rPr>
          <w:szCs w:val="24"/>
        </w:rPr>
      </w:pPr>
      <w:r w:rsidRPr="000839A4">
        <w:rPr>
          <w:szCs w:val="24"/>
        </w:rPr>
        <w:t>§ 38ga</w:t>
      </w:r>
    </w:p>
    <w:p w14:paraId="2EA2B28B" w14:textId="77777777" w:rsidR="000839A4" w:rsidRPr="000839A4" w:rsidRDefault="000839A4" w:rsidP="000839A4">
      <w:pPr>
        <w:keepNext/>
        <w:ind w:firstLine="0"/>
        <w:jc w:val="center"/>
        <w:rPr>
          <w:b/>
          <w:szCs w:val="24"/>
        </w:rPr>
      </w:pPr>
      <w:r w:rsidRPr="000839A4">
        <w:rPr>
          <w:b/>
          <w:szCs w:val="24"/>
        </w:rPr>
        <w:t>Daňové přiznání podávané osobou spravující pozůstalost</w:t>
      </w:r>
    </w:p>
    <w:p w14:paraId="32A83BA4" w14:textId="77777777" w:rsidR="000839A4" w:rsidRPr="000839A4" w:rsidRDefault="000839A4" w:rsidP="000839A4">
      <w:pPr>
        <w:tabs>
          <w:tab w:val="left" w:pos="782"/>
          <w:tab w:val="left" w:pos="851"/>
        </w:tabs>
        <w:spacing w:before="120" w:after="120"/>
        <w:outlineLvl w:val="6"/>
        <w:rPr>
          <w:szCs w:val="24"/>
        </w:rPr>
      </w:pPr>
      <w:r w:rsidRPr="000839A4">
        <w:rPr>
          <w:szCs w:val="24"/>
        </w:rPr>
        <w:t>Podává-li osoba spravující pozůstalost daňové tvrzení týkající se daňové povinnosti zůstavitele vzniklé ode dne jeho smrti do dne předcházejícího dni skončení řízení o pozůstalosti, neuplatní</w:t>
      </w:r>
    </w:p>
    <w:p w14:paraId="7B04BE71"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nezdanitelnou část základu daně,</w:t>
      </w:r>
    </w:p>
    <w:p w14:paraId="000AFA47"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slevu na dani, s výjimkou slevy na dani podle § 35,</w:t>
      </w:r>
    </w:p>
    <w:p w14:paraId="403027C5" w14:textId="77777777" w:rsidR="000839A4" w:rsidRPr="000839A4" w:rsidRDefault="000839A4" w:rsidP="000839A4">
      <w:pPr>
        <w:tabs>
          <w:tab w:val="left" w:pos="357"/>
        </w:tabs>
        <w:spacing w:before="0"/>
        <w:ind w:left="357" w:hanging="357"/>
        <w:rPr>
          <w:szCs w:val="24"/>
        </w:rPr>
      </w:pPr>
      <w:r w:rsidRPr="000839A4">
        <w:rPr>
          <w:szCs w:val="24"/>
        </w:rPr>
        <w:t>c)</w:t>
      </w:r>
      <w:r w:rsidRPr="000839A4">
        <w:rPr>
          <w:szCs w:val="24"/>
        </w:rPr>
        <w:tab/>
        <w:t>daňové zvýhodnění.</w:t>
      </w:r>
    </w:p>
    <w:p w14:paraId="12729054" w14:textId="77777777" w:rsidR="000839A4" w:rsidRPr="000839A4" w:rsidRDefault="000839A4" w:rsidP="000839A4">
      <w:pPr>
        <w:keepNext/>
        <w:ind w:firstLine="0"/>
        <w:jc w:val="center"/>
        <w:rPr>
          <w:szCs w:val="24"/>
        </w:rPr>
      </w:pPr>
      <w:r w:rsidRPr="000839A4">
        <w:rPr>
          <w:szCs w:val="24"/>
        </w:rPr>
        <w:t>§ 38gb</w:t>
      </w:r>
    </w:p>
    <w:p w14:paraId="5017ACDF" w14:textId="77777777" w:rsidR="000839A4" w:rsidRPr="000839A4" w:rsidRDefault="000839A4" w:rsidP="000839A4">
      <w:pPr>
        <w:keepNext/>
        <w:ind w:firstLine="0"/>
        <w:jc w:val="center"/>
        <w:rPr>
          <w:b/>
          <w:szCs w:val="24"/>
        </w:rPr>
      </w:pPr>
      <w:r w:rsidRPr="000839A4">
        <w:rPr>
          <w:b/>
          <w:szCs w:val="24"/>
        </w:rPr>
        <w:t>Daňové přiznání v insolvenčním řízení</w:t>
      </w:r>
    </w:p>
    <w:p w14:paraId="374FD65B" w14:textId="77777777" w:rsidR="000839A4" w:rsidRPr="000839A4" w:rsidRDefault="000839A4" w:rsidP="000839A4">
      <w:pPr>
        <w:tabs>
          <w:tab w:val="left" w:pos="782"/>
          <w:tab w:val="left" w:pos="851"/>
        </w:tabs>
        <w:spacing w:before="120" w:after="120"/>
        <w:outlineLvl w:val="6"/>
        <w:rPr>
          <w:szCs w:val="24"/>
        </w:rPr>
      </w:pPr>
      <w:r w:rsidRPr="000839A4">
        <w:rPr>
          <w:szCs w:val="24"/>
        </w:rPr>
        <w:t>(1) Poplatník, který je fyzickou osobou, s výjimkou poplatníka s příjmy pouze podle § 6, který podává daňové přiznání v průběhu zdaňovacího období z důvodu insolvenčního řízení, neuplatní nezdanitelné části základu daně, položky odčitatelné od základu daně, slevy na dani s výjimkou slevy podle § 35ba odst. 1 písm. a) ve výši jedné dvanáctiny za každý započatý měsíc té části zdaňovacího období, za kterou se podává daňové přiznání. Dále neuplatní daňové zvýhodnění s výjimkou slevy na dani podle § 35c odst. 1 ve výši jedné dvanáctiny za každý započatý měsíc té části zdaňovacího období, za kterou se podává daňové přiznání. Při stanovení základu daně se vychází z rozdílu mezi příjmy a výdaji</w:t>
      </w:r>
      <w:r w:rsidRPr="000839A4">
        <w:rPr>
          <w:strike/>
          <w:szCs w:val="24"/>
        </w:rPr>
        <w:t>, u poplatníka vedoucího účetnictví z výsledku hospodaření,</w:t>
      </w:r>
      <w:r w:rsidRPr="000839A4">
        <w:rPr>
          <w:szCs w:val="24"/>
        </w:rPr>
        <w:t xml:space="preserve"> za tu část zdaňovacího období, za kterou se podává daňové přiznání.</w:t>
      </w:r>
    </w:p>
    <w:p w14:paraId="0CDF37C1" w14:textId="77777777" w:rsidR="000839A4" w:rsidRPr="000839A4" w:rsidRDefault="000839A4" w:rsidP="000839A4">
      <w:pPr>
        <w:tabs>
          <w:tab w:val="left" w:pos="782"/>
          <w:tab w:val="left" w:pos="851"/>
        </w:tabs>
        <w:spacing w:before="120" w:after="120"/>
        <w:outlineLvl w:val="6"/>
        <w:rPr>
          <w:szCs w:val="24"/>
        </w:rPr>
      </w:pPr>
      <w:r w:rsidRPr="000839A4">
        <w:rPr>
          <w:szCs w:val="24"/>
        </w:rPr>
        <w:t>(2) Nezdanitelné části základu daně, položky odčitatelné od základu daně, slevy na dani a daňové zvýhodnění poplatník uplatní v daňovém přiznání za uplynulé zdaňovací období, ve kterém se vychází z rozdílu mezi příjmy (výnosy) a výdaji (náklady) za celé zdaňovací období, nebo se uplatní v daňovém přiznání podávaném osobou spravující pozůstalost za část zdaňovacího období, která uplynula přede dnem smrti poplatníka. Daň vyměřená na základě podání daňového přiznání podle odstavce 1 se považuje za zálohu na daň po vyměření daně podle daňového přiznání podaného po uplynutí zdaňovacího období nebo podaného osobou spravující pozůstalost za část zdaňovacího období, která uplynula přede dnem smrti.</w:t>
      </w:r>
    </w:p>
    <w:p w14:paraId="6A6AA0A8" w14:textId="77777777" w:rsidR="000839A4" w:rsidRPr="000839A4" w:rsidRDefault="000839A4" w:rsidP="000839A4">
      <w:pPr>
        <w:keepNext/>
        <w:ind w:firstLine="0"/>
        <w:jc w:val="center"/>
        <w:rPr>
          <w:szCs w:val="24"/>
        </w:rPr>
      </w:pPr>
      <w:r w:rsidRPr="000839A4">
        <w:rPr>
          <w:szCs w:val="24"/>
        </w:rPr>
        <w:t>§ 38h</w:t>
      </w:r>
    </w:p>
    <w:p w14:paraId="17A23A0E" w14:textId="77777777" w:rsidR="000839A4" w:rsidRPr="000839A4" w:rsidRDefault="000839A4" w:rsidP="000839A4">
      <w:pPr>
        <w:keepNext/>
        <w:ind w:firstLine="0"/>
        <w:jc w:val="center"/>
        <w:rPr>
          <w:b/>
          <w:szCs w:val="24"/>
        </w:rPr>
      </w:pPr>
      <w:r w:rsidRPr="000839A4">
        <w:rPr>
          <w:b/>
          <w:szCs w:val="24"/>
        </w:rPr>
        <w:t>Vybírání a placení záloh na daň a daně z příjmů fyzických osob ze závislé činnosti</w:t>
      </w:r>
    </w:p>
    <w:p w14:paraId="4599E993" w14:textId="77777777" w:rsidR="000839A4" w:rsidRPr="000839A4" w:rsidRDefault="000839A4" w:rsidP="000839A4">
      <w:pPr>
        <w:tabs>
          <w:tab w:val="left" w:pos="782"/>
          <w:tab w:val="left" w:pos="851"/>
        </w:tabs>
        <w:spacing w:before="120" w:after="120"/>
        <w:outlineLvl w:val="6"/>
        <w:rPr>
          <w:szCs w:val="24"/>
        </w:rPr>
      </w:pPr>
      <w:r w:rsidRPr="000839A4">
        <w:rPr>
          <w:szCs w:val="24"/>
        </w:rPr>
        <w:t xml:space="preserve">(1) Plátce daně vypočte zálohu na daň z příjmů fyzických osob ze závislé činnosti (dále jen „záloha“) ze základu pro výpočet zálohy. Tato záloha se spravuje jako daň podle daňového řádu. Základem pro výpočet zálohy je úhrn příjmů ze závislé činnosti zúčtovaných nebo vyplacených poplatníkovi za kalendářní měsíc nebo za zdaňovací období, s výjimkou příjmu, který není předmětem daně, který je od daně osvobozen nebo z něhož je daň vybírána srážkou podle zvláštní sazby daně. Základ pro výpočet zálohy do 100 Kč se zaokrouhlí na celé koruny nahoru a nad 100 Kč na celé stokoruny nahoru. </w:t>
      </w:r>
    </w:p>
    <w:p w14:paraId="3CA298F9" w14:textId="77777777" w:rsidR="000839A4" w:rsidRPr="000839A4" w:rsidRDefault="000839A4" w:rsidP="000839A4">
      <w:pPr>
        <w:tabs>
          <w:tab w:val="left" w:pos="782"/>
          <w:tab w:val="left" w:pos="851"/>
        </w:tabs>
        <w:spacing w:before="120" w:after="120"/>
        <w:outlineLvl w:val="6"/>
        <w:rPr>
          <w:szCs w:val="24"/>
        </w:rPr>
      </w:pPr>
      <w:r w:rsidRPr="000839A4">
        <w:rPr>
          <w:szCs w:val="24"/>
        </w:rPr>
        <w:t xml:space="preserve">(2) Sazba zálohy činí 15 % pro část základu pro výpočet zálohy do 3násobku průměrné mzdy a 23 % pro část základu pro výpočet zálohy přesahující 3násobek průměrné mzdy. Záloha </w:t>
      </w:r>
      <w:r w:rsidRPr="000839A4">
        <w:rPr>
          <w:szCs w:val="24"/>
        </w:rPr>
        <w:lastRenderedPageBreak/>
        <w:t>se vypočte jako součet součinů příslušné části základu pro výpočet zálohy a sazby zálohy pro tuto část základu pro výpočet zálohy.</w:t>
      </w:r>
    </w:p>
    <w:p w14:paraId="44D369DD" w14:textId="77777777" w:rsidR="000839A4" w:rsidRPr="000839A4" w:rsidRDefault="000839A4" w:rsidP="000839A4">
      <w:pPr>
        <w:tabs>
          <w:tab w:val="left" w:pos="782"/>
          <w:tab w:val="left" w:pos="851"/>
        </w:tabs>
        <w:spacing w:before="120" w:after="120"/>
        <w:outlineLvl w:val="6"/>
        <w:rPr>
          <w:szCs w:val="24"/>
        </w:rPr>
      </w:pPr>
      <w:r w:rsidRPr="000839A4">
        <w:rPr>
          <w:szCs w:val="24"/>
        </w:rPr>
        <w:t xml:space="preserve"> (3) Zálohy vypočtené podle odstavce 2 se zaokrouhlují na celé koruny nahoru.</w:t>
      </w:r>
    </w:p>
    <w:p w14:paraId="7D912237" w14:textId="77777777" w:rsidR="000839A4" w:rsidRPr="000839A4" w:rsidRDefault="000839A4" w:rsidP="000839A4">
      <w:pPr>
        <w:tabs>
          <w:tab w:val="left" w:pos="782"/>
          <w:tab w:val="left" w:pos="851"/>
        </w:tabs>
        <w:spacing w:before="120" w:after="120"/>
        <w:outlineLvl w:val="6"/>
        <w:rPr>
          <w:szCs w:val="24"/>
        </w:rPr>
      </w:pPr>
      <w:r w:rsidRPr="000839A4">
        <w:rPr>
          <w:szCs w:val="24"/>
        </w:rPr>
        <w:t>(4) Vypočtenou zálohu plátce daně, u kterého poplatník učinil na příslušné zdaňovací období prohlášení podle § 38k odst. 4, nejprve sníží o prokázanou částku měsíční slevy na dani podle § 35ba a následně o prokázanou částku měsíčního daňového zvýhodnění (dále jen „záloha po slevě“).</w:t>
      </w:r>
    </w:p>
    <w:p w14:paraId="43DA9D81" w14:textId="77777777" w:rsidR="000839A4" w:rsidRPr="000839A4" w:rsidRDefault="000839A4" w:rsidP="000839A4">
      <w:pPr>
        <w:tabs>
          <w:tab w:val="left" w:pos="782"/>
          <w:tab w:val="left" w:pos="851"/>
        </w:tabs>
        <w:spacing w:before="120" w:after="120"/>
        <w:outlineLvl w:val="6"/>
        <w:rPr>
          <w:szCs w:val="24"/>
        </w:rPr>
      </w:pPr>
      <w:r w:rsidRPr="000839A4">
        <w:rPr>
          <w:szCs w:val="24"/>
        </w:rPr>
        <w:t>(5) Plátce daně, u kterého poplatník neučinil na příslušné zdaňovací období prohlášení k dani podle § 38k odst. 4, vypočte zálohu podle odstavců 2 a 3, pokud nejde o příjmy zdaněné daní vybíranou srážkou sazbou daně podle § 36 odst. 2 nebo § 36 odst. 1 písm. a). U poplatníka, který u plátce neučinil prohlášení k dani podle § 38k odst. 4, se při výpočtu zálohy nepřihlédne k měsíční slevě na dani podle § 35ba a k měsíčnímu daňovému zvýhodnění.</w:t>
      </w:r>
    </w:p>
    <w:p w14:paraId="34D92BB7" w14:textId="77777777" w:rsidR="000839A4" w:rsidRPr="000839A4" w:rsidRDefault="000839A4" w:rsidP="000839A4">
      <w:pPr>
        <w:tabs>
          <w:tab w:val="left" w:pos="782"/>
          <w:tab w:val="left" w:pos="851"/>
        </w:tabs>
        <w:spacing w:before="120" w:after="120"/>
        <w:outlineLvl w:val="6"/>
        <w:rPr>
          <w:szCs w:val="24"/>
        </w:rPr>
      </w:pPr>
      <w:r w:rsidRPr="000839A4">
        <w:rPr>
          <w:szCs w:val="24"/>
        </w:rPr>
        <w:t>(6) K prokázaným nezdanitelným částkám ze základu daně podle § 15 a ke slevě na dani podle § 35 odst. 4 a § 35ba odst. 1 písm. b) přihlédne plátce daně za podmínek stanovených v § 38k odst. 5 až při ročním zúčtování záloh a daňového zvýhodnění za zdaňovací období.</w:t>
      </w:r>
    </w:p>
    <w:p w14:paraId="0A6EDAC2" w14:textId="77777777" w:rsidR="000839A4" w:rsidRPr="000839A4" w:rsidRDefault="000839A4" w:rsidP="000839A4">
      <w:pPr>
        <w:tabs>
          <w:tab w:val="left" w:pos="782"/>
          <w:tab w:val="left" w:pos="851"/>
        </w:tabs>
        <w:spacing w:before="120" w:after="120"/>
        <w:outlineLvl w:val="6"/>
        <w:rPr>
          <w:szCs w:val="24"/>
        </w:rPr>
      </w:pPr>
      <w:r w:rsidRPr="000839A4">
        <w:rPr>
          <w:szCs w:val="24"/>
        </w:rPr>
        <w:t>(7) Plátce daně je povinen srazit zálohu při výplatě nebo připsání příjmů ze závislé činnosti (dále jen „mzda“) poplatníkovi k dobru bez ohledu na to, za kterou dobu se mzda vyplácí. Provádí-li plátce zúčtování mezd měsíčně nebo pravidelně za delší časové období, je povinen srazit zálohu při zúčtování mzdy. Mzdy plynoucí do konce ledna za uplynulé zdaňovací období se zahrnují do základu pro výpočet zálohy v tomto období.</w:t>
      </w:r>
    </w:p>
    <w:p w14:paraId="59CAFEB2" w14:textId="77777777" w:rsidR="000839A4" w:rsidRPr="000839A4" w:rsidRDefault="000839A4" w:rsidP="000839A4">
      <w:pPr>
        <w:tabs>
          <w:tab w:val="left" w:pos="782"/>
          <w:tab w:val="left" w:pos="851"/>
        </w:tabs>
        <w:spacing w:before="120" w:after="120"/>
        <w:outlineLvl w:val="6"/>
        <w:rPr>
          <w:szCs w:val="24"/>
        </w:rPr>
      </w:pPr>
      <w:r w:rsidRPr="000839A4">
        <w:rPr>
          <w:szCs w:val="24"/>
        </w:rPr>
        <w:t>(8) Plátce daně, který vyplácí ve zdaňovacím období poplatníkovi mzdu najednou za více kalendářních měsíců téhož zdaňovacího období, vypočte zálohu tak, jako by byla vyplacena v jednotlivých měsících, je-li tento způsob výpočtu zálohy pro poplatníka výhodnější a neuplatnil-li poplatník ve zdaňovacím období u plátce daně dosud měsíční daňové zvýhodnění podle § 35d odst. 2. Při použití tohoto způsobu nelze použít zdanění podle § 6 odst. 4.</w:t>
      </w:r>
    </w:p>
    <w:p w14:paraId="5B99D1AC" w14:textId="77777777" w:rsidR="000839A4" w:rsidRPr="000839A4" w:rsidRDefault="000839A4" w:rsidP="000839A4">
      <w:pPr>
        <w:tabs>
          <w:tab w:val="left" w:pos="782"/>
          <w:tab w:val="left" w:pos="851"/>
        </w:tabs>
        <w:spacing w:before="120" w:after="120"/>
        <w:outlineLvl w:val="6"/>
        <w:rPr>
          <w:szCs w:val="24"/>
        </w:rPr>
      </w:pPr>
      <w:r w:rsidRPr="000839A4">
        <w:rPr>
          <w:szCs w:val="24"/>
        </w:rPr>
        <w:t>(9) Nepožádá-li poplatník o roční zúčtování záloh a daňového zvýhodnění, je sraženými zálohami ze mzdy jeho daňová povinnost splněna, pokud není povinen podat přiznání podle § 38g.</w:t>
      </w:r>
    </w:p>
    <w:p w14:paraId="370D999D" w14:textId="77777777" w:rsidR="000839A4" w:rsidRPr="000839A4" w:rsidRDefault="000839A4" w:rsidP="000839A4">
      <w:pPr>
        <w:tabs>
          <w:tab w:val="left" w:pos="782"/>
          <w:tab w:val="left" w:pos="851"/>
        </w:tabs>
        <w:spacing w:before="120" w:after="120"/>
        <w:outlineLvl w:val="6"/>
        <w:rPr>
          <w:szCs w:val="24"/>
        </w:rPr>
      </w:pPr>
      <w:r w:rsidRPr="000839A4">
        <w:rPr>
          <w:szCs w:val="24"/>
        </w:rPr>
        <w:t>(10) Plátce daně je povinen odvést úhrn sražených záloh nebo úhrn částek, které měly být jako zálohy na daň sraženy, nejpozději do 20. dne kalendářního měsíce, v němž povinnost srazit zálohy vznikla. Z příjmů vyplacených poplatníkovi prostřednictvím osoby se sídlem nebo bydlištěm v zahraničí (§ 6 odst. 2) s výjimkou osoby se sídlem nebo bydlištěm v jiném členském státě Evropské unie nebo státě tvořícím Evropský hospodářský prostor, která má na území České republiky organizační složku, jejímž předmětem činnosti je zprostředkování zaměstnání na základě povolení podle zákona upravujícího zaměstnanost, je povinen plátce daně odvést úhrn částek, které měly být jako zálohy na daň sraženy, nejpozději do 20. dne po uplynutí kalendářního měsíce, v němž o dluhu účtuje v souladu s platnými účetními předpisy. Správce daně může stanovit lhůtu pro odvod záloh jinak, lhůta však nesmí přesáhnout poslední den kalendářního měsíce, v němž povinnost srazit zálohy vznikla.</w:t>
      </w:r>
    </w:p>
    <w:p w14:paraId="1FCAE59E" w14:textId="77777777" w:rsidR="000839A4" w:rsidRPr="000839A4" w:rsidRDefault="000839A4" w:rsidP="000839A4">
      <w:pPr>
        <w:tabs>
          <w:tab w:val="left" w:pos="782"/>
          <w:tab w:val="left" w:pos="851"/>
        </w:tabs>
        <w:spacing w:before="120" w:after="120"/>
        <w:outlineLvl w:val="6"/>
        <w:rPr>
          <w:szCs w:val="24"/>
        </w:rPr>
      </w:pPr>
      <w:r w:rsidRPr="000839A4">
        <w:rPr>
          <w:szCs w:val="24"/>
        </w:rPr>
        <w:t>(11) Plátce nemá povinnost srážet zálohy na daň podle předchozích odstavců v případě, že mzda jde k tíži stálé provozovny poplatníka uvedeného v § 2 odst. 2 a v § 17 odst. 3 umístěné v zahraničí.</w:t>
      </w:r>
    </w:p>
    <w:p w14:paraId="45D7A01C" w14:textId="77777777" w:rsidR="000839A4" w:rsidRPr="000839A4" w:rsidRDefault="000839A4" w:rsidP="000839A4">
      <w:pPr>
        <w:tabs>
          <w:tab w:val="left" w:pos="782"/>
          <w:tab w:val="left" w:pos="851"/>
        </w:tabs>
        <w:spacing w:before="120" w:after="120"/>
        <w:outlineLvl w:val="6"/>
        <w:rPr>
          <w:szCs w:val="24"/>
        </w:rPr>
      </w:pPr>
      <w:r w:rsidRPr="000839A4">
        <w:rPr>
          <w:szCs w:val="24"/>
        </w:rPr>
        <w:t>(12) Správce daně může na žádost plátce zrušit povinnost srážet zálohy na daň podle předchozích odstavců z příjmů ze závislé činnosti vykonávané v zahraničí.</w:t>
      </w:r>
    </w:p>
    <w:p w14:paraId="7C263779" w14:textId="77777777" w:rsidR="000839A4" w:rsidRPr="000839A4" w:rsidRDefault="000839A4" w:rsidP="000839A4">
      <w:pPr>
        <w:tabs>
          <w:tab w:val="left" w:pos="782"/>
          <w:tab w:val="left" w:pos="851"/>
        </w:tabs>
        <w:spacing w:before="120" w:after="120"/>
        <w:outlineLvl w:val="6"/>
        <w:rPr>
          <w:szCs w:val="24"/>
        </w:rPr>
      </w:pPr>
      <w:r w:rsidRPr="000839A4">
        <w:rPr>
          <w:szCs w:val="24"/>
        </w:rPr>
        <w:lastRenderedPageBreak/>
        <w:t>(13) U poplatníka uvedeného v § 2 odst. 3 se při stanovení záloh nepřihlédne ke slevě na dani podle § 35ba odst. 1 písm. b) až e) ani k daňovému zvýhodnění.</w:t>
      </w:r>
    </w:p>
    <w:p w14:paraId="612B0CF9" w14:textId="77777777" w:rsidR="000839A4" w:rsidRPr="000839A4" w:rsidRDefault="000839A4" w:rsidP="000839A4">
      <w:pPr>
        <w:keepNext/>
        <w:ind w:firstLine="0"/>
        <w:jc w:val="center"/>
        <w:rPr>
          <w:szCs w:val="24"/>
        </w:rPr>
      </w:pPr>
      <w:r w:rsidRPr="000839A4">
        <w:rPr>
          <w:szCs w:val="24"/>
        </w:rPr>
        <w:t>§ 38ch</w:t>
      </w:r>
    </w:p>
    <w:p w14:paraId="4B9D9B93" w14:textId="77777777" w:rsidR="000839A4" w:rsidRPr="000839A4" w:rsidRDefault="000839A4" w:rsidP="000839A4">
      <w:pPr>
        <w:keepNext/>
        <w:ind w:firstLine="0"/>
        <w:jc w:val="center"/>
        <w:rPr>
          <w:b/>
          <w:szCs w:val="24"/>
        </w:rPr>
      </w:pPr>
      <w:r w:rsidRPr="000839A4">
        <w:rPr>
          <w:b/>
          <w:szCs w:val="24"/>
        </w:rPr>
        <w:t>Roční zúčtování záloh na daň z příjmů fyzických osob ze závislé činnosti a daňového zvýhodnění</w:t>
      </w:r>
    </w:p>
    <w:p w14:paraId="78663E8D" w14:textId="77777777" w:rsidR="000839A4" w:rsidRPr="000839A4" w:rsidRDefault="000839A4" w:rsidP="000839A4">
      <w:pPr>
        <w:tabs>
          <w:tab w:val="left" w:pos="782"/>
          <w:tab w:val="left" w:pos="851"/>
        </w:tabs>
        <w:spacing w:before="120" w:after="120"/>
        <w:outlineLvl w:val="6"/>
        <w:rPr>
          <w:szCs w:val="24"/>
        </w:rPr>
      </w:pPr>
      <w:r w:rsidRPr="000839A4">
        <w:rPr>
          <w:szCs w:val="24"/>
        </w:rPr>
        <w:t>(1) Poplatník, který ve zdaňovacím období pobíral mzdu pouze od jednoho nebo od více plátců daně postupně včetně mezd zúčtovaných nebo vyplacených poplatníkovi těmito plátci dodatečně v době, kdy poplatník pro ně již nevykonával činnost, ze které plyne příjem ze závislé činnosti, a učinil u těchto plátců prohlášení k dani podle § 38k odst. 4 a 5, může požádat o provedení ročního zúčtování záloh a daňového zvýhodnění posledního z uvedených plátců daně, a to nejpozději do 15. února po uplynutí zdaňovacího období. Roční zúčtování záloh a daňového zvýhodnění neprovede plátce u poplatníka, který podá nebo je povinen podat přiznání k dani.</w:t>
      </w:r>
    </w:p>
    <w:p w14:paraId="057A937F" w14:textId="77777777" w:rsidR="000839A4" w:rsidRPr="000839A4" w:rsidRDefault="000839A4" w:rsidP="000839A4">
      <w:pPr>
        <w:tabs>
          <w:tab w:val="left" w:pos="782"/>
          <w:tab w:val="left" w:pos="851"/>
        </w:tabs>
        <w:spacing w:before="120" w:after="120"/>
        <w:outlineLvl w:val="6"/>
        <w:rPr>
          <w:szCs w:val="24"/>
        </w:rPr>
      </w:pPr>
      <w:r w:rsidRPr="000839A4">
        <w:rPr>
          <w:szCs w:val="24"/>
        </w:rPr>
        <w:t>(2) Dojde-li k zániku plátce daně bez právního nástupce, může poplatník požádat o roční zúčtování záloh a daňového zvýhodnění místně příslušného správce daně nejpozději do 15. února po uplynutí zdaňovacího období.</w:t>
      </w:r>
    </w:p>
    <w:p w14:paraId="4A7934BF" w14:textId="77777777" w:rsidR="000839A4" w:rsidRPr="000839A4" w:rsidRDefault="000839A4" w:rsidP="000839A4">
      <w:pPr>
        <w:tabs>
          <w:tab w:val="left" w:pos="782"/>
          <w:tab w:val="left" w:pos="851"/>
        </w:tabs>
        <w:spacing w:before="120" w:after="120"/>
        <w:outlineLvl w:val="6"/>
        <w:rPr>
          <w:szCs w:val="24"/>
        </w:rPr>
      </w:pPr>
      <w:r w:rsidRPr="000839A4">
        <w:rPr>
          <w:szCs w:val="24"/>
        </w:rPr>
        <w:t>(3) Plátce daně provede roční zúčtování záloh a daňového zvýhodnění jen na základě dokladů za uplynulé zdaňovací období od všech předchozích plátců daně o zúčtované nebo vyplacené mzdě, sražených zálohách na daň z těchto příjmů, poskytnuté měsíční slevě na dani podle § 35ba a 35c a vyplacených měsíčních daňových bonusech. Plátce daně roční zúčtování záloh a daňového zvýhodnění neprovede, pokud poplatník tyto doklady nepředloží plátci daně do 15. února po uplynutí zdaňovacího období.</w:t>
      </w:r>
    </w:p>
    <w:p w14:paraId="26E95369" w14:textId="77777777" w:rsidR="000839A4" w:rsidRPr="000839A4" w:rsidRDefault="000839A4" w:rsidP="000839A4">
      <w:pPr>
        <w:tabs>
          <w:tab w:val="left" w:pos="782"/>
          <w:tab w:val="left" w:pos="851"/>
        </w:tabs>
        <w:spacing w:before="120" w:after="120"/>
        <w:outlineLvl w:val="6"/>
        <w:rPr>
          <w:szCs w:val="24"/>
        </w:rPr>
      </w:pPr>
      <w:r w:rsidRPr="000839A4">
        <w:rPr>
          <w:szCs w:val="24"/>
        </w:rPr>
        <w:t>(4) Výpočet daně a roční zúčtování záloh a daňového zvýhodnění provede plátce daně nejpozději do 31. března po uplynutí zdaňovacího období z úhrnu mezd zúčtovaných nebo vyplacených poplatníkovi všemi plátci postupně, a to včetně mezd zúčtovaných nebo vyplacených poplatníkovi těmito plátci dodatečně v době, kdy poplatník pro ně již nevykonával činnost, ze které plyne příjem ze závislé činnosti. U poplatníka, který uplatňuje daňové zvýhodnění, provede plátce daně výpočet daně a roční zúčtování záloh a daňového zvýhodnění za podmínek stanovených v § 35d odst. 6 až 9.</w:t>
      </w:r>
    </w:p>
    <w:p w14:paraId="6031BCAF" w14:textId="77777777" w:rsidR="000839A4" w:rsidRPr="000839A4" w:rsidRDefault="000839A4" w:rsidP="000839A4">
      <w:pPr>
        <w:tabs>
          <w:tab w:val="left" w:pos="782"/>
          <w:tab w:val="left" w:pos="851"/>
        </w:tabs>
        <w:spacing w:before="120" w:after="120"/>
        <w:outlineLvl w:val="6"/>
        <w:rPr>
          <w:szCs w:val="24"/>
        </w:rPr>
      </w:pPr>
      <w:r w:rsidRPr="000839A4">
        <w:rPr>
          <w:szCs w:val="24"/>
        </w:rPr>
        <w:t>(5) Poplatníkovi, který neuplatňuje daňové zvýhodnění, plátce daně vrátí jako přeplatek z ročního zúčtování záloh kladný rozdíl mezi zálohově sraženou daní a daní sníženou o slevy pro poplatníky daně z příjmů fyzických osob, nejpozději při zúčtování mzdy za březen po uplynutí zdaňovacího období, činí-li úhrnná výše tohoto přeplatku více než 50 Kč. O vrácený přeplatek z ročního zúčtování záloh sníží plátce daně nejbližší odvody záloh správci daně, nejdéle do konce zdaňovacího období, nebo požádá o jejich vrácení správce daně; v takovém případě nakládá správce daně s touto částkou jako s přeplatkem. Případný nedoplatek z ročního zúčtování záloh se poplatníkovi nesráží.</w:t>
      </w:r>
    </w:p>
    <w:p w14:paraId="6F2061BC" w14:textId="77777777" w:rsidR="000839A4" w:rsidRPr="000839A4" w:rsidRDefault="000839A4" w:rsidP="000839A4">
      <w:pPr>
        <w:keepNext/>
        <w:ind w:firstLine="0"/>
        <w:jc w:val="center"/>
        <w:rPr>
          <w:szCs w:val="24"/>
        </w:rPr>
      </w:pPr>
      <w:r w:rsidRPr="000839A4">
        <w:rPr>
          <w:szCs w:val="24"/>
        </w:rPr>
        <w:t>§ 38i</w:t>
      </w:r>
    </w:p>
    <w:p w14:paraId="4852532C" w14:textId="77777777" w:rsidR="000839A4" w:rsidRPr="000839A4" w:rsidRDefault="000839A4" w:rsidP="000839A4">
      <w:pPr>
        <w:keepNext/>
        <w:ind w:firstLine="0"/>
        <w:jc w:val="center"/>
        <w:rPr>
          <w:b/>
          <w:szCs w:val="24"/>
        </w:rPr>
      </w:pPr>
      <w:r w:rsidRPr="000839A4">
        <w:rPr>
          <w:b/>
          <w:szCs w:val="24"/>
        </w:rPr>
        <w:t>Opravy na dani z příjmů ze závislé činnosti vybírané srážkou formou záloh</w:t>
      </w:r>
    </w:p>
    <w:p w14:paraId="194D8BCA" w14:textId="77777777" w:rsidR="000839A4" w:rsidRPr="000839A4" w:rsidRDefault="000839A4" w:rsidP="000839A4">
      <w:pPr>
        <w:tabs>
          <w:tab w:val="left" w:pos="782"/>
          <w:tab w:val="left" w:pos="851"/>
        </w:tabs>
        <w:spacing w:before="120" w:after="120"/>
        <w:outlineLvl w:val="6"/>
        <w:rPr>
          <w:szCs w:val="24"/>
        </w:rPr>
      </w:pPr>
      <w:r w:rsidRPr="000839A4">
        <w:rPr>
          <w:szCs w:val="24"/>
        </w:rPr>
        <w:t xml:space="preserve">(1) Poplatníkovi, kterému byla sražena záloha vyšší, než je stanoveno, nebo kterému byl vyplacen měsíční daňový bonus nižší, než měl být, vrátí plátce daně vzniklý rozdíl, pokud neuplynula lhůta pro podání vyúčtování daně z příjmů ze závislé činnosti za toto zdaňovací </w:t>
      </w:r>
      <w:r w:rsidRPr="000839A4">
        <w:rPr>
          <w:szCs w:val="24"/>
        </w:rPr>
        <w:lastRenderedPageBreak/>
        <w:t>období. O vrácenou částku na záloze nebo o dodatečně vyplacenou částku na měsíčním daňovém bonusu sníží plátce daně nejbližší odvod záloh správci daně.</w:t>
      </w:r>
    </w:p>
    <w:p w14:paraId="4EF87ED4" w14:textId="77777777" w:rsidR="000839A4" w:rsidRPr="000839A4" w:rsidRDefault="000839A4" w:rsidP="000839A4">
      <w:pPr>
        <w:tabs>
          <w:tab w:val="left" w:pos="782"/>
          <w:tab w:val="left" w:pos="851"/>
        </w:tabs>
        <w:spacing w:before="120" w:after="120"/>
        <w:outlineLvl w:val="6"/>
        <w:rPr>
          <w:szCs w:val="24"/>
        </w:rPr>
      </w:pPr>
      <w:r w:rsidRPr="000839A4">
        <w:rPr>
          <w:szCs w:val="24"/>
        </w:rPr>
        <w:t>(2) Poplatníkovi, kterému byla sražena daň vyšší, než je stanoveno, nebo kterému byl vyplacen daňový bonus nižší, než měl být, vrátí plátce daně vzniklý rozdíl, pokud neuplynuly 2 roky od konce lhůty pro podání vyúčtování daně z příjmů ze závislé činnosti za zdaňovací období, v němž rozdíl vznikl. Plátce daně je povinen nejdříve vrátit tento rozdíl a poté může podat dodatečné vyúčtování daně z příjmů ze závislé činnosti. O tento vrácený rozdíl sníží plátce daně nejbližší odvod záloh správci daně. Jinak má poplatník, kterému nebylo provedeno roční zúčtování záloh a daňového zvýhodnění, možnost uplatnit nárok na vzniklý rozdíl v daňovém přiznání.</w:t>
      </w:r>
    </w:p>
    <w:p w14:paraId="2E265891" w14:textId="77777777" w:rsidR="000839A4" w:rsidRPr="000839A4" w:rsidRDefault="000839A4" w:rsidP="000839A4">
      <w:pPr>
        <w:tabs>
          <w:tab w:val="left" w:pos="782"/>
          <w:tab w:val="left" w:pos="851"/>
        </w:tabs>
        <w:spacing w:before="120" w:after="120"/>
        <w:outlineLvl w:val="6"/>
        <w:rPr>
          <w:szCs w:val="24"/>
        </w:rPr>
      </w:pPr>
      <w:r w:rsidRPr="000839A4">
        <w:rPr>
          <w:szCs w:val="24"/>
        </w:rPr>
        <w:t>(3) Poplatníkovi, kterému byla sražena záloha nižší, než je stanoveno, nebo kterému byl vyplacen měsíční daňový bonus vyšší, než měl být, může plátce daně srazit vzniklý rozdíl ze mzdy, pokud neuplynula lhůta pro podání vyúčtování daně z příjmů ze závislé činnosti za toto zdaňovací období. O dodatečně vybranou částku na záloze nebo na měsíčním daňovém bonusu zvýší plátce daně nejbližší odvod záloh správci daně.</w:t>
      </w:r>
    </w:p>
    <w:p w14:paraId="10208C71" w14:textId="77777777" w:rsidR="000839A4" w:rsidRPr="000839A4" w:rsidRDefault="000839A4" w:rsidP="000839A4">
      <w:pPr>
        <w:tabs>
          <w:tab w:val="left" w:pos="782"/>
          <w:tab w:val="left" w:pos="851"/>
        </w:tabs>
        <w:spacing w:before="120" w:after="120"/>
        <w:outlineLvl w:val="6"/>
        <w:rPr>
          <w:szCs w:val="24"/>
        </w:rPr>
      </w:pPr>
      <w:r w:rsidRPr="000839A4">
        <w:rPr>
          <w:szCs w:val="24"/>
        </w:rPr>
        <w:t>(4) Dlužnou částku na dani nebo neoprávněně vyplacenou částku na daňovém bonusu, která vznikla zaviněním plátce daně, může srazit plátce daně ze mzdy poplatníka, pokud neuplynuly 2 roky od konce lhůty pro podání vyúčtování daně z příjmů ze závislé činnosti za zdaňovací období, v němž rozdíl vznikl. U poplatníka, kterému nebylo provedeno roční zúčtování záloh a daňového zvýhodnění, může plátce daně v této lhůtě srazit dlužnou částku na záloze nebo přeplacenou částku na měsíčním daňovém bonusu, a to i v případě, že poplatník podal za toto zdaňovací období daňové přiznání.</w:t>
      </w:r>
    </w:p>
    <w:p w14:paraId="4BB895C1" w14:textId="77777777" w:rsidR="000839A4" w:rsidRPr="000839A4" w:rsidRDefault="000839A4" w:rsidP="000839A4">
      <w:pPr>
        <w:tabs>
          <w:tab w:val="left" w:pos="782"/>
          <w:tab w:val="left" w:pos="851"/>
        </w:tabs>
        <w:spacing w:before="120" w:after="120"/>
        <w:outlineLvl w:val="6"/>
        <w:rPr>
          <w:szCs w:val="24"/>
        </w:rPr>
      </w:pPr>
      <w:r w:rsidRPr="000839A4">
        <w:rPr>
          <w:szCs w:val="24"/>
        </w:rPr>
        <w:t>(5) V případě, kdy dlužná částka na dani nebo neoprávněně vyplacená částka na daňovém bonusu vznikla zaviněním poplatníka, plátce daně</w:t>
      </w:r>
    </w:p>
    <w:p w14:paraId="0355EAA1"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srazí po dohodě s poplatníkem tuto částku ze mzdy poplatníka spolu s úrokem z prodlení, pokud u plátce daně neuplynula lhůta pro stanovení daně, a je povinen tuto částku uhradit, nebo</w:t>
      </w:r>
    </w:p>
    <w:p w14:paraId="1216C9FB"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oznámí tuto skutečnost správci daně do konce měsíce následujícího po měsíci, ve kterém ji zjistil a současně předloží správci daně doklady potřebné k vybrání vzniklého rozdílu; nesplní-li tyto povinnosti, je povinen tuto částku uhradit.</w:t>
      </w:r>
    </w:p>
    <w:p w14:paraId="0F4F4B19" w14:textId="77777777" w:rsidR="000839A4" w:rsidRPr="000839A4" w:rsidRDefault="000839A4" w:rsidP="000839A4">
      <w:pPr>
        <w:tabs>
          <w:tab w:val="left" w:pos="782"/>
          <w:tab w:val="left" w:pos="851"/>
        </w:tabs>
        <w:spacing w:before="120" w:after="120"/>
        <w:outlineLvl w:val="6"/>
        <w:rPr>
          <w:szCs w:val="24"/>
        </w:rPr>
      </w:pPr>
      <w:r w:rsidRPr="000839A4">
        <w:rPr>
          <w:szCs w:val="24"/>
        </w:rPr>
        <w:t>(6) Plátce daně je povinen o podání oznámení podle odstavce 5 písm. b), které učinil u svého správce daně, současně informovat poplatníka.</w:t>
      </w:r>
    </w:p>
    <w:p w14:paraId="7000B84C" w14:textId="77777777" w:rsidR="000839A4" w:rsidRPr="000839A4" w:rsidRDefault="000839A4" w:rsidP="000839A4">
      <w:pPr>
        <w:keepNext/>
        <w:ind w:firstLine="0"/>
        <w:jc w:val="center"/>
        <w:rPr>
          <w:szCs w:val="24"/>
        </w:rPr>
      </w:pPr>
      <w:r w:rsidRPr="000839A4">
        <w:rPr>
          <w:szCs w:val="24"/>
        </w:rPr>
        <w:t>§ 38j</w:t>
      </w:r>
    </w:p>
    <w:p w14:paraId="66AB40FB" w14:textId="77777777" w:rsidR="000839A4" w:rsidRPr="000839A4" w:rsidRDefault="000839A4" w:rsidP="000839A4">
      <w:pPr>
        <w:keepNext/>
        <w:ind w:firstLine="0"/>
        <w:jc w:val="center"/>
        <w:rPr>
          <w:b/>
          <w:szCs w:val="24"/>
        </w:rPr>
      </w:pPr>
      <w:r w:rsidRPr="000839A4">
        <w:rPr>
          <w:b/>
          <w:szCs w:val="24"/>
        </w:rPr>
        <w:t>Povinnosti plátců daně z příjmů fyzických osob ze závislé činnosti</w:t>
      </w:r>
    </w:p>
    <w:p w14:paraId="52E8C34F" w14:textId="77777777" w:rsidR="000839A4" w:rsidRPr="000839A4" w:rsidRDefault="000839A4" w:rsidP="000839A4">
      <w:pPr>
        <w:tabs>
          <w:tab w:val="left" w:pos="782"/>
          <w:tab w:val="left" w:pos="851"/>
        </w:tabs>
        <w:spacing w:before="120" w:after="120"/>
        <w:outlineLvl w:val="6"/>
        <w:rPr>
          <w:szCs w:val="24"/>
        </w:rPr>
      </w:pPr>
      <w:r w:rsidRPr="000839A4">
        <w:rPr>
          <w:szCs w:val="24"/>
        </w:rPr>
        <w:t>(1) Plátci daně jsou povinni vést pro poplatníky, s příjmy podle § 6 mzdové listy, rekapitulaci o sražených zálohách a dani srážené podle zvláštní sazby daně za každý kalendářní měsíc i za celé zdaňovací období.</w:t>
      </w:r>
    </w:p>
    <w:p w14:paraId="46999DA4" w14:textId="77777777" w:rsidR="000839A4" w:rsidRPr="000839A4" w:rsidRDefault="000839A4" w:rsidP="000839A4">
      <w:pPr>
        <w:tabs>
          <w:tab w:val="left" w:pos="782"/>
          <w:tab w:val="left" w:pos="851"/>
        </w:tabs>
        <w:spacing w:before="120" w:after="120"/>
        <w:outlineLvl w:val="6"/>
        <w:rPr>
          <w:szCs w:val="24"/>
        </w:rPr>
      </w:pPr>
      <w:r w:rsidRPr="000839A4">
        <w:rPr>
          <w:szCs w:val="24"/>
        </w:rPr>
        <w:t>(2) Mzdový list musí pro účely daně obsahovat</w:t>
      </w:r>
    </w:p>
    <w:p w14:paraId="0E4184A8"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poplatníkovo jméno, i dřívější,</w:t>
      </w:r>
    </w:p>
    <w:p w14:paraId="028ADFFA"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rodné číslo, a u daňového nerezidenta datum narození, číslo a typ dokladu prokazujícího jeho totožnost a kód státu, který tento doklad vydal, identifikaci pro daňové účely ve státu daňové rezidence a kód státu, jehož je daňovým rezidentem,</w:t>
      </w:r>
    </w:p>
    <w:p w14:paraId="24BF1D1D" w14:textId="77777777" w:rsidR="000839A4" w:rsidRPr="000839A4" w:rsidRDefault="000839A4" w:rsidP="000839A4">
      <w:pPr>
        <w:tabs>
          <w:tab w:val="left" w:pos="357"/>
        </w:tabs>
        <w:spacing w:before="0"/>
        <w:ind w:left="357" w:hanging="357"/>
        <w:rPr>
          <w:szCs w:val="24"/>
        </w:rPr>
      </w:pPr>
      <w:r w:rsidRPr="000839A4">
        <w:rPr>
          <w:szCs w:val="24"/>
        </w:rPr>
        <w:lastRenderedPageBreak/>
        <w:t>c)</w:t>
      </w:r>
      <w:r w:rsidRPr="000839A4">
        <w:rPr>
          <w:szCs w:val="24"/>
        </w:rPr>
        <w:tab/>
        <w:t>bydliště a u poplatníka uvedeného v § 2 odst. 3 bydliště ve státě, jehož je daňovým rezidentem,</w:t>
      </w:r>
    </w:p>
    <w:p w14:paraId="52CCAA38" w14:textId="77777777" w:rsidR="000839A4" w:rsidRPr="000839A4" w:rsidRDefault="000839A4" w:rsidP="000839A4">
      <w:pPr>
        <w:tabs>
          <w:tab w:val="left" w:pos="357"/>
        </w:tabs>
        <w:spacing w:before="0"/>
        <w:ind w:left="357" w:hanging="357"/>
        <w:rPr>
          <w:szCs w:val="24"/>
        </w:rPr>
      </w:pPr>
      <w:r w:rsidRPr="000839A4">
        <w:rPr>
          <w:szCs w:val="24"/>
        </w:rPr>
        <w:t>d)</w:t>
      </w:r>
      <w:r w:rsidRPr="000839A4">
        <w:rPr>
          <w:szCs w:val="24"/>
        </w:rPr>
        <w:tab/>
        <w:t>jméno a rodné číslo osoby, na kterou poplatník uplatňuje slevu na dani § 35 odst. 4 a podle § 35ba a daňové zvýhodnění a dále výši jednotlivých nezdanitelných částek základu daně podle § 15, částek slevy na dani podle § 35ba a daňového zvýhodnění s uvedením důvodu jejich uznání,</w:t>
      </w:r>
    </w:p>
    <w:p w14:paraId="10AAF82B" w14:textId="77777777" w:rsidR="000839A4" w:rsidRPr="000839A4" w:rsidRDefault="000839A4" w:rsidP="000839A4">
      <w:pPr>
        <w:tabs>
          <w:tab w:val="left" w:pos="357"/>
        </w:tabs>
        <w:spacing w:before="0"/>
        <w:ind w:left="357" w:hanging="357"/>
        <w:rPr>
          <w:szCs w:val="24"/>
        </w:rPr>
      </w:pPr>
      <w:r w:rsidRPr="000839A4">
        <w:rPr>
          <w:szCs w:val="24"/>
        </w:rPr>
        <w:t>e)</w:t>
      </w:r>
      <w:r w:rsidRPr="000839A4">
        <w:rPr>
          <w:szCs w:val="24"/>
        </w:rPr>
        <w:tab/>
        <w:t>den nástupu poplatníka do zaměstnání a u poplatníka, který je daňovým nerezidentem, den ukončení zaměstnání v České republice,</w:t>
      </w:r>
    </w:p>
    <w:p w14:paraId="09FF4A96" w14:textId="77777777" w:rsidR="000839A4" w:rsidRPr="000839A4" w:rsidRDefault="000839A4" w:rsidP="000839A4">
      <w:pPr>
        <w:tabs>
          <w:tab w:val="left" w:pos="357"/>
        </w:tabs>
        <w:spacing w:before="0"/>
        <w:ind w:left="357" w:hanging="357"/>
        <w:rPr>
          <w:szCs w:val="24"/>
        </w:rPr>
      </w:pPr>
      <w:r w:rsidRPr="000839A4">
        <w:rPr>
          <w:szCs w:val="24"/>
        </w:rPr>
        <w:t>f)</w:t>
      </w:r>
      <w:r w:rsidRPr="000839A4">
        <w:rPr>
          <w:szCs w:val="24"/>
        </w:rPr>
        <w:tab/>
        <w:t>za každý kalendářní měsíc</w:t>
      </w:r>
    </w:p>
    <w:p w14:paraId="21DD227A" w14:textId="77777777" w:rsidR="000839A4" w:rsidRPr="000839A4" w:rsidRDefault="000839A4" w:rsidP="000839A4">
      <w:pPr>
        <w:tabs>
          <w:tab w:val="left" w:pos="357"/>
        </w:tabs>
        <w:spacing w:before="0"/>
        <w:ind w:left="714" w:hanging="357"/>
        <w:rPr>
          <w:szCs w:val="24"/>
        </w:rPr>
      </w:pPr>
      <w:r w:rsidRPr="000839A4">
        <w:rPr>
          <w:szCs w:val="24"/>
        </w:rPr>
        <w:t>1.</w:t>
      </w:r>
      <w:r w:rsidRPr="000839A4">
        <w:rPr>
          <w:szCs w:val="24"/>
        </w:rPr>
        <w:tab/>
        <w:t>úhrn zúčtovaných mezd bez ohledu, zda jsou vypláceny v penězích nebo v naturáliích,</w:t>
      </w:r>
    </w:p>
    <w:p w14:paraId="3B806ED3" w14:textId="77777777" w:rsidR="000839A4" w:rsidRPr="000839A4" w:rsidRDefault="000839A4" w:rsidP="000839A4">
      <w:pPr>
        <w:tabs>
          <w:tab w:val="left" w:pos="357"/>
        </w:tabs>
        <w:spacing w:before="0"/>
        <w:ind w:left="714" w:hanging="357"/>
        <w:rPr>
          <w:szCs w:val="24"/>
        </w:rPr>
      </w:pPr>
      <w:r w:rsidRPr="000839A4">
        <w:rPr>
          <w:szCs w:val="24"/>
        </w:rPr>
        <w:t>2.</w:t>
      </w:r>
      <w:r w:rsidRPr="000839A4">
        <w:rPr>
          <w:szCs w:val="24"/>
        </w:rPr>
        <w:tab/>
        <w:t>částky osvobozené od daně z úhrnu zúčtovaných mezd uvedeného v bodě 1,</w:t>
      </w:r>
    </w:p>
    <w:p w14:paraId="49285996" w14:textId="77777777" w:rsidR="000839A4" w:rsidRPr="000839A4" w:rsidRDefault="000839A4" w:rsidP="000839A4">
      <w:pPr>
        <w:tabs>
          <w:tab w:val="left" w:pos="357"/>
        </w:tabs>
        <w:spacing w:before="0"/>
        <w:ind w:left="714" w:hanging="357"/>
        <w:rPr>
          <w:szCs w:val="24"/>
        </w:rPr>
      </w:pPr>
      <w:r w:rsidRPr="000839A4">
        <w:rPr>
          <w:szCs w:val="24"/>
        </w:rPr>
        <w:t>3.</w:t>
      </w:r>
      <w:r w:rsidRPr="000839A4">
        <w:rPr>
          <w:szCs w:val="24"/>
        </w:rPr>
        <w:tab/>
        <w:t>základ pro výpočet zálohy na daň nebo daně podle zvláštní sazby,</w:t>
      </w:r>
    </w:p>
    <w:p w14:paraId="2C01AD87" w14:textId="77777777" w:rsidR="000839A4" w:rsidRPr="000839A4" w:rsidRDefault="000839A4" w:rsidP="000839A4">
      <w:pPr>
        <w:tabs>
          <w:tab w:val="left" w:pos="357"/>
        </w:tabs>
        <w:spacing w:before="0"/>
        <w:ind w:left="714" w:hanging="357"/>
        <w:rPr>
          <w:szCs w:val="24"/>
        </w:rPr>
      </w:pPr>
      <w:r w:rsidRPr="000839A4">
        <w:rPr>
          <w:szCs w:val="24"/>
        </w:rPr>
        <w:t>4.</w:t>
      </w:r>
      <w:r w:rsidRPr="000839A4">
        <w:rPr>
          <w:szCs w:val="24"/>
        </w:rPr>
        <w:tab/>
        <w:t>vypočtenou zálohu nebo daň sraženou podle zvláštní sazby daně,</w:t>
      </w:r>
    </w:p>
    <w:p w14:paraId="576AEC4F" w14:textId="77777777" w:rsidR="000839A4" w:rsidRPr="000839A4" w:rsidRDefault="000839A4" w:rsidP="000839A4">
      <w:pPr>
        <w:tabs>
          <w:tab w:val="left" w:pos="357"/>
        </w:tabs>
        <w:spacing w:before="0"/>
        <w:ind w:left="714" w:hanging="357"/>
        <w:rPr>
          <w:szCs w:val="24"/>
        </w:rPr>
      </w:pPr>
      <w:r w:rsidRPr="000839A4">
        <w:rPr>
          <w:szCs w:val="24"/>
        </w:rPr>
        <w:t>5.</w:t>
      </w:r>
      <w:r w:rsidRPr="000839A4">
        <w:rPr>
          <w:szCs w:val="24"/>
        </w:rPr>
        <w:tab/>
        <w:t>měsíční slevu na dani podle § 35ba a zálohu sníženou o měsíční slevu na dani podle § 35ba,</w:t>
      </w:r>
    </w:p>
    <w:p w14:paraId="3BF86B7D" w14:textId="77777777" w:rsidR="000839A4" w:rsidRPr="000839A4" w:rsidRDefault="000839A4" w:rsidP="000839A4">
      <w:pPr>
        <w:tabs>
          <w:tab w:val="left" w:pos="357"/>
        </w:tabs>
        <w:spacing w:before="0"/>
        <w:ind w:left="714" w:hanging="357"/>
        <w:rPr>
          <w:szCs w:val="24"/>
        </w:rPr>
      </w:pPr>
      <w:r w:rsidRPr="000839A4">
        <w:rPr>
          <w:szCs w:val="24"/>
        </w:rPr>
        <w:t>6.</w:t>
      </w:r>
      <w:r w:rsidRPr="000839A4">
        <w:rPr>
          <w:szCs w:val="24"/>
        </w:rPr>
        <w:tab/>
        <w:t>měsíční daňové zvýhodnění, měsíční slevu na dani podle § 35c, měsíční daňový bonus a zálohu sníženou o měsíční slevu na dani podle § 35ba a 35c,</w:t>
      </w:r>
    </w:p>
    <w:p w14:paraId="44407D9E" w14:textId="77777777" w:rsidR="000839A4" w:rsidRPr="000839A4" w:rsidRDefault="000839A4" w:rsidP="000839A4">
      <w:pPr>
        <w:tabs>
          <w:tab w:val="left" w:pos="357"/>
        </w:tabs>
        <w:spacing w:before="0"/>
        <w:ind w:left="714" w:hanging="357"/>
        <w:rPr>
          <w:szCs w:val="24"/>
        </w:rPr>
      </w:pPr>
      <w:r w:rsidRPr="000839A4">
        <w:rPr>
          <w:szCs w:val="24"/>
        </w:rPr>
        <w:t>7.</w:t>
      </w:r>
      <w:r w:rsidRPr="000839A4">
        <w:rPr>
          <w:szCs w:val="24"/>
        </w:rPr>
        <w:tab/>
        <w:t>skutečně sraženou zálohu,</w:t>
      </w:r>
    </w:p>
    <w:p w14:paraId="791FDCC1" w14:textId="77777777" w:rsidR="000839A4" w:rsidRPr="000839A4" w:rsidRDefault="000839A4" w:rsidP="000839A4">
      <w:pPr>
        <w:tabs>
          <w:tab w:val="left" w:pos="357"/>
        </w:tabs>
        <w:spacing w:before="0"/>
        <w:ind w:left="714" w:hanging="357"/>
        <w:rPr>
          <w:szCs w:val="24"/>
        </w:rPr>
      </w:pPr>
      <w:r w:rsidRPr="000839A4">
        <w:rPr>
          <w:szCs w:val="24"/>
        </w:rPr>
        <w:t>8.</w:t>
      </w:r>
      <w:r w:rsidRPr="000839A4">
        <w:rPr>
          <w:szCs w:val="24"/>
        </w:rPr>
        <w:tab/>
        <w:t>částku podle § 6 odst. 3 věty třetí, jedná-li se o nabytí podílu v obchodní korporaci, která je zaměstnavatelem, u něhož poplatník vykonává činnost, ze které mu plynou příjmy podle § 6 odst. 1 písm. a) až c), nebo v obchodní korporaci, která je mateřskou nebo dceřinou společností nebo kapitálově spojenou osobou tohoto zaměstnavatele, nebo opce na nabytí tohoto podílu, a den nabytí tohoto podílu nebo této opce.</w:t>
      </w:r>
    </w:p>
    <w:p w14:paraId="5664C775" w14:textId="77777777" w:rsidR="000839A4" w:rsidRPr="000839A4" w:rsidRDefault="000839A4" w:rsidP="000839A4">
      <w:pPr>
        <w:spacing w:before="120"/>
        <w:ind w:left="360" w:firstLine="0"/>
        <w:rPr>
          <w:szCs w:val="24"/>
        </w:rPr>
      </w:pPr>
      <w:r w:rsidRPr="000839A4">
        <w:rPr>
          <w:szCs w:val="24"/>
        </w:rPr>
        <w:t>Údaje v bodech 3 a 4 se uvedou podle způsobu výpočtu zálohy na daň nebo výpočtu daně zvláštní sazbou daně z příjmů ze závislé činnosti a odděleně se uvedou údaje o odměně člena orgánu právnické osoby a sražené dani z této odměny, jedná-li se o poplatníka, který je daňovým nerezidentem,</w:t>
      </w:r>
    </w:p>
    <w:p w14:paraId="7344AA58" w14:textId="77777777" w:rsidR="000839A4" w:rsidRPr="000839A4" w:rsidRDefault="000839A4" w:rsidP="000839A4">
      <w:pPr>
        <w:tabs>
          <w:tab w:val="left" w:pos="357"/>
        </w:tabs>
        <w:spacing w:before="0"/>
        <w:ind w:left="357" w:hanging="357"/>
        <w:rPr>
          <w:szCs w:val="24"/>
        </w:rPr>
      </w:pPr>
      <w:r w:rsidRPr="000839A4">
        <w:rPr>
          <w:szCs w:val="24"/>
        </w:rPr>
        <w:t>g)</w:t>
      </w:r>
      <w:r w:rsidRPr="000839A4">
        <w:rPr>
          <w:szCs w:val="24"/>
        </w:rPr>
        <w:tab/>
        <w:t>součet údajů za zdaňovací období uvedených v písmenu f) a úhrn vyplacených měsíčních daňových bonusů,</w:t>
      </w:r>
    </w:p>
    <w:p w14:paraId="2C47DFD1" w14:textId="77777777" w:rsidR="000839A4" w:rsidRPr="000839A4" w:rsidRDefault="000839A4" w:rsidP="000839A4">
      <w:pPr>
        <w:tabs>
          <w:tab w:val="left" w:pos="357"/>
        </w:tabs>
        <w:spacing w:before="0"/>
        <w:ind w:left="357" w:hanging="357"/>
        <w:rPr>
          <w:szCs w:val="24"/>
        </w:rPr>
      </w:pPr>
      <w:r w:rsidRPr="000839A4">
        <w:rPr>
          <w:szCs w:val="24"/>
        </w:rPr>
        <w:t>h)</w:t>
      </w:r>
      <w:r w:rsidRPr="000839A4">
        <w:rPr>
          <w:szCs w:val="24"/>
        </w:rPr>
        <w:tab/>
        <w:t>údaje o výpočtu daně a provedeném ročním zúčtování záloh a daňového zvýhodnění.</w:t>
      </w:r>
    </w:p>
    <w:p w14:paraId="5C62137D" w14:textId="77777777" w:rsidR="000839A4" w:rsidRPr="000839A4" w:rsidRDefault="000839A4" w:rsidP="000839A4">
      <w:pPr>
        <w:tabs>
          <w:tab w:val="left" w:pos="782"/>
          <w:tab w:val="left" w:pos="851"/>
        </w:tabs>
        <w:spacing w:before="120" w:after="120"/>
        <w:outlineLvl w:val="6"/>
        <w:rPr>
          <w:szCs w:val="24"/>
        </w:rPr>
      </w:pPr>
      <w:r w:rsidRPr="000839A4">
        <w:rPr>
          <w:szCs w:val="24"/>
        </w:rPr>
        <w:t>(3) Na žádost poplatníka je plátce daně povinen za období, za které byla vyplácena nebo zúčtována mzda, vystavit nejpozději do deseti dnů od podání žádosti doklad o souhrnných údajích uvedených ve mzdovém listě, které jsou rozhodné pro výpočet základu daně, daně, záloh a pro poskytnutí slevy na dani a daňového zvýhodnění. Kopii vystaveného dokladu plátce uschová.</w:t>
      </w:r>
    </w:p>
    <w:p w14:paraId="399295F3" w14:textId="77777777" w:rsidR="000839A4" w:rsidRPr="000839A4" w:rsidRDefault="000839A4" w:rsidP="000839A4">
      <w:pPr>
        <w:tabs>
          <w:tab w:val="left" w:pos="782"/>
          <w:tab w:val="left" w:pos="851"/>
        </w:tabs>
        <w:spacing w:before="120" w:after="120"/>
        <w:outlineLvl w:val="6"/>
        <w:rPr>
          <w:szCs w:val="24"/>
        </w:rPr>
      </w:pPr>
      <w:r w:rsidRPr="000839A4">
        <w:rPr>
          <w:szCs w:val="24"/>
        </w:rPr>
        <w:t>(4) Plátce daně, který ve zdaňovacím období zúčtoval nebo vyplatil příjmy ze závislé činnosti, je povinen podat svému místně příslušnému správci daně vyúčtování daně z příjmů fyzických osob ze závislé činnosti vybírané srážkou formou záloh (dále jen „vyúčtování daně z příjmů ze závislé činnosti“).</w:t>
      </w:r>
    </w:p>
    <w:p w14:paraId="478F6890" w14:textId="77777777" w:rsidR="000839A4" w:rsidRPr="000839A4" w:rsidRDefault="000839A4" w:rsidP="000839A4">
      <w:pPr>
        <w:tabs>
          <w:tab w:val="left" w:pos="782"/>
          <w:tab w:val="left" w:pos="851"/>
        </w:tabs>
        <w:spacing w:before="120" w:after="120"/>
        <w:outlineLvl w:val="6"/>
        <w:rPr>
          <w:szCs w:val="24"/>
        </w:rPr>
      </w:pPr>
      <w:r w:rsidRPr="000839A4">
        <w:rPr>
          <w:szCs w:val="24"/>
        </w:rPr>
        <w:t xml:space="preserve">(5) Plátce daně je povinen podat správci daně vyúčtování daně z příjmů ze závislé činnosti do dvou měsíců po uplynutí kalendářního roku; pokud plátce daně podá toto vyúčtování elektronicky, je lhůta pro podání do 20. března. </w:t>
      </w:r>
    </w:p>
    <w:p w14:paraId="63AB3B9F" w14:textId="77777777" w:rsidR="000839A4" w:rsidRPr="000839A4" w:rsidRDefault="000839A4" w:rsidP="000839A4">
      <w:pPr>
        <w:tabs>
          <w:tab w:val="left" w:pos="782"/>
          <w:tab w:val="left" w:pos="851"/>
        </w:tabs>
        <w:spacing w:before="120" w:after="120"/>
        <w:outlineLvl w:val="6"/>
        <w:rPr>
          <w:szCs w:val="24"/>
        </w:rPr>
      </w:pPr>
      <w:r w:rsidRPr="000839A4">
        <w:rPr>
          <w:szCs w:val="24"/>
        </w:rPr>
        <w:t>(6) Plátce daně, který ve zdaňovacím období zúčtoval nebo vyplatil příjmy ze závislé činnosti poplatníkům uvedeným v § 2 odst. 3, má povinnost podat vyúčtování daně z příjmů ze závislé činnosti elektronicky. Tuto povinnost nemá plátce daně, který je fyzickou osobou a u něhož počet těchto poplatníků v průběhu zdaňovacího období nepřesáhl v úhrnu 10 osob.</w:t>
      </w:r>
    </w:p>
    <w:p w14:paraId="3B1B1E66" w14:textId="77777777" w:rsidR="000839A4" w:rsidRPr="000839A4" w:rsidRDefault="000839A4" w:rsidP="000839A4">
      <w:pPr>
        <w:tabs>
          <w:tab w:val="left" w:pos="782"/>
          <w:tab w:val="left" w:pos="851"/>
        </w:tabs>
        <w:spacing w:before="120" w:after="120"/>
        <w:outlineLvl w:val="6"/>
        <w:rPr>
          <w:szCs w:val="24"/>
        </w:rPr>
      </w:pPr>
      <w:r w:rsidRPr="000839A4">
        <w:rPr>
          <w:szCs w:val="24"/>
        </w:rPr>
        <w:lastRenderedPageBreak/>
        <w:t>(7) Lhůtu pro podání vyúčtování daně z příjmů ze závislé činnosti nelze prodloužit.</w:t>
      </w:r>
    </w:p>
    <w:p w14:paraId="1A6A0E84" w14:textId="77777777" w:rsidR="000839A4" w:rsidRPr="000839A4" w:rsidRDefault="000839A4" w:rsidP="000839A4">
      <w:pPr>
        <w:tabs>
          <w:tab w:val="left" w:pos="782"/>
          <w:tab w:val="left" w:pos="851"/>
        </w:tabs>
        <w:spacing w:before="120" w:after="120"/>
        <w:outlineLvl w:val="6"/>
        <w:rPr>
          <w:szCs w:val="24"/>
        </w:rPr>
      </w:pPr>
      <w:r w:rsidRPr="000839A4">
        <w:rPr>
          <w:szCs w:val="24"/>
        </w:rPr>
        <w:t>(8) Plátce daně uvede v příloze k vyúčtování daně z příjmů ze závislé činnosti</w:t>
      </w:r>
    </w:p>
    <w:p w14:paraId="71BBA129"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počet zaměstnanců k 1. prosinci vykazovaného zdaňovacího období podle místa výkonu práce v obci uvedené v pracovní smlouvě,</w:t>
      </w:r>
    </w:p>
    <w:p w14:paraId="46229F79"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přehled obsahující souhrnné údaje zaznamenané na mzdových listech vykazovaného zdaňovacího období, které jsou rozhodující pro výpočet zdanitelné mzdy, daně a záloh v členění podle jednotlivých poplatníků uvedených v § 2 odst. 3,</w:t>
      </w:r>
    </w:p>
    <w:p w14:paraId="394CCF48" w14:textId="77777777" w:rsidR="000839A4" w:rsidRPr="000839A4" w:rsidRDefault="000839A4" w:rsidP="000839A4">
      <w:pPr>
        <w:tabs>
          <w:tab w:val="left" w:pos="357"/>
        </w:tabs>
        <w:spacing w:before="0"/>
        <w:ind w:left="357" w:hanging="357"/>
        <w:rPr>
          <w:szCs w:val="24"/>
        </w:rPr>
      </w:pPr>
      <w:r w:rsidRPr="000839A4">
        <w:rPr>
          <w:szCs w:val="24"/>
        </w:rPr>
        <w:t>c)</w:t>
      </w:r>
      <w:r w:rsidRPr="000839A4">
        <w:rPr>
          <w:szCs w:val="24"/>
        </w:rPr>
        <w:tab/>
        <w:t>přehledy o dodatečných opravách záloh na daň a daně a opravách daňového bonusu.</w:t>
      </w:r>
    </w:p>
    <w:p w14:paraId="52B8CD54" w14:textId="77777777" w:rsidR="000839A4" w:rsidRPr="000839A4" w:rsidRDefault="000839A4" w:rsidP="000839A4">
      <w:pPr>
        <w:tabs>
          <w:tab w:val="left" w:pos="782"/>
          <w:tab w:val="left" w:pos="851"/>
        </w:tabs>
        <w:spacing w:before="120" w:after="120"/>
        <w:outlineLvl w:val="6"/>
        <w:rPr>
          <w:szCs w:val="24"/>
        </w:rPr>
      </w:pPr>
      <w:r w:rsidRPr="000839A4">
        <w:rPr>
          <w:szCs w:val="24"/>
        </w:rPr>
        <w:t>(9) Povinnost podávat vyúčtování daně z příjmů ze závislé činnosti, včetně příloh, má plátce daně v případě, že mu v průběhu zdaňovacího období nevznikla povinnost odvádět úhrn sražených záloh správci daně, a to z důvodu poskytnutí slev na dani podle § 35ba nebo daňového zvýhodnění.</w:t>
      </w:r>
    </w:p>
    <w:p w14:paraId="16A9F6FF" w14:textId="77777777" w:rsidR="000839A4" w:rsidRPr="000839A4" w:rsidRDefault="000839A4" w:rsidP="000839A4">
      <w:pPr>
        <w:tabs>
          <w:tab w:val="left" w:pos="782"/>
          <w:tab w:val="left" w:pos="851"/>
        </w:tabs>
        <w:spacing w:before="120" w:after="120"/>
        <w:outlineLvl w:val="6"/>
        <w:rPr>
          <w:szCs w:val="24"/>
        </w:rPr>
      </w:pPr>
      <w:r w:rsidRPr="000839A4">
        <w:rPr>
          <w:szCs w:val="24"/>
        </w:rPr>
        <w:t>(10) Plátci daně jsou povinni na mzdovém listě dále uvést částky pojistného sražené nebo uhrazené na sociální zabezpečení a příspěvek na státní politiku zaměstnanosti a na veřejné zdravotní pojištění, které je podle zvláštních právních předpisů ze svých příjmů ze závislé činnosti povinen platit poplatník a částky tohoto pojistného, které je povinen z těchto příjmů platit plátce daně, a u poplatníka, na kterého se vztahuje povinné zahraniční pojištění stejného druhu, příspěvky poplatníka na toto zahraniční pojištění, a to za každý kalendářní měsíc a v úhrnu za celé zdaňovací období.</w:t>
      </w:r>
    </w:p>
    <w:p w14:paraId="11754232" w14:textId="77777777" w:rsidR="000839A4" w:rsidRPr="000839A4" w:rsidRDefault="000839A4" w:rsidP="000839A4">
      <w:pPr>
        <w:keepNext/>
        <w:ind w:firstLine="0"/>
        <w:jc w:val="center"/>
        <w:rPr>
          <w:szCs w:val="24"/>
        </w:rPr>
      </w:pPr>
      <w:r w:rsidRPr="000839A4">
        <w:rPr>
          <w:szCs w:val="24"/>
        </w:rPr>
        <w:t>§ 38k</w:t>
      </w:r>
    </w:p>
    <w:p w14:paraId="5A793C6C" w14:textId="77777777" w:rsidR="000839A4" w:rsidRPr="000839A4" w:rsidRDefault="000839A4" w:rsidP="000839A4">
      <w:pPr>
        <w:keepNext/>
        <w:ind w:firstLine="0"/>
        <w:jc w:val="center"/>
        <w:rPr>
          <w:b/>
          <w:szCs w:val="24"/>
        </w:rPr>
      </w:pPr>
      <w:r w:rsidRPr="000839A4">
        <w:rPr>
          <w:b/>
          <w:szCs w:val="24"/>
        </w:rPr>
        <w:t>Uplatnění nezdanitelných částek ze základu daně z příjmů fyzických osob ze závislé činnosti, slevy na dani podle § 35 odst. 4 a § 35ba a daňového zvýhodnění</w:t>
      </w:r>
    </w:p>
    <w:p w14:paraId="780FE747" w14:textId="77777777" w:rsidR="000839A4" w:rsidRPr="000839A4" w:rsidRDefault="000839A4" w:rsidP="000839A4">
      <w:pPr>
        <w:tabs>
          <w:tab w:val="left" w:pos="782"/>
          <w:tab w:val="left" w:pos="851"/>
        </w:tabs>
        <w:spacing w:before="120" w:after="120"/>
        <w:outlineLvl w:val="6"/>
        <w:rPr>
          <w:szCs w:val="24"/>
        </w:rPr>
      </w:pPr>
      <w:r w:rsidRPr="000839A4">
        <w:rPr>
          <w:szCs w:val="24"/>
        </w:rPr>
        <w:t>(1) Poplatník je povinen prokázat plátci daně skutečnosti rozhodné pro poskytnutí měsíční slevy na dani podle § 35ba a měsíčního daňového zvýhodnění při výpočtu záloh nejpozději do konce kalendářního měsíce, v němž tyto okolnosti nastaly. K předloženým dokladům přihlédne plátce daně počínaje kalendářním měsícem následujícím po měsíci, v němž budou tyto skutečnosti plátci daně prokázány, nejdříve však počínaje kalendářním měsícem, na jehož počátku byly skutečnosti rozhodné pro uznání slevy na dani podle § 35ba nebo na daňové zvýhodnění splněny, učiní-li poplatník současně prohlášení podle odstavce 4 anebo tyto skutečnosti v již učiněném prohlášení současně uvede. K předloženým dokladům potvrzujícím skutečnost, že poplatník nebo vyživované dítě je studentem nebo žákem soustavně se připravujícím na budoucí povolání studiem nebo předepsaným výcvikem, však plátce daně přihlédne již počínaje kalendářním měsícem, v němž budou tyto skutečnosti plátci daně prokázány. Při nástupu do zaměstnání je lhůta dodržena, prokáže-li poplatník tyto skutečnosti do 30 dnů ode dne nástupu do zaměstnání.</w:t>
      </w:r>
    </w:p>
    <w:p w14:paraId="15288C27" w14:textId="77777777" w:rsidR="000839A4" w:rsidRPr="000839A4" w:rsidRDefault="000839A4" w:rsidP="000839A4">
      <w:pPr>
        <w:tabs>
          <w:tab w:val="left" w:pos="782"/>
          <w:tab w:val="left" w:pos="851"/>
        </w:tabs>
        <w:spacing w:before="120" w:after="120"/>
        <w:outlineLvl w:val="6"/>
        <w:rPr>
          <w:szCs w:val="24"/>
        </w:rPr>
      </w:pPr>
      <w:r w:rsidRPr="000839A4">
        <w:rPr>
          <w:szCs w:val="24"/>
        </w:rPr>
        <w:t>(2) Narodí-li se však poplatníkovi dítě, plátce daně k této skutečnosti přihlédne již v kalendářním měsíci, v němž se narodilo, prokáže-li poplatník jeho narození plátci daně do 30 dnů po narození dítěte.</w:t>
      </w:r>
    </w:p>
    <w:p w14:paraId="4F95634C" w14:textId="77777777" w:rsidR="000839A4" w:rsidRPr="000839A4" w:rsidRDefault="000839A4" w:rsidP="000839A4">
      <w:pPr>
        <w:tabs>
          <w:tab w:val="left" w:pos="782"/>
          <w:tab w:val="left" w:pos="851"/>
        </w:tabs>
        <w:spacing w:before="120" w:after="120"/>
        <w:outlineLvl w:val="6"/>
        <w:rPr>
          <w:szCs w:val="24"/>
        </w:rPr>
      </w:pPr>
      <w:r w:rsidRPr="000839A4">
        <w:rPr>
          <w:szCs w:val="24"/>
        </w:rPr>
        <w:t>(3) Pobírá-li poplatník za stejný kalendářní měsíc mzdu současně nebo postupně od více plátců daně, přihlédne k měsíční slevě na dani podle § 35ba a k měsíčnímu daňovému zvýhodnění pouze jeden plátce daně, u kterého uplatní poplatník nárok podle odstavce 1 a učiní prohlášení podle odstavce 4.</w:t>
      </w:r>
    </w:p>
    <w:p w14:paraId="310F3E1E" w14:textId="77777777" w:rsidR="000839A4" w:rsidRPr="000839A4" w:rsidRDefault="000839A4" w:rsidP="000839A4">
      <w:pPr>
        <w:tabs>
          <w:tab w:val="left" w:pos="782"/>
          <w:tab w:val="left" w:pos="851"/>
        </w:tabs>
        <w:spacing w:before="120" w:after="120"/>
        <w:outlineLvl w:val="6"/>
        <w:rPr>
          <w:szCs w:val="24"/>
        </w:rPr>
      </w:pPr>
      <w:r w:rsidRPr="000839A4">
        <w:rPr>
          <w:szCs w:val="24"/>
        </w:rPr>
        <w:t xml:space="preserve">(4) Plátce daně srazí zálohu podle § 38h odst. 4 a přihlédne k měsíční slevě na dani podle § 35ba a k měsíčnímu daňovému zvýhodnění, učiní-li poplatník prokazatelně do 30 dnů po </w:t>
      </w:r>
      <w:r w:rsidRPr="000839A4">
        <w:rPr>
          <w:szCs w:val="24"/>
        </w:rPr>
        <w:lastRenderedPageBreak/>
        <w:t>vstupu do zaměstnání a každoročně nejpozději do 15. února na příslušné zdaňovací období prohlášení o tom,</w:t>
      </w:r>
    </w:p>
    <w:p w14:paraId="30CEC0C4"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jaké skutečnosti jsou u něho dány pro přiznání slevy na dani podle § 35ba, popř. kdy a jak se změnily,</w:t>
      </w:r>
    </w:p>
    <w:p w14:paraId="06C5FE11"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že současně za stejné zdaňovací období ani za stejný kalendářní měsíc zdaňovacího období neuplatňuje nárok na slevu na dani podle § 35ba u jiného plátce daně a že současně na stejné období kalendářního roku neučinil u jiného plátce prohlášení k dani,</w:t>
      </w:r>
    </w:p>
    <w:p w14:paraId="74B08400" w14:textId="77777777" w:rsidR="000839A4" w:rsidRPr="000839A4" w:rsidRDefault="000839A4" w:rsidP="000839A4">
      <w:pPr>
        <w:tabs>
          <w:tab w:val="left" w:pos="357"/>
        </w:tabs>
        <w:spacing w:before="0"/>
        <w:ind w:left="357" w:hanging="357"/>
        <w:rPr>
          <w:szCs w:val="24"/>
        </w:rPr>
      </w:pPr>
      <w:r w:rsidRPr="000839A4">
        <w:rPr>
          <w:szCs w:val="24"/>
        </w:rPr>
        <w:t>c)</w:t>
      </w:r>
      <w:r w:rsidRPr="000839A4">
        <w:rPr>
          <w:szCs w:val="24"/>
        </w:rPr>
        <w:tab/>
        <w:t>jaký je počet dětí vyživovaných poplatníkem v rámci jeho společně hospodařící domácnosti a dále</w:t>
      </w:r>
    </w:p>
    <w:p w14:paraId="32C4EC30" w14:textId="77777777" w:rsidR="000839A4" w:rsidRPr="000839A4" w:rsidRDefault="000839A4" w:rsidP="000839A4">
      <w:pPr>
        <w:tabs>
          <w:tab w:val="left" w:pos="357"/>
        </w:tabs>
        <w:spacing w:before="0"/>
        <w:ind w:left="714" w:hanging="357"/>
        <w:rPr>
          <w:szCs w:val="24"/>
        </w:rPr>
      </w:pPr>
      <w:r w:rsidRPr="000839A4">
        <w:rPr>
          <w:szCs w:val="24"/>
        </w:rPr>
        <w:t>1.</w:t>
      </w:r>
      <w:r w:rsidRPr="000839A4">
        <w:rPr>
          <w:szCs w:val="24"/>
        </w:rPr>
        <w:tab/>
        <w:t>jaké skutečnosti jsou u něho dány pro přiznání daňového zvýhodnění na vyživované dítě,</w:t>
      </w:r>
    </w:p>
    <w:p w14:paraId="47A5AE66" w14:textId="77777777" w:rsidR="000839A4" w:rsidRPr="000839A4" w:rsidRDefault="000839A4" w:rsidP="000839A4">
      <w:pPr>
        <w:tabs>
          <w:tab w:val="left" w:pos="357"/>
        </w:tabs>
        <w:spacing w:before="0"/>
        <w:ind w:left="714" w:hanging="357"/>
        <w:rPr>
          <w:szCs w:val="24"/>
        </w:rPr>
      </w:pPr>
      <w:r w:rsidRPr="000839A4">
        <w:rPr>
          <w:szCs w:val="24"/>
        </w:rPr>
        <w:t>2.</w:t>
      </w:r>
      <w:r w:rsidRPr="000839A4">
        <w:rPr>
          <w:szCs w:val="24"/>
        </w:rPr>
        <w:tab/>
        <w:t>zda uplatňuje daňové zvýhodnění na toto dítě ve výši náležející podle § 35c odst. 1 na jedno dítě nebo ve výši náležející na druhé dítě nebo na třetí a každé další vyživované dítě,</w:t>
      </w:r>
    </w:p>
    <w:p w14:paraId="3A206B67" w14:textId="77777777" w:rsidR="000839A4" w:rsidRPr="000839A4" w:rsidRDefault="000839A4" w:rsidP="000839A4">
      <w:pPr>
        <w:tabs>
          <w:tab w:val="left" w:pos="357"/>
        </w:tabs>
        <w:spacing w:before="0"/>
        <w:ind w:left="714" w:hanging="357"/>
        <w:rPr>
          <w:szCs w:val="24"/>
        </w:rPr>
      </w:pPr>
      <w:r w:rsidRPr="000839A4">
        <w:rPr>
          <w:szCs w:val="24"/>
        </w:rPr>
        <w:t>3.</w:t>
      </w:r>
      <w:r w:rsidRPr="000839A4">
        <w:rPr>
          <w:szCs w:val="24"/>
        </w:rPr>
        <w:tab/>
        <w:t>zda v rámci téže společně hospodařící domácnosti vyživuje tytéž vyživované děti poplatníka i jiný poplatník, zda na ně uplatňuje daňové zvýhodnění a zda je zaměstnán,</w:t>
      </w:r>
    </w:p>
    <w:p w14:paraId="08C51AEC" w14:textId="77777777" w:rsidR="000839A4" w:rsidRPr="000839A4" w:rsidRDefault="000839A4" w:rsidP="000839A4">
      <w:pPr>
        <w:tabs>
          <w:tab w:val="left" w:pos="357"/>
        </w:tabs>
        <w:spacing w:before="0"/>
        <w:ind w:left="714" w:hanging="357"/>
        <w:rPr>
          <w:szCs w:val="24"/>
        </w:rPr>
      </w:pPr>
      <w:r w:rsidRPr="000839A4">
        <w:rPr>
          <w:szCs w:val="24"/>
        </w:rPr>
        <w:t>4.</w:t>
      </w:r>
      <w:r w:rsidRPr="000839A4">
        <w:rPr>
          <w:szCs w:val="24"/>
        </w:rPr>
        <w:tab/>
        <w:t>kdy a jak se případně změnily rozhodné skutečnosti pro přiznání daňového zvýhodnění a</w:t>
      </w:r>
    </w:p>
    <w:p w14:paraId="0CA694AC" w14:textId="77777777" w:rsidR="000839A4" w:rsidRPr="000839A4" w:rsidRDefault="000839A4" w:rsidP="000839A4">
      <w:pPr>
        <w:tabs>
          <w:tab w:val="left" w:pos="357"/>
        </w:tabs>
        <w:spacing w:before="0"/>
        <w:ind w:left="714" w:hanging="357"/>
        <w:rPr>
          <w:szCs w:val="24"/>
        </w:rPr>
      </w:pPr>
      <w:r w:rsidRPr="000839A4">
        <w:rPr>
          <w:szCs w:val="24"/>
        </w:rPr>
        <w:t>5.</w:t>
      </w:r>
      <w:r w:rsidRPr="000839A4">
        <w:rPr>
          <w:szCs w:val="24"/>
        </w:rPr>
        <w:tab/>
        <w:t>jedná-li se o zletilé studující dítě, že mu není přiznán invalidní důchod pro invaliditu třetího stupně,</w:t>
      </w:r>
    </w:p>
    <w:p w14:paraId="6DA24227" w14:textId="77777777" w:rsidR="000839A4" w:rsidRPr="000839A4" w:rsidRDefault="000839A4" w:rsidP="000839A4">
      <w:pPr>
        <w:tabs>
          <w:tab w:val="left" w:pos="357"/>
        </w:tabs>
        <w:spacing w:before="0"/>
        <w:ind w:left="357" w:hanging="357"/>
        <w:rPr>
          <w:szCs w:val="24"/>
        </w:rPr>
      </w:pPr>
      <w:r w:rsidRPr="000839A4">
        <w:rPr>
          <w:szCs w:val="24"/>
        </w:rPr>
        <w:t>d)</w:t>
      </w:r>
      <w:r w:rsidRPr="000839A4">
        <w:rPr>
          <w:szCs w:val="24"/>
        </w:rPr>
        <w:tab/>
        <w:t>že současně za stejné zdaňovací období ani za stejný kalendářní měsíc zdaňovacího období neuplatňuje daňové zvýhodnění na vyživované dítě u jiného plátce daně a že daňové zvýhodnění na to samé vyživované dítě za stejné zdaňovací období ani za stejný kalendářní měsíc zdaňovacího období neuplatňuje jiná osoba.</w:t>
      </w:r>
    </w:p>
    <w:p w14:paraId="04D0D0CD" w14:textId="77777777" w:rsidR="000839A4" w:rsidRPr="000839A4" w:rsidRDefault="000839A4" w:rsidP="000839A4">
      <w:pPr>
        <w:tabs>
          <w:tab w:val="left" w:pos="782"/>
          <w:tab w:val="left" w:pos="851"/>
        </w:tabs>
        <w:spacing w:before="120" w:after="120"/>
        <w:outlineLvl w:val="6"/>
        <w:rPr>
          <w:szCs w:val="24"/>
        </w:rPr>
      </w:pPr>
      <w:r w:rsidRPr="000839A4">
        <w:rPr>
          <w:szCs w:val="24"/>
        </w:rPr>
        <w:t>(5) Plátce daně, u kterého poplatník učinil prohlášení podle odstavce 4, provede výpočet daně, roční zúčtování záloh a daňového zvýhodnění a současně přihlédne k nezdanitelným částkám ze základu daně podle § 15 a ke slevě na dani podle § 35 odst. 4 a § 35ba odst. 1 písm. b) za bezprostředně uplynulé zdaňovací období, učiní-li poplatník prokazatelně do 15. února za toto období prohlášení o tom,</w:t>
      </w:r>
    </w:p>
    <w:p w14:paraId="59E6FB0C"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že není povinen podat daňové přiznání,</w:t>
      </w:r>
    </w:p>
    <w:p w14:paraId="0D39EC81"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zda a od kterých plátců daně v uplynulém zdaňovacím období pobíral příjmy ze závislé činnosti,</w:t>
      </w:r>
    </w:p>
    <w:p w14:paraId="0232CEFC" w14:textId="77777777" w:rsidR="000839A4" w:rsidRPr="000839A4" w:rsidRDefault="000839A4" w:rsidP="000839A4">
      <w:pPr>
        <w:tabs>
          <w:tab w:val="left" w:pos="357"/>
        </w:tabs>
        <w:spacing w:before="0"/>
        <w:ind w:left="357" w:hanging="357"/>
        <w:rPr>
          <w:noProof/>
          <w:szCs w:val="24"/>
          <w:lang w:val="en-US"/>
        </w:rPr>
      </w:pPr>
      <w:r w:rsidRPr="000839A4">
        <w:rPr>
          <w:noProof/>
          <w:szCs w:val="24"/>
          <w:lang w:val="en-US"/>
        </w:rPr>
        <w:t xml:space="preserve">c) </w:t>
      </w:r>
      <w:r w:rsidRPr="000839A4">
        <w:rPr>
          <w:noProof/>
          <w:szCs w:val="24"/>
          <w:lang w:val="en-US"/>
        </w:rPr>
        <w:tab/>
        <w:t>že pro účely uplatnění slevy na manžela</w:t>
      </w:r>
    </w:p>
    <w:p w14:paraId="723B3CE9" w14:textId="77777777" w:rsidR="000839A4" w:rsidRPr="000839A4" w:rsidRDefault="000839A4" w:rsidP="000839A4">
      <w:pPr>
        <w:tabs>
          <w:tab w:val="left" w:pos="357"/>
        </w:tabs>
        <w:spacing w:before="0"/>
        <w:ind w:left="714" w:hanging="357"/>
        <w:rPr>
          <w:noProof/>
          <w:szCs w:val="24"/>
        </w:rPr>
      </w:pPr>
      <w:r w:rsidRPr="000839A4">
        <w:rPr>
          <w:noProof/>
          <w:szCs w:val="24"/>
        </w:rPr>
        <w:t>1.</w:t>
      </w:r>
      <w:r w:rsidRPr="000839A4">
        <w:rPr>
          <w:noProof/>
          <w:szCs w:val="24"/>
        </w:rPr>
        <w:tab/>
        <w:t>manžel poplatníka neměl v uplynulém zdaňovacím období vlastní příjem přesahující 68 000 Kč a</w:t>
      </w:r>
    </w:p>
    <w:p w14:paraId="659CACA8" w14:textId="77777777" w:rsidR="000839A4" w:rsidRPr="000839A4" w:rsidRDefault="000839A4" w:rsidP="000839A4">
      <w:pPr>
        <w:tabs>
          <w:tab w:val="left" w:pos="357"/>
        </w:tabs>
        <w:spacing w:before="0"/>
        <w:ind w:left="714" w:hanging="357"/>
        <w:rPr>
          <w:noProof/>
          <w:szCs w:val="24"/>
        </w:rPr>
      </w:pPr>
      <w:r w:rsidRPr="000839A4">
        <w:rPr>
          <w:noProof/>
          <w:szCs w:val="24"/>
        </w:rPr>
        <w:t>2.</w:t>
      </w:r>
      <w:r w:rsidRPr="000839A4">
        <w:rPr>
          <w:noProof/>
          <w:szCs w:val="24"/>
        </w:rPr>
        <w:tab/>
        <w:t>poplatník žije ve společně hospodařící domácnosti s manželem a vyživovaným dítětem poplatníka vymezeným pro účely slevy na manžela,</w:t>
      </w:r>
    </w:p>
    <w:p w14:paraId="46989D18" w14:textId="77777777" w:rsidR="000839A4" w:rsidRPr="000839A4" w:rsidRDefault="000839A4" w:rsidP="000839A4">
      <w:pPr>
        <w:tabs>
          <w:tab w:val="left" w:pos="357"/>
        </w:tabs>
        <w:spacing w:before="0"/>
        <w:ind w:left="357" w:hanging="357"/>
        <w:rPr>
          <w:szCs w:val="24"/>
        </w:rPr>
      </w:pPr>
      <w:r w:rsidRPr="000839A4">
        <w:rPr>
          <w:szCs w:val="24"/>
        </w:rPr>
        <w:t>d)</w:t>
      </w:r>
      <w:r w:rsidRPr="000839A4">
        <w:rPr>
          <w:szCs w:val="24"/>
        </w:rPr>
        <w:tab/>
        <w:t>v jaké hodnotě poskytl bezúplatné plnění podle § 15 odst. 1,</w:t>
      </w:r>
    </w:p>
    <w:p w14:paraId="67CF896B" w14:textId="77777777" w:rsidR="000839A4" w:rsidRPr="000839A4" w:rsidRDefault="000839A4" w:rsidP="000839A4">
      <w:pPr>
        <w:tabs>
          <w:tab w:val="left" w:pos="357"/>
        </w:tabs>
        <w:spacing w:before="0"/>
        <w:ind w:left="357" w:hanging="357"/>
        <w:rPr>
          <w:szCs w:val="24"/>
        </w:rPr>
      </w:pPr>
      <w:r w:rsidRPr="000839A4">
        <w:rPr>
          <w:szCs w:val="24"/>
        </w:rPr>
        <w:t>e)</w:t>
      </w:r>
      <w:r w:rsidRPr="000839A4">
        <w:rPr>
          <w:szCs w:val="24"/>
        </w:rPr>
        <w:tab/>
        <w:t xml:space="preserve">v jaké výši byly zaplaceny v uplynulém zdaňovacím období úroky z úvěru ze stavebního spoření, z hypotečního </w:t>
      </w:r>
      <w:proofErr w:type="gramStart"/>
      <w:r w:rsidRPr="000839A4">
        <w:rPr>
          <w:szCs w:val="24"/>
        </w:rPr>
        <w:t>úvěru a nebo z jiného</w:t>
      </w:r>
      <w:proofErr w:type="gramEnd"/>
      <w:r w:rsidRPr="000839A4">
        <w:rPr>
          <w:szCs w:val="24"/>
        </w:rPr>
        <w:t xml:space="preserve"> úvěru poskytnutého v souvislosti s těmito úvěry stavební spořitelnou nebo bankou a použitého na financování bytových potřeb v souladu s § 15 odst. 3 a 4, a</w:t>
      </w:r>
    </w:p>
    <w:p w14:paraId="1FD7B6B3" w14:textId="77777777" w:rsidR="000839A4" w:rsidRPr="000839A4" w:rsidRDefault="000839A4" w:rsidP="000839A4">
      <w:pPr>
        <w:tabs>
          <w:tab w:val="left" w:pos="357"/>
        </w:tabs>
        <w:spacing w:before="0"/>
        <w:ind w:left="714" w:hanging="357"/>
        <w:rPr>
          <w:szCs w:val="24"/>
        </w:rPr>
      </w:pPr>
      <w:r w:rsidRPr="000839A4">
        <w:rPr>
          <w:szCs w:val="24"/>
        </w:rPr>
        <w:t>1.</w:t>
      </w:r>
      <w:r w:rsidRPr="000839A4">
        <w:rPr>
          <w:szCs w:val="24"/>
        </w:rPr>
        <w:tab/>
        <w:t>zda a v jaké výši z takového úvěru uplatňuje současně jiná osoba nárok na odpočet úroků ze základu daně,</w:t>
      </w:r>
    </w:p>
    <w:p w14:paraId="3188A8ED" w14:textId="77777777" w:rsidR="000839A4" w:rsidRPr="000839A4" w:rsidRDefault="000839A4" w:rsidP="000839A4">
      <w:pPr>
        <w:tabs>
          <w:tab w:val="left" w:pos="357"/>
        </w:tabs>
        <w:spacing w:before="0"/>
        <w:ind w:left="714" w:hanging="357"/>
        <w:rPr>
          <w:szCs w:val="24"/>
        </w:rPr>
      </w:pPr>
      <w:r w:rsidRPr="000839A4">
        <w:rPr>
          <w:szCs w:val="24"/>
        </w:rPr>
        <w:t>2.</w:t>
      </w:r>
      <w:r w:rsidRPr="000839A4">
        <w:rPr>
          <w:szCs w:val="24"/>
        </w:rPr>
        <w:tab/>
        <w:t>že předmět bytové potřeby, na který uplatňuje odpočet úroků z poskytnutého úvěru, je užíván v souladu s § 15 odst. 4,</w:t>
      </w:r>
    </w:p>
    <w:p w14:paraId="62C552E7" w14:textId="77777777" w:rsidR="000839A4" w:rsidRPr="000839A4" w:rsidRDefault="000839A4" w:rsidP="000839A4">
      <w:pPr>
        <w:tabs>
          <w:tab w:val="left" w:pos="357"/>
        </w:tabs>
        <w:spacing w:before="0"/>
        <w:ind w:left="714" w:hanging="357"/>
        <w:rPr>
          <w:szCs w:val="24"/>
        </w:rPr>
      </w:pPr>
      <w:r w:rsidRPr="000839A4">
        <w:rPr>
          <w:szCs w:val="24"/>
        </w:rPr>
        <w:lastRenderedPageBreak/>
        <w:t>3.</w:t>
      </w:r>
      <w:r w:rsidRPr="000839A4">
        <w:rPr>
          <w:szCs w:val="24"/>
        </w:rPr>
        <w:tab/>
        <w:t>že částka úroků, o kterou se snižuje základ daně podle § 15 odst. 3 a 4, v úhrnu u všech účastníků smluv o úvěrech žijících s poplatníkem ve společně hospodařící domácnosti nepřekročila v uplynulém zdaňovacím období 150 000 Kč,</w:t>
      </w:r>
    </w:p>
    <w:p w14:paraId="470A5AB5" w14:textId="77777777" w:rsidR="000839A4" w:rsidRPr="000839A4" w:rsidRDefault="000839A4" w:rsidP="000839A4">
      <w:pPr>
        <w:tabs>
          <w:tab w:val="left" w:pos="357"/>
        </w:tabs>
        <w:spacing w:before="0"/>
        <w:ind w:left="357" w:hanging="357"/>
        <w:rPr>
          <w:szCs w:val="24"/>
        </w:rPr>
      </w:pPr>
      <w:r w:rsidRPr="000839A4">
        <w:rPr>
          <w:szCs w:val="24"/>
        </w:rPr>
        <w:t>f)</w:t>
      </w:r>
      <w:r w:rsidRPr="000839A4">
        <w:rPr>
          <w:szCs w:val="24"/>
        </w:rPr>
        <w:tab/>
        <w:t xml:space="preserve">v jaké výši odečítá od základu daně </w:t>
      </w:r>
      <w:r w:rsidRPr="000839A4">
        <w:rPr>
          <w:noProof/>
          <w:szCs w:val="24"/>
        </w:rPr>
        <w:t>příspěvky zaplacené na svůj daňově podporovaný produkt spoření na stáří a na daňově podporované pojištění dlouhodobé péče, jehož je pojistníkem</w:t>
      </w:r>
      <w:r w:rsidRPr="000839A4">
        <w:rPr>
          <w:szCs w:val="24"/>
        </w:rPr>
        <w:t>,</w:t>
      </w:r>
    </w:p>
    <w:p w14:paraId="7346B615" w14:textId="77777777" w:rsidR="000839A4" w:rsidRPr="000839A4" w:rsidRDefault="000839A4" w:rsidP="000839A4">
      <w:pPr>
        <w:tabs>
          <w:tab w:val="left" w:pos="357"/>
        </w:tabs>
        <w:spacing w:before="0"/>
        <w:ind w:left="357" w:hanging="357"/>
        <w:rPr>
          <w:szCs w:val="24"/>
        </w:rPr>
      </w:pPr>
      <w:r w:rsidRPr="000839A4">
        <w:rPr>
          <w:szCs w:val="24"/>
        </w:rPr>
        <w:t xml:space="preserve">g) v jaké výši mu byla přiznána náhrada za zastavenou exekuci.  </w:t>
      </w:r>
    </w:p>
    <w:p w14:paraId="7AC425C8" w14:textId="77777777" w:rsidR="000839A4" w:rsidRPr="000839A4" w:rsidRDefault="000839A4" w:rsidP="000839A4">
      <w:pPr>
        <w:tabs>
          <w:tab w:val="left" w:pos="782"/>
          <w:tab w:val="left" w:pos="851"/>
        </w:tabs>
        <w:spacing w:before="120" w:after="120"/>
        <w:outlineLvl w:val="6"/>
        <w:rPr>
          <w:szCs w:val="24"/>
        </w:rPr>
      </w:pPr>
      <w:r w:rsidRPr="000839A4">
        <w:rPr>
          <w:szCs w:val="24"/>
        </w:rPr>
        <w:t>(6) Poplatník může učinit prohlášení podle odstavce 4 na stejné období kalendářního roku pouze u jednoho plátce.</w:t>
      </w:r>
    </w:p>
    <w:p w14:paraId="51EA680F" w14:textId="77777777" w:rsidR="000839A4" w:rsidRPr="000839A4" w:rsidRDefault="000839A4" w:rsidP="000839A4">
      <w:pPr>
        <w:tabs>
          <w:tab w:val="left" w:pos="782"/>
          <w:tab w:val="left" w:pos="851"/>
        </w:tabs>
        <w:spacing w:before="120" w:after="120"/>
        <w:outlineLvl w:val="6"/>
        <w:rPr>
          <w:szCs w:val="24"/>
        </w:rPr>
      </w:pPr>
      <w:r w:rsidRPr="000839A4">
        <w:rPr>
          <w:szCs w:val="24"/>
        </w:rPr>
        <w:t>(7) Neprokáže-li poplatník skutečnosti rozhodné pro poskytnutí měsíční slevy na dani podle § 35ba nebo na měsíční daňové zvýhodnění podle § 35d anebo neučiní-li prohlášení podle odstavce 4 ve stanovené lhůtě, přihlédne k nim plátce počínaje měsícem následujícím po měsíci, v němž tyto rozhodné skutečnosti poplatník prokáže a současně prokazatelně učiní prohlášení podle odstavce 4. Dodatečně přihlédne plátce k uvedeným skutečnostem při ročním zúčtování záloh, a to i v případě, byla-li daň z příjmů fyzických osob ze závislé činnosti vybrána srážkou podle zvláštní sazby daně, prokáže-li poplatník rozhodné skutečnosti pro poskytnutí slevy na dani podle § 35ba nebo na daňové zvýhodnění a nejpozději do 15. února roku následujícího po uplynutí zdaňovacího období a učiní-li prokazatelně v této lhůtě prohlášení k dani podle odstavců 4 a 5.</w:t>
      </w:r>
    </w:p>
    <w:p w14:paraId="28A6F1C6" w14:textId="77777777" w:rsidR="000839A4" w:rsidRPr="000839A4" w:rsidRDefault="000839A4" w:rsidP="000839A4">
      <w:pPr>
        <w:tabs>
          <w:tab w:val="left" w:pos="782"/>
          <w:tab w:val="left" w:pos="851"/>
        </w:tabs>
        <w:spacing w:before="120" w:after="120"/>
        <w:outlineLvl w:val="6"/>
        <w:rPr>
          <w:szCs w:val="24"/>
        </w:rPr>
      </w:pPr>
      <w:r w:rsidRPr="000839A4">
        <w:rPr>
          <w:szCs w:val="24"/>
        </w:rPr>
        <w:t>(8) Dojde-li během roku ke změně skutečností rozhodných pro výpočet záloh na daň a daně nebo ke změně podmínek pro poskytnutí slevy na dani podle § 35ba a daňového zvýhodnění, je poplatník povinen oznámit je prokazatelně (např. změnou v prohlášení) plátci daně nejpozději poslední den kalendářního měsíce, v němž změna nastala nebo v němž bylo o změně rozhodnuto. Plátce daně zaeviduje změnu ve mzdovém listě.</w:t>
      </w:r>
    </w:p>
    <w:p w14:paraId="2796091B" w14:textId="77777777" w:rsidR="000839A4" w:rsidRPr="000839A4" w:rsidRDefault="000839A4" w:rsidP="000839A4">
      <w:pPr>
        <w:keepNext/>
        <w:ind w:firstLine="0"/>
        <w:jc w:val="center"/>
        <w:rPr>
          <w:szCs w:val="24"/>
        </w:rPr>
      </w:pPr>
      <w:r w:rsidRPr="000839A4">
        <w:rPr>
          <w:szCs w:val="24"/>
        </w:rPr>
        <w:t>§ 38l</w:t>
      </w:r>
    </w:p>
    <w:p w14:paraId="41E811EC" w14:textId="77777777" w:rsidR="000839A4" w:rsidRPr="000839A4" w:rsidRDefault="000839A4" w:rsidP="000839A4">
      <w:pPr>
        <w:keepNext/>
        <w:ind w:firstLine="0"/>
        <w:jc w:val="center"/>
        <w:rPr>
          <w:b/>
          <w:szCs w:val="24"/>
        </w:rPr>
      </w:pPr>
      <w:r w:rsidRPr="000839A4">
        <w:rPr>
          <w:b/>
          <w:szCs w:val="24"/>
        </w:rPr>
        <w:t>Způsob prokazování nároku na odečet nezdanitelné části základu daně, slevy na dani podle § 35 odst. a 4 § 35ba a daňového zvýhodnění z příjmů fyzických osob ze závislé činnosti u plátce daně</w:t>
      </w:r>
    </w:p>
    <w:p w14:paraId="7F045EA7" w14:textId="77777777" w:rsidR="000839A4" w:rsidRPr="000839A4" w:rsidRDefault="000839A4" w:rsidP="000839A4">
      <w:pPr>
        <w:tabs>
          <w:tab w:val="left" w:pos="782"/>
          <w:tab w:val="left" w:pos="851"/>
        </w:tabs>
        <w:spacing w:before="120" w:after="120"/>
        <w:outlineLvl w:val="6"/>
        <w:rPr>
          <w:szCs w:val="24"/>
        </w:rPr>
      </w:pPr>
      <w:r w:rsidRPr="000839A4">
        <w:rPr>
          <w:szCs w:val="24"/>
        </w:rPr>
        <w:t>(1) Nárok na nezdanitelnou část základu daně prokazuje poplatník plátci daně</w:t>
      </w:r>
    </w:p>
    <w:p w14:paraId="65B0174A"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potvrzením příjemce bezúplatného plnění nebo jeho zákonného zástupce anebo pořadatele veřejné sbírky o výši a účelu bezúplatného plnění,</w:t>
      </w:r>
    </w:p>
    <w:p w14:paraId="2F7A5E01"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smlouvou o úvěru a každoročně potvrzením stavební spořitelny o částce úroků zaplacených v uplynulém kalendářním roce z úvěru ze stavebního spoření, popřípadě z jiného úvěru poskytnutého stavební spořitelnou v souvislosti s úvěrem ze stavebního spoření nebo potvrzením banky o částce úroků zaplacených v uplynulém kalendářním roce z hypotečního úvěru a snížených o státní příspěvek, popřípadě z jiného úvěru poskytnutého příslušnou bankou v souvislosti s hypotečním úvěrem,</w:t>
      </w:r>
    </w:p>
    <w:p w14:paraId="04752A54" w14:textId="77777777" w:rsidR="000839A4" w:rsidRPr="000839A4" w:rsidRDefault="000839A4" w:rsidP="000839A4">
      <w:pPr>
        <w:tabs>
          <w:tab w:val="left" w:pos="357"/>
        </w:tabs>
        <w:spacing w:before="0"/>
        <w:ind w:left="357" w:hanging="357"/>
        <w:rPr>
          <w:szCs w:val="24"/>
        </w:rPr>
      </w:pPr>
      <w:r w:rsidRPr="000839A4">
        <w:rPr>
          <w:szCs w:val="24"/>
        </w:rPr>
        <w:t>c)</w:t>
      </w:r>
      <w:r w:rsidRPr="000839A4">
        <w:rPr>
          <w:szCs w:val="24"/>
        </w:rPr>
        <w:tab/>
        <w:t>v případě úvěru poskytnutého na účely uvedené v § 4b odst. 1 písm. a) povolením podle stavebního zákona a po dokončení stavby výpisem z listu vlastnictví,</w:t>
      </w:r>
    </w:p>
    <w:p w14:paraId="1DE58374" w14:textId="77777777" w:rsidR="000839A4" w:rsidRPr="000839A4" w:rsidRDefault="000839A4" w:rsidP="000839A4">
      <w:pPr>
        <w:tabs>
          <w:tab w:val="left" w:pos="357"/>
        </w:tabs>
        <w:spacing w:before="0"/>
        <w:ind w:left="357" w:hanging="357"/>
        <w:rPr>
          <w:szCs w:val="24"/>
        </w:rPr>
      </w:pPr>
      <w:r w:rsidRPr="000839A4">
        <w:rPr>
          <w:szCs w:val="24"/>
        </w:rPr>
        <w:t>d)</w:t>
      </w:r>
      <w:r w:rsidRPr="000839A4">
        <w:rPr>
          <w:szCs w:val="24"/>
        </w:rPr>
        <w:tab/>
        <w:t>v případě úvěru poskytnutého na účely uvedené v § 4b odst. 1 písm. b) a c) výpisem z listu vlastnictví a v případě úvěru poskytnutého na úplatné nabytí pozemku po uplynutí 4 let od okamžiku nabytí pozemku povolením podle stavebního zákona,</w:t>
      </w:r>
    </w:p>
    <w:p w14:paraId="08F0AFB1" w14:textId="77777777" w:rsidR="000839A4" w:rsidRPr="000839A4" w:rsidRDefault="000839A4" w:rsidP="000839A4">
      <w:pPr>
        <w:tabs>
          <w:tab w:val="left" w:pos="357"/>
        </w:tabs>
        <w:spacing w:before="0"/>
        <w:ind w:left="357" w:hanging="357"/>
        <w:rPr>
          <w:szCs w:val="24"/>
        </w:rPr>
      </w:pPr>
      <w:r w:rsidRPr="000839A4">
        <w:rPr>
          <w:szCs w:val="24"/>
        </w:rPr>
        <w:t>e)</w:t>
      </w:r>
      <w:r w:rsidRPr="000839A4">
        <w:rPr>
          <w:szCs w:val="24"/>
        </w:rPr>
        <w:tab/>
        <w:t xml:space="preserve">v případě úvěru poskytnutého na účely uvedené v § 4b odst. 1 písm. e) výpisem z listu vlastnictví, jde-li o bytový dům, rodinný dům nebo jednotku, která nezahrnuje nebytový prostor jiný než garáž, sklep nebo komoru, ve vlastnictví anebo nájemní smlouvou, jde-li o </w:t>
      </w:r>
      <w:r w:rsidRPr="000839A4">
        <w:rPr>
          <w:szCs w:val="24"/>
        </w:rPr>
        <w:lastRenderedPageBreak/>
        <w:t>byt nebo o jednotku, která nezahrnuje nebytový prostor, v nájmu, anebo dokladem o trvalém pobytu, jde-li o byt nebo o jednotku, která nezahrnuje nebytový prostor, v užívání,</w:t>
      </w:r>
    </w:p>
    <w:p w14:paraId="1490D5C5" w14:textId="77777777" w:rsidR="000839A4" w:rsidRPr="000839A4" w:rsidRDefault="000839A4" w:rsidP="000839A4">
      <w:pPr>
        <w:tabs>
          <w:tab w:val="left" w:pos="357"/>
        </w:tabs>
        <w:spacing w:before="0"/>
        <w:ind w:left="357" w:hanging="357"/>
        <w:rPr>
          <w:szCs w:val="24"/>
        </w:rPr>
      </w:pPr>
      <w:r w:rsidRPr="000839A4">
        <w:rPr>
          <w:szCs w:val="24"/>
        </w:rPr>
        <w:t>f)</w:t>
      </w:r>
      <w:r w:rsidRPr="000839A4">
        <w:rPr>
          <w:szCs w:val="24"/>
        </w:rPr>
        <w:tab/>
        <w:t>v případě úvěru poskytnutého na účely uvedené v § 4b odst. 1 písm. d) a g), potvrzením právnické osoby, že je jejím členem,</w:t>
      </w:r>
    </w:p>
    <w:p w14:paraId="1365B073" w14:textId="77777777" w:rsidR="000839A4" w:rsidRPr="000839A4" w:rsidRDefault="000839A4" w:rsidP="000839A4">
      <w:pPr>
        <w:tabs>
          <w:tab w:val="left" w:pos="357"/>
        </w:tabs>
        <w:spacing w:before="0"/>
        <w:ind w:left="357" w:hanging="357"/>
        <w:rPr>
          <w:szCs w:val="24"/>
        </w:rPr>
      </w:pPr>
      <w:r w:rsidRPr="000839A4">
        <w:rPr>
          <w:szCs w:val="24"/>
        </w:rPr>
        <w:t>g)</w:t>
      </w:r>
      <w:r w:rsidRPr="000839A4">
        <w:rPr>
          <w:szCs w:val="24"/>
        </w:rPr>
        <w:tab/>
        <w:t>v případě úvěru poskytnutého na účely uvedené v § 4b odst. 1 písm. f), výpisem z listu vlastnictví, jde-li o bytový dům, rodinný dům nebo jednotku, která nezahrnuje nebytový prostor jiný než garáž, sklep nebo komoru ve vlastnictví, anebo potvrzením právnické osoby o členství, je-li předmětem vypořádání podíl nebo vklad spojený s právem užívání bytu,</w:t>
      </w:r>
    </w:p>
    <w:p w14:paraId="3F2EE300" w14:textId="77777777" w:rsidR="000839A4" w:rsidRPr="000839A4" w:rsidRDefault="000839A4" w:rsidP="000839A4">
      <w:pPr>
        <w:tabs>
          <w:tab w:val="left" w:pos="357"/>
        </w:tabs>
        <w:spacing w:before="0"/>
        <w:ind w:left="357" w:hanging="357"/>
        <w:rPr>
          <w:szCs w:val="24"/>
        </w:rPr>
      </w:pPr>
      <w:r w:rsidRPr="000839A4">
        <w:rPr>
          <w:szCs w:val="24"/>
        </w:rPr>
        <w:t>h)</w:t>
      </w:r>
      <w:r w:rsidRPr="000839A4">
        <w:rPr>
          <w:szCs w:val="24"/>
        </w:rPr>
        <w:tab/>
        <w:t>smlouvou o penzijním připojištění se státním příspěvkem nebo smlouvou o doplňkovém penzijním spoření a každoročně potvrzením penzijní společnosti o části měsíčních příspěvků zaplacených poplatníkem na jeho penzijní připojištění se státním příspěvkem nebo doplňkové penzijní spoření, které v jednotlivých kalendářních měsících zdaňovacího období přesáhly výši, ke které náleží maximální státní příspěvek; smlouvou o penzijním pojištění nebo potvrzením instituce penzijního pojištění o účasti poplatníka na penzijním pojištění a každoročně potvrzením instituce penzijního pojištění o příspěvcích zaplacených poplatníkem na jeho penzijní pojištění na uplynulé zdaňovací období,</w:t>
      </w:r>
    </w:p>
    <w:p w14:paraId="04C74BD3" w14:textId="77777777" w:rsidR="000839A4" w:rsidRPr="000839A4" w:rsidRDefault="000839A4" w:rsidP="000839A4">
      <w:pPr>
        <w:tabs>
          <w:tab w:val="left" w:pos="357"/>
        </w:tabs>
        <w:spacing w:before="0"/>
        <w:ind w:left="357" w:hanging="357"/>
        <w:rPr>
          <w:szCs w:val="24"/>
        </w:rPr>
      </w:pPr>
      <w:r w:rsidRPr="000839A4">
        <w:rPr>
          <w:szCs w:val="24"/>
        </w:rPr>
        <w:t>i)</w:t>
      </w:r>
      <w:r w:rsidRPr="000839A4">
        <w:rPr>
          <w:szCs w:val="24"/>
        </w:rPr>
        <w:tab/>
        <w:t>smlouvou o soukromém životním pojištění nebo pojistkou podle zákona upravujícího pojistnou smlouvu a každoročně potvrzením pojišťovny o pojistném zaplaceném poplatníkem na jeho soukromé životní pojištění v uplynulém zdaňovacím období nebo o zaplacené poměrné části jednorázového pojistného připadajícího na uplynulé zdaňovací období,</w:t>
      </w:r>
    </w:p>
    <w:p w14:paraId="6CB48271" w14:textId="77777777" w:rsidR="000839A4" w:rsidRPr="000839A4" w:rsidRDefault="000839A4" w:rsidP="000839A4">
      <w:pPr>
        <w:tabs>
          <w:tab w:val="left" w:pos="357"/>
        </w:tabs>
        <w:spacing w:before="0"/>
        <w:ind w:left="357" w:hanging="357"/>
        <w:rPr>
          <w:szCs w:val="24"/>
        </w:rPr>
      </w:pPr>
      <w:r w:rsidRPr="000839A4">
        <w:rPr>
          <w:szCs w:val="24"/>
        </w:rPr>
        <w:t>j)</w:t>
      </w:r>
      <w:r w:rsidRPr="000839A4">
        <w:rPr>
          <w:szCs w:val="24"/>
        </w:rPr>
        <w:tab/>
        <w:t>smlouvou o dlouhodobém investičním produktu a každoročně potvrzením osoby, která tento produkt poskytuje, o majetku připsaném poplatníkem ve prospěch tohoto produktu v uplynulém zdaňovacím období,</w:t>
      </w:r>
    </w:p>
    <w:p w14:paraId="63FD0A02" w14:textId="77777777" w:rsidR="000839A4" w:rsidRPr="000839A4" w:rsidRDefault="000839A4" w:rsidP="000839A4">
      <w:pPr>
        <w:tabs>
          <w:tab w:val="left" w:pos="357"/>
        </w:tabs>
        <w:spacing w:before="0"/>
        <w:ind w:left="357" w:hanging="357"/>
        <w:rPr>
          <w:szCs w:val="24"/>
        </w:rPr>
      </w:pPr>
      <w:r w:rsidRPr="000839A4">
        <w:rPr>
          <w:noProof/>
          <w:szCs w:val="24"/>
        </w:rPr>
        <w:t xml:space="preserve">k) </w:t>
      </w:r>
      <w:r w:rsidRPr="000839A4">
        <w:rPr>
          <w:noProof/>
          <w:szCs w:val="24"/>
        </w:rPr>
        <w:tab/>
        <w:t>smlouvou o pojištění dlouhodobé péče nebo pojistkou a každoročně potvrzením pojistitele o pojistném zaplaceném poplatníkem na pojištění dlouhodobé péče, jehož je pojistníkem, v uplynulém zdaňovacím období nebo o zaplacené poměrné části jednorázového pojistného připadajícího na uplynulé zdaňovací období.</w:t>
      </w:r>
    </w:p>
    <w:p w14:paraId="7D75CA5C" w14:textId="77777777" w:rsidR="000839A4" w:rsidRPr="000839A4" w:rsidRDefault="000839A4" w:rsidP="000839A4">
      <w:pPr>
        <w:tabs>
          <w:tab w:val="left" w:pos="782"/>
          <w:tab w:val="left" w:pos="851"/>
        </w:tabs>
        <w:spacing w:before="120" w:after="120"/>
        <w:outlineLvl w:val="6"/>
        <w:rPr>
          <w:szCs w:val="24"/>
        </w:rPr>
      </w:pPr>
      <w:r w:rsidRPr="000839A4">
        <w:rPr>
          <w:szCs w:val="24"/>
        </w:rPr>
        <w:t>(2) Nárok na poskytnutí slevy na dani podle § 35 odst. 4 a § 35ba při stanovení daně nebo záloh prokazuje poplatník plátci daně</w:t>
      </w:r>
    </w:p>
    <w:p w14:paraId="2AE1313F"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 xml:space="preserve">dokladem prokazujícím totožnost </w:t>
      </w:r>
      <w:r w:rsidRPr="000839A4">
        <w:rPr>
          <w:noProof/>
          <w:szCs w:val="24"/>
        </w:rPr>
        <w:t>manžela a totožnost a věk vyživovaného dítěte poplatníka</w:t>
      </w:r>
      <w:r w:rsidRPr="000839A4">
        <w:rPr>
          <w:szCs w:val="24"/>
        </w:rPr>
        <w:t xml:space="preserve">, uplatňuje-li slevu na manžela, a průkazem ZTP/P, pokud je </w:t>
      </w:r>
      <w:r w:rsidRPr="000839A4">
        <w:rPr>
          <w:noProof/>
          <w:szCs w:val="24"/>
        </w:rPr>
        <w:t>manžel</w:t>
      </w:r>
      <w:r w:rsidRPr="000839A4">
        <w:rPr>
          <w:szCs w:val="24"/>
        </w:rPr>
        <w:t xml:space="preserve"> jeho držitelem, nebo rozhodnutím o přiznání tohoto průkazu,</w:t>
      </w:r>
    </w:p>
    <w:p w14:paraId="1C2B0140"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rozhodnutím o přiznání invalidního důchodu a každoročně dokladem o výplatě důchodu, uplatňuje-li slevu na dani podle § 35ba odst. 1 písm. c) nebo d) z důvodu, že mu je přiznán invalidní důchod pro invaliditu prvního nebo druhého stupně nebo invalidní důchod pro invaliditu třetího stupně,</w:t>
      </w:r>
    </w:p>
    <w:p w14:paraId="38DBB30A" w14:textId="77777777" w:rsidR="000839A4" w:rsidRPr="000839A4" w:rsidRDefault="000839A4" w:rsidP="000839A4">
      <w:pPr>
        <w:tabs>
          <w:tab w:val="left" w:pos="357"/>
        </w:tabs>
        <w:spacing w:before="0"/>
        <w:ind w:left="357" w:hanging="357"/>
        <w:rPr>
          <w:szCs w:val="24"/>
        </w:rPr>
      </w:pPr>
      <w:r w:rsidRPr="000839A4">
        <w:rPr>
          <w:szCs w:val="24"/>
        </w:rPr>
        <w:t>c)</w:t>
      </w:r>
      <w:r w:rsidRPr="000839A4">
        <w:rPr>
          <w:szCs w:val="24"/>
        </w:rPr>
        <w:tab/>
        <w:t>potvrzením správce daně příslušného podle místa bydliště poplatníka o tom, že poplatník pobírá jiný důchod z důchodového pojištění</w:t>
      </w:r>
      <w:r w:rsidRPr="000839A4">
        <w:rPr>
          <w:szCs w:val="24"/>
          <w:vertAlign w:val="superscript"/>
        </w:rPr>
        <w:t>43)</w:t>
      </w:r>
      <w:r w:rsidRPr="000839A4">
        <w:rPr>
          <w:szCs w:val="24"/>
        </w:rPr>
        <w:t>, u něhož jednou z podmínek přiznání je, že je invalidní ve třetím stupni, nebo o tom, že mu zanikl nárok na invalidní důchod pro invaliditu prvního, druhého nebo třetího stupně z důvodu souběhu nároku na výplatu invalidního důchodu a starobního důchodu, anebo je-li poplatník invalidní ve třetím stupni, avšak jeho žádost o invalidní důchod pro invaliditu třetího stupně byla zamítnuta z jiných důvodů než proto, že není invalidní ve třetím stupni,</w:t>
      </w:r>
    </w:p>
    <w:p w14:paraId="5F7068B6" w14:textId="77777777" w:rsidR="000839A4" w:rsidRPr="000839A4" w:rsidRDefault="000839A4" w:rsidP="000839A4">
      <w:pPr>
        <w:tabs>
          <w:tab w:val="left" w:pos="357"/>
        </w:tabs>
        <w:spacing w:before="0"/>
        <w:ind w:left="357" w:hanging="357"/>
        <w:rPr>
          <w:szCs w:val="24"/>
        </w:rPr>
      </w:pPr>
      <w:r w:rsidRPr="000839A4">
        <w:rPr>
          <w:szCs w:val="24"/>
        </w:rPr>
        <w:t>d)</w:t>
      </w:r>
      <w:r w:rsidRPr="000839A4">
        <w:rPr>
          <w:szCs w:val="24"/>
        </w:rPr>
        <w:tab/>
        <w:t>průkazem ZTP/P, pokud je poplatník jeho držitelem, nebo rozhodnutím o přiznání tohoto průkazu, uplatňuje-li slevu na dani podle § 35ba odst. 1 písm. e),</w:t>
      </w:r>
      <w:r w:rsidRPr="000839A4">
        <w:rPr>
          <w:strike/>
          <w:noProof/>
          <w:color w:val="92D050"/>
          <w:szCs w:val="24"/>
        </w:rPr>
        <w:t xml:space="preserve"> </w:t>
      </w:r>
    </w:p>
    <w:p w14:paraId="766E0566" w14:textId="77777777" w:rsidR="000839A4" w:rsidRPr="000839A4" w:rsidRDefault="000839A4" w:rsidP="000839A4">
      <w:pPr>
        <w:tabs>
          <w:tab w:val="left" w:pos="357"/>
        </w:tabs>
        <w:spacing w:before="0"/>
        <w:ind w:firstLine="0"/>
        <w:rPr>
          <w:szCs w:val="24"/>
        </w:rPr>
      </w:pPr>
      <w:r w:rsidRPr="000839A4">
        <w:rPr>
          <w:szCs w:val="24"/>
        </w:rPr>
        <w:t>e)</w:t>
      </w:r>
      <w:r w:rsidRPr="000839A4">
        <w:rPr>
          <w:b/>
          <w:szCs w:val="24"/>
        </w:rPr>
        <w:t xml:space="preserve"> </w:t>
      </w:r>
      <w:r w:rsidRPr="000839A4">
        <w:rPr>
          <w:szCs w:val="24"/>
        </w:rPr>
        <w:t>usnesením o zastavení exekuce, uplatňuje-li slevu za zastavenou exekuci.</w:t>
      </w:r>
    </w:p>
    <w:p w14:paraId="75D220D9" w14:textId="77777777" w:rsidR="000839A4" w:rsidRPr="000839A4" w:rsidRDefault="000839A4" w:rsidP="000839A4">
      <w:pPr>
        <w:tabs>
          <w:tab w:val="left" w:pos="782"/>
          <w:tab w:val="left" w:pos="851"/>
        </w:tabs>
        <w:spacing w:before="120" w:after="120"/>
        <w:outlineLvl w:val="6"/>
        <w:rPr>
          <w:szCs w:val="24"/>
        </w:rPr>
      </w:pPr>
      <w:r w:rsidRPr="000839A4">
        <w:rPr>
          <w:szCs w:val="24"/>
        </w:rPr>
        <w:lastRenderedPageBreak/>
        <w:t xml:space="preserve"> (3) Nárok na daňové zvýhodnění při stanovení záloh nebo daně prokazuje poplatník plátci daně</w:t>
      </w:r>
    </w:p>
    <w:p w14:paraId="19431C58"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úředním dokladem prokazujícím totožnost dítěte (vlastního, osvojence nebo v péči, která nahrazuje péči rodičů, druhého z manželů a vnuků),</w:t>
      </w:r>
    </w:p>
    <w:p w14:paraId="3EA32B05"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předložením průkazu ZTP/P, pokud je vyživované dítě jeho držitelem, nebo rozhodnutím o přiznání tohoto průkazu,</w:t>
      </w:r>
    </w:p>
    <w:p w14:paraId="14B62A7F" w14:textId="77777777" w:rsidR="000839A4" w:rsidRPr="000839A4" w:rsidRDefault="000839A4" w:rsidP="000839A4">
      <w:pPr>
        <w:tabs>
          <w:tab w:val="left" w:pos="357"/>
        </w:tabs>
        <w:spacing w:before="0"/>
        <w:ind w:left="357" w:hanging="357"/>
        <w:rPr>
          <w:szCs w:val="24"/>
        </w:rPr>
      </w:pPr>
      <w:r w:rsidRPr="000839A4">
        <w:rPr>
          <w:szCs w:val="24"/>
        </w:rPr>
        <w:t>c)</w:t>
      </w:r>
      <w:r w:rsidRPr="000839A4">
        <w:rPr>
          <w:szCs w:val="24"/>
        </w:rPr>
        <w:tab/>
        <w:t>jsou-li poplatníci vyživující děti v jedné společně hospodařící domácnosti zaměstnaní, potvrzením od zaměstnavatele druhého z poplatníků, ve kterém plátce daně uvede, na které děti druhý z poplatníků uplatňuje daňové zvýhodnění a v jaké výši, případně, že nárok na daňové zvýhodnění neuplatňuje,</w:t>
      </w:r>
    </w:p>
    <w:p w14:paraId="2B890F26" w14:textId="77777777" w:rsidR="000839A4" w:rsidRPr="000839A4" w:rsidRDefault="000839A4" w:rsidP="000839A4">
      <w:pPr>
        <w:tabs>
          <w:tab w:val="left" w:pos="357"/>
        </w:tabs>
        <w:spacing w:before="0"/>
        <w:ind w:left="357" w:hanging="357"/>
        <w:rPr>
          <w:szCs w:val="24"/>
        </w:rPr>
      </w:pPr>
      <w:r w:rsidRPr="000839A4">
        <w:rPr>
          <w:szCs w:val="24"/>
        </w:rPr>
        <w:t>d)</w:t>
      </w:r>
      <w:r w:rsidRPr="000839A4">
        <w:rPr>
          <w:szCs w:val="24"/>
        </w:rPr>
        <w:tab/>
        <w:t>potvrzením školy, že zletilé dítě žijící s poplatníkem ve společně hospodařící domácnosti se soustavně připravuje na budoucí povolání studiem nebo předepsaným výcvikem,</w:t>
      </w:r>
    </w:p>
    <w:p w14:paraId="4416E372" w14:textId="77F3E439" w:rsidR="000839A4" w:rsidRPr="000839A4" w:rsidRDefault="000839A4" w:rsidP="000839A4">
      <w:pPr>
        <w:tabs>
          <w:tab w:val="left" w:pos="357"/>
        </w:tabs>
        <w:spacing w:before="0"/>
        <w:ind w:left="357" w:hanging="357"/>
        <w:rPr>
          <w:szCs w:val="24"/>
        </w:rPr>
      </w:pPr>
      <w:r w:rsidRPr="000839A4">
        <w:rPr>
          <w:szCs w:val="24"/>
        </w:rPr>
        <w:t>e)</w:t>
      </w:r>
      <w:r w:rsidRPr="000839A4">
        <w:rPr>
          <w:szCs w:val="24"/>
        </w:rPr>
        <w:tab/>
        <w:t>potvrzením správce daně příslušného podle místa bydliště poplatníka o tom, že poplatník vyživuje ve společně hospodařící domácnosti zletilé dítě až do dovršení 26 let věku, kterému není přiznán invalidní důchod pro invaliditu třetího stupně a které se nemůže soustavně připravovat na budoucí povolání nebo vykonávat výdělečnou činnost pro nemoc nebo úraz, anebo z důvodu dlouhodobě nepříznivého zdravotního stavu je neschopno vykonávat soustavnou výdělečnou činnost.</w:t>
      </w:r>
    </w:p>
    <w:p w14:paraId="3D20608F" w14:textId="62875252" w:rsidR="000839A4" w:rsidRPr="000839A4" w:rsidRDefault="00826A6B" w:rsidP="000839A4">
      <w:pPr>
        <w:tabs>
          <w:tab w:val="left" w:pos="782"/>
          <w:tab w:val="left" w:pos="851"/>
        </w:tabs>
        <w:spacing w:before="120" w:after="120"/>
        <w:outlineLvl w:val="6"/>
        <w:rPr>
          <w:strike/>
          <w:color w:val="7030A0"/>
          <w:szCs w:val="24"/>
        </w:rPr>
      </w:pPr>
      <w:r w:rsidRPr="000839A4">
        <w:rPr>
          <w:b/>
          <w:bCs/>
          <w:noProof/>
          <w:color w:val="7030A0"/>
          <w:szCs w:val="24"/>
        </w:rPr>
        <mc:AlternateContent>
          <mc:Choice Requires="wps">
            <w:drawing>
              <wp:anchor distT="0" distB="0" distL="114300" distR="114300" simplePos="0" relativeHeight="251702272" behindDoc="1" locked="0" layoutInCell="1" allowOverlap="1" wp14:anchorId="682F906E" wp14:editId="0D754F3B">
                <wp:simplePos x="0" y="0"/>
                <wp:positionH relativeFrom="margin">
                  <wp:posOffset>-139711</wp:posOffset>
                </wp:positionH>
                <wp:positionV relativeFrom="paragraph">
                  <wp:posOffset>35800</wp:posOffset>
                </wp:positionV>
                <wp:extent cx="6021070" cy="3081186"/>
                <wp:effectExtent l="0" t="0" r="17780" b="24130"/>
                <wp:wrapNone/>
                <wp:docPr id="30" name="Obdélník 30"/>
                <wp:cNvGraphicFramePr/>
                <a:graphic xmlns:a="http://schemas.openxmlformats.org/drawingml/2006/main">
                  <a:graphicData uri="http://schemas.microsoft.com/office/word/2010/wordprocessingShape">
                    <wps:wsp>
                      <wps:cNvSpPr/>
                      <wps:spPr>
                        <a:xfrm>
                          <a:off x="0" y="0"/>
                          <a:ext cx="6021070" cy="3081186"/>
                        </a:xfrm>
                        <a:prstGeom prst="rect">
                          <a:avLst/>
                        </a:prstGeom>
                        <a:solidFill>
                          <a:sysClr val="window" lastClr="FFFFFF"/>
                        </a:solidFill>
                        <a:ln w="12700" cap="flat" cmpd="sng" algn="ctr">
                          <a:solidFill>
                            <a:srgbClr val="7030A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6E4759B" id="Obdélník 30" o:spid="_x0000_s1026" style="position:absolute;margin-left:-11pt;margin-top:2.8pt;width:474.1pt;height:242.6pt;z-index:-25161420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" fillcolor="window" strokecolor="#7030a0" strokeweight="1pt">
                <w10:wrap anchorx="margin"/>
              </v:rect>
            </w:pict>
          </mc:Fallback>
        </mc:AlternateContent>
      </w:r>
      <w:r w:rsidR="000839A4" w:rsidRPr="000839A4">
        <w:rPr>
          <w:strike/>
          <w:color w:val="7030A0"/>
          <w:szCs w:val="24"/>
        </w:rPr>
        <w:t>(4) Pokud zletilé dítě, na něž poplatník uplatňuje daňové zvýhodnění, studuje na střední nebo vysoké škole v cizině, nárok na daňové zvýhodnění prokáže poplatník při stanovení záloh nebo daně u plátce daně potvrzením o studiu vydaném zahraniční školou na určité období a v souladu se zvláštním právním předpisem o státní sociální podpoře</w:t>
      </w:r>
      <w:r w:rsidR="000839A4" w:rsidRPr="000839A4">
        <w:rPr>
          <w:strike/>
          <w:color w:val="7030A0"/>
          <w:szCs w:val="24"/>
          <w:vertAlign w:val="superscript"/>
        </w:rPr>
        <w:footnoteReference w:customMarkFollows="1" w:id="187"/>
        <w:t>130)</w:t>
      </w:r>
      <w:r w:rsidR="000839A4" w:rsidRPr="000839A4">
        <w:rPr>
          <w:strike/>
          <w:color w:val="7030A0"/>
          <w:szCs w:val="24"/>
        </w:rPr>
        <w:t xml:space="preserve"> rozhodnutím Ministerstva školství, mládeže a tělovýchovy, že takové studium na škole v cizině je postaveno na roveň studia na středních nebo vysokých školách v České republice.</w:t>
      </w:r>
    </w:p>
    <w:p w14:paraId="1E25271E" w14:textId="77777777" w:rsidR="000839A4" w:rsidRPr="000839A4" w:rsidRDefault="000839A4" w:rsidP="000839A4">
      <w:pPr>
        <w:tabs>
          <w:tab w:val="left" w:pos="782"/>
          <w:tab w:val="left" w:pos="851"/>
        </w:tabs>
        <w:spacing w:before="120" w:after="120"/>
        <w:outlineLvl w:val="6"/>
        <w:rPr>
          <w:b/>
          <w:color w:val="7030A0"/>
          <w:szCs w:val="24"/>
        </w:rPr>
      </w:pPr>
      <w:r w:rsidRPr="000839A4">
        <w:rPr>
          <w:b/>
          <w:noProof/>
          <w:color w:val="7030A0"/>
          <w:szCs w:val="24"/>
        </w:rPr>
        <w:t xml:space="preserve">(4) Studuje-li zletilé dítě, na které je uplatňováno daňové zvýhodnění, na střední nebo vysoké škole v zahraničí, na zahraniční vysoké škole v České republice nebo ve vysokoškolském studijním programu zahraniční vysoké školy uskutečňovaném na území České republiky </w:t>
      </w:r>
      <w:r w:rsidRPr="000839A4">
        <w:rPr>
          <w:b/>
          <w:bCs/>
          <w:iCs/>
          <w:noProof/>
          <w:color w:val="7030A0"/>
          <w:szCs w:val="24"/>
        </w:rPr>
        <w:t>českou</w:t>
      </w:r>
      <w:r w:rsidRPr="000839A4">
        <w:rPr>
          <w:b/>
          <w:noProof/>
          <w:color w:val="7030A0"/>
          <w:szCs w:val="24"/>
        </w:rPr>
        <w:t xml:space="preserve"> právnickou osobou, nárok na daňové zvýhodnění se plátci daně prokazuje </w:t>
      </w:r>
    </w:p>
    <w:p w14:paraId="125A6339" w14:textId="77777777" w:rsidR="000839A4" w:rsidRPr="000839A4" w:rsidRDefault="000839A4" w:rsidP="000839A4">
      <w:pPr>
        <w:tabs>
          <w:tab w:val="left" w:pos="357"/>
        </w:tabs>
        <w:spacing w:before="0"/>
        <w:ind w:left="357" w:hanging="357"/>
        <w:rPr>
          <w:b/>
          <w:color w:val="7030A0"/>
          <w:szCs w:val="24"/>
        </w:rPr>
      </w:pPr>
      <w:r w:rsidRPr="000839A4">
        <w:rPr>
          <w:b/>
          <w:color w:val="7030A0"/>
          <w:szCs w:val="24"/>
        </w:rPr>
        <w:t xml:space="preserve">a) </w:t>
      </w:r>
      <w:r w:rsidRPr="000839A4">
        <w:rPr>
          <w:b/>
          <w:color w:val="7030A0"/>
          <w:szCs w:val="24"/>
        </w:rPr>
        <w:tab/>
        <w:t xml:space="preserve">potvrzením o studiu vydaným zahraniční školou nebo českou právnickou osobou na určité období a </w:t>
      </w:r>
    </w:p>
    <w:p w14:paraId="309D3376" w14:textId="77777777" w:rsidR="000839A4" w:rsidRPr="000839A4" w:rsidRDefault="000839A4" w:rsidP="000839A4">
      <w:pPr>
        <w:tabs>
          <w:tab w:val="left" w:pos="357"/>
        </w:tabs>
        <w:spacing w:before="0"/>
        <w:ind w:left="357" w:hanging="357"/>
        <w:rPr>
          <w:b/>
          <w:color w:val="7030A0"/>
          <w:szCs w:val="24"/>
        </w:rPr>
      </w:pPr>
      <w:r w:rsidRPr="000839A4">
        <w:rPr>
          <w:b/>
          <w:color w:val="7030A0"/>
          <w:szCs w:val="24"/>
        </w:rPr>
        <w:t xml:space="preserve">b) </w:t>
      </w:r>
      <w:r w:rsidRPr="000839A4">
        <w:rPr>
          <w:b/>
          <w:color w:val="7030A0"/>
          <w:szCs w:val="24"/>
        </w:rPr>
        <w:tab/>
        <w:t>rozhodnutím Ministerstva školství, mládeže a tělovýchovy, podle kterého je toto studium pro účely státní sociální podpory postaveno na roveň studia na středních školách nebo vysokých školách v České republice.</w:t>
      </w:r>
    </w:p>
    <w:p w14:paraId="19CC00B9" w14:textId="77777777" w:rsidR="000839A4" w:rsidRPr="000839A4" w:rsidRDefault="000839A4" w:rsidP="000839A4">
      <w:pPr>
        <w:tabs>
          <w:tab w:val="left" w:pos="782"/>
          <w:tab w:val="left" w:pos="851"/>
        </w:tabs>
        <w:spacing w:before="120" w:after="120"/>
        <w:outlineLvl w:val="6"/>
        <w:rPr>
          <w:szCs w:val="24"/>
        </w:rPr>
      </w:pPr>
      <w:r w:rsidRPr="000839A4">
        <w:rPr>
          <w:szCs w:val="24"/>
        </w:rPr>
        <w:t>(5) Jestliže se změnily skutečnosti rozhodné pro přiznání nezdanitelné části základu daně podle § 15, slevy na dani podle § 35 odst. 4 nebo § 35ba nebo daňového zvýhodnění, předloží poplatník nové doklady prokazující platnost nároku na odpočet.</w:t>
      </w:r>
    </w:p>
    <w:p w14:paraId="42447E4B" w14:textId="77777777" w:rsidR="000839A4" w:rsidRPr="000839A4" w:rsidRDefault="000839A4" w:rsidP="000839A4">
      <w:pPr>
        <w:keepNext/>
        <w:keepLines/>
        <w:ind w:firstLine="0"/>
        <w:jc w:val="center"/>
        <w:outlineLvl w:val="3"/>
      </w:pPr>
      <w:r w:rsidRPr="000839A4">
        <w:t xml:space="preserve">§ </w:t>
      </w:r>
      <w:fldSimple w:instr=" SEQ § \* Arabic \r38 \* MERGEFORMAT ">
        <w:r w:rsidRPr="000839A4">
          <w:t>38</w:t>
        </w:r>
      </w:fldSimple>
      <w:r w:rsidRPr="000839A4">
        <w:t>la</w:t>
      </w:r>
    </w:p>
    <w:p w14:paraId="58ADC8DA" w14:textId="77777777" w:rsidR="000839A4" w:rsidRPr="000839A4" w:rsidRDefault="000839A4" w:rsidP="000839A4">
      <w:pPr>
        <w:keepNext/>
        <w:keepLines/>
        <w:ind w:firstLine="0"/>
        <w:jc w:val="center"/>
        <w:outlineLvl w:val="3"/>
      </w:pPr>
      <w:r w:rsidRPr="000839A4">
        <w:rPr>
          <w:b/>
        </w:rPr>
        <w:t>Správa paušálních veřejných pojistných</w:t>
      </w:r>
    </w:p>
    <w:p w14:paraId="1DFF4996" w14:textId="77777777" w:rsidR="000839A4" w:rsidRPr="000839A4" w:rsidRDefault="000839A4" w:rsidP="000839A4">
      <w:pPr>
        <w:tabs>
          <w:tab w:val="left" w:pos="782"/>
          <w:tab w:val="left" w:pos="851"/>
        </w:tabs>
        <w:spacing w:before="120" w:after="120"/>
        <w:outlineLvl w:val="6"/>
        <w:rPr>
          <w:noProof/>
          <w:szCs w:val="24"/>
        </w:rPr>
      </w:pPr>
      <w:r w:rsidRPr="000839A4">
        <w:rPr>
          <w:noProof/>
          <w:szCs w:val="24"/>
        </w:rPr>
        <w:t>(1)</w:t>
      </w:r>
      <w:r w:rsidRPr="000839A4">
        <w:rPr>
          <w:noProof/>
          <w:szCs w:val="24"/>
        </w:rPr>
        <w:tab/>
        <w:t xml:space="preserve">Při správě paušálních veřejných pojistných se postupuje podle daňového řádu. Jejich správu vykonávají orgány </w:t>
      </w:r>
      <w:r w:rsidRPr="000839A4">
        <w:rPr>
          <w:szCs w:val="24"/>
        </w:rPr>
        <w:t>Finanční</w:t>
      </w:r>
      <w:r w:rsidRPr="000839A4">
        <w:rPr>
          <w:noProof/>
          <w:szCs w:val="24"/>
        </w:rPr>
        <w:t xml:space="preserve"> správy České republiky. </w:t>
      </w:r>
    </w:p>
    <w:p w14:paraId="65B6B2AB" w14:textId="77777777" w:rsidR="000839A4" w:rsidRPr="000839A4" w:rsidRDefault="000839A4" w:rsidP="000839A4">
      <w:pPr>
        <w:tabs>
          <w:tab w:val="left" w:pos="782"/>
          <w:tab w:val="left" w:pos="851"/>
        </w:tabs>
        <w:spacing w:before="120" w:after="120"/>
        <w:outlineLvl w:val="6"/>
        <w:rPr>
          <w:noProof/>
          <w:szCs w:val="24"/>
        </w:rPr>
      </w:pPr>
      <w:r w:rsidRPr="000839A4">
        <w:rPr>
          <w:noProof/>
          <w:szCs w:val="24"/>
        </w:rPr>
        <w:lastRenderedPageBreak/>
        <w:t>(2)</w:t>
      </w:r>
      <w:r w:rsidRPr="000839A4">
        <w:rPr>
          <w:noProof/>
          <w:szCs w:val="24"/>
        </w:rPr>
        <w:tab/>
        <w:t xml:space="preserve">Zvláštní </w:t>
      </w:r>
      <w:r w:rsidRPr="000839A4">
        <w:rPr>
          <w:szCs w:val="24"/>
        </w:rPr>
        <w:t>účet</w:t>
      </w:r>
      <w:r w:rsidRPr="000839A4">
        <w:rPr>
          <w:noProof/>
          <w:szCs w:val="24"/>
        </w:rPr>
        <w:t xml:space="preserve"> veřejného zdravotního pojištění se pro účely správy paušálních veřejných pojistných a záloh na veřejná pojistná považuje za veřejný rozpočet.</w:t>
      </w:r>
      <w:r w:rsidRPr="000839A4">
        <w:rPr>
          <w:noProof/>
          <w:szCs w:val="24"/>
          <w:highlight w:val="yellow"/>
        </w:rPr>
        <w:t xml:space="preserve"> </w:t>
      </w:r>
    </w:p>
    <w:p w14:paraId="2CF12649" w14:textId="77777777" w:rsidR="000839A4" w:rsidRPr="000839A4" w:rsidRDefault="000839A4" w:rsidP="000839A4">
      <w:pPr>
        <w:tabs>
          <w:tab w:val="left" w:pos="782"/>
          <w:tab w:val="left" w:pos="851"/>
        </w:tabs>
        <w:spacing w:before="120" w:after="120"/>
        <w:outlineLvl w:val="6"/>
        <w:rPr>
          <w:noProof/>
          <w:szCs w:val="24"/>
        </w:rPr>
      </w:pPr>
      <w:r w:rsidRPr="000839A4">
        <w:rPr>
          <w:noProof/>
          <w:szCs w:val="24"/>
        </w:rPr>
        <w:t>(3)</w:t>
      </w:r>
      <w:r w:rsidRPr="000839A4">
        <w:rPr>
          <w:noProof/>
          <w:szCs w:val="24"/>
        </w:rPr>
        <w:tab/>
        <w:t xml:space="preserve">Paušálními </w:t>
      </w:r>
      <w:r w:rsidRPr="000839A4">
        <w:rPr>
          <w:szCs w:val="24"/>
        </w:rPr>
        <w:t>veřejnými</w:t>
      </w:r>
      <w:r w:rsidRPr="000839A4">
        <w:rPr>
          <w:noProof/>
          <w:szCs w:val="24"/>
        </w:rPr>
        <w:t xml:space="preserve"> pojistnými se pro účely paušálního režimu rozumí  </w:t>
      </w:r>
    </w:p>
    <w:p w14:paraId="3A568208" w14:textId="77777777" w:rsidR="000839A4" w:rsidRPr="000839A4" w:rsidRDefault="000839A4" w:rsidP="000839A4">
      <w:pPr>
        <w:spacing w:before="0"/>
        <w:ind w:left="425" w:hanging="425"/>
        <w:outlineLvl w:val="7"/>
      </w:pPr>
      <w:r w:rsidRPr="000839A4">
        <w:t>a)</w:t>
      </w:r>
      <w:r w:rsidRPr="000839A4">
        <w:tab/>
        <w:t xml:space="preserve">paušální pojistné na důchodové pojištění, kterým se pro účely paušálního režimu rozumí pojistné na důchodové pojištění a příspěvek na státní politiku zaměstnanosti podle zákona upravujícího pojistné na sociální zabezpečení a příspěvek na státní politiku zaměstnanosti poplatníka, jehož daň je rovna paušální dani, a </w:t>
      </w:r>
    </w:p>
    <w:p w14:paraId="23C739A3" w14:textId="77777777" w:rsidR="000839A4" w:rsidRPr="000839A4" w:rsidRDefault="000839A4" w:rsidP="000839A4">
      <w:pPr>
        <w:spacing w:before="0"/>
        <w:ind w:left="425" w:hanging="425"/>
        <w:outlineLvl w:val="7"/>
      </w:pPr>
      <w:r w:rsidRPr="000839A4">
        <w:t>b)</w:t>
      </w:r>
      <w:r w:rsidRPr="000839A4">
        <w:tab/>
        <w:t>paušální pojistné na zdravotní pojištění, kterým se pro účely paušálního režimu rozumí pojistné na veřejné zdravotní pojištění podle zákona upravujícího pojistné na veřejné zdravotní pojištění poplatníka, jehož daň je rovna paušální dani.</w:t>
      </w:r>
    </w:p>
    <w:p w14:paraId="2CFAD5B1" w14:textId="77777777" w:rsidR="000839A4" w:rsidRPr="000839A4" w:rsidRDefault="000839A4" w:rsidP="00FE4A0D">
      <w:pPr>
        <w:keepNext/>
        <w:keepLines/>
        <w:numPr>
          <w:ilvl w:val="0"/>
          <w:numId w:val="86"/>
        </w:numPr>
        <w:spacing w:before="120"/>
        <w:jc w:val="center"/>
        <w:outlineLvl w:val="5"/>
      </w:pPr>
      <w:r w:rsidRPr="000839A4">
        <w:t xml:space="preserve">§ </w:t>
      </w:r>
      <w:fldSimple w:instr=" SEQ § \* Arabic \r38 \* MERGEFORMAT ">
        <w:r w:rsidRPr="000839A4">
          <w:t>38</w:t>
        </w:r>
      </w:fldSimple>
      <w:r w:rsidRPr="000839A4">
        <w:t>lb</w:t>
      </w:r>
    </w:p>
    <w:p w14:paraId="2DE4B8F9" w14:textId="77777777" w:rsidR="000839A4" w:rsidRPr="000839A4" w:rsidRDefault="000839A4" w:rsidP="00FE4A0D">
      <w:pPr>
        <w:keepNext/>
        <w:keepLines/>
        <w:numPr>
          <w:ilvl w:val="0"/>
          <w:numId w:val="86"/>
        </w:numPr>
        <w:spacing w:before="120"/>
        <w:jc w:val="center"/>
        <w:outlineLvl w:val="5"/>
      </w:pPr>
      <w:r w:rsidRPr="000839A4">
        <w:rPr>
          <w:b/>
        </w:rPr>
        <w:t>Registrační povinnost poplatníka v paušálním režimu</w:t>
      </w:r>
    </w:p>
    <w:p w14:paraId="3A9901D9" w14:textId="77777777" w:rsidR="000839A4" w:rsidRPr="000839A4" w:rsidRDefault="000839A4" w:rsidP="000839A4">
      <w:pPr>
        <w:tabs>
          <w:tab w:val="left" w:pos="782"/>
          <w:tab w:val="left" w:pos="851"/>
        </w:tabs>
        <w:spacing w:before="120" w:after="120"/>
        <w:outlineLvl w:val="6"/>
        <w:rPr>
          <w:noProof/>
          <w:szCs w:val="24"/>
        </w:rPr>
      </w:pPr>
      <w:r w:rsidRPr="000839A4">
        <w:rPr>
          <w:noProof/>
          <w:szCs w:val="24"/>
        </w:rPr>
        <w:t>(1)</w:t>
      </w:r>
      <w:r w:rsidRPr="000839A4">
        <w:rPr>
          <w:noProof/>
          <w:szCs w:val="24"/>
        </w:rPr>
        <w:tab/>
        <w:t xml:space="preserve">Poplatník daně z příjmů fyzických osob, který zahajuje činnost, ze které plynou příjmy ze samostatné činnosti, a podává oznámení o vstupu do paušálního režimu, je povinen podat přihlášku k registraci k dani z příjmů fyzických osob nejpozději v poslední den lhůty pro podání oznámení o vstupu do paušálního režimu. </w:t>
      </w:r>
    </w:p>
    <w:p w14:paraId="1AE8B00F" w14:textId="77777777" w:rsidR="000839A4" w:rsidRPr="000839A4" w:rsidRDefault="000839A4" w:rsidP="000839A4">
      <w:pPr>
        <w:tabs>
          <w:tab w:val="num" w:pos="782"/>
          <w:tab w:val="left" w:pos="851"/>
        </w:tabs>
        <w:spacing w:before="120" w:after="120"/>
        <w:outlineLvl w:val="6"/>
      </w:pPr>
      <w:r w:rsidRPr="000839A4">
        <w:t>(2)</w:t>
      </w:r>
      <w:r w:rsidRPr="000839A4">
        <w:tab/>
        <w:t xml:space="preserve">Lhůta podle odstavce 1 je zachována, je-li nejpozději v poslední den lhůty učiněno živnostenskému úřadu podání obsahující údaje požadované v přihlášce k registraci k dani z příjmů fyzických osob společně s ohlášením živnosti nebo žádostí o koncesi. </w:t>
      </w:r>
    </w:p>
    <w:p w14:paraId="6BB6FB33" w14:textId="77777777" w:rsidR="000839A4" w:rsidRPr="000839A4" w:rsidRDefault="000839A4" w:rsidP="00FE4A0D">
      <w:pPr>
        <w:keepNext/>
        <w:keepLines/>
        <w:numPr>
          <w:ilvl w:val="0"/>
          <w:numId w:val="86"/>
        </w:numPr>
        <w:spacing w:before="120"/>
        <w:jc w:val="center"/>
        <w:outlineLvl w:val="5"/>
      </w:pPr>
      <w:r w:rsidRPr="000839A4">
        <w:t xml:space="preserve">§ </w:t>
      </w:r>
      <w:fldSimple w:instr=" SEQ § \* Arabic \r38 \* MERGEFORMAT ">
        <w:r w:rsidRPr="000839A4">
          <w:t>38</w:t>
        </w:r>
      </w:fldSimple>
      <w:r w:rsidRPr="000839A4">
        <w:t>lc</w:t>
      </w:r>
    </w:p>
    <w:p w14:paraId="65CFC5DE" w14:textId="77777777" w:rsidR="000839A4" w:rsidRPr="000839A4" w:rsidRDefault="000839A4" w:rsidP="00FE4A0D">
      <w:pPr>
        <w:keepNext/>
        <w:keepLines/>
        <w:numPr>
          <w:ilvl w:val="0"/>
          <w:numId w:val="86"/>
        </w:numPr>
        <w:spacing w:before="120"/>
        <w:jc w:val="center"/>
        <w:outlineLvl w:val="5"/>
      </w:pPr>
      <w:r w:rsidRPr="000839A4">
        <w:rPr>
          <w:b/>
        </w:rPr>
        <w:t>Oznámení o vstupu do paušálního režimu</w:t>
      </w:r>
    </w:p>
    <w:p w14:paraId="6EE6B6AE" w14:textId="77777777" w:rsidR="000839A4" w:rsidRPr="000839A4" w:rsidRDefault="000839A4" w:rsidP="000839A4">
      <w:pPr>
        <w:tabs>
          <w:tab w:val="num" w:pos="782"/>
          <w:tab w:val="left" w:pos="851"/>
        </w:tabs>
        <w:spacing w:before="120" w:after="120"/>
        <w:outlineLvl w:val="6"/>
      </w:pPr>
      <w:r w:rsidRPr="000839A4">
        <w:t>(1)</w:t>
      </w:r>
      <w:r w:rsidRPr="000839A4">
        <w:tab/>
        <w:t xml:space="preserve">Oznámení o vstupu do paušálního režimu může poplatník daně z příjmů fyzických osob podat správci daně do desátého dne rozhodného zdaňovacího období. </w:t>
      </w:r>
    </w:p>
    <w:p w14:paraId="23FB13AB" w14:textId="77777777" w:rsidR="000839A4" w:rsidRPr="000839A4" w:rsidRDefault="000839A4" w:rsidP="000839A4">
      <w:pPr>
        <w:tabs>
          <w:tab w:val="num" w:pos="782"/>
          <w:tab w:val="left" w:pos="851"/>
        </w:tabs>
        <w:spacing w:before="120" w:after="120"/>
        <w:outlineLvl w:val="6"/>
      </w:pPr>
      <w:r w:rsidRPr="000839A4">
        <w:t>(2)</w:t>
      </w:r>
      <w:r w:rsidRPr="000839A4">
        <w:tab/>
        <w:t xml:space="preserve">Poplatník daně z příjmů fyzických osob, který zahajuje činnost, ze které plynou příjmy ze samostatné činnosti,  po desátém dni rozhodného zdaňovacího období, může oznámení o vstupu do paušálního režimu podat správci daně do dne zahájení této činnosti. </w:t>
      </w:r>
    </w:p>
    <w:p w14:paraId="722E54AB" w14:textId="77777777" w:rsidR="000839A4" w:rsidRPr="000839A4" w:rsidRDefault="000839A4" w:rsidP="000839A4">
      <w:pPr>
        <w:tabs>
          <w:tab w:val="num" w:pos="782"/>
          <w:tab w:val="left" w:pos="851"/>
        </w:tabs>
        <w:spacing w:before="120" w:after="120"/>
        <w:outlineLvl w:val="6"/>
      </w:pPr>
      <w:r w:rsidRPr="000839A4">
        <w:t>(3) Poplatník daně z příjmů fyzických osob, který přestal být poplatníkem v paušálním režimu z důvodu, že přerušil činnost, ze které plynou příjmy ze samostatné činnosti, a ve stejném zdaňovacím období tuto činnost znovu zahajuje, podá oznámení o vstupu do paušálního režimu do dne zahájení této činnosti.</w:t>
      </w:r>
    </w:p>
    <w:p w14:paraId="7673243F" w14:textId="77777777" w:rsidR="000839A4" w:rsidRPr="000839A4" w:rsidRDefault="000839A4" w:rsidP="000839A4">
      <w:pPr>
        <w:tabs>
          <w:tab w:val="num" w:pos="782"/>
          <w:tab w:val="left" w:pos="851"/>
        </w:tabs>
        <w:spacing w:before="120" w:after="120"/>
        <w:outlineLvl w:val="6"/>
      </w:pPr>
      <w:r w:rsidRPr="000839A4">
        <w:t>(4)</w:t>
      </w:r>
      <w:r w:rsidRPr="000839A4">
        <w:tab/>
        <w:t>Oznámení o vstupu do paušálního režimu je formulářovým podáním.</w:t>
      </w:r>
    </w:p>
    <w:p w14:paraId="3A42761B" w14:textId="77777777" w:rsidR="000839A4" w:rsidRPr="000839A4" w:rsidRDefault="000839A4" w:rsidP="000839A4">
      <w:pPr>
        <w:tabs>
          <w:tab w:val="num" w:pos="782"/>
          <w:tab w:val="left" w:pos="851"/>
        </w:tabs>
        <w:spacing w:before="120" w:after="120"/>
        <w:outlineLvl w:val="6"/>
      </w:pPr>
      <w:r w:rsidRPr="000839A4">
        <w:t>(5)</w:t>
      </w:r>
      <w:r w:rsidRPr="000839A4">
        <w:tab/>
        <w:t>V oznámení o vstupu do paušálního režimu je poplatník povinen kromě obecných náležitostí formulářového podání uvést</w:t>
      </w:r>
    </w:p>
    <w:p w14:paraId="22B9AEF8" w14:textId="77777777" w:rsidR="000839A4" w:rsidRPr="000839A4" w:rsidRDefault="000839A4" w:rsidP="000839A4">
      <w:pPr>
        <w:spacing w:before="0"/>
        <w:ind w:left="425" w:hanging="425"/>
        <w:outlineLvl w:val="7"/>
      </w:pPr>
      <w:r w:rsidRPr="000839A4">
        <w:t>a)</w:t>
      </w:r>
      <w:r w:rsidRPr="000839A4">
        <w:tab/>
        <w:t xml:space="preserve">údaje o vstupu do paušálního režimu, </w:t>
      </w:r>
    </w:p>
    <w:p w14:paraId="487A2CAC" w14:textId="77777777" w:rsidR="000839A4" w:rsidRPr="000839A4" w:rsidRDefault="000839A4" w:rsidP="000839A4">
      <w:pPr>
        <w:spacing w:before="0"/>
        <w:ind w:left="425" w:hanging="425"/>
        <w:outlineLvl w:val="7"/>
      </w:pPr>
      <w:r w:rsidRPr="000839A4">
        <w:t>b)</w:t>
      </w:r>
      <w:r w:rsidRPr="000839A4">
        <w:tab/>
        <w:t>údaje o důchodovém pojištění poplatníka a</w:t>
      </w:r>
    </w:p>
    <w:p w14:paraId="12108E64" w14:textId="77777777" w:rsidR="000839A4" w:rsidRPr="000839A4" w:rsidRDefault="000839A4" w:rsidP="000839A4">
      <w:pPr>
        <w:spacing w:before="0"/>
        <w:ind w:left="425" w:hanging="425"/>
        <w:outlineLvl w:val="7"/>
      </w:pPr>
      <w:r w:rsidRPr="000839A4">
        <w:t>c)</w:t>
      </w:r>
      <w:r w:rsidRPr="000839A4">
        <w:tab/>
        <w:t>údaje veřejném zdravotním pojištění poplatníka.</w:t>
      </w:r>
    </w:p>
    <w:p w14:paraId="203345E2" w14:textId="77777777" w:rsidR="000839A4" w:rsidRPr="000839A4" w:rsidRDefault="000839A4" w:rsidP="000839A4">
      <w:pPr>
        <w:tabs>
          <w:tab w:val="num" w:pos="782"/>
          <w:tab w:val="left" w:pos="851"/>
        </w:tabs>
        <w:spacing w:before="120" w:after="120"/>
        <w:outlineLvl w:val="6"/>
      </w:pPr>
      <w:r w:rsidRPr="000839A4">
        <w:t xml:space="preserve"> (6)</w:t>
      </w:r>
      <w:r w:rsidRPr="000839A4">
        <w:tab/>
        <w:t xml:space="preserve">Oznámení o vstupu do paušálního režimu podané po lhůtě podle odstavce 1 nebo 2 je neúčinné. Tuto lhůtu nelze navrátit v předešlý stav. </w:t>
      </w:r>
    </w:p>
    <w:p w14:paraId="6A0CA160" w14:textId="77777777" w:rsidR="000839A4" w:rsidRPr="000839A4" w:rsidRDefault="000839A4" w:rsidP="000839A4">
      <w:pPr>
        <w:tabs>
          <w:tab w:val="num" w:pos="782"/>
          <w:tab w:val="left" w:pos="851"/>
        </w:tabs>
        <w:spacing w:before="120" w:after="120"/>
        <w:outlineLvl w:val="6"/>
      </w:pPr>
      <w:r w:rsidRPr="000839A4">
        <w:t>(7)</w:t>
      </w:r>
      <w:r w:rsidRPr="000839A4">
        <w:tab/>
        <w:t xml:space="preserve">Lhůta podle odstavce 1, 2 nebo 3 je zachována, je-li nejpozději v poslední den této lhůty učiněno živnostenskému úřadu podání obsahující údaje požadované v oznámení o vstupu do paušálního režimu společně s ohlášením živnosti nebo žádostí o koncesi. </w:t>
      </w:r>
    </w:p>
    <w:p w14:paraId="0197DB83" w14:textId="77777777" w:rsidR="000839A4" w:rsidRPr="000839A4" w:rsidRDefault="000839A4" w:rsidP="00FE4A0D">
      <w:pPr>
        <w:keepNext/>
        <w:keepLines/>
        <w:numPr>
          <w:ilvl w:val="0"/>
          <w:numId w:val="86"/>
        </w:numPr>
        <w:spacing w:before="120"/>
        <w:jc w:val="center"/>
        <w:outlineLvl w:val="5"/>
      </w:pPr>
      <w:r w:rsidRPr="000839A4">
        <w:lastRenderedPageBreak/>
        <w:t xml:space="preserve">§ </w:t>
      </w:r>
      <w:fldSimple w:instr=" SEQ § \* Arabic \r38 \* MERGEFORMAT ">
        <w:r w:rsidRPr="000839A4">
          <w:t>38</w:t>
        </w:r>
      </w:fldSimple>
      <w:r w:rsidRPr="000839A4">
        <w:t>ld</w:t>
      </w:r>
    </w:p>
    <w:p w14:paraId="39CCD8D4" w14:textId="77777777" w:rsidR="000839A4" w:rsidRPr="000839A4" w:rsidRDefault="000839A4" w:rsidP="00FE4A0D">
      <w:pPr>
        <w:keepNext/>
        <w:keepLines/>
        <w:numPr>
          <w:ilvl w:val="0"/>
          <w:numId w:val="86"/>
        </w:numPr>
        <w:spacing w:before="120"/>
        <w:jc w:val="center"/>
        <w:outlineLvl w:val="5"/>
      </w:pPr>
      <w:r w:rsidRPr="000839A4">
        <w:rPr>
          <w:b/>
        </w:rPr>
        <w:t>Společné oznámení</w:t>
      </w:r>
      <w:r w:rsidRPr="000839A4">
        <w:t xml:space="preserve"> </w:t>
      </w:r>
    </w:p>
    <w:p w14:paraId="02A70540" w14:textId="77777777" w:rsidR="000839A4" w:rsidRPr="000839A4" w:rsidRDefault="000839A4" w:rsidP="000839A4">
      <w:pPr>
        <w:tabs>
          <w:tab w:val="num" w:pos="782"/>
          <w:tab w:val="left" w:pos="851"/>
        </w:tabs>
        <w:spacing w:before="120" w:after="120"/>
        <w:outlineLvl w:val="6"/>
      </w:pPr>
      <w:r w:rsidRPr="000839A4">
        <w:t>(1)</w:t>
      </w:r>
      <w:r w:rsidRPr="000839A4">
        <w:tab/>
        <w:t>Poplatník daně z příjmů fyzických osob může společně s oznámením o vstupu do paušálního režimu správci daně učinit podání obsahující údaje požadované v oznámení o zahájení samostatné výdělečné činnosti podle zákona upravujícího organizaci a provádění sociálního zabezpečení nebo v oznámení o zahájení samostatné výdělečné činnosti podle zákona upravujícího veřejné zdravotní pojištění nebo údaje o přihlášení k nemocenskému pojištění podle zákona upravujícího nemocenské pojištění.</w:t>
      </w:r>
    </w:p>
    <w:p w14:paraId="5C812B16" w14:textId="77777777" w:rsidR="000839A4" w:rsidRPr="000839A4" w:rsidRDefault="000839A4" w:rsidP="000839A4">
      <w:pPr>
        <w:tabs>
          <w:tab w:val="num" w:pos="782"/>
          <w:tab w:val="left" w:pos="851"/>
        </w:tabs>
        <w:spacing w:before="120" w:after="120"/>
        <w:outlineLvl w:val="6"/>
      </w:pPr>
      <w:r w:rsidRPr="000839A4">
        <w:t>(2)</w:t>
      </w:r>
      <w:r w:rsidRPr="000839A4">
        <w:tab/>
        <w:t xml:space="preserve">Podání podle odstavce 1 lze podat jen způsoby podle § 38lc odst. 4.  </w:t>
      </w:r>
    </w:p>
    <w:p w14:paraId="625EC5BB" w14:textId="77777777" w:rsidR="000839A4" w:rsidRPr="000839A4" w:rsidRDefault="000839A4" w:rsidP="000839A4">
      <w:pPr>
        <w:tabs>
          <w:tab w:val="num" w:pos="782"/>
          <w:tab w:val="left" w:pos="851"/>
        </w:tabs>
        <w:spacing w:before="120" w:after="120"/>
        <w:outlineLvl w:val="6"/>
      </w:pPr>
      <w:r w:rsidRPr="000839A4">
        <w:t>(3)</w:t>
      </w:r>
      <w:r w:rsidRPr="000839A4">
        <w:tab/>
        <w:t>Správce daně do 5 pracovních dnů ode dne, kdy poplatník učinil podání podle odstavce 1, předá v elektronické podobě údaje podle odstavce 1 příslušné okresní správě sociálního zabezpečení nebo správci registru všech pojištěnců veřejného zdravotního pojištění.</w:t>
      </w:r>
    </w:p>
    <w:p w14:paraId="68D48680" w14:textId="77777777" w:rsidR="000839A4" w:rsidRPr="000839A4" w:rsidRDefault="000839A4" w:rsidP="000839A4">
      <w:pPr>
        <w:tabs>
          <w:tab w:val="num" w:pos="782"/>
          <w:tab w:val="left" w:pos="851"/>
        </w:tabs>
        <w:spacing w:before="120" w:after="120"/>
        <w:outlineLvl w:val="6"/>
      </w:pPr>
      <w:r w:rsidRPr="000839A4">
        <w:t>(4)</w:t>
      </w:r>
      <w:r w:rsidRPr="000839A4">
        <w:tab/>
        <w:t>Na předání údajů podle odstavce 3 se hledí jako na podání oznámení o zahájení samostatné výdělečné činnosti podle zákona upravujícího organizaci a provádění sociálního zabezpečení, oznámení o zahájení samostatné výdělečné činnosti podle zákona upravujícího veřejné zdravotní pojištění nebo přihlášky k nemocenskému pojištění podle zákona upravujícího nemocenské pojištění, které učinil poplatník.</w:t>
      </w:r>
    </w:p>
    <w:p w14:paraId="3C38C819" w14:textId="77777777" w:rsidR="000839A4" w:rsidRPr="000839A4" w:rsidRDefault="000839A4" w:rsidP="00D90D00">
      <w:pPr>
        <w:keepNext/>
        <w:keepLines/>
        <w:numPr>
          <w:ilvl w:val="0"/>
          <w:numId w:val="86"/>
        </w:numPr>
        <w:jc w:val="center"/>
        <w:outlineLvl w:val="5"/>
      </w:pPr>
      <w:r w:rsidRPr="000839A4">
        <w:t>§ 38lda</w:t>
      </w:r>
    </w:p>
    <w:p w14:paraId="69613AA0" w14:textId="77777777" w:rsidR="000839A4" w:rsidRPr="000839A4" w:rsidRDefault="000839A4" w:rsidP="00D90D00">
      <w:pPr>
        <w:keepNext/>
        <w:keepLines/>
        <w:numPr>
          <w:ilvl w:val="0"/>
          <w:numId w:val="86"/>
        </w:numPr>
        <w:jc w:val="center"/>
        <w:outlineLvl w:val="5"/>
      </w:pPr>
      <w:r w:rsidRPr="000839A4">
        <w:rPr>
          <w:b/>
        </w:rPr>
        <w:t>Oznámení o změně zvoleného pásma paušálního režimu</w:t>
      </w:r>
      <w:r w:rsidRPr="000839A4" w:rsidDel="00992DE8">
        <w:rPr>
          <w:b/>
        </w:rPr>
        <w:t xml:space="preserve"> </w:t>
      </w:r>
    </w:p>
    <w:p w14:paraId="5212FA45" w14:textId="77777777" w:rsidR="000839A4" w:rsidRPr="000839A4" w:rsidRDefault="000839A4" w:rsidP="000839A4">
      <w:pPr>
        <w:tabs>
          <w:tab w:val="num" w:pos="782"/>
          <w:tab w:val="left" w:pos="851"/>
        </w:tabs>
        <w:spacing w:before="120" w:after="120"/>
        <w:outlineLvl w:val="6"/>
      </w:pPr>
      <w:r w:rsidRPr="000839A4">
        <w:t>(1)</w:t>
      </w:r>
      <w:r w:rsidRPr="000839A4">
        <w:tab/>
        <w:t>Oznámení o změně zvoleného pásma paušálního režimu může poplatník v paušálním režimu podat správci daně do desátého dne zdaňovacího období, od kterého mění zvolené pásmo paušálního režimu.</w:t>
      </w:r>
    </w:p>
    <w:p w14:paraId="3D18035B" w14:textId="77777777" w:rsidR="000839A4" w:rsidRPr="000839A4" w:rsidRDefault="000839A4" w:rsidP="000839A4">
      <w:pPr>
        <w:tabs>
          <w:tab w:val="num" w:pos="782"/>
          <w:tab w:val="left" w:pos="851"/>
        </w:tabs>
        <w:spacing w:before="120" w:after="120"/>
        <w:outlineLvl w:val="6"/>
      </w:pPr>
      <w:r w:rsidRPr="000839A4">
        <w:t>(2)</w:t>
      </w:r>
      <w:r w:rsidRPr="000839A4">
        <w:tab/>
        <w:t xml:space="preserve">V oznámení o změně zvoleného pásma paušálního režimu je poplatník povinen kromě obecných náležitostí podání uvést </w:t>
      </w:r>
    </w:p>
    <w:p w14:paraId="5D458F2D" w14:textId="77777777" w:rsidR="000839A4" w:rsidRPr="000839A4" w:rsidRDefault="000839A4" w:rsidP="000839A4">
      <w:pPr>
        <w:tabs>
          <w:tab w:val="left" w:pos="426"/>
        </w:tabs>
        <w:spacing w:before="0"/>
        <w:ind w:firstLine="0"/>
        <w:outlineLvl w:val="7"/>
      </w:pPr>
      <w:r w:rsidRPr="000839A4">
        <w:t>a)</w:t>
      </w:r>
      <w:r w:rsidRPr="000839A4">
        <w:tab/>
        <w:t>zdaňovací období, od kterého mění zvolené pásmo paušálního režimu, a</w:t>
      </w:r>
    </w:p>
    <w:p w14:paraId="50929860" w14:textId="77777777" w:rsidR="000839A4" w:rsidRPr="000839A4" w:rsidRDefault="000839A4" w:rsidP="000839A4">
      <w:pPr>
        <w:tabs>
          <w:tab w:val="left" w:pos="426"/>
        </w:tabs>
        <w:spacing w:before="0"/>
        <w:ind w:firstLine="0"/>
        <w:outlineLvl w:val="7"/>
      </w:pPr>
      <w:r w:rsidRPr="000839A4">
        <w:t>b)</w:t>
      </w:r>
      <w:r w:rsidRPr="000839A4">
        <w:tab/>
        <w:t>nově zvolené pásmo paušálního režimu.</w:t>
      </w:r>
    </w:p>
    <w:p w14:paraId="22EC6B5A" w14:textId="77777777" w:rsidR="000839A4" w:rsidRPr="000839A4" w:rsidRDefault="000839A4" w:rsidP="000839A4">
      <w:pPr>
        <w:tabs>
          <w:tab w:val="num" w:pos="782"/>
          <w:tab w:val="left" w:pos="851"/>
        </w:tabs>
        <w:spacing w:before="120" w:after="120"/>
        <w:outlineLvl w:val="6"/>
      </w:pPr>
      <w:r w:rsidRPr="000839A4">
        <w:t>(3)</w:t>
      </w:r>
      <w:r w:rsidRPr="000839A4">
        <w:tab/>
        <w:t>Oznámení o změně zvoleného pásma paušálního režimu podané po lhůtě podle odstavce 1 je neúčinné. Tuto lhůtu nelze navrátit v předešlý stav.</w:t>
      </w:r>
    </w:p>
    <w:p w14:paraId="62DF1251" w14:textId="77777777" w:rsidR="000839A4" w:rsidRPr="000839A4" w:rsidRDefault="000839A4" w:rsidP="00D90D00">
      <w:pPr>
        <w:keepNext/>
        <w:keepLines/>
        <w:numPr>
          <w:ilvl w:val="0"/>
          <w:numId w:val="86"/>
        </w:numPr>
        <w:jc w:val="center"/>
        <w:outlineLvl w:val="5"/>
        <w:rPr>
          <w:b/>
        </w:rPr>
      </w:pPr>
      <w:r w:rsidRPr="000839A4">
        <w:t>§ 38ldb</w:t>
      </w:r>
    </w:p>
    <w:p w14:paraId="22CE973A" w14:textId="77777777" w:rsidR="000839A4" w:rsidRPr="000839A4" w:rsidRDefault="000839A4" w:rsidP="00D90D00">
      <w:pPr>
        <w:keepNext/>
        <w:keepLines/>
        <w:numPr>
          <w:ilvl w:val="0"/>
          <w:numId w:val="86"/>
        </w:numPr>
        <w:jc w:val="center"/>
        <w:outlineLvl w:val="5"/>
        <w:rPr>
          <w:b/>
        </w:rPr>
      </w:pPr>
      <w:r w:rsidRPr="000839A4">
        <w:rPr>
          <w:b/>
        </w:rPr>
        <w:t>Oznámení o jiné výši paušální daně</w:t>
      </w:r>
    </w:p>
    <w:p w14:paraId="6A8C51D4" w14:textId="77777777" w:rsidR="000839A4" w:rsidRPr="000839A4" w:rsidRDefault="000839A4" w:rsidP="000839A4">
      <w:pPr>
        <w:tabs>
          <w:tab w:val="num" w:pos="782"/>
          <w:tab w:val="left" w:pos="851"/>
        </w:tabs>
        <w:spacing w:before="120" w:after="120"/>
        <w:outlineLvl w:val="6"/>
      </w:pPr>
      <w:r w:rsidRPr="000839A4">
        <w:t>(1)</w:t>
      </w:r>
      <w:r w:rsidRPr="000839A4">
        <w:tab/>
        <w:t>Oznámení o jiné výši paušální daně může poplatník v paušálním režimu podat správci daně do desátého dne zdaňovacího období bezprostředně následujícího po zdaňovacím období, ve kterém nepřesáhl rozhodné příjmy pro jiné než zvolené pásmo paušálního režimu.</w:t>
      </w:r>
    </w:p>
    <w:p w14:paraId="242C0FFA" w14:textId="77777777" w:rsidR="000839A4" w:rsidRPr="000839A4" w:rsidRDefault="000839A4" w:rsidP="000839A4">
      <w:pPr>
        <w:tabs>
          <w:tab w:val="num" w:pos="782"/>
          <w:tab w:val="left" w:pos="851"/>
        </w:tabs>
        <w:spacing w:before="120" w:after="120"/>
        <w:outlineLvl w:val="6"/>
      </w:pPr>
      <w:r w:rsidRPr="000839A4">
        <w:t>(2)</w:t>
      </w:r>
      <w:r w:rsidRPr="000839A4">
        <w:tab/>
        <w:t>V oznámení o jiné výši paušální daně je poplatník povinen kromě obecných náležitostí podání uvést</w:t>
      </w:r>
    </w:p>
    <w:p w14:paraId="496DBB1E" w14:textId="77777777" w:rsidR="000839A4" w:rsidRPr="000839A4" w:rsidRDefault="000839A4" w:rsidP="000839A4">
      <w:pPr>
        <w:tabs>
          <w:tab w:val="left" w:pos="426"/>
        </w:tabs>
        <w:spacing w:before="0"/>
        <w:ind w:firstLine="0"/>
        <w:outlineLvl w:val="7"/>
      </w:pPr>
      <w:r w:rsidRPr="000839A4">
        <w:t>a)</w:t>
      </w:r>
      <w:r w:rsidRPr="000839A4">
        <w:tab/>
        <w:t>zdaňovací období, za které má být paušální daň v jiné výši,</w:t>
      </w:r>
    </w:p>
    <w:p w14:paraId="11B04AD0" w14:textId="77777777" w:rsidR="000839A4" w:rsidRPr="000839A4" w:rsidRDefault="000839A4" w:rsidP="000839A4">
      <w:pPr>
        <w:tabs>
          <w:tab w:val="left" w:pos="426"/>
        </w:tabs>
        <w:spacing w:before="0"/>
        <w:ind w:firstLine="0"/>
        <w:outlineLvl w:val="7"/>
      </w:pPr>
      <w:r w:rsidRPr="000839A4">
        <w:t>b)</w:t>
      </w:r>
      <w:r w:rsidRPr="000839A4">
        <w:tab/>
        <w:t>pásmo paušálního režimu určující výši paušální daně a</w:t>
      </w:r>
    </w:p>
    <w:p w14:paraId="3332CA08" w14:textId="77777777" w:rsidR="000839A4" w:rsidRPr="000839A4" w:rsidRDefault="000839A4" w:rsidP="000839A4">
      <w:pPr>
        <w:tabs>
          <w:tab w:val="left" w:pos="426"/>
        </w:tabs>
        <w:spacing w:before="0"/>
        <w:ind w:firstLine="0"/>
        <w:outlineLvl w:val="7"/>
      </w:pPr>
      <w:r w:rsidRPr="000839A4">
        <w:t>c)</w:t>
      </w:r>
      <w:r w:rsidRPr="000839A4">
        <w:tab/>
        <w:t>skutečnost, zda překročil rozhodné příjmy pro zvolené pásmo paušálního režimu.</w:t>
      </w:r>
    </w:p>
    <w:p w14:paraId="3E7D5EC9" w14:textId="77777777" w:rsidR="000839A4" w:rsidRPr="000839A4" w:rsidRDefault="000839A4" w:rsidP="000839A4">
      <w:pPr>
        <w:tabs>
          <w:tab w:val="num" w:pos="782"/>
          <w:tab w:val="left" w:pos="851"/>
        </w:tabs>
        <w:spacing w:before="120" w:after="120"/>
        <w:outlineLvl w:val="6"/>
      </w:pPr>
      <w:r w:rsidRPr="000839A4" w:rsidDel="00BA1AB0">
        <w:t xml:space="preserve"> </w:t>
      </w:r>
      <w:r w:rsidRPr="000839A4">
        <w:t>(3)</w:t>
      </w:r>
      <w:r w:rsidRPr="000839A4">
        <w:tab/>
        <w:t>Oznámení o jiné výši paušální daně podané po lhůtě podle odstavce 1 je neúčinné. Tuto lhůtu nelze navrátit v předešlý stav.</w:t>
      </w:r>
    </w:p>
    <w:p w14:paraId="6AAA229A" w14:textId="77777777" w:rsidR="000839A4" w:rsidRPr="000839A4" w:rsidRDefault="000839A4" w:rsidP="00D90D00">
      <w:pPr>
        <w:keepNext/>
        <w:keepLines/>
        <w:numPr>
          <w:ilvl w:val="0"/>
          <w:numId w:val="86"/>
        </w:numPr>
        <w:jc w:val="center"/>
        <w:outlineLvl w:val="5"/>
      </w:pPr>
      <w:r w:rsidRPr="000839A4">
        <w:lastRenderedPageBreak/>
        <w:t xml:space="preserve">§ </w:t>
      </w:r>
      <w:fldSimple w:instr=" SEQ § \* Arabic \r38 \* MERGEFORMAT ">
        <w:r w:rsidRPr="000839A4">
          <w:t>38</w:t>
        </w:r>
      </w:fldSimple>
      <w:r w:rsidRPr="000839A4">
        <w:t>le</w:t>
      </w:r>
    </w:p>
    <w:p w14:paraId="1BFE6921" w14:textId="77777777" w:rsidR="000839A4" w:rsidRPr="000839A4" w:rsidRDefault="000839A4" w:rsidP="00D90D00">
      <w:pPr>
        <w:keepNext/>
        <w:keepLines/>
        <w:numPr>
          <w:ilvl w:val="0"/>
          <w:numId w:val="86"/>
        </w:numPr>
        <w:jc w:val="center"/>
        <w:outlineLvl w:val="5"/>
      </w:pPr>
      <w:r w:rsidRPr="000839A4">
        <w:rPr>
          <w:b/>
        </w:rPr>
        <w:t>Oznámení o dobrovolném vystoupení z paušálního režimu</w:t>
      </w:r>
    </w:p>
    <w:p w14:paraId="0A13E225" w14:textId="77777777" w:rsidR="000839A4" w:rsidRPr="000839A4" w:rsidRDefault="000839A4" w:rsidP="000839A4">
      <w:pPr>
        <w:tabs>
          <w:tab w:val="num" w:pos="782"/>
          <w:tab w:val="left" w:pos="851"/>
        </w:tabs>
        <w:spacing w:before="120" w:after="120"/>
        <w:outlineLvl w:val="6"/>
      </w:pPr>
      <w:r w:rsidRPr="000839A4">
        <w:t>(1)</w:t>
      </w:r>
      <w:r w:rsidRPr="000839A4">
        <w:tab/>
        <w:t xml:space="preserve">Oznámení o dobrovolném vystoupení z paušálního režimu může poplatník v paušálním režimu podat správci daně do desátého dne zdaňovacího období bezprostředně následujícího po zdaňovacím období, jehož uplynutím přestane být poplatníkem v paušálním režimu. </w:t>
      </w:r>
    </w:p>
    <w:p w14:paraId="37D76009" w14:textId="77777777" w:rsidR="000839A4" w:rsidRPr="000839A4" w:rsidRDefault="000839A4" w:rsidP="000839A4">
      <w:pPr>
        <w:tabs>
          <w:tab w:val="num" w:pos="782"/>
          <w:tab w:val="left" w:pos="851"/>
        </w:tabs>
        <w:spacing w:before="120" w:after="120"/>
        <w:outlineLvl w:val="6"/>
      </w:pPr>
      <w:r w:rsidRPr="000839A4">
        <w:t>(2)</w:t>
      </w:r>
      <w:r w:rsidRPr="000839A4">
        <w:tab/>
        <w:t>V oznámení o dobrovolném vystoupení z paušálního režimu poplatník uvede zdaňovací období, jehož uplynutím přestane být poplatníkem v paušálním režimu.</w:t>
      </w:r>
    </w:p>
    <w:p w14:paraId="5C8C14C1" w14:textId="77777777" w:rsidR="000839A4" w:rsidRPr="000839A4" w:rsidRDefault="000839A4" w:rsidP="000839A4">
      <w:pPr>
        <w:tabs>
          <w:tab w:val="num" w:pos="782"/>
          <w:tab w:val="left" w:pos="851"/>
        </w:tabs>
        <w:spacing w:before="120" w:after="120"/>
        <w:outlineLvl w:val="6"/>
      </w:pPr>
      <w:r w:rsidRPr="000839A4">
        <w:t>(3)</w:t>
      </w:r>
      <w:r w:rsidRPr="000839A4">
        <w:tab/>
        <w:t xml:space="preserve">Oznámení o dobrovolném vystoupení z paušálního režimu podané po lhůtě podle odstavce 1 je neúčinné. </w:t>
      </w:r>
    </w:p>
    <w:p w14:paraId="05052801" w14:textId="77777777" w:rsidR="000839A4" w:rsidRPr="000839A4" w:rsidRDefault="000839A4" w:rsidP="00D90D00">
      <w:pPr>
        <w:keepNext/>
        <w:keepLines/>
        <w:numPr>
          <w:ilvl w:val="0"/>
          <w:numId w:val="86"/>
        </w:numPr>
        <w:jc w:val="center"/>
        <w:outlineLvl w:val="5"/>
        <w:rPr>
          <w:b/>
        </w:rPr>
      </w:pPr>
      <w:r w:rsidRPr="000839A4">
        <w:t>§ 38lf</w:t>
      </w:r>
    </w:p>
    <w:p w14:paraId="31DC5374" w14:textId="77777777" w:rsidR="000839A4" w:rsidRPr="000839A4" w:rsidRDefault="000839A4" w:rsidP="00D90D00">
      <w:pPr>
        <w:keepNext/>
        <w:keepLines/>
        <w:numPr>
          <w:ilvl w:val="0"/>
          <w:numId w:val="86"/>
        </w:numPr>
        <w:jc w:val="center"/>
        <w:outlineLvl w:val="5"/>
        <w:rPr>
          <w:b/>
        </w:rPr>
      </w:pPr>
      <w:r w:rsidRPr="000839A4">
        <w:rPr>
          <w:b/>
        </w:rPr>
        <w:t>Oznámení o nesplnění podmínek v paušálním režimu</w:t>
      </w:r>
    </w:p>
    <w:p w14:paraId="6C7A5F9B" w14:textId="77777777" w:rsidR="000839A4" w:rsidRPr="000839A4" w:rsidRDefault="000839A4" w:rsidP="000839A4">
      <w:pPr>
        <w:tabs>
          <w:tab w:val="num" w:pos="782"/>
          <w:tab w:val="left" w:pos="851"/>
        </w:tabs>
        <w:spacing w:before="120" w:after="120"/>
        <w:outlineLvl w:val="6"/>
      </w:pPr>
      <w:r w:rsidRPr="000839A4">
        <w:t>(1)</w:t>
      </w:r>
      <w:r w:rsidRPr="000839A4">
        <w:tab/>
        <w:t>Poplatník daně z příjmů fyzických osob oznámí správci daně nesplnění podmínek pro</w:t>
      </w:r>
    </w:p>
    <w:p w14:paraId="2DB2AEAD" w14:textId="77777777" w:rsidR="000839A4" w:rsidRPr="000839A4" w:rsidRDefault="000839A4" w:rsidP="000839A4">
      <w:pPr>
        <w:tabs>
          <w:tab w:val="left" w:pos="426"/>
        </w:tabs>
        <w:spacing w:before="0"/>
        <w:ind w:firstLine="0"/>
        <w:outlineLvl w:val="7"/>
      </w:pPr>
      <w:r w:rsidRPr="000839A4">
        <w:t>a)</w:t>
      </w:r>
      <w:r w:rsidRPr="000839A4">
        <w:tab/>
        <w:t>to, aby se stal poplatníkem v paušálním režimu,</w:t>
      </w:r>
    </w:p>
    <w:p w14:paraId="3AE3F5F2" w14:textId="77777777" w:rsidR="000839A4" w:rsidRPr="000839A4" w:rsidRDefault="000839A4" w:rsidP="000839A4">
      <w:pPr>
        <w:tabs>
          <w:tab w:val="left" w:pos="426"/>
        </w:tabs>
        <w:spacing w:before="0"/>
        <w:ind w:firstLine="0"/>
        <w:outlineLvl w:val="7"/>
      </w:pPr>
      <w:r w:rsidRPr="000839A4">
        <w:t>b)</w:t>
      </w:r>
      <w:r w:rsidRPr="000839A4">
        <w:tab/>
        <w:t>nově zvolené pásmo paušálního režimu,</w:t>
      </w:r>
    </w:p>
    <w:p w14:paraId="565F093F" w14:textId="77777777" w:rsidR="000839A4" w:rsidRPr="000839A4" w:rsidRDefault="000839A4" w:rsidP="000839A4">
      <w:pPr>
        <w:tabs>
          <w:tab w:val="left" w:pos="426"/>
        </w:tabs>
        <w:spacing w:before="0"/>
        <w:ind w:firstLine="0"/>
        <w:outlineLvl w:val="7"/>
      </w:pPr>
      <w:r w:rsidRPr="000839A4">
        <w:t>c)</w:t>
      </w:r>
      <w:r w:rsidRPr="000839A4">
        <w:tab/>
        <w:t xml:space="preserve">jinou výši paušální daně. </w:t>
      </w:r>
    </w:p>
    <w:p w14:paraId="16F2A8E8" w14:textId="77777777" w:rsidR="000839A4" w:rsidRPr="000839A4" w:rsidRDefault="000839A4" w:rsidP="000839A4">
      <w:pPr>
        <w:tabs>
          <w:tab w:val="num" w:pos="782"/>
          <w:tab w:val="left" w:pos="851"/>
        </w:tabs>
        <w:spacing w:before="120" w:after="120"/>
        <w:outlineLvl w:val="6"/>
      </w:pPr>
      <w:r w:rsidRPr="000839A4">
        <w:t xml:space="preserve">(2) Poplatník daně z příjmů fyzických osob oznámí nesplnění podmínek uvedených v odstavci 1 včetně důvodu, pro který podmínky nesplňoval, správci daně do 15 dnů ode dne, ve kterém toto nesplnění zjistil. </w:t>
      </w:r>
    </w:p>
    <w:p w14:paraId="764678C9" w14:textId="77777777" w:rsidR="000839A4" w:rsidRPr="000839A4" w:rsidRDefault="000839A4" w:rsidP="000839A4">
      <w:pPr>
        <w:tabs>
          <w:tab w:val="num" w:pos="782"/>
          <w:tab w:val="left" w:pos="851"/>
        </w:tabs>
        <w:spacing w:before="120" w:after="120"/>
        <w:outlineLvl w:val="6"/>
      </w:pPr>
      <w:r w:rsidRPr="000839A4">
        <w:t>(3) Zjistí-li správce daně nesplnění podmínek uvedených v odstavci 1 u poplatníka daně z příjmů fyzických osob, učiní o tomto zjištění úřední záznam a poplatníka vhodným způsobem vyrozumí o tomto zjištění včetně důvodu, pro který podmínky nesplňoval, a o následcích tohoto nesplnění.</w:t>
      </w:r>
    </w:p>
    <w:p w14:paraId="0894B32E" w14:textId="77777777" w:rsidR="000839A4" w:rsidRPr="000839A4" w:rsidRDefault="000839A4" w:rsidP="00D90D00">
      <w:pPr>
        <w:keepNext/>
        <w:keepLines/>
        <w:numPr>
          <w:ilvl w:val="0"/>
          <w:numId w:val="86"/>
        </w:numPr>
        <w:jc w:val="center"/>
        <w:outlineLvl w:val="5"/>
      </w:pPr>
      <w:r w:rsidRPr="000839A4">
        <w:t xml:space="preserve">§ </w:t>
      </w:r>
      <w:fldSimple w:instr=" SEQ § \* Arabic \r38 \* MERGEFORMAT ">
        <w:r w:rsidRPr="000839A4">
          <w:t>38</w:t>
        </w:r>
      </w:fldSimple>
      <w:r w:rsidRPr="000839A4">
        <w:t>lg</w:t>
      </w:r>
    </w:p>
    <w:p w14:paraId="4BAA9E70" w14:textId="77777777" w:rsidR="000839A4" w:rsidRPr="000839A4" w:rsidRDefault="000839A4" w:rsidP="00D90D00">
      <w:pPr>
        <w:keepNext/>
        <w:keepLines/>
        <w:numPr>
          <w:ilvl w:val="0"/>
          <w:numId w:val="86"/>
        </w:numPr>
        <w:jc w:val="center"/>
        <w:outlineLvl w:val="5"/>
      </w:pPr>
      <w:r w:rsidRPr="000839A4">
        <w:rPr>
          <w:b/>
        </w:rPr>
        <w:t>Oznámení o ukončení paušálního režimu</w:t>
      </w:r>
    </w:p>
    <w:p w14:paraId="6B8D0766" w14:textId="77777777" w:rsidR="000839A4" w:rsidRPr="000839A4" w:rsidRDefault="000839A4" w:rsidP="000839A4">
      <w:pPr>
        <w:tabs>
          <w:tab w:val="num" w:pos="782"/>
          <w:tab w:val="left" w:pos="851"/>
        </w:tabs>
        <w:spacing w:before="120" w:after="120"/>
        <w:outlineLvl w:val="6"/>
      </w:pPr>
      <w:r w:rsidRPr="000839A4">
        <w:t>(1)</w:t>
      </w:r>
      <w:r w:rsidRPr="000839A4">
        <w:tab/>
        <w:t xml:space="preserve">Nastala-li skutečnost, která má za následek, že poplatník přestane být poplatníkem v paušálním režimu, oznámí poplatník tuto skutečnost správci daně do 15 dnů ode dne, ve kterém tato skutečnost nastala. </w:t>
      </w:r>
    </w:p>
    <w:p w14:paraId="1C61D6A8" w14:textId="77777777" w:rsidR="000839A4" w:rsidRPr="000839A4" w:rsidRDefault="000839A4" w:rsidP="000839A4">
      <w:pPr>
        <w:tabs>
          <w:tab w:val="num" w:pos="782"/>
          <w:tab w:val="left" w:pos="851"/>
        </w:tabs>
        <w:spacing w:before="120" w:after="120"/>
        <w:outlineLvl w:val="6"/>
      </w:pPr>
      <w:r w:rsidRPr="000839A4">
        <w:t>(2)</w:t>
      </w:r>
      <w:r w:rsidRPr="000839A4">
        <w:tab/>
        <w:t xml:space="preserve">Zjistí-li správce daně, že nastala skutečnost, která má za následek, že poplatník přestane být poplatníkem v paušálním režimu, učiní o tomto zjištění úřední záznam a poplatníka vhodným způsobem vyrozumí o této skutečnosti a o následcích toho, že poplatník přestává být poplatníkem v paušálním režimu.  </w:t>
      </w:r>
    </w:p>
    <w:p w14:paraId="7074B595" w14:textId="77777777" w:rsidR="000839A4" w:rsidRPr="000839A4" w:rsidRDefault="000839A4" w:rsidP="00D90D00">
      <w:pPr>
        <w:keepNext/>
        <w:keepLines/>
        <w:numPr>
          <w:ilvl w:val="0"/>
          <w:numId w:val="86"/>
        </w:numPr>
        <w:jc w:val="center"/>
        <w:outlineLvl w:val="5"/>
        <w:rPr>
          <w:b/>
        </w:rPr>
      </w:pPr>
      <w:r w:rsidRPr="000839A4">
        <w:t>§ </w:t>
      </w:r>
      <w:fldSimple w:instr=" SEQ § \* Arabic \r38 \* MERGEFORMAT ">
        <w:r w:rsidRPr="000839A4">
          <w:rPr>
            <w:noProof/>
          </w:rPr>
          <w:t>38</w:t>
        </w:r>
      </w:fldSimple>
      <w:r w:rsidRPr="000839A4">
        <w:t>lga</w:t>
      </w:r>
    </w:p>
    <w:p w14:paraId="48670B11" w14:textId="77777777" w:rsidR="000839A4" w:rsidRPr="000839A4" w:rsidRDefault="000839A4" w:rsidP="00D90D00">
      <w:pPr>
        <w:keepNext/>
        <w:keepLines/>
        <w:numPr>
          <w:ilvl w:val="0"/>
          <w:numId w:val="86"/>
        </w:numPr>
        <w:jc w:val="center"/>
        <w:outlineLvl w:val="5"/>
        <w:rPr>
          <w:b/>
        </w:rPr>
      </w:pPr>
      <w:r w:rsidRPr="000839A4">
        <w:rPr>
          <w:b/>
        </w:rPr>
        <w:t>Společné oznámení při ukončení paušálního režimu</w:t>
      </w:r>
    </w:p>
    <w:p w14:paraId="3420616B" w14:textId="77777777" w:rsidR="000839A4" w:rsidRPr="000839A4" w:rsidRDefault="000839A4" w:rsidP="000839A4">
      <w:pPr>
        <w:tabs>
          <w:tab w:val="num" w:pos="782"/>
          <w:tab w:val="left" w:pos="851"/>
        </w:tabs>
        <w:spacing w:before="120" w:after="120"/>
        <w:outlineLvl w:val="6"/>
      </w:pPr>
      <w:r w:rsidRPr="000839A4">
        <w:t xml:space="preserve">(1) Poplatník daně z příjmů fyzických osob, který přestal být poplatníkem v paušálním režimu z důvodu, že přestal být osobou samostatně výdělečně činnou podle zákona upravujícího důchodové pojištění nebo podle zákona upravujícího veřejné zdravotní pojištění, může společně s oznámením o ukončení paušálního režimu správci daně učinit podání obsahující údaje požadované v oznámení o ukončení samostatné výdělečné činnosti podle zákona upravujícího organizaci a provádění sociálního zabezpečení nebo v oznámení </w:t>
      </w:r>
      <w:r w:rsidRPr="000839A4">
        <w:lastRenderedPageBreak/>
        <w:t>o ukončení samostatné výdělečné činnosti podle zákona upravujícího veřejné zdravotní pojištění.</w:t>
      </w:r>
    </w:p>
    <w:p w14:paraId="59462255" w14:textId="77777777" w:rsidR="000839A4" w:rsidRPr="000839A4" w:rsidRDefault="000839A4" w:rsidP="000839A4">
      <w:pPr>
        <w:tabs>
          <w:tab w:val="num" w:pos="782"/>
          <w:tab w:val="left" w:pos="851"/>
        </w:tabs>
        <w:spacing w:before="120" w:after="120"/>
        <w:outlineLvl w:val="6"/>
      </w:pPr>
      <w:r w:rsidRPr="000839A4">
        <w:t>(2) Správce daně do 5 pracovních dnů ode dne, kdy poplatník učinil podání podle odstavce 1, předá v elektronické podobě údaje podle odstavce 1 České správě sociálního zabezpečení a správci registru všech pojištěnců veřejného zdravotního pojištění.</w:t>
      </w:r>
    </w:p>
    <w:p w14:paraId="729FF643" w14:textId="77777777" w:rsidR="000839A4" w:rsidRPr="000839A4" w:rsidRDefault="000839A4" w:rsidP="000839A4">
      <w:pPr>
        <w:tabs>
          <w:tab w:val="num" w:pos="782"/>
          <w:tab w:val="left" w:pos="851"/>
        </w:tabs>
        <w:spacing w:before="120" w:after="120"/>
        <w:outlineLvl w:val="6"/>
      </w:pPr>
      <w:r w:rsidRPr="000839A4">
        <w:t>(3) Na předání údajů podle odstavce 2 se hledí jako na podání oznámení o ukončení samostatné výdělečné činnosti podle zákona upravujícího organizaci a provádění sociálního zabezpečení nebo oznámení o ukončení samostatné výdělečné činnosti podle zákona upravujícího veřejné zdravotní pojištění, která učinil poplatník.</w:t>
      </w:r>
    </w:p>
    <w:p w14:paraId="7DB74AF1" w14:textId="77777777" w:rsidR="000839A4" w:rsidRPr="000839A4" w:rsidRDefault="000839A4" w:rsidP="00D90D00">
      <w:pPr>
        <w:keepNext/>
        <w:keepLines/>
        <w:numPr>
          <w:ilvl w:val="0"/>
          <w:numId w:val="86"/>
        </w:numPr>
        <w:jc w:val="center"/>
        <w:outlineLvl w:val="5"/>
      </w:pPr>
      <w:r w:rsidRPr="000839A4">
        <w:t xml:space="preserve">§ </w:t>
      </w:r>
      <w:fldSimple w:instr=" SEQ § \* Arabic \r38 \* MERGEFORMAT ">
        <w:r w:rsidRPr="000839A4">
          <w:t>38</w:t>
        </w:r>
      </w:fldSimple>
      <w:r w:rsidRPr="000839A4">
        <w:t>lh</w:t>
      </w:r>
    </w:p>
    <w:p w14:paraId="7BC30140" w14:textId="77777777" w:rsidR="000839A4" w:rsidRPr="000839A4" w:rsidRDefault="000839A4" w:rsidP="00D90D00">
      <w:pPr>
        <w:keepNext/>
        <w:keepLines/>
        <w:numPr>
          <w:ilvl w:val="0"/>
          <w:numId w:val="86"/>
        </w:numPr>
        <w:jc w:val="center"/>
        <w:outlineLvl w:val="5"/>
      </w:pPr>
      <w:r w:rsidRPr="000839A4">
        <w:rPr>
          <w:b/>
        </w:rPr>
        <w:t>Daňové přiznání k paušální dani</w:t>
      </w:r>
      <w:r w:rsidRPr="000839A4">
        <w:t xml:space="preserve"> </w:t>
      </w:r>
    </w:p>
    <w:p w14:paraId="0313DE47" w14:textId="77777777" w:rsidR="000839A4" w:rsidRPr="000839A4" w:rsidRDefault="000839A4" w:rsidP="000839A4">
      <w:pPr>
        <w:tabs>
          <w:tab w:val="num" w:pos="782"/>
          <w:tab w:val="left" w:pos="851"/>
        </w:tabs>
        <w:spacing w:before="120" w:after="120"/>
        <w:outlineLvl w:val="6"/>
      </w:pPr>
      <w:r w:rsidRPr="000839A4">
        <w:t>(1)</w:t>
      </w:r>
      <w:r w:rsidRPr="000839A4">
        <w:tab/>
        <w:t>Na poplatníka, jehož daň je rovna paušální dani, se hledí, jako by v poslední den lhůty pro podání daňového přiznání podal daňové přiznání, ve kterém tvrdí daň ve výši paušální daně. K podanému daňovému přiznání ani dodatečnému daňovému přiznání se nepřihlíží.</w:t>
      </w:r>
    </w:p>
    <w:p w14:paraId="2C42FE2B" w14:textId="77777777" w:rsidR="000839A4" w:rsidRPr="000839A4" w:rsidRDefault="000839A4" w:rsidP="000839A4">
      <w:pPr>
        <w:tabs>
          <w:tab w:val="num" w:pos="782"/>
          <w:tab w:val="left" w:pos="851"/>
        </w:tabs>
        <w:spacing w:before="120" w:after="120"/>
        <w:outlineLvl w:val="6"/>
      </w:pPr>
      <w:r w:rsidRPr="000839A4">
        <w:t>(2)</w:t>
      </w:r>
      <w:r w:rsidRPr="000839A4">
        <w:tab/>
        <w:t xml:space="preserve">Poplatník v paušálním režimu nepodává daňové přiznání z důvodu insolvenčního řízení. </w:t>
      </w:r>
    </w:p>
    <w:p w14:paraId="211D9031" w14:textId="77777777" w:rsidR="000839A4" w:rsidRPr="000839A4" w:rsidRDefault="000839A4" w:rsidP="00D90D00">
      <w:pPr>
        <w:keepNext/>
        <w:keepLines/>
        <w:numPr>
          <w:ilvl w:val="0"/>
          <w:numId w:val="86"/>
        </w:numPr>
        <w:jc w:val="center"/>
        <w:outlineLvl w:val="5"/>
      </w:pPr>
      <w:r w:rsidRPr="000839A4">
        <w:t xml:space="preserve">§ </w:t>
      </w:r>
      <w:fldSimple w:instr=" SEQ § \* Arabic \r38 \* MERGEFORMAT ">
        <w:r w:rsidRPr="000839A4">
          <w:t>38</w:t>
        </w:r>
      </w:fldSimple>
      <w:r w:rsidRPr="000839A4">
        <w:t>li</w:t>
      </w:r>
    </w:p>
    <w:p w14:paraId="063166BF" w14:textId="77777777" w:rsidR="000839A4" w:rsidRPr="000839A4" w:rsidRDefault="000839A4" w:rsidP="00D90D00">
      <w:pPr>
        <w:keepNext/>
        <w:keepLines/>
        <w:numPr>
          <w:ilvl w:val="0"/>
          <w:numId w:val="86"/>
        </w:numPr>
        <w:jc w:val="center"/>
        <w:outlineLvl w:val="5"/>
      </w:pPr>
      <w:r w:rsidRPr="000839A4">
        <w:rPr>
          <w:b/>
        </w:rPr>
        <w:t>Splatnost paušálních veřejných pojistných</w:t>
      </w:r>
    </w:p>
    <w:p w14:paraId="303F50AE" w14:textId="77777777" w:rsidR="000839A4" w:rsidRPr="000839A4" w:rsidRDefault="000839A4" w:rsidP="000839A4">
      <w:pPr>
        <w:tabs>
          <w:tab w:val="num" w:pos="782"/>
          <w:tab w:val="left" w:pos="851"/>
        </w:tabs>
        <w:spacing w:before="120" w:after="120"/>
        <w:outlineLvl w:val="6"/>
      </w:pPr>
      <w:r w:rsidRPr="000839A4">
        <w:t>Paušální veřejná pojistná jsou splatná v poslední den lhůty pro podání daňového přiznání k dani z příjmů fyzických osob poplatníka, jehož daň je rovna paušální dani.</w:t>
      </w:r>
    </w:p>
    <w:p w14:paraId="0806EBE5" w14:textId="77777777" w:rsidR="000839A4" w:rsidRPr="000839A4" w:rsidRDefault="000839A4" w:rsidP="00D90D00">
      <w:pPr>
        <w:keepNext/>
        <w:keepLines/>
        <w:numPr>
          <w:ilvl w:val="0"/>
          <w:numId w:val="86"/>
        </w:numPr>
        <w:jc w:val="center"/>
        <w:outlineLvl w:val="5"/>
      </w:pPr>
      <w:r w:rsidRPr="000839A4">
        <w:t xml:space="preserve">§ </w:t>
      </w:r>
      <w:fldSimple w:instr=" SEQ § \* Arabic \r38 \* MERGEFORMAT ">
        <w:r w:rsidRPr="000839A4">
          <w:t>38</w:t>
        </w:r>
      </w:fldSimple>
      <w:r w:rsidRPr="000839A4">
        <w:t>lj</w:t>
      </w:r>
    </w:p>
    <w:p w14:paraId="0C946B03" w14:textId="77777777" w:rsidR="000839A4" w:rsidRPr="000839A4" w:rsidRDefault="000839A4" w:rsidP="00D90D00">
      <w:pPr>
        <w:keepNext/>
        <w:keepLines/>
        <w:numPr>
          <w:ilvl w:val="0"/>
          <w:numId w:val="86"/>
        </w:numPr>
        <w:jc w:val="center"/>
        <w:outlineLvl w:val="5"/>
      </w:pPr>
      <w:r w:rsidRPr="000839A4">
        <w:rPr>
          <w:b/>
        </w:rPr>
        <w:t>Vyměření paušální daně a paušálních veřejných pojistných</w:t>
      </w:r>
    </w:p>
    <w:p w14:paraId="34DA1C1F" w14:textId="77777777" w:rsidR="000839A4" w:rsidRPr="000839A4" w:rsidRDefault="000839A4" w:rsidP="000839A4">
      <w:pPr>
        <w:tabs>
          <w:tab w:val="num" w:pos="782"/>
          <w:tab w:val="left" w:pos="851"/>
        </w:tabs>
        <w:spacing w:before="120" w:after="120"/>
        <w:outlineLvl w:val="6"/>
      </w:pPr>
      <w:r w:rsidRPr="000839A4">
        <w:t>(1)</w:t>
      </w:r>
      <w:r w:rsidRPr="000839A4">
        <w:tab/>
        <w:t>Daň, která je rovna paušální dani, a paušální veřejná pojistná se považují za vyměřené uplynutím posledního dne lhůty pro podání daňového přiznání k dani z příjmů fyzických osob poplatníka, jehož daň je rovna paušální dani.</w:t>
      </w:r>
    </w:p>
    <w:p w14:paraId="2E75966C" w14:textId="77777777" w:rsidR="000839A4" w:rsidRPr="000839A4" w:rsidRDefault="000839A4" w:rsidP="000839A4">
      <w:pPr>
        <w:tabs>
          <w:tab w:val="num" w:pos="782"/>
          <w:tab w:val="left" w:pos="851"/>
        </w:tabs>
        <w:spacing w:before="120" w:after="120"/>
        <w:outlineLvl w:val="6"/>
      </w:pPr>
      <w:r w:rsidRPr="000839A4">
        <w:t>(2)</w:t>
      </w:r>
      <w:r w:rsidRPr="000839A4">
        <w:tab/>
        <w:t>Daň a paušální veřejná pojistná vyměřené podle odstavce 1 správce daně předepíše do evidence daní.</w:t>
      </w:r>
    </w:p>
    <w:p w14:paraId="701879CF" w14:textId="77777777" w:rsidR="000839A4" w:rsidRPr="000839A4" w:rsidRDefault="000839A4" w:rsidP="00D90D00">
      <w:pPr>
        <w:keepNext/>
        <w:keepLines/>
        <w:numPr>
          <w:ilvl w:val="0"/>
          <w:numId w:val="86"/>
        </w:numPr>
        <w:jc w:val="center"/>
        <w:outlineLvl w:val="5"/>
      </w:pPr>
      <w:r w:rsidRPr="000839A4">
        <w:t xml:space="preserve">§ </w:t>
      </w:r>
      <w:fldSimple w:instr=" SEQ § \* Arabic \r38 \* MERGEFORMAT ">
        <w:r w:rsidRPr="000839A4">
          <w:t>38</w:t>
        </w:r>
      </w:fldSimple>
      <w:r w:rsidRPr="000839A4">
        <w:t>lk</w:t>
      </w:r>
    </w:p>
    <w:p w14:paraId="7605EC76" w14:textId="77777777" w:rsidR="000839A4" w:rsidRPr="000839A4" w:rsidRDefault="000839A4" w:rsidP="00D90D00">
      <w:pPr>
        <w:keepNext/>
        <w:keepLines/>
        <w:numPr>
          <w:ilvl w:val="0"/>
          <w:numId w:val="86"/>
        </w:numPr>
        <w:jc w:val="center"/>
        <w:outlineLvl w:val="5"/>
      </w:pPr>
      <w:r w:rsidRPr="000839A4">
        <w:rPr>
          <w:b/>
        </w:rPr>
        <w:t>Paušální zálohy</w:t>
      </w:r>
      <w:r w:rsidRPr="000839A4">
        <w:t xml:space="preserve"> </w:t>
      </w:r>
    </w:p>
    <w:p w14:paraId="5C4D6B38" w14:textId="77777777" w:rsidR="000839A4" w:rsidRPr="000839A4" w:rsidRDefault="000839A4" w:rsidP="000839A4">
      <w:pPr>
        <w:tabs>
          <w:tab w:val="num" w:pos="782"/>
          <w:tab w:val="left" w:pos="851"/>
        </w:tabs>
        <w:spacing w:before="120" w:after="120"/>
        <w:outlineLvl w:val="6"/>
      </w:pPr>
      <w:r w:rsidRPr="000839A4">
        <w:t>(1)</w:t>
      </w:r>
      <w:r w:rsidRPr="000839A4">
        <w:tab/>
        <w:t>Poplatník v paušálním režimu platí paušální zálohy pro zvolené pásmo paušálního režimu na zálohová období. Zálohovým obdobím je pro účely paušálního režimu kalendářní měsíc.</w:t>
      </w:r>
    </w:p>
    <w:p w14:paraId="21172308" w14:textId="77777777" w:rsidR="000839A4" w:rsidRPr="000839A4" w:rsidRDefault="000839A4" w:rsidP="000839A4">
      <w:pPr>
        <w:tabs>
          <w:tab w:val="num" w:pos="782"/>
          <w:tab w:val="left" w:pos="851"/>
        </w:tabs>
        <w:spacing w:before="120" w:after="120"/>
        <w:outlineLvl w:val="6"/>
      </w:pPr>
      <w:r w:rsidRPr="000839A4">
        <w:t>(2)</w:t>
      </w:r>
      <w:r w:rsidRPr="000839A4">
        <w:tab/>
        <w:t xml:space="preserve">Paušální záloha zahrnuje </w:t>
      </w:r>
    </w:p>
    <w:p w14:paraId="0FA79BA9" w14:textId="77777777" w:rsidR="000839A4" w:rsidRPr="000839A4" w:rsidRDefault="000839A4" w:rsidP="000839A4">
      <w:pPr>
        <w:spacing w:before="0"/>
        <w:ind w:left="425" w:hanging="425"/>
        <w:outlineLvl w:val="7"/>
      </w:pPr>
      <w:r w:rsidRPr="000839A4">
        <w:t>a)</w:t>
      </w:r>
      <w:r w:rsidRPr="000839A4">
        <w:tab/>
        <w:t xml:space="preserve">zálohu poplatníka v paušálním režimu na daň z příjmů, </w:t>
      </w:r>
    </w:p>
    <w:p w14:paraId="2C0B6D40" w14:textId="77777777" w:rsidR="000839A4" w:rsidRPr="000839A4" w:rsidRDefault="000839A4" w:rsidP="000839A4">
      <w:pPr>
        <w:spacing w:before="0"/>
        <w:ind w:left="425" w:hanging="425"/>
        <w:outlineLvl w:val="7"/>
      </w:pPr>
      <w:r w:rsidRPr="000839A4">
        <w:t>b)</w:t>
      </w:r>
      <w:r w:rsidRPr="000839A4">
        <w:tab/>
        <w:t>zálohu na pojistné na důchodové pojištění, kterou se pro účely paušálního režimu rozumí záloha poplatníka v paušálním režimu na pojistné na důchodové pojištění a příspěvek na státní politiku zaměstnanosti podle zákona upravujícího pojistné na sociální zabezpečení a příspěvek na státní politiku zaměstnanosti, a</w:t>
      </w:r>
    </w:p>
    <w:p w14:paraId="4D6AF555" w14:textId="77777777" w:rsidR="000839A4" w:rsidRPr="000839A4" w:rsidRDefault="000839A4" w:rsidP="000839A4">
      <w:pPr>
        <w:spacing w:before="0"/>
        <w:ind w:left="425" w:hanging="425"/>
        <w:outlineLvl w:val="7"/>
      </w:pPr>
      <w:r w:rsidRPr="000839A4">
        <w:lastRenderedPageBreak/>
        <w:t>c)</w:t>
      </w:r>
      <w:r w:rsidRPr="000839A4">
        <w:tab/>
        <w:t>zálohu na pojistné na zdravotní pojištění, kterou se pro účely paušálního režimu rozumí záloha poplatníka v paušálním režimu na pojistné na veřejné zdravotní pojištění podle zákona upravujícího pojistné na veřejné zdravotní pojištění.</w:t>
      </w:r>
    </w:p>
    <w:p w14:paraId="1B52A9DA" w14:textId="77777777" w:rsidR="000839A4" w:rsidRPr="000839A4" w:rsidRDefault="000839A4" w:rsidP="000839A4">
      <w:pPr>
        <w:tabs>
          <w:tab w:val="num" w:pos="782"/>
          <w:tab w:val="left" w:pos="851"/>
        </w:tabs>
        <w:spacing w:before="120" w:after="120"/>
        <w:outlineLvl w:val="6"/>
      </w:pPr>
      <w:r w:rsidRPr="000839A4">
        <w:t>(3)</w:t>
      </w:r>
      <w:r w:rsidRPr="000839A4">
        <w:tab/>
        <w:t>Záloha na veřejné pojistné, kterou se pro účely paušálního režimu rozumí záloha na pojistné na důchodové pojištění a záloha na pojistné na zdravotní pojištění, se spravuje jako daň podle daňového řádu. Její správu vykonávají orgány Finanční správy České republiky.</w:t>
      </w:r>
    </w:p>
    <w:p w14:paraId="4D4AE038" w14:textId="77777777" w:rsidR="000839A4" w:rsidRPr="000839A4" w:rsidRDefault="000839A4" w:rsidP="000839A4">
      <w:pPr>
        <w:tabs>
          <w:tab w:val="num" w:pos="782"/>
          <w:tab w:val="left" w:pos="851"/>
        </w:tabs>
        <w:spacing w:before="120" w:after="120"/>
        <w:outlineLvl w:val="6"/>
      </w:pPr>
      <w:r w:rsidRPr="000839A4">
        <w:t>(4)</w:t>
      </w:r>
      <w:r w:rsidRPr="000839A4">
        <w:tab/>
        <w:t xml:space="preserve">Paušální záloha se platí od zálohového období, ve kterém se poplatník stal poplatníkem v paušálním režimu, do zálohového období, ve kterém poplatník přestal být poplatníkem v paušálním režimu. </w:t>
      </w:r>
    </w:p>
    <w:p w14:paraId="4C889DE2" w14:textId="77777777" w:rsidR="000839A4" w:rsidRPr="000839A4" w:rsidRDefault="000839A4" w:rsidP="000839A4">
      <w:pPr>
        <w:tabs>
          <w:tab w:val="num" w:pos="782"/>
          <w:tab w:val="left" w:pos="851"/>
        </w:tabs>
        <w:spacing w:before="120" w:after="120"/>
        <w:outlineLvl w:val="6"/>
      </w:pPr>
      <w:r w:rsidRPr="000839A4">
        <w:t>(5)</w:t>
      </w:r>
      <w:r w:rsidRPr="000839A4">
        <w:tab/>
        <w:t>Paušální zálohy je splatná do dvacátého dne zálohového období, na které se záloha platí. Záloha na zálohové období, ve kterém poplatník v paušálním režimu zahájil činnost, ze které plynou příjmy ze samostatné činnosti, je splatná do dvacátého dne zálohového období bezprostředně následujícího po tomto zálohovém období.</w:t>
      </w:r>
    </w:p>
    <w:p w14:paraId="301DC344" w14:textId="77777777" w:rsidR="000839A4" w:rsidRPr="000839A4" w:rsidRDefault="000839A4" w:rsidP="000839A4">
      <w:pPr>
        <w:tabs>
          <w:tab w:val="num" w:pos="782"/>
          <w:tab w:val="left" w:pos="851"/>
        </w:tabs>
        <w:spacing w:before="120" w:after="120"/>
        <w:outlineLvl w:val="6"/>
      </w:pPr>
      <w:r w:rsidRPr="000839A4">
        <w:t>(6)</w:t>
      </w:r>
      <w:r w:rsidRPr="000839A4">
        <w:tab/>
        <w:t xml:space="preserve">Paušální záloha se platí na společný osobní daňový účet. </w:t>
      </w:r>
    </w:p>
    <w:p w14:paraId="00D8CB38" w14:textId="77777777" w:rsidR="000839A4" w:rsidRPr="000839A4" w:rsidRDefault="000839A4" w:rsidP="000839A4">
      <w:pPr>
        <w:tabs>
          <w:tab w:val="left" w:pos="851"/>
        </w:tabs>
        <w:spacing w:before="120" w:after="120"/>
        <w:ind w:left="425" w:firstLine="0"/>
        <w:outlineLvl w:val="6"/>
        <w:rPr>
          <w:strike/>
        </w:rPr>
      </w:pPr>
      <w:r w:rsidRPr="000839A4">
        <w:t>(7) Záloha poplatníka v paušálním režimu na daň z příjmů činí</w:t>
      </w:r>
    </w:p>
    <w:p w14:paraId="17F8C9B6" w14:textId="77777777" w:rsidR="000839A4" w:rsidRPr="000839A4" w:rsidRDefault="000839A4" w:rsidP="000839A4">
      <w:pPr>
        <w:tabs>
          <w:tab w:val="left" w:pos="426"/>
        </w:tabs>
        <w:spacing w:before="0"/>
        <w:ind w:firstLine="0"/>
        <w:outlineLvl w:val="7"/>
      </w:pPr>
      <w:r w:rsidRPr="000839A4">
        <w:t xml:space="preserve">a) </w:t>
      </w:r>
      <w:r w:rsidRPr="000839A4">
        <w:tab/>
        <w:t>100 Kč pro první pásmo paušálního režimu,</w:t>
      </w:r>
    </w:p>
    <w:p w14:paraId="3E5EFE98" w14:textId="77777777" w:rsidR="000839A4" w:rsidRPr="000839A4" w:rsidRDefault="000839A4" w:rsidP="000839A4">
      <w:pPr>
        <w:tabs>
          <w:tab w:val="left" w:pos="426"/>
        </w:tabs>
        <w:spacing w:before="0"/>
        <w:ind w:firstLine="0"/>
        <w:outlineLvl w:val="7"/>
      </w:pPr>
      <w:r w:rsidRPr="000839A4">
        <w:t xml:space="preserve">b) </w:t>
      </w:r>
      <w:r w:rsidRPr="000839A4">
        <w:tab/>
        <w:t>4 963 Kč pro druhé pásmo paušálního režimu a </w:t>
      </w:r>
    </w:p>
    <w:p w14:paraId="5D59EA64" w14:textId="77777777" w:rsidR="000839A4" w:rsidRPr="000839A4" w:rsidRDefault="000839A4" w:rsidP="000839A4">
      <w:pPr>
        <w:tabs>
          <w:tab w:val="left" w:pos="426"/>
        </w:tabs>
        <w:spacing w:before="0"/>
        <w:ind w:firstLine="0"/>
        <w:outlineLvl w:val="7"/>
      </w:pPr>
      <w:r w:rsidRPr="000839A4">
        <w:t>c)</w:t>
      </w:r>
      <w:r w:rsidRPr="000839A4">
        <w:tab/>
        <w:t>9 320 Kč pro třetí pásmo paušálního režimu.</w:t>
      </w:r>
    </w:p>
    <w:p w14:paraId="5D81E654" w14:textId="77777777" w:rsidR="000839A4" w:rsidRPr="000839A4" w:rsidRDefault="000839A4" w:rsidP="000839A4">
      <w:pPr>
        <w:tabs>
          <w:tab w:val="num" w:pos="782"/>
          <w:tab w:val="left" w:pos="851"/>
        </w:tabs>
        <w:spacing w:before="120" w:after="120"/>
        <w:outlineLvl w:val="6"/>
      </w:pPr>
      <w:r w:rsidRPr="000839A4">
        <w:t xml:space="preserve"> (8)</w:t>
      </w:r>
      <w:r w:rsidRPr="000839A4">
        <w:tab/>
        <w:t xml:space="preserve">Správce daně nemůže stanovit jinou výši paušální zálohy ani povolit výjimku z povinnosti daň zálohovat; tím není dotčena možnost povolit posečkání úhrady paušální zálohy nebo rozložení její úhrady na splátky. </w:t>
      </w:r>
    </w:p>
    <w:p w14:paraId="5B6E02D9" w14:textId="77777777" w:rsidR="000839A4" w:rsidRPr="000839A4" w:rsidRDefault="000839A4" w:rsidP="00FE4A0D">
      <w:pPr>
        <w:keepNext/>
        <w:keepLines/>
        <w:numPr>
          <w:ilvl w:val="0"/>
          <w:numId w:val="86"/>
        </w:numPr>
        <w:spacing w:before="120"/>
        <w:jc w:val="center"/>
        <w:outlineLvl w:val="5"/>
      </w:pPr>
      <w:r w:rsidRPr="000839A4">
        <w:t xml:space="preserve">§ </w:t>
      </w:r>
      <w:fldSimple w:instr=" SEQ § \* Arabic \r38 \* MERGEFORMAT ">
        <w:r w:rsidRPr="000839A4">
          <w:t>38</w:t>
        </w:r>
      </w:fldSimple>
      <w:r w:rsidRPr="000839A4">
        <w:t>ll</w:t>
      </w:r>
    </w:p>
    <w:p w14:paraId="267032F9" w14:textId="77777777" w:rsidR="000839A4" w:rsidRPr="000839A4" w:rsidRDefault="000839A4" w:rsidP="00FE4A0D">
      <w:pPr>
        <w:keepNext/>
        <w:keepLines/>
        <w:numPr>
          <w:ilvl w:val="0"/>
          <w:numId w:val="86"/>
        </w:numPr>
        <w:spacing w:before="120"/>
        <w:jc w:val="center"/>
        <w:outlineLvl w:val="5"/>
      </w:pPr>
      <w:r w:rsidRPr="000839A4">
        <w:rPr>
          <w:b/>
        </w:rPr>
        <w:t>Společný osobní daňový účet</w:t>
      </w:r>
    </w:p>
    <w:p w14:paraId="396042C3" w14:textId="77777777" w:rsidR="000839A4" w:rsidRPr="000839A4" w:rsidRDefault="000839A4" w:rsidP="000839A4">
      <w:pPr>
        <w:tabs>
          <w:tab w:val="num" w:pos="782"/>
          <w:tab w:val="left" w:pos="851"/>
        </w:tabs>
        <w:spacing w:before="120" w:after="120"/>
        <w:outlineLvl w:val="6"/>
      </w:pPr>
      <w:r w:rsidRPr="000839A4">
        <w:t>(1) Společný osobní daňový účet je osobní daňový účet, který je veden pro paušální zálohy, daň, která se rovná paušální dani, a paušální veřejná pojistná.</w:t>
      </w:r>
    </w:p>
    <w:p w14:paraId="3CEE178B" w14:textId="77777777" w:rsidR="000839A4" w:rsidRPr="000839A4" w:rsidRDefault="000839A4" w:rsidP="000839A4">
      <w:pPr>
        <w:tabs>
          <w:tab w:val="num" w:pos="782"/>
          <w:tab w:val="left" w:pos="851"/>
        </w:tabs>
        <w:spacing w:before="120" w:after="120"/>
        <w:outlineLvl w:val="6"/>
      </w:pPr>
      <w:r w:rsidRPr="000839A4">
        <w:t xml:space="preserve">(2) Na debetní straně společného osobního daňového účtu se evidují předpisy a odpisy odděleně za daň a za jednotlivá veřejná pojistná. </w:t>
      </w:r>
    </w:p>
    <w:p w14:paraId="150A0E22" w14:textId="77777777" w:rsidR="000839A4" w:rsidRPr="000839A4" w:rsidRDefault="000839A4" w:rsidP="000839A4">
      <w:pPr>
        <w:tabs>
          <w:tab w:val="num" w:pos="782"/>
          <w:tab w:val="left" w:pos="851"/>
        </w:tabs>
        <w:spacing w:before="120" w:after="120"/>
        <w:outlineLvl w:val="6"/>
      </w:pPr>
      <w:r w:rsidRPr="000839A4">
        <w:t>(3) Úhrada na společný osobní daňový účet se v případě splatných daňových pohledávek se stejným datem splatnosti použije na úhradu těchto pohledávek v poměru podle jejich výše.</w:t>
      </w:r>
    </w:p>
    <w:p w14:paraId="3DCCF1A3" w14:textId="77777777" w:rsidR="000839A4" w:rsidRPr="000839A4" w:rsidRDefault="000839A4" w:rsidP="00FE4A0D">
      <w:pPr>
        <w:keepNext/>
        <w:keepLines/>
        <w:numPr>
          <w:ilvl w:val="0"/>
          <w:numId w:val="86"/>
        </w:numPr>
        <w:spacing w:before="120"/>
        <w:jc w:val="center"/>
        <w:outlineLvl w:val="5"/>
      </w:pPr>
      <w:r w:rsidRPr="000839A4">
        <w:t xml:space="preserve">§ </w:t>
      </w:r>
      <w:fldSimple w:instr=" SEQ § \* Arabic \r38 \* MERGEFORMAT ">
        <w:r w:rsidRPr="000839A4">
          <w:t>38</w:t>
        </w:r>
      </w:fldSimple>
      <w:r w:rsidRPr="000839A4">
        <w:t>lm</w:t>
      </w:r>
    </w:p>
    <w:p w14:paraId="7A5ED865" w14:textId="77777777" w:rsidR="000839A4" w:rsidRPr="000839A4" w:rsidRDefault="000839A4" w:rsidP="00FE4A0D">
      <w:pPr>
        <w:keepNext/>
        <w:keepLines/>
        <w:numPr>
          <w:ilvl w:val="0"/>
          <w:numId w:val="86"/>
        </w:numPr>
        <w:spacing w:before="120"/>
        <w:jc w:val="center"/>
        <w:outlineLvl w:val="5"/>
      </w:pPr>
      <w:r w:rsidRPr="000839A4">
        <w:rPr>
          <w:b/>
        </w:rPr>
        <w:t>Přeplatek</w:t>
      </w:r>
    </w:p>
    <w:p w14:paraId="23A0A742" w14:textId="77777777" w:rsidR="000839A4" w:rsidRPr="000839A4" w:rsidRDefault="000839A4" w:rsidP="000839A4">
      <w:pPr>
        <w:tabs>
          <w:tab w:val="num" w:pos="782"/>
          <w:tab w:val="left" w:pos="851"/>
        </w:tabs>
        <w:spacing w:before="120" w:after="120"/>
        <w:outlineLvl w:val="6"/>
      </w:pPr>
      <w:r w:rsidRPr="000839A4">
        <w:t>(1) Přeplatek na společném osobním daňovém účtu se nepoužije na úhradu nedoplatku téhož poplatníka na jiném osobním daňovém účtu nebo na nedoplatek evidovaný u jiného správce daně; to neplatí pro přeplatek ve výši, ve které nemůže zaniknout podle odstavce 2, pokud poplatník</w:t>
      </w:r>
    </w:p>
    <w:p w14:paraId="653D5F86" w14:textId="77777777" w:rsidR="000839A4" w:rsidRPr="000839A4" w:rsidRDefault="000839A4" w:rsidP="000839A4">
      <w:pPr>
        <w:spacing w:before="0"/>
        <w:ind w:left="425" w:hanging="425"/>
        <w:outlineLvl w:val="7"/>
      </w:pPr>
      <w:r w:rsidRPr="000839A4">
        <w:t>a)</w:t>
      </w:r>
      <w:r w:rsidRPr="000839A4">
        <w:tab/>
        <w:t xml:space="preserve">o takové použití přeplatku požádá, </w:t>
      </w:r>
    </w:p>
    <w:p w14:paraId="7E867BA1" w14:textId="77777777" w:rsidR="000839A4" w:rsidRPr="000839A4" w:rsidRDefault="000839A4" w:rsidP="000839A4">
      <w:pPr>
        <w:spacing w:before="0"/>
        <w:ind w:left="425" w:hanging="425"/>
        <w:outlineLvl w:val="7"/>
      </w:pPr>
      <w:r w:rsidRPr="000839A4">
        <w:t>b)</w:t>
      </w:r>
      <w:r w:rsidRPr="000839A4">
        <w:tab/>
        <w:t>přestane být poplatníkem v paušálním režimu</w:t>
      </w:r>
      <w:r w:rsidRPr="000839A4">
        <w:rPr>
          <w:b/>
        </w:rPr>
        <w:t xml:space="preserve"> </w:t>
      </w:r>
      <w:r w:rsidRPr="000839A4">
        <w:t>nebo</w:t>
      </w:r>
    </w:p>
    <w:p w14:paraId="0841DB88" w14:textId="77777777" w:rsidR="000839A4" w:rsidRPr="000839A4" w:rsidRDefault="000839A4" w:rsidP="000839A4">
      <w:pPr>
        <w:spacing w:before="0"/>
        <w:ind w:left="425" w:hanging="425"/>
        <w:outlineLvl w:val="7"/>
      </w:pPr>
      <w:r w:rsidRPr="000839A4">
        <w:t>c)</w:t>
      </w:r>
      <w:r w:rsidRPr="000839A4">
        <w:tab/>
        <w:t>nesplňoval podmínky, za kterých se poplatník stane poplatníkem v paušálním režimu.</w:t>
      </w:r>
    </w:p>
    <w:p w14:paraId="618FB69D" w14:textId="77777777" w:rsidR="000839A4" w:rsidRPr="000839A4" w:rsidRDefault="000839A4" w:rsidP="000839A4">
      <w:pPr>
        <w:tabs>
          <w:tab w:val="num" w:pos="782"/>
          <w:tab w:val="left" w:pos="851"/>
        </w:tabs>
        <w:spacing w:before="120" w:after="120"/>
        <w:outlineLvl w:val="6"/>
      </w:pPr>
      <w:r w:rsidRPr="000839A4">
        <w:t xml:space="preserve"> (2)</w:t>
      </w:r>
      <w:r w:rsidRPr="000839A4">
        <w:tab/>
        <w:t xml:space="preserve">Přeplatek na společném osobním daňovém účtu za zdaňovací období, za které daň poplatníka není rovna paušální dani, zaniká ve výši plateb, které byly převedeny na centrální účet České správy sociálního zabezpečení a na zvláštní účet veřejného zdravotního pojištění. To neplatí pro poplatníka, který za toto období nemá povinnost ani možnost podat přehled </w:t>
      </w:r>
      <w:r w:rsidRPr="000839A4">
        <w:lastRenderedPageBreak/>
        <w:t>příjmů a výdajů podle zákona upravujícího pojistné na sociální zabezpečení a příspěvek na státní politiku zaměstnanosti nebo přehled o daňovém základu podle zákona upravujícího pojistné na veřejné zdravotní pojištění.</w:t>
      </w:r>
    </w:p>
    <w:p w14:paraId="615D8671" w14:textId="77777777" w:rsidR="000839A4" w:rsidRPr="000839A4" w:rsidRDefault="000839A4" w:rsidP="000839A4">
      <w:pPr>
        <w:tabs>
          <w:tab w:val="num" w:pos="782"/>
          <w:tab w:val="left" w:pos="851"/>
        </w:tabs>
        <w:spacing w:before="120" w:after="120"/>
        <w:outlineLvl w:val="6"/>
      </w:pPr>
      <w:r w:rsidRPr="000839A4">
        <w:t>(3)</w:t>
      </w:r>
      <w:r w:rsidRPr="000839A4">
        <w:tab/>
        <w:t>Vratitelný přeplatek na společném osobním daňovém účtu nevzniká ve výši přeplatku, ve které může zaniknout podle odstavce 2.</w:t>
      </w:r>
    </w:p>
    <w:p w14:paraId="5BFB7BFC" w14:textId="77777777" w:rsidR="000839A4" w:rsidRPr="000839A4" w:rsidRDefault="000839A4" w:rsidP="000839A4">
      <w:pPr>
        <w:tabs>
          <w:tab w:val="num" w:pos="782"/>
          <w:tab w:val="left" w:pos="851"/>
        </w:tabs>
        <w:spacing w:before="120" w:after="120"/>
        <w:outlineLvl w:val="6"/>
      </w:pPr>
      <w:r w:rsidRPr="000839A4">
        <w:t>(4) Nepožádá-li poplatník o vrácení vratitelného přeplatku na společném osobním daňovém účtu do 6 let od konce roku, ve kterém přeplatek vznikl, přeplatek zaniká a stává se příjmem</w:t>
      </w:r>
    </w:p>
    <w:p w14:paraId="59D051B4" w14:textId="77777777" w:rsidR="000839A4" w:rsidRPr="000839A4" w:rsidRDefault="000839A4" w:rsidP="000839A4">
      <w:pPr>
        <w:spacing w:before="0"/>
        <w:ind w:left="425" w:hanging="425"/>
        <w:outlineLvl w:val="7"/>
      </w:pPr>
      <w:r w:rsidRPr="000839A4">
        <w:t>a)</w:t>
      </w:r>
      <w:r w:rsidRPr="000839A4">
        <w:tab/>
        <w:t>zvláštního účtu veřejného zdravotního pojištění v části určené podle podílu výše zálohy na pojistné na zdravotní pojištění na výši paušální zálohy pro první pásmo paušálního režimu a </w:t>
      </w:r>
    </w:p>
    <w:p w14:paraId="27DB5A75" w14:textId="77777777" w:rsidR="000839A4" w:rsidRPr="000839A4" w:rsidRDefault="000839A4" w:rsidP="000839A4">
      <w:pPr>
        <w:spacing w:before="0"/>
        <w:ind w:left="425" w:hanging="425"/>
        <w:outlineLvl w:val="7"/>
      </w:pPr>
      <w:r w:rsidRPr="000839A4">
        <w:t>b)</w:t>
      </w:r>
      <w:r w:rsidRPr="000839A4">
        <w:tab/>
        <w:t>státního rozpočtu v části zbývající z přeplatku po jeho snížení o část podle písmene a).</w:t>
      </w:r>
    </w:p>
    <w:p w14:paraId="2529FBD8" w14:textId="77777777" w:rsidR="000839A4" w:rsidRPr="000839A4" w:rsidRDefault="000839A4" w:rsidP="000839A4">
      <w:pPr>
        <w:spacing w:before="0"/>
        <w:ind w:left="425" w:hanging="425"/>
        <w:outlineLvl w:val="7"/>
      </w:pPr>
    </w:p>
    <w:p w14:paraId="56AF4FEE" w14:textId="77777777" w:rsidR="000839A4" w:rsidRPr="000839A4" w:rsidRDefault="000839A4" w:rsidP="00FE4A0D">
      <w:pPr>
        <w:keepNext/>
        <w:keepLines/>
        <w:numPr>
          <w:ilvl w:val="0"/>
          <w:numId w:val="86"/>
        </w:numPr>
        <w:spacing w:before="120"/>
        <w:jc w:val="center"/>
        <w:outlineLvl w:val="5"/>
      </w:pPr>
      <w:r w:rsidRPr="000839A4">
        <w:t xml:space="preserve">§ </w:t>
      </w:r>
      <w:fldSimple w:instr=" SEQ § \* Arabic \r38 \* MERGEFORMAT ">
        <w:r w:rsidRPr="000839A4">
          <w:t>38</w:t>
        </w:r>
      </w:fldSimple>
      <w:r w:rsidRPr="000839A4">
        <w:t>ln</w:t>
      </w:r>
    </w:p>
    <w:p w14:paraId="1E9A3BB9" w14:textId="77777777" w:rsidR="000839A4" w:rsidRPr="000839A4" w:rsidRDefault="000839A4" w:rsidP="00FE4A0D">
      <w:pPr>
        <w:keepNext/>
        <w:keepLines/>
        <w:numPr>
          <w:ilvl w:val="0"/>
          <w:numId w:val="86"/>
        </w:numPr>
        <w:spacing w:before="120"/>
        <w:jc w:val="center"/>
        <w:outlineLvl w:val="5"/>
      </w:pPr>
      <w:r w:rsidRPr="000839A4">
        <w:rPr>
          <w:b/>
        </w:rPr>
        <w:t>Nedoplatek na záloze na veřejné pojistné</w:t>
      </w:r>
    </w:p>
    <w:p w14:paraId="1DF1EF04" w14:textId="77777777" w:rsidR="000839A4" w:rsidRPr="000839A4" w:rsidRDefault="000839A4" w:rsidP="000839A4">
      <w:pPr>
        <w:tabs>
          <w:tab w:val="num" w:pos="782"/>
          <w:tab w:val="left" w:pos="851"/>
        </w:tabs>
        <w:spacing w:before="120" w:after="120"/>
        <w:outlineLvl w:val="6"/>
      </w:pPr>
      <w:r w:rsidRPr="000839A4">
        <w:t>Nedoplatek na záloze na veřejné pojistné splatné v průběhu zdaňovacího období, za které daň poplatníka není rovna paušální dani, s výjimkou příslušenství zaniká uplynutím posledního dne lhůty pro podání daňového přiznání k dani z příjmů fyzických osob za toto období.</w:t>
      </w:r>
    </w:p>
    <w:p w14:paraId="656B38E1" w14:textId="77777777" w:rsidR="000839A4" w:rsidRPr="000839A4" w:rsidRDefault="000839A4" w:rsidP="00FE4A0D">
      <w:pPr>
        <w:keepNext/>
        <w:keepLines/>
        <w:numPr>
          <w:ilvl w:val="0"/>
          <w:numId w:val="86"/>
        </w:numPr>
        <w:spacing w:before="120"/>
        <w:jc w:val="center"/>
        <w:outlineLvl w:val="5"/>
      </w:pPr>
      <w:r w:rsidRPr="000839A4">
        <w:t xml:space="preserve">§ </w:t>
      </w:r>
      <w:fldSimple w:instr=" SEQ § \* Arabic \r38 \* MERGEFORMAT ">
        <w:r w:rsidRPr="000839A4">
          <w:t>38</w:t>
        </w:r>
      </w:fldSimple>
      <w:r w:rsidRPr="000839A4">
        <w:t>lo</w:t>
      </w:r>
    </w:p>
    <w:p w14:paraId="5D71F411" w14:textId="77777777" w:rsidR="000839A4" w:rsidRPr="000839A4" w:rsidRDefault="000839A4" w:rsidP="00FE4A0D">
      <w:pPr>
        <w:keepNext/>
        <w:keepLines/>
        <w:numPr>
          <w:ilvl w:val="0"/>
          <w:numId w:val="86"/>
        </w:numPr>
        <w:spacing w:before="120"/>
        <w:jc w:val="center"/>
        <w:outlineLvl w:val="5"/>
      </w:pPr>
      <w:r w:rsidRPr="000839A4">
        <w:rPr>
          <w:b/>
        </w:rPr>
        <w:t>Převod výnosu paušálního pojistného</w:t>
      </w:r>
      <w:r w:rsidRPr="000839A4">
        <w:t xml:space="preserve"> </w:t>
      </w:r>
    </w:p>
    <w:p w14:paraId="77AD1254" w14:textId="77777777" w:rsidR="000839A4" w:rsidRPr="000839A4" w:rsidRDefault="000839A4" w:rsidP="000839A4">
      <w:pPr>
        <w:tabs>
          <w:tab w:val="num" w:pos="782"/>
          <w:tab w:val="left" w:pos="851"/>
        </w:tabs>
        <w:spacing w:before="120" w:after="120"/>
        <w:outlineLvl w:val="6"/>
      </w:pPr>
      <w:r w:rsidRPr="000839A4">
        <w:t>(1)</w:t>
      </w:r>
      <w:r w:rsidRPr="000839A4">
        <w:tab/>
        <w:t xml:space="preserve">Správce daně převádí výnos zálohy na pojistné na důchodové pojištění a paušálního pojistného na důchodové pojištění na centrální účet České správy sociálního zabezpečení. </w:t>
      </w:r>
    </w:p>
    <w:p w14:paraId="45A51EC5" w14:textId="77777777" w:rsidR="000839A4" w:rsidRPr="000839A4" w:rsidRDefault="000839A4" w:rsidP="000839A4">
      <w:pPr>
        <w:tabs>
          <w:tab w:val="num" w:pos="782"/>
          <w:tab w:val="left" w:pos="851"/>
        </w:tabs>
        <w:spacing w:before="120" w:after="120"/>
        <w:outlineLvl w:val="6"/>
      </w:pPr>
      <w:r w:rsidRPr="000839A4">
        <w:t>(2)</w:t>
      </w:r>
      <w:r w:rsidRPr="000839A4">
        <w:tab/>
        <w:t xml:space="preserve">Správce daně převádí výnos zálohy na pojistné na zdravotní pojištění a paušálního pojistného na zdravotní pojištění na zvláštní účet veřejného zdravotního pojištění. </w:t>
      </w:r>
    </w:p>
    <w:p w14:paraId="6A9A47F3" w14:textId="77777777" w:rsidR="000839A4" w:rsidRPr="000839A4" w:rsidRDefault="000839A4" w:rsidP="000839A4">
      <w:pPr>
        <w:tabs>
          <w:tab w:val="num" w:pos="782"/>
          <w:tab w:val="left" w:pos="851"/>
        </w:tabs>
        <w:spacing w:before="120" w:after="120"/>
        <w:outlineLvl w:val="6"/>
      </w:pPr>
      <w:r w:rsidRPr="000839A4">
        <w:t>(3)</w:t>
      </w:r>
      <w:r w:rsidRPr="000839A4">
        <w:tab/>
        <w:t>Správce daně převádí výnos podle odstavců 1 a 2 způsobem stanoveným zákonem upravujícím rozpočtové určení daní pro převod daňového příjmu.</w:t>
      </w:r>
    </w:p>
    <w:p w14:paraId="3BC7340E" w14:textId="77777777" w:rsidR="000839A4" w:rsidRPr="000839A4" w:rsidRDefault="000839A4" w:rsidP="00FE4A0D">
      <w:pPr>
        <w:keepNext/>
        <w:keepLines/>
        <w:numPr>
          <w:ilvl w:val="0"/>
          <w:numId w:val="86"/>
        </w:numPr>
        <w:spacing w:before="120"/>
        <w:jc w:val="center"/>
        <w:outlineLvl w:val="5"/>
      </w:pPr>
      <w:r w:rsidRPr="000839A4">
        <w:t xml:space="preserve">§ </w:t>
      </w:r>
      <w:fldSimple w:instr=" SEQ § \* Arabic \r38 \* MERGEFORMAT ">
        <w:r w:rsidRPr="000839A4">
          <w:t>38</w:t>
        </w:r>
      </w:fldSimple>
      <w:r w:rsidRPr="000839A4">
        <w:t>lp</w:t>
      </w:r>
    </w:p>
    <w:p w14:paraId="6424E3D0" w14:textId="77777777" w:rsidR="000839A4" w:rsidRPr="000839A4" w:rsidRDefault="000839A4" w:rsidP="00FE4A0D">
      <w:pPr>
        <w:keepNext/>
        <w:keepLines/>
        <w:numPr>
          <w:ilvl w:val="0"/>
          <w:numId w:val="86"/>
        </w:numPr>
        <w:spacing w:before="120"/>
        <w:jc w:val="center"/>
        <w:outlineLvl w:val="5"/>
      </w:pPr>
      <w:r w:rsidRPr="000839A4">
        <w:rPr>
          <w:b/>
        </w:rPr>
        <w:t>Poskytování informací správcem daně</w:t>
      </w:r>
      <w:r w:rsidRPr="000839A4">
        <w:t xml:space="preserve"> </w:t>
      </w:r>
    </w:p>
    <w:p w14:paraId="76447D86" w14:textId="77777777" w:rsidR="000839A4" w:rsidRPr="000839A4" w:rsidRDefault="000839A4" w:rsidP="000839A4">
      <w:pPr>
        <w:tabs>
          <w:tab w:val="num" w:pos="782"/>
          <w:tab w:val="left" w:pos="851"/>
        </w:tabs>
        <w:spacing w:before="120" w:after="120"/>
        <w:outlineLvl w:val="6"/>
      </w:pPr>
      <w:r w:rsidRPr="000839A4">
        <w:t>Správce daně poskytuje orgánům sociálního zabezpečení a správci registru všech pojištěnců veřejného zdravotního pojištění informace o</w:t>
      </w:r>
    </w:p>
    <w:p w14:paraId="3C906B27" w14:textId="77777777" w:rsidR="000839A4" w:rsidRPr="000839A4" w:rsidRDefault="000839A4" w:rsidP="000839A4">
      <w:pPr>
        <w:spacing w:before="0"/>
        <w:ind w:left="425" w:hanging="425"/>
        <w:outlineLvl w:val="7"/>
      </w:pPr>
      <w:r w:rsidRPr="000839A4">
        <w:t>a)</w:t>
      </w:r>
      <w:r w:rsidRPr="000839A4">
        <w:tab/>
        <w:t>poplatnících v paušálním režimu potřebné pro provádění důchodového pojištění a veřejného zdravotního pojištění a</w:t>
      </w:r>
    </w:p>
    <w:p w14:paraId="0B6B792F" w14:textId="77777777" w:rsidR="000839A4" w:rsidRPr="000839A4" w:rsidRDefault="000839A4" w:rsidP="000839A4">
      <w:pPr>
        <w:spacing w:before="0"/>
        <w:ind w:left="425" w:hanging="425"/>
        <w:outlineLvl w:val="7"/>
      </w:pPr>
      <w:r w:rsidRPr="000839A4">
        <w:t>b)</w:t>
      </w:r>
      <w:r w:rsidRPr="000839A4">
        <w:tab/>
        <w:t>placení paušálních veřejných pojistných a záloh v paušálním režimu potřebné pro provádění důchodového pojištění a veřejného zdravotního pojištění.</w:t>
      </w:r>
    </w:p>
    <w:p w14:paraId="3514B486" w14:textId="77777777" w:rsidR="000839A4" w:rsidRPr="000839A4" w:rsidRDefault="000839A4" w:rsidP="00FE4A0D">
      <w:pPr>
        <w:keepNext/>
        <w:keepLines/>
        <w:numPr>
          <w:ilvl w:val="0"/>
          <w:numId w:val="86"/>
        </w:numPr>
        <w:spacing w:before="120"/>
        <w:jc w:val="center"/>
        <w:outlineLvl w:val="5"/>
      </w:pPr>
      <w:r w:rsidRPr="000839A4">
        <w:t xml:space="preserve">§ </w:t>
      </w:r>
      <w:fldSimple w:instr=" SEQ § \* Arabic \r38 \* MERGEFORMAT ">
        <w:r w:rsidRPr="000839A4">
          <w:t>38</w:t>
        </w:r>
      </w:fldSimple>
      <w:r w:rsidRPr="000839A4">
        <w:t>lq</w:t>
      </w:r>
    </w:p>
    <w:p w14:paraId="765E5836" w14:textId="77777777" w:rsidR="000839A4" w:rsidRPr="000839A4" w:rsidRDefault="000839A4" w:rsidP="00FE4A0D">
      <w:pPr>
        <w:keepNext/>
        <w:keepLines/>
        <w:numPr>
          <w:ilvl w:val="0"/>
          <w:numId w:val="86"/>
        </w:numPr>
        <w:spacing w:before="120"/>
        <w:jc w:val="center"/>
        <w:outlineLvl w:val="5"/>
      </w:pPr>
      <w:r w:rsidRPr="000839A4">
        <w:rPr>
          <w:b/>
        </w:rPr>
        <w:t>Poskytování informací orgány sociálního zabezpečení a správcem registru všech pojištěnců veřejného zdravotního pojištění</w:t>
      </w:r>
    </w:p>
    <w:p w14:paraId="1C6B0029" w14:textId="77777777" w:rsidR="000839A4" w:rsidRPr="000839A4" w:rsidRDefault="000839A4" w:rsidP="000839A4">
      <w:pPr>
        <w:tabs>
          <w:tab w:val="num" w:pos="782"/>
          <w:tab w:val="left" w:pos="851"/>
        </w:tabs>
        <w:spacing w:before="120" w:after="120"/>
        <w:outlineLvl w:val="6"/>
      </w:pPr>
      <w:r w:rsidRPr="000839A4">
        <w:t>Orgány sociálního zabezpečení a správce registru všech pojištěnců veřejného zdravotního pojištění poskytují správci daně informace o osobách samostatně výdělečně činných pro potřeby paušálního režimu.</w:t>
      </w:r>
    </w:p>
    <w:p w14:paraId="4FF1F824" w14:textId="77777777" w:rsidR="000839A4" w:rsidRPr="000839A4" w:rsidRDefault="000839A4" w:rsidP="000839A4">
      <w:pPr>
        <w:keepNext/>
        <w:ind w:firstLine="0"/>
        <w:jc w:val="center"/>
        <w:rPr>
          <w:szCs w:val="24"/>
        </w:rPr>
      </w:pPr>
      <w:r w:rsidRPr="000839A4">
        <w:rPr>
          <w:szCs w:val="24"/>
        </w:rPr>
        <w:lastRenderedPageBreak/>
        <w:t>§ 38m</w:t>
      </w:r>
    </w:p>
    <w:p w14:paraId="10C94F5A" w14:textId="77777777" w:rsidR="000839A4" w:rsidRPr="000839A4" w:rsidRDefault="000839A4" w:rsidP="000839A4">
      <w:pPr>
        <w:keepNext/>
        <w:ind w:firstLine="0"/>
        <w:jc w:val="center"/>
        <w:rPr>
          <w:b/>
          <w:szCs w:val="24"/>
        </w:rPr>
      </w:pPr>
      <w:r w:rsidRPr="000839A4">
        <w:rPr>
          <w:b/>
          <w:szCs w:val="24"/>
        </w:rPr>
        <w:t>Daňové přiznání k dani z příjmů právnických osob za zdaňovací období</w:t>
      </w:r>
    </w:p>
    <w:p w14:paraId="15F5F41C" w14:textId="77777777" w:rsidR="000839A4" w:rsidRPr="000839A4" w:rsidRDefault="000839A4" w:rsidP="000839A4">
      <w:pPr>
        <w:tabs>
          <w:tab w:val="num" w:pos="782"/>
          <w:tab w:val="left" w:pos="851"/>
        </w:tabs>
        <w:spacing w:before="120" w:after="120"/>
        <w:outlineLvl w:val="6"/>
      </w:pPr>
      <w:r w:rsidRPr="000839A4">
        <w:t>(1) Poplatník je povinen podat daňové přiznání k dani z příjmů právnických osob.</w:t>
      </w:r>
    </w:p>
    <w:p w14:paraId="17A2836E" w14:textId="77777777" w:rsidR="000839A4" w:rsidRPr="000839A4" w:rsidRDefault="000839A4" w:rsidP="000839A4">
      <w:pPr>
        <w:tabs>
          <w:tab w:val="num" w:pos="782"/>
          <w:tab w:val="left" w:pos="851"/>
        </w:tabs>
        <w:spacing w:before="120" w:after="120"/>
        <w:outlineLvl w:val="6"/>
      </w:pPr>
      <w:r w:rsidRPr="000839A4">
        <w:t>(2) Je-li zdaňovací období kratší než 1 rok, podává se daňové přiznání ve lhůtě a za podmínek pro podání daňového přiznání za zdaňovací období, které činí nejméně 12 měsíců.</w:t>
      </w:r>
    </w:p>
    <w:p w14:paraId="5098E1B6" w14:textId="77777777" w:rsidR="000839A4" w:rsidRPr="000839A4" w:rsidRDefault="000839A4" w:rsidP="000839A4">
      <w:pPr>
        <w:tabs>
          <w:tab w:val="num" w:pos="782"/>
          <w:tab w:val="left" w:pos="851"/>
        </w:tabs>
        <w:spacing w:before="120" w:after="120"/>
        <w:outlineLvl w:val="6"/>
        <w:rPr>
          <w:b/>
        </w:rPr>
      </w:pPr>
      <w:r w:rsidRPr="000839A4">
        <w:rPr>
          <w:b/>
        </w:rPr>
        <w:t>(3) Poplatník zúčastněný na fúzi, rozdělení nebo převodu jmění na společníka, který přestává být poplatníkem v den předcházející rozhodnému dni přeměny, podá daňové přiznání do 3 měsíců ode dne rozhodnutí nejvyššího orgánu poplatníka o přeměně, pokud tento den nastane po rozhodném dni.</w:t>
      </w:r>
    </w:p>
    <w:p w14:paraId="1417D94A" w14:textId="77777777" w:rsidR="000839A4" w:rsidRPr="000839A4" w:rsidRDefault="000839A4" w:rsidP="000839A4">
      <w:pPr>
        <w:tabs>
          <w:tab w:val="num" w:pos="782"/>
          <w:tab w:val="left" w:pos="851"/>
        </w:tabs>
        <w:spacing w:before="120" w:after="120"/>
        <w:outlineLvl w:val="6"/>
      </w:pPr>
      <w:r w:rsidRPr="000839A4">
        <w:rPr>
          <w:b/>
        </w:rPr>
        <w:t>(4) Pokud přeměna nenabyde právních účinků, k daňovému přiznání podanému za zdaňovací období, které mělo skončit dnem předcházejícím rozhodnému dni přeměny, se nepřihlíží.</w:t>
      </w:r>
    </w:p>
    <w:p w14:paraId="71F79B03" w14:textId="77777777" w:rsidR="000839A4" w:rsidRPr="000839A4" w:rsidRDefault="000839A4" w:rsidP="000839A4">
      <w:pPr>
        <w:keepNext/>
        <w:ind w:firstLine="0"/>
        <w:jc w:val="center"/>
        <w:rPr>
          <w:strike/>
          <w:szCs w:val="24"/>
        </w:rPr>
      </w:pPr>
      <w:r w:rsidRPr="000839A4">
        <w:rPr>
          <w:strike/>
          <w:szCs w:val="24"/>
        </w:rPr>
        <w:t>§ 38ma</w:t>
      </w:r>
    </w:p>
    <w:p w14:paraId="4302A598" w14:textId="77777777" w:rsidR="000839A4" w:rsidRPr="000839A4" w:rsidRDefault="000839A4" w:rsidP="000839A4">
      <w:pPr>
        <w:keepNext/>
        <w:ind w:firstLine="0"/>
        <w:jc w:val="center"/>
        <w:rPr>
          <w:b/>
          <w:strike/>
          <w:szCs w:val="24"/>
        </w:rPr>
      </w:pPr>
      <w:r w:rsidRPr="000839A4">
        <w:rPr>
          <w:b/>
          <w:strike/>
          <w:szCs w:val="24"/>
        </w:rPr>
        <w:t>Daňové přiznání k dani z příjmů právnických osob za období, za které se podává daňové přiznání</w:t>
      </w:r>
    </w:p>
    <w:p w14:paraId="57979A73" w14:textId="77777777" w:rsidR="000839A4" w:rsidRPr="000839A4" w:rsidRDefault="000839A4" w:rsidP="000839A4">
      <w:pPr>
        <w:tabs>
          <w:tab w:val="num" w:pos="782"/>
          <w:tab w:val="left" w:pos="851"/>
        </w:tabs>
        <w:spacing w:before="120" w:after="120"/>
        <w:outlineLvl w:val="6"/>
        <w:rPr>
          <w:strike/>
        </w:rPr>
      </w:pPr>
      <w:r w:rsidRPr="000839A4">
        <w:rPr>
          <w:strike/>
        </w:rPr>
        <w:t>(1) Poplatník je povinen daňové přiznání k dani z příjmů právnických osob také podat za období</w:t>
      </w:r>
    </w:p>
    <w:p w14:paraId="6E0D0CA2" w14:textId="77777777" w:rsidR="000839A4" w:rsidRPr="000839A4" w:rsidRDefault="000839A4" w:rsidP="000839A4">
      <w:pPr>
        <w:tabs>
          <w:tab w:val="left" w:pos="357"/>
        </w:tabs>
        <w:spacing w:before="0"/>
        <w:ind w:left="357" w:hanging="357"/>
        <w:rPr>
          <w:strike/>
          <w:szCs w:val="24"/>
        </w:rPr>
      </w:pPr>
      <w:r w:rsidRPr="000839A4">
        <w:rPr>
          <w:strike/>
          <w:szCs w:val="24"/>
        </w:rPr>
        <w:t>a)</w:t>
      </w:r>
      <w:r w:rsidRPr="000839A4">
        <w:rPr>
          <w:strike/>
          <w:szCs w:val="24"/>
        </w:rPr>
        <w:tab/>
        <w:t>předcházející rozhodnému dni fúze nebo převodu jmění na společníka anebo rozdělení obchodní korporace, za které nebylo dosud daňové přiznání podáno, není-li tento rozhodný den prvním dnem kalendářního roku nebo hospodářského roku,</w:t>
      </w:r>
    </w:p>
    <w:p w14:paraId="05AAA169" w14:textId="77777777" w:rsidR="000839A4" w:rsidRPr="000839A4" w:rsidRDefault="000839A4" w:rsidP="000839A4">
      <w:pPr>
        <w:tabs>
          <w:tab w:val="left" w:pos="357"/>
        </w:tabs>
        <w:spacing w:before="0"/>
        <w:ind w:left="357" w:hanging="357"/>
        <w:rPr>
          <w:strike/>
          <w:szCs w:val="24"/>
        </w:rPr>
      </w:pPr>
      <w:r w:rsidRPr="000839A4">
        <w:rPr>
          <w:strike/>
          <w:szCs w:val="24"/>
        </w:rPr>
        <w:t>b)</w:t>
      </w:r>
      <w:r w:rsidRPr="000839A4">
        <w:rPr>
          <w:strike/>
          <w:szCs w:val="24"/>
        </w:rPr>
        <w:tab/>
        <w:t>předcházející dni zápisu změny právní formy komanditní společnosti na jinou obchodní korporaci a změny právní formy akciové společnosti nebo společnosti s ručením omezeným anebo družstva na veřejnou obchodní společnost nebo komanditní společnost, za které nebylo dosud daňové přiznání podáno,</w:t>
      </w:r>
    </w:p>
    <w:p w14:paraId="7DFEE4AD" w14:textId="77777777" w:rsidR="000839A4" w:rsidRPr="000839A4" w:rsidRDefault="000839A4" w:rsidP="000839A4">
      <w:pPr>
        <w:tabs>
          <w:tab w:val="left" w:pos="357"/>
        </w:tabs>
        <w:spacing w:before="0"/>
        <w:ind w:left="357" w:hanging="357"/>
        <w:rPr>
          <w:strike/>
          <w:szCs w:val="24"/>
        </w:rPr>
      </w:pPr>
      <w:r w:rsidRPr="000839A4">
        <w:rPr>
          <w:strike/>
          <w:szCs w:val="24"/>
        </w:rPr>
        <w:t>c)</w:t>
      </w:r>
      <w:r w:rsidRPr="000839A4">
        <w:rPr>
          <w:strike/>
          <w:szCs w:val="24"/>
        </w:rPr>
        <w:tab/>
        <w:t>předcházející změně zdaňovacího období z kalendářního roku na hospodářský rok nebo naopak, anebo předcházející změně ve vymezení hospodářského roku, nebylo-li dosud za toto období daňové přiznání podáno,</w:t>
      </w:r>
    </w:p>
    <w:p w14:paraId="3697AF25" w14:textId="77777777" w:rsidR="000839A4" w:rsidRPr="000839A4" w:rsidRDefault="000839A4" w:rsidP="000839A4">
      <w:pPr>
        <w:tabs>
          <w:tab w:val="left" w:pos="357"/>
        </w:tabs>
        <w:spacing w:before="0"/>
        <w:ind w:left="425" w:hanging="425"/>
        <w:rPr>
          <w:strike/>
          <w:color w:val="0070C0"/>
          <w:szCs w:val="24"/>
        </w:rPr>
      </w:pPr>
      <w:r w:rsidRPr="000839A4">
        <w:rPr>
          <w:strike/>
          <w:noProof/>
          <w:szCs w:val="24"/>
        </w:rPr>
        <mc:AlternateContent>
          <mc:Choice Requires="wps">
            <w:drawing>
              <wp:anchor distT="0" distB="0" distL="114300" distR="114300" simplePos="0" relativeHeight="251676672" behindDoc="1" locked="0" layoutInCell="1" allowOverlap="1" wp14:anchorId="2F214135" wp14:editId="29CF62DA">
                <wp:simplePos x="0" y="0"/>
                <wp:positionH relativeFrom="column">
                  <wp:posOffset>-106165</wp:posOffset>
                </wp:positionH>
                <wp:positionV relativeFrom="paragraph">
                  <wp:posOffset>-4086</wp:posOffset>
                </wp:positionV>
                <wp:extent cx="6050915" cy="894392"/>
                <wp:effectExtent l="0" t="0" r="26035" b="20320"/>
                <wp:wrapNone/>
                <wp:docPr id="36" name="Obdélník 36"/>
                <wp:cNvGraphicFramePr/>
                <a:graphic xmlns:a="http://schemas.openxmlformats.org/drawingml/2006/main">
                  <a:graphicData uri="http://schemas.microsoft.com/office/word/2010/wordprocessingShape">
                    <wps:wsp>
                      <wps:cNvSpPr/>
                      <wps:spPr>
                        <a:xfrm>
                          <a:off x="0" y="0"/>
                          <a:ext cx="6050915" cy="894392"/>
                        </a:xfrm>
                        <a:prstGeom prst="rect">
                          <a:avLst/>
                        </a:prstGeom>
                        <a:solidFill>
                          <a:sysClr val="window" lastClr="FFFFFF"/>
                        </a:solidFill>
                        <a:ln w="12700" cap="flat" cmpd="sng" algn="ctr">
                          <a:solidFill>
                            <a:srgbClr val="5B9BD5"/>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F1FC292" id="Obdélník 36" o:spid="_x0000_s1026" style="position:absolute;margin-left:-8.35pt;margin-top:-.3pt;width:476.45pt;height:70.4pt;z-index:-2516398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" fillcolor="window" strokecolor="#5b9bd5" strokeweight="1pt"/>
            </w:pict>
          </mc:Fallback>
        </mc:AlternateContent>
      </w:r>
      <w:r w:rsidRPr="000839A4">
        <w:rPr>
          <w:strike/>
          <w:color w:val="0070C0"/>
          <w:szCs w:val="24"/>
        </w:rPr>
        <w:t>d)</w:t>
      </w:r>
      <w:r w:rsidRPr="000839A4">
        <w:rPr>
          <w:strike/>
          <w:color w:val="0070C0"/>
          <w:szCs w:val="24"/>
        </w:rPr>
        <w:tab/>
        <w:t>předcházející dni přemístění sídla evropské společnosti nebo evropské družstevní společnosti zapsaného v obchodním rejstříku z území České republiky,</w:t>
      </w:r>
    </w:p>
    <w:p w14:paraId="7426E04D" w14:textId="77777777" w:rsidR="000839A4" w:rsidRPr="000839A4" w:rsidRDefault="000839A4" w:rsidP="000839A4">
      <w:pPr>
        <w:tabs>
          <w:tab w:val="left" w:pos="357"/>
        </w:tabs>
        <w:spacing w:before="0"/>
        <w:ind w:left="425" w:hanging="425"/>
        <w:rPr>
          <w:b/>
          <w:strike/>
          <w:szCs w:val="24"/>
        </w:rPr>
      </w:pPr>
      <w:proofErr w:type="gramStart"/>
      <w:r w:rsidRPr="000839A4">
        <w:rPr>
          <w:b/>
          <w:strike/>
          <w:szCs w:val="24"/>
        </w:rPr>
        <w:t>d)  předcházející</w:t>
      </w:r>
      <w:proofErr w:type="gramEnd"/>
      <w:r w:rsidRPr="000839A4">
        <w:rPr>
          <w:b/>
          <w:strike/>
          <w:szCs w:val="24"/>
        </w:rPr>
        <w:t xml:space="preserve"> dni, od kterého poplatník přemístil daňové rezidenství z České republiky do zahraničí z důvodu přemístění sídla nebo změny místa svého vedení, nebylo-li dosud za toto období daňové přiznání podáno,</w:t>
      </w:r>
    </w:p>
    <w:p w14:paraId="1277DD37" w14:textId="77777777" w:rsidR="000839A4" w:rsidRPr="000839A4" w:rsidRDefault="000839A4" w:rsidP="000839A4">
      <w:pPr>
        <w:tabs>
          <w:tab w:val="left" w:pos="357"/>
        </w:tabs>
        <w:spacing w:before="0"/>
        <w:ind w:left="357" w:hanging="357"/>
        <w:rPr>
          <w:strike/>
          <w:szCs w:val="24"/>
        </w:rPr>
      </w:pPr>
      <w:r w:rsidRPr="000839A4">
        <w:rPr>
          <w:strike/>
          <w:szCs w:val="24"/>
        </w:rPr>
        <w:t>e)</w:t>
      </w:r>
      <w:r w:rsidRPr="000839A4">
        <w:rPr>
          <w:strike/>
          <w:szCs w:val="24"/>
        </w:rPr>
        <w:tab/>
        <w:t>od rozhodného dne přeměny do dne zápisu přeměny do obchodního rejstříku za zanikající nebo rozdělovanou obchodní korporaci nebo za její část, u které je právním nástupcem poplatník daně z příjmů právnických osob, který je daňovým nerezidentem a který nemá ke dni zápisu přeměny do obchodního rejstříku stálou provozovnu na území České republiky,</w:t>
      </w:r>
    </w:p>
    <w:p w14:paraId="1B6E488C" w14:textId="77777777" w:rsidR="000839A4" w:rsidRPr="000839A4" w:rsidRDefault="000839A4" w:rsidP="000839A4">
      <w:pPr>
        <w:tabs>
          <w:tab w:val="left" w:pos="357"/>
        </w:tabs>
        <w:spacing w:before="0"/>
        <w:ind w:left="357" w:hanging="357"/>
        <w:rPr>
          <w:strike/>
          <w:szCs w:val="24"/>
        </w:rPr>
      </w:pPr>
      <w:r w:rsidRPr="000839A4">
        <w:rPr>
          <w:strike/>
          <w:szCs w:val="24"/>
        </w:rPr>
        <w:t>f)</w:t>
      </w:r>
      <w:r w:rsidRPr="000839A4">
        <w:rPr>
          <w:strike/>
          <w:szCs w:val="24"/>
        </w:rPr>
        <w:tab/>
        <w:t>předcházející dni zápisu přeměny obchodní společnosti do obchodního rejstříku přejímajícím společníkem za zanikajícího poplatníka, který je obchodní společností, jedná-li se o převod jmění obchodní společnosti na společníka, který je fyzickou osobou, a nebylo-li dosud za toto období daňové přiznání podáno.</w:t>
      </w:r>
    </w:p>
    <w:p w14:paraId="70E1D3DC" w14:textId="77777777" w:rsidR="000839A4" w:rsidRPr="000839A4" w:rsidRDefault="000839A4" w:rsidP="000839A4">
      <w:pPr>
        <w:tabs>
          <w:tab w:val="num" w:pos="782"/>
          <w:tab w:val="left" w:pos="851"/>
        </w:tabs>
        <w:spacing w:before="120" w:after="120"/>
        <w:outlineLvl w:val="6"/>
        <w:rPr>
          <w:strike/>
        </w:rPr>
      </w:pPr>
      <w:r w:rsidRPr="000839A4">
        <w:rPr>
          <w:strike/>
        </w:rPr>
        <w:t>(2) Daňové přiznání podle odstavce 1 se podává nejpozději do 3 měsíců od konce měsíce, do kterého spadá</w:t>
      </w:r>
    </w:p>
    <w:p w14:paraId="2289972F" w14:textId="77777777" w:rsidR="000839A4" w:rsidRPr="000839A4" w:rsidRDefault="000839A4" w:rsidP="000839A4">
      <w:pPr>
        <w:tabs>
          <w:tab w:val="left" w:pos="357"/>
        </w:tabs>
        <w:spacing w:before="0"/>
        <w:ind w:left="357" w:hanging="357"/>
        <w:rPr>
          <w:strike/>
          <w:szCs w:val="24"/>
        </w:rPr>
      </w:pPr>
      <w:r w:rsidRPr="000839A4">
        <w:rPr>
          <w:strike/>
          <w:szCs w:val="24"/>
        </w:rPr>
        <w:lastRenderedPageBreak/>
        <w:t>a)</w:t>
      </w:r>
      <w:r w:rsidRPr="000839A4">
        <w:rPr>
          <w:strike/>
          <w:szCs w:val="24"/>
        </w:rPr>
        <w:tab/>
        <w:t>u obchodní korporace den rozhodnutí nejvyššího orgánu obchodní korporace o fúzi, převodu jmění na společníka nebo rozdělení obchodní korporace, pokud je tento den dnem pozdějším rozhodnému dni fúze, převodu jmění na společníka nebo rozdělení, není-li rozhodný den fúze nebo převodu jmění na společníka anebo rozdělení obchodní korporace prvním dnem kalendářního roku nebo hospodářského roku,</w:t>
      </w:r>
    </w:p>
    <w:p w14:paraId="1379AE15" w14:textId="77777777" w:rsidR="000839A4" w:rsidRPr="000839A4" w:rsidRDefault="000839A4" w:rsidP="000839A4">
      <w:pPr>
        <w:tabs>
          <w:tab w:val="left" w:pos="357"/>
        </w:tabs>
        <w:spacing w:before="0"/>
        <w:ind w:left="357" w:hanging="357"/>
        <w:rPr>
          <w:strike/>
          <w:szCs w:val="24"/>
        </w:rPr>
      </w:pPr>
      <w:r w:rsidRPr="000839A4">
        <w:rPr>
          <w:strike/>
          <w:szCs w:val="24"/>
        </w:rPr>
        <w:t>b)</w:t>
      </w:r>
      <w:r w:rsidRPr="000839A4">
        <w:rPr>
          <w:strike/>
          <w:szCs w:val="24"/>
        </w:rPr>
        <w:tab/>
        <w:t>den, který je posledním dnem období, za které se daňové přiznání podává, pokud není podle písmene a) stanoven jiný den.</w:t>
      </w:r>
    </w:p>
    <w:p w14:paraId="3E182476" w14:textId="77777777" w:rsidR="000839A4" w:rsidRPr="000839A4" w:rsidRDefault="000839A4" w:rsidP="000839A4">
      <w:pPr>
        <w:tabs>
          <w:tab w:val="num" w:pos="782"/>
          <w:tab w:val="left" w:pos="851"/>
        </w:tabs>
        <w:spacing w:before="120" w:after="120"/>
        <w:outlineLvl w:val="6"/>
        <w:rPr>
          <w:strike/>
        </w:rPr>
      </w:pPr>
      <w:r w:rsidRPr="000839A4">
        <w:rPr>
          <w:strike/>
        </w:rPr>
        <w:t>(3) Podáním daňového přiznání za období podle odstavce 1 písm. a) není splněna povinnost podat daňové přiznání za zdaňovací období, pokud nedojde k zapsání přeměny obchodní korporace do obchodního rejstříku.</w:t>
      </w:r>
    </w:p>
    <w:p w14:paraId="3F3B8B9F" w14:textId="77777777" w:rsidR="000839A4" w:rsidRPr="000839A4" w:rsidRDefault="000839A4" w:rsidP="000839A4">
      <w:pPr>
        <w:keepNext/>
        <w:ind w:firstLine="0"/>
        <w:jc w:val="center"/>
        <w:rPr>
          <w:szCs w:val="24"/>
        </w:rPr>
      </w:pPr>
      <w:r w:rsidRPr="000839A4">
        <w:rPr>
          <w:szCs w:val="24"/>
        </w:rPr>
        <w:t>§ 38mb</w:t>
      </w:r>
    </w:p>
    <w:p w14:paraId="6A683AE9" w14:textId="77777777" w:rsidR="000839A4" w:rsidRPr="000839A4" w:rsidRDefault="000839A4" w:rsidP="000839A4">
      <w:pPr>
        <w:keepNext/>
        <w:ind w:firstLine="0"/>
        <w:jc w:val="center"/>
        <w:rPr>
          <w:b/>
          <w:szCs w:val="24"/>
        </w:rPr>
      </w:pPr>
      <w:r w:rsidRPr="000839A4">
        <w:rPr>
          <w:b/>
          <w:szCs w:val="24"/>
        </w:rPr>
        <w:t>Výjimky z povinnosti podat daňové přiznání k dani z příjmů právnických osob</w:t>
      </w:r>
    </w:p>
    <w:p w14:paraId="3BA8E8EB" w14:textId="77777777" w:rsidR="000839A4" w:rsidRPr="000839A4" w:rsidRDefault="000839A4" w:rsidP="000839A4">
      <w:pPr>
        <w:tabs>
          <w:tab w:val="num" w:pos="782"/>
          <w:tab w:val="left" w:pos="851"/>
        </w:tabs>
        <w:spacing w:before="120" w:after="120"/>
        <w:outlineLvl w:val="6"/>
      </w:pPr>
      <w:r w:rsidRPr="000839A4">
        <w:t>Daňové přiznání není povinen podat</w:t>
      </w:r>
    </w:p>
    <w:p w14:paraId="59FC44E7"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veřejně prospěšný poplatník, pokud</w:t>
      </w:r>
    </w:p>
    <w:p w14:paraId="3DEC4156" w14:textId="77777777" w:rsidR="000839A4" w:rsidRPr="000839A4" w:rsidRDefault="000839A4" w:rsidP="000839A4">
      <w:pPr>
        <w:tabs>
          <w:tab w:val="left" w:pos="357"/>
        </w:tabs>
        <w:spacing w:before="0"/>
        <w:ind w:left="714" w:hanging="357"/>
        <w:rPr>
          <w:szCs w:val="24"/>
        </w:rPr>
      </w:pPr>
      <w:r w:rsidRPr="000839A4">
        <w:rPr>
          <w:szCs w:val="24"/>
        </w:rPr>
        <w:t>1.</w:t>
      </w:r>
      <w:r w:rsidRPr="000839A4">
        <w:rPr>
          <w:szCs w:val="24"/>
        </w:rPr>
        <w:tab/>
        <w:t>má pouze příjmy, které nejsou předmětem daně, příjmy od daně osvobozené nebo příjmy, z nichž je daň vybírána srážkou podle zvláštní sazby daně, a</w:t>
      </w:r>
    </w:p>
    <w:p w14:paraId="2B935DE7" w14:textId="77777777" w:rsidR="000839A4" w:rsidRPr="000839A4" w:rsidRDefault="000839A4" w:rsidP="000839A4">
      <w:pPr>
        <w:tabs>
          <w:tab w:val="left" w:pos="357"/>
        </w:tabs>
        <w:spacing w:before="0"/>
        <w:ind w:left="714" w:hanging="357"/>
        <w:rPr>
          <w:szCs w:val="24"/>
        </w:rPr>
      </w:pPr>
      <w:r w:rsidRPr="000839A4">
        <w:rPr>
          <w:szCs w:val="24"/>
        </w:rPr>
        <w:t>2.</w:t>
      </w:r>
      <w:r w:rsidRPr="000839A4">
        <w:rPr>
          <w:szCs w:val="24"/>
        </w:rPr>
        <w:tab/>
        <w:t xml:space="preserve">nemá povinnost uplatnit postup podle § 23 odst. 3 písm. a) bodu 8 </w:t>
      </w:r>
      <w:r w:rsidRPr="000839A4">
        <w:rPr>
          <w:b/>
          <w:szCs w:val="24"/>
        </w:rPr>
        <w:t>ani § 23 odst. 13, 15 nebo 16</w:t>
      </w:r>
      <w:r w:rsidRPr="000839A4">
        <w:rPr>
          <w:szCs w:val="24"/>
        </w:rPr>
        <w:t>,</w:t>
      </w:r>
    </w:p>
    <w:p w14:paraId="4F8642B4"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společenství vlastníků jednotek, pokud má pouze příjmy, které nejsou předmětem daně, příjmy od daně osvobozené nebo příjmy, z nichž je daň vybírána srážkou podle zvláštní sazby daně,</w:t>
      </w:r>
    </w:p>
    <w:p w14:paraId="6CB9E0C9" w14:textId="77777777" w:rsidR="000839A4" w:rsidRPr="000839A4" w:rsidRDefault="000839A4" w:rsidP="000839A4">
      <w:pPr>
        <w:tabs>
          <w:tab w:val="left" w:pos="357"/>
        </w:tabs>
        <w:spacing w:before="0"/>
        <w:ind w:left="357" w:hanging="357"/>
        <w:rPr>
          <w:szCs w:val="24"/>
        </w:rPr>
      </w:pPr>
      <w:r w:rsidRPr="000839A4">
        <w:rPr>
          <w:szCs w:val="24"/>
        </w:rPr>
        <w:t>c)</w:t>
      </w:r>
      <w:r w:rsidRPr="000839A4">
        <w:rPr>
          <w:szCs w:val="24"/>
        </w:rPr>
        <w:tab/>
        <w:t>veřejná obchodní společnost,</w:t>
      </w:r>
    </w:p>
    <w:p w14:paraId="31F1605A" w14:textId="77777777" w:rsidR="000839A4" w:rsidRPr="000839A4" w:rsidRDefault="000839A4" w:rsidP="000839A4">
      <w:pPr>
        <w:tabs>
          <w:tab w:val="left" w:pos="357"/>
        </w:tabs>
        <w:spacing w:before="0"/>
        <w:ind w:left="357" w:hanging="357"/>
        <w:rPr>
          <w:strike/>
          <w:szCs w:val="24"/>
        </w:rPr>
      </w:pPr>
      <w:r w:rsidRPr="000839A4">
        <w:rPr>
          <w:strike/>
          <w:szCs w:val="24"/>
        </w:rPr>
        <w:t>d)</w:t>
      </w:r>
      <w:r w:rsidRPr="000839A4">
        <w:rPr>
          <w:strike/>
          <w:szCs w:val="24"/>
        </w:rPr>
        <w:tab/>
        <w:t>zanikající nebo rozdělovaná obchodní korporace za období od rozhodného dne přeměny do dne zápisu přeměny do obchodního rejstříku, pokud není stanoveno jinak.</w:t>
      </w:r>
    </w:p>
    <w:p w14:paraId="140A34BD" w14:textId="77777777" w:rsidR="000839A4" w:rsidRPr="000839A4" w:rsidRDefault="000839A4" w:rsidP="000839A4">
      <w:pPr>
        <w:spacing w:before="0"/>
        <w:ind w:left="426" w:hanging="426"/>
        <w:jc w:val="left"/>
        <w:rPr>
          <w:b/>
          <w:noProof/>
          <w:szCs w:val="24"/>
        </w:rPr>
      </w:pPr>
      <w:r w:rsidRPr="000839A4">
        <w:rPr>
          <w:b/>
          <w:noProof/>
          <w:szCs w:val="24"/>
        </w:rPr>
        <w:t>d)</w:t>
      </w:r>
      <w:r w:rsidRPr="000839A4">
        <w:rPr>
          <w:b/>
          <w:noProof/>
          <w:szCs w:val="24"/>
        </w:rPr>
        <w:tab/>
        <w:t xml:space="preserve">poplatník daně z příjmů právnických osob, pokud </w:t>
      </w:r>
    </w:p>
    <w:p w14:paraId="6695FA8B" w14:textId="77777777" w:rsidR="000839A4" w:rsidRPr="000839A4" w:rsidRDefault="000839A4" w:rsidP="000839A4">
      <w:pPr>
        <w:tabs>
          <w:tab w:val="left" w:pos="357"/>
        </w:tabs>
        <w:spacing w:before="0"/>
        <w:ind w:left="714" w:hanging="357"/>
        <w:rPr>
          <w:b/>
          <w:szCs w:val="24"/>
        </w:rPr>
      </w:pPr>
      <w:r w:rsidRPr="000839A4">
        <w:rPr>
          <w:b/>
          <w:szCs w:val="24"/>
        </w:rPr>
        <w:tab/>
        <w:t>1.</w:t>
      </w:r>
      <w:r w:rsidRPr="000839A4">
        <w:rPr>
          <w:b/>
          <w:szCs w:val="24"/>
        </w:rPr>
        <w:tab/>
        <w:t xml:space="preserve">má pouze příjmy, které nejsou předmětem daně, příjmy, z nichž je daň vybírána srážkou podle zvláštní sazby daně, a příjmy osvobozené podle § 19 odst. 1 písm. </w:t>
      </w:r>
      <w:proofErr w:type="spellStart"/>
      <w:r w:rsidRPr="000839A4">
        <w:rPr>
          <w:b/>
          <w:szCs w:val="24"/>
        </w:rPr>
        <w:t>zm</w:t>
      </w:r>
      <w:proofErr w:type="spellEnd"/>
      <w:r w:rsidRPr="000839A4">
        <w:rPr>
          <w:b/>
          <w:szCs w:val="24"/>
        </w:rPr>
        <w:t>) a</w:t>
      </w:r>
    </w:p>
    <w:p w14:paraId="22B99611" w14:textId="77777777" w:rsidR="000839A4" w:rsidRPr="000839A4" w:rsidRDefault="000839A4" w:rsidP="000839A4">
      <w:pPr>
        <w:tabs>
          <w:tab w:val="left" w:pos="357"/>
        </w:tabs>
        <w:spacing w:before="0"/>
        <w:ind w:left="714" w:hanging="357"/>
        <w:rPr>
          <w:b/>
          <w:szCs w:val="24"/>
        </w:rPr>
      </w:pPr>
      <w:r w:rsidRPr="000839A4">
        <w:rPr>
          <w:b/>
          <w:szCs w:val="24"/>
        </w:rPr>
        <w:t>2.</w:t>
      </w:r>
      <w:r w:rsidRPr="000839A4">
        <w:rPr>
          <w:b/>
          <w:szCs w:val="24"/>
        </w:rPr>
        <w:tab/>
        <w:t>nemá povinnost uplatnit postup podle § 23 odst. 3 písm. a) bodu 8 ani § 23 odst. 13, 15 nebo 16</w:t>
      </w:r>
      <w:r w:rsidRPr="000839A4">
        <w:rPr>
          <w:b/>
          <w:strike/>
          <w:szCs w:val="24"/>
        </w:rPr>
        <w:t>.</w:t>
      </w:r>
      <w:r w:rsidRPr="000839A4">
        <w:rPr>
          <w:b/>
          <w:szCs w:val="24"/>
        </w:rPr>
        <w:t>,</w:t>
      </w:r>
    </w:p>
    <w:p w14:paraId="44BECF69" w14:textId="77777777" w:rsidR="000839A4" w:rsidRPr="000839A4" w:rsidRDefault="000839A4" w:rsidP="000839A4">
      <w:pPr>
        <w:spacing w:before="0"/>
        <w:ind w:left="426" w:hanging="426"/>
        <w:jc w:val="left"/>
        <w:rPr>
          <w:b/>
          <w:szCs w:val="24"/>
        </w:rPr>
      </w:pPr>
      <w:r w:rsidRPr="000839A4">
        <w:rPr>
          <w:b/>
          <w:szCs w:val="24"/>
        </w:rPr>
        <w:t xml:space="preserve">e) </w:t>
      </w:r>
      <w:r w:rsidRPr="000839A4">
        <w:rPr>
          <w:b/>
          <w:szCs w:val="24"/>
        </w:rPr>
        <w:tab/>
      </w:r>
      <w:r w:rsidRPr="000839A4">
        <w:rPr>
          <w:b/>
          <w:noProof/>
          <w:szCs w:val="24"/>
        </w:rPr>
        <w:t>poplatník</w:t>
      </w:r>
      <w:r w:rsidRPr="000839A4">
        <w:rPr>
          <w:b/>
          <w:szCs w:val="24"/>
        </w:rPr>
        <w:t xml:space="preserve"> daně z příjmů právnických osob, který je daňovým nerezidentem, pokud má pouze příjmy</w:t>
      </w:r>
    </w:p>
    <w:p w14:paraId="6727C2B0" w14:textId="77777777" w:rsidR="000839A4" w:rsidRPr="000839A4" w:rsidRDefault="000839A4" w:rsidP="000839A4">
      <w:pPr>
        <w:tabs>
          <w:tab w:val="left" w:pos="357"/>
        </w:tabs>
        <w:spacing w:before="0"/>
        <w:ind w:left="714" w:hanging="357"/>
        <w:rPr>
          <w:b/>
          <w:szCs w:val="24"/>
        </w:rPr>
      </w:pPr>
      <w:r w:rsidRPr="000839A4">
        <w:rPr>
          <w:b/>
          <w:szCs w:val="24"/>
        </w:rPr>
        <w:t>1.</w:t>
      </w:r>
      <w:r w:rsidRPr="000839A4">
        <w:rPr>
          <w:b/>
          <w:szCs w:val="24"/>
        </w:rPr>
        <w:tab/>
        <w:t>které nejsou předmětem daně,</w:t>
      </w:r>
    </w:p>
    <w:p w14:paraId="7B64C814" w14:textId="77777777" w:rsidR="000839A4" w:rsidRPr="000839A4" w:rsidRDefault="000839A4" w:rsidP="000839A4">
      <w:pPr>
        <w:tabs>
          <w:tab w:val="left" w:pos="357"/>
        </w:tabs>
        <w:spacing w:before="0"/>
        <w:ind w:left="714" w:hanging="357"/>
        <w:rPr>
          <w:b/>
          <w:szCs w:val="24"/>
        </w:rPr>
      </w:pPr>
      <w:r w:rsidRPr="000839A4">
        <w:rPr>
          <w:b/>
          <w:szCs w:val="24"/>
        </w:rPr>
        <w:t>2.</w:t>
      </w:r>
      <w:r w:rsidRPr="000839A4">
        <w:rPr>
          <w:b/>
          <w:szCs w:val="24"/>
        </w:rPr>
        <w:tab/>
        <w:t>které jsou od daně osvobozené, nebo</w:t>
      </w:r>
    </w:p>
    <w:p w14:paraId="645CA7EA" w14:textId="77777777" w:rsidR="000839A4" w:rsidRPr="000839A4" w:rsidRDefault="000839A4" w:rsidP="000839A4">
      <w:pPr>
        <w:tabs>
          <w:tab w:val="left" w:pos="357"/>
        </w:tabs>
        <w:spacing w:before="0"/>
        <w:ind w:left="714" w:hanging="357"/>
        <w:rPr>
          <w:b/>
          <w:szCs w:val="24"/>
        </w:rPr>
      </w:pPr>
      <w:r w:rsidRPr="000839A4">
        <w:rPr>
          <w:b/>
          <w:szCs w:val="24"/>
        </w:rPr>
        <w:t>3.</w:t>
      </w:r>
      <w:r w:rsidRPr="000839A4">
        <w:rPr>
          <w:b/>
          <w:szCs w:val="24"/>
        </w:rPr>
        <w:tab/>
        <w:t>z nichž je vybírána daň srážkou podle zvláštní sazby daně.</w:t>
      </w:r>
    </w:p>
    <w:p w14:paraId="51A2B790" w14:textId="77777777" w:rsidR="000839A4" w:rsidRPr="000839A4" w:rsidRDefault="000839A4" w:rsidP="000839A4">
      <w:pPr>
        <w:keepNext/>
        <w:ind w:firstLine="0"/>
        <w:jc w:val="center"/>
        <w:rPr>
          <w:strike/>
          <w:szCs w:val="24"/>
        </w:rPr>
      </w:pPr>
      <w:r w:rsidRPr="000839A4">
        <w:rPr>
          <w:strike/>
          <w:szCs w:val="24"/>
        </w:rPr>
        <w:t>§ 38mc</w:t>
      </w:r>
    </w:p>
    <w:p w14:paraId="6A68FD4E" w14:textId="77777777" w:rsidR="000839A4" w:rsidRPr="000839A4" w:rsidRDefault="000839A4" w:rsidP="000839A4">
      <w:pPr>
        <w:keepNext/>
        <w:ind w:firstLine="0"/>
        <w:jc w:val="center"/>
        <w:rPr>
          <w:b/>
          <w:strike/>
          <w:szCs w:val="24"/>
        </w:rPr>
      </w:pPr>
      <w:r w:rsidRPr="000839A4">
        <w:rPr>
          <w:b/>
          <w:strike/>
          <w:szCs w:val="24"/>
        </w:rPr>
        <w:t>Výjimka z oznamovací povinnosti</w:t>
      </w:r>
    </w:p>
    <w:p w14:paraId="58CA8C0D" w14:textId="77777777" w:rsidR="000839A4" w:rsidRPr="000839A4" w:rsidRDefault="000839A4" w:rsidP="000839A4">
      <w:pPr>
        <w:tabs>
          <w:tab w:val="num" w:pos="782"/>
          <w:tab w:val="left" w:pos="851"/>
        </w:tabs>
        <w:spacing w:before="120" w:after="120"/>
        <w:outlineLvl w:val="6"/>
        <w:rPr>
          <w:strike/>
        </w:rPr>
      </w:pPr>
      <w:r w:rsidRPr="000839A4">
        <w:rPr>
          <w:strike/>
        </w:rPr>
        <w:t>Veřejně prospěšný poplatník a společenství vlastníků jednotek, kterým nevznikla ve zdaňovacím období daňová povinnost k dani z příjmů právnických osob, nejsou povinni sdělit tuto skutečnost správci daně.</w:t>
      </w:r>
    </w:p>
    <w:p w14:paraId="6D6BAC15" w14:textId="77777777" w:rsidR="000839A4" w:rsidRPr="000839A4" w:rsidRDefault="000839A4" w:rsidP="000839A4">
      <w:pPr>
        <w:keepNext/>
        <w:ind w:firstLine="0"/>
        <w:jc w:val="center"/>
        <w:rPr>
          <w:b/>
          <w:szCs w:val="24"/>
        </w:rPr>
      </w:pPr>
      <w:r w:rsidRPr="000839A4">
        <w:rPr>
          <w:b/>
          <w:szCs w:val="24"/>
        </w:rPr>
        <w:lastRenderedPageBreak/>
        <w:t>§ 38mc</w:t>
      </w:r>
    </w:p>
    <w:p w14:paraId="56B587E8" w14:textId="77777777" w:rsidR="000839A4" w:rsidRPr="000839A4" w:rsidRDefault="000839A4" w:rsidP="000839A4">
      <w:pPr>
        <w:keepNext/>
        <w:ind w:firstLine="0"/>
        <w:jc w:val="center"/>
        <w:rPr>
          <w:szCs w:val="24"/>
        </w:rPr>
      </w:pPr>
      <w:r w:rsidRPr="000839A4">
        <w:rPr>
          <w:b/>
          <w:szCs w:val="24"/>
        </w:rPr>
        <w:t>Výjimka z oznamovací povinnosti</w:t>
      </w:r>
    </w:p>
    <w:p w14:paraId="0D2BA6E0" w14:textId="77777777" w:rsidR="000839A4" w:rsidRPr="000839A4" w:rsidRDefault="000839A4" w:rsidP="000839A4">
      <w:pPr>
        <w:tabs>
          <w:tab w:val="num" w:pos="782"/>
          <w:tab w:val="left" w:pos="851"/>
        </w:tabs>
        <w:spacing w:before="120" w:after="120"/>
        <w:outlineLvl w:val="6"/>
        <w:rPr>
          <w:b/>
        </w:rPr>
      </w:pPr>
      <w:r w:rsidRPr="000839A4">
        <w:rPr>
          <w:b/>
        </w:rPr>
        <w:t>Povinnost oznámit správci daně skutečnost, že nevznikla ve zdaňovacím období daňová povinnost k dani z příjmů právnických osob, nemá</w:t>
      </w:r>
    </w:p>
    <w:p w14:paraId="5EAD9FD0" w14:textId="77777777" w:rsidR="000839A4" w:rsidRPr="000839A4" w:rsidRDefault="000839A4" w:rsidP="000839A4">
      <w:pPr>
        <w:spacing w:before="0"/>
        <w:ind w:left="426" w:hanging="426"/>
        <w:jc w:val="left"/>
        <w:rPr>
          <w:b/>
          <w:noProof/>
          <w:szCs w:val="24"/>
        </w:rPr>
      </w:pPr>
      <w:r w:rsidRPr="000839A4">
        <w:rPr>
          <w:b/>
          <w:noProof/>
          <w:szCs w:val="24"/>
        </w:rPr>
        <w:t>a)</w:t>
      </w:r>
      <w:r w:rsidRPr="000839A4">
        <w:rPr>
          <w:b/>
          <w:noProof/>
          <w:szCs w:val="24"/>
        </w:rPr>
        <w:tab/>
        <w:t>veřejně prospěšný poplatník,</w:t>
      </w:r>
    </w:p>
    <w:p w14:paraId="45D8D07E" w14:textId="77777777" w:rsidR="000839A4" w:rsidRPr="000839A4" w:rsidRDefault="000839A4" w:rsidP="000839A4">
      <w:pPr>
        <w:spacing w:before="0"/>
        <w:ind w:left="426" w:hanging="426"/>
        <w:jc w:val="left"/>
        <w:rPr>
          <w:b/>
          <w:noProof/>
          <w:szCs w:val="24"/>
        </w:rPr>
      </w:pPr>
      <w:r w:rsidRPr="000839A4">
        <w:rPr>
          <w:b/>
          <w:noProof/>
          <w:szCs w:val="24"/>
        </w:rPr>
        <w:t>b)</w:t>
      </w:r>
      <w:r w:rsidRPr="000839A4">
        <w:rPr>
          <w:b/>
          <w:noProof/>
          <w:szCs w:val="24"/>
        </w:rPr>
        <w:tab/>
      </w:r>
      <w:r w:rsidRPr="000839A4">
        <w:rPr>
          <w:b/>
          <w:szCs w:val="24"/>
        </w:rPr>
        <w:t>společenství vlastníků jednotek</w:t>
      </w:r>
      <w:r w:rsidRPr="000839A4">
        <w:rPr>
          <w:b/>
          <w:noProof/>
          <w:szCs w:val="24"/>
        </w:rPr>
        <w:t>,</w:t>
      </w:r>
    </w:p>
    <w:p w14:paraId="29C35B20" w14:textId="77777777" w:rsidR="000839A4" w:rsidRPr="000839A4" w:rsidRDefault="000839A4" w:rsidP="000839A4">
      <w:pPr>
        <w:spacing w:before="0"/>
        <w:ind w:left="426" w:hanging="426"/>
        <w:jc w:val="left"/>
        <w:rPr>
          <w:b/>
          <w:noProof/>
          <w:szCs w:val="24"/>
        </w:rPr>
      </w:pPr>
      <w:r w:rsidRPr="000839A4">
        <w:rPr>
          <w:b/>
          <w:noProof/>
          <w:szCs w:val="24"/>
        </w:rPr>
        <w:t>c)</w:t>
      </w:r>
      <w:r w:rsidRPr="000839A4">
        <w:rPr>
          <w:b/>
          <w:noProof/>
          <w:szCs w:val="24"/>
        </w:rPr>
        <w:tab/>
        <w:t>poplatník daně z příjmů právnických osob uvedený v § 38mb písm. d) a</w:t>
      </w:r>
    </w:p>
    <w:p w14:paraId="468B9CF0" w14:textId="77777777" w:rsidR="000839A4" w:rsidRPr="000839A4" w:rsidRDefault="000839A4" w:rsidP="000839A4">
      <w:pPr>
        <w:spacing w:before="0"/>
        <w:ind w:left="426" w:hanging="426"/>
        <w:jc w:val="left"/>
        <w:rPr>
          <w:b/>
          <w:noProof/>
          <w:szCs w:val="24"/>
        </w:rPr>
      </w:pPr>
      <w:r w:rsidRPr="000839A4">
        <w:rPr>
          <w:b/>
          <w:noProof/>
          <w:szCs w:val="24"/>
        </w:rPr>
        <w:t>d)</w:t>
      </w:r>
      <w:r w:rsidRPr="000839A4">
        <w:rPr>
          <w:b/>
          <w:noProof/>
          <w:szCs w:val="24"/>
        </w:rPr>
        <w:tab/>
        <w:t>poplatník daně z příjmů právnických osob, který je daňovým nerezidentem.</w:t>
      </w:r>
    </w:p>
    <w:p w14:paraId="75107382" w14:textId="77777777" w:rsidR="000839A4" w:rsidRPr="000839A4" w:rsidRDefault="000839A4" w:rsidP="000839A4">
      <w:pPr>
        <w:keepNext/>
        <w:ind w:firstLine="0"/>
        <w:jc w:val="center"/>
        <w:rPr>
          <w:szCs w:val="24"/>
        </w:rPr>
      </w:pPr>
      <w:r w:rsidRPr="000839A4">
        <w:rPr>
          <w:szCs w:val="24"/>
        </w:rPr>
        <w:t>§ 38n</w:t>
      </w:r>
    </w:p>
    <w:p w14:paraId="132C37A4" w14:textId="77777777" w:rsidR="000839A4" w:rsidRPr="000839A4" w:rsidRDefault="000839A4" w:rsidP="000839A4">
      <w:pPr>
        <w:keepNext/>
        <w:ind w:firstLine="0"/>
        <w:jc w:val="center"/>
        <w:rPr>
          <w:b/>
          <w:szCs w:val="24"/>
        </w:rPr>
      </w:pPr>
      <w:r w:rsidRPr="000839A4">
        <w:rPr>
          <w:b/>
          <w:szCs w:val="24"/>
        </w:rPr>
        <w:t>Daňová ztráta</w:t>
      </w:r>
    </w:p>
    <w:p w14:paraId="225F5A55" w14:textId="77777777" w:rsidR="000839A4" w:rsidRPr="000839A4" w:rsidRDefault="000839A4" w:rsidP="000839A4">
      <w:pPr>
        <w:tabs>
          <w:tab w:val="num" w:pos="782"/>
          <w:tab w:val="left" w:pos="851"/>
        </w:tabs>
        <w:spacing w:before="120" w:after="120"/>
        <w:outlineLvl w:val="6"/>
      </w:pPr>
      <w:r w:rsidRPr="000839A4">
        <w:t>(1) Pokud výdaje (náklady) upravené podle § 23 převyšují příjmy upravené podle § 23, je rozdíl daňovou ztrátou.</w:t>
      </w:r>
    </w:p>
    <w:p w14:paraId="3F193ADB" w14:textId="77777777" w:rsidR="000839A4" w:rsidRPr="000839A4" w:rsidRDefault="000839A4" w:rsidP="000839A4">
      <w:pPr>
        <w:tabs>
          <w:tab w:val="num" w:pos="782"/>
          <w:tab w:val="left" w:pos="851"/>
        </w:tabs>
        <w:spacing w:before="120" w:after="120"/>
        <w:outlineLvl w:val="6"/>
      </w:pPr>
      <w:r w:rsidRPr="000839A4">
        <w:t>(2) Při správě daňové ztráty se postupuje obdobně jako při správě daňové povinnosti, avšak daňová ztráta stanovená poplatníkovi zaniklému bez provedení likvidace nepřechází na jeho právního nástupce s výjimkami uvedenými v § 23a odst. 5 písm. b) a § 23c odst. 8 písm. b). Daňová ztráta se stanovuje. Při snižování daňové ztráty se postupuje obdobně jako při zvyšování daňové povinnosti. Při zvyšování daňové ztráty se postupuje obdobně jako při snižování daňové povinnosti. Daňová ztráta se zaokrouhluje na celé koruny nahoru.</w:t>
      </w:r>
    </w:p>
    <w:p w14:paraId="45F3C471" w14:textId="77777777" w:rsidR="000839A4" w:rsidRPr="000839A4" w:rsidRDefault="000839A4" w:rsidP="000839A4">
      <w:pPr>
        <w:tabs>
          <w:tab w:val="num" w:pos="782"/>
          <w:tab w:val="left" w:pos="851"/>
        </w:tabs>
        <w:spacing w:before="120" w:after="120"/>
        <w:outlineLvl w:val="6"/>
      </w:pPr>
      <w:r w:rsidRPr="000839A4">
        <w:t>(3) Ustanovení předchozích odstavců platí i pro poplatníky uvedené v § 2, pokud není v § 5 stanoveno jinak.</w:t>
      </w:r>
    </w:p>
    <w:p w14:paraId="33C3F792" w14:textId="77777777" w:rsidR="000839A4" w:rsidRPr="000839A4" w:rsidRDefault="000839A4" w:rsidP="000839A4">
      <w:pPr>
        <w:tabs>
          <w:tab w:val="num" w:pos="782"/>
          <w:tab w:val="left" w:pos="851"/>
        </w:tabs>
        <w:spacing w:before="120" w:after="120"/>
        <w:outlineLvl w:val="6"/>
      </w:pPr>
      <w:r w:rsidRPr="000839A4">
        <w:t>(4) Ustanovení odstavce 1 platí i pro stanovení daňové ztráty komanditní společnosti připadající komplementářům (komplementáři).</w:t>
      </w:r>
    </w:p>
    <w:p w14:paraId="7FFD71AE" w14:textId="77777777" w:rsidR="000839A4" w:rsidRPr="000839A4" w:rsidRDefault="000839A4" w:rsidP="000839A4">
      <w:pPr>
        <w:keepNext/>
        <w:ind w:firstLine="0"/>
        <w:jc w:val="center"/>
        <w:rPr>
          <w:szCs w:val="24"/>
        </w:rPr>
      </w:pPr>
      <w:r w:rsidRPr="000839A4">
        <w:rPr>
          <w:szCs w:val="24"/>
        </w:rPr>
        <w:t>§ 38na</w:t>
      </w:r>
    </w:p>
    <w:p w14:paraId="38FF11A7" w14:textId="77777777" w:rsidR="000839A4" w:rsidRPr="000839A4" w:rsidRDefault="000839A4" w:rsidP="000839A4">
      <w:pPr>
        <w:tabs>
          <w:tab w:val="num" w:pos="782"/>
          <w:tab w:val="left" w:pos="851"/>
        </w:tabs>
        <w:spacing w:before="120" w:after="120"/>
        <w:outlineLvl w:val="6"/>
      </w:pPr>
      <w:r w:rsidRPr="000839A4">
        <w:t>(1) Stanovenou a neuplatněnou daňovou ztrátu nelze odčítat od základu daně za podmínek uvedených v § 34 odst. 1, došlo-li u poplatníka k podstatné změně ve složení osob, které se přímo účastní na kapitálu či kontrole (dále jen „podstatná změna“). Změnou ve složení osob se rozumí nabytí nebo zvýšení podílu na základním kapitálu nebo hlasovacích právech a získání rozhodujícího vlivu. Podstatnou změnou se vždy rozumí nabytí nebo zvýšení podílu, které se v úhrnu týká více než 25 % základního kapitálu nebo hlasovacích práv, a změny, kterými získá člen obchodní korporace rozhodující vliv. Rozhodným pro zjištění, zda došlo k podstatné změně, je úhrn změn ve složení osob, ke kterým došlo mezi posledním dnem období, za které byla daňová ztráta stanovena, a posledním dnem období, ve kterém má být daňová ztráta uplatněna.</w:t>
      </w:r>
    </w:p>
    <w:p w14:paraId="2C550DCF" w14:textId="77777777" w:rsidR="000839A4" w:rsidRPr="000839A4" w:rsidRDefault="000839A4" w:rsidP="000839A4">
      <w:pPr>
        <w:tabs>
          <w:tab w:val="num" w:pos="782"/>
          <w:tab w:val="left" w:pos="851"/>
        </w:tabs>
        <w:spacing w:before="120" w:after="120"/>
        <w:outlineLvl w:val="6"/>
      </w:pPr>
      <w:r w:rsidRPr="000839A4">
        <w:t>(2) U akciové společnosti, která vydala akcie na majitele v období, za které byla daňová ztráta stanovena, nebo v období, ve kterém má být daňová ztráta uplatněna, se má za to, že došlo k podstatné změně, ledaže poplatník prokáže, že v období, ve kterém má být daňová ztráta uplatněna, bylo vytvořeno stejnou činností, jakou v rámci svého předmětu podnikání provozoval poplatník v období, za které byla daňová ztráta stanovena, nejméně 80 % tržeb za vlastní výkony a zboží zaúčtovaných do výnosů podle právních předpisů upravujících účetnictví, nebo pokud prokáže, že nedošlo k podstatné změně podle odstavce 1.</w:t>
      </w:r>
    </w:p>
    <w:p w14:paraId="55FF8561" w14:textId="77777777" w:rsidR="000839A4" w:rsidRPr="000839A4" w:rsidRDefault="000839A4" w:rsidP="000839A4">
      <w:pPr>
        <w:tabs>
          <w:tab w:val="num" w:pos="782"/>
          <w:tab w:val="left" w:pos="851"/>
        </w:tabs>
        <w:spacing w:before="120" w:after="120"/>
        <w:outlineLvl w:val="6"/>
      </w:pPr>
      <w:r w:rsidRPr="000839A4">
        <w:t xml:space="preserve"> (3) Ustanovení odstavce 1 se nepoužije, pokud poplatník, u nějž k podstatné změně došlo, prokáže správci daně, že nejméně 80 % tržeb za vlastní výkony a zboží zaúčtovaných do výnosů </w:t>
      </w:r>
      <w:r w:rsidRPr="000839A4">
        <w:lastRenderedPageBreak/>
        <w:t>podle zvláštního právního předpisu</w:t>
      </w:r>
      <w:r w:rsidRPr="000839A4">
        <w:rPr>
          <w:strike/>
          <w:vertAlign w:val="superscript"/>
        </w:rPr>
        <w:t>20)</w:t>
      </w:r>
      <w:r w:rsidRPr="000839A4">
        <w:t xml:space="preserve"> v období, kdy došlo k podstatné změně, a v </w:t>
      </w:r>
      <w:r w:rsidRPr="000839A4">
        <w:rPr>
          <w:color w:val="FF0000"/>
        </w:rPr>
        <w:t xml:space="preserve"> </w:t>
      </w:r>
      <w:r w:rsidRPr="000839A4">
        <w:t xml:space="preserve">obdobích, ve kterých má být uplatněna daňová ztráta bylo vytvořeno stejnou činností, jakou v rámci svého předmětu podnikání provozoval poplatník v období, za které byla daňová ztráta stanovena. </w:t>
      </w:r>
    </w:p>
    <w:p w14:paraId="46ACC982" w14:textId="77777777" w:rsidR="000839A4" w:rsidRPr="000839A4" w:rsidRDefault="000839A4" w:rsidP="000839A4">
      <w:pPr>
        <w:tabs>
          <w:tab w:val="num" w:pos="782"/>
          <w:tab w:val="left" w:pos="851"/>
        </w:tabs>
        <w:spacing w:before="120" w:after="120"/>
        <w:outlineLvl w:val="6"/>
      </w:pPr>
      <w:r w:rsidRPr="000839A4">
        <w:t>(4) Zaniká-li při přeměně</w:t>
      </w:r>
      <w:r w:rsidRPr="000839A4">
        <w:rPr>
          <w:vertAlign w:val="superscript"/>
        </w:rPr>
        <w:t>131)</w:t>
      </w:r>
      <w:r w:rsidRPr="000839A4">
        <w:t xml:space="preserve"> daňový poplatník, může právní nástupce daňovou ztrátu převzatou podle § 23c odst. 8 písm. b) odčítat od základu daně maximálně do výše části základu daně, připadající na stejné činnosti vykonávané poplatníkem, kterému byla daňová ztráta stanovena, a to v období, za které byla daňová ztráta stanovena. V případě přeměny rozdělením, kdy rozdělovaná obchodní korporace nezaniká, může daňovou ztrátu převzatou podle § 23c odst. 8 písm. b) odčítat nástupnická obchodní korporace při rozdělení od základu daně maximálně do výše části základu daně připadající na stejné činnosti vykonávané poplatníkem, kterému byla daňová ztráta stanovena, a to v období, za které byla daňová ztráta stanovena. Část základu daně podle věty první a druhé se stanoví na základě poměru tržeb za vlastní výkony a zboží zaúčtovaných do výnosů podle zvláštního právního předpisu</w:t>
      </w:r>
      <w:r w:rsidRPr="000839A4">
        <w:rPr>
          <w:strike/>
          <w:vertAlign w:val="superscript"/>
        </w:rPr>
        <w:t>20)</w:t>
      </w:r>
      <w:r w:rsidRPr="000839A4">
        <w:t>připadajících na stejné činnosti vykonávané zanikající nebo rozdělovanou obchodní korporací v období, za které byla daňová ztráta stanovena, k celkovým tržbám za vlastní výkony a zboží zaúčtovaným do výnosů podle zvláštního právního předpisu</w:t>
      </w:r>
      <w:r w:rsidRPr="000839A4">
        <w:rPr>
          <w:strike/>
          <w:vertAlign w:val="superscript"/>
        </w:rPr>
        <w:t>20)</w:t>
      </w:r>
      <w:r w:rsidRPr="000839A4">
        <w:t>. Obdobně se postupuje v případě převzetí daňové ztráty, která vznikla poplatníkovi uvedenému v § 17 odst. 4, který nemá na území České republiky stálou provozovnu.</w:t>
      </w:r>
    </w:p>
    <w:p w14:paraId="6DBB4FF3" w14:textId="77777777" w:rsidR="000839A4" w:rsidRPr="000839A4" w:rsidRDefault="000839A4" w:rsidP="000839A4">
      <w:pPr>
        <w:tabs>
          <w:tab w:val="num" w:pos="782"/>
          <w:tab w:val="left" w:pos="851"/>
        </w:tabs>
        <w:spacing w:before="120" w:after="120"/>
        <w:outlineLvl w:val="6"/>
      </w:pPr>
      <w:r w:rsidRPr="000839A4">
        <w:t>(5) Obchodní korporace, která při přeměně sloučením nebo rozdělením nezaniká, může odčítat daňovou ztrátu, která jí byla stanovena před přeměnou a nebyla převedena na nástupnickou obchodní korporaci při rozdělení, maximálně do výše části základu daně připadající na stejné činnosti, které vykonávala v období, za které byla daňová ztráta stanovena. Část základu daně podle věty první se stanoví na základě poměru tržeb za vlastní výkony a zboží zaúčtovaných do výnosů podle zvláštního právního předpisu</w:t>
      </w:r>
      <w:r w:rsidRPr="000839A4">
        <w:rPr>
          <w:strike/>
          <w:vertAlign w:val="superscript"/>
        </w:rPr>
        <w:t>20)</w:t>
      </w:r>
      <w:r w:rsidRPr="000839A4">
        <w:t xml:space="preserve"> připadajících na stejné činnosti vykonávané poplatníkem, který nezaniká, v období, za které byla daňová ztráta stanovena, k celkovým tržbám za vlastní výkony a zboží zaúčtovaným do výnosů podle zvláštního právního předpisu</w:t>
      </w:r>
      <w:r w:rsidRPr="000839A4">
        <w:rPr>
          <w:strike/>
          <w:vertAlign w:val="superscript"/>
        </w:rPr>
        <w:t>20)</w:t>
      </w:r>
      <w:r w:rsidRPr="000839A4">
        <w:t>.</w:t>
      </w:r>
    </w:p>
    <w:p w14:paraId="45F7014E" w14:textId="77777777" w:rsidR="000839A4" w:rsidRPr="000839A4" w:rsidRDefault="000839A4" w:rsidP="000839A4">
      <w:pPr>
        <w:tabs>
          <w:tab w:val="num" w:pos="782"/>
          <w:tab w:val="left" w:pos="851"/>
        </w:tabs>
        <w:spacing w:before="120" w:after="120"/>
        <w:outlineLvl w:val="6"/>
      </w:pPr>
      <w:r w:rsidRPr="000839A4">
        <w:t>(6) Při převodu obchodního závodu lze daňovou ztrátu nebo část daňové ztráty, převzaté podle § 23a odst. 5 písm. b), odčítat od základu daně přijímající obchodní korporace v jednotlivých obdobích maximálně do výše základu daně stanoveného u přijímající obchodní korporace z činnosti vykonávané prostřednictvím převedeného obchodního závodu, která byla prostřednictvím převedeného obchodního závodu vykonávána v období, za které byla uplatňovaná daňová ztráta stanovena. Výše základu daně podle věty první se stanoví u přijímající obchodní korporace na základě poměru tržeb za vlastní výkony a zboží zaúčtovaných do výnosů podle zvláštního právního předpisu</w:t>
      </w:r>
      <w:r w:rsidRPr="000839A4">
        <w:rPr>
          <w:strike/>
          <w:vertAlign w:val="superscript"/>
        </w:rPr>
        <w:t>20)</w:t>
      </w:r>
      <w:r w:rsidRPr="000839A4">
        <w:rPr>
          <w:vertAlign w:val="superscript"/>
        </w:rPr>
        <w:fldChar w:fldCharType="begin"/>
      </w:r>
      <w:r w:rsidRPr="000839A4">
        <w:rPr>
          <w:vertAlign w:val="superscript"/>
        </w:rPr>
        <w:instrText xml:space="preserve"> NOTEREF _Ref535916574  \* MERGEFORMAT </w:instrText>
      </w:r>
      <w:r w:rsidRPr="000839A4">
        <w:rPr>
          <w:vertAlign w:val="superscript"/>
        </w:rPr>
        <w:fldChar w:fldCharType="end"/>
      </w:r>
      <w:r w:rsidRPr="000839A4">
        <w:t xml:space="preserve"> připadajících na stejné činnosti vykonávané převádějící obchodní korporací v období, za které byla daňová ztráta stanovena, k celkovým tržbám za vlastní výkony a zboží zaúčtovaným do výnosů podle zvláštního právního předpisu</w:t>
      </w:r>
      <w:r w:rsidRPr="000839A4">
        <w:rPr>
          <w:strike/>
          <w:vertAlign w:val="superscript"/>
        </w:rPr>
        <w:t>20)</w:t>
      </w:r>
      <w:r w:rsidRPr="000839A4">
        <w:t>. Obdobně se postupuje v případě převzetí daňové ztráty, která vznikla poplatníkovi uvedenému v § 17 odst. 4, který nemá na území České republiky stálou provozovnu.</w:t>
      </w:r>
    </w:p>
    <w:p w14:paraId="2FF9FA0F" w14:textId="77777777" w:rsidR="000839A4" w:rsidRPr="000839A4" w:rsidRDefault="000839A4" w:rsidP="000839A4">
      <w:pPr>
        <w:tabs>
          <w:tab w:val="num" w:pos="782"/>
          <w:tab w:val="left" w:pos="851"/>
        </w:tabs>
        <w:spacing w:before="120" w:after="120"/>
        <w:outlineLvl w:val="6"/>
      </w:pPr>
      <w:r w:rsidRPr="000839A4">
        <w:t>(7) Daňovou ztrátu stanovenou po přeměně obchodní korporace nelze odčítat od základu daně právního předchůdce poplatníka v období předcházejícím období, za které je tato daňová ztráta stanovena. Pokud je takto stanovená daňová ztráta odčítána od základu daně poplatníka v období předcházejícím období, za které se tato daňová ztráta stanoví, lze ji za podmínek uvedených v § 34 odst. 1 uplatnit pouze v rozsahu, v jakém tato ztráta připadá na stejné činnosti, které poplatník vykonával před přeměnou.</w:t>
      </w:r>
    </w:p>
    <w:p w14:paraId="23FADA6E" w14:textId="77777777" w:rsidR="000839A4" w:rsidRPr="000839A4" w:rsidRDefault="000839A4" w:rsidP="000839A4">
      <w:pPr>
        <w:tabs>
          <w:tab w:val="num" w:pos="782"/>
          <w:tab w:val="left" w:pos="851"/>
        </w:tabs>
        <w:spacing w:before="120" w:after="120"/>
        <w:outlineLvl w:val="6"/>
      </w:pPr>
      <w:r w:rsidRPr="000839A4">
        <w:t xml:space="preserve">(8) Vzniknou-li poplatníkovi pochybnosti, zda jsou splněny podmínky stanovené v odstavcích 1 až 7, může požádat správce daně o závazné posouzení skutečnosti, zda daňovou </w:t>
      </w:r>
      <w:r w:rsidRPr="000839A4">
        <w:lastRenderedPageBreak/>
        <w:t>ztrátu lze uplatnit jako položku odčitatelnou od základu daně. V žádosti o vydání rozhodnutí o závazném posouzení je poplatník povinen uvést</w:t>
      </w:r>
    </w:p>
    <w:p w14:paraId="699A84A7"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název, právní formu a sídlo právnické osoby, daňové identifikační číslo, pokud bylo přiděleno,</w:t>
      </w:r>
    </w:p>
    <w:p w14:paraId="67DFDA93"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přehled veškerých tržeb za vlastní výkony a zboží v členění podle činností vykonávaných poplatníkem, jemuž daňová ztráta vznikla, dosažených v období, za které byla daňová ztráta, která má být uplatněna jako položka odčitatelná od základu daně, stanovena,</w:t>
      </w:r>
    </w:p>
    <w:p w14:paraId="11D1266D" w14:textId="77777777" w:rsidR="000839A4" w:rsidRPr="000839A4" w:rsidRDefault="000839A4" w:rsidP="000839A4">
      <w:pPr>
        <w:tabs>
          <w:tab w:val="left" w:pos="357"/>
        </w:tabs>
        <w:spacing w:before="0"/>
        <w:ind w:left="357" w:hanging="357"/>
        <w:rPr>
          <w:szCs w:val="24"/>
        </w:rPr>
      </w:pPr>
      <w:r w:rsidRPr="000839A4">
        <w:rPr>
          <w:szCs w:val="24"/>
        </w:rPr>
        <w:t>c)</w:t>
      </w:r>
      <w:r w:rsidRPr="000839A4">
        <w:rPr>
          <w:szCs w:val="24"/>
        </w:rPr>
        <w:tab/>
        <w:t>přehled veškerých tržeb za vlastní výkony a zboží v členění podle činností vykonávaných poplatníkem, který daňovou ztrátu uplatňuje, dosažených v období, za které má být daňová ztráta uplatněna jako položka odčitatelná od základu daně,</w:t>
      </w:r>
    </w:p>
    <w:p w14:paraId="1FBBE217" w14:textId="77777777" w:rsidR="000839A4" w:rsidRPr="000839A4" w:rsidRDefault="000839A4" w:rsidP="000839A4">
      <w:pPr>
        <w:tabs>
          <w:tab w:val="left" w:pos="357"/>
        </w:tabs>
        <w:spacing w:before="0"/>
        <w:ind w:left="357" w:hanging="357"/>
        <w:rPr>
          <w:szCs w:val="24"/>
        </w:rPr>
      </w:pPr>
      <w:r w:rsidRPr="000839A4">
        <w:rPr>
          <w:szCs w:val="24"/>
        </w:rPr>
        <w:t>d)</w:t>
      </w:r>
      <w:r w:rsidRPr="000839A4">
        <w:rPr>
          <w:szCs w:val="24"/>
        </w:rPr>
        <w:tab/>
        <w:t>návrh výroku rozhodnutí o závazném posouzení skutečnosti, zda daňovou ztrátu lze uplatnit jako položku odčitatelnou od základu daně.</w:t>
      </w:r>
    </w:p>
    <w:p w14:paraId="05DD5291" w14:textId="77777777" w:rsidR="000839A4" w:rsidRPr="000839A4" w:rsidRDefault="000839A4" w:rsidP="000839A4">
      <w:pPr>
        <w:tabs>
          <w:tab w:val="num" w:pos="782"/>
          <w:tab w:val="left" w:pos="851"/>
        </w:tabs>
        <w:spacing w:before="120" w:after="120"/>
        <w:outlineLvl w:val="6"/>
      </w:pPr>
      <w:r w:rsidRPr="000839A4">
        <w:t>(9) Je-li rozhodnutí o závazném posouzení doručeno poplatníkovi po uplynutí lhůty pro podání daňového přiznání, může poplatník uplatnit odčitatelnou položku podle § 34 odst. 1 v dodatečném daňovém přiznání.</w:t>
      </w:r>
    </w:p>
    <w:p w14:paraId="16B53FB9" w14:textId="77777777" w:rsidR="000839A4" w:rsidRPr="000839A4" w:rsidRDefault="000839A4" w:rsidP="000839A4">
      <w:pPr>
        <w:tabs>
          <w:tab w:val="num" w:pos="782"/>
          <w:tab w:val="left" w:pos="851"/>
        </w:tabs>
        <w:spacing w:before="120" w:after="120"/>
        <w:outlineLvl w:val="6"/>
      </w:pPr>
      <w:r w:rsidRPr="000839A4">
        <w:t>(10) Za provozování stejné činnosti podle odstavců 2 až 7 v období, ve kterém má být daňová ztráta uplatněna, a v období, za které byla daňová ztráta stanovena, se považuje i případ, kdy</w:t>
      </w:r>
    </w:p>
    <w:p w14:paraId="425A54C7" w14:textId="77777777" w:rsidR="000839A4" w:rsidRPr="000839A4" w:rsidRDefault="000839A4" w:rsidP="000839A4">
      <w:pPr>
        <w:spacing w:before="0"/>
        <w:ind w:left="425" w:hanging="425"/>
        <w:rPr>
          <w:szCs w:val="24"/>
        </w:rPr>
      </w:pPr>
      <w:r w:rsidRPr="000839A4">
        <w:rPr>
          <w:szCs w:val="24"/>
        </w:rPr>
        <w:t xml:space="preserve">a) </w:t>
      </w:r>
      <w:r w:rsidRPr="000839A4">
        <w:rPr>
          <w:szCs w:val="24"/>
        </w:rPr>
        <w:tab/>
        <w:t>v období, za které byla daňová ztráta stanovena, došlo k vynakládání výdajů za účelem dosažení, zajištění a udržení příjmů, ale tyto příjmy byly vykázány až v období, ve kterém má být daňová ztráta uplatněna, nebo</w:t>
      </w:r>
    </w:p>
    <w:p w14:paraId="1E733574" w14:textId="77777777" w:rsidR="000839A4" w:rsidRPr="000839A4" w:rsidRDefault="000839A4" w:rsidP="000839A4">
      <w:pPr>
        <w:spacing w:before="0"/>
        <w:ind w:left="425" w:hanging="425"/>
        <w:rPr>
          <w:szCs w:val="24"/>
        </w:rPr>
      </w:pPr>
      <w:r w:rsidRPr="000839A4">
        <w:rPr>
          <w:szCs w:val="24"/>
        </w:rPr>
        <w:t xml:space="preserve">b) </w:t>
      </w:r>
      <w:r w:rsidRPr="000839A4">
        <w:rPr>
          <w:szCs w:val="24"/>
        </w:rPr>
        <w:tab/>
        <w:t>v období, ve kterém má být daňová ztráta uplatněna, došlo k vynakládání výdajů za účelem dosažení, zajištění a udržení příjmů, ale tyto příjmy byly vykázány až v období, za které byla daňová ztráta stanovena.</w:t>
      </w:r>
    </w:p>
    <w:p w14:paraId="44D670D7" w14:textId="77777777" w:rsidR="000839A4" w:rsidRPr="000839A4" w:rsidRDefault="000839A4" w:rsidP="000839A4">
      <w:pPr>
        <w:tabs>
          <w:tab w:val="num" w:pos="782"/>
          <w:tab w:val="left" w:pos="851"/>
        </w:tabs>
        <w:spacing w:before="120" w:after="120"/>
        <w:outlineLvl w:val="6"/>
      </w:pPr>
      <w:r w:rsidRPr="000839A4">
        <w:t>(11) V případech uvedených v odstavcích 4 až 7 se nepoužijí ustanovení odstavců 1 až 3.</w:t>
      </w:r>
    </w:p>
    <w:p w14:paraId="71B3CFCE" w14:textId="77777777" w:rsidR="000839A4" w:rsidRPr="000839A4" w:rsidRDefault="000839A4" w:rsidP="000839A4">
      <w:pPr>
        <w:tabs>
          <w:tab w:val="num" w:pos="782"/>
          <w:tab w:val="left" w:pos="851"/>
        </w:tabs>
        <w:spacing w:before="120" w:after="120"/>
        <w:outlineLvl w:val="6"/>
      </w:pPr>
      <w:r w:rsidRPr="000839A4">
        <w:t xml:space="preserve">(12) Obdobím podle odstavců 1 až 7 a 10 se rozumí zdaňovací období </w:t>
      </w:r>
      <w:r w:rsidRPr="000839A4">
        <w:rPr>
          <w:strike/>
        </w:rPr>
        <w:t>i období, za něž se podává daňové přiznání</w:t>
      </w:r>
      <w:r w:rsidRPr="000839A4">
        <w:t>.</w:t>
      </w:r>
    </w:p>
    <w:p w14:paraId="1A37FAAA" w14:textId="77777777" w:rsidR="000839A4" w:rsidRPr="000839A4" w:rsidRDefault="000839A4" w:rsidP="000839A4">
      <w:pPr>
        <w:keepNext/>
        <w:ind w:firstLine="0"/>
        <w:jc w:val="center"/>
        <w:rPr>
          <w:szCs w:val="24"/>
        </w:rPr>
      </w:pPr>
      <w:r w:rsidRPr="000839A4">
        <w:rPr>
          <w:szCs w:val="24"/>
        </w:rPr>
        <w:t>§ 38nb</w:t>
      </w:r>
    </w:p>
    <w:p w14:paraId="709803BA" w14:textId="77777777" w:rsidR="000839A4" w:rsidRPr="000839A4" w:rsidRDefault="000839A4" w:rsidP="000839A4">
      <w:pPr>
        <w:keepNext/>
        <w:ind w:firstLine="0"/>
        <w:jc w:val="center"/>
        <w:rPr>
          <w:b/>
          <w:szCs w:val="24"/>
        </w:rPr>
      </w:pPr>
      <w:r w:rsidRPr="000839A4">
        <w:rPr>
          <w:b/>
          <w:szCs w:val="24"/>
        </w:rPr>
        <w:t>Rozhodnutí o přiznání osvobození příjmů z licenčních poplatků a úroků z úvěrového finančního nástroje</w:t>
      </w:r>
    </w:p>
    <w:p w14:paraId="12D3EAB6" w14:textId="77777777" w:rsidR="000839A4" w:rsidRPr="000839A4" w:rsidRDefault="000839A4" w:rsidP="000839A4">
      <w:pPr>
        <w:tabs>
          <w:tab w:val="num" w:pos="782"/>
          <w:tab w:val="left" w:pos="851"/>
        </w:tabs>
        <w:spacing w:before="120" w:after="120"/>
        <w:outlineLvl w:val="6"/>
      </w:pPr>
      <w:r w:rsidRPr="000839A4">
        <w:t xml:space="preserve">(1) Poplatník, který splňuje podmínky pro osvobození podle § 19 odst. 1 písm. </w:t>
      </w:r>
      <w:proofErr w:type="spellStart"/>
      <w:r w:rsidRPr="000839A4">
        <w:t>zj</w:t>
      </w:r>
      <w:proofErr w:type="spellEnd"/>
      <w:r w:rsidRPr="000839A4">
        <w:t xml:space="preserve">) a </w:t>
      </w:r>
      <w:proofErr w:type="spellStart"/>
      <w:r w:rsidRPr="000839A4">
        <w:t>zk</w:t>
      </w:r>
      <w:proofErr w:type="spellEnd"/>
      <w:r w:rsidRPr="000839A4">
        <w:t>), požádá svého místně příslušného správce daně o vydání rozhodnutí o přiznání osvobození příjmů z licenčních poplatků a úroků z úvěrového finančního nástroje. Žádost lze podat i prostřednictvím plátce, avšak rozhodnutí vydá vždy správce daně místně příslušný poplatníkovi.</w:t>
      </w:r>
    </w:p>
    <w:p w14:paraId="66E01092" w14:textId="77777777" w:rsidR="000839A4" w:rsidRPr="000839A4" w:rsidRDefault="000839A4" w:rsidP="000839A4">
      <w:pPr>
        <w:tabs>
          <w:tab w:val="num" w:pos="782"/>
          <w:tab w:val="left" w:pos="851"/>
        </w:tabs>
        <w:spacing w:before="120" w:after="120"/>
        <w:outlineLvl w:val="6"/>
      </w:pPr>
      <w:r w:rsidRPr="000839A4">
        <w:t>(2) Povinnými náležitostmi žádosti o vydání rozhodnutí o přiznání osvobození jsou</w:t>
      </w:r>
    </w:p>
    <w:p w14:paraId="3CE8A3AE"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potvrzení o daňovém rezidentství příjemce licenčních poplatků nebo úroků z úvěrového finančního nástroje vydané zahraničním správcem daně,</w:t>
      </w:r>
    </w:p>
    <w:p w14:paraId="43DC209A"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informace prokazující, že příjemce licenčních poplatků nebo úroků z úvěrového finančního nástroje je jejich skutečným vlastníkem,</w:t>
      </w:r>
    </w:p>
    <w:p w14:paraId="6EDB9E57" w14:textId="77777777" w:rsidR="000839A4" w:rsidRPr="000839A4" w:rsidRDefault="000839A4" w:rsidP="000839A4">
      <w:pPr>
        <w:tabs>
          <w:tab w:val="left" w:pos="357"/>
        </w:tabs>
        <w:spacing w:before="0"/>
        <w:ind w:left="357" w:hanging="357"/>
        <w:rPr>
          <w:szCs w:val="24"/>
        </w:rPr>
      </w:pPr>
      <w:r w:rsidRPr="000839A4">
        <w:rPr>
          <w:szCs w:val="24"/>
        </w:rPr>
        <w:t>c)</w:t>
      </w:r>
      <w:r w:rsidRPr="000839A4">
        <w:rPr>
          <w:szCs w:val="24"/>
        </w:rPr>
        <w:tab/>
        <w:t xml:space="preserve">potvrzení zahraničního správce daně, že příjemce licenčních poplatků nebo úroků z úvěrového finančního nástroje podléhá některé z daní uvedených v příslušném právním </w:t>
      </w:r>
      <w:r w:rsidRPr="000839A4">
        <w:rPr>
          <w:szCs w:val="24"/>
        </w:rPr>
        <w:lastRenderedPageBreak/>
        <w:t xml:space="preserve">předpisu Evropských </w:t>
      </w:r>
      <w:proofErr w:type="gramStart"/>
      <w:r w:rsidRPr="000839A4">
        <w:rPr>
          <w:szCs w:val="24"/>
        </w:rPr>
        <w:t>společenství,</w:t>
      </w:r>
      <w:r w:rsidRPr="000839A4">
        <w:rPr>
          <w:szCs w:val="24"/>
          <w:vertAlign w:val="superscript"/>
        </w:rPr>
        <w:t>93</w:t>
      </w:r>
      <w:proofErr w:type="gramEnd"/>
      <w:r w:rsidRPr="000839A4">
        <w:rPr>
          <w:szCs w:val="24"/>
          <w:vertAlign w:val="superscript"/>
        </w:rPr>
        <w:t>)</w:t>
      </w:r>
      <w:r w:rsidRPr="000839A4">
        <w:rPr>
          <w:szCs w:val="24"/>
        </w:rPr>
        <w:t xml:space="preserve"> které mají stejný nebo podobný charakter jako daň z příjmů [§ 19 odst. 3 písm. a) bod 3],</w:t>
      </w:r>
    </w:p>
    <w:p w14:paraId="7A566D1B" w14:textId="77777777" w:rsidR="000839A4" w:rsidRPr="000839A4" w:rsidRDefault="000839A4" w:rsidP="000839A4">
      <w:pPr>
        <w:tabs>
          <w:tab w:val="left" w:pos="357"/>
        </w:tabs>
        <w:spacing w:before="0"/>
        <w:ind w:left="357" w:hanging="357"/>
        <w:rPr>
          <w:szCs w:val="24"/>
        </w:rPr>
      </w:pPr>
      <w:r w:rsidRPr="000839A4">
        <w:rPr>
          <w:szCs w:val="24"/>
        </w:rPr>
        <w:t>d)</w:t>
      </w:r>
      <w:r w:rsidRPr="000839A4">
        <w:rPr>
          <w:szCs w:val="24"/>
        </w:rPr>
        <w:tab/>
        <w:t xml:space="preserve">informace prokazující, že příjemce licenčních poplatků nebo úroků z úvěrového finančního nástroje má právní formu uvedenou v příslušném právním předpisu Evropských </w:t>
      </w:r>
      <w:proofErr w:type="gramStart"/>
      <w:r w:rsidRPr="000839A4">
        <w:rPr>
          <w:szCs w:val="24"/>
        </w:rPr>
        <w:t>společenství,</w:t>
      </w:r>
      <w:r w:rsidRPr="000839A4">
        <w:rPr>
          <w:szCs w:val="24"/>
          <w:vertAlign w:val="superscript"/>
        </w:rPr>
        <w:t>93</w:t>
      </w:r>
      <w:proofErr w:type="gramEnd"/>
      <w:r w:rsidRPr="000839A4">
        <w:rPr>
          <w:szCs w:val="24"/>
          <w:vertAlign w:val="superscript"/>
        </w:rPr>
        <w:t>)</w:t>
      </w:r>
      <w:r w:rsidRPr="000839A4">
        <w:rPr>
          <w:szCs w:val="24"/>
        </w:rPr>
        <w:t xml:space="preserve"> </w:t>
      </w:r>
    </w:p>
    <w:p w14:paraId="60A4AE9A" w14:textId="77777777" w:rsidR="000839A4" w:rsidRPr="000839A4" w:rsidRDefault="000839A4" w:rsidP="000839A4">
      <w:pPr>
        <w:tabs>
          <w:tab w:val="left" w:pos="357"/>
        </w:tabs>
        <w:spacing w:before="0"/>
        <w:ind w:left="357" w:hanging="357"/>
        <w:rPr>
          <w:szCs w:val="24"/>
        </w:rPr>
      </w:pPr>
      <w:r w:rsidRPr="000839A4">
        <w:rPr>
          <w:szCs w:val="24"/>
        </w:rPr>
        <w:t>e)</w:t>
      </w:r>
      <w:r w:rsidRPr="000839A4">
        <w:rPr>
          <w:szCs w:val="24"/>
        </w:rPr>
        <w:tab/>
        <w:t>informace prokazující, že příjemce a plátce licenčních poplatků nebo úroků z úvěrového finančního nástroje jsou osobami přímo kapitálově spojenými a po jak dlouhou dobu,</w:t>
      </w:r>
    </w:p>
    <w:p w14:paraId="28CB2549" w14:textId="77777777" w:rsidR="000839A4" w:rsidRPr="000839A4" w:rsidRDefault="000839A4" w:rsidP="000839A4">
      <w:pPr>
        <w:tabs>
          <w:tab w:val="left" w:pos="357"/>
        </w:tabs>
        <w:spacing w:before="0"/>
        <w:ind w:left="357" w:hanging="357"/>
        <w:rPr>
          <w:szCs w:val="24"/>
        </w:rPr>
      </w:pPr>
      <w:r w:rsidRPr="000839A4">
        <w:rPr>
          <w:szCs w:val="24"/>
        </w:rPr>
        <w:t>f)</w:t>
      </w:r>
      <w:r w:rsidRPr="000839A4">
        <w:rPr>
          <w:szCs w:val="24"/>
        </w:rPr>
        <w:tab/>
        <w:t>právní titul pro výplatu licenčních poplatků nebo úroků.</w:t>
      </w:r>
    </w:p>
    <w:p w14:paraId="1462251C" w14:textId="77777777" w:rsidR="000839A4" w:rsidRPr="000839A4" w:rsidRDefault="000839A4" w:rsidP="000839A4">
      <w:pPr>
        <w:tabs>
          <w:tab w:val="num" w:pos="782"/>
          <w:tab w:val="left" w:pos="851"/>
        </w:tabs>
        <w:spacing w:before="120" w:after="120"/>
        <w:outlineLvl w:val="6"/>
      </w:pPr>
      <w:r w:rsidRPr="000839A4">
        <w:t xml:space="preserve">(3) Informace obsažené v žádosti a jejích povinných náležitostech musí platit nejméně po dobu jednoho roku a nesmí být starší 3 let. Dojde-li ke změně, která může mít vliv na splnění podmínek pro osvobození podle § 19 odst. 1 písm. </w:t>
      </w:r>
      <w:proofErr w:type="spellStart"/>
      <w:r w:rsidRPr="000839A4">
        <w:t>zj</w:t>
      </w:r>
      <w:proofErr w:type="spellEnd"/>
      <w:r w:rsidRPr="000839A4">
        <w:t xml:space="preserve">) a </w:t>
      </w:r>
      <w:proofErr w:type="spellStart"/>
      <w:r w:rsidRPr="000839A4">
        <w:t>zk</w:t>
      </w:r>
      <w:proofErr w:type="spellEnd"/>
      <w:r w:rsidRPr="000839A4">
        <w:t>), poplatník je povinen informovat o tom bez zbytečného odkladu plátce a svého místně příslušného správce daně.</w:t>
      </w:r>
    </w:p>
    <w:p w14:paraId="14365082" w14:textId="77777777" w:rsidR="000839A4" w:rsidRPr="000839A4" w:rsidRDefault="000839A4" w:rsidP="000839A4">
      <w:pPr>
        <w:tabs>
          <w:tab w:val="num" w:pos="782"/>
          <w:tab w:val="left" w:pos="851"/>
        </w:tabs>
        <w:spacing w:before="120" w:after="120"/>
        <w:outlineLvl w:val="6"/>
      </w:pPr>
      <w:r w:rsidRPr="000839A4">
        <w:t xml:space="preserve">(4) Správce daně je povinen na základě žádosti, jejíž povinné náležitosti jsou vymezeny v odstavci 2, vydat rozhodnutí o přiznání osvobození, jsou-li splněny podmínky uvedené v § 19 odst. 1 písm. </w:t>
      </w:r>
      <w:proofErr w:type="spellStart"/>
      <w:r w:rsidRPr="000839A4">
        <w:t>zj</w:t>
      </w:r>
      <w:proofErr w:type="spellEnd"/>
      <w:r w:rsidRPr="000839A4">
        <w:t xml:space="preserve">) a </w:t>
      </w:r>
      <w:proofErr w:type="spellStart"/>
      <w:r w:rsidRPr="000839A4">
        <w:t>zk</w:t>
      </w:r>
      <w:proofErr w:type="spellEnd"/>
      <w:r w:rsidRPr="000839A4">
        <w:t>) a odst. 5 a § 23 odst. 7. Správce daně je povinen toto rozhodnutí vydat do tří měsíců od okamžiku, kdy poplatník poskytl všechny informace a důkazy nutné pro prokázání, že podmínky pro osvobození jsou splněny. Rozhodnutí je závazné i pro plátce daně.</w:t>
      </w:r>
    </w:p>
    <w:p w14:paraId="02BB3A96" w14:textId="77777777" w:rsidR="000839A4" w:rsidRPr="000839A4" w:rsidRDefault="000839A4" w:rsidP="000839A4">
      <w:pPr>
        <w:tabs>
          <w:tab w:val="num" w:pos="782"/>
          <w:tab w:val="left" w:pos="851"/>
        </w:tabs>
        <w:spacing w:before="120" w:after="120"/>
        <w:outlineLvl w:val="6"/>
      </w:pPr>
      <w:r w:rsidRPr="000839A4">
        <w:t>(5) Rozhodnutí o přiznání osvobození musí kromě základních náležitostí rozhodnutí podle zvláštního právního předpisu obsahovat</w:t>
      </w:r>
    </w:p>
    <w:p w14:paraId="63C3382C"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údaje, na jejichž základě bylo rozhodováno,</w:t>
      </w:r>
    </w:p>
    <w:p w14:paraId="534EEC38"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časový rozsah závaznosti rozhodnutí, přitom rozhodnutí musí být vydáno nejméně pro jedno zdaňovací období a nejvýše pro tři zdaňovací období bezprostředně po sobě jdoucí.</w:t>
      </w:r>
    </w:p>
    <w:p w14:paraId="15C8F0F8" w14:textId="77777777" w:rsidR="000839A4" w:rsidRPr="000839A4" w:rsidRDefault="000839A4" w:rsidP="000839A4">
      <w:pPr>
        <w:keepNext/>
        <w:ind w:firstLine="0"/>
        <w:jc w:val="center"/>
        <w:rPr>
          <w:szCs w:val="24"/>
        </w:rPr>
      </w:pPr>
      <w:r w:rsidRPr="000839A4">
        <w:rPr>
          <w:szCs w:val="24"/>
        </w:rPr>
        <w:t>§ 38nc</w:t>
      </w:r>
    </w:p>
    <w:p w14:paraId="58D11EA7" w14:textId="77777777" w:rsidR="000839A4" w:rsidRPr="000839A4" w:rsidRDefault="000839A4" w:rsidP="000839A4">
      <w:pPr>
        <w:keepNext/>
        <w:ind w:firstLine="0"/>
        <w:jc w:val="center"/>
        <w:rPr>
          <w:b/>
          <w:szCs w:val="24"/>
        </w:rPr>
      </w:pPr>
      <w:r w:rsidRPr="000839A4">
        <w:rPr>
          <w:b/>
          <w:szCs w:val="24"/>
        </w:rPr>
        <w:t>Závazné posouzení způsobu, jakým byla vytvořena cena sjednávaná mezi spojenými osobami</w:t>
      </w:r>
    </w:p>
    <w:p w14:paraId="6991CE39" w14:textId="77777777" w:rsidR="000839A4" w:rsidRPr="000839A4" w:rsidRDefault="000839A4" w:rsidP="000839A4">
      <w:pPr>
        <w:tabs>
          <w:tab w:val="num" w:pos="782"/>
          <w:tab w:val="left" w:pos="851"/>
        </w:tabs>
        <w:spacing w:before="120" w:after="120"/>
        <w:outlineLvl w:val="6"/>
      </w:pPr>
      <w:r w:rsidRPr="000839A4">
        <w:t xml:space="preserve">(1) Poplatník, který sjednává cenu v obchodním vztahu s osobou, která je vůči němu považována za spojenou osobu, může požádat místně příslušného správce daně o vydání rozhodnutí o závazném posouzení, zda způsob, jakým byla cena vytvořena, odpovídá způsobu, kterým by byla vytvořena cena sjednaná mezi nezávislými osobami v běžných obchodních vztazích za stejných nebo obdobných podmínek (§ 23 </w:t>
      </w:r>
      <w:proofErr w:type="gramStart"/>
      <w:r w:rsidRPr="000839A4">
        <w:t>odst. 7) (dále</w:t>
      </w:r>
      <w:proofErr w:type="gramEnd"/>
      <w:r w:rsidRPr="000839A4">
        <w:t xml:space="preserve"> jen „závazné posouzení ceny“).</w:t>
      </w:r>
    </w:p>
    <w:p w14:paraId="19A14D95" w14:textId="77777777" w:rsidR="000839A4" w:rsidRPr="000839A4" w:rsidRDefault="000839A4" w:rsidP="000839A4">
      <w:pPr>
        <w:tabs>
          <w:tab w:val="num" w:pos="782"/>
          <w:tab w:val="left" w:pos="851"/>
        </w:tabs>
        <w:spacing w:before="120" w:after="120"/>
        <w:outlineLvl w:val="6"/>
      </w:pPr>
      <w:r w:rsidRPr="000839A4">
        <w:t>(2) Poplatník v žádosti o vydání rozhodnutí o závazném posouzení ceny uvede alespoň</w:t>
      </w:r>
    </w:p>
    <w:p w14:paraId="5C29FDAE"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jména, bydliště nebo sídla, sídla podnikatele, daňová identifikační čísla, pokud byla přidělena, všech osob zúčastněných v obchodním vztahu, pro nějž je podána žádost o vydání rozhodnutí o závazném posouzení ceny, včetně poplatníků uvedených v § 2 odst. 3 a § 17 odst. 4 i osob, kterým nevzniká daňová povinnost z příjmů plynoucích ze zdrojů na území České republiky (dále jen „zúčastněná osoba“),</w:t>
      </w:r>
    </w:p>
    <w:p w14:paraId="51F5F106"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popis organizační struktury, jejíž jsou zúčastněné osoby součástí, a to i mimo území České republiky,</w:t>
      </w:r>
    </w:p>
    <w:p w14:paraId="632C53D6" w14:textId="77777777" w:rsidR="000839A4" w:rsidRPr="000839A4" w:rsidRDefault="000839A4" w:rsidP="000839A4">
      <w:pPr>
        <w:tabs>
          <w:tab w:val="left" w:pos="357"/>
        </w:tabs>
        <w:spacing w:before="0"/>
        <w:ind w:left="357" w:hanging="357"/>
        <w:rPr>
          <w:szCs w:val="24"/>
        </w:rPr>
      </w:pPr>
      <w:r w:rsidRPr="000839A4">
        <w:rPr>
          <w:szCs w:val="24"/>
        </w:rPr>
        <w:t>c)</w:t>
      </w:r>
      <w:r w:rsidRPr="000839A4">
        <w:rPr>
          <w:szCs w:val="24"/>
        </w:rPr>
        <w:tab/>
        <w:t>popis obchodních činností zúčastněných osob,</w:t>
      </w:r>
    </w:p>
    <w:p w14:paraId="36991EB8" w14:textId="77777777" w:rsidR="000839A4" w:rsidRPr="000839A4" w:rsidRDefault="000839A4" w:rsidP="000839A4">
      <w:pPr>
        <w:tabs>
          <w:tab w:val="left" w:pos="357"/>
        </w:tabs>
        <w:spacing w:before="0"/>
        <w:ind w:left="357" w:hanging="357"/>
        <w:rPr>
          <w:szCs w:val="24"/>
        </w:rPr>
      </w:pPr>
      <w:r w:rsidRPr="000839A4">
        <w:rPr>
          <w:szCs w:val="24"/>
        </w:rPr>
        <w:t>d)</w:t>
      </w:r>
      <w:r w:rsidRPr="000839A4">
        <w:rPr>
          <w:szCs w:val="24"/>
        </w:rPr>
        <w:tab/>
        <w:t>popis obchodního vztahu, pro který je podána žádost o závazné posouzení ceny,</w:t>
      </w:r>
    </w:p>
    <w:p w14:paraId="2B3C5ADA" w14:textId="77777777" w:rsidR="000839A4" w:rsidRPr="000839A4" w:rsidRDefault="000839A4" w:rsidP="000839A4">
      <w:pPr>
        <w:tabs>
          <w:tab w:val="left" w:pos="357"/>
        </w:tabs>
        <w:spacing w:before="0"/>
        <w:ind w:left="357" w:hanging="357"/>
        <w:rPr>
          <w:szCs w:val="24"/>
        </w:rPr>
      </w:pPr>
      <w:r w:rsidRPr="000839A4">
        <w:rPr>
          <w:szCs w:val="24"/>
        </w:rPr>
        <w:t>e)</w:t>
      </w:r>
      <w:r w:rsidRPr="000839A4">
        <w:rPr>
          <w:szCs w:val="24"/>
        </w:rPr>
        <w:tab/>
        <w:t>zdaňovací období, na které se má rozhodnutí o závazném posouzení ceny vztahovat,</w:t>
      </w:r>
    </w:p>
    <w:p w14:paraId="45762726" w14:textId="77777777" w:rsidR="000839A4" w:rsidRPr="000839A4" w:rsidRDefault="000839A4" w:rsidP="000839A4">
      <w:pPr>
        <w:tabs>
          <w:tab w:val="left" w:pos="357"/>
        </w:tabs>
        <w:spacing w:before="0"/>
        <w:ind w:left="357" w:hanging="357"/>
        <w:rPr>
          <w:szCs w:val="24"/>
        </w:rPr>
      </w:pPr>
      <w:r w:rsidRPr="000839A4">
        <w:rPr>
          <w:szCs w:val="24"/>
        </w:rPr>
        <w:lastRenderedPageBreak/>
        <w:t>f)</w:t>
      </w:r>
      <w:r w:rsidRPr="000839A4">
        <w:rPr>
          <w:szCs w:val="24"/>
        </w:rPr>
        <w:tab/>
        <w:t>popis a dokumentace způsobu, jakým byla cena vytvořena, včetně všech údajů týkajících se obchodního případu; u údajů, které budou známy v budoucnu, se uvedou předpoklady, ze kterých se při odhadu hodnot těchto údajů vycházelo,</w:t>
      </w:r>
    </w:p>
    <w:p w14:paraId="60C8C15B" w14:textId="77777777" w:rsidR="000839A4" w:rsidRPr="000839A4" w:rsidRDefault="000839A4" w:rsidP="000839A4">
      <w:pPr>
        <w:tabs>
          <w:tab w:val="left" w:pos="357"/>
        </w:tabs>
        <w:spacing w:before="0"/>
        <w:ind w:left="357" w:hanging="357"/>
        <w:rPr>
          <w:szCs w:val="24"/>
        </w:rPr>
      </w:pPr>
      <w:r w:rsidRPr="000839A4">
        <w:rPr>
          <w:szCs w:val="24"/>
        </w:rPr>
        <w:t>g)</w:t>
      </w:r>
      <w:r w:rsidRPr="000839A4">
        <w:rPr>
          <w:szCs w:val="24"/>
        </w:rPr>
        <w:tab/>
        <w:t>návrh výroku rozhodnutí o závazném posouzení ceny.</w:t>
      </w:r>
    </w:p>
    <w:p w14:paraId="10AEB71F" w14:textId="77777777" w:rsidR="000839A4" w:rsidRPr="000839A4" w:rsidRDefault="000839A4" w:rsidP="000839A4">
      <w:pPr>
        <w:tabs>
          <w:tab w:val="num" w:pos="782"/>
          <w:tab w:val="left" w:pos="851"/>
        </w:tabs>
        <w:spacing w:before="120" w:after="120"/>
        <w:outlineLvl w:val="6"/>
      </w:pPr>
      <w:r w:rsidRPr="000839A4">
        <w:t>(3) O žádosti o vydání rozhodnutí o závazném posouzení ceny rozhodne správce daně, u kterého byla žádost podána. Pokud je v obchodním vztahu více zúčastněných osob, které mají daňovou povinnost z příjmů plynoucích ze zdrojů na území České republiky a tuto povinnost spravují odlišní správci daně, rozhodnutí o závazném posouzení ceny vydá správce daně nejblíže nadřízený nejblíže nadřízenému správci daně těchto správců daně a závazné posouzení ceny je pro tyto správce daně účinné. Dotčeným správcům daně a dalším zúčastněným osobám se rozhodnutí doručuje na vědomí. Jsou-li dány důvody pro zrušení rozhodnutí o závazném posouzení ceny podle zvláštního právního předpisu, rozhodne o jeho zrušení správce daně, který je vydal, na návrh kterékoliv zúčastněné osoby nebo z podnětu dotčeného správce daně.</w:t>
      </w:r>
    </w:p>
    <w:p w14:paraId="19B3EBCB" w14:textId="77777777" w:rsidR="000839A4" w:rsidRPr="000839A4" w:rsidRDefault="000839A4" w:rsidP="000839A4">
      <w:pPr>
        <w:tabs>
          <w:tab w:val="num" w:pos="782"/>
          <w:tab w:val="left" w:pos="851"/>
        </w:tabs>
        <w:spacing w:before="120" w:after="120"/>
        <w:outlineLvl w:val="6"/>
      </w:pPr>
      <w:r w:rsidRPr="000839A4">
        <w:t>(4) Rozhodnutí o závazném posouzení ceny může být vydáno i pro právnickou osobu, jejíž založení se předpokládá. Žádost podle odstavce 2 je oprávněna za ni předložit jiná osoba, pokud zakládanou právnickou osobu, pro kterou je závazné posouzení ceny žádáno, dostatečně identifikuje. O závazné posouzení ceny požádá tato jiná osoba místně příslušného správce daně z příjmů podle předpokládaného sídla zakládané právnické osoby. Identifikace zakládané právnické osoby musí být uvedena i ve výroku rozhodnutí o závazném posouzení ceny. Příjemcem tohoto rozhodnutí je žadatel a je účinné pro stanovení daňové povinnosti zakládané právnické osoby, a to ode dne jejího vzniku.</w:t>
      </w:r>
    </w:p>
    <w:p w14:paraId="266981D2" w14:textId="77777777" w:rsidR="000839A4" w:rsidRPr="000839A4" w:rsidRDefault="000839A4" w:rsidP="000839A4">
      <w:pPr>
        <w:keepNext/>
        <w:ind w:firstLine="0"/>
        <w:jc w:val="center"/>
        <w:rPr>
          <w:szCs w:val="24"/>
        </w:rPr>
      </w:pPr>
      <w:r w:rsidRPr="000839A4">
        <w:rPr>
          <w:szCs w:val="24"/>
        </w:rPr>
        <w:t>§ 38nd</w:t>
      </w:r>
    </w:p>
    <w:p w14:paraId="38A61C2C" w14:textId="77777777" w:rsidR="000839A4" w:rsidRPr="000839A4" w:rsidRDefault="000839A4" w:rsidP="000839A4">
      <w:pPr>
        <w:keepNext/>
        <w:ind w:firstLine="0"/>
        <w:jc w:val="center"/>
        <w:rPr>
          <w:b/>
          <w:szCs w:val="24"/>
        </w:rPr>
      </w:pPr>
      <w:r w:rsidRPr="000839A4">
        <w:rPr>
          <w:b/>
          <w:szCs w:val="24"/>
        </w:rPr>
        <w:t>Závazné posouzení způsobu určení základu daně daňového nerezidenta z činností vykonávaných prostřednictvím stálé provozovny</w:t>
      </w:r>
    </w:p>
    <w:p w14:paraId="57939761" w14:textId="77777777" w:rsidR="000839A4" w:rsidRPr="000839A4" w:rsidRDefault="000839A4" w:rsidP="000839A4">
      <w:pPr>
        <w:tabs>
          <w:tab w:val="num" w:pos="782"/>
          <w:tab w:val="left" w:pos="851"/>
        </w:tabs>
        <w:spacing w:before="120" w:after="120"/>
        <w:outlineLvl w:val="6"/>
      </w:pPr>
      <w:r w:rsidRPr="000839A4">
        <w:t>(1) Správce daně vydá na žádost daňového nerezidenta rozhodnutí o závazném posouzení způsobu určení základu daně daňového nerezidenta z činností vykonávaných prostřednictvím stálé provozovny.</w:t>
      </w:r>
    </w:p>
    <w:p w14:paraId="54234472" w14:textId="77777777" w:rsidR="000839A4" w:rsidRPr="000839A4" w:rsidRDefault="000839A4" w:rsidP="000839A4">
      <w:pPr>
        <w:tabs>
          <w:tab w:val="num" w:pos="782"/>
          <w:tab w:val="left" w:pos="851"/>
        </w:tabs>
        <w:spacing w:before="120" w:after="120"/>
        <w:outlineLvl w:val="6"/>
      </w:pPr>
      <w:r w:rsidRPr="000839A4">
        <w:t xml:space="preserve">(2) Předmětem závazného posouzení je určení, zda způsob určení základu daně nebo daňové ztráty daňového nerezidenta z činností vykonávaných prostřednictvím stálé provozovny nevede k nižšímu základu daně či vyšší daňové ztrátě, než jaké by dosáhl z téže nebo podobné činnosti vykonávané za obdobných podmínek daňový rezident České republiky. </w:t>
      </w:r>
    </w:p>
    <w:p w14:paraId="6805ABF1" w14:textId="77777777" w:rsidR="000839A4" w:rsidRPr="000839A4" w:rsidRDefault="000839A4" w:rsidP="000839A4">
      <w:pPr>
        <w:tabs>
          <w:tab w:val="num" w:pos="782"/>
          <w:tab w:val="left" w:pos="851"/>
        </w:tabs>
        <w:spacing w:before="120" w:after="120"/>
        <w:outlineLvl w:val="6"/>
      </w:pPr>
      <w:r w:rsidRPr="000839A4">
        <w:t>(3) V žádosti o vydání rozhodnutí o závazném posouzení daňový nerezident uvede:</w:t>
      </w:r>
    </w:p>
    <w:p w14:paraId="3CA23749"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 xml:space="preserve">jméno, bydliště nebo sídlo daňového nerezidenta, umístění předmětné stálé provozovny a daňové identifikační číslo včetně zahraničního, pokud bylo přiděleno, </w:t>
      </w:r>
    </w:p>
    <w:p w14:paraId="362FB33A"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popis organizační struktury, jejíž je daňový nerezident součástí, a popis všech jeho stálých provozoven, a to i mimo území České republiky,</w:t>
      </w:r>
    </w:p>
    <w:p w14:paraId="5EFB8B64" w14:textId="77777777" w:rsidR="000839A4" w:rsidRPr="000839A4" w:rsidRDefault="000839A4" w:rsidP="000839A4">
      <w:pPr>
        <w:tabs>
          <w:tab w:val="left" w:pos="357"/>
        </w:tabs>
        <w:spacing w:before="0"/>
        <w:ind w:left="357" w:hanging="357"/>
        <w:rPr>
          <w:szCs w:val="24"/>
        </w:rPr>
      </w:pPr>
      <w:r w:rsidRPr="000839A4">
        <w:rPr>
          <w:szCs w:val="24"/>
        </w:rPr>
        <w:t>c)</w:t>
      </w:r>
      <w:r w:rsidRPr="000839A4">
        <w:rPr>
          <w:szCs w:val="24"/>
        </w:rPr>
        <w:tab/>
        <w:t>popis obchodních činností daňového nerezidenta,</w:t>
      </w:r>
    </w:p>
    <w:p w14:paraId="731F5491" w14:textId="77777777" w:rsidR="000839A4" w:rsidRPr="000839A4" w:rsidRDefault="000839A4" w:rsidP="000839A4">
      <w:pPr>
        <w:tabs>
          <w:tab w:val="left" w:pos="357"/>
        </w:tabs>
        <w:spacing w:before="0"/>
        <w:ind w:left="357" w:hanging="357"/>
        <w:rPr>
          <w:szCs w:val="24"/>
        </w:rPr>
      </w:pPr>
      <w:r w:rsidRPr="000839A4">
        <w:rPr>
          <w:szCs w:val="24"/>
        </w:rPr>
        <w:t>d)</w:t>
      </w:r>
      <w:r w:rsidRPr="000839A4">
        <w:rPr>
          <w:szCs w:val="24"/>
        </w:rPr>
        <w:tab/>
        <w:t xml:space="preserve">popis obchodních činností daňového nerezidenta vykonávaných prostřednictvím předmětné stálé provozovny a transakcí mezi touto stálou provozovnou a ostatními částmi daňového nerezidenta a předpokládané další příjmy daňového nerezidenta plynoucí ze zdrojů na území České republiky, které nejsou dosahovány prostřednictvím předmětné stálé provozovny, </w:t>
      </w:r>
    </w:p>
    <w:p w14:paraId="13FC2555" w14:textId="77777777" w:rsidR="000839A4" w:rsidRPr="000839A4" w:rsidRDefault="000839A4" w:rsidP="000839A4">
      <w:pPr>
        <w:tabs>
          <w:tab w:val="left" w:pos="357"/>
        </w:tabs>
        <w:spacing w:before="0"/>
        <w:ind w:left="357" w:hanging="357"/>
        <w:rPr>
          <w:szCs w:val="24"/>
        </w:rPr>
      </w:pPr>
      <w:r w:rsidRPr="000839A4">
        <w:rPr>
          <w:szCs w:val="24"/>
        </w:rPr>
        <w:t>e)</w:t>
      </w:r>
      <w:r w:rsidRPr="000839A4">
        <w:rPr>
          <w:szCs w:val="24"/>
        </w:rPr>
        <w:tab/>
        <w:t>zdaňovací období, na které se má rozhodnutí o závazném posouzení vztahovat,</w:t>
      </w:r>
    </w:p>
    <w:p w14:paraId="4B30DBA9" w14:textId="77777777" w:rsidR="000839A4" w:rsidRPr="000839A4" w:rsidRDefault="000839A4" w:rsidP="000839A4">
      <w:pPr>
        <w:tabs>
          <w:tab w:val="left" w:pos="357"/>
        </w:tabs>
        <w:spacing w:before="0"/>
        <w:ind w:left="357" w:hanging="357"/>
        <w:rPr>
          <w:szCs w:val="24"/>
        </w:rPr>
      </w:pPr>
      <w:r w:rsidRPr="000839A4">
        <w:rPr>
          <w:szCs w:val="24"/>
        </w:rPr>
        <w:lastRenderedPageBreak/>
        <w:t>f)</w:t>
      </w:r>
      <w:r w:rsidRPr="000839A4">
        <w:rPr>
          <w:szCs w:val="24"/>
        </w:rPr>
        <w:tab/>
        <w:t>popis a dokumentace způsobu, jakým byly přiřazeny předmětné stálé provozovně příjmy a výdaje; u údajů, které budou známy v budoucnu, se uvedou předpoklady, ze kterých se při odhadu hodnot těchto údajů vycházelo, včetně odůvodnění,</w:t>
      </w:r>
    </w:p>
    <w:p w14:paraId="2C67BB90" w14:textId="77777777" w:rsidR="000839A4" w:rsidRPr="000839A4" w:rsidRDefault="000839A4" w:rsidP="000839A4">
      <w:pPr>
        <w:tabs>
          <w:tab w:val="left" w:pos="357"/>
        </w:tabs>
        <w:spacing w:before="0"/>
        <w:ind w:left="357" w:hanging="357"/>
        <w:rPr>
          <w:szCs w:val="24"/>
        </w:rPr>
      </w:pPr>
      <w:r w:rsidRPr="000839A4">
        <w:rPr>
          <w:szCs w:val="24"/>
        </w:rPr>
        <w:t>g)</w:t>
      </w:r>
      <w:r w:rsidRPr="000839A4">
        <w:rPr>
          <w:szCs w:val="24"/>
        </w:rPr>
        <w:tab/>
        <w:t>návrh výroku rozhodnutí o závazném posouzení.</w:t>
      </w:r>
    </w:p>
    <w:p w14:paraId="22933CA3" w14:textId="77777777" w:rsidR="000839A4" w:rsidRPr="000839A4" w:rsidRDefault="000839A4" w:rsidP="000839A4">
      <w:pPr>
        <w:keepNext/>
        <w:ind w:firstLine="0"/>
        <w:jc w:val="center"/>
        <w:rPr>
          <w:szCs w:val="24"/>
        </w:rPr>
      </w:pPr>
      <w:r w:rsidRPr="000839A4">
        <w:rPr>
          <w:szCs w:val="24"/>
        </w:rPr>
        <w:t>§ 38o</w:t>
      </w:r>
    </w:p>
    <w:p w14:paraId="0589EAF9" w14:textId="77777777" w:rsidR="000839A4" w:rsidRPr="000839A4" w:rsidRDefault="000839A4" w:rsidP="000839A4">
      <w:pPr>
        <w:keepNext/>
        <w:ind w:firstLine="0"/>
        <w:jc w:val="center"/>
        <w:rPr>
          <w:b/>
          <w:szCs w:val="24"/>
        </w:rPr>
      </w:pPr>
      <w:r w:rsidRPr="000839A4">
        <w:rPr>
          <w:b/>
          <w:szCs w:val="24"/>
        </w:rPr>
        <w:t>Zvláštní ustanovení o pokutě za opožděné tvrzení daně</w:t>
      </w:r>
    </w:p>
    <w:p w14:paraId="1707F6F3" w14:textId="77777777" w:rsidR="000839A4" w:rsidRPr="000839A4" w:rsidRDefault="000839A4" w:rsidP="000839A4">
      <w:pPr>
        <w:tabs>
          <w:tab w:val="num" w:pos="782"/>
          <w:tab w:val="left" w:pos="851"/>
        </w:tabs>
        <w:spacing w:before="120" w:after="120"/>
        <w:outlineLvl w:val="6"/>
      </w:pPr>
      <w:r w:rsidRPr="000839A4">
        <w:t>Je-li část dílčího základu daně z příjmů ze závislé činnosti, ze kterých plátce daně sráží zálohu na daň, vyšší než 50 % celkového základu daně, snižuje se pokuta za opožděné tvrzení daně u daňového přiznání k dani z příjmů fyzických osob na desetinu.</w:t>
      </w:r>
    </w:p>
    <w:p w14:paraId="27998D5D" w14:textId="77777777" w:rsidR="000839A4" w:rsidRPr="000839A4" w:rsidRDefault="000839A4" w:rsidP="000839A4">
      <w:pPr>
        <w:keepNext/>
        <w:ind w:firstLine="0"/>
        <w:jc w:val="center"/>
        <w:rPr>
          <w:szCs w:val="24"/>
        </w:rPr>
      </w:pPr>
      <w:r w:rsidRPr="000839A4">
        <w:rPr>
          <w:szCs w:val="24"/>
        </w:rPr>
        <w:t>§ 38p</w:t>
      </w:r>
    </w:p>
    <w:p w14:paraId="48D0EE65" w14:textId="77777777" w:rsidR="000839A4" w:rsidRPr="000839A4" w:rsidRDefault="000839A4" w:rsidP="000839A4">
      <w:pPr>
        <w:keepNext/>
        <w:ind w:firstLine="0"/>
        <w:jc w:val="center"/>
        <w:rPr>
          <w:b/>
          <w:szCs w:val="24"/>
        </w:rPr>
      </w:pPr>
      <w:r w:rsidRPr="000839A4">
        <w:rPr>
          <w:b/>
          <w:szCs w:val="24"/>
        </w:rPr>
        <w:t>Zvláštní ustanovení o penále</w:t>
      </w:r>
    </w:p>
    <w:p w14:paraId="125668B8" w14:textId="77777777" w:rsidR="000839A4" w:rsidRPr="000839A4" w:rsidRDefault="000839A4" w:rsidP="000839A4">
      <w:pPr>
        <w:tabs>
          <w:tab w:val="num" w:pos="782"/>
          <w:tab w:val="left" w:pos="851"/>
        </w:tabs>
        <w:spacing w:before="120" w:after="120"/>
        <w:outlineLvl w:val="6"/>
      </w:pPr>
      <w:r w:rsidRPr="000839A4">
        <w:t xml:space="preserve"> Pro účely výpočtu penále se vychází z částky daně tak, jak by byla stanovena oproti poslední známé dani, pokud by nebyly v rámci postupu vedoucího k doměření této daně z moci úřední dodatečně uplatněny vyšší částky odčitatelných položek podle § 34.</w:t>
      </w:r>
    </w:p>
    <w:p w14:paraId="17FC0E06" w14:textId="77777777" w:rsidR="000839A4" w:rsidRPr="000839A4" w:rsidRDefault="000839A4" w:rsidP="000839A4">
      <w:pPr>
        <w:keepNext/>
        <w:ind w:firstLine="0"/>
        <w:jc w:val="center"/>
        <w:rPr>
          <w:szCs w:val="24"/>
        </w:rPr>
      </w:pPr>
      <w:r w:rsidRPr="000839A4">
        <w:rPr>
          <w:szCs w:val="24"/>
        </w:rPr>
        <w:t>§ 38r</w:t>
      </w:r>
    </w:p>
    <w:p w14:paraId="3BB2B1FB" w14:textId="77777777" w:rsidR="000839A4" w:rsidRPr="000839A4" w:rsidRDefault="000839A4" w:rsidP="000839A4">
      <w:pPr>
        <w:tabs>
          <w:tab w:val="num" w:pos="782"/>
          <w:tab w:val="left" w:pos="851"/>
        </w:tabs>
        <w:spacing w:before="120" w:after="120"/>
        <w:outlineLvl w:val="6"/>
      </w:pPr>
      <w:r w:rsidRPr="000839A4">
        <w:t>(1) Byla-li poskytnuta investiční pobídka formou slevy na dani, lhůta pro stanovení daně za zdaňovací období, ve kterém nárok na slevu vznikl, tak i pro všechna zdaňovací období, za která lze tuto slevu uplatnit, končí současně se lhůtou pro stanovení daně za zdaňovací období, v němž nastaly skutečnosti uvedené v § 35a odst. 7, 8 nebo 9, nebo v němž uplynula lhůta pro uplatnění nároku na slevu na dani.</w:t>
      </w:r>
    </w:p>
    <w:p w14:paraId="5162ADB1" w14:textId="77777777" w:rsidR="000839A4" w:rsidRPr="000839A4" w:rsidRDefault="000839A4" w:rsidP="000839A4">
      <w:pPr>
        <w:tabs>
          <w:tab w:val="num" w:pos="782"/>
          <w:tab w:val="left" w:pos="851"/>
        </w:tabs>
        <w:spacing w:before="120" w:after="120"/>
        <w:outlineLvl w:val="6"/>
      </w:pPr>
      <w:r w:rsidRPr="000839A4">
        <w:t xml:space="preserve">(2) Bylo-li možné uplatnit daňovou ztrátu nebo její část jako položku odčitatelnou od základu daně ve zdaňovacích obdobích následujících po zdaňovacím období </w:t>
      </w:r>
      <w:r w:rsidRPr="000839A4">
        <w:rPr>
          <w:strike/>
        </w:rPr>
        <w:t>nebo období, za které se podává daňové přiznání</w:t>
      </w:r>
      <w:r w:rsidRPr="000839A4">
        <w:t xml:space="preserve">, </w:t>
      </w:r>
      <w:r w:rsidRPr="000839A4">
        <w:rPr>
          <w:strike/>
        </w:rPr>
        <w:t xml:space="preserve">za </w:t>
      </w:r>
      <w:proofErr w:type="gramStart"/>
      <w:r w:rsidRPr="000839A4">
        <w:rPr>
          <w:strike/>
        </w:rPr>
        <w:t>která</w:t>
      </w:r>
      <w:r w:rsidRPr="000839A4">
        <w:t xml:space="preserve"> </w:t>
      </w:r>
      <w:r w:rsidRPr="000839A4">
        <w:rPr>
          <w:b/>
        </w:rPr>
        <w:t>, za</w:t>
      </w:r>
      <w:proofErr w:type="gramEnd"/>
      <w:r w:rsidRPr="000839A4">
        <w:rPr>
          <w:b/>
        </w:rPr>
        <w:t xml:space="preserve"> které</w:t>
      </w:r>
      <w:r w:rsidRPr="000839A4">
        <w:t xml:space="preserve"> byla stanovena, lhůta pro stanovení daně za období, za které byla daňová ztráta stanovena, a za všechna následující zdaňovací období, ve kterých bylo možné tuto daňovou ztrátu nebo její část uplatnit, končí současně se lhůtou pro stanovení daně za poslední zdaňovací období, ve kterém bylo možné daňovou ztrátu nebo její část uplatnit; pokud byla daňová ztráta nebo její část uplatněna jako položka odčitatelná od základu daně ve zdaňovacím období předcházejícím období, za které byla daňová ztráta stanovena, končí lhůta pro stanovení daně za toto zdaňovací období současně se lhůtou pro stanovení daně za poslední zdaňovací období, ve kterém bylo možné daňovou ztrátu nebo její část uplatnit. Vzdal-li se poplatník práva na uplatnění daňové ztráty pro zdaňovací období následující po období, za které se tato daňová ztráta stanoví, lhůta pro stanovení daně za zdaňovací období, které předchází období, za které byla daňová ztráta stanovena, a ve kterém byla daňová ztráta uplatněna, končí současně se lhůtou pro stanovení daně za období, ve kterém byla daňová ztráta stanovena. Tímto způsobem se postupuje také při uplatnění daňové ztráty po převodu obchodního závodu, fúzi obchodních korporací nebo rozdělení obchodní korporace.</w:t>
      </w:r>
    </w:p>
    <w:p w14:paraId="51AE5264" w14:textId="77777777" w:rsidR="000839A4" w:rsidRPr="000839A4" w:rsidRDefault="000839A4" w:rsidP="000839A4">
      <w:pPr>
        <w:tabs>
          <w:tab w:val="num" w:pos="782"/>
          <w:tab w:val="left" w:pos="851"/>
        </w:tabs>
        <w:spacing w:before="120" w:after="120"/>
        <w:outlineLvl w:val="6"/>
      </w:pPr>
      <w:r w:rsidRPr="000839A4">
        <w:t xml:space="preserve"> (3) Lhůty pro stanovení daně z důvodů nesplnění podmínek pro uplatnění úplaty u finančního leasingu jako výdaje počínají běžet od konce kalendářního roku, v němž bylo možno poprvé ověřit splnění těchto zákonných podmínek.</w:t>
      </w:r>
    </w:p>
    <w:p w14:paraId="279BA02B" w14:textId="77777777" w:rsidR="000839A4" w:rsidRPr="000839A4" w:rsidRDefault="000839A4" w:rsidP="000839A4">
      <w:pPr>
        <w:tabs>
          <w:tab w:val="num" w:pos="782"/>
          <w:tab w:val="left" w:pos="851"/>
        </w:tabs>
        <w:spacing w:before="120" w:after="120"/>
        <w:outlineLvl w:val="6"/>
      </w:pPr>
      <w:r w:rsidRPr="000839A4">
        <w:t>(4) Lhůty pro stanovení daně z důvodu nesplnění podmínky pokračování v činnosti zemědělského podnikatele počínají běžet od konce kalendářního roku, v němž tato podmínka není splněna.</w:t>
      </w:r>
    </w:p>
    <w:p w14:paraId="185C634C" w14:textId="77777777" w:rsidR="000839A4" w:rsidRPr="000839A4" w:rsidRDefault="000839A4" w:rsidP="000839A4">
      <w:pPr>
        <w:tabs>
          <w:tab w:val="num" w:pos="782"/>
          <w:tab w:val="left" w:pos="851"/>
        </w:tabs>
        <w:spacing w:before="120" w:after="120"/>
        <w:outlineLvl w:val="6"/>
      </w:pPr>
      <w:r w:rsidRPr="000839A4">
        <w:lastRenderedPageBreak/>
        <w:t>(5) Ustanovení odstavců 2 až 4 se vztahují na všechny poplatníky bez ohledu na to, zda jim byla poskytnuta investiční pobídka podle zvláštního právního předpisu</w:t>
      </w:r>
      <w:r w:rsidRPr="000839A4">
        <w:rPr>
          <w:vertAlign w:val="superscript"/>
        </w:rPr>
        <w:t>67)</w:t>
      </w:r>
      <w:r w:rsidRPr="000839A4">
        <w:rPr>
          <w:vertAlign w:val="superscript"/>
        </w:rPr>
        <w:fldChar w:fldCharType="begin"/>
      </w:r>
      <w:r w:rsidRPr="000839A4">
        <w:rPr>
          <w:vertAlign w:val="superscript"/>
        </w:rPr>
        <w:instrText xml:space="preserve"> NOTEREF _Ref535916602 </w:instrText>
      </w:r>
      <w:r w:rsidRPr="000839A4">
        <w:rPr>
          <w:vertAlign w:val="superscript"/>
        </w:rPr>
        <w:fldChar w:fldCharType="end"/>
      </w:r>
      <w:r w:rsidRPr="000839A4">
        <w:t>.</w:t>
      </w:r>
    </w:p>
    <w:p w14:paraId="2B5A0DA3" w14:textId="77777777" w:rsidR="000839A4" w:rsidRPr="000839A4" w:rsidRDefault="000839A4" w:rsidP="000839A4">
      <w:pPr>
        <w:keepNext/>
        <w:ind w:firstLine="0"/>
        <w:jc w:val="center"/>
        <w:rPr>
          <w:szCs w:val="24"/>
        </w:rPr>
      </w:pPr>
      <w:r w:rsidRPr="000839A4">
        <w:rPr>
          <w:szCs w:val="24"/>
        </w:rPr>
        <w:t>§ 38s</w:t>
      </w:r>
    </w:p>
    <w:p w14:paraId="38C9F471" w14:textId="77777777" w:rsidR="000839A4" w:rsidRPr="000839A4" w:rsidRDefault="000839A4" w:rsidP="000839A4">
      <w:pPr>
        <w:tabs>
          <w:tab w:val="num" w:pos="782"/>
          <w:tab w:val="left" w:pos="851"/>
        </w:tabs>
        <w:spacing w:before="120" w:after="120"/>
        <w:outlineLvl w:val="6"/>
      </w:pPr>
      <w:r w:rsidRPr="000839A4">
        <w:t>Pokud povinnost vybrat nebo srazit daň včetně záloh u daně vybírané srážkou podle zvláštní sazby daně nebo u daně srážené plátcem daně poplatníkovi z příjmů ze závislé činnosti nebyla ve stanovené výši plátcem daně splněna, a to ani dodatečně, je základem pro výpočet této částky vybírané nebo sražené daně včetně záloh částka, z níž by po vybrání nebo sražení zbyla částka, která byla plátcem daně poplatníkovi skutečně vyplacena.</w:t>
      </w:r>
    </w:p>
    <w:p w14:paraId="36B35ECE" w14:textId="77777777" w:rsidR="000839A4" w:rsidRPr="000839A4" w:rsidRDefault="000839A4" w:rsidP="000839A4">
      <w:pPr>
        <w:keepNext/>
        <w:ind w:firstLine="0"/>
        <w:jc w:val="center"/>
        <w:rPr>
          <w:szCs w:val="24"/>
        </w:rPr>
      </w:pPr>
      <w:r w:rsidRPr="000839A4">
        <w:rPr>
          <w:szCs w:val="24"/>
        </w:rPr>
        <w:t>§ 38t</w:t>
      </w:r>
    </w:p>
    <w:p w14:paraId="1A48D0D1" w14:textId="77777777" w:rsidR="000839A4" w:rsidRPr="000839A4" w:rsidRDefault="000839A4" w:rsidP="000839A4">
      <w:pPr>
        <w:tabs>
          <w:tab w:val="num" w:pos="782"/>
          <w:tab w:val="left" w:pos="851"/>
        </w:tabs>
        <w:spacing w:before="120" w:after="120"/>
        <w:outlineLvl w:val="6"/>
      </w:pPr>
      <w:r w:rsidRPr="000839A4">
        <w:t>(1) Pojišťovny jsou povinny sdělit svému místně příslušnému správci daně výplatu pojistného nebo výplatu zálohy na pojistné plnění, a to do 30 dnů ode dne provedení této výplaty, jestliže</w:t>
      </w:r>
    </w:p>
    <w:p w14:paraId="767F9C71"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jde o pojistné plnění nahrazující příjem nebo výnos, jenž je předmětem daně,</w:t>
      </w:r>
    </w:p>
    <w:p w14:paraId="18A195F0"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výplata byla provedena fyzické osobě,</w:t>
      </w:r>
    </w:p>
    <w:p w14:paraId="0A01C779" w14:textId="77777777" w:rsidR="000839A4" w:rsidRPr="000839A4" w:rsidRDefault="000839A4" w:rsidP="000839A4">
      <w:pPr>
        <w:tabs>
          <w:tab w:val="left" w:pos="357"/>
        </w:tabs>
        <w:spacing w:before="0"/>
        <w:ind w:left="357" w:hanging="357"/>
        <w:rPr>
          <w:szCs w:val="24"/>
        </w:rPr>
      </w:pPr>
      <w:r w:rsidRPr="000839A4">
        <w:rPr>
          <w:szCs w:val="24"/>
        </w:rPr>
        <w:t>c)</w:t>
      </w:r>
      <w:r w:rsidRPr="000839A4">
        <w:rPr>
          <w:szCs w:val="24"/>
        </w:rPr>
        <w:tab/>
        <w:t>vyplacená částka přesahuje 25 000 Kč,</w:t>
      </w:r>
    </w:p>
    <w:p w14:paraId="014E11AD" w14:textId="77777777" w:rsidR="000839A4" w:rsidRPr="000839A4" w:rsidRDefault="000839A4" w:rsidP="000839A4">
      <w:pPr>
        <w:tabs>
          <w:tab w:val="left" w:pos="357"/>
        </w:tabs>
        <w:spacing w:before="0"/>
        <w:ind w:left="357" w:hanging="357"/>
        <w:rPr>
          <w:szCs w:val="24"/>
        </w:rPr>
      </w:pPr>
      <w:r w:rsidRPr="000839A4">
        <w:rPr>
          <w:szCs w:val="24"/>
        </w:rPr>
        <w:t>d)</w:t>
      </w:r>
      <w:r w:rsidRPr="000839A4">
        <w:rPr>
          <w:szCs w:val="24"/>
        </w:rPr>
        <w:tab/>
        <w:t>z vyplacené částky nebyla sražena daň a</w:t>
      </w:r>
    </w:p>
    <w:p w14:paraId="2B08CD7A" w14:textId="77777777" w:rsidR="000839A4" w:rsidRPr="000839A4" w:rsidRDefault="000839A4" w:rsidP="000839A4">
      <w:pPr>
        <w:tabs>
          <w:tab w:val="left" w:pos="357"/>
        </w:tabs>
        <w:spacing w:before="0"/>
        <w:ind w:left="357" w:hanging="357"/>
        <w:rPr>
          <w:szCs w:val="24"/>
        </w:rPr>
      </w:pPr>
      <w:r w:rsidRPr="000839A4">
        <w:rPr>
          <w:szCs w:val="24"/>
        </w:rPr>
        <w:t>e)</w:t>
      </w:r>
      <w:r w:rsidRPr="000839A4">
        <w:rPr>
          <w:szCs w:val="24"/>
        </w:rPr>
        <w:tab/>
        <w:t>nejde o příjem osvobozený od daně (§ 4).</w:t>
      </w:r>
    </w:p>
    <w:p w14:paraId="0BBF7A92" w14:textId="77777777" w:rsidR="000839A4" w:rsidRPr="000839A4" w:rsidRDefault="000839A4" w:rsidP="000839A4">
      <w:pPr>
        <w:tabs>
          <w:tab w:val="num" w:pos="782"/>
          <w:tab w:val="left" w:pos="851"/>
        </w:tabs>
        <w:spacing w:before="120" w:after="120"/>
        <w:outlineLvl w:val="6"/>
      </w:pPr>
      <w:r w:rsidRPr="000839A4">
        <w:t>(2) Poplatníci uvedení v § 2 odst. 2 a § 17 odst. 3 a stálé provozovny poplatníků uvedených v § 2 odst. 3 a § 17 odst. 4 umístěné na území České republiky mají povinnost oznámit neprodleně svému místně příslušnému správci daně uzavření kontraktu s poplatníkem uvedeným v § 2 odst. 3 nebo § 17 odst. 4, na jehož základě může dojít ke vzniku stálé provozovny (§ 22 odst. 2).</w:t>
      </w:r>
    </w:p>
    <w:p w14:paraId="4BCDE953" w14:textId="77777777" w:rsidR="000839A4" w:rsidRPr="000839A4" w:rsidRDefault="000839A4" w:rsidP="000839A4">
      <w:pPr>
        <w:tabs>
          <w:tab w:val="num" w:pos="782"/>
          <w:tab w:val="left" w:pos="851"/>
        </w:tabs>
        <w:spacing w:before="120" w:after="120"/>
        <w:outlineLvl w:val="6"/>
      </w:pPr>
      <w:r w:rsidRPr="000839A4">
        <w:t>(3) Oznamovací povinnost ke správci daně mají orgány Celní správy České republiky, jde-li o darování movitého majetku z ciziny nebo do ciziny.</w:t>
      </w:r>
    </w:p>
    <w:p w14:paraId="357CF2C7" w14:textId="77777777" w:rsidR="000839A4" w:rsidRPr="000839A4" w:rsidRDefault="000839A4" w:rsidP="000839A4">
      <w:pPr>
        <w:tabs>
          <w:tab w:val="num" w:pos="782"/>
          <w:tab w:val="left" w:pos="851"/>
        </w:tabs>
        <w:spacing w:before="120" w:after="120"/>
        <w:outlineLvl w:val="6"/>
      </w:pPr>
      <w:r w:rsidRPr="000839A4">
        <w:t>(4) Poplatník daně z příjmů fyzických osob, kterému nevznikla ve zdaňovacím období daňová povinnost, oznámí správci daně tuto skutečnost ve lhůtě pro podání daňového přiznání za toto zdaňovací období, pokud je daňovým</w:t>
      </w:r>
    </w:p>
    <w:p w14:paraId="157A8161"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 xml:space="preserve">rezidentem České republiky a v tomto nebo bezprostředně předcházejícím zdaňovacím období vykonával činnost, která je zdrojem příjmů ze samostatné činnosti, nebo </w:t>
      </w:r>
    </w:p>
    <w:p w14:paraId="17C22BD9"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nerezidentem a v tomto nebo bezprostředně předcházejícím zdaňovacím období vykonával na území České republiky činnost, která je zdrojem příjmů ze samostatné činnosti.</w:t>
      </w:r>
    </w:p>
    <w:p w14:paraId="0F18F3DC" w14:textId="77777777" w:rsidR="000839A4" w:rsidRPr="000839A4" w:rsidRDefault="000839A4" w:rsidP="000839A4">
      <w:pPr>
        <w:tabs>
          <w:tab w:val="num" w:pos="782"/>
          <w:tab w:val="left" w:pos="851"/>
        </w:tabs>
        <w:spacing w:before="120" w:after="120"/>
        <w:outlineLvl w:val="6"/>
      </w:pPr>
      <w:r w:rsidRPr="000839A4">
        <w:t>(5) Povinnost podle odstavce 4 nevzniká poplatníkovi, kterému v tomto i bezprostředně předcházejícím zdaňovacím období plynuly pouze příjmy,</w:t>
      </w:r>
    </w:p>
    <w:p w14:paraId="4B4FF219" w14:textId="77777777" w:rsidR="000839A4" w:rsidRPr="000839A4" w:rsidRDefault="000839A4" w:rsidP="000839A4">
      <w:pPr>
        <w:tabs>
          <w:tab w:val="left" w:pos="357"/>
        </w:tabs>
        <w:spacing w:before="0"/>
        <w:ind w:left="357" w:hanging="357"/>
        <w:rPr>
          <w:szCs w:val="24"/>
        </w:rPr>
      </w:pPr>
      <w:r w:rsidRPr="000839A4">
        <w:rPr>
          <w:szCs w:val="24"/>
        </w:rPr>
        <w:t>a) které nejsou předmětem daně,</w:t>
      </w:r>
    </w:p>
    <w:p w14:paraId="5507853E" w14:textId="77777777" w:rsidR="000839A4" w:rsidRPr="000839A4" w:rsidRDefault="000839A4" w:rsidP="000839A4">
      <w:pPr>
        <w:tabs>
          <w:tab w:val="left" w:pos="357"/>
        </w:tabs>
        <w:spacing w:before="0"/>
        <w:ind w:left="357" w:hanging="357"/>
        <w:rPr>
          <w:szCs w:val="24"/>
        </w:rPr>
      </w:pPr>
      <w:r w:rsidRPr="000839A4">
        <w:rPr>
          <w:szCs w:val="24"/>
        </w:rPr>
        <w:t>b) které jsou osvobozené od daně, nebo</w:t>
      </w:r>
    </w:p>
    <w:p w14:paraId="1C8F8566" w14:textId="77777777" w:rsidR="000839A4" w:rsidRPr="000839A4" w:rsidRDefault="000839A4" w:rsidP="000839A4">
      <w:pPr>
        <w:tabs>
          <w:tab w:val="left" w:pos="357"/>
        </w:tabs>
        <w:spacing w:before="0"/>
        <w:ind w:left="357" w:hanging="357"/>
        <w:rPr>
          <w:szCs w:val="24"/>
        </w:rPr>
      </w:pPr>
      <w:r w:rsidRPr="000839A4">
        <w:rPr>
          <w:szCs w:val="24"/>
        </w:rPr>
        <w:t>c) z nichž je daň vybírána srážkou podle zvláštní sazby daně.</w:t>
      </w:r>
    </w:p>
    <w:p w14:paraId="48FD66C8" w14:textId="77777777" w:rsidR="000839A4" w:rsidRPr="000839A4" w:rsidRDefault="000839A4" w:rsidP="000839A4">
      <w:pPr>
        <w:tabs>
          <w:tab w:val="num" w:pos="782"/>
          <w:tab w:val="left" w:pos="851"/>
        </w:tabs>
        <w:spacing w:before="120" w:after="120"/>
        <w:outlineLvl w:val="6"/>
        <w:rPr>
          <w:sz w:val="26"/>
        </w:rPr>
      </w:pPr>
      <w:r w:rsidRPr="000839A4">
        <w:t>(6) Poplatník, který byl v tomto nebo bezprostředně předcházejícím zdaňovacím období plátcem příjmu, ze kterého je daň vybírána srážkou podle zvláštní sazby daně nebo se sráží úhrada na zajištění daně, a kterému nevznikla v tomto zdaňovacím období daňová povinnost, oznámí správci daně tuto skutečnost ve lhůtě pro podání vyúčtování za toto zdaňovací období.</w:t>
      </w:r>
    </w:p>
    <w:p w14:paraId="3C5CE07F" w14:textId="77777777" w:rsidR="000839A4" w:rsidRPr="000839A4" w:rsidRDefault="000839A4" w:rsidP="000839A4">
      <w:pPr>
        <w:keepNext/>
        <w:ind w:firstLine="0"/>
        <w:jc w:val="center"/>
        <w:rPr>
          <w:szCs w:val="24"/>
        </w:rPr>
      </w:pPr>
      <w:r w:rsidRPr="000839A4">
        <w:rPr>
          <w:szCs w:val="24"/>
        </w:rPr>
        <w:lastRenderedPageBreak/>
        <w:t>§ 38u</w:t>
      </w:r>
    </w:p>
    <w:p w14:paraId="521D39CF" w14:textId="77777777" w:rsidR="000839A4" w:rsidRPr="000839A4" w:rsidRDefault="000839A4" w:rsidP="000839A4">
      <w:pPr>
        <w:tabs>
          <w:tab w:val="num" w:pos="782"/>
          <w:tab w:val="left" w:pos="851"/>
        </w:tabs>
        <w:spacing w:before="120" w:after="120"/>
        <w:outlineLvl w:val="6"/>
      </w:pPr>
      <w:r w:rsidRPr="000839A4">
        <w:t>(1) Dodatečné daňové tvrzení na daňovou povinnost nižší z důvodu odvolání daru pro nouzi se podává do konce měsíce následujícího po měsíci, ve kterém byl dar vydán zpět, nebo byla zaplacena jeho obvyklá cena.</w:t>
      </w:r>
    </w:p>
    <w:p w14:paraId="463F9397" w14:textId="77777777" w:rsidR="000839A4" w:rsidRPr="000839A4" w:rsidRDefault="000839A4" w:rsidP="000839A4">
      <w:pPr>
        <w:tabs>
          <w:tab w:val="num" w:pos="782"/>
          <w:tab w:val="left" w:pos="851"/>
        </w:tabs>
        <w:spacing w:before="120" w:after="120"/>
        <w:outlineLvl w:val="6"/>
      </w:pPr>
      <w:r w:rsidRPr="000839A4">
        <w:t>(2) Daň lze stanovit do konce roku následujícího po roce, ve kterém bylo dodatečné daňové tvrzení podáno, bez ohledu na to, zda již uplynula lhůta pro stanovení daně.</w:t>
      </w:r>
    </w:p>
    <w:p w14:paraId="100DD615" w14:textId="77777777" w:rsidR="000839A4" w:rsidRPr="000839A4" w:rsidRDefault="000839A4" w:rsidP="000839A4">
      <w:pPr>
        <w:keepNext/>
        <w:ind w:firstLine="0"/>
        <w:jc w:val="center"/>
        <w:rPr>
          <w:szCs w:val="24"/>
        </w:rPr>
      </w:pPr>
      <w:r w:rsidRPr="000839A4">
        <w:rPr>
          <w:szCs w:val="24"/>
        </w:rPr>
        <w:t>§ 38v</w:t>
      </w:r>
    </w:p>
    <w:p w14:paraId="7DDAAF61" w14:textId="77777777" w:rsidR="000839A4" w:rsidRPr="000839A4" w:rsidRDefault="000839A4" w:rsidP="000839A4">
      <w:pPr>
        <w:keepNext/>
        <w:ind w:firstLine="0"/>
        <w:jc w:val="center"/>
        <w:rPr>
          <w:b/>
          <w:szCs w:val="24"/>
        </w:rPr>
      </w:pPr>
      <w:r w:rsidRPr="000839A4">
        <w:rPr>
          <w:b/>
          <w:szCs w:val="24"/>
        </w:rPr>
        <w:t>Oznámení o osvobozených příjmech fyzických osob</w:t>
      </w:r>
    </w:p>
    <w:p w14:paraId="49870E94" w14:textId="77777777" w:rsidR="000839A4" w:rsidRPr="000839A4" w:rsidRDefault="000839A4" w:rsidP="000839A4">
      <w:pPr>
        <w:tabs>
          <w:tab w:val="num" w:pos="782"/>
          <w:tab w:val="left" w:pos="851"/>
        </w:tabs>
        <w:spacing w:before="120" w:after="120"/>
        <w:outlineLvl w:val="6"/>
      </w:pPr>
      <w:r w:rsidRPr="000839A4">
        <w:t xml:space="preserve">(1) Pokud poplatník daně z příjmů fyzických osob obdrží příjem, který je od daně z příjmů fyzických osob osvobozen a je vyšší než 5 000 000 Kč, je povinen oznámit správci daně tuto skutečnost do konce lhůty pro podání daňového přiznání za zdaňovací období, ve kterém příjem obdržel. </w:t>
      </w:r>
    </w:p>
    <w:p w14:paraId="5D4724CC" w14:textId="77777777" w:rsidR="000839A4" w:rsidRPr="000839A4" w:rsidRDefault="000839A4" w:rsidP="000839A4">
      <w:pPr>
        <w:tabs>
          <w:tab w:val="num" w:pos="782"/>
          <w:tab w:val="left" w:pos="851"/>
        </w:tabs>
        <w:spacing w:before="120" w:after="120"/>
        <w:outlineLvl w:val="6"/>
      </w:pPr>
      <w:r w:rsidRPr="000839A4">
        <w:t>(2) V oznámení podle odstavce 1 poplatník uvede</w:t>
      </w:r>
    </w:p>
    <w:p w14:paraId="0D5B8892"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výši příjmu,</w:t>
      </w:r>
    </w:p>
    <w:p w14:paraId="0B92F015"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popis okolností nabytí příjmu,</w:t>
      </w:r>
    </w:p>
    <w:p w14:paraId="1F10FB18" w14:textId="77777777" w:rsidR="000839A4" w:rsidRPr="000839A4" w:rsidRDefault="000839A4" w:rsidP="000839A4">
      <w:pPr>
        <w:tabs>
          <w:tab w:val="left" w:pos="357"/>
        </w:tabs>
        <w:spacing w:before="0"/>
        <w:ind w:left="357" w:hanging="357"/>
        <w:rPr>
          <w:szCs w:val="24"/>
        </w:rPr>
      </w:pPr>
      <w:r w:rsidRPr="000839A4">
        <w:rPr>
          <w:szCs w:val="24"/>
        </w:rPr>
        <w:t>c)</w:t>
      </w:r>
      <w:r w:rsidRPr="000839A4">
        <w:rPr>
          <w:szCs w:val="24"/>
        </w:rPr>
        <w:tab/>
        <w:t>datum, kdy příjem vznikl.</w:t>
      </w:r>
    </w:p>
    <w:p w14:paraId="697D9AAA" w14:textId="77777777" w:rsidR="000839A4" w:rsidRPr="000839A4" w:rsidRDefault="000839A4" w:rsidP="000839A4">
      <w:pPr>
        <w:tabs>
          <w:tab w:val="num" w:pos="782"/>
          <w:tab w:val="left" w:pos="851"/>
        </w:tabs>
        <w:spacing w:before="120" w:after="120"/>
        <w:outlineLvl w:val="6"/>
      </w:pPr>
      <w:r w:rsidRPr="000839A4">
        <w:t>(3) Odstavec 1 se nevztahuje na příjem, o němž může údaje podle odstavce 2 správce daně zjistit z rejstříků či evidencí, do kterých má přístup a které zveřejní na úřední desce a způsobem umožňujícím dálkový přístup.</w:t>
      </w:r>
    </w:p>
    <w:p w14:paraId="12A34886" w14:textId="77777777" w:rsidR="000839A4" w:rsidRPr="000839A4" w:rsidRDefault="000839A4" w:rsidP="000839A4">
      <w:pPr>
        <w:tabs>
          <w:tab w:val="num" w:pos="782"/>
          <w:tab w:val="left" w:pos="851"/>
        </w:tabs>
        <w:spacing w:before="120" w:after="120"/>
        <w:outlineLvl w:val="6"/>
      </w:pPr>
      <w:r w:rsidRPr="000839A4">
        <w:t>(4) Zjistí-li správce daně nesplnění povinnosti podle odstavce 1, vyzve poplatníka k jejímu dodatečnému splnění a stanoví mu k tomu náhradní lhůtu.</w:t>
      </w:r>
    </w:p>
    <w:p w14:paraId="1D21EB36" w14:textId="77777777" w:rsidR="000839A4" w:rsidRPr="000839A4" w:rsidRDefault="000839A4" w:rsidP="000839A4">
      <w:pPr>
        <w:tabs>
          <w:tab w:val="num" w:pos="782"/>
          <w:tab w:val="left" w:pos="851"/>
        </w:tabs>
        <w:spacing w:before="120" w:after="120"/>
        <w:outlineLvl w:val="6"/>
      </w:pPr>
      <w:r w:rsidRPr="000839A4">
        <w:t>(5) Jde-li o příjem plynoucí do společného jmění manželů, oznámí správci daně skutečnost podle odstavce 1 jeden z manželů.</w:t>
      </w:r>
    </w:p>
    <w:p w14:paraId="394948BD" w14:textId="77777777" w:rsidR="000839A4" w:rsidRPr="000839A4" w:rsidRDefault="000839A4" w:rsidP="000839A4">
      <w:pPr>
        <w:keepNext/>
        <w:ind w:firstLine="0"/>
        <w:jc w:val="center"/>
        <w:rPr>
          <w:szCs w:val="24"/>
        </w:rPr>
      </w:pPr>
      <w:r w:rsidRPr="000839A4">
        <w:rPr>
          <w:szCs w:val="24"/>
        </w:rPr>
        <w:t>§ 38w</w:t>
      </w:r>
    </w:p>
    <w:p w14:paraId="4B78577F" w14:textId="77777777" w:rsidR="000839A4" w:rsidRPr="000839A4" w:rsidRDefault="000839A4" w:rsidP="000839A4">
      <w:pPr>
        <w:keepNext/>
        <w:ind w:firstLine="0"/>
        <w:jc w:val="center"/>
        <w:rPr>
          <w:b/>
          <w:szCs w:val="24"/>
        </w:rPr>
      </w:pPr>
      <w:r w:rsidRPr="000839A4">
        <w:rPr>
          <w:b/>
          <w:szCs w:val="24"/>
        </w:rPr>
        <w:t>Pokuta za neoznámení osvobozeného příjmu</w:t>
      </w:r>
    </w:p>
    <w:p w14:paraId="62C17EFF" w14:textId="77777777" w:rsidR="000839A4" w:rsidRPr="000839A4" w:rsidRDefault="000839A4" w:rsidP="000839A4">
      <w:pPr>
        <w:tabs>
          <w:tab w:val="num" w:pos="782"/>
          <w:tab w:val="left" w:pos="851"/>
        </w:tabs>
        <w:spacing w:before="120" w:after="120"/>
        <w:outlineLvl w:val="6"/>
      </w:pPr>
      <w:r w:rsidRPr="000839A4">
        <w:t>(1) Poplatníkovi vzniká povinnost uhradit pokutu za neoznámení osvobozeného příjmu, pokud nepodá oznámení o osvobozených příjmech fyzických osob, ve výši</w:t>
      </w:r>
    </w:p>
    <w:p w14:paraId="3431F100"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0,1 % z částky neoznámeného příjmu, pokud tuto povinnost splní, aniž by k tomu byl vyzván,</w:t>
      </w:r>
    </w:p>
    <w:p w14:paraId="7AF76A35"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10 % z částky neoznámeného příjmu, pokud poplatník tuto povinnost splní v náhradní lhůtě poté, co byl k tomu vyzván, nebo</w:t>
      </w:r>
    </w:p>
    <w:p w14:paraId="00B271F6" w14:textId="77777777" w:rsidR="000839A4" w:rsidRPr="000839A4" w:rsidRDefault="000839A4" w:rsidP="000839A4">
      <w:pPr>
        <w:tabs>
          <w:tab w:val="left" w:pos="357"/>
        </w:tabs>
        <w:spacing w:before="0"/>
        <w:ind w:left="357" w:hanging="357"/>
        <w:rPr>
          <w:szCs w:val="24"/>
        </w:rPr>
      </w:pPr>
      <w:r w:rsidRPr="000839A4">
        <w:rPr>
          <w:szCs w:val="24"/>
        </w:rPr>
        <w:t>c)</w:t>
      </w:r>
      <w:r w:rsidRPr="000839A4">
        <w:rPr>
          <w:szCs w:val="24"/>
        </w:rPr>
        <w:tab/>
        <w:t>15 % z částky neoznámeného příjmu, pokud poplatník nesplní tuto povinnost ani v náhradní lhůtě.</w:t>
      </w:r>
    </w:p>
    <w:p w14:paraId="58CAA3D6" w14:textId="77777777" w:rsidR="000839A4" w:rsidRPr="000839A4" w:rsidRDefault="000839A4" w:rsidP="000839A4">
      <w:pPr>
        <w:tabs>
          <w:tab w:val="num" w:pos="782"/>
          <w:tab w:val="left" w:pos="851"/>
        </w:tabs>
        <w:spacing w:before="120" w:after="120"/>
        <w:outlineLvl w:val="6"/>
      </w:pPr>
      <w:r w:rsidRPr="000839A4">
        <w:t xml:space="preserve">(2) Pokuta za neoznámení osvobozeného příjmu je splatná do 15 dnů od právní moci rozhodnutí o pokutě. </w:t>
      </w:r>
    </w:p>
    <w:p w14:paraId="70FC2ECB" w14:textId="77777777" w:rsidR="000839A4" w:rsidRPr="000839A4" w:rsidRDefault="000839A4" w:rsidP="000839A4">
      <w:pPr>
        <w:tabs>
          <w:tab w:val="num" w:pos="782"/>
          <w:tab w:val="left" w:pos="851"/>
        </w:tabs>
        <w:spacing w:before="120" w:after="120"/>
        <w:outlineLvl w:val="6"/>
      </w:pPr>
      <w:r w:rsidRPr="000839A4">
        <w:t>(3) Pokutu za neoznámení osvobozeného příjmu lze uložit nejpozději do uplynutí lhůty pro stanovení daně.</w:t>
      </w:r>
    </w:p>
    <w:p w14:paraId="159C1630" w14:textId="77777777" w:rsidR="000839A4" w:rsidRPr="000839A4" w:rsidRDefault="000839A4" w:rsidP="000839A4">
      <w:pPr>
        <w:tabs>
          <w:tab w:val="num" w:pos="782"/>
          <w:tab w:val="left" w:pos="851"/>
        </w:tabs>
        <w:spacing w:before="120" w:after="120"/>
        <w:outlineLvl w:val="6"/>
      </w:pPr>
      <w:r w:rsidRPr="000839A4">
        <w:t xml:space="preserve">(4) O povinnosti platit pokutu za neoznámení osvobozeného příjmu rozhodne správce daně platebním výměrem a současně ji předepíše do evidence daní. </w:t>
      </w:r>
    </w:p>
    <w:p w14:paraId="200BED68" w14:textId="77777777" w:rsidR="000839A4" w:rsidRPr="000839A4" w:rsidRDefault="000839A4" w:rsidP="000839A4">
      <w:pPr>
        <w:tabs>
          <w:tab w:val="num" w:pos="782"/>
          <w:tab w:val="left" w:pos="851"/>
        </w:tabs>
        <w:spacing w:before="120" w:after="120"/>
        <w:outlineLvl w:val="6"/>
      </w:pPr>
      <w:r w:rsidRPr="000839A4">
        <w:lastRenderedPageBreak/>
        <w:t>(5) Pokuta je příjmem státního rozpočtu.</w:t>
      </w:r>
    </w:p>
    <w:p w14:paraId="049F6A94" w14:textId="77777777" w:rsidR="000839A4" w:rsidRPr="000839A4" w:rsidRDefault="000839A4" w:rsidP="000839A4">
      <w:pPr>
        <w:tabs>
          <w:tab w:val="num" w:pos="782"/>
          <w:tab w:val="left" w:pos="851"/>
        </w:tabs>
        <w:spacing w:before="120" w:after="120"/>
        <w:outlineLvl w:val="6"/>
      </w:pPr>
      <w:r w:rsidRPr="000839A4">
        <w:t>(6) Správce daně může zcela nebo zčásti prominout pokutu za neoznámení osvobozeného příjmu, pokud k nesplnění povinnosti oznámit osvobozený příjem došlo z důvodu, který lze s přihlédnutím k okolnostem daného případu ospravedlnit.</w:t>
      </w:r>
    </w:p>
    <w:p w14:paraId="72C8614A" w14:textId="77777777" w:rsidR="000839A4" w:rsidRPr="000839A4" w:rsidRDefault="000839A4" w:rsidP="000839A4">
      <w:pPr>
        <w:keepNext/>
        <w:ind w:firstLine="0"/>
        <w:jc w:val="center"/>
        <w:rPr>
          <w:szCs w:val="24"/>
        </w:rPr>
      </w:pPr>
      <w:r w:rsidRPr="000839A4">
        <w:rPr>
          <w:szCs w:val="24"/>
        </w:rPr>
        <w:t>§ 38x</w:t>
      </w:r>
    </w:p>
    <w:p w14:paraId="0C495690" w14:textId="77777777" w:rsidR="000839A4" w:rsidRPr="000839A4" w:rsidRDefault="000839A4" w:rsidP="000839A4">
      <w:pPr>
        <w:keepNext/>
        <w:ind w:firstLine="0"/>
        <w:jc w:val="center"/>
        <w:rPr>
          <w:b/>
          <w:szCs w:val="24"/>
        </w:rPr>
      </w:pPr>
      <w:r w:rsidRPr="000839A4">
        <w:rPr>
          <w:b/>
          <w:szCs w:val="24"/>
        </w:rPr>
        <w:t>Výzva k prokázání příjmů</w:t>
      </w:r>
    </w:p>
    <w:p w14:paraId="748A7D65" w14:textId="77777777" w:rsidR="000839A4" w:rsidRPr="000839A4" w:rsidRDefault="000839A4" w:rsidP="000839A4">
      <w:pPr>
        <w:tabs>
          <w:tab w:val="num" w:pos="782"/>
          <w:tab w:val="left" w:pos="851"/>
        </w:tabs>
        <w:spacing w:before="120" w:after="120"/>
        <w:outlineLvl w:val="6"/>
      </w:pPr>
      <w:r w:rsidRPr="000839A4">
        <w:t>(1) Správce daně vyzve poplatníka k prokázání vzniku a původu příjmů a dalších skutečností souvisejících s nárůstem jeho jmění, spotřebou nebo jiným vydáním v případě, že</w:t>
      </w:r>
    </w:p>
    <w:p w14:paraId="7FF97689"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má důvodné pochybnosti, zda příjmy poplatníka oznámené nebo tvrzené správci daně odpovídají nárůstu jeho jmění, spotřebě nebo jinému vydání, a nejsou mu známy skutečnosti, které by nárůst jmění, spotřebu nebo jiné vydání ozřejmovaly, a</w:t>
      </w:r>
    </w:p>
    <w:p w14:paraId="204566E0"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po předběžném posouzení dojde k závěru, že rozdíl mezi těmito příjmy a nárůstem jmění, spotřebou nebo jiným vydáním poplatníka přesahuje 7 000 000 Kč.</w:t>
      </w:r>
    </w:p>
    <w:p w14:paraId="218851A7" w14:textId="77777777" w:rsidR="000839A4" w:rsidRPr="000839A4" w:rsidRDefault="000839A4" w:rsidP="000839A4">
      <w:pPr>
        <w:tabs>
          <w:tab w:val="num" w:pos="782"/>
          <w:tab w:val="left" w:pos="851"/>
        </w:tabs>
        <w:spacing w:before="120" w:after="120"/>
        <w:outlineLvl w:val="6"/>
      </w:pPr>
      <w:r w:rsidRPr="000839A4">
        <w:t>(2) Správce daně ve výzvě k prokázání příjmů uvede své pochybnosti způsobem, který umožňuje poplatníkovi, aby se k nim vyjádřil a předložil důkazní prostředky tak, aby došlo k odstranění těchto pochybností.</w:t>
      </w:r>
    </w:p>
    <w:p w14:paraId="05B148F1" w14:textId="77777777" w:rsidR="000839A4" w:rsidRPr="000839A4" w:rsidRDefault="000839A4" w:rsidP="000839A4">
      <w:pPr>
        <w:tabs>
          <w:tab w:val="num" w:pos="782"/>
          <w:tab w:val="left" w:pos="851"/>
        </w:tabs>
        <w:spacing w:before="120" w:after="120"/>
        <w:outlineLvl w:val="6"/>
      </w:pPr>
      <w:r w:rsidRPr="000839A4">
        <w:t>(3) Ve výzvě k prokázání příjmů správce daně</w:t>
      </w:r>
    </w:p>
    <w:p w14:paraId="7D47EDC9"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určí rozhodné období pro posouzení vztahu příjmů poplatníka k nárůstu jeho jmění, spotřebě nebo jinému vydání,</w:t>
      </w:r>
    </w:p>
    <w:p w14:paraId="4B7A269D"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stanoví lhůtu k vyjádření a předložení důkazních prostředků k prokázání požadovaných skutečností, která nesmí být kratší než 30 dnů,</w:t>
      </w:r>
    </w:p>
    <w:p w14:paraId="282832C6" w14:textId="77777777" w:rsidR="000839A4" w:rsidRPr="000839A4" w:rsidRDefault="000839A4" w:rsidP="000839A4">
      <w:pPr>
        <w:tabs>
          <w:tab w:val="left" w:pos="357"/>
        </w:tabs>
        <w:spacing w:before="0"/>
        <w:ind w:left="357" w:hanging="357"/>
        <w:rPr>
          <w:szCs w:val="24"/>
        </w:rPr>
      </w:pPr>
      <w:r w:rsidRPr="000839A4">
        <w:rPr>
          <w:szCs w:val="24"/>
        </w:rPr>
        <w:t>c)</w:t>
      </w:r>
      <w:r w:rsidRPr="000839A4">
        <w:rPr>
          <w:szCs w:val="24"/>
        </w:rPr>
        <w:tab/>
        <w:t>poplatníka poučí o následcích spojených s neprokázáním požadovaných skutečností a neposkytnutím dostatečné součinnosti při prokazování požadovaných skutečností.</w:t>
      </w:r>
    </w:p>
    <w:p w14:paraId="29309253" w14:textId="77777777" w:rsidR="000839A4" w:rsidRPr="000839A4" w:rsidRDefault="000839A4" w:rsidP="000839A4">
      <w:pPr>
        <w:tabs>
          <w:tab w:val="num" w:pos="782"/>
          <w:tab w:val="left" w:pos="851"/>
        </w:tabs>
        <w:spacing w:before="120" w:after="120"/>
        <w:outlineLvl w:val="6"/>
      </w:pPr>
      <w:r w:rsidRPr="000839A4">
        <w:t>(4) Správce daně může požadované skutečnosti doplňovat prostřednictvím další výzvy k prokázání příjmů.</w:t>
      </w:r>
    </w:p>
    <w:p w14:paraId="476A3D10" w14:textId="77777777" w:rsidR="000839A4" w:rsidRPr="000839A4" w:rsidRDefault="000839A4" w:rsidP="000839A4">
      <w:pPr>
        <w:tabs>
          <w:tab w:val="num" w:pos="782"/>
          <w:tab w:val="left" w:pos="851"/>
        </w:tabs>
        <w:spacing w:before="120" w:after="120"/>
        <w:outlineLvl w:val="6"/>
      </w:pPr>
      <w:r w:rsidRPr="000839A4">
        <w:t>(5) Správce daně nevyzývá poplatníka k prokázání skutečností, o nichž je správci daně známo, že nastaly v období, u kterého již uplynula lhůta pro stanovení daně.</w:t>
      </w:r>
    </w:p>
    <w:p w14:paraId="51B57085" w14:textId="77777777" w:rsidR="000839A4" w:rsidRPr="000839A4" w:rsidRDefault="000839A4" w:rsidP="000839A4">
      <w:pPr>
        <w:keepNext/>
        <w:ind w:firstLine="0"/>
        <w:jc w:val="center"/>
        <w:rPr>
          <w:szCs w:val="24"/>
        </w:rPr>
      </w:pPr>
      <w:r w:rsidRPr="000839A4">
        <w:rPr>
          <w:szCs w:val="24"/>
        </w:rPr>
        <w:t>§ 38y</w:t>
      </w:r>
    </w:p>
    <w:p w14:paraId="38AA72C3" w14:textId="77777777" w:rsidR="000839A4" w:rsidRPr="000839A4" w:rsidRDefault="000839A4" w:rsidP="000839A4">
      <w:pPr>
        <w:keepNext/>
        <w:ind w:firstLine="0"/>
        <w:jc w:val="center"/>
        <w:rPr>
          <w:b/>
          <w:szCs w:val="24"/>
        </w:rPr>
      </w:pPr>
      <w:r w:rsidRPr="000839A4">
        <w:rPr>
          <w:b/>
          <w:szCs w:val="24"/>
        </w:rPr>
        <w:t>Povinnost prokázat příjmy</w:t>
      </w:r>
    </w:p>
    <w:p w14:paraId="7E017183" w14:textId="77777777" w:rsidR="000839A4" w:rsidRPr="000839A4" w:rsidRDefault="000839A4" w:rsidP="000839A4">
      <w:pPr>
        <w:tabs>
          <w:tab w:val="num" w:pos="782"/>
          <w:tab w:val="left" w:pos="851"/>
        </w:tabs>
        <w:spacing w:before="120" w:after="120"/>
        <w:outlineLvl w:val="6"/>
      </w:pPr>
      <w:r w:rsidRPr="000839A4">
        <w:t>Poplatník je povinen prokázat skutečnosti požadované ve výzvě k prokázání příjmů, ledaže prokáže, že nastaly v období, u kterého již uplynula lhůta pro stanovení daně.</w:t>
      </w:r>
    </w:p>
    <w:p w14:paraId="186CA428" w14:textId="77777777" w:rsidR="000839A4" w:rsidRPr="000839A4" w:rsidRDefault="000839A4" w:rsidP="000839A4">
      <w:pPr>
        <w:keepNext/>
        <w:ind w:firstLine="0"/>
        <w:jc w:val="center"/>
        <w:rPr>
          <w:szCs w:val="24"/>
        </w:rPr>
      </w:pPr>
      <w:r w:rsidRPr="000839A4">
        <w:rPr>
          <w:szCs w:val="24"/>
        </w:rPr>
        <w:t>§ 38z</w:t>
      </w:r>
    </w:p>
    <w:p w14:paraId="1AE245DC" w14:textId="77777777" w:rsidR="000839A4" w:rsidRPr="000839A4" w:rsidRDefault="000839A4" w:rsidP="000839A4">
      <w:pPr>
        <w:keepNext/>
        <w:ind w:firstLine="0"/>
        <w:jc w:val="center"/>
        <w:rPr>
          <w:b/>
          <w:szCs w:val="24"/>
        </w:rPr>
      </w:pPr>
      <w:r w:rsidRPr="000839A4">
        <w:rPr>
          <w:b/>
          <w:szCs w:val="24"/>
        </w:rPr>
        <w:t>Prokázání příjmů</w:t>
      </w:r>
    </w:p>
    <w:p w14:paraId="759ECCA7" w14:textId="77777777" w:rsidR="000839A4" w:rsidRPr="000839A4" w:rsidRDefault="000839A4" w:rsidP="000839A4">
      <w:pPr>
        <w:tabs>
          <w:tab w:val="num" w:pos="782"/>
          <w:tab w:val="left" w:pos="851"/>
        </w:tabs>
        <w:spacing w:before="120" w:after="120"/>
        <w:outlineLvl w:val="6"/>
      </w:pPr>
      <w:r w:rsidRPr="000839A4">
        <w:t>(1) Došlo-li k prokázání skutečností požadovaných ve výzvě k prokázání příjmů, správce daně o tom poplatníka vhodným způsobem vyrozumí.</w:t>
      </w:r>
    </w:p>
    <w:p w14:paraId="681E2AA9" w14:textId="77777777" w:rsidR="000839A4" w:rsidRPr="000839A4" w:rsidRDefault="000839A4" w:rsidP="000839A4">
      <w:pPr>
        <w:tabs>
          <w:tab w:val="num" w:pos="782"/>
          <w:tab w:val="left" w:pos="851"/>
        </w:tabs>
        <w:spacing w:before="120" w:after="120"/>
        <w:outlineLvl w:val="6"/>
      </w:pPr>
      <w:r w:rsidRPr="000839A4">
        <w:t>(2) Správce daně přistoupí ke stanovení daně podle pomůcek zvláštním způsobem, pokud</w:t>
      </w:r>
    </w:p>
    <w:p w14:paraId="6857894E"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nedošlo k prokázání skutečností požadovaných ve výzvě k prokázání příjmů,</w:t>
      </w:r>
    </w:p>
    <w:p w14:paraId="013B7578"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daň nelze stanovit na základě dokazování a</w:t>
      </w:r>
    </w:p>
    <w:p w14:paraId="611620EF" w14:textId="77777777" w:rsidR="000839A4" w:rsidRPr="000839A4" w:rsidRDefault="000839A4" w:rsidP="000839A4">
      <w:pPr>
        <w:tabs>
          <w:tab w:val="left" w:pos="357"/>
        </w:tabs>
        <w:spacing w:before="0"/>
        <w:ind w:left="357" w:hanging="357"/>
        <w:rPr>
          <w:szCs w:val="24"/>
        </w:rPr>
      </w:pPr>
      <w:r w:rsidRPr="000839A4">
        <w:rPr>
          <w:szCs w:val="24"/>
        </w:rPr>
        <w:lastRenderedPageBreak/>
        <w:t>c)</w:t>
      </w:r>
      <w:r w:rsidRPr="000839A4">
        <w:rPr>
          <w:szCs w:val="24"/>
        </w:rPr>
        <w:tab/>
        <w:t>správce daně dojde po předběžném posouzení k závěru, že daň stanovená podle pomůcek zvláštním způsobem přesáhne 2 000 000 Kč.</w:t>
      </w:r>
    </w:p>
    <w:p w14:paraId="28FA4E56" w14:textId="77777777" w:rsidR="000839A4" w:rsidRPr="000839A4" w:rsidRDefault="000839A4" w:rsidP="000839A4">
      <w:pPr>
        <w:keepNext/>
        <w:ind w:firstLine="0"/>
        <w:jc w:val="center"/>
        <w:rPr>
          <w:szCs w:val="24"/>
        </w:rPr>
      </w:pPr>
      <w:r w:rsidRPr="000839A4">
        <w:rPr>
          <w:szCs w:val="24"/>
        </w:rPr>
        <w:t>§ 38za</w:t>
      </w:r>
    </w:p>
    <w:p w14:paraId="259C128F" w14:textId="77777777" w:rsidR="000839A4" w:rsidRPr="000839A4" w:rsidRDefault="000839A4" w:rsidP="000839A4">
      <w:pPr>
        <w:keepNext/>
        <w:ind w:firstLine="0"/>
        <w:jc w:val="center"/>
        <w:rPr>
          <w:b/>
          <w:szCs w:val="24"/>
        </w:rPr>
      </w:pPr>
      <w:r w:rsidRPr="000839A4">
        <w:rPr>
          <w:b/>
          <w:szCs w:val="24"/>
        </w:rPr>
        <w:t>Stanovení daně podle pomůcek zvláštním způsobem</w:t>
      </w:r>
    </w:p>
    <w:p w14:paraId="6F80BF34" w14:textId="77777777" w:rsidR="000839A4" w:rsidRPr="000839A4" w:rsidRDefault="000839A4" w:rsidP="000839A4">
      <w:pPr>
        <w:tabs>
          <w:tab w:val="num" w:pos="782"/>
          <w:tab w:val="left" w:pos="851"/>
        </w:tabs>
        <w:spacing w:before="120" w:after="120"/>
        <w:outlineLvl w:val="6"/>
      </w:pPr>
      <w:r w:rsidRPr="000839A4">
        <w:t>(1) Správce daně při stanovení daně podle pomůcek zvláštním způsobem určí základ daně pomocí odhadu výše příjmů, kterých by poplatník musel dosáhnout, aby to odpovídalo nárůstu jeho jmění, spotřebě nebo jinému vydání.</w:t>
      </w:r>
    </w:p>
    <w:p w14:paraId="39342421" w14:textId="77777777" w:rsidR="000839A4" w:rsidRPr="000839A4" w:rsidRDefault="000839A4" w:rsidP="000839A4">
      <w:pPr>
        <w:tabs>
          <w:tab w:val="num" w:pos="782"/>
          <w:tab w:val="left" w:pos="851"/>
        </w:tabs>
        <w:spacing w:before="120" w:after="120"/>
        <w:outlineLvl w:val="6"/>
      </w:pPr>
      <w:r w:rsidRPr="000839A4">
        <w:t>(2) Při odhadu výše příjmů podle odstavce 1 vyjde správce daně zejména z</w:t>
      </w:r>
    </w:p>
    <w:p w14:paraId="205AD1BE"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informací, ze kterých přímo i nepřímo vyplývá, že příjmy poplatníka neodpovídají nárůstu jeho jmění, spotřebě nebo jinému vydání,</w:t>
      </w:r>
    </w:p>
    <w:p w14:paraId="572D3200"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ekonomických ukazatelů,</w:t>
      </w:r>
    </w:p>
    <w:p w14:paraId="7BE40AE1" w14:textId="77777777" w:rsidR="000839A4" w:rsidRPr="000839A4" w:rsidRDefault="000839A4" w:rsidP="000839A4">
      <w:pPr>
        <w:tabs>
          <w:tab w:val="left" w:pos="357"/>
        </w:tabs>
        <w:spacing w:before="0"/>
        <w:ind w:left="357" w:hanging="357"/>
        <w:rPr>
          <w:szCs w:val="24"/>
        </w:rPr>
      </w:pPr>
      <w:r w:rsidRPr="000839A4">
        <w:rPr>
          <w:szCs w:val="24"/>
        </w:rPr>
        <w:t>c)</w:t>
      </w:r>
      <w:r w:rsidRPr="000839A4">
        <w:rPr>
          <w:szCs w:val="24"/>
        </w:rPr>
        <w:tab/>
        <w:t>porovnání se srovnatelnými poplatníky,</w:t>
      </w:r>
    </w:p>
    <w:p w14:paraId="7682549E" w14:textId="77777777" w:rsidR="000839A4" w:rsidRPr="000839A4" w:rsidRDefault="000839A4" w:rsidP="000839A4">
      <w:pPr>
        <w:tabs>
          <w:tab w:val="left" w:pos="357"/>
        </w:tabs>
        <w:spacing w:before="0"/>
        <w:ind w:left="357" w:hanging="357"/>
        <w:rPr>
          <w:szCs w:val="24"/>
        </w:rPr>
      </w:pPr>
      <w:r w:rsidRPr="000839A4">
        <w:rPr>
          <w:szCs w:val="24"/>
        </w:rPr>
        <w:t>d)</w:t>
      </w:r>
      <w:r w:rsidRPr="000839A4">
        <w:rPr>
          <w:szCs w:val="24"/>
        </w:rPr>
        <w:tab/>
        <w:t>obvyklé hodnoty srovnatelného majetku, spotřeby nebo jiného vydání,</w:t>
      </w:r>
    </w:p>
    <w:p w14:paraId="00F52D69" w14:textId="77777777" w:rsidR="000839A4" w:rsidRPr="000839A4" w:rsidRDefault="000839A4" w:rsidP="000839A4">
      <w:pPr>
        <w:tabs>
          <w:tab w:val="left" w:pos="357"/>
        </w:tabs>
        <w:spacing w:before="0"/>
        <w:ind w:left="357" w:hanging="357"/>
        <w:rPr>
          <w:szCs w:val="24"/>
        </w:rPr>
      </w:pPr>
      <w:r w:rsidRPr="000839A4">
        <w:rPr>
          <w:szCs w:val="24"/>
        </w:rPr>
        <w:t>e)</w:t>
      </w:r>
      <w:r w:rsidRPr="000839A4">
        <w:rPr>
          <w:szCs w:val="24"/>
        </w:rPr>
        <w:tab/>
        <w:t>pohybů a zůstatků na účtech,</w:t>
      </w:r>
    </w:p>
    <w:p w14:paraId="58DBB9EF" w14:textId="77777777" w:rsidR="000839A4" w:rsidRPr="000839A4" w:rsidRDefault="000839A4" w:rsidP="000839A4">
      <w:pPr>
        <w:tabs>
          <w:tab w:val="left" w:pos="357"/>
        </w:tabs>
        <w:spacing w:before="0"/>
        <w:ind w:left="357" w:hanging="357"/>
        <w:rPr>
          <w:szCs w:val="24"/>
        </w:rPr>
      </w:pPr>
      <w:r w:rsidRPr="000839A4">
        <w:rPr>
          <w:szCs w:val="24"/>
        </w:rPr>
        <w:t>f)</w:t>
      </w:r>
      <w:r w:rsidRPr="000839A4">
        <w:rPr>
          <w:szCs w:val="24"/>
        </w:rPr>
        <w:tab/>
        <w:t>prohlášení o majetku.</w:t>
      </w:r>
    </w:p>
    <w:p w14:paraId="0078E6C9" w14:textId="77777777" w:rsidR="000839A4" w:rsidRPr="000839A4" w:rsidRDefault="000839A4" w:rsidP="000839A4">
      <w:pPr>
        <w:tabs>
          <w:tab w:val="num" w:pos="782"/>
          <w:tab w:val="left" w:pos="851"/>
        </w:tabs>
        <w:spacing w:before="120" w:after="120"/>
        <w:outlineLvl w:val="6"/>
      </w:pPr>
      <w:r w:rsidRPr="000839A4">
        <w:t>(3) Pokud při stanovení daně podle pomůcek zvláštním způsobem nelze určit, do jakého zdaňovacího období příjmy spadají, hledí se na ně, jakoby vznikly v posledním zdaňovacím období, za které již lze stanovit daň.</w:t>
      </w:r>
    </w:p>
    <w:p w14:paraId="393A6D9C" w14:textId="77777777" w:rsidR="000839A4" w:rsidRPr="000839A4" w:rsidRDefault="000839A4" w:rsidP="000839A4">
      <w:pPr>
        <w:tabs>
          <w:tab w:val="num" w:pos="782"/>
          <w:tab w:val="left" w:pos="851"/>
        </w:tabs>
        <w:spacing w:before="120" w:after="120"/>
        <w:outlineLvl w:val="6"/>
      </w:pPr>
      <w:r w:rsidRPr="000839A4">
        <w:t>(4) Při stanovení daně podle pomůcek zvláštním způsobem správce daně přihlédne k okolnostem, z nichž vyplývají výhody pro poplatníka, pouze pokud jím byly uplatněny a prokázány v řízení o stanovení daně podle pomůcek zvláštním způsobem.</w:t>
      </w:r>
    </w:p>
    <w:p w14:paraId="118BC32E" w14:textId="77777777" w:rsidR="000839A4" w:rsidRPr="000839A4" w:rsidRDefault="000839A4" w:rsidP="000839A4">
      <w:pPr>
        <w:keepNext/>
        <w:ind w:firstLine="0"/>
        <w:jc w:val="center"/>
        <w:rPr>
          <w:szCs w:val="24"/>
        </w:rPr>
      </w:pPr>
      <w:r w:rsidRPr="000839A4">
        <w:rPr>
          <w:szCs w:val="24"/>
        </w:rPr>
        <w:t>§ 38zb</w:t>
      </w:r>
    </w:p>
    <w:p w14:paraId="39CB81EB" w14:textId="77777777" w:rsidR="000839A4" w:rsidRPr="000839A4" w:rsidRDefault="000839A4" w:rsidP="000839A4">
      <w:pPr>
        <w:keepNext/>
        <w:ind w:firstLine="0"/>
        <w:jc w:val="center"/>
        <w:rPr>
          <w:b/>
          <w:szCs w:val="24"/>
        </w:rPr>
      </w:pPr>
      <w:r w:rsidRPr="000839A4">
        <w:rPr>
          <w:b/>
          <w:szCs w:val="24"/>
        </w:rPr>
        <w:t>Penále při stanovení daně podle pomůcek zvláštním způsobem</w:t>
      </w:r>
    </w:p>
    <w:p w14:paraId="4F43F5C7" w14:textId="77777777" w:rsidR="000839A4" w:rsidRPr="000839A4" w:rsidRDefault="000839A4" w:rsidP="000839A4">
      <w:pPr>
        <w:tabs>
          <w:tab w:val="num" w:pos="782"/>
          <w:tab w:val="left" w:pos="851"/>
        </w:tabs>
        <w:spacing w:before="120" w:after="120"/>
        <w:outlineLvl w:val="6"/>
      </w:pPr>
      <w:r w:rsidRPr="000839A4">
        <w:t>Poplatníkovi vzniká povinnost uhradit penále z částky daně stanovené podle pomůcek zvláštním způsobem ve výši</w:t>
      </w:r>
    </w:p>
    <w:p w14:paraId="7D38B239"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50 %, nebo</w:t>
      </w:r>
    </w:p>
    <w:p w14:paraId="031A3A3C"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100 %, pokud neposkytnutí součinnosti poplatníka závažně ztížilo nebo bránilo stanovení daně.</w:t>
      </w:r>
    </w:p>
    <w:p w14:paraId="2038B749" w14:textId="77777777" w:rsidR="000839A4" w:rsidRPr="000839A4" w:rsidRDefault="000839A4" w:rsidP="000839A4">
      <w:pPr>
        <w:keepNext/>
        <w:ind w:firstLine="0"/>
        <w:jc w:val="center"/>
        <w:rPr>
          <w:szCs w:val="24"/>
        </w:rPr>
      </w:pPr>
      <w:r w:rsidRPr="000839A4">
        <w:rPr>
          <w:szCs w:val="24"/>
        </w:rPr>
        <w:t>§ 38zc</w:t>
      </w:r>
    </w:p>
    <w:p w14:paraId="3ADC3ACC" w14:textId="77777777" w:rsidR="000839A4" w:rsidRPr="000839A4" w:rsidRDefault="000839A4" w:rsidP="000839A4">
      <w:pPr>
        <w:keepNext/>
        <w:ind w:firstLine="0"/>
        <w:jc w:val="center"/>
        <w:rPr>
          <w:b/>
          <w:szCs w:val="24"/>
        </w:rPr>
      </w:pPr>
      <w:r w:rsidRPr="000839A4">
        <w:rPr>
          <w:b/>
          <w:szCs w:val="24"/>
        </w:rPr>
        <w:t>Výzva k podání prohlášení o majetku</w:t>
      </w:r>
    </w:p>
    <w:p w14:paraId="2DC87555" w14:textId="77777777" w:rsidR="000839A4" w:rsidRPr="000839A4" w:rsidRDefault="000839A4" w:rsidP="000839A4">
      <w:pPr>
        <w:tabs>
          <w:tab w:val="num" w:pos="782"/>
          <w:tab w:val="left" w:pos="851"/>
        </w:tabs>
        <w:spacing w:before="120" w:after="120"/>
        <w:outlineLvl w:val="6"/>
      </w:pPr>
      <w:r w:rsidRPr="000839A4">
        <w:t>(1) Správce daně poplatníka vyzve k podání prohlášení o majetku, pokud</w:t>
      </w:r>
    </w:p>
    <w:p w14:paraId="7E4A13D1"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nedošlo k prokázání skutečností požadovaných ve výzvě k prokázání příjmů,</w:t>
      </w:r>
    </w:p>
    <w:p w14:paraId="7AE7463D"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informace potřebné ke zjištění stavu jmění nelze získat jiným způsobem, nebo je lze získat pouze s nepoměrnými obtížemi a</w:t>
      </w:r>
    </w:p>
    <w:p w14:paraId="157E822E" w14:textId="77777777" w:rsidR="000839A4" w:rsidRPr="000839A4" w:rsidRDefault="000839A4" w:rsidP="000839A4">
      <w:pPr>
        <w:tabs>
          <w:tab w:val="left" w:pos="357"/>
        </w:tabs>
        <w:spacing w:before="0"/>
        <w:ind w:left="357" w:hanging="357"/>
        <w:rPr>
          <w:szCs w:val="24"/>
        </w:rPr>
      </w:pPr>
      <w:r w:rsidRPr="000839A4">
        <w:rPr>
          <w:szCs w:val="24"/>
        </w:rPr>
        <w:t>c)</w:t>
      </w:r>
      <w:r w:rsidRPr="000839A4">
        <w:rPr>
          <w:szCs w:val="24"/>
        </w:rPr>
        <w:tab/>
        <w:t>správce daně dojde po předběžném posouzení k závěru, že souhrnná hodnota majetku, který je poplatník v prohlášení o majetku povinen uvést, přesáhne 10 000 000 Kč.</w:t>
      </w:r>
    </w:p>
    <w:p w14:paraId="3154E778" w14:textId="77777777" w:rsidR="000839A4" w:rsidRPr="000839A4" w:rsidRDefault="000839A4" w:rsidP="000839A4">
      <w:pPr>
        <w:tabs>
          <w:tab w:val="num" w:pos="782"/>
          <w:tab w:val="left" w:pos="851"/>
        </w:tabs>
        <w:spacing w:before="120" w:after="120"/>
        <w:outlineLvl w:val="6"/>
      </w:pPr>
      <w:r w:rsidRPr="000839A4">
        <w:t>(2) Poplatník je povinen podat prohlášení o majetku ve lhůtě 60 dnů od oznámení výzvy k podání prohlášení o majetku; tuto lhůtu lze prodloužit.</w:t>
      </w:r>
    </w:p>
    <w:p w14:paraId="2140A862" w14:textId="77777777" w:rsidR="000839A4" w:rsidRPr="000839A4" w:rsidRDefault="000839A4" w:rsidP="000839A4">
      <w:pPr>
        <w:tabs>
          <w:tab w:val="num" w:pos="782"/>
          <w:tab w:val="left" w:pos="851"/>
        </w:tabs>
        <w:spacing w:before="120" w:after="120"/>
        <w:outlineLvl w:val="6"/>
      </w:pPr>
      <w:r w:rsidRPr="000839A4">
        <w:lastRenderedPageBreak/>
        <w:t>(3) Ve výzvě správce daně poučí poplatníka o povinnostech spojených s oznámením výzvy a případných následcích spojených s nepodáním prohlášení o majetku nebo uvedením nepravdivých anebo hrubě zkreslených údajů; ohledně nesplnění této povinnosti není správce daně vázán povinností mlčenlivosti pro účely trestního řízení.</w:t>
      </w:r>
    </w:p>
    <w:p w14:paraId="48887D82" w14:textId="77777777" w:rsidR="000839A4" w:rsidRPr="000839A4" w:rsidRDefault="000839A4" w:rsidP="000839A4">
      <w:pPr>
        <w:tabs>
          <w:tab w:val="num" w:pos="782"/>
          <w:tab w:val="left" w:pos="851"/>
        </w:tabs>
        <w:spacing w:before="120" w:after="120"/>
        <w:outlineLvl w:val="6"/>
      </w:pPr>
      <w:r w:rsidRPr="000839A4">
        <w:t>(4) Pokud poplatník nepodá na výzvu správce daně prohlášení o majetku, nebo v něm uvede nepravdivé nebo hrubě zkreslené údaje, správce daně bez dalšího přistoupí ke stanovení daně podle pomůcek zvláštním způsobem.</w:t>
      </w:r>
    </w:p>
    <w:p w14:paraId="3743D020" w14:textId="77777777" w:rsidR="000839A4" w:rsidRPr="000839A4" w:rsidRDefault="000839A4" w:rsidP="000839A4">
      <w:pPr>
        <w:keepNext/>
        <w:ind w:firstLine="0"/>
        <w:jc w:val="center"/>
        <w:rPr>
          <w:szCs w:val="24"/>
        </w:rPr>
      </w:pPr>
      <w:r w:rsidRPr="000839A4">
        <w:rPr>
          <w:szCs w:val="24"/>
        </w:rPr>
        <w:t>§ 38zd</w:t>
      </w:r>
    </w:p>
    <w:p w14:paraId="3F9424AE" w14:textId="77777777" w:rsidR="000839A4" w:rsidRPr="000839A4" w:rsidRDefault="000839A4" w:rsidP="000839A4">
      <w:pPr>
        <w:keepNext/>
        <w:ind w:firstLine="0"/>
        <w:jc w:val="center"/>
        <w:rPr>
          <w:b/>
          <w:szCs w:val="24"/>
        </w:rPr>
      </w:pPr>
      <w:r w:rsidRPr="000839A4">
        <w:rPr>
          <w:b/>
          <w:szCs w:val="24"/>
        </w:rPr>
        <w:t>Náležitosti prohlášení o majetku</w:t>
      </w:r>
    </w:p>
    <w:p w14:paraId="315004DF" w14:textId="77777777" w:rsidR="000839A4" w:rsidRPr="000839A4" w:rsidRDefault="000839A4" w:rsidP="000839A4">
      <w:pPr>
        <w:tabs>
          <w:tab w:val="num" w:pos="782"/>
          <w:tab w:val="left" w:pos="851"/>
        </w:tabs>
        <w:spacing w:before="120" w:after="120"/>
        <w:outlineLvl w:val="6"/>
      </w:pPr>
      <w:r w:rsidRPr="000839A4">
        <w:t>(1) V prohlášení o majetku je poplatník povinen uvést úplné a pravdivé údaje.</w:t>
      </w:r>
    </w:p>
    <w:p w14:paraId="65D7BACC" w14:textId="77777777" w:rsidR="000839A4" w:rsidRPr="000839A4" w:rsidRDefault="000839A4" w:rsidP="000839A4">
      <w:pPr>
        <w:tabs>
          <w:tab w:val="num" w:pos="782"/>
          <w:tab w:val="left" w:pos="851"/>
        </w:tabs>
        <w:spacing w:before="120" w:after="120"/>
        <w:outlineLvl w:val="6"/>
      </w:pPr>
      <w:r w:rsidRPr="000839A4">
        <w:t>(2) V prohlášení o majetku je poplatník povinen uvést údaje, které se uvádějí v prohlášení o majetku podle daňového řádu.</w:t>
      </w:r>
    </w:p>
    <w:p w14:paraId="20261182" w14:textId="77777777" w:rsidR="000839A4" w:rsidRPr="000839A4" w:rsidRDefault="000839A4" w:rsidP="000839A4">
      <w:pPr>
        <w:tabs>
          <w:tab w:val="num" w:pos="782"/>
          <w:tab w:val="left" w:pos="851"/>
        </w:tabs>
        <w:spacing w:before="120" w:after="120"/>
        <w:outlineLvl w:val="6"/>
      </w:pPr>
      <w:r w:rsidRPr="000839A4">
        <w:t>(3) V prohlášení o majetku je poplatník povinen dále uvést</w:t>
      </w:r>
    </w:p>
    <w:p w14:paraId="6F7A6331"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r>
      <w:proofErr w:type="spellStart"/>
      <w:r w:rsidRPr="000839A4">
        <w:rPr>
          <w:szCs w:val="24"/>
        </w:rPr>
        <w:t>svěřenský</w:t>
      </w:r>
      <w:proofErr w:type="spellEnd"/>
      <w:r w:rsidRPr="000839A4">
        <w:rPr>
          <w:szCs w:val="24"/>
        </w:rPr>
        <w:t xml:space="preserve"> fond, jehož je zakladatelem nebo obmyšleným, a skutečnosti, které jsou mu známy o majetku v tomto </w:t>
      </w:r>
      <w:proofErr w:type="spellStart"/>
      <w:r w:rsidRPr="000839A4">
        <w:rPr>
          <w:szCs w:val="24"/>
        </w:rPr>
        <w:t>svěřenském</w:t>
      </w:r>
      <w:proofErr w:type="spellEnd"/>
      <w:r w:rsidRPr="000839A4">
        <w:rPr>
          <w:szCs w:val="24"/>
        </w:rPr>
        <w:t xml:space="preserve"> fondu,</w:t>
      </w:r>
    </w:p>
    <w:p w14:paraId="453C4D21"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věc nepodléhající výkonu rozhodnutí, pokud jde o věc, kterou podnikatel nezbytně nutně potřebuje k výkonu své podnikatelské činnosti,</w:t>
      </w:r>
    </w:p>
    <w:p w14:paraId="3567CE6B" w14:textId="77777777" w:rsidR="000839A4" w:rsidRPr="000839A4" w:rsidRDefault="000839A4" w:rsidP="000839A4">
      <w:pPr>
        <w:tabs>
          <w:tab w:val="left" w:pos="357"/>
        </w:tabs>
        <w:spacing w:before="0"/>
        <w:ind w:left="357" w:hanging="357"/>
        <w:rPr>
          <w:szCs w:val="24"/>
        </w:rPr>
      </w:pPr>
      <w:r w:rsidRPr="000839A4">
        <w:rPr>
          <w:szCs w:val="24"/>
        </w:rPr>
        <w:t>c)</w:t>
      </w:r>
      <w:r w:rsidRPr="000839A4">
        <w:rPr>
          <w:szCs w:val="24"/>
        </w:rPr>
        <w:tab/>
        <w:t>peněžitý dluh nebo</w:t>
      </w:r>
    </w:p>
    <w:p w14:paraId="6A66BA22" w14:textId="77777777" w:rsidR="000839A4" w:rsidRPr="000839A4" w:rsidRDefault="000839A4" w:rsidP="000839A4">
      <w:pPr>
        <w:tabs>
          <w:tab w:val="left" w:pos="357"/>
        </w:tabs>
        <w:spacing w:before="0"/>
        <w:ind w:left="357" w:hanging="357"/>
        <w:rPr>
          <w:szCs w:val="24"/>
        </w:rPr>
      </w:pPr>
      <w:r w:rsidRPr="000839A4">
        <w:rPr>
          <w:szCs w:val="24"/>
        </w:rPr>
        <w:t>d)</w:t>
      </w:r>
      <w:r w:rsidRPr="000839A4">
        <w:rPr>
          <w:szCs w:val="24"/>
        </w:rPr>
        <w:tab/>
        <w:t>výslovné prohlášení, že uvedl úplné a pravdivé údaje.</w:t>
      </w:r>
    </w:p>
    <w:p w14:paraId="01FF8D56" w14:textId="77777777" w:rsidR="000839A4" w:rsidRPr="000839A4" w:rsidRDefault="000839A4" w:rsidP="000839A4">
      <w:pPr>
        <w:tabs>
          <w:tab w:val="num" w:pos="782"/>
          <w:tab w:val="left" w:pos="851"/>
        </w:tabs>
        <w:spacing w:before="120" w:after="120"/>
        <w:outlineLvl w:val="6"/>
      </w:pPr>
      <w:r w:rsidRPr="000839A4">
        <w:t>(4) Rozhodným dnem pro sestavení prohlášení o majetku je den oznámení výzvy k podání prohlášení o majetku, není-li v této výzvě stanoven jiný rozhodný den.</w:t>
      </w:r>
    </w:p>
    <w:p w14:paraId="43DDCDB2" w14:textId="77777777" w:rsidR="000839A4" w:rsidRPr="000839A4" w:rsidRDefault="000839A4" w:rsidP="000839A4">
      <w:pPr>
        <w:tabs>
          <w:tab w:val="num" w:pos="782"/>
          <w:tab w:val="left" w:pos="851"/>
        </w:tabs>
        <w:spacing w:before="120" w:after="120"/>
        <w:outlineLvl w:val="6"/>
      </w:pPr>
      <w:r w:rsidRPr="000839A4">
        <w:t>(5) Podpis poplatníka na prohlášení o majetku, které není podáno ústně do protokolu nebo prostřednictvím datové zprávy, musí být úředně ověřen.</w:t>
      </w:r>
    </w:p>
    <w:p w14:paraId="2F28FB03" w14:textId="77777777" w:rsidR="000839A4" w:rsidRPr="000839A4" w:rsidRDefault="000839A4" w:rsidP="000839A4">
      <w:pPr>
        <w:keepNext/>
        <w:ind w:firstLine="0"/>
        <w:jc w:val="center"/>
        <w:rPr>
          <w:szCs w:val="24"/>
        </w:rPr>
      </w:pPr>
      <w:r w:rsidRPr="000839A4">
        <w:rPr>
          <w:szCs w:val="24"/>
        </w:rPr>
        <w:t>§ 38ze</w:t>
      </w:r>
    </w:p>
    <w:p w14:paraId="5232684C" w14:textId="77777777" w:rsidR="000839A4" w:rsidRPr="000839A4" w:rsidRDefault="000839A4" w:rsidP="000839A4">
      <w:pPr>
        <w:keepNext/>
        <w:ind w:firstLine="0"/>
        <w:jc w:val="center"/>
        <w:rPr>
          <w:b/>
          <w:szCs w:val="24"/>
        </w:rPr>
      </w:pPr>
      <w:r w:rsidRPr="000839A4">
        <w:rPr>
          <w:b/>
          <w:szCs w:val="24"/>
        </w:rPr>
        <w:t>Zvláštní ustanovení o náležitostech prohlášení o majetku</w:t>
      </w:r>
    </w:p>
    <w:p w14:paraId="72D80D03" w14:textId="77777777" w:rsidR="000839A4" w:rsidRPr="000839A4" w:rsidRDefault="000839A4" w:rsidP="000839A4">
      <w:pPr>
        <w:tabs>
          <w:tab w:val="num" w:pos="782"/>
          <w:tab w:val="left" w:pos="851"/>
        </w:tabs>
        <w:spacing w:before="120" w:after="120"/>
        <w:outlineLvl w:val="6"/>
      </w:pPr>
      <w:r w:rsidRPr="000839A4">
        <w:t>(1) V prohlášení o majetku není poplatník povinen uvést údaje, které může správce daně zjistit z rejstříků a evidencí, do kterých má přístup. Tyto údaje správce daně zveřejní na úřední desce a způsobem umožňujícím dálkový přístup.</w:t>
      </w:r>
    </w:p>
    <w:p w14:paraId="65783163" w14:textId="77777777" w:rsidR="000839A4" w:rsidRPr="000839A4" w:rsidRDefault="000839A4" w:rsidP="000839A4">
      <w:pPr>
        <w:tabs>
          <w:tab w:val="num" w:pos="782"/>
          <w:tab w:val="left" w:pos="851"/>
        </w:tabs>
        <w:spacing w:before="120" w:after="120"/>
        <w:outlineLvl w:val="6"/>
      </w:pPr>
      <w:r w:rsidRPr="000839A4">
        <w:t>(2) Pokud souhrnná hodnota majetku, který je poplatník v prohlášení o majetku povinen uvést, nepřesahuje 10 000 000 Kč, poplatník v prohlášení o majetku může uvést pouze tuto skutečnost a výslovné prohlášení, že tento údaj je pravdivý.</w:t>
      </w:r>
    </w:p>
    <w:p w14:paraId="4F0B8233" w14:textId="77777777" w:rsidR="000839A4" w:rsidRPr="000839A4" w:rsidRDefault="000839A4" w:rsidP="000839A4">
      <w:pPr>
        <w:tabs>
          <w:tab w:val="num" w:pos="782"/>
          <w:tab w:val="left" w:pos="851"/>
        </w:tabs>
        <w:spacing w:before="120" w:after="120"/>
        <w:outlineLvl w:val="6"/>
      </w:pPr>
      <w:r w:rsidRPr="000839A4">
        <w:t>(3) Poplatník není v prohlášení o majetku povinen uvést</w:t>
      </w:r>
    </w:p>
    <w:p w14:paraId="078EB333"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movitou věc, jejíž hodnota nepřesahuje 100 000 Kč, nebo</w:t>
      </w:r>
    </w:p>
    <w:p w14:paraId="087D68BF"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peněžitý dluh nepřesahující 100 000 Kč.</w:t>
      </w:r>
    </w:p>
    <w:p w14:paraId="4E282A39" w14:textId="77777777" w:rsidR="000839A4" w:rsidRPr="000839A4" w:rsidRDefault="000839A4" w:rsidP="000839A4">
      <w:pPr>
        <w:keepNext/>
        <w:ind w:firstLine="0"/>
        <w:jc w:val="center"/>
        <w:rPr>
          <w:szCs w:val="24"/>
        </w:rPr>
      </w:pPr>
      <w:r w:rsidRPr="000839A4">
        <w:rPr>
          <w:szCs w:val="24"/>
        </w:rPr>
        <w:t>§ 38zf</w:t>
      </w:r>
    </w:p>
    <w:p w14:paraId="75E8A771" w14:textId="77777777" w:rsidR="000839A4" w:rsidRPr="000839A4" w:rsidRDefault="000839A4" w:rsidP="000839A4">
      <w:pPr>
        <w:keepNext/>
        <w:ind w:firstLine="0"/>
        <w:jc w:val="center"/>
        <w:rPr>
          <w:b/>
          <w:szCs w:val="24"/>
        </w:rPr>
      </w:pPr>
      <w:r w:rsidRPr="000839A4">
        <w:rPr>
          <w:b/>
          <w:szCs w:val="24"/>
        </w:rPr>
        <w:t>Zvláštní ustanovení o vratitelném přeplatku</w:t>
      </w:r>
    </w:p>
    <w:p w14:paraId="796C98FA" w14:textId="77777777" w:rsidR="000839A4" w:rsidRPr="000839A4" w:rsidRDefault="000839A4" w:rsidP="000839A4">
      <w:pPr>
        <w:tabs>
          <w:tab w:val="num" w:pos="782"/>
          <w:tab w:val="left" w:pos="851"/>
        </w:tabs>
        <w:spacing w:before="120" w:after="120"/>
        <w:outlineLvl w:val="6"/>
      </w:pPr>
      <w:r w:rsidRPr="000839A4">
        <w:t xml:space="preserve">Pokud poplatník podá daňové přiznání nebo dodatečné daňové přiznání současně s žádostí o vrácení vratitelného přeplatku před uplynutím lhůty stanovené pro podání daňového přiznání </w:t>
      </w:r>
      <w:r w:rsidRPr="000839A4">
        <w:lastRenderedPageBreak/>
        <w:t>nebo dodatečného daňového přiznání, hledí se na žádost jako na podanou v poslední den lhůty pro podání daňového přiznání nebo dodatečného daňového přiznání.</w:t>
      </w:r>
    </w:p>
    <w:p w14:paraId="5635A3A2" w14:textId="77777777" w:rsidR="000839A4" w:rsidRPr="000839A4" w:rsidRDefault="000839A4" w:rsidP="000839A4">
      <w:pPr>
        <w:keepNext/>
        <w:ind w:firstLine="0"/>
        <w:jc w:val="center"/>
        <w:rPr>
          <w:szCs w:val="24"/>
        </w:rPr>
      </w:pPr>
      <w:r w:rsidRPr="000839A4">
        <w:rPr>
          <w:szCs w:val="24"/>
        </w:rPr>
        <w:t>§ 38zg</w:t>
      </w:r>
    </w:p>
    <w:p w14:paraId="62D35E95" w14:textId="77777777" w:rsidR="000839A4" w:rsidRPr="000839A4" w:rsidRDefault="000839A4" w:rsidP="000839A4">
      <w:pPr>
        <w:keepNext/>
        <w:ind w:firstLine="0"/>
        <w:jc w:val="center"/>
        <w:rPr>
          <w:b/>
          <w:szCs w:val="24"/>
        </w:rPr>
      </w:pPr>
      <w:r w:rsidRPr="000839A4">
        <w:rPr>
          <w:b/>
          <w:szCs w:val="24"/>
        </w:rPr>
        <w:t>Rozložení úhrady daně na splátky při přemístění majetku bez změny vlastnictví</w:t>
      </w:r>
    </w:p>
    <w:p w14:paraId="61E06713" w14:textId="77777777" w:rsidR="000839A4" w:rsidRPr="000839A4" w:rsidRDefault="000839A4" w:rsidP="000839A4">
      <w:pPr>
        <w:tabs>
          <w:tab w:val="num" w:pos="782"/>
          <w:tab w:val="left" w:pos="851"/>
        </w:tabs>
        <w:spacing w:before="120" w:after="120"/>
        <w:outlineLvl w:val="6"/>
      </w:pPr>
      <w:r w:rsidRPr="000839A4">
        <w:t>(1) Na žádost poplatníka daně z příjmů právnických osob povolí správce daně rozložení úhrady části daně z příjmů právnických osob připadající na přemístění majetku bez změny vlastnictví na splátky na dobu nejvýše 5 let ode dne splatnosti daně, pokud je majetek přemístěn bez změny vlastnictví z České republiky do jiného členského státu Evropské unie nebo státu tvořícího Evropský hospodářský prostor, který se kterým má Česká republika nebo Evropská unie uzavřenu dohodu, která je v tomto státě a v České republice prováděna, o vzájemné pomoci při vymáhání daňových pohledávek rovnocenné vzájemné pomoci upravené příslušným právním předpisem Evropské unie</w:t>
      </w:r>
      <w:r w:rsidRPr="000839A4">
        <w:rPr>
          <w:vertAlign w:val="superscript"/>
        </w:rPr>
        <w:footnoteReference w:customMarkFollows="1" w:id="188"/>
        <w:t>141)</w:t>
      </w:r>
      <w:r w:rsidRPr="000839A4">
        <w:t xml:space="preserve"> nebo vzájemné pomoci upravené zákonem upravujícím mezinárodní pomoc při vymáhání některých finančních pohledávek.</w:t>
      </w:r>
    </w:p>
    <w:p w14:paraId="78DF21C9" w14:textId="77777777" w:rsidR="000839A4" w:rsidRPr="000839A4" w:rsidRDefault="000839A4" w:rsidP="000839A4">
      <w:pPr>
        <w:tabs>
          <w:tab w:val="num" w:pos="782"/>
          <w:tab w:val="left" w:pos="851"/>
        </w:tabs>
        <w:spacing w:before="120" w:after="120"/>
        <w:outlineLvl w:val="6"/>
      </w:pPr>
      <w:r w:rsidRPr="000839A4">
        <w:t>(2) Částí daně z příjmů právnických osob připadající na přemístění majetku bez změny vlastnictví se rozumí poměrná část daně vypočítaná podle poměru části základu daně vzniklého v důsledku přemístění majetku bez změny vlastnictví z České republiky do zahraničí k základu daně před uplatněním položek snižujících základ daně a položek odčitatelných od základu daně. V případě, že je základ daně před uplatněním položek snižujících základ daně a položek odčitatelných od základu daně nižší než základ daně vzniklý v důsledku přemístění majetku bez změny vlastnictví z České republiky do zahraničí, rozumí se částí daně z příjmů právnických osob připadající na přemístění majetku bez změny vlastnictví celá daň z příjmů právnických osob.</w:t>
      </w:r>
    </w:p>
    <w:p w14:paraId="23200CB7" w14:textId="77777777" w:rsidR="000839A4" w:rsidRPr="000839A4" w:rsidRDefault="000839A4" w:rsidP="000839A4">
      <w:pPr>
        <w:tabs>
          <w:tab w:val="num" w:pos="782"/>
          <w:tab w:val="left" w:pos="851"/>
        </w:tabs>
        <w:spacing w:before="120" w:after="120"/>
        <w:outlineLvl w:val="6"/>
      </w:pPr>
      <w:r w:rsidRPr="000839A4">
        <w:t>(3) V rozhodnutí, kterým bylo povoleno rozložení úhrady části daně na splátky, se stanoví jako podmínka pouze</w:t>
      </w:r>
    </w:p>
    <w:p w14:paraId="1F948327"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dodržení lhůty splatnosti jednotlivých splátek a</w:t>
      </w:r>
    </w:p>
    <w:p w14:paraId="1F782B43"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poskytnutí přiměřené formy zajištění, je-li v souvislosti s úhradou této části daně správcem daně vyžadováno s ohledem na riziko, že tato část daně nebude později uhrazena.</w:t>
      </w:r>
    </w:p>
    <w:p w14:paraId="602076BD" w14:textId="77777777" w:rsidR="000839A4" w:rsidRPr="000839A4" w:rsidRDefault="000839A4" w:rsidP="000839A4">
      <w:pPr>
        <w:tabs>
          <w:tab w:val="num" w:pos="782"/>
          <w:tab w:val="left" w:pos="851"/>
        </w:tabs>
        <w:spacing w:before="120" w:after="120"/>
        <w:outlineLvl w:val="6"/>
      </w:pPr>
      <w:r w:rsidRPr="000839A4">
        <w:t>(4) Rozhodnutí, kterým bylo povoleno rozložení úhrady části daně na splátky, pozbývá účinnosti také dnem, kdy</w:t>
      </w:r>
    </w:p>
    <w:p w14:paraId="587822DA"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poplatník pozbyl vlastnické právo k přemístěnému majetku, nebo</w:t>
      </w:r>
    </w:p>
    <w:p w14:paraId="13DDD825"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byl přemístěný majetek přemístěn bez změny vlastnictví do jiného státu než do státu podle odstavce 1.</w:t>
      </w:r>
    </w:p>
    <w:p w14:paraId="40B9B9D7" w14:textId="77777777" w:rsidR="000839A4" w:rsidRPr="000839A4" w:rsidRDefault="000839A4" w:rsidP="000839A4">
      <w:pPr>
        <w:tabs>
          <w:tab w:val="num" w:pos="782"/>
          <w:tab w:val="left" w:pos="851"/>
        </w:tabs>
        <w:spacing w:before="120" w:after="120"/>
        <w:outlineLvl w:val="6"/>
      </w:pPr>
      <w:r w:rsidRPr="000839A4">
        <w:t xml:space="preserve">(5) Pokud v důsledku stanovení daně z příjmů právnických osob dojde ke snížení části daně z příjmů právnických osob připadající na přemístění majetku bez změny vlastnictví, pozbývá rozhodnutí o rozložení úhrady části daně na splátky v části, o kterou posečkaná částka převyšuje část daně z příjmů právnických osob připadající na přemístění majetku bez změny vlastnictví vypočítanou z nově zjištěné daně, účinnosti patnáctým dnem ode dne právní moci platebního výměru nebo dodatečného platebního výměru. Výše zbývajících splátek se vypočítá jako poměr části daně z příjmů právnických osob připadající na přemístění majetku bez změny vlastnictví vypočítané z nově zjištěné daně snížené o již zaplacené splátky a počtu zbývajících splátek. O </w:t>
      </w:r>
      <w:r w:rsidRPr="000839A4">
        <w:lastRenderedPageBreak/>
        <w:t>tomto postupu správce daně poplatníka poučí v rozhodnutí, kterým bylo povoleno rozložení úhrady části daně na splátky.</w:t>
      </w:r>
    </w:p>
    <w:p w14:paraId="301B4200" w14:textId="77777777" w:rsidR="000839A4" w:rsidRPr="000839A4" w:rsidRDefault="000839A4" w:rsidP="000839A4">
      <w:pPr>
        <w:keepNext/>
        <w:ind w:firstLine="0"/>
        <w:jc w:val="center"/>
        <w:rPr>
          <w:szCs w:val="24"/>
        </w:rPr>
      </w:pPr>
      <w:r w:rsidRPr="000839A4">
        <w:rPr>
          <w:szCs w:val="24"/>
        </w:rPr>
        <w:t>§ 38zh</w:t>
      </w:r>
    </w:p>
    <w:p w14:paraId="20BFCC20" w14:textId="77777777" w:rsidR="000839A4" w:rsidRPr="000839A4" w:rsidRDefault="000839A4" w:rsidP="000839A4">
      <w:pPr>
        <w:keepNext/>
        <w:ind w:firstLine="0"/>
        <w:jc w:val="center"/>
        <w:rPr>
          <w:b/>
          <w:szCs w:val="24"/>
        </w:rPr>
      </w:pPr>
      <w:r w:rsidRPr="000839A4">
        <w:rPr>
          <w:b/>
          <w:szCs w:val="24"/>
        </w:rPr>
        <w:t>Zvláštní ustanovení o uplatnění daňové ztráty jako položky odčitatelné od základu daně</w:t>
      </w:r>
    </w:p>
    <w:p w14:paraId="79069E18" w14:textId="77777777" w:rsidR="000839A4" w:rsidRPr="000839A4" w:rsidRDefault="000839A4" w:rsidP="000839A4">
      <w:pPr>
        <w:tabs>
          <w:tab w:val="num" w:pos="782"/>
          <w:tab w:val="left" w:pos="851"/>
        </w:tabs>
        <w:spacing w:before="120" w:after="120"/>
        <w:outlineLvl w:val="6"/>
      </w:pPr>
      <w:r w:rsidRPr="000839A4">
        <w:t xml:space="preserve">Pokud poplatník podá současně s daňovým přiznáním nebo dodatečným daňovým přiznáním za zdaňovací období </w:t>
      </w:r>
      <w:r w:rsidRPr="000839A4">
        <w:rPr>
          <w:strike/>
        </w:rPr>
        <w:t xml:space="preserve">nebo období, za které se podává daňové přiznání, ve </w:t>
      </w:r>
      <w:proofErr w:type="gramStart"/>
      <w:r w:rsidRPr="000839A4">
        <w:rPr>
          <w:strike/>
        </w:rPr>
        <w:t>kterých</w:t>
      </w:r>
      <w:r w:rsidRPr="000839A4">
        <w:t xml:space="preserve"> </w:t>
      </w:r>
      <w:r w:rsidRPr="000839A4">
        <w:rPr>
          <w:b/>
        </w:rPr>
        <w:t>, ve</w:t>
      </w:r>
      <w:proofErr w:type="gramEnd"/>
      <w:r w:rsidRPr="000839A4">
        <w:rPr>
          <w:b/>
        </w:rPr>
        <w:t xml:space="preserve"> kterém </w:t>
      </w:r>
      <w:r w:rsidRPr="000839A4">
        <w:t>mu vznikla daňová ztráta, dodatečné daňové přiznání za zdaňovací období, ve kterém uplatní tuto daňovou ztrátu jako odčitatelnou položku od základu daně, hledí se na toto dodatečné daňové přiznání jako na podané v den, kdy byla tato daňová ztráta pravomocně stanovena. Podání dalšího dodatečného daňového přiznání za stejné období před tímto dnem není přípustné a nezahajuje další řízení. Údaje uvedené v takto podaném dodatečném daňovém přiznání se využijí při stanovení daně, pokud to stav řízení umožňuje.</w:t>
      </w:r>
    </w:p>
    <w:p w14:paraId="0DEC00F3" w14:textId="77777777" w:rsidR="000839A4" w:rsidRPr="000839A4" w:rsidRDefault="000839A4" w:rsidP="000839A4">
      <w:pPr>
        <w:keepNext/>
        <w:spacing w:before="360"/>
        <w:ind w:firstLine="0"/>
        <w:jc w:val="center"/>
        <w:outlineLvl w:val="0"/>
        <w:rPr>
          <w:caps/>
          <w:szCs w:val="24"/>
        </w:rPr>
      </w:pPr>
      <w:r w:rsidRPr="000839A4">
        <w:rPr>
          <w:caps/>
          <w:szCs w:val="24"/>
        </w:rPr>
        <w:t>ČÁST PÁTÁ</w:t>
      </w:r>
    </w:p>
    <w:p w14:paraId="31ED1211" w14:textId="77777777" w:rsidR="000839A4" w:rsidRPr="000839A4" w:rsidRDefault="000839A4" w:rsidP="000839A4">
      <w:pPr>
        <w:keepNext/>
        <w:spacing w:before="360"/>
        <w:ind w:firstLine="0"/>
        <w:jc w:val="center"/>
        <w:outlineLvl w:val="0"/>
        <w:rPr>
          <w:b/>
          <w:caps/>
          <w:szCs w:val="24"/>
        </w:rPr>
      </w:pPr>
      <w:r w:rsidRPr="000839A4">
        <w:rPr>
          <w:b/>
          <w:caps/>
          <w:szCs w:val="24"/>
        </w:rPr>
        <w:t xml:space="preserve">REGISTRACE </w:t>
      </w:r>
    </w:p>
    <w:p w14:paraId="6EDADAF5" w14:textId="77777777" w:rsidR="000839A4" w:rsidRPr="000839A4" w:rsidRDefault="000839A4" w:rsidP="000839A4">
      <w:pPr>
        <w:keepNext/>
        <w:ind w:firstLine="0"/>
        <w:jc w:val="center"/>
        <w:rPr>
          <w:szCs w:val="24"/>
        </w:rPr>
      </w:pPr>
      <w:r w:rsidRPr="000839A4">
        <w:rPr>
          <w:szCs w:val="24"/>
        </w:rPr>
        <w:t>§ 39</w:t>
      </w:r>
    </w:p>
    <w:p w14:paraId="5D0EDF77" w14:textId="77777777" w:rsidR="000839A4" w:rsidRPr="000839A4" w:rsidRDefault="000839A4" w:rsidP="000839A4">
      <w:pPr>
        <w:keepNext/>
        <w:ind w:firstLine="0"/>
        <w:jc w:val="center"/>
        <w:rPr>
          <w:b/>
          <w:szCs w:val="24"/>
        </w:rPr>
      </w:pPr>
      <w:r w:rsidRPr="000839A4">
        <w:rPr>
          <w:b/>
          <w:szCs w:val="24"/>
        </w:rPr>
        <w:t>Registrační povinnost plátce příjmu ze závislé činnosti</w:t>
      </w:r>
    </w:p>
    <w:p w14:paraId="1E9FB8D1" w14:textId="77777777" w:rsidR="000839A4" w:rsidRPr="000839A4" w:rsidRDefault="000839A4" w:rsidP="000839A4">
      <w:pPr>
        <w:tabs>
          <w:tab w:val="num" w:pos="782"/>
          <w:tab w:val="left" w:pos="851"/>
        </w:tabs>
        <w:spacing w:before="120" w:after="120"/>
        <w:outlineLvl w:val="6"/>
      </w:pPr>
      <w:r w:rsidRPr="000839A4">
        <w:t>Plátce daně, který je plátcem příjmu ze závislé činnosti, je povinen podat přihlášku k registraci k dani z příjmů fyzických nebo právnických osob u příslušného správce daně nejpozději do 8 dnů ode dne, kdy mu vznikla povinnost vykonávat tímto zákonem stanovené úkony plátce daně.</w:t>
      </w:r>
    </w:p>
    <w:p w14:paraId="7081E292" w14:textId="77777777" w:rsidR="000839A4" w:rsidRPr="000839A4" w:rsidRDefault="000839A4" w:rsidP="000839A4">
      <w:pPr>
        <w:keepNext/>
        <w:ind w:firstLine="0"/>
        <w:jc w:val="center"/>
        <w:rPr>
          <w:szCs w:val="24"/>
        </w:rPr>
      </w:pPr>
      <w:r w:rsidRPr="000839A4">
        <w:rPr>
          <w:szCs w:val="24"/>
        </w:rPr>
        <w:t>§ 39a</w:t>
      </w:r>
    </w:p>
    <w:p w14:paraId="41DDE12B" w14:textId="77777777" w:rsidR="000839A4" w:rsidRPr="000839A4" w:rsidRDefault="000839A4" w:rsidP="000839A4">
      <w:pPr>
        <w:keepNext/>
        <w:ind w:firstLine="0"/>
        <w:jc w:val="center"/>
        <w:rPr>
          <w:b/>
          <w:szCs w:val="24"/>
        </w:rPr>
      </w:pPr>
      <w:r w:rsidRPr="000839A4">
        <w:rPr>
          <w:b/>
          <w:szCs w:val="24"/>
        </w:rPr>
        <w:t>Registrační povinnost poplatníků daně z příjmů právnických osob</w:t>
      </w:r>
    </w:p>
    <w:p w14:paraId="7813F846" w14:textId="77777777" w:rsidR="000839A4" w:rsidRPr="000839A4" w:rsidRDefault="000839A4" w:rsidP="000839A4">
      <w:pPr>
        <w:tabs>
          <w:tab w:val="num" w:pos="782"/>
          <w:tab w:val="left" w:pos="851"/>
        </w:tabs>
        <w:spacing w:before="120" w:after="120"/>
        <w:outlineLvl w:val="6"/>
      </w:pPr>
      <w:r w:rsidRPr="000839A4">
        <w:t>(1) Poplatník daně z příjmů právnických osob uvedený v § 17 odst. 3 je povinen podat přihlášku k registraci k dani z příjmů právnických osob u příslušného správce daně do 15 dnů od svého vzniku.</w:t>
      </w:r>
    </w:p>
    <w:p w14:paraId="3128847A" w14:textId="77777777" w:rsidR="000839A4" w:rsidRPr="000839A4" w:rsidRDefault="000839A4" w:rsidP="000839A4">
      <w:pPr>
        <w:tabs>
          <w:tab w:val="num" w:pos="782"/>
          <w:tab w:val="left" w:pos="851"/>
        </w:tabs>
        <w:spacing w:before="120" w:after="120"/>
        <w:outlineLvl w:val="6"/>
      </w:pPr>
      <w:r w:rsidRPr="000839A4">
        <w:t>(2) Poplatník daně z příjmů právnických osob uvedený v § 17 odst. 4, jemuž vznikla na území České republiky stálá provozovna, je povinen podat přihlášku k registraci k dani z příjmů právnických osob u příslušného správce daně do 15 dnů od vzniku této provozovny.</w:t>
      </w:r>
    </w:p>
    <w:p w14:paraId="7A6EF749" w14:textId="77777777" w:rsidR="000839A4" w:rsidRPr="000839A4" w:rsidRDefault="000839A4" w:rsidP="000839A4">
      <w:pPr>
        <w:tabs>
          <w:tab w:val="num" w:pos="782"/>
          <w:tab w:val="left" w:pos="851"/>
        </w:tabs>
        <w:spacing w:before="120" w:after="120"/>
        <w:outlineLvl w:val="6"/>
      </w:pPr>
      <w:proofErr w:type="gramStart"/>
      <w:r w:rsidRPr="000839A4">
        <w:t>(3) Poplatník</w:t>
      </w:r>
      <w:proofErr w:type="gramEnd"/>
      <w:r w:rsidRPr="000839A4">
        <w:t xml:space="preserve"> daně z příjmů právnických osob uvedený v § 17 odst. 4 je povinen podat přihlášku k registraci k dani z příjmů právnických osob do 15 dnů ode dne, ve </w:t>
      </w:r>
      <w:proofErr w:type="gramStart"/>
      <w:r w:rsidRPr="000839A4">
        <w:t>kterém</w:t>
      </w:r>
      <w:proofErr w:type="gramEnd"/>
    </w:p>
    <w:p w14:paraId="0E11A9DA"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započal vykonávat činnost na území České republiky, která je zdrojem příjmů,</w:t>
      </w:r>
    </w:p>
    <w:p w14:paraId="56ADCD43"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přijal příjmy ze zdrojů na území České republiky,</w:t>
      </w:r>
    </w:p>
    <w:p w14:paraId="64A85E9A" w14:textId="77777777" w:rsidR="000839A4" w:rsidRPr="000839A4" w:rsidRDefault="000839A4" w:rsidP="000839A4">
      <w:pPr>
        <w:tabs>
          <w:tab w:val="left" w:pos="357"/>
        </w:tabs>
        <w:spacing w:before="0"/>
        <w:ind w:left="357" w:hanging="357"/>
        <w:rPr>
          <w:szCs w:val="24"/>
        </w:rPr>
      </w:pPr>
      <w:r w:rsidRPr="000839A4">
        <w:rPr>
          <w:szCs w:val="24"/>
        </w:rPr>
        <w:t>c)</w:t>
      </w:r>
      <w:r w:rsidRPr="000839A4">
        <w:rPr>
          <w:szCs w:val="24"/>
        </w:rPr>
        <w:tab/>
        <w:t>obdržel povolení nebo získal oprávnění vykonávat činnost, která je zdrojem příjmů, vydané tuzemským orgánem veřejné moci.</w:t>
      </w:r>
    </w:p>
    <w:p w14:paraId="2A421CED" w14:textId="77777777" w:rsidR="000839A4" w:rsidRPr="000839A4" w:rsidRDefault="000839A4" w:rsidP="000839A4">
      <w:pPr>
        <w:tabs>
          <w:tab w:val="num" w:pos="782"/>
          <w:tab w:val="left" w:pos="851"/>
        </w:tabs>
        <w:spacing w:before="120" w:after="120"/>
        <w:outlineLvl w:val="6"/>
      </w:pPr>
      <w:r w:rsidRPr="000839A4">
        <w:t>(4) Veřejně prospěšný poplatník a společenství vlastníků jednotek jsou povinni podat přihlášku k registraci k dani z příjmů právnických osob u příslušného správce daně do 15 dnů ode dne, kdy začnou vykonávat činnost, která je zdrojem příjmů, nebo začnou přijímat příjmy</w:t>
      </w:r>
    </w:p>
    <w:p w14:paraId="455C87EA" w14:textId="77777777" w:rsidR="000839A4" w:rsidRPr="000839A4" w:rsidRDefault="000839A4" w:rsidP="000839A4">
      <w:pPr>
        <w:tabs>
          <w:tab w:val="num" w:pos="782"/>
          <w:tab w:val="left" w:pos="851"/>
        </w:tabs>
        <w:spacing w:before="120" w:after="120"/>
        <w:outlineLvl w:val="6"/>
      </w:pPr>
      <w:r w:rsidRPr="000839A4">
        <w:lastRenderedPageBreak/>
        <w:t>(5) Poplatník daně z příjmů právnických osob uvedený v § 17 odst. 4, veřejně prospěšný poplatník a společenství vlastníků jednotek nejsou povinni podat přihlášku k registraci, pokud přijímají pouze příjmy,</w:t>
      </w:r>
    </w:p>
    <w:p w14:paraId="09D6F15B"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které nejsou předmětem daně,</w:t>
      </w:r>
    </w:p>
    <w:p w14:paraId="15F5DF44"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které jsou osvobozené od daně, nebo</w:t>
      </w:r>
    </w:p>
    <w:p w14:paraId="1482F7D1" w14:textId="77777777" w:rsidR="000839A4" w:rsidRPr="000839A4" w:rsidRDefault="000839A4" w:rsidP="000839A4">
      <w:pPr>
        <w:tabs>
          <w:tab w:val="left" w:pos="357"/>
        </w:tabs>
        <w:spacing w:before="0"/>
        <w:ind w:left="357" w:hanging="357"/>
        <w:rPr>
          <w:szCs w:val="24"/>
        </w:rPr>
      </w:pPr>
      <w:r w:rsidRPr="000839A4">
        <w:rPr>
          <w:szCs w:val="24"/>
        </w:rPr>
        <w:t>c)</w:t>
      </w:r>
      <w:r w:rsidRPr="000839A4">
        <w:rPr>
          <w:szCs w:val="24"/>
        </w:rPr>
        <w:tab/>
        <w:t>z nichž je daň vybíraná srážkou podle zvláštní sazby daně.</w:t>
      </w:r>
    </w:p>
    <w:p w14:paraId="7F69C4AB" w14:textId="77777777" w:rsidR="000839A4" w:rsidRPr="000839A4" w:rsidRDefault="000839A4" w:rsidP="000839A4">
      <w:pPr>
        <w:keepNext/>
        <w:spacing w:before="360"/>
        <w:ind w:firstLine="0"/>
        <w:jc w:val="center"/>
        <w:outlineLvl w:val="0"/>
        <w:rPr>
          <w:caps/>
          <w:szCs w:val="24"/>
        </w:rPr>
      </w:pPr>
      <w:r w:rsidRPr="000839A4">
        <w:rPr>
          <w:caps/>
          <w:szCs w:val="24"/>
        </w:rPr>
        <w:t>ČÁST ŠESTÁ</w:t>
      </w:r>
    </w:p>
    <w:p w14:paraId="17AAD9B9" w14:textId="77777777" w:rsidR="000839A4" w:rsidRPr="000839A4" w:rsidRDefault="000839A4" w:rsidP="000839A4">
      <w:pPr>
        <w:keepNext/>
        <w:spacing w:before="360"/>
        <w:ind w:firstLine="0"/>
        <w:jc w:val="center"/>
        <w:outlineLvl w:val="0"/>
        <w:rPr>
          <w:b/>
          <w:caps/>
          <w:szCs w:val="24"/>
        </w:rPr>
      </w:pPr>
      <w:r w:rsidRPr="000839A4">
        <w:rPr>
          <w:b/>
          <w:caps/>
          <w:szCs w:val="24"/>
        </w:rPr>
        <w:t>PRAVOMOCI VLÁDY A MINISTERSTVA FINANCÍ</w:t>
      </w:r>
    </w:p>
    <w:p w14:paraId="106F3C97" w14:textId="77777777" w:rsidR="000839A4" w:rsidRPr="000839A4" w:rsidRDefault="000839A4" w:rsidP="000839A4">
      <w:pPr>
        <w:keepNext/>
        <w:ind w:firstLine="0"/>
        <w:jc w:val="center"/>
        <w:rPr>
          <w:szCs w:val="24"/>
        </w:rPr>
      </w:pPr>
      <w:r w:rsidRPr="000839A4">
        <w:rPr>
          <w:szCs w:val="24"/>
        </w:rPr>
        <w:t>§ 39p</w:t>
      </w:r>
    </w:p>
    <w:p w14:paraId="1674310B" w14:textId="77777777" w:rsidR="000839A4" w:rsidRPr="000839A4" w:rsidRDefault="000839A4" w:rsidP="000839A4">
      <w:pPr>
        <w:keepNext/>
        <w:ind w:firstLine="0"/>
        <w:jc w:val="center"/>
        <w:rPr>
          <w:b/>
          <w:szCs w:val="24"/>
        </w:rPr>
      </w:pPr>
      <w:r w:rsidRPr="000839A4">
        <w:rPr>
          <w:b/>
          <w:szCs w:val="24"/>
        </w:rPr>
        <w:t>Pravomoci vlády</w:t>
      </w:r>
    </w:p>
    <w:p w14:paraId="028A31B7" w14:textId="77777777" w:rsidR="000839A4" w:rsidRPr="000839A4" w:rsidRDefault="000839A4" w:rsidP="000839A4">
      <w:pPr>
        <w:tabs>
          <w:tab w:val="num" w:pos="782"/>
          <w:tab w:val="left" w:pos="851"/>
        </w:tabs>
        <w:spacing w:before="120" w:after="120"/>
        <w:outlineLvl w:val="6"/>
      </w:pPr>
      <w:r w:rsidRPr="000839A4">
        <w:t>Po vyhlášení stavu ohrožení státu nebo válečného stavu může vláda na dobu trvání stavu ohrožení státu nebo válečného stavu svým nařízením v nezbytném rozsahu pro zajištění nouzového nebo válečného státního rozpočtu</w:t>
      </w:r>
    </w:p>
    <w:p w14:paraId="0AA1EE3C"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provést úpravu sazeb daně, nejvýše však o 5 procentních bodů,</w:t>
      </w:r>
    </w:p>
    <w:p w14:paraId="013D227C"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osvobodit od</w:t>
      </w:r>
    </w:p>
    <w:p w14:paraId="21609960" w14:textId="77777777" w:rsidR="000839A4" w:rsidRPr="000839A4" w:rsidRDefault="000839A4" w:rsidP="000839A4">
      <w:pPr>
        <w:tabs>
          <w:tab w:val="left" w:pos="357"/>
        </w:tabs>
        <w:spacing w:before="0"/>
        <w:ind w:left="714" w:hanging="357"/>
        <w:rPr>
          <w:szCs w:val="24"/>
        </w:rPr>
      </w:pPr>
      <w:r w:rsidRPr="000839A4">
        <w:rPr>
          <w:szCs w:val="24"/>
        </w:rPr>
        <w:t>1.</w:t>
      </w:r>
      <w:r w:rsidRPr="000839A4">
        <w:rPr>
          <w:szCs w:val="24"/>
        </w:rPr>
        <w:tab/>
        <w:t>daně z příjmů příjmy ze služebního poměru příslušníků ozbrojených sil a bezpečnostních sborů a příjmy zaměstnanců havarijních služeb za činnost v těchto složkách,</w:t>
      </w:r>
    </w:p>
    <w:p w14:paraId="11E8B426" w14:textId="77777777" w:rsidR="000839A4" w:rsidRPr="000839A4" w:rsidRDefault="000839A4" w:rsidP="000839A4">
      <w:pPr>
        <w:tabs>
          <w:tab w:val="left" w:pos="357"/>
        </w:tabs>
        <w:spacing w:before="0"/>
        <w:ind w:left="714" w:hanging="357"/>
        <w:rPr>
          <w:szCs w:val="24"/>
        </w:rPr>
      </w:pPr>
      <w:r w:rsidRPr="000839A4">
        <w:rPr>
          <w:szCs w:val="24"/>
        </w:rPr>
        <w:t>2.</w:t>
      </w:r>
      <w:r w:rsidRPr="000839A4">
        <w:rPr>
          <w:szCs w:val="24"/>
        </w:rPr>
        <w:tab/>
        <w:t>daně z příjmů právnických osob ozbrojené síly, ozbrojené bezpečnostní sbory a havarijní služby.</w:t>
      </w:r>
    </w:p>
    <w:p w14:paraId="2753DDB3" w14:textId="77777777" w:rsidR="000839A4" w:rsidRPr="000839A4" w:rsidRDefault="000839A4" w:rsidP="000839A4">
      <w:pPr>
        <w:keepNext/>
        <w:ind w:firstLine="0"/>
        <w:jc w:val="center"/>
        <w:rPr>
          <w:szCs w:val="24"/>
        </w:rPr>
      </w:pPr>
      <w:r w:rsidRPr="000839A4">
        <w:rPr>
          <w:szCs w:val="24"/>
        </w:rPr>
        <w:t>§ 39q</w:t>
      </w:r>
    </w:p>
    <w:p w14:paraId="576CED96" w14:textId="77777777" w:rsidR="000839A4" w:rsidRPr="000839A4" w:rsidRDefault="000839A4" w:rsidP="000839A4">
      <w:pPr>
        <w:keepNext/>
        <w:ind w:firstLine="0"/>
        <w:jc w:val="center"/>
        <w:rPr>
          <w:b/>
          <w:szCs w:val="24"/>
        </w:rPr>
      </w:pPr>
      <w:r w:rsidRPr="000839A4">
        <w:rPr>
          <w:b/>
          <w:szCs w:val="24"/>
        </w:rPr>
        <w:t>Pravomoci Ministerstva financí</w:t>
      </w:r>
    </w:p>
    <w:p w14:paraId="08E3759D" w14:textId="77777777" w:rsidR="000839A4" w:rsidRPr="000839A4" w:rsidRDefault="000839A4" w:rsidP="000839A4">
      <w:pPr>
        <w:tabs>
          <w:tab w:val="num" w:pos="782"/>
          <w:tab w:val="left" w:pos="851"/>
        </w:tabs>
        <w:spacing w:before="120" w:after="120"/>
        <w:outlineLvl w:val="6"/>
      </w:pPr>
      <w:r w:rsidRPr="000839A4">
        <w:t>Ministerstvo financí může ve vztahu k zahraničí</w:t>
      </w:r>
    </w:p>
    <w:p w14:paraId="1923C93A"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činit opatření k zajištění vzájemnosti nebo odvetná opatření za účelem vzájemného vyrovnání zdanění,</w:t>
      </w:r>
    </w:p>
    <w:p w14:paraId="0CEB6A99"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činit opatření k odstranění tvrdostí a nesrovnalostí,</w:t>
      </w:r>
    </w:p>
    <w:p w14:paraId="3E652FB9" w14:textId="77777777" w:rsidR="000839A4" w:rsidRPr="000839A4" w:rsidRDefault="000839A4" w:rsidP="000839A4">
      <w:pPr>
        <w:tabs>
          <w:tab w:val="left" w:pos="357"/>
        </w:tabs>
        <w:spacing w:before="0"/>
        <w:ind w:left="357" w:hanging="357"/>
        <w:rPr>
          <w:szCs w:val="24"/>
        </w:rPr>
      </w:pPr>
      <w:r w:rsidRPr="000839A4">
        <w:rPr>
          <w:szCs w:val="24"/>
        </w:rPr>
        <w:t>c)</w:t>
      </w:r>
      <w:r w:rsidRPr="000839A4">
        <w:rPr>
          <w:szCs w:val="24"/>
        </w:rPr>
        <w:tab/>
        <w:t>rozhodnout ve sporných případech o daňovém rezidentství poplatníka, o způsobu zdanění, pokud jde o poplatníky se sídlem nebo bydlištěm v zahraničí nebo o poplatníky vyslané do zahraničí za účelem výkonu práce nebo o poplatníky uvedené v § 2 odst. 2, kteří měli nejméně 10 let bydliště v zahraničí a plynou jim příjmy ze zdrojů v zahraničí.</w:t>
      </w:r>
    </w:p>
    <w:p w14:paraId="4AE49244" w14:textId="77777777" w:rsidR="000839A4" w:rsidRPr="000839A4" w:rsidRDefault="000839A4" w:rsidP="000839A4">
      <w:pPr>
        <w:keepNext/>
        <w:spacing w:before="360"/>
        <w:ind w:firstLine="0"/>
        <w:jc w:val="center"/>
        <w:outlineLvl w:val="0"/>
        <w:rPr>
          <w:caps/>
          <w:szCs w:val="24"/>
        </w:rPr>
      </w:pPr>
      <w:r w:rsidRPr="000839A4">
        <w:rPr>
          <w:caps/>
          <w:szCs w:val="24"/>
        </w:rPr>
        <w:t>ČÁST SEDMÁ</w:t>
      </w:r>
    </w:p>
    <w:p w14:paraId="3DCC0E2C" w14:textId="77777777" w:rsidR="000839A4" w:rsidRPr="000839A4" w:rsidRDefault="000839A4" w:rsidP="000839A4">
      <w:pPr>
        <w:keepNext/>
        <w:spacing w:before="360"/>
        <w:ind w:firstLine="0"/>
        <w:jc w:val="center"/>
        <w:outlineLvl w:val="0"/>
        <w:rPr>
          <w:b/>
          <w:caps/>
          <w:szCs w:val="24"/>
        </w:rPr>
      </w:pPr>
      <w:r w:rsidRPr="000839A4">
        <w:rPr>
          <w:b/>
          <w:caps/>
          <w:szCs w:val="24"/>
        </w:rPr>
        <w:t>Přechodná a závěrečná ustanovení</w:t>
      </w:r>
    </w:p>
    <w:p w14:paraId="58489529" w14:textId="77777777" w:rsidR="000839A4" w:rsidRPr="000839A4" w:rsidRDefault="000839A4" w:rsidP="000839A4">
      <w:pPr>
        <w:keepNext/>
        <w:ind w:firstLine="0"/>
        <w:jc w:val="center"/>
        <w:rPr>
          <w:szCs w:val="24"/>
        </w:rPr>
      </w:pPr>
      <w:r w:rsidRPr="000839A4">
        <w:rPr>
          <w:szCs w:val="24"/>
        </w:rPr>
        <w:t>§ 40</w:t>
      </w:r>
    </w:p>
    <w:p w14:paraId="738F244D" w14:textId="77777777" w:rsidR="000839A4" w:rsidRPr="000839A4" w:rsidRDefault="000839A4" w:rsidP="000839A4">
      <w:pPr>
        <w:tabs>
          <w:tab w:val="num" w:pos="782"/>
          <w:tab w:val="left" w:pos="851"/>
        </w:tabs>
        <w:spacing w:before="120" w:after="120"/>
        <w:outlineLvl w:val="6"/>
      </w:pPr>
      <w:r w:rsidRPr="000839A4">
        <w:t>(1) Pro odvodové a daňové povinnosti za rok 1992 a předchozí léta a při zdanění mezd zúčtovaných do prosince 1992 včetně se použijí dosavadní předpisy.</w:t>
      </w:r>
    </w:p>
    <w:p w14:paraId="55709914" w14:textId="77777777" w:rsidR="000839A4" w:rsidRPr="000839A4" w:rsidRDefault="000839A4" w:rsidP="000839A4">
      <w:pPr>
        <w:tabs>
          <w:tab w:val="num" w:pos="782"/>
          <w:tab w:val="left" w:pos="851"/>
        </w:tabs>
        <w:spacing w:before="120" w:after="120"/>
        <w:outlineLvl w:val="6"/>
      </w:pPr>
      <w:r w:rsidRPr="000839A4">
        <w:lastRenderedPageBreak/>
        <w:t>(2) Při zdanění příjmů daní z příjmů fyzických osob se od základu daně odečte též poměrná část ztráty z podnikatelské a jiné výdělečné činnosti podle § 28 odst. 5 zákona č. 389/1990 Sb., o dani z příjmů obyvatelstva.</w:t>
      </w:r>
    </w:p>
    <w:p w14:paraId="5BAD7EE3" w14:textId="77777777" w:rsidR="000839A4" w:rsidRPr="000839A4" w:rsidRDefault="000839A4" w:rsidP="000839A4">
      <w:pPr>
        <w:tabs>
          <w:tab w:val="num" w:pos="782"/>
          <w:tab w:val="left" w:pos="851"/>
        </w:tabs>
        <w:spacing w:before="120" w:after="120"/>
        <w:outlineLvl w:val="6"/>
      </w:pPr>
      <w:r w:rsidRPr="000839A4">
        <w:t>(3) Osvobození příjmů z provozu malých vodních elektráren, větrných elektráren, solárních a geotermálních zdrojů energie a zařízení na výrobu bioplynu od daně z příjmů obyvatelstva, přiznaná podle právních úprav platných před nabytím účinnosti tohoto zákona, zůstávají v platnosti až do uplynutí doby, po kterou se na tyto příjmy osvobození vztahuje; dojde-li při provozu malých vodních elektráren, u nichž jsou příjmy osvobozeny, k překročení hranice 200 tisíc kWh vyrobené energie ročně, jsou předmětem daně pouze příjmy z energie vyrobené nad tento limit. Pokud byly na základě zákona č. 145/1961 Sb., o dani z příjmu obyvatelstva, a podle zákona č. 389/1990 Sb., o dani z příjmů obyvatelstva, osvobozeny příjmy z provozu těchto zařízení, nemohou již být tyto příjmy znovu osvobozeny podle § 4 odst. 1 písm. e).</w:t>
      </w:r>
    </w:p>
    <w:p w14:paraId="29E9B683" w14:textId="77777777" w:rsidR="000839A4" w:rsidRPr="000839A4" w:rsidRDefault="000839A4" w:rsidP="000839A4">
      <w:pPr>
        <w:tabs>
          <w:tab w:val="num" w:pos="782"/>
          <w:tab w:val="left" w:pos="851"/>
        </w:tabs>
        <w:spacing w:before="120" w:after="120"/>
        <w:outlineLvl w:val="6"/>
      </w:pPr>
      <w:r w:rsidRPr="000839A4">
        <w:t>(4) Ustanovení § 36 odst. 2 písm. a) bod 8 a písm. c) se nepoužije na poměrnou část úroků a jiných výnosů z vkladů na vkladních knížkách a vkladních listech a z vkladů jim na roveň postavených včetně úroků z vkladových účtů, které připadají na tyto vklady do 31. prosince 1992. Nepoužije se též na poměrnou část základu daně vztahujícího se k příjmům podle § 8 odst. 1 písm. f) zjištěnou podle poměru doby od uzavření pojistné smlouvy před nabytím účinnosti tohoto zákona do 31. prosince 1992 k celkové době od uzavření pojistné smlouvy do okamžiku, kdy se pojistné plnění začne poskytovat poprvé.</w:t>
      </w:r>
    </w:p>
    <w:p w14:paraId="060B9696" w14:textId="77777777" w:rsidR="000839A4" w:rsidRPr="000839A4" w:rsidRDefault="000839A4" w:rsidP="000839A4">
      <w:pPr>
        <w:tabs>
          <w:tab w:val="num" w:pos="782"/>
          <w:tab w:val="left" w:pos="851"/>
        </w:tabs>
        <w:spacing w:before="120" w:after="120"/>
        <w:outlineLvl w:val="6"/>
      </w:pPr>
      <w:r w:rsidRPr="000839A4">
        <w:t>(5) Zákon č. 389/1990 Sb., o dani z příjmů obyvatelstva, se použije i po nabytí účinnosti tohoto zákona pro odklad placení daně uplatněný podle § 28 odst. 7 zákona č. 389/1990 Sb. a pro odpisování základních prostředků, které před nabytím účinnosti tohoto zákona již poplatník odpisoval podle § 28 odst. 4 zákona č. 389/1990 Sb. Po uplynutí dvou let od konce roku, v němž se toto odpisování uplatnilo poprvé, se postupuje obdobně podle odstavce 7 s výjimkou základních prostředků, jejichž zůstatková cena je nižší než 10 000 Kč a zahrne se přímo do výdajů (nákladů). Dojde-li u uvedených základních prostředků (hmotného majetku) k technickému zhodnocení, zvyšuje se o něj cena, ze které byly odpisy prováděny (vstupní cena). V případě, že dojde v průběhu roku k vyřazení uvedeného odpisovaného základního prostředku (hmotného majetku), lze jako výdaj (náklad) uplatnit odpisy v poloviční výši.</w:t>
      </w:r>
    </w:p>
    <w:p w14:paraId="059CA78D" w14:textId="77777777" w:rsidR="000839A4" w:rsidRPr="000839A4" w:rsidRDefault="000839A4" w:rsidP="000839A4">
      <w:pPr>
        <w:tabs>
          <w:tab w:val="num" w:pos="782"/>
          <w:tab w:val="left" w:pos="851"/>
        </w:tabs>
        <w:spacing w:before="120" w:after="120"/>
        <w:outlineLvl w:val="6"/>
      </w:pPr>
      <w:r w:rsidRPr="000839A4">
        <w:t>(6) Osvobození, úlevy a výjimky přiznané podle § 22 odst. 3 zákona č. 76/1952 Sb., o dani ze mzdy, ve znění pozdějších předpisů, § 16 odst. 2 zákona č. 36/1965 Sb., o dani z příjmů z literární a umělecké činnosti, ve znění pozdějších předpisů, a § 27 zákona č. 389/1990 Sb., o dani z příjmů obyvatelstva, pozbývají platnosti dnem účinnosti tohoto zákona.</w:t>
      </w:r>
    </w:p>
    <w:p w14:paraId="65D48265" w14:textId="77777777" w:rsidR="000839A4" w:rsidRPr="000839A4" w:rsidRDefault="000839A4" w:rsidP="000839A4">
      <w:pPr>
        <w:tabs>
          <w:tab w:val="num" w:pos="782"/>
          <w:tab w:val="left" w:pos="851"/>
        </w:tabs>
        <w:spacing w:before="120" w:after="120"/>
        <w:outlineLvl w:val="6"/>
      </w:pPr>
      <w:r w:rsidRPr="000839A4">
        <w:t>(7) Pro zdaňovací období roku 1993 se při přechodu na odpisování hmotného majetku a nehmotného majetku podle tohoto zákona postupuje takto:</w:t>
      </w:r>
    </w:p>
    <w:p w14:paraId="249B430C" w14:textId="77777777" w:rsidR="000839A4" w:rsidRPr="000839A4" w:rsidRDefault="000839A4" w:rsidP="000839A4">
      <w:pPr>
        <w:tabs>
          <w:tab w:val="left" w:pos="357"/>
        </w:tabs>
        <w:spacing w:before="0"/>
        <w:ind w:left="357" w:hanging="357"/>
        <w:rPr>
          <w:szCs w:val="24"/>
        </w:rPr>
      </w:pPr>
      <w:r w:rsidRPr="000839A4">
        <w:rPr>
          <w:szCs w:val="24"/>
        </w:rPr>
        <w:t>a)</w:t>
      </w:r>
      <w:r w:rsidRPr="000839A4">
        <w:rPr>
          <w:szCs w:val="24"/>
        </w:rPr>
        <w:tab/>
        <w:t>hmotný majetek se zařadí do odpisových skupin podle přílohy k tomuto zákonu,</w:t>
      </w:r>
    </w:p>
    <w:p w14:paraId="7367DB7A" w14:textId="77777777" w:rsidR="000839A4" w:rsidRPr="000839A4" w:rsidRDefault="000839A4" w:rsidP="000839A4">
      <w:pPr>
        <w:tabs>
          <w:tab w:val="left" w:pos="357"/>
        </w:tabs>
        <w:spacing w:before="0"/>
        <w:ind w:left="357" w:hanging="357"/>
        <w:rPr>
          <w:szCs w:val="24"/>
        </w:rPr>
      </w:pPr>
      <w:r w:rsidRPr="000839A4">
        <w:rPr>
          <w:szCs w:val="24"/>
        </w:rPr>
        <w:t>b)</w:t>
      </w:r>
      <w:r w:rsidRPr="000839A4">
        <w:rPr>
          <w:szCs w:val="24"/>
        </w:rPr>
        <w:tab/>
        <w:t>u rovnoměrného odpisování se vstupní cenou (§ 29) rozumí cena, ze které byly prováděny odpisy před 1. lednem 1993 podle zvláštních předpisů,</w:t>
      </w:r>
    </w:p>
    <w:p w14:paraId="725BD965" w14:textId="77777777" w:rsidR="000839A4" w:rsidRPr="000839A4" w:rsidRDefault="000839A4" w:rsidP="000839A4">
      <w:pPr>
        <w:tabs>
          <w:tab w:val="left" w:pos="357"/>
        </w:tabs>
        <w:spacing w:before="0"/>
        <w:ind w:left="357" w:hanging="357"/>
        <w:rPr>
          <w:szCs w:val="24"/>
        </w:rPr>
      </w:pPr>
      <w:r w:rsidRPr="000839A4">
        <w:rPr>
          <w:szCs w:val="24"/>
        </w:rPr>
        <w:t>c)</w:t>
      </w:r>
      <w:r w:rsidRPr="000839A4">
        <w:rPr>
          <w:szCs w:val="24"/>
        </w:rPr>
        <w:tab/>
        <w:t>u hmotného majetku již odpisovaného k 31. prosinci 1992 se pro rok 1993 postupuje při výpočtu odpisů podle údajů sloupce "v dalších letech odpisování" tabulky uvedené v § 31 odst. 1,</w:t>
      </w:r>
    </w:p>
    <w:p w14:paraId="48AFDE1E" w14:textId="77777777" w:rsidR="000839A4" w:rsidRPr="000839A4" w:rsidRDefault="000839A4" w:rsidP="000839A4">
      <w:pPr>
        <w:tabs>
          <w:tab w:val="left" w:pos="357"/>
        </w:tabs>
        <w:spacing w:before="0"/>
        <w:ind w:left="357" w:hanging="357"/>
        <w:rPr>
          <w:szCs w:val="24"/>
        </w:rPr>
      </w:pPr>
      <w:r w:rsidRPr="000839A4">
        <w:rPr>
          <w:szCs w:val="24"/>
        </w:rPr>
        <w:t>d)</w:t>
      </w:r>
      <w:r w:rsidRPr="000839A4">
        <w:rPr>
          <w:szCs w:val="24"/>
        </w:rPr>
        <w:tab/>
        <w:t xml:space="preserve">úplatně pořízený nehmotný majetek odpisovaný jako nehmotná aktiva k 31. prosinci 1992 může poplatník </w:t>
      </w:r>
      <w:proofErr w:type="spellStart"/>
      <w:r w:rsidRPr="000839A4">
        <w:rPr>
          <w:szCs w:val="24"/>
        </w:rPr>
        <w:t>doodepsat</w:t>
      </w:r>
      <w:proofErr w:type="spellEnd"/>
      <w:r w:rsidRPr="000839A4">
        <w:rPr>
          <w:szCs w:val="24"/>
        </w:rPr>
        <w:t>, a to rovnoměrně, nejdéle však do pěti let od zahájení odpisování.</w:t>
      </w:r>
    </w:p>
    <w:p w14:paraId="1DE90A6E" w14:textId="77777777" w:rsidR="000839A4" w:rsidRPr="000839A4" w:rsidRDefault="000839A4" w:rsidP="000839A4">
      <w:pPr>
        <w:tabs>
          <w:tab w:val="num" w:pos="782"/>
          <w:tab w:val="left" w:pos="851"/>
        </w:tabs>
        <w:spacing w:before="120" w:after="120"/>
        <w:outlineLvl w:val="6"/>
      </w:pPr>
      <w:r w:rsidRPr="000839A4">
        <w:t xml:space="preserve">(8) U smluv o finančním pronájmu s následnou koupí najaté věci, které byly sjednány před 1. lednem 1993, se při odpisování použije vyhláška č. 586/1990 Sb., o odpisování základních </w:t>
      </w:r>
      <w:r w:rsidRPr="000839A4">
        <w:lastRenderedPageBreak/>
        <w:t>prostředků, až do skončení platnosti uvedených nájemních smluv. Obdobně se postupuje i u odpisování investičních prací zaplacených nájemcem v najatém stavebním objektu.</w:t>
      </w:r>
    </w:p>
    <w:p w14:paraId="1041D629" w14:textId="77777777" w:rsidR="000839A4" w:rsidRPr="000839A4" w:rsidRDefault="000839A4" w:rsidP="000839A4">
      <w:pPr>
        <w:tabs>
          <w:tab w:val="num" w:pos="782"/>
          <w:tab w:val="left" w:pos="851"/>
        </w:tabs>
        <w:spacing w:before="120" w:after="120"/>
        <w:outlineLvl w:val="6"/>
      </w:pPr>
      <w:r w:rsidRPr="000839A4">
        <w:t>(9) Pro odpisování rozdílů mezi vyvolávací cenou a cenou dosaženou vydražením se použije až do ukončení jeho odpisování sdělení Federálního ministerstva financí</w:t>
      </w:r>
      <w:r w:rsidRPr="000839A4">
        <w:rPr>
          <w:vertAlign w:val="superscript"/>
        </w:rPr>
        <w:footnoteReference w:customMarkFollows="1" w:id="189"/>
        <w:t>38)</w:t>
      </w:r>
      <w:r w:rsidRPr="000839A4">
        <w:t xml:space="preserve"> i po nabytí účinnosti tohoto zákona.</w:t>
      </w:r>
    </w:p>
    <w:p w14:paraId="48C19F36" w14:textId="77777777" w:rsidR="000839A4" w:rsidRPr="000839A4" w:rsidRDefault="000839A4" w:rsidP="000839A4">
      <w:pPr>
        <w:tabs>
          <w:tab w:val="num" w:pos="782"/>
          <w:tab w:val="left" w:pos="851"/>
        </w:tabs>
        <w:spacing w:before="120" w:after="120"/>
        <w:outlineLvl w:val="6"/>
      </w:pPr>
      <w:r w:rsidRPr="000839A4">
        <w:t>(10) U základních prostředků odpisovaných před nabytím účinnosti tohoto zákona, u nichž pořizovací cena činila 10 000 Kč a méně, může se zůstatková cena zahrnout plně do nákladů (výdajů) v roce 1993 nebo se může pokračovat v odpisování obdobně jako u hmotného majetku (odst. 7).</w:t>
      </w:r>
    </w:p>
    <w:p w14:paraId="4705BCEC" w14:textId="77777777" w:rsidR="000839A4" w:rsidRPr="000839A4" w:rsidRDefault="000839A4" w:rsidP="000839A4">
      <w:pPr>
        <w:tabs>
          <w:tab w:val="num" w:pos="782"/>
          <w:tab w:val="left" w:pos="851"/>
        </w:tabs>
        <w:spacing w:before="120" w:after="120"/>
        <w:outlineLvl w:val="6"/>
      </w:pPr>
      <w:r w:rsidRPr="000839A4">
        <w:t>(11) U smluv o finančním pronájmu s následnou koupí najaté věci, které byly sjednány před 1. lednem 1993, se pro posouzení zahrnování nájemného do nákladů (výdajů) nepoužije ustanovení § 24 odst. 4.</w:t>
      </w:r>
    </w:p>
    <w:p w14:paraId="422D8F90" w14:textId="77777777" w:rsidR="000839A4" w:rsidRPr="000839A4" w:rsidRDefault="000839A4" w:rsidP="000839A4">
      <w:pPr>
        <w:tabs>
          <w:tab w:val="num" w:pos="782"/>
          <w:tab w:val="left" w:pos="851"/>
        </w:tabs>
        <w:spacing w:before="120" w:after="120"/>
        <w:outlineLvl w:val="6"/>
      </w:pPr>
      <w:r w:rsidRPr="000839A4">
        <w:t>(12) Důlní díla provozovaná před 1. lednem 1993 lze odepisovat jako celý soubor jednotnou roční sazbou ve výši 4 % ze vstupní ceny souboru.</w:t>
      </w:r>
    </w:p>
    <w:p w14:paraId="68E95B61" w14:textId="77777777" w:rsidR="000839A4" w:rsidRPr="000839A4" w:rsidRDefault="000839A4" w:rsidP="000839A4">
      <w:pPr>
        <w:tabs>
          <w:tab w:val="num" w:pos="782"/>
          <w:tab w:val="left" w:pos="851"/>
        </w:tabs>
        <w:spacing w:before="120" w:after="120"/>
        <w:outlineLvl w:val="6"/>
      </w:pPr>
      <w:r w:rsidRPr="000839A4">
        <w:t>(13) Ustanovení § 25 písm. w) se nepoužije pro zdaňovací období roku 1993.</w:t>
      </w:r>
    </w:p>
    <w:p w14:paraId="5B6390CC" w14:textId="77777777" w:rsidR="000839A4" w:rsidRPr="000839A4" w:rsidRDefault="000839A4" w:rsidP="000839A4">
      <w:pPr>
        <w:tabs>
          <w:tab w:val="num" w:pos="782"/>
          <w:tab w:val="left" w:pos="851"/>
        </w:tabs>
        <w:spacing w:before="120" w:after="120"/>
        <w:outlineLvl w:val="6"/>
      </w:pPr>
      <w:r w:rsidRPr="000839A4">
        <w:t>(14) Pro zdaňovací období 1993 příjmy plynoucí poplatníkovi neúčtujícímu v soustavě podvojného účetnictví nejdéle do 15 dnů po skončení roku 1992, které hospodářsky souvisí s předchozím zdaňovacím obdobím, se považují za příjmy zdaňovacího období 1993. Při posuzování výdajů se postupuje obdobně.</w:t>
      </w:r>
    </w:p>
    <w:p w14:paraId="15B6C5EB" w14:textId="77777777" w:rsidR="000839A4" w:rsidRPr="000839A4" w:rsidRDefault="000839A4" w:rsidP="000839A4">
      <w:pPr>
        <w:tabs>
          <w:tab w:val="num" w:pos="782"/>
          <w:tab w:val="left" w:pos="851"/>
        </w:tabs>
        <w:spacing w:before="120" w:after="120"/>
        <w:outlineLvl w:val="6"/>
      </w:pPr>
      <w:r w:rsidRPr="000839A4">
        <w:t>(15) Za částky, které již byly u téhož poplatníka zdaněny podle tohoto zákona [§ 23 odst. 4 písm. d)], se pro zdaňovací období roku 1993 považují i částky zdaňované podle předpisů platných do konce roku 1992.</w:t>
      </w:r>
    </w:p>
    <w:p w14:paraId="1FD379C0" w14:textId="77777777" w:rsidR="000839A4" w:rsidRPr="000839A4" w:rsidRDefault="000839A4" w:rsidP="000839A4">
      <w:pPr>
        <w:tabs>
          <w:tab w:val="num" w:pos="782"/>
          <w:tab w:val="left" w:pos="851"/>
        </w:tabs>
        <w:spacing w:before="120" w:after="120"/>
        <w:outlineLvl w:val="6"/>
      </w:pPr>
      <w:r w:rsidRPr="000839A4">
        <w:t>(16) Pro výnosy z vkladů na vkladních listech a z vkladů jim na roveň postavených, uskutečněných před nabytím účinnosti tohoto zákona, se použijí dosavadní předpisy.</w:t>
      </w:r>
    </w:p>
    <w:p w14:paraId="0EF28921" w14:textId="77777777" w:rsidR="000839A4" w:rsidRPr="000839A4" w:rsidRDefault="000839A4" w:rsidP="000839A4">
      <w:pPr>
        <w:tabs>
          <w:tab w:val="num" w:pos="782"/>
          <w:tab w:val="left" w:pos="851"/>
        </w:tabs>
        <w:spacing w:before="120" w:after="120"/>
        <w:outlineLvl w:val="6"/>
      </w:pPr>
      <w:r w:rsidRPr="000839A4">
        <w:t>(17) Podnikatelská odměna podle § 7 odst. 2 a 3 zákona č. 389/1990 Sb., o dani z příjmů obyvatelstva, ve znění zákona č. 578/1991 Sb., zaúčtovaná jako náklad v roce 1992 a vyplacená v roce 1993 je příjmem podle § 10.</w:t>
      </w:r>
    </w:p>
    <w:p w14:paraId="09836A51" w14:textId="77777777" w:rsidR="000839A4" w:rsidRPr="000839A4" w:rsidRDefault="000839A4" w:rsidP="000839A4">
      <w:pPr>
        <w:tabs>
          <w:tab w:val="num" w:pos="782"/>
          <w:tab w:val="left" w:pos="851"/>
        </w:tabs>
        <w:spacing w:before="120" w:after="120"/>
        <w:outlineLvl w:val="6"/>
      </w:pPr>
      <w:r w:rsidRPr="000839A4">
        <w:t>(18) Náhrada za ztrátu na výdělku náležející podle zákoníku práce za období před 1. lednem 1993, která je vyplacena po tomto datu, je osvobozena od této daně.</w:t>
      </w:r>
    </w:p>
    <w:p w14:paraId="1192692A" w14:textId="77777777" w:rsidR="000839A4" w:rsidRPr="000839A4" w:rsidRDefault="000839A4" w:rsidP="000839A4">
      <w:pPr>
        <w:tabs>
          <w:tab w:val="num" w:pos="782"/>
          <w:tab w:val="left" w:pos="851"/>
        </w:tabs>
        <w:spacing w:before="120" w:after="120"/>
        <w:outlineLvl w:val="6"/>
      </w:pPr>
      <w:r w:rsidRPr="000839A4">
        <w:t>(19) Ustanovení § 25 písm. k) se nepoužije pro podnikové bytové hospodářství do doby zrušení regulace cen nájemného.</w:t>
      </w:r>
    </w:p>
    <w:p w14:paraId="38D92B87" w14:textId="77777777" w:rsidR="000839A4" w:rsidRPr="000839A4" w:rsidRDefault="000839A4" w:rsidP="000839A4">
      <w:pPr>
        <w:tabs>
          <w:tab w:val="num" w:pos="782"/>
          <w:tab w:val="left" w:pos="851"/>
        </w:tabs>
        <w:spacing w:before="120" w:after="120"/>
        <w:outlineLvl w:val="6"/>
      </w:pPr>
      <w:r w:rsidRPr="000839A4">
        <w:t>(20) U rozpočtových a příspěvkových organizací a obcí nejsou ve zdaňovacím období roku 1993 předmětem daně rovněž příjmy z činností, vymezených ve statutu nebo zřizovací listině jako hlavní činnost i v případě, že nesplňují kritéria § 18 odst. 3, pokud je poplatník nevykazuje jako hospodářskou činnost a jsou prokazatelně zohledněny za celé zdaňovací období ve finančním vztahu k rozpočtu zřizovatele nebo v rozpočtu obce.</w:t>
      </w:r>
    </w:p>
    <w:p w14:paraId="7E67A784" w14:textId="77777777" w:rsidR="000839A4" w:rsidRPr="000839A4" w:rsidRDefault="000839A4" w:rsidP="000839A4">
      <w:pPr>
        <w:tabs>
          <w:tab w:val="num" w:pos="782"/>
          <w:tab w:val="left" w:pos="851"/>
        </w:tabs>
        <w:spacing w:before="120" w:after="120"/>
        <w:outlineLvl w:val="6"/>
      </w:pPr>
      <w:r w:rsidRPr="000839A4">
        <w:t>(21)</w:t>
      </w:r>
      <w:r w:rsidRPr="000839A4">
        <w:rPr>
          <w:i/>
        </w:rPr>
        <w:t xml:space="preserve"> zrušen</w:t>
      </w:r>
    </w:p>
    <w:p w14:paraId="69926C1C" w14:textId="77777777" w:rsidR="000839A4" w:rsidRPr="000839A4" w:rsidRDefault="000839A4" w:rsidP="000839A4">
      <w:pPr>
        <w:tabs>
          <w:tab w:val="num" w:pos="782"/>
          <w:tab w:val="left" w:pos="851"/>
        </w:tabs>
        <w:spacing w:before="120" w:after="120"/>
        <w:outlineLvl w:val="6"/>
      </w:pPr>
      <w:r w:rsidRPr="000839A4">
        <w:t>(22) Ustanovení § 35 odst. 3 se nepoužije pro zdaňovací období roku 1994.</w:t>
      </w:r>
    </w:p>
    <w:p w14:paraId="314A6370" w14:textId="77777777" w:rsidR="000839A4" w:rsidRPr="000839A4" w:rsidRDefault="000839A4" w:rsidP="000839A4">
      <w:pPr>
        <w:tabs>
          <w:tab w:val="num" w:pos="782"/>
          <w:tab w:val="left" w:pos="851"/>
        </w:tabs>
        <w:spacing w:before="120" w:after="120"/>
        <w:outlineLvl w:val="6"/>
      </w:pPr>
      <w:r w:rsidRPr="000839A4">
        <w:lastRenderedPageBreak/>
        <w:t>(23) Částky zúčtované do výnosů,</w:t>
      </w:r>
      <w:r w:rsidRPr="000839A4">
        <w:rPr>
          <w:vertAlign w:val="superscript"/>
        </w:rPr>
        <w:t xml:space="preserve"> </w:t>
      </w:r>
      <w:r w:rsidRPr="000839A4">
        <w:rPr>
          <w:strike/>
          <w:vertAlign w:val="superscript"/>
        </w:rPr>
        <w:t>20)</w:t>
      </w:r>
      <w:r w:rsidRPr="000839A4">
        <w:t xml:space="preserve"> které souvisejí s rozpouštěním rezerv vytvořených na vrub nákladů před nabytím účinnosti tohoto zákona a které nejsou podle § 24 odst. 1 písm. i) výdajem (nákladem) na dosažení, zajištění a udržení příjmů, se zahrnují do základu daně.</w:t>
      </w:r>
    </w:p>
    <w:p w14:paraId="0DD57D6F" w14:textId="77777777" w:rsidR="000839A4" w:rsidRPr="000839A4" w:rsidRDefault="000839A4" w:rsidP="000839A4">
      <w:pPr>
        <w:tabs>
          <w:tab w:val="num" w:pos="782"/>
          <w:tab w:val="left" w:pos="851"/>
        </w:tabs>
        <w:spacing w:before="120" w:after="120"/>
        <w:outlineLvl w:val="6"/>
      </w:pPr>
      <w:r w:rsidRPr="000839A4">
        <w:t>(24) Výjimka ve vztahu k pojišťovnám uvedená v § 36 odst. 2 písm. a) bod 8 se nepoužije za zdaňovací období roku 1994.</w:t>
      </w:r>
    </w:p>
    <w:p w14:paraId="5239B236" w14:textId="77777777" w:rsidR="000839A4" w:rsidRPr="000839A4" w:rsidRDefault="000839A4" w:rsidP="000839A4">
      <w:pPr>
        <w:keepNext/>
        <w:keepLines/>
        <w:ind w:firstLine="0"/>
        <w:jc w:val="center"/>
        <w:rPr>
          <w:szCs w:val="24"/>
        </w:rPr>
      </w:pPr>
      <w:r w:rsidRPr="000839A4">
        <w:rPr>
          <w:szCs w:val="24"/>
        </w:rPr>
        <w:t>§ 41</w:t>
      </w:r>
    </w:p>
    <w:p w14:paraId="0A76A5E0" w14:textId="77777777" w:rsidR="000839A4" w:rsidRPr="000839A4" w:rsidRDefault="000839A4" w:rsidP="000839A4">
      <w:pPr>
        <w:keepNext/>
        <w:keepLines/>
        <w:tabs>
          <w:tab w:val="num" w:pos="782"/>
          <w:tab w:val="left" w:pos="851"/>
        </w:tabs>
        <w:spacing w:before="120" w:after="120"/>
        <w:outlineLvl w:val="6"/>
      </w:pPr>
      <w:r w:rsidRPr="000839A4">
        <w:t>Zrušují se:</w:t>
      </w:r>
    </w:p>
    <w:p w14:paraId="04C63734" w14:textId="77777777" w:rsidR="000839A4" w:rsidRPr="000839A4" w:rsidRDefault="000839A4" w:rsidP="000839A4">
      <w:pPr>
        <w:keepNext/>
        <w:keepLines/>
        <w:tabs>
          <w:tab w:val="left" w:pos="357"/>
        </w:tabs>
        <w:spacing w:before="0"/>
        <w:ind w:left="714" w:hanging="357"/>
        <w:rPr>
          <w:szCs w:val="24"/>
        </w:rPr>
      </w:pPr>
      <w:r w:rsidRPr="000839A4">
        <w:rPr>
          <w:szCs w:val="24"/>
        </w:rPr>
        <w:t>1.</w:t>
      </w:r>
      <w:r w:rsidRPr="000839A4">
        <w:rPr>
          <w:szCs w:val="24"/>
        </w:rPr>
        <w:tab/>
        <w:t>zákon č. 76/1952 Sb., o dani ze mzdy, ve znění vládního nařízení č. 43/1953 Sb., vládního nařízení č. 112/1953 Sb., zákona č. 71/1957 Sb., zákona č. 101/1964 Sb., zákona č. 90/1968 Sb. a zákona č. 578/1991 Sb.,</w:t>
      </w:r>
    </w:p>
    <w:p w14:paraId="43407B8A" w14:textId="77777777" w:rsidR="000839A4" w:rsidRPr="000839A4" w:rsidRDefault="000839A4" w:rsidP="000839A4">
      <w:pPr>
        <w:tabs>
          <w:tab w:val="left" w:pos="357"/>
        </w:tabs>
        <w:spacing w:before="0"/>
        <w:ind w:left="714" w:hanging="357"/>
        <w:rPr>
          <w:szCs w:val="24"/>
        </w:rPr>
      </w:pPr>
      <w:r w:rsidRPr="000839A4">
        <w:rPr>
          <w:szCs w:val="24"/>
        </w:rPr>
        <w:t>2.</w:t>
      </w:r>
      <w:r w:rsidRPr="000839A4">
        <w:rPr>
          <w:szCs w:val="24"/>
        </w:rPr>
        <w:tab/>
        <w:t>§ 8 zákona č. 88/1952 Sb., o materiálním zabezpečení příslušníků ozbrojených sil,</w:t>
      </w:r>
    </w:p>
    <w:p w14:paraId="1BD03913" w14:textId="77777777" w:rsidR="000839A4" w:rsidRPr="000839A4" w:rsidRDefault="000839A4" w:rsidP="000839A4">
      <w:pPr>
        <w:tabs>
          <w:tab w:val="left" w:pos="357"/>
        </w:tabs>
        <w:spacing w:before="0"/>
        <w:ind w:left="714" w:hanging="357"/>
        <w:rPr>
          <w:szCs w:val="24"/>
        </w:rPr>
      </w:pPr>
      <w:r w:rsidRPr="000839A4">
        <w:rPr>
          <w:szCs w:val="24"/>
        </w:rPr>
        <w:t>3.</w:t>
      </w:r>
      <w:r w:rsidRPr="000839A4">
        <w:rPr>
          <w:szCs w:val="24"/>
        </w:rPr>
        <w:tab/>
        <w:t>zákon č. 36/1965 Sb., o dani z příjmů z literární a umělecké činnosti, ve znění zákona č. 160/1968 Sb. a zákona č. 578/1991 Sb.,</w:t>
      </w:r>
    </w:p>
    <w:p w14:paraId="1E2A3C83" w14:textId="77777777" w:rsidR="000839A4" w:rsidRPr="000839A4" w:rsidRDefault="000839A4" w:rsidP="000839A4">
      <w:pPr>
        <w:tabs>
          <w:tab w:val="left" w:pos="357"/>
        </w:tabs>
        <w:spacing w:before="0"/>
        <w:ind w:left="714" w:hanging="357"/>
        <w:rPr>
          <w:szCs w:val="24"/>
        </w:rPr>
      </w:pPr>
      <w:r w:rsidRPr="000839A4">
        <w:rPr>
          <w:szCs w:val="24"/>
        </w:rPr>
        <w:t>4.</w:t>
      </w:r>
      <w:r w:rsidRPr="000839A4">
        <w:rPr>
          <w:szCs w:val="24"/>
        </w:rPr>
        <w:tab/>
        <w:t>§ 51 zákona č. 100/1970 Sb., o služebním poměru příslušníků Sboru národní bezpečnosti,</w:t>
      </w:r>
    </w:p>
    <w:p w14:paraId="55602051" w14:textId="77777777" w:rsidR="000839A4" w:rsidRPr="000839A4" w:rsidRDefault="000839A4" w:rsidP="000839A4">
      <w:pPr>
        <w:tabs>
          <w:tab w:val="left" w:pos="357"/>
        </w:tabs>
        <w:spacing w:before="0"/>
        <w:ind w:left="714" w:hanging="357"/>
        <w:rPr>
          <w:szCs w:val="24"/>
        </w:rPr>
      </w:pPr>
      <w:r w:rsidRPr="000839A4">
        <w:rPr>
          <w:szCs w:val="24"/>
        </w:rPr>
        <w:t>5.</w:t>
      </w:r>
      <w:r w:rsidRPr="000839A4">
        <w:rPr>
          <w:szCs w:val="24"/>
        </w:rPr>
        <w:tab/>
        <w:t>zákon č. 172/1988 Sb., o zemědělské dani, ve znění zákona č. 157/1989 Sb., zákona č. 574/1990 Sb. a zákona č. 578/1991 Sb.,</w:t>
      </w:r>
    </w:p>
    <w:p w14:paraId="63C49C24" w14:textId="77777777" w:rsidR="000839A4" w:rsidRPr="000839A4" w:rsidRDefault="000839A4" w:rsidP="000839A4">
      <w:pPr>
        <w:tabs>
          <w:tab w:val="left" w:pos="357"/>
        </w:tabs>
        <w:spacing w:before="0"/>
        <w:ind w:left="714" w:hanging="357"/>
        <w:rPr>
          <w:szCs w:val="24"/>
        </w:rPr>
      </w:pPr>
      <w:r w:rsidRPr="000839A4">
        <w:rPr>
          <w:szCs w:val="24"/>
        </w:rPr>
        <w:t>6.</w:t>
      </w:r>
      <w:r w:rsidRPr="000839A4">
        <w:rPr>
          <w:szCs w:val="24"/>
        </w:rPr>
        <w:tab/>
        <w:t>zákon č. 156/1989 Sb., o odvodech do státního rozpočtu, ve znění zákona č. 574/1990 Sb. a zákona č. 578/1991 Sb.,</w:t>
      </w:r>
    </w:p>
    <w:p w14:paraId="08A6ED52" w14:textId="77777777" w:rsidR="000839A4" w:rsidRPr="000839A4" w:rsidRDefault="000839A4" w:rsidP="000839A4">
      <w:pPr>
        <w:tabs>
          <w:tab w:val="left" w:pos="357"/>
        </w:tabs>
        <w:spacing w:before="0"/>
        <w:ind w:left="714" w:hanging="357"/>
        <w:rPr>
          <w:szCs w:val="24"/>
        </w:rPr>
      </w:pPr>
      <w:r w:rsidRPr="000839A4">
        <w:rPr>
          <w:szCs w:val="24"/>
        </w:rPr>
        <w:t>7.</w:t>
      </w:r>
      <w:r w:rsidRPr="000839A4">
        <w:rPr>
          <w:szCs w:val="24"/>
        </w:rPr>
        <w:tab/>
        <w:t>zákon č. 157/1989 Sb., o důchodové dani, ve znění zákona č. 108/1990 Sb., zákona č. 574/1990 Sb. a zákona č. 578/1991 Sb.,</w:t>
      </w:r>
    </w:p>
    <w:p w14:paraId="06EB06E9" w14:textId="77777777" w:rsidR="000839A4" w:rsidRPr="000839A4" w:rsidRDefault="000839A4" w:rsidP="000839A4">
      <w:pPr>
        <w:tabs>
          <w:tab w:val="left" w:pos="357"/>
        </w:tabs>
        <w:spacing w:before="0"/>
        <w:ind w:left="714" w:hanging="357"/>
        <w:rPr>
          <w:szCs w:val="24"/>
        </w:rPr>
      </w:pPr>
      <w:r w:rsidRPr="000839A4">
        <w:rPr>
          <w:szCs w:val="24"/>
        </w:rPr>
        <w:t>8.</w:t>
      </w:r>
      <w:r w:rsidRPr="000839A4">
        <w:rPr>
          <w:szCs w:val="24"/>
        </w:rPr>
        <w:tab/>
        <w:t>zákon č. 389/1990 Sb., o dani z příjmů obyvatelstva, ve znění zákona č. 578/1991 Sb.,</w:t>
      </w:r>
    </w:p>
    <w:p w14:paraId="0174BAE4" w14:textId="77777777" w:rsidR="000839A4" w:rsidRPr="000839A4" w:rsidRDefault="000839A4" w:rsidP="000839A4">
      <w:pPr>
        <w:tabs>
          <w:tab w:val="left" w:pos="357"/>
        </w:tabs>
        <w:spacing w:before="0"/>
        <w:ind w:left="714" w:hanging="357"/>
        <w:rPr>
          <w:szCs w:val="24"/>
        </w:rPr>
      </w:pPr>
      <w:r w:rsidRPr="000839A4">
        <w:rPr>
          <w:szCs w:val="24"/>
        </w:rPr>
        <w:t>9.</w:t>
      </w:r>
      <w:r w:rsidRPr="000839A4">
        <w:rPr>
          <w:szCs w:val="24"/>
        </w:rPr>
        <w:tab/>
        <w:t>nařízení vlády České socialistické republiky č. 207/1989 Sb., o provádění odvodu ze zisku na základě finančního plánu,</w:t>
      </w:r>
    </w:p>
    <w:p w14:paraId="763270AD" w14:textId="77777777" w:rsidR="000839A4" w:rsidRPr="000839A4" w:rsidRDefault="000839A4" w:rsidP="000839A4">
      <w:pPr>
        <w:tabs>
          <w:tab w:val="left" w:pos="357"/>
        </w:tabs>
        <w:spacing w:before="0"/>
        <w:ind w:left="714" w:hanging="357"/>
        <w:rPr>
          <w:szCs w:val="24"/>
        </w:rPr>
      </w:pPr>
      <w:r w:rsidRPr="000839A4">
        <w:rPr>
          <w:szCs w:val="24"/>
        </w:rPr>
        <w:t>10.</w:t>
      </w:r>
      <w:r w:rsidRPr="000839A4">
        <w:rPr>
          <w:szCs w:val="24"/>
        </w:rPr>
        <w:tab/>
        <w:t>nařízení vlády České republiky č. 554/1991 Sb., o osvobození některých příjmů od daně z příjmů obyvatelstva a daňových úlevách pro začínající samostatně hospodařící rolníky,</w:t>
      </w:r>
    </w:p>
    <w:p w14:paraId="0819915E" w14:textId="77777777" w:rsidR="000839A4" w:rsidRPr="000839A4" w:rsidRDefault="000839A4" w:rsidP="000839A4">
      <w:pPr>
        <w:tabs>
          <w:tab w:val="left" w:pos="357"/>
        </w:tabs>
        <w:spacing w:before="0"/>
        <w:ind w:left="714" w:hanging="357"/>
        <w:rPr>
          <w:szCs w:val="24"/>
        </w:rPr>
      </w:pPr>
      <w:r w:rsidRPr="000839A4">
        <w:rPr>
          <w:szCs w:val="24"/>
        </w:rPr>
        <w:t>11.</w:t>
      </w:r>
      <w:r w:rsidRPr="000839A4">
        <w:rPr>
          <w:szCs w:val="24"/>
        </w:rPr>
        <w:tab/>
        <w:t>vyhláška Federálního ministerstva financí, Ministerstva financí České socialistické republiky a Ministerstva financí Slovenské socialistické republiky č. 161/1976 Sb., kterou se provádí zákon o dani ze mzdy, ve znění vyhlášky č. 14/1982 Sb., vyhlášky č. 86/1984 Sb., vyhlášky č. 311/1990 Sb., vyhlášky č. 72/1991 Sb., zákona č. 578/1991 Sb. a vyhlášky č. 49/1992 Sb.,</w:t>
      </w:r>
    </w:p>
    <w:p w14:paraId="57EA6D2F" w14:textId="77777777" w:rsidR="000839A4" w:rsidRPr="000839A4" w:rsidRDefault="000839A4" w:rsidP="000839A4">
      <w:pPr>
        <w:tabs>
          <w:tab w:val="left" w:pos="357"/>
        </w:tabs>
        <w:spacing w:before="0"/>
        <w:ind w:left="714" w:hanging="357"/>
        <w:rPr>
          <w:szCs w:val="24"/>
        </w:rPr>
      </w:pPr>
      <w:r w:rsidRPr="000839A4">
        <w:rPr>
          <w:szCs w:val="24"/>
        </w:rPr>
        <w:t>12.</w:t>
      </w:r>
      <w:r w:rsidRPr="000839A4">
        <w:rPr>
          <w:szCs w:val="24"/>
        </w:rPr>
        <w:tab/>
        <w:t>vyhláška Ministerstva financí č. 184/1968 Sb., k provedení zákona o dani z příjmů z literární a umělecké činnosti, ve znění vyhlášky č. 151/1980 Sb., vyhlášky č. 14/1982 Sb., vyhlášky č. 86/1984 Sb. a vyhlášky č. 7/1991 Sb.,</w:t>
      </w:r>
    </w:p>
    <w:p w14:paraId="576B7A17" w14:textId="77777777" w:rsidR="000839A4" w:rsidRPr="000839A4" w:rsidRDefault="000839A4" w:rsidP="000839A4">
      <w:pPr>
        <w:tabs>
          <w:tab w:val="left" w:pos="357"/>
        </w:tabs>
        <w:spacing w:before="0"/>
        <w:ind w:left="714" w:hanging="357"/>
        <w:rPr>
          <w:szCs w:val="24"/>
        </w:rPr>
      </w:pPr>
      <w:r w:rsidRPr="000839A4">
        <w:rPr>
          <w:szCs w:val="24"/>
        </w:rPr>
        <w:t>13.</w:t>
      </w:r>
      <w:r w:rsidRPr="000839A4">
        <w:rPr>
          <w:szCs w:val="24"/>
        </w:rPr>
        <w:tab/>
        <w:t>vyhláška Federálního ministerstva financí č. 215/1988 Sb., kterou se provádí zákon o zemědělské dani, ve znění vyhlášky č. 559/1990 Sb.,</w:t>
      </w:r>
    </w:p>
    <w:p w14:paraId="5137B246" w14:textId="77777777" w:rsidR="000839A4" w:rsidRPr="000839A4" w:rsidRDefault="000839A4" w:rsidP="000839A4">
      <w:pPr>
        <w:tabs>
          <w:tab w:val="left" w:pos="357"/>
        </w:tabs>
        <w:spacing w:before="0"/>
        <w:ind w:left="714" w:hanging="357"/>
        <w:rPr>
          <w:szCs w:val="24"/>
        </w:rPr>
      </w:pPr>
      <w:r w:rsidRPr="000839A4">
        <w:rPr>
          <w:szCs w:val="24"/>
        </w:rPr>
        <w:t>14.</w:t>
      </w:r>
      <w:r w:rsidRPr="000839A4">
        <w:rPr>
          <w:szCs w:val="24"/>
        </w:rPr>
        <w:tab/>
        <w:t>vyhláška Federálního ministerstva financí č. 192/1989 Sb., kterou se provádí zákon o odvodech do státního rozpočtu,</w:t>
      </w:r>
    </w:p>
    <w:p w14:paraId="60BF132D" w14:textId="77777777" w:rsidR="000839A4" w:rsidRPr="000839A4" w:rsidRDefault="000839A4" w:rsidP="000839A4">
      <w:pPr>
        <w:tabs>
          <w:tab w:val="left" w:pos="357"/>
        </w:tabs>
        <w:spacing w:before="0"/>
        <w:ind w:left="714" w:hanging="357"/>
        <w:rPr>
          <w:szCs w:val="24"/>
        </w:rPr>
      </w:pPr>
      <w:r w:rsidRPr="000839A4">
        <w:rPr>
          <w:szCs w:val="24"/>
        </w:rPr>
        <w:t>15.</w:t>
      </w:r>
      <w:r w:rsidRPr="000839A4">
        <w:rPr>
          <w:szCs w:val="24"/>
        </w:rPr>
        <w:tab/>
        <w:t>vyhláška Federálního ministerstva financí č. 193/1989 Sb., kterou se provádí zákon o důchodové dani, ve znění vyhlášky č. 214/1990 Sb.,</w:t>
      </w:r>
    </w:p>
    <w:p w14:paraId="1D4F86D5" w14:textId="77777777" w:rsidR="000839A4" w:rsidRPr="000839A4" w:rsidRDefault="000839A4" w:rsidP="000839A4">
      <w:pPr>
        <w:tabs>
          <w:tab w:val="left" w:pos="357"/>
        </w:tabs>
        <w:spacing w:before="0"/>
        <w:ind w:left="714" w:hanging="357"/>
        <w:rPr>
          <w:szCs w:val="24"/>
        </w:rPr>
      </w:pPr>
      <w:r w:rsidRPr="000839A4">
        <w:rPr>
          <w:szCs w:val="24"/>
        </w:rPr>
        <w:t>16.</w:t>
      </w:r>
      <w:r w:rsidRPr="000839A4">
        <w:rPr>
          <w:szCs w:val="24"/>
        </w:rPr>
        <w:tab/>
        <w:t>vyhláška Federálního ministerstva financí č. 211/1989 Sb., o financování některých zařízení společenské spotřeby a některých činností,</w:t>
      </w:r>
    </w:p>
    <w:p w14:paraId="0EF458EC" w14:textId="77777777" w:rsidR="000839A4" w:rsidRPr="000839A4" w:rsidRDefault="000839A4" w:rsidP="000839A4">
      <w:pPr>
        <w:tabs>
          <w:tab w:val="left" w:pos="357"/>
        </w:tabs>
        <w:spacing w:before="0"/>
        <w:ind w:left="714" w:hanging="357"/>
        <w:rPr>
          <w:szCs w:val="24"/>
        </w:rPr>
      </w:pPr>
      <w:r w:rsidRPr="000839A4">
        <w:rPr>
          <w:szCs w:val="24"/>
        </w:rPr>
        <w:t>17.</w:t>
      </w:r>
      <w:r w:rsidRPr="000839A4">
        <w:rPr>
          <w:szCs w:val="24"/>
        </w:rPr>
        <w:tab/>
        <w:t>vyhláška Federálního ministerstva financí č. 586/1990 Sb., o odpisování základních prostředků, ve znění vyhlášky č. 345/1991 Sb.,</w:t>
      </w:r>
    </w:p>
    <w:p w14:paraId="4F040A69" w14:textId="77777777" w:rsidR="000839A4" w:rsidRPr="000839A4" w:rsidRDefault="000839A4" w:rsidP="000839A4">
      <w:pPr>
        <w:tabs>
          <w:tab w:val="left" w:pos="357"/>
        </w:tabs>
        <w:spacing w:before="0"/>
        <w:ind w:left="714" w:hanging="357"/>
        <w:rPr>
          <w:szCs w:val="24"/>
        </w:rPr>
      </w:pPr>
      <w:r w:rsidRPr="000839A4">
        <w:rPr>
          <w:szCs w:val="24"/>
        </w:rPr>
        <w:lastRenderedPageBreak/>
        <w:t>18.</w:t>
      </w:r>
      <w:r w:rsidRPr="000839A4">
        <w:rPr>
          <w:szCs w:val="24"/>
        </w:rPr>
        <w:tab/>
        <w:t xml:space="preserve">výnos Ministerstva financí České socialistické republiky </w:t>
      </w:r>
      <w:proofErr w:type="gramStart"/>
      <w:r w:rsidRPr="000839A4">
        <w:rPr>
          <w:szCs w:val="24"/>
        </w:rPr>
        <w:t>č.j.</w:t>
      </w:r>
      <w:proofErr w:type="gramEnd"/>
      <w:r w:rsidRPr="000839A4">
        <w:rPr>
          <w:szCs w:val="24"/>
        </w:rPr>
        <w:t xml:space="preserve"> 153/39 337/71 o předkládání průkazů pro slevu na vyživované osoby u daně z příjmů z literární a umělecké činnosti a promíjení zmeškaných lhůt, registrovaný v částce 1/1972 Sb.,</w:t>
      </w:r>
    </w:p>
    <w:p w14:paraId="69102C38" w14:textId="77777777" w:rsidR="000839A4" w:rsidRPr="000839A4" w:rsidRDefault="000839A4" w:rsidP="000839A4">
      <w:pPr>
        <w:tabs>
          <w:tab w:val="left" w:pos="357"/>
        </w:tabs>
        <w:spacing w:before="0"/>
        <w:ind w:left="714" w:hanging="357"/>
        <w:rPr>
          <w:szCs w:val="24"/>
        </w:rPr>
      </w:pPr>
      <w:r w:rsidRPr="000839A4">
        <w:rPr>
          <w:szCs w:val="24"/>
        </w:rPr>
        <w:t>19.</w:t>
      </w:r>
      <w:r w:rsidRPr="000839A4">
        <w:rPr>
          <w:szCs w:val="24"/>
        </w:rPr>
        <w:tab/>
        <w:t xml:space="preserve">výnos Ministerstva financí České socialistické republiky </w:t>
      </w:r>
      <w:proofErr w:type="gramStart"/>
      <w:r w:rsidRPr="000839A4">
        <w:rPr>
          <w:szCs w:val="24"/>
        </w:rPr>
        <w:t>č.j.</w:t>
      </w:r>
      <w:proofErr w:type="gramEnd"/>
      <w:r w:rsidRPr="000839A4">
        <w:rPr>
          <w:szCs w:val="24"/>
        </w:rPr>
        <w:t xml:space="preserve"> 153/20 148/1972, kterým se vydává předpis „3 % daň z příjmů z literární a umělecké činnosti - postup při předkládání potvrzení“, registrovaný v částce 26/1972 Sb.,</w:t>
      </w:r>
    </w:p>
    <w:p w14:paraId="2C7D4486" w14:textId="77777777" w:rsidR="000839A4" w:rsidRPr="000839A4" w:rsidRDefault="000839A4" w:rsidP="000839A4">
      <w:pPr>
        <w:tabs>
          <w:tab w:val="left" w:pos="357"/>
        </w:tabs>
        <w:spacing w:before="0"/>
        <w:ind w:left="714" w:hanging="357"/>
        <w:rPr>
          <w:szCs w:val="24"/>
        </w:rPr>
      </w:pPr>
      <w:r w:rsidRPr="000839A4">
        <w:rPr>
          <w:szCs w:val="24"/>
        </w:rPr>
        <w:t>20.</w:t>
      </w:r>
      <w:r w:rsidRPr="000839A4">
        <w:rPr>
          <w:szCs w:val="24"/>
        </w:rPr>
        <w:tab/>
        <w:t xml:space="preserve">výnos Ministerstva financí České socialistické republiky </w:t>
      </w:r>
      <w:proofErr w:type="gramStart"/>
      <w:r w:rsidRPr="000839A4">
        <w:rPr>
          <w:szCs w:val="24"/>
        </w:rPr>
        <w:t>č.j.</w:t>
      </w:r>
      <w:proofErr w:type="gramEnd"/>
      <w:r w:rsidRPr="000839A4">
        <w:rPr>
          <w:szCs w:val="24"/>
        </w:rPr>
        <w:t xml:space="preserve"> 153/15 101/1974 o dani z příjmů z literární a umělecké činnosti u ročních příjmů pod 25 tis. Kčs, registrovaný v částce 14/1974 Sb.,</w:t>
      </w:r>
    </w:p>
    <w:p w14:paraId="5CBA9CE6" w14:textId="77777777" w:rsidR="000839A4" w:rsidRPr="000839A4" w:rsidRDefault="000839A4" w:rsidP="000839A4">
      <w:pPr>
        <w:tabs>
          <w:tab w:val="left" w:pos="357"/>
        </w:tabs>
        <w:spacing w:before="0"/>
        <w:ind w:left="714" w:hanging="357"/>
        <w:rPr>
          <w:szCs w:val="24"/>
        </w:rPr>
      </w:pPr>
      <w:r w:rsidRPr="000839A4">
        <w:rPr>
          <w:szCs w:val="24"/>
        </w:rPr>
        <w:t>21.</w:t>
      </w:r>
      <w:r w:rsidRPr="000839A4">
        <w:rPr>
          <w:szCs w:val="24"/>
        </w:rPr>
        <w:tab/>
        <w:t xml:space="preserve">výnos Ministerstva financí České socialistické republiky </w:t>
      </w:r>
      <w:proofErr w:type="gramStart"/>
      <w:r w:rsidRPr="000839A4">
        <w:rPr>
          <w:szCs w:val="24"/>
        </w:rPr>
        <w:t>č.j.</w:t>
      </w:r>
      <w:proofErr w:type="gramEnd"/>
      <w:r w:rsidRPr="000839A4">
        <w:rPr>
          <w:szCs w:val="24"/>
        </w:rPr>
        <w:t xml:space="preserve"> 153/25 508/1974 o postupu při předkládání potvrzení na 3 % daň z příjmů z literární a umělecké činnosti, registrovaný v částce 3/1975 Sb.,</w:t>
      </w:r>
    </w:p>
    <w:p w14:paraId="7E2203AF" w14:textId="77777777" w:rsidR="000839A4" w:rsidRPr="000839A4" w:rsidRDefault="000839A4" w:rsidP="000839A4">
      <w:pPr>
        <w:tabs>
          <w:tab w:val="left" w:pos="357"/>
        </w:tabs>
        <w:spacing w:before="0"/>
        <w:ind w:left="714" w:hanging="357"/>
        <w:rPr>
          <w:szCs w:val="24"/>
        </w:rPr>
      </w:pPr>
      <w:r w:rsidRPr="000839A4">
        <w:rPr>
          <w:szCs w:val="24"/>
        </w:rPr>
        <w:t>22.</w:t>
      </w:r>
      <w:r w:rsidRPr="000839A4">
        <w:rPr>
          <w:szCs w:val="24"/>
        </w:rPr>
        <w:tab/>
        <w:t xml:space="preserve">výnos Federálního ministerstva financí </w:t>
      </w:r>
      <w:proofErr w:type="gramStart"/>
      <w:r w:rsidRPr="000839A4">
        <w:rPr>
          <w:szCs w:val="24"/>
        </w:rPr>
        <w:t>č.j.</w:t>
      </w:r>
      <w:proofErr w:type="gramEnd"/>
      <w:r w:rsidRPr="000839A4">
        <w:rPr>
          <w:szCs w:val="24"/>
        </w:rPr>
        <w:t xml:space="preserve"> VI/1-7 718/1976 o výjimečném uznávání osob, u nichž došlo k zvýšení důchodů podle zákona č. 121/1975 Sb., o sociálním zabezpečení, za vyživované osoby pro účely daně ze mzdy, registrovaný v částce 10/1976 Sb.,</w:t>
      </w:r>
    </w:p>
    <w:p w14:paraId="79F4527F" w14:textId="77777777" w:rsidR="000839A4" w:rsidRPr="000839A4" w:rsidRDefault="000839A4" w:rsidP="000839A4">
      <w:pPr>
        <w:tabs>
          <w:tab w:val="left" w:pos="357"/>
        </w:tabs>
        <w:spacing w:before="0"/>
        <w:ind w:left="714" w:hanging="357"/>
        <w:rPr>
          <w:szCs w:val="24"/>
        </w:rPr>
      </w:pPr>
      <w:r w:rsidRPr="000839A4">
        <w:rPr>
          <w:szCs w:val="24"/>
        </w:rPr>
        <w:t>23.</w:t>
      </w:r>
      <w:r w:rsidRPr="000839A4">
        <w:rPr>
          <w:szCs w:val="24"/>
        </w:rPr>
        <w:tab/>
        <w:t xml:space="preserve">výnos Federálního ministerstva financí </w:t>
      </w:r>
      <w:proofErr w:type="gramStart"/>
      <w:r w:rsidRPr="000839A4">
        <w:rPr>
          <w:szCs w:val="24"/>
        </w:rPr>
        <w:t>č.j.</w:t>
      </w:r>
      <w:proofErr w:type="gramEnd"/>
      <w:r w:rsidRPr="000839A4">
        <w:rPr>
          <w:szCs w:val="24"/>
        </w:rPr>
        <w:t xml:space="preserve"> VI/1-2 017/77 o zdaňování mezd vyplácených subjekty se sídlem v cizině za práci vykonávanou v ČSSR osobám, které se zde zdržují pouze dočasně, registrovaný v částce 9/1977 Sb.,</w:t>
      </w:r>
    </w:p>
    <w:p w14:paraId="2D0DD124" w14:textId="77777777" w:rsidR="000839A4" w:rsidRPr="000839A4" w:rsidRDefault="000839A4" w:rsidP="000839A4">
      <w:pPr>
        <w:tabs>
          <w:tab w:val="left" w:pos="357"/>
        </w:tabs>
        <w:spacing w:before="0"/>
        <w:ind w:left="714" w:hanging="357"/>
        <w:rPr>
          <w:szCs w:val="24"/>
        </w:rPr>
      </w:pPr>
      <w:r w:rsidRPr="000839A4">
        <w:rPr>
          <w:szCs w:val="24"/>
        </w:rPr>
        <w:t>24.</w:t>
      </w:r>
      <w:r w:rsidRPr="000839A4">
        <w:rPr>
          <w:szCs w:val="24"/>
        </w:rPr>
        <w:tab/>
        <w:t xml:space="preserve">výnos Federálního ministerstva financí </w:t>
      </w:r>
      <w:proofErr w:type="gramStart"/>
      <w:r w:rsidRPr="000839A4">
        <w:rPr>
          <w:szCs w:val="24"/>
        </w:rPr>
        <w:t>č.j.</w:t>
      </w:r>
      <w:proofErr w:type="gramEnd"/>
      <w:r w:rsidRPr="000839A4">
        <w:rPr>
          <w:szCs w:val="24"/>
        </w:rPr>
        <w:t xml:space="preserve"> VI/1-27 067/77 o posuzování hospodářského zabezpečení poskytovaného studujícím při cyklickém studiu na středních školách pro pracující u daně ze mzdy, registrovaný v částce 1/1978 Sb.,</w:t>
      </w:r>
    </w:p>
    <w:p w14:paraId="061D276D" w14:textId="77777777" w:rsidR="000839A4" w:rsidRPr="000839A4" w:rsidRDefault="000839A4" w:rsidP="000839A4">
      <w:pPr>
        <w:tabs>
          <w:tab w:val="left" w:pos="357"/>
        </w:tabs>
        <w:spacing w:before="0"/>
        <w:ind w:left="714" w:hanging="357"/>
        <w:rPr>
          <w:szCs w:val="24"/>
        </w:rPr>
      </w:pPr>
      <w:r w:rsidRPr="000839A4">
        <w:rPr>
          <w:szCs w:val="24"/>
        </w:rPr>
        <w:t>25.</w:t>
      </w:r>
      <w:r w:rsidRPr="000839A4">
        <w:rPr>
          <w:szCs w:val="24"/>
        </w:rPr>
        <w:tab/>
        <w:t xml:space="preserve">výnos Federálního ministerstva financí </w:t>
      </w:r>
      <w:proofErr w:type="gramStart"/>
      <w:r w:rsidRPr="000839A4">
        <w:rPr>
          <w:szCs w:val="24"/>
        </w:rPr>
        <w:t>č.j.</w:t>
      </w:r>
      <w:proofErr w:type="gramEnd"/>
      <w:r w:rsidRPr="000839A4">
        <w:rPr>
          <w:szCs w:val="24"/>
        </w:rPr>
        <w:t xml:space="preserve"> VI/1-8 762/78 „Odměny poskytované při udělení cen za vědeckou, technickou, uměleckou, publicistickou a jinou činnost; daň ze mzdy“, registrovaný v částce 15/1978 Sb.,</w:t>
      </w:r>
    </w:p>
    <w:p w14:paraId="277E2FCE" w14:textId="77777777" w:rsidR="000839A4" w:rsidRPr="000839A4" w:rsidRDefault="000839A4" w:rsidP="000839A4">
      <w:pPr>
        <w:tabs>
          <w:tab w:val="left" w:pos="357"/>
        </w:tabs>
        <w:spacing w:before="0"/>
        <w:ind w:left="714" w:hanging="357"/>
        <w:rPr>
          <w:szCs w:val="24"/>
        </w:rPr>
      </w:pPr>
      <w:r w:rsidRPr="000839A4">
        <w:rPr>
          <w:szCs w:val="24"/>
        </w:rPr>
        <w:t>26.</w:t>
      </w:r>
      <w:r w:rsidRPr="000839A4">
        <w:rPr>
          <w:szCs w:val="24"/>
        </w:rPr>
        <w:tab/>
        <w:t xml:space="preserve">výnos Federálního ministerstva financí </w:t>
      </w:r>
      <w:proofErr w:type="gramStart"/>
      <w:r w:rsidRPr="000839A4">
        <w:rPr>
          <w:szCs w:val="24"/>
        </w:rPr>
        <w:t>č.j.</w:t>
      </w:r>
      <w:proofErr w:type="gramEnd"/>
      <w:r w:rsidRPr="000839A4">
        <w:rPr>
          <w:szCs w:val="24"/>
        </w:rPr>
        <w:t xml:space="preserve"> VI/1-26 711/1978 o zdaňování náborových příspěvků poskytovaných pracovníkům v souvislosti s prováděním racionalizačních a organizačních opatření, registrovaný v částce 5/1979 Sb.,</w:t>
      </w:r>
    </w:p>
    <w:p w14:paraId="2EFCB5F2" w14:textId="77777777" w:rsidR="000839A4" w:rsidRPr="000839A4" w:rsidRDefault="000839A4" w:rsidP="000839A4">
      <w:pPr>
        <w:tabs>
          <w:tab w:val="left" w:pos="357"/>
        </w:tabs>
        <w:spacing w:before="0"/>
        <w:ind w:left="714" w:hanging="357"/>
        <w:rPr>
          <w:szCs w:val="24"/>
        </w:rPr>
      </w:pPr>
      <w:r w:rsidRPr="000839A4">
        <w:rPr>
          <w:szCs w:val="24"/>
        </w:rPr>
        <w:t>27.</w:t>
      </w:r>
      <w:r w:rsidRPr="000839A4">
        <w:rPr>
          <w:szCs w:val="24"/>
        </w:rPr>
        <w:tab/>
        <w:t xml:space="preserve">výnos Federálního ministerstva financí </w:t>
      </w:r>
      <w:proofErr w:type="gramStart"/>
      <w:r w:rsidRPr="000839A4">
        <w:rPr>
          <w:szCs w:val="24"/>
        </w:rPr>
        <w:t>č.j.</w:t>
      </w:r>
      <w:proofErr w:type="gramEnd"/>
      <w:r w:rsidRPr="000839A4">
        <w:rPr>
          <w:szCs w:val="24"/>
        </w:rPr>
        <w:t xml:space="preserve"> VI/1-4 537/79 - „Daňové posuzování hodnoty stravování a ubytování poskytovaného pracovníkům pionýrských táborů“, registrovaný v částce 11/1979 Sb.,</w:t>
      </w:r>
    </w:p>
    <w:p w14:paraId="2FDCE306" w14:textId="77777777" w:rsidR="000839A4" w:rsidRPr="000839A4" w:rsidRDefault="000839A4" w:rsidP="000839A4">
      <w:pPr>
        <w:tabs>
          <w:tab w:val="left" w:pos="357"/>
        </w:tabs>
        <w:spacing w:before="0"/>
        <w:ind w:left="714" w:hanging="357"/>
        <w:rPr>
          <w:szCs w:val="24"/>
        </w:rPr>
      </w:pPr>
      <w:r w:rsidRPr="000839A4">
        <w:rPr>
          <w:szCs w:val="24"/>
        </w:rPr>
        <w:t>28.</w:t>
      </w:r>
      <w:r w:rsidRPr="000839A4">
        <w:rPr>
          <w:szCs w:val="24"/>
        </w:rPr>
        <w:tab/>
        <w:t xml:space="preserve">výnos Federálního ministerstva financí </w:t>
      </w:r>
      <w:proofErr w:type="gramStart"/>
      <w:r w:rsidRPr="000839A4">
        <w:rPr>
          <w:szCs w:val="24"/>
        </w:rPr>
        <w:t>č.j.</w:t>
      </w:r>
      <w:proofErr w:type="gramEnd"/>
      <w:r w:rsidRPr="000839A4">
        <w:rPr>
          <w:szCs w:val="24"/>
        </w:rPr>
        <w:t xml:space="preserve"> VI/1-421/1981 o zdaňování odstupného vypláceného horníkům, registrovaný v částce 10/1981 Sb.,</w:t>
      </w:r>
    </w:p>
    <w:p w14:paraId="47FE3C6A" w14:textId="77777777" w:rsidR="000839A4" w:rsidRPr="000839A4" w:rsidRDefault="000839A4" w:rsidP="000839A4">
      <w:pPr>
        <w:tabs>
          <w:tab w:val="left" w:pos="357"/>
        </w:tabs>
        <w:spacing w:before="0"/>
        <w:ind w:left="714" w:hanging="357"/>
        <w:rPr>
          <w:szCs w:val="24"/>
        </w:rPr>
      </w:pPr>
      <w:r w:rsidRPr="000839A4">
        <w:rPr>
          <w:szCs w:val="24"/>
        </w:rPr>
        <w:t>29.</w:t>
      </w:r>
      <w:r w:rsidRPr="000839A4">
        <w:rPr>
          <w:szCs w:val="24"/>
        </w:rPr>
        <w:tab/>
        <w:t xml:space="preserve">výnos Federálního ministerstva financí </w:t>
      </w:r>
      <w:proofErr w:type="gramStart"/>
      <w:r w:rsidRPr="000839A4">
        <w:rPr>
          <w:szCs w:val="24"/>
        </w:rPr>
        <w:t>č.j.</w:t>
      </w:r>
      <w:proofErr w:type="gramEnd"/>
      <w:r w:rsidRPr="000839A4">
        <w:rPr>
          <w:szCs w:val="24"/>
        </w:rPr>
        <w:t xml:space="preserve"> VI/1-584/82 o zvýšení hranice vlastního příjmu pro uznávání osob za vyživované podle výnosu o výjimečném uznávání osob, u nichž došlo ke zvýšení důchodu podle zákona č. 121/1975 Sb., o sociálním zabezpečení, za vyživované pro účely daně ze mzdy, registrovaný v částce 8/1982 Sb.,</w:t>
      </w:r>
    </w:p>
    <w:p w14:paraId="7F60832C" w14:textId="77777777" w:rsidR="000839A4" w:rsidRPr="000839A4" w:rsidRDefault="000839A4" w:rsidP="000839A4">
      <w:pPr>
        <w:tabs>
          <w:tab w:val="left" w:pos="357"/>
        </w:tabs>
        <w:spacing w:before="0"/>
        <w:ind w:left="714" w:hanging="357"/>
        <w:rPr>
          <w:szCs w:val="24"/>
        </w:rPr>
      </w:pPr>
      <w:r w:rsidRPr="000839A4">
        <w:rPr>
          <w:szCs w:val="24"/>
        </w:rPr>
        <w:t>30.</w:t>
      </w:r>
      <w:r w:rsidRPr="000839A4">
        <w:rPr>
          <w:szCs w:val="24"/>
        </w:rPr>
        <w:tab/>
        <w:t xml:space="preserve">výnos Federálního ministerstva financí </w:t>
      </w:r>
      <w:proofErr w:type="gramStart"/>
      <w:r w:rsidRPr="000839A4">
        <w:rPr>
          <w:szCs w:val="24"/>
        </w:rPr>
        <w:t>č.j.</w:t>
      </w:r>
      <w:proofErr w:type="gramEnd"/>
      <w:r w:rsidRPr="000839A4">
        <w:rPr>
          <w:szCs w:val="24"/>
        </w:rPr>
        <w:t xml:space="preserve"> VI/1-12 836/82 o poskytování slev daně ze mzdy na zletilé děti, které se staly plně invalidní před dovršením věku rozhodného pro skončení povinné školní docházky, registrovaný v částce 3/1983 Sb.,</w:t>
      </w:r>
    </w:p>
    <w:p w14:paraId="349538EE" w14:textId="77777777" w:rsidR="000839A4" w:rsidRPr="000839A4" w:rsidRDefault="000839A4" w:rsidP="000839A4">
      <w:pPr>
        <w:tabs>
          <w:tab w:val="left" w:pos="357"/>
        </w:tabs>
        <w:spacing w:before="0"/>
        <w:ind w:left="714" w:hanging="357"/>
        <w:rPr>
          <w:szCs w:val="24"/>
        </w:rPr>
      </w:pPr>
      <w:r w:rsidRPr="000839A4">
        <w:rPr>
          <w:szCs w:val="24"/>
        </w:rPr>
        <w:t>31.</w:t>
      </w:r>
      <w:r w:rsidRPr="000839A4">
        <w:rPr>
          <w:szCs w:val="24"/>
        </w:rPr>
        <w:tab/>
        <w:t xml:space="preserve">výnos Federálního ministerstva financí </w:t>
      </w:r>
      <w:proofErr w:type="gramStart"/>
      <w:r w:rsidRPr="000839A4">
        <w:rPr>
          <w:szCs w:val="24"/>
        </w:rPr>
        <w:t>č.j.</w:t>
      </w:r>
      <w:proofErr w:type="gramEnd"/>
      <w:r w:rsidRPr="000839A4">
        <w:rPr>
          <w:szCs w:val="24"/>
        </w:rPr>
        <w:t xml:space="preserve"> VI/1-13 318/82 o zdaňování odměn za fotografické práce prováděné na základě dohod o pracích konaných mimo pracovní poměr, registrovaný v částce 3/1983 Sb.,</w:t>
      </w:r>
    </w:p>
    <w:p w14:paraId="5BB5C55F" w14:textId="77777777" w:rsidR="000839A4" w:rsidRPr="000839A4" w:rsidRDefault="000839A4" w:rsidP="000839A4">
      <w:pPr>
        <w:tabs>
          <w:tab w:val="left" w:pos="357"/>
        </w:tabs>
        <w:spacing w:before="0"/>
        <w:ind w:left="714" w:hanging="357"/>
        <w:rPr>
          <w:szCs w:val="24"/>
        </w:rPr>
      </w:pPr>
      <w:r w:rsidRPr="000839A4">
        <w:rPr>
          <w:szCs w:val="24"/>
        </w:rPr>
        <w:t>32.</w:t>
      </w:r>
      <w:r w:rsidRPr="000839A4">
        <w:rPr>
          <w:szCs w:val="24"/>
        </w:rPr>
        <w:tab/>
        <w:t xml:space="preserve">výnos Federálního ministerstva financí </w:t>
      </w:r>
      <w:proofErr w:type="gramStart"/>
      <w:r w:rsidRPr="000839A4">
        <w:rPr>
          <w:szCs w:val="24"/>
        </w:rPr>
        <w:t>č.j.</w:t>
      </w:r>
      <w:proofErr w:type="gramEnd"/>
      <w:r w:rsidRPr="000839A4">
        <w:rPr>
          <w:szCs w:val="24"/>
        </w:rPr>
        <w:t xml:space="preserve"> V/1-3 776/83 o zdaňování odstupného poskytovaného horníkům, registrovaný v částce 14/1983 Sb.,</w:t>
      </w:r>
    </w:p>
    <w:p w14:paraId="6761AF37" w14:textId="77777777" w:rsidR="000839A4" w:rsidRPr="000839A4" w:rsidRDefault="000839A4" w:rsidP="000839A4">
      <w:pPr>
        <w:tabs>
          <w:tab w:val="left" w:pos="357"/>
        </w:tabs>
        <w:spacing w:before="0"/>
        <w:ind w:left="714" w:hanging="357"/>
        <w:rPr>
          <w:szCs w:val="24"/>
        </w:rPr>
      </w:pPr>
      <w:r w:rsidRPr="000839A4">
        <w:rPr>
          <w:szCs w:val="24"/>
        </w:rPr>
        <w:t>33.</w:t>
      </w:r>
      <w:r w:rsidRPr="000839A4">
        <w:rPr>
          <w:szCs w:val="24"/>
        </w:rPr>
        <w:tab/>
        <w:t xml:space="preserve">výnos Federálního ministerstva financí </w:t>
      </w:r>
      <w:proofErr w:type="gramStart"/>
      <w:r w:rsidRPr="000839A4">
        <w:rPr>
          <w:szCs w:val="24"/>
        </w:rPr>
        <w:t>č.j.</w:t>
      </w:r>
      <w:proofErr w:type="gramEnd"/>
      <w:r w:rsidRPr="000839A4">
        <w:rPr>
          <w:szCs w:val="24"/>
        </w:rPr>
        <w:t xml:space="preserve"> V/1-21 317/84 o výjimečném uznávání vdov po účastnících odboje a rodičů účastníka odboje, u nichž došlo ke zvýšení důchodu podle zákona č. 108/1984 Sb., o zvýšení některých nízkých důchodů a o dalších </w:t>
      </w:r>
      <w:r w:rsidRPr="000839A4">
        <w:rPr>
          <w:szCs w:val="24"/>
        </w:rPr>
        <w:lastRenderedPageBreak/>
        <w:t>změnách v sociálním zabezpečení, za vyživované osoby pro účely daně ze mzdy, registrovaný v částce 3/1985 Sb.,</w:t>
      </w:r>
    </w:p>
    <w:p w14:paraId="298BCBCA" w14:textId="77777777" w:rsidR="000839A4" w:rsidRPr="000839A4" w:rsidRDefault="000839A4" w:rsidP="000839A4">
      <w:pPr>
        <w:tabs>
          <w:tab w:val="left" w:pos="357"/>
        </w:tabs>
        <w:spacing w:before="0"/>
        <w:ind w:left="714" w:hanging="357"/>
        <w:rPr>
          <w:szCs w:val="24"/>
        </w:rPr>
      </w:pPr>
      <w:r w:rsidRPr="000839A4">
        <w:rPr>
          <w:szCs w:val="24"/>
        </w:rPr>
        <w:t>34.</w:t>
      </w:r>
      <w:r w:rsidRPr="000839A4">
        <w:rPr>
          <w:szCs w:val="24"/>
        </w:rPr>
        <w:tab/>
        <w:t xml:space="preserve">výnos Federálního ministerstva financí </w:t>
      </w:r>
      <w:proofErr w:type="gramStart"/>
      <w:r w:rsidRPr="000839A4">
        <w:rPr>
          <w:szCs w:val="24"/>
        </w:rPr>
        <w:t>č.j.</w:t>
      </w:r>
      <w:proofErr w:type="gramEnd"/>
      <w:r w:rsidRPr="000839A4">
        <w:rPr>
          <w:szCs w:val="24"/>
        </w:rPr>
        <w:t xml:space="preserve"> V/1-21 171/84 o daňovém posuzování zahraničních občanů zaměstnaných v československých organizacích na základě mezivládních dohod, registrovaný v částce 4/1985 Sb.,</w:t>
      </w:r>
    </w:p>
    <w:p w14:paraId="7315D30E" w14:textId="77777777" w:rsidR="000839A4" w:rsidRPr="000839A4" w:rsidRDefault="000839A4" w:rsidP="000839A4">
      <w:pPr>
        <w:tabs>
          <w:tab w:val="left" w:pos="357"/>
        </w:tabs>
        <w:spacing w:before="0"/>
        <w:ind w:left="714" w:hanging="357"/>
        <w:rPr>
          <w:szCs w:val="24"/>
        </w:rPr>
      </w:pPr>
      <w:r w:rsidRPr="000839A4">
        <w:rPr>
          <w:szCs w:val="24"/>
        </w:rPr>
        <w:t>35.</w:t>
      </w:r>
      <w:r w:rsidRPr="000839A4">
        <w:rPr>
          <w:szCs w:val="24"/>
        </w:rPr>
        <w:tab/>
        <w:t xml:space="preserve">výnos Federálního ministerstva financí </w:t>
      </w:r>
      <w:proofErr w:type="gramStart"/>
      <w:r w:rsidRPr="000839A4">
        <w:rPr>
          <w:szCs w:val="24"/>
        </w:rPr>
        <w:t>č.j.</w:t>
      </w:r>
      <w:proofErr w:type="gramEnd"/>
      <w:r w:rsidRPr="000839A4">
        <w:rPr>
          <w:szCs w:val="24"/>
        </w:rPr>
        <w:t xml:space="preserve"> V/1-1 895/85 o daňovém posuzování příspěvků na úhradu za užívání družstevních bytů poskytovaných pracovníkům zemědělských organizací, registrovaný v částce 8/1985 Sb.,</w:t>
      </w:r>
    </w:p>
    <w:p w14:paraId="274EB5A6" w14:textId="77777777" w:rsidR="000839A4" w:rsidRPr="000839A4" w:rsidRDefault="000839A4" w:rsidP="000839A4">
      <w:pPr>
        <w:tabs>
          <w:tab w:val="left" w:pos="357"/>
        </w:tabs>
        <w:spacing w:before="0"/>
        <w:ind w:left="714" w:hanging="357"/>
        <w:rPr>
          <w:szCs w:val="24"/>
        </w:rPr>
      </w:pPr>
      <w:r w:rsidRPr="000839A4">
        <w:rPr>
          <w:szCs w:val="24"/>
        </w:rPr>
        <w:t>36.</w:t>
      </w:r>
      <w:r w:rsidRPr="000839A4">
        <w:rPr>
          <w:szCs w:val="24"/>
        </w:rPr>
        <w:tab/>
        <w:t xml:space="preserve">výnos Federálního ministerstva financí </w:t>
      </w:r>
      <w:proofErr w:type="gramStart"/>
      <w:r w:rsidRPr="000839A4">
        <w:rPr>
          <w:szCs w:val="24"/>
        </w:rPr>
        <w:t>č.j.</w:t>
      </w:r>
      <w:proofErr w:type="gramEnd"/>
      <w:r w:rsidRPr="000839A4">
        <w:rPr>
          <w:szCs w:val="24"/>
        </w:rPr>
        <w:t xml:space="preserve"> V/1-13 669/85 o zdaňování odměn za odběr a sběr biologického materiálu z lidského organismu na výrobu sér, očkovacích látek a léčiv a za odběr orgánů pro transplantaci, registrovaný v částce 26/1985 Sb.,</w:t>
      </w:r>
    </w:p>
    <w:p w14:paraId="119B7AFF" w14:textId="77777777" w:rsidR="000839A4" w:rsidRPr="000839A4" w:rsidRDefault="000839A4" w:rsidP="000839A4">
      <w:pPr>
        <w:tabs>
          <w:tab w:val="left" w:pos="357"/>
        </w:tabs>
        <w:spacing w:before="0"/>
        <w:ind w:left="714" w:hanging="357"/>
        <w:rPr>
          <w:szCs w:val="24"/>
        </w:rPr>
      </w:pPr>
      <w:r w:rsidRPr="000839A4">
        <w:rPr>
          <w:szCs w:val="24"/>
        </w:rPr>
        <w:t>37.</w:t>
      </w:r>
      <w:r w:rsidRPr="000839A4">
        <w:rPr>
          <w:szCs w:val="24"/>
        </w:rPr>
        <w:tab/>
        <w:t xml:space="preserve">ustanovení § 7 odst. 8 výnosu Federálního ministerstva financí </w:t>
      </w:r>
      <w:proofErr w:type="gramStart"/>
      <w:r w:rsidRPr="000839A4">
        <w:rPr>
          <w:szCs w:val="24"/>
        </w:rPr>
        <w:t>č.j.</w:t>
      </w:r>
      <w:proofErr w:type="gramEnd"/>
      <w:r w:rsidRPr="000839A4">
        <w:rPr>
          <w:szCs w:val="24"/>
        </w:rPr>
        <w:t xml:space="preserve"> III/3-10 780/86 a výnosu Ministerstva financí ČSR č.j. 122/11 735/86 o poskytování příspěvků na úhradu za užívání družstevních bytů ve vymezeném území při západní hranici Československé socialistické republiky, registrovaného v částce 16/1986 Sb.,</w:t>
      </w:r>
    </w:p>
    <w:p w14:paraId="14CA4C60" w14:textId="77777777" w:rsidR="000839A4" w:rsidRPr="000839A4" w:rsidRDefault="000839A4" w:rsidP="000839A4">
      <w:pPr>
        <w:tabs>
          <w:tab w:val="left" w:pos="357"/>
        </w:tabs>
        <w:spacing w:before="0"/>
        <w:ind w:left="714" w:hanging="357"/>
        <w:rPr>
          <w:szCs w:val="24"/>
        </w:rPr>
      </w:pPr>
      <w:r w:rsidRPr="000839A4">
        <w:rPr>
          <w:szCs w:val="24"/>
        </w:rPr>
        <w:t>38.</w:t>
      </w:r>
      <w:r w:rsidRPr="000839A4">
        <w:rPr>
          <w:szCs w:val="24"/>
        </w:rPr>
        <w:tab/>
        <w:t xml:space="preserve">výnos Federálního ministerstva financí </w:t>
      </w:r>
      <w:proofErr w:type="gramStart"/>
      <w:r w:rsidRPr="000839A4">
        <w:rPr>
          <w:szCs w:val="24"/>
        </w:rPr>
        <w:t>č.j.</w:t>
      </w:r>
      <w:proofErr w:type="gramEnd"/>
      <w:r w:rsidRPr="000839A4">
        <w:rPr>
          <w:szCs w:val="24"/>
        </w:rPr>
        <w:t xml:space="preserve"> V/1-7 393/87 ze dne 15. 5. 1987 o prominutí důsledků opožděného předložení průkazu o počtu vyživovaných osob pro účely daně ze mzdy, registrovaný v částce 16/1987 Sb.,</w:t>
      </w:r>
    </w:p>
    <w:p w14:paraId="2FE0BA25" w14:textId="77777777" w:rsidR="000839A4" w:rsidRPr="000839A4" w:rsidRDefault="000839A4" w:rsidP="000839A4">
      <w:pPr>
        <w:tabs>
          <w:tab w:val="left" w:pos="357"/>
        </w:tabs>
        <w:spacing w:before="0"/>
        <w:ind w:left="714" w:hanging="357"/>
        <w:rPr>
          <w:szCs w:val="24"/>
        </w:rPr>
      </w:pPr>
      <w:r w:rsidRPr="000839A4">
        <w:rPr>
          <w:szCs w:val="24"/>
        </w:rPr>
        <w:t>39.</w:t>
      </w:r>
      <w:r w:rsidRPr="000839A4">
        <w:rPr>
          <w:szCs w:val="24"/>
        </w:rPr>
        <w:tab/>
        <w:t xml:space="preserve">výnos Federálního ministerstva financí </w:t>
      </w:r>
      <w:proofErr w:type="gramStart"/>
      <w:r w:rsidRPr="000839A4">
        <w:rPr>
          <w:szCs w:val="24"/>
        </w:rPr>
        <w:t>č.j.</w:t>
      </w:r>
      <w:proofErr w:type="gramEnd"/>
      <w:r w:rsidRPr="000839A4">
        <w:rPr>
          <w:szCs w:val="24"/>
        </w:rPr>
        <w:t xml:space="preserve"> V/1-5 614/88 ze dne 29. dubna 1988 o daňovém posuzování zahraničních občanů v čs. organizacích, registrovaný v částce 12/1988 Sb.,</w:t>
      </w:r>
    </w:p>
    <w:p w14:paraId="5B51EAEA" w14:textId="77777777" w:rsidR="000839A4" w:rsidRPr="000839A4" w:rsidRDefault="000839A4" w:rsidP="000839A4">
      <w:pPr>
        <w:tabs>
          <w:tab w:val="left" w:pos="357"/>
        </w:tabs>
        <w:spacing w:before="0"/>
        <w:ind w:left="714" w:hanging="357"/>
        <w:rPr>
          <w:szCs w:val="24"/>
        </w:rPr>
      </w:pPr>
      <w:r w:rsidRPr="000839A4">
        <w:rPr>
          <w:szCs w:val="24"/>
        </w:rPr>
        <w:t>40.</w:t>
      </w:r>
      <w:r w:rsidRPr="000839A4">
        <w:rPr>
          <w:szCs w:val="24"/>
        </w:rPr>
        <w:tab/>
        <w:t xml:space="preserve">výnos Federálního ministerstva financí </w:t>
      </w:r>
      <w:proofErr w:type="gramStart"/>
      <w:r w:rsidRPr="000839A4">
        <w:rPr>
          <w:szCs w:val="24"/>
        </w:rPr>
        <w:t>č.j.</w:t>
      </w:r>
      <w:proofErr w:type="gramEnd"/>
      <w:r w:rsidRPr="000839A4">
        <w:rPr>
          <w:szCs w:val="24"/>
        </w:rPr>
        <w:t xml:space="preserve"> II/4-19 752/88 ze dne 8. 12. 1988, kterým se osvobozují od daně ze mzdy věcné odměny poskytované pracovníkům v oblasti civilní obrany a branné výchovy, registrovaný v částce 47/1988 Sb.,</w:t>
      </w:r>
    </w:p>
    <w:p w14:paraId="70AE0C2A" w14:textId="77777777" w:rsidR="000839A4" w:rsidRPr="000839A4" w:rsidRDefault="000839A4" w:rsidP="000839A4">
      <w:pPr>
        <w:tabs>
          <w:tab w:val="left" w:pos="357"/>
        </w:tabs>
        <w:spacing w:before="0"/>
        <w:ind w:left="714" w:hanging="357"/>
        <w:rPr>
          <w:szCs w:val="24"/>
        </w:rPr>
      </w:pPr>
      <w:r w:rsidRPr="000839A4">
        <w:rPr>
          <w:szCs w:val="24"/>
        </w:rPr>
        <w:t>41.</w:t>
      </w:r>
      <w:r w:rsidRPr="000839A4">
        <w:rPr>
          <w:szCs w:val="24"/>
        </w:rPr>
        <w:tab/>
        <w:t xml:space="preserve">výnos Federálního ministerstva financí </w:t>
      </w:r>
      <w:proofErr w:type="gramStart"/>
      <w:r w:rsidRPr="000839A4">
        <w:rPr>
          <w:szCs w:val="24"/>
        </w:rPr>
        <w:t>č.j.</w:t>
      </w:r>
      <w:proofErr w:type="gramEnd"/>
      <w:r w:rsidRPr="000839A4">
        <w:rPr>
          <w:szCs w:val="24"/>
        </w:rPr>
        <w:t xml:space="preserve"> II/4-22 067/89 ze dne 29. 12. 1989 o daňovém posuzování cestovních náhrad znalců za znalecké posudky o ceně staveb, pozemků, trvalých porostů a úhradách za zřízení práva osobního užívání pozemků, registrovaný v částce 40/1989 Sb.,</w:t>
      </w:r>
    </w:p>
    <w:p w14:paraId="60159C72" w14:textId="77777777" w:rsidR="000839A4" w:rsidRPr="000839A4" w:rsidRDefault="000839A4" w:rsidP="000839A4">
      <w:pPr>
        <w:tabs>
          <w:tab w:val="left" w:pos="357"/>
        </w:tabs>
        <w:spacing w:before="0"/>
        <w:ind w:left="714" w:hanging="357"/>
        <w:rPr>
          <w:szCs w:val="24"/>
        </w:rPr>
      </w:pPr>
      <w:r w:rsidRPr="000839A4">
        <w:rPr>
          <w:szCs w:val="24"/>
        </w:rPr>
        <w:t>42.</w:t>
      </w:r>
      <w:r w:rsidRPr="000839A4">
        <w:rPr>
          <w:szCs w:val="24"/>
        </w:rPr>
        <w:tab/>
        <w:t xml:space="preserve">výnos Federálního ministerstva financí </w:t>
      </w:r>
      <w:proofErr w:type="gramStart"/>
      <w:r w:rsidRPr="000839A4">
        <w:rPr>
          <w:szCs w:val="24"/>
        </w:rPr>
        <w:t>č.j.</w:t>
      </w:r>
      <w:proofErr w:type="gramEnd"/>
      <w:r w:rsidRPr="000839A4">
        <w:rPr>
          <w:szCs w:val="24"/>
        </w:rPr>
        <w:t xml:space="preserve"> II/1-18 039/1989, Ministerstva financí, cen a mezd ČSR č.j. 152/16 309/1989 a Ministerstva financí, cen a mezd SSR č.j. 71/1 644/1989 o vymezení oprávnění finančních správ a národních výborů k povolování úlev na zemědělské dani a penále, registrovaný v částce 36/1989 Sb.,</w:t>
      </w:r>
    </w:p>
    <w:p w14:paraId="381F9E8D" w14:textId="77777777" w:rsidR="000839A4" w:rsidRPr="000839A4" w:rsidRDefault="000839A4" w:rsidP="000839A4">
      <w:pPr>
        <w:tabs>
          <w:tab w:val="left" w:pos="357"/>
        </w:tabs>
        <w:spacing w:before="0"/>
        <w:ind w:left="714" w:hanging="357"/>
        <w:rPr>
          <w:szCs w:val="24"/>
        </w:rPr>
      </w:pPr>
      <w:r w:rsidRPr="000839A4">
        <w:rPr>
          <w:szCs w:val="24"/>
        </w:rPr>
        <w:t>43.</w:t>
      </w:r>
      <w:r w:rsidRPr="000839A4">
        <w:rPr>
          <w:szCs w:val="24"/>
        </w:rPr>
        <w:tab/>
        <w:t xml:space="preserve">výnos Federálního ministerstva financí </w:t>
      </w:r>
      <w:proofErr w:type="gramStart"/>
      <w:r w:rsidRPr="000839A4">
        <w:rPr>
          <w:szCs w:val="24"/>
        </w:rPr>
        <w:t>č.j.</w:t>
      </w:r>
      <w:proofErr w:type="gramEnd"/>
      <w:r w:rsidRPr="000839A4">
        <w:rPr>
          <w:szCs w:val="24"/>
        </w:rPr>
        <w:t xml:space="preserve"> II/1-18 795/89, Ministerstva financí, cen a mezd ČSR č.j. 152/23 286/89 a Ministerstva financí, cen a mezd SSR č.j. 72/2 220/89 o vymezení oprávnění finančních správ a národních výborů k povolování úlev na odvodu ze zisku, důchodové dani a penále, registrovaný v částce 40/1989 Sb.</w:t>
      </w:r>
    </w:p>
    <w:p w14:paraId="30125899" w14:textId="77777777" w:rsidR="000839A4" w:rsidRPr="000839A4" w:rsidRDefault="000839A4" w:rsidP="000839A4">
      <w:pPr>
        <w:keepNext/>
        <w:ind w:firstLine="0"/>
        <w:jc w:val="center"/>
        <w:rPr>
          <w:szCs w:val="24"/>
        </w:rPr>
      </w:pPr>
      <w:r w:rsidRPr="000839A4">
        <w:rPr>
          <w:szCs w:val="24"/>
        </w:rPr>
        <w:t>§ 42</w:t>
      </w:r>
    </w:p>
    <w:p w14:paraId="4ADDA319" w14:textId="77777777" w:rsidR="000839A4" w:rsidRPr="000839A4" w:rsidRDefault="000839A4" w:rsidP="000839A4">
      <w:pPr>
        <w:keepNext/>
        <w:ind w:firstLine="0"/>
        <w:jc w:val="center"/>
        <w:rPr>
          <w:b/>
          <w:szCs w:val="24"/>
        </w:rPr>
      </w:pPr>
      <w:r w:rsidRPr="000839A4">
        <w:rPr>
          <w:b/>
          <w:szCs w:val="24"/>
        </w:rPr>
        <w:t xml:space="preserve">Účinnost </w:t>
      </w:r>
    </w:p>
    <w:p w14:paraId="33C6D4CB" w14:textId="77777777" w:rsidR="000839A4" w:rsidRPr="000839A4" w:rsidRDefault="000839A4" w:rsidP="000839A4">
      <w:pPr>
        <w:tabs>
          <w:tab w:val="num" w:pos="782"/>
          <w:tab w:val="left" w:pos="851"/>
        </w:tabs>
        <w:spacing w:before="120" w:after="120"/>
        <w:outlineLvl w:val="6"/>
      </w:pPr>
      <w:r w:rsidRPr="000839A4">
        <w:t>Tento zákon nabývá účinnosti dnem 1. ledna 1993.</w:t>
      </w:r>
    </w:p>
    <w:p w14:paraId="6DDE39FF" w14:textId="77777777" w:rsidR="000839A4" w:rsidRPr="000839A4" w:rsidRDefault="000839A4" w:rsidP="000839A4">
      <w:pPr>
        <w:spacing w:before="0"/>
        <w:ind w:firstLine="0"/>
        <w:jc w:val="left"/>
        <w:rPr>
          <w:szCs w:val="24"/>
        </w:rPr>
      </w:pPr>
      <w:r w:rsidRPr="000839A4">
        <w:rPr>
          <w:szCs w:val="24"/>
        </w:rPr>
        <w:br w:type="page"/>
      </w:r>
    </w:p>
    <w:p w14:paraId="0163EC11" w14:textId="77777777" w:rsidR="000839A4" w:rsidRPr="00D90D00" w:rsidRDefault="000839A4" w:rsidP="000839A4">
      <w:pPr>
        <w:spacing w:before="120"/>
        <w:ind w:firstLine="482"/>
        <w:jc w:val="right"/>
        <w:rPr>
          <w:strike/>
          <w:szCs w:val="24"/>
        </w:rPr>
      </w:pPr>
      <w:r w:rsidRPr="00D90D00">
        <w:rPr>
          <w:strike/>
          <w:szCs w:val="24"/>
        </w:rPr>
        <w:lastRenderedPageBreak/>
        <w:t>Příloha č. 1 k zákonu č. 586/1992 Sb.</w:t>
      </w:r>
    </w:p>
    <w:p w14:paraId="71640889" w14:textId="77777777" w:rsidR="000839A4" w:rsidRPr="00D90D00" w:rsidRDefault="000839A4" w:rsidP="000839A4">
      <w:pPr>
        <w:spacing w:before="120" w:after="240"/>
        <w:ind w:firstLine="482"/>
        <w:jc w:val="center"/>
        <w:rPr>
          <w:b/>
          <w:strike/>
          <w:szCs w:val="24"/>
        </w:rPr>
      </w:pPr>
      <w:r w:rsidRPr="00D90D00">
        <w:rPr>
          <w:b/>
          <w:strike/>
          <w:szCs w:val="24"/>
        </w:rPr>
        <w:t>Třídění hmotného majetku</w:t>
      </w:r>
    </w:p>
    <w:tbl>
      <w:tblPr>
        <w:tblStyle w:val="Mkatabulky2"/>
        <w:tblW w:w="0" w:type="auto"/>
        <w:tblLook w:val="04A0" w:firstRow="1" w:lastRow="0" w:firstColumn="1" w:lastColumn="0" w:noHBand="0" w:noVBand="1"/>
      </w:tblPr>
      <w:tblGrid>
        <w:gridCol w:w="1271"/>
        <w:gridCol w:w="1559"/>
        <w:gridCol w:w="6230"/>
      </w:tblGrid>
      <w:tr w:rsidR="000839A4" w:rsidRPr="000839A4" w14:paraId="4A079EBA" w14:textId="77777777" w:rsidTr="000839A4">
        <w:tc>
          <w:tcPr>
            <w:tcW w:w="9062" w:type="dxa"/>
            <w:gridSpan w:val="3"/>
          </w:tcPr>
          <w:p w14:paraId="25A87119" w14:textId="77777777" w:rsidR="000839A4" w:rsidRPr="000839A4" w:rsidRDefault="000839A4" w:rsidP="000839A4">
            <w:pPr>
              <w:spacing w:before="120"/>
              <w:rPr>
                <w:strike/>
                <w:szCs w:val="24"/>
              </w:rPr>
            </w:pPr>
            <w:r w:rsidRPr="000839A4">
              <w:rPr>
                <w:strike/>
                <w:szCs w:val="24"/>
              </w:rPr>
              <w:t>ODPISOVÁ SKUPINA 1</w:t>
            </w:r>
          </w:p>
        </w:tc>
      </w:tr>
      <w:tr w:rsidR="000839A4" w:rsidRPr="000839A4" w14:paraId="7B83F4F1" w14:textId="77777777" w:rsidTr="000839A4">
        <w:tc>
          <w:tcPr>
            <w:tcW w:w="1271" w:type="dxa"/>
          </w:tcPr>
          <w:p w14:paraId="21612CD3" w14:textId="77777777" w:rsidR="000839A4" w:rsidRPr="000839A4" w:rsidRDefault="000839A4" w:rsidP="000839A4">
            <w:pPr>
              <w:spacing w:before="120"/>
              <w:rPr>
                <w:strike/>
                <w:szCs w:val="24"/>
              </w:rPr>
            </w:pPr>
            <w:r w:rsidRPr="000839A4">
              <w:rPr>
                <w:strike/>
                <w:szCs w:val="24"/>
              </w:rPr>
              <w:t>Položka +)</w:t>
            </w:r>
          </w:p>
        </w:tc>
        <w:tc>
          <w:tcPr>
            <w:tcW w:w="1559" w:type="dxa"/>
          </w:tcPr>
          <w:p w14:paraId="280159AB" w14:textId="77777777" w:rsidR="000839A4" w:rsidRPr="000839A4" w:rsidRDefault="000839A4" w:rsidP="000839A4">
            <w:pPr>
              <w:spacing w:before="120"/>
              <w:rPr>
                <w:strike/>
                <w:szCs w:val="24"/>
              </w:rPr>
            </w:pPr>
            <w:r w:rsidRPr="000839A4">
              <w:rPr>
                <w:strike/>
                <w:szCs w:val="24"/>
              </w:rPr>
              <w:t>CZ-CPA ++)</w:t>
            </w:r>
          </w:p>
        </w:tc>
        <w:tc>
          <w:tcPr>
            <w:tcW w:w="6232" w:type="dxa"/>
          </w:tcPr>
          <w:p w14:paraId="56D9C5BE" w14:textId="77777777" w:rsidR="000839A4" w:rsidRPr="000839A4" w:rsidRDefault="000839A4" w:rsidP="000839A4">
            <w:pPr>
              <w:spacing w:before="120"/>
              <w:rPr>
                <w:strike/>
                <w:szCs w:val="24"/>
              </w:rPr>
            </w:pPr>
            <w:r w:rsidRPr="000839A4">
              <w:rPr>
                <w:strike/>
                <w:szCs w:val="24"/>
              </w:rPr>
              <w:t>Název ++++)</w:t>
            </w:r>
          </w:p>
        </w:tc>
      </w:tr>
      <w:tr w:rsidR="000839A4" w:rsidRPr="000839A4" w14:paraId="6D9BE509" w14:textId="77777777" w:rsidTr="000839A4">
        <w:tc>
          <w:tcPr>
            <w:tcW w:w="1271" w:type="dxa"/>
          </w:tcPr>
          <w:p w14:paraId="1058C979" w14:textId="77777777" w:rsidR="000839A4" w:rsidRPr="000839A4" w:rsidRDefault="000839A4" w:rsidP="000839A4">
            <w:pPr>
              <w:spacing w:before="120"/>
              <w:rPr>
                <w:strike/>
                <w:szCs w:val="24"/>
              </w:rPr>
            </w:pPr>
            <w:r w:rsidRPr="000839A4">
              <w:rPr>
                <w:strike/>
                <w:szCs w:val="24"/>
              </w:rPr>
              <w:t>(1-1)</w:t>
            </w:r>
          </w:p>
        </w:tc>
        <w:tc>
          <w:tcPr>
            <w:tcW w:w="1559" w:type="dxa"/>
          </w:tcPr>
          <w:p w14:paraId="3935ED9D" w14:textId="77777777" w:rsidR="000839A4" w:rsidRPr="000839A4" w:rsidRDefault="000839A4" w:rsidP="000839A4">
            <w:pPr>
              <w:spacing w:before="120"/>
              <w:rPr>
                <w:strike/>
                <w:szCs w:val="24"/>
              </w:rPr>
            </w:pPr>
            <w:r w:rsidRPr="000839A4">
              <w:rPr>
                <w:strike/>
                <w:szCs w:val="24"/>
              </w:rPr>
              <w:t>01.4</w:t>
            </w:r>
          </w:p>
        </w:tc>
        <w:tc>
          <w:tcPr>
            <w:tcW w:w="6232" w:type="dxa"/>
          </w:tcPr>
          <w:p w14:paraId="64E984E3" w14:textId="77777777" w:rsidR="000839A4" w:rsidRPr="000839A4" w:rsidRDefault="000839A4" w:rsidP="000839A4">
            <w:pPr>
              <w:spacing w:before="120"/>
              <w:rPr>
                <w:strike/>
                <w:szCs w:val="24"/>
              </w:rPr>
            </w:pPr>
            <w:r w:rsidRPr="000839A4">
              <w:rPr>
                <w:strike/>
                <w:szCs w:val="24"/>
              </w:rPr>
              <w:t>Jen: skot plemenný</w:t>
            </w:r>
          </w:p>
        </w:tc>
      </w:tr>
      <w:tr w:rsidR="000839A4" w:rsidRPr="000839A4" w14:paraId="07FAB4A1" w14:textId="77777777" w:rsidTr="000839A4">
        <w:tc>
          <w:tcPr>
            <w:tcW w:w="1271" w:type="dxa"/>
          </w:tcPr>
          <w:p w14:paraId="10AE6BAE" w14:textId="77777777" w:rsidR="000839A4" w:rsidRPr="000839A4" w:rsidRDefault="000839A4" w:rsidP="000839A4">
            <w:pPr>
              <w:spacing w:before="120"/>
              <w:rPr>
                <w:strike/>
                <w:szCs w:val="24"/>
              </w:rPr>
            </w:pPr>
            <w:r w:rsidRPr="000839A4">
              <w:rPr>
                <w:strike/>
                <w:szCs w:val="24"/>
              </w:rPr>
              <w:t>(1-2)</w:t>
            </w:r>
          </w:p>
        </w:tc>
        <w:tc>
          <w:tcPr>
            <w:tcW w:w="1559" w:type="dxa"/>
          </w:tcPr>
          <w:p w14:paraId="0E65AAC9" w14:textId="77777777" w:rsidR="000839A4" w:rsidRPr="000839A4" w:rsidRDefault="000839A4" w:rsidP="000839A4">
            <w:pPr>
              <w:spacing w:before="120"/>
              <w:rPr>
                <w:strike/>
                <w:szCs w:val="24"/>
              </w:rPr>
            </w:pPr>
            <w:r w:rsidRPr="000839A4">
              <w:rPr>
                <w:strike/>
                <w:szCs w:val="24"/>
              </w:rPr>
              <w:t xml:space="preserve">01.4       </w:t>
            </w:r>
          </w:p>
        </w:tc>
        <w:tc>
          <w:tcPr>
            <w:tcW w:w="6232" w:type="dxa"/>
          </w:tcPr>
          <w:p w14:paraId="6D5599D0" w14:textId="77777777" w:rsidR="000839A4" w:rsidRPr="000839A4" w:rsidRDefault="000839A4" w:rsidP="000839A4">
            <w:pPr>
              <w:spacing w:before="120"/>
              <w:rPr>
                <w:strike/>
                <w:szCs w:val="24"/>
              </w:rPr>
            </w:pPr>
            <w:r w:rsidRPr="000839A4">
              <w:rPr>
                <w:strike/>
                <w:szCs w:val="24"/>
              </w:rPr>
              <w:t>Jen: skot chovný</w:t>
            </w:r>
          </w:p>
        </w:tc>
      </w:tr>
      <w:tr w:rsidR="000839A4" w:rsidRPr="000839A4" w14:paraId="339E9124" w14:textId="77777777" w:rsidTr="000839A4">
        <w:tc>
          <w:tcPr>
            <w:tcW w:w="1271" w:type="dxa"/>
          </w:tcPr>
          <w:p w14:paraId="37F045E7" w14:textId="77777777" w:rsidR="000839A4" w:rsidRPr="000839A4" w:rsidRDefault="000839A4" w:rsidP="000839A4">
            <w:pPr>
              <w:spacing w:before="120"/>
              <w:rPr>
                <w:strike/>
                <w:szCs w:val="24"/>
              </w:rPr>
            </w:pPr>
            <w:r w:rsidRPr="000839A4">
              <w:rPr>
                <w:strike/>
                <w:szCs w:val="24"/>
              </w:rPr>
              <w:t>(1-3)</w:t>
            </w:r>
          </w:p>
        </w:tc>
        <w:tc>
          <w:tcPr>
            <w:tcW w:w="1559" w:type="dxa"/>
          </w:tcPr>
          <w:p w14:paraId="17B6785A" w14:textId="77777777" w:rsidR="000839A4" w:rsidRPr="000839A4" w:rsidRDefault="000839A4" w:rsidP="000839A4">
            <w:pPr>
              <w:spacing w:before="120"/>
              <w:rPr>
                <w:strike/>
                <w:szCs w:val="24"/>
              </w:rPr>
            </w:pPr>
            <w:r w:rsidRPr="000839A4">
              <w:rPr>
                <w:strike/>
                <w:szCs w:val="24"/>
              </w:rPr>
              <w:t>01.43.10</w:t>
            </w:r>
          </w:p>
        </w:tc>
        <w:tc>
          <w:tcPr>
            <w:tcW w:w="6232" w:type="dxa"/>
          </w:tcPr>
          <w:p w14:paraId="4E33C878" w14:textId="77777777" w:rsidR="000839A4" w:rsidRPr="000839A4" w:rsidRDefault="000839A4" w:rsidP="000839A4">
            <w:pPr>
              <w:spacing w:before="120"/>
              <w:rPr>
                <w:strike/>
                <w:szCs w:val="24"/>
              </w:rPr>
            </w:pPr>
            <w:r w:rsidRPr="000839A4">
              <w:rPr>
                <w:strike/>
                <w:szCs w:val="24"/>
              </w:rPr>
              <w:t>Jen: osli, muly a mezci chovní a plemenní</w:t>
            </w:r>
          </w:p>
        </w:tc>
      </w:tr>
      <w:tr w:rsidR="000839A4" w:rsidRPr="000839A4" w14:paraId="25CDA171" w14:textId="77777777" w:rsidTr="000839A4">
        <w:tc>
          <w:tcPr>
            <w:tcW w:w="1271" w:type="dxa"/>
          </w:tcPr>
          <w:p w14:paraId="6532DAFB" w14:textId="77777777" w:rsidR="000839A4" w:rsidRPr="000839A4" w:rsidRDefault="000839A4" w:rsidP="000839A4">
            <w:pPr>
              <w:spacing w:before="120"/>
              <w:rPr>
                <w:strike/>
                <w:szCs w:val="24"/>
              </w:rPr>
            </w:pPr>
            <w:r w:rsidRPr="000839A4">
              <w:rPr>
                <w:strike/>
                <w:szCs w:val="24"/>
              </w:rPr>
              <w:t xml:space="preserve">(1-4)                 </w:t>
            </w:r>
          </w:p>
        </w:tc>
        <w:tc>
          <w:tcPr>
            <w:tcW w:w="1559" w:type="dxa"/>
          </w:tcPr>
          <w:p w14:paraId="6B07C545" w14:textId="77777777" w:rsidR="000839A4" w:rsidRPr="000839A4" w:rsidRDefault="000839A4" w:rsidP="000839A4">
            <w:pPr>
              <w:spacing w:before="120"/>
              <w:rPr>
                <w:strike/>
                <w:szCs w:val="24"/>
              </w:rPr>
            </w:pPr>
            <w:r w:rsidRPr="000839A4">
              <w:rPr>
                <w:strike/>
                <w:szCs w:val="24"/>
              </w:rPr>
              <w:t>01.45.11</w:t>
            </w:r>
          </w:p>
        </w:tc>
        <w:tc>
          <w:tcPr>
            <w:tcW w:w="6232" w:type="dxa"/>
          </w:tcPr>
          <w:p w14:paraId="2427CC19" w14:textId="77777777" w:rsidR="000839A4" w:rsidRPr="000839A4" w:rsidRDefault="000839A4" w:rsidP="000839A4">
            <w:pPr>
              <w:spacing w:before="120"/>
              <w:rPr>
                <w:strike/>
                <w:szCs w:val="24"/>
              </w:rPr>
            </w:pPr>
            <w:r w:rsidRPr="000839A4">
              <w:rPr>
                <w:strike/>
                <w:szCs w:val="24"/>
              </w:rPr>
              <w:t xml:space="preserve">Jen: ovce chovné a plemenné      </w:t>
            </w:r>
          </w:p>
        </w:tc>
      </w:tr>
      <w:tr w:rsidR="000839A4" w:rsidRPr="000839A4" w14:paraId="39353B6E" w14:textId="77777777" w:rsidTr="000839A4">
        <w:tc>
          <w:tcPr>
            <w:tcW w:w="1271" w:type="dxa"/>
          </w:tcPr>
          <w:p w14:paraId="5CB73508" w14:textId="77777777" w:rsidR="000839A4" w:rsidRPr="000839A4" w:rsidRDefault="000839A4" w:rsidP="000839A4">
            <w:pPr>
              <w:spacing w:before="120"/>
              <w:rPr>
                <w:strike/>
                <w:szCs w:val="24"/>
              </w:rPr>
            </w:pPr>
            <w:r w:rsidRPr="000839A4">
              <w:rPr>
                <w:strike/>
                <w:szCs w:val="24"/>
              </w:rPr>
              <w:t xml:space="preserve">(1-5)   </w:t>
            </w:r>
          </w:p>
        </w:tc>
        <w:tc>
          <w:tcPr>
            <w:tcW w:w="1559" w:type="dxa"/>
          </w:tcPr>
          <w:p w14:paraId="7B7A4A98" w14:textId="77777777" w:rsidR="000839A4" w:rsidRPr="000839A4" w:rsidRDefault="000839A4" w:rsidP="000839A4">
            <w:pPr>
              <w:spacing w:before="120"/>
              <w:rPr>
                <w:strike/>
                <w:szCs w:val="24"/>
              </w:rPr>
            </w:pPr>
            <w:r w:rsidRPr="000839A4">
              <w:rPr>
                <w:strike/>
                <w:szCs w:val="24"/>
              </w:rPr>
              <w:t xml:space="preserve">01.45.12   </w:t>
            </w:r>
          </w:p>
        </w:tc>
        <w:tc>
          <w:tcPr>
            <w:tcW w:w="6232" w:type="dxa"/>
          </w:tcPr>
          <w:p w14:paraId="1D8CAF7E" w14:textId="77777777" w:rsidR="000839A4" w:rsidRPr="000839A4" w:rsidRDefault="000839A4" w:rsidP="000839A4">
            <w:pPr>
              <w:spacing w:before="120"/>
              <w:rPr>
                <w:strike/>
                <w:szCs w:val="24"/>
              </w:rPr>
            </w:pPr>
            <w:r w:rsidRPr="000839A4">
              <w:rPr>
                <w:strike/>
                <w:szCs w:val="24"/>
              </w:rPr>
              <w:t>Jen: kozy chovné a plemenné</w:t>
            </w:r>
          </w:p>
        </w:tc>
      </w:tr>
      <w:tr w:rsidR="000839A4" w:rsidRPr="000839A4" w14:paraId="00C3496A" w14:textId="77777777" w:rsidTr="000839A4">
        <w:tc>
          <w:tcPr>
            <w:tcW w:w="1271" w:type="dxa"/>
          </w:tcPr>
          <w:p w14:paraId="4A35CFD0" w14:textId="77777777" w:rsidR="000839A4" w:rsidRPr="000839A4" w:rsidRDefault="000839A4" w:rsidP="000839A4">
            <w:pPr>
              <w:spacing w:before="120"/>
              <w:rPr>
                <w:strike/>
                <w:szCs w:val="24"/>
              </w:rPr>
            </w:pPr>
            <w:r w:rsidRPr="000839A4">
              <w:rPr>
                <w:strike/>
                <w:szCs w:val="24"/>
              </w:rPr>
              <w:t xml:space="preserve">(1-6) </w:t>
            </w:r>
          </w:p>
        </w:tc>
        <w:tc>
          <w:tcPr>
            <w:tcW w:w="1559" w:type="dxa"/>
          </w:tcPr>
          <w:p w14:paraId="0D724B23" w14:textId="77777777" w:rsidR="000839A4" w:rsidRPr="000839A4" w:rsidRDefault="000839A4" w:rsidP="000839A4">
            <w:pPr>
              <w:spacing w:before="120"/>
              <w:rPr>
                <w:strike/>
                <w:szCs w:val="24"/>
              </w:rPr>
            </w:pPr>
            <w:r w:rsidRPr="000839A4">
              <w:rPr>
                <w:strike/>
                <w:szCs w:val="24"/>
              </w:rPr>
              <w:t xml:space="preserve">01.46.10   </w:t>
            </w:r>
          </w:p>
        </w:tc>
        <w:tc>
          <w:tcPr>
            <w:tcW w:w="6232" w:type="dxa"/>
          </w:tcPr>
          <w:p w14:paraId="74B938C1" w14:textId="77777777" w:rsidR="000839A4" w:rsidRPr="000839A4" w:rsidRDefault="000839A4" w:rsidP="000839A4">
            <w:pPr>
              <w:spacing w:before="120"/>
              <w:rPr>
                <w:strike/>
                <w:szCs w:val="24"/>
              </w:rPr>
            </w:pPr>
            <w:r w:rsidRPr="000839A4">
              <w:rPr>
                <w:strike/>
                <w:szCs w:val="24"/>
              </w:rPr>
              <w:t>Jen: prasata plemenná</w:t>
            </w:r>
          </w:p>
        </w:tc>
      </w:tr>
      <w:tr w:rsidR="000839A4" w:rsidRPr="000839A4" w14:paraId="6298FD7B" w14:textId="77777777" w:rsidTr="000839A4">
        <w:tc>
          <w:tcPr>
            <w:tcW w:w="1271" w:type="dxa"/>
          </w:tcPr>
          <w:p w14:paraId="5EE42060" w14:textId="77777777" w:rsidR="000839A4" w:rsidRPr="000839A4" w:rsidRDefault="000839A4" w:rsidP="000839A4">
            <w:pPr>
              <w:spacing w:before="120"/>
              <w:rPr>
                <w:strike/>
                <w:szCs w:val="24"/>
              </w:rPr>
            </w:pPr>
            <w:r w:rsidRPr="000839A4">
              <w:rPr>
                <w:strike/>
                <w:szCs w:val="24"/>
              </w:rPr>
              <w:t>(1-7)</w:t>
            </w:r>
          </w:p>
        </w:tc>
        <w:tc>
          <w:tcPr>
            <w:tcW w:w="1559" w:type="dxa"/>
          </w:tcPr>
          <w:p w14:paraId="70BAFDE8" w14:textId="77777777" w:rsidR="000839A4" w:rsidRPr="000839A4" w:rsidRDefault="000839A4" w:rsidP="000839A4">
            <w:pPr>
              <w:spacing w:before="120"/>
              <w:rPr>
                <w:strike/>
                <w:szCs w:val="24"/>
              </w:rPr>
            </w:pPr>
            <w:r w:rsidRPr="000839A4">
              <w:rPr>
                <w:strike/>
                <w:szCs w:val="24"/>
              </w:rPr>
              <w:t xml:space="preserve">01.46.10   </w:t>
            </w:r>
          </w:p>
        </w:tc>
        <w:tc>
          <w:tcPr>
            <w:tcW w:w="6232" w:type="dxa"/>
          </w:tcPr>
          <w:p w14:paraId="50AB9C53" w14:textId="77777777" w:rsidR="000839A4" w:rsidRPr="000839A4" w:rsidRDefault="000839A4" w:rsidP="000839A4">
            <w:pPr>
              <w:spacing w:before="120"/>
              <w:rPr>
                <w:strike/>
                <w:szCs w:val="24"/>
              </w:rPr>
            </w:pPr>
            <w:r w:rsidRPr="000839A4">
              <w:rPr>
                <w:strike/>
                <w:szCs w:val="24"/>
              </w:rPr>
              <w:t>Jen: prasata chovná</w:t>
            </w:r>
          </w:p>
        </w:tc>
      </w:tr>
      <w:tr w:rsidR="000839A4" w:rsidRPr="000839A4" w14:paraId="4FC275F7" w14:textId="77777777" w:rsidTr="000839A4">
        <w:tc>
          <w:tcPr>
            <w:tcW w:w="1271" w:type="dxa"/>
          </w:tcPr>
          <w:p w14:paraId="22415604" w14:textId="77777777" w:rsidR="000839A4" w:rsidRPr="000839A4" w:rsidRDefault="000839A4" w:rsidP="000839A4">
            <w:pPr>
              <w:spacing w:before="120"/>
              <w:rPr>
                <w:strike/>
                <w:szCs w:val="24"/>
              </w:rPr>
            </w:pPr>
            <w:r w:rsidRPr="000839A4">
              <w:rPr>
                <w:strike/>
                <w:szCs w:val="24"/>
              </w:rPr>
              <w:t>(1-8)</w:t>
            </w:r>
          </w:p>
        </w:tc>
        <w:tc>
          <w:tcPr>
            <w:tcW w:w="1559" w:type="dxa"/>
          </w:tcPr>
          <w:p w14:paraId="3F8D945F" w14:textId="77777777" w:rsidR="000839A4" w:rsidRPr="000839A4" w:rsidRDefault="000839A4" w:rsidP="000839A4">
            <w:pPr>
              <w:spacing w:before="120"/>
              <w:rPr>
                <w:strike/>
                <w:szCs w:val="24"/>
              </w:rPr>
            </w:pPr>
            <w:r w:rsidRPr="000839A4">
              <w:rPr>
                <w:strike/>
                <w:szCs w:val="24"/>
              </w:rPr>
              <w:t>01.47.13</w:t>
            </w:r>
          </w:p>
        </w:tc>
        <w:tc>
          <w:tcPr>
            <w:tcW w:w="6232" w:type="dxa"/>
          </w:tcPr>
          <w:p w14:paraId="3581CDD7" w14:textId="77777777" w:rsidR="000839A4" w:rsidRPr="000839A4" w:rsidRDefault="000839A4" w:rsidP="000839A4">
            <w:pPr>
              <w:spacing w:before="120"/>
              <w:rPr>
                <w:strike/>
                <w:szCs w:val="24"/>
              </w:rPr>
            </w:pPr>
            <w:r w:rsidRPr="000839A4">
              <w:rPr>
                <w:strike/>
                <w:szCs w:val="24"/>
              </w:rPr>
              <w:t>Jen: hejna husí plemenná</w:t>
            </w:r>
          </w:p>
        </w:tc>
      </w:tr>
      <w:tr w:rsidR="000839A4" w:rsidRPr="000839A4" w14:paraId="4B666CD2" w14:textId="77777777" w:rsidTr="000839A4">
        <w:tc>
          <w:tcPr>
            <w:tcW w:w="1271" w:type="dxa"/>
          </w:tcPr>
          <w:p w14:paraId="72345BCB" w14:textId="77777777" w:rsidR="000839A4" w:rsidRPr="000839A4" w:rsidRDefault="000839A4" w:rsidP="000839A4">
            <w:pPr>
              <w:spacing w:before="120"/>
              <w:rPr>
                <w:strike/>
                <w:szCs w:val="24"/>
              </w:rPr>
            </w:pPr>
            <w:r w:rsidRPr="000839A4">
              <w:rPr>
                <w:strike/>
                <w:szCs w:val="24"/>
              </w:rPr>
              <w:t>(1-9)</w:t>
            </w:r>
          </w:p>
        </w:tc>
        <w:tc>
          <w:tcPr>
            <w:tcW w:w="1559" w:type="dxa"/>
          </w:tcPr>
          <w:p w14:paraId="5DB27D7F" w14:textId="77777777" w:rsidR="000839A4" w:rsidRPr="000839A4" w:rsidRDefault="000839A4" w:rsidP="000839A4">
            <w:pPr>
              <w:spacing w:before="120"/>
              <w:rPr>
                <w:strike/>
                <w:szCs w:val="24"/>
              </w:rPr>
            </w:pPr>
            <w:r w:rsidRPr="000839A4">
              <w:rPr>
                <w:strike/>
                <w:szCs w:val="24"/>
              </w:rPr>
              <w:t>01.47.13</w:t>
            </w:r>
          </w:p>
        </w:tc>
        <w:tc>
          <w:tcPr>
            <w:tcW w:w="6232" w:type="dxa"/>
          </w:tcPr>
          <w:p w14:paraId="238549A1" w14:textId="77777777" w:rsidR="000839A4" w:rsidRPr="000839A4" w:rsidRDefault="000839A4" w:rsidP="000839A4">
            <w:pPr>
              <w:spacing w:before="120"/>
              <w:rPr>
                <w:strike/>
                <w:szCs w:val="24"/>
              </w:rPr>
            </w:pPr>
            <w:r w:rsidRPr="000839A4">
              <w:rPr>
                <w:strike/>
                <w:szCs w:val="24"/>
              </w:rPr>
              <w:t>Jen: hejna husí chovná</w:t>
            </w:r>
          </w:p>
        </w:tc>
      </w:tr>
      <w:tr w:rsidR="000839A4" w:rsidRPr="000839A4" w14:paraId="7B8D4235" w14:textId="77777777" w:rsidTr="000839A4">
        <w:tc>
          <w:tcPr>
            <w:tcW w:w="1271" w:type="dxa"/>
          </w:tcPr>
          <w:p w14:paraId="33698B22" w14:textId="77777777" w:rsidR="000839A4" w:rsidRPr="000839A4" w:rsidRDefault="000839A4" w:rsidP="000839A4">
            <w:pPr>
              <w:spacing w:before="120"/>
              <w:rPr>
                <w:strike/>
                <w:szCs w:val="24"/>
              </w:rPr>
            </w:pPr>
            <w:r w:rsidRPr="000839A4">
              <w:rPr>
                <w:strike/>
                <w:szCs w:val="24"/>
              </w:rPr>
              <w:t>(1-10)</w:t>
            </w:r>
          </w:p>
        </w:tc>
        <w:tc>
          <w:tcPr>
            <w:tcW w:w="1559" w:type="dxa"/>
          </w:tcPr>
          <w:p w14:paraId="730B5ED5" w14:textId="77777777" w:rsidR="000839A4" w:rsidRPr="000839A4" w:rsidRDefault="000839A4" w:rsidP="000839A4">
            <w:pPr>
              <w:spacing w:before="120"/>
              <w:rPr>
                <w:strike/>
                <w:szCs w:val="24"/>
              </w:rPr>
            </w:pPr>
            <w:r w:rsidRPr="000839A4">
              <w:rPr>
                <w:strike/>
                <w:szCs w:val="24"/>
              </w:rPr>
              <w:t xml:space="preserve">22.29.25   </w:t>
            </w:r>
          </w:p>
        </w:tc>
        <w:tc>
          <w:tcPr>
            <w:tcW w:w="6232" w:type="dxa"/>
          </w:tcPr>
          <w:p w14:paraId="1641F629" w14:textId="77777777" w:rsidR="000839A4" w:rsidRPr="000839A4" w:rsidRDefault="000839A4" w:rsidP="000839A4">
            <w:pPr>
              <w:spacing w:before="120"/>
              <w:rPr>
                <w:strike/>
                <w:szCs w:val="24"/>
              </w:rPr>
            </w:pPr>
            <w:r w:rsidRPr="000839A4">
              <w:rPr>
                <w:strike/>
                <w:szCs w:val="24"/>
              </w:rPr>
              <w:t>Plastové kancelářské nebo školní potřeby</w:t>
            </w:r>
          </w:p>
        </w:tc>
      </w:tr>
      <w:tr w:rsidR="000839A4" w:rsidRPr="000839A4" w14:paraId="23FAC410" w14:textId="77777777" w:rsidTr="000839A4">
        <w:tc>
          <w:tcPr>
            <w:tcW w:w="1271" w:type="dxa"/>
          </w:tcPr>
          <w:p w14:paraId="7531D7BF" w14:textId="77777777" w:rsidR="000839A4" w:rsidRPr="000839A4" w:rsidRDefault="000839A4" w:rsidP="000839A4">
            <w:pPr>
              <w:spacing w:before="120"/>
              <w:rPr>
                <w:strike/>
                <w:szCs w:val="24"/>
              </w:rPr>
            </w:pPr>
            <w:r w:rsidRPr="000839A4">
              <w:rPr>
                <w:strike/>
                <w:szCs w:val="24"/>
              </w:rPr>
              <w:t>(1-11)</w:t>
            </w:r>
          </w:p>
          <w:p w14:paraId="142EBB31" w14:textId="77777777" w:rsidR="000839A4" w:rsidRPr="000839A4" w:rsidRDefault="000839A4" w:rsidP="000839A4">
            <w:pPr>
              <w:spacing w:before="120"/>
              <w:rPr>
                <w:strike/>
                <w:szCs w:val="24"/>
              </w:rPr>
            </w:pPr>
          </w:p>
        </w:tc>
        <w:tc>
          <w:tcPr>
            <w:tcW w:w="1559" w:type="dxa"/>
          </w:tcPr>
          <w:p w14:paraId="5FD00391" w14:textId="77777777" w:rsidR="000839A4" w:rsidRPr="000839A4" w:rsidRDefault="000839A4" w:rsidP="000839A4">
            <w:pPr>
              <w:spacing w:before="120"/>
              <w:rPr>
                <w:strike/>
                <w:szCs w:val="24"/>
              </w:rPr>
            </w:pPr>
            <w:r w:rsidRPr="000839A4">
              <w:rPr>
                <w:strike/>
                <w:szCs w:val="24"/>
              </w:rPr>
              <w:t>23.19.23</w:t>
            </w:r>
          </w:p>
        </w:tc>
        <w:tc>
          <w:tcPr>
            <w:tcW w:w="6232" w:type="dxa"/>
          </w:tcPr>
          <w:p w14:paraId="4A25B76E" w14:textId="77777777" w:rsidR="000839A4" w:rsidRPr="000839A4" w:rsidRDefault="000839A4" w:rsidP="000839A4">
            <w:pPr>
              <w:spacing w:before="120"/>
              <w:rPr>
                <w:strike/>
                <w:szCs w:val="24"/>
              </w:rPr>
            </w:pPr>
            <w:r w:rsidRPr="000839A4">
              <w:rPr>
                <w:strike/>
                <w:szCs w:val="24"/>
              </w:rPr>
              <w:t xml:space="preserve">Laboratorní sklo, sklo pro </w:t>
            </w:r>
            <w:proofErr w:type="gramStart"/>
            <w:r w:rsidRPr="000839A4">
              <w:rPr>
                <w:strike/>
                <w:szCs w:val="24"/>
              </w:rPr>
              <w:t>zdravotnické a        farmaceutické</w:t>
            </w:r>
            <w:proofErr w:type="gramEnd"/>
            <w:r w:rsidRPr="000839A4">
              <w:rPr>
                <w:strike/>
                <w:szCs w:val="24"/>
              </w:rPr>
              <w:t xml:space="preserve"> účely; skleněné ampule</w:t>
            </w:r>
          </w:p>
        </w:tc>
      </w:tr>
      <w:tr w:rsidR="000839A4" w:rsidRPr="000839A4" w14:paraId="425360B2" w14:textId="77777777" w:rsidTr="000839A4">
        <w:tc>
          <w:tcPr>
            <w:tcW w:w="1271" w:type="dxa"/>
          </w:tcPr>
          <w:p w14:paraId="66407021" w14:textId="77777777" w:rsidR="000839A4" w:rsidRPr="000839A4" w:rsidRDefault="000839A4" w:rsidP="000839A4">
            <w:pPr>
              <w:spacing w:before="120"/>
              <w:rPr>
                <w:strike/>
                <w:szCs w:val="24"/>
              </w:rPr>
            </w:pPr>
            <w:r w:rsidRPr="000839A4">
              <w:rPr>
                <w:strike/>
                <w:szCs w:val="24"/>
              </w:rPr>
              <w:t xml:space="preserve">(1-12)    </w:t>
            </w:r>
          </w:p>
          <w:p w14:paraId="511A856B" w14:textId="77777777" w:rsidR="000839A4" w:rsidRPr="000839A4" w:rsidRDefault="000839A4" w:rsidP="000839A4">
            <w:pPr>
              <w:spacing w:before="120"/>
              <w:rPr>
                <w:strike/>
                <w:szCs w:val="24"/>
              </w:rPr>
            </w:pPr>
          </w:p>
        </w:tc>
        <w:tc>
          <w:tcPr>
            <w:tcW w:w="1559" w:type="dxa"/>
          </w:tcPr>
          <w:p w14:paraId="017D3523" w14:textId="77777777" w:rsidR="000839A4" w:rsidRPr="000839A4" w:rsidRDefault="000839A4" w:rsidP="000839A4">
            <w:pPr>
              <w:spacing w:before="120"/>
              <w:rPr>
                <w:strike/>
                <w:szCs w:val="24"/>
              </w:rPr>
            </w:pPr>
            <w:r w:rsidRPr="000839A4">
              <w:rPr>
                <w:strike/>
                <w:szCs w:val="24"/>
              </w:rPr>
              <w:t>23.44.11</w:t>
            </w:r>
          </w:p>
        </w:tc>
        <w:tc>
          <w:tcPr>
            <w:tcW w:w="6232" w:type="dxa"/>
          </w:tcPr>
          <w:p w14:paraId="3B6C3C55" w14:textId="77777777" w:rsidR="000839A4" w:rsidRPr="000839A4" w:rsidRDefault="000839A4" w:rsidP="000839A4">
            <w:pPr>
              <w:spacing w:before="120"/>
              <w:rPr>
                <w:strike/>
                <w:szCs w:val="24"/>
              </w:rPr>
            </w:pPr>
            <w:r w:rsidRPr="000839A4">
              <w:rPr>
                <w:strike/>
                <w:szCs w:val="24"/>
              </w:rPr>
              <w:t>Keramické výrobky pro laboratorní, chemické nebo jiné technické účely, z porcelánu</w:t>
            </w:r>
          </w:p>
        </w:tc>
      </w:tr>
      <w:tr w:rsidR="000839A4" w:rsidRPr="000839A4" w14:paraId="25752255" w14:textId="77777777" w:rsidTr="000839A4">
        <w:tc>
          <w:tcPr>
            <w:tcW w:w="1271" w:type="dxa"/>
          </w:tcPr>
          <w:p w14:paraId="13B16D79" w14:textId="77777777" w:rsidR="000839A4" w:rsidRPr="000839A4" w:rsidRDefault="000839A4" w:rsidP="000839A4">
            <w:pPr>
              <w:spacing w:before="120"/>
              <w:rPr>
                <w:strike/>
                <w:szCs w:val="24"/>
              </w:rPr>
            </w:pPr>
            <w:r w:rsidRPr="000839A4">
              <w:rPr>
                <w:strike/>
                <w:szCs w:val="24"/>
              </w:rPr>
              <w:t xml:space="preserve">(1-13) </w:t>
            </w:r>
          </w:p>
          <w:p w14:paraId="18C18883" w14:textId="77777777" w:rsidR="000839A4" w:rsidRPr="000839A4" w:rsidRDefault="000839A4" w:rsidP="000839A4">
            <w:pPr>
              <w:spacing w:before="120"/>
              <w:rPr>
                <w:strike/>
                <w:szCs w:val="24"/>
              </w:rPr>
            </w:pPr>
          </w:p>
        </w:tc>
        <w:tc>
          <w:tcPr>
            <w:tcW w:w="1559" w:type="dxa"/>
          </w:tcPr>
          <w:p w14:paraId="539EBCFD" w14:textId="77777777" w:rsidR="000839A4" w:rsidRPr="000839A4" w:rsidRDefault="000839A4" w:rsidP="000839A4">
            <w:pPr>
              <w:spacing w:before="120"/>
              <w:rPr>
                <w:strike/>
                <w:szCs w:val="24"/>
              </w:rPr>
            </w:pPr>
            <w:r w:rsidRPr="000839A4">
              <w:rPr>
                <w:strike/>
                <w:szCs w:val="24"/>
              </w:rPr>
              <w:t>23.91.11</w:t>
            </w:r>
          </w:p>
        </w:tc>
        <w:tc>
          <w:tcPr>
            <w:tcW w:w="6232" w:type="dxa"/>
          </w:tcPr>
          <w:p w14:paraId="0BC526FB" w14:textId="77777777" w:rsidR="000839A4" w:rsidRPr="000839A4" w:rsidRDefault="000839A4" w:rsidP="000839A4">
            <w:pPr>
              <w:spacing w:before="120"/>
              <w:rPr>
                <w:strike/>
                <w:szCs w:val="24"/>
              </w:rPr>
            </w:pPr>
            <w:r w:rsidRPr="000839A4">
              <w:rPr>
                <w:strike/>
                <w:szCs w:val="24"/>
              </w:rPr>
              <w:t>Mlýnské kameny, brusné kameny, brusné kotouče a podobné výrobky a jejich díly, bez rámů, z přírodního kamene, aglomerovaných přírodních nebo umělých brusiv nebo z keramiky</w:t>
            </w:r>
          </w:p>
        </w:tc>
      </w:tr>
      <w:tr w:rsidR="000839A4" w:rsidRPr="000839A4" w14:paraId="28C121C0" w14:textId="77777777" w:rsidTr="000839A4">
        <w:tc>
          <w:tcPr>
            <w:tcW w:w="1271" w:type="dxa"/>
          </w:tcPr>
          <w:p w14:paraId="19B2E4BB" w14:textId="77777777" w:rsidR="000839A4" w:rsidRPr="000839A4" w:rsidRDefault="000839A4" w:rsidP="000839A4">
            <w:pPr>
              <w:spacing w:before="120"/>
              <w:rPr>
                <w:strike/>
                <w:szCs w:val="24"/>
              </w:rPr>
            </w:pPr>
            <w:r w:rsidRPr="000839A4">
              <w:rPr>
                <w:strike/>
                <w:szCs w:val="24"/>
              </w:rPr>
              <w:t>(1-14)</w:t>
            </w:r>
          </w:p>
          <w:p w14:paraId="7EFDA934" w14:textId="77777777" w:rsidR="000839A4" w:rsidRPr="000839A4" w:rsidRDefault="000839A4" w:rsidP="000839A4">
            <w:pPr>
              <w:spacing w:before="120"/>
              <w:rPr>
                <w:strike/>
                <w:szCs w:val="24"/>
              </w:rPr>
            </w:pPr>
          </w:p>
        </w:tc>
        <w:tc>
          <w:tcPr>
            <w:tcW w:w="1559" w:type="dxa"/>
          </w:tcPr>
          <w:p w14:paraId="645136D6" w14:textId="77777777" w:rsidR="000839A4" w:rsidRPr="000839A4" w:rsidRDefault="000839A4" w:rsidP="000839A4">
            <w:pPr>
              <w:spacing w:before="120"/>
              <w:rPr>
                <w:strike/>
                <w:szCs w:val="24"/>
              </w:rPr>
            </w:pPr>
            <w:r w:rsidRPr="000839A4">
              <w:rPr>
                <w:strike/>
                <w:szCs w:val="24"/>
              </w:rPr>
              <w:t>25.73</w:t>
            </w:r>
          </w:p>
        </w:tc>
        <w:tc>
          <w:tcPr>
            <w:tcW w:w="6232" w:type="dxa"/>
          </w:tcPr>
          <w:p w14:paraId="1AB18ED4" w14:textId="77777777" w:rsidR="000839A4" w:rsidRPr="000839A4" w:rsidRDefault="000839A4" w:rsidP="000839A4">
            <w:pPr>
              <w:spacing w:before="120"/>
              <w:rPr>
                <w:strike/>
                <w:szCs w:val="24"/>
              </w:rPr>
            </w:pPr>
            <w:r w:rsidRPr="000839A4">
              <w:rPr>
                <w:strike/>
                <w:szCs w:val="24"/>
              </w:rPr>
              <w:t>Nástroje a nářadí pokud nejsou uvedena v jiné položce této přílohy</w:t>
            </w:r>
          </w:p>
        </w:tc>
      </w:tr>
      <w:tr w:rsidR="000839A4" w:rsidRPr="000839A4" w14:paraId="18FE0B66" w14:textId="77777777" w:rsidTr="000839A4">
        <w:tc>
          <w:tcPr>
            <w:tcW w:w="1271" w:type="dxa"/>
          </w:tcPr>
          <w:p w14:paraId="14388836" w14:textId="77777777" w:rsidR="000839A4" w:rsidRPr="000839A4" w:rsidRDefault="000839A4" w:rsidP="000839A4">
            <w:pPr>
              <w:spacing w:before="120"/>
              <w:rPr>
                <w:strike/>
                <w:szCs w:val="24"/>
              </w:rPr>
            </w:pPr>
            <w:r w:rsidRPr="000839A4">
              <w:rPr>
                <w:strike/>
                <w:szCs w:val="24"/>
              </w:rPr>
              <w:t xml:space="preserve">(1-15) </w:t>
            </w:r>
          </w:p>
        </w:tc>
        <w:tc>
          <w:tcPr>
            <w:tcW w:w="1559" w:type="dxa"/>
          </w:tcPr>
          <w:p w14:paraId="57CE41B4" w14:textId="77777777" w:rsidR="000839A4" w:rsidRPr="000839A4" w:rsidRDefault="000839A4" w:rsidP="000839A4">
            <w:pPr>
              <w:spacing w:before="120"/>
              <w:rPr>
                <w:strike/>
                <w:szCs w:val="24"/>
              </w:rPr>
            </w:pPr>
            <w:r w:rsidRPr="000839A4">
              <w:rPr>
                <w:strike/>
                <w:szCs w:val="24"/>
              </w:rPr>
              <w:t>26.20</w:t>
            </w:r>
          </w:p>
        </w:tc>
        <w:tc>
          <w:tcPr>
            <w:tcW w:w="6232" w:type="dxa"/>
          </w:tcPr>
          <w:p w14:paraId="1EBB782D" w14:textId="77777777" w:rsidR="000839A4" w:rsidRPr="000839A4" w:rsidRDefault="000839A4" w:rsidP="000839A4">
            <w:pPr>
              <w:spacing w:before="120"/>
              <w:rPr>
                <w:strike/>
                <w:szCs w:val="24"/>
              </w:rPr>
            </w:pPr>
            <w:r w:rsidRPr="000839A4">
              <w:rPr>
                <w:strike/>
                <w:szCs w:val="24"/>
              </w:rPr>
              <w:t>Počítače a periferní zařízení</w:t>
            </w:r>
          </w:p>
        </w:tc>
      </w:tr>
      <w:tr w:rsidR="000839A4" w:rsidRPr="000839A4" w14:paraId="408F9560" w14:textId="77777777" w:rsidTr="000839A4">
        <w:tc>
          <w:tcPr>
            <w:tcW w:w="1271" w:type="dxa"/>
          </w:tcPr>
          <w:p w14:paraId="6508129B" w14:textId="77777777" w:rsidR="000839A4" w:rsidRPr="000839A4" w:rsidRDefault="000839A4" w:rsidP="000839A4">
            <w:pPr>
              <w:spacing w:before="120"/>
              <w:rPr>
                <w:strike/>
                <w:szCs w:val="24"/>
              </w:rPr>
            </w:pPr>
            <w:r w:rsidRPr="000839A4">
              <w:rPr>
                <w:strike/>
                <w:szCs w:val="24"/>
              </w:rPr>
              <w:t xml:space="preserve">(1-16) </w:t>
            </w:r>
          </w:p>
          <w:p w14:paraId="01BEBA40" w14:textId="77777777" w:rsidR="000839A4" w:rsidRPr="000839A4" w:rsidRDefault="000839A4" w:rsidP="000839A4">
            <w:pPr>
              <w:spacing w:before="120"/>
              <w:rPr>
                <w:strike/>
                <w:szCs w:val="24"/>
              </w:rPr>
            </w:pPr>
          </w:p>
        </w:tc>
        <w:tc>
          <w:tcPr>
            <w:tcW w:w="1559" w:type="dxa"/>
          </w:tcPr>
          <w:p w14:paraId="0CFBD8FC" w14:textId="77777777" w:rsidR="000839A4" w:rsidRPr="000839A4" w:rsidRDefault="000839A4" w:rsidP="000839A4">
            <w:pPr>
              <w:spacing w:before="120"/>
              <w:rPr>
                <w:strike/>
                <w:szCs w:val="24"/>
              </w:rPr>
            </w:pPr>
            <w:r w:rsidRPr="000839A4">
              <w:rPr>
                <w:strike/>
                <w:szCs w:val="24"/>
              </w:rPr>
              <w:t>26.30.11</w:t>
            </w:r>
          </w:p>
        </w:tc>
        <w:tc>
          <w:tcPr>
            <w:tcW w:w="6232" w:type="dxa"/>
          </w:tcPr>
          <w:p w14:paraId="34BFE3B6" w14:textId="77777777" w:rsidR="000839A4" w:rsidRPr="000839A4" w:rsidRDefault="000839A4" w:rsidP="000839A4">
            <w:pPr>
              <w:spacing w:before="120"/>
              <w:rPr>
                <w:strike/>
                <w:szCs w:val="24"/>
              </w:rPr>
            </w:pPr>
            <w:r w:rsidRPr="000839A4">
              <w:rPr>
                <w:strike/>
                <w:szCs w:val="24"/>
              </w:rPr>
              <w:t>Vysílací přístroje obsahující přijímací zařízení občanských radiostanic pokud nejsou uvedena v jiné položce této přílohy</w:t>
            </w:r>
          </w:p>
        </w:tc>
      </w:tr>
      <w:tr w:rsidR="000839A4" w:rsidRPr="000839A4" w14:paraId="6A6A4F3D" w14:textId="77777777" w:rsidTr="000839A4">
        <w:tc>
          <w:tcPr>
            <w:tcW w:w="1271" w:type="dxa"/>
          </w:tcPr>
          <w:p w14:paraId="5F624D6A" w14:textId="77777777" w:rsidR="000839A4" w:rsidRPr="000839A4" w:rsidRDefault="000839A4" w:rsidP="000839A4">
            <w:pPr>
              <w:spacing w:before="120"/>
              <w:rPr>
                <w:strike/>
                <w:szCs w:val="24"/>
              </w:rPr>
            </w:pPr>
            <w:r w:rsidRPr="000839A4">
              <w:rPr>
                <w:strike/>
                <w:szCs w:val="24"/>
              </w:rPr>
              <w:t xml:space="preserve">(1-17)  </w:t>
            </w:r>
          </w:p>
          <w:p w14:paraId="5940D33E" w14:textId="77777777" w:rsidR="000839A4" w:rsidRPr="000839A4" w:rsidRDefault="000839A4" w:rsidP="000839A4">
            <w:pPr>
              <w:spacing w:before="120"/>
              <w:rPr>
                <w:strike/>
                <w:szCs w:val="24"/>
              </w:rPr>
            </w:pPr>
          </w:p>
        </w:tc>
        <w:tc>
          <w:tcPr>
            <w:tcW w:w="1559" w:type="dxa"/>
          </w:tcPr>
          <w:p w14:paraId="26F4D568" w14:textId="77777777" w:rsidR="000839A4" w:rsidRPr="000839A4" w:rsidRDefault="000839A4" w:rsidP="000839A4">
            <w:pPr>
              <w:spacing w:before="120"/>
              <w:rPr>
                <w:strike/>
                <w:szCs w:val="24"/>
              </w:rPr>
            </w:pPr>
            <w:r w:rsidRPr="000839A4">
              <w:rPr>
                <w:strike/>
                <w:szCs w:val="24"/>
              </w:rPr>
              <w:t>26.30.12</w:t>
            </w:r>
          </w:p>
        </w:tc>
        <w:tc>
          <w:tcPr>
            <w:tcW w:w="6232" w:type="dxa"/>
          </w:tcPr>
          <w:p w14:paraId="19ABAF21" w14:textId="77777777" w:rsidR="000839A4" w:rsidRPr="000839A4" w:rsidRDefault="000839A4" w:rsidP="000839A4">
            <w:pPr>
              <w:spacing w:before="120"/>
              <w:rPr>
                <w:strike/>
                <w:szCs w:val="24"/>
              </w:rPr>
            </w:pPr>
            <w:r w:rsidRPr="000839A4">
              <w:rPr>
                <w:strike/>
                <w:szCs w:val="24"/>
              </w:rPr>
              <w:t>Vysílací přístroje neobsahující přijímací zařízení pokud nejsou uvedena v jiné položce této přílohy</w:t>
            </w:r>
          </w:p>
        </w:tc>
      </w:tr>
      <w:tr w:rsidR="000839A4" w:rsidRPr="000839A4" w14:paraId="0F240907" w14:textId="77777777" w:rsidTr="000839A4">
        <w:tc>
          <w:tcPr>
            <w:tcW w:w="1271" w:type="dxa"/>
          </w:tcPr>
          <w:p w14:paraId="0B6ED797" w14:textId="77777777" w:rsidR="000839A4" w:rsidRPr="000839A4" w:rsidRDefault="000839A4" w:rsidP="000839A4">
            <w:pPr>
              <w:spacing w:before="120"/>
              <w:rPr>
                <w:strike/>
                <w:szCs w:val="24"/>
              </w:rPr>
            </w:pPr>
            <w:r w:rsidRPr="000839A4">
              <w:rPr>
                <w:strike/>
                <w:szCs w:val="24"/>
              </w:rPr>
              <w:t>(1-18)</w:t>
            </w:r>
          </w:p>
        </w:tc>
        <w:tc>
          <w:tcPr>
            <w:tcW w:w="1559" w:type="dxa"/>
          </w:tcPr>
          <w:p w14:paraId="36517C12" w14:textId="77777777" w:rsidR="000839A4" w:rsidRPr="000839A4" w:rsidRDefault="000839A4" w:rsidP="000839A4">
            <w:pPr>
              <w:spacing w:before="120"/>
              <w:rPr>
                <w:strike/>
                <w:szCs w:val="24"/>
              </w:rPr>
            </w:pPr>
            <w:r w:rsidRPr="000839A4">
              <w:rPr>
                <w:strike/>
                <w:szCs w:val="24"/>
              </w:rPr>
              <w:t>26.30.13</w:t>
            </w:r>
          </w:p>
        </w:tc>
        <w:tc>
          <w:tcPr>
            <w:tcW w:w="6232" w:type="dxa"/>
          </w:tcPr>
          <w:p w14:paraId="6F118B90" w14:textId="77777777" w:rsidR="000839A4" w:rsidRPr="000839A4" w:rsidRDefault="000839A4" w:rsidP="000839A4">
            <w:pPr>
              <w:spacing w:before="120"/>
              <w:rPr>
                <w:strike/>
                <w:szCs w:val="24"/>
              </w:rPr>
            </w:pPr>
            <w:r w:rsidRPr="000839A4">
              <w:rPr>
                <w:strike/>
                <w:szCs w:val="24"/>
              </w:rPr>
              <w:t>Televizní kamery</w:t>
            </w:r>
          </w:p>
        </w:tc>
      </w:tr>
      <w:tr w:rsidR="000839A4" w:rsidRPr="000839A4" w14:paraId="73100A74" w14:textId="77777777" w:rsidTr="000839A4">
        <w:tc>
          <w:tcPr>
            <w:tcW w:w="1271" w:type="dxa"/>
          </w:tcPr>
          <w:p w14:paraId="747B12CD" w14:textId="77777777" w:rsidR="000839A4" w:rsidRPr="000839A4" w:rsidRDefault="000839A4" w:rsidP="000839A4">
            <w:pPr>
              <w:spacing w:before="120"/>
              <w:rPr>
                <w:strike/>
                <w:szCs w:val="24"/>
              </w:rPr>
            </w:pPr>
            <w:r w:rsidRPr="000839A4">
              <w:rPr>
                <w:strike/>
                <w:szCs w:val="24"/>
              </w:rPr>
              <w:t xml:space="preserve">(1-19) </w:t>
            </w:r>
          </w:p>
          <w:p w14:paraId="308D4AB2" w14:textId="77777777" w:rsidR="000839A4" w:rsidRPr="000839A4" w:rsidRDefault="000839A4" w:rsidP="000839A4">
            <w:pPr>
              <w:spacing w:before="120"/>
              <w:rPr>
                <w:strike/>
                <w:szCs w:val="24"/>
              </w:rPr>
            </w:pPr>
          </w:p>
        </w:tc>
        <w:tc>
          <w:tcPr>
            <w:tcW w:w="1559" w:type="dxa"/>
          </w:tcPr>
          <w:p w14:paraId="37774AD5" w14:textId="77777777" w:rsidR="000839A4" w:rsidRPr="000839A4" w:rsidRDefault="000839A4" w:rsidP="000839A4">
            <w:pPr>
              <w:spacing w:before="120"/>
              <w:rPr>
                <w:strike/>
                <w:szCs w:val="24"/>
              </w:rPr>
            </w:pPr>
            <w:r w:rsidRPr="000839A4">
              <w:rPr>
                <w:strike/>
                <w:szCs w:val="24"/>
              </w:rPr>
              <w:t>26.30.2</w:t>
            </w:r>
          </w:p>
        </w:tc>
        <w:tc>
          <w:tcPr>
            <w:tcW w:w="6232" w:type="dxa"/>
          </w:tcPr>
          <w:p w14:paraId="767EA1BF" w14:textId="77777777" w:rsidR="000839A4" w:rsidRPr="000839A4" w:rsidRDefault="000839A4" w:rsidP="000839A4">
            <w:pPr>
              <w:spacing w:before="120"/>
              <w:rPr>
                <w:strike/>
                <w:szCs w:val="24"/>
              </w:rPr>
            </w:pPr>
            <w:r w:rsidRPr="000839A4">
              <w:rPr>
                <w:strike/>
                <w:szCs w:val="24"/>
              </w:rPr>
              <w:t>Elektrické přístroje pro telefony a telegrafy; videotelefony vč. mobilních telefonů</w:t>
            </w:r>
          </w:p>
        </w:tc>
      </w:tr>
      <w:tr w:rsidR="000839A4" w:rsidRPr="000839A4" w14:paraId="17293903" w14:textId="77777777" w:rsidTr="000839A4">
        <w:tc>
          <w:tcPr>
            <w:tcW w:w="1271" w:type="dxa"/>
          </w:tcPr>
          <w:p w14:paraId="496DFDE6" w14:textId="77777777" w:rsidR="000839A4" w:rsidRPr="000839A4" w:rsidRDefault="000839A4" w:rsidP="000839A4">
            <w:pPr>
              <w:spacing w:before="120"/>
              <w:rPr>
                <w:strike/>
                <w:szCs w:val="24"/>
              </w:rPr>
            </w:pPr>
            <w:r w:rsidRPr="000839A4">
              <w:rPr>
                <w:strike/>
                <w:szCs w:val="24"/>
              </w:rPr>
              <w:t>(1-20)</w:t>
            </w:r>
          </w:p>
          <w:p w14:paraId="1BB240D7" w14:textId="77777777" w:rsidR="000839A4" w:rsidRPr="000839A4" w:rsidRDefault="000839A4" w:rsidP="000839A4">
            <w:pPr>
              <w:spacing w:before="120"/>
              <w:rPr>
                <w:strike/>
                <w:szCs w:val="24"/>
              </w:rPr>
            </w:pPr>
          </w:p>
        </w:tc>
        <w:tc>
          <w:tcPr>
            <w:tcW w:w="1559" w:type="dxa"/>
          </w:tcPr>
          <w:p w14:paraId="206E3B3E" w14:textId="77777777" w:rsidR="000839A4" w:rsidRPr="000839A4" w:rsidRDefault="000839A4" w:rsidP="000839A4">
            <w:pPr>
              <w:spacing w:before="120"/>
              <w:rPr>
                <w:strike/>
                <w:szCs w:val="24"/>
              </w:rPr>
            </w:pPr>
            <w:r w:rsidRPr="000839A4">
              <w:rPr>
                <w:strike/>
                <w:szCs w:val="24"/>
              </w:rPr>
              <w:t>26.40.44</w:t>
            </w:r>
          </w:p>
        </w:tc>
        <w:tc>
          <w:tcPr>
            <w:tcW w:w="6232" w:type="dxa"/>
          </w:tcPr>
          <w:p w14:paraId="3FE389C6" w14:textId="77777777" w:rsidR="000839A4" w:rsidRPr="000839A4" w:rsidRDefault="000839A4" w:rsidP="000839A4">
            <w:pPr>
              <w:spacing w:before="120"/>
              <w:rPr>
                <w:strike/>
                <w:szCs w:val="24"/>
              </w:rPr>
            </w:pPr>
            <w:r w:rsidRPr="000839A4">
              <w:rPr>
                <w:strike/>
                <w:szCs w:val="24"/>
              </w:rPr>
              <w:t>Přijímací přístroje pro radiotelefonii nebo radiotelegrafii j. n.</w:t>
            </w:r>
          </w:p>
        </w:tc>
      </w:tr>
      <w:tr w:rsidR="000839A4" w:rsidRPr="000839A4" w14:paraId="71B8E88E" w14:textId="77777777" w:rsidTr="000839A4">
        <w:tc>
          <w:tcPr>
            <w:tcW w:w="1271" w:type="dxa"/>
          </w:tcPr>
          <w:p w14:paraId="237CF7E4" w14:textId="77777777" w:rsidR="000839A4" w:rsidRPr="000839A4" w:rsidRDefault="000839A4" w:rsidP="000839A4">
            <w:pPr>
              <w:spacing w:before="120"/>
              <w:rPr>
                <w:strike/>
                <w:szCs w:val="24"/>
              </w:rPr>
            </w:pPr>
            <w:r w:rsidRPr="000839A4">
              <w:rPr>
                <w:strike/>
                <w:szCs w:val="24"/>
              </w:rPr>
              <w:lastRenderedPageBreak/>
              <w:t>(1-21)</w:t>
            </w:r>
          </w:p>
          <w:p w14:paraId="0C3EAA77" w14:textId="77777777" w:rsidR="000839A4" w:rsidRPr="000839A4" w:rsidRDefault="000839A4" w:rsidP="000839A4">
            <w:pPr>
              <w:spacing w:before="120"/>
              <w:rPr>
                <w:strike/>
                <w:szCs w:val="24"/>
              </w:rPr>
            </w:pPr>
          </w:p>
        </w:tc>
        <w:tc>
          <w:tcPr>
            <w:tcW w:w="1559" w:type="dxa"/>
          </w:tcPr>
          <w:p w14:paraId="5B1E5964" w14:textId="77777777" w:rsidR="000839A4" w:rsidRPr="000839A4" w:rsidRDefault="000839A4" w:rsidP="000839A4">
            <w:pPr>
              <w:spacing w:before="120"/>
              <w:rPr>
                <w:strike/>
                <w:szCs w:val="24"/>
              </w:rPr>
            </w:pPr>
            <w:r w:rsidRPr="000839A4">
              <w:rPr>
                <w:strike/>
                <w:szCs w:val="24"/>
              </w:rPr>
              <w:t>26.51</w:t>
            </w:r>
          </w:p>
        </w:tc>
        <w:tc>
          <w:tcPr>
            <w:tcW w:w="6232" w:type="dxa"/>
          </w:tcPr>
          <w:p w14:paraId="36583A14" w14:textId="77777777" w:rsidR="000839A4" w:rsidRPr="000839A4" w:rsidRDefault="000839A4" w:rsidP="000839A4">
            <w:pPr>
              <w:spacing w:before="120"/>
              <w:rPr>
                <w:strike/>
                <w:szCs w:val="24"/>
              </w:rPr>
            </w:pPr>
            <w:r w:rsidRPr="000839A4">
              <w:rPr>
                <w:strike/>
                <w:szCs w:val="24"/>
              </w:rPr>
              <w:t>Měřicí, kontrolní, zkušební, navigační a jiné přístroje a zařízení pokud nejsou uvedena v jiné položce této přílohy</w:t>
            </w:r>
          </w:p>
        </w:tc>
      </w:tr>
      <w:tr w:rsidR="000839A4" w:rsidRPr="000839A4" w14:paraId="7C004DEB" w14:textId="77777777" w:rsidTr="000839A4">
        <w:tc>
          <w:tcPr>
            <w:tcW w:w="1271" w:type="dxa"/>
          </w:tcPr>
          <w:p w14:paraId="5DBE80E0" w14:textId="77777777" w:rsidR="000839A4" w:rsidRPr="000839A4" w:rsidRDefault="000839A4" w:rsidP="000839A4">
            <w:pPr>
              <w:spacing w:before="120"/>
              <w:rPr>
                <w:strike/>
                <w:szCs w:val="24"/>
              </w:rPr>
            </w:pPr>
            <w:r w:rsidRPr="000839A4">
              <w:rPr>
                <w:strike/>
                <w:szCs w:val="24"/>
              </w:rPr>
              <w:t xml:space="preserve">(1-22) </w:t>
            </w:r>
          </w:p>
          <w:p w14:paraId="706303CA" w14:textId="77777777" w:rsidR="000839A4" w:rsidRPr="000839A4" w:rsidRDefault="000839A4" w:rsidP="000839A4">
            <w:pPr>
              <w:spacing w:before="120"/>
              <w:rPr>
                <w:strike/>
                <w:szCs w:val="24"/>
              </w:rPr>
            </w:pPr>
          </w:p>
        </w:tc>
        <w:tc>
          <w:tcPr>
            <w:tcW w:w="1559" w:type="dxa"/>
          </w:tcPr>
          <w:p w14:paraId="2195443C" w14:textId="77777777" w:rsidR="000839A4" w:rsidRPr="000839A4" w:rsidRDefault="000839A4" w:rsidP="000839A4">
            <w:pPr>
              <w:spacing w:before="120"/>
              <w:rPr>
                <w:strike/>
                <w:szCs w:val="24"/>
              </w:rPr>
            </w:pPr>
            <w:r w:rsidRPr="000839A4">
              <w:rPr>
                <w:strike/>
                <w:szCs w:val="24"/>
              </w:rPr>
              <w:t>27.90.11</w:t>
            </w:r>
          </w:p>
        </w:tc>
        <w:tc>
          <w:tcPr>
            <w:tcW w:w="6232" w:type="dxa"/>
          </w:tcPr>
          <w:p w14:paraId="76678257" w14:textId="77777777" w:rsidR="000839A4" w:rsidRPr="000839A4" w:rsidRDefault="000839A4" w:rsidP="000839A4">
            <w:pPr>
              <w:spacing w:before="120"/>
              <w:rPr>
                <w:strike/>
                <w:szCs w:val="24"/>
              </w:rPr>
            </w:pPr>
            <w:r w:rsidRPr="000839A4">
              <w:rPr>
                <w:strike/>
                <w:szCs w:val="24"/>
              </w:rPr>
              <w:t>Jen: směšovací zvukové přístroje pro záznam a kombinování zvuku (mixážní pulty apod.)</w:t>
            </w:r>
          </w:p>
        </w:tc>
      </w:tr>
      <w:tr w:rsidR="000839A4" w:rsidRPr="000839A4" w14:paraId="3F9406F4" w14:textId="77777777" w:rsidTr="000839A4">
        <w:tc>
          <w:tcPr>
            <w:tcW w:w="1271" w:type="dxa"/>
          </w:tcPr>
          <w:p w14:paraId="32BA3C90" w14:textId="77777777" w:rsidR="000839A4" w:rsidRPr="000839A4" w:rsidRDefault="000839A4" w:rsidP="000839A4">
            <w:pPr>
              <w:spacing w:before="120"/>
              <w:rPr>
                <w:strike/>
                <w:szCs w:val="24"/>
              </w:rPr>
            </w:pPr>
            <w:r w:rsidRPr="000839A4">
              <w:rPr>
                <w:strike/>
                <w:szCs w:val="24"/>
              </w:rPr>
              <w:t xml:space="preserve">(1-23) </w:t>
            </w:r>
          </w:p>
          <w:p w14:paraId="2DB23475" w14:textId="77777777" w:rsidR="000839A4" w:rsidRPr="000839A4" w:rsidRDefault="000839A4" w:rsidP="000839A4">
            <w:pPr>
              <w:spacing w:before="120"/>
              <w:rPr>
                <w:strike/>
                <w:szCs w:val="24"/>
              </w:rPr>
            </w:pPr>
          </w:p>
        </w:tc>
        <w:tc>
          <w:tcPr>
            <w:tcW w:w="1559" w:type="dxa"/>
          </w:tcPr>
          <w:p w14:paraId="289345AC" w14:textId="77777777" w:rsidR="000839A4" w:rsidRPr="000839A4" w:rsidRDefault="000839A4" w:rsidP="000839A4">
            <w:pPr>
              <w:spacing w:before="120"/>
              <w:rPr>
                <w:strike/>
                <w:szCs w:val="24"/>
              </w:rPr>
            </w:pPr>
            <w:r w:rsidRPr="000839A4">
              <w:rPr>
                <w:strike/>
                <w:szCs w:val="24"/>
              </w:rPr>
              <w:t xml:space="preserve">28.23      </w:t>
            </w:r>
          </w:p>
        </w:tc>
        <w:tc>
          <w:tcPr>
            <w:tcW w:w="6232" w:type="dxa"/>
          </w:tcPr>
          <w:p w14:paraId="34E490CE" w14:textId="77777777" w:rsidR="000839A4" w:rsidRPr="000839A4" w:rsidRDefault="000839A4" w:rsidP="000839A4">
            <w:pPr>
              <w:spacing w:before="120"/>
              <w:rPr>
                <w:strike/>
                <w:szCs w:val="24"/>
              </w:rPr>
            </w:pPr>
            <w:r w:rsidRPr="000839A4">
              <w:rPr>
                <w:strike/>
                <w:szCs w:val="24"/>
              </w:rPr>
              <w:t>Kancelářské stroje a zařízení kromě počítačů a periferních zařízení</w:t>
            </w:r>
          </w:p>
        </w:tc>
      </w:tr>
      <w:tr w:rsidR="000839A4" w:rsidRPr="000839A4" w14:paraId="2359A587" w14:textId="77777777" w:rsidTr="000839A4">
        <w:tc>
          <w:tcPr>
            <w:tcW w:w="1271" w:type="dxa"/>
          </w:tcPr>
          <w:p w14:paraId="2CDB897F" w14:textId="77777777" w:rsidR="000839A4" w:rsidRPr="000839A4" w:rsidRDefault="000839A4" w:rsidP="000839A4">
            <w:pPr>
              <w:spacing w:before="120"/>
              <w:rPr>
                <w:strike/>
                <w:szCs w:val="24"/>
              </w:rPr>
            </w:pPr>
            <w:r w:rsidRPr="000839A4">
              <w:rPr>
                <w:strike/>
                <w:szCs w:val="24"/>
              </w:rPr>
              <w:t xml:space="preserve">(1-24) </w:t>
            </w:r>
          </w:p>
        </w:tc>
        <w:tc>
          <w:tcPr>
            <w:tcW w:w="1559" w:type="dxa"/>
          </w:tcPr>
          <w:p w14:paraId="7D369238" w14:textId="77777777" w:rsidR="000839A4" w:rsidRPr="000839A4" w:rsidRDefault="000839A4" w:rsidP="000839A4">
            <w:pPr>
              <w:spacing w:before="120"/>
              <w:rPr>
                <w:strike/>
                <w:szCs w:val="24"/>
              </w:rPr>
            </w:pPr>
            <w:r w:rsidRPr="000839A4">
              <w:rPr>
                <w:strike/>
                <w:szCs w:val="24"/>
              </w:rPr>
              <w:t xml:space="preserve">28.24      </w:t>
            </w:r>
          </w:p>
        </w:tc>
        <w:tc>
          <w:tcPr>
            <w:tcW w:w="6232" w:type="dxa"/>
          </w:tcPr>
          <w:p w14:paraId="31945A51" w14:textId="77777777" w:rsidR="000839A4" w:rsidRPr="000839A4" w:rsidRDefault="000839A4" w:rsidP="000839A4">
            <w:pPr>
              <w:spacing w:before="120"/>
              <w:rPr>
                <w:strike/>
                <w:szCs w:val="24"/>
              </w:rPr>
            </w:pPr>
            <w:r w:rsidRPr="000839A4">
              <w:rPr>
                <w:strike/>
                <w:szCs w:val="24"/>
              </w:rPr>
              <w:t>Ruční mechanizované nástroje</w:t>
            </w:r>
          </w:p>
        </w:tc>
      </w:tr>
      <w:tr w:rsidR="000839A4" w:rsidRPr="000839A4" w14:paraId="1EE3633F" w14:textId="77777777" w:rsidTr="000839A4">
        <w:tc>
          <w:tcPr>
            <w:tcW w:w="1271" w:type="dxa"/>
          </w:tcPr>
          <w:p w14:paraId="412FE630" w14:textId="77777777" w:rsidR="000839A4" w:rsidRPr="000839A4" w:rsidRDefault="000839A4" w:rsidP="000839A4">
            <w:pPr>
              <w:spacing w:before="120"/>
              <w:rPr>
                <w:strike/>
                <w:szCs w:val="24"/>
              </w:rPr>
            </w:pPr>
            <w:r w:rsidRPr="000839A4">
              <w:rPr>
                <w:strike/>
                <w:szCs w:val="24"/>
              </w:rPr>
              <w:t xml:space="preserve">(1-25) </w:t>
            </w:r>
          </w:p>
        </w:tc>
        <w:tc>
          <w:tcPr>
            <w:tcW w:w="1559" w:type="dxa"/>
          </w:tcPr>
          <w:p w14:paraId="659E977A" w14:textId="77777777" w:rsidR="000839A4" w:rsidRPr="000839A4" w:rsidRDefault="000839A4" w:rsidP="000839A4">
            <w:pPr>
              <w:spacing w:before="120"/>
              <w:rPr>
                <w:strike/>
                <w:szCs w:val="24"/>
              </w:rPr>
            </w:pPr>
            <w:r w:rsidRPr="000839A4">
              <w:rPr>
                <w:strike/>
                <w:szCs w:val="24"/>
              </w:rPr>
              <w:t>28.30.34</w:t>
            </w:r>
          </w:p>
        </w:tc>
        <w:tc>
          <w:tcPr>
            <w:tcW w:w="6232" w:type="dxa"/>
          </w:tcPr>
          <w:p w14:paraId="10260D92" w14:textId="77777777" w:rsidR="000839A4" w:rsidRPr="000839A4" w:rsidRDefault="000839A4" w:rsidP="000839A4">
            <w:pPr>
              <w:spacing w:before="120"/>
              <w:rPr>
                <w:strike/>
                <w:szCs w:val="24"/>
              </w:rPr>
            </w:pPr>
            <w:r w:rsidRPr="000839A4">
              <w:rPr>
                <w:strike/>
                <w:szCs w:val="24"/>
              </w:rPr>
              <w:t>Rozmetadla hnoje a umělých hnojiv</w:t>
            </w:r>
          </w:p>
        </w:tc>
      </w:tr>
      <w:tr w:rsidR="000839A4" w:rsidRPr="000839A4" w14:paraId="1A477314" w14:textId="77777777" w:rsidTr="000839A4">
        <w:tc>
          <w:tcPr>
            <w:tcW w:w="1271" w:type="dxa"/>
          </w:tcPr>
          <w:p w14:paraId="14632D20" w14:textId="77777777" w:rsidR="000839A4" w:rsidRPr="000839A4" w:rsidRDefault="000839A4" w:rsidP="000839A4">
            <w:pPr>
              <w:spacing w:before="120"/>
              <w:rPr>
                <w:strike/>
                <w:szCs w:val="24"/>
              </w:rPr>
            </w:pPr>
            <w:r w:rsidRPr="000839A4">
              <w:rPr>
                <w:strike/>
                <w:szCs w:val="24"/>
              </w:rPr>
              <w:t xml:space="preserve">(1-26)   </w:t>
            </w:r>
          </w:p>
          <w:p w14:paraId="3BC6D1CF" w14:textId="77777777" w:rsidR="000839A4" w:rsidRPr="000839A4" w:rsidRDefault="000839A4" w:rsidP="000839A4">
            <w:pPr>
              <w:spacing w:before="120"/>
              <w:rPr>
                <w:strike/>
                <w:szCs w:val="24"/>
              </w:rPr>
            </w:pPr>
          </w:p>
        </w:tc>
        <w:tc>
          <w:tcPr>
            <w:tcW w:w="1559" w:type="dxa"/>
          </w:tcPr>
          <w:p w14:paraId="556BB9FB" w14:textId="77777777" w:rsidR="000839A4" w:rsidRPr="000839A4" w:rsidRDefault="000839A4" w:rsidP="000839A4">
            <w:pPr>
              <w:spacing w:before="120"/>
              <w:rPr>
                <w:strike/>
                <w:szCs w:val="24"/>
              </w:rPr>
            </w:pPr>
            <w:r w:rsidRPr="000839A4">
              <w:rPr>
                <w:strike/>
                <w:szCs w:val="24"/>
              </w:rPr>
              <w:t xml:space="preserve">28.30.60   </w:t>
            </w:r>
          </w:p>
        </w:tc>
        <w:tc>
          <w:tcPr>
            <w:tcW w:w="6232" w:type="dxa"/>
          </w:tcPr>
          <w:p w14:paraId="20CAAC79" w14:textId="77777777" w:rsidR="000839A4" w:rsidRPr="000839A4" w:rsidRDefault="000839A4" w:rsidP="000839A4">
            <w:pPr>
              <w:spacing w:before="120"/>
              <w:rPr>
                <w:strike/>
                <w:szCs w:val="24"/>
              </w:rPr>
            </w:pPr>
            <w:r w:rsidRPr="000839A4">
              <w:rPr>
                <w:strike/>
                <w:szCs w:val="24"/>
              </w:rPr>
              <w:t>Stroje a přístroje ke stříkání, rozstřikování nebo rozprašování kapalin a prášků pro zemědělství nebo zahradnictví</w:t>
            </w:r>
          </w:p>
        </w:tc>
      </w:tr>
      <w:tr w:rsidR="000839A4" w:rsidRPr="000839A4" w14:paraId="150015A2" w14:textId="77777777" w:rsidTr="000839A4">
        <w:tc>
          <w:tcPr>
            <w:tcW w:w="1271" w:type="dxa"/>
          </w:tcPr>
          <w:p w14:paraId="421686EE" w14:textId="77777777" w:rsidR="000839A4" w:rsidRPr="000839A4" w:rsidRDefault="000839A4" w:rsidP="000839A4">
            <w:pPr>
              <w:spacing w:before="120"/>
              <w:rPr>
                <w:strike/>
                <w:szCs w:val="24"/>
              </w:rPr>
            </w:pPr>
            <w:r w:rsidRPr="000839A4">
              <w:rPr>
                <w:strike/>
                <w:szCs w:val="24"/>
              </w:rPr>
              <w:t xml:space="preserve">(1-27)     </w:t>
            </w:r>
          </w:p>
          <w:p w14:paraId="754328EE" w14:textId="77777777" w:rsidR="000839A4" w:rsidRPr="000839A4" w:rsidRDefault="000839A4" w:rsidP="000839A4">
            <w:pPr>
              <w:spacing w:before="120"/>
              <w:rPr>
                <w:strike/>
                <w:szCs w:val="24"/>
              </w:rPr>
            </w:pPr>
          </w:p>
        </w:tc>
        <w:tc>
          <w:tcPr>
            <w:tcW w:w="1559" w:type="dxa"/>
          </w:tcPr>
          <w:p w14:paraId="2C8635D0" w14:textId="77777777" w:rsidR="000839A4" w:rsidRPr="000839A4" w:rsidRDefault="000839A4" w:rsidP="000839A4">
            <w:pPr>
              <w:spacing w:before="120"/>
              <w:rPr>
                <w:strike/>
                <w:szCs w:val="24"/>
              </w:rPr>
            </w:pPr>
            <w:r w:rsidRPr="000839A4">
              <w:rPr>
                <w:strike/>
                <w:szCs w:val="24"/>
              </w:rPr>
              <w:t xml:space="preserve">28.30.70   </w:t>
            </w:r>
          </w:p>
        </w:tc>
        <w:tc>
          <w:tcPr>
            <w:tcW w:w="6232" w:type="dxa"/>
          </w:tcPr>
          <w:p w14:paraId="33CB3013" w14:textId="77777777" w:rsidR="000839A4" w:rsidRPr="000839A4" w:rsidRDefault="000839A4" w:rsidP="000839A4">
            <w:pPr>
              <w:spacing w:before="120"/>
              <w:rPr>
                <w:strike/>
                <w:szCs w:val="24"/>
              </w:rPr>
            </w:pPr>
            <w:proofErr w:type="spellStart"/>
            <w:r w:rsidRPr="000839A4">
              <w:rPr>
                <w:strike/>
                <w:szCs w:val="24"/>
              </w:rPr>
              <w:t>Samonakládací</w:t>
            </w:r>
            <w:proofErr w:type="spellEnd"/>
            <w:r w:rsidRPr="000839A4">
              <w:rPr>
                <w:strike/>
                <w:szCs w:val="24"/>
              </w:rPr>
              <w:t xml:space="preserve"> nebo </w:t>
            </w:r>
            <w:proofErr w:type="spellStart"/>
            <w:r w:rsidRPr="000839A4">
              <w:rPr>
                <w:strike/>
                <w:szCs w:val="24"/>
              </w:rPr>
              <w:t>samovýklopné</w:t>
            </w:r>
            <w:proofErr w:type="spellEnd"/>
            <w:r w:rsidRPr="000839A4">
              <w:rPr>
                <w:strike/>
                <w:szCs w:val="24"/>
              </w:rPr>
              <w:t xml:space="preserve"> </w:t>
            </w:r>
            <w:proofErr w:type="gramStart"/>
            <w:r w:rsidRPr="000839A4">
              <w:rPr>
                <w:strike/>
                <w:szCs w:val="24"/>
              </w:rPr>
              <w:t>přívěsy a        návěsy</w:t>
            </w:r>
            <w:proofErr w:type="gramEnd"/>
            <w:r w:rsidRPr="000839A4">
              <w:rPr>
                <w:strike/>
                <w:szCs w:val="24"/>
              </w:rPr>
              <w:t xml:space="preserve"> pro zemědělské účely</w:t>
            </w:r>
          </w:p>
        </w:tc>
      </w:tr>
      <w:tr w:rsidR="000839A4" w:rsidRPr="000839A4" w14:paraId="453BEA47" w14:textId="77777777" w:rsidTr="000839A4">
        <w:tc>
          <w:tcPr>
            <w:tcW w:w="1271" w:type="dxa"/>
          </w:tcPr>
          <w:p w14:paraId="3F4A9B54" w14:textId="77777777" w:rsidR="000839A4" w:rsidRPr="000839A4" w:rsidRDefault="000839A4" w:rsidP="000839A4">
            <w:pPr>
              <w:spacing w:before="120"/>
              <w:rPr>
                <w:strike/>
                <w:szCs w:val="24"/>
              </w:rPr>
            </w:pPr>
            <w:r w:rsidRPr="000839A4">
              <w:rPr>
                <w:strike/>
                <w:szCs w:val="24"/>
              </w:rPr>
              <w:t xml:space="preserve">(1-28)     </w:t>
            </w:r>
          </w:p>
          <w:p w14:paraId="2C35B730" w14:textId="77777777" w:rsidR="000839A4" w:rsidRPr="000839A4" w:rsidRDefault="000839A4" w:rsidP="000839A4">
            <w:pPr>
              <w:spacing w:before="120"/>
              <w:rPr>
                <w:strike/>
                <w:szCs w:val="24"/>
              </w:rPr>
            </w:pPr>
          </w:p>
        </w:tc>
        <w:tc>
          <w:tcPr>
            <w:tcW w:w="1559" w:type="dxa"/>
          </w:tcPr>
          <w:p w14:paraId="23C185D4" w14:textId="77777777" w:rsidR="000839A4" w:rsidRPr="000839A4" w:rsidRDefault="000839A4" w:rsidP="000839A4">
            <w:pPr>
              <w:spacing w:before="120"/>
              <w:rPr>
                <w:strike/>
                <w:szCs w:val="24"/>
              </w:rPr>
            </w:pPr>
            <w:r w:rsidRPr="000839A4">
              <w:rPr>
                <w:strike/>
                <w:szCs w:val="24"/>
              </w:rPr>
              <w:t xml:space="preserve">28.30.86   </w:t>
            </w:r>
          </w:p>
        </w:tc>
        <w:tc>
          <w:tcPr>
            <w:tcW w:w="6232" w:type="dxa"/>
          </w:tcPr>
          <w:p w14:paraId="5237E43D" w14:textId="77777777" w:rsidR="000839A4" w:rsidRPr="000839A4" w:rsidRDefault="000839A4" w:rsidP="000839A4">
            <w:pPr>
              <w:spacing w:before="120"/>
              <w:rPr>
                <w:strike/>
                <w:szCs w:val="24"/>
              </w:rPr>
            </w:pPr>
            <w:r w:rsidRPr="000839A4">
              <w:rPr>
                <w:strike/>
                <w:szCs w:val="24"/>
              </w:rPr>
              <w:t xml:space="preserve">Stroje a přístroje pro zemědělství, zahradnictví, lesnictví, drůbežářství </w:t>
            </w:r>
            <w:proofErr w:type="gramStart"/>
            <w:r w:rsidRPr="000839A4">
              <w:rPr>
                <w:strike/>
                <w:szCs w:val="24"/>
              </w:rPr>
              <w:t>nebo       včelařství</w:t>
            </w:r>
            <w:proofErr w:type="gramEnd"/>
            <w:r w:rsidRPr="000839A4">
              <w:rPr>
                <w:strike/>
                <w:szCs w:val="24"/>
              </w:rPr>
              <w:t xml:space="preserve"> jinde neuvedené</w:t>
            </w:r>
          </w:p>
        </w:tc>
      </w:tr>
      <w:tr w:rsidR="000839A4" w:rsidRPr="000839A4" w14:paraId="5B395440" w14:textId="77777777" w:rsidTr="000839A4">
        <w:tc>
          <w:tcPr>
            <w:tcW w:w="1271" w:type="dxa"/>
          </w:tcPr>
          <w:p w14:paraId="269771C6" w14:textId="77777777" w:rsidR="000839A4" w:rsidRPr="000839A4" w:rsidRDefault="000839A4" w:rsidP="000839A4">
            <w:pPr>
              <w:spacing w:before="120"/>
              <w:rPr>
                <w:strike/>
                <w:szCs w:val="24"/>
              </w:rPr>
            </w:pPr>
            <w:r w:rsidRPr="000839A4">
              <w:rPr>
                <w:strike/>
                <w:szCs w:val="24"/>
              </w:rPr>
              <w:t xml:space="preserve">(1-29)      </w:t>
            </w:r>
          </w:p>
        </w:tc>
        <w:tc>
          <w:tcPr>
            <w:tcW w:w="1559" w:type="dxa"/>
          </w:tcPr>
          <w:p w14:paraId="1AF47374" w14:textId="77777777" w:rsidR="000839A4" w:rsidRPr="000839A4" w:rsidRDefault="000839A4" w:rsidP="000839A4">
            <w:pPr>
              <w:spacing w:before="120"/>
              <w:rPr>
                <w:strike/>
                <w:szCs w:val="24"/>
              </w:rPr>
            </w:pPr>
            <w:r w:rsidRPr="000839A4">
              <w:rPr>
                <w:strike/>
                <w:szCs w:val="24"/>
              </w:rPr>
              <w:t xml:space="preserve">28.99.39   </w:t>
            </w:r>
          </w:p>
        </w:tc>
        <w:tc>
          <w:tcPr>
            <w:tcW w:w="6232" w:type="dxa"/>
          </w:tcPr>
          <w:p w14:paraId="2EFDD74C" w14:textId="77777777" w:rsidR="000839A4" w:rsidRPr="000839A4" w:rsidRDefault="000839A4" w:rsidP="000839A4">
            <w:pPr>
              <w:spacing w:before="120"/>
              <w:rPr>
                <w:strike/>
                <w:szCs w:val="24"/>
              </w:rPr>
            </w:pPr>
            <w:r w:rsidRPr="000839A4">
              <w:rPr>
                <w:strike/>
                <w:szCs w:val="24"/>
              </w:rPr>
              <w:t>Jen: zařízení na vyvažování pneumatik</w:t>
            </w:r>
          </w:p>
        </w:tc>
      </w:tr>
      <w:tr w:rsidR="000839A4" w:rsidRPr="000839A4" w14:paraId="6932A8C8" w14:textId="77777777" w:rsidTr="000839A4">
        <w:tc>
          <w:tcPr>
            <w:tcW w:w="1271" w:type="dxa"/>
          </w:tcPr>
          <w:p w14:paraId="41620CB1" w14:textId="77777777" w:rsidR="000839A4" w:rsidRPr="000839A4" w:rsidRDefault="000839A4" w:rsidP="000839A4">
            <w:pPr>
              <w:spacing w:before="120"/>
              <w:rPr>
                <w:strike/>
                <w:szCs w:val="24"/>
              </w:rPr>
            </w:pPr>
            <w:r w:rsidRPr="000839A4">
              <w:rPr>
                <w:strike/>
                <w:szCs w:val="24"/>
              </w:rPr>
              <w:t xml:space="preserve">(1-30)     </w:t>
            </w:r>
          </w:p>
          <w:p w14:paraId="698DBC4A" w14:textId="77777777" w:rsidR="000839A4" w:rsidRPr="000839A4" w:rsidRDefault="000839A4" w:rsidP="000839A4">
            <w:pPr>
              <w:spacing w:before="120"/>
              <w:rPr>
                <w:strike/>
                <w:szCs w:val="24"/>
              </w:rPr>
            </w:pPr>
          </w:p>
        </w:tc>
        <w:tc>
          <w:tcPr>
            <w:tcW w:w="1559" w:type="dxa"/>
          </w:tcPr>
          <w:p w14:paraId="7D7D427D" w14:textId="77777777" w:rsidR="000839A4" w:rsidRPr="000839A4" w:rsidRDefault="000839A4" w:rsidP="000839A4">
            <w:pPr>
              <w:spacing w:before="120"/>
              <w:rPr>
                <w:strike/>
                <w:szCs w:val="24"/>
              </w:rPr>
            </w:pPr>
            <w:proofErr w:type="gramStart"/>
            <w:r w:rsidRPr="000839A4">
              <w:rPr>
                <w:strike/>
                <w:szCs w:val="24"/>
              </w:rPr>
              <w:t>29.10.52</w:t>
            </w:r>
            <w:proofErr w:type="gramEnd"/>
          </w:p>
        </w:tc>
        <w:tc>
          <w:tcPr>
            <w:tcW w:w="6232" w:type="dxa"/>
          </w:tcPr>
          <w:p w14:paraId="496CACEC" w14:textId="77777777" w:rsidR="000839A4" w:rsidRPr="000839A4" w:rsidRDefault="000839A4" w:rsidP="000839A4">
            <w:pPr>
              <w:spacing w:before="120"/>
              <w:rPr>
                <w:strike/>
                <w:szCs w:val="24"/>
              </w:rPr>
            </w:pPr>
            <w:r w:rsidRPr="000839A4">
              <w:rPr>
                <w:strike/>
                <w:szCs w:val="24"/>
              </w:rPr>
              <w:t>Vozidla konstruovaná pro jízdu na sněhu, na golfových hřištích apod., s motorem</w:t>
            </w:r>
          </w:p>
        </w:tc>
      </w:tr>
      <w:tr w:rsidR="000839A4" w:rsidRPr="000839A4" w14:paraId="325FE993" w14:textId="77777777" w:rsidTr="000839A4">
        <w:tc>
          <w:tcPr>
            <w:tcW w:w="1271" w:type="dxa"/>
          </w:tcPr>
          <w:p w14:paraId="5781F2B2" w14:textId="77777777" w:rsidR="000839A4" w:rsidRPr="000839A4" w:rsidRDefault="000839A4" w:rsidP="000839A4">
            <w:pPr>
              <w:spacing w:before="120"/>
              <w:rPr>
                <w:strike/>
                <w:szCs w:val="24"/>
              </w:rPr>
            </w:pPr>
            <w:r w:rsidRPr="000839A4">
              <w:rPr>
                <w:strike/>
                <w:szCs w:val="24"/>
              </w:rPr>
              <w:t xml:space="preserve">(1-31)     </w:t>
            </w:r>
          </w:p>
        </w:tc>
        <w:tc>
          <w:tcPr>
            <w:tcW w:w="1559" w:type="dxa"/>
          </w:tcPr>
          <w:p w14:paraId="2F48820A" w14:textId="77777777" w:rsidR="000839A4" w:rsidRPr="000839A4" w:rsidRDefault="000839A4" w:rsidP="000839A4">
            <w:pPr>
              <w:spacing w:before="120"/>
              <w:rPr>
                <w:strike/>
                <w:szCs w:val="24"/>
              </w:rPr>
            </w:pPr>
            <w:r w:rsidRPr="000839A4">
              <w:rPr>
                <w:strike/>
                <w:szCs w:val="24"/>
              </w:rPr>
              <w:t xml:space="preserve">30.20.33   </w:t>
            </w:r>
          </w:p>
        </w:tc>
        <w:tc>
          <w:tcPr>
            <w:tcW w:w="6232" w:type="dxa"/>
          </w:tcPr>
          <w:p w14:paraId="0BB17847" w14:textId="77777777" w:rsidR="000839A4" w:rsidRPr="000839A4" w:rsidRDefault="000839A4" w:rsidP="000839A4">
            <w:pPr>
              <w:spacing w:before="120"/>
              <w:rPr>
                <w:strike/>
                <w:szCs w:val="24"/>
              </w:rPr>
            </w:pPr>
            <w:r w:rsidRPr="000839A4">
              <w:rPr>
                <w:strike/>
                <w:szCs w:val="24"/>
              </w:rPr>
              <w:t>Jen: vozíky kolejové důlní</w:t>
            </w:r>
          </w:p>
        </w:tc>
      </w:tr>
      <w:tr w:rsidR="000839A4" w:rsidRPr="000839A4" w14:paraId="654B78FC" w14:textId="77777777" w:rsidTr="000839A4">
        <w:tc>
          <w:tcPr>
            <w:tcW w:w="1271" w:type="dxa"/>
          </w:tcPr>
          <w:p w14:paraId="24908592" w14:textId="77777777" w:rsidR="000839A4" w:rsidRPr="000839A4" w:rsidRDefault="000839A4" w:rsidP="000839A4">
            <w:pPr>
              <w:spacing w:before="120"/>
              <w:rPr>
                <w:strike/>
                <w:szCs w:val="24"/>
              </w:rPr>
            </w:pPr>
            <w:r w:rsidRPr="000839A4">
              <w:rPr>
                <w:strike/>
                <w:szCs w:val="24"/>
              </w:rPr>
              <w:t xml:space="preserve">(1-32)    </w:t>
            </w:r>
          </w:p>
        </w:tc>
        <w:tc>
          <w:tcPr>
            <w:tcW w:w="1559" w:type="dxa"/>
          </w:tcPr>
          <w:p w14:paraId="5760EB5C" w14:textId="77777777" w:rsidR="000839A4" w:rsidRPr="000839A4" w:rsidRDefault="000839A4" w:rsidP="000839A4">
            <w:pPr>
              <w:spacing w:before="120"/>
              <w:rPr>
                <w:strike/>
                <w:szCs w:val="24"/>
              </w:rPr>
            </w:pPr>
            <w:r w:rsidRPr="000839A4">
              <w:rPr>
                <w:strike/>
                <w:szCs w:val="24"/>
              </w:rPr>
              <w:t xml:space="preserve">30.92.10   </w:t>
            </w:r>
          </w:p>
        </w:tc>
        <w:tc>
          <w:tcPr>
            <w:tcW w:w="6232" w:type="dxa"/>
          </w:tcPr>
          <w:p w14:paraId="3C32008A" w14:textId="77777777" w:rsidR="000839A4" w:rsidRPr="000839A4" w:rsidRDefault="000839A4" w:rsidP="000839A4">
            <w:pPr>
              <w:spacing w:before="120"/>
              <w:rPr>
                <w:strike/>
                <w:szCs w:val="24"/>
              </w:rPr>
            </w:pPr>
            <w:r w:rsidRPr="000839A4">
              <w:rPr>
                <w:strike/>
                <w:szCs w:val="24"/>
              </w:rPr>
              <w:t>Jízdní kola a jiná kola bez motoru</w:t>
            </w:r>
          </w:p>
        </w:tc>
      </w:tr>
      <w:tr w:rsidR="000839A4" w:rsidRPr="000839A4" w14:paraId="5CAB3E2F" w14:textId="77777777" w:rsidTr="000839A4">
        <w:tc>
          <w:tcPr>
            <w:tcW w:w="1271" w:type="dxa"/>
          </w:tcPr>
          <w:p w14:paraId="1B6D46FF" w14:textId="77777777" w:rsidR="000839A4" w:rsidRPr="000839A4" w:rsidRDefault="000839A4" w:rsidP="000839A4">
            <w:pPr>
              <w:spacing w:before="120"/>
              <w:rPr>
                <w:strike/>
                <w:szCs w:val="24"/>
              </w:rPr>
            </w:pPr>
            <w:r w:rsidRPr="000839A4">
              <w:rPr>
                <w:strike/>
                <w:szCs w:val="24"/>
              </w:rPr>
              <w:t xml:space="preserve">(1-33)    </w:t>
            </w:r>
          </w:p>
        </w:tc>
        <w:tc>
          <w:tcPr>
            <w:tcW w:w="1559" w:type="dxa"/>
          </w:tcPr>
          <w:p w14:paraId="4A496A3F" w14:textId="77777777" w:rsidR="000839A4" w:rsidRPr="000839A4" w:rsidRDefault="000839A4" w:rsidP="000839A4">
            <w:pPr>
              <w:spacing w:before="120"/>
              <w:rPr>
                <w:strike/>
                <w:szCs w:val="24"/>
              </w:rPr>
            </w:pPr>
            <w:r w:rsidRPr="000839A4">
              <w:rPr>
                <w:strike/>
                <w:szCs w:val="24"/>
              </w:rPr>
              <w:t xml:space="preserve">32.50.21   </w:t>
            </w:r>
          </w:p>
        </w:tc>
        <w:tc>
          <w:tcPr>
            <w:tcW w:w="6232" w:type="dxa"/>
          </w:tcPr>
          <w:p w14:paraId="7D7DC2E8" w14:textId="77777777" w:rsidR="000839A4" w:rsidRPr="000839A4" w:rsidRDefault="000839A4" w:rsidP="000839A4">
            <w:pPr>
              <w:spacing w:before="120"/>
              <w:rPr>
                <w:strike/>
                <w:szCs w:val="24"/>
              </w:rPr>
            </w:pPr>
            <w:r w:rsidRPr="000839A4">
              <w:rPr>
                <w:strike/>
                <w:szCs w:val="24"/>
              </w:rPr>
              <w:t>Jen: dýchací přístroje</w:t>
            </w:r>
          </w:p>
        </w:tc>
      </w:tr>
      <w:tr w:rsidR="000839A4" w:rsidRPr="000839A4" w14:paraId="4317A98B" w14:textId="77777777" w:rsidTr="000839A4">
        <w:tc>
          <w:tcPr>
            <w:tcW w:w="1271" w:type="dxa"/>
          </w:tcPr>
          <w:p w14:paraId="307D6D50" w14:textId="77777777" w:rsidR="000839A4" w:rsidRPr="000839A4" w:rsidRDefault="000839A4" w:rsidP="000839A4">
            <w:pPr>
              <w:spacing w:before="120"/>
              <w:rPr>
                <w:strike/>
                <w:szCs w:val="24"/>
              </w:rPr>
            </w:pPr>
            <w:r w:rsidRPr="000839A4">
              <w:rPr>
                <w:strike/>
                <w:szCs w:val="24"/>
              </w:rPr>
              <w:t xml:space="preserve">(1-34)    </w:t>
            </w:r>
          </w:p>
          <w:p w14:paraId="56D7608A" w14:textId="77777777" w:rsidR="000839A4" w:rsidRPr="000839A4" w:rsidRDefault="000839A4" w:rsidP="000839A4">
            <w:pPr>
              <w:spacing w:before="120"/>
              <w:rPr>
                <w:strike/>
                <w:szCs w:val="24"/>
              </w:rPr>
            </w:pPr>
          </w:p>
        </w:tc>
        <w:tc>
          <w:tcPr>
            <w:tcW w:w="1559" w:type="dxa"/>
          </w:tcPr>
          <w:p w14:paraId="1F9F7D1B" w14:textId="77777777" w:rsidR="000839A4" w:rsidRPr="000839A4" w:rsidRDefault="000839A4" w:rsidP="000839A4">
            <w:pPr>
              <w:spacing w:before="120"/>
              <w:rPr>
                <w:strike/>
                <w:szCs w:val="24"/>
              </w:rPr>
            </w:pPr>
            <w:r w:rsidRPr="000839A4">
              <w:rPr>
                <w:strike/>
                <w:szCs w:val="24"/>
              </w:rPr>
              <w:t xml:space="preserve">32.99.11   </w:t>
            </w:r>
          </w:p>
        </w:tc>
        <w:tc>
          <w:tcPr>
            <w:tcW w:w="6232" w:type="dxa"/>
          </w:tcPr>
          <w:p w14:paraId="448F28A9" w14:textId="77777777" w:rsidR="000839A4" w:rsidRPr="000839A4" w:rsidRDefault="000839A4" w:rsidP="000839A4">
            <w:pPr>
              <w:spacing w:before="120"/>
              <w:rPr>
                <w:strike/>
                <w:szCs w:val="24"/>
              </w:rPr>
            </w:pPr>
            <w:r w:rsidRPr="000839A4">
              <w:rPr>
                <w:strike/>
                <w:szCs w:val="24"/>
              </w:rPr>
              <w:t>Ochranné pokrývky hlavy a jiné ochranné výrobky</w:t>
            </w:r>
          </w:p>
        </w:tc>
      </w:tr>
      <w:tr w:rsidR="000839A4" w:rsidRPr="000839A4" w14:paraId="1E24720A" w14:textId="77777777" w:rsidTr="000839A4">
        <w:tc>
          <w:tcPr>
            <w:tcW w:w="1271" w:type="dxa"/>
          </w:tcPr>
          <w:p w14:paraId="7DD024A4" w14:textId="77777777" w:rsidR="000839A4" w:rsidRPr="000839A4" w:rsidRDefault="000839A4" w:rsidP="000839A4">
            <w:pPr>
              <w:spacing w:before="120"/>
              <w:rPr>
                <w:strike/>
                <w:szCs w:val="24"/>
              </w:rPr>
            </w:pPr>
            <w:r w:rsidRPr="000839A4">
              <w:rPr>
                <w:strike/>
                <w:szCs w:val="24"/>
              </w:rPr>
              <w:t xml:space="preserve">(1-35)    </w:t>
            </w:r>
          </w:p>
          <w:p w14:paraId="351A9E0A" w14:textId="77777777" w:rsidR="000839A4" w:rsidRPr="000839A4" w:rsidRDefault="000839A4" w:rsidP="000839A4">
            <w:pPr>
              <w:spacing w:before="120"/>
              <w:rPr>
                <w:strike/>
                <w:szCs w:val="24"/>
              </w:rPr>
            </w:pPr>
          </w:p>
        </w:tc>
        <w:tc>
          <w:tcPr>
            <w:tcW w:w="1559" w:type="dxa"/>
          </w:tcPr>
          <w:p w14:paraId="592DC637" w14:textId="77777777" w:rsidR="000839A4" w:rsidRPr="000839A4" w:rsidRDefault="000839A4" w:rsidP="000839A4">
            <w:pPr>
              <w:spacing w:before="120"/>
              <w:rPr>
                <w:strike/>
                <w:szCs w:val="24"/>
              </w:rPr>
            </w:pPr>
            <w:r w:rsidRPr="000839A4">
              <w:rPr>
                <w:strike/>
                <w:szCs w:val="24"/>
              </w:rPr>
              <w:t xml:space="preserve">32.99.53   </w:t>
            </w:r>
          </w:p>
        </w:tc>
        <w:tc>
          <w:tcPr>
            <w:tcW w:w="6232" w:type="dxa"/>
          </w:tcPr>
          <w:p w14:paraId="4C1A0AFD" w14:textId="77777777" w:rsidR="000839A4" w:rsidRPr="000839A4" w:rsidRDefault="000839A4" w:rsidP="000839A4">
            <w:pPr>
              <w:spacing w:before="120"/>
              <w:rPr>
                <w:strike/>
                <w:szCs w:val="24"/>
              </w:rPr>
            </w:pPr>
            <w:r w:rsidRPr="000839A4">
              <w:rPr>
                <w:strike/>
                <w:szCs w:val="24"/>
              </w:rPr>
              <w:t>Přístroje, zařízení a modely určené k demonstračním účelům</w:t>
            </w:r>
          </w:p>
        </w:tc>
      </w:tr>
      <w:tr w:rsidR="000839A4" w:rsidRPr="000839A4" w14:paraId="380878D6" w14:textId="77777777" w:rsidTr="000839A4">
        <w:tc>
          <w:tcPr>
            <w:tcW w:w="1271" w:type="dxa"/>
          </w:tcPr>
          <w:p w14:paraId="7737B336" w14:textId="77777777" w:rsidR="000839A4" w:rsidRPr="000839A4" w:rsidRDefault="000839A4" w:rsidP="000839A4">
            <w:pPr>
              <w:spacing w:before="120"/>
              <w:rPr>
                <w:strike/>
                <w:szCs w:val="24"/>
              </w:rPr>
            </w:pPr>
            <w:r w:rsidRPr="000839A4">
              <w:rPr>
                <w:strike/>
                <w:szCs w:val="24"/>
              </w:rPr>
              <w:t xml:space="preserve">(1-36)   </w:t>
            </w:r>
          </w:p>
        </w:tc>
        <w:tc>
          <w:tcPr>
            <w:tcW w:w="1559" w:type="dxa"/>
          </w:tcPr>
          <w:p w14:paraId="2EE306B2" w14:textId="77777777" w:rsidR="000839A4" w:rsidRPr="000839A4" w:rsidRDefault="000839A4" w:rsidP="000839A4">
            <w:pPr>
              <w:spacing w:before="120"/>
              <w:rPr>
                <w:strike/>
                <w:szCs w:val="24"/>
              </w:rPr>
            </w:pPr>
            <w:r w:rsidRPr="000839A4">
              <w:rPr>
                <w:strike/>
                <w:szCs w:val="24"/>
              </w:rPr>
              <w:t xml:space="preserve">32.99.55   </w:t>
            </w:r>
          </w:p>
        </w:tc>
        <w:tc>
          <w:tcPr>
            <w:tcW w:w="6232" w:type="dxa"/>
          </w:tcPr>
          <w:p w14:paraId="568499AD" w14:textId="77777777" w:rsidR="000839A4" w:rsidRPr="000839A4" w:rsidRDefault="000839A4" w:rsidP="000839A4">
            <w:pPr>
              <w:spacing w:before="120"/>
              <w:rPr>
                <w:strike/>
                <w:szCs w:val="24"/>
              </w:rPr>
            </w:pPr>
            <w:r w:rsidRPr="000839A4">
              <w:rPr>
                <w:strike/>
                <w:szCs w:val="24"/>
              </w:rPr>
              <w:t>Umělé květiny, listoví a ovoce</w:t>
            </w:r>
          </w:p>
        </w:tc>
      </w:tr>
      <w:tr w:rsidR="000839A4" w:rsidRPr="000839A4" w14:paraId="69646187" w14:textId="77777777" w:rsidTr="000839A4">
        <w:tc>
          <w:tcPr>
            <w:tcW w:w="9062" w:type="dxa"/>
            <w:gridSpan w:val="3"/>
          </w:tcPr>
          <w:p w14:paraId="38106E4D" w14:textId="77777777" w:rsidR="000839A4" w:rsidRPr="000839A4" w:rsidRDefault="000839A4" w:rsidP="000839A4">
            <w:pPr>
              <w:spacing w:before="120"/>
              <w:rPr>
                <w:strike/>
                <w:szCs w:val="24"/>
              </w:rPr>
            </w:pPr>
            <w:r w:rsidRPr="000839A4">
              <w:rPr>
                <w:strike/>
                <w:szCs w:val="24"/>
              </w:rPr>
              <w:t>ODPISOVÁ SKUPINA 2</w:t>
            </w:r>
          </w:p>
        </w:tc>
      </w:tr>
      <w:tr w:rsidR="000839A4" w:rsidRPr="000839A4" w14:paraId="581AF884" w14:textId="77777777" w:rsidTr="000839A4">
        <w:tc>
          <w:tcPr>
            <w:tcW w:w="1271" w:type="dxa"/>
          </w:tcPr>
          <w:p w14:paraId="4AFE64EA" w14:textId="77777777" w:rsidR="000839A4" w:rsidRPr="000839A4" w:rsidRDefault="000839A4" w:rsidP="000839A4">
            <w:pPr>
              <w:spacing w:before="120"/>
              <w:rPr>
                <w:strike/>
                <w:szCs w:val="24"/>
              </w:rPr>
            </w:pPr>
            <w:r w:rsidRPr="000839A4">
              <w:rPr>
                <w:strike/>
                <w:szCs w:val="24"/>
              </w:rPr>
              <w:t>Položka +)</w:t>
            </w:r>
          </w:p>
        </w:tc>
        <w:tc>
          <w:tcPr>
            <w:tcW w:w="1559" w:type="dxa"/>
          </w:tcPr>
          <w:p w14:paraId="1C723BED" w14:textId="77777777" w:rsidR="000839A4" w:rsidRPr="000839A4" w:rsidRDefault="000839A4" w:rsidP="000839A4">
            <w:pPr>
              <w:spacing w:before="120"/>
              <w:rPr>
                <w:strike/>
                <w:szCs w:val="24"/>
              </w:rPr>
            </w:pPr>
            <w:r w:rsidRPr="000839A4">
              <w:rPr>
                <w:strike/>
                <w:szCs w:val="24"/>
              </w:rPr>
              <w:t>CZ-CPA ++)</w:t>
            </w:r>
          </w:p>
        </w:tc>
        <w:tc>
          <w:tcPr>
            <w:tcW w:w="6232" w:type="dxa"/>
          </w:tcPr>
          <w:p w14:paraId="6571C18C" w14:textId="77777777" w:rsidR="000839A4" w:rsidRPr="000839A4" w:rsidRDefault="000839A4" w:rsidP="000839A4">
            <w:pPr>
              <w:spacing w:before="120"/>
              <w:rPr>
                <w:strike/>
                <w:szCs w:val="24"/>
              </w:rPr>
            </w:pPr>
            <w:r w:rsidRPr="000839A4">
              <w:rPr>
                <w:strike/>
                <w:szCs w:val="24"/>
              </w:rPr>
              <w:t>Název ++++)</w:t>
            </w:r>
          </w:p>
        </w:tc>
      </w:tr>
      <w:tr w:rsidR="000839A4" w:rsidRPr="000839A4" w14:paraId="189F357E" w14:textId="77777777" w:rsidTr="000839A4">
        <w:tc>
          <w:tcPr>
            <w:tcW w:w="1271" w:type="dxa"/>
          </w:tcPr>
          <w:p w14:paraId="1DBCC5EF" w14:textId="77777777" w:rsidR="000839A4" w:rsidRPr="000839A4" w:rsidRDefault="000839A4" w:rsidP="000839A4">
            <w:pPr>
              <w:spacing w:before="120"/>
              <w:rPr>
                <w:strike/>
                <w:szCs w:val="24"/>
              </w:rPr>
            </w:pPr>
          </w:p>
        </w:tc>
        <w:tc>
          <w:tcPr>
            <w:tcW w:w="1559" w:type="dxa"/>
          </w:tcPr>
          <w:p w14:paraId="6E021D77" w14:textId="77777777" w:rsidR="000839A4" w:rsidRPr="000839A4" w:rsidRDefault="000839A4" w:rsidP="000839A4">
            <w:pPr>
              <w:spacing w:before="120"/>
              <w:rPr>
                <w:strike/>
                <w:szCs w:val="24"/>
              </w:rPr>
            </w:pPr>
            <w:r w:rsidRPr="000839A4">
              <w:rPr>
                <w:strike/>
                <w:szCs w:val="24"/>
              </w:rPr>
              <w:t>CZ-CC +++)</w:t>
            </w:r>
          </w:p>
        </w:tc>
        <w:tc>
          <w:tcPr>
            <w:tcW w:w="6232" w:type="dxa"/>
          </w:tcPr>
          <w:p w14:paraId="62314E8C" w14:textId="77777777" w:rsidR="000839A4" w:rsidRPr="000839A4" w:rsidRDefault="000839A4" w:rsidP="000839A4">
            <w:pPr>
              <w:spacing w:before="120"/>
              <w:rPr>
                <w:strike/>
                <w:szCs w:val="24"/>
              </w:rPr>
            </w:pPr>
          </w:p>
        </w:tc>
      </w:tr>
      <w:tr w:rsidR="000839A4" w:rsidRPr="000839A4" w14:paraId="3E41933F" w14:textId="77777777" w:rsidTr="000839A4">
        <w:tc>
          <w:tcPr>
            <w:tcW w:w="1271" w:type="dxa"/>
          </w:tcPr>
          <w:p w14:paraId="2ED3D414" w14:textId="77777777" w:rsidR="000839A4" w:rsidRPr="000839A4" w:rsidRDefault="000839A4" w:rsidP="000839A4">
            <w:pPr>
              <w:spacing w:before="120"/>
              <w:rPr>
                <w:strike/>
                <w:szCs w:val="24"/>
              </w:rPr>
            </w:pPr>
            <w:r w:rsidRPr="000839A4">
              <w:rPr>
                <w:strike/>
                <w:szCs w:val="24"/>
              </w:rPr>
              <w:t xml:space="preserve">(2-1)      </w:t>
            </w:r>
          </w:p>
          <w:p w14:paraId="0F7BCAAD" w14:textId="77777777" w:rsidR="000839A4" w:rsidRPr="000839A4" w:rsidRDefault="000839A4" w:rsidP="000839A4">
            <w:pPr>
              <w:spacing w:before="120"/>
              <w:rPr>
                <w:strike/>
                <w:szCs w:val="24"/>
              </w:rPr>
            </w:pPr>
          </w:p>
        </w:tc>
        <w:tc>
          <w:tcPr>
            <w:tcW w:w="1559" w:type="dxa"/>
          </w:tcPr>
          <w:p w14:paraId="1B1B064C" w14:textId="77777777" w:rsidR="000839A4" w:rsidRPr="000839A4" w:rsidRDefault="000839A4" w:rsidP="000839A4">
            <w:pPr>
              <w:spacing w:before="120"/>
              <w:rPr>
                <w:strike/>
                <w:szCs w:val="24"/>
              </w:rPr>
            </w:pPr>
            <w:r w:rsidRPr="000839A4">
              <w:rPr>
                <w:strike/>
                <w:szCs w:val="24"/>
              </w:rPr>
              <w:t xml:space="preserve">01.43.10   </w:t>
            </w:r>
          </w:p>
        </w:tc>
        <w:tc>
          <w:tcPr>
            <w:tcW w:w="6232" w:type="dxa"/>
          </w:tcPr>
          <w:p w14:paraId="76CD54F8" w14:textId="77777777" w:rsidR="000839A4" w:rsidRPr="000839A4" w:rsidRDefault="000839A4" w:rsidP="000839A4">
            <w:pPr>
              <w:spacing w:before="120"/>
              <w:rPr>
                <w:strike/>
                <w:szCs w:val="24"/>
              </w:rPr>
            </w:pPr>
            <w:r w:rsidRPr="000839A4">
              <w:rPr>
                <w:strike/>
                <w:szCs w:val="24"/>
              </w:rPr>
              <w:t>Koně a jiní koňovití, živí, pokud nejsou uvedeni v jiné položce této přílohy</w:t>
            </w:r>
          </w:p>
        </w:tc>
      </w:tr>
      <w:tr w:rsidR="000839A4" w:rsidRPr="000839A4" w14:paraId="1E62DAB0" w14:textId="77777777" w:rsidTr="000839A4">
        <w:tc>
          <w:tcPr>
            <w:tcW w:w="1271" w:type="dxa"/>
          </w:tcPr>
          <w:p w14:paraId="74BABA1D" w14:textId="77777777" w:rsidR="000839A4" w:rsidRPr="000839A4" w:rsidRDefault="000839A4" w:rsidP="000839A4">
            <w:pPr>
              <w:spacing w:before="120"/>
              <w:rPr>
                <w:strike/>
                <w:szCs w:val="24"/>
              </w:rPr>
            </w:pPr>
            <w:r w:rsidRPr="000839A4">
              <w:rPr>
                <w:strike/>
                <w:szCs w:val="24"/>
              </w:rPr>
              <w:t xml:space="preserve">(2-2)      </w:t>
            </w:r>
          </w:p>
        </w:tc>
        <w:tc>
          <w:tcPr>
            <w:tcW w:w="1559" w:type="dxa"/>
          </w:tcPr>
          <w:p w14:paraId="3A82EFC2" w14:textId="77777777" w:rsidR="000839A4" w:rsidRPr="000839A4" w:rsidRDefault="000839A4" w:rsidP="000839A4">
            <w:pPr>
              <w:spacing w:before="120"/>
              <w:rPr>
                <w:strike/>
                <w:szCs w:val="24"/>
              </w:rPr>
            </w:pPr>
            <w:r w:rsidRPr="000839A4">
              <w:rPr>
                <w:strike/>
                <w:szCs w:val="24"/>
              </w:rPr>
              <w:t xml:space="preserve">13.92.2    </w:t>
            </w:r>
          </w:p>
        </w:tc>
        <w:tc>
          <w:tcPr>
            <w:tcW w:w="6232" w:type="dxa"/>
          </w:tcPr>
          <w:p w14:paraId="4C34BDD1" w14:textId="77777777" w:rsidR="000839A4" w:rsidRPr="000839A4" w:rsidRDefault="000839A4" w:rsidP="000839A4">
            <w:pPr>
              <w:spacing w:before="120"/>
              <w:rPr>
                <w:strike/>
                <w:szCs w:val="24"/>
              </w:rPr>
            </w:pPr>
            <w:r w:rsidRPr="000839A4">
              <w:rPr>
                <w:strike/>
                <w:szCs w:val="24"/>
              </w:rPr>
              <w:t>Ostatní konfekční textilní výrobky</w:t>
            </w:r>
          </w:p>
        </w:tc>
      </w:tr>
      <w:tr w:rsidR="000839A4" w:rsidRPr="000839A4" w14:paraId="18C154DE" w14:textId="77777777" w:rsidTr="000839A4">
        <w:tc>
          <w:tcPr>
            <w:tcW w:w="1271" w:type="dxa"/>
          </w:tcPr>
          <w:p w14:paraId="516C4AA8" w14:textId="77777777" w:rsidR="000839A4" w:rsidRPr="000839A4" w:rsidRDefault="000839A4" w:rsidP="000839A4">
            <w:pPr>
              <w:spacing w:before="120"/>
              <w:rPr>
                <w:strike/>
                <w:szCs w:val="24"/>
              </w:rPr>
            </w:pPr>
            <w:r w:rsidRPr="000839A4">
              <w:rPr>
                <w:strike/>
                <w:szCs w:val="24"/>
              </w:rPr>
              <w:t xml:space="preserve">(2-3)     </w:t>
            </w:r>
          </w:p>
        </w:tc>
        <w:tc>
          <w:tcPr>
            <w:tcW w:w="1559" w:type="dxa"/>
          </w:tcPr>
          <w:p w14:paraId="4278FC21" w14:textId="77777777" w:rsidR="000839A4" w:rsidRPr="000839A4" w:rsidRDefault="000839A4" w:rsidP="000839A4">
            <w:pPr>
              <w:spacing w:before="120"/>
              <w:rPr>
                <w:strike/>
                <w:szCs w:val="24"/>
              </w:rPr>
            </w:pPr>
            <w:r w:rsidRPr="000839A4">
              <w:rPr>
                <w:strike/>
                <w:szCs w:val="24"/>
              </w:rPr>
              <w:t xml:space="preserve">13.93.1    </w:t>
            </w:r>
          </w:p>
        </w:tc>
        <w:tc>
          <w:tcPr>
            <w:tcW w:w="6232" w:type="dxa"/>
          </w:tcPr>
          <w:p w14:paraId="366D4373" w14:textId="77777777" w:rsidR="000839A4" w:rsidRPr="000839A4" w:rsidRDefault="000839A4" w:rsidP="000839A4">
            <w:pPr>
              <w:spacing w:before="120"/>
              <w:rPr>
                <w:strike/>
                <w:szCs w:val="24"/>
              </w:rPr>
            </w:pPr>
            <w:r w:rsidRPr="000839A4">
              <w:rPr>
                <w:strike/>
                <w:szCs w:val="24"/>
              </w:rPr>
              <w:t>Koberce a kobercové předložky</w:t>
            </w:r>
          </w:p>
        </w:tc>
      </w:tr>
      <w:tr w:rsidR="000839A4" w:rsidRPr="000839A4" w14:paraId="2686DDB8" w14:textId="77777777" w:rsidTr="000839A4">
        <w:tc>
          <w:tcPr>
            <w:tcW w:w="1271" w:type="dxa"/>
          </w:tcPr>
          <w:p w14:paraId="4BE18411" w14:textId="77777777" w:rsidR="000839A4" w:rsidRPr="000839A4" w:rsidRDefault="000839A4" w:rsidP="000839A4">
            <w:pPr>
              <w:spacing w:before="120"/>
              <w:rPr>
                <w:strike/>
                <w:szCs w:val="24"/>
              </w:rPr>
            </w:pPr>
            <w:r w:rsidRPr="000839A4">
              <w:rPr>
                <w:strike/>
                <w:szCs w:val="24"/>
              </w:rPr>
              <w:t xml:space="preserve">(2-4)      </w:t>
            </w:r>
          </w:p>
        </w:tc>
        <w:tc>
          <w:tcPr>
            <w:tcW w:w="1559" w:type="dxa"/>
          </w:tcPr>
          <w:p w14:paraId="25945B97" w14:textId="77777777" w:rsidR="000839A4" w:rsidRPr="000839A4" w:rsidRDefault="000839A4" w:rsidP="000839A4">
            <w:pPr>
              <w:spacing w:before="120"/>
              <w:rPr>
                <w:strike/>
                <w:szCs w:val="24"/>
              </w:rPr>
            </w:pPr>
            <w:r w:rsidRPr="000839A4">
              <w:rPr>
                <w:strike/>
                <w:szCs w:val="24"/>
              </w:rPr>
              <w:t xml:space="preserve">13.94.1    </w:t>
            </w:r>
          </w:p>
        </w:tc>
        <w:tc>
          <w:tcPr>
            <w:tcW w:w="6232" w:type="dxa"/>
          </w:tcPr>
          <w:p w14:paraId="478A7A69" w14:textId="77777777" w:rsidR="000839A4" w:rsidRPr="000839A4" w:rsidRDefault="000839A4" w:rsidP="000839A4">
            <w:pPr>
              <w:spacing w:before="120"/>
              <w:rPr>
                <w:strike/>
                <w:szCs w:val="24"/>
              </w:rPr>
            </w:pPr>
            <w:r w:rsidRPr="000839A4">
              <w:rPr>
                <w:strike/>
                <w:szCs w:val="24"/>
              </w:rPr>
              <w:t>Jen: lana a síťované výrobky</w:t>
            </w:r>
          </w:p>
        </w:tc>
      </w:tr>
      <w:tr w:rsidR="000839A4" w:rsidRPr="000839A4" w14:paraId="052BFB20" w14:textId="77777777" w:rsidTr="000839A4">
        <w:tc>
          <w:tcPr>
            <w:tcW w:w="1271" w:type="dxa"/>
          </w:tcPr>
          <w:p w14:paraId="1EF4B1F0" w14:textId="77777777" w:rsidR="000839A4" w:rsidRPr="000839A4" w:rsidRDefault="000839A4" w:rsidP="000839A4">
            <w:pPr>
              <w:spacing w:before="120"/>
              <w:rPr>
                <w:strike/>
                <w:szCs w:val="24"/>
              </w:rPr>
            </w:pPr>
            <w:r w:rsidRPr="000839A4">
              <w:rPr>
                <w:strike/>
                <w:szCs w:val="24"/>
              </w:rPr>
              <w:lastRenderedPageBreak/>
              <w:t xml:space="preserve">(2-5)     </w:t>
            </w:r>
          </w:p>
          <w:p w14:paraId="2C5B12B7" w14:textId="77777777" w:rsidR="000839A4" w:rsidRPr="000839A4" w:rsidRDefault="000839A4" w:rsidP="000839A4">
            <w:pPr>
              <w:spacing w:before="120"/>
              <w:rPr>
                <w:strike/>
                <w:szCs w:val="24"/>
              </w:rPr>
            </w:pPr>
            <w:r w:rsidRPr="000839A4">
              <w:rPr>
                <w:strike/>
                <w:szCs w:val="24"/>
              </w:rPr>
              <w:t xml:space="preserve"> </w:t>
            </w:r>
          </w:p>
        </w:tc>
        <w:tc>
          <w:tcPr>
            <w:tcW w:w="1559" w:type="dxa"/>
          </w:tcPr>
          <w:p w14:paraId="3CE9B7BE" w14:textId="77777777" w:rsidR="000839A4" w:rsidRPr="000839A4" w:rsidRDefault="000839A4" w:rsidP="000839A4">
            <w:pPr>
              <w:spacing w:before="120"/>
              <w:rPr>
                <w:strike/>
                <w:szCs w:val="24"/>
              </w:rPr>
            </w:pPr>
            <w:r w:rsidRPr="000839A4">
              <w:rPr>
                <w:strike/>
                <w:szCs w:val="24"/>
              </w:rPr>
              <w:t xml:space="preserve">13.96.16   </w:t>
            </w:r>
          </w:p>
        </w:tc>
        <w:tc>
          <w:tcPr>
            <w:tcW w:w="6232" w:type="dxa"/>
          </w:tcPr>
          <w:p w14:paraId="6D3AD5E1" w14:textId="77777777" w:rsidR="000839A4" w:rsidRPr="000839A4" w:rsidRDefault="000839A4" w:rsidP="000839A4">
            <w:pPr>
              <w:spacing w:before="120"/>
              <w:rPr>
                <w:strike/>
                <w:szCs w:val="24"/>
              </w:rPr>
            </w:pPr>
            <w:r w:rsidRPr="000839A4">
              <w:rPr>
                <w:strike/>
                <w:szCs w:val="24"/>
              </w:rPr>
              <w:t>Textilní výrobky a výrobky pro technické účely (vč. knotů, sítkových krytů na plynové lampy, hadicového potrubí, hnacích nebo dopravníkových pásů, pláten k prosévání a filtračních plachetek)</w:t>
            </w:r>
          </w:p>
        </w:tc>
      </w:tr>
      <w:tr w:rsidR="000839A4" w:rsidRPr="000839A4" w14:paraId="29655306" w14:textId="77777777" w:rsidTr="000839A4">
        <w:tc>
          <w:tcPr>
            <w:tcW w:w="1271" w:type="dxa"/>
          </w:tcPr>
          <w:p w14:paraId="034D9AC6" w14:textId="77777777" w:rsidR="000839A4" w:rsidRPr="000839A4" w:rsidRDefault="000839A4" w:rsidP="000839A4">
            <w:pPr>
              <w:spacing w:before="120"/>
              <w:rPr>
                <w:strike/>
                <w:szCs w:val="24"/>
              </w:rPr>
            </w:pPr>
            <w:r w:rsidRPr="000839A4">
              <w:rPr>
                <w:strike/>
                <w:szCs w:val="24"/>
              </w:rPr>
              <w:t xml:space="preserve">(2-6)      </w:t>
            </w:r>
          </w:p>
          <w:p w14:paraId="53374E7B" w14:textId="77777777" w:rsidR="000839A4" w:rsidRPr="000839A4" w:rsidRDefault="000839A4" w:rsidP="000839A4">
            <w:pPr>
              <w:spacing w:before="120"/>
              <w:rPr>
                <w:strike/>
                <w:szCs w:val="24"/>
              </w:rPr>
            </w:pPr>
          </w:p>
        </w:tc>
        <w:tc>
          <w:tcPr>
            <w:tcW w:w="1559" w:type="dxa"/>
          </w:tcPr>
          <w:p w14:paraId="0BCAB981" w14:textId="77777777" w:rsidR="000839A4" w:rsidRPr="000839A4" w:rsidRDefault="000839A4" w:rsidP="000839A4">
            <w:pPr>
              <w:spacing w:before="120"/>
              <w:rPr>
                <w:strike/>
                <w:szCs w:val="24"/>
              </w:rPr>
            </w:pPr>
            <w:r w:rsidRPr="000839A4">
              <w:rPr>
                <w:strike/>
                <w:szCs w:val="24"/>
              </w:rPr>
              <w:t>15.12.1</w:t>
            </w:r>
          </w:p>
        </w:tc>
        <w:tc>
          <w:tcPr>
            <w:tcW w:w="6232" w:type="dxa"/>
          </w:tcPr>
          <w:p w14:paraId="7B3B34CB" w14:textId="77777777" w:rsidR="000839A4" w:rsidRPr="000839A4" w:rsidRDefault="000839A4" w:rsidP="000839A4">
            <w:pPr>
              <w:spacing w:before="120"/>
              <w:rPr>
                <w:strike/>
                <w:szCs w:val="24"/>
              </w:rPr>
            </w:pPr>
            <w:r w:rsidRPr="000839A4">
              <w:rPr>
                <w:strike/>
                <w:szCs w:val="24"/>
              </w:rPr>
              <w:t>Brašnářské, sedlářské a podobné výrobky; jiné výrobky z usní</w:t>
            </w:r>
          </w:p>
        </w:tc>
      </w:tr>
      <w:tr w:rsidR="000839A4" w:rsidRPr="000839A4" w14:paraId="7ED7D736" w14:textId="77777777" w:rsidTr="000839A4">
        <w:tc>
          <w:tcPr>
            <w:tcW w:w="1271" w:type="dxa"/>
          </w:tcPr>
          <w:p w14:paraId="2F2EC9A6" w14:textId="77777777" w:rsidR="000839A4" w:rsidRPr="000839A4" w:rsidRDefault="000839A4" w:rsidP="000839A4">
            <w:pPr>
              <w:spacing w:before="120"/>
              <w:rPr>
                <w:strike/>
                <w:szCs w:val="24"/>
              </w:rPr>
            </w:pPr>
            <w:r w:rsidRPr="000839A4">
              <w:rPr>
                <w:strike/>
                <w:szCs w:val="24"/>
              </w:rPr>
              <w:t xml:space="preserve">(2-7)      </w:t>
            </w:r>
          </w:p>
        </w:tc>
        <w:tc>
          <w:tcPr>
            <w:tcW w:w="1559" w:type="dxa"/>
          </w:tcPr>
          <w:p w14:paraId="30FAAF2F" w14:textId="77777777" w:rsidR="000839A4" w:rsidRPr="000839A4" w:rsidRDefault="000839A4" w:rsidP="000839A4">
            <w:pPr>
              <w:spacing w:before="120"/>
              <w:rPr>
                <w:strike/>
                <w:szCs w:val="24"/>
              </w:rPr>
            </w:pPr>
            <w:r w:rsidRPr="000839A4">
              <w:rPr>
                <w:strike/>
                <w:szCs w:val="24"/>
              </w:rPr>
              <w:t xml:space="preserve">16.23.20   </w:t>
            </w:r>
          </w:p>
        </w:tc>
        <w:tc>
          <w:tcPr>
            <w:tcW w:w="6232" w:type="dxa"/>
          </w:tcPr>
          <w:p w14:paraId="1C1F7BAA" w14:textId="77777777" w:rsidR="000839A4" w:rsidRPr="000839A4" w:rsidRDefault="000839A4" w:rsidP="000839A4">
            <w:pPr>
              <w:spacing w:before="120"/>
              <w:rPr>
                <w:strike/>
                <w:szCs w:val="24"/>
              </w:rPr>
            </w:pPr>
            <w:r w:rsidRPr="000839A4">
              <w:rPr>
                <w:strike/>
                <w:szCs w:val="24"/>
              </w:rPr>
              <w:t>Montované stavby ze dřeva</w:t>
            </w:r>
          </w:p>
        </w:tc>
      </w:tr>
      <w:tr w:rsidR="000839A4" w:rsidRPr="000839A4" w14:paraId="7FD94BFF" w14:textId="77777777" w:rsidTr="000839A4">
        <w:tc>
          <w:tcPr>
            <w:tcW w:w="1271" w:type="dxa"/>
          </w:tcPr>
          <w:p w14:paraId="39682422" w14:textId="77777777" w:rsidR="000839A4" w:rsidRPr="000839A4" w:rsidRDefault="000839A4" w:rsidP="000839A4">
            <w:pPr>
              <w:spacing w:before="120"/>
              <w:rPr>
                <w:strike/>
                <w:szCs w:val="24"/>
              </w:rPr>
            </w:pPr>
            <w:r w:rsidRPr="000839A4">
              <w:rPr>
                <w:strike/>
                <w:szCs w:val="24"/>
              </w:rPr>
              <w:t xml:space="preserve">(2-8)    </w:t>
            </w:r>
          </w:p>
        </w:tc>
        <w:tc>
          <w:tcPr>
            <w:tcW w:w="1559" w:type="dxa"/>
          </w:tcPr>
          <w:p w14:paraId="6B3F0D62" w14:textId="77777777" w:rsidR="000839A4" w:rsidRPr="000839A4" w:rsidRDefault="000839A4" w:rsidP="000839A4">
            <w:pPr>
              <w:spacing w:before="120"/>
              <w:rPr>
                <w:strike/>
                <w:szCs w:val="24"/>
              </w:rPr>
            </w:pPr>
            <w:r w:rsidRPr="000839A4">
              <w:rPr>
                <w:strike/>
                <w:szCs w:val="24"/>
              </w:rPr>
              <w:t xml:space="preserve">22.23.20   </w:t>
            </w:r>
          </w:p>
        </w:tc>
        <w:tc>
          <w:tcPr>
            <w:tcW w:w="6232" w:type="dxa"/>
          </w:tcPr>
          <w:p w14:paraId="6CF14B0E" w14:textId="77777777" w:rsidR="000839A4" w:rsidRPr="000839A4" w:rsidRDefault="000839A4" w:rsidP="000839A4">
            <w:pPr>
              <w:spacing w:before="120"/>
              <w:rPr>
                <w:strike/>
                <w:szCs w:val="24"/>
              </w:rPr>
            </w:pPr>
            <w:r w:rsidRPr="000839A4">
              <w:rPr>
                <w:strike/>
                <w:szCs w:val="24"/>
              </w:rPr>
              <w:t>Montované stavby z plastů</w:t>
            </w:r>
          </w:p>
        </w:tc>
      </w:tr>
      <w:tr w:rsidR="000839A4" w:rsidRPr="000839A4" w14:paraId="4413EAB1" w14:textId="77777777" w:rsidTr="000839A4">
        <w:tc>
          <w:tcPr>
            <w:tcW w:w="1271" w:type="dxa"/>
          </w:tcPr>
          <w:p w14:paraId="4E4575D7" w14:textId="77777777" w:rsidR="000839A4" w:rsidRPr="000839A4" w:rsidRDefault="000839A4" w:rsidP="000839A4">
            <w:pPr>
              <w:spacing w:before="120"/>
              <w:rPr>
                <w:strike/>
                <w:szCs w:val="24"/>
              </w:rPr>
            </w:pPr>
            <w:r w:rsidRPr="000839A4">
              <w:rPr>
                <w:strike/>
                <w:szCs w:val="24"/>
              </w:rPr>
              <w:t xml:space="preserve">(2-9)     </w:t>
            </w:r>
          </w:p>
        </w:tc>
        <w:tc>
          <w:tcPr>
            <w:tcW w:w="1559" w:type="dxa"/>
          </w:tcPr>
          <w:p w14:paraId="59C68ADA" w14:textId="77777777" w:rsidR="000839A4" w:rsidRPr="000839A4" w:rsidRDefault="000839A4" w:rsidP="000839A4">
            <w:pPr>
              <w:spacing w:before="120"/>
              <w:rPr>
                <w:strike/>
                <w:szCs w:val="24"/>
              </w:rPr>
            </w:pPr>
            <w:r w:rsidRPr="000839A4">
              <w:rPr>
                <w:strike/>
                <w:szCs w:val="24"/>
              </w:rPr>
              <w:t xml:space="preserve">22.29      </w:t>
            </w:r>
          </w:p>
        </w:tc>
        <w:tc>
          <w:tcPr>
            <w:tcW w:w="6232" w:type="dxa"/>
          </w:tcPr>
          <w:p w14:paraId="30C9AD8E" w14:textId="77777777" w:rsidR="000839A4" w:rsidRPr="000839A4" w:rsidRDefault="000839A4" w:rsidP="000839A4">
            <w:pPr>
              <w:spacing w:before="120"/>
              <w:rPr>
                <w:strike/>
                <w:szCs w:val="24"/>
              </w:rPr>
            </w:pPr>
            <w:r w:rsidRPr="000839A4">
              <w:rPr>
                <w:strike/>
                <w:szCs w:val="24"/>
              </w:rPr>
              <w:t>Ostatní plastové výrobky pokud nejsou uvedeny v jiné položce této přílohy</w:t>
            </w:r>
          </w:p>
        </w:tc>
      </w:tr>
      <w:tr w:rsidR="000839A4" w:rsidRPr="000839A4" w14:paraId="0A94F133" w14:textId="77777777" w:rsidTr="000839A4">
        <w:tc>
          <w:tcPr>
            <w:tcW w:w="1271" w:type="dxa"/>
          </w:tcPr>
          <w:p w14:paraId="4B1F546D" w14:textId="77777777" w:rsidR="000839A4" w:rsidRPr="000839A4" w:rsidRDefault="000839A4" w:rsidP="000839A4">
            <w:pPr>
              <w:spacing w:before="120"/>
              <w:rPr>
                <w:strike/>
                <w:szCs w:val="24"/>
              </w:rPr>
            </w:pPr>
            <w:r w:rsidRPr="000839A4">
              <w:rPr>
                <w:strike/>
                <w:szCs w:val="24"/>
              </w:rPr>
              <w:t xml:space="preserve">(2-10)    </w:t>
            </w:r>
          </w:p>
        </w:tc>
        <w:tc>
          <w:tcPr>
            <w:tcW w:w="1559" w:type="dxa"/>
          </w:tcPr>
          <w:p w14:paraId="0BF6C86C" w14:textId="77777777" w:rsidR="000839A4" w:rsidRPr="000839A4" w:rsidRDefault="000839A4" w:rsidP="000839A4">
            <w:pPr>
              <w:spacing w:before="120"/>
              <w:rPr>
                <w:strike/>
                <w:szCs w:val="24"/>
              </w:rPr>
            </w:pPr>
            <w:proofErr w:type="gramStart"/>
            <w:r w:rsidRPr="000839A4">
              <w:rPr>
                <w:strike/>
                <w:szCs w:val="24"/>
              </w:rPr>
              <w:t>25.11.23</w:t>
            </w:r>
            <w:proofErr w:type="gramEnd"/>
            <w:r w:rsidRPr="000839A4">
              <w:rPr>
                <w:strike/>
                <w:szCs w:val="24"/>
              </w:rPr>
              <w:t xml:space="preserve">   </w:t>
            </w:r>
          </w:p>
        </w:tc>
        <w:tc>
          <w:tcPr>
            <w:tcW w:w="6232" w:type="dxa"/>
          </w:tcPr>
          <w:p w14:paraId="15737D27" w14:textId="77777777" w:rsidR="000839A4" w:rsidRPr="000839A4" w:rsidRDefault="000839A4" w:rsidP="000839A4">
            <w:pPr>
              <w:spacing w:before="120"/>
              <w:rPr>
                <w:strike/>
                <w:szCs w:val="24"/>
              </w:rPr>
            </w:pPr>
            <w:r w:rsidRPr="000839A4">
              <w:rPr>
                <w:strike/>
                <w:szCs w:val="24"/>
              </w:rPr>
              <w:t>Jen: konstrukce pro lešení a bednění</w:t>
            </w:r>
          </w:p>
        </w:tc>
      </w:tr>
      <w:tr w:rsidR="000839A4" w:rsidRPr="000839A4" w14:paraId="37B19810" w14:textId="77777777" w:rsidTr="000839A4">
        <w:tc>
          <w:tcPr>
            <w:tcW w:w="1271" w:type="dxa"/>
          </w:tcPr>
          <w:p w14:paraId="0EF5F591" w14:textId="77777777" w:rsidR="000839A4" w:rsidRPr="000839A4" w:rsidRDefault="000839A4" w:rsidP="000839A4">
            <w:pPr>
              <w:spacing w:before="120"/>
              <w:rPr>
                <w:strike/>
                <w:szCs w:val="24"/>
              </w:rPr>
            </w:pPr>
            <w:r w:rsidRPr="000839A4">
              <w:rPr>
                <w:strike/>
                <w:szCs w:val="24"/>
              </w:rPr>
              <w:t xml:space="preserve">(2-11)     </w:t>
            </w:r>
          </w:p>
          <w:p w14:paraId="0CDA6C75" w14:textId="77777777" w:rsidR="000839A4" w:rsidRPr="000839A4" w:rsidRDefault="000839A4" w:rsidP="000839A4">
            <w:pPr>
              <w:spacing w:before="120"/>
              <w:rPr>
                <w:strike/>
                <w:szCs w:val="24"/>
              </w:rPr>
            </w:pPr>
            <w:r w:rsidRPr="000839A4">
              <w:rPr>
                <w:strike/>
                <w:szCs w:val="24"/>
              </w:rPr>
              <w:t xml:space="preserve"> </w:t>
            </w:r>
          </w:p>
        </w:tc>
        <w:tc>
          <w:tcPr>
            <w:tcW w:w="1559" w:type="dxa"/>
          </w:tcPr>
          <w:p w14:paraId="327F817F" w14:textId="77777777" w:rsidR="000839A4" w:rsidRPr="000839A4" w:rsidRDefault="000839A4" w:rsidP="000839A4">
            <w:pPr>
              <w:spacing w:before="120"/>
              <w:rPr>
                <w:strike/>
                <w:szCs w:val="24"/>
              </w:rPr>
            </w:pPr>
            <w:r w:rsidRPr="000839A4">
              <w:rPr>
                <w:strike/>
                <w:szCs w:val="24"/>
              </w:rPr>
              <w:t xml:space="preserve">25.40.12   </w:t>
            </w:r>
          </w:p>
        </w:tc>
        <w:tc>
          <w:tcPr>
            <w:tcW w:w="6232" w:type="dxa"/>
          </w:tcPr>
          <w:p w14:paraId="6097B96E" w14:textId="77777777" w:rsidR="000839A4" w:rsidRPr="000839A4" w:rsidRDefault="000839A4" w:rsidP="000839A4">
            <w:pPr>
              <w:spacing w:before="120"/>
              <w:rPr>
                <w:strike/>
                <w:szCs w:val="24"/>
              </w:rPr>
            </w:pPr>
            <w:r w:rsidRPr="000839A4">
              <w:rPr>
                <w:strike/>
                <w:szCs w:val="24"/>
              </w:rPr>
              <w:t>Revolvery, pistole, nevojenské střelné zbraně a podobná zařízení</w:t>
            </w:r>
          </w:p>
        </w:tc>
      </w:tr>
      <w:tr w:rsidR="000839A4" w:rsidRPr="000839A4" w14:paraId="14740374" w14:textId="77777777" w:rsidTr="000839A4">
        <w:tc>
          <w:tcPr>
            <w:tcW w:w="1271" w:type="dxa"/>
          </w:tcPr>
          <w:p w14:paraId="33237541" w14:textId="77777777" w:rsidR="000839A4" w:rsidRPr="000839A4" w:rsidRDefault="000839A4" w:rsidP="000839A4">
            <w:pPr>
              <w:spacing w:before="120"/>
              <w:rPr>
                <w:strike/>
                <w:szCs w:val="24"/>
              </w:rPr>
            </w:pPr>
            <w:r w:rsidRPr="000839A4">
              <w:rPr>
                <w:strike/>
                <w:szCs w:val="24"/>
              </w:rPr>
              <w:t xml:space="preserve">(2-12)   </w:t>
            </w:r>
          </w:p>
        </w:tc>
        <w:tc>
          <w:tcPr>
            <w:tcW w:w="1559" w:type="dxa"/>
          </w:tcPr>
          <w:p w14:paraId="7256177A" w14:textId="77777777" w:rsidR="000839A4" w:rsidRPr="000839A4" w:rsidRDefault="000839A4" w:rsidP="000839A4">
            <w:pPr>
              <w:spacing w:before="120"/>
              <w:rPr>
                <w:strike/>
                <w:szCs w:val="24"/>
              </w:rPr>
            </w:pPr>
            <w:r w:rsidRPr="000839A4">
              <w:rPr>
                <w:strike/>
                <w:szCs w:val="24"/>
              </w:rPr>
              <w:t xml:space="preserve">25.71.1    </w:t>
            </w:r>
          </w:p>
        </w:tc>
        <w:tc>
          <w:tcPr>
            <w:tcW w:w="6232" w:type="dxa"/>
          </w:tcPr>
          <w:p w14:paraId="6BCF8D7E" w14:textId="77777777" w:rsidR="000839A4" w:rsidRPr="000839A4" w:rsidRDefault="000839A4" w:rsidP="000839A4">
            <w:pPr>
              <w:spacing w:before="120"/>
              <w:rPr>
                <w:strike/>
                <w:szCs w:val="24"/>
              </w:rPr>
            </w:pPr>
            <w:r w:rsidRPr="000839A4">
              <w:rPr>
                <w:strike/>
                <w:szCs w:val="24"/>
              </w:rPr>
              <w:t>Nožířské výrobky</w:t>
            </w:r>
          </w:p>
        </w:tc>
      </w:tr>
      <w:tr w:rsidR="000839A4" w:rsidRPr="000839A4" w14:paraId="383D1123" w14:textId="77777777" w:rsidTr="000839A4">
        <w:tc>
          <w:tcPr>
            <w:tcW w:w="1271" w:type="dxa"/>
          </w:tcPr>
          <w:p w14:paraId="41B5232D" w14:textId="77777777" w:rsidR="000839A4" w:rsidRPr="000839A4" w:rsidRDefault="000839A4" w:rsidP="000839A4">
            <w:pPr>
              <w:spacing w:before="120"/>
              <w:rPr>
                <w:strike/>
                <w:szCs w:val="24"/>
              </w:rPr>
            </w:pPr>
            <w:r w:rsidRPr="000839A4">
              <w:rPr>
                <w:strike/>
                <w:szCs w:val="24"/>
              </w:rPr>
              <w:t xml:space="preserve">(2-13)     </w:t>
            </w:r>
          </w:p>
        </w:tc>
        <w:tc>
          <w:tcPr>
            <w:tcW w:w="1559" w:type="dxa"/>
          </w:tcPr>
          <w:p w14:paraId="5D134B5D" w14:textId="77777777" w:rsidR="000839A4" w:rsidRPr="000839A4" w:rsidRDefault="000839A4" w:rsidP="000839A4">
            <w:pPr>
              <w:spacing w:before="120"/>
              <w:rPr>
                <w:strike/>
                <w:szCs w:val="24"/>
              </w:rPr>
            </w:pPr>
            <w:r w:rsidRPr="000839A4">
              <w:rPr>
                <w:strike/>
                <w:szCs w:val="24"/>
              </w:rPr>
              <w:t xml:space="preserve">25.72.1    </w:t>
            </w:r>
          </w:p>
        </w:tc>
        <w:tc>
          <w:tcPr>
            <w:tcW w:w="6232" w:type="dxa"/>
          </w:tcPr>
          <w:p w14:paraId="483F1CB4" w14:textId="77777777" w:rsidR="000839A4" w:rsidRPr="000839A4" w:rsidRDefault="000839A4" w:rsidP="000839A4">
            <w:pPr>
              <w:spacing w:before="120"/>
              <w:rPr>
                <w:strike/>
                <w:szCs w:val="24"/>
              </w:rPr>
            </w:pPr>
            <w:r w:rsidRPr="000839A4">
              <w:rPr>
                <w:strike/>
                <w:szCs w:val="24"/>
              </w:rPr>
              <w:t>Zámky a kování</w:t>
            </w:r>
          </w:p>
        </w:tc>
      </w:tr>
      <w:tr w:rsidR="000839A4" w:rsidRPr="000839A4" w14:paraId="51DA7C0E" w14:textId="77777777" w:rsidTr="000839A4">
        <w:tc>
          <w:tcPr>
            <w:tcW w:w="1271" w:type="dxa"/>
          </w:tcPr>
          <w:p w14:paraId="19C74D33" w14:textId="77777777" w:rsidR="000839A4" w:rsidRPr="000839A4" w:rsidRDefault="000839A4" w:rsidP="000839A4">
            <w:pPr>
              <w:spacing w:before="120"/>
              <w:rPr>
                <w:strike/>
                <w:szCs w:val="24"/>
              </w:rPr>
            </w:pPr>
            <w:r w:rsidRPr="000839A4">
              <w:rPr>
                <w:strike/>
                <w:szCs w:val="24"/>
              </w:rPr>
              <w:t xml:space="preserve">(2-14)     </w:t>
            </w:r>
          </w:p>
        </w:tc>
        <w:tc>
          <w:tcPr>
            <w:tcW w:w="1559" w:type="dxa"/>
          </w:tcPr>
          <w:p w14:paraId="0DE95D12" w14:textId="77777777" w:rsidR="000839A4" w:rsidRPr="000839A4" w:rsidRDefault="000839A4" w:rsidP="000839A4">
            <w:pPr>
              <w:spacing w:before="120"/>
              <w:rPr>
                <w:strike/>
                <w:szCs w:val="24"/>
              </w:rPr>
            </w:pPr>
            <w:r w:rsidRPr="000839A4">
              <w:rPr>
                <w:strike/>
                <w:szCs w:val="24"/>
              </w:rPr>
              <w:t>25.73.60</w:t>
            </w:r>
          </w:p>
        </w:tc>
        <w:tc>
          <w:tcPr>
            <w:tcW w:w="6232" w:type="dxa"/>
          </w:tcPr>
          <w:p w14:paraId="4CA43037" w14:textId="77777777" w:rsidR="000839A4" w:rsidRPr="000839A4" w:rsidRDefault="000839A4" w:rsidP="000839A4">
            <w:pPr>
              <w:spacing w:before="120"/>
              <w:rPr>
                <w:strike/>
                <w:szCs w:val="24"/>
              </w:rPr>
            </w:pPr>
            <w:r w:rsidRPr="000839A4">
              <w:rPr>
                <w:strike/>
                <w:szCs w:val="24"/>
              </w:rPr>
              <w:t>Jen: nástroje na strojní tváření za tepla</w:t>
            </w:r>
          </w:p>
        </w:tc>
      </w:tr>
      <w:tr w:rsidR="000839A4" w:rsidRPr="000839A4" w14:paraId="62FE9A36" w14:textId="77777777" w:rsidTr="000839A4">
        <w:tc>
          <w:tcPr>
            <w:tcW w:w="1271" w:type="dxa"/>
          </w:tcPr>
          <w:p w14:paraId="45D60944" w14:textId="77777777" w:rsidR="000839A4" w:rsidRPr="000839A4" w:rsidRDefault="000839A4" w:rsidP="000839A4">
            <w:pPr>
              <w:spacing w:before="120"/>
              <w:rPr>
                <w:strike/>
                <w:szCs w:val="24"/>
              </w:rPr>
            </w:pPr>
            <w:r w:rsidRPr="000839A4">
              <w:rPr>
                <w:strike/>
                <w:szCs w:val="24"/>
              </w:rPr>
              <w:t xml:space="preserve">(2-15)     </w:t>
            </w:r>
          </w:p>
        </w:tc>
        <w:tc>
          <w:tcPr>
            <w:tcW w:w="1559" w:type="dxa"/>
          </w:tcPr>
          <w:p w14:paraId="3F2E49EC" w14:textId="77777777" w:rsidR="000839A4" w:rsidRPr="000839A4" w:rsidRDefault="000839A4" w:rsidP="000839A4">
            <w:pPr>
              <w:spacing w:before="120"/>
              <w:rPr>
                <w:strike/>
                <w:szCs w:val="24"/>
              </w:rPr>
            </w:pPr>
            <w:r w:rsidRPr="000839A4">
              <w:rPr>
                <w:strike/>
                <w:szCs w:val="24"/>
              </w:rPr>
              <w:t>25.91</w:t>
            </w:r>
          </w:p>
        </w:tc>
        <w:tc>
          <w:tcPr>
            <w:tcW w:w="6232" w:type="dxa"/>
          </w:tcPr>
          <w:p w14:paraId="6DD6C2DD" w14:textId="77777777" w:rsidR="000839A4" w:rsidRPr="000839A4" w:rsidRDefault="000839A4" w:rsidP="000839A4">
            <w:pPr>
              <w:spacing w:before="120"/>
              <w:rPr>
                <w:strike/>
                <w:szCs w:val="24"/>
              </w:rPr>
            </w:pPr>
            <w:r w:rsidRPr="000839A4">
              <w:rPr>
                <w:strike/>
                <w:szCs w:val="24"/>
              </w:rPr>
              <w:t>Ocelové sudy a podobné nádoby</w:t>
            </w:r>
          </w:p>
        </w:tc>
      </w:tr>
      <w:tr w:rsidR="000839A4" w:rsidRPr="000839A4" w14:paraId="06B511A5" w14:textId="77777777" w:rsidTr="000839A4">
        <w:tc>
          <w:tcPr>
            <w:tcW w:w="1271" w:type="dxa"/>
          </w:tcPr>
          <w:p w14:paraId="5C6EE242" w14:textId="77777777" w:rsidR="000839A4" w:rsidRPr="000839A4" w:rsidRDefault="000839A4" w:rsidP="000839A4">
            <w:pPr>
              <w:tabs>
                <w:tab w:val="left" w:pos="938"/>
              </w:tabs>
              <w:spacing w:before="120"/>
              <w:rPr>
                <w:strike/>
                <w:szCs w:val="24"/>
              </w:rPr>
            </w:pPr>
            <w:r w:rsidRPr="000839A4">
              <w:rPr>
                <w:strike/>
                <w:szCs w:val="24"/>
              </w:rPr>
              <w:t xml:space="preserve">(2-16)    </w:t>
            </w:r>
          </w:p>
        </w:tc>
        <w:tc>
          <w:tcPr>
            <w:tcW w:w="1559" w:type="dxa"/>
          </w:tcPr>
          <w:p w14:paraId="24EAD33F" w14:textId="77777777" w:rsidR="000839A4" w:rsidRPr="000839A4" w:rsidRDefault="000839A4" w:rsidP="000839A4">
            <w:pPr>
              <w:spacing w:before="120"/>
              <w:rPr>
                <w:strike/>
                <w:szCs w:val="24"/>
              </w:rPr>
            </w:pPr>
            <w:r w:rsidRPr="000839A4">
              <w:rPr>
                <w:strike/>
                <w:szCs w:val="24"/>
              </w:rPr>
              <w:t xml:space="preserve">25.92      </w:t>
            </w:r>
          </w:p>
        </w:tc>
        <w:tc>
          <w:tcPr>
            <w:tcW w:w="6232" w:type="dxa"/>
          </w:tcPr>
          <w:p w14:paraId="5FB6E67C" w14:textId="77777777" w:rsidR="000839A4" w:rsidRPr="000839A4" w:rsidRDefault="000839A4" w:rsidP="000839A4">
            <w:pPr>
              <w:spacing w:before="120"/>
              <w:rPr>
                <w:strike/>
                <w:szCs w:val="24"/>
              </w:rPr>
            </w:pPr>
            <w:r w:rsidRPr="000839A4">
              <w:rPr>
                <w:strike/>
                <w:szCs w:val="24"/>
              </w:rPr>
              <w:t>Drobné kovové obaly</w:t>
            </w:r>
          </w:p>
        </w:tc>
      </w:tr>
      <w:tr w:rsidR="000839A4" w:rsidRPr="000839A4" w14:paraId="6DC4E1F9" w14:textId="77777777" w:rsidTr="000839A4">
        <w:tc>
          <w:tcPr>
            <w:tcW w:w="1271" w:type="dxa"/>
          </w:tcPr>
          <w:p w14:paraId="6B729E50" w14:textId="77777777" w:rsidR="000839A4" w:rsidRPr="000839A4" w:rsidRDefault="000839A4" w:rsidP="000839A4">
            <w:pPr>
              <w:spacing w:before="120"/>
              <w:rPr>
                <w:strike/>
                <w:szCs w:val="24"/>
              </w:rPr>
            </w:pPr>
            <w:r w:rsidRPr="000839A4">
              <w:rPr>
                <w:strike/>
                <w:szCs w:val="24"/>
              </w:rPr>
              <w:t xml:space="preserve">(2-17)     </w:t>
            </w:r>
          </w:p>
        </w:tc>
        <w:tc>
          <w:tcPr>
            <w:tcW w:w="1559" w:type="dxa"/>
          </w:tcPr>
          <w:p w14:paraId="273045D2" w14:textId="77777777" w:rsidR="000839A4" w:rsidRPr="000839A4" w:rsidRDefault="000839A4" w:rsidP="000839A4">
            <w:pPr>
              <w:spacing w:before="120"/>
              <w:rPr>
                <w:strike/>
                <w:szCs w:val="24"/>
              </w:rPr>
            </w:pPr>
            <w:r w:rsidRPr="000839A4">
              <w:rPr>
                <w:strike/>
                <w:szCs w:val="24"/>
              </w:rPr>
              <w:t xml:space="preserve">25.93.1    </w:t>
            </w:r>
          </w:p>
        </w:tc>
        <w:tc>
          <w:tcPr>
            <w:tcW w:w="6232" w:type="dxa"/>
          </w:tcPr>
          <w:p w14:paraId="01F34C5B" w14:textId="77777777" w:rsidR="000839A4" w:rsidRPr="000839A4" w:rsidRDefault="000839A4" w:rsidP="000839A4">
            <w:pPr>
              <w:spacing w:before="120"/>
              <w:rPr>
                <w:strike/>
                <w:szCs w:val="24"/>
              </w:rPr>
            </w:pPr>
            <w:r w:rsidRPr="000839A4">
              <w:rPr>
                <w:strike/>
                <w:szCs w:val="24"/>
              </w:rPr>
              <w:t>Drátěné výrobky, řetězy a pružiny</w:t>
            </w:r>
          </w:p>
        </w:tc>
      </w:tr>
      <w:tr w:rsidR="000839A4" w:rsidRPr="000839A4" w14:paraId="352785C3" w14:textId="77777777" w:rsidTr="000839A4">
        <w:tc>
          <w:tcPr>
            <w:tcW w:w="1271" w:type="dxa"/>
          </w:tcPr>
          <w:p w14:paraId="351E0007" w14:textId="77777777" w:rsidR="000839A4" w:rsidRPr="000839A4" w:rsidRDefault="000839A4" w:rsidP="000839A4">
            <w:pPr>
              <w:spacing w:before="120"/>
              <w:rPr>
                <w:strike/>
                <w:szCs w:val="24"/>
              </w:rPr>
            </w:pPr>
            <w:r w:rsidRPr="000839A4">
              <w:rPr>
                <w:strike/>
                <w:szCs w:val="24"/>
              </w:rPr>
              <w:t xml:space="preserve">(2-18)    </w:t>
            </w:r>
          </w:p>
          <w:p w14:paraId="5AF3CC9B" w14:textId="77777777" w:rsidR="000839A4" w:rsidRPr="000839A4" w:rsidRDefault="000839A4" w:rsidP="000839A4">
            <w:pPr>
              <w:spacing w:before="120"/>
              <w:rPr>
                <w:strike/>
                <w:szCs w:val="24"/>
              </w:rPr>
            </w:pPr>
          </w:p>
        </w:tc>
        <w:tc>
          <w:tcPr>
            <w:tcW w:w="1559" w:type="dxa"/>
          </w:tcPr>
          <w:p w14:paraId="55FD3BC3" w14:textId="77777777" w:rsidR="000839A4" w:rsidRPr="000839A4" w:rsidRDefault="000839A4" w:rsidP="000839A4">
            <w:pPr>
              <w:spacing w:before="120"/>
              <w:rPr>
                <w:strike/>
                <w:szCs w:val="24"/>
              </w:rPr>
            </w:pPr>
            <w:r w:rsidRPr="000839A4">
              <w:rPr>
                <w:strike/>
                <w:szCs w:val="24"/>
              </w:rPr>
              <w:t xml:space="preserve">26.20.17   </w:t>
            </w:r>
          </w:p>
        </w:tc>
        <w:tc>
          <w:tcPr>
            <w:tcW w:w="6232" w:type="dxa"/>
          </w:tcPr>
          <w:p w14:paraId="6EEA7F6E" w14:textId="77777777" w:rsidR="000839A4" w:rsidRPr="000839A4" w:rsidRDefault="000839A4" w:rsidP="000839A4">
            <w:pPr>
              <w:spacing w:before="120"/>
              <w:rPr>
                <w:strike/>
                <w:szCs w:val="24"/>
              </w:rPr>
            </w:pPr>
            <w:r w:rsidRPr="000839A4">
              <w:rPr>
                <w:strike/>
                <w:szCs w:val="24"/>
              </w:rPr>
              <w:t>Monitory a projektory, hlavně pro zařízení pro automatizované zpracování dat</w:t>
            </w:r>
          </w:p>
        </w:tc>
      </w:tr>
      <w:tr w:rsidR="000839A4" w:rsidRPr="000839A4" w14:paraId="250E8D9B" w14:textId="77777777" w:rsidTr="000839A4">
        <w:tc>
          <w:tcPr>
            <w:tcW w:w="1271" w:type="dxa"/>
          </w:tcPr>
          <w:p w14:paraId="48436BC5" w14:textId="77777777" w:rsidR="000839A4" w:rsidRPr="000839A4" w:rsidRDefault="000839A4" w:rsidP="000839A4">
            <w:pPr>
              <w:spacing w:before="120"/>
              <w:rPr>
                <w:strike/>
                <w:szCs w:val="24"/>
              </w:rPr>
            </w:pPr>
            <w:r w:rsidRPr="000839A4">
              <w:rPr>
                <w:strike/>
                <w:szCs w:val="24"/>
              </w:rPr>
              <w:t xml:space="preserve">(2-19)     </w:t>
            </w:r>
          </w:p>
          <w:p w14:paraId="5D8A4DEA" w14:textId="77777777" w:rsidR="000839A4" w:rsidRPr="000839A4" w:rsidRDefault="000839A4" w:rsidP="000839A4">
            <w:pPr>
              <w:spacing w:before="120"/>
              <w:rPr>
                <w:strike/>
                <w:szCs w:val="24"/>
              </w:rPr>
            </w:pPr>
          </w:p>
        </w:tc>
        <w:tc>
          <w:tcPr>
            <w:tcW w:w="1559" w:type="dxa"/>
          </w:tcPr>
          <w:p w14:paraId="1DDBF2AF" w14:textId="77777777" w:rsidR="000839A4" w:rsidRPr="000839A4" w:rsidRDefault="000839A4" w:rsidP="000839A4">
            <w:pPr>
              <w:spacing w:before="120"/>
              <w:rPr>
                <w:strike/>
                <w:szCs w:val="24"/>
              </w:rPr>
            </w:pPr>
            <w:r w:rsidRPr="000839A4">
              <w:rPr>
                <w:strike/>
                <w:szCs w:val="24"/>
              </w:rPr>
              <w:t xml:space="preserve">26.30.1    </w:t>
            </w:r>
          </w:p>
        </w:tc>
        <w:tc>
          <w:tcPr>
            <w:tcW w:w="6232" w:type="dxa"/>
          </w:tcPr>
          <w:p w14:paraId="19F9F3E6" w14:textId="77777777" w:rsidR="000839A4" w:rsidRPr="000839A4" w:rsidRDefault="000839A4" w:rsidP="000839A4">
            <w:pPr>
              <w:spacing w:before="120"/>
              <w:rPr>
                <w:strike/>
                <w:szCs w:val="24"/>
              </w:rPr>
            </w:pPr>
            <w:r w:rsidRPr="000839A4">
              <w:rPr>
                <w:strike/>
                <w:szCs w:val="24"/>
              </w:rPr>
              <w:t>Jen: vysílací přístroje pro rozhlasové nebo televizní vysílání</w:t>
            </w:r>
          </w:p>
        </w:tc>
      </w:tr>
      <w:tr w:rsidR="000839A4" w:rsidRPr="000839A4" w14:paraId="63E9940E" w14:textId="77777777" w:rsidTr="000839A4">
        <w:tc>
          <w:tcPr>
            <w:tcW w:w="1271" w:type="dxa"/>
          </w:tcPr>
          <w:p w14:paraId="3A5B3EFD" w14:textId="77777777" w:rsidR="000839A4" w:rsidRPr="000839A4" w:rsidRDefault="000839A4" w:rsidP="000839A4">
            <w:pPr>
              <w:spacing w:before="120"/>
              <w:rPr>
                <w:strike/>
                <w:szCs w:val="24"/>
              </w:rPr>
            </w:pPr>
            <w:r w:rsidRPr="000839A4">
              <w:rPr>
                <w:strike/>
                <w:szCs w:val="24"/>
              </w:rPr>
              <w:t xml:space="preserve">(2-20)     </w:t>
            </w:r>
          </w:p>
          <w:p w14:paraId="598C34EB" w14:textId="77777777" w:rsidR="000839A4" w:rsidRPr="000839A4" w:rsidRDefault="000839A4" w:rsidP="000839A4">
            <w:pPr>
              <w:spacing w:before="120"/>
              <w:rPr>
                <w:strike/>
                <w:szCs w:val="24"/>
              </w:rPr>
            </w:pPr>
          </w:p>
        </w:tc>
        <w:tc>
          <w:tcPr>
            <w:tcW w:w="1559" w:type="dxa"/>
          </w:tcPr>
          <w:p w14:paraId="72D7005F" w14:textId="77777777" w:rsidR="000839A4" w:rsidRPr="000839A4" w:rsidRDefault="000839A4" w:rsidP="000839A4">
            <w:pPr>
              <w:spacing w:before="120"/>
              <w:rPr>
                <w:strike/>
                <w:szCs w:val="24"/>
              </w:rPr>
            </w:pPr>
            <w:r w:rsidRPr="000839A4">
              <w:rPr>
                <w:strike/>
                <w:szCs w:val="24"/>
              </w:rPr>
              <w:t xml:space="preserve">26.30.40   </w:t>
            </w:r>
          </w:p>
        </w:tc>
        <w:tc>
          <w:tcPr>
            <w:tcW w:w="6232" w:type="dxa"/>
          </w:tcPr>
          <w:p w14:paraId="3D363705" w14:textId="77777777" w:rsidR="000839A4" w:rsidRPr="000839A4" w:rsidRDefault="000839A4" w:rsidP="000839A4">
            <w:pPr>
              <w:spacing w:before="120"/>
              <w:rPr>
                <w:strike/>
                <w:szCs w:val="24"/>
              </w:rPr>
            </w:pPr>
            <w:r w:rsidRPr="000839A4">
              <w:rPr>
                <w:strike/>
                <w:szCs w:val="24"/>
              </w:rPr>
              <w:t xml:space="preserve">Antény a parabolické antény všech druhů, jejich díly; díly vysílacích </w:t>
            </w:r>
            <w:proofErr w:type="gramStart"/>
            <w:r w:rsidRPr="000839A4">
              <w:rPr>
                <w:strike/>
                <w:szCs w:val="24"/>
              </w:rPr>
              <w:t>přístrojů           rozhlasových</w:t>
            </w:r>
            <w:proofErr w:type="gramEnd"/>
            <w:r w:rsidRPr="000839A4">
              <w:rPr>
                <w:strike/>
                <w:szCs w:val="24"/>
              </w:rPr>
              <w:t xml:space="preserve"> nebo televizních a televizních kamer</w:t>
            </w:r>
          </w:p>
        </w:tc>
      </w:tr>
      <w:tr w:rsidR="000839A4" w:rsidRPr="000839A4" w14:paraId="54C3DD49" w14:textId="77777777" w:rsidTr="000839A4">
        <w:tc>
          <w:tcPr>
            <w:tcW w:w="1271" w:type="dxa"/>
          </w:tcPr>
          <w:p w14:paraId="12E1C3BE" w14:textId="77777777" w:rsidR="000839A4" w:rsidRPr="000839A4" w:rsidRDefault="000839A4" w:rsidP="000839A4">
            <w:pPr>
              <w:spacing w:before="120"/>
              <w:rPr>
                <w:strike/>
                <w:szCs w:val="24"/>
              </w:rPr>
            </w:pPr>
            <w:r w:rsidRPr="000839A4">
              <w:rPr>
                <w:strike/>
                <w:szCs w:val="24"/>
              </w:rPr>
              <w:t xml:space="preserve">(2-21)   </w:t>
            </w:r>
          </w:p>
          <w:p w14:paraId="7A1EFDA7" w14:textId="77777777" w:rsidR="000839A4" w:rsidRPr="000839A4" w:rsidRDefault="000839A4" w:rsidP="000839A4">
            <w:pPr>
              <w:spacing w:before="120"/>
              <w:rPr>
                <w:strike/>
                <w:szCs w:val="24"/>
              </w:rPr>
            </w:pPr>
          </w:p>
        </w:tc>
        <w:tc>
          <w:tcPr>
            <w:tcW w:w="1559" w:type="dxa"/>
          </w:tcPr>
          <w:p w14:paraId="11F5E143" w14:textId="77777777" w:rsidR="000839A4" w:rsidRPr="000839A4" w:rsidRDefault="000839A4" w:rsidP="000839A4">
            <w:pPr>
              <w:spacing w:before="120"/>
              <w:rPr>
                <w:strike/>
                <w:szCs w:val="24"/>
              </w:rPr>
            </w:pPr>
            <w:r w:rsidRPr="000839A4">
              <w:rPr>
                <w:strike/>
                <w:szCs w:val="24"/>
              </w:rPr>
              <w:t xml:space="preserve">26.30.5    </w:t>
            </w:r>
          </w:p>
        </w:tc>
        <w:tc>
          <w:tcPr>
            <w:tcW w:w="6232" w:type="dxa"/>
          </w:tcPr>
          <w:p w14:paraId="20CF88E8" w14:textId="77777777" w:rsidR="000839A4" w:rsidRPr="000839A4" w:rsidRDefault="000839A4" w:rsidP="000839A4">
            <w:pPr>
              <w:spacing w:before="120"/>
              <w:rPr>
                <w:strike/>
                <w:szCs w:val="24"/>
              </w:rPr>
            </w:pPr>
            <w:r w:rsidRPr="000839A4">
              <w:rPr>
                <w:strike/>
                <w:szCs w:val="24"/>
              </w:rPr>
              <w:t>Poplachová zařízení na ochranu proti krádeži nebo požáru a podobné přístroje</w:t>
            </w:r>
          </w:p>
        </w:tc>
      </w:tr>
      <w:tr w:rsidR="000839A4" w:rsidRPr="000839A4" w14:paraId="51C946E7" w14:textId="77777777" w:rsidTr="000839A4">
        <w:tc>
          <w:tcPr>
            <w:tcW w:w="1271" w:type="dxa"/>
          </w:tcPr>
          <w:p w14:paraId="790D0B6A" w14:textId="77777777" w:rsidR="000839A4" w:rsidRPr="000839A4" w:rsidRDefault="000839A4" w:rsidP="000839A4">
            <w:pPr>
              <w:spacing w:before="120"/>
              <w:rPr>
                <w:strike/>
                <w:szCs w:val="24"/>
              </w:rPr>
            </w:pPr>
            <w:r w:rsidRPr="000839A4">
              <w:rPr>
                <w:strike/>
                <w:szCs w:val="24"/>
              </w:rPr>
              <w:t xml:space="preserve">(2-22)    </w:t>
            </w:r>
          </w:p>
        </w:tc>
        <w:tc>
          <w:tcPr>
            <w:tcW w:w="1559" w:type="dxa"/>
          </w:tcPr>
          <w:p w14:paraId="047BCFCE" w14:textId="77777777" w:rsidR="000839A4" w:rsidRPr="000839A4" w:rsidRDefault="000839A4" w:rsidP="000839A4">
            <w:pPr>
              <w:spacing w:before="120"/>
              <w:rPr>
                <w:strike/>
                <w:szCs w:val="24"/>
              </w:rPr>
            </w:pPr>
            <w:r w:rsidRPr="000839A4">
              <w:rPr>
                <w:strike/>
                <w:szCs w:val="24"/>
              </w:rPr>
              <w:t xml:space="preserve">26.40      </w:t>
            </w:r>
          </w:p>
        </w:tc>
        <w:tc>
          <w:tcPr>
            <w:tcW w:w="6232" w:type="dxa"/>
          </w:tcPr>
          <w:p w14:paraId="1CDFD3B3" w14:textId="77777777" w:rsidR="000839A4" w:rsidRPr="000839A4" w:rsidRDefault="000839A4" w:rsidP="000839A4">
            <w:pPr>
              <w:spacing w:before="120"/>
              <w:rPr>
                <w:strike/>
                <w:szCs w:val="24"/>
              </w:rPr>
            </w:pPr>
            <w:r w:rsidRPr="000839A4">
              <w:rPr>
                <w:strike/>
                <w:szCs w:val="24"/>
              </w:rPr>
              <w:t>Spotřební elektronika</w:t>
            </w:r>
          </w:p>
        </w:tc>
      </w:tr>
      <w:tr w:rsidR="000839A4" w:rsidRPr="000839A4" w14:paraId="601E6AB6" w14:textId="77777777" w:rsidTr="000839A4">
        <w:tc>
          <w:tcPr>
            <w:tcW w:w="1271" w:type="dxa"/>
          </w:tcPr>
          <w:p w14:paraId="31B1F3B2" w14:textId="77777777" w:rsidR="000839A4" w:rsidRPr="000839A4" w:rsidRDefault="000839A4" w:rsidP="000839A4">
            <w:pPr>
              <w:spacing w:before="120"/>
              <w:rPr>
                <w:strike/>
                <w:szCs w:val="24"/>
              </w:rPr>
            </w:pPr>
            <w:r w:rsidRPr="000839A4">
              <w:rPr>
                <w:strike/>
                <w:szCs w:val="24"/>
              </w:rPr>
              <w:t xml:space="preserve">(2-23)    </w:t>
            </w:r>
          </w:p>
          <w:p w14:paraId="12DEBD19" w14:textId="77777777" w:rsidR="000839A4" w:rsidRPr="000839A4" w:rsidRDefault="000839A4" w:rsidP="000839A4">
            <w:pPr>
              <w:spacing w:before="120"/>
              <w:rPr>
                <w:strike/>
                <w:szCs w:val="24"/>
              </w:rPr>
            </w:pPr>
          </w:p>
        </w:tc>
        <w:tc>
          <w:tcPr>
            <w:tcW w:w="1559" w:type="dxa"/>
          </w:tcPr>
          <w:p w14:paraId="06091BDD" w14:textId="77777777" w:rsidR="000839A4" w:rsidRPr="000839A4" w:rsidRDefault="000839A4" w:rsidP="000839A4">
            <w:pPr>
              <w:spacing w:before="120"/>
              <w:rPr>
                <w:strike/>
                <w:szCs w:val="24"/>
              </w:rPr>
            </w:pPr>
            <w:r w:rsidRPr="000839A4">
              <w:rPr>
                <w:strike/>
                <w:szCs w:val="24"/>
              </w:rPr>
              <w:t xml:space="preserve">26.51.3    </w:t>
            </w:r>
          </w:p>
        </w:tc>
        <w:tc>
          <w:tcPr>
            <w:tcW w:w="6232" w:type="dxa"/>
          </w:tcPr>
          <w:p w14:paraId="267E8E1B" w14:textId="77777777" w:rsidR="000839A4" w:rsidRPr="000839A4" w:rsidRDefault="000839A4" w:rsidP="000839A4">
            <w:pPr>
              <w:spacing w:before="120"/>
              <w:rPr>
                <w:strike/>
                <w:szCs w:val="24"/>
              </w:rPr>
            </w:pPr>
            <w:r w:rsidRPr="000839A4">
              <w:rPr>
                <w:strike/>
                <w:szCs w:val="24"/>
              </w:rPr>
              <w:t>Jen: přesné váhy, kreslicí a rýsovací nástroje a nástroje pro měření délky</w:t>
            </w:r>
          </w:p>
        </w:tc>
      </w:tr>
      <w:tr w:rsidR="000839A4" w:rsidRPr="000839A4" w14:paraId="5AB8E9FA" w14:textId="77777777" w:rsidTr="000839A4">
        <w:tc>
          <w:tcPr>
            <w:tcW w:w="1271" w:type="dxa"/>
          </w:tcPr>
          <w:p w14:paraId="09F0BE35" w14:textId="77777777" w:rsidR="000839A4" w:rsidRPr="000839A4" w:rsidRDefault="000839A4" w:rsidP="000839A4">
            <w:pPr>
              <w:spacing w:before="120"/>
              <w:rPr>
                <w:strike/>
                <w:szCs w:val="24"/>
              </w:rPr>
            </w:pPr>
            <w:r w:rsidRPr="000839A4">
              <w:rPr>
                <w:strike/>
                <w:szCs w:val="24"/>
              </w:rPr>
              <w:t xml:space="preserve">(2-24)     </w:t>
            </w:r>
          </w:p>
        </w:tc>
        <w:tc>
          <w:tcPr>
            <w:tcW w:w="1559" w:type="dxa"/>
          </w:tcPr>
          <w:p w14:paraId="73BDB4EB" w14:textId="77777777" w:rsidR="000839A4" w:rsidRPr="000839A4" w:rsidRDefault="000839A4" w:rsidP="000839A4">
            <w:pPr>
              <w:spacing w:before="120"/>
              <w:rPr>
                <w:strike/>
                <w:szCs w:val="24"/>
              </w:rPr>
            </w:pPr>
            <w:r w:rsidRPr="000839A4">
              <w:rPr>
                <w:strike/>
                <w:szCs w:val="24"/>
              </w:rPr>
              <w:t>26.52</w:t>
            </w:r>
          </w:p>
        </w:tc>
        <w:tc>
          <w:tcPr>
            <w:tcW w:w="6232" w:type="dxa"/>
          </w:tcPr>
          <w:p w14:paraId="4FD28804" w14:textId="77777777" w:rsidR="000839A4" w:rsidRPr="000839A4" w:rsidRDefault="000839A4" w:rsidP="000839A4">
            <w:pPr>
              <w:spacing w:before="120"/>
              <w:rPr>
                <w:strike/>
                <w:szCs w:val="24"/>
              </w:rPr>
            </w:pPr>
            <w:r w:rsidRPr="000839A4">
              <w:rPr>
                <w:strike/>
                <w:szCs w:val="24"/>
              </w:rPr>
              <w:t>Časoměrné přístroje</w:t>
            </w:r>
          </w:p>
        </w:tc>
      </w:tr>
      <w:tr w:rsidR="000839A4" w:rsidRPr="000839A4" w14:paraId="25416363" w14:textId="77777777" w:rsidTr="000839A4">
        <w:tc>
          <w:tcPr>
            <w:tcW w:w="1271" w:type="dxa"/>
          </w:tcPr>
          <w:p w14:paraId="02F50493" w14:textId="77777777" w:rsidR="000839A4" w:rsidRPr="000839A4" w:rsidRDefault="000839A4" w:rsidP="000839A4">
            <w:pPr>
              <w:spacing w:before="120"/>
              <w:rPr>
                <w:strike/>
                <w:szCs w:val="24"/>
              </w:rPr>
            </w:pPr>
            <w:r w:rsidRPr="000839A4">
              <w:rPr>
                <w:strike/>
                <w:szCs w:val="24"/>
              </w:rPr>
              <w:t xml:space="preserve">(2-25)     </w:t>
            </w:r>
          </w:p>
          <w:p w14:paraId="0CBD2C55" w14:textId="77777777" w:rsidR="000839A4" w:rsidRPr="000839A4" w:rsidRDefault="000839A4" w:rsidP="000839A4">
            <w:pPr>
              <w:spacing w:before="120"/>
              <w:ind w:firstLine="708"/>
              <w:rPr>
                <w:strike/>
                <w:szCs w:val="24"/>
              </w:rPr>
            </w:pPr>
          </w:p>
        </w:tc>
        <w:tc>
          <w:tcPr>
            <w:tcW w:w="1559" w:type="dxa"/>
          </w:tcPr>
          <w:p w14:paraId="505A83CF" w14:textId="77777777" w:rsidR="000839A4" w:rsidRPr="000839A4" w:rsidRDefault="000839A4" w:rsidP="000839A4">
            <w:pPr>
              <w:spacing w:before="120"/>
              <w:rPr>
                <w:strike/>
                <w:szCs w:val="24"/>
              </w:rPr>
            </w:pPr>
            <w:r w:rsidRPr="000839A4">
              <w:rPr>
                <w:strike/>
                <w:szCs w:val="24"/>
              </w:rPr>
              <w:t xml:space="preserve">26.60.1    </w:t>
            </w:r>
          </w:p>
        </w:tc>
        <w:tc>
          <w:tcPr>
            <w:tcW w:w="6232" w:type="dxa"/>
          </w:tcPr>
          <w:p w14:paraId="3B7F7F3F" w14:textId="77777777" w:rsidR="000839A4" w:rsidRPr="000839A4" w:rsidRDefault="000839A4" w:rsidP="000839A4">
            <w:pPr>
              <w:spacing w:before="120"/>
              <w:rPr>
                <w:strike/>
                <w:szCs w:val="24"/>
              </w:rPr>
            </w:pPr>
            <w:r w:rsidRPr="000839A4">
              <w:rPr>
                <w:strike/>
                <w:szCs w:val="24"/>
              </w:rPr>
              <w:t xml:space="preserve">Ozařovací, </w:t>
            </w:r>
            <w:proofErr w:type="spellStart"/>
            <w:proofErr w:type="gramStart"/>
            <w:r w:rsidRPr="000839A4">
              <w:rPr>
                <w:strike/>
                <w:szCs w:val="24"/>
              </w:rPr>
              <w:t>elektroléěebné</w:t>
            </w:r>
            <w:proofErr w:type="spellEnd"/>
            <w:r w:rsidRPr="000839A4">
              <w:rPr>
                <w:strike/>
                <w:szCs w:val="24"/>
              </w:rPr>
              <w:t xml:space="preserve"> a  elektroterapeutické</w:t>
            </w:r>
            <w:proofErr w:type="gramEnd"/>
            <w:r w:rsidRPr="000839A4">
              <w:rPr>
                <w:strike/>
                <w:szCs w:val="24"/>
              </w:rPr>
              <w:t xml:space="preserve"> přístroje</w:t>
            </w:r>
          </w:p>
        </w:tc>
      </w:tr>
      <w:tr w:rsidR="000839A4" w:rsidRPr="000839A4" w14:paraId="4F70A0C7" w14:textId="77777777" w:rsidTr="000839A4">
        <w:tc>
          <w:tcPr>
            <w:tcW w:w="1271" w:type="dxa"/>
          </w:tcPr>
          <w:p w14:paraId="588E9C17" w14:textId="77777777" w:rsidR="000839A4" w:rsidRPr="000839A4" w:rsidRDefault="000839A4" w:rsidP="000839A4">
            <w:pPr>
              <w:spacing w:before="120"/>
              <w:rPr>
                <w:strike/>
                <w:szCs w:val="24"/>
              </w:rPr>
            </w:pPr>
            <w:r w:rsidRPr="000839A4">
              <w:rPr>
                <w:strike/>
                <w:szCs w:val="24"/>
              </w:rPr>
              <w:t xml:space="preserve">(2-26)     </w:t>
            </w:r>
          </w:p>
        </w:tc>
        <w:tc>
          <w:tcPr>
            <w:tcW w:w="1559" w:type="dxa"/>
          </w:tcPr>
          <w:p w14:paraId="7206F100" w14:textId="77777777" w:rsidR="000839A4" w:rsidRPr="000839A4" w:rsidRDefault="000839A4" w:rsidP="000839A4">
            <w:pPr>
              <w:spacing w:before="120"/>
              <w:rPr>
                <w:strike/>
                <w:szCs w:val="24"/>
              </w:rPr>
            </w:pPr>
            <w:r w:rsidRPr="000839A4">
              <w:rPr>
                <w:strike/>
                <w:szCs w:val="24"/>
              </w:rPr>
              <w:t>26.70</w:t>
            </w:r>
          </w:p>
        </w:tc>
        <w:tc>
          <w:tcPr>
            <w:tcW w:w="6232" w:type="dxa"/>
          </w:tcPr>
          <w:p w14:paraId="0F587441" w14:textId="77777777" w:rsidR="000839A4" w:rsidRPr="000839A4" w:rsidRDefault="000839A4" w:rsidP="000839A4">
            <w:pPr>
              <w:spacing w:before="120"/>
              <w:rPr>
                <w:strike/>
                <w:szCs w:val="24"/>
              </w:rPr>
            </w:pPr>
            <w:r w:rsidRPr="000839A4">
              <w:rPr>
                <w:strike/>
                <w:szCs w:val="24"/>
              </w:rPr>
              <w:t>Optické a fotografické přístroje a zařízení</w:t>
            </w:r>
          </w:p>
        </w:tc>
      </w:tr>
      <w:tr w:rsidR="000839A4" w:rsidRPr="000839A4" w14:paraId="6105A4B3" w14:textId="77777777" w:rsidTr="000839A4">
        <w:tc>
          <w:tcPr>
            <w:tcW w:w="1271" w:type="dxa"/>
          </w:tcPr>
          <w:p w14:paraId="2ED4D0DB" w14:textId="77777777" w:rsidR="000839A4" w:rsidRPr="000839A4" w:rsidRDefault="000839A4" w:rsidP="000839A4">
            <w:pPr>
              <w:spacing w:before="120"/>
              <w:rPr>
                <w:strike/>
                <w:szCs w:val="24"/>
              </w:rPr>
            </w:pPr>
            <w:r w:rsidRPr="000839A4">
              <w:rPr>
                <w:strike/>
                <w:szCs w:val="24"/>
              </w:rPr>
              <w:lastRenderedPageBreak/>
              <w:t xml:space="preserve">(2-27)    </w:t>
            </w:r>
          </w:p>
          <w:p w14:paraId="355D1DE0" w14:textId="77777777" w:rsidR="000839A4" w:rsidRPr="000839A4" w:rsidRDefault="000839A4" w:rsidP="000839A4">
            <w:pPr>
              <w:spacing w:before="120"/>
              <w:rPr>
                <w:strike/>
                <w:szCs w:val="24"/>
              </w:rPr>
            </w:pPr>
          </w:p>
        </w:tc>
        <w:tc>
          <w:tcPr>
            <w:tcW w:w="1559" w:type="dxa"/>
          </w:tcPr>
          <w:p w14:paraId="504FFCAE" w14:textId="77777777" w:rsidR="000839A4" w:rsidRPr="000839A4" w:rsidRDefault="000839A4" w:rsidP="000839A4">
            <w:pPr>
              <w:spacing w:before="120"/>
              <w:rPr>
                <w:strike/>
                <w:szCs w:val="24"/>
              </w:rPr>
            </w:pPr>
            <w:proofErr w:type="gramStart"/>
            <w:r w:rsidRPr="000839A4">
              <w:rPr>
                <w:strike/>
                <w:szCs w:val="24"/>
              </w:rPr>
              <w:t>27.11.31</w:t>
            </w:r>
            <w:proofErr w:type="gramEnd"/>
            <w:r w:rsidRPr="000839A4">
              <w:rPr>
                <w:strike/>
                <w:szCs w:val="24"/>
              </w:rPr>
              <w:t xml:space="preserve">   </w:t>
            </w:r>
          </w:p>
        </w:tc>
        <w:tc>
          <w:tcPr>
            <w:tcW w:w="6232" w:type="dxa"/>
          </w:tcPr>
          <w:p w14:paraId="279D850A" w14:textId="77777777" w:rsidR="000839A4" w:rsidRPr="000839A4" w:rsidRDefault="000839A4" w:rsidP="000839A4">
            <w:pPr>
              <w:spacing w:before="120"/>
              <w:rPr>
                <w:strike/>
                <w:szCs w:val="24"/>
              </w:rPr>
            </w:pPr>
            <w:r w:rsidRPr="000839A4">
              <w:rPr>
                <w:strike/>
                <w:szCs w:val="24"/>
              </w:rPr>
              <w:t>Jen: elektrická generátorová soustrojí: elektrická generátorová soustrojí s pístovým vznětovým motorem s vnitřním spalováním do 2,5 MW elektrického výkonu</w:t>
            </w:r>
          </w:p>
        </w:tc>
      </w:tr>
      <w:tr w:rsidR="000839A4" w:rsidRPr="000839A4" w14:paraId="2947833B" w14:textId="77777777" w:rsidTr="000839A4">
        <w:tc>
          <w:tcPr>
            <w:tcW w:w="1271" w:type="dxa"/>
          </w:tcPr>
          <w:p w14:paraId="308C5F97" w14:textId="77777777" w:rsidR="000839A4" w:rsidRPr="000839A4" w:rsidRDefault="000839A4" w:rsidP="000839A4">
            <w:pPr>
              <w:spacing w:before="120"/>
              <w:rPr>
                <w:strike/>
                <w:szCs w:val="24"/>
              </w:rPr>
            </w:pPr>
            <w:r w:rsidRPr="000839A4">
              <w:rPr>
                <w:strike/>
                <w:szCs w:val="24"/>
              </w:rPr>
              <w:t xml:space="preserve">(2-28)    </w:t>
            </w:r>
          </w:p>
          <w:p w14:paraId="143BE14D" w14:textId="77777777" w:rsidR="000839A4" w:rsidRPr="000839A4" w:rsidRDefault="000839A4" w:rsidP="000839A4">
            <w:pPr>
              <w:spacing w:before="120"/>
              <w:ind w:firstLine="708"/>
              <w:rPr>
                <w:strike/>
                <w:szCs w:val="24"/>
              </w:rPr>
            </w:pPr>
          </w:p>
        </w:tc>
        <w:tc>
          <w:tcPr>
            <w:tcW w:w="1559" w:type="dxa"/>
          </w:tcPr>
          <w:p w14:paraId="583EF859" w14:textId="77777777" w:rsidR="000839A4" w:rsidRPr="000839A4" w:rsidRDefault="000839A4" w:rsidP="000839A4">
            <w:pPr>
              <w:spacing w:before="120"/>
              <w:rPr>
                <w:strike/>
                <w:szCs w:val="24"/>
              </w:rPr>
            </w:pPr>
            <w:proofErr w:type="gramStart"/>
            <w:r w:rsidRPr="000839A4">
              <w:rPr>
                <w:strike/>
                <w:szCs w:val="24"/>
              </w:rPr>
              <w:t>27.11.32</w:t>
            </w:r>
            <w:proofErr w:type="gramEnd"/>
            <w:r w:rsidRPr="000839A4">
              <w:rPr>
                <w:strike/>
                <w:szCs w:val="24"/>
              </w:rPr>
              <w:t xml:space="preserve">   </w:t>
            </w:r>
          </w:p>
        </w:tc>
        <w:tc>
          <w:tcPr>
            <w:tcW w:w="6232" w:type="dxa"/>
          </w:tcPr>
          <w:p w14:paraId="02CA6313" w14:textId="77777777" w:rsidR="000839A4" w:rsidRPr="000839A4" w:rsidRDefault="000839A4" w:rsidP="000839A4">
            <w:pPr>
              <w:spacing w:before="120"/>
              <w:rPr>
                <w:strike/>
                <w:szCs w:val="24"/>
              </w:rPr>
            </w:pPr>
            <w:r w:rsidRPr="000839A4">
              <w:rPr>
                <w:strike/>
                <w:szCs w:val="24"/>
              </w:rPr>
              <w:t>Jen: generátorová soustrojí se zážehovými a spalovacími motory a ostatní generátorová soustrojí do 2,5 MW elektrického výkonu</w:t>
            </w:r>
          </w:p>
        </w:tc>
      </w:tr>
      <w:tr w:rsidR="000839A4" w:rsidRPr="000839A4" w14:paraId="69B17A3D" w14:textId="77777777" w:rsidTr="000839A4">
        <w:tc>
          <w:tcPr>
            <w:tcW w:w="1271" w:type="dxa"/>
          </w:tcPr>
          <w:p w14:paraId="3782322C" w14:textId="77777777" w:rsidR="000839A4" w:rsidRPr="000839A4" w:rsidRDefault="000839A4" w:rsidP="000839A4">
            <w:pPr>
              <w:spacing w:before="120"/>
              <w:rPr>
                <w:strike/>
                <w:szCs w:val="24"/>
              </w:rPr>
            </w:pPr>
            <w:r w:rsidRPr="000839A4">
              <w:rPr>
                <w:strike/>
                <w:szCs w:val="24"/>
              </w:rPr>
              <w:t xml:space="preserve">(2-29)    </w:t>
            </w:r>
          </w:p>
          <w:p w14:paraId="18CB9442" w14:textId="77777777" w:rsidR="000839A4" w:rsidRPr="000839A4" w:rsidRDefault="000839A4" w:rsidP="000839A4">
            <w:pPr>
              <w:spacing w:before="120"/>
              <w:rPr>
                <w:strike/>
                <w:szCs w:val="24"/>
              </w:rPr>
            </w:pPr>
          </w:p>
        </w:tc>
        <w:tc>
          <w:tcPr>
            <w:tcW w:w="1559" w:type="dxa"/>
          </w:tcPr>
          <w:p w14:paraId="55036C63" w14:textId="77777777" w:rsidR="000839A4" w:rsidRPr="000839A4" w:rsidRDefault="000839A4" w:rsidP="000839A4">
            <w:pPr>
              <w:spacing w:before="120"/>
              <w:rPr>
                <w:strike/>
                <w:szCs w:val="24"/>
              </w:rPr>
            </w:pPr>
            <w:proofErr w:type="gramStart"/>
            <w:r w:rsidRPr="000839A4">
              <w:rPr>
                <w:strike/>
                <w:szCs w:val="24"/>
              </w:rPr>
              <w:t>27.11.50</w:t>
            </w:r>
            <w:proofErr w:type="gramEnd"/>
            <w:r w:rsidRPr="000839A4">
              <w:rPr>
                <w:strike/>
                <w:szCs w:val="24"/>
              </w:rPr>
              <w:t xml:space="preserve">   </w:t>
            </w:r>
          </w:p>
        </w:tc>
        <w:tc>
          <w:tcPr>
            <w:tcW w:w="6232" w:type="dxa"/>
          </w:tcPr>
          <w:p w14:paraId="7F61E595" w14:textId="77777777" w:rsidR="000839A4" w:rsidRPr="000839A4" w:rsidRDefault="000839A4" w:rsidP="000839A4">
            <w:pPr>
              <w:spacing w:before="120"/>
              <w:rPr>
                <w:strike/>
                <w:szCs w:val="24"/>
              </w:rPr>
            </w:pPr>
            <w:r w:rsidRPr="000839A4">
              <w:rPr>
                <w:strike/>
                <w:szCs w:val="24"/>
              </w:rPr>
              <w:t>Jen: stroje nebo zařízení sloužící výlučně k dobíjení vozidla, které má elektrický pohon nebo pohon kombinující spalovací motor a elektromotor</w:t>
            </w:r>
          </w:p>
        </w:tc>
      </w:tr>
      <w:tr w:rsidR="000839A4" w:rsidRPr="000839A4" w14:paraId="74E6F9E9" w14:textId="77777777" w:rsidTr="000839A4">
        <w:tc>
          <w:tcPr>
            <w:tcW w:w="1271" w:type="dxa"/>
          </w:tcPr>
          <w:p w14:paraId="58AB72C4" w14:textId="77777777" w:rsidR="000839A4" w:rsidRPr="000839A4" w:rsidRDefault="000839A4" w:rsidP="000839A4">
            <w:pPr>
              <w:spacing w:before="120"/>
              <w:rPr>
                <w:strike/>
                <w:szCs w:val="24"/>
              </w:rPr>
            </w:pPr>
            <w:r w:rsidRPr="000839A4">
              <w:rPr>
                <w:strike/>
                <w:szCs w:val="24"/>
              </w:rPr>
              <w:t xml:space="preserve">(2-30)    </w:t>
            </w:r>
          </w:p>
          <w:p w14:paraId="445EA5AA" w14:textId="77777777" w:rsidR="000839A4" w:rsidRPr="000839A4" w:rsidRDefault="000839A4" w:rsidP="000839A4">
            <w:pPr>
              <w:spacing w:before="120"/>
              <w:rPr>
                <w:strike/>
                <w:szCs w:val="24"/>
              </w:rPr>
            </w:pPr>
          </w:p>
        </w:tc>
        <w:tc>
          <w:tcPr>
            <w:tcW w:w="1559" w:type="dxa"/>
          </w:tcPr>
          <w:p w14:paraId="7E064A23" w14:textId="77777777" w:rsidR="000839A4" w:rsidRPr="000839A4" w:rsidRDefault="000839A4" w:rsidP="000839A4">
            <w:pPr>
              <w:spacing w:before="120"/>
              <w:rPr>
                <w:strike/>
                <w:szCs w:val="24"/>
              </w:rPr>
            </w:pPr>
            <w:r w:rsidRPr="000839A4">
              <w:rPr>
                <w:strike/>
                <w:szCs w:val="24"/>
              </w:rPr>
              <w:t xml:space="preserve">27.12      </w:t>
            </w:r>
          </w:p>
        </w:tc>
        <w:tc>
          <w:tcPr>
            <w:tcW w:w="6232" w:type="dxa"/>
          </w:tcPr>
          <w:p w14:paraId="525729AF" w14:textId="77777777" w:rsidR="000839A4" w:rsidRPr="000839A4" w:rsidRDefault="000839A4" w:rsidP="000839A4">
            <w:pPr>
              <w:spacing w:before="120"/>
              <w:rPr>
                <w:strike/>
                <w:szCs w:val="24"/>
              </w:rPr>
            </w:pPr>
            <w:r w:rsidRPr="000839A4">
              <w:rPr>
                <w:strike/>
                <w:szCs w:val="24"/>
              </w:rPr>
              <w:t>Jen: elektrická rozvodná zařízení pro napětí1000 V a nižší sloužící výlučně k dobíjení vozidla, které má elektrický pohon nebo pohon kombinující spalovací motor a elektromotor</w:t>
            </w:r>
          </w:p>
        </w:tc>
      </w:tr>
      <w:tr w:rsidR="000839A4" w:rsidRPr="000839A4" w14:paraId="263FA1AC" w14:textId="77777777" w:rsidTr="000839A4">
        <w:tc>
          <w:tcPr>
            <w:tcW w:w="1271" w:type="dxa"/>
          </w:tcPr>
          <w:p w14:paraId="5C0E4997" w14:textId="77777777" w:rsidR="000839A4" w:rsidRPr="000839A4" w:rsidRDefault="000839A4" w:rsidP="000839A4">
            <w:pPr>
              <w:spacing w:before="120"/>
              <w:rPr>
                <w:strike/>
                <w:szCs w:val="24"/>
              </w:rPr>
            </w:pPr>
            <w:r w:rsidRPr="000839A4">
              <w:rPr>
                <w:strike/>
                <w:szCs w:val="24"/>
              </w:rPr>
              <w:t xml:space="preserve">(2-31)    </w:t>
            </w:r>
          </w:p>
          <w:p w14:paraId="2B2A2011" w14:textId="77777777" w:rsidR="000839A4" w:rsidRPr="000839A4" w:rsidRDefault="000839A4" w:rsidP="000839A4">
            <w:pPr>
              <w:spacing w:before="120"/>
              <w:rPr>
                <w:strike/>
                <w:szCs w:val="24"/>
              </w:rPr>
            </w:pPr>
          </w:p>
        </w:tc>
        <w:tc>
          <w:tcPr>
            <w:tcW w:w="1559" w:type="dxa"/>
          </w:tcPr>
          <w:p w14:paraId="0A1CE979" w14:textId="77777777" w:rsidR="000839A4" w:rsidRPr="000839A4" w:rsidRDefault="000839A4" w:rsidP="000839A4">
            <w:pPr>
              <w:spacing w:before="120"/>
              <w:rPr>
                <w:strike/>
                <w:szCs w:val="24"/>
              </w:rPr>
            </w:pPr>
            <w:proofErr w:type="gramStart"/>
            <w:r w:rsidRPr="000839A4">
              <w:rPr>
                <w:strike/>
                <w:szCs w:val="24"/>
              </w:rPr>
              <w:t>27.12.31</w:t>
            </w:r>
            <w:proofErr w:type="gramEnd"/>
          </w:p>
        </w:tc>
        <w:tc>
          <w:tcPr>
            <w:tcW w:w="6232" w:type="dxa"/>
          </w:tcPr>
          <w:p w14:paraId="12356A67" w14:textId="77777777" w:rsidR="000839A4" w:rsidRPr="000839A4" w:rsidRDefault="000839A4" w:rsidP="000839A4">
            <w:pPr>
              <w:spacing w:before="120"/>
              <w:rPr>
                <w:strike/>
                <w:szCs w:val="24"/>
              </w:rPr>
            </w:pPr>
            <w:r w:rsidRPr="000839A4">
              <w:rPr>
                <w:strike/>
                <w:szCs w:val="24"/>
              </w:rPr>
              <w:t>Rozvaděče, rozvodné panely a jiné základny, vybavené elektrickým zařízením k vypínání, spínání nebo k ochraně elektrických obvodů, pro napětí &lt;= 1 000 V</w:t>
            </w:r>
          </w:p>
        </w:tc>
      </w:tr>
      <w:tr w:rsidR="000839A4" w:rsidRPr="000839A4" w14:paraId="5FC3A387" w14:textId="77777777" w:rsidTr="000839A4">
        <w:tc>
          <w:tcPr>
            <w:tcW w:w="1271" w:type="dxa"/>
          </w:tcPr>
          <w:p w14:paraId="722A1C6C" w14:textId="77777777" w:rsidR="000839A4" w:rsidRPr="000839A4" w:rsidRDefault="000839A4" w:rsidP="000839A4">
            <w:pPr>
              <w:spacing w:before="120"/>
              <w:rPr>
                <w:strike/>
                <w:szCs w:val="24"/>
              </w:rPr>
            </w:pPr>
            <w:r w:rsidRPr="000839A4">
              <w:rPr>
                <w:strike/>
                <w:szCs w:val="24"/>
              </w:rPr>
              <w:t xml:space="preserve">(2-32)    </w:t>
            </w:r>
          </w:p>
        </w:tc>
        <w:tc>
          <w:tcPr>
            <w:tcW w:w="1559" w:type="dxa"/>
          </w:tcPr>
          <w:p w14:paraId="54914C60" w14:textId="77777777" w:rsidR="000839A4" w:rsidRPr="000839A4" w:rsidRDefault="000839A4" w:rsidP="000839A4">
            <w:pPr>
              <w:spacing w:before="120"/>
              <w:rPr>
                <w:strike/>
                <w:szCs w:val="24"/>
              </w:rPr>
            </w:pPr>
            <w:r w:rsidRPr="000839A4">
              <w:rPr>
                <w:strike/>
                <w:szCs w:val="24"/>
              </w:rPr>
              <w:t xml:space="preserve">27.2       </w:t>
            </w:r>
          </w:p>
        </w:tc>
        <w:tc>
          <w:tcPr>
            <w:tcW w:w="6232" w:type="dxa"/>
          </w:tcPr>
          <w:p w14:paraId="652BE380" w14:textId="77777777" w:rsidR="000839A4" w:rsidRPr="000839A4" w:rsidRDefault="000839A4" w:rsidP="000839A4">
            <w:pPr>
              <w:spacing w:before="120"/>
              <w:rPr>
                <w:strike/>
                <w:szCs w:val="24"/>
              </w:rPr>
            </w:pPr>
            <w:r w:rsidRPr="000839A4">
              <w:rPr>
                <w:strike/>
                <w:szCs w:val="24"/>
              </w:rPr>
              <w:t>Baterie a akumulátory</w:t>
            </w:r>
          </w:p>
        </w:tc>
      </w:tr>
      <w:tr w:rsidR="000839A4" w:rsidRPr="000839A4" w14:paraId="53EEF85C" w14:textId="77777777" w:rsidTr="000839A4">
        <w:tc>
          <w:tcPr>
            <w:tcW w:w="1271" w:type="dxa"/>
          </w:tcPr>
          <w:p w14:paraId="6F655FCF" w14:textId="77777777" w:rsidR="000839A4" w:rsidRPr="000839A4" w:rsidRDefault="000839A4" w:rsidP="000839A4">
            <w:pPr>
              <w:spacing w:before="120"/>
              <w:rPr>
                <w:strike/>
                <w:szCs w:val="24"/>
              </w:rPr>
            </w:pPr>
            <w:r w:rsidRPr="000839A4">
              <w:rPr>
                <w:strike/>
                <w:szCs w:val="24"/>
              </w:rPr>
              <w:t xml:space="preserve">(2-33)    </w:t>
            </w:r>
          </w:p>
          <w:p w14:paraId="1F198C60" w14:textId="77777777" w:rsidR="000839A4" w:rsidRPr="000839A4" w:rsidRDefault="000839A4" w:rsidP="000839A4">
            <w:pPr>
              <w:spacing w:before="120"/>
              <w:rPr>
                <w:strike/>
                <w:szCs w:val="24"/>
              </w:rPr>
            </w:pPr>
          </w:p>
        </w:tc>
        <w:tc>
          <w:tcPr>
            <w:tcW w:w="1559" w:type="dxa"/>
          </w:tcPr>
          <w:p w14:paraId="322B023D" w14:textId="77777777" w:rsidR="000839A4" w:rsidRPr="000839A4" w:rsidRDefault="000839A4" w:rsidP="000839A4">
            <w:pPr>
              <w:spacing w:before="120"/>
              <w:rPr>
                <w:strike/>
                <w:szCs w:val="24"/>
              </w:rPr>
            </w:pPr>
            <w:r w:rsidRPr="000839A4">
              <w:rPr>
                <w:strike/>
                <w:szCs w:val="24"/>
              </w:rPr>
              <w:t xml:space="preserve">27.31.12   </w:t>
            </w:r>
          </w:p>
        </w:tc>
        <w:tc>
          <w:tcPr>
            <w:tcW w:w="6232" w:type="dxa"/>
          </w:tcPr>
          <w:p w14:paraId="37019CF3" w14:textId="77777777" w:rsidR="000839A4" w:rsidRPr="000839A4" w:rsidRDefault="000839A4" w:rsidP="000839A4">
            <w:pPr>
              <w:spacing w:before="120"/>
              <w:rPr>
                <w:strike/>
                <w:szCs w:val="24"/>
              </w:rPr>
            </w:pPr>
            <w:r w:rsidRPr="000839A4">
              <w:rPr>
                <w:strike/>
                <w:szCs w:val="24"/>
              </w:rPr>
              <w:t xml:space="preserve">Optická vlákna a svazky optických vláken; optické kabely (jiné než vyrobené z jednotlivých opláštěných vláken)             </w:t>
            </w:r>
          </w:p>
        </w:tc>
      </w:tr>
      <w:tr w:rsidR="000839A4" w:rsidRPr="000839A4" w14:paraId="04DEF3C9" w14:textId="77777777" w:rsidTr="000839A4">
        <w:tc>
          <w:tcPr>
            <w:tcW w:w="1271" w:type="dxa"/>
          </w:tcPr>
          <w:p w14:paraId="11BAB259" w14:textId="77777777" w:rsidR="000839A4" w:rsidRPr="000839A4" w:rsidRDefault="000839A4" w:rsidP="000839A4">
            <w:pPr>
              <w:spacing w:before="120"/>
              <w:rPr>
                <w:strike/>
                <w:szCs w:val="24"/>
              </w:rPr>
            </w:pPr>
            <w:r w:rsidRPr="000839A4">
              <w:rPr>
                <w:strike/>
                <w:szCs w:val="24"/>
              </w:rPr>
              <w:t xml:space="preserve">(2-34)  </w:t>
            </w:r>
          </w:p>
        </w:tc>
        <w:tc>
          <w:tcPr>
            <w:tcW w:w="1559" w:type="dxa"/>
          </w:tcPr>
          <w:p w14:paraId="4258BA67" w14:textId="77777777" w:rsidR="000839A4" w:rsidRPr="000839A4" w:rsidRDefault="000839A4" w:rsidP="000839A4">
            <w:pPr>
              <w:spacing w:before="120"/>
              <w:rPr>
                <w:strike/>
                <w:szCs w:val="24"/>
              </w:rPr>
            </w:pPr>
            <w:r w:rsidRPr="000839A4">
              <w:rPr>
                <w:strike/>
                <w:szCs w:val="24"/>
              </w:rPr>
              <w:t>27.40</w:t>
            </w:r>
          </w:p>
        </w:tc>
        <w:tc>
          <w:tcPr>
            <w:tcW w:w="6232" w:type="dxa"/>
          </w:tcPr>
          <w:p w14:paraId="60F3D27D" w14:textId="77777777" w:rsidR="000839A4" w:rsidRPr="000839A4" w:rsidRDefault="000839A4" w:rsidP="000839A4">
            <w:pPr>
              <w:spacing w:before="120"/>
              <w:rPr>
                <w:strike/>
                <w:szCs w:val="24"/>
              </w:rPr>
            </w:pPr>
            <w:r w:rsidRPr="000839A4">
              <w:rPr>
                <w:strike/>
                <w:szCs w:val="24"/>
              </w:rPr>
              <w:t>Elektrická osvětlovací zařízení</w:t>
            </w:r>
          </w:p>
        </w:tc>
      </w:tr>
      <w:tr w:rsidR="000839A4" w:rsidRPr="000839A4" w14:paraId="74DDA982" w14:textId="77777777" w:rsidTr="000839A4">
        <w:tc>
          <w:tcPr>
            <w:tcW w:w="1271" w:type="dxa"/>
          </w:tcPr>
          <w:p w14:paraId="783B087C" w14:textId="77777777" w:rsidR="000839A4" w:rsidRPr="000839A4" w:rsidRDefault="000839A4" w:rsidP="000839A4">
            <w:pPr>
              <w:spacing w:before="120"/>
              <w:rPr>
                <w:strike/>
                <w:szCs w:val="24"/>
              </w:rPr>
            </w:pPr>
            <w:r w:rsidRPr="000839A4">
              <w:rPr>
                <w:strike/>
                <w:szCs w:val="24"/>
              </w:rPr>
              <w:t xml:space="preserve">(2-35)    </w:t>
            </w:r>
          </w:p>
          <w:p w14:paraId="0BC16C2B" w14:textId="77777777" w:rsidR="000839A4" w:rsidRPr="000839A4" w:rsidRDefault="000839A4" w:rsidP="000839A4">
            <w:pPr>
              <w:spacing w:before="120"/>
              <w:rPr>
                <w:strike/>
                <w:szCs w:val="24"/>
              </w:rPr>
            </w:pPr>
          </w:p>
        </w:tc>
        <w:tc>
          <w:tcPr>
            <w:tcW w:w="1559" w:type="dxa"/>
          </w:tcPr>
          <w:p w14:paraId="165F6F7C" w14:textId="77777777" w:rsidR="000839A4" w:rsidRPr="000839A4" w:rsidRDefault="000839A4" w:rsidP="000839A4">
            <w:pPr>
              <w:spacing w:before="120"/>
              <w:rPr>
                <w:strike/>
                <w:szCs w:val="24"/>
              </w:rPr>
            </w:pPr>
            <w:r w:rsidRPr="000839A4">
              <w:rPr>
                <w:strike/>
                <w:szCs w:val="24"/>
              </w:rPr>
              <w:t xml:space="preserve">27.51.15   </w:t>
            </w:r>
          </w:p>
        </w:tc>
        <w:tc>
          <w:tcPr>
            <w:tcW w:w="6232" w:type="dxa"/>
          </w:tcPr>
          <w:p w14:paraId="6644B4EC" w14:textId="77777777" w:rsidR="000839A4" w:rsidRPr="000839A4" w:rsidRDefault="000839A4" w:rsidP="000839A4">
            <w:pPr>
              <w:spacing w:before="120"/>
              <w:rPr>
                <w:strike/>
                <w:szCs w:val="24"/>
              </w:rPr>
            </w:pPr>
            <w:r w:rsidRPr="000839A4">
              <w:rPr>
                <w:strike/>
                <w:szCs w:val="24"/>
              </w:rPr>
              <w:t>Ventilátory a ventilační nebo recirkulační odsávače převážně pro domácnost</w:t>
            </w:r>
          </w:p>
        </w:tc>
      </w:tr>
      <w:tr w:rsidR="000839A4" w:rsidRPr="000839A4" w14:paraId="6641F695" w14:textId="77777777" w:rsidTr="000839A4">
        <w:tc>
          <w:tcPr>
            <w:tcW w:w="1271" w:type="dxa"/>
          </w:tcPr>
          <w:p w14:paraId="76BCD004" w14:textId="77777777" w:rsidR="000839A4" w:rsidRPr="000839A4" w:rsidRDefault="000839A4" w:rsidP="000839A4">
            <w:pPr>
              <w:spacing w:before="120"/>
              <w:rPr>
                <w:strike/>
                <w:szCs w:val="24"/>
              </w:rPr>
            </w:pPr>
            <w:r w:rsidRPr="000839A4">
              <w:rPr>
                <w:strike/>
                <w:szCs w:val="24"/>
              </w:rPr>
              <w:t xml:space="preserve">(2-36)     </w:t>
            </w:r>
          </w:p>
          <w:p w14:paraId="448529F5" w14:textId="77777777" w:rsidR="000839A4" w:rsidRPr="000839A4" w:rsidRDefault="000839A4" w:rsidP="000839A4">
            <w:pPr>
              <w:spacing w:before="120"/>
              <w:rPr>
                <w:strike/>
                <w:szCs w:val="24"/>
              </w:rPr>
            </w:pPr>
          </w:p>
        </w:tc>
        <w:tc>
          <w:tcPr>
            <w:tcW w:w="1559" w:type="dxa"/>
          </w:tcPr>
          <w:p w14:paraId="43A76343" w14:textId="77777777" w:rsidR="000839A4" w:rsidRPr="000839A4" w:rsidRDefault="000839A4" w:rsidP="000839A4">
            <w:pPr>
              <w:spacing w:before="120"/>
              <w:rPr>
                <w:strike/>
                <w:szCs w:val="24"/>
              </w:rPr>
            </w:pPr>
            <w:r w:rsidRPr="000839A4">
              <w:rPr>
                <w:strike/>
                <w:szCs w:val="24"/>
              </w:rPr>
              <w:t xml:space="preserve">27.52      </w:t>
            </w:r>
          </w:p>
        </w:tc>
        <w:tc>
          <w:tcPr>
            <w:tcW w:w="6232" w:type="dxa"/>
          </w:tcPr>
          <w:p w14:paraId="0797D138" w14:textId="77777777" w:rsidR="000839A4" w:rsidRPr="000839A4" w:rsidRDefault="000839A4" w:rsidP="000839A4">
            <w:pPr>
              <w:spacing w:before="120"/>
              <w:rPr>
                <w:strike/>
                <w:szCs w:val="24"/>
              </w:rPr>
            </w:pPr>
            <w:r w:rsidRPr="000839A4">
              <w:rPr>
                <w:strike/>
                <w:szCs w:val="24"/>
              </w:rPr>
              <w:t xml:space="preserve">Neelektrické spotřebiče převážně </w:t>
            </w:r>
            <w:proofErr w:type="gramStart"/>
            <w:r w:rsidRPr="000839A4">
              <w:rPr>
                <w:strike/>
                <w:szCs w:val="24"/>
              </w:rPr>
              <w:t>pro             domácnost</w:t>
            </w:r>
            <w:proofErr w:type="gramEnd"/>
          </w:p>
        </w:tc>
      </w:tr>
      <w:tr w:rsidR="000839A4" w:rsidRPr="000839A4" w14:paraId="60DAFB31" w14:textId="77777777" w:rsidTr="000839A4">
        <w:tc>
          <w:tcPr>
            <w:tcW w:w="1271" w:type="dxa"/>
          </w:tcPr>
          <w:p w14:paraId="0B9D9689" w14:textId="77777777" w:rsidR="000839A4" w:rsidRPr="000839A4" w:rsidRDefault="000839A4" w:rsidP="000839A4">
            <w:pPr>
              <w:spacing w:before="120"/>
              <w:rPr>
                <w:strike/>
                <w:szCs w:val="24"/>
              </w:rPr>
            </w:pPr>
            <w:r w:rsidRPr="000839A4">
              <w:rPr>
                <w:strike/>
                <w:szCs w:val="24"/>
              </w:rPr>
              <w:t xml:space="preserve">(2-37)     </w:t>
            </w:r>
          </w:p>
          <w:p w14:paraId="37A4C888" w14:textId="77777777" w:rsidR="000839A4" w:rsidRPr="000839A4" w:rsidRDefault="000839A4" w:rsidP="000839A4">
            <w:pPr>
              <w:spacing w:before="120"/>
              <w:rPr>
                <w:strike/>
                <w:szCs w:val="24"/>
              </w:rPr>
            </w:pPr>
          </w:p>
        </w:tc>
        <w:tc>
          <w:tcPr>
            <w:tcW w:w="1559" w:type="dxa"/>
          </w:tcPr>
          <w:p w14:paraId="47ADDD2D" w14:textId="77777777" w:rsidR="000839A4" w:rsidRPr="000839A4" w:rsidRDefault="000839A4" w:rsidP="000839A4">
            <w:pPr>
              <w:spacing w:before="120"/>
              <w:rPr>
                <w:strike/>
                <w:szCs w:val="24"/>
              </w:rPr>
            </w:pPr>
            <w:r w:rsidRPr="000839A4">
              <w:rPr>
                <w:strike/>
                <w:szCs w:val="24"/>
              </w:rPr>
              <w:t xml:space="preserve">27.90      </w:t>
            </w:r>
          </w:p>
        </w:tc>
        <w:tc>
          <w:tcPr>
            <w:tcW w:w="6232" w:type="dxa"/>
          </w:tcPr>
          <w:p w14:paraId="740AE408" w14:textId="77777777" w:rsidR="000839A4" w:rsidRPr="000839A4" w:rsidRDefault="000839A4" w:rsidP="000839A4">
            <w:pPr>
              <w:spacing w:before="120"/>
              <w:rPr>
                <w:strike/>
                <w:szCs w:val="24"/>
              </w:rPr>
            </w:pPr>
            <w:r w:rsidRPr="000839A4">
              <w:rPr>
                <w:strike/>
                <w:szCs w:val="24"/>
              </w:rPr>
              <w:t>Ostatní elektrická zařízení pokud nejsou uvedena v jiné položce této přílohy</w:t>
            </w:r>
          </w:p>
        </w:tc>
      </w:tr>
      <w:tr w:rsidR="000839A4" w:rsidRPr="000839A4" w14:paraId="469B9CF6" w14:textId="77777777" w:rsidTr="000839A4">
        <w:tc>
          <w:tcPr>
            <w:tcW w:w="1271" w:type="dxa"/>
          </w:tcPr>
          <w:p w14:paraId="4BE38368" w14:textId="77777777" w:rsidR="000839A4" w:rsidRPr="000839A4" w:rsidRDefault="000839A4" w:rsidP="000839A4">
            <w:pPr>
              <w:spacing w:before="120"/>
              <w:rPr>
                <w:strike/>
                <w:szCs w:val="24"/>
              </w:rPr>
            </w:pPr>
            <w:r w:rsidRPr="000839A4">
              <w:rPr>
                <w:strike/>
                <w:szCs w:val="24"/>
              </w:rPr>
              <w:t xml:space="preserve">(2-38)    </w:t>
            </w:r>
          </w:p>
        </w:tc>
        <w:tc>
          <w:tcPr>
            <w:tcW w:w="1559" w:type="dxa"/>
          </w:tcPr>
          <w:p w14:paraId="7235093D" w14:textId="77777777" w:rsidR="000839A4" w:rsidRPr="000839A4" w:rsidRDefault="000839A4" w:rsidP="000839A4">
            <w:pPr>
              <w:spacing w:before="120"/>
              <w:rPr>
                <w:strike/>
                <w:szCs w:val="24"/>
              </w:rPr>
            </w:pPr>
            <w:proofErr w:type="gramStart"/>
            <w:r w:rsidRPr="000839A4">
              <w:rPr>
                <w:strike/>
                <w:szCs w:val="24"/>
              </w:rPr>
              <w:t>28.11.11</w:t>
            </w:r>
            <w:proofErr w:type="gramEnd"/>
            <w:r w:rsidRPr="000839A4">
              <w:rPr>
                <w:strike/>
                <w:szCs w:val="24"/>
              </w:rPr>
              <w:t xml:space="preserve">   </w:t>
            </w:r>
          </w:p>
        </w:tc>
        <w:tc>
          <w:tcPr>
            <w:tcW w:w="6232" w:type="dxa"/>
          </w:tcPr>
          <w:p w14:paraId="77B06EE7" w14:textId="77777777" w:rsidR="000839A4" w:rsidRPr="000839A4" w:rsidRDefault="000839A4" w:rsidP="000839A4">
            <w:pPr>
              <w:spacing w:before="120"/>
              <w:rPr>
                <w:strike/>
                <w:szCs w:val="24"/>
              </w:rPr>
            </w:pPr>
            <w:r w:rsidRPr="000839A4">
              <w:rPr>
                <w:strike/>
                <w:szCs w:val="24"/>
              </w:rPr>
              <w:t>Závěsné motory pro pohon lodí</w:t>
            </w:r>
          </w:p>
        </w:tc>
      </w:tr>
      <w:tr w:rsidR="000839A4" w:rsidRPr="000839A4" w14:paraId="6AC04AC0" w14:textId="77777777" w:rsidTr="000839A4">
        <w:tc>
          <w:tcPr>
            <w:tcW w:w="1271" w:type="dxa"/>
          </w:tcPr>
          <w:p w14:paraId="5AE16BBF" w14:textId="77777777" w:rsidR="000839A4" w:rsidRPr="000839A4" w:rsidRDefault="000839A4" w:rsidP="000839A4">
            <w:pPr>
              <w:spacing w:before="120"/>
              <w:rPr>
                <w:strike/>
                <w:szCs w:val="24"/>
              </w:rPr>
            </w:pPr>
            <w:r w:rsidRPr="000839A4">
              <w:rPr>
                <w:strike/>
                <w:szCs w:val="24"/>
              </w:rPr>
              <w:t xml:space="preserve">(2-39)  </w:t>
            </w:r>
          </w:p>
        </w:tc>
        <w:tc>
          <w:tcPr>
            <w:tcW w:w="1559" w:type="dxa"/>
          </w:tcPr>
          <w:p w14:paraId="14EF6B30" w14:textId="77777777" w:rsidR="000839A4" w:rsidRPr="000839A4" w:rsidRDefault="000839A4" w:rsidP="000839A4">
            <w:pPr>
              <w:spacing w:before="120"/>
              <w:rPr>
                <w:strike/>
                <w:szCs w:val="24"/>
              </w:rPr>
            </w:pPr>
            <w:r w:rsidRPr="000839A4">
              <w:rPr>
                <w:strike/>
                <w:szCs w:val="24"/>
              </w:rPr>
              <w:t>28.12</w:t>
            </w:r>
          </w:p>
        </w:tc>
        <w:tc>
          <w:tcPr>
            <w:tcW w:w="6232" w:type="dxa"/>
          </w:tcPr>
          <w:p w14:paraId="3FEFBA06" w14:textId="77777777" w:rsidR="000839A4" w:rsidRPr="000839A4" w:rsidRDefault="000839A4" w:rsidP="000839A4">
            <w:pPr>
              <w:spacing w:before="120"/>
              <w:rPr>
                <w:strike/>
                <w:szCs w:val="24"/>
              </w:rPr>
            </w:pPr>
            <w:r w:rsidRPr="000839A4">
              <w:rPr>
                <w:strike/>
                <w:szCs w:val="24"/>
              </w:rPr>
              <w:t>Hydraulická a pneumatická zařízení</w:t>
            </w:r>
          </w:p>
        </w:tc>
      </w:tr>
      <w:tr w:rsidR="000839A4" w:rsidRPr="000839A4" w14:paraId="6085ACFC" w14:textId="77777777" w:rsidTr="000839A4">
        <w:tc>
          <w:tcPr>
            <w:tcW w:w="1271" w:type="dxa"/>
          </w:tcPr>
          <w:p w14:paraId="6E008808" w14:textId="77777777" w:rsidR="000839A4" w:rsidRPr="000839A4" w:rsidRDefault="000839A4" w:rsidP="000839A4">
            <w:pPr>
              <w:spacing w:before="120"/>
              <w:rPr>
                <w:strike/>
                <w:szCs w:val="24"/>
              </w:rPr>
            </w:pPr>
            <w:r w:rsidRPr="000839A4">
              <w:rPr>
                <w:strike/>
                <w:szCs w:val="24"/>
              </w:rPr>
              <w:t xml:space="preserve">(2-40) </w:t>
            </w:r>
          </w:p>
        </w:tc>
        <w:tc>
          <w:tcPr>
            <w:tcW w:w="1559" w:type="dxa"/>
          </w:tcPr>
          <w:p w14:paraId="256F8468" w14:textId="77777777" w:rsidR="000839A4" w:rsidRPr="000839A4" w:rsidRDefault="000839A4" w:rsidP="000839A4">
            <w:pPr>
              <w:spacing w:before="120"/>
              <w:rPr>
                <w:strike/>
                <w:szCs w:val="24"/>
              </w:rPr>
            </w:pPr>
            <w:r w:rsidRPr="000839A4">
              <w:rPr>
                <w:strike/>
                <w:szCs w:val="24"/>
              </w:rPr>
              <w:t xml:space="preserve">28.13.1    </w:t>
            </w:r>
          </w:p>
        </w:tc>
        <w:tc>
          <w:tcPr>
            <w:tcW w:w="6232" w:type="dxa"/>
          </w:tcPr>
          <w:p w14:paraId="42375A08" w14:textId="77777777" w:rsidR="000839A4" w:rsidRPr="000839A4" w:rsidRDefault="000839A4" w:rsidP="000839A4">
            <w:pPr>
              <w:spacing w:before="120"/>
              <w:rPr>
                <w:strike/>
                <w:szCs w:val="24"/>
              </w:rPr>
            </w:pPr>
            <w:r w:rsidRPr="000839A4">
              <w:rPr>
                <w:strike/>
                <w:szCs w:val="24"/>
              </w:rPr>
              <w:t>Čerpadla na kapaliny; zdviže na kapaliny</w:t>
            </w:r>
          </w:p>
        </w:tc>
      </w:tr>
      <w:tr w:rsidR="000839A4" w:rsidRPr="000839A4" w14:paraId="39BC962F" w14:textId="77777777" w:rsidTr="000839A4">
        <w:tc>
          <w:tcPr>
            <w:tcW w:w="1271" w:type="dxa"/>
          </w:tcPr>
          <w:p w14:paraId="034A35B6" w14:textId="77777777" w:rsidR="000839A4" w:rsidRPr="000839A4" w:rsidRDefault="000839A4" w:rsidP="000839A4">
            <w:pPr>
              <w:spacing w:before="120"/>
              <w:rPr>
                <w:strike/>
                <w:szCs w:val="24"/>
              </w:rPr>
            </w:pPr>
            <w:r w:rsidRPr="000839A4">
              <w:rPr>
                <w:strike/>
                <w:szCs w:val="24"/>
              </w:rPr>
              <w:t xml:space="preserve">(2-41) </w:t>
            </w:r>
          </w:p>
        </w:tc>
        <w:tc>
          <w:tcPr>
            <w:tcW w:w="1559" w:type="dxa"/>
          </w:tcPr>
          <w:p w14:paraId="50FB4BC0" w14:textId="77777777" w:rsidR="000839A4" w:rsidRPr="000839A4" w:rsidRDefault="000839A4" w:rsidP="000839A4">
            <w:pPr>
              <w:spacing w:before="120"/>
              <w:rPr>
                <w:strike/>
                <w:szCs w:val="24"/>
              </w:rPr>
            </w:pPr>
            <w:r w:rsidRPr="000839A4">
              <w:rPr>
                <w:strike/>
                <w:szCs w:val="24"/>
              </w:rPr>
              <w:t xml:space="preserve">28.13.21   </w:t>
            </w:r>
          </w:p>
        </w:tc>
        <w:tc>
          <w:tcPr>
            <w:tcW w:w="6232" w:type="dxa"/>
          </w:tcPr>
          <w:p w14:paraId="5395ED47" w14:textId="77777777" w:rsidR="000839A4" w:rsidRPr="000839A4" w:rsidRDefault="000839A4" w:rsidP="000839A4">
            <w:pPr>
              <w:spacing w:before="120"/>
              <w:rPr>
                <w:strike/>
                <w:szCs w:val="24"/>
              </w:rPr>
            </w:pPr>
            <w:r w:rsidRPr="000839A4">
              <w:rPr>
                <w:strike/>
                <w:szCs w:val="24"/>
              </w:rPr>
              <w:t>Jen: vývěvy laboratorní</w:t>
            </w:r>
          </w:p>
        </w:tc>
      </w:tr>
      <w:tr w:rsidR="000839A4" w:rsidRPr="000839A4" w14:paraId="51616ABE" w14:textId="77777777" w:rsidTr="000839A4">
        <w:tc>
          <w:tcPr>
            <w:tcW w:w="1271" w:type="dxa"/>
          </w:tcPr>
          <w:p w14:paraId="12DA574D" w14:textId="77777777" w:rsidR="000839A4" w:rsidRPr="000839A4" w:rsidRDefault="000839A4" w:rsidP="000839A4">
            <w:pPr>
              <w:spacing w:before="120"/>
              <w:rPr>
                <w:strike/>
                <w:szCs w:val="24"/>
              </w:rPr>
            </w:pPr>
            <w:r w:rsidRPr="000839A4">
              <w:rPr>
                <w:strike/>
                <w:szCs w:val="24"/>
              </w:rPr>
              <w:t xml:space="preserve">(2-42)  </w:t>
            </w:r>
          </w:p>
        </w:tc>
        <w:tc>
          <w:tcPr>
            <w:tcW w:w="1559" w:type="dxa"/>
          </w:tcPr>
          <w:p w14:paraId="5D53F0B9" w14:textId="77777777" w:rsidR="000839A4" w:rsidRPr="000839A4" w:rsidRDefault="000839A4" w:rsidP="000839A4">
            <w:pPr>
              <w:spacing w:before="120"/>
              <w:rPr>
                <w:strike/>
                <w:szCs w:val="24"/>
              </w:rPr>
            </w:pPr>
            <w:r w:rsidRPr="000839A4">
              <w:rPr>
                <w:strike/>
                <w:szCs w:val="24"/>
              </w:rPr>
              <w:t xml:space="preserve">28.21.1    </w:t>
            </w:r>
          </w:p>
        </w:tc>
        <w:tc>
          <w:tcPr>
            <w:tcW w:w="6232" w:type="dxa"/>
          </w:tcPr>
          <w:p w14:paraId="7846DB8B" w14:textId="77777777" w:rsidR="000839A4" w:rsidRPr="000839A4" w:rsidRDefault="000839A4" w:rsidP="000839A4">
            <w:pPr>
              <w:spacing w:before="120"/>
              <w:rPr>
                <w:strike/>
                <w:szCs w:val="24"/>
              </w:rPr>
            </w:pPr>
            <w:r w:rsidRPr="000839A4">
              <w:rPr>
                <w:strike/>
                <w:szCs w:val="24"/>
              </w:rPr>
              <w:t>Jen: laboratorní pece a pícky</w:t>
            </w:r>
          </w:p>
        </w:tc>
      </w:tr>
      <w:tr w:rsidR="000839A4" w:rsidRPr="000839A4" w14:paraId="0C9429C3" w14:textId="77777777" w:rsidTr="000839A4">
        <w:tc>
          <w:tcPr>
            <w:tcW w:w="1271" w:type="dxa"/>
          </w:tcPr>
          <w:p w14:paraId="2148CF9F" w14:textId="77777777" w:rsidR="000839A4" w:rsidRPr="000839A4" w:rsidRDefault="000839A4" w:rsidP="000839A4">
            <w:pPr>
              <w:spacing w:before="120"/>
              <w:rPr>
                <w:strike/>
                <w:szCs w:val="24"/>
              </w:rPr>
            </w:pPr>
            <w:r w:rsidRPr="000839A4">
              <w:rPr>
                <w:strike/>
                <w:szCs w:val="24"/>
              </w:rPr>
              <w:t xml:space="preserve">(2-43)    </w:t>
            </w:r>
          </w:p>
          <w:p w14:paraId="0151BD04" w14:textId="77777777" w:rsidR="000839A4" w:rsidRPr="000839A4" w:rsidRDefault="000839A4" w:rsidP="000839A4">
            <w:pPr>
              <w:spacing w:before="120"/>
              <w:rPr>
                <w:strike/>
                <w:szCs w:val="24"/>
              </w:rPr>
            </w:pPr>
          </w:p>
        </w:tc>
        <w:tc>
          <w:tcPr>
            <w:tcW w:w="1559" w:type="dxa"/>
          </w:tcPr>
          <w:p w14:paraId="37CCE30C" w14:textId="77777777" w:rsidR="000839A4" w:rsidRPr="000839A4" w:rsidRDefault="000839A4" w:rsidP="000839A4">
            <w:pPr>
              <w:spacing w:before="120"/>
              <w:rPr>
                <w:strike/>
                <w:szCs w:val="24"/>
              </w:rPr>
            </w:pPr>
            <w:r w:rsidRPr="000839A4">
              <w:rPr>
                <w:strike/>
                <w:szCs w:val="24"/>
              </w:rPr>
              <w:t xml:space="preserve">28.22.14   </w:t>
            </w:r>
          </w:p>
        </w:tc>
        <w:tc>
          <w:tcPr>
            <w:tcW w:w="6232" w:type="dxa"/>
          </w:tcPr>
          <w:p w14:paraId="4A2F1DB9" w14:textId="77777777" w:rsidR="000839A4" w:rsidRPr="000839A4" w:rsidRDefault="000839A4" w:rsidP="000839A4">
            <w:pPr>
              <w:spacing w:before="120"/>
              <w:rPr>
                <w:strike/>
                <w:szCs w:val="24"/>
              </w:rPr>
            </w:pPr>
            <w:r w:rsidRPr="000839A4">
              <w:rPr>
                <w:strike/>
                <w:szCs w:val="24"/>
              </w:rPr>
              <w:t xml:space="preserve">Jen: jeřáby stavební (konstruované </w:t>
            </w:r>
            <w:proofErr w:type="gramStart"/>
            <w:r w:rsidRPr="000839A4">
              <w:rPr>
                <w:strike/>
                <w:szCs w:val="24"/>
              </w:rPr>
              <w:t>pro           stavebnictví</w:t>
            </w:r>
            <w:proofErr w:type="gramEnd"/>
            <w:r w:rsidRPr="000839A4">
              <w:rPr>
                <w:strike/>
                <w:szCs w:val="24"/>
              </w:rPr>
              <w:t>)</w:t>
            </w:r>
          </w:p>
        </w:tc>
      </w:tr>
      <w:tr w:rsidR="000839A4" w:rsidRPr="000839A4" w14:paraId="24548FFF" w14:textId="77777777" w:rsidTr="000839A4">
        <w:tc>
          <w:tcPr>
            <w:tcW w:w="1271" w:type="dxa"/>
          </w:tcPr>
          <w:p w14:paraId="2B12D25E" w14:textId="77777777" w:rsidR="000839A4" w:rsidRPr="000839A4" w:rsidRDefault="000839A4" w:rsidP="000839A4">
            <w:pPr>
              <w:spacing w:before="120"/>
              <w:rPr>
                <w:strike/>
                <w:szCs w:val="24"/>
              </w:rPr>
            </w:pPr>
            <w:r w:rsidRPr="000839A4">
              <w:rPr>
                <w:strike/>
                <w:szCs w:val="24"/>
              </w:rPr>
              <w:t xml:space="preserve">(2-44)     </w:t>
            </w:r>
          </w:p>
          <w:p w14:paraId="0C1D204A" w14:textId="77777777" w:rsidR="000839A4" w:rsidRPr="000839A4" w:rsidRDefault="000839A4" w:rsidP="000839A4">
            <w:pPr>
              <w:spacing w:before="120"/>
              <w:rPr>
                <w:strike/>
                <w:szCs w:val="24"/>
              </w:rPr>
            </w:pPr>
          </w:p>
        </w:tc>
        <w:tc>
          <w:tcPr>
            <w:tcW w:w="1559" w:type="dxa"/>
          </w:tcPr>
          <w:p w14:paraId="546C7CF1" w14:textId="77777777" w:rsidR="000839A4" w:rsidRPr="000839A4" w:rsidRDefault="000839A4" w:rsidP="000839A4">
            <w:pPr>
              <w:spacing w:before="120"/>
              <w:rPr>
                <w:strike/>
                <w:szCs w:val="24"/>
              </w:rPr>
            </w:pPr>
            <w:r w:rsidRPr="000839A4">
              <w:rPr>
                <w:strike/>
                <w:szCs w:val="24"/>
              </w:rPr>
              <w:t xml:space="preserve">28.22.15   </w:t>
            </w:r>
          </w:p>
        </w:tc>
        <w:tc>
          <w:tcPr>
            <w:tcW w:w="6232" w:type="dxa"/>
          </w:tcPr>
          <w:p w14:paraId="6101FD05" w14:textId="77777777" w:rsidR="000839A4" w:rsidRPr="000839A4" w:rsidRDefault="000839A4" w:rsidP="000839A4">
            <w:pPr>
              <w:spacing w:before="120"/>
              <w:rPr>
                <w:strike/>
                <w:szCs w:val="24"/>
              </w:rPr>
            </w:pPr>
            <w:r w:rsidRPr="000839A4">
              <w:rPr>
                <w:strike/>
                <w:szCs w:val="24"/>
              </w:rPr>
              <w:t>Vidlicové stohovací vozíky, jiné vozíky; malé tahače používané na nádražních stanicích</w:t>
            </w:r>
          </w:p>
        </w:tc>
      </w:tr>
      <w:tr w:rsidR="000839A4" w:rsidRPr="000839A4" w14:paraId="4EBA5189" w14:textId="77777777" w:rsidTr="000839A4">
        <w:tc>
          <w:tcPr>
            <w:tcW w:w="1271" w:type="dxa"/>
          </w:tcPr>
          <w:p w14:paraId="5B24E1AF" w14:textId="77777777" w:rsidR="000839A4" w:rsidRPr="000839A4" w:rsidRDefault="000839A4" w:rsidP="000839A4">
            <w:pPr>
              <w:spacing w:before="120"/>
              <w:rPr>
                <w:strike/>
                <w:szCs w:val="24"/>
              </w:rPr>
            </w:pPr>
            <w:r w:rsidRPr="000839A4">
              <w:rPr>
                <w:strike/>
                <w:szCs w:val="24"/>
              </w:rPr>
              <w:t xml:space="preserve">(2-45)     </w:t>
            </w:r>
          </w:p>
        </w:tc>
        <w:tc>
          <w:tcPr>
            <w:tcW w:w="1559" w:type="dxa"/>
          </w:tcPr>
          <w:p w14:paraId="30F2CB52" w14:textId="77777777" w:rsidR="000839A4" w:rsidRPr="000839A4" w:rsidRDefault="000839A4" w:rsidP="000839A4">
            <w:pPr>
              <w:spacing w:before="120"/>
              <w:rPr>
                <w:strike/>
                <w:szCs w:val="24"/>
              </w:rPr>
            </w:pPr>
            <w:r w:rsidRPr="000839A4">
              <w:rPr>
                <w:strike/>
                <w:szCs w:val="24"/>
              </w:rPr>
              <w:t xml:space="preserve">27.51      </w:t>
            </w:r>
          </w:p>
        </w:tc>
        <w:tc>
          <w:tcPr>
            <w:tcW w:w="6232" w:type="dxa"/>
          </w:tcPr>
          <w:p w14:paraId="6D6ECCF9" w14:textId="77777777" w:rsidR="000839A4" w:rsidRPr="000839A4" w:rsidRDefault="000839A4" w:rsidP="000839A4">
            <w:pPr>
              <w:spacing w:before="120"/>
              <w:rPr>
                <w:strike/>
                <w:szCs w:val="24"/>
              </w:rPr>
            </w:pPr>
            <w:r w:rsidRPr="000839A4">
              <w:rPr>
                <w:strike/>
                <w:szCs w:val="24"/>
              </w:rPr>
              <w:t>Elektrické spotřebiče převážně pro domácnost</w:t>
            </w:r>
          </w:p>
        </w:tc>
      </w:tr>
      <w:tr w:rsidR="000839A4" w:rsidRPr="000839A4" w14:paraId="11A2E4B4" w14:textId="77777777" w:rsidTr="000839A4">
        <w:tc>
          <w:tcPr>
            <w:tcW w:w="1271" w:type="dxa"/>
          </w:tcPr>
          <w:p w14:paraId="5CD6CFF5" w14:textId="77777777" w:rsidR="000839A4" w:rsidRPr="000839A4" w:rsidRDefault="000839A4" w:rsidP="000839A4">
            <w:pPr>
              <w:spacing w:before="120"/>
              <w:rPr>
                <w:strike/>
                <w:szCs w:val="24"/>
              </w:rPr>
            </w:pPr>
            <w:r w:rsidRPr="000839A4">
              <w:rPr>
                <w:strike/>
                <w:szCs w:val="24"/>
              </w:rPr>
              <w:t xml:space="preserve">(2-46)    </w:t>
            </w:r>
          </w:p>
          <w:p w14:paraId="37F4C604" w14:textId="77777777" w:rsidR="000839A4" w:rsidRPr="000839A4" w:rsidRDefault="000839A4" w:rsidP="000839A4">
            <w:pPr>
              <w:spacing w:before="120"/>
              <w:rPr>
                <w:strike/>
                <w:szCs w:val="24"/>
              </w:rPr>
            </w:pPr>
          </w:p>
        </w:tc>
        <w:tc>
          <w:tcPr>
            <w:tcW w:w="1559" w:type="dxa"/>
          </w:tcPr>
          <w:p w14:paraId="445D6364" w14:textId="77777777" w:rsidR="000839A4" w:rsidRPr="000839A4" w:rsidRDefault="000839A4" w:rsidP="000839A4">
            <w:pPr>
              <w:spacing w:before="120"/>
              <w:rPr>
                <w:strike/>
                <w:szCs w:val="24"/>
              </w:rPr>
            </w:pPr>
            <w:r w:rsidRPr="000839A4">
              <w:rPr>
                <w:strike/>
                <w:szCs w:val="24"/>
              </w:rPr>
              <w:t xml:space="preserve">28.25.11   </w:t>
            </w:r>
          </w:p>
        </w:tc>
        <w:tc>
          <w:tcPr>
            <w:tcW w:w="6232" w:type="dxa"/>
          </w:tcPr>
          <w:p w14:paraId="4DBAC84C" w14:textId="77777777" w:rsidR="000839A4" w:rsidRPr="000839A4" w:rsidRDefault="000839A4" w:rsidP="000839A4">
            <w:pPr>
              <w:spacing w:before="120"/>
              <w:rPr>
                <w:strike/>
                <w:szCs w:val="24"/>
              </w:rPr>
            </w:pPr>
            <w:r w:rsidRPr="000839A4">
              <w:rPr>
                <w:strike/>
                <w:szCs w:val="24"/>
              </w:rPr>
              <w:t>Jen: laboratorní přístroje a zařízení pro odpařování a zkapalňování plynů, autoklávy</w:t>
            </w:r>
          </w:p>
        </w:tc>
      </w:tr>
      <w:tr w:rsidR="000839A4" w:rsidRPr="000839A4" w14:paraId="24D63768" w14:textId="77777777" w:rsidTr="000839A4">
        <w:tc>
          <w:tcPr>
            <w:tcW w:w="1271" w:type="dxa"/>
          </w:tcPr>
          <w:p w14:paraId="312C7FBE" w14:textId="77777777" w:rsidR="000839A4" w:rsidRPr="000839A4" w:rsidRDefault="000839A4" w:rsidP="000839A4">
            <w:pPr>
              <w:spacing w:before="120"/>
              <w:rPr>
                <w:strike/>
                <w:szCs w:val="24"/>
              </w:rPr>
            </w:pPr>
            <w:r w:rsidRPr="000839A4">
              <w:rPr>
                <w:strike/>
                <w:szCs w:val="24"/>
              </w:rPr>
              <w:lastRenderedPageBreak/>
              <w:t xml:space="preserve">(2-47)     </w:t>
            </w:r>
          </w:p>
          <w:p w14:paraId="132D7843" w14:textId="77777777" w:rsidR="000839A4" w:rsidRPr="000839A4" w:rsidRDefault="000839A4" w:rsidP="000839A4">
            <w:pPr>
              <w:spacing w:before="120"/>
              <w:rPr>
                <w:strike/>
                <w:szCs w:val="24"/>
              </w:rPr>
            </w:pPr>
          </w:p>
        </w:tc>
        <w:tc>
          <w:tcPr>
            <w:tcW w:w="1559" w:type="dxa"/>
          </w:tcPr>
          <w:p w14:paraId="526B6CD1" w14:textId="77777777" w:rsidR="000839A4" w:rsidRPr="000839A4" w:rsidRDefault="000839A4" w:rsidP="000839A4">
            <w:pPr>
              <w:spacing w:before="120"/>
              <w:rPr>
                <w:strike/>
                <w:szCs w:val="24"/>
              </w:rPr>
            </w:pPr>
            <w:r w:rsidRPr="000839A4">
              <w:rPr>
                <w:strike/>
                <w:szCs w:val="24"/>
              </w:rPr>
              <w:t xml:space="preserve">28.25.13   </w:t>
            </w:r>
          </w:p>
        </w:tc>
        <w:tc>
          <w:tcPr>
            <w:tcW w:w="6232" w:type="dxa"/>
          </w:tcPr>
          <w:p w14:paraId="7E3A7CE4" w14:textId="77777777" w:rsidR="000839A4" w:rsidRPr="000839A4" w:rsidRDefault="000839A4" w:rsidP="000839A4">
            <w:pPr>
              <w:spacing w:before="120"/>
              <w:rPr>
                <w:strike/>
                <w:szCs w:val="24"/>
              </w:rPr>
            </w:pPr>
            <w:r w:rsidRPr="000839A4">
              <w:rPr>
                <w:strike/>
                <w:szCs w:val="24"/>
              </w:rPr>
              <w:t>Chladicí a mrazicí zařízení, tepelná čerpadla (kromě zařízení převážně pro domácnost)</w:t>
            </w:r>
          </w:p>
        </w:tc>
      </w:tr>
      <w:tr w:rsidR="000839A4" w:rsidRPr="000839A4" w14:paraId="218615F2" w14:textId="77777777" w:rsidTr="000839A4">
        <w:tc>
          <w:tcPr>
            <w:tcW w:w="1271" w:type="dxa"/>
          </w:tcPr>
          <w:p w14:paraId="49185EEE" w14:textId="77777777" w:rsidR="000839A4" w:rsidRPr="000839A4" w:rsidRDefault="000839A4" w:rsidP="000839A4">
            <w:pPr>
              <w:spacing w:before="120"/>
              <w:rPr>
                <w:strike/>
                <w:szCs w:val="24"/>
              </w:rPr>
            </w:pPr>
            <w:r w:rsidRPr="000839A4">
              <w:rPr>
                <w:strike/>
                <w:szCs w:val="24"/>
              </w:rPr>
              <w:t xml:space="preserve">(2-48)    </w:t>
            </w:r>
          </w:p>
          <w:p w14:paraId="46FEBB9C" w14:textId="77777777" w:rsidR="000839A4" w:rsidRPr="000839A4" w:rsidRDefault="000839A4" w:rsidP="000839A4">
            <w:pPr>
              <w:spacing w:before="120"/>
              <w:rPr>
                <w:strike/>
                <w:szCs w:val="24"/>
              </w:rPr>
            </w:pPr>
          </w:p>
        </w:tc>
        <w:tc>
          <w:tcPr>
            <w:tcW w:w="1559" w:type="dxa"/>
          </w:tcPr>
          <w:p w14:paraId="35701FC5" w14:textId="77777777" w:rsidR="000839A4" w:rsidRPr="000839A4" w:rsidRDefault="000839A4" w:rsidP="000839A4">
            <w:pPr>
              <w:spacing w:before="120"/>
              <w:rPr>
                <w:strike/>
                <w:szCs w:val="24"/>
              </w:rPr>
            </w:pPr>
            <w:r w:rsidRPr="000839A4">
              <w:rPr>
                <w:strike/>
                <w:szCs w:val="24"/>
              </w:rPr>
              <w:t xml:space="preserve">28.29.11   </w:t>
            </w:r>
          </w:p>
        </w:tc>
        <w:tc>
          <w:tcPr>
            <w:tcW w:w="6232" w:type="dxa"/>
          </w:tcPr>
          <w:p w14:paraId="297FA913" w14:textId="77777777" w:rsidR="000839A4" w:rsidRPr="000839A4" w:rsidRDefault="000839A4" w:rsidP="000839A4">
            <w:pPr>
              <w:spacing w:before="120"/>
              <w:rPr>
                <w:strike/>
                <w:szCs w:val="24"/>
              </w:rPr>
            </w:pPr>
            <w:r w:rsidRPr="000839A4">
              <w:rPr>
                <w:strike/>
                <w:szCs w:val="24"/>
              </w:rPr>
              <w:t xml:space="preserve">Jen: laboratorní, destilační a </w:t>
            </w:r>
            <w:proofErr w:type="gramStart"/>
            <w:r w:rsidRPr="000839A4">
              <w:rPr>
                <w:strike/>
                <w:szCs w:val="24"/>
              </w:rPr>
              <w:t>rektifikační  přístroje</w:t>
            </w:r>
            <w:proofErr w:type="gramEnd"/>
          </w:p>
        </w:tc>
      </w:tr>
      <w:tr w:rsidR="000839A4" w:rsidRPr="000839A4" w14:paraId="777D3238" w14:textId="77777777" w:rsidTr="000839A4">
        <w:tc>
          <w:tcPr>
            <w:tcW w:w="1271" w:type="dxa"/>
          </w:tcPr>
          <w:p w14:paraId="3004A8CD" w14:textId="77777777" w:rsidR="000839A4" w:rsidRPr="000839A4" w:rsidRDefault="000839A4" w:rsidP="000839A4">
            <w:pPr>
              <w:spacing w:before="120"/>
              <w:rPr>
                <w:strike/>
                <w:szCs w:val="24"/>
              </w:rPr>
            </w:pPr>
            <w:r w:rsidRPr="000839A4">
              <w:rPr>
                <w:strike/>
                <w:szCs w:val="24"/>
              </w:rPr>
              <w:t xml:space="preserve">(2-49)     </w:t>
            </w:r>
          </w:p>
          <w:p w14:paraId="3DCC89AE" w14:textId="77777777" w:rsidR="000839A4" w:rsidRPr="000839A4" w:rsidRDefault="000839A4" w:rsidP="000839A4">
            <w:pPr>
              <w:spacing w:before="120"/>
              <w:jc w:val="center"/>
              <w:rPr>
                <w:strike/>
                <w:szCs w:val="24"/>
              </w:rPr>
            </w:pPr>
          </w:p>
        </w:tc>
        <w:tc>
          <w:tcPr>
            <w:tcW w:w="1559" w:type="dxa"/>
          </w:tcPr>
          <w:p w14:paraId="6ACA9D71" w14:textId="77777777" w:rsidR="000839A4" w:rsidRPr="000839A4" w:rsidRDefault="000839A4" w:rsidP="000839A4">
            <w:pPr>
              <w:spacing w:before="120"/>
              <w:rPr>
                <w:strike/>
                <w:szCs w:val="24"/>
              </w:rPr>
            </w:pPr>
            <w:r w:rsidRPr="000839A4">
              <w:rPr>
                <w:strike/>
                <w:szCs w:val="24"/>
              </w:rPr>
              <w:t xml:space="preserve">28.29.12   </w:t>
            </w:r>
          </w:p>
        </w:tc>
        <w:tc>
          <w:tcPr>
            <w:tcW w:w="6232" w:type="dxa"/>
          </w:tcPr>
          <w:p w14:paraId="7A06F1F5" w14:textId="77777777" w:rsidR="000839A4" w:rsidRPr="000839A4" w:rsidRDefault="000839A4" w:rsidP="000839A4">
            <w:pPr>
              <w:spacing w:before="120"/>
              <w:rPr>
                <w:strike/>
                <w:szCs w:val="24"/>
              </w:rPr>
            </w:pPr>
            <w:r w:rsidRPr="000839A4">
              <w:rPr>
                <w:strike/>
                <w:szCs w:val="24"/>
              </w:rPr>
              <w:t>Jen: výrobní a provozní filtrační zařízení a zařízení pro úpravu vod o kapacitě do 2000 ekvivalentních obyvatel</w:t>
            </w:r>
          </w:p>
        </w:tc>
      </w:tr>
      <w:tr w:rsidR="000839A4" w:rsidRPr="000839A4" w14:paraId="757F7418" w14:textId="77777777" w:rsidTr="000839A4">
        <w:tc>
          <w:tcPr>
            <w:tcW w:w="1271" w:type="dxa"/>
          </w:tcPr>
          <w:p w14:paraId="18FC960B" w14:textId="77777777" w:rsidR="000839A4" w:rsidRPr="000839A4" w:rsidRDefault="000839A4" w:rsidP="000839A4">
            <w:pPr>
              <w:tabs>
                <w:tab w:val="left" w:pos="915"/>
              </w:tabs>
              <w:spacing w:before="120"/>
              <w:rPr>
                <w:strike/>
                <w:szCs w:val="24"/>
              </w:rPr>
            </w:pPr>
            <w:r w:rsidRPr="000839A4">
              <w:rPr>
                <w:strike/>
                <w:szCs w:val="24"/>
              </w:rPr>
              <w:t xml:space="preserve">(2-50)   </w:t>
            </w:r>
          </w:p>
          <w:p w14:paraId="2D14D5AD" w14:textId="77777777" w:rsidR="000839A4" w:rsidRPr="000839A4" w:rsidRDefault="000839A4" w:rsidP="000839A4">
            <w:pPr>
              <w:tabs>
                <w:tab w:val="left" w:pos="915"/>
              </w:tabs>
              <w:spacing w:before="120"/>
              <w:rPr>
                <w:strike/>
                <w:szCs w:val="24"/>
              </w:rPr>
            </w:pPr>
          </w:p>
        </w:tc>
        <w:tc>
          <w:tcPr>
            <w:tcW w:w="1559" w:type="dxa"/>
          </w:tcPr>
          <w:p w14:paraId="135611BC" w14:textId="77777777" w:rsidR="000839A4" w:rsidRPr="000839A4" w:rsidRDefault="000839A4" w:rsidP="000839A4">
            <w:pPr>
              <w:spacing w:before="120"/>
              <w:rPr>
                <w:strike/>
                <w:szCs w:val="24"/>
              </w:rPr>
            </w:pPr>
            <w:r w:rsidRPr="000839A4">
              <w:rPr>
                <w:strike/>
                <w:szCs w:val="24"/>
              </w:rPr>
              <w:t xml:space="preserve">28.29.2    </w:t>
            </w:r>
          </w:p>
        </w:tc>
        <w:tc>
          <w:tcPr>
            <w:tcW w:w="6232" w:type="dxa"/>
          </w:tcPr>
          <w:p w14:paraId="67F32280" w14:textId="77777777" w:rsidR="000839A4" w:rsidRPr="000839A4" w:rsidRDefault="000839A4" w:rsidP="000839A4">
            <w:pPr>
              <w:spacing w:before="120"/>
              <w:rPr>
                <w:strike/>
                <w:szCs w:val="24"/>
              </w:rPr>
            </w:pPr>
            <w:r w:rsidRPr="000839A4">
              <w:rPr>
                <w:strike/>
                <w:szCs w:val="24"/>
              </w:rPr>
              <w:t>Jen: stroje a zařízení na čištění, plnění, uzavírání a balení lahví nebo jiných obalů; hasicí přístroje, stříkací pistole, dmychadla na vrhání písku nebo vhánění páry</w:t>
            </w:r>
          </w:p>
        </w:tc>
      </w:tr>
      <w:tr w:rsidR="000839A4" w:rsidRPr="000839A4" w14:paraId="289C2494" w14:textId="77777777" w:rsidTr="000839A4">
        <w:tc>
          <w:tcPr>
            <w:tcW w:w="1271" w:type="dxa"/>
          </w:tcPr>
          <w:p w14:paraId="3595B6A1" w14:textId="77777777" w:rsidR="000839A4" w:rsidRPr="000839A4" w:rsidRDefault="000839A4" w:rsidP="000839A4">
            <w:pPr>
              <w:spacing w:before="120"/>
              <w:rPr>
                <w:strike/>
                <w:szCs w:val="24"/>
              </w:rPr>
            </w:pPr>
            <w:r w:rsidRPr="000839A4">
              <w:rPr>
                <w:strike/>
                <w:szCs w:val="24"/>
              </w:rPr>
              <w:t xml:space="preserve">(2-51)     </w:t>
            </w:r>
          </w:p>
          <w:p w14:paraId="4B8C0658" w14:textId="77777777" w:rsidR="000839A4" w:rsidRPr="000839A4" w:rsidRDefault="000839A4" w:rsidP="000839A4">
            <w:pPr>
              <w:spacing w:before="120"/>
              <w:rPr>
                <w:strike/>
                <w:szCs w:val="24"/>
              </w:rPr>
            </w:pPr>
          </w:p>
        </w:tc>
        <w:tc>
          <w:tcPr>
            <w:tcW w:w="1559" w:type="dxa"/>
          </w:tcPr>
          <w:p w14:paraId="55DC3F3A" w14:textId="77777777" w:rsidR="000839A4" w:rsidRPr="000839A4" w:rsidRDefault="000839A4" w:rsidP="000839A4">
            <w:pPr>
              <w:spacing w:before="120"/>
              <w:rPr>
                <w:strike/>
                <w:szCs w:val="24"/>
              </w:rPr>
            </w:pPr>
            <w:r w:rsidRPr="000839A4">
              <w:rPr>
                <w:strike/>
                <w:szCs w:val="24"/>
              </w:rPr>
              <w:t xml:space="preserve">28.29.3    </w:t>
            </w:r>
          </w:p>
        </w:tc>
        <w:tc>
          <w:tcPr>
            <w:tcW w:w="6232" w:type="dxa"/>
          </w:tcPr>
          <w:p w14:paraId="7D726510" w14:textId="77777777" w:rsidR="000839A4" w:rsidRPr="000839A4" w:rsidRDefault="000839A4" w:rsidP="000839A4">
            <w:pPr>
              <w:spacing w:before="120"/>
              <w:rPr>
                <w:strike/>
                <w:szCs w:val="24"/>
              </w:rPr>
            </w:pPr>
            <w:r w:rsidRPr="000839A4">
              <w:rPr>
                <w:strike/>
                <w:szCs w:val="24"/>
              </w:rPr>
              <w:t>Průmyslové, domácí a ostatní přístroje a zařízení k určování hmotnosti a měření</w:t>
            </w:r>
          </w:p>
        </w:tc>
      </w:tr>
      <w:tr w:rsidR="000839A4" w:rsidRPr="000839A4" w14:paraId="073DFAC1" w14:textId="77777777" w:rsidTr="000839A4">
        <w:tc>
          <w:tcPr>
            <w:tcW w:w="1271" w:type="dxa"/>
          </w:tcPr>
          <w:p w14:paraId="09340EB8" w14:textId="77777777" w:rsidR="000839A4" w:rsidRPr="000839A4" w:rsidRDefault="000839A4" w:rsidP="000839A4">
            <w:pPr>
              <w:spacing w:before="120"/>
              <w:rPr>
                <w:strike/>
                <w:szCs w:val="24"/>
              </w:rPr>
            </w:pPr>
            <w:r w:rsidRPr="000839A4">
              <w:rPr>
                <w:strike/>
                <w:szCs w:val="24"/>
              </w:rPr>
              <w:t xml:space="preserve">(2-52)     </w:t>
            </w:r>
          </w:p>
        </w:tc>
        <w:tc>
          <w:tcPr>
            <w:tcW w:w="1559" w:type="dxa"/>
          </w:tcPr>
          <w:p w14:paraId="2D25713A" w14:textId="77777777" w:rsidR="000839A4" w:rsidRPr="000839A4" w:rsidRDefault="000839A4" w:rsidP="000839A4">
            <w:pPr>
              <w:spacing w:before="120"/>
              <w:rPr>
                <w:strike/>
                <w:szCs w:val="24"/>
              </w:rPr>
            </w:pPr>
            <w:r w:rsidRPr="000839A4">
              <w:rPr>
                <w:strike/>
                <w:szCs w:val="24"/>
              </w:rPr>
              <w:t xml:space="preserve">28.29.41   </w:t>
            </w:r>
          </w:p>
        </w:tc>
        <w:tc>
          <w:tcPr>
            <w:tcW w:w="6232" w:type="dxa"/>
          </w:tcPr>
          <w:p w14:paraId="10758362" w14:textId="77777777" w:rsidR="000839A4" w:rsidRPr="000839A4" w:rsidRDefault="000839A4" w:rsidP="000839A4">
            <w:pPr>
              <w:spacing w:before="120"/>
              <w:rPr>
                <w:strike/>
                <w:szCs w:val="24"/>
              </w:rPr>
            </w:pPr>
            <w:r w:rsidRPr="000839A4">
              <w:rPr>
                <w:strike/>
                <w:szCs w:val="24"/>
              </w:rPr>
              <w:t>Odstředivky j. n.</w:t>
            </w:r>
          </w:p>
        </w:tc>
      </w:tr>
      <w:tr w:rsidR="000839A4" w:rsidRPr="000839A4" w14:paraId="0B205777" w14:textId="77777777" w:rsidTr="000839A4">
        <w:tc>
          <w:tcPr>
            <w:tcW w:w="1271" w:type="dxa"/>
          </w:tcPr>
          <w:p w14:paraId="6FC981C5" w14:textId="77777777" w:rsidR="000839A4" w:rsidRPr="000839A4" w:rsidRDefault="000839A4" w:rsidP="000839A4">
            <w:pPr>
              <w:spacing w:before="120"/>
              <w:rPr>
                <w:strike/>
                <w:szCs w:val="24"/>
              </w:rPr>
            </w:pPr>
            <w:r w:rsidRPr="000839A4">
              <w:rPr>
                <w:strike/>
                <w:szCs w:val="24"/>
              </w:rPr>
              <w:t xml:space="preserve">(2-53)     </w:t>
            </w:r>
          </w:p>
          <w:p w14:paraId="20846398" w14:textId="77777777" w:rsidR="000839A4" w:rsidRPr="000839A4" w:rsidRDefault="000839A4" w:rsidP="000839A4">
            <w:pPr>
              <w:spacing w:before="120"/>
              <w:rPr>
                <w:strike/>
                <w:szCs w:val="24"/>
              </w:rPr>
            </w:pPr>
          </w:p>
        </w:tc>
        <w:tc>
          <w:tcPr>
            <w:tcW w:w="1559" w:type="dxa"/>
          </w:tcPr>
          <w:p w14:paraId="11ED8FF8" w14:textId="77777777" w:rsidR="000839A4" w:rsidRPr="000839A4" w:rsidRDefault="000839A4" w:rsidP="000839A4">
            <w:pPr>
              <w:spacing w:before="120"/>
              <w:rPr>
                <w:strike/>
                <w:szCs w:val="24"/>
              </w:rPr>
            </w:pPr>
            <w:r w:rsidRPr="000839A4">
              <w:rPr>
                <w:strike/>
                <w:szCs w:val="24"/>
              </w:rPr>
              <w:t xml:space="preserve">28.29.42   </w:t>
            </w:r>
          </w:p>
        </w:tc>
        <w:tc>
          <w:tcPr>
            <w:tcW w:w="6232" w:type="dxa"/>
          </w:tcPr>
          <w:p w14:paraId="61B8D716" w14:textId="77777777" w:rsidR="000839A4" w:rsidRPr="000839A4" w:rsidRDefault="000839A4" w:rsidP="000839A4">
            <w:pPr>
              <w:spacing w:before="120"/>
              <w:rPr>
                <w:strike/>
                <w:szCs w:val="24"/>
              </w:rPr>
            </w:pPr>
            <w:r w:rsidRPr="000839A4">
              <w:rPr>
                <w:strike/>
                <w:szCs w:val="24"/>
              </w:rPr>
              <w:t>Kalandry nebo jiné válcovací stroje (kromě strojů na válcování kovů nebo skla)</w:t>
            </w:r>
          </w:p>
        </w:tc>
      </w:tr>
      <w:tr w:rsidR="000839A4" w:rsidRPr="000839A4" w14:paraId="7E9FE0E6" w14:textId="77777777" w:rsidTr="000839A4">
        <w:tc>
          <w:tcPr>
            <w:tcW w:w="1271" w:type="dxa"/>
          </w:tcPr>
          <w:p w14:paraId="72C815FE" w14:textId="77777777" w:rsidR="000839A4" w:rsidRPr="000839A4" w:rsidRDefault="000839A4" w:rsidP="000839A4">
            <w:pPr>
              <w:spacing w:before="120"/>
              <w:rPr>
                <w:strike/>
                <w:szCs w:val="24"/>
              </w:rPr>
            </w:pPr>
            <w:r w:rsidRPr="000839A4">
              <w:rPr>
                <w:strike/>
                <w:szCs w:val="24"/>
              </w:rPr>
              <w:t xml:space="preserve">(2-54)  </w:t>
            </w:r>
          </w:p>
        </w:tc>
        <w:tc>
          <w:tcPr>
            <w:tcW w:w="1559" w:type="dxa"/>
          </w:tcPr>
          <w:p w14:paraId="0100A019" w14:textId="77777777" w:rsidR="000839A4" w:rsidRPr="000839A4" w:rsidRDefault="000839A4" w:rsidP="000839A4">
            <w:pPr>
              <w:spacing w:before="120"/>
              <w:rPr>
                <w:strike/>
                <w:szCs w:val="24"/>
              </w:rPr>
            </w:pPr>
            <w:r w:rsidRPr="000839A4">
              <w:rPr>
                <w:strike/>
                <w:szCs w:val="24"/>
              </w:rPr>
              <w:t xml:space="preserve">28.29.43   </w:t>
            </w:r>
          </w:p>
        </w:tc>
        <w:tc>
          <w:tcPr>
            <w:tcW w:w="6232" w:type="dxa"/>
          </w:tcPr>
          <w:p w14:paraId="100A8513" w14:textId="77777777" w:rsidR="000839A4" w:rsidRPr="000839A4" w:rsidRDefault="000839A4" w:rsidP="000839A4">
            <w:pPr>
              <w:spacing w:before="120"/>
              <w:rPr>
                <w:strike/>
                <w:szCs w:val="24"/>
              </w:rPr>
            </w:pPr>
            <w:r w:rsidRPr="000839A4">
              <w:rPr>
                <w:strike/>
                <w:szCs w:val="24"/>
              </w:rPr>
              <w:t>Prodejní automaty</w:t>
            </w:r>
          </w:p>
        </w:tc>
      </w:tr>
      <w:tr w:rsidR="000839A4" w:rsidRPr="000839A4" w14:paraId="5EBD5231" w14:textId="77777777" w:rsidTr="000839A4">
        <w:tc>
          <w:tcPr>
            <w:tcW w:w="1271" w:type="dxa"/>
          </w:tcPr>
          <w:p w14:paraId="5683C955" w14:textId="77777777" w:rsidR="000839A4" w:rsidRPr="000839A4" w:rsidRDefault="000839A4" w:rsidP="000839A4">
            <w:pPr>
              <w:spacing w:before="120"/>
              <w:rPr>
                <w:strike/>
                <w:szCs w:val="24"/>
              </w:rPr>
            </w:pPr>
            <w:r w:rsidRPr="000839A4">
              <w:rPr>
                <w:strike/>
                <w:szCs w:val="24"/>
              </w:rPr>
              <w:t xml:space="preserve">(2-55)  </w:t>
            </w:r>
          </w:p>
        </w:tc>
        <w:tc>
          <w:tcPr>
            <w:tcW w:w="1559" w:type="dxa"/>
          </w:tcPr>
          <w:p w14:paraId="18CFA829" w14:textId="77777777" w:rsidR="000839A4" w:rsidRPr="000839A4" w:rsidRDefault="000839A4" w:rsidP="000839A4">
            <w:pPr>
              <w:spacing w:before="120"/>
              <w:rPr>
                <w:strike/>
                <w:szCs w:val="24"/>
              </w:rPr>
            </w:pPr>
            <w:r w:rsidRPr="000839A4">
              <w:rPr>
                <w:strike/>
                <w:szCs w:val="24"/>
              </w:rPr>
              <w:t xml:space="preserve">28.29.50   </w:t>
            </w:r>
          </w:p>
        </w:tc>
        <w:tc>
          <w:tcPr>
            <w:tcW w:w="6232" w:type="dxa"/>
          </w:tcPr>
          <w:p w14:paraId="7172DE0B" w14:textId="77777777" w:rsidR="000839A4" w:rsidRPr="000839A4" w:rsidRDefault="000839A4" w:rsidP="000839A4">
            <w:pPr>
              <w:spacing w:before="120"/>
              <w:rPr>
                <w:strike/>
                <w:szCs w:val="24"/>
              </w:rPr>
            </w:pPr>
            <w:r w:rsidRPr="000839A4">
              <w:rPr>
                <w:strike/>
                <w:szCs w:val="24"/>
              </w:rPr>
              <w:t>Myčky nádobí průmyslového charakteru</w:t>
            </w:r>
          </w:p>
        </w:tc>
      </w:tr>
      <w:tr w:rsidR="000839A4" w:rsidRPr="000839A4" w14:paraId="7AD0B41A" w14:textId="77777777" w:rsidTr="000839A4">
        <w:tc>
          <w:tcPr>
            <w:tcW w:w="1271" w:type="dxa"/>
          </w:tcPr>
          <w:p w14:paraId="200707EE" w14:textId="77777777" w:rsidR="000839A4" w:rsidRPr="000839A4" w:rsidRDefault="000839A4" w:rsidP="000839A4">
            <w:pPr>
              <w:spacing w:before="120"/>
              <w:rPr>
                <w:strike/>
                <w:szCs w:val="24"/>
              </w:rPr>
            </w:pPr>
            <w:r w:rsidRPr="000839A4">
              <w:rPr>
                <w:strike/>
                <w:szCs w:val="24"/>
              </w:rPr>
              <w:t xml:space="preserve">(2-56)    </w:t>
            </w:r>
          </w:p>
          <w:p w14:paraId="48C7FF0A" w14:textId="77777777" w:rsidR="000839A4" w:rsidRPr="000839A4" w:rsidRDefault="000839A4" w:rsidP="000839A4">
            <w:pPr>
              <w:spacing w:before="120"/>
              <w:rPr>
                <w:strike/>
                <w:szCs w:val="24"/>
              </w:rPr>
            </w:pPr>
          </w:p>
        </w:tc>
        <w:tc>
          <w:tcPr>
            <w:tcW w:w="1559" w:type="dxa"/>
          </w:tcPr>
          <w:p w14:paraId="3B900AB5" w14:textId="77777777" w:rsidR="000839A4" w:rsidRPr="000839A4" w:rsidRDefault="000839A4" w:rsidP="000839A4">
            <w:pPr>
              <w:spacing w:before="120"/>
              <w:rPr>
                <w:strike/>
                <w:szCs w:val="24"/>
              </w:rPr>
            </w:pPr>
            <w:r w:rsidRPr="000839A4">
              <w:rPr>
                <w:strike/>
                <w:szCs w:val="24"/>
              </w:rPr>
              <w:t xml:space="preserve">28.29.60   </w:t>
            </w:r>
          </w:p>
        </w:tc>
        <w:tc>
          <w:tcPr>
            <w:tcW w:w="6232" w:type="dxa"/>
          </w:tcPr>
          <w:p w14:paraId="1FF7A70F" w14:textId="77777777" w:rsidR="000839A4" w:rsidRPr="000839A4" w:rsidRDefault="000839A4" w:rsidP="000839A4">
            <w:pPr>
              <w:spacing w:before="120"/>
              <w:rPr>
                <w:strike/>
                <w:szCs w:val="24"/>
              </w:rPr>
            </w:pPr>
            <w:r w:rsidRPr="000839A4">
              <w:rPr>
                <w:strike/>
                <w:szCs w:val="24"/>
              </w:rPr>
              <w:t>Stroje a zařízení na zpracovávání materiálu výrobními postupy spočívajícími ve změně teploty j. n.</w:t>
            </w:r>
          </w:p>
        </w:tc>
      </w:tr>
      <w:tr w:rsidR="000839A4" w:rsidRPr="000839A4" w14:paraId="05643221" w14:textId="77777777" w:rsidTr="000839A4">
        <w:tc>
          <w:tcPr>
            <w:tcW w:w="1271" w:type="dxa"/>
          </w:tcPr>
          <w:p w14:paraId="339A387D" w14:textId="77777777" w:rsidR="000839A4" w:rsidRPr="000839A4" w:rsidRDefault="000839A4" w:rsidP="000839A4">
            <w:pPr>
              <w:spacing w:before="120"/>
              <w:rPr>
                <w:strike/>
                <w:szCs w:val="24"/>
              </w:rPr>
            </w:pPr>
            <w:r w:rsidRPr="000839A4">
              <w:rPr>
                <w:strike/>
                <w:szCs w:val="24"/>
              </w:rPr>
              <w:t xml:space="preserve">(2-57)    </w:t>
            </w:r>
          </w:p>
          <w:p w14:paraId="3E75F4BE" w14:textId="77777777" w:rsidR="000839A4" w:rsidRPr="000839A4" w:rsidRDefault="000839A4" w:rsidP="000839A4">
            <w:pPr>
              <w:spacing w:before="120"/>
              <w:rPr>
                <w:strike/>
                <w:szCs w:val="24"/>
              </w:rPr>
            </w:pPr>
          </w:p>
        </w:tc>
        <w:tc>
          <w:tcPr>
            <w:tcW w:w="1559" w:type="dxa"/>
          </w:tcPr>
          <w:p w14:paraId="4E3AF4FD" w14:textId="77777777" w:rsidR="000839A4" w:rsidRPr="000839A4" w:rsidRDefault="000839A4" w:rsidP="000839A4">
            <w:pPr>
              <w:spacing w:before="120"/>
              <w:rPr>
                <w:strike/>
                <w:szCs w:val="24"/>
              </w:rPr>
            </w:pPr>
            <w:r w:rsidRPr="000839A4">
              <w:rPr>
                <w:strike/>
                <w:szCs w:val="24"/>
              </w:rPr>
              <w:t>28.30</w:t>
            </w:r>
          </w:p>
        </w:tc>
        <w:tc>
          <w:tcPr>
            <w:tcW w:w="6232" w:type="dxa"/>
          </w:tcPr>
          <w:p w14:paraId="46D57131" w14:textId="77777777" w:rsidR="000839A4" w:rsidRPr="000839A4" w:rsidRDefault="000839A4" w:rsidP="000839A4">
            <w:pPr>
              <w:spacing w:before="120"/>
              <w:rPr>
                <w:strike/>
                <w:szCs w:val="24"/>
              </w:rPr>
            </w:pPr>
            <w:r w:rsidRPr="000839A4">
              <w:rPr>
                <w:strike/>
                <w:szCs w:val="24"/>
              </w:rPr>
              <w:t>Zemědělské a lesnické stroje pokud nejsou uvedeny v jiné položce této přílohy</w:t>
            </w:r>
          </w:p>
        </w:tc>
      </w:tr>
      <w:tr w:rsidR="000839A4" w:rsidRPr="000839A4" w14:paraId="0FF8AFB6" w14:textId="77777777" w:rsidTr="000839A4">
        <w:tc>
          <w:tcPr>
            <w:tcW w:w="1271" w:type="dxa"/>
          </w:tcPr>
          <w:p w14:paraId="6FE3E0D8" w14:textId="77777777" w:rsidR="000839A4" w:rsidRPr="000839A4" w:rsidRDefault="000839A4" w:rsidP="000839A4">
            <w:pPr>
              <w:spacing w:before="120"/>
              <w:rPr>
                <w:strike/>
                <w:szCs w:val="24"/>
              </w:rPr>
            </w:pPr>
            <w:r w:rsidRPr="000839A4">
              <w:rPr>
                <w:strike/>
                <w:szCs w:val="24"/>
              </w:rPr>
              <w:t xml:space="preserve">(2-58)   </w:t>
            </w:r>
          </w:p>
        </w:tc>
        <w:tc>
          <w:tcPr>
            <w:tcW w:w="1559" w:type="dxa"/>
          </w:tcPr>
          <w:p w14:paraId="1435BBE7" w14:textId="77777777" w:rsidR="000839A4" w:rsidRPr="000839A4" w:rsidRDefault="000839A4" w:rsidP="000839A4">
            <w:pPr>
              <w:spacing w:before="120"/>
              <w:rPr>
                <w:strike/>
                <w:szCs w:val="24"/>
              </w:rPr>
            </w:pPr>
            <w:r w:rsidRPr="000839A4">
              <w:rPr>
                <w:strike/>
                <w:szCs w:val="24"/>
              </w:rPr>
              <w:t xml:space="preserve">28.4.      </w:t>
            </w:r>
          </w:p>
        </w:tc>
        <w:tc>
          <w:tcPr>
            <w:tcW w:w="6232" w:type="dxa"/>
          </w:tcPr>
          <w:p w14:paraId="6C764317" w14:textId="77777777" w:rsidR="000839A4" w:rsidRPr="000839A4" w:rsidRDefault="000839A4" w:rsidP="000839A4">
            <w:pPr>
              <w:spacing w:before="120"/>
              <w:rPr>
                <w:strike/>
                <w:szCs w:val="24"/>
              </w:rPr>
            </w:pPr>
            <w:r w:rsidRPr="000839A4">
              <w:rPr>
                <w:strike/>
                <w:szCs w:val="24"/>
              </w:rPr>
              <w:t>Kovoobráběcí a ostatní obráběcí stroje</w:t>
            </w:r>
          </w:p>
        </w:tc>
      </w:tr>
      <w:tr w:rsidR="000839A4" w:rsidRPr="000839A4" w14:paraId="24571669" w14:textId="77777777" w:rsidTr="000839A4">
        <w:tc>
          <w:tcPr>
            <w:tcW w:w="1271" w:type="dxa"/>
          </w:tcPr>
          <w:p w14:paraId="52799163" w14:textId="77777777" w:rsidR="000839A4" w:rsidRPr="000839A4" w:rsidRDefault="000839A4" w:rsidP="000839A4">
            <w:pPr>
              <w:spacing w:before="120"/>
              <w:rPr>
                <w:strike/>
                <w:szCs w:val="24"/>
              </w:rPr>
            </w:pPr>
            <w:r w:rsidRPr="000839A4">
              <w:rPr>
                <w:strike/>
                <w:szCs w:val="24"/>
              </w:rPr>
              <w:t xml:space="preserve">(2-59)     </w:t>
            </w:r>
          </w:p>
          <w:p w14:paraId="1CCB6C9E" w14:textId="77777777" w:rsidR="000839A4" w:rsidRPr="000839A4" w:rsidRDefault="000839A4" w:rsidP="000839A4">
            <w:pPr>
              <w:spacing w:before="120"/>
              <w:rPr>
                <w:strike/>
                <w:szCs w:val="24"/>
              </w:rPr>
            </w:pPr>
          </w:p>
        </w:tc>
        <w:tc>
          <w:tcPr>
            <w:tcW w:w="1559" w:type="dxa"/>
          </w:tcPr>
          <w:p w14:paraId="4312A138" w14:textId="77777777" w:rsidR="000839A4" w:rsidRPr="000839A4" w:rsidRDefault="000839A4" w:rsidP="000839A4">
            <w:pPr>
              <w:spacing w:before="120"/>
              <w:rPr>
                <w:strike/>
                <w:szCs w:val="24"/>
              </w:rPr>
            </w:pPr>
            <w:r w:rsidRPr="000839A4">
              <w:rPr>
                <w:strike/>
                <w:szCs w:val="24"/>
              </w:rPr>
              <w:t xml:space="preserve">28.9       </w:t>
            </w:r>
          </w:p>
        </w:tc>
        <w:tc>
          <w:tcPr>
            <w:tcW w:w="6232" w:type="dxa"/>
          </w:tcPr>
          <w:p w14:paraId="3CBFC78C" w14:textId="77777777" w:rsidR="000839A4" w:rsidRPr="000839A4" w:rsidRDefault="000839A4" w:rsidP="000839A4">
            <w:pPr>
              <w:spacing w:before="120"/>
              <w:rPr>
                <w:strike/>
                <w:szCs w:val="24"/>
              </w:rPr>
            </w:pPr>
            <w:r w:rsidRPr="000839A4">
              <w:rPr>
                <w:strike/>
                <w:szCs w:val="24"/>
              </w:rPr>
              <w:t>Ostatní stroje pro speciální účely pokud nejsou uvedeny v jiné položce této přílohy</w:t>
            </w:r>
          </w:p>
        </w:tc>
      </w:tr>
      <w:tr w:rsidR="000839A4" w:rsidRPr="000839A4" w14:paraId="6A6D5952" w14:textId="77777777" w:rsidTr="000839A4">
        <w:tc>
          <w:tcPr>
            <w:tcW w:w="1271" w:type="dxa"/>
          </w:tcPr>
          <w:p w14:paraId="3C0377BC" w14:textId="77777777" w:rsidR="000839A4" w:rsidRPr="000839A4" w:rsidRDefault="000839A4" w:rsidP="000839A4">
            <w:pPr>
              <w:spacing w:before="120"/>
              <w:rPr>
                <w:strike/>
                <w:szCs w:val="24"/>
              </w:rPr>
            </w:pPr>
            <w:r w:rsidRPr="000839A4">
              <w:rPr>
                <w:strike/>
                <w:szCs w:val="24"/>
              </w:rPr>
              <w:t xml:space="preserve">(2-60)    </w:t>
            </w:r>
          </w:p>
          <w:p w14:paraId="6C154CF9" w14:textId="77777777" w:rsidR="000839A4" w:rsidRPr="000839A4" w:rsidRDefault="000839A4" w:rsidP="000839A4">
            <w:pPr>
              <w:spacing w:before="120"/>
              <w:rPr>
                <w:strike/>
                <w:szCs w:val="24"/>
              </w:rPr>
            </w:pPr>
          </w:p>
        </w:tc>
        <w:tc>
          <w:tcPr>
            <w:tcW w:w="1559" w:type="dxa"/>
          </w:tcPr>
          <w:p w14:paraId="0836D8F5" w14:textId="77777777" w:rsidR="000839A4" w:rsidRPr="000839A4" w:rsidRDefault="000839A4" w:rsidP="000839A4">
            <w:pPr>
              <w:spacing w:before="120"/>
              <w:rPr>
                <w:strike/>
                <w:szCs w:val="24"/>
              </w:rPr>
            </w:pPr>
            <w:r w:rsidRPr="000839A4">
              <w:rPr>
                <w:strike/>
                <w:szCs w:val="24"/>
              </w:rPr>
              <w:t xml:space="preserve">28.96.10   </w:t>
            </w:r>
          </w:p>
        </w:tc>
        <w:tc>
          <w:tcPr>
            <w:tcW w:w="6232" w:type="dxa"/>
          </w:tcPr>
          <w:p w14:paraId="3B2DE314" w14:textId="77777777" w:rsidR="000839A4" w:rsidRPr="000839A4" w:rsidRDefault="000839A4" w:rsidP="000839A4">
            <w:pPr>
              <w:spacing w:before="120"/>
              <w:rPr>
                <w:strike/>
                <w:szCs w:val="24"/>
              </w:rPr>
            </w:pPr>
            <w:r w:rsidRPr="000839A4">
              <w:rPr>
                <w:strike/>
                <w:szCs w:val="24"/>
              </w:rPr>
              <w:t>Stroje na zpracování pryže, plastů nebo na zhotovování výrobků z těchto materiálů j. n.</w:t>
            </w:r>
          </w:p>
        </w:tc>
      </w:tr>
      <w:tr w:rsidR="000839A4" w:rsidRPr="000839A4" w14:paraId="43EA3FF5" w14:textId="77777777" w:rsidTr="000839A4">
        <w:tc>
          <w:tcPr>
            <w:tcW w:w="1271" w:type="dxa"/>
          </w:tcPr>
          <w:p w14:paraId="00087D94" w14:textId="77777777" w:rsidR="000839A4" w:rsidRPr="000839A4" w:rsidRDefault="000839A4" w:rsidP="000839A4">
            <w:pPr>
              <w:spacing w:before="120"/>
              <w:rPr>
                <w:strike/>
                <w:szCs w:val="24"/>
              </w:rPr>
            </w:pPr>
            <w:r w:rsidRPr="000839A4">
              <w:rPr>
                <w:strike/>
                <w:szCs w:val="24"/>
              </w:rPr>
              <w:t xml:space="preserve">(2-61)    </w:t>
            </w:r>
          </w:p>
          <w:p w14:paraId="60C6419F" w14:textId="77777777" w:rsidR="000839A4" w:rsidRPr="000839A4" w:rsidRDefault="000839A4" w:rsidP="000839A4">
            <w:pPr>
              <w:spacing w:before="120"/>
              <w:rPr>
                <w:strike/>
                <w:szCs w:val="24"/>
              </w:rPr>
            </w:pPr>
          </w:p>
        </w:tc>
        <w:tc>
          <w:tcPr>
            <w:tcW w:w="1559" w:type="dxa"/>
          </w:tcPr>
          <w:p w14:paraId="30D06D12" w14:textId="77777777" w:rsidR="000839A4" w:rsidRPr="000839A4" w:rsidRDefault="000839A4" w:rsidP="000839A4">
            <w:pPr>
              <w:spacing w:before="120"/>
              <w:rPr>
                <w:strike/>
                <w:szCs w:val="24"/>
              </w:rPr>
            </w:pPr>
            <w:r w:rsidRPr="000839A4">
              <w:rPr>
                <w:strike/>
                <w:szCs w:val="24"/>
              </w:rPr>
              <w:t xml:space="preserve">28.99.1    </w:t>
            </w:r>
          </w:p>
        </w:tc>
        <w:tc>
          <w:tcPr>
            <w:tcW w:w="6232" w:type="dxa"/>
          </w:tcPr>
          <w:p w14:paraId="46F519C4" w14:textId="77777777" w:rsidR="000839A4" w:rsidRPr="000839A4" w:rsidRDefault="000839A4" w:rsidP="000839A4">
            <w:pPr>
              <w:spacing w:before="120"/>
              <w:rPr>
                <w:strike/>
                <w:szCs w:val="24"/>
              </w:rPr>
            </w:pPr>
            <w:r w:rsidRPr="000839A4">
              <w:rPr>
                <w:strike/>
                <w:szCs w:val="24"/>
              </w:rPr>
              <w:t xml:space="preserve">Stroje a přístroje na tisk, brožování a vázání knih     </w:t>
            </w:r>
          </w:p>
        </w:tc>
      </w:tr>
      <w:tr w:rsidR="000839A4" w:rsidRPr="000839A4" w14:paraId="79F726C6" w14:textId="77777777" w:rsidTr="000839A4">
        <w:tc>
          <w:tcPr>
            <w:tcW w:w="1271" w:type="dxa"/>
          </w:tcPr>
          <w:p w14:paraId="0CA465FC" w14:textId="77777777" w:rsidR="000839A4" w:rsidRPr="000839A4" w:rsidRDefault="000839A4" w:rsidP="000839A4">
            <w:pPr>
              <w:spacing w:before="120"/>
              <w:rPr>
                <w:strike/>
                <w:szCs w:val="24"/>
              </w:rPr>
            </w:pPr>
            <w:r w:rsidRPr="000839A4">
              <w:rPr>
                <w:strike/>
                <w:szCs w:val="24"/>
              </w:rPr>
              <w:t xml:space="preserve">(2-62)    </w:t>
            </w:r>
          </w:p>
          <w:p w14:paraId="19E92F12" w14:textId="77777777" w:rsidR="000839A4" w:rsidRPr="000839A4" w:rsidRDefault="000839A4" w:rsidP="000839A4">
            <w:pPr>
              <w:spacing w:before="120"/>
              <w:rPr>
                <w:strike/>
                <w:szCs w:val="24"/>
              </w:rPr>
            </w:pPr>
          </w:p>
        </w:tc>
        <w:tc>
          <w:tcPr>
            <w:tcW w:w="1559" w:type="dxa"/>
          </w:tcPr>
          <w:p w14:paraId="21BF73B2" w14:textId="77777777" w:rsidR="000839A4" w:rsidRPr="000839A4" w:rsidRDefault="000839A4" w:rsidP="000839A4">
            <w:pPr>
              <w:spacing w:before="120"/>
              <w:rPr>
                <w:strike/>
                <w:szCs w:val="24"/>
              </w:rPr>
            </w:pPr>
            <w:r w:rsidRPr="000839A4">
              <w:rPr>
                <w:strike/>
                <w:szCs w:val="24"/>
              </w:rPr>
              <w:t xml:space="preserve">28.99.20   </w:t>
            </w:r>
          </w:p>
        </w:tc>
        <w:tc>
          <w:tcPr>
            <w:tcW w:w="6232" w:type="dxa"/>
          </w:tcPr>
          <w:p w14:paraId="48C6494F" w14:textId="76C81B9C" w:rsidR="000839A4" w:rsidRPr="000839A4" w:rsidRDefault="000839A4" w:rsidP="000839A4">
            <w:pPr>
              <w:spacing w:before="120"/>
              <w:rPr>
                <w:strike/>
                <w:szCs w:val="24"/>
              </w:rPr>
            </w:pPr>
            <w:r w:rsidRPr="000839A4">
              <w:rPr>
                <w:strike/>
                <w:szCs w:val="24"/>
              </w:rPr>
              <w:t>Stroje a přístroje používané výhradně či převážně na výrobu polovodičových materiálů nebo destiček, polovodičových zaříz</w:t>
            </w:r>
            <w:r w:rsidR="002561EA">
              <w:rPr>
                <w:strike/>
                <w:szCs w:val="24"/>
              </w:rPr>
              <w:t>ení, elektronických nebo</w:t>
            </w:r>
            <w:r w:rsidRPr="000839A4">
              <w:rPr>
                <w:strike/>
                <w:szCs w:val="24"/>
              </w:rPr>
              <w:t xml:space="preserve"> integrovaných obvodů plochých panelových displejů </w:t>
            </w:r>
          </w:p>
        </w:tc>
      </w:tr>
      <w:tr w:rsidR="000839A4" w:rsidRPr="000839A4" w14:paraId="0CF0B166" w14:textId="77777777" w:rsidTr="000839A4">
        <w:tc>
          <w:tcPr>
            <w:tcW w:w="1271" w:type="dxa"/>
          </w:tcPr>
          <w:p w14:paraId="19977A49" w14:textId="77777777" w:rsidR="000839A4" w:rsidRPr="000839A4" w:rsidRDefault="000839A4" w:rsidP="000839A4">
            <w:pPr>
              <w:spacing w:before="120"/>
              <w:rPr>
                <w:strike/>
                <w:szCs w:val="24"/>
              </w:rPr>
            </w:pPr>
            <w:r w:rsidRPr="000839A4">
              <w:rPr>
                <w:strike/>
                <w:szCs w:val="24"/>
              </w:rPr>
              <w:t xml:space="preserve">(2-63)     </w:t>
            </w:r>
          </w:p>
          <w:p w14:paraId="633AFBD6" w14:textId="77777777" w:rsidR="000839A4" w:rsidRPr="000839A4" w:rsidRDefault="000839A4" w:rsidP="000839A4">
            <w:pPr>
              <w:spacing w:before="120"/>
              <w:rPr>
                <w:strike/>
                <w:szCs w:val="24"/>
              </w:rPr>
            </w:pPr>
          </w:p>
        </w:tc>
        <w:tc>
          <w:tcPr>
            <w:tcW w:w="1559" w:type="dxa"/>
          </w:tcPr>
          <w:p w14:paraId="68DC3F38" w14:textId="77777777" w:rsidR="000839A4" w:rsidRPr="000839A4" w:rsidRDefault="000839A4" w:rsidP="000839A4">
            <w:pPr>
              <w:spacing w:before="120"/>
              <w:rPr>
                <w:strike/>
                <w:szCs w:val="24"/>
              </w:rPr>
            </w:pPr>
            <w:r w:rsidRPr="000839A4">
              <w:rPr>
                <w:strike/>
                <w:szCs w:val="24"/>
              </w:rPr>
              <w:t xml:space="preserve">28.99.31   </w:t>
            </w:r>
          </w:p>
        </w:tc>
        <w:tc>
          <w:tcPr>
            <w:tcW w:w="6232" w:type="dxa"/>
          </w:tcPr>
          <w:p w14:paraId="6472388F" w14:textId="77777777" w:rsidR="000839A4" w:rsidRPr="000839A4" w:rsidRDefault="000839A4" w:rsidP="000839A4">
            <w:pPr>
              <w:spacing w:before="120"/>
              <w:rPr>
                <w:strike/>
                <w:szCs w:val="24"/>
              </w:rPr>
            </w:pPr>
            <w:r w:rsidRPr="000839A4">
              <w:rPr>
                <w:strike/>
                <w:szCs w:val="24"/>
              </w:rPr>
              <w:t>Sušicí stroje na sušení dřeva, buničiny, papíru a lepenky; průmyslové sušicí stroje j. n.</w:t>
            </w:r>
          </w:p>
        </w:tc>
      </w:tr>
      <w:tr w:rsidR="000839A4" w:rsidRPr="000839A4" w14:paraId="68A3A606" w14:textId="77777777" w:rsidTr="000839A4">
        <w:tc>
          <w:tcPr>
            <w:tcW w:w="1271" w:type="dxa"/>
          </w:tcPr>
          <w:p w14:paraId="08D25BAB" w14:textId="77777777" w:rsidR="000839A4" w:rsidRPr="000839A4" w:rsidRDefault="000839A4" w:rsidP="000839A4">
            <w:pPr>
              <w:spacing w:before="120"/>
              <w:rPr>
                <w:strike/>
                <w:szCs w:val="24"/>
              </w:rPr>
            </w:pPr>
            <w:r w:rsidRPr="000839A4">
              <w:rPr>
                <w:strike/>
                <w:szCs w:val="24"/>
              </w:rPr>
              <w:t xml:space="preserve">(2-64)    </w:t>
            </w:r>
          </w:p>
          <w:p w14:paraId="091358C9" w14:textId="77777777" w:rsidR="000839A4" w:rsidRPr="000839A4" w:rsidRDefault="000839A4" w:rsidP="000839A4">
            <w:pPr>
              <w:spacing w:before="120"/>
              <w:rPr>
                <w:strike/>
                <w:szCs w:val="24"/>
              </w:rPr>
            </w:pPr>
          </w:p>
        </w:tc>
        <w:tc>
          <w:tcPr>
            <w:tcW w:w="1559" w:type="dxa"/>
          </w:tcPr>
          <w:p w14:paraId="4641CA32" w14:textId="77777777" w:rsidR="000839A4" w:rsidRPr="000839A4" w:rsidRDefault="000839A4" w:rsidP="000839A4">
            <w:pPr>
              <w:spacing w:before="120"/>
              <w:rPr>
                <w:strike/>
                <w:szCs w:val="24"/>
              </w:rPr>
            </w:pPr>
            <w:r w:rsidRPr="000839A4">
              <w:rPr>
                <w:strike/>
                <w:szCs w:val="24"/>
              </w:rPr>
              <w:t xml:space="preserve">28.99.32   </w:t>
            </w:r>
          </w:p>
        </w:tc>
        <w:tc>
          <w:tcPr>
            <w:tcW w:w="6232" w:type="dxa"/>
          </w:tcPr>
          <w:p w14:paraId="64F6BC53" w14:textId="19D292EC" w:rsidR="000839A4" w:rsidRPr="000839A4" w:rsidRDefault="000839A4" w:rsidP="000839A4">
            <w:pPr>
              <w:spacing w:before="120"/>
              <w:rPr>
                <w:strike/>
                <w:szCs w:val="24"/>
              </w:rPr>
            </w:pPr>
            <w:r w:rsidRPr="000839A4">
              <w:rPr>
                <w:strike/>
                <w:szCs w:val="24"/>
              </w:rPr>
              <w:t>Kolotoče, houpačk</w:t>
            </w:r>
            <w:r w:rsidR="002561EA">
              <w:rPr>
                <w:strike/>
                <w:szCs w:val="24"/>
              </w:rPr>
              <w:t xml:space="preserve">y, střelnice a ostatní </w:t>
            </w:r>
            <w:r w:rsidRPr="000839A4">
              <w:rPr>
                <w:strike/>
                <w:szCs w:val="24"/>
              </w:rPr>
              <w:t>pouťové atrakce</w:t>
            </w:r>
          </w:p>
        </w:tc>
      </w:tr>
      <w:tr w:rsidR="000839A4" w:rsidRPr="000839A4" w14:paraId="786EFE07" w14:textId="77777777" w:rsidTr="000839A4">
        <w:tc>
          <w:tcPr>
            <w:tcW w:w="1271" w:type="dxa"/>
          </w:tcPr>
          <w:p w14:paraId="69252744" w14:textId="77777777" w:rsidR="000839A4" w:rsidRPr="000839A4" w:rsidRDefault="000839A4" w:rsidP="000839A4">
            <w:pPr>
              <w:spacing w:before="120"/>
              <w:rPr>
                <w:strike/>
                <w:szCs w:val="24"/>
              </w:rPr>
            </w:pPr>
            <w:r w:rsidRPr="000839A4">
              <w:rPr>
                <w:strike/>
                <w:szCs w:val="24"/>
              </w:rPr>
              <w:lastRenderedPageBreak/>
              <w:t xml:space="preserve">(2-65)    </w:t>
            </w:r>
          </w:p>
        </w:tc>
        <w:tc>
          <w:tcPr>
            <w:tcW w:w="1559" w:type="dxa"/>
          </w:tcPr>
          <w:p w14:paraId="51605BE8" w14:textId="77777777" w:rsidR="000839A4" w:rsidRPr="000839A4" w:rsidRDefault="000839A4" w:rsidP="000839A4">
            <w:pPr>
              <w:spacing w:before="120"/>
              <w:rPr>
                <w:strike/>
                <w:szCs w:val="24"/>
              </w:rPr>
            </w:pPr>
            <w:r w:rsidRPr="000839A4">
              <w:rPr>
                <w:strike/>
                <w:szCs w:val="24"/>
              </w:rPr>
              <w:t xml:space="preserve">29.10.2    </w:t>
            </w:r>
          </w:p>
        </w:tc>
        <w:tc>
          <w:tcPr>
            <w:tcW w:w="6232" w:type="dxa"/>
          </w:tcPr>
          <w:p w14:paraId="78B2A4F3" w14:textId="77777777" w:rsidR="000839A4" w:rsidRPr="000839A4" w:rsidRDefault="000839A4" w:rsidP="000839A4">
            <w:pPr>
              <w:spacing w:before="120"/>
              <w:rPr>
                <w:strike/>
                <w:szCs w:val="24"/>
              </w:rPr>
            </w:pPr>
            <w:r w:rsidRPr="000839A4">
              <w:rPr>
                <w:strike/>
                <w:szCs w:val="24"/>
              </w:rPr>
              <w:t>Osobní automobily</w:t>
            </w:r>
          </w:p>
        </w:tc>
      </w:tr>
      <w:tr w:rsidR="000839A4" w:rsidRPr="000839A4" w14:paraId="69217702" w14:textId="77777777" w:rsidTr="000839A4">
        <w:tc>
          <w:tcPr>
            <w:tcW w:w="1271" w:type="dxa"/>
          </w:tcPr>
          <w:p w14:paraId="55144735" w14:textId="77777777" w:rsidR="000839A4" w:rsidRPr="000839A4" w:rsidRDefault="000839A4" w:rsidP="000839A4">
            <w:pPr>
              <w:spacing w:before="120"/>
              <w:rPr>
                <w:strike/>
                <w:szCs w:val="24"/>
              </w:rPr>
            </w:pPr>
            <w:r w:rsidRPr="000839A4">
              <w:rPr>
                <w:strike/>
                <w:szCs w:val="24"/>
              </w:rPr>
              <w:t xml:space="preserve">(2-66)    </w:t>
            </w:r>
          </w:p>
          <w:p w14:paraId="05FC8F0E" w14:textId="77777777" w:rsidR="000839A4" w:rsidRPr="000839A4" w:rsidRDefault="000839A4" w:rsidP="000839A4">
            <w:pPr>
              <w:spacing w:before="120"/>
              <w:rPr>
                <w:strike/>
                <w:szCs w:val="24"/>
              </w:rPr>
            </w:pPr>
          </w:p>
        </w:tc>
        <w:tc>
          <w:tcPr>
            <w:tcW w:w="1559" w:type="dxa"/>
          </w:tcPr>
          <w:p w14:paraId="4508B48C" w14:textId="77777777" w:rsidR="000839A4" w:rsidRPr="000839A4" w:rsidRDefault="000839A4" w:rsidP="000839A4">
            <w:pPr>
              <w:spacing w:before="120"/>
              <w:rPr>
                <w:strike/>
                <w:szCs w:val="24"/>
              </w:rPr>
            </w:pPr>
            <w:proofErr w:type="gramStart"/>
            <w:r w:rsidRPr="000839A4">
              <w:rPr>
                <w:strike/>
                <w:szCs w:val="24"/>
              </w:rPr>
              <w:t>29.10.30</w:t>
            </w:r>
            <w:proofErr w:type="gramEnd"/>
            <w:r w:rsidRPr="000839A4">
              <w:rPr>
                <w:strike/>
                <w:szCs w:val="24"/>
              </w:rPr>
              <w:t xml:space="preserve">   </w:t>
            </w:r>
          </w:p>
        </w:tc>
        <w:tc>
          <w:tcPr>
            <w:tcW w:w="6232" w:type="dxa"/>
          </w:tcPr>
          <w:p w14:paraId="7A033BFE" w14:textId="77777777" w:rsidR="000839A4" w:rsidRPr="000839A4" w:rsidRDefault="000839A4" w:rsidP="000839A4">
            <w:pPr>
              <w:spacing w:before="120"/>
              <w:rPr>
                <w:strike/>
                <w:szCs w:val="24"/>
              </w:rPr>
            </w:pPr>
            <w:r w:rsidRPr="000839A4">
              <w:rPr>
                <w:strike/>
                <w:szCs w:val="24"/>
              </w:rPr>
              <w:t>Motorová vozidla pro přepravu deseti a více osob</w:t>
            </w:r>
          </w:p>
        </w:tc>
      </w:tr>
      <w:tr w:rsidR="000839A4" w:rsidRPr="000839A4" w14:paraId="24D10716" w14:textId="77777777" w:rsidTr="000839A4">
        <w:tc>
          <w:tcPr>
            <w:tcW w:w="1271" w:type="dxa"/>
          </w:tcPr>
          <w:p w14:paraId="43DF6BC2" w14:textId="77777777" w:rsidR="000839A4" w:rsidRPr="000839A4" w:rsidRDefault="000839A4" w:rsidP="000839A4">
            <w:pPr>
              <w:spacing w:before="120"/>
              <w:rPr>
                <w:strike/>
                <w:szCs w:val="24"/>
              </w:rPr>
            </w:pPr>
            <w:r w:rsidRPr="000839A4">
              <w:rPr>
                <w:strike/>
                <w:szCs w:val="24"/>
              </w:rPr>
              <w:t xml:space="preserve">(2-67)    </w:t>
            </w:r>
          </w:p>
        </w:tc>
        <w:tc>
          <w:tcPr>
            <w:tcW w:w="1559" w:type="dxa"/>
          </w:tcPr>
          <w:p w14:paraId="6D35B7C2" w14:textId="77777777" w:rsidR="000839A4" w:rsidRPr="000839A4" w:rsidRDefault="000839A4" w:rsidP="000839A4">
            <w:pPr>
              <w:spacing w:before="120"/>
              <w:rPr>
                <w:strike/>
                <w:szCs w:val="24"/>
              </w:rPr>
            </w:pPr>
            <w:r w:rsidRPr="000839A4">
              <w:rPr>
                <w:strike/>
                <w:szCs w:val="24"/>
              </w:rPr>
              <w:t xml:space="preserve">29.10.4    </w:t>
            </w:r>
          </w:p>
        </w:tc>
        <w:tc>
          <w:tcPr>
            <w:tcW w:w="6232" w:type="dxa"/>
          </w:tcPr>
          <w:p w14:paraId="40D775DA" w14:textId="77777777" w:rsidR="000839A4" w:rsidRPr="000839A4" w:rsidRDefault="000839A4" w:rsidP="000839A4">
            <w:pPr>
              <w:spacing w:before="120"/>
              <w:rPr>
                <w:strike/>
                <w:szCs w:val="24"/>
              </w:rPr>
            </w:pPr>
            <w:r w:rsidRPr="000839A4">
              <w:rPr>
                <w:strike/>
                <w:szCs w:val="24"/>
              </w:rPr>
              <w:t>Motorová vozidla nákladní</w:t>
            </w:r>
          </w:p>
        </w:tc>
      </w:tr>
      <w:tr w:rsidR="000839A4" w:rsidRPr="000839A4" w14:paraId="4F754853" w14:textId="77777777" w:rsidTr="000839A4">
        <w:tc>
          <w:tcPr>
            <w:tcW w:w="1271" w:type="dxa"/>
          </w:tcPr>
          <w:p w14:paraId="02099723" w14:textId="77777777" w:rsidR="000839A4" w:rsidRPr="000839A4" w:rsidRDefault="000839A4" w:rsidP="000839A4">
            <w:pPr>
              <w:spacing w:before="120"/>
              <w:rPr>
                <w:strike/>
                <w:szCs w:val="24"/>
              </w:rPr>
            </w:pPr>
            <w:r w:rsidRPr="000839A4">
              <w:rPr>
                <w:strike/>
                <w:szCs w:val="24"/>
              </w:rPr>
              <w:t xml:space="preserve">(2-68)     </w:t>
            </w:r>
          </w:p>
          <w:p w14:paraId="44F7B969" w14:textId="77777777" w:rsidR="000839A4" w:rsidRPr="000839A4" w:rsidRDefault="000839A4" w:rsidP="000839A4">
            <w:pPr>
              <w:spacing w:before="120"/>
              <w:rPr>
                <w:strike/>
                <w:szCs w:val="24"/>
              </w:rPr>
            </w:pPr>
          </w:p>
        </w:tc>
        <w:tc>
          <w:tcPr>
            <w:tcW w:w="1559" w:type="dxa"/>
          </w:tcPr>
          <w:p w14:paraId="6E90C49D" w14:textId="77777777" w:rsidR="000839A4" w:rsidRPr="000839A4" w:rsidRDefault="000839A4" w:rsidP="000839A4">
            <w:pPr>
              <w:spacing w:before="120"/>
              <w:rPr>
                <w:strike/>
                <w:szCs w:val="24"/>
              </w:rPr>
            </w:pPr>
            <w:r w:rsidRPr="000839A4">
              <w:rPr>
                <w:strike/>
                <w:szCs w:val="24"/>
              </w:rPr>
              <w:t xml:space="preserve">29.10.5    </w:t>
            </w:r>
          </w:p>
        </w:tc>
        <w:tc>
          <w:tcPr>
            <w:tcW w:w="6232" w:type="dxa"/>
          </w:tcPr>
          <w:p w14:paraId="42D3B937" w14:textId="77777777" w:rsidR="000839A4" w:rsidRPr="000839A4" w:rsidRDefault="000839A4" w:rsidP="000839A4">
            <w:pPr>
              <w:spacing w:before="120"/>
              <w:rPr>
                <w:strike/>
                <w:szCs w:val="24"/>
              </w:rPr>
            </w:pPr>
            <w:r w:rsidRPr="000839A4">
              <w:rPr>
                <w:strike/>
                <w:szCs w:val="24"/>
              </w:rPr>
              <w:t>Motorová vozidla pro zvláštní účely pokud nejsou uvedena v jiné položce této přílohy</w:t>
            </w:r>
          </w:p>
        </w:tc>
      </w:tr>
      <w:tr w:rsidR="000839A4" w:rsidRPr="000839A4" w14:paraId="568E0A01" w14:textId="77777777" w:rsidTr="000839A4">
        <w:tc>
          <w:tcPr>
            <w:tcW w:w="1271" w:type="dxa"/>
          </w:tcPr>
          <w:p w14:paraId="61646DB8" w14:textId="77777777" w:rsidR="000839A4" w:rsidRPr="000839A4" w:rsidRDefault="000839A4" w:rsidP="000839A4">
            <w:pPr>
              <w:spacing w:before="120"/>
              <w:rPr>
                <w:strike/>
                <w:szCs w:val="24"/>
              </w:rPr>
            </w:pPr>
            <w:r w:rsidRPr="000839A4">
              <w:rPr>
                <w:strike/>
                <w:szCs w:val="24"/>
              </w:rPr>
              <w:t xml:space="preserve">(2-69)    </w:t>
            </w:r>
          </w:p>
        </w:tc>
        <w:tc>
          <w:tcPr>
            <w:tcW w:w="1559" w:type="dxa"/>
          </w:tcPr>
          <w:p w14:paraId="64D21651" w14:textId="77777777" w:rsidR="000839A4" w:rsidRPr="000839A4" w:rsidRDefault="000839A4" w:rsidP="000839A4">
            <w:pPr>
              <w:spacing w:before="120"/>
              <w:rPr>
                <w:strike/>
                <w:szCs w:val="24"/>
              </w:rPr>
            </w:pPr>
            <w:r w:rsidRPr="000839A4">
              <w:rPr>
                <w:strike/>
                <w:szCs w:val="24"/>
              </w:rPr>
              <w:t xml:space="preserve">29.20.2    </w:t>
            </w:r>
          </w:p>
        </w:tc>
        <w:tc>
          <w:tcPr>
            <w:tcW w:w="6232" w:type="dxa"/>
          </w:tcPr>
          <w:p w14:paraId="6AAEFF89" w14:textId="77777777" w:rsidR="000839A4" w:rsidRPr="000839A4" w:rsidRDefault="000839A4" w:rsidP="000839A4">
            <w:pPr>
              <w:spacing w:before="120"/>
              <w:rPr>
                <w:strike/>
                <w:szCs w:val="24"/>
              </w:rPr>
            </w:pPr>
            <w:r w:rsidRPr="000839A4">
              <w:rPr>
                <w:strike/>
                <w:szCs w:val="24"/>
              </w:rPr>
              <w:t>Přívěsy a návěsy, kontejnery</w:t>
            </w:r>
          </w:p>
        </w:tc>
      </w:tr>
      <w:tr w:rsidR="000839A4" w:rsidRPr="000839A4" w14:paraId="65039AB0" w14:textId="77777777" w:rsidTr="000839A4">
        <w:tc>
          <w:tcPr>
            <w:tcW w:w="1271" w:type="dxa"/>
          </w:tcPr>
          <w:p w14:paraId="22229D09" w14:textId="77777777" w:rsidR="000839A4" w:rsidRPr="000839A4" w:rsidRDefault="000839A4" w:rsidP="000839A4">
            <w:pPr>
              <w:spacing w:before="120"/>
              <w:rPr>
                <w:strike/>
                <w:szCs w:val="24"/>
              </w:rPr>
            </w:pPr>
            <w:r w:rsidRPr="000839A4">
              <w:rPr>
                <w:strike/>
                <w:szCs w:val="24"/>
              </w:rPr>
              <w:t xml:space="preserve">(2-70)     </w:t>
            </w:r>
          </w:p>
          <w:p w14:paraId="24EF1F7D" w14:textId="77777777" w:rsidR="000839A4" w:rsidRPr="000839A4" w:rsidRDefault="000839A4" w:rsidP="000839A4">
            <w:pPr>
              <w:spacing w:before="120"/>
              <w:rPr>
                <w:strike/>
                <w:szCs w:val="24"/>
              </w:rPr>
            </w:pPr>
          </w:p>
        </w:tc>
        <w:tc>
          <w:tcPr>
            <w:tcW w:w="1559" w:type="dxa"/>
          </w:tcPr>
          <w:p w14:paraId="0497C140" w14:textId="77777777" w:rsidR="000839A4" w:rsidRPr="000839A4" w:rsidRDefault="000839A4" w:rsidP="000839A4">
            <w:pPr>
              <w:spacing w:before="120"/>
              <w:rPr>
                <w:strike/>
                <w:szCs w:val="24"/>
              </w:rPr>
            </w:pPr>
            <w:r w:rsidRPr="000839A4">
              <w:rPr>
                <w:strike/>
                <w:szCs w:val="24"/>
              </w:rPr>
              <w:t xml:space="preserve">29.31.22   </w:t>
            </w:r>
          </w:p>
        </w:tc>
        <w:tc>
          <w:tcPr>
            <w:tcW w:w="6232" w:type="dxa"/>
          </w:tcPr>
          <w:p w14:paraId="4CDD68A0" w14:textId="77777777" w:rsidR="000839A4" w:rsidRPr="000839A4" w:rsidRDefault="000839A4" w:rsidP="000839A4">
            <w:pPr>
              <w:spacing w:before="120"/>
              <w:rPr>
                <w:strike/>
                <w:szCs w:val="24"/>
              </w:rPr>
            </w:pPr>
            <w:r w:rsidRPr="000839A4">
              <w:rPr>
                <w:strike/>
                <w:szCs w:val="24"/>
              </w:rPr>
              <w:t>Spouštěče a duální startovací generátory; ostatní generátory a ostatní přístroje a zařízení</w:t>
            </w:r>
          </w:p>
        </w:tc>
      </w:tr>
      <w:tr w:rsidR="000839A4" w:rsidRPr="000839A4" w14:paraId="3DB8B714" w14:textId="77777777" w:rsidTr="000839A4">
        <w:tc>
          <w:tcPr>
            <w:tcW w:w="1271" w:type="dxa"/>
          </w:tcPr>
          <w:p w14:paraId="5652469A" w14:textId="77777777" w:rsidR="000839A4" w:rsidRPr="000839A4" w:rsidRDefault="000839A4" w:rsidP="000839A4">
            <w:pPr>
              <w:spacing w:before="120"/>
              <w:rPr>
                <w:strike/>
                <w:szCs w:val="24"/>
              </w:rPr>
            </w:pPr>
            <w:r w:rsidRPr="000839A4">
              <w:rPr>
                <w:strike/>
                <w:szCs w:val="24"/>
              </w:rPr>
              <w:t xml:space="preserve">(2-71)   </w:t>
            </w:r>
          </w:p>
        </w:tc>
        <w:tc>
          <w:tcPr>
            <w:tcW w:w="1559" w:type="dxa"/>
          </w:tcPr>
          <w:p w14:paraId="2D6B54AB" w14:textId="77777777" w:rsidR="000839A4" w:rsidRPr="000839A4" w:rsidRDefault="000839A4" w:rsidP="000839A4">
            <w:pPr>
              <w:spacing w:before="120"/>
              <w:rPr>
                <w:strike/>
                <w:szCs w:val="24"/>
              </w:rPr>
            </w:pPr>
            <w:r w:rsidRPr="000839A4">
              <w:rPr>
                <w:strike/>
                <w:szCs w:val="24"/>
              </w:rPr>
              <w:t xml:space="preserve">30.12      </w:t>
            </w:r>
          </w:p>
        </w:tc>
        <w:tc>
          <w:tcPr>
            <w:tcW w:w="6232" w:type="dxa"/>
          </w:tcPr>
          <w:p w14:paraId="099BEBFB" w14:textId="77777777" w:rsidR="000839A4" w:rsidRPr="000839A4" w:rsidRDefault="000839A4" w:rsidP="000839A4">
            <w:pPr>
              <w:spacing w:before="120"/>
              <w:rPr>
                <w:strike/>
                <w:szCs w:val="24"/>
              </w:rPr>
            </w:pPr>
            <w:r w:rsidRPr="000839A4">
              <w:rPr>
                <w:strike/>
                <w:szCs w:val="24"/>
              </w:rPr>
              <w:t>Rekreační a sportovní čluny</w:t>
            </w:r>
          </w:p>
        </w:tc>
      </w:tr>
      <w:tr w:rsidR="000839A4" w:rsidRPr="000839A4" w14:paraId="6FC09032" w14:textId="77777777" w:rsidTr="000839A4">
        <w:tc>
          <w:tcPr>
            <w:tcW w:w="1271" w:type="dxa"/>
          </w:tcPr>
          <w:p w14:paraId="72544B43" w14:textId="77777777" w:rsidR="000839A4" w:rsidRPr="000839A4" w:rsidRDefault="000839A4" w:rsidP="000839A4">
            <w:pPr>
              <w:spacing w:before="120"/>
              <w:rPr>
                <w:strike/>
                <w:szCs w:val="24"/>
              </w:rPr>
            </w:pPr>
            <w:r w:rsidRPr="000839A4">
              <w:rPr>
                <w:strike/>
                <w:szCs w:val="24"/>
              </w:rPr>
              <w:t xml:space="preserve">(2-72)     </w:t>
            </w:r>
          </w:p>
          <w:p w14:paraId="26D830BE" w14:textId="77777777" w:rsidR="000839A4" w:rsidRPr="000839A4" w:rsidRDefault="000839A4" w:rsidP="000839A4">
            <w:pPr>
              <w:spacing w:before="120"/>
              <w:rPr>
                <w:strike/>
                <w:szCs w:val="24"/>
              </w:rPr>
            </w:pPr>
          </w:p>
        </w:tc>
        <w:tc>
          <w:tcPr>
            <w:tcW w:w="1559" w:type="dxa"/>
          </w:tcPr>
          <w:p w14:paraId="4ED2B5F9" w14:textId="77777777" w:rsidR="000839A4" w:rsidRPr="000839A4" w:rsidRDefault="000839A4" w:rsidP="000839A4">
            <w:pPr>
              <w:spacing w:before="120"/>
              <w:rPr>
                <w:strike/>
                <w:szCs w:val="24"/>
              </w:rPr>
            </w:pPr>
            <w:r w:rsidRPr="000839A4">
              <w:rPr>
                <w:strike/>
                <w:szCs w:val="24"/>
              </w:rPr>
              <w:t xml:space="preserve">30.30      </w:t>
            </w:r>
          </w:p>
        </w:tc>
        <w:tc>
          <w:tcPr>
            <w:tcW w:w="6232" w:type="dxa"/>
          </w:tcPr>
          <w:p w14:paraId="049C0034" w14:textId="77777777" w:rsidR="000839A4" w:rsidRPr="000839A4" w:rsidRDefault="000839A4" w:rsidP="000839A4">
            <w:pPr>
              <w:spacing w:before="120"/>
              <w:rPr>
                <w:strike/>
                <w:szCs w:val="24"/>
              </w:rPr>
            </w:pPr>
            <w:r w:rsidRPr="000839A4">
              <w:rPr>
                <w:strike/>
                <w:szCs w:val="24"/>
              </w:rPr>
              <w:t>Jen: letadla a kosmické lodě (balóny, vzducholodě, družice) pokud nejsou uvedeny v jiné položce této přílohy</w:t>
            </w:r>
          </w:p>
        </w:tc>
      </w:tr>
      <w:tr w:rsidR="000839A4" w:rsidRPr="000839A4" w14:paraId="439B8543" w14:textId="77777777" w:rsidTr="000839A4">
        <w:tc>
          <w:tcPr>
            <w:tcW w:w="1271" w:type="dxa"/>
          </w:tcPr>
          <w:p w14:paraId="4968CF0A" w14:textId="77777777" w:rsidR="000839A4" w:rsidRPr="000839A4" w:rsidRDefault="000839A4" w:rsidP="000839A4">
            <w:pPr>
              <w:spacing w:before="120"/>
              <w:rPr>
                <w:strike/>
                <w:szCs w:val="24"/>
              </w:rPr>
            </w:pPr>
            <w:r w:rsidRPr="000839A4">
              <w:rPr>
                <w:strike/>
                <w:szCs w:val="24"/>
              </w:rPr>
              <w:t xml:space="preserve">(2-73)   </w:t>
            </w:r>
          </w:p>
        </w:tc>
        <w:tc>
          <w:tcPr>
            <w:tcW w:w="1559" w:type="dxa"/>
          </w:tcPr>
          <w:p w14:paraId="54DB9CA8" w14:textId="77777777" w:rsidR="000839A4" w:rsidRPr="000839A4" w:rsidRDefault="000839A4" w:rsidP="000839A4">
            <w:pPr>
              <w:spacing w:before="120"/>
              <w:rPr>
                <w:strike/>
                <w:szCs w:val="24"/>
              </w:rPr>
            </w:pPr>
            <w:r w:rsidRPr="000839A4">
              <w:rPr>
                <w:strike/>
                <w:szCs w:val="24"/>
              </w:rPr>
              <w:t xml:space="preserve">30.91.1    </w:t>
            </w:r>
          </w:p>
        </w:tc>
        <w:tc>
          <w:tcPr>
            <w:tcW w:w="6232" w:type="dxa"/>
          </w:tcPr>
          <w:p w14:paraId="0815B3B3" w14:textId="77777777" w:rsidR="000839A4" w:rsidRPr="000839A4" w:rsidRDefault="000839A4" w:rsidP="000839A4">
            <w:pPr>
              <w:spacing w:before="120"/>
              <w:rPr>
                <w:strike/>
                <w:szCs w:val="24"/>
              </w:rPr>
            </w:pPr>
            <w:r w:rsidRPr="000839A4">
              <w:rPr>
                <w:strike/>
                <w:szCs w:val="24"/>
              </w:rPr>
              <w:t>Motocykly a postranní vozíky</w:t>
            </w:r>
          </w:p>
        </w:tc>
      </w:tr>
      <w:tr w:rsidR="000839A4" w:rsidRPr="000839A4" w14:paraId="030BB18B" w14:textId="77777777" w:rsidTr="000839A4">
        <w:tc>
          <w:tcPr>
            <w:tcW w:w="1271" w:type="dxa"/>
          </w:tcPr>
          <w:p w14:paraId="40542DC3" w14:textId="77777777" w:rsidR="000839A4" w:rsidRPr="000839A4" w:rsidRDefault="000839A4" w:rsidP="000839A4">
            <w:pPr>
              <w:spacing w:before="120"/>
              <w:rPr>
                <w:strike/>
                <w:szCs w:val="24"/>
              </w:rPr>
            </w:pPr>
            <w:r w:rsidRPr="000839A4">
              <w:rPr>
                <w:strike/>
                <w:szCs w:val="24"/>
              </w:rPr>
              <w:t xml:space="preserve">(2-74)     </w:t>
            </w:r>
          </w:p>
          <w:p w14:paraId="786C642F" w14:textId="77777777" w:rsidR="000839A4" w:rsidRPr="000839A4" w:rsidRDefault="000839A4" w:rsidP="000839A4">
            <w:pPr>
              <w:spacing w:before="120"/>
              <w:rPr>
                <w:strike/>
                <w:szCs w:val="24"/>
              </w:rPr>
            </w:pPr>
          </w:p>
        </w:tc>
        <w:tc>
          <w:tcPr>
            <w:tcW w:w="1559" w:type="dxa"/>
          </w:tcPr>
          <w:p w14:paraId="714C50D0" w14:textId="77777777" w:rsidR="000839A4" w:rsidRPr="000839A4" w:rsidRDefault="000839A4" w:rsidP="000839A4">
            <w:pPr>
              <w:spacing w:before="120"/>
              <w:rPr>
                <w:strike/>
                <w:szCs w:val="24"/>
              </w:rPr>
            </w:pPr>
            <w:r w:rsidRPr="000839A4">
              <w:rPr>
                <w:strike/>
                <w:szCs w:val="24"/>
              </w:rPr>
              <w:t xml:space="preserve">30.92.20   </w:t>
            </w:r>
          </w:p>
        </w:tc>
        <w:tc>
          <w:tcPr>
            <w:tcW w:w="6232" w:type="dxa"/>
          </w:tcPr>
          <w:p w14:paraId="17C53194" w14:textId="77777777" w:rsidR="000839A4" w:rsidRPr="000839A4" w:rsidRDefault="000839A4" w:rsidP="000839A4">
            <w:pPr>
              <w:spacing w:before="120"/>
              <w:rPr>
                <w:strike/>
                <w:szCs w:val="24"/>
              </w:rPr>
            </w:pPr>
            <w:r w:rsidRPr="000839A4">
              <w:rPr>
                <w:strike/>
                <w:szCs w:val="24"/>
              </w:rPr>
              <w:t>Vozíky pro invalidy, kromě dílů a příslušenství</w:t>
            </w:r>
          </w:p>
        </w:tc>
      </w:tr>
      <w:tr w:rsidR="000839A4" w:rsidRPr="000839A4" w14:paraId="2DCFFDD9" w14:textId="77777777" w:rsidTr="000839A4">
        <w:tc>
          <w:tcPr>
            <w:tcW w:w="1271" w:type="dxa"/>
          </w:tcPr>
          <w:p w14:paraId="72A6CC81" w14:textId="77777777" w:rsidR="000839A4" w:rsidRPr="000839A4" w:rsidRDefault="000839A4" w:rsidP="000839A4">
            <w:pPr>
              <w:spacing w:before="120"/>
              <w:rPr>
                <w:strike/>
                <w:szCs w:val="24"/>
              </w:rPr>
            </w:pPr>
            <w:r w:rsidRPr="000839A4">
              <w:rPr>
                <w:strike/>
                <w:szCs w:val="24"/>
              </w:rPr>
              <w:t xml:space="preserve">(2-75)     </w:t>
            </w:r>
          </w:p>
        </w:tc>
        <w:tc>
          <w:tcPr>
            <w:tcW w:w="1559" w:type="dxa"/>
          </w:tcPr>
          <w:p w14:paraId="040054C0" w14:textId="77777777" w:rsidR="000839A4" w:rsidRPr="000839A4" w:rsidRDefault="000839A4" w:rsidP="000839A4">
            <w:pPr>
              <w:spacing w:before="120"/>
              <w:rPr>
                <w:strike/>
                <w:szCs w:val="24"/>
              </w:rPr>
            </w:pPr>
            <w:r w:rsidRPr="000839A4">
              <w:rPr>
                <w:strike/>
                <w:szCs w:val="24"/>
              </w:rPr>
              <w:t xml:space="preserve">30.99.10   </w:t>
            </w:r>
          </w:p>
        </w:tc>
        <w:tc>
          <w:tcPr>
            <w:tcW w:w="6232" w:type="dxa"/>
          </w:tcPr>
          <w:p w14:paraId="1BBFF2BD" w14:textId="77777777" w:rsidR="000839A4" w:rsidRPr="000839A4" w:rsidRDefault="000839A4" w:rsidP="000839A4">
            <w:pPr>
              <w:spacing w:before="120"/>
              <w:rPr>
                <w:strike/>
                <w:szCs w:val="24"/>
              </w:rPr>
            </w:pPr>
            <w:r w:rsidRPr="000839A4">
              <w:rPr>
                <w:strike/>
                <w:szCs w:val="24"/>
              </w:rPr>
              <w:t>Ostatní dopravní prostředky a zařízení j. n.</w:t>
            </w:r>
          </w:p>
        </w:tc>
      </w:tr>
      <w:tr w:rsidR="000839A4" w:rsidRPr="000839A4" w14:paraId="4B8F64DF" w14:textId="77777777" w:rsidTr="000839A4">
        <w:tc>
          <w:tcPr>
            <w:tcW w:w="1271" w:type="dxa"/>
          </w:tcPr>
          <w:p w14:paraId="1F4A48B9" w14:textId="77777777" w:rsidR="000839A4" w:rsidRPr="000839A4" w:rsidRDefault="000839A4" w:rsidP="000839A4">
            <w:pPr>
              <w:spacing w:before="120"/>
              <w:rPr>
                <w:strike/>
                <w:szCs w:val="24"/>
              </w:rPr>
            </w:pPr>
            <w:r w:rsidRPr="000839A4">
              <w:rPr>
                <w:strike/>
                <w:szCs w:val="24"/>
              </w:rPr>
              <w:t xml:space="preserve">(2-76)     </w:t>
            </w:r>
          </w:p>
        </w:tc>
        <w:tc>
          <w:tcPr>
            <w:tcW w:w="1559" w:type="dxa"/>
          </w:tcPr>
          <w:p w14:paraId="7FD4A158" w14:textId="77777777" w:rsidR="000839A4" w:rsidRPr="000839A4" w:rsidRDefault="000839A4" w:rsidP="000839A4">
            <w:pPr>
              <w:spacing w:before="120"/>
              <w:rPr>
                <w:strike/>
                <w:szCs w:val="24"/>
              </w:rPr>
            </w:pPr>
            <w:r w:rsidRPr="000839A4">
              <w:rPr>
                <w:strike/>
                <w:szCs w:val="24"/>
              </w:rPr>
              <w:t xml:space="preserve">31.0       </w:t>
            </w:r>
          </w:p>
        </w:tc>
        <w:tc>
          <w:tcPr>
            <w:tcW w:w="6232" w:type="dxa"/>
          </w:tcPr>
          <w:p w14:paraId="1B3E9964" w14:textId="77777777" w:rsidR="000839A4" w:rsidRPr="000839A4" w:rsidRDefault="000839A4" w:rsidP="000839A4">
            <w:pPr>
              <w:spacing w:before="120"/>
              <w:rPr>
                <w:strike/>
                <w:szCs w:val="24"/>
              </w:rPr>
            </w:pPr>
            <w:r w:rsidRPr="000839A4">
              <w:rPr>
                <w:strike/>
                <w:szCs w:val="24"/>
              </w:rPr>
              <w:t>Nábytek</w:t>
            </w:r>
          </w:p>
        </w:tc>
      </w:tr>
      <w:tr w:rsidR="000839A4" w:rsidRPr="000839A4" w14:paraId="5AA26ECE" w14:textId="77777777" w:rsidTr="000839A4">
        <w:tc>
          <w:tcPr>
            <w:tcW w:w="1271" w:type="dxa"/>
          </w:tcPr>
          <w:p w14:paraId="571DAD28" w14:textId="77777777" w:rsidR="000839A4" w:rsidRPr="000839A4" w:rsidRDefault="000839A4" w:rsidP="000839A4">
            <w:pPr>
              <w:spacing w:before="120"/>
              <w:rPr>
                <w:strike/>
                <w:szCs w:val="24"/>
              </w:rPr>
            </w:pPr>
            <w:r w:rsidRPr="000839A4">
              <w:rPr>
                <w:strike/>
                <w:szCs w:val="24"/>
              </w:rPr>
              <w:t xml:space="preserve">(2-77)   </w:t>
            </w:r>
          </w:p>
        </w:tc>
        <w:tc>
          <w:tcPr>
            <w:tcW w:w="1559" w:type="dxa"/>
          </w:tcPr>
          <w:p w14:paraId="2888B1D2" w14:textId="77777777" w:rsidR="000839A4" w:rsidRPr="000839A4" w:rsidRDefault="000839A4" w:rsidP="000839A4">
            <w:pPr>
              <w:spacing w:before="120"/>
              <w:rPr>
                <w:strike/>
                <w:szCs w:val="24"/>
              </w:rPr>
            </w:pPr>
            <w:r w:rsidRPr="000839A4">
              <w:rPr>
                <w:strike/>
                <w:szCs w:val="24"/>
              </w:rPr>
              <w:t xml:space="preserve">32.2       </w:t>
            </w:r>
          </w:p>
        </w:tc>
        <w:tc>
          <w:tcPr>
            <w:tcW w:w="6232" w:type="dxa"/>
          </w:tcPr>
          <w:p w14:paraId="1F1A9A69" w14:textId="77777777" w:rsidR="000839A4" w:rsidRPr="000839A4" w:rsidRDefault="000839A4" w:rsidP="000839A4">
            <w:pPr>
              <w:spacing w:before="120"/>
              <w:rPr>
                <w:strike/>
                <w:szCs w:val="24"/>
              </w:rPr>
            </w:pPr>
            <w:r w:rsidRPr="000839A4">
              <w:rPr>
                <w:strike/>
                <w:szCs w:val="24"/>
              </w:rPr>
              <w:t>Hudební nástroje</w:t>
            </w:r>
          </w:p>
        </w:tc>
      </w:tr>
      <w:tr w:rsidR="000839A4" w:rsidRPr="000839A4" w14:paraId="6E210B72" w14:textId="77777777" w:rsidTr="000839A4">
        <w:tc>
          <w:tcPr>
            <w:tcW w:w="1271" w:type="dxa"/>
          </w:tcPr>
          <w:p w14:paraId="2481CBAD" w14:textId="77777777" w:rsidR="000839A4" w:rsidRPr="000839A4" w:rsidRDefault="000839A4" w:rsidP="000839A4">
            <w:pPr>
              <w:spacing w:before="120"/>
              <w:rPr>
                <w:strike/>
                <w:szCs w:val="24"/>
              </w:rPr>
            </w:pPr>
            <w:r w:rsidRPr="000839A4">
              <w:rPr>
                <w:strike/>
                <w:szCs w:val="24"/>
              </w:rPr>
              <w:t xml:space="preserve">(2-78)  </w:t>
            </w:r>
          </w:p>
        </w:tc>
        <w:tc>
          <w:tcPr>
            <w:tcW w:w="1559" w:type="dxa"/>
          </w:tcPr>
          <w:p w14:paraId="226F6279" w14:textId="77777777" w:rsidR="000839A4" w:rsidRPr="000839A4" w:rsidRDefault="000839A4" w:rsidP="000839A4">
            <w:pPr>
              <w:spacing w:before="120"/>
              <w:rPr>
                <w:strike/>
                <w:szCs w:val="24"/>
              </w:rPr>
            </w:pPr>
            <w:r w:rsidRPr="000839A4">
              <w:rPr>
                <w:strike/>
                <w:szCs w:val="24"/>
              </w:rPr>
              <w:t xml:space="preserve">32.3       </w:t>
            </w:r>
          </w:p>
        </w:tc>
        <w:tc>
          <w:tcPr>
            <w:tcW w:w="6232" w:type="dxa"/>
          </w:tcPr>
          <w:p w14:paraId="26217F65" w14:textId="77777777" w:rsidR="000839A4" w:rsidRPr="000839A4" w:rsidRDefault="000839A4" w:rsidP="000839A4">
            <w:pPr>
              <w:spacing w:before="120"/>
              <w:rPr>
                <w:strike/>
                <w:szCs w:val="24"/>
              </w:rPr>
            </w:pPr>
            <w:r w:rsidRPr="000839A4">
              <w:rPr>
                <w:strike/>
                <w:szCs w:val="24"/>
              </w:rPr>
              <w:t>Sportovní potřeby</w:t>
            </w:r>
          </w:p>
        </w:tc>
      </w:tr>
      <w:tr w:rsidR="000839A4" w:rsidRPr="000839A4" w14:paraId="3E3A21C5" w14:textId="77777777" w:rsidTr="000839A4">
        <w:tc>
          <w:tcPr>
            <w:tcW w:w="1271" w:type="dxa"/>
          </w:tcPr>
          <w:p w14:paraId="04C118BE" w14:textId="77777777" w:rsidR="000839A4" w:rsidRPr="000839A4" w:rsidRDefault="000839A4" w:rsidP="000839A4">
            <w:pPr>
              <w:spacing w:before="120"/>
              <w:rPr>
                <w:strike/>
                <w:szCs w:val="24"/>
              </w:rPr>
            </w:pPr>
            <w:r w:rsidRPr="000839A4">
              <w:rPr>
                <w:strike/>
                <w:szCs w:val="24"/>
              </w:rPr>
              <w:t xml:space="preserve">(2-79)   </w:t>
            </w:r>
          </w:p>
        </w:tc>
        <w:tc>
          <w:tcPr>
            <w:tcW w:w="1559" w:type="dxa"/>
          </w:tcPr>
          <w:p w14:paraId="7EDEDC1B" w14:textId="77777777" w:rsidR="000839A4" w:rsidRPr="000839A4" w:rsidRDefault="000839A4" w:rsidP="000839A4">
            <w:pPr>
              <w:spacing w:before="120"/>
              <w:rPr>
                <w:strike/>
                <w:szCs w:val="24"/>
              </w:rPr>
            </w:pPr>
            <w:r w:rsidRPr="000839A4">
              <w:rPr>
                <w:strike/>
                <w:szCs w:val="24"/>
              </w:rPr>
              <w:t xml:space="preserve">32.40.4    </w:t>
            </w:r>
          </w:p>
        </w:tc>
        <w:tc>
          <w:tcPr>
            <w:tcW w:w="6232" w:type="dxa"/>
          </w:tcPr>
          <w:p w14:paraId="46AEE2A8" w14:textId="77777777" w:rsidR="000839A4" w:rsidRPr="000839A4" w:rsidRDefault="000839A4" w:rsidP="000839A4">
            <w:pPr>
              <w:spacing w:before="120"/>
              <w:rPr>
                <w:strike/>
                <w:szCs w:val="24"/>
              </w:rPr>
            </w:pPr>
            <w:r w:rsidRPr="000839A4">
              <w:rPr>
                <w:strike/>
                <w:szCs w:val="24"/>
              </w:rPr>
              <w:t>Ostatní hry</w:t>
            </w:r>
          </w:p>
        </w:tc>
      </w:tr>
      <w:tr w:rsidR="000839A4" w:rsidRPr="000839A4" w14:paraId="04AD4A56" w14:textId="77777777" w:rsidTr="000839A4">
        <w:tc>
          <w:tcPr>
            <w:tcW w:w="1271" w:type="dxa"/>
          </w:tcPr>
          <w:p w14:paraId="572E5B21" w14:textId="77777777" w:rsidR="000839A4" w:rsidRPr="000839A4" w:rsidRDefault="000839A4" w:rsidP="000839A4">
            <w:pPr>
              <w:spacing w:before="120"/>
              <w:rPr>
                <w:strike/>
                <w:szCs w:val="24"/>
              </w:rPr>
            </w:pPr>
            <w:r w:rsidRPr="000839A4">
              <w:rPr>
                <w:strike/>
                <w:szCs w:val="24"/>
              </w:rPr>
              <w:t xml:space="preserve">(2-80)    </w:t>
            </w:r>
          </w:p>
          <w:p w14:paraId="286AF5A7" w14:textId="77777777" w:rsidR="000839A4" w:rsidRPr="000839A4" w:rsidRDefault="000839A4" w:rsidP="000839A4">
            <w:pPr>
              <w:spacing w:before="120"/>
              <w:ind w:firstLine="708"/>
              <w:rPr>
                <w:strike/>
                <w:szCs w:val="24"/>
              </w:rPr>
            </w:pPr>
          </w:p>
        </w:tc>
        <w:tc>
          <w:tcPr>
            <w:tcW w:w="1559" w:type="dxa"/>
          </w:tcPr>
          <w:p w14:paraId="2A5EDA64" w14:textId="77777777" w:rsidR="000839A4" w:rsidRPr="000839A4" w:rsidRDefault="000839A4" w:rsidP="000839A4">
            <w:pPr>
              <w:spacing w:before="120"/>
              <w:rPr>
                <w:strike/>
                <w:szCs w:val="24"/>
              </w:rPr>
            </w:pPr>
            <w:r w:rsidRPr="000839A4">
              <w:rPr>
                <w:strike/>
                <w:szCs w:val="24"/>
              </w:rPr>
              <w:t xml:space="preserve">32.50      </w:t>
            </w:r>
          </w:p>
        </w:tc>
        <w:tc>
          <w:tcPr>
            <w:tcW w:w="6232" w:type="dxa"/>
          </w:tcPr>
          <w:p w14:paraId="13ECF630" w14:textId="77777777" w:rsidR="000839A4" w:rsidRPr="000839A4" w:rsidRDefault="000839A4" w:rsidP="000839A4">
            <w:pPr>
              <w:spacing w:before="120"/>
              <w:rPr>
                <w:strike/>
                <w:szCs w:val="24"/>
              </w:rPr>
            </w:pPr>
            <w:r w:rsidRPr="000839A4">
              <w:rPr>
                <w:strike/>
                <w:szCs w:val="24"/>
              </w:rPr>
              <w:t>Lékařské a dentální nástroje a potřeby pokud nejsou uvedeny v jiné položce této přílohy</w:t>
            </w:r>
          </w:p>
        </w:tc>
      </w:tr>
      <w:tr w:rsidR="000839A4" w:rsidRPr="000839A4" w14:paraId="7A275F44" w14:textId="77777777" w:rsidTr="000839A4">
        <w:tc>
          <w:tcPr>
            <w:tcW w:w="1271" w:type="dxa"/>
          </w:tcPr>
          <w:p w14:paraId="07096FE1" w14:textId="77777777" w:rsidR="000839A4" w:rsidRPr="000839A4" w:rsidRDefault="000839A4" w:rsidP="000839A4">
            <w:pPr>
              <w:spacing w:before="120"/>
              <w:rPr>
                <w:strike/>
                <w:szCs w:val="24"/>
              </w:rPr>
            </w:pPr>
            <w:r w:rsidRPr="000839A4">
              <w:rPr>
                <w:strike/>
                <w:szCs w:val="24"/>
              </w:rPr>
              <w:t xml:space="preserve">(2-81)    </w:t>
            </w:r>
          </w:p>
        </w:tc>
        <w:tc>
          <w:tcPr>
            <w:tcW w:w="1559" w:type="dxa"/>
          </w:tcPr>
          <w:p w14:paraId="1015CBC7" w14:textId="77777777" w:rsidR="000839A4" w:rsidRPr="000839A4" w:rsidRDefault="000839A4" w:rsidP="000839A4">
            <w:pPr>
              <w:spacing w:before="120"/>
              <w:rPr>
                <w:strike/>
                <w:szCs w:val="24"/>
              </w:rPr>
            </w:pPr>
            <w:r w:rsidRPr="000839A4">
              <w:rPr>
                <w:strike/>
                <w:szCs w:val="24"/>
              </w:rPr>
              <w:t xml:space="preserve">58.11.1    </w:t>
            </w:r>
          </w:p>
        </w:tc>
        <w:tc>
          <w:tcPr>
            <w:tcW w:w="6232" w:type="dxa"/>
          </w:tcPr>
          <w:p w14:paraId="2F375E3F" w14:textId="77777777" w:rsidR="000839A4" w:rsidRPr="000839A4" w:rsidRDefault="000839A4" w:rsidP="000839A4">
            <w:pPr>
              <w:spacing w:before="120"/>
              <w:rPr>
                <w:strike/>
                <w:szCs w:val="24"/>
              </w:rPr>
            </w:pPr>
            <w:r w:rsidRPr="000839A4">
              <w:rPr>
                <w:strike/>
                <w:szCs w:val="24"/>
              </w:rPr>
              <w:t>Knihy v tištěné podobě</w:t>
            </w:r>
          </w:p>
        </w:tc>
      </w:tr>
      <w:tr w:rsidR="000839A4" w:rsidRPr="000839A4" w14:paraId="614D5433" w14:textId="77777777" w:rsidTr="000839A4">
        <w:tc>
          <w:tcPr>
            <w:tcW w:w="1271" w:type="dxa"/>
          </w:tcPr>
          <w:p w14:paraId="537E9F60" w14:textId="77777777" w:rsidR="000839A4" w:rsidRPr="000839A4" w:rsidRDefault="000839A4" w:rsidP="000839A4">
            <w:pPr>
              <w:spacing w:before="120"/>
              <w:rPr>
                <w:strike/>
                <w:szCs w:val="24"/>
              </w:rPr>
            </w:pPr>
            <w:r w:rsidRPr="000839A4">
              <w:rPr>
                <w:strike/>
                <w:szCs w:val="24"/>
              </w:rPr>
              <w:t xml:space="preserve">(2-82)    </w:t>
            </w:r>
          </w:p>
          <w:p w14:paraId="3BB50077" w14:textId="77777777" w:rsidR="000839A4" w:rsidRPr="000839A4" w:rsidRDefault="000839A4" w:rsidP="000839A4">
            <w:pPr>
              <w:spacing w:before="120"/>
              <w:ind w:firstLine="708"/>
              <w:rPr>
                <w:strike/>
                <w:szCs w:val="24"/>
              </w:rPr>
            </w:pPr>
          </w:p>
        </w:tc>
        <w:tc>
          <w:tcPr>
            <w:tcW w:w="1559" w:type="dxa"/>
          </w:tcPr>
          <w:p w14:paraId="29DF9FDC" w14:textId="77777777" w:rsidR="000839A4" w:rsidRPr="000839A4" w:rsidRDefault="000839A4" w:rsidP="000839A4">
            <w:pPr>
              <w:spacing w:before="120"/>
              <w:rPr>
                <w:strike/>
                <w:szCs w:val="24"/>
              </w:rPr>
            </w:pPr>
          </w:p>
        </w:tc>
        <w:tc>
          <w:tcPr>
            <w:tcW w:w="6232" w:type="dxa"/>
          </w:tcPr>
          <w:p w14:paraId="03049178" w14:textId="77777777" w:rsidR="000839A4" w:rsidRPr="000839A4" w:rsidRDefault="000839A4" w:rsidP="000839A4">
            <w:pPr>
              <w:spacing w:before="120"/>
              <w:rPr>
                <w:strike/>
                <w:szCs w:val="24"/>
              </w:rPr>
            </w:pPr>
            <w:r w:rsidRPr="000839A4">
              <w:rPr>
                <w:strike/>
                <w:szCs w:val="24"/>
              </w:rPr>
              <w:t xml:space="preserve">Jen: signalizační a zabezpečovací technická zařízení staveb klasifikovaných v CZ-CC v sekci 2        </w:t>
            </w:r>
          </w:p>
        </w:tc>
      </w:tr>
      <w:tr w:rsidR="000839A4" w:rsidRPr="000839A4" w14:paraId="2917C97E" w14:textId="77777777" w:rsidTr="000839A4">
        <w:tc>
          <w:tcPr>
            <w:tcW w:w="9062" w:type="dxa"/>
            <w:gridSpan w:val="3"/>
          </w:tcPr>
          <w:p w14:paraId="6EA41DCA" w14:textId="77777777" w:rsidR="000839A4" w:rsidRPr="000839A4" w:rsidRDefault="000839A4" w:rsidP="000839A4">
            <w:pPr>
              <w:spacing w:before="120"/>
              <w:rPr>
                <w:strike/>
                <w:szCs w:val="24"/>
              </w:rPr>
            </w:pPr>
            <w:r w:rsidRPr="000839A4">
              <w:rPr>
                <w:strike/>
                <w:szCs w:val="24"/>
              </w:rPr>
              <w:t>ODPISOVÁ SKUPINA 3</w:t>
            </w:r>
          </w:p>
        </w:tc>
      </w:tr>
      <w:tr w:rsidR="000839A4" w:rsidRPr="000839A4" w14:paraId="2F356C59" w14:textId="77777777" w:rsidTr="000839A4">
        <w:tc>
          <w:tcPr>
            <w:tcW w:w="1271" w:type="dxa"/>
          </w:tcPr>
          <w:p w14:paraId="1099AB09" w14:textId="77777777" w:rsidR="000839A4" w:rsidRPr="000839A4" w:rsidRDefault="000839A4" w:rsidP="000839A4">
            <w:pPr>
              <w:spacing w:before="120"/>
              <w:rPr>
                <w:strike/>
                <w:szCs w:val="24"/>
              </w:rPr>
            </w:pPr>
            <w:r w:rsidRPr="000839A4">
              <w:rPr>
                <w:strike/>
                <w:szCs w:val="24"/>
              </w:rPr>
              <w:t>Položka +)</w:t>
            </w:r>
          </w:p>
        </w:tc>
        <w:tc>
          <w:tcPr>
            <w:tcW w:w="1559" w:type="dxa"/>
          </w:tcPr>
          <w:p w14:paraId="72433DF3" w14:textId="77777777" w:rsidR="000839A4" w:rsidRPr="000839A4" w:rsidRDefault="000839A4" w:rsidP="000839A4">
            <w:pPr>
              <w:spacing w:before="120"/>
              <w:rPr>
                <w:strike/>
                <w:szCs w:val="24"/>
              </w:rPr>
            </w:pPr>
            <w:r w:rsidRPr="000839A4">
              <w:rPr>
                <w:strike/>
                <w:szCs w:val="24"/>
              </w:rPr>
              <w:t>CZ-CPA ++)</w:t>
            </w:r>
          </w:p>
        </w:tc>
        <w:tc>
          <w:tcPr>
            <w:tcW w:w="6232" w:type="dxa"/>
          </w:tcPr>
          <w:p w14:paraId="18AC90A3" w14:textId="77777777" w:rsidR="000839A4" w:rsidRPr="000839A4" w:rsidRDefault="000839A4" w:rsidP="000839A4">
            <w:pPr>
              <w:spacing w:before="120"/>
              <w:rPr>
                <w:strike/>
                <w:szCs w:val="24"/>
              </w:rPr>
            </w:pPr>
            <w:r w:rsidRPr="000839A4">
              <w:rPr>
                <w:strike/>
                <w:szCs w:val="24"/>
              </w:rPr>
              <w:t>Název ++++)</w:t>
            </w:r>
          </w:p>
        </w:tc>
      </w:tr>
      <w:tr w:rsidR="000839A4" w:rsidRPr="000839A4" w14:paraId="317BBACD" w14:textId="77777777" w:rsidTr="000839A4">
        <w:tc>
          <w:tcPr>
            <w:tcW w:w="1271" w:type="dxa"/>
          </w:tcPr>
          <w:p w14:paraId="2F8A4F7A" w14:textId="77777777" w:rsidR="000839A4" w:rsidRPr="000839A4" w:rsidRDefault="000839A4" w:rsidP="000839A4">
            <w:pPr>
              <w:spacing w:before="120"/>
              <w:rPr>
                <w:strike/>
                <w:szCs w:val="24"/>
              </w:rPr>
            </w:pPr>
          </w:p>
        </w:tc>
        <w:tc>
          <w:tcPr>
            <w:tcW w:w="1559" w:type="dxa"/>
          </w:tcPr>
          <w:p w14:paraId="6817B730" w14:textId="77777777" w:rsidR="000839A4" w:rsidRPr="000839A4" w:rsidRDefault="000839A4" w:rsidP="000839A4">
            <w:pPr>
              <w:spacing w:before="120"/>
              <w:rPr>
                <w:strike/>
                <w:szCs w:val="24"/>
              </w:rPr>
            </w:pPr>
            <w:r w:rsidRPr="000839A4">
              <w:rPr>
                <w:strike/>
                <w:szCs w:val="24"/>
              </w:rPr>
              <w:t>CZ-CC +++)</w:t>
            </w:r>
          </w:p>
        </w:tc>
        <w:tc>
          <w:tcPr>
            <w:tcW w:w="6232" w:type="dxa"/>
          </w:tcPr>
          <w:p w14:paraId="70DB8B4B" w14:textId="77777777" w:rsidR="000839A4" w:rsidRPr="000839A4" w:rsidRDefault="000839A4" w:rsidP="000839A4">
            <w:pPr>
              <w:spacing w:before="120"/>
              <w:rPr>
                <w:strike/>
                <w:szCs w:val="24"/>
              </w:rPr>
            </w:pPr>
          </w:p>
        </w:tc>
      </w:tr>
      <w:tr w:rsidR="000839A4" w:rsidRPr="000839A4" w14:paraId="50853BAB" w14:textId="77777777" w:rsidTr="000839A4">
        <w:tc>
          <w:tcPr>
            <w:tcW w:w="1271" w:type="dxa"/>
          </w:tcPr>
          <w:p w14:paraId="72BA1C5E" w14:textId="77777777" w:rsidR="000839A4" w:rsidRPr="000839A4" w:rsidRDefault="000839A4" w:rsidP="000839A4">
            <w:pPr>
              <w:spacing w:before="120"/>
              <w:rPr>
                <w:strike/>
                <w:szCs w:val="24"/>
              </w:rPr>
            </w:pPr>
            <w:r w:rsidRPr="000839A4">
              <w:rPr>
                <w:strike/>
                <w:szCs w:val="24"/>
              </w:rPr>
              <w:t xml:space="preserve">(3-1)      </w:t>
            </w:r>
          </w:p>
        </w:tc>
        <w:tc>
          <w:tcPr>
            <w:tcW w:w="1559" w:type="dxa"/>
          </w:tcPr>
          <w:p w14:paraId="68DF3071" w14:textId="77777777" w:rsidR="000839A4" w:rsidRPr="000839A4" w:rsidRDefault="000839A4" w:rsidP="000839A4">
            <w:pPr>
              <w:spacing w:before="120"/>
              <w:rPr>
                <w:strike/>
                <w:szCs w:val="24"/>
              </w:rPr>
            </w:pPr>
            <w:r w:rsidRPr="000839A4">
              <w:rPr>
                <w:strike/>
                <w:szCs w:val="24"/>
              </w:rPr>
              <w:t xml:space="preserve">127113     </w:t>
            </w:r>
          </w:p>
        </w:tc>
        <w:tc>
          <w:tcPr>
            <w:tcW w:w="6232" w:type="dxa"/>
          </w:tcPr>
          <w:p w14:paraId="55524746" w14:textId="77777777" w:rsidR="000839A4" w:rsidRPr="000839A4" w:rsidRDefault="000839A4" w:rsidP="000839A4">
            <w:pPr>
              <w:spacing w:before="120"/>
              <w:rPr>
                <w:strike/>
                <w:szCs w:val="24"/>
              </w:rPr>
            </w:pPr>
            <w:r w:rsidRPr="000839A4">
              <w:rPr>
                <w:strike/>
                <w:szCs w:val="24"/>
              </w:rPr>
              <w:t>Skleníky (fóliovníky) pro pěstování rostlin</w:t>
            </w:r>
          </w:p>
        </w:tc>
      </w:tr>
      <w:tr w:rsidR="000839A4" w:rsidRPr="000839A4" w14:paraId="17EC3E1F" w14:textId="77777777" w:rsidTr="000839A4">
        <w:tc>
          <w:tcPr>
            <w:tcW w:w="1271" w:type="dxa"/>
          </w:tcPr>
          <w:p w14:paraId="224EF6E6" w14:textId="77777777" w:rsidR="000839A4" w:rsidRPr="000839A4" w:rsidRDefault="000839A4" w:rsidP="000839A4">
            <w:pPr>
              <w:spacing w:before="120"/>
              <w:rPr>
                <w:strike/>
                <w:szCs w:val="24"/>
              </w:rPr>
            </w:pPr>
            <w:r w:rsidRPr="000839A4">
              <w:rPr>
                <w:strike/>
                <w:szCs w:val="24"/>
              </w:rPr>
              <w:t xml:space="preserve">(3-2)      </w:t>
            </w:r>
          </w:p>
        </w:tc>
        <w:tc>
          <w:tcPr>
            <w:tcW w:w="1559" w:type="dxa"/>
          </w:tcPr>
          <w:p w14:paraId="4A629EFC" w14:textId="77777777" w:rsidR="000839A4" w:rsidRPr="000839A4" w:rsidRDefault="000839A4" w:rsidP="000839A4">
            <w:pPr>
              <w:spacing w:before="120"/>
              <w:rPr>
                <w:strike/>
                <w:szCs w:val="24"/>
              </w:rPr>
            </w:pPr>
            <w:r w:rsidRPr="000839A4">
              <w:rPr>
                <w:strike/>
                <w:szCs w:val="24"/>
              </w:rPr>
              <w:t xml:space="preserve">242061     </w:t>
            </w:r>
          </w:p>
        </w:tc>
        <w:tc>
          <w:tcPr>
            <w:tcW w:w="6232" w:type="dxa"/>
          </w:tcPr>
          <w:p w14:paraId="447A03B0" w14:textId="77777777" w:rsidR="000839A4" w:rsidRPr="000839A4" w:rsidRDefault="000839A4" w:rsidP="000839A4">
            <w:pPr>
              <w:spacing w:before="120"/>
              <w:rPr>
                <w:strike/>
                <w:szCs w:val="24"/>
              </w:rPr>
            </w:pPr>
            <w:r w:rsidRPr="000839A4">
              <w:rPr>
                <w:strike/>
                <w:szCs w:val="24"/>
              </w:rPr>
              <w:t>Konstrukce chmelnic</w:t>
            </w:r>
          </w:p>
        </w:tc>
      </w:tr>
      <w:tr w:rsidR="000839A4" w:rsidRPr="000839A4" w14:paraId="6EB0D75B" w14:textId="77777777" w:rsidTr="000839A4">
        <w:tc>
          <w:tcPr>
            <w:tcW w:w="1271" w:type="dxa"/>
          </w:tcPr>
          <w:p w14:paraId="5D17F42A" w14:textId="77777777" w:rsidR="000839A4" w:rsidRPr="000839A4" w:rsidRDefault="000839A4" w:rsidP="000839A4">
            <w:pPr>
              <w:spacing w:before="120"/>
              <w:rPr>
                <w:strike/>
                <w:szCs w:val="24"/>
              </w:rPr>
            </w:pPr>
            <w:r w:rsidRPr="000839A4">
              <w:rPr>
                <w:strike/>
                <w:szCs w:val="24"/>
              </w:rPr>
              <w:t xml:space="preserve">(3-3)     </w:t>
            </w:r>
          </w:p>
        </w:tc>
        <w:tc>
          <w:tcPr>
            <w:tcW w:w="1559" w:type="dxa"/>
          </w:tcPr>
          <w:p w14:paraId="7AFEE557" w14:textId="77777777" w:rsidR="000839A4" w:rsidRPr="000839A4" w:rsidRDefault="000839A4" w:rsidP="000839A4">
            <w:pPr>
              <w:spacing w:before="120"/>
              <w:rPr>
                <w:strike/>
                <w:szCs w:val="24"/>
              </w:rPr>
            </w:pPr>
            <w:r w:rsidRPr="000839A4">
              <w:rPr>
                <w:strike/>
                <w:szCs w:val="24"/>
              </w:rPr>
              <w:t xml:space="preserve">23.61.20   </w:t>
            </w:r>
          </w:p>
        </w:tc>
        <w:tc>
          <w:tcPr>
            <w:tcW w:w="6232" w:type="dxa"/>
          </w:tcPr>
          <w:p w14:paraId="1FB14500" w14:textId="77777777" w:rsidR="000839A4" w:rsidRPr="000839A4" w:rsidRDefault="000839A4" w:rsidP="000839A4">
            <w:pPr>
              <w:spacing w:before="120"/>
              <w:rPr>
                <w:strike/>
                <w:szCs w:val="24"/>
              </w:rPr>
            </w:pPr>
            <w:r w:rsidRPr="000839A4">
              <w:rPr>
                <w:strike/>
                <w:szCs w:val="24"/>
              </w:rPr>
              <w:t>Montované stavby z betonu</w:t>
            </w:r>
          </w:p>
        </w:tc>
      </w:tr>
      <w:tr w:rsidR="000839A4" w:rsidRPr="000839A4" w14:paraId="7779EEC7" w14:textId="77777777" w:rsidTr="000839A4">
        <w:tc>
          <w:tcPr>
            <w:tcW w:w="1271" w:type="dxa"/>
          </w:tcPr>
          <w:p w14:paraId="1142AD68" w14:textId="77777777" w:rsidR="000839A4" w:rsidRPr="000839A4" w:rsidRDefault="000839A4" w:rsidP="000839A4">
            <w:pPr>
              <w:spacing w:before="120"/>
              <w:rPr>
                <w:strike/>
                <w:szCs w:val="24"/>
              </w:rPr>
            </w:pPr>
            <w:r w:rsidRPr="000839A4">
              <w:rPr>
                <w:strike/>
                <w:szCs w:val="24"/>
              </w:rPr>
              <w:t xml:space="preserve">(3-4)     </w:t>
            </w:r>
          </w:p>
          <w:p w14:paraId="46031F43" w14:textId="77777777" w:rsidR="000839A4" w:rsidRPr="000839A4" w:rsidRDefault="000839A4" w:rsidP="000839A4">
            <w:pPr>
              <w:spacing w:before="120"/>
              <w:rPr>
                <w:strike/>
                <w:szCs w:val="24"/>
              </w:rPr>
            </w:pPr>
          </w:p>
        </w:tc>
        <w:tc>
          <w:tcPr>
            <w:tcW w:w="1559" w:type="dxa"/>
          </w:tcPr>
          <w:p w14:paraId="00D314D3" w14:textId="77777777" w:rsidR="000839A4" w:rsidRPr="000839A4" w:rsidRDefault="000839A4" w:rsidP="000839A4">
            <w:pPr>
              <w:spacing w:before="120"/>
              <w:rPr>
                <w:strike/>
                <w:szCs w:val="24"/>
              </w:rPr>
            </w:pPr>
            <w:r w:rsidRPr="000839A4">
              <w:rPr>
                <w:strike/>
                <w:szCs w:val="24"/>
              </w:rPr>
              <w:t xml:space="preserve">230341     </w:t>
            </w:r>
          </w:p>
        </w:tc>
        <w:tc>
          <w:tcPr>
            <w:tcW w:w="6232" w:type="dxa"/>
          </w:tcPr>
          <w:p w14:paraId="3CD2A111" w14:textId="77777777" w:rsidR="000839A4" w:rsidRPr="000839A4" w:rsidRDefault="000839A4" w:rsidP="000839A4">
            <w:pPr>
              <w:spacing w:before="120"/>
              <w:rPr>
                <w:strike/>
                <w:szCs w:val="24"/>
              </w:rPr>
            </w:pPr>
            <w:r w:rsidRPr="000839A4">
              <w:rPr>
                <w:strike/>
                <w:szCs w:val="24"/>
              </w:rPr>
              <w:t>Jen: věžové zásobníky chemických podniků pokud nejsou uvedeny v jiné položce této přílohy</w:t>
            </w:r>
          </w:p>
        </w:tc>
      </w:tr>
      <w:tr w:rsidR="000839A4" w:rsidRPr="000839A4" w14:paraId="00ED44EC" w14:textId="77777777" w:rsidTr="000839A4">
        <w:tc>
          <w:tcPr>
            <w:tcW w:w="1271" w:type="dxa"/>
          </w:tcPr>
          <w:p w14:paraId="1BCA394A" w14:textId="77777777" w:rsidR="000839A4" w:rsidRPr="000839A4" w:rsidRDefault="000839A4" w:rsidP="000839A4">
            <w:pPr>
              <w:spacing w:before="120"/>
              <w:rPr>
                <w:strike/>
                <w:szCs w:val="24"/>
              </w:rPr>
            </w:pPr>
            <w:r w:rsidRPr="000839A4">
              <w:rPr>
                <w:strike/>
                <w:szCs w:val="24"/>
              </w:rPr>
              <w:lastRenderedPageBreak/>
              <w:t xml:space="preserve">(3-5)     </w:t>
            </w:r>
          </w:p>
        </w:tc>
        <w:tc>
          <w:tcPr>
            <w:tcW w:w="1559" w:type="dxa"/>
          </w:tcPr>
          <w:p w14:paraId="38047C10" w14:textId="77777777" w:rsidR="000839A4" w:rsidRPr="000839A4" w:rsidRDefault="000839A4" w:rsidP="000839A4">
            <w:pPr>
              <w:spacing w:before="120"/>
              <w:rPr>
                <w:strike/>
                <w:szCs w:val="24"/>
              </w:rPr>
            </w:pPr>
            <w:proofErr w:type="gramStart"/>
            <w:r w:rsidRPr="000839A4">
              <w:rPr>
                <w:strike/>
                <w:szCs w:val="24"/>
              </w:rPr>
              <w:t>25.11.10</w:t>
            </w:r>
            <w:proofErr w:type="gramEnd"/>
            <w:r w:rsidRPr="000839A4">
              <w:rPr>
                <w:strike/>
                <w:szCs w:val="24"/>
              </w:rPr>
              <w:t xml:space="preserve">   </w:t>
            </w:r>
          </w:p>
        </w:tc>
        <w:tc>
          <w:tcPr>
            <w:tcW w:w="6232" w:type="dxa"/>
          </w:tcPr>
          <w:p w14:paraId="1F1843C9" w14:textId="77777777" w:rsidR="000839A4" w:rsidRPr="000839A4" w:rsidRDefault="000839A4" w:rsidP="000839A4">
            <w:pPr>
              <w:spacing w:before="120"/>
              <w:rPr>
                <w:strike/>
                <w:szCs w:val="24"/>
              </w:rPr>
            </w:pPr>
            <w:r w:rsidRPr="000839A4">
              <w:rPr>
                <w:strike/>
                <w:szCs w:val="24"/>
              </w:rPr>
              <w:t>Kovové montované stavby</w:t>
            </w:r>
          </w:p>
        </w:tc>
      </w:tr>
      <w:tr w:rsidR="000839A4" w:rsidRPr="000839A4" w14:paraId="20B26D8C" w14:textId="77777777" w:rsidTr="000839A4">
        <w:tc>
          <w:tcPr>
            <w:tcW w:w="1271" w:type="dxa"/>
          </w:tcPr>
          <w:p w14:paraId="2979CF7A" w14:textId="77777777" w:rsidR="000839A4" w:rsidRPr="000839A4" w:rsidRDefault="000839A4" w:rsidP="000839A4">
            <w:pPr>
              <w:spacing w:before="120"/>
              <w:rPr>
                <w:strike/>
                <w:szCs w:val="24"/>
              </w:rPr>
            </w:pPr>
            <w:r w:rsidRPr="000839A4">
              <w:rPr>
                <w:strike/>
                <w:szCs w:val="24"/>
              </w:rPr>
              <w:t xml:space="preserve">(3-6)      </w:t>
            </w:r>
          </w:p>
        </w:tc>
        <w:tc>
          <w:tcPr>
            <w:tcW w:w="1559" w:type="dxa"/>
          </w:tcPr>
          <w:p w14:paraId="41194893" w14:textId="77777777" w:rsidR="000839A4" w:rsidRPr="000839A4" w:rsidRDefault="000839A4" w:rsidP="000839A4">
            <w:pPr>
              <w:spacing w:before="120"/>
              <w:rPr>
                <w:strike/>
                <w:szCs w:val="24"/>
              </w:rPr>
            </w:pPr>
            <w:proofErr w:type="gramStart"/>
            <w:r w:rsidRPr="000839A4">
              <w:rPr>
                <w:strike/>
                <w:szCs w:val="24"/>
              </w:rPr>
              <w:t>25.11.21</w:t>
            </w:r>
            <w:proofErr w:type="gramEnd"/>
            <w:r w:rsidRPr="000839A4">
              <w:rPr>
                <w:strike/>
                <w:szCs w:val="24"/>
              </w:rPr>
              <w:t xml:space="preserve">   </w:t>
            </w:r>
          </w:p>
        </w:tc>
        <w:tc>
          <w:tcPr>
            <w:tcW w:w="6232" w:type="dxa"/>
          </w:tcPr>
          <w:p w14:paraId="0201F8CC" w14:textId="77777777" w:rsidR="000839A4" w:rsidRPr="000839A4" w:rsidRDefault="000839A4" w:rsidP="000839A4">
            <w:pPr>
              <w:spacing w:before="120"/>
              <w:rPr>
                <w:strike/>
                <w:szCs w:val="24"/>
              </w:rPr>
            </w:pPr>
            <w:r w:rsidRPr="000839A4">
              <w:rPr>
                <w:strike/>
                <w:szCs w:val="24"/>
              </w:rPr>
              <w:t>Mosty a jejich díly ze železa nebo oceli</w:t>
            </w:r>
          </w:p>
        </w:tc>
      </w:tr>
      <w:tr w:rsidR="000839A4" w:rsidRPr="000839A4" w14:paraId="710B0415" w14:textId="77777777" w:rsidTr="000839A4">
        <w:tc>
          <w:tcPr>
            <w:tcW w:w="1271" w:type="dxa"/>
          </w:tcPr>
          <w:p w14:paraId="7821599E" w14:textId="77777777" w:rsidR="000839A4" w:rsidRPr="000839A4" w:rsidRDefault="000839A4" w:rsidP="000839A4">
            <w:pPr>
              <w:spacing w:before="120"/>
              <w:rPr>
                <w:strike/>
                <w:szCs w:val="24"/>
              </w:rPr>
            </w:pPr>
            <w:r w:rsidRPr="000839A4">
              <w:rPr>
                <w:strike/>
                <w:szCs w:val="24"/>
              </w:rPr>
              <w:t xml:space="preserve">(3-7)     </w:t>
            </w:r>
          </w:p>
          <w:p w14:paraId="3277F75D" w14:textId="77777777" w:rsidR="000839A4" w:rsidRPr="000839A4" w:rsidRDefault="000839A4" w:rsidP="000839A4">
            <w:pPr>
              <w:spacing w:before="120"/>
              <w:rPr>
                <w:strike/>
                <w:szCs w:val="24"/>
              </w:rPr>
            </w:pPr>
          </w:p>
        </w:tc>
        <w:tc>
          <w:tcPr>
            <w:tcW w:w="1559" w:type="dxa"/>
          </w:tcPr>
          <w:p w14:paraId="3F597317" w14:textId="77777777" w:rsidR="000839A4" w:rsidRPr="000839A4" w:rsidRDefault="000839A4" w:rsidP="000839A4">
            <w:pPr>
              <w:spacing w:before="120"/>
              <w:rPr>
                <w:strike/>
                <w:szCs w:val="24"/>
              </w:rPr>
            </w:pPr>
            <w:proofErr w:type="gramStart"/>
            <w:r w:rsidRPr="000839A4">
              <w:rPr>
                <w:strike/>
                <w:szCs w:val="24"/>
              </w:rPr>
              <w:t>25.11.22</w:t>
            </w:r>
            <w:proofErr w:type="gramEnd"/>
            <w:r w:rsidRPr="000839A4">
              <w:rPr>
                <w:strike/>
                <w:szCs w:val="24"/>
              </w:rPr>
              <w:t xml:space="preserve">   </w:t>
            </w:r>
          </w:p>
        </w:tc>
        <w:tc>
          <w:tcPr>
            <w:tcW w:w="6232" w:type="dxa"/>
          </w:tcPr>
          <w:p w14:paraId="65A11E0F" w14:textId="77777777" w:rsidR="000839A4" w:rsidRPr="000839A4" w:rsidRDefault="000839A4" w:rsidP="000839A4">
            <w:pPr>
              <w:spacing w:before="120"/>
              <w:rPr>
                <w:strike/>
                <w:szCs w:val="24"/>
              </w:rPr>
            </w:pPr>
            <w:r w:rsidRPr="000839A4">
              <w:rPr>
                <w:strike/>
                <w:szCs w:val="24"/>
              </w:rPr>
              <w:t>Věže a příhradové stožáry ze železa nebo oceli</w:t>
            </w:r>
          </w:p>
        </w:tc>
      </w:tr>
      <w:tr w:rsidR="000839A4" w:rsidRPr="000839A4" w14:paraId="0679FEEF" w14:textId="77777777" w:rsidTr="000839A4">
        <w:tc>
          <w:tcPr>
            <w:tcW w:w="1271" w:type="dxa"/>
          </w:tcPr>
          <w:p w14:paraId="4EA88347" w14:textId="77777777" w:rsidR="000839A4" w:rsidRPr="000839A4" w:rsidRDefault="000839A4" w:rsidP="000839A4">
            <w:pPr>
              <w:spacing w:before="120"/>
              <w:rPr>
                <w:strike/>
                <w:szCs w:val="24"/>
              </w:rPr>
            </w:pPr>
            <w:r w:rsidRPr="000839A4">
              <w:rPr>
                <w:strike/>
                <w:szCs w:val="24"/>
              </w:rPr>
              <w:t xml:space="preserve">(3-8)     </w:t>
            </w:r>
          </w:p>
          <w:p w14:paraId="31C11921" w14:textId="77777777" w:rsidR="000839A4" w:rsidRPr="000839A4" w:rsidRDefault="000839A4" w:rsidP="000839A4">
            <w:pPr>
              <w:spacing w:before="120"/>
              <w:rPr>
                <w:strike/>
                <w:szCs w:val="24"/>
              </w:rPr>
            </w:pPr>
          </w:p>
        </w:tc>
        <w:tc>
          <w:tcPr>
            <w:tcW w:w="1559" w:type="dxa"/>
          </w:tcPr>
          <w:p w14:paraId="57EDD4C3" w14:textId="77777777" w:rsidR="000839A4" w:rsidRPr="000839A4" w:rsidRDefault="000839A4" w:rsidP="000839A4">
            <w:pPr>
              <w:spacing w:before="120"/>
              <w:rPr>
                <w:strike/>
                <w:szCs w:val="24"/>
              </w:rPr>
            </w:pPr>
            <w:proofErr w:type="gramStart"/>
            <w:r w:rsidRPr="000839A4">
              <w:rPr>
                <w:strike/>
                <w:szCs w:val="24"/>
              </w:rPr>
              <w:t>25.11.23</w:t>
            </w:r>
            <w:proofErr w:type="gramEnd"/>
            <w:r w:rsidRPr="000839A4">
              <w:rPr>
                <w:strike/>
                <w:szCs w:val="24"/>
              </w:rPr>
              <w:t xml:space="preserve">   </w:t>
            </w:r>
          </w:p>
        </w:tc>
        <w:tc>
          <w:tcPr>
            <w:tcW w:w="6232" w:type="dxa"/>
          </w:tcPr>
          <w:p w14:paraId="5A082B82" w14:textId="2A990912" w:rsidR="000839A4" w:rsidRPr="000839A4" w:rsidRDefault="000839A4" w:rsidP="000839A4">
            <w:pPr>
              <w:spacing w:before="120"/>
              <w:rPr>
                <w:strike/>
                <w:szCs w:val="24"/>
              </w:rPr>
            </w:pPr>
            <w:r w:rsidRPr="000839A4">
              <w:rPr>
                <w:strike/>
                <w:szCs w:val="24"/>
              </w:rPr>
              <w:t xml:space="preserve">Jen: ostatní ocelové nebo hliníkové konstrukce pokud </w:t>
            </w:r>
            <w:r w:rsidR="002561EA">
              <w:rPr>
                <w:strike/>
                <w:szCs w:val="24"/>
              </w:rPr>
              <w:t xml:space="preserve">nejsou uvedeny v jiné </w:t>
            </w:r>
            <w:r w:rsidRPr="000839A4">
              <w:rPr>
                <w:strike/>
                <w:szCs w:val="24"/>
              </w:rPr>
              <w:t xml:space="preserve">položce této přílohy </w:t>
            </w:r>
          </w:p>
        </w:tc>
      </w:tr>
      <w:tr w:rsidR="000839A4" w:rsidRPr="000839A4" w14:paraId="21F94A2E" w14:textId="77777777" w:rsidTr="000839A4">
        <w:tc>
          <w:tcPr>
            <w:tcW w:w="1271" w:type="dxa"/>
          </w:tcPr>
          <w:p w14:paraId="1135CF19" w14:textId="77777777" w:rsidR="000839A4" w:rsidRPr="000839A4" w:rsidRDefault="000839A4" w:rsidP="000839A4">
            <w:pPr>
              <w:spacing w:before="120"/>
              <w:rPr>
                <w:strike/>
                <w:szCs w:val="24"/>
              </w:rPr>
            </w:pPr>
            <w:r w:rsidRPr="000839A4">
              <w:rPr>
                <w:strike/>
                <w:szCs w:val="24"/>
              </w:rPr>
              <w:t xml:space="preserve">(3-9)     </w:t>
            </w:r>
          </w:p>
          <w:p w14:paraId="5856B55E" w14:textId="77777777" w:rsidR="000839A4" w:rsidRPr="000839A4" w:rsidRDefault="000839A4" w:rsidP="000839A4">
            <w:pPr>
              <w:spacing w:before="120"/>
              <w:rPr>
                <w:strike/>
                <w:szCs w:val="24"/>
              </w:rPr>
            </w:pPr>
          </w:p>
        </w:tc>
        <w:tc>
          <w:tcPr>
            <w:tcW w:w="1559" w:type="dxa"/>
          </w:tcPr>
          <w:p w14:paraId="1178B556" w14:textId="77777777" w:rsidR="000839A4" w:rsidRPr="000839A4" w:rsidRDefault="000839A4" w:rsidP="000839A4">
            <w:pPr>
              <w:spacing w:before="120"/>
              <w:rPr>
                <w:strike/>
                <w:szCs w:val="24"/>
              </w:rPr>
            </w:pPr>
            <w:r w:rsidRPr="000839A4">
              <w:rPr>
                <w:strike/>
                <w:szCs w:val="24"/>
              </w:rPr>
              <w:t xml:space="preserve">25.21.12   </w:t>
            </w:r>
          </w:p>
        </w:tc>
        <w:tc>
          <w:tcPr>
            <w:tcW w:w="6232" w:type="dxa"/>
          </w:tcPr>
          <w:p w14:paraId="5ED16414" w14:textId="77777777" w:rsidR="000839A4" w:rsidRPr="000839A4" w:rsidRDefault="000839A4" w:rsidP="000839A4">
            <w:pPr>
              <w:spacing w:before="120"/>
              <w:rPr>
                <w:strike/>
                <w:szCs w:val="24"/>
              </w:rPr>
            </w:pPr>
            <w:r w:rsidRPr="000839A4">
              <w:rPr>
                <w:strike/>
                <w:szCs w:val="24"/>
              </w:rPr>
              <w:t>Kotle k ústřednímu topení, schopné dodávat jak teplou vodu, tak i nízkotlakou páru</w:t>
            </w:r>
          </w:p>
        </w:tc>
      </w:tr>
      <w:tr w:rsidR="000839A4" w:rsidRPr="000839A4" w14:paraId="7AC85C96" w14:textId="77777777" w:rsidTr="000839A4">
        <w:tc>
          <w:tcPr>
            <w:tcW w:w="1271" w:type="dxa"/>
          </w:tcPr>
          <w:p w14:paraId="739F844D" w14:textId="77777777" w:rsidR="000839A4" w:rsidRPr="000839A4" w:rsidRDefault="000839A4" w:rsidP="000839A4">
            <w:pPr>
              <w:spacing w:before="120"/>
              <w:rPr>
                <w:strike/>
                <w:szCs w:val="24"/>
              </w:rPr>
            </w:pPr>
            <w:r w:rsidRPr="000839A4">
              <w:rPr>
                <w:strike/>
                <w:szCs w:val="24"/>
              </w:rPr>
              <w:t xml:space="preserve">(3-10)     </w:t>
            </w:r>
          </w:p>
          <w:p w14:paraId="49A363A6" w14:textId="77777777" w:rsidR="000839A4" w:rsidRPr="000839A4" w:rsidRDefault="000839A4" w:rsidP="000839A4">
            <w:pPr>
              <w:spacing w:before="120"/>
              <w:rPr>
                <w:strike/>
                <w:szCs w:val="24"/>
              </w:rPr>
            </w:pPr>
          </w:p>
        </w:tc>
        <w:tc>
          <w:tcPr>
            <w:tcW w:w="1559" w:type="dxa"/>
          </w:tcPr>
          <w:p w14:paraId="1C32C3E1" w14:textId="77777777" w:rsidR="000839A4" w:rsidRPr="000839A4" w:rsidRDefault="000839A4" w:rsidP="000839A4">
            <w:pPr>
              <w:spacing w:before="120"/>
              <w:rPr>
                <w:strike/>
                <w:szCs w:val="24"/>
              </w:rPr>
            </w:pPr>
            <w:r w:rsidRPr="000839A4">
              <w:rPr>
                <w:strike/>
                <w:szCs w:val="24"/>
              </w:rPr>
              <w:t xml:space="preserve">25.29.1    </w:t>
            </w:r>
          </w:p>
        </w:tc>
        <w:tc>
          <w:tcPr>
            <w:tcW w:w="6232" w:type="dxa"/>
          </w:tcPr>
          <w:p w14:paraId="629149C8" w14:textId="77777777" w:rsidR="000839A4" w:rsidRPr="000839A4" w:rsidRDefault="000839A4" w:rsidP="000839A4">
            <w:pPr>
              <w:spacing w:before="120"/>
              <w:rPr>
                <w:strike/>
                <w:szCs w:val="24"/>
              </w:rPr>
            </w:pPr>
            <w:r w:rsidRPr="000839A4">
              <w:rPr>
                <w:strike/>
                <w:szCs w:val="24"/>
              </w:rPr>
              <w:t>Ostatní kovové nádrže, zásobníky a podobné nádoby</w:t>
            </w:r>
          </w:p>
        </w:tc>
      </w:tr>
      <w:tr w:rsidR="000839A4" w:rsidRPr="000839A4" w14:paraId="10710984" w14:textId="77777777" w:rsidTr="000839A4">
        <w:tc>
          <w:tcPr>
            <w:tcW w:w="1271" w:type="dxa"/>
          </w:tcPr>
          <w:p w14:paraId="7394EC03" w14:textId="77777777" w:rsidR="000839A4" w:rsidRPr="000839A4" w:rsidRDefault="000839A4" w:rsidP="000839A4">
            <w:pPr>
              <w:spacing w:before="120"/>
              <w:rPr>
                <w:strike/>
                <w:szCs w:val="24"/>
              </w:rPr>
            </w:pPr>
            <w:r w:rsidRPr="000839A4">
              <w:rPr>
                <w:strike/>
                <w:szCs w:val="24"/>
              </w:rPr>
              <w:t xml:space="preserve">(3-11)     </w:t>
            </w:r>
          </w:p>
          <w:p w14:paraId="332F234E" w14:textId="77777777" w:rsidR="000839A4" w:rsidRPr="000839A4" w:rsidRDefault="000839A4" w:rsidP="000839A4">
            <w:pPr>
              <w:spacing w:before="120"/>
              <w:rPr>
                <w:strike/>
                <w:szCs w:val="24"/>
              </w:rPr>
            </w:pPr>
          </w:p>
        </w:tc>
        <w:tc>
          <w:tcPr>
            <w:tcW w:w="1559" w:type="dxa"/>
          </w:tcPr>
          <w:p w14:paraId="326A36B0" w14:textId="77777777" w:rsidR="000839A4" w:rsidRPr="000839A4" w:rsidRDefault="000839A4" w:rsidP="000839A4">
            <w:pPr>
              <w:spacing w:before="120"/>
              <w:rPr>
                <w:strike/>
                <w:szCs w:val="24"/>
              </w:rPr>
            </w:pPr>
            <w:r w:rsidRPr="000839A4">
              <w:rPr>
                <w:strike/>
                <w:szCs w:val="24"/>
              </w:rPr>
              <w:t xml:space="preserve">25.30      </w:t>
            </w:r>
          </w:p>
        </w:tc>
        <w:tc>
          <w:tcPr>
            <w:tcW w:w="6232" w:type="dxa"/>
          </w:tcPr>
          <w:p w14:paraId="2FC0BF20" w14:textId="77777777" w:rsidR="000839A4" w:rsidRPr="000839A4" w:rsidRDefault="000839A4" w:rsidP="000839A4">
            <w:pPr>
              <w:spacing w:before="120"/>
              <w:rPr>
                <w:strike/>
                <w:szCs w:val="24"/>
              </w:rPr>
            </w:pPr>
            <w:r w:rsidRPr="000839A4">
              <w:rPr>
                <w:strike/>
                <w:szCs w:val="24"/>
              </w:rPr>
              <w:t>Jen: parní kotle, jaderné reaktory a pomocná zařízení pro kotle</w:t>
            </w:r>
          </w:p>
        </w:tc>
      </w:tr>
      <w:tr w:rsidR="000839A4" w:rsidRPr="000839A4" w14:paraId="05B1D7DE" w14:textId="77777777" w:rsidTr="000839A4">
        <w:tc>
          <w:tcPr>
            <w:tcW w:w="1271" w:type="dxa"/>
          </w:tcPr>
          <w:p w14:paraId="5B86CD17" w14:textId="77777777" w:rsidR="000839A4" w:rsidRPr="000839A4" w:rsidRDefault="000839A4" w:rsidP="000839A4">
            <w:pPr>
              <w:spacing w:before="120"/>
              <w:rPr>
                <w:strike/>
                <w:szCs w:val="24"/>
              </w:rPr>
            </w:pPr>
            <w:r w:rsidRPr="000839A4">
              <w:rPr>
                <w:strike/>
                <w:szCs w:val="24"/>
              </w:rPr>
              <w:t xml:space="preserve">(3-12)     </w:t>
            </w:r>
          </w:p>
          <w:p w14:paraId="5D76D7C6" w14:textId="77777777" w:rsidR="000839A4" w:rsidRPr="000839A4" w:rsidRDefault="000839A4" w:rsidP="000839A4">
            <w:pPr>
              <w:spacing w:before="120"/>
              <w:rPr>
                <w:strike/>
                <w:szCs w:val="24"/>
              </w:rPr>
            </w:pPr>
          </w:p>
        </w:tc>
        <w:tc>
          <w:tcPr>
            <w:tcW w:w="1559" w:type="dxa"/>
          </w:tcPr>
          <w:p w14:paraId="3340C0C4" w14:textId="77777777" w:rsidR="000839A4" w:rsidRPr="000839A4" w:rsidRDefault="000839A4" w:rsidP="000839A4">
            <w:pPr>
              <w:spacing w:before="120"/>
              <w:rPr>
                <w:strike/>
                <w:szCs w:val="24"/>
              </w:rPr>
            </w:pPr>
            <w:r w:rsidRPr="000839A4">
              <w:rPr>
                <w:strike/>
                <w:szCs w:val="24"/>
              </w:rPr>
              <w:t xml:space="preserve">25.71.15   </w:t>
            </w:r>
          </w:p>
        </w:tc>
        <w:tc>
          <w:tcPr>
            <w:tcW w:w="6232" w:type="dxa"/>
          </w:tcPr>
          <w:p w14:paraId="562FE004" w14:textId="77777777" w:rsidR="000839A4" w:rsidRPr="000839A4" w:rsidRDefault="000839A4" w:rsidP="000839A4">
            <w:pPr>
              <w:spacing w:before="120"/>
              <w:rPr>
                <w:strike/>
                <w:szCs w:val="24"/>
              </w:rPr>
            </w:pPr>
            <w:r w:rsidRPr="000839A4">
              <w:rPr>
                <w:strike/>
                <w:szCs w:val="24"/>
              </w:rPr>
              <w:t>Šavle, kordy, bodáky, kopí a podobné sečné a bodné zbraně</w:t>
            </w:r>
          </w:p>
        </w:tc>
      </w:tr>
      <w:tr w:rsidR="000839A4" w:rsidRPr="000839A4" w14:paraId="2282769B" w14:textId="77777777" w:rsidTr="000839A4">
        <w:tc>
          <w:tcPr>
            <w:tcW w:w="1271" w:type="dxa"/>
          </w:tcPr>
          <w:p w14:paraId="12B30E08" w14:textId="77777777" w:rsidR="000839A4" w:rsidRPr="000839A4" w:rsidRDefault="000839A4" w:rsidP="000839A4">
            <w:pPr>
              <w:spacing w:before="120"/>
              <w:rPr>
                <w:strike/>
                <w:szCs w:val="24"/>
              </w:rPr>
            </w:pPr>
            <w:r w:rsidRPr="000839A4">
              <w:rPr>
                <w:strike/>
                <w:szCs w:val="24"/>
              </w:rPr>
              <w:t xml:space="preserve">(3-13)     </w:t>
            </w:r>
          </w:p>
          <w:p w14:paraId="7A2E0D16" w14:textId="77777777" w:rsidR="000839A4" w:rsidRPr="000839A4" w:rsidRDefault="000839A4" w:rsidP="000839A4">
            <w:pPr>
              <w:spacing w:before="120"/>
              <w:rPr>
                <w:strike/>
                <w:szCs w:val="24"/>
              </w:rPr>
            </w:pPr>
          </w:p>
        </w:tc>
        <w:tc>
          <w:tcPr>
            <w:tcW w:w="1559" w:type="dxa"/>
          </w:tcPr>
          <w:p w14:paraId="53B9106F" w14:textId="77777777" w:rsidR="000839A4" w:rsidRPr="000839A4" w:rsidRDefault="000839A4" w:rsidP="000839A4">
            <w:pPr>
              <w:spacing w:before="120"/>
              <w:rPr>
                <w:strike/>
                <w:szCs w:val="24"/>
              </w:rPr>
            </w:pPr>
            <w:r w:rsidRPr="000839A4">
              <w:rPr>
                <w:strike/>
                <w:szCs w:val="24"/>
              </w:rPr>
              <w:t xml:space="preserve">25.99.21   </w:t>
            </w:r>
          </w:p>
        </w:tc>
        <w:tc>
          <w:tcPr>
            <w:tcW w:w="6232" w:type="dxa"/>
          </w:tcPr>
          <w:p w14:paraId="7DB84D82" w14:textId="77777777" w:rsidR="000839A4" w:rsidRPr="000839A4" w:rsidRDefault="000839A4" w:rsidP="000839A4">
            <w:pPr>
              <w:spacing w:before="120"/>
              <w:rPr>
                <w:strike/>
                <w:szCs w:val="24"/>
              </w:rPr>
            </w:pPr>
            <w:r w:rsidRPr="000839A4">
              <w:rPr>
                <w:strike/>
                <w:szCs w:val="24"/>
              </w:rPr>
              <w:t>Pancéřové nebo zpevněné sejfy, trezory, skříně a dveře a bezpečnostní schránky pro komorové trezory, příruční pokladny nebo bezpečnostní skříňky nebo kazety a podobné výrobky, z obecných kovů</w:t>
            </w:r>
          </w:p>
        </w:tc>
      </w:tr>
      <w:tr w:rsidR="000839A4" w:rsidRPr="000839A4" w14:paraId="656E937F" w14:textId="77777777" w:rsidTr="000839A4">
        <w:tc>
          <w:tcPr>
            <w:tcW w:w="1271" w:type="dxa"/>
          </w:tcPr>
          <w:p w14:paraId="020CCDE3" w14:textId="77777777" w:rsidR="000839A4" w:rsidRPr="000839A4" w:rsidRDefault="000839A4" w:rsidP="000839A4">
            <w:pPr>
              <w:spacing w:before="120"/>
              <w:rPr>
                <w:strike/>
                <w:szCs w:val="24"/>
              </w:rPr>
            </w:pPr>
            <w:r w:rsidRPr="000839A4">
              <w:rPr>
                <w:strike/>
                <w:szCs w:val="24"/>
              </w:rPr>
              <w:t xml:space="preserve">(3-14)    </w:t>
            </w:r>
          </w:p>
          <w:p w14:paraId="40432C12" w14:textId="77777777" w:rsidR="000839A4" w:rsidRPr="000839A4" w:rsidRDefault="000839A4" w:rsidP="000839A4">
            <w:pPr>
              <w:spacing w:before="120"/>
              <w:jc w:val="center"/>
              <w:rPr>
                <w:strike/>
                <w:szCs w:val="24"/>
              </w:rPr>
            </w:pPr>
          </w:p>
        </w:tc>
        <w:tc>
          <w:tcPr>
            <w:tcW w:w="1559" w:type="dxa"/>
          </w:tcPr>
          <w:p w14:paraId="6BFE87A1" w14:textId="77777777" w:rsidR="000839A4" w:rsidRPr="000839A4" w:rsidRDefault="000839A4" w:rsidP="000839A4">
            <w:pPr>
              <w:spacing w:before="120"/>
              <w:rPr>
                <w:strike/>
                <w:szCs w:val="24"/>
              </w:rPr>
            </w:pPr>
            <w:r w:rsidRPr="000839A4">
              <w:rPr>
                <w:strike/>
                <w:szCs w:val="24"/>
              </w:rPr>
              <w:t xml:space="preserve">25.99.22   </w:t>
            </w:r>
          </w:p>
        </w:tc>
        <w:tc>
          <w:tcPr>
            <w:tcW w:w="6232" w:type="dxa"/>
          </w:tcPr>
          <w:p w14:paraId="1EA61B35" w14:textId="77777777" w:rsidR="000839A4" w:rsidRPr="000839A4" w:rsidRDefault="000839A4" w:rsidP="000839A4">
            <w:pPr>
              <w:spacing w:before="120"/>
              <w:rPr>
                <w:strike/>
                <w:szCs w:val="24"/>
              </w:rPr>
            </w:pPr>
            <w:r w:rsidRPr="000839A4">
              <w:rPr>
                <w:strike/>
                <w:szCs w:val="24"/>
              </w:rPr>
              <w:t>Zásobníky papírů, tácky na odkládání psacích potřeb, stojánky na razítka a podobné vybavení kanceláří nebo psacích stolů, z obecných kovů, jiné než kancelářský nábytek</w:t>
            </w:r>
          </w:p>
        </w:tc>
      </w:tr>
      <w:tr w:rsidR="000839A4" w:rsidRPr="000839A4" w14:paraId="6F133D74" w14:textId="77777777" w:rsidTr="000839A4">
        <w:tc>
          <w:tcPr>
            <w:tcW w:w="1271" w:type="dxa"/>
          </w:tcPr>
          <w:p w14:paraId="5E1D67C5" w14:textId="77777777" w:rsidR="000839A4" w:rsidRPr="000839A4" w:rsidRDefault="000839A4" w:rsidP="000839A4">
            <w:pPr>
              <w:spacing w:before="120"/>
              <w:rPr>
                <w:strike/>
                <w:szCs w:val="24"/>
              </w:rPr>
            </w:pPr>
            <w:r w:rsidRPr="000839A4">
              <w:rPr>
                <w:strike/>
                <w:szCs w:val="24"/>
              </w:rPr>
              <w:t xml:space="preserve">(3-15)    </w:t>
            </w:r>
          </w:p>
          <w:p w14:paraId="2922DB57" w14:textId="77777777" w:rsidR="000839A4" w:rsidRPr="000839A4" w:rsidRDefault="000839A4" w:rsidP="000839A4">
            <w:pPr>
              <w:spacing w:before="120"/>
              <w:rPr>
                <w:strike/>
                <w:szCs w:val="24"/>
              </w:rPr>
            </w:pPr>
          </w:p>
        </w:tc>
        <w:tc>
          <w:tcPr>
            <w:tcW w:w="1559" w:type="dxa"/>
          </w:tcPr>
          <w:p w14:paraId="39456C3A" w14:textId="77777777" w:rsidR="000839A4" w:rsidRPr="000839A4" w:rsidRDefault="000839A4" w:rsidP="000839A4">
            <w:pPr>
              <w:spacing w:before="120"/>
              <w:rPr>
                <w:strike/>
                <w:szCs w:val="24"/>
              </w:rPr>
            </w:pPr>
            <w:r w:rsidRPr="000839A4">
              <w:rPr>
                <w:strike/>
                <w:szCs w:val="24"/>
              </w:rPr>
              <w:t xml:space="preserve">25.99.24   </w:t>
            </w:r>
          </w:p>
        </w:tc>
        <w:tc>
          <w:tcPr>
            <w:tcW w:w="6232" w:type="dxa"/>
          </w:tcPr>
          <w:p w14:paraId="3755BBD2" w14:textId="77777777" w:rsidR="000839A4" w:rsidRPr="000839A4" w:rsidRDefault="000839A4" w:rsidP="000839A4">
            <w:pPr>
              <w:spacing w:before="120"/>
              <w:rPr>
                <w:strike/>
                <w:szCs w:val="24"/>
              </w:rPr>
            </w:pPr>
            <w:r w:rsidRPr="000839A4">
              <w:rPr>
                <w:strike/>
                <w:szCs w:val="24"/>
              </w:rPr>
              <w:t>Sošky a jiné ozdobné předměty, rámy a rámečky k fotografiím nebo obrazům, zrcadla, z obecných kovů</w:t>
            </w:r>
          </w:p>
        </w:tc>
      </w:tr>
      <w:tr w:rsidR="000839A4" w:rsidRPr="000839A4" w14:paraId="045DF274" w14:textId="77777777" w:rsidTr="000839A4">
        <w:tc>
          <w:tcPr>
            <w:tcW w:w="1271" w:type="dxa"/>
          </w:tcPr>
          <w:p w14:paraId="502986FF" w14:textId="77777777" w:rsidR="000839A4" w:rsidRPr="000839A4" w:rsidRDefault="000839A4" w:rsidP="000839A4">
            <w:pPr>
              <w:spacing w:before="120"/>
              <w:rPr>
                <w:strike/>
                <w:szCs w:val="24"/>
              </w:rPr>
            </w:pPr>
            <w:r w:rsidRPr="000839A4">
              <w:rPr>
                <w:strike/>
                <w:szCs w:val="24"/>
              </w:rPr>
              <w:t xml:space="preserve">(3-16)    </w:t>
            </w:r>
          </w:p>
        </w:tc>
        <w:tc>
          <w:tcPr>
            <w:tcW w:w="1559" w:type="dxa"/>
          </w:tcPr>
          <w:p w14:paraId="642CC837" w14:textId="77777777" w:rsidR="000839A4" w:rsidRPr="000839A4" w:rsidRDefault="000839A4" w:rsidP="000839A4">
            <w:pPr>
              <w:spacing w:before="120"/>
              <w:rPr>
                <w:strike/>
                <w:szCs w:val="24"/>
              </w:rPr>
            </w:pPr>
            <w:r w:rsidRPr="000839A4">
              <w:rPr>
                <w:strike/>
                <w:szCs w:val="24"/>
              </w:rPr>
              <w:t xml:space="preserve">25.99.29   </w:t>
            </w:r>
          </w:p>
        </w:tc>
        <w:tc>
          <w:tcPr>
            <w:tcW w:w="6232" w:type="dxa"/>
          </w:tcPr>
          <w:p w14:paraId="2509CF2F" w14:textId="77777777" w:rsidR="000839A4" w:rsidRPr="000839A4" w:rsidRDefault="000839A4" w:rsidP="000839A4">
            <w:pPr>
              <w:spacing w:before="120"/>
              <w:rPr>
                <w:strike/>
                <w:szCs w:val="24"/>
              </w:rPr>
            </w:pPr>
            <w:r w:rsidRPr="000839A4">
              <w:rPr>
                <w:strike/>
                <w:szCs w:val="24"/>
              </w:rPr>
              <w:t>Ostatní výrobky z obecných kovů j. n.</w:t>
            </w:r>
          </w:p>
        </w:tc>
      </w:tr>
      <w:tr w:rsidR="000839A4" w:rsidRPr="000839A4" w14:paraId="4559436B" w14:textId="77777777" w:rsidTr="000839A4">
        <w:tc>
          <w:tcPr>
            <w:tcW w:w="1271" w:type="dxa"/>
          </w:tcPr>
          <w:p w14:paraId="232AFE58" w14:textId="77777777" w:rsidR="000839A4" w:rsidRPr="000839A4" w:rsidRDefault="000839A4" w:rsidP="000839A4">
            <w:pPr>
              <w:spacing w:before="120"/>
              <w:rPr>
                <w:strike/>
                <w:szCs w:val="24"/>
              </w:rPr>
            </w:pPr>
            <w:r w:rsidRPr="000839A4">
              <w:rPr>
                <w:strike/>
                <w:szCs w:val="24"/>
              </w:rPr>
              <w:t xml:space="preserve">(3-17)    </w:t>
            </w:r>
          </w:p>
          <w:p w14:paraId="436C4445" w14:textId="77777777" w:rsidR="000839A4" w:rsidRPr="000839A4" w:rsidRDefault="000839A4" w:rsidP="000839A4">
            <w:pPr>
              <w:spacing w:before="120"/>
              <w:rPr>
                <w:strike/>
                <w:szCs w:val="24"/>
              </w:rPr>
            </w:pPr>
          </w:p>
        </w:tc>
        <w:tc>
          <w:tcPr>
            <w:tcW w:w="1559" w:type="dxa"/>
          </w:tcPr>
          <w:p w14:paraId="2B83DDCA" w14:textId="77777777" w:rsidR="000839A4" w:rsidRPr="000839A4" w:rsidRDefault="000839A4" w:rsidP="000839A4">
            <w:pPr>
              <w:spacing w:before="120"/>
              <w:rPr>
                <w:strike/>
                <w:szCs w:val="24"/>
              </w:rPr>
            </w:pPr>
            <w:r w:rsidRPr="000839A4">
              <w:rPr>
                <w:strike/>
                <w:szCs w:val="24"/>
              </w:rPr>
              <w:t xml:space="preserve">27.11      </w:t>
            </w:r>
          </w:p>
        </w:tc>
        <w:tc>
          <w:tcPr>
            <w:tcW w:w="6232" w:type="dxa"/>
          </w:tcPr>
          <w:p w14:paraId="7CE0563C" w14:textId="22164E36" w:rsidR="000839A4" w:rsidRPr="000839A4" w:rsidRDefault="000839A4" w:rsidP="000839A4">
            <w:pPr>
              <w:spacing w:before="120"/>
              <w:rPr>
                <w:strike/>
                <w:szCs w:val="24"/>
              </w:rPr>
            </w:pPr>
            <w:r w:rsidRPr="000839A4">
              <w:rPr>
                <w:strike/>
                <w:szCs w:val="24"/>
              </w:rPr>
              <w:t>Elektrické motory, generátory a transformátory po</w:t>
            </w:r>
            <w:r w:rsidR="002561EA">
              <w:rPr>
                <w:strike/>
                <w:szCs w:val="24"/>
              </w:rPr>
              <w:t xml:space="preserve">kud nejsou uvedeny v jiné </w:t>
            </w:r>
            <w:r w:rsidRPr="000839A4">
              <w:rPr>
                <w:strike/>
                <w:szCs w:val="24"/>
              </w:rPr>
              <w:t xml:space="preserve">položce této přílohy </w:t>
            </w:r>
          </w:p>
        </w:tc>
      </w:tr>
      <w:tr w:rsidR="000839A4" w:rsidRPr="000839A4" w14:paraId="6DD60F7A" w14:textId="77777777" w:rsidTr="000839A4">
        <w:tc>
          <w:tcPr>
            <w:tcW w:w="1271" w:type="dxa"/>
          </w:tcPr>
          <w:p w14:paraId="0C7C3106" w14:textId="77777777" w:rsidR="000839A4" w:rsidRPr="000839A4" w:rsidRDefault="000839A4" w:rsidP="000839A4">
            <w:pPr>
              <w:spacing w:before="120"/>
              <w:rPr>
                <w:strike/>
                <w:szCs w:val="24"/>
              </w:rPr>
            </w:pPr>
            <w:r w:rsidRPr="000839A4">
              <w:rPr>
                <w:strike/>
                <w:szCs w:val="24"/>
              </w:rPr>
              <w:t xml:space="preserve">(3-18)    </w:t>
            </w:r>
          </w:p>
          <w:p w14:paraId="13715BCB" w14:textId="77777777" w:rsidR="000839A4" w:rsidRPr="000839A4" w:rsidRDefault="000839A4" w:rsidP="000839A4">
            <w:pPr>
              <w:spacing w:before="120"/>
              <w:rPr>
                <w:strike/>
                <w:szCs w:val="24"/>
              </w:rPr>
            </w:pPr>
          </w:p>
        </w:tc>
        <w:tc>
          <w:tcPr>
            <w:tcW w:w="1559" w:type="dxa"/>
          </w:tcPr>
          <w:p w14:paraId="7EDB3F74" w14:textId="77777777" w:rsidR="000839A4" w:rsidRPr="000839A4" w:rsidRDefault="000839A4" w:rsidP="000839A4">
            <w:pPr>
              <w:spacing w:before="120"/>
              <w:rPr>
                <w:strike/>
                <w:szCs w:val="24"/>
              </w:rPr>
            </w:pPr>
            <w:r w:rsidRPr="000839A4">
              <w:rPr>
                <w:strike/>
                <w:szCs w:val="24"/>
              </w:rPr>
              <w:t xml:space="preserve">27.12.     </w:t>
            </w:r>
          </w:p>
        </w:tc>
        <w:tc>
          <w:tcPr>
            <w:tcW w:w="6232" w:type="dxa"/>
          </w:tcPr>
          <w:p w14:paraId="3C1E34A2" w14:textId="77777777" w:rsidR="000839A4" w:rsidRPr="000839A4" w:rsidRDefault="000839A4" w:rsidP="000839A4">
            <w:pPr>
              <w:spacing w:before="120"/>
              <w:rPr>
                <w:strike/>
                <w:szCs w:val="24"/>
              </w:rPr>
            </w:pPr>
            <w:r w:rsidRPr="000839A4">
              <w:rPr>
                <w:strike/>
                <w:szCs w:val="24"/>
              </w:rPr>
              <w:t>Elektrická rozvodná a kontrolní zařízení kromě rozvaděčů a rozvodných panelů pro napětí 1000 V a nižší pokud nejsou uvedena v jiné položce této přílohy</w:t>
            </w:r>
          </w:p>
        </w:tc>
      </w:tr>
      <w:tr w:rsidR="000839A4" w:rsidRPr="000839A4" w14:paraId="0597531F" w14:textId="77777777" w:rsidTr="000839A4">
        <w:tc>
          <w:tcPr>
            <w:tcW w:w="1271" w:type="dxa"/>
          </w:tcPr>
          <w:p w14:paraId="481CB959" w14:textId="77777777" w:rsidR="000839A4" w:rsidRPr="000839A4" w:rsidRDefault="000839A4" w:rsidP="000839A4">
            <w:pPr>
              <w:spacing w:before="120"/>
              <w:rPr>
                <w:strike/>
                <w:szCs w:val="24"/>
              </w:rPr>
            </w:pPr>
            <w:r w:rsidRPr="000839A4">
              <w:rPr>
                <w:strike/>
                <w:szCs w:val="24"/>
              </w:rPr>
              <w:t xml:space="preserve">(3-19)   </w:t>
            </w:r>
          </w:p>
        </w:tc>
        <w:tc>
          <w:tcPr>
            <w:tcW w:w="1559" w:type="dxa"/>
          </w:tcPr>
          <w:p w14:paraId="10FF7941" w14:textId="77777777" w:rsidR="000839A4" w:rsidRPr="000839A4" w:rsidRDefault="000839A4" w:rsidP="000839A4">
            <w:pPr>
              <w:spacing w:before="120"/>
              <w:rPr>
                <w:strike/>
                <w:szCs w:val="24"/>
              </w:rPr>
            </w:pPr>
            <w:r w:rsidRPr="000839A4">
              <w:rPr>
                <w:strike/>
                <w:szCs w:val="24"/>
              </w:rPr>
              <w:t xml:space="preserve">27.90.5    </w:t>
            </w:r>
          </w:p>
        </w:tc>
        <w:tc>
          <w:tcPr>
            <w:tcW w:w="6232" w:type="dxa"/>
          </w:tcPr>
          <w:p w14:paraId="33DB77FF" w14:textId="77777777" w:rsidR="000839A4" w:rsidRPr="000839A4" w:rsidRDefault="000839A4" w:rsidP="000839A4">
            <w:pPr>
              <w:spacing w:before="120"/>
              <w:rPr>
                <w:strike/>
                <w:szCs w:val="24"/>
              </w:rPr>
            </w:pPr>
            <w:r w:rsidRPr="000839A4">
              <w:rPr>
                <w:strike/>
                <w:szCs w:val="24"/>
              </w:rPr>
              <w:t>Elektrické kondenzátory</w:t>
            </w:r>
          </w:p>
        </w:tc>
      </w:tr>
      <w:tr w:rsidR="000839A4" w:rsidRPr="000839A4" w14:paraId="45851568" w14:textId="77777777" w:rsidTr="000839A4">
        <w:tc>
          <w:tcPr>
            <w:tcW w:w="1271" w:type="dxa"/>
          </w:tcPr>
          <w:p w14:paraId="195C8BCE" w14:textId="77777777" w:rsidR="000839A4" w:rsidRPr="000839A4" w:rsidRDefault="000839A4" w:rsidP="000839A4">
            <w:pPr>
              <w:spacing w:before="120"/>
              <w:rPr>
                <w:strike/>
                <w:szCs w:val="24"/>
              </w:rPr>
            </w:pPr>
            <w:r w:rsidRPr="000839A4">
              <w:rPr>
                <w:strike/>
                <w:szCs w:val="24"/>
              </w:rPr>
              <w:t xml:space="preserve">(3-20)    </w:t>
            </w:r>
          </w:p>
          <w:p w14:paraId="0E6C1284" w14:textId="77777777" w:rsidR="000839A4" w:rsidRPr="000839A4" w:rsidRDefault="000839A4" w:rsidP="000839A4">
            <w:pPr>
              <w:spacing w:before="120"/>
              <w:rPr>
                <w:strike/>
                <w:szCs w:val="24"/>
              </w:rPr>
            </w:pPr>
          </w:p>
        </w:tc>
        <w:tc>
          <w:tcPr>
            <w:tcW w:w="1559" w:type="dxa"/>
          </w:tcPr>
          <w:p w14:paraId="630EF9AA" w14:textId="77777777" w:rsidR="000839A4" w:rsidRPr="000839A4" w:rsidRDefault="000839A4" w:rsidP="000839A4">
            <w:pPr>
              <w:spacing w:before="120"/>
              <w:rPr>
                <w:strike/>
                <w:szCs w:val="24"/>
              </w:rPr>
            </w:pPr>
            <w:proofErr w:type="gramStart"/>
            <w:r w:rsidRPr="000839A4">
              <w:rPr>
                <w:strike/>
                <w:szCs w:val="24"/>
              </w:rPr>
              <w:t>28.11.12</w:t>
            </w:r>
            <w:proofErr w:type="gramEnd"/>
            <w:r w:rsidRPr="000839A4">
              <w:rPr>
                <w:strike/>
                <w:szCs w:val="24"/>
              </w:rPr>
              <w:t xml:space="preserve">   </w:t>
            </w:r>
          </w:p>
        </w:tc>
        <w:tc>
          <w:tcPr>
            <w:tcW w:w="6232" w:type="dxa"/>
          </w:tcPr>
          <w:p w14:paraId="508CD2F0" w14:textId="77777777" w:rsidR="000839A4" w:rsidRPr="000839A4" w:rsidRDefault="000839A4" w:rsidP="000839A4">
            <w:pPr>
              <w:spacing w:before="120"/>
              <w:rPr>
                <w:strike/>
                <w:szCs w:val="24"/>
              </w:rPr>
            </w:pPr>
            <w:r w:rsidRPr="000839A4">
              <w:rPr>
                <w:strike/>
                <w:szCs w:val="24"/>
              </w:rPr>
              <w:t>Zážehové spalovací motory pro pohon lodí; ostatní motory</w:t>
            </w:r>
          </w:p>
        </w:tc>
      </w:tr>
      <w:tr w:rsidR="000839A4" w:rsidRPr="000839A4" w14:paraId="0B2017BE" w14:textId="77777777" w:rsidTr="000839A4">
        <w:tc>
          <w:tcPr>
            <w:tcW w:w="1271" w:type="dxa"/>
          </w:tcPr>
          <w:p w14:paraId="1D9316EB" w14:textId="77777777" w:rsidR="000839A4" w:rsidRPr="000839A4" w:rsidRDefault="000839A4" w:rsidP="000839A4">
            <w:pPr>
              <w:spacing w:before="120"/>
              <w:rPr>
                <w:strike/>
                <w:szCs w:val="24"/>
              </w:rPr>
            </w:pPr>
            <w:r w:rsidRPr="000839A4">
              <w:rPr>
                <w:strike/>
                <w:szCs w:val="24"/>
              </w:rPr>
              <w:t xml:space="preserve">(3-21)   </w:t>
            </w:r>
          </w:p>
        </w:tc>
        <w:tc>
          <w:tcPr>
            <w:tcW w:w="1559" w:type="dxa"/>
          </w:tcPr>
          <w:p w14:paraId="2EE2EA92" w14:textId="77777777" w:rsidR="000839A4" w:rsidRPr="000839A4" w:rsidRDefault="000839A4" w:rsidP="000839A4">
            <w:pPr>
              <w:spacing w:before="120"/>
              <w:rPr>
                <w:strike/>
                <w:szCs w:val="24"/>
              </w:rPr>
            </w:pPr>
            <w:proofErr w:type="gramStart"/>
            <w:r w:rsidRPr="000839A4">
              <w:rPr>
                <w:strike/>
                <w:szCs w:val="24"/>
              </w:rPr>
              <w:t>28.11.13</w:t>
            </w:r>
            <w:proofErr w:type="gramEnd"/>
            <w:r w:rsidRPr="000839A4">
              <w:rPr>
                <w:strike/>
                <w:szCs w:val="24"/>
              </w:rPr>
              <w:t xml:space="preserve">   </w:t>
            </w:r>
          </w:p>
        </w:tc>
        <w:tc>
          <w:tcPr>
            <w:tcW w:w="6232" w:type="dxa"/>
          </w:tcPr>
          <w:p w14:paraId="524DBB87" w14:textId="77777777" w:rsidR="000839A4" w:rsidRPr="000839A4" w:rsidRDefault="000839A4" w:rsidP="000839A4">
            <w:pPr>
              <w:spacing w:before="120"/>
              <w:rPr>
                <w:strike/>
                <w:szCs w:val="24"/>
              </w:rPr>
            </w:pPr>
            <w:r w:rsidRPr="000839A4">
              <w:rPr>
                <w:strike/>
                <w:szCs w:val="24"/>
              </w:rPr>
              <w:t>Vznětové pístové motory s vnitřním spalováním</w:t>
            </w:r>
          </w:p>
        </w:tc>
      </w:tr>
      <w:tr w:rsidR="000839A4" w:rsidRPr="000839A4" w14:paraId="10C658FE" w14:textId="77777777" w:rsidTr="000839A4">
        <w:tc>
          <w:tcPr>
            <w:tcW w:w="1271" w:type="dxa"/>
          </w:tcPr>
          <w:p w14:paraId="693B8480" w14:textId="77777777" w:rsidR="000839A4" w:rsidRPr="000839A4" w:rsidRDefault="000839A4" w:rsidP="000839A4">
            <w:pPr>
              <w:spacing w:before="120"/>
              <w:rPr>
                <w:strike/>
                <w:szCs w:val="24"/>
              </w:rPr>
            </w:pPr>
            <w:r w:rsidRPr="000839A4">
              <w:rPr>
                <w:strike/>
                <w:szCs w:val="24"/>
              </w:rPr>
              <w:t xml:space="preserve">(3-22)   </w:t>
            </w:r>
          </w:p>
        </w:tc>
        <w:tc>
          <w:tcPr>
            <w:tcW w:w="1559" w:type="dxa"/>
          </w:tcPr>
          <w:p w14:paraId="2B571059" w14:textId="77777777" w:rsidR="000839A4" w:rsidRPr="000839A4" w:rsidRDefault="000839A4" w:rsidP="000839A4">
            <w:pPr>
              <w:spacing w:before="120"/>
              <w:rPr>
                <w:strike/>
                <w:szCs w:val="24"/>
              </w:rPr>
            </w:pPr>
            <w:r w:rsidRPr="000839A4">
              <w:rPr>
                <w:strike/>
                <w:szCs w:val="24"/>
              </w:rPr>
              <w:t xml:space="preserve">28.11.2    </w:t>
            </w:r>
          </w:p>
        </w:tc>
        <w:tc>
          <w:tcPr>
            <w:tcW w:w="6232" w:type="dxa"/>
          </w:tcPr>
          <w:p w14:paraId="461AE4BF" w14:textId="77777777" w:rsidR="000839A4" w:rsidRPr="000839A4" w:rsidRDefault="000839A4" w:rsidP="000839A4">
            <w:pPr>
              <w:spacing w:before="120"/>
              <w:rPr>
                <w:strike/>
                <w:szCs w:val="24"/>
              </w:rPr>
            </w:pPr>
            <w:r w:rsidRPr="000839A4">
              <w:rPr>
                <w:strike/>
                <w:szCs w:val="24"/>
              </w:rPr>
              <w:t>Turbíny</w:t>
            </w:r>
          </w:p>
        </w:tc>
      </w:tr>
      <w:tr w:rsidR="000839A4" w:rsidRPr="000839A4" w14:paraId="23CB1403" w14:textId="77777777" w:rsidTr="000839A4">
        <w:tc>
          <w:tcPr>
            <w:tcW w:w="1271" w:type="dxa"/>
          </w:tcPr>
          <w:p w14:paraId="2450C771" w14:textId="77777777" w:rsidR="000839A4" w:rsidRPr="000839A4" w:rsidRDefault="000839A4" w:rsidP="000839A4">
            <w:pPr>
              <w:spacing w:before="120"/>
              <w:rPr>
                <w:strike/>
                <w:szCs w:val="24"/>
              </w:rPr>
            </w:pPr>
            <w:r w:rsidRPr="000839A4">
              <w:rPr>
                <w:strike/>
                <w:szCs w:val="24"/>
              </w:rPr>
              <w:t xml:space="preserve">(3-23)    </w:t>
            </w:r>
          </w:p>
          <w:p w14:paraId="49FFF23F" w14:textId="77777777" w:rsidR="000839A4" w:rsidRPr="000839A4" w:rsidRDefault="000839A4" w:rsidP="000839A4">
            <w:pPr>
              <w:spacing w:before="120"/>
              <w:rPr>
                <w:strike/>
                <w:szCs w:val="24"/>
              </w:rPr>
            </w:pPr>
          </w:p>
        </w:tc>
        <w:tc>
          <w:tcPr>
            <w:tcW w:w="1559" w:type="dxa"/>
          </w:tcPr>
          <w:p w14:paraId="7AFD3D90" w14:textId="77777777" w:rsidR="000839A4" w:rsidRPr="000839A4" w:rsidRDefault="000839A4" w:rsidP="000839A4">
            <w:pPr>
              <w:spacing w:before="120"/>
              <w:rPr>
                <w:strike/>
                <w:szCs w:val="24"/>
              </w:rPr>
            </w:pPr>
            <w:r w:rsidRPr="000839A4">
              <w:rPr>
                <w:strike/>
                <w:szCs w:val="24"/>
              </w:rPr>
              <w:t xml:space="preserve">28.12.1    </w:t>
            </w:r>
          </w:p>
        </w:tc>
        <w:tc>
          <w:tcPr>
            <w:tcW w:w="6232" w:type="dxa"/>
          </w:tcPr>
          <w:p w14:paraId="602FC5FB" w14:textId="77777777" w:rsidR="000839A4" w:rsidRPr="000839A4" w:rsidRDefault="000839A4" w:rsidP="000839A4">
            <w:pPr>
              <w:spacing w:before="120"/>
              <w:rPr>
                <w:strike/>
                <w:szCs w:val="24"/>
              </w:rPr>
            </w:pPr>
            <w:r w:rsidRPr="000839A4">
              <w:rPr>
                <w:strike/>
                <w:szCs w:val="24"/>
              </w:rPr>
              <w:t>Jen: hydraulické a pneumatické pohony a hydraulické systémy</w:t>
            </w:r>
          </w:p>
        </w:tc>
      </w:tr>
      <w:tr w:rsidR="000839A4" w:rsidRPr="000839A4" w14:paraId="54349B97" w14:textId="77777777" w:rsidTr="000839A4">
        <w:tc>
          <w:tcPr>
            <w:tcW w:w="1271" w:type="dxa"/>
          </w:tcPr>
          <w:p w14:paraId="40CB8B29" w14:textId="77777777" w:rsidR="000839A4" w:rsidRPr="000839A4" w:rsidRDefault="000839A4" w:rsidP="000839A4">
            <w:pPr>
              <w:spacing w:before="120"/>
              <w:rPr>
                <w:strike/>
                <w:szCs w:val="24"/>
              </w:rPr>
            </w:pPr>
            <w:r w:rsidRPr="000839A4">
              <w:rPr>
                <w:strike/>
                <w:szCs w:val="24"/>
              </w:rPr>
              <w:lastRenderedPageBreak/>
              <w:t xml:space="preserve">(3-24)    </w:t>
            </w:r>
          </w:p>
          <w:p w14:paraId="5BA67617" w14:textId="77777777" w:rsidR="000839A4" w:rsidRPr="000839A4" w:rsidRDefault="000839A4" w:rsidP="000839A4">
            <w:pPr>
              <w:spacing w:before="120"/>
              <w:jc w:val="center"/>
              <w:rPr>
                <w:strike/>
                <w:szCs w:val="24"/>
              </w:rPr>
            </w:pPr>
          </w:p>
        </w:tc>
        <w:tc>
          <w:tcPr>
            <w:tcW w:w="1559" w:type="dxa"/>
          </w:tcPr>
          <w:p w14:paraId="1C0D342A" w14:textId="77777777" w:rsidR="000839A4" w:rsidRPr="000839A4" w:rsidRDefault="000839A4" w:rsidP="000839A4">
            <w:pPr>
              <w:spacing w:before="120"/>
              <w:rPr>
                <w:strike/>
                <w:szCs w:val="24"/>
              </w:rPr>
            </w:pPr>
            <w:r w:rsidRPr="000839A4">
              <w:rPr>
                <w:strike/>
                <w:szCs w:val="24"/>
              </w:rPr>
              <w:t xml:space="preserve">28.13.2    </w:t>
            </w:r>
          </w:p>
        </w:tc>
        <w:tc>
          <w:tcPr>
            <w:tcW w:w="6232" w:type="dxa"/>
          </w:tcPr>
          <w:p w14:paraId="4196E0A3" w14:textId="7C9D03E6" w:rsidR="000839A4" w:rsidRPr="000839A4" w:rsidRDefault="000839A4" w:rsidP="000839A4">
            <w:pPr>
              <w:spacing w:before="120"/>
              <w:rPr>
                <w:strike/>
                <w:szCs w:val="24"/>
              </w:rPr>
            </w:pPr>
            <w:r w:rsidRPr="000839A4">
              <w:rPr>
                <w:strike/>
                <w:szCs w:val="24"/>
              </w:rPr>
              <w:t>Vzduchová čerpadl</w:t>
            </w:r>
            <w:r w:rsidR="002561EA">
              <w:rPr>
                <w:strike/>
                <w:szCs w:val="24"/>
              </w:rPr>
              <w:t xml:space="preserve">a nebo vývěvy; kompresory na </w:t>
            </w:r>
            <w:r w:rsidRPr="000839A4">
              <w:rPr>
                <w:strike/>
                <w:szCs w:val="24"/>
              </w:rPr>
              <w:t>vzduch nebo jiný plyn</w:t>
            </w:r>
          </w:p>
        </w:tc>
      </w:tr>
      <w:tr w:rsidR="000839A4" w:rsidRPr="000839A4" w14:paraId="5126A722" w14:textId="77777777" w:rsidTr="000839A4">
        <w:tc>
          <w:tcPr>
            <w:tcW w:w="1271" w:type="dxa"/>
          </w:tcPr>
          <w:p w14:paraId="0141C98C" w14:textId="77777777" w:rsidR="000839A4" w:rsidRPr="000839A4" w:rsidRDefault="000839A4" w:rsidP="000839A4">
            <w:pPr>
              <w:spacing w:before="120"/>
              <w:rPr>
                <w:strike/>
                <w:szCs w:val="24"/>
              </w:rPr>
            </w:pPr>
            <w:r w:rsidRPr="000839A4">
              <w:rPr>
                <w:strike/>
                <w:szCs w:val="24"/>
              </w:rPr>
              <w:t xml:space="preserve">(3-25)   </w:t>
            </w:r>
          </w:p>
        </w:tc>
        <w:tc>
          <w:tcPr>
            <w:tcW w:w="1559" w:type="dxa"/>
          </w:tcPr>
          <w:p w14:paraId="53DDC398" w14:textId="77777777" w:rsidR="000839A4" w:rsidRPr="000839A4" w:rsidRDefault="000839A4" w:rsidP="000839A4">
            <w:pPr>
              <w:spacing w:before="120"/>
              <w:rPr>
                <w:strike/>
                <w:szCs w:val="24"/>
              </w:rPr>
            </w:pPr>
            <w:r w:rsidRPr="000839A4">
              <w:rPr>
                <w:strike/>
                <w:szCs w:val="24"/>
              </w:rPr>
              <w:t xml:space="preserve">28.21.1    </w:t>
            </w:r>
          </w:p>
        </w:tc>
        <w:tc>
          <w:tcPr>
            <w:tcW w:w="6232" w:type="dxa"/>
          </w:tcPr>
          <w:p w14:paraId="7DA57FD9" w14:textId="77777777" w:rsidR="000839A4" w:rsidRPr="000839A4" w:rsidRDefault="000839A4" w:rsidP="000839A4">
            <w:pPr>
              <w:spacing w:before="120"/>
              <w:rPr>
                <w:strike/>
                <w:szCs w:val="24"/>
              </w:rPr>
            </w:pPr>
            <w:r w:rsidRPr="000839A4">
              <w:rPr>
                <w:strike/>
                <w:szCs w:val="24"/>
              </w:rPr>
              <w:t>Pece a hořáky pro topeniště</w:t>
            </w:r>
          </w:p>
        </w:tc>
      </w:tr>
      <w:tr w:rsidR="000839A4" w:rsidRPr="000839A4" w14:paraId="7FE154E4" w14:textId="77777777" w:rsidTr="000839A4">
        <w:tc>
          <w:tcPr>
            <w:tcW w:w="1271" w:type="dxa"/>
          </w:tcPr>
          <w:p w14:paraId="52E6B491" w14:textId="77777777" w:rsidR="000839A4" w:rsidRPr="000839A4" w:rsidRDefault="000839A4" w:rsidP="000839A4">
            <w:pPr>
              <w:spacing w:before="120"/>
              <w:rPr>
                <w:strike/>
                <w:szCs w:val="24"/>
              </w:rPr>
            </w:pPr>
            <w:r w:rsidRPr="000839A4">
              <w:rPr>
                <w:strike/>
                <w:szCs w:val="24"/>
              </w:rPr>
              <w:t xml:space="preserve">(3-26)   </w:t>
            </w:r>
          </w:p>
        </w:tc>
        <w:tc>
          <w:tcPr>
            <w:tcW w:w="1559" w:type="dxa"/>
          </w:tcPr>
          <w:p w14:paraId="77AA0A1F" w14:textId="77777777" w:rsidR="000839A4" w:rsidRPr="000839A4" w:rsidRDefault="000839A4" w:rsidP="000839A4">
            <w:pPr>
              <w:spacing w:before="120"/>
              <w:rPr>
                <w:strike/>
                <w:szCs w:val="24"/>
              </w:rPr>
            </w:pPr>
            <w:r w:rsidRPr="000839A4">
              <w:rPr>
                <w:strike/>
                <w:szCs w:val="24"/>
              </w:rPr>
              <w:t xml:space="preserve">28.22.11   </w:t>
            </w:r>
          </w:p>
        </w:tc>
        <w:tc>
          <w:tcPr>
            <w:tcW w:w="6232" w:type="dxa"/>
          </w:tcPr>
          <w:p w14:paraId="5153333C" w14:textId="77777777" w:rsidR="000839A4" w:rsidRPr="000839A4" w:rsidRDefault="000839A4" w:rsidP="000839A4">
            <w:pPr>
              <w:spacing w:before="120"/>
              <w:rPr>
                <w:strike/>
                <w:szCs w:val="24"/>
              </w:rPr>
            </w:pPr>
            <w:r w:rsidRPr="000839A4">
              <w:rPr>
                <w:strike/>
                <w:szCs w:val="24"/>
              </w:rPr>
              <w:t>Kladkostroje a zdvihací zařízení j. n.</w:t>
            </w:r>
          </w:p>
        </w:tc>
      </w:tr>
      <w:tr w:rsidR="000839A4" w:rsidRPr="000839A4" w14:paraId="37D1A43D" w14:textId="77777777" w:rsidTr="000839A4">
        <w:tc>
          <w:tcPr>
            <w:tcW w:w="1271" w:type="dxa"/>
          </w:tcPr>
          <w:p w14:paraId="0282B5B4" w14:textId="77777777" w:rsidR="000839A4" w:rsidRPr="000839A4" w:rsidRDefault="000839A4" w:rsidP="000839A4">
            <w:pPr>
              <w:spacing w:before="120"/>
              <w:rPr>
                <w:strike/>
                <w:szCs w:val="24"/>
              </w:rPr>
            </w:pPr>
            <w:r w:rsidRPr="000839A4">
              <w:rPr>
                <w:strike/>
                <w:szCs w:val="24"/>
              </w:rPr>
              <w:t xml:space="preserve">(3-27)    </w:t>
            </w:r>
          </w:p>
          <w:p w14:paraId="6B816C11" w14:textId="77777777" w:rsidR="000839A4" w:rsidRPr="000839A4" w:rsidRDefault="000839A4" w:rsidP="000839A4">
            <w:pPr>
              <w:spacing w:before="120"/>
              <w:rPr>
                <w:strike/>
                <w:szCs w:val="24"/>
              </w:rPr>
            </w:pPr>
          </w:p>
        </w:tc>
        <w:tc>
          <w:tcPr>
            <w:tcW w:w="1559" w:type="dxa"/>
          </w:tcPr>
          <w:p w14:paraId="5F1BB26D" w14:textId="77777777" w:rsidR="000839A4" w:rsidRPr="000839A4" w:rsidRDefault="000839A4" w:rsidP="000839A4">
            <w:pPr>
              <w:spacing w:before="120"/>
              <w:rPr>
                <w:strike/>
                <w:szCs w:val="24"/>
              </w:rPr>
            </w:pPr>
            <w:r w:rsidRPr="000839A4">
              <w:rPr>
                <w:strike/>
                <w:szCs w:val="24"/>
              </w:rPr>
              <w:t xml:space="preserve">28.22.12   </w:t>
            </w:r>
          </w:p>
        </w:tc>
        <w:tc>
          <w:tcPr>
            <w:tcW w:w="6232" w:type="dxa"/>
          </w:tcPr>
          <w:p w14:paraId="4498DFE1" w14:textId="1BBCFDE8" w:rsidR="000839A4" w:rsidRPr="000839A4" w:rsidRDefault="000839A4" w:rsidP="002561EA">
            <w:pPr>
              <w:spacing w:before="120"/>
              <w:rPr>
                <w:strike/>
                <w:szCs w:val="24"/>
              </w:rPr>
            </w:pPr>
            <w:r w:rsidRPr="000839A4">
              <w:rPr>
                <w:strike/>
                <w:szCs w:val="24"/>
              </w:rPr>
              <w:t>Navijáky na přemísťování dopravních košů a skipů v důlních šachtách; navijáky speciálně upravené pro prá</w:t>
            </w:r>
            <w:r w:rsidR="002561EA">
              <w:rPr>
                <w:strike/>
                <w:szCs w:val="24"/>
              </w:rPr>
              <w:t xml:space="preserve">ci pod zemí; ostatní </w:t>
            </w:r>
            <w:r w:rsidRPr="000839A4">
              <w:rPr>
                <w:strike/>
                <w:szCs w:val="24"/>
              </w:rPr>
              <w:t>navijáky; vrátky</w:t>
            </w:r>
          </w:p>
        </w:tc>
      </w:tr>
      <w:tr w:rsidR="000839A4" w:rsidRPr="000839A4" w14:paraId="214D0D94" w14:textId="77777777" w:rsidTr="000839A4">
        <w:tc>
          <w:tcPr>
            <w:tcW w:w="1271" w:type="dxa"/>
          </w:tcPr>
          <w:p w14:paraId="0096886A" w14:textId="77777777" w:rsidR="000839A4" w:rsidRPr="000839A4" w:rsidRDefault="000839A4" w:rsidP="000839A4">
            <w:pPr>
              <w:spacing w:before="120"/>
              <w:rPr>
                <w:strike/>
                <w:szCs w:val="24"/>
              </w:rPr>
            </w:pPr>
            <w:r w:rsidRPr="000839A4">
              <w:rPr>
                <w:strike/>
                <w:szCs w:val="24"/>
              </w:rPr>
              <w:t xml:space="preserve">(3-28)    </w:t>
            </w:r>
          </w:p>
          <w:p w14:paraId="29FBEC3A" w14:textId="77777777" w:rsidR="000839A4" w:rsidRPr="000839A4" w:rsidRDefault="000839A4" w:rsidP="000839A4">
            <w:pPr>
              <w:spacing w:before="120"/>
              <w:rPr>
                <w:strike/>
                <w:szCs w:val="24"/>
              </w:rPr>
            </w:pPr>
          </w:p>
        </w:tc>
        <w:tc>
          <w:tcPr>
            <w:tcW w:w="1559" w:type="dxa"/>
          </w:tcPr>
          <w:p w14:paraId="40A23CDF" w14:textId="77777777" w:rsidR="000839A4" w:rsidRPr="000839A4" w:rsidRDefault="000839A4" w:rsidP="000839A4">
            <w:pPr>
              <w:spacing w:before="120"/>
              <w:rPr>
                <w:strike/>
                <w:szCs w:val="24"/>
              </w:rPr>
            </w:pPr>
            <w:r w:rsidRPr="000839A4">
              <w:rPr>
                <w:strike/>
                <w:szCs w:val="24"/>
              </w:rPr>
              <w:t xml:space="preserve">28.22.13   </w:t>
            </w:r>
          </w:p>
        </w:tc>
        <w:tc>
          <w:tcPr>
            <w:tcW w:w="6232" w:type="dxa"/>
          </w:tcPr>
          <w:p w14:paraId="2B060726" w14:textId="77777777" w:rsidR="000839A4" w:rsidRPr="000839A4" w:rsidRDefault="000839A4" w:rsidP="000839A4">
            <w:pPr>
              <w:spacing w:before="120"/>
              <w:rPr>
                <w:strike/>
                <w:szCs w:val="24"/>
              </w:rPr>
            </w:pPr>
            <w:r w:rsidRPr="000839A4">
              <w:rPr>
                <w:strike/>
                <w:szCs w:val="24"/>
              </w:rPr>
              <w:t>Zdviháky; zdvihací zařízení na zdvihání vozidel</w:t>
            </w:r>
          </w:p>
        </w:tc>
      </w:tr>
      <w:tr w:rsidR="000839A4" w:rsidRPr="000839A4" w14:paraId="5F2B7814" w14:textId="77777777" w:rsidTr="000839A4">
        <w:tc>
          <w:tcPr>
            <w:tcW w:w="1271" w:type="dxa"/>
          </w:tcPr>
          <w:p w14:paraId="240EB944" w14:textId="77777777" w:rsidR="000839A4" w:rsidRPr="000839A4" w:rsidRDefault="000839A4" w:rsidP="000839A4">
            <w:pPr>
              <w:spacing w:before="120"/>
              <w:rPr>
                <w:strike/>
                <w:szCs w:val="24"/>
              </w:rPr>
            </w:pPr>
            <w:r w:rsidRPr="000839A4">
              <w:rPr>
                <w:strike/>
                <w:szCs w:val="24"/>
              </w:rPr>
              <w:t xml:space="preserve">(3-29)    </w:t>
            </w:r>
          </w:p>
          <w:p w14:paraId="63E618A7" w14:textId="77777777" w:rsidR="000839A4" w:rsidRPr="000839A4" w:rsidRDefault="000839A4" w:rsidP="000839A4">
            <w:pPr>
              <w:spacing w:before="120"/>
              <w:rPr>
                <w:strike/>
                <w:szCs w:val="24"/>
              </w:rPr>
            </w:pPr>
          </w:p>
        </w:tc>
        <w:tc>
          <w:tcPr>
            <w:tcW w:w="1559" w:type="dxa"/>
          </w:tcPr>
          <w:p w14:paraId="0D4CAC4B" w14:textId="77777777" w:rsidR="000839A4" w:rsidRPr="000839A4" w:rsidRDefault="000839A4" w:rsidP="000839A4">
            <w:pPr>
              <w:spacing w:before="120"/>
              <w:rPr>
                <w:strike/>
                <w:szCs w:val="24"/>
              </w:rPr>
            </w:pPr>
            <w:r w:rsidRPr="000839A4">
              <w:rPr>
                <w:strike/>
                <w:szCs w:val="24"/>
              </w:rPr>
              <w:t xml:space="preserve">28.22.14   </w:t>
            </w:r>
          </w:p>
        </w:tc>
        <w:tc>
          <w:tcPr>
            <w:tcW w:w="6232" w:type="dxa"/>
          </w:tcPr>
          <w:p w14:paraId="517A62C1" w14:textId="77777777" w:rsidR="000839A4" w:rsidRPr="000839A4" w:rsidRDefault="000839A4" w:rsidP="000839A4">
            <w:pPr>
              <w:spacing w:before="120"/>
              <w:rPr>
                <w:strike/>
                <w:szCs w:val="24"/>
              </w:rPr>
            </w:pPr>
            <w:r w:rsidRPr="000839A4">
              <w:rPr>
                <w:strike/>
                <w:szCs w:val="24"/>
              </w:rPr>
              <w:t>Lodní otočné sloupové jeřáby; jeřáby; mobilní zdvihací rámy, zdvižné obkročné vozíky, portálové nízkozdvižné vozíky a jeřábové vozíky pokud nejsou uvedeny v jiné položce této přílohy</w:t>
            </w:r>
          </w:p>
        </w:tc>
      </w:tr>
      <w:tr w:rsidR="000839A4" w:rsidRPr="000839A4" w14:paraId="0F7321C6" w14:textId="77777777" w:rsidTr="000839A4">
        <w:tc>
          <w:tcPr>
            <w:tcW w:w="1271" w:type="dxa"/>
          </w:tcPr>
          <w:p w14:paraId="21AA7BAC" w14:textId="77777777" w:rsidR="000839A4" w:rsidRPr="000839A4" w:rsidRDefault="000839A4" w:rsidP="000839A4">
            <w:pPr>
              <w:spacing w:before="120"/>
              <w:rPr>
                <w:strike/>
                <w:szCs w:val="24"/>
              </w:rPr>
            </w:pPr>
            <w:r w:rsidRPr="000839A4">
              <w:rPr>
                <w:strike/>
                <w:szCs w:val="24"/>
              </w:rPr>
              <w:t xml:space="preserve">(3-30)    </w:t>
            </w:r>
          </w:p>
          <w:p w14:paraId="2457383F" w14:textId="77777777" w:rsidR="000839A4" w:rsidRPr="000839A4" w:rsidRDefault="000839A4" w:rsidP="000839A4">
            <w:pPr>
              <w:spacing w:before="120"/>
              <w:rPr>
                <w:strike/>
                <w:szCs w:val="24"/>
              </w:rPr>
            </w:pPr>
          </w:p>
        </w:tc>
        <w:tc>
          <w:tcPr>
            <w:tcW w:w="1559" w:type="dxa"/>
          </w:tcPr>
          <w:p w14:paraId="41159CA8" w14:textId="77777777" w:rsidR="000839A4" w:rsidRPr="000839A4" w:rsidRDefault="000839A4" w:rsidP="000839A4">
            <w:pPr>
              <w:spacing w:before="120"/>
              <w:rPr>
                <w:strike/>
                <w:szCs w:val="24"/>
              </w:rPr>
            </w:pPr>
            <w:r w:rsidRPr="000839A4">
              <w:rPr>
                <w:strike/>
                <w:szCs w:val="24"/>
              </w:rPr>
              <w:t xml:space="preserve">28.22.16   </w:t>
            </w:r>
          </w:p>
        </w:tc>
        <w:tc>
          <w:tcPr>
            <w:tcW w:w="6232" w:type="dxa"/>
          </w:tcPr>
          <w:p w14:paraId="7527B5B7" w14:textId="77777777" w:rsidR="000839A4" w:rsidRPr="000839A4" w:rsidRDefault="000839A4" w:rsidP="000839A4">
            <w:pPr>
              <w:spacing w:before="120"/>
              <w:rPr>
                <w:strike/>
                <w:szCs w:val="24"/>
              </w:rPr>
            </w:pPr>
            <w:r w:rsidRPr="000839A4">
              <w:rPr>
                <w:strike/>
                <w:szCs w:val="24"/>
              </w:rPr>
              <w:t>Výtahy a skipové výtahy, eskalátory a pohyblivé chodníky</w:t>
            </w:r>
          </w:p>
        </w:tc>
      </w:tr>
      <w:tr w:rsidR="000839A4" w:rsidRPr="000839A4" w14:paraId="44F84CF8" w14:textId="77777777" w:rsidTr="000839A4">
        <w:tc>
          <w:tcPr>
            <w:tcW w:w="1271" w:type="dxa"/>
          </w:tcPr>
          <w:p w14:paraId="4EE358CF" w14:textId="77777777" w:rsidR="000839A4" w:rsidRPr="000839A4" w:rsidRDefault="000839A4" w:rsidP="000839A4">
            <w:pPr>
              <w:spacing w:before="120"/>
              <w:rPr>
                <w:strike/>
                <w:szCs w:val="24"/>
              </w:rPr>
            </w:pPr>
            <w:r w:rsidRPr="000839A4">
              <w:rPr>
                <w:strike/>
                <w:szCs w:val="24"/>
              </w:rPr>
              <w:t xml:space="preserve">(3-31)     </w:t>
            </w:r>
          </w:p>
          <w:p w14:paraId="02D2D9AA" w14:textId="77777777" w:rsidR="000839A4" w:rsidRPr="000839A4" w:rsidRDefault="000839A4" w:rsidP="000839A4">
            <w:pPr>
              <w:spacing w:before="120"/>
              <w:rPr>
                <w:strike/>
                <w:szCs w:val="24"/>
              </w:rPr>
            </w:pPr>
          </w:p>
        </w:tc>
        <w:tc>
          <w:tcPr>
            <w:tcW w:w="1559" w:type="dxa"/>
          </w:tcPr>
          <w:p w14:paraId="6DF507C7" w14:textId="77777777" w:rsidR="000839A4" w:rsidRPr="000839A4" w:rsidRDefault="000839A4" w:rsidP="000839A4">
            <w:pPr>
              <w:spacing w:before="120"/>
              <w:rPr>
                <w:strike/>
                <w:szCs w:val="24"/>
              </w:rPr>
            </w:pPr>
            <w:r w:rsidRPr="000839A4">
              <w:rPr>
                <w:strike/>
                <w:szCs w:val="24"/>
              </w:rPr>
              <w:t xml:space="preserve">28.22.17   </w:t>
            </w:r>
          </w:p>
        </w:tc>
        <w:tc>
          <w:tcPr>
            <w:tcW w:w="6232" w:type="dxa"/>
          </w:tcPr>
          <w:p w14:paraId="6C383FE6" w14:textId="77777777" w:rsidR="000839A4" w:rsidRPr="000839A4" w:rsidRDefault="000839A4" w:rsidP="000839A4">
            <w:pPr>
              <w:spacing w:before="120"/>
              <w:rPr>
                <w:strike/>
                <w:szCs w:val="24"/>
              </w:rPr>
            </w:pPr>
            <w:r w:rsidRPr="000839A4">
              <w:rPr>
                <w:strike/>
                <w:szCs w:val="24"/>
              </w:rPr>
              <w:t>Pneumatické a ostatní výtahy a dopravníky pro plynulé přemísťování výrobků a materiálu</w:t>
            </w:r>
          </w:p>
        </w:tc>
      </w:tr>
      <w:tr w:rsidR="000839A4" w:rsidRPr="000839A4" w14:paraId="08EB3332" w14:textId="77777777" w:rsidTr="000839A4">
        <w:tc>
          <w:tcPr>
            <w:tcW w:w="1271" w:type="dxa"/>
          </w:tcPr>
          <w:p w14:paraId="04ADAE06" w14:textId="77777777" w:rsidR="000839A4" w:rsidRPr="000839A4" w:rsidRDefault="000839A4" w:rsidP="000839A4">
            <w:pPr>
              <w:spacing w:before="120"/>
              <w:rPr>
                <w:strike/>
                <w:szCs w:val="24"/>
              </w:rPr>
            </w:pPr>
            <w:r w:rsidRPr="000839A4">
              <w:rPr>
                <w:strike/>
                <w:szCs w:val="24"/>
              </w:rPr>
              <w:t xml:space="preserve">(3-32)    </w:t>
            </w:r>
          </w:p>
          <w:p w14:paraId="15F9CD30" w14:textId="77777777" w:rsidR="000839A4" w:rsidRPr="000839A4" w:rsidRDefault="000839A4" w:rsidP="000839A4">
            <w:pPr>
              <w:spacing w:before="120"/>
              <w:rPr>
                <w:strike/>
                <w:szCs w:val="24"/>
              </w:rPr>
            </w:pPr>
          </w:p>
        </w:tc>
        <w:tc>
          <w:tcPr>
            <w:tcW w:w="1559" w:type="dxa"/>
          </w:tcPr>
          <w:p w14:paraId="2B4155F9" w14:textId="77777777" w:rsidR="000839A4" w:rsidRPr="000839A4" w:rsidRDefault="000839A4" w:rsidP="000839A4">
            <w:pPr>
              <w:spacing w:before="120"/>
              <w:rPr>
                <w:strike/>
                <w:szCs w:val="24"/>
              </w:rPr>
            </w:pPr>
            <w:r w:rsidRPr="000839A4">
              <w:rPr>
                <w:strike/>
                <w:szCs w:val="24"/>
              </w:rPr>
              <w:t xml:space="preserve">28.22.18   </w:t>
            </w:r>
          </w:p>
        </w:tc>
        <w:tc>
          <w:tcPr>
            <w:tcW w:w="6232" w:type="dxa"/>
          </w:tcPr>
          <w:p w14:paraId="048BF964" w14:textId="77777777" w:rsidR="000839A4" w:rsidRPr="000839A4" w:rsidRDefault="000839A4" w:rsidP="000839A4">
            <w:pPr>
              <w:spacing w:before="120"/>
              <w:rPr>
                <w:strike/>
                <w:szCs w:val="24"/>
              </w:rPr>
            </w:pPr>
            <w:r w:rsidRPr="000839A4">
              <w:rPr>
                <w:strike/>
                <w:szCs w:val="24"/>
              </w:rPr>
              <w:t>Ostatní zdvihací, manipulační, nakládací nebo vykládací zařízení</w:t>
            </w:r>
          </w:p>
        </w:tc>
      </w:tr>
      <w:tr w:rsidR="000839A4" w:rsidRPr="000839A4" w14:paraId="6CCA7DC0" w14:textId="77777777" w:rsidTr="000839A4">
        <w:tc>
          <w:tcPr>
            <w:tcW w:w="1271" w:type="dxa"/>
          </w:tcPr>
          <w:p w14:paraId="4217ABAD" w14:textId="77777777" w:rsidR="000839A4" w:rsidRPr="000839A4" w:rsidRDefault="000839A4" w:rsidP="000839A4">
            <w:pPr>
              <w:spacing w:before="120"/>
              <w:rPr>
                <w:strike/>
                <w:szCs w:val="24"/>
              </w:rPr>
            </w:pPr>
            <w:r w:rsidRPr="000839A4">
              <w:rPr>
                <w:strike/>
                <w:szCs w:val="24"/>
              </w:rPr>
              <w:t xml:space="preserve">(3-33) </w:t>
            </w:r>
          </w:p>
          <w:p w14:paraId="2121F3A0" w14:textId="77777777" w:rsidR="000839A4" w:rsidRPr="000839A4" w:rsidRDefault="000839A4" w:rsidP="000839A4">
            <w:pPr>
              <w:spacing w:before="120"/>
              <w:rPr>
                <w:strike/>
                <w:szCs w:val="24"/>
              </w:rPr>
            </w:pPr>
          </w:p>
        </w:tc>
        <w:tc>
          <w:tcPr>
            <w:tcW w:w="1559" w:type="dxa"/>
          </w:tcPr>
          <w:p w14:paraId="2E8C0A8E" w14:textId="77777777" w:rsidR="000839A4" w:rsidRPr="000839A4" w:rsidRDefault="000839A4" w:rsidP="000839A4">
            <w:pPr>
              <w:spacing w:before="120"/>
              <w:rPr>
                <w:strike/>
                <w:szCs w:val="24"/>
              </w:rPr>
            </w:pPr>
            <w:r w:rsidRPr="000839A4">
              <w:rPr>
                <w:strike/>
                <w:szCs w:val="24"/>
              </w:rPr>
              <w:t xml:space="preserve">28.25.11   </w:t>
            </w:r>
          </w:p>
        </w:tc>
        <w:tc>
          <w:tcPr>
            <w:tcW w:w="6232" w:type="dxa"/>
          </w:tcPr>
          <w:p w14:paraId="4D7DC3B9" w14:textId="77777777" w:rsidR="000839A4" w:rsidRPr="000839A4" w:rsidRDefault="000839A4" w:rsidP="000839A4">
            <w:pPr>
              <w:spacing w:before="120"/>
              <w:rPr>
                <w:strike/>
                <w:szCs w:val="24"/>
              </w:rPr>
            </w:pPr>
            <w:r w:rsidRPr="000839A4">
              <w:rPr>
                <w:strike/>
                <w:szCs w:val="24"/>
              </w:rPr>
              <w:t>Výměníky tepla, přístroje a zařízení na zkapalňování vzduchu nebo jiných plynů pokud nejsou uvedeny v jiné položce této přílohy</w:t>
            </w:r>
          </w:p>
        </w:tc>
      </w:tr>
      <w:tr w:rsidR="000839A4" w:rsidRPr="000839A4" w14:paraId="0743626F" w14:textId="77777777" w:rsidTr="000839A4">
        <w:tc>
          <w:tcPr>
            <w:tcW w:w="1271" w:type="dxa"/>
          </w:tcPr>
          <w:p w14:paraId="2F471E05" w14:textId="77777777" w:rsidR="000839A4" w:rsidRPr="000839A4" w:rsidRDefault="000839A4" w:rsidP="000839A4">
            <w:pPr>
              <w:spacing w:before="120"/>
              <w:rPr>
                <w:strike/>
                <w:szCs w:val="24"/>
              </w:rPr>
            </w:pPr>
            <w:r w:rsidRPr="000839A4">
              <w:rPr>
                <w:strike/>
                <w:szCs w:val="24"/>
              </w:rPr>
              <w:t xml:space="preserve">(3-34)     </w:t>
            </w:r>
          </w:p>
        </w:tc>
        <w:tc>
          <w:tcPr>
            <w:tcW w:w="1559" w:type="dxa"/>
          </w:tcPr>
          <w:p w14:paraId="5657759D" w14:textId="77777777" w:rsidR="000839A4" w:rsidRPr="000839A4" w:rsidRDefault="000839A4" w:rsidP="000839A4">
            <w:pPr>
              <w:spacing w:before="120"/>
              <w:rPr>
                <w:strike/>
                <w:szCs w:val="24"/>
              </w:rPr>
            </w:pPr>
            <w:r w:rsidRPr="000839A4">
              <w:rPr>
                <w:strike/>
                <w:szCs w:val="24"/>
              </w:rPr>
              <w:t xml:space="preserve">28.25.12   </w:t>
            </w:r>
          </w:p>
        </w:tc>
        <w:tc>
          <w:tcPr>
            <w:tcW w:w="6232" w:type="dxa"/>
          </w:tcPr>
          <w:p w14:paraId="7447F308" w14:textId="77777777" w:rsidR="000839A4" w:rsidRPr="000839A4" w:rsidRDefault="000839A4" w:rsidP="000839A4">
            <w:pPr>
              <w:spacing w:before="120"/>
              <w:rPr>
                <w:strike/>
                <w:szCs w:val="24"/>
              </w:rPr>
            </w:pPr>
            <w:r w:rsidRPr="000839A4">
              <w:rPr>
                <w:strike/>
                <w:szCs w:val="24"/>
              </w:rPr>
              <w:t>Klimatizační zařízení</w:t>
            </w:r>
          </w:p>
        </w:tc>
      </w:tr>
      <w:tr w:rsidR="000839A4" w:rsidRPr="000839A4" w14:paraId="67EED1DC" w14:textId="77777777" w:rsidTr="000839A4">
        <w:tc>
          <w:tcPr>
            <w:tcW w:w="1271" w:type="dxa"/>
          </w:tcPr>
          <w:p w14:paraId="3F23FEC9" w14:textId="77777777" w:rsidR="000839A4" w:rsidRPr="000839A4" w:rsidRDefault="000839A4" w:rsidP="000839A4">
            <w:pPr>
              <w:spacing w:before="120"/>
              <w:rPr>
                <w:strike/>
                <w:szCs w:val="24"/>
              </w:rPr>
            </w:pPr>
            <w:r w:rsidRPr="000839A4">
              <w:rPr>
                <w:strike/>
                <w:szCs w:val="24"/>
              </w:rPr>
              <w:t xml:space="preserve">(3-35)    </w:t>
            </w:r>
          </w:p>
          <w:p w14:paraId="62F24347" w14:textId="77777777" w:rsidR="000839A4" w:rsidRPr="000839A4" w:rsidRDefault="000839A4" w:rsidP="000839A4">
            <w:pPr>
              <w:spacing w:before="120"/>
              <w:rPr>
                <w:strike/>
                <w:szCs w:val="24"/>
              </w:rPr>
            </w:pPr>
          </w:p>
        </w:tc>
        <w:tc>
          <w:tcPr>
            <w:tcW w:w="1559" w:type="dxa"/>
          </w:tcPr>
          <w:p w14:paraId="030BE7F8" w14:textId="77777777" w:rsidR="000839A4" w:rsidRPr="000839A4" w:rsidRDefault="000839A4" w:rsidP="000839A4">
            <w:pPr>
              <w:spacing w:before="120"/>
              <w:rPr>
                <w:strike/>
                <w:szCs w:val="24"/>
              </w:rPr>
            </w:pPr>
            <w:r w:rsidRPr="000839A4">
              <w:rPr>
                <w:strike/>
                <w:szCs w:val="24"/>
              </w:rPr>
              <w:t xml:space="preserve">28.25.14   </w:t>
            </w:r>
          </w:p>
        </w:tc>
        <w:tc>
          <w:tcPr>
            <w:tcW w:w="6232" w:type="dxa"/>
          </w:tcPr>
          <w:p w14:paraId="7ACEBB27" w14:textId="77777777" w:rsidR="000839A4" w:rsidRPr="000839A4" w:rsidRDefault="000839A4" w:rsidP="000839A4">
            <w:pPr>
              <w:spacing w:before="120"/>
              <w:rPr>
                <w:strike/>
                <w:szCs w:val="24"/>
              </w:rPr>
            </w:pPr>
            <w:r w:rsidRPr="000839A4">
              <w:rPr>
                <w:strike/>
                <w:szCs w:val="24"/>
              </w:rPr>
              <w:t>Stroje a zařízení na filtrování a čištění plynů j. n.</w:t>
            </w:r>
          </w:p>
        </w:tc>
      </w:tr>
      <w:tr w:rsidR="000839A4" w:rsidRPr="000839A4" w14:paraId="1C352924" w14:textId="77777777" w:rsidTr="000839A4">
        <w:tc>
          <w:tcPr>
            <w:tcW w:w="1271" w:type="dxa"/>
          </w:tcPr>
          <w:p w14:paraId="4FF5DE15" w14:textId="77777777" w:rsidR="000839A4" w:rsidRPr="000839A4" w:rsidRDefault="000839A4" w:rsidP="000839A4">
            <w:pPr>
              <w:spacing w:before="120"/>
              <w:rPr>
                <w:strike/>
                <w:szCs w:val="24"/>
              </w:rPr>
            </w:pPr>
            <w:r w:rsidRPr="000839A4">
              <w:rPr>
                <w:strike/>
                <w:szCs w:val="24"/>
              </w:rPr>
              <w:t xml:space="preserve">(3-36)    </w:t>
            </w:r>
          </w:p>
          <w:p w14:paraId="26559A75" w14:textId="77777777" w:rsidR="000839A4" w:rsidRPr="000839A4" w:rsidRDefault="000839A4" w:rsidP="000839A4">
            <w:pPr>
              <w:spacing w:before="120"/>
              <w:rPr>
                <w:strike/>
                <w:szCs w:val="24"/>
              </w:rPr>
            </w:pPr>
          </w:p>
        </w:tc>
        <w:tc>
          <w:tcPr>
            <w:tcW w:w="1559" w:type="dxa"/>
          </w:tcPr>
          <w:p w14:paraId="3D133147" w14:textId="77777777" w:rsidR="000839A4" w:rsidRPr="000839A4" w:rsidRDefault="000839A4" w:rsidP="000839A4">
            <w:pPr>
              <w:spacing w:before="120"/>
              <w:rPr>
                <w:strike/>
                <w:szCs w:val="24"/>
              </w:rPr>
            </w:pPr>
            <w:r w:rsidRPr="000839A4">
              <w:rPr>
                <w:strike/>
                <w:szCs w:val="24"/>
              </w:rPr>
              <w:t>28.25.20</w:t>
            </w:r>
          </w:p>
        </w:tc>
        <w:tc>
          <w:tcPr>
            <w:tcW w:w="6232" w:type="dxa"/>
          </w:tcPr>
          <w:p w14:paraId="2456422B" w14:textId="77777777" w:rsidR="000839A4" w:rsidRPr="000839A4" w:rsidRDefault="000839A4" w:rsidP="000839A4">
            <w:pPr>
              <w:spacing w:before="120"/>
              <w:rPr>
                <w:strike/>
                <w:szCs w:val="24"/>
              </w:rPr>
            </w:pPr>
            <w:r w:rsidRPr="000839A4">
              <w:rPr>
                <w:strike/>
                <w:szCs w:val="24"/>
              </w:rPr>
              <w:t>Ventilátory (kromě stolních, podlahových, nástěnných, okenních, stropních nebo střešních)</w:t>
            </w:r>
          </w:p>
        </w:tc>
      </w:tr>
      <w:tr w:rsidR="000839A4" w:rsidRPr="000839A4" w14:paraId="5EE520B0" w14:textId="77777777" w:rsidTr="000839A4">
        <w:tc>
          <w:tcPr>
            <w:tcW w:w="1271" w:type="dxa"/>
          </w:tcPr>
          <w:p w14:paraId="3E78026D" w14:textId="77777777" w:rsidR="000839A4" w:rsidRPr="000839A4" w:rsidRDefault="000839A4" w:rsidP="000839A4">
            <w:pPr>
              <w:spacing w:before="120"/>
              <w:rPr>
                <w:strike/>
                <w:szCs w:val="24"/>
              </w:rPr>
            </w:pPr>
            <w:r w:rsidRPr="000839A4">
              <w:rPr>
                <w:strike/>
                <w:szCs w:val="24"/>
              </w:rPr>
              <w:t xml:space="preserve">(3-37)    </w:t>
            </w:r>
          </w:p>
          <w:p w14:paraId="1D01D9DB" w14:textId="77777777" w:rsidR="000839A4" w:rsidRPr="000839A4" w:rsidRDefault="000839A4" w:rsidP="000839A4">
            <w:pPr>
              <w:spacing w:before="120"/>
              <w:rPr>
                <w:strike/>
                <w:szCs w:val="24"/>
              </w:rPr>
            </w:pPr>
          </w:p>
        </w:tc>
        <w:tc>
          <w:tcPr>
            <w:tcW w:w="1559" w:type="dxa"/>
          </w:tcPr>
          <w:p w14:paraId="6B0F5A42" w14:textId="77777777" w:rsidR="000839A4" w:rsidRPr="000839A4" w:rsidRDefault="000839A4" w:rsidP="000839A4">
            <w:pPr>
              <w:spacing w:before="120"/>
              <w:rPr>
                <w:strike/>
                <w:szCs w:val="24"/>
              </w:rPr>
            </w:pPr>
            <w:r w:rsidRPr="000839A4">
              <w:rPr>
                <w:strike/>
                <w:szCs w:val="24"/>
              </w:rPr>
              <w:t xml:space="preserve">28.29.1    </w:t>
            </w:r>
          </w:p>
        </w:tc>
        <w:tc>
          <w:tcPr>
            <w:tcW w:w="6232" w:type="dxa"/>
          </w:tcPr>
          <w:p w14:paraId="47067C8E" w14:textId="77777777" w:rsidR="000839A4" w:rsidRPr="000839A4" w:rsidRDefault="000839A4" w:rsidP="000839A4">
            <w:pPr>
              <w:spacing w:before="120"/>
              <w:rPr>
                <w:strike/>
                <w:szCs w:val="24"/>
              </w:rPr>
            </w:pPr>
            <w:r w:rsidRPr="000839A4">
              <w:rPr>
                <w:strike/>
                <w:szCs w:val="24"/>
              </w:rPr>
              <w:t>Plynové generátory, destilační a filtrační přístroje pokud nejsou uvedeny v jiné položce této přílohy</w:t>
            </w:r>
          </w:p>
        </w:tc>
      </w:tr>
      <w:tr w:rsidR="000839A4" w:rsidRPr="000839A4" w14:paraId="7E10A0D1" w14:textId="77777777" w:rsidTr="000839A4">
        <w:tc>
          <w:tcPr>
            <w:tcW w:w="1271" w:type="dxa"/>
          </w:tcPr>
          <w:p w14:paraId="1723D642" w14:textId="77777777" w:rsidR="000839A4" w:rsidRPr="000839A4" w:rsidRDefault="000839A4" w:rsidP="000839A4">
            <w:pPr>
              <w:spacing w:before="120"/>
              <w:rPr>
                <w:strike/>
                <w:szCs w:val="24"/>
              </w:rPr>
            </w:pPr>
            <w:r w:rsidRPr="000839A4">
              <w:rPr>
                <w:strike/>
                <w:szCs w:val="24"/>
              </w:rPr>
              <w:t xml:space="preserve">(3-38)   </w:t>
            </w:r>
          </w:p>
          <w:p w14:paraId="54DF5F0B" w14:textId="77777777" w:rsidR="000839A4" w:rsidRPr="000839A4" w:rsidRDefault="000839A4" w:rsidP="000839A4">
            <w:pPr>
              <w:spacing w:before="120"/>
              <w:rPr>
                <w:strike/>
                <w:szCs w:val="24"/>
              </w:rPr>
            </w:pPr>
          </w:p>
        </w:tc>
        <w:tc>
          <w:tcPr>
            <w:tcW w:w="1559" w:type="dxa"/>
          </w:tcPr>
          <w:p w14:paraId="184E0443" w14:textId="77777777" w:rsidR="000839A4" w:rsidRPr="000839A4" w:rsidRDefault="000839A4" w:rsidP="000839A4">
            <w:pPr>
              <w:spacing w:before="120"/>
              <w:rPr>
                <w:strike/>
                <w:szCs w:val="24"/>
              </w:rPr>
            </w:pPr>
            <w:r w:rsidRPr="000839A4">
              <w:rPr>
                <w:strike/>
                <w:szCs w:val="24"/>
              </w:rPr>
              <w:t xml:space="preserve">28.91.11   </w:t>
            </w:r>
          </w:p>
        </w:tc>
        <w:tc>
          <w:tcPr>
            <w:tcW w:w="6232" w:type="dxa"/>
          </w:tcPr>
          <w:p w14:paraId="04063AF6" w14:textId="782D5555" w:rsidR="000839A4" w:rsidRPr="000839A4" w:rsidRDefault="000839A4" w:rsidP="000839A4">
            <w:pPr>
              <w:spacing w:before="120"/>
              <w:rPr>
                <w:strike/>
                <w:szCs w:val="24"/>
              </w:rPr>
            </w:pPr>
            <w:r w:rsidRPr="000839A4">
              <w:rPr>
                <w:strike/>
                <w:szCs w:val="24"/>
              </w:rPr>
              <w:t xml:space="preserve">Konvertory, licí </w:t>
            </w:r>
            <w:r w:rsidR="002561EA">
              <w:rPr>
                <w:strike/>
                <w:szCs w:val="24"/>
              </w:rPr>
              <w:t xml:space="preserve">pánve, kokily na ingoty a </w:t>
            </w:r>
            <w:r w:rsidRPr="000839A4">
              <w:rPr>
                <w:strike/>
                <w:szCs w:val="24"/>
              </w:rPr>
              <w:t>odlévací stroje; válcovací stolice</w:t>
            </w:r>
          </w:p>
        </w:tc>
      </w:tr>
      <w:tr w:rsidR="000839A4" w:rsidRPr="000839A4" w14:paraId="7FBDDBF7" w14:textId="77777777" w:rsidTr="000839A4">
        <w:tc>
          <w:tcPr>
            <w:tcW w:w="1271" w:type="dxa"/>
          </w:tcPr>
          <w:p w14:paraId="5EF66DA1" w14:textId="77777777" w:rsidR="000839A4" w:rsidRPr="000839A4" w:rsidRDefault="000839A4" w:rsidP="000839A4">
            <w:pPr>
              <w:spacing w:before="120"/>
              <w:rPr>
                <w:strike/>
                <w:szCs w:val="24"/>
              </w:rPr>
            </w:pPr>
            <w:r w:rsidRPr="000839A4">
              <w:rPr>
                <w:strike/>
                <w:szCs w:val="24"/>
              </w:rPr>
              <w:t xml:space="preserve">(3-39)    </w:t>
            </w:r>
          </w:p>
        </w:tc>
        <w:tc>
          <w:tcPr>
            <w:tcW w:w="1559" w:type="dxa"/>
          </w:tcPr>
          <w:p w14:paraId="2ED8B57F" w14:textId="77777777" w:rsidR="000839A4" w:rsidRPr="000839A4" w:rsidRDefault="000839A4" w:rsidP="000839A4">
            <w:pPr>
              <w:spacing w:before="120"/>
              <w:rPr>
                <w:strike/>
                <w:szCs w:val="24"/>
              </w:rPr>
            </w:pPr>
            <w:r w:rsidRPr="000839A4">
              <w:rPr>
                <w:strike/>
                <w:szCs w:val="24"/>
              </w:rPr>
              <w:t xml:space="preserve">28.92.2    </w:t>
            </w:r>
          </w:p>
        </w:tc>
        <w:tc>
          <w:tcPr>
            <w:tcW w:w="6232" w:type="dxa"/>
          </w:tcPr>
          <w:p w14:paraId="4AB79437" w14:textId="77777777" w:rsidR="000839A4" w:rsidRPr="000839A4" w:rsidRDefault="000839A4" w:rsidP="000839A4">
            <w:pPr>
              <w:spacing w:before="120"/>
              <w:rPr>
                <w:strike/>
                <w:szCs w:val="24"/>
              </w:rPr>
            </w:pPr>
            <w:r w:rsidRPr="000839A4">
              <w:rPr>
                <w:strike/>
                <w:szCs w:val="24"/>
              </w:rPr>
              <w:t>Jen: rypadla kolesová a zakladače</w:t>
            </w:r>
          </w:p>
        </w:tc>
      </w:tr>
      <w:tr w:rsidR="000839A4" w:rsidRPr="000839A4" w14:paraId="6E47F1E1" w14:textId="77777777" w:rsidTr="000839A4">
        <w:tc>
          <w:tcPr>
            <w:tcW w:w="1271" w:type="dxa"/>
          </w:tcPr>
          <w:p w14:paraId="31AC98B4" w14:textId="77777777" w:rsidR="000839A4" w:rsidRPr="000839A4" w:rsidRDefault="000839A4" w:rsidP="000839A4">
            <w:pPr>
              <w:spacing w:before="120"/>
              <w:rPr>
                <w:strike/>
                <w:szCs w:val="24"/>
              </w:rPr>
            </w:pPr>
            <w:r w:rsidRPr="000839A4">
              <w:rPr>
                <w:strike/>
                <w:szCs w:val="24"/>
              </w:rPr>
              <w:t xml:space="preserve">(3-40)   </w:t>
            </w:r>
          </w:p>
        </w:tc>
        <w:tc>
          <w:tcPr>
            <w:tcW w:w="1559" w:type="dxa"/>
          </w:tcPr>
          <w:p w14:paraId="456B028A" w14:textId="77777777" w:rsidR="000839A4" w:rsidRPr="000839A4" w:rsidRDefault="000839A4" w:rsidP="000839A4">
            <w:pPr>
              <w:spacing w:before="120"/>
              <w:rPr>
                <w:strike/>
                <w:szCs w:val="24"/>
              </w:rPr>
            </w:pPr>
            <w:r w:rsidRPr="000839A4">
              <w:rPr>
                <w:strike/>
                <w:szCs w:val="24"/>
              </w:rPr>
              <w:t xml:space="preserve">28.95.11   </w:t>
            </w:r>
          </w:p>
        </w:tc>
        <w:tc>
          <w:tcPr>
            <w:tcW w:w="6232" w:type="dxa"/>
          </w:tcPr>
          <w:p w14:paraId="354D371C" w14:textId="77777777" w:rsidR="000839A4" w:rsidRPr="000839A4" w:rsidRDefault="000839A4" w:rsidP="000839A4">
            <w:pPr>
              <w:spacing w:before="120"/>
              <w:rPr>
                <w:strike/>
                <w:szCs w:val="24"/>
              </w:rPr>
            </w:pPr>
            <w:r w:rsidRPr="000839A4">
              <w:rPr>
                <w:strike/>
                <w:szCs w:val="24"/>
              </w:rPr>
              <w:t>Stroje a přístroje na výrobu papíru a lepenky</w:t>
            </w:r>
          </w:p>
        </w:tc>
      </w:tr>
      <w:tr w:rsidR="000839A4" w:rsidRPr="000839A4" w14:paraId="00A6FF18" w14:textId="77777777" w:rsidTr="000839A4">
        <w:tc>
          <w:tcPr>
            <w:tcW w:w="1271" w:type="dxa"/>
          </w:tcPr>
          <w:p w14:paraId="5917343B" w14:textId="77777777" w:rsidR="000839A4" w:rsidRPr="000839A4" w:rsidRDefault="000839A4" w:rsidP="000839A4">
            <w:pPr>
              <w:spacing w:before="120"/>
              <w:rPr>
                <w:strike/>
                <w:szCs w:val="24"/>
              </w:rPr>
            </w:pPr>
            <w:r w:rsidRPr="000839A4">
              <w:rPr>
                <w:strike/>
                <w:szCs w:val="24"/>
              </w:rPr>
              <w:t xml:space="preserve">(3-41)     </w:t>
            </w:r>
          </w:p>
        </w:tc>
        <w:tc>
          <w:tcPr>
            <w:tcW w:w="1559" w:type="dxa"/>
          </w:tcPr>
          <w:p w14:paraId="6A3BA00F" w14:textId="77777777" w:rsidR="000839A4" w:rsidRPr="000839A4" w:rsidRDefault="000839A4" w:rsidP="000839A4">
            <w:pPr>
              <w:spacing w:before="120"/>
              <w:rPr>
                <w:strike/>
                <w:szCs w:val="24"/>
              </w:rPr>
            </w:pPr>
            <w:r w:rsidRPr="000839A4">
              <w:rPr>
                <w:strike/>
                <w:szCs w:val="24"/>
              </w:rPr>
              <w:t xml:space="preserve">30.11      </w:t>
            </w:r>
          </w:p>
        </w:tc>
        <w:tc>
          <w:tcPr>
            <w:tcW w:w="6232" w:type="dxa"/>
          </w:tcPr>
          <w:p w14:paraId="0C785D7B" w14:textId="77777777" w:rsidR="000839A4" w:rsidRPr="000839A4" w:rsidRDefault="000839A4" w:rsidP="000839A4">
            <w:pPr>
              <w:spacing w:before="120"/>
              <w:rPr>
                <w:strike/>
                <w:szCs w:val="24"/>
              </w:rPr>
            </w:pPr>
            <w:r w:rsidRPr="000839A4">
              <w:rPr>
                <w:strike/>
                <w:szCs w:val="24"/>
              </w:rPr>
              <w:t>Lodě a plavidla</w:t>
            </w:r>
          </w:p>
        </w:tc>
      </w:tr>
      <w:tr w:rsidR="000839A4" w:rsidRPr="000839A4" w14:paraId="24EC595C" w14:textId="77777777" w:rsidTr="000839A4">
        <w:tc>
          <w:tcPr>
            <w:tcW w:w="1271" w:type="dxa"/>
          </w:tcPr>
          <w:p w14:paraId="2194F32B" w14:textId="77777777" w:rsidR="000839A4" w:rsidRPr="000839A4" w:rsidRDefault="000839A4" w:rsidP="000839A4">
            <w:pPr>
              <w:spacing w:before="120"/>
              <w:rPr>
                <w:strike/>
                <w:szCs w:val="24"/>
              </w:rPr>
            </w:pPr>
            <w:r w:rsidRPr="000839A4">
              <w:rPr>
                <w:strike/>
                <w:szCs w:val="24"/>
              </w:rPr>
              <w:t xml:space="preserve">(3-42)    </w:t>
            </w:r>
          </w:p>
          <w:p w14:paraId="6A417BFB" w14:textId="77777777" w:rsidR="000839A4" w:rsidRPr="000839A4" w:rsidRDefault="000839A4" w:rsidP="000839A4">
            <w:pPr>
              <w:spacing w:before="120"/>
              <w:rPr>
                <w:strike/>
                <w:szCs w:val="24"/>
              </w:rPr>
            </w:pPr>
          </w:p>
        </w:tc>
        <w:tc>
          <w:tcPr>
            <w:tcW w:w="1559" w:type="dxa"/>
          </w:tcPr>
          <w:p w14:paraId="6D3E3CD6" w14:textId="77777777" w:rsidR="000839A4" w:rsidRPr="000839A4" w:rsidRDefault="000839A4" w:rsidP="000839A4">
            <w:pPr>
              <w:spacing w:before="120"/>
              <w:rPr>
                <w:strike/>
                <w:szCs w:val="24"/>
              </w:rPr>
            </w:pPr>
            <w:r w:rsidRPr="000839A4">
              <w:rPr>
                <w:strike/>
                <w:szCs w:val="24"/>
              </w:rPr>
              <w:t xml:space="preserve">30.20      </w:t>
            </w:r>
          </w:p>
        </w:tc>
        <w:tc>
          <w:tcPr>
            <w:tcW w:w="6232" w:type="dxa"/>
          </w:tcPr>
          <w:p w14:paraId="07B0CE70" w14:textId="77777777" w:rsidR="000839A4" w:rsidRPr="000839A4" w:rsidRDefault="000839A4" w:rsidP="000839A4">
            <w:pPr>
              <w:spacing w:before="120"/>
              <w:rPr>
                <w:strike/>
                <w:szCs w:val="24"/>
              </w:rPr>
            </w:pPr>
            <w:r w:rsidRPr="000839A4">
              <w:rPr>
                <w:strike/>
                <w:szCs w:val="24"/>
              </w:rPr>
              <w:t>Železniční lokomotivy a vozový park pokud nejsou uvedeny v jiné položce této přílohy</w:t>
            </w:r>
          </w:p>
        </w:tc>
      </w:tr>
      <w:tr w:rsidR="000839A4" w:rsidRPr="000839A4" w14:paraId="415FF4E8" w14:textId="77777777" w:rsidTr="000839A4">
        <w:tc>
          <w:tcPr>
            <w:tcW w:w="1271" w:type="dxa"/>
          </w:tcPr>
          <w:p w14:paraId="1A2CDA84" w14:textId="77777777" w:rsidR="000839A4" w:rsidRPr="000839A4" w:rsidRDefault="000839A4" w:rsidP="000839A4">
            <w:pPr>
              <w:spacing w:before="120"/>
              <w:rPr>
                <w:strike/>
                <w:szCs w:val="24"/>
              </w:rPr>
            </w:pPr>
            <w:r w:rsidRPr="000839A4">
              <w:rPr>
                <w:strike/>
                <w:szCs w:val="24"/>
              </w:rPr>
              <w:lastRenderedPageBreak/>
              <w:t xml:space="preserve">(3-43)     </w:t>
            </w:r>
          </w:p>
          <w:p w14:paraId="45C7C75B" w14:textId="77777777" w:rsidR="000839A4" w:rsidRPr="000839A4" w:rsidRDefault="000839A4" w:rsidP="000839A4">
            <w:pPr>
              <w:spacing w:before="120"/>
              <w:rPr>
                <w:strike/>
                <w:szCs w:val="24"/>
              </w:rPr>
            </w:pPr>
          </w:p>
        </w:tc>
        <w:tc>
          <w:tcPr>
            <w:tcW w:w="1559" w:type="dxa"/>
          </w:tcPr>
          <w:p w14:paraId="1C37B9E3" w14:textId="77777777" w:rsidR="000839A4" w:rsidRPr="000839A4" w:rsidRDefault="000839A4" w:rsidP="000839A4">
            <w:pPr>
              <w:spacing w:before="120"/>
              <w:rPr>
                <w:strike/>
                <w:szCs w:val="24"/>
              </w:rPr>
            </w:pPr>
            <w:r w:rsidRPr="000839A4">
              <w:rPr>
                <w:strike/>
                <w:szCs w:val="24"/>
              </w:rPr>
              <w:t xml:space="preserve">30.30      </w:t>
            </w:r>
          </w:p>
        </w:tc>
        <w:tc>
          <w:tcPr>
            <w:tcW w:w="6232" w:type="dxa"/>
          </w:tcPr>
          <w:p w14:paraId="20E30C6A" w14:textId="77777777" w:rsidR="000839A4" w:rsidRPr="000839A4" w:rsidRDefault="000839A4" w:rsidP="000839A4">
            <w:pPr>
              <w:spacing w:before="120"/>
              <w:rPr>
                <w:strike/>
                <w:szCs w:val="24"/>
              </w:rPr>
            </w:pPr>
            <w:r w:rsidRPr="000839A4">
              <w:rPr>
                <w:strike/>
                <w:szCs w:val="24"/>
              </w:rPr>
              <w:t>Jen: vrtulníky v CZ-CPA 30.30.31 letouny a ostatní letadla o vlastní hmotnosti větší než 15 000 kg v CZ-CPA 30.30.34 kosmické lodě (včetně družic) a jejich nosných raket v CZ-CPA 30.30.40</w:t>
            </w:r>
          </w:p>
        </w:tc>
      </w:tr>
      <w:tr w:rsidR="000839A4" w:rsidRPr="000839A4" w14:paraId="55C03CA7" w14:textId="77777777" w:rsidTr="000839A4">
        <w:tc>
          <w:tcPr>
            <w:tcW w:w="1271" w:type="dxa"/>
          </w:tcPr>
          <w:p w14:paraId="19433D2D" w14:textId="77777777" w:rsidR="000839A4" w:rsidRPr="000839A4" w:rsidRDefault="000839A4" w:rsidP="000839A4">
            <w:pPr>
              <w:spacing w:before="120"/>
              <w:rPr>
                <w:strike/>
                <w:szCs w:val="24"/>
              </w:rPr>
            </w:pPr>
            <w:r w:rsidRPr="000839A4">
              <w:rPr>
                <w:strike/>
                <w:szCs w:val="24"/>
              </w:rPr>
              <w:t xml:space="preserve">(3-44)   </w:t>
            </w:r>
          </w:p>
          <w:p w14:paraId="438EB978" w14:textId="77777777" w:rsidR="000839A4" w:rsidRPr="000839A4" w:rsidRDefault="000839A4" w:rsidP="000839A4">
            <w:pPr>
              <w:spacing w:before="120"/>
              <w:rPr>
                <w:strike/>
                <w:szCs w:val="24"/>
              </w:rPr>
            </w:pPr>
          </w:p>
        </w:tc>
        <w:tc>
          <w:tcPr>
            <w:tcW w:w="1559" w:type="dxa"/>
          </w:tcPr>
          <w:p w14:paraId="556E0D6E" w14:textId="77777777" w:rsidR="000839A4" w:rsidRPr="000839A4" w:rsidRDefault="000839A4" w:rsidP="000839A4">
            <w:pPr>
              <w:spacing w:before="120"/>
              <w:rPr>
                <w:strike/>
                <w:szCs w:val="24"/>
              </w:rPr>
            </w:pPr>
          </w:p>
        </w:tc>
        <w:tc>
          <w:tcPr>
            <w:tcW w:w="6232" w:type="dxa"/>
          </w:tcPr>
          <w:p w14:paraId="7A0610D2" w14:textId="77777777" w:rsidR="000839A4" w:rsidRPr="000839A4" w:rsidRDefault="000839A4" w:rsidP="000839A4">
            <w:pPr>
              <w:spacing w:before="120"/>
              <w:rPr>
                <w:strike/>
                <w:szCs w:val="24"/>
              </w:rPr>
            </w:pPr>
            <w:r w:rsidRPr="000839A4">
              <w:rPr>
                <w:strike/>
                <w:szCs w:val="24"/>
              </w:rPr>
              <w:t>Pěstitelské celky trvalých porostů s dobou plodnosti delší než tři roky</w:t>
            </w:r>
          </w:p>
        </w:tc>
      </w:tr>
      <w:tr w:rsidR="000839A4" w:rsidRPr="000839A4" w14:paraId="1BE202F4" w14:textId="77777777" w:rsidTr="000839A4">
        <w:tc>
          <w:tcPr>
            <w:tcW w:w="9062" w:type="dxa"/>
            <w:gridSpan w:val="3"/>
          </w:tcPr>
          <w:p w14:paraId="4AE3AFF4" w14:textId="77777777" w:rsidR="000839A4" w:rsidRPr="000839A4" w:rsidRDefault="000839A4" w:rsidP="000839A4">
            <w:pPr>
              <w:spacing w:before="120"/>
              <w:rPr>
                <w:strike/>
                <w:szCs w:val="24"/>
              </w:rPr>
            </w:pPr>
            <w:r w:rsidRPr="000839A4">
              <w:rPr>
                <w:strike/>
                <w:szCs w:val="24"/>
              </w:rPr>
              <w:t>ODPISOVÁ SKUPINA 4 +++++)</w:t>
            </w:r>
          </w:p>
        </w:tc>
      </w:tr>
      <w:tr w:rsidR="000839A4" w:rsidRPr="000839A4" w14:paraId="298E270E" w14:textId="77777777" w:rsidTr="000839A4">
        <w:tc>
          <w:tcPr>
            <w:tcW w:w="1271" w:type="dxa"/>
          </w:tcPr>
          <w:p w14:paraId="4897FFEA" w14:textId="77777777" w:rsidR="000839A4" w:rsidRPr="000839A4" w:rsidRDefault="000839A4" w:rsidP="000839A4">
            <w:pPr>
              <w:spacing w:before="120"/>
              <w:rPr>
                <w:strike/>
                <w:szCs w:val="24"/>
              </w:rPr>
            </w:pPr>
            <w:r w:rsidRPr="000839A4">
              <w:rPr>
                <w:strike/>
                <w:szCs w:val="24"/>
              </w:rPr>
              <w:t>Položka +)</w:t>
            </w:r>
          </w:p>
        </w:tc>
        <w:tc>
          <w:tcPr>
            <w:tcW w:w="1559" w:type="dxa"/>
          </w:tcPr>
          <w:p w14:paraId="0A419378" w14:textId="77777777" w:rsidR="000839A4" w:rsidRPr="000839A4" w:rsidRDefault="000839A4" w:rsidP="000839A4">
            <w:pPr>
              <w:spacing w:before="120"/>
              <w:rPr>
                <w:strike/>
                <w:szCs w:val="24"/>
              </w:rPr>
            </w:pPr>
            <w:r w:rsidRPr="000839A4">
              <w:rPr>
                <w:strike/>
                <w:szCs w:val="24"/>
              </w:rPr>
              <w:t>CZ-CC +++)</w:t>
            </w:r>
          </w:p>
        </w:tc>
        <w:tc>
          <w:tcPr>
            <w:tcW w:w="6232" w:type="dxa"/>
          </w:tcPr>
          <w:p w14:paraId="10C325CF" w14:textId="77777777" w:rsidR="000839A4" w:rsidRPr="000839A4" w:rsidRDefault="000839A4" w:rsidP="000839A4">
            <w:pPr>
              <w:spacing w:before="120"/>
              <w:rPr>
                <w:strike/>
                <w:szCs w:val="24"/>
              </w:rPr>
            </w:pPr>
            <w:r w:rsidRPr="000839A4">
              <w:rPr>
                <w:strike/>
                <w:szCs w:val="24"/>
              </w:rPr>
              <w:t>Název ++++)</w:t>
            </w:r>
          </w:p>
        </w:tc>
      </w:tr>
      <w:tr w:rsidR="000839A4" w:rsidRPr="000839A4" w14:paraId="69D15749" w14:textId="77777777" w:rsidTr="000839A4">
        <w:tc>
          <w:tcPr>
            <w:tcW w:w="1271" w:type="dxa"/>
          </w:tcPr>
          <w:p w14:paraId="4D7D080C" w14:textId="77777777" w:rsidR="000839A4" w:rsidRPr="000839A4" w:rsidRDefault="000839A4" w:rsidP="000839A4">
            <w:pPr>
              <w:spacing w:before="120"/>
              <w:rPr>
                <w:strike/>
                <w:szCs w:val="24"/>
              </w:rPr>
            </w:pPr>
            <w:r w:rsidRPr="000839A4">
              <w:rPr>
                <w:strike/>
                <w:szCs w:val="24"/>
              </w:rPr>
              <w:t xml:space="preserve">(4-1)      </w:t>
            </w:r>
          </w:p>
          <w:p w14:paraId="50AA8488" w14:textId="77777777" w:rsidR="000839A4" w:rsidRPr="000839A4" w:rsidRDefault="000839A4" w:rsidP="000839A4">
            <w:pPr>
              <w:spacing w:before="120"/>
              <w:rPr>
                <w:strike/>
                <w:szCs w:val="24"/>
              </w:rPr>
            </w:pPr>
          </w:p>
        </w:tc>
        <w:tc>
          <w:tcPr>
            <w:tcW w:w="1559" w:type="dxa"/>
          </w:tcPr>
          <w:p w14:paraId="38AB3CE2" w14:textId="77777777" w:rsidR="000839A4" w:rsidRPr="000839A4" w:rsidRDefault="000839A4" w:rsidP="000839A4">
            <w:pPr>
              <w:spacing w:before="120"/>
              <w:rPr>
                <w:strike/>
                <w:szCs w:val="24"/>
              </w:rPr>
            </w:pPr>
            <w:r w:rsidRPr="000839A4">
              <w:rPr>
                <w:strike/>
                <w:szCs w:val="24"/>
              </w:rPr>
              <w:t>1</w:t>
            </w:r>
          </w:p>
        </w:tc>
        <w:tc>
          <w:tcPr>
            <w:tcW w:w="6232" w:type="dxa"/>
          </w:tcPr>
          <w:p w14:paraId="1C4B7E06" w14:textId="77777777" w:rsidR="000839A4" w:rsidRPr="000839A4" w:rsidRDefault="000839A4" w:rsidP="000839A4">
            <w:pPr>
              <w:spacing w:before="120"/>
              <w:rPr>
                <w:strike/>
                <w:szCs w:val="24"/>
              </w:rPr>
            </w:pPr>
            <w:r w:rsidRPr="000839A4">
              <w:rPr>
                <w:strike/>
                <w:szCs w:val="24"/>
              </w:rPr>
              <w:t>Jen: budovy</w:t>
            </w:r>
          </w:p>
          <w:p w14:paraId="172E7071" w14:textId="77777777" w:rsidR="000839A4" w:rsidRPr="000839A4" w:rsidRDefault="000839A4" w:rsidP="00FE4A0D">
            <w:pPr>
              <w:numPr>
                <w:ilvl w:val="0"/>
                <w:numId w:val="88"/>
              </w:numPr>
              <w:spacing w:before="120"/>
              <w:rPr>
                <w:strike/>
                <w:szCs w:val="24"/>
              </w:rPr>
            </w:pPr>
            <w:r w:rsidRPr="000839A4">
              <w:rPr>
                <w:strike/>
                <w:szCs w:val="24"/>
              </w:rPr>
              <w:t>ze dřeva a plastů, pokud nejsou uvedeny v jiné položce této přílohy</w:t>
            </w:r>
          </w:p>
          <w:p w14:paraId="6B9C64BB" w14:textId="77777777" w:rsidR="000839A4" w:rsidRPr="000839A4" w:rsidRDefault="000839A4" w:rsidP="00FE4A0D">
            <w:pPr>
              <w:numPr>
                <w:ilvl w:val="0"/>
                <w:numId w:val="88"/>
              </w:numPr>
              <w:spacing w:before="120"/>
              <w:rPr>
                <w:strike/>
                <w:szCs w:val="24"/>
              </w:rPr>
            </w:pPr>
            <w:r w:rsidRPr="000839A4">
              <w:rPr>
                <w:strike/>
                <w:szCs w:val="24"/>
              </w:rPr>
              <w:t>na povrchových dolech, pokud nejsou vázané na životnost dolu</w:t>
            </w:r>
          </w:p>
        </w:tc>
      </w:tr>
      <w:tr w:rsidR="000839A4" w:rsidRPr="000839A4" w14:paraId="64CF5273" w14:textId="77777777" w:rsidTr="000839A4">
        <w:tc>
          <w:tcPr>
            <w:tcW w:w="1271" w:type="dxa"/>
          </w:tcPr>
          <w:p w14:paraId="1F0E8761" w14:textId="77777777" w:rsidR="000839A4" w:rsidRPr="000839A4" w:rsidRDefault="000839A4" w:rsidP="000839A4">
            <w:pPr>
              <w:spacing w:before="120"/>
              <w:rPr>
                <w:strike/>
                <w:szCs w:val="24"/>
              </w:rPr>
            </w:pPr>
            <w:r w:rsidRPr="000839A4">
              <w:rPr>
                <w:strike/>
                <w:szCs w:val="24"/>
              </w:rPr>
              <w:t xml:space="preserve">(4-2)     </w:t>
            </w:r>
          </w:p>
        </w:tc>
        <w:tc>
          <w:tcPr>
            <w:tcW w:w="1559" w:type="dxa"/>
          </w:tcPr>
          <w:p w14:paraId="0B6C5162" w14:textId="77777777" w:rsidR="000839A4" w:rsidRPr="000839A4" w:rsidRDefault="000839A4" w:rsidP="000839A4">
            <w:pPr>
              <w:spacing w:before="120"/>
              <w:rPr>
                <w:strike/>
                <w:szCs w:val="24"/>
              </w:rPr>
            </w:pPr>
            <w:r w:rsidRPr="000839A4">
              <w:rPr>
                <w:strike/>
                <w:szCs w:val="24"/>
              </w:rPr>
              <w:t xml:space="preserve">1,2        </w:t>
            </w:r>
          </w:p>
        </w:tc>
        <w:tc>
          <w:tcPr>
            <w:tcW w:w="6232" w:type="dxa"/>
          </w:tcPr>
          <w:p w14:paraId="557AD878" w14:textId="77777777" w:rsidR="000839A4" w:rsidRPr="000839A4" w:rsidRDefault="000839A4" w:rsidP="000839A4">
            <w:pPr>
              <w:spacing w:before="120"/>
              <w:rPr>
                <w:strike/>
                <w:szCs w:val="24"/>
              </w:rPr>
            </w:pPr>
            <w:r w:rsidRPr="000839A4">
              <w:rPr>
                <w:strike/>
                <w:szCs w:val="24"/>
              </w:rPr>
              <w:t>Jen: oplocení</w:t>
            </w:r>
          </w:p>
        </w:tc>
      </w:tr>
      <w:tr w:rsidR="000839A4" w:rsidRPr="000839A4" w14:paraId="5F329881" w14:textId="77777777" w:rsidTr="000839A4">
        <w:tc>
          <w:tcPr>
            <w:tcW w:w="1271" w:type="dxa"/>
          </w:tcPr>
          <w:p w14:paraId="009B0456" w14:textId="77777777" w:rsidR="000839A4" w:rsidRPr="000839A4" w:rsidRDefault="000839A4" w:rsidP="000839A4">
            <w:pPr>
              <w:spacing w:before="120"/>
              <w:rPr>
                <w:strike/>
                <w:szCs w:val="24"/>
              </w:rPr>
            </w:pPr>
            <w:r w:rsidRPr="000839A4">
              <w:rPr>
                <w:strike/>
                <w:szCs w:val="24"/>
              </w:rPr>
              <w:t xml:space="preserve">(4-3)      </w:t>
            </w:r>
          </w:p>
        </w:tc>
        <w:tc>
          <w:tcPr>
            <w:tcW w:w="1559" w:type="dxa"/>
          </w:tcPr>
          <w:p w14:paraId="560202B3" w14:textId="77777777" w:rsidR="000839A4" w:rsidRPr="000839A4" w:rsidRDefault="000839A4" w:rsidP="000839A4">
            <w:pPr>
              <w:spacing w:before="120"/>
              <w:rPr>
                <w:strike/>
                <w:szCs w:val="24"/>
              </w:rPr>
            </w:pPr>
            <w:r w:rsidRPr="000839A4">
              <w:rPr>
                <w:strike/>
                <w:szCs w:val="24"/>
              </w:rPr>
              <w:t xml:space="preserve">1,2        </w:t>
            </w:r>
          </w:p>
        </w:tc>
        <w:tc>
          <w:tcPr>
            <w:tcW w:w="6232" w:type="dxa"/>
          </w:tcPr>
          <w:p w14:paraId="262E745B" w14:textId="77777777" w:rsidR="000839A4" w:rsidRPr="000839A4" w:rsidRDefault="000839A4" w:rsidP="000839A4">
            <w:pPr>
              <w:spacing w:before="120"/>
              <w:rPr>
                <w:strike/>
                <w:szCs w:val="24"/>
              </w:rPr>
            </w:pPr>
            <w:r w:rsidRPr="000839A4">
              <w:rPr>
                <w:strike/>
                <w:szCs w:val="24"/>
              </w:rPr>
              <w:t>Jen: vnější osvětlení budov a staveb</w:t>
            </w:r>
          </w:p>
        </w:tc>
      </w:tr>
      <w:tr w:rsidR="000839A4" w:rsidRPr="000839A4" w14:paraId="70C7FB24" w14:textId="77777777" w:rsidTr="000839A4">
        <w:tc>
          <w:tcPr>
            <w:tcW w:w="1271" w:type="dxa"/>
          </w:tcPr>
          <w:p w14:paraId="331177B6" w14:textId="77777777" w:rsidR="000839A4" w:rsidRPr="000839A4" w:rsidRDefault="000839A4" w:rsidP="000839A4">
            <w:pPr>
              <w:spacing w:before="120"/>
              <w:rPr>
                <w:strike/>
                <w:szCs w:val="24"/>
              </w:rPr>
            </w:pPr>
            <w:r w:rsidRPr="000839A4">
              <w:rPr>
                <w:strike/>
                <w:szCs w:val="24"/>
              </w:rPr>
              <w:t xml:space="preserve">(4-4)    </w:t>
            </w:r>
          </w:p>
        </w:tc>
        <w:tc>
          <w:tcPr>
            <w:tcW w:w="1559" w:type="dxa"/>
          </w:tcPr>
          <w:p w14:paraId="402A5BB5" w14:textId="77777777" w:rsidR="000839A4" w:rsidRPr="000839A4" w:rsidRDefault="000839A4" w:rsidP="000839A4">
            <w:pPr>
              <w:spacing w:before="120"/>
              <w:rPr>
                <w:strike/>
                <w:szCs w:val="24"/>
              </w:rPr>
            </w:pPr>
            <w:r w:rsidRPr="000839A4">
              <w:rPr>
                <w:strike/>
                <w:szCs w:val="24"/>
              </w:rPr>
              <w:t xml:space="preserve">125112     </w:t>
            </w:r>
          </w:p>
        </w:tc>
        <w:tc>
          <w:tcPr>
            <w:tcW w:w="6232" w:type="dxa"/>
          </w:tcPr>
          <w:p w14:paraId="340CF962" w14:textId="77777777" w:rsidR="000839A4" w:rsidRPr="000839A4" w:rsidRDefault="000839A4" w:rsidP="000839A4">
            <w:pPr>
              <w:spacing w:before="120"/>
              <w:rPr>
                <w:strike/>
                <w:szCs w:val="24"/>
              </w:rPr>
            </w:pPr>
            <w:r w:rsidRPr="000839A4">
              <w:rPr>
                <w:strike/>
                <w:szCs w:val="24"/>
              </w:rPr>
              <w:t>Budovy výrobní pro energetiku</w:t>
            </w:r>
          </w:p>
        </w:tc>
      </w:tr>
      <w:tr w:rsidR="000839A4" w:rsidRPr="000839A4" w14:paraId="02824F80" w14:textId="77777777" w:rsidTr="000839A4">
        <w:tc>
          <w:tcPr>
            <w:tcW w:w="1271" w:type="dxa"/>
          </w:tcPr>
          <w:p w14:paraId="42FA8C6A" w14:textId="77777777" w:rsidR="000839A4" w:rsidRPr="000839A4" w:rsidRDefault="000839A4" w:rsidP="000839A4">
            <w:pPr>
              <w:spacing w:before="120"/>
              <w:rPr>
                <w:strike/>
                <w:szCs w:val="24"/>
              </w:rPr>
            </w:pPr>
            <w:r w:rsidRPr="000839A4">
              <w:rPr>
                <w:strike/>
                <w:szCs w:val="24"/>
              </w:rPr>
              <w:t xml:space="preserve">(4-5)     </w:t>
            </w:r>
          </w:p>
        </w:tc>
        <w:tc>
          <w:tcPr>
            <w:tcW w:w="1559" w:type="dxa"/>
          </w:tcPr>
          <w:p w14:paraId="20E98D8F" w14:textId="77777777" w:rsidR="000839A4" w:rsidRPr="000839A4" w:rsidRDefault="000839A4" w:rsidP="000839A4">
            <w:pPr>
              <w:spacing w:before="120"/>
              <w:rPr>
                <w:strike/>
                <w:szCs w:val="24"/>
              </w:rPr>
            </w:pPr>
            <w:r w:rsidRPr="000839A4">
              <w:rPr>
                <w:strike/>
                <w:szCs w:val="24"/>
              </w:rPr>
              <w:t xml:space="preserve">125222     </w:t>
            </w:r>
          </w:p>
        </w:tc>
        <w:tc>
          <w:tcPr>
            <w:tcW w:w="6232" w:type="dxa"/>
          </w:tcPr>
          <w:p w14:paraId="3AE872A1" w14:textId="77777777" w:rsidR="000839A4" w:rsidRPr="000839A4" w:rsidRDefault="000839A4" w:rsidP="000839A4">
            <w:pPr>
              <w:spacing w:before="120"/>
              <w:rPr>
                <w:strike/>
                <w:szCs w:val="24"/>
              </w:rPr>
            </w:pPr>
            <w:r w:rsidRPr="000839A4">
              <w:rPr>
                <w:strike/>
                <w:szCs w:val="24"/>
              </w:rPr>
              <w:t>Sila samostatná</w:t>
            </w:r>
          </w:p>
        </w:tc>
      </w:tr>
      <w:tr w:rsidR="000839A4" w:rsidRPr="000839A4" w14:paraId="163CDB37" w14:textId="77777777" w:rsidTr="000839A4">
        <w:tc>
          <w:tcPr>
            <w:tcW w:w="1271" w:type="dxa"/>
          </w:tcPr>
          <w:p w14:paraId="5C30A023" w14:textId="77777777" w:rsidR="000839A4" w:rsidRPr="000839A4" w:rsidRDefault="000839A4" w:rsidP="000839A4">
            <w:pPr>
              <w:spacing w:before="120"/>
              <w:rPr>
                <w:strike/>
                <w:szCs w:val="24"/>
              </w:rPr>
            </w:pPr>
            <w:r w:rsidRPr="000839A4">
              <w:rPr>
                <w:strike/>
                <w:szCs w:val="24"/>
              </w:rPr>
              <w:t xml:space="preserve">(4-6)     </w:t>
            </w:r>
          </w:p>
          <w:p w14:paraId="507C5939" w14:textId="77777777" w:rsidR="000839A4" w:rsidRPr="000839A4" w:rsidRDefault="000839A4" w:rsidP="000839A4">
            <w:pPr>
              <w:spacing w:before="120"/>
              <w:rPr>
                <w:strike/>
                <w:szCs w:val="24"/>
              </w:rPr>
            </w:pPr>
          </w:p>
        </w:tc>
        <w:tc>
          <w:tcPr>
            <w:tcW w:w="1559" w:type="dxa"/>
          </w:tcPr>
          <w:p w14:paraId="4D77CFE0" w14:textId="77777777" w:rsidR="000839A4" w:rsidRPr="000839A4" w:rsidRDefault="000839A4" w:rsidP="000839A4">
            <w:pPr>
              <w:spacing w:before="120"/>
              <w:rPr>
                <w:strike/>
                <w:szCs w:val="24"/>
              </w:rPr>
            </w:pPr>
            <w:r w:rsidRPr="000839A4">
              <w:rPr>
                <w:strike/>
                <w:szCs w:val="24"/>
              </w:rPr>
              <w:t xml:space="preserve">127122     </w:t>
            </w:r>
          </w:p>
        </w:tc>
        <w:tc>
          <w:tcPr>
            <w:tcW w:w="6232" w:type="dxa"/>
          </w:tcPr>
          <w:p w14:paraId="086E9AFF" w14:textId="77777777" w:rsidR="000839A4" w:rsidRPr="000839A4" w:rsidRDefault="000839A4" w:rsidP="000839A4">
            <w:pPr>
              <w:spacing w:before="120"/>
              <w:rPr>
                <w:strike/>
                <w:szCs w:val="24"/>
              </w:rPr>
            </w:pPr>
            <w:r w:rsidRPr="000839A4">
              <w:rPr>
                <w:strike/>
                <w:szCs w:val="24"/>
              </w:rPr>
              <w:t>Sila pro posklizňovou úpravu a skladování obilí</w:t>
            </w:r>
          </w:p>
        </w:tc>
      </w:tr>
      <w:tr w:rsidR="000839A4" w:rsidRPr="000839A4" w14:paraId="3F2994F2" w14:textId="77777777" w:rsidTr="000839A4">
        <w:tc>
          <w:tcPr>
            <w:tcW w:w="1271" w:type="dxa"/>
          </w:tcPr>
          <w:p w14:paraId="37B297C2" w14:textId="77777777" w:rsidR="000839A4" w:rsidRPr="000839A4" w:rsidRDefault="000839A4" w:rsidP="000839A4">
            <w:pPr>
              <w:spacing w:before="120"/>
              <w:rPr>
                <w:strike/>
                <w:szCs w:val="24"/>
              </w:rPr>
            </w:pPr>
            <w:r w:rsidRPr="000839A4">
              <w:rPr>
                <w:strike/>
                <w:szCs w:val="24"/>
              </w:rPr>
              <w:t xml:space="preserve">(4-7)     </w:t>
            </w:r>
          </w:p>
        </w:tc>
        <w:tc>
          <w:tcPr>
            <w:tcW w:w="1559" w:type="dxa"/>
          </w:tcPr>
          <w:p w14:paraId="5974D1F4" w14:textId="77777777" w:rsidR="000839A4" w:rsidRPr="000839A4" w:rsidRDefault="000839A4" w:rsidP="000839A4">
            <w:pPr>
              <w:spacing w:before="120"/>
              <w:rPr>
                <w:strike/>
                <w:szCs w:val="24"/>
              </w:rPr>
            </w:pPr>
            <w:r w:rsidRPr="000839A4">
              <w:rPr>
                <w:strike/>
                <w:szCs w:val="24"/>
              </w:rPr>
              <w:t xml:space="preserve">212121     </w:t>
            </w:r>
          </w:p>
        </w:tc>
        <w:tc>
          <w:tcPr>
            <w:tcW w:w="6232" w:type="dxa"/>
          </w:tcPr>
          <w:p w14:paraId="71A76DBB" w14:textId="77777777" w:rsidR="000839A4" w:rsidRPr="000839A4" w:rsidRDefault="000839A4" w:rsidP="000839A4">
            <w:pPr>
              <w:spacing w:before="120"/>
              <w:rPr>
                <w:strike/>
                <w:szCs w:val="24"/>
              </w:rPr>
            </w:pPr>
            <w:r w:rsidRPr="000839A4">
              <w:rPr>
                <w:strike/>
                <w:szCs w:val="24"/>
              </w:rPr>
              <w:t>Svršek drah železničních dálkových - tratě</w:t>
            </w:r>
          </w:p>
        </w:tc>
      </w:tr>
      <w:tr w:rsidR="000839A4" w:rsidRPr="000839A4" w14:paraId="2C10355E" w14:textId="77777777" w:rsidTr="000839A4">
        <w:tc>
          <w:tcPr>
            <w:tcW w:w="1271" w:type="dxa"/>
          </w:tcPr>
          <w:p w14:paraId="3943E50D" w14:textId="77777777" w:rsidR="000839A4" w:rsidRPr="000839A4" w:rsidRDefault="000839A4" w:rsidP="000839A4">
            <w:pPr>
              <w:spacing w:before="120"/>
              <w:rPr>
                <w:strike/>
                <w:szCs w:val="24"/>
              </w:rPr>
            </w:pPr>
            <w:r w:rsidRPr="000839A4">
              <w:rPr>
                <w:strike/>
                <w:szCs w:val="24"/>
              </w:rPr>
              <w:t xml:space="preserve">(4-8)    </w:t>
            </w:r>
          </w:p>
        </w:tc>
        <w:tc>
          <w:tcPr>
            <w:tcW w:w="1559" w:type="dxa"/>
          </w:tcPr>
          <w:p w14:paraId="7CB6F517" w14:textId="77777777" w:rsidR="000839A4" w:rsidRPr="000839A4" w:rsidRDefault="000839A4" w:rsidP="000839A4">
            <w:pPr>
              <w:spacing w:before="120"/>
              <w:rPr>
                <w:strike/>
                <w:szCs w:val="24"/>
              </w:rPr>
            </w:pPr>
            <w:r w:rsidRPr="000839A4">
              <w:rPr>
                <w:strike/>
                <w:szCs w:val="24"/>
              </w:rPr>
              <w:t xml:space="preserve">212122     </w:t>
            </w:r>
          </w:p>
        </w:tc>
        <w:tc>
          <w:tcPr>
            <w:tcW w:w="6232" w:type="dxa"/>
          </w:tcPr>
          <w:p w14:paraId="11E57D9A" w14:textId="77777777" w:rsidR="000839A4" w:rsidRPr="000839A4" w:rsidRDefault="000839A4" w:rsidP="000839A4">
            <w:pPr>
              <w:spacing w:before="120"/>
              <w:rPr>
                <w:strike/>
                <w:szCs w:val="24"/>
              </w:rPr>
            </w:pPr>
            <w:r w:rsidRPr="000839A4">
              <w:rPr>
                <w:strike/>
                <w:szCs w:val="24"/>
              </w:rPr>
              <w:t>Svršek drah železničních dálkových - stanice</w:t>
            </w:r>
          </w:p>
        </w:tc>
      </w:tr>
      <w:tr w:rsidR="000839A4" w:rsidRPr="000839A4" w14:paraId="35FED139" w14:textId="77777777" w:rsidTr="000839A4">
        <w:tc>
          <w:tcPr>
            <w:tcW w:w="1271" w:type="dxa"/>
          </w:tcPr>
          <w:p w14:paraId="04DC2860" w14:textId="77777777" w:rsidR="000839A4" w:rsidRPr="000839A4" w:rsidRDefault="000839A4" w:rsidP="000839A4">
            <w:pPr>
              <w:spacing w:before="120"/>
              <w:rPr>
                <w:strike/>
                <w:szCs w:val="24"/>
              </w:rPr>
            </w:pPr>
            <w:r w:rsidRPr="000839A4">
              <w:rPr>
                <w:strike/>
                <w:szCs w:val="24"/>
              </w:rPr>
              <w:t xml:space="preserve">(4-9)     </w:t>
            </w:r>
          </w:p>
        </w:tc>
        <w:tc>
          <w:tcPr>
            <w:tcW w:w="1559" w:type="dxa"/>
          </w:tcPr>
          <w:p w14:paraId="0D059A75" w14:textId="77777777" w:rsidR="000839A4" w:rsidRPr="000839A4" w:rsidRDefault="000839A4" w:rsidP="000839A4">
            <w:pPr>
              <w:spacing w:before="120"/>
              <w:rPr>
                <w:strike/>
                <w:szCs w:val="24"/>
              </w:rPr>
            </w:pPr>
            <w:r w:rsidRPr="000839A4">
              <w:rPr>
                <w:strike/>
                <w:szCs w:val="24"/>
              </w:rPr>
              <w:t xml:space="preserve">212123     </w:t>
            </w:r>
          </w:p>
        </w:tc>
        <w:tc>
          <w:tcPr>
            <w:tcW w:w="6232" w:type="dxa"/>
          </w:tcPr>
          <w:p w14:paraId="2B033B18" w14:textId="77777777" w:rsidR="000839A4" w:rsidRPr="000839A4" w:rsidRDefault="000839A4" w:rsidP="000839A4">
            <w:pPr>
              <w:spacing w:before="120"/>
              <w:rPr>
                <w:strike/>
                <w:szCs w:val="24"/>
              </w:rPr>
            </w:pPr>
            <w:r w:rsidRPr="000839A4">
              <w:rPr>
                <w:strike/>
                <w:szCs w:val="24"/>
              </w:rPr>
              <w:t>Svršek drah železničních dálkových - výhybky</w:t>
            </w:r>
          </w:p>
        </w:tc>
      </w:tr>
      <w:tr w:rsidR="000839A4" w:rsidRPr="000839A4" w14:paraId="7E939700" w14:textId="77777777" w:rsidTr="000839A4">
        <w:tc>
          <w:tcPr>
            <w:tcW w:w="1271" w:type="dxa"/>
          </w:tcPr>
          <w:p w14:paraId="0BAD58D1" w14:textId="77777777" w:rsidR="000839A4" w:rsidRPr="000839A4" w:rsidRDefault="000839A4" w:rsidP="000839A4">
            <w:pPr>
              <w:spacing w:before="120"/>
              <w:rPr>
                <w:strike/>
                <w:szCs w:val="24"/>
              </w:rPr>
            </w:pPr>
            <w:r w:rsidRPr="000839A4">
              <w:rPr>
                <w:strike/>
                <w:szCs w:val="24"/>
              </w:rPr>
              <w:t xml:space="preserve">(4-10)    </w:t>
            </w:r>
          </w:p>
        </w:tc>
        <w:tc>
          <w:tcPr>
            <w:tcW w:w="1559" w:type="dxa"/>
          </w:tcPr>
          <w:p w14:paraId="14350CFD" w14:textId="77777777" w:rsidR="000839A4" w:rsidRPr="000839A4" w:rsidRDefault="000839A4" w:rsidP="000839A4">
            <w:pPr>
              <w:spacing w:before="120"/>
              <w:rPr>
                <w:strike/>
                <w:szCs w:val="24"/>
              </w:rPr>
            </w:pPr>
            <w:r w:rsidRPr="000839A4">
              <w:rPr>
                <w:strike/>
                <w:szCs w:val="24"/>
              </w:rPr>
              <w:t xml:space="preserve">212124     </w:t>
            </w:r>
          </w:p>
        </w:tc>
        <w:tc>
          <w:tcPr>
            <w:tcW w:w="6232" w:type="dxa"/>
          </w:tcPr>
          <w:p w14:paraId="52400F30" w14:textId="77777777" w:rsidR="000839A4" w:rsidRPr="000839A4" w:rsidRDefault="000839A4" w:rsidP="000839A4">
            <w:pPr>
              <w:spacing w:before="120"/>
              <w:rPr>
                <w:strike/>
                <w:szCs w:val="24"/>
              </w:rPr>
            </w:pPr>
            <w:r w:rsidRPr="000839A4">
              <w:rPr>
                <w:strike/>
                <w:szCs w:val="24"/>
              </w:rPr>
              <w:t>Svršek drah železničních dálkových - vlečky</w:t>
            </w:r>
          </w:p>
        </w:tc>
      </w:tr>
      <w:tr w:rsidR="000839A4" w:rsidRPr="000839A4" w14:paraId="79FEA9BF" w14:textId="77777777" w:rsidTr="000839A4">
        <w:tc>
          <w:tcPr>
            <w:tcW w:w="1271" w:type="dxa"/>
          </w:tcPr>
          <w:p w14:paraId="7F14D0C9" w14:textId="77777777" w:rsidR="000839A4" w:rsidRPr="000839A4" w:rsidRDefault="000839A4" w:rsidP="000839A4">
            <w:pPr>
              <w:spacing w:before="120"/>
              <w:rPr>
                <w:strike/>
                <w:szCs w:val="24"/>
              </w:rPr>
            </w:pPr>
            <w:r w:rsidRPr="000839A4">
              <w:rPr>
                <w:strike/>
                <w:szCs w:val="24"/>
              </w:rPr>
              <w:t xml:space="preserve">(4-11)    </w:t>
            </w:r>
          </w:p>
          <w:p w14:paraId="5C9A9D8A" w14:textId="77777777" w:rsidR="000839A4" w:rsidRPr="000839A4" w:rsidRDefault="000839A4" w:rsidP="000839A4">
            <w:pPr>
              <w:spacing w:before="120"/>
              <w:rPr>
                <w:strike/>
                <w:szCs w:val="24"/>
              </w:rPr>
            </w:pPr>
          </w:p>
        </w:tc>
        <w:tc>
          <w:tcPr>
            <w:tcW w:w="1559" w:type="dxa"/>
          </w:tcPr>
          <w:p w14:paraId="329A8DFA" w14:textId="77777777" w:rsidR="000839A4" w:rsidRPr="000839A4" w:rsidRDefault="000839A4" w:rsidP="000839A4">
            <w:pPr>
              <w:spacing w:before="120"/>
              <w:rPr>
                <w:strike/>
                <w:szCs w:val="24"/>
              </w:rPr>
            </w:pPr>
            <w:r w:rsidRPr="000839A4">
              <w:rPr>
                <w:strike/>
                <w:szCs w:val="24"/>
              </w:rPr>
              <w:t xml:space="preserve">212221     </w:t>
            </w:r>
          </w:p>
        </w:tc>
        <w:tc>
          <w:tcPr>
            <w:tcW w:w="6232" w:type="dxa"/>
          </w:tcPr>
          <w:p w14:paraId="6E45774D" w14:textId="77777777" w:rsidR="000839A4" w:rsidRPr="000839A4" w:rsidRDefault="000839A4" w:rsidP="000839A4">
            <w:pPr>
              <w:spacing w:before="120"/>
              <w:rPr>
                <w:strike/>
                <w:szCs w:val="24"/>
              </w:rPr>
            </w:pPr>
            <w:r w:rsidRPr="000839A4">
              <w:rPr>
                <w:strike/>
                <w:szCs w:val="24"/>
              </w:rPr>
              <w:t>Svršek drah kolejových - metro, tramvajové dráhy</w:t>
            </w:r>
          </w:p>
        </w:tc>
      </w:tr>
      <w:tr w:rsidR="000839A4" w:rsidRPr="000839A4" w14:paraId="2667347B" w14:textId="77777777" w:rsidTr="000839A4">
        <w:tc>
          <w:tcPr>
            <w:tcW w:w="1271" w:type="dxa"/>
          </w:tcPr>
          <w:p w14:paraId="39C3106E" w14:textId="77777777" w:rsidR="000839A4" w:rsidRPr="000839A4" w:rsidRDefault="000839A4" w:rsidP="000839A4">
            <w:pPr>
              <w:spacing w:before="120"/>
              <w:rPr>
                <w:strike/>
                <w:szCs w:val="24"/>
              </w:rPr>
            </w:pPr>
            <w:r w:rsidRPr="000839A4">
              <w:rPr>
                <w:strike/>
                <w:szCs w:val="24"/>
              </w:rPr>
              <w:t xml:space="preserve">(4-12)    </w:t>
            </w:r>
          </w:p>
        </w:tc>
        <w:tc>
          <w:tcPr>
            <w:tcW w:w="1559" w:type="dxa"/>
          </w:tcPr>
          <w:p w14:paraId="0B5A122C" w14:textId="77777777" w:rsidR="000839A4" w:rsidRPr="000839A4" w:rsidRDefault="000839A4" w:rsidP="000839A4">
            <w:pPr>
              <w:spacing w:before="120"/>
              <w:rPr>
                <w:strike/>
                <w:szCs w:val="24"/>
              </w:rPr>
            </w:pPr>
            <w:r w:rsidRPr="000839A4">
              <w:rPr>
                <w:strike/>
                <w:szCs w:val="24"/>
              </w:rPr>
              <w:t xml:space="preserve">212229     </w:t>
            </w:r>
          </w:p>
        </w:tc>
        <w:tc>
          <w:tcPr>
            <w:tcW w:w="6232" w:type="dxa"/>
          </w:tcPr>
          <w:p w14:paraId="1977DD08" w14:textId="77777777" w:rsidR="000839A4" w:rsidRPr="000839A4" w:rsidRDefault="000839A4" w:rsidP="000839A4">
            <w:pPr>
              <w:spacing w:before="120"/>
              <w:rPr>
                <w:strike/>
                <w:szCs w:val="24"/>
              </w:rPr>
            </w:pPr>
            <w:r w:rsidRPr="000839A4">
              <w:rPr>
                <w:strike/>
                <w:szCs w:val="24"/>
              </w:rPr>
              <w:t>Svršek drah kolejových jinde neuvedený</w:t>
            </w:r>
          </w:p>
        </w:tc>
      </w:tr>
      <w:tr w:rsidR="000839A4" w:rsidRPr="000839A4" w14:paraId="03749060" w14:textId="77777777" w:rsidTr="000839A4">
        <w:tc>
          <w:tcPr>
            <w:tcW w:w="1271" w:type="dxa"/>
          </w:tcPr>
          <w:p w14:paraId="60550B7A" w14:textId="77777777" w:rsidR="000839A4" w:rsidRPr="000839A4" w:rsidRDefault="000839A4" w:rsidP="000839A4">
            <w:pPr>
              <w:spacing w:before="120"/>
              <w:rPr>
                <w:strike/>
                <w:szCs w:val="24"/>
              </w:rPr>
            </w:pPr>
            <w:r w:rsidRPr="000839A4">
              <w:rPr>
                <w:strike/>
                <w:szCs w:val="24"/>
              </w:rPr>
              <w:t xml:space="preserve">(4-13)    </w:t>
            </w:r>
          </w:p>
          <w:p w14:paraId="39A63B63" w14:textId="77777777" w:rsidR="000839A4" w:rsidRPr="000839A4" w:rsidRDefault="000839A4" w:rsidP="000839A4">
            <w:pPr>
              <w:spacing w:before="120"/>
              <w:rPr>
                <w:strike/>
                <w:szCs w:val="24"/>
              </w:rPr>
            </w:pPr>
          </w:p>
        </w:tc>
        <w:tc>
          <w:tcPr>
            <w:tcW w:w="1559" w:type="dxa"/>
          </w:tcPr>
          <w:p w14:paraId="3941064E" w14:textId="77777777" w:rsidR="000839A4" w:rsidRPr="000839A4" w:rsidRDefault="000839A4" w:rsidP="000839A4">
            <w:pPr>
              <w:spacing w:before="120"/>
              <w:rPr>
                <w:strike/>
                <w:szCs w:val="24"/>
              </w:rPr>
            </w:pPr>
            <w:r w:rsidRPr="000839A4">
              <w:rPr>
                <w:strike/>
                <w:szCs w:val="24"/>
              </w:rPr>
              <w:t xml:space="preserve">221        </w:t>
            </w:r>
          </w:p>
        </w:tc>
        <w:tc>
          <w:tcPr>
            <w:tcW w:w="6232" w:type="dxa"/>
          </w:tcPr>
          <w:p w14:paraId="0E9BA0CD" w14:textId="77777777" w:rsidR="000839A4" w:rsidRPr="000839A4" w:rsidRDefault="000839A4" w:rsidP="000839A4">
            <w:pPr>
              <w:spacing w:before="120"/>
              <w:rPr>
                <w:strike/>
                <w:szCs w:val="24"/>
              </w:rPr>
            </w:pPr>
            <w:r w:rsidRPr="000839A4">
              <w:rPr>
                <w:strike/>
                <w:szCs w:val="24"/>
              </w:rPr>
              <w:t>Vedení dálková trubní, telekomunikační a elektrická, pokud nejsou uvedena v jiné položce této přílohy</w:t>
            </w:r>
          </w:p>
        </w:tc>
      </w:tr>
      <w:tr w:rsidR="000839A4" w:rsidRPr="000839A4" w14:paraId="28C3649A" w14:textId="77777777" w:rsidTr="000839A4">
        <w:tc>
          <w:tcPr>
            <w:tcW w:w="1271" w:type="dxa"/>
          </w:tcPr>
          <w:p w14:paraId="29D35352" w14:textId="77777777" w:rsidR="000839A4" w:rsidRPr="000839A4" w:rsidRDefault="000839A4" w:rsidP="000839A4">
            <w:pPr>
              <w:spacing w:before="120"/>
              <w:rPr>
                <w:strike/>
                <w:szCs w:val="24"/>
              </w:rPr>
            </w:pPr>
            <w:r w:rsidRPr="000839A4">
              <w:rPr>
                <w:strike/>
                <w:szCs w:val="24"/>
              </w:rPr>
              <w:t xml:space="preserve">(4-14)    </w:t>
            </w:r>
          </w:p>
          <w:p w14:paraId="2B303D38" w14:textId="77777777" w:rsidR="000839A4" w:rsidRPr="000839A4" w:rsidRDefault="000839A4" w:rsidP="000839A4">
            <w:pPr>
              <w:spacing w:before="120"/>
              <w:rPr>
                <w:strike/>
                <w:szCs w:val="24"/>
              </w:rPr>
            </w:pPr>
          </w:p>
        </w:tc>
        <w:tc>
          <w:tcPr>
            <w:tcW w:w="1559" w:type="dxa"/>
          </w:tcPr>
          <w:p w14:paraId="74A94B4E" w14:textId="77777777" w:rsidR="000839A4" w:rsidRPr="000839A4" w:rsidRDefault="000839A4" w:rsidP="000839A4">
            <w:pPr>
              <w:spacing w:before="120"/>
              <w:rPr>
                <w:strike/>
                <w:szCs w:val="24"/>
              </w:rPr>
            </w:pPr>
            <w:r w:rsidRPr="000839A4">
              <w:rPr>
                <w:strike/>
                <w:szCs w:val="24"/>
              </w:rPr>
              <w:t xml:space="preserve">222        </w:t>
            </w:r>
          </w:p>
        </w:tc>
        <w:tc>
          <w:tcPr>
            <w:tcW w:w="6232" w:type="dxa"/>
          </w:tcPr>
          <w:p w14:paraId="1DBAF7DC" w14:textId="77777777" w:rsidR="000839A4" w:rsidRPr="000839A4" w:rsidRDefault="000839A4" w:rsidP="000839A4">
            <w:pPr>
              <w:spacing w:before="120"/>
              <w:rPr>
                <w:strike/>
                <w:szCs w:val="24"/>
              </w:rPr>
            </w:pPr>
            <w:r w:rsidRPr="000839A4">
              <w:rPr>
                <w:strike/>
                <w:szCs w:val="24"/>
              </w:rPr>
              <w:t>Vedení místní trubní, elektrická a telekomunikační pokud nejsou uvedena v jiné položce této přílohy</w:t>
            </w:r>
          </w:p>
        </w:tc>
      </w:tr>
      <w:tr w:rsidR="000839A4" w:rsidRPr="000839A4" w14:paraId="3D78CD92" w14:textId="77777777" w:rsidTr="000839A4">
        <w:tc>
          <w:tcPr>
            <w:tcW w:w="1271" w:type="dxa"/>
          </w:tcPr>
          <w:p w14:paraId="6AF72BD4" w14:textId="77777777" w:rsidR="000839A4" w:rsidRPr="000839A4" w:rsidRDefault="000839A4" w:rsidP="000839A4">
            <w:pPr>
              <w:spacing w:before="120"/>
              <w:rPr>
                <w:strike/>
                <w:szCs w:val="24"/>
              </w:rPr>
            </w:pPr>
            <w:r w:rsidRPr="000839A4">
              <w:rPr>
                <w:strike/>
                <w:szCs w:val="24"/>
              </w:rPr>
              <w:t xml:space="preserve">(4-15)   </w:t>
            </w:r>
          </w:p>
          <w:p w14:paraId="27595396" w14:textId="77777777" w:rsidR="000839A4" w:rsidRPr="000839A4" w:rsidRDefault="000839A4" w:rsidP="000839A4">
            <w:pPr>
              <w:spacing w:before="120"/>
              <w:rPr>
                <w:strike/>
                <w:szCs w:val="24"/>
              </w:rPr>
            </w:pPr>
          </w:p>
        </w:tc>
        <w:tc>
          <w:tcPr>
            <w:tcW w:w="1559" w:type="dxa"/>
          </w:tcPr>
          <w:p w14:paraId="28E866CD" w14:textId="77777777" w:rsidR="000839A4" w:rsidRPr="000839A4" w:rsidRDefault="000839A4" w:rsidP="000839A4">
            <w:pPr>
              <w:spacing w:before="120"/>
              <w:rPr>
                <w:strike/>
                <w:szCs w:val="24"/>
              </w:rPr>
            </w:pPr>
            <w:r w:rsidRPr="000839A4">
              <w:rPr>
                <w:strike/>
                <w:szCs w:val="24"/>
              </w:rPr>
              <w:t xml:space="preserve">230        </w:t>
            </w:r>
          </w:p>
        </w:tc>
        <w:tc>
          <w:tcPr>
            <w:tcW w:w="6232" w:type="dxa"/>
          </w:tcPr>
          <w:p w14:paraId="76BCA0FC" w14:textId="77777777" w:rsidR="000839A4" w:rsidRPr="000839A4" w:rsidRDefault="000839A4" w:rsidP="000839A4">
            <w:pPr>
              <w:spacing w:before="120"/>
              <w:rPr>
                <w:strike/>
                <w:szCs w:val="24"/>
              </w:rPr>
            </w:pPr>
            <w:r w:rsidRPr="000839A4">
              <w:rPr>
                <w:strike/>
                <w:szCs w:val="24"/>
              </w:rPr>
              <w:t>Jen: věže, stožáry, věžové zásobníky v CZ-CC230141, 230341, 230441 pokud nejsou uvedeny v jiné položce této přílohy</w:t>
            </w:r>
          </w:p>
        </w:tc>
      </w:tr>
      <w:tr w:rsidR="000839A4" w:rsidRPr="000839A4" w14:paraId="6A6B48D1" w14:textId="77777777" w:rsidTr="000839A4">
        <w:tc>
          <w:tcPr>
            <w:tcW w:w="1271" w:type="dxa"/>
          </w:tcPr>
          <w:p w14:paraId="5E7334C7" w14:textId="77777777" w:rsidR="000839A4" w:rsidRPr="000839A4" w:rsidRDefault="000839A4" w:rsidP="000839A4">
            <w:pPr>
              <w:spacing w:before="120"/>
              <w:rPr>
                <w:strike/>
                <w:szCs w:val="24"/>
              </w:rPr>
            </w:pPr>
            <w:r w:rsidRPr="000839A4">
              <w:rPr>
                <w:strike/>
                <w:szCs w:val="24"/>
              </w:rPr>
              <w:t xml:space="preserve">(4-16)    </w:t>
            </w:r>
          </w:p>
          <w:p w14:paraId="04BC8EDD" w14:textId="77777777" w:rsidR="000839A4" w:rsidRPr="000839A4" w:rsidRDefault="000839A4" w:rsidP="000839A4">
            <w:pPr>
              <w:spacing w:before="120"/>
              <w:rPr>
                <w:strike/>
                <w:szCs w:val="24"/>
              </w:rPr>
            </w:pPr>
          </w:p>
        </w:tc>
        <w:tc>
          <w:tcPr>
            <w:tcW w:w="1559" w:type="dxa"/>
          </w:tcPr>
          <w:p w14:paraId="50C15C39" w14:textId="77777777" w:rsidR="000839A4" w:rsidRPr="000839A4" w:rsidRDefault="000839A4" w:rsidP="000839A4">
            <w:pPr>
              <w:spacing w:before="120"/>
              <w:rPr>
                <w:strike/>
                <w:szCs w:val="24"/>
              </w:rPr>
            </w:pPr>
            <w:r w:rsidRPr="000839A4">
              <w:rPr>
                <w:strike/>
                <w:szCs w:val="24"/>
              </w:rPr>
              <w:t xml:space="preserve">2302       </w:t>
            </w:r>
          </w:p>
        </w:tc>
        <w:tc>
          <w:tcPr>
            <w:tcW w:w="6232" w:type="dxa"/>
          </w:tcPr>
          <w:p w14:paraId="24FBC96E" w14:textId="77777777" w:rsidR="000839A4" w:rsidRPr="000839A4" w:rsidRDefault="000839A4" w:rsidP="000839A4">
            <w:pPr>
              <w:spacing w:before="120"/>
              <w:rPr>
                <w:strike/>
                <w:szCs w:val="24"/>
              </w:rPr>
            </w:pPr>
            <w:r w:rsidRPr="000839A4">
              <w:rPr>
                <w:strike/>
                <w:szCs w:val="24"/>
              </w:rPr>
              <w:t>Stavby elektráren (díla energetická výrobní) pokud nejsou uvedeny v jiné položce této přílohy</w:t>
            </w:r>
          </w:p>
        </w:tc>
      </w:tr>
      <w:tr w:rsidR="000839A4" w:rsidRPr="000839A4" w14:paraId="74D80280" w14:textId="77777777" w:rsidTr="000839A4">
        <w:tc>
          <w:tcPr>
            <w:tcW w:w="1271" w:type="dxa"/>
          </w:tcPr>
          <w:p w14:paraId="30D55B2F" w14:textId="77777777" w:rsidR="000839A4" w:rsidRPr="000839A4" w:rsidRDefault="000839A4" w:rsidP="000839A4">
            <w:pPr>
              <w:spacing w:before="120"/>
              <w:rPr>
                <w:strike/>
                <w:szCs w:val="24"/>
              </w:rPr>
            </w:pPr>
            <w:r w:rsidRPr="000839A4">
              <w:rPr>
                <w:strike/>
                <w:szCs w:val="24"/>
              </w:rPr>
              <w:t xml:space="preserve">(4-17)    </w:t>
            </w:r>
          </w:p>
        </w:tc>
        <w:tc>
          <w:tcPr>
            <w:tcW w:w="1559" w:type="dxa"/>
          </w:tcPr>
          <w:p w14:paraId="0417EB13" w14:textId="77777777" w:rsidR="000839A4" w:rsidRPr="000839A4" w:rsidRDefault="000839A4" w:rsidP="000839A4">
            <w:pPr>
              <w:spacing w:before="120"/>
              <w:rPr>
                <w:strike/>
                <w:szCs w:val="24"/>
              </w:rPr>
            </w:pPr>
            <w:r w:rsidRPr="000839A4">
              <w:rPr>
                <w:strike/>
                <w:szCs w:val="24"/>
              </w:rPr>
              <w:t xml:space="preserve">230351     </w:t>
            </w:r>
          </w:p>
        </w:tc>
        <w:tc>
          <w:tcPr>
            <w:tcW w:w="6232" w:type="dxa"/>
          </w:tcPr>
          <w:p w14:paraId="24A1F8F1" w14:textId="77777777" w:rsidR="000839A4" w:rsidRPr="000839A4" w:rsidRDefault="000839A4" w:rsidP="000839A4">
            <w:pPr>
              <w:spacing w:before="120"/>
              <w:rPr>
                <w:strike/>
                <w:szCs w:val="24"/>
              </w:rPr>
            </w:pPr>
            <w:r w:rsidRPr="000839A4">
              <w:rPr>
                <w:strike/>
                <w:szCs w:val="24"/>
              </w:rPr>
              <w:t>Průmyslové komíny chemických podniků</w:t>
            </w:r>
          </w:p>
        </w:tc>
      </w:tr>
      <w:tr w:rsidR="000839A4" w:rsidRPr="000839A4" w14:paraId="59E63BCD" w14:textId="77777777" w:rsidTr="000839A4">
        <w:tc>
          <w:tcPr>
            <w:tcW w:w="1271" w:type="dxa"/>
          </w:tcPr>
          <w:p w14:paraId="1DE4D73F" w14:textId="77777777" w:rsidR="000839A4" w:rsidRPr="000839A4" w:rsidRDefault="000839A4" w:rsidP="000839A4">
            <w:pPr>
              <w:spacing w:before="120"/>
              <w:rPr>
                <w:strike/>
                <w:szCs w:val="24"/>
              </w:rPr>
            </w:pPr>
            <w:r w:rsidRPr="000839A4">
              <w:rPr>
                <w:strike/>
                <w:szCs w:val="24"/>
              </w:rPr>
              <w:lastRenderedPageBreak/>
              <w:t xml:space="preserve">(4-18)    </w:t>
            </w:r>
          </w:p>
        </w:tc>
        <w:tc>
          <w:tcPr>
            <w:tcW w:w="1559" w:type="dxa"/>
          </w:tcPr>
          <w:p w14:paraId="6F225158" w14:textId="77777777" w:rsidR="000839A4" w:rsidRPr="000839A4" w:rsidRDefault="000839A4" w:rsidP="000839A4">
            <w:pPr>
              <w:spacing w:before="120"/>
              <w:rPr>
                <w:strike/>
                <w:szCs w:val="24"/>
              </w:rPr>
            </w:pPr>
            <w:r w:rsidRPr="000839A4">
              <w:rPr>
                <w:strike/>
                <w:szCs w:val="24"/>
              </w:rPr>
              <w:t xml:space="preserve">230451     </w:t>
            </w:r>
          </w:p>
        </w:tc>
        <w:tc>
          <w:tcPr>
            <w:tcW w:w="6232" w:type="dxa"/>
          </w:tcPr>
          <w:p w14:paraId="1297856C" w14:textId="77777777" w:rsidR="000839A4" w:rsidRPr="000839A4" w:rsidRDefault="000839A4" w:rsidP="000839A4">
            <w:pPr>
              <w:spacing w:before="120"/>
              <w:rPr>
                <w:strike/>
                <w:szCs w:val="24"/>
              </w:rPr>
            </w:pPr>
            <w:r w:rsidRPr="000839A4">
              <w:rPr>
                <w:strike/>
                <w:szCs w:val="24"/>
              </w:rPr>
              <w:t>Průmyslové komíny pro ostatní průmysl</w:t>
            </w:r>
          </w:p>
        </w:tc>
      </w:tr>
      <w:tr w:rsidR="000839A4" w:rsidRPr="000839A4" w14:paraId="7A922048" w14:textId="77777777" w:rsidTr="000839A4">
        <w:tc>
          <w:tcPr>
            <w:tcW w:w="1271" w:type="dxa"/>
          </w:tcPr>
          <w:p w14:paraId="709110D2" w14:textId="77777777" w:rsidR="000839A4" w:rsidRPr="000839A4" w:rsidRDefault="000839A4" w:rsidP="000839A4">
            <w:pPr>
              <w:spacing w:before="120"/>
              <w:rPr>
                <w:strike/>
                <w:szCs w:val="24"/>
              </w:rPr>
            </w:pPr>
            <w:r w:rsidRPr="000839A4">
              <w:rPr>
                <w:strike/>
                <w:szCs w:val="24"/>
              </w:rPr>
              <w:t xml:space="preserve">(4-19)    </w:t>
            </w:r>
          </w:p>
          <w:p w14:paraId="083F30F8" w14:textId="77777777" w:rsidR="000839A4" w:rsidRPr="000839A4" w:rsidRDefault="000839A4" w:rsidP="000839A4">
            <w:pPr>
              <w:spacing w:before="120"/>
              <w:rPr>
                <w:strike/>
                <w:szCs w:val="24"/>
              </w:rPr>
            </w:pPr>
          </w:p>
        </w:tc>
        <w:tc>
          <w:tcPr>
            <w:tcW w:w="1559" w:type="dxa"/>
          </w:tcPr>
          <w:p w14:paraId="7B464420" w14:textId="77777777" w:rsidR="000839A4" w:rsidRPr="000839A4" w:rsidRDefault="000839A4" w:rsidP="000839A4">
            <w:pPr>
              <w:spacing w:before="120"/>
              <w:rPr>
                <w:strike/>
                <w:szCs w:val="24"/>
              </w:rPr>
            </w:pPr>
            <w:r w:rsidRPr="000839A4">
              <w:rPr>
                <w:strike/>
                <w:szCs w:val="24"/>
              </w:rPr>
              <w:t xml:space="preserve">241131     </w:t>
            </w:r>
          </w:p>
        </w:tc>
        <w:tc>
          <w:tcPr>
            <w:tcW w:w="6232" w:type="dxa"/>
          </w:tcPr>
          <w:p w14:paraId="51B07C01" w14:textId="77777777" w:rsidR="000839A4" w:rsidRPr="000839A4" w:rsidRDefault="000839A4" w:rsidP="000839A4">
            <w:pPr>
              <w:spacing w:before="120"/>
              <w:rPr>
                <w:strike/>
                <w:szCs w:val="24"/>
              </w:rPr>
            </w:pPr>
            <w:r w:rsidRPr="000839A4">
              <w:rPr>
                <w:strike/>
                <w:szCs w:val="24"/>
              </w:rPr>
              <w:t>Jen: koupaliště (bazény) nekryté ze dřeva a plastů</w:t>
            </w:r>
          </w:p>
        </w:tc>
      </w:tr>
      <w:tr w:rsidR="000839A4" w:rsidRPr="000839A4" w14:paraId="41E77BF9" w14:textId="77777777" w:rsidTr="000839A4">
        <w:tc>
          <w:tcPr>
            <w:tcW w:w="1271" w:type="dxa"/>
          </w:tcPr>
          <w:p w14:paraId="52ED55E7" w14:textId="77777777" w:rsidR="000839A4" w:rsidRPr="000839A4" w:rsidRDefault="000839A4" w:rsidP="000839A4">
            <w:pPr>
              <w:spacing w:before="120"/>
              <w:rPr>
                <w:strike/>
                <w:szCs w:val="24"/>
              </w:rPr>
            </w:pPr>
            <w:r w:rsidRPr="000839A4">
              <w:rPr>
                <w:strike/>
                <w:szCs w:val="24"/>
              </w:rPr>
              <w:t xml:space="preserve">(4-20)    </w:t>
            </w:r>
          </w:p>
        </w:tc>
        <w:tc>
          <w:tcPr>
            <w:tcW w:w="1559" w:type="dxa"/>
          </w:tcPr>
          <w:p w14:paraId="7605608C" w14:textId="77777777" w:rsidR="000839A4" w:rsidRPr="000839A4" w:rsidRDefault="000839A4" w:rsidP="000839A4">
            <w:pPr>
              <w:spacing w:before="120"/>
              <w:rPr>
                <w:strike/>
                <w:szCs w:val="24"/>
              </w:rPr>
            </w:pPr>
            <w:r w:rsidRPr="000839A4">
              <w:rPr>
                <w:strike/>
                <w:szCs w:val="24"/>
              </w:rPr>
              <w:t xml:space="preserve">242052     </w:t>
            </w:r>
          </w:p>
        </w:tc>
        <w:tc>
          <w:tcPr>
            <w:tcW w:w="6232" w:type="dxa"/>
          </w:tcPr>
          <w:p w14:paraId="4755CEB3" w14:textId="77777777" w:rsidR="000839A4" w:rsidRPr="000839A4" w:rsidRDefault="000839A4" w:rsidP="000839A4">
            <w:pPr>
              <w:spacing w:before="120"/>
              <w:rPr>
                <w:strike/>
                <w:szCs w:val="24"/>
              </w:rPr>
            </w:pPr>
            <w:r w:rsidRPr="000839A4">
              <w:rPr>
                <w:strike/>
                <w:szCs w:val="24"/>
              </w:rPr>
              <w:t>Jen: valy samostatné ze dřeva a plastů</w:t>
            </w:r>
          </w:p>
        </w:tc>
      </w:tr>
      <w:tr w:rsidR="000839A4" w:rsidRPr="000839A4" w14:paraId="4CF011FE" w14:textId="77777777" w:rsidTr="000839A4">
        <w:tc>
          <w:tcPr>
            <w:tcW w:w="1271" w:type="dxa"/>
          </w:tcPr>
          <w:p w14:paraId="688BDC37" w14:textId="77777777" w:rsidR="000839A4" w:rsidRPr="000839A4" w:rsidRDefault="000839A4" w:rsidP="000839A4">
            <w:pPr>
              <w:spacing w:before="120"/>
              <w:rPr>
                <w:strike/>
                <w:szCs w:val="24"/>
              </w:rPr>
            </w:pPr>
            <w:r w:rsidRPr="000839A4">
              <w:rPr>
                <w:strike/>
                <w:szCs w:val="24"/>
              </w:rPr>
              <w:t xml:space="preserve">(4-21)    </w:t>
            </w:r>
          </w:p>
        </w:tc>
        <w:tc>
          <w:tcPr>
            <w:tcW w:w="1559" w:type="dxa"/>
          </w:tcPr>
          <w:p w14:paraId="588C253D" w14:textId="77777777" w:rsidR="000839A4" w:rsidRPr="000839A4" w:rsidRDefault="000839A4" w:rsidP="000839A4">
            <w:pPr>
              <w:spacing w:before="120"/>
              <w:rPr>
                <w:strike/>
                <w:szCs w:val="24"/>
              </w:rPr>
            </w:pPr>
            <w:r w:rsidRPr="000839A4">
              <w:rPr>
                <w:strike/>
                <w:szCs w:val="24"/>
              </w:rPr>
              <w:t xml:space="preserve">242062     </w:t>
            </w:r>
          </w:p>
        </w:tc>
        <w:tc>
          <w:tcPr>
            <w:tcW w:w="6232" w:type="dxa"/>
          </w:tcPr>
          <w:p w14:paraId="137D6749" w14:textId="77777777" w:rsidR="000839A4" w:rsidRPr="000839A4" w:rsidRDefault="000839A4" w:rsidP="000839A4">
            <w:pPr>
              <w:spacing w:before="120"/>
              <w:rPr>
                <w:strike/>
                <w:szCs w:val="24"/>
              </w:rPr>
            </w:pPr>
            <w:r w:rsidRPr="000839A4">
              <w:rPr>
                <w:strike/>
                <w:szCs w:val="24"/>
              </w:rPr>
              <w:t>Konstrukce vinic</w:t>
            </w:r>
          </w:p>
        </w:tc>
      </w:tr>
      <w:tr w:rsidR="000839A4" w:rsidRPr="000839A4" w14:paraId="56DACCA4" w14:textId="77777777" w:rsidTr="000839A4">
        <w:tc>
          <w:tcPr>
            <w:tcW w:w="1271" w:type="dxa"/>
          </w:tcPr>
          <w:p w14:paraId="30EF1923" w14:textId="77777777" w:rsidR="000839A4" w:rsidRPr="000839A4" w:rsidRDefault="000839A4" w:rsidP="000839A4">
            <w:pPr>
              <w:spacing w:before="120"/>
              <w:rPr>
                <w:strike/>
                <w:szCs w:val="24"/>
              </w:rPr>
            </w:pPr>
            <w:r w:rsidRPr="000839A4">
              <w:rPr>
                <w:strike/>
                <w:szCs w:val="24"/>
              </w:rPr>
              <w:t xml:space="preserve">(4-22)     </w:t>
            </w:r>
          </w:p>
        </w:tc>
        <w:tc>
          <w:tcPr>
            <w:tcW w:w="1559" w:type="dxa"/>
          </w:tcPr>
          <w:p w14:paraId="5FA421B7" w14:textId="77777777" w:rsidR="000839A4" w:rsidRPr="000839A4" w:rsidRDefault="000839A4" w:rsidP="000839A4">
            <w:pPr>
              <w:spacing w:before="120"/>
              <w:rPr>
                <w:strike/>
                <w:szCs w:val="24"/>
              </w:rPr>
            </w:pPr>
          </w:p>
        </w:tc>
        <w:tc>
          <w:tcPr>
            <w:tcW w:w="6232" w:type="dxa"/>
          </w:tcPr>
          <w:p w14:paraId="36AE46B1" w14:textId="77777777" w:rsidR="000839A4" w:rsidRPr="000839A4" w:rsidRDefault="000839A4" w:rsidP="000839A4">
            <w:pPr>
              <w:spacing w:before="120"/>
              <w:rPr>
                <w:strike/>
                <w:szCs w:val="24"/>
              </w:rPr>
            </w:pPr>
            <w:r w:rsidRPr="000839A4">
              <w:rPr>
                <w:strike/>
                <w:szCs w:val="24"/>
              </w:rPr>
              <w:t>Jen: jednotky v budovách ze dřeva a plastů</w:t>
            </w:r>
          </w:p>
        </w:tc>
      </w:tr>
      <w:tr w:rsidR="000839A4" w:rsidRPr="000839A4" w14:paraId="752CB553" w14:textId="77777777" w:rsidTr="000839A4">
        <w:tc>
          <w:tcPr>
            <w:tcW w:w="9062" w:type="dxa"/>
            <w:gridSpan w:val="3"/>
          </w:tcPr>
          <w:p w14:paraId="22E98F57" w14:textId="77777777" w:rsidR="000839A4" w:rsidRPr="000839A4" w:rsidRDefault="000839A4" w:rsidP="000839A4">
            <w:pPr>
              <w:spacing w:before="120"/>
              <w:rPr>
                <w:strike/>
                <w:szCs w:val="24"/>
              </w:rPr>
            </w:pPr>
            <w:r w:rsidRPr="000839A4">
              <w:rPr>
                <w:strike/>
                <w:szCs w:val="24"/>
              </w:rPr>
              <w:t>ODPISOVÁ SKUPINA 5 +++++), ++++++),</w:t>
            </w:r>
          </w:p>
        </w:tc>
      </w:tr>
      <w:tr w:rsidR="000839A4" w:rsidRPr="000839A4" w14:paraId="19C366AD" w14:textId="77777777" w:rsidTr="000839A4">
        <w:tc>
          <w:tcPr>
            <w:tcW w:w="1271" w:type="dxa"/>
          </w:tcPr>
          <w:p w14:paraId="4F351E3F" w14:textId="77777777" w:rsidR="000839A4" w:rsidRPr="000839A4" w:rsidRDefault="000839A4" w:rsidP="000839A4">
            <w:pPr>
              <w:spacing w:before="120"/>
              <w:rPr>
                <w:strike/>
                <w:szCs w:val="24"/>
              </w:rPr>
            </w:pPr>
            <w:r w:rsidRPr="000839A4">
              <w:rPr>
                <w:strike/>
                <w:szCs w:val="24"/>
              </w:rPr>
              <w:t>Položka +)</w:t>
            </w:r>
          </w:p>
        </w:tc>
        <w:tc>
          <w:tcPr>
            <w:tcW w:w="1559" w:type="dxa"/>
          </w:tcPr>
          <w:p w14:paraId="43D642B5" w14:textId="77777777" w:rsidR="000839A4" w:rsidRPr="000839A4" w:rsidRDefault="000839A4" w:rsidP="000839A4">
            <w:pPr>
              <w:spacing w:before="120"/>
              <w:rPr>
                <w:strike/>
                <w:szCs w:val="24"/>
              </w:rPr>
            </w:pPr>
            <w:r w:rsidRPr="000839A4">
              <w:rPr>
                <w:strike/>
                <w:szCs w:val="24"/>
              </w:rPr>
              <w:t>CZ-CC +++)</w:t>
            </w:r>
          </w:p>
        </w:tc>
        <w:tc>
          <w:tcPr>
            <w:tcW w:w="6232" w:type="dxa"/>
          </w:tcPr>
          <w:p w14:paraId="0DCA0235" w14:textId="77777777" w:rsidR="000839A4" w:rsidRPr="000839A4" w:rsidRDefault="000839A4" w:rsidP="000839A4">
            <w:pPr>
              <w:spacing w:before="120"/>
              <w:rPr>
                <w:strike/>
                <w:szCs w:val="24"/>
              </w:rPr>
            </w:pPr>
            <w:r w:rsidRPr="000839A4">
              <w:rPr>
                <w:strike/>
                <w:szCs w:val="24"/>
              </w:rPr>
              <w:t>Název ++++)</w:t>
            </w:r>
          </w:p>
        </w:tc>
      </w:tr>
      <w:tr w:rsidR="000839A4" w:rsidRPr="000839A4" w14:paraId="77841A19" w14:textId="77777777" w:rsidTr="000839A4">
        <w:tc>
          <w:tcPr>
            <w:tcW w:w="1271" w:type="dxa"/>
          </w:tcPr>
          <w:p w14:paraId="7846AFE5" w14:textId="77777777" w:rsidR="000839A4" w:rsidRPr="000839A4" w:rsidRDefault="000839A4" w:rsidP="000839A4">
            <w:pPr>
              <w:spacing w:before="120"/>
              <w:rPr>
                <w:strike/>
                <w:szCs w:val="24"/>
              </w:rPr>
            </w:pPr>
            <w:r w:rsidRPr="000839A4">
              <w:rPr>
                <w:strike/>
                <w:szCs w:val="24"/>
              </w:rPr>
              <w:t xml:space="preserve">(5-1)     </w:t>
            </w:r>
          </w:p>
          <w:p w14:paraId="4AD6D51C" w14:textId="77777777" w:rsidR="000839A4" w:rsidRPr="000839A4" w:rsidRDefault="000839A4" w:rsidP="000839A4">
            <w:pPr>
              <w:spacing w:before="120"/>
              <w:rPr>
                <w:strike/>
                <w:szCs w:val="24"/>
              </w:rPr>
            </w:pPr>
          </w:p>
        </w:tc>
        <w:tc>
          <w:tcPr>
            <w:tcW w:w="1559" w:type="dxa"/>
          </w:tcPr>
          <w:p w14:paraId="2EBA62D2" w14:textId="77777777" w:rsidR="000839A4" w:rsidRPr="000839A4" w:rsidRDefault="000839A4" w:rsidP="000839A4">
            <w:pPr>
              <w:spacing w:before="120"/>
              <w:rPr>
                <w:strike/>
                <w:szCs w:val="24"/>
              </w:rPr>
            </w:pPr>
            <w:r w:rsidRPr="000839A4">
              <w:rPr>
                <w:strike/>
                <w:szCs w:val="24"/>
              </w:rPr>
              <w:t>1</w:t>
            </w:r>
          </w:p>
        </w:tc>
        <w:tc>
          <w:tcPr>
            <w:tcW w:w="6232" w:type="dxa"/>
          </w:tcPr>
          <w:p w14:paraId="3F6DEF5A" w14:textId="77777777" w:rsidR="000839A4" w:rsidRPr="000839A4" w:rsidRDefault="000839A4" w:rsidP="000839A4">
            <w:pPr>
              <w:spacing w:before="120"/>
              <w:rPr>
                <w:strike/>
                <w:szCs w:val="24"/>
              </w:rPr>
            </w:pPr>
            <w:r w:rsidRPr="000839A4">
              <w:rPr>
                <w:strike/>
                <w:szCs w:val="24"/>
              </w:rPr>
              <w:t>Budovy, pokud nejsou uvedeny v jiné položce této přílohy</w:t>
            </w:r>
          </w:p>
        </w:tc>
      </w:tr>
      <w:tr w:rsidR="000839A4" w:rsidRPr="000839A4" w14:paraId="530B2E2F" w14:textId="77777777" w:rsidTr="000839A4">
        <w:tc>
          <w:tcPr>
            <w:tcW w:w="1271" w:type="dxa"/>
          </w:tcPr>
          <w:p w14:paraId="21EA1916" w14:textId="77777777" w:rsidR="000839A4" w:rsidRPr="000839A4" w:rsidRDefault="000839A4" w:rsidP="000839A4">
            <w:pPr>
              <w:spacing w:before="120"/>
              <w:rPr>
                <w:strike/>
                <w:szCs w:val="24"/>
              </w:rPr>
            </w:pPr>
            <w:r w:rsidRPr="000839A4">
              <w:rPr>
                <w:strike/>
                <w:szCs w:val="24"/>
              </w:rPr>
              <w:t xml:space="preserve">(5-2)     </w:t>
            </w:r>
          </w:p>
          <w:p w14:paraId="2CD118F7" w14:textId="77777777" w:rsidR="000839A4" w:rsidRPr="000839A4" w:rsidRDefault="000839A4" w:rsidP="000839A4">
            <w:pPr>
              <w:spacing w:before="120"/>
              <w:rPr>
                <w:strike/>
                <w:szCs w:val="24"/>
              </w:rPr>
            </w:pPr>
          </w:p>
        </w:tc>
        <w:tc>
          <w:tcPr>
            <w:tcW w:w="1559" w:type="dxa"/>
          </w:tcPr>
          <w:p w14:paraId="6CB78981" w14:textId="77777777" w:rsidR="000839A4" w:rsidRPr="000839A4" w:rsidRDefault="000839A4" w:rsidP="000839A4">
            <w:pPr>
              <w:spacing w:before="120"/>
              <w:rPr>
                <w:strike/>
                <w:szCs w:val="24"/>
              </w:rPr>
            </w:pPr>
            <w:r w:rsidRPr="000839A4">
              <w:rPr>
                <w:strike/>
                <w:szCs w:val="24"/>
              </w:rPr>
              <w:t xml:space="preserve">211        </w:t>
            </w:r>
          </w:p>
        </w:tc>
        <w:tc>
          <w:tcPr>
            <w:tcW w:w="6232" w:type="dxa"/>
          </w:tcPr>
          <w:p w14:paraId="58230888" w14:textId="77777777" w:rsidR="000839A4" w:rsidRPr="000839A4" w:rsidRDefault="000839A4" w:rsidP="000839A4">
            <w:pPr>
              <w:spacing w:before="120"/>
              <w:rPr>
                <w:strike/>
                <w:szCs w:val="24"/>
              </w:rPr>
            </w:pPr>
            <w:r w:rsidRPr="000839A4">
              <w:rPr>
                <w:strike/>
                <w:szCs w:val="24"/>
              </w:rPr>
              <w:t>Dálnice, silnice, místní a účelové komunikace pokud nejsou uvedeny v jiné položce této přílohy</w:t>
            </w:r>
          </w:p>
        </w:tc>
      </w:tr>
      <w:tr w:rsidR="000839A4" w:rsidRPr="000839A4" w14:paraId="1EB821E1" w14:textId="77777777" w:rsidTr="000839A4">
        <w:tc>
          <w:tcPr>
            <w:tcW w:w="1271" w:type="dxa"/>
          </w:tcPr>
          <w:p w14:paraId="6EF7A6AD" w14:textId="77777777" w:rsidR="000839A4" w:rsidRPr="000839A4" w:rsidRDefault="000839A4" w:rsidP="000839A4">
            <w:pPr>
              <w:spacing w:before="120"/>
              <w:rPr>
                <w:strike/>
                <w:szCs w:val="24"/>
              </w:rPr>
            </w:pPr>
            <w:r w:rsidRPr="000839A4">
              <w:rPr>
                <w:strike/>
                <w:szCs w:val="24"/>
              </w:rPr>
              <w:t xml:space="preserve">(5-3)     </w:t>
            </w:r>
          </w:p>
        </w:tc>
        <w:tc>
          <w:tcPr>
            <w:tcW w:w="1559" w:type="dxa"/>
          </w:tcPr>
          <w:p w14:paraId="2DC22060" w14:textId="77777777" w:rsidR="000839A4" w:rsidRPr="000839A4" w:rsidRDefault="000839A4" w:rsidP="000839A4">
            <w:pPr>
              <w:spacing w:before="120"/>
              <w:rPr>
                <w:strike/>
                <w:szCs w:val="24"/>
              </w:rPr>
            </w:pPr>
            <w:r w:rsidRPr="000839A4">
              <w:rPr>
                <w:strike/>
                <w:szCs w:val="24"/>
              </w:rPr>
              <w:t xml:space="preserve">212111     </w:t>
            </w:r>
          </w:p>
        </w:tc>
        <w:tc>
          <w:tcPr>
            <w:tcW w:w="6232" w:type="dxa"/>
          </w:tcPr>
          <w:p w14:paraId="0B60E183" w14:textId="77777777" w:rsidR="000839A4" w:rsidRPr="000839A4" w:rsidRDefault="000839A4" w:rsidP="000839A4">
            <w:pPr>
              <w:spacing w:before="120"/>
              <w:rPr>
                <w:strike/>
                <w:szCs w:val="24"/>
              </w:rPr>
            </w:pPr>
            <w:r w:rsidRPr="000839A4">
              <w:rPr>
                <w:strike/>
                <w:szCs w:val="24"/>
              </w:rPr>
              <w:t>Spodek drah železničních dálkových</w:t>
            </w:r>
          </w:p>
        </w:tc>
      </w:tr>
      <w:tr w:rsidR="000839A4" w:rsidRPr="000839A4" w14:paraId="1D116870" w14:textId="77777777" w:rsidTr="000839A4">
        <w:tc>
          <w:tcPr>
            <w:tcW w:w="1271" w:type="dxa"/>
          </w:tcPr>
          <w:p w14:paraId="18F86C90" w14:textId="77777777" w:rsidR="000839A4" w:rsidRPr="000839A4" w:rsidRDefault="000839A4" w:rsidP="000839A4">
            <w:pPr>
              <w:spacing w:before="120"/>
              <w:rPr>
                <w:strike/>
                <w:szCs w:val="24"/>
              </w:rPr>
            </w:pPr>
            <w:r w:rsidRPr="000839A4">
              <w:rPr>
                <w:strike/>
                <w:szCs w:val="24"/>
              </w:rPr>
              <w:t xml:space="preserve">(5-4)     </w:t>
            </w:r>
          </w:p>
        </w:tc>
        <w:tc>
          <w:tcPr>
            <w:tcW w:w="1559" w:type="dxa"/>
          </w:tcPr>
          <w:p w14:paraId="0D699028" w14:textId="77777777" w:rsidR="000839A4" w:rsidRPr="000839A4" w:rsidRDefault="000839A4" w:rsidP="000839A4">
            <w:pPr>
              <w:spacing w:before="120"/>
              <w:rPr>
                <w:strike/>
                <w:szCs w:val="24"/>
              </w:rPr>
            </w:pPr>
            <w:r w:rsidRPr="000839A4">
              <w:rPr>
                <w:strike/>
                <w:szCs w:val="24"/>
              </w:rPr>
              <w:t xml:space="preserve">212211     </w:t>
            </w:r>
          </w:p>
        </w:tc>
        <w:tc>
          <w:tcPr>
            <w:tcW w:w="6232" w:type="dxa"/>
          </w:tcPr>
          <w:p w14:paraId="25CBF8B8" w14:textId="77777777" w:rsidR="000839A4" w:rsidRPr="000839A4" w:rsidRDefault="000839A4" w:rsidP="000839A4">
            <w:pPr>
              <w:spacing w:before="120"/>
              <w:rPr>
                <w:strike/>
                <w:szCs w:val="24"/>
              </w:rPr>
            </w:pPr>
            <w:r w:rsidRPr="000839A4">
              <w:rPr>
                <w:strike/>
                <w:szCs w:val="24"/>
              </w:rPr>
              <w:t>Spodek drah kolejových městských a ostatních</w:t>
            </w:r>
          </w:p>
        </w:tc>
      </w:tr>
      <w:tr w:rsidR="000839A4" w:rsidRPr="000839A4" w14:paraId="235DC74A" w14:textId="77777777" w:rsidTr="000839A4">
        <w:tc>
          <w:tcPr>
            <w:tcW w:w="1271" w:type="dxa"/>
          </w:tcPr>
          <w:p w14:paraId="3FE05001" w14:textId="77777777" w:rsidR="000839A4" w:rsidRPr="000839A4" w:rsidRDefault="000839A4" w:rsidP="000839A4">
            <w:pPr>
              <w:spacing w:before="120"/>
              <w:rPr>
                <w:strike/>
                <w:szCs w:val="24"/>
              </w:rPr>
            </w:pPr>
            <w:r w:rsidRPr="000839A4">
              <w:rPr>
                <w:strike/>
                <w:szCs w:val="24"/>
              </w:rPr>
              <w:t xml:space="preserve">(5-5)     </w:t>
            </w:r>
          </w:p>
          <w:p w14:paraId="1B69FC80" w14:textId="77777777" w:rsidR="000839A4" w:rsidRPr="000839A4" w:rsidRDefault="000839A4" w:rsidP="000839A4">
            <w:pPr>
              <w:spacing w:before="120"/>
              <w:rPr>
                <w:strike/>
                <w:szCs w:val="24"/>
              </w:rPr>
            </w:pPr>
          </w:p>
        </w:tc>
        <w:tc>
          <w:tcPr>
            <w:tcW w:w="1559" w:type="dxa"/>
          </w:tcPr>
          <w:p w14:paraId="4C086E93" w14:textId="77777777" w:rsidR="000839A4" w:rsidRPr="000839A4" w:rsidRDefault="000839A4" w:rsidP="000839A4">
            <w:pPr>
              <w:spacing w:before="120"/>
              <w:rPr>
                <w:strike/>
                <w:szCs w:val="24"/>
              </w:rPr>
            </w:pPr>
            <w:r w:rsidRPr="000839A4">
              <w:rPr>
                <w:strike/>
                <w:szCs w:val="24"/>
              </w:rPr>
              <w:t xml:space="preserve">2130       </w:t>
            </w:r>
          </w:p>
        </w:tc>
        <w:tc>
          <w:tcPr>
            <w:tcW w:w="6232" w:type="dxa"/>
          </w:tcPr>
          <w:p w14:paraId="7A86E074" w14:textId="77777777" w:rsidR="000839A4" w:rsidRPr="000839A4" w:rsidRDefault="000839A4" w:rsidP="000839A4">
            <w:pPr>
              <w:spacing w:before="120"/>
              <w:rPr>
                <w:strike/>
                <w:szCs w:val="24"/>
              </w:rPr>
            </w:pPr>
            <w:r w:rsidRPr="000839A4">
              <w:rPr>
                <w:strike/>
                <w:szCs w:val="24"/>
              </w:rPr>
              <w:t>Plochy letišť pokud nejsou uvedeny v jiné položce této přílohy</w:t>
            </w:r>
          </w:p>
        </w:tc>
      </w:tr>
      <w:tr w:rsidR="000839A4" w:rsidRPr="000839A4" w14:paraId="16B2778A" w14:textId="77777777" w:rsidTr="000839A4">
        <w:tc>
          <w:tcPr>
            <w:tcW w:w="1271" w:type="dxa"/>
          </w:tcPr>
          <w:p w14:paraId="5FB3332E" w14:textId="77777777" w:rsidR="000839A4" w:rsidRPr="000839A4" w:rsidRDefault="000839A4" w:rsidP="000839A4">
            <w:pPr>
              <w:spacing w:before="120"/>
              <w:rPr>
                <w:strike/>
                <w:szCs w:val="24"/>
              </w:rPr>
            </w:pPr>
            <w:r w:rsidRPr="000839A4">
              <w:rPr>
                <w:strike/>
                <w:szCs w:val="24"/>
              </w:rPr>
              <w:t xml:space="preserve">(5-6)     </w:t>
            </w:r>
          </w:p>
          <w:p w14:paraId="78BF489E" w14:textId="77777777" w:rsidR="000839A4" w:rsidRPr="000839A4" w:rsidRDefault="000839A4" w:rsidP="000839A4">
            <w:pPr>
              <w:spacing w:before="120"/>
              <w:rPr>
                <w:strike/>
                <w:szCs w:val="24"/>
              </w:rPr>
            </w:pPr>
          </w:p>
        </w:tc>
        <w:tc>
          <w:tcPr>
            <w:tcW w:w="1559" w:type="dxa"/>
          </w:tcPr>
          <w:p w14:paraId="5D51DE97" w14:textId="77777777" w:rsidR="000839A4" w:rsidRPr="000839A4" w:rsidRDefault="000839A4" w:rsidP="000839A4">
            <w:pPr>
              <w:spacing w:before="120"/>
              <w:rPr>
                <w:strike/>
                <w:szCs w:val="24"/>
              </w:rPr>
            </w:pPr>
            <w:r w:rsidRPr="000839A4">
              <w:rPr>
                <w:strike/>
                <w:szCs w:val="24"/>
              </w:rPr>
              <w:t xml:space="preserve">2141       </w:t>
            </w:r>
          </w:p>
        </w:tc>
        <w:tc>
          <w:tcPr>
            <w:tcW w:w="6232" w:type="dxa"/>
          </w:tcPr>
          <w:p w14:paraId="28D5372D" w14:textId="77777777" w:rsidR="000839A4" w:rsidRPr="000839A4" w:rsidRDefault="000839A4" w:rsidP="000839A4">
            <w:pPr>
              <w:spacing w:before="120"/>
              <w:rPr>
                <w:strike/>
                <w:szCs w:val="24"/>
              </w:rPr>
            </w:pPr>
            <w:r w:rsidRPr="000839A4">
              <w:rPr>
                <w:strike/>
                <w:szCs w:val="24"/>
              </w:rPr>
              <w:t>Mosty a visuté dálnice pokud nejsou uvedeny v jiné položce této přílohy</w:t>
            </w:r>
          </w:p>
        </w:tc>
      </w:tr>
      <w:tr w:rsidR="000839A4" w:rsidRPr="000839A4" w14:paraId="63FF07F7" w14:textId="77777777" w:rsidTr="000839A4">
        <w:tc>
          <w:tcPr>
            <w:tcW w:w="1271" w:type="dxa"/>
          </w:tcPr>
          <w:p w14:paraId="57A0B9D4" w14:textId="77777777" w:rsidR="000839A4" w:rsidRPr="000839A4" w:rsidRDefault="000839A4" w:rsidP="000839A4">
            <w:pPr>
              <w:spacing w:before="120"/>
              <w:rPr>
                <w:strike/>
                <w:szCs w:val="24"/>
              </w:rPr>
            </w:pPr>
            <w:r w:rsidRPr="000839A4">
              <w:rPr>
                <w:strike/>
                <w:szCs w:val="24"/>
              </w:rPr>
              <w:t xml:space="preserve">(5-7)     </w:t>
            </w:r>
          </w:p>
          <w:p w14:paraId="4C05EBE8" w14:textId="77777777" w:rsidR="000839A4" w:rsidRPr="000839A4" w:rsidRDefault="000839A4" w:rsidP="000839A4">
            <w:pPr>
              <w:spacing w:before="120"/>
              <w:rPr>
                <w:strike/>
                <w:szCs w:val="24"/>
              </w:rPr>
            </w:pPr>
          </w:p>
        </w:tc>
        <w:tc>
          <w:tcPr>
            <w:tcW w:w="1559" w:type="dxa"/>
          </w:tcPr>
          <w:p w14:paraId="1A3800B8" w14:textId="77777777" w:rsidR="000839A4" w:rsidRPr="000839A4" w:rsidRDefault="000839A4" w:rsidP="000839A4">
            <w:pPr>
              <w:spacing w:before="120"/>
              <w:rPr>
                <w:strike/>
                <w:szCs w:val="24"/>
              </w:rPr>
            </w:pPr>
            <w:r w:rsidRPr="000839A4">
              <w:rPr>
                <w:strike/>
                <w:szCs w:val="24"/>
              </w:rPr>
              <w:t xml:space="preserve">2142       </w:t>
            </w:r>
          </w:p>
        </w:tc>
        <w:tc>
          <w:tcPr>
            <w:tcW w:w="6232" w:type="dxa"/>
          </w:tcPr>
          <w:p w14:paraId="718059B9" w14:textId="77777777" w:rsidR="000839A4" w:rsidRPr="000839A4" w:rsidRDefault="000839A4" w:rsidP="000839A4">
            <w:pPr>
              <w:spacing w:before="120"/>
              <w:rPr>
                <w:strike/>
                <w:szCs w:val="24"/>
              </w:rPr>
            </w:pPr>
            <w:r w:rsidRPr="000839A4">
              <w:rPr>
                <w:strike/>
                <w:szCs w:val="24"/>
              </w:rPr>
              <w:t>Tunely, podjezdy a podchody, pokud nejsou uvedeny v jiné položce této přílohy</w:t>
            </w:r>
          </w:p>
        </w:tc>
      </w:tr>
      <w:tr w:rsidR="000839A4" w:rsidRPr="000839A4" w14:paraId="67B5C5A0" w14:textId="77777777" w:rsidTr="000839A4">
        <w:tc>
          <w:tcPr>
            <w:tcW w:w="1271" w:type="dxa"/>
          </w:tcPr>
          <w:p w14:paraId="49E16F03" w14:textId="77777777" w:rsidR="000839A4" w:rsidRPr="000839A4" w:rsidRDefault="000839A4" w:rsidP="000839A4">
            <w:pPr>
              <w:spacing w:before="120"/>
              <w:rPr>
                <w:strike/>
                <w:szCs w:val="24"/>
              </w:rPr>
            </w:pPr>
            <w:r w:rsidRPr="000839A4">
              <w:rPr>
                <w:strike/>
                <w:szCs w:val="24"/>
              </w:rPr>
              <w:t xml:space="preserve">(5-8)      </w:t>
            </w:r>
          </w:p>
          <w:p w14:paraId="686CAF96" w14:textId="77777777" w:rsidR="000839A4" w:rsidRPr="000839A4" w:rsidRDefault="000839A4" w:rsidP="000839A4">
            <w:pPr>
              <w:spacing w:before="120"/>
              <w:ind w:firstLine="708"/>
              <w:rPr>
                <w:strike/>
                <w:szCs w:val="24"/>
              </w:rPr>
            </w:pPr>
          </w:p>
        </w:tc>
        <w:tc>
          <w:tcPr>
            <w:tcW w:w="1559" w:type="dxa"/>
          </w:tcPr>
          <w:p w14:paraId="2C99041B" w14:textId="77777777" w:rsidR="000839A4" w:rsidRPr="000839A4" w:rsidRDefault="000839A4" w:rsidP="000839A4">
            <w:pPr>
              <w:spacing w:before="120"/>
              <w:rPr>
                <w:strike/>
                <w:szCs w:val="24"/>
              </w:rPr>
            </w:pPr>
            <w:r w:rsidRPr="000839A4">
              <w:rPr>
                <w:strike/>
                <w:szCs w:val="24"/>
              </w:rPr>
              <w:t xml:space="preserve">2151       </w:t>
            </w:r>
          </w:p>
        </w:tc>
        <w:tc>
          <w:tcPr>
            <w:tcW w:w="6232" w:type="dxa"/>
          </w:tcPr>
          <w:p w14:paraId="053F47E5" w14:textId="77777777" w:rsidR="000839A4" w:rsidRPr="000839A4" w:rsidRDefault="000839A4" w:rsidP="000839A4">
            <w:pPr>
              <w:spacing w:before="120"/>
              <w:rPr>
                <w:strike/>
                <w:szCs w:val="24"/>
              </w:rPr>
            </w:pPr>
            <w:r w:rsidRPr="000839A4">
              <w:rPr>
                <w:strike/>
                <w:szCs w:val="24"/>
              </w:rPr>
              <w:t>Přístavy a plavební kanály pokud nejsou uvedena v jiné položce této přílohy</w:t>
            </w:r>
          </w:p>
        </w:tc>
      </w:tr>
      <w:tr w:rsidR="000839A4" w:rsidRPr="000839A4" w14:paraId="10E1C4DA" w14:textId="77777777" w:rsidTr="000839A4">
        <w:tc>
          <w:tcPr>
            <w:tcW w:w="1271" w:type="dxa"/>
          </w:tcPr>
          <w:p w14:paraId="436B761F" w14:textId="77777777" w:rsidR="000839A4" w:rsidRPr="000839A4" w:rsidRDefault="000839A4" w:rsidP="000839A4">
            <w:pPr>
              <w:spacing w:before="120"/>
              <w:rPr>
                <w:strike/>
                <w:szCs w:val="24"/>
              </w:rPr>
            </w:pPr>
            <w:r w:rsidRPr="000839A4">
              <w:rPr>
                <w:strike/>
                <w:szCs w:val="24"/>
              </w:rPr>
              <w:t xml:space="preserve">(5-9)      </w:t>
            </w:r>
          </w:p>
          <w:p w14:paraId="0C9F6BCA" w14:textId="77777777" w:rsidR="000839A4" w:rsidRPr="000839A4" w:rsidRDefault="000839A4" w:rsidP="000839A4">
            <w:pPr>
              <w:spacing w:before="120"/>
              <w:rPr>
                <w:strike/>
                <w:szCs w:val="24"/>
              </w:rPr>
            </w:pPr>
          </w:p>
        </w:tc>
        <w:tc>
          <w:tcPr>
            <w:tcW w:w="1559" w:type="dxa"/>
          </w:tcPr>
          <w:p w14:paraId="5AF6E6C5" w14:textId="77777777" w:rsidR="000839A4" w:rsidRPr="000839A4" w:rsidRDefault="000839A4" w:rsidP="000839A4">
            <w:pPr>
              <w:spacing w:before="120"/>
              <w:rPr>
                <w:strike/>
                <w:szCs w:val="24"/>
              </w:rPr>
            </w:pPr>
            <w:r w:rsidRPr="000839A4">
              <w:rPr>
                <w:strike/>
                <w:szCs w:val="24"/>
              </w:rPr>
              <w:t xml:space="preserve">2152       </w:t>
            </w:r>
          </w:p>
        </w:tc>
        <w:tc>
          <w:tcPr>
            <w:tcW w:w="6232" w:type="dxa"/>
          </w:tcPr>
          <w:p w14:paraId="4CFFEADB" w14:textId="77777777" w:rsidR="000839A4" w:rsidRPr="000839A4" w:rsidRDefault="000839A4" w:rsidP="000839A4">
            <w:pPr>
              <w:spacing w:before="120"/>
              <w:rPr>
                <w:strike/>
                <w:szCs w:val="24"/>
              </w:rPr>
            </w:pPr>
            <w:r w:rsidRPr="000839A4">
              <w:rPr>
                <w:strike/>
                <w:szCs w:val="24"/>
              </w:rPr>
              <w:t>Vodní stupně zejména: přehrady, hráze, spodní stavba vodních elektráren</w:t>
            </w:r>
          </w:p>
        </w:tc>
      </w:tr>
      <w:tr w:rsidR="000839A4" w:rsidRPr="000839A4" w14:paraId="7FFC3226" w14:textId="77777777" w:rsidTr="000839A4">
        <w:tc>
          <w:tcPr>
            <w:tcW w:w="1271" w:type="dxa"/>
          </w:tcPr>
          <w:p w14:paraId="4049AB3F" w14:textId="77777777" w:rsidR="000839A4" w:rsidRPr="000839A4" w:rsidRDefault="000839A4" w:rsidP="000839A4">
            <w:pPr>
              <w:spacing w:before="120"/>
              <w:rPr>
                <w:strike/>
                <w:szCs w:val="24"/>
              </w:rPr>
            </w:pPr>
            <w:r w:rsidRPr="000839A4">
              <w:rPr>
                <w:strike/>
                <w:szCs w:val="24"/>
              </w:rPr>
              <w:t xml:space="preserve">(5-10)    </w:t>
            </w:r>
          </w:p>
          <w:p w14:paraId="653B77BC" w14:textId="77777777" w:rsidR="000839A4" w:rsidRPr="000839A4" w:rsidRDefault="000839A4" w:rsidP="000839A4">
            <w:pPr>
              <w:spacing w:before="120"/>
              <w:rPr>
                <w:strike/>
                <w:szCs w:val="24"/>
              </w:rPr>
            </w:pPr>
          </w:p>
        </w:tc>
        <w:tc>
          <w:tcPr>
            <w:tcW w:w="1559" w:type="dxa"/>
          </w:tcPr>
          <w:p w14:paraId="356D5E0F" w14:textId="77777777" w:rsidR="000839A4" w:rsidRPr="000839A4" w:rsidRDefault="000839A4" w:rsidP="000839A4">
            <w:pPr>
              <w:spacing w:before="120"/>
              <w:rPr>
                <w:strike/>
                <w:szCs w:val="24"/>
              </w:rPr>
            </w:pPr>
            <w:r w:rsidRPr="000839A4">
              <w:rPr>
                <w:strike/>
                <w:szCs w:val="24"/>
              </w:rPr>
              <w:t xml:space="preserve">2153       </w:t>
            </w:r>
          </w:p>
        </w:tc>
        <w:tc>
          <w:tcPr>
            <w:tcW w:w="6232" w:type="dxa"/>
          </w:tcPr>
          <w:p w14:paraId="3FBE3B78" w14:textId="15043DE7" w:rsidR="000839A4" w:rsidRPr="000839A4" w:rsidRDefault="000839A4" w:rsidP="002561EA">
            <w:pPr>
              <w:spacing w:before="120"/>
              <w:rPr>
                <w:strike/>
                <w:szCs w:val="24"/>
              </w:rPr>
            </w:pPr>
            <w:r w:rsidRPr="000839A4">
              <w:rPr>
                <w:strike/>
                <w:szCs w:val="24"/>
              </w:rPr>
              <w:t>Akvadukty, vodní díla pro zavlažov</w:t>
            </w:r>
            <w:r w:rsidR="002561EA">
              <w:rPr>
                <w:strike/>
                <w:szCs w:val="24"/>
              </w:rPr>
              <w:t>á</w:t>
            </w:r>
            <w:r w:rsidRPr="000839A4">
              <w:rPr>
                <w:strike/>
                <w:szCs w:val="24"/>
              </w:rPr>
              <w:t>ní a odvodnění</w:t>
            </w:r>
          </w:p>
        </w:tc>
      </w:tr>
      <w:tr w:rsidR="000839A4" w:rsidRPr="000839A4" w14:paraId="53BBAF00" w14:textId="77777777" w:rsidTr="000839A4">
        <w:tc>
          <w:tcPr>
            <w:tcW w:w="1271" w:type="dxa"/>
          </w:tcPr>
          <w:p w14:paraId="091CC78E" w14:textId="77777777" w:rsidR="000839A4" w:rsidRPr="000839A4" w:rsidRDefault="000839A4" w:rsidP="000839A4">
            <w:pPr>
              <w:spacing w:before="120"/>
              <w:rPr>
                <w:strike/>
                <w:szCs w:val="24"/>
              </w:rPr>
            </w:pPr>
            <w:r w:rsidRPr="000839A4">
              <w:rPr>
                <w:strike/>
                <w:szCs w:val="24"/>
              </w:rPr>
              <w:t xml:space="preserve">(5-11)    </w:t>
            </w:r>
          </w:p>
          <w:p w14:paraId="30204DDB" w14:textId="77777777" w:rsidR="000839A4" w:rsidRPr="000839A4" w:rsidRDefault="000839A4" w:rsidP="000839A4">
            <w:pPr>
              <w:spacing w:before="120"/>
              <w:rPr>
                <w:strike/>
                <w:szCs w:val="24"/>
              </w:rPr>
            </w:pPr>
          </w:p>
        </w:tc>
        <w:tc>
          <w:tcPr>
            <w:tcW w:w="1559" w:type="dxa"/>
          </w:tcPr>
          <w:p w14:paraId="62579808" w14:textId="77777777" w:rsidR="000839A4" w:rsidRPr="000839A4" w:rsidRDefault="000839A4" w:rsidP="000839A4">
            <w:pPr>
              <w:spacing w:before="120"/>
              <w:rPr>
                <w:strike/>
                <w:szCs w:val="24"/>
              </w:rPr>
            </w:pPr>
            <w:r w:rsidRPr="000839A4">
              <w:rPr>
                <w:strike/>
                <w:szCs w:val="24"/>
              </w:rPr>
              <w:t xml:space="preserve">221141     </w:t>
            </w:r>
          </w:p>
        </w:tc>
        <w:tc>
          <w:tcPr>
            <w:tcW w:w="6232" w:type="dxa"/>
          </w:tcPr>
          <w:p w14:paraId="55706410" w14:textId="77777777" w:rsidR="000839A4" w:rsidRPr="000839A4" w:rsidRDefault="000839A4" w:rsidP="000839A4">
            <w:pPr>
              <w:spacing w:before="120"/>
              <w:rPr>
                <w:strike/>
                <w:szCs w:val="24"/>
              </w:rPr>
            </w:pPr>
            <w:r w:rsidRPr="000839A4">
              <w:rPr>
                <w:strike/>
                <w:szCs w:val="24"/>
              </w:rPr>
              <w:t>Nezastřešené přečerpávací stanice na dálkových vedeních</w:t>
            </w:r>
          </w:p>
        </w:tc>
      </w:tr>
      <w:tr w:rsidR="000839A4" w:rsidRPr="000839A4" w14:paraId="1EC1AF77" w14:textId="77777777" w:rsidTr="000839A4">
        <w:tc>
          <w:tcPr>
            <w:tcW w:w="1271" w:type="dxa"/>
          </w:tcPr>
          <w:p w14:paraId="62357022" w14:textId="77777777" w:rsidR="000839A4" w:rsidRPr="000839A4" w:rsidRDefault="000839A4" w:rsidP="000839A4">
            <w:pPr>
              <w:spacing w:before="120"/>
              <w:rPr>
                <w:strike/>
                <w:szCs w:val="24"/>
              </w:rPr>
            </w:pPr>
            <w:r w:rsidRPr="000839A4">
              <w:rPr>
                <w:strike/>
                <w:szCs w:val="24"/>
              </w:rPr>
              <w:t xml:space="preserve">(5-12)   </w:t>
            </w:r>
          </w:p>
          <w:p w14:paraId="371BC016" w14:textId="77777777" w:rsidR="000839A4" w:rsidRPr="000839A4" w:rsidRDefault="000839A4" w:rsidP="000839A4">
            <w:pPr>
              <w:spacing w:before="120"/>
              <w:rPr>
                <w:strike/>
                <w:szCs w:val="24"/>
              </w:rPr>
            </w:pPr>
          </w:p>
        </w:tc>
        <w:tc>
          <w:tcPr>
            <w:tcW w:w="1559" w:type="dxa"/>
          </w:tcPr>
          <w:p w14:paraId="3EA4EFDF" w14:textId="77777777" w:rsidR="000839A4" w:rsidRPr="000839A4" w:rsidRDefault="000839A4" w:rsidP="000839A4">
            <w:pPr>
              <w:spacing w:before="120"/>
              <w:rPr>
                <w:strike/>
                <w:szCs w:val="24"/>
              </w:rPr>
            </w:pPr>
            <w:r w:rsidRPr="000839A4">
              <w:rPr>
                <w:strike/>
                <w:szCs w:val="24"/>
              </w:rPr>
              <w:t xml:space="preserve">221232     </w:t>
            </w:r>
          </w:p>
        </w:tc>
        <w:tc>
          <w:tcPr>
            <w:tcW w:w="6232" w:type="dxa"/>
          </w:tcPr>
          <w:p w14:paraId="58931CB8" w14:textId="77777777" w:rsidR="000839A4" w:rsidRPr="000839A4" w:rsidRDefault="000839A4" w:rsidP="000839A4">
            <w:pPr>
              <w:spacing w:before="120"/>
              <w:rPr>
                <w:strike/>
                <w:szCs w:val="24"/>
              </w:rPr>
            </w:pPr>
            <w:r w:rsidRPr="000839A4">
              <w:rPr>
                <w:strike/>
                <w:szCs w:val="24"/>
              </w:rPr>
              <w:t>Nádrže, jímky, objekty čistíren odpadních vod - pozemních (kromě budov)</w:t>
            </w:r>
          </w:p>
        </w:tc>
      </w:tr>
      <w:tr w:rsidR="000839A4" w:rsidRPr="000839A4" w14:paraId="55301EBE" w14:textId="77777777" w:rsidTr="000839A4">
        <w:tc>
          <w:tcPr>
            <w:tcW w:w="1271" w:type="dxa"/>
          </w:tcPr>
          <w:p w14:paraId="07751BEF" w14:textId="77777777" w:rsidR="000839A4" w:rsidRPr="000839A4" w:rsidRDefault="000839A4" w:rsidP="000839A4">
            <w:pPr>
              <w:spacing w:before="120"/>
              <w:rPr>
                <w:strike/>
                <w:szCs w:val="24"/>
              </w:rPr>
            </w:pPr>
            <w:r w:rsidRPr="000839A4">
              <w:rPr>
                <w:strike/>
                <w:szCs w:val="24"/>
              </w:rPr>
              <w:t xml:space="preserve">(5-13)    </w:t>
            </w:r>
          </w:p>
        </w:tc>
        <w:tc>
          <w:tcPr>
            <w:tcW w:w="1559" w:type="dxa"/>
          </w:tcPr>
          <w:p w14:paraId="32BD600A" w14:textId="77777777" w:rsidR="000839A4" w:rsidRPr="000839A4" w:rsidRDefault="000839A4" w:rsidP="000839A4">
            <w:pPr>
              <w:spacing w:before="120"/>
              <w:rPr>
                <w:strike/>
                <w:szCs w:val="24"/>
              </w:rPr>
            </w:pPr>
            <w:r w:rsidRPr="000839A4">
              <w:rPr>
                <w:strike/>
                <w:szCs w:val="24"/>
              </w:rPr>
              <w:t xml:space="preserve">221241     </w:t>
            </w:r>
          </w:p>
        </w:tc>
        <w:tc>
          <w:tcPr>
            <w:tcW w:w="6232" w:type="dxa"/>
          </w:tcPr>
          <w:p w14:paraId="261A2CA9" w14:textId="2046F0C4" w:rsidR="000839A4" w:rsidRPr="000839A4" w:rsidRDefault="000839A4" w:rsidP="000839A4">
            <w:pPr>
              <w:spacing w:before="120"/>
              <w:rPr>
                <w:strike/>
                <w:szCs w:val="24"/>
              </w:rPr>
            </w:pPr>
            <w:r w:rsidRPr="000839A4">
              <w:rPr>
                <w:strike/>
                <w:szCs w:val="24"/>
              </w:rPr>
              <w:t>Související</w:t>
            </w:r>
            <w:r w:rsidR="002561EA">
              <w:rPr>
                <w:strike/>
                <w:szCs w:val="24"/>
              </w:rPr>
              <w:t xml:space="preserve"> čerpací stanice, úpravny vod, </w:t>
            </w:r>
            <w:r w:rsidRPr="000839A4">
              <w:rPr>
                <w:strike/>
                <w:szCs w:val="24"/>
              </w:rPr>
              <w:t>stavby vodního hospodářství (kromě budov)</w:t>
            </w:r>
          </w:p>
        </w:tc>
      </w:tr>
      <w:tr w:rsidR="000839A4" w:rsidRPr="000839A4" w14:paraId="44159AA6" w14:textId="77777777" w:rsidTr="000839A4">
        <w:tc>
          <w:tcPr>
            <w:tcW w:w="1271" w:type="dxa"/>
          </w:tcPr>
          <w:p w14:paraId="32184693" w14:textId="77777777" w:rsidR="000839A4" w:rsidRPr="000839A4" w:rsidRDefault="000839A4" w:rsidP="000839A4">
            <w:pPr>
              <w:spacing w:before="120"/>
              <w:rPr>
                <w:strike/>
                <w:szCs w:val="24"/>
              </w:rPr>
            </w:pPr>
            <w:r w:rsidRPr="000839A4">
              <w:rPr>
                <w:strike/>
                <w:szCs w:val="24"/>
              </w:rPr>
              <w:t xml:space="preserve">(5-14)   </w:t>
            </w:r>
          </w:p>
          <w:p w14:paraId="6858504A" w14:textId="77777777" w:rsidR="000839A4" w:rsidRPr="000839A4" w:rsidRDefault="000839A4" w:rsidP="000839A4">
            <w:pPr>
              <w:spacing w:before="120"/>
              <w:rPr>
                <w:strike/>
                <w:szCs w:val="24"/>
              </w:rPr>
            </w:pPr>
          </w:p>
        </w:tc>
        <w:tc>
          <w:tcPr>
            <w:tcW w:w="1559" w:type="dxa"/>
          </w:tcPr>
          <w:p w14:paraId="1F0D0D63" w14:textId="77777777" w:rsidR="000839A4" w:rsidRPr="000839A4" w:rsidRDefault="000839A4" w:rsidP="000839A4">
            <w:pPr>
              <w:spacing w:before="120"/>
              <w:rPr>
                <w:strike/>
                <w:szCs w:val="24"/>
              </w:rPr>
            </w:pPr>
            <w:r w:rsidRPr="000839A4">
              <w:rPr>
                <w:strike/>
                <w:szCs w:val="24"/>
              </w:rPr>
              <w:t xml:space="preserve">221279     </w:t>
            </w:r>
          </w:p>
        </w:tc>
        <w:tc>
          <w:tcPr>
            <w:tcW w:w="6232" w:type="dxa"/>
          </w:tcPr>
          <w:p w14:paraId="52C75506" w14:textId="77777777" w:rsidR="000839A4" w:rsidRPr="000839A4" w:rsidRDefault="000839A4" w:rsidP="000839A4">
            <w:pPr>
              <w:spacing w:before="120"/>
              <w:rPr>
                <w:strike/>
                <w:szCs w:val="24"/>
              </w:rPr>
            </w:pPr>
            <w:r w:rsidRPr="000839A4">
              <w:rPr>
                <w:strike/>
                <w:szCs w:val="24"/>
              </w:rPr>
              <w:t>Podzemní stavby vodního hospodářství jinde neuvedené</w:t>
            </w:r>
          </w:p>
        </w:tc>
      </w:tr>
      <w:tr w:rsidR="000839A4" w:rsidRPr="000839A4" w14:paraId="517E446A" w14:textId="77777777" w:rsidTr="000839A4">
        <w:tc>
          <w:tcPr>
            <w:tcW w:w="1271" w:type="dxa"/>
          </w:tcPr>
          <w:p w14:paraId="0BDAB97C" w14:textId="77777777" w:rsidR="000839A4" w:rsidRPr="000839A4" w:rsidRDefault="000839A4" w:rsidP="000839A4">
            <w:pPr>
              <w:spacing w:before="120"/>
              <w:rPr>
                <w:strike/>
                <w:szCs w:val="24"/>
              </w:rPr>
            </w:pPr>
            <w:r w:rsidRPr="000839A4">
              <w:rPr>
                <w:strike/>
                <w:szCs w:val="24"/>
              </w:rPr>
              <w:lastRenderedPageBreak/>
              <w:t xml:space="preserve">(5-15)    </w:t>
            </w:r>
          </w:p>
        </w:tc>
        <w:tc>
          <w:tcPr>
            <w:tcW w:w="1559" w:type="dxa"/>
          </w:tcPr>
          <w:p w14:paraId="610A8217" w14:textId="77777777" w:rsidR="000839A4" w:rsidRPr="000839A4" w:rsidRDefault="000839A4" w:rsidP="000839A4">
            <w:pPr>
              <w:spacing w:before="120"/>
              <w:rPr>
                <w:strike/>
                <w:szCs w:val="24"/>
              </w:rPr>
            </w:pPr>
            <w:r w:rsidRPr="000839A4">
              <w:rPr>
                <w:strike/>
                <w:szCs w:val="24"/>
              </w:rPr>
              <w:t xml:space="preserve">222232     </w:t>
            </w:r>
          </w:p>
        </w:tc>
        <w:tc>
          <w:tcPr>
            <w:tcW w:w="6232" w:type="dxa"/>
          </w:tcPr>
          <w:p w14:paraId="6B2DA776" w14:textId="77777777" w:rsidR="000839A4" w:rsidRPr="000839A4" w:rsidRDefault="000839A4" w:rsidP="000839A4">
            <w:pPr>
              <w:spacing w:before="120"/>
              <w:rPr>
                <w:strike/>
                <w:szCs w:val="24"/>
              </w:rPr>
            </w:pPr>
            <w:r w:rsidRPr="000839A4">
              <w:rPr>
                <w:strike/>
                <w:szCs w:val="24"/>
              </w:rPr>
              <w:t>Nádrže vod pozemní</w:t>
            </w:r>
          </w:p>
        </w:tc>
      </w:tr>
      <w:tr w:rsidR="000839A4" w:rsidRPr="000839A4" w14:paraId="050453E7" w14:textId="77777777" w:rsidTr="000839A4">
        <w:tc>
          <w:tcPr>
            <w:tcW w:w="1271" w:type="dxa"/>
          </w:tcPr>
          <w:p w14:paraId="74137BBC" w14:textId="77777777" w:rsidR="000839A4" w:rsidRPr="000839A4" w:rsidRDefault="000839A4" w:rsidP="000839A4">
            <w:pPr>
              <w:spacing w:before="120"/>
              <w:rPr>
                <w:strike/>
                <w:szCs w:val="24"/>
              </w:rPr>
            </w:pPr>
            <w:r w:rsidRPr="000839A4">
              <w:rPr>
                <w:strike/>
                <w:szCs w:val="24"/>
              </w:rPr>
              <w:t xml:space="preserve">(5-16)    </w:t>
            </w:r>
          </w:p>
        </w:tc>
        <w:tc>
          <w:tcPr>
            <w:tcW w:w="1559" w:type="dxa"/>
          </w:tcPr>
          <w:p w14:paraId="2A7EC459" w14:textId="77777777" w:rsidR="000839A4" w:rsidRPr="000839A4" w:rsidRDefault="000839A4" w:rsidP="000839A4">
            <w:pPr>
              <w:spacing w:before="120"/>
              <w:rPr>
                <w:strike/>
                <w:szCs w:val="24"/>
              </w:rPr>
            </w:pPr>
            <w:r w:rsidRPr="000839A4">
              <w:rPr>
                <w:strike/>
                <w:szCs w:val="24"/>
              </w:rPr>
              <w:t xml:space="preserve">222251     </w:t>
            </w:r>
          </w:p>
        </w:tc>
        <w:tc>
          <w:tcPr>
            <w:tcW w:w="6232" w:type="dxa"/>
          </w:tcPr>
          <w:p w14:paraId="5C3F5748" w14:textId="77777777" w:rsidR="000839A4" w:rsidRPr="000839A4" w:rsidRDefault="000839A4" w:rsidP="000839A4">
            <w:pPr>
              <w:spacing w:before="120"/>
              <w:rPr>
                <w:strike/>
                <w:szCs w:val="24"/>
              </w:rPr>
            </w:pPr>
            <w:r w:rsidRPr="000839A4">
              <w:rPr>
                <w:strike/>
                <w:szCs w:val="24"/>
              </w:rPr>
              <w:t>Vrty čerpací (studny vrtané)</w:t>
            </w:r>
          </w:p>
        </w:tc>
      </w:tr>
      <w:tr w:rsidR="000839A4" w:rsidRPr="000839A4" w14:paraId="6ECF0DD4" w14:textId="77777777" w:rsidTr="000839A4">
        <w:tc>
          <w:tcPr>
            <w:tcW w:w="1271" w:type="dxa"/>
          </w:tcPr>
          <w:p w14:paraId="12138A3B" w14:textId="77777777" w:rsidR="000839A4" w:rsidRPr="000839A4" w:rsidRDefault="000839A4" w:rsidP="000839A4">
            <w:pPr>
              <w:spacing w:before="120"/>
              <w:rPr>
                <w:strike/>
                <w:szCs w:val="24"/>
              </w:rPr>
            </w:pPr>
            <w:r w:rsidRPr="000839A4">
              <w:rPr>
                <w:strike/>
                <w:szCs w:val="24"/>
              </w:rPr>
              <w:t xml:space="preserve">(5-17)    </w:t>
            </w:r>
          </w:p>
        </w:tc>
        <w:tc>
          <w:tcPr>
            <w:tcW w:w="1559" w:type="dxa"/>
          </w:tcPr>
          <w:p w14:paraId="12AAAD96" w14:textId="77777777" w:rsidR="000839A4" w:rsidRPr="000839A4" w:rsidRDefault="000839A4" w:rsidP="000839A4">
            <w:pPr>
              <w:spacing w:before="120"/>
              <w:rPr>
                <w:strike/>
                <w:szCs w:val="24"/>
              </w:rPr>
            </w:pPr>
            <w:r w:rsidRPr="000839A4">
              <w:rPr>
                <w:strike/>
                <w:szCs w:val="24"/>
              </w:rPr>
              <w:t xml:space="preserve">222252     </w:t>
            </w:r>
          </w:p>
        </w:tc>
        <w:tc>
          <w:tcPr>
            <w:tcW w:w="6232" w:type="dxa"/>
          </w:tcPr>
          <w:p w14:paraId="38D21727" w14:textId="77777777" w:rsidR="000839A4" w:rsidRPr="000839A4" w:rsidRDefault="000839A4" w:rsidP="000839A4">
            <w:pPr>
              <w:spacing w:before="120"/>
              <w:rPr>
                <w:strike/>
                <w:szCs w:val="24"/>
              </w:rPr>
            </w:pPr>
            <w:r w:rsidRPr="000839A4">
              <w:rPr>
                <w:strike/>
                <w:szCs w:val="24"/>
              </w:rPr>
              <w:t>Studny jinde neuvedené a jímání vody</w:t>
            </w:r>
          </w:p>
        </w:tc>
      </w:tr>
      <w:tr w:rsidR="000839A4" w:rsidRPr="000839A4" w14:paraId="6E096647" w14:textId="77777777" w:rsidTr="000839A4">
        <w:tc>
          <w:tcPr>
            <w:tcW w:w="1271" w:type="dxa"/>
          </w:tcPr>
          <w:p w14:paraId="185275FB" w14:textId="77777777" w:rsidR="000839A4" w:rsidRPr="000839A4" w:rsidRDefault="000839A4" w:rsidP="000839A4">
            <w:pPr>
              <w:spacing w:before="120"/>
              <w:rPr>
                <w:strike/>
                <w:szCs w:val="24"/>
              </w:rPr>
            </w:pPr>
            <w:r w:rsidRPr="000839A4">
              <w:rPr>
                <w:strike/>
                <w:szCs w:val="24"/>
              </w:rPr>
              <w:t xml:space="preserve">(5-18)   </w:t>
            </w:r>
          </w:p>
        </w:tc>
        <w:tc>
          <w:tcPr>
            <w:tcW w:w="1559" w:type="dxa"/>
          </w:tcPr>
          <w:p w14:paraId="2E84CA51" w14:textId="77777777" w:rsidR="000839A4" w:rsidRPr="000839A4" w:rsidRDefault="000839A4" w:rsidP="000839A4">
            <w:pPr>
              <w:spacing w:before="120"/>
              <w:rPr>
                <w:strike/>
                <w:szCs w:val="24"/>
              </w:rPr>
            </w:pPr>
            <w:r w:rsidRPr="000839A4">
              <w:rPr>
                <w:strike/>
                <w:szCs w:val="24"/>
              </w:rPr>
              <w:t xml:space="preserve">222253     </w:t>
            </w:r>
          </w:p>
        </w:tc>
        <w:tc>
          <w:tcPr>
            <w:tcW w:w="6232" w:type="dxa"/>
          </w:tcPr>
          <w:p w14:paraId="37525EBE" w14:textId="77777777" w:rsidR="000839A4" w:rsidRPr="000839A4" w:rsidRDefault="000839A4" w:rsidP="000839A4">
            <w:pPr>
              <w:spacing w:before="120"/>
              <w:rPr>
                <w:strike/>
                <w:szCs w:val="24"/>
              </w:rPr>
            </w:pPr>
            <w:r w:rsidRPr="000839A4">
              <w:rPr>
                <w:strike/>
                <w:szCs w:val="24"/>
              </w:rPr>
              <w:t>Fontány, hydranty, kašny</w:t>
            </w:r>
          </w:p>
        </w:tc>
      </w:tr>
      <w:tr w:rsidR="000839A4" w:rsidRPr="000839A4" w14:paraId="788FF643" w14:textId="77777777" w:rsidTr="000839A4">
        <w:tc>
          <w:tcPr>
            <w:tcW w:w="1271" w:type="dxa"/>
          </w:tcPr>
          <w:p w14:paraId="79A5A807" w14:textId="77777777" w:rsidR="000839A4" w:rsidRPr="000839A4" w:rsidRDefault="000839A4" w:rsidP="000839A4">
            <w:pPr>
              <w:spacing w:before="120"/>
              <w:rPr>
                <w:strike/>
                <w:szCs w:val="24"/>
              </w:rPr>
            </w:pPr>
            <w:r w:rsidRPr="000839A4">
              <w:rPr>
                <w:strike/>
                <w:szCs w:val="24"/>
              </w:rPr>
              <w:t xml:space="preserve">(5-19)    </w:t>
            </w:r>
          </w:p>
        </w:tc>
        <w:tc>
          <w:tcPr>
            <w:tcW w:w="1559" w:type="dxa"/>
          </w:tcPr>
          <w:p w14:paraId="632C06A8" w14:textId="77777777" w:rsidR="000839A4" w:rsidRPr="000839A4" w:rsidRDefault="000839A4" w:rsidP="000839A4">
            <w:pPr>
              <w:spacing w:before="120"/>
              <w:rPr>
                <w:strike/>
                <w:szCs w:val="24"/>
              </w:rPr>
            </w:pPr>
            <w:r w:rsidRPr="000839A4">
              <w:rPr>
                <w:strike/>
                <w:szCs w:val="24"/>
              </w:rPr>
              <w:t xml:space="preserve">222332     </w:t>
            </w:r>
          </w:p>
        </w:tc>
        <w:tc>
          <w:tcPr>
            <w:tcW w:w="6232" w:type="dxa"/>
          </w:tcPr>
          <w:p w14:paraId="2B084D73" w14:textId="77777777" w:rsidR="000839A4" w:rsidRPr="000839A4" w:rsidRDefault="000839A4" w:rsidP="000839A4">
            <w:pPr>
              <w:spacing w:before="120"/>
              <w:rPr>
                <w:strike/>
                <w:szCs w:val="24"/>
              </w:rPr>
            </w:pPr>
            <w:r w:rsidRPr="000839A4">
              <w:rPr>
                <w:strike/>
                <w:szCs w:val="24"/>
              </w:rPr>
              <w:t>Nádrže, jímky</w:t>
            </w:r>
          </w:p>
        </w:tc>
      </w:tr>
      <w:tr w:rsidR="000839A4" w:rsidRPr="000839A4" w14:paraId="6C52E4E3" w14:textId="77777777" w:rsidTr="000839A4">
        <w:tc>
          <w:tcPr>
            <w:tcW w:w="1271" w:type="dxa"/>
          </w:tcPr>
          <w:p w14:paraId="45E75F1A" w14:textId="77777777" w:rsidR="000839A4" w:rsidRPr="000839A4" w:rsidRDefault="000839A4" w:rsidP="000839A4">
            <w:pPr>
              <w:spacing w:before="120"/>
              <w:rPr>
                <w:strike/>
                <w:szCs w:val="24"/>
              </w:rPr>
            </w:pPr>
            <w:r w:rsidRPr="000839A4">
              <w:rPr>
                <w:strike/>
                <w:szCs w:val="24"/>
              </w:rPr>
              <w:t xml:space="preserve">(5-20)    </w:t>
            </w:r>
          </w:p>
          <w:p w14:paraId="58383E89" w14:textId="77777777" w:rsidR="000839A4" w:rsidRPr="000839A4" w:rsidRDefault="000839A4" w:rsidP="000839A4">
            <w:pPr>
              <w:spacing w:before="120"/>
              <w:rPr>
                <w:strike/>
                <w:szCs w:val="24"/>
              </w:rPr>
            </w:pPr>
          </w:p>
        </w:tc>
        <w:tc>
          <w:tcPr>
            <w:tcW w:w="1559" w:type="dxa"/>
          </w:tcPr>
          <w:p w14:paraId="00C402A9" w14:textId="77777777" w:rsidR="000839A4" w:rsidRPr="000839A4" w:rsidRDefault="000839A4" w:rsidP="000839A4">
            <w:pPr>
              <w:spacing w:before="120"/>
              <w:rPr>
                <w:strike/>
                <w:szCs w:val="24"/>
              </w:rPr>
            </w:pPr>
            <w:r w:rsidRPr="000839A4">
              <w:rPr>
                <w:strike/>
                <w:szCs w:val="24"/>
              </w:rPr>
              <w:t xml:space="preserve">222321     </w:t>
            </w:r>
          </w:p>
        </w:tc>
        <w:tc>
          <w:tcPr>
            <w:tcW w:w="6232" w:type="dxa"/>
          </w:tcPr>
          <w:p w14:paraId="7AA6CEA7" w14:textId="77777777" w:rsidR="000839A4" w:rsidRPr="000839A4" w:rsidRDefault="000839A4" w:rsidP="000839A4">
            <w:pPr>
              <w:spacing w:before="120"/>
              <w:rPr>
                <w:strike/>
                <w:szCs w:val="24"/>
              </w:rPr>
            </w:pPr>
            <w:r w:rsidRPr="000839A4">
              <w:rPr>
                <w:strike/>
                <w:szCs w:val="24"/>
              </w:rPr>
              <w:t>Stavby místních čistíren a úpraven odpadních vod (kromě budov)</w:t>
            </w:r>
          </w:p>
        </w:tc>
      </w:tr>
      <w:tr w:rsidR="000839A4" w:rsidRPr="000839A4" w14:paraId="09A1075C" w14:textId="77777777" w:rsidTr="000839A4">
        <w:tc>
          <w:tcPr>
            <w:tcW w:w="1271" w:type="dxa"/>
          </w:tcPr>
          <w:p w14:paraId="4323C663" w14:textId="77777777" w:rsidR="000839A4" w:rsidRPr="000839A4" w:rsidRDefault="000839A4" w:rsidP="000839A4">
            <w:pPr>
              <w:spacing w:before="120"/>
              <w:rPr>
                <w:strike/>
                <w:szCs w:val="24"/>
              </w:rPr>
            </w:pPr>
            <w:r w:rsidRPr="000839A4">
              <w:rPr>
                <w:strike/>
                <w:szCs w:val="24"/>
              </w:rPr>
              <w:t xml:space="preserve">(5-21)    </w:t>
            </w:r>
          </w:p>
        </w:tc>
        <w:tc>
          <w:tcPr>
            <w:tcW w:w="1559" w:type="dxa"/>
          </w:tcPr>
          <w:p w14:paraId="4E7E896C" w14:textId="77777777" w:rsidR="000839A4" w:rsidRPr="000839A4" w:rsidRDefault="000839A4" w:rsidP="000839A4">
            <w:pPr>
              <w:spacing w:before="120"/>
              <w:rPr>
                <w:strike/>
                <w:szCs w:val="24"/>
              </w:rPr>
            </w:pPr>
            <w:r w:rsidRPr="000839A4">
              <w:rPr>
                <w:strike/>
                <w:szCs w:val="24"/>
              </w:rPr>
              <w:t xml:space="preserve">222479     </w:t>
            </w:r>
          </w:p>
        </w:tc>
        <w:tc>
          <w:tcPr>
            <w:tcW w:w="6232" w:type="dxa"/>
          </w:tcPr>
          <w:p w14:paraId="676ADCAF" w14:textId="77777777" w:rsidR="000839A4" w:rsidRPr="000839A4" w:rsidRDefault="000839A4" w:rsidP="000839A4">
            <w:pPr>
              <w:spacing w:before="120"/>
              <w:rPr>
                <w:strike/>
                <w:szCs w:val="24"/>
              </w:rPr>
            </w:pPr>
            <w:r w:rsidRPr="000839A4">
              <w:rPr>
                <w:strike/>
                <w:szCs w:val="24"/>
              </w:rPr>
              <w:t>Podzemní stavby pro energetiku</w:t>
            </w:r>
          </w:p>
        </w:tc>
      </w:tr>
      <w:tr w:rsidR="000839A4" w:rsidRPr="000839A4" w14:paraId="1461B2DB" w14:textId="77777777" w:rsidTr="000839A4">
        <w:tc>
          <w:tcPr>
            <w:tcW w:w="1271" w:type="dxa"/>
          </w:tcPr>
          <w:p w14:paraId="01A4097A" w14:textId="77777777" w:rsidR="000839A4" w:rsidRPr="000839A4" w:rsidRDefault="000839A4" w:rsidP="000839A4">
            <w:pPr>
              <w:spacing w:before="120"/>
              <w:rPr>
                <w:strike/>
                <w:szCs w:val="24"/>
              </w:rPr>
            </w:pPr>
            <w:r w:rsidRPr="000839A4">
              <w:rPr>
                <w:strike/>
                <w:szCs w:val="24"/>
              </w:rPr>
              <w:t xml:space="preserve">(5-22)     </w:t>
            </w:r>
          </w:p>
        </w:tc>
        <w:tc>
          <w:tcPr>
            <w:tcW w:w="1559" w:type="dxa"/>
          </w:tcPr>
          <w:p w14:paraId="0D0C3184" w14:textId="77777777" w:rsidR="000839A4" w:rsidRPr="000839A4" w:rsidRDefault="000839A4" w:rsidP="000839A4">
            <w:pPr>
              <w:spacing w:before="120"/>
              <w:rPr>
                <w:strike/>
                <w:szCs w:val="24"/>
              </w:rPr>
            </w:pPr>
            <w:r w:rsidRPr="000839A4">
              <w:rPr>
                <w:strike/>
                <w:szCs w:val="24"/>
              </w:rPr>
              <w:t xml:space="preserve">230131     </w:t>
            </w:r>
          </w:p>
        </w:tc>
        <w:tc>
          <w:tcPr>
            <w:tcW w:w="6232" w:type="dxa"/>
          </w:tcPr>
          <w:p w14:paraId="27D43E2B" w14:textId="77777777" w:rsidR="000839A4" w:rsidRPr="000839A4" w:rsidRDefault="000839A4" w:rsidP="000839A4">
            <w:pPr>
              <w:spacing w:before="120"/>
              <w:rPr>
                <w:strike/>
                <w:szCs w:val="24"/>
              </w:rPr>
            </w:pPr>
            <w:r w:rsidRPr="000839A4">
              <w:rPr>
                <w:strike/>
                <w:szCs w:val="24"/>
              </w:rPr>
              <w:t>Objekty úpravy surovin</w:t>
            </w:r>
          </w:p>
        </w:tc>
      </w:tr>
      <w:tr w:rsidR="000839A4" w:rsidRPr="000839A4" w14:paraId="058F36CE" w14:textId="77777777" w:rsidTr="000839A4">
        <w:tc>
          <w:tcPr>
            <w:tcW w:w="1271" w:type="dxa"/>
          </w:tcPr>
          <w:p w14:paraId="0317325F" w14:textId="77777777" w:rsidR="000839A4" w:rsidRPr="000839A4" w:rsidRDefault="000839A4" w:rsidP="000839A4">
            <w:pPr>
              <w:spacing w:before="120"/>
              <w:rPr>
                <w:strike/>
                <w:szCs w:val="24"/>
              </w:rPr>
            </w:pPr>
            <w:r w:rsidRPr="000839A4">
              <w:rPr>
                <w:strike/>
                <w:szCs w:val="24"/>
              </w:rPr>
              <w:t xml:space="preserve">(5-23)    </w:t>
            </w:r>
          </w:p>
        </w:tc>
        <w:tc>
          <w:tcPr>
            <w:tcW w:w="1559" w:type="dxa"/>
          </w:tcPr>
          <w:p w14:paraId="2BF42830" w14:textId="77777777" w:rsidR="000839A4" w:rsidRPr="000839A4" w:rsidRDefault="000839A4" w:rsidP="000839A4">
            <w:pPr>
              <w:spacing w:before="120"/>
              <w:rPr>
                <w:strike/>
                <w:szCs w:val="24"/>
              </w:rPr>
            </w:pPr>
            <w:r w:rsidRPr="000839A4">
              <w:rPr>
                <w:strike/>
                <w:szCs w:val="24"/>
              </w:rPr>
              <w:t xml:space="preserve">230132     </w:t>
            </w:r>
          </w:p>
        </w:tc>
        <w:tc>
          <w:tcPr>
            <w:tcW w:w="6232" w:type="dxa"/>
          </w:tcPr>
          <w:p w14:paraId="50B68814" w14:textId="77777777" w:rsidR="000839A4" w:rsidRPr="000839A4" w:rsidRDefault="000839A4" w:rsidP="000839A4">
            <w:pPr>
              <w:spacing w:before="120"/>
              <w:rPr>
                <w:strike/>
                <w:szCs w:val="24"/>
              </w:rPr>
            </w:pPr>
            <w:r w:rsidRPr="000839A4">
              <w:rPr>
                <w:strike/>
                <w:szCs w:val="24"/>
              </w:rPr>
              <w:t>Objekty výroby stavebních hmot</w:t>
            </w:r>
          </w:p>
        </w:tc>
      </w:tr>
      <w:tr w:rsidR="000839A4" w:rsidRPr="000839A4" w14:paraId="6BE7B3AE" w14:textId="77777777" w:rsidTr="000839A4">
        <w:tc>
          <w:tcPr>
            <w:tcW w:w="1271" w:type="dxa"/>
          </w:tcPr>
          <w:p w14:paraId="62363C39" w14:textId="77777777" w:rsidR="000839A4" w:rsidRPr="000839A4" w:rsidRDefault="000839A4" w:rsidP="000839A4">
            <w:pPr>
              <w:spacing w:before="120"/>
              <w:rPr>
                <w:strike/>
                <w:szCs w:val="24"/>
              </w:rPr>
            </w:pPr>
            <w:r w:rsidRPr="000839A4">
              <w:rPr>
                <w:strike/>
                <w:szCs w:val="24"/>
              </w:rPr>
              <w:t xml:space="preserve">(5-24)    </w:t>
            </w:r>
          </w:p>
          <w:p w14:paraId="55B14A2C" w14:textId="77777777" w:rsidR="000839A4" w:rsidRPr="000839A4" w:rsidRDefault="000839A4" w:rsidP="000839A4">
            <w:pPr>
              <w:spacing w:before="120"/>
              <w:rPr>
                <w:strike/>
                <w:szCs w:val="24"/>
              </w:rPr>
            </w:pPr>
          </w:p>
        </w:tc>
        <w:tc>
          <w:tcPr>
            <w:tcW w:w="1559" w:type="dxa"/>
          </w:tcPr>
          <w:p w14:paraId="0D77504E" w14:textId="77777777" w:rsidR="000839A4" w:rsidRPr="000839A4" w:rsidRDefault="000839A4" w:rsidP="000839A4">
            <w:pPr>
              <w:spacing w:before="120"/>
              <w:rPr>
                <w:strike/>
                <w:szCs w:val="24"/>
              </w:rPr>
            </w:pPr>
            <w:r w:rsidRPr="000839A4">
              <w:rPr>
                <w:strike/>
                <w:szCs w:val="24"/>
              </w:rPr>
              <w:t xml:space="preserve">230121     </w:t>
            </w:r>
          </w:p>
        </w:tc>
        <w:tc>
          <w:tcPr>
            <w:tcW w:w="6232" w:type="dxa"/>
          </w:tcPr>
          <w:p w14:paraId="35507D67" w14:textId="77777777" w:rsidR="000839A4" w:rsidRPr="000839A4" w:rsidRDefault="000839A4" w:rsidP="000839A4">
            <w:pPr>
              <w:spacing w:before="120"/>
              <w:rPr>
                <w:strike/>
                <w:szCs w:val="24"/>
              </w:rPr>
            </w:pPr>
            <w:r w:rsidRPr="000839A4">
              <w:rPr>
                <w:strike/>
                <w:szCs w:val="24"/>
              </w:rPr>
              <w:t>Dráhy lanové pozemní bezkolejové pro těžbu surovin a dopravu nákladů</w:t>
            </w:r>
          </w:p>
        </w:tc>
      </w:tr>
      <w:tr w:rsidR="000839A4" w:rsidRPr="000839A4" w14:paraId="3783BB88" w14:textId="77777777" w:rsidTr="000839A4">
        <w:tc>
          <w:tcPr>
            <w:tcW w:w="1271" w:type="dxa"/>
          </w:tcPr>
          <w:p w14:paraId="32E4FD31" w14:textId="77777777" w:rsidR="000839A4" w:rsidRPr="000839A4" w:rsidRDefault="000839A4" w:rsidP="000839A4">
            <w:pPr>
              <w:spacing w:before="120"/>
              <w:rPr>
                <w:strike/>
                <w:szCs w:val="24"/>
              </w:rPr>
            </w:pPr>
            <w:r w:rsidRPr="000839A4">
              <w:rPr>
                <w:strike/>
                <w:szCs w:val="24"/>
              </w:rPr>
              <w:t xml:space="preserve">(5-25)    </w:t>
            </w:r>
          </w:p>
          <w:p w14:paraId="15D218B2" w14:textId="77777777" w:rsidR="000839A4" w:rsidRPr="000839A4" w:rsidRDefault="000839A4" w:rsidP="000839A4">
            <w:pPr>
              <w:spacing w:before="120"/>
              <w:rPr>
                <w:strike/>
                <w:szCs w:val="24"/>
              </w:rPr>
            </w:pPr>
          </w:p>
        </w:tc>
        <w:tc>
          <w:tcPr>
            <w:tcW w:w="1559" w:type="dxa"/>
          </w:tcPr>
          <w:p w14:paraId="380A1A9D" w14:textId="77777777" w:rsidR="000839A4" w:rsidRPr="000839A4" w:rsidRDefault="000839A4" w:rsidP="000839A4">
            <w:pPr>
              <w:spacing w:before="120"/>
              <w:rPr>
                <w:strike/>
                <w:szCs w:val="24"/>
              </w:rPr>
            </w:pPr>
            <w:r w:rsidRPr="000839A4">
              <w:rPr>
                <w:strike/>
                <w:szCs w:val="24"/>
              </w:rPr>
              <w:t xml:space="preserve">230151     </w:t>
            </w:r>
          </w:p>
        </w:tc>
        <w:tc>
          <w:tcPr>
            <w:tcW w:w="6232" w:type="dxa"/>
          </w:tcPr>
          <w:p w14:paraId="76ABCA7B" w14:textId="77777777" w:rsidR="000839A4" w:rsidRPr="000839A4" w:rsidRDefault="000839A4" w:rsidP="000839A4">
            <w:pPr>
              <w:spacing w:before="120"/>
              <w:rPr>
                <w:strike/>
                <w:szCs w:val="24"/>
              </w:rPr>
            </w:pPr>
            <w:r w:rsidRPr="000839A4">
              <w:rPr>
                <w:strike/>
                <w:szCs w:val="24"/>
              </w:rPr>
              <w:t>Různé stavby pozemní výrobní pro těžbu (kromě budov)</w:t>
            </w:r>
          </w:p>
        </w:tc>
      </w:tr>
      <w:tr w:rsidR="000839A4" w:rsidRPr="000839A4" w14:paraId="77660943" w14:textId="77777777" w:rsidTr="000839A4">
        <w:tc>
          <w:tcPr>
            <w:tcW w:w="1271" w:type="dxa"/>
          </w:tcPr>
          <w:p w14:paraId="53BE2B25" w14:textId="77777777" w:rsidR="000839A4" w:rsidRPr="000839A4" w:rsidRDefault="000839A4" w:rsidP="000839A4">
            <w:pPr>
              <w:spacing w:before="120"/>
              <w:rPr>
                <w:strike/>
                <w:szCs w:val="24"/>
              </w:rPr>
            </w:pPr>
            <w:r w:rsidRPr="000839A4">
              <w:rPr>
                <w:strike/>
                <w:szCs w:val="24"/>
              </w:rPr>
              <w:t xml:space="preserve">(5-26)     </w:t>
            </w:r>
          </w:p>
        </w:tc>
        <w:tc>
          <w:tcPr>
            <w:tcW w:w="1559" w:type="dxa"/>
          </w:tcPr>
          <w:p w14:paraId="418A0302" w14:textId="77777777" w:rsidR="000839A4" w:rsidRPr="000839A4" w:rsidRDefault="000839A4" w:rsidP="000839A4">
            <w:pPr>
              <w:spacing w:before="120"/>
              <w:rPr>
                <w:strike/>
                <w:szCs w:val="24"/>
              </w:rPr>
            </w:pPr>
            <w:r w:rsidRPr="000839A4">
              <w:rPr>
                <w:strike/>
                <w:szCs w:val="24"/>
              </w:rPr>
              <w:t xml:space="preserve">230171     </w:t>
            </w:r>
          </w:p>
        </w:tc>
        <w:tc>
          <w:tcPr>
            <w:tcW w:w="6232" w:type="dxa"/>
          </w:tcPr>
          <w:p w14:paraId="66A23206" w14:textId="77777777" w:rsidR="000839A4" w:rsidRPr="000839A4" w:rsidRDefault="000839A4" w:rsidP="000839A4">
            <w:pPr>
              <w:spacing w:before="120"/>
              <w:rPr>
                <w:strike/>
                <w:szCs w:val="24"/>
              </w:rPr>
            </w:pPr>
            <w:r w:rsidRPr="000839A4">
              <w:rPr>
                <w:strike/>
                <w:szCs w:val="24"/>
              </w:rPr>
              <w:t>Základy technologických výrobních zařízení</w:t>
            </w:r>
          </w:p>
        </w:tc>
      </w:tr>
      <w:tr w:rsidR="000839A4" w:rsidRPr="000839A4" w14:paraId="11159A8B" w14:textId="77777777" w:rsidTr="000839A4">
        <w:tc>
          <w:tcPr>
            <w:tcW w:w="1271" w:type="dxa"/>
          </w:tcPr>
          <w:p w14:paraId="207E3D90" w14:textId="77777777" w:rsidR="000839A4" w:rsidRPr="000839A4" w:rsidRDefault="000839A4" w:rsidP="000839A4">
            <w:pPr>
              <w:spacing w:before="120"/>
              <w:rPr>
                <w:strike/>
                <w:szCs w:val="24"/>
              </w:rPr>
            </w:pPr>
            <w:r w:rsidRPr="000839A4">
              <w:rPr>
                <w:strike/>
                <w:szCs w:val="24"/>
              </w:rPr>
              <w:t xml:space="preserve">(5-27)    </w:t>
            </w:r>
          </w:p>
        </w:tc>
        <w:tc>
          <w:tcPr>
            <w:tcW w:w="1559" w:type="dxa"/>
          </w:tcPr>
          <w:p w14:paraId="260C7848" w14:textId="77777777" w:rsidR="000839A4" w:rsidRPr="000839A4" w:rsidRDefault="000839A4" w:rsidP="000839A4">
            <w:pPr>
              <w:spacing w:before="120"/>
              <w:rPr>
                <w:strike/>
                <w:szCs w:val="24"/>
              </w:rPr>
            </w:pPr>
            <w:r w:rsidRPr="000839A4">
              <w:rPr>
                <w:strike/>
                <w:szCs w:val="24"/>
              </w:rPr>
              <w:t xml:space="preserve">230279     </w:t>
            </w:r>
          </w:p>
        </w:tc>
        <w:tc>
          <w:tcPr>
            <w:tcW w:w="6232" w:type="dxa"/>
          </w:tcPr>
          <w:p w14:paraId="476F3A1F" w14:textId="77777777" w:rsidR="000839A4" w:rsidRPr="000839A4" w:rsidRDefault="000839A4" w:rsidP="000839A4">
            <w:pPr>
              <w:spacing w:before="120"/>
              <w:rPr>
                <w:strike/>
                <w:szCs w:val="24"/>
              </w:rPr>
            </w:pPr>
            <w:r w:rsidRPr="000839A4">
              <w:rPr>
                <w:strike/>
                <w:szCs w:val="24"/>
              </w:rPr>
              <w:t>Podzemní stavby elektrárenské</w:t>
            </w:r>
          </w:p>
        </w:tc>
      </w:tr>
      <w:tr w:rsidR="000839A4" w:rsidRPr="000839A4" w14:paraId="23BB3B6B" w14:textId="77777777" w:rsidTr="000839A4">
        <w:tc>
          <w:tcPr>
            <w:tcW w:w="1271" w:type="dxa"/>
          </w:tcPr>
          <w:p w14:paraId="04D693D3" w14:textId="77777777" w:rsidR="000839A4" w:rsidRPr="000839A4" w:rsidRDefault="000839A4" w:rsidP="000839A4">
            <w:pPr>
              <w:spacing w:before="120"/>
              <w:rPr>
                <w:strike/>
                <w:szCs w:val="24"/>
              </w:rPr>
            </w:pPr>
            <w:r w:rsidRPr="000839A4">
              <w:rPr>
                <w:strike/>
                <w:szCs w:val="24"/>
              </w:rPr>
              <w:t xml:space="preserve">(5-28)    </w:t>
            </w:r>
          </w:p>
        </w:tc>
        <w:tc>
          <w:tcPr>
            <w:tcW w:w="1559" w:type="dxa"/>
          </w:tcPr>
          <w:p w14:paraId="36F1CA83" w14:textId="77777777" w:rsidR="000839A4" w:rsidRPr="000839A4" w:rsidRDefault="000839A4" w:rsidP="000839A4">
            <w:pPr>
              <w:spacing w:before="120"/>
              <w:rPr>
                <w:strike/>
                <w:szCs w:val="24"/>
              </w:rPr>
            </w:pPr>
            <w:r w:rsidRPr="000839A4">
              <w:rPr>
                <w:strike/>
                <w:szCs w:val="24"/>
              </w:rPr>
              <w:t xml:space="preserve">230311     </w:t>
            </w:r>
          </w:p>
        </w:tc>
        <w:tc>
          <w:tcPr>
            <w:tcW w:w="6232" w:type="dxa"/>
          </w:tcPr>
          <w:p w14:paraId="74F2DAA7" w14:textId="77777777" w:rsidR="000839A4" w:rsidRPr="000839A4" w:rsidRDefault="000839A4" w:rsidP="000839A4">
            <w:pPr>
              <w:spacing w:before="120"/>
              <w:rPr>
                <w:strike/>
                <w:szCs w:val="24"/>
              </w:rPr>
            </w:pPr>
            <w:r w:rsidRPr="000839A4">
              <w:rPr>
                <w:strike/>
                <w:szCs w:val="24"/>
              </w:rPr>
              <w:t>Stavby pro výrobu a úpravu chemických surovin (kromě budov)</w:t>
            </w:r>
          </w:p>
        </w:tc>
      </w:tr>
      <w:tr w:rsidR="000839A4" w:rsidRPr="000839A4" w14:paraId="5A3B19CA" w14:textId="77777777" w:rsidTr="000839A4">
        <w:tc>
          <w:tcPr>
            <w:tcW w:w="1271" w:type="dxa"/>
          </w:tcPr>
          <w:p w14:paraId="60E3505C" w14:textId="77777777" w:rsidR="000839A4" w:rsidRPr="000839A4" w:rsidRDefault="000839A4" w:rsidP="000839A4">
            <w:pPr>
              <w:spacing w:before="120"/>
              <w:rPr>
                <w:strike/>
                <w:szCs w:val="24"/>
              </w:rPr>
            </w:pPr>
            <w:r w:rsidRPr="000839A4">
              <w:rPr>
                <w:strike/>
                <w:szCs w:val="24"/>
              </w:rPr>
              <w:t xml:space="preserve">(5-29)     </w:t>
            </w:r>
          </w:p>
          <w:p w14:paraId="0B8EC71F" w14:textId="77777777" w:rsidR="000839A4" w:rsidRPr="000839A4" w:rsidRDefault="000839A4" w:rsidP="000839A4">
            <w:pPr>
              <w:spacing w:before="120"/>
              <w:rPr>
                <w:strike/>
                <w:szCs w:val="24"/>
              </w:rPr>
            </w:pPr>
          </w:p>
        </w:tc>
        <w:tc>
          <w:tcPr>
            <w:tcW w:w="1559" w:type="dxa"/>
          </w:tcPr>
          <w:p w14:paraId="7F79A0BD" w14:textId="77777777" w:rsidR="000839A4" w:rsidRPr="000839A4" w:rsidRDefault="000839A4" w:rsidP="000839A4">
            <w:pPr>
              <w:spacing w:before="120"/>
              <w:rPr>
                <w:strike/>
                <w:szCs w:val="24"/>
              </w:rPr>
            </w:pPr>
            <w:r w:rsidRPr="000839A4">
              <w:rPr>
                <w:strike/>
                <w:szCs w:val="24"/>
              </w:rPr>
              <w:t xml:space="preserve">230318     </w:t>
            </w:r>
          </w:p>
        </w:tc>
        <w:tc>
          <w:tcPr>
            <w:tcW w:w="6232" w:type="dxa"/>
          </w:tcPr>
          <w:p w14:paraId="78186080" w14:textId="77777777" w:rsidR="000839A4" w:rsidRPr="000839A4" w:rsidRDefault="000839A4" w:rsidP="000839A4">
            <w:pPr>
              <w:spacing w:before="120"/>
              <w:rPr>
                <w:strike/>
                <w:szCs w:val="24"/>
              </w:rPr>
            </w:pPr>
            <w:r w:rsidRPr="000839A4">
              <w:rPr>
                <w:strike/>
                <w:szCs w:val="24"/>
              </w:rPr>
              <w:t>Stavby pozemní doplňkové pro chemickou výrobu (kromě budov)</w:t>
            </w:r>
          </w:p>
        </w:tc>
      </w:tr>
      <w:tr w:rsidR="000839A4" w:rsidRPr="000839A4" w14:paraId="58EC472B" w14:textId="77777777" w:rsidTr="000839A4">
        <w:tc>
          <w:tcPr>
            <w:tcW w:w="1271" w:type="dxa"/>
          </w:tcPr>
          <w:p w14:paraId="28594E00" w14:textId="77777777" w:rsidR="000839A4" w:rsidRPr="000839A4" w:rsidRDefault="000839A4" w:rsidP="000839A4">
            <w:pPr>
              <w:spacing w:before="120"/>
              <w:rPr>
                <w:strike/>
                <w:szCs w:val="24"/>
              </w:rPr>
            </w:pPr>
            <w:r w:rsidRPr="000839A4">
              <w:rPr>
                <w:strike/>
                <w:szCs w:val="24"/>
              </w:rPr>
              <w:t xml:space="preserve">(5-30)     </w:t>
            </w:r>
          </w:p>
          <w:p w14:paraId="051213E5" w14:textId="77777777" w:rsidR="000839A4" w:rsidRPr="000839A4" w:rsidRDefault="000839A4" w:rsidP="000839A4">
            <w:pPr>
              <w:spacing w:before="120"/>
              <w:rPr>
                <w:strike/>
                <w:szCs w:val="24"/>
              </w:rPr>
            </w:pPr>
          </w:p>
        </w:tc>
        <w:tc>
          <w:tcPr>
            <w:tcW w:w="1559" w:type="dxa"/>
          </w:tcPr>
          <w:p w14:paraId="2191ED05" w14:textId="77777777" w:rsidR="000839A4" w:rsidRPr="000839A4" w:rsidRDefault="000839A4" w:rsidP="000839A4">
            <w:pPr>
              <w:spacing w:before="120"/>
              <w:rPr>
                <w:strike/>
                <w:szCs w:val="24"/>
              </w:rPr>
            </w:pPr>
            <w:r w:rsidRPr="000839A4">
              <w:rPr>
                <w:strike/>
                <w:szCs w:val="24"/>
              </w:rPr>
              <w:t xml:space="preserve">230349     </w:t>
            </w:r>
          </w:p>
        </w:tc>
        <w:tc>
          <w:tcPr>
            <w:tcW w:w="6232" w:type="dxa"/>
          </w:tcPr>
          <w:p w14:paraId="763E8E76" w14:textId="77777777" w:rsidR="000839A4" w:rsidRPr="000839A4" w:rsidRDefault="000839A4" w:rsidP="000839A4">
            <w:pPr>
              <w:spacing w:before="120"/>
              <w:rPr>
                <w:strike/>
                <w:szCs w:val="24"/>
              </w:rPr>
            </w:pPr>
            <w:r w:rsidRPr="000839A4">
              <w:rPr>
                <w:strike/>
                <w:szCs w:val="24"/>
              </w:rPr>
              <w:t>Stavby výrobní chemických podniků jinde neuvedené (kromě budov)</w:t>
            </w:r>
          </w:p>
        </w:tc>
      </w:tr>
      <w:tr w:rsidR="000839A4" w:rsidRPr="000839A4" w14:paraId="056A1B34" w14:textId="77777777" w:rsidTr="000839A4">
        <w:tc>
          <w:tcPr>
            <w:tcW w:w="1271" w:type="dxa"/>
          </w:tcPr>
          <w:p w14:paraId="7B7311A9" w14:textId="77777777" w:rsidR="000839A4" w:rsidRPr="000839A4" w:rsidRDefault="000839A4" w:rsidP="000839A4">
            <w:pPr>
              <w:spacing w:before="120"/>
              <w:rPr>
                <w:strike/>
                <w:szCs w:val="24"/>
              </w:rPr>
            </w:pPr>
            <w:r w:rsidRPr="000839A4">
              <w:rPr>
                <w:strike/>
                <w:szCs w:val="24"/>
              </w:rPr>
              <w:t xml:space="preserve">(5-31)    </w:t>
            </w:r>
          </w:p>
          <w:p w14:paraId="087986D2" w14:textId="77777777" w:rsidR="000839A4" w:rsidRPr="000839A4" w:rsidRDefault="000839A4" w:rsidP="000839A4">
            <w:pPr>
              <w:spacing w:before="120"/>
              <w:rPr>
                <w:strike/>
                <w:szCs w:val="24"/>
              </w:rPr>
            </w:pPr>
          </w:p>
        </w:tc>
        <w:tc>
          <w:tcPr>
            <w:tcW w:w="1559" w:type="dxa"/>
          </w:tcPr>
          <w:p w14:paraId="3935D4AC" w14:textId="77777777" w:rsidR="000839A4" w:rsidRPr="000839A4" w:rsidRDefault="000839A4" w:rsidP="000839A4">
            <w:pPr>
              <w:spacing w:before="120"/>
              <w:rPr>
                <w:strike/>
                <w:szCs w:val="24"/>
              </w:rPr>
            </w:pPr>
            <w:r w:rsidRPr="000839A4">
              <w:rPr>
                <w:strike/>
                <w:szCs w:val="24"/>
              </w:rPr>
              <w:t xml:space="preserve">230411     </w:t>
            </w:r>
          </w:p>
        </w:tc>
        <w:tc>
          <w:tcPr>
            <w:tcW w:w="6232" w:type="dxa"/>
          </w:tcPr>
          <w:p w14:paraId="612C8EAB" w14:textId="77777777" w:rsidR="000839A4" w:rsidRPr="000839A4" w:rsidRDefault="000839A4" w:rsidP="000839A4">
            <w:pPr>
              <w:spacing w:before="120"/>
              <w:rPr>
                <w:strike/>
                <w:szCs w:val="24"/>
              </w:rPr>
            </w:pPr>
            <w:r w:rsidRPr="000839A4">
              <w:rPr>
                <w:strike/>
                <w:szCs w:val="24"/>
              </w:rPr>
              <w:t>Stavby hutního a těžkého průmyslu (kromě budov)</w:t>
            </w:r>
          </w:p>
        </w:tc>
      </w:tr>
      <w:tr w:rsidR="000839A4" w:rsidRPr="000839A4" w14:paraId="7F6497C9" w14:textId="77777777" w:rsidTr="000839A4">
        <w:tc>
          <w:tcPr>
            <w:tcW w:w="1271" w:type="dxa"/>
          </w:tcPr>
          <w:p w14:paraId="52A24EA4" w14:textId="77777777" w:rsidR="000839A4" w:rsidRPr="000839A4" w:rsidRDefault="000839A4" w:rsidP="000839A4">
            <w:pPr>
              <w:spacing w:before="120"/>
              <w:rPr>
                <w:strike/>
                <w:szCs w:val="24"/>
              </w:rPr>
            </w:pPr>
            <w:r w:rsidRPr="000839A4">
              <w:rPr>
                <w:strike/>
                <w:szCs w:val="24"/>
              </w:rPr>
              <w:t xml:space="preserve">(5-32)     </w:t>
            </w:r>
          </w:p>
          <w:p w14:paraId="37AFBE9F" w14:textId="77777777" w:rsidR="000839A4" w:rsidRPr="000839A4" w:rsidRDefault="000839A4" w:rsidP="000839A4">
            <w:pPr>
              <w:spacing w:before="120"/>
              <w:rPr>
                <w:strike/>
                <w:szCs w:val="24"/>
              </w:rPr>
            </w:pPr>
          </w:p>
        </w:tc>
        <w:tc>
          <w:tcPr>
            <w:tcW w:w="1559" w:type="dxa"/>
          </w:tcPr>
          <w:p w14:paraId="6C30B9D1" w14:textId="77777777" w:rsidR="000839A4" w:rsidRPr="000839A4" w:rsidRDefault="000839A4" w:rsidP="000839A4">
            <w:pPr>
              <w:spacing w:before="120"/>
              <w:rPr>
                <w:strike/>
                <w:szCs w:val="24"/>
              </w:rPr>
            </w:pPr>
            <w:r w:rsidRPr="000839A4">
              <w:rPr>
                <w:strike/>
                <w:szCs w:val="24"/>
              </w:rPr>
              <w:t xml:space="preserve">230418     </w:t>
            </w:r>
          </w:p>
        </w:tc>
        <w:tc>
          <w:tcPr>
            <w:tcW w:w="6232" w:type="dxa"/>
          </w:tcPr>
          <w:p w14:paraId="245581E3" w14:textId="77777777" w:rsidR="000839A4" w:rsidRPr="000839A4" w:rsidRDefault="000839A4" w:rsidP="000839A4">
            <w:pPr>
              <w:spacing w:before="120"/>
              <w:rPr>
                <w:strike/>
                <w:szCs w:val="24"/>
              </w:rPr>
            </w:pPr>
            <w:r w:rsidRPr="000839A4">
              <w:rPr>
                <w:strike/>
                <w:szCs w:val="24"/>
              </w:rPr>
              <w:t>Stavby pozemní doplňkové pro hutní a těžký průmysl</w:t>
            </w:r>
          </w:p>
        </w:tc>
      </w:tr>
      <w:tr w:rsidR="000839A4" w:rsidRPr="000839A4" w14:paraId="56D6C2A3" w14:textId="77777777" w:rsidTr="000839A4">
        <w:tc>
          <w:tcPr>
            <w:tcW w:w="1271" w:type="dxa"/>
          </w:tcPr>
          <w:p w14:paraId="511FEE4F" w14:textId="77777777" w:rsidR="000839A4" w:rsidRPr="000839A4" w:rsidRDefault="000839A4" w:rsidP="000839A4">
            <w:pPr>
              <w:spacing w:before="120"/>
              <w:rPr>
                <w:strike/>
                <w:szCs w:val="24"/>
              </w:rPr>
            </w:pPr>
            <w:r w:rsidRPr="000839A4">
              <w:rPr>
                <w:strike/>
                <w:szCs w:val="24"/>
              </w:rPr>
              <w:t xml:space="preserve">(5-33)    </w:t>
            </w:r>
          </w:p>
          <w:p w14:paraId="510622F1" w14:textId="77777777" w:rsidR="000839A4" w:rsidRPr="000839A4" w:rsidRDefault="000839A4" w:rsidP="000839A4">
            <w:pPr>
              <w:spacing w:before="120"/>
              <w:rPr>
                <w:strike/>
                <w:szCs w:val="24"/>
              </w:rPr>
            </w:pPr>
          </w:p>
        </w:tc>
        <w:tc>
          <w:tcPr>
            <w:tcW w:w="1559" w:type="dxa"/>
          </w:tcPr>
          <w:p w14:paraId="73775402" w14:textId="77777777" w:rsidR="000839A4" w:rsidRPr="000839A4" w:rsidRDefault="000839A4" w:rsidP="000839A4">
            <w:pPr>
              <w:spacing w:before="120"/>
              <w:rPr>
                <w:strike/>
                <w:szCs w:val="24"/>
              </w:rPr>
            </w:pPr>
            <w:r w:rsidRPr="000839A4">
              <w:rPr>
                <w:strike/>
                <w:szCs w:val="24"/>
              </w:rPr>
              <w:t xml:space="preserve">230449     </w:t>
            </w:r>
          </w:p>
        </w:tc>
        <w:tc>
          <w:tcPr>
            <w:tcW w:w="6232" w:type="dxa"/>
          </w:tcPr>
          <w:p w14:paraId="43DED679" w14:textId="77777777" w:rsidR="000839A4" w:rsidRPr="000839A4" w:rsidRDefault="000839A4" w:rsidP="000839A4">
            <w:pPr>
              <w:spacing w:before="120"/>
              <w:rPr>
                <w:strike/>
                <w:szCs w:val="24"/>
              </w:rPr>
            </w:pPr>
            <w:r w:rsidRPr="000839A4">
              <w:rPr>
                <w:strike/>
                <w:szCs w:val="24"/>
              </w:rPr>
              <w:t>Stavby výrobní pro ostatní průmysl jinde neuvedené (kromě budov)</w:t>
            </w:r>
          </w:p>
        </w:tc>
      </w:tr>
      <w:tr w:rsidR="000839A4" w:rsidRPr="000839A4" w14:paraId="380657F0" w14:textId="77777777" w:rsidTr="000839A4">
        <w:tc>
          <w:tcPr>
            <w:tcW w:w="1271" w:type="dxa"/>
          </w:tcPr>
          <w:p w14:paraId="07F5C986" w14:textId="77777777" w:rsidR="000839A4" w:rsidRPr="000839A4" w:rsidRDefault="000839A4" w:rsidP="000839A4">
            <w:pPr>
              <w:spacing w:before="120"/>
              <w:rPr>
                <w:strike/>
                <w:szCs w:val="24"/>
              </w:rPr>
            </w:pPr>
            <w:r w:rsidRPr="000839A4">
              <w:rPr>
                <w:strike/>
                <w:szCs w:val="24"/>
              </w:rPr>
              <w:t xml:space="preserve">(5-34)    </w:t>
            </w:r>
          </w:p>
        </w:tc>
        <w:tc>
          <w:tcPr>
            <w:tcW w:w="1559" w:type="dxa"/>
          </w:tcPr>
          <w:p w14:paraId="7B40D924" w14:textId="77777777" w:rsidR="000839A4" w:rsidRPr="000839A4" w:rsidRDefault="000839A4" w:rsidP="000839A4">
            <w:pPr>
              <w:spacing w:before="120"/>
              <w:rPr>
                <w:strike/>
                <w:szCs w:val="24"/>
              </w:rPr>
            </w:pPr>
            <w:r w:rsidRPr="000839A4">
              <w:rPr>
                <w:strike/>
                <w:szCs w:val="24"/>
              </w:rPr>
              <w:t xml:space="preserve">230479     </w:t>
            </w:r>
          </w:p>
        </w:tc>
        <w:tc>
          <w:tcPr>
            <w:tcW w:w="6232" w:type="dxa"/>
          </w:tcPr>
          <w:p w14:paraId="01D73484" w14:textId="77777777" w:rsidR="000839A4" w:rsidRPr="000839A4" w:rsidRDefault="000839A4" w:rsidP="000839A4">
            <w:pPr>
              <w:spacing w:before="120"/>
              <w:rPr>
                <w:strike/>
                <w:szCs w:val="24"/>
              </w:rPr>
            </w:pPr>
            <w:r w:rsidRPr="000839A4">
              <w:rPr>
                <w:strike/>
                <w:szCs w:val="24"/>
              </w:rPr>
              <w:t>Podzemní stavby pro ostatní průmysl</w:t>
            </w:r>
          </w:p>
        </w:tc>
      </w:tr>
      <w:tr w:rsidR="000839A4" w:rsidRPr="000839A4" w14:paraId="60AD2198" w14:textId="77777777" w:rsidTr="000839A4">
        <w:tc>
          <w:tcPr>
            <w:tcW w:w="1271" w:type="dxa"/>
          </w:tcPr>
          <w:p w14:paraId="66685D91" w14:textId="77777777" w:rsidR="000839A4" w:rsidRPr="000839A4" w:rsidRDefault="000839A4" w:rsidP="000839A4">
            <w:pPr>
              <w:spacing w:before="120"/>
              <w:rPr>
                <w:strike/>
                <w:szCs w:val="24"/>
              </w:rPr>
            </w:pPr>
            <w:r w:rsidRPr="000839A4">
              <w:rPr>
                <w:strike/>
                <w:szCs w:val="24"/>
              </w:rPr>
              <w:t xml:space="preserve">(5-35)    </w:t>
            </w:r>
          </w:p>
          <w:p w14:paraId="4CDA6A2D" w14:textId="77777777" w:rsidR="000839A4" w:rsidRPr="000839A4" w:rsidRDefault="000839A4" w:rsidP="000839A4">
            <w:pPr>
              <w:spacing w:before="120"/>
              <w:rPr>
                <w:strike/>
                <w:szCs w:val="24"/>
              </w:rPr>
            </w:pPr>
          </w:p>
        </w:tc>
        <w:tc>
          <w:tcPr>
            <w:tcW w:w="1559" w:type="dxa"/>
          </w:tcPr>
          <w:p w14:paraId="72282CC4" w14:textId="77777777" w:rsidR="000839A4" w:rsidRPr="000839A4" w:rsidRDefault="000839A4" w:rsidP="000839A4">
            <w:pPr>
              <w:spacing w:before="120"/>
              <w:rPr>
                <w:strike/>
                <w:szCs w:val="24"/>
              </w:rPr>
            </w:pPr>
            <w:r w:rsidRPr="000839A4">
              <w:rPr>
                <w:strike/>
                <w:szCs w:val="24"/>
              </w:rPr>
              <w:t xml:space="preserve">230471     </w:t>
            </w:r>
          </w:p>
        </w:tc>
        <w:tc>
          <w:tcPr>
            <w:tcW w:w="6232" w:type="dxa"/>
          </w:tcPr>
          <w:p w14:paraId="0A4A550A" w14:textId="77777777" w:rsidR="000839A4" w:rsidRPr="000839A4" w:rsidRDefault="000839A4" w:rsidP="000839A4">
            <w:pPr>
              <w:spacing w:before="120"/>
              <w:rPr>
                <w:strike/>
                <w:szCs w:val="24"/>
              </w:rPr>
            </w:pPr>
            <w:r w:rsidRPr="000839A4">
              <w:rPr>
                <w:strike/>
                <w:szCs w:val="24"/>
              </w:rPr>
              <w:t>Základy technologických výrobních zařízení pro ostatní průmysl</w:t>
            </w:r>
          </w:p>
        </w:tc>
      </w:tr>
      <w:tr w:rsidR="000839A4" w:rsidRPr="000839A4" w14:paraId="159197FB" w14:textId="77777777" w:rsidTr="000839A4">
        <w:tc>
          <w:tcPr>
            <w:tcW w:w="1271" w:type="dxa"/>
          </w:tcPr>
          <w:p w14:paraId="6CEEB090" w14:textId="77777777" w:rsidR="000839A4" w:rsidRPr="000839A4" w:rsidRDefault="000839A4" w:rsidP="000839A4">
            <w:pPr>
              <w:spacing w:before="120"/>
              <w:rPr>
                <w:strike/>
                <w:szCs w:val="24"/>
              </w:rPr>
            </w:pPr>
            <w:r w:rsidRPr="000839A4">
              <w:rPr>
                <w:strike/>
                <w:szCs w:val="24"/>
              </w:rPr>
              <w:t xml:space="preserve">(5-36)    </w:t>
            </w:r>
          </w:p>
          <w:p w14:paraId="1BF8772E" w14:textId="77777777" w:rsidR="000839A4" w:rsidRPr="000839A4" w:rsidRDefault="000839A4" w:rsidP="000839A4">
            <w:pPr>
              <w:spacing w:before="120"/>
              <w:rPr>
                <w:strike/>
                <w:szCs w:val="24"/>
              </w:rPr>
            </w:pPr>
          </w:p>
        </w:tc>
        <w:tc>
          <w:tcPr>
            <w:tcW w:w="1559" w:type="dxa"/>
          </w:tcPr>
          <w:p w14:paraId="2600E4B9" w14:textId="77777777" w:rsidR="000839A4" w:rsidRPr="000839A4" w:rsidRDefault="000839A4" w:rsidP="000839A4">
            <w:pPr>
              <w:spacing w:before="120"/>
              <w:rPr>
                <w:strike/>
                <w:szCs w:val="24"/>
              </w:rPr>
            </w:pPr>
            <w:r w:rsidRPr="000839A4">
              <w:rPr>
                <w:strike/>
                <w:szCs w:val="24"/>
              </w:rPr>
              <w:t xml:space="preserve">241        </w:t>
            </w:r>
          </w:p>
        </w:tc>
        <w:tc>
          <w:tcPr>
            <w:tcW w:w="6232" w:type="dxa"/>
          </w:tcPr>
          <w:p w14:paraId="0B534BDA" w14:textId="77777777" w:rsidR="000839A4" w:rsidRPr="000839A4" w:rsidRDefault="000839A4" w:rsidP="000839A4">
            <w:pPr>
              <w:spacing w:before="120"/>
              <w:rPr>
                <w:strike/>
                <w:szCs w:val="24"/>
              </w:rPr>
            </w:pPr>
            <w:r w:rsidRPr="000839A4">
              <w:rPr>
                <w:strike/>
                <w:szCs w:val="24"/>
              </w:rPr>
              <w:t>Stavby pro sport a rekreaci pokud nejsou uvedeny v jiné položce této přílohy</w:t>
            </w:r>
          </w:p>
        </w:tc>
      </w:tr>
      <w:tr w:rsidR="000839A4" w:rsidRPr="000839A4" w14:paraId="1D81605A" w14:textId="77777777" w:rsidTr="000839A4">
        <w:tc>
          <w:tcPr>
            <w:tcW w:w="1271" w:type="dxa"/>
          </w:tcPr>
          <w:p w14:paraId="0D802AFD" w14:textId="77777777" w:rsidR="000839A4" w:rsidRPr="000839A4" w:rsidRDefault="000839A4" w:rsidP="000839A4">
            <w:pPr>
              <w:spacing w:before="120"/>
              <w:rPr>
                <w:strike/>
                <w:szCs w:val="24"/>
              </w:rPr>
            </w:pPr>
            <w:r w:rsidRPr="000839A4">
              <w:rPr>
                <w:strike/>
                <w:szCs w:val="24"/>
              </w:rPr>
              <w:lastRenderedPageBreak/>
              <w:t xml:space="preserve">(5-37)    </w:t>
            </w:r>
          </w:p>
          <w:p w14:paraId="08FDE53C" w14:textId="77777777" w:rsidR="000839A4" w:rsidRPr="000839A4" w:rsidRDefault="000839A4" w:rsidP="000839A4">
            <w:pPr>
              <w:spacing w:before="120"/>
              <w:rPr>
                <w:strike/>
                <w:szCs w:val="24"/>
              </w:rPr>
            </w:pPr>
          </w:p>
        </w:tc>
        <w:tc>
          <w:tcPr>
            <w:tcW w:w="1559" w:type="dxa"/>
          </w:tcPr>
          <w:p w14:paraId="0F4FE08D" w14:textId="77777777" w:rsidR="000839A4" w:rsidRPr="000839A4" w:rsidRDefault="000839A4" w:rsidP="000839A4">
            <w:pPr>
              <w:spacing w:before="120"/>
              <w:rPr>
                <w:strike/>
                <w:szCs w:val="24"/>
              </w:rPr>
            </w:pPr>
            <w:r w:rsidRPr="000839A4">
              <w:rPr>
                <w:strike/>
                <w:szCs w:val="24"/>
              </w:rPr>
              <w:t xml:space="preserve">2420       </w:t>
            </w:r>
          </w:p>
        </w:tc>
        <w:tc>
          <w:tcPr>
            <w:tcW w:w="6232" w:type="dxa"/>
          </w:tcPr>
          <w:p w14:paraId="06664C14" w14:textId="77777777" w:rsidR="000839A4" w:rsidRPr="000839A4" w:rsidRDefault="000839A4" w:rsidP="000839A4">
            <w:pPr>
              <w:spacing w:before="120"/>
              <w:rPr>
                <w:strike/>
                <w:szCs w:val="24"/>
              </w:rPr>
            </w:pPr>
            <w:r w:rsidRPr="000839A4">
              <w:rPr>
                <w:strike/>
                <w:szCs w:val="24"/>
              </w:rPr>
              <w:t>Ostatní inženýrská díla pokud nejsou uvedena v jiné položce této přílohy</w:t>
            </w:r>
          </w:p>
        </w:tc>
      </w:tr>
      <w:tr w:rsidR="000839A4" w:rsidRPr="000839A4" w14:paraId="59F9BD87" w14:textId="77777777" w:rsidTr="000839A4">
        <w:tc>
          <w:tcPr>
            <w:tcW w:w="1271" w:type="dxa"/>
          </w:tcPr>
          <w:p w14:paraId="075A224F" w14:textId="77777777" w:rsidR="000839A4" w:rsidRPr="000839A4" w:rsidRDefault="000839A4" w:rsidP="000839A4">
            <w:pPr>
              <w:spacing w:before="120"/>
              <w:rPr>
                <w:strike/>
                <w:szCs w:val="24"/>
              </w:rPr>
            </w:pPr>
            <w:r w:rsidRPr="000839A4">
              <w:rPr>
                <w:strike/>
                <w:szCs w:val="24"/>
              </w:rPr>
              <w:t xml:space="preserve">(5-38)     </w:t>
            </w:r>
          </w:p>
        </w:tc>
        <w:tc>
          <w:tcPr>
            <w:tcW w:w="1559" w:type="dxa"/>
          </w:tcPr>
          <w:p w14:paraId="27E2DA5C" w14:textId="77777777" w:rsidR="000839A4" w:rsidRPr="000839A4" w:rsidRDefault="000839A4" w:rsidP="000839A4">
            <w:pPr>
              <w:spacing w:before="120"/>
              <w:rPr>
                <w:strike/>
                <w:szCs w:val="24"/>
              </w:rPr>
            </w:pPr>
            <w:r w:rsidRPr="000839A4">
              <w:rPr>
                <w:strike/>
                <w:szCs w:val="24"/>
              </w:rPr>
              <w:t xml:space="preserve">230379     </w:t>
            </w:r>
          </w:p>
        </w:tc>
        <w:tc>
          <w:tcPr>
            <w:tcW w:w="6232" w:type="dxa"/>
          </w:tcPr>
          <w:p w14:paraId="44DFD4F6" w14:textId="77777777" w:rsidR="000839A4" w:rsidRPr="000839A4" w:rsidRDefault="000839A4" w:rsidP="000839A4">
            <w:pPr>
              <w:spacing w:before="120"/>
              <w:rPr>
                <w:strike/>
                <w:szCs w:val="24"/>
              </w:rPr>
            </w:pPr>
            <w:r w:rsidRPr="000839A4">
              <w:rPr>
                <w:strike/>
                <w:szCs w:val="24"/>
              </w:rPr>
              <w:t>Podzemní stavby chemických podniků</w:t>
            </w:r>
          </w:p>
        </w:tc>
      </w:tr>
      <w:tr w:rsidR="000839A4" w:rsidRPr="000839A4" w14:paraId="06714B2D" w14:textId="77777777" w:rsidTr="000839A4">
        <w:tc>
          <w:tcPr>
            <w:tcW w:w="1271" w:type="dxa"/>
          </w:tcPr>
          <w:p w14:paraId="5CE8CDEA" w14:textId="77777777" w:rsidR="000839A4" w:rsidRPr="000839A4" w:rsidRDefault="000839A4" w:rsidP="000839A4">
            <w:pPr>
              <w:spacing w:before="120"/>
              <w:rPr>
                <w:strike/>
                <w:szCs w:val="24"/>
              </w:rPr>
            </w:pPr>
            <w:r w:rsidRPr="000839A4">
              <w:rPr>
                <w:strike/>
                <w:szCs w:val="24"/>
              </w:rPr>
              <w:t xml:space="preserve">(5-39)    </w:t>
            </w:r>
          </w:p>
          <w:p w14:paraId="6A307D18" w14:textId="77777777" w:rsidR="000839A4" w:rsidRPr="000839A4" w:rsidRDefault="000839A4" w:rsidP="000839A4">
            <w:pPr>
              <w:spacing w:before="120"/>
              <w:rPr>
                <w:strike/>
                <w:szCs w:val="24"/>
              </w:rPr>
            </w:pPr>
          </w:p>
        </w:tc>
        <w:tc>
          <w:tcPr>
            <w:tcW w:w="1559" w:type="dxa"/>
          </w:tcPr>
          <w:p w14:paraId="613C01EB" w14:textId="77777777" w:rsidR="000839A4" w:rsidRPr="000839A4" w:rsidRDefault="000839A4" w:rsidP="000839A4">
            <w:pPr>
              <w:spacing w:before="120"/>
              <w:rPr>
                <w:strike/>
                <w:szCs w:val="24"/>
              </w:rPr>
            </w:pPr>
            <w:r w:rsidRPr="000839A4">
              <w:rPr>
                <w:strike/>
                <w:szCs w:val="24"/>
              </w:rPr>
              <w:t>-</w:t>
            </w:r>
          </w:p>
        </w:tc>
        <w:tc>
          <w:tcPr>
            <w:tcW w:w="6232" w:type="dxa"/>
          </w:tcPr>
          <w:p w14:paraId="56228C68" w14:textId="77777777" w:rsidR="000839A4" w:rsidRPr="000839A4" w:rsidRDefault="000839A4" w:rsidP="000839A4">
            <w:pPr>
              <w:spacing w:before="120"/>
              <w:rPr>
                <w:strike/>
                <w:szCs w:val="24"/>
              </w:rPr>
            </w:pPr>
            <w:r w:rsidRPr="000839A4">
              <w:rPr>
                <w:strike/>
                <w:szCs w:val="24"/>
              </w:rPr>
              <w:t>Jednotky, pokud nejsou uvedeny v jiné položce této přílohy</w:t>
            </w:r>
          </w:p>
        </w:tc>
      </w:tr>
      <w:tr w:rsidR="000839A4" w:rsidRPr="000839A4" w14:paraId="7A97D45E" w14:textId="77777777" w:rsidTr="000839A4">
        <w:tc>
          <w:tcPr>
            <w:tcW w:w="9062" w:type="dxa"/>
            <w:gridSpan w:val="3"/>
          </w:tcPr>
          <w:p w14:paraId="435DA536" w14:textId="77777777" w:rsidR="000839A4" w:rsidRPr="000839A4" w:rsidRDefault="000839A4" w:rsidP="000839A4">
            <w:pPr>
              <w:spacing w:before="120"/>
              <w:rPr>
                <w:strike/>
                <w:szCs w:val="24"/>
              </w:rPr>
            </w:pPr>
            <w:r w:rsidRPr="000839A4">
              <w:rPr>
                <w:strike/>
                <w:szCs w:val="24"/>
              </w:rPr>
              <w:t xml:space="preserve">ODPISOVÁ </w:t>
            </w:r>
            <w:proofErr w:type="gramStart"/>
            <w:r w:rsidRPr="000839A4">
              <w:rPr>
                <w:strike/>
                <w:szCs w:val="24"/>
              </w:rPr>
              <w:t>SKUPINA 5 +++++), ++++++),+++++++)</w:t>
            </w:r>
            <w:proofErr w:type="gramEnd"/>
          </w:p>
        </w:tc>
      </w:tr>
      <w:tr w:rsidR="000839A4" w:rsidRPr="000839A4" w14:paraId="51FFEDC7" w14:textId="77777777" w:rsidTr="000839A4">
        <w:tc>
          <w:tcPr>
            <w:tcW w:w="1271" w:type="dxa"/>
          </w:tcPr>
          <w:p w14:paraId="2DBB0C7E" w14:textId="77777777" w:rsidR="000839A4" w:rsidRPr="000839A4" w:rsidRDefault="000839A4" w:rsidP="000839A4">
            <w:pPr>
              <w:spacing w:before="120"/>
              <w:rPr>
                <w:strike/>
                <w:szCs w:val="24"/>
              </w:rPr>
            </w:pPr>
            <w:r w:rsidRPr="000839A4">
              <w:rPr>
                <w:strike/>
                <w:szCs w:val="24"/>
              </w:rPr>
              <w:t>Položka +)</w:t>
            </w:r>
          </w:p>
        </w:tc>
        <w:tc>
          <w:tcPr>
            <w:tcW w:w="1559" w:type="dxa"/>
          </w:tcPr>
          <w:p w14:paraId="7BDAF870" w14:textId="77777777" w:rsidR="000839A4" w:rsidRPr="000839A4" w:rsidRDefault="000839A4" w:rsidP="000839A4">
            <w:pPr>
              <w:spacing w:before="120"/>
              <w:rPr>
                <w:strike/>
                <w:szCs w:val="24"/>
              </w:rPr>
            </w:pPr>
            <w:r w:rsidRPr="000839A4">
              <w:rPr>
                <w:strike/>
                <w:szCs w:val="24"/>
              </w:rPr>
              <w:t>CZ-CC +++)</w:t>
            </w:r>
          </w:p>
        </w:tc>
        <w:tc>
          <w:tcPr>
            <w:tcW w:w="6232" w:type="dxa"/>
          </w:tcPr>
          <w:p w14:paraId="1A79E982" w14:textId="77777777" w:rsidR="000839A4" w:rsidRPr="000839A4" w:rsidRDefault="000839A4" w:rsidP="000839A4">
            <w:pPr>
              <w:spacing w:before="120"/>
              <w:rPr>
                <w:strike/>
                <w:szCs w:val="24"/>
              </w:rPr>
            </w:pPr>
            <w:r w:rsidRPr="000839A4">
              <w:rPr>
                <w:strike/>
                <w:szCs w:val="24"/>
              </w:rPr>
              <w:t>Název ++++)</w:t>
            </w:r>
          </w:p>
        </w:tc>
      </w:tr>
      <w:tr w:rsidR="000839A4" w:rsidRPr="000839A4" w14:paraId="2A061617" w14:textId="77777777" w:rsidTr="000839A4">
        <w:tc>
          <w:tcPr>
            <w:tcW w:w="1271" w:type="dxa"/>
          </w:tcPr>
          <w:p w14:paraId="6251C50E" w14:textId="77777777" w:rsidR="000839A4" w:rsidRPr="000839A4" w:rsidRDefault="000839A4" w:rsidP="000839A4">
            <w:pPr>
              <w:spacing w:before="120"/>
              <w:rPr>
                <w:strike/>
                <w:szCs w:val="24"/>
              </w:rPr>
            </w:pPr>
            <w:r w:rsidRPr="000839A4">
              <w:rPr>
                <w:strike/>
                <w:szCs w:val="24"/>
              </w:rPr>
              <w:t xml:space="preserve">(6-1)     </w:t>
            </w:r>
          </w:p>
          <w:p w14:paraId="76019B26" w14:textId="77777777" w:rsidR="000839A4" w:rsidRPr="000839A4" w:rsidRDefault="000839A4" w:rsidP="000839A4">
            <w:pPr>
              <w:spacing w:before="120"/>
              <w:rPr>
                <w:strike/>
                <w:szCs w:val="24"/>
              </w:rPr>
            </w:pPr>
          </w:p>
        </w:tc>
        <w:tc>
          <w:tcPr>
            <w:tcW w:w="1559" w:type="dxa"/>
          </w:tcPr>
          <w:p w14:paraId="36AA04AE" w14:textId="77777777" w:rsidR="000839A4" w:rsidRPr="000839A4" w:rsidRDefault="000839A4" w:rsidP="000839A4">
            <w:pPr>
              <w:spacing w:before="120"/>
              <w:rPr>
                <w:strike/>
                <w:szCs w:val="24"/>
              </w:rPr>
            </w:pPr>
            <w:r w:rsidRPr="000839A4">
              <w:rPr>
                <w:strike/>
                <w:szCs w:val="24"/>
              </w:rPr>
              <w:t xml:space="preserve">121111     </w:t>
            </w:r>
          </w:p>
        </w:tc>
        <w:tc>
          <w:tcPr>
            <w:tcW w:w="6232" w:type="dxa"/>
          </w:tcPr>
          <w:p w14:paraId="33825510" w14:textId="77777777" w:rsidR="000839A4" w:rsidRPr="000839A4" w:rsidRDefault="000839A4" w:rsidP="000839A4">
            <w:pPr>
              <w:spacing w:before="120"/>
              <w:rPr>
                <w:strike/>
                <w:szCs w:val="24"/>
              </w:rPr>
            </w:pPr>
            <w:r w:rsidRPr="000839A4">
              <w:rPr>
                <w:strike/>
                <w:szCs w:val="24"/>
              </w:rPr>
              <w:t>Budovy hotelů a podobných ubytovacích zařízení</w:t>
            </w:r>
          </w:p>
        </w:tc>
      </w:tr>
      <w:tr w:rsidR="000839A4" w:rsidRPr="000839A4" w14:paraId="50418902" w14:textId="77777777" w:rsidTr="000839A4">
        <w:tc>
          <w:tcPr>
            <w:tcW w:w="1271" w:type="dxa"/>
          </w:tcPr>
          <w:p w14:paraId="468A2A93" w14:textId="77777777" w:rsidR="000839A4" w:rsidRPr="000839A4" w:rsidRDefault="000839A4" w:rsidP="000839A4">
            <w:pPr>
              <w:spacing w:before="120"/>
              <w:rPr>
                <w:strike/>
                <w:szCs w:val="24"/>
              </w:rPr>
            </w:pPr>
            <w:r w:rsidRPr="000839A4">
              <w:rPr>
                <w:strike/>
                <w:szCs w:val="24"/>
              </w:rPr>
              <w:t xml:space="preserve">(6-2)      </w:t>
            </w:r>
          </w:p>
        </w:tc>
        <w:tc>
          <w:tcPr>
            <w:tcW w:w="1559" w:type="dxa"/>
          </w:tcPr>
          <w:p w14:paraId="3D902869" w14:textId="77777777" w:rsidR="000839A4" w:rsidRPr="000839A4" w:rsidRDefault="000839A4" w:rsidP="000839A4">
            <w:pPr>
              <w:spacing w:before="120"/>
              <w:rPr>
                <w:strike/>
                <w:szCs w:val="24"/>
              </w:rPr>
            </w:pPr>
            <w:r w:rsidRPr="000839A4">
              <w:rPr>
                <w:strike/>
                <w:szCs w:val="24"/>
              </w:rPr>
              <w:t xml:space="preserve">122        </w:t>
            </w:r>
          </w:p>
        </w:tc>
        <w:tc>
          <w:tcPr>
            <w:tcW w:w="6232" w:type="dxa"/>
          </w:tcPr>
          <w:p w14:paraId="5E6B2A45" w14:textId="77777777" w:rsidR="000839A4" w:rsidRPr="000839A4" w:rsidRDefault="000839A4" w:rsidP="000839A4">
            <w:pPr>
              <w:spacing w:before="120"/>
              <w:rPr>
                <w:strike/>
                <w:szCs w:val="24"/>
              </w:rPr>
            </w:pPr>
            <w:r w:rsidRPr="000839A4">
              <w:rPr>
                <w:strike/>
                <w:szCs w:val="24"/>
              </w:rPr>
              <w:t>Budovy administrativní</w:t>
            </w:r>
          </w:p>
        </w:tc>
      </w:tr>
      <w:tr w:rsidR="000839A4" w:rsidRPr="000839A4" w14:paraId="29DCDABA" w14:textId="77777777" w:rsidTr="000839A4">
        <w:tc>
          <w:tcPr>
            <w:tcW w:w="1271" w:type="dxa"/>
          </w:tcPr>
          <w:p w14:paraId="7D31F9CC" w14:textId="77777777" w:rsidR="000839A4" w:rsidRPr="000839A4" w:rsidRDefault="000839A4" w:rsidP="000839A4">
            <w:pPr>
              <w:spacing w:before="120"/>
              <w:rPr>
                <w:strike/>
                <w:szCs w:val="24"/>
              </w:rPr>
            </w:pPr>
            <w:r w:rsidRPr="000839A4">
              <w:rPr>
                <w:strike/>
                <w:szCs w:val="24"/>
              </w:rPr>
              <w:t xml:space="preserve">(6-3)     </w:t>
            </w:r>
          </w:p>
          <w:p w14:paraId="014912C8" w14:textId="77777777" w:rsidR="000839A4" w:rsidRPr="000839A4" w:rsidRDefault="000839A4" w:rsidP="000839A4">
            <w:pPr>
              <w:spacing w:before="120"/>
              <w:rPr>
                <w:strike/>
                <w:szCs w:val="24"/>
              </w:rPr>
            </w:pPr>
          </w:p>
        </w:tc>
        <w:tc>
          <w:tcPr>
            <w:tcW w:w="1559" w:type="dxa"/>
          </w:tcPr>
          <w:p w14:paraId="6B6225F2" w14:textId="77777777" w:rsidR="000839A4" w:rsidRPr="000839A4" w:rsidRDefault="000839A4" w:rsidP="000839A4">
            <w:pPr>
              <w:spacing w:before="120"/>
              <w:rPr>
                <w:strike/>
                <w:szCs w:val="24"/>
              </w:rPr>
            </w:pPr>
            <w:r w:rsidRPr="000839A4">
              <w:rPr>
                <w:strike/>
                <w:szCs w:val="24"/>
              </w:rPr>
              <w:t xml:space="preserve">123011     </w:t>
            </w:r>
          </w:p>
        </w:tc>
        <w:tc>
          <w:tcPr>
            <w:tcW w:w="6232" w:type="dxa"/>
          </w:tcPr>
          <w:p w14:paraId="2F56A3F6" w14:textId="77777777" w:rsidR="000839A4" w:rsidRPr="000839A4" w:rsidRDefault="000839A4" w:rsidP="000839A4">
            <w:pPr>
              <w:spacing w:before="120"/>
              <w:rPr>
                <w:strike/>
                <w:szCs w:val="24"/>
              </w:rPr>
            </w:pPr>
            <w:r w:rsidRPr="000839A4">
              <w:rPr>
                <w:strike/>
                <w:szCs w:val="24"/>
              </w:rPr>
              <w:t>Budovy obchodních domů, pokud mají celkovou prodejní plochu větší než 2 000 m2</w:t>
            </w:r>
          </w:p>
        </w:tc>
      </w:tr>
      <w:tr w:rsidR="000839A4" w:rsidRPr="000839A4" w14:paraId="4F4F5F07" w14:textId="77777777" w:rsidTr="000839A4">
        <w:tc>
          <w:tcPr>
            <w:tcW w:w="1271" w:type="dxa"/>
          </w:tcPr>
          <w:p w14:paraId="18BFDA8E" w14:textId="77777777" w:rsidR="000839A4" w:rsidRPr="000839A4" w:rsidRDefault="000839A4" w:rsidP="000839A4">
            <w:pPr>
              <w:spacing w:before="120"/>
              <w:rPr>
                <w:strike/>
                <w:szCs w:val="24"/>
              </w:rPr>
            </w:pPr>
            <w:r w:rsidRPr="000839A4">
              <w:rPr>
                <w:strike/>
                <w:szCs w:val="24"/>
              </w:rPr>
              <w:t xml:space="preserve">(6-4)     </w:t>
            </w:r>
          </w:p>
        </w:tc>
        <w:tc>
          <w:tcPr>
            <w:tcW w:w="1559" w:type="dxa"/>
          </w:tcPr>
          <w:p w14:paraId="133029EB" w14:textId="77777777" w:rsidR="000839A4" w:rsidRPr="000839A4" w:rsidRDefault="000839A4" w:rsidP="000839A4">
            <w:pPr>
              <w:spacing w:before="120"/>
              <w:rPr>
                <w:strike/>
                <w:szCs w:val="24"/>
              </w:rPr>
            </w:pPr>
            <w:r w:rsidRPr="000839A4">
              <w:rPr>
                <w:strike/>
                <w:szCs w:val="24"/>
              </w:rPr>
              <w:t xml:space="preserve">123079     </w:t>
            </w:r>
          </w:p>
        </w:tc>
        <w:tc>
          <w:tcPr>
            <w:tcW w:w="6232" w:type="dxa"/>
          </w:tcPr>
          <w:p w14:paraId="39C4D5EB" w14:textId="77777777" w:rsidR="000839A4" w:rsidRPr="000839A4" w:rsidRDefault="000839A4" w:rsidP="000839A4">
            <w:pPr>
              <w:spacing w:before="120"/>
              <w:rPr>
                <w:strike/>
                <w:szCs w:val="24"/>
              </w:rPr>
            </w:pPr>
            <w:r w:rsidRPr="000839A4">
              <w:rPr>
                <w:strike/>
                <w:szCs w:val="24"/>
              </w:rPr>
              <w:t>Podzemní obchodní střediska</w:t>
            </w:r>
          </w:p>
        </w:tc>
      </w:tr>
      <w:tr w:rsidR="000839A4" w:rsidRPr="000839A4" w14:paraId="280CE853" w14:textId="77777777" w:rsidTr="000839A4">
        <w:tc>
          <w:tcPr>
            <w:tcW w:w="1271" w:type="dxa"/>
          </w:tcPr>
          <w:p w14:paraId="32FD7466" w14:textId="77777777" w:rsidR="000839A4" w:rsidRPr="000839A4" w:rsidRDefault="000839A4" w:rsidP="000839A4">
            <w:pPr>
              <w:spacing w:before="120"/>
              <w:rPr>
                <w:strike/>
                <w:szCs w:val="24"/>
              </w:rPr>
            </w:pPr>
            <w:r w:rsidRPr="000839A4">
              <w:rPr>
                <w:strike/>
                <w:szCs w:val="24"/>
              </w:rPr>
              <w:t xml:space="preserve">(6-5)      </w:t>
            </w:r>
          </w:p>
        </w:tc>
        <w:tc>
          <w:tcPr>
            <w:tcW w:w="1559" w:type="dxa"/>
          </w:tcPr>
          <w:p w14:paraId="40673343" w14:textId="77777777" w:rsidR="000839A4" w:rsidRPr="000839A4" w:rsidRDefault="000839A4" w:rsidP="000839A4">
            <w:pPr>
              <w:spacing w:before="120"/>
              <w:rPr>
                <w:strike/>
                <w:szCs w:val="24"/>
              </w:rPr>
            </w:pPr>
            <w:r w:rsidRPr="000839A4">
              <w:rPr>
                <w:strike/>
                <w:szCs w:val="24"/>
              </w:rPr>
              <w:t xml:space="preserve">1261       </w:t>
            </w:r>
          </w:p>
        </w:tc>
        <w:tc>
          <w:tcPr>
            <w:tcW w:w="6232" w:type="dxa"/>
          </w:tcPr>
          <w:p w14:paraId="522672BF" w14:textId="77777777" w:rsidR="000839A4" w:rsidRPr="000839A4" w:rsidRDefault="000839A4" w:rsidP="000839A4">
            <w:pPr>
              <w:spacing w:before="120"/>
              <w:rPr>
                <w:strike/>
                <w:szCs w:val="24"/>
              </w:rPr>
            </w:pPr>
            <w:r w:rsidRPr="000839A4">
              <w:rPr>
                <w:strike/>
                <w:szCs w:val="24"/>
              </w:rPr>
              <w:t>Budovy pro společenské a kulturní účely</w:t>
            </w:r>
          </w:p>
        </w:tc>
      </w:tr>
      <w:tr w:rsidR="000839A4" w:rsidRPr="000839A4" w14:paraId="393F5C24" w14:textId="77777777" w:rsidTr="000839A4">
        <w:tc>
          <w:tcPr>
            <w:tcW w:w="1271" w:type="dxa"/>
          </w:tcPr>
          <w:p w14:paraId="123970F3" w14:textId="77777777" w:rsidR="000839A4" w:rsidRPr="000839A4" w:rsidRDefault="000839A4" w:rsidP="000839A4">
            <w:pPr>
              <w:spacing w:before="120"/>
              <w:rPr>
                <w:strike/>
                <w:szCs w:val="24"/>
              </w:rPr>
            </w:pPr>
            <w:r w:rsidRPr="000839A4">
              <w:rPr>
                <w:strike/>
                <w:szCs w:val="24"/>
              </w:rPr>
              <w:t xml:space="preserve">(6-6)      </w:t>
            </w:r>
          </w:p>
        </w:tc>
        <w:tc>
          <w:tcPr>
            <w:tcW w:w="1559" w:type="dxa"/>
          </w:tcPr>
          <w:p w14:paraId="40AEE7FA" w14:textId="77777777" w:rsidR="000839A4" w:rsidRPr="000839A4" w:rsidRDefault="000839A4" w:rsidP="000839A4">
            <w:pPr>
              <w:spacing w:before="120"/>
              <w:rPr>
                <w:strike/>
                <w:szCs w:val="24"/>
              </w:rPr>
            </w:pPr>
            <w:r w:rsidRPr="000839A4">
              <w:rPr>
                <w:strike/>
                <w:szCs w:val="24"/>
              </w:rPr>
              <w:t xml:space="preserve">1262       </w:t>
            </w:r>
          </w:p>
        </w:tc>
        <w:tc>
          <w:tcPr>
            <w:tcW w:w="6232" w:type="dxa"/>
          </w:tcPr>
          <w:p w14:paraId="11064986" w14:textId="77777777" w:rsidR="000839A4" w:rsidRPr="000839A4" w:rsidRDefault="000839A4" w:rsidP="000839A4">
            <w:pPr>
              <w:spacing w:before="120"/>
              <w:rPr>
                <w:strike/>
                <w:szCs w:val="24"/>
              </w:rPr>
            </w:pPr>
            <w:r w:rsidRPr="000839A4">
              <w:rPr>
                <w:strike/>
                <w:szCs w:val="24"/>
              </w:rPr>
              <w:t>Muzea a knihovny</w:t>
            </w:r>
          </w:p>
        </w:tc>
      </w:tr>
      <w:tr w:rsidR="000839A4" w:rsidRPr="000839A4" w14:paraId="7BB5A626" w14:textId="77777777" w:rsidTr="000839A4">
        <w:tc>
          <w:tcPr>
            <w:tcW w:w="1271" w:type="dxa"/>
          </w:tcPr>
          <w:p w14:paraId="4EBEAF56" w14:textId="77777777" w:rsidR="000839A4" w:rsidRPr="000839A4" w:rsidRDefault="000839A4" w:rsidP="000839A4">
            <w:pPr>
              <w:spacing w:before="120"/>
              <w:rPr>
                <w:strike/>
                <w:szCs w:val="24"/>
              </w:rPr>
            </w:pPr>
            <w:r w:rsidRPr="000839A4">
              <w:rPr>
                <w:strike/>
                <w:szCs w:val="24"/>
              </w:rPr>
              <w:t xml:space="preserve">(6-7)      </w:t>
            </w:r>
          </w:p>
        </w:tc>
        <w:tc>
          <w:tcPr>
            <w:tcW w:w="1559" w:type="dxa"/>
          </w:tcPr>
          <w:p w14:paraId="0459636B" w14:textId="77777777" w:rsidR="000839A4" w:rsidRPr="000839A4" w:rsidRDefault="000839A4" w:rsidP="000839A4">
            <w:pPr>
              <w:spacing w:before="120"/>
              <w:rPr>
                <w:strike/>
                <w:szCs w:val="24"/>
              </w:rPr>
            </w:pPr>
            <w:r w:rsidRPr="000839A4">
              <w:rPr>
                <w:strike/>
                <w:szCs w:val="24"/>
              </w:rPr>
              <w:t xml:space="preserve">1272       </w:t>
            </w:r>
          </w:p>
        </w:tc>
        <w:tc>
          <w:tcPr>
            <w:tcW w:w="6232" w:type="dxa"/>
          </w:tcPr>
          <w:p w14:paraId="7447A5EF" w14:textId="77777777" w:rsidR="000839A4" w:rsidRPr="000839A4" w:rsidRDefault="000839A4" w:rsidP="000839A4">
            <w:pPr>
              <w:spacing w:before="120"/>
              <w:rPr>
                <w:strike/>
                <w:szCs w:val="24"/>
              </w:rPr>
            </w:pPr>
            <w:r w:rsidRPr="000839A4">
              <w:rPr>
                <w:strike/>
                <w:szCs w:val="24"/>
              </w:rPr>
              <w:t>Budovy pro bohoslužby a náboženské aktivity</w:t>
            </w:r>
          </w:p>
        </w:tc>
      </w:tr>
      <w:tr w:rsidR="000839A4" w:rsidRPr="000839A4" w14:paraId="7D02633D" w14:textId="77777777" w:rsidTr="000839A4">
        <w:tc>
          <w:tcPr>
            <w:tcW w:w="1271" w:type="dxa"/>
          </w:tcPr>
          <w:p w14:paraId="02B40867" w14:textId="77777777" w:rsidR="000839A4" w:rsidRPr="000839A4" w:rsidRDefault="000839A4" w:rsidP="000839A4">
            <w:pPr>
              <w:spacing w:before="120"/>
              <w:rPr>
                <w:strike/>
                <w:szCs w:val="24"/>
              </w:rPr>
            </w:pPr>
            <w:r w:rsidRPr="000839A4">
              <w:rPr>
                <w:strike/>
                <w:szCs w:val="24"/>
              </w:rPr>
              <w:t xml:space="preserve">(6-8)     </w:t>
            </w:r>
          </w:p>
        </w:tc>
        <w:tc>
          <w:tcPr>
            <w:tcW w:w="1559" w:type="dxa"/>
          </w:tcPr>
          <w:p w14:paraId="4FB30FFD" w14:textId="77777777" w:rsidR="000839A4" w:rsidRPr="000839A4" w:rsidRDefault="000839A4" w:rsidP="000839A4">
            <w:pPr>
              <w:spacing w:before="120"/>
              <w:rPr>
                <w:strike/>
                <w:szCs w:val="24"/>
              </w:rPr>
            </w:pPr>
            <w:r w:rsidRPr="000839A4">
              <w:rPr>
                <w:strike/>
                <w:szCs w:val="24"/>
              </w:rPr>
              <w:t xml:space="preserve">1273       </w:t>
            </w:r>
          </w:p>
        </w:tc>
        <w:tc>
          <w:tcPr>
            <w:tcW w:w="6232" w:type="dxa"/>
          </w:tcPr>
          <w:p w14:paraId="23793C13" w14:textId="77777777" w:rsidR="000839A4" w:rsidRPr="000839A4" w:rsidRDefault="000839A4" w:rsidP="000839A4">
            <w:pPr>
              <w:spacing w:before="120"/>
              <w:rPr>
                <w:strike/>
                <w:szCs w:val="24"/>
              </w:rPr>
            </w:pPr>
            <w:r w:rsidRPr="000839A4">
              <w:rPr>
                <w:strike/>
                <w:szCs w:val="24"/>
              </w:rPr>
              <w:t>Historické nebo kulturní památky</w:t>
            </w:r>
          </w:p>
        </w:tc>
      </w:tr>
      <w:tr w:rsidR="000839A4" w:rsidRPr="000839A4" w14:paraId="09954F73" w14:textId="77777777" w:rsidTr="000839A4">
        <w:tc>
          <w:tcPr>
            <w:tcW w:w="1271" w:type="dxa"/>
          </w:tcPr>
          <w:p w14:paraId="5FA62028" w14:textId="77777777" w:rsidR="000839A4" w:rsidRPr="000839A4" w:rsidRDefault="000839A4" w:rsidP="000839A4">
            <w:pPr>
              <w:spacing w:before="120"/>
              <w:rPr>
                <w:strike/>
                <w:szCs w:val="24"/>
              </w:rPr>
            </w:pPr>
            <w:r w:rsidRPr="000839A4">
              <w:rPr>
                <w:strike/>
                <w:szCs w:val="24"/>
              </w:rPr>
              <w:t xml:space="preserve">(6-9)    </w:t>
            </w:r>
          </w:p>
          <w:p w14:paraId="032C8842" w14:textId="77777777" w:rsidR="000839A4" w:rsidRPr="000839A4" w:rsidRDefault="000839A4" w:rsidP="000839A4">
            <w:pPr>
              <w:spacing w:before="120"/>
              <w:rPr>
                <w:strike/>
                <w:szCs w:val="24"/>
              </w:rPr>
            </w:pPr>
          </w:p>
        </w:tc>
        <w:tc>
          <w:tcPr>
            <w:tcW w:w="1559" w:type="dxa"/>
          </w:tcPr>
          <w:p w14:paraId="5E740AC4" w14:textId="77777777" w:rsidR="000839A4" w:rsidRPr="000839A4" w:rsidRDefault="000839A4" w:rsidP="000839A4">
            <w:pPr>
              <w:spacing w:before="120"/>
              <w:rPr>
                <w:strike/>
                <w:szCs w:val="24"/>
              </w:rPr>
            </w:pPr>
            <w:r w:rsidRPr="000839A4">
              <w:rPr>
                <w:strike/>
                <w:szCs w:val="24"/>
              </w:rPr>
              <w:t>-</w:t>
            </w:r>
          </w:p>
        </w:tc>
        <w:tc>
          <w:tcPr>
            <w:tcW w:w="6232" w:type="dxa"/>
          </w:tcPr>
          <w:p w14:paraId="24CDE34A" w14:textId="77777777" w:rsidR="000839A4" w:rsidRPr="000839A4" w:rsidRDefault="000839A4" w:rsidP="000839A4">
            <w:pPr>
              <w:spacing w:before="120"/>
              <w:rPr>
                <w:strike/>
                <w:szCs w:val="24"/>
              </w:rPr>
            </w:pPr>
            <w:r w:rsidRPr="000839A4">
              <w:rPr>
                <w:strike/>
                <w:szCs w:val="24"/>
              </w:rPr>
              <w:t>Jednotky, které zahrnují nebytový prostor, v domech, budovách a stavbách uvedených v ostatních položkách této odpisové skupiny této přílohy</w:t>
            </w:r>
          </w:p>
        </w:tc>
      </w:tr>
    </w:tbl>
    <w:p w14:paraId="40159FC8" w14:textId="77777777" w:rsidR="000839A4" w:rsidRPr="000839A4" w:rsidRDefault="000839A4" w:rsidP="000839A4">
      <w:pPr>
        <w:spacing w:before="0"/>
        <w:ind w:firstLine="0"/>
        <w:rPr>
          <w:strike/>
          <w:noProof/>
          <w:szCs w:val="24"/>
        </w:rPr>
      </w:pPr>
      <w:r w:rsidRPr="000839A4">
        <w:rPr>
          <w:strike/>
          <w:noProof/>
          <w:szCs w:val="24"/>
        </w:rPr>
        <w:t>Vysvětlivky:</w:t>
      </w:r>
    </w:p>
    <w:p w14:paraId="189F8D8E" w14:textId="77777777" w:rsidR="000839A4" w:rsidRPr="000839A4" w:rsidRDefault="000839A4" w:rsidP="000839A4">
      <w:pPr>
        <w:spacing w:before="0"/>
        <w:ind w:firstLine="0"/>
        <w:rPr>
          <w:strike/>
          <w:noProof/>
          <w:szCs w:val="24"/>
        </w:rPr>
      </w:pPr>
      <w:r w:rsidRPr="000839A4">
        <w:rPr>
          <w:strike/>
          <w:noProof/>
          <w:szCs w:val="24"/>
        </w:rPr>
        <w:t xml:space="preserve">+) Položka = kód odpisové skupiny (1 až 6) a pořadové číslo. </w:t>
      </w:r>
    </w:p>
    <w:p w14:paraId="3C064885" w14:textId="77777777" w:rsidR="000839A4" w:rsidRPr="000839A4" w:rsidRDefault="000839A4" w:rsidP="000839A4">
      <w:pPr>
        <w:spacing w:before="0"/>
        <w:ind w:firstLine="0"/>
        <w:rPr>
          <w:strike/>
          <w:noProof/>
          <w:szCs w:val="24"/>
        </w:rPr>
      </w:pPr>
      <w:r w:rsidRPr="000839A4">
        <w:rPr>
          <w:strike/>
          <w:noProof/>
          <w:szCs w:val="24"/>
        </w:rPr>
        <w:t xml:space="preserve">++) CZ-CPA = kód „Klasifikace produkce (CZ-CPA)“ zavedené sdělením Českého statistického úřadu č. 275/2008 Sb., o zavedení Klasifikace produkce (CZ-CPA). Pro konkrétní obsahové vymezení náplně položky odpisové skupiny, je-li dále uvedený „Název“ s ohledem na stručnost textace definován jinak, je rozhodující stanovená položka CZ-CPA. </w:t>
      </w:r>
    </w:p>
    <w:p w14:paraId="5818D82D" w14:textId="77777777" w:rsidR="000839A4" w:rsidRPr="000839A4" w:rsidRDefault="000839A4" w:rsidP="000839A4">
      <w:pPr>
        <w:spacing w:before="0"/>
        <w:ind w:firstLine="0"/>
        <w:rPr>
          <w:strike/>
          <w:noProof/>
          <w:szCs w:val="24"/>
        </w:rPr>
      </w:pPr>
      <w:r w:rsidRPr="000839A4">
        <w:rPr>
          <w:strike/>
          <w:noProof/>
          <w:szCs w:val="24"/>
        </w:rPr>
        <w:t xml:space="preserve">+++) CZ-CC = kód „Klasifikace stavebních děl (CZ- -CC)“ zavedené sdělením Českého statistického úřadu č. 321/2003 Sb., o zavedení Klasifikace stavebních děl CZ-CC. </w:t>
      </w:r>
    </w:p>
    <w:p w14:paraId="4C2A2996" w14:textId="77777777" w:rsidR="000839A4" w:rsidRPr="000839A4" w:rsidRDefault="000839A4" w:rsidP="000839A4">
      <w:pPr>
        <w:spacing w:before="0"/>
        <w:ind w:firstLine="0"/>
        <w:rPr>
          <w:strike/>
          <w:noProof/>
          <w:szCs w:val="24"/>
        </w:rPr>
      </w:pPr>
      <w:r w:rsidRPr="000839A4">
        <w:rPr>
          <w:strike/>
          <w:noProof/>
          <w:szCs w:val="24"/>
        </w:rPr>
        <w:t xml:space="preserve">++++) Název = Stručné označení majetku upřesněné pro účely hmotného majetku (např. vypuštění slov "díly", "instalace", "opravy a údržba") s převážným použitím textace klasifikace CZ-CPA a CZ-CC. Název položky přílohy č. 1 může vymezovat i užší množinu majetku proti textovému označení kódu Klasifikace produkce, například vymezení rozsahu majetku v názvu položky výčtem uvozeným slovem "Jen:". </w:t>
      </w:r>
    </w:p>
    <w:p w14:paraId="088A4746" w14:textId="77777777" w:rsidR="000839A4" w:rsidRPr="000839A4" w:rsidRDefault="000839A4" w:rsidP="000839A4">
      <w:pPr>
        <w:spacing w:before="0"/>
        <w:ind w:firstLine="0"/>
        <w:rPr>
          <w:strike/>
          <w:noProof/>
          <w:szCs w:val="24"/>
        </w:rPr>
      </w:pPr>
      <w:r w:rsidRPr="000839A4">
        <w:rPr>
          <w:strike/>
          <w:noProof/>
          <w:szCs w:val="24"/>
        </w:rPr>
        <w:t xml:space="preserve">+++++) Nedílnou součástí domů, budov a staveb (stavebních děl) jsou zařízení a předměty, které z hlediska stavebního díla umožňují jeho funkci a účel, ke kterému je určeno. Takováto zařízení a předměty musí být se stavebním dílem pevně spojena a nelze je demontovat, aniž by došlo ke znehodnocení funkce a účelu stavebního díla, a jsou zpravidla součástí celkové dodávky stavebního díla. </w:t>
      </w:r>
    </w:p>
    <w:p w14:paraId="3BDCEB7F" w14:textId="77777777" w:rsidR="000839A4" w:rsidRPr="000839A4" w:rsidRDefault="000839A4" w:rsidP="000839A4">
      <w:pPr>
        <w:spacing w:before="0"/>
        <w:ind w:firstLine="0"/>
        <w:rPr>
          <w:strike/>
          <w:noProof/>
          <w:szCs w:val="24"/>
        </w:rPr>
      </w:pPr>
      <w:r w:rsidRPr="000839A4">
        <w:rPr>
          <w:strike/>
          <w:noProof/>
          <w:szCs w:val="24"/>
        </w:rPr>
        <w:t xml:space="preserve">++++++) Oplocení a vnější osvětlovací sítě budov a staveb jsou odpisovány samostatně v odpisové skupině 4. </w:t>
      </w:r>
    </w:p>
    <w:p w14:paraId="25434147" w14:textId="77777777" w:rsidR="000839A4" w:rsidRPr="000839A4" w:rsidRDefault="000839A4" w:rsidP="000839A4">
      <w:pPr>
        <w:spacing w:before="0"/>
        <w:ind w:firstLine="0"/>
        <w:rPr>
          <w:strike/>
          <w:noProof/>
          <w:szCs w:val="24"/>
        </w:rPr>
      </w:pPr>
      <w:r w:rsidRPr="000839A4">
        <w:rPr>
          <w:strike/>
          <w:noProof/>
          <w:szCs w:val="24"/>
        </w:rPr>
        <w:t>+++++++) Nevztahuje se na budovy a stavby ze dřeva a plastů uvedené v odpisové skupině 4.</w:t>
      </w:r>
    </w:p>
    <w:p w14:paraId="543ACABA" w14:textId="77777777" w:rsidR="000839A4" w:rsidRPr="000839A4" w:rsidRDefault="000839A4" w:rsidP="000839A4">
      <w:pPr>
        <w:spacing w:before="120"/>
        <w:ind w:firstLine="482"/>
        <w:jc w:val="right"/>
        <w:rPr>
          <w:strike/>
          <w:szCs w:val="24"/>
        </w:rPr>
      </w:pPr>
      <w:r w:rsidRPr="000839A4">
        <w:rPr>
          <w:strike/>
          <w:szCs w:val="24"/>
        </w:rPr>
        <w:lastRenderedPageBreak/>
        <w:t>Příloha č. 2 k zákonu č. 586/1992 Sb.</w:t>
      </w:r>
    </w:p>
    <w:p w14:paraId="6E80114B" w14:textId="77777777" w:rsidR="000839A4" w:rsidRPr="000839A4" w:rsidRDefault="000839A4" w:rsidP="000839A4">
      <w:pPr>
        <w:spacing w:before="120"/>
        <w:ind w:firstLine="482"/>
        <w:jc w:val="center"/>
        <w:rPr>
          <w:b/>
          <w:bCs/>
          <w:strike/>
          <w:szCs w:val="24"/>
        </w:rPr>
      </w:pPr>
      <w:r w:rsidRPr="000839A4">
        <w:rPr>
          <w:b/>
          <w:bCs/>
          <w:strike/>
          <w:szCs w:val="24"/>
        </w:rPr>
        <w:t>Postup při přechodu z vedení účetnictví na daňovou evidenci z hlediska daně z příjmů fyzických osob</w:t>
      </w:r>
    </w:p>
    <w:p w14:paraId="42244E47" w14:textId="77777777" w:rsidR="000839A4" w:rsidRPr="000839A4" w:rsidRDefault="000839A4" w:rsidP="000839A4">
      <w:pPr>
        <w:spacing w:before="120" w:after="120"/>
        <w:rPr>
          <w:strike/>
          <w:szCs w:val="24"/>
        </w:rPr>
      </w:pPr>
      <w:r w:rsidRPr="000839A4">
        <w:rPr>
          <w:strike/>
          <w:szCs w:val="24"/>
        </w:rPr>
        <w:t>Při přechodu z vedení účetnictví na daňovou evidenci, je v návaznosti na zvláštní právní předpisy</w:t>
      </w:r>
      <w:r w:rsidRPr="000839A4">
        <w:rPr>
          <w:strike/>
          <w:szCs w:val="24"/>
          <w:vertAlign w:val="superscript"/>
        </w:rPr>
        <w:t>20)</w:t>
      </w:r>
      <w:r w:rsidRPr="000839A4">
        <w:rPr>
          <w:strike/>
          <w:szCs w:val="24"/>
        </w:rPr>
        <w:t xml:space="preserve"> postup pro účely zákona tento: </w:t>
      </w:r>
    </w:p>
    <w:p w14:paraId="05DBC028" w14:textId="77777777" w:rsidR="000839A4" w:rsidRPr="000839A4" w:rsidRDefault="000839A4" w:rsidP="000839A4">
      <w:pPr>
        <w:spacing w:before="120"/>
        <w:ind w:left="425" w:hanging="425"/>
        <w:rPr>
          <w:strike/>
          <w:szCs w:val="24"/>
        </w:rPr>
      </w:pPr>
      <w:r w:rsidRPr="000839A4">
        <w:rPr>
          <w:strike/>
          <w:szCs w:val="24"/>
        </w:rPr>
        <w:t xml:space="preserve">1. </w:t>
      </w:r>
      <w:r w:rsidRPr="000839A4">
        <w:rPr>
          <w:strike/>
          <w:szCs w:val="24"/>
        </w:rPr>
        <w:tab/>
        <w:t xml:space="preserve">Pohledávky a dluhy za kalendářní (hospodářský) rok, v němž poplatník vedl účetnictví, se vyloučí ze základu daně kalendářního roku, ve kterém poplatník zahájí vedení daňové evidence </w:t>
      </w:r>
    </w:p>
    <w:p w14:paraId="5A676126" w14:textId="77777777" w:rsidR="000839A4" w:rsidRPr="000839A4" w:rsidRDefault="000839A4" w:rsidP="000839A4">
      <w:pPr>
        <w:spacing w:before="120"/>
        <w:ind w:firstLine="482"/>
        <w:rPr>
          <w:strike/>
          <w:szCs w:val="24"/>
        </w:rPr>
      </w:pPr>
      <w:r w:rsidRPr="000839A4">
        <w:rPr>
          <w:strike/>
          <w:szCs w:val="24"/>
        </w:rPr>
        <w:t xml:space="preserve">a) dluhy zvýší základ daně, </w:t>
      </w:r>
    </w:p>
    <w:p w14:paraId="4B06C57F" w14:textId="77777777" w:rsidR="000839A4" w:rsidRPr="000839A4" w:rsidRDefault="000839A4" w:rsidP="000839A4">
      <w:pPr>
        <w:spacing w:before="120"/>
        <w:ind w:firstLine="482"/>
        <w:rPr>
          <w:strike/>
          <w:szCs w:val="24"/>
        </w:rPr>
      </w:pPr>
      <w:r w:rsidRPr="000839A4">
        <w:rPr>
          <w:strike/>
          <w:szCs w:val="24"/>
        </w:rPr>
        <w:t xml:space="preserve">b) pohledávky sníží základ daně. </w:t>
      </w:r>
    </w:p>
    <w:p w14:paraId="5DD3790B" w14:textId="77777777" w:rsidR="000839A4" w:rsidRPr="000839A4" w:rsidRDefault="000839A4" w:rsidP="000839A4">
      <w:pPr>
        <w:spacing w:before="120" w:after="120"/>
        <w:rPr>
          <w:strike/>
          <w:szCs w:val="24"/>
        </w:rPr>
      </w:pPr>
      <w:r w:rsidRPr="000839A4">
        <w:rPr>
          <w:strike/>
          <w:szCs w:val="24"/>
        </w:rPr>
        <w:t xml:space="preserve">Tento postup se nevztahuje na příjmy, které jsou od daně osvobozeny nebo se nezahrnují do základu daně nebo nejsou předmětem daně, a na výdaje, které nejsou výdaji na dosažení, zajištění a udržení příjmů.  </w:t>
      </w:r>
    </w:p>
    <w:p w14:paraId="14D78805" w14:textId="77777777" w:rsidR="000839A4" w:rsidRPr="000839A4" w:rsidRDefault="000839A4" w:rsidP="000839A4">
      <w:pPr>
        <w:spacing w:before="120"/>
        <w:ind w:left="425" w:hanging="425"/>
        <w:rPr>
          <w:strike/>
          <w:szCs w:val="24"/>
        </w:rPr>
      </w:pPr>
      <w:r w:rsidRPr="000839A4">
        <w:rPr>
          <w:strike/>
          <w:szCs w:val="24"/>
        </w:rPr>
        <w:t>2.</w:t>
      </w:r>
      <w:r w:rsidRPr="000839A4">
        <w:rPr>
          <w:strike/>
          <w:szCs w:val="24"/>
        </w:rPr>
        <w:tab/>
        <w:t xml:space="preserve">Stav zásob a cenin za kalendářní (hospodářský) rok, ve kterém poplatník vedl účetnictví, sníží základ daně z příjmů v kalendářním roce, ve kterém poplatník zahájí vedení daňové evidence. </w:t>
      </w:r>
    </w:p>
    <w:p w14:paraId="2B89E64F" w14:textId="77777777" w:rsidR="000839A4" w:rsidRPr="000839A4" w:rsidRDefault="000839A4" w:rsidP="000839A4">
      <w:pPr>
        <w:spacing w:before="120"/>
        <w:ind w:left="425" w:hanging="425"/>
        <w:rPr>
          <w:strike/>
          <w:szCs w:val="24"/>
        </w:rPr>
      </w:pPr>
      <w:r w:rsidRPr="000839A4">
        <w:rPr>
          <w:strike/>
          <w:szCs w:val="24"/>
        </w:rPr>
        <w:t xml:space="preserve">3. </w:t>
      </w:r>
      <w:r w:rsidRPr="000839A4">
        <w:rPr>
          <w:strike/>
          <w:szCs w:val="24"/>
        </w:rPr>
        <w:tab/>
        <w:t>Zůstatky účtů časového rozlišení v aktivech rozvahy a poskytnuté zálohy, s výjimkou úplaty u finančního leasingu a s výjimkou záloh na pořízení hmotného majetku vymezeného v § 26, základ daně v kalendářním roce, ve kterém poplatník zahájí vedení daňové evidence, sníží. Zůstatky účtů časového rozlišení v pasivech rozvahy a přijaté zálohy základ daně v kalendářním roce, ve kterém poplatník zahájí vedení daňové evidence, zvýší. Zůstatky účtů opravných položek k pohledávkám, vytvořeným podle zákona o rezervách</w:t>
      </w:r>
      <w:r w:rsidRPr="000839A4">
        <w:rPr>
          <w:strike/>
          <w:szCs w:val="24"/>
          <w:vertAlign w:val="superscript"/>
        </w:rPr>
        <w:t>22a)</w:t>
      </w:r>
      <w:r w:rsidRPr="000839A4">
        <w:rPr>
          <w:strike/>
          <w:szCs w:val="24"/>
        </w:rPr>
        <w:t xml:space="preserve"> základ daně v kalendářním roce, ve kterém poplatník zahájí vedení daňové evidence, zvýší. Zůstatky dohadných účtů pasivních základ daně v kalendářním roce, ve kterém poplatník zahájí vedení daňové evidence, zvýší. Zůstatky dohadných účtů aktivních základ daně v kalendářním roce, ve kterém poplatník zahájí vedení daňové evidence, sníží. </w:t>
      </w:r>
    </w:p>
    <w:p w14:paraId="64552AE8" w14:textId="77777777" w:rsidR="000839A4" w:rsidRPr="000839A4" w:rsidRDefault="000839A4" w:rsidP="000839A4">
      <w:pPr>
        <w:spacing w:before="120"/>
        <w:ind w:left="425" w:hanging="425"/>
        <w:rPr>
          <w:strike/>
          <w:szCs w:val="24"/>
        </w:rPr>
      </w:pPr>
      <w:r w:rsidRPr="000839A4">
        <w:rPr>
          <w:strike/>
          <w:szCs w:val="24"/>
        </w:rPr>
        <w:t xml:space="preserve">4. </w:t>
      </w:r>
      <w:r w:rsidRPr="000839A4">
        <w:rPr>
          <w:strike/>
          <w:szCs w:val="24"/>
        </w:rPr>
        <w:tab/>
        <w:t xml:space="preserve">Obdobně se postupuje při přechodu z vedení účetnictví na evidenci příjmů a výdajů na straně poplatníků s příjmy z nájmu podle § 9. </w:t>
      </w:r>
    </w:p>
    <w:p w14:paraId="325BE7B0" w14:textId="77777777" w:rsidR="000839A4" w:rsidRPr="000839A4" w:rsidRDefault="000839A4" w:rsidP="000839A4">
      <w:pPr>
        <w:spacing w:before="120"/>
        <w:ind w:firstLine="482"/>
        <w:rPr>
          <w:strike/>
          <w:szCs w:val="24"/>
        </w:rPr>
      </w:pPr>
      <w:r w:rsidRPr="000839A4">
        <w:rPr>
          <w:strike/>
          <w:szCs w:val="24"/>
        </w:rPr>
        <w:t xml:space="preserve"> </w:t>
      </w:r>
    </w:p>
    <w:p w14:paraId="0AD429E0" w14:textId="77777777" w:rsidR="000839A4" w:rsidRPr="000839A4" w:rsidRDefault="000839A4" w:rsidP="000839A4">
      <w:pPr>
        <w:spacing w:before="0"/>
        <w:ind w:firstLine="0"/>
        <w:jc w:val="left"/>
        <w:rPr>
          <w:strike/>
          <w:szCs w:val="24"/>
        </w:rPr>
      </w:pPr>
      <w:r w:rsidRPr="000839A4">
        <w:rPr>
          <w:strike/>
          <w:szCs w:val="24"/>
        </w:rPr>
        <w:br w:type="page"/>
      </w:r>
    </w:p>
    <w:p w14:paraId="08572F2D" w14:textId="77777777" w:rsidR="000839A4" w:rsidRPr="000839A4" w:rsidRDefault="000839A4" w:rsidP="000839A4">
      <w:pPr>
        <w:spacing w:before="120"/>
        <w:ind w:firstLine="482"/>
        <w:jc w:val="right"/>
        <w:rPr>
          <w:strike/>
          <w:szCs w:val="24"/>
        </w:rPr>
      </w:pPr>
      <w:r w:rsidRPr="000839A4">
        <w:rPr>
          <w:strike/>
          <w:szCs w:val="24"/>
        </w:rPr>
        <w:lastRenderedPageBreak/>
        <w:t>Příloha č. 3 k zákonu č. 586/1992 Sb.</w:t>
      </w:r>
    </w:p>
    <w:p w14:paraId="13B978B0" w14:textId="77777777" w:rsidR="000839A4" w:rsidRPr="000839A4" w:rsidRDefault="000839A4" w:rsidP="000839A4">
      <w:pPr>
        <w:spacing w:before="120"/>
        <w:ind w:firstLine="482"/>
        <w:jc w:val="center"/>
        <w:rPr>
          <w:b/>
          <w:bCs/>
          <w:strike/>
          <w:szCs w:val="24"/>
        </w:rPr>
      </w:pPr>
      <w:r w:rsidRPr="000839A4">
        <w:rPr>
          <w:b/>
          <w:bCs/>
          <w:strike/>
          <w:szCs w:val="24"/>
        </w:rPr>
        <w:t>Postup při přechodu z daňové evidence na vedení účetnictví z hlediska daně z příjmů fyzických osob</w:t>
      </w:r>
    </w:p>
    <w:p w14:paraId="4D57B946" w14:textId="77777777" w:rsidR="000839A4" w:rsidRPr="000839A4" w:rsidRDefault="000839A4" w:rsidP="000839A4">
      <w:pPr>
        <w:spacing w:before="120"/>
        <w:rPr>
          <w:strike/>
          <w:szCs w:val="24"/>
        </w:rPr>
      </w:pPr>
      <w:r w:rsidRPr="000839A4">
        <w:rPr>
          <w:strike/>
          <w:szCs w:val="24"/>
        </w:rPr>
        <w:t>Při přechodu z daňové evidence na vedení účetnictví, je v návaznosti na zvláštní právní předpisy</w:t>
      </w:r>
      <w:r w:rsidRPr="000839A4">
        <w:rPr>
          <w:strike/>
          <w:szCs w:val="24"/>
          <w:vertAlign w:val="superscript"/>
        </w:rPr>
        <w:t>20)</w:t>
      </w:r>
      <w:r w:rsidRPr="000839A4">
        <w:rPr>
          <w:strike/>
          <w:szCs w:val="24"/>
        </w:rPr>
        <w:t xml:space="preserve"> postup pro účely tohoto zákona tento: </w:t>
      </w:r>
    </w:p>
    <w:p w14:paraId="396B9B41" w14:textId="77777777" w:rsidR="000839A4" w:rsidRPr="000839A4" w:rsidRDefault="000839A4" w:rsidP="000839A4">
      <w:pPr>
        <w:spacing w:before="120"/>
        <w:ind w:left="425" w:hanging="425"/>
        <w:rPr>
          <w:strike/>
          <w:szCs w:val="24"/>
        </w:rPr>
      </w:pPr>
      <w:r w:rsidRPr="000839A4">
        <w:rPr>
          <w:strike/>
          <w:szCs w:val="24"/>
        </w:rPr>
        <w:t xml:space="preserve">1. </w:t>
      </w:r>
      <w:r w:rsidRPr="000839A4">
        <w:rPr>
          <w:strike/>
          <w:szCs w:val="24"/>
        </w:rPr>
        <w:tab/>
        <w:t xml:space="preserve">Základ daně se ve zdaňovacím období, ve kterém bylo zahájeno vedení účetnictví, zvýší o hodnotu zásob a cenin, hodnotu poskytnutých záloh s výjimkou záloh na hmotný majetek, hodnotu pohledávek, které by při úhradě byly zdanitelným příjmem. </w:t>
      </w:r>
    </w:p>
    <w:p w14:paraId="702FEADF" w14:textId="77777777" w:rsidR="000839A4" w:rsidRPr="000839A4" w:rsidRDefault="000839A4" w:rsidP="000839A4">
      <w:pPr>
        <w:spacing w:before="120"/>
        <w:ind w:left="425" w:hanging="425"/>
        <w:rPr>
          <w:strike/>
          <w:szCs w:val="24"/>
        </w:rPr>
      </w:pPr>
      <w:r w:rsidRPr="000839A4">
        <w:rPr>
          <w:strike/>
          <w:szCs w:val="24"/>
        </w:rPr>
        <w:t>2.</w:t>
      </w:r>
      <w:r w:rsidRPr="000839A4">
        <w:rPr>
          <w:strike/>
          <w:szCs w:val="24"/>
        </w:rPr>
        <w:tab/>
        <w:t xml:space="preserve">Základ daně se ve zdaňovacím období, ve kterém bylo zahájeno vedení účetnictví, sníží o hodnotu přijatých záloh, hodnotu dluhů, které by při úhradě byly výdajem na dosažení, zajištění a udržení příjmů. </w:t>
      </w:r>
    </w:p>
    <w:p w14:paraId="79525A2E" w14:textId="77777777" w:rsidR="000839A4" w:rsidRPr="000839A4" w:rsidRDefault="000839A4" w:rsidP="000839A4">
      <w:pPr>
        <w:spacing w:before="120"/>
        <w:ind w:left="425" w:hanging="425"/>
        <w:rPr>
          <w:strike/>
          <w:szCs w:val="24"/>
        </w:rPr>
      </w:pPr>
      <w:r w:rsidRPr="000839A4">
        <w:rPr>
          <w:strike/>
          <w:szCs w:val="24"/>
        </w:rPr>
        <w:t>3.</w:t>
      </w:r>
      <w:r w:rsidRPr="000839A4">
        <w:rPr>
          <w:strike/>
          <w:szCs w:val="24"/>
        </w:rPr>
        <w:tab/>
        <w:t xml:space="preserve">Obdobně se postupuje při přechodu z evidence příjmů a výdajů na vedení účetnictví na straně poplatníků s příjmy z nájmu podle § 9. </w:t>
      </w:r>
    </w:p>
    <w:p w14:paraId="675A8993" w14:textId="77777777" w:rsidR="000839A4" w:rsidRPr="000839A4" w:rsidRDefault="000839A4" w:rsidP="000839A4">
      <w:pPr>
        <w:spacing w:before="120"/>
        <w:rPr>
          <w:strike/>
          <w:szCs w:val="24"/>
        </w:rPr>
      </w:pPr>
      <w:r w:rsidRPr="000839A4">
        <w:rPr>
          <w:strike/>
          <w:szCs w:val="24"/>
        </w:rPr>
        <w:t xml:space="preserve"> Jedná-li se o plátce daně z přidané hodnoty, rozumí se pro účely tohoto postupu hodnotou dluhu hodnota bez daně z přidané hodnoty; byl-li uplatněn odpočet daně z přidané hodnoty, hodnotou pohledávky se rozumí hodnota bez daně z přidané hodnoty, byla-li splněna daňová povinnost na výstupu. Základ daně se ve zdaňovacím období, ve kterém bylo zahájeno vedení účetnictví, nezvýší o hodnotu pohledávek, které by při úhradě byly zdanitelným příjmem, jedná-li se o pohledávky, které v době vedení daňové evidence byly za dlužníkem uvedeným v § 24 odst. 2 písm. y). </w:t>
      </w:r>
    </w:p>
    <w:p w14:paraId="175CB7C7" w14:textId="77777777" w:rsidR="000839A4" w:rsidRPr="000839A4" w:rsidRDefault="000839A4" w:rsidP="000839A4">
      <w:pPr>
        <w:spacing w:before="120"/>
        <w:ind w:firstLine="482"/>
        <w:rPr>
          <w:szCs w:val="24"/>
        </w:rPr>
      </w:pPr>
    </w:p>
    <w:p w14:paraId="3B2E287E" w14:textId="77777777" w:rsidR="000839A4" w:rsidRDefault="000839A4" w:rsidP="000839A4">
      <w:pPr>
        <w:pStyle w:val="Textparagrafu"/>
        <w:tabs>
          <w:tab w:val="left" w:pos="392"/>
        </w:tabs>
        <w:ind w:firstLine="0"/>
        <w:jc w:val="left"/>
        <w:sectPr w:rsidR="000839A4" w:rsidSect="00084391">
          <w:footnotePr>
            <w:numStart w:val="3"/>
          </w:footnotePr>
          <w:endnotePr>
            <w:numFmt w:val="decimal"/>
          </w:endnotePr>
          <w:pgSz w:w="11906" w:h="16838"/>
          <w:pgMar w:top="1418" w:right="1418" w:bottom="1418" w:left="1418" w:header="709" w:footer="709" w:gutter="0"/>
          <w:cols w:space="708"/>
          <w:docGrid w:linePitch="360"/>
        </w:sectPr>
      </w:pPr>
    </w:p>
    <w:p w14:paraId="593B738B" w14:textId="03CE39E3" w:rsidR="00383BB6" w:rsidRPr="00383BB6" w:rsidRDefault="00383BB6" w:rsidP="00B65A23">
      <w:pPr>
        <w:pStyle w:val="Odstavecseseznamem"/>
        <w:tabs>
          <w:tab w:val="left" w:pos="851"/>
        </w:tabs>
        <w:spacing w:before="120" w:after="120"/>
        <w:ind w:left="0" w:firstLine="0"/>
        <w:jc w:val="center"/>
        <w:outlineLvl w:val="0"/>
        <w:rPr>
          <w:szCs w:val="24"/>
        </w:rPr>
      </w:pPr>
      <w:r w:rsidRPr="00383BB6">
        <w:rPr>
          <w:b/>
          <w:szCs w:val="24"/>
        </w:rPr>
        <w:lastRenderedPageBreak/>
        <w:t xml:space="preserve">K části dvacáté </w:t>
      </w:r>
      <w:r w:rsidR="00F80E61">
        <w:rPr>
          <w:b/>
          <w:szCs w:val="24"/>
        </w:rPr>
        <w:t xml:space="preserve">první </w:t>
      </w:r>
      <w:r w:rsidRPr="00383BB6">
        <w:rPr>
          <w:b/>
          <w:szCs w:val="24"/>
        </w:rPr>
        <w:t xml:space="preserve">návrhu zákona – </w:t>
      </w:r>
      <w:r w:rsidRPr="00383BB6">
        <w:rPr>
          <w:szCs w:val="24"/>
        </w:rPr>
        <w:t>změna zákona o pojistném na veřejné zdravotní pojištění</w:t>
      </w:r>
    </w:p>
    <w:p w14:paraId="6D4B0411" w14:textId="77777777" w:rsidR="00383BB6" w:rsidRPr="00383BB6" w:rsidRDefault="00383BB6" w:rsidP="00383BB6">
      <w:pPr>
        <w:pStyle w:val="Odstavecseseznamem"/>
        <w:tabs>
          <w:tab w:val="left" w:pos="851"/>
        </w:tabs>
        <w:spacing w:before="120" w:after="120"/>
        <w:ind w:left="0"/>
        <w:outlineLvl w:val="0"/>
        <w:rPr>
          <w:b/>
          <w:szCs w:val="24"/>
        </w:rPr>
      </w:pPr>
    </w:p>
    <w:p w14:paraId="070EC2CD" w14:textId="2387FC64" w:rsidR="00383BB6" w:rsidRPr="00383BB6" w:rsidRDefault="00383BB6" w:rsidP="00383BB6">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383BB6">
        <w:rPr>
          <w:b/>
          <w:szCs w:val="24"/>
        </w:rPr>
        <w:t>Platné znění</w:t>
      </w:r>
      <w:r w:rsidRPr="00383BB6">
        <w:rPr>
          <w:szCs w:val="24"/>
        </w:rPr>
        <w:t xml:space="preserve"> zákona </w:t>
      </w:r>
      <w:r w:rsidRPr="00383BB6">
        <w:rPr>
          <w:color w:val="000000"/>
          <w:szCs w:val="24"/>
        </w:rPr>
        <w:t>č. 5</w:t>
      </w:r>
      <w:r w:rsidR="001C04C7">
        <w:rPr>
          <w:color w:val="000000"/>
          <w:szCs w:val="24"/>
        </w:rPr>
        <w:t>92</w:t>
      </w:r>
      <w:r w:rsidRPr="00383BB6">
        <w:rPr>
          <w:color w:val="000000"/>
          <w:szCs w:val="24"/>
        </w:rPr>
        <w:t xml:space="preserve">/1992 Sb., </w:t>
      </w:r>
      <w:r w:rsidRPr="00383BB6">
        <w:rPr>
          <w:szCs w:val="24"/>
        </w:rPr>
        <w:t>o pojistném na veřejné zdravotní pojištění</w:t>
      </w:r>
    </w:p>
    <w:p w14:paraId="3637AD71" w14:textId="77777777" w:rsidR="00B65A23" w:rsidRPr="00A06781" w:rsidRDefault="00B65A23" w:rsidP="00B65A23">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b/>
          <w:szCs w:val="24"/>
        </w:rPr>
      </w:pPr>
      <w:r w:rsidRPr="00A06781">
        <w:rPr>
          <w:b/>
          <w:szCs w:val="24"/>
        </w:rPr>
        <w:t>s vyznačením navrhovaných změn a doplnění k 1. lednu 2025</w:t>
      </w:r>
    </w:p>
    <w:p w14:paraId="0FB97D54" w14:textId="77777777" w:rsidR="00383BB6" w:rsidRDefault="00383BB6" w:rsidP="00383BB6">
      <w:pPr>
        <w:pStyle w:val="Textparagrafu"/>
        <w:tabs>
          <w:tab w:val="left" w:pos="392"/>
        </w:tabs>
        <w:ind w:firstLine="0"/>
        <w:jc w:val="center"/>
      </w:pPr>
      <w:r>
        <w:t>***</w:t>
      </w:r>
    </w:p>
    <w:p w14:paraId="2A97B746" w14:textId="77777777" w:rsidR="00816A98" w:rsidRDefault="00816A98" w:rsidP="00816A98">
      <w:pPr>
        <w:pStyle w:val="Textparagrafu"/>
        <w:ind w:firstLine="0"/>
        <w:jc w:val="center"/>
      </w:pPr>
      <w:r w:rsidRPr="00371EFD">
        <w:t>§</w:t>
      </w:r>
      <w:r>
        <w:t xml:space="preserve"> </w:t>
      </w:r>
      <w:r w:rsidRPr="00371EFD">
        <w:t>21c</w:t>
      </w:r>
    </w:p>
    <w:p w14:paraId="195ED199" w14:textId="77777777" w:rsidR="00816A98" w:rsidRPr="00816A98" w:rsidRDefault="00816A98" w:rsidP="00816A98">
      <w:pPr>
        <w:pStyle w:val="Textparagrafu"/>
        <w:ind w:firstLine="0"/>
        <w:jc w:val="center"/>
        <w:rPr>
          <w:b/>
        </w:rPr>
      </w:pPr>
      <w:r w:rsidRPr="00816A98">
        <w:rPr>
          <w:b/>
        </w:rPr>
        <w:t>Vyúčtování nákladných hrazených služeb a společná kontrolní skupina</w:t>
      </w:r>
    </w:p>
    <w:p w14:paraId="659B93E6" w14:textId="7040C384" w:rsidR="00816A98" w:rsidRDefault="00816A98" w:rsidP="00B65A23">
      <w:pPr>
        <w:pStyle w:val="Textparagrafu"/>
        <w:spacing w:before="120" w:after="120"/>
      </w:pPr>
      <w:r w:rsidRPr="00371EFD">
        <w:t>(1)</w:t>
      </w:r>
      <w:r>
        <w:t xml:space="preserve"> </w:t>
      </w:r>
      <w:r w:rsidRPr="00371EFD">
        <w:t>Zdravotní</w:t>
      </w:r>
      <w:r>
        <w:t xml:space="preserve"> </w:t>
      </w:r>
      <w:r w:rsidRPr="00371EFD">
        <w:t>pojišťovna</w:t>
      </w:r>
      <w:r>
        <w:t xml:space="preserve"> </w:t>
      </w:r>
      <w:r w:rsidRPr="00371EFD">
        <w:t>vyúčtuje</w:t>
      </w:r>
      <w:r>
        <w:t xml:space="preserve"> </w:t>
      </w:r>
      <w:r w:rsidRPr="00371EFD">
        <w:t>správci</w:t>
      </w:r>
      <w:r>
        <w:t xml:space="preserve"> </w:t>
      </w:r>
      <w:r w:rsidRPr="00371EFD">
        <w:t>zvláštního</w:t>
      </w:r>
      <w:r>
        <w:t xml:space="preserve"> </w:t>
      </w:r>
      <w:r w:rsidRPr="00371EFD">
        <w:t>účtu</w:t>
      </w:r>
      <w:r>
        <w:t xml:space="preserve"> </w:t>
      </w:r>
      <w:r w:rsidRPr="00371EFD">
        <w:t>v</w:t>
      </w:r>
      <w:r>
        <w:t xml:space="preserve"> </w:t>
      </w:r>
      <w:r w:rsidRPr="00371EFD">
        <w:t>termínu</w:t>
      </w:r>
      <w:r>
        <w:t xml:space="preserve"> </w:t>
      </w:r>
      <w:r w:rsidRPr="00371EFD">
        <w:t>stanoveném</w:t>
      </w:r>
      <w:r>
        <w:t xml:space="preserve"> </w:t>
      </w:r>
      <w:r w:rsidRPr="00371EFD">
        <w:t>pro</w:t>
      </w:r>
      <w:r>
        <w:t xml:space="preserve"> </w:t>
      </w:r>
      <w:r w:rsidRPr="00371EFD">
        <w:t>předkládání</w:t>
      </w:r>
      <w:r>
        <w:t xml:space="preserve"> </w:t>
      </w:r>
      <w:r w:rsidRPr="00816A98">
        <w:rPr>
          <w:strike/>
        </w:rPr>
        <w:t>výročních zpráv</w:t>
      </w:r>
      <w:r>
        <w:t xml:space="preserve"> </w:t>
      </w:r>
      <w:r w:rsidRPr="006709C9">
        <w:rPr>
          <w:b/>
          <w:szCs w:val="24"/>
        </w:rPr>
        <w:t xml:space="preserve">řádných individuálních účetních závěrek, individuálních </w:t>
      </w:r>
      <w:r w:rsidRPr="006709C9">
        <w:rPr>
          <w:b/>
          <w:bCs/>
          <w:szCs w:val="24"/>
        </w:rPr>
        <w:t>zpráv vedení a zpráv auditora o povinném auditu</w:t>
      </w:r>
      <w:r w:rsidRPr="00371EFD">
        <w:t xml:space="preserve"> po</w:t>
      </w:r>
      <w:r>
        <w:t xml:space="preserve"> </w:t>
      </w:r>
      <w:r w:rsidRPr="00371EFD">
        <w:t>účetním</w:t>
      </w:r>
      <w:r>
        <w:t xml:space="preserve"> </w:t>
      </w:r>
      <w:r w:rsidRPr="00371EFD">
        <w:t>uzavření</w:t>
      </w:r>
      <w:r>
        <w:t xml:space="preserve"> </w:t>
      </w:r>
      <w:r w:rsidRPr="00371EFD">
        <w:t>kalendářního</w:t>
      </w:r>
      <w:r>
        <w:t xml:space="preserve"> </w:t>
      </w:r>
      <w:r w:rsidRPr="00371EFD">
        <w:t>roku</w:t>
      </w:r>
      <w:r>
        <w:t xml:space="preserve"> </w:t>
      </w:r>
      <w:r w:rsidRPr="00371EFD">
        <w:t>všechny</w:t>
      </w:r>
      <w:r>
        <w:t xml:space="preserve"> </w:t>
      </w:r>
      <w:r w:rsidRPr="00371EFD">
        <w:t>své</w:t>
      </w:r>
      <w:r>
        <w:t xml:space="preserve"> </w:t>
      </w:r>
      <w:r w:rsidRPr="00371EFD">
        <w:t>nákladné</w:t>
      </w:r>
      <w:r>
        <w:t xml:space="preserve"> </w:t>
      </w:r>
      <w:r w:rsidRPr="00371EFD">
        <w:t>pojištěnce</w:t>
      </w:r>
      <w:r>
        <w:t xml:space="preserve"> </w:t>
      </w:r>
      <w:r w:rsidRPr="00371EFD">
        <w:t>za</w:t>
      </w:r>
      <w:r>
        <w:t xml:space="preserve"> </w:t>
      </w:r>
      <w:r w:rsidRPr="00371EFD">
        <w:t>takový</w:t>
      </w:r>
      <w:r>
        <w:t xml:space="preserve"> </w:t>
      </w:r>
      <w:r w:rsidRPr="00371EFD">
        <w:t>rok,</w:t>
      </w:r>
      <w:r>
        <w:t xml:space="preserve"> </w:t>
      </w:r>
      <w:r w:rsidRPr="00371EFD">
        <w:t>celkovou</w:t>
      </w:r>
      <w:r>
        <w:t xml:space="preserve"> </w:t>
      </w:r>
      <w:r w:rsidRPr="00371EFD">
        <w:t>úhradu</w:t>
      </w:r>
      <w:r>
        <w:t xml:space="preserve"> </w:t>
      </w:r>
      <w:r w:rsidRPr="00371EFD">
        <w:t>za</w:t>
      </w:r>
      <w:r>
        <w:t xml:space="preserve"> </w:t>
      </w:r>
      <w:r w:rsidRPr="00371EFD">
        <w:t>jednotlivé</w:t>
      </w:r>
      <w:r>
        <w:t xml:space="preserve"> </w:t>
      </w:r>
      <w:r w:rsidRPr="00371EFD">
        <w:t>pojištěnce,</w:t>
      </w:r>
      <w:r>
        <w:t xml:space="preserve"> </w:t>
      </w:r>
      <w:r w:rsidRPr="00371EFD">
        <w:t>do</w:t>
      </w:r>
      <w:r>
        <w:t xml:space="preserve"> </w:t>
      </w:r>
      <w:r w:rsidRPr="00371EFD">
        <w:t>níž</w:t>
      </w:r>
      <w:r>
        <w:t xml:space="preserve"> </w:t>
      </w:r>
      <w:r w:rsidRPr="00371EFD">
        <w:t>se</w:t>
      </w:r>
      <w:r>
        <w:t xml:space="preserve"> </w:t>
      </w:r>
      <w:r w:rsidRPr="00371EFD">
        <w:t>započítávají</w:t>
      </w:r>
      <w:r>
        <w:t xml:space="preserve"> </w:t>
      </w:r>
      <w:r w:rsidRPr="00371EFD">
        <w:t>i</w:t>
      </w:r>
      <w:r>
        <w:t xml:space="preserve"> </w:t>
      </w:r>
      <w:r w:rsidRPr="00371EFD">
        <w:t>náhrady</w:t>
      </w:r>
      <w:r>
        <w:t xml:space="preserve"> </w:t>
      </w:r>
      <w:r w:rsidRPr="00371EFD">
        <w:t>za</w:t>
      </w:r>
      <w:r>
        <w:t xml:space="preserve"> </w:t>
      </w:r>
      <w:r w:rsidRPr="00371EFD">
        <w:t>zdravotní</w:t>
      </w:r>
      <w:r>
        <w:t xml:space="preserve"> </w:t>
      </w:r>
      <w:r w:rsidRPr="00371EFD">
        <w:t>služby</w:t>
      </w:r>
      <w:r>
        <w:t xml:space="preserve"> </w:t>
      </w:r>
      <w:r w:rsidRPr="00371EFD">
        <w:t>čerpané</w:t>
      </w:r>
      <w:r>
        <w:t xml:space="preserve"> </w:t>
      </w:r>
      <w:r w:rsidRPr="00371EFD">
        <w:t>v</w:t>
      </w:r>
      <w:r>
        <w:t xml:space="preserve"> </w:t>
      </w:r>
      <w:r w:rsidRPr="00371EFD">
        <w:t>zahraničí,</w:t>
      </w:r>
      <w:r>
        <w:t xml:space="preserve"> </w:t>
      </w:r>
      <w:r w:rsidRPr="00371EFD">
        <w:t>a</w:t>
      </w:r>
      <w:r>
        <w:t xml:space="preserve"> </w:t>
      </w:r>
      <w:r w:rsidRPr="00371EFD">
        <w:t>výši</w:t>
      </w:r>
      <w:r>
        <w:t xml:space="preserve"> </w:t>
      </w:r>
      <w:r w:rsidRPr="00371EFD">
        <w:t>kompenzací</w:t>
      </w:r>
      <w:r>
        <w:t xml:space="preserve"> </w:t>
      </w:r>
      <w:r w:rsidRPr="00371EFD">
        <w:t>za</w:t>
      </w:r>
      <w:r>
        <w:t xml:space="preserve"> </w:t>
      </w:r>
      <w:r w:rsidRPr="00371EFD">
        <w:t>nákladné</w:t>
      </w:r>
      <w:r>
        <w:t xml:space="preserve"> </w:t>
      </w:r>
      <w:r w:rsidRPr="00371EFD">
        <w:t>hrazené</w:t>
      </w:r>
      <w:r>
        <w:t xml:space="preserve"> </w:t>
      </w:r>
      <w:r w:rsidRPr="00371EFD">
        <w:t>služby</w:t>
      </w:r>
      <w:r>
        <w:t xml:space="preserve"> </w:t>
      </w:r>
      <w:r w:rsidRPr="00371EFD">
        <w:t>podle</w:t>
      </w:r>
      <w:r>
        <w:t xml:space="preserve"> </w:t>
      </w:r>
      <w:r w:rsidRPr="00371EFD">
        <w:t>§</w:t>
      </w:r>
      <w:r>
        <w:t xml:space="preserve"> </w:t>
      </w:r>
      <w:r w:rsidRPr="00371EFD">
        <w:t>21a</w:t>
      </w:r>
      <w:r>
        <w:t xml:space="preserve"> </w:t>
      </w:r>
      <w:r w:rsidRPr="00371EFD">
        <w:t>odst.</w:t>
      </w:r>
      <w:r>
        <w:t xml:space="preserve"> </w:t>
      </w:r>
      <w:r w:rsidRPr="00371EFD">
        <w:t>2.</w:t>
      </w:r>
      <w:r>
        <w:t xml:space="preserve"> </w:t>
      </w:r>
      <w:r w:rsidRPr="00371EFD">
        <w:t>Zdravotní</w:t>
      </w:r>
      <w:r>
        <w:t xml:space="preserve"> </w:t>
      </w:r>
      <w:r w:rsidRPr="00371EFD">
        <w:t>pojišťovna</w:t>
      </w:r>
      <w:r>
        <w:t xml:space="preserve"> </w:t>
      </w:r>
      <w:r w:rsidRPr="00371EFD">
        <w:t>sestaví</w:t>
      </w:r>
      <w:r>
        <w:t xml:space="preserve"> </w:t>
      </w:r>
      <w:r w:rsidRPr="00371EFD">
        <w:t>vyúčtování</w:t>
      </w:r>
      <w:r>
        <w:t xml:space="preserve"> </w:t>
      </w:r>
      <w:r w:rsidRPr="00371EFD">
        <w:t>svých</w:t>
      </w:r>
      <w:r>
        <w:t xml:space="preserve"> </w:t>
      </w:r>
      <w:r w:rsidRPr="00371EFD">
        <w:t>nákladných</w:t>
      </w:r>
      <w:r>
        <w:t xml:space="preserve"> </w:t>
      </w:r>
      <w:r w:rsidRPr="00371EFD">
        <w:t>pojištěnců</w:t>
      </w:r>
      <w:r>
        <w:t xml:space="preserve"> </w:t>
      </w:r>
      <w:r w:rsidRPr="00371EFD">
        <w:t>v</w:t>
      </w:r>
      <w:r>
        <w:t xml:space="preserve"> </w:t>
      </w:r>
      <w:r w:rsidRPr="00371EFD">
        <w:t>elektronické</w:t>
      </w:r>
      <w:r>
        <w:t xml:space="preserve"> </w:t>
      </w:r>
      <w:r w:rsidRPr="00371EFD">
        <w:t>aplikaci</w:t>
      </w:r>
      <w:r>
        <w:t xml:space="preserve"> </w:t>
      </w:r>
      <w:r w:rsidRPr="00371EFD">
        <w:t>podle</w:t>
      </w:r>
      <w:r>
        <w:t xml:space="preserve"> </w:t>
      </w:r>
      <w:r w:rsidRPr="00371EFD">
        <w:t>§</w:t>
      </w:r>
      <w:r>
        <w:t xml:space="preserve"> </w:t>
      </w:r>
      <w:r w:rsidRPr="00371EFD">
        <w:t>21</w:t>
      </w:r>
      <w:r>
        <w:t xml:space="preserve"> </w:t>
      </w:r>
      <w:r w:rsidRPr="00371EFD">
        <w:t>odst.</w:t>
      </w:r>
      <w:r>
        <w:t xml:space="preserve"> </w:t>
      </w:r>
      <w:r w:rsidRPr="00371EFD">
        <w:t>2.</w:t>
      </w:r>
      <w:r>
        <w:t xml:space="preserve"> </w:t>
      </w:r>
      <w:r w:rsidRPr="00371EFD">
        <w:t>Správce</w:t>
      </w:r>
      <w:r>
        <w:t xml:space="preserve"> </w:t>
      </w:r>
      <w:r w:rsidRPr="00371EFD">
        <w:t>zvláštního</w:t>
      </w:r>
      <w:r>
        <w:t xml:space="preserve"> </w:t>
      </w:r>
      <w:r w:rsidRPr="00371EFD">
        <w:t>účtu</w:t>
      </w:r>
      <w:r>
        <w:t xml:space="preserve"> </w:t>
      </w:r>
      <w:r w:rsidRPr="00371EFD">
        <w:t>je</w:t>
      </w:r>
      <w:r>
        <w:t xml:space="preserve"> </w:t>
      </w:r>
      <w:r w:rsidRPr="00371EFD">
        <w:t>oprávněn</w:t>
      </w:r>
      <w:r>
        <w:t xml:space="preserve"> </w:t>
      </w:r>
      <w:r w:rsidRPr="00371EFD">
        <w:t>údaje</w:t>
      </w:r>
      <w:r>
        <w:t xml:space="preserve"> </w:t>
      </w:r>
      <w:r w:rsidRPr="00371EFD">
        <w:t>uvedené</w:t>
      </w:r>
      <w:r>
        <w:t xml:space="preserve"> </w:t>
      </w:r>
      <w:r w:rsidRPr="00371EFD">
        <w:t>ve</w:t>
      </w:r>
      <w:r>
        <w:t xml:space="preserve"> </w:t>
      </w:r>
      <w:r w:rsidRPr="00371EFD">
        <w:t>větě</w:t>
      </w:r>
      <w:r>
        <w:t xml:space="preserve"> </w:t>
      </w:r>
      <w:r w:rsidRPr="00371EFD">
        <w:t>první</w:t>
      </w:r>
      <w:r>
        <w:t xml:space="preserve"> </w:t>
      </w:r>
      <w:r w:rsidRPr="00371EFD">
        <w:t>požadovat</w:t>
      </w:r>
      <w:r>
        <w:t xml:space="preserve"> </w:t>
      </w:r>
      <w:r w:rsidRPr="00371EFD">
        <w:t>i</w:t>
      </w:r>
      <w:r>
        <w:t xml:space="preserve"> </w:t>
      </w:r>
      <w:r w:rsidRPr="00371EFD">
        <w:t>v</w:t>
      </w:r>
      <w:r>
        <w:t xml:space="preserve"> </w:t>
      </w:r>
      <w:r w:rsidRPr="00371EFD">
        <w:t>jiném</w:t>
      </w:r>
      <w:r>
        <w:t xml:space="preserve"> </w:t>
      </w:r>
      <w:r w:rsidRPr="00371EFD">
        <w:t>termínu,</w:t>
      </w:r>
      <w:r>
        <w:t xml:space="preserve"> </w:t>
      </w:r>
      <w:r w:rsidRPr="00371EFD">
        <w:t>rozhodne-li</w:t>
      </w:r>
      <w:r>
        <w:t xml:space="preserve"> </w:t>
      </w:r>
      <w:r w:rsidRPr="00371EFD">
        <w:t>tak</w:t>
      </w:r>
      <w:r>
        <w:t xml:space="preserve"> </w:t>
      </w:r>
      <w:r w:rsidRPr="00371EFD">
        <w:t>Dozorčí</w:t>
      </w:r>
      <w:r>
        <w:t xml:space="preserve"> </w:t>
      </w:r>
      <w:r w:rsidRPr="00371EFD">
        <w:t>orgán;</w:t>
      </w:r>
      <w:r>
        <w:t xml:space="preserve"> </w:t>
      </w:r>
      <w:r w:rsidRPr="00371EFD">
        <w:t>v</w:t>
      </w:r>
      <w:r>
        <w:t xml:space="preserve"> </w:t>
      </w:r>
      <w:r w:rsidRPr="00371EFD">
        <w:t>takovém</w:t>
      </w:r>
      <w:r>
        <w:t xml:space="preserve"> </w:t>
      </w:r>
      <w:r w:rsidRPr="00371EFD">
        <w:t>případě</w:t>
      </w:r>
      <w:r>
        <w:t xml:space="preserve"> </w:t>
      </w:r>
      <w:r w:rsidRPr="00371EFD">
        <w:t>jsou</w:t>
      </w:r>
      <w:r>
        <w:t xml:space="preserve"> </w:t>
      </w:r>
      <w:r w:rsidRPr="00371EFD">
        <w:t>zdravotní</w:t>
      </w:r>
      <w:r>
        <w:t xml:space="preserve"> </w:t>
      </w:r>
      <w:r w:rsidRPr="00371EFD">
        <w:t>pojišťovny</w:t>
      </w:r>
      <w:r>
        <w:t xml:space="preserve"> </w:t>
      </w:r>
      <w:r w:rsidRPr="00371EFD">
        <w:t>povinny</w:t>
      </w:r>
      <w:r>
        <w:t xml:space="preserve"> </w:t>
      </w:r>
      <w:r w:rsidRPr="00371EFD">
        <w:t>předložit</w:t>
      </w:r>
      <w:r>
        <w:t xml:space="preserve"> </w:t>
      </w:r>
      <w:r w:rsidRPr="00371EFD">
        <w:t>údaje</w:t>
      </w:r>
      <w:r>
        <w:t xml:space="preserve"> </w:t>
      </w:r>
      <w:r w:rsidRPr="00371EFD">
        <w:t>ve</w:t>
      </w:r>
      <w:r>
        <w:t xml:space="preserve"> </w:t>
      </w:r>
      <w:r w:rsidRPr="00371EFD">
        <w:t>lhůtě</w:t>
      </w:r>
      <w:r>
        <w:t xml:space="preserve"> </w:t>
      </w:r>
      <w:r w:rsidRPr="00371EFD">
        <w:t>do</w:t>
      </w:r>
      <w:r>
        <w:t xml:space="preserve"> </w:t>
      </w:r>
      <w:r w:rsidRPr="00371EFD">
        <w:t>30</w:t>
      </w:r>
      <w:r>
        <w:t xml:space="preserve"> </w:t>
      </w:r>
      <w:r w:rsidRPr="00371EFD">
        <w:t>kalendářních</w:t>
      </w:r>
      <w:r>
        <w:t xml:space="preserve"> </w:t>
      </w:r>
      <w:r w:rsidRPr="00371EFD">
        <w:t>dnů</w:t>
      </w:r>
      <w:r>
        <w:t xml:space="preserve"> </w:t>
      </w:r>
      <w:r w:rsidRPr="00371EFD">
        <w:t>ode</w:t>
      </w:r>
      <w:r>
        <w:t xml:space="preserve"> </w:t>
      </w:r>
      <w:r w:rsidRPr="00371EFD">
        <w:t>dne</w:t>
      </w:r>
      <w:r>
        <w:t xml:space="preserve"> </w:t>
      </w:r>
      <w:r w:rsidRPr="00371EFD">
        <w:t>jejich</w:t>
      </w:r>
      <w:r>
        <w:t xml:space="preserve"> </w:t>
      </w:r>
      <w:r w:rsidRPr="00371EFD">
        <w:t>vyžádání.</w:t>
      </w:r>
    </w:p>
    <w:p w14:paraId="1C85DD09" w14:textId="77777777" w:rsidR="00816A98" w:rsidRDefault="00816A98" w:rsidP="00B65A23">
      <w:pPr>
        <w:pStyle w:val="Textparagrafu"/>
        <w:spacing w:before="120" w:after="120"/>
      </w:pPr>
      <w:r w:rsidRPr="00371EFD">
        <w:t>(2)</w:t>
      </w:r>
      <w:r>
        <w:t xml:space="preserve"> </w:t>
      </w:r>
      <w:r w:rsidRPr="00371EFD">
        <w:t>Na</w:t>
      </w:r>
      <w:r>
        <w:t xml:space="preserve"> </w:t>
      </w:r>
      <w:r w:rsidRPr="00371EFD">
        <w:t>kontrole</w:t>
      </w:r>
      <w:r>
        <w:t xml:space="preserve"> </w:t>
      </w:r>
      <w:r w:rsidRPr="00371EFD">
        <w:t>oprávněnosti</w:t>
      </w:r>
      <w:r>
        <w:t xml:space="preserve"> </w:t>
      </w:r>
      <w:r w:rsidRPr="00371EFD">
        <w:t>a</w:t>
      </w:r>
      <w:r>
        <w:t xml:space="preserve"> </w:t>
      </w:r>
      <w:r w:rsidRPr="00371EFD">
        <w:t>správnosti</w:t>
      </w:r>
      <w:r>
        <w:t xml:space="preserve"> </w:t>
      </w:r>
      <w:r w:rsidRPr="00371EFD">
        <w:t>vyúčtování</w:t>
      </w:r>
      <w:r>
        <w:t xml:space="preserve"> </w:t>
      </w:r>
      <w:r w:rsidRPr="00371EFD">
        <w:t>nákladných</w:t>
      </w:r>
      <w:r>
        <w:t xml:space="preserve"> </w:t>
      </w:r>
      <w:r w:rsidRPr="00371EFD">
        <w:t>hrazených</w:t>
      </w:r>
      <w:r>
        <w:t xml:space="preserve"> </w:t>
      </w:r>
      <w:r w:rsidRPr="00371EFD">
        <w:t>služeb</w:t>
      </w:r>
      <w:r>
        <w:t xml:space="preserve"> </w:t>
      </w:r>
      <w:r w:rsidRPr="00371EFD">
        <w:t>se</w:t>
      </w:r>
      <w:r>
        <w:t xml:space="preserve"> </w:t>
      </w:r>
      <w:r w:rsidRPr="00371EFD">
        <w:t>podílejí</w:t>
      </w:r>
      <w:r>
        <w:t xml:space="preserve"> </w:t>
      </w:r>
      <w:r w:rsidRPr="00371EFD">
        <w:t>všechny</w:t>
      </w:r>
      <w:r>
        <w:t xml:space="preserve"> </w:t>
      </w:r>
      <w:r w:rsidRPr="00371EFD">
        <w:t>zdravotní</w:t>
      </w:r>
      <w:r>
        <w:t xml:space="preserve"> </w:t>
      </w:r>
      <w:r w:rsidRPr="00371EFD">
        <w:t>pojišťovny.</w:t>
      </w:r>
      <w:r>
        <w:t xml:space="preserve"> </w:t>
      </w:r>
      <w:r w:rsidRPr="00371EFD">
        <w:t>Správce</w:t>
      </w:r>
      <w:r>
        <w:t xml:space="preserve"> </w:t>
      </w:r>
      <w:r w:rsidRPr="00371EFD">
        <w:t>zvláštního</w:t>
      </w:r>
      <w:r>
        <w:t xml:space="preserve"> </w:t>
      </w:r>
      <w:r w:rsidRPr="00371EFD">
        <w:t>účtu</w:t>
      </w:r>
      <w:r>
        <w:t xml:space="preserve"> </w:t>
      </w:r>
      <w:r w:rsidRPr="00371EFD">
        <w:t>provádí</w:t>
      </w:r>
      <w:r>
        <w:t xml:space="preserve"> </w:t>
      </w:r>
      <w:r w:rsidRPr="00371EFD">
        <w:t>kontrolu</w:t>
      </w:r>
      <w:r>
        <w:t xml:space="preserve"> </w:t>
      </w:r>
      <w:r w:rsidRPr="00371EFD">
        <w:t>prostřednictvím</w:t>
      </w:r>
      <w:r>
        <w:t xml:space="preserve"> </w:t>
      </w:r>
      <w:r w:rsidRPr="00371EFD">
        <w:t>společné</w:t>
      </w:r>
      <w:r>
        <w:t xml:space="preserve"> </w:t>
      </w:r>
      <w:r w:rsidRPr="00371EFD">
        <w:t>kontrolní</w:t>
      </w:r>
      <w:r>
        <w:t xml:space="preserve"> </w:t>
      </w:r>
      <w:r w:rsidRPr="00371EFD">
        <w:t>skupiny</w:t>
      </w:r>
      <w:r>
        <w:t xml:space="preserve"> </w:t>
      </w:r>
      <w:r w:rsidRPr="00371EFD">
        <w:t>složené</w:t>
      </w:r>
      <w:r>
        <w:t xml:space="preserve"> </w:t>
      </w:r>
      <w:r w:rsidRPr="00371EFD">
        <w:t>z</w:t>
      </w:r>
      <w:r>
        <w:t xml:space="preserve"> </w:t>
      </w:r>
      <w:r w:rsidRPr="00371EFD">
        <w:t>revizních</w:t>
      </w:r>
      <w:r>
        <w:t xml:space="preserve"> </w:t>
      </w:r>
      <w:r w:rsidRPr="00371EFD">
        <w:t>lékařů</w:t>
      </w:r>
      <w:r>
        <w:t xml:space="preserve"> </w:t>
      </w:r>
      <w:r w:rsidRPr="00371EFD">
        <w:t>všech</w:t>
      </w:r>
      <w:r>
        <w:t xml:space="preserve"> </w:t>
      </w:r>
      <w:r w:rsidRPr="00371EFD">
        <w:t>zdravotních</w:t>
      </w:r>
      <w:r>
        <w:t xml:space="preserve"> </w:t>
      </w:r>
      <w:r w:rsidRPr="00371EFD">
        <w:t>pojišťoven.</w:t>
      </w:r>
      <w:r>
        <w:t xml:space="preserve"> </w:t>
      </w:r>
      <w:r w:rsidRPr="00371EFD">
        <w:t>Pro</w:t>
      </w:r>
      <w:r>
        <w:t xml:space="preserve"> </w:t>
      </w:r>
      <w:r w:rsidRPr="00371EFD">
        <w:t>účely</w:t>
      </w:r>
      <w:r>
        <w:t xml:space="preserve"> </w:t>
      </w:r>
      <w:r w:rsidRPr="00371EFD">
        <w:t>tohoto</w:t>
      </w:r>
      <w:r>
        <w:t xml:space="preserve"> </w:t>
      </w:r>
      <w:r w:rsidRPr="00371EFD">
        <w:t>zákona</w:t>
      </w:r>
      <w:r>
        <w:t xml:space="preserve"> </w:t>
      </w:r>
      <w:r w:rsidRPr="00371EFD">
        <w:t>jsou</w:t>
      </w:r>
      <w:r>
        <w:t xml:space="preserve"> </w:t>
      </w:r>
      <w:r w:rsidRPr="00371EFD">
        <w:t>revizní</w:t>
      </w:r>
      <w:r>
        <w:t xml:space="preserve"> </w:t>
      </w:r>
      <w:r w:rsidRPr="00371EFD">
        <w:t>lékaři</w:t>
      </w:r>
      <w:r>
        <w:t xml:space="preserve"> </w:t>
      </w:r>
      <w:r w:rsidRPr="00371EFD">
        <w:t>delegovaní</w:t>
      </w:r>
      <w:r>
        <w:t xml:space="preserve"> </w:t>
      </w:r>
      <w:r w:rsidRPr="00371EFD">
        <w:t>jednotlivými</w:t>
      </w:r>
      <w:r>
        <w:t xml:space="preserve"> </w:t>
      </w:r>
      <w:r w:rsidRPr="00371EFD">
        <w:t>zdravotními</w:t>
      </w:r>
      <w:r>
        <w:t xml:space="preserve"> </w:t>
      </w:r>
      <w:r w:rsidRPr="00371EFD">
        <w:t>pojišťovnami</w:t>
      </w:r>
      <w:r>
        <w:t xml:space="preserve"> </w:t>
      </w:r>
      <w:r w:rsidRPr="00371EFD">
        <w:t>do</w:t>
      </w:r>
      <w:r>
        <w:t xml:space="preserve"> </w:t>
      </w:r>
      <w:r w:rsidRPr="00371EFD">
        <w:t>kontrolní</w:t>
      </w:r>
      <w:r>
        <w:t xml:space="preserve"> </w:t>
      </w:r>
      <w:r w:rsidRPr="00371EFD">
        <w:t>skupiny</w:t>
      </w:r>
      <w:r>
        <w:t xml:space="preserve"> </w:t>
      </w:r>
      <w:r w:rsidRPr="00371EFD">
        <w:t>oprávněni</w:t>
      </w:r>
      <w:r>
        <w:t xml:space="preserve"> </w:t>
      </w:r>
      <w:r w:rsidRPr="00371EFD">
        <w:t>kontrolovat</w:t>
      </w:r>
      <w:r>
        <w:t xml:space="preserve"> </w:t>
      </w:r>
      <w:r w:rsidRPr="00371EFD">
        <w:t>vyúčtování</w:t>
      </w:r>
      <w:r>
        <w:t xml:space="preserve"> </w:t>
      </w:r>
      <w:r w:rsidRPr="00371EFD">
        <w:t>nákladných</w:t>
      </w:r>
      <w:r>
        <w:t xml:space="preserve"> </w:t>
      </w:r>
      <w:r w:rsidRPr="00371EFD">
        <w:t>hrazených</w:t>
      </w:r>
      <w:r>
        <w:t xml:space="preserve"> </w:t>
      </w:r>
      <w:r w:rsidRPr="00371EFD">
        <w:t>služeb</w:t>
      </w:r>
      <w:r>
        <w:t xml:space="preserve"> </w:t>
      </w:r>
      <w:r w:rsidRPr="00371EFD">
        <w:t>předložené</w:t>
      </w:r>
      <w:r>
        <w:t xml:space="preserve"> </w:t>
      </w:r>
      <w:r w:rsidRPr="00371EFD">
        <w:t>kteroukoli</w:t>
      </w:r>
      <w:r>
        <w:t xml:space="preserve"> </w:t>
      </w:r>
      <w:r w:rsidRPr="00371EFD">
        <w:t>zdravotní</w:t>
      </w:r>
      <w:r>
        <w:t xml:space="preserve"> </w:t>
      </w:r>
      <w:r w:rsidRPr="00371EFD">
        <w:t>pojišťovnou.</w:t>
      </w:r>
      <w:r>
        <w:t xml:space="preserve"> </w:t>
      </w:r>
      <w:r w:rsidRPr="00371EFD">
        <w:t>Správce</w:t>
      </w:r>
      <w:r>
        <w:t xml:space="preserve"> </w:t>
      </w:r>
      <w:r w:rsidRPr="00371EFD">
        <w:t>zvláštního</w:t>
      </w:r>
      <w:r>
        <w:t xml:space="preserve"> </w:t>
      </w:r>
      <w:r w:rsidRPr="00371EFD">
        <w:t>účtu</w:t>
      </w:r>
      <w:r>
        <w:t xml:space="preserve"> </w:t>
      </w:r>
      <w:r w:rsidRPr="00371EFD">
        <w:t>prostřednictvím</w:t>
      </w:r>
      <w:r>
        <w:t xml:space="preserve"> </w:t>
      </w:r>
      <w:r w:rsidRPr="00371EFD">
        <w:t>společné</w:t>
      </w:r>
      <w:r>
        <w:t xml:space="preserve"> </w:t>
      </w:r>
      <w:r w:rsidRPr="00371EFD">
        <w:t>kontrolní</w:t>
      </w:r>
      <w:r>
        <w:t xml:space="preserve"> </w:t>
      </w:r>
      <w:r w:rsidRPr="00371EFD">
        <w:t>skupiny</w:t>
      </w:r>
      <w:r>
        <w:t xml:space="preserve"> </w:t>
      </w:r>
      <w:r w:rsidRPr="00371EFD">
        <w:t>provádí</w:t>
      </w:r>
      <w:r>
        <w:t xml:space="preserve"> </w:t>
      </w:r>
      <w:r w:rsidRPr="00371EFD">
        <w:t>též</w:t>
      </w:r>
      <w:r>
        <w:t xml:space="preserve"> </w:t>
      </w:r>
      <w:r w:rsidRPr="00371EFD">
        <w:t>kontrolu</w:t>
      </w:r>
      <w:r>
        <w:t xml:space="preserve"> </w:t>
      </w:r>
      <w:r w:rsidRPr="00371EFD">
        <w:t>správnosti</w:t>
      </w:r>
      <w:r>
        <w:t xml:space="preserve"> </w:t>
      </w:r>
      <w:r w:rsidRPr="00371EFD">
        <w:t>zařazení</w:t>
      </w:r>
      <w:r>
        <w:t xml:space="preserve"> </w:t>
      </w:r>
      <w:r w:rsidRPr="00371EFD">
        <w:t>pojištěnců</w:t>
      </w:r>
      <w:r>
        <w:t xml:space="preserve"> </w:t>
      </w:r>
      <w:r w:rsidRPr="00371EFD">
        <w:t>do</w:t>
      </w:r>
      <w:r>
        <w:t xml:space="preserve"> </w:t>
      </w:r>
      <w:r w:rsidRPr="00371EFD">
        <w:t>farmaceuticko-nákladových</w:t>
      </w:r>
      <w:r>
        <w:t xml:space="preserve"> </w:t>
      </w:r>
      <w:r w:rsidRPr="00371EFD">
        <w:t>skupin.</w:t>
      </w:r>
    </w:p>
    <w:p w14:paraId="567D6D1F" w14:textId="77777777" w:rsidR="00816A98" w:rsidRDefault="00816A98" w:rsidP="00B65A23">
      <w:pPr>
        <w:pStyle w:val="Textparagrafu"/>
        <w:spacing w:before="120" w:after="120"/>
      </w:pPr>
      <w:r w:rsidRPr="00371EFD">
        <w:t>(3)</w:t>
      </w:r>
      <w:r>
        <w:t xml:space="preserve"> </w:t>
      </w:r>
      <w:r w:rsidRPr="00371EFD">
        <w:t>Příslušná</w:t>
      </w:r>
      <w:r>
        <w:t xml:space="preserve"> </w:t>
      </w:r>
      <w:r w:rsidRPr="00371EFD">
        <w:t>zdravotní</w:t>
      </w:r>
      <w:r>
        <w:t xml:space="preserve"> </w:t>
      </w:r>
      <w:r w:rsidRPr="00371EFD">
        <w:t>pojišťovna</w:t>
      </w:r>
      <w:r>
        <w:t xml:space="preserve"> </w:t>
      </w:r>
      <w:r w:rsidRPr="00371EFD">
        <w:t>je</w:t>
      </w:r>
      <w:r>
        <w:t xml:space="preserve"> </w:t>
      </w:r>
      <w:r w:rsidRPr="00371EFD">
        <w:t>povinna</w:t>
      </w:r>
      <w:r>
        <w:t xml:space="preserve"> </w:t>
      </w:r>
      <w:r w:rsidRPr="00371EFD">
        <w:t>sdělit</w:t>
      </w:r>
      <w:r>
        <w:t xml:space="preserve"> </w:t>
      </w:r>
      <w:r w:rsidRPr="00371EFD">
        <w:t>správci</w:t>
      </w:r>
      <w:r>
        <w:t xml:space="preserve"> </w:t>
      </w:r>
      <w:r w:rsidRPr="00371EFD">
        <w:t>zvláštního</w:t>
      </w:r>
      <w:r>
        <w:t xml:space="preserve"> </w:t>
      </w:r>
      <w:r w:rsidRPr="00371EFD">
        <w:t>účtu</w:t>
      </w:r>
      <w:r>
        <w:t xml:space="preserve"> </w:t>
      </w:r>
      <w:r w:rsidRPr="00371EFD">
        <w:t>bez</w:t>
      </w:r>
      <w:r>
        <w:t xml:space="preserve"> </w:t>
      </w:r>
      <w:r w:rsidRPr="00371EFD">
        <w:t>zbytečných</w:t>
      </w:r>
      <w:r>
        <w:t xml:space="preserve"> </w:t>
      </w:r>
      <w:r w:rsidRPr="00371EFD">
        <w:t>průtahů</w:t>
      </w:r>
      <w:r>
        <w:t xml:space="preserve"> </w:t>
      </w:r>
      <w:r w:rsidRPr="00371EFD">
        <w:t>případy,</w:t>
      </w:r>
      <w:r>
        <w:t xml:space="preserve"> </w:t>
      </w:r>
      <w:r w:rsidRPr="00371EFD">
        <w:t>kdy</w:t>
      </w:r>
      <w:r>
        <w:t xml:space="preserve"> </w:t>
      </w:r>
      <w:r w:rsidRPr="00371EFD">
        <w:t>na</w:t>
      </w:r>
      <w:r>
        <w:t xml:space="preserve"> </w:t>
      </w:r>
      <w:r w:rsidRPr="00371EFD">
        <w:t>základě</w:t>
      </w:r>
      <w:r>
        <w:t xml:space="preserve"> </w:t>
      </w:r>
      <w:r w:rsidRPr="00371EFD">
        <w:t>kontroly</w:t>
      </w:r>
      <w:r>
        <w:t xml:space="preserve"> </w:t>
      </w:r>
      <w:r w:rsidRPr="00371EFD">
        <w:t>snížila</w:t>
      </w:r>
      <w:r>
        <w:t xml:space="preserve"> </w:t>
      </w:r>
      <w:r w:rsidRPr="00371EFD">
        <w:t>poskytovateli</w:t>
      </w:r>
      <w:r>
        <w:t xml:space="preserve"> </w:t>
      </w:r>
      <w:r w:rsidRPr="00371EFD">
        <w:t>úhradu</w:t>
      </w:r>
      <w:r>
        <w:t xml:space="preserve"> </w:t>
      </w:r>
      <w:r w:rsidRPr="00371EFD">
        <w:t>nákladných</w:t>
      </w:r>
      <w:r>
        <w:t xml:space="preserve"> </w:t>
      </w:r>
      <w:r w:rsidRPr="00371EFD">
        <w:t>hrazených</w:t>
      </w:r>
      <w:r>
        <w:t xml:space="preserve"> </w:t>
      </w:r>
      <w:r w:rsidRPr="00371EFD">
        <w:t>služeb</w:t>
      </w:r>
      <w:r>
        <w:t xml:space="preserve"> </w:t>
      </w:r>
      <w:r w:rsidRPr="00371EFD">
        <w:t>a</w:t>
      </w:r>
      <w:r>
        <w:t xml:space="preserve"> </w:t>
      </w:r>
      <w:r w:rsidRPr="00371EFD">
        <w:t>výši</w:t>
      </w:r>
      <w:r>
        <w:t xml:space="preserve"> </w:t>
      </w:r>
      <w:r w:rsidRPr="00371EFD">
        <w:t>tohoto</w:t>
      </w:r>
      <w:r>
        <w:t xml:space="preserve"> </w:t>
      </w:r>
      <w:r w:rsidRPr="00371EFD">
        <w:t>snížení.</w:t>
      </w:r>
      <w:r>
        <w:t xml:space="preserve"> </w:t>
      </w:r>
      <w:r w:rsidRPr="00371EFD">
        <w:t>Správce</w:t>
      </w:r>
      <w:r>
        <w:t xml:space="preserve"> </w:t>
      </w:r>
      <w:r w:rsidRPr="00371EFD">
        <w:t>zvláštního</w:t>
      </w:r>
      <w:r>
        <w:t xml:space="preserve"> </w:t>
      </w:r>
      <w:r w:rsidRPr="00371EFD">
        <w:t>účtu</w:t>
      </w:r>
      <w:r>
        <w:t xml:space="preserve"> </w:t>
      </w:r>
      <w:r w:rsidRPr="00371EFD">
        <w:t>toto</w:t>
      </w:r>
      <w:r>
        <w:t xml:space="preserve"> </w:t>
      </w:r>
      <w:r w:rsidRPr="00371EFD">
        <w:t>snížení</w:t>
      </w:r>
      <w:r>
        <w:t xml:space="preserve"> </w:t>
      </w:r>
      <w:r w:rsidRPr="00371EFD">
        <w:t>provede</w:t>
      </w:r>
      <w:r>
        <w:t xml:space="preserve"> </w:t>
      </w:r>
      <w:r w:rsidRPr="00371EFD">
        <w:t>v</w:t>
      </w:r>
      <w:r>
        <w:t xml:space="preserve"> </w:t>
      </w:r>
      <w:r w:rsidRPr="00371EFD">
        <w:t>rámci</w:t>
      </w:r>
      <w:r>
        <w:t xml:space="preserve"> </w:t>
      </w:r>
      <w:r w:rsidRPr="00371EFD">
        <w:t>ročního</w:t>
      </w:r>
      <w:r>
        <w:t xml:space="preserve"> </w:t>
      </w:r>
      <w:r w:rsidRPr="00371EFD">
        <w:t>vyúčtování</w:t>
      </w:r>
      <w:r>
        <w:t xml:space="preserve"> </w:t>
      </w:r>
      <w:r w:rsidRPr="00371EFD">
        <w:t>kompenzací</w:t>
      </w:r>
      <w:r>
        <w:t xml:space="preserve"> </w:t>
      </w:r>
      <w:r w:rsidRPr="00371EFD">
        <w:t>za</w:t>
      </w:r>
      <w:r>
        <w:t xml:space="preserve"> </w:t>
      </w:r>
      <w:r w:rsidRPr="00371EFD">
        <w:t>nákladné</w:t>
      </w:r>
      <w:r>
        <w:t xml:space="preserve"> </w:t>
      </w:r>
      <w:r w:rsidRPr="00371EFD">
        <w:t>hrazené</w:t>
      </w:r>
      <w:r>
        <w:t xml:space="preserve"> </w:t>
      </w:r>
      <w:r w:rsidRPr="00371EFD">
        <w:t>služby.</w:t>
      </w:r>
    </w:p>
    <w:p w14:paraId="24D029B6" w14:textId="77777777" w:rsidR="00816A98" w:rsidRPr="00371EFD" w:rsidRDefault="00816A98" w:rsidP="00B65A23">
      <w:pPr>
        <w:pStyle w:val="Textparagrafu"/>
        <w:spacing w:before="120" w:after="120"/>
      </w:pPr>
      <w:r w:rsidRPr="00371EFD">
        <w:t>(4)</w:t>
      </w:r>
      <w:r>
        <w:t xml:space="preserve"> </w:t>
      </w:r>
      <w:r w:rsidRPr="00371EFD">
        <w:t>Správce</w:t>
      </w:r>
      <w:r>
        <w:t xml:space="preserve"> </w:t>
      </w:r>
      <w:r w:rsidRPr="00371EFD">
        <w:t>zvláštního</w:t>
      </w:r>
      <w:r>
        <w:t xml:space="preserve"> </w:t>
      </w:r>
      <w:r w:rsidRPr="00371EFD">
        <w:t>účtu</w:t>
      </w:r>
      <w:r>
        <w:t xml:space="preserve"> </w:t>
      </w:r>
      <w:r w:rsidRPr="00371EFD">
        <w:t>vypočte</w:t>
      </w:r>
      <w:r>
        <w:t xml:space="preserve"> </w:t>
      </w:r>
      <w:r w:rsidRPr="00371EFD">
        <w:t>do</w:t>
      </w:r>
      <w:r>
        <w:t xml:space="preserve"> </w:t>
      </w:r>
      <w:r w:rsidRPr="00371EFD">
        <w:t>90</w:t>
      </w:r>
      <w:r>
        <w:t xml:space="preserve"> </w:t>
      </w:r>
      <w:r w:rsidRPr="00371EFD">
        <w:t>dnů</w:t>
      </w:r>
      <w:r>
        <w:t xml:space="preserve"> </w:t>
      </w:r>
      <w:r w:rsidRPr="00371EFD">
        <w:t>ode</w:t>
      </w:r>
      <w:r>
        <w:t xml:space="preserve"> </w:t>
      </w:r>
      <w:r w:rsidRPr="00371EFD">
        <w:t>dne</w:t>
      </w:r>
      <w:r>
        <w:t xml:space="preserve"> </w:t>
      </w:r>
      <w:r w:rsidRPr="00371EFD">
        <w:t>převzetí</w:t>
      </w:r>
      <w:r>
        <w:t xml:space="preserve"> </w:t>
      </w:r>
      <w:r w:rsidRPr="00371EFD">
        <w:t>vyúčtování</w:t>
      </w:r>
      <w:r>
        <w:t xml:space="preserve"> </w:t>
      </w:r>
      <w:r w:rsidRPr="00371EFD">
        <w:t>celkové</w:t>
      </w:r>
      <w:r>
        <w:t xml:space="preserve"> </w:t>
      </w:r>
      <w:r w:rsidRPr="00371EFD">
        <w:t>částky,</w:t>
      </w:r>
      <w:r>
        <w:t xml:space="preserve"> </w:t>
      </w:r>
      <w:r w:rsidRPr="00371EFD">
        <w:t>na</w:t>
      </w:r>
      <w:r>
        <w:t xml:space="preserve"> </w:t>
      </w:r>
      <w:r w:rsidRPr="00371EFD">
        <w:t>které</w:t>
      </w:r>
      <w:r>
        <w:t xml:space="preserve"> </w:t>
      </w:r>
      <w:r w:rsidRPr="00371EFD">
        <w:t>mají</w:t>
      </w:r>
      <w:r>
        <w:t xml:space="preserve"> </w:t>
      </w:r>
      <w:r w:rsidRPr="00371EFD">
        <w:t>jednotlivé</w:t>
      </w:r>
      <w:r>
        <w:t xml:space="preserve"> </w:t>
      </w:r>
      <w:r w:rsidRPr="00371EFD">
        <w:t>zdravotní</w:t>
      </w:r>
      <w:r>
        <w:t xml:space="preserve"> </w:t>
      </w:r>
      <w:r w:rsidRPr="00371EFD">
        <w:t>pojišťovny</w:t>
      </w:r>
      <w:r>
        <w:t xml:space="preserve"> </w:t>
      </w:r>
      <w:r w:rsidRPr="00371EFD">
        <w:t>nárok</w:t>
      </w:r>
      <w:r>
        <w:t xml:space="preserve"> </w:t>
      </w:r>
      <w:r w:rsidRPr="00371EFD">
        <w:t>podle</w:t>
      </w:r>
      <w:r>
        <w:t xml:space="preserve"> </w:t>
      </w:r>
      <w:r w:rsidRPr="00371EFD">
        <w:t>§</w:t>
      </w:r>
      <w:r>
        <w:t xml:space="preserve"> </w:t>
      </w:r>
      <w:r w:rsidRPr="00371EFD">
        <w:t>21a</w:t>
      </w:r>
      <w:r>
        <w:t xml:space="preserve"> </w:t>
      </w:r>
      <w:r w:rsidRPr="00371EFD">
        <w:t>odst.</w:t>
      </w:r>
      <w:r>
        <w:t xml:space="preserve"> </w:t>
      </w:r>
      <w:r w:rsidRPr="00371EFD">
        <w:t>2,</w:t>
      </w:r>
      <w:r>
        <w:t xml:space="preserve"> </w:t>
      </w:r>
      <w:r w:rsidRPr="00371EFD">
        <w:t>a</w:t>
      </w:r>
      <w:r>
        <w:t xml:space="preserve"> </w:t>
      </w:r>
      <w:r w:rsidRPr="00371EFD">
        <w:t>porovná</w:t>
      </w:r>
      <w:r>
        <w:t xml:space="preserve"> </w:t>
      </w:r>
      <w:r w:rsidRPr="00371EFD">
        <w:t>je</w:t>
      </w:r>
      <w:r>
        <w:t xml:space="preserve"> </w:t>
      </w:r>
      <w:r w:rsidRPr="00371EFD">
        <w:t>s</w:t>
      </w:r>
      <w:r>
        <w:t xml:space="preserve"> </w:t>
      </w:r>
      <w:r w:rsidRPr="00371EFD">
        <w:t>celkovou</w:t>
      </w:r>
      <w:r>
        <w:t xml:space="preserve"> </w:t>
      </w:r>
      <w:r w:rsidRPr="00371EFD">
        <w:t>výší</w:t>
      </w:r>
      <w:r>
        <w:t xml:space="preserve"> </w:t>
      </w:r>
      <w:r w:rsidRPr="00371EFD">
        <w:t>jim</w:t>
      </w:r>
      <w:r>
        <w:t xml:space="preserve"> </w:t>
      </w:r>
      <w:r w:rsidRPr="00371EFD">
        <w:t>poskytnutých</w:t>
      </w:r>
      <w:r>
        <w:t xml:space="preserve"> </w:t>
      </w:r>
      <w:r w:rsidRPr="00371EFD">
        <w:t>zálohových</w:t>
      </w:r>
      <w:r>
        <w:t xml:space="preserve"> </w:t>
      </w:r>
      <w:r w:rsidRPr="00371EFD">
        <w:t>plateb.</w:t>
      </w:r>
      <w:r>
        <w:t xml:space="preserve"> </w:t>
      </w:r>
      <w:r w:rsidRPr="00371EFD">
        <w:t>Zjistí-li</w:t>
      </w:r>
      <w:r>
        <w:t xml:space="preserve"> </w:t>
      </w:r>
      <w:r w:rsidRPr="00371EFD">
        <w:t>správce</w:t>
      </w:r>
      <w:r>
        <w:t xml:space="preserve"> </w:t>
      </w:r>
      <w:r w:rsidRPr="00371EFD">
        <w:t>zvláštního</w:t>
      </w:r>
      <w:r>
        <w:t xml:space="preserve"> </w:t>
      </w:r>
      <w:r w:rsidRPr="00371EFD">
        <w:t>účtu</w:t>
      </w:r>
      <w:r>
        <w:t xml:space="preserve"> </w:t>
      </w:r>
      <w:r w:rsidRPr="00371EFD">
        <w:t>rozdíl</w:t>
      </w:r>
      <w:r>
        <w:t xml:space="preserve"> </w:t>
      </w:r>
      <w:r w:rsidRPr="00371EFD">
        <w:t>mezi</w:t>
      </w:r>
      <w:r>
        <w:t xml:space="preserve"> </w:t>
      </w:r>
      <w:r w:rsidRPr="00371EFD">
        <w:t>nároky</w:t>
      </w:r>
      <w:r>
        <w:t xml:space="preserve"> </w:t>
      </w:r>
      <w:r w:rsidRPr="00371EFD">
        <w:t>a</w:t>
      </w:r>
      <w:r>
        <w:t xml:space="preserve"> </w:t>
      </w:r>
      <w:r w:rsidRPr="00371EFD">
        <w:t>výší</w:t>
      </w:r>
      <w:r>
        <w:t xml:space="preserve"> </w:t>
      </w:r>
      <w:r w:rsidRPr="00371EFD">
        <w:t>zálohových</w:t>
      </w:r>
      <w:r>
        <w:t xml:space="preserve"> </w:t>
      </w:r>
      <w:r w:rsidRPr="00371EFD">
        <w:t>plateb</w:t>
      </w:r>
      <w:r>
        <w:t xml:space="preserve"> </w:t>
      </w:r>
      <w:r w:rsidRPr="00371EFD">
        <w:t>větší</w:t>
      </w:r>
      <w:r>
        <w:t xml:space="preserve"> </w:t>
      </w:r>
      <w:r w:rsidRPr="00371EFD">
        <w:t>než</w:t>
      </w:r>
      <w:r>
        <w:t xml:space="preserve"> </w:t>
      </w:r>
      <w:r w:rsidRPr="00371EFD">
        <w:t>0,01</w:t>
      </w:r>
      <w:r>
        <w:t xml:space="preserve"> </w:t>
      </w:r>
      <w:r w:rsidRPr="00371EFD">
        <w:t>%</w:t>
      </w:r>
      <w:r>
        <w:t xml:space="preserve"> </w:t>
      </w:r>
      <w:r w:rsidRPr="00371EFD">
        <w:t>celkové</w:t>
      </w:r>
      <w:r>
        <w:t xml:space="preserve"> </w:t>
      </w:r>
      <w:r w:rsidRPr="00371EFD">
        <w:t>výše</w:t>
      </w:r>
      <w:r>
        <w:t xml:space="preserve"> </w:t>
      </w:r>
      <w:r w:rsidRPr="00371EFD">
        <w:t>zálohových</w:t>
      </w:r>
      <w:r>
        <w:t xml:space="preserve"> </w:t>
      </w:r>
      <w:r w:rsidRPr="00371EFD">
        <w:t>plateb,</w:t>
      </w:r>
      <w:r>
        <w:t xml:space="preserve"> </w:t>
      </w:r>
      <w:r w:rsidRPr="00371EFD">
        <w:t>vypořádá</w:t>
      </w:r>
      <w:r>
        <w:t xml:space="preserve"> </w:t>
      </w:r>
      <w:r w:rsidRPr="00371EFD">
        <w:t>tento</w:t>
      </w:r>
      <w:r>
        <w:t xml:space="preserve"> </w:t>
      </w:r>
      <w:r w:rsidRPr="00371EFD">
        <w:t>rozdíl</w:t>
      </w:r>
      <w:r>
        <w:t xml:space="preserve"> </w:t>
      </w:r>
      <w:r w:rsidRPr="00371EFD">
        <w:t>v</w:t>
      </w:r>
      <w:r>
        <w:t xml:space="preserve"> </w:t>
      </w:r>
      <w:r w:rsidRPr="00371EFD">
        <w:t>následujícím</w:t>
      </w:r>
      <w:r>
        <w:t xml:space="preserve"> </w:t>
      </w:r>
      <w:r w:rsidRPr="00371EFD">
        <w:t>měsíci,</w:t>
      </w:r>
      <w:r>
        <w:t xml:space="preserve"> </w:t>
      </w:r>
      <w:r w:rsidRPr="00371EFD">
        <w:t>a</w:t>
      </w:r>
      <w:r>
        <w:t xml:space="preserve"> </w:t>
      </w:r>
      <w:r w:rsidRPr="00371EFD">
        <w:t>to</w:t>
      </w:r>
      <w:r>
        <w:t xml:space="preserve"> </w:t>
      </w:r>
      <w:r w:rsidRPr="00371EFD">
        <w:t>tak,</w:t>
      </w:r>
      <w:r>
        <w:t xml:space="preserve"> </w:t>
      </w:r>
      <w:r w:rsidRPr="00371EFD">
        <w:t>že</w:t>
      </w:r>
      <w:r>
        <w:t xml:space="preserve"> </w:t>
      </w:r>
      <w:r w:rsidRPr="00371EFD">
        <w:t>zdravotní</w:t>
      </w:r>
      <w:r>
        <w:t xml:space="preserve"> </w:t>
      </w:r>
      <w:r w:rsidRPr="00371EFD">
        <w:t>pojišťovně</w:t>
      </w:r>
      <w:r>
        <w:t xml:space="preserve"> </w:t>
      </w:r>
      <w:r w:rsidRPr="00371EFD">
        <w:t>spolu</w:t>
      </w:r>
      <w:r>
        <w:t xml:space="preserve"> </w:t>
      </w:r>
      <w:r w:rsidRPr="00371EFD">
        <w:t>s</w:t>
      </w:r>
      <w:r>
        <w:t xml:space="preserve"> </w:t>
      </w:r>
      <w:r w:rsidRPr="00371EFD">
        <w:t>částkou</w:t>
      </w:r>
      <w:r>
        <w:t xml:space="preserve"> </w:t>
      </w:r>
      <w:r w:rsidRPr="00371EFD">
        <w:t>podle</w:t>
      </w:r>
      <w:r>
        <w:t xml:space="preserve"> </w:t>
      </w:r>
      <w:r w:rsidRPr="00371EFD">
        <w:t>§</w:t>
      </w:r>
      <w:r>
        <w:t xml:space="preserve"> </w:t>
      </w:r>
      <w:r w:rsidRPr="00371EFD">
        <w:t>21a</w:t>
      </w:r>
      <w:r>
        <w:t xml:space="preserve"> </w:t>
      </w:r>
      <w:r w:rsidRPr="00371EFD">
        <w:t>odst.</w:t>
      </w:r>
      <w:r>
        <w:t xml:space="preserve"> </w:t>
      </w:r>
      <w:r w:rsidRPr="00371EFD">
        <w:t>6</w:t>
      </w:r>
      <w:r>
        <w:t xml:space="preserve"> </w:t>
      </w:r>
      <w:r w:rsidRPr="00371EFD">
        <w:t>oznámí</w:t>
      </w:r>
      <w:r>
        <w:t xml:space="preserve"> </w:t>
      </w:r>
      <w:r w:rsidRPr="00371EFD">
        <w:t>též</w:t>
      </w:r>
      <w:r>
        <w:t xml:space="preserve"> </w:t>
      </w:r>
      <w:r w:rsidRPr="00371EFD">
        <w:t>opravnou</w:t>
      </w:r>
      <w:r>
        <w:t xml:space="preserve"> </w:t>
      </w:r>
      <w:r w:rsidRPr="00371EFD">
        <w:t>částku</w:t>
      </w:r>
      <w:r>
        <w:t xml:space="preserve"> </w:t>
      </w:r>
      <w:r w:rsidRPr="00371EFD">
        <w:t>ve</w:t>
      </w:r>
      <w:r>
        <w:t xml:space="preserve"> </w:t>
      </w:r>
      <w:r w:rsidRPr="00371EFD">
        <w:t>výši</w:t>
      </w:r>
      <w:r>
        <w:t xml:space="preserve"> </w:t>
      </w:r>
      <w:r w:rsidRPr="00371EFD">
        <w:t>tohoto</w:t>
      </w:r>
      <w:r>
        <w:t xml:space="preserve"> </w:t>
      </w:r>
      <w:r w:rsidRPr="00371EFD">
        <w:t>rozdílu.</w:t>
      </w:r>
      <w:r>
        <w:t xml:space="preserve"> </w:t>
      </w:r>
      <w:r w:rsidRPr="00371EFD">
        <w:t>O</w:t>
      </w:r>
      <w:r>
        <w:t xml:space="preserve"> </w:t>
      </w:r>
      <w:r w:rsidRPr="00371EFD">
        <w:t>tuto</w:t>
      </w:r>
      <w:r>
        <w:t xml:space="preserve"> </w:t>
      </w:r>
      <w:r w:rsidRPr="00371EFD">
        <w:t>opravnou</w:t>
      </w:r>
      <w:r>
        <w:t xml:space="preserve"> </w:t>
      </w:r>
      <w:r w:rsidRPr="00371EFD">
        <w:t>částku</w:t>
      </w:r>
      <w:r>
        <w:t xml:space="preserve"> </w:t>
      </w:r>
      <w:r w:rsidRPr="00371EFD">
        <w:t>se</w:t>
      </w:r>
      <w:r>
        <w:t xml:space="preserve"> </w:t>
      </w:r>
      <w:r w:rsidRPr="00371EFD">
        <w:t>v</w:t>
      </w:r>
      <w:r>
        <w:t xml:space="preserve"> </w:t>
      </w:r>
      <w:r w:rsidRPr="00371EFD">
        <w:t>příslušném</w:t>
      </w:r>
      <w:r>
        <w:t xml:space="preserve"> </w:t>
      </w:r>
      <w:r w:rsidRPr="00371EFD">
        <w:t>měsíci</w:t>
      </w:r>
      <w:r>
        <w:t xml:space="preserve"> </w:t>
      </w:r>
      <w:r w:rsidRPr="00371EFD">
        <w:t>upraví</w:t>
      </w:r>
      <w:r>
        <w:t xml:space="preserve"> </w:t>
      </w:r>
      <w:r w:rsidRPr="00371EFD">
        <w:t>výsledný</w:t>
      </w:r>
      <w:r>
        <w:t xml:space="preserve"> </w:t>
      </w:r>
      <w:r w:rsidRPr="00371EFD">
        <w:t>nárok</w:t>
      </w:r>
      <w:r>
        <w:t xml:space="preserve"> </w:t>
      </w:r>
      <w:r w:rsidRPr="00371EFD">
        <w:t>nebo</w:t>
      </w:r>
      <w:r>
        <w:t xml:space="preserve"> </w:t>
      </w:r>
      <w:r w:rsidRPr="00371EFD">
        <w:t>závazek</w:t>
      </w:r>
      <w:r>
        <w:t xml:space="preserve"> </w:t>
      </w:r>
      <w:r w:rsidRPr="00371EFD">
        <w:t>zdravotní</w:t>
      </w:r>
      <w:r>
        <w:t xml:space="preserve"> </w:t>
      </w:r>
      <w:r w:rsidRPr="00371EFD">
        <w:t>pojišťovny</w:t>
      </w:r>
      <w:r>
        <w:t xml:space="preserve"> </w:t>
      </w:r>
      <w:r w:rsidRPr="00371EFD">
        <w:t>podle</w:t>
      </w:r>
      <w:r>
        <w:t xml:space="preserve"> </w:t>
      </w:r>
      <w:r w:rsidRPr="00371EFD">
        <w:t>§</w:t>
      </w:r>
      <w:r>
        <w:t xml:space="preserve"> </w:t>
      </w:r>
      <w:r w:rsidRPr="00371EFD">
        <w:t>21b</w:t>
      </w:r>
      <w:r>
        <w:t xml:space="preserve"> </w:t>
      </w:r>
      <w:r w:rsidRPr="00371EFD">
        <w:t>a</w:t>
      </w:r>
      <w:r>
        <w:t xml:space="preserve"> </w:t>
      </w:r>
      <w:r w:rsidRPr="00371EFD">
        <w:t>o</w:t>
      </w:r>
      <w:r>
        <w:t xml:space="preserve"> </w:t>
      </w:r>
      <w:r w:rsidRPr="00371EFD">
        <w:t>výši</w:t>
      </w:r>
      <w:r>
        <w:t xml:space="preserve"> </w:t>
      </w:r>
      <w:r w:rsidRPr="00371EFD">
        <w:t>tohoto</w:t>
      </w:r>
      <w:r>
        <w:t xml:space="preserve"> </w:t>
      </w:r>
      <w:r w:rsidRPr="00371EFD">
        <w:t>nároku</w:t>
      </w:r>
      <w:r>
        <w:t xml:space="preserve"> </w:t>
      </w:r>
      <w:r w:rsidRPr="00371EFD">
        <w:t>nebo</w:t>
      </w:r>
      <w:r>
        <w:t xml:space="preserve"> </w:t>
      </w:r>
      <w:r w:rsidRPr="00371EFD">
        <w:t>závazku</w:t>
      </w:r>
      <w:r>
        <w:t xml:space="preserve"> </w:t>
      </w:r>
      <w:r w:rsidRPr="00371EFD">
        <w:t>se</w:t>
      </w:r>
      <w:r>
        <w:t xml:space="preserve"> </w:t>
      </w:r>
      <w:r w:rsidRPr="00371EFD">
        <w:t>upraví</w:t>
      </w:r>
      <w:r>
        <w:t xml:space="preserve"> </w:t>
      </w:r>
      <w:r w:rsidRPr="00371EFD">
        <w:t>částka</w:t>
      </w:r>
      <w:r>
        <w:t xml:space="preserve"> </w:t>
      </w:r>
      <w:r w:rsidRPr="00371EFD">
        <w:t>určená</w:t>
      </w:r>
      <w:r>
        <w:t xml:space="preserve"> </w:t>
      </w:r>
      <w:r w:rsidRPr="00371EFD">
        <w:t>k</w:t>
      </w:r>
      <w:r>
        <w:t xml:space="preserve"> </w:t>
      </w:r>
      <w:r w:rsidRPr="00371EFD">
        <w:t>přerozdělování</w:t>
      </w:r>
      <w:r>
        <w:t xml:space="preserve"> </w:t>
      </w:r>
      <w:r w:rsidRPr="00371EFD">
        <w:t>v</w:t>
      </w:r>
      <w:r>
        <w:t xml:space="preserve"> </w:t>
      </w:r>
      <w:r w:rsidRPr="00371EFD">
        <w:t>příslušném</w:t>
      </w:r>
      <w:r>
        <w:t xml:space="preserve"> </w:t>
      </w:r>
      <w:r w:rsidRPr="00371EFD">
        <w:t>měsíci.</w:t>
      </w:r>
    </w:p>
    <w:p w14:paraId="481B4DE6" w14:textId="77777777" w:rsidR="00707E63" w:rsidRDefault="00707E63" w:rsidP="00223B5D">
      <w:pPr>
        <w:pStyle w:val="Textparagrafu"/>
        <w:tabs>
          <w:tab w:val="left" w:pos="392"/>
        </w:tabs>
        <w:ind w:firstLine="0"/>
        <w:jc w:val="center"/>
        <w:sectPr w:rsidR="00707E63" w:rsidSect="00084391">
          <w:footnotePr>
            <w:numStart w:val="3"/>
          </w:footnotePr>
          <w:endnotePr>
            <w:numFmt w:val="decimal"/>
          </w:endnotePr>
          <w:pgSz w:w="11906" w:h="16838"/>
          <w:pgMar w:top="1418" w:right="1418" w:bottom="1418" w:left="1418" w:header="709" w:footer="709" w:gutter="0"/>
          <w:cols w:space="708"/>
          <w:docGrid w:linePitch="360"/>
        </w:sectPr>
      </w:pPr>
    </w:p>
    <w:p w14:paraId="5F6D3131" w14:textId="278F4F16" w:rsidR="00707E63" w:rsidRDefault="00707E63" w:rsidP="00B65A23">
      <w:pPr>
        <w:pStyle w:val="Odstavecseseznamem"/>
        <w:tabs>
          <w:tab w:val="left" w:pos="851"/>
        </w:tabs>
        <w:spacing w:before="120" w:after="120"/>
        <w:ind w:left="0" w:firstLine="0"/>
        <w:jc w:val="center"/>
        <w:outlineLvl w:val="0"/>
        <w:rPr>
          <w:szCs w:val="24"/>
        </w:rPr>
      </w:pPr>
      <w:r w:rsidRPr="00F80E61">
        <w:rPr>
          <w:b/>
          <w:szCs w:val="24"/>
        </w:rPr>
        <w:lastRenderedPageBreak/>
        <w:t xml:space="preserve">K části dvacáté </w:t>
      </w:r>
      <w:r w:rsidR="00F80E61" w:rsidRPr="00F80E61">
        <w:rPr>
          <w:b/>
          <w:szCs w:val="24"/>
        </w:rPr>
        <w:t>druhé</w:t>
      </w:r>
      <w:r w:rsidRPr="00F80E61">
        <w:rPr>
          <w:b/>
          <w:szCs w:val="24"/>
        </w:rPr>
        <w:t xml:space="preserve"> návrhu zákona – </w:t>
      </w:r>
      <w:r w:rsidRPr="00F80E61">
        <w:rPr>
          <w:szCs w:val="24"/>
        </w:rPr>
        <w:t>změna zákona o rezervách pro zjištění základu daně z příjmů</w:t>
      </w:r>
    </w:p>
    <w:p w14:paraId="55C2DF5B" w14:textId="77777777" w:rsidR="00707E63" w:rsidRPr="00383BB6" w:rsidRDefault="00707E63" w:rsidP="00707E63">
      <w:pPr>
        <w:pStyle w:val="Odstavecseseznamem"/>
        <w:tabs>
          <w:tab w:val="left" w:pos="851"/>
        </w:tabs>
        <w:spacing w:before="120" w:after="120"/>
        <w:ind w:left="0" w:firstLine="0"/>
        <w:outlineLvl w:val="0"/>
        <w:rPr>
          <w:b/>
          <w:szCs w:val="24"/>
        </w:rPr>
      </w:pPr>
    </w:p>
    <w:p w14:paraId="7B050501" w14:textId="239DF38B" w:rsidR="00707E63" w:rsidRPr="00383BB6" w:rsidRDefault="00707E63" w:rsidP="00707E63">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383BB6">
        <w:rPr>
          <w:b/>
          <w:szCs w:val="24"/>
        </w:rPr>
        <w:t>Platné znění</w:t>
      </w:r>
      <w:r w:rsidRPr="00383BB6">
        <w:rPr>
          <w:szCs w:val="24"/>
        </w:rPr>
        <w:t xml:space="preserve"> zákona </w:t>
      </w:r>
      <w:r w:rsidRPr="00383BB6">
        <w:rPr>
          <w:color w:val="000000"/>
          <w:szCs w:val="24"/>
        </w:rPr>
        <w:t>č. 5</w:t>
      </w:r>
      <w:r>
        <w:rPr>
          <w:color w:val="000000"/>
          <w:szCs w:val="24"/>
        </w:rPr>
        <w:t>93</w:t>
      </w:r>
      <w:r w:rsidRPr="00383BB6">
        <w:rPr>
          <w:color w:val="000000"/>
          <w:szCs w:val="24"/>
        </w:rPr>
        <w:t xml:space="preserve">/1992 Sb., </w:t>
      </w:r>
      <w:r w:rsidRPr="00707E63">
        <w:rPr>
          <w:szCs w:val="24"/>
        </w:rPr>
        <w:t>o rezervách pro zjištění základu daně z příjmů</w:t>
      </w:r>
    </w:p>
    <w:p w14:paraId="470A8A2D" w14:textId="77777777" w:rsidR="00B65A23" w:rsidRPr="00A06781" w:rsidRDefault="00B65A23" w:rsidP="00B65A23">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b/>
          <w:szCs w:val="24"/>
        </w:rPr>
      </w:pPr>
      <w:r w:rsidRPr="00A06781">
        <w:rPr>
          <w:b/>
          <w:szCs w:val="24"/>
        </w:rPr>
        <w:t>s vyznačením navrhovaných změn a doplnění k 1. lednu 2025</w:t>
      </w:r>
    </w:p>
    <w:p w14:paraId="4DC9C11E" w14:textId="77777777" w:rsidR="00F80E61" w:rsidRPr="00E6374C" w:rsidRDefault="00F80E61" w:rsidP="00F80E61">
      <w:pPr>
        <w:keepNext/>
        <w:keepLines/>
        <w:numPr>
          <w:ilvl w:val="0"/>
          <w:numId w:val="27"/>
        </w:numPr>
        <w:jc w:val="center"/>
        <w:outlineLvl w:val="5"/>
      </w:pPr>
      <w:r w:rsidRPr="00E6374C">
        <w:t xml:space="preserve">§ 1 </w:t>
      </w:r>
    </w:p>
    <w:p w14:paraId="5002816D" w14:textId="0A96ED7E" w:rsidR="00F80E61" w:rsidRDefault="00F80E61" w:rsidP="00F80E61">
      <w:pPr>
        <w:outlineLvl w:val="5"/>
      </w:pPr>
      <w:r w:rsidRPr="00E6374C">
        <w:t xml:space="preserve">Tento zákon upravuje pro účely zjištění základu daně z příjmů </w:t>
      </w:r>
      <w:r w:rsidRPr="0076334E">
        <w:t xml:space="preserve">způsob tvorby a výši rezerv </w:t>
      </w:r>
      <w:r w:rsidRPr="005111F3">
        <w:rPr>
          <w:strike/>
        </w:rPr>
        <w:t>a opravných položek</w:t>
      </w:r>
      <w:r w:rsidRPr="0076334E">
        <w:t>, které jsou výdajem (nákladem) vynaloženým na dosažení, zajištění a udržení příjmů</w:t>
      </w:r>
      <w:r>
        <w:rPr>
          <w:rStyle w:val="Znakapoznpodarou"/>
        </w:rPr>
        <w:footnoteReference w:customMarkFollows="1" w:id="190"/>
        <w:t>1)</w:t>
      </w:r>
      <w:r w:rsidRPr="0076334E">
        <w:t>, nebo položkou snižující základ daně z příjmů u poplatníků daní z </w:t>
      </w:r>
      <w:proofErr w:type="gramStart"/>
      <w:r w:rsidRPr="0076334E">
        <w:t>příjmů</w:t>
      </w:r>
      <w:r w:rsidRPr="0076334E">
        <w:rPr>
          <w:b/>
        </w:rPr>
        <w:t>,</w:t>
      </w:r>
      <w:r w:rsidRPr="0076334E">
        <w:t xml:space="preserve"> </w:t>
      </w:r>
      <w:r w:rsidRPr="0076334E">
        <w:rPr>
          <w:b/>
        </w:rPr>
        <w:t>a  opravných</w:t>
      </w:r>
      <w:proofErr w:type="gramEnd"/>
      <w:r w:rsidRPr="0076334E">
        <w:rPr>
          <w:b/>
        </w:rPr>
        <w:t xml:space="preserve"> položek, které jsou průběžným výdajem snižujícím daňovou hodnotu pohledávky pro účely daní z příjmů</w:t>
      </w:r>
      <w:r w:rsidRPr="00E6374C">
        <w:t>.</w:t>
      </w:r>
    </w:p>
    <w:p w14:paraId="0B2C1129" w14:textId="77777777" w:rsidR="00F80E61" w:rsidRPr="00E6374C" w:rsidRDefault="00F80E61" w:rsidP="00F80E61">
      <w:pPr>
        <w:keepNext/>
        <w:keepLines/>
        <w:numPr>
          <w:ilvl w:val="0"/>
          <w:numId w:val="27"/>
        </w:numPr>
        <w:jc w:val="center"/>
        <w:outlineLvl w:val="5"/>
      </w:pPr>
      <w:r w:rsidRPr="00E6374C">
        <w:t xml:space="preserve">§ 2 </w:t>
      </w:r>
    </w:p>
    <w:p w14:paraId="349B0E36" w14:textId="4972D874" w:rsidR="00F80E61" w:rsidRPr="00E6374C" w:rsidRDefault="00F80E61" w:rsidP="00F80E61">
      <w:pPr>
        <w:tabs>
          <w:tab w:val="left" w:pos="782"/>
          <w:tab w:val="left" w:pos="851"/>
        </w:tabs>
        <w:spacing w:before="120" w:after="120"/>
        <w:outlineLvl w:val="6"/>
      </w:pPr>
      <w:r>
        <w:t xml:space="preserve">(1) </w:t>
      </w:r>
      <w:r w:rsidRPr="00E6374C">
        <w:t xml:space="preserve">Rezervami podle § 1 se rozumí bankovní rezervy, rezervy v pojišťovnictví, </w:t>
      </w:r>
      <w:r w:rsidRPr="00C861FE">
        <w:t xml:space="preserve">rezerva na opravy </w:t>
      </w:r>
      <w:r w:rsidRPr="00C861FE">
        <w:rPr>
          <w:strike/>
        </w:rPr>
        <w:t>hmotného majetku</w:t>
      </w:r>
      <w:r w:rsidRPr="00E6374C">
        <w:t xml:space="preserve">, rezerva na pěstební činnost, rezerva na nakládání s elektroodpadem ze solárních panelů a ostatní rezervy v rozsahu stanoveném tímto zákonem. </w:t>
      </w:r>
      <w:r w:rsidRPr="00E6374C">
        <w:rPr>
          <w:b/>
        </w:rPr>
        <w:t>Tyto rezervy jsou pro účely daní z příjmů daňovými rezervami.</w:t>
      </w:r>
    </w:p>
    <w:p w14:paraId="3B7D0FEC" w14:textId="675F378C" w:rsidR="00F80E61" w:rsidRPr="00E6374C" w:rsidRDefault="00F80E61" w:rsidP="00F80E61">
      <w:pPr>
        <w:tabs>
          <w:tab w:val="left" w:pos="782"/>
          <w:tab w:val="left" w:pos="851"/>
        </w:tabs>
        <w:spacing w:before="120" w:after="120"/>
        <w:outlineLvl w:val="6"/>
      </w:pPr>
      <w:r>
        <w:t xml:space="preserve">(2) </w:t>
      </w:r>
      <w:r w:rsidRPr="00C861FE">
        <w:t>Opravnými položkami podle</w:t>
      </w:r>
      <w:r w:rsidRPr="00E6374C">
        <w:t xml:space="preserve"> § 1 se </w:t>
      </w:r>
      <w:r w:rsidRPr="007E51E4">
        <w:rPr>
          <w:b/>
        </w:rPr>
        <w:t>pro účely daní z příjmů</w:t>
      </w:r>
      <w:r w:rsidRPr="007E51E4">
        <w:t xml:space="preserve"> </w:t>
      </w:r>
      <w:r w:rsidRPr="00E6374C">
        <w:t xml:space="preserve">rozumí opravné položky vymezené v tomto zákoně, vytvořené k </w:t>
      </w:r>
      <w:r w:rsidRPr="0076334E">
        <w:rPr>
          <w:strike/>
        </w:rPr>
        <w:t xml:space="preserve">rozvahové </w:t>
      </w:r>
      <w:r w:rsidRPr="0076334E">
        <w:rPr>
          <w:b/>
        </w:rPr>
        <w:t xml:space="preserve">daňové </w:t>
      </w:r>
      <w:r w:rsidRPr="0076334E">
        <w:t>hodnotě</w:t>
      </w:r>
      <w:r w:rsidRPr="007E51E4">
        <w:rPr>
          <w:shd w:val="clear" w:color="auto" w:fill="FFF2CC" w:themeFill="accent4" w:themeFillTint="33"/>
        </w:rPr>
        <w:t xml:space="preserve"> </w:t>
      </w:r>
      <w:r w:rsidRPr="00E6374C">
        <w:t>nepromlčených pohledávek</w:t>
      </w:r>
      <w:r w:rsidRPr="00047D16">
        <w:rPr>
          <w:b/>
          <w:color w:val="FF0000"/>
        </w:rPr>
        <w:t xml:space="preserve"> </w:t>
      </w:r>
      <w:r w:rsidRPr="007E51E4">
        <w:rPr>
          <w:b/>
        </w:rPr>
        <w:t>poplatníka s akruálním základem daně</w:t>
      </w:r>
      <w:r w:rsidRPr="007E51E4">
        <w:t xml:space="preserve"> splatných po 31. prosinci 1994 </w:t>
      </w:r>
      <w:r w:rsidRPr="007E51E4">
        <w:rPr>
          <w:strike/>
        </w:rPr>
        <w:t>a zaúčtované podle zvláštního právního předpisu</w:t>
      </w:r>
      <w:r w:rsidRPr="007E51E4">
        <w:rPr>
          <w:strike/>
          <w:vertAlign w:val="superscript"/>
        </w:rPr>
        <w:t>1a)</w:t>
      </w:r>
      <w:r w:rsidRPr="007E51E4">
        <w:rPr>
          <w:strike/>
        </w:rPr>
        <w:t xml:space="preserve"> nebo pohledávek vedených v prokazatelné evidenci podle § 3 odst. 3</w:t>
      </w:r>
      <w:r w:rsidRPr="004B5A06">
        <w:t xml:space="preserve">. </w:t>
      </w:r>
      <w:r w:rsidRPr="007E51E4">
        <w:rPr>
          <w:strike/>
        </w:rPr>
        <w:t xml:space="preserve">Pro účely tohoto zákona se </w:t>
      </w:r>
      <w:r w:rsidRPr="0076334E">
        <w:rPr>
          <w:strike/>
        </w:rPr>
        <w:t>rozvahovou hodnotou</w:t>
      </w:r>
      <w:r w:rsidRPr="007E51E4">
        <w:rPr>
          <w:strike/>
        </w:rPr>
        <w:t xml:space="preserve"> pohledávky rozumí </w:t>
      </w:r>
      <w:r w:rsidRPr="0076334E">
        <w:rPr>
          <w:strike/>
        </w:rPr>
        <w:t>jmenovitá hodnota nebo pořizovací cena pohledávky zaúčtovaná na rozvahových účtech poplatníka</w:t>
      </w:r>
      <w:r w:rsidRPr="007E51E4">
        <w:rPr>
          <w:strike/>
        </w:rPr>
        <w:t xml:space="preserve"> </w:t>
      </w:r>
      <w:r w:rsidRPr="0076334E">
        <w:rPr>
          <w:strike/>
        </w:rPr>
        <w:t>bez vlivu změny reálné hodnoty (oceňovacího rozdílu)</w:t>
      </w:r>
      <w:r>
        <w:rPr>
          <w:rStyle w:val="Znakapoznpodarou"/>
          <w:strike/>
        </w:rPr>
        <w:footnoteReference w:customMarkFollows="1" w:id="191"/>
        <w:t>1a)</w:t>
      </w:r>
      <w:r>
        <w:rPr>
          <w:strike/>
        </w:rPr>
        <w:t xml:space="preserve"> </w:t>
      </w:r>
      <w:r w:rsidRPr="0076334E">
        <w:rPr>
          <w:strike/>
        </w:rPr>
        <w:t>nebo vedená v prokazatelné evide</w:t>
      </w:r>
      <w:r w:rsidRPr="007E51E4">
        <w:rPr>
          <w:strike/>
        </w:rPr>
        <w:t>nci podle § 3 odst. 3</w:t>
      </w:r>
      <w:r w:rsidRPr="004B5A06">
        <w:rPr>
          <w:strike/>
        </w:rPr>
        <w:t>.</w:t>
      </w:r>
      <w:r w:rsidRPr="007E51E4">
        <w:t xml:space="preserve"> </w:t>
      </w:r>
      <w:r w:rsidRPr="00E6374C">
        <w:t xml:space="preserve">Není-li tímto zákonem výslovně stanoveno jinak, opravné položky lze tvořit pouze k pohledávkám, </w:t>
      </w:r>
      <w:r w:rsidRPr="00354423">
        <w:t>o kterých bylo při jejich vzniku účtováno ve výnosech a takto vzniklý příjem nebyl podle zvláštního právního předpisu</w:t>
      </w:r>
      <w:r>
        <w:rPr>
          <w:rStyle w:val="Znakapoznpodarou"/>
        </w:rPr>
        <w:footnoteReference w:customMarkFollows="1" w:id="192"/>
        <w:t>1d)</w:t>
      </w:r>
      <w:r w:rsidRPr="00354423">
        <w:t xml:space="preserve"> příjmem osvobozeným od daně z příjmů nebo nezahrnovaným do základu daně z příjmů nebo zahrnovaným do samostatného základu daně z příjmů anebo základu daně pro zvláštní sazbu daně.</w:t>
      </w:r>
      <w:r w:rsidRPr="00E6374C">
        <w:t xml:space="preserve"> Není-li tímto zákonem výslovně stanoveno jinak, opravné položky se netvoří k pohledávkám vzniklým z titulu cenných papírů a ostatních investičních nástrojů,</w:t>
      </w:r>
      <w:r>
        <w:rPr>
          <w:rStyle w:val="Znakapoznpodarou"/>
        </w:rPr>
        <w:footnoteReference w:customMarkFollows="1" w:id="193"/>
        <w:t>1b)</w:t>
      </w:r>
      <w:r w:rsidRPr="00E6374C">
        <w:t xml:space="preserve"> úvěrů, zápůjček, ručení, záloh, plnění ve prospěch vlastního kapitálu, úhrady ztráty obchodní korporace, smluvních pokut a úroků z prodlení, poplatků z prodlení, penále a jiných sankcí ze závazkových vztahů, k pohledávkám nabytým bezúplatně a k souboru pohledávek.</w:t>
      </w:r>
    </w:p>
    <w:p w14:paraId="47D8B690" w14:textId="10744AF0" w:rsidR="00F80E61" w:rsidRPr="0057502C" w:rsidRDefault="00F80E61" w:rsidP="00F80E61">
      <w:pPr>
        <w:tabs>
          <w:tab w:val="left" w:pos="782"/>
          <w:tab w:val="left" w:pos="851"/>
        </w:tabs>
        <w:spacing w:before="120" w:after="120"/>
        <w:outlineLvl w:val="6"/>
      </w:pPr>
      <w:r>
        <w:t xml:space="preserve">(3) </w:t>
      </w:r>
      <w:r w:rsidRPr="00E6374C">
        <w:t>V případě nabytí pohledávky postoupením může postupník tvořit opravné položky k</w:t>
      </w:r>
      <w:r>
        <w:t> </w:t>
      </w:r>
      <w:r w:rsidRPr="004D43FB">
        <w:rPr>
          <w:strike/>
        </w:rPr>
        <w:t>rozvahové</w:t>
      </w:r>
      <w:r w:rsidRPr="004D43FB">
        <w:t xml:space="preserve"> </w:t>
      </w:r>
      <w:r w:rsidRPr="004D43FB">
        <w:rPr>
          <w:b/>
        </w:rPr>
        <w:t>daňové</w:t>
      </w:r>
      <w:r w:rsidRPr="004D43FB">
        <w:t xml:space="preserve"> hodnotě</w:t>
      </w:r>
      <w:r w:rsidRPr="00E6374C">
        <w:t xml:space="preserve"> pohledávky, pokud uhradil její </w:t>
      </w:r>
      <w:r w:rsidRPr="00D949ED">
        <w:t>pořizovací</w:t>
      </w:r>
      <w:r w:rsidRPr="0057502C">
        <w:rPr>
          <w:strike/>
        </w:rPr>
        <w:t xml:space="preserve"> </w:t>
      </w:r>
      <w:r w:rsidRPr="0072360C">
        <w:rPr>
          <w:strike/>
        </w:rPr>
        <w:t>cenu</w:t>
      </w:r>
      <w:r w:rsidRPr="0057502C">
        <w:rPr>
          <w:strike/>
        </w:rPr>
        <w:t xml:space="preserve"> </w:t>
      </w:r>
      <w:r>
        <w:rPr>
          <w:b/>
        </w:rPr>
        <w:t>výdaj</w:t>
      </w:r>
      <w:r w:rsidRPr="0057502C">
        <w:t>.</w:t>
      </w:r>
    </w:p>
    <w:p w14:paraId="5FE08661" w14:textId="44CDA7F1" w:rsidR="00F80E61" w:rsidRPr="00E6374C" w:rsidRDefault="00F80E61" w:rsidP="00F80E61">
      <w:pPr>
        <w:tabs>
          <w:tab w:val="left" w:pos="782"/>
          <w:tab w:val="left" w:pos="851"/>
        </w:tabs>
        <w:spacing w:before="120" w:after="120"/>
        <w:outlineLvl w:val="6"/>
      </w:pPr>
      <w:r>
        <w:t xml:space="preserve">(4) </w:t>
      </w:r>
      <w:r w:rsidRPr="00E6374C">
        <w:t>Nepostupuje-li věřitel podle § 5 a 8, nesmí tvořit opravné položky k pohledávkám, jestliže má k dlužníkovi současně splatné dluhy a neprovede vzájemný zápočet pohledávek.</w:t>
      </w:r>
    </w:p>
    <w:p w14:paraId="43902FCC" w14:textId="534B279D" w:rsidR="00F80E61" w:rsidRPr="00E6374C" w:rsidRDefault="00633FF1" w:rsidP="00F80E61">
      <w:pPr>
        <w:tabs>
          <w:tab w:val="left" w:pos="782"/>
          <w:tab w:val="left" w:pos="851"/>
        </w:tabs>
        <w:spacing w:before="120" w:after="120"/>
        <w:outlineLvl w:val="6"/>
      </w:pPr>
      <w:r>
        <w:lastRenderedPageBreak/>
        <w:t xml:space="preserve">(5) </w:t>
      </w:r>
      <w:r w:rsidR="00F80E61" w:rsidRPr="00E6374C">
        <w:t xml:space="preserve">V případě zpochybnění pohledávky právním jednáním dlužníka se ustanovení odstavce 4 u věřitele nepoužije na tu část </w:t>
      </w:r>
      <w:r w:rsidR="00F80E61" w:rsidRPr="0057502C">
        <w:rPr>
          <w:b/>
        </w:rPr>
        <w:t>daňové</w:t>
      </w:r>
      <w:r w:rsidR="00F80E61">
        <w:t xml:space="preserve"> </w:t>
      </w:r>
      <w:r w:rsidR="00F80E61" w:rsidRPr="00E6374C">
        <w:t>hodnoty pohledávek, která převyšuje hodnotu dluhů dlužníkem zpochybněných, pokud věřitel postupuje podle § 8a a zápočet provede ke dni pravomocného ukončení řízení.</w:t>
      </w:r>
    </w:p>
    <w:p w14:paraId="0D8688EB" w14:textId="2B955002" w:rsidR="00F80E61" w:rsidRPr="00E6374C" w:rsidRDefault="00633FF1" w:rsidP="00F80E61">
      <w:pPr>
        <w:tabs>
          <w:tab w:val="left" w:pos="782"/>
          <w:tab w:val="left" w:pos="851"/>
        </w:tabs>
        <w:spacing w:before="120" w:after="120"/>
        <w:outlineLvl w:val="6"/>
      </w:pPr>
      <w:proofErr w:type="gramStart"/>
      <w:r>
        <w:t xml:space="preserve">(6) </w:t>
      </w:r>
      <w:r w:rsidR="00F80E61" w:rsidRPr="00E6374C">
        <w:t>Opravné</w:t>
      </w:r>
      <w:proofErr w:type="gramEnd"/>
      <w:r w:rsidR="00F80E61" w:rsidRPr="00E6374C">
        <w:t xml:space="preserve"> položky mohou tvořit poplatníci </w:t>
      </w:r>
      <w:r w:rsidR="00F80E61" w:rsidRPr="00E6374C">
        <w:rPr>
          <w:strike/>
        </w:rPr>
        <w:t>daně z příjmů právnických osob</w:t>
      </w:r>
      <w:r w:rsidR="00F80E61" w:rsidRPr="00E6374C">
        <w:t xml:space="preserve"> </w:t>
      </w:r>
      <w:r w:rsidR="00F80E61" w:rsidRPr="00E6374C">
        <w:rPr>
          <w:b/>
        </w:rPr>
        <w:t>s akruálním základem daně</w:t>
      </w:r>
      <w:r w:rsidR="00F80E61">
        <w:t xml:space="preserve"> </w:t>
      </w:r>
      <w:r w:rsidR="00F80E61" w:rsidRPr="00E6374C">
        <w:t xml:space="preserve">také u pohledávek, o </w:t>
      </w:r>
      <w:proofErr w:type="gramStart"/>
      <w:r w:rsidR="00F80E61" w:rsidRPr="00E6374C">
        <w:t>kterých</w:t>
      </w:r>
      <w:proofErr w:type="gramEnd"/>
    </w:p>
    <w:p w14:paraId="7D3F50BF" w14:textId="77777777" w:rsidR="00F80E61" w:rsidRPr="00D7544B" w:rsidRDefault="00F80E61" w:rsidP="002A01B1">
      <w:pPr>
        <w:spacing w:before="0"/>
        <w:ind w:left="425" w:hanging="425"/>
        <w:outlineLvl w:val="7"/>
        <w:rPr>
          <w:b/>
        </w:rPr>
      </w:pPr>
      <w:r w:rsidRPr="00E6374C">
        <w:t>a)</w:t>
      </w:r>
      <w:r w:rsidRPr="00E6374C">
        <w:tab/>
        <w:t>bylo při jejich vzniku účtováno v souladu s právními předpisy upravujícími účetnictví snížením zaúčtovaných nákladů a takto vzniklý příjem nebyl podle zvláštního právního předpisu příjmem osvobozeným od daně z příjmů nebo nezahrnovaným do základu daně z příjmů nebo zahrnovaným do samostatného základu daně z příjmů anebo základu daně pro zvláštní sazbu daně</w:t>
      </w:r>
      <w:r w:rsidRPr="00D7544B">
        <w:rPr>
          <w:strike/>
        </w:rPr>
        <w:t>, n</w:t>
      </w:r>
      <w:r w:rsidRPr="00E6374C">
        <w:rPr>
          <w:strike/>
        </w:rPr>
        <w:t>ebo</w:t>
      </w:r>
      <w:r w:rsidRPr="00D7544B">
        <w:rPr>
          <w:b/>
        </w:rPr>
        <w:t>,</w:t>
      </w:r>
    </w:p>
    <w:p w14:paraId="0109A421" w14:textId="77777777" w:rsidR="00F80E61" w:rsidRPr="00E6374C" w:rsidRDefault="00F80E61" w:rsidP="002A01B1">
      <w:pPr>
        <w:spacing w:before="0"/>
        <w:ind w:left="425" w:hanging="425"/>
        <w:outlineLvl w:val="7"/>
        <w:rPr>
          <w:b/>
        </w:rPr>
      </w:pPr>
      <w:r w:rsidRPr="00E6374C">
        <w:rPr>
          <w:b/>
        </w:rPr>
        <w:t>b)</w:t>
      </w:r>
      <w:r w:rsidRPr="00E6374C">
        <w:rPr>
          <w:b/>
        </w:rPr>
        <w:tab/>
        <w:t>bylo podle</w:t>
      </w:r>
      <w:r>
        <w:rPr>
          <w:b/>
        </w:rPr>
        <w:t xml:space="preserve"> </w:t>
      </w:r>
      <w:r w:rsidRPr="00E6374C">
        <w:rPr>
          <w:b/>
        </w:rPr>
        <w:t>právních předpisů upravujících účetnictví účtováno rozvahově, jedná-li se o účetní pohledávku z finančního leasingu, nebo</w:t>
      </w:r>
    </w:p>
    <w:p w14:paraId="69EA3976" w14:textId="7755C75D" w:rsidR="00F80E61" w:rsidRPr="00E6374C" w:rsidRDefault="00F80E61" w:rsidP="002A01B1">
      <w:pPr>
        <w:spacing w:before="0"/>
        <w:ind w:left="425" w:hanging="425"/>
        <w:outlineLvl w:val="7"/>
      </w:pPr>
      <w:r w:rsidRPr="00FF29F2">
        <w:rPr>
          <w:strike/>
        </w:rPr>
        <w:t>b)</w:t>
      </w:r>
      <w:r w:rsidRPr="00FF29F2">
        <w:rPr>
          <w:b/>
        </w:rPr>
        <w:t>c)</w:t>
      </w:r>
      <w:r w:rsidRPr="00E6374C">
        <w:tab/>
        <w:t>bylo v důsledku oprav minulých období v souladu s právními předpisy upravujícími účetnictví účtováno rozvahově a pro účely zjištění základu daně bylo nutné o celou jejich hodnotu zvýšit výsledek hospodaření.</w:t>
      </w:r>
    </w:p>
    <w:p w14:paraId="59AB5BE7" w14:textId="4BF581D0" w:rsidR="00F80E61" w:rsidRDefault="002A01B1" w:rsidP="00F80E61">
      <w:pPr>
        <w:tabs>
          <w:tab w:val="left" w:pos="782"/>
          <w:tab w:val="left" w:pos="851"/>
        </w:tabs>
        <w:spacing w:before="120" w:after="120"/>
        <w:outlineLvl w:val="6"/>
        <w:rPr>
          <w:strike/>
        </w:rPr>
      </w:pPr>
      <w:r>
        <w:rPr>
          <w:strike/>
        </w:rPr>
        <w:t xml:space="preserve">(7) </w:t>
      </w:r>
      <w:r w:rsidR="00F80E61" w:rsidRPr="00E6374C">
        <w:rPr>
          <w:strike/>
        </w:rPr>
        <w:t>Podle odstavce 6 postupují také poplatníci daně z příjmů fyzických osob u pohledávek, které byly při jejich vzniku zaúčtovány podle právních předpisů upravujících účetnictví.</w:t>
      </w:r>
    </w:p>
    <w:p w14:paraId="1DF191C6" w14:textId="77777777" w:rsidR="00F80E61" w:rsidRPr="00E6374C" w:rsidRDefault="00F80E61" w:rsidP="00F80E61">
      <w:pPr>
        <w:keepNext/>
        <w:keepLines/>
        <w:numPr>
          <w:ilvl w:val="0"/>
          <w:numId w:val="27"/>
        </w:numPr>
        <w:jc w:val="center"/>
        <w:outlineLvl w:val="5"/>
      </w:pPr>
      <w:r w:rsidRPr="00E6374C">
        <w:t xml:space="preserve">§ 3 </w:t>
      </w:r>
    </w:p>
    <w:p w14:paraId="57721F23" w14:textId="0FEEA30A" w:rsidR="00F80E61" w:rsidRPr="004D43FB" w:rsidRDefault="002A01B1" w:rsidP="002A01B1">
      <w:pPr>
        <w:pStyle w:val="Textodstavce"/>
        <w:spacing w:line="259" w:lineRule="auto"/>
        <w:ind w:firstLine="425"/>
        <w:rPr>
          <w:strike/>
        </w:rPr>
      </w:pPr>
      <w:r>
        <w:t xml:space="preserve">(1) </w:t>
      </w:r>
      <w:r w:rsidR="00F80E61" w:rsidRPr="004D43FB">
        <w:t xml:space="preserve">Rezervy a opravné položky se tvoří způsobem a k účelům stanoveným tímto zákonem a uplatňují se za zdaňovací období </w:t>
      </w:r>
      <w:r w:rsidR="00F80E61" w:rsidRPr="004D43FB">
        <w:rPr>
          <w:b/>
        </w:rPr>
        <w:t>daně z příjmů</w:t>
      </w:r>
      <w:r w:rsidR="00F80E61" w:rsidRPr="004D43FB">
        <w:t xml:space="preserve">, není-li v dalších ustanoveních stanoveno jinak. </w:t>
      </w:r>
      <w:r w:rsidR="00F80E61" w:rsidRPr="004D43FB">
        <w:rPr>
          <w:strike/>
        </w:rPr>
        <w:t>Zdaňovacím obdobím pro účely tohoto zákona se u právnických osob rozumí zdaňovací období daně z příjmů právnických osob, pokud trvá nejméně 12 kalendářních měsíců nebo pokud je kratší než 12 měsíců, ale začíná rozhodným dnem fúze nebo přechodu jmění na společníka anebo rozdělení obchodní korporace. Zdaňovacím obdobím pro účely tohoto zákona se u fyzických osob rozumí kalendářní rok.</w:t>
      </w:r>
    </w:p>
    <w:p w14:paraId="5021631F" w14:textId="33D1067E" w:rsidR="00F80E61" w:rsidRPr="00E6374C" w:rsidRDefault="002A01B1" w:rsidP="00F80E61">
      <w:pPr>
        <w:tabs>
          <w:tab w:val="left" w:pos="782"/>
          <w:tab w:val="left" w:pos="851"/>
        </w:tabs>
        <w:spacing w:before="120" w:after="120"/>
        <w:outlineLvl w:val="6"/>
      </w:pPr>
      <w:r>
        <w:t xml:space="preserve">(2) </w:t>
      </w:r>
      <w:r w:rsidR="00F80E61" w:rsidRPr="00E6374C">
        <w:t>Poplatník je povinen v souvislosti s podáním daňového přiznání prověřit odůvodněnost tvorby rezerv a opravných položek a jejich skutečný stav porovnat s výší, kterou může poplatník uplatnit podle tohoto zákona v základu daně z příjmů zjištěném podle zvláštního právního předpisu.</w:t>
      </w:r>
      <w:r w:rsidR="00F80E61" w:rsidRPr="00E6374C">
        <w:rPr>
          <w:vertAlign w:val="superscript"/>
        </w:rPr>
        <w:t>1d)</w:t>
      </w:r>
    </w:p>
    <w:p w14:paraId="2BE47B33" w14:textId="54EBA948" w:rsidR="00F80E61" w:rsidRPr="00AB44CD" w:rsidRDefault="002A01B1" w:rsidP="00F80E61">
      <w:pPr>
        <w:tabs>
          <w:tab w:val="left" w:pos="782"/>
          <w:tab w:val="left" w:pos="851"/>
        </w:tabs>
        <w:spacing w:before="120" w:after="120"/>
        <w:outlineLvl w:val="6"/>
        <w:rPr>
          <w:strike/>
        </w:rPr>
      </w:pPr>
      <w:r>
        <w:rPr>
          <w:strike/>
        </w:rPr>
        <w:t xml:space="preserve">(3) </w:t>
      </w:r>
      <w:r w:rsidR="00F80E61" w:rsidRPr="00AB44CD">
        <w:rPr>
          <w:strike/>
        </w:rPr>
        <w:t xml:space="preserve">Tvorba opravných položek a rezerv uplatněná jako výdaj (náklad) na dosažení, zajištění a udržení </w:t>
      </w:r>
      <w:proofErr w:type="gramStart"/>
      <w:r w:rsidR="00F80E61" w:rsidRPr="00AB44CD">
        <w:rPr>
          <w:strike/>
        </w:rPr>
        <w:t>příjmů</w:t>
      </w:r>
      <w:r w:rsidR="00F80E61" w:rsidRPr="00AB44CD">
        <w:rPr>
          <w:strike/>
          <w:vertAlign w:val="superscript"/>
        </w:rPr>
        <w:t>1d</w:t>
      </w:r>
      <w:r w:rsidR="00F80E61" w:rsidRPr="00AB44CD">
        <w:rPr>
          <w:b/>
          <w:strike/>
          <w:vertAlign w:val="superscript"/>
        </w:rPr>
        <w:t>)</w:t>
      </w:r>
      <w:r w:rsidR="00F80E61" w:rsidRPr="00AB44CD">
        <w:rPr>
          <w:b/>
          <w:strike/>
        </w:rPr>
        <w:t xml:space="preserve"> </w:t>
      </w:r>
      <w:r w:rsidR="00F80E61" w:rsidRPr="00AB44CD">
        <w:rPr>
          <w:strike/>
        </w:rPr>
        <w:t>, musí</w:t>
      </w:r>
      <w:proofErr w:type="gramEnd"/>
      <w:r w:rsidR="00F80E61" w:rsidRPr="00AB44CD">
        <w:rPr>
          <w:strike/>
        </w:rPr>
        <w:t xml:space="preserve"> být vždy zaúčtována podle zvláštního právního předpisu</w:t>
      </w:r>
      <w:r w:rsidR="00F80E61" w:rsidRPr="00AB44CD">
        <w:rPr>
          <w:strike/>
          <w:vertAlign w:val="superscript"/>
        </w:rPr>
        <w:t>1a)</w:t>
      </w:r>
      <w:r w:rsidR="00F80E61" w:rsidRPr="00AB44CD">
        <w:rPr>
          <w:b/>
          <w:strike/>
        </w:rPr>
        <w:t xml:space="preserve"> </w:t>
      </w:r>
      <w:r w:rsidR="00F80E61" w:rsidRPr="00AB44CD">
        <w:rPr>
          <w:strike/>
        </w:rPr>
        <w:t>nebo uvedena v daňové evidenci. Tvorbu opravných položek může jako výdaj (náklad) na dosažení, zajištění a udržení příjmů</w:t>
      </w:r>
      <w:r w:rsidR="00F80E61" w:rsidRPr="00AB44CD">
        <w:rPr>
          <w:strike/>
          <w:vertAlign w:val="superscript"/>
        </w:rPr>
        <w:t>1d)</w:t>
      </w:r>
      <w:r w:rsidR="00F80E61" w:rsidRPr="00AB44CD">
        <w:rPr>
          <w:strike/>
        </w:rPr>
        <w:t xml:space="preserve"> uplatnit i poplatník, kterému je zvláštním právním předpisem</w:t>
      </w:r>
      <w:r w:rsidR="00F80E61" w:rsidRPr="00AB44CD">
        <w:rPr>
          <w:strike/>
          <w:vertAlign w:val="superscript"/>
        </w:rPr>
        <w:t>1a)</w:t>
      </w:r>
      <w:r w:rsidR="00F80E61" w:rsidRPr="00AB44CD">
        <w:rPr>
          <w:strike/>
        </w:rPr>
        <w:t xml:space="preserve"> stanoveno použít pro účtování a sestavení účetní závěrky Mezinárodní účetní standardy upravené právem Evropských společenství, pokud současně vede prokazatelnou evidenci pohledávek maximálně však ve výši stanovené touto prokazatelnou evidencí, a to pouze ve vztahu k pohledávkám, s nimiž související příjem nebyl podle zvláštního právního předpisu</w:t>
      </w:r>
      <w:r w:rsidR="00F80E61" w:rsidRPr="00AB44CD">
        <w:rPr>
          <w:strike/>
          <w:vertAlign w:val="superscript"/>
        </w:rPr>
        <w:t>1d)</w:t>
      </w:r>
      <w:r w:rsidR="00F80E61" w:rsidRPr="00AB44CD">
        <w:rPr>
          <w:strike/>
        </w:rPr>
        <w:t xml:space="preserve"> příjmem osvobozeným od daně z příjmů nebo nezahrnovaným do základu daně z příjmů nebo zahrnovaným do samostatného základu daně z příjmů anebo základu daně pro zvláštní sazbu daně, není-li tímto zákonem výslovně stanoveno jinak. Prokazatelnou evidencí pohledávek se v tomto případě rozumí soupis jednotlivých pohledávek a opravných položek tvořených k těmto jednotlivým pohledávkám podle tohoto zákona, sestavený způsobem a v rozsahu stanoveném pro tvorbu opravných položek zvláštním právním předpisem</w:t>
      </w:r>
      <w:r w:rsidR="00F80E61" w:rsidRPr="00AB44CD">
        <w:rPr>
          <w:strike/>
          <w:vertAlign w:val="superscript"/>
        </w:rPr>
        <w:t xml:space="preserve"> 1a)</w:t>
      </w:r>
      <w:r w:rsidR="00F80E61" w:rsidRPr="00AB44CD">
        <w:rPr>
          <w:strike/>
        </w:rPr>
        <w:t xml:space="preserve"> bez vlivu Mezinárodních účetních standardů upravených právem Evropských společenství. Obdobně to platí v případě </w:t>
      </w:r>
      <w:r w:rsidR="00F80E61" w:rsidRPr="00AB44CD">
        <w:rPr>
          <w:strike/>
        </w:rPr>
        <w:lastRenderedPageBreak/>
        <w:t>přeměny podle zvláštního právního předpisu</w:t>
      </w:r>
      <w:r w:rsidR="00F80E61" w:rsidRPr="00AB44CD">
        <w:rPr>
          <w:strike/>
          <w:vertAlign w:val="superscript"/>
        </w:rPr>
        <w:t>1e)</w:t>
      </w:r>
      <w:r w:rsidR="00F80E61" w:rsidRPr="00AB44CD">
        <w:rPr>
          <w:strike/>
        </w:rPr>
        <w:t>. Tvorbu rezerv může jako výdaj (náklad) na dosažení, zajištění a udržení příjmů</w:t>
      </w:r>
      <w:r w:rsidR="00F80E61" w:rsidRPr="00AB44CD">
        <w:rPr>
          <w:strike/>
          <w:vertAlign w:val="superscript"/>
        </w:rPr>
        <w:t xml:space="preserve"> 1d)</w:t>
      </w:r>
      <w:r w:rsidR="00F80E61" w:rsidRPr="00AB44CD">
        <w:rPr>
          <w:strike/>
        </w:rPr>
        <w:t xml:space="preserve"> při splnění podmínek tohoto zákona uplatnit i poplatník, kterému je zvláštním právním předpisem</w:t>
      </w:r>
      <w:r w:rsidR="00F80E61" w:rsidRPr="00AB44CD">
        <w:rPr>
          <w:strike/>
          <w:vertAlign w:val="superscript"/>
        </w:rPr>
        <w:t>1a)</w:t>
      </w:r>
      <w:r w:rsidR="00F80E61" w:rsidRPr="00AB44CD">
        <w:rPr>
          <w:strike/>
        </w:rPr>
        <w:t xml:space="preserve"> stanoveno použít pro účtování a sestavení účetní závěrky Mezinárodní účetní standardy upravené právem Evropských společenství, pokud současně vede prokazatelnou evidenci těchto rezerv a to maximálně ve výši stanovené touto prokazatelnou evidencí; obdobně to platí i pro tvorbu rezerv na opravy hmotného majetku podle § 7 u poplatníka, který tento majetek odpisuje metodou komponentního odpisování podle právních předpisů upravujících účetnictví. Prokazatelnou evidencí rezerv se v tomto případě rozumí soupis jednotlivých rezerv dle účelu, ke kterému jsou tvořeny podle tohoto zákona, sestavený v rozsahu a způsobem stanoveným pro tvorbu rezerv zvláštním právním předpisem</w:t>
      </w:r>
      <w:r w:rsidR="00F80E61" w:rsidRPr="00AB44CD">
        <w:rPr>
          <w:strike/>
          <w:vertAlign w:val="superscript"/>
        </w:rPr>
        <w:t>1a)</w:t>
      </w:r>
      <w:r w:rsidR="00F80E61" w:rsidRPr="00AB44CD">
        <w:rPr>
          <w:strike/>
        </w:rPr>
        <w:t xml:space="preserve"> bez vlivu Mezinárodních účetních standardů. Obdobně to platí v případě přeměny podle zvláštního právního </w:t>
      </w:r>
      <w:r w:rsidR="00F80E61" w:rsidRPr="00355C38">
        <w:rPr>
          <w:strike/>
        </w:rPr>
        <w:t>předpisu</w:t>
      </w:r>
      <w:r w:rsidR="00F80E61" w:rsidRPr="00355C38">
        <w:rPr>
          <w:strike/>
          <w:vertAlign w:val="superscript"/>
        </w:rPr>
        <w:t>1e)</w:t>
      </w:r>
      <w:r w:rsidR="00F80E61" w:rsidRPr="00355C38">
        <w:rPr>
          <w:strike/>
        </w:rPr>
        <w:t>.</w:t>
      </w:r>
    </w:p>
    <w:p w14:paraId="77570C52" w14:textId="4F653E59" w:rsidR="00F80E61" w:rsidRPr="00AB44CD" w:rsidRDefault="002A01B1" w:rsidP="00F80E61">
      <w:pPr>
        <w:tabs>
          <w:tab w:val="left" w:pos="782"/>
          <w:tab w:val="left" w:pos="851"/>
        </w:tabs>
        <w:spacing w:before="120" w:after="120"/>
        <w:outlineLvl w:val="6"/>
        <w:rPr>
          <w:b/>
        </w:rPr>
      </w:pPr>
      <w:r>
        <w:rPr>
          <w:b/>
        </w:rPr>
        <w:t xml:space="preserve">(3) </w:t>
      </w:r>
      <w:r w:rsidR="00F80E61" w:rsidRPr="00AB44CD">
        <w:rPr>
          <w:b/>
        </w:rPr>
        <w:t xml:space="preserve">Tvorba opravných položek a rezerv uplatněná jako výdaj (náklad) na dosažení, zajištění a udržení </w:t>
      </w:r>
      <w:proofErr w:type="gramStart"/>
      <w:r w:rsidR="00F80E61" w:rsidRPr="00AB44CD">
        <w:rPr>
          <w:b/>
        </w:rPr>
        <w:t>příjmů</w:t>
      </w:r>
      <w:r w:rsidR="00F80E61" w:rsidRPr="00AB44CD">
        <w:rPr>
          <w:b/>
          <w:vertAlign w:val="superscript"/>
        </w:rPr>
        <w:t>1d)</w:t>
      </w:r>
      <w:r w:rsidR="00F80E61" w:rsidRPr="00AB44CD">
        <w:rPr>
          <w:b/>
        </w:rPr>
        <w:t xml:space="preserve">  nebo</w:t>
      </w:r>
      <w:proofErr w:type="gramEnd"/>
      <w:r w:rsidR="00F80E61" w:rsidRPr="00AB44CD">
        <w:rPr>
          <w:b/>
        </w:rPr>
        <w:t xml:space="preserve"> jako položka snižující základ daně, musí být vždy zaúčtována podle zvláštního právního předpisu</w:t>
      </w:r>
      <w:r w:rsidR="00F80E61" w:rsidRPr="00AB44CD">
        <w:rPr>
          <w:b/>
          <w:vertAlign w:val="superscript"/>
        </w:rPr>
        <w:t>1a)</w:t>
      </w:r>
      <w:r w:rsidR="00F80E61" w:rsidRPr="00AB44CD">
        <w:rPr>
          <w:b/>
        </w:rPr>
        <w:t>, uvedena v prokazatelné evidenci pohledávek nebo rezerv nebo uvedena v daňové evidenci. Prokazatelnou evidencí pohledávek se v tomto případě rozumí soupis jednotlivých pohledávek a opravných položek tvořených k těmto jednotlivým pohledávkám podle tohoto zákona. Prokazatelnou evidencí rezerv se v tomto případě rozumí soupis jednotlivých rezerv dle účelu, ke kterému jsou tvořeny podle tohoto zákona.</w:t>
      </w:r>
    </w:p>
    <w:p w14:paraId="618099DA" w14:textId="65DDEB21" w:rsidR="00F80E61" w:rsidRPr="00E6374C" w:rsidRDefault="002A01B1" w:rsidP="00F80E61">
      <w:pPr>
        <w:tabs>
          <w:tab w:val="left" w:pos="782"/>
          <w:tab w:val="left" w:pos="851"/>
        </w:tabs>
        <w:spacing w:before="120" w:after="120"/>
        <w:outlineLvl w:val="6"/>
        <w:rPr>
          <w:strike/>
        </w:rPr>
      </w:pPr>
      <w:r>
        <w:rPr>
          <w:strike/>
        </w:rPr>
        <w:t xml:space="preserve">(4) </w:t>
      </w:r>
      <w:r w:rsidR="00F80E61" w:rsidRPr="00E6374C">
        <w:rPr>
          <w:strike/>
        </w:rPr>
        <w:t>Tvorbu rezerv může jako výdaj (náklad) na dosažení, zajištění a udržení příjmů uplatnit také poplatník, který vede jednoduché účetnictví, pokud současně vede prokazatelnou evidenci těchto rezerv, a to maximálně ve výši stanovené touto prokazatelnou evidencí.</w:t>
      </w:r>
    </w:p>
    <w:p w14:paraId="1D9B27F9" w14:textId="77777777" w:rsidR="00F80E61" w:rsidRPr="00E6374C" w:rsidRDefault="00F80E61" w:rsidP="00F80E61">
      <w:pPr>
        <w:keepNext/>
        <w:keepLines/>
        <w:numPr>
          <w:ilvl w:val="0"/>
          <w:numId w:val="27"/>
        </w:numPr>
        <w:jc w:val="center"/>
        <w:outlineLvl w:val="5"/>
      </w:pPr>
      <w:r w:rsidRPr="00E6374C">
        <w:t xml:space="preserve">§ 4 </w:t>
      </w:r>
    </w:p>
    <w:p w14:paraId="645944E3" w14:textId="6552DC52" w:rsidR="00F80E61" w:rsidRPr="00E6374C" w:rsidRDefault="002A01B1" w:rsidP="00F80E61">
      <w:pPr>
        <w:tabs>
          <w:tab w:val="left" w:pos="782"/>
          <w:tab w:val="left" w:pos="851"/>
        </w:tabs>
        <w:spacing w:before="120" w:after="120"/>
        <w:outlineLvl w:val="6"/>
      </w:pPr>
      <w:r>
        <w:t xml:space="preserve">(1) </w:t>
      </w:r>
      <w:r w:rsidR="00F80E61" w:rsidRPr="00E6374C">
        <w:t xml:space="preserve">Výdaje (náklady), na jejichž úhradu se vytvořily rezervy a opravné položky, se musí přednostně uhradit z těchto rezerv a opravných položek; rezervy se zruší ve stejném období, kdy pominuly důvody, pro které byly vytvořeny. Rezervy a opravné položky se </w:t>
      </w:r>
      <w:r w:rsidR="00F80E61" w:rsidRPr="00AD3076">
        <w:t>zruší</w:t>
      </w:r>
      <w:r w:rsidR="00F80E61" w:rsidRPr="00E6374C">
        <w:rPr>
          <w:color w:val="FF0000"/>
        </w:rPr>
        <w:t xml:space="preserve"> </w:t>
      </w:r>
      <w:r w:rsidR="00F80E61" w:rsidRPr="00E6374C">
        <w:t xml:space="preserve">vždy ke dni ukončení podnikatelské nebo jiné samostatné výdělečné činnosti nebo pachtu obchodního závodu, ke dni přerušení podnikatelské nebo jiné samostatné výdělečné činnosti nebo pachtu obchodního závodu, pokud tato činnost nebo pacht obchodního závodu nejsou zahájeny do termínu pro podání daňového přiznání za příslušné zdaňovací období, ve kterém došlo k přerušení. Rezervy a opravné položky se </w:t>
      </w:r>
      <w:r w:rsidR="00F80E61" w:rsidRPr="00AD3076">
        <w:t>zruší</w:t>
      </w:r>
      <w:r w:rsidR="00F80E61" w:rsidRPr="00E6374C">
        <w:rPr>
          <w:color w:val="FF0000"/>
        </w:rPr>
        <w:t xml:space="preserve"> </w:t>
      </w:r>
      <w:r w:rsidR="00F80E61" w:rsidRPr="00E6374C">
        <w:t>rovněž ke dni účinnosti smlouvy o pachtu v případě pachtu obchodního závodu, ke dni předcházejícímu den zrušení stálé provozovny na území České republiky,</w:t>
      </w:r>
      <w:r w:rsidR="00F80E61">
        <w:rPr>
          <w:rStyle w:val="Znakapoznpodarou"/>
        </w:rPr>
        <w:footnoteReference w:customMarkFollows="1" w:id="194"/>
        <w:t>22)</w:t>
      </w:r>
      <w:r w:rsidR="00F80E61" w:rsidRPr="00E6374C">
        <w:t xml:space="preserve"> ke dni předcházejícímu den vstupu do likvidace nebo ke dni předcházejícímu den účinnosti rozhodnutí o prohlášení konkursu. Rezervy se nezruší v případě, kdy peněžní prostředky ve výši rezerv tvořených podle § 9 a 10 budou uloženy na zvláštním vázaném účtu v bance podle § 10a, a v případě přeměn obchodní korporace.</w:t>
      </w:r>
      <w:r w:rsidR="00F80E61">
        <w:rPr>
          <w:rStyle w:val="Znakapoznpodarou"/>
        </w:rPr>
        <w:footnoteReference w:customMarkFollows="1" w:id="195"/>
        <w:t>1e)</w:t>
      </w:r>
      <w:r w:rsidR="00F80E61" w:rsidRPr="00E6374C">
        <w:t xml:space="preserve"> Opravné položky se </w:t>
      </w:r>
      <w:r w:rsidR="00F80E61" w:rsidRPr="00AD3076">
        <w:t>nezruší</w:t>
      </w:r>
      <w:r w:rsidR="00F80E61" w:rsidRPr="00E6374C">
        <w:t xml:space="preserve"> u pohledávek nabytých při přeměně obchodní korporace. Při přeměně obchodní korporace</w:t>
      </w:r>
      <w:r w:rsidR="00F80E61" w:rsidRPr="00E6374C">
        <w:rPr>
          <w:vertAlign w:val="superscript"/>
        </w:rPr>
        <w:t>1e)</w:t>
      </w:r>
      <w:r w:rsidR="00F80E61" w:rsidRPr="00E6374C">
        <w:t xml:space="preserve"> může pokračovat nástupnická obchodní korporace v tvorbě rezerv a opravných položek započaté zanikající nebo rozdělovanou obchodní korporací, a to za podmínek, které by platily pro zanikající nebo rozdělovanou obchodní korporaci podle tohoto zákona, pokud by se přeměna neuskutečnila, a pouze v rozsahu, v jakém souvisí s částí obchodního majetku, která přechází na tuto nástupnickou obchodní korporaci, maximálně však do výše stanovené tímto </w:t>
      </w:r>
      <w:r w:rsidR="00F80E61" w:rsidRPr="00E6374C">
        <w:lastRenderedPageBreak/>
        <w:t>zákonem. Rezervy a opravné položky nelze vytvářet</w:t>
      </w:r>
      <w:r w:rsidR="00F80E61" w:rsidRPr="00E6374C">
        <w:rPr>
          <w:color w:val="FF0000"/>
        </w:rPr>
        <w:t xml:space="preserve"> </w:t>
      </w:r>
      <w:r w:rsidR="00F80E61" w:rsidRPr="00E6374C">
        <w:t>v průběhu likvidace nebo v průběhu insolvenčního řízení v době trvání účinků prohlášení konkursu, s výjimkou rezerv uvedených v § 10 odst. 2, jejichž peněžní prostředky budou uloženy na zvláštním vázaném účtu v bance podle § 10a.</w:t>
      </w:r>
    </w:p>
    <w:p w14:paraId="4FB4929A" w14:textId="5B19679E" w:rsidR="00F80E61" w:rsidRDefault="002A01B1" w:rsidP="00F80E61">
      <w:pPr>
        <w:tabs>
          <w:tab w:val="left" w:pos="782"/>
          <w:tab w:val="left" w:pos="851"/>
        </w:tabs>
        <w:spacing w:before="120" w:after="120"/>
        <w:outlineLvl w:val="6"/>
      </w:pPr>
      <w:r>
        <w:t xml:space="preserve">(2) </w:t>
      </w:r>
      <w:r w:rsidR="00F80E61" w:rsidRPr="00E6374C">
        <w:t xml:space="preserve">Rezervy se nesmějí vytvářet na výdaje (náklady) na pořízení </w:t>
      </w:r>
      <w:r w:rsidR="00F80E61" w:rsidRPr="00C861FE">
        <w:t xml:space="preserve">hmotného a nehmotného </w:t>
      </w:r>
      <w:r w:rsidR="00F80E61" w:rsidRPr="00C861FE">
        <w:rPr>
          <w:strike/>
        </w:rPr>
        <w:t xml:space="preserve">majetku </w:t>
      </w:r>
      <w:r w:rsidR="00F80E61" w:rsidRPr="00C861FE">
        <w:rPr>
          <w:b/>
        </w:rPr>
        <w:t>aktiva</w:t>
      </w:r>
      <w:r w:rsidR="00F80E61" w:rsidRPr="00C861FE">
        <w:t>.</w:t>
      </w:r>
    </w:p>
    <w:p w14:paraId="5D690B7D" w14:textId="1E1C48FD" w:rsidR="00F80E61" w:rsidRPr="00E4033D" w:rsidRDefault="002A01B1" w:rsidP="00F80E61">
      <w:pPr>
        <w:pStyle w:val="Dvodovzprva"/>
        <w:rPr>
          <w:color w:val="auto"/>
        </w:rPr>
      </w:pPr>
      <w:r>
        <w:rPr>
          <w:rFonts w:ascii="Times New Roman" w:hAnsi="Times New Roman"/>
          <w:color w:val="auto"/>
          <w:sz w:val="24"/>
        </w:rPr>
        <w:t xml:space="preserve">(3) </w:t>
      </w:r>
      <w:r w:rsidR="00F80E61" w:rsidRPr="00E4033D">
        <w:rPr>
          <w:rFonts w:ascii="Times New Roman" w:hAnsi="Times New Roman"/>
          <w:strike/>
          <w:color w:val="auto"/>
          <w:sz w:val="24"/>
        </w:rPr>
        <w:t xml:space="preserve">Opravné položky slouží ke krytí </w:t>
      </w:r>
      <w:proofErr w:type="gramStart"/>
      <w:r w:rsidR="00F80E61" w:rsidRPr="00E4033D">
        <w:rPr>
          <w:rFonts w:ascii="Times New Roman" w:hAnsi="Times New Roman"/>
          <w:strike/>
          <w:color w:val="auto"/>
          <w:sz w:val="24"/>
        </w:rPr>
        <w:t>ztrát z  odpisu</w:t>
      </w:r>
      <w:proofErr w:type="gramEnd"/>
      <w:r w:rsidR="00F80E61" w:rsidRPr="00E4033D">
        <w:rPr>
          <w:rFonts w:ascii="Times New Roman" w:hAnsi="Times New Roman"/>
          <w:strike/>
          <w:color w:val="auto"/>
          <w:sz w:val="24"/>
        </w:rPr>
        <w:t xml:space="preserve"> pohledávek, k nimž jsou vytvořeny, nebo ke krytí rozdílu mezi jmenovitou hodnotou pohledávky a její pořizovací cenou sjednanou při postoupení postupníkovi</w:t>
      </w:r>
      <w:r w:rsidR="00F80E61" w:rsidRPr="00E4033D">
        <w:rPr>
          <w:rFonts w:ascii="Times New Roman" w:hAnsi="Times New Roman"/>
          <w:color w:val="auto"/>
          <w:sz w:val="24"/>
        </w:rPr>
        <w:t>. Opravné položky se zruší ve stejném období, kdy pominuly důvody, pro které byly vytvořeny</w:t>
      </w:r>
      <w:r w:rsidR="00F80E61" w:rsidRPr="00E4033D">
        <w:rPr>
          <w:rFonts w:ascii="Times New Roman" w:hAnsi="Times New Roman"/>
          <w:b/>
          <w:color w:val="auto"/>
          <w:sz w:val="24"/>
        </w:rPr>
        <w:t>, nebo kdy pohledávka, k níž byla vytvořena, byla promlčena</w:t>
      </w:r>
      <w:r w:rsidR="00F80E61" w:rsidRPr="00E4033D">
        <w:rPr>
          <w:rFonts w:ascii="Times New Roman" w:hAnsi="Times New Roman"/>
          <w:color w:val="auto"/>
          <w:sz w:val="24"/>
        </w:rPr>
        <w:t>.</w:t>
      </w:r>
    </w:p>
    <w:p w14:paraId="21EAA9AE" w14:textId="59397515" w:rsidR="00F80E61" w:rsidRDefault="002A01B1" w:rsidP="00F80E61">
      <w:pPr>
        <w:tabs>
          <w:tab w:val="left" w:pos="782"/>
          <w:tab w:val="left" w:pos="851"/>
        </w:tabs>
        <w:spacing w:before="120" w:after="120"/>
        <w:outlineLvl w:val="6"/>
      </w:pPr>
      <w:r>
        <w:t xml:space="preserve">(4) </w:t>
      </w:r>
      <w:r w:rsidR="00F80E61" w:rsidRPr="00E6374C">
        <w:t xml:space="preserve">Zůstatek rezerv a opravných položek zjištěný na konci </w:t>
      </w:r>
      <w:r w:rsidR="00F80E61" w:rsidRPr="00E6374C">
        <w:rPr>
          <w:strike/>
        </w:rPr>
        <w:t>období, za které se podává daňové přiznání,</w:t>
      </w:r>
      <w:r w:rsidR="00F80E61" w:rsidRPr="00E6374C">
        <w:t xml:space="preserve"> </w:t>
      </w:r>
      <w:r w:rsidR="00F80E61" w:rsidRPr="00E6374C">
        <w:rPr>
          <w:b/>
        </w:rPr>
        <w:t>zdaňovacího období</w:t>
      </w:r>
      <w:r w:rsidR="00F80E61" w:rsidRPr="00E6374C">
        <w:t xml:space="preserve"> se převádí do následujícího období.</w:t>
      </w:r>
    </w:p>
    <w:p w14:paraId="427C47EF" w14:textId="26B29C27" w:rsidR="00F80E61" w:rsidRDefault="002A01B1" w:rsidP="00F80E61">
      <w:pPr>
        <w:tabs>
          <w:tab w:val="left" w:pos="782"/>
          <w:tab w:val="left" w:pos="851"/>
        </w:tabs>
        <w:spacing w:before="120" w:after="120"/>
        <w:outlineLvl w:val="6"/>
      </w:pPr>
      <w:r>
        <w:t xml:space="preserve">(5) </w:t>
      </w:r>
      <w:r w:rsidR="00F80E61" w:rsidRPr="00E6374C">
        <w:t xml:space="preserve">Celková výše opravných položek u bank včetně bankovních rezerv nesmí přesáhnout celkovou </w:t>
      </w:r>
      <w:r w:rsidR="00F80E61" w:rsidRPr="009A6D2B">
        <w:rPr>
          <w:strike/>
        </w:rPr>
        <w:t>výši</w:t>
      </w:r>
      <w:r w:rsidR="00F80E61" w:rsidRPr="00E6374C">
        <w:t xml:space="preserve"> </w:t>
      </w:r>
      <w:r w:rsidR="00F80E61" w:rsidRPr="009A6D2B">
        <w:rPr>
          <w:b/>
        </w:rPr>
        <w:t>daňovou hodnotu</w:t>
      </w:r>
      <w:r w:rsidR="00F80E61">
        <w:t xml:space="preserve"> </w:t>
      </w:r>
      <w:r w:rsidR="00F80E61" w:rsidRPr="00E6374C">
        <w:t>pohledávek, k nimž se vytváří.</w:t>
      </w:r>
    </w:p>
    <w:p w14:paraId="34E07FDB" w14:textId="77777777" w:rsidR="00F80E61" w:rsidRPr="00E6374C" w:rsidRDefault="00F80E61" w:rsidP="00F80E61">
      <w:pPr>
        <w:keepNext/>
        <w:keepLines/>
        <w:numPr>
          <w:ilvl w:val="0"/>
          <w:numId w:val="27"/>
        </w:numPr>
        <w:jc w:val="center"/>
        <w:outlineLvl w:val="5"/>
      </w:pPr>
      <w:r w:rsidRPr="00E6374C">
        <w:t xml:space="preserve">§ 5  </w:t>
      </w:r>
    </w:p>
    <w:p w14:paraId="2395BAD8" w14:textId="77777777" w:rsidR="00F80E61" w:rsidRPr="002A01B1" w:rsidRDefault="00F80E61" w:rsidP="00F80E61">
      <w:pPr>
        <w:keepNext/>
        <w:keepLines/>
        <w:numPr>
          <w:ilvl w:val="0"/>
          <w:numId w:val="27"/>
        </w:numPr>
        <w:jc w:val="center"/>
        <w:outlineLvl w:val="5"/>
        <w:rPr>
          <w:b/>
        </w:rPr>
      </w:pPr>
      <w:r w:rsidRPr="002A01B1">
        <w:rPr>
          <w:b/>
        </w:rPr>
        <w:t>Bankovní rezervy a opravné položky</w:t>
      </w:r>
    </w:p>
    <w:p w14:paraId="422DB27B" w14:textId="605455BB" w:rsidR="00F80E61" w:rsidRPr="00E6374C" w:rsidRDefault="002A01B1" w:rsidP="00F80E61">
      <w:pPr>
        <w:tabs>
          <w:tab w:val="left" w:pos="782"/>
          <w:tab w:val="left" w:pos="851"/>
        </w:tabs>
        <w:spacing w:before="120" w:after="120"/>
        <w:outlineLvl w:val="6"/>
      </w:pPr>
      <w:r w:rsidRPr="002A01B1">
        <w:t xml:space="preserve">(1) </w:t>
      </w:r>
      <w:r w:rsidR="00F80E61" w:rsidRPr="002A01B1">
        <w:rPr>
          <w:strike/>
        </w:rPr>
        <w:t xml:space="preserve">Jako </w:t>
      </w:r>
      <w:r w:rsidR="00F80E61" w:rsidRPr="00B65A23">
        <w:rPr>
          <w:strike/>
        </w:rPr>
        <w:t>výdaje (náklady) na dosažení, zajištění a udržení příjmů</w:t>
      </w:r>
      <w:r w:rsidR="00F80E61" w:rsidRPr="00B65A23">
        <w:rPr>
          <w:strike/>
          <w:vertAlign w:val="superscript"/>
        </w:rPr>
        <w:t>1)</w:t>
      </w:r>
      <w:r w:rsidR="00F80E61" w:rsidRPr="00B65A23">
        <w:rPr>
          <w:strike/>
        </w:rPr>
        <w:t xml:space="preserve"> mohou</w:t>
      </w:r>
      <w:r w:rsidR="00F80E61" w:rsidRPr="002A01B1">
        <w:rPr>
          <w:strike/>
        </w:rPr>
        <w:t xml:space="preserve"> banky</w:t>
      </w:r>
      <w:r w:rsidR="00F80E61" w:rsidRPr="002A01B1">
        <w:rPr>
          <w:strike/>
          <w:vertAlign w:val="superscript"/>
        </w:rPr>
        <w:t>4)</w:t>
      </w:r>
      <w:r w:rsidR="00F80E61" w:rsidRPr="002A01B1">
        <w:t xml:space="preserve"> </w:t>
      </w:r>
      <w:r w:rsidR="00F80E61" w:rsidRPr="002A01B1">
        <w:rPr>
          <w:b/>
        </w:rPr>
        <w:t>Banky</w:t>
      </w:r>
      <w:r w:rsidR="00F80E61" w:rsidRPr="002A01B1">
        <w:rPr>
          <w:rStyle w:val="Znakapoznpodarou"/>
          <w:b/>
        </w:rPr>
        <w:footnoteReference w:customMarkFollows="1" w:id="196"/>
        <w:t>4)</w:t>
      </w:r>
      <w:r w:rsidR="00F80E61" w:rsidRPr="002A01B1">
        <w:rPr>
          <w:b/>
        </w:rPr>
        <w:t xml:space="preserve"> mohou</w:t>
      </w:r>
      <w:r w:rsidR="00F80E61" w:rsidRPr="002A01B1">
        <w:t xml:space="preserve"> vytvářet ve zdaňovacím období</w:t>
      </w:r>
    </w:p>
    <w:p w14:paraId="6E24F37F" w14:textId="77777777" w:rsidR="00F80E61" w:rsidRPr="00E6374C" w:rsidRDefault="00F80E61" w:rsidP="002A01B1">
      <w:pPr>
        <w:spacing w:before="0"/>
        <w:ind w:left="425" w:hanging="425"/>
        <w:outlineLvl w:val="7"/>
      </w:pPr>
      <w:r w:rsidRPr="00E6374C">
        <w:t>a)</w:t>
      </w:r>
      <w:r w:rsidRPr="00E6374C">
        <w:tab/>
        <w:t>opravné položky k nepromlčeným pohledávkám z úvěrů,</w:t>
      </w:r>
    </w:p>
    <w:p w14:paraId="1A9E2EAC" w14:textId="77777777" w:rsidR="00F80E61" w:rsidRPr="00E6374C" w:rsidRDefault="00F80E61" w:rsidP="002A01B1">
      <w:pPr>
        <w:spacing w:before="0"/>
        <w:ind w:left="425" w:hanging="425"/>
        <w:outlineLvl w:val="7"/>
      </w:pPr>
      <w:r w:rsidRPr="00E6374C">
        <w:t>b)</w:t>
      </w:r>
      <w:r w:rsidRPr="00E6374C">
        <w:tab/>
        <w:t xml:space="preserve">rezervy na poskytnuté bankovní </w:t>
      </w:r>
      <w:r w:rsidRPr="009B391D">
        <w:rPr>
          <w:shd w:val="clear" w:color="auto" w:fill="FFFFFF" w:themeFill="background1"/>
        </w:rPr>
        <w:t>záruky</w:t>
      </w:r>
      <w:r w:rsidRPr="00E6374C">
        <w:t xml:space="preserve"> za úvěry poskytnuté bankami.</w:t>
      </w:r>
    </w:p>
    <w:p w14:paraId="417146BD" w14:textId="6A41E8AD" w:rsidR="00F80E61" w:rsidRPr="00E6374C" w:rsidRDefault="002A01B1" w:rsidP="00F80E61">
      <w:pPr>
        <w:tabs>
          <w:tab w:val="left" w:pos="782"/>
          <w:tab w:val="left" w:pos="851"/>
        </w:tabs>
        <w:spacing w:before="120" w:after="120"/>
        <w:outlineLvl w:val="6"/>
      </w:pPr>
      <w:r>
        <w:t xml:space="preserve">(2) </w:t>
      </w:r>
      <w:r w:rsidR="00F80E61" w:rsidRPr="00E6374C">
        <w:t>Celková výše tvorby za zdaňovací období</w:t>
      </w:r>
    </w:p>
    <w:p w14:paraId="31B39ABA" w14:textId="6A93A5FB" w:rsidR="00F80E61" w:rsidRPr="00E6374C" w:rsidRDefault="00F80E61" w:rsidP="002A01B1">
      <w:pPr>
        <w:spacing w:before="0"/>
        <w:ind w:left="425" w:hanging="425"/>
        <w:outlineLvl w:val="7"/>
      </w:pPr>
      <w:r w:rsidRPr="00E6374C">
        <w:t>a)</w:t>
      </w:r>
      <w:r w:rsidRPr="00E6374C">
        <w:tab/>
        <w:t>opravných položek podle odstavce 1 písm. a) nesmí přesáhnout výši 2 % ze základu, kterým je průměrný stav</w:t>
      </w:r>
      <w:r>
        <w:t xml:space="preserve"> </w:t>
      </w:r>
      <w:r w:rsidRPr="009B391D">
        <w:rPr>
          <w:strike/>
        </w:rPr>
        <w:t>rozvahové</w:t>
      </w:r>
      <w:r w:rsidRPr="009B391D">
        <w:t xml:space="preserve"> </w:t>
      </w:r>
      <w:r w:rsidRPr="009B391D">
        <w:rPr>
          <w:b/>
        </w:rPr>
        <w:t>daňové</w:t>
      </w:r>
      <w:r w:rsidRPr="009B391D">
        <w:t xml:space="preserve"> hodnoty</w:t>
      </w:r>
      <w:r w:rsidRPr="00E6374C">
        <w:t xml:space="preserve"> nepromlčených pohledávek z úvěrů vzniklých z titulu jistiny a úroku v ocenění nesníženém o opravné položky a rezervy již vytvořené a sníženém o tu část průměrného stavu </w:t>
      </w:r>
      <w:proofErr w:type="gramStart"/>
      <w:r w:rsidRPr="009B391D">
        <w:rPr>
          <w:strike/>
        </w:rPr>
        <w:t>rozvahové</w:t>
      </w:r>
      <w:r w:rsidRPr="009B391D">
        <w:t xml:space="preserve">  </w:t>
      </w:r>
      <w:r w:rsidRPr="009B391D">
        <w:rPr>
          <w:b/>
        </w:rPr>
        <w:t>daňové</w:t>
      </w:r>
      <w:proofErr w:type="gramEnd"/>
      <w:r w:rsidRPr="009B391D">
        <w:t xml:space="preserve"> </w:t>
      </w:r>
      <w:r w:rsidRPr="009B391D">
        <w:rPr>
          <w:shd w:val="clear" w:color="auto" w:fill="FFFFFF" w:themeFill="background1"/>
        </w:rPr>
        <w:t>hodnoty</w:t>
      </w:r>
      <w:r w:rsidRPr="00E6374C">
        <w:t xml:space="preserve"> nepromlčených pohledávek z úvěrů, která je zajištěna přijatými bankovními zárukami nebo pojištěna,</w:t>
      </w:r>
    </w:p>
    <w:p w14:paraId="524391C8" w14:textId="77777777" w:rsidR="00F80E61" w:rsidRPr="00E6374C" w:rsidRDefault="00F80E61" w:rsidP="002A01B1">
      <w:pPr>
        <w:spacing w:before="0"/>
        <w:ind w:left="425" w:hanging="425"/>
        <w:outlineLvl w:val="7"/>
      </w:pPr>
      <w:r w:rsidRPr="00E6374C">
        <w:t>b)</w:t>
      </w:r>
      <w:r w:rsidRPr="00E6374C">
        <w:tab/>
        <w:t>rezerv podle odstavce 1 písm. b) nesmí přesáhnout výši 2 % průměrného stavu poskytnutých bankovních záruk za úvěry poskytnuté bankami.</w:t>
      </w:r>
    </w:p>
    <w:p w14:paraId="053C990D" w14:textId="77777777" w:rsidR="00F80E61" w:rsidRPr="00E6374C" w:rsidRDefault="00F80E61" w:rsidP="00F80E61">
      <w:pPr>
        <w:outlineLvl w:val="5"/>
      </w:pPr>
      <w:r w:rsidRPr="00E6374C">
        <w:t xml:space="preserve">Opravné položky musí být vždy přiřazeny k jednotlivým pohledávkám, rezervy k jednotlivým zárukám. Průměrné stavy se počítají z </w:t>
      </w:r>
      <w:r w:rsidRPr="00DD0878">
        <w:rPr>
          <w:strike/>
        </w:rPr>
        <w:t>měsíčních zůstatků</w:t>
      </w:r>
      <w:r w:rsidRPr="00E6374C">
        <w:t xml:space="preserve"> </w:t>
      </w:r>
      <w:r w:rsidRPr="00DD0878">
        <w:rPr>
          <w:b/>
        </w:rPr>
        <w:t>daňových hodnot</w:t>
      </w:r>
      <w:r>
        <w:t xml:space="preserve"> </w:t>
      </w:r>
      <w:r w:rsidRPr="00E6374C">
        <w:t xml:space="preserve">k poslednímu dni v měsíci a </w:t>
      </w:r>
      <w:r w:rsidRPr="00DD0878">
        <w:rPr>
          <w:strike/>
        </w:rPr>
        <w:t>zůstatku</w:t>
      </w:r>
      <w:r w:rsidRPr="00DD0878">
        <w:rPr>
          <w:b/>
        </w:rPr>
        <w:t xml:space="preserve"> da</w:t>
      </w:r>
      <w:r>
        <w:rPr>
          <w:b/>
        </w:rPr>
        <w:t>ňové</w:t>
      </w:r>
      <w:r w:rsidRPr="00DD0878">
        <w:rPr>
          <w:b/>
        </w:rPr>
        <w:t xml:space="preserve"> hodnot</w:t>
      </w:r>
      <w:r>
        <w:rPr>
          <w:b/>
        </w:rPr>
        <w:t>y</w:t>
      </w:r>
      <w:r w:rsidRPr="00E6374C">
        <w:t xml:space="preserve"> k 1. lednu příslušného zdaňovacího období.</w:t>
      </w:r>
    </w:p>
    <w:p w14:paraId="00C830B6" w14:textId="2038AC1C" w:rsidR="00F80E61" w:rsidRPr="00E6374C" w:rsidRDefault="002A01B1" w:rsidP="00F80E61">
      <w:pPr>
        <w:tabs>
          <w:tab w:val="left" w:pos="782"/>
          <w:tab w:val="left" w:pos="851"/>
        </w:tabs>
        <w:spacing w:before="120" w:after="120"/>
        <w:outlineLvl w:val="6"/>
      </w:pPr>
      <w:r>
        <w:t xml:space="preserve">(3) </w:t>
      </w:r>
      <w:r w:rsidR="00F80E61" w:rsidRPr="00E6374C">
        <w:t>Pohledávkou z úvěru se pro účely tvorby opravných položek rozumí pohledávka z titulu jistiny a úroku, pokud vznikla z úvěru poskytnutého bankou</w:t>
      </w:r>
      <w:r w:rsidR="00F80E61" w:rsidRPr="00E6374C">
        <w:rPr>
          <w:vertAlign w:val="superscript"/>
        </w:rPr>
        <w:t>4)</w:t>
      </w:r>
      <w:r w:rsidR="00F80E61" w:rsidRPr="00E6374C">
        <w:t xml:space="preserve"> nebankovnímu subjektu nebo vznikla plněním z bankovní záruky, za subjektem se sídlem nebo bydlištěm na území členského státu Evropské unie nebo na území jiného státu, který je vůči České republice vázán mezinárodní smlouvou zajišťující provádění výměny informací, a smlouva byla sjednána jako </w:t>
      </w:r>
      <w:r w:rsidR="00F80E61" w:rsidRPr="00E6374C">
        <w:lastRenderedPageBreak/>
        <w:t>smlouva o úvěru nebo smlouva o bankovní záruce podle ustanovení občanského zákoníku nebo podle srovnatelného právního předpisu členského státu Evropské unie nebo jiného státu, který je vůči České republice vázán mezinárodní smlouvou zajišťující provádění výměny informací, podle kterého se sjednává poskytování úvěrů, s výjimkou případu, kdy bude pro sjednání smlouvy o úvěru a jeho poskytnutí použito právo státu, který není členem Evropské unie ani jiným státem, který je vůči České republice vázán mezinárodní smlouvou zajišťující provádění výměny informací, a to i přesto, že použití tohoto práva umožňuje právo příslušného členského státu Evropské unie nebo jiného státu, který je vůči České republice vázán mezinárodní smlouvou zajišťující provádění výměny informací.</w:t>
      </w:r>
    </w:p>
    <w:p w14:paraId="1B01774F" w14:textId="7759D7A9" w:rsidR="00F80E61" w:rsidRPr="00E6374C" w:rsidRDefault="002A01B1" w:rsidP="00F80E61">
      <w:pPr>
        <w:tabs>
          <w:tab w:val="left" w:pos="782"/>
          <w:tab w:val="left" w:pos="851"/>
        </w:tabs>
        <w:spacing w:before="120" w:after="120"/>
        <w:outlineLvl w:val="6"/>
      </w:pPr>
      <w:r>
        <w:t xml:space="preserve">(4) </w:t>
      </w:r>
      <w:r w:rsidR="00F80E61" w:rsidRPr="00E6374C">
        <w:t>Bankovní zárukou se pro účely tvorby rezerv rozumí bankovní záruka, která byla poskytnuta za dluhy subjektu se sídlem nebo bydlištěm na území členského státu Evropské unie v případě, bude-li použito pro její sjednání a poskytnutí právo státu, který je členem Evropské unie, s výjimkou případu, kdy bude v souvislosti s bankovní zárukou použito právo státu, který není členem Evropské unie, a to i přesto, že použití tohoto práva umožňuje právo příslušného členského státu Evropské unie.</w:t>
      </w:r>
    </w:p>
    <w:p w14:paraId="224AC63A" w14:textId="08C57217" w:rsidR="00F80E61" w:rsidRPr="00E6374C" w:rsidRDefault="002A01B1" w:rsidP="00F80E61">
      <w:pPr>
        <w:tabs>
          <w:tab w:val="left" w:pos="782"/>
          <w:tab w:val="left" w:pos="851"/>
        </w:tabs>
        <w:spacing w:before="120" w:after="120"/>
        <w:outlineLvl w:val="6"/>
      </w:pPr>
      <w:r>
        <w:t xml:space="preserve">(5) </w:t>
      </w:r>
      <w:r w:rsidR="00F80E61" w:rsidRPr="00E6374C">
        <w:t>Pokud je sjednán nebo poskytnut úvěr nebo bankovní záruka prostřednictvím třetí osoby se sídlem mimo území členského státu Evropské unie, nebo ve smluvním vztahu s touto osobou je využito práva státu, který není členem Evropské unie, a to i přesto, že použití tohoto práva umožňuje právo příslušného členského státu Evropské unie, nejedná se o pohledávku z úvěru nebo bankovní záruku ve smyslu ustanovení odstavců 1 a 2.</w:t>
      </w:r>
    </w:p>
    <w:p w14:paraId="29A36AB6" w14:textId="6C62922E" w:rsidR="00F80E61" w:rsidRPr="00E6374C" w:rsidRDefault="002A01B1" w:rsidP="00F80E61">
      <w:pPr>
        <w:tabs>
          <w:tab w:val="left" w:pos="782"/>
          <w:tab w:val="left" w:pos="851"/>
        </w:tabs>
        <w:spacing w:before="120" w:after="120"/>
        <w:outlineLvl w:val="6"/>
      </w:pPr>
      <w:r>
        <w:t xml:space="preserve">(6) </w:t>
      </w:r>
      <w:r w:rsidR="00F80E61" w:rsidRPr="00E6374C">
        <w:t>Pokud banka</w:t>
      </w:r>
      <w:r w:rsidR="00F80E61" w:rsidRPr="00E6374C">
        <w:rPr>
          <w:vertAlign w:val="superscript"/>
        </w:rPr>
        <w:t>4)</w:t>
      </w:r>
      <w:r w:rsidR="00F80E61" w:rsidRPr="00E6374C">
        <w:t xml:space="preserve"> nikdy netvořila opravnou položku podle odstavce 2 písm. a) k pohledávce z úvěru vymezené v odstavci 3, může vytvořit opravnou položku až do výše 100 % </w:t>
      </w:r>
      <w:r w:rsidR="00F80E61" w:rsidRPr="00D51430">
        <w:rPr>
          <w:strike/>
          <w:shd w:val="clear" w:color="auto" w:fill="FFFFFF" w:themeFill="background1"/>
        </w:rPr>
        <w:t xml:space="preserve">neuhrazené </w:t>
      </w:r>
      <w:r w:rsidR="00F80E61" w:rsidRPr="00177441">
        <w:rPr>
          <w:strike/>
          <w:shd w:val="clear" w:color="auto" w:fill="FFFFFF" w:themeFill="background1"/>
        </w:rPr>
        <w:t>rozvahové</w:t>
      </w:r>
      <w:r w:rsidR="00F80E61" w:rsidRPr="00177441">
        <w:rPr>
          <w:shd w:val="clear" w:color="auto" w:fill="FFFFFF" w:themeFill="background1"/>
        </w:rPr>
        <w:t xml:space="preserve"> </w:t>
      </w:r>
      <w:r w:rsidR="00F80E61" w:rsidRPr="00177441">
        <w:rPr>
          <w:b/>
          <w:shd w:val="clear" w:color="auto" w:fill="FFFFFF" w:themeFill="background1"/>
        </w:rPr>
        <w:t>daňové</w:t>
      </w:r>
      <w:r w:rsidR="00F80E61" w:rsidRPr="00177441">
        <w:rPr>
          <w:shd w:val="clear" w:color="auto" w:fill="FFFFFF" w:themeFill="background1"/>
        </w:rPr>
        <w:t xml:space="preserve"> hodnoty</w:t>
      </w:r>
      <w:r w:rsidR="00F80E61" w:rsidRPr="00E6374C">
        <w:t xml:space="preserve"> pohledávky bez příslušenství, a to za splnění těchto podmínek:</w:t>
      </w:r>
    </w:p>
    <w:p w14:paraId="7D419CD2" w14:textId="77777777" w:rsidR="00F80E61" w:rsidRPr="00E6374C" w:rsidRDefault="00F80E61" w:rsidP="002A01B1">
      <w:pPr>
        <w:spacing w:before="0"/>
        <w:ind w:left="425" w:hanging="425"/>
        <w:outlineLvl w:val="7"/>
      </w:pPr>
      <w:r w:rsidRPr="00E6374C">
        <w:t>a)</w:t>
      </w:r>
      <w:r w:rsidRPr="00E6374C">
        <w:tab/>
      </w:r>
      <w:r w:rsidRPr="00177441">
        <w:rPr>
          <w:strike/>
          <w:shd w:val="clear" w:color="auto" w:fill="FFFFFF" w:themeFill="background1"/>
        </w:rPr>
        <w:t>rozvahová</w:t>
      </w:r>
      <w:r w:rsidRPr="00177441">
        <w:rPr>
          <w:shd w:val="clear" w:color="auto" w:fill="FFFFFF" w:themeFill="background1"/>
        </w:rPr>
        <w:t xml:space="preserve"> </w:t>
      </w:r>
      <w:r w:rsidRPr="00177441">
        <w:rPr>
          <w:b/>
          <w:shd w:val="clear" w:color="auto" w:fill="FFFFFF" w:themeFill="background1"/>
        </w:rPr>
        <w:t>daňová</w:t>
      </w:r>
      <w:r w:rsidRPr="00177441">
        <w:rPr>
          <w:shd w:val="clear" w:color="auto" w:fill="FFFFFF" w:themeFill="background1"/>
        </w:rPr>
        <w:t xml:space="preserve"> hodnota</w:t>
      </w:r>
      <w:r w:rsidRPr="00E6374C">
        <w:t xml:space="preserve"> pohledávky bez příslušenství v okamžiku jejího vzniku nepřesahuje částku 30 000 Kč,</w:t>
      </w:r>
    </w:p>
    <w:p w14:paraId="592A1E89" w14:textId="77777777" w:rsidR="00F80E61" w:rsidRPr="00E6374C" w:rsidRDefault="00F80E61" w:rsidP="002A01B1">
      <w:pPr>
        <w:spacing w:before="0"/>
        <w:ind w:left="425" w:hanging="425"/>
        <w:outlineLvl w:val="7"/>
      </w:pPr>
      <w:r w:rsidRPr="00E6374C">
        <w:t>b)</w:t>
      </w:r>
      <w:r w:rsidRPr="00E6374C">
        <w:tab/>
        <w:t>od konce sjednané doby splatnosti pohledávky uplynulo nejméně 12 měsíců a</w:t>
      </w:r>
    </w:p>
    <w:p w14:paraId="3FE241C4" w14:textId="77777777" w:rsidR="00F80E61" w:rsidRPr="00E6374C" w:rsidRDefault="00F80E61" w:rsidP="002A01B1">
      <w:pPr>
        <w:spacing w:before="0"/>
        <w:ind w:left="425" w:hanging="425"/>
        <w:outlineLvl w:val="7"/>
      </w:pPr>
      <w:r w:rsidRPr="00E6374C">
        <w:t>c)</w:t>
      </w:r>
      <w:r w:rsidRPr="00E6374C">
        <w:tab/>
        <w:t>ke dni tvorby opravné položky nepřesahuje u banky</w:t>
      </w:r>
      <w:r w:rsidRPr="00E6374C">
        <w:rPr>
          <w:vertAlign w:val="superscript"/>
        </w:rPr>
        <w:t>4)</w:t>
      </w:r>
      <w:r w:rsidRPr="00E6374C">
        <w:t xml:space="preserve"> celková</w:t>
      </w:r>
      <w:r>
        <w:t xml:space="preserve"> </w:t>
      </w:r>
      <w:r w:rsidRPr="001873F3">
        <w:rPr>
          <w:b/>
        </w:rPr>
        <w:t>daňová</w:t>
      </w:r>
      <w:r w:rsidRPr="00E6374C">
        <w:t xml:space="preserve"> hodnota pohledávek bez příslušenství vzniklých vůči témuž dlužníkovi z úvěrů částku 30 000 Kč.</w:t>
      </w:r>
    </w:p>
    <w:p w14:paraId="6601C76E" w14:textId="77777777" w:rsidR="00F80E61" w:rsidRPr="00E6374C" w:rsidRDefault="00F80E61" w:rsidP="00F80E61">
      <w:pPr>
        <w:outlineLvl w:val="5"/>
      </w:pPr>
      <w:r w:rsidRPr="00E6374C">
        <w:t>O pohledávce, k níž byla vytvořena opravná položka podle tohoto ustanovení, je banka</w:t>
      </w:r>
      <w:r w:rsidRPr="00E6374C">
        <w:rPr>
          <w:vertAlign w:val="superscript"/>
        </w:rPr>
        <w:t>4)</w:t>
      </w:r>
      <w:r w:rsidRPr="00E6374C">
        <w:t xml:space="preserve"> povinna vést samostatnou evidenci.</w:t>
      </w:r>
    </w:p>
    <w:p w14:paraId="6D4CAEE2" w14:textId="764865D9" w:rsidR="00F80E61" w:rsidRPr="00BC780C" w:rsidRDefault="002A01B1" w:rsidP="00F80E61">
      <w:pPr>
        <w:tabs>
          <w:tab w:val="left" w:pos="782"/>
          <w:tab w:val="left" w:pos="851"/>
        </w:tabs>
        <w:spacing w:before="120" w:after="120"/>
        <w:outlineLvl w:val="6"/>
        <w:rPr>
          <w:strike/>
        </w:rPr>
      </w:pPr>
      <w:r>
        <w:rPr>
          <w:strike/>
        </w:rPr>
        <w:t xml:space="preserve">(7) </w:t>
      </w:r>
      <w:r w:rsidR="00F80E61" w:rsidRPr="00BC780C">
        <w:rPr>
          <w:strike/>
        </w:rPr>
        <w:t>Opravná položka podle odstavce 1 písm. a) se zruší, pokud pominou důvody</w:t>
      </w:r>
      <w:r w:rsidR="00F80E61" w:rsidRPr="00BC780C">
        <w:rPr>
          <w:strike/>
          <w:color w:val="FF0000"/>
        </w:rPr>
        <w:t xml:space="preserve"> </w:t>
      </w:r>
      <w:r w:rsidR="00F80E61" w:rsidRPr="00BC780C">
        <w:rPr>
          <w:strike/>
        </w:rPr>
        <w:t>pro její existenci, nebo pokud pohledávka, k níž byla vytvořena, byla promlčena. Opravnou položku banka použije ke krytí ztrát z odpisu nebo postoupení pohledávky. Rezerva podle odstavce 1 písm. b) slouží ke krytí ztrát souvisejících s realizací poskytnutých bankovních záruk za úvěry.</w:t>
      </w:r>
    </w:p>
    <w:p w14:paraId="31DE11D5" w14:textId="77777777" w:rsidR="00F80E61" w:rsidRPr="00E6374C" w:rsidRDefault="00F80E61" w:rsidP="00F80E61">
      <w:pPr>
        <w:keepNext/>
        <w:keepLines/>
        <w:numPr>
          <w:ilvl w:val="0"/>
          <w:numId w:val="27"/>
        </w:numPr>
        <w:jc w:val="center"/>
        <w:outlineLvl w:val="5"/>
      </w:pPr>
      <w:r w:rsidRPr="00E6374C">
        <w:t xml:space="preserve">§ 5a </w:t>
      </w:r>
    </w:p>
    <w:p w14:paraId="2F5EEA6D" w14:textId="0ACA0819" w:rsidR="00F80E61" w:rsidRPr="00E6374C" w:rsidRDefault="002A01B1" w:rsidP="00F80E61">
      <w:pPr>
        <w:tabs>
          <w:tab w:val="left" w:pos="782"/>
          <w:tab w:val="left" w:pos="851"/>
        </w:tabs>
        <w:spacing w:before="120" w:after="120"/>
        <w:outlineLvl w:val="6"/>
      </w:pPr>
      <w:r>
        <w:t xml:space="preserve">(1) </w:t>
      </w:r>
      <w:r w:rsidR="00F80E61" w:rsidRPr="00E6374C">
        <w:rPr>
          <w:strike/>
        </w:rPr>
        <w:t xml:space="preserve">Jako </w:t>
      </w:r>
      <w:r w:rsidR="00F80E61" w:rsidRPr="00D87C7C">
        <w:rPr>
          <w:strike/>
          <w:shd w:val="clear" w:color="auto" w:fill="FFFFFF" w:themeFill="background1"/>
        </w:rPr>
        <w:t>výdaje (náklady) na dosažení, zajištění a udržení příjmů</w:t>
      </w:r>
      <w:r w:rsidR="00F80E61" w:rsidRPr="00D87C7C">
        <w:rPr>
          <w:strike/>
          <w:shd w:val="clear" w:color="auto" w:fill="FFFFFF" w:themeFill="background1"/>
          <w:vertAlign w:val="superscript"/>
        </w:rPr>
        <w:t>1)</w:t>
      </w:r>
      <w:r w:rsidR="00F80E61" w:rsidRPr="00D87C7C">
        <w:rPr>
          <w:strike/>
          <w:shd w:val="clear" w:color="auto" w:fill="FFFFFF" w:themeFill="background1"/>
        </w:rPr>
        <w:t xml:space="preserve"> mohou</w:t>
      </w:r>
      <w:r w:rsidR="00F80E61" w:rsidRPr="00E6374C">
        <w:rPr>
          <w:strike/>
        </w:rPr>
        <w:t xml:space="preserve"> spořitelní </w:t>
      </w:r>
      <w:proofErr w:type="spellStart"/>
      <w:r w:rsidR="00F80E61" w:rsidRPr="00E6374C">
        <w:rPr>
          <w:b/>
        </w:rPr>
        <w:t>Spořitelní</w:t>
      </w:r>
      <w:proofErr w:type="spellEnd"/>
      <w:r w:rsidR="00F80E61" w:rsidRPr="00E6374C">
        <w:t xml:space="preserve"> a úvěrní družstva</w:t>
      </w:r>
      <w:r w:rsidR="00F80E61">
        <w:rPr>
          <w:rStyle w:val="Znakapoznpodarou"/>
        </w:rPr>
        <w:footnoteReference w:customMarkFollows="1" w:id="197"/>
        <w:t>6a)</w:t>
      </w:r>
      <w:r w:rsidR="00F80E61" w:rsidRPr="00E6374C">
        <w:rPr>
          <w:vertAlign w:val="superscript"/>
        </w:rPr>
        <w:t>6a)</w:t>
      </w:r>
      <w:r w:rsidR="00F80E61" w:rsidRPr="00E6374C">
        <w:t xml:space="preserve"> a ostatní finanční instituce</w:t>
      </w:r>
      <w:r w:rsidR="00F80E61" w:rsidRPr="00E6374C">
        <w:rPr>
          <w:b/>
        </w:rPr>
        <w:t xml:space="preserve"> mohou</w:t>
      </w:r>
      <w:r w:rsidR="00F80E61" w:rsidRPr="00D87C7C">
        <w:t xml:space="preserve"> </w:t>
      </w:r>
      <w:r w:rsidR="00F80E61" w:rsidRPr="00E6374C">
        <w:t xml:space="preserve">vytvářet ve zdaňovacím období opravné položky k nepromlčeným pohledávkám vzniklým z úvěrů, včetně souvisejícího příslušenství, poskytnutých těmito subjekty fyzickým osobám s bydlištěm na území členského státu Evropské unie. Úvěrem se pro účely tohoto ustanovení rozumí úvěr podle zákona </w:t>
      </w:r>
      <w:r w:rsidR="00F80E61" w:rsidRPr="00E6374C">
        <w:lastRenderedPageBreak/>
        <w:t>upravujícího spořitelní a úvěrní družstva u spořitelního a úvěrního družstva a spotřebitelský úvěr podle zákona upravujícího spotřebitelský úvěr u ostatní finanční instituce. Opravné položky nelze vytvářet u</w:t>
      </w:r>
    </w:p>
    <w:p w14:paraId="67542D77" w14:textId="77777777" w:rsidR="00F80E61" w:rsidRPr="00E6374C" w:rsidRDefault="00F80E61" w:rsidP="002A01B1">
      <w:pPr>
        <w:spacing w:before="0"/>
        <w:ind w:left="425" w:hanging="425"/>
        <w:outlineLvl w:val="7"/>
      </w:pPr>
      <w:r w:rsidRPr="00E6374C">
        <w:t>a)</w:t>
      </w:r>
      <w:r w:rsidRPr="00E6374C">
        <w:tab/>
        <w:t>pohledávek vzniklých mezi spojenými osobami vymezenými v zákoně o daních z příjmů,</w:t>
      </w:r>
    </w:p>
    <w:p w14:paraId="23610E37" w14:textId="77777777" w:rsidR="00F80E61" w:rsidRPr="00E6374C" w:rsidRDefault="00F80E61" w:rsidP="002A01B1">
      <w:pPr>
        <w:spacing w:before="0"/>
        <w:ind w:left="425" w:hanging="425"/>
        <w:outlineLvl w:val="7"/>
      </w:pPr>
      <w:r w:rsidRPr="00E6374C">
        <w:t>b)</w:t>
      </w:r>
      <w:r w:rsidRPr="00E6374C">
        <w:tab/>
        <w:t>pohledávek nabytých postoupením,</w:t>
      </w:r>
    </w:p>
    <w:p w14:paraId="5D6B219B" w14:textId="77777777" w:rsidR="00F80E61" w:rsidRPr="00E6374C" w:rsidRDefault="00F80E61" w:rsidP="002A01B1">
      <w:pPr>
        <w:spacing w:before="0"/>
        <w:ind w:left="425" w:hanging="425"/>
        <w:outlineLvl w:val="7"/>
      </w:pPr>
      <w:r w:rsidRPr="00E6374C">
        <w:t>c)</w:t>
      </w:r>
      <w:r w:rsidRPr="00E6374C">
        <w:tab/>
        <w:t>pohledávek vzniklých na základě novace nebo narovnání.</w:t>
      </w:r>
    </w:p>
    <w:p w14:paraId="71F5180A" w14:textId="77777777" w:rsidR="00F80E61" w:rsidRPr="00E6374C" w:rsidRDefault="00F80E61" w:rsidP="00F80E61">
      <w:pPr>
        <w:outlineLvl w:val="5"/>
      </w:pPr>
      <w:r w:rsidRPr="00E6374C">
        <w:t>Opravné položky nelze vytvářet v tom zdaňovacím období, v němž dojde ke vstupu do likvidace nebo k prohlášení konkursu, a dále v průběhu likvidace a v průběhu insolvenčního řízení v době trvání účinků prohlášení konkursu.</w:t>
      </w:r>
    </w:p>
    <w:p w14:paraId="62A82494" w14:textId="3F390B8A" w:rsidR="00F80E61" w:rsidRPr="00E6374C" w:rsidRDefault="002A01B1" w:rsidP="00F80E61">
      <w:pPr>
        <w:tabs>
          <w:tab w:val="left" w:pos="782"/>
          <w:tab w:val="left" w:pos="851"/>
        </w:tabs>
        <w:spacing w:before="120" w:after="120"/>
        <w:outlineLvl w:val="6"/>
      </w:pPr>
      <w:r>
        <w:t xml:space="preserve">(2) </w:t>
      </w:r>
      <w:r w:rsidR="00F80E61" w:rsidRPr="00E6374C">
        <w:t>Ostatními finančními institucemi se pro účely tohoto zákona rozumějí právnické osoby, které splňují všechny následující podmínky:</w:t>
      </w:r>
    </w:p>
    <w:p w14:paraId="67901FCC" w14:textId="77777777" w:rsidR="00F80E61" w:rsidRPr="00E6374C" w:rsidRDefault="00F80E61" w:rsidP="002A01B1">
      <w:pPr>
        <w:spacing w:before="0"/>
        <w:ind w:left="425" w:hanging="425"/>
        <w:outlineLvl w:val="7"/>
      </w:pPr>
      <w:r w:rsidRPr="00E6374C">
        <w:t>a)</w:t>
      </w:r>
      <w:r w:rsidRPr="00E6374C">
        <w:tab/>
        <w:t>jsou osobami oprávněnými poskytovat spotřebitelský úvěr podle zákona upravujícího spotřebitelský úvěr a</w:t>
      </w:r>
    </w:p>
    <w:p w14:paraId="1F20D3BE" w14:textId="77777777" w:rsidR="00F80E61" w:rsidRPr="00E6374C" w:rsidRDefault="00F80E61" w:rsidP="002A01B1">
      <w:pPr>
        <w:spacing w:before="0"/>
        <w:ind w:left="425" w:hanging="425"/>
        <w:outlineLvl w:val="7"/>
      </w:pPr>
      <w:r w:rsidRPr="00E6374C">
        <w:t>b)</w:t>
      </w:r>
      <w:r w:rsidRPr="00E6374C">
        <w:tab/>
        <w:t>výnosy, včetně úroků z prodlení, z poskytnutých úvěrů podle odstavce 1 u nich dosáhnou alespoň jedné poloviny celkových výnosů v příslušném zdaňovacím období.</w:t>
      </w:r>
    </w:p>
    <w:p w14:paraId="4967D273" w14:textId="77777777" w:rsidR="00F80E61" w:rsidRPr="00E6374C" w:rsidRDefault="00F80E61" w:rsidP="00F80E61">
      <w:pPr>
        <w:outlineLvl w:val="5"/>
      </w:pPr>
      <w:r w:rsidRPr="00E6374C">
        <w:t>Výnosy podle písmene b) se rozumí výnosy zaúčtované v souladu se zvláštním právním předpisem.</w:t>
      </w:r>
      <w:r w:rsidRPr="00E6374C">
        <w:rPr>
          <w:vertAlign w:val="superscript"/>
        </w:rPr>
        <w:t>1a)</w:t>
      </w:r>
      <w:r w:rsidRPr="00E6374C">
        <w:t xml:space="preserve"> Ostatními finančními institucemi pro účely tohoto ustanovení nejsou </w:t>
      </w:r>
      <w:proofErr w:type="gramStart"/>
      <w:r w:rsidRPr="00E6374C">
        <w:t>banky.</w:t>
      </w:r>
      <w:r w:rsidRPr="00E6374C">
        <w:rPr>
          <w:vertAlign w:val="superscript"/>
        </w:rPr>
        <w:t>4)</w:t>
      </w:r>
      <w:proofErr w:type="gramEnd"/>
    </w:p>
    <w:p w14:paraId="2F0168FC" w14:textId="26436716" w:rsidR="00F80E61" w:rsidRPr="00E6374C" w:rsidRDefault="002A01B1" w:rsidP="00F80E61">
      <w:pPr>
        <w:tabs>
          <w:tab w:val="left" w:pos="782"/>
          <w:tab w:val="left" w:pos="851"/>
        </w:tabs>
        <w:spacing w:before="120" w:after="120"/>
        <w:outlineLvl w:val="6"/>
      </w:pPr>
      <w:r>
        <w:t xml:space="preserve">(3) </w:t>
      </w:r>
      <w:r w:rsidR="00F80E61" w:rsidRPr="00E6374C">
        <w:t xml:space="preserve">Opravné položky se tvoří k základu, kterým je průměrný stav </w:t>
      </w:r>
      <w:r w:rsidR="00F80E61" w:rsidRPr="00D87C7C">
        <w:rPr>
          <w:strike/>
          <w:shd w:val="clear" w:color="auto" w:fill="FFFFFF" w:themeFill="background1"/>
        </w:rPr>
        <w:t>rozvahové</w:t>
      </w:r>
      <w:r w:rsidR="00F80E61" w:rsidRPr="00D87C7C">
        <w:rPr>
          <w:shd w:val="clear" w:color="auto" w:fill="FFFFFF" w:themeFill="background1"/>
        </w:rPr>
        <w:t xml:space="preserve"> </w:t>
      </w:r>
      <w:r w:rsidR="00F80E61" w:rsidRPr="00D87C7C">
        <w:rPr>
          <w:b/>
          <w:shd w:val="clear" w:color="auto" w:fill="FFFFFF" w:themeFill="background1"/>
        </w:rPr>
        <w:t>daňové</w:t>
      </w:r>
      <w:r w:rsidR="00F80E61">
        <w:rPr>
          <w:shd w:val="clear" w:color="auto" w:fill="FFFFFF" w:themeFill="background1"/>
        </w:rPr>
        <w:t xml:space="preserve"> </w:t>
      </w:r>
      <w:r w:rsidR="00F80E61" w:rsidRPr="00D87C7C">
        <w:rPr>
          <w:shd w:val="clear" w:color="auto" w:fill="FFFFFF" w:themeFill="background1"/>
        </w:rPr>
        <w:t>hodnoty</w:t>
      </w:r>
      <w:r w:rsidR="00F80E61" w:rsidRPr="00E6374C">
        <w:t xml:space="preserve"> nepromlčených pohledávek z úvěrů bez příslušenství v ocenění nesníženém o opravné položky již vytvořené. Do tohoto základu se nezapočítávají částky</w:t>
      </w:r>
      <w:r w:rsidR="00F80E61" w:rsidRPr="00660C95">
        <w:rPr>
          <w:strike/>
        </w:rPr>
        <w:t>:</w:t>
      </w:r>
      <w:r w:rsidR="00F80E61" w:rsidRPr="00660C95">
        <w:rPr>
          <w:b/>
        </w:rPr>
        <w:t xml:space="preserve"> </w:t>
      </w:r>
      <w:r w:rsidR="00F80E61" w:rsidRPr="00D87C7C">
        <w:rPr>
          <w:b/>
        </w:rPr>
        <w:t>daňové hodnoty</w:t>
      </w:r>
    </w:p>
    <w:p w14:paraId="642551E7" w14:textId="77777777" w:rsidR="00F80E61" w:rsidRPr="00E6374C" w:rsidRDefault="00F80E61" w:rsidP="002A01B1">
      <w:pPr>
        <w:spacing w:before="0"/>
        <w:ind w:left="425" w:hanging="425"/>
        <w:outlineLvl w:val="7"/>
      </w:pPr>
      <w:r w:rsidRPr="00E6374C">
        <w:t>a)</w:t>
      </w:r>
      <w:r w:rsidRPr="00E6374C">
        <w:tab/>
        <w:t>pohledávek přesahující 1 500 000 Kč u jednotlivého úvěru,</w:t>
      </w:r>
    </w:p>
    <w:p w14:paraId="06C3FA44" w14:textId="77777777" w:rsidR="00F80E61" w:rsidRPr="00E6374C" w:rsidRDefault="00F80E61" w:rsidP="002A01B1">
      <w:pPr>
        <w:spacing w:before="0"/>
        <w:ind w:left="425" w:hanging="425"/>
        <w:outlineLvl w:val="7"/>
      </w:pPr>
      <w:r w:rsidRPr="00E6374C">
        <w:t>b)</w:t>
      </w:r>
      <w:r w:rsidRPr="00E6374C">
        <w:tab/>
        <w:t>pohledávek vzniklých mezi spojenými osobami vymezenými v zákoně o daních z příjmů,</w:t>
      </w:r>
    </w:p>
    <w:p w14:paraId="2764B309" w14:textId="77777777" w:rsidR="00F80E61" w:rsidRPr="00E6374C" w:rsidRDefault="00F80E61" w:rsidP="002A01B1">
      <w:pPr>
        <w:spacing w:before="0"/>
        <w:ind w:left="425" w:hanging="425"/>
        <w:outlineLvl w:val="7"/>
      </w:pPr>
      <w:r w:rsidRPr="00E6374C">
        <w:t>c)</w:t>
      </w:r>
      <w:r w:rsidRPr="00E6374C">
        <w:tab/>
        <w:t>pohledávek nabytých postoupením,</w:t>
      </w:r>
    </w:p>
    <w:p w14:paraId="5D3519D0" w14:textId="77777777" w:rsidR="00F80E61" w:rsidRPr="00E6374C" w:rsidRDefault="00F80E61" w:rsidP="002A01B1">
      <w:pPr>
        <w:spacing w:before="0"/>
        <w:ind w:left="425" w:hanging="425"/>
        <w:outlineLvl w:val="7"/>
      </w:pPr>
      <w:r w:rsidRPr="00E6374C">
        <w:t>d)</w:t>
      </w:r>
      <w:r w:rsidRPr="00E6374C">
        <w:tab/>
        <w:t>pohledávek vzniklých na základě novace nebo narovnání,</w:t>
      </w:r>
    </w:p>
    <w:p w14:paraId="592C2D95" w14:textId="77777777" w:rsidR="00F80E61" w:rsidRPr="00E6374C" w:rsidRDefault="00F80E61" w:rsidP="002A01B1">
      <w:pPr>
        <w:spacing w:before="0"/>
        <w:ind w:left="425" w:hanging="425"/>
        <w:outlineLvl w:val="7"/>
      </w:pPr>
      <w:r w:rsidRPr="00E6374C">
        <w:t>e)</w:t>
      </w:r>
      <w:r w:rsidRPr="00E6374C">
        <w:tab/>
        <w:t>pohledávek, k nimž byly ve zdaňovacím období vytvořeny opravné položky podle odstavce 5.</w:t>
      </w:r>
    </w:p>
    <w:p w14:paraId="0EDD91FC" w14:textId="77777777" w:rsidR="00F80E61" w:rsidRPr="00E6374C" w:rsidRDefault="00F80E61" w:rsidP="00F80E61">
      <w:pPr>
        <w:outlineLvl w:val="5"/>
      </w:pPr>
      <w:r w:rsidRPr="00E6374C">
        <w:t xml:space="preserve">Průměrný stav se počítá z </w:t>
      </w:r>
      <w:r w:rsidRPr="00DD0878">
        <w:rPr>
          <w:strike/>
        </w:rPr>
        <w:t>měsíčních zůstatků</w:t>
      </w:r>
      <w:r w:rsidRPr="00E6374C">
        <w:t xml:space="preserve"> </w:t>
      </w:r>
      <w:r w:rsidRPr="00DD0878">
        <w:rPr>
          <w:b/>
        </w:rPr>
        <w:t>daňových hodnot</w:t>
      </w:r>
      <w:r>
        <w:t xml:space="preserve"> </w:t>
      </w:r>
      <w:r w:rsidRPr="00E6374C">
        <w:t xml:space="preserve">k poslednímu dni v měsíci a </w:t>
      </w:r>
      <w:r w:rsidRPr="00DD0878">
        <w:rPr>
          <w:strike/>
        </w:rPr>
        <w:t>zůstatku</w:t>
      </w:r>
      <w:r w:rsidRPr="00DD0878">
        <w:rPr>
          <w:b/>
        </w:rPr>
        <w:t xml:space="preserve"> da</w:t>
      </w:r>
      <w:r>
        <w:rPr>
          <w:b/>
        </w:rPr>
        <w:t>ňové</w:t>
      </w:r>
      <w:r w:rsidRPr="00DD0878">
        <w:rPr>
          <w:b/>
        </w:rPr>
        <w:t xml:space="preserve"> hodnot</w:t>
      </w:r>
      <w:r>
        <w:rPr>
          <w:b/>
        </w:rPr>
        <w:t>y</w:t>
      </w:r>
      <w:r w:rsidRPr="00E6374C">
        <w:t xml:space="preserve"> k prvnímu dni příslušného zdaňovacího období.</w:t>
      </w:r>
    </w:p>
    <w:p w14:paraId="653636C1" w14:textId="7829FAA8" w:rsidR="00F80E61" w:rsidRPr="00E6374C" w:rsidRDefault="002A01B1" w:rsidP="00F80E61">
      <w:pPr>
        <w:tabs>
          <w:tab w:val="left" w:pos="782"/>
          <w:tab w:val="left" w:pos="851"/>
        </w:tabs>
        <w:spacing w:before="120" w:after="120"/>
        <w:outlineLvl w:val="6"/>
      </w:pPr>
      <w:r>
        <w:t xml:space="preserve">(4) </w:t>
      </w:r>
      <w:r w:rsidR="00F80E61" w:rsidRPr="00E6374C">
        <w:t>Celková výše tvorby opravných položek podle odstavce 3 za zdaňovací období nesmí přesáhnout:</w:t>
      </w:r>
    </w:p>
    <w:p w14:paraId="6BDF6B85" w14:textId="77777777" w:rsidR="00F80E61" w:rsidRPr="00E6374C" w:rsidRDefault="00F80E61" w:rsidP="002A01B1">
      <w:pPr>
        <w:spacing w:before="0"/>
        <w:ind w:left="425" w:hanging="425"/>
        <w:outlineLvl w:val="7"/>
      </w:pPr>
      <w:r w:rsidRPr="00E6374C">
        <w:t>a)</w:t>
      </w:r>
      <w:r w:rsidRPr="00E6374C">
        <w:tab/>
        <w:t>1,5 % ze základu podle odstavce 3, a to u spořitelních a úvěrních družstev, a u těch ostatních finančních institucí, u nichž výše základního kapitálu k poslednímu dni zdaňovacího období činí alespoň 20 000 000 Kč,</w:t>
      </w:r>
    </w:p>
    <w:p w14:paraId="752CAC3F" w14:textId="77777777" w:rsidR="00F80E61" w:rsidRPr="00E6374C" w:rsidRDefault="00F80E61" w:rsidP="002A01B1">
      <w:pPr>
        <w:spacing w:before="0"/>
        <w:ind w:left="425" w:hanging="425"/>
        <w:outlineLvl w:val="7"/>
      </w:pPr>
      <w:r w:rsidRPr="00E6374C">
        <w:t>b)</w:t>
      </w:r>
      <w:r w:rsidRPr="00E6374C">
        <w:tab/>
        <w:t>0,6 % ze základu podle odstavce 3, a to u ostatních finančních institucí, u nichž výše základního kapitálu k poslednímu dni zdaňovacího období činí alespoň 10 000 000 Kč,</w:t>
      </w:r>
    </w:p>
    <w:p w14:paraId="4DD8F27C" w14:textId="77777777" w:rsidR="00F80E61" w:rsidRPr="00E6374C" w:rsidRDefault="00F80E61" w:rsidP="002A01B1">
      <w:pPr>
        <w:spacing w:before="0"/>
        <w:ind w:left="425" w:hanging="425"/>
        <w:outlineLvl w:val="7"/>
      </w:pPr>
      <w:r w:rsidRPr="00E6374C">
        <w:t>c)</w:t>
      </w:r>
      <w:r w:rsidRPr="00E6374C">
        <w:tab/>
        <w:t>0,2 % ze základu podle odstavce 3, a to u zbývajících ostatních finančních institucí.</w:t>
      </w:r>
    </w:p>
    <w:p w14:paraId="16DB53CB" w14:textId="09979D31" w:rsidR="00F80E61" w:rsidRPr="00E6374C" w:rsidRDefault="002A01B1" w:rsidP="00F80E61">
      <w:pPr>
        <w:tabs>
          <w:tab w:val="left" w:pos="782"/>
          <w:tab w:val="left" w:pos="851"/>
        </w:tabs>
        <w:spacing w:before="120" w:after="120"/>
        <w:outlineLvl w:val="6"/>
      </w:pPr>
      <w:r>
        <w:t xml:space="preserve">(5) </w:t>
      </w:r>
      <w:r w:rsidR="00F80E61" w:rsidRPr="00E6374C">
        <w:t xml:space="preserve">Opravné položky se tvoří také k nepromlčeným pohledávkám vzniklým z úvěrů až do výše 100 % </w:t>
      </w:r>
      <w:r w:rsidR="00F80E61" w:rsidRPr="00D51430">
        <w:rPr>
          <w:strike/>
          <w:shd w:val="clear" w:color="auto" w:fill="FFFFFF" w:themeFill="background1"/>
        </w:rPr>
        <w:t xml:space="preserve">neuhrazené </w:t>
      </w:r>
      <w:r w:rsidR="00F80E61" w:rsidRPr="00D87C7C">
        <w:rPr>
          <w:strike/>
          <w:shd w:val="clear" w:color="auto" w:fill="FFFFFF" w:themeFill="background1"/>
        </w:rPr>
        <w:t>rozvahové</w:t>
      </w:r>
      <w:r w:rsidR="00F80E61" w:rsidRPr="00D87C7C">
        <w:rPr>
          <w:shd w:val="clear" w:color="auto" w:fill="FFFFFF" w:themeFill="background1"/>
        </w:rPr>
        <w:t xml:space="preserve"> </w:t>
      </w:r>
      <w:r w:rsidR="00F80E61" w:rsidRPr="00D87C7C">
        <w:rPr>
          <w:b/>
          <w:shd w:val="clear" w:color="auto" w:fill="FFFFFF" w:themeFill="background1"/>
        </w:rPr>
        <w:t>daňové</w:t>
      </w:r>
      <w:r w:rsidR="00F80E61">
        <w:rPr>
          <w:shd w:val="clear" w:color="auto" w:fill="FFFFFF" w:themeFill="background1"/>
        </w:rPr>
        <w:t xml:space="preserve"> </w:t>
      </w:r>
      <w:r w:rsidR="00F80E61" w:rsidRPr="00420292">
        <w:rPr>
          <w:shd w:val="clear" w:color="auto" w:fill="FFFFFF" w:themeFill="background1"/>
        </w:rPr>
        <w:t>hodnoty</w:t>
      </w:r>
      <w:r w:rsidR="00F80E61" w:rsidRPr="00E6374C">
        <w:t xml:space="preserve"> pohledávky bez příslušenství, a to za splnění všech následujících podmínek:</w:t>
      </w:r>
    </w:p>
    <w:p w14:paraId="772A56EE" w14:textId="77777777" w:rsidR="00F80E61" w:rsidRPr="00E6374C" w:rsidRDefault="00F80E61" w:rsidP="002A01B1">
      <w:pPr>
        <w:spacing w:before="0"/>
        <w:ind w:left="425" w:hanging="425"/>
        <w:outlineLvl w:val="7"/>
      </w:pPr>
      <w:r w:rsidRPr="00E6374C">
        <w:t>a)</w:t>
      </w:r>
      <w:r w:rsidRPr="00E6374C">
        <w:tab/>
      </w:r>
      <w:r>
        <w:rPr>
          <w:strike/>
          <w:shd w:val="clear" w:color="auto" w:fill="FFFFFF" w:themeFill="background1"/>
        </w:rPr>
        <w:t>rozvahová</w:t>
      </w:r>
      <w:r w:rsidRPr="00D87C7C">
        <w:rPr>
          <w:shd w:val="clear" w:color="auto" w:fill="FFFFFF" w:themeFill="background1"/>
        </w:rPr>
        <w:t xml:space="preserve"> </w:t>
      </w:r>
      <w:r w:rsidRPr="00D87C7C">
        <w:rPr>
          <w:b/>
          <w:shd w:val="clear" w:color="auto" w:fill="FFFFFF" w:themeFill="background1"/>
        </w:rPr>
        <w:t>da</w:t>
      </w:r>
      <w:r>
        <w:rPr>
          <w:b/>
          <w:shd w:val="clear" w:color="auto" w:fill="FFFFFF" w:themeFill="background1"/>
        </w:rPr>
        <w:t>ňová</w:t>
      </w:r>
      <w:r>
        <w:rPr>
          <w:shd w:val="clear" w:color="auto" w:fill="FFFFFF" w:themeFill="background1"/>
        </w:rPr>
        <w:t xml:space="preserve"> </w:t>
      </w:r>
      <w:r w:rsidRPr="00420292">
        <w:rPr>
          <w:shd w:val="clear" w:color="auto" w:fill="FFFFFF" w:themeFill="background1"/>
        </w:rPr>
        <w:t>hodnota</w:t>
      </w:r>
      <w:r w:rsidRPr="00E6374C">
        <w:t xml:space="preserve"> pohledávky bez příslušenství v okamžiku jejího vzniku nepřekročí částku 30 000 Kč,</w:t>
      </w:r>
    </w:p>
    <w:p w14:paraId="2E55CD8A" w14:textId="77777777" w:rsidR="00F80E61" w:rsidRPr="00E6374C" w:rsidRDefault="00F80E61" w:rsidP="002A01B1">
      <w:pPr>
        <w:spacing w:before="0"/>
        <w:ind w:left="425" w:hanging="425"/>
        <w:outlineLvl w:val="7"/>
      </w:pPr>
      <w:r w:rsidRPr="00E6374C">
        <w:t>b)</w:t>
      </w:r>
      <w:r w:rsidRPr="00E6374C">
        <w:tab/>
        <w:t>od konce sjednané doby splatnosti pohledávky uplynulo více jak 12 měsíců.</w:t>
      </w:r>
    </w:p>
    <w:p w14:paraId="2CBB0252" w14:textId="674123C6" w:rsidR="00F80E61" w:rsidRPr="00E6374C" w:rsidRDefault="00F80E61" w:rsidP="00F80E61">
      <w:pPr>
        <w:outlineLvl w:val="5"/>
      </w:pPr>
      <w:r w:rsidRPr="00E6374C">
        <w:lastRenderedPageBreak/>
        <w:t xml:space="preserve">O pohledávkách, k nimž byly vytvořeny opravné položky podle tohoto odstavce, jsou subjekty povinny vést samostatnou evidenci. Opravné položky </w:t>
      </w:r>
      <w:r w:rsidRPr="008077DB">
        <w:t>lze uplatnit jako výdaj (náklad) na dosažení, zajištění a udržení příjmů</w:t>
      </w:r>
      <w:r w:rsidRPr="008077DB">
        <w:rPr>
          <w:vertAlign w:val="superscript"/>
        </w:rPr>
        <w:t>1d)</w:t>
      </w:r>
      <w:r w:rsidRPr="00E6374C">
        <w:t xml:space="preserve"> za zdaňovací období, ve kterém byly vytvořeny, pokud pohledávka, ke které byly vytvořeny, je ke konci zdaňovacího období zaúčtována v účetnictví poplatníka podle zvláštního právního předpisu</w:t>
      </w:r>
      <w:r w:rsidRPr="00E6374C">
        <w:rPr>
          <w:vertAlign w:val="superscript"/>
        </w:rPr>
        <w:t>1a)</w:t>
      </w:r>
      <w:r w:rsidRPr="00E6374C">
        <w:t xml:space="preserve"> a k poslednímu dni příslušného zdaňovacího období nepřesahuje celková hodnota pohledávek bez příslušenství zaúčtovaných v účetnictví poplatníka podle zvláštního právního předpisu</w:t>
      </w:r>
      <w:r w:rsidRPr="00E6374C">
        <w:rPr>
          <w:vertAlign w:val="superscript"/>
        </w:rPr>
        <w:t>1a)</w:t>
      </w:r>
      <w:r w:rsidRPr="00E6374C">
        <w:t xml:space="preserve"> vzniklých vůči témuž dlužníkovi z úvěrů částku 30 000 Kč.</w:t>
      </w:r>
    </w:p>
    <w:p w14:paraId="1D54DFCE" w14:textId="2F76F9B4" w:rsidR="00F80E61" w:rsidRPr="00E6374C" w:rsidRDefault="002A01B1" w:rsidP="00F80E61">
      <w:pPr>
        <w:tabs>
          <w:tab w:val="left" w:pos="782"/>
          <w:tab w:val="left" w:pos="851"/>
        </w:tabs>
        <w:spacing w:before="120" w:after="120"/>
        <w:outlineLvl w:val="6"/>
      </w:pPr>
      <w:r>
        <w:t xml:space="preserve">(6) </w:t>
      </w:r>
      <w:r w:rsidR="00F80E61" w:rsidRPr="00E6374C">
        <w:t xml:space="preserve">Opravné položky se tvoří také k nepromlčeným pohledávkám z titulu příslušenství, až do výše 100 % </w:t>
      </w:r>
      <w:r w:rsidR="00F80E61" w:rsidRPr="00D51430">
        <w:rPr>
          <w:strike/>
          <w:shd w:val="clear" w:color="auto" w:fill="FFFFFF" w:themeFill="background1"/>
        </w:rPr>
        <w:t xml:space="preserve">neuhrazené </w:t>
      </w:r>
      <w:r w:rsidR="00F80E61" w:rsidRPr="00D87C7C">
        <w:rPr>
          <w:strike/>
          <w:shd w:val="clear" w:color="auto" w:fill="FFFFFF" w:themeFill="background1"/>
        </w:rPr>
        <w:t>rozvahové</w:t>
      </w:r>
      <w:r w:rsidR="00F80E61" w:rsidRPr="00D87C7C">
        <w:rPr>
          <w:shd w:val="clear" w:color="auto" w:fill="FFFFFF" w:themeFill="background1"/>
        </w:rPr>
        <w:t xml:space="preserve"> </w:t>
      </w:r>
      <w:r w:rsidR="00F80E61" w:rsidRPr="00D87C7C">
        <w:rPr>
          <w:b/>
          <w:shd w:val="clear" w:color="auto" w:fill="FFFFFF" w:themeFill="background1"/>
        </w:rPr>
        <w:t>daňové</w:t>
      </w:r>
      <w:r w:rsidR="00F80E61">
        <w:rPr>
          <w:shd w:val="clear" w:color="auto" w:fill="FFFFFF" w:themeFill="background1"/>
        </w:rPr>
        <w:t xml:space="preserve"> </w:t>
      </w:r>
      <w:r w:rsidR="00F80E61" w:rsidRPr="00063E28">
        <w:rPr>
          <w:shd w:val="clear" w:color="auto" w:fill="FFFFFF" w:themeFill="background1"/>
        </w:rPr>
        <w:t>hodnoty</w:t>
      </w:r>
      <w:r w:rsidR="00F80E61" w:rsidRPr="00E6374C">
        <w:t xml:space="preserve"> pohledávky, a to za splnění těchto podmínek:</w:t>
      </w:r>
    </w:p>
    <w:p w14:paraId="5C1A9769" w14:textId="77777777" w:rsidR="00F80E61" w:rsidRPr="00E6374C" w:rsidRDefault="00F80E61" w:rsidP="002A01B1">
      <w:pPr>
        <w:spacing w:before="0"/>
        <w:ind w:left="425" w:hanging="425"/>
        <w:outlineLvl w:val="7"/>
      </w:pPr>
      <w:r w:rsidRPr="00E6374C">
        <w:t>a)</w:t>
      </w:r>
      <w:r w:rsidRPr="00E6374C">
        <w:tab/>
        <w:t>příslušenství souvisí s pohledávkou, k níž lze vytvářet opravné položky podle tohoto ustanovení,</w:t>
      </w:r>
    </w:p>
    <w:p w14:paraId="032F6C1E" w14:textId="77777777" w:rsidR="00F80E61" w:rsidRPr="00E6374C" w:rsidRDefault="00F80E61" w:rsidP="002A01B1">
      <w:pPr>
        <w:spacing w:before="0"/>
        <w:ind w:left="425" w:hanging="425"/>
        <w:outlineLvl w:val="7"/>
      </w:pPr>
      <w:r w:rsidRPr="00E6374C">
        <w:t>b)</w:t>
      </w:r>
      <w:r w:rsidRPr="00E6374C">
        <w:tab/>
        <w:t>částka příslušenství byla v příslušném zdaňovacím období nebo v předchozích zdaňovacích obdobích zaúčtována do výnosů a vzniklý příjem nebyl podle zvláštního právního předpisu</w:t>
      </w:r>
      <w:r w:rsidRPr="00E6374C">
        <w:rPr>
          <w:vertAlign w:val="superscript"/>
        </w:rPr>
        <w:t>1d)</w:t>
      </w:r>
      <w:r w:rsidRPr="00E6374C">
        <w:t xml:space="preserve"> příjmem osvobozeným od daně z příjmů nebo nezahrnovaným do základu daně z příjmů a</w:t>
      </w:r>
    </w:p>
    <w:p w14:paraId="4D536DA0" w14:textId="77777777" w:rsidR="00F80E61" w:rsidRPr="00E6374C" w:rsidRDefault="00F80E61" w:rsidP="002A01B1">
      <w:pPr>
        <w:spacing w:before="0"/>
        <w:ind w:left="425" w:hanging="425"/>
        <w:outlineLvl w:val="7"/>
      </w:pPr>
      <w:r w:rsidRPr="00E6374C">
        <w:t>c)</w:t>
      </w:r>
      <w:r w:rsidRPr="00E6374C">
        <w:tab/>
        <w:t xml:space="preserve">celková </w:t>
      </w:r>
      <w:r w:rsidRPr="00063E28">
        <w:rPr>
          <w:b/>
        </w:rPr>
        <w:t>daňová</w:t>
      </w:r>
      <w:r>
        <w:t xml:space="preserve"> </w:t>
      </w:r>
      <w:r w:rsidRPr="00E6374C">
        <w:t>hodnota pohledávek z titulu příslušenství splňujícího obě podmínky uvedené pod písmeny a) a b), které souvisejí s pohledávkami poplatníka vzniklými vůči témuž dlužníkovi z úvěrů, nepřesáhne částku 30 000 Kč.</w:t>
      </w:r>
    </w:p>
    <w:p w14:paraId="14A16BD8" w14:textId="77777777" w:rsidR="00F80E61" w:rsidRPr="00E6374C" w:rsidRDefault="00F80E61" w:rsidP="00F80E61">
      <w:pPr>
        <w:outlineLvl w:val="5"/>
      </w:pPr>
      <w:r w:rsidRPr="00E6374C">
        <w:t>O pohledávkách, k nimž byly vytvořeny opravné položky podle tohoto odstavce, jsou subjekty povinny vést samostatnou evidenci.</w:t>
      </w:r>
    </w:p>
    <w:p w14:paraId="0FB30A59" w14:textId="5837A169" w:rsidR="00F80E61" w:rsidRPr="00E6374C" w:rsidRDefault="002A01B1" w:rsidP="00F80E61">
      <w:pPr>
        <w:tabs>
          <w:tab w:val="left" w:pos="782"/>
          <w:tab w:val="left" w:pos="851"/>
        </w:tabs>
        <w:spacing w:before="120" w:after="120"/>
        <w:outlineLvl w:val="6"/>
      </w:pPr>
      <w:r>
        <w:t xml:space="preserve">(7) </w:t>
      </w:r>
      <w:r w:rsidR="00F80E61" w:rsidRPr="00E6374C">
        <w:t>Vytvořené opravné položky se použijí ke krytí ztrát z odpisu nebo postoupení pohledávek uvedených v odstavci 1, s výjimkou pohledávek podle odstavce 1 písm. a) až písm. c). Ztráty z odpisu nebo postoupení pohledávek do výše kryté použitím opravných položek vytvořených podle tohoto ustanovení jsou výdajem (nákladem) vynaloženým na dosažení, zajištění a udržení příjmů.</w:t>
      </w:r>
      <w:r w:rsidR="00F80E61" w:rsidRPr="00063E28">
        <w:rPr>
          <w:vertAlign w:val="superscript"/>
        </w:rPr>
        <w:t>1d)</w:t>
      </w:r>
    </w:p>
    <w:p w14:paraId="62A0B9BE" w14:textId="7A0E9EE6" w:rsidR="00F80E61" w:rsidRPr="00E6374C" w:rsidRDefault="002A01B1" w:rsidP="00F80E61">
      <w:pPr>
        <w:tabs>
          <w:tab w:val="left" w:pos="782"/>
          <w:tab w:val="left" w:pos="851"/>
        </w:tabs>
        <w:spacing w:before="120" w:after="120"/>
        <w:outlineLvl w:val="6"/>
      </w:pPr>
      <w:r>
        <w:t xml:space="preserve">(8) </w:t>
      </w:r>
      <w:r w:rsidR="00F80E61" w:rsidRPr="00E6374C">
        <w:t>Opravné položky ve výši podle odstavce 4 je ostatní finanční instituce za příslušné zdaňovací období oprávněna vytvořit za podmínky, že v následujících dvou zdaňovacích obdobích nesníží základní kapitál na takovou výši, které odpovídá nižší tvorba opravných položek nebo která tvorbu opravných položek neumožňuje. Snížení základního kapitálu se pro účely tohoto ustanovení posuzuje k poslednímu dni příslušného zdaňovacího období. Za zdaňovací období, v němž dojde ke snížení základního kapitálu, se základ daně zvýší nebo daňová ztráta sníží nebo daňová povinnost ve výši nula upraví o rozdíl mezi výší vytvořených opravných položek a tvorbou opravných položek odpovídající výši základního kapitálu po jeho snížení.</w:t>
      </w:r>
    </w:p>
    <w:p w14:paraId="4B029DD1" w14:textId="77777777" w:rsidR="00F80E61" w:rsidRPr="00E6374C" w:rsidRDefault="00F80E61" w:rsidP="00F80E61">
      <w:pPr>
        <w:keepNext/>
        <w:keepLines/>
        <w:numPr>
          <w:ilvl w:val="0"/>
          <w:numId w:val="27"/>
        </w:numPr>
        <w:jc w:val="center"/>
        <w:outlineLvl w:val="5"/>
      </w:pPr>
      <w:r w:rsidRPr="00E6374C">
        <w:t xml:space="preserve">§ 6  </w:t>
      </w:r>
    </w:p>
    <w:p w14:paraId="3E6D3511" w14:textId="77777777" w:rsidR="00F80E61" w:rsidRPr="00E6374C" w:rsidRDefault="00F80E61" w:rsidP="00F80E61">
      <w:pPr>
        <w:keepNext/>
        <w:keepLines/>
        <w:numPr>
          <w:ilvl w:val="0"/>
          <w:numId w:val="27"/>
        </w:numPr>
        <w:jc w:val="center"/>
        <w:outlineLvl w:val="5"/>
        <w:rPr>
          <w:b/>
        </w:rPr>
      </w:pPr>
      <w:r w:rsidRPr="00E6374C">
        <w:rPr>
          <w:b/>
        </w:rPr>
        <w:t>Rezervy v pojišťovnictví</w:t>
      </w:r>
    </w:p>
    <w:p w14:paraId="7E99945B" w14:textId="36F30E60" w:rsidR="00F80E61" w:rsidRPr="00E6374C" w:rsidRDefault="002D02BF" w:rsidP="00F80E61">
      <w:pPr>
        <w:tabs>
          <w:tab w:val="left" w:pos="782"/>
          <w:tab w:val="left" w:pos="851"/>
        </w:tabs>
        <w:spacing w:before="120" w:after="120"/>
        <w:outlineLvl w:val="6"/>
      </w:pPr>
      <w:r>
        <w:t xml:space="preserve">(1) </w:t>
      </w:r>
      <w:r w:rsidR="00F80E61" w:rsidRPr="00E6374C">
        <w:t>Rezervami v pojišťovnictví se pro účely daní z příjmů rozumí technické rezervy vytvořené podle zákona upravujícího pojišťovnictví.</w:t>
      </w:r>
    </w:p>
    <w:p w14:paraId="64DD5653" w14:textId="71E2881A" w:rsidR="00F80E61" w:rsidRPr="00E6374C" w:rsidRDefault="002D02BF" w:rsidP="00F80E61">
      <w:pPr>
        <w:tabs>
          <w:tab w:val="left" w:pos="782"/>
          <w:tab w:val="left" w:pos="851"/>
        </w:tabs>
        <w:spacing w:before="120" w:after="120"/>
        <w:outlineLvl w:val="6"/>
      </w:pPr>
      <w:r>
        <w:t xml:space="preserve">(2) </w:t>
      </w:r>
      <w:r w:rsidR="00F80E61" w:rsidRPr="00E6374C">
        <w:t xml:space="preserve">U poplatníka se sídlem na území jiného členského státu Evropské unie nebo státu tvořícího Evropský hospodářský prostor než Česká republika, který provozuje pojišťovací nebo zajišťovací činnost na území České republiky, se rezervami v pojišťovnictví pro účely daní z příjmů rozumí technické rezervy k vyrovnání závazků z této činnosti vytvořené v souladu s </w:t>
      </w:r>
      <w:r w:rsidR="00F80E61" w:rsidRPr="00E6374C">
        <w:lastRenderedPageBreak/>
        <w:t>právními předpisy státu jeho sídla, které upravují přístup k pojišťovací a zajišťovací činnosti a její výkon v souladu s předpisem Evropské unie</w:t>
      </w:r>
      <w:r w:rsidR="00F80E61">
        <w:rPr>
          <w:rStyle w:val="Znakapoznpodarou"/>
        </w:rPr>
        <w:footnoteReference w:customMarkFollows="1" w:id="198"/>
        <w:t>27)</w:t>
      </w:r>
      <w:r w:rsidR="00F80E61" w:rsidRPr="00E6374C">
        <w:t>.</w:t>
      </w:r>
    </w:p>
    <w:p w14:paraId="1A45A451" w14:textId="1FAAA490" w:rsidR="00F80E61" w:rsidRPr="00E6374C" w:rsidRDefault="002D02BF" w:rsidP="00F80E61">
      <w:pPr>
        <w:tabs>
          <w:tab w:val="left" w:pos="782"/>
          <w:tab w:val="left" w:pos="851"/>
        </w:tabs>
        <w:spacing w:before="120" w:after="120"/>
        <w:outlineLvl w:val="6"/>
      </w:pPr>
      <w:r>
        <w:t xml:space="preserve">(3) </w:t>
      </w:r>
      <w:r w:rsidR="00F80E61" w:rsidRPr="00E6374C">
        <w:t>U poplatníka se sídlem na území státu, který není členským státem Evropské unie ani státem tvořícím Evropský hospodářský prostor a se kterým má Česká republika uzavřenu mezinárodní smlouvu upravující tvorbu a výši technických rezerv v pojišťovací a zajišťovací činnosti, která je prováděna, provozujícího pojišťovací nebo zajišťovací činnost na území České republiky se rezervami v pojišťovnictví pro účely daní z příjmů rozumí technické rezervy k vyrovnání závazků z této činnosti vytvořené v souladu s touto mezinárodní smlouvou.</w:t>
      </w:r>
    </w:p>
    <w:p w14:paraId="7CBD7C0F" w14:textId="5D2DEEF4" w:rsidR="00F80E61" w:rsidRPr="00E6374C" w:rsidRDefault="002D02BF" w:rsidP="00F80E61">
      <w:pPr>
        <w:tabs>
          <w:tab w:val="left" w:pos="782"/>
          <w:tab w:val="left" w:pos="851"/>
        </w:tabs>
        <w:spacing w:before="120" w:after="120"/>
        <w:outlineLvl w:val="6"/>
      </w:pPr>
      <w:r>
        <w:t xml:space="preserve">(4) </w:t>
      </w:r>
      <w:r w:rsidR="00F80E61" w:rsidRPr="00E6374C">
        <w:t>Upravenými rezervami v pojišťovnictví se pro účely daní z příjmů rozumí rezervy v pojišťovnictví</w:t>
      </w:r>
    </w:p>
    <w:p w14:paraId="0C4D33FA" w14:textId="38217222" w:rsidR="00F80E61" w:rsidRPr="00E6374C" w:rsidRDefault="00F80E61" w:rsidP="002D02BF">
      <w:pPr>
        <w:spacing w:before="0"/>
        <w:ind w:left="425" w:hanging="425"/>
        <w:outlineLvl w:val="7"/>
      </w:pPr>
      <w:r w:rsidRPr="00E6374C">
        <w:t>a)</w:t>
      </w:r>
      <w:r w:rsidRPr="00E6374C">
        <w:tab/>
        <w:t>snížené o částky vymahatelné ze zajišťovacích smluv podle přímo použitelného předpisu Evropské unie</w:t>
      </w:r>
      <w:r>
        <w:rPr>
          <w:rStyle w:val="Znakapoznpodarou"/>
        </w:rPr>
        <w:footnoteReference w:customMarkFollows="1" w:id="199"/>
        <w:t>28)</w:t>
      </w:r>
      <w:r w:rsidRPr="00E6374C">
        <w:t xml:space="preserve"> a</w:t>
      </w:r>
    </w:p>
    <w:p w14:paraId="08CFC049" w14:textId="77777777" w:rsidR="00F80E61" w:rsidRPr="00E6374C" w:rsidRDefault="00F80E61" w:rsidP="002D02BF">
      <w:pPr>
        <w:spacing w:before="0"/>
        <w:ind w:left="425" w:hanging="425"/>
        <w:outlineLvl w:val="7"/>
      </w:pPr>
      <w:r w:rsidRPr="00E6374C">
        <w:t>b)</w:t>
      </w:r>
      <w:r w:rsidRPr="00E6374C">
        <w:tab/>
        <w:t>zvýšené o zůstatek odložených pořizovacích nákladů na pojistné smlouvy podle právních předpisů upravujících účetnictví.</w:t>
      </w:r>
    </w:p>
    <w:p w14:paraId="2510686B" w14:textId="13F3D897" w:rsidR="00F80E61" w:rsidRPr="00E6374C" w:rsidRDefault="002D02BF" w:rsidP="00F80E61">
      <w:pPr>
        <w:tabs>
          <w:tab w:val="left" w:pos="782"/>
          <w:tab w:val="left" w:pos="851"/>
        </w:tabs>
        <w:spacing w:before="120" w:after="120"/>
        <w:outlineLvl w:val="6"/>
      </w:pPr>
      <w:r>
        <w:t xml:space="preserve">(5) </w:t>
      </w:r>
      <w:r w:rsidR="00F80E61" w:rsidRPr="00E6374C">
        <w:t>Přírůstkem rezerv v pojišťovnictví se rozumí kladný rozdíl mezi výší upravených rezerv v pojišťovnictví na konci zdaňovacího období a výší upravených rezerv v pojišťovnictví na začátku zdaňovacího období.</w:t>
      </w:r>
    </w:p>
    <w:p w14:paraId="018297AF" w14:textId="53886538" w:rsidR="00F80E61" w:rsidRPr="00E6374C" w:rsidRDefault="002D02BF" w:rsidP="00F80E61">
      <w:pPr>
        <w:tabs>
          <w:tab w:val="left" w:pos="782"/>
          <w:tab w:val="left" w:pos="851"/>
        </w:tabs>
        <w:spacing w:before="120" w:after="120"/>
        <w:outlineLvl w:val="6"/>
      </w:pPr>
      <w:r>
        <w:t xml:space="preserve">(6) </w:t>
      </w:r>
      <w:r w:rsidR="00F80E61" w:rsidRPr="00E6374C">
        <w:t>Úbytkem rezerv v pojišťovnictví se rozumí záporný rozdíl mezi výší upravených rezerv v pojišťovnictví na konci zdaňovacího období a výší upravených rezerv v pojišťovnictví na začátku zdaňovacího období.</w:t>
      </w:r>
    </w:p>
    <w:p w14:paraId="0A01BAA4" w14:textId="68FF5BC1" w:rsidR="00F80E61" w:rsidRPr="00E6374C" w:rsidRDefault="002D02BF" w:rsidP="00F80E61">
      <w:pPr>
        <w:shd w:val="clear" w:color="auto" w:fill="FFFFFF" w:themeFill="background1"/>
        <w:tabs>
          <w:tab w:val="left" w:pos="782"/>
          <w:tab w:val="left" w:pos="851"/>
        </w:tabs>
        <w:spacing w:before="120" w:after="120"/>
        <w:outlineLvl w:val="6"/>
        <w:rPr>
          <w:strike/>
        </w:rPr>
      </w:pPr>
      <w:r>
        <w:rPr>
          <w:strike/>
        </w:rPr>
        <w:t xml:space="preserve">(7) </w:t>
      </w:r>
      <w:r w:rsidR="00F80E61" w:rsidRPr="00E6374C">
        <w:rPr>
          <w:strike/>
        </w:rPr>
        <w:t>Pro účely určení přírůstku rezerv v pojišťovnictví a úbytku rezerv v pojišťovnictví se za zdaňovací období považuje i období, za které se podává daňové přiznání.</w:t>
      </w:r>
    </w:p>
    <w:p w14:paraId="7F61E38B" w14:textId="77777777" w:rsidR="00F80E61" w:rsidRPr="00E6374C" w:rsidRDefault="00F80E61" w:rsidP="00F80E61">
      <w:pPr>
        <w:tabs>
          <w:tab w:val="left" w:pos="782"/>
          <w:tab w:val="left" w:pos="851"/>
        </w:tabs>
        <w:spacing w:before="120" w:after="120"/>
        <w:outlineLvl w:val="6"/>
      </w:pPr>
      <w:proofErr w:type="gramStart"/>
      <w:r w:rsidRPr="00E6374C">
        <w:rPr>
          <w:strike/>
        </w:rPr>
        <w:t>(8)</w:t>
      </w:r>
      <w:r w:rsidRPr="00E6374C">
        <w:rPr>
          <w:b/>
        </w:rPr>
        <w:t>(</w:t>
      </w:r>
      <w:r>
        <w:rPr>
          <w:b/>
        </w:rPr>
        <w:t>7</w:t>
      </w:r>
      <w:r w:rsidRPr="00E6374C">
        <w:rPr>
          <w:b/>
        </w:rPr>
        <w:t xml:space="preserve">) </w:t>
      </w:r>
      <w:r w:rsidRPr="00E6374C">
        <w:t>Rezervami</w:t>
      </w:r>
      <w:proofErr w:type="gramEnd"/>
      <w:r w:rsidRPr="00E6374C">
        <w:t xml:space="preserve"> v pojišťovnictví pro účely daní z příjmů nejsou technické rezervy k vyrovnání závazků z pojišťovací nebo zajišťovací činnosti provozované ve státě, se kterým má Česká republika uzavřenu mezinárodní smlouvu upravující zamezení dvojímu zdanění všech druhů příjmů, která je prováděna a podle které se dvojí zdanění příjmů vylučuje metodou vynětí.</w:t>
      </w:r>
    </w:p>
    <w:p w14:paraId="69633927" w14:textId="77777777" w:rsidR="00F80E61" w:rsidRPr="00E6374C" w:rsidRDefault="00F80E61" w:rsidP="00F80E61">
      <w:pPr>
        <w:keepNext/>
        <w:keepLines/>
        <w:numPr>
          <w:ilvl w:val="0"/>
          <w:numId w:val="27"/>
        </w:numPr>
        <w:jc w:val="center"/>
        <w:outlineLvl w:val="5"/>
      </w:pPr>
      <w:r w:rsidRPr="00E6374C">
        <w:t xml:space="preserve">§ 7  </w:t>
      </w:r>
    </w:p>
    <w:p w14:paraId="1E9473BF" w14:textId="77777777" w:rsidR="00F80E61" w:rsidRPr="00A222C6" w:rsidRDefault="00F80E61" w:rsidP="00F80E61">
      <w:pPr>
        <w:keepNext/>
        <w:keepLines/>
        <w:numPr>
          <w:ilvl w:val="0"/>
          <w:numId w:val="27"/>
        </w:numPr>
        <w:jc w:val="center"/>
        <w:outlineLvl w:val="5"/>
        <w:rPr>
          <w:b/>
        </w:rPr>
      </w:pPr>
      <w:r w:rsidRPr="00A222C6">
        <w:rPr>
          <w:b/>
        </w:rPr>
        <w:t xml:space="preserve">Rezerva na opravy </w:t>
      </w:r>
      <w:r w:rsidRPr="00A222C6">
        <w:rPr>
          <w:b/>
          <w:strike/>
        </w:rPr>
        <w:t>hmotného majetku</w:t>
      </w:r>
    </w:p>
    <w:p w14:paraId="4029336A" w14:textId="3E7167A2" w:rsidR="00F80E61" w:rsidRPr="00A222C6" w:rsidRDefault="002D02BF" w:rsidP="00F80E61">
      <w:pPr>
        <w:tabs>
          <w:tab w:val="left" w:pos="782"/>
          <w:tab w:val="left" w:pos="851"/>
        </w:tabs>
        <w:spacing w:before="120" w:after="120"/>
        <w:outlineLvl w:val="6"/>
        <w:rPr>
          <w:strike/>
        </w:rPr>
      </w:pPr>
      <w:proofErr w:type="gramStart"/>
      <w:r>
        <w:rPr>
          <w:strike/>
        </w:rPr>
        <w:t xml:space="preserve">(1) </w:t>
      </w:r>
      <w:r w:rsidR="00F80E61" w:rsidRPr="00A222C6">
        <w:rPr>
          <w:strike/>
        </w:rPr>
        <w:t>Rezervu</w:t>
      </w:r>
      <w:proofErr w:type="gramEnd"/>
      <w:r w:rsidR="00F80E61" w:rsidRPr="00A222C6">
        <w:rPr>
          <w:strike/>
        </w:rPr>
        <w:t xml:space="preserve"> na opravy hmotného majetku,</w:t>
      </w:r>
      <w:r w:rsidR="00F80E61">
        <w:rPr>
          <w:rStyle w:val="Znakapoznpodarou"/>
          <w:strike/>
        </w:rPr>
        <w:footnoteReference w:customMarkFollows="1" w:id="200"/>
        <w:t>12)</w:t>
      </w:r>
      <w:r w:rsidR="00F80E61" w:rsidRPr="00A222C6">
        <w:rPr>
          <w:strike/>
        </w:rPr>
        <w:t xml:space="preserve"> která je </w:t>
      </w:r>
      <w:r w:rsidR="00F80E61" w:rsidRPr="00B65A23">
        <w:rPr>
          <w:strike/>
        </w:rPr>
        <w:t>výdajem (nákladem) na dosažení, zajištění a udržení příjmů,</w:t>
      </w:r>
      <w:r w:rsidR="00F80E61" w:rsidRPr="00B65A23">
        <w:rPr>
          <w:strike/>
          <w:vertAlign w:val="superscript"/>
        </w:rPr>
        <w:t>1)</w:t>
      </w:r>
      <w:r w:rsidR="00F80E61" w:rsidRPr="00A222C6">
        <w:rPr>
          <w:b/>
          <w:strike/>
        </w:rPr>
        <w:t xml:space="preserve"> </w:t>
      </w:r>
      <w:r w:rsidR="00F80E61" w:rsidRPr="00A222C6">
        <w:rPr>
          <w:strike/>
        </w:rPr>
        <w:t xml:space="preserve">jehož doba odpisování stanovená zákonem o daních z příjmů je pět a více let, mohou vytvářet poplatníci daně z příjmů, </w:t>
      </w:r>
      <w:proofErr w:type="gramStart"/>
      <w:r w:rsidR="00F80E61" w:rsidRPr="00A222C6">
        <w:rPr>
          <w:strike/>
        </w:rPr>
        <w:t>kteří</w:t>
      </w:r>
      <w:proofErr w:type="gramEnd"/>
    </w:p>
    <w:p w14:paraId="07A638DC" w14:textId="77777777" w:rsidR="00F80E61" w:rsidRPr="00A222C6" w:rsidRDefault="00F80E61" w:rsidP="002D02BF">
      <w:pPr>
        <w:spacing w:before="0"/>
        <w:ind w:left="425" w:hanging="425"/>
        <w:outlineLvl w:val="7"/>
        <w:rPr>
          <w:strike/>
        </w:rPr>
      </w:pPr>
      <w:r w:rsidRPr="00A222C6">
        <w:rPr>
          <w:strike/>
        </w:rPr>
        <w:t>a)</w:t>
      </w:r>
      <w:r w:rsidRPr="00A222C6">
        <w:rPr>
          <w:strike/>
        </w:rPr>
        <w:tab/>
        <w:t xml:space="preserve">mají k hmotnému majetku právo vlastnické, jsou organizační složkou státu příslušnou hospodařit s majetkem státu, jsou státní organizací příslušnou hospodařit nebo s právem hospodařit s majetkem státu, jsou příspěvkovou organizací územního samosprávného celku nebo dobrovolného svazku obcí u hmotného majetku předaného zřizovatelem k hospodaření, jsou dobrovolným svazkem obcí u hmotného majetku vloženého členskou obcí, jsou podílovým fondem, jehož součástí hmotný majetek je, nebo jsou </w:t>
      </w:r>
      <w:proofErr w:type="spellStart"/>
      <w:r w:rsidRPr="00A222C6">
        <w:rPr>
          <w:strike/>
        </w:rPr>
        <w:t>svěřenským</w:t>
      </w:r>
      <w:proofErr w:type="spellEnd"/>
      <w:r w:rsidRPr="00A222C6">
        <w:rPr>
          <w:strike/>
        </w:rPr>
        <w:t xml:space="preserve"> </w:t>
      </w:r>
      <w:r w:rsidRPr="00A222C6">
        <w:rPr>
          <w:strike/>
        </w:rPr>
        <w:lastRenderedPageBreak/>
        <w:t>fondem, jehož součástí hmotný majetek je, pokud tuto rezervu nevytváří pachtýř podle písmene b),</w:t>
      </w:r>
    </w:p>
    <w:p w14:paraId="0EE0111D" w14:textId="77777777" w:rsidR="00F80E61" w:rsidRPr="00A222C6" w:rsidRDefault="00F80E61" w:rsidP="002D02BF">
      <w:pPr>
        <w:spacing w:before="0"/>
        <w:ind w:left="425" w:hanging="425"/>
        <w:outlineLvl w:val="7"/>
        <w:rPr>
          <w:strike/>
        </w:rPr>
      </w:pPr>
      <w:r w:rsidRPr="00A222C6">
        <w:rPr>
          <w:strike/>
        </w:rPr>
        <w:t>b)</w:t>
      </w:r>
      <w:r w:rsidRPr="00A222C6">
        <w:rPr>
          <w:strike/>
        </w:rPr>
        <w:tab/>
        <w:t>jsou pachtýři hmotného majetku na základě smlouvy o pachtu obchodního závodu, přičemž k opravám tohoto majetku jsou smluvně písemně zavázáni,</w:t>
      </w:r>
    </w:p>
    <w:p w14:paraId="44FD3A0F" w14:textId="77777777" w:rsidR="00F80E61" w:rsidRPr="00E6374C" w:rsidRDefault="00F80E61" w:rsidP="002D02BF">
      <w:pPr>
        <w:spacing w:before="0"/>
        <w:ind w:left="425" w:hanging="425"/>
        <w:outlineLvl w:val="7"/>
        <w:rPr>
          <w:strike/>
        </w:rPr>
      </w:pPr>
      <w:r w:rsidRPr="00A222C6">
        <w:rPr>
          <w:strike/>
        </w:rPr>
        <w:t>c)</w:t>
      </w:r>
      <w:r w:rsidRPr="00A222C6">
        <w:rPr>
          <w:strike/>
        </w:rPr>
        <w:tab/>
        <w:t>procházejí reorganizací nebo oddlužením podle zvláštního právního předpisu</w:t>
      </w:r>
      <w:r>
        <w:rPr>
          <w:rStyle w:val="Znakapoznpodarou"/>
          <w:strike/>
        </w:rPr>
        <w:footnoteReference w:customMarkFollows="1" w:id="201"/>
        <w:t>12b)</w:t>
      </w:r>
      <w:r w:rsidRPr="00A222C6">
        <w:rPr>
          <w:strike/>
        </w:rPr>
        <w:t xml:space="preserve"> a jejichž vlastnické právo ke hmotnému majetku, k němuž byla rezerva tvořena, nebylo průběhem insolvenčního řízení ani pravomocným ukončením insolvenčního řízení dotčeno.</w:t>
      </w:r>
    </w:p>
    <w:p w14:paraId="41A937F4" w14:textId="43EEF64E" w:rsidR="00F80E61" w:rsidRPr="00E6374C" w:rsidRDefault="002D02BF" w:rsidP="00F80E61">
      <w:pPr>
        <w:tabs>
          <w:tab w:val="left" w:pos="782"/>
          <w:tab w:val="left" w:pos="851"/>
        </w:tabs>
        <w:spacing w:before="120" w:after="120"/>
        <w:outlineLvl w:val="6"/>
        <w:rPr>
          <w:b/>
        </w:rPr>
      </w:pPr>
      <w:r>
        <w:rPr>
          <w:b/>
        </w:rPr>
        <w:t xml:space="preserve">(1) </w:t>
      </w:r>
      <w:r w:rsidR="00F80E61" w:rsidRPr="00E6374C">
        <w:rPr>
          <w:b/>
        </w:rPr>
        <w:t>Rezervu na opravu lze tvořit k evidovanému aktivu, kter</w:t>
      </w:r>
      <w:r w:rsidR="00F80E61">
        <w:rPr>
          <w:b/>
        </w:rPr>
        <w:t>é</w:t>
      </w:r>
      <w:r w:rsidR="00F80E61" w:rsidRPr="00E6374C">
        <w:rPr>
          <w:b/>
        </w:rPr>
        <w:t xml:space="preserve"> je hmotnou věcí a jehož doba </w:t>
      </w:r>
      <w:r w:rsidR="00F80E61">
        <w:rPr>
          <w:b/>
        </w:rPr>
        <w:t xml:space="preserve">daňového </w:t>
      </w:r>
      <w:r w:rsidR="00F80E61" w:rsidRPr="00E6374C">
        <w:rPr>
          <w:b/>
        </w:rPr>
        <w:t>odpisování činí alespoň 60 měsíců. Pokud je aktivum evidovaným aktivem u více poplatníků daně z příjmů, rezervu na opravu může tvořit pouze jeden z nich, a to pouze pokud je k opravám smluvně zavázán.</w:t>
      </w:r>
    </w:p>
    <w:p w14:paraId="13D451B4" w14:textId="6B1AB7A6" w:rsidR="00F80E61" w:rsidRPr="00E6374C" w:rsidRDefault="002D02BF" w:rsidP="00F80E61">
      <w:pPr>
        <w:tabs>
          <w:tab w:val="left" w:pos="782"/>
          <w:tab w:val="left" w:pos="851"/>
        </w:tabs>
        <w:spacing w:before="120" w:after="120"/>
        <w:outlineLvl w:val="6"/>
      </w:pPr>
      <w:r>
        <w:t xml:space="preserve">(2) </w:t>
      </w:r>
      <w:r w:rsidR="00F80E61" w:rsidRPr="00E6374C">
        <w:t xml:space="preserve">Za opravy podle tohoto zákona se nepovažuje </w:t>
      </w:r>
      <w:r w:rsidR="00F80E61" w:rsidRPr="00E6374C">
        <w:rPr>
          <w:strike/>
        </w:rPr>
        <w:t>technické zhodnocení podle zvláštního zákona.</w:t>
      </w:r>
      <w:r w:rsidR="00F80E61">
        <w:rPr>
          <w:rStyle w:val="Znakapoznpodarou"/>
          <w:strike/>
        </w:rPr>
        <w:footnoteReference w:customMarkFollows="1" w:id="202"/>
        <w:t>13)</w:t>
      </w:r>
      <w:r w:rsidR="00F80E61" w:rsidRPr="00E6374C">
        <w:rPr>
          <w:rFonts w:eastAsiaTheme="minorHAnsi"/>
          <w:lang w:eastAsia="en-US"/>
        </w:rPr>
        <w:t xml:space="preserve"> </w:t>
      </w:r>
      <w:r w:rsidR="00F80E61" w:rsidRPr="00F07461">
        <w:rPr>
          <w:b/>
        </w:rPr>
        <w:t>následný pořizovací</w:t>
      </w:r>
      <w:r w:rsidR="00F80E61">
        <w:rPr>
          <w:rFonts w:eastAsiaTheme="minorHAnsi"/>
          <w:lang w:eastAsia="en-US"/>
        </w:rPr>
        <w:t xml:space="preserve"> </w:t>
      </w:r>
      <w:r w:rsidR="00F80E61" w:rsidRPr="00E6374C">
        <w:rPr>
          <w:b/>
        </w:rPr>
        <w:t>výdaj.</w:t>
      </w:r>
    </w:p>
    <w:p w14:paraId="534F137F" w14:textId="05A8F31C" w:rsidR="00F80E61" w:rsidRPr="00E6374C" w:rsidRDefault="002D02BF" w:rsidP="00F80E61">
      <w:pPr>
        <w:tabs>
          <w:tab w:val="left" w:pos="782"/>
          <w:tab w:val="left" w:pos="851"/>
        </w:tabs>
        <w:spacing w:before="120" w:after="120"/>
        <w:outlineLvl w:val="6"/>
      </w:pPr>
      <w:r>
        <w:t xml:space="preserve">(3) </w:t>
      </w:r>
      <w:r w:rsidR="00F80E61" w:rsidRPr="00E6374C">
        <w:t xml:space="preserve">Rezerva podle odstavce 1 se nevytváří v případech </w:t>
      </w:r>
      <w:r w:rsidR="00F80E61" w:rsidRPr="00C23A82">
        <w:rPr>
          <w:strike/>
        </w:rPr>
        <w:t>hmotného majetku</w:t>
      </w:r>
      <w:r w:rsidR="00F80E61" w:rsidRPr="00E6374C">
        <w:rPr>
          <w:strike/>
        </w:rPr>
        <w:t>,</w:t>
      </w:r>
    </w:p>
    <w:p w14:paraId="1BABD651" w14:textId="77777777" w:rsidR="00F80E61" w:rsidRPr="00E6374C" w:rsidRDefault="00F80E61" w:rsidP="002D02BF">
      <w:pPr>
        <w:spacing w:before="0"/>
        <w:ind w:left="425" w:hanging="425"/>
        <w:outlineLvl w:val="7"/>
      </w:pPr>
      <w:r w:rsidRPr="00E6374C">
        <w:t>a)</w:t>
      </w:r>
      <w:r w:rsidRPr="00E6374C">
        <w:tab/>
      </w:r>
      <w:r w:rsidRPr="001511D3">
        <w:rPr>
          <w:strike/>
        </w:rPr>
        <w:t>který je určen</w:t>
      </w:r>
      <w:r w:rsidRPr="00E6374C">
        <w:t xml:space="preserve"> </w:t>
      </w:r>
      <w:r w:rsidRPr="00E6374C">
        <w:rPr>
          <w:b/>
        </w:rPr>
        <w:t>aktiva,</w:t>
      </w:r>
      <w:r w:rsidRPr="00E6374C">
        <w:t xml:space="preserve"> </w:t>
      </w:r>
      <w:r w:rsidRPr="00E6374C">
        <w:rPr>
          <w:b/>
        </w:rPr>
        <w:t>které</w:t>
      </w:r>
      <w:r w:rsidRPr="00E6374C">
        <w:t xml:space="preserve"> </w:t>
      </w:r>
      <w:r w:rsidRPr="001511D3">
        <w:rPr>
          <w:b/>
        </w:rPr>
        <w:t>je</w:t>
      </w:r>
      <w:r>
        <w:t xml:space="preserve"> </w:t>
      </w:r>
      <w:r w:rsidRPr="00E6374C">
        <w:rPr>
          <w:b/>
        </w:rPr>
        <w:t>určeno</w:t>
      </w:r>
      <w:r w:rsidRPr="00E6374C">
        <w:t xml:space="preserve"> k likvidaci,</w:t>
      </w:r>
    </w:p>
    <w:p w14:paraId="2A499979" w14:textId="77777777" w:rsidR="00F80E61" w:rsidRPr="00E6374C" w:rsidRDefault="00F80E61" w:rsidP="002D02BF">
      <w:pPr>
        <w:spacing w:before="0"/>
        <w:ind w:left="425" w:hanging="425"/>
        <w:outlineLvl w:val="7"/>
      </w:pPr>
      <w:r w:rsidRPr="00E6374C">
        <w:t>b)</w:t>
      </w:r>
      <w:r w:rsidRPr="00E6374C">
        <w:tab/>
      </w:r>
      <w:r w:rsidRPr="00E6374C">
        <w:rPr>
          <w:b/>
        </w:rPr>
        <w:t>aktiva,</w:t>
      </w:r>
      <w:r w:rsidRPr="00E6374C">
        <w:t xml:space="preserve"> u něhož jde o opravy v důsledku škody či jiné nepředvídané nebo nahodilé události,</w:t>
      </w:r>
    </w:p>
    <w:p w14:paraId="64918BB3" w14:textId="77777777" w:rsidR="00F80E61" w:rsidRPr="00E6374C" w:rsidRDefault="00F80E61" w:rsidP="002D02BF">
      <w:pPr>
        <w:spacing w:before="0"/>
        <w:ind w:left="425" w:hanging="425"/>
        <w:outlineLvl w:val="7"/>
      </w:pPr>
      <w:r w:rsidRPr="00E6374C">
        <w:t>c)</w:t>
      </w:r>
      <w:r w:rsidRPr="00E6374C">
        <w:tab/>
      </w:r>
      <w:r w:rsidRPr="00E6374C">
        <w:rPr>
          <w:b/>
        </w:rPr>
        <w:t>aktiva,</w:t>
      </w:r>
      <w:r w:rsidRPr="00E6374C">
        <w:t xml:space="preserve"> u něhož jde o opravy, které se pravidelně opakují každý rok,</w:t>
      </w:r>
    </w:p>
    <w:p w14:paraId="3EA93C93" w14:textId="77777777" w:rsidR="00F80E61" w:rsidRPr="00E6374C" w:rsidRDefault="00F80E61" w:rsidP="002D02BF">
      <w:pPr>
        <w:spacing w:before="0"/>
        <w:ind w:left="425" w:hanging="425"/>
        <w:outlineLvl w:val="7"/>
      </w:pPr>
      <w:r w:rsidRPr="00E6374C">
        <w:t>d)</w:t>
      </w:r>
      <w:r w:rsidRPr="00E6374C">
        <w:tab/>
      </w:r>
      <w:r w:rsidRPr="00E6374C">
        <w:rPr>
          <w:strike/>
        </w:rPr>
        <w:t>k němuž má vlastnické právo poplatník</w:t>
      </w:r>
      <w:r w:rsidRPr="00E6374C">
        <w:t xml:space="preserve"> </w:t>
      </w:r>
      <w:r w:rsidRPr="00E6374C">
        <w:rPr>
          <w:b/>
        </w:rPr>
        <w:t>aktiva poplatníka</w:t>
      </w:r>
      <w:r w:rsidRPr="00E6374C">
        <w:t>, vůči jehož majetku trvají účinky prohlášení konkursu podle zvláštního právního předpisu</w:t>
      </w:r>
      <w:r w:rsidRPr="00E6374C">
        <w:rPr>
          <w:vertAlign w:val="superscript"/>
        </w:rPr>
        <w:t>12b)</w:t>
      </w:r>
      <w:r w:rsidRPr="00E6374C">
        <w:t>.</w:t>
      </w:r>
    </w:p>
    <w:p w14:paraId="7D85B87A" w14:textId="6916689D" w:rsidR="00F80E61" w:rsidRPr="00E6374C" w:rsidRDefault="002D02BF" w:rsidP="00F80E61">
      <w:pPr>
        <w:tabs>
          <w:tab w:val="left" w:pos="782"/>
          <w:tab w:val="left" w:pos="851"/>
        </w:tabs>
        <w:spacing w:before="120" w:after="120"/>
        <w:outlineLvl w:val="6"/>
      </w:pPr>
      <w:r>
        <w:t xml:space="preserve">(4) </w:t>
      </w:r>
      <w:r w:rsidR="00F80E61" w:rsidRPr="00E6374C">
        <w:t xml:space="preserve">Ve zdaňovacím období je tvorba rezervy výdajem (nákladem) na dosažení, zajištění a udržení příjmů </w:t>
      </w:r>
      <w:r w:rsidR="00F80E61" w:rsidRPr="00E6374C">
        <w:rPr>
          <w:b/>
        </w:rPr>
        <w:t>nebo položkou snižující základ daně</w:t>
      </w:r>
      <w:r w:rsidR="00F80E61" w:rsidRPr="00E6374C">
        <w:t>, pokud budou peněžní prostředky v plné výši rezervy připadající podle odstavců 5 a 7 na jedno zdaňovací období převedeny na samostatný účet v bance se sídlem na území členského státu Evropské unie, který je veden v českých korunách nebo v eurech a je určen výhradně pro ukládání prostředků rezerv tvořených podle tohoto ustanovení (dále jen „samostatný účet“), a to nejpozději do termínu pro podání daňového přiznání. Nebudou-li peněžní prostředky v plné výši rezervy připadající podle odstavců 5 a 7 na jedno zdaňovací období převedeny na samostatný účet nejpozději do termínu pro podání daňového přiznání, rezerva se zruší ve zdaňovacím období, za které se toto daňové přiznání podává. Peněžní prostředky samostatného účtu mohou být čerpány pouze na účely, na které byla rezerva vytvořena.</w:t>
      </w:r>
    </w:p>
    <w:p w14:paraId="0E0321CD" w14:textId="0016438B" w:rsidR="00F80E61" w:rsidRPr="001511D3" w:rsidRDefault="002D02BF" w:rsidP="00F80E61">
      <w:pPr>
        <w:tabs>
          <w:tab w:val="left" w:pos="782"/>
          <w:tab w:val="left" w:pos="851"/>
        </w:tabs>
        <w:spacing w:before="120" w:after="120"/>
        <w:outlineLvl w:val="6"/>
        <w:rPr>
          <w:strike/>
        </w:rPr>
      </w:pPr>
      <w:r>
        <w:rPr>
          <w:strike/>
        </w:rPr>
        <w:t xml:space="preserve">(5) </w:t>
      </w:r>
      <w:r w:rsidR="00F80E61" w:rsidRPr="001511D3">
        <w:rPr>
          <w:strike/>
        </w:rPr>
        <w:t xml:space="preserve">Výše rezervy na opravy hmotného majetku se stanoví podle jednotlivého hmotného majetku určeného k opravě a charakteru této opravy. Výše rezervy ve zdaňovacím období je rovna podílu rozpočtu nákladů na opravu a počtu zdaňovacích obdobím, která uplynou od zahájení tvorby rezervy do předpokládaného termínu zahájení opravy. Do počtu zdaňovacích období rozhodných pro účely výpočtu výše rezervy se zahrnuje zdaňovací období, kdy dojde k zahájení tvorby rezervy. Do tohoto počtu zdaňovacích období se nezahrnuje předpokládané zdaňovací období, kdy dojde k zahájení opravy. U movitých věcí může být rezerva na opravu jednotlivého </w:t>
      </w:r>
      <w:r w:rsidR="00F80E61" w:rsidRPr="001511D3">
        <w:rPr>
          <w:strike/>
          <w:shd w:val="clear" w:color="auto" w:fill="FFFFFF" w:themeFill="background1"/>
        </w:rPr>
        <w:t>hmotného majetku</w:t>
      </w:r>
      <w:r w:rsidR="00F80E61" w:rsidRPr="001511D3">
        <w:rPr>
          <w:strike/>
        </w:rPr>
        <w:t xml:space="preserve"> tvořena ve vztahu k objemu jeho výkonu v technických jednotkách; v takovém případě je výše rezervy ve zdaňovacím období rovna součinu podílu rozpočtu nákladů na opravu na jednotku předpokládaného objemu výkonu a součtu objemů </w:t>
      </w:r>
      <w:r w:rsidR="00F80E61" w:rsidRPr="001511D3">
        <w:rPr>
          <w:strike/>
        </w:rPr>
        <w:lastRenderedPageBreak/>
        <w:t>skutečných výkonů za zdaňovací období a za předcházející období, pokud nebylo zdaňovacím obdobím.</w:t>
      </w:r>
    </w:p>
    <w:p w14:paraId="29346428" w14:textId="45C68316" w:rsidR="00F80E61" w:rsidRPr="009E1E72" w:rsidRDefault="002D02BF" w:rsidP="00F80E61">
      <w:pPr>
        <w:tabs>
          <w:tab w:val="left" w:pos="782"/>
          <w:tab w:val="left" w:pos="851"/>
        </w:tabs>
        <w:spacing w:before="120" w:after="120"/>
        <w:outlineLvl w:val="6"/>
        <w:rPr>
          <w:b/>
        </w:rPr>
      </w:pPr>
      <w:r>
        <w:rPr>
          <w:b/>
        </w:rPr>
        <w:t xml:space="preserve">(5) </w:t>
      </w:r>
      <w:r w:rsidR="00F80E61" w:rsidRPr="009E1E72">
        <w:rPr>
          <w:b/>
        </w:rPr>
        <w:t>Výše rezervy na opravy se stanoví podle jednotlivého aktiva určeného k opravě a charakteru této opravy. Měsíční výše rezervy na opravu je rovna podílu rozpočtu nákladů na opravu a počtu kalendářních měsíců, které uplynou od zahájení tvorby rezervy do předpokládaného termínu zahájení opravy. Do počtu kalendářních měsíců rozhodných pro účely výpočtu výše rezervy se zahrnuje kalendářní měsíc, kdy dojde k zahájení tvorby rezervy. Do tohoto počtu zdaňovacích období se nezahrnuje předpokládaný kalendářní měsíc, kdy dojde k zahájení opravy. U movitých věcí může být rezerva na opravu jednotlivého aktiva tvořena ve vztahu k objemu jeho výkonu v technických jednotkách; v takovém případě je měsíční výše rezervy rovna součinu podílu rozpočtu nákladů na opravu na jednotku předpokládaného objemu výkonu a součtu objemů skutečných výkonů za kalendářní měsíc.</w:t>
      </w:r>
    </w:p>
    <w:p w14:paraId="59F30C3A" w14:textId="49A645EF" w:rsidR="00F80E61" w:rsidRPr="00E6374C" w:rsidRDefault="002D02BF" w:rsidP="00F80E61">
      <w:pPr>
        <w:tabs>
          <w:tab w:val="left" w:pos="782"/>
          <w:tab w:val="left" w:pos="851"/>
        </w:tabs>
        <w:spacing w:before="120" w:after="120"/>
        <w:outlineLvl w:val="6"/>
      </w:pPr>
      <w:r>
        <w:t xml:space="preserve">(6) </w:t>
      </w:r>
      <w:r w:rsidR="00F80E61" w:rsidRPr="00E6374C">
        <w:t>Nebude-li oprava zahájena nejpozději ve zdaňovacím období následujícím po zdaňovacím období, ve kterém se při výpočtu výše rezervy předpokládalo zahájení opravy, rezerva se zruší v tomto následujícím zdaňovacím období. Rezerva nebo její zůstatek se zruší i tehdy, jestliže nebyla vyčerpána nejpozději ve zdaňovacím období, které následuje po zdaňovacím období, ve kterém byla oprava zahájena. Za zahájení opravy se pro účely tohoto zákona považuje termín, ve kterém se fyzicky začnou provádět práce přímo na věci, která je předmětem opravy; provádí-li se oprava mimo provozovnu poplatníka jinou osobou, rozumí se zahájením opravy převzetí věci do opravy touto osobou. Toto ustanovení se nevztahuje na poplatníky, kteří doloží, že k překročení těchto lhůt došlo zásahem orgánu státní správy nebo orgánů samosprávy.</w:t>
      </w:r>
    </w:p>
    <w:p w14:paraId="5C28E1AA" w14:textId="34846768" w:rsidR="00F80E61" w:rsidRPr="00E6374C" w:rsidRDefault="002D02BF" w:rsidP="00F80E61">
      <w:pPr>
        <w:tabs>
          <w:tab w:val="left" w:pos="782"/>
          <w:tab w:val="left" w:pos="851"/>
        </w:tabs>
        <w:spacing w:before="120" w:after="120"/>
        <w:outlineLvl w:val="6"/>
      </w:pPr>
      <w:r>
        <w:t xml:space="preserve">(7) </w:t>
      </w:r>
      <w:r w:rsidR="00F80E61" w:rsidRPr="00E6374C">
        <w:t>Zjistí-li poplatník daně z příjmů skutečnost odůvodňující změnu výše rezervy, musí provést úpravu její výše počínaje zdaňovacím obdobím, v němž tuto skutečnost zjistí.</w:t>
      </w:r>
    </w:p>
    <w:p w14:paraId="2766135F" w14:textId="5AB609F8" w:rsidR="00F80E61" w:rsidRPr="00E6374C" w:rsidRDefault="002D02BF" w:rsidP="00F80E61">
      <w:pPr>
        <w:tabs>
          <w:tab w:val="left" w:pos="782"/>
          <w:tab w:val="left" w:pos="851"/>
        </w:tabs>
        <w:spacing w:before="120" w:after="120"/>
        <w:outlineLvl w:val="6"/>
      </w:pPr>
      <w:r>
        <w:t xml:space="preserve">(8) </w:t>
      </w:r>
      <w:r w:rsidR="00F80E61" w:rsidRPr="00E6374C">
        <w:t xml:space="preserve">Rezerva na opravy u jednotlivého </w:t>
      </w:r>
      <w:r w:rsidR="00F80E61" w:rsidRPr="00A26BF3">
        <w:rPr>
          <w:strike/>
          <w:shd w:val="clear" w:color="auto" w:fill="FFFFFF" w:themeFill="background1"/>
        </w:rPr>
        <w:t>hmotného majetku</w:t>
      </w:r>
      <w:r w:rsidR="00F80E61" w:rsidRPr="00E6374C">
        <w:t xml:space="preserve"> </w:t>
      </w:r>
      <w:r w:rsidR="00F80E61" w:rsidRPr="00E6374C">
        <w:rPr>
          <w:b/>
        </w:rPr>
        <w:t>aktiva</w:t>
      </w:r>
      <w:r w:rsidR="00F80E61" w:rsidRPr="00E6374C">
        <w:t xml:space="preserve"> nesmí být tvořena pouze jedno zdaňovací období.</w:t>
      </w:r>
    </w:p>
    <w:p w14:paraId="1201EA79" w14:textId="559E9299" w:rsidR="00F80E61" w:rsidRPr="00E6374C" w:rsidRDefault="002D02BF" w:rsidP="00F80E61">
      <w:pPr>
        <w:tabs>
          <w:tab w:val="left" w:pos="782"/>
          <w:tab w:val="left" w:pos="851"/>
        </w:tabs>
        <w:spacing w:before="120" w:after="120"/>
        <w:outlineLvl w:val="6"/>
      </w:pPr>
      <w:r>
        <w:t xml:space="preserve">(9) </w:t>
      </w:r>
      <w:r w:rsidR="00F80E61" w:rsidRPr="00E6374C">
        <w:t xml:space="preserve">Maximální doba tvorby rezervy podle předchozích odstavců činí </w:t>
      </w:r>
      <w:r w:rsidR="00F80E61" w:rsidRPr="00A26BF3">
        <w:rPr>
          <w:strike/>
        </w:rPr>
        <w:t xml:space="preserve">u </w:t>
      </w:r>
      <w:r w:rsidR="00F80E61" w:rsidRPr="00A26BF3">
        <w:rPr>
          <w:strike/>
          <w:shd w:val="clear" w:color="auto" w:fill="FFFFFF" w:themeFill="background1"/>
        </w:rPr>
        <w:t>hmotného majetku</w:t>
      </w:r>
      <w:r w:rsidR="00F80E61" w:rsidRPr="00E6374C">
        <w:t xml:space="preserve"> </w:t>
      </w:r>
      <w:r w:rsidR="00F80E61" w:rsidRPr="00E6374C">
        <w:rPr>
          <w:strike/>
        </w:rPr>
        <w:t xml:space="preserve">zatříděného </w:t>
      </w:r>
    </w:p>
    <w:p w14:paraId="6E8CD7F4" w14:textId="77777777" w:rsidR="00F80E61" w:rsidRPr="00E6374C" w:rsidRDefault="00F80E61" w:rsidP="002D02BF">
      <w:pPr>
        <w:spacing w:before="0"/>
        <w:ind w:left="425" w:hanging="425"/>
        <w:outlineLvl w:val="7"/>
        <w:rPr>
          <w:rFonts w:ascii="Arial" w:hAnsi="Arial" w:cs="Arial"/>
          <w:strike/>
        </w:rPr>
      </w:pPr>
      <w:r w:rsidRPr="00E6374C">
        <w:rPr>
          <w:strike/>
        </w:rPr>
        <w:t>a)</w:t>
      </w:r>
      <w:r w:rsidRPr="00E6374C">
        <w:rPr>
          <w:strike/>
        </w:rPr>
        <w:tab/>
        <w:t>ve 2. odpisové skupině</w:t>
      </w:r>
      <w:r w:rsidRPr="00E6374C">
        <w:rPr>
          <w:strike/>
        </w:rPr>
        <w:tab/>
      </w:r>
      <w:r w:rsidRPr="00E6374C">
        <w:rPr>
          <w:strike/>
        </w:rPr>
        <w:tab/>
        <w:t>3 zdaňovací období</w:t>
      </w:r>
    </w:p>
    <w:p w14:paraId="2C45AE18" w14:textId="77777777" w:rsidR="00F80E61" w:rsidRPr="00E6374C" w:rsidRDefault="00F80E61" w:rsidP="002D02BF">
      <w:pPr>
        <w:spacing w:before="0"/>
        <w:ind w:left="425" w:hanging="425"/>
        <w:outlineLvl w:val="7"/>
        <w:rPr>
          <w:strike/>
        </w:rPr>
      </w:pPr>
      <w:r w:rsidRPr="00E6374C">
        <w:rPr>
          <w:strike/>
        </w:rPr>
        <w:t>b)</w:t>
      </w:r>
      <w:r w:rsidRPr="00E6374C">
        <w:rPr>
          <w:strike/>
        </w:rPr>
        <w:tab/>
        <w:t>ve 3. odpisové skupině</w:t>
      </w:r>
      <w:r w:rsidRPr="00E6374C">
        <w:rPr>
          <w:strike/>
        </w:rPr>
        <w:tab/>
      </w:r>
      <w:r w:rsidRPr="00E6374C">
        <w:rPr>
          <w:strike/>
        </w:rPr>
        <w:tab/>
        <w:t>6 zdaňovacích období</w:t>
      </w:r>
    </w:p>
    <w:p w14:paraId="08348B57" w14:textId="77777777" w:rsidR="00F80E61" w:rsidRPr="00E6374C" w:rsidRDefault="00F80E61" w:rsidP="002D02BF">
      <w:pPr>
        <w:spacing w:before="0"/>
        <w:ind w:left="425" w:hanging="425"/>
        <w:outlineLvl w:val="7"/>
        <w:rPr>
          <w:rFonts w:ascii="Arial" w:hAnsi="Arial" w:cs="Arial"/>
          <w:b/>
        </w:rPr>
      </w:pPr>
      <w:r w:rsidRPr="00E6374C">
        <w:rPr>
          <w:b/>
        </w:rPr>
        <w:t>a)</w:t>
      </w:r>
      <w:r w:rsidRPr="00E6374C">
        <w:rPr>
          <w:b/>
        </w:rPr>
        <w:tab/>
        <w:t xml:space="preserve">120 po sobě jdoucích kalendářních měsíců u aktiva, jehož doba </w:t>
      </w:r>
      <w:r>
        <w:rPr>
          <w:b/>
        </w:rPr>
        <w:t xml:space="preserve">daňového </w:t>
      </w:r>
      <w:r w:rsidRPr="00E6374C">
        <w:rPr>
          <w:b/>
        </w:rPr>
        <w:t xml:space="preserve">odpisování činí </w:t>
      </w:r>
      <w:proofErr w:type="gramStart"/>
      <w:r w:rsidRPr="00E6374C">
        <w:rPr>
          <w:b/>
        </w:rPr>
        <w:t>alespoň  360</w:t>
      </w:r>
      <w:proofErr w:type="gramEnd"/>
      <w:r w:rsidRPr="00E6374C">
        <w:rPr>
          <w:b/>
        </w:rPr>
        <w:t xml:space="preserve"> měsíců, </w:t>
      </w:r>
    </w:p>
    <w:p w14:paraId="62D23A0E" w14:textId="77777777" w:rsidR="00F80E61" w:rsidRPr="00E6374C" w:rsidRDefault="00F80E61" w:rsidP="002D02BF">
      <w:pPr>
        <w:spacing w:before="0"/>
        <w:ind w:left="425" w:hanging="425"/>
        <w:outlineLvl w:val="7"/>
        <w:rPr>
          <w:rFonts w:ascii="Arial" w:hAnsi="Arial" w:cs="Arial"/>
          <w:b/>
        </w:rPr>
      </w:pPr>
      <w:r w:rsidRPr="00E6374C">
        <w:rPr>
          <w:b/>
        </w:rPr>
        <w:t>b)</w:t>
      </w:r>
      <w:r w:rsidRPr="00E6374C">
        <w:rPr>
          <w:b/>
        </w:rPr>
        <w:tab/>
        <w:t xml:space="preserve">36 kalendářních měsíců po sobě jdoucích u aktiva, jehož doba </w:t>
      </w:r>
      <w:r>
        <w:rPr>
          <w:b/>
        </w:rPr>
        <w:t xml:space="preserve">daňového </w:t>
      </w:r>
      <w:r w:rsidRPr="00E6374C">
        <w:rPr>
          <w:b/>
        </w:rPr>
        <w:t xml:space="preserve">odpisování činí méně než 360 </w:t>
      </w:r>
      <w:proofErr w:type="gramStart"/>
      <w:r w:rsidRPr="00E6374C">
        <w:rPr>
          <w:b/>
        </w:rPr>
        <w:t>měsíců</w:t>
      </w:r>
      <w:r w:rsidRPr="009E1E72">
        <w:rPr>
          <w:b/>
          <w:strike/>
        </w:rPr>
        <w:t>,</w:t>
      </w:r>
      <w:r w:rsidRPr="00E6374C">
        <w:rPr>
          <w:b/>
        </w:rPr>
        <w:t>.</w:t>
      </w:r>
      <w:proofErr w:type="gramEnd"/>
    </w:p>
    <w:p w14:paraId="360A26CB" w14:textId="77777777" w:rsidR="00F80E61" w:rsidRPr="00E6374C" w:rsidRDefault="00F80E61" w:rsidP="002D02BF">
      <w:pPr>
        <w:spacing w:before="0"/>
        <w:ind w:left="425" w:hanging="425"/>
        <w:outlineLvl w:val="7"/>
        <w:rPr>
          <w:rFonts w:ascii="Arial" w:hAnsi="Arial" w:cs="Arial"/>
          <w:strike/>
        </w:rPr>
      </w:pPr>
      <w:r w:rsidRPr="00E6374C">
        <w:rPr>
          <w:strike/>
        </w:rPr>
        <w:t>c)</w:t>
      </w:r>
      <w:r w:rsidRPr="00E6374C">
        <w:rPr>
          <w:strike/>
        </w:rPr>
        <w:tab/>
        <w:t>ve 4. odpisové skupině</w:t>
      </w:r>
      <w:r w:rsidRPr="00E6374C">
        <w:rPr>
          <w:strike/>
        </w:rPr>
        <w:tab/>
      </w:r>
      <w:r w:rsidRPr="00E6374C">
        <w:rPr>
          <w:strike/>
        </w:rPr>
        <w:tab/>
        <w:t>8 zdaňovacích období</w:t>
      </w:r>
    </w:p>
    <w:p w14:paraId="3E7F0F51" w14:textId="77777777" w:rsidR="00F80E61" w:rsidRPr="00E6374C" w:rsidRDefault="00F80E61" w:rsidP="002D02BF">
      <w:pPr>
        <w:spacing w:before="0"/>
        <w:ind w:left="425" w:hanging="425"/>
        <w:outlineLvl w:val="7"/>
        <w:rPr>
          <w:rFonts w:ascii="Arial" w:hAnsi="Arial" w:cs="Arial"/>
          <w:strike/>
        </w:rPr>
      </w:pPr>
      <w:r w:rsidRPr="00E6374C">
        <w:rPr>
          <w:strike/>
        </w:rPr>
        <w:t>d)</w:t>
      </w:r>
      <w:r w:rsidRPr="00E6374C">
        <w:rPr>
          <w:strike/>
        </w:rPr>
        <w:tab/>
        <w:t xml:space="preserve">v 5. a 6. odpisové </w:t>
      </w:r>
      <w:proofErr w:type="gramStart"/>
      <w:r w:rsidRPr="00E6374C">
        <w:rPr>
          <w:strike/>
        </w:rPr>
        <w:t>skupině  10</w:t>
      </w:r>
      <w:proofErr w:type="gramEnd"/>
      <w:r w:rsidRPr="00E6374C">
        <w:rPr>
          <w:strike/>
        </w:rPr>
        <w:t xml:space="preserve"> zdaňovacích období</w:t>
      </w:r>
    </w:p>
    <w:p w14:paraId="2B7B5A8A" w14:textId="77777777" w:rsidR="00F80E61" w:rsidRPr="00E6374C" w:rsidRDefault="00F80E61" w:rsidP="002D02BF">
      <w:pPr>
        <w:spacing w:before="0"/>
        <w:outlineLvl w:val="5"/>
      </w:pPr>
      <w:r w:rsidRPr="00E6374C">
        <w:rPr>
          <w:strike/>
        </w:rPr>
        <w:t>vymezených v zákoně o daních z příjmů a po sobě jdoucích v každé odpisové skupině, přičemž k období, za které se podávalo daňové přiznání, ale zdaňovacím obdobím nebylo, se nepřihlíží</w:t>
      </w:r>
      <w:r w:rsidRPr="00E6374C">
        <w:t>.</w:t>
      </w:r>
    </w:p>
    <w:p w14:paraId="364D17E1" w14:textId="4AF4962C" w:rsidR="00F80E61" w:rsidRPr="00E6374C" w:rsidRDefault="002D02BF" w:rsidP="00F80E61">
      <w:pPr>
        <w:tabs>
          <w:tab w:val="left" w:pos="782"/>
          <w:tab w:val="left" w:pos="851"/>
        </w:tabs>
        <w:spacing w:before="120" w:after="120"/>
        <w:outlineLvl w:val="6"/>
        <w:rPr>
          <w:strike/>
        </w:rPr>
      </w:pPr>
      <w:r>
        <w:rPr>
          <w:strike/>
        </w:rPr>
        <w:t xml:space="preserve">(10) </w:t>
      </w:r>
      <w:r w:rsidR="00F80E61" w:rsidRPr="00E6374C">
        <w:rPr>
          <w:strike/>
        </w:rPr>
        <w:t xml:space="preserve">V započaté tvorbě rezervy může pokračovat poplatník daně z příjmů, který započal tvorbu </w:t>
      </w:r>
      <w:r w:rsidR="00F80E61" w:rsidRPr="00307B1F">
        <w:rPr>
          <w:strike/>
          <w:shd w:val="clear" w:color="auto" w:fill="FFFFFF" w:themeFill="background1"/>
        </w:rPr>
        <w:t>rezervy na opravy najatého hmotného</w:t>
      </w:r>
      <w:r w:rsidR="00F80E61" w:rsidRPr="00E6374C">
        <w:rPr>
          <w:strike/>
        </w:rPr>
        <w:t xml:space="preserve"> majetku uvedeného v odstavci 1 písm. b) a v průběhu tvorby rezervy se stal vlastníkem tohoto majetku, bude-li dodržena odůvodněnost a účelovost k původnímu předmětu tvorby.</w:t>
      </w:r>
    </w:p>
    <w:p w14:paraId="4699F1F9" w14:textId="2DF0102E" w:rsidR="00F80E61" w:rsidRPr="00E6374C" w:rsidRDefault="00F80E61" w:rsidP="00F80E61">
      <w:pPr>
        <w:tabs>
          <w:tab w:val="left" w:pos="782"/>
          <w:tab w:val="left" w:pos="851"/>
        </w:tabs>
        <w:spacing w:before="120" w:after="120"/>
        <w:outlineLvl w:val="6"/>
      </w:pPr>
      <w:r w:rsidRPr="00E6374C">
        <w:rPr>
          <w:strike/>
        </w:rPr>
        <w:t>(</w:t>
      </w:r>
      <w:proofErr w:type="gramStart"/>
      <w:r w:rsidRPr="00E6374C">
        <w:rPr>
          <w:strike/>
        </w:rPr>
        <w:t>11)</w:t>
      </w:r>
      <w:r w:rsidRPr="00E6374C">
        <w:t xml:space="preserve"> </w:t>
      </w:r>
      <w:r w:rsidRPr="00E6374C">
        <w:rPr>
          <w:b/>
        </w:rPr>
        <w:t>(10</w:t>
      </w:r>
      <w:proofErr w:type="gramEnd"/>
      <w:r w:rsidRPr="00E6374C">
        <w:rPr>
          <w:b/>
        </w:rPr>
        <w:t>)</w:t>
      </w:r>
      <w:r w:rsidR="002D02BF">
        <w:t xml:space="preserve"> </w:t>
      </w:r>
      <w:r w:rsidRPr="00E6374C">
        <w:t>Poplatník, který je plátcem daně z přidané hodnoty, vychází při stanovení výše rezervy z rozpočtu nákladů na opravu v ocenění bez daně z přidané hodnoty.</w:t>
      </w:r>
    </w:p>
    <w:p w14:paraId="1AE4B221" w14:textId="24FBFACC" w:rsidR="00F80E61" w:rsidRPr="00E6374C" w:rsidRDefault="00F80E61" w:rsidP="00F80E61">
      <w:pPr>
        <w:tabs>
          <w:tab w:val="left" w:pos="782"/>
          <w:tab w:val="left" w:pos="851"/>
        </w:tabs>
        <w:spacing w:before="120" w:after="120"/>
        <w:outlineLvl w:val="6"/>
        <w:rPr>
          <w:strike/>
        </w:rPr>
      </w:pPr>
      <w:r w:rsidRPr="00E6374C">
        <w:rPr>
          <w:strike/>
        </w:rPr>
        <w:lastRenderedPageBreak/>
        <w:t>(</w:t>
      </w:r>
      <w:proofErr w:type="gramStart"/>
      <w:r w:rsidRPr="00E6374C">
        <w:rPr>
          <w:strike/>
        </w:rPr>
        <w:t>12)</w:t>
      </w:r>
      <w:r>
        <w:rPr>
          <w:strike/>
        </w:rPr>
        <w:t xml:space="preserve"> </w:t>
      </w:r>
      <w:r w:rsidRPr="00C318A2">
        <w:rPr>
          <w:b/>
          <w:strike/>
        </w:rPr>
        <w:t>(11</w:t>
      </w:r>
      <w:proofErr w:type="gramEnd"/>
      <w:r w:rsidRPr="00C318A2">
        <w:rPr>
          <w:b/>
          <w:strike/>
        </w:rPr>
        <w:t>)</w:t>
      </w:r>
      <w:r w:rsidR="002D02BF">
        <w:rPr>
          <w:strike/>
        </w:rPr>
        <w:t xml:space="preserve"> </w:t>
      </w:r>
      <w:r w:rsidRPr="00E6374C">
        <w:rPr>
          <w:strike/>
        </w:rPr>
        <w:t>V případě přeměn</w:t>
      </w:r>
      <w:r w:rsidRPr="00E6374C">
        <w:rPr>
          <w:strike/>
          <w:vertAlign w:val="superscript"/>
        </w:rPr>
        <w:t>1e)</w:t>
      </w:r>
      <w:r w:rsidRPr="00E6374C">
        <w:rPr>
          <w:strike/>
        </w:rPr>
        <w:t xml:space="preserve"> se za zdaňovací období pro účely tvorby rezervy podle odstavce 1 považuje i období, za které se podává daňové přiznání.</w:t>
      </w:r>
    </w:p>
    <w:p w14:paraId="52925934" w14:textId="77777777" w:rsidR="00F80E61" w:rsidRPr="00E6374C" w:rsidRDefault="00F80E61" w:rsidP="00F80E61">
      <w:pPr>
        <w:keepNext/>
        <w:keepLines/>
        <w:numPr>
          <w:ilvl w:val="0"/>
          <w:numId w:val="27"/>
        </w:numPr>
        <w:jc w:val="center"/>
        <w:outlineLvl w:val="5"/>
      </w:pPr>
      <w:r w:rsidRPr="00E6374C">
        <w:t xml:space="preserve">§ 8  </w:t>
      </w:r>
    </w:p>
    <w:p w14:paraId="53750917" w14:textId="77777777" w:rsidR="00F80E61" w:rsidRPr="00E6374C" w:rsidRDefault="00F80E61" w:rsidP="00F80E61">
      <w:pPr>
        <w:keepNext/>
        <w:keepLines/>
        <w:numPr>
          <w:ilvl w:val="0"/>
          <w:numId w:val="27"/>
        </w:numPr>
        <w:jc w:val="center"/>
        <w:outlineLvl w:val="5"/>
        <w:rPr>
          <w:b/>
        </w:rPr>
      </w:pPr>
      <w:r w:rsidRPr="00E6374C">
        <w:rPr>
          <w:b/>
        </w:rPr>
        <w:t>Opravné položky k pohledávkám za dlužníky v insolvenčním řízení</w:t>
      </w:r>
    </w:p>
    <w:p w14:paraId="4BEA9218" w14:textId="0088362E" w:rsidR="00F80E61" w:rsidRPr="00E6374C" w:rsidRDefault="002D02BF" w:rsidP="00F80E61">
      <w:pPr>
        <w:tabs>
          <w:tab w:val="left" w:pos="782"/>
          <w:tab w:val="left" w:pos="851"/>
        </w:tabs>
        <w:spacing w:before="120" w:after="120"/>
        <w:outlineLvl w:val="6"/>
      </w:pPr>
      <w:r>
        <w:t xml:space="preserve">(1) </w:t>
      </w:r>
      <w:r w:rsidR="00F80E61" w:rsidRPr="00E6374C">
        <w:t>Opravné položky k pohledávkám za dlužníky v insolvenčním řízení</w:t>
      </w:r>
      <w:r w:rsidR="00F80E61" w:rsidRPr="00E6374C">
        <w:rPr>
          <w:strike/>
        </w:rPr>
        <w:t>, které jsou výdajem (nákladem) na dosažení, zajištění a udržení příjmů</w:t>
      </w:r>
      <w:r w:rsidR="00F80E61" w:rsidRPr="00E6374C">
        <w:rPr>
          <w:strike/>
          <w:vertAlign w:val="superscript"/>
        </w:rPr>
        <w:t>1)</w:t>
      </w:r>
      <w:r w:rsidR="00F80E61" w:rsidRPr="00E6374C">
        <w:rPr>
          <w:strike/>
        </w:rPr>
        <w:t xml:space="preserve">, </w:t>
      </w:r>
      <w:r w:rsidR="00F80E61" w:rsidRPr="00E6374C">
        <w:t>mohou vytvořit poplatníci daně z příjmů</w:t>
      </w:r>
      <w:r w:rsidR="00F80E61" w:rsidRPr="00E6374C">
        <w:rPr>
          <w:strike/>
        </w:rPr>
        <w:t>, kteří vedou účetnictví,</w:t>
      </w:r>
      <w:r w:rsidR="00F80E61" w:rsidRPr="00E6374C">
        <w:t xml:space="preserve"> </w:t>
      </w:r>
      <w:r w:rsidR="00F80E61" w:rsidRPr="00E6374C">
        <w:rPr>
          <w:b/>
        </w:rPr>
        <w:t>s akruálním základem daně</w:t>
      </w:r>
      <w:r w:rsidR="00F80E61" w:rsidRPr="00E6374C">
        <w:t xml:space="preserve"> až do výše </w:t>
      </w:r>
      <w:r w:rsidR="00F80E61" w:rsidRPr="00307B1F">
        <w:rPr>
          <w:strike/>
          <w:shd w:val="clear" w:color="auto" w:fill="FFFFFF" w:themeFill="background1"/>
        </w:rPr>
        <w:t>rozvahové</w:t>
      </w:r>
      <w:r w:rsidR="00F80E61" w:rsidRPr="00307B1F">
        <w:rPr>
          <w:shd w:val="clear" w:color="auto" w:fill="FFFFFF" w:themeFill="background1"/>
        </w:rPr>
        <w:t xml:space="preserve"> </w:t>
      </w:r>
      <w:r w:rsidR="00F80E61" w:rsidRPr="00307B1F">
        <w:rPr>
          <w:b/>
          <w:shd w:val="clear" w:color="auto" w:fill="FFFFFF" w:themeFill="background1"/>
        </w:rPr>
        <w:t>daňové</w:t>
      </w:r>
      <w:r w:rsidR="00F80E61" w:rsidRPr="00307B1F">
        <w:rPr>
          <w:shd w:val="clear" w:color="auto" w:fill="FFFFFF" w:themeFill="background1"/>
        </w:rPr>
        <w:t xml:space="preserve"> hodnoty</w:t>
      </w:r>
      <w:r w:rsidR="00F80E61" w:rsidRPr="00E6374C">
        <w:t xml:space="preserve"> nepromlčených pohledávek přihlášených u soudu od zahájení insolvenčního řízení do konce lhůty stanovené v rozhodnutí soudu o úpadku nebo do konce lhůty podle insolvenčního zákona</w:t>
      </w:r>
      <w:r w:rsidR="00F80E61">
        <w:rPr>
          <w:rStyle w:val="Znakapoznpodarou"/>
        </w:rPr>
        <w:footnoteReference w:customMarkFollows="1" w:id="203"/>
        <w:t>12c)</w:t>
      </w:r>
      <w:r w:rsidR="00F80E61" w:rsidRPr="00E6374C">
        <w:t xml:space="preserve">, spojí-li soud s rozhodnutím o úpadku rozhodnutí o povolení oddlužení, a to </w:t>
      </w:r>
      <w:r w:rsidR="00F80E61" w:rsidRPr="00E6374C">
        <w:rPr>
          <w:strike/>
        </w:rPr>
        <w:t>v</w:t>
      </w:r>
      <w:r w:rsidR="00F80E61" w:rsidRPr="00E6374C">
        <w:t xml:space="preserve"> </w:t>
      </w:r>
      <w:r w:rsidR="00F80E61" w:rsidRPr="00E6374C">
        <w:rPr>
          <w:strike/>
        </w:rPr>
        <w:t>období, za které se podává daňové přiznání a v němž</w:t>
      </w:r>
      <w:r w:rsidR="00F80E61" w:rsidRPr="00E6374C">
        <w:t xml:space="preserve"> </w:t>
      </w:r>
      <w:r w:rsidR="00F80E61" w:rsidRPr="00E6374C">
        <w:rPr>
          <w:b/>
        </w:rPr>
        <w:t xml:space="preserve">ve zdaňovacím období, ve kterém </w:t>
      </w:r>
      <w:r w:rsidR="00F80E61" w:rsidRPr="00485146">
        <w:t>byly</w:t>
      </w:r>
      <w:r w:rsidR="00F80E61" w:rsidRPr="00E6374C">
        <w:rPr>
          <w:b/>
        </w:rPr>
        <w:t xml:space="preserve"> </w:t>
      </w:r>
      <w:r w:rsidR="00F80E61" w:rsidRPr="00E6374C">
        <w:t>přihlášeny. Byla-li povolena reorganizace, namísto přihlášky pohledávky postačí, že dlužník věřitelovu pohledávku správně uvedl v seznamu svých dluhů podle zvláštního právního předpisu</w:t>
      </w:r>
      <w:r w:rsidR="00F80E61" w:rsidRPr="00E6374C">
        <w:rPr>
          <w:vertAlign w:val="superscript"/>
        </w:rPr>
        <w:t>12b)</w:t>
      </w:r>
      <w:r w:rsidR="00F80E61" w:rsidRPr="00E6374C">
        <w:t>. K pohledávkám vyloučeným v § 2 odst. 2 nebo k pohledávkám vzniklým mezi spojenými osobami vymezenými v zákoně o daních z příjmů nelze tvořit opravné položky</w:t>
      </w:r>
      <w:r w:rsidR="00F80E61" w:rsidRPr="00E6374C">
        <w:rPr>
          <w:strike/>
        </w:rPr>
        <w:t>, které jsou výdajem (nákladem) na dosažení, zajištění a udržení příjmů</w:t>
      </w:r>
      <w:r w:rsidR="00F80E61" w:rsidRPr="00E6374C">
        <w:rPr>
          <w:strike/>
          <w:vertAlign w:val="superscript"/>
        </w:rPr>
        <w:t>1)</w:t>
      </w:r>
      <w:r w:rsidR="00F80E61" w:rsidRPr="00E6374C">
        <w:rPr>
          <w:strike/>
        </w:rPr>
        <w:t xml:space="preserve"> </w:t>
      </w:r>
      <w:r w:rsidR="00F80E61" w:rsidRPr="00E6374C">
        <w:t>podle tohoto ustanovení.</w:t>
      </w:r>
    </w:p>
    <w:p w14:paraId="00F37B4A" w14:textId="3F3B086F" w:rsidR="00F80E61" w:rsidRPr="00E6374C" w:rsidRDefault="002D02BF" w:rsidP="00F80E61">
      <w:pPr>
        <w:tabs>
          <w:tab w:val="left" w:pos="782"/>
          <w:tab w:val="left" w:pos="851"/>
        </w:tabs>
        <w:spacing w:before="120" w:after="120"/>
        <w:outlineLvl w:val="6"/>
      </w:pPr>
      <w:r>
        <w:t xml:space="preserve">(2) </w:t>
      </w:r>
      <w:r w:rsidR="00F80E61" w:rsidRPr="00E6374C">
        <w:t xml:space="preserve">Opravné položky </w:t>
      </w:r>
      <w:r w:rsidR="00F80E61" w:rsidRPr="00D51430">
        <w:t xml:space="preserve">se zruší </w:t>
      </w:r>
      <w:r w:rsidR="00F80E61" w:rsidRPr="00E6374C">
        <w:t>v návaznosti na výsledky insolvenčního řízení nebo v případě, že pohledávku účinně popřel insolvenční správce, věřitel nebo dlužník a zvláštní právní předpis</w:t>
      </w:r>
      <w:r w:rsidR="00F80E61" w:rsidRPr="00E6374C">
        <w:rPr>
          <w:vertAlign w:val="superscript"/>
        </w:rPr>
        <w:t>12b)</w:t>
      </w:r>
      <w:r w:rsidR="00F80E61" w:rsidRPr="00E6374C">
        <w:t xml:space="preserve"> těmto osobám právo popřít pohledávku přiznává.</w:t>
      </w:r>
    </w:p>
    <w:p w14:paraId="17CD6DD3" w14:textId="27749982" w:rsidR="00F80E61" w:rsidRPr="00E6374C" w:rsidRDefault="002D02BF" w:rsidP="00F80E61">
      <w:pPr>
        <w:tabs>
          <w:tab w:val="left" w:pos="782"/>
          <w:tab w:val="left" w:pos="851"/>
        </w:tabs>
        <w:spacing w:before="120" w:after="120"/>
        <w:outlineLvl w:val="6"/>
      </w:pPr>
      <w:r>
        <w:t xml:space="preserve">(3) </w:t>
      </w:r>
      <w:r w:rsidR="00F80E61" w:rsidRPr="00E6374C">
        <w:t xml:space="preserve">Jestliže </w:t>
      </w:r>
      <w:r w:rsidR="00F80E61" w:rsidRPr="00D51430">
        <w:t xml:space="preserve">pominou důvody </w:t>
      </w:r>
      <w:r w:rsidR="00F80E61" w:rsidRPr="00E6374C">
        <w:t>pro existenci opravné položky vytvořené podle tohoto ustanovení nebo na základě rozhodnutí poplatníka, je možné snížit vytvořenou opravnou položku na úroveň, která by mohla být vytvořena podle ustanovení § 8a. Poplatník pak pokračuje v tvorbě opravné položky podle § 8a.</w:t>
      </w:r>
    </w:p>
    <w:p w14:paraId="3EFAE403" w14:textId="77777777" w:rsidR="00F80E61" w:rsidRPr="00E6374C" w:rsidRDefault="00F80E61" w:rsidP="00F80E61">
      <w:pPr>
        <w:keepNext/>
        <w:keepLines/>
        <w:numPr>
          <w:ilvl w:val="0"/>
          <w:numId w:val="27"/>
        </w:numPr>
        <w:jc w:val="center"/>
        <w:outlineLvl w:val="5"/>
      </w:pPr>
      <w:r w:rsidRPr="00E6374C">
        <w:t xml:space="preserve">§ 8a </w:t>
      </w:r>
    </w:p>
    <w:p w14:paraId="3A0A1A73" w14:textId="77777777" w:rsidR="00F80E61" w:rsidRPr="00E6374C" w:rsidRDefault="00F80E61" w:rsidP="00F80E61">
      <w:pPr>
        <w:keepNext/>
        <w:keepLines/>
        <w:numPr>
          <w:ilvl w:val="0"/>
          <w:numId w:val="27"/>
        </w:numPr>
        <w:jc w:val="center"/>
        <w:outlineLvl w:val="5"/>
        <w:rPr>
          <w:b/>
        </w:rPr>
      </w:pPr>
      <w:r w:rsidRPr="00E6374C">
        <w:rPr>
          <w:b/>
        </w:rPr>
        <w:t>Opravné položky k nepromlčeným pohledávkám splatným po 31. prosinci 1994</w:t>
      </w:r>
    </w:p>
    <w:p w14:paraId="30A5775C" w14:textId="00E0C42C" w:rsidR="00F80E61" w:rsidRPr="00E6374C" w:rsidRDefault="002D02BF" w:rsidP="00F80E61">
      <w:pPr>
        <w:tabs>
          <w:tab w:val="left" w:pos="782"/>
          <w:tab w:val="left" w:pos="851"/>
        </w:tabs>
        <w:spacing w:before="120" w:after="120"/>
        <w:outlineLvl w:val="6"/>
      </w:pPr>
      <w:r>
        <w:t xml:space="preserve">(1) </w:t>
      </w:r>
      <w:r w:rsidR="00F80E61" w:rsidRPr="00E6374C">
        <w:t xml:space="preserve">Opravné položky k nepromlčeným pohledávkám, </w:t>
      </w:r>
      <w:r w:rsidR="00F80E61" w:rsidRPr="00E6374C">
        <w:rPr>
          <w:strike/>
        </w:rPr>
        <w:t>jejichž tvorba je výdajem (nákladem) na dosažení, zajištění a udržení příjmů</w:t>
      </w:r>
      <w:r w:rsidR="00F80E61" w:rsidRPr="00E6374C">
        <w:rPr>
          <w:strike/>
          <w:vertAlign w:val="superscript"/>
        </w:rPr>
        <w:t>1)</w:t>
      </w:r>
      <w:r w:rsidR="00F80E61" w:rsidRPr="00E6374C">
        <w:rPr>
          <w:strike/>
        </w:rPr>
        <w:t xml:space="preserve"> a</w:t>
      </w:r>
      <w:r w:rsidR="00F80E61" w:rsidRPr="00E6374C">
        <w:t xml:space="preserve"> ke kterým nejsou vytvářeny opravné položky podle § 5 a 5a, mohou </w:t>
      </w:r>
      <w:r w:rsidR="00F80E61" w:rsidRPr="00E6374C">
        <w:rPr>
          <w:strike/>
        </w:rPr>
        <w:t>v období, za které se podává daňové přiznání, vytvářet poplatníci daně z příjmů, kteří vedou účetnictví,</w:t>
      </w:r>
      <w:r w:rsidR="00F80E61" w:rsidRPr="00E6374C">
        <w:t xml:space="preserve"> </w:t>
      </w:r>
      <w:r w:rsidR="00F80E61" w:rsidRPr="00E6374C">
        <w:rPr>
          <w:b/>
        </w:rPr>
        <w:t>ve zdaňovacím období tvořit poplatníci daně z příjmů s akruálním základem daně</w:t>
      </w:r>
      <w:r w:rsidR="00F80E61" w:rsidRPr="00E6374C">
        <w:t xml:space="preserve"> za podmínky, že od konce sjednané doby splatnosti pohledávky uplynulo více než</w:t>
      </w:r>
    </w:p>
    <w:p w14:paraId="56E0C622" w14:textId="77777777" w:rsidR="00F80E61" w:rsidRPr="00E6374C" w:rsidRDefault="00F80E61" w:rsidP="002D02BF">
      <w:pPr>
        <w:spacing w:before="0"/>
        <w:ind w:left="425" w:hanging="425"/>
        <w:outlineLvl w:val="7"/>
      </w:pPr>
      <w:r w:rsidRPr="00E6374C">
        <w:t>a)</w:t>
      </w:r>
      <w:r w:rsidRPr="00E6374C">
        <w:tab/>
        <w:t xml:space="preserve">18 měsíců, až do výše 50 % </w:t>
      </w:r>
      <w:r w:rsidRPr="00D51430">
        <w:rPr>
          <w:strike/>
        </w:rPr>
        <w:t xml:space="preserve">neuhrazené </w:t>
      </w:r>
      <w:r w:rsidRPr="00D51430">
        <w:rPr>
          <w:strike/>
          <w:shd w:val="clear" w:color="auto" w:fill="FFFFFF" w:themeFill="background1"/>
        </w:rPr>
        <w:t>rozvahové</w:t>
      </w:r>
      <w:r w:rsidRPr="00307B1F">
        <w:rPr>
          <w:shd w:val="clear" w:color="auto" w:fill="FFFFFF" w:themeFill="background1"/>
        </w:rPr>
        <w:t xml:space="preserve"> </w:t>
      </w:r>
      <w:r w:rsidRPr="00DD612A">
        <w:rPr>
          <w:b/>
          <w:shd w:val="clear" w:color="auto" w:fill="FFFFFF" w:themeFill="background1"/>
        </w:rPr>
        <w:t>daňové</w:t>
      </w:r>
      <w:r w:rsidRPr="00DD612A">
        <w:rPr>
          <w:shd w:val="clear" w:color="auto" w:fill="FFFFFF" w:themeFill="background1"/>
        </w:rPr>
        <w:t xml:space="preserve"> hodnoty</w:t>
      </w:r>
      <w:r w:rsidRPr="00E6374C">
        <w:t xml:space="preserve"> pohledávky,</w:t>
      </w:r>
    </w:p>
    <w:p w14:paraId="081DEBA9" w14:textId="77777777" w:rsidR="00F80E61" w:rsidRPr="00E6374C" w:rsidRDefault="00F80E61" w:rsidP="002D02BF">
      <w:pPr>
        <w:spacing w:before="0"/>
        <w:ind w:left="425" w:hanging="425"/>
        <w:outlineLvl w:val="7"/>
      </w:pPr>
      <w:r w:rsidRPr="00E6374C">
        <w:t>b)</w:t>
      </w:r>
      <w:r w:rsidRPr="00E6374C">
        <w:tab/>
        <w:t xml:space="preserve">30 měsíců, až do výše 100 % </w:t>
      </w:r>
      <w:r w:rsidRPr="00D51430">
        <w:rPr>
          <w:strike/>
        </w:rPr>
        <w:t xml:space="preserve">neuhrazené </w:t>
      </w:r>
      <w:r w:rsidRPr="00D51430">
        <w:rPr>
          <w:strike/>
          <w:shd w:val="clear" w:color="auto" w:fill="FFFFFF" w:themeFill="background1"/>
        </w:rPr>
        <w:t>rozvahové</w:t>
      </w:r>
      <w:r w:rsidRPr="00307B1F">
        <w:rPr>
          <w:shd w:val="clear" w:color="auto" w:fill="FFFFFF" w:themeFill="background1"/>
        </w:rPr>
        <w:t xml:space="preserve"> </w:t>
      </w:r>
      <w:r w:rsidRPr="00DD612A">
        <w:rPr>
          <w:b/>
          <w:shd w:val="clear" w:color="auto" w:fill="FFFFFF" w:themeFill="background1"/>
        </w:rPr>
        <w:t>daňové</w:t>
      </w:r>
      <w:r w:rsidRPr="00DD612A">
        <w:rPr>
          <w:shd w:val="clear" w:color="auto" w:fill="FFFFFF" w:themeFill="background1"/>
        </w:rPr>
        <w:t xml:space="preserve"> hodnoty</w:t>
      </w:r>
      <w:r w:rsidRPr="00E6374C">
        <w:t xml:space="preserve"> pohledávky.</w:t>
      </w:r>
    </w:p>
    <w:p w14:paraId="7EE655AF" w14:textId="356E8AF2" w:rsidR="00F80E61" w:rsidRPr="00E6374C" w:rsidRDefault="002D02BF" w:rsidP="00F80E61">
      <w:pPr>
        <w:tabs>
          <w:tab w:val="left" w:pos="782"/>
          <w:tab w:val="left" w:pos="851"/>
        </w:tabs>
        <w:spacing w:before="120" w:after="120"/>
        <w:outlineLvl w:val="6"/>
      </w:pPr>
      <w:r>
        <w:t xml:space="preserve">(2) </w:t>
      </w:r>
      <w:r w:rsidR="00F80E61" w:rsidRPr="00E6374C">
        <w:t xml:space="preserve">U pohledávky nabyté postoupením, jejíž </w:t>
      </w:r>
      <w:r w:rsidR="00F80E61" w:rsidRPr="00D51430">
        <w:rPr>
          <w:strike/>
          <w:shd w:val="clear" w:color="auto" w:fill="FFFFFF" w:themeFill="background1"/>
        </w:rPr>
        <w:t>rozvahov</w:t>
      </w:r>
      <w:r w:rsidR="00F80E61">
        <w:rPr>
          <w:strike/>
          <w:shd w:val="clear" w:color="auto" w:fill="FFFFFF" w:themeFill="background1"/>
        </w:rPr>
        <w:t>á</w:t>
      </w:r>
      <w:r w:rsidR="00F80E61" w:rsidRPr="00307B1F">
        <w:rPr>
          <w:shd w:val="clear" w:color="auto" w:fill="FFFFFF" w:themeFill="background1"/>
        </w:rPr>
        <w:t xml:space="preserve"> </w:t>
      </w:r>
      <w:r w:rsidR="00F80E61" w:rsidRPr="00DD612A">
        <w:rPr>
          <w:b/>
          <w:shd w:val="clear" w:color="auto" w:fill="FFFFFF" w:themeFill="background1"/>
        </w:rPr>
        <w:t>daňová</w:t>
      </w:r>
      <w:r w:rsidR="00F80E61" w:rsidRPr="00DD612A">
        <w:rPr>
          <w:shd w:val="clear" w:color="auto" w:fill="FFFFFF" w:themeFill="background1"/>
        </w:rPr>
        <w:t xml:space="preserve"> hodnota</w:t>
      </w:r>
      <w:r w:rsidR="00F80E61" w:rsidRPr="00E6374C">
        <w:t xml:space="preserve"> bez příslušenství v okamžiku jejího vzniku byla vyšší než 200 000 Kč, se mohou tvořit opravné položky podle odstavce 1 pouze v případě, že bylo ohledně těchto pohledávek zahájeno řízení, jehož se poplatník daně z příjmů řádně účastní a které je</w:t>
      </w:r>
    </w:p>
    <w:p w14:paraId="6572099E" w14:textId="77777777" w:rsidR="00F80E61" w:rsidRPr="00E6374C" w:rsidRDefault="00F80E61" w:rsidP="002D02BF">
      <w:pPr>
        <w:spacing w:before="0"/>
        <w:ind w:left="425" w:hanging="425"/>
        <w:outlineLvl w:val="7"/>
      </w:pPr>
      <w:r w:rsidRPr="00E6374C">
        <w:t>a)</w:t>
      </w:r>
      <w:r w:rsidRPr="00E6374C">
        <w:tab/>
        <w:t>rozhodčím řízením,</w:t>
      </w:r>
    </w:p>
    <w:p w14:paraId="62E7D3BA" w14:textId="77777777" w:rsidR="00F80E61" w:rsidRPr="00E6374C" w:rsidRDefault="00F80E61" w:rsidP="002D02BF">
      <w:pPr>
        <w:spacing w:before="0"/>
        <w:ind w:left="425" w:hanging="425"/>
        <w:outlineLvl w:val="7"/>
      </w:pPr>
      <w:r w:rsidRPr="00E6374C">
        <w:lastRenderedPageBreak/>
        <w:t>b)</w:t>
      </w:r>
      <w:r w:rsidRPr="00E6374C">
        <w:tab/>
        <w:t>soudním řízením, nebo</w:t>
      </w:r>
    </w:p>
    <w:p w14:paraId="72B284E6" w14:textId="77777777" w:rsidR="00F80E61" w:rsidRPr="00E6374C" w:rsidRDefault="00F80E61" w:rsidP="002D02BF">
      <w:pPr>
        <w:spacing w:before="0"/>
        <w:ind w:left="425" w:hanging="425"/>
        <w:outlineLvl w:val="7"/>
      </w:pPr>
      <w:r w:rsidRPr="00E6374C">
        <w:t>c)</w:t>
      </w:r>
      <w:r w:rsidRPr="00E6374C">
        <w:tab/>
        <w:t>správním řízením.</w:t>
      </w:r>
    </w:p>
    <w:p w14:paraId="45A14ED6" w14:textId="77777777" w:rsidR="00F80E61" w:rsidRPr="00E6374C" w:rsidRDefault="00F80E61" w:rsidP="00F80E61">
      <w:pPr>
        <w:tabs>
          <w:tab w:val="left" w:pos="782"/>
          <w:tab w:val="left" w:pos="851"/>
        </w:tabs>
        <w:spacing w:before="120" w:after="120"/>
        <w:outlineLvl w:val="6"/>
      </w:pPr>
      <w:r w:rsidRPr="00E6374C">
        <w:t>(3)</w:t>
      </w:r>
      <w:r w:rsidRPr="00E6374C">
        <w:tab/>
        <w:t>Opravné položky podle odstavce 1 nelze uplatnit u pohledávek již odepsaných na vrub výsledku hospodaření a dále u pohledávek vzniklých</w:t>
      </w:r>
    </w:p>
    <w:p w14:paraId="585A3524" w14:textId="77777777" w:rsidR="00F80E61" w:rsidRPr="00E6374C" w:rsidRDefault="00F80E61" w:rsidP="002D02BF">
      <w:pPr>
        <w:spacing w:before="0"/>
        <w:ind w:left="425" w:hanging="425"/>
        <w:outlineLvl w:val="7"/>
      </w:pPr>
      <w:r w:rsidRPr="00E6374C">
        <w:t>a)</w:t>
      </w:r>
      <w:r w:rsidRPr="00E6374C">
        <w:tab/>
        <w:t>za členy obchodní korporace za upsaný vlastní kapitál,</w:t>
      </w:r>
    </w:p>
    <w:p w14:paraId="17B59846" w14:textId="77777777" w:rsidR="00F80E61" w:rsidRPr="00E6374C" w:rsidRDefault="00F80E61" w:rsidP="002D02BF">
      <w:pPr>
        <w:spacing w:before="0"/>
        <w:ind w:left="425" w:hanging="425"/>
        <w:outlineLvl w:val="7"/>
      </w:pPr>
      <w:r w:rsidRPr="00E6374C">
        <w:t>b)</w:t>
      </w:r>
      <w:r w:rsidRPr="00E6374C">
        <w:tab/>
        <w:t>mezi spojenými osobami vymezenými v zákoně o daních z příjmů.</w:t>
      </w:r>
    </w:p>
    <w:p w14:paraId="2C9F6203" w14:textId="77777777" w:rsidR="00F80E61" w:rsidRPr="00E6374C" w:rsidRDefault="00F80E61" w:rsidP="00F80E61">
      <w:pPr>
        <w:tabs>
          <w:tab w:val="left" w:pos="782"/>
          <w:tab w:val="left" w:pos="851"/>
        </w:tabs>
        <w:spacing w:before="120" w:after="120"/>
        <w:outlineLvl w:val="6"/>
      </w:pPr>
      <w:r w:rsidRPr="00DD612A">
        <w:rPr>
          <w:strike/>
        </w:rPr>
        <w:t>(4)</w:t>
      </w:r>
      <w:r w:rsidRPr="00DD612A">
        <w:rPr>
          <w:strike/>
        </w:rPr>
        <w:tab/>
        <w:t>Opravné položky vytvořené podle odstavce 1 se zruší, pokud pominou důvody</w:t>
      </w:r>
      <w:r w:rsidRPr="00DD612A">
        <w:rPr>
          <w:strike/>
          <w:color w:val="FF0000"/>
        </w:rPr>
        <w:t xml:space="preserve"> </w:t>
      </w:r>
      <w:r w:rsidRPr="00DD612A">
        <w:rPr>
          <w:strike/>
        </w:rPr>
        <w:t>pro jejich existenci nebo pokud pohledávka, k níž byla opravná položka vytvořena, se promlčela, popřípadě nastaly důvody, za nichž se odpis pohledávky považuje za výdaj (náklad) na dosažení, zajištění a udržení příjmů podle ustanovení zákona o daních z příjmů.</w:t>
      </w:r>
    </w:p>
    <w:p w14:paraId="797FE9D9" w14:textId="77777777" w:rsidR="00F80E61" w:rsidRPr="00E6374C" w:rsidRDefault="00F80E61" w:rsidP="00F80E61">
      <w:pPr>
        <w:keepNext/>
        <w:keepLines/>
        <w:numPr>
          <w:ilvl w:val="0"/>
          <w:numId w:val="27"/>
        </w:numPr>
        <w:jc w:val="center"/>
        <w:outlineLvl w:val="5"/>
      </w:pPr>
      <w:r w:rsidRPr="00E6374C">
        <w:t xml:space="preserve">§ 8b </w:t>
      </w:r>
    </w:p>
    <w:p w14:paraId="3B3B2517" w14:textId="77777777" w:rsidR="00F80E61" w:rsidRPr="00E6374C" w:rsidRDefault="00F80E61" w:rsidP="00F80E61">
      <w:pPr>
        <w:keepNext/>
        <w:keepLines/>
        <w:numPr>
          <w:ilvl w:val="0"/>
          <w:numId w:val="27"/>
        </w:numPr>
        <w:jc w:val="center"/>
        <w:outlineLvl w:val="5"/>
        <w:rPr>
          <w:b/>
        </w:rPr>
      </w:pPr>
      <w:r w:rsidRPr="00E6374C">
        <w:rPr>
          <w:b/>
        </w:rPr>
        <w:t>Opravné položky k pohledávkám z titulu ručení za clo</w:t>
      </w:r>
    </w:p>
    <w:p w14:paraId="670AB58D" w14:textId="0393B075" w:rsidR="00F80E61" w:rsidRPr="00E6374C" w:rsidRDefault="002D02BF" w:rsidP="00F80E61">
      <w:pPr>
        <w:tabs>
          <w:tab w:val="left" w:pos="782"/>
          <w:tab w:val="left" w:pos="851"/>
        </w:tabs>
        <w:spacing w:before="120" w:after="120"/>
        <w:outlineLvl w:val="6"/>
      </w:pPr>
      <w:r>
        <w:t xml:space="preserve">(1) </w:t>
      </w:r>
      <w:r w:rsidR="00F80E61" w:rsidRPr="00E6374C">
        <w:t>Opravné položky podle § 8 a 8a tohoto zákona mohou vytvářet poplatníci daně z příjmů</w:t>
      </w:r>
      <w:r w:rsidR="00F80E61" w:rsidRPr="00E6374C">
        <w:rPr>
          <w:strike/>
        </w:rPr>
        <w:t>, kteří vedou účetnictví a</w:t>
      </w:r>
      <w:r w:rsidR="00F80E61" w:rsidRPr="00E6374C">
        <w:t xml:space="preserve"> </w:t>
      </w:r>
      <w:r w:rsidR="00F80E61" w:rsidRPr="00E6374C">
        <w:rPr>
          <w:b/>
        </w:rPr>
        <w:t>s akruálním základem daně,</w:t>
      </w:r>
      <w:r w:rsidR="00F80E61" w:rsidRPr="00E6374C">
        <w:t xml:space="preserve"> kteří podle celního zákona ručí za clo, k pohledávkám vzniklým z titulu ručení za clo (tj. zajištění cla) podle celního zákona.</w:t>
      </w:r>
    </w:p>
    <w:p w14:paraId="20E3C608" w14:textId="5A2A996C" w:rsidR="00F80E61" w:rsidRPr="00E6374C" w:rsidRDefault="002D02BF" w:rsidP="00F80E61">
      <w:pPr>
        <w:tabs>
          <w:tab w:val="left" w:pos="782"/>
          <w:tab w:val="left" w:pos="851"/>
        </w:tabs>
        <w:spacing w:before="120" w:after="120"/>
        <w:outlineLvl w:val="6"/>
      </w:pPr>
      <w:r>
        <w:t xml:space="preserve">(2) </w:t>
      </w:r>
      <w:r w:rsidR="00F80E61" w:rsidRPr="00E6374C">
        <w:t xml:space="preserve">Opravné položky podle odstavce 1 lze vytvářet jen do výše </w:t>
      </w:r>
      <w:r w:rsidR="00F80E61" w:rsidRPr="008D66CE">
        <w:rPr>
          <w:b/>
        </w:rPr>
        <w:t>daňové</w:t>
      </w:r>
      <w:r w:rsidR="00F80E61">
        <w:t xml:space="preserve"> </w:t>
      </w:r>
      <w:r w:rsidR="00F80E61" w:rsidRPr="00E6374C">
        <w:t>hodnoty pohledávky odpovídající provedené úhradě cla.</w:t>
      </w:r>
    </w:p>
    <w:p w14:paraId="5D30D248" w14:textId="36B5D71A" w:rsidR="00F80E61" w:rsidRPr="00E6374C" w:rsidRDefault="002D02BF" w:rsidP="00F80E61">
      <w:pPr>
        <w:tabs>
          <w:tab w:val="left" w:pos="782"/>
          <w:tab w:val="left" w:pos="851"/>
        </w:tabs>
        <w:spacing w:before="120" w:after="120"/>
        <w:outlineLvl w:val="6"/>
      </w:pPr>
      <w:r>
        <w:t xml:space="preserve">(3) </w:t>
      </w:r>
      <w:r w:rsidR="00F80E61" w:rsidRPr="00E6374C">
        <w:t>Opravné položky ručitel nemůže vytvářet ze splněné pohledávky z titulu ručení, pokud dluh za dlužníka nesplní v době splatnosti určené celními orgány.</w:t>
      </w:r>
    </w:p>
    <w:p w14:paraId="350008E5" w14:textId="77777777" w:rsidR="00F80E61" w:rsidRPr="00E6374C" w:rsidRDefault="00F80E61" w:rsidP="00F80E61">
      <w:pPr>
        <w:keepNext/>
        <w:keepLines/>
        <w:numPr>
          <w:ilvl w:val="0"/>
          <w:numId w:val="27"/>
        </w:numPr>
        <w:jc w:val="center"/>
        <w:outlineLvl w:val="5"/>
      </w:pPr>
      <w:r w:rsidRPr="00E6374C">
        <w:t xml:space="preserve">§ 8c </w:t>
      </w:r>
    </w:p>
    <w:p w14:paraId="5D6212E1" w14:textId="77777777" w:rsidR="00F80E61" w:rsidRPr="00E6374C" w:rsidRDefault="00F80E61" w:rsidP="00F80E61">
      <w:pPr>
        <w:outlineLvl w:val="5"/>
      </w:pPr>
      <w:r w:rsidRPr="00E6374C">
        <w:t xml:space="preserve">Nepostupuje-li poplatník u nepromlčené pohledávky podle § 5, 5a, 6, 8, 8a a 8b, může </w:t>
      </w:r>
      <w:r w:rsidRPr="00E6374C">
        <w:rPr>
          <w:strike/>
        </w:rPr>
        <w:t>v období, za které se podává daňové přiznání, vytvořit</w:t>
      </w:r>
      <w:r w:rsidRPr="00E6374C">
        <w:rPr>
          <w:b/>
        </w:rPr>
        <w:t xml:space="preserve"> ve zdaňovacím období tvořit </w:t>
      </w:r>
      <w:r w:rsidRPr="00E6374C">
        <w:t xml:space="preserve">opravnou položku až do výše 100 % její </w:t>
      </w:r>
      <w:r w:rsidRPr="008D66CE">
        <w:rPr>
          <w:strike/>
        </w:rPr>
        <w:t>neuhrazené</w:t>
      </w:r>
      <w:r w:rsidRPr="008D66CE">
        <w:rPr>
          <w:strike/>
          <w:shd w:val="clear" w:color="auto" w:fill="FFFFFF" w:themeFill="background1"/>
        </w:rPr>
        <w:t xml:space="preserve"> ro</w:t>
      </w:r>
      <w:r w:rsidRPr="00D51430">
        <w:rPr>
          <w:strike/>
          <w:shd w:val="clear" w:color="auto" w:fill="FFFFFF" w:themeFill="background1"/>
        </w:rPr>
        <w:t>zvahové</w:t>
      </w:r>
      <w:r w:rsidRPr="00307B1F">
        <w:rPr>
          <w:shd w:val="clear" w:color="auto" w:fill="FFFFFF" w:themeFill="background1"/>
        </w:rPr>
        <w:t xml:space="preserve"> </w:t>
      </w:r>
      <w:r w:rsidRPr="00DD612A">
        <w:rPr>
          <w:b/>
          <w:shd w:val="clear" w:color="auto" w:fill="FFFFFF" w:themeFill="background1"/>
        </w:rPr>
        <w:t>daňové</w:t>
      </w:r>
      <w:r w:rsidRPr="00DD612A">
        <w:rPr>
          <w:shd w:val="clear" w:color="auto" w:fill="FFFFFF" w:themeFill="background1"/>
        </w:rPr>
        <w:t xml:space="preserve"> </w:t>
      </w:r>
      <w:r w:rsidRPr="008D66CE">
        <w:rPr>
          <w:shd w:val="clear" w:color="auto" w:fill="FFFFFF" w:themeFill="background1"/>
        </w:rPr>
        <w:t>hodnoty</w:t>
      </w:r>
      <w:r w:rsidRPr="00E6374C">
        <w:t xml:space="preserve"> bez příslušenství pouze v případě, že</w:t>
      </w:r>
    </w:p>
    <w:p w14:paraId="167B2BD7" w14:textId="77777777" w:rsidR="00F80E61" w:rsidRPr="00E6374C" w:rsidRDefault="00F80E61" w:rsidP="002D02BF">
      <w:pPr>
        <w:spacing w:before="0"/>
        <w:ind w:left="425" w:hanging="425"/>
        <w:outlineLvl w:val="7"/>
      </w:pPr>
      <w:r w:rsidRPr="00E6374C">
        <w:t>a)</w:t>
      </w:r>
      <w:r w:rsidRPr="00E6374C">
        <w:tab/>
        <w:t>se nejedná o pohledávku vymezenou v § 8a odst. 3,</w:t>
      </w:r>
    </w:p>
    <w:p w14:paraId="0E4D9261" w14:textId="77777777" w:rsidR="00F80E61" w:rsidRPr="00E6374C" w:rsidRDefault="00F80E61" w:rsidP="002D02BF">
      <w:pPr>
        <w:spacing w:before="0"/>
        <w:ind w:left="425" w:hanging="425"/>
        <w:outlineLvl w:val="7"/>
      </w:pPr>
      <w:r w:rsidRPr="00E6374C">
        <w:t>b)</w:t>
      </w:r>
      <w:r w:rsidRPr="00E6374C">
        <w:tab/>
      </w:r>
      <w:r w:rsidRPr="008D66CE">
        <w:rPr>
          <w:strike/>
          <w:shd w:val="clear" w:color="auto" w:fill="FFFFFF" w:themeFill="background1"/>
        </w:rPr>
        <w:t>rozvahová</w:t>
      </w:r>
      <w:r w:rsidRPr="008D66CE">
        <w:rPr>
          <w:shd w:val="clear" w:color="auto" w:fill="FFFFFF" w:themeFill="background1"/>
        </w:rPr>
        <w:t xml:space="preserve"> </w:t>
      </w:r>
      <w:r w:rsidRPr="008D66CE">
        <w:rPr>
          <w:b/>
        </w:rPr>
        <w:t>prvotní daňová</w:t>
      </w:r>
      <w:r>
        <w:t xml:space="preserve"> </w:t>
      </w:r>
      <w:r w:rsidRPr="008D66CE">
        <w:rPr>
          <w:shd w:val="clear" w:color="auto" w:fill="FFFFFF" w:themeFill="background1"/>
        </w:rPr>
        <w:t>hodnota</w:t>
      </w:r>
      <w:r w:rsidRPr="00E6374C">
        <w:t xml:space="preserve"> pohledávky bez příslušenství </w:t>
      </w:r>
      <w:r w:rsidRPr="008D66CE">
        <w:rPr>
          <w:strike/>
        </w:rPr>
        <w:t xml:space="preserve">v okamžiku jejího vzniku </w:t>
      </w:r>
      <w:r w:rsidRPr="00E6374C">
        <w:t>nepřesáhne částku 30 000 Kč,</w:t>
      </w:r>
    </w:p>
    <w:p w14:paraId="50F53A5A" w14:textId="77777777" w:rsidR="00F80E61" w:rsidRPr="00E6374C" w:rsidRDefault="00F80E61" w:rsidP="002D02BF">
      <w:pPr>
        <w:spacing w:before="0"/>
        <w:ind w:left="425" w:hanging="425"/>
        <w:outlineLvl w:val="7"/>
      </w:pPr>
      <w:r w:rsidRPr="00E6374C">
        <w:t>c)</w:t>
      </w:r>
      <w:r w:rsidRPr="00E6374C">
        <w:tab/>
        <w:t>od konce sjednané doby splatnosti pohledávky uplynulo nejméně 12 měsíců, a</w:t>
      </w:r>
    </w:p>
    <w:p w14:paraId="6ACC617D" w14:textId="77777777" w:rsidR="00F80E61" w:rsidRPr="00E6374C" w:rsidRDefault="00F80E61" w:rsidP="002D02BF">
      <w:pPr>
        <w:spacing w:before="0"/>
        <w:ind w:left="425" w:hanging="425"/>
        <w:outlineLvl w:val="7"/>
      </w:pPr>
      <w:r w:rsidRPr="00E6374C">
        <w:t>d)</w:t>
      </w:r>
      <w:r w:rsidRPr="00E6374C">
        <w:tab/>
        <w:t xml:space="preserve">celková </w:t>
      </w:r>
      <w:r w:rsidRPr="006A701E">
        <w:rPr>
          <w:b/>
        </w:rPr>
        <w:t>daňová</w:t>
      </w:r>
      <w:r>
        <w:t xml:space="preserve"> </w:t>
      </w:r>
      <w:r w:rsidRPr="00E6374C">
        <w:t xml:space="preserve">hodnota pohledávek bez příslušenství vzniklých vůči témuž dlužníkovi, u nichž uplatňuje postup podle tohoto ustanovení, nepřesáhne za </w:t>
      </w:r>
      <w:r w:rsidRPr="00E6374C">
        <w:rPr>
          <w:strike/>
        </w:rPr>
        <w:t>období, za které se podává daňové přiznání,</w:t>
      </w:r>
      <w:r w:rsidRPr="00E6374C">
        <w:t xml:space="preserve"> </w:t>
      </w:r>
      <w:r w:rsidRPr="00E6374C">
        <w:rPr>
          <w:b/>
        </w:rPr>
        <w:t>zdaňovací období</w:t>
      </w:r>
      <w:r w:rsidRPr="00E6374C">
        <w:t xml:space="preserve"> částku 30 000 Kč.</w:t>
      </w:r>
    </w:p>
    <w:p w14:paraId="3DC4ED99" w14:textId="77777777" w:rsidR="00F80E61" w:rsidRPr="00E6374C" w:rsidRDefault="00F80E61" w:rsidP="00F80E61">
      <w:pPr>
        <w:outlineLvl w:val="5"/>
      </w:pPr>
      <w:r w:rsidRPr="00E6374C">
        <w:t>O pohledávce, k níž byla vytvořena opravná položka podle tohoto ustanovení, je poplatník povinen vést samostatnou evidenci.</w:t>
      </w:r>
    </w:p>
    <w:p w14:paraId="46DBE3B8" w14:textId="77777777" w:rsidR="00F80E61" w:rsidRPr="00E6374C" w:rsidRDefault="00F80E61" w:rsidP="00F80E61">
      <w:pPr>
        <w:keepNext/>
        <w:keepLines/>
        <w:numPr>
          <w:ilvl w:val="0"/>
          <w:numId w:val="27"/>
        </w:numPr>
        <w:jc w:val="center"/>
        <w:outlineLvl w:val="5"/>
      </w:pPr>
      <w:r w:rsidRPr="00E6374C">
        <w:t xml:space="preserve">§ 9  </w:t>
      </w:r>
    </w:p>
    <w:p w14:paraId="7CBBDB36" w14:textId="77777777" w:rsidR="00F80E61" w:rsidRPr="00E6374C" w:rsidRDefault="00F80E61" w:rsidP="00F80E61">
      <w:pPr>
        <w:keepNext/>
        <w:keepLines/>
        <w:numPr>
          <w:ilvl w:val="0"/>
          <w:numId w:val="27"/>
        </w:numPr>
        <w:jc w:val="center"/>
        <w:outlineLvl w:val="5"/>
        <w:rPr>
          <w:b/>
        </w:rPr>
      </w:pPr>
      <w:r w:rsidRPr="00E6374C">
        <w:rPr>
          <w:b/>
        </w:rPr>
        <w:t>Rezerva na pěstební činnost</w:t>
      </w:r>
    </w:p>
    <w:p w14:paraId="4DD5B0DC" w14:textId="3E606B44" w:rsidR="00F80E61" w:rsidRPr="00E6374C" w:rsidRDefault="002D02BF" w:rsidP="00F80E61">
      <w:pPr>
        <w:tabs>
          <w:tab w:val="left" w:pos="782"/>
          <w:tab w:val="left" w:pos="851"/>
        </w:tabs>
        <w:spacing w:before="120" w:after="120"/>
        <w:outlineLvl w:val="6"/>
      </w:pPr>
      <w:r>
        <w:t xml:space="preserve">(1) </w:t>
      </w:r>
      <w:r w:rsidR="00F80E61" w:rsidRPr="00E6374C">
        <w:t>Pěstební činností se pro účely tohoto zákona rozumí obnova lesa a veškeré výchovné činnosti prováděné v porostech do 40 let jejich věku, ochrana lesa a opatření k obnově porostů s nevhodnou nebo náhradní dřevinnou skladbou. Rezervu lze tvořit a čerpat jen na výkony uvedené v příloze tohoto zákona.</w:t>
      </w:r>
    </w:p>
    <w:p w14:paraId="19EEC6B5" w14:textId="6F02A71D" w:rsidR="00F80E61" w:rsidRPr="00E6374C" w:rsidRDefault="002D02BF" w:rsidP="00F80E61">
      <w:pPr>
        <w:tabs>
          <w:tab w:val="left" w:pos="782"/>
          <w:tab w:val="left" w:pos="851"/>
        </w:tabs>
        <w:spacing w:before="120" w:after="120"/>
        <w:outlineLvl w:val="6"/>
      </w:pPr>
      <w:r>
        <w:lastRenderedPageBreak/>
        <w:t xml:space="preserve">(2) </w:t>
      </w:r>
      <w:r w:rsidR="00F80E61" w:rsidRPr="00E6374C">
        <w:t xml:space="preserve">Rezervu na pěstební činnost, která je </w:t>
      </w:r>
      <w:r w:rsidR="00F80E61" w:rsidRPr="00A67787">
        <w:t xml:space="preserve">výdajem (nákladem) na dosažení, zajištění a udržení </w:t>
      </w:r>
      <w:proofErr w:type="gramStart"/>
      <w:r w:rsidR="00F80E61" w:rsidRPr="00A67787">
        <w:t>příjmů,</w:t>
      </w:r>
      <w:r w:rsidR="00F80E61" w:rsidRPr="00A67787">
        <w:rPr>
          <w:vertAlign w:val="superscript"/>
        </w:rPr>
        <w:t>1)</w:t>
      </w:r>
      <w:r w:rsidR="00F80E61" w:rsidRPr="00A67787">
        <w:t xml:space="preserve"> </w:t>
      </w:r>
      <w:r w:rsidR="00F80E61" w:rsidRPr="00A67787">
        <w:rPr>
          <w:b/>
        </w:rPr>
        <w:t>nebo</w:t>
      </w:r>
      <w:proofErr w:type="gramEnd"/>
      <w:r w:rsidR="00F80E61" w:rsidRPr="00A67787">
        <w:rPr>
          <w:b/>
        </w:rPr>
        <w:t xml:space="preserve"> položkou snižující základ</w:t>
      </w:r>
      <w:r w:rsidR="00F80E61" w:rsidRPr="00E6374C">
        <w:rPr>
          <w:b/>
        </w:rPr>
        <w:t xml:space="preserve"> daně </w:t>
      </w:r>
      <w:r w:rsidR="00F80E61" w:rsidRPr="00E6374C">
        <w:t>mohou</w:t>
      </w:r>
      <w:r w:rsidR="00F80E61" w:rsidRPr="00E6374C">
        <w:rPr>
          <w:strike/>
        </w:rPr>
        <w:t xml:space="preserve"> v období, za které se podává daňové přiznání, vytvářet </w:t>
      </w:r>
      <w:r w:rsidR="00F80E61" w:rsidRPr="00E6374C">
        <w:t xml:space="preserve"> </w:t>
      </w:r>
      <w:r w:rsidR="00F80E61" w:rsidRPr="00E6374C">
        <w:rPr>
          <w:b/>
        </w:rPr>
        <w:t xml:space="preserve">tvořit </w:t>
      </w:r>
      <w:r w:rsidR="00F80E61" w:rsidRPr="00E6374C">
        <w:t>poplatníci daně z příjmů, kteří jsou povinni podle zvláštního zákona</w:t>
      </w:r>
      <w:r w:rsidR="00F80E61">
        <w:rPr>
          <w:rStyle w:val="Znakapoznpodarou"/>
        </w:rPr>
        <w:footnoteReference w:customMarkFollows="1" w:id="204"/>
        <w:t>14)</w:t>
      </w:r>
      <w:r w:rsidR="00F80E61" w:rsidRPr="00E6374C">
        <w:t xml:space="preserve"> provádět obnovu, ochranu a výchovu lesních porostů.</w:t>
      </w:r>
    </w:p>
    <w:p w14:paraId="7849DEF9" w14:textId="764F21A3" w:rsidR="00F80E61" w:rsidRPr="00E6374C" w:rsidRDefault="002D02BF" w:rsidP="00F80E61">
      <w:pPr>
        <w:tabs>
          <w:tab w:val="left" w:pos="782"/>
          <w:tab w:val="left" w:pos="851"/>
        </w:tabs>
        <w:spacing w:before="120" w:after="120"/>
        <w:outlineLvl w:val="6"/>
      </w:pPr>
      <w:r>
        <w:t xml:space="preserve">(3) </w:t>
      </w:r>
      <w:r w:rsidR="00F80E61" w:rsidRPr="00E6374C">
        <w:t>Rezerva na pěstební činnost se vytváří podle výše vytěženého objemu dřevní hmoty v m</w:t>
      </w:r>
      <w:r w:rsidR="00F80E61" w:rsidRPr="00E6374C">
        <w:rPr>
          <w:vertAlign w:val="superscript"/>
        </w:rPr>
        <w:t>3</w:t>
      </w:r>
      <w:r w:rsidR="00F80E61" w:rsidRPr="00E6374C">
        <w:t>. Výši této rezervy si poplatník stanoví sám v rozpočtu nákladů na pěstební činnost. Rezerva se čerpá při realizaci prací pěstební činnosti, a pokud tyto práce nejsou realizovány v rozpočtovaném objemu, rezerva se zruší.</w:t>
      </w:r>
    </w:p>
    <w:p w14:paraId="44FBF2C3" w14:textId="77777777" w:rsidR="00F80E61" w:rsidRPr="00E6374C" w:rsidRDefault="00F80E61" w:rsidP="00F80E61">
      <w:pPr>
        <w:keepNext/>
        <w:keepLines/>
        <w:numPr>
          <w:ilvl w:val="0"/>
          <w:numId w:val="27"/>
        </w:numPr>
        <w:jc w:val="center"/>
        <w:outlineLvl w:val="5"/>
      </w:pPr>
      <w:r w:rsidRPr="00E6374C">
        <w:t xml:space="preserve">§ 10  </w:t>
      </w:r>
    </w:p>
    <w:p w14:paraId="109D09DF" w14:textId="77777777" w:rsidR="00F80E61" w:rsidRPr="00E6374C" w:rsidRDefault="00F80E61" w:rsidP="00F80E61">
      <w:pPr>
        <w:keepNext/>
        <w:keepLines/>
        <w:numPr>
          <w:ilvl w:val="0"/>
          <w:numId w:val="27"/>
        </w:numPr>
        <w:jc w:val="center"/>
        <w:outlineLvl w:val="5"/>
        <w:rPr>
          <w:b/>
        </w:rPr>
      </w:pPr>
      <w:r w:rsidRPr="00E6374C">
        <w:rPr>
          <w:b/>
        </w:rPr>
        <w:t>Ostatní rezervy</w:t>
      </w:r>
    </w:p>
    <w:p w14:paraId="73905A1E" w14:textId="4C6A4B39" w:rsidR="00F80E61" w:rsidRPr="00E6374C" w:rsidRDefault="002D02BF" w:rsidP="00F80E61">
      <w:pPr>
        <w:tabs>
          <w:tab w:val="left" w:pos="782"/>
          <w:tab w:val="left" w:pos="851"/>
        </w:tabs>
        <w:spacing w:before="120" w:after="120"/>
        <w:outlineLvl w:val="6"/>
      </w:pPr>
      <w:r>
        <w:t xml:space="preserve">(1) </w:t>
      </w:r>
      <w:r w:rsidR="00F80E61" w:rsidRPr="00E6374C">
        <w:t xml:space="preserve">Pro účely zjištění základu daně z příjmů se uznává rezerva na odbahnění rybníka, kterým se rozumí odstraňování nánosů ze dna rybníka způsobených erozí okolních pozemků. Rezervu na odbahnění rybníka je možno tvořit maximálně </w:t>
      </w:r>
      <w:r w:rsidR="00F80E61" w:rsidRPr="00E6374C">
        <w:rPr>
          <w:strike/>
        </w:rPr>
        <w:t xml:space="preserve">10 </w:t>
      </w:r>
      <w:r w:rsidR="00F80E61" w:rsidRPr="00E6374C">
        <w:rPr>
          <w:b/>
        </w:rPr>
        <w:t xml:space="preserve">120 </w:t>
      </w:r>
      <w:r w:rsidR="00F80E61" w:rsidRPr="00E6374C">
        <w:t xml:space="preserve">po sobě jdoucích </w:t>
      </w:r>
      <w:r w:rsidR="00F80E61" w:rsidRPr="00E6374C">
        <w:rPr>
          <w:strike/>
        </w:rPr>
        <w:t>zdaňovacích období</w:t>
      </w:r>
      <w:r w:rsidR="00F80E61" w:rsidRPr="00E6374C">
        <w:rPr>
          <w:b/>
        </w:rPr>
        <w:t xml:space="preserve"> měsíců</w:t>
      </w:r>
      <w:r w:rsidR="00F80E61" w:rsidRPr="00E6374C">
        <w:t xml:space="preserve">; </w:t>
      </w:r>
      <w:r w:rsidR="00F80E61" w:rsidRPr="00A15456">
        <w:rPr>
          <w:shd w:val="clear" w:color="auto" w:fill="FFFFFF" w:themeFill="background1"/>
        </w:rPr>
        <w:t>přitom pro způsob její tvorby, stanovení výše a použití se použijí obdobně ustanovení pro tvorbu rezervy na opravy podle tohoto zákona</w:t>
      </w:r>
      <w:r w:rsidR="00F80E61" w:rsidRPr="00E6374C">
        <w:t>.</w:t>
      </w:r>
    </w:p>
    <w:p w14:paraId="03DE3440" w14:textId="6548D41C" w:rsidR="00F80E61" w:rsidRPr="00E6374C" w:rsidRDefault="002D02BF" w:rsidP="00F80E61">
      <w:pPr>
        <w:tabs>
          <w:tab w:val="left" w:pos="782"/>
          <w:tab w:val="left" w:pos="851"/>
        </w:tabs>
        <w:spacing w:before="120" w:after="120"/>
        <w:outlineLvl w:val="6"/>
      </w:pPr>
      <w:r>
        <w:t xml:space="preserve">(2) </w:t>
      </w:r>
      <w:r w:rsidR="00F80E61" w:rsidRPr="00E6374C">
        <w:t xml:space="preserve">Pro účely zjištění základu daně z příjmů se dále uznává rezerva na sanace a rekultivace pozemků dotčených těžbou nebo na vypořádání důlních škod tvořená podle zákona upravujícího ochranu a využití nerostného bohatství, rezerva na zajištění rekultivace a následné péče o skládku podle zákona upravujícího odpady a rezervy, u nichž zvláštní zákon uvede, že jde </w:t>
      </w:r>
      <w:r w:rsidR="00F80E61" w:rsidRPr="002571EB">
        <w:rPr>
          <w:shd w:val="clear" w:color="auto" w:fill="FFFFFF" w:themeFill="background1"/>
        </w:rPr>
        <w:t xml:space="preserve">o výdaj (náklad) na dosažení, zajištění a udržení </w:t>
      </w:r>
      <w:proofErr w:type="gramStart"/>
      <w:r w:rsidR="00F80E61" w:rsidRPr="002571EB">
        <w:rPr>
          <w:strike/>
          <w:shd w:val="clear" w:color="auto" w:fill="FFFFFF" w:themeFill="background1"/>
        </w:rPr>
        <w:t>příjmů.</w:t>
      </w:r>
      <w:r w:rsidR="00F80E61" w:rsidRPr="002571EB">
        <w:rPr>
          <w:strike/>
          <w:vertAlign w:val="superscript"/>
        </w:rPr>
        <w:t>1)</w:t>
      </w:r>
      <w:r w:rsidR="00F80E61">
        <w:rPr>
          <w:b/>
        </w:rPr>
        <w:t xml:space="preserve"> </w:t>
      </w:r>
      <w:r w:rsidR="00F80E61" w:rsidRPr="002571EB">
        <w:rPr>
          <w:b/>
          <w:shd w:val="clear" w:color="auto" w:fill="FFFFFF" w:themeFill="background1"/>
        </w:rPr>
        <w:t>příjmů</w:t>
      </w:r>
      <w:r w:rsidR="00F80E61" w:rsidRPr="002571EB">
        <w:rPr>
          <w:b/>
          <w:vertAlign w:val="superscript"/>
        </w:rPr>
        <w:t>1</w:t>
      </w:r>
      <w:proofErr w:type="gramEnd"/>
      <w:r w:rsidR="00F80E61" w:rsidRPr="002571EB">
        <w:rPr>
          <w:b/>
          <w:vertAlign w:val="superscript"/>
        </w:rPr>
        <w:t>)</w:t>
      </w:r>
      <w:r w:rsidR="00F80E61">
        <w:rPr>
          <w:b/>
        </w:rPr>
        <w:t xml:space="preserve"> nebo </w:t>
      </w:r>
      <w:r w:rsidR="00F80E61" w:rsidRPr="00E6374C">
        <w:rPr>
          <w:b/>
        </w:rPr>
        <w:t xml:space="preserve">o </w:t>
      </w:r>
      <w:r w:rsidR="00F80E61">
        <w:rPr>
          <w:b/>
        </w:rPr>
        <w:t>položku snižující základ daně</w:t>
      </w:r>
      <w:r w:rsidR="00F80E61" w:rsidRPr="00E6374C">
        <w:rPr>
          <w:b/>
        </w:rPr>
        <w:t>.</w:t>
      </w:r>
    </w:p>
    <w:p w14:paraId="7E873EC2" w14:textId="77777777" w:rsidR="00F80E61" w:rsidRPr="00E6374C" w:rsidRDefault="00F80E61" w:rsidP="00F80E61">
      <w:pPr>
        <w:keepNext/>
        <w:keepLines/>
        <w:numPr>
          <w:ilvl w:val="0"/>
          <w:numId w:val="27"/>
        </w:numPr>
        <w:jc w:val="center"/>
        <w:outlineLvl w:val="5"/>
      </w:pPr>
      <w:r w:rsidRPr="00E6374C">
        <w:t xml:space="preserve">§ 10a </w:t>
      </w:r>
    </w:p>
    <w:p w14:paraId="257F8B92" w14:textId="083FC4C1" w:rsidR="00F80E61" w:rsidRPr="00E6374C" w:rsidRDefault="002D02BF" w:rsidP="00F80E61">
      <w:pPr>
        <w:tabs>
          <w:tab w:val="left" w:pos="782"/>
          <w:tab w:val="left" w:pos="851"/>
        </w:tabs>
        <w:spacing w:before="120" w:after="120"/>
        <w:outlineLvl w:val="6"/>
      </w:pPr>
      <w:r>
        <w:t xml:space="preserve">(1) </w:t>
      </w:r>
      <w:r w:rsidR="00F80E61" w:rsidRPr="00E6374C">
        <w:t>Peněžní prostředky ve výši rezerv tvořených podle § 9 a § 10 odst. 1 nebo rezerv vymezených v § 10 odst. 2 se ukládají na samostatný účet vedený v České republice u banky nebo pobočky zahraniční banky se sídlem v jiném členském státě Evropské unie, který je určen výhradně pro ukládání prostředků rezerv tvořených podle § 9 a § 10 odst. 1 nebo rezerv vymezených v § 10 odst. 2, příjmu z prodeje státních dluhopisů pořízených z prostředků tohoto účtu a popřípadě výnosů z prostředků těchto rezerv (dále jen "zvláštní vázaný účet"). Výnosy z prostředků rezerv se pro účely tohoto ustanovení rozumí výnosy z peněžních prostředků vázaných na zvláštním vázaném účtu a úrokové výnosy ze státních dluhopisů pořízených z prostředků zvláštního vázaného účtu. Peněžní prostředky zvláštního vázaného účtu mohou být čerpány pouze na účely, na které byly rezervy vytvořeny, s výjimkou uvedenou v odstavci 4. Poplatník zřídí pro jednotlivý účel tvorby rezervy vždy pouze jeden zvláštní vázaný účet</w:t>
      </w:r>
      <w:r w:rsidR="00F80E61" w:rsidRPr="000F1F6D">
        <w:t>, který je veden v českých korunách nebo v eurech</w:t>
      </w:r>
      <w:r w:rsidR="00F80E61" w:rsidRPr="00E6374C">
        <w:t>.</w:t>
      </w:r>
    </w:p>
    <w:p w14:paraId="291A1384" w14:textId="20DB40BE" w:rsidR="00F80E61" w:rsidRPr="00E6374C" w:rsidRDefault="002D02BF" w:rsidP="00F80E61">
      <w:pPr>
        <w:tabs>
          <w:tab w:val="left" w:pos="782"/>
          <w:tab w:val="left" w:pos="851"/>
        </w:tabs>
        <w:spacing w:before="120" w:after="120"/>
        <w:outlineLvl w:val="6"/>
      </w:pPr>
      <w:r>
        <w:t xml:space="preserve">(2) </w:t>
      </w:r>
      <w:r w:rsidR="00F80E61" w:rsidRPr="00E6374C">
        <w:t xml:space="preserve">Ve zdaňovacím období </w:t>
      </w:r>
      <w:r w:rsidR="00F80E61" w:rsidRPr="00E6374C">
        <w:rPr>
          <w:strike/>
        </w:rPr>
        <w:t>nebo v období, za které se podává daňové přiznání,</w:t>
      </w:r>
      <w:r w:rsidR="00F80E61" w:rsidRPr="00E6374C">
        <w:t xml:space="preserve"> je </w:t>
      </w:r>
      <w:proofErr w:type="gramStart"/>
      <w:r w:rsidR="00F80E61" w:rsidRPr="00E6374C">
        <w:rPr>
          <w:strike/>
        </w:rPr>
        <w:t xml:space="preserve">zaúčtovaná  </w:t>
      </w:r>
      <w:r w:rsidR="00F80E61" w:rsidRPr="00E6374C">
        <w:t>tvorba</w:t>
      </w:r>
      <w:proofErr w:type="gramEnd"/>
      <w:r w:rsidR="00F80E61" w:rsidRPr="00E6374C">
        <w:t xml:space="preserve"> rezerv vymezených v odstavci 1 výdajem (nákladem) na dosažení, zajištění a udržení příjmů </w:t>
      </w:r>
      <w:r w:rsidR="00F80E61" w:rsidRPr="00E6374C">
        <w:rPr>
          <w:b/>
        </w:rPr>
        <w:t>nebo položkou snižující základ daně</w:t>
      </w:r>
      <w:r w:rsidR="00F80E61" w:rsidRPr="00E6374C">
        <w:t>, pokud</w:t>
      </w:r>
    </w:p>
    <w:p w14:paraId="686B809F" w14:textId="77777777" w:rsidR="00F80E61" w:rsidRPr="00E6374C" w:rsidRDefault="00F80E61" w:rsidP="002D02BF">
      <w:pPr>
        <w:spacing w:before="0"/>
        <w:ind w:left="425" w:hanging="425"/>
        <w:outlineLvl w:val="7"/>
      </w:pPr>
      <w:r w:rsidRPr="00E6374C">
        <w:t>a)</w:t>
      </w:r>
      <w:r w:rsidRPr="00E6374C">
        <w:tab/>
        <w:t xml:space="preserve">budou peněžní prostředky ve výši </w:t>
      </w:r>
      <w:r w:rsidRPr="00E6374C">
        <w:rPr>
          <w:strike/>
        </w:rPr>
        <w:t>zaúčtované</w:t>
      </w:r>
      <w:r w:rsidRPr="00E6374C">
        <w:t xml:space="preserve"> tvorby rezerv</w:t>
      </w:r>
      <w:r w:rsidRPr="00E6374C">
        <w:rPr>
          <w:b/>
        </w:rPr>
        <w:t xml:space="preserve"> </w:t>
      </w:r>
      <w:r w:rsidRPr="00E6374C">
        <w:t xml:space="preserve">převedeny na zvláštní vázaný účet nejpozději do termínu pro podání daňového přiznání; nebudou-li převedeny v plné výši, výdajem (nákladem) na dosažení, zajištění a udržení příjmů </w:t>
      </w:r>
      <w:r w:rsidRPr="00E6374C">
        <w:rPr>
          <w:b/>
        </w:rPr>
        <w:t xml:space="preserve">nebo položkou snižující </w:t>
      </w:r>
      <w:r w:rsidRPr="00E6374C">
        <w:rPr>
          <w:b/>
        </w:rPr>
        <w:lastRenderedPageBreak/>
        <w:t>základ daně</w:t>
      </w:r>
      <w:r w:rsidRPr="00E6374C">
        <w:t xml:space="preserve"> se stává pouze ta část </w:t>
      </w:r>
      <w:r w:rsidRPr="00E6374C">
        <w:rPr>
          <w:strike/>
        </w:rPr>
        <w:t xml:space="preserve">zaúčtované </w:t>
      </w:r>
      <w:r w:rsidRPr="00E6374C">
        <w:t>tvorby rezerv, která byla na zvláštní vázaný účet převedena nejpozději do termínu pro podání daňového přiznání, a</w:t>
      </w:r>
    </w:p>
    <w:p w14:paraId="7F325383" w14:textId="77777777" w:rsidR="00F80E61" w:rsidRPr="00E6374C" w:rsidRDefault="00F80E61" w:rsidP="002D02BF">
      <w:pPr>
        <w:spacing w:before="0"/>
        <w:ind w:left="425" w:hanging="425"/>
        <w:outlineLvl w:val="7"/>
      </w:pPr>
      <w:r w:rsidRPr="00E6374C">
        <w:t>b)</w:t>
      </w:r>
      <w:r w:rsidRPr="00E6374C">
        <w:tab/>
        <w:t>peněžní prostředky uložené na zvláštním vázaném účtu se nepoužijí na úhradu výdajů souvisejících s účely, na něž byly vytvořeny rezervy podle § 9 a § 10 odst. 1 nebo rezervy vymezené v § 10 odst. 2, a to do výše rezerv vytvořených do 31. prosince 2003 nebo do konce období, za které se podává daňové přiznání a které započalo v roce 2003, pokud nebyly uvedené rezervy následně zcela zrušeny nebo vyčerpány; pokud byly uvedené rezervy následně zrušeny nebo čerpány pouze zčásti, platí uvedená podmínka pouze pro nezrušenou část uvedené výše rezerv. Tato podmínka se neuplatní v případě, kdy zvláštní právní předpis stanoví výslovně povinnost převést na zvláštní vázaný účet peněžní prostředky ve výši dříve vytvořených rezerv nebo jejich zvláštním právním předpisem vymezené části, které byly uplatněny jako výdaj (náklad) na dosažení, zajištění a udržení příjmů do 31. prosince 2003.</w:t>
      </w:r>
    </w:p>
    <w:p w14:paraId="48BABD2E" w14:textId="3A753771" w:rsidR="00F80E61" w:rsidRPr="00CE7B47" w:rsidRDefault="002D02BF" w:rsidP="00F80E61">
      <w:pPr>
        <w:tabs>
          <w:tab w:val="left" w:pos="782"/>
          <w:tab w:val="left" w:pos="851"/>
        </w:tabs>
        <w:spacing w:before="120" w:after="120"/>
        <w:outlineLvl w:val="6"/>
        <w:rPr>
          <w:strike/>
        </w:rPr>
      </w:pPr>
      <w:r>
        <w:rPr>
          <w:strike/>
        </w:rPr>
        <w:t xml:space="preserve">(3) </w:t>
      </w:r>
      <w:r w:rsidR="00F80E61" w:rsidRPr="00CE7B47">
        <w:rPr>
          <w:strike/>
        </w:rPr>
        <w:t>Pokud poplatník použije peněžní prostředky uložené na zvláštním vázaném účtu v rozporu s podmínkou uvedenou v odstavci 2 písm. b), je oprávněn uplatnit zaúčtovanou tvorbu rezerv vymezených v odstavci 1 jako výdaj (náklad) na dosažení, zajištění a udržení příjmů</w:t>
      </w:r>
      <w:r w:rsidR="00F80E61" w:rsidRPr="00CE7B47">
        <w:rPr>
          <w:b/>
          <w:strike/>
        </w:rPr>
        <w:t xml:space="preserve"> </w:t>
      </w:r>
      <w:r w:rsidR="00F80E61" w:rsidRPr="00CE7B47">
        <w:rPr>
          <w:strike/>
        </w:rPr>
        <w:t>podle odstavce 2 nejdříve ve zdaňovacím období nebo v období, za které se podává daňové přiznání, v němž součet výše peněžních prostředků uložených na zvláštním vázaném účtu podle odstavce 1 a hodnoty státních dluhopisů vedených na samostatném účtu u České národní banky, ve Středisku cenných papírů nebo v centrálním depozitáři, na který Česká republika jednající prostřednictvím Ministerstva financí převede evidence Střediska cenných papírů (dále jen "centrální depozitář")</w:t>
      </w:r>
      <w:r w:rsidR="00F80E61" w:rsidRPr="00CE7B47">
        <w:rPr>
          <w:strike/>
          <w:vertAlign w:val="superscript"/>
        </w:rPr>
        <w:t>1b)</w:t>
      </w:r>
      <w:r w:rsidR="00F80E61" w:rsidRPr="00CE7B47">
        <w:rPr>
          <w:strike/>
        </w:rPr>
        <w:t>, zachycené v účetnictví podle zvláštního právního předpisu</w:t>
      </w:r>
      <w:r w:rsidR="00F80E61" w:rsidRPr="00CE7B47">
        <w:rPr>
          <w:strike/>
          <w:vertAlign w:val="superscript"/>
        </w:rPr>
        <w:t>1a)</w:t>
      </w:r>
      <w:r w:rsidR="00F80E61" w:rsidRPr="00CE7B47">
        <w:rPr>
          <w:strike/>
        </w:rPr>
        <w:t xml:space="preserve"> dosáhne alespoň výše rezerv podle § 9 a § 10 odst. 1 nebo rezerv vymezených v § 10 odst. 2 vykázané a zaúčtované podle zvláštního právního předpisu</w:t>
      </w:r>
      <w:r w:rsidR="00F80E61" w:rsidRPr="00CE7B47">
        <w:rPr>
          <w:strike/>
          <w:vertAlign w:val="superscript"/>
        </w:rPr>
        <w:t>1a)</w:t>
      </w:r>
      <w:r w:rsidR="00F80E61" w:rsidRPr="00CE7B47">
        <w:rPr>
          <w:strike/>
        </w:rPr>
        <w:t>.</w:t>
      </w:r>
    </w:p>
    <w:p w14:paraId="3EF85977" w14:textId="25DB50B5" w:rsidR="00F80E61" w:rsidRPr="00CE7B47" w:rsidRDefault="002D02BF" w:rsidP="00F80E61">
      <w:pPr>
        <w:tabs>
          <w:tab w:val="left" w:pos="782"/>
          <w:tab w:val="left" w:pos="851"/>
        </w:tabs>
        <w:spacing w:before="120" w:after="120"/>
        <w:outlineLvl w:val="6"/>
        <w:rPr>
          <w:b/>
        </w:rPr>
      </w:pPr>
      <w:r>
        <w:rPr>
          <w:b/>
        </w:rPr>
        <w:t xml:space="preserve">(3) </w:t>
      </w:r>
      <w:r w:rsidR="00F80E61" w:rsidRPr="00CE7B47">
        <w:rPr>
          <w:b/>
        </w:rPr>
        <w:t>Pokud poplatník použije peněžní prostředky uložené na zvláštním vázaném účtu v rozporu s podmínkou uvedenou v odstavci 2 písm. b), je oprávněn uplatnit tvorbu rezerv vymezených v odstavci 1 jako výdaj (náklad) na dosažení, zajištění a udržení příjmů nebo položku snižující základ daně podle odstavce 2 nejdříve ve zdaňovacím období v němž součet výše peněžních prostředků uložených na zvláštním vázaném účtu podle odstavce 1 a hodnoty státních dluhopisů vedených na samostatném účtu u České národní banky, ve Středisku cenných papírů nebo v centrálním depozitáři, na který Česká republika jednající prostřednictvím Ministerstva financí převede evidence Střediska cenných papírů (dále jen "centrální depozitář")</w:t>
      </w:r>
      <w:r w:rsidR="00F80E61" w:rsidRPr="00CE7B47">
        <w:rPr>
          <w:b/>
          <w:vertAlign w:val="superscript"/>
        </w:rPr>
        <w:t>1b)</w:t>
      </w:r>
      <w:r w:rsidR="00F80E61" w:rsidRPr="00CE7B47">
        <w:rPr>
          <w:b/>
        </w:rPr>
        <w:t>, dosáhne alespoň výše rezerv podle § 9 a § 10 odst. 1 nebo rezerv vymezených v § 10 odst. 2.</w:t>
      </w:r>
    </w:p>
    <w:p w14:paraId="588CF635" w14:textId="2AB8C071" w:rsidR="00F80E61" w:rsidRPr="00E6374C" w:rsidRDefault="002D02BF" w:rsidP="00F80E61">
      <w:pPr>
        <w:tabs>
          <w:tab w:val="left" w:pos="782"/>
          <w:tab w:val="left" w:pos="851"/>
        </w:tabs>
        <w:spacing w:before="120" w:after="120"/>
        <w:outlineLvl w:val="6"/>
      </w:pPr>
      <w:r>
        <w:t xml:space="preserve"> (4) </w:t>
      </w:r>
      <w:r w:rsidR="00F80E61" w:rsidRPr="00E6374C">
        <w:t>Peněžní prostředky rezerv uvedených v odstavci 1, které jsou uloženy na zvláštním vázaném účtu, mohou být použity i na pořízení státních dluhopisů denominovaných výhradně v české koruně, a to u</w:t>
      </w:r>
    </w:p>
    <w:p w14:paraId="32CE3023" w14:textId="77777777" w:rsidR="00F80E61" w:rsidRPr="00E6374C" w:rsidRDefault="00F80E61" w:rsidP="002D02BF">
      <w:pPr>
        <w:spacing w:before="0"/>
        <w:ind w:left="425" w:hanging="425"/>
        <w:outlineLvl w:val="7"/>
      </w:pPr>
      <w:r w:rsidRPr="00E6374C">
        <w:t>a)</w:t>
      </w:r>
      <w:r w:rsidRPr="00E6374C">
        <w:tab/>
        <w:t>rezerv tvořených podle zákona upravujícího ochranu a využití nerostného bohatství na sanace a rekultivace pozemků dotčených těžbou nebo na vypořádání důlních škod pouze na základě souhlasu příslušného obvodního báňského úřadu,</w:t>
      </w:r>
    </w:p>
    <w:p w14:paraId="2B19833C" w14:textId="77777777" w:rsidR="00F80E61" w:rsidRPr="00E6374C" w:rsidRDefault="00F80E61" w:rsidP="002D02BF">
      <w:pPr>
        <w:spacing w:before="0"/>
        <w:ind w:left="425" w:hanging="425"/>
        <w:outlineLvl w:val="7"/>
      </w:pPr>
      <w:r w:rsidRPr="00E6374C">
        <w:t>b)</w:t>
      </w:r>
      <w:r w:rsidRPr="00E6374C">
        <w:tab/>
        <w:t>rezerv na zajištění rekultivace a následné péče o skládku podle zákona upravujícího odpady pouze na základě souhlasu příslušného krajského úřadu,</w:t>
      </w:r>
    </w:p>
    <w:p w14:paraId="0CCC6A72" w14:textId="77777777" w:rsidR="00F80E61" w:rsidRPr="00E6374C" w:rsidRDefault="00F80E61" w:rsidP="002D02BF">
      <w:pPr>
        <w:spacing w:before="0"/>
        <w:ind w:left="425" w:hanging="425"/>
        <w:outlineLvl w:val="7"/>
      </w:pPr>
      <w:r w:rsidRPr="00E6374C">
        <w:lastRenderedPageBreak/>
        <w:t>c)</w:t>
      </w:r>
      <w:r w:rsidRPr="00E6374C">
        <w:tab/>
        <w:t>rezerv na zajištění vyřazování jaderného zařízení nebo pracoviště III. nebo IV. kategorie z provozu</w:t>
      </w:r>
      <w:r>
        <w:rPr>
          <w:rStyle w:val="Znakapoznpodarou"/>
        </w:rPr>
        <w:footnoteReference w:customMarkFollows="1" w:id="205"/>
        <w:t>26)</w:t>
      </w:r>
      <w:r w:rsidRPr="00E6374C">
        <w:t xml:space="preserve"> pouze na základě souhlasu Správy úložišť radioaktivních odpadů.</w:t>
      </w:r>
    </w:p>
    <w:p w14:paraId="191C3C22" w14:textId="327608C5" w:rsidR="00F80E61" w:rsidRPr="00E6374C" w:rsidRDefault="001E28AB" w:rsidP="00F80E61">
      <w:pPr>
        <w:tabs>
          <w:tab w:val="left" w:pos="782"/>
          <w:tab w:val="left" w:pos="851"/>
        </w:tabs>
        <w:spacing w:before="120" w:after="120"/>
        <w:outlineLvl w:val="6"/>
      </w:pPr>
      <w:r>
        <w:t xml:space="preserve">(5) </w:t>
      </w:r>
      <w:r w:rsidR="00F80E61" w:rsidRPr="00E6374C">
        <w:t>Státní dluhopisy podle odstavce 4 musí být vedeny na samostatném účtu u České národní banky, ve Středisku cenných papírů nebo v centrálním depozitáři a poplatník o nich musí vést samostatnou evidenci. Příjmy z prodeje těchto dluhopisů musí být vždy neprodleně převedeny na zvláštní vázaný účet, z jehož prostředků byly tyto dluhopisy pořízeny.</w:t>
      </w:r>
    </w:p>
    <w:p w14:paraId="6B3B97FA" w14:textId="2EAFF14F" w:rsidR="00F80E61" w:rsidRPr="00E6374C" w:rsidRDefault="001E28AB" w:rsidP="00F80E61">
      <w:pPr>
        <w:tabs>
          <w:tab w:val="left" w:pos="782"/>
          <w:tab w:val="left" w:pos="851"/>
        </w:tabs>
        <w:spacing w:before="120" w:after="120"/>
        <w:outlineLvl w:val="6"/>
      </w:pPr>
      <w:r>
        <w:t xml:space="preserve">(6) </w:t>
      </w:r>
      <w:r w:rsidR="00F80E61" w:rsidRPr="00E6374C">
        <w:t>Peněžní prostředky uložené na zvláštním vázaném účtu a státní dluhopisy vedené na samostatném účtu podle odstavce 5 nesmějí být předmětem zajištění, nesmějí být zahrnuty do majetkové podstaty poplatníka v insolvenčním řízení</w:t>
      </w:r>
      <w:r w:rsidR="00F80E61" w:rsidRPr="00E6374C">
        <w:rPr>
          <w:vertAlign w:val="superscript"/>
        </w:rPr>
        <w:t>12b)</w:t>
      </w:r>
      <w:r w:rsidR="00F80E61" w:rsidRPr="00E6374C">
        <w:t>, nepodléhají výkonu rozhodnutí ani exekuci.</w:t>
      </w:r>
    </w:p>
    <w:p w14:paraId="6842316D" w14:textId="77777777" w:rsidR="00F80E61" w:rsidRPr="00E6374C" w:rsidRDefault="00F80E61" w:rsidP="00F80E61">
      <w:pPr>
        <w:keepNext/>
        <w:keepLines/>
        <w:numPr>
          <w:ilvl w:val="0"/>
          <w:numId w:val="27"/>
        </w:numPr>
        <w:jc w:val="center"/>
        <w:outlineLvl w:val="5"/>
      </w:pPr>
      <w:r w:rsidRPr="00E6374C">
        <w:t xml:space="preserve">§ 11  </w:t>
      </w:r>
    </w:p>
    <w:p w14:paraId="4E6F1A1C" w14:textId="340EB103" w:rsidR="00F80E61" w:rsidRPr="00E6374C" w:rsidRDefault="001E28AB" w:rsidP="00F80E61">
      <w:pPr>
        <w:tabs>
          <w:tab w:val="left" w:pos="782"/>
          <w:tab w:val="left" w:pos="851"/>
        </w:tabs>
        <w:spacing w:before="120" w:after="120"/>
        <w:outlineLvl w:val="6"/>
      </w:pPr>
      <w:r>
        <w:t xml:space="preserve">(1) </w:t>
      </w:r>
      <w:r w:rsidR="00F80E61" w:rsidRPr="00E6374C">
        <w:t>Zůstatky rezerv, které mají charakter rezerv podle tohoto zákona, zjištěné k 31. prosinci 1992 se považují za rezervy podle tohoto zákona a převádějí se do roku 1993.</w:t>
      </w:r>
    </w:p>
    <w:p w14:paraId="17497326" w14:textId="1E22C17E" w:rsidR="00F80E61" w:rsidRPr="00E6374C" w:rsidRDefault="001E28AB" w:rsidP="00F80E61">
      <w:pPr>
        <w:tabs>
          <w:tab w:val="left" w:pos="782"/>
          <w:tab w:val="left" w:pos="851"/>
        </w:tabs>
        <w:spacing w:before="120" w:after="120"/>
        <w:outlineLvl w:val="6"/>
      </w:pPr>
      <w:r>
        <w:t xml:space="preserve">(2) </w:t>
      </w:r>
      <w:r w:rsidR="00F80E61" w:rsidRPr="00E6374C">
        <w:t>Rezervy vytvořené podle platných účetních předpisů před 1. lednem 1993 a převedené do roku 1993, jakož i let následujících po roce 1993 se čerpají na úhradu výdajů (nákladů), pro něž byly vytvořeny. Pominou-li důvody, pro které byly vytvořeny, zruší se tyto rezervy v příslušném zdaňovacím období.</w:t>
      </w:r>
    </w:p>
    <w:p w14:paraId="77D33D83" w14:textId="77777777" w:rsidR="00F80E61" w:rsidRPr="00E6374C" w:rsidRDefault="00F80E61" w:rsidP="00F80E61">
      <w:pPr>
        <w:keepNext/>
        <w:keepLines/>
        <w:numPr>
          <w:ilvl w:val="0"/>
          <w:numId w:val="27"/>
        </w:numPr>
        <w:jc w:val="center"/>
        <w:outlineLvl w:val="5"/>
      </w:pPr>
      <w:r w:rsidRPr="00E6374C">
        <w:t xml:space="preserve">§ 11a </w:t>
      </w:r>
    </w:p>
    <w:p w14:paraId="7DEBBA14" w14:textId="77777777" w:rsidR="00F80E61" w:rsidRPr="00E6374C" w:rsidRDefault="00F80E61" w:rsidP="00F80E61">
      <w:pPr>
        <w:keepNext/>
        <w:keepLines/>
        <w:numPr>
          <w:ilvl w:val="0"/>
          <w:numId w:val="27"/>
        </w:numPr>
        <w:jc w:val="center"/>
        <w:outlineLvl w:val="5"/>
        <w:rPr>
          <w:b/>
        </w:rPr>
      </w:pPr>
      <w:r w:rsidRPr="00E6374C">
        <w:rPr>
          <w:b/>
        </w:rPr>
        <w:t>Obecná ustanovení o rezervě na nakládání s elektroodpadem ze solárních panelů uvedených na trh do dne 1. ledna 2013</w:t>
      </w:r>
    </w:p>
    <w:p w14:paraId="574E9C42" w14:textId="3BC6D8CB" w:rsidR="00F80E61" w:rsidRPr="00E6374C" w:rsidRDefault="001E28AB" w:rsidP="00F80E61">
      <w:pPr>
        <w:tabs>
          <w:tab w:val="left" w:pos="782"/>
          <w:tab w:val="left" w:pos="851"/>
        </w:tabs>
        <w:spacing w:before="120" w:after="120"/>
        <w:outlineLvl w:val="6"/>
      </w:pPr>
      <w:r>
        <w:t xml:space="preserve">(1) </w:t>
      </w:r>
      <w:r w:rsidR="00F80E61" w:rsidRPr="00E6374C">
        <w:t>Rezervu na nakládání s elektroodpadem ze solárních panelů může vytvářet provozovatel solární elektrárny, který je povinen podle zákona upravujícího odpady zajistit financování zpracování, využití a odstranění elektroodpadu ze solárních panelů.</w:t>
      </w:r>
    </w:p>
    <w:p w14:paraId="7DCD67B7" w14:textId="4777D90C" w:rsidR="00F80E61" w:rsidRPr="00E6374C" w:rsidRDefault="001E28AB" w:rsidP="00F80E61">
      <w:pPr>
        <w:tabs>
          <w:tab w:val="left" w:pos="782"/>
          <w:tab w:val="left" w:pos="851"/>
        </w:tabs>
        <w:spacing w:before="120" w:after="120"/>
        <w:outlineLvl w:val="6"/>
      </w:pPr>
      <w:r>
        <w:t xml:space="preserve">(2) </w:t>
      </w:r>
      <w:r w:rsidR="00F80E61" w:rsidRPr="00E6374C">
        <w:t xml:space="preserve">Rezerva na nakládání s elektroodpadem ze solárních panelů </w:t>
      </w:r>
      <w:r w:rsidR="00F80E61" w:rsidRPr="00CE0C98">
        <w:t>se tvoří nezávisle na účelově shodné rezervě vytvářené podle právních předpisů upravujících účetnictví a její tvorba není podmíněna jejím zaúčtováním</w:t>
      </w:r>
      <w:r w:rsidR="00F80E61" w:rsidRPr="00E6374C">
        <w:t xml:space="preserve">. </w:t>
      </w:r>
      <w:r w:rsidR="00F80E61" w:rsidRPr="00E6374C">
        <w:rPr>
          <w:strike/>
        </w:rPr>
        <w:t>Poplatník je povinen vést evidenci vytvořené rezervy, a to minimálně v rozsahu stanoveném pro tvorbu rezerv v předpisech upravujících účetnictví</w:t>
      </w:r>
      <w:r w:rsidR="00F80E61" w:rsidRPr="00CE0C98">
        <w:rPr>
          <w:strike/>
        </w:rPr>
        <w:t>.</w:t>
      </w:r>
    </w:p>
    <w:p w14:paraId="4C10CC38" w14:textId="4D907F2C" w:rsidR="00F80E61" w:rsidRPr="00E6374C" w:rsidRDefault="001E28AB" w:rsidP="00F80E61">
      <w:pPr>
        <w:tabs>
          <w:tab w:val="left" w:pos="782"/>
          <w:tab w:val="left" w:pos="851"/>
        </w:tabs>
        <w:spacing w:before="120" w:after="120"/>
        <w:outlineLvl w:val="6"/>
      </w:pPr>
      <w:r>
        <w:t xml:space="preserve">(3) </w:t>
      </w:r>
      <w:r w:rsidR="00F80E61" w:rsidRPr="00E6374C">
        <w:t>Rezerva na nakládání s elektroodpadem ze solárních panelů se tvoří od prvního měsíce toho zdaňovacího období, ve kterém vznikla provozovateli solární elektrárny povinnost úhrady první platby příspěvku na zajištění financování zpracování, využití a odstranění elektroodpadu ze solárních panelů prováděné provozovatelem kolektivního systému, do okamžiku, kdy by bylo ukončeno</w:t>
      </w:r>
      <w:r w:rsidR="00F80E61">
        <w:t xml:space="preserve"> </w:t>
      </w:r>
      <w:r w:rsidR="00F80E61" w:rsidRPr="00CE0C98">
        <w:rPr>
          <w:b/>
        </w:rPr>
        <w:t>daňové</w:t>
      </w:r>
      <w:r w:rsidR="00F80E61" w:rsidRPr="00E6374C">
        <w:t xml:space="preserve"> </w:t>
      </w:r>
      <w:r w:rsidR="00F80E61" w:rsidRPr="001066A4">
        <w:rPr>
          <w:shd w:val="clear" w:color="auto" w:fill="FFFFFF" w:themeFill="background1"/>
        </w:rPr>
        <w:t xml:space="preserve">odpisování </w:t>
      </w:r>
      <w:r w:rsidR="00F80E61" w:rsidRPr="001066A4">
        <w:rPr>
          <w:strike/>
          <w:shd w:val="clear" w:color="auto" w:fill="FFFFFF" w:themeFill="background1"/>
        </w:rPr>
        <w:t>hmotného majetku</w:t>
      </w:r>
      <w:r w:rsidR="00F80E61" w:rsidRPr="001066A4">
        <w:rPr>
          <w:shd w:val="clear" w:color="auto" w:fill="FFFFFF" w:themeFill="background1"/>
        </w:rPr>
        <w:t xml:space="preserve"> </w:t>
      </w:r>
      <w:r w:rsidR="00F80E61" w:rsidRPr="001066A4">
        <w:rPr>
          <w:b/>
          <w:shd w:val="clear" w:color="auto" w:fill="FFFFFF" w:themeFill="background1"/>
        </w:rPr>
        <w:t>aktiva</w:t>
      </w:r>
      <w:r w:rsidR="00F80E61" w:rsidRPr="001066A4">
        <w:rPr>
          <w:shd w:val="clear" w:color="auto" w:fill="FFFFFF" w:themeFill="background1"/>
        </w:rPr>
        <w:t xml:space="preserve">, jehož je solární panel součástí, pokud by jej odpisoval jeho první vlastník </w:t>
      </w:r>
      <w:r w:rsidR="00F80E61" w:rsidRPr="001066A4">
        <w:rPr>
          <w:strike/>
          <w:shd w:val="clear" w:color="auto" w:fill="FFFFFF" w:themeFill="background1"/>
        </w:rPr>
        <w:t>podle § 30b zákona o daních z příjmů</w:t>
      </w:r>
      <w:r w:rsidR="00F80E61" w:rsidRPr="001066A4">
        <w:rPr>
          <w:shd w:val="clear" w:color="auto" w:fill="FFFFFF" w:themeFill="background1"/>
        </w:rPr>
        <w:t xml:space="preserve">. Při </w:t>
      </w:r>
      <w:r w:rsidR="00F80E61" w:rsidRPr="001066A4">
        <w:rPr>
          <w:strike/>
          <w:shd w:val="clear" w:color="auto" w:fill="FFFFFF" w:themeFill="background1"/>
        </w:rPr>
        <w:t>technickém</w:t>
      </w:r>
      <w:r w:rsidR="00F80E61" w:rsidRPr="001066A4">
        <w:rPr>
          <w:shd w:val="clear" w:color="auto" w:fill="FFFFFF" w:themeFill="background1"/>
        </w:rPr>
        <w:t xml:space="preserve"> </w:t>
      </w:r>
      <w:r w:rsidR="00F80E61" w:rsidRPr="001066A4">
        <w:rPr>
          <w:b/>
          <w:shd w:val="clear" w:color="auto" w:fill="FFFFFF" w:themeFill="background1"/>
        </w:rPr>
        <w:t>dodatečném</w:t>
      </w:r>
      <w:r w:rsidR="00F80E61" w:rsidRPr="001066A4">
        <w:rPr>
          <w:shd w:val="clear" w:color="auto" w:fill="FFFFFF" w:themeFill="background1"/>
        </w:rPr>
        <w:t xml:space="preserve"> zhodnocení předmětného </w:t>
      </w:r>
      <w:r w:rsidR="00F80E61" w:rsidRPr="001066A4">
        <w:rPr>
          <w:strike/>
          <w:shd w:val="clear" w:color="auto" w:fill="FFFFFF" w:themeFill="background1"/>
        </w:rPr>
        <w:t>hmotného majetku</w:t>
      </w:r>
      <w:r w:rsidR="00F80E61" w:rsidRPr="001066A4">
        <w:rPr>
          <w:shd w:val="clear" w:color="auto" w:fill="FFFFFF" w:themeFill="background1"/>
        </w:rPr>
        <w:t xml:space="preserve"> </w:t>
      </w:r>
      <w:r w:rsidR="00F80E61" w:rsidRPr="001066A4">
        <w:rPr>
          <w:b/>
          <w:shd w:val="clear" w:color="auto" w:fill="FFFFFF" w:themeFill="background1"/>
        </w:rPr>
        <w:t>aktiva</w:t>
      </w:r>
      <w:r w:rsidR="00F80E61" w:rsidRPr="001066A4">
        <w:rPr>
          <w:shd w:val="clear" w:color="auto" w:fill="FFFFFF" w:themeFill="background1"/>
        </w:rPr>
        <w:t xml:space="preserve"> se období tvorby rezervy neprodlužuje</w:t>
      </w:r>
      <w:r w:rsidR="00F80E61" w:rsidRPr="00E6374C">
        <w:t>.</w:t>
      </w:r>
    </w:p>
    <w:p w14:paraId="3B775A2F" w14:textId="672D19BF" w:rsidR="00F80E61" w:rsidRPr="00E6374C" w:rsidRDefault="001E28AB" w:rsidP="00F80E61">
      <w:pPr>
        <w:tabs>
          <w:tab w:val="left" w:pos="782"/>
          <w:tab w:val="left" w:pos="851"/>
        </w:tabs>
        <w:spacing w:before="120" w:after="120"/>
        <w:outlineLvl w:val="6"/>
      </w:pPr>
      <w:r>
        <w:t xml:space="preserve">(4) </w:t>
      </w:r>
      <w:r w:rsidR="00F80E61" w:rsidRPr="00E6374C">
        <w:t>Pacht, likvidace a insolvenční řízení nezakládají povinnost zrušit již vytvořenou rezervu na nakládání s elektroodpadem ze solárních panelů a lze ji tvořit i v průběhu likvidace a v průběhu insolvenčního řízení v době trvání účinků prohlášení konkursu.</w:t>
      </w:r>
    </w:p>
    <w:p w14:paraId="6CCB8EBE" w14:textId="18D58A63" w:rsidR="00F80E61" w:rsidRPr="00E6374C" w:rsidRDefault="001E28AB" w:rsidP="00F80E61">
      <w:pPr>
        <w:tabs>
          <w:tab w:val="left" w:pos="782"/>
          <w:tab w:val="left" w:pos="851"/>
        </w:tabs>
        <w:spacing w:before="120" w:after="120"/>
        <w:outlineLvl w:val="6"/>
        <w:rPr>
          <w:strike/>
        </w:rPr>
      </w:pPr>
      <w:r>
        <w:rPr>
          <w:strike/>
        </w:rPr>
        <w:lastRenderedPageBreak/>
        <w:t xml:space="preserve">(5) </w:t>
      </w:r>
      <w:r w:rsidR="00F80E61" w:rsidRPr="00E6374C">
        <w:rPr>
          <w:strike/>
        </w:rPr>
        <w:t>Pro účely rezervy na nakládání s elektroodpadem se za zdaňovací období považuje i období, za které se podává daňové přiznání.</w:t>
      </w:r>
    </w:p>
    <w:p w14:paraId="58300EC6" w14:textId="77777777" w:rsidR="00F80E61" w:rsidRPr="00E6374C" w:rsidRDefault="00F80E61" w:rsidP="00F80E61">
      <w:pPr>
        <w:keepNext/>
        <w:keepLines/>
        <w:numPr>
          <w:ilvl w:val="0"/>
          <w:numId w:val="27"/>
        </w:numPr>
        <w:jc w:val="center"/>
        <w:outlineLvl w:val="5"/>
      </w:pPr>
      <w:r w:rsidRPr="00E6374C">
        <w:t xml:space="preserve">§ 11b </w:t>
      </w:r>
    </w:p>
    <w:p w14:paraId="46B3B698" w14:textId="77777777" w:rsidR="00F80E61" w:rsidRPr="00E6374C" w:rsidRDefault="00F80E61" w:rsidP="00F80E61">
      <w:pPr>
        <w:keepNext/>
        <w:keepLines/>
        <w:numPr>
          <w:ilvl w:val="0"/>
          <w:numId w:val="27"/>
        </w:numPr>
        <w:jc w:val="center"/>
        <w:outlineLvl w:val="5"/>
        <w:rPr>
          <w:b/>
        </w:rPr>
      </w:pPr>
      <w:r w:rsidRPr="00E6374C">
        <w:rPr>
          <w:b/>
        </w:rPr>
        <w:t>Výše rezervy na nakládání s elektroodpadem ze solárních panelů uvedených na trh do dne 1. ledna 2013</w:t>
      </w:r>
    </w:p>
    <w:p w14:paraId="7770B7F0" w14:textId="67DBF868" w:rsidR="00F80E61" w:rsidRPr="00E6374C" w:rsidRDefault="001E28AB" w:rsidP="00F80E61">
      <w:pPr>
        <w:tabs>
          <w:tab w:val="left" w:pos="782"/>
          <w:tab w:val="left" w:pos="851"/>
        </w:tabs>
        <w:spacing w:before="120" w:after="120"/>
        <w:outlineLvl w:val="6"/>
      </w:pPr>
      <w:r>
        <w:t xml:space="preserve">(1) </w:t>
      </w:r>
      <w:r w:rsidR="00F80E61" w:rsidRPr="00E6374C">
        <w:t>Celková výše rezervy na nakládání s elektroodpadem ze solárních panelů je úhrnná částka financování, kterou je podle právních předpisů upravujících odpady povinen provozovatel solární elektrárny zajistit ke zpracování, využití a odstranění elektroodpadu ze solárních panelů prováděnému provozovatelem kolektivního systému.</w:t>
      </w:r>
    </w:p>
    <w:p w14:paraId="3A4D6068" w14:textId="1F5AE4D0" w:rsidR="00F80E61" w:rsidRPr="00E6374C" w:rsidRDefault="001E28AB" w:rsidP="00F80E61">
      <w:pPr>
        <w:tabs>
          <w:tab w:val="left" w:pos="782"/>
          <w:tab w:val="left" w:pos="851"/>
        </w:tabs>
        <w:spacing w:before="120" w:after="120"/>
        <w:outlineLvl w:val="6"/>
      </w:pPr>
      <w:r>
        <w:t xml:space="preserve">(2) </w:t>
      </w:r>
      <w:r w:rsidR="00F80E61" w:rsidRPr="00E6374C">
        <w:t>Do celkové výše rezervy se nezahrnují částky, o které byl snížen základ daně z příjmů.</w:t>
      </w:r>
    </w:p>
    <w:p w14:paraId="4578571D" w14:textId="23C0211E" w:rsidR="00F80E61" w:rsidRPr="00E6374C" w:rsidRDefault="001E28AB" w:rsidP="00F80E61">
      <w:pPr>
        <w:tabs>
          <w:tab w:val="left" w:pos="782"/>
          <w:tab w:val="left" w:pos="851"/>
        </w:tabs>
        <w:spacing w:before="120" w:after="120"/>
        <w:outlineLvl w:val="6"/>
      </w:pPr>
      <w:r>
        <w:t xml:space="preserve">(3) </w:t>
      </w:r>
      <w:r w:rsidR="00F80E61" w:rsidRPr="00E6374C">
        <w:t xml:space="preserve">Měsíční rezerva je rovna podílu celkové výše rezervy a počtu měsíců, které uplynou od prvního dne zdaňovacího období, ve kterém vznikla povinnost úhrady první platby příspěvku, do ukončení </w:t>
      </w:r>
      <w:r w:rsidR="00F80E61" w:rsidRPr="004D320D">
        <w:rPr>
          <w:strike/>
          <w:shd w:val="clear" w:color="auto" w:fill="FFFFFF" w:themeFill="background1"/>
        </w:rPr>
        <w:t>doby</w:t>
      </w:r>
      <w:r w:rsidR="00F80E61" w:rsidRPr="004D320D">
        <w:rPr>
          <w:shd w:val="clear" w:color="auto" w:fill="FFFFFF" w:themeFill="background1"/>
        </w:rPr>
        <w:t xml:space="preserve"> </w:t>
      </w:r>
      <w:r w:rsidR="00F80E61" w:rsidRPr="004D320D">
        <w:rPr>
          <w:b/>
          <w:shd w:val="clear" w:color="auto" w:fill="FFFFFF" w:themeFill="background1"/>
        </w:rPr>
        <w:t>daňového</w:t>
      </w:r>
      <w:r w:rsidR="00F80E61" w:rsidRPr="004D320D">
        <w:rPr>
          <w:shd w:val="clear" w:color="auto" w:fill="FFFFFF" w:themeFill="background1"/>
        </w:rPr>
        <w:t xml:space="preserve"> odpisování </w:t>
      </w:r>
      <w:r w:rsidR="00F80E61" w:rsidRPr="001066A4">
        <w:rPr>
          <w:strike/>
          <w:shd w:val="clear" w:color="auto" w:fill="FFFFFF" w:themeFill="background1"/>
        </w:rPr>
        <w:t>hmotného majetku</w:t>
      </w:r>
      <w:r w:rsidR="00F80E61" w:rsidRPr="001066A4">
        <w:rPr>
          <w:shd w:val="clear" w:color="auto" w:fill="FFFFFF" w:themeFill="background1"/>
        </w:rPr>
        <w:t xml:space="preserve"> </w:t>
      </w:r>
      <w:r w:rsidR="00F80E61" w:rsidRPr="001066A4">
        <w:rPr>
          <w:b/>
          <w:shd w:val="clear" w:color="auto" w:fill="FFFFFF" w:themeFill="background1"/>
        </w:rPr>
        <w:t>aktiva</w:t>
      </w:r>
      <w:r w:rsidR="00F80E61" w:rsidRPr="004D320D">
        <w:rPr>
          <w:shd w:val="clear" w:color="auto" w:fill="FFFFFF" w:themeFill="background1"/>
        </w:rPr>
        <w:t>, jehož je solární panel součástí</w:t>
      </w:r>
      <w:r w:rsidR="00F80E61" w:rsidRPr="00E6374C">
        <w:t>.</w:t>
      </w:r>
    </w:p>
    <w:p w14:paraId="34B2CB81" w14:textId="028EF685" w:rsidR="00F80E61" w:rsidRPr="00E6374C" w:rsidRDefault="001E28AB" w:rsidP="00F80E61">
      <w:pPr>
        <w:tabs>
          <w:tab w:val="left" w:pos="782"/>
          <w:tab w:val="left" w:pos="851"/>
        </w:tabs>
        <w:spacing w:before="120" w:after="120"/>
        <w:outlineLvl w:val="6"/>
      </w:pPr>
      <w:r>
        <w:t xml:space="preserve">(4) </w:t>
      </w:r>
      <w:r w:rsidR="00F80E61" w:rsidRPr="00E6374C">
        <w:t>Tvorba rezervy za zdaňovací období je součinem částky měsíční rezervy a počtu měsíců v tomto zdaňovacím období, ve kterých jsou splněny podmínky pro tvorbu rezervy.</w:t>
      </w:r>
    </w:p>
    <w:p w14:paraId="4A35D0C8" w14:textId="77777777" w:rsidR="00F80E61" w:rsidRPr="00E6374C" w:rsidRDefault="00F80E61" w:rsidP="00F80E61">
      <w:pPr>
        <w:keepNext/>
        <w:keepLines/>
        <w:numPr>
          <w:ilvl w:val="0"/>
          <w:numId w:val="27"/>
        </w:numPr>
        <w:jc w:val="center"/>
        <w:outlineLvl w:val="5"/>
      </w:pPr>
      <w:r w:rsidRPr="00E6374C">
        <w:t xml:space="preserve">§ 11c </w:t>
      </w:r>
    </w:p>
    <w:p w14:paraId="0D9755FC" w14:textId="77777777" w:rsidR="00F80E61" w:rsidRPr="00E6374C" w:rsidRDefault="00F80E61" w:rsidP="00F80E61">
      <w:pPr>
        <w:keepNext/>
        <w:keepLines/>
        <w:numPr>
          <w:ilvl w:val="0"/>
          <w:numId w:val="27"/>
        </w:numPr>
        <w:jc w:val="center"/>
        <w:outlineLvl w:val="5"/>
        <w:rPr>
          <w:b/>
        </w:rPr>
      </w:pPr>
      <w:r w:rsidRPr="00E6374C">
        <w:rPr>
          <w:b/>
        </w:rPr>
        <w:t>Zvláštní ustanovení o rezervě na nakládání s elektroodpadem ze solárních panelů uvedených na trh do dne 1. ledna 2013</w:t>
      </w:r>
    </w:p>
    <w:p w14:paraId="01CA6969" w14:textId="7A15F08A" w:rsidR="00F80E61" w:rsidRPr="00E6374C" w:rsidRDefault="001E28AB" w:rsidP="00F80E61">
      <w:pPr>
        <w:tabs>
          <w:tab w:val="left" w:pos="782"/>
          <w:tab w:val="left" w:pos="851"/>
        </w:tabs>
        <w:spacing w:before="120" w:after="120"/>
        <w:outlineLvl w:val="6"/>
      </w:pPr>
      <w:r>
        <w:t xml:space="preserve">(1) </w:t>
      </w:r>
      <w:r w:rsidR="00F80E61" w:rsidRPr="00E6374C">
        <w:t>Zjistí-li poplatník skutečnost odůvodňující změnu výše rezervy, musí provést úpravu její výše počínaje zdaňovacím obdobím, v němž tuto skutečnost zjistí.</w:t>
      </w:r>
    </w:p>
    <w:p w14:paraId="4D3A91D9" w14:textId="22BE0EDE" w:rsidR="00F80E61" w:rsidRPr="001250D9" w:rsidRDefault="001E28AB" w:rsidP="00F80E61">
      <w:pPr>
        <w:tabs>
          <w:tab w:val="left" w:pos="782"/>
          <w:tab w:val="left" w:pos="851"/>
        </w:tabs>
        <w:spacing w:before="120" w:after="120"/>
        <w:outlineLvl w:val="6"/>
      </w:pPr>
      <w:r>
        <w:t xml:space="preserve">(2) </w:t>
      </w:r>
      <w:r w:rsidR="00F80E61" w:rsidRPr="00E6374C">
        <w:t>Dojde-li k likvidaci solárního panelu, zruší se část rezervy týkající se likvidovaného panelu ve zdaňovacím období, kdy provozovatel kolektivního systému předloží finanční vypořádání provozovateli solární elektrárny, ve kterém toto vyřazení zohledňuje.</w:t>
      </w:r>
    </w:p>
    <w:p w14:paraId="5AFA0E38" w14:textId="77777777" w:rsidR="00F80E61" w:rsidRPr="001250D9" w:rsidRDefault="00F80E61" w:rsidP="00F80E61">
      <w:pPr>
        <w:keepNext/>
        <w:keepLines/>
        <w:numPr>
          <w:ilvl w:val="0"/>
          <w:numId w:val="27"/>
        </w:numPr>
        <w:jc w:val="center"/>
        <w:outlineLvl w:val="5"/>
      </w:pPr>
      <w:r w:rsidRPr="001250D9">
        <w:t xml:space="preserve">§ 12 </w:t>
      </w:r>
    </w:p>
    <w:p w14:paraId="460069C3" w14:textId="77777777" w:rsidR="00F80E61" w:rsidRPr="001250D9" w:rsidRDefault="00F80E61" w:rsidP="00F80E61">
      <w:pPr>
        <w:outlineLvl w:val="5"/>
      </w:pPr>
      <w:r w:rsidRPr="001250D9">
        <w:t>Tento zákon nabývá účinnosti dnem 1. ledna 1993.</w:t>
      </w:r>
    </w:p>
    <w:p w14:paraId="18E63B81" w14:textId="77777777" w:rsidR="00F80E61" w:rsidRPr="001250D9" w:rsidRDefault="00F80E61" w:rsidP="00F80E61">
      <w:pPr>
        <w:keepNext/>
        <w:keepLines/>
        <w:numPr>
          <w:ilvl w:val="0"/>
          <w:numId w:val="27"/>
        </w:numPr>
        <w:jc w:val="center"/>
        <w:outlineLvl w:val="5"/>
        <w:rPr>
          <w:b/>
        </w:rPr>
      </w:pPr>
      <w:proofErr w:type="spellStart"/>
      <w:r w:rsidRPr="001250D9">
        <w:rPr>
          <w:b/>
        </w:rPr>
        <w:t>Příl</w:t>
      </w:r>
      <w:proofErr w:type="spellEnd"/>
      <w:r w:rsidRPr="001250D9">
        <w:rPr>
          <w:b/>
        </w:rPr>
        <w:t>.</w:t>
      </w:r>
    </w:p>
    <w:p w14:paraId="53857949" w14:textId="77777777" w:rsidR="00F80E61" w:rsidRPr="001250D9" w:rsidRDefault="00F80E61" w:rsidP="00F80E61">
      <w:pPr>
        <w:keepNext/>
        <w:keepLines/>
        <w:numPr>
          <w:ilvl w:val="0"/>
          <w:numId w:val="27"/>
        </w:numPr>
        <w:jc w:val="center"/>
        <w:outlineLvl w:val="5"/>
        <w:rPr>
          <w:b/>
        </w:rPr>
      </w:pPr>
      <w:r w:rsidRPr="001250D9">
        <w:rPr>
          <w:b/>
        </w:rPr>
        <w:t>VÝKONY UZNANÉ JAKO VÝDAJ (NÁKLAD) PRO TVORBU REZERVY NA PĚSTEBNÍ ČINNOST</w:t>
      </w:r>
    </w:p>
    <w:p w14:paraId="428AD2EA" w14:textId="77777777" w:rsidR="00F80E61" w:rsidRPr="001250D9" w:rsidRDefault="00F80E61" w:rsidP="00F80E61">
      <w:pPr>
        <w:outlineLvl w:val="5"/>
      </w:pPr>
      <w:r w:rsidRPr="001250D9">
        <w:t>Za výkony podle § 9 odst. 1 tohoto zákona se považují:</w:t>
      </w:r>
    </w:p>
    <w:p w14:paraId="62CA3C56" w14:textId="77777777" w:rsidR="00F80E61" w:rsidRPr="001250D9" w:rsidRDefault="00F80E61" w:rsidP="001E28AB">
      <w:pPr>
        <w:tabs>
          <w:tab w:val="left" w:pos="851"/>
        </w:tabs>
        <w:spacing w:before="0"/>
        <w:ind w:left="850" w:hanging="425"/>
        <w:outlineLvl w:val="8"/>
      </w:pPr>
      <w:r w:rsidRPr="001250D9">
        <w:t>1.</w:t>
      </w:r>
      <w:r w:rsidRPr="001250D9">
        <w:tab/>
        <w:t>Obnova lesa výsevem osiva</w:t>
      </w:r>
    </w:p>
    <w:p w14:paraId="0379AD93" w14:textId="77777777" w:rsidR="00F80E61" w:rsidRPr="001250D9" w:rsidRDefault="00F80E61" w:rsidP="001E28AB">
      <w:pPr>
        <w:spacing w:before="0"/>
        <w:ind w:left="425" w:hanging="425"/>
        <w:outlineLvl w:val="7"/>
      </w:pPr>
      <w:r w:rsidRPr="001250D9">
        <w:t>a)</w:t>
      </w:r>
      <w:r w:rsidRPr="001250D9">
        <w:tab/>
        <w:t>první výsev osiva</w:t>
      </w:r>
    </w:p>
    <w:p w14:paraId="6E049D51" w14:textId="77777777" w:rsidR="00F80E61" w:rsidRPr="001250D9" w:rsidRDefault="00F80E61" w:rsidP="001E28AB">
      <w:pPr>
        <w:spacing w:before="0"/>
        <w:ind w:left="425" w:hanging="425"/>
        <w:outlineLvl w:val="7"/>
      </w:pPr>
      <w:r w:rsidRPr="001250D9">
        <w:t>b)</w:t>
      </w:r>
      <w:r w:rsidRPr="001250D9">
        <w:tab/>
        <w:t>opakovaný výsev osiva.</w:t>
      </w:r>
    </w:p>
    <w:p w14:paraId="4214201E" w14:textId="77777777" w:rsidR="00F80E61" w:rsidRPr="001250D9" w:rsidRDefault="00F80E61" w:rsidP="001E28AB">
      <w:pPr>
        <w:tabs>
          <w:tab w:val="left" w:pos="851"/>
        </w:tabs>
        <w:spacing w:before="0"/>
        <w:ind w:left="850" w:hanging="425"/>
        <w:outlineLvl w:val="8"/>
      </w:pPr>
      <w:r w:rsidRPr="001250D9">
        <w:t>2.</w:t>
      </w:r>
      <w:r w:rsidRPr="001250D9">
        <w:tab/>
        <w:t>Obnova lesa sadbou</w:t>
      </w:r>
    </w:p>
    <w:p w14:paraId="1920E3C3" w14:textId="77777777" w:rsidR="00F80E61" w:rsidRPr="001250D9" w:rsidRDefault="00F80E61" w:rsidP="001E28AB">
      <w:pPr>
        <w:spacing w:before="0"/>
        <w:ind w:left="425" w:hanging="425"/>
        <w:outlineLvl w:val="7"/>
      </w:pPr>
      <w:r w:rsidRPr="001250D9">
        <w:t>a)</w:t>
      </w:r>
      <w:r w:rsidRPr="001250D9">
        <w:tab/>
        <w:t>první sadba</w:t>
      </w:r>
    </w:p>
    <w:p w14:paraId="1DCE608C" w14:textId="77777777" w:rsidR="00F80E61" w:rsidRPr="001250D9" w:rsidRDefault="00F80E61" w:rsidP="001E28AB">
      <w:pPr>
        <w:spacing w:before="0"/>
        <w:ind w:left="425" w:hanging="425"/>
        <w:outlineLvl w:val="7"/>
      </w:pPr>
      <w:r w:rsidRPr="001250D9">
        <w:t>b)</w:t>
      </w:r>
      <w:r w:rsidRPr="001250D9">
        <w:tab/>
        <w:t>opakovaná sadba.</w:t>
      </w:r>
    </w:p>
    <w:p w14:paraId="115A90E3" w14:textId="77777777" w:rsidR="00F80E61" w:rsidRPr="001250D9" w:rsidRDefault="00F80E61" w:rsidP="001E28AB">
      <w:pPr>
        <w:tabs>
          <w:tab w:val="left" w:pos="851"/>
        </w:tabs>
        <w:spacing w:before="0"/>
        <w:ind w:left="850" w:hanging="425"/>
        <w:outlineLvl w:val="8"/>
      </w:pPr>
      <w:r w:rsidRPr="001250D9">
        <w:t>3.</w:t>
      </w:r>
      <w:r w:rsidRPr="001250D9">
        <w:tab/>
        <w:t>Příprava půdy pro obnovu lesa</w:t>
      </w:r>
    </w:p>
    <w:p w14:paraId="5A750684" w14:textId="77777777" w:rsidR="00F80E61" w:rsidRPr="001250D9" w:rsidRDefault="00F80E61" w:rsidP="001E28AB">
      <w:pPr>
        <w:spacing w:before="0"/>
        <w:ind w:left="425" w:hanging="425"/>
        <w:outlineLvl w:val="7"/>
      </w:pPr>
      <w:r w:rsidRPr="001250D9">
        <w:t>a)</w:t>
      </w:r>
      <w:r w:rsidRPr="001250D9">
        <w:tab/>
        <w:t>příprava půdy pro přirozenou obnovu lesa</w:t>
      </w:r>
    </w:p>
    <w:p w14:paraId="5687DCAE" w14:textId="77777777" w:rsidR="00F80E61" w:rsidRPr="001250D9" w:rsidRDefault="00F80E61" w:rsidP="001E28AB">
      <w:pPr>
        <w:spacing w:before="0"/>
        <w:ind w:left="425" w:hanging="425"/>
        <w:outlineLvl w:val="7"/>
      </w:pPr>
      <w:r w:rsidRPr="001250D9">
        <w:t>b)</w:t>
      </w:r>
      <w:r w:rsidRPr="001250D9">
        <w:tab/>
        <w:t>příprava půdy pro obnovu lesa výsevem osiva</w:t>
      </w:r>
    </w:p>
    <w:p w14:paraId="3529DA2D" w14:textId="77777777" w:rsidR="00F80E61" w:rsidRPr="001250D9" w:rsidRDefault="00F80E61" w:rsidP="001E28AB">
      <w:pPr>
        <w:spacing w:before="0"/>
        <w:ind w:left="425" w:hanging="425"/>
        <w:outlineLvl w:val="7"/>
      </w:pPr>
      <w:r w:rsidRPr="001250D9">
        <w:lastRenderedPageBreak/>
        <w:t>c)</w:t>
      </w:r>
      <w:r w:rsidRPr="001250D9">
        <w:tab/>
        <w:t>příprava půdy pro obnovu lesa sadbou.</w:t>
      </w:r>
    </w:p>
    <w:p w14:paraId="21A3B775" w14:textId="77777777" w:rsidR="00F80E61" w:rsidRPr="001250D9" w:rsidRDefault="00F80E61" w:rsidP="001E28AB">
      <w:pPr>
        <w:tabs>
          <w:tab w:val="left" w:pos="851"/>
        </w:tabs>
        <w:spacing w:before="0"/>
        <w:ind w:left="850" w:hanging="425"/>
        <w:outlineLvl w:val="8"/>
      </w:pPr>
      <w:r w:rsidRPr="001250D9">
        <w:t>4.</w:t>
      </w:r>
      <w:r w:rsidRPr="001250D9">
        <w:tab/>
        <w:t>Ošetřování dřevin mladých lesních porostů.</w:t>
      </w:r>
    </w:p>
    <w:p w14:paraId="20C1C571" w14:textId="77777777" w:rsidR="00F80E61" w:rsidRPr="001250D9" w:rsidRDefault="00F80E61" w:rsidP="001E28AB">
      <w:pPr>
        <w:tabs>
          <w:tab w:val="left" w:pos="851"/>
        </w:tabs>
        <w:spacing w:before="0"/>
        <w:ind w:left="850" w:hanging="425"/>
        <w:outlineLvl w:val="8"/>
      </w:pPr>
      <w:r w:rsidRPr="001250D9">
        <w:t>5.</w:t>
      </w:r>
      <w:r w:rsidRPr="001250D9">
        <w:tab/>
        <w:t>Mechanická a chemická ochrana mladých lesních porostů proti zvěři.</w:t>
      </w:r>
    </w:p>
    <w:p w14:paraId="44C053E5" w14:textId="77777777" w:rsidR="00F80E61" w:rsidRPr="001250D9" w:rsidRDefault="00F80E61" w:rsidP="001E28AB">
      <w:pPr>
        <w:tabs>
          <w:tab w:val="left" w:pos="851"/>
        </w:tabs>
        <w:spacing w:before="0"/>
        <w:ind w:left="850" w:hanging="425"/>
        <w:outlineLvl w:val="8"/>
      </w:pPr>
      <w:r w:rsidRPr="001250D9">
        <w:t>6.</w:t>
      </w:r>
      <w:r w:rsidRPr="001250D9">
        <w:tab/>
        <w:t>Zřizování oplocenek při oplocování mladých lesních porostů.</w:t>
      </w:r>
    </w:p>
    <w:p w14:paraId="215F5BD9" w14:textId="77777777" w:rsidR="00F80E61" w:rsidRPr="001250D9" w:rsidRDefault="00F80E61" w:rsidP="001E28AB">
      <w:pPr>
        <w:tabs>
          <w:tab w:val="left" w:pos="851"/>
        </w:tabs>
        <w:spacing w:before="0"/>
        <w:ind w:left="850" w:hanging="425"/>
        <w:outlineLvl w:val="8"/>
      </w:pPr>
      <w:r w:rsidRPr="001250D9">
        <w:t>7.</w:t>
      </w:r>
      <w:r w:rsidRPr="001250D9">
        <w:tab/>
        <w:t>Ochrana mladých lesních porostů ostatní</w:t>
      </w:r>
    </w:p>
    <w:p w14:paraId="62535DA2" w14:textId="77777777" w:rsidR="00F80E61" w:rsidRPr="001250D9" w:rsidRDefault="00F80E61" w:rsidP="001E28AB">
      <w:pPr>
        <w:spacing w:before="0"/>
        <w:ind w:left="425" w:hanging="425"/>
        <w:outlineLvl w:val="7"/>
      </w:pPr>
      <w:r w:rsidRPr="001250D9">
        <w:t>a)</w:t>
      </w:r>
      <w:r w:rsidRPr="001250D9">
        <w:tab/>
        <w:t xml:space="preserve">proti </w:t>
      </w:r>
      <w:proofErr w:type="spellStart"/>
      <w:r w:rsidRPr="001250D9">
        <w:t>buření</w:t>
      </w:r>
      <w:proofErr w:type="spellEnd"/>
    </w:p>
    <w:p w14:paraId="333C0CD5" w14:textId="77777777" w:rsidR="00F80E61" w:rsidRPr="001250D9" w:rsidRDefault="00F80E61" w:rsidP="001E28AB">
      <w:pPr>
        <w:spacing w:before="0"/>
        <w:ind w:left="425" w:hanging="425"/>
        <w:outlineLvl w:val="7"/>
      </w:pPr>
      <w:r w:rsidRPr="001250D9">
        <w:t>b)</w:t>
      </w:r>
      <w:r w:rsidRPr="001250D9">
        <w:tab/>
        <w:t>proti hlodavcům</w:t>
      </w:r>
    </w:p>
    <w:p w14:paraId="21C52052" w14:textId="77777777" w:rsidR="00F80E61" w:rsidRPr="001250D9" w:rsidRDefault="00F80E61" w:rsidP="001E28AB">
      <w:pPr>
        <w:spacing w:before="0"/>
        <w:ind w:left="425" w:hanging="425"/>
        <w:outlineLvl w:val="7"/>
      </w:pPr>
      <w:r w:rsidRPr="001250D9">
        <w:t>c)</w:t>
      </w:r>
      <w:r w:rsidRPr="001250D9">
        <w:tab/>
        <w:t>proti klikorohu borovému</w:t>
      </w:r>
    </w:p>
    <w:p w14:paraId="2275B492" w14:textId="77777777" w:rsidR="00F80E61" w:rsidRPr="001250D9" w:rsidRDefault="00F80E61" w:rsidP="001E28AB">
      <w:pPr>
        <w:spacing w:before="0"/>
        <w:ind w:left="425" w:hanging="425"/>
        <w:outlineLvl w:val="7"/>
      </w:pPr>
      <w:r w:rsidRPr="001250D9">
        <w:t>d)</w:t>
      </w:r>
      <w:r w:rsidRPr="001250D9">
        <w:tab/>
        <w:t>výsek plevelných dřevin.</w:t>
      </w:r>
    </w:p>
    <w:p w14:paraId="189D0328" w14:textId="77777777" w:rsidR="00F80E61" w:rsidRPr="001250D9" w:rsidRDefault="00F80E61" w:rsidP="001E28AB">
      <w:pPr>
        <w:tabs>
          <w:tab w:val="left" w:pos="851"/>
        </w:tabs>
        <w:spacing w:before="0"/>
        <w:ind w:left="850" w:hanging="425"/>
        <w:outlineLvl w:val="8"/>
      </w:pPr>
      <w:r w:rsidRPr="001250D9">
        <w:t>8.</w:t>
      </w:r>
      <w:r w:rsidRPr="001250D9">
        <w:tab/>
        <w:t xml:space="preserve">Prořezávky, prostřihávky a výkony spojené s vytvořením </w:t>
      </w:r>
      <w:proofErr w:type="spellStart"/>
      <w:r w:rsidRPr="001250D9">
        <w:t>rozčleňovací</w:t>
      </w:r>
      <w:proofErr w:type="spellEnd"/>
      <w:r w:rsidRPr="001250D9">
        <w:t xml:space="preserve"> linie.</w:t>
      </w:r>
    </w:p>
    <w:p w14:paraId="5A8EDF42" w14:textId="77777777" w:rsidR="00F80E61" w:rsidRPr="001250D9" w:rsidRDefault="00F80E61" w:rsidP="001E28AB">
      <w:pPr>
        <w:tabs>
          <w:tab w:val="left" w:pos="851"/>
        </w:tabs>
        <w:spacing w:before="0"/>
        <w:ind w:left="850" w:hanging="425"/>
        <w:outlineLvl w:val="8"/>
      </w:pPr>
      <w:r w:rsidRPr="001250D9">
        <w:t>9.</w:t>
      </w:r>
      <w:r w:rsidRPr="001250D9">
        <w:tab/>
        <w:t>Ochrana lesa proti zvěři mechanická, chemická, údržba a opravy oplocenek.</w:t>
      </w:r>
    </w:p>
    <w:p w14:paraId="3617DCFD" w14:textId="77777777" w:rsidR="00F80E61" w:rsidRPr="001250D9" w:rsidRDefault="00F80E61" w:rsidP="001E28AB">
      <w:pPr>
        <w:tabs>
          <w:tab w:val="left" w:pos="851"/>
        </w:tabs>
        <w:spacing w:before="0"/>
        <w:ind w:left="850" w:hanging="425"/>
        <w:outlineLvl w:val="8"/>
      </w:pPr>
      <w:r w:rsidRPr="001250D9">
        <w:t>10.</w:t>
      </w:r>
      <w:r w:rsidRPr="001250D9">
        <w:tab/>
        <w:t>Ochrana lesa proti hmyzím škůdcům.</w:t>
      </w:r>
    </w:p>
    <w:p w14:paraId="4C85B2F8" w14:textId="77777777" w:rsidR="00F80E61" w:rsidRPr="001250D9" w:rsidRDefault="00F80E61" w:rsidP="001E28AB">
      <w:pPr>
        <w:tabs>
          <w:tab w:val="left" w:pos="851"/>
        </w:tabs>
        <w:spacing w:before="0"/>
        <w:ind w:left="850" w:hanging="425"/>
        <w:outlineLvl w:val="8"/>
      </w:pPr>
      <w:r w:rsidRPr="001250D9">
        <w:t>11.</w:t>
      </w:r>
      <w:r w:rsidRPr="001250D9">
        <w:tab/>
        <w:t>Hnojení lesních porostů.</w:t>
      </w:r>
    </w:p>
    <w:p w14:paraId="402FC4DC" w14:textId="77777777" w:rsidR="00F80E61" w:rsidRPr="001250D9" w:rsidRDefault="00F80E61" w:rsidP="001E28AB">
      <w:pPr>
        <w:tabs>
          <w:tab w:val="left" w:pos="851"/>
        </w:tabs>
        <w:spacing w:before="0"/>
        <w:ind w:left="850" w:hanging="425"/>
        <w:outlineLvl w:val="8"/>
      </w:pPr>
      <w:r w:rsidRPr="001250D9">
        <w:t>12.</w:t>
      </w:r>
      <w:r w:rsidRPr="001250D9">
        <w:tab/>
        <w:t>Vyvětvování lesních porostů.</w:t>
      </w:r>
    </w:p>
    <w:p w14:paraId="03A013ED" w14:textId="77777777" w:rsidR="00F80E61" w:rsidRPr="001250D9" w:rsidRDefault="00F80E61" w:rsidP="001E28AB">
      <w:pPr>
        <w:tabs>
          <w:tab w:val="left" w:pos="851"/>
        </w:tabs>
        <w:spacing w:before="0"/>
        <w:ind w:left="850" w:hanging="425"/>
        <w:outlineLvl w:val="8"/>
      </w:pPr>
      <w:r w:rsidRPr="001250D9">
        <w:t>13.</w:t>
      </w:r>
      <w:r w:rsidRPr="001250D9">
        <w:tab/>
        <w:t>Odstraňování klestu.</w:t>
      </w:r>
    </w:p>
    <w:p w14:paraId="2F292312" w14:textId="77777777" w:rsidR="00F80E61" w:rsidRPr="001250D9" w:rsidRDefault="00F80E61" w:rsidP="001E28AB">
      <w:pPr>
        <w:tabs>
          <w:tab w:val="left" w:pos="851"/>
        </w:tabs>
        <w:spacing w:before="0"/>
        <w:ind w:left="850" w:hanging="425"/>
        <w:outlineLvl w:val="8"/>
      </w:pPr>
      <w:r w:rsidRPr="001250D9">
        <w:t>14.</w:t>
      </w:r>
      <w:r w:rsidRPr="001250D9">
        <w:tab/>
        <w:t>Probírky do 40 let věku lesních porostů.</w:t>
      </w:r>
    </w:p>
    <w:p w14:paraId="58333750" w14:textId="54376A04" w:rsidR="00F80E61" w:rsidRDefault="00F80E61" w:rsidP="001E28AB">
      <w:pPr>
        <w:tabs>
          <w:tab w:val="left" w:pos="851"/>
        </w:tabs>
        <w:spacing w:before="0"/>
        <w:ind w:left="850" w:hanging="425"/>
        <w:outlineLvl w:val="8"/>
      </w:pPr>
      <w:r w:rsidRPr="001250D9">
        <w:t>15.</w:t>
      </w:r>
      <w:r w:rsidRPr="001250D9">
        <w:tab/>
        <w:t>Opatření k obnově porostů s nevhodnou nebo náhradní dřevinnou skladbou.</w:t>
      </w:r>
    </w:p>
    <w:p w14:paraId="6CEAF6DD" w14:textId="0D0D6D35" w:rsidR="00B65A23" w:rsidRDefault="00B65A23">
      <w:r>
        <w:br w:type="page"/>
      </w:r>
    </w:p>
    <w:p w14:paraId="18612487" w14:textId="7E844CBC" w:rsidR="00AF7BA5" w:rsidRDefault="00AF7BA5" w:rsidP="00B65A23">
      <w:pPr>
        <w:pStyle w:val="Odstavecseseznamem"/>
        <w:tabs>
          <w:tab w:val="left" w:pos="851"/>
        </w:tabs>
        <w:spacing w:before="120" w:after="120"/>
        <w:ind w:left="0" w:firstLine="0"/>
        <w:jc w:val="center"/>
        <w:outlineLvl w:val="0"/>
        <w:rPr>
          <w:szCs w:val="24"/>
        </w:rPr>
      </w:pPr>
      <w:r w:rsidRPr="001E28AB">
        <w:rPr>
          <w:b/>
          <w:szCs w:val="24"/>
        </w:rPr>
        <w:lastRenderedPageBreak/>
        <w:t xml:space="preserve">K části dvacáté </w:t>
      </w:r>
      <w:r w:rsidR="001E28AB" w:rsidRPr="001E28AB">
        <w:rPr>
          <w:b/>
          <w:szCs w:val="24"/>
        </w:rPr>
        <w:t>třetí</w:t>
      </w:r>
      <w:r w:rsidRPr="001E28AB">
        <w:rPr>
          <w:b/>
          <w:szCs w:val="24"/>
        </w:rPr>
        <w:t xml:space="preserve"> návrhu zákona – </w:t>
      </w:r>
      <w:r w:rsidRPr="001E28AB">
        <w:rPr>
          <w:szCs w:val="24"/>
        </w:rPr>
        <w:t>změna zákona o České národní bance</w:t>
      </w:r>
    </w:p>
    <w:p w14:paraId="61C3036B" w14:textId="77777777" w:rsidR="00AF7BA5" w:rsidRPr="00383BB6" w:rsidRDefault="00AF7BA5" w:rsidP="00AF7BA5">
      <w:pPr>
        <w:pStyle w:val="Odstavecseseznamem"/>
        <w:tabs>
          <w:tab w:val="left" w:pos="851"/>
        </w:tabs>
        <w:spacing w:before="120" w:after="120"/>
        <w:ind w:left="0" w:firstLine="0"/>
        <w:outlineLvl w:val="0"/>
        <w:rPr>
          <w:b/>
          <w:szCs w:val="24"/>
        </w:rPr>
      </w:pPr>
    </w:p>
    <w:p w14:paraId="1166F871" w14:textId="040C2B9F" w:rsidR="00AF7BA5" w:rsidRPr="00383BB6" w:rsidRDefault="00AF7BA5" w:rsidP="00AF7BA5">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383BB6">
        <w:rPr>
          <w:b/>
          <w:szCs w:val="24"/>
        </w:rPr>
        <w:t>Platné znění</w:t>
      </w:r>
      <w:r w:rsidRPr="00383BB6">
        <w:rPr>
          <w:szCs w:val="24"/>
        </w:rPr>
        <w:t xml:space="preserve"> zákona </w:t>
      </w:r>
      <w:r w:rsidRPr="00383BB6">
        <w:rPr>
          <w:color w:val="000000"/>
          <w:szCs w:val="24"/>
        </w:rPr>
        <w:t>č. </w:t>
      </w:r>
      <w:r>
        <w:rPr>
          <w:color w:val="000000"/>
          <w:szCs w:val="24"/>
        </w:rPr>
        <w:t>6</w:t>
      </w:r>
      <w:r w:rsidRPr="00383BB6">
        <w:rPr>
          <w:color w:val="000000"/>
          <w:szCs w:val="24"/>
        </w:rPr>
        <w:t>/199</w:t>
      </w:r>
      <w:r>
        <w:rPr>
          <w:color w:val="000000"/>
          <w:szCs w:val="24"/>
        </w:rPr>
        <w:t>3</w:t>
      </w:r>
      <w:r w:rsidRPr="00383BB6">
        <w:rPr>
          <w:color w:val="000000"/>
          <w:szCs w:val="24"/>
        </w:rPr>
        <w:t xml:space="preserve"> Sb., </w:t>
      </w:r>
      <w:r w:rsidRPr="00AF7BA5">
        <w:rPr>
          <w:szCs w:val="24"/>
        </w:rPr>
        <w:t>o České národní bance</w:t>
      </w:r>
    </w:p>
    <w:p w14:paraId="7C7D1231" w14:textId="77777777" w:rsidR="00B65A23" w:rsidRPr="00A06781" w:rsidRDefault="00B65A23" w:rsidP="00B65A23">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b/>
          <w:szCs w:val="24"/>
        </w:rPr>
      </w:pPr>
      <w:r w:rsidRPr="00A06781">
        <w:rPr>
          <w:b/>
          <w:szCs w:val="24"/>
        </w:rPr>
        <w:t>s vyznačením navrhovaných změn a doplnění k 1. lednu 2025</w:t>
      </w:r>
    </w:p>
    <w:p w14:paraId="4136F8B5" w14:textId="77777777" w:rsidR="00AF7BA5" w:rsidRDefault="00AF7BA5" w:rsidP="00AF7BA5">
      <w:pPr>
        <w:pStyle w:val="Textparagrafu"/>
        <w:tabs>
          <w:tab w:val="left" w:pos="392"/>
        </w:tabs>
        <w:ind w:firstLine="0"/>
        <w:jc w:val="center"/>
      </w:pPr>
      <w:r>
        <w:t>***</w:t>
      </w:r>
    </w:p>
    <w:p w14:paraId="3CCE4ECF" w14:textId="77777777" w:rsidR="001E28AB" w:rsidRPr="005244D0" w:rsidRDefault="001E28AB" w:rsidP="001E28AB">
      <w:pPr>
        <w:pStyle w:val="Paragraf"/>
      </w:pPr>
      <w:r w:rsidRPr="005244D0">
        <w:t xml:space="preserve">§ 5 </w:t>
      </w:r>
    </w:p>
    <w:p w14:paraId="51B2229B" w14:textId="77777777" w:rsidR="001E28AB" w:rsidRPr="008E3135" w:rsidRDefault="001E28AB" w:rsidP="001E28AB">
      <w:pPr>
        <w:pStyle w:val="PZTextodstavce"/>
      </w:pPr>
      <w:r w:rsidRPr="008E3135">
        <w:t xml:space="preserve">(1) Nejvyšším řídícím orgánem České národní banky je bankovní rada České národní banky (dále jen "bankovní rada"). Bankovní rada určuje měnovou a </w:t>
      </w:r>
      <w:proofErr w:type="spellStart"/>
      <w:r w:rsidRPr="008E3135">
        <w:t>makroobezřetnostní</w:t>
      </w:r>
      <w:proofErr w:type="spellEnd"/>
      <w:r w:rsidRPr="008E3135">
        <w:t xml:space="preserve"> politiku a nástroje pro jejich uskutečňování. Rozhoduje o zásadních opatřeních měnové a </w:t>
      </w:r>
      <w:proofErr w:type="spellStart"/>
      <w:r w:rsidRPr="008E3135">
        <w:t>makroobezřetnostní</w:t>
      </w:r>
      <w:proofErr w:type="spellEnd"/>
      <w:r w:rsidRPr="008E3135">
        <w:t xml:space="preserve"> politiky, v oblasti dohledu nad finančním trhem a v oblasti řešení krize na finančním trhu.</w:t>
      </w:r>
    </w:p>
    <w:p w14:paraId="39E6721F" w14:textId="77777777" w:rsidR="001E28AB" w:rsidRPr="008E3135" w:rsidRDefault="001E28AB" w:rsidP="001E28AB">
      <w:pPr>
        <w:pStyle w:val="PZTextodstavce"/>
      </w:pPr>
      <w:r w:rsidRPr="008E3135">
        <w:t>(2) Bankovní rada dále zejména</w:t>
      </w:r>
    </w:p>
    <w:p w14:paraId="58B4D29F" w14:textId="77777777" w:rsidR="001E28AB" w:rsidRPr="005244D0" w:rsidRDefault="001E28AB" w:rsidP="001E28AB">
      <w:pPr>
        <w:tabs>
          <w:tab w:val="left" w:pos="425"/>
          <w:tab w:val="left" w:pos="851"/>
        </w:tabs>
        <w:spacing w:before="0"/>
        <w:ind w:left="425" w:hanging="425"/>
        <w:rPr>
          <w:szCs w:val="24"/>
        </w:rPr>
      </w:pPr>
      <w:r w:rsidRPr="005244D0">
        <w:rPr>
          <w:szCs w:val="24"/>
        </w:rPr>
        <w:t>a)</w:t>
      </w:r>
      <w:r w:rsidRPr="005244D0">
        <w:rPr>
          <w:szCs w:val="24"/>
        </w:rPr>
        <w:tab/>
        <w:t>stanoví zásady činnosti a obchodů České národní banky;</w:t>
      </w:r>
    </w:p>
    <w:p w14:paraId="2C0102EB" w14:textId="77777777" w:rsidR="001E28AB" w:rsidRPr="008E3135" w:rsidRDefault="001E28AB" w:rsidP="001E28AB">
      <w:pPr>
        <w:tabs>
          <w:tab w:val="left" w:pos="425"/>
          <w:tab w:val="left" w:pos="851"/>
        </w:tabs>
        <w:spacing w:before="0"/>
        <w:ind w:left="425" w:hanging="425"/>
      </w:pPr>
      <w:r w:rsidRPr="005244D0">
        <w:rPr>
          <w:szCs w:val="24"/>
        </w:rPr>
        <w:t>b)</w:t>
      </w:r>
      <w:r w:rsidRPr="005244D0">
        <w:rPr>
          <w:szCs w:val="24"/>
        </w:rPr>
        <w:tab/>
        <w:t>schvaluje</w:t>
      </w:r>
      <w:r w:rsidRPr="008E3135">
        <w:t xml:space="preserve"> </w:t>
      </w:r>
      <w:r w:rsidRPr="005244D0">
        <w:rPr>
          <w:szCs w:val="24"/>
        </w:rPr>
        <w:t xml:space="preserve">rozpočet </w:t>
      </w:r>
      <w:r w:rsidRPr="005244D0">
        <w:rPr>
          <w:b/>
          <w:szCs w:val="24"/>
        </w:rPr>
        <w:t xml:space="preserve">a účetní závěrku </w:t>
      </w:r>
      <w:r w:rsidRPr="005244D0">
        <w:rPr>
          <w:szCs w:val="24"/>
        </w:rPr>
        <w:t>České národní banky,</w:t>
      </w:r>
    </w:p>
    <w:p w14:paraId="3DD9AD17" w14:textId="77777777" w:rsidR="001E28AB" w:rsidRPr="005244D0" w:rsidRDefault="001E28AB" w:rsidP="001E28AB">
      <w:pPr>
        <w:tabs>
          <w:tab w:val="left" w:pos="425"/>
          <w:tab w:val="left" w:pos="851"/>
        </w:tabs>
        <w:spacing w:before="0"/>
        <w:ind w:left="425" w:hanging="425"/>
        <w:rPr>
          <w:szCs w:val="24"/>
        </w:rPr>
      </w:pPr>
      <w:r w:rsidRPr="005244D0">
        <w:rPr>
          <w:szCs w:val="24"/>
        </w:rPr>
        <w:t>c)</w:t>
      </w:r>
      <w:r w:rsidRPr="005244D0">
        <w:rPr>
          <w:szCs w:val="24"/>
        </w:rPr>
        <w:tab/>
        <w:t>stanoví organizační uspořádání a působnost organizačních jednotek České národní banky;</w:t>
      </w:r>
    </w:p>
    <w:p w14:paraId="62D21C47" w14:textId="77777777" w:rsidR="001E28AB" w:rsidRPr="005244D0" w:rsidRDefault="001E28AB" w:rsidP="001E28AB">
      <w:pPr>
        <w:tabs>
          <w:tab w:val="left" w:pos="425"/>
          <w:tab w:val="left" w:pos="851"/>
        </w:tabs>
        <w:spacing w:before="0"/>
        <w:ind w:left="425" w:hanging="425"/>
        <w:rPr>
          <w:szCs w:val="24"/>
        </w:rPr>
      </w:pPr>
      <w:r w:rsidRPr="005244D0">
        <w:rPr>
          <w:szCs w:val="24"/>
        </w:rPr>
        <w:t>d)</w:t>
      </w:r>
      <w:r w:rsidRPr="005244D0">
        <w:rPr>
          <w:szCs w:val="24"/>
        </w:rPr>
        <w:tab/>
        <w:t>stanoví druhy fondů České národní banky, jejich výši a použití;</w:t>
      </w:r>
    </w:p>
    <w:p w14:paraId="3193B03A" w14:textId="77777777" w:rsidR="001E28AB" w:rsidRPr="005244D0" w:rsidRDefault="001E28AB" w:rsidP="001E28AB">
      <w:pPr>
        <w:tabs>
          <w:tab w:val="left" w:pos="425"/>
          <w:tab w:val="left" w:pos="851"/>
        </w:tabs>
        <w:spacing w:before="0"/>
        <w:ind w:left="425" w:hanging="425"/>
        <w:rPr>
          <w:szCs w:val="24"/>
        </w:rPr>
      </w:pPr>
      <w:r w:rsidRPr="005244D0">
        <w:rPr>
          <w:szCs w:val="24"/>
        </w:rPr>
        <w:t>e)</w:t>
      </w:r>
      <w:r w:rsidRPr="005244D0">
        <w:rPr>
          <w:szCs w:val="24"/>
        </w:rPr>
        <w:tab/>
        <w:t>vykonává práva a povinnosti vyplývající z pracovněprávních vztahů vůči zaměstnancům České národní banky; těmito úkony může pověřit jiné osoby z řad zaměstnanců,</w:t>
      </w:r>
    </w:p>
    <w:p w14:paraId="09DC7225" w14:textId="77777777" w:rsidR="001E28AB" w:rsidRPr="005244D0" w:rsidRDefault="001E28AB" w:rsidP="001E28AB">
      <w:pPr>
        <w:tabs>
          <w:tab w:val="left" w:pos="425"/>
          <w:tab w:val="left" w:pos="851"/>
        </w:tabs>
        <w:spacing w:before="0"/>
        <w:ind w:left="425" w:hanging="425"/>
        <w:rPr>
          <w:szCs w:val="24"/>
        </w:rPr>
      </w:pPr>
      <w:r w:rsidRPr="005244D0">
        <w:rPr>
          <w:szCs w:val="24"/>
        </w:rPr>
        <w:t>f)</w:t>
      </w:r>
      <w:r w:rsidRPr="005244D0">
        <w:rPr>
          <w:szCs w:val="24"/>
        </w:rPr>
        <w:tab/>
        <w:t>uděluje souhlas k podnikatelské činnosti zaměstnanců České národní banky,</w:t>
      </w:r>
    </w:p>
    <w:p w14:paraId="6913BD72" w14:textId="77777777" w:rsidR="001E28AB" w:rsidRPr="005244D0" w:rsidRDefault="001E28AB" w:rsidP="001E28AB">
      <w:pPr>
        <w:tabs>
          <w:tab w:val="left" w:pos="425"/>
          <w:tab w:val="left" w:pos="851"/>
        </w:tabs>
        <w:spacing w:before="0"/>
        <w:ind w:left="425" w:hanging="425"/>
        <w:rPr>
          <w:szCs w:val="24"/>
        </w:rPr>
      </w:pPr>
      <w:r w:rsidRPr="005244D0">
        <w:rPr>
          <w:szCs w:val="24"/>
        </w:rPr>
        <w:t>g)</w:t>
      </w:r>
      <w:r w:rsidRPr="005244D0">
        <w:rPr>
          <w:szCs w:val="24"/>
        </w:rPr>
        <w:tab/>
        <w:t>stanoví mzdové a další požitky guvernéra; mzdové a další požitky viceguvernérů a dalších členů bankovní rady stanoví guvernér,</w:t>
      </w:r>
    </w:p>
    <w:p w14:paraId="3557AD9C" w14:textId="77777777" w:rsidR="001E28AB" w:rsidRPr="005244D0" w:rsidRDefault="001E28AB" w:rsidP="001E28AB">
      <w:pPr>
        <w:tabs>
          <w:tab w:val="left" w:pos="425"/>
          <w:tab w:val="left" w:pos="851"/>
        </w:tabs>
        <w:spacing w:before="0"/>
        <w:ind w:left="425" w:hanging="425"/>
        <w:rPr>
          <w:szCs w:val="24"/>
        </w:rPr>
      </w:pPr>
      <w:r w:rsidRPr="005244D0">
        <w:rPr>
          <w:szCs w:val="24"/>
        </w:rPr>
        <w:t>h)</w:t>
      </w:r>
      <w:r w:rsidRPr="005244D0">
        <w:rPr>
          <w:szCs w:val="24"/>
        </w:rPr>
        <w:tab/>
        <w:t>rozhoduje o rozkladech proti rozhodnutím České národní banky v prvním stupni.</w:t>
      </w:r>
    </w:p>
    <w:p w14:paraId="7FAC026C" w14:textId="77777777" w:rsidR="001E28AB" w:rsidRDefault="001E28AB" w:rsidP="001E28AB">
      <w:pPr>
        <w:pStyle w:val="Paragraf"/>
      </w:pPr>
      <w:r>
        <w:t>***</w:t>
      </w:r>
    </w:p>
    <w:p w14:paraId="04E5F7C0" w14:textId="77777777" w:rsidR="001E28AB" w:rsidRPr="005244D0" w:rsidRDefault="001E28AB" w:rsidP="001E28AB">
      <w:pPr>
        <w:pStyle w:val="Paragraf"/>
      </w:pPr>
      <w:r w:rsidRPr="005244D0">
        <w:t>§ 48</w:t>
      </w:r>
    </w:p>
    <w:p w14:paraId="055E46D0" w14:textId="77777777" w:rsidR="001E28AB" w:rsidRPr="00F21597" w:rsidRDefault="001E28AB" w:rsidP="001E28AB">
      <w:pPr>
        <w:pStyle w:val="PZTextodstavce"/>
        <w:rPr>
          <w:strike/>
        </w:rPr>
      </w:pPr>
      <w:r w:rsidRPr="00F21597">
        <w:rPr>
          <w:strike/>
        </w:rPr>
        <w:t>(1) Česká národní banka vede účetnictví podle jiného právního předpisu.</w:t>
      </w:r>
      <w:r>
        <w:rPr>
          <w:rStyle w:val="Znakapoznpodarou"/>
          <w:strike/>
        </w:rPr>
        <w:footnoteReference w:customMarkFollows="1" w:id="206"/>
        <w:t>12a)</w:t>
      </w:r>
    </w:p>
    <w:p w14:paraId="0CCF46AC" w14:textId="77777777" w:rsidR="001E28AB" w:rsidRDefault="001E28AB" w:rsidP="001E28AB">
      <w:pPr>
        <w:pStyle w:val="PZTextodstavce"/>
        <w:rPr>
          <w:strike/>
          <w:szCs w:val="24"/>
        </w:rPr>
      </w:pPr>
      <w:r>
        <w:rPr>
          <w:strike/>
          <w:szCs w:val="24"/>
        </w:rPr>
        <w:t>(2)</w:t>
      </w:r>
      <w:r>
        <w:rPr>
          <w:strike/>
          <w:szCs w:val="24"/>
        </w:rPr>
        <w:tab/>
      </w:r>
      <w:r w:rsidRPr="00D43741">
        <w:rPr>
          <w:strike/>
          <w:szCs w:val="24"/>
        </w:rPr>
        <w:t xml:space="preserve">Účetní závěrka České národní banky je ověřována jedním nebo více auditory, kteří jsou určeni po dohodě bankovní rady s ministrem financí. </w:t>
      </w:r>
    </w:p>
    <w:p w14:paraId="06D6F54D" w14:textId="77777777" w:rsidR="001E28AB" w:rsidRPr="001019E5" w:rsidRDefault="001E28AB" w:rsidP="001E28AB">
      <w:pPr>
        <w:pStyle w:val="PZTextodstavce"/>
        <w:rPr>
          <w:strike/>
        </w:rPr>
      </w:pPr>
      <w:r>
        <w:rPr>
          <w:strike/>
        </w:rPr>
        <w:t>(3)</w:t>
      </w:r>
      <w:r>
        <w:rPr>
          <w:strike/>
        </w:rPr>
        <w:tab/>
      </w:r>
      <w:r w:rsidRPr="001019E5">
        <w:rPr>
          <w:strike/>
        </w:rPr>
        <w:t xml:space="preserve">Jakmile je účetní závěrka schválena a ověřena auditory, bankovní rada ji předá Poslanecké sněmovně a uveřejní způsobem umožňujícím dálkový přístup. </w:t>
      </w:r>
    </w:p>
    <w:p w14:paraId="7F8D4304" w14:textId="77777777" w:rsidR="001E28AB" w:rsidRDefault="001E28AB" w:rsidP="001E28AB">
      <w:pPr>
        <w:pStyle w:val="PZTextodstavce"/>
        <w:rPr>
          <w:b/>
        </w:rPr>
      </w:pPr>
      <w:r>
        <w:rPr>
          <w:b/>
        </w:rPr>
        <w:t>(1)</w:t>
      </w:r>
      <w:r>
        <w:rPr>
          <w:b/>
        </w:rPr>
        <w:tab/>
      </w:r>
      <w:r w:rsidRPr="00D43741">
        <w:rPr>
          <w:b/>
        </w:rPr>
        <w:t xml:space="preserve">Česká národní banka </w:t>
      </w:r>
      <w:r>
        <w:rPr>
          <w:b/>
        </w:rPr>
        <w:t>má povinnost auditu účetní závěrky, a to</w:t>
      </w:r>
      <w:r w:rsidRPr="00D43741">
        <w:rPr>
          <w:b/>
        </w:rPr>
        <w:t xml:space="preserve"> auditorem, kterého bankovní rada určí po dohodě s ministrem financí.</w:t>
      </w:r>
    </w:p>
    <w:p w14:paraId="6950EB8F" w14:textId="77777777" w:rsidR="001E28AB" w:rsidRPr="002625A4" w:rsidRDefault="001E28AB" w:rsidP="001E28AB">
      <w:pPr>
        <w:pStyle w:val="PZTextodstavce"/>
        <w:rPr>
          <w:b/>
        </w:rPr>
      </w:pPr>
      <w:r w:rsidRPr="002625A4">
        <w:rPr>
          <w:b/>
        </w:rPr>
        <w:t xml:space="preserve">(2) Česká národní banka vyhotovuje individuální zprávu vedení. </w:t>
      </w:r>
    </w:p>
    <w:p w14:paraId="6069B792" w14:textId="77777777" w:rsidR="001E28AB" w:rsidRPr="002625A4" w:rsidRDefault="001E28AB" w:rsidP="001E28AB">
      <w:pPr>
        <w:pStyle w:val="PZTextodstavce"/>
        <w:rPr>
          <w:b/>
          <w:szCs w:val="24"/>
        </w:rPr>
      </w:pPr>
      <w:r w:rsidRPr="002625A4">
        <w:rPr>
          <w:b/>
          <w:szCs w:val="24"/>
        </w:rPr>
        <w:t xml:space="preserve">(3) Česká národní banka uveřejní svou řádnou individuální </w:t>
      </w:r>
      <w:r>
        <w:rPr>
          <w:b/>
          <w:szCs w:val="24"/>
        </w:rPr>
        <w:t>účetní závěrku, individuální</w:t>
      </w:r>
      <w:r w:rsidRPr="002625A4">
        <w:rPr>
          <w:b/>
          <w:szCs w:val="24"/>
        </w:rPr>
        <w:t xml:space="preserve"> zprávu</w:t>
      </w:r>
      <w:r>
        <w:rPr>
          <w:b/>
          <w:szCs w:val="24"/>
        </w:rPr>
        <w:t xml:space="preserve"> vedení a zprávu auditora o povinném auditu</w:t>
      </w:r>
      <w:r w:rsidRPr="002625A4">
        <w:rPr>
          <w:b/>
          <w:szCs w:val="24"/>
        </w:rPr>
        <w:t xml:space="preserve"> na internetových stránkách a předá </w:t>
      </w:r>
      <w:r>
        <w:rPr>
          <w:b/>
          <w:szCs w:val="24"/>
        </w:rPr>
        <w:t>je</w:t>
      </w:r>
      <w:r w:rsidRPr="002625A4">
        <w:rPr>
          <w:b/>
          <w:szCs w:val="24"/>
        </w:rPr>
        <w:t xml:space="preserve"> Poslanecké sněmovně. </w:t>
      </w:r>
    </w:p>
    <w:p w14:paraId="52B44816" w14:textId="77777777" w:rsidR="001E28AB" w:rsidRPr="00D43741" w:rsidRDefault="001E28AB" w:rsidP="001E28AB">
      <w:pPr>
        <w:pStyle w:val="PZTextodstavce"/>
        <w:rPr>
          <w:strike/>
        </w:rPr>
      </w:pPr>
      <w:r w:rsidRPr="00D43741">
        <w:rPr>
          <w:strike/>
        </w:rPr>
        <w:t xml:space="preserve">(4) Česká národní banka každoročně uveřejňuje výroční zprávu způsobem umožňujícím dálkový přístup. </w:t>
      </w:r>
    </w:p>
    <w:p w14:paraId="693E4AFB" w14:textId="77777777" w:rsidR="001E28AB" w:rsidRDefault="001E28AB" w:rsidP="001E28AB">
      <w:pPr>
        <w:pStyle w:val="PZTextodstavce"/>
      </w:pPr>
      <w:proofErr w:type="gramStart"/>
      <w:r w:rsidRPr="00914ACD">
        <w:rPr>
          <w:strike/>
        </w:rPr>
        <w:lastRenderedPageBreak/>
        <w:t>(5)</w:t>
      </w:r>
      <w:r w:rsidRPr="00914ACD">
        <w:rPr>
          <w:b/>
        </w:rPr>
        <w:t>(4)</w:t>
      </w:r>
      <w:r>
        <w:rPr>
          <w:b/>
        </w:rPr>
        <w:t xml:space="preserve"> </w:t>
      </w:r>
      <w:r w:rsidRPr="00754E78">
        <w:t>Česká</w:t>
      </w:r>
      <w:proofErr w:type="gramEnd"/>
      <w:r w:rsidRPr="00754E78">
        <w:t xml:space="preserve"> národní banka uveřejňuje dekádní výkaz o své finanční pozici způsobem umožňujícím dálkový přístup.</w:t>
      </w:r>
    </w:p>
    <w:p w14:paraId="74F01902" w14:textId="34A51974" w:rsidR="00AF7BA5" w:rsidRDefault="00AF7BA5" w:rsidP="00AF7BA5">
      <w:pPr>
        <w:pStyle w:val="Textparagrafu"/>
        <w:tabs>
          <w:tab w:val="left" w:pos="392"/>
        </w:tabs>
        <w:ind w:firstLine="0"/>
        <w:jc w:val="center"/>
      </w:pPr>
    </w:p>
    <w:p w14:paraId="789FF0E8" w14:textId="77777777" w:rsidR="007412E3" w:rsidRDefault="007412E3" w:rsidP="00223B5D">
      <w:pPr>
        <w:pStyle w:val="Textparagrafu"/>
        <w:tabs>
          <w:tab w:val="left" w:pos="392"/>
        </w:tabs>
        <w:ind w:firstLine="0"/>
        <w:jc w:val="center"/>
        <w:sectPr w:rsidR="007412E3" w:rsidSect="00084391">
          <w:footnotePr>
            <w:numStart w:val="3"/>
          </w:footnotePr>
          <w:endnotePr>
            <w:numFmt w:val="decimal"/>
          </w:endnotePr>
          <w:pgSz w:w="11906" w:h="16838"/>
          <w:pgMar w:top="1418" w:right="1418" w:bottom="1418" w:left="1418" w:header="709" w:footer="709" w:gutter="0"/>
          <w:cols w:space="708"/>
          <w:docGrid w:linePitch="360"/>
        </w:sectPr>
      </w:pPr>
    </w:p>
    <w:p w14:paraId="4049E1FD" w14:textId="1C8A6A76" w:rsidR="00CE0DEB" w:rsidRPr="00CE0DEB" w:rsidRDefault="00CE0DEB" w:rsidP="00B65A23">
      <w:pPr>
        <w:pStyle w:val="Odstavecseseznamem"/>
        <w:tabs>
          <w:tab w:val="left" w:pos="851"/>
        </w:tabs>
        <w:spacing w:before="120" w:after="120"/>
        <w:ind w:left="0" w:firstLine="0"/>
        <w:jc w:val="center"/>
        <w:outlineLvl w:val="0"/>
        <w:rPr>
          <w:szCs w:val="24"/>
        </w:rPr>
      </w:pPr>
      <w:r w:rsidRPr="00B65A23">
        <w:rPr>
          <w:b/>
          <w:szCs w:val="24"/>
        </w:rPr>
        <w:lastRenderedPageBreak/>
        <w:t xml:space="preserve">K části dvacáté </w:t>
      </w:r>
      <w:r w:rsidR="001E28AB" w:rsidRPr="00B65A23">
        <w:rPr>
          <w:b/>
          <w:szCs w:val="24"/>
        </w:rPr>
        <w:t>čtvrté</w:t>
      </w:r>
      <w:r w:rsidRPr="00B65A23">
        <w:rPr>
          <w:b/>
          <w:szCs w:val="24"/>
        </w:rPr>
        <w:t xml:space="preserve"> návrhu zákona – </w:t>
      </w:r>
      <w:r w:rsidRPr="00B65A23">
        <w:rPr>
          <w:szCs w:val="24"/>
        </w:rPr>
        <w:t>změna zákona o Nejvyšším kontrolním úřadu</w:t>
      </w:r>
    </w:p>
    <w:p w14:paraId="6D6F74E8" w14:textId="77777777" w:rsidR="00CE0DEB" w:rsidRPr="00383BB6" w:rsidRDefault="00CE0DEB" w:rsidP="00CE0DEB">
      <w:pPr>
        <w:pStyle w:val="Odstavecseseznamem"/>
        <w:tabs>
          <w:tab w:val="left" w:pos="851"/>
        </w:tabs>
        <w:spacing w:before="120" w:after="120"/>
        <w:ind w:left="0" w:firstLine="0"/>
        <w:outlineLvl w:val="0"/>
        <w:rPr>
          <w:b/>
          <w:szCs w:val="24"/>
        </w:rPr>
      </w:pPr>
    </w:p>
    <w:p w14:paraId="67E4EBDA" w14:textId="0DFF96DA" w:rsidR="00CE0DEB" w:rsidRPr="00383BB6" w:rsidRDefault="00CE0DEB" w:rsidP="00CE0DEB">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383BB6">
        <w:rPr>
          <w:b/>
          <w:szCs w:val="24"/>
        </w:rPr>
        <w:t>Platné znění</w:t>
      </w:r>
      <w:r w:rsidRPr="00383BB6">
        <w:rPr>
          <w:szCs w:val="24"/>
        </w:rPr>
        <w:t xml:space="preserve"> zákona </w:t>
      </w:r>
      <w:r w:rsidRPr="00383BB6">
        <w:rPr>
          <w:color w:val="000000"/>
          <w:szCs w:val="24"/>
        </w:rPr>
        <w:t>č. </w:t>
      </w:r>
      <w:r>
        <w:rPr>
          <w:color w:val="000000"/>
          <w:szCs w:val="24"/>
        </w:rPr>
        <w:t>166</w:t>
      </w:r>
      <w:r w:rsidRPr="00383BB6">
        <w:rPr>
          <w:color w:val="000000"/>
          <w:szCs w:val="24"/>
        </w:rPr>
        <w:t>/199</w:t>
      </w:r>
      <w:r>
        <w:rPr>
          <w:color w:val="000000"/>
          <w:szCs w:val="24"/>
        </w:rPr>
        <w:t>3</w:t>
      </w:r>
      <w:r w:rsidRPr="00383BB6">
        <w:rPr>
          <w:color w:val="000000"/>
          <w:szCs w:val="24"/>
        </w:rPr>
        <w:t xml:space="preserve"> Sb., </w:t>
      </w:r>
      <w:r w:rsidRPr="00CE0DEB">
        <w:rPr>
          <w:szCs w:val="24"/>
        </w:rPr>
        <w:t>o Nejvyšším kontrolním úřadu</w:t>
      </w:r>
    </w:p>
    <w:p w14:paraId="5980819F" w14:textId="77777777" w:rsidR="00B65A23" w:rsidRPr="00A06781" w:rsidRDefault="00B65A23" w:rsidP="00B65A23">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b/>
          <w:szCs w:val="24"/>
        </w:rPr>
      </w:pPr>
      <w:r w:rsidRPr="00A06781">
        <w:rPr>
          <w:b/>
          <w:szCs w:val="24"/>
        </w:rPr>
        <w:t>s vyznačením navrhovaných změn a doplnění k 1. lednu 2025</w:t>
      </w:r>
    </w:p>
    <w:p w14:paraId="35E4BF26" w14:textId="77777777" w:rsidR="00CE0DEB" w:rsidRDefault="00CE0DEB" w:rsidP="00CE0DEB">
      <w:pPr>
        <w:pStyle w:val="Textparagrafu"/>
        <w:tabs>
          <w:tab w:val="left" w:pos="392"/>
        </w:tabs>
        <w:ind w:firstLine="0"/>
        <w:jc w:val="center"/>
      </w:pPr>
      <w:r>
        <w:t>***</w:t>
      </w:r>
    </w:p>
    <w:p w14:paraId="2F4F79EC" w14:textId="77777777" w:rsidR="001E28AB" w:rsidRDefault="001E28AB" w:rsidP="001E28AB">
      <w:pPr>
        <w:pStyle w:val="Paragraf"/>
        <w:numPr>
          <w:ilvl w:val="0"/>
          <w:numId w:val="29"/>
        </w:numPr>
        <w:spacing w:before="120"/>
      </w:pPr>
      <w:r>
        <w:t xml:space="preserve">§ 5 </w:t>
      </w:r>
    </w:p>
    <w:p w14:paraId="170517AC" w14:textId="77777777" w:rsidR="001E28AB" w:rsidRDefault="001E28AB" w:rsidP="001E28AB">
      <w:pPr>
        <w:pStyle w:val="PZTextodstavce"/>
      </w:pPr>
      <w:r>
        <w:t>(1) Úřad zpracovává a předkládá Poslanecké sněmovně stanovisko ke zprávě o vývoji ekonomiky a plnění státního rozpočtu a k návrhu státního závěrečného účtu, včetně seznamu kontrolních závěrů, které byly podkladem pro toto stanovisko.</w:t>
      </w:r>
    </w:p>
    <w:p w14:paraId="3969D928" w14:textId="77777777" w:rsidR="001E28AB" w:rsidRDefault="001E28AB" w:rsidP="001E28AB">
      <w:pPr>
        <w:pStyle w:val="PZTextodstavce"/>
      </w:pPr>
      <w:r>
        <w:t xml:space="preserve">(2) Stanovisko ke zprávě o vývoji ekonomiky a plnění státního rozpočtu předkládá Úřad Poslanecké sněmovně ve lhůtě do 1 měsíce ode dne předložení této zprávy </w:t>
      </w:r>
      <w:r w:rsidRPr="0064145A">
        <w:rPr>
          <w:strike/>
        </w:rPr>
        <w:t>Poslanecké sněmovně</w:t>
      </w:r>
      <w:r>
        <w:t xml:space="preserve"> </w:t>
      </w:r>
      <w:r>
        <w:rPr>
          <w:b/>
        </w:rPr>
        <w:t>rozpočtovému výboru Poslanecké sněmovny</w:t>
      </w:r>
      <w:r>
        <w:t xml:space="preserve"> vládou.</w:t>
      </w:r>
    </w:p>
    <w:p w14:paraId="2CBCABCC" w14:textId="77777777" w:rsidR="001E28AB" w:rsidRDefault="001E28AB" w:rsidP="001E28AB">
      <w:pPr>
        <w:pStyle w:val="PZTextodstavce"/>
      </w:pPr>
      <w:r>
        <w:t xml:space="preserve">(3) Stanovisko k návrhu státního závěrečného účtu předkládá Úřad Poslanecké sněmovně ve lhůtě do </w:t>
      </w:r>
      <w:r w:rsidRPr="0064145A">
        <w:rPr>
          <w:strike/>
        </w:rPr>
        <w:t xml:space="preserve">4 </w:t>
      </w:r>
      <w:r>
        <w:rPr>
          <w:b/>
        </w:rPr>
        <w:t xml:space="preserve">3 </w:t>
      </w:r>
      <w:r>
        <w:t>měsíců ode dne předložení tohoto návrhu Poslanecké sněmovně vládou.</w:t>
      </w:r>
    </w:p>
    <w:p w14:paraId="5D1789E6" w14:textId="77777777" w:rsidR="001E28AB" w:rsidRDefault="001E28AB" w:rsidP="001E28AB">
      <w:pPr>
        <w:pStyle w:val="Paragraf"/>
        <w:numPr>
          <w:ilvl w:val="0"/>
          <w:numId w:val="29"/>
        </w:numPr>
        <w:spacing w:before="120"/>
      </w:pPr>
      <w:r>
        <w:t>***</w:t>
      </w:r>
    </w:p>
    <w:p w14:paraId="6B121FC2" w14:textId="77777777" w:rsidR="001E28AB" w:rsidRDefault="001E28AB" w:rsidP="001E28AB">
      <w:pPr>
        <w:pStyle w:val="Paragraf"/>
        <w:numPr>
          <w:ilvl w:val="0"/>
          <w:numId w:val="29"/>
        </w:numPr>
      </w:pPr>
      <w:r>
        <w:t>§ 13</w:t>
      </w:r>
    </w:p>
    <w:p w14:paraId="31594233" w14:textId="77777777" w:rsidR="001E28AB" w:rsidRPr="004469DB" w:rsidRDefault="001E28AB" w:rsidP="001E28AB">
      <w:pPr>
        <w:pStyle w:val="Nadpisparagrafu"/>
        <w:numPr>
          <w:ilvl w:val="0"/>
          <w:numId w:val="29"/>
        </w:numPr>
      </w:pPr>
      <w:r>
        <w:t>Kolegium Úřadu</w:t>
      </w:r>
    </w:p>
    <w:p w14:paraId="484D6795" w14:textId="69678B74" w:rsidR="001E28AB" w:rsidRDefault="001E28AB" w:rsidP="001E28AB">
      <w:pPr>
        <w:pStyle w:val="PZTextodstavce"/>
      </w:pPr>
      <w:r>
        <w:t xml:space="preserve">(1) </w:t>
      </w:r>
      <w:r w:rsidRPr="004469DB">
        <w:t>Kolegium Úřadu tvoří prezident Úřadu, viceprezident Úřadu a členové Úřadu.</w:t>
      </w:r>
    </w:p>
    <w:p w14:paraId="5C8B9CCA" w14:textId="2216C8D3" w:rsidR="001E28AB" w:rsidRDefault="001E28AB" w:rsidP="001E28AB">
      <w:pPr>
        <w:pStyle w:val="PZTextodstavce"/>
      </w:pPr>
      <w:r>
        <w:t xml:space="preserve">(2) </w:t>
      </w:r>
      <w:r w:rsidRPr="004469DB">
        <w:t>Kolegium Úřadu rozhoduje hlasováním; závěr hlasování je přijat, pokud pro něj hlasovala nadpoloviční většina přítomných členů Kolegia Úřadu. Při rovnosti hlasů rozhoduje hlas předsedajícího. Kolegium Úřadu je usnášeníschopné při účasti nadpoloviční většiny svých členů. Jednání Kolegia Úřadu se řídí jednacím řádem, který zejména obsahuje formu rozhodování, způsob hlasování a způsob zveřejnění opačného názoru.</w:t>
      </w:r>
    </w:p>
    <w:p w14:paraId="730ACD2B" w14:textId="0A077EC3" w:rsidR="001E28AB" w:rsidRDefault="001E28AB" w:rsidP="001E28AB">
      <w:pPr>
        <w:pStyle w:val="PZTextodstavce"/>
      </w:pPr>
      <w:r>
        <w:t xml:space="preserve">(3) </w:t>
      </w:r>
      <w:r w:rsidRPr="004469DB">
        <w:t>Kolegium Úřadu schvaluje</w:t>
      </w:r>
    </w:p>
    <w:p w14:paraId="006DD805" w14:textId="77777777" w:rsidR="001E28AB" w:rsidRDefault="001E28AB" w:rsidP="001E28AB">
      <w:pPr>
        <w:pStyle w:val="PZTextpsmene"/>
        <w:spacing w:before="0"/>
      </w:pPr>
      <w:r>
        <w:t>a)</w:t>
      </w:r>
      <w:r>
        <w:tab/>
        <w:t>plán kontrolní činnosti,</w:t>
      </w:r>
    </w:p>
    <w:p w14:paraId="1104F2CA" w14:textId="77777777" w:rsidR="001E28AB" w:rsidRDefault="001E28AB" w:rsidP="001E28AB">
      <w:pPr>
        <w:pStyle w:val="PZTextpsmene"/>
        <w:spacing w:before="0"/>
      </w:pPr>
      <w:r>
        <w:t>b)</w:t>
      </w:r>
      <w:r>
        <w:tab/>
        <w:t>návrh rozpočtu Úřadu předkládaný Poslanecké sněmovn</w:t>
      </w:r>
      <w:r w:rsidRPr="00166C83">
        <w:t xml:space="preserve">ě, jeho změny, rozpočtová opatření, závěrečný účet rozpočtové </w:t>
      </w:r>
      <w:r w:rsidRPr="00A56CBB">
        <w:t xml:space="preserve">kapitoly Úřadu a </w:t>
      </w:r>
      <w:r w:rsidRPr="00A56CBB">
        <w:rPr>
          <w:b/>
        </w:rPr>
        <w:t xml:space="preserve">řádnou individuální </w:t>
      </w:r>
      <w:r w:rsidRPr="00A56CBB">
        <w:t xml:space="preserve">účetní závěrku Úřadu </w:t>
      </w:r>
      <w:r w:rsidRPr="00A56CBB">
        <w:rPr>
          <w:strike/>
        </w:rPr>
        <w:t>sestavenou k rozvahovému dni</w:t>
      </w:r>
      <w:r w:rsidRPr="00A56CBB">
        <w:t>,</w:t>
      </w:r>
    </w:p>
    <w:p w14:paraId="05E2E0FE" w14:textId="77777777" w:rsidR="001E28AB" w:rsidRDefault="001E28AB" w:rsidP="001E28AB">
      <w:pPr>
        <w:pStyle w:val="PZTextpsmene"/>
        <w:spacing w:before="0"/>
      </w:pPr>
      <w:r>
        <w:t>c)</w:t>
      </w:r>
      <w:r>
        <w:tab/>
        <w:t>všechny kontrolní závěry, z nichž vychází stanovisko k návrhu státního závěrečného účtu,</w:t>
      </w:r>
    </w:p>
    <w:p w14:paraId="6BDE1253" w14:textId="77777777" w:rsidR="001E28AB" w:rsidRPr="00421AF5" w:rsidRDefault="001E28AB" w:rsidP="001E28AB">
      <w:pPr>
        <w:pStyle w:val="PZTextpsmene"/>
        <w:spacing w:before="0"/>
      </w:pPr>
      <w:r w:rsidRPr="00810C04">
        <w:t>d)</w:t>
      </w:r>
      <w:r w:rsidRPr="00810C04">
        <w:tab/>
        <w:t>výroční zprávu,</w:t>
      </w:r>
    </w:p>
    <w:p w14:paraId="4171FC7E" w14:textId="77777777" w:rsidR="001E28AB" w:rsidRDefault="001E28AB" w:rsidP="001E28AB">
      <w:pPr>
        <w:pStyle w:val="PZTextpsmene"/>
        <w:spacing w:before="0"/>
      </w:pPr>
      <w:r>
        <w:t>e)</w:t>
      </w:r>
      <w:r>
        <w:tab/>
        <w:t>kontrolní závěry, které si stanoví při schvalování plánu kontrolní činnosti nebo které mu přikáže prezident Úřadu,</w:t>
      </w:r>
    </w:p>
    <w:p w14:paraId="4CF03315" w14:textId="77777777" w:rsidR="001E28AB" w:rsidRDefault="001E28AB" w:rsidP="001E28AB">
      <w:pPr>
        <w:pStyle w:val="PZTextpsmene"/>
        <w:spacing w:before="0"/>
      </w:pPr>
      <w:r>
        <w:t>f)</w:t>
      </w:r>
      <w:r>
        <w:tab/>
        <w:t>jednací řády Kolegia Úřadu a senátů Úřadu,</w:t>
      </w:r>
    </w:p>
    <w:p w14:paraId="35E48725" w14:textId="77777777" w:rsidR="001E28AB" w:rsidRDefault="001E28AB" w:rsidP="001E28AB">
      <w:pPr>
        <w:pStyle w:val="PZTextpsmene"/>
        <w:spacing w:before="0"/>
      </w:pPr>
      <w:r>
        <w:t>g)</w:t>
      </w:r>
      <w:r>
        <w:tab/>
        <w:t>organizační řád a jeho změny,</w:t>
      </w:r>
    </w:p>
    <w:p w14:paraId="1B215A1B" w14:textId="77777777" w:rsidR="001E28AB" w:rsidRDefault="001E28AB" w:rsidP="001E28AB">
      <w:pPr>
        <w:pStyle w:val="PZTextpsmene"/>
        <w:spacing w:before="0"/>
      </w:pPr>
      <w:r>
        <w:t>h)</w:t>
      </w:r>
      <w:r>
        <w:tab/>
        <w:t>kárný řád.</w:t>
      </w:r>
    </w:p>
    <w:p w14:paraId="698A721B" w14:textId="77777777" w:rsidR="001E28AB" w:rsidRDefault="001E28AB" w:rsidP="001E28AB">
      <w:pPr>
        <w:pStyle w:val="PZTextodstavce"/>
      </w:pPr>
      <w:r>
        <w:t xml:space="preserve"> (4)</w:t>
      </w:r>
      <w:r>
        <w:tab/>
      </w:r>
      <w:r>
        <w:tab/>
      </w:r>
      <w:r w:rsidRPr="004469DB">
        <w:t>Kolegium Úřadu rozhoduje</w:t>
      </w:r>
    </w:p>
    <w:p w14:paraId="7F486DC4" w14:textId="77777777" w:rsidR="001E28AB" w:rsidRDefault="001E28AB" w:rsidP="001E28AB">
      <w:pPr>
        <w:pStyle w:val="PZTextpsmene"/>
        <w:spacing w:before="0"/>
      </w:pPr>
      <w:r>
        <w:t>a)</w:t>
      </w:r>
      <w:r>
        <w:tab/>
        <w:t>o odvolání proti rozhodnutí o námitce proti kontrolnímu protokolu,</w:t>
      </w:r>
    </w:p>
    <w:p w14:paraId="18A7F0FE" w14:textId="77777777" w:rsidR="001E28AB" w:rsidRDefault="001E28AB" w:rsidP="001E28AB">
      <w:pPr>
        <w:pStyle w:val="PZTextpsmene"/>
        <w:spacing w:before="0"/>
      </w:pPr>
      <w:r>
        <w:t>b)</w:t>
      </w:r>
      <w:r>
        <w:tab/>
        <w:t>o námitce podjatosti, pokud ji vznesla kontrolovaná osoba proti členu Úřadu; takový člen Úřadu je z hlasování o námitce podjatosti vyloučen.</w:t>
      </w:r>
    </w:p>
    <w:p w14:paraId="7DD4EC41" w14:textId="77777777" w:rsidR="001E28AB" w:rsidRDefault="001E28AB" w:rsidP="001E28AB">
      <w:pPr>
        <w:pStyle w:val="PZTextodstavce"/>
      </w:pPr>
      <w:r>
        <w:lastRenderedPageBreak/>
        <w:t>(5)</w:t>
      </w:r>
      <w:r>
        <w:tab/>
        <w:t>Kolegium Úřadu projednává návrh pracovního řádu Úřadu, předkládaný prezidentem Úřadu a doporučuje mu jeho schválení.</w:t>
      </w:r>
    </w:p>
    <w:p w14:paraId="6C786B5A" w14:textId="77777777" w:rsidR="001E28AB" w:rsidRDefault="001E28AB" w:rsidP="001E28AB">
      <w:pPr>
        <w:pStyle w:val="Paragraf"/>
        <w:numPr>
          <w:ilvl w:val="0"/>
          <w:numId w:val="29"/>
        </w:numPr>
        <w:spacing w:before="120"/>
      </w:pPr>
      <w:r>
        <w:t>***</w:t>
      </w:r>
    </w:p>
    <w:p w14:paraId="62BB51B5" w14:textId="77777777" w:rsidR="001E28AB" w:rsidRDefault="001E28AB" w:rsidP="001E28AB">
      <w:pPr>
        <w:pStyle w:val="Paragraf"/>
        <w:numPr>
          <w:ilvl w:val="0"/>
          <w:numId w:val="29"/>
        </w:numPr>
      </w:pPr>
      <w:r>
        <w:t>§ 21</w:t>
      </w:r>
    </w:p>
    <w:p w14:paraId="473A69E4" w14:textId="77777777" w:rsidR="001E28AB" w:rsidRPr="00345144" w:rsidRDefault="001E28AB" w:rsidP="001E28AB">
      <w:pPr>
        <w:pStyle w:val="Nadpisparagrafu"/>
        <w:numPr>
          <w:ilvl w:val="0"/>
          <w:numId w:val="29"/>
        </w:numPr>
      </w:pPr>
      <w:r>
        <w:t>Úvodní ustanovení</w:t>
      </w:r>
    </w:p>
    <w:p w14:paraId="26FD2134" w14:textId="77777777" w:rsidR="001E28AB" w:rsidRDefault="001E28AB" w:rsidP="001E28AB">
      <w:pPr>
        <w:pStyle w:val="PZTextodstavce"/>
      </w:pPr>
      <w:r w:rsidRPr="00DD118B">
        <w:t>Kontrolující jsou při provádění kontroly oprávněni</w:t>
      </w:r>
    </w:p>
    <w:p w14:paraId="57EF8568" w14:textId="77777777" w:rsidR="001E28AB" w:rsidRDefault="001E28AB" w:rsidP="001E28AB">
      <w:pPr>
        <w:pStyle w:val="PZTextpsmene"/>
        <w:spacing w:before="0"/>
      </w:pPr>
      <w:r>
        <w:t>a)</w:t>
      </w:r>
      <w:r>
        <w:tab/>
        <w:t xml:space="preserve">vstupovat do objektů, zařízení a provozů, na pozemky a do jiných prostor kontrolovaných osob, pokud souvisí s předmětem kontroly; nedotknutelnost obydlí je </w:t>
      </w:r>
      <w:proofErr w:type="gramStart"/>
      <w:r>
        <w:t>zaručena,</w:t>
      </w:r>
      <w:r w:rsidRPr="002C291D">
        <w:rPr>
          <w:vertAlign w:val="superscript"/>
        </w:rPr>
        <w:footnoteReference w:customMarkFollows="1" w:id="207"/>
        <w:t>3)</w:t>
      </w:r>
      <w:proofErr w:type="gramEnd"/>
    </w:p>
    <w:p w14:paraId="1ADDC57E" w14:textId="77777777" w:rsidR="001E28AB" w:rsidRDefault="001E28AB" w:rsidP="001E28AB">
      <w:pPr>
        <w:pStyle w:val="PZTextpsmene"/>
        <w:spacing w:before="0"/>
      </w:pPr>
      <w:r>
        <w:t>b)</w:t>
      </w:r>
      <w:r>
        <w:tab/>
        <w:t>požadovat na kontrolovaných osobách, aby ve stanovených lhůtách předložily originální doklady a další písemnosti, data z informačních systémů, kterých jsou správci nebo provozovateli, na technických nosičích dat, popřípadě jejich výpisy a zdrojové kódy programů, vzorky výrobků nebo jiného zboží (dále jen "doklady"), jakož i pořizovat obrazové nebo zvukové záznamy,</w:t>
      </w:r>
    </w:p>
    <w:p w14:paraId="48EE3D07" w14:textId="77777777" w:rsidR="001E28AB" w:rsidRDefault="001E28AB" w:rsidP="001E28AB">
      <w:pPr>
        <w:pStyle w:val="PZTextpsmene"/>
        <w:spacing w:before="0"/>
      </w:pPr>
      <w:r>
        <w:t>c)</w:t>
      </w:r>
      <w:r>
        <w:tab/>
        <w:t xml:space="preserve">seznamovat se s utajovanými informacemi, prokáží-li se osvědčením pro příslušný stupeň utajení těchto informací, vydaným podle zvláštního </w:t>
      </w:r>
      <w:proofErr w:type="gramStart"/>
      <w:r>
        <w:t>zákona.</w:t>
      </w:r>
      <w:r w:rsidRPr="00810C04">
        <w:rPr>
          <w:vertAlign w:val="superscript"/>
        </w:rPr>
        <w:footnoteReference w:customMarkFollows="1" w:id="208"/>
        <w:t>4)</w:t>
      </w:r>
      <w:proofErr w:type="gramEnd"/>
    </w:p>
    <w:p w14:paraId="76A80F9B" w14:textId="77777777" w:rsidR="001E28AB" w:rsidRDefault="001E28AB" w:rsidP="001E28AB">
      <w:pPr>
        <w:pStyle w:val="PZTextpsmene"/>
        <w:spacing w:before="0"/>
      </w:pPr>
      <w:r>
        <w:t>d)</w:t>
      </w:r>
      <w:r>
        <w:tab/>
        <w:t>požadovat na kontrolovaných osobách poskytnutí pravdivých a úplných, ústních a písemných informací o zjišťovaných a souvisejících skutečnostech,</w:t>
      </w:r>
    </w:p>
    <w:p w14:paraId="286B93E3" w14:textId="77777777" w:rsidR="001E28AB" w:rsidRDefault="001E28AB" w:rsidP="001E28AB">
      <w:pPr>
        <w:pStyle w:val="PZTextpsmene"/>
        <w:spacing w:before="0"/>
      </w:pPr>
      <w:r>
        <w:t>e)</w:t>
      </w:r>
      <w:r>
        <w:tab/>
        <w:t>zajišťovat v odůvodněných případech doklady; jejich převzetí musí kontrolované osobě písemně potvrdit a ponechat jí kopie převzatých dokladů,</w:t>
      </w:r>
    </w:p>
    <w:p w14:paraId="42153891" w14:textId="77777777" w:rsidR="001E28AB" w:rsidRDefault="001E28AB" w:rsidP="001E28AB">
      <w:pPr>
        <w:pStyle w:val="PZTextpsmene"/>
        <w:spacing w:before="0"/>
      </w:pPr>
      <w:r>
        <w:t>f)</w:t>
      </w:r>
      <w:r>
        <w:tab/>
        <w:t>požadovat, aby kontrolované osoby podaly ve stanovené lhůtě písemnou zprávu o odstranění zjištěných nedostatků,</w:t>
      </w:r>
    </w:p>
    <w:p w14:paraId="4327E8FE" w14:textId="77777777" w:rsidR="001E28AB" w:rsidRDefault="001E28AB" w:rsidP="001E28AB">
      <w:pPr>
        <w:pStyle w:val="PZTextpsmene"/>
        <w:spacing w:before="0"/>
      </w:pPr>
      <w:r>
        <w:t>g)</w:t>
      </w:r>
      <w:r>
        <w:tab/>
        <w:t>používat telekomunikační koncová zařízení kontrolovaných osob a datové připojení do veřejné sítě elektronických komunikací pro zabezpečení kontroly,</w:t>
      </w:r>
    </w:p>
    <w:p w14:paraId="6D223BB3" w14:textId="77777777" w:rsidR="001E28AB" w:rsidRDefault="001E28AB" w:rsidP="001E28AB">
      <w:pPr>
        <w:pStyle w:val="PZTextpsmene"/>
        <w:spacing w:before="0"/>
      </w:pPr>
      <w:r>
        <w:t>h)</w:t>
      </w:r>
      <w:r>
        <w:tab/>
        <w:t xml:space="preserve">vyžádat si od kontrolované </w:t>
      </w:r>
      <w:r w:rsidRPr="00810C04">
        <w:rPr>
          <w:strike/>
        </w:rPr>
        <w:t>vybrané účetní jednotky</w:t>
      </w:r>
      <w:r w:rsidRPr="00810C04">
        <w:t xml:space="preserve"> </w:t>
      </w:r>
      <w:r w:rsidRPr="00810C04">
        <w:rPr>
          <w:b/>
        </w:rPr>
        <w:t>účetní jednotky veřejného sektoru</w:t>
      </w:r>
      <w:r w:rsidRPr="00810C04">
        <w:t xml:space="preserve"> </w:t>
      </w:r>
      <w:r>
        <w:t xml:space="preserve">nebo od jiného kontrolního orgánu účetní </w:t>
      </w:r>
      <w:r w:rsidRPr="00FE277C">
        <w:rPr>
          <w:strike/>
        </w:rPr>
        <w:t xml:space="preserve">záznamy </w:t>
      </w:r>
      <w:r w:rsidRPr="00FE277C">
        <w:rPr>
          <w:b/>
        </w:rPr>
        <w:t>dokumenty</w:t>
      </w:r>
      <w:r w:rsidRPr="00FE277C">
        <w:t xml:space="preserve"> též prostřednictvím centrálního systému účetních informací státu, anebo si vyžádat účetní </w:t>
      </w:r>
      <w:r w:rsidRPr="00FE277C">
        <w:rPr>
          <w:strike/>
        </w:rPr>
        <w:t xml:space="preserve">záznamy </w:t>
      </w:r>
      <w:r w:rsidRPr="00FE277C">
        <w:rPr>
          <w:b/>
        </w:rPr>
        <w:t>dokumenty</w:t>
      </w:r>
      <w:r w:rsidRPr="00FE277C">
        <w:t xml:space="preserve"> od </w:t>
      </w:r>
      <w:r w:rsidRPr="00421AF5">
        <w:t>správce centrálního systému účetních informací státu, za podmínek stanovených zákonem o účetnictví,</w:t>
      </w:r>
    </w:p>
    <w:p w14:paraId="5C8540CC" w14:textId="5DE5B6FA" w:rsidR="001E28AB" w:rsidRDefault="001E28AB" w:rsidP="001E28AB">
      <w:pPr>
        <w:pStyle w:val="PZTextpsmene"/>
        <w:spacing w:before="0"/>
      </w:pPr>
      <w:r>
        <w:t>i)</w:t>
      </w:r>
      <w:r>
        <w:tab/>
        <w:t>požadovat, aby kontrolované osoby ve stanovených lhůtách zajistily přístup k datům, která souvisí s předmětem kontroly a jsou uložena nebo zpracována v provozních informačních systémech kontrolované osoby, jakož i v dalších souborech a aplikacích, a která nejsou součástí informačních systémů veřejné správy.</w:t>
      </w:r>
    </w:p>
    <w:p w14:paraId="7F13B7DC" w14:textId="77777777" w:rsidR="001E28AB" w:rsidRDefault="001E28AB" w:rsidP="001E28AB">
      <w:pPr>
        <w:pStyle w:val="Paragraf"/>
        <w:numPr>
          <w:ilvl w:val="0"/>
          <w:numId w:val="29"/>
        </w:numPr>
        <w:spacing w:before="120"/>
      </w:pPr>
      <w:r>
        <w:t>***</w:t>
      </w:r>
    </w:p>
    <w:p w14:paraId="32816663" w14:textId="77777777" w:rsidR="001E28AB" w:rsidRDefault="001E28AB" w:rsidP="001E28AB">
      <w:pPr>
        <w:pStyle w:val="Paragraf"/>
        <w:numPr>
          <w:ilvl w:val="0"/>
          <w:numId w:val="29"/>
        </w:numPr>
      </w:pPr>
      <w:r>
        <w:t>§ 33</w:t>
      </w:r>
    </w:p>
    <w:p w14:paraId="2941BA5C" w14:textId="77777777" w:rsidR="001E28AB" w:rsidRPr="004469DB" w:rsidRDefault="001E28AB" w:rsidP="001E28AB">
      <w:pPr>
        <w:pStyle w:val="Nadpisparagrafu"/>
        <w:numPr>
          <w:ilvl w:val="0"/>
          <w:numId w:val="29"/>
        </w:numPr>
      </w:pPr>
      <w:r>
        <w:t>Hospodaření s rozpočtovou kapitolou Úřadu</w:t>
      </w:r>
    </w:p>
    <w:p w14:paraId="59971F75" w14:textId="39C321E3" w:rsidR="001E28AB" w:rsidRDefault="001E28AB" w:rsidP="001E28AB">
      <w:pPr>
        <w:pStyle w:val="PZTextodstavce"/>
      </w:pPr>
      <w:r>
        <w:t xml:space="preserve">(1) </w:t>
      </w:r>
      <w:r w:rsidRPr="00723388">
        <w:t>Hospodaření s rozpočtovou kapitolou Úřadu je shodné jako u orgánů státní správy, pokud tento zákon nestanoví jinak.</w:t>
      </w:r>
    </w:p>
    <w:p w14:paraId="159EA2A6" w14:textId="18D148A3" w:rsidR="001E28AB" w:rsidRDefault="001E28AB" w:rsidP="001E28AB">
      <w:pPr>
        <w:pStyle w:val="PZTextodstavce"/>
      </w:pPr>
      <w:r>
        <w:lastRenderedPageBreak/>
        <w:t xml:space="preserve">(2) </w:t>
      </w:r>
      <w:r w:rsidRPr="00723388">
        <w:t>Hospodaření Úřadu s majetkem státu včetně prostředků státního rozpočtu kapitoly Úřadu kontroluje Poslanecká sněmovna nebo orgán, který si pro tento účel zřídila nebo který tímto úkolem pověřila.</w:t>
      </w:r>
    </w:p>
    <w:p w14:paraId="01D2774D" w14:textId="77777777" w:rsidR="001E28AB" w:rsidRPr="00FB4A70" w:rsidRDefault="001E28AB" w:rsidP="001E28AB">
      <w:pPr>
        <w:pStyle w:val="PZTextodstavce"/>
        <w:rPr>
          <w:b/>
        </w:rPr>
      </w:pPr>
      <w:r w:rsidRPr="00FB4A70">
        <w:rPr>
          <w:b/>
        </w:rPr>
        <w:t xml:space="preserve">(3) Úřad má povinnost auditu </w:t>
      </w:r>
      <w:r>
        <w:rPr>
          <w:b/>
        </w:rPr>
        <w:t xml:space="preserve">řádné </w:t>
      </w:r>
      <w:r w:rsidRPr="00FB4A70">
        <w:rPr>
          <w:b/>
        </w:rPr>
        <w:t>účetní závěrky.</w:t>
      </w:r>
    </w:p>
    <w:p w14:paraId="023772E8" w14:textId="77777777" w:rsidR="001E28AB" w:rsidRPr="00FB4A70" w:rsidRDefault="001E28AB" w:rsidP="001E28AB">
      <w:pPr>
        <w:pStyle w:val="PZTextodstavce"/>
      </w:pPr>
      <w:proofErr w:type="gramStart"/>
      <w:r w:rsidRPr="00FB4A70">
        <w:rPr>
          <w:strike/>
        </w:rPr>
        <w:t>(3)</w:t>
      </w:r>
      <w:r w:rsidRPr="00FB4A70">
        <w:rPr>
          <w:b/>
        </w:rPr>
        <w:t xml:space="preserve">(4) </w:t>
      </w:r>
      <w:r w:rsidRPr="00FB4A70">
        <w:t>Závěrečný</w:t>
      </w:r>
      <w:proofErr w:type="gramEnd"/>
      <w:r w:rsidRPr="00FB4A70">
        <w:t xml:space="preserve"> účet rozpočtové kapitoly Úřadu předkládá prezident Úřadu Poslanecké sněmovně současně se zprávou </w:t>
      </w:r>
      <w:r w:rsidRPr="00FB4A70">
        <w:rPr>
          <w:strike/>
        </w:rPr>
        <w:t>o ověření roční účetní závěrky auditorem</w:t>
      </w:r>
      <w:r w:rsidRPr="00FB4A70">
        <w:t xml:space="preserve"> </w:t>
      </w:r>
      <w:r w:rsidRPr="00FB4A70">
        <w:rPr>
          <w:b/>
        </w:rPr>
        <w:t>auditora o povinném auditu</w:t>
      </w:r>
      <w:r w:rsidRPr="00FB4A70">
        <w:t>.</w:t>
      </w:r>
    </w:p>
    <w:p w14:paraId="243FEF06" w14:textId="77777777" w:rsidR="001E28AB" w:rsidRDefault="001E28AB" w:rsidP="001E28AB">
      <w:pPr>
        <w:pStyle w:val="PZTextodstavce"/>
      </w:pPr>
      <w:proofErr w:type="gramStart"/>
      <w:r w:rsidRPr="00FB4A70">
        <w:rPr>
          <w:strike/>
        </w:rPr>
        <w:t>(4)</w:t>
      </w:r>
      <w:r w:rsidRPr="00FB4A70">
        <w:rPr>
          <w:b/>
        </w:rPr>
        <w:t xml:space="preserve">(5) </w:t>
      </w:r>
      <w:r w:rsidRPr="00FB4A70">
        <w:t>Závěrečný</w:t>
      </w:r>
      <w:proofErr w:type="gramEnd"/>
      <w:r w:rsidRPr="00FB4A70">
        <w:t xml:space="preserve"> </w:t>
      </w:r>
      <w:r w:rsidRPr="00723388">
        <w:t>účet rozpočtové kapitoly Úřadu předkládá prezident Úřadu ministerstvu financí k zapracování spolu se stanoviskem Poslanecké sněmovny nebo jejího orgánu, je-li takové stanovisko přijato, do návrhu státního závěrečného účtu.</w:t>
      </w:r>
    </w:p>
    <w:p w14:paraId="2385DB8A" w14:textId="0F905667" w:rsidR="00CE0DEB" w:rsidRDefault="00CE0DEB" w:rsidP="00CE0DEB">
      <w:pPr>
        <w:pStyle w:val="Textparagrafu"/>
        <w:tabs>
          <w:tab w:val="left" w:pos="392"/>
        </w:tabs>
        <w:ind w:firstLine="0"/>
        <w:jc w:val="center"/>
      </w:pPr>
    </w:p>
    <w:p w14:paraId="134CD380" w14:textId="77777777" w:rsidR="003171FC" w:rsidRDefault="003171FC" w:rsidP="00223B5D">
      <w:pPr>
        <w:pStyle w:val="Textparagrafu"/>
        <w:tabs>
          <w:tab w:val="left" w:pos="392"/>
        </w:tabs>
        <w:ind w:firstLine="0"/>
        <w:jc w:val="center"/>
        <w:sectPr w:rsidR="003171FC" w:rsidSect="00084391">
          <w:footnotePr>
            <w:numStart w:val="3"/>
          </w:footnotePr>
          <w:endnotePr>
            <w:numFmt w:val="decimal"/>
          </w:endnotePr>
          <w:pgSz w:w="11906" w:h="16838"/>
          <w:pgMar w:top="1418" w:right="1418" w:bottom="1418" w:left="1418" w:header="709" w:footer="709" w:gutter="0"/>
          <w:cols w:space="708"/>
          <w:docGrid w:linePitch="360"/>
        </w:sectPr>
      </w:pPr>
    </w:p>
    <w:p w14:paraId="0F0AA322" w14:textId="03747438" w:rsidR="003171FC" w:rsidRPr="00CE0DEB" w:rsidRDefault="003171FC" w:rsidP="00A1414D">
      <w:pPr>
        <w:pStyle w:val="Odstavecseseznamem"/>
        <w:tabs>
          <w:tab w:val="left" w:pos="851"/>
        </w:tabs>
        <w:spacing w:before="120" w:after="120"/>
        <w:ind w:left="0" w:firstLine="0"/>
        <w:jc w:val="center"/>
        <w:outlineLvl w:val="0"/>
        <w:rPr>
          <w:szCs w:val="24"/>
        </w:rPr>
      </w:pPr>
      <w:r w:rsidRPr="000C5701">
        <w:rPr>
          <w:b/>
          <w:szCs w:val="24"/>
        </w:rPr>
        <w:lastRenderedPageBreak/>
        <w:t xml:space="preserve">K části dvacáté </w:t>
      </w:r>
      <w:r w:rsidR="001E28AB">
        <w:rPr>
          <w:b/>
          <w:szCs w:val="24"/>
        </w:rPr>
        <w:t>páté</w:t>
      </w:r>
      <w:r w:rsidRPr="000C5701">
        <w:rPr>
          <w:b/>
          <w:szCs w:val="24"/>
        </w:rPr>
        <w:t xml:space="preserve"> návrhu zákona – </w:t>
      </w:r>
      <w:r w:rsidRPr="000C5701">
        <w:rPr>
          <w:szCs w:val="24"/>
        </w:rPr>
        <w:t xml:space="preserve">změna zákona </w:t>
      </w:r>
      <w:r w:rsidR="005B27F0" w:rsidRPr="000C5701">
        <w:rPr>
          <w:szCs w:val="24"/>
        </w:rPr>
        <w:t>o státním zastupitelství</w:t>
      </w:r>
    </w:p>
    <w:p w14:paraId="26211928" w14:textId="77777777" w:rsidR="003171FC" w:rsidRPr="00383BB6" w:rsidRDefault="003171FC" w:rsidP="003171FC">
      <w:pPr>
        <w:pStyle w:val="Odstavecseseznamem"/>
        <w:tabs>
          <w:tab w:val="left" w:pos="851"/>
        </w:tabs>
        <w:spacing w:before="120" w:after="120"/>
        <w:ind w:left="0" w:firstLine="0"/>
        <w:outlineLvl w:val="0"/>
        <w:rPr>
          <w:b/>
          <w:szCs w:val="24"/>
        </w:rPr>
      </w:pPr>
    </w:p>
    <w:p w14:paraId="5ECEEA26" w14:textId="5567B78D" w:rsidR="003171FC" w:rsidRPr="00383BB6" w:rsidRDefault="003171FC" w:rsidP="005B27F0">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383BB6">
        <w:rPr>
          <w:b/>
          <w:szCs w:val="24"/>
        </w:rPr>
        <w:t>Platné znění</w:t>
      </w:r>
      <w:r w:rsidRPr="00383BB6">
        <w:rPr>
          <w:szCs w:val="24"/>
        </w:rPr>
        <w:t xml:space="preserve"> zákona </w:t>
      </w:r>
      <w:r w:rsidRPr="00383BB6">
        <w:rPr>
          <w:color w:val="000000"/>
          <w:szCs w:val="24"/>
        </w:rPr>
        <w:t>č. </w:t>
      </w:r>
      <w:r w:rsidR="005B27F0">
        <w:rPr>
          <w:color w:val="000000"/>
          <w:szCs w:val="24"/>
        </w:rPr>
        <w:t>283</w:t>
      </w:r>
      <w:r w:rsidRPr="00383BB6">
        <w:rPr>
          <w:color w:val="000000"/>
          <w:szCs w:val="24"/>
        </w:rPr>
        <w:t>/199</w:t>
      </w:r>
      <w:r>
        <w:rPr>
          <w:color w:val="000000"/>
          <w:szCs w:val="24"/>
        </w:rPr>
        <w:t>3</w:t>
      </w:r>
      <w:r w:rsidRPr="00383BB6">
        <w:rPr>
          <w:color w:val="000000"/>
          <w:szCs w:val="24"/>
        </w:rPr>
        <w:t xml:space="preserve"> Sb., </w:t>
      </w:r>
      <w:r w:rsidR="005B27F0" w:rsidRPr="005B27F0">
        <w:rPr>
          <w:szCs w:val="24"/>
        </w:rPr>
        <w:t>o státním zastupitelství</w:t>
      </w:r>
    </w:p>
    <w:p w14:paraId="42F98CBF" w14:textId="66EF9D92" w:rsidR="003171FC" w:rsidRPr="00A1414D" w:rsidRDefault="00A1414D" w:rsidP="00A1414D">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b/>
          <w:szCs w:val="24"/>
        </w:rPr>
      </w:pPr>
      <w:r w:rsidRPr="00A06781">
        <w:rPr>
          <w:b/>
          <w:szCs w:val="24"/>
        </w:rPr>
        <w:t>s vyznačením navrhovaných změn a doplnění k 1. lednu 2025</w:t>
      </w:r>
    </w:p>
    <w:p w14:paraId="65259DBC" w14:textId="77777777" w:rsidR="003171FC" w:rsidRDefault="003171FC" w:rsidP="000C5701">
      <w:pPr>
        <w:pStyle w:val="Textparagrafu"/>
        <w:tabs>
          <w:tab w:val="left" w:pos="392"/>
        </w:tabs>
        <w:ind w:firstLine="0"/>
        <w:jc w:val="center"/>
      </w:pPr>
      <w:r>
        <w:t>***</w:t>
      </w:r>
    </w:p>
    <w:p w14:paraId="2C24DE09" w14:textId="7910F463" w:rsidR="000C5701" w:rsidRDefault="003171FC" w:rsidP="000467BB">
      <w:pPr>
        <w:pStyle w:val="Paragraf"/>
        <w:numPr>
          <w:ilvl w:val="0"/>
          <w:numId w:val="29"/>
        </w:numPr>
      </w:pPr>
      <w:r>
        <w:t>§</w:t>
      </w:r>
      <w:r w:rsidR="000C5701">
        <w:t xml:space="preserve"> 6</w:t>
      </w:r>
    </w:p>
    <w:p w14:paraId="1D66CDB9" w14:textId="77777777" w:rsidR="000C5701" w:rsidRDefault="000C5701" w:rsidP="000C5701">
      <w:pPr>
        <w:pStyle w:val="PZTextodstavce"/>
        <w:tabs>
          <w:tab w:val="clear" w:pos="782"/>
          <w:tab w:val="left" w:pos="426"/>
        </w:tabs>
      </w:pPr>
      <w:r>
        <w:t>(1)</w:t>
      </w:r>
      <w:r>
        <w:tab/>
      </w:r>
      <w:r w:rsidRPr="00393473">
        <w:t>Soustavu státního zastupitelství tvoří Nejvyšší státní zastupitelství, vrchní státní zastupitelství, krajská státní zastupitelství a okresní státní zastupitelství.</w:t>
      </w:r>
    </w:p>
    <w:p w14:paraId="0BEEEC81" w14:textId="77777777" w:rsidR="000C5701" w:rsidRDefault="000C5701" w:rsidP="000C5701">
      <w:pPr>
        <w:pStyle w:val="PZTextodstavce"/>
        <w:tabs>
          <w:tab w:val="clear" w:pos="782"/>
          <w:tab w:val="left" w:pos="426"/>
        </w:tabs>
      </w:pPr>
      <w:r>
        <w:t>(2)</w:t>
      </w:r>
      <w:r>
        <w:tab/>
      </w:r>
      <w:r w:rsidRPr="00393473">
        <w:t>V obvodu hlavního města Prahy působnost krajského státního zastupitelství vykonává Městské státní zastupitelství v Praze a působnost okresních státních zastupitelství vykonávají obvodní státní zastupitelství. V obvodu města Brna vykonává působnost okresního státního zastupitelství Městské státní zastupitelství v Brně.</w:t>
      </w:r>
    </w:p>
    <w:p w14:paraId="67F3D07A" w14:textId="77777777" w:rsidR="000C5701" w:rsidRPr="003A20F6" w:rsidRDefault="000C5701" w:rsidP="000C5701">
      <w:pPr>
        <w:pStyle w:val="PZTextodstavce"/>
        <w:tabs>
          <w:tab w:val="clear" w:pos="782"/>
          <w:tab w:val="left" w:pos="426"/>
        </w:tabs>
        <w:rPr>
          <w:b/>
          <w:bCs/>
          <w:strike/>
        </w:rPr>
      </w:pPr>
      <w:r w:rsidRPr="003A20F6">
        <w:rPr>
          <w:strike/>
        </w:rPr>
        <w:t>(3) Nejvyšší státní zastupitelství, vrchní státní zastupitelství a krajská státní zastupitelství jsou účetními jednotkami.</w:t>
      </w:r>
    </w:p>
    <w:p w14:paraId="0F91BA54" w14:textId="77777777" w:rsidR="000C5701" w:rsidRPr="003A20F6" w:rsidRDefault="000C5701" w:rsidP="000C5701">
      <w:pPr>
        <w:pStyle w:val="PZTextodstavce"/>
        <w:tabs>
          <w:tab w:val="clear" w:pos="782"/>
          <w:tab w:val="left" w:pos="426"/>
        </w:tabs>
        <w:rPr>
          <w:b/>
          <w:bCs/>
        </w:rPr>
      </w:pPr>
      <w:r w:rsidRPr="003A20F6">
        <w:rPr>
          <w:b/>
          <w:bCs/>
        </w:rPr>
        <w:t>(3) Okresní státní zastupitelství nejsou účetními jednotkami a pro účely účetnictví mají postavení vnitřních organizačních jednotek krajského státního zastupitelství, v</w:t>
      </w:r>
      <w:r>
        <w:rPr>
          <w:b/>
          <w:bCs/>
        </w:rPr>
        <w:t> </w:t>
      </w:r>
      <w:r w:rsidRPr="003A20F6">
        <w:rPr>
          <w:b/>
          <w:bCs/>
        </w:rPr>
        <w:t>jejichž obvodu mají sídlo.</w:t>
      </w:r>
    </w:p>
    <w:p w14:paraId="6F212576" w14:textId="77777777" w:rsidR="003171FC" w:rsidRDefault="003171FC" w:rsidP="003171FC">
      <w:pPr>
        <w:pStyle w:val="Textparagrafu"/>
        <w:tabs>
          <w:tab w:val="left" w:pos="392"/>
        </w:tabs>
        <w:ind w:firstLine="0"/>
        <w:jc w:val="center"/>
      </w:pPr>
    </w:p>
    <w:p w14:paraId="582DECF2" w14:textId="77777777" w:rsidR="005B27F0" w:rsidRDefault="005B27F0" w:rsidP="00223B5D">
      <w:pPr>
        <w:pStyle w:val="Textparagrafu"/>
        <w:tabs>
          <w:tab w:val="left" w:pos="392"/>
        </w:tabs>
        <w:ind w:firstLine="0"/>
        <w:jc w:val="center"/>
        <w:sectPr w:rsidR="005B27F0" w:rsidSect="00084391">
          <w:footnotePr>
            <w:numStart w:val="3"/>
          </w:footnotePr>
          <w:endnotePr>
            <w:numFmt w:val="decimal"/>
          </w:endnotePr>
          <w:pgSz w:w="11906" w:h="16838"/>
          <w:pgMar w:top="1418" w:right="1418" w:bottom="1418" w:left="1418" w:header="709" w:footer="709" w:gutter="0"/>
          <w:cols w:space="708"/>
          <w:docGrid w:linePitch="360"/>
        </w:sectPr>
      </w:pPr>
    </w:p>
    <w:p w14:paraId="516BE4D5" w14:textId="691D5F94" w:rsidR="004A05E7" w:rsidRPr="00CE0DEB" w:rsidRDefault="004A05E7" w:rsidP="00A1414D">
      <w:pPr>
        <w:pStyle w:val="Odstavecseseznamem"/>
        <w:tabs>
          <w:tab w:val="left" w:pos="851"/>
        </w:tabs>
        <w:spacing w:before="120" w:after="120"/>
        <w:ind w:left="0" w:firstLine="0"/>
        <w:jc w:val="center"/>
        <w:outlineLvl w:val="0"/>
        <w:rPr>
          <w:szCs w:val="24"/>
        </w:rPr>
      </w:pPr>
      <w:r w:rsidRPr="004A05E7">
        <w:rPr>
          <w:b/>
          <w:szCs w:val="24"/>
        </w:rPr>
        <w:lastRenderedPageBreak/>
        <w:t xml:space="preserve">K části dvacáté </w:t>
      </w:r>
      <w:r w:rsidR="001E28AB">
        <w:rPr>
          <w:b/>
          <w:szCs w:val="24"/>
        </w:rPr>
        <w:t>šesté</w:t>
      </w:r>
      <w:r w:rsidRPr="004A05E7">
        <w:rPr>
          <w:b/>
          <w:szCs w:val="24"/>
        </w:rPr>
        <w:t xml:space="preserve"> návrhu zákona </w:t>
      </w:r>
      <w:r w:rsidRPr="004A05E7">
        <w:rPr>
          <w:szCs w:val="24"/>
        </w:rPr>
        <w:t>– změna zákona</w:t>
      </w:r>
      <w:r w:rsidRPr="004A05E7">
        <w:rPr>
          <w:b/>
          <w:szCs w:val="24"/>
        </w:rPr>
        <w:t xml:space="preserve"> </w:t>
      </w:r>
      <w:r w:rsidRPr="004A05E7">
        <w:rPr>
          <w:szCs w:val="24"/>
        </w:rPr>
        <w:t>o silniční dopravě</w:t>
      </w:r>
    </w:p>
    <w:p w14:paraId="3336904D" w14:textId="77777777" w:rsidR="004A05E7" w:rsidRPr="00383BB6" w:rsidRDefault="004A05E7" w:rsidP="004A05E7">
      <w:pPr>
        <w:pStyle w:val="Odstavecseseznamem"/>
        <w:tabs>
          <w:tab w:val="left" w:pos="851"/>
        </w:tabs>
        <w:spacing w:before="120" w:after="120"/>
        <w:ind w:left="0" w:firstLine="0"/>
        <w:outlineLvl w:val="0"/>
        <w:rPr>
          <w:b/>
          <w:szCs w:val="24"/>
        </w:rPr>
      </w:pPr>
    </w:p>
    <w:p w14:paraId="4F4ABA68" w14:textId="07B9A797" w:rsidR="004A05E7" w:rsidRPr="00383BB6" w:rsidRDefault="004A05E7" w:rsidP="004A05E7">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383BB6">
        <w:rPr>
          <w:b/>
          <w:szCs w:val="24"/>
        </w:rPr>
        <w:t>Platné znění</w:t>
      </w:r>
      <w:r w:rsidRPr="00383BB6">
        <w:rPr>
          <w:szCs w:val="24"/>
        </w:rPr>
        <w:t xml:space="preserve"> zákona </w:t>
      </w:r>
      <w:r w:rsidRPr="00383BB6">
        <w:rPr>
          <w:color w:val="000000"/>
          <w:szCs w:val="24"/>
        </w:rPr>
        <w:t>č. </w:t>
      </w:r>
      <w:r>
        <w:rPr>
          <w:color w:val="000000"/>
          <w:szCs w:val="24"/>
        </w:rPr>
        <w:t>111</w:t>
      </w:r>
      <w:r w:rsidRPr="00383BB6">
        <w:rPr>
          <w:color w:val="000000"/>
          <w:szCs w:val="24"/>
        </w:rPr>
        <w:t>/199</w:t>
      </w:r>
      <w:r>
        <w:rPr>
          <w:color w:val="000000"/>
          <w:szCs w:val="24"/>
        </w:rPr>
        <w:t>4</w:t>
      </w:r>
      <w:r w:rsidRPr="00383BB6">
        <w:rPr>
          <w:color w:val="000000"/>
          <w:szCs w:val="24"/>
        </w:rPr>
        <w:t xml:space="preserve"> Sb., </w:t>
      </w:r>
      <w:r w:rsidRPr="004A05E7">
        <w:rPr>
          <w:szCs w:val="24"/>
        </w:rPr>
        <w:t>o silniční dopravě</w:t>
      </w:r>
    </w:p>
    <w:p w14:paraId="00DDF8DC" w14:textId="23A0F53F" w:rsidR="004A05E7" w:rsidRPr="00A1414D" w:rsidRDefault="00A1414D" w:rsidP="00A1414D">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b/>
          <w:szCs w:val="24"/>
        </w:rPr>
      </w:pPr>
      <w:r w:rsidRPr="00A06781">
        <w:rPr>
          <w:b/>
          <w:szCs w:val="24"/>
        </w:rPr>
        <w:t>s vyznačením navrhovaných změn a doplnění k 1. lednu 2025</w:t>
      </w:r>
    </w:p>
    <w:p w14:paraId="55C8D082" w14:textId="77777777" w:rsidR="004A05E7" w:rsidRDefault="004A05E7" w:rsidP="004A05E7">
      <w:pPr>
        <w:pStyle w:val="Textparagrafu"/>
        <w:tabs>
          <w:tab w:val="left" w:pos="392"/>
        </w:tabs>
        <w:ind w:firstLine="0"/>
        <w:jc w:val="center"/>
      </w:pPr>
      <w:r>
        <w:t>***</w:t>
      </w:r>
    </w:p>
    <w:p w14:paraId="6CF52F6E" w14:textId="6B9EB5D1" w:rsidR="004A05E7" w:rsidRDefault="004A05E7" w:rsidP="004A05E7">
      <w:pPr>
        <w:pStyle w:val="Textparagrafu"/>
        <w:ind w:firstLine="0"/>
        <w:jc w:val="center"/>
      </w:pPr>
      <w:r>
        <w:t xml:space="preserve">§ </w:t>
      </w:r>
      <w:r w:rsidRPr="007A291F">
        <w:t>8</w:t>
      </w:r>
    </w:p>
    <w:p w14:paraId="15299144" w14:textId="77777777" w:rsidR="004A05E7" w:rsidRPr="004A05E7" w:rsidRDefault="004A05E7" w:rsidP="004A05E7">
      <w:pPr>
        <w:pStyle w:val="Textparagrafu"/>
        <w:ind w:firstLine="0"/>
        <w:jc w:val="center"/>
        <w:rPr>
          <w:b/>
        </w:rPr>
      </w:pPr>
      <w:r w:rsidRPr="004A05E7">
        <w:rPr>
          <w:b/>
        </w:rPr>
        <w:t>Finanční způsobilost</w:t>
      </w:r>
    </w:p>
    <w:p w14:paraId="76B68C61" w14:textId="594AC1D9" w:rsidR="004A05E7" w:rsidRDefault="004A05E7" w:rsidP="00F62595">
      <w:pPr>
        <w:pStyle w:val="Textparagrafu"/>
        <w:spacing w:before="120" w:after="120"/>
      </w:pPr>
      <w:r w:rsidRPr="007A291F">
        <w:t>(1)</w:t>
      </w:r>
      <w:r>
        <w:t xml:space="preserve"> </w:t>
      </w:r>
      <w:r w:rsidRPr="007A291F">
        <w:t>Finanční</w:t>
      </w:r>
      <w:r>
        <w:t xml:space="preserve"> </w:t>
      </w:r>
      <w:r w:rsidRPr="007A291F">
        <w:t>způsobilost</w:t>
      </w:r>
      <w:r>
        <w:t xml:space="preserve"> </w:t>
      </w:r>
      <w:r w:rsidRPr="007A291F">
        <w:t>lze</w:t>
      </w:r>
      <w:r>
        <w:t xml:space="preserve"> </w:t>
      </w:r>
      <w:r w:rsidRPr="007A291F">
        <w:t>prokázat</w:t>
      </w:r>
      <w:r>
        <w:t xml:space="preserve"> </w:t>
      </w:r>
      <w:r w:rsidRPr="007A291F">
        <w:t>všemi</w:t>
      </w:r>
      <w:r>
        <w:t xml:space="preserve"> </w:t>
      </w:r>
      <w:r w:rsidRPr="007A291F">
        <w:t>způsoby</w:t>
      </w:r>
      <w:r>
        <w:t xml:space="preserve"> </w:t>
      </w:r>
      <w:r w:rsidRPr="007A291F">
        <w:t>uvedenými</w:t>
      </w:r>
      <w:r>
        <w:t xml:space="preserve"> </w:t>
      </w:r>
      <w:r w:rsidRPr="007A291F">
        <w:t>v</w:t>
      </w:r>
      <w:r>
        <w:t xml:space="preserve"> </w:t>
      </w:r>
      <w:r w:rsidRPr="007A291F">
        <w:t>přímo</w:t>
      </w:r>
      <w:r>
        <w:t xml:space="preserve"> </w:t>
      </w:r>
      <w:r w:rsidRPr="007A291F">
        <w:t>použitelném</w:t>
      </w:r>
      <w:r>
        <w:t xml:space="preserve"> </w:t>
      </w:r>
      <w:r w:rsidRPr="007A291F">
        <w:t>předpisu</w:t>
      </w:r>
      <w:r>
        <w:t xml:space="preserve"> </w:t>
      </w:r>
      <w:r w:rsidRPr="007A291F">
        <w:t>Evropské</w:t>
      </w:r>
      <w:r>
        <w:t xml:space="preserve"> unie</w:t>
      </w:r>
      <w:r>
        <w:rPr>
          <w:rStyle w:val="Znakapoznpodarou"/>
        </w:rPr>
        <w:footnoteReference w:customMarkFollows="1" w:id="209"/>
        <w:t>15)</w:t>
      </w:r>
      <w:r w:rsidRPr="007A291F">
        <w:t>.</w:t>
      </w:r>
      <w:r>
        <w:t xml:space="preserve"> </w:t>
      </w:r>
      <w:r w:rsidRPr="007A291F">
        <w:t>Žadatel</w:t>
      </w:r>
      <w:r>
        <w:t xml:space="preserve"> </w:t>
      </w:r>
      <w:r w:rsidRPr="007A291F">
        <w:t>o</w:t>
      </w:r>
      <w:r>
        <w:t xml:space="preserve"> </w:t>
      </w:r>
      <w:r w:rsidRPr="007A291F">
        <w:t>koncesi,</w:t>
      </w:r>
      <w:r>
        <w:t xml:space="preserve"> </w:t>
      </w:r>
      <w:r w:rsidRPr="007A291F">
        <w:t>který</w:t>
      </w:r>
      <w:r>
        <w:t xml:space="preserve"> </w:t>
      </w:r>
      <w:proofErr w:type="gramStart"/>
      <w:r w:rsidRPr="00653DBB">
        <w:rPr>
          <w:strike/>
        </w:rPr>
        <w:t>povede</w:t>
      </w:r>
      <w:proofErr w:type="gramEnd"/>
      <w:r w:rsidRPr="00653DBB">
        <w:rPr>
          <w:strike/>
        </w:rPr>
        <w:t xml:space="preserve"> účetnictví</w:t>
      </w:r>
      <w:r w:rsidR="00653DBB" w:rsidRPr="00653DBB">
        <w:rPr>
          <w:b/>
          <w:bCs/>
          <w:szCs w:val="24"/>
        </w:rPr>
        <w:t xml:space="preserve"> </w:t>
      </w:r>
      <w:proofErr w:type="gramStart"/>
      <w:r w:rsidR="00653DBB" w:rsidRPr="00AC03AE">
        <w:rPr>
          <w:b/>
          <w:bCs/>
          <w:szCs w:val="24"/>
        </w:rPr>
        <w:t>bude</w:t>
      </w:r>
      <w:proofErr w:type="gramEnd"/>
      <w:r w:rsidR="00653DBB" w:rsidRPr="00AC03AE">
        <w:rPr>
          <w:b/>
          <w:bCs/>
          <w:szCs w:val="24"/>
        </w:rPr>
        <w:t xml:space="preserve"> účetní jednotkou</w:t>
      </w:r>
      <w:r w:rsidRPr="007A291F">
        <w:t>,</w:t>
      </w:r>
      <w:r>
        <w:t xml:space="preserve"> </w:t>
      </w:r>
      <w:r w:rsidRPr="007A291F">
        <w:t>může</w:t>
      </w:r>
      <w:r>
        <w:t xml:space="preserve"> </w:t>
      </w:r>
      <w:r w:rsidRPr="007A291F">
        <w:t>finanční</w:t>
      </w:r>
      <w:r>
        <w:t xml:space="preserve"> </w:t>
      </w:r>
      <w:r w:rsidRPr="007A291F">
        <w:t>způsobilost</w:t>
      </w:r>
      <w:r>
        <w:t xml:space="preserve"> </w:t>
      </w:r>
      <w:r w:rsidRPr="007A291F">
        <w:t>prokázat</w:t>
      </w:r>
      <w:r>
        <w:t xml:space="preserve"> </w:t>
      </w:r>
      <w:r w:rsidRPr="007A291F">
        <w:t>zahajovací</w:t>
      </w:r>
      <w:r>
        <w:t xml:space="preserve"> </w:t>
      </w:r>
      <w:r w:rsidRPr="007A291F">
        <w:t>rozvahou</w:t>
      </w:r>
      <w:r>
        <w:t xml:space="preserve"> </w:t>
      </w:r>
      <w:r w:rsidRPr="00613FAA">
        <w:rPr>
          <w:strike/>
        </w:rPr>
        <w:t>nebo zahajovací rozvahou ve zjednodušeném rozsahu</w:t>
      </w:r>
      <w:r w:rsidRPr="007A291F">
        <w:t>.</w:t>
      </w:r>
      <w:r>
        <w:t xml:space="preserve"> </w:t>
      </w:r>
      <w:r w:rsidRPr="007A291F">
        <w:t>Žadatel</w:t>
      </w:r>
      <w:r>
        <w:t xml:space="preserve"> </w:t>
      </w:r>
      <w:r w:rsidRPr="007A291F">
        <w:t>o</w:t>
      </w:r>
      <w:r>
        <w:t xml:space="preserve"> </w:t>
      </w:r>
      <w:r w:rsidRPr="007A291F">
        <w:t>koncesi,</w:t>
      </w:r>
      <w:r>
        <w:t xml:space="preserve"> </w:t>
      </w:r>
      <w:r w:rsidRPr="007A291F">
        <w:t>který</w:t>
      </w:r>
      <w:r>
        <w:t xml:space="preserve"> </w:t>
      </w:r>
      <w:r w:rsidRPr="007A291F">
        <w:t>povede</w:t>
      </w:r>
      <w:r>
        <w:t xml:space="preserve"> </w:t>
      </w:r>
      <w:r w:rsidRPr="007A291F">
        <w:t>daňovou</w:t>
      </w:r>
      <w:r>
        <w:t xml:space="preserve"> </w:t>
      </w:r>
      <w:r w:rsidRPr="007A291F">
        <w:t>evidenci,</w:t>
      </w:r>
      <w:r>
        <w:t xml:space="preserve"> </w:t>
      </w:r>
      <w:r w:rsidRPr="007A291F">
        <w:t>může</w:t>
      </w:r>
      <w:r>
        <w:t xml:space="preserve"> </w:t>
      </w:r>
      <w:r w:rsidRPr="007A291F">
        <w:t>finanční</w:t>
      </w:r>
      <w:r>
        <w:t xml:space="preserve"> </w:t>
      </w:r>
      <w:r w:rsidRPr="007A291F">
        <w:t>způsobilost</w:t>
      </w:r>
      <w:r>
        <w:t xml:space="preserve"> </w:t>
      </w:r>
      <w:r w:rsidRPr="007A291F">
        <w:t>prokázat</w:t>
      </w:r>
      <w:r>
        <w:t xml:space="preserve"> </w:t>
      </w:r>
      <w:r w:rsidRPr="00653DBB">
        <w:rPr>
          <w:strike/>
        </w:rPr>
        <w:t>zahajovacím přehledem obchodního majetku</w:t>
      </w:r>
      <w:r w:rsidR="00653DBB" w:rsidRPr="00653DBB">
        <w:rPr>
          <w:b/>
          <w:bCs/>
          <w:szCs w:val="24"/>
        </w:rPr>
        <w:t xml:space="preserve"> </w:t>
      </w:r>
      <w:r w:rsidR="00653DBB" w:rsidRPr="00E10251">
        <w:rPr>
          <w:b/>
          <w:bCs/>
          <w:szCs w:val="24"/>
        </w:rPr>
        <w:t>touto daňovou evidencí</w:t>
      </w:r>
      <w:r w:rsidRPr="007A291F">
        <w:t>.</w:t>
      </w:r>
    </w:p>
    <w:p w14:paraId="54346BA9" w14:textId="77777777" w:rsidR="004A05E7" w:rsidRPr="007A291F" w:rsidRDefault="004A05E7" w:rsidP="00F62595">
      <w:pPr>
        <w:pStyle w:val="Textparagrafu"/>
        <w:spacing w:before="120" w:after="120"/>
      </w:pPr>
      <w:r w:rsidRPr="007A291F">
        <w:t>(2)</w:t>
      </w:r>
      <w:r>
        <w:t xml:space="preserve"> </w:t>
      </w:r>
      <w:r w:rsidRPr="007A291F">
        <w:t>Trvání</w:t>
      </w:r>
      <w:r>
        <w:t xml:space="preserve"> </w:t>
      </w:r>
      <w:r w:rsidRPr="007A291F">
        <w:t>finanční</w:t>
      </w:r>
      <w:r>
        <w:t xml:space="preserve"> </w:t>
      </w:r>
      <w:r w:rsidRPr="007A291F">
        <w:t>způsobilosti</w:t>
      </w:r>
      <w:r>
        <w:t xml:space="preserve"> </w:t>
      </w:r>
      <w:r w:rsidRPr="007A291F">
        <w:t>prokazuje</w:t>
      </w:r>
      <w:r>
        <w:t xml:space="preserve"> </w:t>
      </w:r>
      <w:r w:rsidRPr="007A291F">
        <w:t>podnikatel</w:t>
      </w:r>
      <w:r>
        <w:t xml:space="preserve"> </w:t>
      </w:r>
      <w:r w:rsidRPr="007A291F">
        <w:t>v</w:t>
      </w:r>
      <w:r>
        <w:t xml:space="preserve"> </w:t>
      </w:r>
      <w:r w:rsidRPr="007A291F">
        <w:t>silniční</w:t>
      </w:r>
      <w:r>
        <w:t xml:space="preserve"> </w:t>
      </w:r>
      <w:r w:rsidRPr="007A291F">
        <w:t>dopravě</w:t>
      </w:r>
      <w:r>
        <w:t xml:space="preserve"> </w:t>
      </w:r>
      <w:r w:rsidRPr="007A291F">
        <w:t>provozované</w:t>
      </w:r>
      <w:r>
        <w:t xml:space="preserve"> </w:t>
      </w:r>
      <w:r w:rsidRPr="007A291F">
        <w:t>velkými</w:t>
      </w:r>
      <w:r>
        <w:t xml:space="preserve"> </w:t>
      </w:r>
      <w:r w:rsidRPr="007A291F">
        <w:t>vozidly</w:t>
      </w:r>
      <w:r>
        <w:t xml:space="preserve"> </w:t>
      </w:r>
      <w:r w:rsidRPr="007A291F">
        <w:t>dopravnímu</w:t>
      </w:r>
      <w:r>
        <w:t xml:space="preserve"> </w:t>
      </w:r>
      <w:r w:rsidRPr="007A291F">
        <w:t>úřadu</w:t>
      </w:r>
      <w:r>
        <w:t xml:space="preserve"> </w:t>
      </w:r>
      <w:r w:rsidRPr="007A291F">
        <w:t>na</w:t>
      </w:r>
      <w:r>
        <w:t xml:space="preserve"> </w:t>
      </w:r>
      <w:r w:rsidRPr="007A291F">
        <w:t>každý</w:t>
      </w:r>
      <w:r>
        <w:t xml:space="preserve"> </w:t>
      </w:r>
      <w:r w:rsidRPr="007A291F">
        <w:t>kalendářní</w:t>
      </w:r>
      <w:r>
        <w:t xml:space="preserve"> </w:t>
      </w:r>
      <w:r w:rsidRPr="007A291F">
        <w:t>rok</w:t>
      </w:r>
      <w:r>
        <w:t xml:space="preserve"> </w:t>
      </w:r>
      <w:r w:rsidRPr="007A291F">
        <w:t>nejpozději</w:t>
      </w:r>
      <w:r>
        <w:t xml:space="preserve"> </w:t>
      </w:r>
      <w:r w:rsidRPr="007A291F">
        <w:t>do</w:t>
      </w:r>
      <w:r>
        <w:t xml:space="preserve"> </w:t>
      </w:r>
      <w:r w:rsidRPr="007A291F">
        <w:t>31.</w:t>
      </w:r>
      <w:r>
        <w:t xml:space="preserve"> </w:t>
      </w:r>
      <w:r w:rsidRPr="007A291F">
        <w:t>srpna</w:t>
      </w:r>
      <w:r>
        <w:t xml:space="preserve"> </w:t>
      </w:r>
      <w:r w:rsidRPr="007A291F">
        <w:t>tohoto</w:t>
      </w:r>
      <w:r>
        <w:t xml:space="preserve"> </w:t>
      </w:r>
      <w:r w:rsidRPr="007A291F">
        <w:t>roku.</w:t>
      </w:r>
    </w:p>
    <w:p w14:paraId="13F3DF73" w14:textId="77777777" w:rsidR="004A05E7" w:rsidRDefault="004A05E7" w:rsidP="004A05E7">
      <w:pPr>
        <w:pStyle w:val="Textparagrafu"/>
        <w:tabs>
          <w:tab w:val="left" w:pos="392"/>
        </w:tabs>
        <w:ind w:firstLine="0"/>
        <w:jc w:val="center"/>
      </w:pPr>
    </w:p>
    <w:p w14:paraId="369E0920" w14:textId="58BF3710" w:rsidR="004A05E7" w:rsidRDefault="004A05E7" w:rsidP="005B27F0">
      <w:pPr>
        <w:pStyle w:val="Odstavecseseznamem"/>
        <w:tabs>
          <w:tab w:val="left" w:pos="851"/>
        </w:tabs>
        <w:spacing w:before="120" w:after="120"/>
        <w:ind w:left="0" w:firstLine="0"/>
        <w:outlineLvl w:val="0"/>
        <w:rPr>
          <w:b/>
          <w:szCs w:val="24"/>
          <w:highlight w:val="red"/>
        </w:rPr>
        <w:sectPr w:rsidR="004A05E7" w:rsidSect="00084391">
          <w:footnotePr>
            <w:numStart w:val="3"/>
          </w:footnotePr>
          <w:endnotePr>
            <w:numFmt w:val="decimal"/>
          </w:endnotePr>
          <w:pgSz w:w="11906" w:h="16838"/>
          <w:pgMar w:top="1418" w:right="1418" w:bottom="1418" w:left="1418" w:header="709" w:footer="709" w:gutter="0"/>
          <w:cols w:space="708"/>
          <w:docGrid w:linePitch="360"/>
        </w:sectPr>
      </w:pPr>
    </w:p>
    <w:p w14:paraId="0BE2754B" w14:textId="0982EDD0" w:rsidR="005B27F0" w:rsidRPr="00CE0DEB" w:rsidRDefault="005B27F0" w:rsidP="00F62595">
      <w:pPr>
        <w:pStyle w:val="Odstavecseseznamem"/>
        <w:tabs>
          <w:tab w:val="left" w:pos="851"/>
        </w:tabs>
        <w:spacing w:before="120" w:after="120"/>
        <w:ind w:left="0" w:firstLine="0"/>
        <w:jc w:val="center"/>
        <w:outlineLvl w:val="0"/>
        <w:rPr>
          <w:szCs w:val="24"/>
        </w:rPr>
      </w:pPr>
      <w:r w:rsidRPr="0025431B">
        <w:rPr>
          <w:b/>
          <w:szCs w:val="24"/>
        </w:rPr>
        <w:lastRenderedPageBreak/>
        <w:t xml:space="preserve">K části dvacáté </w:t>
      </w:r>
      <w:r w:rsidR="0025431B" w:rsidRPr="0025431B">
        <w:rPr>
          <w:b/>
          <w:szCs w:val="24"/>
        </w:rPr>
        <w:t>sedmé</w:t>
      </w:r>
      <w:r w:rsidRPr="0025431B">
        <w:rPr>
          <w:b/>
          <w:szCs w:val="24"/>
        </w:rPr>
        <w:t xml:space="preserve"> návrhu zákona </w:t>
      </w:r>
      <w:r w:rsidRPr="0025431B">
        <w:rPr>
          <w:szCs w:val="24"/>
        </w:rPr>
        <w:t>– změna zákona o zpravodajských službách České republiky</w:t>
      </w:r>
    </w:p>
    <w:p w14:paraId="09BA8129" w14:textId="77777777" w:rsidR="005B27F0" w:rsidRPr="00383BB6" w:rsidRDefault="005B27F0" w:rsidP="005B27F0">
      <w:pPr>
        <w:pStyle w:val="Odstavecseseznamem"/>
        <w:tabs>
          <w:tab w:val="left" w:pos="851"/>
        </w:tabs>
        <w:spacing w:before="120" w:after="120"/>
        <w:ind w:left="0" w:firstLine="0"/>
        <w:outlineLvl w:val="0"/>
        <w:rPr>
          <w:b/>
          <w:szCs w:val="24"/>
        </w:rPr>
      </w:pPr>
    </w:p>
    <w:p w14:paraId="52F9BD3D" w14:textId="07A094EB" w:rsidR="005B27F0" w:rsidRPr="00383BB6" w:rsidRDefault="005B27F0" w:rsidP="005B27F0">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383BB6">
        <w:rPr>
          <w:b/>
          <w:szCs w:val="24"/>
        </w:rPr>
        <w:t>Platné znění</w:t>
      </w:r>
      <w:r w:rsidRPr="00383BB6">
        <w:rPr>
          <w:szCs w:val="24"/>
        </w:rPr>
        <w:t xml:space="preserve"> zákona </w:t>
      </w:r>
      <w:r w:rsidRPr="00383BB6">
        <w:rPr>
          <w:color w:val="000000"/>
          <w:szCs w:val="24"/>
        </w:rPr>
        <w:t>č. </w:t>
      </w:r>
      <w:r>
        <w:rPr>
          <w:color w:val="000000"/>
          <w:szCs w:val="24"/>
        </w:rPr>
        <w:t>153</w:t>
      </w:r>
      <w:r w:rsidRPr="00383BB6">
        <w:rPr>
          <w:color w:val="000000"/>
          <w:szCs w:val="24"/>
        </w:rPr>
        <w:t>/199</w:t>
      </w:r>
      <w:r>
        <w:rPr>
          <w:color w:val="000000"/>
          <w:szCs w:val="24"/>
        </w:rPr>
        <w:t>4</w:t>
      </w:r>
      <w:r w:rsidRPr="00383BB6">
        <w:rPr>
          <w:color w:val="000000"/>
          <w:szCs w:val="24"/>
        </w:rPr>
        <w:t xml:space="preserve"> Sb., </w:t>
      </w:r>
      <w:r w:rsidRPr="005B27F0">
        <w:rPr>
          <w:szCs w:val="24"/>
        </w:rPr>
        <w:t>o zpravodajských službách České republiky</w:t>
      </w:r>
    </w:p>
    <w:p w14:paraId="28054149" w14:textId="77777777" w:rsidR="00F62595" w:rsidRPr="00A06781" w:rsidRDefault="00F62595" w:rsidP="00F62595">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b/>
          <w:szCs w:val="24"/>
        </w:rPr>
      </w:pPr>
      <w:r w:rsidRPr="00A06781">
        <w:rPr>
          <w:b/>
          <w:szCs w:val="24"/>
        </w:rPr>
        <w:t>s vyznačením navrhovaných změn a doplnění k 1. lednu 2025</w:t>
      </w:r>
    </w:p>
    <w:p w14:paraId="5659E3BF" w14:textId="77777777" w:rsidR="005B27F0" w:rsidRDefault="005B27F0" w:rsidP="005B27F0">
      <w:pPr>
        <w:pStyle w:val="Textparagrafu"/>
        <w:tabs>
          <w:tab w:val="left" w:pos="392"/>
        </w:tabs>
        <w:ind w:firstLine="0"/>
        <w:jc w:val="center"/>
      </w:pPr>
      <w:r>
        <w:t>***</w:t>
      </w:r>
    </w:p>
    <w:p w14:paraId="0FC9E550" w14:textId="77777777" w:rsidR="0025431B" w:rsidRDefault="0025431B" w:rsidP="0025431B">
      <w:pPr>
        <w:pStyle w:val="Paragraf"/>
        <w:numPr>
          <w:ilvl w:val="0"/>
          <w:numId w:val="29"/>
        </w:numPr>
      </w:pPr>
      <w:r w:rsidRPr="00B70EA5">
        <w:t>§</w:t>
      </w:r>
      <w:r>
        <w:t xml:space="preserve"> </w:t>
      </w:r>
      <w:r w:rsidRPr="00B70EA5">
        <w:t>3</w:t>
      </w:r>
      <w:r>
        <w:t xml:space="preserve">  </w:t>
      </w:r>
    </w:p>
    <w:p w14:paraId="4F6EE429" w14:textId="77777777" w:rsidR="0025431B" w:rsidRDefault="0025431B" w:rsidP="0025431B">
      <w:pPr>
        <w:pStyle w:val="PZTextodstavce"/>
      </w:pPr>
      <w:r w:rsidRPr="00E218B5">
        <w:rPr>
          <w:b/>
        </w:rPr>
        <w:t>(1)</w:t>
      </w:r>
      <w:r>
        <w:t xml:space="preserve"> </w:t>
      </w:r>
      <w:r w:rsidRPr="00B70EA5">
        <w:t>V</w:t>
      </w:r>
      <w:r>
        <w:t xml:space="preserve"> </w:t>
      </w:r>
      <w:r w:rsidRPr="00B70EA5">
        <w:t>České</w:t>
      </w:r>
      <w:r>
        <w:t xml:space="preserve"> </w:t>
      </w:r>
      <w:r w:rsidRPr="00B70EA5">
        <w:t>republice</w:t>
      </w:r>
      <w:r>
        <w:t xml:space="preserve"> </w:t>
      </w:r>
      <w:r w:rsidRPr="00B70EA5">
        <w:t>působí</w:t>
      </w:r>
      <w:r>
        <w:t xml:space="preserve"> </w:t>
      </w:r>
      <w:r w:rsidRPr="00B70EA5">
        <w:t>tyto</w:t>
      </w:r>
      <w:r>
        <w:t xml:space="preserve"> </w:t>
      </w:r>
      <w:r w:rsidRPr="00B70EA5">
        <w:t>zpravodajské</w:t>
      </w:r>
      <w:r>
        <w:t xml:space="preserve"> </w:t>
      </w:r>
      <w:r w:rsidRPr="00B70EA5">
        <w:t>služby:</w:t>
      </w:r>
    </w:p>
    <w:p w14:paraId="6C33D847" w14:textId="77777777" w:rsidR="0025431B" w:rsidRDefault="0025431B" w:rsidP="0025431B">
      <w:pPr>
        <w:pStyle w:val="PZTextpsmene"/>
        <w:spacing w:before="0"/>
      </w:pPr>
      <w:r w:rsidRPr="00B70EA5">
        <w:t>a</w:t>
      </w:r>
      <w:r>
        <w:t>)</w:t>
      </w:r>
      <w:r>
        <w:tab/>
      </w:r>
      <w:r w:rsidRPr="00B70EA5">
        <w:t>Bezpečnostní</w:t>
      </w:r>
      <w:r>
        <w:t xml:space="preserve"> </w:t>
      </w:r>
      <w:r w:rsidRPr="00B70EA5">
        <w:t>informační</w:t>
      </w:r>
      <w:r>
        <w:t xml:space="preserve"> </w:t>
      </w:r>
      <w:r w:rsidRPr="00B70EA5">
        <w:t>služba,</w:t>
      </w:r>
      <w:r>
        <w:t xml:space="preserve"> </w:t>
      </w:r>
      <w:r w:rsidRPr="00B70EA5">
        <w:t>jejíž</w:t>
      </w:r>
      <w:r>
        <w:t xml:space="preserve"> </w:t>
      </w:r>
      <w:r w:rsidRPr="00B70EA5">
        <w:t>příjmy</w:t>
      </w:r>
      <w:r>
        <w:t xml:space="preserve"> </w:t>
      </w:r>
      <w:r w:rsidRPr="00B70EA5">
        <w:t>a</w:t>
      </w:r>
      <w:r>
        <w:t xml:space="preserve"> </w:t>
      </w:r>
      <w:r w:rsidRPr="00B70EA5">
        <w:t>výdaje</w:t>
      </w:r>
      <w:r>
        <w:t xml:space="preserve"> </w:t>
      </w:r>
      <w:r w:rsidRPr="00B70EA5">
        <w:t>tvoří</w:t>
      </w:r>
      <w:r>
        <w:t xml:space="preserve"> </w:t>
      </w:r>
      <w:r w:rsidRPr="00B70EA5">
        <w:t>samostatnou</w:t>
      </w:r>
      <w:r>
        <w:t xml:space="preserve"> </w:t>
      </w:r>
      <w:r w:rsidRPr="00B70EA5">
        <w:t>kapitolu</w:t>
      </w:r>
      <w:r>
        <w:t xml:space="preserve"> </w:t>
      </w:r>
      <w:r w:rsidRPr="00B70EA5">
        <w:t>státního</w:t>
      </w:r>
      <w:r>
        <w:t xml:space="preserve"> </w:t>
      </w:r>
      <w:r w:rsidRPr="00B70EA5">
        <w:t>rozpočtu,</w:t>
      </w:r>
    </w:p>
    <w:p w14:paraId="1BFCFE67" w14:textId="77777777" w:rsidR="0025431B" w:rsidRDefault="0025431B" w:rsidP="0025431B">
      <w:pPr>
        <w:pStyle w:val="PZTextpsmene"/>
        <w:spacing w:before="0"/>
      </w:pPr>
      <w:r w:rsidRPr="00B70EA5">
        <w:t>b</w:t>
      </w:r>
      <w:r>
        <w:t>)</w:t>
      </w:r>
      <w:r>
        <w:tab/>
      </w:r>
      <w:r w:rsidRPr="00B70EA5">
        <w:t>Úřad</w:t>
      </w:r>
      <w:r>
        <w:t xml:space="preserve"> </w:t>
      </w:r>
      <w:r w:rsidRPr="00B70EA5">
        <w:t>pro</w:t>
      </w:r>
      <w:r>
        <w:t xml:space="preserve"> </w:t>
      </w:r>
      <w:r w:rsidRPr="00B70EA5">
        <w:t>zahraniční</w:t>
      </w:r>
      <w:r>
        <w:t xml:space="preserve"> </w:t>
      </w:r>
      <w:r w:rsidRPr="00B70EA5">
        <w:t>styky</w:t>
      </w:r>
      <w:r>
        <w:t xml:space="preserve"> </w:t>
      </w:r>
      <w:r w:rsidRPr="00B70EA5">
        <w:t>a</w:t>
      </w:r>
      <w:r>
        <w:t xml:space="preserve"> </w:t>
      </w:r>
      <w:r w:rsidRPr="00B70EA5">
        <w:t>informace,</w:t>
      </w:r>
      <w:r>
        <w:t xml:space="preserve"> </w:t>
      </w:r>
      <w:r w:rsidRPr="00B70EA5">
        <w:t>jehož</w:t>
      </w:r>
      <w:r>
        <w:t xml:space="preserve"> </w:t>
      </w:r>
      <w:r w:rsidRPr="00B70EA5">
        <w:t>rozpočet</w:t>
      </w:r>
      <w:r>
        <w:t xml:space="preserve"> </w:t>
      </w:r>
      <w:r w:rsidRPr="00B70EA5">
        <w:t>je</w:t>
      </w:r>
      <w:r>
        <w:t xml:space="preserve"> </w:t>
      </w:r>
      <w:r w:rsidRPr="00B70EA5">
        <w:t>součástí</w:t>
      </w:r>
      <w:r>
        <w:t xml:space="preserve"> </w:t>
      </w:r>
      <w:r w:rsidRPr="00B70EA5">
        <w:t>rozpočtové</w:t>
      </w:r>
      <w:r>
        <w:t xml:space="preserve"> </w:t>
      </w:r>
      <w:r w:rsidRPr="00B70EA5">
        <w:t>kapitoly</w:t>
      </w:r>
      <w:r>
        <w:t xml:space="preserve"> </w:t>
      </w:r>
      <w:r w:rsidRPr="00B70EA5">
        <w:t>Ministerstva</w:t>
      </w:r>
      <w:r>
        <w:t xml:space="preserve"> </w:t>
      </w:r>
      <w:r w:rsidRPr="00B70EA5">
        <w:t>vnitra,</w:t>
      </w:r>
    </w:p>
    <w:p w14:paraId="53B86A64" w14:textId="77777777" w:rsidR="0025431B" w:rsidRDefault="0025431B" w:rsidP="0025431B">
      <w:pPr>
        <w:pStyle w:val="PZTextpsmene"/>
        <w:spacing w:before="0"/>
      </w:pPr>
      <w:r w:rsidRPr="00B70EA5">
        <w:t>c</w:t>
      </w:r>
      <w:r>
        <w:t>)</w:t>
      </w:r>
      <w:r>
        <w:tab/>
      </w:r>
      <w:r w:rsidRPr="00B70EA5">
        <w:t>Vojenské</w:t>
      </w:r>
      <w:r>
        <w:t xml:space="preserve"> </w:t>
      </w:r>
      <w:r w:rsidRPr="00B70EA5">
        <w:t>zpravodajství</w:t>
      </w:r>
      <w:r>
        <w:t xml:space="preserve"> </w:t>
      </w:r>
      <w:r w:rsidRPr="00B70EA5">
        <w:t>jako</w:t>
      </w:r>
      <w:r>
        <w:t xml:space="preserve"> </w:t>
      </w:r>
      <w:r w:rsidRPr="00B70EA5">
        <w:t>součást</w:t>
      </w:r>
      <w:r>
        <w:t xml:space="preserve"> </w:t>
      </w:r>
      <w:r w:rsidRPr="00B70EA5">
        <w:t>Ministerstva</w:t>
      </w:r>
      <w:r>
        <w:t xml:space="preserve"> </w:t>
      </w:r>
      <w:r w:rsidRPr="00B70EA5">
        <w:t>obrany</w:t>
      </w:r>
      <w:r>
        <w:rPr>
          <w:rStyle w:val="Znakapoznpodarou"/>
        </w:rPr>
        <w:footnoteReference w:customMarkFollows="1" w:id="210"/>
        <w:t>2)</w:t>
      </w:r>
      <w:r w:rsidRPr="00B70EA5">
        <w:t>.</w:t>
      </w:r>
    </w:p>
    <w:p w14:paraId="64D66846" w14:textId="77777777" w:rsidR="0025431B" w:rsidRPr="00E218B5" w:rsidRDefault="0025431B" w:rsidP="0025431B">
      <w:pPr>
        <w:pStyle w:val="Textparagrafu"/>
        <w:rPr>
          <w:b/>
        </w:rPr>
      </w:pPr>
      <w:r w:rsidRPr="00E218B5">
        <w:rPr>
          <w:b/>
        </w:rPr>
        <w:t>(2) Úřad pro zahraniční styky a informace není účetní jednotkou.</w:t>
      </w:r>
    </w:p>
    <w:p w14:paraId="5182F000" w14:textId="2FE21845" w:rsidR="005B27F0" w:rsidRDefault="005B27F0" w:rsidP="005B27F0">
      <w:pPr>
        <w:pStyle w:val="Textparagrafu"/>
        <w:tabs>
          <w:tab w:val="left" w:pos="392"/>
        </w:tabs>
        <w:ind w:firstLine="0"/>
        <w:jc w:val="center"/>
      </w:pPr>
    </w:p>
    <w:p w14:paraId="11A62A1B" w14:textId="77777777" w:rsidR="005B27F0" w:rsidRDefault="005B27F0" w:rsidP="00223B5D">
      <w:pPr>
        <w:pStyle w:val="Textparagrafu"/>
        <w:tabs>
          <w:tab w:val="left" w:pos="392"/>
        </w:tabs>
        <w:ind w:firstLine="0"/>
        <w:jc w:val="center"/>
        <w:sectPr w:rsidR="005B27F0" w:rsidSect="00084391">
          <w:footnotePr>
            <w:numStart w:val="3"/>
          </w:footnotePr>
          <w:endnotePr>
            <w:numFmt w:val="decimal"/>
          </w:endnotePr>
          <w:pgSz w:w="11906" w:h="16838"/>
          <w:pgMar w:top="1418" w:right="1418" w:bottom="1418" w:left="1418" w:header="709" w:footer="709" w:gutter="0"/>
          <w:cols w:space="708"/>
          <w:docGrid w:linePitch="360"/>
        </w:sectPr>
      </w:pPr>
    </w:p>
    <w:p w14:paraId="2E5A787A" w14:textId="463325C5" w:rsidR="005B27F0" w:rsidRPr="00812ECA" w:rsidRDefault="005B27F0" w:rsidP="00CE2C91">
      <w:pPr>
        <w:pStyle w:val="Odstavecseseznamem"/>
        <w:tabs>
          <w:tab w:val="left" w:pos="851"/>
        </w:tabs>
        <w:spacing w:before="120" w:after="120"/>
        <w:ind w:left="0" w:firstLine="0"/>
        <w:jc w:val="center"/>
        <w:outlineLvl w:val="0"/>
        <w:rPr>
          <w:szCs w:val="24"/>
        </w:rPr>
      </w:pPr>
      <w:r w:rsidRPr="00812ECA">
        <w:rPr>
          <w:b/>
          <w:szCs w:val="24"/>
        </w:rPr>
        <w:lastRenderedPageBreak/>
        <w:t xml:space="preserve">K části dvacáté </w:t>
      </w:r>
      <w:r w:rsidR="00087E65" w:rsidRPr="00812ECA">
        <w:rPr>
          <w:b/>
          <w:szCs w:val="24"/>
        </w:rPr>
        <w:t>osmé</w:t>
      </w:r>
      <w:r w:rsidRPr="00812ECA">
        <w:rPr>
          <w:b/>
          <w:szCs w:val="24"/>
        </w:rPr>
        <w:t xml:space="preserve"> návrhu zákona – </w:t>
      </w:r>
      <w:r w:rsidRPr="00812ECA">
        <w:rPr>
          <w:szCs w:val="24"/>
        </w:rPr>
        <w:t>změna zákona o dráhách</w:t>
      </w:r>
    </w:p>
    <w:p w14:paraId="5FCCA21B" w14:textId="77777777" w:rsidR="005B27F0" w:rsidRPr="00812ECA" w:rsidRDefault="005B27F0" w:rsidP="005B27F0">
      <w:pPr>
        <w:pStyle w:val="Odstavecseseznamem"/>
        <w:tabs>
          <w:tab w:val="left" w:pos="851"/>
        </w:tabs>
        <w:spacing w:before="120" w:after="120"/>
        <w:ind w:left="0" w:firstLine="0"/>
        <w:outlineLvl w:val="0"/>
        <w:rPr>
          <w:b/>
          <w:szCs w:val="24"/>
        </w:rPr>
      </w:pPr>
    </w:p>
    <w:p w14:paraId="4873D214" w14:textId="288C2461" w:rsidR="005B27F0" w:rsidRPr="00812ECA" w:rsidRDefault="005B27F0" w:rsidP="005B27F0">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812ECA">
        <w:rPr>
          <w:b/>
          <w:szCs w:val="24"/>
        </w:rPr>
        <w:t>Platné znění</w:t>
      </w:r>
      <w:r w:rsidRPr="00812ECA">
        <w:rPr>
          <w:szCs w:val="24"/>
        </w:rPr>
        <w:t xml:space="preserve"> zákona </w:t>
      </w:r>
      <w:r w:rsidRPr="00812ECA">
        <w:rPr>
          <w:color w:val="000000"/>
          <w:szCs w:val="24"/>
        </w:rPr>
        <w:t xml:space="preserve">č. 266/1994 Sb., </w:t>
      </w:r>
      <w:r w:rsidRPr="00812ECA">
        <w:rPr>
          <w:szCs w:val="24"/>
        </w:rPr>
        <w:t xml:space="preserve">o </w:t>
      </w:r>
      <w:r w:rsidR="00024DD2" w:rsidRPr="00812ECA">
        <w:rPr>
          <w:szCs w:val="24"/>
        </w:rPr>
        <w:t>dráhách</w:t>
      </w:r>
    </w:p>
    <w:p w14:paraId="5FB75550" w14:textId="46B203F8" w:rsidR="005B27F0" w:rsidRPr="00CE2C91" w:rsidRDefault="00CE2C91" w:rsidP="00CE2C91">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b/>
          <w:szCs w:val="24"/>
        </w:rPr>
      </w:pPr>
      <w:r w:rsidRPr="00A06781">
        <w:rPr>
          <w:b/>
          <w:szCs w:val="24"/>
        </w:rPr>
        <w:t>s vyznačením navrhovaných změn a doplnění k 1. lednu 2025</w:t>
      </w:r>
    </w:p>
    <w:p w14:paraId="0F3E83FF" w14:textId="556A941B" w:rsidR="005B27F0" w:rsidRDefault="005B27F0" w:rsidP="000D0796">
      <w:pPr>
        <w:pStyle w:val="Textparagrafu"/>
        <w:tabs>
          <w:tab w:val="left" w:pos="392"/>
        </w:tabs>
        <w:ind w:firstLine="0"/>
        <w:jc w:val="center"/>
      </w:pPr>
      <w:r w:rsidRPr="00812ECA">
        <w:t>***</w:t>
      </w:r>
    </w:p>
    <w:p w14:paraId="5332F330" w14:textId="77777777" w:rsidR="00C672D4" w:rsidRDefault="00C672D4" w:rsidP="000D0796">
      <w:pPr>
        <w:pStyle w:val="Textparagrafu"/>
        <w:ind w:firstLine="0"/>
        <w:jc w:val="center"/>
      </w:pPr>
      <w:r w:rsidRPr="004215D4">
        <w:t>§</w:t>
      </w:r>
      <w:r>
        <w:t xml:space="preserve"> </w:t>
      </w:r>
      <w:r w:rsidRPr="004215D4">
        <w:t>14a</w:t>
      </w:r>
    </w:p>
    <w:p w14:paraId="64A8598B" w14:textId="77777777" w:rsidR="00C672D4" w:rsidRPr="00785B19" w:rsidRDefault="00C672D4" w:rsidP="00CE2C91">
      <w:pPr>
        <w:pStyle w:val="Textparagrafu"/>
        <w:spacing w:before="120" w:after="120"/>
        <w:rPr>
          <w:szCs w:val="24"/>
        </w:rPr>
      </w:pPr>
      <w:r w:rsidRPr="00785B19">
        <w:rPr>
          <w:szCs w:val="24"/>
        </w:rPr>
        <w:t>(1) Finanční způsobilostí k provozování dráhy celostátní nebo dráhy regionální se rozumí schopnost provozovatele dráhy finančně zabezpečit zahájení a řádné provozování dráhy pro potřeby plynulé a bezpečné drážní dopravy.</w:t>
      </w:r>
    </w:p>
    <w:p w14:paraId="298012EC" w14:textId="77777777" w:rsidR="00C672D4" w:rsidRPr="00785B19" w:rsidRDefault="00C672D4" w:rsidP="00CE2C91">
      <w:pPr>
        <w:pStyle w:val="Textparagrafu"/>
        <w:spacing w:before="120" w:after="120"/>
        <w:rPr>
          <w:szCs w:val="24"/>
        </w:rPr>
      </w:pPr>
      <w:r w:rsidRPr="00785B19">
        <w:rPr>
          <w:szCs w:val="24"/>
        </w:rPr>
        <w:t>(2) Finanční způsobilost se prokazuje</w:t>
      </w:r>
    </w:p>
    <w:p w14:paraId="3162B104" w14:textId="1BD60C17" w:rsidR="00C672D4" w:rsidRPr="00785B19" w:rsidRDefault="00C672D4" w:rsidP="00812ECA">
      <w:pPr>
        <w:pStyle w:val="Textparagrafu"/>
        <w:tabs>
          <w:tab w:val="left" w:pos="406"/>
        </w:tabs>
        <w:spacing w:before="0"/>
        <w:ind w:left="426" w:hanging="426"/>
        <w:rPr>
          <w:szCs w:val="24"/>
        </w:rPr>
      </w:pPr>
      <w:r w:rsidRPr="00785B19">
        <w:rPr>
          <w:szCs w:val="24"/>
        </w:rPr>
        <w:t>a)</w:t>
      </w:r>
      <w:r w:rsidR="00937F01" w:rsidRPr="00785B19">
        <w:rPr>
          <w:szCs w:val="24"/>
        </w:rPr>
        <w:tab/>
      </w:r>
      <w:r w:rsidRPr="00785B19">
        <w:rPr>
          <w:szCs w:val="24"/>
        </w:rPr>
        <w:t xml:space="preserve">podrobným obchodním rozpočtem na </w:t>
      </w:r>
      <w:r w:rsidRPr="00785B19">
        <w:rPr>
          <w:strike/>
          <w:szCs w:val="24"/>
        </w:rPr>
        <w:t>roční</w:t>
      </w:r>
      <w:r w:rsidRPr="00785B19">
        <w:rPr>
          <w:szCs w:val="24"/>
        </w:rPr>
        <w:t xml:space="preserve"> </w:t>
      </w:r>
      <w:r w:rsidR="00785B19">
        <w:rPr>
          <w:b/>
          <w:szCs w:val="24"/>
        </w:rPr>
        <w:t xml:space="preserve">individuální </w:t>
      </w:r>
      <w:r w:rsidRPr="00785B19">
        <w:rPr>
          <w:szCs w:val="24"/>
        </w:rPr>
        <w:t>účetní období, ve kterém příjmy z poplatků za použití dopravní cesty dráhy, náklady na údržbu a opravy dráhy pro účely zajištění její provozuschopnosti a další náklady na zajištění provozování dráhy musí být uvedeny odděleně, s uvedením ostatních obchodních a provozních příjmů a plateb a přehledu dlužníků a věřitelů,</w:t>
      </w:r>
    </w:p>
    <w:p w14:paraId="322DB2A8" w14:textId="60D9292B" w:rsidR="00C672D4" w:rsidRPr="00785B19" w:rsidRDefault="00C672D4" w:rsidP="00812ECA">
      <w:pPr>
        <w:pStyle w:val="Textparagrafu"/>
        <w:tabs>
          <w:tab w:val="left" w:pos="406"/>
        </w:tabs>
        <w:spacing w:before="0"/>
        <w:ind w:left="426" w:hanging="426"/>
        <w:rPr>
          <w:szCs w:val="24"/>
        </w:rPr>
      </w:pPr>
      <w:r w:rsidRPr="00785B19">
        <w:rPr>
          <w:szCs w:val="24"/>
        </w:rPr>
        <w:t>b)</w:t>
      </w:r>
      <w:r w:rsidR="00937F01" w:rsidRPr="00785B19">
        <w:rPr>
          <w:szCs w:val="24"/>
        </w:rPr>
        <w:tab/>
      </w:r>
      <w:r w:rsidRPr="00785B19">
        <w:rPr>
          <w:szCs w:val="24"/>
        </w:rPr>
        <w:t>objemem dostupných finančních prostředků včetně stavu bankovních účtů a úvěrů,</w:t>
      </w:r>
    </w:p>
    <w:p w14:paraId="1E2BA675" w14:textId="060D3DCD" w:rsidR="00C672D4" w:rsidRPr="00785B19" w:rsidRDefault="00C672D4" w:rsidP="00812ECA">
      <w:pPr>
        <w:pStyle w:val="Textparagrafu"/>
        <w:tabs>
          <w:tab w:val="left" w:pos="406"/>
        </w:tabs>
        <w:spacing w:before="0"/>
        <w:ind w:left="426" w:hanging="426"/>
        <w:rPr>
          <w:szCs w:val="24"/>
        </w:rPr>
      </w:pPr>
      <w:r w:rsidRPr="00785B19">
        <w:rPr>
          <w:szCs w:val="24"/>
        </w:rPr>
        <w:t>c)</w:t>
      </w:r>
      <w:r w:rsidR="00937F01" w:rsidRPr="00785B19">
        <w:rPr>
          <w:szCs w:val="24"/>
        </w:rPr>
        <w:tab/>
      </w:r>
      <w:r w:rsidRPr="00785B19">
        <w:rPr>
          <w:szCs w:val="24"/>
        </w:rPr>
        <w:t>provozním kapitálem,</w:t>
      </w:r>
    </w:p>
    <w:p w14:paraId="0B9D9EAA" w14:textId="7D9A9F0D" w:rsidR="00C672D4" w:rsidRDefault="00C672D4" w:rsidP="00812ECA">
      <w:pPr>
        <w:pStyle w:val="Textparagrafu"/>
        <w:tabs>
          <w:tab w:val="left" w:pos="406"/>
        </w:tabs>
        <w:spacing w:before="0"/>
        <w:ind w:left="426" w:hanging="426"/>
        <w:rPr>
          <w:strike/>
          <w:szCs w:val="24"/>
        </w:rPr>
      </w:pPr>
      <w:r w:rsidRPr="00785B19">
        <w:rPr>
          <w:strike/>
          <w:szCs w:val="24"/>
        </w:rPr>
        <w:t>d)</w:t>
      </w:r>
      <w:r w:rsidR="00937F01" w:rsidRPr="00785B19">
        <w:rPr>
          <w:strike/>
          <w:szCs w:val="24"/>
        </w:rPr>
        <w:tab/>
      </w:r>
      <w:r w:rsidRPr="00785B19">
        <w:rPr>
          <w:strike/>
          <w:szCs w:val="24"/>
        </w:rPr>
        <w:t>účetní závěrkou ověřenou auditorem, včetně její přílohy v úplném rozsahu, (výkaz o peněžních tocích) v případě, že provozovatel dráhy v předcházejícím ročním účetním období vykonával podnikatelskou činnost.</w:t>
      </w:r>
    </w:p>
    <w:p w14:paraId="2FD4A79D" w14:textId="5EE0F591" w:rsidR="00785B19" w:rsidRPr="00785B19" w:rsidRDefault="00785B19" w:rsidP="00812ECA">
      <w:pPr>
        <w:pStyle w:val="Textparagrafu"/>
        <w:tabs>
          <w:tab w:val="left" w:pos="406"/>
        </w:tabs>
        <w:spacing w:before="0"/>
        <w:ind w:left="426" w:hanging="426"/>
        <w:rPr>
          <w:b/>
          <w:szCs w:val="24"/>
        </w:rPr>
      </w:pPr>
      <w:r w:rsidRPr="00785B19">
        <w:rPr>
          <w:b/>
          <w:szCs w:val="24"/>
        </w:rPr>
        <w:t>d)</w:t>
      </w:r>
      <w:r>
        <w:rPr>
          <w:b/>
          <w:szCs w:val="24"/>
        </w:rPr>
        <w:tab/>
      </w:r>
      <w:r w:rsidRPr="007E389E">
        <w:rPr>
          <w:b/>
        </w:rPr>
        <w:t>řádnou individuální</w:t>
      </w:r>
      <w:r w:rsidRPr="007E389E">
        <w:t xml:space="preserve"> </w:t>
      </w:r>
      <w:r w:rsidRPr="007861F8">
        <w:rPr>
          <w:b/>
          <w:bCs/>
        </w:rPr>
        <w:t>účetní závěrkou</w:t>
      </w:r>
      <w:r w:rsidRPr="004C542C">
        <w:rPr>
          <w:b/>
          <w:bCs/>
        </w:rPr>
        <w:t xml:space="preserve"> </w:t>
      </w:r>
      <w:r w:rsidRPr="007E389E">
        <w:rPr>
          <w:b/>
          <w:bCs/>
        </w:rPr>
        <w:t>za poslední individuální účetní období</w:t>
      </w:r>
      <w:r>
        <w:rPr>
          <w:b/>
          <w:bCs/>
        </w:rPr>
        <w:t xml:space="preserve"> a zprávou auditora o povinném auditu</w:t>
      </w:r>
      <w:r w:rsidRPr="007E389E">
        <w:t xml:space="preserve"> </w:t>
      </w:r>
      <w:r>
        <w:rPr>
          <w:b/>
          <w:bCs/>
        </w:rPr>
        <w:t xml:space="preserve">v případě, že provozovatel dráhy v posledním </w:t>
      </w:r>
      <w:r w:rsidRPr="007E389E">
        <w:rPr>
          <w:b/>
        </w:rPr>
        <w:t xml:space="preserve">individuálním </w:t>
      </w:r>
      <w:r w:rsidRPr="00111949">
        <w:rPr>
          <w:b/>
          <w:bCs/>
        </w:rPr>
        <w:t>účetním období</w:t>
      </w:r>
      <w:r w:rsidRPr="007E389E">
        <w:t xml:space="preserve"> </w:t>
      </w:r>
      <w:r w:rsidRPr="00981BE2">
        <w:rPr>
          <w:b/>
          <w:bCs/>
        </w:rPr>
        <w:t>vykonával podnikatelskou činnost;</w:t>
      </w:r>
      <w:r w:rsidRPr="007E389E">
        <w:rPr>
          <w:b/>
        </w:rPr>
        <w:t xml:space="preserve"> pro tyto účely </w:t>
      </w:r>
      <w:r>
        <w:rPr>
          <w:b/>
        </w:rPr>
        <w:t xml:space="preserve">musí být </w:t>
      </w:r>
      <w:r w:rsidRPr="007E389E">
        <w:rPr>
          <w:b/>
        </w:rPr>
        <w:t>účetní závěrk</w:t>
      </w:r>
      <w:r>
        <w:rPr>
          <w:b/>
        </w:rPr>
        <w:t>a sestavena v rozsahu stanoveném pro velké účetní jednotky a</w:t>
      </w:r>
      <w:r w:rsidRPr="007E389E">
        <w:rPr>
          <w:b/>
        </w:rPr>
        <w:t xml:space="preserve"> </w:t>
      </w:r>
      <w:r>
        <w:rPr>
          <w:b/>
        </w:rPr>
        <w:t>provozovatel dráhy</w:t>
      </w:r>
      <w:r w:rsidRPr="007E389E">
        <w:rPr>
          <w:b/>
        </w:rPr>
        <w:t xml:space="preserve"> má povinnost </w:t>
      </w:r>
      <w:r>
        <w:rPr>
          <w:b/>
        </w:rPr>
        <w:t xml:space="preserve">jejího </w:t>
      </w:r>
      <w:r w:rsidRPr="007E389E">
        <w:rPr>
          <w:b/>
        </w:rPr>
        <w:t>auditu</w:t>
      </w:r>
      <w:r w:rsidRPr="007E389E">
        <w:t>.</w:t>
      </w:r>
    </w:p>
    <w:p w14:paraId="38DC902A" w14:textId="77777777" w:rsidR="00C672D4" w:rsidRPr="00785B19" w:rsidRDefault="00C672D4" w:rsidP="00CE2C91">
      <w:pPr>
        <w:pStyle w:val="Textparagrafu"/>
        <w:spacing w:before="120" w:after="120"/>
        <w:rPr>
          <w:szCs w:val="24"/>
        </w:rPr>
      </w:pPr>
      <w:r w:rsidRPr="00785B19">
        <w:rPr>
          <w:szCs w:val="24"/>
        </w:rPr>
        <w:t>(3) Podrobnější členění údajů podle odstavce 2 a způsob jejich výpočtu stanoví prováděcí předpis.</w:t>
      </w:r>
    </w:p>
    <w:p w14:paraId="04DA0193" w14:textId="6163340E" w:rsidR="00707E63" w:rsidRDefault="00C672D4" w:rsidP="00223B5D">
      <w:pPr>
        <w:pStyle w:val="Textparagrafu"/>
        <w:tabs>
          <w:tab w:val="left" w:pos="392"/>
        </w:tabs>
        <w:ind w:firstLine="0"/>
        <w:jc w:val="center"/>
      </w:pPr>
      <w:r>
        <w:t>***</w:t>
      </w:r>
    </w:p>
    <w:p w14:paraId="1725D604" w14:textId="77777777" w:rsidR="00785B19" w:rsidRDefault="00785B19" w:rsidP="00923AC3">
      <w:pPr>
        <w:pStyle w:val="Textparagrafu"/>
        <w:ind w:firstLine="0"/>
        <w:jc w:val="center"/>
      </w:pPr>
      <w:r w:rsidRPr="004215D4">
        <w:t>§</w:t>
      </w:r>
      <w:r>
        <w:t xml:space="preserve"> </w:t>
      </w:r>
      <w:r w:rsidRPr="004215D4">
        <w:t>23f</w:t>
      </w:r>
    </w:p>
    <w:p w14:paraId="21901D70" w14:textId="77777777" w:rsidR="00785B19" w:rsidRDefault="00785B19" w:rsidP="00CE2C91">
      <w:pPr>
        <w:pStyle w:val="Textparagrafu"/>
        <w:spacing w:before="120" w:after="120"/>
      </w:pPr>
      <w:r w:rsidRPr="004215D4">
        <w:t>(1)</w:t>
      </w:r>
      <w:r>
        <w:t xml:space="preserve"> </w:t>
      </w:r>
      <w:r w:rsidRPr="004215D4">
        <w:t>Dopravce,</w:t>
      </w:r>
      <w:r>
        <w:t xml:space="preserve"> </w:t>
      </w:r>
      <w:r w:rsidRPr="004215D4">
        <w:t>který</w:t>
      </w:r>
      <w:r>
        <w:t xml:space="preserve"> </w:t>
      </w:r>
      <w:r w:rsidRPr="004215D4">
        <w:t>má</w:t>
      </w:r>
      <w:r>
        <w:t xml:space="preserve"> </w:t>
      </w:r>
      <w:r w:rsidRPr="004215D4">
        <w:t>dominantní</w:t>
      </w:r>
      <w:r>
        <w:t xml:space="preserve"> </w:t>
      </w:r>
      <w:r w:rsidRPr="004215D4">
        <w:t>postavení</w:t>
      </w:r>
      <w:r>
        <w:t xml:space="preserve"> </w:t>
      </w:r>
      <w:r w:rsidRPr="004215D4">
        <w:t>na</w:t>
      </w:r>
      <w:r>
        <w:t xml:space="preserve"> </w:t>
      </w:r>
      <w:r w:rsidRPr="004215D4">
        <w:t>trhu</w:t>
      </w:r>
      <w:r>
        <w:t xml:space="preserve"> </w:t>
      </w:r>
      <w:r w:rsidRPr="004215D4">
        <w:t>osobní</w:t>
      </w:r>
      <w:r>
        <w:t xml:space="preserve"> </w:t>
      </w:r>
      <w:r w:rsidRPr="004215D4">
        <w:t>nebo</w:t>
      </w:r>
      <w:r>
        <w:t xml:space="preserve"> </w:t>
      </w:r>
      <w:r w:rsidRPr="004215D4">
        <w:t>nákladní</w:t>
      </w:r>
      <w:r>
        <w:t xml:space="preserve"> </w:t>
      </w:r>
      <w:r w:rsidRPr="004215D4">
        <w:t>železniční</w:t>
      </w:r>
      <w:r>
        <w:t xml:space="preserve"> </w:t>
      </w:r>
      <w:r w:rsidRPr="004215D4">
        <w:t>dopravy</w:t>
      </w:r>
      <w:r>
        <w:t xml:space="preserve"> </w:t>
      </w:r>
      <w:r w:rsidRPr="004215D4">
        <w:t>a</w:t>
      </w:r>
      <w:r>
        <w:t xml:space="preserve"> </w:t>
      </w:r>
      <w:r w:rsidRPr="004215D4">
        <w:t>který</w:t>
      </w:r>
      <w:r>
        <w:t xml:space="preserve"> </w:t>
      </w:r>
      <w:r w:rsidRPr="004215D4">
        <w:t>je</w:t>
      </w:r>
      <w:r>
        <w:t xml:space="preserve"> </w:t>
      </w:r>
      <w:r w:rsidRPr="004215D4">
        <w:t>současně</w:t>
      </w:r>
      <w:r>
        <w:t xml:space="preserve"> </w:t>
      </w:r>
      <w:r w:rsidRPr="004215D4">
        <w:t>provozovatelem</w:t>
      </w:r>
      <w:r>
        <w:t xml:space="preserve"> </w:t>
      </w:r>
      <w:r w:rsidRPr="004215D4">
        <w:t>železniční</w:t>
      </w:r>
      <w:r>
        <w:t xml:space="preserve"> </w:t>
      </w:r>
      <w:r w:rsidRPr="004215D4">
        <w:t>stanice,</w:t>
      </w:r>
      <w:r>
        <w:t xml:space="preserve"> </w:t>
      </w:r>
      <w:r w:rsidRPr="004215D4">
        <w:t>odstavné</w:t>
      </w:r>
      <w:r>
        <w:t xml:space="preserve"> </w:t>
      </w:r>
      <w:r w:rsidRPr="004215D4">
        <w:t>koleje,</w:t>
      </w:r>
      <w:r>
        <w:t xml:space="preserve"> </w:t>
      </w:r>
      <w:r w:rsidRPr="004215D4">
        <w:t>čerpací</w:t>
      </w:r>
      <w:r>
        <w:t xml:space="preserve"> </w:t>
      </w:r>
      <w:r w:rsidRPr="004215D4">
        <w:t>stanice</w:t>
      </w:r>
      <w:r>
        <w:t xml:space="preserve"> </w:t>
      </w:r>
      <w:r w:rsidRPr="004215D4">
        <w:t>nebo</w:t>
      </w:r>
      <w:r>
        <w:t xml:space="preserve"> </w:t>
      </w:r>
      <w:r w:rsidRPr="004215D4">
        <w:t>technického</w:t>
      </w:r>
      <w:r>
        <w:t xml:space="preserve"> </w:t>
      </w:r>
      <w:r w:rsidRPr="004215D4">
        <w:t>zařízení</w:t>
      </w:r>
      <w:r>
        <w:t xml:space="preserve"> </w:t>
      </w:r>
      <w:r w:rsidRPr="004215D4">
        <w:t>v</w:t>
      </w:r>
      <w:r>
        <w:t xml:space="preserve"> </w:t>
      </w:r>
      <w:r w:rsidRPr="004215D4">
        <w:t>přístavu</w:t>
      </w:r>
      <w:r>
        <w:t xml:space="preserve"> </w:t>
      </w:r>
      <w:r w:rsidRPr="004215D4">
        <w:t>nebo</w:t>
      </w:r>
      <w:r>
        <w:t xml:space="preserve"> </w:t>
      </w:r>
      <w:r w:rsidRPr="004215D4">
        <w:t>provozovatele</w:t>
      </w:r>
      <w:r>
        <w:t xml:space="preserve"> </w:t>
      </w:r>
      <w:r w:rsidRPr="004215D4">
        <w:t>takového</w:t>
      </w:r>
      <w:r>
        <w:t xml:space="preserve"> </w:t>
      </w:r>
      <w:r w:rsidRPr="004215D4">
        <w:t>zařízení</w:t>
      </w:r>
      <w:r>
        <w:t xml:space="preserve"> </w:t>
      </w:r>
      <w:r w:rsidRPr="004215D4">
        <w:t>služeb</w:t>
      </w:r>
      <w:r>
        <w:t xml:space="preserve"> </w:t>
      </w:r>
      <w:r w:rsidRPr="004215D4">
        <w:t>ovládá,</w:t>
      </w:r>
      <w:r>
        <w:t xml:space="preserve"> </w:t>
      </w:r>
      <w:r w:rsidRPr="004215D4">
        <w:t>zajistí,</w:t>
      </w:r>
      <w:r>
        <w:t xml:space="preserve"> </w:t>
      </w:r>
      <w:r w:rsidRPr="004215D4">
        <w:t>aby</w:t>
      </w:r>
      <w:r>
        <w:t xml:space="preserve"> </w:t>
      </w:r>
      <w:r w:rsidRPr="004215D4">
        <w:t>k</w:t>
      </w:r>
      <w:r>
        <w:t xml:space="preserve"> </w:t>
      </w:r>
      <w:r w:rsidRPr="00CE2C91">
        <w:rPr>
          <w:szCs w:val="24"/>
        </w:rPr>
        <w:t>poskytování</w:t>
      </w:r>
      <w:r>
        <w:t xml:space="preserve"> </w:t>
      </w:r>
      <w:r w:rsidRPr="004215D4">
        <w:t>služeb</w:t>
      </w:r>
      <w:r>
        <w:t xml:space="preserve"> </w:t>
      </w:r>
      <w:r w:rsidRPr="004215D4">
        <w:t>prostřednictvím</w:t>
      </w:r>
      <w:r>
        <w:t xml:space="preserve"> </w:t>
      </w:r>
      <w:r w:rsidRPr="004215D4">
        <w:t>tohoto</w:t>
      </w:r>
      <w:r>
        <w:t xml:space="preserve"> </w:t>
      </w:r>
      <w:r w:rsidRPr="004215D4">
        <w:t>zařízení</w:t>
      </w:r>
      <w:r>
        <w:t xml:space="preserve"> </w:t>
      </w:r>
      <w:r w:rsidRPr="004215D4">
        <w:t>služeb</w:t>
      </w:r>
      <w:r>
        <w:t xml:space="preserve"> </w:t>
      </w:r>
      <w:r w:rsidRPr="004215D4">
        <w:t>docházelo</w:t>
      </w:r>
      <w:r>
        <w:t xml:space="preserve"> </w:t>
      </w:r>
      <w:r w:rsidRPr="004215D4">
        <w:t>v</w:t>
      </w:r>
      <w:r>
        <w:t xml:space="preserve"> </w:t>
      </w:r>
      <w:r w:rsidRPr="004215D4">
        <w:t>rámci</w:t>
      </w:r>
      <w:r>
        <w:t xml:space="preserve"> </w:t>
      </w:r>
      <w:r w:rsidRPr="004215D4">
        <w:t>pobočky.</w:t>
      </w:r>
      <w:r>
        <w:t xml:space="preserve"> </w:t>
      </w:r>
      <w:r w:rsidRPr="004215D4">
        <w:t>Odepře-li</w:t>
      </w:r>
      <w:r>
        <w:t xml:space="preserve"> </w:t>
      </w:r>
      <w:r w:rsidRPr="004215D4">
        <w:t>takový</w:t>
      </w:r>
      <w:r>
        <w:t xml:space="preserve"> </w:t>
      </w:r>
      <w:r w:rsidRPr="004215D4">
        <w:t>provozovatel</w:t>
      </w:r>
      <w:r>
        <w:t xml:space="preserve"> </w:t>
      </w:r>
      <w:r w:rsidRPr="004215D4">
        <w:t>zařízení</w:t>
      </w:r>
      <w:r>
        <w:t xml:space="preserve"> </w:t>
      </w:r>
      <w:r w:rsidRPr="004215D4">
        <w:t>služeb</w:t>
      </w:r>
      <w:r>
        <w:t xml:space="preserve"> </w:t>
      </w:r>
      <w:r w:rsidRPr="004215D4">
        <w:t>jejich</w:t>
      </w:r>
      <w:r>
        <w:t xml:space="preserve"> </w:t>
      </w:r>
      <w:r w:rsidRPr="004215D4">
        <w:t>poskytnutí,</w:t>
      </w:r>
      <w:r>
        <w:t xml:space="preserve"> </w:t>
      </w:r>
      <w:r w:rsidRPr="004215D4">
        <w:t>oznámí</w:t>
      </w:r>
      <w:r>
        <w:t xml:space="preserve"> </w:t>
      </w:r>
      <w:r w:rsidRPr="004215D4">
        <w:t>to</w:t>
      </w:r>
      <w:r>
        <w:t xml:space="preserve"> </w:t>
      </w:r>
      <w:r w:rsidRPr="004215D4">
        <w:t>písemně</w:t>
      </w:r>
      <w:r>
        <w:t xml:space="preserve"> </w:t>
      </w:r>
      <w:r w:rsidRPr="004215D4">
        <w:t>zájemci</w:t>
      </w:r>
      <w:r>
        <w:t xml:space="preserve"> </w:t>
      </w:r>
      <w:r w:rsidRPr="004215D4">
        <w:t>s</w:t>
      </w:r>
      <w:r>
        <w:t xml:space="preserve"> </w:t>
      </w:r>
      <w:r w:rsidRPr="004215D4">
        <w:t>uvedením</w:t>
      </w:r>
      <w:r>
        <w:t xml:space="preserve"> </w:t>
      </w:r>
      <w:r w:rsidRPr="004215D4">
        <w:t>důvodů,</w:t>
      </w:r>
      <w:r>
        <w:t xml:space="preserve"> </w:t>
      </w:r>
      <w:r w:rsidRPr="004215D4">
        <w:t>popřípadě</w:t>
      </w:r>
      <w:r>
        <w:t xml:space="preserve"> </w:t>
      </w:r>
      <w:r w:rsidRPr="004215D4">
        <w:t>označí</w:t>
      </w:r>
      <w:r>
        <w:t xml:space="preserve"> </w:t>
      </w:r>
      <w:r w:rsidRPr="004215D4">
        <w:t>provozovatele,</w:t>
      </w:r>
      <w:r>
        <w:t xml:space="preserve"> </w:t>
      </w:r>
      <w:r w:rsidRPr="004215D4">
        <w:t>který</w:t>
      </w:r>
      <w:r>
        <w:t xml:space="preserve"> </w:t>
      </w:r>
      <w:r w:rsidRPr="004215D4">
        <w:t>může</w:t>
      </w:r>
      <w:r>
        <w:t xml:space="preserve"> </w:t>
      </w:r>
      <w:r w:rsidRPr="004215D4">
        <w:t>zájemci</w:t>
      </w:r>
      <w:r>
        <w:t xml:space="preserve"> </w:t>
      </w:r>
      <w:r w:rsidRPr="004215D4">
        <w:t>poskytnout</w:t>
      </w:r>
      <w:r>
        <w:t xml:space="preserve"> </w:t>
      </w:r>
      <w:r w:rsidRPr="004215D4">
        <w:t>tutéž</w:t>
      </w:r>
      <w:r>
        <w:t xml:space="preserve"> </w:t>
      </w:r>
      <w:r w:rsidRPr="004215D4">
        <w:t>službu</w:t>
      </w:r>
      <w:r>
        <w:t xml:space="preserve"> </w:t>
      </w:r>
      <w:r w:rsidRPr="004215D4">
        <w:t>za</w:t>
      </w:r>
      <w:r>
        <w:t xml:space="preserve"> </w:t>
      </w:r>
      <w:r w:rsidRPr="004215D4">
        <w:t>podmínek</w:t>
      </w:r>
      <w:r>
        <w:t xml:space="preserve"> </w:t>
      </w:r>
      <w:r w:rsidRPr="004215D4">
        <w:t>stanovených</w:t>
      </w:r>
      <w:r>
        <w:t xml:space="preserve"> </w:t>
      </w:r>
      <w:r w:rsidRPr="004215D4">
        <w:t>tímto</w:t>
      </w:r>
      <w:r>
        <w:t xml:space="preserve"> </w:t>
      </w:r>
      <w:r w:rsidRPr="004215D4">
        <w:t>zákonem.</w:t>
      </w:r>
    </w:p>
    <w:p w14:paraId="30C61E31" w14:textId="45EC7E39" w:rsidR="00785B19" w:rsidRPr="004215D4" w:rsidRDefault="00785B19" w:rsidP="00CE2C91">
      <w:pPr>
        <w:pStyle w:val="Textparagrafu"/>
        <w:spacing w:before="120" w:after="120"/>
      </w:pPr>
      <w:r w:rsidRPr="004215D4">
        <w:t>(2)</w:t>
      </w:r>
      <w:r>
        <w:t xml:space="preserve"> </w:t>
      </w:r>
      <w:r w:rsidRPr="004215D4">
        <w:t>Dopravce,</w:t>
      </w:r>
      <w:r>
        <w:t xml:space="preserve"> </w:t>
      </w:r>
      <w:r w:rsidRPr="00CE2C91">
        <w:rPr>
          <w:szCs w:val="24"/>
        </w:rPr>
        <w:t>který</w:t>
      </w:r>
      <w:r>
        <w:t xml:space="preserve"> </w:t>
      </w:r>
      <w:r w:rsidRPr="004215D4">
        <w:t>má</w:t>
      </w:r>
      <w:r>
        <w:t xml:space="preserve"> </w:t>
      </w:r>
      <w:r w:rsidRPr="004215D4">
        <w:t>dominantní</w:t>
      </w:r>
      <w:r>
        <w:t xml:space="preserve"> </w:t>
      </w:r>
      <w:r w:rsidRPr="004215D4">
        <w:t>postavení</w:t>
      </w:r>
      <w:r>
        <w:t xml:space="preserve"> </w:t>
      </w:r>
      <w:r w:rsidRPr="004215D4">
        <w:t>na</w:t>
      </w:r>
      <w:r>
        <w:t xml:space="preserve"> </w:t>
      </w:r>
      <w:r w:rsidRPr="004215D4">
        <w:t>trhu</w:t>
      </w:r>
      <w:r>
        <w:t xml:space="preserve"> </w:t>
      </w:r>
      <w:r w:rsidRPr="004215D4">
        <w:t>osobní</w:t>
      </w:r>
      <w:r>
        <w:t xml:space="preserve"> </w:t>
      </w:r>
      <w:r w:rsidRPr="004215D4">
        <w:t>nebo</w:t>
      </w:r>
      <w:r>
        <w:t xml:space="preserve"> </w:t>
      </w:r>
      <w:r w:rsidRPr="004215D4">
        <w:t>nákladní</w:t>
      </w:r>
      <w:r>
        <w:t xml:space="preserve"> </w:t>
      </w:r>
      <w:r w:rsidRPr="004215D4">
        <w:t>železniční</w:t>
      </w:r>
      <w:r>
        <w:t xml:space="preserve"> </w:t>
      </w:r>
      <w:r w:rsidRPr="004215D4">
        <w:t>dopravy</w:t>
      </w:r>
      <w:r>
        <w:t xml:space="preserve"> </w:t>
      </w:r>
      <w:r w:rsidRPr="004215D4">
        <w:t>a</w:t>
      </w:r>
      <w:r>
        <w:t xml:space="preserve"> </w:t>
      </w:r>
      <w:r w:rsidRPr="004215D4">
        <w:t>který</w:t>
      </w:r>
      <w:r>
        <w:t xml:space="preserve"> </w:t>
      </w:r>
      <w:r w:rsidRPr="004215D4">
        <w:t>je</w:t>
      </w:r>
      <w:r>
        <w:t xml:space="preserve"> </w:t>
      </w:r>
      <w:r w:rsidRPr="004215D4">
        <w:t>současně</w:t>
      </w:r>
      <w:r>
        <w:t xml:space="preserve"> </w:t>
      </w:r>
      <w:r w:rsidRPr="004215D4">
        <w:t>provozovatelem</w:t>
      </w:r>
      <w:r>
        <w:t xml:space="preserve"> </w:t>
      </w:r>
      <w:r w:rsidRPr="004215D4">
        <w:t>zařízení</w:t>
      </w:r>
      <w:r>
        <w:t xml:space="preserve"> </w:t>
      </w:r>
      <w:r w:rsidRPr="004215D4">
        <w:t>služeb</w:t>
      </w:r>
      <w:r>
        <w:t xml:space="preserve"> </w:t>
      </w:r>
      <w:r w:rsidRPr="004215D4">
        <w:t>nebo</w:t>
      </w:r>
      <w:r>
        <w:t xml:space="preserve"> </w:t>
      </w:r>
      <w:r w:rsidRPr="004215D4">
        <w:t>takového</w:t>
      </w:r>
      <w:r>
        <w:t xml:space="preserve"> </w:t>
      </w:r>
      <w:r w:rsidRPr="004215D4">
        <w:t>provozovatele</w:t>
      </w:r>
      <w:r>
        <w:t xml:space="preserve"> </w:t>
      </w:r>
      <w:r w:rsidRPr="004215D4">
        <w:t>ovládá,</w:t>
      </w:r>
      <w:r>
        <w:t xml:space="preserve"> </w:t>
      </w:r>
      <w:r w:rsidRPr="004215D4">
        <w:t>zajistí,</w:t>
      </w:r>
      <w:r>
        <w:t xml:space="preserve"> </w:t>
      </w:r>
      <w:r w:rsidRPr="00923AC3">
        <w:t xml:space="preserve">aby </w:t>
      </w:r>
      <w:r w:rsidRPr="00287079">
        <w:rPr>
          <w:strike/>
        </w:rPr>
        <w:t>o poskytování služeb prostřednictvím tohoto zařízení bylo vedeno oddělené účtování</w:t>
      </w:r>
      <w:r w:rsidR="00287079" w:rsidRPr="00287079">
        <w:rPr>
          <w:b/>
          <w:bCs/>
        </w:rPr>
        <w:t xml:space="preserve"> </w:t>
      </w:r>
      <w:r w:rsidR="00287079">
        <w:rPr>
          <w:b/>
          <w:bCs/>
        </w:rPr>
        <w:t>poskytování služeb prostřednictvím tohoto zařízení bylo sledováno v účetním systému odděleně</w:t>
      </w:r>
      <w:r w:rsidRPr="004215D4">
        <w:t>.</w:t>
      </w:r>
    </w:p>
    <w:p w14:paraId="3AB06B41" w14:textId="77777777" w:rsidR="00CE2C91" w:rsidRDefault="00CE2C91" w:rsidP="00223B5D">
      <w:pPr>
        <w:pStyle w:val="Textparagrafu"/>
        <w:tabs>
          <w:tab w:val="left" w:pos="392"/>
        </w:tabs>
        <w:ind w:firstLine="0"/>
        <w:jc w:val="center"/>
      </w:pPr>
    </w:p>
    <w:p w14:paraId="35D0D880" w14:textId="2F03AA7E" w:rsidR="00C672D4" w:rsidRDefault="00287079" w:rsidP="00223B5D">
      <w:pPr>
        <w:pStyle w:val="Textparagrafu"/>
        <w:tabs>
          <w:tab w:val="left" w:pos="392"/>
        </w:tabs>
        <w:ind w:firstLine="0"/>
        <w:jc w:val="center"/>
      </w:pPr>
      <w:r>
        <w:t>***</w:t>
      </w:r>
    </w:p>
    <w:p w14:paraId="12A72A8D" w14:textId="77777777" w:rsidR="00287079" w:rsidRPr="00C06C55" w:rsidRDefault="00287079" w:rsidP="00923AC3">
      <w:pPr>
        <w:pStyle w:val="Textparagrafu"/>
        <w:ind w:firstLine="0"/>
        <w:jc w:val="center"/>
      </w:pPr>
      <w:r w:rsidRPr="00C06C55">
        <w:t>§</w:t>
      </w:r>
      <w:r>
        <w:t xml:space="preserve"> </w:t>
      </w:r>
      <w:r w:rsidRPr="00C06C55">
        <w:t>28</w:t>
      </w:r>
    </w:p>
    <w:p w14:paraId="32181580" w14:textId="77777777" w:rsidR="00287079" w:rsidRPr="00923AC3" w:rsidRDefault="00287079" w:rsidP="00287079">
      <w:pPr>
        <w:pStyle w:val="Textparagrafu"/>
        <w:jc w:val="center"/>
        <w:rPr>
          <w:b/>
        </w:rPr>
      </w:pPr>
      <w:r w:rsidRPr="00923AC3">
        <w:rPr>
          <w:b/>
        </w:rPr>
        <w:t>Finanční způsobilost</w:t>
      </w:r>
    </w:p>
    <w:p w14:paraId="60FDA4C4" w14:textId="77777777" w:rsidR="00287079" w:rsidRPr="00C06C55" w:rsidRDefault="00287079" w:rsidP="00CE2C91">
      <w:pPr>
        <w:pStyle w:val="Textparagrafu"/>
        <w:spacing w:before="120" w:after="120"/>
      </w:pPr>
      <w:r w:rsidRPr="00C06C55">
        <w:t>(1)</w:t>
      </w:r>
      <w:r>
        <w:t xml:space="preserve"> </w:t>
      </w:r>
      <w:r w:rsidRPr="00C06C55">
        <w:t>Pro</w:t>
      </w:r>
      <w:r>
        <w:t xml:space="preserve"> </w:t>
      </w:r>
      <w:r w:rsidRPr="00C06C55">
        <w:t>účely</w:t>
      </w:r>
      <w:r>
        <w:t xml:space="preserve"> </w:t>
      </w:r>
      <w:r w:rsidRPr="00C06C55">
        <w:t>řízení</w:t>
      </w:r>
      <w:r>
        <w:t xml:space="preserve"> </w:t>
      </w:r>
      <w:r w:rsidRPr="00C06C55">
        <w:t>o</w:t>
      </w:r>
      <w:r>
        <w:t xml:space="preserve"> </w:t>
      </w:r>
      <w:r w:rsidRPr="00C06C55">
        <w:t>udělení</w:t>
      </w:r>
      <w:r>
        <w:t xml:space="preserve"> </w:t>
      </w:r>
      <w:r w:rsidRPr="00C06C55">
        <w:t>oprávnění</w:t>
      </w:r>
      <w:r>
        <w:t xml:space="preserve"> </w:t>
      </w:r>
      <w:r w:rsidRPr="00C06C55">
        <w:t>k</w:t>
      </w:r>
      <w:r>
        <w:t xml:space="preserve"> </w:t>
      </w:r>
      <w:r w:rsidRPr="00C06C55">
        <w:t>provozování</w:t>
      </w:r>
      <w:r>
        <w:t xml:space="preserve"> </w:t>
      </w:r>
      <w:r w:rsidRPr="00C06C55">
        <w:t>drážní</w:t>
      </w:r>
      <w:r>
        <w:t xml:space="preserve"> </w:t>
      </w:r>
      <w:r w:rsidRPr="00C06C55">
        <w:t>dopravy</w:t>
      </w:r>
      <w:r>
        <w:t xml:space="preserve"> </w:t>
      </w:r>
      <w:r w:rsidRPr="00C06C55">
        <w:t>se</w:t>
      </w:r>
      <w:r>
        <w:t xml:space="preserve"> </w:t>
      </w:r>
      <w:r w:rsidRPr="00C06C55">
        <w:t>za</w:t>
      </w:r>
      <w:r>
        <w:t xml:space="preserve"> </w:t>
      </w:r>
      <w:r w:rsidRPr="00C06C55">
        <w:t>finančně</w:t>
      </w:r>
      <w:r>
        <w:t xml:space="preserve"> </w:t>
      </w:r>
      <w:r w:rsidRPr="00C06C55">
        <w:t>způsobilého</w:t>
      </w:r>
      <w:r>
        <w:t xml:space="preserve"> </w:t>
      </w:r>
      <w:r w:rsidRPr="00C06C55">
        <w:t>považuje</w:t>
      </w:r>
      <w:r>
        <w:t xml:space="preserve"> </w:t>
      </w:r>
      <w:r w:rsidRPr="00C06C55">
        <w:t>ten,</w:t>
      </w:r>
      <w:r>
        <w:t xml:space="preserve"> </w:t>
      </w:r>
      <w:r w:rsidRPr="00C06C55">
        <w:t>kdo</w:t>
      </w:r>
      <w:r>
        <w:t xml:space="preserve"> </w:t>
      </w:r>
      <w:r w:rsidRPr="00C06C55">
        <w:t>je</w:t>
      </w:r>
      <w:r>
        <w:t xml:space="preserve"> </w:t>
      </w:r>
      <w:r w:rsidRPr="00C06C55">
        <w:t>schopen</w:t>
      </w:r>
      <w:r>
        <w:t xml:space="preserve"> </w:t>
      </w:r>
      <w:r w:rsidRPr="00C06C55">
        <w:t>finančně</w:t>
      </w:r>
      <w:r>
        <w:t xml:space="preserve"> </w:t>
      </w:r>
      <w:r w:rsidRPr="00C06C55">
        <w:t>zabezpečit</w:t>
      </w:r>
      <w:r>
        <w:t xml:space="preserve"> </w:t>
      </w:r>
      <w:r w:rsidRPr="00C06C55">
        <w:t>zahájení</w:t>
      </w:r>
      <w:r>
        <w:t xml:space="preserve"> </w:t>
      </w:r>
      <w:r w:rsidRPr="00C06C55">
        <w:t>a</w:t>
      </w:r>
      <w:r>
        <w:t xml:space="preserve"> </w:t>
      </w:r>
      <w:r w:rsidRPr="00C06C55">
        <w:t>řádné</w:t>
      </w:r>
      <w:r>
        <w:t xml:space="preserve"> </w:t>
      </w:r>
      <w:r w:rsidRPr="00C06C55">
        <w:t>provozování</w:t>
      </w:r>
      <w:r>
        <w:t xml:space="preserve"> </w:t>
      </w:r>
      <w:r w:rsidRPr="00C06C55">
        <w:t>drážní</w:t>
      </w:r>
      <w:r>
        <w:t xml:space="preserve"> </w:t>
      </w:r>
      <w:r w:rsidRPr="00C06C55">
        <w:t>dopravy</w:t>
      </w:r>
      <w:r>
        <w:t xml:space="preserve"> </w:t>
      </w:r>
      <w:r w:rsidRPr="00C06C55">
        <w:t>po</w:t>
      </w:r>
      <w:r>
        <w:t xml:space="preserve"> </w:t>
      </w:r>
      <w:r w:rsidRPr="00C06C55">
        <w:t>dobu</w:t>
      </w:r>
      <w:r>
        <w:t xml:space="preserve"> </w:t>
      </w:r>
      <w:r w:rsidRPr="00C06C55">
        <w:t>alespoň</w:t>
      </w:r>
      <w:r>
        <w:t xml:space="preserve"> </w:t>
      </w:r>
      <w:r w:rsidRPr="00C06C55">
        <w:t>12</w:t>
      </w:r>
      <w:r>
        <w:t xml:space="preserve"> </w:t>
      </w:r>
      <w:r w:rsidRPr="00C06C55">
        <w:t>měsíců.</w:t>
      </w:r>
    </w:p>
    <w:p w14:paraId="7DA6E82A" w14:textId="77777777" w:rsidR="00287079" w:rsidRPr="00C06C55" w:rsidRDefault="00287079" w:rsidP="00CE2C91">
      <w:pPr>
        <w:pStyle w:val="Textparagrafu"/>
        <w:spacing w:before="120" w:after="120"/>
      </w:pPr>
      <w:r w:rsidRPr="00C06C55">
        <w:t>(2)</w:t>
      </w:r>
      <w:r>
        <w:t xml:space="preserve"> </w:t>
      </w:r>
      <w:r w:rsidRPr="00C06C55">
        <w:t>Za</w:t>
      </w:r>
      <w:r>
        <w:t xml:space="preserve"> </w:t>
      </w:r>
      <w:r w:rsidRPr="00C06C55">
        <w:t>finančně</w:t>
      </w:r>
      <w:r>
        <w:t xml:space="preserve"> </w:t>
      </w:r>
      <w:r w:rsidRPr="00C06C55">
        <w:t>způsobilého</w:t>
      </w:r>
      <w:r>
        <w:t xml:space="preserve"> </w:t>
      </w:r>
      <w:r w:rsidRPr="00C06C55">
        <w:t>se</w:t>
      </w:r>
      <w:r>
        <w:t xml:space="preserve"> </w:t>
      </w:r>
      <w:r w:rsidRPr="00C06C55">
        <w:t>nepovažuje</w:t>
      </w:r>
      <w:r>
        <w:t xml:space="preserve"> </w:t>
      </w:r>
      <w:r w:rsidRPr="00C06C55">
        <w:t>ten,</w:t>
      </w:r>
    </w:p>
    <w:p w14:paraId="072581DB" w14:textId="66AC5124" w:rsidR="00287079" w:rsidRPr="00C06C55" w:rsidRDefault="00287079" w:rsidP="00812ECA">
      <w:pPr>
        <w:pStyle w:val="Textparagrafu"/>
        <w:tabs>
          <w:tab w:val="left" w:pos="392"/>
        </w:tabs>
        <w:spacing w:before="0"/>
        <w:ind w:left="284" w:hanging="284"/>
      </w:pPr>
      <w:r w:rsidRPr="00C06C55">
        <w:t>a)</w:t>
      </w:r>
      <w:r>
        <w:tab/>
      </w:r>
      <w:r w:rsidRPr="00C06C55">
        <w:t>jehož</w:t>
      </w:r>
      <w:r>
        <w:t xml:space="preserve"> </w:t>
      </w:r>
      <w:r w:rsidRPr="00C06C55">
        <w:t>úpadek</w:t>
      </w:r>
      <w:r>
        <w:t xml:space="preserve"> </w:t>
      </w:r>
      <w:r w:rsidRPr="00C06C55">
        <w:t>je</w:t>
      </w:r>
      <w:r>
        <w:t xml:space="preserve"> </w:t>
      </w:r>
      <w:r w:rsidRPr="00C06C55">
        <w:t>řešen</w:t>
      </w:r>
      <w:r>
        <w:t xml:space="preserve"> </w:t>
      </w:r>
      <w:r w:rsidRPr="00C06C55">
        <w:t>rozhodnutím</w:t>
      </w:r>
      <w:r>
        <w:t xml:space="preserve"> </w:t>
      </w:r>
      <w:r w:rsidRPr="00C06C55">
        <w:t>insolvenčního</w:t>
      </w:r>
      <w:r>
        <w:t xml:space="preserve"> </w:t>
      </w:r>
      <w:r w:rsidRPr="00C06C55">
        <w:t>soudu</w:t>
      </w:r>
      <w:r>
        <w:t xml:space="preserve"> </w:t>
      </w:r>
      <w:r w:rsidRPr="00C06C55">
        <w:t>o</w:t>
      </w:r>
      <w:r>
        <w:t xml:space="preserve"> </w:t>
      </w:r>
      <w:r w:rsidRPr="00C06C55">
        <w:t>prohlášení</w:t>
      </w:r>
      <w:r>
        <w:t xml:space="preserve"> </w:t>
      </w:r>
      <w:r w:rsidRPr="00C06C55">
        <w:t>konkurzu</w:t>
      </w:r>
      <w:r>
        <w:t xml:space="preserve"> </w:t>
      </w:r>
      <w:r w:rsidRPr="00C06C55">
        <w:t>na</w:t>
      </w:r>
      <w:r>
        <w:t xml:space="preserve"> </w:t>
      </w:r>
      <w:r w:rsidRPr="00C06C55">
        <w:t>majetek</w:t>
      </w:r>
      <w:r>
        <w:t xml:space="preserve"> </w:t>
      </w:r>
      <w:r w:rsidRPr="00C06C55">
        <w:t>dlužníka</w:t>
      </w:r>
      <w:r>
        <w:t xml:space="preserve"> </w:t>
      </w:r>
      <w:r w:rsidRPr="00C06C55">
        <w:t>nebo</w:t>
      </w:r>
      <w:r>
        <w:t xml:space="preserve"> </w:t>
      </w:r>
      <w:r w:rsidRPr="00C06C55">
        <w:t>o</w:t>
      </w:r>
      <w:r>
        <w:t xml:space="preserve"> </w:t>
      </w:r>
      <w:r w:rsidRPr="00C06C55">
        <w:t>povolení</w:t>
      </w:r>
      <w:r>
        <w:t xml:space="preserve"> </w:t>
      </w:r>
      <w:r w:rsidRPr="00C06C55">
        <w:t>reorganizace,</w:t>
      </w:r>
    </w:p>
    <w:p w14:paraId="44F365EE" w14:textId="2FC9E0EF" w:rsidR="00287079" w:rsidRPr="00C06C55" w:rsidRDefault="00287079" w:rsidP="00812ECA">
      <w:pPr>
        <w:pStyle w:val="Textparagrafu"/>
        <w:tabs>
          <w:tab w:val="left" w:pos="392"/>
        </w:tabs>
        <w:spacing w:before="0"/>
        <w:ind w:left="284" w:hanging="284"/>
      </w:pPr>
      <w:r w:rsidRPr="00C06C55">
        <w:t>b)</w:t>
      </w:r>
      <w:r>
        <w:tab/>
      </w:r>
      <w:r w:rsidRPr="00C06C55">
        <w:t>u</w:t>
      </w:r>
      <w:r>
        <w:t xml:space="preserve"> </w:t>
      </w:r>
      <w:r w:rsidRPr="00C06C55">
        <w:t>něhož</w:t>
      </w:r>
      <w:r>
        <w:t xml:space="preserve"> </w:t>
      </w:r>
      <w:r w:rsidRPr="00C06C55">
        <w:t>insolvenční</w:t>
      </w:r>
      <w:r>
        <w:t xml:space="preserve"> </w:t>
      </w:r>
      <w:r w:rsidRPr="00C06C55">
        <w:t>soud</w:t>
      </w:r>
      <w:r>
        <w:t xml:space="preserve"> </w:t>
      </w:r>
      <w:r w:rsidRPr="00C06C55">
        <w:t>rozhodl</w:t>
      </w:r>
      <w:r>
        <w:t xml:space="preserve"> </w:t>
      </w:r>
      <w:r w:rsidRPr="00C06C55">
        <w:t>o</w:t>
      </w:r>
      <w:r>
        <w:t xml:space="preserve"> </w:t>
      </w:r>
      <w:r w:rsidRPr="00C06C55">
        <w:t>zrušení</w:t>
      </w:r>
      <w:r>
        <w:t xml:space="preserve"> </w:t>
      </w:r>
      <w:r w:rsidRPr="00C06C55">
        <w:t>konkurzu</w:t>
      </w:r>
      <w:r>
        <w:t xml:space="preserve"> </w:t>
      </w:r>
      <w:r w:rsidRPr="00C06C55">
        <w:t>z</w:t>
      </w:r>
      <w:r>
        <w:t xml:space="preserve"> </w:t>
      </w:r>
      <w:r w:rsidRPr="00C06C55">
        <w:t>důvodu,</w:t>
      </w:r>
      <w:r>
        <w:t xml:space="preserve"> </w:t>
      </w:r>
      <w:r w:rsidRPr="00C06C55">
        <w:t>že</w:t>
      </w:r>
      <w:r>
        <w:t xml:space="preserve"> </w:t>
      </w:r>
      <w:r w:rsidRPr="00C06C55">
        <w:t>pro</w:t>
      </w:r>
      <w:r>
        <w:t xml:space="preserve"> </w:t>
      </w:r>
      <w:r w:rsidRPr="00C06C55">
        <w:t>uspokojení</w:t>
      </w:r>
      <w:r>
        <w:t xml:space="preserve"> </w:t>
      </w:r>
      <w:r w:rsidRPr="00C06C55">
        <w:t>věřitelů</w:t>
      </w:r>
      <w:r>
        <w:t xml:space="preserve"> </w:t>
      </w:r>
      <w:r w:rsidRPr="00C06C55">
        <w:t>je</w:t>
      </w:r>
      <w:r>
        <w:t xml:space="preserve"> </w:t>
      </w:r>
      <w:r w:rsidRPr="00C06C55">
        <w:t>majetek</w:t>
      </w:r>
      <w:r>
        <w:t xml:space="preserve"> </w:t>
      </w:r>
      <w:r w:rsidRPr="00C06C55">
        <w:t>dlužníka</w:t>
      </w:r>
      <w:r>
        <w:t xml:space="preserve"> </w:t>
      </w:r>
      <w:r w:rsidRPr="00C06C55">
        <w:t>zcela</w:t>
      </w:r>
      <w:r>
        <w:t xml:space="preserve"> </w:t>
      </w:r>
      <w:r w:rsidRPr="00C06C55">
        <w:t>nepostačující,</w:t>
      </w:r>
      <w:r>
        <w:t xml:space="preserve"> </w:t>
      </w:r>
      <w:r w:rsidRPr="00C06C55">
        <w:t>nebo</w:t>
      </w:r>
    </w:p>
    <w:p w14:paraId="489A3E37" w14:textId="07EA8A71" w:rsidR="00287079" w:rsidRPr="00C06C55" w:rsidRDefault="00287079" w:rsidP="00812ECA">
      <w:pPr>
        <w:pStyle w:val="Textparagrafu"/>
        <w:tabs>
          <w:tab w:val="left" w:pos="392"/>
        </w:tabs>
        <w:spacing w:before="0"/>
        <w:ind w:left="284" w:hanging="284"/>
      </w:pPr>
      <w:r w:rsidRPr="00C06C55">
        <w:t>c)</w:t>
      </w:r>
      <w:r>
        <w:tab/>
      </w:r>
      <w:r w:rsidRPr="00C06C55">
        <w:t>kdo</w:t>
      </w:r>
      <w:r>
        <w:t xml:space="preserve"> </w:t>
      </w:r>
      <w:r w:rsidRPr="00C06C55">
        <w:t>dluží</w:t>
      </w:r>
      <w:r>
        <w:t xml:space="preserve"> </w:t>
      </w:r>
      <w:r w:rsidRPr="00C06C55">
        <w:t>nedoplatky</w:t>
      </w:r>
      <w:r>
        <w:t xml:space="preserve"> </w:t>
      </w:r>
      <w:r w:rsidRPr="00C06C55">
        <w:t>na</w:t>
      </w:r>
      <w:r>
        <w:t xml:space="preserve"> </w:t>
      </w:r>
      <w:r w:rsidRPr="00C06C55">
        <w:t>daních,</w:t>
      </w:r>
      <w:r>
        <w:t xml:space="preserve"> </w:t>
      </w:r>
      <w:r w:rsidRPr="00C06C55">
        <w:t>pojistném</w:t>
      </w:r>
      <w:r>
        <w:t xml:space="preserve"> </w:t>
      </w:r>
      <w:r w:rsidRPr="00C06C55">
        <w:t>nebo</w:t>
      </w:r>
      <w:r>
        <w:t xml:space="preserve"> </w:t>
      </w:r>
      <w:r w:rsidRPr="00C06C55">
        <w:t>penále</w:t>
      </w:r>
      <w:r>
        <w:t xml:space="preserve"> </w:t>
      </w:r>
      <w:r w:rsidRPr="00C06C55">
        <w:t>na</w:t>
      </w:r>
      <w:r>
        <w:t xml:space="preserve"> </w:t>
      </w:r>
      <w:r w:rsidRPr="00C06C55">
        <w:t>sociální</w:t>
      </w:r>
      <w:r>
        <w:t xml:space="preserve"> </w:t>
      </w:r>
      <w:r w:rsidRPr="00C06C55">
        <w:t>zabezpečení,</w:t>
      </w:r>
      <w:r>
        <w:t xml:space="preserve"> </w:t>
      </w:r>
      <w:r w:rsidRPr="00C06C55">
        <w:t>příspěvku</w:t>
      </w:r>
      <w:r>
        <w:t xml:space="preserve"> </w:t>
      </w:r>
      <w:r w:rsidRPr="00C06C55">
        <w:t>na</w:t>
      </w:r>
      <w:r>
        <w:t xml:space="preserve"> </w:t>
      </w:r>
      <w:r w:rsidRPr="00C06C55">
        <w:t>státní</w:t>
      </w:r>
      <w:r>
        <w:t xml:space="preserve"> </w:t>
      </w:r>
      <w:r w:rsidRPr="00C06C55">
        <w:t>politiku</w:t>
      </w:r>
      <w:r>
        <w:t xml:space="preserve"> </w:t>
      </w:r>
      <w:r w:rsidRPr="00C06C55">
        <w:t>zaměstnanosti</w:t>
      </w:r>
      <w:r>
        <w:t xml:space="preserve"> </w:t>
      </w:r>
      <w:r w:rsidRPr="00C06C55">
        <w:t>nebo</w:t>
      </w:r>
      <w:r>
        <w:t xml:space="preserve"> </w:t>
      </w:r>
      <w:r w:rsidRPr="00C06C55">
        <w:t>pojistném</w:t>
      </w:r>
      <w:r>
        <w:t xml:space="preserve"> </w:t>
      </w:r>
      <w:r w:rsidRPr="00C06C55">
        <w:t>na</w:t>
      </w:r>
      <w:r>
        <w:t xml:space="preserve"> </w:t>
      </w:r>
      <w:r w:rsidRPr="00C06C55">
        <w:t>všeobecné</w:t>
      </w:r>
      <w:r>
        <w:t xml:space="preserve"> </w:t>
      </w:r>
      <w:r w:rsidRPr="00C06C55">
        <w:t>zdravotní</w:t>
      </w:r>
      <w:r>
        <w:t xml:space="preserve"> </w:t>
      </w:r>
      <w:r w:rsidRPr="00C06C55">
        <w:t>pojištění.</w:t>
      </w:r>
    </w:p>
    <w:p w14:paraId="7E00A0FF" w14:textId="77777777" w:rsidR="00287079" w:rsidRDefault="00287079" w:rsidP="00CE2C91">
      <w:pPr>
        <w:pStyle w:val="Textparagrafu"/>
        <w:spacing w:before="120" w:after="120"/>
      </w:pPr>
      <w:r w:rsidRPr="00C06C55">
        <w:t>(3)</w:t>
      </w:r>
      <w:r>
        <w:t xml:space="preserve"> </w:t>
      </w:r>
      <w:r w:rsidRPr="00C06C55">
        <w:t>Finanční</w:t>
      </w:r>
      <w:r>
        <w:t xml:space="preserve"> </w:t>
      </w:r>
      <w:r w:rsidRPr="00C06C55">
        <w:t>způsobilost</w:t>
      </w:r>
      <w:r>
        <w:t xml:space="preserve"> </w:t>
      </w:r>
      <w:r w:rsidRPr="00C06C55">
        <w:t>se</w:t>
      </w:r>
      <w:r>
        <w:t xml:space="preserve"> </w:t>
      </w:r>
      <w:r w:rsidRPr="00C06C55">
        <w:t>prokazuje</w:t>
      </w:r>
      <w:r>
        <w:t xml:space="preserve"> </w:t>
      </w:r>
      <w:r w:rsidRPr="00C06C55">
        <w:t>zejména</w:t>
      </w:r>
      <w:r>
        <w:t xml:space="preserve"> </w:t>
      </w:r>
      <w:r w:rsidRPr="00C06C55">
        <w:t>prostřednictvím</w:t>
      </w:r>
      <w:r>
        <w:t xml:space="preserve"> </w:t>
      </w:r>
      <w:r w:rsidRPr="00287079">
        <w:rPr>
          <w:strike/>
        </w:rPr>
        <w:t>roční účetní závěrky nebo zahajovací rozvahy, nevede-li žadatel doposud účetnictví</w:t>
      </w:r>
      <w:r>
        <w:rPr>
          <w:strike/>
        </w:rPr>
        <w:t xml:space="preserve"> </w:t>
      </w:r>
      <w:r w:rsidRPr="007E389E">
        <w:rPr>
          <w:b/>
        </w:rPr>
        <w:t>řádné individuální</w:t>
      </w:r>
      <w:r w:rsidRPr="007E389E">
        <w:t xml:space="preserve"> </w:t>
      </w:r>
      <w:r w:rsidRPr="00DE66F5">
        <w:rPr>
          <w:b/>
          <w:bCs/>
        </w:rPr>
        <w:t xml:space="preserve">účetní závěrky </w:t>
      </w:r>
      <w:r w:rsidRPr="007E389E">
        <w:rPr>
          <w:b/>
          <w:bCs/>
        </w:rPr>
        <w:t>za poslední individuální účetní období</w:t>
      </w:r>
      <w:r>
        <w:rPr>
          <w:b/>
          <w:bCs/>
        </w:rPr>
        <w:t xml:space="preserve"> a zprávy auditora o povinném auditu</w:t>
      </w:r>
      <w:r w:rsidRPr="00DE66F5">
        <w:rPr>
          <w:b/>
          <w:bCs/>
        </w:rPr>
        <w:t xml:space="preserve"> nebo</w:t>
      </w:r>
      <w:r>
        <w:rPr>
          <w:b/>
          <w:bCs/>
        </w:rPr>
        <w:t xml:space="preserve">, </w:t>
      </w:r>
      <w:r w:rsidRPr="00DE66F5">
        <w:rPr>
          <w:b/>
          <w:bCs/>
        </w:rPr>
        <w:t>nebyl-li žadatel doposud účetní jednotkou</w:t>
      </w:r>
      <w:r>
        <w:rPr>
          <w:b/>
          <w:bCs/>
        </w:rPr>
        <w:t>,</w:t>
      </w:r>
      <w:r w:rsidRPr="00DE66F5">
        <w:rPr>
          <w:b/>
          <w:bCs/>
        </w:rPr>
        <w:t xml:space="preserve"> </w:t>
      </w:r>
      <w:r>
        <w:rPr>
          <w:b/>
          <w:bCs/>
        </w:rPr>
        <w:t xml:space="preserve">prostřednictvím </w:t>
      </w:r>
      <w:r w:rsidRPr="00DE66F5">
        <w:rPr>
          <w:b/>
          <w:bCs/>
        </w:rPr>
        <w:t>zahajovací rozvahy</w:t>
      </w:r>
      <w:r>
        <w:rPr>
          <w:b/>
          <w:bCs/>
        </w:rPr>
        <w:t>;</w:t>
      </w:r>
      <w:r w:rsidRPr="00E52A4C">
        <w:rPr>
          <w:b/>
        </w:rPr>
        <w:t xml:space="preserve"> </w:t>
      </w:r>
      <w:r w:rsidRPr="007E389E">
        <w:rPr>
          <w:b/>
        </w:rPr>
        <w:t xml:space="preserve">pro tyto účely </w:t>
      </w:r>
      <w:r>
        <w:rPr>
          <w:b/>
        </w:rPr>
        <w:t xml:space="preserve">musí být </w:t>
      </w:r>
      <w:r w:rsidRPr="007E389E">
        <w:rPr>
          <w:b/>
        </w:rPr>
        <w:t>účetní závěrk</w:t>
      </w:r>
      <w:r>
        <w:rPr>
          <w:b/>
        </w:rPr>
        <w:t xml:space="preserve">a sestavena v rozsahu stanoveném pro velké účetní jednotky </w:t>
      </w:r>
      <w:r w:rsidRPr="00A826E0">
        <w:rPr>
          <w:b/>
        </w:rPr>
        <w:t>a žadatel</w:t>
      </w:r>
      <w:r w:rsidRPr="007E389E">
        <w:rPr>
          <w:b/>
        </w:rPr>
        <w:t xml:space="preserve"> má povinnost </w:t>
      </w:r>
      <w:r>
        <w:rPr>
          <w:b/>
        </w:rPr>
        <w:t xml:space="preserve">jejího </w:t>
      </w:r>
      <w:r w:rsidRPr="007E389E">
        <w:rPr>
          <w:b/>
        </w:rPr>
        <w:t>auditu</w:t>
      </w:r>
      <w:r w:rsidRPr="008C3895">
        <w:t>.</w:t>
      </w:r>
    </w:p>
    <w:p w14:paraId="6051AD41" w14:textId="5D40E472" w:rsidR="00287079" w:rsidRDefault="00287079" w:rsidP="00287079">
      <w:pPr>
        <w:pStyle w:val="Textparagrafu"/>
        <w:ind w:firstLine="0"/>
        <w:jc w:val="center"/>
      </w:pPr>
      <w:r>
        <w:t>***</w:t>
      </w:r>
    </w:p>
    <w:p w14:paraId="0E70AE9C" w14:textId="77777777" w:rsidR="00ED70B5" w:rsidRDefault="00ED70B5" w:rsidP="00ED70B5">
      <w:pPr>
        <w:pStyle w:val="Textparagrafu"/>
        <w:ind w:firstLine="0"/>
        <w:jc w:val="center"/>
      </w:pPr>
      <w:r w:rsidRPr="00941A76">
        <w:t>§</w:t>
      </w:r>
      <w:r>
        <w:t xml:space="preserve"> </w:t>
      </w:r>
      <w:r w:rsidRPr="00941A76">
        <w:t>42b</w:t>
      </w:r>
    </w:p>
    <w:p w14:paraId="13E7582A" w14:textId="1DFD6A11" w:rsidR="00ED70B5" w:rsidRDefault="00ED70B5" w:rsidP="00CE2C91">
      <w:pPr>
        <w:pStyle w:val="Textparagrafu"/>
        <w:spacing w:before="120" w:after="120"/>
      </w:pPr>
      <w:r w:rsidRPr="00941A76">
        <w:t>(1)</w:t>
      </w:r>
      <w:r>
        <w:t xml:space="preserve"> </w:t>
      </w:r>
      <w:r w:rsidRPr="00941A76">
        <w:t>Provozovatel</w:t>
      </w:r>
      <w:r>
        <w:t xml:space="preserve"> </w:t>
      </w:r>
      <w:r w:rsidRPr="00941A76">
        <w:t>dráhy,</w:t>
      </w:r>
      <w:r>
        <w:t xml:space="preserve"> </w:t>
      </w:r>
      <w:r w:rsidRPr="00941A76">
        <w:t>který</w:t>
      </w:r>
      <w:r>
        <w:t xml:space="preserve"> </w:t>
      </w:r>
      <w:r w:rsidRPr="00941A76">
        <w:t>je</w:t>
      </w:r>
      <w:r>
        <w:t xml:space="preserve"> </w:t>
      </w:r>
      <w:r w:rsidRPr="00941A76">
        <w:t>součástí</w:t>
      </w:r>
      <w:r>
        <w:t xml:space="preserve"> </w:t>
      </w:r>
      <w:r w:rsidRPr="00941A76">
        <w:t>vertikálně</w:t>
      </w:r>
      <w:r>
        <w:t xml:space="preserve"> </w:t>
      </w:r>
      <w:r w:rsidRPr="00941A76">
        <w:t>integrovaného</w:t>
      </w:r>
      <w:r>
        <w:t xml:space="preserve"> </w:t>
      </w:r>
      <w:r w:rsidRPr="00941A76">
        <w:t>podniku,</w:t>
      </w:r>
      <w:r>
        <w:t xml:space="preserve"> </w:t>
      </w:r>
      <w:r w:rsidRPr="00941A76">
        <w:t>nesmí</w:t>
      </w:r>
      <w:r>
        <w:t xml:space="preserve"> </w:t>
      </w:r>
      <w:r w:rsidRPr="00941A76">
        <w:t>příjmy</w:t>
      </w:r>
      <w:r>
        <w:t xml:space="preserve"> </w:t>
      </w:r>
      <w:r w:rsidRPr="00941A76">
        <w:t>z</w:t>
      </w:r>
      <w:r>
        <w:t xml:space="preserve"> </w:t>
      </w:r>
      <w:r w:rsidRPr="00941A76">
        <w:t>provozování</w:t>
      </w:r>
      <w:r>
        <w:t xml:space="preserve"> </w:t>
      </w:r>
      <w:r w:rsidRPr="00941A76">
        <w:t>dráhy</w:t>
      </w:r>
      <w:r>
        <w:t xml:space="preserve"> </w:t>
      </w:r>
      <w:r w:rsidRPr="00941A76">
        <w:t>a</w:t>
      </w:r>
      <w:r>
        <w:t xml:space="preserve"> </w:t>
      </w:r>
      <w:r w:rsidRPr="00941A76">
        <w:t>finanční</w:t>
      </w:r>
      <w:r>
        <w:t xml:space="preserve"> </w:t>
      </w:r>
      <w:r w:rsidRPr="00941A76">
        <w:t>prostředky</w:t>
      </w:r>
      <w:r>
        <w:t xml:space="preserve"> </w:t>
      </w:r>
      <w:r w:rsidRPr="00941A76">
        <w:t>poskytnuté</w:t>
      </w:r>
      <w:r>
        <w:t xml:space="preserve"> </w:t>
      </w:r>
      <w:r w:rsidRPr="00941A76">
        <w:t>z</w:t>
      </w:r>
      <w:r>
        <w:t xml:space="preserve"> </w:t>
      </w:r>
      <w:r w:rsidRPr="00941A76">
        <w:t>veřejných</w:t>
      </w:r>
      <w:r>
        <w:t xml:space="preserve"> </w:t>
      </w:r>
      <w:r w:rsidRPr="00941A76">
        <w:t>rozpočtů</w:t>
      </w:r>
      <w:r>
        <w:t xml:space="preserve"> </w:t>
      </w:r>
      <w:r w:rsidRPr="00941A76">
        <w:t>k</w:t>
      </w:r>
      <w:r>
        <w:t xml:space="preserve"> </w:t>
      </w:r>
      <w:r w:rsidRPr="00941A76">
        <w:t>provozování</w:t>
      </w:r>
      <w:r>
        <w:t xml:space="preserve"> </w:t>
      </w:r>
      <w:r w:rsidRPr="00941A76">
        <w:t>dráhy</w:t>
      </w:r>
      <w:r>
        <w:t xml:space="preserve"> </w:t>
      </w:r>
      <w:r w:rsidRPr="00941A76">
        <w:t>použít</w:t>
      </w:r>
      <w:r>
        <w:t xml:space="preserve"> </w:t>
      </w:r>
      <w:r w:rsidRPr="00941A76">
        <w:t>k</w:t>
      </w:r>
      <w:r>
        <w:t xml:space="preserve"> </w:t>
      </w:r>
      <w:r w:rsidRPr="00941A76">
        <w:t>vyplacení</w:t>
      </w:r>
      <w:r>
        <w:t xml:space="preserve"> </w:t>
      </w:r>
      <w:r w:rsidRPr="00941A76">
        <w:t>podílu</w:t>
      </w:r>
      <w:r>
        <w:t xml:space="preserve"> </w:t>
      </w:r>
      <w:r w:rsidRPr="00941A76">
        <w:t>na</w:t>
      </w:r>
      <w:r>
        <w:t xml:space="preserve"> </w:t>
      </w:r>
      <w:r w:rsidRPr="00941A76">
        <w:t>zisku</w:t>
      </w:r>
      <w:r>
        <w:t xml:space="preserve"> </w:t>
      </w:r>
      <w:r w:rsidRPr="00941A76">
        <w:t>osobě,</w:t>
      </w:r>
      <w:r>
        <w:t xml:space="preserve"> </w:t>
      </w:r>
      <w:r w:rsidRPr="00941A76">
        <w:t>která</w:t>
      </w:r>
      <w:r>
        <w:t xml:space="preserve"> </w:t>
      </w:r>
      <w:r w:rsidRPr="00941A76">
        <w:t>vykonává</w:t>
      </w:r>
      <w:r>
        <w:t xml:space="preserve"> </w:t>
      </w:r>
      <w:r w:rsidRPr="00941A76">
        <w:t>kontrolu</w:t>
      </w:r>
      <w:r>
        <w:t xml:space="preserve"> </w:t>
      </w:r>
      <w:r w:rsidRPr="00941A76">
        <w:t>podle</w:t>
      </w:r>
      <w:r>
        <w:t xml:space="preserve"> </w:t>
      </w:r>
      <w:r w:rsidRPr="00941A76">
        <w:t>přímo</w:t>
      </w:r>
      <w:r>
        <w:t xml:space="preserve"> </w:t>
      </w:r>
      <w:r w:rsidRPr="00941A76">
        <w:t>použitelného</w:t>
      </w:r>
      <w:r>
        <w:t xml:space="preserve"> </w:t>
      </w:r>
      <w:r w:rsidRPr="00941A76">
        <w:t>předpisu</w:t>
      </w:r>
      <w:r>
        <w:t xml:space="preserve"> </w:t>
      </w:r>
      <w:r w:rsidRPr="00941A76">
        <w:t>Evropské</w:t>
      </w:r>
      <w:r>
        <w:t xml:space="preserve"> </w:t>
      </w:r>
      <w:r w:rsidRPr="00941A76">
        <w:t>unie</w:t>
      </w:r>
      <w:r>
        <w:t xml:space="preserve"> </w:t>
      </w:r>
      <w:r w:rsidRPr="00941A76">
        <w:t>upravujícího</w:t>
      </w:r>
      <w:r>
        <w:t xml:space="preserve"> </w:t>
      </w:r>
      <w:r w:rsidRPr="00941A76">
        <w:t>kontrolu</w:t>
      </w:r>
      <w:r>
        <w:t xml:space="preserve"> </w:t>
      </w:r>
      <w:r w:rsidRPr="00941A76">
        <w:t>spojování</w:t>
      </w:r>
      <w:r>
        <w:t xml:space="preserve"> </w:t>
      </w:r>
      <w:r w:rsidRPr="00941A76">
        <w:t>podniků</w:t>
      </w:r>
      <w:r>
        <w:rPr>
          <w:rStyle w:val="Znakapoznpodarou"/>
        </w:rPr>
        <w:footnoteReference w:customMarkFollows="1" w:id="211"/>
        <w:t>18)</w:t>
      </w:r>
      <w:r>
        <w:t xml:space="preserve"> </w:t>
      </w:r>
      <w:r w:rsidRPr="00941A76">
        <w:t>nad</w:t>
      </w:r>
      <w:r>
        <w:t xml:space="preserve"> </w:t>
      </w:r>
      <w:r w:rsidRPr="00941A76">
        <w:t>tímto</w:t>
      </w:r>
      <w:r>
        <w:t xml:space="preserve"> </w:t>
      </w:r>
      <w:r w:rsidRPr="00941A76">
        <w:t>provozovatelem</w:t>
      </w:r>
      <w:r>
        <w:t xml:space="preserve"> </w:t>
      </w:r>
      <w:r w:rsidRPr="00941A76">
        <w:t>dráhy</w:t>
      </w:r>
      <w:r>
        <w:t xml:space="preserve"> </w:t>
      </w:r>
      <w:r w:rsidRPr="00941A76">
        <w:t>a</w:t>
      </w:r>
      <w:r>
        <w:t xml:space="preserve"> </w:t>
      </w:r>
      <w:r w:rsidRPr="00941A76">
        <w:t>nad</w:t>
      </w:r>
      <w:r>
        <w:t xml:space="preserve"> </w:t>
      </w:r>
      <w:r w:rsidRPr="00941A76">
        <w:t>dopravcem.</w:t>
      </w:r>
    </w:p>
    <w:p w14:paraId="2D2DED4B" w14:textId="77777777" w:rsidR="00ED70B5" w:rsidRDefault="00ED70B5" w:rsidP="00CE2C91">
      <w:pPr>
        <w:pStyle w:val="Textparagrafu"/>
        <w:spacing w:before="120" w:after="120"/>
      </w:pPr>
      <w:r w:rsidRPr="00941A76">
        <w:t>(2)</w:t>
      </w:r>
      <w:r>
        <w:t xml:space="preserve"> </w:t>
      </w:r>
      <w:r w:rsidRPr="00941A76">
        <w:t>Podnikatelé,</w:t>
      </w:r>
      <w:r>
        <w:t xml:space="preserve"> </w:t>
      </w:r>
      <w:r w:rsidRPr="00941A76">
        <w:t>kteří</w:t>
      </w:r>
      <w:r>
        <w:t xml:space="preserve"> </w:t>
      </w:r>
      <w:r w:rsidRPr="00941A76">
        <w:t>jsou</w:t>
      </w:r>
      <w:r>
        <w:t xml:space="preserve"> </w:t>
      </w:r>
      <w:r w:rsidRPr="00941A76">
        <w:t>součástí</w:t>
      </w:r>
      <w:r>
        <w:t xml:space="preserve"> </w:t>
      </w:r>
      <w:r w:rsidRPr="00941A76">
        <w:t>vertikálně</w:t>
      </w:r>
      <w:r>
        <w:t xml:space="preserve"> </w:t>
      </w:r>
      <w:r w:rsidRPr="00941A76">
        <w:t>integrovaného</w:t>
      </w:r>
      <w:r>
        <w:t xml:space="preserve"> </w:t>
      </w:r>
      <w:r w:rsidRPr="00941A76">
        <w:t>podniku,</w:t>
      </w:r>
      <w:r>
        <w:t xml:space="preserve"> </w:t>
      </w:r>
      <w:r w:rsidRPr="00941A76">
        <w:t>mohou</w:t>
      </w:r>
      <w:r>
        <w:t xml:space="preserve"> </w:t>
      </w:r>
      <w:r w:rsidRPr="00941A76">
        <w:t>mezi</w:t>
      </w:r>
      <w:r>
        <w:t xml:space="preserve"> </w:t>
      </w:r>
      <w:r w:rsidRPr="00941A76">
        <w:t>sebou</w:t>
      </w:r>
      <w:r>
        <w:t xml:space="preserve"> </w:t>
      </w:r>
      <w:r w:rsidRPr="00941A76">
        <w:t>uzavřít</w:t>
      </w:r>
      <w:r>
        <w:t xml:space="preserve"> </w:t>
      </w:r>
      <w:r w:rsidRPr="00941A76">
        <w:t>smlouvu</w:t>
      </w:r>
      <w:r>
        <w:t xml:space="preserve"> </w:t>
      </w:r>
      <w:r w:rsidRPr="00941A76">
        <w:t>o</w:t>
      </w:r>
      <w:r>
        <w:t xml:space="preserve"> </w:t>
      </w:r>
      <w:r w:rsidRPr="00941A76">
        <w:t>úvěru</w:t>
      </w:r>
      <w:r>
        <w:t xml:space="preserve"> </w:t>
      </w:r>
      <w:r w:rsidRPr="00941A76">
        <w:t>nebo</w:t>
      </w:r>
      <w:r>
        <w:t xml:space="preserve"> </w:t>
      </w:r>
      <w:r w:rsidRPr="00941A76">
        <w:t>zápůjčce</w:t>
      </w:r>
      <w:r>
        <w:t xml:space="preserve"> </w:t>
      </w:r>
      <w:r w:rsidRPr="00941A76">
        <w:t>nebo</w:t>
      </w:r>
      <w:r>
        <w:t xml:space="preserve"> </w:t>
      </w:r>
      <w:r w:rsidRPr="00941A76">
        <w:t>učinit</w:t>
      </w:r>
      <w:r>
        <w:t xml:space="preserve"> </w:t>
      </w:r>
      <w:r w:rsidRPr="00941A76">
        <w:t>jiné</w:t>
      </w:r>
      <w:r>
        <w:t xml:space="preserve"> </w:t>
      </w:r>
      <w:r w:rsidRPr="00941A76">
        <w:t>obdobné</w:t>
      </w:r>
      <w:r>
        <w:t xml:space="preserve"> </w:t>
      </w:r>
      <w:r w:rsidRPr="00941A76">
        <w:t>právní</w:t>
      </w:r>
      <w:r>
        <w:t xml:space="preserve"> </w:t>
      </w:r>
      <w:r w:rsidRPr="00941A76">
        <w:t>jednání</w:t>
      </w:r>
      <w:r>
        <w:t xml:space="preserve"> </w:t>
      </w:r>
      <w:r w:rsidRPr="00941A76">
        <w:t>pouze</w:t>
      </w:r>
      <w:r>
        <w:t xml:space="preserve"> </w:t>
      </w:r>
      <w:r w:rsidRPr="00941A76">
        <w:t>při</w:t>
      </w:r>
      <w:r>
        <w:t xml:space="preserve"> </w:t>
      </w:r>
      <w:r w:rsidRPr="00941A76">
        <w:t>sjednání</w:t>
      </w:r>
      <w:r>
        <w:t xml:space="preserve"> </w:t>
      </w:r>
      <w:r w:rsidRPr="00941A76">
        <w:t>obvyklého</w:t>
      </w:r>
      <w:r>
        <w:t xml:space="preserve"> </w:t>
      </w:r>
      <w:r w:rsidRPr="00941A76">
        <w:t>úroku</w:t>
      </w:r>
      <w:r>
        <w:t xml:space="preserve"> </w:t>
      </w:r>
      <w:r w:rsidRPr="00941A76">
        <w:t>podle</w:t>
      </w:r>
      <w:r>
        <w:t xml:space="preserve"> </w:t>
      </w:r>
      <w:r w:rsidRPr="00941A76">
        <w:t>občanského</w:t>
      </w:r>
      <w:r>
        <w:t xml:space="preserve"> </w:t>
      </w:r>
      <w:r w:rsidRPr="00941A76">
        <w:t>zákoníku</w:t>
      </w:r>
      <w:r>
        <w:t xml:space="preserve"> </w:t>
      </w:r>
      <w:r w:rsidRPr="00941A76">
        <w:t>a</w:t>
      </w:r>
      <w:r>
        <w:t xml:space="preserve"> </w:t>
      </w:r>
      <w:r w:rsidRPr="00941A76">
        <w:t>za</w:t>
      </w:r>
      <w:r>
        <w:t xml:space="preserve"> </w:t>
      </w:r>
      <w:r w:rsidRPr="00941A76">
        <w:t>podmínek</w:t>
      </w:r>
      <w:r>
        <w:t xml:space="preserve"> </w:t>
      </w:r>
      <w:r w:rsidRPr="00941A76">
        <w:t>obvyklých</w:t>
      </w:r>
      <w:r>
        <w:t xml:space="preserve"> </w:t>
      </w:r>
      <w:r w:rsidRPr="00941A76">
        <w:t>v</w:t>
      </w:r>
      <w:r>
        <w:t xml:space="preserve"> </w:t>
      </w:r>
      <w:r w:rsidRPr="00941A76">
        <w:t>místě</w:t>
      </w:r>
      <w:r>
        <w:t xml:space="preserve"> </w:t>
      </w:r>
      <w:r w:rsidRPr="00941A76">
        <w:t>a</w:t>
      </w:r>
      <w:r>
        <w:t xml:space="preserve"> </w:t>
      </w:r>
      <w:r w:rsidRPr="00941A76">
        <w:t>čase</w:t>
      </w:r>
      <w:r>
        <w:t xml:space="preserve"> </w:t>
      </w:r>
      <w:r w:rsidRPr="00941A76">
        <w:t>učinění</w:t>
      </w:r>
      <w:r>
        <w:t xml:space="preserve"> </w:t>
      </w:r>
      <w:r w:rsidRPr="00941A76">
        <w:t>právního</w:t>
      </w:r>
      <w:r>
        <w:t xml:space="preserve"> </w:t>
      </w:r>
      <w:r w:rsidRPr="00941A76">
        <w:t>jednání</w:t>
      </w:r>
      <w:r>
        <w:t xml:space="preserve"> </w:t>
      </w:r>
      <w:r w:rsidRPr="00941A76">
        <w:t>s</w:t>
      </w:r>
      <w:r>
        <w:t xml:space="preserve"> </w:t>
      </w:r>
      <w:r w:rsidRPr="00941A76">
        <w:t>přihlédnutím</w:t>
      </w:r>
      <w:r>
        <w:t xml:space="preserve"> </w:t>
      </w:r>
      <w:r w:rsidRPr="00941A76">
        <w:t>k</w:t>
      </w:r>
      <w:r>
        <w:t xml:space="preserve"> </w:t>
      </w:r>
      <w:r w:rsidRPr="00941A76">
        <w:t>rizikovému</w:t>
      </w:r>
      <w:r>
        <w:t xml:space="preserve"> </w:t>
      </w:r>
      <w:r w:rsidRPr="00941A76">
        <w:t>profilu</w:t>
      </w:r>
      <w:r>
        <w:t xml:space="preserve"> </w:t>
      </w:r>
      <w:r w:rsidRPr="00941A76">
        <w:t>příjemce</w:t>
      </w:r>
      <w:r>
        <w:t xml:space="preserve"> </w:t>
      </w:r>
      <w:r w:rsidRPr="00941A76">
        <w:t>peněžitého</w:t>
      </w:r>
      <w:r>
        <w:t xml:space="preserve"> </w:t>
      </w:r>
      <w:r w:rsidRPr="00941A76">
        <w:t>plnění</w:t>
      </w:r>
      <w:r>
        <w:t xml:space="preserve"> </w:t>
      </w:r>
      <w:r w:rsidRPr="00941A76">
        <w:t>z</w:t>
      </w:r>
      <w:r>
        <w:t xml:space="preserve"> </w:t>
      </w:r>
      <w:r w:rsidRPr="00941A76">
        <w:t>právního</w:t>
      </w:r>
      <w:r>
        <w:t xml:space="preserve"> </w:t>
      </w:r>
      <w:r w:rsidRPr="00941A76">
        <w:t>jednání;</w:t>
      </w:r>
      <w:r>
        <w:t xml:space="preserve"> </w:t>
      </w:r>
      <w:r w:rsidRPr="00941A76">
        <w:t>ustanovení</w:t>
      </w:r>
      <w:r>
        <w:t xml:space="preserve"> </w:t>
      </w:r>
      <w:r w:rsidRPr="00941A76">
        <w:t>§</w:t>
      </w:r>
      <w:r>
        <w:t xml:space="preserve"> </w:t>
      </w:r>
      <w:r w:rsidRPr="00941A76">
        <w:t>22b</w:t>
      </w:r>
      <w:r>
        <w:t xml:space="preserve"> </w:t>
      </w:r>
      <w:r w:rsidRPr="00941A76">
        <w:t>odst.</w:t>
      </w:r>
      <w:r>
        <w:t xml:space="preserve"> </w:t>
      </w:r>
      <w:r w:rsidRPr="00941A76">
        <w:t>4</w:t>
      </w:r>
      <w:r>
        <w:t xml:space="preserve"> </w:t>
      </w:r>
      <w:r w:rsidRPr="00941A76">
        <w:t>tím</w:t>
      </w:r>
      <w:r>
        <w:t xml:space="preserve"> </w:t>
      </w:r>
      <w:r w:rsidRPr="00941A76">
        <w:t>není</w:t>
      </w:r>
      <w:r>
        <w:t xml:space="preserve"> </w:t>
      </w:r>
      <w:r w:rsidRPr="00941A76">
        <w:t>dotčeno.</w:t>
      </w:r>
    </w:p>
    <w:p w14:paraId="55F52C43" w14:textId="77777777" w:rsidR="00ED70B5" w:rsidRDefault="00ED70B5" w:rsidP="00CE2C91">
      <w:pPr>
        <w:pStyle w:val="Textparagrafu"/>
        <w:spacing w:before="120" w:after="120"/>
      </w:pPr>
      <w:r w:rsidRPr="00941A76">
        <w:t>(3)</w:t>
      </w:r>
      <w:r>
        <w:t xml:space="preserve"> </w:t>
      </w:r>
      <w:r w:rsidRPr="00941A76">
        <w:t>Podnikatel,</w:t>
      </w:r>
      <w:r>
        <w:t xml:space="preserve"> </w:t>
      </w:r>
      <w:r w:rsidRPr="00941A76">
        <w:t>který</w:t>
      </w:r>
      <w:r>
        <w:t xml:space="preserve"> </w:t>
      </w:r>
      <w:r w:rsidRPr="00941A76">
        <w:t>je</w:t>
      </w:r>
      <w:r>
        <w:t xml:space="preserve"> </w:t>
      </w:r>
      <w:r w:rsidRPr="00941A76">
        <w:t>součástí</w:t>
      </w:r>
      <w:r>
        <w:t xml:space="preserve"> </w:t>
      </w:r>
      <w:r w:rsidRPr="00941A76">
        <w:t>vertikálně</w:t>
      </w:r>
      <w:r>
        <w:t xml:space="preserve"> </w:t>
      </w:r>
      <w:r w:rsidRPr="00941A76">
        <w:t>integrovaného</w:t>
      </w:r>
      <w:r>
        <w:t xml:space="preserve"> </w:t>
      </w:r>
      <w:r w:rsidRPr="00941A76">
        <w:t>podniku,</w:t>
      </w:r>
      <w:r>
        <w:t xml:space="preserve"> </w:t>
      </w:r>
      <w:r w:rsidRPr="00941A76">
        <w:t>nesmí</w:t>
      </w:r>
      <w:r>
        <w:t xml:space="preserve"> </w:t>
      </w:r>
      <w:r w:rsidRPr="00941A76">
        <w:t>provozovateli</w:t>
      </w:r>
      <w:r>
        <w:t xml:space="preserve"> </w:t>
      </w:r>
      <w:r w:rsidRPr="00941A76">
        <w:t>dráhy,</w:t>
      </w:r>
      <w:r>
        <w:t xml:space="preserve"> </w:t>
      </w:r>
      <w:r w:rsidRPr="00941A76">
        <w:t>který</w:t>
      </w:r>
      <w:r>
        <w:t xml:space="preserve"> </w:t>
      </w:r>
      <w:r w:rsidRPr="00941A76">
        <w:t>je</w:t>
      </w:r>
      <w:r>
        <w:t xml:space="preserve"> </w:t>
      </w:r>
      <w:r w:rsidRPr="00941A76">
        <w:t>součástí</w:t>
      </w:r>
      <w:r>
        <w:t xml:space="preserve"> </w:t>
      </w:r>
      <w:r w:rsidRPr="00941A76">
        <w:t>téhož</w:t>
      </w:r>
      <w:r>
        <w:t xml:space="preserve"> </w:t>
      </w:r>
      <w:r w:rsidRPr="00941A76">
        <w:t>podniku,</w:t>
      </w:r>
      <w:r>
        <w:t xml:space="preserve"> </w:t>
      </w:r>
      <w:r w:rsidRPr="00941A76">
        <w:t>poskytnout</w:t>
      </w:r>
      <w:r>
        <w:t xml:space="preserve"> </w:t>
      </w:r>
      <w:r w:rsidRPr="00941A76">
        <w:t>plnění</w:t>
      </w:r>
      <w:r>
        <w:t xml:space="preserve"> </w:t>
      </w:r>
      <w:r w:rsidRPr="00941A76">
        <w:t>bez</w:t>
      </w:r>
      <w:r>
        <w:t xml:space="preserve"> </w:t>
      </w:r>
      <w:r w:rsidRPr="00941A76">
        <w:t>právního</w:t>
      </w:r>
      <w:r>
        <w:t xml:space="preserve"> </w:t>
      </w:r>
      <w:r w:rsidRPr="00941A76">
        <w:t>důvodu</w:t>
      </w:r>
      <w:r>
        <w:t xml:space="preserve"> </w:t>
      </w:r>
      <w:r w:rsidRPr="00941A76">
        <w:t>nebo</w:t>
      </w:r>
      <w:r>
        <w:t xml:space="preserve"> </w:t>
      </w:r>
      <w:r w:rsidRPr="00941A76">
        <w:t>za</w:t>
      </w:r>
      <w:r>
        <w:t xml:space="preserve"> </w:t>
      </w:r>
      <w:r w:rsidRPr="00941A76">
        <w:t>cenu</w:t>
      </w:r>
      <w:r>
        <w:t xml:space="preserve"> </w:t>
      </w:r>
      <w:r w:rsidRPr="00941A76">
        <w:t>sjednanou</w:t>
      </w:r>
      <w:r>
        <w:t xml:space="preserve"> </w:t>
      </w:r>
      <w:r w:rsidRPr="00941A76">
        <w:t>v</w:t>
      </w:r>
      <w:r>
        <w:t xml:space="preserve"> </w:t>
      </w:r>
      <w:r w:rsidRPr="00941A76">
        <w:t>rozporu</w:t>
      </w:r>
      <w:r>
        <w:t xml:space="preserve"> </w:t>
      </w:r>
      <w:r w:rsidRPr="00941A76">
        <w:t>s</w:t>
      </w:r>
      <w:r>
        <w:t xml:space="preserve"> </w:t>
      </w:r>
      <w:r w:rsidRPr="00941A76">
        <w:t>cenovými</w:t>
      </w:r>
      <w:r>
        <w:t xml:space="preserve"> </w:t>
      </w:r>
      <w:r w:rsidRPr="00941A76">
        <w:t>předpisy.</w:t>
      </w:r>
    </w:p>
    <w:p w14:paraId="39AFF443" w14:textId="77777777" w:rsidR="00ED70B5" w:rsidRDefault="00ED70B5" w:rsidP="00CE2C91">
      <w:pPr>
        <w:pStyle w:val="Textparagrafu"/>
        <w:spacing w:before="120" w:after="120"/>
      </w:pPr>
      <w:r w:rsidRPr="00941A76">
        <w:t>(4)</w:t>
      </w:r>
      <w:r>
        <w:t xml:space="preserve"> </w:t>
      </w:r>
      <w:r w:rsidRPr="00941A76">
        <w:t>K</w:t>
      </w:r>
      <w:r>
        <w:t xml:space="preserve"> </w:t>
      </w:r>
      <w:r w:rsidRPr="00941A76">
        <w:t>dluhu</w:t>
      </w:r>
      <w:r>
        <w:t xml:space="preserve"> </w:t>
      </w:r>
      <w:r w:rsidRPr="00941A76">
        <w:t>provozovatele</w:t>
      </w:r>
      <w:r>
        <w:t xml:space="preserve"> </w:t>
      </w:r>
      <w:r w:rsidRPr="00941A76">
        <w:t>dráhy,</w:t>
      </w:r>
      <w:r>
        <w:t xml:space="preserve"> </w:t>
      </w:r>
      <w:r w:rsidRPr="00941A76">
        <w:t>který</w:t>
      </w:r>
      <w:r>
        <w:t xml:space="preserve"> </w:t>
      </w:r>
      <w:r w:rsidRPr="00941A76">
        <w:t>je</w:t>
      </w:r>
      <w:r>
        <w:t xml:space="preserve"> </w:t>
      </w:r>
      <w:r w:rsidRPr="00941A76">
        <w:t>součástí</w:t>
      </w:r>
      <w:r>
        <w:t xml:space="preserve"> </w:t>
      </w:r>
      <w:r w:rsidRPr="00941A76">
        <w:t>vertikálně</w:t>
      </w:r>
      <w:r>
        <w:t xml:space="preserve"> </w:t>
      </w:r>
      <w:r w:rsidRPr="00941A76">
        <w:t>integrovaného</w:t>
      </w:r>
      <w:r>
        <w:t xml:space="preserve"> </w:t>
      </w:r>
      <w:r w:rsidRPr="00941A76">
        <w:t>podniku,</w:t>
      </w:r>
      <w:r>
        <w:t xml:space="preserve"> </w:t>
      </w:r>
      <w:r w:rsidRPr="00941A76">
        <w:t>nesmí</w:t>
      </w:r>
      <w:r>
        <w:t xml:space="preserve"> </w:t>
      </w:r>
      <w:r w:rsidRPr="00941A76">
        <w:t>přistoupit,</w:t>
      </w:r>
      <w:r>
        <w:t xml:space="preserve"> </w:t>
      </w:r>
      <w:r w:rsidRPr="00941A76">
        <w:t>ani</w:t>
      </w:r>
      <w:r>
        <w:t xml:space="preserve"> </w:t>
      </w:r>
      <w:r w:rsidRPr="00941A76">
        <w:t>jej</w:t>
      </w:r>
      <w:r>
        <w:t xml:space="preserve"> </w:t>
      </w:r>
      <w:r w:rsidRPr="00941A76">
        <w:t>plnit,</w:t>
      </w:r>
      <w:r>
        <w:t xml:space="preserve"> </w:t>
      </w:r>
      <w:r w:rsidRPr="00941A76">
        <w:t>převzít</w:t>
      </w:r>
      <w:r>
        <w:t xml:space="preserve"> </w:t>
      </w:r>
      <w:r w:rsidRPr="00941A76">
        <w:t>nebo</w:t>
      </w:r>
      <w:r>
        <w:t xml:space="preserve"> </w:t>
      </w:r>
      <w:r w:rsidRPr="00941A76">
        <w:t>zajistit</w:t>
      </w:r>
      <w:r>
        <w:t xml:space="preserve"> </w:t>
      </w:r>
      <w:r w:rsidRPr="00941A76">
        <w:t>jiný</w:t>
      </w:r>
      <w:r>
        <w:t xml:space="preserve"> </w:t>
      </w:r>
      <w:r w:rsidRPr="00941A76">
        <w:t>podnikatel</w:t>
      </w:r>
      <w:r>
        <w:t xml:space="preserve"> </w:t>
      </w:r>
      <w:r w:rsidRPr="00941A76">
        <w:t>v</w:t>
      </w:r>
      <w:r>
        <w:t xml:space="preserve"> </w:t>
      </w:r>
      <w:r w:rsidRPr="00941A76">
        <w:t>rámci</w:t>
      </w:r>
      <w:r>
        <w:t xml:space="preserve"> </w:t>
      </w:r>
      <w:r w:rsidRPr="00941A76">
        <w:t>téhož</w:t>
      </w:r>
      <w:r>
        <w:t xml:space="preserve"> </w:t>
      </w:r>
      <w:r w:rsidRPr="00941A76">
        <w:t>podniku.</w:t>
      </w:r>
    </w:p>
    <w:p w14:paraId="2E3A73BA" w14:textId="0B9900EE" w:rsidR="00ED70B5" w:rsidRDefault="00ED70B5" w:rsidP="00CE2C91">
      <w:pPr>
        <w:pStyle w:val="Textparagrafu"/>
        <w:spacing w:before="120" w:after="120"/>
      </w:pPr>
      <w:r w:rsidRPr="00941A76">
        <w:lastRenderedPageBreak/>
        <w:t>(5)</w:t>
      </w:r>
      <w:r>
        <w:t xml:space="preserve"> </w:t>
      </w:r>
      <w:r w:rsidRPr="00941A76">
        <w:t>Podnikatel,</w:t>
      </w:r>
      <w:r>
        <w:t xml:space="preserve"> </w:t>
      </w:r>
      <w:r w:rsidRPr="00941A76">
        <w:t>který</w:t>
      </w:r>
      <w:r>
        <w:t xml:space="preserve"> </w:t>
      </w:r>
      <w:r w:rsidRPr="00941A76">
        <w:t>je</w:t>
      </w:r>
      <w:r>
        <w:t xml:space="preserve"> </w:t>
      </w:r>
      <w:r w:rsidRPr="00941A76">
        <w:t>součástí</w:t>
      </w:r>
      <w:r>
        <w:t xml:space="preserve"> </w:t>
      </w:r>
      <w:r w:rsidRPr="00941A76">
        <w:t>vertikálně</w:t>
      </w:r>
      <w:r>
        <w:t xml:space="preserve"> </w:t>
      </w:r>
      <w:r w:rsidRPr="00941A76">
        <w:t>integrovaného</w:t>
      </w:r>
      <w:r>
        <w:t xml:space="preserve"> </w:t>
      </w:r>
      <w:r w:rsidRPr="00941A76">
        <w:t>podniku,</w:t>
      </w:r>
      <w:r>
        <w:t xml:space="preserve"> </w:t>
      </w:r>
      <w:r w:rsidRPr="006B439C">
        <w:rPr>
          <w:strike/>
        </w:rPr>
        <w:t>vede oddělené účetnictví, kterým je možné</w:t>
      </w:r>
      <w:r>
        <w:t xml:space="preserve"> </w:t>
      </w:r>
      <w:r w:rsidR="006B439C" w:rsidRPr="00BC6B56">
        <w:rPr>
          <w:b/>
        </w:rPr>
        <w:t>sleduje v účetním systému účetní záznamy odděleně tak, aby bylo možné</w:t>
      </w:r>
      <w:r w:rsidR="006B439C" w:rsidRPr="00941A76">
        <w:t xml:space="preserve"> </w:t>
      </w:r>
      <w:r w:rsidRPr="00941A76">
        <w:t>prokázat</w:t>
      </w:r>
      <w:r>
        <w:t xml:space="preserve"> </w:t>
      </w:r>
      <w:r w:rsidRPr="00941A76">
        <w:t>splnění</w:t>
      </w:r>
      <w:r>
        <w:t xml:space="preserve"> </w:t>
      </w:r>
      <w:r w:rsidRPr="00941A76">
        <w:t>povinností</w:t>
      </w:r>
      <w:r>
        <w:t xml:space="preserve"> </w:t>
      </w:r>
      <w:r w:rsidRPr="00941A76">
        <w:t>uvedených</w:t>
      </w:r>
      <w:r>
        <w:t xml:space="preserve"> </w:t>
      </w:r>
      <w:r w:rsidRPr="00941A76">
        <w:t>v</w:t>
      </w:r>
      <w:r>
        <w:t xml:space="preserve"> </w:t>
      </w:r>
      <w:r w:rsidRPr="00941A76">
        <w:t>odstavcích</w:t>
      </w:r>
      <w:r>
        <w:t xml:space="preserve"> </w:t>
      </w:r>
      <w:r w:rsidRPr="00941A76">
        <w:t>1</w:t>
      </w:r>
      <w:r>
        <w:t xml:space="preserve"> </w:t>
      </w:r>
      <w:r w:rsidRPr="00941A76">
        <w:t>až</w:t>
      </w:r>
      <w:r>
        <w:t xml:space="preserve"> </w:t>
      </w:r>
      <w:r w:rsidRPr="00941A76">
        <w:t>4</w:t>
      </w:r>
      <w:r>
        <w:t xml:space="preserve"> </w:t>
      </w:r>
      <w:r w:rsidRPr="00941A76">
        <w:t>a</w:t>
      </w:r>
      <w:r>
        <w:t xml:space="preserve"> </w:t>
      </w:r>
      <w:r w:rsidRPr="00941A76">
        <w:t>v</w:t>
      </w:r>
      <w:r>
        <w:t xml:space="preserve"> </w:t>
      </w:r>
      <w:r w:rsidRPr="00941A76">
        <w:t>§</w:t>
      </w:r>
      <w:r>
        <w:t xml:space="preserve"> </w:t>
      </w:r>
      <w:r w:rsidRPr="00941A76">
        <w:t>22b</w:t>
      </w:r>
      <w:r>
        <w:t xml:space="preserve"> </w:t>
      </w:r>
      <w:r w:rsidRPr="00941A76">
        <w:t>odst.</w:t>
      </w:r>
      <w:r>
        <w:t xml:space="preserve"> </w:t>
      </w:r>
      <w:r w:rsidRPr="00941A76">
        <w:t>3</w:t>
      </w:r>
      <w:r>
        <w:t xml:space="preserve"> </w:t>
      </w:r>
      <w:r w:rsidRPr="00941A76">
        <w:t>a</w:t>
      </w:r>
      <w:r>
        <w:t xml:space="preserve"> </w:t>
      </w:r>
      <w:r w:rsidRPr="00941A76">
        <w:t>4.</w:t>
      </w:r>
    </w:p>
    <w:p w14:paraId="137661B1" w14:textId="77777777" w:rsidR="00ED70B5" w:rsidRDefault="00ED70B5" w:rsidP="00ED70B5">
      <w:pPr>
        <w:pStyle w:val="Textparagrafu"/>
        <w:ind w:firstLine="0"/>
        <w:jc w:val="center"/>
      </w:pPr>
      <w:r w:rsidRPr="00941A76">
        <w:t>§</w:t>
      </w:r>
      <w:r>
        <w:t xml:space="preserve"> </w:t>
      </w:r>
      <w:r w:rsidRPr="00941A76">
        <w:t>42c</w:t>
      </w:r>
    </w:p>
    <w:p w14:paraId="3F8E82D7" w14:textId="77777777" w:rsidR="00ED70B5" w:rsidRDefault="00ED70B5" w:rsidP="00CE2C91">
      <w:pPr>
        <w:pStyle w:val="Textparagrafu"/>
        <w:spacing w:before="120" w:after="120"/>
      </w:pPr>
      <w:r w:rsidRPr="00941A76">
        <w:t>(1)</w:t>
      </w:r>
      <w:r>
        <w:t xml:space="preserve"> </w:t>
      </w:r>
      <w:r w:rsidRPr="00941A76">
        <w:t>Provozuje-li</w:t>
      </w:r>
      <w:r>
        <w:t xml:space="preserve"> </w:t>
      </w:r>
      <w:r w:rsidRPr="00941A76">
        <w:t>provozovatel</w:t>
      </w:r>
      <w:r>
        <w:t xml:space="preserve"> </w:t>
      </w:r>
      <w:r w:rsidRPr="00941A76">
        <w:t>dráhy</w:t>
      </w:r>
      <w:r>
        <w:t xml:space="preserve"> </w:t>
      </w:r>
      <w:r w:rsidRPr="00941A76">
        <w:t>celostátní</w:t>
      </w:r>
      <w:r>
        <w:t xml:space="preserve"> </w:t>
      </w:r>
      <w:r w:rsidRPr="00941A76">
        <w:t>nebo</w:t>
      </w:r>
      <w:r>
        <w:t xml:space="preserve"> </w:t>
      </w:r>
      <w:r w:rsidRPr="00941A76">
        <w:t>regionální</w:t>
      </w:r>
      <w:r>
        <w:t xml:space="preserve"> </w:t>
      </w:r>
      <w:r w:rsidRPr="00941A76">
        <w:t>anebo</w:t>
      </w:r>
      <w:r>
        <w:t xml:space="preserve"> </w:t>
      </w:r>
      <w:r w:rsidRPr="00941A76">
        <w:t>veřejně</w:t>
      </w:r>
      <w:r>
        <w:t xml:space="preserve"> </w:t>
      </w:r>
      <w:r w:rsidRPr="00941A76">
        <w:t>přístupné</w:t>
      </w:r>
      <w:r>
        <w:t xml:space="preserve"> </w:t>
      </w:r>
      <w:r w:rsidRPr="00941A76">
        <w:t>vlečky</w:t>
      </w:r>
      <w:r>
        <w:t xml:space="preserve"> </w:t>
      </w:r>
      <w:r w:rsidRPr="00941A76">
        <w:t>drážní</w:t>
      </w:r>
      <w:r>
        <w:t xml:space="preserve"> </w:t>
      </w:r>
      <w:r w:rsidRPr="00941A76">
        <w:t>dopravu,</w:t>
      </w:r>
      <w:r>
        <w:t xml:space="preserve"> </w:t>
      </w:r>
      <w:r w:rsidRPr="00941A76">
        <w:t>která</w:t>
      </w:r>
      <w:r>
        <w:t xml:space="preserve"> </w:t>
      </w:r>
      <w:r w:rsidRPr="00941A76">
        <w:t>neslouží</w:t>
      </w:r>
      <w:r>
        <w:t xml:space="preserve"> </w:t>
      </w:r>
      <w:r w:rsidRPr="00941A76">
        <w:t>výhradně</w:t>
      </w:r>
      <w:r>
        <w:t xml:space="preserve"> </w:t>
      </w:r>
      <w:r w:rsidRPr="00941A76">
        <w:t>k</w:t>
      </w:r>
      <w:r>
        <w:t xml:space="preserve"> </w:t>
      </w:r>
      <w:r w:rsidRPr="00941A76">
        <w:t>zajištění</w:t>
      </w:r>
      <w:r>
        <w:t xml:space="preserve"> </w:t>
      </w:r>
      <w:r w:rsidRPr="00941A76">
        <w:t>provozování</w:t>
      </w:r>
      <w:r>
        <w:t xml:space="preserve"> </w:t>
      </w:r>
      <w:r w:rsidRPr="00941A76">
        <w:t>dráhy,</w:t>
      </w:r>
      <w:r>
        <w:t xml:space="preserve"> </w:t>
      </w:r>
      <w:r w:rsidRPr="00941A76">
        <w:t>zřídí</w:t>
      </w:r>
      <w:r>
        <w:t xml:space="preserve"> </w:t>
      </w:r>
      <w:r w:rsidRPr="00941A76">
        <w:t>pobočky,</w:t>
      </w:r>
      <w:r>
        <w:t xml:space="preserve"> </w:t>
      </w:r>
      <w:r w:rsidRPr="00941A76">
        <w:t>prostřednictvím</w:t>
      </w:r>
      <w:r>
        <w:t xml:space="preserve"> </w:t>
      </w:r>
      <w:r w:rsidRPr="00941A76">
        <w:t>kterých</w:t>
      </w:r>
      <w:r>
        <w:t xml:space="preserve"> </w:t>
      </w:r>
      <w:r w:rsidRPr="00941A76">
        <w:t>bude</w:t>
      </w:r>
      <w:r>
        <w:t xml:space="preserve"> </w:t>
      </w:r>
      <w:r w:rsidRPr="00941A76">
        <w:t>drážní</w:t>
      </w:r>
      <w:r>
        <w:t xml:space="preserve"> </w:t>
      </w:r>
      <w:r w:rsidRPr="00941A76">
        <w:t>dopravu</w:t>
      </w:r>
      <w:r>
        <w:t xml:space="preserve"> </w:t>
      </w:r>
      <w:r w:rsidRPr="00941A76">
        <w:t>provozovat</w:t>
      </w:r>
      <w:r>
        <w:t xml:space="preserve"> </w:t>
      </w:r>
      <w:r w:rsidRPr="00941A76">
        <w:t>odděleně</w:t>
      </w:r>
      <w:r>
        <w:t xml:space="preserve"> </w:t>
      </w:r>
      <w:r w:rsidRPr="00941A76">
        <w:t>od</w:t>
      </w:r>
      <w:r>
        <w:t xml:space="preserve"> </w:t>
      </w:r>
      <w:r w:rsidRPr="00941A76">
        <w:t>provozování</w:t>
      </w:r>
      <w:r>
        <w:t xml:space="preserve"> </w:t>
      </w:r>
      <w:r w:rsidRPr="00941A76">
        <w:t>dráhy.</w:t>
      </w:r>
    </w:p>
    <w:p w14:paraId="593E4D24" w14:textId="77777777" w:rsidR="00ED70B5" w:rsidRDefault="00ED70B5" w:rsidP="00CE2C91">
      <w:pPr>
        <w:pStyle w:val="Textparagrafu"/>
        <w:spacing w:before="120" w:after="120"/>
      </w:pPr>
      <w:r w:rsidRPr="00941A76">
        <w:t>(2)</w:t>
      </w:r>
      <w:r>
        <w:t xml:space="preserve"> </w:t>
      </w:r>
      <w:r w:rsidRPr="00941A76">
        <w:t>Vedoucím</w:t>
      </w:r>
      <w:r>
        <w:t xml:space="preserve"> </w:t>
      </w:r>
      <w:r w:rsidRPr="00941A76">
        <w:t>pobočky</w:t>
      </w:r>
      <w:r>
        <w:t xml:space="preserve"> </w:t>
      </w:r>
      <w:r w:rsidRPr="00941A76">
        <w:t>provozovatele</w:t>
      </w:r>
      <w:r>
        <w:t xml:space="preserve"> </w:t>
      </w:r>
      <w:r w:rsidRPr="00941A76">
        <w:t>dráhy</w:t>
      </w:r>
      <w:r>
        <w:t xml:space="preserve"> </w:t>
      </w:r>
      <w:r w:rsidRPr="00941A76">
        <w:t>podle</w:t>
      </w:r>
      <w:r>
        <w:t xml:space="preserve"> </w:t>
      </w:r>
      <w:r w:rsidRPr="00941A76">
        <w:t>odstavce</w:t>
      </w:r>
      <w:r>
        <w:t xml:space="preserve"> </w:t>
      </w:r>
      <w:r w:rsidRPr="00941A76">
        <w:t>1,</w:t>
      </w:r>
      <w:r>
        <w:t xml:space="preserve"> </w:t>
      </w:r>
      <w:r w:rsidRPr="00941A76">
        <w:t>předmětem</w:t>
      </w:r>
      <w:r>
        <w:t xml:space="preserve"> </w:t>
      </w:r>
      <w:r w:rsidRPr="00941A76">
        <w:t>jejíž</w:t>
      </w:r>
      <w:r>
        <w:t xml:space="preserve"> </w:t>
      </w:r>
      <w:r w:rsidRPr="00941A76">
        <w:t>činnosti</w:t>
      </w:r>
      <w:r>
        <w:t xml:space="preserve"> </w:t>
      </w:r>
      <w:r w:rsidRPr="00941A76">
        <w:t>je</w:t>
      </w:r>
      <w:r>
        <w:t xml:space="preserve"> </w:t>
      </w:r>
      <w:r w:rsidRPr="00941A76">
        <w:t>provozování</w:t>
      </w:r>
      <w:r>
        <w:t xml:space="preserve"> </w:t>
      </w:r>
      <w:r w:rsidRPr="00941A76">
        <w:t>dráhy,</w:t>
      </w:r>
      <w:r>
        <w:t xml:space="preserve"> </w:t>
      </w:r>
      <w:r w:rsidRPr="00941A76">
        <w:t>nesmí</w:t>
      </w:r>
      <w:r>
        <w:t xml:space="preserve"> </w:t>
      </w:r>
      <w:r w:rsidRPr="00941A76">
        <w:t>být</w:t>
      </w:r>
      <w:r>
        <w:t xml:space="preserve"> </w:t>
      </w:r>
      <w:r w:rsidRPr="00941A76">
        <w:t>osoba,</w:t>
      </w:r>
      <w:r>
        <w:t xml:space="preserve"> </w:t>
      </w:r>
      <w:r w:rsidRPr="00941A76">
        <w:t>která</w:t>
      </w:r>
      <w:r>
        <w:t xml:space="preserve"> </w:t>
      </w:r>
      <w:r w:rsidRPr="00941A76">
        <w:t>je</w:t>
      </w:r>
      <w:r>
        <w:t xml:space="preserve"> </w:t>
      </w:r>
      <w:r w:rsidRPr="00941A76">
        <w:t>vedoucím</w:t>
      </w:r>
      <w:r>
        <w:t xml:space="preserve"> </w:t>
      </w:r>
      <w:r w:rsidRPr="00941A76">
        <w:t>pobočky,</w:t>
      </w:r>
      <w:r>
        <w:t xml:space="preserve"> </w:t>
      </w:r>
      <w:r w:rsidRPr="00941A76">
        <w:t>předmětem</w:t>
      </w:r>
      <w:r>
        <w:t xml:space="preserve"> </w:t>
      </w:r>
      <w:r w:rsidRPr="00941A76">
        <w:t>jejíž</w:t>
      </w:r>
      <w:r>
        <w:t xml:space="preserve"> </w:t>
      </w:r>
      <w:r w:rsidRPr="00941A76">
        <w:t>činnosti</w:t>
      </w:r>
      <w:r>
        <w:t xml:space="preserve"> </w:t>
      </w:r>
      <w:r w:rsidRPr="00941A76">
        <w:t>je</w:t>
      </w:r>
      <w:r>
        <w:t xml:space="preserve"> </w:t>
      </w:r>
      <w:r w:rsidRPr="00941A76">
        <w:t>provozování</w:t>
      </w:r>
      <w:r>
        <w:t xml:space="preserve"> </w:t>
      </w:r>
      <w:r w:rsidRPr="00941A76">
        <w:t>drážní</w:t>
      </w:r>
      <w:r>
        <w:t xml:space="preserve"> </w:t>
      </w:r>
      <w:r w:rsidRPr="00941A76">
        <w:t>dopravy.</w:t>
      </w:r>
    </w:p>
    <w:p w14:paraId="46225284" w14:textId="77777777" w:rsidR="00ED70B5" w:rsidRDefault="00ED70B5" w:rsidP="00CE2C91">
      <w:pPr>
        <w:pStyle w:val="Textparagrafu"/>
        <w:spacing w:before="120" w:after="120"/>
      </w:pPr>
      <w:r w:rsidRPr="00941A76">
        <w:t>(3)</w:t>
      </w:r>
      <w:r>
        <w:t xml:space="preserve"> </w:t>
      </w:r>
      <w:r w:rsidRPr="00941A76">
        <w:t>Provozovatel</w:t>
      </w:r>
      <w:r>
        <w:t xml:space="preserve"> </w:t>
      </w:r>
      <w:r w:rsidRPr="00941A76">
        <w:t>dráhy</w:t>
      </w:r>
      <w:r>
        <w:t xml:space="preserve"> </w:t>
      </w:r>
      <w:r w:rsidRPr="00941A76">
        <w:t>podle</w:t>
      </w:r>
      <w:r>
        <w:t xml:space="preserve"> </w:t>
      </w:r>
      <w:r w:rsidRPr="00941A76">
        <w:t>odstavce</w:t>
      </w:r>
      <w:r>
        <w:t xml:space="preserve"> </w:t>
      </w:r>
      <w:r w:rsidRPr="00941A76">
        <w:t>1</w:t>
      </w:r>
      <w:r>
        <w:t xml:space="preserve"> </w:t>
      </w:r>
      <w:r w:rsidRPr="00941A76">
        <w:t>zajistí,</w:t>
      </w:r>
      <w:r>
        <w:t xml:space="preserve"> </w:t>
      </w:r>
      <w:r w:rsidRPr="00941A76">
        <w:t>aby</w:t>
      </w:r>
    </w:p>
    <w:p w14:paraId="2DC47622" w14:textId="33EBB976" w:rsidR="00ED70B5" w:rsidRDefault="00ED70B5" w:rsidP="00812ECA">
      <w:pPr>
        <w:pStyle w:val="Textparagrafu"/>
        <w:tabs>
          <w:tab w:val="left" w:pos="420"/>
        </w:tabs>
        <w:spacing w:before="0"/>
        <w:ind w:left="426" w:hanging="426"/>
      </w:pPr>
      <w:r w:rsidRPr="00941A76">
        <w:t>a)</w:t>
      </w:r>
      <w:r>
        <w:tab/>
      </w:r>
      <w:r w:rsidRPr="00941A76">
        <w:t>výnosy</w:t>
      </w:r>
      <w:r>
        <w:t xml:space="preserve"> </w:t>
      </w:r>
      <w:r w:rsidRPr="00941A76">
        <w:t>pobočky,</w:t>
      </w:r>
      <w:r>
        <w:t xml:space="preserve"> </w:t>
      </w:r>
      <w:r w:rsidRPr="00941A76">
        <w:t>předmětem</w:t>
      </w:r>
      <w:r>
        <w:t xml:space="preserve"> </w:t>
      </w:r>
      <w:r w:rsidRPr="00941A76">
        <w:t>jejíž</w:t>
      </w:r>
      <w:r>
        <w:t xml:space="preserve"> </w:t>
      </w:r>
      <w:r w:rsidRPr="00941A76">
        <w:t>činnosti</w:t>
      </w:r>
      <w:r>
        <w:t xml:space="preserve"> </w:t>
      </w:r>
      <w:r w:rsidRPr="00941A76">
        <w:t>je</w:t>
      </w:r>
      <w:r>
        <w:t xml:space="preserve"> </w:t>
      </w:r>
      <w:r w:rsidRPr="00941A76">
        <w:t>provozování</w:t>
      </w:r>
      <w:r>
        <w:t xml:space="preserve"> </w:t>
      </w:r>
      <w:r w:rsidRPr="00941A76">
        <w:t>dráhy,</w:t>
      </w:r>
      <w:r>
        <w:t xml:space="preserve"> </w:t>
      </w:r>
      <w:r w:rsidRPr="00941A76">
        <w:t>byly</w:t>
      </w:r>
      <w:r>
        <w:t xml:space="preserve"> </w:t>
      </w:r>
      <w:r w:rsidRPr="00941A76">
        <w:t>použity</w:t>
      </w:r>
      <w:r>
        <w:t xml:space="preserve"> </w:t>
      </w:r>
      <w:r w:rsidRPr="00941A76">
        <w:t>pouze</w:t>
      </w:r>
      <w:r>
        <w:t xml:space="preserve"> </w:t>
      </w:r>
      <w:r w:rsidRPr="00941A76">
        <w:t>k</w:t>
      </w:r>
      <w:r>
        <w:t xml:space="preserve"> </w:t>
      </w:r>
      <w:r w:rsidRPr="00941A76">
        <w:t>financování</w:t>
      </w:r>
      <w:r>
        <w:t xml:space="preserve"> </w:t>
      </w:r>
      <w:r w:rsidRPr="00941A76">
        <w:t>provozování</w:t>
      </w:r>
      <w:r>
        <w:t xml:space="preserve"> </w:t>
      </w:r>
      <w:r w:rsidRPr="00941A76">
        <w:t>dráhy</w:t>
      </w:r>
      <w:r>
        <w:t xml:space="preserve"> </w:t>
      </w:r>
      <w:r w:rsidRPr="00941A76">
        <w:t>a</w:t>
      </w:r>
      <w:r>
        <w:t xml:space="preserve"> </w:t>
      </w:r>
      <w:r w:rsidRPr="00941A76">
        <w:t>k</w:t>
      </w:r>
      <w:r>
        <w:t xml:space="preserve"> </w:t>
      </w:r>
      <w:r w:rsidRPr="00941A76">
        <w:t>rozdělení</w:t>
      </w:r>
      <w:r>
        <w:t xml:space="preserve"> </w:t>
      </w:r>
      <w:r w:rsidRPr="00941A76">
        <w:t>zisku,</w:t>
      </w:r>
    </w:p>
    <w:p w14:paraId="64F4CA92" w14:textId="1E222D14" w:rsidR="00ED70B5" w:rsidRDefault="00ED70B5" w:rsidP="00812ECA">
      <w:pPr>
        <w:pStyle w:val="Textparagrafu"/>
        <w:tabs>
          <w:tab w:val="left" w:pos="420"/>
        </w:tabs>
        <w:spacing w:before="0"/>
        <w:ind w:left="426" w:hanging="426"/>
      </w:pPr>
      <w:r w:rsidRPr="00941A76">
        <w:t>b)</w:t>
      </w:r>
      <w:r w:rsidR="00812ECA">
        <w:tab/>
      </w:r>
      <w:r w:rsidRPr="00941A76">
        <w:t>jeho</w:t>
      </w:r>
      <w:r>
        <w:t xml:space="preserve"> </w:t>
      </w:r>
      <w:r w:rsidRPr="00941A76">
        <w:t>pobočka</w:t>
      </w:r>
      <w:r>
        <w:t xml:space="preserve"> </w:t>
      </w:r>
      <w:r w:rsidRPr="00941A76">
        <w:t>neposkytla</w:t>
      </w:r>
      <w:r>
        <w:t xml:space="preserve"> </w:t>
      </w:r>
      <w:r w:rsidRPr="00941A76">
        <w:t>bez</w:t>
      </w:r>
      <w:r>
        <w:t xml:space="preserve"> </w:t>
      </w:r>
      <w:r w:rsidRPr="00941A76">
        <w:t>právního</w:t>
      </w:r>
      <w:r>
        <w:t xml:space="preserve"> </w:t>
      </w:r>
      <w:r w:rsidRPr="00941A76">
        <w:t>důvodu</w:t>
      </w:r>
      <w:r>
        <w:t xml:space="preserve"> </w:t>
      </w:r>
      <w:r w:rsidRPr="00941A76">
        <w:t>nebo</w:t>
      </w:r>
      <w:r>
        <w:t xml:space="preserve"> </w:t>
      </w:r>
      <w:r w:rsidRPr="00941A76">
        <w:t>za</w:t>
      </w:r>
      <w:r>
        <w:t xml:space="preserve"> </w:t>
      </w:r>
      <w:r w:rsidRPr="00941A76">
        <w:t>cenu</w:t>
      </w:r>
      <w:r>
        <w:t xml:space="preserve"> </w:t>
      </w:r>
      <w:r w:rsidRPr="00941A76">
        <w:t>účtovanou</w:t>
      </w:r>
      <w:r>
        <w:t xml:space="preserve"> </w:t>
      </w:r>
      <w:r w:rsidRPr="00941A76">
        <w:t>v</w:t>
      </w:r>
      <w:r>
        <w:t xml:space="preserve"> </w:t>
      </w:r>
      <w:r w:rsidRPr="00941A76">
        <w:t>rozporu</w:t>
      </w:r>
      <w:r>
        <w:t xml:space="preserve"> </w:t>
      </w:r>
      <w:r w:rsidRPr="00941A76">
        <w:t>s</w:t>
      </w:r>
      <w:r>
        <w:t xml:space="preserve"> </w:t>
      </w:r>
      <w:r w:rsidRPr="00941A76">
        <w:t>cenovými</w:t>
      </w:r>
      <w:r>
        <w:t xml:space="preserve"> </w:t>
      </w:r>
      <w:r w:rsidRPr="00941A76">
        <w:t>předpisy</w:t>
      </w:r>
      <w:r>
        <w:t xml:space="preserve"> </w:t>
      </w:r>
      <w:r w:rsidRPr="00941A76">
        <w:t>plnění</w:t>
      </w:r>
      <w:r>
        <w:t xml:space="preserve"> </w:t>
      </w:r>
      <w:r w:rsidRPr="00941A76">
        <w:t>pobočce</w:t>
      </w:r>
      <w:r>
        <w:t xml:space="preserve"> </w:t>
      </w:r>
      <w:r w:rsidRPr="00941A76">
        <w:t>téhož</w:t>
      </w:r>
      <w:r>
        <w:t xml:space="preserve"> </w:t>
      </w:r>
      <w:r w:rsidRPr="00941A76">
        <w:t>provozovatele</w:t>
      </w:r>
      <w:r>
        <w:t xml:space="preserve"> </w:t>
      </w:r>
      <w:r w:rsidRPr="00941A76">
        <w:t>dráhy,</w:t>
      </w:r>
      <w:r>
        <w:t xml:space="preserve"> </w:t>
      </w:r>
      <w:r w:rsidRPr="00941A76">
        <w:t>předmětem</w:t>
      </w:r>
      <w:r>
        <w:t xml:space="preserve"> </w:t>
      </w:r>
      <w:r w:rsidRPr="00941A76">
        <w:t>jejíž</w:t>
      </w:r>
      <w:r>
        <w:t xml:space="preserve"> </w:t>
      </w:r>
      <w:r w:rsidRPr="00941A76">
        <w:t>činnosti</w:t>
      </w:r>
      <w:r>
        <w:t xml:space="preserve"> </w:t>
      </w:r>
      <w:r w:rsidRPr="00941A76">
        <w:t>je</w:t>
      </w:r>
      <w:r>
        <w:t xml:space="preserve"> </w:t>
      </w:r>
      <w:r w:rsidRPr="00941A76">
        <w:t>provozování</w:t>
      </w:r>
      <w:r>
        <w:t xml:space="preserve"> </w:t>
      </w:r>
      <w:r w:rsidRPr="00941A76">
        <w:t>dráhy,</w:t>
      </w:r>
    </w:p>
    <w:p w14:paraId="1E0C232D" w14:textId="3E046CC9" w:rsidR="00ED70B5" w:rsidRDefault="00ED70B5" w:rsidP="00812ECA">
      <w:pPr>
        <w:pStyle w:val="Textparagrafu"/>
        <w:tabs>
          <w:tab w:val="left" w:pos="420"/>
        </w:tabs>
        <w:spacing w:before="0"/>
        <w:ind w:left="426" w:hanging="426"/>
      </w:pPr>
      <w:r w:rsidRPr="00941A76">
        <w:t>c)</w:t>
      </w:r>
      <w:r>
        <w:tab/>
      </w:r>
      <w:r w:rsidRPr="00941A76">
        <w:t>dluhy</w:t>
      </w:r>
      <w:r>
        <w:t xml:space="preserve"> </w:t>
      </w:r>
      <w:r w:rsidRPr="00941A76">
        <w:t>vzniklé</w:t>
      </w:r>
      <w:r>
        <w:t xml:space="preserve"> </w:t>
      </w:r>
      <w:r w:rsidRPr="00941A76">
        <w:t>z</w:t>
      </w:r>
      <w:r>
        <w:t xml:space="preserve"> </w:t>
      </w:r>
      <w:r w:rsidRPr="00941A76">
        <w:t>provozování</w:t>
      </w:r>
      <w:r>
        <w:t xml:space="preserve"> </w:t>
      </w:r>
      <w:r w:rsidRPr="00941A76">
        <w:t>dráhy</w:t>
      </w:r>
      <w:r>
        <w:t xml:space="preserve"> </w:t>
      </w:r>
      <w:r w:rsidRPr="00941A76">
        <w:t>nebyly</w:t>
      </w:r>
      <w:r>
        <w:t xml:space="preserve"> </w:t>
      </w:r>
      <w:r w:rsidRPr="00941A76">
        <w:t>hrazeny</w:t>
      </w:r>
      <w:r>
        <w:t xml:space="preserve"> </w:t>
      </w:r>
      <w:r w:rsidRPr="00941A76">
        <w:t>z</w:t>
      </w:r>
      <w:r>
        <w:t xml:space="preserve"> </w:t>
      </w:r>
      <w:r w:rsidRPr="00941A76">
        <w:t>výnosů</w:t>
      </w:r>
      <w:r>
        <w:t xml:space="preserve"> </w:t>
      </w:r>
      <w:r w:rsidRPr="00941A76">
        <w:t>jiné</w:t>
      </w:r>
      <w:r>
        <w:t xml:space="preserve"> </w:t>
      </w:r>
      <w:r w:rsidRPr="00941A76">
        <w:t>pobočky</w:t>
      </w:r>
      <w:r>
        <w:t xml:space="preserve"> </w:t>
      </w:r>
      <w:r w:rsidRPr="00941A76">
        <w:t>téhož</w:t>
      </w:r>
      <w:r>
        <w:t xml:space="preserve"> </w:t>
      </w:r>
      <w:r w:rsidRPr="00941A76">
        <w:t>provozovatele</w:t>
      </w:r>
      <w:r>
        <w:t xml:space="preserve"> </w:t>
      </w:r>
      <w:r w:rsidRPr="00941A76">
        <w:t>dráhy,</w:t>
      </w:r>
    </w:p>
    <w:p w14:paraId="52AE2A8C" w14:textId="6BDCA70D" w:rsidR="00ED70B5" w:rsidRDefault="00ED70B5" w:rsidP="00812ECA">
      <w:pPr>
        <w:pStyle w:val="Textparagrafu"/>
        <w:tabs>
          <w:tab w:val="left" w:pos="420"/>
        </w:tabs>
        <w:spacing w:before="0"/>
        <w:ind w:left="426" w:hanging="426"/>
      </w:pPr>
      <w:r w:rsidRPr="00941A76">
        <w:t>d)</w:t>
      </w:r>
      <w:r>
        <w:tab/>
      </w:r>
      <w:r w:rsidRPr="00941A76">
        <w:t>pobočka,</w:t>
      </w:r>
      <w:r>
        <w:t xml:space="preserve"> </w:t>
      </w:r>
      <w:r w:rsidRPr="00941A76">
        <w:t>předmětem</w:t>
      </w:r>
      <w:r>
        <w:t xml:space="preserve"> </w:t>
      </w:r>
      <w:r w:rsidRPr="00941A76">
        <w:t>jejíž</w:t>
      </w:r>
      <w:r>
        <w:t xml:space="preserve"> </w:t>
      </w:r>
      <w:r w:rsidRPr="00941A76">
        <w:t>činnosti</w:t>
      </w:r>
      <w:r>
        <w:t xml:space="preserve"> </w:t>
      </w:r>
      <w:r w:rsidRPr="00941A76">
        <w:t>je</w:t>
      </w:r>
      <w:r>
        <w:t xml:space="preserve"> </w:t>
      </w:r>
      <w:r w:rsidRPr="00941A76">
        <w:t>provozování</w:t>
      </w:r>
      <w:r>
        <w:t xml:space="preserve"> </w:t>
      </w:r>
      <w:r w:rsidRPr="00941A76">
        <w:t>dráhy,</w:t>
      </w:r>
      <w:r>
        <w:t xml:space="preserve"> </w:t>
      </w:r>
      <w:r w:rsidRPr="00941A76">
        <w:t>nepřijala</w:t>
      </w:r>
      <w:r>
        <w:t xml:space="preserve"> </w:t>
      </w:r>
      <w:r w:rsidRPr="00941A76">
        <w:t>peněžní</w:t>
      </w:r>
      <w:r>
        <w:t xml:space="preserve"> </w:t>
      </w:r>
      <w:r w:rsidRPr="00941A76">
        <w:t>prostředky</w:t>
      </w:r>
      <w:r>
        <w:t xml:space="preserve"> </w:t>
      </w:r>
      <w:r w:rsidRPr="00941A76">
        <w:t>od</w:t>
      </w:r>
      <w:r>
        <w:t xml:space="preserve"> </w:t>
      </w:r>
      <w:r w:rsidRPr="00941A76">
        <w:t>jiné</w:t>
      </w:r>
      <w:r>
        <w:t xml:space="preserve"> </w:t>
      </w:r>
      <w:r w:rsidRPr="00941A76">
        <w:t>pobočky</w:t>
      </w:r>
      <w:r>
        <w:t xml:space="preserve"> </w:t>
      </w:r>
      <w:r w:rsidRPr="00941A76">
        <w:t>téhož</w:t>
      </w:r>
      <w:r>
        <w:t xml:space="preserve"> </w:t>
      </w:r>
      <w:r w:rsidRPr="00941A76">
        <w:t>provozovatele</w:t>
      </w:r>
      <w:r>
        <w:t xml:space="preserve"> </w:t>
      </w:r>
      <w:r w:rsidRPr="00941A76">
        <w:t>dráhy,</w:t>
      </w:r>
      <w:r>
        <w:t xml:space="preserve"> </w:t>
      </w:r>
      <w:r w:rsidRPr="00941A76">
        <w:t>s</w:t>
      </w:r>
      <w:r>
        <w:t xml:space="preserve"> </w:t>
      </w:r>
      <w:r w:rsidRPr="00941A76">
        <w:t>výjimkou</w:t>
      </w:r>
      <w:r>
        <w:t xml:space="preserve"> </w:t>
      </w:r>
      <w:r w:rsidRPr="00941A76">
        <w:t>úplaty</w:t>
      </w:r>
      <w:r>
        <w:t xml:space="preserve"> </w:t>
      </w:r>
      <w:r w:rsidRPr="00941A76">
        <w:t>za</w:t>
      </w:r>
      <w:r>
        <w:t xml:space="preserve"> </w:t>
      </w:r>
      <w:r w:rsidRPr="00941A76">
        <w:t>poskytnuté</w:t>
      </w:r>
      <w:r>
        <w:t xml:space="preserve"> </w:t>
      </w:r>
      <w:r w:rsidRPr="00941A76">
        <w:t>plnění,</w:t>
      </w:r>
    </w:p>
    <w:p w14:paraId="522695F1" w14:textId="68698ACF" w:rsidR="00DE1C3B" w:rsidRDefault="00DE1C3B" w:rsidP="00812ECA">
      <w:pPr>
        <w:pStyle w:val="Textparagrafu"/>
        <w:spacing w:before="0"/>
        <w:ind w:left="426" w:hanging="426"/>
      </w:pPr>
      <w:r w:rsidRPr="00941A76">
        <w:t>e)</w:t>
      </w:r>
      <w:r w:rsidR="00812ECA">
        <w:tab/>
      </w:r>
      <w:r w:rsidRPr="00941A76">
        <w:t>vedoucí</w:t>
      </w:r>
      <w:r>
        <w:t xml:space="preserve"> </w:t>
      </w:r>
      <w:r w:rsidRPr="00941A76">
        <w:t>pobočky,</w:t>
      </w:r>
      <w:r>
        <w:t xml:space="preserve"> </w:t>
      </w:r>
      <w:r w:rsidRPr="00941A76">
        <w:t>předmětem</w:t>
      </w:r>
      <w:r>
        <w:t xml:space="preserve"> </w:t>
      </w:r>
      <w:r w:rsidRPr="00941A76">
        <w:t>jejíž</w:t>
      </w:r>
      <w:r>
        <w:t xml:space="preserve"> </w:t>
      </w:r>
      <w:r w:rsidRPr="00941A76">
        <w:t>činnosti</w:t>
      </w:r>
      <w:r>
        <w:t xml:space="preserve"> </w:t>
      </w:r>
      <w:r w:rsidRPr="00941A76">
        <w:t>je</w:t>
      </w:r>
      <w:r>
        <w:t xml:space="preserve"> </w:t>
      </w:r>
      <w:r w:rsidRPr="00941A76">
        <w:t>provozování</w:t>
      </w:r>
      <w:r>
        <w:t xml:space="preserve"> </w:t>
      </w:r>
      <w:r w:rsidRPr="00941A76">
        <w:t>dráhy,</w:t>
      </w:r>
      <w:r>
        <w:t xml:space="preserve"> </w:t>
      </w:r>
      <w:r w:rsidRPr="00941A76">
        <w:t>nepřijal</w:t>
      </w:r>
      <w:r>
        <w:t xml:space="preserve"> </w:t>
      </w:r>
      <w:r w:rsidRPr="00941A76">
        <w:t>žádné</w:t>
      </w:r>
      <w:r>
        <w:t xml:space="preserve"> </w:t>
      </w:r>
      <w:r w:rsidRPr="00941A76">
        <w:t>majetkové</w:t>
      </w:r>
      <w:r>
        <w:t xml:space="preserve"> </w:t>
      </w:r>
      <w:r w:rsidRPr="00941A76">
        <w:t>plnění</w:t>
      </w:r>
      <w:r>
        <w:t xml:space="preserve"> </w:t>
      </w:r>
      <w:r w:rsidRPr="00941A76">
        <w:t>od</w:t>
      </w:r>
      <w:r>
        <w:t xml:space="preserve"> </w:t>
      </w:r>
      <w:r w:rsidRPr="00941A76">
        <w:t>jiné</w:t>
      </w:r>
      <w:r>
        <w:t xml:space="preserve"> </w:t>
      </w:r>
      <w:r w:rsidRPr="00941A76">
        <w:t>pobočky</w:t>
      </w:r>
      <w:r>
        <w:t xml:space="preserve"> </w:t>
      </w:r>
      <w:r w:rsidRPr="00941A76">
        <w:t>téhož</w:t>
      </w:r>
      <w:r>
        <w:t xml:space="preserve"> </w:t>
      </w:r>
      <w:r w:rsidRPr="00941A76">
        <w:t>provozovatele</w:t>
      </w:r>
      <w:r>
        <w:t xml:space="preserve"> </w:t>
      </w:r>
      <w:r w:rsidRPr="00941A76">
        <w:t>dráhy,</w:t>
      </w:r>
      <w:r>
        <w:t xml:space="preserve"> </w:t>
      </w:r>
      <w:r w:rsidRPr="00941A76">
        <w:t>a</w:t>
      </w:r>
      <w:r>
        <w:t xml:space="preserve"> </w:t>
      </w:r>
      <w:r w:rsidRPr="00941A76">
        <w:t>aby</w:t>
      </w:r>
      <w:r>
        <w:t xml:space="preserve"> </w:t>
      </w:r>
      <w:r w:rsidRPr="00941A76">
        <w:t>jeho</w:t>
      </w:r>
      <w:r>
        <w:t xml:space="preserve"> </w:t>
      </w:r>
      <w:r w:rsidRPr="00941A76">
        <w:t>odměňování</w:t>
      </w:r>
      <w:r>
        <w:t xml:space="preserve"> </w:t>
      </w:r>
      <w:r w:rsidRPr="00941A76">
        <w:t>nebylo</w:t>
      </w:r>
      <w:r>
        <w:t xml:space="preserve"> </w:t>
      </w:r>
      <w:r w:rsidRPr="00941A76">
        <w:t>závislé</w:t>
      </w:r>
      <w:r>
        <w:t xml:space="preserve"> </w:t>
      </w:r>
      <w:r w:rsidRPr="00941A76">
        <w:t>na</w:t>
      </w:r>
      <w:r>
        <w:t xml:space="preserve"> </w:t>
      </w:r>
      <w:r w:rsidRPr="00941A76">
        <w:t>hospodářských</w:t>
      </w:r>
      <w:r>
        <w:t xml:space="preserve"> </w:t>
      </w:r>
      <w:r w:rsidRPr="00941A76">
        <w:t>výsledcích</w:t>
      </w:r>
      <w:r>
        <w:t xml:space="preserve"> </w:t>
      </w:r>
      <w:r w:rsidRPr="00941A76">
        <w:t>jiné</w:t>
      </w:r>
      <w:r>
        <w:t xml:space="preserve"> </w:t>
      </w:r>
      <w:r w:rsidRPr="00941A76">
        <w:t>pobočky.</w:t>
      </w:r>
    </w:p>
    <w:p w14:paraId="2BFA66D9" w14:textId="4F38399F" w:rsidR="00287079" w:rsidRDefault="00DE1C3B" w:rsidP="00CE2C91">
      <w:pPr>
        <w:pStyle w:val="Textparagrafu"/>
        <w:spacing w:before="120" w:after="120"/>
      </w:pPr>
      <w:r w:rsidRPr="00941A76">
        <w:t>(4)</w:t>
      </w:r>
      <w:r>
        <w:t xml:space="preserve"> </w:t>
      </w:r>
      <w:r w:rsidRPr="00941A76">
        <w:t>Provozovatel</w:t>
      </w:r>
      <w:r>
        <w:t xml:space="preserve"> </w:t>
      </w:r>
      <w:r w:rsidRPr="00941A76">
        <w:t>dráhy</w:t>
      </w:r>
      <w:r>
        <w:t xml:space="preserve"> </w:t>
      </w:r>
      <w:r w:rsidRPr="00941A76">
        <w:t>podle</w:t>
      </w:r>
      <w:r>
        <w:t xml:space="preserve"> </w:t>
      </w:r>
      <w:r w:rsidRPr="00941A76">
        <w:t>odstavce</w:t>
      </w:r>
      <w:r>
        <w:t xml:space="preserve"> </w:t>
      </w:r>
      <w:r w:rsidRPr="00941A76">
        <w:t>1</w:t>
      </w:r>
      <w:r>
        <w:t xml:space="preserve"> </w:t>
      </w:r>
      <w:r w:rsidRPr="006B439C">
        <w:rPr>
          <w:strike/>
        </w:rPr>
        <w:t>vede oddělené účetnictví, kterým je možné</w:t>
      </w:r>
      <w:r>
        <w:t xml:space="preserve"> </w:t>
      </w:r>
      <w:r w:rsidR="006B439C" w:rsidRPr="00841606">
        <w:rPr>
          <w:b/>
        </w:rPr>
        <w:t>sleduje v účetním systému účetní záznamy odděleně tak, aby bylo možné</w:t>
      </w:r>
      <w:r w:rsidR="006B439C" w:rsidRPr="00941A76">
        <w:t xml:space="preserve"> </w:t>
      </w:r>
      <w:r w:rsidRPr="00941A76">
        <w:t>prokázat</w:t>
      </w:r>
      <w:r>
        <w:t xml:space="preserve"> </w:t>
      </w:r>
      <w:r w:rsidRPr="00941A76">
        <w:t>splnění</w:t>
      </w:r>
      <w:r>
        <w:t xml:space="preserve"> </w:t>
      </w:r>
      <w:r w:rsidRPr="00941A76">
        <w:t>povinností</w:t>
      </w:r>
      <w:r>
        <w:t xml:space="preserve"> </w:t>
      </w:r>
      <w:r w:rsidRPr="00941A76">
        <w:t>uvedených</w:t>
      </w:r>
      <w:r>
        <w:t xml:space="preserve"> </w:t>
      </w:r>
      <w:r w:rsidRPr="00941A76">
        <w:t>v</w:t>
      </w:r>
      <w:r>
        <w:t xml:space="preserve"> </w:t>
      </w:r>
      <w:r w:rsidRPr="00941A76">
        <w:t>odstavci</w:t>
      </w:r>
      <w:r>
        <w:t xml:space="preserve"> </w:t>
      </w:r>
      <w:r w:rsidRPr="00941A76">
        <w:t>3.</w:t>
      </w:r>
    </w:p>
    <w:p w14:paraId="3B076ED1" w14:textId="27795628" w:rsidR="006B439C" w:rsidRDefault="006B439C" w:rsidP="006B439C">
      <w:pPr>
        <w:pStyle w:val="Textparagrafu"/>
        <w:ind w:firstLine="0"/>
        <w:jc w:val="center"/>
      </w:pPr>
      <w:r>
        <w:t>***</w:t>
      </w:r>
    </w:p>
    <w:p w14:paraId="20269B29" w14:textId="77777777" w:rsidR="00B2710B" w:rsidRDefault="00B2710B" w:rsidP="00106516">
      <w:pPr>
        <w:pStyle w:val="Textparagrafu"/>
        <w:tabs>
          <w:tab w:val="left" w:pos="406"/>
          <w:tab w:val="left" w:pos="826"/>
        </w:tabs>
        <w:ind w:firstLine="0"/>
        <w:jc w:val="center"/>
      </w:pPr>
      <w:r w:rsidRPr="00AB11B2">
        <w:t>§</w:t>
      </w:r>
      <w:r>
        <w:t xml:space="preserve"> </w:t>
      </w:r>
      <w:r w:rsidRPr="00AB11B2">
        <w:t>51</w:t>
      </w:r>
    </w:p>
    <w:p w14:paraId="041B2B32" w14:textId="77777777" w:rsidR="00B2710B" w:rsidRDefault="00B2710B" w:rsidP="00CE2C91">
      <w:pPr>
        <w:pStyle w:val="Textparagrafu"/>
        <w:spacing w:before="120" w:after="120"/>
      </w:pPr>
      <w:r w:rsidRPr="00AB11B2">
        <w:t>(1)</w:t>
      </w:r>
      <w:r>
        <w:t xml:space="preserve"> </w:t>
      </w:r>
      <w:r w:rsidRPr="00AB11B2">
        <w:t>Právnická</w:t>
      </w:r>
      <w:r>
        <w:t xml:space="preserve"> </w:t>
      </w:r>
      <w:r w:rsidRPr="00AB11B2">
        <w:t>nebo</w:t>
      </w:r>
      <w:r>
        <w:t xml:space="preserve"> </w:t>
      </w:r>
      <w:r w:rsidRPr="00AB11B2">
        <w:t>podnikající</w:t>
      </w:r>
      <w:r>
        <w:t xml:space="preserve"> </w:t>
      </w:r>
      <w:r w:rsidRPr="00AB11B2">
        <w:t>fyzická</w:t>
      </w:r>
      <w:r>
        <w:t xml:space="preserve"> </w:t>
      </w:r>
      <w:r w:rsidRPr="00AB11B2">
        <w:t>osoba</w:t>
      </w:r>
      <w:r>
        <w:t xml:space="preserve"> </w:t>
      </w:r>
      <w:r w:rsidRPr="00AB11B2">
        <w:t>se</w:t>
      </w:r>
      <w:r>
        <w:t xml:space="preserve"> </w:t>
      </w:r>
      <w:r w:rsidRPr="00AB11B2">
        <w:t>dopustí</w:t>
      </w:r>
      <w:r>
        <w:t xml:space="preserve"> </w:t>
      </w:r>
      <w:r w:rsidRPr="00AB11B2">
        <w:t>přestupku</w:t>
      </w:r>
      <w:r>
        <w:t xml:space="preserve"> </w:t>
      </w:r>
      <w:r w:rsidRPr="00AB11B2">
        <w:t>tím,</w:t>
      </w:r>
      <w:r>
        <w:t xml:space="preserve"> </w:t>
      </w:r>
      <w:r w:rsidRPr="00AB11B2">
        <w:t>že</w:t>
      </w:r>
    </w:p>
    <w:p w14:paraId="2154D297" w14:textId="5F72EF59" w:rsidR="00B2710B" w:rsidRDefault="00B2710B" w:rsidP="00812ECA">
      <w:pPr>
        <w:pStyle w:val="Textparagrafu"/>
        <w:tabs>
          <w:tab w:val="left" w:pos="406"/>
          <w:tab w:val="left" w:pos="826"/>
        </w:tabs>
        <w:spacing w:before="0"/>
        <w:ind w:left="426" w:hanging="426"/>
      </w:pPr>
      <w:r w:rsidRPr="00AB11B2">
        <w:t>a)</w:t>
      </w:r>
      <w:r w:rsidR="00360319">
        <w:tab/>
      </w:r>
      <w:r w:rsidRPr="00AB11B2">
        <w:t>vykonává</w:t>
      </w:r>
      <w:r>
        <w:t xml:space="preserve"> </w:t>
      </w:r>
      <w:r w:rsidRPr="00AB11B2">
        <w:t>v</w:t>
      </w:r>
      <w:r>
        <w:t xml:space="preserve"> </w:t>
      </w:r>
      <w:r w:rsidRPr="00AB11B2">
        <w:t>rozporu</w:t>
      </w:r>
      <w:r>
        <w:t xml:space="preserve"> </w:t>
      </w:r>
      <w:r w:rsidRPr="00AB11B2">
        <w:t>s</w:t>
      </w:r>
      <w:r>
        <w:t xml:space="preserve"> </w:t>
      </w:r>
      <w:r w:rsidRPr="00AB11B2">
        <w:t>§</w:t>
      </w:r>
      <w:r>
        <w:t xml:space="preserve"> </w:t>
      </w:r>
      <w:r w:rsidRPr="00AB11B2">
        <w:t>4a</w:t>
      </w:r>
      <w:r>
        <w:t xml:space="preserve"> </w:t>
      </w:r>
      <w:r w:rsidRPr="00AB11B2">
        <w:t>odst.</w:t>
      </w:r>
      <w:r>
        <w:t xml:space="preserve"> </w:t>
      </w:r>
      <w:r w:rsidRPr="00AB11B2">
        <w:t>1</w:t>
      </w:r>
      <w:r>
        <w:t xml:space="preserve"> </w:t>
      </w:r>
      <w:r w:rsidRPr="00AB11B2">
        <w:t>v</w:t>
      </w:r>
      <w:r>
        <w:t xml:space="preserve"> </w:t>
      </w:r>
      <w:r w:rsidRPr="00AB11B2">
        <w:t>obvodu</w:t>
      </w:r>
      <w:r>
        <w:t xml:space="preserve"> </w:t>
      </w:r>
      <w:r w:rsidRPr="00AB11B2">
        <w:t>dráhy</w:t>
      </w:r>
      <w:r>
        <w:t xml:space="preserve"> </w:t>
      </w:r>
      <w:r w:rsidRPr="00AB11B2">
        <w:t>činnosti,</w:t>
      </w:r>
      <w:r>
        <w:t xml:space="preserve"> </w:t>
      </w:r>
      <w:r w:rsidRPr="00AB11B2">
        <w:t>které</w:t>
      </w:r>
      <w:r>
        <w:t xml:space="preserve"> </w:t>
      </w:r>
      <w:r w:rsidRPr="00AB11B2">
        <w:t>jsou</w:t>
      </w:r>
      <w:r>
        <w:t xml:space="preserve"> </w:t>
      </w:r>
      <w:r w:rsidRPr="00AB11B2">
        <w:t>podnikáním,</w:t>
      </w:r>
    </w:p>
    <w:p w14:paraId="4E1FB1E3" w14:textId="6B5C5731" w:rsidR="00B2710B" w:rsidRDefault="00B2710B" w:rsidP="00812ECA">
      <w:pPr>
        <w:pStyle w:val="Textparagrafu"/>
        <w:tabs>
          <w:tab w:val="left" w:pos="406"/>
          <w:tab w:val="left" w:pos="826"/>
        </w:tabs>
        <w:spacing w:before="0"/>
        <w:ind w:left="426" w:hanging="426"/>
      </w:pPr>
      <w:r w:rsidRPr="00AB11B2">
        <w:t>b)</w:t>
      </w:r>
      <w:r w:rsidR="00360319">
        <w:tab/>
      </w:r>
      <w:r w:rsidRPr="00AB11B2">
        <w:t>jako</w:t>
      </w:r>
      <w:r>
        <w:t xml:space="preserve"> </w:t>
      </w:r>
      <w:r w:rsidRPr="00AB11B2">
        <w:t>vlastník</w:t>
      </w:r>
      <w:r>
        <w:t xml:space="preserve"> </w:t>
      </w:r>
      <w:r w:rsidRPr="00AB11B2">
        <w:t>sítě</w:t>
      </w:r>
      <w:r>
        <w:t xml:space="preserve"> </w:t>
      </w:r>
      <w:r w:rsidRPr="00AB11B2">
        <w:t>technického</w:t>
      </w:r>
      <w:r>
        <w:t xml:space="preserve"> </w:t>
      </w:r>
      <w:r w:rsidRPr="00AB11B2">
        <w:t>vybavení</w:t>
      </w:r>
      <w:r>
        <w:t xml:space="preserve"> </w:t>
      </w:r>
      <w:r w:rsidRPr="00AB11B2">
        <w:t>umístěného</w:t>
      </w:r>
      <w:r>
        <w:t xml:space="preserve"> </w:t>
      </w:r>
      <w:r w:rsidRPr="00AB11B2">
        <w:t>v</w:t>
      </w:r>
      <w:r>
        <w:t xml:space="preserve"> </w:t>
      </w:r>
      <w:r w:rsidRPr="00AB11B2">
        <w:t>obvodu</w:t>
      </w:r>
      <w:r>
        <w:t xml:space="preserve"> </w:t>
      </w:r>
      <w:r w:rsidRPr="00AB11B2">
        <w:t>dráhy</w:t>
      </w:r>
      <w:r>
        <w:t xml:space="preserve"> </w:t>
      </w:r>
      <w:r w:rsidRPr="00AB11B2">
        <w:t>nepostupuje</w:t>
      </w:r>
      <w:r>
        <w:t xml:space="preserve"> </w:t>
      </w:r>
      <w:r w:rsidRPr="00AB11B2">
        <w:t>při</w:t>
      </w:r>
      <w:r>
        <w:t xml:space="preserve"> </w:t>
      </w:r>
      <w:r w:rsidRPr="00AB11B2">
        <w:t>havárii</w:t>
      </w:r>
      <w:r>
        <w:t xml:space="preserve"> </w:t>
      </w:r>
      <w:r w:rsidRPr="00AB11B2">
        <w:t>této</w:t>
      </w:r>
      <w:r>
        <w:t xml:space="preserve"> </w:t>
      </w:r>
      <w:r w:rsidRPr="00AB11B2">
        <w:t>sítě</w:t>
      </w:r>
      <w:r>
        <w:t xml:space="preserve"> </w:t>
      </w:r>
      <w:r w:rsidRPr="00AB11B2">
        <w:t>podle</w:t>
      </w:r>
      <w:r>
        <w:t xml:space="preserve"> </w:t>
      </w:r>
      <w:r w:rsidRPr="00AB11B2">
        <w:t>pokynů</w:t>
      </w:r>
      <w:r>
        <w:t xml:space="preserve"> </w:t>
      </w:r>
      <w:r w:rsidRPr="00AB11B2">
        <w:t>provozovatele</w:t>
      </w:r>
      <w:r>
        <w:t xml:space="preserve"> </w:t>
      </w:r>
      <w:r w:rsidRPr="00AB11B2">
        <w:t>dráhy</w:t>
      </w:r>
      <w:r>
        <w:t xml:space="preserve"> </w:t>
      </w:r>
      <w:r w:rsidRPr="00AB11B2">
        <w:t>udělovaných</w:t>
      </w:r>
      <w:r>
        <w:t xml:space="preserve"> </w:t>
      </w:r>
      <w:r w:rsidRPr="00AB11B2">
        <w:t>podle</w:t>
      </w:r>
      <w:r>
        <w:t xml:space="preserve"> </w:t>
      </w:r>
      <w:r w:rsidRPr="00AB11B2">
        <w:t>§</w:t>
      </w:r>
      <w:r>
        <w:t xml:space="preserve"> </w:t>
      </w:r>
      <w:r w:rsidRPr="00AB11B2">
        <w:t>5a</w:t>
      </w:r>
      <w:r>
        <w:t xml:space="preserve"> </w:t>
      </w:r>
      <w:r w:rsidRPr="00AB11B2">
        <w:t>odst.</w:t>
      </w:r>
      <w:r>
        <w:t xml:space="preserve"> </w:t>
      </w:r>
      <w:r w:rsidRPr="00AB11B2">
        <w:t>3,</w:t>
      </w:r>
    </w:p>
    <w:p w14:paraId="30F832CC" w14:textId="13A8FDF4" w:rsidR="00B2710B" w:rsidRDefault="00B2710B" w:rsidP="00812ECA">
      <w:pPr>
        <w:pStyle w:val="Textparagrafu"/>
        <w:tabs>
          <w:tab w:val="left" w:pos="406"/>
          <w:tab w:val="left" w:pos="826"/>
        </w:tabs>
        <w:spacing w:before="0"/>
        <w:ind w:left="426" w:hanging="426"/>
      </w:pPr>
      <w:r w:rsidRPr="00AB11B2">
        <w:t>c)</w:t>
      </w:r>
      <w:r w:rsidR="00360319">
        <w:tab/>
      </w:r>
      <w:r w:rsidRPr="00AB11B2">
        <w:t>jako</w:t>
      </w:r>
      <w:r>
        <w:t xml:space="preserve"> </w:t>
      </w:r>
      <w:r w:rsidRPr="00AB11B2">
        <w:t>vlastník</w:t>
      </w:r>
      <w:r>
        <w:t xml:space="preserve"> </w:t>
      </w:r>
      <w:r w:rsidRPr="00AB11B2">
        <w:t>sítě</w:t>
      </w:r>
      <w:r>
        <w:t xml:space="preserve"> </w:t>
      </w:r>
      <w:r w:rsidRPr="00AB11B2">
        <w:t>technického</w:t>
      </w:r>
      <w:r>
        <w:t xml:space="preserve"> </w:t>
      </w:r>
      <w:r w:rsidRPr="00AB11B2">
        <w:t>vybavení</w:t>
      </w:r>
      <w:r>
        <w:t xml:space="preserve"> </w:t>
      </w:r>
      <w:r w:rsidRPr="00AB11B2">
        <w:t>umístěného</w:t>
      </w:r>
      <w:r>
        <w:t xml:space="preserve"> </w:t>
      </w:r>
      <w:r w:rsidRPr="00AB11B2">
        <w:t>v</w:t>
      </w:r>
      <w:r>
        <w:t xml:space="preserve"> </w:t>
      </w:r>
      <w:r w:rsidRPr="00AB11B2">
        <w:t>obvodu</w:t>
      </w:r>
      <w:r>
        <w:t xml:space="preserve"> </w:t>
      </w:r>
      <w:r w:rsidRPr="00AB11B2">
        <w:t>dráhy</w:t>
      </w:r>
      <w:r>
        <w:t xml:space="preserve"> </w:t>
      </w:r>
      <w:r w:rsidRPr="00AB11B2">
        <w:t>nebo</w:t>
      </w:r>
      <w:r>
        <w:t xml:space="preserve"> </w:t>
      </w:r>
      <w:r w:rsidRPr="00AB11B2">
        <w:t>v</w:t>
      </w:r>
      <w:r>
        <w:t xml:space="preserve"> </w:t>
      </w:r>
      <w:r w:rsidRPr="00AB11B2">
        <w:t>ochranném</w:t>
      </w:r>
      <w:r>
        <w:t xml:space="preserve"> </w:t>
      </w:r>
      <w:r w:rsidRPr="00AB11B2">
        <w:t>pásmu</w:t>
      </w:r>
      <w:r>
        <w:t xml:space="preserve"> </w:t>
      </w:r>
      <w:r w:rsidRPr="00AB11B2">
        <w:t>dráhy</w:t>
      </w:r>
      <w:r>
        <w:t xml:space="preserve"> </w:t>
      </w:r>
      <w:r w:rsidRPr="00AB11B2">
        <w:t>nezajistí</w:t>
      </w:r>
      <w:r>
        <w:t xml:space="preserve"> </w:t>
      </w:r>
      <w:r w:rsidRPr="00AB11B2">
        <w:t>v</w:t>
      </w:r>
      <w:r>
        <w:t xml:space="preserve"> </w:t>
      </w:r>
      <w:r w:rsidRPr="00AB11B2">
        <w:t>případě</w:t>
      </w:r>
      <w:r>
        <w:t xml:space="preserve"> </w:t>
      </w:r>
      <w:r w:rsidRPr="00AB11B2">
        <w:t>stanoveném</w:t>
      </w:r>
      <w:r>
        <w:t xml:space="preserve"> </w:t>
      </w:r>
      <w:r w:rsidRPr="00AB11B2">
        <w:t>v</w:t>
      </w:r>
      <w:r>
        <w:t xml:space="preserve"> </w:t>
      </w:r>
      <w:r w:rsidRPr="00AB11B2">
        <w:t>§</w:t>
      </w:r>
      <w:r>
        <w:t xml:space="preserve"> </w:t>
      </w:r>
      <w:r w:rsidRPr="00AB11B2">
        <w:t>5a</w:t>
      </w:r>
      <w:r>
        <w:t xml:space="preserve"> </w:t>
      </w:r>
      <w:r w:rsidRPr="00AB11B2">
        <w:t>odst.</w:t>
      </w:r>
      <w:r>
        <w:t xml:space="preserve"> </w:t>
      </w:r>
      <w:r w:rsidRPr="00AB11B2">
        <w:t>5</w:t>
      </w:r>
      <w:r>
        <w:t xml:space="preserve"> </w:t>
      </w:r>
      <w:r w:rsidRPr="00AB11B2">
        <w:t>její</w:t>
      </w:r>
      <w:r>
        <w:t xml:space="preserve"> </w:t>
      </w:r>
      <w:r w:rsidRPr="00AB11B2">
        <w:t>provoz,</w:t>
      </w:r>
      <w:r>
        <w:t xml:space="preserve"> </w:t>
      </w:r>
      <w:r w:rsidRPr="00AB11B2">
        <w:t>údržbu</w:t>
      </w:r>
      <w:r>
        <w:t xml:space="preserve"> </w:t>
      </w:r>
      <w:r w:rsidRPr="00AB11B2">
        <w:t>a</w:t>
      </w:r>
      <w:r>
        <w:t xml:space="preserve"> </w:t>
      </w:r>
      <w:r w:rsidRPr="00AB11B2">
        <w:t>opravy</w:t>
      </w:r>
      <w:r>
        <w:t xml:space="preserve"> </w:t>
      </w:r>
      <w:r w:rsidRPr="00AB11B2">
        <w:t>tak,</w:t>
      </w:r>
      <w:r>
        <w:t xml:space="preserve"> </w:t>
      </w:r>
      <w:r w:rsidRPr="00AB11B2">
        <w:t>aby</w:t>
      </w:r>
      <w:r>
        <w:t xml:space="preserve"> </w:t>
      </w:r>
      <w:r w:rsidRPr="00AB11B2">
        <w:t>se</w:t>
      </w:r>
      <w:r>
        <w:t xml:space="preserve"> </w:t>
      </w:r>
      <w:r w:rsidRPr="00AB11B2">
        <w:t>nestala</w:t>
      </w:r>
      <w:r>
        <w:t xml:space="preserve"> </w:t>
      </w:r>
      <w:r w:rsidRPr="00AB11B2">
        <w:t>příčinou</w:t>
      </w:r>
      <w:r>
        <w:t xml:space="preserve"> </w:t>
      </w:r>
      <w:r w:rsidRPr="00AB11B2">
        <w:t>ohrožení</w:t>
      </w:r>
      <w:r>
        <w:t xml:space="preserve"> </w:t>
      </w:r>
      <w:r w:rsidRPr="00AB11B2">
        <w:t>života,</w:t>
      </w:r>
      <w:r>
        <w:t xml:space="preserve"> </w:t>
      </w:r>
      <w:r w:rsidRPr="00AB11B2">
        <w:t>zdraví</w:t>
      </w:r>
      <w:r>
        <w:t xml:space="preserve"> </w:t>
      </w:r>
      <w:r w:rsidRPr="00AB11B2">
        <w:t>či</w:t>
      </w:r>
      <w:r>
        <w:t xml:space="preserve"> </w:t>
      </w:r>
      <w:r w:rsidRPr="00AB11B2">
        <w:t>majetku</w:t>
      </w:r>
      <w:r>
        <w:t xml:space="preserve"> </w:t>
      </w:r>
      <w:r w:rsidRPr="00AB11B2">
        <w:t>osob,</w:t>
      </w:r>
    </w:p>
    <w:p w14:paraId="3CC19413" w14:textId="54C11019" w:rsidR="00B2710B" w:rsidRDefault="00B2710B" w:rsidP="00812ECA">
      <w:pPr>
        <w:pStyle w:val="Textparagrafu"/>
        <w:tabs>
          <w:tab w:val="left" w:pos="406"/>
          <w:tab w:val="left" w:pos="826"/>
        </w:tabs>
        <w:spacing w:before="0"/>
        <w:ind w:left="426" w:hanging="426"/>
      </w:pPr>
      <w:r w:rsidRPr="00AB11B2">
        <w:t>d)</w:t>
      </w:r>
      <w:r w:rsidR="00360319">
        <w:tab/>
      </w:r>
      <w:r w:rsidRPr="00AB11B2">
        <w:t>jako</w:t>
      </w:r>
      <w:r>
        <w:t xml:space="preserve"> </w:t>
      </w:r>
      <w:r w:rsidRPr="00AB11B2">
        <w:t>stavebník</w:t>
      </w:r>
      <w:r>
        <w:t xml:space="preserve"> </w:t>
      </w:r>
      <w:r w:rsidRPr="00AB11B2">
        <w:t>v</w:t>
      </w:r>
      <w:r>
        <w:t xml:space="preserve"> </w:t>
      </w:r>
      <w:r w:rsidRPr="00AB11B2">
        <w:t>rozporu</w:t>
      </w:r>
      <w:r>
        <w:t xml:space="preserve"> </w:t>
      </w:r>
      <w:r w:rsidRPr="00AB11B2">
        <w:t>s</w:t>
      </w:r>
      <w:r>
        <w:t xml:space="preserve"> </w:t>
      </w:r>
      <w:r w:rsidRPr="00AB11B2">
        <w:t>§</w:t>
      </w:r>
      <w:r>
        <w:t xml:space="preserve"> </w:t>
      </w:r>
      <w:r w:rsidRPr="00AB11B2">
        <w:t>7</w:t>
      </w:r>
      <w:r>
        <w:t xml:space="preserve"> </w:t>
      </w:r>
      <w:r w:rsidRPr="00AB11B2">
        <w:t>odst.</w:t>
      </w:r>
      <w:r>
        <w:t xml:space="preserve"> </w:t>
      </w:r>
      <w:r w:rsidRPr="00AB11B2">
        <w:t>2</w:t>
      </w:r>
      <w:r>
        <w:t xml:space="preserve"> </w:t>
      </w:r>
      <w:r w:rsidRPr="00AB11B2">
        <w:t>zahájí</w:t>
      </w:r>
      <w:r>
        <w:t xml:space="preserve"> </w:t>
      </w:r>
      <w:r w:rsidRPr="00AB11B2">
        <w:t>zkušební</w:t>
      </w:r>
      <w:r>
        <w:t xml:space="preserve"> </w:t>
      </w:r>
      <w:r w:rsidRPr="00AB11B2">
        <w:t>provoz</w:t>
      </w:r>
      <w:r>
        <w:t xml:space="preserve"> </w:t>
      </w:r>
      <w:r w:rsidRPr="00AB11B2">
        <w:t>dráhy,</w:t>
      </w:r>
      <w:r>
        <w:t xml:space="preserve"> </w:t>
      </w:r>
      <w:r w:rsidRPr="00AB11B2">
        <w:t>aniž</w:t>
      </w:r>
      <w:r>
        <w:t xml:space="preserve"> </w:t>
      </w:r>
      <w:r w:rsidRPr="00AB11B2">
        <w:t>byl</w:t>
      </w:r>
      <w:r>
        <w:t xml:space="preserve"> </w:t>
      </w:r>
      <w:r w:rsidRPr="00AB11B2">
        <w:t>vydán</w:t>
      </w:r>
      <w:r>
        <w:t xml:space="preserve"> </w:t>
      </w:r>
      <w:r w:rsidRPr="00AB11B2">
        <w:t>průkaz</w:t>
      </w:r>
      <w:r>
        <w:t xml:space="preserve"> </w:t>
      </w:r>
      <w:r w:rsidRPr="00AB11B2">
        <w:t>způsobilosti</w:t>
      </w:r>
      <w:r>
        <w:t xml:space="preserve"> </w:t>
      </w:r>
      <w:r w:rsidRPr="00AB11B2">
        <w:t>určeného</w:t>
      </w:r>
      <w:r>
        <w:t xml:space="preserve"> </w:t>
      </w:r>
      <w:r w:rsidRPr="00AB11B2">
        <w:t>technického</w:t>
      </w:r>
      <w:r>
        <w:t xml:space="preserve"> </w:t>
      </w:r>
      <w:r w:rsidRPr="00AB11B2">
        <w:t>zařízení,</w:t>
      </w:r>
    </w:p>
    <w:p w14:paraId="695A802E" w14:textId="76E3DCCB" w:rsidR="00B2710B" w:rsidRDefault="00B2710B" w:rsidP="00812ECA">
      <w:pPr>
        <w:pStyle w:val="Textparagrafu"/>
        <w:tabs>
          <w:tab w:val="left" w:pos="406"/>
          <w:tab w:val="left" w:pos="826"/>
        </w:tabs>
        <w:spacing w:before="0"/>
        <w:ind w:left="426" w:hanging="426"/>
      </w:pPr>
      <w:r w:rsidRPr="00AB11B2">
        <w:t>e)</w:t>
      </w:r>
      <w:r w:rsidR="00360319">
        <w:tab/>
      </w:r>
      <w:r w:rsidRPr="00AB11B2">
        <w:t>provozuje</w:t>
      </w:r>
      <w:r>
        <w:t xml:space="preserve"> </w:t>
      </w:r>
      <w:r w:rsidRPr="00AB11B2">
        <w:t>v</w:t>
      </w:r>
      <w:r>
        <w:t xml:space="preserve"> </w:t>
      </w:r>
      <w:r w:rsidRPr="00AB11B2">
        <w:t>ochranném</w:t>
      </w:r>
      <w:r>
        <w:t xml:space="preserve"> </w:t>
      </w:r>
      <w:r w:rsidRPr="00AB11B2">
        <w:t>pásmu</w:t>
      </w:r>
      <w:r>
        <w:t xml:space="preserve"> </w:t>
      </w:r>
      <w:r w:rsidRPr="00AB11B2">
        <w:t>dráhy</w:t>
      </w:r>
      <w:r>
        <w:t xml:space="preserve"> </w:t>
      </w:r>
      <w:r w:rsidRPr="00AB11B2">
        <w:t>činnost</w:t>
      </w:r>
      <w:r>
        <w:t xml:space="preserve"> </w:t>
      </w:r>
      <w:r w:rsidRPr="00AB11B2">
        <w:t>v</w:t>
      </w:r>
      <w:r>
        <w:t xml:space="preserve"> </w:t>
      </w:r>
      <w:r w:rsidRPr="00AB11B2">
        <w:t>rozporu</w:t>
      </w:r>
      <w:r>
        <w:t xml:space="preserve"> </w:t>
      </w:r>
      <w:r w:rsidRPr="00AB11B2">
        <w:t>s</w:t>
      </w:r>
      <w:r>
        <w:t xml:space="preserve"> </w:t>
      </w:r>
      <w:r w:rsidRPr="00AB11B2">
        <w:t>§</w:t>
      </w:r>
      <w:r>
        <w:t xml:space="preserve"> </w:t>
      </w:r>
      <w:r w:rsidRPr="00AB11B2">
        <w:t>9</w:t>
      </w:r>
      <w:r>
        <w:t xml:space="preserve"> </w:t>
      </w:r>
      <w:r w:rsidRPr="00AB11B2">
        <w:t>odst.</w:t>
      </w:r>
      <w:r>
        <w:t xml:space="preserve"> </w:t>
      </w:r>
      <w:r w:rsidRPr="00AB11B2">
        <w:t>1,</w:t>
      </w:r>
    </w:p>
    <w:p w14:paraId="4FF45866" w14:textId="626BCE3D" w:rsidR="00B2710B" w:rsidRDefault="00B2710B" w:rsidP="00812ECA">
      <w:pPr>
        <w:pStyle w:val="Textparagrafu"/>
        <w:tabs>
          <w:tab w:val="left" w:pos="406"/>
          <w:tab w:val="left" w:pos="826"/>
        </w:tabs>
        <w:spacing w:before="0"/>
        <w:ind w:left="426" w:hanging="426"/>
      </w:pPr>
      <w:r w:rsidRPr="00AB11B2">
        <w:t>f)</w:t>
      </w:r>
      <w:r w:rsidR="00360319">
        <w:tab/>
      </w:r>
      <w:r w:rsidRPr="00AB11B2">
        <w:t>poruší</w:t>
      </w:r>
      <w:r>
        <w:t xml:space="preserve"> </w:t>
      </w:r>
      <w:r w:rsidRPr="00AB11B2">
        <w:t>nebo</w:t>
      </w:r>
      <w:r>
        <w:t xml:space="preserve"> </w:t>
      </w:r>
      <w:r w:rsidRPr="00AB11B2">
        <w:t>ohrozí</w:t>
      </w:r>
      <w:r>
        <w:t xml:space="preserve"> </w:t>
      </w:r>
      <w:r w:rsidRPr="00AB11B2">
        <w:t>provozování</w:t>
      </w:r>
      <w:r>
        <w:t xml:space="preserve"> </w:t>
      </w:r>
      <w:r w:rsidRPr="00AB11B2">
        <w:t>dráhy</w:t>
      </w:r>
      <w:r>
        <w:t xml:space="preserve"> </w:t>
      </w:r>
      <w:r w:rsidRPr="00AB11B2">
        <w:t>a</w:t>
      </w:r>
      <w:r>
        <w:t xml:space="preserve"> </w:t>
      </w:r>
      <w:r w:rsidRPr="00AB11B2">
        <w:t>drážní</w:t>
      </w:r>
      <w:r>
        <w:t xml:space="preserve"> </w:t>
      </w:r>
      <w:r w:rsidRPr="00AB11B2">
        <w:t>dopravy</w:t>
      </w:r>
      <w:r>
        <w:t xml:space="preserve"> </w:t>
      </w:r>
      <w:r w:rsidRPr="00AB11B2">
        <w:t>nebo</w:t>
      </w:r>
      <w:r>
        <w:t xml:space="preserve"> </w:t>
      </w:r>
      <w:r w:rsidRPr="00AB11B2">
        <w:t>poškodí</w:t>
      </w:r>
      <w:r>
        <w:t xml:space="preserve"> </w:t>
      </w:r>
      <w:r w:rsidRPr="00AB11B2">
        <w:t>součásti</w:t>
      </w:r>
      <w:r>
        <w:t xml:space="preserve"> </w:t>
      </w:r>
      <w:r w:rsidRPr="00AB11B2">
        <w:t>dráhy</w:t>
      </w:r>
      <w:r>
        <w:t xml:space="preserve"> </w:t>
      </w:r>
      <w:r w:rsidRPr="00AB11B2">
        <w:t>nebo</w:t>
      </w:r>
      <w:r>
        <w:t xml:space="preserve"> </w:t>
      </w:r>
      <w:r w:rsidRPr="00AB11B2">
        <w:t>součásti</w:t>
      </w:r>
      <w:r>
        <w:t xml:space="preserve"> </w:t>
      </w:r>
      <w:r w:rsidRPr="00AB11B2">
        <w:t>drážního</w:t>
      </w:r>
      <w:r>
        <w:t xml:space="preserve"> </w:t>
      </w:r>
      <w:r w:rsidRPr="00AB11B2">
        <w:t>vozidla,</w:t>
      </w:r>
    </w:p>
    <w:p w14:paraId="6BF02C46" w14:textId="594FCF97" w:rsidR="00B2710B" w:rsidRDefault="00B2710B" w:rsidP="00812ECA">
      <w:pPr>
        <w:pStyle w:val="Textparagrafu"/>
        <w:tabs>
          <w:tab w:val="left" w:pos="406"/>
          <w:tab w:val="left" w:pos="826"/>
        </w:tabs>
        <w:spacing w:before="0"/>
        <w:ind w:left="426" w:hanging="426"/>
      </w:pPr>
      <w:r w:rsidRPr="00AB11B2">
        <w:t>g)</w:t>
      </w:r>
      <w:r w:rsidR="00360319">
        <w:tab/>
      </w:r>
      <w:r w:rsidRPr="00AB11B2">
        <w:t>poškodí</w:t>
      </w:r>
      <w:r>
        <w:t xml:space="preserve"> </w:t>
      </w:r>
      <w:r w:rsidRPr="00AB11B2">
        <w:t>stavbu</w:t>
      </w:r>
      <w:r>
        <w:t xml:space="preserve"> </w:t>
      </w:r>
      <w:r w:rsidRPr="00AB11B2">
        <w:t>dráhy,</w:t>
      </w:r>
      <w:r>
        <w:t xml:space="preserve"> </w:t>
      </w:r>
      <w:r w:rsidRPr="00AB11B2">
        <w:t>stavbu</w:t>
      </w:r>
      <w:r>
        <w:t xml:space="preserve"> </w:t>
      </w:r>
      <w:r w:rsidRPr="00AB11B2">
        <w:t>na</w:t>
      </w:r>
      <w:r>
        <w:t xml:space="preserve"> </w:t>
      </w:r>
      <w:r w:rsidRPr="00AB11B2">
        <w:t>dráze</w:t>
      </w:r>
      <w:r>
        <w:t xml:space="preserve"> </w:t>
      </w:r>
      <w:r w:rsidRPr="00AB11B2">
        <w:t>nebo</w:t>
      </w:r>
      <w:r>
        <w:t xml:space="preserve"> </w:t>
      </w:r>
      <w:r w:rsidRPr="00AB11B2">
        <w:t>jiné</w:t>
      </w:r>
      <w:r>
        <w:t xml:space="preserve"> </w:t>
      </w:r>
      <w:r w:rsidRPr="00AB11B2">
        <w:t>zařízení,</w:t>
      </w:r>
      <w:r>
        <w:t xml:space="preserve"> </w:t>
      </w:r>
      <w:r w:rsidRPr="00AB11B2">
        <w:t>které</w:t>
      </w:r>
      <w:r>
        <w:t xml:space="preserve"> </w:t>
      </w:r>
      <w:r w:rsidRPr="00AB11B2">
        <w:t>je</w:t>
      </w:r>
      <w:r>
        <w:t xml:space="preserve"> </w:t>
      </w:r>
      <w:r w:rsidRPr="00AB11B2">
        <w:t>součástí</w:t>
      </w:r>
      <w:r>
        <w:t xml:space="preserve"> </w:t>
      </w:r>
      <w:r w:rsidRPr="00AB11B2">
        <w:t>této</w:t>
      </w:r>
      <w:r>
        <w:t xml:space="preserve"> </w:t>
      </w:r>
      <w:r w:rsidRPr="00AB11B2">
        <w:t>stavby,</w:t>
      </w:r>
      <w:r>
        <w:t xml:space="preserve"> </w:t>
      </w:r>
      <w:r w:rsidRPr="00AB11B2">
        <w:t>anebo</w:t>
      </w:r>
      <w:r>
        <w:t xml:space="preserve"> </w:t>
      </w:r>
      <w:r w:rsidRPr="00AB11B2">
        <w:t>naruší</w:t>
      </w:r>
      <w:r>
        <w:t xml:space="preserve"> </w:t>
      </w:r>
      <w:r w:rsidRPr="00AB11B2">
        <w:t>činnost</w:t>
      </w:r>
      <w:r>
        <w:t xml:space="preserve"> </w:t>
      </w:r>
      <w:r w:rsidRPr="00AB11B2">
        <w:t>drážního</w:t>
      </w:r>
      <w:r>
        <w:t xml:space="preserve"> </w:t>
      </w:r>
      <w:r w:rsidRPr="00AB11B2">
        <w:t>zařízení</w:t>
      </w:r>
      <w:r>
        <w:t xml:space="preserve"> </w:t>
      </w:r>
      <w:r w:rsidRPr="00AB11B2">
        <w:t>nebo</w:t>
      </w:r>
      <w:r>
        <w:t xml:space="preserve"> </w:t>
      </w:r>
      <w:r w:rsidRPr="00AB11B2">
        <w:t>drážního</w:t>
      </w:r>
      <w:r>
        <w:t xml:space="preserve"> </w:t>
      </w:r>
      <w:r w:rsidRPr="00AB11B2">
        <w:t>vedení,</w:t>
      </w:r>
    </w:p>
    <w:p w14:paraId="77DF76DB" w14:textId="1BE99BF9" w:rsidR="00B2710B" w:rsidRDefault="00B2710B" w:rsidP="00812ECA">
      <w:pPr>
        <w:pStyle w:val="Textparagrafu"/>
        <w:tabs>
          <w:tab w:val="left" w:pos="406"/>
          <w:tab w:val="left" w:pos="826"/>
        </w:tabs>
        <w:spacing w:before="0"/>
        <w:ind w:left="426" w:hanging="426"/>
      </w:pPr>
      <w:r w:rsidRPr="00AB11B2">
        <w:t>h)</w:t>
      </w:r>
      <w:r w:rsidR="00360319">
        <w:tab/>
      </w:r>
      <w:r w:rsidRPr="00AB11B2">
        <w:t>provozuje</w:t>
      </w:r>
      <w:r>
        <w:t xml:space="preserve"> </w:t>
      </w:r>
      <w:r w:rsidRPr="00AB11B2">
        <w:t>dráhu</w:t>
      </w:r>
      <w:r>
        <w:t xml:space="preserve"> </w:t>
      </w:r>
      <w:r w:rsidRPr="00AB11B2">
        <w:t>v</w:t>
      </w:r>
      <w:r>
        <w:t xml:space="preserve"> </w:t>
      </w:r>
      <w:r w:rsidRPr="00AB11B2">
        <w:t>rozporu</w:t>
      </w:r>
      <w:r>
        <w:t xml:space="preserve"> </w:t>
      </w:r>
      <w:r w:rsidRPr="00AB11B2">
        <w:t>s</w:t>
      </w:r>
      <w:r>
        <w:t xml:space="preserve"> </w:t>
      </w:r>
      <w:r w:rsidRPr="00AB11B2">
        <w:t>§</w:t>
      </w:r>
      <w:r>
        <w:t xml:space="preserve"> </w:t>
      </w:r>
      <w:r w:rsidRPr="00AB11B2">
        <w:t>11</w:t>
      </w:r>
      <w:r>
        <w:t xml:space="preserve"> </w:t>
      </w:r>
      <w:r w:rsidRPr="00AB11B2">
        <w:t>odst.</w:t>
      </w:r>
      <w:r>
        <w:t xml:space="preserve"> </w:t>
      </w:r>
      <w:r w:rsidRPr="00AB11B2">
        <w:t>1</w:t>
      </w:r>
      <w:r>
        <w:t xml:space="preserve"> </w:t>
      </w:r>
      <w:r w:rsidRPr="00AB11B2">
        <w:t>bez</w:t>
      </w:r>
      <w:r>
        <w:t xml:space="preserve"> </w:t>
      </w:r>
      <w:r w:rsidRPr="00AB11B2">
        <w:t>úředního</w:t>
      </w:r>
      <w:r>
        <w:t xml:space="preserve"> </w:t>
      </w:r>
      <w:r w:rsidRPr="00AB11B2">
        <w:t>povolení,</w:t>
      </w:r>
    </w:p>
    <w:p w14:paraId="52DFB275" w14:textId="5198CB60" w:rsidR="00B2710B" w:rsidRDefault="00B2710B" w:rsidP="00812ECA">
      <w:pPr>
        <w:pStyle w:val="Textparagrafu"/>
        <w:tabs>
          <w:tab w:val="left" w:pos="406"/>
          <w:tab w:val="left" w:pos="826"/>
        </w:tabs>
        <w:spacing w:before="0"/>
        <w:ind w:left="426" w:hanging="426"/>
      </w:pPr>
      <w:r w:rsidRPr="00AB11B2">
        <w:lastRenderedPageBreak/>
        <w:t>i)</w:t>
      </w:r>
      <w:r w:rsidR="00360319">
        <w:tab/>
      </w:r>
      <w:r w:rsidRPr="00AB11B2">
        <w:t>v</w:t>
      </w:r>
      <w:r>
        <w:t xml:space="preserve"> </w:t>
      </w:r>
      <w:r w:rsidRPr="00AB11B2">
        <w:t>rozporu</w:t>
      </w:r>
      <w:r>
        <w:t xml:space="preserve"> </w:t>
      </w:r>
      <w:r w:rsidRPr="00AB11B2">
        <w:t>s</w:t>
      </w:r>
      <w:r>
        <w:t xml:space="preserve"> </w:t>
      </w:r>
      <w:r w:rsidRPr="00AB11B2">
        <w:t>§</w:t>
      </w:r>
      <w:r>
        <w:t xml:space="preserve"> </w:t>
      </w:r>
      <w:r w:rsidRPr="00AB11B2">
        <w:t>24a</w:t>
      </w:r>
      <w:r>
        <w:t xml:space="preserve"> </w:t>
      </w:r>
      <w:r w:rsidRPr="00AB11B2">
        <w:t>odst.</w:t>
      </w:r>
      <w:r>
        <w:t xml:space="preserve"> </w:t>
      </w:r>
      <w:r w:rsidRPr="00AB11B2">
        <w:t>1</w:t>
      </w:r>
      <w:r>
        <w:t xml:space="preserve"> </w:t>
      </w:r>
      <w:r w:rsidRPr="00AB11B2">
        <w:t>písm.</w:t>
      </w:r>
      <w:r>
        <w:t xml:space="preserve"> </w:t>
      </w:r>
      <w:r w:rsidRPr="00AB11B2">
        <w:t>b)</w:t>
      </w:r>
      <w:r>
        <w:t xml:space="preserve"> </w:t>
      </w:r>
      <w:r w:rsidRPr="00AB11B2">
        <w:t>nebo</w:t>
      </w:r>
      <w:r>
        <w:t xml:space="preserve"> </w:t>
      </w:r>
      <w:r w:rsidRPr="00AB11B2">
        <w:t>§</w:t>
      </w:r>
      <w:r>
        <w:t xml:space="preserve"> </w:t>
      </w:r>
      <w:r w:rsidRPr="00AB11B2">
        <w:t>24a</w:t>
      </w:r>
      <w:r>
        <w:t xml:space="preserve"> </w:t>
      </w:r>
      <w:r w:rsidRPr="00AB11B2">
        <w:t>odst.</w:t>
      </w:r>
      <w:r>
        <w:t xml:space="preserve"> </w:t>
      </w:r>
      <w:r w:rsidRPr="00AB11B2">
        <w:t>2</w:t>
      </w:r>
      <w:r>
        <w:t xml:space="preserve"> </w:t>
      </w:r>
      <w:r w:rsidRPr="00AB11B2">
        <w:t>písm.</w:t>
      </w:r>
      <w:r>
        <w:t xml:space="preserve"> </w:t>
      </w:r>
      <w:r w:rsidRPr="00AB11B2">
        <w:t>b)</w:t>
      </w:r>
      <w:r>
        <w:t xml:space="preserve"> </w:t>
      </w:r>
      <w:r w:rsidRPr="00AB11B2">
        <w:t>provozuje</w:t>
      </w:r>
      <w:r>
        <w:t xml:space="preserve"> </w:t>
      </w:r>
      <w:r w:rsidRPr="00AB11B2">
        <w:t>drážní</w:t>
      </w:r>
      <w:r>
        <w:t xml:space="preserve"> </w:t>
      </w:r>
      <w:r w:rsidRPr="00AB11B2">
        <w:t>dopravu</w:t>
      </w:r>
      <w:r>
        <w:t xml:space="preserve"> </w:t>
      </w:r>
      <w:r w:rsidRPr="00AB11B2">
        <w:t>bez</w:t>
      </w:r>
      <w:r>
        <w:t xml:space="preserve"> </w:t>
      </w:r>
      <w:r w:rsidRPr="00AB11B2">
        <w:t>platné</w:t>
      </w:r>
      <w:r>
        <w:t xml:space="preserve"> </w:t>
      </w:r>
      <w:r w:rsidRPr="00AB11B2">
        <w:t>licence,</w:t>
      </w:r>
    </w:p>
    <w:p w14:paraId="6ACE18EE" w14:textId="737DB628" w:rsidR="00B2710B" w:rsidRDefault="00B2710B" w:rsidP="00812ECA">
      <w:pPr>
        <w:pStyle w:val="Textparagrafu"/>
        <w:tabs>
          <w:tab w:val="left" w:pos="406"/>
          <w:tab w:val="left" w:pos="826"/>
        </w:tabs>
        <w:spacing w:before="0"/>
        <w:ind w:left="426" w:hanging="426"/>
      </w:pPr>
      <w:r w:rsidRPr="00AB11B2">
        <w:t>j)</w:t>
      </w:r>
      <w:r w:rsidR="00360319">
        <w:tab/>
      </w:r>
      <w:r w:rsidRPr="00AB11B2">
        <w:t>přidělí</w:t>
      </w:r>
      <w:r>
        <w:t xml:space="preserve"> </w:t>
      </w:r>
      <w:r w:rsidRPr="00AB11B2">
        <w:t>kapacitu</w:t>
      </w:r>
      <w:r>
        <w:t xml:space="preserve"> </w:t>
      </w:r>
      <w:r w:rsidRPr="00AB11B2">
        <w:t>dráhy</w:t>
      </w:r>
      <w:r>
        <w:t xml:space="preserve"> </w:t>
      </w:r>
      <w:r w:rsidRPr="00AB11B2">
        <w:t>nebo</w:t>
      </w:r>
      <w:r>
        <w:t xml:space="preserve"> </w:t>
      </w:r>
      <w:r w:rsidRPr="00AB11B2">
        <w:t>za</w:t>
      </w:r>
      <w:r>
        <w:t xml:space="preserve"> </w:t>
      </w:r>
      <w:r w:rsidRPr="00AB11B2">
        <w:t>provozovatele</w:t>
      </w:r>
      <w:r>
        <w:t xml:space="preserve"> </w:t>
      </w:r>
      <w:r w:rsidRPr="00AB11B2">
        <w:t>dráhy</w:t>
      </w:r>
      <w:r>
        <w:t xml:space="preserve"> </w:t>
      </w:r>
      <w:r w:rsidRPr="00AB11B2">
        <w:t>obstará</w:t>
      </w:r>
      <w:r>
        <w:t xml:space="preserve"> </w:t>
      </w:r>
      <w:r w:rsidRPr="00AB11B2">
        <w:t>výkon</w:t>
      </w:r>
      <w:r>
        <w:t xml:space="preserve"> </w:t>
      </w:r>
      <w:r w:rsidRPr="00AB11B2">
        <w:t>hlavních</w:t>
      </w:r>
      <w:r>
        <w:t xml:space="preserve"> </w:t>
      </w:r>
      <w:r w:rsidRPr="00AB11B2">
        <w:t>činností,</w:t>
      </w:r>
      <w:r>
        <w:t xml:space="preserve"> </w:t>
      </w:r>
      <w:r w:rsidRPr="00AB11B2">
        <w:t>ačkoliv</w:t>
      </w:r>
      <w:r>
        <w:t xml:space="preserve"> </w:t>
      </w:r>
      <w:r w:rsidRPr="00AB11B2">
        <w:t>k</w:t>
      </w:r>
      <w:r>
        <w:t xml:space="preserve"> </w:t>
      </w:r>
      <w:r w:rsidRPr="00AB11B2">
        <w:t>tomu</w:t>
      </w:r>
      <w:r>
        <w:t xml:space="preserve"> </w:t>
      </w:r>
      <w:r w:rsidRPr="00AB11B2">
        <w:t>není</w:t>
      </w:r>
      <w:r>
        <w:t xml:space="preserve"> </w:t>
      </w:r>
      <w:r w:rsidRPr="00AB11B2">
        <w:t>podle</w:t>
      </w:r>
      <w:r>
        <w:t xml:space="preserve"> </w:t>
      </w:r>
      <w:r w:rsidRPr="00AB11B2">
        <w:t>§</w:t>
      </w:r>
      <w:r>
        <w:t xml:space="preserve"> </w:t>
      </w:r>
      <w:r w:rsidRPr="00AB11B2">
        <w:t>32</w:t>
      </w:r>
      <w:r>
        <w:t xml:space="preserve"> </w:t>
      </w:r>
      <w:r w:rsidRPr="00AB11B2">
        <w:t>odst.</w:t>
      </w:r>
      <w:r>
        <w:t xml:space="preserve"> </w:t>
      </w:r>
      <w:r w:rsidRPr="00AB11B2">
        <w:t>3</w:t>
      </w:r>
      <w:r>
        <w:t xml:space="preserve"> </w:t>
      </w:r>
      <w:r w:rsidRPr="00AB11B2">
        <w:t>oprávněna,</w:t>
      </w:r>
    </w:p>
    <w:p w14:paraId="7F9F47E9" w14:textId="0DED2043" w:rsidR="00B2710B" w:rsidRDefault="00B2710B" w:rsidP="00812ECA">
      <w:pPr>
        <w:pStyle w:val="Textparagrafu"/>
        <w:tabs>
          <w:tab w:val="left" w:pos="406"/>
          <w:tab w:val="left" w:pos="826"/>
        </w:tabs>
        <w:spacing w:before="0"/>
        <w:ind w:left="426" w:hanging="426"/>
      </w:pPr>
      <w:r w:rsidRPr="00AB11B2">
        <w:t>k)</w:t>
      </w:r>
      <w:r w:rsidR="00360319">
        <w:tab/>
      </w:r>
      <w:r w:rsidRPr="00AB11B2">
        <w:t>poruší</w:t>
      </w:r>
      <w:r>
        <w:t xml:space="preserve"> </w:t>
      </w:r>
      <w:r w:rsidRPr="00AB11B2">
        <w:t>přepravní</w:t>
      </w:r>
      <w:r>
        <w:t xml:space="preserve"> </w:t>
      </w:r>
      <w:r w:rsidRPr="00AB11B2">
        <w:t>podmínky</w:t>
      </w:r>
      <w:r>
        <w:t xml:space="preserve"> </w:t>
      </w:r>
      <w:r w:rsidRPr="00AB11B2">
        <w:t>stanovené</w:t>
      </w:r>
      <w:r>
        <w:t xml:space="preserve"> </w:t>
      </w:r>
      <w:r w:rsidRPr="00AB11B2">
        <w:t>pro</w:t>
      </w:r>
      <w:r>
        <w:t xml:space="preserve"> </w:t>
      </w:r>
      <w:r w:rsidRPr="00AB11B2">
        <w:t>přepravu</w:t>
      </w:r>
      <w:r>
        <w:t xml:space="preserve"> </w:t>
      </w:r>
      <w:r w:rsidRPr="00AB11B2">
        <w:t>nebezpečných</w:t>
      </w:r>
      <w:r>
        <w:t xml:space="preserve"> </w:t>
      </w:r>
      <w:r w:rsidRPr="00AB11B2">
        <w:t>věcí</w:t>
      </w:r>
      <w:r>
        <w:t xml:space="preserve"> </w:t>
      </w:r>
      <w:r w:rsidRPr="00AB11B2">
        <w:t>na</w:t>
      </w:r>
      <w:r>
        <w:t xml:space="preserve"> </w:t>
      </w:r>
      <w:r w:rsidRPr="00AB11B2">
        <w:t>základě</w:t>
      </w:r>
      <w:r>
        <w:t xml:space="preserve"> </w:t>
      </w:r>
      <w:r w:rsidRPr="00AB11B2">
        <w:t>§</w:t>
      </w:r>
      <w:r>
        <w:t xml:space="preserve"> </w:t>
      </w:r>
      <w:r w:rsidRPr="00AB11B2">
        <w:t>37</w:t>
      </w:r>
      <w:r>
        <w:t xml:space="preserve"> </w:t>
      </w:r>
      <w:r w:rsidRPr="00AB11B2">
        <w:t>odst.</w:t>
      </w:r>
      <w:r>
        <w:t xml:space="preserve"> </w:t>
      </w:r>
      <w:r w:rsidRPr="00AB11B2">
        <w:t>2</w:t>
      </w:r>
      <w:r>
        <w:t xml:space="preserve"> </w:t>
      </w:r>
      <w:r w:rsidRPr="00AB11B2">
        <w:t>písm.</w:t>
      </w:r>
      <w:r>
        <w:t xml:space="preserve"> </w:t>
      </w:r>
      <w:r w:rsidRPr="00AB11B2">
        <w:t>j)</w:t>
      </w:r>
      <w:r>
        <w:t xml:space="preserve"> </w:t>
      </w:r>
      <w:r w:rsidRPr="00AB11B2">
        <w:t>nebo</w:t>
      </w:r>
      <w:r>
        <w:t xml:space="preserve"> </w:t>
      </w:r>
      <w:r w:rsidRPr="00AB11B2">
        <w:t>§</w:t>
      </w:r>
      <w:r>
        <w:t xml:space="preserve"> </w:t>
      </w:r>
      <w:r w:rsidRPr="00AB11B2">
        <w:t>37</w:t>
      </w:r>
      <w:r>
        <w:t xml:space="preserve"> </w:t>
      </w:r>
      <w:r w:rsidRPr="00AB11B2">
        <w:t>odst.</w:t>
      </w:r>
      <w:r>
        <w:t xml:space="preserve"> </w:t>
      </w:r>
      <w:r w:rsidRPr="00AB11B2">
        <w:t>3</w:t>
      </w:r>
      <w:r>
        <w:t xml:space="preserve"> </w:t>
      </w:r>
      <w:r w:rsidRPr="00AB11B2">
        <w:t>písm.</w:t>
      </w:r>
      <w:r>
        <w:t xml:space="preserve"> </w:t>
      </w:r>
      <w:r w:rsidRPr="00AB11B2">
        <w:t>d),</w:t>
      </w:r>
    </w:p>
    <w:p w14:paraId="1C96B3C0" w14:textId="7B0696C5" w:rsidR="00B2710B" w:rsidRDefault="00B2710B" w:rsidP="00812ECA">
      <w:pPr>
        <w:pStyle w:val="Textparagrafu"/>
        <w:tabs>
          <w:tab w:val="left" w:pos="406"/>
          <w:tab w:val="left" w:pos="826"/>
        </w:tabs>
        <w:spacing w:before="0"/>
        <w:ind w:left="426" w:hanging="426"/>
      </w:pPr>
      <w:r w:rsidRPr="00AB11B2">
        <w:t>l)</w:t>
      </w:r>
      <w:r w:rsidR="00360319">
        <w:tab/>
      </w:r>
      <w:r w:rsidRPr="00AB11B2">
        <w:t>v</w:t>
      </w:r>
      <w:r>
        <w:t xml:space="preserve"> </w:t>
      </w:r>
      <w:r w:rsidRPr="00AB11B2">
        <w:t>rozporu</w:t>
      </w:r>
      <w:r>
        <w:t xml:space="preserve"> </w:t>
      </w:r>
      <w:r w:rsidRPr="00AB11B2">
        <w:t>s</w:t>
      </w:r>
      <w:r>
        <w:t xml:space="preserve"> </w:t>
      </w:r>
      <w:r w:rsidRPr="00AB11B2">
        <w:t>§</w:t>
      </w:r>
      <w:r>
        <w:t xml:space="preserve"> </w:t>
      </w:r>
      <w:r w:rsidRPr="00AB11B2">
        <w:t>30</w:t>
      </w:r>
      <w:r>
        <w:t xml:space="preserve"> </w:t>
      </w:r>
      <w:r w:rsidRPr="00AB11B2">
        <w:t>odst.</w:t>
      </w:r>
      <w:r>
        <w:t xml:space="preserve"> </w:t>
      </w:r>
      <w:r w:rsidRPr="00AB11B2">
        <w:t>3</w:t>
      </w:r>
      <w:r>
        <w:t xml:space="preserve"> </w:t>
      </w:r>
      <w:r w:rsidRPr="00AB11B2">
        <w:t>neodevzdá</w:t>
      </w:r>
      <w:r>
        <w:t xml:space="preserve"> </w:t>
      </w:r>
      <w:r w:rsidRPr="00AB11B2">
        <w:t>drážnímu</w:t>
      </w:r>
      <w:r>
        <w:t xml:space="preserve"> </w:t>
      </w:r>
      <w:r w:rsidRPr="00AB11B2">
        <w:t>správnímu</w:t>
      </w:r>
      <w:r>
        <w:t xml:space="preserve"> </w:t>
      </w:r>
      <w:r w:rsidRPr="00AB11B2">
        <w:t>úřadu</w:t>
      </w:r>
      <w:r>
        <w:t xml:space="preserve"> </w:t>
      </w:r>
      <w:r w:rsidRPr="00AB11B2">
        <w:t>neplatnou</w:t>
      </w:r>
      <w:r>
        <w:t xml:space="preserve"> </w:t>
      </w:r>
      <w:r w:rsidRPr="00AB11B2">
        <w:t>licenci,</w:t>
      </w:r>
    </w:p>
    <w:p w14:paraId="5C7A9B33" w14:textId="1BA8104E" w:rsidR="00B2710B" w:rsidRPr="00AB11B2" w:rsidRDefault="00B2710B" w:rsidP="00812ECA">
      <w:pPr>
        <w:pStyle w:val="Textparagrafu"/>
        <w:tabs>
          <w:tab w:val="left" w:pos="406"/>
          <w:tab w:val="left" w:pos="826"/>
        </w:tabs>
        <w:spacing w:before="0"/>
        <w:ind w:left="426" w:hanging="426"/>
      </w:pPr>
      <w:r w:rsidRPr="00AB11B2">
        <w:t>m)</w:t>
      </w:r>
      <w:r w:rsidR="00360319">
        <w:tab/>
      </w:r>
      <w:r w:rsidRPr="00AB11B2">
        <w:t>jako</w:t>
      </w:r>
      <w:r>
        <w:t xml:space="preserve"> </w:t>
      </w:r>
      <w:r w:rsidRPr="00AB11B2">
        <w:t>osoba</w:t>
      </w:r>
      <w:r>
        <w:t xml:space="preserve"> </w:t>
      </w:r>
      <w:r w:rsidRPr="00AB11B2">
        <w:t>zabezpečující</w:t>
      </w:r>
      <w:r>
        <w:t xml:space="preserve"> </w:t>
      </w:r>
      <w:r w:rsidRPr="00AB11B2">
        <w:t>údržbu</w:t>
      </w:r>
      <w:r>
        <w:t xml:space="preserve"> </w:t>
      </w:r>
      <w:r w:rsidRPr="00AB11B2">
        <w:t>drážního</w:t>
      </w:r>
      <w:r>
        <w:t xml:space="preserve"> </w:t>
      </w:r>
      <w:r w:rsidRPr="00AB11B2">
        <w:t>vozidla</w:t>
      </w:r>
    </w:p>
    <w:p w14:paraId="66A0D42F" w14:textId="4846AF0D" w:rsidR="00B2710B" w:rsidRPr="00AB11B2" w:rsidRDefault="00B2710B" w:rsidP="00CE2C91">
      <w:pPr>
        <w:pStyle w:val="Textpsmene"/>
        <w:tabs>
          <w:tab w:val="num" w:pos="851"/>
        </w:tabs>
        <w:spacing w:before="0"/>
        <w:ind w:left="851" w:hanging="426"/>
      </w:pPr>
      <w:r w:rsidRPr="00AB11B2">
        <w:t>1.</w:t>
      </w:r>
      <w:r w:rsidR="00AB6605">
        <w:tab/>
      </w:r>
      <w:r w:rsidRPr="00AB11B2">
        <w:t>nezavede</w:t>
      </w:r>
      <w:r>
        <w:t xml:space="preserve"> </w:t>
      </w:r>
      <w:r w:rsidRPr="00AB11B2">
        <w:t>systém</w:t>
      </w:r>
      <w:r>
        <w:t xml:space="preserve"> </w:t>
      </w:r>
      <w:r w:rsidRPr="00AB11B2">
        <w:t>údržby</w:t>
      </w:r>
      <w:r>
        <w:t xml:space="preserve"> </w:t>
      </w:r>
      <w:r w:rsidRPr="00AB11B2">
        <w:t>podle</w:t>
      </w:r>
      <w:r>
        <w:t xml:space="preserve"> </w:t>
      </w:r>
      <w:r w:rsidRPr="00AB11B2">
        <w:t>§</w:t>
      </w:r>
      <w:r>
        <w:t xml:space="preserve"> </w:t>
      </w:r>
      <w:r w:rsidRPr="00AB11B2">
        <w:t>43b</w:t>
      </w:r>
      <w:r>
        <w:t xml:space="preserve"> </w:t>
      </w:r>
      <w:r w:rsidRPr="00AB11B2">
        <w:t>odst.</w:t>
      </w:r>
      <w:r>
        <w:t xml:space="preserve"> </w:t>
      </w:r>
      <w:r w:rsidRPr="00AB11B2">
        <w:t>5</w:t>
      </w:r>
      <w:r>
        <w:t xml:space="preserve"> </w:t>
      </w:r>
      <w:r w:rsidRPr="00AB11B2">
        <w:t>nebo</w:t>
      </w:r>
      <w:r>
        <w:t xml:space="preserve"> </w:t>
      </w:r>
      <w:r w:rsidRPr="00AB11B2">
        <w:t>nezajistí</w:t>
      </w:r>
      <w:r>
        <w:t xml:space="preserve"> </w:t>
      </w:r>
      <w:r w:rsidRPr="00AB11B2">
        <w:t>jeho</w:t>
      </w:r>
      <w:r>
        <w:t xml:space="preserve"> </w:t>
      </w:r>
      <w:r w:rsidRPr="00AB11B2">
        <w:t>dodržování,</w:t>
      </w:r>
    </w:p>
    <w:p w14:paraId="42F8F50D" w14:textId="22BEDA81" w:rsidR="00B2710B" w:rsidRPr="00AB11B2" w:rsidRDefault="00B2710B" w:rsidP="00CE2C91">
      <w:pPr>
        <w:pStyle w:val="Textpsmene"/>
        <w:tabs>
          <w:tab w:val="num" w:pos="851"/>
        </w:tabs>
        <w:spacing w:before="0"/>
        <w:ind w:left="851" w:hanging="426"/>
      </w:pPr>
      <w:r w:rsidRPr="00AB11B2">
        <w:t>2.</w:t>
      </w:r>
      <w:r w:rsidR="00AB6605">
        <w:tab/>
      </w:r>
      <w:r w:rsidRPr="00AB11B2">
        <w:t>nesplňuje</w:t>
      </w:r>
      <w:r>
        <w:t xml:space="preserve"> </w:t>
      </w:r>
      <w:r w:rsidRPr="00AB11B2">
        <w:t>některou</w:t>
      </w:r>
      <w:r>
        <w:t xml:space="preserve"> </w:t>
      </w:r>
      <w:r w:rsidRPr="00AB11B2">
        <w:t>z</w:t>
      </w:r>
      <w:r>
        <w:t xml:space="preserve"> </w:t>
      </w:r>
      <w:r w:rsidRPr="00AB11B2">
        <w:t>podmínek</w:t>
      </w:r>
      <w:r>
        <w:t xml:space="preserve"> </w:t>
      </w:r>
      <w:r w:rsidRPr="00AB11B2">
        <w:t>podle</w:t>
      </w:r>
      <w:r>
        <w:t xml:space="preserve"> </w:t>
      </w:r>
      <w:r w:rsidRPr="00AB11B2">
        <w:t>přímo</w:t>
      </w:r>
      <w:r>
        <w:t xml:space="preserve"> </w:t>
      </w:r>
      <w:r w:rsidRPr="00AB11B2">
        <w:t>použitelného</w:t>
      </w:r>
      <w:r>
        <w:t xml:space="preserve"> </w:t>
      </w:r>
      <w:r w:rsidRPr="00AB11B2">
        <w:t>předpisu</w:t>
      </w:r>
      <w:r>
        <w:t xml:space="preserve"> </w:t>
      </w:r>
      <w:r w:rsidRPr="00AB11B2">
        <w:t>Evropské</w:t>
      </w:r>
      <w:r>
        <w:t xml:space="preserve"> </w:t>
      </w:r>
      <w:r w:rsidRPr="00AB11B2">
        <w:t>unie</w:t>
      </w:r>
      <w:r>
        <w:t xml:space="preserve"> </w:t>
      </w:r>
      <w:r w:rsidRPr="00AB11B2">
        <w:t>upravujícího</w:t>
      </w:r>
      <w:r>
        <w:t xml:space="preserve"> </w:t>
      </w:r>
      <w:r w:rsidRPr="00AB11B2">
        <w:t>systém</w:t>
      </w:r>
      <w:r>
        <w:t xml:space="preserve"> </w:t>
      </w:r>
      <w:r w:rsidRPr="00AB11B2">
        <w:t>udělování</w:t>
      </w:r>
      <w:r>
        <w:t xml:space="preserve"> </w:t>
      </w:r>
      <w:r w:rsidRPr="00AB11B2">
        <w:t>osvědčení</w:t>
      </w:r>
      <w:r>
        <w:t xml:space="preserve"> </w:t>
      </w:r>
      <w:r w:rsidRPr="00AB11B2">
        <w:t>pro</w:t>
      </w:r>
      <w:r>
        <w:t xml:space="preserve"> </w:t>
      </w:r>
      <w:r w:rsidRPr="00AB11B2">
        <w:t>subjekty</w:t>
      </w:r>
      <w:r>
        <w:t xml:space="preserve"> </w:t>
      </w:r>
      <w:r w:rsidRPr="00AB11B2">
        <w:t>odpovědné</w:t>
      </w:r>
      <w:r>
        <w:t xml:space="preserve"> </w:t>
      </w:r>
      <w:r w:rsidRPr="00AB11B2">
        <w:t>za</w:t>
      </w:r>
      <w:r>
        <w:t xml:space="preserve"> </w:t>
      </w:r>
      <w:r w:rsidRPr="00AB11B2">
        <w:t>údržbu</w:t>
      </w:r>
      <w:r>
        <w:t xml:space="preserve"> </w:t>
      </w:r>
      <w:r w:rsidRPr="00AB11B2">
        <w:t>vozidel</w:t>
      </w:r>
      <w:r w:rsidR="00AB6605" w:rsidRPr="00CE2C91">
        <w:rPr>
          <w:vertAlign w:val="superscript"/>
        </w:rPr>
        <w:footnoteReference w:customMarkFollows="1" w:id="212"/>
        <w:t>29)</w:t>
      </w:r>
      <w:r w:rsidRPr="00AB11B2">
        <w:t>,</w:t>
      </w:r>
      <w:r>
        <w:t xml:space="preserve"> </w:t>
      </w:r>
      <w:r w:rsidRPr="00AB11B2">
        <w:t>nebo</w:t>
      </w:r>
    </w:p>
    <w:p w14:paraId="63DDD5BA" w14:textId="0B78B020" w:rsidR="00B2710B" w:rsidRDefault="00B2710B" w:rsidP="00CE2C91">
      <w:pPr>
        <w:pStyle w:val="Textpsmene"/>
        <w:tabs>
          <w:tab w:val="num" w:pos="851"/>
        </w:tabs>
        <w:spacing w:before="0"/>
        <w:ind w:left="851" w:hanging="426"/>
      </w:pPr>
      <w:r w:rsidRPr="00AB11B2">
        <w:t>3.</w:t>
      </w:r>
      <w:r w:rsidR="00AB6605">
        <w:tab/>
      </w:r>
      <w:r w:rsidRPr="00AB11B2">
        <w:t>v</w:t>
      </w:r>
      <w:r>
        <w:t xml:space="preserve"> </w:t>
      </w:r>
      <w:r w:rsidRPr="00AB11B2">
        <w:t>rozporu</w:t>
      </w:r>
      <w:r>
        <w:t xml:space="preserve"> </w:t>
      </w:r>
      <w:r w:rsidRPr="00AB11B2">
        <w:t>s</w:t>
      </w:r>
      <w:r>
        <w:t xml:space="preserve"> </w:t>
      </w:r>
      <w:r w:rsidRPr="00AB11B2">
        <w:t>§</w:t>
      </w:r>
      <w:r>
        <w:t xml:space="preserve"> </w:t>
      </w:r>
      <w:r w:rsidRPr="00AB11B2">
        <w:t>43b</w:t>
      </w:r>
      <w:r>
        <w:t xml:space="preserve"> </w:t>
      </w:r>
      <w:r w:rsidRPr="00AB11B2">
        <w:t>odst.</w:t>
      </w:r>
      <w:r>
        <w:t xml:space="preserve"> </w:t>
      </w:r>
      <w:r w:rsidRPr="00AB11B2">
        <w:t>6</w:t>
      </w:r>
      <w:r>
        <w:t xml:space="preserve"> </w:t>
      </w:r>
      <w:r w:rsidRPr="00AB11B2">
        <w:t>nepředloží</w:t>
      </w:r>
      <w:r>
        <w:t xml:space="preserve"> </w:t>
      </w:r>
      <w:r w:rsidRPr="00AB11B2">
        <w:t>Agentuře</w:t>
      </w:r>
      <w:r>
        <w:t xml:space="preserve"> </w:t>
      </w:r>
      <w:r w:rsidRPr="00AB11B2">
        <w:t>Evropské</w:t>
      </w:r>
      <w:r>
        <w:t xml:space="preserve"> </w:t>
      </w:r>
      <w:r w:rsidRPr="00AB11B2">
        <w:t>unie</w:t>
      </w:r>
      <w:r>
        <w:t xml:space="preserve"> </w:t>
      </w:r>
      <w:r w:rsidRPr="00AB11B2">
        <w:t>pro</w:t>
      </w:r>
      <w:r>
        <w:t xml:space="preserve"> </w:t>
      </w:r>
      <w:r w:rsidRPr="00AB11B2">
        <w:t>železnice</w:t>
      </w:r>
      <w:r>
        <w:t xml:space="preserve"> </w:t>
      </w:r>
      <w:r w:rsidRPr="00AB11B2">
        <w:t>požadovaná</w:t>
      </w:r>
      <w:r>
        <w:t xml:space="preserve"> </w:t>
      </w:r>
      <w:r w:rsidRPr="00AB11B2">
        <w:t>smluvní</w:t>
      </w:r>
      <w:r>
        <w:t xml:space="preserve"> </w:t>
      </w:r>
      <w:r w:rsidRPr="00AB11B2">
        <w:t>ujednání,</w:t>
      </w:r>
    </w:p>
    <w:p w14:paraId="505D30E3" w14:textId="5638DAE6" w:rsidR="00B2710B" w:rsidRDefault="00B2710B" w:rsidP="00812ECA">
      <w:pPr>
        <w:pStyle w:val="Textparagrafu"/>
        <w:tabs>
          <w:tab w:val="left" w:pos="406"/>
          <w:tab w:val="left" w:pos="826"/>
        </w:tabs>
        <w:spacing w:before="0"/>
        <w:ind w:left="426" w:hanging="426"/>
      </w:pPr>
      <w:r w:rsidRPr="00AB11B2">
        <w:t>n)</w:t>
      </w:r>
      <w:r w:rsidR="00360319">
        <w:tab/>
      </w:r>
      <w:r w:rsidRPr="00AB11B2">
        <w:t>vypracuje</w:t>
      </w:r>
      <w:r>
        <w:t xml:space="preserve"> </w:t>
      </w:r>
      <w:r w:rsidRPr="00AB11B2">
        <w:t>typové</w:t>
      </w:r>
      <w:r>
        <w:t xml:space="preserve"> </w:t>
      </w:r>
      <w:r w:rsidRPr="00AB11B2">
        <w:t>osvědčení</w:t>
      </w:r>
      <w:r>
        <w:t xml:space="preserve"> </w:t>
      </w:r>
      <w:r w:rsidRPr="00AB11B2">
        <w:t>v</w:t>
      </w:r>
      <w:r>
        <w:t xml:space="preserve"> </w:t>
      </w:r>
      <w:r w:rsidRPr="00AB11B2">
        <w:t>rozporu</w:t>
      </w:r>
      <w:r>
        <w:t xml:space="preserve"> </w:t>
      </w:r>
      <w:r w:rsidRPr="00AB11B2">
        <w:t>s</w:t>
      </w:r>
      <w:r>
        <w:t xml:space="preserve"> </w:t>
      </w:r>
      <w:r w:rsidRPr="00AB11B2">
        <w:t>§</w:t>
      </w:r>
      <w:r>
        <w:t xml:space="preserve"> </w:t>
      </w:r>
      <w:r w:rsidRPr="00AB11B2">
        <w:t>43c</w:t>
      </w:r>
      <w:r>
        <w:t xml:space="preserve"> </w:t>
      </w:r>
      <w:r w:rsidRPr="00AB11B2">
        <w:t>odst.</w:t>
      </w:r>
      <w:r>
        <w:t xml:space="preserve"> </w:t>
      </w:r>
      <w:r w:rsidRPr="00AB11B2">
        <w:t>3,</w:t>
      </w:r>
    </w:p>
    <w:p w14:paraId="22295905" w14:textId="176A25CD" w:rsidR="00B2710B" w:rsidRDefault="00B2710B" w:rsidP="00812ECA">
      <w:pPr>
        <w:pStyle w:val="Textparagrafu"/>
        <w:tabs>
          <w:tab w:val="left" w:pos="406"/>
          <w:tab w:val="left" w:pos="826"/>
        </w:tabs>
        <w:spacing w:before="0"/>
        <w:ind w:left="426" w:hanging="426"/>
      </w:pPr>
      <w:r w:rsidRPr="00AB11B2">
        <w:t>o)</w:t>
      </w:r>
      <w:r w:rsidR="00360319">
        <w:tab/>
      </w:r>
      <w:r w:rsidRPr="00AB11B2">
        <w:t>v</w:t>
      </w:r>
      <w:r>
        <w:t xml:space="preserve"> </w:t>
      </w:r>
      <w:r w:rsidRPr="00AB11B2">
        <w:t>rozporu</w:t>
      </w:r>
      <w:r>
        <w:t xml:space="preserve"> </w:t>
      </w:r>
      <w:r w:rsidRPr="00AB11B2">
        <w:t>s</w:t>
      </w:r>
      <w:r>
        <w:t xml:space="preserve"> </w:t>
      </w:r>
      <w:r w:rsidRPr="00AB11B2">
        <w:t>§</w:t>
      </w:r>
      <w:r>
        <w:t xml:space="preserve"> </w:t>
      </w:r>
      <w:r w:rsidRPr="00AB11B2">
        <w:t>49b</w:t>
      </w:r>
      <w:r>
        <w:t xml:space="preserve"> </w:t>
      </w:r>
      <w:r w:rsidRPr="00AB11B2">
        <w:t>odst.</w:t>
      </w:r>
      <w:r>
        <w:t xml:space="preserve"> </w:t>
      </w:r>
      <w:r w:rsidRPr="00AB11B2">
        <w:t>1</w:t>
      </w:r>
      <w:r>
        <w:t xml:space="preserve"> </w:t>
      </w:r>
      <w:r w:rsidRPr="00AB11B2">
        <w:t>uvede</w:t>
      </w:r>
      <w:r>
        <w:t xml:space="preserve"> </w:t>
      </w:r>
      <w:r w:rsidRPr="00AB11B2">
        <w:t>na</w:t>
      </w:r>
      <w:r>
        <w:t xml:space="preserve"> </w:t>
      </w:r>
      <w:r w:rsidRPr="00AB11B2">
        <w:t>trh</w:t>
      </w:r>
      <w:r>
        <w:t xml:space="preserve"> </w:t>
      </w:r>
      <w:r w:rsidRPr="00AB11B2">
        <w:t>prvek</w:t>
      </w:r>
      <w:r>
        <w:t xml:space="preserve"> </w:t>
      </w:r>
      <w:r w:rsidRPr="00AB11B2">
        <w:t>interoperability</w:t>
      </w:r>
      <w:r>
        <w:t xml:space="preserve"> </w:t>
      </w:r>
      <w:r w:rsidRPr="00AB11B2">
        <w:t>nesplňující</w:t>
      </w:r>
      <w:r>
        <w:t xml:space="preserve"> </w:t>
      </w:r>
      <w:r w:rsidRPr="00AB11B2">
        <w:t>základní</w:t>
      </w:r>
      <w:r>
        <w:t xml:space="preserve"> </w:t>
      </w:r>
      <w:r w:rsidRPr="00AB11B2">
        <w:t>požadavky,</w:t>
      </w:r>
    </w:p>
    <w:p w14:paraId="2748E584" w14:textId="0FDB8AF9" w:rsidR="00B2710B" w:rsidRDefault="00B2710B" w:rsidP="00812ECA">
      <w:pPr>
        <w:pStyle w:val="Textparagrafu"/>
        <w:tabs>
          <w:tab w:val="left" w:pos="406"/>
          <w:tab w:val="left" w:pos="826"/>
        </w:tabs>
        <w:spacing w:before="0"/>
        <w:ind w:left="426" w:hanging="426"/>
      </w:pPr>
      <w:r w:rsidRPr="00AB11B2">
        <w:t>p)</w:t>
      </w:r>
      <w:r w:rsidR="00360319">
        <w:tab/>
      </w:r>
      <w:r w:rsidRPr="00AB11B2">
        <w:t>vypracuje</w:t>
      </w:r>
      <w:r>
        <w:t xml:space="preserve"> </w:t>
      </w:r>
      <w:r w:rsidRPr="00AB11B2">
        <w:t>k</w:t>
      </w:r>
      <w:r>
        <w:t xml:space="preserve"> </w:t>
      </w:r>
      <w:r w:rsidRPr="00AB11B2">
        <w:t>prvku</w:t>
      </w:r>
      <w:r>
        <w:t xml:space="preserve"> </w:t>
      </w:r>
      <w:r w:rsidRPr="00AB11B2">
        <w:t>interoperability</w:t>
      </w:r>
      <w:r>
        <w:t xml:space="preserve"> </w:t>
      </w:r>
      <w:r w:rsidRPr="00AB11B2">
        <w:t>ES</w:t>
      </w:r>
      <w:r>
        <w:t xml:space="preserve"> </w:t>
      </w:r>
      <w:r w:rsidRPr="00AB11B2">
        <w:t>prohlášení</w:t>
      </w:r>
      <w:r>
        <w:t xml:space="preserve"> </w:t>
      </w:r>
      <w:r w:rsidRPr="00AB11B2">
        <w:t>o</w:t>
      </w:r>
      <w:r>
        <w:t xml:space="preserve"> </w:t>
      </w:r>
      <w:r w:rsidRPr="00AB11B2">
        <w:t>shodě</w:t>
      </w:r>
      <w:r>
        <w:t xml:space="preserve"> </w:t>
      </w:r>
      <w:r w:rsidRPr="00AB11B2">
        <w:t>nebo</w:t>
      </w:r>
      <w:r>
        <w:t xml:space="preserve"> </w:t>
      </w:r>
      <w:r w:rsidRPr="00AB11B2">
        <w:t>vhodnosti</w:t>
      </w:r>
      <w:r>
        <w:t xml:space="preserve"> </w:t>
      </w:r>
      <w:r w:rsidRPr="00AB11B2">
        <w:t>pro</w:t>
      </w:r>
      <w:r>
        <w:t xml:space="preserve"> </w:t>
      </w:r>
      <w:r w:rsidRPr="00AB11B2">
        <w:t>použití</w:t>
      </w:r>
      <w:r>
        <w:t xml:space="preserve"> </w:t>
      </w:r>
      <w:r w:rsidRPr="00AB11B2">
        <w:t>v</w:t>
      </w:r>
      <w:r>
        <w:t xml:space="preserve"> </w:t>
      </w:r>
      <w:r w:rsidRPr="00AB11B2">
        <w:t>rozporu</w:t>
      </w:r>
      <w:r>
        <w:t xml:space="preserve"> </w:t>
      </w:r>
      <w:r w:rsidRPr="00AB11B2">
        <w:t>s</w:t>
      </w:r>
      <w:r>
        <w:t xml:space="preserve"> </w:t>
      </w:r>
      <w:r w:rsidRPr="00AB11B2">
        <w:t>§</w:t>
      </w:r>
      <w:r>
        <w:t xml:space="preserve"> </w:t>
      </w:r>
      <w:r w:rsidRPr="00AB11B2">
        <w:t>49b</w:t>
      </w:r>
      <w:r>
        <w:t xml:space="preserve"> </w:t>
      </w:r>
      <w:r w:rsidRPr="00AB11B2">
        <w:t>odst.</w:t>
      </w:r>
      <w:r>
        <w:t xml:space="preserve"> </w:t>
      </w:r>
      <w:r w:rsidRPr="00AB11B2">
        <w:t>1</w:t>
      </w:r>
      <w:r>
        <w:t xml:space="preserve"> </w:t>
      </w:r>
      <w:r w:rsidRPr="00AB11B2">
        <w:t>nebo</w:t>
      </w:r>
      <w:r>
        <w:t xml:space="preserve"> </w:t>
      </w:r>
      <w:r w:rsidRPr="00AB11B2">
        <w:t>4,</w:t>
      </w:r>
    </w:p>
    <w:p w14:paraId="3299C47B" w14:textId="0778426A" w:rsidR="00B2710B" w:rsidRDefault="00B2710B" w:rsidP="00812ECA">
      <w:pPr>
        <w:pStyle w:val="Textparagrafu"/>
        <w:tabs>
          <w:tab w:val="left" w:pos="406"/>
          <w:tab w:val="left" w:pos="826"/>
        </w:tabs>
        <w:spacing w:before="0"/>
        <w:ind w:left="426" w:hanging="426"/>
      </w:pPr>
      <w:r w:rsidRPr="00AB11B2">
        <w:t>q)</w:t>
      </w:r>
      <w:r w:rsidR="00360319">
        <w:tab/>
      </w:r>
      <w:r w:rsidRPr="00AB11B2">
        <w:t>poruší</w:t>
      </w:r>
      <w:r>
        <w:t xml:space="preserve"> </w:t>
      </w:r>
      <w:r w:rsidRPr="00AB11B2">
        <w:t>zákaz</w:t>
      </w:r>
      <w:r>
        <w:t xml:space="preserve"> </w:t>
      </w:r>
      <w:r w:rsidRPr="00AB11B2">
        <w:t>uvedení</w:t>
      </w:r>
      <w:r>
        <w:t xml:space="preserve"> </w:t>
      </w:r>
      <w:r w:rsidRPr="00AB11B2">
        <w:t>prvku</w:t>
      </w:r>
      <w:r>
        <w:t xml:space="preserve"> </w:t>
      </w:r>
      <w:r w:rsidRPr="00AB11B2">
        <w:t>interoperability</w:t>
      </w:r>
      <w:r>
        <w:t xml:space="preserve"> </w:t>
      </w:r>
      <w:r w:rsidRPr="00AB11B2">
        <w:t>na</w:t>
      </w:r>
      <w:r>
        <w:t xml:space="preserve"> </w:t>
      </w:r>
      <w:r w:rsidRPr="00AB11B2">
        <w:t>trh</w:t>
      </w:r>
      <w:r>
        <w:t xml:space="preserve"> </w:t>
      </w:r>
      <w:r w:rsidRPr="00AB11B2">
        <w:t>uložený</w:t>
      </w:r>
      <w:r>
        <w:t xml:space="preserve"> </w:t>
      </w:r>
      <w:r w:rsidRPr="00AB11B2">
        <w:t>podle</w:t>
      </w:r>
      <w:r>
        <w:t xml:space="preserve"> </w:t>
      </w:r>
      <w:r w:rsidRPr="00AB11B2">
        <w:t>§</w:t>
      </w:r>
      <w:r>
        <w:t xml:space="preserve"> </w:t>
      </w:r>
      <w:r w:rsidRPr="00AB11B2">
        <w:t>49c</w:t>
      </w:r>
      <w:r>
        <w:t xml:space="preserve"> </w:t>
      </w:r>
      <w:r w:rsidRPr="00AB11B2">
        <w:t>odst.</w:t>
      </w:r>
      <w:r>
        <w:t xml:space="preserve"> </w:t>
      </w:r>
      <w:r w:rsidRPr="00AB11B2">
        <w:t>1</w:t>
      </w:r>
      <w:r>
        <w:t xml:space="preserve"> </w:t>
      </w:r>
      <w:r w:rsidRPr="00AB11B2">
        <w:t>nebo</w:t>
      </w:r>
      <w:r>
        <w:t xml:space="preserve"> </w:t>
      </w:r>
      <w:r w:rsidRPr="00AB11B2">
        <w:t>nedodrží</w:t>
      </w:r>
      <w:r>
        <w:t xml:space="preserve"> </w:t>
      </w:r>
      <w:r w:rsidRPr="00AB11B2">
        <w:t>ochranné</w:t>
      </w:r>
      <w:r>
        <w:t xml:space="preserve"> </w:t>
      </w:r>
      <w:r w:rsidRPr="00AB11B2">
        <w:t>opatření</w:t>
      </w:r>
      <w:r>
        <w:t xml:space="preserve"> </w:t>
      </w:r>
      <w:r w:rsidRPr="00AB11B2">
        <w:t>uložené</w:t>
      </w:r>
      <w:r>
        <w:t xml:space="preserve"> </w:t>
      </w:r>
      <w:r w:rsidRPr="00AB11B2">
        <w:t>podle</w:t>
      </w:r>
      <w:r>
        <w:t xml:space="preserve"> </w:t>
      </w:r>
      <w:r w:rsidRPr="00AB11B2">
        <w:t>§</w:t>
      </w:r>
      <w:r>
        <w:t xml:space="preserve"> </w:t>
      </w:r>
      <w:r w:rsidRPr="00AB11B2">
        <w:t>49c</w:t>
      </w:r>
      <w:r>
        <w:t xml:space="preserve"> </w:t>
      </w:r>
      <w:r w:rsidRPr="00AB11B2">
        <w:t>odst.</w:t>
      </w:r>
      <w:r>
        <w:t xml:space="preserve"> </w:t>
      </w:r>
      <w:r w:rsidRPr="00AB11B2">
        <w:t>2</w:t>
      </w:r>
      <w:r>
        <w:t xml:space="preserve"> </w:t>
      </w:r>
      <w:r w:rsidRPr="00AB11B2">
        <w:t>nebo</w:t>
      </w:r>
      <w:r>
        <w:t xml:space="preserve"> </w:t>
      </w:r>
      <w:r w:rsidRPr="00AB11B2">
        <w:t>§</w:t>
      </w:r>
      <w:r>
        <w:t xml:space="preserve"> </w:t>
      </w:r>
      <w:r w:rsidRPr="00AB11B2">
        <w:t>49q</w:t>
      </w:r>
      <w:r>
        <w:t xml:space="preserve"> </w:t>
      </w:r>
      <w:r w:rsidRPr="00AB11B2">
        <w:t>odst.</w:t>
      </w:r>
      <w:r>
        <w:t xml:space="preserve"> </w:t>
      </w:r>
      <w:r w:rsidRPr="00AB11B2">
        <w:t>2,</w:t>
      </w:r>
    </w:p>
    <w:p w14:paraId="5013801E" w14:textId="4475E14A" w:rsidR="00B2710B" w:rsidRDefault="00B2710B" w:rsidP="00812ECA">
      <w:pPr>
        <w:pStyle w:val="Textparagrafu"/>
        <w:tabs>
          <w:tab w:val="left" w:pos="406"/>
          <w:tab w:val="left" w:pos="826"/>
        </w:tabs>
        <w:spacing w:before="0"/>
        <w:ind w:left="426" w:hanging="426"/>
      </w:pPr>
      <w:r w:rsidRPr="00AB11B2">
        <w:t>r)</w:t>
      </w:r>
      <w:r w:rsidR="00360319">
        <w:tab/>
      </w:r>
      <w:r w:rsidRPr="00AB11B2">
        <w:t>v</w:t>
      </w:r>
      <w:r>
        <w:t xml:space="preserve"> </w:t>
      </w:r>
      <w:r w:rsidRPr="00AB11B2">
        <w:t>rozporu</w:t>
      </w:r>
      <w:r>
        <w:t xml:space="preserve"> </w:t>
      </w:r>
      <w:r w:rsidRPr="00AB11B2">
        <w:t>s</w:t>
      </w:r>
      <w:r>
        <w:t xml:space="preserve"> </w:t>
      </w:r>
      <w:r w:rsidRPr="00AB11B2">
        <w:t>§</w:t>
      </w:r>
      <w:r>
        <w:t xml:space="preserve"> </w:t>
      </w:r>
      <w:r w:rsidRPr="00AB11B2">
        <w:t>49i</w:t>
      </w:r>
      <w:r>
        <w:t xml:space="preserve"> </w:t>
      </w:r>
      <w:r w:rsidRPr="00AB11B2">
        <w:t>uvede</w:t>
      </w:r>
      <w:r>
        <w:t xml:space="preserve"> </w:t>
      </w:r>
      <w:r w:rsidRPr="00AB11B2">
        <w:t>na</w:t>
      </w:r>
      <w:r>
        <w:t xml:space="preserve"> </w:t>
      </w:r>
      <w:r w:rsidRPr="00AB11B2">
        <w:t>trh</w:t>
      </w:r>
      <w:r>
        <w:t xml:space="preserve"> </w:t>
      </w:r>
      <w:r w:rsidRPr="00AB11B2">
        <w:t>subsystém</w:t>
      </w:r>
      <w:r>
        <w:t xml:space="preserve"> </w:t>
      </w:r>
      <w:r w:rsidRPr="00AB11B2">
        <w:t>kolejová</w:t>
      </w:r>
      <w:r>
        <w:t xml:space="preserve"> </w:t>
      </w:r>
      <w:r w:rsidRPr="00AB11B2">
        <w:t>vozidla</w:t>
      </w:r>
      <w:r>
        <w:t xml:space="preserve"> </w:t>
      </w:r>
      <w:r w:rsidRPr="00AB11B2">
        <w:t>nebo</w:t>
      </w:r>
      <w:r>
        <w:t xml:space="preserve"> </w:t>
      </w:r>
      <w:r w:rsidRPr="00AB11B2">
        <w:t>subsystém</w:t>
      </w:r>
      <w:r>
        <w:t xml:space="preserve"> </w:t>
      </w:r>
      <w:r w:rsidRPr="00AB11B2">
        <w:t>palubní</w:t>
      </w:r>
      <w:r>
        <w:t xml:space="preserve"> </w:t>
      </w:r>
      <w:r w:rsidRPr="00AB11B2">
        <w:t>řízení</w:t>
      </w:r>
      <w:r>
        <w:t xml:space="preserve"> </w:t>
      </w:r>
      <w:r w:rsidRPr="00AB11B2">
        <w:t>a</w:t>
      </w:r>
      <w:r>
        <w:t xml:space="preserve"> </w:t>
      </w:r>
      <w:r w:rsidRPr="00AB11B2">
        <w:t>zabezpečení</w:t>
      </w:r>
      <w:r>
        <w:t xml:space="preserve"> </w:t>
      </w:r>
      <w:r w:rsidRPr="00AB11B2">
        <w:t>nesplňující</w:t>
      </w:r>
      <w:r>
        <w:t xml:space="preserve"> </w:t>
      </w:r>
      <w:r w:rsidRPr="00AB11B2">
        <w:t>základní</w:t>
      </w:r>
      <w:r>
        <w:t xml:space="preserve"> </w:t>
      </w:r>
      <w:r w:rsidRPr="00AB11B2">
        <w:t>požadavky,</w:t>
      </w:r>
    </w:p>
    <w:p w14:paraId="1726EC26" w14:textId="1DA14514" w:rsidR="00B2710B" w:rsidRDefault="00B2710B" w:rsidP="00812ECA">
      <w:pPr>
        <w:pStyle w:val="Textparagrafu"/>
        <w:tabs>
          <w:tab w:val="left" w:pos="406"/>
          <w:tab w:val="left" w:pos="826"/>
        </w:tabs>
        <w:spacing w:before="0"/>
        <w:ind w:left="426" w:hanging="426"/>
      </w:pPr>
      <w:r w:rsidRPr="00AB11B2">
        <w:t>s)</w:t>
      </w:r>
      <w:r w:rsidR="00360319">
        <w:tab/>
      </w:r>
      <w:r w:rsidRPr="00AB11B2">
        <w:t>v</w:t>
      </w:r>
      <w:r>
        <w:t xml:space="preserve"> </w:t>
      </w:r>
      <w:r w:rsidRPr="00AB11B2">
        <w:t>rozporu</w:t>
      </w:r>
      <w:r>
        <w:t xml:space="preserve"> </w:t>
      </w:r>
      <w:r w:rsidRPr="00AB11B2">
        <w:t>s</w:t>
      </w:r>
      <w:r>
        <w:t xml:space="preserve"> </w:t>
      </w:r>
      <w:r w:rsidRPr="00AB11B2">
        <w:t>§</w:t>
      </w:r>
      <w:r>
        <w:t xml:space="preserve"> </w:t>
      </w:r>
      <w:r w:rsidRPr="00AB11B2">
        <w:t>49j</w:t>
      </w:r>
      <w:r>
        <w:t xml:space="preserve"> </w:t>
      </w:r>
      <w:r w:rsidRPr="00AB11B2">
        <w:t>odst.</w:t>
      </w:r>
      <w:r>
        <w:t xml:space="preserve"> </w:t>
      </w:r>
      <w:r w:rsidRPr="00AB11B2">
        <w:t>1</w:t>
      </w:r>
      <w:r>
        <w:t xml:space="preserve"> </w:t>
      </w:r>
      <w:r w:rsidRPr="00AB11B2">
        <w:t>uvede</w:t>
      </w:r>
      <w:r>
        <w:t xml:space="preserve"> </w:t>
      </w:r>
      <w:r w:rsidRPr="00AB11B2">
        <w:t>na</w:t>
      </w:r>
      <w:r>
        <w:t xml:space="preserve"> </w:t>
      </w:r>
      <w:r w:rsidRPr="00AB11B2">
        <w:t>trh</w:t>
      </w:r>
      <w:r>
        <w:t xml:space="preserve"> </w:t>
      </w:r>
      <w:r w:rsidRPr="00AB11B2">
        <w:t>drážní</w:t>
      </w:r>
      <w:r>
        <w:t xml:space="preserve"> </w:t>
      </w:r>
      <w:r w:rsidRPr="00AB11B2">
        <w:t>vozidlo</w:t>
      </w:r>
      <w:r>
        <w:t xml:space="preserve"> </w:t>
      </w:r>
      <w:r w:rsidRPr="00AB11B2">
        <w:t>určené</w:t>
      </w:r>
      <w:r>
        <w:t xml:space="preserve"> </w:t>
      </w:r>
      <w:r w:rsidRPr="00AB11B2">
        <w:t>k</w:t>
      </w:r>
      <w:r>
        <w:t xml:space="preserve"> </w:t>
      </w:r>
      <w:r w:rsidRPr="00AB11B2">
        <w:t>provozování</w:t>
      </w:r>
      <w:r>
        <w:t xml:space="preserve"> </w:t>
      </w:r>
      <w:r w:rsidRPr="00AB11B2">
        <w:t>na</w:t>
      </w:r>
      <w:r>
        <w:t xml:space="preserve"> </w:t>
      </w:r>
      <w:r w:rsidRPr="00AB11B2">
        <w:t>dráze</w:t>
      </w:r>
      <w:r>
        <w:t xml:space="preserve"> </w:t>
      </w:r>
      <w:r w:rsidRPr="00AB11B2">
        <w:t>celostátní</w:t>
      </w:r>
      <w:r>
        <w:t xml:space="preserve"> </w:t>
      </w:r>
      <w:r w:rsidRPr="00AB11B2">
        <w:t>nebo</w:t>
      </w:r>
      <w:r>
        <w:t xml:space="preserve"> </w:t>
      </w:r>
      <w:r w:rsidRPr="00AB11B2">
        <w:t>regionální</w:t>
      </w:r>
      <w:r>
        <w:t xml:space="preserve"> </w:t>
      </w:r>
      <w:r w:rsidRPr="00AB11B2">
        <w:t>bez</w:t>
      </w:r>
      <w:r>
        <w:t xml:space="preserve"> </w:t>
      </w:r>
      <w:r w:rsidRPr="00AB11B2">
        <w:t>povolení</w:t>
      </w:r>
      <w:r>
        <w:t xml:space="preserve"> </w:t>
      </w:r>
      <w:r w:rsidRPr="00AB11B2">
        <w:t>k</w:t>
      </w:r>
      <w:r>
        <w:t xml:space="preserve"> </w:t>
      </w:r>
      <w:r w:rsidRPr="00AB11B2">
        <w:t>jeho</w:t>
      </w:r>
      <w:r>
        <w:t xml:space="preserve"> </w:t>
      </w:r>
      <w:r w:rsidRPr="00AB11B2">
        <w:t>uvedení</w:t>
      </w:r>
      <w:r>
        <w:t xml:space="preserve"> </w:t>
      </w:r>
      <w:r w:rsidRPr="00AB11B2">
        <w:t>na</w:t>
      </w:r>
      <w:r>
        <w:t xml:space="preserve"> </w:t>
      </w:r>
      <w:r w:rsidRPr="00AB11B2">
        <w:t>trh</w:t>
      </w:r>
      <w:r>
        <w:t xml:space="preserve"> </w:t>
      </w:r>
      <w:r w:rsidRPr="00AB11B2">
        <w:t>nebo</w:t>
      </w:r>
      <w:r>
        <w:t xml:space="preserve"> </w:t>
      </w:r>
      <w:r w:rsidRPr="00AB11B2">
        <w:t>v</w:t>
      </w:r>
      <w:r>
        <w:t xml:space="preserve"> </w:t>
      </w:r>
      <w:r w:rsidRPr="00AB11B2">
        <w:t>rozporu</w:t>
      </w:r>
      <w:r>
        <w:t xml:space="preserve"> </w:t>
      </w:r>
      <w:r w:rsidRPr="00AB11B2">
        <w:t>s</w:t>
      </w:r>
      <w:r>
        <w:t xml:space="preserve"> </w:t>
      </w:r>
      <w:r w:rsidRPr="00AB11B2">
        <w:t>tímto</w:t>
      </w:r>
      <w:r>
        <w:t xml:space="preserve"> </w:t>
      </w:r>
      <w:r w:rsidRPr="00AB11B2">
        <w:t>povolením,</w:t>
      </w:r>
    </w:p>
    <w:p w14:paraId="4B3E1AD6" w14:textId="5AD07EF2" w:rsidR="00B2710B" w:rsidRDefault="00B2710B" w:rsidP="00812ECA">
      <w:pPr>
        <w:pStyle w:val="Textparagrafu"/>
        <w:tabs>
          <w:tab w:val="left" w:pos="406"/>
          <w:tab w:val="left" w:pos="826"/>
        </w:tabs>
        <w:spacing w:before="0"/>
        <w:ind w:left="426" w:hanging="426"/>
      </w:pPr>
      <w:r w:rsidRPr="00AB11B2">
        <w:t>t)</w:t>
      </w:r>
      <w:r w:rsidR="00360319">
        <w:tab/>
      </w:r>
      <w:r w:rsidRPr="00AB11B2">
        <w:t>vypracuje</w:t>
      </w:r>
      <w:r>
        <w:t xml:space="preserve"> </w:t>
      </w:r>
      <w:r w:rsidRPr="00AB11B2">
        <w:t>prohlášení</w:t>
      </w:r>
      <w:r>
        <w:t xml:space="preserve"> </w:t>
      </w:r>
      <w:r w:rsidRPr="00AB11B2">
        <w:t>o</w:t>
      </w:r>
      <w:r>
        <w:t xml:space="preserve"> </w:t>
      </w:r>
      <w:r w:rsidRPr="00AB11B2">
        <w:t>shodě</w:t>
      </w:r>
      <w:r>
        <w:t xml:space="preserve"> </w:t>
      </w:r>
      <w:r w:rsidRPr="00AB11B2">
        <w:t>s</w:t>
      </w:r>
      <w:r>
        <w:t xml:space="preserve"> </w:t>
      </w:r>
      <w:r w:rsidRPr="00AB11B2">
        <w:t>povoleným</w:t>
      </w:r>
      <w:r>
        <w:t xml:space="preserve"> </w:t>
      </w:r>
      <w:r w:rsidRPr="00AB11B2">
        <w:t>typem</w:t>
      </w:r>
      <w:r>
        <w:t xml:space="preserve"> </w:t>
      </w:r>
      <w:r w:rsidRPr="00AB11B2">
        <w:t>vozidla</w:t>
      </w:r>
      <w:r>
        <w:t xml:space="preserve"> </w:t>
      </w:r>
      <w:r w:rsidRPr="00AB11B2">
        <w:t>v</w:t>
      </w:r>
      <w:r>
        <w:t xml:space="preserve"> </w:t>
      </w:r>
      <w:r w:rsidRPr="00AB11B2">
        <w:t>rozporu</w:t>
      </w:r>
      <w:r>
        <w:t xml:space="preserve"> </w:t>
      </w:r>
      <w:r w:rsidRPr="00AB11B2">
        <w:t>s</w:t>
      </w:r>
      <w:r>
        <w:t xml:space="preserve"> </w:t>
      </w:r>
      <w:r w:rsidRPr="00AB11B2">
        <w:t>§</w:t>
      </w:r>
      <w:r>
        <w:t xml:space="preserve"> </w:t>
      </w:r>
      <w:r w:rsidRPr="00AB11B2">
        <w:t>49j</w:t>
      </w:r>
      <w:r>
        <w:t xml:space="preserve"> </w:t>
      </w:r>
      <w:r w:rsidRPr="00AB11B2">
        <w:t>odst.</w:t>
      </w:r>
      <w:r>
        <w:t xml:space="preserve"> </w:t>
      </w:r>
      <w:r w:rsidRPr="00AB11B2">
        <w:t>2</w:t>
      </w:r>
      <w:r>
        <w:t xml:space="preserve"> </w:t>
      </w:r>
      <w:r w:rsidRPr="00AB11B2">
        <w:t>nebo</w:t>
      </w:r>
      <w:r>
        <w:t xml:space="preserve"> </w:t>
      </w:r>
      <w:r w:rsidRPr="00AB11B2">
        <w:t>4,</w:t>
      </w:r>
    </w:p>
    <w:p w14:paraId="289863F4" w14:textId="67226FF0" w:rsidR="00B2710B" w:rsidRPr="00AB11B2" w:rsidRDefault="00B2710B" w:rsidP="00812ECA">
      <w:pPr>
        <w:pStyle w:val="Textparagrafu"/>
        <w:tabs>
          <w:tab w:val="left" w:pos="406"/>
          <w:tab w:val="left" w:pos="826"/>
        </w:tabs>
        <w:spacing w:before="0"/>
        <w:ind w:left="426" w:hanging="426"/>
      </w:pPr>
      <w:r w:rsidRPr="00AB11B2">
        <w:t>u)</w:t>
      </w:r>
      <w:r w:rsidR="00360319">
        <w:tab/>
      </w:r>
      <w:r w:rsidRPr="00AB11B2">
        <w:t>jako</w:t>
      </w:r>
      <w:r>
        <w:t xml:space="preserve"> </w:t>
      </w:r>
      <w:r w:rsidRPr="00AB11B2">
        <w:t>držitel</w:t>
      </w:r>
      <w:r>
        <w:t xml:space="preserve"> </w:t>
      </w:r>
      <w:r w:rsidRPr="00AB11B2">
        <w:t>drážního</w:t>
      </w:r>
      <w:r>
        <w:t xml:space="preserve"> </w:t>
      </w:r>
      <w:r w:rsidRPr="00AB11B2">
        <w:t>vozidla</w:t>
      </w:r>
      <w:r>
        <w:t xml:space="preserve"> </w:t>
      </w:r>
      <w:r w:rsidRPr="00AB11B2">
        <w:t>provozovaného</w:t>
      </w:r>
      <w:r>
        <w:t xml:space="preserve"> </w:t>
      </w:r>
      <w:r w:rsidRPr="00AB11B2">
        <w:t>na</w:t>
      </w:r>
      <w:r>
        <w:t xml:space="preserve"> </w:t>
      </w:r>
      <w:r w:rsidRPr="00AB11B2">
        <w:t>dráze</w:t>
      </w:r>
      <w:r>
        <w:t xml:space="preserve"> </w:t>
      </w:r>
      <w:r w:rsidRPr="00AB11B2">
        <w:t>celostátní</w:t>
      </w:r>
      <w:r>
        <w:t xml:space="preserve"> </w:t>
      </w:r>
      <w:r w:rsidRPr="00AB11B2">
        <w:t>nebo</w:t>
      </w:r>
      <w:r>
        <w:t xml:space="preserve"> </w:t>
      </w:r>
      <w:r w:rsidRPr="00AB11B2">
        <w:t>regionální,</w:t>
      </w:r>
      <w:r>
        <w:t xml:space="preserve"> </w:t>
      </w:r>
      <w:r w:rsidRPr="00AB11B2">
        <w:t>držitel</w:t>
      </w:r>
      <w:r>
        <w:t xml:space="preserve"> </w:t>
      </w:r>
      <w:r w:rsidRPr="00AB11B2">
        <w:t>povolení</w:t>
      </w:r>
      <w:r>
        <w:t xml:space="preserve"> </w:t>
      </w:r>
      <w:r w:rsidRPr="00AB11B2">
        <w:t>k</w:t>
      </w:r>
      <w:r>
        <w:t xml:space="preserve"> </w:t>
      </w:r>
      <w:r w:rsidRPr="00AB11B2">
        <w:t>jeho</w:t>
      </w:r>
      <w:r>
        <w:t xml:space="preserve"> </w:t>
      </w:r>
      <w:r w:rsidRPr="00AB11B2">
        <w:t>uvedení</w:t>
      </w:r>
      <w:r>
        <w:t xml:space="preserve"> </w:t>
      </w:r>
      <w:r w:rsidRPr="00AB11B2">
        <w:t>na</w:t>
      </w:r>
      <w:r>
        <w:t xml:space="preserve"> </w:t>
      </w:r>
      <w:r w:rsidRPr="00AB11B2">
        <w:t>trh</w:t>
      </w:r>
      <w:r>
        <w:t xml:space="preserve"> </w:t>
      </w:r>
      <w:r w:rsidRPr="00AB11B2">
        <w:t>nebo</w:t>
      </w:r>
      <w:r>
        <w:t xml:space="preserve"> </w:t>
      </w:r>
      <w:r w:rsidRPr="00AB11B2">
        <w:t>povolení</w:t>
      </w:r>
      <w:r>
        <w:t xml:space="preserve"> </w:t>
      </w:r>
      <w:r w:rsidRPr="00AB11B2">
        <w:t>typu</w:t>
      </w:r>
      <w:r>
        <w:t xml:space="preserve"> </w:t>
      </w:r>
      <w:r w:rsidRPr="00AB11B2">
        <w:t>vozidla</w:t>
      </w:r>
      <w:r>
        <w:t xml:space="preserve"> </w:t>
      </w:r>
      <w:r w:rsidRPr="00AB11B2">
        <w:t>anebo</w:t>
      </w:r>
      <w:r>
        <w:t xml:space="preserve"> </w:t>
      </w:r>
      <w:r w:rsidRPr="00AB11B2">
        <w:t>jako</w:t>
      </w:r>
      <w:r>
        <w:t xml:space="preserve"> </w:t>
      </w:r>
      <w:r w:rsidRPr="00AB11B2">
        <w:t>osoba</w:t>
      </w:r>
      <w:r>
        <w:t xml:space="preserve"> </w:t>
      </w:r>
      <w:r w:rsidRPr="00AB11B2">
        <w:t>jimi</w:t>
      </w:r>
      <w:r>
        <w:t xml:space="preserve"> </w:t>
      </w:r>
      <w:r w:rsidRPr="00AB11B2">
        <w:t>pověřená</w:t>
      </w:r>
    </w:p>
    <w:p w14:paraId="793F43CE" w14:textId="2BF57891" w:rsidR="00B2710B" w:rsidRPr="00AB11B2" w:rsidRDefault="00B2710B" w:rsidP="00CE2C91">
      <w:pPr>
        <w:pStyle w:val="Textpsmene"/>
        <w:tabs>
          <w:tab w:val="num" w:pos="851"/>
        </w:tabs>
        <w:spacing w:before="0"/>
        <w:ind w:left="851" w:hanging="426"/>
      </w:pPr>
      <w:r w:rsidRPr="00AB11B2">
        <w:t>1.</w:t>
      </w:r>
      <w:r w:rsidR="00AB6605">
        <w:tab/>
      </w:r>
      <w:r w:rsidRPr="00AB11B2">
        <w:t>obnoví</w:t>
      </w:r>
      <w:r>
        <w:t xml:space="preserve"> </w:t>
      </w:r>
      <w:r w:rsidRPr="00AB11B2">
        <w:t>nebo</w:t>
      </w:r>
      <w:r>
        <w:t xml:space="preserve"> </w:t>
      </w:r>
      <w:r w:rsidRPr="00AB11B2">
        <w:t>modernizuje</w:t>
      </w:r>
      <w:r>
        <w:t xml:space="preserve"> </w:t>
      </w:r>
      <w:r w:rsidRPr="00AB11B2">
        <w:t>drážní</w:t>
      </w:r>
      <w:r>
        <w:t xml:space="preserve"> </w:t>
      </w:r>
      <w:r w:rsidRPr="00AB11B2">
        <w:t>vozidlo</w:t>
      </w:r>
      <w:r>
        <w:t xml:space="preserve"> </w:t>
      </w:r>
      <w:r w:rsidRPr="00AB11B2">
        <w:t>bez</w:t>
      </w:r>
      <w:r>
        <w:t xml:space="preserve"> </w:t>
      </w:r>
      <w:r w:rsidRPr="00AB11B2">
        <w:t>nového</w:t>
      </w:r>
      <w:r>
        <w:t xml:space="preserve"> </w:t>
      </w:r>
      <w:r w:rsidRPr="00AB11B2">
        <w:t>povolení,</w:t>
      </w:r>
      <w:r>
        <w:t xml:space="preserve"> </w:t>
      </w:r>
      <w:r w:rsidRPr="00AB11B2">
        <w:t>jehož</w:t>
      </w:r>
      <w:r>
        <w:t xml:space="preserve"> </w:t>
      </w:r>
      <w:r w:rsidRPr="00AB11B2">
        <w:t>vydání</w:t>
      </w:r>
      <w:r>
        <w:t xml:space="preserve"> </w:t>
      </w:r>
      <w:r w:rsidRPr="00AB11B2">
        <w:t>bylo</w:t>
      </w:r>
      <w:r>
        <w:t xml:space="preserve"> </w:t>
      </w:r>
      <w:r w:rsidRPr="00AB11B2">
        <w:t>nezbytné</w:t>
      </w:r>
      <w:r>
        <w:t xml:space="preserve"> </w:t>
      </w:r>
      <w:r w:rsidRPr="00AB11B2">
        <w:t>podle</w:t>
      </w:r>
      <w:r>
        <w:t xml:space="preserve"> </w:t>
      </w:r>
      <w:r w:rsidRPr="00AB11B2">
        <w:t>§</w:t>
      </w:r>
      <w:r>
        <w:t xml:space="preserve"> </w:t>
      </w:r>
      <w:r w:rsidRPr="00AB11B2">
        <w:t>49l</w:t>
      </w:r>
      <w:r>
        <w:t xml:space="preserve"> </w:t>
      </w:r>
      <w:r w:rsidRPr="00AB11B2">
        <w:t>odst.</w:t>
      </w:r>
      <w:r>
        <w:t xml:space="preserve"> </w:t>
      </w:r>
      <w:r w:rsidRPr="00AB11B2">
        <w:t>1,</w:t>
      </w:r>
    </w:p>
    <w:p w14:paraId="0B193092" w14:textId="5B3E352E" w:rsidR="00B2710B" w:rsidRPr="00AB11B2" w:rsidRDefault="00B2710B" w:rsidP="00CE2C91">
      <w:pPr>
        <w:pStyle w:val="Textpsmene"/>
        <w:tabs>
          <w:tab w:val="num" w:pos="851"/>
        </w:tabs>
        <w:spacing w:before="0"/>
        <w:ind w:left="851" w:hanging="426"/>
      </w:pPr>
      <w:r w:rsidRPr="00AB11B2">
        <w:t>2.</w:t>
      </w:r>
      <w:r w:rsidR="00AB6605">
        <w:tab/>
      </w:r>
      <w:r w:rsidRPr="00AB11B2">
        <w:t>v</w:t>
      </w:r>
      <w:r>
        <w:t xml:space="preserve"> </w:t>
      </w:r>
      <w:r w:rsidRPr="00AB11B2">
        <w:t>rozporu</w:t>
      </w:r>
      <w:r>
        <w:t xml:space="preserve"> </w:t>
      </w:r>
      <w:r w:rsidRPr="00AB11B2">
        <w:t>s</w:t>
      </w:r>
      <w:r>
        <w:t xml:space="preserve"> </w:t>
      </w:r>
      <w:r w:rsidRPr="00AB11B2">
        <w:t>§</w:t>
      </w:r>
      <w:r>
        <w:t xml:space="preserve"> </w:t>
      </w:r>
      <w:r w:rsidRPr="00AB11B2">
        <w:t>49l</w:t>
      </w:r>
      <w:r>
        <w:t xml:space="preserve"> </w:t>
      </w:r>
      <w:r w:rsidRPr="00AB11B2">
        <w:t>odst.</w:t>
      </w:r>
      <w:r>
        <w:t xml:space="preserve"> </w:t>
      </w:r>
      <w:r w:rsidRPr="00AB11B2">
        <w:t>2</w:t>
      </w:r>
      <w:r>
        <w:t xml:space="preserve"> </w:t>
      </w:r>
      <w:r w:rsidRPr="00AB11B2">
        <w:t>rozšíří</w:t>
      </w:r>
      <w:r>
        <w:t xml:space="preserve"> </w:t>
      </w:r>
      <w:r w:rsidRPr="00AB11B2">
        <w:t>oblast</w:t>
      </w:r>
      <w:r>
        <w:t xml:space="preserve"> </w:t>
      </w:r>
      <w:r w:rsidRPr="00AB11B2">
        <w:t>provozu</w:t>
      </w:r>
      <w:r>
        <w:t xml:space="preserve"> </w:t>
      </w:r>
      <w:r w:rsidRPr="00AB11B2">
        <w:t>drážního</w:t>
      </w:r>
      <w:r>
        <w:t xml:space="preserve"> </w:t>
      </w:r>
      <w:r w:rsidRPr="00AB11B2">
        <w:t>vozidla</w:t>
      </w:r>
      <w:r>
        <w:t xml:space="preserve"> </w:t>
      </w:r>
      <w:r w:rsidRPr="00AB11B2">
        <w:t>bez</w:t>
      </w:r>
      <w:r>
        <w:t xml:space="preserve"> </w:t>
      </w:r>
      <w:r w:rsidRPr="00AB11B2">
        <w:t>nového</w:t>
      </w:r>
      <w:r>
        <w:t xml:space="preserve"> </w:t>
      </w:r>
      <w:r w:rsidRPr="00AB11B2">
        <w:t>povolení,</w:t>
      </w:r>
      <w:r>
        <w:t xml:space="preserve"> </w:t>
      </w:r>
      <w:r w:rsidRPr="00AB11B2">
        <w:t>nebo</w:t>
      </w:r>
    </w:p>
    <w:p w14:paraId="606918E5" w14:textId="7C9FDFB4" w:rsidR="00B2710B" w:rsidRDefault="00B2710B" w:rsidP="00CE2C91">
      <w:pPr>
        <w:pStyle w:val="Textpsmene"/>
        <w:tabs>
          <w:tab w:val="num" w:pos="851"/>
        </w:tabs>
        <w:spacing w:before="0"/>
        <w:ind w:left="851" w:hanging="426"/>
      </w:pPr>
      <w:r w:rsidRPr="00AB11B2">
        <w:t>3.</w:t>
      </w:r>
      <w:r w:rsidR="00AB6605">
        <w:tab/>
      </w:r>
      <w:r w:rsidRPr="00AB11B2">
        <w:t>v</w:t>
      </w:r>
      <w:r>
        <w:t xml:space="preserve"> </w:t>
      </w:r>
      <w:r w:rsidRPr="00AB11B2">
        <w:t>rozporu</w:t>
      </w:r>
      <w:r>
        <w:t xml:space="preserve"> </w:t>
      </w:r>
      <w:r w:rsidRPr="00AB11B2">
        <w:t>s</w:t>
      </w:r>
      <w:r>
        <w:t xml:space="preserve"> </w:t>
      </w:r>
      <w:r w:rsidRPr="00AB11B2">
        <w:t>§</w:t>
      </w:r>
      <w:r>
        <w:t xml:space="preserve"> </w:t>
      </w:r>
      <w:r w:rsidRPr="00AB11B2">
        <w:t>49l</w:t>
      </w:r>
      <w:r>
        <w:t xml:space="preserve"> </w:t>
      </w:r>
      <w:r w:rsidRPr="00AB11B2">
        <w:t>odst.</w:t>
      </w:r>
      <w:r>
        <w:t xml:space="preserve"> </w:t>
      </w:r>
      <w:r w:rsidRPr="00AB11B2">
        <w:t>5</w:t>
      </w:r>
      <w:r>
        <w:t xml:space="preserve"> </w:t>
      </w:r>
      <w:r w:rsidRPr="00AB11B2">
        <w:t>neodevzdá</w:t>
      </w:r>
      <w:r>
        <w:t xml:space="preserve"> </w:t>
      </w:r>
      <w:r w:rsidRPr="00AB11B2">
        <w:t>původní</w:t>
      </w:r>
      <w:r>
        <w:t xml:space="preserve"> </w:t>
      </w:r>
      <w:r w:rsidRPr="00AB11B2">
        <w:t>povolení</w:t>
      </w:r>
      <w:r>
        <w:t xml:space="preserve"> </w:t>
      </w:r>
      <w:r w:rsidRPr="00AB11B2">
        <w:t>k</w:t>
      </w:r>
      <w:r>
        <w:t xml:space="preserve"> </w:t>
      </w:r>
      <w:r w:rsidRPr="00AB11B2">
        <w:t>uvedení</w:t>
      </w:r>
      <w:r>
        <w:t xml:space="preserve"> </w:t>
      </w:r>
      <w:r w:rsidRPr="00AB11B2">
        <w:t>drážního</w:t>
      </w:r>
      <w:r>
        <w:t xml:space="preserve"> </w:t>
      </w:r>
      <w:r w:rsidRPr="00AB11B2">
        <w:t>vozidla</w:t>
      </w:r>
      <w:r>
        <w:t xml:space="preserve"> </w:t>
      </w:r>
      <w:r w:rsidRPr="00AB11B2">
        <w:t>na</w:t>
      </w:r>
      <w:r>
        <w:t xml:space="preserve"> </w:t>
      </w:r>
      <w:r w:rsidRPr="00AB11B2">
        <w:t>trh</w:t>
      </w:r>
      <w:r>
        <w:t xml:space="preserve"> </w:t>
      </w:r>
      <w:r w:rsidRPr="00AB11B2">
        <w:t>drážnímu</w:t>
      </w:r>
      <w:r>
        <w:t xml:space="preserve"> </w:t>
      </w:r>
      <w:r w:rsidRPr="00AB11B2">
        <w:t>správnímu</w:t>
      </w:r>
      <w:r>
        <w:t xml:space="preserve"> </w:t>
      </w:r>
      <w:r w:rsidRPr="00AB11B2">
        <w:t>úřadu,</w:t>
      </w:r>
    </w:p>
    <w:p w14:paraId="3AECEA73" w14:textId="263E8500" w:rsidR="00B2710B" w:rsidRDefault="00B2710B" w:rsidP="00812ECA">
      <w:pPr>
        <w:pStyle w:val="Textparagrafu"/>
        <w:tabs>
          <w:tab w:val="left" w:pos="406"/>
          <w:tab w:val="left" w:pos="826"/>
        </w:tabs>
        <w:spacing w:before="0"/>
        <w:ind w:left="426" w:hanging="426"/>
      </w:pPr>
      <w:r w:rsidRPr="00AB11B2">
        <w:t>v)</w:t>
      </w:r>
      <w:r w:rsidR="00360319">
        <w:tab/>
      </w:r>
      <w:r w:rsidRPr="00AB11B2">
        <w:t>v</w:t>
      </w:r>
      <w:r>
        <w:t xml:space="preserve"> </w:t>
      </w:r>
      <w:r w:rsidRPr="00AB11B2">
        <w:t>rozporu</w:t>
      </w:r>
      <w:r>
        <w:t xml:space="preserve"> </w:t>
      </w:r>
      <w:r w:rsidRPr="00AB11B2">
        <w:t>se</w:t>
      </w:r>
      <w:r>
        <w:t xml:space="preserve"> </w:t>
      </w:r>
      <w:r w:rsidRPr="00AB11B2">
        <w:t>zákazem</w:t>
      </w:r>
      <w:r>
        <w:t xml:space="preserve"> </w:t>
      </w:r>
      <w:r w:rsidRPr="00AB11B2">
        <w:t>podle</w:t>
      </w:r>
      <w:r>
        <w:t xml:space="preserve"> </w:t>
      </w:r>
      <w:r w:rsidRPr="00AB11B2">
        <w:t>§</w:t>
      </w:r>
      <w:r>
        <w:t xml:space="preserve"> </w:t>
      </w:r>
      <w:r w:rsidRPr="00AB11B2">
        <w:t>49m</w:t>
      </w:r>
      <w:r>
        <w:t xml:space="preserve"> </w:t>
      </w:r>
      <w:r w:rsidRPr="00AB11B2">
        <w:t>odst.</w:t>
      </w:r>
      <w:r>
        <w:t xml:space="preserve"> </w:t>
      </w:r>
      <w:r w:rsidRPr="00AB11B2">
        <w:t>3</w:t>
      </w:r>
      <w:r>
        <w:t xml:space="preserve"> </w:t>
      </w:r>
      <w:r w:rsidRPr="00AB11B2">
        <w:t>písm.</w:t>
      </w:r>
      <w:r>
        <w:t xml:space="preserve"> </w:t>
      </w:r>
      <w:r w:rsidRPr="00AB11B2">
        <w:t>b)</w:t>
      </w:r>
      <w:r>
        <w:t xml:space="preserve"> </w:t>
      </w:r>
      <w:r w:rsidRPr="00AB11B2">
        <w:t>uvede</w:t>
      </w:r>
      <w:r>
        <w:t xml:space="preserve"> </w:t>
      </w:r>
      <w:r w:rsidRPr="00AB11B2">
        <w:t>na</w:t>
      </w:r>
      <w:r>
        <w:t xml:space="preserve"> </w:t>
      </w:r>
      <w:r w:rsidRPr="00AB11B2">
        <w:t>trh</w:t>
      </w:r>
      <w:r>
        <w:t xml:space="preserve"> </w:t>
      </w:r>
      <w:r w:rsidRPr="00AB11B2">
        <w:t>drážní</w:t>
      </w:r>
      <w:r>
        <w:t xml:space="preserve"> </w:t>
      </w:r>
      <w:r w:rsidRPr="00AB11B2">
        <w:t>vozidlo</w:t>
      </w:r>
      <w:r>
        <w:t xml:space="preserve"> </w:t>
      </w:r>
      <w:r w:rsidRPr="00AB11B2">
        <w:t>určené</w:t>
      </w:r>
      <w:r>
        <w:t xml:space="preserve"> </w:t>
      </w:r>
      <w:r w:rsidRPr="00AB11B2">
        <w:t>pro</w:t>
      </w:r>
      <w:r>
        <w:t xml:space="preserve"> </w:t>
      </w:r>
      <w:r w:rsidRPr="00AB11B2">
        <w:t>provozování</w:t>
      </w:r>
      <w:r>
        <w:t xml:space="preserve"> </w:t>
      </w:r>
      <w:r w:rsidRPr="00AB11B2">
        <w:t>na</w:t>
      </w:r>
      <w:r>
        <w:t xml:space="preserve"> </w:t>
      </w:r>
      <w:r w:rsidRPr="00AB11B2">
        <w:t>dráze</w:t>
      </w:r>
      <w:r>
        <w:t xml:space="preserve"> </w:t>
      </w:r>
      <w:r w:rsidRPr="00AB11B2">
        <w:t>celostátní</w:t>
      </w:r>
      <w:r>
        <w:t xml:space="preserve"> </w:t>
      </w:r>
      <w:r w:rsidRPr="00AB11B2">
        <w:t>nebo</w:t>
      </w:r>
      <w:r>
        <w:t xml:space="preserve"> </w:t>
      </w:r>
      <w:r w:rsidRPr="00AB11B2">
        <w:t>regionální,</w:t>
      </w:r>
    </w:p>
    <w:p w14:paraId="2DEB0EC7" w14:textId="4F51687F" w:rsidR="00B2710B" w:rsidRPr="00AB11B2" w:rsidRDefault="00B2710B" w:rsidP="00812ECA">
      <w:pPr>
        <w:pStyle w:val="Textparagrafu"/>
        <w:tabs>
          <w:tab w:val="left" w:pos="406"/>
          <w:tab w:val="left" w:pos="826"/>
        </w:tabs>
        <w:spacing w:before="0"/>
        <w:ind w:left="426" w:hanging="426"/>
      </w:pPr>
      <w:r w:rsidRPr="00AB11B2">
        <w:t>w)</w:t>
      </w:r>
      <w:r w:rsidR="00360319">
        <w:tab/>
      </w:r>
      <w:r w:rsidRPr="00AB11B2">
        <w:t>jako</w:t>
      </w:r>
      <w:r>
        <w:t xml:space="preserve"> </w:t>
      </w:r>
      <w:r w:rsidRPr="00AB11B2">
        <w:t>zadavatel,</w:t>
      </w:r>
      <w:r>
        <w:t xml:space="preserve"> </w:t>
      </w:r>
      <w:r w:rsidRPr="00AB11B2">
        <w:t>výrobce</w:t>
      </w:r>
      <w:r>
        <w:t xml:space="preserve"> </w:t>
      </w:r>
      <w:r w:rsidRPr="00AB11B2">
        <w:t>nebo</w:t>
      </w:r>
      <w:r>
        <w:t xml:space="preserve"> </w:t>
      </w:r>
      <w:r w:rsidRPr="00AB11B2">
        <w:t>jejich</w:t>
      </w:r>
      <w:r>
        <w:t xml:space="preserve"> </w:t>
      </w:r>
      <w:r w:rsidRPr="00AB11B2">
        <w:t>zplnomocněný</w:t>
      </w:r>
      <w:r>
        <w:t xml:space="preserve"> </w:t>
      </w:r>
      <w:r w:rsidRPr="00AB11B2">
        <w:t>zástupce</w:t>
      </w:r>
    </w:p>
    <w:p w14:paraId="2DA2A955" w14:textId="6088DBFF" w:rsidR="00B2710B" w:rsidRPr="00AB11B2" w:rsidRDefault="00B2710B" w:rsidP="00CE2C91">
      <w:pPr>
        <w:pStyle w:val="Textpsmene"/>
        <w:tabs>
          <w:tab w:val="num" w:pos="851"/>
        </w:tabs>
        <w:spacing w:before="0"/>
        <w:ind w:left="851" w:hanging="426"/>
      </w:pPr>
      <w:r w:rsidRPr="00AB11B2">
        <w:t>1.</w:t>
      </w:r>
      <w:r w:rsidR="00AB6605">
        <w:tab/>
      </w:r>
      <w:r w:rsidRPr="00AB11B2">
        <w:t>vypracuje</w:t>
      </w:r>
      <w:r>
        <w:t xml:space="preserve"> </w:t>
      </w:r>
      <w:r w:rsidRPr="00AB11B2">
        <w:t>k</w:t>
      </w:r>
      <w:r>
        <w:t xml:space="preserve"> </w:t>
      </w:r>
      <w:r w:rsidRPr="00AB11B2">
        <w:t>subsystému</w:t>
      </w:r>
      <w:r>
        <w:t xml:space="preserve"> </w:t>
      </w:r>
      <w:r w:rsidRPr="00AB11B2">
        <w:t>ES</w:t>
      </w:r>
      <w:r>
        <w:t xml:space="preserve"> </w:t>
      </w:r>
      <w:r w:rsidRPr="00AB11B2">
        <w:t>prohlášení</w:t>
      </w:r>
      <w:r>
        <w:t xml:space="preserve"> </w:t>
      </w:r>
      <w:r w:rsidRPr="00AB11B2">
        <w:t>o</w:t>
      </w:r>
      <w:r>
        <w:t xml:space="preserve"> </w:t>
      </w:r>
      <w:r w:rsidRPr="00AB11B2">
        <w:t>ověření</w:t>
      </w:r>
      <w:r>
        <w:t xml:space="preserve"> </w:t>
      </w:r>
      <w:r w:rsidRPr="00AB11B2">
        <w:t>v</w:t>
      </w:r>
      <w:r>
        <w:t xml:space="preserve"> </w:t>
      </w:r>
      <w:r w:rsidRPr="00AB11B2">
        <w:t>rozporu</w:t>
      </w:r>
      <w:r>
        <w:t xml:space="preserve"> </w:t>
      </w:r>
      <w:r w:rsidRPr="00AB11B2">
        <w:t>s</w:t>
      </w:r>
      <w:r>
        <w:t xml:space="preserve"> </w:t>
      </w:r>
      <w:r w:rsidRPr="00AB11B2">
        <w:t>§</w:t>
      </w:r>
      <w:r>
        <w:t xml:space="preserve"> </w:t>
      </w:r>
      <w:r w:rsidRPr="00AB11B2">
        <w:t>49o</w:t>
      </w:r>
      <w:r>
        <w:t xml:space="preserve"> </w:t>
      </w:r>
      <w:r w:rsidRPr="00AB11B2">
        <w:t>odst.</w:t>
      </w:r>
      <w:r>
        <w:t xml:space="preserve"> </w:t>
      </w:r>
      <w:r w:rsidRPr="00AB11B2">
        <w:t>1</w:t>
      </w:r>
      <w:r>
        <w:t xml:space="preserve"> </w:t>
      </w:r>
      <w:r w:rsidRPr="00AB11B2">
        <w:t>nebo</w:t>
      </w:r>
      <w:r>
        <w:t xml:space="preserve"> </w:t>
      </w:r>
      <w:r w:rsidRPr="00AB11B2">
        <w:t>7,</w:t>
      </w:r>
    </w:p>
    <w:p w14:paraId="5446EED4" w14:textId="02B3871E" w:rsidR="00B2710B" w:rsidRPr="00AB11B2" w:rsidRDefault="00B2710B" w:rsidP="00CE2C91">
      <w:pPr>
        <w:pStyle w:val="Textpsmene"/>
        <w:tabs>
          <w:tab w:val="num" w:pos="851"/>
        </w:tabs>
        <w:spacing w:before="0"/>
        <w:ind w:left="851" w:hanging="426"/>
      </w:pPr>
      <w:r w:rsidRPr="00AB11B2">
        <w:t>2.</w:t>
      </w:r>
      <w:r w:rsidR="00AB6605">
        <w:tab/>
      </w:r>
      <w:r w:rsidRPr="00AB11B2">
        <w:t>nesdělí</w:t>
      </w:r>
      <w:r>
        <w:t xml:space="preserve"> </w:t>
      </w:r>
      <w:r w:rsidRPr="00AB11B2">
        <w:t>drážnímu</w:t>
      </w:r>
      <w:r>
        <w:t xml:space="preserve"> </w:t>
      </w:r>
      <w:r w:rsidRPr="00AB11B2">
        <w:t>správnímu</w:t>
      </w:r>
      <w:r>
        <w:t xml:space="preserve"> </w:t>
      </w:r>
      <w:r w:rsidRPr="00AB11B2">
        <w:t>úřadu</w:t>
      </w:r>
      <w:r>
        <w:t xml:space="preserve"> </w:t>
      </w:r>
      <w:r w:rsidRPr="00AB11B2">
        <w:t>seznam</w:t>
      </w:r>
      <w:r>
        <w:t xml:space="preserve"> </w:t>
      </w:r>
      <w:r w:rsidRPr="00AB11B2">
        <w:t>dotčených</w:t>
      </w:r>
      <w:r>
        <w:t xml:space="preserve"> </w:t>
      </w:r>
      <w:r w:rsidRPr="00AB11B2">
        <w:t>záměrů</w:t>
      </w:r>
      <w:r>
        <w:t xml:space="preserve"> </w:t>
      </w:r>
      <w:r w:rsidRPr="00AB11B2">
        <w:t>podle</w:t>
      </w:r>
      <w:r>
        <w:t xml:space="preserve"> </w:t>
      </w:r>
      <w:r w:rsidRPr="00AB11B2">
        <w:t>§</w:t>
      </w:r>
      <w:r>
        <w:t xml:space="preserve"> </w:t>
      </w:r>
      <w:r w:rsidRPr="00AB11B2">
        <w:t>49o</w:t>
      </w:r>
      <w:r>
        <w:t xml:space="preserve"> </w:t>
      </w:r>
      <w:r w:rsidRPr="00AB11B2">
        <w:t>odst.</w:t>
      </w:r>
      <w:r>
        <w:t xml:space="preserve"> </w:t>
      </w:r>
      <w:r w:rsidRPr="00AB11B2">
        <w:t>4,</w:t>
      </w:r>
    </w:p>
    <w:p w14:paraId="404529C3" w14:textId="6064A011" w:rsidR="00B2710B" w:rsidRPr="00AB11B2" w:rsidRDefault="00B2710B" w:rsidP="00CE2C91">
      <w:pPr>
        <w:pStyle w:val="Textpsmene"/>
        <w:tabs>
          <w:tab w:val="num" w:pos="851"/>
        </w:tabs>
        <w:spacing w:before="0"/>
        <w:ind w:left="851" w:hanging="426"/>
      </w:pPr>
      <w:r w:rsidRPr="00AB11B2">
        <w:t>3.</w:t>
      </w:r>
      <w:r w:rsidR="00AB6605">
        <w:tab/>
      </w:r>
      <w:r w:rsidRPr="00AB11B2">
        <w:t>v</w:t>
      </w:r>
      <w:r>
        <w:t xml:space="preserve"> </w:t>
      </w:r>
      <w:r w:rsidRPr="00AB11B2">
        <w:t>rozporu</w:t>
      </w:r>
      <w:r>
        <w:t xml:space="preserve"> </w:t>
      </w:r>
      <w:r w:rsidRPr="00AB11B2">
        <w:t>s</w:t>
      </w:r>
      <w:r>
        <w:t xml:space="preserve"> </w:t>
      </w:r>
      <w:r w:rsidRPr="00AB11B2">
        <w:t>§</w:t>
      </w:r>
      <w:r>
        <w:t xml:space="preserve"> </w:t>
      </w:r>
      <w:r w:rsidRPr="00AB11B2">
        <w:t>49o</w:t>
      </w:r>
      <w:r>
        <w:t xml:space="preserve"> </w:t>
      </w:r>
      <w:r w:rsidRPr="00AB11B2">
        <w:t>odst.</w:t>
      </w:r>
      <w:r>
        <w:t xml:space="preserve"> </w:t>
      </w:r>
      <w:r w:rsidRPr="00AB11B2">
        <w:t>7</w:t>
      </w:r>
      <w:r>
        <w:t xml:space="preserve"> </w:t>
      </w:r>
      <w:r w:rsidRPr="00AB11B2">
        <w:t>nevypracuje</w:t>
      </w:r>
      <w:r>
        <w:t xml:space="preserve"> </w:t>
      </w:r>
      <w:r w:rsidRPr="00AB11B2">
        <w:t>ES</w:t>
      </w:r>
      <w:r>
        <w:t xml:space="preserve"> </w:t>
      </w:r>
      <w:r w:rsidRPr="00AB11B2">
        <w:t>prohlášení</w:t>
      </w:r>
      <w:r>
        <w:t xml:space="preserve"> </w:t>
      </w:r>
      <w:r w:rsidRPr="00AB11B2">
        <w:t>o</w:t>
      </w:r>
      <w:r>
        <w:t xml:space="preserve"> </w:t>
      </w:r>
      <w:r w:rsidRPr="00AB11B2">
        <w:t>ověření</w:t>
      </w:r>
      <w:r>
        <w:t xml:space="preserve"> </w:t>
      </w:r>
      <w:r w:rsidRPr="00AB11B2">
        <w:t>nebo</w:t>
      </w:r>
      <w:r>
        <w:t xml:space="preserve"> </w:t>
      </w:r>
      <w:r w:rsidRPr="00AB11B2">
        <w:t>k</w:t>
      </w:r>
      <w:r>
        <w:t xml:space="preserve"> </w:t>
      </w:r>
      <w:r w:rsidRPr="00AB11B2">
        <w:t>němu</w:t>
      </w:r>
      <w:r>
        <w:t xml:space="preserve"> </w:t>
      </w:r>
      <w:r w:rsidRPr="00AB11B2">
        <w:t>nepřipojí</w:t>
      </w:r>
      <w:r>
        <w:t xml:space="preserve"> </w:t>
      </w:r>
      <w:r w:rsidRPr="00AB11B2">
        <w:t>technickou</w:t>
      </w:r>
      <w:r>
        <w:t xml:space="preserve"> </w:t>
      </w:r>
      <w:r w:rsidRPr="00AB11B2">
        <w:t>dokumentaci</w:t>
      </w:r>
      <w:r>
        <w:t xml:space="preserve"> </w:t>
      </w:r>
      <w:r w:rsidRPr="00AB11B2">
        <w:t>ve</w:t>
      </w:r>
      <w:r>
        <w:t xml:space="preserve"> </w:t>
      </w:r>
      <w:r w:rsidRPr="00AB11B2">
        <w:t>stanoveném</w:t>
      </w:r>
      <w:r>
        <w:t xml:space="preserve"> </w:t>
      </w:r>
      <w:r w:rsidRPr="00AB11B2">
        <w:t>jazyce,</w:t>
      </w:r>
      <w:r>
        <w:t xml:space="preserve"> </w:t>
      </w:r>
      <w:r w:rsidRPr="00AB11B2">
        <w:t>neuchová</w:t>
      </w:r>
      <w:r>
        <w:t xml:space="preserve"> </w:t>
      </w:r>
      <w:r w:rsidRPr="00AB11B2">
        <w:t>technickou</w:t>
      </w:r>
      <w:r>
        <w:t xml:space="preserve"> </w:t>
      </w:r>
      <w:r w:rsidRPr="00AB11B2">
        <w:t>dokumentaci</w:t>
      </w:r>
      <w:r>
        <w:t xml:space="preserve"> </w:t>
      </w:r>
      <w:r w:rsidRPr="00AB11B2">
        <w:t>připojenou</w:t>
      </w:r>
      <w:r>
        <w:t xml:space="preserve"> </w:t>
      </w:r>
      <w:r w:rsidRPr="00AB11B2">
        <w:t>k</w:t>
      </w:r>
      <w:r>
        <w:t xml:space="preserve"> </w:t>
      </w:r>
      <w:r w:rsidRPr="00AB11B2">
        <w:t>ES</w:t>
      </w:r>
      <w:r>
        <w:t xml:space="preserve"> </w:t>
      </w:r>
      <w:r w:rsidRPr="00AB11B2">
        <w:t>prohlášení</w:t>
      </w:r>
      <w:r>
        <w:t xml:space="preserve"> </w:t>
      </w:r>
      <w:r w:rsidRPr="00AB11B2">
        <w:t>o</w:t>
      </w:r>
      <w:r>
        <w:t xml:space="preserve"> </w:t>
      </w:r>
      <w:r w:rsidRPr="00AB11B2">
        <w:t>ověření</w:t>
      </w:r>
      <w:r>
        <w:t xml:space="preserve"> </w:t>
      </w:r>
      <w:r w:rsidRPr="00AB11B2">
        <w:t>nebo</w:t>
      </w:r>
      <w:r>
        <w:t xml:space="preserve"> </w:t>
      </w:r>
      <w:r w:rsidRPr="00AB11B2">
        <w:t>ji</w:t>
      </w:r>
      <w:r>
        <w:t xml:space="preserve"> </w:t>
      </w:r>
      <w:r w:rsidRPr="00AB11B2">
        <w:t>nezašle</w:t>
      </w:r>
      <w:r>
        <w:t xml:space="preserve"> </w:t>
      </w:r>
      <w:r w:rsidRPr="00AB11B2">
        <w:t>orgánu</w:t>
      </w:r>
      <w:r>
        <w:t xml:space="preserve"> </w:t>
      </w:r>
      <w:r w:rsidRPr="00AB11B2">
        <w:t>jiného</w:t>
      </w:r>
      <w:r>
        <w:t xml:space="preserve"> </w:t>
      </w:r>
      <w:r w:rsidRPr="00AB11B2">
        <w:t>členského</w:t>
      </w:r>
      <w:r>
        <w:t xml:space="preserve"> </w:t>
      </w:r>
      <w:r w:rsidRPr="00AB11B2">
        <w:t>státu</w:t>
      </w:r>
      <w:r>
        <w:t xml:space="preserve"> </w:t>
      </w:r>
      <w:r w:rsidRPr="00AB11B2">
        <w:t>nebo</w:t>
      </w:r>
      <w:r>
        <w:t xml:space="preserve"> </w:t>
      </w:r>
      <w:r w:rsidRPr="00AB11B2">
        <w:t>Agentuře</w:t>
      </w:r>
      <w:r>
        <w:t xml:space="preserve"> </w:t>
      </w:r>
      <w:r w:rsidRPr="00AB11B2">
        <w:t>Evropské</w:t>
      </w:r>
      <w:r>
        <w:t xml:space="preserve"> </w:t>
      </w:r>
      <w:r w:rsidRPr="00AB11B2">
        <w:t>unie</w:t>
      </w:r>
      <w:r>
        <w:t xml:space="preserve"> </w:t>
      </w:r>
      <w:r w:rsidRPr="00AB11B2">
        <w:t>pro</w:t>
      </w:r>
      <w:r>
        <w:t xml:space="preserve"> </w:t>
      </w:r>
      <w:r w:rsidRPr="00AB11B2">
        <w:t>železnice,</w:t>
      </w:r>
    </w:p>
    <w:p w14:paraId="385FE326" w14:textId="342C2259" w:rsidR="00B2710B" w:rsidRPr="00AB11B2" w:rsidRDefault="00B2710B" w:rsidP="00CE2C91">
      <w:pPr>
        <w:pStyle w:val="Textpsmene"/>
        <w:tabs>
          <w:tab w:val="num" w:pos="851"/>
        </w:tabs>
        <w:spacing w:before="0"/>
        <w:ind w:left="851" w:hanging="426"/>
      </w:pPr>
      <w:r w:rsidRPr="00AB11B2">
        <w:lastRenderedPageBreak/>
        <w:t>4.</w:t>
      </w:r>
      <w:r w:rsidR="00AB6605">
        <w:tab/>
      </w:r>
      <w:r w:rsidRPr="00AB11B2">
        <w:t>v</w:t>
      </w:r>
      <w:r>
        <w:t xml:space="preserve"> </w:t>
      </w:r>
      <w:r w:rsidRPr="00AB11B2">
        <w:t>rozporu</w:t>
      </w:r>
      <w:r>
        <w:t xml:space="preserve"> </w:t>
      </w:r>
      <w:r w:rsidRPr="00AB11B2">
        <w:t>s</w:t>
      </w:r>
      <w:r>
        <w:t xml:space="preserve"> </w:t>
      </w:r>
      <w:r w:rsidRPr="00AB11B2">
        <w:t>§</w:t>
      </w:r>
      <w:r>
        <w:t xml:space="preserve"> </w:t>
      </w:r>
      <w:r w:rsidRPr="00AB11B2">
        <w:t>49o</w:t>
      </w:r>
      <w:r>
        <w:t xml:space="preserve"> </w:t>
      </w:r>
      <w:r w:rsidRPr="00AB11B2">
        <w:t>odst.</w:t>
      </w:r>
      <w:r>
        <w:t xml:space="preserve"> </w:t>
      </w:r>
      <w:r w:rsidRPr="00AB11B2">
        <w:t>8</w:t>
      </w:r>
      <w:r>
        <w:t xml:space="preserve"> </w:t>
      </w:r>
      <w:r w:rsidRPr="00AB11B2">
        <w:t>nevypracuje</w:t>
      </w:r>
      <w:r>
        <w:t xml:space="preserve"> </w:t>
      </w:r>
      <w:r w:rsidRPr="00AB11B2">
        <w:t>nové</w:t>
      </w:r>
      <w:r>
        <w:t xml:space="preserve"> </w:t>
      </w:r>
      <w:r w:rsidRPr="00AB11B2">
        <w:t>nebo</w:t>
      </w:r>
      <w:r>
        <w:t xml:space="preserve"> </w:t>
      </w:r>
      <w:r w:rsidRPr="00AB11B2">
        <w:t>nezmění</w:t>
      </w:r>
      <w:r>
        <w:t xml:space="preserve"> </w:t>
      </w:r>
      <w:r w:rsidRPr="00AB11B2">
        <w:t>již</w:t>
      </w:r>
      <w:r>
        <w:t xml:space="preserve"> </w:t>
      </w:r>
      <w:r w:rsidRPr="00AB11B2">
        <w:t>vypracované</w:t>
      </w:r>
      <w:r>
        <w:t xml:space="preserve"> </w:t>
      </w:r>
      <w:r w:rsidRPr="00AB11B2">
        <w:t>ES</w:t>
      </w:r>
      <w:r>
        <w:t xml:space="preserve"> </w:t>
      </w:r>
      <w:r w:rsidRPr="00AB11B2">
        <w:t>prohlášení</w:t>
      </w:r>
      <w:r>
        <w:t xml:space="preserve"> </w:t>
      </w:r>
      <w:r w:rsidRPr="00AB11B2">
        <w:t>o</w:t>
      </w:r>
      <w:r>
        <w:t xml:space="preserve"> </w:t>
      </w:r>
      <w:r w:rsidRPr="00AB11B2">
        <w:t>ověření</w:t>
      </w:r>
      <w:r>
        <w:t xml:space="preserve"> </w:t>
      </w:r>
      <w:r w:rsidRPr="00AB11B2">
        <w:t>v</w:t>
      </w:r>
      <w:r>
        <w:t xml:space="preserve"> </w:t>
      </w:r>
      <w:r w:rsidRPr="00AB11B2">
        <w:t>případě</w:t>
      </w:r>
      <w:r>
        <w:t xml:space="preserve"> </w:t>
      </w:r>
      <w:r w:rsidRPr="00AB11B2">
        <w:t>obnovy</w:t>
      </w:r>
      <w:r>
        <w:t xml:space="preserve"> </w:t>
      </w:r>
      <w:r w:rsidRPr="00AB11B2">
        <w:t>nebo</w:t>
      </w:r>
      <w:r>
        <w:t xml:space="preserve"> </w:t>
      </w:r>
      <w:r w:rsidRPr="00AB11B2">
        <w:t>modernizace</w:t>
      </w:r>
      <w:r>
        <w:t xml:space="preserve"> </w:t>
      </w:r>
      <w:r w:rsidRPr="00AB11B2">
        <w:t>subsystému,</w:t>
      </w:r>
    </w:p>
    <w:p w14:paraId="519A0351" w14:textId="40D94742" w:rsidR="00B2710B" w:rsidRPr="00AB11B2" w:rsidRDefault="00B2710B" w:rsidP="00CE2C91">
      <w:pPr>
        <w:pStyle w:val="Textpsmene"/>
        <w:tabs>
          <w:tab w:val="num" w:pos="851"/>
        </w:tabs>
        <w:spacing w:before="0"/>
        <w:ind w:left="851" w:hanging="426"/>
      </w:pPr>
      <w:r w:rsidRPr="00AB11B2">
        <w:t>5.</w:t>
      </w:r>
      <w:r w:rsidR="00AB6605">
        <w:tab/>
      </w:r>
      <w:r w:rsidRPr="00AB11B2">
        <w:t>v</w:t>
      </w:r>
      <w:r>
        <w:t xml:space="preserve"> </w:t>
      </w:r>
      <w:r w:rsidRPr="00AB11B2">
        <w:t>rozporu</w:t>
      </w:r>
      <w:r>
        <w:t xml:space="preserve"> </w:t>
      </w:r>
      <w:r w:rsidRPr="00AB11B2">
        <w:t>s</w:t>
      </w:r>
      <w:r>
        <w:t xml:space="preserve"> </w:t>
      </w:r>
      <w:r w:rsidRPr="00AB11B2">
        <w:t>§</w:t>
      </w:r>
      <w:r>
        <w:t xml:space="preserve"> </w:t>
      </w:r>
      <w:r w:rsidRPr="00AB11B2">
        <w:t>49p</w:t>
      </w:r>
      <w:r>
        <w:t xml:space="preserve"> </w:t>
      </w:r>
      <w:r w:rsidRPr="00AB11B2">
        <w:t>odst.</w:t>
      </w:r>
      <w:r>
        <w:t xml:space="preserve"> </w:t>
      </w:r>
      <w:r w:rsidRPr="00AB11B2">
        <w:t>6</w:t>
      </w:r>
      <w:r>
        <w:t xml:space="preserve"> </w:t>
      </w:r>
      <w:r w:rsidRPr="00AB11B2">
        <w:t>nezajistí</w:t>
      </w:r>
      <w:r>
        <w:t xml:space="preserve"> </w:t>
      </w:r>
      <w:r w:rsidRPr="00AB11B2">
        <w:t>provedení</w:t>
      </w:r>
      <w:r>
        <w:t xml:space="preserve"> </w:t>
      </w:r>
      <w:r w:rsidRPr="00AB11B2">
        <w:t>ES</w:t>
      </w:r>
      <w:r>
        <w:t xml:space="preserve"> </w:t>
      </w:r>
      <w:r w:rsidRPr="00AB11B2">
        <w:t>ověření</w:t>
      </w:r>
      <w:r>
        <w:t xml:space="preserve"> </w:t>
      </w:r>
      <w:r w:rsidRPr="00AB11B2">
        <w:t>v</w:t>
      </w:r>
      <w:r>
        <w:t xml:space="preserve"> </w:t>
      </w:r>
      <w:r w:rsidRPr="00AB11B2">
        <w:t>případě</w:t>
      </w:r>
      <w:r>
        <w:t xml:space="preserve"> </w:t>
      </w:r>
      <w:r w:rsidRPr="00AB11B2">
        <w:t>obnovy</w:t>
      </w:r>
      <w:r>
        <w:t xml:space="preserve"> </w:t>
      </w:r>
      <w:r w:rsidRPr="00AB11B2">
        <w:t>nebo</w:t>
      </w:r>
      <w:r>
        <w:t xml:space="preserve"> </w:t>
      </w:r>
      <w:r w:rsidRPr="00AB11B2">
        <w:t>modernizace</w:t>
      </w:r>
      <w:r>
        <w:t xml:space="preserve"> </w:t>
      </w:r>
      <w:r w:rsidRPr="00AB11B2">
        <w:t>subsystému,</w:t>
      </w:r>
      <w:r>
        <w:t xml:space="preserve"> </w:t>
      </w:r>
      <w:r w:rsidRPr="00AB11B2">
        <w:t>nebo</w:t>
      </w:r>
    </w:p>
    <w:p w14:paraId="1C7E2474" w14:textId="131FF02E" w:rsidR="00B2710B" w:rsidRDefault="00B2710B" w:rsidP="00CE2C91">
      <w:pPr>
        <w:pStyle w:val="Textpsmene"/>
        <w:tabs>
          <w:tab w:val="num" w:pos="851"/>
        </w:tabs>
        <w:spacing w:before="0"/>
        <w:ind w:left="851" w:hanging="426"/>
      </w:pPr>
      <w:r w:rsidRPr="00AB11B2">
        <w:t>6.</w:t>
      </w:r>
      <w:r w:rsidR="00AB6605">
        <w:tab/>
      </w:r>
      <w:r w:rsidRPr="00AB11B2">
        <w:t>v</w:t>
      </w:r>
      <w:r>
        <w:t xml:space="preserve"> </w:t>
      </w:r>
      <w:r w:rsidRPr="00AB11B2">
        <w:t>rozporu</w:t>
      </w:r>
      <w:r>
        <w:t xml:space="preserve"> </w:t>
      </w:r>
      <w:r w:rsidRPr="00AB11B2">
        <w:t>s</w:t>
      </w:r>
      <w:r>
        <w:t xml:space="preserve"> </w:t>
      </w:r>
      <w:r w:rsidRPr="00AB11B2">
        <w:t>§</w:t>
      </w:r>
      <w:r>
        <w:t xml:space="preserve"> </w:t>
      </w:r>
      <w:r w:rsidRPr="00AB11B2">
        <w:t>49q</w:t>
      </w:r>
      <w:r>
        <w:t xml:space="preserve"> </w:t>
      </w:r>
      <w:r w:rsidRPr="00AB11B2">
        <w:t>odst.</w:t>
      </w:r>
      <w:r>
        <w:t xml:space="preserve"> </w:t>
      </w:r>
      <w:r w:rsidRPr="00AB11B2">
        <w:t>1</w:t>
      </w:r>
      <w:r>
        <w:t xml:space="preserve"> </w:t>
      </w:r>
      <w:r w:rsidRPr="00AB11B2">
        <w:t>neprovede</w:t>
      </w:r>
      <w:r>
        <w:t xml:space="preserve"> </w:t>
      </w:r>
      <w:r w:rsidRPr="00AB11B2">
        <w:t>dodatečné</w:t>
      </w:r>
      <w:r>
        <w:t xml:space="preserve"> </w:t>
      </w:r>
      <w:r w:rsidRPr="00AB11B2">
        <w:t>posouzení</w:t>
      </w:r>
      <w:r>
        <w:t xml:space="preserve"> </w:t>
      </w:r>
      <w:r w:rsidRPr="00AB11B2">
        <w:t>nebo</w:t>
      </w:r>
      <w:r>
        <w:t xml:space="preserve"> </w:t>
      </w:r>
      <w:r w:rsidRPr="00AB11B2">
        <w:t>o</w:t>
      </w:r>
      <w:r>
        <w:t xml:space="preserve"> </w:t>
      </w:r>
      <w:r w:rsidRPr="00AB11B2">
        <w:t>jeho</w:t>
      </w:r>
      <w:r>
        <w:t xml:space="preserve"> </w:t>
      </w:r>
      <w:r w:rsidRPr="00AB11B2">
        <w:t>výsledcích</w:t>
      </w:r>
      <w:r>
        <w:t xml:space="preserve"> </w:t>
      </w:r>
      <w:r w:rsidRPr="00AB11B2">
        <w:t>neinformuje</w:t>
      </w:r>
      <w:r>
        <w:t xml:space="preserve"> </w:t>
      </w:r>
      <w:r w:rsidRPr="00AB11B2">
        <w:t>drážní</w:t>
      </w:r>
      <w:r>
        <w:t xml:space="preserve"> </w:t>
      </w:r>
      <w:r w:rsidRPr="00AB11B2">
        <w:t>správní</w:t>
      </w:r>
      <w:r>
        <w:t xml:space="preserve"> </w:t>
      </w:r>
      <w:r w:rsidRPr="00AB11B2">
        <w:t>úřad,</w:t>
      </w:r>
    </w:p>
    <w:p w14:paraId="2E492A71" w14:textId="1C66987E" w:rsidR="00B2710B" w:rsidRPr="00AB11B2" w:rsidRDefault="00B2710B" w:rsidP="00812ECA">
      <w:pPr>
        <w:pStyle w:val="Textparagrafu"/>
        <w:tabs>
          <w:tab w:val="left" w:pos="406"/>
          <w:tab w:val="left" w:pos="826"/>
        </w:tabs>
        <w:spacing w:before="0"/>
        <w:ind w:left="426" w:hanging="426"/>
      </w:pPr>
      <w:r w:rsidRPr="00AB11B2">
        <w:t>x)</w:t>
      </w:r>
      <w:r w:rsidR="00360319">
        <w:tab/>
      </w:r>
      <w:r w:rsidRPr="00AB11B2">
        <w:t>jako</w:t>
      </w:r>
      <w:r>
        <w:t xml:space="preserve"> </w:t>
      </w:r>
      <w:r w:rsidRPr="00AB11B2">
        <w:t>oznámený</w:t>
      </w:r>
      <w:r>
        <w:t xml:space="preserve"> </w:t>
      </w:r>
      <w:r w:rsidRPr="00AB11B2">
        <w:t>subjekt</w:t>
      </w:r>
    </w:p>
    <w:p w14:paraId="47EE02A6" w14:textId="7B299E4B" w:rsidR="00B2710B" w:rsidRPr="00AB11B2" w:rsidRDefault="00B2710B" w:rsidP="00CE2C91">
      <w:pPr>
        <w:pStyle w:val="Textpsmene"/>
        <w:tabs>
          <w:tab w:val="num" w:pos="851"/>
        </w:tabs>
        <w:spacing w:before="0"/>
        <w:ind w:left="851" w:hanging="426"/>
      </w:pPr>
      <w:r w:rsidRPr="00AB11B2">
        <w:t>1.</w:t>
      </w:r>
      <w:r w:rsidR="00AB6605">
        <w:tab/>
      </w:r>
      <w:r w:rsidRPr="00AB11B2">
        <w:t>vydá</w:t>
      </w:r>
      <w:r>
        <w:t xml:space="preserve"> </w:t>
      </w:r>
      <w:r w:rsidRPr="00AB11B2">
        <w:t>ES</w:t>
      </w:r>
      <w:r>
        <w:t xml:space="preserve"> </w:t>
      </w:r>
      <w:r w:rsidRPr="00AB11B2">
        <w:t>certifikát</w:t>
      </w:r>
      <w:r>
        <w:t xml:space="preserve"> </w:t>
      </w:r>
      <w:r w:rsidRPr="00AB11B2">
        <w:t>v</w:t>
      </w:r>
      <w:r>
        <w:t xml:space="preserve"> </w:t>
      </w:r>
      <w:r w:rsidRPr="00AB11B2">
        <w:t>rozporu</w:t>
      </w:r>
      <w:r>
        <w:t xml:space="preserve"> </w:t>
      </w:r>
      <w:r w:rsidRPr="00AB11B2">
        <w:t>s</w:t>
      </w:r>
      <w:r>
        <w:t xml:space="preserve"> </w:t>
      </w:r>
      <w:r w:rsidRPr="00AB11B2">
        <w:t>§</w:t>
      </w:r>
      <w:r>
        <w:t xml:space="preserve"> </w:t>
      </w:r>
      <w:r w:rsidRPr="00AB11B2">
        <w:t>49b</w:t>
      </w:r>
      <w:r>
        <w:t xml:space="preserve"> </w:t>
      </w:r>
      <w:r w:rsidRPr="00AB11B2">
        <w:t>odst.</w:t>
      </w:r>
      <w:r>
        <w:t xml:space="preserve"> </w:t>
      </w:r>
      <w:r w:rsidRPr="00AB11B2">
        <w:t>3</w:t>
      </w:r>
      <w:r>
        <w:t xml:space="preserve"> </w:t>
      </w:r>
      <w:r w:rsidRPr="00AB11B2">
        <w:t>nebo</w:t>
      </w:r>
      <w:r>
        <w:t xml:space="preserve"> </w:t>
      </w:r>
      <w:r w:rsidRPr="00AB11B2">
        <w:t>§</w:t>
      </w:r>
      <w:r>
        <w:t xml:space="preserve"> </w:t>
      </w:r>
      <w:r w:rsidRPr="00AB11B2">
        <w:t>49p</w:t>
      </w:r>
      <w:r>
        <w:t xml:space="preserve"> </w:t>
      </w:r>
      <w:r w:rsidRPr="00AB11B2">
        <w:t>odst.</w:t>
      </w:r>
      <w:r>
        <w:t xml:space="preserve"> </w:t>
      </w:r>
      <w:r w:rsidRPr="00AB11B2">
        <w:t>3,</w:t>
      </w:r>
      <w:r>
        <w:t xml:space="preserve"> </w:t>
      </w:r>
      <w:r w:rsidRPr="00AB11B2">
        <w:t>nebo</w:t>
      </w:r>
    </w:p>
    <w:p w14:paraId="10E86CBB" w14:textId="56369ACA" w:rsidR="00B2710B" w:rsidRDefault="00B2710B" w:rsidP="00CE2C91">
      <w:pPr>
        <w:pStyle w:val="Textpsmene"/>
        <w:tabs>
          <w:tab w:val="num" w:pos="851"/>
        </w:tabs>
        <w:spacing w:before="0"/>
        <w:ind w:left="851" w:hanging="426"/>
      </w:pPr>
      <w:r w:rsidRPr="00AB11B2">
        <w:t>2.</w:t>
      </w:r>
      <w:r w:rsidR="00AB6605">
        <w:tab/>
      </w:r>
      <w:r w:rsidRPr="00AB11B2">
        <w:t>vykonává</w:t>
      </w:r>
      <w:r>
        <w:t xml:space="preserve"> </w:t>
      </w:r>
      <w:r w:rsidRPr="00AB11B2">
        <w:t>činnost</w:t>
      </w:r>
      <w:r>
        <w:t xml:space="preserve"> </w:t>
      </w:r>
      <w:r w:rsidRPr="00AB11B2">
        <w:t>v</w:t>
      </w:r>
      <w:r>
        <w:t xml:space="preserve"> </w:t>
      </w:r>
      <w:r w:rsidRPr="00AB11B2">
        <w:t>rozporu</w:t>
      </w:r>
      <w:r>
        <w:t xml:space="preserve"> </w:t>
      </w:r>
      <w:r w:rsidRPr="00AB11B2">
        <w:t>s</w:t>
      </w:r>
      <w:r>
        <w:t xml:space="preserve"> </w:t>
      </w:r>
      <w:r w:rsidRPr="00AB11B2">
        <w:t>§</w:t>
      </w:r>
      <w:r>
        <w:t xml:space="preserve"> </w:t>
      </w:r>
      <w:r w:rsidRPr="00AB11B2">
        <w:t>49s,</w:t>
      </w:r>
    </w:p>
    <w:p w14:paraId="3F9FEDEB" w14:textId="1E5B30AB" w:rsidR="00B2710B" w:rsidRPr="00AB11B2" w:rsidRDefault="00B2710B" w:rsidP="00812ECA">
      <w:pPr>
        <w:pStyle w:val="Textparagrafu"/>
        <w:tabs>
          <w:tab w:val="left" w:pos="406"/>
          <w:tab w:val="left" w:pos="826"/>
        </w:tabs>
        <w:spacing w:before="0"/>
        <w:ind w:left="426" w:hanging="426"/>
      </w:pPr>
      <w:r w:rsidRPr="00AB11B2">
        <w:t>y)</w:t>
      </w:r>
      <w:r w:rsidR="00360319">
        <w:tab/>
      </w:r>
      <w:r w:rsidRPr="00AB11B2">
        <w:t>jako</w:t>
      </w:r>
      <w:r>
        <w:t xml:space="preserve"> </w:t>
      </w:r>
      <w:r w:rsidRPr="00AB11B2">
        <w:t>určený</w:t>
      </w:r>
      <w:r>
        <w:t xml:space="preserve"> </w:t>
      </w:r>
      <w:r w:rsidRPr="00AB11B2">
        <w:t>subjekt</w:t>
      </w:r>
    </w:p>
    <w:p w14:paraId="75771BBF" w14:textId="3E68F058" w:rsidR="00B2710B" w:rsidRPr="00AB11B2" w:rsidRDefault="00B2710B" w:rsidP="00CE2C91">
      <w:pPr>
        <w:pStyle w:val="Textpsmene"/>
        <w:tabs>
          <w:tab w:val="num" w:pos="851"/>
        </w:tabs>
        <w:spacing w:before="0"/>
        <w:ind w:left="851" w:hanging="426"/>
      </w:pPr>
      <w:r w:rsidRPr="00AB11B2">
        <w:t>1.</w:t>
      </w:r>
      <w:r w:rsidR="00AB6605">
        <w:tab/>
      </w:r>
      <w:r w:rsidRPr="00AB11B2">
        <w:t>vydá</w:t>
      </w:r>
      <w:r>
        <w:t xml:space="preserve"> </w:t>
      </w:r>
      <w:r w:rsidRPr="00AB11B2">
        <w:t>vnitrostátní</w:t>
      </w:r>
      <w:r>
        <w:t xml:space="preserve"> </w:t>
      </w:r>
      <w:r w:rsidRPr="00AB11B2">
        <w:t>certifikát</w:t>
      </w:r>
      <w:r>
        <w:t xml:space="preserve"> </w:t>
      </w:r>
      <w:r w:rsidRPr="00AB11B2">
        <w:t>v</w:t>
      </w:r>
      <w:r>
        <w:t xml:space="preserve"> </w:t>
      </w:r>
      <w:r w:rsidRPr="00AB11B2">
        <w:t>rozporu</w:t>
      </w:r>
      <w:r>
        <w:t xml:space="preserve"> </w:t>
      </w:r>
      <w:r w:rsidRPr="00AB11B2">
        <w:t>s</w:t>
      </w:r>
      <w:r>
        <w:t xml:space="preserve"> </w:t>
      </w:r>
      <w:r w:rsidRPr="00AB11B2">
        <w:t>§</w:t>
      </w:r>
      <w:r>
        <w:t xml:space="preserve"> </w:t>
      </w:r>
      <w:r w:rsidRPr="00AB11B2">
        <w:t>49p</w:t>
      </w:r>
      <w:r>
        <w:t xml:space="preserve"> </w:t>
      </w:r>
      <w:r w:rsidRPr="00AB11B2">
        <w:t>odst.</w:t>
      </w:r>
      <w:r>
        <w:t xml:space="preserve"> </w:t>
      </w:r>
      <w:r w:rsidRPr="00AB11B2">
        <w:t>3,</w:t>
      </w:r>
      <w:r>
        <w:t xml:space="preserve"> </w:t>
      </w:r>
      <w:r w:rsidRPr="00AB11B2">
        <w:t>nebo</w:t>
      </w:r>
    </w:p>
    <w:p w14:paraId="7570643F" w14:textId="5B6BC1C8" w:rsidR="00B2710B" w:rsidRDefault="00B2710B" w:rsidP="00CE2C91">
      <w:pPr>
        <w:pStyle w:val="Textpsmene"/>
        <w:tabs>
          <w:tab w:val="num" w:pos="851"/>
        </w:tabs>
        <w:spacing w:before="0"/>
        <w:ind w:left="851" w:hanging="426"/>
      </w:pPr>
      <w:r w:rsidRPr="00AB11B2">
        <w:t>2.</w:t>
      </w:r>
      <w:r w:rsidR="00AB6605">
        <w:tab/>
      </w:r>
      <w:r w:rsidRPr="00AB11B2">
        <w:t>vykonává</w:t>
      </w:r>
      <w:r>
        <w:t xml:space="preserve"> </w:t>
      </w:r>
      <w:r w:rsidRPr="00AB11B2">
        <w:t>činnost</w:t>
      </w:r>
      <w:r>
        <w:t xml:space="preserve"> </w:t>
      </w:r>
      <w:r w:rsidRPr="00AB11B2">
        <w:t>v</w:t>
      </w:r>
      <w:r>
        <w:t xml:space="preserve"> </w:t>
      </w:r>
      <w:r w:rsidRPr="00AB11B2">
        <w:t>rozporu</w:t>
      </w:r>
      <w:r>
        <w:t xml:space="preserve"> </w:t>
      </w:r>
      <w:r w:rsidRPr="00AB11B2">
        <w:t>s</w:t>
      </w:r>
      <w:r>
        <w:t xml:space="preserve"> </w:t>
      </w:r>
      <w:r w:rsidRPr="00AB11B2">
        <w:t>§</w:t>
      </w:r>
      <w:r>
        <w:t xml:space="preserve"> </w:t>
      </w:r>
      <w:r w:rsidRPr="00AB11B2">
        <w:t>49w</w:t>
      </w:r>
      <w:r>
        <w:t xml:space="preserve"> </w:t>
      </w:r>
      <w:r w:rsidRPr="00AB11B2">
        <w:t>odst.</w:t>
      </w:r>
      <w:r>
        <w:t xml:space="preserve"> </w:t>
      </w:r>
      <w:r w:rsidRPr="00AB11B2">
        <w:t>3</w:t>
      </w:r>
      <w:r>
        <w:t xml:space="preserve"> </w:t>
      </w:r>
      <w:r w:rsidRPr="00AB11B2">
        <w:t>nebo</w:t>
      </w:r>
      <w:r>
        <w:t xml:space="preserve"> </w:t>
      </w:r>
      <w:r w:rsidRPr="00AB11B2">
        <w:t>neinformuje</w:t>
      </w:r>
      <w:r>
        <w:t xml:space="preserve"> </w:t>
      </w:r>
      <w:r w:rsidRPr="00AB11B2">
        <w:t>drážní</w:t>
      </w:r>
      <w:r>
        <w:t xml:space="preserve"> </w:t>
      </w:r>
      <w:r w:rsidRPr="00AB11B2">
        <w:t>správní</w:t>
      </w:r>
      <w:r>
        <w:t xml:space="preserve"> </w:t>
      </w:r>
      <w:r w:rsidRPr="00AB11B2">
        <w:t>úřad</w:t>
      </w:r>
      <w:r>
        <w:t xml:space="preserve"> </w:t>
      </w:r>
      <w:r w:rsidRPr="00AB11B2">
        <w:t>podle</w:t>
      </w:r>
      <w:r>
        <w:t xml:space="preserve"> </w:t>
      </w:r>
      <w:r w:rsidRPr="00AB11B2">
        <w:t>§</w:t>
      </w:r>
      <w:r>
        <w:t xml:space="preserve"> </w:t>
      </w:r>
      <w:r w:rsidRPr="00AB11B2">
        <w:t>49w</w:t>
      </w:r>
      <w:r>
        <w:t xml:space="preserve"> </w:t>
      </w:r>
      <w:r w:rsidRPr="00AB11B2">
        <w:t>odst.</w:t>
      </w:r>
      <w:r>
        <w:t xml:space="preserve"> </w:t>
      </w:r>
      <w:r w:rsidRPr="00AB11B2">
        <w:t>5,</w:t>
      </w:r>
      <w:r>
        <w:t xml:space="preserve"> </w:t>
      </w:r>
      <w:r w:rsidRPr="00AB11B2">
        <w:t>nebo</w:t>
      </w:r>
    </w:p>
    <w:p w14:paraId="73C2BA72" w14:textId="40C2986A" w:rsidR="00B2710B" w:rsidRDefault="00B2710B" w:rsidP="00812ECA">
      <w:pPr>
        <w:pStyle w:val="Textparagrafu"/>
        <w:tabs>
          <w:tab w:val="left" w:pos="406"/>
          <w:tab w:val="left" w:pos="826"/>
        </w:tabs>
        <w:spacing w:before="0"/>
        <w:ind w:left="426" w:hanging="426"/>
      </w:pPr>
      <w:r w:rsidRPr="00AB11B2">
        <w:t>z)</w:t>
      </w:r>
      <w:r w:rsidR="00360319">
        <w:tab/>
      </w:r>
      <w:r w:rsidRPr="00AB11B2">
        <w:t>v</w:t>
      </w:r>
      <w:r>
        <w:t xml:space="preserve"> </w:t>
      </w:r>
      <w:r w:rsidRPr="00AB11B2">
        <w:t>rozporu</w:t>
      </w:r>
      <w:r>
        <w:t xml:space="preserve"> </w:t>
      </w:r>
      <w:r w:rsidRPr="00AB11B2">
        <w:t>s</w:t>
      </w:r>
      <w:r>
        <w:t xml:space="preserve"> </w:t>
      </w:r>
      <w:r w:rsidRPr="00AB11B2">
        <w:t>§</w:t>
      </w:r>
      <w:r>
        <w:t xml:space="preserve"> </w:t>
      </w:r>
      <w:r w:rsidRPr="00AB11B2">
        <w:t>53d</w:t>
      </w:r>
      <w:r>
        <w:t xml:space="preserve"> </w:t>
      </w:r>
      <w:r w:rsidRPr="00AB11B2">
        <w:t>odst.</w:t>
      </w:r>
      <w:r>
        <w:t xml:space="preserve"> </w:t>
      </w:r>
      <w:r w:rsidRPr="00AB11B2">
        <w:t>2</w:t>
      </w:r>
      <w:r>
        <w:t xml:space="preserve"> </w:t>
      </w:r>
      <w:r w:rsidRPr="00AB11B2">
        <w:t>neumožní</w:t>
      </w:r>
      <w:r>
        <w:t xml:space="preserve"> </w:t>
      </w:r>
      <w:r w:rsidRPr="00AB11B2">
        <w:t>inspektorům</w:t>
      </w:r>
      <w:r>
        <w:t xml:space="preserve"> </w:t>
      </w:r>
      <w:r w:rsidRPr="00AB11B2">
        <w:t>Drážní</w:t>
      </w:r>
      <w:r>
        <w:t xml:space="preserve"> </w:t>
      </w:r>
      <w:r w:rsidRPr="00AB11B2">
        <w:t>inspekce</w:t>
      </w:r>
      <w:r>
        <w:t xml:space="preserve"> </w:t>
      </w:r>
      <w:r w:rsidRPr="00AB11B2">
        <w:t>výkon</w:t>
      </w:r>
      <w:r>
        <w:t xml:space="preserve"> </w:t>
      </w:r>
      <w:r w:rsidRPr="00AB11B2">
        <w:t>jejich</w:t>
      </w:r>
      <w:r>
        <w:t xml:space="preserve"> </w:t>
      </w:r>
      <w:r w:rsidRPr="00AB11B2">
        <w:t>oprávnění</w:t>
      </w:r>
      <w:r>
        <w:t xml:space="preserve"> </w:t>
      </w:r>
      <w:r w:rsidRPr="00AB11B2">
        <w:t>bez</w:t>
      </w:r>
      <w:r>
        <w:t xml:space="preserve"> </w:t>
      </w:r>
      <w:r w:rsidRPr="00AB11B2">
        <w:t>zbytečného</w:t>
      </w:r>
      <w:r>
        <w:t xml:space="preserve"> </w:t>
      </w:r>
      <w:r w:rsidRPr="00AB11B2">
        <w:t>odkladu,</w:t>
      </w:r>
    </w:p>
    <w:p w14:paraId="1077A778" w14:textId="77777777" w:rsidR="00B2710B" w:rsidRDefault="00B2710B" w:rsidP="00CE2C91">
      <w:pPr>
        <w:pStyle w:val="Textparagrafu"/>
        <w:tabs>
          <w:tab w:val="left" w:pos="406"/>
          <w:tab w:val="left" w:pos="826"/>
        </w:tabs>
        <w:spacing w:before="120" w:after="120"/>
      </w:pPr>
      <w:r w:rsidRPr="00AB11B2">
        <w:t>(2)</w:t>
      </w:r>
      <w:r>
        <w:t xml:space="preserve"> </w:t>
      </w:r>
      <w:r w:rsidRPr="00AB11B2">
        <w:t>Právnická</w:t>
      </w:r>
      <w:r>
        <w:t xml:space="preserve"> </w:t>
      </w:r>
      <w:r w:rsidRPr="00AB11B2">
        <w:t>nebo</w:t>
      </w:r>
      <w:r>
        <w:t xml:space="preserve"> </w:t>
      </w:r>
      <w:r w:rsidRPr="00AB11B2">
        <w:t>podnikající</w:t>
      </w:r>
      <w:r>
        <w:t xml:space="preserve"> </w:t>
      </w:r>
      <w:r w:rsidRPr="00AB11B2">
        <w:t>fyzická</w:t>
      </w:r>
      <w:r>
        <w:t xml:space="preserve"> </w:t>
      </w:r>
      <w:r w:rsidRPr="00AB11B2">
        <w:t>osoba</w:t>
      </w:r>
      <w:r>
        <w:t xml:space="preserve"> </w:t>
      </w:r>
      <w:r w:rsidRPr="00AB11B2">
        <w:t>se</w:t>
      </w:r>
      <w:r>
        <w:t xml:space="preserve"> </w:t>
      </w:r>
      <w:r w:rsidRPr="00AB11B2">
        <w:t>jako</w:t>
      </w:r>
      <w:r>
        <w:t xml:space="preserve"> </w:t>
      </w:r>
      <w:r w:rsidRPr="00AB11B2">
        <w:t>vlastník</w:t>
      </w:r>
      <w:r>
        <w:t xml:space="preserve"> </w:t>
      </w:r>
      <w:r w:rsidRPr="00AB11B2">
        <w:t>dráhy</w:t>
      </w:r>
      <w:r>
        <w:t xml:space="preserve"> </w:t>
      </w:r>
      <w:r w:rsidRPr="00AB11B2">
        <w:t>dopustí</w:t>
      </w:r>
      <w:r>
        <w:t xml:space="preserve"> </w:t>
      </w:r>
      <w:r w:rsidRPr="00AB11B2">
        <w:t>přestupku</w:t>
      </w:r>
      <w:r>
        <w:t xml:space="preserve"> </w:t>
      </w:r>
      <w:r w:rsidRPr="00AB11B2">
        <w:t>tím,</w:t>
      </w:r>
      <w:r>
        <w:t xml:space="preserve"> </w:t>
      </w:r>
      <w:r w:rsidRPr="00AB11B2">
        <w:t>že</w:t>
      </w:r>
    </w:p>
    <w:p w14:paraId="59606A67" w14:textId="41D0A6BB" w:rsidR="00B2710B" w:rsidRDefault="00B2710B" w:rsidP="00812ECA">
      <w:pPr>
        <w:pStyle w:val="Textparagrafu"/>
        <w:tabs>
          <w:tab w:val="left" w:pos="406"/>
          <w:tab w:val="left" w:pos="826"/>
        </w:tabs>
        <w:spacing w:before="0"/>
        <w:ind w:left="426" w:hanging="426"/>
      </w:pPr>
      <w:r w:rsidRPr="00AB11B2">
        <w:t>a)</w:t>
      </w:r>
      <w:r w:rsidR="00CD58F8">
        <w:tab/>
      </w:r>
      <w:r w:rsidRPr="00AB11B2">
        <w:t>v</w:t>
      </w:r>
      <w:r>
        <w:t xml:space="preserve"> </w:t>
      </w:r>
      <w:r w:rsidRPr="00AB11B2">
        <w:t>rozporu</w:t>
      </w:r>
      <w:r>
        <w:t xml:space="preserve"> </w:t>
      </w:r>
      <w:r w:rsidRPr="00AB11B2">
        <w:t>s</w:t>
      </w:r>
      <w:r>
        <w:t xml:space="preserve"> </w:t>
      </w:r>
      <w:r w:rsidRPr="00AB11B2">
        <w:t>§</w:t>
      </w:r>
      <w:r>
        <w:t xml:space="preserve"> </w:t>
      </w:r>
      <w:r w:rsidRPr="00AB11B2">
        <w:t>10b</w:t>
      </w:r>
      <w:r>
        <w:t xml:space="preserve"> </w:t>
      </w:r>
      <w:r w:rsidRPr="00AB11B2">
        <w:t>odst.</w:t>
      </w:r>
      <w:r>
        <w:t xml:space="preserve"> </w:t>
      </w:r>
      <w:r w:rsidRPr="00AB11B2">
        <w:t>1</w:t>
      </w:r>
      <w:r>
        <w:t xml:space="preserve"> </w:t>
      </w:r>
      <w:r w:rsidRPr="00AB11B2">
        <w:t>písm.</w:t>
      </w:r>
      <w:r>
        <w:t xml:space="preserve"> </w:t>
      </w:r>
      <w:r w:rsidRPr="00AB11B2">
        <w:t>a)</w:t>
      </w:r>
      <w:r>
        <w:t xml:space="preserve"> </w:t>
      </w:r>
      <w:r w:rsidRPr="00AB11B2">
        <w:t>nezajistí</w:t>
      </w:r>
      <w:r>
        <w:t xml:space="preserve"> </w:t>
      </w:r>
      <w:r w:rsidRPr="00AB11B2">
        <w:t>zachování</w:t>
      </w:r>
      <w:r>
        <w:t xml:space="preserve"> </w:t>
      </w:r>
      <w:r w:rsidRPr="00AB11B2">
        <w:t>tělesa,</w:t>
      </w:r>
      <w:r>
        <w:t xml:space="preserve"> </w:t>
      </w:r>
      <w:r w:rsidRPr="00AB11B2">
        <w:t>stavby</w:t>
      </w:r>
      <w:r>
        <w:t xml:space="preserve"> </w:t>
      </w:r>
      <w:r w:rsidRPr="00AB11B2">
        <w:t>nebo</w:t>
      </w:r>
      <w:r>
        <w:t xml:space="preserve"> </w:t>
      </w:r>
      <w:r w:rsidRPr="00AB11B2">
        <w:t>zařízení</w:t>
      </w:r>
      <w:r>
        <w:t xml:space="preserve"> </w:t>
      </w:r>
      <w:r w:rsidRPr="00AB11B2">
        <w:t>železničního</w:t>
      </w:r>
      <w:r>
        <w:t xml:space="preserve"> </w:t>
      </w:r>
      <w:r w:rsidRPr="00AB11B2">
        <w:t>spodku</w:t>
      </w:r>
      <w:r>
        <w:t xml:space="preserve"> </w:t>
      </w:r>
      <w:r w:rsidRPr="00AB11B2">
        <w:t>dráhy</w:t>
      </w:r>
      <w:r>
        <w:t xml:space="preserve"> </w:t>
      </w:r>
      <w:r w:rsidRPr="00AB11B2">
        <w:t>nebo</w:t>
      </w:r>
      <w:r>
        <w:t xml:space="preserve"> </w:t>
      </w:r>
      <w:r w:rsidRPr="00AB11B2">
        <w:t>její</w:t>
      </w:r>
      <w:r>
        <w:t xml:space="preserve"> </w:t>
      </w:r>
      <w:r w:rsidRPr="00AB11B2">
        <w:t>části,</w:t>
      </w:r>
    </w:p>
    <w:p w14:paraId="62DEDA04" w14:textId="0ADC59ED" w:rsidR="00B2710B" w:rsidRDefault="00B2710B" w:rsidP="00812ECA">
      <w:pPr>
        <w:pStyle w:val="Textparagrafu"/>
        <w:tabs>
          <w:tab w:val="left" w:pos="406"/>
          <w:tab w:val="left" w:pos="826"/>
        </w:tabs>
        <w:spacing w:before="0"/>
        <w:ind w:left="426" w:hanging="426"/>
      </w:pPr>
      <w:r w:rsidRPr="00AB11B2">
        <w:t>b)</w:t>
      </w:r>
      <w:r w:rsidR="00CD58F8">
        <w:tab/>
      </w:r>
      <w:r w:rsidRPr="00AB11B2">
        <w:t>v</w:t>
      </w:r>
      <w:r>
        <w:t xml:space="preserve"> </w:t>
      </w:r>
      <w:r w:rsidRPr="00AB11B2">
        <w:t>rozporu</w:t>
      </w:r>
      <w:r>
        <w:t xml:space="preserve"> </w:t>
      </w:r>
      <w:r w:rsidRPr="00AB11B2">
        <w:t>s</w:t>
      </w:r>
      <w:r>
        <w:t xml:space="preserve"> </w:t>
      </w:r>
      <w:r w:rsidRPr="00AB11B2">
        <w:t>§</w:t>
      </w:r>
      <w:r>
        <w:t xml:space="preserve"> </w:t>
      </w:r>
      <w:r w:rsidRPr="00AB11B2">
        <w:t>10b</w:t>
      </w:r>
      <w:r>
        <w:t xml:space="preserve"> </w:t>
      </w:r>
      <w:r w:rsidRPr="00AB11B2">
        <w:t>odst.</w:t>
      </w:r>
      <w:r>
        <w:t xml:space="preserve"> </w:t>
      </w:r>
      <w:r w:rsidRPr="00AB11B2">
        <w:t>4</w:t>
      </w:r>
      <w:r>
        <w:t xml:space="preserve"> </w:t>
      </w:r>
      <w:r w:rsidRPr="00AB11B2">
        <w:t>nezveřejní</w:t>
      </w:r>
      <w:r>
        <w:t xml:space="preserve"> </w:t>
      </w:r>
      <w:r w:rsidRPr="00AB11B2">
        <w:t>seznam</w:t>
      </w:r>
      <w:r>
        <w:t xml:space="preserve"> </w:t>
      </w:r>
      <w:r w:rsidRPr="00AB11B2">
        <w:t>drah</w:t>
      </w:r>
      <w:r>
        <w:t xml:space="preserve"> </w:t>
      </w:r>
      <w:r w:rsidRPr="00AB11B2">
        <w:t>nebo</w:t>
      </w:r>
      <w:r>
        <w:t xml:space="preserve"> </w:t>
      </w:r>
      <w:r w:rsidRPr="00AB11B2">
        <w:t>jejich</w:t>
      </w:r>
      <w:r>
        <w:t xml:space="preserve"> </w:t>
      </w:r>
      <w:r w:rsidRPr="00AB11B2">
        <w:t>částí,</w:t>
      </w:r>
      <w:r>
        <w:t xml:space="preserve"> </w:t>
      </w:r>
      <w:r w:rsidRPr="00AB11B2">
        <w:t>jejichž</w:t>
      </w:r>
      <w:r>
        <w:t xml:space="preserve"> </w:t>
      </w:r>
      <w:r w:rsidRPr="00AB11B2">
        <w:t>provozuschopnost</w:t>
      </w:r>
      <w:r>
        <w:t xml:space="preserve"> </w:t>
      </w:r>
      <w:r w:rsidRPr="00AB11B2">
        <w:t>a</w:t>
      </w:r>
      <w:r>
        <w:t xml:space="preserve"> </w:t>
      </w:r>
      <w:r w:rsidRPr="00AB11B2">
        <w:t>provozování</w:t>
      </w:r>
      <w:r>
        <w:t xml:space="preserve"> </w:t>
      </w:r>
      <w:r w:rsidRPr="00AB11B2">
        <w:t>byly</w:t>
      </w:r>
      <w:r>
        <w:t xml:space="preserve"> </w:t>
      </w:r>
      <w:r w:rsidRPr="00AB11B2">
        <w:t>přerušeny,</w:t>
      </w:r>
      <w:r>
        <w:t xml:space="preserve"> </w:t>
      </w:r>
      <w:r w:rsidRPr="00AB11B2">
        <w:t>nebo</w:t>
      </w:r>
      <w:r>
        <w:t xml:space="preserve"> </w:t>
      </w:r>
      <w:r w:rsidRPr="00AB11B2">
        <w:t>údaje</w:t>
      </w:r>
      <w:r>
        <w:t xml:space="preserve"> </w:t>
      </w:r>
      <w:r w:rsidRPr="00AB11B2">
        <w:t>v</w:t>
      </w:r>
      <w:r>
        <w:t xml:space="preserve"> </w:t>
      </w:r>
      <w:r w:rsidRPr="00AB11B2">
        <w:t>něm</w:t>
      </w:r>
      <w:r>
        <w:t xml:space="preserve"> </w:t>
      </w:r>
      <w:r w:rsidRPr="00AB11B2">
        <w:t>uvedené</w:t>
      </w:r>
      <w:r>
        <w:t xml:space="preserve"> </w:t>
      </w:r>
      <w:r w:rsidRPr="00AB11B2">
        <w:t>bez</w:t>
      </w:r>
      <w:r>
        <w:t xml:space="preserve"> </w:t>
      </w:r>
      <w:r w:rsidRPr="00AB11B2">
        <w:t>zbytečného</w:t>
      </w:r>
      <w:r>
        <w:t xml:space="preserve"> </w:t>
      </w:r>
      <w:r w:rsidRPr="00AB11B2">
        <w:t>odkladu</w:t>
      </w:r>
      <w:r>
        <w:t xml:space="preserve"> </w:t>
      </w:r>
      <w:r w:rsidRPr="00AB11B2">
        <w:t>neaktualizuje,</w:t>
      </w:r>
    </w:p>
    <w:p w14:paraId="1A5EBB2D" w14:textId="03744F38" w:rsidR="00B2710B" w:rsidRDefault="00B2710B" w:rsidP="00812ECA">
      <w:pPr>
        <w:pStyle w:val="Textparagrafu"/>
        <w:tabs>
          <w:tab w:val="left" w:pos="406"/>
          <w:tab w:val="left" w:pos="826"/>
        </w:tabs>
        <w:spacing w:before="0"/>
        <w:ind w:left="426" w:hanging="426"/>
      </w:pPr>
      <w:r w:rsidRPr="00AB11B2">
        <w:t>c)</w:t>
      </w:r>
      <w:r w:rsidR="00CD58F8">
        <w:tab/>
      </w:r>
      <w:r w:rsidRPr="00AB11B2">
        <w:t>v</w:t>
      </w:r>
      <w:r>
        <w:t xml:space="preserve"> </w:t>
      </w:r>
      <w:r w:rsidRPr="00AB11B2">
        <w:t>rozporu</w:t>
      </w:r>
      <w:r>
        <w:t xml:space="preserve"> </w:t>
      </w:r>
      <w:r w:rsidRPr="00AB11B2">
        <w:t>s</w:t>
      </w:r>
      <w:r>
        <w:t xml:space="preserve"> </w:t>
      </w:r>
      <w:r w:rsidRPr="00AB11B2">
        <w:t>§</w:t>
      </w:r>
      <w:r>
        <w:t xml:space="preserve"> </w:t>
      </w:r>
      <w:r w:rsidRPr="00AB11B2">
        <w:t>10d</w:t>
      </w:r>
      <w:r>
        <w:t xml:space="preserve"> </w:t>
      </w:r>
      <w:r w:rsidRPr="00AB11B2">
        <w:t>odst.</w:t>
      </w:r>
      <w:r>
        <w:t xml:space="preserve"> </w:t>
      </w:r>
      <w:r w:rsidRPr="00AB11B2">
        <w:t>2</w:t>
      </w:r>
      <w:r>
        <w:t xml:space="preserve"> </w:t>
      </w:r>
      <w:r w:rsidRPr="00AB11B2">
        <w:t>ve</w:t>
      </w:r>
      <w:r>
        <w:t xml:space="preserve"> </w:t>
      </w:r>
      <w:r w:rsidRPr="00AB11B2">
        <w:t>stanovené</w:t>
      </w:r>
      <w:r>
        <w:t xml:space="preserve"> </w:t>
      </w:r>
      <w:r w:rsidRPr="00AB11B2">
        <w:t>lhůtě</w:t>
      </w:r>
      <w:r>
        <w:t xml:space="preserve"> </w:t>
      </w:r>
      <w:r w:rsidRPr="00AB11B2">
        <w:t>nesplní</w:t>
      </w:r>
      <w:r>
        <w:t xml:space="preserve"> </w:t>
      </w:r>
      <w:r w:rsidRPr="00AB11B2">
        <w:t>povinnost</w:t>
      </w:r>
      <w:r>
        <w:t xml:space="preserve"> </w:t>
      </w:r>
      <w:r w:rsidRPr="00AB11B2">
        <w:t>obnovit</w:t>
      </w:r>
      <w:r>
        <w:t xml:space="preserve"> </w:t>
      </w:r>
      <w:r w:rsidRPr="00AB11B2">
        <w:t>provozuschopnost</w:t>
      </w:r>
      <w:r>
        <w:t xml:space="preserve"> </w:t>
      </w:r>
      <w:r w:rsidRPr="00AB11B2">
        <w:t>nebo</w:t>
      </w:r>
      <w:r>
        <w:t xml:space="preserve"> </w:t>
      </w:r>
      <w:r w:rsidRPr="00AB11B2">
        <w:t>provozování</w:t>
      </w:r>
      <w:r>
        <w:t xml:space="preserve"> </w:t>
      </w:r>
      <w:r w:rsidRPr="00AB11B2">
        <w:t>dráhy</w:t>
      </w:r>
      <w:r>
        <w:t xml:space="preserve"> </w:t>
      </w:r>
      <w:r w:rsidRPr="00AB11B2">
        <w:t>nebo</w:t>
      </w:r>
      <w:r>
        <w:t xml:space="preserve"> </w:t>
      </w:r>
      <w:r w:rsidRPr="00AB11B2">
        <w:t>její</w:t>
      </w:r>
      <w:r>
        <w:t xml:space="preserve"> </w:t>
      </w:r>
      <w:r w:rsidRPr="00AB11B2">
        <w:t>části,</w:t>
      </w:r>
    </w:p>
    <w:p w14:paraId="3F3F5A28" w14:textId="3F250451" w:rsidR="00B2710B" w:rsidRDefault="00B2710B" w:rsidP="00812ECA">
      <w:pPr>
        <w:pStyle w:val="Textparagrafu"/>
        <w:tabs>
          <w:tab w:val="left" w:pos="406"/>
          <w:tab w:val="left" w:pos="826"/>
        </w:tabs>
        <w:spacing w:before="0"/>
        <w:ind w:left="426" w:hanging="426"/>
      </w:pPr>
      <w:r w:rsidRPr="00AB11B2">
        <w:t>d)</w:t>
      </w:r>
      <w:r w:rsidR="00CD58F8">
        <w:tab/>
      </w:r>
      <w:r w:rsidRPr="00AB11B2">
        <w:t>nezajistí</w:t>
      </w:r>
      <w:r>
        <w:t xml:space="preserve"> </w:t>
      </w:r>
      <w:r w:rsidRPr="00AB11B2">
        <w:t>v</w:t>
      </w:r>
      <w:r>
        <w:t xml:space="preserve"> </w:t>
      </w:r>
      <w:r w:rsidRPr="00AB11B2">
        <w:t>rozporu</w:t>
      </w:r>
      <w:r>
        <w:t xml:space="preserve"> </w:t>
      </w:r>
      <w:r w:rsidRPr="00AB11B2">
        <w:t>s</w:t>
      </w:r>
      <w:r>
        <w:t xml:space="preserve"> </w:t>
      </w:r>
      <w:r w:rsidRPr="00AB11B2">
        <w:t>§</w:t>
      </w:r>
      <w:r>
        <w:t xml:space="preserve"> </w:t>
      </w:r>
      <w:r w:rsidRPr="00AB11B2">
        <w:t>20</w:t>
      </w:r>
      <w:r>
        <w:t xml:space="preserve"> </w:t>
      </w:r>
      <w:r w:rsidRPr="00AB11B2">
        <w:t>odst.</w:t>
      </w:r>
      <w:r>
        <w:t xml:space="preserve"> </w:t>
      </w:r>
      <w:r w:rsidRPr="00AB11B2">
        <w:t>1</w:t>
      </w:r>
      <w:r>
        <w:t xml:space="preserve"> </w:t>
      </w:r>
      <w:r w:rsidRPr="00AB11B2">
        <w:t>údržbu</w:t>
      </w:r>
      <w:r>
        <w:t xml:space="preserve"> </w:t>
      </w:r>
      <w:r w:rsidRPr="00AB11B2">
        <w:t>a</w:t>
      </w:r>
      <w:r>
        <w:t xml:space="preserve"> </w:t>
      </w:r>
      <w:r w:rsidRPr="00AB11B2">
        <w:t>opravu</w:t>
      </w:r>
      <w:r>
        <w:t xml:space="preserve"> </w:t>
      </w:r>
      <w:r w:rsidRPr="00AB11B2">
        <w:t>dráhy</w:t>
      </w:r>
      <w:r>
        <w:t xml:space="preserve"> </w:t>
      </w:r>
      <w:r w:rsidRPr="00AB11B2">
        <w:t>v</w:t>
      </w:r>
      <w:r>
        <w:t xml:space="preserve"> </w:t>
      </w:r>
      <w:r w:rsidRPr="00AB11B2">
        <w:t>rozsahu</w:t>
      </w:r>
      <w:r>
        <w:t xml:space="preserve"> </w:t>
      </w:r>
      <w:r w:rsidRPr="00AB11B2">
        <w:t>nezbytném</w:t>
      </w:r>
      <w:r>
        <w:t xml:space="preserve"> </w:t>
      </w:r>
      <w:r w:rsidRPr="00AB11B2">
        <w:t>pro</w:t>
      </w:r>
      <w:r>
        <w:t xml:space="preserve"> </w:t>
      </w:r>
      <w:r w:rsidRPr="00AB11B2">
        <w:t>její</w:t>
      </w:r>
      <w:r>
        <w:t xml:space="preserve"> </w:t>
      </w:r>
      <w:r w:rsidRPr="00AB11B2">
        <w:t>provozuschopnost</w:t>
      </w:r>
      <w:r>
        <w:t xml:space="preserve"> </w:t>
      </w:r>
      <w:r w:rsidRPr="00AB11B2">
        <w:t>nebo</w:t>
      </w:r>
      <w:r>
        <w:t xml:space="preserve"> </w:t>
      </w:r>
      <w:r w:rsidRPr="00AB11B2">
        <w:t>neumožní</w:t>
      </w:r>
      <w:r>
        <w:t xml:space="preserve"> </w:t>
      </w:r>
      <w:r w:rsidRPr="00AB11B2">
        <w:t>styk</w:t>
      </w:r>
      <w:r>
        <w:t xml:space="preserve"> </w:t>
      </w:r>
      <w:r w:rsidRPr="00AB11B2">
        <w:t>dráhy</w:t>
      </w:r>
      <w:r>
        <w:t xml:space="preserve"> </w:t>
      </w:r>
      <w:r w:rsidRPr="00AB11B2">
        <w:t>s</w:t>
      </w:r>
      <w:r>
        <w:t xml:space="preserve"> </w:t>
      </w:r>
      <w:r w:rsidRPr="00AB11B2">
        <w:t>jinými</w:t>
      </w:r>
      <w:r>
        <w:t xml:space="preserve"> </w:t>
      </w:r>
      <w:r w:rsidRPr="00AB11B2">
        <w:t>dráhami,</w:t>
      </w:r>
      <w:r>
        <w:t xml:space="preserve"> </w:t>
      </w:r>
      <w:r w:rsidRPr="00AB11B2">
        <w:t>nebo</w:t>
      </w:r>
    </w:p>
    <w:p w14:paraId="7C727BD5" w14:textId="59B14308" w:rsidR="00B2710B" w:rsidRDefault="00B2710B" w:rsidP="00812ECA">
      <w:pPr>
        <w:pStyle w:val="Textparagrafu"/>
        <w:tabs>
          <w:tab w:val="left" w:pos="406"/>
          <w:tab w:val="left" w:pos="826"/>
        </w:tabs>
        <w:spacing w:before="0"/>
        <w:ind w:left="426" w:hanging="426"/>
      </w:pPr>
      <w:r w:rsidRPr="00AB11B2">
        <w:t>e)</w:t>
      </w:r>
      <w:r w:rsidR="00CD58F8">
        <w:tab/>
      </w:r>
      <w:r w:rsidRPr="00AB11B2">
        <w:t>nezajistí</w:t>
      </w:r>
      <w:r>
        <w:t xml:space="preserve"> </w:t>
      </w:r>
      <w:r w:rsidRPr="00AB11B2">
        <w:t>v</w:t>
      </w:r>
      <w:r>
        <w:t xml:space="preserve"> </w:t>
      </w:r>
      <w:r w:rsidRPr="00AB11B2">
        <w:t>rozporu</w:t>
      </w:r>
      <w:r>
        <w:t xml:space="preserve"> </w:t>
      </w:r>
      <w:r w:rsidRPr="00AB11B2">
        <w:t>s</w:t>
      </w:r>
      <w:r>
        <w:t xml:space="preserve"> </w:t>
      </w:r>
      <w:r w:rsidRPr="00AB11B2">
        <w:t>§</w:t>
      </w:r>
      <w:r>
        <w:t xml:space="preserve"> </w:t>
      </w:r>
      <w:r w:rsidRPr="00AB11B2">
        <w:t>21</w:t>
      </w:r>
      <w:r>
        <w:t xml:space="preserve"> </w:t>
      </w:r>
      <w:r w:rsidRPr="00AB11B2">
        <w:t>odst.</w:t>
      </w:r>
      <w:r>
        <w:t xml:space="preserve"> </w:t>
      </w:r>
      <w:r w:rsidRPr="00AB11B2">
        <w:t>1</w:t>
      </w:r>
      <w:r>
        <w:t xml:space="preserve"> </w:t>
      </w:r>
      <w:r w:rsidRPr="00AB11B2">
        <w:t>provozování</w:t>
      </w:r>
      <w:r>
        <w:t xml:space="preserve"> </w:t>
      </w:r>
      <w:r w:rsidRPr="00AB11B2">
        <w:t>dráhy.</w:t>
      </w:r>
    </w:p>
    <w:p w14:paraId="4F058946" w14:textId="77777777" w:rsidR="00B2710B" w:rsidRDefault="00B2710B" w:rsidP="00CE2C91">
      <w:pPr>
        <w:pStyle w:val="Textparagrafu"/>
        <w:tabs>
          <w:tab w:val="left" w:pos="406"/>
          <w:tab w:val="left" w:pos="826"/>
        </w:tabs>
        <w:spacing w:before="120" w:after="120"/>
      </w:pPr>
      <w:r w:rsidRPr="00AB11B2">
        <w:t>(3)</w:t>
      </w:r>
      <w:r>
        <w:t xml:space="preserve"> </w:t>
      </w:r>
      <w:r w:rsidRPr="00AB11B2">
        <w:t>Právnická</w:t>
      </w:r>
      <w:r>
        <w:t xml:space="preserve"> </w:t>
      </w:r>
      <w:r w:rsidRPr="00AB11B2">
        <w:t>nebo</w:t>
      </w:r>
      <w:r>
        <w:t xml:space="preserve"> </w:t>
      </w:r>
      <w:r w:rsidRPr="00AB11B2">
        <w:t>podnikající</w:t>
      </w:r>
      <w:r>
        <w:t xml:space="preserve"> </w:t>
      </w:r>
      <w:r w:rsidRPr="00AB11B2">
        <w:t>fyzická</w:t>
      </w:r>
      <w:r>
        <w:t xml:space="preserve"> </w:t>
      </w:r>
      <w:r w:rsidRPr="00AB11B2">
        <w:t>osoba</w:t>
      </w:r>
      <w:r>
        <w:t xml:space="preserve"> </w:t>
      </w:r>
      <w:r w:rsidRPr="00AB11B2">
        <w:t>se</w:t>
      </w:r>
      <w:r>
        <w:t xml:space="preserve"> </w:t>
      </w:r>
      <w:r w:rsidRPr="00AB11B2">
        <w:t>jako</w:t>
      </w:r>
      <w:r>
        <w:t xml:space="preserve"> </w:t>
      </w:r>
      <w:r w:rsidRPr="00AB11B2">
        <w:t>vlastník</w:t>
      </w:r>
      <w:r>
        <w:t xml:space="preserve"> </w:t>
      </w:r>
      <w:r w:rsidRPr="00AB11B2">
        <w:t>dráhy</w:t>
      </w:r>
      <w:r>
        <w:t xml:space="preserve"> </w:t>
      </w:r>
      <w:r w:rsidRPr="00AB11B2">
        <w:t>celostátní</w:t>
      </w:r>
      <w:r>
        <w:t xml:space="preserve"> </w:t>
      </w:r>
      <w:r w:rsidRPr="00AB11B2">
        <w:t>nebo</w:t>
      </w:r>
      <w:r>
        <w:t xml:space="preserve"> </w:t>
      </w:r>
      <w:r w:rsidRPr="00AB11B2">
        <w:t>regionální</w:t>
      </w:r>
      <w:r>
        <w:t xml:space="preserve"> </w:t>
      </w:r>
      <w:r w:rsidRPr="00AB11B2">
        <w:t>dopustí</w:t>
      </w:r>
      <w:r>
        <w:t xml:space="preserve"> </w:t>
      </w:r>
      <w:r w:rsidRPr="00AB11B2">
        <w:t>přestupku</w:t>
      </w:r>
      <w:r>
        <w:t xml:space="preserve"> </w:t>
      </w:r>
      <w:r w:rsidRPr="00AB11B2">
        <w:t>tím,</w:t>
      </w:r>
      <w:r>
        <w:t xml:space="preserve"> </w:t>
      </w:r>
      <w:r w:rsidRPr="00AB11B2">
        <w:t>že</w:t>
      </w:r>
    </w:p>
    <w:p w14:paraId="227015AD" w14:textId="7CAA602A" w:rsidR="00B2710B" w:rsidRDefault="00B2710B" w:rsidP="00812ECA">
      <w:pPr>
        <w:pStyle w:val="Textparagrafu"/>
        <w:tabs>
          <w:tab w:val="left" w:pos="406"/>
          <w:tab w:val="left" w:pos="826"/>
        </w:tabs>
        <w:spacing w:before="0"/>
        <w:ind w:left="426" w:hanging="426"/>
      </w:pPr>
      <w:r w:rsidRPr="00AB11B2">
        <w:t>a)</w:t>
      </w:r>
      <w:r w:rsidR="00CD58F8">
        <w:tab/>
      </w:r>
      <w:r w:rsidRPr="00AB11B2">
        <w:t>nepečuje</w:t>
      </w:r>
      <w:r>
        <w:t xml:space="preserve"> </w:t>
      </w:r>
      <w:r w:rsidRPr="00AB11B2">
        <w:t>o</w:t>
      </w:r>
      <w:r>
        <w:t xml:space="preserve"> </w:t>
      </w:r>
      <w:r w:rsidRPr="00AB11B2">
        <w:t>rozvoj</w:t>
      </w:r>
      <w:r>
        <w:t xml:space="preserve"> </w:t>
      </w:r>
      <w:r w:rsidRPr="00AB11B2">
        <w:t>a</w:t>
      </w:r>
      <w:r>
        <w:t xml:space="preserve"> </w:t>
      </w:r>
      <w:r w:rsidRPr="00AB11B2">
        <w:t>modernizaci</w:t>
      </w:r>
      <w:r>
        <w:t xml:space="preserve"> </w:t>
      </w:r>
      <w:r w:rsidRPr="00AB11B2">
        <w:t>dráhy</w:t>
      </w:r>
      <w:r>
        <w:t xml:space="preserve"> </w:t>
      </w:r>
      <w:r w:rsidRPr="00AB11B2">
        <w:t>podle</w:t>
      </w:r>
      <w:r>
        <w:t xml:space="preserve"> </w:t>
      </w:r>
      <w:r w:rsidRPr="00AB11B2">
        <w:t>§</w:t>
      </w:r>
      <w:r>
        <w:t xml:space="preserve"> </w:t>
      </w:r>
      <w:r w:rsidRPr="00AB11B2">
        <w:t>20</w:t>
      </w:r>
      <w:r>
        <w:t xml:space="preserve"> </w:t>
      </w:r>
      <w:r w:rsidRPr="00AB11B2">
        <w:t>odst.</w:t>
      </w:r>
      <w:r>
        <w:t xml:space="preserve"> </w:t>
      </w:r>
      <w:r w:rsidRPr="00AB11B2">
        <w:t>2,</w:t>
      </w:r>
    </w:p>
    <w:p w14:paraId="40FC601F" w14:textId="74ECF348" w:rsidR="00B2710B" w:rsidRDefault="00B2710B" w:rsidP="00812ECA">
      <w:pPr>
        <w:pStyle w:val="Textparagrafu"/>
        <w:tabs>
          <w:tab w:val="left" w:pos="406"/>
          <w:tab w:val="left" w:pos="826"/>
        </w:tabs>
        <w:spacing w:before="0"/>
        <w:ind w:left="426" w:hanging="426"/>
      </w:pPr>
      <w:r w:rsidRPr="00AB11B2">
        <w:t>b)</w:t>
      </w:r>
      <w:r w:rsidR="00CD58F8">
        <w:tab/>
      </w:r>
      <w:r w:rsidRPr="00AB11B2">
        <w:t>nenabídne</w:t>
      </w:r>
      <w:r>
        <w:t xml:space="preserve"> </w:t>
      </w:r>
      <w:r w:rsidRPr="00AB11B2">
        <w:t>v</w:t>
      </w:r>
      <w:r>
        <w:t xml:space="preserve"> </w:t>
      </w:r>
      <w:r w:rsidRPr="00AB11B2">
        <w:t>rozporu</w:t>
      </w:r>
      <w:r>
        <w:t xml:space="preserve"> </w:t>
      </w:r>
      <w:r w:rsidRPr="00AB11B2">
        <w:t>s</w:t>
      </w:r>
      <w:r>
        <w:t xml:space="preserve"> </w:t>
      </w:r>
      <w:r w:rsidRPr="00AB11B2">
        <w:t>§</w:t>
      </w:r>
      <w:r>
        <w:t xml:space="preserve"> </w:t>
      </w:r>
      <w:r w:rsidRPr="00AB11B2">
        <w:t>20</w:t>
      </w:r>
      <w:r>
        <w:t xml:space="preserve"> </w:t>
      </w:r>
      <w:r w:rsidRPr="00AB11B2">
        <w:t>odst.</w:t>
      </w:r>
      <w:r>
        <w:t xml:space="preserve"> </w:t>
      </w:r>
      <w:r w:rsidRPr="00AB11B2">
        <w:t>3</w:t>
      </w:r>
      <w:r>
        <w:t xml:space="preserve"> </w:t>
      </w:r>
      <w:r w:rsidRPr="00AB11B2">
        <w:t>dráhu,</w:t>
      </w:r>
      <w:r>
        <w:t xml:space="preserve"> </w:t>
      </w:r>
      <w:r w:rsidRPr="00AB11B2">
        <w:t>u</w:t>
      </w:r>
      <w:r>
        <w:t xml:space="preserve"> </w:t>
      </w:r>
      <w:r w:rsidRPr="00AB11B2">
        <w:t>níž</w:t>
      </w:r>
      <w:r>
        <w:t xml:space="preserve"> </w:t>
      </w:r>
      <w:r w:rsidRPr="00AB11B2">
        <w:t>není</w:t>
      </w:r>
      <w:r>
        <w:t xml:space="preserve"> </w:t>
      </w:r>
      <w:r w:rsidRPr="00AB11B2">
        <w:t>schopna</w:t>
      </w:r>
      <w:r>
        <w:t xml:space="preserve"> </w:t>
      </w:r>
      <w:r w:rsidRPr="00AB11B2">
        <w:t>zajistit</w:t>
      </w:r>
      <w:r>
        <w:t xml:space="preserve"> </w:t>
      </w:r>
      <w:r w:rsidRPr="00AB11B2">
        <w:t>její</w:t>
      </w:r>
      <w:r>
        <w:t xml:space="preserve"> </w:t>
      </w:r>
      <w:r w:rsidRPr="00AB11B2">
        <w:t>provozuschopnost,</w:t>
      </w:r>
      <w:r>
        <w:t xml:space="preserve"> </w:t>
      </w:r>
      <w:r w:rsidRPr="00AB11B2">
        <w:t>státu</w:t>
      </w:r>
      <w:r>
        <w:t xml:space="preserve"> </w:t>
      </w:r>
      <w:r w:rsidRPr="00AB11B2">
        <w:t>k</w:t>
      </w:r>
      <w:r>
        <w:t xml:space="preserve"> </w:t>
      </w:r>
      <w:r w:rsidRPr="00AB11B2">
        <w:t>odkoupení,</w:t>
      </w:r>
      <w:r>
        <w:t xml:space="preserve"> </w:t>
      </w:r>
      <w:r w:rsidRPr="00AB11B2">
        <w:t>nebo</w:t>
      </w:r>
    </w:p>
    <w:p w14:paraId="2D0049AC" w14:textId="269070C0" w:rsidR="00B2710B" w:rsidRDefault="00B2710B" w:rsidP="00812ECA">
      <w:pPr>
        <w:pStyle w:val="Textparagrafu"/>
        <w:tabs>
          <w:tab w:val="left" w:pos="406"/>
          <w:tab w:val="left" w:pos="826"/>
        </w:tabs>
        <w:spacing w:before="0"/>
        <w:ind w:left="426" w:hanging="426"/>
      </w:pPr>
      <w:r w:rsidRPr="00AB11B2">
        <w:t>c)</w:t>
      </w:r>
      <w:r w:rsidR="00CD58F8">
        <w:tab/>
      </w:r>
      <w:r w:rsidRPr="00AB11B2">
        <w:t>neumožní</w:t>
      </w:r>
      <w:r>
        <w:t xml:space="preserve"> </w:t>
      </w:r>
      <w:r w:rsidRPr="00AB11B2">
        <w:t>v</w:t>
      </w:r>
      <w:r>
        <w:t xml:space="preserve"> </w:t>
      </w:r>
      <w:r w:rsidRPr="00AB11B2">
        <w:t>případě</w:t>
      </w:r>
      <w:r>
        <w:t xml:space="preserve"> </w:t>
      </w:r>
      <w:r w:rsidRPr="00AB11B2">
        <w:t>stanoveném</w:t>
      </w:r>
      <w:r>
        <w:t xml:space="preserve"> </w:t>
      </w:r>
      <w:r w:rsidRPr="00AB11B2">
        <w:t>v</w:t>
      </w:r>
      <w:r>
        <w:t xml:space="preserve"> </w:t>
      </w:r>
      <w:r w:rsidRPr="00AB11B2">
        <w:t>§</w:t>
      </w:r>
      <w:r>
        <w:t xml:space="preserve"> </w:t>
      </w:r>
      <w:r w:rsidRPr="00AB11B2">
        <w:t>21</w:t>
      </w:r>
      <w:r>
        <w:t xml:space="preserve"> </w:t>
      </w:r>
      <w:r w:rsidRPr="00AB11B2">
        <w:t>odst.</w:t>
      </w:r>
      <w:r>
        <w:t xml:space="preserve"> </w:t>
      </w:r>
      <w:r w:rsidRPr="00AB11B2">
        <w:t>1</w:t>
      </w:r>
      <w:r>
        <w:t xml:space="preserve"> </w:t>
      </w:r>
      <w:r w:rsidRPr="00AB11B2">
        <w:t>provozování</w:t>
      </w:r>
      <w:r>
        <w:t xml:space="preserve"> </w:t>
      </w:r>
      <w:r w:rsidRPr="00AB11B2">
        <w:t>dráhy</w:t>
      </w:r>
      <w:r>
        <w:t xml:space="preserve"> </w:t>
      </w:r>
      <w:r w:rsidRPr="00AB11B2">
        <w:t>jinou</w:t>
      </w:r>
      <w:r>
        <w:t xml:space="preserve"> </w:t>
      </w:r>
      <w:r w:rsidRPr="00AB11B2">
        <w:t>oprávněnou</w:t>
      </w:r>
      <w:r>
        <w:t xml:space="preserve"> </w:t>
      </w:r>
      <w:r w:rsidRPr="00AB11B2">
        <w:t>osobou.</w:t>
      </w:r>
    </w:p>
    <w:p w14:paraId="7F171F1A" w14:textId="77777777" w:rsidR="00B2710B" w:rsidRDefault="00B2710B" w:rsidP="00CE2C91">
      <w:pPr>
        <w:pStyle w:val="Textparagrafu"/>
        <w:tabs>
          <w:tab w:val="left" w:pos="406"/>
          <w:tab w:val="left" w:pos="826"/>
        </w:tabs>
        <w:spacing w:before="120" w:after="120"/>
      </w:pPr>
      <w:r w:rsidRPr="00AB11B2">
        <w:t>(4)</w:t>
      </w:r>
      <w:r>
        <w:t xml:space="preserve"> </w:t>
      </w:r>
      <w:r w:rsidRPr="00AB11B2">
        <w:t>Právnická</w:t>
      </w:r>
      <w:r>
        <w:t xml:space="preserve"> </w:t>
      </w:r>
      <w:r w:rsidRPr="00AB11B2">
        <w:t>nebo</w:t>
      </w:r>
      <w:r>
        <w:t xml:space="preserve"> </w:t>
      </w:r>
      <w:r w:rsidRPr="00AB11B2">
        <w:t>podnikající</w:t>
      </w:r>
      <w:r>
        <w:t xml:space="preserve"> </w:t>
      </w:r>
      <w:r w:rsidRPr="00AB11B2">
        <w:t>fyzická</w:t>
      </w:r>
      <w:r>
        <w:t xml:space="preserve"> </w:t>
      </w:r>
      <w:r w:rsidRPr="00AB11B2">
        <w:t>osoba</w:t>
      </w:r>
      <w:r>
        <w:t xml:space="preserve"> </w:t>
      </w:r>
      <w:r w:rsidRPr="00AB11B2">
        <w:t>se</w:t>
      </w:r>
      <w:r>
        <w:t xml:space="preserve"> </w:t>
      </w:r>
      <w:r w:rsidRPr="00AB11B2">
        <w:t>jako</w:t>
      </w:r>
      <w:r>
        <w:t xml:space="preserve"> </w:t>
      </w:r>
      <w:r w:rsidRPr="00AB11B2">
        <w:t>provozovatel</w:t>
      </w:r>
      <w:r>
        <w:t xml:space="preserve"> </w:t>
      </w:r>
      <w:r w:rsidRPr="00AB11B2">
        <w:t>dráhy</w:t>
      </w:r>
      <w:r>
        <w:t xml:space="preserve"> </w:t>
      </w:r>
      <w:r w:rsidRPr="00AB11B2">
        <w:t>dopustí</w:t>
      </w:r>
      <w:r>
        <w:t xml:space="preserve"> </w:t>
      </w:r>
      <w:r w:rsidRPr="00AB11B2">
        <w:t>přestupku</w:t>
      </w:r>
      <w:r>
        <w:t xml:space="preserve"> </w:t>
      </w:r>
      <w:r w:rsidRPr="00AB11B2">
        <w:t>tím,</w:t>
      </w:r>
      <w:r>
        <w:t xml:space="preserve"> </w:t>
      </w:r>
      <w:r w:rsidRPr="00AB11B2">
        <w:t>že</w:t>
      </w:r>
    </w:p>
    <w:p w14:paraId="35111D8F" w14:textId="1928FAEF" w:rsidR="00B2710B" w:rsidRDefault="00B2710B" w:rsidP="00812ECA">
      <w:pPr>
        <w:pStyle w:val="Textparagrafu"/>
        <w:tabs>
          <w:tab w:val="left" w:pos="406"/>
          <w:tab w:val="left" w:pos="826"/>
        </w:tabs>
        <w:spacing w:before="0"/>
        <w:ind w:left="426" w:hanging="426"/>
      </w:pPr>
      <w:r w:rsidRPr="00AB11B2">
        <w:t>a)</w:t>
      </w:r>
      <w:r w:rsidR="00812ECA">
        <w:tab/>
      </w:r>
      <w:r w:rsidRPr="00AB11B2">
        <w:t>neoznámí</w:t>
      </w:r>
      <w:r>
        <w:t xml:space="preserve"> </w:t>
      </w:r>
      <w:r w:rsidRPr="00AB11B2">
        <w:t>podle</w:t>
      </w:r>
      <w:r>
        <w:t xml:space="preserve"> </w:t>
      </w:r>
      <w:r w:rsidRPr="00AB11B2">
        <w:t>§</w:t>
      </w:r>
      <w:r>
        <w:t xml:space="preserve"> </w:t>
      </w:r>
      <w:r w:rsidRPr="00AB11B2">
        <w:t>17</w:t>
      </w:r>
      <w:r>
        <w:t xml:space="preserve"> </w:t>
      </w:r>
      <w:r w:rsidRPr="00AB11B2">
        <w:t>odst.</w:t>
      </w:r>
      <w:r>
        <w:t xml:space="preserve"> </w:t>
      </w:r>
      <w:r w:rsidRPr="00AB11B2">
        <w:t>2</w:t>
      </w:r>
      <w:r>
        <w:t xml:space="preserve"> </w:t>
      </w:r>
      <w:r w:rsidRPr="00AB11B2">
        <w:t>drážnímu</w:t>
      </w:r>
      <w:r>
        <w:t xml:space="preserve"> </w:t>
      </w:r>
      <w:r w:rsidRPr="00AB11B2">
        <w:t>správnímu</w:t>
      </w:r>
      <w:r>
        <w:t xml:space="preserve"> </w:t>
      </w:r>
      <w:r w:rsidRPr="00AB11B2">
        <w:t>úřadu</w:t>
      </w:r>
      <w:r>
        <w:t xml:space="preserve"> </w:t>
      </w:r>
      <w:r w:rsidRPr="00AB11B2">
        <w:t>změny</w:t>
      </w:r>
      <w:r>
        <w:t xml:space="preserve"> </w:t>
      </w:r>
      <w:r w:rsidRPr="00AB11B2">
        <w:t>týkající</w:t>
      </w:r>
      <w:r>
        <w:t xml:space="preserve"> </w:t>
      </w:r>
      <w:r w:rsidRPr="00AB11B2">
        <w:t>se</w:t>
      </w:r>
      <w:r>
        <w:t xml:space="preserve"> </w:t>
      </w:r>
      <w:r w:rsidRPr="00AB11B2">
        <w:t>údajů</w:t>
      </w:r>
      <w:r>
        <w:t xml:space="preserve"> </w:t>
      </w:r>
      <w:r w:rsidRPr="00AB11B2">
        <w:t>a</w:t>
      </w:r>
      <w:r>
        <w:t xml:space="preserve"> </w:t>
      </w:r>
      <w:r w:rsidRPr="00AB11B2">
        <w:t>dokladů,</w:t>
      </w:r>
      <w:r>
        <w:t xml:space="preserve"> </w:t>
      </w:r>
      <w:r w:rsidRPr="00AB11B2">
        <w:t>které</w:t>
      </w:r>
      <w:r>
        <w:t xml:space="preserve"> </w:t>
      </w:r>
      <w:r w:rsidRPr="00AB11B2">
        <w:t>jsou</w:t>
      </w:r>
      <w:r>
        <w:t xml:space="preserve"> </w:t>
      </w:r>
      <w:r w:rsidRPr="00AB11B2">
        <w:t>stanoveny</w:t>
      </w:r>
      <w:r>
        <w:t xml:space="preserve"> </w:t>
      </w:r>
      <w:r w:rsidRPr="00AB11B2">
        <w:t>jako</w:t>
      </w:r>
      <w:r>
        <w:t xml:space="preserve"> </w:t>
      </w:r>
      <w:r w:rsidRPr="00AB11B2">
        <w:t>náležitosti</w:t>
      </w:r>
      <w:r>
        <w:t xml:space="preserve"> </w:t>
      </w:r>
      <w:r w:rsidRPr="00AB11B2">
        <w:t>žádosti</w:t>
      </w:r>
      <w:r>
        <w:t xml:space="preserve"> </w:t>
      </w:r>
      <w:r w:rsidRPr="00AB11B2">
        <w:t>o</w:t>
      </w:r>
      <w:r>
        <w:t xml:space="preserve"> </w:t>
      </w:r>
      <w:r w:rsidRPr="00AB11B2">
        <w:t>vydání</w:t>
      </w:r>
      <w:r>
        <w:t xml:space="preserve"> </w:t>
      </w:r>
      <w:r w:rsidRPr="00AB11B2">
        <w:t>úředního</w:t>
      </w:r>
      <w:r>
        <w:t xml:space="preserve"> </w:t>
      </w:r>
      <w:r w:rsidRPr="00AB11B2">
        <w:t>povolení,</w:t>
      </w:r>
      <w:r>
        <w:t xml:space="preserve"> </w:t>
      </w:r>
      <w:r w:rsidRPr="00AB11B2">
        <w:t>nebo</w:t>
      </w:r>
      <w:r>
        <w:t xml:space="preserve"> </w:t>
      </w:r>
      <w:r w:rsidRPr="00AB11B2">
        <w:t>o</w:t>
      </w:r>
      <w:r>
        <w:t xml:space="preserve"> </w:t>
      </w:r>
      <w:r w:rsidRPr="00AB11B2">
        <w:t>nich</w:t>
      </w:r>
      <w:r>
        <w:t xml:space="preserve"> </w:t>
      </w:r>
      <w:r w:rsidRPr="00AB11B2">
        <w:t>nepředloží</w:t>
      </w:r>
      <w:r>
        <w:t xml:space="preserve"> </w:t>
      </w:r>
      <w:r w:rsidRPr="00AB11B2">
        <w:t>doklady,</w:t>
      </w:r>
    </w:p>
    <w:p w14:paraId="6CA7CD30" w14:textId="57C3A155" w:rsidR="00B2710B" w:rsidRPr="0009361C" w:rsidRDefault="00B2710B" w:rsidP="00812ECA">
      <w:pPr>
        <w:pStyle w:val="Textparagrafu"/>
        <w:tabs>
          <w:tab w:val="left" w:pos="406"/>
          <w:tab w:val="left" w:pos="826"/>
        </w:tabs>
        <w:spacing w:before="0"/>
        <w:ind w:left="426" w:hanging="426"/>
        <w:rPr>
          <w:szCs w:val="24"/>
        </w:rPr>
      </w:pPr>
      <w:r w:rsidRPr="00AB11B2">
        <w:t>b)</w:t>
      </w:r>
      <w:r w:rsidR="00812ECA">
        <w:tab/>
      </w:r>
      <w:r w:rsidRPr="00AB11B2">
        <w:t>nevyrozumí</w:t>
      </w:r>
      <w:r>
        <w:t xml:space="preserve"> </w:t>
      </w:r>
      <w:r w:rsidRPr="0009361C">
        <w:rPr>
          <w:szCs w:val="24"/>
        </w:rPr>
        <w:t>podle § 18 odst. 1 před podáním návrhu na zrušení úředního povolení k provozování dráhy o této skutečnosti drážní správní úřad nebo vlastníka dráhy,</w:t>
      </w:r>
    </w:p>
    <w:p w14:paraId="7C77AD42" w14:textId="5F76204D" w:rsidR="00B2710B" w:rsidRPr="0009361C" w:rsidRDefault="00812ECA" w:rsidP="00812ECA">
      <w:pPr>
        <w:pStyle w:val="Textparagrafu"/>
        <w:tabs>
          <w:tab w:val="left" w:pos="406"/>
          <w:tab w:val="left" w:pos="826"/>
        </w:tabs>
        <w:spacing w:before="0"/>
        <w:ind w:left="426" w:hanging="426"/>
        <w:rPr>
          <w:szCs w:val="24"/>
        </w:rPr>
      </w:pPr>
      <w:r>
        <w:rPr>
          <w:szCs w:val="24"/>
        </w:rPr>
        <w:t>c)</w:t>
      </w:r>
      <w:r>
        <w:rPr>
          <w:szCs w:val="24"/>
        </w:rPr>
        <w:tab/>
      </w:r>
      <w:r w:rsidR="00B2710B" w:rsidRPr="0009361C">
        <w:rPr>
          <w:szCs w:val="24"/>
        </w:rPr>
        <w:t>provozuje dráhu v rozporu s § 22 odst. 1 písm. a),</w:t>
      </w:r>
    </w:p>
    <w:p w14:paraId="163EC2E0" w14:textId="3B9F75E9" w:rsidR="00B2710B" w:rsidRPr="0009361C" w:rsidRDefault="00812ECA" w:rsidP="00812ECA">
      <w:pPr>
        <w:pStyle w:val="Textparagrafu"/>
        <w:tabs>
          <w:tab w:val="left" w:pos="406"/>
          <w:tab w:val="left" w:pos="826"/>
        </w:tabs>
        <w:spacing w:before="0"/>
        <w:ind w:left="426" w:hanging="426"/>
        <w:rPr>
          <w:szCs w:val="24"/>
        </w:rPr>
      </w:pPr>
      <w:r>
        <w:rPr>
          <w:szCs w:val="24"/>
        </w:rPr>
        <w:t>d)</w:t>
      </w:r>
      <w:r>
        <w:rPr>
          <w:szCs w:val="24"/>
        </w:rPr>
        <w:tab/>
      </w:r>
      <w:r w:rsidR="00B2710B" w:rsidRPr="0009361C">
        <w:rPr>
          <w:szCs w:val="24"/>
        </w:rPr>
        <w:t>nezajistí v souladu s § 22 odst. 1 písm. c), aby provozování dráhy prováděla osoba zdravotně a odborně způsobilá,</w:t>
      </w:r>
    </w:p>
    <w:p w14:paraId="00C6D5A2" w14:textId="1F4387DD" w:rsidR="00B2710B" w:rsidRPr="0009361C" w:rsidRDefault="00812ECA" w:rsidP="00812ECA">
      <w:pPr>
        <w:pStyle w:val="Textparagrafu"/>
        <w:tabs>
          <w:tab w:val="left" w:pos="406"/>
          <w:tab w:val="left" w:pos="826"/>
        </w:tabs>
        <w:spacing w:before="0"/>
        <w:ind w:left="426" w:hanging="426"/>
        <w:rPr>
          <w:szCs w:val="24"/>
        </w:rPr>
      </w:pPr>
      <w:r>
        <w:rPr>
          <w:szCs w:val="24"/>
        </w:rPr>
        <w:t>e)</w:t>
      </w:r>
      <w:r>
        <w:rPr>
          <w:szCs w:val="24"/>
        </w:rPr>
        <w:tab/>
      </w:r>
      <w:r w:rsidR="00B2710B" w:rsidRPr="0009361C">
        <w:rPr>
          <w:szCs w:val="24"/>
        </w:rPr>
        <w:t>nezveřejní v souladu s § 22 odst. 1 písm. d) jízdní řády pro veřejnou drážní osobní dopravu a jejich změny,</w:t>
      </w:r>
    </w:p>
    <w:p w14:paraId="66FE5B8D" w14:textId="1C38CE93" w:rsidR="00B2710B" w:rsidRDefault="00B2710B" w:rsidP="00812ECA">
      <w:pPr>
        <w:pStyle w:val="Textparagrafu"/>
        <w:tabs>
          <w:tab w:val="left" w:pos="406"/>
          <w:tab w:val="left" w:pos="826"/>
        </w:tabs>
        <w:spacing w:before="0"/>
        <w:ind w:left="426" w:hanging="426"/>
      </w:pPr>
      <w:r w:rsidRPr="00AB11B2">
        <w:lastRenderedPageBreak/>
        <w:t>f)</w:t>
      </w:r>
      <w:r w:rsidR="00812ECA">
        <w:tab/>
      </w:r>
      <w:r w:rsidRPr="00AB11B2">
        <w:t>neoznačí</w:t>
      </w:r>
      <w:r>
        <w:t xml:space="preserve"> </w:t>
      </w:r>
      <w:r w:rsidRPr="00AB11B2">
        <w:t>názvy</w:t>
      </w:r>
      <w:r>
        <w:t xml:space="preserve"> </w:t>
      </w:r>
      <w:r w:rsidRPr="00AB11B2">
        <w:t>stanic</w:t>
      </w:r>
      <w:r>
        <w:t xml:space="preserve"> </w:t>
      </w:r>
      <w:r w:rsidRPr="00AB11B2">
        <w:t>(zastávek),</w:t>
      </w:r>
      <w:r>
        <w:t xml:space="preserve"> </w:t>
      </w:r>
      <w:r w:rsidRPr="00AB11B2">
        <w:t>které</w:t>
      </w:r>
      <w:r>
        <w:t xml:space="preserve"> </w:t>
      </w:r>
      <w:r w:rsidRPr="00AB11B2">
        <w:t>provozuje</w:t>
      </w:r>
      <w:r>
        <w:t xml:space="preserve"> </w:t>
      </w:r>
      <w:r w:rsidRPr="00AB11B2">
        <w:t>podle</w:t>
      </w:r>
      <w:r>
        <w:t xml:space="preserve"> </w:t>
      </w:r>
      <w:r w:rsidRPr="00AB11B2">
        <w:t>§</w:t>
      </w:r>
      <w:r>
        <w:t xml:space="preserve"> </w:t>
      </w:r>
      <w:r w:rsidRPr="00AB11B2">
        <w:t>22</w:t>
      </w:r>
      <w:r>
        <w:t xml:space="preserve"> </w:t>
      </w:r>
      <w:r w:rsidRPr="00AB11B2">
        <w:t>odst.</w:t>
      </w:r>
      <w:r>
        <w:t xml:space="preserve"> </w:t>
      </w:r>
      <w:r w:rsidRPr="00AB11B2">
        <w:t>1</w:t>
      </w:r>
      <w:r>
        <w:t xml:space="preserve"> </w:t>
      </w:r>
      <w:r w:rsidRPr="00AB11B2">
        <w:t>písm.</w:t>
      </w:r>
      <w:r>
        <w:t xml:space="preserve"> </w:t>
      </w:r>
      <w:r w:rsidRPr="00AB11B2">
        <w:t>e),</w:t>
      </w:r>
    </w:p>
    <w:p w14:paraId="470B16CD" w14:textId="6C5190E5" w:rsidR="00B2710B" w:rsidRDefault="00B2710B" w:rsidP="00812ECA">
      <w:pPr>
        <w:pStyle w:val="Textparagrafu"/>
        <w:tabs>
          <w:tab w:val="left" w:pos="406"/>
          <w:tab w:val="left" w:pos="826"/>
        </w:tabs>
        <w:spacing w:before="0"/>
        <w:ind w:left="426" w:hanging="426"/>
      </w:pPr>
      <w:r w:rsidRPr="00AB11B2">
        <w:t>g)</w:t>
      </w:r>
      <w:r w:rsidR="00812ECA">
        <w:tab/>
      </w:r>
      <w:r w:rsidRPr="00AB11B2">
        <w:t>omezí</w:t>
      </w:r>
      <w:r>
        <w:t xml:space="preserve"> </w:t>
      </w:r>
      <w:r w:rsidRPr="00AB11B2">
        <w:t>provozování</w:t>
      </w:r>
      <w:r>
        <w:t xml:space="preserve"> </w:t>
      </w:r>
      <w:r w:rsidRPr="00AB11B2">
        <w:t>dráhy</w:t>
      </w:r>
      <w:r>
        <w:t xml:space="preserve"> </w:t>
      </w:r>
      <w:r w:rsidRPr="00AB11B2">
        <w:t>nebo</w:t>
      </w:r>
      <w:r>
        <w:t xml:space="preserve"> </w:t>
      </w:r>
      <w:r w:rsidRPr="00AB11B2">
        <w:t>její</w:t>
      </w:r>
      <w:r>
        <w:t xml:space="preserve"> </w:t>
      </w:r>
      <w:r w:rsidRPr="00AB11B2">
        <w:t>části</w:t>
      </w:r>
      <w:r>
        <w:t xml:space="preserve"> </w:t>
      </w:r>
      <w:r w:rsidRPr="00AB11B2">
        <w:t>v</w:t>
      </w:r>
      <w:r>
        <w:t xml:space="preserve"> </w:t>
      </w:r>
      <w:r w:rsidRPr="00AB11B2">
        <w:t>rozporu</w:t>
      </w:r>
      <w:r>
        <w:t xml:space="preserve"> </w:t>
      </w:r>
      <w:r w:rsidRPr="00AB11B2">
        <w:t>s</w:t>
      </w:r>
      <w:r>
        <w:t xml:space="preserve"> </w:t>
      </w:r>
      <w:r w:rsidRPr="00AB11B2">
        <w:t>§</w:t>
      </w:r>
      <w:r>
        <w:t xml:space="preserve"> </w:t>
      </w:r>
      <w:r w:rsidRPr="00AB11B2">
        <w:t>23b</w:t>
      </w:r>
      <w:r>
        <w:t xml:space="preserve"> </w:t>
      </w:r>
      <w:r w:rsidRPr="00AB11B2">
        <w:t>nebo</w:t>
      </w:r>
      <w:r>
        <w:t xml:space="preserve"> </w:t>
      </w:r>
      <w:r w:rsidRPr="00AB11B2">
        <w:t>§</w:t>
      </w:r>
      <w:r>
        <w:t xml:space="preserve"> </w:t>
      </w:r>
      <w:r w:rsidRPr="00AB11B2">
        <w:t>23c</w:t>
      </w:r>
      <w:r>
        <w:t xml:space="preserve"> </w:t>
      </w:r>
      <w:r w:rsidRPr="00AB11B2">
        <w:t>odst.</w:t>
      </w:r>
      <w:r>
        <w:t xml:space="preserve"> </w:t>
      </w:r>
      <w:r w:rsidRPr="00AB11B2">
        <w:t>3</w:t>
      </w:r>
      <w:r>
        <w:t xml:space="preserve"> </w:t>
      </w:r>
      <w:r w:rsidRPr="00AB11B2">
        <w:t>nebo</w:t>
      </w:r>
      <w:r>
        <w:t xml:space="preserve"> </w:t>
      </w:r>
      <w:r w:rsidRPr="00AB11B2">
        <w:t>7</w:t>
      </w:r>
      <w:r>
        <w:t xml:space="preserve"> </w:t>
      </w:r>
      <w:r w:rsidRPr="00AB11B2">
        <w:t>nebo</w:t>
      </w:r>
      <w:r>
        <w:t xml:space="preserve"> </w:t>
      </w:r>
      <w:r w:rsidRPr="00AB11B2">
        <w:t>v</w:t>
      </w:r>
      <w:r>
        <w:t xml:space="preserve"> </w:t>
      </w:r>
      <w:r w:rsidRPr="00AB11B2">
        <w:t>rozporu</w:t>
      </w:r>
      <w:r>
        <w:t xml:space="preserve"> </w:t>
      </w:r>
      <w:r w:rsidRPr="00AB11B2">
        <w:t>s</w:t>
      </w:r>
      <w:r>
        <w:t xml:space="preserve"> </w:t>
      </w:r>
      <w:r w:rsidRPr="00AB11B2">
        <w:t>§</w:t>
      </w:r>
      <w:r>
        <w:t xml:space="preserve"> </w:t>
      </w:r>
      <w:r w:rsidRPr="00AB11B2">
        <w:t>23c</w:t>
      </w:r>
      <w:r>
        <w:t xml:space="preserve"> </w:t>
      </w:r>
      <w:r w:rsidRPr="00AB11B2">
        <w:t>odst.</w:t>
      </w:r>
      <w:r>
        <w:t xml:space="preserve"> </w:t>
      </w:r>
      <w:r w:rsidRPr="00AB11B2">
        <w:t>4</w:t>
      </w:r>
      <w:r>
        <w:t xml:space="preserve"> </w:t>
      </w:r>
      <w:r w:rsidRPr="00AB11B2">
        <w:t>o</w:t>
      </w:r>
      <w:r>
        <w:t xml:space="preserve"> </w:t>
      </w:r>
      <w:r w:rsidRPr="00AB11B2">
        <w:t>tomto</w:t>
      </w:r>
      <w:r>
        <w:t xml:space="preserve"> </w:t>
      </w:r>
      <w:r w:rsidRPr="00AB11B2">
        <w:t>omezení</w:t>
      </w:r>
      <w:r>
        <w:t xml:space="preserve"> </w:t>
      </w:r>
      <w:r w:rsidRPr="00AB11B2">
        <w:t>nevyrozumí</w:t>
      </w:r>
      <w:r>
        <w:t xml:space="preserve"> </w:t>
      </w:r>
      <w:r w:rsidRPr="00AB11B2">
        <w:t>dopravce,</w:t>
      </w:r>
      <w:r>
        <w:t xml:space="preserve"> </w:t>
      </w:r>
      <w:r w:rsidRPr="00AB11B2">
        <w:t>vlastníka</w:t>
      </w:r>
      <w:r>
        <w:t xml:space="preserve"> </w:t>
      </w:r>
      <w:r w:rsidRPr="00AB11B2">
        <w:t>dráhy,</w:t>
      </w:r>
      <w:r>
        <w:t xml:space="preserve"> </w:t>
      </w:r>
      <w:r w:rsidRPr="00AB11B2">
        <w:t>provozovatele</w:t>
      </w:r>
      <w:r>
        <w:t xml:space="preserve"> </w:t>
      </w:r>
      <w:r w:rsidRPr="00AB11B2">
        <w:t>dráhy,</w:t>
      </w:r>
      <w:r>
        <w:t xml:space="preserve"> </w:t>
      </w:r>
      <w:r w:rsidRPr="00AB11B2">
        <w:t>Úřad</w:t>
      </w:r>
      <w:r>
        <w:t xml:space="preserve"> </w:t>
      </w:r>
      <w:r w:rsidRPr="00AB11B2">
        <w:t>nebo</w:t>
      </w:r>
      <w:r>
        <w:t xml:space="preserve"> </w:t>
      </w:r>
      <w:r w:rsidRPr="00AB11B2">
        <w:t>drážní</w:t>
      </w:r>
      <w:r>
        <w:t xml:space="preserve"> </w:t>
      </w:r>
      <w:r w:rsidRPr="00AB11B2">
        <w:t>správní</w:t>
      </w:r>
      <w:r>
        <w:t xml:space="preserve"> </w:t>
      </w:r>
      <w:r w:rsidRPr="00AB11B2">
        <w:t>úřad,</w:t>
      </w:r>
    </w:p>
    <w:p w14:paraId="0F768EF7" w14:textId="03BC90CD" w:rsidR="00B2710B" w:rsidRDefault="00B2710B" w:rsidP="00812ECA">
      <w:pPr>
        <w:pStyle w:val="Textparagrafu"/>
        <w:tabs>
          <w:tab w:val="left" w:pos="406"/>
          <w:tab w:val="left" w:pos="826"/>
        </w:tabs>
        <w:spacing w:before="0"/>
        <w:ind w:left="426" w:hanging="426"/>
      </w:pPr>
      <w:r w:rsidRPr="00AB11B2">
        <w:t>h)</w:t>
      </w:r>
      <w:r w:rsidR="00812ECA">
        <w:tab/>
      </w:r>
      <w:r w:rsidRPr="00AB11B2">
        <w:t>v</w:t>
      </w:r>
      <w:r>
        <w:t xml:space="preserve"> </w:t>
      </w:r>
      <w:r w:rsidRPr="00AB11B2">
        <w:t>rozporu</w:t>
      </w:r>
      <w:r>
        <w:t xml:space="preserve"> </w:t>
      </w:r>
      <w:r w:rsidRPr="00AB11B2">
        <w:t>s</w:t>
      </w:r>
      <w:r>
        <w:t xml:space="preserve"> </w:t>
      </w:r>
      <w:r w:rsidRPr="00AB11B2">
        <w:t>§</w:t>
      </w:r>
      <w:r>
        <w:t xml:space="preserve"> </w:t>
      </w:r>
      <w:r w:rsidRPr="00AB11B2">
        <w:t>22b</w:t>
      </w:r>
      <w:r>
        <w:t xml:space="preserve"> </w:t>
      </w:r>
      <w:r w:rsidRPr="00AB11B2">
        <w:t>odst.</w:t>
      </w:r>
      <w:r>
        <w:t xml:space="preserve"> </w:t>
      </w:r>
      <w:r w:rsidRPr="00AB11B2">
        <w:t>1</w:t>
      </w:r>
      <w:r>
        <w:t xml:space="preserve"> </w:t>
      </w:r>
      <w:r w:rsidRPr="00AB11B2">
        <w:t>nevydá</w:t>
      </w:r>
      <w:r>
        <w:t xml:space="preserve"> </w:t>
      </w:r>
      <w:r w:rsidRPr="00AB11B2">
        <w:t>vnitřní</w:t>
      </w:r>
      <w:r>
        <w:t xml:space="preserve"> </w:t>
      </w:r>
      <w:r w:rsidRPr="00AB11B2">
        <w:t>předpis,</w:t>
      </w:r>
      <w:r>
        <w:t xml:space="preserve"> </w:t>
      </w:r>
      <w:r w:rsidRPr="00AB11B2">
        <w:t>kterým</w:t>
      </w:r>
      <w:r>
        <w:t xml:space="preserve"> </w:t>
      </w:r>
      <w:r w:rsidRPr="00AB11B2">
        <w:t>stanoví</w:t>
      </w:r>
      <w:r>
        <w:t xml:space="preserve"> </w:t>
      </w:r>
      <w:r w:rsidRPr="00AB11B2">
        <w:t>opatření</w:t>
      </w:r>
      <w:r>
        <w:t xml:space="preserve"> </w:t>
      </w:r>
      <w:r w:rsidRPr="00AB11B2">
        <w:t>k</w:t>
      </w:r>
      <w:r>
        <w:t xml:space="preserve"> </w:t>
      </w:r>
      <w:r w:rsidRPr="00AB11B2">
        <w:t>vyloučení</w:t>
      </w:r>
      <w:r>
        <w:t xml:space="preserve"> </w:t>
      </w:r>
      <w:r w:rsidRPr="00AB11B2">
        <w:t>diskriminačního</w:t>
      </w:r>
      <w:r>
        <w:t xml:space="preserve"> </w:t>
      </w:r>
      <w:r w:rsidRPr="00AB11B2">
        <w:t>jednání</w:t>
      </w:r>
      <w:r>
        <w:t xml:space="preserve"> </w:t>
      </w:r>
      <w:r w:rsidRPr="00AB11B2">
        <w:t>a</w:t>
      </w:r>
      <w:r>
        <w:t xml:space="preserve"> </w:t>
      </w:r>
      <w:r w:rsidRPr="00AB11B2">
        <w:t>střetu</w:t>
      </w:r>
      <w:r>
        <w:t xml:space="preserve"> </w:t>
      </w:r>
      <w:r w:rsidRPr="00AB11B2">
        <w:t>zájmů</w:t>
      </w:r>
      <w:r>
        <w:t xml:space="preserve"> </w:t>
      </w:r>
      <w:r w:rsidRPr="00AB11B2">
        <w:t>členů</w:t>
      </w:r>
      <w:r>
        <w:t xml:space="preserve"> </w:t>
      </w:r>
      <w:r w:rsidRPr="00AB11B2">
        <w:t>statutárního</w:t>
      </w:r>
      <w:r>
        <w:t xml:space="preserve"> </w:t>
      </w:r>
      <w:r w:rsidRPr="00AB11B2">
        <w:t>nebo</w:t>
      </w:r>
      <w:r>
        <w:t xml:space="preserve"> </w:t>
      </w:r>
      <w:r w:rsidRPr="00AB11B2">
        <w:t>kontrolního</w:t>
      </w:r>
      <w:r>
        <w:t xml:space="preserve"> </w:t>
      </w:r>
      <w:r w:rsidRPr="00AB11B2">
        <w:t>orgánu</w:t>
      </w:r>
      <w:r>
        <w:t xml:space="preserve"> </w:t>
      </w:r>
      <w:r w:rsidRPr="00AB11B2">
        <w:t>a</w:t>
      </w:r>
      <w:r>
        <w:t xml:space="preserve"> </w:t>
      </w:r>
      <w:r w:rsidRPr="00AB11B2">
        <w:t>vedoucích</w:t>
      </w:r>
      <w:r>
        <w:t xml:space="preserve"> </w:t>
      </w:r>
      <w:r w:rsidRPr="00AB11B2">
        <w:t>zaměstnanců</w:t>
      </w:r>
      <w:r>
        <w:t xml:space="preserve"> </w:t>
      </w:r>
      <w:r w:rsidRPr="00AB11B2">
        <w:t>ve</w:t>
      </w:r>
      <w:r>
        <w:t xml:space="preserve"> </w:t>
      </w:r>
      <w:r w:rsidRPr="00AB11B2">
        <w:t>vztahu</w:t>
      </w:r>
      <w:r>
        <w:t xml:space="preserve"> </w:t>
      </w:r>
      <w:r w:rsidRPr="00AB11B2">
        <w:t>k</w:t>
      </w:r>
      <w:r>
        <w:t xml:space="preserve"> </w:t>
      </w:r>
      <w:r w:rsidRPr="00AB11B2">
        <w:t>dopravcům,</w:t>
      </w:r>
      <w:r>
        <w:t xml:space="preserve"> </w:t>
      </w:r>
      <w:r w:rsidRPr="00AB11B2">
        <w:t>nebo</w:t>
      </w:r>
      <w:r>
        <w:t xml:space="preserve"> </w:t>
      </w:r>
      <w:r w:rsidRPr="00AB11B2">
        <w:t>nezajistí</w:t>
      </w:r>
      <w:r>
        <w:t xml:space="preserve"> </w:t>
      </w:r>
      <w:r w:rsidRPr="00AB11B2">
        <w:t>jeho</w:t>
      </w:r>
      <w:r>
        <w:t xml:space="preserve"> </w:t>
      </w:r>
      <w:r w:rsidRPr="00AB11B2">
        <w:t>dodržování,</w:t>
      </w:r>
    </w:p>
    <w:p w14:paraId="52576110" w14:textId="025AEE64" w:rsidR="00B2710B" w:rsidRDefault="00B2710B" w:rsidP="00812ECA">
      <w:pPr>
        <w:pStyle w:val="Textparagrafu"/>
        <w:tabs>
          <w:tab w:val="left" w:pos="406"/>
          <w:tab w:val="left" w:pos="826"/>
        </w:tabs>
        <w:spacing w:before="0"/>
        <w:ind w:left="426" w:hanging="426"/>
      </w:pPr>
      <w:r w:rsidRPr="00AB11B2">
        <w:t>i)</w:t>
      </w:r>
      <w:r w:rsidR="00812ECA">
        <w:tab/>
      </w:r>
      <w:r w:rsidRPr="00AB11B2">
        <w:t>použije</w:t>
      </w:r>
      <w:r>
        <w:t xml:space="preserve"> </w:t>
      </w:r>
      <w:r w:rsidRPr="00AB11B2">
        <w:t>příjmy</w:t>
      </w:r>
      <w:r>
        <w:t xml:space="preserve"> </w:t>
      </w:r>
      <w:r w:rsidRPr="00AB11B2">
        <w:t>z</w:t>
      </w:r>
      <w:r>
        <w:t xml:space="preserve"> </w:t>
      </w:r>
      <w:r w:rsidRPr="00AB11B2">
        <w:t>provozování</w:t>
      </w:r>
      <w:r>
        <w:t xml:space="preserve"> </w:t>
      </w:r>
      <w:r w:rsidRPr="00AB11B2">
        <w:t>dráhy</w:t>
      </w:r>
      <w:r>
        <w:t xml:space="preserve"> </w:t>
      </w:r>
      <w:r w:rsidRPr="00AB11B2">
        <w:t>nebo</w:t>
      </w:r>
      <w:r>
        <w:t xml:space="preserve"> </w:t>
      </w:r>
      <w:r w:rsidRPr="00AB11B2">
        <w:t>finanční</w:t>
      </w:r>
      <w:r>
        <w:t xml:space="preserve"> </w:t>
      </w:r>
      <w:r w:rsidRPr="00AB11B2">
        <w:t>prostředky</w:t>
      </w:r>
      <w:r>
        <w:t xml:space="preserve"> </w:t>
      </w:r>
      <w:r w:rsidRPr="00AB11B2">
        <w:t>poskytnuté</w:t>
      </w:r>
      <w:r>
        <w:t xml:space="preserve"> </w:t>
      </w:r>
      <w:r w:rsidRPr="00AB11B2">
        <w:t>z</w:t>
      </w:r>
      <w:r>
        <w:t xml:space="preserve"> </w:t>
      </w:r>
      <w:r w:rsidRPr="00AB11B2">
        <w:t>veřejných</w:t>
      </w:r>
      <w:r>
        <w:t xml:space="preserve"> </w:t>
      </w:r>
      <w:r w:rsidRPr="00AB11B2">
        <w:t>rozpočtů</w:t>
      </w:r>
      <w:r>
        <w:t xml:space="preserve"> </w:t>
      </w:r>
      <w:r w:rsidRPr="00AB11B2">
        <w:t>k</w:t>
      </w:r>
      <w:r>
        <w:t xml:space="preserve"> </w:t>
      </w:r>
      <w:r w:rsidRPr="00AB11B2">
        <w:t>provozování</w:t>
      </w:r>
      <w:r>
        <w:t xml:space="preserve"> </w:t>
      </w:r>
      <w:r w:rsidRPr="00AB11B2">
        <w:t>dráhy</w:t>
      </w:r>
      <w:r>
        <w:t xml:space="preserve"> </w:t>
      </w:r>
      <w:r w:rsidRPr="00AB11B2">
        <w:t>v</w:t>
      </w:r>
      <w:r>
        <w:t xml:space="preserve"> </w:t>
      </w:r>
      <w:r w:rsidRPr="00AB11B2">
        <w:t>rozporu</w:t>
      </w:r>
      <w:r>
        <w:t xml:space="preserve"> </w:t>
      </w:r>
      <w:r w:rsidRPr="00AB11B2">
        <w:t>s</w:t>
      </w:r>
      <w:r>
        <w:t xml:space="preserve"> </w:t>
      </w:r>
      <w:r w:rsidRPr="00AB11B2">
        <w:t>§</w:t>
      </w:r>
      <w:r>
        <w:t xml:space="preserve"> </w:t>
      </w:r>
      <w:r w:rsidRPr="00AB11B2">
        <w:t>22b</w:t>
      </w:r>
      <w:r>
        <w:t xml:space="preserve"> </w:t>
      </w:r>
      <w:r w:rsidRPr="00AB11B2">
        <w:t>odst.</w:t>
      </w:r>
      <w:r>
        <w:t xml:space="preserve"> </w:t>
      </w:r>
      <w:r w:rsidRPr="00AB11B2">
        <w:t>3</w:t>
      </w:r>
      <w:r>
        <w:t xml:space="preserve"> </w:t>
      </w:r>
      <w:r w:rsidRPr="00AB11B2">
        <w:t>nebo</w:t>
      </w:r>
      <w:r>
        <w:t xml:space="preserve"> </w:t>
      </w:r>
      <w:r w:rsidRPr="00AB11B2">
        <w:t>§</w:t>
      </w:r>
      <w:r>
        <w:t xml:space="preserve"> </w:t>
      </w:r>
      <w:r w:rsidRPr="00AB11B2">
        <w:t>42b</w:t>
      </w:r>
      <w:r>
        <w:t xml:space="preserve"> </w:t>
      </w:r>
      <w:r w:rsidRPr="00AB11B2">
        <w:t>odst.</w:t>
      </w:r>
      <w:r>
        <w:t xml:space="preserve"> </w:t>
      </w:r>
      <w:r w:rsidRPr="00AB11B2">
        <w:t>1,</w:t>
      </w:r>
    </w:p>
    <w:p w14:paraId="7D3379A7" w14:textId="5A1E6558" w:rsidR="00B2710B" w:rsidRDefault="00B2710B" w:rsidP="00812ECA">
      <w:pPr>
        <w:pStyle w:val="Textparagrafu"/>
        <w:tabs>
          <w:tab w:val="left" w:pos="406"/>
          <w:tab w:val="left" w:pos="826"/>
        </w:tabs>
        <w:spacing w:before="0"/>
        <w:ind w:left="426" w:hanging="426"/>
      </w:pPr>
      <w:r w:rsidRPr="00AB11B2">
        <w:t>j)</w:t>
      </w:r>
      <w:r w:rsidR="00812ECA">
        <w:tab/>
      </w:r>
      <w:r w:rsidRPr="00AB11B2">
        <w:t>v</w:t>
      </w:r>
      <w:r>
        <w:t xml:space="preserve"> </w:t>
      </w:r>
      <w:r w:rsidRPr="00AB11B2">
        <w:t>rozporu</w:t>
      </w:r>
      <w:r>
        <w:t xml:space="preserve"> </w:t>
      </w:r>
      <w:r w:rsidRPr="00AB11B2">
        <w:t>s</w:t>
      </w:r>
      <w:r>
        <w:t xml:space="preserve"> </w:t>
      </w:r>
      <w:r w:rsidRPr="00AB11B2">
        <w:t>§</w:t>
      </w:r>
      <w:r>
        <w:t xml:space="preserve"> </w:t>
      </w:r>
      <w:r w:rsidRPr="00AB11B2">
        <w:t>23</w:t>
      </w:r>
      <w:r>
        <w:t xml:space="preserve"> </w:t>
      </w:r>
      <w:r w:rsidRPr="00AB11B2">
        <w:t>odst.</w:t>
      </w:r>
      <w:r>
        <w:t xml:space="preserve"> </w:t>
      </w:r>
      <w:r w:rsidRPr="00AB11B2">
        <w:t>1</w:t>
      </w:r>
      <w:r>
        <w:t xml:space="preserve"> </w:t>
      </w:r>
      <w:r w:rsidRPr="00AB11B2">
        <w:t>písm.</w:t>
      </w:r>
      <w:r>
        <w:t xml:space="preserve"> </w:t>
      </w:r>
      <w:r w:rsidRPr="00AB11B2">
        <w:t>a)</w:t>
      </w:r>
      <w:r>
        <w:t xml:space="preserve"> </w:t>
      </w:r>
      <w:r w:rsidRPr="00AB11B2">
        <w:t>neumožní</w:t>
      </w:r>
      <w:r>
        <w:t xml:space="preserve"> </w:t>
      </w:r>
      <w:r w:rsidRPr="00AB11B2">
        <w:t>dopravcům</w:t>
      </w:r>
      <w:r>
        <w:t xml:space="preserve"> </w:t>
      </w:r>
      <w:r w:rsidRPr="00AB11B2">
        <w:t>využití</w:t>
      </w:r>
      <w:r>
        <w:t xml:space="preserve"> </w:t>
      </w:r>
      <w:r w:rsidRPr="00AB11B2">
        <w:t>přidělené</w:t>
      </w:r>
      <w:r>
        <w:t xml:space="preserve"> </w:t>
      </w:r>
      <w:r w:rsidRPr="00AB11B2">
        <w:t>kapacity</w:t>
      </w:r>
      <w:r>
        <w:t xml:space="preserve"> </w:t>
      </w:r>
      <w:r w:rsidRPr="00AB11B2">
        <w:t>dráhy,</w:t>
      </w:r>
    </w:p>
    <w:p w14:paraId="3ACEE983" w14:textId="35F20B2D" w:rsidR="00B2710B" w:rsidRDefault="00B2710B" w:rsidP="00812ECA">
      <w:pPr>
        <w:pStyle w:val="Textparagrafu"/>
        <w:tabs>
          <w:tab w:val="left" w:pos="406"/>
          <w:tab w:val="left" w:pos="826"/>
        </w:tabs>
        <w:spacing w:before="0"/>
        <w:ind w:left="426" w:hanging="426"/>
      </w:pPr>
      <w:r w:rsidRPr="00AB11B2">
        <w:t>k)</w:t>
      </w:r>
      <w:r w:rsidR="00812ECA">
        <w:tab/>
      </w:r>
      <w:r w:rsidRPr="00AB11B2">
        <w:t>nezajistí</w:t>
      </w:r>
      <w:r>
        <w:t xml:space="preserve"> </w:t>
      </w:r>
      <w:r w:rsidRPr="00AB11B2">
        <w:t>dopravcům</w:t>
      </w:r>
      <w:r>
        <w:t xml:space="preserve"> </w:t>
      </w:r>
      <w:r w:rsidRPr="00AB11B2">
        <w:t>přístup</w:t>
      </w:r>
      <w:r>
        <w:t xml:space="preserve"> </w:t>
      </w:r>
      <w:r w:rsidRPr="00AB11B2">
        <w:t>k</w:t>
      </w:r>
      <w:r>
        <w:t xml:space="preserve"> </w:t>
      </w:r>
      <w:r w:rsidRPr="00AB11B2">
        <w:t>poskytovaným</w:t>
      </w:r>
      <w:r>
        <w:t xml:space="preserve"> </w:t>
      </w:r>
      <w:r w:rsidRPr="00AB11B2">
        <w:t>službám</w:t>
      </w:r>
      <w:r>
        <w:t xml:space="preserve"> </w:t>
      </w:r>
      <w:r w:rsidRPr="00AB11B2">
        <w:t>podle</w:t>
      </w:r>
      <w:r>
        <w:t xml:space="preserve"> </w:t>
      </w:r>
      <w:r w:rsidRPr="00AB11B2">
        <w:t>§</w:t>
      </w:r>
      <w:r>
        <w:t xml:space="preserve"> </w:t>
      </w:r>
      <w:r w:rsidRPr="00AB11B2">
        <w:t>23</w:t>
      </w:r>
      <w:r>
        <w:t xml:space="preserve"> </w:t>
      </w:r>
      <w:r w:rsidRPr="00AB11B2">
        <w:t>odst.</w:t>
      </w:r>
      <w:r>
        <w:t xml:space="preserve"> </w:t>
      </w:r>
      <w:r w:rsidRPr="00AB11B2">
        <w:t>1</w:t>
      </w:r>
      <w:r>
        <w:t xml:space="preserve"> </w:t>
      </w:r>
      <w:r w:rsidRPr="00AB11B2">
        <w:t>písm.</w:t>
      </w:r>
      <w:r>
        <w:t xml:space="preserve"> </w:t>
      </w:r>
      <w:r w:rsidRPr="00AB11B2">
        <w:t>b),</w:t>
      </w:r>
    </w:p>
    <w:p w14:paraId="2EE12B85" w14:textId="30DBFE59" w:rsidR="00B2710B" w:rsidRDefault="00B2710B" w:rsidP="00812ECA">
      <w:pPr>
        <w:pStyle w:val="Textparagrafu"/>
        <w:tabs>
          <w:tab w:val="left" w:pos="406"/>
          <w:tab w:val="left" w:pos="826"/>
        </w:tabs>
        <w:spacing w:before="0"/>
        <w:ind w:left="426" w:hanging="426"/>
      </w:pPr>
      <w:r w:rsidRPr="00AB11B2">
        <w:t>l)</w:t>
      </w:r>
      <w:r w:rsidR="00812ECA">
        <w:tab/>
      </w:r>
      <w:r w:rsidRPr="00AB11B2">
        <w:t>v</w:t>
      </w:r>
      <w:r>
        <w:t xml:space="preserve"> </w:t>
      </w:r>
      <w:r w:rsidRPr="00AB11B2">
        <w:t>rozporu</w:t>
      </w:r>
      <w:r>
        <w:t xml:space="preserve"> </w:t>
      </w:r>
      <w:r w:rsidRPr="00AB11B2">
        <w:t>s</w:t>
      </w:r>
      <w:r>
        <w:t xml:space="preserve"> </w:t>
      </w:r>
      <w:r w:rsidRPr="00AB11B2">
        <w:t>§</w:t>
      </w:r>
      <w:r>
        <w:t xml:space="preserve"> </w:t>
      </w:r>
      <w:r w:rsidRPr="00AB11B2">
        <w:t>23</w:t>
      </w:r>
      <w:r>
        <w:t xml:space="preserve"> </w:t>
      </w:r>
      <w:r w:rsidRPr="00AB11B2">
        <w:t>odst.</w:t>
      </w:r>
      <w:r>
        <w:t xml:space="preserve"> </w:t>
      </w:r>
      <w:r w:rsidRPr="00AB11B2">
        <w:t>1</w:t>
      </w:r>
      <w:r>
        <w:t xml:space="preserve"> </w:t>
      </w:r>
      <w:r w:rsidRPr="00AB11B2">
        <w:t>písm.</w:t>
      </w:r>
      <w:r>
        <w:t xml:space="preserve"> </w:t>
      </w:r>
      <w:r w:rsidRPr="00AB11B2">
        <w:t>c)</w:t>
      </w:r>
      <w:r>
        <w:t xml:space="preserve"> </w:t>
      </w:r>
      <w:r w:rsidRPr="00AB11B2">
        <w:t>sjedná</w:t>
      </w:r>
      <w:r>
        <w:t xml:space="preserve"> </w:t>
      </w:r>
      <w:r w:rsidRPr="00AB11B2">
        <w:t>cenu</w:t>
      </w:r>
      <w:r>
        <w:t xml:space="preserve"> </w:t>
      </w:r>
      <w:r w:rsidRPr="00AB11B2">
        <w:t>za</w:t>
      </w:r>
      <w:r>
        <w:t xml:space="preserve"> </w:t>
      </w:r>
      <w:r w:rsidRPr="00AB11B2">
        <w:t>užití</w:t>
      </w:r>
      <w:r>
        <w:t xml:space="preserve"> </w:t>
      </w:r>
      <w:r w:rsidRPr="00AB11B2">
        <w:t>dráhy</w:t>
      </w:r>
      <w:r>
        <w:t xml:space="preserve"> </w:t>
      </w:r>
      <w:r w:rsidRPr="00AB11B2">
        <w:t>a</w:t>
      </w:r>
      <w:r>
        <w:t xml:space="preserve"> </w:t>
      </w:r>
      <w:r w:rsidRPr="00AB11B2">
        <w:t>za</w:t>
      </w:r>
      <w:r>
        <w:t xml:space="preserve"> </w:t>
      </w:r>
      <w:r w:rsidRPr="00AB11B2">
        <w:t>přidělení</w:t>
      </w:r>
      <w:r>
        <w:t xml:space="preserve"> </w:t>
      </w:r>
      <w:r w:rsidRPr="00AB11B2">
        <w:t>její</w:t>
      </w:r>
      <w:r>
        <w:t xml:space="preserve"> </w:t>
      </w:r>
      <w:r w:rsidRPr="00AB11B2">
        <w:t>kapacity</w:t>
      </w:r>
      <w:r>
        <w:t xml:space="preserve"> </w:t>
      </w:r>
      <w:r w:rsidRPr="00AB11B2">
        <w:t>diskriminačním</w:t>
      </w:r>
      <w:r>
        <w:t xml:space="preserve"> </w:t>
      </w:r>
      <w:r w:rsidRPr="00AB11B2">
        <w:t>způsobem,</w:t>
      </w:r>
    </w:p>
    <w:p w14:paraId="0F4F5A7F" w14:textId="41D36C45" w:rsidR="00B2710B" w:rsidRDefault="00B2710B" w:rsidP="00812ECA">
      <w:pPr>
        <w:pStyle w:val="Textparagrafu"/>
        <w:tabs>
          <w:tab w:val="left" w:pos="406"/>
          <w:tab w:val="left" w:pos="826"/>
        </w:tabs>
        <w:spacing w:before="0"/>
        <w:ind w:left="426" w:hanging="426"/>
      </w:pPr>
      <w:r w:rsidRPr="00AB11B2">
        <w:t>m)</w:t>
      </w:r>
      <w:r w:rsidR="00812ECA">
        <w:tab/>
      </w:r>
      <w:r w:rsidRPr="00AB11B2">
        <w:t>v</w:t>
      </w:r>
      <w:r>
        <w:t xml:space="preserve"> </w:t>
      </w:r>
      <w:r w:rsidRPr="00AB11B2">
        <w:t>rozporu</w:t>
      </w:r>
      <w:r>
        <w:t xml:space="preserve"> </w:t>
      </w:r>
      <w:r w:rsidRPr="00AB11B2">
        <w:t>s</w:t>
      </w:r>
      <w:r>
        <w:t xml:space="preserve"> </w:t>
      </w:r>
      <w:r w:rsidRPr="00AB11B2">
        <w:t>§</w:t>
      </w:r>
      <w:r>
        <w:t xml:space="preserve"> </w:t>
      </w:r>
      <w:r w:rsidRPr="00AB11B2">
        <w:t>23</w:t>
      </w:r>
      <w:r>
        <w:t xml:space="preserve"> </w:t>
      </w:r>
      <w:r w:rsidRPr="00AB11B2">
        <w:t>odst.</w:t>
      </w:r>
      <w:r>
        <w:t xml:space="preserve"> </w:t>
      </w:r>
      <w:r w:rsidRPr="00AB11B2">
        <w:t>1</w:t>
      </w:r>
      <w:r>
        <w:t xml:space="preserve"> </w:t>
      </w:r>
      <w:r w:rsidRPr="00AB11B2">
        <w:t>písm.</w:t>
      </w:r>
      <w:r>
        <w:t xml:space="preserve"> </w:t>
      </w:r>
      <w:r w:rsidRPr="00AB11B2">
        <w:t>d)</w:t>
      </w:r>
      <w:r>
        <w:t xml:space="preserve"> </w:t>
      </w:r>
      <w:r w:rsidRPr="00AB11B2">
        <w:t>neumožní</w:t>
      </w:r>
      <w:r>
        <w:t xml:space="preserve"> </w:t>
      </w:r>
      <w:r w:rsidRPr="00AB11B2">
        <w:t>dopravci</w:t>
      </w:r>
      <w:r>
        <w:t xml:space="preserve"> </w:t>
      </w:r>
      <w:r w:rsidRPr="00AB11B2">
        <w:t>provozovat</w:t>
      </w:r>
      <w:r>
        <w:t xml:space="preserve"> </w:t>
      </w:r>
      <w:r w:rsidRPr="00AB11B2">
        <w:t>drážní</w:t>
      </w:r>
      <w:r>
        <w:t xml:space="preserve"> </w:t>
      </w:r>
      <w:r w:rsidRPr="00AB11B2">
        <w:t>dopravu</w:t>
      </w:r>
      <w:r>
        <w:t xml:space="preserve"> </w:t>
      </w:r>
      <w:r w:rsidRPr="00AB11B2">
        <w:t>na</w:t>
      </w:r>
      <w:r>
        <w:t xml:space="preserve"> </w:t>
      </w:r>
      <w:r w:rsidRPr="00AB11B2">
        <w:t>dráze,</w:t>
      </w:r>
    </w:p>
    <w:p w14:paraId="724F710E" w14:textId="039194B5" w:rsidR="00B2710B" w:rsidRDefault="00B2710B" w:rsidP="00812ECA">
      <w:pPr>
        <w:pStyle w:val="Textparagrafu"/>
        <w:tabs>
          <w:tab w:val="left" w:pos="406"/>
          <w:tab w:val="left" w:pos="826"/>
        </w:tabs>
        <w:spacing w:before="0"/>
        <w:ind w:left="426" w:hanging="426"/>
      </w:pPr>
      <w:r w:rsidRPr="00AB11B2">
        <w:t>n)</w:t>
      </w:r>
      <w:r w:rsidR="00812ECA">
        <w:tab/>
      </w:r>
      <w:r w:rsidRPr="00AB11B2">
        <w:t>v</w:t>
      </w:r>
      <w:r>
        <w:t xml:space="preserve"> </w:t>
      </w:r>
      <w:r w:rsidRPr="00AB11B2">
        <w:t>rozporu</w:t>
      </w:r>
      <w:r>
        <w:t xml:space="preserve"> </w:t>
      </w:r>
      <w:r w:rsidRPr="00AB11B2">
        <w:t>s</w:t>
      </w:r>
      <w:r>
        <w:t xml:space="preserve"> </w:t>
      </w:r>
      <w:r w:rsidRPr="00AB11B2">
        <w:t>§</w:t>
      </w:r>
      <w:r>
        <w:t xml:space="preserve"> </w:t>
      </w:r>
      <w:r w:rsidRPr="00AB11B2">
        <w:t>23</w:t>
      </w:r>
      <w:r>
        <w:t xml:space="preserve"> </w:t>
      </w:r>
      <w:r w:rsidRPr="00AB11B2">
        <w:t>odst.</w:t>
      </w:r>
      <w:r>
        <w:t xml:space="preserve"> </w:t>
      </w:r>
      <w:r w:rsidRPr="00AB11B2">
        <w:t>1</w:t>
      </w:r>
      <w:r>
        <w:t xml:space="preserve"> </w:t>
      </w:r>
      <w:r w:rsidRPr="00AB11B2">
        <w:t>písm.</w:t>
      </w:r>
      <w:r>
        <w:t xml:space="preserve"> </w:t>
      </w:r>
      <w:r w:rsidRPr="00AB11B2">
        <w:t>e)</w:t>
      </w:r>
      <w:r>
        <w:t xml:space="preserve"> </w:t>
      </w:r>
      <w:r w:rsidRPr="00AB11B2">
        <w:t>neumožní</w:t>
      </w:r>
      <w:r>
        <w:t xml:space="preserve"> </w:t>
      </w:r>
      <w:r w:rsidRPr="00AB11B2">
        <w:t>dopravci</w:t>
      </w:r>
      <w:r>
        <w:t xml:space="preserve"> </w:t>
      </w:r>
      <w:r w:rsidRPr="00AB11B2">
        <w:t>užití</w:t>
      </w:r>
      <w:r>
        <w:t xml:space="preserve"> </w:t>
      </w:r>
      <w:r w:rsidRPr="00AB11B2">
        <w:t>dráhy</w:t>
      </w:r>
      <w:r>
        <w:t xml:space="preserve"> </w:t>
      </w:r>
      <w:r w:rsidRPr="00AB11B2">
        <w:t>pro</w:t>
      </w:r>
      <w:r>
        <w:t xml:space="preserve"> </w:t>
      </w:r>
      <w:r w:rsidRPr="00AB11B2">
        <w:t>objezd</w:t>
      </w:r>
      <w:r>
        <w:t xml:space="preserve"> </w:t>
      </w:r>
      <w:r w:rsidRPr="00AB11B2">
        <w:t>nesjízdného</w:t>
      </w:r>
      <w:r>
        <w:t xml:space="preserve"> </w:t>
      </w:r>
      <w:r w:rsidRPr="00AB11B2">
        <w:t>úseku,</w:t>
      </w:r>
    </w:p>
    <w:p w14:paraId="6CB12BC1" w14:textId="4A06F082" w:rsidR="00B2710B" w:rsidRDefault="00B2710B" w:rsidP="00812ECA">
      <w:pPr>
        <w:pStyle w:val="Textparagrafu"/>
        <w:tabs>
          <w:tab w:val="left" w:pos="406"/>
          <w:tab w:val="left" w:pos="826"/>
        </w:tabs>
        <w:spacing w:before="0"/>
        <w:ind w:left="426" w:hanging="426"/>
      </w:pPr>
      <w:r w:rsidRPr="00AB11B2">
        <w:t>o)</w:t>
      </w:r>
      <w:r w:rsidR="00812ECA">
        <w:tab/>
      </w:r>
      <w:r w:rsidRPr="00AB11B2">
        <w:t>v</w:t>
      </w:r>
      <w:r>
        <w:t xml:space="preserve"> </w:t>
      </w:r>
      <w:r w:rsidRPr="00AB11B2">
        <w:t>rozporu</w:t>
      </w:r>
      <w:r>
        <w:t xml:space="preserve"> </w:t>
      </w:r>
      <w:r w:rsidRPr="00AB11B2">
        <w:t>s</w:t>
      </w:r>
      <w:r>
        <w:t xml:space="preserve"> </w:t>
      </w:r>
      <w:r w:rsidRPr="00AB11B2">
        <w:t>§</w:t>
      </w:r>
      <w:r>
        <w:t xml:space="preserve"> </w:t>
      </w:r>
      <w:r w:rsidRPr="00AB11B2">
        <w:t>23</w:t>
      </w:r>
      <w:r>
        <w:t xml:space="preserve"> </w:t>
      </w:r>
      <w:r w:rsidRPr="00AB11B2">
        <w:t>odst.</w:t>
      </w:r>
      <w:r>
        <w:t xml:space="preserve"> </w:t>
      </w:r>
      <w:r w:rsidRPr="00AB11B2">
        <w:t>1</w:t>
      </w:r>
      <w:r>
        <w:t xml:space="preserve"> </w:t>
      </w:r>
      <w:r w:rsidRPr="00AB11B2">
        <w:t>písm.</w:t>
      </w:r>
      <w:r>
        <w:t xml:space="preserve"> </w:t>
      </w:r>
      <w:r w:rsidRPr="00AB11B2">
        <w:t>f)</w:t>
      </w:r>
      <w:r>
        <w:t xml:space="preserve"> </w:t>
      </w:r>
      <w:r w:rsidRPr="00AB11B2">
        <w:t>nevede</w:t>
      </w:r>
      <w:r>
        <w:t xml:space="preserve"> </w:t>
      </w:r>
      <w:r w:rsidRPr="00AB11B2">
        <w:t>seznam</w:t>
      </w:r>
      <w:r>
        <w:t xml:space="preserve"> </w:t>
      </w:r>
      <w:r w:rsidRPr="00AB11B2">
        <w:t>provozovaných</w:t>
      </w:r>
      <w:r>
        <w:t xml:space="preserve"> </w:t>
      </w:r>
      <w:r w:rsidRPr="00AB11B2">
        <w:t>drah</w:t>
      </w:r>
      <w:r>
        <w:t xml:space="preserve"> </w:t>
      </w:r>
      <w:r w:rsidRPr="00AB11B2">
        <w:t>a</w:t>
      </w:r>
      <w:r>
        <w:t xml:space="preserve"> </w:t>
      </w:r>
      <w:r w:rsidRPr="00AB11B2">
        <w:t>jejich</w:t>
      </w:r>
      <w:r>
        <w:t xml:space="preserve"> </w:t>
      </w:r>
      <w:r w:rsidRPr="00AB11B2">
        <w:t>součástí,</w:t>
      </w:r>
    </w:p>
    <w:p w14:paraId="63E88D1D" w14:textId="796FB028" w:rsidR="00B2710B" w:rsidRDefault="00B2710B" w:rsidP="00812ECA">
      <w:pPr>
        <w:pStyle w:val="Textparagrafu"/>
        <w:tabs>
          <w:tab w:val="left" w:pos="406"/>
          <w:tab w:val="left" w:pos="826"/>
        </w:tabs>
        <w:spacing w:before="0"/>
        <w:ind w:left="426" w:hanging="426"/>
      </w:pPr>
      <w:r w:rsidRPr="00AB11B2">
        <w:t>p)</w:t>
      </w:r>
      <w:r w:rsidR="00812ECA">
        <w:tab/>
      </w:r>
      <w:r w:rsidRPr="00AB11B2">
        <w:t>provádí</w:t>
      </w:r>
      <w:r>
        <w:t xml:space="preserve"> </w:t>
      </w:r>
      <w:r w:rsidRPr="00AB11B2">
        <w:t>výstavbu,</w:t>
      </w:r>
      <w:r>
        <w:t xml:space="preserve"> </w:t>
      </w:r>
      <w:r w:rsidRPr="00AB11B2">
        <w:t>modernizaci,</w:t>
      </w:r>
      <w:r>
        <w:t xml:space="preserve"> </w:t>
      </w:r>
      <w:r w:rsidRPr="00AB11B2">
        <w:t>údržbu</w:t>
      </w:r>
      <w:r>
        <w:t xml:space="preserve"> </w:t>
      </w:r>
      <w:r w:rsidRPr="00AB11B2">
        <w:t>nebo</w:t>
      </w:r>
      <w:r>
        <w:t xml:space="preserve"> </w:t>
      </w:r>
      <w:r w:rsidRPr="00AB11B2">
        <w:t>opravu</w:t>
      </w:r>
      <w:r>
        <w:t xml:space="preserve"> </w:t>
      </w:r>
      <w:r w:rsidRPr="00AB11B2">
        <w:t>jím</w:t>
      </w:r>
      <w:r>
        <w:t xml:space="preserve"> </w:t>
      </w:r>
      <w:r w:rsidRPr="00AB11B2">
        <w:t>provozované</w:t>
      </w:r>
      <w:r>
        <w:t xml:space="preserve"> </w:t>
      </w:r>
      <w:r w:rsidRPr="00AB11B2">
        <w:t>dráhy</w:t>
      </w:r>
      <w:r>
        <w:t xml:space="preserve"> </w:t>
      </w:r>
      <w:r w:rsidRPr="00AB11B2">
        <w:t>v</w:t>
      </w:r>
      <w:r>
        <w:t xml:space="preserve"> </w:t>
      </w:r>
      <w:r w:rsidRPr="00AB11B2">
        <w:t>rozporu</w:t>
      </w:r>
      <w:r>
        <w:t xml:space="preserve"> </w:t>
      </w:r>
      <w:r w:rsidRPr="00AB11B2">
        <w:t>s</w:t>
      </w:r>
      <w:r>
        <w:t xml:space="preserve"> </w:t>
      </w:r>
      <w:r w:rsidRPr="00AB11B2">
        <w:t>§</w:t>
      </w:r>
      <w:r>
        <w:t xml:space="preserve"> </w:t>
      </w:r>
      <w:r w:rsidRPr="00AB11B2">
        <w:t>23</w:t>
      </w:r>
      <w:r>
        <w:t xml:space="preserve"> </w:t>
      </w:r>
      <w:r w:rsidRPr="00AB11B2">
        <w:t>odst.</w:t>
      </w:r>
      <w:r>
        <w:t xml:space="preserve"> </w:t>
      </w:r>
      <w:r w:rsidRPr="00AB11B2">
        <w:t>1</w:t>
      </w:r>
      <w:r>
        <w:t xml:space="preserve"> </w:t>
      </w:r>
      <w:r w:rsidRPr="00AB11B2">
        <w:t>písm.</w:t>
      </w:r>
      <w:r>
        <w:t xml:space="preserve"> </w:t>
      </w:r>
      <w:r w:rsidRPr="00AB11B2">
        <w:t>h),</w:t>
      </w:r>
    </w:p>
    <w:p w14:paraId="6B7A7111" w14:textId="3A9D391D" w:rsidR="00B2710B" w:rsidRDefault="00B2710B" w:rsidP="00812ECA">
      <w:pPr>
        <w:pStyle w:val="Textparagrafu"/>
        <w:tabs>
          <w:tab w:val="left" w:pos="406"/>
          <w:tab w:val="left" w:pos="826"/>
        </w:tabs>
        <w:spacing w:before="0"/>
        <w:ind w:left="426" w:hanging="426"/>
      </w:pPr>
      <w:r w:rsidRPr="00AB11B2">
        <w:t>q)</w:t>
      </w:r>
      <w:r w:rsidR="00812ECA">
        <w:tab/>
      </w:r>
      <w:r w:rsidRPr="00AB11B2">
        <w:t>v</w:t>
      </w:r>
      <w:r>
        <w:t xml:space="preserve"> </w:t>
      </w:r>
      <w:r w:rsidRPr="00AB11B2">
        <w:t>rozporu</w:t>
      </w:r>
      <w:r>
        <w:t xml:space="preserve"> </w:t>
      </w:r>
      <w:r w:rsidRPr="00AB11B2">
        <w:t>s</w:t>
      </w:r>
      <w:r>
        <w:t xml:space="preserve"> </w:t>
      </w:r>
      <w:r w:rsidRPr="00AB11B2">
        <w:t>§</w:t>
      </w:r>
      <w:r>
        <w:t xml:space="preserve"> </w:t>
      </w:r>
      <w:r w:rsidRPr="00AB11B2">
        <w:t>23</w:t>
      </w:r>
      <w:r>
        <w:t xml:space="preserve"> </w:t>
      </w:r>
      <w:r w:rsidRPr="00AB11B2">
        <w:t>odst.</w:t>
      </w:r>
      <w:r>
        <w:t xml:space="preserve"> </w:t>
      </w:r>
      <w:r w:rsidRPr="00AB11B2">
        <w:t>5</w:t>
      </w:r>
      <w:r>
        <w:t xml:space="preserve"> </w:t>
      </w:r>
      <w:r w:rsidRPr="00AB11B2">
        <w:t>nezpracuje</w:t>
      </w:r>
      <w:r>
        <w:t xml:space="preserve"> </w:t>
      </w:r>
      <w:r w:rsidRPr="00AB11B2">
        <w:t>analýzu</w:t>
      </w:r>
      <w:r>
        <w:t xml:space="preserve"> </w:t>
      </w:r>
      <w:r w:rsidRPr="00AB11B2">
        <w:t>kapacity</w:t>
      </w:r>
      <w:r>
        <w:t xml:space="preserve"> </w:t>
      </w:r>
      <w:r w:rsidRPr="00AB11B2">
        <w:t>přetížené</w:t>
      </w:r>
      <w:r>
        <w:t xml:space="preserve"> </w:t>
      </w:r>
      <w:r w:rsidRPr="00AB11B2">
        <w:t>dráhy,</w:t>
      </w:r>
    </w:p>
    <w:p w14:paraId="535089B8" w14:textId="0DE27B66" w:rsidR="00B2710B" w:rsidRDefault="00B2710B" w:rsidP="00812ECA">
      <w:pPr>
        <w:pStyle w:val="Textparagrafu"/>
        <w:tabs>
          <w:tab w:val="left" w:pos="406"/>
          <w:tab w:val="left" w:pos="826"/>
        </w:tabs>
        <w:spacing w:before="0"/>
        <w:ind w:left="426" w:hanging="426"/>
      </w:pPr>
      <w:r w:rsidRPr="00AB11B2">
        <w:t>r)</w:t>
      </w:r>
      <w:r w:rsidR="00812ECA">
        <w:tab/>
      </w:r>
      <w:r w:rsidRPr="00AB11B2">
        <w:t>v</w:t>
      </w:r>
      <w:r>
        <w:t xml:space="preserve"> </w:t>
      </w:r>
      <w:r w:rsidRPr="00AB11B2">
        <w:t>rozporu</w:t>
      </w:r>
      <w:r>
        <w:t xml:space="preserve"> </w:t>
      </w:r>
      <w:r w:rsidRPr="00AB11B2">
        <w:t>s</w:t>
      </w:r>
      <w:r>
        <w:t xml:space="preserve"> </w:t>
      </w:r>
      <w:r w:rsidRPr="00AB11B2">
        <w:t>§</w:t>
      </w:r>
      <w:r>
        <w:t xml:space="preserve"> </w:t>
      </w:r>
      <w:r w:rsidRPr="00AB11B2">
        <w:t>23</w:t>
      </w:r>
      <w:r>
        <w:t xml:space="preserve"> </w:t>
      </w:r>
      <w:r w:rsidRPr="00AB11B2">
        <w:t>odst.</w:t>
      </w:r>
      <w:r>
        <w:t xml:space="preserve"> </w:t>
      </w:r>
      <w:r w:rsidRPr="00AB11B2">
        <w:t>6</w:t>
      </w:r>
      <w:r>
        <w:t xml:space="preserve"> </w:t>
      </w:r>
      <w:r w:rsidRPr="00AB11B2">
        <w:t>nepřijme</w:t>
      </w:r>
      <w:r>
        <w:t xml:space="preserve"> </w:t>
      </w:r>
      <w:r w:rsidRPr="00AB11B2">
        <w:t>plán</w:t>
      </w:r>
      <w:r>
        <w:t xml:space="preserve"> </w:t>
      </w:r>
      <w:r w:rsidRPr="00AB11B2">
        <w:t>na</w:t>
      </w:r>
      <w:r>
        <w:t xml:space="preserve"> </w:t>
      </w:r>
      <w:r w:rsidRPr="00AB11B2">
        <w:t>zmírnění</w:t>
      </w:r>
      <w:r>
        <w:t xml:space="preserve"> </w:t>
      </w:r>
      <w:r w:rsidRPr="00AB11B2">
        <w:t>nebo</w:t>
      </w:r>
      <w:r>
        <w:t xml:space="preserve"> </w:t>
      </w:r>
      <w:r w:rsidRPr="00AB11B2">
        <w:t>odstranění</w:t>
      </w:r>
      <w:r>
        <w:t xml:space="preserve"> </w:t>
      </w:r>
      <w:r w:rsidRPr="00AB11B2">
        <w:t>přetížení</w:t>
      </w:r>
      <w:r>
        <w:t xml:space="preserve"> </w:t>
      </w:r>
      <w:r w:rsidRPr="00AB11B2">
        <w:t>dráhy,</w:t>
      </w:r>
    </w:p>
    <w:p w14:paraId="53C02B17" w14:textId="19BFD264" w:rsidR="00B2710B" w:rsidRDefault="00B2710B" w:rsidP="00812ECA">
      <w:pPr>
        <w:pStyle w:val="Textparagrafu"/>
        <w:tabs>
          <w:tab w:val="left" w:pos="406"/>
          <w:tab w:val="left" w:pos="826"/>
        </w:tabs>
        <w:spacing w:before="0"/>
        <w:ind w:left="426" w:hanging="426"/>
      </w:pPr>
      <w:r w:rsidRPr="00AB11B2">
        <w:t>s)</w:t>
      </w:r>
      <w:r w:rsidR="00812ECA">
        <w:tab/>
      </w:r>
      <w:r w:rsidRPr="00AB11B2">
        <w:t>v</w:t>
      </w:r>
      <w:r>
        <w:t xml:space="preserve"> </w:t>
      </w:r>
      <w:r w:rsidRPr="00AB11B2">
        <w:t>rozporu</w:t>
      </w:r>
      <w:r>
        <w:t xml:space="preserve"> </w:t>
      </w:r>
      <w:r w:rsidRPr="00AB11B2">
        <w:t>s</w:t>
      </w:r>
      <w:r>
        <w:t xml:space="preserve"> </w:t>
      </w:r>
      <w:r w:rsidRPr="00AB11B2">
        <w:t>§</w:t>
      </w:r>
      <w:r>
        <w:t xml:space="preserve"> </w:t>
      </w:r>
      <w:r w:rsidRPr="00AB11B2">
        <w:t>42a</w:t>
      </w:r>
      <w:r>
        <w:t xml:space="preserve"> </w:t>
      </w:r>
      <w:r w:rsidRPr="00AB11B2">
        <w:t>odst.</w:t>
      </w:r>
      <w:r>
        <w:t xml:space="preserve"> </w:t>
      </w:r>
      <w:r w:rsidRPr="00AB11B2">
        <w:t>3</w:t>
      </w:r>
      <w:r>
        <w:t xml:space="preserve"> </w:t>
      </w:r>
      <w:r w:rsidRPr="00AB11B2">
        <w:t>odmění</w:t>
      </w:r>
      <w:r>
        <w:t xml:space="preserve"> </w:t>
      </w:r>
      <w:r w:rsidRPr="00AB11B2">
        <w:t>člena</w:t>
      </w:r>
      <w:r>
        <w:t xml:space="preserve"> </w:t>
      </w:r>
      <w:r w:rsidRPr="00AB11B2">
        <w:t>svého</w:t>
      </w:r>
      <w:r>
        <w:t xml:space="preserve"> </w:t>
      </w:r>
      <w:r w:rsidRPr="00AB11B2">
        <w:t>statutárního</w:t>
      </w:r>
      <w:r>
        <w:t xml:space="preserve"> </w:t>
      </w:r>
      <w:r w:rsidRPr="00AB11B2">
        <w:t>orgánu</w:t>
      </w:r>
      <w:r>
        <w:t xml:space="preserve"> </w:t>
      </w:r>
      <w:r w:rsidRPr="00AB11B2">
        <w:t>nebo</w:t>
      </w:r>
      <w:r>
        <w:t xml:space="preserve"> </w:t>
      </w:r>
      <w:r w:rsidRPr="00AB11B2">
        <w:t>svého</w:t>
      </w:r>
      <w:r>
        <w:t xml:space="preserve"> </w:t>
      </w:r>
      <w:r w:rsidRPr="00AB11B2">
        <w:t>zaměstnance</w:t>
      </w:r>
      <w:r>
        <w:t xml:space="preserve"> </w:t>
      </w:r>
      <w:r w:rsidRPr="00AB11B2">
        <w:t>v</w:t>
      </w:r>
      <w:r>
        <w:t xml:space="preserve"> </w:t>
      </w:r>
      <w:r w:rsidRPr="00AB11B2">
        <w:t>závislosti</w:t>
      </w:r>
      <w:r>
        <w:t xml:space="preserve"> </w:t>
      </w:r>
      <w:r w:rsidRPr="00AB11B2">
        <w:t>na</w:t>
      </w:r>
      <w:r>
        <w:t xml:space="preserve"> </w:t>
      </w:r>
      <w:r w:rsidRPr="00AB11B2">
        <w:t>hospodářských</w:t>
      </w:r>
      <w:r>
        <w:t xml:space="preserve"> </w:t>
      </w:r>
      <w:r w:rsidRPr="00AB11B2">
        <w:t>výsledcích</w:t>
      </w:r>
      <w:r>
        <w:t xml:space="preserve"> </w:t>
      </w:r>
      <w:r w:rsidRPr="00AB11B2">
        <w:t>dosahovaných</w:t>
      </w:r>
      <w:r>
        <w:t xml:space="preserve"> </w:t>
      </w:r>
      <w:r w:rsidRPr="00AB11B2">
        <w:t>dopravcem</w:t>
      </w:r>
      <w:r>
        <w:t xml:space="preserve"> </w:t>
      </w:r>
      <w:r w:rsidRPr="00AB11B2">
        <w:t>v</w:t>
      </w:r>
      <w:r>
        <w:t xml:space="preserve"> </w:t>
      </w:r>
      <w:r w:rsidRPr="00AB11B2">
        <w:t>rámci</w:t>
      </w:r>
      <w:r>
        <w:t xml:space="preserve"> </w:t>
      </w:r>
      <w:r w:rsidRPr="00AB11B2">
        <w:t>vertikálně</w:t>
      </w:r>
      <w:r>
        <w:t xml:space="preserve"> </w:t>
      </w:r>
      <w:r w:rsidRPr="00AB11B2">
        <w:t>integrovaného</w:t>
      </w:r>
      <w:r>
        <w:t xml:space="preserve"> </w:t>
      </w:r>
      <w:r w:rsidRPr="00AB11B2">
        <w:t>podniku,</w:t>
      </w:r>
      <w:r>
        <w:t xml:space="preserve"> </w:t>
      </w:r>
      <w:r w:rsidRPr="00AB11B2">
        <w:t>jehož</w:t>
      </w:r>
      <w:r>
        <w:t xml:space="preserve"> </w:t>
      </w:r>
      <w:r w:rsidRPr="00AB11B2">
        <w:t>je</w:t>
      </w:r>
      <w:r>
        <w:t xml:space="preserve"> </w:t>
      </w:r>
      <w:r w:rsidRPr="00AB11B2">
        <w:t>tento</w:t>
      </w:r>
      <w:r>
        <w:t xml:space="preserve"> </w:t>
      </w:r>
      <w:r w:rsidRPr="00AB11B2">
        <w:t>provozovatel</w:t>
      </w:r>
      <w:r>
        <w:t xml:space="preserve"> </w:t>
      </w:r>
      <w:r w:rsidRPr="00AB11B2">
        <w:t>dráhy</w:t>
      </w:r>
      <w:r>
        <w:t xml:space="preserve"> </w:t>
      </w:r>
      <w:r w:rsidRPr="00AB11B2">
        <w:t>součástí,</w:t>
      </w:r>
    </w:p>
    <w:p w14:paraId="0E41E3A1" w14:textId="4AA95F63" w:rsidR="00B2710B" w:rsidRDefault="00B2710B" w:rsidP="00812ECA">
      <w:pPr>
        <w:pStyle w:val="Textparagrafu"/>
        <w:tabs>
          <w:tab w:val="left" w:pos="406"/>
          <w:tab w:val="left" w:pos="826"/>
        </w:tabs>
        <w:spacing w:before="0"/>
        <w:ind w:left="426" w:hanging="426"/>
      </w:pPr>
      <w:r w:rsidRPr="00AB11B2">
        <w:t>t)</w:t>
      </w:r>
      <w:r w:rsidR="00812ECA">
        <w:tab/>
      </w:r>
      <w:r w:rsidRPr="00AB11B2">
        <w:t>v</w:t>
      </w:r>
      <w:r>
        <w:t xml:space="preserve"> </w:t>
      </w:r>
      <w:r w:rsidRPr="00AB11B2">
        <w:t>rozporu</w:t>
      </w:r>
      <w:r>
        <w:t xml:space="preserve"> </w:t>
      </w:r>
      <w:r w:rsidRPr="00AB11B2">
        <w:t>s</w:t>
      </w:r>
      <w:r>
        <w:t xml:space="preserve"> </w:t>
      </w:r>
      <w:r w:rsidRPr="00AB11B2">
        <w:t>§</w:t>
      </w:r>
      <w:r>
        <w:t xml:space="preserve"> </w:t>
      </w:r>
      <w:r w:rsidRPr="00AB11B2">
        <w:t>42a</w:t>
      </w:r>
      <w:r>
        <w:t xml:space="preserve"> </w:t>
      </w:r>
      <w:r w:rsidRPr="00AB11B2">
        <w:t>odst.</w:t>
      </w:r>
      <w:r>
        <w:t xml:space="preserve"> </w:t>
      </w:r>
      <w:r w:rsidRPr="00AB11B2">
        <w:t>4</w:t>
      </w:r>
      <w:r>
        <w:t xml:space="preserve"> </w:t>
      </w:r>
      <w:r w:rsidRPr="00AB11B2">
        <w:t>nezajistí,</w:t>
      </w:r>
      <w:r>
        <w:t xml:space="preserve"> </w:t>
      </w:r>
      <w:r w:rsidRPr="00AB11B2">
        <w:t>aby</w:t>
      </w:r>
      <w:r>
        <w:t xml:space="preserve"> </w:t>
      </w:r>
      <w:r w:rsidRPr="00AB11B2">
        <w:t>přístup</w:t>
      </w:r>
      <w:r>
        <w:t xml:space="preserve"> </w:t>
      </w:r>
      <w:r w:rsidRPr="00AB11B2">
        <w:t>k</w:t>
      </w:r>
      <w:r>
        <w:t xml:space="preserve"> </w:t>
      </w:r>
      <w:r w:rsidRPr="00AB11B2">
        <w:t>běžně</w:t>
      </w:r>
      <w:r>
        <w:t xml:space="preserve"> </w:t>
      </w:r>
      <w:r w:rsidRPr="00AB11B2">
        <w:t>nedostupným</w:t>
      </w:r>
      <w:r>
        <w:t xml:space="preserve"> </w:t>
      </w:r>
      <w:r w:rsidRPr="00AB11B2">
        <w:t>informacím</w:t>
      </w:r>
      <w:r>
        <w:t xml:space="preserve"> </w:t>
      </w:r>
      <w:r w:rsidRPr="00AB11B2">
        <w:t>souvisejícím</w:t>
      </w:r>
      <w:r>
        <w:t xml:space="preserve"> </w:t>
      </w:r>
      <w:r w:rsidRPr="00AB11B2">
        <w:t>s</w:t>
      </w:r>
      <w:r>
        <w:t xml:space="preserve"> </w:t>
      </w:r>
      <w:r w:rsidRPr="00AB11B2">
        <w:t>hlavními</w:t>
      </w:r>
      <w:r>
        <w:t xml:space="preserve"> </w:t>
      </w:r>
      <w:r w:rsidRPr="00AB11B2">
        <w:t>činnostmi</w:t>
      </w:r>
      <w:r>
        <w:t xml:space="preserve"> </w:t>
      </w:r>
      <w:r w:rsidRPr="00AB11B2">
        <w:t>měly</w:t>
      </w:r>
      <w:r>
        <w:t xml:space="preserve"> </w:t>
      </w:r>
      <w:r w:rsidRPr="00AB11B2">
        <w:t>pouze</w:t>
      </w:r>
      <w:r>
        <w:t xml:space="preserve"> </w:t>
      </w:r>
      <w:r w:rsidRPr="00AB11B2">
        <w:t>osoby</w:t>
      </w:r>
      <w:r>
        <w:t xml:space="preserve"> </w:t>
      </w:r>
      <w:r w:rsidRPr="00AB11B2">
        <w:t>tyto</w:t>
      </w:r>
      <w:r>
        <w:t xml:space="preserve"> </w:t>
      </w:r>
      <w:r w:rsidRPr="00AB11B2">
        <w:t>činnosti</w:t>
      </w:r>
      <w:r>
        <w:t xml:space="preserve"> </w:t>
      </w:r>
      <w:r w:rsidRPr="00AB11B2">
        <w:t>vykonávající,</w:t>
      </w:r>
    </w:p>
    <w:p w14:paraId="10C65BE7" w14:textId="32EA215B" w:rsidR="00B2710B" w:rsidRDefault="00B2710B" w:rsidP="00812ECA">
      <w:pPr>
        <w:pStyle w:val="Textparagrafu"/>
        <w:tabs>
          <w:tab w:val="left" w:pos="406"/>
          <w:tab w:val="left" w:pos="826"/>
        </w:tabs>
        <w:spacing w:before="0"/>
        <w:ind w:left="426" w:hanging="426"/>
      </w:pPr>
      <w:r w:rsidRPr="00AB11B2">
        <w:t>u)</w:t>
      </w:r>
      <w:r w:rsidR="00812ECA">
        <w:tab/>
      </w:r>
      <w:r w:rsidRPr="00AB11B2">
        <w:t>v</w:t>
      </w:r>
      <w:r>
        <w:t xml:space="preserve"> </w:t>
      </w:r>
      <w:r w:rsidRPr="00AB11B2">
        <w:t>rozporu</w:t>
      </w:r>
      <w:r>
        <w:t xml:space="preserve"> </w:t>
      </w:r>
      <w:r w:rsidRPr="00AB11B2">
        <w:t>s</w:t>
      </w:r>
      <w:r>
        <w:t xml:space="preserve"> </w:t>
      </w:r>
      <w:r w:rsidRPr="00AB11B2">
        <w:t>§</w:t>
      </w:r>
      <w:r>
        <w:t xml:space="preserve"> </w:t>
      </w:r>
      <w:r w:rsidRPr="00AB11B2">
        <w:t>42a</w:t>
      </w:r>
      <w:r>
        <w:t xml:space="preserve"> </w:t>
      </w:r>
      <w:r w:rsidRPr="00AB11B2">
        <w:t>odst.</w:t>
      </w:r>
      <w:r>
        <w:t xml:space="preserve"> </w:t>
      </w:r>
      <w:r w:rsidRPr="00AB11B2">
        <w:t>5</w:t>
      </w:r>
      <w:r>
        <w:t xml:space="preserve"> </w:t>
      </w:r>
      <w:r w:rsidRPr="00AB11B2">
        <w:t>přihlédne</w:t>
      </w:r>
      <w:r>
        <w:t xml:space="preserve"> </w:t>
      </w:r>
      <w:r w:rsidRPr="00AB11B2">
        <w:t>k</w:t>
      </w:r>
      <w:r>
        <w:t xml:space="preserve"> </w:t>
      </w:r>
      <w:r w:rsidRPr="00AB11B2">
        <w:t>pokynu</w:t>
      </w:r>
      <w:r>
        <w:t xml:space="preserve"> </w:t>
      </w:r>
      <w:r w:rsidRPr="00AB11B2">
        <w:t>dopravce</w:t>
      </w:r>
      <w:r>
        <w:t xml:space="preserve"> </w:t>
      </w:r>
      <w:r w:rsidRPr="00AB11B2">
        <w:t>nebo</w:t>
      </w:r>
      <w:r>
        <w:t xml:space="preserve"> </w:t>
      </w:r>
      <w:r w:rsidRPr="00AB11B2">
        <w:t>jiného</w:t>
      </w:r>
      <w:r>
        <w:t xml:space="preserve"> </w:t>
      </w:r>
      <w:r w:rsidRPr="00AB11B2">
        <w:t>podnikatele,</w:t>
      </w:r>
      <w:r>
        <w:t xml:space="preserve"> </w:t>
      </w:r>
      <w:r w:rsidRPr="00AB11B2">
        <w:t>který</w:t>
      </w:r>
      <w:r>
        <w:t xml:space="preserve"> </w:t>
      </w:r>
      <w:r w:rsidRPr="00AB11B2">
        <w:t>je</w:t>
      </w:r>
      <w:r>
        <w:t xml:space="preserve"> </w:t>
      </w:r>
      <w:r w:rsidRPr="00AB11B2">
        <w:t>součástí</w:t>
      </w:r>
      <w:r>
        <w:t xml:space="preserve"> </w:t>
      </w:r>
      <w:r w:rsidRPr="00AB11B2">
        <w:t>vertikálně</w:t>
      </w:r>
      <w:r>
        <w:t xml:space="preserve"> </w:t>
      </w:r>
      <w:r w:rsidRPr="00AB11B2">
        <w:t>integrovaného</w:t>
      </w:r>
      <w:r>
        <w:t xml:space="preserve"> </w:t>
      </w:r>
      <w:r w:rsidRPr="00AB11B2">
        <w:t>podniku,</w:t>
      </w:r>
      <w:r>
        <w:t xml:space="preserve"> </w:t>
      </w:r>
      <w:r w:rsidRPr="00AB11B2">
        <w:t>směřujícímu</w:t>
      </w:r>
      <w:r>
        <w:t xml:space="preserve"> </w:t>
      </w:r>
      <w:r w:rsidRPr="00AB11B2">
        <w:t>ke</w:t>
      </w:r>
      <w:r>
        <w:t xml:space="preserve"> </w:t>
      </w:r>
      <w:r w:rsidRPr="00AB11B2">
        <w:t>vzniku</w:t>
      </w:r>
      <w:r>
        <w:t xml:space="preserve"> </w:t>
      </w:r>
      <w:r w:rsidRPr="00AB11B2">
        <w:t>nebo</w:t>
      </w:r>
      <w:r>
        <w:t xml:space="preserve"> </w:t>
      </w:r>
      <w:r w:rsidRPr="00AB11B2">
        <w:t>zániku</w:t>
      </w:r>
      <w:r>
        <w:t xml:space="preserve"> </w:t>
      </w:r>
      <w:r w:rsidRPr="00AB11B2">
        <w:t>pracovněprávního</w:t>
      </w:r>
      <w:r>
        <w:t xml:space="preserve"> </w:t>
      </w:r>
      <w:r w:rsidRPr="00AB11B2">
        <w:t>vztahu</w:t>
      </w:r>
      <w:r>
        <w:t xml:space="preserve"> </w:t>
      </w:r>
      <w:r w:rsidRPr="00AB11B2">
        <w:t>týkajícího</w:t>
      </w:r>
      <w:r>
        <w:t xml:space="preserve"> </w:t>
      </w:r>
      <w:r w:rsidRPr="00AB11B2">
        <w:t>se</w:t>
      </w:r>
      <w:r>
        <w:t xml:space="preserve"> </w:t>
      </w:r>
      <w:r w:rsidRPr="00AB11B2">
        <w:t>jeho</w:t>
      </w:r>
      <w:r>
        <w:t xml:space="preserve"> </w:t>
      </w:r>
      <w:r w:rsidRPr="00AB11B2">
        <w:t>zaměstnance</w:t>
      </w:r>
      <w:r>
        <w:t xml:space="preserve"> </w:t>
      </w:r>
      <w:r w:rsidRPr="00AB11B2">
        <w:t>vykonávajícího</w:t>
      </w:r>
      <w:r>
        <w:t xml:space="preserve"> </w:t>
      </w:r>
      <w:r w:rsidRPr="00AB11B2">
        <w:t>hlavní</w:t>
      </w:r>
      <w:r>
        <w:t xml:space="preserve"> </w:t>
      </w:r>
      <w:r w:rsidRPr="00AB11B2">
        <w:t>činnosti,</w:t>
      </w:r>
    </w:p>
    <w:p w14:paraId="24C05A2D" w14:textId="0EE3FD29" w:rsidR="00B2710B" w:rsidRDefault="00B2710B" w:rsidP="00812ECA">
      <w:pPr>
        <w:pStyle w:val="Textparagrafu"/>
        <w:tabs>
          <w:tab w:val="left" w:pos="406"/>
          <w:tab w:val="left" w:pos="826"/>
        </w:tabs>
        <w:spacing w:before="0"/>
        <w:ind w:left="426" w:hanging="426"/>
      </w:pPr>
      <w:r w:rsidRPr="00AB11B2">
        <w:t>v)</w:t>
      </w:r>
      <w:r w:rsidR="00812ECA">
        <w:tab/>
      </w:r>
      <w:r w:rsidRPr="00AB11B2">
        <w:t>v</w:t>
      </w:r>
      <w:r>
        <w:t xml:space="preserve"> </w:t>
      </w:r>
      <w:r w:rsidRPr="00AB11B2">
        <w:t>rozporu</w:t>
      </w:r>
      <w:r>
        <w:t xml:space="preserve"> </w:t>
      </w:r>
      <w:r w:rsidRPr="00AB11B2">
        <w:t>s</w:t>
      </w:r>
      <w:r>
        <w:t xml:space="preserve"> </w:t>
      </w:r>
      <w:r w:rsidRPr="00AB11B2">
        <w:t>§</w:t>
      </w:r>
      <w:r>
        <w:t xml:space="preserve"> </w:t>
      </w:r>
      <w:r w:rsidRPr="00AB11B2">
        <w:t>42c</w:t>
      </w:r>
      <w:r>
        <w:t xml:space="preserve"> </w:t>
      </w:r>
      <w:r w:rsidRPr="00AB11B2">
        <w:t>odst.</w:t>
      </w:r>
      <w:r>
        <w:t xml:space="preserve"> </w:t>
      </w:r>
      <w:r w:rsidRPr="00AB11B2">
        <w:t>1</w:t>
      </w:r>
      <w:r>
        <w:t xml:space="preserve"> </w:t>
      </w:r>
      <w:r w:rsidRPr="00AB11B2">
        <w:t>nezřídí</w:t>
      </w:r>
      <w:r>
        <w:t xml:space="preserve"> </w:t>
      </w:r>
      <w:r w:rsidRPr="00AB11B2">
        <w:t>pobočky</w:t>
      </w:r>
      <w:r>
        <w:t xml:space="preserve"> </w:t>
      </w:r>
      <w:r w:rsidRPr="00AB11B2">
        <w:t>nebo</w:t>
      </w:r>
      <w:r>
        <w:t xml:space="preserve"> </w:t>
      </w:r>
      <w:r w:rsidRPr="00AB11B2">
        <w:t>nesplní</w:t>
      </w:r>
      <w:r>
        <w:t xml:space="preserve"> </w:t>
      </w:r>
      <w:r w:rsidRPr="00AB11B2">
        <w:t>jinou</w:t>
      </w:r>
      <w:r>
        <w:t xml:space="preserve"> </w:t>
      </w:r>
      <w:r w:rsidRPr="00AB11B2">
        <w:t>povinnost</w:t>
      </w:r>
      <w:r>
        <w:t xml:space="preserve"> </w:t>
      </w:r>
      <w:r w:rsidRPr="00AB11B2">
        <w:t>ve</w:t>
      </w:r>
      <w:r>
        <w:t xml:space="preserve"> </w:t>
      </w:r>
      <w:r w:rsidRPr="00AB11B2">
        <w:t>vztahu</w:t>
      </w:r>
      <w:r>
        <w:t xml:space="preserve"> </w:t>
      </w:r>
      <w:r w:rsidRPr="00AB11B2">
        <w:t>k</w:t>
      </w:r>
      <w:r>
        <w:t xml:space="preserve"> </w:t>
      </w:r>
      <w:r w:rsidRPr="00AB11B2">
        <w:t>zřízeným</w:t>
      </w:r>
      <w:r>
        <w:t xml:space="preserve"> </w:t>
      </w:r>
      <w:r w:rsidRPr="00AB11B2">
        <w:t>pobočkám</w:t>
      </w:r>
      <w:r>
        <w:t xml:space="preserve"> </w:t>
      </w:r>
      <w:r w:rsidRPr="00AB11B2">
        <w:t>uvedenou</w:t>
      </w:r>
      <w:r>
        <w:t xml:space="preserve"> </w:t>
      </w:r>
      <w:r w:rsidRPr="00AB11B2">
        <w:t>v</w:t>
      </w:r>
      <w:r>
        <w:t xml:space="preserve"> </w:t>
      </w:r>
      <w:r w:rsidRPr="00AB11B2">
        <w:t>§</w:t>
      </w:r>
      <w:r>
        <w:t xml:space="preserve"> </w:t>
      </w:r>
      <w:r w:rsidRPr="00AB11B2">
        <w:t>42c</w:t>
      </w:r>
      <w:r>
        <w:t xml:space="preserve"> </w:t>
      </w:r>
      <w:r w:rsidRPr="00AB11B2">
        <w:t>odst.</w:t>
      </w:r>
      <w:r>
        <w:t xml:space="preserve"> </w:t>
      </w:r>
      <w:r w:rsidRPr="00AB11B2">
        <w:t>2,</w:t>
      </w:r>
      <w:r>
        <w:t xml:space="preserve"> </w:t>
      </w:r>
      <w:r w:rsidRPr="00AB11B2">
        <w:t>3</w:t>
      </w:r>
      <w:r>
        <w:t xml:space="preserve"> </w:t>
      </w:r>
      <w:r w:rsidRPr="00AB11B2">
        <w:t>nebo</w:t>
      </w:r>
      <w:r>
        <w:t xml:space="preserve"> </w:t>
      </w:r>
      <w:r w:rsidRPr="00AB11B2">
        <w:t>4,</w:t>
      </w:r>
      <w:r>
        <w:t xml:space="preserve"> </w:t>
      </w:r>
      <w:r w:rsidRPr="00AB11B2">
        <w:t>nebo</w:t>
      </w:r>
    </w:p>
    <w:p w14:paraId="02503F1A" w14:textId="7AFC3113" w:rsidR="00B2710B" w:rsidRDefault="00B2710B" w:rsidP="00812ECA">
      <w:pPr>
        <w:pStyle w:val="Textparagrafu"/>
        <w:tabs>
          <w:tab w:val="left" w:pos="406"/>
          <w:tab w:val="left" w:pos="826"/>
        </w:tabs>
        <w:spacing w:before="0"/>
        <w:ind w:left="426" w:hanging="426"/>
      </w:pPr>
      <w:r w:rsidRPr="00AB11B2">
        <w:t>w)</w:t>
      </w:r>
      <w:r w:rsidR="00812ECA">
        <w:tab/>
      </w:r>
      <w:r w:rsidRPr="00AB11B2">
        <w:t>v</w:t>
      </w:r>
      <w:r>
        <w:t xml:space="preserve"> </w:t>
      </w:r>
      <w:r w:rsidRPr="00AB11B2">
        <w:t>rozporu</w:t>
      </w:r>
      <w:r>
        <w:t xml:space="preserve"> </w:t>
      </w:r>
      <w:r w:rsidRPr="00AB11B2">
        <w:t>s</w:t>
      </w:r>
      <w:r>
        <w:t xml:space="preserve"> </w:t>
      </w:r>
      <w:r w:rsidRPr="00AB11B2">
        <w:t>§</w:t>
      </w:r>
      <w:r>
        <w:t xml:space="preserve"> </w:t>
      </w:r>
      <w:r w:rsidRPr="00AB11B2">
        <w:t>43e</w:t>
      </w:r>
      <w:r>
        <w:t xml:space="preserve"> </w:t>
      </w:r>
      <w:r w:rsidRPr="00AB11B2">
        <w:t>odst.</w:t>
      </w:r>
      <w:r>
        <w:t xml:space="preserve"> </w:t>
      </w:r>
      <w:r w:rsidRPr="00AB11B2">
        <w:t>4</w:t>
      </w:r>
      <w:r>
        <w:t xml:space="preserve"> </w:t>
      </w:r>
      <w:r w:rsidRPr="00AB11B2">
        <w:t>neposkytne</w:t>
      </w:r>
      <w:r>
        <w:t xml:space="preserve"> </w:t>
      </w:r>
      <w:r w:rsidRPr="00AB11B2">
        <w:t>potřebnou</w:t>
      </w:r>
      <w:r>
        <w:t xml:space="preserve"> </w:t>
      </w:r>
      <w:r w:rsidRPr="00AB11B2">
        <w:t>součinnost</w:t>
      </w:r>
      <w:r>
        <w:t xml:space="preserve"> </w:t>
      </w:r>
      <w:r w:rsidRPr="00AB11B2">
        <w:t>za</w:t>
      </w:r>
      <w:r>
        <w:t xml:space="preserve"> </w:t>
      </w:r>
      <w:r w:rsidRPr="00AB11B2">
        <w:t>účelem</w:t>
      </w:r>
      <w:r>
        <w:t xml:space="preserve"> </w:t>
      </w:r>
      <w:r w:rsidRPr="00AB11B2">
        <w:t>provádění</w:t>
      </w:r>
      <w:r>
        <w:t xml:space="preserve"> </w:t>
      </w:r>
      <w:r w:rsidRPr="00AB11B2">
        <w:t>zkušebního</w:t>
      </w:r>
      <w:r>
        <w:t xml:space="preserve"> </w:t>
      </w:r>
      <w:r w:rsidRPr="00AB11B2">
        <w:t>provozu.</w:t>
      </w:r>
    </w:p>
    <w:p w14:paraId="5B917840" w14:textId="77777777" w:rsidR="00B2710B" w:rsidRDefault="00B2710B" w:rsidP="00CE2C91">
      <w:pPr>
        <w:pStyle w:val="Textparagrafu"/>
        <w:tabs>
          <w:tab w:val="left" w:pos="406"/>
          <w:tab w:val="left" w:pos="826"/>
        </w:tabs>
        <w:spacing w:before="120" w:after="120"/>
      </w:pPr>
      <w:r w:rsidRPr="00AB11B2">
        <w:t>(5)</w:t>
      </w:r>
      <w:r>
        <w:t xml:space="preserve"> </w:t>
      </w:r>
      <w:r w:rsidRPr="00AB11B2">
        <w:t>Právnická</w:t>
      </w:r>
      <w:r>
        <w:t xml:space="preserve"> </w:t>
      </w:r>
      <w:r w:rsidRPr="00AB11B2">
        <w:t>nebo</w:t>
      </w:r>
      <w:r>
        <w:t xml:space="preserve"> </w:t>
      </w:r>
      <w:r w:rsidRPr="00AB11B2">
        <w:t>podnikající</w:t>
      </w:r>
      <w:r>
        <w:t xml:space="preserve"> </w:t>
      </w:r>
      <w:r w:rsidRPr="00AB11B2">
        <w:t>fyzická</w:t>
      </w:r>
      <w:r>
        <w:t xml:space="preserve"> </w:t>
      </w:r>
      <w:r w:rsidRPr="00AB11B2">
        <w:t>osoba</w:t>
      </w:r>
      <w:r>
        <w:t xml:space="preserve"> </w:t>
      </w:r>
      <w:r w:rsidRPr="00AB11B2">
        <w:t>se</w:t>
      </w:r>
      <w:r>
        <w:t xml:space="preserve"> </w:t>
      </w:r>
      <w:r w:rsidRPr="00AB11B2">
        <w:t>jako</w:t>
      </w:r>
      <w:r>
        <w:t xml:space="preserve"> </w:t>
      </w:r>
      <w:r w:rsidRPr="00AB11B2">
        <w:t>provozovatel</w:t>
      </w:r>
      <w:r>
        <w:t xml:space="preserve"> </w:t>
      </w:r>
      <w:r w:rsidRPr="00AB11B2">
        <w:t>dráhy</w:t>
      </w:r>
      <w:r>
        <w:t xml:space="preserve"> </w:t>
      </w:r>
      <w:r w:rsidRPr="00AB11B2">
        <w:t>celostátní</w:t>
      </w:r>
      <w:r>
        <w:t xml:space="preserve"> </w:t>
      </w:r>
      <w:r w:rsidRPr="00AB11B2">
        <w:t>nebo</w:t>
      </w:r>
      <w:r>
        <w:t xml:space="preserve"> </w:t>
      </w:r>
      <w:r w:rsidRPr="00AB11B2">
        <w:t>regionální</w:t>
      </w:r>
      <w:r>
        <w:t xml:space="preserve"> </w:t>
      </w:r>
      <w:r w:rsidRPr="00AB11B2">
        <w:t>dopustí</w:t>
      </w:r>
      <w:r>
        <w:t xml:space="preserve"> </w:t>
      </w:r>
      <w:r w:rsidRPr="00AB11B2">
        <w:t>přestupku</w:t>
      </w:r>
      <w:r>
        <w:t xml:space="preserve"> </w:t>
      </w:r>
      <w:r w:rsidRPr="00AB11B2">
        <w:t>tím,</w:t>
      </w:r>
      <w:r>
        <w:t xml:space="preserve"> </w:t>
      </w:r>
      <w:r w:rsidRPr="00AB11B2">
        <w:t>že</w:t>
      </w:r>
    </w:p>
    <w:p w14:paraId="76BF04BE" w14:textId="25918166" w:rsidR="00B2710B" w:rsidRDefault="00B2710B" w:rsidP="00812ECA">
      <w:pPr>
        <w:pStyle w:val="Textparagrafu"/>
        <w:tabs>
          <w:tab w:val="left" w:pos="406"/>
          <w:tab w:val="left" w:pos="826"/>
        </w:tabs>
        <w:spacing w:before="0"/>
        <w:ind w:left="426" w:hanging="426"/>
      </w:pPr>
      <w:r w:rsidRPr="00AB11B2">
        <w:t>a)</w:t>
      </w:r>
      <w:r w:rsidR="00CD58F8">
        <w:tab/>
      </w:r>
      <w:r w:rsidRPr="00AB11B2">
        <w:t>provozuje</w:t>
      </w:r>
      <w:r>
        <w:t xml:space="preserve"> </w:t>
      </w:r>
      <w:r w:rsidRPr="00AB11B2">
        <w:t>v</w:t>
      </w:r>
      <w:r>
        <w:t xml:space="preserve"> </w:t>
      </w:r>
      <w:r w:rsidRPr="00AB11B2">
        <w:t>rozporu</w:t>
      </w:r>
      <w:r>
        <w:t xml:space="preserve"> </w:t>
      </w:r>
      <w:r w:rsidRPr="00AB11B2">
        <w:t>s</w:t>
      </w:r>
      <w:r>
        <w:t xml:space="preserve"> </w:t>
      </w:r>
      <w:r w:rsidRPr="00AB11B2">
        <w:t>§</w:t>
      </w:r>
      <w:r>
        <w:t xml:space="preserve"> </w:t>
      </w:r>
      <w:r w:rsidRPr="00AB11B2">
        <w:t>11</w:t>
      </w:r>
      <w:r>
        <w:t xml:space="preserve"> </w:t>
      </w:r>
      <w:r w:rsidRPr="00AB11B2">
        <w:t>odst.</w:t>
      </w:r>
      <w:r>
        <w:t xml:space="preserve"> </w:t>
      </w:r>
      <w:r w:rsidRPr="00AB11B2">
        <w:t>1</w:t>
      </w:r>
      <w:r>
        <w:t xml:space="preserve"> </w:t>
      </w:r>
      <w:r w:rsidRPr="00AB11B2">
        <w:t>dráhu</w:t>
      </w:r>
      <w:r>
        <w:t xml:space="preserve"> </w:t>
      </w:r>
      <w:r w:rsidRPr="00AB11B2">
        <w:t>bez</w:t>
      </w:r>
      <w:r>
        <w:t xml:space="preserve"> </w:t>
      </w:r>
      <w:r w:rsidRPr="00AB11B2">
        <w:t>osvědčení</w:t>
      </w:r>
      <w:r>
        <w:t xml:space="preserve"> </w:t>
      </w:r>
      <w:r w:rsidRPr="00AB11B2">
        <w:t>provozovatele</w:t>
      </w:r>
      <w:r>
        <w:t xml:space="preserve"> </w:t>
      </w:r>
      <w:r w:rsidRPr="00AB11B2">
        <w:t>dráhy</w:t>
      </w:r>
      <w:r>
        <w:t xml:space="preserve"> </w:t>
      </w:r>
      <w:r w:rsidRPr="00AB11B2">
        <w:t>nebo</w:t>
      </w:r>
      <w:r>
        <w:t xml:space="preserve"> </w:t>
      </w:r>
      <w:r w:rsidRPr="00AB11B2">
        <w:t>provozuje</w:t>
      </w:r>
      <w:r>
        <w:t xml:space="preserve"> </w:t>
      </w:r>
      <w:r w:rsidRPr="00AB11B2">
        <w:t>dráhu</w:t>
      </w:r>
      <w:r>
        <w:t xml:space="preserve"> </w:t>
      </w:r>
      <w:r w:rsidRPr="00AB11B2">
        <w:t>v</w:t>
      </w:r>
      <w:r>
        <w:t xml:space="preserve"> </w:t>
      </w:r>
      <w:r w:rsidRPr="00AB11B2">
        <w:t>rozporu</w:t>
      </w:r>
      <w:r>
        <w:t xml:space="preserve"> </w:t>
      </w:r>
      <w:r w:rsidRPr="00AB11B2">
        <w:t>s</w:t>
      </w:r>
      <w:r>
        <w:t xml:space="preserve"> </w:t>
      </w:r>
      <w:r w:rsidRPr="00AB11B2">
        <w:t>tímto</w:t>
      </w:r>
      <w:r>
        <w:t xml:space="preserve"> </w:t>
      </w:r>
      <w:r w:rsidRPr="00AB11B2">
        <w:t>osvědčením,</w:t>
      </w:r>
    </w:p>
    <w:p w14:paraId="1925E789" w14:textId="54C8D07F" w:rsidR="00B2710B" w:rsidRDefault="00B2710B" w:rsidP="00812ECA">
      <w:pPr>
        <w:pStyle w:val="Textparagrafu"/>
        <w:tabs>
          <w:tab w:val="left" w:pos="406"/>
          <w:tab w:val="left" w:pos="826"/>
        </w:tabs>
        <w:spacing w:before="0"/>
        <w:ind w:left="426" w:hanging="426"/>
      </w:pPr>
      <w:r w:rsidRPr="00AB11B2">
        <w:t>b)</w:t>
      </w:r>
      <w:r w:rsidR="00CD58F8">
        <w:tab/>
      </w:r>
      <w:r w:rsidRPr="00AB11B2">
        <w:t>v</w:t>
      </w:r>
      <w:r>
        <w:t xml:space="preserve"> </w:t>
      </w:r>
      <w:r w:rsidRPr="00AB11B2">
        <w:t>rozporu</w:t>
      </w:r>
      <w:r>
        <w:t xml:space="preserve"> </w:t>
      </w:r>
      <w:r w:rsidRPr="00AB11B2">
        <w:t>s</w:t>
      </w:r>
      <w:r>
        <w:t xml:space="preserve"> </w:t>
      </w:r>
      <w:r w:rsidRPr="00AB11B2">
        <w:t>§</w:t>
      </w:r>
      <w:r>
        <w:t xml:space="preserve"> </w:t>
      </w:r>
      <w:r w:rsidRPr="00AB11B2">
        <w:t>19a</w:t>
      </w:r>
      <w:r>
        <w:t xml:space="preserve"> </w:t>
      </w:r>
      <w:r w:rsidRPr="00AB11B2">
        <w:t>neoznámí</w:t>
      </w:r>
      <w:r>
        <w:t xml:space="preserve"> </w:t>
      </w:r>
      <w:r w:rsidRPr="00AB11B2">
        <w:t>změnu</w:t>
      </w:r>
      <w:r>
        <w:t xml:space="preserve"> </w:t>
      </w:r>
      <w:r w:rsidRPr="00AB11B2">
        <w:t>údaje</w:t>
      </w:r>
      <w:r>
        <w:t xml:space="preserve"> </w:t>
      </w:r>
      <w:r w:rsidRPr="00AB11B2">
        <w:t>obsaženého</w:t>
      </w:r>
      <w:r>
        <w:t xml:space="preserve"> </w:t>
      </w:r>
      <w:r w:rsidRPr="00AB11B2">
        <w:t>v</w:t>
      </w:r>
      <w:r>
        <w:t xml:space="preserve"> </w:t>
      </w:r>
      <w:r w:rsidRPr="00AB11B2">
        <w:t>osvědčení</w:t>
      </w:r>
      <w:r>
        <w:t xml:space="preserve"> </w:t>
      </w:r>
      <w:r w:rsidRPr="00AB11B2">
        <w:t>provozovatele</w:t>
      </w:r>
      <w:r>
        <w:t xml:space="preserve"> </w:t>
      </w:r>
      <w:r w:rsidRPr="00AB11B2">
        <w:t>dráhy</w:t>
      </w:r>
      <w:r>
        <w:t xml:space="preserve"> </w:t>
      </w:r>
      <w:r w:rsidRPr="00AB11B2">
        <w:t>nebo</w:t>
      </w:r>
      <w:r>
        <w:t xml:space="preserve"> </w:t>
      </w:r>
      <w:r w:rsidRPr="00AB11B2">
        <w:t>neodevzdá</w:t>
      </w:r>
      <w:r>
        <w:t xml:space="preserve"> </w:t>
      </w:r>
      <w:r w:rsidRPr="00AB11B2">
        <w:t>toto</w:t>
      </w:r>
      <w:r>
        <w:t xml:space="preserve"> </w:t>
      </w:r>
      <w:r w:rsidRPr="00AB11B2">
        <w:t>osvědčení</w:t>
      </w:r>
      <w:r>
        <w:t xml:space="preserve"> </w:t>
      </w:r>
      <w:r w:rsidRPr="00AB11B2">
        <w:t>drážnímu</w:t>
      </w:r>
      <w:r>
        <w:t xml:space="preserve"> </w:t>
      </w:r>
      <w:r w:rsidRPr="00AB11B2">
        <w:t>správnímu</w:t>
      </w:r>
      <w:r>
        <w:t xml:space="preserve"> </w:t>
      </w:r>
      <w:r w:rsidRPr="00AB11B2">
        <w:t>úřadu,</w:t>
      </w:r>
    </w:p>
    <w:p w14:paraId="5E3025A5" w14:textId="071D9BD6" w:rsidR="00B2710B" w:rsidRDefault="00B2710B" w:rsidP="00812ECA">
      <w:pPr>
        <w:pStyle w:val="Textparagrafu"/>
        <w:tabs>
          <w:tab w:val="left" w:pos="406"/>
          <w:tab w:val="left" w:pos="826"/>
        </w:tabs>
        <w:spacing w:before="0"/>
        <w:ind w:left="426" w:hanging="426"/>
      </w:pPr>
      <w:r w:rsidRPr="00AB11B2">
        <w:t>c)</w:t>
      </w:r>
      <w:r w:rsidR="00CD58F8">
        <w:tab/>
      </w:r>
      <w:r w:rsidRPr="00AB11B2">
        <w:t>v</w:t>
      </w:r>
      <w:r>
        <w:t xml:space="preserve"> </w:t>
      </w:r>
      <w:r w:rsidRPr="00AB11B2">
        <w:t>rozporu</w:t>
      </w:r>
      <w:r>
        <w:t xml:space="preserve"> </w:t>
      </w:r>
      <w:r w:rsidRPr="00AB11B2">
        <w:t>s</w:t>
      </w:r>
      <w:r>
        <w:t xml:space="preserve"> </w:t>
      </w:r>
      <w:r w:rsidRPr="00AB11B2">
        <w:t>§</w:t>
      </w:r>
      <w:r>
        <w:t xml:space="preserve"> </w:t>
      </w:r>
      <w:r w:rsidRPr="00AB11B2">
        <w:t>19b</w:t>
      </w:r>
      <w:r>
        <w:t xml:space="preserve"> </w:t>
      </w:r>
      <w:r w:rsidRPr="00AB11B2">
        <w:t>odst.</w:t>
      </w:r>
      <w:r>
        <w:t xml:space="preserve"> </w:t>
      </w:r>
      <w:r w:rsidRPr="00AB11B2">
        <w:t>3</w:t>
      </w:r>
      <w:r>
        <w:t xml:space="preserve"> </w:t>
      </w:r>
      <w:r w:rsidRPr="00AB11B2">
        <w:t>nebo</w:t>
      </w:r>
      <w:r>
        <w:t xml:space="preserve"> </w:t>
      </w:r>
      <w:r w:rsidRPr="00AB11B2">
        <w:t>§</w:t>
      </w:r>
      <w:r>
        <w:t xml:space="preserve"> </w:t>
      </w:r>
      <w:r w:rsidRPr="00AB11B2">
        <w:t>49h</w:t>
      </w:r>
      <w:r>
        <w:t xml:space="preserve"> </w:t>
      </w:r>
      <w:r w:rsidRPr="00AB11B2">
        <w:t>odst.</w:t>
      </w:r>
      <w:r>
        <w:t xml:space="preserve"> </w:t>
      </w:r>
      <w:r w:rsidRPr="00AB11B2">
        <w:t>3</w:t>
      </w:r>
      <w:r>
        <w:t xml:space="preserve"> </w:t>
      </w:r>
      <w:r w:rsidRPr="00AB11B2">
        <w:t>neodevzdá</w:t>
      </w:r>
      <w:r>
        <w:t xml:space="preserve"> </w:t>
      </w:r>
      <w:r w:rsidRPr="00AB11B2">
        <w:t>osvědčení</w:t>
      </w:r>
      <w:r>
        <w:t xml:space="preserve"> </w:t>
      </w:r>
      <w:r w:rsidRPr="00AB11B2">
        <w:t>provozovatele</w:t>
      </w:r>
      <w:r>
        <w:t xml:space="preserve"> </w:t>
      </w:r>
      <w:r w:rsidRPr="00AB11B2">
        <w:t>dráhy</w:t>
      </w:r>
      <w:r>
        <w:t xml:space="preserve"> </w:t>
      </w:r>
      <w:r w:rsidRPr="00AB11B2">
        <w:t>drážnímu</w:t>
      </w:r>
      <w:r>
        <w:t xml:space="preserve"> </w:t>
      </w:r>
      <w:r w:rsidRPr="00AB11B2">
        <w:t>správnímu</w:t>
      </w:r>
      <w:r>
        <w:t xml:space="preserve"> </w:t>
      </w:r>
      <w:r w:rsidRPr="00AB11B2">
        <w:t>úřadu,</w:t>
      </w:r>
    </w:p>
    <w:p w14:paraId="78211197" w14:textId="091022A7" w:rsidR="00B2710B" w:rsidRDefault="00B2710B" w:rsidP="00812ECA">
      <w:pPr>
        <w:pStyle w:val="Textparagrafu"/>
        <w:tabs>
          <w:tab w:val="left" w:pos="406"/>
          <w:tab w:val="left" w:pos="826"/>
        </w:tabs>
        <w:spacing w:before="0"/>
        <w:ind w:left="426" w:hanging="426"/>
      </w:pPr>
      <w:r w:rsidRPr="00AB11B2">
        <w:t>d)</w:t>
      </w:r>
      <w:r w:rsidR="00CD58F8">
        <w:tab/>
      </w:r>
      <w:r w:rsidRPr="00AB11B2">
        <w:t>finančně</w:t>
      </w:r>
      <w:r>
        <w:t xml:space="preserve"> </w:t>
      </w:r>
      <w:r w:rsidRPr="00AB11B2">
        <w:t>nezabezpečí</w:t>
      </w:r>
      <w:r>
        <w:t xml:space="preserve"> </w:t>
      </w:r>
      <w:r w:rsidRPr="00AB11B2">
        <w:t>podle</w:t>
      </w:r>
      <w:r>
        <w:t xml:space="preserve"> </w:t>
      </w:r>
      <w:r w:rsidRPr="00AB11B2">
        <w:t>§</w:t>
      </w:r>
      <w:r>
        <w:t xml:space="preserve"> </w:t>
      </w:r>
      <w:r w:rsidRPr="00AB11B2">
        <w:t>22</w:t>
      </w:r>
      <w:r>
        <w:t xml:space="preserve"> </w:t>
      </w:r>
      <w:r w:rsidRPr="00AB11B2">
        <w:t>odst.</w:t>
      </w:r>
      <w:r>
        <w:t xml:space="preserve"> </w:t>
      </w:r>
      <w:r w:rsidRPr="00AB11B2">
        <w:t>2</w:t>
      </w:r>
      <w:r>
        <w:t xml:space="preserve"> </w:t>
      </w:r>
      <w:r w:rsidRPr="00AB11B2">
        <w:t>písm.</w:t>
      </w:r>
      <w:r>
        <w:t xml:space="preserve"> </w:t>
      </w:r>
      <w:r w:rsidRPr="00AB11B2">
        <w:t>a)</w:t>
      </w:r>
      <w:r>
        <w:t xml:space="preserve"> </w:t>
      </w:r>
      <w:r w:rsidRPr="00AB11B2">
        <w:t>řádné</w:t>
      </w:r>
      <w:r>
        <w:t xml:space="preserve"> </w:t>
      </w:r>
      <w:r w:rsidRPr="00AB11B2">
        <w:t>provozování</w:t>
      </w:r>
      <w:r>
        <w:t xml:space="preserve"> </w:t>
      </w:r>
      <w:r w:rsidRPr="00AB11B2">
        <w:t>dráhy,</w:t>
      </w:r>
    </w:p>
    <w:p w14:paraId="27ACC837" w14:textId="0EA24CBA" w:rsidR="00B2710B" w:rsidRDefault="00B2710B" w:rsidP="00812ECA">
      <w:pPr>
        <w:pStyle w:val="Textparagrafu"/>
        <w:tabs>
          <w:tab w:val="left" w:pos="406"/>
          <w:tab w:val="left" w:pos="826"/>
        </w:tabs>
        <w:spacing w:before="0"/>
        <w:ind w:left="426" w:hanging="426"/>
      </w:pPr>
      <w:r w:rsidRPr="00AB11B2">
        <w:t>e)</w:t>
      </w:r>
      <w:r w:rsidR="00CD58F8">
        <w:tab/>
      </w:r>
      <w:r w:rsidRPr="00AB11B2">
        <w:t>neposkytne</w:t>
      </w:r>
      <w:r>
        <w:t xml:space="preserve"> </w:t>
      </w:r>
      <w:r w:rsidRPr="00AB11B2">
        <w:t>podle</w:t>
      </w:r>
      <w:r>
        <w:t xml:space="preserve"> </w:t>
      </w:r>
      <w:r w:rsidRPr="00AB11B2">
        <w:t>§</w:t>
      </w:r>
      <w:r>
        <w:t xml:space="preserve"> </w:t>
      </w:r>
      <w:r w:rsidRPr="00AB11B2">
        <w:t>22</w:t>
      </w:r>
      <w:r>
        <w:t xml:space="preserve"> </w:t>
      </w:r>
      <w:r w:rsidRPr="00AB11B2">
        <w:t>odst.</w:t>
      </w:r>
      <w:r>
        <w:t xml:space="preserve"> </w:t>
      </w:r>
      <w:r w:rsidRPr="00AB11B2">
        <w:t>2</w:t>
      </w:r>
      <w:r>
        <w:t xml:space="preserve"> </w:t>
      </w:r>
      <w:r w:rsidRPr="00AB11B2">
        <w:t>písm.</w:t>
      </w:r>
      <w:r>
        <w:t xml:space="preserve"> </w:t>
      </w:r>
      <w:r w:rsidRPr="00AB11B2">
        <w:t>b)</w:t>
      </w:r>
      <w:r>
        <w:t xml:space="preserve"> </w:t>
      </w:r>
      <w:r w:rsidRPr="00AB11B2">
        <w:t>doklady</w:t>
      </w:r>
      <w:r>
        <w:t xml:space="preserve"> </w:t>
      </w:r>
      <w:r w:rsidRPr="00AB11B2">
        <w:t>o</w:t>
      </w:r>
      <w:r>
        <w:t xml:space="preserve"> </w:t>
      </w:r>
      <w:r w:rsidRPr="00AB11B2">
        <w:t>trvání</w:t>
      </w:r>
      <w:r>
        <w:t xml:space="preserve"> </w:t>
      </w:r>
      <w:r w:rsidRPr="00AB11B2">
        <w:t>finanční</w:t>
      </w:r>
      <w:r>
        <w:t xml:space="preserve"> </w:t>
      </w:r>
      <w:r w:rsidRPr="00AB11B2">
        <w:t>způsobilosti</w:t>
      </w:r>
      <w:r>
        <w:t xml:space="preserve"> </w:t>
      </w:r>
      <w:r w:rsidRPr="00AB11B2">
        <w:t>k</w:t>
      </w:r>
      <w:r>
        <w:t xml:space="preserve"> </w:t>
      </w:r>
      <w:r w:rsidRPr="00AB11B2">
        <w:t>řádnému</w:t>
      </w:r>
      <w:r>
        <w:t xml:space="preserve"> </w:t>
      </w:r>
      <w:r w:rsidRPr="00AB11B2">
        <w:t>provozování</w:t>
      </w:r>
      <w:r>
        <w:t xml:space="preserve"> </w:t>
      </w:r>
      <w:r w:rsidRPr="00AB11B2">
        <w:t>dráhy,</w:t>
      </w:r>
    </w:p>
    <w:p w14:paraId="2A89B149" w14:textId="3CF4DB8D" w:rsidR="00B2710B" w:rsidRDefault="00B2710B" w:rsidP="00812ECA">
      <w:pPr>
        <w:pStyle w:val="Textparagrafu"/>
        <w:tabs>
          <w:tab w:val="left" w:pos="406"/>
          <w:tab w:val="left" w:pos="826"/>
        </w:tabs>
        <w:spacing w:before="0"/>
        <w:ind w:left="426" w:hanging="426"/>
      </w:pPr>
      <w:r w:rsidRPr="00AB11B2">
        <w:t>f)</w:t>
      </w:r>
      <w:r w:rsidR="00CD58F8">
        <w:tab/>
      </w:r>
      <w:r w:rsidRPr="00AB11B2">
        <w:t>nezajistí,</w:t>
      </w:r>
      <w:r>
        <w:t xml:space="preserve"> </w:t>
      </w:r>
      <w:r w:rsidRPr="00AB11B2">
        <w:t>aby</w:t>
      </w:r>
      <w:r>
        <w:t xml:space="preserve"> </w:t>
      </w:r>
      <w:r w:rsidRPr="00AB11B2">
        <w:t>jím</w:t>
      </w:r>
      <w:r>
        <w:t xml:space="preserve"> </w:t>
      </w:r>
      <w:r w:rsidRPr="00AB11B2">
        <w:t>zavedený</w:t>
      </w:r>
      <w:r>
        <w:t xml:space="preserve"> </w:t>
      </w:r>
      <w:r w:rsidRPr="00AB11B2">
        <w:t>systém</w:t>
      </w:r>
      <w:r>
        <w:t xml:space="preserve"> </w:t>
      </w:r>
      <w:r w:rsidRPr="00AB11B2">
        <w:t>zajišťování</w:t>
      </w:r>
      <w:r>
        <w:t xml:space="preserve"> </w:t>
      </w:r>
      <w:r w:rsidRPr="00AB11B2">
        <w:t>bezpečnosti</w:t>
      </w:r>
      <w:r>
        <w:t xml:space="preserve"> </w:t>
      </w:r>
      <w:r w:rsidRPr="00AB11B2">
        <w:t>provozovatele</w:t>
      </w:r>
      <w:r>
        <w:t xml:space="preserve"> </w:t>
      </w:r>
      <w:r w:rsidRPr="00AB11B2">
        <w:t>dráhy</w:t>
      </w:r>
      <w:r>
        <w:t xml:space="preserve"> </w:t>
      </w:r>
      <w:r w:rsidRPr="00AB11B2">
        <w:t>splňoval</w:t>
      </w:r>
      <w:r>
        <w:t xml:space="preserve"> </w:t>
      </w:r>
      <w:r w:rsidRPr="00AB11B2">
        <w:t>požadavky</w:t>
      </w:r>
      <w:r>
        <w:t xml:space="preserve"> </w:t>
      </w:r>
      <w:r w:rsidRPr="00AB11B2">
        <w:t>podle</w:t>
      </w:r>
      <w:r>
        <w:t xml:space="preserve"> </w:t>
      </w:r>
      <w:r w:rsidRPr="00AB11B2">
        <w:t>§</w:t>
      </w:r>
      <w:r>
        <w:t xml:space="preserve"> </w:t>
      </w:r>
      <w:r w:rsidRPr="00AB11B2">
        <w:t>22</w:t>
      </w:r>
      <w:r>
        <w:t xml:space="preserve"> </w:t>
      </w:r>
      <w:r w:rsidRPr="00AB11B2">
        <w:t>odst.</w:t>
      </w:r>
      <w:r>
        <w:t xml:space="preserve"> </w:t>
      </w:r>
      <w:r w:rsidRPr="00AB11B2">
        <w:t>2</w:t>
      </w:r>
      <w:r>
        <w:t xml:space="preserve"> </w:t>
      </w:r>
      <w:r w:rsidRPr="00AB11B2">
        <w:t>písm.</w:t>
      </w:r>
      <w:r>
        <w:t xml:space="preserve"> </w:t>
      </w:r>
      <w:r w:rsidRPr="00AB11B2">
        <w:t>d)</w:t>
      </w:r>
      <w:r>
        <w:t xml:space="preserve"> </w:t>
      </w:r>
      <w:r w:rsidRPr="00AB11B2">
        <w:t>nebo</w:t>
      </w:r>
      <w:r>
        <w:t xml:space="preserve"> </w:t>
      </w:r>
      <w:r w:rsidRPr="00AB11B2">
        <w:t>nezajistí</w:t>
      </w:r>
      <w:r>
        <w:t xml:space="preserve"> </w:t>
      </w:r>
      <w:r w:rsidRPr="00AB11B2">
        <w:t>jeho</w:t>
      </w:r>
      <w:r>
        <w:t xml:space="preserve"> </w:t>
      </w:r>
      <w:r w:rsidRPr="00AB11B2">
        <w:t>dodržování,</w:t>
      </w:r>
    </w:p>
    <w:p w14:paraId="7F63060C" w14:textId="450CDE85" w:rsidR="00B2710B" w:rsidRDefault="00B2710B" w:rsidP="00812ECA">
      <w:pPr>
        <w:pStyle w:val="Textparagrafu"/>
        <w:tabs>
          <w:tab w:val="left" w:pos="406"/>
          <w:tab w:val="left" w:pos="826"/>
        </w:tabs>
        <w:spacing w:before="0"/>
        <w:ind w:left="426" w:hanging="426"/>
      </w:pPr>
      <w:r w:rsidRPr="00AB11B2">
        <w:lastRenderedPageBreak/>
        <w:t>g)</w:t>
      </w:r>
      <w:r w:rsidR="00CD58F8">
        <w:tab/>
      </w:r>
      <w:r w:rsidRPr="00AB11B2">
        <w:t>v</w:t>
      </w:r>
      <w:r>
        <w:t xml:space="preserve"> </w:t>
      </w:r>
      <w:r w:rsidRPr="00AB11B2">
        <w:t>rozporu</w:t>
      </w:r>
      <w:r>
        <w:t xml:space="preserve"> </w:t>
      </w:r>
      <w:r w:rsidRPr="00AB11B2">
        <w:t>s</w:t>
      </w:r>
      <w:r>
        <w:t xml:space="preserve"> </w:t>
      </w:r>
      <w:r w:rsidRPr="00AB11B2">
        <w:t>§</w:t>
      </w:r>
      <w:r>
        <w:t xml:space="preserve"> </w:t>
      </w:r>
      <w:r w:rsidRPr="00AB11B2">
        <w:t>22</w:t>
      </w:r>
      <w:r>
        <w:t xml:space="preserve"> </w:t>
      </w:r>
      <w:r w:rsidRPr="00AB11B2">
        <w:t>odst.</w:t>
      </w:r>
      <w:r>
        <w:t xml:space="preserve"> </w:t>
      </w:r>
      <w:r w:rsidRPr="00AB11B2">
        <w:t>2</w:t>
      </w:r>
      <w:r>
        <w:t xml:space="preserve"> </w:t>
      </w:r>
      <w:r w:rsidRPr="00AB11B2">
        <w:t>písm.</w:t>
      </w:r>
      <w:r>
        <w:t xml:space="preserve"> </w:t>
      </w:r>
      <w:r w:rsidRPr="00AB11B2">
        <w:t>e),</w:t>
      </w:r>
      <w:r>
        <w:t xml:space="preserve"> </w:t>
      </w:r>
      <w:r w:rsidRPr="00AB11B2">
        <w:t>f)</w:t>
      </w:r>
      <w:r>
        <w:t xml:space="preserve"> </w:t>
      </w:r>
      <w:r w:rsidRPr="00AB11B2">
        <w:t>nebo</w:t>
      </w:r>
      <w:r>
        <w:t xml:space="preserve"> </w:t>
      </w:r>
      <w:r w:rsidRPr="00AB11B2">
        <w:t>g)</w:t>
      </w:r>
      <w:r>
        <w:t xml:space="preserve"> </w:t>
      </w:r>
      <w:r w:rsidRPr="00AB11B2">
        <w:t>nepřijme</w:t>
      </w:r>
      <w:r>
        <w:t xml:space="preserve"> </w:t>
      </w:r>
      <w:r w:rsidRPr="00AB11B2">
        <w:t>stanovená</w:t>
      </w:r>
      <w:r>
        <w:t xml:space="preserve"> </w:t>
      </w:r>
      <w:r w:rsidRPr="00AB11B2">
        <w:t>opatření,</w:t>
      </w:r>
      <w:r>
        <w:t xml:space="preserve"> </w:t>
      </w:r>
      <w:r w:rsidRPr="00AB11B2">
        <w:t>nezajistí</w:t>
      </w:r>
      <w:r>
        <w:t xml:space="preserve"> </w:t>
      </w:r>
      <w:r w:rsidRPr="00AB11B2">
        <w:t>přijetí</w:t>
      </w:r>
      <w:r>
        <w:t xml:space="preserve"> </w:t>
      </w:r>
      <w:r w:rsidRPr="00AB11B2">
        <w:t>stanovených</w:t>
      </w:r>
      <w:r>
        <w:t xml:space="preserve"> </w:t>
      </w:r>
      <w:r w:rsidRPr="00AB11B2">
        <w:t>opatření</w:t>
      </w:r>
      <w:r>
        <w:t xml:space="preserve"> </w:t>
      </w:r>
      <w:r w:rsidRPr="00AB11B2">
        <w:t>osobami,</w:t>
      </w:r>
      <w:r>
        <w:t xml:space="preserve"> </w:t>
      </w:r>
      <w:r w:rsidRPr="00AB11B2">
        <w:t>jejichž</w:t>
      </w:r>
      <w:r>
        <w:t xml:space="preserve"> </w:t>
      </w:r>
      <w:r w:rsidRPr="00AB11B2">
        <w:t>činnost</w:t>
      </w:r>
      <w:r>
        <w:t xml:space="preserve"> </w:t>
      </w:r>
      <w:r w:rsidRPr="00AB11B2">
        <w:t>může</w:t>
      </w:r>
      <w:r>
        <w:t xml:space="preserve"> </w:t>
      </w:r>
      <w:r w:rsidRPr="00AB11B2">
        <w:t>mít</w:t>
      </w:r>
      <w:r>
        <w:t xml:space="preserve"> </w:t>
      </w:r>
      <w:r w:rsidRPr="00AB11B2">
        <w:t>dopad</w:t>
      </w:r>
      <w:r>
        <w:t xml:space="preserve"> </w:t>
      </w:r>
      <w:r w:rsidRPr="00AB11B2">
        <w:t>na</w:t>
      </w:r>
      <w:r>
        <w:t xml:space="preserve"> </w:t>
      </w:r>
      <w:r w:rsidRPr="00AB11B2">
        <w:t>bezpečnost</w:t>
      </w:r>
      <w:r>
        <w:t xml:space="preserve"> </w:t>
      </w:r>
      <w:r w:rsidRPr="00AB11B2">
        <w:t>provozování</w:t>
      </w:r>
      <w:r>
        <w:t xml:space="preserve"> </w:t>
      </w:r>
      <w:r w:rsidRPr="00AB11B2">
        <w:t>dráhy</w:t>
      </w:r>
      <w:r>
        <w:t xml:space="preserve"> </w:t>
      </w:r>
      <w:r w:rsidRPr="00AB11B2">
        <w:t>nebo</w:t>
      </w:r>
      <w:r>
        <w:t xml:space="preserve"> </w:t>
      </w:r>
      <w:r w:rsidRPr="00AB11B2">
        <w:t>drážní</w:t>
      </w:r>
      <w:r>
        <w:t xml:space="preserve"> </w:t>
      </w:r>
      <w:r w:rsidRPr="00AB11B2">
        <w:t>dopravy,</w:t>
      </w:r>
      <w:r>
        <w:t xml:space="preserve"> </w:t>
      </w:r>
      <w:r w:rsidRPr="00AB11B2">
        <w:t>nebo</w:t>
      </w:r>
      <w:r>
        <w:t xml:space="preserve"> </w:t>
      </w:r>
      <w:r w:rsidRPr="00AB11B2">
        <w:t>nesleduje,</w:t>
      </w:r>
      <w:r>
        <w:t xml:space="preserve"> </w:t>
      </w:r>
      <w:r w:rsidRPr="00AB11B2">
        <w:t>zda</w:t>
      </w:r>
      <w:r>
        <w:t xml:space="preserve"> </w:t>
      </w:r>
      <w:r w:rsidRPr="00AB11B2">
        <w:t>byla</w:t>
      </w:r>
      <w:r>
        <w:t xml:space="preserve"> </w:t>
      </w:r>
      <w:r w:rsidRPr="00AB11B2">
        <w:t>tato</w:t>
      </w:r>
      <w:r>
        <w:t xml:space="preserve"> </w:t>
      </w:r>
      <w:r w:rsidRPr="00AB11B2">
        <w:t>opatření</w:t>
      </w:r>
      <w:r>
        <w:t xml:space="preserve"> </w:t>
      </w:r>
      <w:r w:rsidRPr="00AB11B2">
        <w:t>přijata,</w:t>
      </w:r>
    </w:p>
    <w:p w14:paraId="14EBF3F9" w14:textId="11AE2FC2" w:rsidR="00B2710B" w:rsidRDefault="00B2710B" w:rsidP="00812ECA">
      <w:pPr>
        <w:pStyle w:val="Textparagrafu"/>
        <w:tabs>
          <w:tab w:val="left" w:pos="406"/>
          <w:tab w:val="left" w:pos="826"/>
        </w:tabs>
        <w:spacing w:before="0"/>
        <w:ind w:left="426" w:hanging="426"/>
      </w:pPr>
      <w:r w:rsidRPr="00AB11B2">
        <w:t>h)</w:t>
      </w:r>
      <w:r w:rsidR="00CD58F8">
        <w:tab/>
      </w:r>
      <w:r w:rsidRPr="00AB11B2">
        <w:t>v</w:t>
      </w:r>
      <w:r>
        <w:t xml:space="preserve"> </w:t>
      </w:r>
      <w:r w:rsidRPr="00AB11B2">
        <w:t>rozporu</w:t>
      </w:r>
      <w:r>
        <w:t xml:space="preserve"> </w:t>
      </w:r>
      <w:r w:rsidRPr="00AB11B2">
        <w:t>s</w:t>
      </w:r>
      <w:r>
        <w:t xml:space="preserve"> </w:t>
      </w:r>
      <w:r w:rsidRPr="00AB11B2">
        <w:t>§</w:t>
      </w:r>
      <w:r>
        <w:t xml:space="preserve"> </w:t>
      </w:r>
      <w:r w:rsidRPr="00AB11B2">
        <w:t>22</w:t>
      </w:r>
      <w:r>
        <w:t xml:space="preserve"> </w:t>
      </w:r>
      <w:r w:rsidRPr="00AB11B2">
        <w:t>odst.</w:t>
      </w:r>
      <w:r>
        <w:t xml:space="preserve"> </w:t>
      </w:r>
      <w:r w:rsidRPr="00AB11B2">
        <w:t>2</w:t>
      </w:r>
      <w:r>
        <w:t xml:space="preserve"> </w:t>
      </w:r>
      <w:r w:rsidRPr="00AB11B2">
        <w:t>písm.</w:t>
      </w:r>
      <w:r>
        <w:t xml:space="preserve"> </w:t>
      </w:r>
      <w:r w:rsidRPr="00AB11B2">
        <w:t>h)</w:t>
      </w:r>
      <w:r>
        <w:t xml:space="preserve"> </w:t>
      </w:r>
      <w:r w:rsidRPr="00AB11B2">
        <w:t>nepředloží</w:t>
      </w:r>
      <w:r>
        <w:t xml:space="preserve"> </w:t>
      </w:r>
      <w:r w:rsidRPr="00AB11B2">
        <w:t>Agentuře</w:t>
      </w:r>
      <w:r>
        <w:t xml:space="preserve"> </w:t>
      </w:r>
      <w:r w:rsidRPr="00AB11B2">
        <w:t>Evropské</w:t>
      </w:r>
      <w:r>
        <w:t xml:space="preserve"> </w:t>
      </w:r>
      <w:r w:rsidRPr="00AB11B2">
        <w:t>unie</w:t>
      </w:r>
      <w:r>
        <w:t xml:space="preserve"> </w:t>
      </w:r>
      <w:r w:rsidRPr="00AB11B2">
        <w:t>pro</w:t>
      </w:r>
      <w:r>
        <w:t xml:space="preserve"> </w:t>
      </w:r>
      <w:r w:rsidRPr="00AB11B2">
        <w:t>železnice</w:t>
      </w:r>
      <w:r>
        <w:t xml:space="preserve"> </w:t>
      </w:r>
      <w:r w:rsidRPr="00AB11B2">
        <w:t>požadovaná</w:t>
      </w:r>
      <w:r>
        <w:t xml:space="preserve"> </w:t>
      </w:r>
      <w:r w:rsidRPr="00AB11B2">
        <w:t>smluvní</w:t>
      </w:r>
      <w:r>
        <w:t xml:space="preserve"> </w:t>
      </w:r>
      <w:r w:rsidRPr="00AB11B2">
        <w:t>ujednání,</w:t>
      </w:r>
    </w:p>
    <w:p w14:paraId="3AFB4371" w14:textId="0A859689" w:rsidR="00B2710B" w:rsidRDefault="00B2710B" w:rsidP="00812ECA">
      <w:pPr>
        <w:pStyle w:val="Textparagrafu"/>
        <w:tabs>
          <w:tab w:val="left" w:pos="406"/>
          <w:tab w:val="left" w:pos="826"/>
        </w:tabs>
        <w:spacing w:before="0"/>
        <w:ind w:left="426" w:hanging="426"/>
      </w:pPr>
      <w:r w:rsidRPr="00AB11B2">
        <w:t>i)</w:t>
      </w:r>
      <w:r w:rsidR="00CD58F8">
        <w:tab/>
      </w:r>
      <w:r w:rsidRPr="00AB11B2">
        <w:t>v</w:t>
      </w:r>
      <w:r>
        <w:t xml:space="preserve"> </w:t>
      </w:r>
      <w:r w:rsidRPr="00AB11B2">
        <w:t>rozporu</w:t>
      </w:r>
      <w:r>
        <w:t xml:space="preserve"> </w:t>
      </w:r>
      <w:r w:rsidRPr="00AB11B2">
        <w:t>s</w:t>
      </w:r>
      <w:r>
        <w:t xml:space="preserve"> </w:t>
      </w:r>
      <w:r w:rsidRPr="00AB11B2">
        <w:t>§</w:t>
      </w:r>
      <w:r>
        <w:t xml:space="preserve"> </w:t>
      </w:r>
      <w:r w:rsidRPr="00AB11B2">
        <w:t>22</w:t>
      </w:r>
      <w:r>
        <w:t xml:space="preserve"> </w:t>
      </w:r>
      <w:r w:rsidRPr="00AB11B2">
        <w:t>odst.</w:t>
      </w:r>
      <w:r>
        <w:t xml:space="preserve"> </w:t>
      </w:r>
      <w:r w:rsidRPr="00AB11B2">
        <w:t>2</w:t>
      </w:r>
      <w:r>
        <w:t xml:space="preserve"> </w:t>
      </w:r>
      <w:r w:rsidRPr="00AB11B2">
        <w:t>písm.</w:t>
      </w:r>
      <w:r>
        <w:t xml:space="preserve"> </w:t>
      </w:r>
      <w:r w:rsidRPr="00AB11B2">
        <w:t>i)</w:t>
      </w:r>
      <w:r>
        <w:t xml:space="preserve"> </w:t>
      </w:r>
      <w:r w:rsidRPr="00AB11B2">
        <w:t>nepřijme</w:t>
      </w:r>
      <w:r>
        <w:t xml:space="preserve"> </w:t>
      </w:r>
      <w:r w:rsidRPr="00AB11B2">
        <w:t>nezbytná</w:t>
      </w:r>
      <w:r>
        <w:t xml:space="preserve"> </w:t>
      </w:r>
      <w:r w:rsidRPr="00AB11B2">
        <w:t>opatření</w:t>
      </w:r>
      <w:r>
        <w:t xml:space="preserve"> </w:t>
      </w:r>
      <w:r w:rsidRPr="00AB11B2">
        <w:t>k</w:t>
      </w:r>
      <w:r>
        <w:t xml:space="preserve"> </w:t>
      </w:r>
      <w:r w:rsidRPr="00AB11B2">
        <w:t>odstranění</w:t>
      </w:r>
      <w:r>
        <w:t xml:space="preserve"> </w:t>
      </w:r>
      <w:r w:rsidRPr="00AB11B2">
        <w:t>či</w:t>
      </w:r>
      <w:r>
        <w:t xml:space="preserve"> </w:t>
      </w:r>
      <w:r w:rsidRPr="00AB11B2">
        <w:t>jinému</w:t>
      </w:r>
      <w:r>
        <w:t xml:space="preserve"> </w:t>
      </w:r>
      <w:r w:rsidRPr="00AB11B2">
        <w:t>usměrnění</w:t>
      </w:r>
      <w:r>
        <w:t xml:space="preserve"> </w:t>
      </w:r>
      <w:r w:rsidRPr="00AB11B2">
        <w:t>bezpečnostního</w:t>
      </w:r>
      <w:r>
        <w:t xml:space="preserve"> </w:t>
      </w:r>
      <w:r w:rsidRPr="00AB11B2">
        <w:t>rizika</w:t>
      </w:r>
      <w:r>
        <w:t xml:space="preserve"> </w:t>
      </w:r>
      <w:r w:rsidRPr="00AB11B2">
        <w:t>nebo</w:t>
      </w:r>
      <w:r>
        <w:t xml:space="preserve"> </w:t>
      </w:r>
      <w:r w:rsidRPr="00AB11B2">
        <w:t>toto</w:t>
      </w:r>
      <w:r>
        <w:t xml:space="preserve"> </w:t>
      </w:r>
      <w:r w:rsidRPr="00AB11B2">
        <w:t>riziko</w:t>
      </w:r>
      <w:r>
        <w:t xml:space="preserve"> </w:t>
      </w:r>
      <w:r w:rsidRPr="00AB11B2">
        <w:t>neoznámí</w:t>
      </w:r>
      <w:r>
        <w:t xml:space="preserve"> </w:t>
      </w:r>
      <w:r w:rsidRPr="00AB11B2">
        <w:t>osobám,</w:t>
      </w:r>
      <w:r>
        <w:t xml:space="preserve"> </w:t>
      </w:r>
      <w:r w:rsidRPr="00AB11B2">
        <w:t>které</w:t>
      </w:r>
      <w:r>
        <w:t xml:space="preserve"> </w:t>
      </w:r>
      <w:r w:rsidRPr="00AB11B2">
        <w:t>mohou</w:t>
      </w:r>
      <w:r>
        <w:t xml:space="preserve"> </w:t>
      </w:r>
      <w:r w:rsidRPr="00AB11B2">
        <w:t>přispět</w:t>
      </w:r>
      <w:r>
        <w:t xml:space="preserve"> </w:t>
      </w:r>
      <w:r w:rsidRPr="00AB11B2">
        <w:t>k</w:t>
      </w:r>
      <w:r>
        <w:t xml:space="preserve"> </w:t>
      </w:r>
      <w:r w:rsidRPr="00AB11B2">
        <w:t>odstranění</w:t>
      </w:r>
      <w:r>
        <w:t xml:space="preserve"> </w:t>
      </w:r>
      <w:r w:rsidRPr="00AB11B2">
        <w:t>či</w:t>
      </w:r>
      <w:r>
        <w:t xml:space="preserve"> </w:t>
      </w:r>
      <w:r w:rsidRPr="00AB11B2">
        <w:t>jinému</w:t>
      </w:r>
      <w:r>
        <w:t xml:space="preserve"> </w:t>
      </w:r>
      <w:r w:rsidRPr="00AB11B2">
        <w:t>usměrnění</w:t>
      </w:r>
      <w:r>
        <w:t xml:space="preserve"> </w:t>
      </w:r>
      <w:r w:rsidRPr="00AB11B2">
        <w:t>tohoto</w:t>
      </w:r>
      <w:r>
        <w:t xml:space="preserve"> </w:t>
      </w:r>
      <w:r w:rsidRPr="00AB11B2">
        <w:t>bezpečnostního</w:t>
      </w:r>
      <w:r>
        <w:t xml:space="preserve"> </w:t>
      </w:r>
      <w:r w:rsidRPr="00AB11B2">
        <w:t>rizika,</w:t>
      </w:r>
    </w:p>
    <w:p w14:paraId="5457116D" w14:textId="4D851226" w:rsidR="00B2710B" w:rsidRDefault="00B2710B" w:rsidP="00812ECA">
      <w:pPr>
        <w:pStyle w:val="Textparagrafu"/>
        <w:tabs>
          <w:tab w:val="left" w:pos="406"/>
          <w:tab w:val="left" w:pos="826"/>
        </w:tabs>
        <w:spacing w:before="0"/>
        <w:ind w:left="426" w:hanging="426"/>
      </w:pPr>
      <w:r w:rsidRPr="00AB11B2">
        <w:t>j)</w:t>
      </w:r>
      <w:r w:rsidR="00CD58F8">
        <w:tab/>
      </w:r>
      <w:r w:rsidRPr="00AB11B2">
        <w:t>nepředloží</w:t>
      </w:r>
      <w:r>
        <w:t xml:space="preserve"> </w:t>
      </w:r>
      <w:r w:rsidRPr="00AB11B2">
        <w:t>podle</w:t>
      </w:r>
      <w:r>
        <w:t xml:space="preserve"> </w:t>
      </w:r>
      <w:r w:rsidRPr="00AB11B2">
        <w:t>§</w:t>
      </w:r>
      <w:r>
        <w:t xml:space="preserve"> </w:t>
      </w:r>
      <w:r w:rsidRPr="00AB11B2">
        <w:t>22</w:t>
      </w:r>
      <w:r>
        <w:t xml:space="preserve"> </w:t>
      </w:r>
      <w:r w:rsidRPr="00AB11B2">
        <w:t>odst.</w:t>
      </w:r>
      <w:r>
        <w:t xml:space="preserve"> </w:t>
      </w:r>
      <w:r w:rsidRPr="00AB11B2">
        <w:t>2</w:t>
      </w:r>
      <w:r>
        <w:t xml:space="preserve"> </w:t>
      </w:r>
      <w:r w:rsidRPr="00AB11B2">
        <w:t>písm.</w:t>
      </w:r>
      <w:r>
        <w:t xml:space="preserve"> </w:t>
      </w:r>
      <w:r w:rsidRPr="00AB11B2">
        <w:t>j)</w:t>
      </w:r>
      <w:r>
        <w:t xml:space="preserve"> </w:t>
      </w:r>
      <w:r w:rsidRPr="00AB11B2">
        <w:t>výroční</w:t>
      </w:r>
      <w:r>
        <w:t xml:space="preserve"> </w:t>
      </w:r>
      <w:r w:rsidRPr="00AB11B2">
        <w:t>zprávu</w:t>
      </w:r>
      <w:r>
        <w:t xml:space="preserve"> </w:t>
      </w:r>
      <w:r w:rsidRPr="00AB11B2">
        <w:t>o</w:t>
      </w:r>
      <w:r>
        <w:t xml:space="preserve"> </w:t>
      </w:r>
      <w:r w:rsidRPr="00AB11B2">
        <w:t>bezpečnosti</w:t>
      </w:r>
      <w:r>
        <w:t xml:space="preserve"> </w:t>
      </w:r>
      <w:r w:rsidRPr="00AB11B2">
        <w:t>provozování</w:t>
      </w:r>
      <w:r>
        <w:t xml:space="preserve"> </w:t>
      </w:r>
      <w:r w:rsidRPr="00AB11B2">
        <w:t>dráhy,</w:t>
      </w:r>
    </w:p>
    <w:p w14:paraId="2B447876" w14:textId="71380598" w:rsidR="00B2710B" w:rsidRDefault="00B2710B" w:rsidP="00812ECA">
      <w:pPr>
        <w:pStyle w:val="Textparagrafu"/>
        <w:tabs>
          <w:tab w:val="left" w:pos="406"/>
          <w:tab w:val="left" w:pos="826"/>
        </w:tabs>
        <w:spacing w:before="0"/>
        <w:ind w:left="426" w:hanging="426"/>
      </w:pPr>
      <w:r w:rsidRPr="00AB11B2">
        <w:t>k)</w:t>
      </w:r>
      <w:r w:rsidR="00CD58F8">
        <w:tab/>
      </w:r>
      <w:r w:rsidRPr="00AB11B2">
        <w:t>v</w:t>
      </w:r>
      <w:r>
        <w:t xml:space="preserve"> </w:t>
      </w:r>
      <w:r w:rsidRPr="00AB11B2">
        <w:t>rozporu</w:t>
      </w:r>
      <w:r>
        <w:t xml:space="preserve"> </w:t>
      </w:r>
      <w:r w:rsidRPr="00AB11B2">
        <w:t>s</w:t>
      </w:r>
      <w:r>
        <w:t xml:space="preserve"> </w:t>
      </w:r>
      <w:r w:rsidRPr="00AB11B2">
        <w:t>§</w:t>
      </w:r>
      <w:r>
        <w:t xml:space="preserve"> </w:t>
      </w:r>
      <w:r w:rsidRPr="00AB11B2">
        <w:t>22</w:t>
      </w:r>
      <w:r>
        <w:t xml:space="preserve"> </w:t>
      </w:r>
      <w:r w:rsidRPr="00AB11B2">
        <w:t>odst.</w:t>
      </w:r>
      <w:r>
        <w:t xml:space="preserve"> </w:t>
      </w:r>
      <w:r w:rsidRPr="00AB11B2">
        <w:t>2</w:t>
      </w:r>
      <w:r>
        <w:t xml:space="preserve"> </w:t>
      </w:r>
      <w:r w:rsidRPr="00AB11B2">
        <w:t>písm.</w:t>
      </w:r>
      <w:r>
        <w:t xml:space="preserve"> </w:t>
      </w:r>
      <w:r w:rsidRPr="00AB11B2">
        <w:t>k)</w:t>
      </w:r>
      <w:r>
        <w:t xml:space="preserve"> </w:t>
      </w:r>
      <w:r w:rsidRPr="00AB11B2">
        <w:t>neoznámí</w:t>
      </w:r>
      <w:r>
        <w:t xml:space="preserve"> </w:t>
      </w:r>
      <w:r w:rsidRPr="00AB11B2">
        <w:t>nebo</w:t>
      </w:r>
      <w:r>
        <w:t xml:space="preserve"> </w:t>
      </w:r>
      <w:r w:rsidRPr="00AB11B2">
        <w:t>jinak</w:t>
      </w:r>
      <w:r>
        <w:t xml:space="preserve"> </w:t>
      </w:r>
      <w:r w:rsidRPr="00AB11B2">
        <w:t>nezpřístupní</w:t>
      </w:r>
      <w:r>
        <w:t xml:space="preserve"> </w:t>
      </w:r>
      <w:r w:rsidRPr="00AB11B2">
        <w:t>drážnímu</w:t>
      </w:r>
      <w:r>
        <w:t xml:space="preserve"> </w:t>
      </w:r>
      <w:r w:rsidRPr="00AB11B2">
        <w:t>správnímu</w:t>
      </w:r>
      <w:r>
        <w:t xml:space="preserve"> </w:t>
      </w:r>
      <w:r w:rsidRPr="00AB11B2">
        <w:t>úřadu</w:t>
      </w:r>
      <w:r>
        <w:t xml:space="preserve"> </w:t>
      </w:r>
      <w:r w:rsidRPr="00AB11B2">
        <w:t>stanovené</w:t>
      </w:r>
      <w:r>
        <w:t xml:space="preserve"> </w:t>
      </w:r>
      <w:r w:rsidRPr="00AB11B2">
        <w:t>údaje</w:t>
      </w:r>
      <w:r>
        <w:t xml:space="preserve"> </w:t>
      </w:r>
      <w:r w:rsidRPr="00AB11B2">
        <w:t>anebo</w:t>
      </w:r>
      <w:r>
        <w:t xml:space="preserve"> </w:t>
      </w:r>
      <w:r w:rsidRPr="00AB11B2">
        <w:t>tyto</w:t>
      </w:r>
      <w:r>
        <w:t xml:space="preserve"> </w:t>
      </w:r>
      <w:r w:rsidRPr="00AB11B2">
        <w:t>údaje</w:t>
      </w:r>
      <w:r>
        <w:t xml:space="preserve"> </w:t>
      </w:r>
      <w:r w:rsidRPr="00AB11B2">
        <w:t>neuchová,</w:t>
      </w:r>
    </w:p>
    <w:p w14:paraId="7CCE15FD" w14:textId="1F65BAA3" w:rsidR="00B2710B" w:rsidRDefault="00B2710B" w:rsidP="00812ECA">
      <w:pPr>
        <w:pStyle w:val="Textparagrafu"/>
        <w:tabs>
          <w:tab w:val="left" w:pos="406"/>
          <w:tab w:val="left" w:pos="826"/>
        </w:tabs>
        <w:spacing w:before="0"/>
        <w:ind w:left="426" w:hanging="426"/>
      </w:pPr>
      <w:r w:rsidRPr="00AB11B2">
        <w:t>l)</w:t>
      </w:r>
      <w:r w:rsidR="00CD58F8">
        <w:tab/>
      </w:r>
      <w:r w:rsidRPr="00AB11B2">
        <w:t>nestanoví</w:t>
      </w:r>
      <w:r>
        <w:t xml:space="preserve"> </w:t>
      </w:r>
      <w:r w:rsidRPr="00AB11B2">
        <w:t>podle</w:t>
      </w:r>
      <w:r>
        <w:t xml:space="preserve"> </w:t>
      </w:r>
      <w:r w:rsidRPr="00AB11B2">
        <w:t>§</w:t>
      </w:r>
      <w:r>
        <w:t xml:space="preserve"> </w:t>
      </w:r>
      <w:r w:rsidRPr="00AB11B2">
        <w:t>23</w:t>
      </w:r>
      <w:r>
        <w:t xml:space="preserve"> </w:t>
      </w:r>
      <w:r w:rsidRPr="00AB11B2">
        <w:t>odst.</w:t>
      </w:r>
      <w:r>
        <w:t xml:space="preserve"> </w:t>
      </w:r>
      <w:r w:rsidRPr="00AB11B2">
        <w:t>2</w:t>
      </w:r>
      <w:r>
        <w:t xml:space="preserve"> </w:t>
      </w:r>
      <w:r w:rsidRPr="00AB11B2">
        <w:t>písm.</w:t>
      </w:r>
      <w:r>
        <w:t xml:space="preserve"> </w:t>
      </w:r>
      <w:r w:rsidRPr="00AB11B2">
        <w:t>b)</w:t>
      </w:r>
      <w:r>
        <w:t xml:space="preserve"> </w:t>
      </w:r>
      <w:r w:rsidRPr="00AB11B2">
        <w:t>rozsah</w:t>
      </w:r>
      <w:r>
        <w:t xml:space="preserve"> </w:t>
      </w:r>
      <w:r w:rsidRPr="00AB11B2">
        <w:t>poskytovaných</w:t>
      </w:r>
      <w:r>
        <w:t xml:space="preserve"> </w:t>
      </w:r>
      <w:r w:rsidRPr="00AB11B2">
        <w:t>přepravních</w:t>
      </w:r>
      <w:r>
        <w:t xml:space="preserve"> </w:t>
      </w:r>
      <w:r w:rsidRPr="00AB11B2">
        <w:t>služeb</w:t>
      </w:r>
      <w:r>
        <w:t xml:space="preserve"> </w:t>
      </w:r>
      <w:r w:rsidRPr="00AB11B2">
        <w:t>pro</w:t>
      </w:r>
      <w:r>
        <w:t xml:space="preserve"> </w:t>
      </w:r>
      <w:r w:rsidRPr="00AB11B2">
        <w:t>přepravu</w:t>
      </w:r>
      <w:r>
        <w:t xml:space="preserve"> </w:t>
      </w:r>
      <w:r w:rsidRPr="00AB11B2">
        <w:t>osob</w:t>
      </w:r>
      <w:r>
        <w:t xml:space="preserve"> </w:t>
      </w:r>
      <w:r w:rsidRPr="00AB11B2">
        <w:t>a</w:t>
      </w:r>
      <w:r>
        <w:t xml:space="preserve"> </w:t>
      </w:r>
      <w:r w:rsidRPr="00AB11B2">
        <w:t>věcí,</w:t>
      </w:r>
      <w:r>
        <w:t xml:space="preserve"> </w:t>
      </w:r>
      <w:r w:rsidRPr="00AB11B2">
        <w:t>nebo</w:t>
      </w:r>
      <w:r>
        <w:t xml:space="preserve"> </w:t>
      </w:r>
      <w:r w:rsidRPr="00AB11B2">
        <w:t>jej</w:t>
      </w:r>
      <w:r>
        <w:t xml:space="preserve"> </w:t>
      </w:r>
      <w:r w:rsidRPr="00AB11B2">
        <w:t>nezveřejní</w:t>
      </w:r>
      <w:r>
        <w:t xml:space="preserve"> </w:t>
      </w:r>
      <w:r w:rsidRPr="00AB11B2">
        <w:t>v</w:t>
      </w:r>
      <w:r>
        <w:t xml:space="preserve"> </w:t>
      </w:r>
      <w:r w:rsidRPr="00AB11B2">
        <w:t>Přepravním</w:t>
      </w:r>
      <w:r>
        <w:t xml:space="preserve"> </w:t>
      </w:r>
      <w:r w:rsidRPr="00AB11B2">
        <w:t>a</w:t>
      </w:r>
      <w:r>
        <w:t xml:space="preserve"> </w:t>
      </w:r>
      <w:r w:rsidRPr="00AB11B2">
        <w:t>tarifním</w:t>
      </w:r>
      <w:r>
        <w:t xml:space="preserve"> </w:t>
      </w:r>
      <w:r w:rsidRPr="00AB11B2">
        <w:t>věstníku,</w:t>
      </w:r>
    </w:p>
    <w:p w14:paraId="092E83EC" w14:textId="18581D2A" w:rsidR="00B2710B" w:rsidRDefault="00B2710B" w:rsidP="00812ECA">
      <w:pPr>
        <w:pStyle w:val="Textparagrafu"/>
        <w:tabs>
          <w:tab w:val="left" w:pos="406"/>
          <w:tab w:val="left" w:pos="826"/>
        </w:tabs>
        <w:spacing w:before="0"/>
        <w:ind w:left="426" w:hanging="426"/>
      </w:pPr>
      <w:r w:rsidRPr="00AB11B2">
        <w:t>m)</w:t>
      </w:r>
      <w:r w:rsidR="00CD58F8">
        <w:tab/>
      </w:r>
      <w:r w:rsidRPr="00AB11B2">
        <w:t>nezpracuje</w:t>
      </w:r>
      <w:r>
        <w:t xml:space="preserve"> </w:t>
      </w:r>
      <w:r w:rsidRPr="00AB11B2">
        <w:t>jízdní</w:t>
      </w:r>
      <w:r>
        <w:t xml:space="preserve"> </w:t>
      </w:r>
      <w:r w:rsidRPr="00AB11B2">
        <w:t>řád</w:t>
      </w:r>
      <w:r>
        <w:t xml:space="preserve"> </w:t>
      </w:r>
      <w:r w:rsidRPr="00AB11B2">
        <w:t>podle</w:t>
      </w:r>
      <w:r>
        <w:t xml:space="preserve"> </w:t>
      </w:r>
      <w:r w:rsidRPr="00AB11B2">
        <w:t>§</w:t>
      </w:r>
      <w:r>
        <w:t xml:space="preserve"> </w:t>
      </w:r>
      <w:r w:rsidRPr="00AB11B2">
        <w:t>40</w:t>
      </w:r>
      <w:r>
        <w:t xml:space="preserve"> </w:t>
      </w:r>
      <w:r w:rsidRPr="00AB11B2">
        <w:t>odst.</w:t>
      </w:r>
      <w:r>
        <w:t xml:space="preserve"> </w:t>
      </w:r>
      <w:r w:rsidRPr="00AB11B2">
        <w:t>1,</w:t>
      </w:r>
    </w:p>
    <w:p w14:paraId="5887B5B2" w14:textId="32047939" w:rsidR="00B2710B" w:rsidRDefault="00B2710B" w:rsidP="00812ECA">
      <w:pPr>
        <w:pStyle w:val="Textparagrafu"/>
        <w:tabs>
          <w:tab w:val="left" w:pos="406"/>
          <w:tab w:val="left" w:pos="826"/>
        </w:tabs>
        <w:spacing w:before="0"/>
        <w:ind w:left="426" w:hanging="426"/>
      </w:pPr>
      <w:r w:rsidRPr="00AB11B2">
        <w:t>n)</w:t>
      </w:r>
      <w:r w:rsidR="00CD58F8">
        <w:tab/>
      </w:r>
      <w:r w:rsidRPr="00AB11B2">
        <w:t>nepředá</w:t>
      </w:r>
      <w:r>
        <w:t xml:space="preserve"> </w:t>
      </w:r>
      <w:r w:rsidRPr="00AB11B2">
        <w:t>podle</w:t>
      </w:r>
      <w:r>
        <w:t xml:space="preserve"> </w:t>
      </w:r>
      <w:r w:rsidRPr="00AB11B2">
        <w:t>§</w:t>
      </w:r>
      <w:r>
        <w:t xml:space="preserve"> </w:t>
      </w:r>
      <w:r w:rsidRPr="00AB11B2">
        <w:t>40</w:t>
      </w:r>
      <w:r>
        <w:t xml:space="preserve"> </w:t>
      </w:r>
      <w:r w:rsidRPr="00AB11B2">
        <w:t>odst.</w:t>
      </w:r>
      <w:r>
        <w:t xml:space="preserve"> </w:t>
      </w:r>
      <w:r w:rsidRPr="00AB11B2">
        <w:t>2</w:t>
      </w:r>
      <w:r>
        <w:t xml:space="preserve"> </w:t>
      </w:r>
      <w:r w:rsidRPr="00AB11B2">
        <w:t>údaje</w:t>
      </w:r>
      <w:r>
        <w:t xml:space="preserve"> </w:t>
      </w:r>
      <w:r w:rsidRPr="00AB11B2">
        <w:t>z</w:t>
      </w:r>
      <w:r>
        <w:t xml:space="preserve"> </w:t>
      </w:r>
      <w:r w:rsidRPr="00AB11B2">
        <w:t>platného</w:t>
      </w:r>
      <w:r>
        <w:t xml:space="preserve"> </w:t>
      </w:r>
      <w:r w:rsidRPr="00AB11B2">
        <w:t>jízdního</w:t>
      </w:r>
      <w:r>
        <w:t xml:space="preserve"> </w:t>
      </w:r>
      <w:r w:rsidRPr="00AB11B2">
        <w:t>řádu</w:t>
      </w:r>
      <w:r>
        <w:t xml:space="preserve"> </w:t>
      </w:r>
      <w:r w:rsidRPr="00AB11B2">
        <w:t>Ministerstvu</w:t>
      </w:r>
      <w:r>
        <w:t xml:space="preserve"> </w:t>
      </w:r>
      <w:r w:rsidRPr="00AB11B2">
        <w:t>dopravy</w:t>
      </w:r>
      <w:r>
        <w:t xml:space="preserve"> </w:t>
      </w:r>
      <w:r w:rsidRPr="00AB11B2">
        <w:t>pro</w:t>
      </w:r>
      <w:r>
        <w:t xml:space="preserve"> </w:t>
      </w:r>
      <w:r w:rsidRPr="00AB11B2">
        <w:t>účely</w:t>
      </w:r>
      <w:r>
        <w:t xml:space="preserve"> </w:t>
      </w:r>
      <w:r w:rsidRPr="00AB11B2">
        <w:t>vedení</w:t>
      </w:r>
      <w:r>
        <w:t xml:space="preserve"> </w:t>
      </w:r>
      <w:r w:rsidRPr="00AB11B2">
        <w:t>Celostátního</w:t>
      </w:r>
      <w:r>
        <w:t xml:space="preserve"> </w:t>
      </w:r>
      <w:r w:rsidRPr="00AB11B2">
        <w:t>informačního</w:t>
      </w:r>
      <w:r>
        <w:t xml:space="preserve"> </w:t>
      </w:r>
      <w:r w:rsidRPr="00AB11B2">
        <w:t>systému</w:t>
      </w:r>
      <w:r>
        <w:t xml:space="preserve"> </w:t>
      </w:r>
      <w:r w:rsidRPr="00AB11B2">
        <w:t>o</w:t>
      </w:r>
      <w:r>
        <w:t xml:space="preserve"> </w:t>
      </w:r>
      <w:r w:rsidRPr="00AB11B2">
        <w:t>jízdních</w:t>
      </w:r>
      <w:r>
        <w:t xml:space="preserve"> </w:t>
      </w:r>
      <w:r w:rsidRPr="00AB11B2">
        <w:t>řádech,</w:t>
      </w:r>
    </w:p>
    <w:p w14:paraId="69525A02" w14:textId="53A7DE37" w:rsidR="00B2710B" w:rsidRDefault="00B2710B" w:rsidP="00812ECA">
      <w:pPr>
        <w:pStyle w:val="Textparagrafu"/>
        <w:tabs>
          <w:tab w:val="left" w:pos="406"/>
          <w:tab w:val="left" w:pos="826"/>
        </w:tabs>
        <w:spacing w:before="0"/>
        <w:ind w:left="426" w:hanging="426"/>
      </w:pPr>
      <w:r w:rsidRPr="00AB11B2">
        <w:t>o)</w:t>
      </w:r>
      <w:r w:rsidR="00CD58F8">
        <w:tab/>
      </w:r>
      <w:r w:rsidRPr="00AB11B2">
        <w:t>v</w:t>
      </w:r>
      <w:r>
        <w:t xml:space="preserve"> </w:t>
      </w:r>
      <w:r w:rsidRPr="00AB11B2">
        <w:t>rozporu</w:t>
      </w:r>
      <w:r>
        <w:t xml:space="preserve"> </w:t>
      </w:r>
      <w:r w:rsidRPr="00AB11B2">
        <w:t>s</w:t>
      </w:r>
      <w:r>
        <w:t xml:space="preserve"> </w:t>
      </w:r>
      <w:r w:rsidRPr="00AB11B2">
        <w:t>§</w:t>
      </w:r>
      <w:r>
        <w:t xml:space="preserve"> </w:t>
      </w:r>
      <w:r w:rsidRPr="00AB11B2">
        <w:t>43</w:t>
      </w:r>
      <w:r>
        <w:t xml:space="preserve"> </w:t>
      </w:r>
      <w:r w:rsidRPr="00AB11B2">
        <w:t>odst.</w:t>
      </w:r>
      <w:r>
        <w:t xml:space="preserve"> </w:t>
      </w:r>
      <w:r w:rsidRPr="00AB11B2">
        <w:t>6</w:t>
      </w:r>
      <w:r>
        <w:t xml:space="preserve"> </w:t>
      </w:r>
      <w:r w:rsidRPr="00AB11B2">
        <w:t>neumožní</w:t>
      </w:r>
      <w:r>
        <w:t xml:space="preserve"> </w:t>
      </w:r>
      <w:r w:rsidRPr="00AB11B2">
        <w:t>uskutečnit</w:t>
      </w:r>
      <w:r>
        <w:t xml:space="preserve"> </w:t>
      </w:r>
      <w:r w:rsidRPr="00AB11B2">
        <w:t>zkušební</w:t>
      </w:r>
      <w:r>
        <w:t xml:space="preserve"> </w:t>
      </w:r>
      <w:r w:rsidRPr="00AB11B2">
        <w:t>provoz</w:t>
      </w:r>
      <w:r>
        <w:t xml:space="preserve"> </w:t>
      </w:r>
      <w:r w:rsidRPr="00AB11B2">
        <w:t>drážního</w:t>
      </w:r>
      <w:r>
        <w:t xml:space="preserve"> </w:t>
      </w:r>
      <w:r w:rsidRPr="00AB11B2">
        <w:t>vozidla</w:t>
      </w:r>
      <w:r>
        <w:t xml:space="preserve"> </w:t>
      </w:r>
      <w:r w:rsidRPr="00AB11B2">
        <w:t>na</w:t>
      </w:r>
      <w:r>
        <w:t xml:space="preserve"> </w:t>
      </w:r>
      <w:r w:rsidRPr="00AB11B2">
        <w:t>jím</w:t>
      </w:r>
      <w:r>
        <w:t xml:space="preserve"> </w:t>
      </w:r>
      <w:r w:rsidRPr="00AB11B2">
        <w:t>provozované</w:t>
      </w:r>
      <w:r>
        <w:t xml:space="preserve"> </w:t>
      </w:r>
      <w:r w:rsidRPr="00AB11B2">
        <w:t>dráze,</w:t>
      </w:r>
    </w:p>
    <w:p w14:paraId="1753F198" w14:textId="7C66ED2A" w:rsidR="00B2710B" w:rsidRDefault="00B2710B" w:rsidP="00812ECA">
      <w:pPr>
        <w:pStyle w:val="Textparagrafu"/>
        <w:tabs>
          <w:tab w:val="left" w:pos="406"/>
          <w:tab w:val="left" w:pos="826"/>
        </w:tabs>
        <w:spacing w:before="0"/>
        <w:ind w:left="426" w:hanging="426"/>
      </w:pPr>
      <w:r w:rsidRPr="00AB11B2">
        <w:t>p)</w:t>
      </w:r>
      <w:r w:rsidR="00CD58F8">
        <w:tab/>
      </w:r>
      <w:r w:rsidRPr="00AB11B2">
        <w:t>v</w:t>
      </w:r>
      <w:r>
        <w:t xml:space="preserve"> </w:t>
      </w:r>
      <w:r w:rsidRPr="00AB11B2">
        <w:t>rozporu</w:t>
      </w:r>
      <w:r>
        <w:t xml:space="preserve"> </w:t>
      </w:r>
      <w:r w:rsidRPr="00AB11B2">
        <w:t>s</w:t>
      </w:r>
      <w:r>
        <w:t xml:space="preserve"> </w:t>
      </w:r>
      <w:r w:rsidRPr="00AB11B2">
        <w:t>§</w:t>
      </w:r>
      <w:r>
        <w:t xml:space="preserve"> </w:t>
      </w:r>
      <w:r w:rsidRPr="00AB11B2">
        <w:t>49d</w:t>
      </w:r>
      <w:r>
        <w:t xml:space="preserve"> </w:t>
      </w:r>
      <w:r w:rsidRPr="00AB11B2">
        <w:t>odst.</w:t>
      </w:r>
      <w:r>
        <w:t xml:space="preserve"> </w:t>
      </w:r>
      <w:r w:rsidRPr="00AB11B2">
        <w:t>1</w:t>
      </w:r>
      <w:r>
        <w:t xml:space="preserve"> </w:t>
      </w:r>
      <w:r w:rsidRPr="00AB11B2">
        <w:t>uvede</w:t>
      </w:r>
      <w:r>
        <w:t xml:space="preserve"> </w:t>
      </w:r>
      <w:r w:rsidRPr="00AB11B2">
        <w:t>do</w:t>
      </w:r>
      <w:r>
        <w:t xml:space="preserve"> </w:t>
      </w:r>
      <w:r w:rsidRPr="00AB11B2">
        <w:t>provozu</w:t>
      </w:r>
      <w:r>
        <w:t xml:space="preserve"> </w:t>
      </w:r>
      <w:r w:rsidRPr="00AB11B2">
        <w:t>subsystém</w:t>
      </w:r>
      <w:r>
        <w:t xml:space="preserve"> </w:t>
      </w:r>
      <w:r w:rsidRPr="00AB11B2">
        <w:t>infrastruktura,</w:t>
      </w:r>
      <w:r>
        <w:t xml:space="preserve"> </w:t>
      </w:r>
      <w:r w:rsidRPr="00AB11B2">
        <w:t>subsystém</w:t>
      </w:r>
      <w:r>
        <w:t xml:space="preserve"> </w:t>
      </w:r>
      <w:r w:rsidRPr="00AB11B2">
        <w:t>energie</w:t>
      </w:r>
      <w:r>
        <w:t xml:space="preserve"> </w:t>
      </w:r>
      <w:r w:rsidRPr="00AB11B2">
        <w:t>nebo</w:t>
      </w:r>
      <w:r>
        <w:t xml:space="preserve"> </w:t>
      </w:r>
      <w:r w:rsidRPr="00AB11B2">
        <w:t>subsystém</w:t>
      </w:r>
      <w:r>
        <w:t xml:space="preserve"> </w:t>
      </w:r>
      <w:r w:rsidRPr="00AB11B2">
        <w:t>traťové</w:t>
      </w:r>
      <w:r>
        <w:t xml:space="preserve"> </w:t>
      </w:r>
      <w:r w:rsidRPr="00AB11B2">
        <w:t>řízení</w:t>
      </w:r>
      <w:r>
        <w:t xml:space="preserve"> </w:t>
      </w:r>
      <w:r w:rsidRPr="00AB11B2">
        <w:t>a</w:t>
      </w:r>
      <w:r>
        <w:t xml:space="preserve"> </w:t>
      </w:r>
      <w:r w:rsidRPr="00AB11B2">
        <w:t>zabezpečení</w:t>
      </w:r>
      <w:r>
        <w:t xml:space="preserve"> </w:t>
      </w:r>
      <w:r w:rsidRPr="00AB11B2">
        <w:t>bez</w:t>
      </w:r>
      <w:r>
        <w:t xml:space="preserve"> </w:t>
      </w:r>
      <w:r w:rsidRPr="00AB11B2">
        <w:t>průkazu</w:t>
      </w:r>
      <w:r>
        <w:t xml:space="preserve"> </w:t>
      </w:r>
      <w:r w:rsidRPr="00AB11B2">
        <w:t>způsobilosti</w:t>
      </w:r>
      <w:r>
        <w:t xml:space="preserve"> </w:t>
      </w:r>
      <w:r w:rsidRPr="00AB11B2">
        <w:t>dráhy</w:t>
      </w:r>
      <w:r>
        <w:t xml:space="preserve"> </w:t>
      </w:r>
      <w:r w:rsidRPr="00AB11B2">
        <w:t>nebo</w:t>
      </w:r>
      <w:r>
        <w:t xml:space="preserve"> </w:t>
      </w:r>
      <w:r w:rsidRPr="00AB11B2">
        <w:t>v</w:t>
      </w:r>
      <w:r>
        <w:t xml:space="preserve"> </w:t>
      </w:r>
      <w:r w:rsidRPr="00AB11B2">
        <w:t>rozporu</w:t>
      </w:r>
      <w:r>
        <w:t xml:space="preserve"> </w:t>
      </w:r>
      <w:r w:rsidRPr="00AB11B2">
        <w:t>s</w:t>
      </w:r>
      <w:r>
        <w:t xml:space="preserve"> </w:t>
      </w:r>
      <w:r w:rsidRPr="00AB11B2">
        <w:t>ním,</w:t>
      </w:r>
    </w:p>
    <w:p w14:paraId="0A681928" w14:textId="5FB6F2F2" w:rsidR="00B2710B" w:rsidRDefault="00B2710B" w:rsidP="00812ECA">
      <w:pPr>
        <w:pStyle w:val="Textparagrafu"/>
        <w:tabs>
          <w:tab w:val="left" w:pos="406"/>
          <w:tab w:val="left" w:pos="826"/>
        </w:tabs>
        <w:spacing w:before="0"/>
        <w:ind w:left="426" w:hanging="426"/>
      </w:pPr>
      <w:r w:rsidRPr="00AB11B2">
        <w:t>q)</w:t>
      </w:r>
      <w:r w:rsidR="00CD58F8">
        <w:tab/>
      </w:r>
      <w:r w:rsidRPr="00AB11B2">
        <w:t>v</w:t>
      </w:r>
      <w:r>
        <w:t xml:space="preserve"> </w:t>
      </w:r>
      <w:r w:rsidRPr="00AB11B2">
        <w:t>rozporu</w:t>
      </w:r>
      <w:r>
        <w:t xml:space="preserve"> </w:t>
      </w:r>
      <w:r w:rsidRPr="00AB11B2">
        <w:t>s</w:t>
      </w:r>
      <w:r>
        <w:t xml:space="preserve"> </w:t>
      </w:r>
      <w:r w:rsidRPr="00AB11B2">
        <w:t>§</w:t>
      </w:r>
      <w:r>
        <w:t xml:space="preserve"> </w:t>
      </w:r>
      <w:r w:rsidRPr="00AB11B2">
        <w:t>49f</w:t>
      </w:r>
      <w:r>
        <w:t xml:space="preserve"> </w:t>
      </w:r>
      <w:r w:rsidRPr="00AB11B2">
        <w:t>odst.</w:t>
      </w:r>
      <w:r>
        <w:t xml:space="preserve"> </w:t>
      </w:r>
      <w:r w:rsidRPr="00AB11B2">
        <w:t>5</w:t>
      </w:r>
      <w:r>
        <w:t xml:space="preserve"> </w:t>
      </w:r>
      <w:r w:rsidRPr="00AB11B2">
        <w:t>neodevzdá</w:t>
      </w:r>
      <w:r>
        <w:t xml:space="preserve"> </w:t>
      </w:r>
      <w:r w:rsidRPr="00AB11B2">
        <w:t>původní</w:t>
      </w:r>
      <w:r>
        <w:t xml:space="preserve"> </w:t>
      </w:r>
      <w:r w:rsidRPr="00AB11B2">
        <w:t>průkaz</w:t>
      </w:r>
      <w:r>
        <w:t xml:space="preserve"> </w:t>
      </w:r>
      <w:r w:rsidRPr="00AB11B2">
        <w:t>způsobilosti</w:t>
      </w:r>
      <w:r>
        <w:t xml:space="preserve"> </w:t>
      </w:r>
      <w:r w:rsidRPr="00AB11B2">
        <w:t>dráhy,</w:t>
      </w:r>
    </w:p>
    <w:p w14:paraId="5699CB34" w14:textId="4F95F361" w:rsidR="00B2710B" w:rsidRDefault="00B2710B" w:rsidP="00812ECA">
      <w:pPr>
        <w:pStyle w:val="Textparagrafu"/>
        <w:tabs>
          <w:tab w:val="left" w:pos="406"/>
          <w:tab w:val="left" w:pos="826"/>
        </w:tabs>
        <w:spacing w:before="0"/>
        <w:ind w:left="426" w:hanging="426"/>
      </w:pPr>
      <w:r w:rsidRPr="00AB11B2">
        <w:t>r)</w:t>
      </w:r>
      <w:r w:rsidR="00CD58F8">
        <w:tab/>
      </w:r>
      <w:r w:rsidRPr="00AB11B2">
        <w:t>v</w:t>
      </w:r>
      <w:r>
        <w:t xml:space="preserve"> </w:t>
      </w:r>
      <w:r w:rsidRPr="00AB11B2">
        <w:t>rozporu</w:t>
      </w:r>
      <w:r>
        <w:t xml:space="preserve"> </w:t>
      </w:r>
      <w:r w:rsidRPr="00AB11B2">
        <w:t>s</w:t>
      </w:r>
      <w:r>
        <w:t xml:space="preserve"> </w:t>
      </w:r>
      <w:r w:rsidRPr="00AB11B2">
        <w:t>§</w:t>
      </w:r>
      <w:r>
        <w:t xml:space="preserve"> </w:t>
      </w:r>
      <w:r w:rsidRPr="00AB11B2">
        <w:t>49h</w:t>
      </w:r>
      <w:r>
        <w:t xml:space="preserve"> </w:t>
      </w:r>
      <w:r w:rsidRPr="00AB11B2">
        <w:t>odst.</w:t>
      </w:r>
      <w:r>
        <w:t xml:space="preserve"> </w:t>
      </w:r>
      <w:r w:rsidRPr="00AB11B2">
        <w:t>1</w:t>
      </w:r>
      <w:r>
        <w:t xml:space="preserve"> </w:t>
      </w:r>
      <w:r w:rsidRPr="00AB11B2">
        <w:t>nevyrozumí</w:t>
      </w:r>
      <w:r>
        <w:t xml:space="preserve"> </w:t>
      </w:r>
      <w:r w:rsidRPr="00AB11B2">
        <w:t>drážní</w:t>
      </w:r>
      <w:r>
        <w:t xml:space="preserve"> </w:t>
      </w:r>
      <w:r w:rsidRPr="00AB11B2">
        <w:t>správní</w:t>
      </w:r>
      <w:r>
        <w:t xml:space="preserve"> </w:t>
      </w:r>
      <w:r w:rsidRPr="00AB11B2">
        <w:t>úřad</w:t>
      </w:r>
      <w:r>
        <w:t xml:space="preserve"> </w:t>
      </w:r>
      <w:r w:rsidRPr="00AB11B2">
        <w:t>o</w:t>
      </w:r>
      <w:r>
        <w:t xml:space="preserve"> </w:t>
      </w:r>
      <w:r w:rsidRPr="00AB11B2">
        <w:t>přijatých</w:t>
      </w:r>
      <w:r>
        <w:t xml:space="preserve"> </w:t>
      </w:r>
      <w:r w:rsidRPr="00AB11B2">
        <w:t>opatřeních,</w:t>
      </w:r>
    </w:p>
    <w:p w14:paraId="65156227" w14:textId="44A7EED2" w:rsidR="00B2710B" w:rsidRDefault="00B2710B" w:rsidP="00812ECA">
      <w:pPr>
        <w:pStyle w:val="Textparagrafu"/>
        <w:tabs>
          <w:tab w:val="left" w:pos="406"/>
          <w:tab w:val="left" w:pos="826"/>
        </w:tabs>
        <w:spacing w:before="0"/>
        <w:ind w:left="426" w:hanging="426"/>
      </w:pPr>
      <w:r w:rsidRPr="00AB11B2">
        <w:t>s)</w:t>
      </w:r>
      <w:r w:rsidR="00CD58F8">
        <w:tab/>
      </w:r>
      <w:r w:rsidRPr="00AB11B2">
        <w:t>v</w:t>
      </w:r>
      <w:r>
        <w:t xml:space="preserve"> </w:t>
      </w:r>
      <w:r w:rsidRPr="00AB11B2">
        <w:t>rozporu</w:t>
      </w:r>
      <w:r>
        <w:t xml:space="preserve"> </w:t>
      </w:r>
      <w:r w:rsidRPr="00AB11B2">
        <w:t>s</w:t>
      </w:r>
      <w:r>
        <w:t xml:space="preserve"> </w:t>
      </w:r>
      <w:r w:rsidRPr="00AB11B2">
        <w:t>§</w:t>
      </w:r>
      <w:r>
        <w:t xml:space="preserve"> </w:t>
      </w:r>
      <w:r w:rsidRPr="00AB11B2">
        <w:t>49h</w:t>
      </w:r>
      <w:r>
        <w:t xml:space="preserve"> </w:t>
      </w:r>
      <w:r w:rsidRPr="00AB11B2">
        <w:t>odst.</w:t>
      </w:r>
      <w:r>
        <w:t xml:space="preserve"> </w:t>
      </w:r>
      <w:r w:rsidRPr="00AB11B2">
        <w:t>2</w:t>
      </w:r>
      <w:r>
        <w:t xml:space="preserve"> </w:t>
      </w:r>
      <w:r w:rsidRPr="00AB11B2">
        <w:t>neodevzdá</w:t>
      </w:r>
      <w:r>
        <w:t xml:space="preserve"> </w:t>
      </w:r>
      <w:r w:rsidRPr="00AB11B2">
        <w:t>původní</w:t>
      </w:r>
      <w:r>
        <w:t xml:space="preserve"> </w:t>
      </w:r>
      <w:r w:rsidRPr="00AB11B2">
        <w:t>osvědčení</w:t>
      </w:r>
      <w:r>
        <w:t xml:space="preserve"> </w:t>
      </w:r>
      <w:r w:rsidRPr="00AB11B2">
        <w:t>provozovatele</w:t>
      </w:r>
      <w:r>
        <w:t xml:space="preserve"> </w:t>
      </w:r>
      <w:r w:rsidRPr="00AB11B2">
        <w:t>dráhy,</w:t>
      </w:r>
    </w:p>
    <w:p w14:paraId="00637153" w14:textId="27C43F91" w:rsidR="00B2710B" w:rsidRDefault="00B2710B" w:rsidP="00812ECA">
      <w:pPr>
        <w:pStyle w:val="Textparagrafu"/>
        <w:tabs>
          <w:tab w:val="left" w:pos="406"/>
          <w:tab w:val="left" w:pos="826"/>
        </w:tabs>
        <w:spacing w:before="0"/>
        <w:ind w:left="426" w:hanging="426"/>
      </w:pPr>
      <w:r w:rsidRPr="00AB11B2">
        <w:t>t)</w:t>
      </w:r>
      <w:r w:rsidR="00CD58F8">
        <w:tab/>
      </w:r>
      <w:r w:rsidRPr="00AB11B2">
        <w:t>neposkytne</w:t>
      </w:r>
      <w:r>
        <w:t xml:space="preserve"> </w:t>
      </w:r>
      <w:r w:rsidRPr="00AB11B2">
        <w:t>potřebnou</w:t>
      </w:r>
      <w:r>
        <w:t xml:space="preserve"> </w:t>
      </w:r>
      <w:r w:rsidRPr="00AB11B2">
        <w:t>součinnost</w:t>
      </w:r>
      <w:r>
        <w:t xml:space="preserve"> </w:t>
      </w:r>
      <w:r w:rsidRPr="00AB11B2">
        <w:t>za</w:t>
      </w:r>
      <w:r>
        <w:t xml:space="preserve"> </w:t>
      </w:r>
      <w:r w:rsidRPr="00AB11B2">
        <w:t>účelem</w:t>
      </w:r>
      <w:r>
        <w:t xml:space="preserve"> </w:t>
      </w:r>
      <w:r w:rsidRPr="00AB11B2">
        <w:t>provádění</w:t>
      </w:r>
      <w:r>
        <w:t xml:space="preserve"> </w:t>
      </w:r>
      <w:r w:rsidRPr="00AB11B2">
        <w:t>zkušebního</w:t>
      </w:r>
      <w:r>
        <w:t xml:space="preserve"> </w:t>
      </w:r>
      <w:r w:rsidRPr="00AB11B2">
        <w:t>provozu</w:t>
      </w:r>
      <w:r>
        <w:t xml:space="preserve"> </w:t>
      </w:r>
      <w:r w:rsidRPr="00AB11B2">
        <w:t>podle</w:t>
      </w:r>
      <w:r>
        <w:t xml:space="preserve"> </w:t>
      </w:r>
      <w:r w:rsidRPr="00AB11B2">
        <w:t>§</w:t>
      </w:r>
      <w:r>
        <w:t xml:space="preserve"> </w:t>
      </w:r>
      <w:r w:rsidRPr="00AB11B2">
        <w:t>49k</w:t>
      </w:r>
      <w:r>
        <w:t xml:space="preserve"> </w:t>
      </w:r>
      <w:r w:rsidRPr="00AB11B2">
        <w:t>odst.</w:t>
      </w:r>
      <w:r>
        <w:t xml:space="preserve"> </w:t>
      </w:r>
      <w:r w:rsidRPr="00AB11B2">
        <w:t>4,</w:t>
      </w:r>
    </w:p>
    <w:p w14:paraId="01FF3A00" w14:textId="6660A309" w:rsidR="00B2710B" w:rsidRDefault="00B2710B" w:rsidP="00812ECA">
      <w:pPr>
        <w:pStyle w:val="Textparagrafu"/>
        <w:tabs>
          <w:tab w:val="left" w:pos="406"/>
          <w:tab w:val="left" w:pos="826"/>
        </w:tabs>
        <w:spacing w:before="0"/>
        <w:ind w:left="426" w:hanging="426"/>
      </w:pPr>
      <w:r w:rsidRPr="00AB11B2">
        <w:t>u)</w:t>
      </w:r>
      <w:r w:rsidR="00CD58F8">
        <w:tab/>
      </w:r>
      <w:r w:rsidRPr="00AB11B2">
        <w:t>v</w:t>
      </w:r>
      <w:r>
        <w:t xml:space="preserve"> </w:t>
      </w:r>
      <w:r w:rsidRPr="00AB11B2">
        <w:t>rozporu</w:t>
      </w:r>
      <w:r>
        <w:t xml:space="preserve"> </w:t>
      </w:r>
      <w:r w:rsidRPr="00AB11B2">
        <w:t>s</w:t>
      </w:r>
      <w:r>
        <w:t xml:space="preserve"> </w:t>
      </w:r>
      <w:r w:rsidRPr="00AB11B2">
        <w:t>přímo</w:t>
      </w:r>
      <w:r>
        <w:t xml:space="preserve"> </w:t>
      </w:r>
      <w:r w:rsidRPr="00AB11B2">
        <w:t>použitelným</w:t>
      </w:r>
      <w:r>
        <w:t xml:space="preserve"> </w:t>
      </w:r>
      <w:r w:rsidRPr="00AB11B2">
        <w:t>předpisem</w:t>
      </w:r>
      <w:r>
        <w:t xml:space="preserve"> </w:t>
      </w:r>
      <w:r w:rsidRPr="00AB11B2">
        <w:t>upravujícím</w:t>
      </w:r>
      <w:r>
        <w:t xml:space="preserve"> </w:t>
      </w:r>
      <w:r w:rsidRPr="00AB11B2">
        <w:t>specifikace</w:t>
      </w:r>
      <w:r>
        <w:t xml:space="preserve"> </w:t>
      </w:r>
      <w:r w:rsidRPr="00AB11B2">
        <w:t>registru</w:t>
      </w:r>
      <w:r>
        <w:t xml:space="preserve"> </w:t>
      </w:r>
      <w:r w:rsidRPr="00AB11B2">
        <w:t>železniční</w:t>
      </w:r>
      <w:r>
        <w:t xml:space="preserve"> </w:t>
      </w:r>
      <w:r w:rsidRPr="00AB11B2">
        <w:t>infrastruktury</w:t>
      </w:r>
      <w:r w:rsidR="0009361C">
        <w:rPr>
          <w:rStyle w:val="Znakapoznpodarou"/>
        </w:rPr>
        <w:footnoteReference w:customMarkFollows="1" w:id="213"/>
        <w:t>27)</w:t>
      </w:r>
      <w:r>
        <w:t xml:space="preserve"> </w:t>
      </w:r>
      <w:r w:rsidRPr="00AB11B2">
        <w:t>nezapíše</w:t>
      </w:r>
      <w:r>
        <w:t xml:space="preserve"> </w:t>
      </w:r>
      <w:r w:rsidRPr="00AB11B2">
        <w:t>údaje</w:t>
      </w:r>
      <w:r>
        <w:t xml:space="preserve"> </w:t>
      </w:r>
      <w:r w:rsidRPr="00AB11B2">
        <w:t>týkající</w:t>
      </w:r>
      <w:r>
        <w:t xml:space="preserve"> </w:t>
      </w:r>
      <w:r w:rsidRPr="00AB11B2">
        <w:t>se</w:t>
      </w:r>
      <w:r>
        <w:t xml:space="preserve"> </w:t>
      </w:r>
      <w:r w:rsidRPr="00AB11B2">
        <w:t>jím</w:t>
      </w:r>
      <w:r>
        <w:t xml:space="preserve"> </w:t>
      </w:r>
      <w:r w:rsidRPr="00AB11B2">
        <w:t>provozované</w:t>
      </w:r>
      <w:r>
        <w:t xml:space="preserve"> </w:t>
      </w:r>
      <w:r w:rsidRPr="00AB11B2">
        <w:t>dráhy</w:t>
      </w:r>
      <w:r>
        <w:t xml:space="preserve"> </w:t>
      </w:r>
      <w:r w:rsidRPr="00AB11B2">
        <w:t>do</w:t>
      </w:r>
      <w:r>
        <w:t xml:space="preserve"> </w:t>
      </w:r>
      <w:r w:rsidRPr="00AB11B2">
        <w:t>registru</w:t>
      </w:r>
      <w:r>
        <w:t xml:space="preserve"> </w:t>
      </w:r>
      <w:r w:rsidRPr="00AB11B2">
        <w:t>infrastruktury</w:t>
      </w:r>
      <w:r>
        <w:t xml:space="preserve"> </w:t>
      </w:r>
      <w:r w:rsidRPr="00AB11B2">
        <w:t>vedeného</w:t>
      </w:r>
      <w:r>
        <w:t xml:space="preserve"> </w:t>
      </w:r>
      <w:r w:rsidRPr="00AB11B2">
        <w:t>Agenturou</w:t>
      </w:r>
      <w:r>
        <w:t xml:space="preserve"> </w:t>
      </w:r>
      <w:r w:rsidRPr="00AB11B2">
        <w:t>Evropské</w:t>
      </w:r>
      <w:r>
        <w:t xml:space="preserve"> </w:t>
      </w:r>
      <w:r w:rsidRPr="00AB11B2">
        <w:t>unie</w:t>
      </w:r>
      <w:r>
        <w:t xml:space="preserve"> </w:t>
      </w:r>
      <w:r w:rsidRPr="00AB11B2">
        <w:t>pro</w:t>
      </w:r>
      <w:r>
        <w:t xml:space="preserve"> </w:t>
      </w:r>
      <w:r w:rsidRPr="00AB11B2">
        <w:t>železnice,</w:t>
      </w:r>
      <w:r>
        <w:t xml:space="preserve"> </w:t>
      </w:r>
      <w:r w:rsidRPr="00AB11B2">
        <w:t>nebo</w:t>
      </w:r>
    </w:p>
    <w:p w14:paraId="3760B1FF" w14:textId="6958C57B" w:rsidR="00B2710B" w:rsidRDefault="00B2710B" w:rsidP="00812ECA">
      <w:pPr>
        <w:pStyle w:val="Textparagrafu"/>
        <w:tabs>
          <w:tab w:val="left" w:pos="406"/>
          <w:tab w:val="left" w:pos="826"/>
        </w:tabs>
        <w:spacing w:before="0"/>
        <w:ind w:left="426" w:hanging="426"/>
        <w:rPr>
          <w:strike/>
        </w:rPr>
      </w:pPr>
      <w:r w:rsidRPr="003853BE">
        <w:rPr>
          <w:strike/>
        </w:rPr>
        <w:t>v)</w:t>
      </w:r>
      <w:r w:rsidR="00CD58F8" w:rsidRPr="003853BE">
        <w:rPr>
          <w:strike/>
        </w:rPr>
        <w:tab/>
      </w:r>
      <w:r w:rsidRPr="003853BE">
        <w:rPr>
          <w:strike/>
        </w:rPr>
        <w:t>použije v rozporu s § 62 odst. 4 finanční prostředky k provozování dráhy poskytnuté z veřejných rozpočtů k jiným účelům nebo nevede oddělené účetnictví.</w:t>
      </w:r>
    </w:p>
    <w:p w14:paraId="0D9CE391" w14:textId="7451FFA3" w:rsidR="003853BE" w:rsidRPr="003853BE" w:rsidRDefault="00812ECA" w:rsidP="00812ECA">
      <w:pPr>
        <w:pStyle w:val="Textparagrafu"/>
        <w:tabs>
          <w:tab w:val="left" w:pos="406"/>
          <w:tab w:val="left" w:pos="826"/>
        </w:tabs>
        <w:spacing w:before="0"/>
        <w:ind w:left="426" w:hanging="426"/>
        <w:rPr>
          <w:b/>
        </w:rPr>
      </w:pPr>
      <w:r>
        <w:rPr>
          <w:b/>
        </w:rPr>
        <w:t>v)</w:t>
      </w:r>
      <w:r>
        <w:rPr>
          <w:b/>
        </w:rPr>
        <w:tab/>
      </w:r>
      <w:r w:rsidR="003853BE">
        <w:rPr>
          <w:b/>
          <w:bCs/>
        </w:rPr>
        <w:t xml:space="preserve">v rozporu s § 62 odst. 4 převede finanční prostředky k provozování veřejné drážní osobní dopravy nebo provozování dráhy poskytnuté z veřejných rozpočtů do jiné činnosti nebo nesleduje </w:t>
      </w:r>
      <w:r w:rsidR="003853BE" w:rsidRPr="0033092A">
        <w:rPr>
          <w:b/>
        </w:rPr>
        <w:t xml:space="preserve">v účetním systému odděleně </w:t>
      </w:r>
      <w:r w:rsidR="003853BE">
        <w:rPr>
          <w:b/>
        </w:rPr>
        <w:t>stanovené činnosti nebo finanční prostředky.</w:t>
      </w:r>
    </w:p>
    <w:p w14:paraId="13995AFF" w14:textId="77777777" w:rsidR="00B2710B" w:rsidRDefault="00B2710B" w:rsidP="00CE2C91">
      <w:pPr>
        <w:pStyle w:val="Textparagrafu"/>
        <w:tabs>
          <w:tab w:val="left" w:pos="406"/>
          <w:tab w:val="left" w:pos="826"/>
        </w:tabs>
        <w:spacing w:before="120" w:after="120"/>
      </w:pPr>
      <w:r w:rsidRPr="00AB11B2">
        <w:t>(6)</w:t>
      </w:r>
      <w:r>
        <w:t xml:space="preserve"> </w:t>
      </w:r>
      <w:r w:rsidRPr="00AB11B2">
        <w:t>Právnická</w:t>
      </w:r>
      <w:r>
        <w:t xml:space="preserve"> </w:t>
      </w:r>
      <w:r w:rsidRPr="00AB11B2">
        <w:t>nebo</w:t>
      </w:r>
      <w:r>
        <w:t xml:space="preserve"> </w:t>
      </w:r>
      <w:r w:rsidRPr="00AB11B2">
        <w:t>podnikající</w:t>
      </w:r>
      <w:r>
        <w:t xml:space="preserve"> </w:t>
      </w:r>
      <w:r w:rsidRPr="00AB11B2">
        <w:t>fyzická</w:t>
      </w:r>
      <w:r>
        <w:t xml:space="preserve"> </w:t>
      </w:r>
      <w:r w:rsidRPr="00AB11B2">
        <w:t>osoba</w:t>
      </w:r>
      <w:r>
        <w:t xml:space="preserve"> </w:t>
      </w:r>
      <w:r w:rsidRPr="00AB11B2">
        <w:t>se</w:t>
      </w:r>
      <w:r>
        <w:t xml:space="preserve"> </w:t>
      </w:r>
      <w:r w:rsidRPr="00AB11B2">
        <w:t>jako</w:t>
      </w:r>
      <w:r>
        <w:t xml:space="preserve"> </w:t>
      </w:r>
      <w:r w:rsidRPr="00AB11B2">
        <w:t>provozovatel</w:t>
      </w:r>
      <w:r>
        <w:t xml:space="preserve"> </w:t>
      </w:r>
      <w:r w:rsidRPr="00AB11B2">
        <w:t>vlečky</w:t>
      </w:r>
      <w:r>
        <w:t xml:space="preserve"> </w:t>
      </w:r>
      <w:r w:rsidRPr="00AB11B2">
        <w:t>dopustí</w:t>
      </w:r>
      <w:r>
        <w:t xml:space="preserve"> </w:t>
      </w:r>
      <w:r w:rsidRPr="00AB11B2">
        <w:t>přestupku</w:t>
      </w:r>
      <w:r>
        <w:t xml:space="preserve"> </w:t>
      </w:r>
      <w:r w:rsidRPr="00AB11B2">
        <w:t>tím,</w:t>
      </w:r>
      <w:r>
        <w:t xml:space="preserve"> </w:t>
      </w:r>
      <w:r w:rsidRPr="00AB11B2">
        <w:t>že</w:t>
      </w:r>
    </w:p>
    <w:p w14:paraId="7D44943E" w14:textId="329520EB" w:rsidR="00B2710B" w:rsidRDefault="00B2710B" w:rsidP="00812ECA">
      <w:pPr>
        <w:pStyle w:val="Textparagrafu"/>
        <w:tabs>
          <w:tab w:val="left" w:pos="406"/>
          <w:tab w:val="left" w:pos="826"/>
        </w:tabs>
        <w:spacing w:before="0"/>
        <w:ind w:left="426" w:hanging="426"/>
      </w:pPr>
      <w:r w:rsidRPr="00AB11B2">
        <w:t>a)</w:t>
      </w:r>
      <w:r w:rsidR="00F378EB">
        <w:tab/>
      </w:r>
      <w:r w:rsidRPr="00AB11B2">
        <w:t>v</w:t>
      </w:r>
      <w:r>
        <w:t xml:space="preserve"> </w:t>
      </w:r>
      <w:r w:rsidRPr="00AB11B2">
        <w:t>rozporu</w:t>
      </w:r>
      <w:r>
        <w:t xml:space="preserve"> </w:t>
      </w:r>
      <w:r w:rsidRPr="00AB11B2">
        <w:t>s</w:t>
      </w:r>
      <w:r>
        <w:t xml:space="preserve"> </w:t>
      </w:r>
      <w:r w:rsidRPr="00AB11B2">
        <w:t>§</w:t>
      </w:r>
      <w:r>
        <w:t xml:space="preserve"> </w:t>
      </w:r>
      <w:r w:rsidRPr="00AB11B2">
        <w:t>22a</w:t>
      </w:r>
      <w:r>
        <w:t xml:space="preserve"> </w:t>
      </w:r>
      <w:r w:rsidRPr="00AB11B2">
        <w:t>odst.</w:t>
      </w:r>
      <w:r>
        <w:t xml:space="preserve"> </w:t>
      </w:r>
      <w:r w:rsidRPr="00AB11B2">
        <w:t>3</w:t>
      </w:r>
      <w:r>
        <w:t xml:space="preserve"> </w:t>
      </w:r>
      <w:r w:rsidRPr="00AB11B2">
        <w:t>neumožní</w:t>
      </w:r>
      <w:r>
        <w:t xml:space="preserve"> </w:t>
      </w:r>
      <w:r w:rsidRPr="00AB11B2">
        <w:t>dopravci</w:t>
      </w:r>
      <w:r>
        <w:t xml:space="preserve"> </w:t>
      </w:r>
      <w:r w:rsidRPr="00AB11B2">
        <w:t>užití</w:t>
      </w:r>
      <w:r>
        <w:t xml:space="preserve"> </w:t>
      </w:r>
      <w:r w:rsidRPr="00AB11B2">
        <w:t>veřejně</w:t>
      </w:r>
      <w:r>
        <w:t xml:space="preserve"> </w:t>
      </w:r>
      <w:r w:rsidRPr="00AB11B2">
        <w:t>nepřístupné</w:t>
      </w:r>
      <w:r>
        <w:t xml:space="preserve"> </w:t>
      </w:r>
      <w:r w:rsidRPr="00AB11B2">
        <w:t>vlečky</w:t>
      </w:r>
      <w:r>
        <w:t xml:space="preserve"> </w:t>
      </w:r>
      <w:r w:rsidRPr="00AB11B2">
        <w:t>nediskriminačním</w:t>
      </w:r>
      <w:r>
        <w:t xml:space="preserve"> </w:t>
      </w:r>
      <w:r w:rsidRPr="00AB11B2">
        <w:t>způsobem</w:t>
      </w:r>
      <w:r>
        <w:t xml:space="preserve"> </w:t>
      </w:r>
      <w:r w:rsidRPr="00AB11B2">
        <w:t>za</w:t>
      </w:r>
      <w:r>
        <w:t xml:space="preserve"> </w:t>
      </w:r>
      <w:r w:rsidRPr="00AB11B2">
        <w:t>účelem</w:t>
      </w:r>
      <w:r>
        <w:t xml:space="preserve"> </w:t>
      </w:r>
      <w:r w:rsidRPr="00AB11B2">
        <w:t>přístupu</w:t>
      </w:r>
      <w:r>
        <w:t xml:space="preserve"> </w:t>
      </w:r>
      <w:r w:rsidRPr="00AB11B2">
        <w:t>k</w:t>
      </w:r>
      <w:r>
        <w:t xml:space="preserve"> </w:t>
      </w:r>
      <w:r w:rsidRPr="00AB11B2">
        <w:t>jiné</w:t>
      </w:r>
      <w:r>
        <w:t xml:space="preserve"> </w:t>
      </w:r>
      <w:r w:rsidRPr="00AB11B2">
        <w:t>dráze,</w:t>
      </w:r>
      <w:r>
        <w:t xml:space="preserve"> </w:t>
      </w:r>
      <w:r w:rsidRPr="00AB11B2">
        <w:t>k</w:t>
      </w:r>
      <w:r>
        <w:t xml:space="preserve"> </w:t>
      </w:r>
      <w:r w:rsidRPr="00AB11B2">
        <w:t>zařízení</w:t>
      </w:r>
      <w:r>
        <w:t xml:space="preserve"> </w:t>
      </w:r>
      <w:r w:rsidRPr="00AB11B2">
        <w:t>služeb,</w:t>
      </w:r>
      <w:r>
        <w:t xml:space="preserve"> </w:t>
      </w:r>
      <w:r w:rsidRPr="00AB11B2">
        <w:t>k</w:t>
      </w:r>
      <w:r>
        <w:t xml:space="preserve"> </w:t>
      </w:r>
      <w:r w:rsidRPr="00AB11B2">
        <w:t>jinému</w:t>
      </w:r>
      <w:r>
        <w:t xml:space="preserve"> </w:t>
      </w:r>
      <w:r w:rsidRPr="00AB11B2">
        <w:t>zařízení</w:t>
      </w:r>
      <w:r>
        <w:t xml:space="preserve"> </w:t>
      </w:r>
      <w:r w:rsidRPr="00AB11B2">
        <w:t>nebo</w:t>
      </w:r>
      <w:r>
        <w:t xml:space="preserve"> </w:t>
      </w:r>
      <w:r w:rsidRPr="00AB11B2">
        <w:t>manipulačnímu</w:t>
      </w:r>
      <w:r>
        <w:t xml:space="preserve"> </w:t>
      </w:r>
      <w:r w:rsidRPr="00AB11B2">
        <w:t>místu,</w:t>
      </w:r>
    </w:p>
    <w:p w14:paraId="4AF803C9" w14:textId="3DD642B7" w:rsidR="00B2710B" w:rsidRDefault="00B2710B" w:rsidP="00812ECA">
      <w:pPr>
        <w:pStyle w:val="Textparagrafu"/>
        <w:tabs>
          <w:tab w:val="left" w:pos="406"/>
          <w:tab w:val="left" w:pos="826"/>
        </w:tabs>
        <w:spacing w:before="0"/>
        <w:ind w:left="426" w:hanging="426"/>
      </w:pPr>
      <w:r w:rsidRPr="00AB11B2">
        <w:t>b)</w:t>
      </w:r>
      <w:r w:rsidR="00F378EB">
        <w:tab/>
      </w:r>
      <w:r w:rsidRPr="00AB11B2">
        <w:t>v</w:t>
      </w:r>
      <w:r>
        <w:t xml:space="preserve"> </w:t>
      </w:r>
      <w:r w:rsidRPr="00AB11B2">
        <w:t>rozporu</w:t>
      </w:r>
      <w:r>
        <w:t xml:space="preserve"> </w:t>
      </w:r>
      <w:r w:rsidRPr="00AB11B2">
        <w:t>s</w:t>
      </w:r>
      <w:r>
        <w:t xml:space="preserve"> </w:t>
      </w:r>
      <w:r w:rsidRPr="00AB11B2">
        <w:t>§</w:t>
      </w:r>
      <w:r>
        <w:t xml:space="preserve"> </w:t>
      </w:r>
      <w:r w:rsidRPr="00AB11B2">
        <w:t>22a</w:t>
      </w:r>
      <w:r>
        <w:t xml:space="preserve"> </w:t>
      </w:r>
      <w:r w:rsidRPr="00AB11B2">
        <w:t>odst.</w:t>
      </w:r>
      <w:r>
        <w:t xml:space="preserve"> </w:t>
      </w:r>
      <w:r w:rsidRPr="00AB11B2">
        <w:t>5</w:t>
      </w:r>
      <w:r>
        <w:t xml:space="preserve"> </w:t>
      </w:r>
      <w:r w:rsidRPr="00AB11B2">
        <w:t>nesplní</w:t>
      </w:r>
      <w:r>
        <w:t xml:space="preserve"> </w:t>
      </w:r>
      <w:r w:rsidRPr="00AB11B2">
        <w:t>oznamovací</w:t>
      </w:r>
      <w:r>
        <w:t xml:space="preserve"> </w:t>
      </w:r>
      <w:r w:rsidRPr="00AB11B2">
        <w:t>povinnost</w:t>
      </w:r>
      <w:r>
        <w:t xml:space="preserve"> </w:t>
      </w:r>
      <w:r w:rsidRPr="00AB11B2">
        <w:t>vůči</w:t>
      </w:r>
      <w:r>
        <w:t xml:space="preserve"> </w:t>
      </w:r>
      <w:r w:rsidRPr="00AB11B2">
        <w:t>Úřadu,</w:t>
      </w:r>
      <w:r>
        <w:t xml:space="preserve"> </w:t>
      </w:r>
      <w:r w:rsidRPr="00AB11B2">
        <w:t>nebo</w:t>
      </w:r>
    </w:p>
    <w:p w14:paraId="27B61A33" w14:textId="6AE4B48C" w:rsidR="00B2710B" w:rsidRDefault="00B2710B" w:rsidP="00812ECA">
      <w:pPr>
        <w:pStyle w:val="Textparagrafu"/>
        <w:tabs>
          <w:tab w:val="left" w:pos="406"/>
          <w:tab w:val="left" w:pos="826"/>
        </w:tabs>
        <w:spacing w:before="0"/>
        <w:ind w:left="426" w:hanging="426"/>
      </w:pPr>
      <w:r w:rsidRPr="00AB11B2">
        <w:t>c)</w:t>
      </w:r>
      <w:r w:rsidR="00F378EB">
        <w:tab/>
      </w:r>
      <w:r w:rsidRPr="00AB11B2">
        <w:t>v</w:t>
      </w:r>
      <w:r>
        <w:t xml:space="preserve"> </w:t>
      </w:r>
      <w:r w:rsidRPr="00AB11B2">
        <w:t>rozporu</w:t>
      </w:r>
      <w:r>
        <w:t xml:space="preserve"> </w:t>
      </w:r>
      <w:r w:rsidRPr="00AB11B2">
        <w:t>s</w:t>
      </w:r>
      <w:r>
        <w:t xml:space="preserve"> </w:t>
      </w:r>
      <w:r w:rsidRPr="00AB11B2">
        <w:t>§</w:t>
      </w:r>
      <w:r>
        <w:t xml:space="preserve"> </w:t>
      </w:r>
      <w:r w:rsidRPr="00AB11B2">
        <w:t>33</w:t>
      </w:r>
      <w:r>
        <w:t xml:space="preserve"> </w:t>
      </w:r>
      <w:r w:rsidRPr="00AB11B2">
        <w:t>odst.</w:t>
      </w:r>
      <w:r>
        <w:t xml:space="preserve"> </w:t>
      </w:r>
      <w:r w:rsidRPr="00AB11B2">
        <w:t>8</w:t>
      </w:r>
      <w:r>
        <w:t xml:space="preserve"> </w:t>
      </w:r>
      <w:r w:rsidRPr="00AB11B2">
        <w:t>nezpracuje,</w:t>
      </w:r>
      <w:r>
        <w:t xml:space="preserve"> </w:t>
      </w:r>
      <w:r w:rsidRPr="00AB11B2">
        <w:t>neprojedná</w:t>
      </w:r>
      <w:r>
        <w:t xml:space="preserve"> </w:t>
      </w:r>
      <w:r w:rsidRPr="00AB11B2">
        <w:t>nebo</w:t>
      </w:r>
      <w:r>
        <w:t xml:space="preserve"> </w:t>
      </w:r>
      <w:r w:rsidRPr="00AB11B2">
        <w:t>nezveřejní</w:t>
      </w:r>
      <w:r>
        <w:t xml:space="preserve"> </w:t>
      </w:r>
      <w:r w:rsidRPr="00AB11B2">
        <w:t>prohlášení</w:t>
      </w:r>
      <w:r>
        <w:t xml:space="preserve"> </w:t>
      </w:r>
      <w:r w:rsidRPr="00AB11B2">
        <w:t>o</w:t>
      </w:r>
      <w:r>
        <w:t xml:space="preserve"> </w:t>
      </w:r>
      <w:r w:rsidRPr="00AB11B2">
        <w:t>dráze.</w:t>
      </w:r>
    </w:p>
    <w:p w14:paraId="1017EAC0" w14:textId="77777777" w:rsidR="00B2710B" w:rsidRDefault="00B2710B" w:rsidP="00CE2C91">
      <w:pPr>
        <w:pStyle w:val="Textparagrafu"/>
        <w:tabs>
          <w:tab w:val="left" w:pos="406"/>
          <w:tab w:val="left" w:pos="826"/>
        </w:tabs>
        <w:spacing w:before="120" w:after="120"/>
      </w:pPr>
      <w:r w:rsidRPr="00AB11B2">
        <w:lastRenderedPageBreak/>
        <w:t>(7)</w:t>
      </w:r>
      <w:r>
        <w:t xml:space="preserve"> </w:t>
      </w:r>
      <w:r w:rsidRPr="00AB11B2">
        <w:t>Právnická</w:t>
      </w:r>
      <w:r>
        <w:t xml:space="preserve"> </w:t>
      </w:r>
      <w:r w:rsidRPr="00AB11B2">
        <w:t>nebo</w:t>
      </w:r>
      <w:r>
        <w:t xml:space="preserve"> </w:t>
      </w:r>
      <w:r w:rsidRPr="00AB11B2">
        <w:t>podnikající</w:t>
      </w:r>
      <w:r>
        <w:t xml:space="preserve"> </w:t>
      </w:r>
      <w:r w:rsidRPr="00AB11B2">
        <w:t>fyzická</w:t>
      </w:r>
      <w:r>
        <w:t xml:space="preserve"> </w:t>
      </w:r>
      <w:r w:rsidRPr="00AB11B2">
        <w:t>osoba</w:t>
      </w:r>
      <w:r>
        <w:t xml:space="preserve"> </w:t>
      </w:r>
      <w:r w:rsidRPr="00AB11B2">
        <w:t>se</w:t>
      </w:r>
      <w:r>
        <w:t xml:space="preserve"> </w:t>
      </w:r>
      <w:r w:rsidRPr="00AB11B2">
        <w:t>jako</w:t>
      </w:r>
      <w:r>
        <w:t xml:space="preserve"> </w:t>
      </w:r>
      <w:r w:rsidRPr="00AB11B2">
        <w:t>provozovatel</w:t>
      </w:r>
      <w:r>
        <w:t xml:space="preserve"> </w:t>
      </w:r>
      <w:r w:rsidRPr="00AB11B2">
        <w:t>dráhy</w:t>
      </w:r>
      <w:r>
        <w:t xml:space="preserve"> </w:t>
      </w:r>
      <w:r w:rsidRPr="00AB11B2">
        <w:t>nebo</w:t>
      </w:r>
      <w:r>
        <w:t xml:space="preserve"> </w:t>
      </w:r>
      <w:r w:rsidRPr="00AB11B2">
        <w:t>dopravce</w:t>
      </w:r>
      <w:r>
        <w:t xml:space="preserve"> </w:t>
      </w:r>
      <w:r w:rsidRPr="00AB11B2">
        <w:t>dopustí</w:t>
      </w:r>
      <w:r>
        <w:t xml:space="preserve"> </w:t>
      </w:r>
      <w:r w:rsidRPr="00AB11B2">
        <w:t>přestupku</w:t>
      </w:r>
      <w:r>
        <w:t xml:space="preserve"> </w:t>
      </w:r>
      <w:r w:rsidRPr="00AB11B2">
        <w:t>tím,</w:t>
      </w:r>
      <w:r>
        <w:t xml:space="preserve"> </w:t>
      </w:r>
      <w:r w:rsidRPr="00AB11B2">
        <w:t>že</w:t>
      </w:r>
    </w:p>
    <w:p w14:paraId="00958186" w14:textId="08F09505" w:rsidR="00B2710B" w:rsidRDefault="00B2710B" w:rsidP="00812ECA">
      <w:pPr>
        <w:pStyle w:val="Textparagrafu"/>
        <w:tabs>
          <w:tab w:val="left" w:pos="406"/>
          <w:tab w:val="left" w:pos="826"/>
        </w:tabs>
        <w:spacing w:before="0"/>
        <w:ind w:left="426" w:hanging="426"/>
      </w:pPr>
      <w:r w:rsidRPr="00AB11B2">
        <w:t>a)</w:t>
      </w:r>
      <w:r w:rsidR="00F378EB">
        <w:tab/>
      </w:r>
      <w:r w:rsidRPr="00AB11B2">
        <w:t>v</w:t>
      </w:r>
      <w:r>
        <w:t xml:space="preserve"> </w:t>
      </w:r>
      <w:r w:rsidRPr="00AB11B2">
        <w:t>rozporu</w:t>
      </w:r>
      <w:r>
        <w:t xml:space="preserve"> </w:t>
      </w:r>
      <w:r w:rsidRPr="00AB11B2">
        <w:t>s</w:t>
      </w:r>
      <w:r>
        <w:t xml:space="preserve"> </w:t>
      </w:r>
      <w:r w:rsidRPr="00AB11B2">
        <w:t>§</w:t>
      </w:r>
      <w:r>
        <w:t xml:space="preserve"> </w:t>
      </w:r>
      <w:r w:rsidRPr="00AB11B2">
        <w:t>22b</w:t>
      </w:r>
      <w:r>
        <w:t xml:space="preserve"> </w:t>
      </w:r>
      <w:r w:rsidRPr="00AB11B2">
        <w:t>odst.</w:t>
      </w:r>
      <w:r>
        <w:t xml:space="preserve"> </w:t>
      </w:r>
      <w:r w:rsidRPr="00AB11B2">
        <w:t>4</w:t>
      </w:r>
      <w:r>
        <w:t xml:space="preserve"> </w:t>
      </w:r>
      <w:r w:rsidRPr="00AB11B2">
        <w:t>uzavře</w:t>
      </w:r>
      <w:r>
        <w:t xml:space="preserve"> </w:t>
      </w:r>
      <w:r w:rsidRPr="00AB11B2">
        <w:t>smlouvu</w:t>
      </w:r>
      <w:r>
        <w:t xml:space="preserve"> </w:t>
      </w:r>
      <w:r w:rsidRPr="00AB11B2">
        <w:t>o</w:t>
      </w:r>
      <w:r>
        <w:t xml:space="preserve"> </w:t>
      </w:r>
      <w:r w:rsidRPr="00AB11B2">
        <w:t>úvěru</w:t>
      </w:r>
      <w:r>
        <w:t xml:space="preserve"> </w:t>
      </w:r>
      <w:r w:rsidRPr="00AB11B2">
        <w:t>nebo</w:t>
      </w:r>
      <w:r>
        <w:t xml:space="preserve"> </w:t>
      </w:r>
      <w:r w:rsidRPr="00AB11B2">
        <w:t>zápůjčce</w:t>
      </w:r>
      <w:r>
        <w:t xml:space="preserve"> </w:t>
      </w:r>
      <w:r w:rsidRPr="00AB11B2">
        <w:t>nebo</w:t>
      </w:r>
      <w:r>
        <w:t xml:space="preserve"> </w:t>
      </w:r>
      <w:r w:rsidRPr="00AB11B2">
        <w:t>učiní</w:t>
      </w:r>
      <w:r>
        <w:t xml:space="preserve"> </w:t>
      </w:r>
      <w:r w:rsidRPr="00AB11B2">
        <w:t>jiné</w:t>
      </w:r>
      <w:r>
        <w:t xml:space="preserve"> </w:t>
      </w:r>
      <w:r w:rsidRPr="00AB11B2">
        <w:t>obdobné</w:t>
      </w:r>
      <w:r>
        <w:t xml:space="preserve"> </w:t>
      </w:r>
      <w:r w:rsidRPr="00AB11B2">
        <w:t>právní</w:t>
      </w:r>
      <w:r>
        <w:t xml:space="preserve"> </w:t>
      </w:r>
      <w:r w:rsidRPr="00AB11B2">
        <w:t>jednání,</w:t>
      </w:r>
    </w:p>
    <w:p w14:paraId="0296A6E2" w14:textId="46A0A59D" w:rsidR="00B2710B" w:rsidRDefault="00B2710B" w:rsidP="00812ECA">
      <w:pPr>
        <w:pStyle w:val="Textparagrafu"/>
        <w:tabs>
          <w:tab w:val="left" w:pos="406"/>
          <w:tab w:val="left" w:pos="826"/>
        </w:tabs>
        <w:spacing w:before="0"/>
        <w:ind w:left="426" w:hanging="426"/>
      </w:pPr>
      <w:r w:rsidRPr="00AB11B2">
        <w:t>b)</w:t>
      </w:r>
      <w:r w:rsidR="00F378EB">
        <w:tab/>
      </w:r>
      <w:r w:rsidRPr="00AB11B2">
        <w:t>při</w:t>
      </w:r>
      <w:r>
        <w:t xml:space="preserve"> </w:t>
      </w:r>
      <w:r w:rsidRPr="00AB11B2">
        <w:t>provozování</w:t>
      </w:r>
      <w:r>
        <w:t xml:space="preserve"> </w:t>
      </w:r>
      <w:r w:rsidRPr="00AB11B2">
        <w:t>dráhy</w:t>
      </w:r>
      <w:r>
        <w:t xml:space="preserve"> </w:t>
      </w:r>
      <w:r w:rsidRPr="00AB11B2">
        <w:t>celostátní</w:t>
      </w:r>
      <w:r>
        <w:t xml:space="preserve"> </w:t>
      </w:r>
      <w:r w:rsidRPr="00AB11B2">
        <w:t>nebo</w:t>
      </w:r>
      <w:r>
        <w:t xml:space="preserve"> </w:t>
      </w:r>
      <w:r w:rsidRPr="00AB11B2">
        <w:t>regionální</w:t>
      </w:r>
      <w:r>
        <w:t xml:space="preserve"> </w:t>
      </w:r>
      <w:r w:rsidRPr="00AB11B2">
        <w:t>anebo</w:t>
      </w:r>
      <w:r>
        <w:t xml:space="preserve"> </w:t>
      </w:r>
      <w:r w:rsidRPr="00AB11B2">
        <w:t>drážní</w:t>
      </w:r>
      <w:r>
        <w:t xml:space="preserve"> </w:t>
      </w:r>
      <w:r w:rsidRPr="00AB11B2">
        <w:t>dopravy</w:t>
      </w:r>
      <w:r>
        <w:t xml:space="preserve"> </w:t>
      </w:r>
      <w:r w:rsidRPr="00AB11B2">
        <w:t>na</w:t>
      </w:r>
      <w:r>
        <w:t xml:space="preserve"> </w:t>
      </w:r>
      <w:r w:rsidRPr="00AB11B2">
        <w:t>této</w:t>
      </w:r>
      <w:r>
        <w:t xml:space="preserve"> </w:t>
      </w:r>
      <w:r w:rsidRPr="00AB11B2">
        <w:t>dráze</w:t>
      </w:r>
      <w:r>
        <w:t xml:space="preserve"> </w:t>
      </w:r>
      <w:r w:rsidRPr="00AB11B2">
        <w:t>nezajistí,</w:t>
      </w:r>
      <w:r>
        <w:t xml:space="preserve"> </w:t>
      </w:r>
      <w:r w:rsidRPr="00AB11B2">
        <w:t>aby</w:t>
      </w:r>
      <w:r>
        <w:t xml:space="preserve"> </w:t>
      </w:r>
      <w:r w:rsidRPr="00AB11B2">
        <w:t>jeho</w:t>
      </w:r>
      <w:r>
        <w:t xml:space="preserve"> </w:t>
      </w:r>
      <w:r w:rsidRPr="00AB11B2">
        <w:t>zaměstnanci</w:t>
      </w:r>
      <w:r>
        <w:t xml:space="preserve"> </w:t>
      </w:r>
      <w:r w:rsidRPr="00AB11B2">
        <w:t>absolvovali</w:t>
      </w:r>
      <w:r>
        <w:t xml:space="preserve"> </w:t>
      </w:r>
      <w:r w:rsidRPr="00AB11B2">
        <w:t>školení</w:t>
      </w:r>
      <w:r>
        <w:t xml:space="preserve"> </w:t>
      </w:r>
      <w:r w:rsidRPr="00AB11B2">
        <w:t>podle</w:t>
      </w:r>
      <w:r>
        <w:t xml:space="preserve"> </w:t>
      </w:r>
      <w:r w:rsidRPr="00AB11B2">
        <w:t>§</w:t>
      </w:r>
      <w:r>
        <w:t xml:space="preserve"> </w:t>
      </w:r>
      <w:r w:rsidRPr="00AB11B2">
        <w:t>46s</w:t>
      </w:r>
      <w:r>
        <w:t xml:space="preserve"> </w:t>
      </w:r>
      <w:r w:rsidRPr="00AB11B2">
        <w:t>odst.</w:t>
      </w:r>
      <w:r>
        <w:t xml:space="preserve"> </w:t>
      </w:r>
      <w:r w:rsidRPr="00AB11B2">
        <w:t>1,</w:t>
      </w:r>
    </w:p>
    <w:p w14:paraId="688CDE3A" w14:textId="6FDB2083" w:rsidR="00B2710B" w:rsidRDefault="00B2710B" w:rsidP="00812ECA">
      <w:pPr>
        <w:pStyle w:val="Textparagrafu"/>
        <w:tabs>
          <w:tab w:val="left" w:pos="406"/>
          <w:tab w:val="left" w:pos="826"/>
        </w:tabs>
        <w:spacing w:before="0"/>
        <w:ind w:left="426" w:hanging="426"/>
      </w:pPr>
      <w:r w:rsidRPr="00AB11B2">
        <w:t>c)</w:t>
      </w:r>
      <w:r w:rsidR="00F378EB">
        <w:tab/>
      </w:r>
      <w:r w:rsidRPr="00AB11B2">
        <w:t>v</w:t>
      </w:r>
      <w:r>
        <w:t xml:space="preserve"> </w:t>
      </w:r>
      <w:r w:rsidRPr="00AB11B2">
        <w:t>rozporu</w:t>
      </w:r>
      <w:r>
        <w:t xml:space="preserve"> </w:t>
      </w:r>
      <w:r w:rsidRPr="00AB11B2">
        <w:t>s</w:t>
      </w:r>
      <w:r>
        <w:t xml:space="preserve"> </w:t>
      </w:r>
      <w:r w:rsidRPr="00AB11B2">
        <w:t>§</w:t>
      </w:r>
      <w:r>
        <w:t xml:space="preserve"> </w:t>
      </w:r>
      <w:r w:rsidRPr="00AB11B2">
        <w:t>47</w:t>
      </w:r>
      <w:r>
        <w:t xml:space="preserve"> </w:t>
      </w:r>
      <w:r w:rsidRPr="00AB11B2">
        <w:t>odst.</w:t>
      </w:r>
      <w:r>
        <w:t xml:space="preserve"> </w:t>
      </w:r>
      <w:r w:rsidRPr="00AB11B2">
        <w:t>6</w:t>
      </w:r>
      <w:r>
        <w:t xml:space="preserve"> </w:t>
      </w:r>
      <w:r w:rsidRPr="00AB11B2">
        <w:t>provozuje</w:t>
      </w:r>
      <w:r>
        <w:t xml:space="preserve"> </w:t>
      </w:r>
      <w:r w:rsidRPr="00AB11B2">
        <w:t>určené</w:t>
      </w:r>
      <w:r>
        <w:t xml:space="preserve"> </w:t>
      </w:r>
      <w:r w:rsidRPr="00AB11B2">
        <w:t>technické</w:t>
      </w:r>
      <w:r>
        <w:t xml:space="preserve"> </w:t>
      </w:r>
      <w:r w:rsidRPr="00AB11B2">
        <w:t>zařízení,</w:t>
      </w:r>
      <w:r>
        <w:t xml:space="preserve"> </w:t>
      </w:r>
      <w:r w:rsidRPr="00AB11B2">
        <w:t>k</w:t>
      </w:r>
      <w:r>
        <w:t xml:space="preserve"> </w:t>
      </w:r>
      <w:r w:rsidRPr="00AB11B2">
        <w:t>němuž</w:t>
      </w:r>
      <w:r>
        <w:t xml:space="preserve"> </w:t>
      </w:r>
      <w:r w:rsidRPr="00AB11B2">
        <w:t>nebyl</w:t>
      </w:r>
      <w:r>
        <w:t xml:space="preserve"> </w:t>
      </w:r>
      <w:r w:rsidRPr="00AB11B2">
        <w:t>vydán</w:t>
      </w:r>
      <w:r>
        <w:t xml:space="preserve"> </w:t>
      </w:r>
      <w:r w:rsidRPr="00AB11B2">
        <w:t>průkaz</w:t>
      </w:r>
      <w:r>
        <w:t xml:space="preserve"> </w:t>
      </w:r>
      <w:r w:rsidRPr="00AB11B2">
        <w:t>způsobilosti</w:t>
      </w:r>
      <w:r>
        <w:t xml:space="preserve"> </w:t>
      </w:r>
      <w:r w:rsidRPr="00AB11B2">
        <w:t>nebo</w:t>
      </w:r>
      <w:r>
        <w:t xml:space="preserve"> </w:t>
      </w:r>
      <w:r w:rsidRPr="00AB11B2">
        <w:t>které</w:t>
      </w:r>
      <w:r>
        <w:t xml:space="preserve"> </w:t>
      </w:r>
      <w:r w:rsidRPr="00AB11B2">
        <w:t>nesplňuje</w:t>
      </w:r>
      <w:r>
        <w:t xml:space="preserve"> </w:t>
      </w:r>
      <w:r w:rsidRPr="00AB11B2">
        <w:t>stanovené</w:t>
      </w:r>
      <w:r>
        <w:t xml:space="preserve"> </w:t>
      </w:r>
      <w:r w:rsidRPr="00AB11B2">
        <w:t>podmínky,</w:t>
      </w:r>
    </w:p>
    <w:p w14:paraId="7F365043" w14:textId="52508BEC" w:rsidR="00B2710B" w:rsidRDefault="00B2710B" w:rsidP="00812ECA">
      <w:pPr>
        <w:pStyle w:val="Textparagrafu"/>
        <w:tabs>
          <w:tab w:val="left" w:pos="406"/>
          <w:tab w:val="left" w:pos="826"/>
        </w:tabs>
        <w:spacing w:before="0"/>
        <w:ind w:left="426" w:hanging="426"/>
      </w:pPr>
      <w:r w:rsidRPr="00AB11B2">
        <w:t>d)</w:t>
      </w:r>
      <w:r w:rsidR="00F378EB">
        <w:tab/>
      </w:r>
      <w:r w:rsidRPr="00AB11B2">
        <w:t>neoznámí</w:t>
      </w:r>
      <w:r>
        <w:t xml:space="preserve"> </w:t>
      </w:r>
      <w:r w:rsidRPr="00AB11B2">
        <w:t>vznik</w:t>
      </w:r>
      <w:r>
        <w:t xml:space="preserve"> </w:t>
      </w:r>
      <w:r w:rsidRPr="00AB11B2">
        <w:t>mimořádné</w:t>
      </w:r>
      <w:r>
        <w:t xml:space="preserve"> </w:t>
      </w:r>
      <w:r w:rsidRPr="00AB11B2">
        <w:t>události</w:t>
      </w:r>
      <w:r>
        <w:t xml:space="preserve"> </w:t>
      </w:r>
      <w:r w:rsidRPr="00AB11B2">
        <w:t>v</w:t>
      </w:r>
      <w:r>
        <w:t xml:space="preserve"> </w:t>
      </w:r>
      <w:r w:rsidRPr="00AB11B2">
        <w:t>drážní</w:t>
      </w:r>
      <w:r>
        <w:t xml:space="preserve"> </w:t>
      </w:r>
      <w:r w:rsidRPr="00AB11B2">
        <w:t>dopravě</w:t>
      </w:r>
      <w:r>
        <w:t xml:space="preserve"> </w:t>
      </w:r>
      <w:r w:rsidRPr="00AB11B2">
        <w:t>podle</w:t>
      </w:r>
      <w:r>
        <w:t xml:space="preserve"> </w:t>
      </w:r>
      <w:r w:rsidRPr="00AB11B2">
        <w:t>§</w:t>
      </w:r>
      <w:r>
        <w:t xml:space="preserve"> </w:t>
      </w:r>
      <w:r w:rsidRPr="00AB11B2">
        <w:t>49</w:t>
      </w:r>
      <w:r>
        <w:t xml:space="preserve"> </w:t>
      </w:r>
      <w:r w:rsidRPr="00AB11B2">
        <w:t>odst.</w:t>
      </w:r>
      <w:r>
        <w:t xml:space="preserve"> </w:t>
      </w:r>
      <w:r w:rsidRPr="00AB11B2">
        <w:t>3</w:t>
      </w:r>
      <w:r>
        <w:t xml:space="preserve"> </w:t>
      </w:r>
      <w:r w:rsidRPr="00AB11B2">
        <w:t>písm.</w:t>
      </w:r>
      <w:r>
        <w:t xml:space="preserve"> </w:t>
      </w:r>
      <w:r w:rsidRPr="00AB11B2">
        <w:t>a)</w:t>
      </w:r>
      <w:r>
        <w:t xml:space="preserve"> </w:t>
      </w:r>
      <w:r w:rsidRPr="00AB11B2">
        <w:t>nebo</w:t>
      </w:r>
      <w:r>
        <w:t xml:space="preserve"> </w:t>
      </w:r>
      <w:r w:rsidRPr="00AB11B2">
        <w:t>učiněné</w:t>
      </w:r>
      <w:r>
        <w:t xml:space="preserve"> </w:t>
      </w:r>
      <w:r w:rsidRPr="00AB11B2">
        <w:t>oznámení</w:t>
      </w:r>
      <w:r>
        <w:t xml:space="preserve"> </w:t>
      </w:r>
      <w:r w:rsidRPr="00AB11B2">
        <w:t>v</w:t>
      </w:r>
      <w:r>
        <w:t xml:space="preserve"> </w:t>
      </w:r>
      <w:r w:rsidRPr="00AB11B2">
        <w:t>rozporu</w:t>
      </w:r>
      <w:r>
        <w:t xml:space="preserve"> </w:t>
      </w:r>
      <w:r w:rsidRPr="00AB11B2">
        <w:t>s</w:t>
      </w:r>
      <w:r>
        <w:t xml:space="preserve"> </w:t>
      </w:r>
      <w:r w:rsidRPr="00AB11B2">
        <w:t>tímto</w:t>
      </w:r>
      <w:r>
        <w:t xml:space="preserve"> </w:t>
      </w:r>
      <w:r w:rsidRPr="00AB11B2">
        <w:t>ustanovením</w:t>
      </w:r>
      <w:r>
        <w:t xml:space="preserve"> </w:t>
      </w:r>
      <w:r w:rsidRPr="00AB11B2">
        <w:t>neaktualizuje,</w:t>
      </w:r>
    </w:p>
    <w:p w14:paraId="61B20F3A" w14:textId="30D5EC8B" w:rsidR="00B2710B" w:rsidRDefault="00B2710B" w:rsidP="00812ECA">
      <w:pPr>
        <w:pStyle w:val="Textparagrafu"/>
        <w:tabs>
          <w:tab w:val="left" w:pos="406"/>
          <w:tab w:val="left" w:pos="826"/>
        </w:tabs>
        <w:spacing w:before="0"/>
        <w:ind w:left="426" w:hanging="426"/>
      </w:pPr>
      <w:r w:rsidRPr="00AB11B2">
        <w:t>e)</w:t>
      </w:r>
      <w:r w:rsidR="00F378EB">
        <w:tab/>
      </w:r>
      <w:r w:rsidRPr="00AB11B2">
        <w:t>nezajistí</w:t>
      </w:r>
      <w:r>
        <w:t xml:space="preserve"> </w:t>
      </w:r>
      <w:r w:rsidRPr="00AB11B2">
        <w:t>v</w:t>
      </w:r>
      <w:r>
        <w:t xml:space="preserve"> </w:t>
      </w:r>
      <w:r w:rsidRPr="00AB11B2">
        <w:t>souladu</w:t>
      </w:r>
      <w:r>
        <w:t xml:space="preserve"> </w:t>
      </w:r>
      <w:r w:rsidRPr="00AB11B2">
        <w:t>s</w:t>
      </w:r>
      <w:r>
        <w:t xml:space="preserve"> </w:t>
      </w:r>
      <w:r w:rsidRPr="00AB11B2">
        <w:t>§</w:t>
      </w:r>
      <w:r>
        <w:t xml:space="preserve"> </w:t>
      </w:r>
      <w:r w:rsidRPr="00AB11B2">
        <w:t>49</w:t>
      </w:r>
      <w:r>
        <w:t xml:space="preserve"> </w:t>
      </w:r>
      <w:r w:rsidRPr="00AB11B2">
        <w:t>odst.</w:t>
      </w:r>
      <w:r>
        <w:t xml:space="preserve"> </w:t>
      </w:r>
      <w:r w:rsidRPr="00AB11B2">
        <w:t>3</w:t>
      </w:r>
      <w:r>
        <w:t xml:space="preserve"> </w:t>
      </w:r>
      <w:r w:rsidRPr="00AB11B2">
        <w:t>písm.</w:t>
      </w:r>
      <w:r>
        <w:t xml:space="preserve"> </w:t>
      </w:r>
      <w:r w:rsidRPr="00AB11B2">
        <w:t>b)</w:t>
      </w:r>
      <w:r>
        <w:t xml:space="preserve"> </w:t>
      </w:r>
      <w:r w:rsidRPr="00AB11B2">
        <w:t>místo</w:t>
      </w:r>
      <w:r>
        <w:t xml:space="preserve"> </w:t>
      </w:r>
      <w:r w:rsidRPr="00AB11B2">
        <w:t>mimořádné</w:t>
      </w:r>
      <w:r>
        <w:t xml:space="preserve"> </w:t>
      </w:r>
      <w:r w:rsidRPr="00AB11B2">
        <w:t>události</w:t>
      </w:r>
      <w:r>
        <w:t xml:space="preserve"> </w:t>
      </w:r>
      <w:r w:rsidRPr="00AB11B2">
        <w:t>nebo</w:t>
      </w:r>
      <w:r>
        <w:t xml:space="preserve"> </w:t>
      </w:r>
      <w:r w:rsidRPr="00AB11B2">
        <w:t>neprovede</w:t>
      </w:r>
      <w:r>
        <w:t xml:space="preserve"> </w:t>
      </w:r>
      <w:r w:rsidRPr="00AB11B2">
        <w:t>dokumentaci</w:t>
      </w:r>
      <w:r>
        <w:t xml:space="preserve"> </w:t>
      </w:r>
      <w:r w:rsidRPr="00AB11B2">
        <w:t>stavu</w:t>
      </w:r>
      <w:r>
        <w:t xml:space="preserve"> </w:t>
      </w:r>
      <w:r w:rsidRPr="00AB11B2">
        <w:t>v</w:t>
      </w:r>
      <w:r>
        <w:t xml:space="preserve"> </w:t>
      </w:r>
      <w:r w:rsidRPr="00AB11B2">
        <w:t>době</w:t>
      </w:r>
      <w:r>
        <w:t xml:space="preserve"> </w:t>
      </w:r>
      <w:r w:rsidRPr="00AB11B2">
        <w:t>vzniku</w:t>
      </w:r>
      <w:r>
        <w:t xml:space="preserve"> </w:t>
      </w:r>
      <w:r w:rsidRPr="00AB11B2">
        <w:t>mimořádné</w:t>
      </w:r>
      <w:r>
        <w:t xml:space="preserve"> </w:t>
      </w:r>
      <w:r w:rsidRPr="00AB11B2">
        <w:t>události,</w:t>
      </w:r>
    </w:p>
    <w:p w14:paraId="06FF0BB3" w14:textId="45797BD8" w:rsidR="00B2710B" w:rsidRDefault="00B2710B" w:rsidP="00812ECA">
      <w:pPr>
        <w:pStyle w:val="Textparagrafu"/>
        <w:tabs>
          <w:tab w:val="left" w:pos="406"/>
          <w:tab w:val="left" w:pos="826"/>
        </w:tabs>
        <w:spacing w:before="0"/>
        <w:ind w:left="426" w:hanging="426"/>
      </w:pPr>
      <w:r w:rsidRPr="00AB11B2">
        <w:t>f)</w:t>
      </w:r>
      <w:r w:rsidR="00F378EB">
        <w:tab/>
      </w:r>
      <w:r w:rsidRPr="00AB11B2">
        <w:t>nezabezpečí</w:t>
      </w:r>
      <w:r>
        <w:t xml:space="preserve"> </w:t>
      </w:r>
      <w:r w:rsidRPr="00AB11B2">
        <w:t>podle</w:t>
      </w:r>
      <w:r>
        <w:t xml:space="preserve"> </w:t>
      </w:r>
      <w:r w:rsidRPr="00AB11B2">
        <w:t>§</w:t>
      </w:r>
      <w:r>
        <w:t xml:space="preserve"> </w:t>
      </w:r>
      <w:r w:rsidRPr="00AB11B2">
        <w:t>49</w:t>
      </w:r>
      <w:r>
        <w:t xml:space="preserve"> </w:t>
      </w:r>
      <w:r w:rsidRPr="00AB11B2">
        <w:t>odst.</w:t>
      </w:r>
      <w:r>
        <w:t xml:space="preserve"> </w:t>
      </w:r>
      <w:r w:rsidRPr="00AB11B2">
        <w:t>3</w:t>
      </w:r>
      <w:r>
        <w:t xml:space="preserve"> </w:t>
      </w:r>
      <w:r w:rsidRPr="00AB11B2">
        <w:t>písm.</w:t>
      </w:r>
      <w:r>
        <w:t xml:space="preserve"> </w:t>
      </w:r>
      <w:r w:rsidRPr="00AB11B2">
        <w:t>c)</w:t>
      </w:r>
      <w:r>
        <w:t xml:space="preserve"> </w:t>
      </w:r>
      <w:r w:rsidRPr="00AB11B2">
        <w:t>uvolnění</w:t>
      </w:r>
      <w:r>
        <w:t xml:space="preserve"> </w:t>
      </w:r>
      <w:r w:rsidRPr="00AB11B2">
        <w:t>dráhy</w:t>
      </w:r>
      <w:r>
        <w:t xml:space="preserve"> </w:t>
      </w:r>
      <w:r w:rsidRPr="00AB11B2">
        <w:t>pro</w:t>
      </w:r>
      <w:r>
        <w:t xml:space="preserve"> </w:t>
      </w:r>
      <w:r w:rsidRPr="00AB11B2">
        <w:t>obnovení</w:t>
      </w:r>
      <w:r>
        <w:t xml:space="preserve"> </w:t>
      </w:r>
      <w:r w:rsidRPr="00AB11B2">
        <w:t>provozování</w:t>
      </w:r>
      <w:r>
        <w:t xml:space="preserve"> </w:t>
      </w:r>
      <w:r w:rsidRPr="00AB11B2">
        <w:t>dráhy</w:t>
      </w:r>
      <w:r>
        <w:t xml:space="preserve"> </w:t>
      </w:r>
      <w:r w:rsidRPr="00AB11B2">
        <w:t>nebo</w:t>
      </w:r>
      <w:r>
        <w:t xml:space="preserve"> </w:t>
      </w:r>
      <w:r w:rsidRPr="00AB11B2">
        <w:t>drážní</w:t>
      </w:r>
      <w:r>
        <w:t xml:space="preserve"> </w:t>
      </w:r>
      <w:r w:rsidRPr="00AB11B2">
        <w:t>dopravy,</w:t>
      </w:r>
    </w:p>
    <w:p w14:paraId="01708D86" w14:textId="097FA6DA" w:rsidR="00B2710B" w:rsidRDefault="00B2710B" w:rsidP="00812ECA">
      <w:pPr>
        <w:pStyle w:val="Textparagrafu"/>
        <w:tabs>
          <w:tab w:val="left" w:pos="406"/>
          <w:tab w:val="left" w:pos="826"/>
        </w:tabs>
        <w:spacing w:before="0"/>
        <w:ind w:left="426" w:hanging="426"/>
      </w:pPr>
      <w:r w:rsidRPr="00AB11B2">
        <w:t>g)</w:t>
      </w:r>
      <w:r w:rsidR="00F378EB">
        <w:tab/>
      </w:r>
      <w:r w:rsidRPr="00AB11B2">
        <w:t>neprovede</w:t>
      </w:r>
      <w:r>
        <w:t xml:space="preserve"> </w:t>
      </w:r>
      <w:r w:rsidRPr="00AB11B2">
        <w:t>podle</w:t>
      </w:r>
      <w:r>
        <w:t xml:space="preserve"> </w:t>
      </w:r>
      <w:r w:rsidRPr="00AB11B2">
        <w:t>§</w:t>
      </w:r>
      <w:r>
        <w:t xml:space="preserve"> </w:t>
      </w:r>
      <w:r w:rsidRPr="00AB11B2">
        <w:t>49</w:t>
      </w:r>
      <w:r>
        <w:t xml:space="preserve"> </w:t>
      </w:r>
      <w:r w:rsidRPr="00AB11B2">
        <w:t>odst.</w:t>
      </w:r>
      <w:r>
        <w:t xml:space="preserve"> </w:t>
      </w:r>
      <w:r w:rsidRPr="00AB11B2">
        <w:t>3</w:t>
      </w:r>
      <w:r>
        <w:t xml:space="preserve"> </w:t>
      </w:r>
      <w:r w:rsidRPr="00AB11B2">
        <w:t>písm.</w:t>
      </w:r>
      <w:r>
        <w:t xml:space="preserve"> </w:t>
      </w:r>
      <w:r w:rsidRPr="00AB11B2">
        <w:t>d)</w:t>
      </w:r>
      <w:r>
        <w:t xml:space="preserve"> </w:t>
      </w:r>
      <w:r w:rsidRPr="00AB11B2">
        <w:t>zjištění</w:t>
      </w:r>
      <w:r>
        <w:t xml:space="preserve"> </w:t>
      </w:r>
      <w:r w:rsidRPr="00AB11B2">
        <w:t>příčin</w:t>
      </w:r>
      <w:r>
        <w:t xml:space="preserve"> </w:t>
      </w:r>
      <w:r w:rsidRPr="00AB11B2">
        <w:t>a</w:t>
      </w:r>
      <w:r>
        <w:t xml:space="preserve"> </w:t>
      </w:r>
      <w:r w:rsidRPr="00AB11B2">
        <w:t>okolností</w:t>
      </w:r>
      <w:r>
        <w:t xml:space="preserve"> </w:t>
      </w:r>
      <w:r w:rsidRPr="00AB11B2">
        <w:t>vzniku</w:t>
      </w:r>
      <w:r>
        <w:t xml:space="preserve"> </w:t>
      </w:r>
      <w:r w:rsidRPr="00AB11B2">
        <w:t>mimořádné</w:t>
      </w:r>
      <w:r>
        <w:t xml:space="preserve"> </w:t>
      </w:r>
      <w:r w:rsidRPr="00AB11B2">
        <w:t>události</w:t>
      </w:r>
      <w:r>
        <w:t xml:space="preserve"> </w:t>
      </w:r>
      <w:r w:rsidRPr="00AB11B2">
        <w:t>nebo</w:t>
      </w:r>
      <w:r>
        <w:t xml:space="preserve"> </w:t>
      </w:r>
      <w:r w:rsidRPr="00AB11B2">
        <w:t>neučiní</w:t>
      </w:r>
      <w:r>
        <w:t xml:space="preserve"> </w:t>
      </w:r>
      <w:r w:rsidRPr="00AB11B2">
        <w:t>opatření</w:t>
      </w:r>
      <w:r>
        <w:t xml:space="preserve"> </w:t>
      </w:r>
      <w:r w:rsidRPr="00AB11B2">
        <w:t>k</w:t>
      </w:r>
      <w:r>
        <w:t xml:space="preserve"> </w:t>
      </w:r>
      <w:r w:rsidRPr="00AB11B2">
        <w:t>jejich</w:t>
      </w:r>
      <w:r>
        <w:t xml:space="preserve"> </w:t>
      </w:r>
      <w:r w:rsidRPr="00AB11B2">
        <w:t>předcházení,</w:t>
      </w:r>
    </w:p>
    <w:p w14:paraId="55F209B2" w14:textId="07DB69FA" w:rsidR="00B2710B" w:rsidRDefault="00B2710B" w:rsidP="00812ECA">
      <w:pPr>
        <w:pStyle w:val="Textparagrafu"/>
        <w:tabs>
          <w:tab w:val="left" w:pos="406"/>
          <w:tab w:val="left" w:pos="826"/>
        </w:tabs>
        <w:spacing w:before="0"/>
        <w:ind w:left="426" w:hanging="426"/>
      </w:pPr>
      <w:r w:rsidRPr="00AB11B2">
        <w:t>h)</w:t>
      </w:r>
      <w:r w:rsidR="00F378EB">
        <w:tab/>
      </w:r>
      <w:r w:rsidRPr="00AB11B2">
        <w:t>neodstraní</w:t>
      </w:r>
      <w:r>
        <w:t xml:space="preserve"> </w:t>
      </w:r>
      <w:r w:rsidRPr="00AB11B2">
        <w:t>podle</w:t>
      </w:r>
      <w:r>
        <w:t xml:space="preserve"> </w:t>
      </w:r>
      <w:r w:rsidRPr="00AB11B2">
        <w:t>§</w:t>
      </w:r>
      <w:r>
        <w:t xml:space="preserve"> </w:t>
      </w:r>
      <w:r w:rsidRPr="00AB11B2">
        <w:t>49</w:t>
      </w:r>
      <w:r>
        <w:t xml:space="preserve"> </w:t>
      </w:r>
      <w:r w:rsidRPr="00AB11B2">
        <w:t>odst.</w:t>
      </w:r>
      <w:r>
        <w:t xml:space="preserve"> </w:t>
      </w:r>
      <w:r w:rsidRPr="00AB11B2">
        <w:t>3</w:t>
      </w:r>
      <w:r>
        <w:t xml:space="preserve"> </w:t>
      </w:r>
      <w:r w:rsidRPr="00AB11B2">
        <w:t>písm.</w:t>
      </w:r>
      <w:r>
        <w:t xml:space="preserve"> </w:t>
      </w:r>
      <w:r w:rsidRPr="00AB11B2">
        <w:t>e)</w:t>
      </w:r>
      <w:r>
        <w:t xml:space="preserve"> </w:t>
      </w:r>
      <w:r w:rsidRPr="00AB11B2">
        <w:t>nedostatky</w:t>
      </w:r>
      <w:r>
        <w:t xml:space="preserve"> </w:t>
      </w:r>
      <w:r w:rsidRPr="00AB11B2">
        <w:t>zjištěné</w:t>
      </w:r>
      <w:r>
        <w:t xml:space="preserve"> </w:t>
      </w:r>
      <w:r w:rsidRPr="00AB11B2">
        <w:t>při</w:t>
      </w:r>
      <w:r>
        <w:t xml:space="preserve"> </w:t>
      </w:r>
      <w:r w:rsidRPr="00AB11B2">
        <w:t>vzniku</w:t>
      </w:r>
      <w:r>
        <w:t xml:space="preserve"> </w:t>
      </w:r>
      <w:r w:rsidRPr="00AB11B2">
        <w:t>mimořádné</w:t>
      </w:r>
      <w:r>
        <w:t xml:space="preserve"> </w:t>
      </w:r>
      <w:r w:rsidRPr="00AB11B2">
        <w:t>události,</w:t>
      </w:r>
      <w:r>
        <w:t xml:space="preserve"> </w:t>
      </w:r>
      <w:r w:rsidRPr="00AB11B2">
        <w:t>jejich</w:t>
      </w:r>
      <w:r>
        <w:t xml:space="preserve"> </w:t>
      </w:r>
      <w:r w:rsidRPr="00AB11B2">
        <w:t>příčiny</w:t>
      </w:r>
      <w:r>
        <w:t xml:space="preserve"> </w:t>
      </w:r>
      <w:r w:rsidRPr="00AB11B2">
        <w:t>nebo</w:t>
      </w:r>
      <w:r>
        <w:t xml:space="preserve"> </w:t>
      </w:r>
      <w:r w:rsidRPr="00AB11B2">
        <w:t>škodlivé</w:t>
      </w:r>
      <w:r>
        <w:t xml:space="preserve"> </w:t>
      </w:r>
      <w:r w:rsidRPr="00AB11B2">
        <w:t>následky,</w:t>
      </w:r>
      <w:r>
        <w:t xml:space="preserve"> </w:t>
      </w:r>
      <w:r w:rsidRPr="00AB11B2">
        <w:t>nebo</w:t>
      </w:r>
    </w:p>
    <w:p w14:paraId="416ADE76" w14:textId="37EF2B44" w:rsidR="00B2710B" w:rsidRDefault="00B2710B" w:rsidP="00812ECA">
      <w:pPr>
        <w:pStyle w:val="Textparagrafu"/>
        <w:tabs>
          <w:tab w:val="left" w:pos="406"/>
          <w:tab w:val="left" w:pos="826"/>
        </w:tabs>
        <w:spacing w:before="0"/>
        <w:ind w:left="426" w:hanging="426"/>
      </w:pPr>
      <w:r w:rsidRPr="00AB11B2">
        <w:t>i)</w:t>
      </w:r>
      <w:r w:rsidR="00F378EB">
        <w:tab/>
      </w:r>
      <w:r w:rsidRPr="00AB11B2">
        <w:t>provozuje</w:t>
      </w:r>
      <w:r>
        <w:t xml:space="preserve"> </w:t>
      </w:r>
      <w:r w:rsidRPr="00AB11B2">
        <w:t>dráhu</w:t>
      </w:r>
      <w:r>
        <w:t xml:space="preserve"> </w:t>
      </w:r>
      <w:r w:rsidRPr="00AB11B2">
        <w:t>celostátní</w:t>
      </w:r>
      <w:r>
        <w:t xml:space="preserve"> </w:t>
      </w:r>
      <w:r w:rsidRPr="00AB11B2">
        <w:t>nebo</w:t>
      </w:r>
      <w:r>
        <w:t xml:space="preserve"> </w:t>
      </w:r>
      <w:r w:rsidRPr="00AB11B2">
        <w:t>regionální</w:t>
      </w:r>
      <w:r>
        <w:t xml:space="preserve"> </w:t>
      </w:r>
      <w:r w:rsidRPr="00AB11B2">
        <w:t>anebo</w:t>
      </w:r>
      <w:r>
        <w:t xml:space="preserve"> </w:t>
      </w:r>
      <w:r w:rsidRPr="00AB11B2">
        <w:t>drážní</w:t>
      </w:r>
      <w:r>
        <w:t xml:space="preserve"> </w:t>
      </w:r>
      <w:r w:rsidRPr="00AB11B2">
        <w:t>dopravu</w:t>
      </w:r>
      <w:r>
        <w:t xml:space="preserve"> </w:t>
      </w:r>
      <w:r w:rsidRPr="00AB11B2">
        <w:t>na</w:t>
      </w:r>
      <w:r>
        <w:t xml:space="preserve"> </w:t>
      </w:r>
      <w:r w:rsidRPr="00AB11B2">
        <w:t>této</w:t>
      </w:r>
      <w:r>
        <w:t xml:space="preserve"> </w:t>
      </w:r>
      <w:r w:rsidRPr="00AB11B2">
        <w:t>dráze</w:t>
      </w:r>
      <w:r>
        <w:t xml:space="preserve"> </w:t>
      </w:r>
      <w:r w:rsidRPr="00AB11B2">
        <w:t>v</w:t>
      </w:r>
      <w:r>
        <w:t xml:space="preserve"> </w:t>
      </w:r>
      <w:r w:rsidRPr="00AB11B2">
        <w:t>rozporu</w:t>
      </w:r>
      <w:r>
        <w:t xml:space="preserve"> </w:t>
      </w:r>
      <w:r w:rsidRPr="00AB11B2">
        <w:t>s</w:t>
      </w:r>
      <w:r>
        <w:t xml:space="preserve"> </w:t>
      </w:r>
      <w:r w:rsidRPr="00AB11B2">
        <w:t>technickou</w:t>
      </w:r>
      <w:r>
        <w:t xml:space="preserve"> </w:t>
      </w:r>
      <w:r w:rsidRPr="00AB11B2">
        <w:t>specifikací</w:t>
      </w:r>
      <w:r>
        <w:t xml:space="preserve"> </w:t>
      </w:r>
      <w:r w:rsidRPr="00AB11B2">
        <w:t>pro</w:t>
      </w:r>
      <w:r>
        <w:t xml:space="preserve"> </w:t>
      </w:r>
      <w:r w:rsidRPr="00AB11B2">
        <w:t>interoperabilitu</w:t>
      </w:r>
      <w:r>
        <w:t xml:space="preserve"> </w:t>
      </w:r>
      <w:r w:rsidRPr="00AB11B2">
        <w:t>pro</w:t>
      </w:r>
      <w:r>
        <w:t xml:space="preserve"> </w:t>
      </w:r>
      <w:r w:rsidRPr="00AB11B2">
        <w:t>subsystém</w:t>
      </w:r>
      <w:r>
        <w:t xml:space="preserve"> </w:t>
      </w:r>
      <w:r w:rsidRPr="00AB11B2">
        <w:t>provoz</w:t>
      </w:r>
      <w:r>
        <w:t xml:space="preserve"> </w:t>
      </w:r>
      <w:r w:rsidRPr="00AB11B2">
        <w:t>a</w:t>
      </w:r>
      <w:r>
        <w:t xml:space="preserve"> </w:t>
      </w:r>
      <w:r w:rsidRPr="00AB11B2">
        <w:t>řízení</w:t>
      </w:r>
      <w:r>
        <w:t xml:space="preserve"> </w:t>
      </w:r>
      <w:r w:rsidRPr="00AB11B2">
        <w:t>dopravy,</w:t>
      </w:r>
      <w:r>
        <w:t xml:space="preserve"> </w:t>
      </w:r>
      <w:r w:rsidRPr="00AB11B2">
        <w:t>subsystém</w:t>
      </w:r>
      <w:r>
        <w:t xml:space="preserve"> </w:t>
      </w:r>
      <w:r w:rsidRPr="00AB11B2">
        <w:t>údržba</w:t>
      </w:r>
      <w:r>
        <w:t xml:space="preserve"> </w:t>
      </w:r>
      <w:r w:rsidRPr="00AB11B2">
        <w:t>nebo</w:t>
      </w:r>
      <w:r>
        <w:t xml:space="preserve"> </w:t>
      </w:r>
      <w:r w:rsidRPr="00AB11B2">
        <w:t>subsystém</w:t>
      </w:r>
      <w:r>
        <w:t xml:space="preserve"> </w:t>
      </w:r>
      <w:r w:rsidRPr="00AB11B2">
        <w:t>využití</w:t>
      </w:r>
      <w:r>
        <w:t xml:space="preserve"> </w:t>
      </w:r>
      <w:r w:rsidRPr="00AB11B2">
        <w:t>telematiky</w:t>
      </w:r>
      <w:r>
        <w:t xml:space="preserve"> </w:t>
      </w:r>
      <w:r w:rsidRPr="00AB11B2">
        <w:t>v</w:t>
      </w:r>
      <w:r>
        <w:t xml:space="preserve"> </w:t>
      </w:r>
      <w:r w:rsidRPr="00AB11B2">
        <w:t>osobní</w:t>
      </w:r>
      <w:r>
        <w:t xml:space="preserve"> </w:t>
      </w:r>
      <w:r w:rsidRPr="00AB11B2">
        <w:t>a</w:t>
      </w:r>
      <w:r>
        <w:t xml:space="preserve"> </w:t>
      </w:r>
      <w:r w:rsidRPr="00AB11B2">
        <w:t>nákladní</w:t>
      </w:r>
      <w:r>
        <w:t xml:space="preserve"> </w:t>
      </w:r>
      <w:r w:rsidRPr="00AB11B2">
        <w:t>dopravě</w:t>
      </w:r>
      <w:r w:rsidR="0009361C">
        <w:rPr>
          <w:rStyle w:val="Znakapoznpodarou"/>
        </w:rPr>
        <w:footnoteReference w:customMarkFollows="1" w:id="214"/>
        <w:t>41)</w:t>
      </w:r>
      <w:r w:rsidRPr="00AB11B2">
        <w:t>.</w:t>
      </w:r>
    </w:p>
    <w:p w14:paraId="3BE53048" w14:textId="77777777" w:rsidR="00B2710B" w:rsidRDefault="00B2710B" w:rsidP="00CE2C91">
      <w:pPr>
        <w:pStyle w:val="Textparagrafu"/>
        <w:tabs>
          <w:tab w:val="left" w:pos="406"/>
          <w:tab w:val="left" w:pos="826"/>
        </w:tabs>
        <w:spacing w:before="120" w:after="120"/>
      </w:pPr>
      <w:r w:rsidRPr="00AB11B2">
        <w:t>(8)</w:t>
      </w:r>
      <w:r>
        <w:t xml:space="preserve"> </w:t>
      </w:r>
      <w:r w:rsidRPr="00AB11B2">
        <w:t>Právnická</w:t>
      </w:r>
      <w:r>
        <w:t xml:space="preserve"> </w:t>
      </w:r>
      <w:r w:rsidRPr="00AB11B2">
        <w:t>nebo</w:t>
      </w:r>
      <w:r>
        <w:t xml:space="preserve"> </w:t>
      </w:r>
      <w:r w:rsidRPr="00AB11B2">
        <w:t>podnikající</w:t>
      </w:r>
      <w:r>
        <w:t xml:space="preserve"> </w:t>
      </w:r>
      <w:r w:rsidRPr="00AB11B2">
        <w:t>fyzická</w:t>
      </w:r>
      <w:r>
        <w:t xml:space="preserve"> </w:t>
      </w:r>
      <w:r w:rsidRPr="00AB11B2">
        <w:t>osoba</w:t>
      </w:r>
      <w:r>
        <w:t xml:space="preserve"> </w:t>
      </w:r>
      <w:r w:rsidRPr="00AB11B2">
        <w:t>se</w:t>
      </w:r>
      <w:r>
        <w:t xml:space="preserve"> </w:t>
      </w:r>
      <w:r w:rsidRPr="00AB11B2">
        <w:t>jako</w:t>
      </w:r>
      <w:r>
        <w:t xml:space="preserve"> </w:t>
      </w:r>
      <w:r w:rsidRPr="00AB11B2">
        <w:t>podnikatel,</w:t>
      </w:r>
      <w:r>
        <w:t xml:space="preserve"> </w:t>
      </w:r>
      <w:r w:rsidRPr="00AB11B2">
        <w:t>který</w:t>
      </w:r>
      <w:r>
        <w:t xml:space="preserve"> </w:t>
      </w:r>
      <w:r w:rsidRPr="00AB11B2">
        <w:t>je</w:t>
      </w:r>
      <w:r>
        <w:t xml:space="preserve"> </w:t>
      </w:r>
      <w:r w:rsidRPr="00AB11B2">
        <w:t>součástí</w:t>
      </w:r>
      <w:r>
        <w:t xml:space="preserve"> </w:t>
      </w:r>
      <w:r w:rsidRPr="00AB11B2">
        <w:t>vertikálně</w:t>
      </w:r>
      <w:r>
        <w:t xml:space="preserve"> </w:t>
      </w:r>
      <w:r w:rsidRPr="00AB11B2">
        <w:t>integrovaného</w:t>
      </w:r>
      <w:r>
        <w:t xml:space="preserve"> </w:t>
      </w:r>
      <w:r w:rsidRPr="00AB11B2">
        <w:t>podniku,</w:t>
      </w:r>
      <w:r>
        <w:t xml:space="preserve"> </w:t>
      </w:r>
      <w:r w:rsidRPr="00AB11B2">
        <w:t>dopustí</w:t>
      </w:r>
      <w:r>
        <w:t xml:space="preserve"> </w:t>
      </w:r>
      <w:r w:rsidRPr="00AB11B2">
        <w:t>přestupku</w:t>
      </w:r>
      <w:r>
        <w:t xml:space="preserve"> </w:t>
      </w:r>
      <w:r w:rsidRPr="00AB11B2">
        <w:t>tím,</w:t>
      </w:r>
      <w:r>
        <w:t xml:space="preserve"> </w:t>
      </w:r>
      <w:r w:rsidRPr="00AB11B2">
        <w:t>že</w:t>
      </w:r>
    </w:p>
    <w:p w14:paraId="627A04B5" w14:textId="3FBA3DEC" w:rsidR="00B2710B" w:rsidRDefault="00B2710B" w:rsidP="00812ECA">
      <w:pPr>
        <w:pStyle w:val="Textparagrafu"/>
        <w:tabs>
          <w:tab w:val="left" w:pos="406"/>
          <w:tab w:val="left" w:pos="826"/>
        </w:tabs>
        <w:spacing w:before="0"/>
        <w:ind w:left="426" w:hanging="426"/>
      </w:pPr>
      <w:r w:rsidRPr="00AB11B2">
        <w:t>a)</w:t>
      </w:r>
      <w:r w:rsidR="00F378EB">
        <w:tab/>
      </w:r>
      <w:r w:rsidRPr="00AB11B2">
        <w:t>uzavře</w:t>
      </w:r>
      <w:r>
        <w:t xml:space="preserve"> </w:t>
      </w:r>
      <w:r w:rsidRPr="00AB11B2">
        <w:t>s</w:t>
      </w:r>
      <w:r>
        <w:t xml:space="preserve"> </w:t>
      </w:r>
      <w:r w:rsidRPr="00AB11B2">
        <w:t>jiným</w:t>
      </w:r>
      <w:r>
        <w:t xml:space="preserve"> </w:t>
      </w:r>
      <w:r w:rsidRPr="00AB11B2">
        <w:t>podnikatelem</w:t>
      </w:r>
      <w:r>
        <w:t xml:space="preserve"> </w:t>
      </w:r>
      <w:r w:rsidRPr="00AB11B2">
        <w:t>v</w:t>
      </w:r>
      <w:r>
        <w:t xml:space="preserve"> </w:t>
      </w:r>
      <w:r w:rsidRPr="00AB11B2">
        <w:t>rámci</w:t>
      </w:r>
      <w:r>
        <w:t xml:space="preserve"> </w:t>
      </w:r>
      <w:r w:rsidRPr="00AB11B2">
        <w:t>téhož</w:t>
      </w:r>
      <w:r>
        <w:t xml:space="preserve"> </w:t>
      </w:r>
      <w:r w:rsidRPr="00AB11B2">
        <w:t>podniku</w:t>
      </w:r>
      <w:r>
        <w:t xml:space="preserve"> </w:t>
      </w:r>
      <w:r w:rsidRPr="00AB11B2">
        <w:t>smlouvu</w:t>
      </w:r>
      <w:r>
        <w:t xml:space="preserve"> </w:t>
      </w:r>
      <w:r w:rsidRPr="00AB11B2">
        <w:t>o</w:t>
      </w:r>
      <w:r>
        <w:t xml:space="preserve"> </w:t>
      </w:r>
      <w:r w:rsidRPr="00AB11B2">
        <w:t>úvěru</w:t>
      </w:r>
      <w:r>
        <w:t xml:space="preserve"> </w:t>
      </w:r>
      <w:r w:rsidRPr="00AB11B2">
        <w:t>nebo</w:t>
      </w:r>
      <w:r>
        <w:t xml:space="preserve"> </w:t>
      </w:r>
      <w:r w:rsidRPr="00AB11B2">
        <w:t>zápůjčce</w:t>
      </w:r>
      <w:r>
        <w:t xml:space="preserve"> </w:t>
      </w:r>
      <w:r w:rsidRPr="00AB11B2">
        <w:t>nebo</w:t>
      </w:r>
      <w:r>
        <w:t xml:space="preserve"> </w:t>
      </w:r>
      <w:r w:rsidRPr="00AB11B2">
        <w:t>učiní</w:t>
      </w:r>
      <w:r>
        <w:t xml:space="preserve"> </w:t>
      </w:r>
      <w:r w:rsidRPr="00AB11B2">
        <w:t>jiné</w:t>
      </w:r>
      <w:r>
        <w:t xml:space="preserve"> </w:t>
      </w:r>
      <w:r w:rsidRPr="00AB11B2">
        <w:t>obdobné</w:t>
      </w:r>
      <w:r>
        <w:t xml:space="preserve"> </w:t>
      </w:r>
      <w:r w:rsidRPr="00AB11B2">
        <w:t>právní</w:t>
      </w:r>
      <w:r>
        <w:t xml:space="preserve"> </w:t>
      </w:r>
      <w:r w:rsidRPr="00AB11B2">
        <w:t>jednání</w:t>
      </w:r>
      <w:r>
        <w:t xml:space="preserve"> </w:t>
      </w:r>
      <w:r w:rsidRPr="00AB11B2">
        <w:t>za</w:t>
      </w:r>
      <w:r>
        <w:t xml:space="preserve"> </w:t>
      </w:r>
      <w:r w:rsidRPr="00AB11B2">
        <w:t>podmínek</w:t>
      </w:r>
      <w:r>
        <w:t xml:space="preserve"> </w:t>
      </w:r>
      <w:r w:rsidRPr="00AB11B2">
        <w:t>neodpovídajících</w:t>
      </w:r>
      <w:r>
        <w:t xml:space="preserve"> </w:t>
      </w:r>
      <w:r w:rsidRPr="00AB11B2">
        <w:t>§</w:t>
      </w:r>
      <w:r>
        <w:t xml:space="preserve"> </w:t>
      </w:r>
      <w:r w:rsidRPr="00AB11B2">
        <w:t>42b</w:t>
      </w:r>
      <w:r>
        <w:t xml:space="preserve"> </w:t>
      </w:r>
      <w:r w:rsidRPr="00AB11B2">
        <w:t>odst.</w:t>
      </w:r>
      <w:r>
        <w:t xml:space="preserve"> </w:t>
      </w:r>
      <w:r w:rsidRPr="00AB11B2">
        <w:t>2</w:t>
      </w:r>
      <w:r>
        <w:t xml:space="preserve"> </w:t>
      </w:r>
      <w:r w:rsidRPr="00AB11B2">
        <w:t>nebo</w:t>
      </w:r>
      <w:r>
        <w:t xml:space="preserve"> </w:t>
      </w:r>
      <w:r w:rsidRPr="00AB11B2">
        <w:t>jinému</w:t>
      </w:r>
      <w:r>
        <w:t xml:space="preserve"> </w:t>
      </w:r>
      <w:r w:rsidRPr="00AB11B2">
        <w:t>podnikateli</w:t>
      </w:r>
      <w:r>
        <w:t xml:space="preserve"> </w:t>
      </w:r>
      <w:r w:rsidRPr="00AB11B2">
        <w:t>v</w:t>
      </w:r>
      <w:r>
        <w:t xml:space="preserve"> </w:t>
      </w:r>
      <w:r w:rsidRPr="00AB11B2">
        <w:t>rámci</w:t>
      </w:r>
      <w:r>
        <w:t xml:space="preserve"> </w:t>
      </w:r>
      <w:r w:rsidRPr="00AB11B2">
        <w:t>téhož</w:t>
      </w:r>
      <w:r>
        <w:t xml:space="preserve"> </w:t>
      </w:r>
      <w:r w:rsidRPr="00AB11B2">
        <w:t>podniku</w:t>
      </w:r>
      <w:r>
        <w:t xml:space="preserve"> </w:t>
      </w:r>
      <w:r w:rsidRPr="00AB11B2">
        <w:t>poskytne</w:t>
      </w:r>
      <w:r>
        <w:t xml:space="preserve"> </w:t>
      </w:r>
      <w:r w:rsidRPr="00AB11B2">
        <w:t>na</w:t>
      </w:r>
      <w:r>
        <w:t xml:space="preserve"> </w:t>
      </w:r>
      <w:r w:rsidRPr="00AB11B2">
        <w:t>základě</w:t>
      </w:r>
      <w:r>
        <w:t xml:space="preserve"> </w:t>
      </w:r>
      <w:r w:rsidRPr="00AB11B2">
        <w:t>smlouvy</w:t>
      </w:r>
      <w:r>
        <w:t xml:space="preserve"> </w:t>
      </w:r>
      <w:r w:rsidRPr="00AB11B2">
        <w:t>o</w:t>
      </w:r>
      <w:r>
        <w:t xml:space="preserve"> </w:t>
      </w:r>
      <w:r w:rsidRPr="00AB11B2">
        <w:t>úvěru</w:t>
      </w:r>
      <w:r>
        <w:t xml:space="preserve"> </w:t>
      </w:r>
      <w:r w:rsidRPr="00AB11B2">
        <w:t>nebo</w:t>
      </w:r>
      <w:r>
        <w:t xml:space="preserve"> </w:t>
      </w:r>
      <w:r w:rsidRPr="00AB11B2">
        <w:t>zápůjčce</w:t>
      </w:r>
      <w:r>
        <w:t xml:space="preserve"> </w:t>
      </w:r>
      <w:r w:rsidRPr="00AB11B2">
        <w:t>nebo</w:t>
      </w:r>
      <w:r>
        <w:t xml:space="preserve"> </w:t>
      </w:r>
      <w:r w:rsidRPr="00AB11B2">
        <w:t>jiného</w:t>
      </w:r>
      <w:r>
        <w:t xml:space="preserve"> </w:t>
      </w:r>
      <w:r w:rsidRPr="00AB11B2">
        <w:t>obdobného</w:t>
      </w:r>
      <w:r>
        <w:t xml:space="preserve"> </w:t>
      </w:r>
      <w:r w:rsidRPr="00AB11B2">
        <w:t>právního</w:t>
      </w:r>
      <w:r>
        <w:t xml:space="preserve"> </w:t>
      </w:r>
      <w:r w:rsidRPr="00AB11B2">
        <w:t>jednání</w:t>
      </w:r>
      <w:r>
        <w:t xml:space="preserve"> </w:t>
      </w:r>
      <w:r w:rsidRPr="00AB11B2">
        <w:t>plnění,</w:t>
      </w:r>
      <w:r>
        <w:t xml:space="preserve"> </w:t>
      </w:r>
      <w:r w:rsidRPr="00AB11B2">
        <w:t>které</w:t>
      </w:r>
      <w:r>
        <w:t xml:space="preserve"> </w:t>
      </w:r>
      <w:r w:rsidRPr="00AB11B2">
        <w:t>neodpovídá</w:t>
      </w:r>
      <w:r>
        <w:t xml:space="preserve"> </w:t>
      </w:r>
      <w:r w:rsidRPr="00AB11B2">
        <w:t>podmínkám</w:t>
      </w:r>
      <w:r>
        <w:t xml:space="preserve"> </w:t>
      </w:r>
      <w:r w:rsidRPr="00AB11B2">
        <w:t>stanoveným</w:t>
      </w:r>
      <w:r>
        <w:t xml:space="preserve"> </w:t>
      </w:r>
      <w:r w:rsidRPr="00AB11B2">
        <w:t>v</w:t>
      </w:r>
      <w:r>
        <w:t xml:space="preserve"> </w:t>
      </w:r>
      <w:r w:rsidRPr="00AB11B2">
        <w:t>§</w:t>
      </w:r>
      <w:r>
        <w:t xml:space="preserve"> </w:t>
      </w:r>
      <w:r w:rsidRPr="00AB11B2">
        <w:t>42b</w:t>
      </w:r>
      <w:r>
        <w:t xml:space="preserve"> </w:t>
      </w:r>
      <w:r w:rsidRPr="00AB11B2">
        <w:t>odst.</w:t>
      </w:r>
      <w:r>
        <w:t xml:space="preserve"> </w:t>
      </w:r>
      <w:r w:rsidRPr="00AB11B2">
        <w:t>2,</w:t>
      </w:r>
    </w:p>
    <w:p w14:paraId="7E1389B0" w14:textId="2CBAF41B" w:rsidR="00B2710B" w:rsidRDefault="00B2710B" w:rsidP="00812ECA">
      <w:pPr>
        <w:pStyle w:val="Textparagrafu"/>
        <w:tabs>
          <w:tab w:val="left" w:pos="406"/>
          <w:tab w:val="left" w:pos="826"/>
        </w:tabs>
        <w:spacing w:before="0"/>
        <w:ind w:left="426" w:hanging="426"/>
      </w:pPr>
      <w:r w:rsidRPr="00AB11B2">
        <w:t>b)</w:t>
      </w:r>
      <w:r w:rsidR="00F378EB">
        <w:tab/>
      </w:r>
      <w:r w:rsidRPr="00AB11B2">
        <w:t>poskytne</w:t>
      </w:r>
      <w:r>
        <w:t xml:space="preserve"> </w:t>
      </w:r>
      <w:r w:rsidRPr="00AB11B2">
        <w:t>provozovateli</w:t>
      </w:r>
      <w:r>
        <w:t xml:space="preserve"> </w:t>
      </w:r>
      <w:r w:rsidRPr="00AB11B2">
        <w:t>dráhy,</w:t>
      </w:r>
      <w:r>
        <w:t xml:space="preserve"> </w:t>
      </w:r>
      <w:r w:rsidRPr="00AB11B2">
        <w:t>který</w:t>
      </w:r>
      <w:r>
        <w:t xml:space="preserve"> </w:t>
      </w:r>
      <w:r w:rsidRPr="00AB11B2">
        <w:t>je</w:t>
      </w:r>
      <w:r>
        <w:t xml:space="preserve"> </w:t>
      </w:r>
      <w:r w:rsidRPr="00AB11B2">
        <w:t>součástí</w:t>
      </w:r>
      <w:r>
        <w:t xml:space="preserve"> </w:t>
      </w:r>
      <w:r w:rsidRPr="00AB11B2">
        <w:t>téhož</w:t>
      </w:r>
      <w:r>
        <w:t xml:space="preserve"> </w:t>
      </w:r>
      <w:r w:rsidRPr="00AB11B2">
        <w:t>podniku,</w:t>
      </w:r>
      <w:r>
        <w:t xml:space="preserve"> </w:t>
      </w:r>
      <w:r w:rsidRPr="00AB11B2">
        <w:t>plnění</w:t>
      </w:r>
      <w:r>
        <w:t xml:space="preserve"> </w:t>
      </w:r>
      <w:r w:rsidRPr="00AB11B2">
        <w:t>v</w:t>
      </w:r>
      <w:r>
        <w:t xml:space="preserve"> </w:t>
      </w:r>
      <w:r w:rsidRPr="00AB11B2">
        <w:t>rozporu</w:t>
      </w:r>
      <w:r>
        <w:t xml:space="preserve"> </w:t>
      </w:r>
      <w:r w:rsidRPr="00AB11B2">
        <w:t>s</w:t>
      </w:r>
      <w:r>
        <w:t xml:space="preserve"> </w:t>
      </w:r>
      <w:r w:rsidRPr="00AB11B2">
        <w:t>§</w:t>
      </w:r>
      <w:r>
        <w:t xml:space="preserve"> </w:t>
      </w:r>
      <w:r w:rsidRPr="00AB11B2">
        <w:t>42b</w:t>
      </w:r>
      <w:r>
        <w:t xml:space="preserve"> </w:t>
      </w:r>
      <w:r w:rsidRPr="00AB11B2">
        <w:t>odst.</w:t>
      </w:r>
      <w:r>
        <w:t xml:space="preserve"> </w:t>
      </w:r>
      <w:r w:rsidRPr="00AB11B2">
        <w:t>3,</w:t>
      </w:r>
    </w:p>
    <w:p w14:paraId="4E962165" w14:textId="1FFB7C18" w:rsidR="00B2710B" w:rsidRDefault="00B2710B" w:rsidP="00812ECA">
      <w:pPr>
        <w:pStyle w:val="Textparagrafu"/>
        <w:tabs>
          <w:tab w:val="left" w:pos="406"/>
          <w:tab w:val="left" w:pos="826"/>
        </w:tabs>
        <w:spacing w:before="0"/>
        <w:ind w:left="426" w:hanging="426"/>
      </w:pPr>
      <w:r w:rsidRPr="00AB11B2">
        <w:t>c)</w:t>
      </w:r>
      <w:r w:rsidR="00F378EB">
        <w:tab/>
      </w:r>
      <w:r w:rsidRPr="00AB11B2">
        <w:t>v</w:t>
      </w:r>
      <w:r>
        <w:t xml:space="preserve"> </w:t>
      </w:r>
      <w:r w:rsidRPr="00AB11B2">
        <w:t>rozporu</w:t>
      </w:r>
      <w:r>
        <w:t xml:space="preserve"> </w:t>
      </w:r>
      <w:r w:rsidRPr="00AB11B2">
        <w:t>s</w:t>
      </w:r>
      <w:r>
        <w:t xml:space="preserve"> </w:t>
      </w:r>
      <w:r w:rsidRPr="00AB11B2">
        <w:t>§</w:t>
      </w:r>
      <w:r>
        <w:t xml:space="preserve"> </w:t>
      </w:r>
      <w:r w:rsidRPr="00AB11B2">
        <w:t>42b</w:t>
      </w:r>
      <w:r>
        <w:t xml:space="preserve"> </w:t>
      </w:r>
      <w:r w:rsidRPr="00AB11B2">
        <w:t>odst.</w:t>
      </w:r>
      <w:r>
        <w:t xml:space="preserve"> </w:t>
      </w:r>
      <w:r w:rsidRPr="00AB11B2">
        <w:t>4</w:t>
      </w:r>
      <w:r>
        <w:t xml:space="preserve"> </w:t>
      </w:r>
      <w:r w:rsidRPr="00AB11B2">
        <w:t>přistoupí</w:t>
      </w:r>
      <w:r>
        <w:t xml:space="preserve"> </w:t>
      </w:r>
      <w:r w:rsidRPr="00AB11B2">
        <w:t>k</w:t>
      </w:r>
      <w:r>
        <w:t xml:space="preserve"> </w:t>
      </w:r>
      <w:r w:rsidRPr="00AB11B2">
        <w:t>dluhu</w:t>
      </w:r>
      <w:r>
        <w:t xml:space="preserve"> </w:t>
      </w:r>
      <w:r w:rsidRPr="00AB11B2">
        <w:t>provozovatele</w:t>
      </w:r>
      <w:r>
        <w:t xml:space="preserve"> </w:t>
      </w:r>
      <w:r w:rsidRPr="00AB11B2">
        <w:t>dráhy</w:t>
      </w:r>
      <w:r>
        <w:t xml:space="preserve"> </w:t>
      </w:r>
      <w:r w:rsidRPr="00AB11B2">
        <w:t>v</w:t>
      </w:r>
      <w:r>
        <w:t xml:space="preserve"> </w:t>
      </w:r>
      <w:r w:rsidRPr="00AB11B2">
        <w:t>rámci</w:t>
      </w:r>
      <w:r>
        <w:t xml:space="preserve"> </w:t>
      </w:r>
      <w:r w:rsidRPr="00AB11B2">
        <w:t>téhož</w:t>
      </w:r>
      <w:r>
        <w:t xml:space="preserve"> </w:t>
      </w:r>
      <w:r w:rsidRPr="00AB11B2">
        <w:t>podniku,</w:t>
      </w:r>
      <w:r>
        <w:t xml:space="preserve"> </w:t>
      </w:r>
      <w:r w:rsidRPr="00AB11B2">
        <w:t>nebo</w:t>
      </w:r>
      <w:r>
        <w:t xml:space="preserve"> </w:t>
      </w:r>
      <w:r w:rsidRPr="00AB11B2">
        <w:t>tento</w:t>
      </w:r>
      <w:r>
        <w:t xml:space="preserve"> </w:t>
      </w:r>
      <w:r w:rsidRPr="00AB11B2">
        <w:t>dluh</w:t>
      </w:r>
      <w:r>
        <w:t xml:space="preserve"> </w:t>
      </w:r>
      <w:r w:rsidRPr="00AB11B2">
        <w:t>plní,</w:t>
      </w:r>
      <w:r>
        <w:t xml:space="preserve"> </w:t>
      </w:r>
      <w:r w:rsidRPr="00AB11B2">
        <w:t>převezme</w:t>
      </w:r>
      <w:r>
        <w:t xml:space="preserve"> </w:t>
      </w:r>
      <w:r w:rsidRPr="00AB11B2">
        <w:t>nebo</w:t>
      </w:r>
      <w:r>
        <w:t xml:space="preserve"> </w:t>
      </w:r>
      <w:r w:rsidRPr="00AB11B2">
        <w:t>zajistí,</w:t>
      </w:r>
      <w:r>
        <w:t xml:space="preserve"> </w:t>
      </w:r>
      <w:r w:rsidRPr="00AB11B2">
        <w:t>nebo</w:t>
      </w:r>
    </w:p>
    <w:p w14:paraId="708BEE4A" w14:textId="040301C2" w:rsidR="00B2710B" w:rsidRDefault="00B2710B" w:rsidP="00812ECA">
      <w:pPr>
        <w:pStyle w:val="Textparagrafu"/>
        <w:tabs>
          <w:tab w:val="left" w:pos="406"/>
          <w:tab w:val="left" w:pos="826"/>
        </w:tabs>
        <w:spacing w:before="0"/>
        <w:ind w:left="426" w:hanging="426"/>
      </w:pPr>
      <w:r w:rsidRPr="00AB11B2">
        <w:t>d)</w:t>
      </w:r>
      <w:r w:rsidR="00F378EB">
        <w:tab/>
      </w:r>
      <w:r w:rsidRPr="00AB11B2">
        <w:t>v</w:t>
      </w:r>
      <w:r>
        <w:t xml:space="preserve"> </w:t>
      </w:r>
      <w:r w:rsidRPr="00AB11B2">
        <w:t>rozporu</w:t>
      </w:r>
      <w:r>
        <w:t xml:space="preserve"> </w:t>
      </w:r>
      <w:r w:rsidRPr="00AB11B2">
        <w:t>s</w:t>
      </w:r>
      <w:r>
        <w:t xml:space="preserve"> </w:t>
      </w:r>
      <w:r w:rsidRPr="00AB11B2">
        <w:t>§</w:t>
      </w:r>
      <w:r>
        <w:t xml:space="preserve"> </w:t>
      </w:r>
      <w:r w:rsidRPr="00AB11B2">
        <w:t>42b</w:t>
      </w:r>
      <w:r>
        <w:t xml:space="preserve"> </w:t>
      </w:r>
      <w:r w:rsidRPr="00AB11B2">
        <w:t>odst.</w:t>
      </w:r>
      <w:r>
        <w:t xml:space="preserve"> </w:t>
      </w:r>
      <w:r w:rsidRPr="00AB11B2">
        <w:t>5</w:t>
      </w:r>
      <w:r>
        <w:t xml:space="preserve"> </w:t>
      </w:r>
      <w:proofErr w:type="gramStart"/>
      <w:r w:rsidRPr="003853BE">
        <w:rPr>
          <w:strike/>
        </w:rPr>
        <w:t>nevede</w:t>
      </w:r>
      <w:proofErr w:type="gramEnd"/>
      <w:r w:rsidRPr="003853BE">
        <w:rPr>
          <w:strike/>
        </w:rPr>
        <w:t xml:space="preserve"> oddělené účetnictví</w:t>
      </w:r>
      <w:r w:rsidR="003853BE" w:rsidRPr="003853BE">
        <w:rPr>
          <w:b/>
          <w:bCs/>
        </w:rPr>
        <w:t xml:space="preserve"> </w:t>
      </w:r>
      <w:proofErr w:type="gramStart"/>
      <w:r w:rsidR="003853BE">
        <w:rPr>
          <w:b/>
          <w:bCs/>
        </w:rPr>
        <w:t>nesleduje</w:t>
      </w:r>
      <w:proofErr w:type="gramEnd"/>
      <w:r w:rsidR="003853BE">
        <w:rPr>
          <w:b/>
          <w:bCs/>
        </w:rPr>
        <w:t xml:space="preserve"> v účetním systému účetní záznamy odděleně</w:t>
      </w:r>
      <w:r w:rsidRPr="00AB11B2">
        <w:t>.</w:t>
      </w:r>
    </w:p>
    <w:p w14:paraId="43417B7A" w14:textId="77777777" w:rsidR="00B2710B" w:rsidRDefault="00B2710B" w:rsidP="00CE2C91">
      <w:pPr>
        <w:pStyle w:val="Textparagrafu"/>
        <w:tabs>
          <w:tab w:val="left" w:pos="406"/>
          <w:tab w:val="left" w:pos="826"/>
        </w:tabs>
        <w:spacing w:before="120" w:after="120"/>
      </w:pPr>
      <w:r w:rsidRPr="00AB11B2">
        <w:t>(9)</w:t>
      </w:r>
      <w:r>
        <w:t xml:space="preserve"> </w:t>
      </w:r>
      <w:r w:rsidRPr="00AB11B2">
        <w:t>Právnická</w:t>
      </w:r>
      <w:r>
        <w:t xml:space="preserve"> </w:t>
      </w:r>
      <w:r w:rsidRPr="00AB11B2">
        <w:t>nebo</w:t>
      </w:r>
      <w:r>
        <w:t xml:space="preserve"> </w:t>
      </w:r>
      <w:r w:rsidRPr="00AB11B2">
        <w:t>podnikající</w:t>
      </w:r>
      <w:r>
        <w:t xml:space="preserve"> </w:t>
      </w:r>
      <w:r w:rsidRPr="00AB11B2">
        <w:t>fyzická</w:t>
      </w:r>
      <w:r>
        <w:t xml:space="preserve"> </w:t>
      </w:r>
      <w:r w:rsidRPr="00AB11B2">
        <w:t>osoba</w:t>
      </w:r>
      <w:r>
        <w:t xml:space="preserve"> </w:t>
      </w:r>
      <w:r w:rsidRPr="00AB11B2">
        <w:t>se</w:t>
      </w:r>
      <w:r>
        <w:t xml:space="preserve"> </w:t>
      </w:r>
      <w:r w:rsidRPr="00AB11B2">
        <w:t>jako</w:t>
      </w:r>
      <w:r>
        <w:t xml:space="preserve"> </w:t>
      </w:r>
      <w:r w:rsidRPr="00AB11B2">
        <w:t>provozovatel</w:t>
      </w:r>
      <w:r>
        <w:t xml:space="preserve"> </w:t>
      </w:r>
      <w:r w:rsidRPr="00AB11B2">
        <w:t>zařízení</w:t>
      </w:r>
      <w:r>
        <w:t xml:space="preserve"> </w:t>
      </w:r>
      <w:r w:rsidRPr="00AB11B2">
        <w:t>služeb</w:t>
      </w:r>
      <w:r>
        <w:t xml:space="preserve"> </w:t>
      </w:r>
      <w:r w:rsidRPr="00AB11B2">
        <w:t>dopustí</w:t>
      </w:r>
      <w:r>
        <w:t xml:space="preserve"> </w:t>
      </w:r>
      <w:r w:rsidRPr="00AB11B2">
        <w:t>přestupku</w:t>
      </w:r>
      <w:r>
        <w:t xml:space="preserve"> </w:t>
      </w:r>
      <w:r w:rsidRPr="00AB11B2">
        <w:t>tím,</w:t>
      </w:r>
      <w:r>
        <w:t xml:space="preserve"> </w:t>
      </w:r>
      <w:r w:rsidRPr="00AB11B2">
        <w:t>že</w:t>
      </w:r>
    </w:p>
    <w:p w14:paraId="422AD50E" w14:textId="7B9A990F" w:rsidR="00B2710B" w:rsidRDefault="00B2710B" w:rsidP="00812ECA">
      <w:pPr>
        <w:pStyle w:val="Textparagrafu"/>
        <w:tabs>
          <w:tab w:val="left" w:pos="406"/>
          <w:tab w:val="left" w:pos="826"/>
        </w:tabs>
        <w:spacing w:before="0"/>
        <w:ind w:left="426" w:hanging="426"/>
      </w:pPr>
      <w:r w:rsidRPr="00AB11B2">
        <w:t>a)</w:t>
      </w:r>
      <w:r w:rsidR="00F378EB">
        <w:tab/>
      </w:r>
      <w:r w:rsidRPr="00AB11B2">
        <w:t>v</w:t>
      </w:r>
      <w:r>
        <w:t xml:space="preserve"> </w:t>
      </w:r>
      <w:r w:rsidRPr="00AB11B2">
        <w:t>rozporu</w:t>
      </w:r>
      <w:r>
        <w:t xml:space="preserve"> </w:t>
      </w:r>
      <w:r w:rsidRPr="00AB11B2">
        <w:t>s</w:t>
      </w:r>
      <w:r>
        <w:t xml:space="preserve"> </w:t>
      </w:r>
      <w:r w:rsidRPr="00AB11B2">
        <w:t>§</w:t>
      </w:r>
      <w:r>
        <w:t xml:space="preserve"> </w:t>
      </w:r>
      <w:r w:rsidRPr="00AB11B2">
        <w:t>23d</w:t>
      </w:r>
      <w:r>
        <w:t xml:space="preserve"> </w:t>
      </w:r>
      <w:r w:rsidRPr="00AB11B2">
        <w:t>odst.</w:t>
      </w:r>
      <w:r>
        <w:t xml:space="preserve"> </w:t>
      </w:r>
      <w:r w:rsidRPr="00AB11B2">
        <w:t>1</w:t>
      </w:r>
      <w:r>
        <w:t xml:space="preserve"> </w:t>
      </w:r>
      <w:r w:rsidRPr="00AB11B2">
        <w:t>neposkytne</w:t>
      </w:r>
      <w:r>
        <w:t xml:space="preserve"> </w:t>
      </w:r>
      <w:r w:rsidRPr="00AB11B2">
        <w:t>dopravci</w:t>
      </w:r>
      <w:r>
        <w:t xml:space="preserve"> </w:t>
      </w:r>
      <w:r w:rsidRPr="00AB11B2">
        <w:t>službu</w:t>
      </w:r>
      <w:r>
        <w:t xml:space="preserve"> </w:t>
      </w:r>
      <w:r w:rsidRPr="00AB11B2">
        <w:t>bezprostředně</w:t>
      </w:r>
      <w:r>
        <w:t xml:space="preserve"> </w:t>
      </w:r>
      <w:r w:rsidRPr="00AB11B2">
        <w:t>související</w:t>
      </w:r>
      <w:r>
        <w:t xml:space="preserve"> </w:t>
      </w:r>
      <w:r w:rsidRPr="00AB11B2">
        <w:t>s</w:t>
      </w:r>
      <w:r>
        <w:t xml:space="preserve"> </w:t>
      </w:r>
      <w:r w:rsidRPr="00AB11B2">
        <w:t>provozováním</w:t>
      </w:r>
      <w:r>
        <w:t xml:space="preserve"> </w:t>
      </w:r>
      <w:r w:rsidRPr="00AB11B2">
        <w:t>drážní</w:t>
      </w:r>
      <w:r>
        <w:t xml:space="preserve"> </w:t>
      </w:r>
      <w:r w:rsidRPr="00AB11B2">
        <w:t>dopravy</w:t>
      </w:r>
      <w:r>
        <w:t xml:space="preserve"> </w:t>
      </w:r>
      <w:r w:rsidRPr="00AB11B2">
        <w:t>nebo</w:t>
      </w:r>
      <w:r>
        <w:t xml:space="preserve"> </w:t>
      </w:r>
      <w:r w:rsidRPr="00AB11B2">
        <w:t>ji</w:t>
      </w:r>
      <w:r>
        <w:t xml:space="preserve"> </w:t>
      </w:r>
      <w:r w:rsidRPr="00AB11B2">
        <w:t>poskytne</w:t>
      </w:r>
      <w:r>
        <w:t xml:space="preserve"> </w:t>
      </w:r>
      <w:r w:rsidRPr="00AB11B2">
        <w:t>diskriminačním</w:t>
      </w:r>
      <w:r>
        <w:t xml:space="preserve"> </w:t>
      </w:r>
      <w:r w:rsidRPr="00AB11B2">
        <w:t>způsobem,</w:t>
      </w:r>
    </w:p>
    <w:p w14:paraId="003C5CD8" w14:textId="063640E3" w:rsidR="00B2710B" w:rsidRDefault="00B2710B" w:rsidP="00812ECA">
      <w:pPr>
        <w:pStyle w:val="Textparagrafu"/>
        <w:tabs>
          <w:tab w:val="left" w:pos="406"/>
          <w:tab w:val="left" w:pos="826"/>
        </w:tabs>
        <w:spacing w:before="0"/>
        <w:ind w:left="426" w:hanging="426"/>
      </w:pPr>
      <w:r w:rsidRPr="00AB11B2">
        <w:t>b)</w:t>
      </w:r>
      <w:r w:rsidR="00F378EB">
        <w:tab/>
      </w:r>
      <w:r w:rsidRPr="00AB11B2">
        <w:t>v</w:t>
      </w:r>
      <w:r>
        <w:t xml:space="preserve"> </w:t>
      </w:r>
      <w:r w:rsidRPr="00AB11B2">
        <w:t>rozporu</w:t>
      </w:r>
      <w:r>
        <w:t xml:space="preserve"> </w:t>
      </w:r>
      <w:r w:rsidRPr="00AB11B2">
        <w:t>s</w:t>
      </w:r>
      <w:r>
        <w:t xml:space="preserve"> </w:t>
      </w:r>
      <w:r w:rsidRPr="00AB11B2">
        <w:t>§</w:t>
      </w:r>
      <w:r>
        <w:t xml:space="preserve"> </w:t>
      </w:r>
      <w:r w:rsidRPr="00AB11B2">
        <w:t>23f</w:t>
      </w:r>
      <w:r>
        <w:t xml:space="preserve"> </w:t>
      </w:r>
      <w:r w:rsidRPr="00AB11B2">
        <w:t>odst.</w:t>
      </w:r>
      <w:r>
        <w:t xml:space="preserve"> </w:t>
      </w:r>
      <w:r w:rsidRPr="00AB11B2">
        <w:t>1</w:t>
      </w:r>
      <w:r>
        <w:t xml:space="preserve"> </w:t>
      </w:r>
      <w:r w:rsidRPr="00AB11B2">
        <w:t>nezajistí,</w:t>
      </w:r>
      <w:r>
        <w:t xml:space="preserve"> </w:t>
      </w:r>
      <w:r w:rsidRPr="00AB11B2">
        <w:t>aby</w:t>
      </w:r>
      <w:r>
        <w:t xml:space="preserve"> </w:t>
      </w:r>
      <w:r w:rsidRPr="00AB11B2">
        <w:t>služby</w:t>
      </w:r>
      <w:r>
        <w:t xml:space="preserve"> </w:t>
      </w:r>
      <w:r w:rsidRPr="00AB11B2">
        <w:t>poskytované</w:t>
      </w:r>
      <w:r>
        <w:t xml:space="preserve"> </w:t>
      </w:r>
      <w:r w:rsidRPr="00AB11B2">
        <w:t>prostřednictvím</w:t>
      </w:r>
      <w:r>
        <w:t xml:space="preserve"> </w:t>
      </w:r>
      <w:r w:rsidRPr="00AB11B2">
        <w:t>zařízení</w:t>
      </w:r>
      <w:r>
        <w:t xml:space="preserve"> </w:t>
      </w:r>
      <w:r w:rsidRPr="00AB11B2">
        <w:t>služeb</w:t>
      </w:r>
      <w:r>
        <w:t xml:space="preserve"> </w:t>
      </w:r>
      <w:r w:rsidRPr="00AB11B2">
        <w:t>byly</w:t>
      </w:r>
      <w:r>
        <w:t xml:space="preserve"> </w:t>
      </w:r>
      <w:r w:rsidRPr="00AB11B2">
        <w:t>poskytovány</w:t>
      </w:r>
      <w:r>
        <w:t xml:space="preserve"> </w:t>
      </w:r>
      <w:r w:rsidRPr="00AB11B2">
        <w:t>v</w:t>
      </w:r>
      <w:r>
        <w:t xml:space="preserve"> </w:t>
      </w:r>
      <w:r w:rsidRPr="00AB11B2">
        <w:t>rámci</w:t>
      </w:r>
      <w:r>
        <w:t xml:space="preserve"> </w:t>
      </w:r>
      <w:r w:rsidRPr="00AB11B2">
        <w:t>pobočky,</w:t>
      </w:r>
      <w:r>
        <w:t xml:space="preserve"> </w:t>
      </w:r>
      <w:r w:rsidRPr="00AB11B2">
        <w:t>nebo</w:t>
      </w:r>
    </w:p>
    <w:p w14:paraId="26C28D62" w14:textId="01B4E90C" w:rsidR="00B2710B" w:rsidRDefault="00B2710B" w:rsidP="00812ECA">
      <w:pPr>
        <w:pStyle w:val="Textparagrafu"/>
        <w:tabs>
          <w:tab w:val="left" w:pos="406"/>
          <w:tab w:val="left" w:pos="826"/>
        </w:tabs>
        <w:spacing w:before="0"/>
        <w:ind w:left="426" w:hanging="426"/>
      </w:pPr>
      <w:r w:rsidRPr="00AB11B2">
        <w:lastRenderedPageBreak/>
        <w:t>c)</w:t>
      </w:r>
      <w:r w:rsidR="00F378EB">
        <w:tab/>
      </w:r>
      <w:r w:rsidRPr="00AB11B2">
        <w:t>v</w:t>
      </w:r>
      <w:r>
        <w:t xml:space="preserve"> </w:t>
      </w:r>
      <w:r w:rsidRPr="00AB11B2">
        <w:t>rozporu</w:t>
      </w:r>
      <w:r>
        <w:t xml:space="preserve"> </w:t>
      </w:r>
      <w:r w:rsidRPr="00AB11B2">
        <w:t>s</w:t>
      </w:r>
      <w:r>
        <w:t xml:space="preserve"> </w:t>
      </w:r>
      <w:r w:rsidRPr="00AB11B2">
        <w:t>§</w:t>
      </w:r>
      <w:r>
        <w:t xml:space="preserve"> </w:t>
      </w:r>
      <w:r w:rsidRPr="00AB11B2">
        <w:t>23f</w:t>
      </w:r>
      <w:r>
        <w:t xml:space="preserve"> </w:t>
      </w:r>
      <w:r w:rsidRPr="00AB11B2">
        <w:t>odst.</w:t>
      </w:r>
      <w:r>
        <w:t xml:space="preserve"> </w:t>
      </w:r>
      <w:r w:rsidRPr="00AB11B2">
        <w:t>2</w:t>
      </w:r>
      <w:r>
        <w:t xml:space="preserve"> </w:t>
      </w:r>
      <w:r w:rsidRPr="00AB11B2">
        <w:t>nezajistí,</w:t>
      </w:r>
      <w:r>
        <w:t xml:space="preserve"> </w:t>
      </w:r>
      <w:r w:rsidRPr="00AB11B2">
        <w:t>aby</w:t>
      </w:r>
      <w:r>
        <w:t xml:space="preserve"> </w:t>
      </w:r>
      <w:r w:rsidRPr="003853BE">
        <w:rPr>
          <w:strike/>
        </w:rPr>
        <w:t>o poskytování služeb prostřednictvím zařízení služeb bylo vedeno oddělené účtování</w:t>
      </w:r>
      <w:r w:rsidR="003853BE" w:rsidRPr="003853BE">
        <w:rPr>
          <w:b/>
          <w:bCs/>
        </w:rPr>
        <w:t xml:space="preserve"> </w:t>
      </w:r>
      <w:r w:rsidR="003853BE">
        <w:rPr>
          <w:b/>
          <w:bCs/>
        </w:rPr>
        <w:t>poskytování služeb prostřednictvím zařízení služeb bylo sledováno v účetním systému odděleně</w:t>
      </w:r>
      <w:r w:rsidRPr="00AB11B2">
        <w:t>.</w:t>
      </w:r>
    </w:p>
    <w:p w14:paraId="10B6A3F3" w14:textId="77777777" w:rsidR="00B2710B" w:rsidRDefault="00B2710B" w:rsidP="00CE2C91">
      <w:pPr>
        <w:pStyle w:val="Textparagrafu"/>
        <w:tabs>
          <w:tab w:val="left" w:pos="406"/>
          <w:tab w:val="left" w:pos="826"/>
        </w:tabs>
        <w:spacing w:before="120" w:after="120"/>
      </w:pPr>
      <w:r w:rsidRPr="00AB11B2">
        <w:t>(10)</w:t>
      </w:r>
      <w:r>
        <w:t xml:space="preserve"> </w:t>
      </w:r>
      <w:r w:rsidRPr="00AB11B2">
        <w:t>Za</w:t>
      </w:r>
      <w:r>
        <w:t xml:space="preserve"> </w:t>
      </w:r>
      <w:r w:rsidRPr="00AB11B2">
        <w:t>přestupek</w:t>
      </w:r>
      <w:r>
        <w:t xml:space="preserve"> </w:t>
      </w:r>
      <w:r w:rsidRPr="00AB11B2">
        <w:t>lze</w:t>
      </w:r>
      <w:r>
        <w:t xml:space="preserve"> </w:t>
      </w:r>
      <w:r w:rsidRPr="00AB11B2">
        <w:t>uložit</w:t>
      </w:r>
      <w:r>
        <w:t xml:space="preserve"> </w:t>
      </w:r>
      <w:r w:rsidRPr="00AB11B2">
        <w:t>pokutu</w:t>
      </w:r>
      <w:r>
        <w:t xml:space="preserve"> </w:t>
      </w:r>
      <w:r w:rsidRPr="00AB11B2">
        <w:t>do</w:t>
      </w:r>
    </w:p>
    <w:p w14:paraId="49BC5DBF" w14:textId="577A68F7" w:rsidR="00B2710B" w:rsidRDefault="00B2710B" w:rsidP="00812ECA">
      <w:pPr>
        <w:pStyle w:val="Textparagrafu"/>
        <w:tabs>
          <w:tab w:val="left" w:pos="406"/>
          <w:tab w:val="left" w:pos="826"/>
        </w:tabs>
        <w:spacing w:before="0"/>
        <w:ind w:left="426" w:hanging="426"/>
      </w:pPr>
      <w:r w:rsidRPr="00AB11B2">
        <w:t>a)</w:t>
      </w:r>
      <w:r w:rsidR="00F378EB">
        <w:tab/>
      </w:r>
      <w:r w:rsidRPr="00AB11B2">
        <w:t>10</w:t>
      </w:r>
      <w:r>
        <w:t xml:space="preserve"> </w:t>
      </w:r>
      <w:r w:rsidRPr="00AB11B2">
        <w:t>000</w:t>
      </w:r>
      <w:r>
        <w:t xml:space="preserve"> </w:t>
      </w:r>
      <w:r w:rsidRPr="00AB11B2">
        <w:t>Kč,</w:t>
      </w:r>
      <w:r>
        <w:t xml:space="preserve"> </w:t>
      </w:r>
      <w:r w:rsidRPr="00AB11B2">
        <w:t>jde-li</w:t>
      </w:r>
      <w:r>
        <w:t xml:space="preserve"> </w:t>
      </w:r>
      <w:r w:rsidRPr="00AB11B2">
        <w:t>o</w:t>
      </w:r>
      <w:r>
        <w:t xml:space="preserve"> </w:t>
      </w:r>
      <w:r w:rsidRPr="00AB11B2">
        <w:t>přestupek</w:t>
      </w:r>
      <w:r>
        <w:t xml:space="preserve"> </w:t>
      </w:r>
      <w:r w:rsidRPr="00AB11B2">
        <w:t>podle</w:t>
      </w:r>
      <w:r>
        <w:t xml:space="preserve"> </w:t>
      </w:r>
      <w:r w:rsidRPr="00AB11B2">
        <w:t>odstavce</w:t>
      </w:r>
      <w:r>
        <w:t xml:space="preserve"> </w:t>
      </w:r>
      <w:r w:rsidRPr="00AB11B2">
        <w:t>1</w:t>
      </w:r>
      <w:r>
        <w:t xml:space="preserve"> </w:t>
      </w:r>
      <w:r w:rsidRPr="00AB11B2">
        <w:t>písm.</w:t>
      </w:r>
      <w:r>
        <w:t xml:space="preserve"> </w:t>
      </w:r>
      <w:r w:rsidRPr="00AB11B2">
        <w:t>l),</w:t>
      </w:r>
    </w:p>
    <w:p w14:paraId="5A653244" w14:textId="0B13CB24" w:rsidR="00B2710B" w:rsidRDefault="00B2710B" w:rsidP="00812ECA">
      <w:pPr>
        <w:pStyle w:val="Textparagrafu"/>
        <w:tabs>
          <w:tab w:val="left" w:pos="406"/>
          <w:tab w:val="left" w:pos="826"/>
        </w:tabs>
        <w:spacing w:before="0"/>
        <w:ind w:left="426" w:hanging="426"/>
      </w:pPr>
      <w:r w:rsidRPr="00AB11B2">
        <w:t>b)</w:t>
      </w:r>
      <w:r w:rsidR="00F378EB">
        <w:tab/>
      </w:r>
      <w:r w:rsidRPr="00AB11B2">
        <w:t>100</w:t>
      </w:r>
      <w:r>
        <w:t xml:space="preserve"> </w:t>
      </w:r>
      <w:r w:rsidRPr="00AB11B2">
        <w:t>000</w:t>
      </w:r>
      <w:r>
        <w:t xml:space="preserve"> </w:t>
      </w:r>
      <w:r w:rsidRPr="00AB11B2">
        <w:t>Kč,</w:t>
      </w:r>
      <w:r>
        <w:t xml:space="preserve"> </w:t>
      </w:r>
      <w:r w:rsidRPr="00AB11B2">
        <w:t>jde-li</w:t>
      </w:r>
      <w:r>
        <w:t xml:space="preserve"> </w:t>
      </w:r>
      <w:r w:rsidRPr="00AB11B2">
        <w:t>o</w:t>
      </w:r>
      <w:r>
        <w:t xml:space="preserve"> </w:t>
      </w:r>
      <w:r w:rsidRPr="00AB11B2">
        <w:t>přestupek</w:t>
      </w:r>
      <w:r>
        <w:t xml:space="preserve"> </w:t>
      </w:r>
      <w:r w:rsidRPr="00AB11B2">
        <w:t>podle</w:t>
      </w:r>
      <w:r>
        <w:t xml:space="preserve"> </w:t>
      </w:r>
      <w:r w:rsidRPr="00AB11B2">
        <w:t>odstavce</w:t>
      </w:r>
      <w:r>
        <w:t xml:space="preserve"> </w:t>
      </w:r>
      <w:r w:rsidRPr="00AB11B2">
        <w:t>1</w:t>
      </w:r>
      <w:r>
        <w:t xml:space="preserve"> </w:t>
      </w:r>
      <w:r w:rsidRPr="00AB11B2">
        <w:t>písm.</w:t>
      </w:r>
      <w:r>
        <w:t xml:space="preserve"> </w:t>
      </w:r>
      <w:r w:rsidRPr="00AB11B2">
        <w:t>z),</w:t>
      </w:r>
    </w:p>
    <w:p w14:paraId="77463849" w14:textId="68010DFA" w:rsidR="00B2710B" w:rsidRDefault="00B2710B" w:rsidP="00812ECA">
      <w:pPr>
        <w:pStyle w:val="Textparagrafu"/>
        <w:tabs>
          <w:tab w:val="left" w:pos="406"/>
          <w:tab w:val="left" w:pos="826"/>
        </w:tabs>
        <w:spacing w:before="0"/>
        <w:ind w:left="426" w:hanging="426"/>
      </w:pPr>
      <w:r w:rsidRPr="00AB11B2">
        <w:t>c)</w:t>
      </w:r>
      <w:r w:rsidR="00F378EB">
        <w:tab/>
      </w:r>
      <w:r w:rsidRPr="00AB11B2">
        <w:t>200</w:t>
      </w:r>
      <w:r>
        <w:t xml:space="preserve"> </w:t>
      </w:r>
      <w:r w:rsidRPr="00AB11B2">
        <w:t>000</w:t>
      </w:r>
      <w:r>
        <w:t xml:space="preserve"> </w:t>
      </w:r>
      <w:r w:rsidRPr="00AB11B2">
        <w:t>Kč,</w:t>
      </w:r>
      <w:r>
        <w:t xml:space="preserve"> </w:t>
      </w:r>
      <w:r w:rsidRPr="00AB11B2">
        <w:t>jde-li</w:t>
      </w:r>
      <w:r>
        <w:t xml:space="preserve"> </w:t>
      </w:r>
      <w:r w:rsidRPr="00AB11B2">
        <w:t>o</w:t>
      </w:r>
      <w:r>
        <w:t xml:space="preserve"> </w:t>
      </w:r>
      <w:r w:rsidRPr="00AB11B2">
        <w:t>přestupek</w:t>
      </w:r>
      <w:r>
        <w:t xml:space="preserve"> </w:t>
      </w:r>
      <w:r w:rsidRPr="00AB11B2">
        <w:t>podle</w:t>
      </w:r>
      <w:r>
        <w:t xml:space="preserve"> </w:t>
      </w:r>
      <w:r w:rsidRPr="00AB11B2">
        <w:t>odstavce</w:t>
      </w:r>
      <w:r>
        <w:t xml:space="preserve"> </w:t>
      </w:r>
      <w:r w:rsidRPr="00AB11B2">
        <w:t>1</w:t>
      </w:r>
      <w:r>
        <w:t xml:space="preserve"> </w:t>
      </w:r>
      <w:r w:rsidRPr="00AB11B2">
        <w:t>písm.</w:t>
      </w:r>
      <w:r>
        <w:t xml:space="preserve"> </w:t>
      </w:r>
      <w:r w:rsidRPr="00AB11B2">
        <w:t>m)</w:t>
      </w:r>
      <w:r>
        <w:t xml:space="preserve"> </w:t>
      </w:r>
      <w:r w:rsidRPr="00AB11B2">
        <w:t>bodu</w:t>
      </w:r>
      <w:r>
        <w:t xml:space="preserve"> </w:t>
      </w:r>
      <w:r w:rsidRPr="00AB11B2">
        <w:t>3</w:t>
      </w:r>
      <w:r>
        <w:t xml:space="preserve"> </w:t>
      </w:r>
      <w:r w:rsidRPr="00AB11B2">
        <w:t>nebo</w:t>
      </w:r>
      <w:r>
        <w:t xml:space="preserve"> </w:t>
      </w:r>
      <w:r w:rsidRPr="00AB11B2">
        <w:t>písm.</w:t>
      </w:r>
      <w:r>
        <w:t xml:space="preserve"> </w:t>
      </w:r>
      <w:r w:rsidRPr="00AB11B2">
        <w:t>u)</w:t>
      </w:r>
      <w:r>
        <w:t xml:space="preserve"> </w:t>
      </w:r>
      <w:r w:rsidRPr="00AB11B2">
        <w:t>bodu</w:t>
      </w:r>
      <w:r>
        <w:t xml:space="preserve"> </w:t>
      </w:r>
      <w:r w:rsidRPr="00AB11B2">
        <w:t>3,</w:t>
      </w:r>
      <w:r>
        <w:t xml:space="preserve"> </w:t>
      </w:r>
      <w:r w:rsidRPr="00AB11B2">
        <w:t>odstavce</w:t>
      </w:r>
      <w:r>
        <w:t xml:space="preserve"> </w:t>
      </w:r>
      <w:r w:rsidRPr="00AB11B2">
        <w:t>4</w:t>
      </w:r>
      <w:r>
        <w:t xml:space="preserve"> </w:t>
      </w:r>
      <w:r w:rsidRPr="00AB11B2">
        <w:t>písm.</w:t>
      </w:r>
      <w:r>
        <w:t xml:space="preserve"> </w:t>
      </w:r>
      <w:r w:rsidRPr="00AB11B2">
        <w:t>o),</w:t>
      </w:r>
      <w:r>
        <w:t xml:space="preserve"> </w:t>
      </w:r>
      <w:r w:rsidRPr="00AB11B2">
        <w:t>q),</w:t>
      </w:r>
      <w:r>
        <w:t xml:space="preserve"> </w:t>
      </w:r>
      <w:r w:rsidRPr="00AB11B2">
        <w:t>r)</w:t>
      </w:r>
      <w:r>
        <w:t xml:space="preserve"> </w:t>
      </w:r>
      <w:r w:rsidRPr="00AB11B2">
        <w:t>nebo</w:t>
      </w:r>
      <w:r>
        <w:t xml:space="preserve"> </w:t>
      </w:r>
      <w:r w:rsidRPr="00AB11B2">
        <w:t>w)</w:t>
      </w:r>
      <w:r>
        <w:t xml:space="preserve"> </w:t>
      </w:r>
      <w:r w:rsidRPr="00AB11B2">
        <w:t>nebo</w:t>
      </w:r>
      <w:r>
        <w:t xml:space="preserve"> </w:t>
      </w:r>
      <w:r w:rsidRPr="00AB11B2">
        <w:t>odstavce</w:t>
      </w:r>
      <w:r>
        <w:t xml:space="preserve"> </w:t>
      </w:r>
      <w:r w:rsidRPr="00AB11B2">
        <w:t>5</w:t>
      </w:r>
      <w:r>
        <w:t xml:space="preserve"> </w:t>
      </w:r>
      <w:r w:rsidRPr="00AB11B2">
        <w:t>písm.</w:t>
      </w:r>
      <w:r>
        <w:t xml:space="preserve"> </w:t>
      </w:r>
      <w:r w:rsidRPr="00AB11B2">
        <w:t>b),</w:t>
      </w:r>
      <w:r>
        <w:t xml:space="preserve"> </w:t>
      </w:r>
      <w:r w:rsidRPr="00AB11B2">
        <w:t>c),</w:t>
      </w:r>
      <w:r>
        <w:t xml:space="preserve"> </w:t>
      </w:r>
      <w:r w:rsidRPr="00AB11B2">
        <w:t>h),</w:t>
      </w:r>
      <w:r>
        <w:t xml:space="preserve"> </w:t>
      </w:r>
      <w:r w:rsidRPr="00AB11B2">
        <w:t>o),</w:t>
      </w:r>
      <w:r>
        <w:t xml:space="preserve"> </w:t>
      </w:r>
      <w:r w:rsidRPr="00AB11B2">
        <w:t>q),</w:t>
      </w:r>
      <w:r>
        <w:t xml:space="preserve"> </w:t>
      </w:r>
      <w:r w:rsidRPr="00AB11B2">
        <w:t>s)</w:t>
      </w:r>
      <w:r>
        <w:t xml:space="preserve"> </w:t>
      </w:r>
      <w:r w:rsidRPr="00AB11B2">
        <w:t>nebo</w:t>
      </w:r>
      <w:r>
        <w:t xml:space="preserve"> </w:t>
      </w:r>
      <w:r w:rsidRPr="00AB11B2">
        <w:t>t),</w:t>
      </w:r>
    </w:p>
    <w:p w14:paraId="5BEA43B3" w14:textId="191B70DA" w:rsidR="00B2710B" w:rsidRDefault="00B2710B" w:rsidP="00812ECA">
      <w:pPr>
        <w:pStyle w:val="Textparagrafu"/>
        <w:tabs>
          <w:tab w:val="left" w:pos="406"/>
          <w:tab w:val="left" w:pos="826"/>
        </w:tabs>
        <w:spacing w:before="0"/>
        <w:ind w:left="426" w:hanging="426"/>
      </w:pPr>
      <w:r w:rsidRPr="00AB11B2">
        <w:t>d)</w:t>
      </w:r>
      <w:r w:rsidR="00F378EB">
        <w:tab/>
      </w:r>
      <w:r w:rsidRPr="00AB11B2">
        <w:t>1</w:t>
      </w:r>
      <w:r>
        <w:t xml:space="preserve"> </w:t>
      </w:r>
      <w:r w:rsidRPr="00AB11B2">
        <w:t>000</w:t>
      </w:r>
      <w:r>
        <w:t xml:space="preserve"> </w:t>
      </w:r>
      <w:r w:rsidRPr="00AB11B2">
        <w:t>000</w:t>
      </w:r>
      <w:r>
        <w:t xml:space="preserve"> </w:t>
      </w:r>
      <w:r w:rsidRPr="00AB11B2">
        <w:t>Kč,</w:t>
      </w:r>
      <w:r>
        <w:t xml:space="preserve"> </w:t>
      </w:r>
      <w:r w:rsidRPr="00AB11B2">
        <w:t>jde-li</w:t>
      </w:r>
      <w:r>
        <w:t xml:space="preserve"> </w:t>
      </w:r>
      <w:r w:rsidRPr="00AB11B2">
        <w:t>o</w:t>
      </w:r>
      <w:r>
        <w:t xml:space="preserve"> </w:t>
      </w:r>
      <w:r w:rsidRPr="00AB11B2">
        <w:t>přestupek</w:t>
      </w:r>
      <w:r>
        <w:t xml:space="preserve"> </w:t>
      </w:r>
      <w:r w:rsidRPr="00AB11B2">
        <w:t>podle</w:t>
      </w:r>
      <w:r>
        <w:t xml:space="preserve"> </w:t>
      </w:r>
      <w:r w:rsidRPr="00AB11B2">
        <w:t>odstavce</w:t>
      </w:r>
      <w:r>
        <w:t xml:space="preserve"> </w:t>
      </w:r>
      <w:r w:rsidRPr="00AB11B2">
        <w:t>1</w:t>
      </w:r>
      <w:r>
        <w:t xml:space="preserve"> </w:t>
      </w:r>
      <w:r w:rsidRPr="00AB11B2">
        <w:t>písm.</w:t>
      </w:r>
      <w:r>
        <w:t xml:space="preserve"> </w:t>
      </w:r>
      <w:r w:rsidRPr="00AB11B2">
        <w:t>d),</w:t>
      </w:r>
      <w:r>
        <w:t xml:space="preserve"> </w:t>
      </w:r>
      <w:r w:rsidRPr="00AB11B2">
        <w:t>f),</w:t>
      </w:r>
      <w:r>
        <w:t xml:space="preserve"> </w:t>
      </w:r>
      <w:r w:rsidRPr="00AB11B2">
        <w:t>g),</w:t>
      </w:r>
      <w:r>
        <w:t xml:space="preserve"> </w:t>
      </w:r>
      <w:r w:rsidRPr="00AB11B2">
        <w:t>j),</w:t>
      </w:r>
      <w:r>
        <w:t xml:space="preserve"> </w:t>
      </w:r>
      <w:r w:rsidRPr="00AB11B2">
        <w:t>n),</w:t>
      </w:r>
      <w:r>
        <w:t xml:space="preserve"> </w:t>
      </w:r>
      <w:r w:rsidRPr="00AB11B2">
        <w:t>p),</w:t>
      </w:r>
      <w:r>
        <w:t xml:space="preserve"> </w:t>
      </w:r>
      <w:r w:rsidRPr="00AB11B2">
        <w:t>t),</w:t>
      </w:r>
      <w:r>
        <w:t xml:space="preserve"> </w:t>
      </w:r>
      <w:r w:rsidRPr="00AB11B2">
        <w:t>písm.</w:t>
      </w:r>
      <w:r>
        <w:t xml:space="preserve"> </w:t>
      </w:r>
      <w:r w:rsidRPr="00AB11B2">
        <w:t>u)</w:t>
      </w:r>
      <w:r>
        <w:t xml:space="preserve"> </w:t>
      </w:r>
      <w:r w:rsidRPr="00AB11B2">
        <w:t>bodu</w:t>
      </w:r>
      <w:r>
        <w:t xml:space="preserve"> </w:t>
      </w:r>
      <w:r w:rsidRPr="00AB11B2">
        <w:t>1</w:t>
      </w:r>
      <w:r>
        <w:t xml:space="preserve"> </w:t>
      </w:r>
      <w:r w:rsidRPr="00AB11B2">
        <w:t>nebo</w:t>
      </w:r>
      <w:r>
        <w:t xml:space="preserve"> </w:t>
      </w:r>
      <w:r w:rsidRPr="00AB11B2">
        <w:t>2,</w:t>
      </w:r>
      <w:r>
        <w:t xml:space="preserve"> </w:t>
      </w:r>
      <w:r w:rsidRPr="00AB11B2">
        <w:t>písm.</w:t>
      </w:r>
      <w:r>
        <w:t xml:space="preserve"> </w:t>
      </w:r>
      <w:r w:rsidRPr="00AB11B2">
        <w:t>w),</w:t>
      </w:r>
      <w:r>
        <w:t xml:space="preserve"> </w:t>
      </w:r>
      <w:r w:rsidRPr="00AB11B2">
        <w:t>x)</w:t>
      </w:r>
      <w:r>
        <w:t xml:space="preserve"> </w:t>
      </w:r>
      <w:r w:rsidRPr="00AB11B2">
        <w:t>nebo</w:t>
      </w:r>
      <w:r>
        <w:t xml:space="preserve"> </w:t>
      </w:r>
      <w:r w:rsidRPr="00AB11B2">
        <w:t>y),</w:t>
      </w:r>
      <w:r>
        <w:t xml:space="preserve"> </w:t>
      </w:r>
      <w:r w:rsidRPr="00AB11B2">
        <w:t>odstavce</w:t>
      </w:r>
      <w:r>
        <w:t xml:space="preserve"> </w:t>
      </w:r>
      <w:r w:rsidRPr="00AB11B2">
        <w:t>2</w:t>
      </w:r>
      <w:r>
        <w:t xml:space="preserve"> </w:t>
      </w:r>
      <w:r w:rsidRPr="00AB11B2">
        <w:t>písm.</w:t>
      </w:r>
      <w:r>
        <w:t xml:space="preserve"> </w:t>
      </w:r>
      <w:r w:rsidRPr="00AB11B2">
        <w:t>b),</w:t>
      </w:r>
      <w:r>
        <w:t xml:space="preserve"> </w:t>
      </w:r>
      <w:r w:rsidRPr="00AB11B2">
        <w:t>odstavce</w:t>
      </w:r>
      <w:r>
        <w:t xml:space="preserve"> </w:t>
      </w:r>
      <w:r w:rsidRPr="00AB11B2">
        <w:t>4</w:t>
      </w:r>
      <w:r>
        <w:t xml:space="preserve"> </w:t>
      </w:r>
      <w:r w:rsidRPr="00AB11B2">
        <w:t>písm.</w:t>
      </w:r>
      <w:r>
        <w:t xml:space="preserve"> </w:t>
      </w:r>
      <w:r w:rsidRPr="00AB11B2">
        <w:t>a),</w:t>
      </w:r>
      <w:r>
        <w:t xml:space="preserve"> </w:t>
      </w:r>
      <w:r w:rsidRPr="00AB11B2">
        <w:t>b),</w:t>
      </w:r>
      <w:r>
        <w:t xml:space="preserve"> </w:t>
      </w:r>
      <w:r w:rsidRPr="00AB11B2">
        <w:t>e),</w:t>
      </w:r>
      <w:r>
        <w:t xml:space="preserve"> </w:t>
      </w:r>
      <w:r w:rsidRPr="00AB11B2">
        <w:t>f),</w:t>
      </w:r>
      <w:r>
        <w:t xml:space="preserve"> </w:t>
      </w:r>
      <w:r w:rsidRPr="00AB11B2">
        <w:t>h),</w:t>
      </w:r>
      <w:r>
        <w:t xml:space="preserve"> </w:t>
      </w:r>
      <w:r w:rsidRPr="00AB11B2">
        <w:t>i),</w:t>
      </w:r>
      <w:r>
        <w:t xml:space="preserve"> </w:t>
      </w:r>
      <w:r w:rsidRPr="00AB11B2">
        <w:t>s),</w:t>
      </w:r>
      <w:r>
        <w:t xml:space="preserve"> </w:t>
      </w:r>
      <w:r w:rsidRPr="00AB11B2">
        <w:t>t),</w:t>
      </w:r>
      <w:r>
        <w:t xml:space="preserve"> </w:t>
      </w:r>
      <w:r w:rsidRPr="00AB11B2">
        <w:t>u)</w:t>
      </w:r>
      <w:r>
        <w:t xml:space="preserve"> </w:t>
      </w:r>
      <w:r w:rsidRPr="00AB11B2">
        <w:t>nebo</w:t>
      </w:r>
      <w:r>
        <w:t xml:space="preserve"> </w:t>
      </w:r>
      <w:r w:rsidRPr="00AB11B2">
        <w:t>v),</w:t>
      </w:r>
      <w:r>
        <w:t xml:space="preserve"> </w:t>
      </w:r>
      <w:r w:rsidRPr="00AB11B2">
        <w:t>odstavce</w:t>
      </w:r>
      <w:r>
        <w:t xml:space="preserve"> </w:t>
      </w:r>
      <w:r w:rsidRPr="00AB11B2">
        <w:t>5</w:t>
      </w:r>
      <w:r>
        <w:t xml:space="preserve"> </w:t>
      </w:r>
      <w:r w:rsidRPr="00AB11B2">
        <w:t>písm.</w:t>
      </w:r>
      <w:r>
        <w:t xml:space="preserve"> </w:t>
      </w:r>
      <w:r w:rsidRPr="00AB11B2">
        <w:t>d),</w:t>
      </w:r>
      <w:r>
        <w:t xml:space="preserve"> </w:t>
      </w:r>
      <w:r w:rsidRPr="00AB11B2">
        <w:t>e),</w:t>
      </w:r>
      <w:r>
        <w:t xml:space="preserve"> </w:t>
      </w:r>
      <w:r w:rsidRPr="00AB11B2">
        <w:t>g),</w:t>
      </w:r>
      <w:r>
        <w:t xml:space="preserve"> </w:t>
      </w:r>
      <w:r w:rsidRPr="00AB11B2">
        <w:t>i),</w:t>
      </w:r>
      <w:r>
        <w:t xml:space="preserve"> </w:t>
      </w:r>
      <w:r w:rsidRPr="00AB11B2">
        <w:t>j),</w:t>
      </w:r>
      <w:r>
        <w:t xml:space="preserve"> </w:t>
      </w:r>
      <w:r w:rsidRPr="00AB11B2">
        <w:t>k),</w:t>
      </w:r>
      <w:r>
        <w:t xml:space="preserve"> </w:t>
      </w:r>
      <w:r w:rsidRPr="00AB11B2">
        <w:t>l),</w:t>
      </w:r>
      <w:r>
        <w:t xml:space="preserve"> </w:t>
      </w:r>
      <w:r w:rsidRPr="00AB11B2">
        <w:t>m),</w:t>
      </w:r>
      <w:r>
        <w:t xml:space="preserve"> </w:t>
      </w:r>
      <w:r w:rsidRPr="00AB11B2">
        <w:t>n),</w:t>
      </w:r>
      <w:r>
        <w:t xml:space="preserve"> </w:t>
      </w:r>
      <w:r w:rsidRPr="00AB11B2">
        <w:t>r),</w:t>
      </w:r>
      <w:r>
        <w:t xml:space="preserve"> </w:t>
      </w:r>
      <w:r w:rsidRPr="00AB11B2">
        <w:t>u)</w:t>
      </w:r>
      <w:r>
        <w:t xml:space="preserve"> </w:t>
      </w:r>
      <w:r w:rsidRPr="00AB11B2">
        <w:t>nebo</w:t>
      </w:r>
      <w:r>
        <w:t xml:space="preserve"> </w:t>
      </w:r>
      <w:r w:rsidRPr="00AB11B2">
        <w:t>v),</w:t>
      </w:r>
      <w:r>
        <w:t xml:space="preserve"> </w:t>
      </w:r>
      <w:r w:rsidRPr="00AB11B2">
        <w:t>odstavce</w:t>
      </w:r>
      <w:r>
        <w:t xml:space="preserve"> </w:t>
      </w:r>
      <w:r w:rsidRPr="00AB11B2">
        <w:t>6,</w:t>
      </w:r>
      <w:r>
        <w:t xml:space="preserve"> </w:t>
      </w:r>
      <w:r w:rsidRPr="00AB11B2">
        <w:t>odstavce</w:t>
      </w:r>
      <w:r>
        <w:t xml:space="preserve"> </w:t>
      </w:r>
      <w:r w:rsidRPr="00AB11B2">
        <w:t>7</w:t>
      </w:r>
      <w:r>
        <w:t xml:space="preserve"> </w:t>
      </w:r>
      <w:r w:rsidRPr="00AB11B2">
        <w:t>písm.</w:t>
      </w:r>
      <w:r>
        <w:t xml:space="preserve"> </w:t>
      </w:r>
      <w:r w:rsidRPr="00AB11B2">
        <w:t>a),</w:t>
      </w:r>
      <w:r>
        <w:t xml:space="preserve"> </w:t>
      </w:r>
      <w:r w:rsidRPr="00AB11B2">
        <w:t>b)</w:t>
      </w:r>
      <w:r>
        <w:t xml:space="preserve"> </w:t>
      </w:r>
      <w:r w:rsidRPr="00AB11B2">
        <w:t>nebo</w:t>
      </w:r>
      <w:r>
        <w:t xml:space="preserve"> </w:t>
      </w:r>
      <w:r w:rsidRPr="00AB11B2">
        <w:t>i),</w:t>
      </w:r>
      <w:r>
        <w:t xml:space="preserve"> </w:t>
      </w:r>
      <w:r w:rsidRPr="00AB11B2">
        <w:t>odstavce</w:t>
      </w:r>
      <w:r>
        <w:t xml:space="preserve"> </w:t>
      </w:r>
      <w:r w:rsidRPr="00AB11B2">
        <w:t>8</w:t>
      </w:r>
      <w:r>
        <w:t xml:space="preserve"> </w:t>
      </w:r>
      <w:r w:rsidRPr="00AB11B2">
        <w:t>nebo</w:t>
      </w:r>
      <w:r>
        <w:t xml:space="preserve"> </w:t>
      </w:r>
      <w:r w:rsidRPr="00AB11B2">
        <w:t>9,</w:t>
      </w:r>
      <w:r>
        <w:t xml:space="preserve"> </w:t>
      </w:r>
      <w:r w:rsidRPr="00AB11B2">
        <w:t>nebo</w:t>
      </w:r>
    </w:p>
    <w:p w14:paraId="45341B8B" w14:textId="34DA9F4B" w:rsidR="00B2710B" w:rsidRDefault="00B2710B" w:rsidP="00812ECA">
      <w:pPr>
        <w:pStyle w:val="Textparagrafu"/>
        <w:tabs>
          <w:tab w:val="left" w:pos="406"/>
          <w:tab w:val="left" w:pos="826"/>
        </w:tabs>
        <w:spacing w:before="0"/>
        <w:ind w:left="426" w:hanging="426"/>
      </w:pPr>
      <w:r w:rsidRPr="00AB11B2">
        <w:t>e)</w:t>
      </w:r>
      <w:r w:rsidR="00F378EB">
        <w:tab/>
      </w:r>
      <w:r w:rsidRPr="00AB11B2">
        <w:t>10</w:t>
      </w:r>
      <w:r>
        <w:t xml:space="preserve"> </w:t>
      </w:r>
      <w:r w:rsidRPr="00AB11B2">
        <w:t>000</w:t>
      </w:r>
      <w:r>
        <w:t xml:space="preserve"> </w:t>
      </w:r>
      <w:r w:rsidRPr="00AB11B2">
        <w:t>000</w:t>
      </w:r>
      <w:r>
        <w:t xml:space="preserve"> </w:t>
      </w:r>
      <w:r w:rsidRPr="00AB11B2">
        <w:t>Kč,</w:t>
      </w:r>
      <w:r>
        <w:t xml:space="preserve"> </w:t>
      </w:r>
      <w:r w:rsidRPr="00AB11B2">
        <w:t>jde-li</w:t>
      </w:r>
      <w:r>
        <w:t xml:space="preserve"> </w:t>
      </w:r>
      <w:r w:rsidRPr="00AB11B2">
        <w:t>o</w:t>
      </w:r>
      <w:r>
        <w:t xml:space="preserve"> </w:t>
      </w:r>
      <w:r w:rsidRPr="00AB11B2">
        <w:t>přestupek</w:t>
      </w:r>
      <w:r>
        <w:t xml:space="preserve"> </w:t>
      </w:r>
      <w:r w:rsidRPr="00AB11B2">
        <w:t>podle</w:t>
      </w:r>
      <w:r>
        <w:t xml:space="preserve"> </w:t>
      </w:r>
      <w:r w:rsidRPr="00AB11B2">
        <w:t>odstavce</w:t>
      </w:r>
      <w:r>
        <w:t xml:space="preserve"> </w:t>
      </w:r>
      <w:r w:rsidRPr="00AB11B2">
        <w:t>1</w:t>
      </w:r>
      <w:r>
        <w:t xml:space="preserve"> </w:t>
      </w:r>
      <w:r w:rsidRPr="00AB11B2">
        <w:t>písm.</w:t>
      </w:r>
      <w:r>
        <w:t xml:space="preserve"> </w:t>
      </w:r>
      <w:r w:rsidRPr="00AB11B2">
        <w:t>a),</w:t>
      </w:r>
      <w:r>
        <w:t xml:space="preserve"> </w:t>
      </w:r>
      <w:r w:rsidRPr="00AB11B2">
        <w:t>b),</w:t>
      </w:r>
      <w:r>
        <w:t xml:space="preserve"> </w:t>
      </w:r>
      <w:r w:rsidRPr="00AB11B2">
        <w:t>c),</w:t>
      </w:r>
      <w:r>
        <w:t xml:space="preserve"> </w:t>
      </w:r>
      <w:r w:rsidRPr="00AB11B2">
        <w:t>e),</w:t>
      </w:r>
      <w:r>
        <w:t xml:space="preserve"> </w:t>
      </w:r>
      <w:r w:rsidRPr="00AB11B2">
        <w:t>h),</w:t>
      </w:r>
      <w:r>
        <w:t xml:space="preserve"> </w:t>
      </w:r>
      <w:r w:rsidRPr="00AB11B2">
        <w:t>i),</w:t>
      </w:r>
      <w:r>
        <w:t xml:space="preserve"> </w:t>
      </w:r>
      <w:r w:rsidRPr="00AB11B2">
        <w:t>k),</w:t>
      </w:r>
      <w:r>
        <w:t xml:space="preserve"> </w:t>
      </w:r>
      <w:r w:rsidRPr="00AB11B2">
        <w:t>písm.</w:t>
      </w:r>
      <w:r>
        <w:t xml:space="preserve"> </w:t>
      </w:r>
      <w:r w:rsidRPr="00AB11B2">
        <w:t>m)</w:t>
      </w:r>
      <w:r>
        <w:t xml:space="preserve"> </w:t>
      </w:r>
      <w:r w:rsidRPr="00AB11B2">
        <w:t>bodu</w:t>
      </w:r>
      <w:r>
        <w:t xml:space="preserve"> </w:t>
      </w:r>
      <w:r w:rsidRPr="00AB11B2">
        <w:t>1</w:t>
      </w:r>
      <w:r>
        <w:t xml:space="preserve"> </w:t>
      </w:r>
      <w:r w:rsidRPr="00AB11B2">
        <w:t>nebo</w:t>
      </w:r>
      <w:r>
        <w:t xml:space="preserve"> </w:t>
      </w:r>
      <w:r w:rsidRPr="00AB11B2">
        <w:t>2,</w:t>
      </w:r>
      <w:r>
        <w:t xml:space="preserve"> </w:t>
      </w:r>
      <w:r w:rsidRPr="00AB11B2">
        <w:t>písm.</w:t>
      </w:r>
      <w:r>
        <w:t xml:space="preserve"> </w:t>
      </w:r>
      <w:r w:rsidRPr="00AB11B2">
        <w:t>o),</w:t>
      </w:r>
      <w:r>
        <w:t xml:space="preserve"> </w:t>
      </w:r>
      <w:r w:rsidRPr="00AB11B2">
        <w:t>q),</w:t>
      </w:r>
      <w:r>
        <w:t xml:space="preserve"> </w:t>
      </w:r>
      <w:r w:rsidRPr="00AB11B2">
        <w:t>r),</w:t>
      </w:r>
      <w:r>
        <w:t xml:space="preserve"> </w:t>
      </w:r>
      <w:r w:rsidRPr="00AB11B2">
        <w:t>s)</w:t>
      </w:r>
      <w:r>
        <w:t xml:space="preserve"> </w:t>
      </w:r>
      <w:r w:rsidRPr="00AB11B2">
        <w:t>nebo</w:t>
      </w:r>
      <w:r>
        <w:t xml:space="preserve"> </w:t>
      </w:r>
      <w:r w:rsidRPr="00AB11B2">
        <w:t>v),</w:t>
      </w:r>
      <w:r>
        <w:t xml:space="preserve"> </w:t>
      </w:r>
      <w:r w:rsidRPr="00AB11B2">
        <w:t>odstavce</w:t>
      </w:r>
      <w:r>
        <w:t xml:space="preserve"> </w:t>
      </w:r>
      <w:r w:rsidRPr="00AB11B2">
        <w:t>2</w:t>
      </w:r>
      <w:r>
        <w:t xml:space="preserve"> </w:t>
      </w:r>
      <w:r w:rsidRPr="00AB11B2">
        <w:t>písm.</w:t>
      </w:r>
      <w:r>
        <w:t xml:space="preserve"> </w:t>
      </w:r>
      <w:r w:rsidRPr="00AB11B2">
        <w:t>a),</w:t>
      </w:r>
      <w:r>
        <w:t xml:space="preserve"> </w:t>
      </w:r>
      <w:r w:rsidRPr="00AB11B2">
        <w:t>c),</w:t>
      </w:r>
      <w:r>
        <w:t xml:space="preserve"> </w:t>
      </w:r>
      <w:r w:rsidRPr="00AB11B2">
        <w:t>d)</w:t>
      </w:r>
      <w:r>
        <w:t xml:space="preserve"> </w:t>
      </w:r>
      <w:r w:rsidRPr="00AB11B2">
        <w:t>nebo</w:t>
      </w:r>
      <w:r>
        <w:t xml:space="preserve"> </w:t>
      </w:r>
      <w:r w:rsidRPr="00AB11B2">
        <w:t>e),</w:t>
      </w:r>
      <w:r>
        <w:t xml:space="preserve"> </w:t>
      </w:r>
      <w:r w:rsidRPr="00AB11B2">
        <w:t>odstavce</w:t>
      </w:r>
      <w:r>
        <w:t xml:space="preserve"> </w:t>
      </w:r>
      <w:r w:rsidRPr="00AB11B2">
        <w:t>3,</w:t>
      </w:r>
      <w:r>
        <w:t xml:space="preserve"> </w:t>
      </w:r>
      <w:r w:rsidRPr="00AB11B2">
        <w:t>odstavce</w:t>
      </w:r>
      <w:r>
        <w:t xml:space="preserve"> </w:t>
      </w:r>
      <w:r w:rsidRPr="00AB11B2">
        <w:t>4</w:t>
      </w:r>
      <w:r>
        <w:t xml:space="preserve"> </w:t>
      </w:r>
      <w:r w:rsidRPr="00AB11B2">
        <w:t>písm.</w:t>
      </w:r>
      <w:r>
        <w:t xml:space="preserve"> </w:t>
      </w:r>
      <w:r w:rsidRPr="00AB11B2">
        <w:t>c),</w:t>
      </w:r>
      <w:r>
        <w:t xml:space="preserve"> </w:t>
      </w:r>
      <w:r w:rsidRPr="00AB11B2">
        <w:t>d),</w:t>
      </w:r>
      <w:r>
        <w:t xml:space="preserve"> </w:t>
      </w:r>
      <w:r w:rsidRPr="00AB11B2">
        <w:t>g),</w:t>
      </w:r>
      <w:r>
        <w:t xml:space="preserve"> </w:t>
      </w:r>
      <w:r w:rsidRPr="00AB11B2">
        <w:t>j),</w:t>
      </w:r>
      <w:r>
        <w:t xml:space="preserve"> </w:t>
      </w:r>
      <w:r w:rsidRPr="00AB11B2">
        <w:t>k),</w:t>
      </w:r>
      <w:r>
        <w:t xml:space="preserve"> </w:t>
      </w:r>
      <w:r w:rsidRPr="00AB11B2">
        <w:t>l),</w:t>
      </w:r>
      <w:r>
        <w:t xml:space="preserve"> </w:t>
      </w:r>
      <w:r w:rsidRPr="00AB11B2">
        <w:t>m),</w:t>
      </w:r>
      <w:r>
        <w:t xml:space="preserve"> </w:t>
      </w:r>
      <w:r w:rsidRPr="00AB11B2">
        <w:t>n)</w:t>
      </w:r>
      <w:r>
        <w:t xml:space="preserve"> </w:t>
      </w:r>
      <w:r w:rsidRPr="00AB11B2">
        <w:t>nebo</w:t>
      </w:r>
      <w:r>
        <w:t xml:space="preserve"> </w:t>
      </w:r>
      <w:r w:rsidRPr="00AB11B2">
        <w:t>p),</w:t>
      </w:r>
      <w:r>
        <w:t xml:space="preserve"> </w:t>
      </w:r>
      <w:r w:rsidRPr="00AB11B2">
        <w:t>odstavce</w:t>
      </w:r>
      <w:r>
        <w:t xml:space="preserve"> </w:t>
      </w:r>
      <w:r w:rsidRPr="00AB11B2">
        <w:t>5</w:t>
      </w:r>
      <w:r>
        <w:t xml:space="preserve"> </w:t>
      </w:r>
      <w:r w:rsidRPr="00AB11B2">
        <w:t>písm.</w:t>
      </w:r>
      <w:r>
        <w:t xml:space="preserve"> </w:t>
      </w:r>
      <w:r w:rsidRPr="00AB11B2">
        <w:t>a),</w:t>
      </w:r>
      <w:r>
        <w:t xml:space="preserve"> </w:t>
      </w:r>
      <w:r w:rsidRPr="00AB11B2">
        <w:t>f)</w:t>
      </w:r>
      <w:r>
        <w:t xml:space="preserve"> </w:t>
      </w:r>
      <w:r w:rsidRPr="00AB11B2">
        <w:t>nebo</w:t>
      </w:r>
      <w:r>
        <w:t xml:space="preserve"> </w:t>
      </w:r>
      <w:r w:rsidRPr="00AB11B2">
        <w:t>p)</w:t>
      </w:r>
      <w:r>
        <w:t xml:space="preserve"> </w:t>
      </w:r>
      <w:r w:rsidRPr="00AB11B2">
        <w:t>nebo</w:t>
      </w:r>
      <w:r>
        <w:t xml:space="preserve"> </w:t>
      </w:r>
      <w:r w:rsidRPr="00AB11B2">
        <w:t>odstavce</w:t>
      </w:r>
      <w:r>
        <w:t xml:space="preserve"> </w:t>
      </w:r>
      <w:r w:rsidRPr="00AB11B2">
        <w:t>7</w:t>
      </w:r>
      <w:r>
        <w:t xml:space="preserve"> </w:t>
      </w:r>
      <w:r w:rsidRPr="00AB11B2">
        <w:t>písm.</w:t>
      </w:r>
      <w:r>
        <w:t xml:space="preserve"> </w:t>
      </w:r>
      <w:r w:rsidRPr="00AB11B2">
        <w:t>c),</w:t>
      </w:r>
      <w:r>
        <w:t xml:space="preserve"> </w:t>
      </w:r>
      <w:r w:rsidRPr="00AB11B2">
        <w:t>d),</w:t>
      </w:r>
      <w:r>
        <w:t xml:space="preserve"> </w:t>
      </w:r>
      <w:r w:rsidRPr="00AB11B2">
        <w:t>e),</w:t>
      </w:r>
      <w:r>
        <w:t xml:space="preserve"> </w:t>
      </w:r>
      <w:r w:rsidRPr="00AB11B2">
        <w:t>f),</w:t>
      </w:r>
      <w:r>
        <w:t xml:space="preserve"> </w:t>
      </w:r>
      <w:r w:rsidRPr="00AB11B2">
        <w:t>g)</w:t>
      </w:r>
      <w:r>
        <w:t xml:space="preserve"> </w:t>
      </w:r>
      <w:r w:rsidRPr="00AB11B2">
        <w:t>nebo</w:t>
      </w:r>
      <w:r>
        <w:t xml:space="preserve"> </w:t>
      </w:r>
      <w:r w:rsidRPr="00AB11B2">
        <w:t>h).</w:t>
      </w:r>
    </w:p>
    <w:p w14:paraId="7B118473" w14:textId="77777777" w:rsidR="00B2710B" w:rsidRPr="00AB11B2" w:rsidRDefault="00B2710B" w:rsidP="00CE2C91">
      <w:pPr>
        <w:pStyle w:val="Textparagrafu"/>
        <w:tabs>
          <w:tab w:val="left" w:pos="406"/>
          <w:tab w:val="left" w:pos="826"/>
        </w:tabs>
        <w:spacing w:before="120" w:after="120"/>
      </w:pPr>
      <w:r w:rsidRPr="00AB11B2">
        <w:t>(11)</w:t>
      </w:r>
      <w:r>
        <w:t xml:space="preserve"> </w:t>
      </w:r>
      <w:r w:rsidRPr="00AB11B2">
        <w:t>Za</w:t>
      </w:r>
      <w:r>
        <w:t xml:space="preserve"> </w:t>
      </w:r>
      <w:r w:rsidRPr="00AB11B2">
        <w:t>přestupek</w:t>
      </w:r>
      <w:r>
        <w:t xml:space="preserve"> </w:t>
      </w:r>
      <w:r w:rsidRPr="00AB11B2">
        <w:t>podle</w:t>
      </w:r>
      <w:r>
        <w:t xml:space="preserve"> </w:t>
      </w:r>
      <w:r w:rsidRPr="00AB11B2">
        <w:t>odstavce</w:t>
      </w:r>
      <w:r>
        <w:t xml:space="preserve"> </w:t>
      </w:r>
      <w:r w:rsidRPr="00AB11B2">
        <w:t>1</w:t>
      </w:r>
      <w:r>
        <w:t xml:space="preserve"> </w:t>
      </w:r>
      <w:r w:rsidRPr="00AB11B2">
        <w:t>písm.</w:t>
      </w:r>
      <w:r>
        <w:t xml:space="preserve"> </w:t>
      </w:r>
      <w:r w:rsidRPr="00AB11B2">
        <w:t>a),</w:t>
      </w:r>
      <w:r>
        <w:t xml:space="preserve"> </w:t>
      </w:r>
      <w:r w:rsidRPr="00AB11B2">
        <w:t>e),</w:t>
      </w:r>
      <w:r>
        <w:t xml:space="preserve"> </w:t>
      </w:r>
      <w:r w:rsidRPr="00AB11B2">
        <w:t>h),</w:t>
      </w:r>
      <w:r>
        <w:t xml:space="preserve"> </w:t>
      </w:r>
      <w:r w:rsidRPr="00AB11B2">
        <w:t>i)</w:t>
      </w:r>
      <w:r>
        <w:t xml:space="preserve"> </w:t>
      </w:r>
      <w:r w:rsidRPr="00AB11B2">
        <w:t>nebo</w:t>
      </w:r>
      <w:r>
        <w:t xml:space="preserve"> </w:t>
      </w:r>
      <w:r w:rsidRPr="00AB11B2">
        <w:t>k)</w:t>
      </w:r>
      <w:r>
        <w:t xml:space="preserve"> </w:t>
      </w:r>
      <w:r w:rsidRPr="00AB11B2">
        <w:t>lze</w:t>
      </w:r>
      <w:r>
        <w:t xml:space="preserve"> </w:t>
      </w:r>
      <w:r w:rsidRPr="00AB11B2">
        <w:t>uložit</w:t>
      </w:r>
      <w:r>
        <w:t xml:space="preserve"> </w:t>
      </w:r>
      <w:r w:rsidRPr="00AB11B2">
        <w:t>též</w:t>
      </w:r>
      <w:r>
        <w:t xml:space="preserve"> </w:t>
      </w:r>
      <w:r w:rsidRPr="00AB11B2">
        <w:t>zákaz</w:t>
      </w:r>
      <w:r>
        <w:t xml:space="preserve"> </w:t>
      </w:r>
      <w:r w:rsidRPr="00AB11B2">
        <w:t>činnosti.</w:t>
      </w:r>
    </w:p>
    <w:p w14:paraId="51D31058" w14:textId="77777777" w:rsidR="00554E2B" w:rsidRDefault="00554E2B" w:rsidP="00106516">
      <w:pPr>
        <w:pStyle w:val="Textparagrafu"/>
        <w:ind w:firstLine="0"/>
        <w:jc w:val="center"/>
      </w:pPr>
      <w:r w:rsidRPr="004B3F62">
        <w:t>§</w:t>
      </w:r>
      <w:r>
        <w:t xml:space="preserve"> </w:t>
      </w:r>
      <w:r w:rsidRPr="004B3F62">
        <w:t>52</w:t>
      </w:r>
    </w:p>
    <w:p w14:paraId="2926DFCE" w14:textId="77777777" w:rsidR="00554E2B" w:rsidRDefault="00554E2B" w:rsidP="00CE2C91">
      <w:pPr>
        <w:pStyle w:val="Textparagrafu"/>
        <w:tabs>
          <w:tab w:val="left" w:pos="406"/>
          <w:tab w:val="left" w:pos="826"/>
        </w:tabs>
        <w:spacing w:before="120" w:after="120"/>
      </w:pPr>
      <w:r w:rsidRPr="004B3F62">
        <w:t>(1)</w:t>
      </w:r>
      <w:r>
        <w:t xml:space="preserve"> </w:t>
      </w:r>
      <w:r w:rsidRPr="004B3F62">
        <w:t>Právnická</w:t>
      </w:r>
      <w:r>
        <w:t xml:space="preserve"> </w:t>
      </w:r>
      <w:r w:rsidRPr="004B3F62">
        <w:t>nebo</w:t>
      </w:r>
      <w:r>
        <w:t xml:space="preserve"> </w:t>
      </w:r>
      <w:r w:rsidRPr="004B3F62">
        <w:t>podnikající</w:t>
      </w:r>
      <w:r>
        <w:t xml:space="preserve"> </w:t>
      </w:r>
      <w:r w:rsidRPr="004B3F62">
        <w:t>fyzická</w:t>
      </w:r>
      <w:r>
        <w:t xml:space="preserve"> </w:t>
      </w:r>
      <w:r w:rsidRPr="004B3F62">
        <w:t>osoba</w:t>
      </w:r>
      <w:r>
        <w:t xml:space="preserve"> </w:t>
      </w:r>
      <w:r w:rsidRPr="004B3F62">
        <w:t>se</w:t>
      </w:r>
      <w:r>
        <w:t xml:space="preserve"> </w:t>
      </w:r>
      <w:r w:rsidRPr="004B3F62">
        <w:t>jako</w:t>
      </w:r>
      <w:r>
        <w:t xml:space="preserve"> </w:t>
      </w:r>
      <w:r w:rsidRPr="004B3F62">
        <w:t>dopravce</w:t>
      </w:r>
      <w:r>
        <w:t xml:space="preserve"> </w:t>
      </w:r>
      <w:r w:rsidRPr="004B3F62">
        <w:t>dopustí</w:t>
      </w:r>
      <w:r>
        <w:t xml:space="preserve"> </w:t>
      </w:r>
      <w:r w:rsidRPr="004B3F62">
        <w:t>přestupku</w:t>
      </w:r>
      <w:r>
        <w:t xml:space="preserve"> </w:t>
      </w:r>
      <w:r w:rsidRPr="004B3F62">
        <w:t>tím,</w:t>
      </w:r>
      <w:r>
        <w:t xml:space="preserve"> </w:t>
      </w:r>
      <w:r w:rsidRPr="004B3F62">
        <w:t>že</w:t>
      </w:r>
    </w:p>
    <w:p w14:paraId="5364A186" w14:textId="420E6546" w:rsidR="00554E2B" w:rsidRDefault="00554E2B" w:rsidP="00812ECA">
      <w:pPr>
        <w:pStyle w:val="Textparagrafu"/>
        <w:tabs>
          <w:tab w:val="left" w:pos="406"/>
          <w:tab w:val="left" w:pos="868"/>
        </w:tabs>
        <w:spacing w:before="0"/>
        <w:ind w:left="426" w:hanging="426"/>
      </w:pPr>
      <w:r w:rsidRPr="004B3F62">
        <w:t>a)</w:t>
      </w:r>
      <w:r w:rsidR="004E0A1A">
        <w:tab/>
      </w:r>
      <w:r w:rsidRPr="004B3F62">
        <w:t>provozuje</w:t>
      </w:r>
      <w:r>
        <w:t xml:space="preserve"> </w:t>
      </w:r>
      <w:r w:rsidRPr="004B3F62">
        <w:t>drážní</w:t>
      </w:r>
      <w:r>
        <w:t xml:space="preserve"> </w:t>
      </w:r>
      <w:r w:rsidRPr="004B3F62">
        <w:t>dopravu</w:t>
      </w:r>
      <w:r>
        <w:t xml:space="preserve"> </w:t>
      </w:r>
      <w:r w:rsidRPr="004B3F62">
        <w:t>v</w:t>
      </w:r>
      <w:r>
        <w:t xml:space="preserve"> </w:t>
      </w:r>
      <w:r w:rsidRPr="004B3F62">
        <w:t>rozporu</w:t>
      </w:r>
      <w:r>
        <w:t xml:space="preserve"> </w:t>
      </w:r>
      <w:r w:rsidRPr="004B3F62">
        <w:t>s</w:t>
      </w:r>
      <w:r>
        <w:t xml:space="preserve"> </w:t>
      </w:r>
      <w:r w:rsidRPr="004B3F62">
        <w:t>§</w:t>
      </w:r>
      <w:r>
        <w:t xml:space="preserve"> </w:t>
      </w:r>
      <w:r w:rsidRPr="004B3F62">
        <w:t>24a</w:t>
      </w:r>
      <w:r>
        <w:t xml:space="preserve"> </w:t>
      </w:r>
      <w:r w:rsidRPr="004B3F62">
        <w:t>odst.</w:t>
      </w:r>
      <w:r>
        <w:t xml:space="preserve"> </w:t>
      </w:r>
      <w:r w:rsidRPr="004B3F62">
        <w:t>1</w:t>
      </w:r>
      <w:r>
        <w:t xml:space="preserve"> </w:t>
      </w:r>
      <w:r w:rsidRPr="004B3F62">
        <w:t>písm.</w:t>
      </w:r>
      <w:r>
        <w:t xml:space="preserve"> </w:t>
      </w:r>
      <w:r w:rsidRPr="004B3F62">
        <w:t>a)</w:t>
      </w:r>
      <w:r>
        <w:t xml:space="preserve"> </w:t>
      </w:r>
      <w:r w:rsidRPr="004B3F62">
        <w:t>nebo</w:t>
      </w:r>
      <w:r>
        <w:t xml:space="preserve"> </w:t>
      </w:r>
      <w:r w:rsidRPr="004B3F62">
        <w:t>§</w:t>
      </w:r>
      <w:r>
        <w:t xml:space="preserve"> </w:t>
      </w:r>
      <w:r w:rsidRPr="004B3F62">
        <w:t>24a</w:t>
      </w:r>
      <w:r>
        <w:t xml:space="preserve"> </w:t>
      </w:r>
      <w:r w:rsidRPr="004B3F62">
        <w:t>odst.</w:t>
      </w:r>
      <w:r>
        <w:t xml:space="preserve"> </w:t>
      </w:r>
      <w:r w:rsidRPr="004B3F62">
        <w:t>2</w:t>
      </w:r>
      <w:r>
        <w:t xml:space="preserve"> </w:t>
      </w:r>
      <w:r w:rsidRPr="004B3F62">
        <w:t>písm.</w:t>
      </w:r>
      <w:r>
        <w:t xml:space="preserve"> </w:t>
      </w:r>
      <w:r w:rsidRPr="004B3F62">
        <w:t>a),</w:t>
      </w:r>
    </w:p>
    <w:p w14:paraId="56957AA7" w14:textId="41BED7B9" w:rsidR="00554E2B" w:rsidRDefault="00554E2B" w:rsidP="00812ECA">
      <w:pPr>
        <w:pStyle w:val="Textparagrafu"/>
        <w:tabs>
          <w:tab w:val="left" w:pos="406"/>
          <w:tab w:val="left" w:pos="868"/>
        </w:tabs>
        <w:spacing w:before="0"/>
        <w:ind w:left="426" w:hanging="426"/>
      </w:pPr>
      <w:r w:rsidRPr="004B3F62">
        <w:t>b)</w:t>
      </w:r>
      <w:r w:rsidR="004E0A1A">
        <w:tab/>
      </w:r>
      <w:r w:rsidRPr="004B3F62">
        <w:t>neoznámí</w:t>
      </w:r>
      <w:r>
        <w:t xml:space="preserve"> </w:t>
      </w:r>
      <w:r w:rsidRPr="004B3F62">
        <w:t>ve</w:t>
      </w:r>
      <w:r>
        <w:t xml:space="preserve"> </w:t>
      </w:r>
      <w:r w:rsidRPr="004B3F62">
        <w:t>lhůtě</w:t>
      </w:r>
      <w:r>
        <w:t xml:space="preserve"> </w:t>
      </w:r>
      <w:r w:rsidRPr="004B3F62">
        <w:t>podle</w:t>
      </w:r>
      <w:r>
        <w:t xml:space="preserve"> </w:t>
      </w:r>
      <w:r w:rsidRPr="004B3F62">
        <w:t>§</w:t>
      </w:r>
      <w:r>
        <w:t xml:space="preserve"> </w:t>
      </w:r>
      <w:r w:rsidRPr="004B3F62">
        <w:t>29</w:t>
      </w:r>
      <w:r>
        <w:t xml:space="preserve"> </w:t>
      </w:r>
      <w:r w:rsidRPr="004B3F62">
        <w:t>odst.</w:t>
      </w:r>
      <w:r>
        <w:t xml:space="preserve"> </w:t>
      </w:r>
      <w:r w:rsidRPr="004B3F62">
        <w:t>2</w:t>
      </w:r>
      <w:r>
        <w:t xml:space="preserve"> </w:t>
      </w:r>
      <w:r w:rsidRPr="004B3F62">
        <w:t>drážnímu</w:t>
      </w:r>
      <w:r>
        <w:t xml:space="preserve"> </w:t>
      </w:r>
      <w:r w:rsidRPr="004B3F62">
        <w:t>správnímu</w:t>
      </w:r>
      <w:r>
        <w:t xml:space="preserve"> </w:t>
      </w:r>
      <w:r w:rsidRPr="004B3F62">
        <w:t>úřadu</w:t>
      </w:r>
      <w:r>
        <w:t xml:space="preserve"> </w:t>
      </w:r>
      <w:r w:rsidRPr="004B3F62">
        <w:t>změnu</w:t>
      </w:r>
      <w:r>
        <w:t xml:space="preserve"> </w:t>
      </w:r>
      <w:r w:rsidRPr="004B3F62">
        <w:t>údajů</w:t>
      </w:r>
      <w:r>
        <w:t xml:space="preserve"> </w:t>
      </w:r>
      <w:r w:rsidRPr="004B3F62">
        <w:t>uvedených</w:t>
      </w:r>
      <w:r>
        <w:t xml:space="preserve"> </w:t>
      </w:r>
      <w:r w:rsidRPr="004B3F62">
        <w:t>v</w:t>
      </w:r>
      <w:r>
        <w:t xml:space="preserve"> </w:t>
      </w:r>
      <w:r w:rsidRPr="004B3F62">
        <w:t>licenci,</w:t>
      </w:r>
    </w:p>
    <w:p w14:paraId="3F8F44DD" w14:textId="69F961FF" w:rsidR="00554E2B" w:rsidRDefault="00554E2B" w:rsidP="00812ECA">
      <w:pPr>
        <w:pStyle w:val="Textparagrafu"/>
        <w:tabs>
          <w:tab w:val="left" w:pos="406"/>
          <w:tab w:val="left" w:pos="868"/>
        </w:tabs>
        <w:spacing w:before="0"/>
        <w:ind w:left="426" w:hanging="426"/>
      </w:pPr>
      <w:r w:rsidRPr="004B3F62">
        <w:t>c)</w:t>
      </w:r>
      <w:r w:rsidR="004E0A1A">
        <w:tab/>
      </w:r>
      <w:r w:rsidRPr="004B3F62">
        <w:t>provozuje</w:t>
      </w:r>
      <w:r>
        <w:t xml:space="preserve"> </w:t>
      </w:r>
      <w:r w:rsidRPr="004B3F62">
        <w:t>drážní</w:t>
      </w:r>
      <w:r>
        <w:t xml:space="preserve"> </w:t>
      </w:r>
      <w:r w:rsidRPr="004B3F62">
        <w:t>dopravu</w:t>
      </w:r>
      <w:r>
        <w:t xml:space="preserve"> </w:t>
      </w:r>
      <w:r w:rsidRPr="004B3F62">
        <w:t>v</w:t>
      </w:r>
      <w:r>
        <w:t xml:space="preserve"> </w:t>
      </w:r>
      <w:r w:rsidRPr="004B3F62">
        <w:t>rozporu</w:t>
      </w:r>
      <w:r>
        <w:t xml:space="preserve"> </w:t>
      </w:r>
      <w:r w:rsidRPr="004B3F62">
        <w:t>s</w:t>
      </w:r>
      <w:r>
        <w:t xml:space="preserve"> </w:t>
      </w:r>
      <w:r w:rsidRPr="004B3F62">
        <w:t>§</w:t>
      </w:r>
      <w:r>
        <w:t xml:space="preserve"> </w:t>
      </w:r>
      <w:r w:rsidRPr="004B3F62">
        <w:t>35</w:t>
      </w:r>
      <w:r>
        <w:t xml:space="preserve"> </w:t>
      </w:r>
      <w:r w:rsidRPr="004B3F62">
        <w:t>odst.</w:t>
      </w:r>
      <w:r>
        <w:t xml:space="preserve"> </w:t>
      </w:r>
      <w:r w:rsidRPr="004B3F62">
        <w:t>1</w:t>
      </w:r>
      <w:r>
        <w:t xml:space="preserve"> </w:t>
      </w:r>
      <w:r w:rsidRPr="004B3F62">
        <w:t>písm.</w:t>
      </w:r>
      <w:r>
        <w:t xml:space="preserve"> </w:t>
      </w:r>
      <w:r w:rsidRPr="004B3F62">
        <w:t>a),</w:t>
      </w:r>
    </w:p>
    <w:p w14:paraId="7651B736" w14:textId="44DA2BF0" w:rsidR="00554E2B" w:rsidRDefault="00554E2B" w:rsidP="00812ECA">
      <w:pPr>
        <w:pStyle w:val="Textparagrafu"/>
        <w:tabs>
          <w:tab w:val="left" w:pos="406"/>
          <w:tab w:val="left" w:pos="868"/>
        </w:tabs>
        <w:spacing w:before="0"/>
        <w:ind w:left="426" w:hanging="426"/>
      </w:pPr>
      <w:r w:rsidRPr="004B3F62">
        <w:t>d)</w:t>
      </w:r>
      <w:r w:rsidR="004E0A1A">
        <w:tab/>
      </w:r>
      <w:r w:rsidRPr="004B3F62">
        <w:t>nezajistí</w:t>
      </w:r>
      <w:r>
        <w:t xml:space="preserve"> </w:t>
      </w:r>
      <w:r w:rsidRPr="004B3F62">
        <w:t>v</w:t>
      </w:r>
      <w:r>
        <w:t xml:space="preserve"> </w:t>
      </w:r>
      <w:r w:rsidRPr="004B3F62">
        <w:t>souladu</w:t>
      </w:r>
      <w:r>
        <w:t xml:space="preserve"> </w:t>
      </w:r>
      <w:r w:rsidRPr="004B3F62">
        <w:t>s</w:t>
      </w:r>
      <w:r>
        <w:t xml:space="preserve"> </w:t>
      </w:r>
      <w:r w:rsidRPr="004B3F62">
        <w:t>§</w:t>
      </w:r>
      <w:r>
        <w:t xml:space="preserve"> </w:t>
      </w:r>
      <w:r w:rsidRPr="004B3F62">
        <w:t>35</w:t>
      </w:r>
      <w:r>
        <w:t xml:space="preserve"> </w:t>
      </w:r>
      <w:r w:rsidRPr="004B3F62">
        <w:t>odst.</w:t>
      </w:r>
      <w:r>
        <w:t xml:space="preserve"> </w:t>
      </w:r>
      <w:r w:rsidRPr="004B3F62">
        <w:t>1</w:t>
      </w:r>
      <w:r>
        <w:t xml:space="preserve"> </w:t>
      </w:r>
      <w:r w:rsidRPr="004B3F62">
        <w:t>písm.</w:t>
      </w:r>
      <w:r>
        <w:t xml:space="preserve"> </w:t>
      </w:r>
      <w:r w:rsidRPr="004B3F62">
        <w:t>d),</w:t>
      </w:r>
      <w:r>
        <w:t xml:space="preserve"> </w:t>
      </w:r>
      <w:r w:rsidRPr="004B3F62">
        <w:t>aby</w:t>
      </w:r>
      <w:r>
        <w:t xml:space="preserve"> </w:t>
      </w:r>
      <w:r w:rsidRPr="004B3F62">
        <w:t>drážní</w:t>
      </w:r>
      <w:r>
        <w:t xml:space="preserve"> </w:t>
      </w:r>
      <w:r w:rsidRPr="004B3F62">
        <w:t>vozidlo</w:t>
      </w:r>
      <w:r>
        <w:t xml:space="preserve"> </w:t>
      </w:r>
      <w:r w:rsidRPr="004B3F62">
        <w:t>řídila</w:t>
      </w:r>
      <w:r>
        <w:t xml:space="preserve"> </w:t>
      </w:r>
      <w:r w:rsidRPr="004B3F62">
        <w:t>osoba</w:t>
      </w:r>
      <w:r>
        <w:t xml:space="preserve"> </w:t>
      </w:r>
      <w:r w:rsidRPr="004B3F62">
        <w:t>s</w:t>
      </w:r>
      <w:r>
        <w:t xml:space="preserve"> </w:t>
      </w:r>
      <w:r w:rsidRPr="004B3F62">
        <w:t>platným</w:t>
      </w:r>
      <w:r>
        <w:t xml:space="preserve"> </w:t>
      </w:r>
      <w:r w:rsidRPr="004B3F62">
        <w:t>průkazem</w:t>
      </w:r>
      <w:r>
        <w:t xml:space="preserve"> </w:t>
      </w:r>
      <w:r w:rsidRPr="004B3F62">
        <w:t>způsobilosti</w:t>
      </w:r>
      <w:r>
        <w:t xml:space="preserve"> </w:t>
      </w:r>
      <w:r w:rsidRPr="004B3F62">
        <w:t>k</w:t>
      </w:r>
      <w:r>
        <w:t xml:space="preserve"> </w:t>
      </w:r>
      <w:r w:rsidRPr="004B3F62">
        <w:t>řízení</w:t>
      </w:r>
      <w:r>
        <w:t xml:space="preserve"> </w:t>
      </w:r>
      <w:r w:rsidRPr="004B3F62">
        <w:t>drážního</w:t>
      </w:r>
      <w:r>
        <w:t xml:space="preserve"> </w:t>
      </w:r>
      <w:r w:rsidRPr="004B3F62">
        <w:t>vozidla,</w:t>
      </w:r>
    </w:p>
    <w:p w14:paraId="37EE8628" w14:textId="6E3FAC37" w:rsidR="00554E2B" w:rsidRDefault="00554E2B" w:rsidP="00812ECA">
      <w:pPr>
        <w:pStyle w:val="Textparagrafu"/>
        <w:tabs>
          <w:tab w:val="left" w:pos="406"/>
          <w:tab w:val="left" w:pos="868"/>
        </w:tabs>
        <w:spacing w:before="0"/>
        <w:ind w:left="426" w:hanging="426"/>
      </w:pPr>
      <w:r w:rsidRPr="004B3F62">
        <w:t>e)</w:t>
      </w:r>
      <w:r w:rsidR="004E0A1A">
        <w:tab/>
      </w:r>
      <w:r w:rsidRPr="004B3F62">
        <w:t>nezajistí</w:t>
      </w:r>
      <w:r>
        <w:t xml:space="preserve"> </w:t>
      </w:r>
      <w:r w:rsidRPr="004B3F62">
        <w:t>v</w:t>
      </w:r>
      <w:r>
        <w:t xml:space="preserve"> </w:t>
      </w:r>
      <w:r w:rsidRPr="004B3F62">
        <w:t>souladu</w:t>
      </w:r>
      <w:r>
        <w:t xml:space="preserve"> </w:t>
      </w:r>
      <w:r w:rsidRPr="004B3F62">
        <w:t>s</w:t>
      </w:r>
      <w:r>
        <w:t xml:space="preserve"> </w:t>
      </w:r>
      <w:r w:rsidRPr="004B3F62">
        <w:t>§</w:t>
      </w:r>
      <w:r>
        <w:t xml:space="preserve"> </w:t>
      </w:r>
      <w:r w:rsidRPr="004B3F62">
        <w:t>35</w:t>
      </w:r>
      <w:r>
        <w:t xml:space="preserve"> </w:t>
      </w:r>
      <w:r w:rsidRPr="004B3F62">
        <w:t>odst.</w:t>
      </w:r>
      <w:r>
        <w:t xml:space="preserve"> </w:t>
      </w:r>
      <w:r w:rsidRPr="004B3F62">
        <w:t>1</w:t>
      </w:r>
      <w:r>
        <w:t xml:space="preserve"> </w:t>
      </w:r>
      <w:r w:rsidRPr="004B3F62">
        <w:t>písm.</w:t>
      </w:r>
      <w:r>
        <w:t xml:space="preserve"> </w:t>
      </w:r>
      <w:r w:rsidRPr="004B3F62">
        <w:t>e),</w:t>
      </w:r>
      <w:r>
        <w:t xml:space="preserve"> </w:t>
      </w:r>
      <w:r w:rsidRPr="004B3F62">
        <w:t>aby</w:t>
      </w:r>
      <w:r>
        <w:t xml:space="preserve"> </w:t>
      </w:r>
      <w:r w:rsidRPr="004B3F62">
        <w:t>drážní</w:t>
      </w:r>
      <w:r>
        <w:t xml:space="preserve"> </w:t>
      </w:r>
      <w:r w:rsidRPr="004B3F62">
        <w:t>dopravu</w:t>
      </w:r>
      <w:r>
        <w:t xml:space="preserve"> </w:t>
      </w:r>
      <w:r w:rsidRPr="004B3F62">
        <w:t>prováděla</w:t>
      </w:r>
      <w:r>
        <w:t xml:space="preserve"> </w:t>
      </w:r>
      <w:r w:rsidRPr="004B3F62">
        <w:t>osoba</w:t>
      </w:r>
      <w:r>
        <w:t xml:space="preserve"> </w:t>
      </w:r>
      <w:r w:rsidRPr="004B3F62">
        <w:t>zdravotně</w:t>
      </w:r>
      <w:r>
        <w:t xml:space="preserve"> </w:t>
      </w:r>
      <w:r w:rsidRPr="004B3F62">
        <w:t>a</w:t>
      </w:r>
      <w:r>
        <w:t xml:space="preserve"> </w:t>
      </w:r>
      <w:r w:rsidRPr="004B3F62">
        <w:t>odborně</w:t>
      </w:r>
      <w:r>
        <w:t xml:space="preserve"> </w:t>
      </w:r>
      <w:r w:rsidRPr="004B3F62">
        <w:t>způsobilá,</w:t>
      </w:r>
    </w:p>
    <w:p w14:paraId="549D89F7" w14:textId="7E75404E" w:rsidR="00554E2B" w:rsidRDefault="00554E2B" w:rsidP="00812ECA">
      <w:pPr>
        <w:pStyle w:val="Textparagrafu"/>
        <w:tabs>
          <w:tab w:val="left" w:pos="406"/>
          <w:tab w:val="left" w:pos="868"/>
        </w:tabs>
        <w:spacing w:before="0"/>
        <w:ind w:left="426" w:hanging="426"/>
      </w:pPr>
      <w:r w:rsidRPr="004B3F62">
        <w:t>f)</w:t>
      </w:r>
      <w:r w:rsidR="004E0A1A">
        <w:tab/>
      </w:r>
      <w:r w:rsidRPr="004B3F62">
        <w:t>se</w:t>
      </w:r>
      <w:r>
        <w:t xml:space="preserve"> </w:t>
      </w:r>
      <w:r w:rsidRPr="004B3F62">
        <w:t>neřídí</w:t>
      </w:r>
      <w:r>
        <w:t xml:space="preserve"> </w:t>
      </w:r>
      <w:r w:rsidRPr="004B3F62">
        <w:t>při</w:t>
      </w:r>
      <w:r>
        <w:t xml:space="preserve"> </w:t>
      </w:r>
      <w:r w:rsidRPr="004B3F62">
        <w:t>provozování</w:t>
      </w:r>
      <w:r>
        <w:t xml:space="preserve"> </w:t>
      </w:r>
      <w:r w:rsidRPr="004B3F62">
        <w:t>drážní</w:t>
      </w:r>
      <w:r>
        <w:t xml:space="preserve"> </w:t>
      </w:r>
      <w:r w:rsidRPr="004B3F62">
        <w:t>dopravy</w:t>
      </w:r>
      <w:r>
        <w:t xml:space="preserve"> </w:t>
      </w:r>
      <w:r w:rsidRPr="004B3F62">
        <w:t>pokyny</w:t>
      </w:r>
      <w:r>
        <w:t xml:space="preserve"> </w:t>
      </w:r>
      <w:r w:rsidRPr="004B3F62">
        <w:t>provozovatele</w:t>
      </w:r>
      <w:r>
        <w:t xml:space="preserve"> </w:t>
      </w:r>
      <w:r w:rsidRPr="004B3F62">
        <w:t>dráhy</w:t>
      </w:r>
      <w:r>
        <w:t xml:space="preserve"> </w:t>
      </w:r>
      <w:r w:rsidRPr="004B3F62">
        <w:t>udílenými</w:t>
      </w:r>
      <w:r>
        <w:t xml:space="preserve"> </w:t>
      </w:r>
      <w:r w:rsidRPr="004B3F62">
        <w:t>podle</w:t>
      </w:r>
      <w:r>
        <w:t xml:space="preserve"> </w:t>
      </w:r>
      <w:r w:rsidRPr="004B3F62">
        <w:t>§</w:t>
      </w:r>
      <w:r>
        <w:t xml:space="preserve"> </w:t>
      </w:r>
      <w:r w:rsidRPr="004B3F62">
        <w:t>35</w:t>
      </w:r>
      <w:r>
        <w:t xml:space="preserve"> </w:t>
      </w:r>
      <w:r w:rsidRPr="004B3F62">
        <w:t>odst.</w:t>
      </w:r>
      <w:r>
        <w:t xml:space="preserve"> </w:t>
      </w:r>
      <w:r w:rsidRPr="004B3F62">
        <w:t>1</w:t>
      </w:r>
      <w:r>
        <w:t xml:space="preserve"> </w:t>
      </w:r>
      <w:r w:rsidRPr="004B3F62">
        <w:t>písm.</w:t>
      </w:r>
      <w:r>
        <w:t xml:space="preserve"> </w:t>
      </w:r>
      <w:r w:rsidRPr="004B3F62">
        <w:t>f),</w:t>
      </w:r>
    </w:p>
    <w:p w14:paraId="3AC2B5FA" w14:textId="38044A65" w:rsidR="00554E2B" w:rsidRDefault="00554E2B" w:rsidP="00812ECA">
      <w:pPr>
        <w:pStyle w:val="Textparagrafu"/>
        <w:tabs>
          <w:tab w:val="left" w:pos="406"/>
          <w:tab w:val="left" w:pos="868"/>
        </w:tabs>
        <w:spacing w:before="0"/>
        <w:ind w:left="426" w:hanging="426"/>
      </w:pPr>
      <w:r w:rsidRPr="004B3F62">
        <w:t>g)</w:t>
      </w:r>
      <w:r w:rsidR="004E0A1A">
        <w:tab/>
      </w:r>
      <w:r w:rsidRPr="004B3F62">
        <w:t>v</w:t>
      </w:r>
      <w:r>
        <w:t xml:space="preserve"> </w:t>
      </w:r>
      <w:r w:rsidRPr="004B3F62">
        <w:t>rozporu</w:t>
      </w:r>
      <w:r>
        <w:t xml:space="preserve"> </w:t>
      </w:r>
      <w:r w:rsidRPr="004B3F62">
        <w:t>s</w:t>
      </w:r>
      <w:r>
        <w:t xml:space="preserve"> </w:t>
      </w:r>
      <w:r w:rsidRPr="004B3F62">
        <w:t>§</w:t>
      </w:r>
      <w:r>
        <w:t xml:space="preserve"> </w:t>
      </w:r>
      <w:r w:rsidRPr="004B3F62">
        <w:t>35</w:t>
      </w:r>
      <w:r>
        <w:t xml:space="preserve"> </w:t>
      </w:r>
      <w:r w:rsidRPr="004B3F62">
        <w:t>odst.</w:t>
      </w:r>
      <w:r>
        <w:t xml:space="preserve"> </w:t>
      </w:r>
      <w:r w:rsidRPr="004B3F62">
        <w:t>3</w:t>
      </w:r>
      <w:r>
        <w:t xml:space="preserve"> </w:t>
      </w:r>
      <w:r w:rsidRPr="004B3F62">
        <w:t>neposkytne</w:t>
      </w:r>
      <w:r>
        <w:t xml:space="preserve"> </w:t>
      </w:r>
      <w:r w:rsidRPr="004B3F62">
        <w:t>včas</w:t>
      </w:r>
      <w:r>
        <w:t xml:space="preserve"> </w:t>
      </w:r>
      <w:r w:rsidRPr="004B3F62">
        <w:t>zprávu</w:t>
      </w:r>
      <w:r>
        <w:t xml:space="preserve"> </w:t>
      </w:r>
      <w:r w:rsidRPr="004B3F62">
        <w:t>o</w:t>
      </w:r>
      <w:r>
        <w:t xml:space="preserve"> </w:t>
      </w:r>
      <w:r w:rsidRPr="004B3F62">
        <w:t>kvalitě</w:t>
      </w:r>
      <w:r>
        <w:t xml:space="preserve"> </w:t>
      </w:r>
      <w:r w:rsidRPr="004B3F62">
        <w:t>poskytovaných</w:t>
      </w:r>
      <w:r>
        <w:t xml:space="preserve"> </w:t>
      </w:r>
      <w:r w:rsidRPr="004B3F62">
        <w:t>služeb</w:t>
      </w:r>
      <w:r>
        <w:t xml:space="preserve"> </w:t>
      </w:r>
      <w:r w:rsidRPr="004B3F62">
        <w:t>Agentuře</w:t>
      </w:r>
      <w:r>
        <w:t xml:space="preserve"> </w:t>
      </w:r>
      <w:r w:rsidRPr="004B3F62">
        <w:t>Evropské</w:t>
      </w:r>
      <w:r>
        <w:t xml:space="preserve"> </w:t>
      </w:r>
      <w:r w:rsidRPr="004B3F62">
        <w:t>unie</w:t>
      </w:r>
      <w:r>
        <w:t xml:space="preserve"> </w:t>
      </w:r>
      <w:r w:rsidRPr="004B3F62">
        <w:t>pro</w:t>
      </w:r>
      <w:r>
        <w:t xml:space="preserve"> </w:t>
      </w:r>
      <w:r w:rsidRPr="004B3F62">
        <w:t>železnice,</w:t>
      </w:r>
    </w:p>
    <w:p w14:paraId="5ACC0B37" w14:textId="762CEAAA" w:rsidR="00554E2B" w:rsidRDefault="00554E2B" w:rsidP="00812ECA">
      <w:pPr>
        <w:pStyle w:val="Textparagrafu"/>
        <w:tabs>
          <w:tab w:val="left" w:pos="406"/>
          <w:tab w:val="left" w:pos="868"/>
        </w:tabs>
        <w:spacing w:before="0"/>
        <w:ind w:left="426" w:hanging="426"/>
      </w:pPr>
      <w:r w:rsidRPr="004B3F62">
        <w:t>h)</w:t>
      </w:r>
      <w:r w:rsidR="004E0A1A">
        <w:tab/>
      </w:r>
      <w:r w:rsidRPr="004B3F62">
        <w:t>provozuje</w:t>
      </w:r>
      <w:r>
        <w:t xml:space="preserve"> </w:t>
      </w:r>
      <w:r w:rsidRPr="004B3F62">
        <w:t>na</w:t>
      </w:r>
      <w:r>
        <w:t xml:space="preserve"> </w:t>
      </w:r>
      <w:r w:rsidRPr="004B3F62">
        <w:t>dráze</w:t>
      </w:r>
      <w:r>
        <w:t xml:space="preserve"> </w:t>
      </w:r>
      <w:r w:rsidRPr="004B3F62">
        <w:t>místní,</w:t>
      </w:r>
      <w:r>
        <w:t xml:space="preserve"> </w:t>
      </w:r>
      <w:r w:rsidRPr="004B3F62">
        <w:t>speciální,</w:t>
      </w:r>
      <w:r>
        <w:t xml:space="preserve"> </w:t>
      </w:r>
      <w:r w:rsidRPr="004B3F62">
        <w:t>tramvajové</w:t>
      </w:r>
      <w:r>
        <w:t xml:space="preserve"> </w:t>
      </w:r>
      <w:r w:rsidRPr="004B3F62">
        <w:t>nebo</w:t>
      </w:r>
      <w:r>
        <w:t xml:space="preserve"> </w:t>
      </w:r>
      <w:r w:rsidRPr="004B3F62">
        <w:t>trolejbusové</w:t>
      </w:r>
      <w:r>
        <w:t xml:space="preserve"> </w:t>
      </w:r>
      <w:r w:rsidRPr="004B3F62">
        <w:t>anebo</w:t>
      </w:r>
      <w:r>
        <w:t xml:space="preserve"> </w:t>
      </w:r>
      <w:r w:rsidRPr="004B3F62">
        <w:t>na</w:t>
      </w:r>
      <w:r>
        <w:t xml:space="preserve"> </w:t>
      </w:r>
      <w:r w:rsidRPr="004B3F62">
        <w:t>vlečce</w:t>
      </w:r>
      <w:r>
        <w:t xml:space="preserve"> </w:t>
      </w:r>
      <w:r w:rsidRPr="004B3F62">
        <w:t>drážní</w:t>
      </w:r>
      <w:r>
        <w:t xml:space="preserve"> </w:t>
      </w:r>
      <w:r w:rsidRPr="004B3F62">
        <w:t>vozidlo</w:t>
      </w:r>
      <w:r>
        <w:t xml:space="preserve"> </w:t>
      </w:r>
      <w:r w:rsidRPr="004B3F62">
        <w:t>nesplňující</w:t>
      </w:r>
      <w:r>
        <w:t xml:space="preserve"> </w:t>
      </w:r>
      <w:r w:rsidRPr="004B3F62">
        <w:t>některou</w:t>
      </w:r>
      <w:r>
        <w:t xml:space="preserve"> </w:t>
      </w:r>
      <w:r w:rsidRPr="004B3F62">
        <w:t>z</w:t>
      </w:r>
      <w:r>
        <w:t xml:space="preserve"> </w:t>
      </w:r>
      <w:r w:rsidRPr="004B3F62">
        <w:t>podmínek</w:t>
      </w:r>
      <w:r>
        <w:t xml:space="preserve"> </w:t>
      </w:r>
      <w:r w:rsidRPr="004B3F62">
        <w:t>uvedených</w:t>
      </w:r>
      <w:r>
        <w:t xml:space="preserve"> </w:t>
      </w:r>
      <w:r w:rsidRPr="004B3F62">
        <w:t>v</w:t>
      </w:r>
      <w:r>
        <w:t xml:space="preserve"> </w:t>
      </w:r>
      <w:r w:rsidRPr="004B3F62">
        <w:t>§</w:t>
      </w:r>
      <w:r>
        <w:t xml:space="preserve"> </w:t>
      </w:r>
      <w:r w:rsidRPr="004B3F62">
        <w:t>43c</w:t>
      </w:r>
      <w:r>
        <w:t xml:space="preserve"> </w:t>
      </w:r>
      <w:r w:rsidRPr="004B3F62">
        <w:t>odst.</w:t>
      </w:r>
      <w:r>
        <w:t xml:space="preserve"> </w:t>
      </w:r>
      <w:r w:rsidRPr="004B3F62">
        <w:t>1,</w:t>
      </w:r>
      <w:r>
        <w:t xml:space="preserve"> </w:t>
      </w:r>
      <w:r w:rsidRPr="004B3F62">
        <w:t>pokud</w:t>
      </w:r>
      <w:r>
        <w:t xml:space="preserve"> </w:t>
      </w:r>
      <w:r w:rsidRPr="004B3F62">
        <w:t>se</w:t>
      </w:r>
      <w:r>
        <w:t xml:space="preserve"> </w:t>
      </w:r>
      <w:r w:rsidRPr="004B3F62">
        <w:t>nejedná</w:t>
      </w:r>
      <w:r>
        <w:t xml:space="preserve"> </w:t>
      </w:r>
      <w:r w:rsidRPr="004B3F62">
        <w:t>o</w:t>
      </w:r>
      <w:r>
        <w:t xml:space="preserve"> </w:t>
      </w:r>
      <w:r w:rsidRPr="004B3F62">
        <w:t>drážní</w:t>
      </w:r>
      <w:r>
        <w:t xml:space="preserve"> </w:t>
      </w:r>
      <w:r w:rsidRPr="004B3F62">
        <w:t>vozidlo</w:t>
      </w:r>
      <w:r>
        <w:t xml:space="preserve"> </w:t>
      </w:r>
      <w:r w:rsidRPr="004B3F62">
        <w:t>provozované</w:t>
      </w:r>
      <w:r>
        <w:t xml:space="preserve"> </w:t>
      </w:r>
      <w:r w:rsidRPr="004B3F62">
        <w:t>v</w:t>
      </w:r>
      <w:r>
        <w:t xml:space="preserve"> </w:t>
      </w:r>
      <w:r w:rsidRPr="004B3F62">
        <w:t>souladu</w:t>
      </w:r>
      <w:r>
        <w:t xml:space="preserve"> </w:t>
      </w:r>
      <w:r w:rsidRPr="004B3F62">
        <w:t>s</w:t>
      </w:r>
      <w:r>
        <w:t xml:space="preserve"> </w:t>
      </w:r>
      <w:r w:rsidRPr="004B3F62">
        <w:t>§</w:t>
      </w:r>
      <w:r>
        <w:t xml:space="preserve"> </w:t>
      </w:r>
      <w:r w:rsidRPr="004B3F62">
        <w:t>43c</w:t>
      </w:r>
      <w:r>
        <w:t xml:space="preserve"> </w:t>
      </w:r>
      <w:r w:rsidRPr="004B3F62">
        <w:t>odst.</w:t>
      </w:r>
      <w:r>
        <w:t xml:space="preserve"> </w:t>
      </w:r>
      <w:r w:rsidRPr="004B3F62">
        <w:t>2,</w:t>
      </w:r>
    </w:p>
    <w:p w14:paraId="60D71D30" w14:textId="33D738C2" w:rsidR="00554E2B" w:rsidRDefault="00554E2B" w:rsidP="00812ECA">
      <w:pPr>
        <w:pStyle w:val="Textparagrafu"/>
        <w:tabs>
          <w:tab w:val="left" w:pos="406"/>
          <w:tab w:val="left" w:pos="868"/>
        </w:tabs>
        <w:spacing w:before="0"/>
        <w:ind w:left="426" w:hanging="426"/>
      </w:pPr>
      <w:r w:rsidRPr="004B3F62">
        <w:t>i)</w:t>
      </w:r>
      <w:r w:rsidR="004E0A1A">
        <w:tab/>
      </w:r>
      <w:r w:rsidRPr="004B3F62">
        <w:t>v</w:t>
      </w:r>
      <w:r>
        <w:t xml:space="preserve"> </w:t>
      </w:r>
      <w:r w:rsidRPr="004B3F62">
        <w:t>rozporu</w:t>
      </w:r>
      <w:r>
        <w:t xml:space="preserve"> </w:t>
      </w:r>
      <w:r w:rsidRPr="004B3F62">
        <w:t>s</w:t>
      </w:r>
      <w:r>
        <w:t xml:space="preserve"> </w:t>
      </w:r>
      <w:r w:rsidRPr="004B3F62">
        <w:t>§</w:t>
      </w:r>
      <w:r>
        <w:t xml:space="preserve"> </w:t>
      </w:r>
      <w:r w:rsidRPr="004B3F62">
        <w:t>43d</w:t>
      </w:r>
      <w:r>
        <w:t xml:space="preserve"> </w:t>
      </w:r>
      <w:r w:rsidRPr="004B3F62">
        <w:t>odst.</w:t>
      </w:r>
      <w:r>
        <w:t xml:space="preserve"> </w:t>
      </w:r>
      <w:r w:rsidRPr="004B3F62">
        <w:t>1</w:t>
      </w:r>
      <w:r>
        <w:t xml:space="preserve"> </w:t>
      </w:r>
      <w:r w:rsidRPr="004B3F62">
        <w:t>provozuje</w:t>
      </w:r>
      <w:r>
        <w:t xml:space="preserve"> </w:t>
      </w:r>
      <w:r w:rsidRPr="004B3F62">
        <w:t>drážní</w:t>
      </w:r>
      <w:r>
        <w:t xml:space="preserve"> </w:t>
      </w:r>
      <w:r w:rsidRPr="004B3F62">
        <w:t>vozidlo,</w:t>
      </w:r>
      <w:r>
        <w:t xml:space="preserve"> </w:t>
      </w:r>
      <w:r w:rsidRPr="004B3F62">
        <w:t>u</w:t>
      </w:r>
      <w:r>
        <w:t xml:space="preserve"> </w:t>
      </w:r>
      <w:r w:rsidRPr="004B3F62">
        <w:t>něhož</w:t>
      </w:r>
      <w:r>
        <w:t xml:space="preserve"> </w:t>
      </w:r>
      <w:r w:rsidRPr="004B3F62">
        <w:t>byla</w:t>
      </w:r>
      <w:r>
        <w:t xml:space="preserve"> </w:t>
      </w:r>
      <w:r w:rsidRPr="004B3F62">
        <w:t>provedena</w:t>
      </w:r>
      <w:r>
        <w:t xml:space="preserve"> </w:t>
      </w:r>
      <w:r w:rsidRPr="004B3F62">
        <w:t>změna</w:t>
      </w:r>
      <w:r>
        <w:t xml:space="preserve"> </w:t>
      </w:r>
      <w:r w:rsidRPr="004B3F62">
        <w:t>konstrukce</w:t>
      </w:r>
      <w:r>
        <w:t xml:space="preserve"> </w:t>
      </w:r>
      <w:r w:rsidRPr="004B3F62">
        <w:t>představující</w:t>
      </w:r>
      <w:r>
        <w:t xml:space="preserve"> </w:t>
      </w:r>
      <w:r w:rsidRPr="004B3F62">
        <w:t>podstatnou</w:t>
      </w:r>
      <w:r>
        <w:t xml:space="preserve"> </w:t>
      </w:r>
      <w:r w:rsidRPr="004B3F62">
        <w:t>odchylku</w:t>
      </w:r>
      <w:r>
        <w:t xml:space="preserve"> </w:t>
      </w:r>
      <w:r w:rsidRPr="004B3F62">
        <w:t>od</w:t>
      </w:r>
      <w:r>
        <w:t xml:space="preserve"> </w:t>
      </w:r>
      <w:r w:rsidRPr="004B3F62">
        <w:t>schváleného</w:t>
      </w:r>
      <w:r>
        <w:t xml:space="preserve"> </w:t>
      </w:r>
      <w:r w:rsidRPr="004B3F62">
        <w:t>typu</w:t>
      </w:r>
      <w:r>
        <w:t xml:space="preserve"> </w:t>
      </w:r>
      <w:r w:rsidRPr="004B3F62">
        <w:t>vozidla,</w:t>
      </w:r>
      <w:r>
        <w:t xml:space="preserve"> </w:t>
      </w:r>
      <w:r w:rsidRPr="004B3F62">
        <w:t>bez</w:t>
      </w:r>
      <w:r>
        <w:t xml:space="preserve"> </w:t>
      </w:r>
      <w:r w:rsidRPr="004B3F62">
        <w:t>schválení,</w:t>
      </w:r>
    </w:p>
    <w:p w14:paraId="37879CF8" w14:textId="0EA6B787" w:rsidR="00554E2B" w:rsidRDefault="00554E2B" w:rsidP="00812ECA">
      <w:pPr>
        <w:pStyle w:val="Textparagrafu"/>
        <w:tabs>
          <w:tab w:val="left" w:pos="406"/>
          <w:tab w:val="left" w:pos="868"/>
        </w:tabs>
        <w:spacing w:before="0"/>
        <w:ind w:left="426" w:hanging="426"/>
      </w:pPr>
      <w:r w:rsidRPr="004B3F62">
        <w:t>j)</w:t>
      </w:r>
      <w:r w:rsidR="004E0A1A">
        <w:tab/>
      </w:r>
      <w:r w:rsidRPr="004B3F62">
        <w:t>v</w:t>
      </w:r>
      <w:r>
        <w:t xml:space="preserve"> </w:t>
      </w:r>
      <w:r w:rsidRPr="004B3F62">
        <w:t>rozporu</w:t>
      </w:r>
      <w:r>
        <w:t xml:space="preserve"> </w:t>
      </w:r>
      <w:r w:rsidRPr="004B3F62">
        <w:t>s</w:t>
      </w:r>
      <w:r>
        <w:t xml:space="preserve"> </w:t>
      </w:r>
      <w:r w:rsidRPr="004B3F62">
        <w:t>§</w:t>
      </w:r>
      <w:r>
        <w:t xml:space="preserve"> </w:t>
      </w:r>
      <w:r w:rsidRPr="004B3F62">
        <w:t>43f</w:t>
      </w:r>
      <w:r>
        <w:t xml:space="preserve"> </w:t>
      </w:r>
      <w:r w:rsidRPr="004B3F62">
        <w:t>odst.</w:t>
      </w:r>
      <w:r>
        <w:t xml:space="preserve"> </w:t>
      </w:r>
      <w:r w:rsidRPr="004B3F62">
        <w:t>5</w:t>
      </w:r>
      <w:r>
        <w:t xml:space="preserve"> </w:t>
      </w:r>
      <w:r w:rsidRPr="004B3F62">
        <w:t>provozuje</w:t>
      </w:r>
      <w:r>
        <w:t xml:space="preserve"> </w:t>
      </w:r>
      <w:r w:rsidRPr="004B3F62">
        <w:t>historické</w:t>
      </w:r>
      <w:r>
        <w:t xml:space="preserve"> </w:t>
      </w:r>
      <w:r w:rsidRPr="004B3F62">
        <w:t>drážní</w:t>
      </w:r>
      <w:r>
        <w:t xml:space="preserve"> </w:t>
      </w:r>
      <w:r w:rsidRPr="004B3F62">
        <w:t>vozidlo</w:t>
      </w:r>
      <w:r>
        <w:t xml:space="preserve"> </w:t>
      </w:r>
      <w:r w:rsidRPr="004B3F62">
        <w:t>na</w:t>
      </w:r>
      <w:r>
        <w:t xml:space="preserve"> </w:t>
      </w:r>
      <w:r w:rsidRPr="004B3F62">
        <w:t>dráze</w:t>
      </w:r>
      <w:r>
        <w:t xml:space="preserve"> </w:t>
      </w:r>
      <w:r w:rsidRPr="004B3F62">
        <w:t>celostátní,</w:t>
      </w:r>
      <w:r>
        <w:t xml:space="preserve"> </w:t>
      </w:r>
      <w:r w:rsidRPr="004B3F62">
        <w:t>regionální,</w:t>
      </w:r>
      <w:r>
        <w:t xml:space="preserve"> </w:t>
      </w:r>
      <w:r w:rsidRPr="004B3F62">
        <w:t>místní,</w:t>
      </w:r>
      <w:r>
        <w:t xml:space="preserve"> </w:t>
      </w:r>
      <w:r w:rsidRPr="004B3F62">
        <w:t>speciální,</w:t>
      </w:r>
      <w:r>
        <w:t xml:space="preserve"> </w:t>
      </w:r>
      <w:r w:rsidRPr="004B3F62">
        <w:t>tramvajové</w:t>
      </w:r>
      <w:r>
        <w:t xml:space="preserve"> </w:t>
      </w:r>
      <w:r w:rsidRPr="004B3F62">
        <w:t>nebo</w:t>
      </w:r>
      <w:r>
        <w:t xml:space="preserve"> </w:t>
      </w:r>
      <w:r w:rsidRPr="004B3F62">
        <w:t>trolejbusové</w:t>
      </w:r>
      <w:r>
        <w:t xml:space="preserve"> </w:t>
      </w:r>
      <w:r w:rsidRPr="004B3F62">
        <w:t>anebo</w:t>
      </w:r>
      <w:r>
        <w:t xml:space="preserve"> </w:t>
      </w:r>
      <w:r w:rsidRPr="004B3F62">
        <w:t>na</w:t>
      </w:r>
      <w:r>
        <w:t xml:space="preserve"> </w:t>
      </w:r>
      <w:r w:rsidRPr="004B3F62">
        <w:t>vlečce</w:t>
      </w:r>
      <w:r>
        <w:t xml:space="preserve"> </w:t>
      </w:r>
      <w:r w:rsidRPr="004B3F62">
        <w:t>k</w:t>
      </w:r>
      <w:r>
        <w:t xml:space="preserve"> </w:t>
      </w:r>
      <w:r w:rsidRPr="004B3F62">
        <w:t>jinému</w:t>
      </w:r>
      <w:r>
        <w:t xml:space="preserve"> </w:t>
      </w:r>
      <w:r w:rsidRPr="004B3F62">
        <w:t>účelu</w:t>
      </w:r>
      <w:r>
        <w:t xml:space="preserve"> </w:t>
      </w:r>
      <w:r w:rsidRPr="004B3F62">
        <w:t>než</w:t>
      </w:r>
      <w:r>
        <w:t xml:space="preserve"> </w:t>
      </w:r>
      <w:r w:rsidRPr="004B3F62">
        <w:t>k</w:t>
      </w:r>
      <w:r>
        <w:t xml:space="preserve"> </w:t>
      </w:r>
      <w:r w:rsidRPr="004B3F62">
        <w:t>uspokojování</w:t>
      </w:r>
      <w:r>
        <w:t xml:space="preserve"> </w:t>
      </w:r>
      <w:r w:rsidRPr="004B3F62">
        <w:t>kulturních</w:t>
      </w:r>
      <w:r>
        <w:t xml:space="preserve"> </w:t>
      </w:r>
      <w:r w:rsidRPr="004B3F62">
        <w:t>nebo</w:t>
      </w:r>
      <w:r>
        <w:t xml:space="preserve"> </w:t>
      </w:r>
      <w:r w:rsidRPr="004B3F62">
        <w:t>volnočasových</w:t>
      </w:r>
      <w:r>
        <w:t xml:space="preserve"> </w:t>
      </w:r>
      <w:r w:rsidRPr="004B3F62">
        <w:t>potřeb,</w:t>
      </w:r>
    </w:p>
    <w:p w14:paraId="689DAA76" w14:textId="7B996063" w:rsidR="00554E2B" w:rsidRDefault="00554E2B" w:rsidP="00812ECA">
      <w:pPr>
        <w:pStyle w:val="Textparagrafu"/>
        <w:tabs>
          <w:tab w:val="left" w:pos="406"/>
          <w:tab w:val="left" w:pos="868"/>
        </w:tabs>
        <w:spacing w:before="0"/>
        <w:ind w:left="426" w:hanging="426"/>
      </w:pPr>
      <w:r w:rsidRPr="004B3F62">
        <w:t>k)</w:t>
      </w:r>
      <w:r w:rsidR="004E0A1A">
        <w:tab/>
      </w:r>
      <w:r w:rsidRPr="004B3F62">
        <w:t>nezajistí</w:t>
      </w:r>
      <w:r>
        <w:t xml:space="preserve"> </w:t>
      </w:r>
      <w:r w:rsidRPr="004B3F62">
        <w:t>v</w:t>
      </w:r>
      <w:r>
        <w:t xml:space="preserve"> </w:t>
      </w:r>
      <w:r w:rsidRPr="004B3F62">
        <w:t>souladu</w:t>
      </w:r>
      <w:r>
        <w:t xml:space="preserve"> </w:t>
      </w:r>
      <w:r w:rsidRPr="004B3F62">
        <w:t>s</w:t>
      </w:r>
      <w:r>
        <w:t xml:space="preserve"> </w:t>
      </w:r>
      <w:r w:rsidRPr="004B3F62">
        <w:t>§</w:t>
      </w:r>
      <w:r>
        <w:t xml:space="preserve"> </w:t>
      </w:r>
      <w:r w:rsidRPr="004B3F62">
        <w:t>46i</w:t>
      </w:r>
      <w:r>
        <w:t xml:space="preserve"> </w:t>
      </w:r>
      <w:r w:rsidRPr="004B3F62">
        <w:t>odst.</w:t>
      </w:r>
      <w:r>
        <w:t xml:space="preserve"> </w:t>
      </w:r>
      <w:r w:rsidRPr="004B3F62">
        <w:t>1</w:t>
      </w:r>
      <w:r>
        <w:t xml:space="preserve"> </w:t>
      </w:r>
      <w:r w:rsidRPr="004B3F62">
        <w:t>vydávání</w:t>
      </w:r>
      <w:r>
        <w:t xml:space="preserve"> </w:t>
      </w:r>
      <w:r w:rsidRPr="004B3F62">
        <w:t>osvědčení</w:t>
      </w:r>
      <w:r>
        <w:t xml:space="preserve"> </w:t>
      </w:r>
      <w:r w:rsidRPr="004B3F62">
        <w:t>strojvedoucího,</w:t>
      </w:r>
    </w:p>
    <w:p w14:paraId="03A15EF1" w14:textId="7AE1DC94" w:rsidR="00554E2B" w:rsidRDefault="00554E2B" w:rsidP="00812ECA">
      <w:pPr>
        <w:pStyle w:val="Textparagrafu"/>
        <w:tabs>
          <w:tab w:val="left" w:pos="406"/>
          <w:tab w:val="left" w:pos="868"/>
        </w:tabs>
        <w:spacing w:before="0"/>
        <w:ind w:left="426" w:hanging="426"/>
      </w:pPr>
      <w:r w:rsidRPr="004B3F62">
        <w:t>l)</w:t>
      </w:r>
      <w:r w:rsidR="004E0A1A">
        <w:tab/>
      </w:r>
      <w:r w:rsidRPr="004B3F62">
        <w:t>neprovádí</w:t>
      </w:r>
      <w:r>
        <w:t xml:space="preserve"> </w:t>
      </w:r>
      <w:r w:rsidRPr="004B3F62">
        <w:t>v</w:t>
      </w:r>
      <w:r>
        <w:t xml:space="preserve"> </w:t>
      </w:r>
      <w:r w:rsidRPr="004B3F62">
        <w:t>souladu</w:t>
      </w:r>
      <w:r>
        <w:t xml:space="preserve"> </w:t>
      </w:r>
      <w:r w:rsidRPr="004B3F62">
        <w:t>s</w:t>
      </w:r>
      <w:r>
        <w:t xml:space="preserve"> </w:t>
      </w:r>
      <w:r w:rsidRPr="004B3F62">
        <w:t>§</w:t>
      </w:r>
      <w:r>
        <w:t xml:space="preserve"> </w:t>
      </w:r>
      <w:r w:rsidRPr="004B3F62">
        <w:t>46q</w:t>
      </w:r>
      <w:r>
        <w:t xml:space="preserve"> </w:t>
      </w:r>
      <w:r w:rsidRPr="004B3F62">
        <w:t>pravidelnou</w:t>
      </w:r>
      <w:r>
        <w:t xml:space="preserve"> </w:t>
      </w:r>
      <w:r w:rsidRPr="004B3F62">
        <w:t>kontrolu</w:t>
      </w:r>
      <w:r>
        <w:t xml:space="preserve"> </w:t>
      </w:r>
      <w:r w:rsidRPr="004B3F62">
        <w:t>činnosti</w:t>
      </w:r>
      <w:r>
        <w:t xml:space="preserve"> </w:t>
      </w:r>
      <w:r w:rsidRPr="004B3F62">
        <w:t>strojvedoucích,</w:t>
      </w:r>
      <w:r>
        <w:t xml:space="preserve"> </w:t>
      </w:r>
      <w:r w:rsidRPr="004B3F62">
        <w:t>kterým</w:t>
      </w:r>
      <w:r>
        <w:t xml:space="preserve"> </w:t>
      </w:r>
      <w:r w:rsidRPr="004B3F62">
        <w:t>vydal</w:t>
      </w:r>
      <w:r>
        <w:t xml:space="preserve"> </w:t>
      </w:r>
      <w:r w:rsidRPr="004B3F62">
        <w:t>osvědčení</w:t>
      </w:r>
      <w:r>
        <w:t xml:space="preserve"> </w:t>
      </w:r>
      <w:r w:rsidRPr="004B3F62">
        <w:t>strojvedoucího,</w:t>
      </w:r>
      <w:r>
        <w:t xml:space="preserve"> </w:t>
      </w:r>
      <w:r w:rsidRPr="004B3F62">
        <w:t>nebo</w:t>
      </w:r>
    </w:p>
    <w:p w14:paraId="60C3F082" w14:textId="7DF8D105" w:rsidR="00554E2B" w:rsidRDefault="00554E2B" w:rsidP="00812ECA">
      <w:pPr>
        <w:pStyle w:val="Textparagrafu"/>
        <w:tabs>
          <w:tab w:val="left" w:pos="406"/>
          <w:tab w:val="left" w:pos="868"/>
        </w:tabs>
        <w:spacing w:before="0"/>
        <w:ind w:left="426" w:hanging="426"/>
      </w:pPr>
      <w:r w:rsidRPr="004B3F62">
        <w:lastRenderedPageBreak/>
        <w:t>m)</w:t>
      </w:r>
      <w:r w:rsidR="004E0A1A">
        <w:tab/>
      </w:r>
      <w:r w:rsidRPr="004B3F62">
        <w:t>nezajistí</w:t>
      </w:r>
      <w:r>
        <w:t xml:space="preserve"> </w:t>
      </w:r>
      <w:r w:rsidRPr="004B3F62">
        <w:t>v</w:t>
      </w:r>
      <w:r>
        <w:t xml:space="preserve"> </w:t>
      </w:r>
      <w:r w:rsidRPr="004B3F62">
        <w:t>souladu</w:t>
      </w:r>
      <w:r>
        <w:t xml:space="preserve"> </w:t>
      </w:r>
      <w:r w:rsidRPr="004B3F62">
        <w:t>s</w:t>
      </w:r>
      <w:r>
        <w:t xml:space="preserve"> </w:t>
      </w:r>
      <w:r w:rsidRPr="004B3F62">
        <w:t>§</w:t>
      </w:r>
      <w:r>
        <w:t xml:space="preserve"> </w:t>
      </w:r>
      <w:r w:rsidRPr="004B3F62">
        <w:t>46r</w:t>
      </w:r>
      <w:r>
        <w:t xml:space="preserve"> </w:t>
      </w:r>
      <w:r w:rsidRPr="004B3F62">
        <w:t>odst.</w:t>
      </w:r>
      <w:r>
        <w:t xml:space="preserve"> </w:t>
      </w:r>
      <w:r w:rsidRPr="004B3F62">
        <w:t>2</w:t>
      </w:r>
      <w:r>
        <w:t xml:space="preserve"> </w:t>
      </w:r>
      <w:r w:rsidRPr="004B3F62">
        <w:t>vedení</w:t>
      </w:r>
      <w:r>
        <w:t xml:space="preserve"> </w:t>
      </w:r>
      <w:r w:rsidRPr="004B3F62">
        <w:t>a</w:t>
      </w:r>
      <w:r>
        <w:t xml:space="preserve"> </w:t>
      </w:r>
      <w:r w:rsidRPr="004B3F62">
        <w:t>pravidelnou</w:t>
      </w:r>
      <w:r>
        <w:t xml:space="preserve"> </w:t>
      </w:r>
      <w:r w:rsidRPr="004B3F62">
        <w:t>aktualizaci</w:t>
      </w:r>
      <w:r>
        <w:t xml:space="preserve"> </w:t>
      </w:r>
      <w:r w:rsidRPr="004B3F62">
        <w:t>rejstříku</w:t>
      </w:r>
      <w:r>
        <w:t xml:space="preserve"> </w:t>
      </w:r>
      <w:r w:rsidRPr="004B3F62">
        <w:t>osvědčení</w:t>
      </w:r>
      <w:r>
        <w:t xml:space="preserve"> </w:t>
      </w:r>
      <w:r w:rsidRPr="004B3F62">
        <w:t>strojvedoucích</w:t>
      </w:r>
      <w:r>
        <w:t xml:space="preserve"> </w:t>
      </w:r>
      <w:r w:rsidRPr="004B3F62">
        <w:t>a</w:t>
      </w:r>
      <w:r>
        <w:t xml:space="preserve"> </w:t>
      </w:r>
      <w:r w:rsidRPr="004B3F62">
        <w:t>poskytování</w:t>
      </w:r>
      <w:r>
        <w:t xml:space="preserve"> </w:t>
      </w:r>
      <w:r w:rsidRPr="004B3F62">
        <w:t>informací</w:t>
      </w:r>
      <w:r>
        <w:t xml:space="preserve"> </w:t>
      </w:r>
      <w:r w:rsidRPr="004B3F62">
        <w:t>z</w:t>
      </w:r>
      <w:r>
        <w:t xml:space="preserve"> </w:t>
      </w:r>
      <w:r w:rsidRPr="004B3F62">
        <w:t>tohoto</w:t>
      </w:r>
      <w:r>
        <w:t xml:space="preserve"> </w:t>
      </w:r>
      <w:r w:rsidRPr="004B3F62">
        <w:t>rejstříku</w:t>
      </w:r>
      <w:r>
        <w:t xml:space="preserve"> </w:t>
      </w:r>
      <w:r w:rsidRPr="004B3F62">
        <w:t>v</w:t>
      </w:r>
      <w:r>
        <w:t xml:space="preserve"> </w:t>
      </w:r>
      <w:r w:rsidRPr="004B3F62">
        <w:t>souladu</w:t>
      </w:r>
      <w:r>
        <w:t xml:space="preserve"> </w:t>
      </w:r>
      <w:r w:rsidRPr="004B3F62">
        <w:t>s</w:t>
      </w:r>
      <w:r>
        <w:t xml:space="preserve"> </w:t>
      </w:r>
      <w:r w:rsidRPr="004B3F62">
        <w:t>přímo</w:t>
      </w:r>
      <w:r>
        <w:t xml:space="preserve"> </w:t>
      </w:r>
      <w:r w:rsidRPr="004B3F62">
        <w:t>použitelným</w:t>
      </w:r>
      <w:r>
        <w:t xml:space="preserve"> </w:t>
      </w:r>
      <w:r w:rsidRPr="004B3F62">
        <w:t>předpisem</w:t>
      </w:r>
      <w:r>
        <w:t xml:space="preserve"> </w:t>
      </w:r>
      <w:r w:rsidRPr="004B3F62">
        <w:t>Evropské</w:t>
      </w:r>
      <w:r>
        <w:t xml:space="preserve"> </w:t>
      </w:r>
      <w:r w:rsidR="004E0A1A">
        <w:t>unie</w:t>
      </w:r>
      <w:r w:rsidR="004E0A1A">
        <w:rPr>
          <w:rStyle w:val="Znakapoznpodarou"/>
        </w:rPr>
        <w:footnoteReference w:customMarkFollows="1" w:id="215"/>
        <w:t>5c)</w:t>
      </w:r>
      <w:r w:rsidRPr="004B3F62">
        <w:t>.</w:t>
      </w:r>
    </w:p>
    <w:p w14:paraId="57EE8477" w14:textId="77777777" w:rsidR="00554E2B" w:rsidRDefault="00554E2B" w:rsidP="00CE2C91">
      <w:pPr>
        <w:pStyle w:val="Textparagrafu"/>
        <w:tabs>
          <w:tab w:val="left" w:pos="406"/>
          <w:tab w:val="left" w:pos="826"/>
        </w:tabs>
        <w:spacing w:before="120" w:after="120"/>
      </w:pPr>
      <w:r w:rsidRPr="004B3F62">
        <w:t>(2)</w:t>
      </w:r>
      <w:r>
        <w:t xml:space="preserve"> </w:t>
      </w:r>
      <w:r w:rsidRPr="004B3F62">
        <w:t>Právnická</w:t>
      </w:r>
      <w:r>
        <w:t xml:space="preserve"> </w:t>
      </w:r>
      <w:r w:rsidRPr="004B3F62">
        <w:t>nebo</w:t>
      </w:r>
      <w:r>
        <w:t xml:space="preserve"> </w:t>
      </w:r>
      <w:r w:rsidRPr="004B3F62">
        <w:t>podnikající</w:t>
      </w:r>
      <w:r>
        <w:t xml:space="preserve"> </w:t>
      </w:r>
      <w:r w:rsidRPr="004B3F62">
        <w:t>fyzická</w:t>
      </w:r>
      <w:r>
        <w:t xml:space="preserve"> </w:t>
      </w:r>
      <w:r w:rsidRPr="004B3F62">
        <w:t>osoba</w:t>
      </w:r>
      <w:r>
        <w:t xml:space="preserve"> </w:t>
      </w:r>
      <w:r w:rsidRPr="004B3F62">
        <w:t>se</w:t>
      </w:r>
      <w:r>
        <w:t xml:space="preserve"> </w:t>
      </w:r>
      <w:r w:rsidRPr="004B3F62">
        <w:t>jako</w:t>
      </w:r>
      <w:r>
        <w:t xml:space="preserve"> </w:t>
      </w:r>
      <w:r w:rsidRPr="004B3F62">
        <w:t>dopravce</w:t>
      </w:r>
      <w:r>
        <w:t xml:space="preserve"> </w:t>
      </w:r>
      <w:r w:rsidRPr="004B3F62">
        <w:t>na</w:t>
      </w:r>
      <w:r>
        <w:t xml:space="preserve"> </w:t>
      </w:r>
      <w:r w:rsidRPr="004B3F62">
        <w:t>dráze</w:t>
      </w:r>
      <w:r>
        <w:t xml:space="preserve"> </w:t>
      </w:r>
      <w:r w:rsidRPr="004B3F62">
        <w:t>celostátní</w:t>
      </w:r>
      <w:r>
        <w:t xml:space="preserve"> </w:t>
      </w:r>
      <w:r w:rsidRPr="004B3F62">
        <w:t>nebo</w:t>
      </w:r>
      <w:r>
        <w:t xml:space="preserve"> </w:t>
      </w:r>
      <w:r w:rsidRPr="004B3F62">
        <w:t>regionální</w:t>
      </w:r>
      <w:r>
        <w:t xml:space="preserve"> </w:t>
      </w:r>
      <w:r w:rsidRPr="004B3F62">
        <w:t>dopustí</w:t>
      </w:r>
      <w:r>
        <w:t xml:space="preserve"> </w:t>
      </w:r>
      <w:r w:rsidRPr="004B3F62">
        <w:t>přestupku</w:t>
      </w:r>
      <w:r>
        <w:t xml:space="preserve"> </w:t>
      </w:r>
      <w:r w:rsidRPr="004B3F62">
        <w:t>tím,</w:t>
      </w:r>
      <w:r>
        <w:t xml:space="preserve"> </w:t>
      </w:r>
      <w:r w:rsidRPr="004B3F62">
        <w:t>že</w:t>
      </w:r>
    </w:p>
    <w:p w14:paraId="745CAFE1" w14:textId="52F46C09" w:rsidR="00554E2B" w:rsidRDefault="00554E2B" w:rsidP="00812ECA">
      <w:pPr>
        <w:pStyle w:val="Textparagrafu"/>
        <w:tabs>
          <w:tab w:val="left" w:pos="406"/>
          <w:tab w:val="left" w:pos="868"/>
        </w:tabs>
        <w:spacing w:before="0"/>
        <w:ind w:left="426" w:hanging="426"/>
      </w:pPr>
      <w:r w:rsidRPr="004B3F62">
        <w:t>a)</w:t>
      </w:r>
      <w:r w:rsidR="002474FB">
        <w:tab/>
      </w:r>
      <w:r w:rsidRPr="004B3F62">
        <w:t>v</w:t>
      </w:r>
      <w:r>
        <w:t xml:space="preserve"> </w:t>
      </w:r>
      <w:r w:rsidRPr="004B3F62">
        <w:t>rozporu</w:t>
      </w:r>
      <w:r>
        <w:t xml:space="preserve"> </w:t>
      </w:r>
      <w:r w:rsidRPr="004B3F62">
        <w:t>s</w:t>
      </w:r>
      <w:r>
        <w:t xml:space="preserve"> </w:t>
      </w:r>
      <w:r w:rsidRPr="004B3F62">
        <w:t>24a</w:t>
      </w:r>
      <w:r>
        <w:t xml:space="preserve"> </w:t>
      </w:r>
      <w:r w:rsidRPr="004B3F62">
        <w:t>odst.</w:t>
      </w:r>
      <w:r>
        <w:t xml:space="preserve"> </w:t>
      </w:r>
      <w:r w:rsidRPr="004B3F62">
        <w:t>1</w:t>
      </w:r>
      <w:r>
        <w:t xml:space="preserve"> </w:t>
      </w:r>
      <w:r w:rsidRPr="004B3F62">
        <w:t>písm.</w:t>
      </w:r>
      <w:r>
        <w:t xml:space="preserve"> </w:t>
      </w:r>
      <w:r w:rsidRPr="004B3F62">
        <w:t>b)</w:t>
      </w:r>
      <w:r>
        <w:t xml:space="preserve"> </w:t>
      </w:r>
      <w:r w:rsidRPr="004B3F62">
        <w:t>provozuje</w:t>
      </w:r>
      <w:r>
        <w:t xml:space="preserve"> </w:t>
      </w:r>
      <w:r w:rsidRPr="004B3F62">
        <w:t>drážní</w:t>
      </w:r>
      <w:r>
        <w:t xml:space="preserve"> </w:t>
      </w:r>
      <w:r w:rsidRPr="004B3F62">
        <w:t>dopravu</w:t>
      </w:r>
      <w:r>
        <w:t xml:space="preserve"> </w:t>
      </w:r>
      <w:r w:rsidRPr="004B3F62">
        <w:t>bez</w:t>
      </w:r>
      <w:r>
        <w:t xml:space="preserve"> </w:t>
      </w:r>
      <w:r w:rsidRPr="004B3F62">
        <w:t>platného</w:t>
      </w:r>
      <w:r>
        <w:t xml:space="preserve"> </w:t>
      </w:r>
      <w:r w:rsidRPr="004B3F62">
        <w:t>osvědčení</w:t>
      </w:r>
      <w:r>
        <w:t xml:space="preserve"> </w:t>
      </w:r>
      <w:r w:rsidRPr="004B3F62">
        <w:t>dopravce</w:t>
      </w:r>
      <w:r>
        <w:t xml:space="preserve"> </w:t>
      </w:r>
      <w:r w:rsidRPr="004B3F62">
        <w:t>nebo</w:t>
      </w:r>
      <w:r>
        <w:t xml:space="preserve"> </w:t>
      </w:r>
      <w:r w:rsidRPr="004B3F62">
        <w:t>provozuje</w:t>
      </w:r>
      <w:r>
        <w:t xml:space="preserve"> </w:t>
      </w:r>
      <w:r w:rsidRPr="004B3F62">
        <w:t>drážní</w:t>
      </w:r>
      <w:r>
        <w:t xml:space="preserve"> </w:t>
      </w:r>
      <w:r w:rsidRPr="004B3F62">
        <w:t>dopravu</w:t>
      </w:r>
      <w:r>
        <w:t xml:space="preserve"> </w:t>
      </w:r>
      <w:r w:rsidRPr="004B3F62">
        <w:t>v</w:t>
      </w:r>
      <w:r>
        <w:t xml:space="preserve"> </w:t>
      </w:r>
      <w:r w:rsidRPr="004B3F62">
        <w:t>rozporu</w:t>
      </w:r>
      <w:r>
        <w:t xml:space="preserve"> </w:t>
      </w:r>
      <w:r w:rsidRPr="004B3F62">
        <w:t>s</w:t>
      </w:r>
      <w:r>
        <w:t xml:space="preserve"> </w:t>
      </w:r>
      <w:r w:rsidRPr="004B3F62">
        <w:t>tímto</w:t>
      </w:r>
      <w:r>
        <w:t xml:space="preserve"> </w:t>
      </w:r>
      <w:r w:rsidRPr="004B3F62">
        <w:t>osvědčením,</w:t>
      </w:r>
    </w:p>
    <w:p w14:paraId="22D44519" w14:textId="343119B1" w:rsidR="00554E2B" w:rsidRDefault="00554E2B" w:rsidP="00812ECA">
      <w:pPr>
        <w:pStyle w:val="Textparagrafu"/>
        <w:tabs>
          <w:tab w:val="left" w:pos="406"/>
          <w:tab w:val="left" w:pos="868"/>
        </w:tabs>
        <w:spacing w:before="0"/>
        <w:ind w:left="426" w:hanging="426"/>
      </w:pPr>
      <w:r w:rsidRPr="004B3F62">
        <w:t>b)</w:t>
      </w:r>
      <w:r w:rsidR="002474FB">
        <w:tab/>
      </w:r>
      <w:r w:rsidRPr="004B3F62">
        <w:t>v</w:t>
      </w:r>
      <w:r>
        <w:t xml:space="preserve"> </w:t>
      </w:r>
      <w:r w:rsidRPr="004B3F62">
        <w:t>rozporu</w:t>
      </w:r>
      <w:r>
        <w:t xml:space="preserve"> </w:t>
      </w:r>
      <w:r w:rsidRPr="004B3F62">
        <w:t>s</w:t>
      </w:r>
      <w:r>
        <w:t xml:space="preserve"> </w:t>
      </w:r>
      <w:r w:rsidRPr="004B3F62">
        <w:t>§</w:t>
      </w:r>
      <w:r>
        <w:t xml:space="preserve"> </w:t>
      </w:r>
      <w:r w:rsidRPr="004B3F62">
        <w:t>31b</w:t>
      </w:r>
      <w:r>
        <w:t xml:space="preserve"> </w:t>
      </w:r>
      <w:r w:rsidRPr="004B3F62">
        <w:t>odst.</w:t>
      </w:r>
      <w:r>
        <w:t xml:space="preserve"> </w:t>
      </w:r>
      <w:r w:rsidRPr="004B3F62">
        <w:t>7</w:t>
      </w:r>
      <w:r>
        <w:t xml:space="preserve"> </w:t>
      </w:r>
      <w:r w:rsidRPr="004B3F62">
        <w:t>neodevzdá</w:t>
      </w:r>
      <w:r>
        <w:t xml:space="preserve"> </w:t>
      </w:r>
      <w:r w:rsidRPr="004B3F62">
        <w:t>osvědčení</w:t>
      </w:r>
      <w:r>
        <w:t xml:space="preserve"> </w:t>
      </w:r>
      <w:r w:rsidRPr="004B3F62">
        <w:t>dopravce</w:t>
      </w:r>
      <w:r>
        <w:t xml:space="preserve"> </w:t>
      </w:r>
      <w:r w:rsidRPr="004B3F62">
        <w:t>drážnímu</w:t>
      </w:r>
      <w:r>
        <w:t xml:space="preserve"> </w:t>
      </w:r>
      <w:r w:rsidRPr="004B3F62">
        <w:t>správnímu</w:t>
      </w:r>
      <w:r>
        <w:t xml:space="preserve"> </w:t>
      </w:r>
      <w:r w:rsidRPr="004B3F62">
        <w:t>úřadu,</w:t>
      </w:r>
    </w:p>
    <w:p w14:paraId="446B9B63" w14:textId="2DE762B0" w:rsidR="00554E2B" w:rsidRDefault="00554E2B" w:rsidP="00812ECA">
      <w:pPr>
        <w:pStyle w:val="Textparagrafu"/>
        <w:tabs>
          <w:tab w:val="left" w:pos="406"/>
          <w:tab w:val="left" w:pos="868"/>
        </w:tabs>
        <w:spacing w:before="0"/>
        <w:ind w:left="426" w:hanging="426"/>
      </w:pPr>
      <w:r w:rsidRPr="004B3F62">
        <w:t>c)</w:t>
      </w:r>
      <w:r w:rsidR="002474FB">
        <w:tab/>
      </w:r>
      <w:r w:rsidRPr="004B3F62">
        <w:t>v</w:t>
      </w:r>
      <w:r>
        <w:t xml:space="preserve"> </w:t>
      </w:r>
      <w:r w:rsidRPr="004B3F62">
        <w:t>rozporu</w:t>
      </w:r>
      <w:r>
        <w:t xml:space="preserve"> </w:t>
      </w:r>
      <w:r w:rsidRPr="004B3F62">
        <w:t>s</w:t>
      </w:r>
      <w:r>
        <w:t xml:space="preserve"> </w:t>
      </w:r>
      <w:r w:rsidRPr="004B3F62">
        <w:t>§</w:t>
      </w:r>
      <w:r>
        <w:t xml:space="preserve"> </w:t>
      </w:r>
      <w:r w:rsidRPr="004B3F62">
        <w:t>31b</w:t>
      </w:r>
      <w:r>
        <w:t xml:space="preserve"> </w:t>
      </w:r>
      <w:r w:rsidRPr="004B3F62">
        <w:t>odst.</w:t>
      </w:r>
      <w:r>
        <w:t xml:space="preserve"> </w:t>
      </w:r>
      <w:r w:rsidRPr="004B3F62">
        <w:t>8</w:t>
      </w:r>
      <w:r>
        <w:t xml:space="preserve"> </w:t>
      </w:r>
      <w:r w:rsidRPr="004B3F62">
        <w:t>neoznámí</w:t>
      </w:r>
      <w:r>
        <w:t xml:space="preserve"> </w:t>
      </w:r>
      <w:r w:rsidRPr="004B3F62">
        <w:t>změnu</w:t>
      </w:r>
      <w:r>
        <w:t xml:space="preserve"> </w:t>
      </w:r>
      <w:r w:rsidRPr="004B3F62">
        <w:t>údaje</w:t>
      </w:r>
      <w:r>
        <w:t xml:space="preserve"> </w:t>
      </w:r>
      <w:r w:rsidRPr="004B3F62">
        <w:t>obsaženého</w:t>
      </w:r>
      <w:r>
        <w:t xml:space="preserve"> </w:t>
      </w:r>
      <w:r w:rsidRPr="004B3F62">
        <w:t>v</w:t>
      </w:r>
      <w:r>
        <w:t xml:space="preserve"> </w:t>
      </w:r>
      <w:r w:rsidRPr="004B3F62">
        <w:t>osvědčení</w:t>
      </w:r>
      <w:r>
        <w:t xml:space="preserve"> </w:t>
      </w:r>
      <w:r w:rsidRPr="004B3F62">
        <w:t>dopravce</w:t>
      </w:r>
      <w:r>
        <w:t xml:space="preserve"> </w:t>
      </w:r>
      <w:r w:rsidRPr="004B3F62">
        <w:t>nebo</w:t>
      </w:r>
      <w:r>
        <w:t xml:space="preserve"> </w:t>
      </w:r>
      <w:r w:rsidRPr="004B3F62">
        <w:t>neodevzdá</w:t>
      </w:r>
      <w:r>
        <w:t xml:space="preserve"> </w:t>
      </w:r>
      <w:r w:rsidRPr="004B3F62">
        <w:t>toto</w:t>
      </w:r>
      <w:r>
        <w:t xml:space="preserve"> </w:t>
      </w:r>
      <w:r w:rsidRPr="004B3F62">
        <w:t>osvědčení</w:t>
      </w:r>
      <w:r>
        <w:t xml:space="preserve"> </w:t>
      </w:r>
      <w:r w:rsidRPr="004B3F62">
        <w:t>drážnímu</w:t>
      </w:r>
      <w:r>
        <w:t xml:space="preserve"> </w:t>
      </w:r>
      <w:r w:rsidRPr="004B3F62">
        <w:t>správnímu</w:t>
      </w:r>
      <w:r>
        <w:t xml:space="preserve"> </w:t>
      </w:r>
      <w:r w:rsidRPr="004B3F62">
        <w:t>úřadu,</w:t>
      </w:r>
    </w:p>
    <w:p w14:paraId="6F34ED7E" w14:textId="5EE11E95" w:rsidR="00554E2B" w:rsidRDefault="00554E2B" w:rsidP="00812ECA">
      <w:pPr>
        <w:pStyle w:val="Textparagrafu"/>
        <w:tabs>
          <w:tab w:val="left" w:pos="406"/>
          <w:tab w:val="left" w:pos="868"/>
        </w:tabs>
        <w:spacing w:before="0"/>
        <w:ind w:left="426" w:hanging="426"/>
      </w:pPr>
      <w:r w:rsidRPr="004B3F62">
        <w:t>d)</w:t>
      </w:r>
      <w:r w:rsidR="002474FB">
        <w:tab/>
      </w:r>
      <w:r w:rsidRPr="004B3F62">
        <w:t>v</w:t>
      </w:r>
      <w:r>
        <w:t xml:space="preserve"> </w:t>
      </w:r>
      <w:r w:rsidRPr="004B3F62">
        <w:t>rozporu</w:t>
      </w:r>
      <w:r>
        <w:t xml:space="preserve"> </w:t>
      </w:r>
      <w:r w:rsidRPr="004B3F62">
        <w:t>s</w:t>
      </w:r>
      <w:r>
        <w:t xml:space="preserve"> </w:t>
      </w:r>
      <w:r w:rsidRPr="004B3F62">
        <w:t>§</w:t>
      </w:r>
      <w:r>
        <w:t xml:space="preserve"> </w:t>
      </w:r>
      <w:r w:rsidRPr="004B3F62">
        <w:t>31c</w:t>
      </w:r>
      <w:r>
        <w:t xml:space="preserve"> </w:t>
      </w:r>
      <w:r w:rsidRPr="004B3F62">
        <w:t>odst.</w:t>
      </w:r>
      <w:r>
        <w:t xml:space="preserve"> </w:t>
      </w:r>
      <w:r w:rsidRPr="004B3F62">
        <w:t>3</w:t>
      </w:r>
      <w:r>
        <w:t xml:space="preserve"> </w:t>
      </w:r>
      <w:r w:rsidRPr="004B3F62">
        <w:t>neodevzdá</w:t>
      </w:r>
      <w:r>
        <w:t xml:space="preserve"> </w:t>
      </w:r>
      <w:r w:rsidRPr="004B3F62">
        <w:t>původní</w:t>
      </w:r>
      <w:r>
        <w:t xml:space="preserve"> </w:t>
      </w:r>
      <w:r w:rsidRPr="004B3F62">
        <w:t>osvědčení</w:t>
      </w:r>
      <w:r>
        <w:t xml:space="preserve"> </w:t>
      </w:r>
      <w:r w:rsidRPr="004B3F62">
        <w:t>dopravce</w:t>
      </w:r>
      <w:r>
        <w:t xml:space="preserve"> </w:t>
      </w:r>
      <w:r w:rsidRPr="004B3F62">
        <w:t>drážnímu</w:t>
      </w:r>
      <w:r>
        <w:t xml:space="preserve"> </w:t>
      </w:r>
      <w:r w:rsidRPr="004B3F62">
        <w:t>správnímu</w:t>
      </w:r>
      <w:r>
        <w:t xml:space="preserve"> </w:t>
      </w:r>
      <w:r w:rsidRPr="004B3F62">
        <w:t>úřadu,</w:t>
      </w:r>
    </w:p>
    <w:p w14:paraId="5C87F461" w14:textId="297AA2F7" w:rsidR="00554E2B" w:rsidRDefault="00554E2B" w:rsidP="00812ECA">
      <w:pPr>
        <w:pStyle w:val="Textparagrafu"/>
        <w:tabs>
          <w:tab w:val="left" w:pos="406"/>
          <w:tab w:val="left" w:pos="868"/>
        </w:tabs>
        <w:spacing w:before="0"/>
        <w:ind w:left="426" w:hanging="426"/>
      </w:pPr>
      <w:r w:rsidRPr="004B3F62">
        <w:t>e)</w:t>
      </w:r>
      <w:r w:rsidR="002474FB">
        <w:tab/>
      </w:r>
      <w:r w:rsidRPr="004B3F62">
        <w:t>poruší</w:t>
      </w:r>
      <w:r>
        <w:t xml:space="preserve"> </w:t>
      </w:r>
      <w:r w:rsidRPr="004B3F62">
        <w:t>zákaz</w:t>
      </w:r>
      <w:r>
        <w:t xml:space="preserve"> </w:t>
      </w:r>
      <w:r w:rsidRPr="004B3F62">
        <w:t>provozování</w:t>
      </w:r>
      <w:r>
        <w:t xml:space="preserve"> </w:t>
      </w:r>
      <w:r w:rsidRPr="004B3F62">
        <w:t>drážní</w:t>
      </w:r>
      <w:r>
        <w:t xml:space="preserve"> </w:t>
      </w:r>
      <w:r w:rsidRPr="004B3F62">
        <w:t>dopravy</w:t>
      </w:r>
      <w:r>
        <w:t xml:space="preserve"> </w:t>
      </w:r>
      <w:r w:rsidRPr="004B3F62">
        <w:t>uložený</w:t>
      </w:r>
      <w:r>
        <w:t xml:space="preserve"> </w:t>
      </w:r>
      <w:r w:rsidRPr="004B3F62">
        <w:t>rozhodnutím</w:t>
      </w:r>
      <w:r>
        <w:t xml:space="preserve"> </w:t>
      </w:r>
      <w:r w:rsidRPr="004B3F62">
        <w:t>vydaným</w:t>
      </w:r>
      <w:r>
        <w:t xml:space="preserve"> </w:t>
      </w:r>
      <w:r w:rsidRPr="004B3F62">
        <w:t>podle</w:t>
      </w:r>
      <w:r>
        <w:t xml:space="preserve"> </w:t>
      </w:r>
      <w:r w:rsidRPr="004B3F62">
        <w:t>§</w:t>
      </w:r>
      <w:r>
        <w:t xml:space="preserve"> </w:t>
      </w:r>
      <w:r w:rsidRPr="004B3F62">
        <w:t>31c</w:t>
      </w:r>
      <w:r>
        <w:t xml:space="preserve"> </w:t>
      </w:r>
      <w:r w:rsidRPr="004B3F62">
        <w:t>odst.</w:t>
      </w:r>
      <w:r>
        <w:t xml:space="preserve"> </w:t>
      </w:r>
      <w:r w:rsidRPr="004B3F62">
        <w:t>4</w:t>
      </w:r>
      <w:r>
        <w:t xml:space="preserve"> </w:t>
      </w:r>
      <w:r w:rsidRPr="004B3F62">
        <w:t>nebo</w:t>
      </w:r>
      <w:r>
        <w:t xml:space="preserve"> </w:t>
      </w:r>
      <w:r w:rsidRPr="004B3F62">
        <w:t>provozuje</w:t>
      </w:r>
      <w:r>
        <w:t xml:space="preserve"> </w:t>
      </w:r>
      <w:r w:rsidRPr="004B3F62">
        <w:t>drážní</w:t>
      </w:r>
      <w:r>
        <w:t xml:space="preserve"> </w:t>
      </w:r>
      <w:r w:rsidRPr="004B3F62">
        <w:t>dopravu</w:t>
      </w:r>
      <w:r>
        <w:t xml:space="preserve"> </w:t>
      </w:r>
      <w:r w:rsidRPr="004B3F62">
        <w:t>v</w:t>
      </w:r>
      <w:r>
        <w:t xml:space="preserve"> </w:t>
      </w:r>
      <w:r w:rsidRPr="004B3F62">
        <w:t>rozporu</w:t>
      </w:r>
      <w:r>
        <w:t xml:space="preserve"> </w:t>
      </w:r>
      <w:r w:rsidRPr="004B3F62">
        <w:t>s</w:t>
      </w:r>
      <w:r>
        <w:t xml:space="preserve"> </w:t>
      </w:r>
      <w:r w:rsidRPr="004B3F62">
        <w:t>tímto</w:t>
      </w:r>
      <w:r>
        <w:t xml:space="preserve"> </w:t>
      </w:r>
      <w:r w:rsidRPr="004B3F62">
        <w:t>rozhodnutím,</w:t>
      </w:r>
    </w:p>
    <w:p w14:paraId="66B725F2" w14:textId="5E8464C4" w:rsidR="00554E2B" w:rsidRDefault="00554E2B" w:rsidP="00812ECA">
      <w:pPr>
        <w:pStyle w:val="Textparagrafu"/>
        <w:tabs>
          <w:tab w:val="left" w:pos="406"/>
          <w:tab w:val="left" w:pos="868"/>
        </w:tabs>
        <w:spacing w:before="0"/>
        <w:ind w:left="426" w:hanging="426"/>
      </w:pPr>
      <w:r w:rsidRPr="004B3F62">
        <w:t>f)</w:t>
      </w:r>
      <w:r w:rsidR="002474FB">
        <w:tab/>
      </w:r>
      <w:r w:rsidRPr="004B3F62">
        <w:t>finančně</w:t>
      </w:r>
      <w:r>
        <w:t xml:space="preserve"> </w:t>
      </w:r>
      <w:r w:rsidRPr="004B3F62">
        <w:t>nezajistí</w:t>
      </w:r>
      <w:r>
        <w:t xml:space="preserve"> </w:t>
      </w:r>
      <w:r w:rsidRPr="004B3F62">
        <w:t>podle</w:t>
      </w:r>
      <w:r>
        <w:t xml:space="preserve"> </w:t>
      </w:r>
      <w:r w:rsidRPr="004B3F62">
        <w:t>§</w:t>
      </w:r>
      <w:r>
        <w:t xml:space="preserve"> </w:t>
      </w:r>
      <w:r w:rsidRPr="004B3F62">
        <w:t>35</w:t>
      </w:r>
      <w:r>
        <w:t xml:space="preserve"> </w:t>
      </w:r>
      <w:r w:rsidRPr="004B3F62">
        <w:t>odst.</w:t>
      </w:r>
      <w:r>
        <w:t xml:space="preserve"> </w:t>
      </w:r>
      <w:r w:rsidRPr="004B3F62">
        <w:t>2</w:t>
      </w:r>
      <w:r>
        <w:t xml:space="preserve"> </w:t>
      </w:r>
      <w:r w:rsidRPr="004B3F62">
        <w:t>písm.</w:t>
      </w:r>
      <w:r>
        <w:t xml:space="preserve"> </w:t>
      </w:r>
      <w:r w:rsidRPr="004B3F62">
        <w:t>a)</w:t>
      </w:r>
      <w:r>
        <w:t xml:space="preserve"> </w:t>
      </w:r>
      <w:r w:rsidRPr="004B3F62">
        <w:t>řádné</w:t>
      </w:r>
      <w:r>
        <w:t xml:space="preserve"> </w:t>
      </w:r>
      <w:r w:rsidRPr="004B3F62">
        <w:t>provozování</w:t>
      </w:r>
      <w:r>
        <w:t xml:space="preserve"> </w:t>
      </w:r>
      <w:r w:rsidRPr="004B3F62">
        <w:t>drážní</w:t>
      </w:r>
      <w:r>
        <w:t xml:space="preserve"> </w:t>
      </w:r>
      <w:r w:rsidRPr="004B3F62">
        <w:t>dopravy,</w:t>
      </w:r>
    </w:p>
    <w:p w14:paraId="1B37A6A8" w14:textId="4E036C45" w:rsidR="00554E2B" w:rsidRDefault="00554E2B" w:rsidP="00812ECA">
      <w:pPr>
        <w:pStyle w:val="Textparagrafu"/>
        <w:tabs>
          <w:tab w:val="left" w:pos="406"/>
          <w:tab w:val="left" w:pos="868"/>
        </w:tabs>
        <w:spacing w:before="0"/>
        <w:ind w:left="426" w:hanging="426"/>
      </w:pPr>
      <w:r w:rsidRPr="004B3F62">
        <w:t>g)</w:t>
      </w:r>
      <w:r w:rsidR="002474FB">
        <w:tab/>
      </w:r>
      <w:r w:rsidRPr="004B3F62">
        <w:t>neposkytne</w:t>
      </w:r>
      <w:r>
        <w:t xml:space="preserve"> </w:t>
      </w:r>
      <w:r w:rsidRPr="004B3F62">
        <w:t>podle</w:t>
      </w:r>
      <w:r>
        <w:t xml:space="preserve"> </w:t>
      </w:r>
      <w:r w:rsidRPr="004B3F62">
        <w:t>§</w:t>
      </w:r>
      <w:r>
        <w:t xml:space="preserve"> </w:t>
      </w:r>
      <w:r w:rsidRPr="004B3F62">
        <w:t>35</w:t>
      </w:r>
      <w:r>
        <w:t xml:space="preserve"> </w:t>
      </w:r>
      <w:r w:rsidRPr="004B3F62">
        <w:t>odst.</w:t>
      </w:r>
      <w:r>
        <w:t xml:space="preserve"> </w:t>
      </w:r>
      <w:r w:rsidRPr="004B3F62">
        <w:t>2</w:t>
      </w:r>
      <w:r>
        <w:t xml:space="preserve"> </w:t>
      </w:r>
      <w:r w:rsidRPr="004B3F62">
        <w:t>písm.</w:t>
      </w:r>
      <w:r>
        <w:t xml:space="preserve"> </w:t>
      </w:r>
      <w:r w:rsidRPr="004B3F62">
        <w:t>b)</w:t>
      </w:r>
      <w:r>
        <w:t xml:space="preserve"> </w:t>
      </w:r>
      <w:r w:rsidRPr="004B3F62">
        <w:t>drážnímu</w:t>
      </w:r>
      <w:r>
        <w:t xml:space="preserve"> </w:t>
      </w:r>
      <w:r w:rsidRPr="004B3F62">
        <w:t>správnímu</w:t>
      </w:r>
      <w:r>
        <w:t xml:space="preserve"> </w:t>
      </w:r>
      <w:r w:rsidRPr="004B3F62">
        <w:t>úřadu</w:t>
      </w:r>
      <w:r>
        <w:t xml:space="preserve"> </w:t>
      </w:r>
      <w:r w:rsidRPr="004B3F62">
        <w:t>doklady</w:t>
      </w:r>
      <w:r>
        <w:t xml:space="preserve"> </w:t>
      </w:r>
      <w:r w:rsidRPr="004B3F62">
        <w:t>o</w:t>
      </w:r>
      <w:r>
        <w:t xml:space="preserve"> </w:t>
      </w:r>
      <w:r w:rsidRPr="004B3F62">
        <w:t>trvání</w:t>
      </w:r>
      <w:r>
        <w:t xml:space="preserve"> </w:t>
      </w:r>
      <w:r w:rsidRPr="004B3F62">
        <w:t>finanční</w:t>
      </w:r>
      <w:r>
        <w:t xml:space="preserve"> </w:t>
      </w:r>
      <w:r w:rsidRPr="004B3F62">
        <w:t>způsobilosti</w:t>
      </w:r>
      <w:r>
        <w:t xml:space="preserve"> </w:t>
      </w:r>
      <w:r w:rsidRPr="004B3F62">
        <w:t>k</w:t>
      </w:r>
      <w:r>
        <w:t xml:space="preserve"> </w:t>
      </w:r>
      <w:r w:rsidRPr="004B3F62">
        <w:t>řádnému</w:t>
      </w:r>
      <w:r>
        <w:t xml:space="preserve"> </w:t>
      </w:r>
      <w:r w:rsidRPr="004B3F62">
        <w:t>provozování</w:t>
      </w:r>
      <w:r>
        <w:t xml:space="preserve"> </w:t>
      </w:r>
      <w:r w:rsidRPr="004B3F62">
        <w:t>drážní</w:t>
      </w:r>
      <w:r>
        <w:t xml:space="preserve"> </w:t>
      </w:r>
      <w:r w:rsidRPr="004B3F62">
        <w:t>dopravy,</w:t>
      </w:r>
    </w:p>
    <w:p w14:paraId="41014A88" w14:textId="41163BB6" w:rsidR="00554E2B" w:rsidRDefault="00554E2B" w:rsidP="00812ECA">
      <w:pPr>
        <w:pStyle w:val="Textparagrafu"/>
        <w:tabs>
          <w:tab w:val="left" w:pos="406"/>
          <w:tab w:val="left" w:pos="868"/>
        </w:tabs>
        <w:spacing w:before="0"/>
        <w:ind w:left="426" w:hanging="426"/>
      </w:pPr>
      <w:r w:rsidRPr="004B3F62">
        <w:t>h)</w:t>
      </w:r>
      <w:r w:rsidR="002474FB">
        <w:tab/>
      </w:r>
      <w:r w:rsidRPr="004B3F62">
        <w:t>nesjedná</w:t>
      </w:r>
      <w:r>
        <w:t xml:space="preserve"> </w:t>
      </w:r>
      <w:r w:rsidRPr="004B3F62">
        <w:t>nebo</w:t>
      </w:r>
      <w:r>
        <w:t xml:space="preserve"> </w:t>
      </w:r>
      <w:r w:rsidRPr="004B3F62">
        <w:t>nezaplatí</w:t>
      </w:r>
      <w:r>
        <w:t xml:space="preserve"> </w:t>
      </w:r>
      <w:r w:rsidRPr="004B3F62">
        <w:t>podle</w:t>
      </w:r>
      <w:r>
        <w:t xml:space="preserve"> </w:t>
      </w:r>
      <w:r w:rsidRPr="004B3F62">
        <w:t>§</w:t>
      </w:r>
      <w:r>
        <w:t xml:space="preserve"> </w:t>
      </w:r>
      <w:r w:rsidRPr="004B3F62">
        <w:t>35</w:t>
      </w:r>
      <w:r>
        <w:t xml:space="preserve"> </w:t>
      </w:r>
      <w:r w:rsidRPr="004B3F62">
        <w:t>odst.</w:t>
      </w:r>
      <w:r>
        <w:t xml:space="preserve"> </w:t>
      </w:r>
      <w:r w:rsidRPr="004B3F62">
        <w:t>2</w:t>
      </w:r>
      <w:r>
        <w:t xml:space="preserve"> </w:t>
      </w:r>
      <w:r w:rsidRPr="004B3F62">
        <w:t>písm.</w:t>
      </w:r>
      <w:r>
        <w:t xml:space="preserve"> </w:t>
      </w:r>
      <w:r w:rsidRPr="004B3F62">
        <w:t>d)</w:t>
      </w:r>
      <w:r>
        <w:t xml:space="preserve"> </w:t>
      </w:r>
      <w:r w:rsidRPr="004B3F62">
        <w:t>pojištění</w:t>
      </w:r>
      <w:r>
        <w:t xml:space="preserve"> </w:t>
      </w:r>
      <w:r w:rsidRPr="004B3F62">
        <w:t>z</w:t>
      </w:r>
      <w:r>
        <w:t xml:space="preserve"> </w:t>
      </w:r>
      <w:r w:rsidRPr="004B3F62">
        <w:t>pro</w:t>
      </w:r>
      <w:r>
        <w:t xml:space="preserve"> </w:t>
      </w:r>
      <w:r w:rsidRPr="004B3F62">
        <w:t>případ</w:t>
      </w:r>
      <w:r>
        <w:t xml:space="preserve"> </w:t>
      </w:r>
      <w:r w:rsidRPr="004B3F62">
        <w:t>povinnosti</w:t>
      </w:r>
      <w:r>
        <w:t xml:space="preserve"> </w:t>
      </w:r>
      <w:r w:rsidRPr="004B3F62">
        <w:t>nahradit</w:t>
      </w:r>
      <w:r>
        <w:t xml:space="preserve"> </w:t>
      </w:r>
      <w:r w:rsidRPr="004B3F62">
        <w:t>újmu</w:t>
      </w:r>
      <w:r>
        <w:t xml:space="preserve"> </w:t>
      </w:r>
      <w:r w:rsidRPr="004B3F62">
        <w:t>způsobenou</w:t>
      </w:r>
      <w:r>
        <w:t xml:space="preserve"> </w:t>
      </w:r>
      <w:r w:rsidRPr="004B3F62">
        <w:t>provozem</w:t>
      </w:r>
      <w:r>
        <w:t xml:space="preserve"> </w:t>
      </w:r>
      <w:r w:rsidRPr="004B3F62">
        <w:t>drážní</w:t>
      </w:r>
      <w:r>
        <w:t xml:space="preserve"> </w:t>
      </w:r>
      <w:r w:rsidRPr="004B3F62">
        <w:t>dopravy,</w:t>
      </w:r>
    </w:p>
    <w:p w14:paraId="69951287" w14:textId="73993EBF" w:rsidR="00554E2B" w:rsidRDefault="00554E2B" w:rsidP="00812ECA">
      <w:pPr>
        <w:pStyle w:val="Textparagrafu"/>
        <w:tabs>
          <w:tab w:val="left" w:pos="406"/>
          <w:tab w:val="left" w:pos="868"/>
        </w:tabs>
        <w:spacing w:before="0"/>
        <w:ind w:left="426" w:hanging="426"/>
      </w:pPr>
      <w:r w:rsidRPr="004B3F62">
        <w:t>i)</w:t>
      </w:r>
      <w:r w:rsidR="002474FB">
        <w:tab/>
      </w:r>
      <w:r w:rsidRPr="004B3F62">
        <w:t>v</w:t>
      </w:r>
      <w:r>
        <w:t xml:space="preserve"> </w:t>
      </w:r>
      <w:r w:rsidRPr="004B3F62">
        <w:t>rozporu</w:t>
      </w:r>
      <w:r>
        <w:t xml:space="preserve"> </w:t>
      </w:r>
      <w:r w:rsidRPr="004B3F62">
        <w:t>s</w:t>
      </w:r>
      <w:r>
        <w:t xml:space="preserve"> </w:t>
      </w:r>
      <w:r w:rsidRPr="004B3F62">
        <w:t>§</w:t>
      </w:r>
      <w:r>
        <w:t xml:space="preserve"> </w:t>
      </w:r>
      <w:r w:rsidRPr="004B3F62">
        <w:t>35</w:t>
      </w:r>
      <w:r>
        <w:t xml:space="preserve"> </w:t>
      </w:r>
      <w:r w:rsidRPr="004B3F62">
        <w:t>odst.</w:t>
      </w:r>
      <w:r>
        <w:t xml:space="preserve"> </w:t>
      </w:r>
      <w:r w:rsidRPr="004B3F62">
        <w:t>2</w:t>
      </w:r>
      <w:r>
        <w:t xml:space="preserve"> </w:t>
      </w:r>
      <w:r w:rsidRPr="004B3F62">
        <w:t>písm.</w:t>
      </w:r>
      <w:r>
        <w:t xml:space="preserve"> </w:t>
      </w:r>
      <w:r w:rsidRPr="004B3F62">
        <w:t>f)</w:t>
      </w:r>
      <w:r>
        <w:t xml:space="preserve"> </w:t>
      </w:r>
      <w:r w:rsidRPr="004B3F62">
        <w:t>nezajistí,</w:t>
      </w:r>
      <w:r>
        <w:t xml:space="preserve"> </w:t>
      </w:r>
      <w:r w:rsidRPr="004B3F62">
        <w:t>aby</w:t>
      </w:r>
      <w:r>
        <w:t xml:space="preserve"> </w:t>
      </w:r>
      <w:r w:rsidRPr="004B3F62">
        <w:t>jím</w:t>
      </w:r>
      <w:r>
        <w:t xml:space="preserve"> </w:t>
      </w:r>
      <w:r w:rsidRPr="004B3F62">
        <w:t>zavedený</w:t>
      </w:r>
      <w:r>
        <w:t xml:space="preserve"> </w:t>
      </w:r>
      <w:r w:rsidRPr="004B3F62">
        <w:t>systém</w:t>
      </w:r>
      <w:r>
        <w:t xml:space="preserve"> </w:t>
      </w:r>
      <w:r w:rsidRPr="004B3F62">
        <w:t>zajišťování</w:t>
      </w:r>
      <w:r>
        <w:t xml:space="preserve"> </w:t>
      </w:r>
      <w:r w:rsidRPr="004B3F62">
        <w:t>bezpečnosti</w:t>
      </w:r>
      <w:r>
        <w:t xml:space="preserve"> </w:t>
      </w:r>
      <w:r w:rsidRPr="004B3F62">
        <w:t>drážní</w:t>
      </w:r>
      <w:r>
        <w:t xml:space="preserve"> </w:t>
      </w:r>
      <w:r w:rsidRPr="004B3F62">
        <w:t>dopravy</w:t>
      </w:r>
      <w:r>
        <w:t xml:space="preserve"> </w:t>
      </w:r>
      <w:r w:rsidRPr="004B3F62">
        <w:t>zohledňoval</w:t>
      </w:r>
      <w:r>
        <w:t xml:space="preserve"> </w:t>
      </w:r>
      <w:r w:rsidRPr="004B3F62">
        <w:t>druh,</w:t>
      </w:r>
      <w:r>
        <w:t xml:space="preserve"> </w:t>
      </w:r>
      <w:r w:rsidRPr="004B3F62">
        <w:t>oblast</w:t>
      </w:r>
      <w:r>
        <w:t xml:space="preserve"> </w:t>
      </w:r>
      <w:r w:rsidRPr="004B3F62">
        <w:t>a</w:t>
      </w:r>
      <w:r>
        <w:t xml:space="preserve"> </w:t>
      </w:r>
      <w:r w:rsidRPr="004B3F62">
        <w:t>rozsah</w:t>
      </w:r>
      <w:r>
        <w:t xml:space="preserve"> </w:t>
      </w:r>
      <w:r w:rsidRPr="004B3F62">
        <w:t>provozu</w:t>
      </w:r>
      <w:r>
        <w:t xml:space="preserve"> </w:t>
      </w:r>
      <w:r w:rsidRPr="004B3F62">
        <w:t>nebo</w:t>
      </w:r>
      <w:r>
        <w:t xml:space="preserve"> </w:t>
      </w:r>
      <w:r w:rsidRPr="004B3F62">
        <w:t>nezajistí</w:t>
      </w:r>
      <w:r>
        <w:t xml:space="preserve"> </w:t>
      </w:r>
      <w:r w:rsidRPr="004B3F62">
        <w:t>jeho</w:t>
      </w:r>
      <w:r>
        <w:t xml:space="preserve"> </w:t>
      </w:r>
      <w:r w:rsidRPr="004B3F62">
        <w:t>dodržování,</w:t>
      </w:r>
    </w:p>
    <w:p w14:paraId="16F4BE0E" w14:textId="4CD1BC2C" w:rsidR="00554E2B" w:rsidRDefault="00554E2B" w:rsidP="00812ECA">
      <w:pPr>
        <w:pStyle w:val="Textparagrafu"/>
        <w:tabs>
          <w:tab w:val="left" w:pos="406"/>
          <w:tab w:val="left" w:pos="868"/>
        </w:tabs>
        <w:spacing w:before="0"/>
        <w:ind w:left="426" w:hanging="426"/>
      </w:pPr>
      <w:r w:rsidRPr="004B3F62">
        <w:t>j)</w:t>
      </w:r>
      <w:r w:rsidR="002474FB">
        <w:tab/>
      </w:r>
      <w:r w:rsidRPr="004B3F62">
        <w:t>v</w:t>
      </w:r>
      <w:r>
        <w:t xml:space="preserve"> </w:t>
      </w:r>
      <w:r w:rsidRPr="004B3F62">
        <w:t>rozporu</w:t>
      </w:r>
      <w:r>
        <w:t xml:space="preserve"> </w:t>
      </w:r>
      <w:r w:rsidRPr="004B3F62">
        <w:t>s</w:t>
      </w:r>
      <w:r>
        <w:t xml:space="preserve"> </w:t>
      </w:r>
      <w:r w:rsidRPr="004B3F62">
        <w:t>§</w:t>
      </w:r>
      <w:r>
        <w:t xml:space="preserve"> </w:t>
      </w:r>
      <w:r w:rsidRPr="004B3F62">
        <w:t>35</w:t>
      </w:r>
      <w:r>
        <w:t xml:space="preserve"> </w:t>
      </w:r>
      <w:r w:rsidRPr="004B3F62">
        <w:t>odst.</w:t>
      </w:r>
      <w:r>
        <w:t xml:space="preserve"> </w:t>
      </w:r>
      <w:r w:rsidRPr="004B3F62">
        <w:t>2</w:t>
      </w:r>
      <w:r>
        <w:t xml:space="preserve"> </w:t>
      </w:r>
      <w:r w:rsidRPr="004B3F62">
        <w:t>písm.</w:t>
      </w:r>
      <w:r>
        <w:t xml:space="preserve"> </w:t>
      </w:r>
      <w:r w:rsidRPr="004B3F62">
        <w:t>g),</w:t>
      </w:r>
      <w:r>
        <w:t xml:space="preserve"> </w:t>
      </w:r>
      <w:r w:rsidRPr="004B3F62">
        <w:t>h)</w:t>
      </w:r>
      <w:r>
        <w:t xml:space="preserve"> </w:t>
      </w:r>
      <w:r w:rsidRPr="004B3F62">
        <w:t>nebo</w:t>
      </w:r>
      <w:r>
        <w:t xml:space="preserve"> </w:t>
      </w:r>
      <w:r w:rsidRPr="004B3F62">
        <w:t>i)</w:t>
      </w:r>
      <w:r>
        <w:t xml:space="preserve"> </w:t>
      </w:r>
      <w:r w:rsidRPr="004B3F62">
        <w:t>nepřijme</w:t>
      </w:r>
      <w:r>
        <w:t xml:space="preserve"> </w:t>
      </w:r>
      <w:r w:rsidRPr="004B3F62">
        <w:t>stanovená</w:t>
      </w:r>
      <w:r>
        <w:t xml:space="preserve"> </w:t>
      </w:r>
      <w:r w:rsidRPr="004B3F62">
        <w:t>opatření,</w:t>
      </w:r>
      <w:r>
        <w:t xml:space="preserve"> </w:t>
      </w:r>
      <w:r w:rsidRPr="004B3F62">
        <w:t>nezajistí</w:t>
      </w:r>
      <w:r>
        <w:t xml:space="preserve"> </w:t>
      </w:r>
      <w:r w:rsidRPr="004B3F62">
        <w:t>přijetí</w:t>
      </w:r>
      <w:r>
        <w:t xml:space="preserve"> </w:t>
      </w:r>
      <w:r w:rsidRPr="004B3F62">
        <w:t>stanovených</w:t>
      </w:r>
      <w:r>
        <w:t xml:space="preserve"> </w:t>
      </w:r>
      <w:r w:rsidRPr="004B3F62">
        <w:t>opatření</w:t>
      </w:r>
      <w:r>
        <w:t xml:space="preserve"> </w:t>
      </w:r>
      <w:r w:rsidRPr="004B3F62">
        <w:t>osobami,</w:t>
      </w:r>
      <w:r>
        <w:t xml:space="preserve"> </w:t>
      </w:r>
      <w:r w:rsidRPr="004B3F62">
        <w:t>jejichž</w:t>
      </w:r>
      <w:r>
        <w:t xml:space="preserve"> </w:t>
      </w:r>
      <w:r w:rsidRPr="004B3F62">
        <w:t>činnost</w:t>
      </w:r>
      <w:r>
        <w:t xml:space="preserve"> </w:t>
      </w:r>
      <w:r w:rsidRPr="004B3F62">
        <w:t>může</w:t>
      </w:r>
      <w:r>
        <w:t xml:space="preserve"> </w:t>
      </w:r>
      <w:r w:rsidRPr="004B3F62">
        <w:t>mít</w:t>
      </w:r>
      <w:r>
        <w:t xml:space="preserve"> </w:t>
      </w:r>
      <w:r w:rsidRPr="004B3F62">
        <w:t>dopad</w:t>
      </w:r>
      <w:r>
        <w:t xml:space="preserve"> </w:t>
      </w:r>
      <w:r w:rsidRPr="004B3F62">
        <w:t>na</w:t>
      </w:r>
      <w:r>
        <w:t xml:space="preserve"> </w:t>
      </w:r>
      <w:r w:rsidRPr="004B3F62">
        <w:t>bezpečnost</w:t>
      </w:r>
      <w:r>
        <w:t xml:space="preserve"> </w:t>
      </w:r>
      <w:r w:rsidRPr="004B3F62">
        <w:t>provozování</w:t>
      </w:r>
      <w:r>
        <w:t xml:space="preserve"> </w:t>
      </w:r>
      <w:r w:rsidRPr="004B3F62">
        <w:t>dráhy</w:t>
      </w:r>
      <w:r>
        <w:t xml:space="preserve"> </w:t>
      </w:r>
      <w:r w:rsidRPr="004B3F62">
        <w:t>nebo</w:t>
      </w:r>
      <w:r>
        <w:t xml:space="preserve"> </w:t>
      </w:r>
      <w:r w:rsidRPr="004B3F62">
        <w:t>drážní</w:t>
      </w:r>
      <w:r>
        <w:t xml:space="preserve"> </w:t>
      </w:r>
      <w:r w:rsidRPr="004B3F62">
        <w:t>dopravy,</w:t>
      </w:r>
      <w:r>
        <w:t xml:space="preserve"> </w:t>
      </w:r>
      <w:r w:rsidRPr="004B3F62">
        <w:t>nebo</w:t>
      </w:r>
      <w:r>
        <w:t xml:space="preserve"> </w:t>
      </w:r>
      <w:r w:rsidRPr="004B3F62">
        <w:t>nesleduje,</w:t>
      </w:r>
      <w:r>
        <w:t xml:space="preserve"> </w:t>
      </w:r>
      <w:r w:rsidRPr="004B3F62">
        <w:t>zda</w:t>
      </w:r>
      <w:r>
        <w:t xml:space="preserve"> </w:t>
      </w:r>
      <w:r w:rsidRPr="004B3F62">
        <w:t>byla</w:t>
      </w:r>
      <w:r>
        <w:t xml:space="preserve"> </w:t>
      </w:r>
      <w:r w:rsidRPr="004B3F62">
        <w:t>tato</w:t>
      </w:r>
      <w:r>
        <w:t xml:space="preserve"> </w:t>
      </w:r>
      <w:r w:rsidRPr="004B3F62">
        <w:t>opatření</w:t>
      </w:r>
      <w:r>
        <w:t xml:space="preserve"> </w:t>
      </w:r>
      <w:r w:rsidRPr="004B3F62">
        <w:t>přijata,</w:t>
      </w:r>
    </w:p>
    <w:p w14:paraId="462BDFF9" w14:textId="43D0D2EA" w:rsidR="00554E2B" w:rsidRDefault="00554E2B" w:rsidP="00812ECA">
      <w:pPr>
        <w:pStyle w:val="Textparagrafu"/>
        <w:tabs>
          <w:tab w:val="left" w:pos="406"/>
          <w:tab w:val="left" w:pos="868"/>
        </w:tabs>
        <w:spacing w:before="0"/>
        <w:ind w:left="426" w:hanging="426"/>
      </w:pPr>
      <w:r w:rsidRPr="004B3F62">
        <w:t>k)</w:t>
      </w:r>
      <w:r w:rsidR="002474FB">
        <w:tab/>
      </w:r>
      <w:r w:rsidRPr="004B3F62">
        <w:t>v</w:t>
      </w:r>
      <w:r>
        <w:t xml:space="preserve"> </w:t>
      </w:r>
      <w:r w:rsidRPr="004B3F62">
        <w:t>rozporu</w:t>
      </w:r>
      <w:r>
        <w:t xml:space="preserve"> </w:t>
      </w:r>
      <w:r w:rsidRPr="004B3F62">
        <w:t>s</w:t>
      </w:r>
      <w:r>
        <w:t xml:space="preserve"> </w:t>
      </w:r>
      <w:r w:rsidRPr="004B3F62">
        <w:t>§</w:t>
      </w:r>
      <w:r>
        <w:t xml:space="preserve"> </w:t>
      </w:r>
      <w:r w:rsidRPr="004B3F62">
        <w:t>35</w:t>
      </w:r>
      <w:r>
        <w:t xml:space="preserve"> </w:t>
      </w:r>
      <w:r w:rsidRPr="004B3F62">
        <w:t>odst.</w:t>
      </w:r>
      <w:r>
        <w:t xml:space="preserve"> </w:t>
      </w:r>
      <w:r w:rsidRPr="004B3F62">
        <w:t>2</w:t>
      </w:r>
      <w:r>
        <w:t xml:space="preserve"> </w:t>
      </w:r>
      <w:r w:rsidRPr="004B3F62">
        <w:t>písm.</w:t>
      </w:r>
      <w:r>
        <w:t xml:space="preserve"> </w:t>
      </w:r>
      <w:r w:rsidRPr="004B3F62">
        <w:t>j)</w:t>
      </w:r>
      <w:r>
        <w:t xml:space="preserve"> </w:t>
      </w:r>
      <w:r w:rsidRPr="004B3F62">
        <w:t>nepředloží</w:t>
      </w:r>
      <w:r>
        <w:t xml:space="preserve"> </w:t>
      </w:r>
      <w:r w:rsidRPr="004B3F62">
        <w:t>Agentuře</w:t>
      </w:r>
      <w:r>
        <w:t xml:space="preserve"> </w:t>
      </w:r>
      <w:r w:rsidRPr="004B3F62">
        <w:t>Evropské</w:t>
      </w:r>
      <w:r>
        <w:t xml:space="preserve"> </w:t>
      </w:r>
      <w:r w:rsidRPr="004B3F62">
        <w:t>unie</w:t>
      </w:r>
      <w:r>
        <w:t xml:space="preserve"> </w:t>
      </w:r>
      <w:r w:rsidRPr="004B3F62">
        <w:t>pro</w:t>
      </w:r>
      <w:r>
        <w:t xml:space="preserve"> </w:t>
      </w:r>
      <w:r w:rsidRPr="004B3F62">
        <w:t>železnice</w:t>
      </w:r>
      <w:r>
        <w:t xml:space="preserve"> </w:t>
      </w:r>
      <w:r w:rsidRPr="004B3F62">
        <w:t>požadovaná</w:t>
      </w:r>
      <w:r>
        <w:t xml:space="preserve"> </w:t>
      </w:r>
      <w:r w:rsidRPr="004B3F62">
        <w:t>smluvní</w:t>
      </w:r>
      <w:r>
        <w:t xml:space="preserve"> </w:t>
      </w:r>
      <w:r w:rsidRPr="004B3F62">
        <w:t>ujednání,</w:t>
      </w:r>
    </w:p>
    <w:p w14:paraId="1C3C38D6" w14:textId="30CBD4F2" w:rsidR="00554E2B" w:rsidRDefault="00554E2B" w:rsidP="00812ECA">
      <w:pPr>
        <w:pStyle w:val="Textparagrafu"/>
        <w:tabs>
          <w:tab w:val="left" w:pos="406"/>
          <w:tab w:val="left" w:pos="868"/>
        </w:tabs>
        <w:spacing w:before="0"/>
        <w:ind w:left="426" w:hanging="426"/>
      </w:pPr>
      <w:r w:rsidRPr="004B3F62">
        <w:t>l)</w:t>
      </w:r>
      <w:r w:rsidR="002474FB">
        <w:tab/>
      </w:r>
      <w:r w:rsidRPr="004B3F62">
        <w:t>v</w:t>
      </w:r>
      <w:r>
        <w:t xml:space="preserve"> </w:t>
      </w:r>
      <w:r w:rsidRPr="004B3F62">
        <w:t>rozporu</w:t>
      </w:r>
      <w:r>
        <w:t xml:space="preserve"> </w:t>
      </w:r>
      <w:r w:rsidRPr="004B3F62">
        <w:t>s</w:t>
      </w:r>
      <w:r>
        <w:t xml:space="preserve"> </w:t>
      </w:r>
      <w:r w:rsidRPr="004B3F62">
        <w:t>§</w:t>
      </w:r>
      <w:r>
        <w:t xml:space="preserve"> </w:t>
      </w:r>
      <w:r w:rsidRPr="004B3F62">
        <w:t>35</w:t>
      </w:r>
      <w:r>
        <w:t xml:space="preserve"> </w:t>
      </w:r>
      <w:r w:rsidRPr="004B3F62">
        <w:t>odst.</w:t>
      </w:r>
      <w:r>
        <w:t xml:space="preserve"> </w:t>
      </w:r>
      <w:r w:rsidRPr="004B3F62">
        <w:t>2</w:t>
      </w:r>
      <w:r>
        <w:t xml:space="preserve"> </w:t>
      </w:r>
      <w:r w:rsidRPr="004B3F62">
        <w:t>písm.</w:t>
      </w:r>
      <w:r>
        <w:t xml:space="preserve"> </w:t>
      </w:r>
      <w:r w:rsidRPr="004B3F62">
        <w:t>k)</w:t>
      </w:r>
      <w:r>
        <w:t xml:space="preserve"> </w:t>
      </w:r>
      <w:r w:rsidRPr="004B3F62">
        <w:t>nepřijme</w:t>
      </w:r>
      <w:r>
        <w:t xml:space="preserve"> </w:t>
      </w:r>
      <w:r w:rsidRPr="004B3F62">
        <w:t>nezbytná</w:t>
      </w:r>
      <w:r>
        <w:t xml:space="preserve"> </w:t>
      </w:r>
      <w:r w:rsidRPr="004B3F62">
        <w:t>opatření</w:t>
      </w:r>
      <w:r>
        <w:t xml:space="preserve"> </w:t>
      </w:r>
      <w:r w:rsidRPr="004B3F62">
        <w:t>k</w:t>
      </w:r>
      <w:r>
        <w:t xml:space="preserve"> </w:t>
      </w:r>
      <w:r w:rsidRPr="004B3F62">
        <w:t>odstranění</w:t>
      </w:r>
      <w:r>
        <w:t xml:space="preserve"> </w:t>
      </w:r>
      <w:r w:rsidRPr="004B3F62">
        <w:t>či</w:t>
      </w:r>
      <w:r>
        <w:t xml:space="preserve"> </w:t>
      </w:r>
      <w:r w:rsidRPr="004B3F62">
        <w:t>jinému</w:t>
      </w:r>
      <w:r>
        <w:t xml:space="preserve"> </w:t>
      </w:r>
      <w:r w:rsidRPr="004B3F62">
        <w:t>usměrnění</w:t>
      </w:r>
      <w:r>
        <w:t xml:space="preserve"> </w:t>
      </w:r>
      <w:r w:rsidRPr="004B3F62">
        <w:t>bezpečnostního</w:t>
      </w:r>
      <w:r>
        <w:t xml:space="preserve"> </w:t>
      </w:r>
      <w:r w:rsidRPr="004B3F62">
        <w:t>rizika</w:t>
      </w:r>
      <w:r>
        <w:t xml:space="preserve"> </w:t>
      </w:r>
      <w:r w:rsidRPr="004B3F62">
        <w:t>nebo</w:t>
      </w:r>
      <w:r>
        <w:t xml:space="preserve"> </w:t>
      </w:r>
      <w:r w:rsidRPr="004B3F62">
        <w:t>toto</w:t>
      </w:r>
      <w:r>
        <w:t xml:space="preserve"> </w:t>
      </w:r>
      <w:r w:rsidRPr="004B3F62">
        <w:t>riziko</w:t>
      </w:r>
      <w:r>
        <w:t xml:space="preserve"> </w:t>
      </w:r>
      <w:r w:rsidRPr="004B3F62">
        <w:t>neoznámí</w:t>
      </w:r>
      <w:r>
        <w:t xml:space="preserve"> </w:t>
      </w:r>
      <w:r w:rsidRPr="004B3F62">
        <w:t>osobám,</w:t>
      </w:r>
      <w:r>
        <w:t xml:space="preserve"> </w:t>
      </w:r>
      <w:r w:rsidRPr="004B3F62">
        <w:t>které</w:t>
      </w:r>
      <w:r>
        <w:t xml:space="preserve"> </w:t>
      </w:r>
      <w:r w:rsidRPr="004B3F62">
        <w:t>mohou</w:t>
      </w:r>
      <w:r>
        <w:t xml:space="preserve"> </w:t>
      </w:r>
      <w:r w:rsidRPr="004B3F62">
        <w:t>přispět</w:t>
      </w:r>
      <w:r>
        <w:t xml:space="preserve"> </w:t>
      </w:r>
      <w:r w:rsidRPr="004B3F62">
        <w:t>k</w:t>
      </w:r>
      <w:r>
        <w:t xml:space="preserve"> </w:t>
      </w:r>
      <w:r w:rsidRPr="004B3F62">
        <w:t>odstranění</w:t>
      </w:r>
      <w:r>
        <w:t xml:space="preserve"> </w:t>
      </w:r>
      <w:r w:rsidRPr="004B3F62">
        <w:t>či</w:t>
      </w:r>
      <w:r>
        <w:t xml:space="preserve"> </w:t>
      </w:r>
      <w:r w:rsidRPr="004B3F62">
        <w:t>jinému</w:t>
      </w:r>
      <w:r>
        <w:t xml:space="preserve"> </w:t>
      </w:r>
      <w:r w:rsidRPr="004B3F62">
        <w:t>usměrnění</w:t>
      </w:r>
      <w:r>
        <w:t xml:space="preserve"> </w:t>
      </w:r>
      <w:r w:rsidRPr="004B3F62">
        <w:t>tohoto</w:t>
      </w:r>
      <w:r>
        <w:t xml:space="preserve"> </w:t>
      </w:r>
      <w:r w:rsidRPr="004B3F62">
        <w:t>bezpečnostního</w:t>
      </w:r>
      <w:r>
        <w:t xml:space="preserve"> </w:t>
      </w:r>
      <w:r w:rsidRPr="004B3F62">
        <w:t>rizika,</w:t>
      </w:r>
    </w:p>
    <w:p w14:paraId="4D5D3A5D" w14:textId="3A3C448F" w:rsidR="00554E2B" w:rsidRDefault="00554E2B" w:rsidP="00812ECA">
      <w:pPr>
        <w:pStyle w:val="Textparagrafu"/>
        <w:tabs>
          <w:tab w:val="left" w:pos="406"/>
          <w:tab w:val="left" w:pos="868"/>
        </w:tabs>
        <w:spacing w:before="0"/>
        <w:ind w:left="426" w:hanging="426"/>
      </w:pPr>
      <w:r w:rsidRPr="004B3F62">
        <w:t>m)</w:t>
      </w:r>
      <w:r w:rsidR="002474FB">
        <w:tab/>
      </w:r>
      <w:r w:rsidRPr="004B3F62">
        <w:t>neoznámí</w:t>
      </w:r>
      <w:r>
        <w:t xml:space="preserve"> </w:t>
      </w:r>
      <w:r w:rsidRPr="004B3F62">
        <w:t>drážnímu</w:t>
      </w:r>
      <w:r>
        <w:t xml:space="preserve"> </w:t>
      </w:r>
      <w:r w:rsidRPr="004B3F62">
        <w:t>správnímu</w:t>
      </w:r>
      <w:r>
        <w:t xml:space="preserve"> </w:t>
      </w:r>
      <w:r w:rsidRPr="004B3F62">
        <w:t>úřadu</w:t>
      </w:r>
      <w:r>
        <w:t xml:space="preserve"> </w:t>
      </w:r>
      <w:r w:rsidRPr="004B3F62">
        <w:t>zahájení</w:t>
      </w:r>
      <w:r>
        <w:t xml:space="preserve"> </w:t>
      </w:r>
      <w:r w:rsidRPr="004B3F62">
        <w:t>provozování</w:t>
      </w:r>
      <w:r>
        <w:t xml:space="preserve"> </w:t>
      </w:r>
      <w:r w:rsidRPr="004B3F62">
        <w:t>veřejné</w:t>
      </w:r>
      <w:r>
        <w:t xml:space="preserve"> </w:t>
      </w:r>
      <w:r w:rsidRPr="004B3F62">
        <w:t>drážní</w:t>
      </w:r>
      <w:r>
        <w:t xml:space="preserve"> </w:t>
      </w:r>
      <w:r w:rsidRPr="004B3F62">
        <w:t>dopravy</w:t>
      </w:r>
      <w:r>
        <w:t xml:space="preserve"> </w:t>
      </w:r>
      <w:r w:rsidRPr="004B3F62">
        <w:t>prostřednictvím</w:t>
      </w:r>
      <w:r>
        <w:t xml:space="preserve"> </w:t>
      </w:r>
      <w:r w:rsidRPr="004B3F62">
        <w:t>jím</w:t>
      </w:r>
      <w:r>
        <w:t xml:space="preserve"> </w:t>
      </w:r>
      <w:r w:rsidRPr="004B3F62">
        <w:t>dosud</w:t>
      </w:r>
      <w:r>
        <w:t xml:space="preserve"> </w:t>
      </w:r>
      <w:r w:rsidRPr="004B3F62">
        <w:t>neprovozovaného</w:t>
      </w:r>
      <w:r>
        <w:t xml:space="preserve"> </w:t>
      </w:r>
      <w:r w:rsidRPr="004B3F62">
        <w:t>typu</w:t>
      </w:r>
      <w:r>
        <w:t xml:space="preserve"> </w:t>
      </w:r>
      <w:r w:rsidRPr="004B3F62">
        <w:t>drážních</w:t>
      </w:r>
      <w:r>
        <w:t xml:space="preserve"> </w:t>
      </w:r>
      <w:r w:rsidRPr="004B3F62">
        <w:t>vozidel</w:t>
      </w:r>
      <w:r>
        <w:t xml:space="preserve"> </w:t>
      </w:r>
      <w:r w:rsidRPr="004B3F62">
        <w:t>nebo</w:t>
      </w:r>
      <w:r>
        <w:t xml:space="preserve"> </w:t>
      </w:r>
      <w:r w:rsidRPr="004B3F62">
        <w:t>s</w:t>
      </w:r>
      <w:r>
        <w:t xml:space="preserve"> </w:t>
      </w:r>
      <w:r w:rsidRPr="004B3F62">
        <w:t>využitím</w:t>
      </w:r>
      <w:r>
        <w:t xml:space="preserve"> </w:t>
      </w:r>
      <w:r w:rsidRPr="004B3F62">
        <w:t>nových</w:t>
      </w:r>
      <w:r>
        <w:t xml:space="preserve"> </w:t>
      </w:r>
      <w:r w:rsidRPr="004B3F62">
        <w:t>funkcí</w:t>
      </w:r>
      <w:r>
        <w:t xml:space="preserve"> </w:t>
      </w:r>
      <w:r w:rsidRPr="004B3F62">
        <w:t>zaměstnanců</w:t>
      </w:r>
      <w:r>
        <w:t xml:space="preserve"> </w:t>
      </w:r>
      <w:r w:rsidRPr="004B3F62">
        <w:t>podle</w:t>
      </w:r>
      <w:r>
        <w:t xml:space="preserve"> </w:t>
      </w:r>
      <w:r w:rsidRPr="004B3F62">
        <w:t>§</w:t>
      </w:r>
      <w:r>
        <w:t xml:space="preserve"> </w:t>
      </w:r>
      <w:r w:rsidRPr="004B3F62">
        <w:t>35</w:t>
      </w:r>
      <w:r>
        <w:t xml:space="preserve"> </w:t>
      </w:r>
      <w:r w:rsidRPr="004B3F62">
        <w:t>odst.</w:t>
      </w:r>
      <w:r>
        <w:t xml:space="preserve"> </w:t>
      </w:r>
      <w:r w:rsidRPr="004B3F62">
        <w:t>2</w:t>
      </w:r>
      <w:r>
        <w:t xml:space="preserve"> </w:t>
      </w:r>
      <w:r w:rsidRPr="004B3F62">
        <w:t>písm.</w:t>
      </w:r>
      <w:r>
        <w:t xml:space="preserve"> </w:t>
      </w:r>
      <w:r w:rsidRPr="004B3F62">
        <w:t>l),</w:t>
      </w:r>
    </w:p>
    <w:p w14:paraId="0C94ECB6" w14:textId="7EDF7ADF" w:rsidR="00554E2B" w:rsidRDefault="00554E2B" w:rsidP="00812ECA">
      <w:pPr>
        <w:pStyle w:val="Textparagrafu"/>
        <w:tabs>
          <w:tab w:val="left" w:pos="406"/>
          <w:tab w:val="left" w:pos="868"/>
        </w:tabs>
        <w:spacing w:before="0"/>
        <w:ind w:left="426" w:hanging="426"/>
      </w:pPr>
      <w:r w:rsidRPr="004B3F62">
        <w:t>n)</w:t>
      </w:r>
      <w:r w:rsidR="002474FB">
        <w:tab/>
      </w:r>
      <w:r w:rsidRPr="004B3F62">
        <w:t>neopatří</w:t>
      </w:r>
      <w:r>
        <w:t xml:space="preserve"> </w:t>
      </w:r>
      <w:r w:rsidRPr="004B3F62">
        <w:t>si</w:t>
      </w:r>
      <w:r>
        <w:t xml:space="preserve"> </w:t>
      </w:r>
      <w:r w:rsidRPr="004B3F62">
        <w:t>informace</w:t>
      </w:r>
      <w:r>
        <w:t xml:space="preserve"> </w:t>
      </w:r>
      <w:r w:rsidRPr="004B3F62">
        <w:t>o</w:t>
      </w:r>
      <w:r>
        <w:t xml:space="preserve"> </w:t>
      </w:r>
      <w:r w:rsidRPr="004B3F62">
        <w:t>technickém</w:t>
      </w:r>
      <w:r>
        <w:t xml:space="preserve"> </w:t>
      </w:r>
      <w:r w:rsidRPr="004B3F62">
        <w:t>a</w:t>
      </w:r>
      <w:r>
        <w:t xml:space="preserve"> </w:t>
      </w:r>
      <w:r w:rsidRPr="004B3F62">
        <w:t>provozním</w:t>
      </w:r>
      <w:r>
        <w:t xml:space="preserve"> </w:t>
      </w:r>
      <w:r w:rsidRPr="004B3F62">
        <w:t>stavu</w:t>
      </w:r>
      <w:r>
        <w:t xml:space="preserve"> </w:t>
      </w:r>
      <w:r w:rsidRPr="004B3F62">
        <w:t>drážního</w:t>
      </w:r>
      <w:r>
        <w:t xml:space="preserve"> </w:t>
      </w:r>
      <w:r w:rsidRPr="004B3F62">
        <w:t>vozidla</w:t>
      </w:r>
      <w:r>
        <w:t xml:space="preserve"> </w:t>
      </w:r>
      <w:r w:rsidRPr="004B3F62">
        <w:t>a</w:t>
      </w:r>
      <w:r>
        <w:t xml:space="preserve"> </w:t>
      </w:r>
      <w:r w:rsidRPr="004B3F62">
        <w:t>přepravovaného</w:t>
      </w:r>
      <w:r>
        <w:t xml:space="preserve"> </w:t>
      </w:r>
      <w:r w:rsidRPr="004B3F62">
        <w:t>nákladu</w:t>
      </w:r>
      <w:r>
        <w:t xml:space="preserve"> </w:t>
      </w:r>
      <w:r w:rsidRPr="004B3F62">
        <w:t>podle</w:t>
      </w:r>
      <w:r>
        <w:t xml:space="preserve"> </w:t>
      </w:r>
      <w:r w:rsidRPr="004B3F62">
        <w:t>§</w:t>
      </w:r>
      <w:r>
        <w:t xml:space="preserve"> </w:t>
      </w:r>
      <w:r w:rsidRPr="004B3F62">
        <w:t>35</w:t>
      </w:r>
      <w:r>
        <w:t xml:space="preserve"> </w:t>
      </w:r>
      <w:r w:rsidRPr="004B3F62">
        <w:t>odst.</w:t>
      </w:r>
      <w:r>
        <w:t xml:space="preserve"> </w:t>
      </w:r>
      <w:r w:rsidRPr="004B3F62">
        <w:t>2</w:t>
      </w:r>
      <w:r>
        <w:t xml:space="preserve"> </w:t>
      </w:r>
      <w:r w:rsidRPr="004B3F62">
        <w:t>písm.</w:t>
      </w:r>
      <w:r>
        <w:t xml:space="preserve"> </w:t>
      </w:r>
      <w:r w:rsidRPr="004B3F62">
        <w:t>m),</w:t>
      </w:r>
    </w:p>
    <w:p w14:paraId="4849BD4F" w14:textId="00FD85E7" w:rsidR="00554E2B" w:rsidRDefault="00554E2B" w:rsidP="00812ECA">
      <w:pPr>
        <w:pStyle w:val="Textparagrafu"/>
        <w:tabs>
          <w:tab w:val="left" w:pos="406"/>
          <w:tab w:val="left" w:pos="868"/>
        </w:tabs>
        <w:spacing w:before="0"/>
        <w:ind w:left="426" w:hanging="426"/>
      </w:pPr>
      <w:r w:rsidRPr="004B3F62">
        <w:t>o)</w:t>
      </w:r>
      <w:r w:rsidR="002474FB">
        <w:tab/>
      </w:r>
      <w:r w:rsidRPr="004B3F62">
        <w:t>nepředloží</w:t>
      </w:r>
      <w:r>
        <w:t xml:space="preserve"> </w:t>
      </w:r>
      <w:r w:rsidRPr="004B3F62">
        <w:t>podle</w:t>
      </w:r>
      <w:r>
        <w:t xml:space="preserve"> </w:t>
      </w:r>
      <w:r w:rsidRPr="004B3F62">
        <w:t>§</w:t>
      </w:r>
      <w:r>
        <w:t xml:space="preserve"> </w:t>
      </w:r>
      <w:r w:rsidRPr="004B3F62">
        <w:t>35</w:t>
      </w:r>
      <w:r>
        <w:t xml:space="preserve"> </w:t>
      </w:r>
      <w:r w:rsidRPr="004B3F62">
        <w:t>odst.</w:t>
      </w:r>
      <w:r>
        <w:t xml:space="preserve"> </w:t>
      </w:r>
      <w:r w:rsidRPr="004B3F62">
        <w:t>2</w:t>
      </w:r>
      <w:r>
        <w:t xml:space="preserve"> </w:t>
      </w:r>
      <w:r w:rsidRPr="004B3F62">
        <w:t>písm.</w:t>
      </w:r>
      <w:r>
        <w:t xml:space="preserve"> </w:t>
      </w:r>
      <w:r w:rsidRPr="004B3F62">
        <w:t>n)</w:t>
      </w:r>
      <w:r>
        <w:t xml:space="preserve"> </w:t>
      </w:r>
      <w:r w:rsidRPr="004B3F62">
        <w:t>drážnímu</w:t>
      </w:r>
      <w:r>
        <w:t xml:space="preserve"> </w:t>
      </w:r>
      <w:r w:rsidRPr="004B3F62">
        <w:t>správnímu</w:t>
      </w:r>
      <w:r>
        <w:t xml:space="preserve"> </w:t>
      </w:r>
      <w:r w:rsidRPr="004B3F62">
        <w:t>úřadu</w:t>
      </w:r>
      <w:r>
        <w:t xml:space="preserve"> </w:t>
      </w:r>
      <w:r w:rsidRPr="004B3F62">
        <w:t>výroční</w:t>
      </w:r>
      <w:r>
        <w:t xml:space="preserve"> </w:t>
      </w:r>
      <w:r w:rsidRPr="004B3F62">
        <w:t>zprávu</w:t>
      </w:r>
      <w:r>
        <w:t xml:space="preserve"> </w:t>
      </w:r>
      <w:r w:rsidRPr="004B3F62">
        <w:t>o</w:t>
      </w:r>
      <w:r>
        <w:t xml:space="preserve"> </w:t>
      </w:r>
      <w:r w:rsidRPr="004B3F62">
        <w:t>bezpečnosti</w:t>
      </w:r>
      <w:r>
        <w:t xml:space="preserve"> </w:t>
      </w:r>
      <w:r w:rsidRPr="004B3F62">
        <w:t>provozování</w:t>
      </w:r>
      <w:r>
        <w:t xml:space="preserve"> </w:t>
      </w:r>
      <w:r w:rsidRPr="004B3F62">
        <w:t>drážní</w:t>
      </w:r>
      <w:r>
        <w:t xml:space="preserve"> </w:t>
      </w:r>
      <w:r w:rsidRPr="004B3F62">
        <w:t>dopravy,</w:t>
      </w:r>
    </w:p>
    <w:p w14:paraId="4FF06C92" w14:textId="30EF5314" w:rsidR="00554E2B" w:rsidRDefault="00554E2B" w:rsidP="00812ECA">
      <w:pPr>
        <w:pStyle w:val="Textparagrafu"/>
        <w:tabs>
          <w:tab w:val="left" w:pos="406"/>
          <w:tab w:val="left" w:pos="868"/>
        </w:tabs>
        <w:spacing w:before="0"/>
        <w:ind w:left="426" w:hanging="426"/>
      </w:pPr>
      <w:r w:rsidRPr="004B3F62">
        <w:t>p)</w:t>
      </w:r>
      <w:r w:rsidR="002474FB">
        <w:tab/>
      </w:r>
      <w:r w:rsidRPr="004B3F62">
        <w:t>nezajistí</w:t>
      </w:r>
      <w:r>
        <w:t xml:space="preserve"> </w:t>
      </w:r>
      <w:r w:rsidRPr="004B3F62">
        <w:t>oznámení</w:t>
      </w:r>
      <w:r>
        <w:t xml:space="preserve"> </w:t>
      </w:r>
      <w:r w:rsidRPr="004B3F62">
        <w:t>stanovených</w:t>
      </w:r>
      <w:r>
        <w:t xml:space="preserve"> </w:t>
      </w:r>
      <w:r w:rsidRPr="004B3F62">
        <w:t>údajů</w:t>
      </w:r>
      <w:r>
        <w:t xml:space="preserve"> </w:t>
      </w:r>
      <w:r w:rsidRPr="004B3F62">
        <w:t>provozovateli</w:t>
      </w:r>
      <w:r>
        <w:t xml:space="preserve"> </w:t>
      </w:r>
      <w:r w:rsidRPr="004B3F62">
        <w:t>dráhy</w:t>
      </w:r>
      <w:r>
        <w:t xml:space="preserve"> </w:t>
      </w:r>
      <w:r w:rsidRPr="004B3F62">
        <w:t>celostátní</w:t>
      </w:r>
      <w:r>
        <w:t xml:space="preserve"> </w:t>
      </w:r>
      <w:r w:rsidRPr="004B3F62">
        <w:t>nebo</w:t>
      </w:r>
      <w:r>
        <w:t xml:space="preserve"> </w:t>
      </w:r>
      <w:r w:rsidRPr="004B3F62">
        <w:t>regionální</w:t>
      </w:r>
      <w:r>
        <w:t xml:space="preserve"> </w:t>
      </w:r>
      <w:r w:rsidRPr="004B3F62">
        <w:t>podle</w:t>
      </w:r>
      <w:r>
        <w:t xml:space="preserve"> </w:t>
      </w:r>
      <w:r w:rsidRPr="004B3F62">
        <w:t>§</w:t>
      </w:r>
      <w:r>
        <w:t xml:space="preserve"> </w:t>
      </w:r>
      <w:r w:rsidRPr="004B3F62">
        <w:t>35</w:t>
      </w:r>
      <w:r>
        <w:t xml:space="preserve"> </w:t>
      </w:r>
      <w:r w:rsidRPr="004B3F62">
        <w:t>odst.</w:t>
      </w:r>
      <w:r>
        <w:t xml:space="preserve"> </w:t>
      </w:r>
      <w:r w:rsidRPr="004B3F62">
        <w:t>2</w:t>
      </w:r>
      <w:r>
        <w:t xml:space="preserve"> </w:t>
      </w:r>
      <w:r w:rsidRPr="004B3F62">
        <w:t>písm.</w:t>
      </w:r>
      <w:r>
        <w:t xml:space="preserve"> </w:t>
      </w:r>
      <w:r w:rsidRPr="004B3F62">
        <w:t>p),</w:t>
      </w:r>
    </w:p>
    <w:p w14:paraId="5581F3F4" w14:textId="510BA681" w:rsidR="00554E2B" w:rsidRDefault="00554E2B" w:rsidP="00812ECA">
      <w:pPr>
        <w:pStyle w:val="Textparagrafu"/>
        <w:tabs>
          <w:tab w:val="left" w:pos="406"/>
          <w:tab w:val="left" w:pos="868"/>
        </w:tabs>
        <w:spacing w:before="0"/>
        <w:ind w:left="426" w:hanging="426"/>
      </w:pPr>
      <w:r w:rsidRPr="004B3F62">
        <w:t>q)</w:t>
      </w:r>
      <w:r w:rsidR="002474FB">
        <w:tab/>
      </w:r>
      <w:r w:rsidRPr="004B3F62">
        <w:t>na</w:t>
      </w:r>
      <w:r>
        <w:t xml:space="preserve"> </w:t>
      </w:r>
      <w:r w:rsidRPr="004B3F62">
        <w:t>dráze</w:t>
      </w:r>
      <w:r>
        <w:t xml:space="preserve"> </w:t>
      </w:r>
      <w:r w:rsidRPr="004B3F62">
        <w:t>celostátní</w:t>
      </w:r>
      <w:r>
        <w:t xml:space="preserve"> </w:t>
      </w:r>
      <w:r w:rsidRPr="004B3F62">
        <w:t>nebo</w:t>
      </w:r>
      <w:r>
        <w:t xml:space="preserve"> </w:t>
      </w:r>
      <w:r w:rsidRPr="004B3F62">
        <w:t>regionální</w:t>
      </w:r>
      <w:r>
        <w:t xml:space="preserve"> </w:t>
      </w:r>
      <w:r w:rsidRPr="004B3F62">
        <w:t>provozuje</w:t>
      </w:r>
      <w:r>
        <w:t xml:space="preserve"> </w:t>
      </w:r>
      <w:r w:rsidRPr="004B3F62">
        <w:t>drážní</w:t>
      </w:r>
      <w:r>
        <w:t xml:space="preserve"> </w:t>
      </w:r>
      <w:r w:rsidRPr="004B3F62">
        <w:t>vozidlo,</w:t>
      </w:r>
      <w:r>
        <w:t xml:space="preserve"> </w:t>
      </w:r>
      <w:r w:rsidRPr="004B3F62">
        <w:t>které</w:t>
      </w:r>
      <w:r>
        <w:t xml:space="preserve"> </w:t>
      </w:r>
      <w:r w:rsidRPr="004B3F62">
        <w:t>nesplňuje</w:t>
      </w:r>
      <w:r>
        <w:t xml:space="preserve"> </w:t>
      </w:r>
      <w:r w:rsidRPr="004B3F62">
        <w:t>některou</w:t>
      </w:r>
      <w:r>
        <w:t xml:space="preserve"> </w:t>
      </w:r>
      <w:r w:rsidRPr="004B3F62">
        <w:t>z</w:t>
      </w:r>
      <w:r>
        <w:t xml:space="preserve"> </w:t>
      </w:r>
      <w:r w:rsidRPr="004B3F62">
        <w:t>podmínek</w:t>
      </w:r>
      <w:r>
        <w:t xml:space="preserve"> </w:t>
      </w:r>
      <w:r w:rsidRPr="004B3F62">
        <w:t>podle</w:t>
      </w:r>
      <w:r>
        <w:t xml:space="preserve"> </w:t>
      </w:r>
      <w:r w:rsidRPr="004B3F62">
        <w:t>§</w:t>
      </w:r>
      <w:r>
        <w:t xml:space="preserve"> </w:t>
      </w:r>
      <w:r w:rsidRPr="004B3F62">
        <w:t>43</w:t>
      </w:r>
      <w:r>
        <w:t xml:space="preserve"> </w:t>
      </w:r>
      <w:r w:rsidRPr="004B3F62">
        <w:t>odst.</w:t>
      </w:r>
      <w:r>
        <w:t xml:space="preserve"> </w:t>
      </w:r>
      <w:r w:rsidRPr="004B3F62">
        <w:t>1</w:t>
      </w:r>
      <w:r>
        <w:t xml:space="preserve"> </w:t>
      </w:r>
      <w:r w:rsidRPr="004B3F62">
        <w:t>nebo</w:t>
      </w:r>
      <w:r>
        <w:t xml:space="preserve"> </w:t>
      </w:r>
      <w:r w:rsidRPr="004B3F62">
        <w:t>§</w:t>
      </w:r>
      <w:r>
        <w:t xml:space="preserve"> </w:t>
      </w:r>
      <w:r w:rsidRPr="004B3F62">
        <w:t>43f</w:t>
      </w:r>
      <w:r>
        <w:t xml:space="preserve"> </w:t>
      </w:r>
      <w:r w:rsidRPr="004B3F62">
        <w:t>odst.</w:t>
      </w:r>
      <w:r>
        <w:t xml:space="preserve"> </w:t>
      </w:r>
      <w:r w:rsidRPr="004B3F62">
        <w:t>2,</w:t>
      </w:r>
    </w:p>
    <w:p w14:paraId="7578CC73" w14:textId="53F524D4" w:rsidR="00554E2B" w:rsidRDefault="00554E2B" w:rsidP="00812ECA">
      <w:pPr>
        <w:pStyle w:val="Textparagrafu"/>
        <w:tabs>
          <w:tab w:val="left" w:pos="406"/>
          <w:tab w:val="left" w:pos="868"/>
        </w:tabs>
        <w:spacing w:before="0"/>
        <w:ind w:left="426" w:hanging="426"/>
      </w:pPr>
      <w:r w:rsidRPr="004B3F62">
        <w:t>r)</w:t>
      </w:r>
      <w:r w:rsidR="002474FB">
        <w:tab/>
      </w:r>
      <w:r w:rsidRPr="004B3F62">
        <w:t>v</w:t>
      </w:r>
      <w:r>
        <w:t xml:space="preserve"> </w:t>
      </w:r>
      <w:r w:rsidRPr="004B3F62">
        <w:t>rozporu</w:t>
      </w:r>
      <w:r>
        <w:t xml:space="preserve"> </w:t>
      </w:r>
      <w:r w:rsidRPr="004B3F62">
        <w:t>s</w:t>
      </w:r>
      <w:r>
        <w:t xml:space="preserve"> </w:t>
      </w:r>
      <w:r w:rsidRPr="004B3F62">
        <w:t>§</w:t>
      </w:r>
      <w:r>
        <w:t xml:space="preserve"> </w:t>
      </w:r>
      <w:r w:rsidRPr="004B3F62">
        <w:t>43f</w:t>
      </w:r>
      <w:r>
        <w:t xml:space="preserve"> </w:t>
      </w:r>
      <w:r w:rsidRPr="004B3F62">
        <w:t>odst.</w:t>
      </w:r>
      <w:r>
        <w:t xml:space="preserve"> </w:t>
      </w:r>
      <w:r w:rsidRPr="004B3F62">
        <w:t>4</w:t>
      </w:r>
      <w:r>
        <w:t xml:space="preserve"> </w:t>
      </w:r>
      <w:r w:rsidRPr="004B3F62">
        <w:t>provozuje</w:t>
      </w:r>
      <w:r>
        <w:t xml:space="preserve"> </w:t>
      </w:r>
      <w:r w:rsidRPr="004B3F62">
        <w:t>historické</w:t>
      </w:r>
      <w:r>
        <w:t xml:space="preserve"> </w:t>
      </w:r>
      <w:r w:rsidRPr="004B3F62">
        <w:t>drážní</w:t>
      </w:r>
      <w:r>
        <w:t xml:space="preserve"> </w:t>
      </w:r>
      <w:r w:rsidRPr="004B3F62">
        <w:t>vozidlo</w:t>
      </w:r>
      <w:r>
        <w:t xml:space="preserve"> </w:t>
      </w:r>
      <w:r w:rsidRPr="004B3F62">
        <w:t>na</w:t>
      </w:r>
      <w:r>
        <w:t xml:space="preserve"> </w:t>
      </w:r>
      <w:r w:rsidRPr="004B3F62">
        <w:t>dráze</w:t>
      </w:r>
      <w:r>
        <w:t xml:space="preserve"> </w:t>
      </w:r>
      <w:r w:rsidRPr="004B3F62">
        <w:t>celostátní</w:t>
      </w:r>
      <w:r>
        <w:t xml:space="preserve"> </w:t>
      </w:r>
      <w:r w:rsidRPr="004B3F62">
        <w:t>nebo</w:t>
      </w:r>
      <w:r>
        <w:t xml:space="preserve"> </w:t>
      </w:r>
      <w:r w:rsidRPr="004B3F62">
        <w:t>regionální,</w:t>
      </w:r>
      <w:r>
        <w:t xml:space="preserve"> </w:t>
      </w:r>
      <w:r w:rsidRPr="004B3F62">
        <w:t>u</w:t>
      </w:r>
      <w:r>
        <w:t xml:space="preserve"> </w:t>
      </w:r>
      <w:r w:rsidRPr="004B3F62">
        <w:t>něhož</w:t>
      </w:r>
      <w:r>
        <w:t xml:space="preserve"> </w:t>
      </w:r>
      <w:r w:rsidRPr="004B3F62">
        <w:t>byla</w:t>
      </w:r>
      <w:r>
        <w:t xml:space="preserve"> </w:t>
      </w:r>
      <w:r w:rsidRPr="004B3F62">
        <w:t>provedena</w:t>
      </w:r>
      <w:r>
        <w:t xml:space="preserve"> </w:t>
      </w:r>
      <w:r w:rsidRPr="004B3F62">
        <w:t>změna</w:t>
      </w:r>
      <w:r>
        <w:t xml:space="preserve"> </w:t>
      </w:r>
      <w:r w:rsidRPr="004B3F62">
        <w:t>konstrukce</w:t>
      </w:r>
      <w:r>
        <w:t xml:space="preserve"> </w:t>
      </w:r>
      <w:r w:rsidRPr="004B3F62">
        <w:t>představující</w:t>
      </w:r>
      <w:r>
        <w:t xml:space="preserve"> </w:t>
      </w:r>
      <w:r w:rsidRPr="004B3F62">
        <w:t>podstatnou</w:t>
      </w:r>
      <w:r>
        <w:t xml:space="preserve"> </w:t>
      </w:r>
      <w:r w:rsidRPr="004B3F62">
        <w:t>odchylku</w:t>
      </w:r>
      <w:r>
        <w:t xml:space="preserve"> </w:t>
      </w:r>
      <w:r w:rsidRPr="004B3F62">
        <w:t>od</w:t>
      </w:r>
      <w:r>
        <w:t xml:space="preserve"> </w:t>
      </w:r>
      <w:r w:rsidRPr="004B3F62">
        <w:t>schváleného</w:t>
      </w:r>
      <w:r>
        <w:t xml:space="preserve"> </w:t>
      </w:r>
      <w:r w:rsidRPr="004B3F62">
        <w:t>typu</w:t>
      </w:r>
      <w:r>
        <w:t xml:space="preserve"> </w:t>
      </w:r>
      <w:r w:rsidRPr="004B3F62">
        <w:t>vozidla,</w:t>
      </w:r>
      <w:r>
        <w:t xml:space="preserve"> </w:t>
      </w:r>
      <w:r w:rsidRPr="004B3F62">
        <w:t>bez</w:t>
      </w:r>
      <w:r>
        <w:t xml:space="preserve"> </w:t>
      </w:r>
      <w:r w:rsidRPr="004B3F62">
        <w:t>schválení,</w:t>
      </w:r>
    </w:p>
    <w:p w14:paraId="36485ECD" w14:textId="5BFB77B4" w:rsidR="00554E2B" w:rsidRDefault="00554E2B" w:rsidP="00812ECA">
      <w:pPr>
        <w:pStyle w:val="Textparagrafu"/>
        <w:tabs>
          <w:tab w:val="left" w:pos="406"/>
          <w:tab w:val="left" w:pos="868"/>
        </w:tabs>
        <w:spacing w:before="0"/>
        <w:ind w:left="426" w:hanging="426"/>
      </w:pPr>
      <w:r w:rsidRPr="004B3F62">
        <w:lastRenderedPageBreak/>
        <w:t>s)</w:t>
      </w:r>
      <w:r w:rsidR="002474FB">
        <w:tab/>
      </w:r>
      <w:r w:rsidRPr="004B3F62">
        <w:t>nepřijme</w:t>
      </w:r>
      <w:r>
        <w:t xml:space="preserve"> </w:t>
      </w:r>
      <w:r w:rsidRPr="004B3F62">
        <w:t>nezbytná</w:t>
      </w:r>
      <w:r>
        <w:t xml:space="preserve"> </w:t>
      </w:r>
      <w:r w:rsidRPr="004B3F62">
        <w:t>opatření</w:t>
      </w:r>
      <w:r>
        <w:t xml:space="preserve"> </w:t>
      </w:r>
      <w:r w:rsidRPr="004B3F62">
        <w:t>k</w:t>
      </w:r>
      <w:r>
        <w:t xml:space="preserve"> </w:t>
      </w:r>
      <w:r w:rsidRPr="004B3F62">
        <w:t>uvedení</w:t>
      </w:r>
      <w:r>
        <w:t xml:space="preserve"> </w:t>
      </w:r>
      <w:r w:rsidRPr="004B3F62">
        <w:t>drážního</w:t>
      </w:r>
      <w:r>
        <w:t xml:space="preserve"> </w:t>
      </w:r>
      <w:r w:rsidRPr="004B3F62">
        <w:t>vozidla</w:t>
      </w:r>
      <w:r>
        <w:t xml:space="preserve"> </w:t>
      </w:r>
      <w:r w:rsidRPr="004B3F62">
        <w:t>do</w:t>
      </w:r>
      <w:r>
        <w:t xml:space="preserve"> </w:t>
      </w:r>
      <w:r w:rsidRPr="004B3F62">
        <w:t>souladu</w:t>
      </w:r>
      <w:r>
        <w:t xml:space="preserve"> </w:t>
      </w:r>
      <w:r w:rsidRPr="004B3F62">
        <w:t>se</w:t>
      </w:r>
      <w:r>
        <w:t xml:space="preserve"> </w:t>
      </w:r>
      <w:r w:rsidRPr="004B3F62">
        <w:t>základními</w:t>
      </w:r>
      <w:r>
        <w:t xml:space="preserve"> </w:t>
      </w:r>
      <w:r w:rsidRPr="004B3F62">
        <w:t>požadavky</w:t>
      </w:r>
      <w:r>
        <w:t xml:space="preserve"> </w:t>
      </w:r>
      <w:r w:rsidRPr="004B3F62">
        <w:t>podle</w:t>
      </w:r>
      <w:r>
        <w:t xml:space="preserve"> </w:t>
      </w:r>
      <w:r w:rsidRPr="004B3F62">
        <w:t>§</w:t>
      </w:r>
      <w:r>
        <w:t xml:space="preserve"> </w:t>
      </w:r>
      <w:r w:rsidRPr="004B3F62">
        <w:t>49m</w:t>
      </w:r>
      <w:r>
        <w:t xml:space="preserve"> </w:t>
      </w:r>
      <w:r w:rsidRPr="004B3F62">
        <w:t>odst.</w:t>
      </w:r>
      <w:r>
        <w:t xml:space="preserve"> </w:t>
      </w:r>
      <w:r w:rsidRPr="004B3F62">
        <w:t>1</w:t>
      </w:r>
      <w:r>
        <w:t xml:space="preserve"> </w:t>
      </w:r>
      <w:r w:rsidRPr="004B3F62">
        <w:t>nebo</w:t>
      </w:r>
      <w:r>
        <w:t xml:space="preserve"> </w:t>
      </w:r>
      <w:r w:rsidRPr="004B3F62">
        <w:t>2,</w:t>
      </w:r>
    </w:p>
    <w:p w14:paraId="11699E3D" w14:textId="0E245154" w:rsidR="00554E2B" w:rsidRDefault="00554E2B" w:rsidP="00812ECA">
      <w:pPr>
        <w:pStyle w:val="Textparagrafu"/>
        <w:tabs>
          <w:tab w:val="left" w:pos="406"/>
          <w:tab w:val="left" w:pos="868"/>
        </w:tabs>
        <w:spacing w:before="0"/>
        <w:ind w:left="426" w:hanging="426"/>
      </w:pPr>
      <w:r w:rsidRPr="004B3F62">
        <w:t>t)</w:t>
      </w:r>
      <w:r w:rsidR="002474FB">
        <w:tab/>
      </w:r>
      <w:r w:rsidRPr="004B3F62">
        <w:t>nesplní</w:t>
      </w:r>
      <w:r>
        <w:t xml:space="preserve"> </w:t>
      </w:r>
      <w:r w:rsidRPr="004B3F62">
        <w:t>informační</w:t>
      </w:r>
      <w:r>
        <w:t xml:space="preserve"> </w:t>
      </w:r>
      <w:r w:rsidRPr="004B3F62">
        <w:t>povinnost</w:t>
      </w:r>
      <w:r>
        <w:t xml:space="preserve"> </w:t>
      </w:r>
      <w:r w:rsidRPr="004B3F62">
        <w:t>vůči</w:t>
      </w:r>
      <w:r>
        <w:t xml:space="preserve"> </w:t>
      </w:r>
      <w:r w:rsidRPr="004B3F62">
        <w:t>Agentuře</w:t>
      </w:r>
      <w:r>
        <w:t xml:space="preserve"> </w:t>
      </w:r>
      <w:r w:rsidRPr="004B3F62">
        <w:t>Evropské</w:t>
      </w:r>
      <w:r>
        <w:t xml:space="preserve"> </w:t>
      </w:r>
      <w:r w:rsidRPr="004B3F62">
        <w:t>unie</w:t>
      </w:r>
      <w:r>
        <w:t xml:space="preserve"> </w:t>
      </w:r>
      <w:r w:rsidRPr="004B3F62">
        <w:t>pro</w:t>
      </w:r>
      <w:r>
        <w:t xml:space="preserve"> </w:t>
      </w:r>
      <w:r w:rsidRPr="004B3F62">
        <w:t>železnice,</w:t>
      </w:r>
      <w:r>
        <w:t xml:space="preserve"> </w:t>
      </w:r>
      <w:r w:rsidRPr="004B3F62">
        <w:t>drážnímu</w:t>
      </w:r>
      <w:r>
        <w:t xml:space="preserve"> </w:t>
      </w:r>
      <w:r w:rsidRPr="004B3F62">
        <w:t>správnímu</w:t>
      </w:r>
      <w:r>
        <w:t xml:space="preserve"> </w:t>
      </w:r>
      <w:r w:rsidRPr="004B3F62">
        <w:t>úřadu</w:t>
      </w:r>
      <w:r>
        <w:t xml:space="preserve"> </w:t>
      </w:r>
      <w:r w:rsidRPr="004B3F62">
        <w:t>nebo</w:t>
      </w:r>
      <w:r>
        <w:t xml:space="preserve"> </w:t>
      </w:r>
      <w:r w:rsidRPr="004B3F62">
        <w:t>orgánu</w:t>
      </w:r>
      <w:r>
        <w:t xml:space="preserve"> </w:t>
      </w:r>
      <w:r w:rsidRPr="004B3F62">
        <w:t>jiného</w:t>
      </w:r>
      <w:r>
        <w:t xml:space="preserve"> </w:t>
      </w:r>
      <w:r w:rsidRPr="004B3F62">
        <w:t>členského</w:t>
      </w:r>
      <w:r>
        <w:t xml:space="preserve"> </w:t>
      </w:r>
      <w:r w:rsidRPr="004B3F62">
        <w:t>státu</w:t>
      </w:r>
      <w:r>
        <w:t xml:space="preserve"> </w:t>
      </w:r>
      <w:r w:rsidRPr="004B3F62">
        <w:t>podle</w:t>
      </w:r>
      <w:r>
        <w:t xml:space="preserve"> </w:t>
      </w:r>
      <w:r w:rsidRPr="004B3F62">
        <w:t>§</w:t>
      </w:r>
      <w:r>
        <w:t xml:space="preserve"> </w:t>
      </w:r>
      <w:r w:rsidRPr="004B3F62">
        <w:t>49m</w:t>
      </w:r>
      <w:r>
        <w:t xml:space="preserve"> </w:t>
      </w:r>
      <w:r w:rsidRPr="004B3F62">
        <w:t>odst.</w:t>
      </w:r>
      <w:r>
        <w:t xml:space="preserve"> </w:t>
      </w:r>
      <w:r w:rsidRPr="004B3F62">
        <w:t>1,</w:t>
      </w:r>
      <w:r>
        <w:t xml:space="preserve"> </w:t>
      </w:r>
      <w:r w:rsidRPr="004B3F62">
        <w:t>nebo</w:t>
      </w:r>
    </w:p>
    <w:p w14:paraId="1BE853BE" w14:textId="0D4F8289" w:rsidR="00554E2B" w:rsidRDefault="00554E2B" w:rsidP="00812ECA">
      <w:pPr>
        <w:pStyle w:val="Textparagrafu"/>
        <w:tabs>
          <w:tab w:val="left" w:pos="406"/>
          <w:tab w:val="left" w:pos="868"/>
        </w:tabs>
        <w:spacing w:before="0"/>
        <w:ind w:left="426" w:hanging="426"/>
      </w:pPr>
      <w:r w:rsidRPr="004B3F62">
        <w:t>u)</w:t>
      </w:r>
      <w:r w:rsidR="002474FB">
        <w:tab/>
      </w:r>
      <w:r w:rsidRPr="004B3F62">
        <w:t>provozuje</w:t>
      </w:r>
      <w:r>
        <w:t xml:space="preserve"> </w:t>
      </w:r>
      <w:r w:rsidRPr="004B3F62">
        <w:t>drážní</w:t>
      </w:r>
      <w:r>
        <w:t xml:space="preserve"> </w:t>
      </w:r>
      <w:r w:rsidRPr="004B3F62">
        <w:t>vozidlo</w:t>
      </w:r>
      <w:r>
        <w:t xml:space="preserve"> </w:t>
      </w:r>
      <w:r w:rsidRPr="004B3F62">
        <w:t>v</w:t>
      </w:r>
      <w:r>
        <w:t xml:space="preserve"> </w:t>
      </w:r>
      <w:r w:rsidRPr="004B3F62">
        <w:t>rozporu</w:t>
      </w:r>
      <w:r>
        <w:t xml:space="preserve"> </w:t>
      </w:r>
      <w:r w:rsidRPr="004B3F62">
        <w:t>se</w:t>
      </w:r>
      <w:r>
        <w:t xml:space="preserve"> </w:t>
      </w:r>
      <w:r w:rsidRPr="004B3F62">
        <w:t>stanovenými</w:t>
      </w:r>
      <w:r>
        <w:t xml:space="preserve"> </w:t>
      </w:r>
      <w:r w:rsidRPr="004B3F62">
        <w:t>podmínkami</w:t>
      </w:r>
      <w:r>
        <w:t xml:space="preserve"> </w:t>
      </w:r>
      <w:r w:rsidRPr="004B3F62">
        <w:t>nebo</w:t>
      </w:r>
      <w:r>
        <w:t xml:space="preserve"> </w:t>
      </w:r>
      <w:r w:rsidRPr="004B3F62">
        <w:t>se</w:t>
      </w:r>
      <w:r>
        <w:t xml:space="preserve"> </w:t>
      </w:r>
      <w:r w:rsidRPr="004B3F62">
        <w:t>stanoveným</w:t>
      </w:r>
      <w:r>
        <w:t xml:space="preserve"> </w:t>
      </w:r>
      <w:r w:rsidRPr="004B3F62">
        <w:t>zákazem</w:t>
      </w:r>
      <w:r>
        <w:t xml:space="preserve"> </w:t>
      </w:r>
      <w:r w:rsidRPr="004B3F62">
        <w:t>podle</w:t>
      </w:r>
      <w:r>
        <w:t xml:space="preserve"> </w:t>
      </w:r>
      <w:r w:rsidRPr="004B3F62">
        <w:t>§</w:t>
      </w:r>
      <w:r>
        <w:t xml:space="preserve"> </w:t>
      </w:r>
      <w:r w:rsidRPr="004B3F62">
        <w:t>49m</w:t>
      </w:r>
      <w:r>
        <w:t xml:space="preserve"> </w:t>
      </w:r>
      <w:r w:rsidRPr="004B3F62">
        <w:t>odst.</w:t>
      </w:r>
      <w:r>
        <w:t xml:space="preserve"> </w:t>
      </w:r>
      <w:r w:rsidRPr="004B3F62">
        <w:t>3</w:t>
      </w:r>
      <w:r>
        <w:t xml:space="preserve"> </w:t>
      </w:r>
      <w:r w:rsidRPr="004B3F62">
        <w:t>písm.</w:t>
      </w:r>
      <w:r>
        <w:t xml:space="preserve"> </w:t>
      </w:r>
      <w:r w:rsidRPr="004B3F62">
        <w:t>a).</w:t>
      </w:r>
    </w:p>
    <w:p w14:paraId="3AE161BC" w14:textId="77777777" w:rsidR="00554E2B" w:rsidRDefault="00554E2B" w:rsidP="00CE2C91">
      <w:pPr>
        <w:pStyle w:val="Textparagrafu"/>
        <w:tabs>
          <w:tab w:val="left" w:pos="406"/>
          <w:tab w:val="left" w:pos="826"/>
        </w:tabs>
        <w:spacing w:before="120" w:after="120"/>
      </w:pPr>
      <w:r w:rsidRPr="004B3F62">
        <w:t>(3)</w:t>
      </w:r>
      <w:r>
        <w:t xml:space="preserve"> </w:t>
      </w:r>
      <w:r w:rsidRPr="004B3F62">
        <w:t>Právnická</w:t>
      </w:r>
      <w:r>
        <w:t xml:space="preserve"> </w:t>
      </w:r>
      <w:r w:rsidRPr="004B3F62">
        <w:t>nebo</w:t>
      </w:r>
      <w:r>
        <w:t xml:space="preserve"> </w:t>
      </w:r>
      <w:r w:rsidRPr="004B3F62">
        <w:t>podnikající</w:t>
      </w:r>
      <w:r>
        <w:t xml:space="preserve"> </w:t>
      </w:r>
      <w:r w:rsidRPr="004B3F62">
        <w:t>fyzická</w:t>
      </w:r>
      <w:r>
        <w:t xml:space="preserve"> </w:t>
      </w:r>
      <w:r w:rsidRPr="004B3F62">
        <w:t>osoba</w:t>
      </w:r>
      <w:r>
        <w:t xml:space="preserve"> </w:t>
      </w:r>
      <w:r w:rsidRPr="004B3F62">
        <w:t>se</w:t>
      </w:r>
      <w:r>
        <w:t xml:space="preserve"> </w:t>
      </w:r>
      <w:r w:rsidRPr="004B3F62">
        <w:t>jako</w:t>
      </w:r>
      <w:r>
        <w:t xml:space="preserve"> </w:t>
      </w:r>
      <w:r w:rsidRPr="004B3F62">
        <w:t>dopravce</w:t>
      </w:r>
      <w:r>
        <w:t xml:space="preserve"> </w:t>
      </w:r>
      <w:r w:rsidRPr="004B3F62">
        <w:t>ve</w:t>
      </w:r>
      <w:r>
        <w:t xml:space="preserve"> </w:t>
      </w:r>
      <w:r w:rsidRPr="004B3F62">
        <w:t>veřejné</w:t>
      </w:r>
      <w:r>
        <w:t xml:space="preserve"> </w:t>
      </w:r>
      <w:r w:rsidRPr="004B3F62">
        <w:t>drážní</w:t>
      </w:r>
      <w:r>
        <w:t xml:space="preserve"> </w:t>
      </w:r>
      <w:r w:rsidRPr="004B3F62">
        <w:t>dopravě</w:t>
      </w:r>
      <w:r>
        <w:t xml:space="preserve"> </w:t>
      </w:r>
      <w:r w:rsidRPr="004B3F62">
        <w:t>dopustí</w:t>
      </w:r>
      <w:r>
        <w:t xml:space="preserve"> </w:t>
      </w:r>
      <w:r w:rsidRPr="004B3F62">
        <w:t>přestupku</w:t>
      </w:r>
      <w:r>
        <w:t xml:space="preserve"> </w:t>
      </w:r>
      <w:r w:rsidRPr="004B3F62">
        <w:t>tím,</w:t>
      </w:r>
      <w:r>
        <w:t xml:space="preserve"> </w:t>
      </w:r>
      <w:r w:rsidRPr="004B3F62">
        <w:t>že</w:t>
      </w:r>
    </w:p>
    <w:p w14:paraId="736F4E99" w14:textId="4C94CDF4" w:rsidR="00554E2B" w:rsidRDefault="00554E2B" w:rsidP="00812ECA">
      <w:pPr>
        <w:pStyle w:val="Textparagrafu"/>
        <w:tabs>
          <w:tab w:val="left" w:pos="406"/>
          <w:tab w:val="left" w:pos="868"/>
        </w:tabs>
        <w:spacing w:before="0"/>
        <w:ind w:left="426" w:hanging="426"/>
      </w:pPr>
      <w:r w:rsidRPr="004B3F62">
        <w:t>a)</w:t>
      </w:r>
      <w:r w:rsidR="002474FB">
        <w:tab/>
      </w:r>
      <w:r w:rsidRPr="004B3F62">
        <w:t>v</w:t>
      </w:r>
      <w:r>
        <w:t xml:space="preserve"> </w:t>
      </w:r>
      <w:r w:rsidRPr="004B3F62">
        <w:t>rozporu</w:t>
      </w:r>
      <w:r>
        <w:t xml:space="preserve"> </w:t>
      </w:r>
      <w:r w:rsidRPr="004B3F62">
        <w:t>s</w:t>
      </w:r>
      <w:r>
        <w:t xml:space="preserve"> </w:t>
      </w:r>
      <w:r w:rsidRPr="004B3F62">
        <w:t>§</w:t>
      </w:r>
      <w:r>
        <w:t xml:space="preserve"> </w:t>
      </w:r>
      <w:r w:rsidRPr="004B3F62">
        <w:t>36</w:t>
      </w:r>
      <w:r>
        <w:t xml:space="preserve"> </w:t>
      </w:r>
      <w:r w:rsidRPr="004B3F62">
        <w:t>odst.</w:t>
      </w:r>
      <w:r>
        <w:t xml:space="preserve"> </w:t>
      </w:r>
      <w:r w:rsidRPr="004B3F62">
        <w:t>1</w:t>
      </w:r>
      <w:r>
        <w:t xml:space="preserve"> </w:t>
      </w:r>
      <w:r w:rsidRPr="004B3F62">
        <w:t>písm.</w:t>
      </w:r>
      <w:r>
        <w:t xml:space="preserve"> </w:t>
      </w:r>
      <w:r w:rsidRPr="004B3F62">
        <w:t>d)</w:t>
      </w:r>
      <w:r>
        <w:t xml:space="preserve"> </w:t>
      </w:r>
      <w:r w:rsidRPr="004B3F62">
        <w:t>neumožní</w:t>
      </w:r>
      <w:r>
        <w:t xml:space="preserve"> </w:t>
      </w:r>
      <w:r w:rsidRPr="004B3F62">
        <w:t>cestujícímu</w:t>
      </w:r>
      <w:r>
        <w:t xml:space="preserve"> </w:t>
      </w:r>
      <w:r w:rsidRPr="004B3F62">
        <w:t>zakoupit</w:t>
      </w:r>
      <w:r>
        <w:t xml:space="preserve"> </w:t>
      </w:r>
      <w:r w:rsidRPr="004B3F62">
        <w:t>si</w:t>
      </w:r>
      <w:r>
        <w:t xml:space="preserve"> </w:t>
      </w:r>
      <w:r w:rsidRPr="004B3F62">
        <w:t>jízdní</w:t>
      </w:r>
      <w:r>
        <w:t xml:space="preserve"> </w:t>
      </w:r>
      <w:r w:rsidRPr="004B3F62">
        <w:t>nebo</w:t>
      </w:r>
      <w:r>
        <w:t xml:space="preserve"> </w:t>
      </w:r>
      <w:r w:rsidRPr="004B3F62">
        <w:t>přepravní</w:t>
      </w:r>
      <w:r>
        <w:t xml:space="preserve"> </w:t>
      </w:r>
      <w:r w:rsidRPr="004B3F62">
        <w:t>doklad</w:t>
      </w:r>
      <w:r>
        <w:t xml:space="preserve"> </w:t>
      </w:r>
      <w:r w:rsidRPr="004B3F62">
        <w:t>po</w:t>
      </w:r>
      <w:r>
        <w:t xml:space="preserve"> </w:t>
      </w:r>
      <w:r w:rsidRPr="004B3F62">
        <w:t>nástupu</w:t>
      </w:r>
      <w:r>
        <w:t xml:space="preserve"> </w:t>
      </w:r>
      <w:r w:rsidRPr="004B3F62">
        <w:t>do</w:t>
      </w:r>
      <w:r>
        <w:t xml:space="preserve"> </w:t>
      </w:r>
      <w:r w:rsidRPr="004B3F62">
        <w:t>vlaku</w:t>
      </w:r>
      <w:r>
        <w:t xml:space="preserve"> </w:t>
      </w:r>
      <w:r w:rsidRPr="004B3F62">
        <w:t>bez</w:t>
      </w:r>
      <w:r>
        <w:t xml:space="preserve"> </w:t>
      </w:r>
      <w:r w:rsidRPr="004B3F62">
        <w:t>úhrady</w:t>
      </w:r>
      <w:r>
        <w:t xml:space="preserve"> </w:t>
      </w:r>
      <w:r w:rsidRPr="004B3F62">
        <w:t>dodatečných</w:t>
      </w:r>
      <w:r>
        <w:t xml:space="preserve"> </w:t>
      </w:r>
      <w:r w:rsidRPr="004B3F62">
        <w:t>nákladů,</w:t>
      </w:r>
    </w:p>
    <w:p w14:paraId="1027339A" w14:textId="40EE6F01" w:rsidR="00554E2B" w:rsidRDefault="00554E2B" w:rsidP="00812ECA">
      <w:pPr>
        <w:pStyle w:val="Textparagrafu"/>
        <w:tabs>
          <w:tab w:val="left" w:pos="406"/>
          <w:tab w:val="left" w:pos="868"/>
        </w:tabs>
        <w:spacing w:before="0"/>
        <w:ind w:left="426" w:hanging="426"/>
      </w:pPr>
      <w:r w:rsidRPr="004B3F62">
        <w:t>b)</w:t>
      </w:r>
      <w:r w:rsidR="002474FB">
        <w:tab/>
      </w:r>
      <w:r w:rsidRPr="004B3F62">
        <w:t>nezabezpečí</w:t>
      </w:r>
      <w:r>
        <w:t xml:space="preserve"> </w:t>
      </w:r>
      <w:r w:rsidRPr="004B3F62">
        <w:t>v</w:t>
      </w:r>
      <w:r>
        <w:t xml:space="preserve"> </w:t>
      </w:r>
      <w:r w:rsidRPr="004B3F62">
        <w:t>souladu</w:t>
      </w:r>
      <w:r>
        <w:t xml:space="preserve"> </w:t>
      </w:r>
      <w:r w:rsidRPr="004B3F62">
        <w:t>s</w:t>
      </w:r>
      <w:r>
        <w:t xml:space="preserve"> </w:t>
      </w:r>
      <w:r w:rsidRPr="004B3F62">
        <w:t>§</w:t>
      </w:r>
      <w:r>
        <w:t xml:space="preserve"> </w:t>
      </w:r>
      <w:r w:rsidRPr="004B3F62">
        <w:t>36</w:t>
      </w:r>
      <w:r>
        <w:t xml:space="preserve"> </w:t>
      </w:r>
      <w:r w:rsidRPr="004B3F62">
        <w:t>odst.</w:t>
      </w:r>
      <w:r>
        <w:t xml:space="preserve"> </w:t>
      </w:r>
      <w:r w:rsidRPr="004B3F62">
        <w:t>1</w:t>
      </w:r>
      <w:r>
        <w:t xml:space="preserve"> </w:t>
      </w:r>
      <w:r w:rsidRPr="004B3F62">
        <w:t>písm.</w:t>
      </w:r>
      <w:r>
        <w:t xml:space="preserve"> </w:t>
      </w:r>
      <w:r w:rsidRPr="004B3F62">
        <w:t>f)</w:t>
      </w:r>
      <w:r>
        <w:t xml:space="preserve"> </w:t>
      </w:r>
      <w:proofErr w:type="spellStart"/>
      <w:r w:rsidRPr="004B3F62">
        <w:t>předlékařskou</w:t>
      </w:r>
      <w:proofErr w:type="spellEnd"/>
      <w:r>
        <w:t xml:space="preserve"> </w:t>
      </w:r>
      <w:r w:rsidRPr="004B3F62">
        <w:t>první</w:t>
      </w:r>
      <w:r>
        <w:t xml:space="preserve"> </w:t>
      </w:r>
      <w:r w:rsidRPr="004B3F62">
        <w:t>pomoc</w:t>
      </w:r>
      <w:r>
        <w:t xml:space="preserve"> </w:t>
      </w:r>
      <w:r w:rsidRPr="004B3F62">
        <w:t>v</w:t>
      </w:r>
      <w:r>
        <w:t xml:space="preserve"> </w:t>
      </w:r>
      <w:r w:rsidRPr="004B3F62">
        <w:t>případě</w:t>
      </w:r>
      <w:r>
        <w:t xml:space="preserve"> </w:t>
      </w:r>
      <w:r w:rsidRPr="004B3F62">
        <w:t>závažné</w:t>
      </w:r>
      <w:r>
        <w:t xml:space="preserve"> </w:t>
      </w:r>
      <w:r w:rsidRPr="004B3F62">
        <w:t>nehody</w:t>
      </w:r>
      <w:r>
        <w:t xml:space="preserve"> </w:t>
      </w:r>
      <w:r w:rsidRPr="004B3F62">
        <w:t>nebo</w:t>
      </w:r>
      <w:r>
        <w:t xml:space="preserve"> </w:t>
      </w:r>
      <w:r w:rsidRPr="004B3F62">
        <w:t>nehody,</w:t>
      </w:r>
    </w:p>
    <w:p w14:paraId="4AF363B3" w14:textId="329F306C" w:rsidR="00554E2B" w:rsidRDefault="00554E2B" w:rsidP="00812ECA">
      <w:pPr>
        <w:pStyle w:val="Textparagrafu"/>
        <w:tabs>
          <w:tab w:val="left" w:pos="406"/>
          <w:tab w:val="left" w:pos="868"/>
        </w:tabs>
        <w:spacing w:before="0"/>
        <w:ind w:left="426" w:hanging="426"/>
      </w:pPr>
      <w:r w:rsidRPr="004B3F62">
        <w:t>c)</w:t>
      </w:r>
      <w:r w:rsidR="002474FB">
        <w:tab/>
      </w:r>
      <w:r w:rsidRPr="004B3F62">
        <w:t>neposkytne</w:t>
      </w:r>
      <w:r>
        <w:t xml:space="preserve"> </w:t>
      </w:r>
      <w:r w:rsidRPr="004B3F62">
        <w:t>pomoc</w:t>
      </w:r>
      <w:r>
        <w:t xml:space="preserve"> </w:t>
      </w:r>
      <w:r w:rsidRPr="004B3F62">
        <w:t>osobám</w:t>
      </w:r>
      <w:r>
        <w:t xml:space="preserve"> </w:t>
      </w:r>
      <w:r w:rsidRPr="004B3F62">
        <w:t>s</w:t>
      </w:r>
      <w:r>
        <w:t xml:space="preserve"> </w:t>
      </w:r>
      <w:r w:rsidRPr="004B3F62">
        <w:t>újmou</w:t>
      </w:r>
      <w:r>
        <w:t xml:space="preserve"> </w:t>
      </w:r>
      <w:r w:rsidRPr="004B3F62">
        <w:t>na</w:t>
      </w:r>
      <w:r>
        <w:t xml:space="preserve"> </w:t>
      </w:r>
      <w:r w:rsidRPr="004B3F62">
        <w:t>zdraví</w:t>
      </w:r>
      <w:r>
        <w:t xml:space="preserve"> </w:t>
      </w:r>
      <w:r w:rsidRPr="004B3F62">
        <w:t>nebo</w:t>
      </w:r>
      <w:r>
        <w:t xml:space="preserve"> </w:t>
      </w:r>
      <w:r w:rsidRPr="004B3F62">
        <w:t>majetku</w:t>
      </w:r>
      <w:r>
        <w:t xml:space="preserve"> </w:t>
      </w:r>
      <w:r w:rsidRPr="004B3F62">
        <w:t>anebo</w:t>
      </w:r>
      <w:r>
        <w:t xml:space="preserve"> </w:t>
      </w:r>
      <w:r w:rsidRPr="004B3F62">
        <w:t>těmto</w:t>
      </w:r>
      <w:r>
        <w:t xml:space="preserve"> </w:t>
      </w:r>
      <w:r w:rsidRPr="004B3F62">
        <w:t>osobám</w:t>
      </w:r>
      <w:r>
        <w:t xml:space="preserve"> </w:t>
      </w:r>
      <w:r w:rsidRPr="004B3F62">
        <w:t>nebo</w:t>
      </w:r>
      <w:r>
        <w:t xml:space="preserve"> </w:t>
      </w:r>
      <w:r w:rsidRPr="004B3F62">
        <w:t>osobám</w:t>
      </w:r>
      <w:r>
        <w:t xml:space="preserve"> </w:t>
      </w:r>
      <w:r w:rsidRPr="004B3F62">
        <w:t>jim</w:t>
      </w:r>
      <w:r>
        <w:t xml:space="preserve"> </w:t>
      </w:r>
      <w:r w:rsidRPr="004B3F62">
        <w:t>blízkým</w:t>
      </w:r>
      <w:r>
        <w:t xml:space="preserve"> </w:t>
      </w:r>
      <w:r w:rsidRPr="004B3F62">
        <w:t>nezajistí</w:t>
      </w:r>
      <w:r>
        <w:t xml:space="preserve"> </w:t>
      </w:r>
      <w:r w:rsidRPr="004B3F62">
        <w:t>poskytnutí</w:t>
      </w:r>
      <w:r>
        <w:t xml:space="preserve"> </w:t>
      </w:r>
      <w:r w:rsidRPr="004B3F62">
        <w:t>psychologické</w:t>
      </w:r>
      <w:r>
        <w:t xml:space="preserve"> </w:t>
      </w:r>
      <w:r w:rsidRPr="004B3F62">
        <w:t>podpory</w:t>
      </w:r>
      <w:r>
        <w:t xml:space="preserve"> </w:t>
      </w:r>
      <w:r w:rsidRPr="004B3F62">
        <w:t>v</w:t>
      </w:r>
      <w:r>
        <w:t xml:space="preserve"> </w:t>
      </w:r>
      <w:r w:rsidRPr="004B3F62">
        <w:t>případě</w:t>
      </w:r>
      <w:r>
        <w:t xml:space="preserve"> </w:t>
      </w:r>
      <w:r w:rsidRPr="004B3F62">
        <w:t>vážné</w:t>
      </w:r>
      <w:r>
        <w:t xml:space="preserve"> </w:t>
      </w:r>
      <w:r w:rsidRPr="004B3F62">
        <w:t>nehody</w:t>
      </w:r>
      <w:r>
        <w:t xml:space="preserve"> </w:t>
      </w:r>
      <w:r w:rsidRPr="004B3F62">
        <w:t>na</w:t>
      </w:r>
      <w:r>
        <w:t xml:space="preserve"> </w:t>
      </w:r>
      <w:r w:rsidRPr="004B3F62">
        <w:t>dráze</w:t>
      </w:r>
      <w:r>
        <w:t xml:space="preserve"> </w:t>
      </w:r>
      <w:r w:rsidRPr="004B3F62">
        <w:t>celostátní</w:t>
      </w:r>
      <w:r>
        <w:t xml:space="preserve"> </w:t>
      </w:r>
      <w:r w:rsidRPr="004B3F62">
        <w:t>nebo</w:t>
      </w:r>
      <w:r>
        <w:t xml:space="preserve"> </w:t>
      </w:r>
      <w:r w:rsidRPr="004B3F62">
        <w:t>regionální</w:t>
      </w:r>
      <w:r>
        <w:t xml:space="preserve"> </w:t>
      </w:r>
      <w:r w:rsidRPr="004B3F62">
        <w:t>podle</w:t>
      </w:r>
      <w:r>
        <w:t xml:space="preserve"> </w:t>
      </w:r>
      <w:r w:rsidRPr="004B3F62">
        <w:t>§</w:t>
      </w:r>
      <w:r>
        <w:t xml:space="preserve"> </w:t>
      </w:r>
      <w:r w:rsidRPr="004B3F62">
        <w:t>36</w:t>
      </w:r>
      <w:r>
        <w:t xml:space="preserve"> </w:t>
      </w:r>
      <w:r w:rsidRPr="004B3F62">
        <w:t>odst.</w:t>
      </w:r>
      <w:r>
        <w:t xml:space="preserve"> </w:t>
      </w:r>
      <w:r w:rsidRPr="004B3F62">
        <w:t>1</w:t>
      </w:r>
      <w:r>
        <w:t xml:space="preserve"> </w:t>
      </w:r>
      <w:r w:rsidRPr="004B3F62">
        <w:t>písm.</w:t>
      </w:r>
      <w:r>
        <w:t xml:space="preserve"> </w:t>
      </w:r>
      <w:r w:rsidRPr="004B3F62">
        <w:t>g),</w:t>
      </w:r>
    </w:p>
    <w:p w14:paraId="7644B22D" w14:textId="59E2D9A0" w:rsidR="00554E2B" w:rsidRDefault="00554E2B" w:rsidP="00812ECA">
      <w:pPr>
        <w:pStyle w:val="Textparagrafu"/>
        <w:tabs>
          <w:tab w:val="left" w:pos="406"/>
          <w:tab w:val="left" w:pos="868"/>
        </w:tabs>
        <w:spacing w:before="0"/>
        <w:ind w:left="426" w:hanging="426"/>
      </w:pPr>
      <w:r w:rsidRPr="004B3F62">
        <w:t>d)</w:t>
      </w:r>
      <w:r w:rsidR="002474FB">
        <w:tab/>
      </w:r>
      <w:r w:rsidRPr="004B3F62">
        <w:t>nezabezpečí</w:t>
      </w:r>
      <w:r>
        <w:t xml:space="preserve"> </w:t>
      </w:r>
      <w:r w:rsidRPr="004B3F62">
        <w:t>v</w:t>
      </w:r>
      <w:r>
        <w:t xml:space="preserve"> </w:t>
      </w:r>
      <w:r w:rsidRPr="004B3F62">
        <w:t>případech</w:t>
      </w:r>
      <w:r>
        <w:t xml:space="preserve"> </w:t>
      </w:r>
      <w:r w:rsidRPr="004B3F62">
        <w:t>stanovených</w:t>
      </w:r>
      <w:r>
        <w:t xml:space="preserve"> </w:t>
      </w:r>
      <w:r w:rsidRPr="004B3F62">
        <w:t>v</w:t>
      </w:r>
      <w:r>
        <w:t xml:space="preserve"> </w:t>
      </w:r>
      <w:r w:rsidRPr="004B3F62">
        <w:t>§</w:t>
      </w:r>
      <w:r>
        <w:t xml:space="preserve"> </w:t>
      </w:r>
      <w:r w:rsidRPr="004B3F62">
        <w:t>36</w:t>
      </w:r>
      <w:r>
        <w:t xml:space="preserve"> </w:t>
      </w:r>
      <w:r w:rsidRPr="004B3F62">
        <w:t>odst.</w:t>
      </w:r>
      <w:r>
        <w:t xml:space="preserve"> </w:t>
      </w:r>
      <w:r w:rsidRPr="004B3F62">
        <w:t>1</w:t>
      </w:r>
      <w:r>
        <w:t xml:space="preserve"> </w:t>
      </w:r>
      <w:r w:rsidRPr="004B3F62">
        <w:t>písm.</w:t>
      </w:r>
      <w:r>
        <w:t xml:space="preserve"> </w:t>
      </w:r>
      <w:r w:rsidRPr="004B3F62">
        <w:t>h)</w:t>
      </w:r>
      <w:r>
        <w:t xml:space="preserve"> </w:t>
      </w:r>
      <w:r w:rsidRPr="004B3F62">
        <w:t>náhradní</w:t>
      </w:r>
      <w:r>
        <w:t xml:space="preserve"> </w:t>
      </w:r>
      <w:r w:rsidRPr="004B3F62">
        <w:t>dopravu</w:t>
      </w:r>
      <w:r>
        <w:t xml:space="preserve"> </w:t>
      </w:r>
      <w:r w:rsidRPr="004B3F62">
        <w:t>za</w:t>
      </w:r>
      <w:r>
        <w:t xml:space="preserve"> </w:t>
      </w:r>
      <w:r w:rsidRPr="004B3F62">
        <w:t>přerušenou</w:t>
      </w:r>
      <w:r>
        <w:t xml:space="preserve"> </w:t>
      </w:r>
      <w:r w:rsidRPr="004B3F62">
        <w:t>veřejnou</w:t>
      </w:r>
      <w:r>
        <w:t xml:space="preserve"> </w:t>
      </w:r>
      <w:r w:rsidRPr="004B3F62">
        <w:t>drážní</w:t>
      </w:r>
      <w:r>
        <w:t xml:space="preserve"> </w:t>
      </w:r>
      <w:r w:rsidRPr="004B3F62">
        <w:t>osobní</w:t>
      </w:r>
      <w:r>
        <w:t xml:space="preserve"> </w:t>
      </w:r>
      <w:r w:rsidRPr="004B3F62">
        <w:t>dopravu,</w:t>
      </w:r>
    </w:p>
    <w:p w14:paraId="4474549E" w14:textId="637ADA4C" w:rsidR="00554E2B" w:rsidRDefault="00554E2B" w:rsidP="00812ECA">
      <w:pPr>
        <w:pStyle w:val="Textparagrafu"/>
        <w:tabs>
          <w:tab w:val="left" w:pos="406"/>
          <w:tab w:val="left" w:pos="868"/>
        </w:tabs>
        <w:spacing w:before="0"/>
        <w:ind w:left="426" w:hanging="426"/>
      </w:pPr>
      <w:r w:rsidRPr="004B3F62">
        <w:t>e)</w:t>
      </w:r>
      <w:r w:rsidR="002474FB">
        <w:tab/>
      </w:r>
      <w:r w:rsidRPr="004B3F62">
        <w:t>v</w:t>
      </w:r>
      <w:r>
        <w:t xml:space="preserve"> </w:t>
      </w:r>
      <w:r w:rsidRPr="004B3F62">
        <w:t>rozporu</w:t>
      </w:r>
      <w:r>
        <w:t xml:space="preserve"> </w:t>
      </w:r>
      <w:r w:rsidRPr="004B3F62">
        <w:t>s</w:t>
      </w:r>
      <w:r>
        <w:t xml:space="preserve"> </w:t>
      </w:r>
      <w:r w:rsidRPr="004B3F62">
        <w:t>§</w:t>
      </w:r>
      <w:r>
        <w:t xml:space="preserve"> </w:t>
      </w:r>
      <w:r w:rsidRPr="004B3F62">
        <w:t>36</w:t>
      </w:r>
      <w:r>
        <w:t xml:space="preserve"> </w:t>
      </w:r>
      <w:r w:rsidRPr="004B3F62">
        <w:t>odst.</w:t>
      </w:r>
      <w:r>
        <w:t xml:space="preserve"> </w:t>
      </w:r>
      <w:r w:rsidRPr="004B3F62">
        <w:t>1</w:t>
      </w:r>
      <w:r>
        <w:t xml:space="preserve"> </w:t>
      </w:r>
      <w:r w:rsidRPr="004B3F62">
        <w:t>písm.</w:t>
      </w:r>
      <w:r>
        <w:t xml:space="preserve"> </w:t>
      </w:r>
      <w:r w:rsidRPr="004B3F62">
        <w:t>i)</w:t>
      </w:r>
      <w:r>
        <w:t xml:space="preserve"> </w:t>
      </w:r>
      <w:r w:rsidRPr="004B3F62">
        <w:t>nezpracuje</w:t>
      </w:r>
      <w:r>
        <w:t xml:space="preserve"> </w:t>
      </w:r>
      <w:r w:rsidRPr="004B3F62">
        <w:t>plán</w:t>
      </w:r>
      <w:r>
        <w:t xml:space="preserve"> </w:t>
      </w:r>
      <w:r w:rsidRPr="004B3F62">
        <w:t>postupů</w:t>
      </w:r>
      <w:r>
        <w:t xml:space="preserve"> </w:t>
      </w:r>
      <w:r w:rsidRPr="004B3F62">
        <w:t>poskytování</w:t>
      </w:r>
      <w:r>
        <w:t xml:space="preserve"> </w:t>
      </w:r>
      <w:r w:rsidRPr="004B3F62">
        <w:t>pomoci</w:t>
      </w:r>
      <w:r>
        <w:t xml:space="preserve"> </w:t>
      </w:r>
      <w:r w:rsidRPr="004B3F62">
        <w:t>cestujícím</w:t>
      </w:r>
      <w:r>
        <w:t xml:space="preserve"> </w:t>
      </w:r>
      <w:r w:rsidRPr="004B3F62">
        <w:t>v</w:t>
      </w:r>
      <w:r>
        <w:t xml:space="preserve"> </w:t>
      </w:r>
      <w:r w:rsidRPr="004B3F62">
        <w:t>případě</w:t>
      </w:r>
      <w:r>
        <w:t xml:space="preserve"> </w:t>
      </w:r>
      <w:r w:rsidRPr="004B3F62">
        <w:t>zpoždění</w:t>
      </w:r>
      <w:r>
        <w:t xml:space="preserve"> </w:t>
      </w:r>
      <w:r w:rsidRPr="004B3F62">
        <w:t>při</w:t>
      </w:r>
      <w:r>
        <w:t xml:space="preserve"> </w:t>
      </w:r>
      <w:r w:rsidRPr="004B3F62">
        <w:t>příjezdu</w:t>
      </w:r>
      <w:r>
        <w:t xml:space="preserve"> </w:t>
      </w:r>
      <w:r w:rsidRPr="004B3F62">
        <w:t>nebo</w:t>
      </w:r>
      <w:r>
        <w:t xml:space="preserve"> </w:t>
      </w:r>
      <w:r w:rsidRPr="004B3F62">
        <w:t>odjezdu</w:t>
      </w:r>
      <w:r>
        <w:t xml:space="preserve"> </w:t>
      </w:r>
      <w:r w:rsidRPr="004B3F62">
        <w:t>vlaku</w:t>
      </w:r>
      <w:r>
        <w:t xml:space="preserve"> </w:t>
      </w:r>
      <w:r w:rsidRPr="004B3F62">
        <w:t>nebo</w:t>
      </w:r>
      <w:r>
        <w:t xml:space="preserve"> </w:t>
      </w:r>
      <w:r w:rsidRPr="004B3F62">
        <w:t>nezajistí</w:t>
      </w:r>
      <w:r>
        <w:t xml:space="preserve"> </w:t>
      </w:r>
      <w:r w:rsidRPr="004B3F62">
        <w:t>jeho</w:t>
      </w:r>
      <w:r>
        <w:t xml:space="preserve"> </w:t>
      </w:r>
      <w:r w:rsidRPr="004B3F62">
        <w:t>plnění,</w:t>
      </w:r>
    </w:p>
    <w:p w14:paraId="3DDF1D5F" w14:textId="02C2C509" w:rsidR="00554E2B" w:rsidRDefault="00554E2B" w:rsidP="00812ECA">
      <w:pPr>
        <w:pStyle w:val="Textparagrafu"/>
        <w:tabs>
          <w:tab w:val="left" w:pos="406"/>
          <w:tab w:val="left" w:pos="868"/>
        </w:tabs>
        <w:spacing w:before="0"/>
        <w:ind w:left="426" w:hanging="426"/>
      </w:pPr>
      <w:r w:rsidRPr="004B3F62">
        <w:t>f)</w:t>
      </w:r>
      <w:r w:rsidR="002474FB">
        <w:tab/>
      </w:r>
      <w:r w:rsidRPr="004B3F62">
        <w:t>neoznačí</w:t>
      </w:r>
      <w:r>
        <w:t xml:space="preserve"> </w:t>
      </w:r>
      <w:r w:rsidRPr="004B3F62">
        <w:t>drážní</w:t>
      </w:r>
      <w:r>
        <w:t xml:space="preserve"> </w:t>
      </w:r>
      <w:r w:rsidRPr="004B3F62">
        <w:t>vozidlo</w:t>
      </w:r>
      <w:r>
        <w:t xml:space="preserve"> </w:t>
      </w:r>
      <w:r w:rsidRPr="004B3F62">
        <w:t>nebo</w:t>
      </w:r>
      <w:r>
        <w:t xml:space="preserve"> </w:t>
      </w:r>
      <w:r w:rsidRPr="004B3F62">
        <w:t>soupravu</w:t>
      </w:r>
      <w:r>
        <w:t xml:space="preserve"> </w:t>
      </w:r>
      <w:r w:rsidRPr="004B3F62">
        <w:t>drážních</w:t>
      </w:r>
      <w:r>
        <w:t xml:space="preserve"> </w:t>
      </w:r>
      <w:r w:rsidRPr="004B3F62">
        <w:t>vozidel</w:t>
      </w:r>
      <w:r>
        <w:t xml:space="preserve"> </w:t>
      </w:r>
      <w:r w:rsidRPr="004B3F62">
        <w:t>podle</w:t>
      </w:r>
      <w:r>
        <w:t xml:space="preserve"> </w:t>
      </w:r>
      <w:r w:rsidRPr="004B3F62">
        <w:t>§</w:t>
      </w:r>
      <w:r>
        <w:t xml:space="preserve"> </w:t>
      </w:r>
      <w:r w:rsidRPr="004B3F62">
        <w:t>36</w:t>
      </w:r>
      <w:r>
        <w:t xml:space="preserve"> </w:t>
      </w:r>
      <w:r w:rsidRPr="004B3F62">
        <w:t>odst.</w:t>
      </w:r>
      <w:r>
        <w:t xml:space="preserve"> </w:t>
      </w:r>
      <w:r w:rsidRPr="004B3F62">
        <w:t>1</w:t>
      </w:r>
      <w:r>
        <w:t xml:space="preserve"> </w:t>
      </w:r>
      <w:r w:rsidRPr="004B3F62">
        <w:t>písm.</w:t>
      </w:r>
      <w:r>
        <w:t xml:space="preserve"> </w:t>
      </w:r>
      <w:r w:rsidRPr="004B3F62">
        <w:t>j),</w:t>
      </w:r>
    </w:p>
    <w:p w14:paraId="33769589" w14:textId="77AB6B93" w:rsidR="00554E2B" w:rsidRDefault="00554E2B" w:rsidP="00812ECA">
      <w:pPr>
        <w:pStyle w:val="Textparagrafu"/>
        <w:tabs>
          <w:tab w:val="left" w:pos="406"/>
          <w:tab w:val="left" w:pos="868"/>
        </w:tabs>
        <w:spacing w:before="0"/>
        <w:ind w:left="426" w:hanging="426"/>
      </w:pPr>
      <w:r w:rsidRPr="004B3F62">
        <w:t>g)</w:t>
      </w:r>
      <w:r w:rsidR="002474FB">
        <w:tab/>
      </w:r>
      <w:r w:rsidRPr="004B3F62">
        <w:t>omezí</w:t>
      </w:r>
      <w:r>
        <w:t xml:space="preserve"> </w:t>
      </w:r>
      <w:r w:rsidRPr="004B3F62">
        <w:t>nebo</w:t>
      </w:r>
      <w:r>
        <w:t xml:space="preserve"> </w:t>
      </w:r>
      <w:r w:rsidRPr="004B3F62">
        <w:t>zastaví</w:t>
      </w:r>
      <w:r>
        <w:t xml:space="preserve"> </w:t>
      </w:r>
      <w:r w:rsidRPr="004B3F62">
        <w:t>veřejnou</w:t>
      </w:r>
      <w:r>
        <w:t xml:space="preserve"> </w:t>
      </w:r>
      <w:r w:rsidRPr="004B3F62">
        <w:t>drážní</w:t>
      </w:r>
      <w:r>
        <w:t xml:space="preserve"> </w:t>
      </w:r>
      <w:r w:rsidRPr="004B3F62">
        <w:t>dopravu</w:t>
      </w:r>
      <w:r>
        <w:t xml:space="preserve"> </w:t>
      </w:r>
      <w:r w:rsidRPr="004B3F62">
        <w:t>v</w:t>
      </w:r>
      <w:r>
        <w:t xml:space="preserve"> </w:t>
      </w:r>
      <w:r w:rsidRPr="004B3F62">
        <w:t>rozporu</w:t>
      </w:r>
      <w:r>
        <w:t xml:space="preserve"> </w:t>
      </w:r>
      <w:r w:rsidRPr="004B3F62">
        <w:t>s</w:t>
      </w:r>
      <w:r>
        <w:t xml:space="preserve"> </w:t>
      </w:r>
      <w:r w:rsidRPr="004B3F62">
        <w:t>§</w:t>
      </w:r>
      <w:r>
        <w:t xml:space="preserve"> </w:t>
      </w:r>
      <w:r w:rsidRPr="004B3F62">
        <w:t>38</w:t>
      </w:r>
      <w:r>
        <w:t xml:space="preserve"> </w:t>
      </w:r>
      <w:r w:rsidRPr="004B3F62">
        <w:t>odst.</w:t>
      </w:r>
      <w:r>
        <w:t xml:space="preserve"> </w:t>
      </w:r>
      <w:r w:rsidRPr="004B3F62">
        <w:t>7,</w:t>
      </w:r>
      <w:r>
        <w:t xml:space="preserve"> </w:t>
      </w:r>
      <w:r w:rsidRPr="004B3F62">
        <w:t>nebo</w:t>
      </w:r>
    </w:p>
    <w:p w14:paraId="6753824F" w14:textId="7FF0BB79" w:rsidR="00554E2B" w:rsidRDefault="00554E2B" w:rsidP="00812ECA">
      <w:pPr>
        <w:pStyle w:val="Textparagrafu"/>
        <w:tabs>
          <w:tab w:val="left" w:pos="406"/>
          <w:tab w:val="left" w:pos="868"/>
        </w:tabs>
        <w:spacing w:before="0"/>
        <w:ind w:left="426" w:hanging="426"/>
      </w:pPr>
      <w:r w:rsidRPr="004B3F62">
        <w:t>h)</w:t>
      </w:r>
      <w:r w:rsidR="002474FB">
        <w:tab/>
      </w:r>
      <w:r w:rsidRPr="004B3F62">
        <w:t>nezveřejní</w:t>
      </w:r>
      <w:r>
        <w:t xml:space="preserve"> </w:t>
      </w:r>
      <w:r w:rsidRPr="004B3F62">
        <w:t>přechodné</w:t>
      </w:r>
      <w:r>
        <w:t xml:space="preserve"> </w:t>
      </w:r>
      <w:r w:rsidRPr="004B3F62">
        <w:t>omezení</w:t>
      </w:r>
      <w:r>
        <w:t xml:space="preserve"> </w:t>
      </w:r>
      <w:r w:rsidRPr="004B3F62">
        <w:t>nebo</w:t>
      </w:r>
      <w:r>
        <w:t xml:space="preserve"> </w:t>
      </w:r>
      <w:r w:rsidRPr="004B3F62">
        <w:t>zastavení</w:t>
      </w:r>
      <w:r>
        <w:t xml:space="preserve"> </w:t>
      </w:r>
      <w:r w:rsidRPr="004B3F62">
        <w:t>veřejné</w:t>
      </w:r>
      <w:r>
        <w:t xml:space="preserve"> </w:t>
      </w:r>
      <w:r w:rsidRPr="004B3F62">
        <w:t>drážní</w:t>
      </w:r>
      <w:r>
        <w:t xml:space="preserve"> </w:t>
      </w:r>
      <w:r w:rsidRPr="004B3F62">
        <w:t>dopravy</w:t>
      </w:r>
      <w:r>
        <w:t xml:space="preserve"> </w:t>
      </w:r>
      <w:r w:rsidRPr="004B3F62">
        <w:t>podle</w:t>
      </w:r>
      <w:r>
        <w:t xml:space="preserve"> </w:t>
      </w:r>
      <w:r w:rsidRPr="004B3F62">
        <w:t>§</w:t>
      </w:r>
      <w:r>
        <w:t xml:space="preserve"> </w:t>
      </w:r>
      <w:r w:rsidRPr="004B3F62">
        <w:t>38</w:t>
      </w:r>
      <w:r>
        <w:t xml:space="preserve"> </w:t>
      </w:r>
      <w:r w:rsidRPr="004B3F62">
        <w:t>odst.</w:t>
      </w:r>
      <w:r>
        <w:t xml:space="preserve"> </w:t>
      </w:r>
      <w:r w:rsidRPr="004B3F62">
        <w:t>2</w:t>
      </w:r>
      <w:r>
        <w:t xml:space="preserve"> </w:t>
      </w:r>
      <w:r w:rsidRPr="004B3F62">
        <w:t>nebo</w:t>
      </w:r>
      <w:r>
        <w:t xml:space="preserve"> </w:t>
      </w:r>
      <w:r w:rsidRPr="004B3F62">
        <w:t>je</w:t>
      </w:r>
      <w:r>
        <w:t xml:space="preserve"> </w:t>
      </w:r>
      <w:r w:rsidRPr="004B3F62">
        <w:t>podle</w:t>
      </w:r>
      <w:r>
        <w:t xml:space="preserve"> </w:t>
      </w:r>
      <w:r w:rsidRPr="004B3F62">
        <w:t>§</w:t>
      </w:r>
      <w:r>
        <w:t xml:space="preserve"> </w:t>
      </w:r>
      <w:r w:rsidRPr="004B3F62">
        <w:t>38</w:t>
      </w:r>
      <w:r>
        <w:t xml:space="preserve"> </w:t>
      </w:r>
      <w:r w:rsidRPr="004B3F62">
        <w:t>odst.</w:t>
      </w:r>
      <w:r>
        <w:t xml:space="preserve"> </w:t>
      </w:r>
      <w:r w:rsidRPr="004B3F62">
        <w:t>7</w:t>
      </w:r>
      <w:r>
        <w:t xml:space="preserve"> </w:t>
      </w:r>
      <w:r w:rsidRPr="004B3F62">
        <w:t>neoznámí</w:t>
      </w:r>
      <w:r>
        <w:t xml:space="preserve"> </w:t>
      </w:r>
      <w:r w:rsidRPr="004B3F62">
        <w:t>drážnímu</w:t>
      </w:r>
      <w:r>
        <w:t xml:space="preserve"> </w:t>
      </w:r>
      <w:r w:rsidRPr="004B3F62">
        <w:t>správnímu</w:t>
      </w:r>
      <w:r>
        <w:t xml:space="preserve"> </w:t>
      </w:r>
      <w:r w:rsidRPr="004B3F62">
        <w:t>úřadu.</w:t>
      </w:r>
    </w:p>
    <w:p w14:paraId="09BAECDD" w14:textId="56F4F2B5" w:rsidR="00554E2B" w:rsidRPr="00712731" w:rsidRDefault="00554E2B" w:rsidP="00CE2C91">
      <w:pPr>
        <w:pStyle w:val="Textparagrafu"/>
        <w:tabs>
          <w:tab w:val="left" w:pos="406"/>
          <w:tab w:val="left" w:pos="826"/>
        </w:tabs>
        <w:spacing w:before="120" w:after="120"/>
        <w:rPr>
          <w:b/>
        </w:rPr>
      </w:pPr>
      <w:r w:rsidRPr="004B3F62">
        <w:t>(4)</w:t>
      </w:r>
      <w:r>
        <w:t xml:space="preserve"> </w:t>
      </w:r>
      <w:r w:rsidRPr="004B3F62">
        <w:t>Právnická</w:t>
      </w:r>
      <w:r>
        <w:t xml:space="preserve"> </w:t>
      </w:r>
      <w:r w:rsidRPr="004B3F62">
        <w:t>nebo</w:t>
      </w:r>
      <w:r>
        <w:t xml:space="preserve"> </w:t>
      </w:r>
      <w:r w:rsidRPr="004B3F62">
        <w:t>podnikající</w:t>
      </w:r>
      <w:r>
        <w:t xml:space="preserve"> </w:t>
      </w:r>
      <w:r w:rsidRPr="004B3F62">
        <w:t>fyzická</w:t>
      </w:r>
      <w:r>
        <w:t xml:space="preserve"> </w:t>
      </w:r>
      <w:r w:rsidRPr="004B3F62">
        <w:t>osoba</w:t>
      </w:r>
      <w:r>
        <w:t xml:space="preserve"> </w:t>
      </w:r>
      <w:r w:rsidRPr="004B3F62">
        <w:t>se</w:t>
      </w:r>
      <w:r>
        <w:t xml:space="preserve"> </w:t>
      </w:r>
      <w:r w:rsidRPr="004B3F62">
        <w:t>jako</w:t>
      </w:r>
      <w:r>
        <w:t xml:space="preserve"> </w:t>
      </w:r>
      <w:r w:rsidRPr="004B3F62">
        <w:t>dopravce</w:t>
      </w:r>
      <w:r>
        <w:t xml:space="preserve"> </w:t>
      </w:r>
      <w:r w:rsidRPr="004B3F62">
        <w:t>poskytující</w:t>
      </w:r>
      <w:r>
        <w:t xml:space="preserve"> </w:t>
      </w:r>
      <w:r w:rsidRPr="004B3F62">
        <w:t>přepravní</w:t>
      </w:r>
      <w:r>
        <w:t xml:space="preserve"> </w:t>
      </w:r>
      <w:r w:rsidRPr="004B3F62">
        <w:t>služby</w:t>
      </w:r>
      <w:r>
        <w:t xml:space="preserve"> </w:t>
      </w:r>
      <w:r w:rsidRPr="004B3F62">
        <w:t>v</w:t>
      </w:r>
      <w:r>
        <w:t xml:space="preserve"> </w:t>
      </w:r>
      <w:r w:rsidRPr="004B3F62">
        <w:t>rámci</w:t>
      </w:r>
      <w:r>
        <w:t xml:space="preserve"> </w:t>
      </w:r>
      <w:r w:rsidRPr="004B3F62">
        <w:t>závazků</w:t>
      </w:r>
      <w:r>
        <w:t xml:space="preserve"> </w:t>
      </w:r>
      <w:r w:rsidRPr="004B3F62">
        <w:t>veřejné</w:t>
      </w:r>
      <w:r>
        <w:t xml:space="preserve"> </w:t>
      </w:r>
      <w:r w:rsidRPr="004B3F62">
        <w:t>služby</w:t>
      </w:r>
      <w:r>
        <w:t xml:space="preserve"> </w:t>
      </w:r>
      <w:r w:rsidRPr="004B3F62">
        <w:t>dopustí</w:t>
      </w:r>
      <w:r>
        <w:t xml:space="preserve"> </w:t>
      </w:r>
      <w:r w:rsidRPr="004B3F62">
        <w:t>přestupku</w:t>
      </w:r>
      <w:r>
        <w:t xml:space="preserve"> </w:t>
      </w:r>
      <w:r w:rsidRPr="004B3F62">
        <w:t>tím,</w:t>
      </w:r>
      <w:r>
        <w:t xml:space="preserve"> </w:t>
      </w:r>
      <w:r w:rsidRPr="004B3F62">
        <w:t>že</w:t>
      </w:r>
      <w:r>
        <w:t xml:space="preserve"> </w:t>
      </w:r>
      <w:r w:rsidRPr="00712731">
        <w:rPr>
          <w:strike/>
        </w:rPr>
        <w:t xml:space="preserve">použije v rozporu s § 62 odst. 4 finanční prostředky poskytnuté z veřejných rozpočtů k provozování veřejné drážní osobní dopravy k jiným účelům nebo o těchto finančních prostředcích </w:t>
      </w:r>
      <w:proofErr w:type="gramStart"/>
      <w:r w:rsidRPr="00712731">
        <w:rPr>
          <w:strike/>
        </w:rPr>
        <w:t>nevede</w:t>
      </w:r>
      <w:proofErr w:type="gramEnd"/>
      <w:r w:rsidRPr="00712731">
        <w:rPr>
          <w:strike/>
        </w:rPr>
        <w:t xml:space="preserve"> oddělené účetnictví</w:t>
      </w:r>
      <w:r w:rsidR="00712731">
        <w:rPr>
          <w:strike/>
        </w:rPr>
        <w:t xml:space="preserve"> </w:t>
      </w:r>
      <w:r w:rsidR="00712731" w:rsidRPr="00712731">
        <w:rPr>
          <w:b/>
        </w:rPr>
        <w:t xml:space="preserve">v rozporu s § 62 odst. 4 </w:t>
      </w:r>
      <w:proofErr w:type="gramStart"/>
      <w:r w:rsidR="00712731" w:rsidRPr="00712731">
        <w:rPr>
          <w:b/>
        </w:rPr>
        <w:t>převede</w:t>
      </w:r>
      <w:proofErr w:type="gramEnd"/>
      <w:r w:rsidR="00712731" w:rsidRPr="00712731">
        <w:rPr>
          <w:b/>
        </w:rPr>
        <w:t xml:space="preserve"> finanční prostředky k provozování veřejné drážní osobní dopravy nebo provozování dráhy poskytnuté z veřejných rozpočtů do jiné činnosti nebo nesleduje v účetním systému odděleně stanovené činnosti nebo finanční prostředky</w:t>
      </w:r>
      <w:r w:rsidRPr="00712731">
        <w:rPr>
          <w:b/>
        </w:rPr>
        <w:t>.</w:t>
      </w:r>
    </w:p>
    <w:p w14:paraId="631D9DCB" w14:textId="77777777" w:rsidR="00554E2B" w:rsidRDefault="00554E2B" w:rsidP="00CE2C91">
      <w:pPr>
        <w:pStyle w:val="Textparagrafu"/>
        <w:tabs>
          <w:tab w:val="left" w:pos="406"/>
          <w:tab w:val="left" w:pos="868"/>
        </w:tabs>
        <w:spacing w:before="120" w:after="120"/>
      </w:pPr>
      <w:r w:rsidRPr="004B3F62">
        <w:t>(5)</w:t>
      </w:r>
      <w:r>
        <w:t xml:space="preserve"> </w:t>
      </w:r>
      <w:r w:rsidRPr="004B3F62">
        <w:t>Právnická</w:t>
      </w:r>
      <w:r>
        <w:t xml:space="preserve"> </w:t>
      </w:r>
      <w:r w:rsidRPr="004B3F62">
        <w:t>nebo</w:t>
      </w:r>
      <w:r>
        <w:t xml:space="preserve"> </w:t>
      </w:r>
      <w:r w:rsidRPr="004B3F62">
        <w:t>podnikající</w:t>
      </w:r>
      <w:r>
        <w:t xml:space="preserve"> </w:t>
      </w:r>
      <w:r w:rsidRPr="004B3F62">
        <w:t>fyzická</w:t>
      </w:r>
      <w:r>
        <w:t xml:space="preserve"> </w:t>
      </w:r>
      <w:r w:rsidRPr="004B3F62">
        <w:t>osoba</w:t>
      </w:r>
      <w:r>
        <w:t xml:space="preserve"> </w:t>
      </w:r>
      <w:r w:rsidRPr="004B3F62">
        <w:t>se</w:t>
      </w:r>
      <w:r>
        <w:t xml:space="preserve"> </w:t>
      </w:r>
      <w:r w:rsidRPr="004B3F62">
        <w:t>jako</w:t>
      </w:r>
      <w:r>
        <w:t xml:space="preserve"> </w:t>
      </w:r>
      <w:r w:rsidRPr="004B3F62">
        <w:t>dopravce</w:t>
      </w:r>
      <w:r>
        <w:t xml:space="preserve"> </w:t>
      </w:r>
      <w:r w:rsidRPr="004B3F62">
        <w:t>provozující</w:t>
      </w:r>
      <w:r>
        <w:t xml:space="preserve"> </w:t>
      </w:r>
      <w:r w:rsidRPr="004B3F62">
        <w:t>veřejnou</w:t>
      </w:r>
      <w:r>
        <w:t xml:space="preserve"> </w:t>
      </w:r>
      <w:r w:rsidRPr="004B3F62">
        <w:t>drážní</w:t>
      </w:r>
      <w:r>
        <w:t xml:space="preserve"> </w:t>
      </w:r>
      <w:r w:rsidRPr="004B3F62">
        <w:t>osobní</w:t>
      </w:r>
      <w:r>
        <w:t xml:space="preserve"> </w:t>
      </w:r>
      <w:r w:rsidRPr="004B3F62">
        <w:t>dopravu</w:t>
      </w:r>
      <w:r>
        <w:t xml:space="preserve"> </w:t>
      </w:r>
      <w:r w:rsidRPr="004B3F62">
        <w:t>na</w:t>
      </w:r>
      <w:r>
        <w:t xml:space="preserve"> </w:t>
      </w:r>
      <w:r w:rsidRPr="004B3F62">
        <w:t>dráze</w:t>
      </w:r>
      <w:r>
        <w:t xml:space="preserve"> </w:t>
      </w:r>
      <w:r w:rsidRPr="004B3F62">
        <w:t>tramvajové,</w:t>
      </w:r>
      <w:r>
        <w:t xml:space="preserve"> </w:t>
      </w:r>
      <w:r w:rsidRPr="004B3F62">
        <w:t>trolejbusové,</w:t>
      </w:r>
      <w:r>
        <w:t xml:space="preserve"> </w:t>
      </w:r>
      <w:r w:rsidRPr="004B3F62">
        <w:t>speciální</w:t>
      </w:r>
      <w:r>
        <w:t xml:space="preserve"> </w:t>
      </w:r>
      <w:r w:rsidRPr="004B3F62">
        <w:t>nebo</w:t>
      </w:r>
      <w:r>
        <w:t xml:space="preserve"> </w:t>
      </w:r>
      <w:r w:rsidRPr="004B3F62">
        <w:t>lanové</w:t>
      </w:r>
      <w:r>
        <w:t xml:space="preserve"> </w:t>
      </w:r>
      <w:r w:rsidRPr="004B3F62">
        <w:t>dopustí</w:t>
      </w:r>
      <w:r>
        <w:t xml:space="preserve"> </w:t>
      </w:r>
      <w:r w:rsidRPr="004B3F62">
        <w:t>přestupku</w:t>
      </w:r>
      <w:r>
        <w:t xml:space="preserve"> </w:t>
      </w:r>
      <w:r w:rsidRPr="004B3F62">
        <w:t>tím,</w:t>
      </w:r>
      <w:r>
        <w:t xml:space="preserve"> </w:t>
      </w:r>
      <w:r w:rsidRPr="004B3F62">
        <w:t>že</w:t>
      </w:r>
      <w:r>
        <w:t xml:space="preserve"> </w:t>
      </w:r>
      <w:r w:rsidRPr="004B3F62">
        <w:t>nepředloží</w:t>
      </w:r>
      <w:r>
        <w:t xml:space="preserve"> </w:t>
      </w:r>
      <w:r w:rsidRPr="004B3F62">
        <w:t>před</w:t>
      </w:r>
      <w:r>
        <w:t xml:space="preserve"> </w:t>
      </w:r>
      <w:r w:rsidRPr="004B3F62">
        <w:t>zahájením</w:t>
      </w:r>
      <w:r>
        <w:t xml:space="preserve"> </w:t>
      </w:r>
      <w:r w:rsidRPr="004B3F62">
        <w:t>drážní</w:t>
      </w:r>
      <w:r>
        <w:t xml:space="preserve"> </w:t>
      </w:r>
      <w:r w:rsidRPr="004B3F62">
        <w:t>dopravy</w:t>
      </w:r>
      <w:r>
        <w:t xml:space="preserve"> </w:t>
      </w:r>
      <w:r w:rsidRPr="004B3F62">
        <w:t>jízdní</w:t>
      </w:r>
      <w:r>
        <w:t xml:space="preserve"> </w:t>
      </w:r>
      <w:r w:rsidRPr="004B3F62">
        <w:t>řád</w:t>
      </w:r>
      <w:r>
        <w:t xml:space="preserve"> </w:t>
      </w:r>
      <w:r w:rsidRPr="004B3F62">
        <w:t>ke</w:t>
      </w:r>
      <w:r>
        <w:t xml:space="preserve"> </w:t>
      </w:r>
      <w:r w:rsidRPr="004B3F62">
        <w:t>schválení</w:t>
      </w:r>
      <w:r>
        <w:t xml:space="preserve"> </w:t>
      </w:r>
      <w:r w:rsidRPr="004B3F62">
        <w:t>drážnímu</w:t>
      </w:r>
      <w:r>
        <w:t xml:space="preserve"> </w:t>
      </w:r>
      <w:r w:rsidRPr="004B3F62">
        <w:t>správnímu</w:t>
      </w:r>
      <w:r>
        <w:t xml:space="preserve"> </w:t>
      </w:r>
      <w:r w:rsidRPr="004B3F62">
        <w:t>úřadu</w:t>
      </w:r>
      <w:r>
        <w:t xml:space="preserve"> </w:t>
      </w:r>
      <w:r w:rsidRPr="004B3F62">
        <w:t>podle</w:t>
      </w:r>
      <w:r>
        <w:t xml:space="preserve"> </w:t>
      </w:r>
      <w:r w:rsidRPr="004B3F62">
        <w:t>§</w:t>
      </w:r>
      <w:r>
        <w:t xml:space="preserve"> </w:t>
      </w:r>
      <w:r w:rsidRPr="004B3F62">
        <w:t>41</w:t>
      </w:r>
      <w:r>
        <w:t xml:space="preserve"> </w:t>
      </w:r>
      <w:r w:rsidRPr="004B3F62">
        <w:t>odst.</w:t>
      </w:r>
      <w:r>
        <w:t xml:space="preserve"> </w:t>
      </w:r>
      <w:r w:rsidRPr="004B3F62">
        <w:t>1.</w:t>
      </w:r>
    </w:p>
    <w:p w14:paraId="023B67D7" w14:textId="2B5FD9D7" w:rsidR="00554E2B" w:rsidRDefault="00554E2B" w:rsidP="00CE2C91">
      <w:pPr>
        <w:pStyle w:val="Textparagrafu"/>
        <w:tabs>
          <w:tab w:val="left" w:pos="406"/>
          <w:tab w:val="left" w:pos="868"/>
        </w:tabs>
        <w:spacing w:before="120" w:after="120"/>
      </w:pPr>
      <w:r w:rsidRPr="004B3F62">
        <w:t>(6)</w:t>
      </w:r>
      <w:r>
        <w:t xml:space="preserve"> </w:t>
      </w:r>
      <w:r w:rsidRPr="004B3F62">
        <w:t>Právnická</w:t>
      </w:r>
      <w:r>
        <w:t xml:space="preserve"> </w:t>
      </w:r>
      <w:r w:rsidRPr="004B3F62">
        <w:t>nebo</w:t>
      </w:r>
      <w:r>
        <w:t xml:space="preserve"> </w:t>
      </w:r>
      <w:r w:rsidRPr="004B3F62">
        <w:t>podnikající</w:t>
      </w:r>
      <w:r>
        <w:t xml:space="preserve"> </w:t>
      </w:r>
      <w:r w:rsidRPr="004B3F62">
        <w:t>fyzická</w:t>
      </w:r>
      <w:r>
        <w:t xml:space="preserve"> </w:t>
      </w:r>
      <w:r w:rsidRPr="004B3F62">
        <w:t>osoba</w:t>
      </w:r>
      <w:r>
        <w:t xml:space="preserve"> </w:t>
      </w:r>
      <w:r w:rsidRPr="004B3F62">
        <w:t>se</w:t>
      </w:r>
      <w:r>
        <w:t xml:space="preserve"> </w:t>
      </w:r>
      <w:r w:rsidRPr="004B3F62">
        <w:t>dopustí</w:t>
      </w:r>
      <w:r>
        <w:t xml:space="preserve"> </w:t>
      </w:r>
      <w:r w:rsidRPr="004B3F62">
        <w:t>přestupku</w:t>
      </w:r>
      <w:r>
        <w:t xml:space="preserve"> </w:t>
      </w:r>
      <w:r w:rsidRPr="004B3F62">
        <w:t>tím,</w:t>
      </w:r>
      <w:r>
        <w:t xml:space="preserve"> </w:t>
      </w:r>
      <w:r w:rsidRPr="004B3F62">
        <w:t>že</w:t>
      </w:r>
      <w:r>
        <w:t xml:space="preserve"> </w:t>
      </w:r>
      <w:r w:rsidRPr="004B3F62">
        <w:t>v</w:t>
      </w:r>
      <w:r>
        <w:t xml:space="preserve"> </w:t>
      </w:r>
      <w:r w:rsidRPr="004B3F62">
        <w:t>rozporu</w:t>
      </w:r>
      <w:r>
        <w:t xml:space="preserve"> </w:t>
      </w:r>
      <w:r w:rsidRPr="004B3F62">
        <w:t>s</w:t>
      </w:r>
      <w:r>
        <w:t xml:space="preserve"> </w:t>
      </w:r>
      <w:r w:rsidRPr="004B3F62">
        <w:t>přímo</w:t>
      </w:r>
      <w:r>
        <w:t xml:space="preserve"> </w:t>
      </w:r>
      <w:r w:rsidRPr="004B3F62">
        <w:t>použitelným</w:t>
      </w:r>
      <w:r>
        <w:t xml:space="preserve"> </w:t>
      </w:r>
      <w:r w:rsidRPr="004B3F62">
        <w:t>předpisem</w:t>
      </w:r>
      <w:r>
        <w:t xml:space="preserve"> </w:t>
      </w:r>
      <w:r w:rsidRPr="004B3F62">
        <w:t>Evropské</w:t>
      </w:r>
      <w:r>
        <w:t xml:space="preserve"> </w:t>
      </w:r>
      <w:r w:rsidRPr="004B3F62">
        <w:t>unie</w:t>
      </w:r>
      <w:r>
        <w:t xml:space="preserve"> </w:t>
      </w:r>
      <w:r w:rsidRPr="004B3F62">
        <w:t>upravujícím</w:t>
      </w:r>
      <w:r>
        <w:t xml:space="preserve"> </w:t>
      </w:r>
      <w:r w:rsidRPr="004B3F62">
        <w:t>práva</w:t>
      </w:r>
      <w:r>
        <w:t xml:space="preserve"> </w:t>
      </w:r>
      <w:r w:rsidRPr="004B3F62">
        <w:t>a</w:t>
      </w:r>
      <w:r>
        <w:t xml:space="preserve"> </w:t>
      </w:r>
      <w:r w:rsidRPr="004B3F62">
        <w:t>povinnosti</w:t>
      </w:r>
      <w:r>
        <w:t xml:space="preserve"> </w:t>
      </w:r>
      <w:r w:rsidRPr="004B3F62">
        <w:t>cestujících</w:t>
      </w:r>
      <w:r>
        <w:t xml:space="preserve"> </w:t>
      </w:r>
      <w:r w:rsidRPr="004B3F62">
        <w:t>v</w:t>
      </w:r>
      <w:r>
        <w:t xml:space="preserve"> </w:t>
      </w:r>
      <w:r w:rsidRPr="004B3F62">
        <w:t>železniční</w:t>
      </w:r>
      <w:r>
        <w:t xml:space="preserve"> </w:t>
      </w:r>
      <w:r w:rsidRPr="004B3F62">
        <w:t>přepravě</w:t>
      </w:r>
      <w:r w:rsidR="002474FB">
        <w:rPr>
          <w:rStyle w:val="Znakapoznpodarou"/>
        </w:rPr>
        <w:footnoteReference w:customMarkFollows="1" w:id="216"/>
        <w:t xml:space="preserve">17) </w:t>
      </w:r>
      <w:r w:rsidRPr="004B3F62">
        <w:t>jako</w:t>
      </w:r>
    </w:p>
    <w:p w14:paraId="3C0B5695" w14:textId="022035BC" w:rsidR="00554E2B" w:rsidRPr="004B3F62" w:rsidRDefault="00554E2B" w:rsidP="002474FB">
      <w:pPr>
        <w:pStyle w:val="Textparagrafu"/>
        <w:tabs>
          <w:tab w:val="left" w:pos="406"/>
          <w:tab w:val="left" w:pos="868"/>
        </w:tabs>
        <w:spacing w:before="0"/>
        <w:ind w:firstLine="0"/>
      </w:pPr>
      <w:r w:rsidRPr="004B3F62">
        <w:t>a)</w:t>
      </w:r>
      <w:r w:rsidR="002474FB">
        <w:tab/>
      </w:r>
      <w:r w:rsidRPr="004B3F62">
        <w:t>dopravce</w:t>
      </w:r>
    </w:p>
    <w:p w14:paraId="1A0563CE" w14:textId="5E795E0A" w:rsidR="00554E2B" w:rsidRPr="004B3F62" w:rsidRDefault="002474FB" w:rsidP="002474FB">
      <w:pPr>
        <w:pStyle w:val="Textparagrafu"/>
        <w:tabs>
          <w:tab w:val="left" w:pos="406"/>
          <w:tab w:val="left" w:pos="868"/>
        </w:tabs>
        <w:spacing w:before="0"/>
        <w:ind w:firstLine="0"/>
      </w:pPr>
      <w:r>
        <w:tab/>
      </w:r>
      <w:r w:rsidR="00554E2B" w:rsidRPr="004B3F62">
        <w:t>1.</w:t>
      </w:r>
      <w:r>
        <w:tab/>
      </w:r>
      <w:r w:rsidR="00554E2B" w:rsidRPr="004B3F62">
        <w:t>nezajistí</w:t>
      </w:r>
      <w:r w:rsidR="00554E2B">
        <w:t xml:space="preserve"> </w:t>
      </w:r>
      <w:r w:rsidR="00554E2B" w:rsidRPr="004B3F62">
        <w:t>stanoveným</w:t>
      </w:r>
      <w:r w:rsidR="00554E2B">
        <w:t xml:space="preserve"> </w:t>
      </w:r>
      <w:r w:rsidR="00554E2B" w:rsidRPr="004B3F62">
        <w:t>způsobem</w:t>
      </w:r>
      <w:r w:rsidR="00554E2B">
        <w:t xml:space="preserve"> </w:t>
      </w:r>
      <w:r w:rsidR="00554E2B" w:rsidRPr="004B3F62">
        <w:t>prodej</w:t>
      </w:r>
      <w:r w:rsidR="00554E2B">
        <w:t xml:space="preserve"> </w:t>
      </w:r>
      <w:r w:rsidR="00554E2B" w:rsidRPr="004B3F62">
        <w:t>jízdních</w:t>
      </w:r>
      <w:r w:rsidR="00554E2B">
        <w:t xml:space="preserve"> </w:t>
      </w:r>
      <w:r w:rsidR="00554E2B" w:rsidRPr="004B3F62">
        <w:t>nebo</w:t>
      </w:r>
      <w:r w:rsidR="00554E2B">
        <w:t xml:space="preserve"> </w:t>
      </w:r>
      <w:r w:rsidR="00554E2B" w:rsidRPr="004B3F62">
        <w:t>přepravních</w:t>
      </w:r>
      <w:r w:rsidR="00554E2B">
        <w:t xml:space="preserve"> </w:t>
      </w:r>
      <w:r w:rsidR="00554E2B" w:rsidRPr="004B3F62">
        <w:t>dokladů,</w:t>
      </w:r>
    </w:p>
    <w:p w14:paraId="5BD29FDD" w14:textId="7D5B32AC" w:rsidR="00554E2B" w:rsidRPr="004B3F62" w:rsidRDefault="002474FB" w:rsidP="00895004">
      <w:pPr>
        <w:pStyle w:val="Textparagrafu"/>
        <w:tabs>
          <w:tab w:val="left" w:pos="406"/>
          <w:tab w:val="left" w:pos="868"/>
        </w:tabs>
        <w:spacing w:before="0"/>
        <w:ind w:left="868" w:hanging="868"/>
      </w:pPr>
      <w:r>
        <w:tab/>
      </w:r>
      <w:r w:rsidR="00554E2B" w:rsidRPr="004B3F62">
        <w:t>2.</w:t>
      </w:r>
      <w:r>
        <w:tab/>
      </w:r>
      <w:r w:rsidR="00554E2B" w:rsidRPr="004B3F62">
        <w:t>nezajistí,</w:t>
      </w:r>
      <w:r w:rsidR="00554E2B">
        <w:t xml:space="preserve"> </w:t>
      </w:r>
      <w:r w:rsidR="00554E2B" w:rsidRPr="004B3F62">
        <w:t>aby</w:t>
      </w:r>
      <w:r w:rsidR="00554E2B">
        <w:t xml:space="preserve"> </w:t>
      </w:r>
      <w:r w:rsidR="00554E2B" w:rsidRPr="004B3F62">
        <w:t>její</w:t>
      </w:r>
      <w:r w:rsidR="00554E2B">
        <w:t xml:space="preserve"> </w:t>
      </w:r>
      <w:r w:rsidR="00554E2B" w:rsidRPr="004B3F62">
        <w:t>přepravní</w:t>
      </w:r>
      <w:r w:rsidR="00554E2B">
        <w:t xml:space="preserve"> </w:t>
      </w:r>
      <w:r w:rsidR="00554E2B" w:rsidRPr="004B3F62">
        <w:t>podmínky</w:t>
      </w:r>
      <w:r w:rsidR="00554E2B">
        <w:t xml:space="preserve"> </w:t>
      </w:r>
      <w:r w:rsidR="00554E2B" w:rsidRPr="004B3F62">
        <w:t>nebo</w:t>
      </w:r>
      <w:r w:rsidR="00554E2B">
        <w:t xml:space="preserve"> </w:t>
      </w:r>
      <w:r w:rsidR="00554E2B" w:rsidRPr="004B3F62">
        <w:t>jí</w:t>
      </w:r>
      <w:r w:rsidR="00554E2B">
        <w:t xml:space="preserve"> </w:t>
      </w:r>
      <w:r w:rsidR="00554E2B" w:rsidRPr="004B3F62">
        <w:t>prodávané</w:t>
      </w:r>
      <w:r w:rsidR="00554E2B">
        <w:t xml:space="preserve"> </w:t>
      </w:r>
      <w:r w:rsidR="00554E2B" w:rsidRPr="004B3F62">
        <w:t>jízdní</w:t>
      </w:r>
      <w:r w:rsidR="00554E2B">
        <w:t xml:space="preserve"> </w:t>
      </w:r>
      <w:r w:rsidR="00554E2B" w:rsidRPr="004B3F62">
        <w:t>nebo</w:t>
      </w:r>
      <w:r w:rsidR="00554E2B">
        <w:t xml:space="preserve"> </w:t>
      </w:r>
      <w:r w:rsidR="00554E2B" w:rsidRPr="004B3F62">
        <w:t>přepravní</w:t>
      </w:r>
      <w:r w:rsidR="00554E2B">
        <w:t xml:space="preserve"> </w:t>
      </w:r>
      <w:r w:rsidR="00554E2B" w:rsidRPr="004B3F62">
        <w:t>doklady</w:t>
      </w:r>
      <w:r w:rsidR="00554E2B">
        <w:t xml:space="preserve"> </w:t>
      </w:r>
      <w:r w:rsidR="00554E2B" w:rsidRPr="004B3F62">
        <w:t>měly</w:t>
      </w:r>
      <w:r w:rsidR="00554E2B">
        <w:t xml:space="preserve"> </w:t>
      </w:r>
      <w:r w:rsidR="00554E2B" w:rsidRPr="004B3F62">
        <w:t>stanovený</w:t>
      </w:r>
      <w:r w:rsidR="00554E2B">
        <w:t xml:space="preserve"> </w:t>
      </w:r>
      <w:r w:rsidR="00554E2B" w:rsidRPr="004B3F62">
        <w:t>obsah,</w:t>
      </w:r>
    </w:p>
    <w:p w14:paraId="3A4BCCCF" w14:textId="48DD5968" w:rsidR="00554E2B" w:rsidRPr="004B3F62" w:rsidRDefault="002474FB" w:rsidP="00895004">
      <w:pPr>
        <w:pStyle w:val="Textparagrafu"/>
        <w:tabs>
          <w:tab w:val="left" w:pos="406"/>
          <w:tab w:val="left" w:pos="868"/>
        </w:tabs>
        <w:spacing w:before="0"/>
        <w:ind w:left="868" w:hanging="868"/>
      </w:pPr>
      <w:r>
        <w:tab/>
      </w:r>
      <w:r w:rsidR="00554E2B" w:rsidRPr="004B3F62">
        <w:t>3.</w:t>
      </w:r>
      <w:r>
        <w:tab/>
      </w:r>
      <w:r w:rsidR="00554E2B" w:rsidRPr="004B3F62">
        <w:t>neumožní</w:t>
      </w:r>
      <w:r w:rsidR="00554E2B">
        <w:t xml:space="preserve"> </w:t>
      </w:r>
      <w:r w:rsidR="00554E2B" w:rsidRPr="004B3F62">
        <w:t>cestujícímu</w:t>
      </w:r>
      <w:r w:rsidR="00554E2B">
        <w:t xml:space="preserve"> </w:t>
      </w:r>
      <w:r w:rsidR="00554E2B" w:rsidRPr="004B3F62">
        <w:t>přepravu</w:t>
      </w:r>
      <w:r w:rsidR="00554E2B">
        <w:t xml:space="preserve"> </w:t>
      </w:r>
      <w:r w:rsidR="00554E2B" w:rsidRPr="004B3F62">
        <w:t>zavazadla,</w:t>
      </w:r>
      <w:r w:rsidR="00554E2B">
        <w:t xml:space="preserve"> </w:t>
      </w:r>
      <w:r w:rsidR="00554E2B" w:rsidRPr="004B3F62">
        <w:t>zvířete</w:t>
      </w:r>
      <w:r w:rsidR="00554E2B">
        <w:t xml:space="preserve"> </w:t>
      </w:r>
      <w:r w:rsidR="00554E2B" w:rsidRPr="004B3F62">
        <w:t>nebo</w:t>
      </w:r>
      <w:r w:rsidR="00554E2B">
        <w:t xml:space="preserve"> </w:t>
      </w:r>
      <w:r w:rsidR="00554E2B" w:rsidRPr="004B3F62">
        <w:t>vozidla,</w:t>
      </w:r>
      <w:r w:rsidR="00554E2B">
        <w:t xml:space="preserve"> </w:t>
      </w:r>
      <w:r w:rsidR="00554E2B" w:rsidRPr="004B3F62">
        <w:t>zavazadlo,</w:t>
      </w:r>
      <w:r w:rsidR="00554E2B">
        <w:t xml:space="preserve"> </w:t>
      </w:r>
      <w:r w:rsidR="00554E2B" w:rsidRPr="004B3F62">
        <w:t>zvíře</w:t>
      </w:r>
      <w:r w:rsidR="00554E2B">
        <w:t xml:space="preserve"> </w:t>
      </w:r>
      <w:r w:rsidR="00554E2B" w:rsidRPr="004B3F62">
        <w:t>nebo</w:t>
      </w:r>
      <w:r w:rsidR="00554E2B">
        <w:t xml:space="preserve"> </w:t>
      </w:r>
      <w:r w:rsidR="00554E2B" w:rsidRPr="004B3F62">
        <w:t>vozidlo</w:t>
      </w:r>
      <w:r w:rsidR="00554E2B">
        <w:t xml:space="preserve"> </w:t>
      </w:r>
      <w:r w:rsidR="00554E2B" w:rsidRPr="004B3F62">
        <w:t>nevydá</w:t>
      </w:r>
      <w:r w:rsidR="00554E2B">
        <w:t xml:space="preserve"> </w:t>
      </w:r>
      <w:r w:rsidR="00554E2B" w:rsidRPr="004B3F62">
        <w:t>nebo</w:t>
      </w:r>
      <w:r w:rsidR="00554E2B">
        <w:t xml:space="preserve"> </w:t>
      </w:r>
      <w:r w:rsidR="00554E2B" w:rsidRPr="004B3F62">
        <w:t>nevyznačí</w:t>
      </w:r>
      <w:r w:rsidR="00554E2B">
        <w:t xml:space="preserve"> </w:t>
      </w:r>
      <w:r w:rsidR="00554E2B" w:rsidRPr="004B3F62">
        <w:t>den</w:t>
      </w:r>
      <w:r w:rsidR="00554E2B">
        <w:t xml:space="preserve"> </w:t>
      </w:r>
      <w:r w:rsidR="00554E2B" w:rsidRPr="004B3F62">
        <w:t>a</w:t>
      </w:r>
      <w:r w:rsidR="00554E2B">
        <w:t xml:space="preserve"> </w:t>
      </w:r>
      <w:r w:rsidR="00554E2B" w:rsidRPr="004B3F62">
        <w:t>hodinu,</w:t>
      </w:r>
      <w:r w:rsidR="00554E2B">
        <w:t xml:space="preserve"> </w:t>
      </w:r>
      <w:r w:rsidR="00554E2B" w:rsidRPr="004B3F62">
        <w:t>kdy</w:t>
      </w:r>
      <w:r w:rsidR="00554E2B">
        <w:t xml:space="preserve"> </w:t>
      </w:r>
      <w:r w:rsidR="00554E2B" w:rsidRPr="004B3F62">
        <w:t>bylo</w:t>
      </w:r>
      <w:r w:rsidR="00554E2B">
        <w:t xml:space="preserve"> </w:t>
      </w:r>
      <w:r w:rsidR="00554E2B" w:rsidRPr="004B3F62">
        <w:t>o</w:t>
      </w:r>
      <w:r w:rsidR="00554E2B">
        <w:t xml:space="preserve"> </w:t>
      </w:r>
      <w:r w:rsidR="00554E2B" w:rsidRPr="004B3F62">
        <w:t>jejich</w:t>
      </w:r>
      <w:r w:rsidR="00554E2B">
        <w:t xml:space="preserve"> </w:t>
      </w:r>
      <w:r w:rsidR="00554E2B" w:rsidRPr="004B3F62">
        <w:t>vydání</w:t>
      </w:r>
      <w:r w:rsidR="00554E2B">
        <w:t xml:space="preserve"> </w:t>
      </w:r>
      <w:r w:rsidR="00554E2B" w:rsidRPr="004B3F62">
        <w:t>požádáno,</w:t>
      </w:r>
      <w:r w:rsidR="00554E2B">
        <w:t xml:space="preserve"> </w:t>
      </w:r>
      <w:r w:rsidR="00554E2B" w:rsidRPr="004B3F62">
        <w:t>v</w:t>
      </w:r>
      <w:r w:rsidR="00554E2B">
        <w:t xml:space="preserve"> </w:t>
      </w:r>
      <w:r w:rsidR="00554E2B" w:rsidRPr="004B3F62">
        <w:lastRenderedPageBreak/>
        <w:t>přepravním</w:t>
      </w:r>
      <w:r w:rsidR="00554E2B">
        <w:t xml:space="preserve"> </w:t>
      </w:r>
      <w:r w:rsidR="00554E2B" w:rsidRPr="004B3F62">
        <w:t>dokladu</w:t>
      </w:r>
      <w:r w:rsidR="00554E2B">
        <w:t xml:space="preserve"> </w:t>
      </w:r>
      <w:r w:rsidR="00554E2B" w:rsidRPr="004B3F62">
        <w:t>anebo</w:t>
      </w:r>
      <w:r w:rsidR="00554E2B">
        <w:t xml:space="preserve"> </w:t>
      </w:r>
      <w:r w:rsidR="00554E2B" w:rsidRPr="004B3F62">
        <w:t>neumožní</w:t>
      </w:r>
      <w:r w:rsidR="00554E2B">
        <w:t xml:space="preserve"> </w:t>
      </w:r>
      <w:r w:rsidR="00554E2B" w:rsidRPr="004B3F62">
        <w:t>jiné</w:t>
      </w:r>
      <w:r w:rsidR="00554E2B">
        <w:t xml:space="preserve"> </w:t>
      </w:r>
      <w:r w:rsidR="00554E2B" w:rsidRPr="004B3F62">
        <w:t>nakládání</w:t>
      </w:r>
      <w:r w:rsidR="00554E2B">
        <w:t xml:space="preserve"> </w:t>
      </w:r>
      <w:r w:rsidR="00554E2B" w:rsidRPr="004B3F62">
        <w:t>se</w:t>
      </w:r>
      <w:r w:rsidR="00554E2B">
        <w:t xml:space="preserve"> </w:t>
      </w:r>
      <w:r w:rsidR="00554E2B" w:rsidRPr="004B3F62">
        <w:t>zavazadlem,</w:t>
      </w:r>
      <w:r w:rsidR="00554E2B">
        <w:t xml:space="preserve"> </w:t>
      </w:r>
      <w:r w:rsidR="00554E2B" w:rsidRPr="004B3F62">
        <w:t>zvířetem</w:t>
      </w:r>
      <w:r w:rsidR="00554E2B">
        <w:t xml:space="preserve"> </w:t>
      </w:r>
      <w:r w:rsidR="00554E2B" w:rsidRPr="004B3F62">
        <w:t>nebo</w:t>
      </w:r>
      <w:r w:rsidR="00554E2B">
        <w:t xml:space="preserve"> </w:t>
      </w:r>
      <w:r w:rsidR="00554E2B" w:rsidRPr="004B3F62">
        <w:t>vozidlem,</w:t>
      </w:r>
    </w:p>
    <w:p w14:paraId="08FCEDC8" w14:textId="3624E5E8" w:rsidR="00554E2B" w:rsidRPr="004B3F62" w:rsidRDefault="002474FB" w:rsidP="00895004">
      <w:pPr>
        <w:pStyle w:val="Textparagrafu"/>
        <w:tabs>
          <w:tab w:val="left" w:pos="406"/>
          <w:tab w:val="left" w:pos="868"/>
        </w:tabs>
        <w:spacing w:before="0"/>
        <w:ind w:left="868" w:hanging="868"/>
      </w:pPr>
      <w:r>
        <w:tab/>
      </w:r>
      <w:r w:rsidR="00554E2B" w:rsidRPr="004B3F62">
        <w:t>4.</w:t>
      </w:r>
      <w:r>
        <w:tab/>
      </w:r>
      <w:r w:rsidR="00554E2B" w:rsidRPr="004B3F62">
        <w:t>nevyhotoví</w:t>
      </w:r>
      <w:r w:rsidR="00554E2B">
        <w:t xml:space="preserve"> </w:t>
      </w:r>
      <w:r w:rsidR="00554E2B" w:rsidRPr="004B3F62">
        <w:t>včas</w:t>
      </w:r>
      <w:r w:rsidR="00554E2B">
        <w:t xml:space="preserve"> </w:t>
      </w:r>
      <w:r w:rsidR="00554E2B" w:rsidRPr="004B3F62">
        <w:t>zápis</w:t>
      </w:r>
      <w:r w:rsidR="00554E2B">
        <w:t xml:space="preserve"> </w:t>
      </w:r>
      <w:r w:rsidR="00554E2B" w:rsidRPr="004B3F62">
        <w:t>o</w:t>
      </w:r>
      <w:r w:rsidR="00554E2B">
        <w:t xml:space="preserve"> </w:t>
      </w:r>
      <w:r w:rsidR="00554E2B" w:rsidRPr="004B3F62">
        <w:t>ztrátě</w:t>
      </w:r>
      <w:r w:rsidR="00554E2B">
        <w:t xml:space="preserve"> </w:t>
      </w:r>
      <w:r w:rsidR="00554E2B" w:rsidRPr="004B3F62">
        <w:t>nebo</w:t>
      </w:r>
      <w:r w:rsidR="00554E2B">
        <w:t xml:space="preserve"> </w:t>
      </w:r>
      <w:r w:rsidR="00554E2B" w:rsidRPr="004B3F62">
        <w:t>poškození</w:t>
      </w:r>
      <w:r w:rsidR="00554E2B">
        <w:t xml:space="preserve"> </w:t>
      </w:r>
      <w:r w:rsidR="00554E2B" w:rsidRPr="004B3F62">
        <w:t>přepravovaného</w:t>
      </w:r>
      <w:r w:rsidR="00554E2B">
        <w:t xml:space="preserve"> </w:t>
      </w:r>
      <w:r w:rsidR="00554E2B" w:rsidRPr="004B3F62">
        <w:t>zavazadla</w:t>
      </w:r>
      <w:r w:rsidR="00554E2B">
        <w:t xml:space="preserve"> </w:t>
      </w:r>
      <w:r w:rsidR="00554E2B" w:rsidRPr="004B3F62">
        <w:t>nebo</w:t>
      </w:r>
      <w:r w:rsidR="00554E2B">
        <w:t xml:space="preserve"> </w:t>
      </w:r>
      <w:r w:rsidR="00554E2B" w:rsidRPr="004B3F62">
        <w:t>vozidla</w:t>
      </w:r>
      <w:r w:rsidR="00554E2B">
        <w:t xml:space="preserve"> </w:t>
      </w:r>
      <w:r w:rsidR="00554E2B" w:rsidRPr="004B3F62">
        <w:t>se</w:t>
      </w:r>
      <w:r w:rsidR="00554E2B">
        <w:t xml:space="preserve"> </w:t>
      </w:r>
      <w:r w:rsidR="00554E2B" w:rsidRPr="004B3F62">
        <w:t>stanoveným</w:t>
      </w:r>
      <w:r w:rsidR="00554E2B">
        <w:t xml:space="preserve"> </w:t>
      </w:r>
      <w:r w:rsidR="00554E2B" w:rsidRPr="004B3F62">
        <w:t>obsahem</w:t>
      </w:r>
      <w:r w:rsidR="00554E2B">
        <w:t xml:space="preserve"> </w:t>
      </w:r>
      <w:r w:rsidR="00554E2B" w:rsidRPr="004B3F62">
        <w:t>nebo</w:t>
      </w:r>
      <w:r w:rsidR="00554E2B">
        <w:t xml:space="preserve"> </w:t>
      </w:r>
      <w:r w:rsidR="00554E2B" w:rsidRPr="004B3F62">
        <w:t>tento</w:t>
      </w:r>
      <w:r w:rsidR="00554E2B">
        <w:t xml:space="preserve"> </w:t>
      </w:r>
      <w:r w:rsidR="00554E2B" w:rsidRPr="004B3F62">
        <w:t>zápis</w:t>
      </w:r>
      <w:r w:rsidR="00554E2B">
        <w:t xml:space="preserve"> </w:t>
      </w:r>
      <w:r w:rsidR="00554E2B" w:rsidRPr="004B3F62">
        <w:t>nepředá</w:t>
      </w:r>
      <w:r w:rsidR="00554E2B">
        <w:t xml:space="preserve"> </w:t>
      </w:r>
      <w:r w:rsidR="00554E2B" w:rsidRPr="004B3F62">
        <w:t>oprávněné</w:t>
      </w:r>
      <w:r w:rsidR="00554E2B">
        <w:t xml:space="preserve"> </w:t>
      </w:r>
      <w:r w:rsidR="00554E2B" w:rsidRPr="004B3F62">
        <w:t>osobě,</w:t>
      </w:r>
    </w:p>
    <w:p w14:paraId="6A3AB731" w14:textId="26877932" w:rsidR="00554E2B" w:rsidRPr="004B3F62" w:rsidRDefault="002474FB" w:rsidP="00895004">
      <w:pPr>
        <w:pStyle w:val="Textparagrafu"/>
        <w:tabs>
          <w:tab w:val="left" w:pos="406"/>
          <w:tab w:val="left" w:pos="868"/>
        </w:tabs>
        <w:spacing w:before="0"/>
        <w:ind w:left="868" w:hanging="868"/>
      </w:pPr>
      <w:r>
        <w:tab/>
      </w:r>
      <w:r w:rsidR="00554E2B" w:rsidRPr="004B3F62">
        <w:t>5.</w:t>
      </w:r>
      <w:r>
        <w:tab/>
      </w:r>
      <w:r w:rsidR="00554E2B" w:rsidRPr="004B3F62">
        <w:t>neumožní</w:t>
      </w:r>
      <w:r w:rsidR="00554E2B">
        <w:t xml:space="preserve"> </w:t>
      </w:r>
      <w:r w:rsidR="00554E2B" w:rsidRPr="004B3F62">
        <w:t>cestujícímu</w:t>
      </w:r>
      <w:r w:rsidR="00554E2B">
        <w:t xml:space="preserve"> </w:t>
      </w:r>
      <w:r w:rsidR="00554E2B" w:rsidRPr="004B3F62">
        <w:t>přepravu</w:t>
      </w:r>
      <w:r w:rsidR="00554E2B">
        <w:t xml:space="preserve"> </w:t>
      </w:r>
      <w:r w:rsidR="00554E2B" w:rsidRPr="004B3F62">
        <w:t>jízdního</w:t>
      </w:r>
      <w:r w:rsidR="00554E2B">
        <w:t xml:space="preserve"> </w:t>
      </w:r>
      <w:r w:rsidR="00554E2B" w:rsidRPr="004B3F62">
        <w:t>kola</w:t>
      </w:r>
      <w:r w:rsidR="00554E2B">
        <w:t xml:space="preserve"> </w:t>
      </w:r>
      <w:r w:rsidR="00554E2B" w:rsidRPr="004B3F62">
        <w:t>nebo</w:t>
      </w:r>
      <w:r w:rsidR="00554E2B">
        <w:t xml:space="preserve"> </w:t>
      </w:r>
      <w:r w:rsidR="00554E2B" w:rsidRPr="004B3F62">
        <w:t>provedení</w:t>
      </w:r>
      <w:r w:rsidR="00554E2B">
        <w:t xml:space="preserve"> </w:t>
      </w:r>
      <w:r w:rsidR="00554E2B" w:rsidRPr="004B3F62">
        <w:t>rezervace</w:t>
      </w:r>
      <w:r w:rsidR="00554E2B">
        <w:t xml:space="preserve"> </w:t>
      </w:r>
      <w:r w:rsidR="00554E2B" w:rsidRPr="004B3F62">
        <w:t>na</w:t>
      </w:r>
      <w:r w:rsidR="00554E2B">
        <w:t xml:space="preserve"> </w:t>
      </w:r>
      <w:r w:rsidR="00554E2B" w:rsidRPr="004B3F62">
        <w:t>tuto</w:t>
      </w:r>
      <w:r w:rsidR="00554E2B">
        <w:t xml:space="preserve"> </w:t>
      </w:r>
      <w:r w:rsidR="00554E2B" w:rsidRPr="004B3F62">
        <w:t>přepravu</w:t>
      </w:r>
      <w:r w:rsidR="00554E2B">
        <w:t xml:space="preserve"> </w:t>
      </w:r>
      <w:r w:rsidR="00554E2B" w:rsidRPr="004B3F62">
        <w:t>anebo</w:t>
      </w:r>
      <w:r w:rsidR="00554E2B">
        <w:t xml:space="preserve"> </w:t>
      </w:r>
      <w:r w:rsidR="00554E2B" w:rsidRPr="004B3F62">
        <w:t>v</w:t>
      </w:r>
      <w:r w:rsidR="00554E2B">
        <w:t xml:space="preserve"> </w:t>
      </w:r>
      <w:r w:rsidR="00554E2B" w:rsidRPr="004B3F62">
        <w:t>takovém</w:t>
      </w:r>
      <w:r w:rsidR="00554E2B">
        <w:t xml:space="preserve"> </w:t>
      </w:r>
      <w:r w:rsidR="00554E2B" w:rsidRPr="004B3F62">
        <w:t>případě</w:t>
      </w:r>
      <w:r w:rsidR="00554E2B">
        <w:t xml:space="preserve"> </w:t>
      </w:r>
      <w:r w:rsidR="00554E2B" w:rsidRPr="004B3F62">
        <w:t>nezajistí</w:t>
      </w:r>
      <w:r w:rsidR="00554E2B">
        <w:t xml:space="preserve"> </w:t>
      </w:r>
      <w:r w:rsidR="00554E2B" w:rsidRPr="004B3F62">
        <w:t>přesměrování</w:t>
      </w:r>
      <w:r w:rsidR="00554E2B">
        <w:t xml:space="preserve"> </w:t>
      </w:r>
      <w:r w:rsidR="00554E2B" w:rsidRPr="004B3F62">
        <w:t>nebo</w:t>
      </w:r>
      <w:r w:rsidR="00554E2B">
        <w:t xml:space="preserve"> </w:t>
      </w:r>
      <w:r w:rsidR="00554E2B" w:rsidRPr="004B3F62">
        <w:t>neposkytne</w:t>
      </w:r>
      <w:r w:rsidR="00554E2B">
        <w:t xml:space="preserve"> </w:t>
      </w:r>
      <w:r w:rsidR="00554E2B" w:rsidRPr="004B3F62">
        <w:t>náhradu</w:t>
      </w:r>
      <w:r w:rsidR="00554E2B">
        <w:t xml:space="preserve"> </w:t>
      </w:r>
      <w:r w:rsidR="00554E2B" w:rsidRPr="004B3F62">
        <w:t>jízdného,</w:t>
      </w:r>
      <w:r w:rsidR="00554E2B">
        <w:t xml:space="preserve"> </w:t>
      </w:r>
      <w:r w:rsidR="00554E2B" w:rsidRPr="004B3F62">
        <w:t>odškodnění</w:t>
      </w:r>
      <w:r w:rsidR="00554E2B">
        <w:t xml:space="preserve"> </w:t>
      </w:r>
      <w:r w:rsidR="00554E2B" w:rsidRPr="004B3F62">
        <w:t>nebo</w:t>
      </w:r>
      <w:r w:rsidR="00554E2B">
        <w:t xml:space="preserve"> </w:t>
      </w:r>
      <w:r w:rsidR="00554E2B" w:rsidRPr="004B3F62">
        <w:t>pomoc</w:t>
      </w:r>
      <w:r w:rsidR="00554E2B">
        <w:t xml:space="preserve"> </w:t>
      </w:r>
      <w:r w:rsidR="00554E2B" w:rsidRPr="004B3F62">
        <w:t>podle</w:t>
      </w:r>
      <w:r w:rsidR="00554E2B">
        <w:t xml:space="preserve"> </w:t>
      </w:r>
      <w:r w:rsidR="00554E2B" w:rsidRPr="004B3F62">
        <w:t>tohoto</w:t>
      </w:r>
      <w:r w:rsidR="00554E2B">
        <w:t xml:space="preserve"> </w:t>
      </w:r>
      <w:r w:rsidR="00554E2B" w:rsidRPr="004B3F62">
        <w:t>přímo</w:t>
      </w:r>
      <w:r w:rsidR="00554E2B">
        <w:t xml:space="preserve"> </w:t>
      </w:r>
      <w:r w:rsidR="00554E2B" w:rsidRPr="004B3F62">
        <w:t>použitelného</w:t>
      </w:r>
      <w:r w:rsidR="00554E2B">
        <w:t xml:space="preserve"> </w:t>
      </w:r>
      <w:r w:rsidR="00554E2B" w:rsidRPr="004B3F62">
        <w:t>předpisu,</w:t>
      </w:r>
    </w:p>
    <w:p w14:paraId="6992D313" w14:textId="00458749" w:rsidR="00554E2B" w:rsidRPr="004B3F62" w:rsidRDefault="002474FB" w:rsidP="00895004">
      <w:pPr>
        <w:pStyle w:val="Textparagrafu"/>
        <w:tabs>
          <w:tab w:val="left" w:pos="406"/>
          <w:tab w:val="left" w:pos="868"/>
        </w:tabs>
        <w:spacing w:before="0"/>
        <w:ind w:left="868" w:hanging="868"/>
      </w:pPr>
      <w:r>
        <w:tab/>
      </w:r>
      <w:r w:rsidR="00554E2B" w:rsidRPr="004B3F62">
        <w:t>6.</w:t>
      </w:r>
      <w:r>
        <w:tab/>
      </w:r>
      <w:r w:rsidR="00554E2B" w:rsidRPr="004B3F62">
        <w:t>nezveřejní</w:t>
      </w:r>
      <w:r w:rsidR="00554E2B">
        <w:t xml:space="preserve"> </w:t>
      </w:r>
      <w:r w:rsidR="00554E2B" w:rsidRPr="004B3F62">
        <w:t>s</w:t>
      </w:r>
      <w:r w:rsidR="00554E2B">
        <w:t xml:space="preserve"> </w:t>
      </w:r>
      <w:r w:rsidR="00554E2B" w:rsidRPr="004B3F62">
        <w:t>využitím</w:t>
      </w:r>
      <w:r w:rsidR="00554E2B">
        <w:t xml:space="preserve"> </w:t>
      </w:r>
      <w:r w:rsidR="00554E2B" w:rsidRPr="004B3F62">
        <w:t>stanovených</w:t>
      </w:r>
      <w:r w:rsidR="00554E2B">
        <w:t xml:space="preserve"> </w:t>
      </w:r>
      <w:r w:rsidR="00554E2B" w:rsidRPr="004B3F62">
        <w:t>prostředků</w:t>
      </w:r>
      <w:r w:rsidR="00554E2B">
        <w:t xml:space="preserve"> </w:t>
      </w:r>
      <w:r w:rsidR="00554E2B" w:rsidRPr="004B3F62">
        <w:t>na</w:t>
      </w:r>
      <w:r w:rsidR="00554E2B">
        <w:t xml:space="preserve"> </w:t>
      </w:r>
      <w:r w:rsidR="00554E2B" w:rsidRPr="004B3F62">
        <w:t>svých</w:t>
      </w:r>
      <w:r w:rsidR="00554E2B">
        <w:t xml:space="preserve"> </w:t>
      </w:r>
      <w:r w:rsidR="00554E2B" w:rsidRPr="004B3F62">
        <w:t>internetových</w:t>
      </w:r>
      <w:r w:rsidR="00554E2B">
        <w:t xml:space="preserve"> </w:t>
      </w:r>
      <w:r w:rsidR="00554E2B" w:rsidRPr="004B3F62">
        <w:t>stránkách</w:t>
      </w:r>
      <w:r w:rsidR="00554E2B">
        <w:t xml:space="preserve"> </w:t>
      </w:r>
      <w:r w:rsidR="00554E2B" w:rsidRPr="004B3F62">
        <w:t>podmínky</w:t>
      </w:r>
      <w:r w:rsidR="00554E2B">
        <w:t xml:space="preserve"> </w:t>
      </w:r>
      <w:r w:rsidR="00554E2B" w:rsidRPr="004B3F62">
        <w:t>pro</w:t>
      </w:r>
      <w:r w:rsidR="00554E2B">
        <w:t xml:space="preserve"> </w:t>
      </w:r>
      <w:r w:rsidR="00554E2B" w:rsidRPr="004B3F62">
        <w:t>přepravu</w:t>
      </w:r>
      <w:r w:rsidR="00554E2B">
        <w:t xml:space="preserve"> </w:t>
      </w:r>
      <w:r w:rsidR="00554E2B" w:rsidRPr="004B3F62">
        <w:t>jízdních</w:t>
      </w:r>
      <w:r w:rsidR="00554E2B">
        <w:t xml:space="preserve"> </w:t>
      </w:r>
      <w:r w:rsidR="00554E2B" w:rsidRPr="004B3F62">
        <w:t>kol,</w:t>
      </w:r>
      <w:r w:rsidR="00554E2B">
        <w:t xml:space="preserve"> </w:t>
      </w:r>
      <w:r w:rsidR="00554E2B" w:rsidRPr="004B3F62">
        <w:t>včetně</w:t>
      </w:r>
      <w:r w:rsidR="00554E2B">
        <w:t xml:space="preserve"> </w:t>
      </w:r>
      <w:r w:rsidR="00554E2B" w:rsidRPr="004B3F62">
        <w:t>aktuálních</w:t>
      </w:r>
      <w:r w:rsidR="00554E2B">
        <w:t xml:space="preserve"> </w:t>
      </w:r>
      <w:r w:rsidR="00554E2B" w:rsidRPr="004B3F62">
        <w:t>informací</w:t>
      </w:r>
      <w:r w:rsidR="00554E2B">
        <w:t xml:space="preserve"> </w:t>
      </w:r>
      <w:r w:rsidR="00554E2B" w:rsidRPr="004B3F62">
        <w:t>o</w:t>
      </w:r>
      <w:r w:rsidR="00554E2B">
        <w:t xml:space="preserve"> </w:t>
      </w:r>
      <w:r w:rsidR="00554E2B" w:rsidRPr="004B3F62">
        <w:t>dostupnosti</w:t>
      </w:r>
      <w:r w:rsidR="00554E2B">
        <w:t xml:space="preserve"> </w:t>
      </w:r>
      <w:r w:rsidR="00554E2B" w:rsidRPr="004B3F62">
        <w:t>kapacity</w:t>
      </w:r>
      <w:r w:rsidR="00554E2B">
        <w:t xml:space="preserve"> </w:t>
      </w:r>
      <w:r w:rsidR="00554E2B" w:rsidRPr="004B3F62">
        <w:t>pro</w:t>
      </w:r>
      <w:r w:rsidR="00554E2B">
        <w:t xml:space="preserve"> </w:t>
      </w:r>
      <w:r w:rsidR="00554E2B" w:rsidRPr="004B3F62">
        <w:t>jejich</w:t>
      </w:r>
      <w:r w:rsidR="00554E2B">
        <w:t xml:space="preserve"> </w:t>
      </w:r>
      <w:r w:rsidR="00554E2B" w:rsidRPr="004B3F62">
        <w:t>přepravu,</w:t>
      </w:r>
    </w:p>
    <w:p w14:paraId="40B87EE8" w14:textId="3629A1BF" w:rsidR="00554E2B" w:rsidRPr="004B3F62" w:rsidRDefault="002474FB" w:rsidP="00895004">
      <w:pPr>
        <w:pStyle w:val="Textparagrafu"/>
        <w:tabs>
          <w:tab w:val="left" w:pos="406"/>
          <w:tab w:val="left" w:pos="868"/>
        </w:tabs>
        <w:spacing w:before="0"/>
        <w:ind w:left="868" w:hanging="868"/>
      </w:pPr>
      <w:r>
        <w:tab/>
      </w:r>
      <w:r w:rsidR="00554E2B" w:rsidRPr="004B3F62">
        <w:t>7.</w:t>
      </w:r>
      <w:r>
        <w:tab/>
      </w:r>
      <w:r w:rsidR="00554E2B" w:rsidRPr="004B3F62">
        <w:t>nezajistí,</w:t>
      </w:r>
      <w:r w:rsidR="00554E2B">
        <w:t xml:space="preserve"> </w:t>
      </w:r>
      <w:r w:rsidR="00554E2B" w:rsidRPr="004B3F62">
        <w:t>aby</w:t>
      </w:r>
      <w:r w:rsidR="00554E2B">
        <w:t xml:space="preserve"> </w:t>
      </w:r>
      <w:r w:rsidR="00554E2B" w:rsidRPr="004B3F62">
        <w:t>jí</w:t>
      </w:r>
      <w:r w:rsidR="00554E2B">
        <w:t xml:space="preserve"> </w:t>
      </w:r>
      <w:r w:rsidR="00554E2B" w:rsidRPr="004B3F62">
        <w:t>provozované</w:t>
      </w:r>
      <w:r w:rsidR="00554E2B">
        <w:t xml:space="preserve"> </w:t>
      </w:r>
      <w:r w:rsidR="00554E2B" w:rsidRPr="004B3F62">
        <w:t>soupravy</w:t>
      </w:r>
      <w:r w:rsidR="00554E2B">
        <w:t xml:space="preserve"> </w:t>
      </w:r>
      <w:r w:rsidR="00554E2B" w:rsidRPr="004B3F62">
        <w:t>drážních</w:t>
      </w:r>
      <w:r w:rsidR="00554E2B">
        <w:t xml:space="preserve"> </w:t>
      </w:r>
      <w:r w:rsidR="00554E2B" w:rsidRPr="004B3F62">
        <w:t>vozidel</w:t>
      </w:r>
      <w:r w:rsidR="00554E2B">
        <w:t xml:space="preserve"> </w:t>
      </w:r>
      <w:r w:rsidR="00554E2B" w:rsidRPr="004B3F62">
        <w:t>byly</w:t>
      </w:r>
      <w:r w:rsidR="00554E2B">
        <w:t xml:space="preserve"> </w:t>
      </w:r>
      <w:r w:rsidR="00554E2B" w:rsidRPr="004B3F62">
        <w:t>vybaveny</w:t>
      </w:r>
      <w:r w:rsidR="00554E2B">
        <w:t xml:space="preserve"> </w:t>
      </w:r>
      <w:r w:rsidR="00554E2B" w:rsidRPr="004B3F62">
        <w:t>stanoveným</w:t>
      </w:r>
      <w:r w:rsidR="00554E2B">
        <w:t xml:space="preserve"> </w:t>
      </w:r>
      <w:r w:rsidR="00554E2B" w:rsidRPr="004B3F62">
        <w:t>počtem</w:t>
      </w:r>
      <w:r w:rsidR="00554E2B">
        <w:t xml:space="preserve"> </w:t>
      </w:r>
      <w:r w:rsidR="00554E2B" w:rsidRPr="004B3F62">
        <w:t>míst</w:t>
      </w:r>
      <w:r w:rsidR="00554E2B">
        <w:t xml:space="preserve"> </w:t>
      </w:r>
      <w:r w:rsidR="00554E2B" w:rsidRPr="004B3F62">
        <w:t>pro</w:t>
      </w:r>
      <w:r w:rsidR="00554E2B">
        <w:t xml:space="preserve"> </w:t>
      </w:r>
      <w:r w:rsidR="00554E2B" w:rsidRPr="004B3F62">
        <w:t>jízdní</w:t>
      </w:r>
      <w:r w:rsidR="00554E2B">
        <w:t xml:space="preserve"> </w:t>
      </w:r>
      <w:r w:rsidR="00554E2B" w:rsidRPr="004B3F62">
        <w:t>kola,</w:t>
      </w:r>
    </w:p>
    <w:p w14:paraId="00E95F8E" w14:textId="017D6441" w:rsidR="00554E2B" w:rsidRPr="004B3F62" w:rsidRDefault="002474FB" w:rsidP="00895004">
      <w:pPr>
        <w:pStyle w:val="Textparagrafu"/>
        <w:tabs>
          <w:tab w:val="left" w:pos="406"/>
          <w:tab w:val="left" w:pos="868"/>
        </w:tabs>
        <w:spacing w:before="0"/>
        <w:ind w:left="868" w:hanging="868"/>
      </w:pPr>
      <w:r>
        <w:tab/>
      </w:r>
      <w:r w:rsidR="00554E2B" w:rsidRPr="004B3F62">
        <w:t>8.</w:t>
      </w:r>
      <w:r>
        <w:tab/>
      </w:r>
      <w:r w:rsidR="00554E2B" w:rsidRPr="004B3F62">
        <w:t>nezveřejní</w:t>
      </w:r>
      <w:r w:rsidR="00554E2B">
        <w:t xml:space="preserve"> </w:t>
      </w:r>
      <w:r w:rsidR="00554E2B" w:rsidRPr="004B3F62">
        <w:t>včas</w:t>
      </w:r>
      <w:r w:rsidR="00554E2B">
        <w:t xml:space="preserve"> </w:t>
      </w:r>
      <w:r w:rsidR="00554E2B" w:rsidRPr="004B3F62">
        <w:t>nebo</w:t>
      </w:r>
      <w:r w:rsidR="00554E2B">
        <w:t xml:space="preserve"> </w:t>
      </w:r>
      <w:r w:rsidR="00554E2B" w:rsidRPr="004B3F62">
        <w:t>stanoveným</w:t>
      </w:r>
      <w:r w:rsidR="00554E2B">
        <w:t xml:space="preserve"> </w:t>
      </w:r>
      <w:r w:rsidR="00554E2B" w:rsidRPr="004B3F62">
        <w:t>způsobem</w:t>
      </w:r>
      <w:r w:rsidR="00554E2B">
        <w:t xml:space="preserve"> </w:t>
      </w:r>
      <w:r w:rsidR="00554E2B" w:rsidRPr="004B3F62">
        <w:t>informaci</w:t>
      </w:r>
      <w:r w:rsidR="00554E2B">
        <w:t xml:space="preserve"> </w:t>
      </w:r>
      <w:r w:rsidR="00554E2B" w:rsidRPr="004B3F62">
        <w:t>o</w:t>
      </w:r>
      <w:r w:rsidR="00554E2B">
        <w:t xml:space="preserve"> </w:t>
      </w:r>
      <w:r w:rsidR="00554E2B" w:rsidRPr="004B3F62">
        <w:t>zrušení</w:t>
      </w:r>
      <w:r w:rsidR="00554E2B">
        <w:t xml:space="preserve"> </w:t>
      </w:r>
      <w:r w:rsidR="00554E2B" w:rsidRPr="004B3F62">
        <w:t>vlaku</w:t>
      </w:r>
      <w:r w:rsidR="00554E2B">
        <w:t xml:space="preserve"> </w:t>
      </w:r>
      <w:r w:rsidR="00554E2B" w:rsidRPr="004B3F62">
        <w:t>zařazeného</w:t>
      </w:r>
      <w:r w:rsidR="00554E2B">
        <w:t xml:space="preserve"> </w:t>
      </w:r>
      <w:r w:rsidR="00554E2B" w:rsidRPr="004B3F62">
        <w:t>v</w:t>
      </w:r>
      <w:r w:rsidR="00554E2B">
        <w:t xml:space="preserve"> </w:t>
      </w:r>
      <w:r w:rsidR="00554E2B" w:rsidRPr="004B3F62">
        <w:t>jízdním</w:t>
      </w:r>
      <w:r w:rsidR="00554E2B">
        <w:t xml:space="preserve"> </w:t>
      </w:r>
      <w:r w:rsidR="00554E2B" w:rsidRPr="004B3F62">
        <w:t>řádu,</w:t>
      </w:r>
    </w:p>
    <w:p w14:paraId="140372D3" w14:textId="1FE624CF" w:rsidR="00554E2B" w:rsidRPr="004B3F62" w:rsidRDefault="002474FB" w:rsidP="00895004">
      <w:pPr>
        <w:pStyle w:val="Textparagrafu"/>
        <w:tabs>
          <w:tab w:val="left" w:pos="406"/>
          <w:tab w:val="left" w:pos="868"/>
        </w:tabs>
        <w:spacing w:before="0"/>
        <w:ind w:left="868" w:hanging="868"/>
      </w:pPr>
      <w:r>
        <w:tab/>
      </w:r>
      <w:r w:rsidR="00554E2B" w:rsidRPr="004B3F62">
        <w:t>9.</w:t>
      </w:r>
      <w:r>
        <w:tab/>
      </w:r>
      <w:r w:rsidR="00554E2B" w:rsidRPr="004B3F62">
        <w:t>nepřijme</w:t>
      </w:r>
      <w:r w:rsidR="00554E2B">
        <w:t xml:space="preserve"> </w:t>
      </w:r>
      <w:r w:rsidR="00554E2B" w:rsidRPr="004B3F62">
        <w:t>nezbytné</w:t>
      </w:r>
      <w:r w:rsidR="00554E2B">
        <w:t xml:space="preserve"> </w:t>
      </w:r>
      <w:r w:rsidR="00554E2B" w:rsidRPr="004B3F62">
        <w:t>opatření</w:t>
      </w:r>
      <w:r w:rsidR="00554E2B">
        <w:t xml:space="preserve"> </w:t>
      </w:r>
      <w:r w:rsidR="00554E2B" w:rsidRPr="004B3F62">
        <w:t>v</w:t>
      </w:r>
      <w:r w:rsidR="00554E2B">
        <w:t xml:space="preserve"> </w:t>
      </w:r>
      <w:r w:rsidR="00554E2B" w:rsidRPr="004B3F62">
        <w:t>případě</w:t>
      </w:r>
      <w:r w:rsidR="00554E2B">
        <w:t xml:space="preserve"> </w:t>
      </w:r>
      <w:r w:rsidR="00554E2B" w:rsidRPr="004B3F62">
        <w:t>očekávaného</w:t>
      </w:r>
      <w:r w:rsidR="00554E2B">
        <w:t xml:space="preserve"> </w:t>
      </w:r>
      <w:r w:rsidR="00554E2B" w:rsidRPr="004B3F62">
        <w:t>zpoždění</w:t>
      </w:r>
      <w:r w:rsidR="00554E2B">
        <w:t xml:space="preserve"> </w:t>
      </w:r>
      <w:r w:rsidR="00554E2B" w:rsidRPr="004B3F62">
        <w:t>spoje</w:t>
      </w:r>
      <w:r w:rsidR="00554E2B">
        <w:t xml:space="preserve"> </w:t>
      </w:r>
      <w:r w:rsidR="00554E2B" w:rsidRPr="004B3F62">
        <w:t>nebo</w:t>
      </w:r>
      <w:r w:rsidR="00554E2B">
        <w:t xml:space="preserve"> </w:t>
      </w:r>
      <w:r w:rsidR="00554E2B" w:rsidRPr="004B3F62">
        <w:t>v</w:t>
      </w:r>
      <w:r w:rsidR="00554E2B">
        <w:t xml:space="preserve"> </w:t>
      </w:r>
      <w:r w:rsidR="00554E2B" w:rsidRPr="004B3F62">
        <w:t>takovém</w:t>
      </w:r>
      <w:r w:rsidR="00554E2B">
        <w:t xml:space="preserve"> </w:t>
      </w:r>
      <w:r w:rsidR="00554E2B" w:rsidRPr="004B3F62">
        <w:t>případě</w:t>
      </w:r>
      <w:r w:rsidR="00554E2B">
        <w:t xml:space="preserve"> </w:t>
      </w:r>
      <w:r w:rsidR="00554E2B" w:rsidRPr="004B3F62">
        <w:t>nenahradí</w:t>
      </w:r>
      <w:r w:rsidR="00554E2B">
        <w:t xml:space="preserve"> </w:t>
      </w:r>
      <w:r w:rsidR="00554E2B" w:rsidRPr="004B3F62">
        <w:t>ve</w:t>
      </w:r>
      <w:r w:rsidR="00554E2B">
        <w:t xml:space="preserve"> </w:t>
      </w:r>
      <w:r w:rsidR="00554E2B" w:rsidRPr="004B3F62">
        <w:t>stanovené</w:t>
      </w:r>
      <w:r w:rsidR="00554E2B">
        <w:t xml:space="preserve"> </w:t>
      </w:r>
      <w:r w:rsidR="00554E2B" w:rsidRPr="004B3F62">
        <w:t>výši</w:t>
      </w:r>
      <w:r w:rsidR="00554E2B">
        <w:t xml:space="preserve"> </w:t>
      </w:r>
      <w:r w:rsidR="00554E2B" w:rsidRPr="004B3F62">
        <w:t>náklady</w:t>
      </w:r>
      <w:r w:rsidR="00554E2B">
        <w:t xml:space="preserve"> </w:t>
      </w:r>
      <w:r w:rsidR="00554E2B" w:rsidRPr="004B3F62">
        <w:t>cestujícího</w:t>
      </w:r>
      <w:r w:rsidR="00554E2B">
        <w:t xml:space="preserve"> </w:t>
      </w:r>
      <w:r w:rsidR="00554E2B" w:rsidRPr="004B3F62">
        <w:t>související</w:t>
      </w:r>
      <w:r w:rsidR="00554E2B">
        <w:t xml:space="preserve"> </w:t>
      </w:r>
      <w:r w:rsidR="00554E2B" w:rsidRPr="004B3F62">
        <w:t>s</w:t>
      </w:r>
      <w:r w:rsidR="00554E2B">
        <w:t xml:space="preserve"> </w:t>
      </w:r>
      <w:r w:rsidR="00554E2B" w:rsidRPr="004B3F62">
        <w:t>využitím</w:t>
      </w:r>
      <w:r w:rsidR="00554E2B">
        <w:t xml:space="preserve"> </w:t>
      </w:r>
      <w:r w:rsidR="00554E2B" w:rsidRPr="004B3F62">
        <w:t>jiného</w:t>
      </w:r>
      <w:r w:rsidR="00554E2B">
        <w:t xml:space="preserve"> </w:t>
      </w:r>
      <w:r w:rsidR="00554E2B" w:rsidRPr="004B3F62">
        <w:t>dopravce,</w:t>
      </w:r>
    </w:p>
    <w:p w14:paraId="6358D0E2" w14:textId="49E0A086" w:rsidR="00554E2B" w:rsidRPr="004B3F62" w:rsidRDefault="002474FB" w:rsidP="00895004">
      <w:pPr>
        <w:pStyle w:val="Textparagrafu"/>
        <w:tabs>
          <w:tab w:val="left" w:pos="406"/>
          <w:tab w:val="left" w:pos="868"/>
        </w:tabs>
        <w:spacing w:before="0"/>
        <w:ind w:left="868" w:hanging="868"/>
      </w:pPr>
      <w:r>
        <w:tab/>
      </w:r>
      <w:r w:rsidR="00554E2B" w:rsidRPr="004B3F62">
        <w:t>10.</w:t>
      </w:r>
      <w:r>
        <w:tab/>
      </w:r>
      <w:r w:rsidR="00554E2B" w:rsidRPr="004B3F62">
        <w:t>zajišťující</w:t>
      </w:r>
      <w:r w:rsidR="00554E2B">
        <w:t xml:space="preserve"> </w:t>
      </w:r>
      <w:r w:rsidR="00554E2B" w:rsidRPr="004B3F62">
        <w:t>přesměrování</w:t>
      </w:r>
      <w:r w:rsidR="00554E2B">
        <w:t xml:space="preserve"> </w:t>
      </w:r>
      <w:r w:rsidR="00554E2B" w:rsidRPr="004B3F62">
        <w:t>v</w:t>
      </w:r>
      <w:r w:rsidR="00554E2B">
        <w:t xml:space="preserve"> </w:t>
      </w:r>
      <w:r w:rsidR="00554E2B" w:rsidRPr="004B3F62">
        <w:t>případě</w:t>
      </w:r>
      <w:r w:rsidR="00554E2B">
        <w:t xml:space="preserve"> </w:t>
      </w:r>
      <w:r w:rsidR="00554E2B" w:rsidRPr="004B3F62">
        <w:t>očekávaného</w:t>
      </w:r>
      <w:r w:rsidR="00554E2B">
        <w:t xml:space="preserve"> </w:t>
      </w:r>
      <w:r w:rsidR="00554E2B" w:rsidRPr="004B3F62">
        <w:t>zpoždění</w:t>
      </w:r>
      <w:r w:rsidR="00554E2B">
        <w:t xml:space="preserve"> </w:t>
      </w:r>
      <w:r w:rsidR="00554E2B" w:rsidRPr="004B3F62">
        <w:t>spoje</w:t>
      </w:r>
      <w:r w:rsidR="00554E2B">
        <w:t xml:space="preserve"> </w:t>
      </w:r>
      <w:r w:rsidR="00554E2B" w:rsidRPr="004B3F62">
        <w:t>neposkytne</w:t>
      </w:r>
      <w:r w:rsidR="00554E2B">
        <w:t xml:space="preserve"> </w:t>
      </w:r>
      <w:r w:rsidR="00554E2B" w:rsidRPr="004B3F62">
        <w:t>osobě</w:t>
      </w:r>
      <w:r w:rsidR="00554E2B">
        <w:t xml:space="preserve"> </w:t>
      </w:r>
      <w:r w:rsidR="00554E2B" w:rsidRPr="004B3F62">
        <w:t>se</w:t>
      </w:r>
      <w:r w:rsidR="00554E2B">
        <w:t xml:space="preserve"> </w:t>
      </w:r>
      <w:r w:rsidR="00554E2B" w:rsidRPr="004B3F62">
        <w:t>zdravotním</w:t>
      </w:r>
      <w:r w:rsidR="00554E2B">
        <w:t xml:space="preserve"> </w:t>
      </w:r>
      <w:r w:rsidR="00554E2B" w:rsidRPr="004B3F62">
        <w:t>postižením</w:t>
      </w:r>
      <w:r w:rsidR="00554E2B">
        <w:t xml:space="preserve"> </w:t>
      </w:r>
      <w:r w:rsidR="00554E2B" w:rsidRPr="004B3F62">
        <w:t>nebo</w:t>
      </w:r>
      <w:r w:rsidR="00554E2B">
        <w:t xml:space="preserve"> </w:t>
      </w:r>
      <w:r w:rsidR="00554E2B" w:rsidRPr="004B3F62">
        <w:t>s</w:t>
      </w:r>
      <w:r w:rsidR="00554E2B">
        <w:t xml:space="preserve"> </w:t>
      </w:r>
      <w:r w:rsidR="00554E2B" w:rsidRPr="004B3F62">
        <w:t>omezenou</w:t>
      </w:r>
      <w:r w:rsidR="00554E2B">
        <w:t xml:space="preserve"> </w:t>
      </w:r>
      <w:r w:rsidR="00554E2B" w:rsidRPr="004B3F62">
        <w:t>schopností</w:t>
      </w:r>
      <w:r w:rsidR="00554E2B">
        <w:t xml:space="preserve"> </w:t>
      </w:r>
      <w:r w:rsidR="00554E2B" w:rsidRPr="004B3F62">
        <w:t>pohybu</w:t>
      </w:r>
      <w:r w:rsidR="00554E2B">
        <w:t xml:space="preserve"> </w:t>
      </w:r>
      <w:r w:rsidR="00554E2B" w:rsidRPr="004B3F62">
        <w:t>a</w:t>
      </w:r>
      <w:r w:rsidR="00554E2B">
        <w:t xml:space="preserve"> </w:t>
      </w:r>
      <w:r w:rsidR="00554E2B" w:rsidRPr="004B3F62">
        <w:t>orientace</w:t>
      </w:r>
      <w:r w:rsidR="00554E2B">
        <w:t xml:space="preserve"> </w:t>
      </w:r>
      <w:r w:rsidR="00554E2B" w:rsidRPr="004B3F62">
        <w:t>pomoc</w:t>
      </w:r>
      <w:r w:rsidR="00554E2B">
        <w:t xml:space="preserve"> </w:t>
      </w:r>
      <w:r w:rsidR="00554E2B" w:rsidRPr="004B3F62">
        <w:t>nebo</w:t>
      </w:r>
      <w:r w:rsidR="00554E2B">
        <w:t xml:space="preserve"> </w:t>
      </w:r>
      <w:r w:rsidR="00554E2B" w:rsidRPr="004B3F62">
        <w:t>přístupnost</w:t>
      </w:r>
      <w:r w:rsidR="00554E2B">
        <w:t xml:space="preserve"> </w:t>
      </w:r>
      <w:r w:rsidR="00554E2B" w:rsidRPr="004B3F62">
        <w:t>srovnatelné</w:t>
      </w:r>
      <w:r w:rsidR="00554E2B">
        <w:t xml:space="preserve"> </w:t>
      </w:r>
      <w:r w:rsidR="00554E2B" w:rsidRPr="004B3F62">
        <w:t>s</w:t>
      </w:r>
      <w:r w:rsidR="00554E2B">
        <w:t xml:space="preserve"> </w:t>
      </w:r>
      <w:r w:rsidR="00554E2B" w:rsidRPr="004B3F62">
        <w:t>podmínkami</w:t>
      </w:r>
      <w:r w:rsidR="00554E2B">
        <w:t xml:space="preserve"> </w:t>
      </w:r>
      <w:r w:rsidR="00554E2B" w:rsidRPr="004B3F62">
        <w:t>původní</w:t>
      </w:r>
      <w:r w:rsidR="00554E2B">
        <w:t xml:space="preserve"> </w:t>
      </w:r>
      <w:r w:rsidR="00554E2B" w:rsidRPr="004B3F62">
        <w:t>přepravní</w:t>
      </w:r>
      <w:r w:rsidR="00554E2B">
        <w:t xml:space="preserve"> </w:t>
      </w:r>
      <w:r w:rsidR="00554E2B" w:rsidRPr="004B3F62">
        <w:t>smlouvy,</w:t>
      </w:r>
    </w:p>
    <w:p w14:paraId="61525756" w14:textId="13305BBD" w:rsidR="00554E2B" w:rsidRPr="004B3F62" w:rsidRDefault="002474FB" w:rsidP="00895004">
      <w:pPr>
        <w:pStyle w:val="Textparagrafu"/>
        <w:tabs>
          <w:tab w:val="left" w:pos="406"/>
          <w:tab w:val="left" w:pos="868"/>
        </w:tabs>
        <w:spacing w:before="0"/>
        <w:ind w:left="868" w:hanging="868"/>
      </w:pPr>
      <w:r>
        <w:tab/>
      </w:r>
      <w:r w:rsidR="00554E2B" w:rsidRPr="004B3F62">
        <w:t>11.</w:t>
      </w:r>
      <w:r>
        <w:tab/>
      </w:r>
      <w:r w:rsidR="00554E2B" w:rsidRPr="004B3F62">
        <w:t>neposkytne</w:t>
      </w:r>
      <w:r w:rsidR="00554E2B">
        <w:t xml:space="preserve"> </w:t>
      </w:r>
      <w:r w:rsidR="00554E2B" w:rsidRPr="004B3F62">
        <w:t>v</w:t>
      </w:r>
      <w:r w:rsidR="00554E2B">
        <w:t xml:space="preserve"> </w:t>
      </w:r>
      <w:r w:rsidR="00554E2B" w:rsidRPr="004B3F62">
        <w:t>případě</w:t>
      </w:r>
      <w:r w:rsidR="00554E2B">
        <w:t xml:space="preserve"> </w:t>
      </w:r>
      <w:r w:rsidR="00554E2B" w:rsidRPr="004B3F62">
        <w:t>zpoždění</w:t>
      </w:r>
      <w:r w:rsidR="00554E2B">
        <w:t xml:space="preserve"> </w:t>
      </w:r>
      <w:r w:rsidR="00554E2B" w:rsidRPr="004B3F62">
        <w:t>spoje</w:t>
      </w:r>
      <w:r w:rsidR="00554E2B">
        <w:t xml:space="preserve"> </w:t>
      </w:r>
      <w:r w:rsidR="00554E2B" w:rsidRPr="004B3F62">
        <w:t>cestujícímu</w:t>
      </w:r>
      <w:r w:rsidR="00554E2B">
        <w:t xml:space="preserve"> </w:t>
      </w:r>
      <w:r w:rsidR="00554E2B" w:rsidRPr="004B3F62">
        <w:t>včas,</w:t>
      </w:r>
      <w:r w:rsidR="00554E2B">
        <w:t xml:space="preserve"> </w:t>
      </w:r>
      <w:r w:rsidR="00554E2B" w:rsidRPr="004B3F62">
        <w:t>ve</w:t>
      </w:r>
      <w:r w:rsidR="00554E2B">
        <w:t xml:space="preserve"> </w:t>
      </w:r>
      <w:r w:rsidR="00554E2B" w:rsidRPr="004B3F62">
        <w:t>stanovené</w:t>
      </w:r>
      <w:r w:rsidR="00554E2B">
        <w:t xml:space="preserve"> </w:t>
      </w:r>
      <w:r w:rsidR="00554E2B" w:rsidRPr="004B3F62">
        <w:t>výši</w:t>
      </w:r>
      <w:r w:rsidR="00554E2B">
        <w:t xml:space="preserve"> </w:t>
      </w:r>
      <w:r w:rsidR="00554E2B" w:rsidRPr="004B3F62">
        <w:t>nebo</w:t>
      </w:r>
      <w:r w:rsidR="00554E2B">
        <w:t xml:space="preserve"> </w:t>
      </w:r>
      <w:r w:rsidR="00554E2B" w:rsidRPr="004B3F62">
        <w:t>stanoveným</w:t>
      </w:r>
      <w:r w:rsidR="00554E2B">
        <w:t xml:space="preserve"> </w:t>
      </w:r>
      <w:r w:rsidR="00554E2B" w:rsidRPr="004B3F62">
        <w:t>způsobem</w:t>
      </w:r>
      <w:r w:rsidR="00554E2B">
        <w:t xml:space="preserve"> </w:t>
      </w:r>
      <w:r w:rsidR="00554E2B" w:rsidRPr="004B3F62">
        <w:t>odškodnění</w:t>
      </w:r>
      <w:r w:rsidR="00554E2B">
        <w:t xml:space="preserve"> </w:t>
      </w:r>
      <w:r w:rsidR="00554E2B" w:rsidRPr="004B3F62">
        <w:t>nebo</w:t>
      </w:r>
      <w:r w:rsidR="00554E2B">
        <w:t xml:space="preserve"> </w:t>
      </w:r>
      <w:r w:rsidR="00554E2B" w:rsidRPr="004B3F62">
        <w:t>mu</w:t>
      </w:r>
      <w:r w:rsidR="00554E2B">
        <w:t xml:space="preserve"> </w:t>
      </w:r>
      <w:r w:rsidR="00554E2B" w:rsidRPr="004B3F62">
        <w:t>neposkytne</w:t>
      </w:r>
      <w:r w:rsidR="00554E2B">
        <w:t xml:space="preserve"> </w:t>
      </w:r>
      <w:r w:rsidR="00554E2B" w:rsidRPr="004B3F62">
        <w:t>pomoc</w:t>
      </w:r>
      <w:r w:rsidR="00554E2B">
        <w:t xml:space="preserve"> </w:t>
      </w:r>
      <w:r w:rsidR="00554E2B" w:rsidRPr="004B3F62">
        <w:t>při</w:t>
      </w:r>
      <w:r w:rsidR="00554E2B">
        <w:t xml:space="preserve"> </w:t>
      </w:r>
      <w:r w:rsidR="00554E2B" w:rsidRPr="004B3F62">
        <w:t>uplatňování</w:t>
      </w:r>
      <w:r w:rsidR="00554E2B">
        <w:t xml:space="preserve"> </w:t>
      </w:r>
      <w:r w:rsidR="00554E2B" w:rsidRPr="004B3F62">
        <w:t>nároku</w:t>
      </w:r>
      <w:r w:rsidR="00554E2B">
        <w:t xml:space="preserve"> </w:t>
      </w:r>
      <w:r w:rsidR="00554E2B" w:rsidRPr="004B3F62">
        <w:t>na</w:t>
      </w:r>
      <w:r w:rsidR="00554E2B">
        <w:t xml:space="preserve"> </w:t>
      </w:r>
      <w:r w:rsidR="00554E2B" w:rsidRPr="004B3F62">
        <w:t>toto</w:t>
      </w:r>
      <w:r w:rsidR="00554E2B">
        <w:t xml:space="preserve"> </w:t>
      </w:r>
      <w:r w:rsidR="00554E2B" w:rsidRPr="004B3F62">
        <w:t>odškodnění,</w:t>
      </w:r>
    </w:p>
    <w:p w14:paraId="2EED6FAF" w14:textId="3A0F055C" w:rsidR="00554E2B" w:rsidRPr="004B3F62" w:rsidRDefault="002474FB" w:rsidP="00895004">
      <w:pPr>
        <w:pStyle w:val="Textparagrafu"/>
        <w:tabs>
          <w:tab w:val="left" w:pos="406"/>
          <w:tab w:val="left" w:pos="868"/>
        </w:tabs>
        <w:spacing w:before="0"/>
        <w:ind w:left="868" w:hanging="868"/>
      </w:pPr>
      <w:r>
        <w:tab/>
      </w:r>
      <w:r w:rsidR="00554E2B" w:rsidRPr="004B3F62">
        <w:t>12.</w:t>
      </w:r>
      <w:r>
        <w:tab/>
      </w:r>
      <w:r w:rsidR="00554E2B" w:rsidRPr="004B3F62">
        <w:t>nezavede</w:t>
      </w:r>
      <w:r w:rsidR="00554E2B">
        <w:t xml:space="preserve"> </w:t>
      </w:r>
      <w:r w:rsidR="00554E2B" w:rsidRPr="004B3F62">
        <w:t>pro</w:t>
      </w:r>
      <w:r w:rsidR="00554E2B">
        <w:t xml:space="preserve"> </w:t>
      </w:r>
      <w:r w:rsidR="00554E2B" w:rsidRPr="004B3F62">
        <w:t>případ</w:t>
      </w:r>
      <w:r w:rsidR="00554E2B">
        <w:t xml:space="preserve"> </w:t>
      </w:r>
      <w:r w:rsidR="00554E2B" w:rsidRPr="004B3F62">
        <w:t>zpoždění</w:t>
      </w:r>
      <w:r w:rsidR="00554E2B">
        <w:t xml:space="preserve"> </w:t>
      </w:r>
      <w:r w:rsidR="00554E2B" w:rsidRPr="004B3F62">
        <w:t>nebo</w:t>
      </w:r>
      <w:r w:rsidR="00554E2B">
        <w:t xml:space="preserve"> </w:t>
      </w:r>
      <w:r w:rsidR="00554E2B" w:rsidRPr="004B3F62">
        <w:t>odřeknutí</w:t>
      </w:r>
      <w:r w:rsidR="00554E2B">
        <w:t xml:space="preserve"> </w:t>
      </w:r>
      <w:r w:rsidR="00554E2B" w:rsidRPr="004B3F62">
        <w:t>spoje</w:t>
      </w:r>
      <w:r w:rsidR="00554E2B">
        <w:t xml:space="preserve"> </w:t>
      </w:r>
      <w:r w:rsidR="00554E2B" w:rsidRPr="004B3F62">
        <w:t>pravidla</w:t>
      </w:r>
      <w:r w:rsidR="00554E2B">
        <w:t xml:space="preserve"> </w:t>
      </w:r>
      <w:r w:rsidR="00554E2B" w:rsidRPr="004B3F62">
        <w:t>pro</w:t>
      </w:r>
      <w:r w:rsidR="00554E2B">
        <w:t xml:space="preserve"> </w:t>
      </w:r>
      <w:r w:rsidR="00554E2B" w:rsidRPr="004B3F62">
        <w:t>určení</w:t>
      </w:r>
      <w:r w:rsidR="00554E2B">
        <w:t xml:space="preserve"> </w:t>
      </w:r>
      <w:r w:rsidR="00554E2B" w:rsidRPr="004B3F62">
        <w:t>zpoždění</w:t>
      </w:r>
      <w:r w:rsidR="00554E2B">
        <w:t xml:space="preserve"> </w:t>
      </w:r>
      <w:r w:rsidR="00554E2B" w:rsidRPr="004B3F62">
        <w:t>a</w:t>
      </w:r>
      <w:r w:rsidR="00554E2B">
        <w:t xml:space="preserve"> </w:t>
      </w:r>
      <w:r w:rsidR="00554E2B" w:rsidRPr="004B3F62">
        <w:t>výpočet</w:t>
      </w:r>
      <w:r w:rsidR="00554E2B">
        <w:t xml:space="preserve"> </w:t>
      </w:r>
      <w:r w:rsidR="00554E2B" w:rsidRPr="004B3F62">
        <w:t>výše</w:t>
      </w:r>
      <w:r w:rsidR="00554E2B">
        <w:t xml:space="preserve"> </w:t>
      </w:r>
      <w:r w:rsidR="00554E2B" w:rsidRPr="004B3F62">
        <w:t>odškodnění</w:t>
      </w:r>
      <w:r w:rsidR="00554E2B">
        <w:t xml:space="preserve"> </w:t>
      </w:r>
      <w:r w:rsidR="00554E2B" w:rsidRPr="004B3F62">
        <w:t>cestujícím,</w:t>
      </w:r>
      <w:r w:rsidR="00554E2B">
        <w:t xml:space="preserve"> </w:t>
      </w:r>
      <w:r w:rsidR="00554E2B" w:rsidRPr="004B3F62">
        <w:t>kteří</w:t>
      </w:r>
      <w:r w:rsidR="00554E2B">
        <w:t xml:space="preserve"> </w:t>
      </w:r>
      <w:r w:rsidR="00554E2B" w:rsidRPr="004B3F62">
        <w:t>jsou</w:t>
      </w:r>
      <w:r w:rsidR="00554E2B">
        <w:t xml:space="preserve"> </w:t>
      </w:r>
      <w:r w:rsidR="00554E2B" w:rsidRPr="004B3F62">
        <w:t>držitelem</w:t>
      </w:r>
      <w:r w:rsidR="00554E2B">
        <w:t xml:space="preserve"> </w:t>
      </w:r>
      <w:r w:rsidR="00554E2B" w:rsidRPr="004B3F62">
        <w:t>časové</w:t>
      </w:r>
      <w:r w:rsidR="00554E2B">
        <w:t xml:space="preserve"> </w:t>
      </w:r>
      <w:r w:rsidR="00554E2B" w:rsidRPr="004B3F62">
        <w:t>jízdenky,</w:t>
      </w:r>
    </w:p>
    <w:p w14:paraId="65E26690" w14:textId="4F6F2024" w:rsidR="00554E2B" w:rsidRPr="004B3F62" w:rsidRDefault="002474FB" w:rsidP="00895004">
      <w:pPr>
        <w:pStyle w:val="Textparagrafu"/>
        <w:tabs>
          <w:tab w:val="left" w:pos="406"/>
          <w:tab w:val="left" w:pos="868"/>
        </w:tabs>
        <w:spacing w:before="0"/>
        <w:ind w:left="868" w:hanging="868"/>
      </w:pPr>
      <w:r>
        <w:tab/>
      </w:r>
      <w:r w:rsidR="00554E2B" w:rsidRPr="004B3F62">
        <w:t>13.</w:t>
      </w:r>
      <w:r>
        <w:tab/>
      </w:r>
      <w:r w:rsidR="00554E2B" w:rsidRPr="004B3F62">
        <w:t>nenabídne</w:t>
      </w:r>
      <w:r w:rsidR="00554E2B">
        <w:t xml:space="preserve"> </w:t>
      </w:r>
      <w:r w:rsidR="00554E2B" w:rsidRPr="004B3F62">
        <w:t>v</w:t>
      </w:r>
      <w:r w:rsidR="00554E2B">
        <w:t xml:space="preserve"> </w:t>
      </w:r>
      <w:r w:rsidR="00554E2B" w:rsidRPr="004B3F62">
        <w:t>případě</w:t>
      </w:r>
      <w:r w:rsidR="00554E2B">
        <w:t xml:space="preserve"> </w:t>
      </w:r>
      <w:r w:rsidR="00554E2B" w:rsidRPr="004B3F62">
        <w:t>zpoždění</w:t>
      </w:r>
      <w:r w:rsidR="00554E2B">
        <w:t xml:space="preserve"> </w:t>
      </w:r>
      <w:r w:rsidR="00554E2B" w:rsidRPr="004B3F62">
        <w:t>nebo</w:t>
      </w:r>
      <w:r w:rsidR="00554E2B">
        <w:t xml:space="preserve"> </w:t>
      </w:r>
      <w:r w:rsidR="00554E2B" w:rsidRPr="004B3F62">
        <w:t>odřeknutí</w:t>
      </w:r>
      <w:r w:rsidR="00554E2B">
        <w:t xml:space="preserve"> </w:t>
      </w:r>
      <w:r w:rsidR="00554E2B" w:rsidRPr="004B3F62">
        <w:t>spoje</w:t>
      </w:r>
      <w:r w:rsidR="00554E2B">
        <w:t xml:space="preserve"> </w:t>
      </w:r>
      <w:r w:rsidR="00554E2B" w:rsidRPr="004B3F62">
        <w:t>cestujícímu</w:t>
      </w:r>
      <w:r w:rsidR="00554E2B">
        <w:t xml:space="preserve"> </w:t>
      </w:r>
      <w:r w:rsidR="00554E2B" w:rsidRPr="004B3F62">
        <w:t>zdarma</w:t>
      </w:r>
      <w:r w:rsidR="00554E2B">
        <w:t xml:space="preserve"> </w:t>
      </w:r>
      <w:r w:rsidR="00554E2B" w:rsidRPr="004B3F62">
        <w:t>občerstvení,</w:t>
      </w:r>
      <w:r w:rsidR="00554E2B">
        <w:t xml:space="preserve"> </w:t>
      </w:r>
      <w:r w:rsidR="00554E2B" w:rsidRPr="004B3F62">
        <w:t>ubytování</w:t>
      </w:r>
      <w:r w:rsidR="00554E2B">
        <w:t xml:space="preserve"> </w:t>
      </w:r>
      <w:r w:rsidR="00554E2B" w:rsidRPr="004B3F62">
        <w:t>nebo</w:t>
      </w:r>
      <w:r w:rsidR="00554E2B">
        <w:t xml:space="preserve"> </w:t>
      </w:r>
      <w:r w:rsidR="00554E2B" w:rsidRPr="004B3F62">
        <w:t>přepravu</w:t>
      </w:r>
      <w:r w:rsidR="00554E2B">
        <w:t xml:space="preserve"> </w:t>
      </w:r>
      <w:r w:rsidR="00554E2B" w:rsidRPr="004B3F62">
        <w:t>ve</w:t>
      </w:r>
      <w:r w:rsidR="00554E2B">
        <w:t xml:space="preserve"> </w:t>
      </w:r>
      <w:r w:rsidR="00554E2B" w:rsidRPr="004B3F62">
        <w:t>stanoveném</w:t>
      </w:r>
      <w:r w:rsidR="00554E2B">
        <w:t xml:space="preserve"> </w:t>
      </w:r>
      <w:r w:rsidR="00554E2B" w:rsidRPr="004B3F62">
        <w:t>rozsahu</w:t>
      </w:r>
      <w:r w:rsidR="00554E2B">
        <w:t xml:space="preserve"> </w:t>
      </w:r>
      <w:r w:rsidR="00554E2B" w:rsidRPr="004B3F62">
        <w:t>nebo</w:t>
      </w:r>
      <w:r w:rsidR="00554E2B">
        <w:t xml:space="preserve"> </w:t>
      </w:r>
      <w:r w:rsidR="00554E2B" w:rsidRPr="004B3F62">
        <w:t>stanoveným</w:t>
      </w:r>
      <w:r w:rsidR="00554E2B">
        <w:t xml:space="preserve"> </w:t>
      </w:r>
      <w:r w:rsidR="00554E2B" w:rsidRPr="004B3F62">
        <w:t>způsobem,</w:t>
      </w:r>
    </w:p>
    <w:p w14:paraId="398581EC" w14:textId="6F746893" w:rsidR="00554E2B" w:rsidRPr="004B3F62" w:rsidRDefault="002474FB" w:rsidP="002474FB">
      <w:pPr>
        <w:pStyle w:val="Textparagrafu"/>
        <w:tabs>
          <w:tab w:val="left" w:pos="406"/>
          <w:tab w:val="left" w:pos="868"/>
        </w:tabs>
        <w:spacing w:before="0"/>
        <w:ind w:firstLine="0"/>
      </w:pPr>
      <w:r>
        <w:tab/>
      </w:r>
      <w:r w:rsidR="00554E2B" w:rsidRPr="004B3F62">
        <w:t>14.</w:t>
      </w:r>
      <w:r>
        <w:tab/>
      </w:r>
      <w:r w:rsidR="00554E2B" w:rsidRPr="004B3F62">
        <w:t>nepotvrdí</w:t>
      </w:r>
      <w:r w:rsidR="00554E2B">
        <w:t xml:space="preserve"> </w:t>
      </w:r>
      <w:r w:rsidR="00554E2B" w:rsidRPr="004B3F62">
        <w:t>zmeškání</w:t>
      </w:r>
      <w:r w:rsidR="00554E2B">
        <w:t xml:space="preserve"> </w:t>
      </w:r>
      <w:r w:rsidR="00554E2B" w:rsidRPr="004B3F62">
        <w:t>přípoje</w:t>
      </w:r>
      <w:r w:rsidR="00554E2B">
        <w:t xml:space="preserve"> </w:t>
      </w:r>
      <w:r w:rsidR="00554E2B" w:rsidRPr="004B3F62">
        <w:t>nebo</w:t>
      </w:r>
      <w:r w:rsidR="00554E2B">
        <w:t xml:space="preserve"> </w:t>
      </w:r>
      <w:r w:rsidR="00554E2B" w:rsidRPr="004B3F62">
        <w:t>odřeknutí</w:t>
      </w:r>
      <w:r w:rsidR="00554E2B">
        <w:t xml:space="preserve"> </w:t>
      </w:r>
      <w:r w:rsidR="00554E2B" w:rsidRPr="004B3F62">
        <w:t>spoje,</w:t>
      </w:r>
    </w:p>
    <w:p w14:paraId="51D60BE2" w14:textId="32E1D868" w:rsidR="00554E2B" w:rsidRPr="004B3F62" w:rsidRDefault="002474FB" w:rsidP="00895004">
      <w:pPr>
        <w:pStyle w:val="Textparagrafu"/>
        <w:tabs>
          <w:tab w:val="left" w:pos="406"/>
          <w:tab w:val="left" w:pos="868"/>
        </w:tabs>
        <w:spacing w:before="0"/>
        <w:ind w:left="868" w:hanging="868"/>
      </w:pPr>
      <w:r>
        <w:tab/>
      </w:r>
      <w:r w:rsidR="00554E2B" w:rsidRPr="004B3F62">
        <w:t>15.</w:t>
      </w:r>
      <w:r>
        <w:tab/>
      </w:r>
      <w:r w:rsidR="00554E2B" w:rsidRPr="004B3F62">
        <w:t>nezajistí</w:t>
      </w:r>
      <w:r w:rsidR="00554E2B">
        <w:t xml:space="preserve"> </w:t>
      </w:r>
      <w:r w:rsidR="00554E2B" w:rsidRPr="004B3F62">
        <w:t>cestujícímu</w:t>
      </w:r>
      <w:r w:rsidR="00554E2B">
        <w:t xml:space="preserve"> </w:t>
      </w:r>
      <w:r w:rsidR="00554E2B" w:rsidRPr="004B3F62">
        <w:t>v</w:t>
      </w:r>
      <w:r w:rsidR="00554E2B">
        <w:t xml:space="preserve"> </w:t>
      </w:r>
      <w:r w:rsidR="00554E2B" w:rsidRPr="004B3F62">
        <w:t>případě</w:t>
      </w:r>
      <w:r w:rsidR="00554E2B">
        <w:t xml:space="preserve"> </w:t>
      </w:r>
      <w:r w:rsidR="00554E2B" w:rsidRPr="004B3F62">
        <w:t>přerušení</w:t>
      </w:r>
      <w:r w:rsidR="00554E2B">
        <w:t xml:space="preserve"> </w:t>
      </w:r>
      <w:r w:rsidR="00554E2B" w:rsidRPr="004B3F62">
        <w:t>dopravy</w:t>
      </w:r>
      <w:r w:rsidR="00554E2B">
        <w:t xml:space="preserve"> </w:t>
      </w:r>
      <w:r w:rsidR="00554E2B" w:rsidRPr="004B3F62">
        <w:t>náhradní</w:t>
      </w:r>
      <w:r w:rsidR="00554E2B">
        <w:t xml:space="preserve"> </w:t>
      </w:r>
      <w:r w:rsidR="00554E2B" w:rsidRPr="004B3F62">
        <w:t>dopravu</w:t>
      </w:r>
      <w:r w:rsidR="00554E2B">
        <w:t xml:space="preserve"> </w:t>
      </w:r>
      <w:r w:rsidR="00554E2B" w:rsidRPr="004B3F62">
        <w:t>nebo</w:t>
      </w:r>
      <w:r w:rsidR="00554E2B">
        <w:t xml:space="preserve"> </w:t>
      </w:r>
      <w:r w:rsidR="00554E2B" w:rsidRPr="004B3F62">
        <w:t>nepřijme</w:t>
      </w:r>
      <w:r w:rsidR="00554E2B">
        <w:t xml:space="preserve"> </w:t>
      </w:r>
      <w:r w:rsidR="00554E2B" w:rsidRPr="004B3F62">
        <w:t>v</w:t>
      </w:r>
      <w:r w:rsidR="00554E2B">
        <w:t xml:space="preserve"> </w:t>
      </w:r>
      <w:r w:rsidR="00554E2B" w:rsidRPr="004B3F62">
        <w:t>takovém</w:t>
      </w:r>
      <w:r w:rsidR="00554E2B">
        <w:t xml:space="preserve"> </w:t>
      </w:r>
      <w:r w:rsidR="00554E2B" w:rsidRPr="004B3F62">
        <w:t>případě</w:t>
      </w:r>
      <w:r w:rsidR="00554E2B">
        <w:t xml:space="preserve"> </w:t>
      </w:r>
      <w:r w:rsidR="00554E2B" w:rsidRPr="004B3F62">
        <w:t>nezbytné</w:t>
      </w:r>
      <w:r w:rsidR="00554E2B">
        <w:t xml:space="preserve"> </w:t>
      </w:r>
      <w:r w:rsidR="00554E2B" w:rsidRPr="004B3F62">
        <w:t>opatření,</w:t>
      </w:r>
    </w:p>
    <w:p w14:paraId="1B92AC14" w14:textId="004863C8" w:rsidR="00554E2B" w:rsidRPr="004B3F62" w:rsidRDefault="002474FB" w:rsidP="00895004">
      <w:pPr>
        <w:pStyle w:val="Textparagrafu"/>
        <w:tabs>
          <w:tab w:val="left" w:pos="406"/>
          <w:tab w:val="left" w:pos="868"/>
        </w:tabs>
        <w:spacing w:before="0"/>
        <w:ind w:left="868" w:hanging="868"/>
      </w:pPr>
      <w:r>
        <w:tab/>
      </w:r>
      <w:r w:rsidR="00554E2B" w:rsidRPr="004B3F62">
        <w:t>16.</w:t>
      </w:r>
      <w:r>
        <w:tab/>
      </w:r>
      <w:r w:rsidR="00554E2B" w:rsidRPr="004B3F62">
        <w:t>neposkytne</w:t>
      </w:r>
      <w:r w:rsidR="00554E2B">
        <w:t xml:space="preserve"> </w:t>
      </w:r>
      <w:r w:rsidR="00554E2B" w:rsidRPr="004B3F62">
        <w:t>včas</w:t>
      </w:r>
      <w:r w:rsidR="00554E2B">
        <w:t xml:space="preserve"> </w:t>
      </w:r>
      <w:r w:rsidR="00554E2B" w:rsidRPr="004B3F62">
        <w:t>nebo</w:t>
      </w:r>
      <w:r w:rsidR="00554E2B">
        <w:t xml:space="preserve"> </w:t>
      </w:r>
      <w:r w:rsidR="00554E2B" w:rsidRPr="004B3F62">
        <w:t>ve</w:t>
      </w:r>
      <w:r w:rsidR="00554E2B">
        <w:t xml:space="preserve"> </w:t>
      </w:r>
      <w:r w:rsidR="00554E2B" w:rsidRPr="004B3F62">
        <w:t>stanovené</w:t>
      </w:r>
      <w:r w:rsidR="00554E2B">
        <w:t xml:space="preserve"> </w:t>
      </w:r>
      <w:r w:rsidR="00554E2B" w:rsidRPr="004B3F62">
        <w:t>minimální</w:t>
      </w:r>
      <w:r w:rsidR="00554E2B">
        <w:t xml:space="preserve"> </w:t>
      </w:r>
      <w:r w:rsidR="00554E2B" w:rsidRPr="004B3F62">
        <w:t>výši</w:t>
      </w:r>
      <w:r w:rsidR="00554E2B">
        <w:t xml:space="preserve"> </w:t>
      </w:r>
      <w:r w:rsidR="00554E2B" w:rsidRPr="004B3F62">
        <w:t>zálohu</w:t>
      </w:r>
      <w:r w:rsidR="00554E2B">
        <w:t xml:space="preserve"> </w:t>
      </w:r>
      <w:r w:rsidR="00554E2B" w:rsidRPr="004B3F62">
        <w:t>na</w:t>
      </w:r>
      <w:r w:rsidR="00554E2B">
        <w:t xml:space="preserve"> </w:t>
      </w:r>
      <w:r w:rsidR="00554E2B" w:rsidRPr="004B3F62">
        <w:t>odškodnění</w:t>
      </w:r>
      <w:r w:rsidR="00554E2B">
        <w:t xml:space="preserve"> </w:t>
      </w:r>
      <w:r w:rsidR="00554E2B" w:rsidRPr="004B3F62">
        <w:t>v</w:t>
      </w:r>
      <w:r w:rsidR="00554E2B">
        <w:t xml:space="preserve"> </w:t>
      </w:r>
      <w:r w:rsidR="00554E2B" w:rsidRPr="004B3F62">
        <w:t>případě</w:t>
      </w:r>
      <w:r w:rsidR="00554E2B">
        <w:t xml:space="preserve"> </w:t>
      </w:r>
      <w:r w:rsidR="00554E2B" w:rsidRPr="004B3F62">
        <w:t>smrti</w:t>
      </w:r>
      <w:r w:rsidR="00554E2B">
        <w:t xml:space="preserve"> </w:t>
      </w:r>
      <w:r w:rsidR="00554E2B" w:rsidRPr="004B3F62">
        <w:t>nebo</w:t>
      </w:r>
      <w:r w:rsidR="00554E2B">
        <w:t xml:space="preserve"> </w:t>
      </w:r>
      <w:r w:rsidR="00554E2B" w:rsidRPr="004B3F62">
        <w:t>zranění</w:t>
      </w:r>
      <w:r w:rsidR="00554E2B">
        <w:t xml:space="preserve"> </w:t>
      </w:r>
      <w:r w:rsidR="00554E2B" w:rsidRPr="004B3F62">
        <w:t>cestujícího,</w:t>
      </w:r>
    </w:p>
    <w:p w14:paraId="64E03FF9" w14:textId="53ED9935" w:rsidR="00554E2B" w:rsidRPr="004B3F62" w:rsidRDefault="002474FB" w:rsidP="00895004">
      <w:pPr>
        <w:pStyle w:val="Textparagrafu"/>
        <w:tabs>
          <w:tab w:val="left" w:pos="406"/>
          <w:tab w:val="left" w:pos="868"/>
        </w:tabs>
        <w:spacing w:before="0"/>
        <w:ind w:left="868" w:hanging="868"/>
      </w:pPr>
      <w:r>
        <w:tab/>
      </w:r>
      <w:r w:rsidR="00554E2B" w:rsidRPr="004B3F62">
        <w:t>17.</w:t>
      </w:r>
      <w:r>
        <w:tab/>
      </w:r>
      <w:r w:rsidR="00554E2B" w:rsidRPr="004B3F62">
        <w:t>nevynaloží</w:t>
      </w:r>
      <w:r w:rsidR="00554E2B">
        <w:t xml:space="preserve"> </w:t>
      </w:r>
      <w:r w:rsidR="00554E2B" w:rsidRPr="004B3F62">
        <w:t>veškeré</w:t>
      </w:r>
      <w:r w:rsidR="00554E2B">
        <w:t xml:space="preserve"> </w:t>
      </w:r>
      <w:r w:rsidR="00554E2B" w:rsidRPr="004B3F62">
        <w:t>potřebné</w:t>
      </w:r>
      <w:r w:rsidR="00554E2B">
        <w:t xml:space="preserve"> </w:t>
      </w:r>
      <w:r w:rsidR="00554E2B" w:rsidRPr="004B3F62">
        <w:t>úsilí,</w:t>
      </w:r>
      <w:r w:rsidR="00554E2B">
        <w:t xml:space="preserve"> </w:t>
      </w:r>
      <w:r w:rsidR="00554E2B" w:rsidRPr="004B3F62">
        <w:t>aby</w:t>
      </w:r>
      <w:r w:rsidR="00554E2B">
        <w:t xml:space="preserve"> </w:t>
      </w:r>
      <w:r w:rsidR="00554E2B" w:rsidRPr="004B3F62">
        <w:t>cestujícímu</w:t>
      </w:r>
      <w:r w:rsidR="00554E2B">
        <w:t xml:space="preserve"> </w:t>
      </w:r>
      <w:r w:rsidR="00554E2B" w:rsidRPr="004B3F62">
        <w:t>pomohla</w:t>
      </w:r>
      <w:r w:rsidR="00554E2B">
        <w:t xml:space="preserve"> </w:t>
      </w:r>
      <w:r w:rsidR="00554E2B" w:rsidRPr="004B3F62">
        <w:t>domáhat</w:t>
      </w:r>
      <w:r w:rsidR="00554E2B">
        <w:t xml:space="preserve"> </w:t>
      </w:r>
      <w:r w:rsidR="00554E2B" w:rsidRPr="004B3F62">
        <w:t>se</w:t>
      </w:r>
      <w:r w:rsidR="00554E2B">
        <w:t xml:space="preserve"> </w:t>
      </w:r>
      <w:r w:rsidR="00554E2B" w:rsidRPr="004B3F62">
        <w:t>náhrady</w:t>
      </w:r>
      <w:r w:rsidR="00554E2B">
        <w:t xml:space="preserve"> </w:t>
      </w:r>
      <w:r w:rsidR="00554E2B" w:rsidRPr="004B3F62">
        <w:t>škody</w:t>
      </w:r>
      <w:r w:rsidR="00554E2B">
        <w:t xml:space="preserve"> </w:t>
      </w:r>
      <w:r w:rsidR="00554E2B" w:rsidRPr="004B3F62">
        <w:t>od</w:t>
      </w:r>
      <w:r w:rsidR="00554E2B">
        <w:t xml:space="preserve"> </w:t>
      </w:r>
      <w:r w:rsidR="00554E2B" w:rsidRPr="004B3F62">
        <w:t>třetí</w:t>
      </w:r>
      <w:r w:rsidR="00554E2B">
        <w:t xml:space="preserve"> </w:t>
      </w:r>
      <w:r w:rsidR="00554E2B" w:rsidRPr="004B3F62">
        <w:t>osoby,</w:t>
      </w:r>
    </w:p>
    <w:p w14:paraId="0A0322F4" w14:textId="00DD2C64" w:rsidR="00554E2B" w:rsidRPr="004B3F62" w:rsidRDefault="002474FB" w:rsidP="00895004">
      <w:pPr>
        <w:pStyle w:val="Textparagrafu"/>
        <w:tabs>
          <w:tab w:val="left" w:pos="406"/>
          <w:tab w:val="left" w:pos="868"/>
        </w:tabs>
        <w:spacing w:before="0"/>
        <w:ind w:left="868" w:hanging="868"/>
      </w:pPr>
      <w:r>
        <w:tab/>
      </w:r>
      <w:r w:rsidR="00554E2B" w:rsidRPr="004B3F62">
        <w:t>18.</w:t>
      </w:r>
      <w:r>
        <w:tab/>
      </w:r>
      <w:r w:rsidR="00554E2B" w:rsidRPr="004B3F62">
        <w:t>neposkytne</w:t>
      </w:r>
      <w:r w:rsidR="00554E2B">
        <w:t xml:space="preserve"> </w:t>
      </w:r>
      <w:r w:rsidR="00554E2B" w:rsidRPr="004B3F62">
        <w:t>jinému</w:t>
      </w:r>
      <w:r w:rsidR="00554E2B">
        <w:t xml:space="preserve"> </w:t>
      </w:r>
      <w:r w:rsidR="00554E2B" w:rsidRPr="004B3F62">
        <w:t>dopravci,</w:t>
      </w:r>
      <w:r w:rsidR="00554E2B">
        <w:t xml:space="preserve"> </w:t>
      </w:r>
      <w:r w:rsidR="00554E2B" w:rsidRPr="004B3F62">
        <w:t>prodejci</w:t>
      </w:r>
      <w:r w:rsidR="00554E2B">
        <w:t xml:space="preserve"> </w:t>
      </w:r>
      <w:r w:rsidR="00554E2B" w:rsidRPr="004B3F62">
        <w:t>jízdních</w:t>
      </w:r>
      <w:r w:rsidR="00554E2B">
        <w:t xml:space="preserve"> </w:t>
      </w:r>
      <w:r w:rsidR="00554E2B" w:rsidRPr="004B3F62">
        <w:t>a</w:t>
      </w:r>
      <w:r w:rsidR="00554E2B">
        <w:t xml:space="preserve"> </w:t>
      </w:r>
      <w:r w:rsidR="00554E2B" w:rsidRPr="004B3F62">
        <w:t>přepravních</w:t>
      </w:r>
      <w:r w:rsidR="00554E2B">
        <w:t xml:space="preserve"> </w:t>
      </w:r>
      <w:r w:rsidR="00554E2B" w:rsidRPr="004B3F62">
        <w:t>dokladů,</w:t>
      </w:r>
      <w:r w:rsidR="00554E2B">
        <w:t xml:space="preserve"> </w:t>
      </w:r>
      <w:r w:rsidR="00554E2B" w:rsidRPr="004B3F62">
        <w:t>provozovateli</w:t>
      </w:r>
      <w:r w:rsidR="00554E2B">
        <w:t xml:space="preserve"> </w:t>
      </w:r>
      <w:r w:rsidR="00554E2B" w:rsidRPr="004B3F62">
        <w:t>cestovní</w:t>
      </w:r>
      <w:r w:rsidR="00554E2B">
        <w:t xml:space="preserve"> </w:t>
      </w:r>
      <w:r w:rsidR="00554E2B" w:rsidRPr="004B3F62">
        <w:t>kanceláře</w:t>
      </w:r>
      <w:r w:rsidR="00554E2B">
        <w:t xml:space="preserve"> </w:t>
      </w:r>
      <w:r w:rsidR="00554E2B" w:rsidRPr="004B3F62">
        <w:t>nebo</w:t>
      </w:r>
      <w:r w:rsidR="00554E2B">
        <w:t xml:space="preserve"> </w:t>
      </w:r>
      <w:r w:rsidR="00554E2B" w:rsidRPr="004B3F62">
        <w:t>provozovateli</w:t>
      </w:r>
      <w:r w:rsidR="00554E2B">
        <w:t xml:space="preserve"> </w:t>
      </w:r>
      <w:r w:rsidR="00554E2B" w:rsidRPr="004B3F62">
        <w:t>cestovní</w:t>
      </w:r>
      <w:r w:rsidR="00554E2B">
        <w:t xml:space="preserve"> </w:t>
      </w:r>
      <w:r w:rsidR="00554E2B" w:rsidRPr="004B3F62">
        <w:t>agentury</w:t>
      </w:r>
      <w:r w:rsidR="00554E2B">
        <w:t xml:space="preserve"> </w:t>
      </w:r>
      <w:r w:rsidR="00554E2B" w:rsidRPr="004B3F62">
        <w:t>včas</w:t>
      </w:r>
      <w:r w:rsidR="00554E2B">
        <w:t xml:space="preserve"> </w:t>
      </w:r>
      <w:r w:rsidR="00554E2B" w:rsidRPr="004B3F62">
        <w:t>nebo</w:t>
      </w:r>
      <w:r w:rsidR="00554E2B">
        <w:t xml:space="preserve"> </w:t>
      </w:r>
      <w:r w:rsidR="00554E2B" w:rsidRPr="004B3F62">
        <w:t>stanoveným</w:t>
      </w:r>
      <w:r w:rsidR="00554E2B">
        <w:t xml:space="preserve"> </w:t>
      </w:r>
      <w:r w:rsidR="00554E2B" w:rsidRPr="004B3F62">
        <w:t>způsobem</w:t>
      </w:r>
      <w:r w:rsidR="00554E2B">
        <w:t xml:space="preserve"> </w:t>
      </w:r>
      <w:r w:rsidR="00554E2B" w:rsidRPr="004B3F62">
        <w:t>přístup</w:t>
      </w:r>
      <w:r w:rsidR="00554E2B">
        <w:t xml:space="preserve"> </w:t>
      </w:r>
      <w:r w:rsidR="00554E2B" w:rsidRPr="004B3F62">
        <w:t>k</w:t>
      </w:r>
      <w:r w:rsidR="00554E2B">
        <w:t xml:space="preserve"> </w:t>
      </w:r>
      <w:r w:rsidR="00554E2B" w:rsidRPr="004B3F62">
        <w:t>cestovním</w:t>
      </w:r>
      <w:r w:rsidR="00554E2B">
        <w:t xml:space="preserve"> </w:t>
      </w:r>
      <w:r w:rsidR="00554E2B" w:rsidRPr="004B3F62">
        <w:t>informacím</w:t>
      </w:r>
      <w:r w:rsidR="00554E2B">
        <w:t xml:space="preserve"> </w:t>
      </w:r>
      <w:r w:rsidR="00554E2B" w:rsidRPr="004B3F62">
        <w:t>nebo</w:t>
      </w:r>
      <w:r w:rsidR="00554E2B">
        <w:t xml:space="preserve"> </w:t>
      </w:r>
      <w:r w:rsidR="00554E2B" w:rsidRPr="004B3F62">
        <w:t>k</w:t>
      </w:r>
      <w:r w:rsidR="00554E2B">
        <w:t xml:space="preserve"> </w:t>
      </w:r>
      <w:r w:rsidR="00554E2B" w:rsidRPr="004B3F62">
        <w:t>rezervačnímu</w:t>
      </w:r>
      <w:r w:rsidR="00554E2B">
        <w:t xml:space="preserve"> </w:t>
      </w:r>
      <w:r w:rsidR="00554E2B" w:rsidRPr="004B3F62">
        <w:t>systému,</w:t>
      </w:r>
    </w:p>
    <w:p w14:paraId="3560A8E8" w14:textId="5BB98B1C" w:rsidR="00554E2B" w:rsidRPr="004B3F62" w:rsidRDefault="002474FB" w:rsidP="00895004">
      <w:pPr>
        <w:pStyle w:val="Textparagrafu"/>
        <w:tabs>
          <w:tab w:val="left" w:pos="406"/>
          <w:tab w:val="left" w:pos="868"/>
        </w:tabs>
        <w:spacing w:before="0"/>
        <w:ind w:left="868" w:hanging="868"/>
      </w:pPr>
      <w:r>
        <w:tab/>
      </w:r>
      <w:r w:rsidR="00554E2B" w:rsidRPr="004B3F62">
        <w:t>19.</w:t>
      </w:r>
      <w:r>
        <w:tab/>
      </w:r>
      <w:r w:rsidR="00554E2B" w:rsidRPr="004B3F62">
        <w:t>nezavede</w:t>
      </w:r>
      <w:r w:rsidR="00554E2B">
        <w:t xml:space="preserve"> </w:t>
      </w:r>
      <w:r w:rsidR="00554E2B" w:rsidRPr="004B3F62">
        <w:t>stanovené</w:t>
      </w:r>
      <w:r w:rsidR="00554E2B">
        <w:t xml:space="preserve"> </w:t>
      </w:r>
      <w:r w:rsidR="00554E2B" w:rsidRPr="004B3F62">
        <w:t>normy</w:t>
      </w:r>
      <w:r w:rsidR="00554E2B">
        <w:t xml:space="preserve"> </w:t>
      </w:r>
      <w:r w:rsidR="00554E2B" w:rsidRPr="004B3F62">
        <w:t>kvality</w:t>
      </w:r>
      <w:r w:rsidR="00554E2B">
        <w:t xml:space="preserve"> </w:t>
      </w:r>
      <w:r w:rsidR="00554E2B" w:rsidRPr="004B3F62">
        <w:t>služeb</w:t>
      </w:r>
      <w:r w:rsidR="00554E2B">
        <w:t xml:space="preserve"> </w:t>
      </w:r>
      <w:r w:rsidR="00554E2B" w:rsidRPr="004B3F62">
        <w:t>pro</w:t>
      </w:r>
      <w:r w:rsidR="00554E2B">
        <w:t xml:space="preserve"> </w:t>
      </w:r>
      <w:r w:rsidR="00554E2B" w:rsidRPr="004B3F62">
        <w:t>přepravu</w:t>
      </w:r>
      <w:r w:rsidR="00554E2B">
        <w:t xml:space="preserve"> </w:t>
      </w:r>
      <w:r w:rsidR="00554E2B" w:rsidRPr="004B3F62">
        <w:t>cestujících,</w:t>
      </w:r>
      <w:r w:rsidR="00554E2B">
        <w:t xml:space="preserve"> </w:t>
      </w:r>
      <w:r w:rsidR="00554E2B" w:rsidRPr="004B3F62">
        <w:t>nesleduje</w:t>
      </w:r>
      <w:r w:rsidR="00554E2B">
        <w:t xml:space="preserve"> </w:t>
      </w:r>
      <w:r w:rsidR="00554E2B" w:rsidRPr="004B3F62">
        <w:t>kvalitu</w:t>
      </w:r>
      <w:r w:rsidR="00554E2B">
        <w:t xml:space="preserve"> </w:t>
      </w:r>
      <w:r w:rsidR="00554E2B" w:rsidRPr="004B3F62">
        <w:t>jí</w:t>
      </w:r>
      <w:r w:rsidR="00554E2B">
        <w:t xml:space="preserve"> </w:t>
      </w:r>
      <w:r w:rsidR="00554E2B" w:rsidRPr="004B3F62">
        <w:t>poskytovaných</w:t>
      </w:r>
      <w:r w:rsidR="00554E2B">
        <w:t xml:space="preserve"> </w:t>
      </w:r>
      <w:r w:rsidR="00554E2B" w:rsidRPr="004B3F62">
        <w:t>služeb</w:t>
      </w:r>
      <w:r w:rsidR="00554E2B">
        <w:t xml:space="preserve"> </w:t>
      </w:r>
      <w:r w:rsidR="00554E2B" w:rsidRPr="004B3F62">
        <w:t>nebo</w:t>
      </w:r>
      <w:r w:rsidR="00554E2B">
        <w:t xml:space="preserve"> </w:t>
      </w:r>
      <w:r w:rsidR="00554E2B" w:rsidRPr="004B3F62">
        <w:t>nezavede</w:t>
      </w:r>
      <w:r w:rsidR="00554E2B">
        <w:t xml:space="preserve"> </w:t>
      </w:r>
      <w:r w:rsidR="00554E2B" w:rsidRPr="004B3F62">
        <w:t>systém</w:t>
      </w:r>
      <w:r w:rsidR="00554E2B">
        <w:t xml:space="preserve"> </w:t>
      </w:r>
      <w:r w:rsidR="00554E2B" w:rsidRPr="004B3F62">
        <w:t>řízení</w:t>
      </w:r>
      <w:r w:rsidR="00554E2B">
        <w:t xml:space="preserve"> </w:t>
      </w:r>
      <w:r w:rsidR="00554E2B" w:rsidRPr="004B3F62">
        <w:t>jakosti,</w:t>
      </w:r>
      <w:r w:rsidR="00554E2B">
        <w:t xml:space="preserve"> </w:t>
      </w:r>
      <w:r w:rsidR="00554E2B" w:rsidRPr="004B3F62">
        <w:t>nebo</w:t>
      </w:r>
    </w:p>
    <w:p w14:paraId="583CA3F2" w14:textId="30F9F9BB" w:rsidR="00554E2B" w:rsidRDefault="002474FB" w:rsidP="002474FB">
      <w:pPr>
        <w:pStyle w:val="Textparagrafu"/>
        <w:tabs>
          <w:tab w:val="left" w:pos="406"/>
          <w:tab w:val="left" w:pos="868"/>
        </w:tabs>
        <w:spacing w:before="0"/>
        <w:ind w:firstLine="0"/>
      </w:pPr>
      <w:r>
        <w:tab/>
      </w:r>
      <w:r w:rsidR="00554E2B" w:rsidRPr="004B3F62">
        <w:t>20.</w:t>
      </w:r>
      <w:r>
        <w:tab/>
      </w:r>
      <w:r w:rsidR="00554E2B" w:rsidRPr="004B3F62">
        <w:t>nezveřejní</w:t>
      </w:r>
      <w:r w:rsidR="00554E2B">
        <w:t xml:space="preserve"> </w:t>
      </w:r>
      <w:r w:rsidR="00554E2B" w:rsidRPr="004B3F62">
        <w:t>včas</w:t>
      </w:r>
      <w:r w:rsidR="00554E2B">
        <w:t xml:space="preserve"> </w:t>
      </w:r>
      <w:r w:rsidR="00554E2B" w:rsidRPr="004B3F62">
        <w:t>nebo</w:t>
      </w:r>
      <w:r w:rsidR="00554E2B">
        <w:t xml:space="preserve"> </w:t>
      </w:r>
      <w:r w:rsidR="00554E2B" w:rsidRPr="004B3F62">
        <w:t>stanoveným</w:t>
      </w:r>
      <w:r w:rsidR="00554E2B">
        <w:t xml:space="preserve"> </w:t>
      </w:r>
      <w:r w:rsidR="00554E2B" w:rsidRPr="004B3F62">
        <w:t>způsobem</w:t>
      </w:r>
      <w:r w:rsidR="00554E2B">
        <w:t xml:space="preserve"> </w:t>
      </w:r>
      <w:r w:rsidR="00554E2B" w:rsidRPr="004B3F62">
        <w:t>zprávu</w:t>
      </w:r>
      <w:r w:rsidR="00554E2B">
        <w:t xml:space="preserve"> </w:t>
      </w:r>
      <w:r w:rsidR="00554E2B" w:rsidRPr="004B3F62">
        <w:t>o</w:t>
      </w:r>
      <w:r w:rsidR="00554E2B">
        <w:t xml:space="preserve"> </w:t>
      </w:r>
      <w:r w:rsidR="00554E2B" w:rsidRPr="004B3F62">
        <w:t>kvalitě</w:t>
      </w:r>
      <w:r w:rsidR="00554E2B">
        <w:t xml:space="preserve"> </w:t>
      </w:r>
      <w:r w:rsidR="00554E2B" w:rsidRPr="004B3F62">
        <w:t>poskytovaných</w:t>
      </w:r>
      <w:r w:rsidR="00554E2B">
        <w:t xml:space="preserve"> </w:t>
      </w:r>
      <w:r w:rsidR="00554E2B" w:rsidRPr="004B3F62">
        <w:t>služeb,</w:t>
      </w:r>
    </w:p>
    <w:p w14:paraId="296A68B0" w14:textId="62993B39" w:rsidR="00554E2B" w:rsidRDefault="00554E2B" w:rsidP="00812ECA">
      <w:pPr>
        <w:pStyle w:val="Textparagrafu"/>
        <w:tabs>
          <w:tab w:val="left" w:pos="406"/>
          <w:tab w:val="left" w:pos="868"/>
        </w:tabs>
        <w:spacing w:before="0"/>
        <w:ind w:left="426" w:hanging="426"/>
      </w:pPr>
      <w:r w:rsidRPr="004B3F62">
        <w:t>b)</w:t>
      </w:r>
      <w:r w:rsidR="002474FB">
        <w:tab/>
      </w:r>
      <w:r w:rsidRPr="004B3F62">
        <w:t>provozovatel</w:t>
      </w:r>
      <w:r>
        <w:t xml:space="preserve"> </w:t>
      </w:r>
      <w:r w:rsidRPr="004B3F62">
        <w:t>dráhy</w:t>
      </w:r>
      <w:r>
        <w:t xml:space="preserve"> </w:t>
      </w:r>
      <w:r w:rsidRPr="004B3F62">
        <w:t>nepředá</w:t>
      </w:r>
      <w:r>
        <w:t xml:space="preserve"> </w:t>
      </w:r>
      <w:r w:rsidRPr="004B3F62">
        <w:t>stanoveným</w:t>
      </w:r>
      <w:r>
        <w:t xml:space="preserve"> </w:t>
      </w:r>
      <w:r w:rsidRPr="004B3F62">
        <w:t>způsobem</w:t>
      </w:r>
      <w:r>
        <w:t xml:space="preserve"> </w:t>
      </w:r>
      <w:r w:rsidRPr="004B3F62">
        <w:t>údaj</w:t>
      </w:r>
      <w:r>
        <w:t xml:space="preserve"> </w:t>
      </w:r>
      <w:r w:rsidRPr="004B3F62">
        <w:t>týkající</w:t>
      </w:r>
      <w:r>
        <w:t xml:space="preserve"> </w:t>
      </w:r>
      <w:r w:rsidRPr="004B3F62">
        <w:t>se</w:t>
      </w:r>
      <w:r>
        <w:t xml:space="preserve"> </w:t>
      </w:r>
      <w:r w:rsidRPr="004B3F62">
        <w:t>příjezdu</w:t>
      </w:r>
      <w:r>
        <w:t xml:space="preserve"> </w:t>
      </w:r>
      <w:r w:rsidRPr="004B3F62">
        <w:t>nebo</w:t>
      </w:r>
      <w:r>
        <w:t xml:space="preserve"> </w:t>
      </w:r>
      <w:r w:rsidRPr="004B3F62">
        <w:t>odjezdu</w:t>
      </w:r>
      <w:r>
        <w:t xml:space="preserve"> </w:t>
      </w:r>
      <w:r w:rsidRPr="004B3F62">
        <w:t>vlaku</w:t>
      </w:r>
      <w:r>
        <w:t xml:space="preserve"> </w:t>
      </w:r>
      <w:r w:rsidRPr="004B3F62">
        <w:t>dopravci,</w:t>
      </w:r>
      <w:r>
        <w:t xml:space="preserve"> </w:t>
      </w:r>
      <w:r w:rsidRPr="004B3F62">
        <w:t>prodejci</w:t>
      </w:r>
      <w:r>
        <w:t xml:space="preserve"> </w:t>
      </w:r>
      <w:r w:rsidRPr="004B3F62">
        <w:t>jízdních</w:t>
      </w:r>
      <w:r>
        <w:t xml:space="preserve"> </w:t>
      </w:r>
      <w:r w:rsidRPr="004B3F62">
        <w:t>a</w:t>
      </w:r>
      <w:r>
        <w:t xml:space="preserve"> </w:t>
      </w:r>
      <w:r w:rsidRPr="004B3F62">
        <w:t>přepravních</w:t>
      </w:r>
      <w:r>
        <w:t xml:space="preserve"> </w:t>
      </w:r>
      <w:r w:rsidRPr="004B3F62">
        <w:t>dokladů,</w:t>
      </w:r>
      <w:r>
        <w:t xml:space="preserve"> </w:t>
      </w:r>
      <w:r w:rsidRPr="004B3F62">
        <w:t>provozovateli</w:t>
      </w:r>
      <w:r>
        <w:t xml:space="preserve"> </w:t>
      </w:r>
      <w:r w:rsidRPr="004B3F62">
        <w:t>cestovní</w:t>
      </w:r>
      <w:r>
        <w:t xml:space="preserve"> </w:t>
      </w:r>
      <w:r w:rsidRPr="004B3F62">
        <w:t>kanceláře,</w:t>
      </w:r>
      <w:r>
        <w:t xml:space="preserve"> </w:t>
      </w:r>
      <w:r w:rsidRPr="004B3F62">
        <w:t>provozovateli</w:t>
      </w:r>
      <w:r>
        <w:t xml:space="preserve"> </w:t>
      </w:r>
      <w:r w:rsidRPr="004B3F62">
        <w:t>cestovní</w:t>
      </w:r>
      <w:r>
        <w:t xml:space="preserve"> </w:t>
      </w:r>
      <w:r w:rsidRPr="004B3F62">
        <w:t>agentury</w:t>
      </w:r>
      <w:r>
        <w:t xml:space="preserve"> </w:t>
      </w:r>
      <w:r w:rsidRPr="004B3F62">
        <w:t>nebo</w:t>
      </w:r>
      <w:r>
        <w:t xml:space="preserve"> </w:t>
      </w:r>
      <w:r w:rsidRPr="004B3F62">
        <w:t>provozovateli</w:t>
      </w:r>
      <w:r>
        <w:t xml:space="preserve"> </w:t>
      </w:r>
      <w:r w:rsidRPr="004B3F62">
        <w:t>železniční</w:t>
      </w:r>
      <w:r>
        <w:t xml:space="preserve"> </w:t>
      </w:r>
      <w:r w:rsidRPr="004B3F62">
        <w:t>stanice,</w:t>
      </w:r>
    </w:p>
    <w:p w14:paraId="723EDF62" w14:textId="59C74CE8" w:rsidR="00554E2B" w:rsidRDefault="00554E2B" w:rsidP="00812ECA">
      <w:pPr>
        <w:pStyle w:val="Textparagrafu"/>
        <w:tabs>
          <w:tab w:val="left" w:pos="406"/>
          <w:tab w:val="left" w:pos="868"/>
        </w:tabs>
        <w:spacing w:before="0"/>
        <w:ind w:left="426" w:hanging="426"/>
      </w:pPr>
      <w:r w:rsidRPr="004B3F62">
        <w:t>c)</w:t>
      </w:r>
      <w:r w:rsidR="002474FB">
        <w:tab/>
      </w:r>
      <w:r w:rsidRPr="004B3F62">
        <w:t>provozovatel</w:t>
      </w:r>
      <w:r>
        <w:t xml:space="preserve"> </w:t>
      </w:r>
      <w:r w:rsidRPr="004B3F62">
        <w:t>železniční</w:t>
      </w:r>
      <w:r>
        <w:t xml:space="preserve"> </w:t>
      </w:r>
      <w:r w:rsidRPr="004B3F62">
        <w:t>stanice</w:t>
      </w:r>
      <w:r>
        <w:t xml:space="preserve"> </w:t>
      </w:r>
      <w:r w:rsidRPr="004B3F62">
        <w:t>nezavede</w:t>
      </w:r>
      <w:r>
        <w:t xml:space="preserve"> </w:t>
      </w:r>
      <w:r w:rsidRPr="004B3F62">
        <w:t>stanovené</w:t>
      </w:r>
      <w:r>
        <w:t xml:space="preserve"> </w:t>
      </w:r>
      <w:r w:rsidRPr="004B3F62">
        <w:t>normy</w:t>
      </w:r>
      <w:r>
        <w:t xml:space="preserve"> </w:t>
      </w:r>
      <w:r w:rsidRPr="004B3F62">
        <w:t>kvality</w:t>
      </w:r>
      <w:r>
        <w:t xml:space="preserve"> </w:t>
      </w:r>
      <w:r w:rsidRPr="004B3F62">
        <w:t>služeb</w:t>
      </w:r>
      <w:r>
        <w:t xml:space="preserve"> </w:t>
      </w:r>
      <w:r w:rsidRPr="004B3F62">
        <w:t>pro</w:t>
      </w:r>
      <w:r>
        <w:t xml:space="preserve"> </w:t>
      </w:r>
      <w:r w:rsidRPr="004B3F62">
        <w:t>přepravu</w:t>
      </w:r>
      <w:r>
        <w:t xml:space="preserve"> </w:t>
      </w:r>
      <w:r w:rsidRPr="004B3F62">
        <w:t>cestujících</w:t>
      </w:r>
      <w:r>
        <w:t xml:space="preserve"> </w:t>
      </w:r>
      <w:r w:rsidRPr="004B3F62">
        <w:t>nebo</w:t>
      </w:r>
      <w:r>
        <w:t xml:space="preserve"> </w:t>
      </w:r>
      <w:r w:rsidRPr="004B3F62">
        <w:t>nesleduje</w:t>
      </w:r>
      <w:r>
        <w:t xml:space="preserve"> </w:t>
      </w:r>
      <w:r w:rsidRPr="004B3F62">
        <w:t>kvalitu</w:t>
      </w:r>
      <w:r>
        <w:t xml:space="preserve"> </w:t>
      </w:r>
      <w:r w:rsidRPr="004B3F62">
        <w:t>jí</w:t>
      </w:r>
      <w:r>
        <w:t xml:space="preserve"> </w:t>
      </w:r>
      <w:r w:rsidRPr="004B3F62">
        <w:t>poskytovaných</w:t>
      </w:r>
      <w:r>
        <w:t xml:space="preserve"> </w:t>
      </w:r>
      <w:r w:rsidRPr="004B3F62">
        <w:t>služeb,</w:t>
      </w:r>
    </w:p>
    <w:p w14:paraId="710C9C53" w14:textId="3D135D54" w:rsidR="00554E2B" w:rsidRDefault="00554E2B" w:rsidP="00812ECA">
      <w:pPr>
        <w:pStyle w:val="Textparagrafu"/>
        <w:tabs>
          <w:tab w:val="left" w:pos="406"/>
          <w:tab w:val="left" w:pos="868"/>
        </w:tabs>
        <w:spacing w:before="0"/>
        <w:ind w:left="426" w:hanging="426"/>
      </w:pPr>
      <w:r w:rsidRPr="004B3F62">
        <w:t>d)</w:t>
      </w:r>
      <w:r w:rsidR="002474FB">
        <w:tab/>
      </w:r>
      <w:r w:rsidRPr="004B3F62">
        <w:t>prodejce</w:t>
      </w:r>
      <w:r>
        <w:t xml:space="preserve"> </w:t>
      </w:r>
      <w:r w:rsidRPr="004B3F62">
        <w:t>jízdních</w:t>
      </w:r>
      <w:r>
        <w:t xml:space="preserve"> </w:t>
      </w:r>
      <w:r w:rsidRPr="004B3F62">
        <w:t>a</w:t>
      </w:r>
      <w:r>
        <w:t xml:space="preserve"> </w:t>
      </w:r>
      <w:r w:rsidRPr="004B3F62">
        <w:t>přepravních</w:t>
      </w:r>
      <w:r>
        <w:t xml:space="preserve"> </w:t>
      </w:r>
      <w:r w:rsidRPr="004B3F62">
        <w:t>dokladů,</w:t>
      </w:r>
      <w:r>
        <w:t xml:space="preserve"> </w:t>
      </w:r>
      <w:r w:rsidRPr="004B3F62">
        <w:t>provozovatel</w:t>
      </w:r>
      <w:r>
        <w:t xml:space="preserve"> </w:t>
      </w:r>
      <w:r w:rsidRPr="004B3F62">
        <w:t>cestovní</w:t>
      </w:r>
      <w:r>
        <w:t xml:space="preserve"> </w:t>
      </w:r>
      <w:r w:rsidRPr="004B3F62">
        <w:t>kanceláře</w:t>
      </w:r>
      <w:r>
        <w:t xml:space="preserve"> </w:t>
      </w:r>
      <w:r w:rsidRPr="004B3F62">
        <w:t>nebo</w:t>
      </w:r>
      <w:r>
        <w:t xml:space="preserve"> </w:t>
      </w:r>
      <w:r w:rsidRPr="004B3F62">
        <w:t>provozovatel</w:t>
      </w:r>
      <w:r>
        <w:t xml:space="preserve"> </w:t>
      </w:r>
      <w:r w:rsidRPr="004B3F62">
        <w:t>cestovní</w:t>
      </w:r>
      <w:r>
        <w:t xml:space="preserve"> </w:t>
      </w:r>
      <w:r w:rsidRPr="004B3F62">
        <w:t>agentury</w:t>
      </w:r>
      <w:r>
        <w:t xml:space="preserve"> </w:t>
      </w:r>
      <w:r w:rsidRPr="004B3F62">
        <w:t>neposkytne</w:t>
      </w:r>
      <w:r>
        <w:t xml:space="preserve"> </w:t>
      </w:r>
      <w:r w:rsidRPr="004B3F62">
        <w:t>včas</w:t>
      </w:r>
      <w:r>
        <w:t xml:space="preserve"> </w:t>
      </w:r>
      <w:r w:rsidRPr="004B3F62">
        <w:t>v</w:t>
      </w:r>
      <w:r>
        <w:t xml:space="preserve"> </w:t>
      </w:r>
      <w:r w:rsidRPr="004B3F62">
        <w:t>případě</w:t>
      </w:r>
      <w:r>
        <w:t xml:space="preserve"> </w:t>
      </w:r>
      <w:r w:rsidRPr="004B3F62">
        <w:t>zpoždění</w:t>
      </w:r>
      <w:r>
        <w:t xml:space="preserve"> </w:t>
      </w:r>
      <w:r w:rsidRPr="004B3F62">
        <w:t>spoje</w:t>
      </w:r>
      <w:r>
        <w:t xml:space="preserve"> </w:t>
      </w:r>
      <w:r w:rsidRPr="004B3F62">
        <w:t>cestujícímu</w:t>
      </w:r>
      <w:r>
        <w:t xml:space="preserve"> </w:t>
      </w:r>
      <w:r w:rsidRPr="004B3F62">
        <w:t>náhradu</w:t>
      </w:r>
      <w:r>
        <w:t xml:space="preserve"> </w:t>
      </w:r>
      <w:r w:rsidRPr="004B3F62">
        <w:t>nebo</w:t>
      </w:r>
      <w:r>
        <w:t xml:space="preserve"> </w:t>
      </w:r>
      <w:r w:rsidRPr="004B3F62">
        <w:t>odškodnění</w:t>
      </w:r>
      <w:r>
        <w:t xml:space="preserve"> </w:t>
      </w:r>
      <w:r w:rsidRPr="004B3F62">
        <w:t>ve</w:t>
      </w:r>
      <w:r>
        <w:t xml:space="preserve"> </w:t>
      </w:r>
      <w:r w:rsidRPr="004B3F62">
        <w:t>stanovené</w:t>
      </w:r>
      <w:r>
        <w:t xml:space="preserve"> </w:t>
      </w:r>
      <w:r w:rsidRPr="004B3F62">
        <w:t>výši</w:t>
      </w:r>
      <w:r>
        <w:t xml:space="preserve"> </w:t>
      </w:r>
      <w:r w:rsidRPr="004B3F62">
        <w:t>nebo</w:t>
      </w:r>
      <w:r>
        <w:t xml:space="preserve"> </w:t>
      </w:r>
      <w:r w:rsidRPr="004B3F62">
        <w:t>nevyřídí</w:t>
      </w:r>
      <w:r>
        <w:t xml:space="preserve"> </w:t>
      </w:r>
      <w:r w:rsidRPr="004B3F62">
        <w:t>žádost</w:t>
      </w:r>
      <w:r>
        <w:t xml:space="preserve"> </w:t>
      </w:r>
      <w:r w:rsidRPr="004B3F62">
        <w:t>o</w:t>
      </w:r>
      <w:r>
        <w:t xml:space="preserve"> </w:t>
      </w:r>
      <w:r w:rsidRPr="004B3F62">
        <w:t>jejich</w:t>
      </w:r>
      <w:r>
        <w:t xml:space="preserve"> </w:t>
      </w:r>
      <w:r w:rsidRPr="004B3F62">
        <w:t>poskytnutí,</w:t>
      </w:r>
    </w:p>
    <w:p w14:paraId="0BD60162" w14:textId="63D62356" w:rsidR="00554E2B" w:rsidRPr="004B3F62" w:rsidRDefault="00554E2B" w:rsidP="00812ECA">
      <w:pPr>
        <w:pStyle w:val="Textparagrafu"/>
        <w:tabs>
          <w:tab w:val="left" w:pos="406"/>
          <w:tab w:val="left" w:pos="868"/>
        </w:tabs>
        <w:spacing w:before="0"/>
        <w:ind w:left="426" w:hanging="426"/>
      </w:pPr>
      <w:r w:rsidRPr="004B3F62">
        <w:t>e)</w:t>
      </w:r>
      <w:r w:rsidR="002474FB">
        <w:tab/>
      </w:r>
      <w:r w:rsidRPr="004B3F62">
        <w:t>dopravce</w:t>
      </w:r>
      <w:r>
        <w:t xml:space="preserve"> </w:t>
      </w:r>
      <w:r w:rsidRPr="004B3F62">
        <w:t>nebo</w:t>
      </w:r>
      <w:r>
        <w:t xml:space="preserve"> </w:t>
      </w:r>
      <w:r w:rsidRPr="004B3F62">
        <w:t>provozovatel</w:t>
      </w:r>
      <w:r>
        <w:t xml:space="preserve"> </w:t>
      </w:r>
      <w:r w:rsidRPr="004B3F62">
        <w:t>železniční</w:t>
      </w:r>
      <w:r>
        <w:t xml:space="preserve"> </w:t>
      </w:r>
      <w:r w:rsidRPr="004B3F62">
        <w:t>stanice</w:t>
      </w:r>
    </w:p>
    <w:p w14:paraId="2BFFCF5D" w14:textId="156129DD" w:rsidR="00554E2B" w:rsidRPr="004B3F62" w:rsidRDefault="002474FB" w:rsidP="00613FAA">
      <w:pPr>
        <w:pStyle w:val="Textparagrafu"/>
        <w:tabs>
          <w:tab w:val="left" w:pos="406"/>
          <w:tab w:val="left" w:pos="868"/>
        </w:tabs>
        <w:spacing w:before="0"/>
        <w:ind w:left="868" w:hanging="709"/>
      </w:pPr>
      <w:r>
        <w:lastRenderedPageBreak/>
        <w:tab/>
      </w:r>
      <w:r w:rsidR="00554E2B" w:rsidRPr="004B3F62">
        <w:t>1.</w:t>
      </w:r>
      <w:r>
        <w:tab/>
      </w:r>
      <w:r w:rsidR="00554E2B" w:rsidRPr="004B3F62">
        <w:t>nezavede</w:t>
      </w:r>
      <w:r w:rsidR="00554E2B">
        <w:t xml:space="preserve"> </w:t>
      </w:r>
      <w:r w:rsidR="00554E2B" w:rsidRPr="004B3F62">
        <w:t>nebo</w:t>
      </w:r>
      <w:r w:rsidR="00554E2B">
        <w:t xml:space="preserve"> </w:t>
      </w:r>
      <w:r w:rsidR="00554E2B" w:rsidRPr="004B3F62">
        <w:t>neudržuje</w:t>
      </w:r>
      <w:r w:rsidR="00554E2B">
        <w:t xml:space="preserve"> </w:t>
      </w:r>
      <w:r w:rsidR="00554E2B" w:rsidRPr="004B3F62">
        <w:t>stanoveným</w:t>
      </w:r>
      <w:r w:rsidR="00554E2B">
        <w:t xml:space="preserve"> </w:t>
      </w:r>
      <w:r w:rsidR="00554E2B" w:rsidRPr="004B3F62">
        <w:t>způsobem</w:t>
      </w:r>
      <w:r w:rsidR="00554E2B">
        <w:t xml:space="preserve"> </w:t>
      </w:r>
      <w:r w:rsidR="00554E2B" w:rsidRPr="004B3F62">
        <w:t>nediskriminační</w:t>
      </w:r>
      <w:r w:rsidR="00554E2B">
        <w:t xml:space="preserve"> </w:t>
      </w:r>
      <w:r w:rsidR="00554E2B" w:rsidRPr="004B3F62">
        <w:t>pravidla</w:t>
      </w:r>
      <w:r w:rsidR="00554E2B">
        <w:t xml:space="preserve"> </w:t>
      </w:r>
      <w:r w:rsidR="00554E2B" w:rsidRPr="004B3F62">
        <w:t>pro</w:t>
      </w:r>
      <w:r w:rsidR="00554E2B">
        <w:t xml:space="preserve"> </w:t>
      </w:r>
      <w:r w:rsidR="00554E2B" w:rsidRPr="004B3F62">
        <w:t>přístup</w:t>
      </w:r>
      <w:r w:rsidR="00554E2B">
        <w:t xml:space="preserve"> </w:t>
      </w:r>
      <w:r w:rsidR="00554E2B" w:rsidRPr="004B3F62">
        <w:t>k</w:t>
      </w:r>
      <w:r w:rsidR="00554E2B">
        <w:t xml:space="preserve"> </w:t>
      </w:r>
      <w:r w:rsidR="00554E2B" w:rsidRPr="004B3F62">
        <w:t>přepravě</w:t>
      </w:r>
      <w:r w:rsidR="00554E2B">
        <w:t xml:space="preserve"> </w:t>
      </w:r>
      <w:r w:rsidR="00554E2B" w:rsidRPr="004B3F62">
        <w:t>osob</w:t>
      </w:r>
      <w:r w:rsidR="00554E2B">
        <w:t xml:space="preserve"> </w:t>
      </w:r>
      <w:r w:rsidR="00554E2B" w:rsidRPr="004B3F62">
        <w:t>se</w:t>
      </w:r>
      <w:r w:rsidR="00554E2B">
        <w:t xml:space="preserve"> </w:t>
      </w:r>
      <w:r w:rsidR="00554E2B" w:rsidRPr="004B3F62">
        <w:t>zdravotním</w:t>
      </w:r>
      <w:r w:rsidR="00554E2B">
        <w:t xml:space="preserve"> </w:t>
      </w:r>
      <w:r w:rsidR="00554E2B" w:rsidRPr="004B3F62">
        <w:t>postižením,</w:t>
      </w:r>
      <w:r w:rsidR="00554E2B">
        <w:t xml:space="preserve"> </w:t>
      </w:r>
      <w:r w:rsidR="00554E2B" w:rsidRPr="004B3F62">
        <w:t>průvodců</w:t>
      </w:r>
      <w:r w:rsidR="00554E2B">
        <w:t xml:space="preserve"> </w:t>
      </w:r>
      <w:r w:rsidR="00554E2B" w:rsidRPr="004B3F62">
        <w:t>držitelů</w:t>
      </w:r>
      <w:r w:rsidR="00554E2B">
        <w:t xml:space="preserve"> </w:t>
      </w:r>
      <w:r w:rsidR="00554E2B" w:rsidRPr="004B3F62">
        <w:t>průkazu</w:t>
      </w:r>
      <w:r w:rsidR="00554E2B">
        <w:t xml:space="preserve"> </w:t>
      </w:r>
      <w:r w:rsidR="00554E2B" w:rsidRPr="004B3F62">
        <w:t>osoby</w:t>
      </w:r>
      <w:r w:rsidR="00554E2B">
        <w:t xml:space="preserve"> </w:t>
      </w:r>
      <w:r w:rsidR="00554E2B" w:rsidRPr="004B3F62">
        <w:t>se</w:t>
      </w:r>
      <w:r w:rsidR="00554E2B">
        <w:t xml:space="preserve"> </w:t>
      </w:r>
      <w:r w:rsidR="00554E2B" w:rsidRPr="004B3F62">
        <w:t>zdravotním</w:t>
      </w:r>
      <w:r w:rsidR="00554E2B">
        <w:t xml:space="preserve"> </w:t>
      </w:r>
      <w:r w:rsidR="00554E2B" w:rsidRPr="004B3F62">
        <w:t>postižením</w:t>
      </w:r>
      <w:r w:rsidR="00554E2B">
        <w:t xml:space="preserve"> </w:t>
      </w:r>
      <w:r w:rsidR="00554E2B" w:rsidRPr="004B3F62">
        <w:t>označeného</w:t>
      </w:r>
      <w:r w:rsidR="00554E2B">
        <w:t xml:space="preserve"> </w:t>
      </w:r>
      <w:r w:rsidR="00554E2B" w:rsidRPr="004B3F62">
        <w:t>symbolem</w:t>
      </w:r>
      <w:r w:rsidR="00554E2B">
        <w:t xml:space="preserve"> </w:t>
      </w:r>
      <w:r w:rsidR="00554E2B" w:rsidRPr="004B3F62">
        <w:t>"ZTP/P"</w:t>
      </w:r>
      <w:r w:rsidR="00554E2B">
        <w:t xml:space="preserve"> </w:t>
      </w:r>
      <w:r w:rsidR="00554E2B" w:rsidRPr="004B3F62">
        <w:t>a</w:t>
      </w:r>
      <w:r w:rsidR="00554E2B">
        <w:t xml:space="preserve"> </w:t>
      </w:r>
      <w:r w:rsidR="00554E2B" w:rsidRPr="004B3F62">
        <w:t>osob</w:t>
      </w:r>
      <w:r w:rsidR="00554E2B">
        <w:t xml:space="preserve"> </w:t>
      </w:r>
      <w:r w:rsidR="00554E2B" w:rsidRPr="004B3F62">
        <w:t>s</w:t>
      </w:r>
      <w:r w:rsidR="00554E2B">
        <w:t xml:space="preserve"> </w:t>
      </w:r>
      <w:r w:rsidR="00554E2B" w:rsidRPr="004B3F62">
        <w:t>omezenou</w:t>
      </w:r>
      <w:r w:rsidR="00554E2B">
        <w:t xml:space="preserve"> </w:t>
      </w:r>
      <w:r w:rsidR="00554E2B" w:rsidRPr="004B3F62">
        <w:t>schopností</w:t>
      </w:r>
      <w:r w:rsidR="00554E2B">
        <w:t xml:space="preserve"> </w:t>
      </w:r>
      <w:r w:rsidR="00554E2B" w:rsidRPr="004B3F62">
        <w:t>pohybu</w:t>
      </w:r>
      <w:r w:rsidR="00554E2B">
        <w:t xml:space="preserve"> </w:t>
      </w:r>
      <w:r w:rsidR="00554E2B" w:rsidRPr="004B3F62">
        <w:t>a</w:t>
      </w:r>
      <w:r w:rsidR="00554E2B">
        <w:t xml:space="preserve"> </w:t>
      </w:r>
      <w:r w:rsidR="00554E2B" w:rsidRPr="004B3F62">
        <w:t>orientace,</w:t>
      </w:r>
    </w:p>
    <w:p w14:paraId="0FC2F68F" w14:textId="29168E9C" w:rsidR="00554E2B" w:rsidRPr="004B3F62" w:rsidRDefault="002474FB" w:rsidP="00613FAA">
      <w:pPr>
        <w:pStyle w:val="Textparagrafu"/>
        <w:tabs>
          <w:tab w:val="left" w:pos="406"/>
          <w:tab w:val="left" w:pos="868"/>
        </w:tabs>
        <w:spacing w:before="0"/>
        <w:ind w:left="868" w:hanging="709"/>
      </w:pPr>
      <w:r>
        <w:tab/>
      </w:r>
      <w:r w:rsidR="00554E2B" w:rsidRPr="004B3F62">
        <w:t>2.</w:t>
      </w:r>
      <w:r>
        <w:tab/>
      </w:r>
      <w:r w:rsidR="00554E2B" w:rsidRPr="004B3F62">
        <w:t>neposkytne</w:t>
      </w:r>
      <w:r w:rsidR="00554E2B">
        <w:t xml:space="preserve"> </w:t>
      </w:r>
      <w:r w:rsidR="00554E2B" w:rsidRPr="004B3F62">
        <w:t>osobě</w:t>
      </w:r>
      <w:r w:rsidR="00554E2B">
        <w:t xml:space="preserve"> </w:t>
      </w:r>
      <w:r w:rsidR="00554E2B" w:rsidRPr="004B3F62">
        <w:t>se</w:t>
      </w:r>
      <w:r w:rsidR="00554E2B">
        <w:t xml:space="preserve"> </w:t>
      </w:r>
      <w:r w:rsidR="00554E2B" w:rsidRPr="004B3F62">
        <w:t>zdravotním</w:t>
      </w:r>
      <w:r w:rsidR="00554E2B">
        <w:t xml:space="preserve"> </w:t>
      </w:r>
      <w:r w:rsidR="00554E2B" w:rsidRPr="004B3F62">
        <w:t>postižením</w:t>
      </w:r>
      <w:r w:rsidR="00554E2B">
        <w:t xml:space="preserve"> </w:t>
      </w:r>
      <w:r w:rsidR="00554E2B" w:rsidRPr="004B3F62">
        <w:t>nebo</w:t>
      </w:r>
      <w:r w:rsidR="00554E2B">
        <w:t xml:space="preserve"> </w:t>
      </w:r>
      <w:r w:rsidR="00554E2B" w:rsidRPr="004B3F62">
        <w:t>s</w:t>
      </w:r>
      <w:r w:rsidR="00554E2B">
        <w:t xml:space="preserve"> </w:t>
      </w:r>
      <w:r w:rsidR="00554E2B" w:rsidRPr="004B3F62">
        <w:t>omezenou</w:t>
      </w:r>
      <w:r w:rsidR="00554E2B">
        <w:t xml:space="preserve"> </w:t>
      </w:r>
      <w:r w:rsidR="00554E2B" w:rsidRPr="004B3F62">
        <w:t>schopností</w:t>
      </w:r>
      <w:r w:rsidR="00554E2B">
        <w:t xml:space="preserve"> </w:t>
      </w:r>
      <w:r w:rsidR="00554E2B" w:rsidRPr="004B3F62">
        <w:t>pohybu</w:t>
      </w:r>
      <w:r w:rsidR="00554E2B">
        <w:t xml:space="preserve"> </w:t>
      </w:r>
      <w:r w:rsidR="00554E2B" w:rsidRPr="004B3F62">
        <w:t>a</w:t>
      </w:r>
      <w:r w:rsidR="00554E2B">
        <w:t xml:space="preserve"> </w:t>
      </w:r>
      <w:r w:rsidR="00554E2B" w:rsidRPr="004B3F62">
        <w:t>orientace</w:t>
      </w:r>
      <w:r w:rsidR="00554E2B">
        <w:t xml:space="preserve"> </w:t>
      </w:r>
      <w:r w:rsidR="00554E2B" w:rsidRPr="004B3F62">
        <w:t>stanoveným</w:t>
      </w:r>
      <w:r w:rsidR="00554E2B">
        <w:t xml:space="preserve"> </w:t>
      </w:r>
      <w:r w:rsidR="00554E2B" w:rsidRPr="004B3F62">
        <w:t>způsobem</w:t>
      </w:r>
      <w:r w:rsidR="00554E2B">
        <w:t xml:space="preserve"> </w:t>
      </w:r>
      <w:r w:rsidR="00554E2B" w:rsidRPr="004B3F62">
        <w:t>pomoc</w:t>
      </w:r>
      <w:r w:rsidR="00554E2B">
        <w:t xml:space="preserve"> </w:t>
      </w:r>
      <w:r w:rsidR="00554E2B" w:rsidRPr="004B3F62">
        <w:t>v</w:t>
      </w:r>
      <w:r w:rsidR="00554E2B">
        <w:t xml:space="preserve"> </w:t>
      </w:r>
      <w:r w:rsidR="00554E2B" w:rsidRPr="004B3F62">
        <w:t>železniční</w:t>
      </w:r>
      <w:r w:rsidR="00554E2B">
        <w:t xml:space="preserve"> </w:t>
      </w:r>
      <w:r w:rsidR="00554E2B" w:rsidRPr="004B3F62">
        <w:t>stanici</w:t>
      </w:r>
      <w:r w:rsidR="00554E2B">
        <w:t xml:space="preserve"> </w:t>
      </w:r>
      <w:r w:rsidR="00554E2B" w:rsidRPr="004B3F62">
        <w:t>nebo</w:t>
      </w:r>
      <w:r w:rsidR="00554E2B">
        <w:t xml:space="preserve"> </w:t>
      </w:r>
      <w:r w:rsidR="00554E2B" w:rsidRPr="004B3F62">
        <w:t>ve</w:t>
      </w:r>
      <w:r w:rsidR="00554E2B">
        <w:t xml:space="preserve"> </w:t>
      </w:r>
      <w:r w:rsidR="00554E2B" w:rsidRPr="004B3F62">
        <w:t>vlaku,</w:t>
      </w:r>
    </w:p>
    <w:p w14:paraId="45798246" w14:textId="6169AD85" w:rsidR="00554E2B" w:rsidRPr="004B3F62" w:rsidRDefault="002474FB" w:rsidP="00613FAA">
      <w:pPr>
        <w:pStyle w:val="Textparagrafu"/>
        <w:tabs>
          <w:tab w:val="left" w:pos="406"/>
          <w:tab w:val="left" w:pos="868"/>
        </w:tabs>
        <w:spacing w:before="0"/>
        <w:ind w:left="868" w:hanging="709"/>
      </w:pPr>
      <w:r>
        <w:tab/>
      </w:r>
      <w:r w:rsidR="00554E2B" w:rsidRPr="004B3F62">
        <w:t>3.</w:t>
      </w:r>
      <w:r>
        <w:tab/>
      </w:r>
      <w:r w:rsidR="00554E2B" w:rsidRPr="004B3F62">
        <w:t>neposkytne</w:t>
      </w:r>
      <w:r w:rsidR="00554E2B">
        <w:t xml:space="preserve"> </w:t>
      </w:r>
      <w:r w:rsidR="00554E2B" w:rsidRPr="004B3F62">
        <w:t>v</w:t>
      </w:r>
      <w:r w:rsidR="00554E2B">
        <w:t xml:space="preserve"> </w:t>
      </w:r>
      <w:r w:rsidR="00554E2B" w:rsidRPr="004B3F62">
        <w:t>případě</w:t>
      </w:r>
      <w:r w:rsidR="00554E2B">
        <w:t xml:space="preserve"> </w:t>
      </w:r>
      <w:r w:rsidR="00554E2B" w:rsidRPr="004B3F62">
        <w:t>ztráty</w:t>
      </w:r>
      <w:r w:rsidR="00554E2B">
        <w:t xml:space="preserve"> </w:t>
      </w:r>
      <w:r w:rsidR="00554E2B" w:rsidRPr="004B3F62">
        <w:t>nebo</w:t>
      </w:r>
      <w:r w:rsidR="00554E2B">
        <w:t xml:space="preserve"> </w:t>
      </w:r>
      <w:r w:rsidR="00554E2B" w:rsidRPr="004B3F62">
        <w:t>poškození</w:t>
      </w:r>
      <w:r w:rsidR="00554E2B">
        <w:t xml:space="preserve"> </w:t>
      </w:r>
      <w:r w:rsidR="00554E2B" w:rsidRPr="004B3F62">
        <w:t>vybavení</w:t>
      </w:r>
      <w:r w:rsidR="00554E2B">
        <w:t xml:space="preserve"> </w:t>
      </w:r>
      <w:r w:rsidR="00554E2B" w:rsidRPr="004B3F62">
        <w:t>nebo</w:t>
      </w:r>
      <w:r w:rsidR="00554E2B">
        <w:t xml:space="preserve"> </w:t>
      </w:r>
      <w:r w:rsidR="00554E2B" w:rsidRPr="004B3F62">
        <w:t>pomůcky</w:t>
      </w:r>
      <w:r w:rsidR="00554E2B">
        <w:t xml:space="preserve"> </w:t>
      </w:r>
      <w:r w:rsidR="00554E2B" w:rsidRPr="004B3F62">
        <w:t>anebo</w:t>
      </w:r>
      <w:r w:rsidR="00554E2B">
        <w:t xml:space="preserve"> </w:t>
      </w:r>
      <w:r w:rsidR="00554E2B" w:rsidRPr="004B3F62">
        <w:t>v</w:t>
      </w:r>
      <w:r w:rsidR="00554E2B">
        <w:t xml:space="preserve"> </w:t>
      </w:r>
      <w:r w:rsidR="00554E2B" w:rsidRPr="004B3F62">
        <w:t>případě</w:t>
      </w:r>
      <w:r w:rsidR="00554E2B">
        <w:t xml:space="preserve"> </w:t>
      </w:r>
      <w:r w:rsidR="00554E2B" w:rsidRPr="004B3F62">
        <w:t>ztráty</w:t>
      </w:r>
      <w:r w:rsidR="00554E2B">
        <w:t xml:space="preserve"> </w:t>
      </w:r>
      <w:r w:rsidR="00554E2B" w:rsidRPr="004B3F62">
        <w:t>nebo</w:t>
      </w:r>
      <w:r w:rsidR="00554E2B">
        <w:t xml:space="preserve"> </w:t>
      </w:r>
      <w:r w:rsidR="00554E2B" w:rsidRPr="004B3F62">
        <w:t>zranění</w:t>
      </w:r>
      <w:r w:rsidR="00554E2B">
        <w:t xml:space="preserve"> </w:t>
      </w:r>
      <w:r w:rsidR="00554E2B" w:rsidRPr="004B3F62">
        <w:t>vodícího</w:t>
      </w:r>
      <w:r w:rsidR="00554E2B">
        <w:t xml:space="preserve"> </w:t>
      </w:r>
      <w:r w:rsidR="00554E2B" w:rsidRPr="004B3F62">
        <w:t>nebo</w:t>
      </w:r>
      <w:r w:rsidR="00554E2B">
        <w:t xml:space="preserve"> </w:t>
      </w:r>
      <w:r w:rsidR="00554E2B" w:rsidRPr="004B3F62">
        <w:t>asistenčního</w:t>
      </w:r>
      <w:r w:rsidR="00554E2B">
        <w:t xml:space="preserve"> </w:t>
      </w:r>
      <w:r w:rsidR="00554E2B" w:rsidRPr="004B3F62">
        <w:t>psa</w:t>
      </w:r>
      <w:r w:rsidR="00554E2B">
        <w:t xml:space="preserve"> </w:t>
      </w:r>
      <w:r w:rsidR="00554E2B" w:rsidRPr="004B3F62">
        <w:t>osobě</w:t>
      </w:r>
      <w:r w:rsidR="00554E2B">
        <w:t xml:space="preserve"> </w:t>
      </w:r>
      <w:r w:rsidR="00554E2B" w:rsidRPr="004B3F62">
        <w:t>se</w:t>
      </w:r>
      <w:r w:rsidR="00554E2B">
        <w:t xml:space="preserve"> </w:t>
      </w:r>
      <w:r w:rsidR="00554E2B" w:rsidRPr="004B3F62">
        <w:t>zdravotním</w:t>
      </w:r>
      <w:r w:rsidR="00554E2B">
        <w:t xml:space="preserve"> </w:t>
      </w:r>
      <w:r w:rsidR="00554E2B" w:rsidRPr="004B3F62">
        <w:t>postižením</w:t>
      </w:r>
      <w:r w:rsidR="00554E2B">
        <w:t xml:space="preserve"> </w:t>
      </w:r>
      <w:r w:rsidR="00554E2B" w:rsidRPr="004B3F62">
        <w:t>nebo</w:t>
      </w:r>
      <w:r w:rsidR="00554E2B">
        <w:t xml:space="preserve"> </w:t>
      </w:r>
      <w:r w:rsidR="00554E2B" w:rsidRPr="004B3F62">
        <w:t>s</w:t>
      </w:r>
      <w:r w:rsidR="00554E2B">
        <w:t xml:space="preserve"> </w:t>
      </w:r>
      <w:r w:rsidR="00554E2B" w:rsidRPr="004B3F62">
        <w:t>omezenou</w:t>
      </w:r>
      <w:r w:rsidR="00554E2B">
        <w:t xml:space="preserve"> </w:t>
      </w:r>
      <w:r w:rsidR="00554E2B" w:rsidRPr="004B3F62">
        <w:t>schopností</w:t>
      </w:r>
      <w:r w:rsidR="00554E2B">
        <w:t xml:space="preserve"> </w:t>
      </w:r>
      <w:r w:rsidR="00554E2B" w:rsidRPr="004B3F62">
        <w:t>pohybu</w:t>
      </w:r>
      <w:r w:rsidR="00554E2B">
        <w:t xml:space="preserve"> </w:t>
      </w:r>
      <w:r w:rsidR="00554E2B" w:rsidRPr="004B3F62">
        <w:t>a</w:t>
      </w:r>
      <w:r w:rsidR="00554E2B">
        <w:t xml:space="preserve"> </w:t>
      </w:r>
      <w:r w:rsidR="00554E2B" w:rsidRPr="004B3F62">
        <w:t>orientace</w:t>
      </w:r>
      <w:r w:rsidR="00554E2B">
        <w:t xml:space="preserve"> </w:t>
      </w:r>
      <w:r w:rsidR="00554E2B" w:rsidRPr="004B3F62">
        <w:t>včas</w:t>
      </w:r>
      <w:r w:rsidR="00554E2B">
        <w:t xml:space="preserve"> </w:t>
      </w:r>
      <w:r w:rsidR="00554E2B" w:rsidRPr="004B3F62">
        <w:t>jejich</w:t>
      </w:r>
      <w:r w:rsidR="00554E2B">
        <w:t xml:space="preserve"> </w:t>
      </w:r>
      <w:r w:rsidR="00554E2B" w:rsidRPr="004B3F62">
        <w:t>dočasnou</w:t>
      </w:r>
      <w:r w:rsidR="00554E2B">
        <w:t xml:space="preserve"> </w:t>
      </w:r>
      <w:r w:rsidR="00554E2B" w:rsidRPr="004B3F62">
        <w:t>náhradu</w:t>
      </w:r>
      <w:r w:rsidR="00554E2B">
        <w:t xml:space="preserve"> </w:t>
      </w:r>
      <w:r w:rsidR="00554E2B" w:rsidRPr="004B3F62">
        <w:t>nebo</w:t>
      </w:r>
      <w:r w:rsidR="00554E2B">
        <w:t xml:space="preserve"> </w:t>
      </w:r>
      <w:r w:rsidR="00554E2B" w:rsidRPr="004B3F62">
        <w:t>v</w:t>
      </w:r>
      <w:r w:rsidR="00554E2B">
        <w:t xml:space="preserve"> </w:t>
      </w:r>
      <w:r w:rsidR="00554E2B" w:rsidRPr="004B3F62">
        <w:t>takovém</w:t>
      </w:r>
      <w:r w:rsidR="00554E2B">
        <w:t xml:space="preserve"> </w:t>
      </w:r>
      <w:r w:rsidR="00554E2B" w:rsidRPr="004B3F62">
        <w:t>případě</w:t>
      </w:r>
      <w:r w:rsidR="00554E2B">
        <w:t xml:space="preserve"> </w:t>
      </w:r>
      <w:r w:rsidR="00554E2B" w:rsidRPr="004B3F62">
        <w:t>neposkytne</w:t>
      </w:r>
      <w:r w:rsidR="00554E2B">
        <w:t xml:space="preserve"> </w:t>
      </w:r>
      <w:r w:rsidR="00554E2B" w:rsidRPr="004B3F62">
        <w:t>odškodnění</w:t>
      </w:r>
      <w:r w:rsidR="00554E2B">
        <w:t xml:space="preserve"> </w:t>
      </w:r>
      <w:r w:rsidR="00554E2B" w:rsidRPr="004B3F62">
        <w:t>ve</w:t>
      </w:r>
      <w:r w:rsidR="00554E2B">
        <w:t xml:space="preserve"> </w:t>
      </w:r>
      <w:r w:rsidR="00554E2B" w:rsidRPr="004B3F62">
        <w:t>stanovené</w:t>
      </w:r>
      <w:r w:rsidR="00554E2B">
        <w:t xml:space="preserve"> </w:t>
      </w:r>
      <w:r w:rsidR="00554E2B" w:rsidRPr="004B3F62">
        <w:t>výši,</w:t>
      </w:r>
    </w:p>
    <w:p w14:paraId="6187855A" w14:textId="2E329FA9" w:rsidR="00554E2B" w:rsidRPr="004B3F62" w:rsidRDefault="002474FB" w:rsidP="00613FAA">
      <w:pPr>
        <w:pStyle w:val="Textparagrafu"/>
        <w:tabs>
          <w:tab w:val="left" w:pos="406"/>
          <w:tab w:val="left" w:pos="868"/>
        </w:tabs>
        <w:spacing w:before="0"/>
        <w:ind w:left="868" w:hanging="709"/>
      </w:pPr>
      <w:r>
        <w:tab/>
      </w:r>
      <w:r w:rsidR="00554E2B" w:rsidRPr="004B3F62">
        <w:t>4.</w:t>
      </w:r>
      <w:r>
        <w:tab/>
      </w:r>
      <w:r w:rsidR="00554E2B" w:rsidRPr="004B3F62">
        <w:t>nezajistí,</w:t>
      </w:r>
      <w:r w:rsidR="00554E2B">
        <w:t xml:space="preserve"> </w:t>
      </w:r>
      <w:r w:rsidR="00554E2B" w:rsidRPr="004B3F62">
        <w:t>aby</w:t>
      </w:r>
      <w:r w:rsidR="00554E2B">
        <w:t xml:space="preserve"> </w:t>
      </w:r>
      <w:r w:rsidR="00554E2B" w:rsidRPr="004B3F62">
        <w:t>stanovený</w:t>
      </w:r>
      <w:r w:rsidR="00554E2B">
        <w:t xml:space="preserve"> </w:t>
      </w:r>
      <w:r w:rsidR="00554E2B" w:rsidRPr="004B3F62">
        <w:t>zaměstnanec</w:t>
      </w:r>
      <w:r w:rsidR="00554E2B">
        <w:t xml:space="preserve"> </w:t>
      </w:r>
      <w:r w:rsidR="00554E2B" w:rsidRPr="004B3F62">
        <w:t>absolvoval</w:t>
      </w:r>
      <w:r w:rsidR="00554E2B">
        <w:t xml:space="preserve"> </w:t>
      </w:r>
      <w:r w:rsidR="00554E2B" w:rsidRPr="004B3F62">
        <w:t>školení</w:t>
      </w:r>
      <w:r w:rsidR="00554E2B">
        <w:t xml:space="preserve"> </w:t>
      </w:r>
      <w:r w:rsidR="00554E2B" w:rsidRPr="004B3F62">
        <w:t>týkající</w:t>
      </w:r>
      <w:r w:rsidR="00554E2B">
        <w:t xml:space="preserve"> </w:t>
      </w:r>
      <w:r w:rsidR="00554E2B" w:rsidRPr="004B3F62">
        <w:t>se</w:t>
      </w:r>
      <w:r w:rsidR="00554E2B">
        <w:t xml:space="preserve"> </w:t>
      </w:r>
      <w:r w:rsidR="00554E2B" w:rsidRPr="004B3F62">
        <w:t>potřeb</w:t>
      </w:r>
      <w:r w:rsidR="00554E2B">
        <w:t xml:space="preserve"> </w:t>
      </w:r>
      <w:r w:rsidR="00554E2B" w:rsidRPr="004B3F62">
        <w:t>osob</w:t>
      </w:r>
      <w:r w:rsidR="00554E2B">
        <w:t xml:space="preserve"> </w:t>
      </w:r>
      <w:r w:rsidR="00554E2B" w:rsidRPr="004B3F62">
        <w:t>se</w:t>
      </w:r>
      <w:r w:rsidR="00554E2B">
        <w:t xml:space="preserve"> </w:t>
      </w:r>
      <w:r w:rsidR="00554E2B" w:rsidRPr="004B3F62">
        <w:t>zdravotním</w:t>
      </w:r>
      <w:r w:rsidR="00554E2B">
        <w:t xml:space="preserve"> </w:t>
      </w:r>
      <w:r w:rsidR="00554E2B" w:rsidRPr="004B3F62">
        <w:t>postižením</w:t>
      </w:r>
      <w:r w:rsidR="00554E2B">
        <w:t xml:space="preserve"> </w:t>
      </w:r>
      <w:r w:rsidR="00554E2B" w:rsidRPr="004B3F62">
        <w:t>nebo</w:t>
      </w:r>
      <w:r w:rsidR="00554E2B">
        <w:t xml:space="preserve"> </w:t>
      </w:r>
      <w:r w:rsidR="00554E2B" w:rsidRPr="004B3F62">
        <w:t>s</w:t>
      </w:r>
      <w:r w:rsidR="00554E2B">
        <w:t xml:space="preserve"> </w:t>
      </w:r>
      <w:r w:rsidR="00554E2B" w:rsidRPr="004B3F62">
        <w:t>omezenou</w:t>
      </w:r>
      <w:r w:rsidR="00554E2B">
        <w:t xml:space="preserve"> </w:t>
      </w:r>
      <w:r w:rsidR="00554E2B" w:rsidRPr="004B3F62">
        <w:t>schopností</w:t>
      </w:r>
      <w:r w:rsidR="00554E2B">
        <w:t xml:space="preserve"> </w:t>
      </w:r>
      <w:r w:rsidR="00554E2B" w:rsidRPr="004B3F62">
        <w:t>pohybu</w:t>
      </w:r>
      <w:r w:rsidR="00554E2B">
        <w:t xml:space="preserve"> </w:t>
      </w:r>
      <w:r w:rsidR="00554E2B" w:rsidRPr="004B3F62">
        <w:t>a</w:t>
      </w:r>
      <w:r w:rsidR="00554E2B">
        <w:t xml:space="preserve"> </w:t>
      </w:r>
      <w:r w:rsidR="00554E2B" w:rsidRPr="004B3F62">
        <w:t>orientace,</w:t>
      </w:r>
      <w:r w:rsidR="00554E2B">
        <w:t xml:space="preserve"> </w:t>
      </w:r>
      <w:r w:rsidR="00554E2B" w:rsidRPr="004B3F62">
        <w:t>nebo</w:t>
      </w:r>
    </w:p>
    <w:p w14:paraId="2713CA4E" w14:textId="6723CFCA" w:rsidR="00554E2B" w:rsidRDefault="002474FB" w:rsidP="00A62843">
      <w:pPr>
        <w:pStyle w:val="Textparagrafu"/>
        <w:tabs>
          <w:tab w:val="left" w:pos="406"/>
          <w:tab w:val="left" w:pos="868"/>
        </w:tabs>
        <w:spacing w:before="0"/>
        <w:ind w:left="868" w:hanging="868"/>
      </w:pPr>
      <w:r>
        <w:tab/>
      </w:r>
      <w:r w:rsidR="00554E2B" w:rsidRPr="004B3F62">
        <w:t>5.</w:t>
      </w:r>
      <w:r>
        <w:tab/>
      </w:r>
      <w:r w:rsidR="00554E2B" w:rsidRPr="004B3F62">
        <w:t>nezavede</w:t>
      </w:r>
      <w:r w:rsidR="00554E2B">
        <w:t xml:space="preserve"> </w:t>
      </w:r>
      <w:r w:rsidR="00554E2B" w:rsidRPr="004B3F62">
        <w:t>systém</w:t>
      </w:r>
      <w:r w:rsidR="00554E2B">
        <w:t xml:space="preserve"> </w:t>
      </w:r>
      <w:r w:rsidR="00554E2B" w:rsidRPr="004B3F62">
        <w:t>pro</w:t>
      </w:r>
      <w:r w:rsidR="00554E2B">
        <w:t xml:space="preserve"> </w:t>
      </w:r>
      <w:r w:rsidR="00554E2B" w:rsidRPr="004B3F62">
        <w:t>vyřizování</w:t>
      </w:r>
      <w:r w:rsidR="00554E2B">
        <w:t xml:space="preserve"> </w:t>
      </w:r>
      <w:r w:rsidR="00554E2B" w:rsidRPr="004B3F62">
        <w:t>stížností</w:t>
      </w:r>
      <w:r w:rsidR="00554E2B">
        <w:t xml:space="preserve"> </w:t>
      </w:r>
      <w:r w:rsidR="00554E2B" w:rsidRPr="004B3F62">
        <w:t>týkajících</w:t>
      </w:r>
      <w:r w:rsidR="00554E2B">
        <w:t xml:space="preserve"> </w:t>
      </w:r>
      <w:r w:rsidR="00554E2B" w:rsidRPr="004B3F62">
        <w:t>se</w:t>
      </w:r>
      <w:r w:rsidR="00554E2B">
        <w:t xml:space="preserve"> </w:t>
      </w:r>
      <w:r w:rsidR="00554E2B" w:rsidRPr="004B3F62">
        <w:t>práv</w:t>
      </w:r>
      <w:r w:rsidR="00554E2B">
        <w:t xml:space="preserve"> </w:t>
      </w:r>
      <w:r w:rsidR="00554E2B" w:rsidRPr="004B3F62">
        <w:t>a</w:t>
      </w:r>
      <w:r w:rsidR="00554E2B">
        <w:t xml:space="preserve"> </w:t>
      </w:r>
      <w:r w:rsidR="00554E2B" w:rsidRPr="004B3F62">
        <w:t>povinností</w:t>
      </w:r>
      <w:r w:rsidR="00554E2B">
        <w:t xml:space="preserve"> </w:t>
      </w:r>
      <w:r w:rsidR="00554E2B" w:rsidRPr="004B3F62">
        <w:t>cestujících,</w:t>
      </w:r>
      <w:r w:rsidR="00554E2B">
        <w:t xml:space="preserve"> </w:t>
      </w:r>
      <w:r w:rsidR="00554E2B" w:rsidRPr="004B3F62">
        <w:t>nevyřídí</w:t>
      </w:r>
      <w:r w:rsidR="00554E2B">
        <w:t xml:space="preserve"> </w:t>
      </w:r>
      <w:r w:rsidR="00554E2B" w:rsidRPr="004B3F62">
        <w:t>včas</w:t>
      </w:r>
      <w:r w:rsidR="00554E2B">
        <w:t xml:space="preserve"> </w:t>
      </w:r>
      <w:r w:rsidR="00554E2B" w:rsidRPr="004B3F62">
        <w:t>nebo</w:t>
      </w:r>
      <w:r w:rsidR="00554E2B">
        <w:t xml:space="preserve"> </w:t>
      </w:r>
      <w:r w:rsidR="00554E2B" w:rsidRPr="004B3F62">
        <w:t>stanoveným</w:t>
      </w:r>
      <w:r w:rsidR="00554E2B">
        <w:t xml:space="preserve"> </w:t>
      </w:r>
      <w:r w:rsidR="00554E2B" w:rsidRPr="004B3F62">
        <w:t>způsobem</w:t>
      </w:r>
      <w:r w:rsidR="00554E2B">
        <w:t xml:space="preserve"> </w:t>
      </w:r>
      <w:r w:rsidR="00554E2B" w:rsidRPr="004B3F62">
        <w:t>přijatou</w:t>
      </w:r>
      <w:r w:rsidR="00554E2B">
        <w:t xml:space="preserve"> </w:t>
      </w:r>
      <w:r w:rsidR="00554E2B" w:rsidRPr="004B3F62">
        <w:t>stížnost</w:t>
      </w:r>
      <w:r w:rsidR="00554E2B">
        <w:t xml:space="preserve"> </w:t>
      </w:r>
      <w:r w:rsidR="00554E2B" w:rsidRPr="004B3F62">
        <w:t>anebo</w:t>
      </w:r>
      <w:r w:rsidR="00554E2B">
        <w:t xml:space="preserve"> </w:t>
      </w:r>
      <w:r w:rsidR="00554E2B" w:rsidRPr="004B3F62">
        <w:t>neuchová</w:t>
      </w:r>
      <w:r w:rsidR="00554E2B">
        <w:t xml:space="preserve"> </w:t>
      </w:r>
      <w:r w:rsidR="00554E2B" w:rsidRPr="004B3F62">
        <w:t>údaje</w:t>
      </w:r>
      <w:r w:rsidR="00554E2B">
        <w:t xml:space="preserve"> </w:t>
      </w:r>
      <w:r w:rsidR="00554E2B" w:rsidRPr="004B3F62">
        <w:t>související</w:t>
      </w:r>
      <w:r w:rsidR="00554E2B">
        <w:t xml:space="preserve"> </w:t>
      </w:r>
      <w:r w:rsidR="00554E2B" w:rsidRPr="004B3F62">
        <w:t>s</w:t>
      </w:r>
      <w:r w:rsidR="00554E2B">
        <w:t xml:space="preserve"> </w:t>
      </w:r>
      <w:r w:rsidR="00554E2B" w:rsidRPr="004B3F62">
        <w:t>vyřizováním</w:t>
      </w:r>
      <w:r w:rsidR="00554E2B">
        <w:t xml:space="preserve"> </w:t>
      </w:r>
      <w:r w:rsidR="00554E2B" w:rsidRPr="004B3F62">
        <w:t>přijatých</w:t>
      </w:r>
      <w:r w:rsidR="00554E2B">
        <w:t xml:space="preserve"> </w:t>
      </w:r>
      <w:r w:rsidR="00554E2B" w:rsidRPr="004B3F62">
        <w:t>stížností,</w:t>
      </w:r>
    </w:p>
    <w:p w14:paraId="3D44C86F" w14:textId="2900000A" w:rsidR="00554E2B" w:rsidRPr="004B3F62" w:rsidRDefault="00554E2B" w:rsidP="00812ECA">
      <w:pPr>
        <w:pStyle w:val="Textparagrafu"/>
        <w:tabs>
          <w:tab w:val="left" w:pos="406"/>
          <w:tab w:val="left" w:pos="868"/>
        </w:tabs>
        <w:spacing w:before="0"/>
        <w:ind w:left="426" w:hanging="426"/>
      </w:pPr>
      <w:r w:rsidRPr="004B3F62">
        <w:t>f)</w:t>
      </w:r>
      <w:r w:rsidR="002474FB">
        <w:tab/>
      </w:r>
      <w:r w:rsidRPr="004B3F62">
        <w:t>dopravce,</w:t>
      </w:r>
      <w:r>
        <w:t xml:space="preserve"> </w:t>
      </w:r>
      <w:r w:rsidRPr="004B3F62">
        <w:t>prodejce</w:t>
      </w:r>
      <w:r>
        <w:t xml:space="preserve"> </w:t>
      </w:r>
      <w:r w:rsidRPr="004B3F62">
        <w:t>jízdních</w:t>
      </w:r>
      <w:r>
        <w:t xml:space="preserve"> </w:t>
      </w:r>
      <w:r w:rsidRPr="004B3F62">
        <w:t>a</w:t>
      </w:r>
      <w:r>
        <w:t xml:space="preserve"> </w:t>
      </w:r>
      <w:r w:rsidRPr="004B3F62">
        <w:t>přepravních</w:t>
      </w:r>
      <w:r>
        <w:t xml:space="preserve"> </w:t>
      </w:r>
      <w:r w:rsidRPr="004B3F62">
        <w:t>dokladů,</w:t>
      </w:r>
      <w:r>
        <w:t xml:space="preserve"> </w:t>
      </w:r>
      <w:r w:rsidRPr="004B3F62">
        <w:t>provozovatel</w:t>
      </w:r>
      <w:r>
        <w:t xml:space="preserve"> </w:t>
      </w:r>
      <w:r w:rsidRPr="004B3F62">
        <w:t>cestovní</w:t>
      </w:r>
      <w:r>
        <w:t xml:space="preserve"> </w:t>
      </w:r>
      <w:r w:rsidRPr="004B3F62">
        <w:t>kanceláře</w:t>
      </w:r>
      <w:r>
        <w:t xml:space="preserve"> </w:t>
      </w:r>
      <w:r w:rsidRPr="004B3F62">
        <w:t>nebo</w:t>
      </w:r>
      <w:r>
        <w:t xml:space="preserve"> </w:t>
      </w:r>
      <w:r w:rsidRPr="004B3F62">
        <w:t>provozovatel</w:t>
      </w:r>
      <w:r>
        <w:t xml:space="preserve"> </w:t>
      </w:r>
      <w:r w:rsidRPr="004B3F62">
        <w:t>cestovní</w:t>
      </w:r>
      <w:r>
        <w:t xml:space="preserve"> </w:t>
      </w:r>
      <w:r w:rsidRPr="004B3F62">
        <w:t>agentury</w:t>
      </w:r>
    </w:p>
    <w:p w14:paraId="12CA29B6" w14:textId="72171348" w:rsidR="00554E2B" w:rsidRPr="004B3F62" w:rsidRDefault="002474FB" w:rsidP="00A62843">
      <w:pPr>
        <w:pStyle w:val="Textparagrafu"/>
        <w:tabs>
          <w:tab w:val="left" w:pos="406"/>
          <w:tab w:val="left" w:pos="868"/>
        </w:tabs>
        <w:spacing w:before="0"/>
        <w:ind w:left="868" w:hanging="868"/>
      </w:pPr>
      <w:r>
        <w:tab/>
      </w:r>
      <w:r w:rsidR="00554E2B" w:rsidRPr="004B3F62">
        <w:t>1.</w:t>
      </w:r>
      <w:r>
        <w:tab/>
      </w:r>
      <w:r w:rsidR="00554E2B" w:rsidRPr="004B3F62">
        <w:t>diskriminuje</w:t>
      </w:r>
      <w:r w:rsidR="00554E2B">
        <w:t xml:space="preserve"> </w:t>
      </w:r>
      <w:r w:rsidR="00554E2B" w:rsidRPr="004B3F62">
        <w:t>v</w:t>
      </w:r>
      <w:r w:rsidR="00554E2B">
        <w:t xml:space="preserve"> </w:t>
      </w:r>
      <w:r w:rsidR="00554E2B" w:rsidRPr="004B3F62">
        <w:t>rámci</w:t>
      </w:r>
      <w:r w:rsidR="00554E2B">
        <w:t xml:space="preserve"> </w:t>
      </w:r>
      <w:r w:rsidR="00554E2B" w:rsidRPr="004B3F62">
        <w:t>přepravních</w:t>
      </w:r>
      <w:r w:rsidR="00554E2B">
        <w:t xml:space="preserve"> </w:t>
      </w:r>
      <w:r w:rsidR="00554E2B" w:rsidRPr="004B3F62">
        <w:t>podmínek,</w:t>
      </w:r>
      <w:r w:rsidR="00554E2B">
        <w:t xml:space="preserve"> </w:t>
      </w:r>
      <w:r w:rsidR="00554E2B" w:rsidRPr="004B3F62">
        <w:t>tarifu</w:t>
      </w:r>
      <w:r w:rsidR="00554E2B">
        <w:t xml:space="preserve"> </w:t>
      </w:r>
      <w:r w:rsidR="00554E2B" w:rsidRPr="004B3F62">
        <w:t>nebo</w:t>
      </w:r>
      <w:r w:rsidR="00554E2B">
        <w:t xml:space="preserve"> </w:t>
      </w:r>
      <w:r w:rsidR="00554E2B" w:rsidRPr="004B3F62">
        <w:t>rezervace</w:t>
      </w:r>
      <w:r w:rsidR="00554E2B">
        <w:t xml:space="preserve"> </w:t>
      </w:r>
      <w:r w:rsidR="00554E2B" w:rsidRPr="004B3F62">
        <w:t>cestujícího</w:t>
      </w:r>
      <w:r w:rsidR="00554E2B">
        <w:t xml:space="preserve"> </w:t>
      </w:r>
      <w:r w:rsidR="00554E2B" w:rsidRPr="004B3F62">
        <w:t>na</w:t>
      </w:r>
      <w:r w:rsidR="00554E2B">
        <w:t xml:space="preserve"> </w:t>
      </w:r>
      <w:r w:rsidR="00554E2B" w:rsidRPr="004B3F62">
        <w:t>základě</w:t>
      </w:r>
      <w:r w:rsidR="00554E2B">
        <w:t xml:space="preserve"> </w:t>
      </w:r>
      <w:r w:rsidR="00554E2B" w:rsidRPr="004B3F62">
        <w:t>jeho</w:t>
      </w:r>
      <w:r w:rsidR="00554E2B">
        <w:t xml:space="preserve"> </w:t>
      </w:r>
      <w:r w:rsidR="00554E2B" w:rsidRPr="004B3F62">
        <w:t>státní</w:t>
      </w:r>
      <w:r w:rsidR="00554E2B">
        <w:t xml:space="preserve"> </w:t>
      </w:r>
      <w:r w:rsidR="00554E2B" w:rsidRPr="004B3F62">
        <w:t>příslušnosti</w:t>
      </w:r>
      <w:r w:rsidR="00554E2B">
        <w:t xml:space="preserve"> </w:t>
      </w:r>
      <w:r w:rsidR="00554E2B" w:rsidRPr="004B3F62">
        <w:t>nebo</w:t>
      </w:r>
      <w:r w:rsidR="00554E2B">
        <w:t xml:space="preserve"> </w:t>
      </w:r>
      <w:r w:rsidR="00554E2B" w:rsidRPr="004B3F62">
        <w:t>na</w:t>
      </w:r>
      <w:r w:rsidR="00554E2B">
        <w:t xml:space="preserve"> </w:t>
      </w:r>
      <w:r w:rsidR="00554E2B" w:rsidRPr="004B3F62">
        <w:t>základě</w:t>
      </w:r>
      <w:r w:rsidR="00554E2B">
        <w:t xml:space="preserve"> </w:t>
      </w:r>
      <w:r w:rsidR="00554E2B" w:rsidRPr="004B3F62">
        <w:t>místa</w:t>
      </w:r>
      <w:r w:rsidR="00554E2B">
        <w:t xml:space="preserve"> </w:t>
      </w:r>
      <w:r w:rsidR="00554E2B" w:rsidRPr="004B3F62">
        <w:t>usazení</w:t>
      </w:r>
      <w:r w:rsidR="00554E2B">
        <w:t xml:space="preserve"> </w:t>
      </w:r>
      <w:r w:rsidR="00554E2B" w:rsidRPr="004B3F62">
        <w:t>dopravce,</w:t>
      </w:r>
      <w:r w:rsidR="00554E2B">
        <w:t xml:space="preserve"> </w:t>
      </w:r>
      <w:r w:rsidR="00554E2B" w:rsidRPr="004B3F62">
        <w:t>prodejce</w:t>
      </w:r>
      <w:r w:rsidR="00554E2B">
        <w:t xml:space="preserve"> </w:t>
      </w:r>
      <w:r w:rsidR="00554E2B" w:rsidRPr="004B3F62">
        <w:t>jízdních</w:t>
      </w:r>
      <w:r w:rsidR="00554E2B">
        <w:t xml:space="preserve"> </w:t>
      </w:r>
      <w:r w:rsidR="00554E2B" w:rsidRPr="004B3F62">
        <w:t>a</w:t>
      </w:r>
      <w:r w:rsidR="00554E2B">
        <w:t xml:space="preserve"> </w:t>
      </w:r>
      <w:r w:rsidR="00554E2B" w:rsidRPr="004B3F62">
        <w:t>přepravních</w:t>
      </w:r>
      <w:r w:rsidR="00554E2B">
        <w:t xml:space="preserve"> </w:t>
      </w:r>
      <w:r w:rsidR="00554E2B" w:rsidRPr="004B3F62">
        <w:t>dokladů,</w:t>
      </w:r>
      <w:r w:rsidR="00554E2B">
        <w:t xml:space="preserve"> </w:t>
      </w:r>
      <w:r w:rsidR="00554E2B" w:rsidRPr="004B3F62">
        <w:t>provozovatele</w:t>
      </w:r>
      <w:r w:rsidR="00554E2B">
        <w:t xml:space="preserve"> </w:t>
      </w:r>
      <w:r w:rsidR="00554E2B" w:rsidRPr="004B3F62">
        <w:t>cestovní</w:t>
      </w:r>
      <w:r w:rsidR="00554E2B">
        <w:t xml:space="preserve"> </w:t>
      </w:r>
      <w:r w:rsidR="00554E2B" w:rsidRPr="004B3F62">
        <w:t>kanceláře</w:t>
      </w:r>
      <w:r w:rsidR="00554E2B">
        <w:t xml:space="preserve"> </w:t>
      </w:r>
      <w:r w:rsidR="00554E2B" w:rsidRPr="004B3F62">
        <w:t>nebo</w:t>
      </w:r>
      <w:r w:rsidR="00554E2B">
        <w:t xml:space="preserve"> </w:t>
      </w:r>
      <w:r w:rsidR="00554E2B" w:rsidRPr="004B3F62">
        <w:t>provozovatele</w:t>
      </w:r>
      <w:r w:rsidR="00554E2B">
        <w:t xml:space="preserve"> </w:t>
      </w:r>
      <w:r w:rsidR="00554E2B" w:rsidRPr="004B3F62">
        <w:t>cestovní</w:t>
      </w:r>
      <w:r w:rsidR="00554E2B">
        <w:t xml:space="preserve"> </w:t>
      </w:r>
      <w:r w:rsidR="00554E2B" w:rsidRPr="004B3F62">
        <w:t>agentury</w:t>
      </w:r>
      <w:r w:rsidR="00554E2B">
        <w:t xml:space="preserve"> </w:t>
      </w:r>
      <w:r w:rsidR="00554E2B" w:rsidRPr="004B3F62">
        <w:t>v</w:t>
      </w:r>
      <w:r w:rsidR="00554E2B">
        <w:t xml:space="preserve"> </w:t>
      </w:r>
      <w:r w:rsidR="00554E2B" w:rsidRPr="004B3F62">
        <w:t>členském</w:t>
      </w:r>
      <w:r w:rsidR="00554E2B">
        <w:t xml:space="preserve"> </w:t>
      </w:r>
      <w:r w:rsidR="00554E2B" w:rsidRPr="004B3F62">
        <w:t>státě,</w:t>
      </w:r>
    </w:p>
    <w:p w14:paraId="70AEE75B" w14:textId="33E038C2" w:rsidR="00554E2B" w:rsidRPr="004B3F62" w:rsidRDefault="002474FB" w:rsidP="002474FB">
      <w:pPr>
        <w:pStyle w:val="Textparagrafu"/>
        <w:tabs>
          <w:tab w:val="left" w:pos="406"/>
          <w:tab w:val="left" w:pos="868"/>
        </w:tabs>
        <w:spacing w:before="0"/>
        <w:ind w:firstLine="0"/>
      </w:pPr>
      <w:r>
        <w:tab/>
      </w:r>
      <w:r w:rsidR="00554E2B" w:rsidRPr="004B3F62">
        <w:t>2.</w:t>
      </w:r>
      <w:r>
        <w:tab/>
      </w:r>
      <w:r w:rsidR="00554E2B" w:rsidRPr="004B3F62">
        <w:t>nenabízí</w:t>
      </w:r>
      <w:r w:rsidR="00554E2B">
        <w:t xml:space="preserve"> </w:t>
      </w:r>
      <w:r w:rsidR="00554E2B" w:rsidRPr="004B3F62">
        <w:t>ve</w:t>
      </w:r>
      <w:r w:rsidR="00554E2B">
        <w:t xml:space="preserve"> </w:t>
      </w:r>
      <w:r w:rsidR="00554E2B" w:rsidRPr="004B3F62">
        <w:t>stanovených</w:t>
      </w:r>
      <w:r w:rsidR="00554E2B">
        <w:t xml:space="preserve"> </w:t>
      </w:r>
      <w:r w:rsidR="00554E2B" w:rsidRPr="004B3F62">
        <w:t>případech</w:t>
      </w:r>
      <w:r w:rsidR="00554E2B">
        <w:t xml:space="preserve"> </w:t>
      </w:r>
      <w:r w:rsidR="00554E2B" w:rsidRPr="004B3F62">
        <w:t>jízdní</w:t>
      </w:r>
      <w:r w:rsidR="00554E2B">
        <w:t xml:space="preserve"> </w:t>
      </w:r>
      <w:r w:rsidR="00554E2B" w:rsidRPr="004B3F62">
        <w:t>nebo</w:t>
      </w:r>
      <w:r w:rsidR="00554E2B">
        <w:t xml:space="preserve"> </w:t>
      </w:r>
      <w:r w:rsidR="00554E2B" w:rsidRPr="004B3F62">
        <w:t>přepravní</w:t>
      </w:r>
      <w:r w:rsidR="00554E2B">
        <w:t xml:space="preserve"> </w:t>
      </w:r>
      <w:r w:rsidR="00554E2B" w:rsidRPr="004B3F62">
        <w:t>doklady,</w:t>
      </w:r>
    </w:p>
    <w:p w14:paraId="00EE8FC3" w14:textId="3D5B3922" w:rsidR="00554E2B" w:rsidRPr="004B3F62" w:rsidRDefault="002474FB" w:rsidP="00A62843">
      <w:pPr>
        <w:pStyle w:val="Textparagrafu"/>
        <w:tabs>
          <w:tab w:val="left" w:pos="406"/>
          <w:tab w:val="left" w:pos="868"/>
        </w:tabs>
        <w:spacing w:before="0"/>
        <w:ind w:left="868" w:hanging="868"/>
      </w:pPr>
      <w:r>
        <w:tab/>
      </w:r>
      <w:r w:rsidR="00554E2B" w:rsidRPr="004B3F62">
        <w:t>3.</w:t>
      </w:r>
      <w:r>
        <w:tab/>
      </w:r>
      <w:r w:rsidR="00554E2B" w:rsidRPr="004B3F62">
        <w:t>odmítne</w:t>
      </w:r>
      <w:r w:rsidR="00554E2B">
        <w:t xml:space="preserve"> </w:t>
      </w:r>
      <w:r w:rsidR="00554E2B" w:rsidRPr="004B3F62">
        <w:t>přijmout</w:t>
      </w:r>
      <w:r w:rsidR="00554E2B">
        <w:t xml:space="preserve"> </w:t>
      </w:r>
      <w:r w:rsidR="00554E2B" w:rsidRPr="004B3F62">
        <w:t>rezervaci</w:t>
      </w:r>
      <w:r w:rsidR="00554E2B">
        <w:t xml:space="preserve"> </w:t>
      </w:r>
      <w:r w:rsidR="00554E2B" w:rsidRPr="004B3F62">
        <w:t>nebo</w:t>
      </w:r>
      <w:r w:rsidR="00554E2B">
        <w:t xml:space="preserve"> </w:t>
      </w:r>
      <w:r w:rsidR="00554E2B" w:rsidRPr="004B3F62">
        <w:t>nevystaví</w:t>
      </w:r>
      <w:r w:rsidR="00554E2B">
        <w:t xml:space="preserve"> </w:t>
      </w:r>
      <w:r w:rsidR="00554E2B" w:rsidRPr="004B3F62">
        <w:t>jízdní</w:t>
      </w:r>
      <w:r w:rsidR="00554E2B">
        <w:t xml:space="preserve"> </w:t>
      </w:r>
      <w:r w:rsidR="00554E2B" w:rsidRPr="004B3F62">
        <w:t>nebo</w:t>
      </w:r>
      <w:r w:rsidR="00554E2B">
        <w:t xml:space="preserve"> </w:t>
      </w:r>
      <w:r w:rsidR="00554E2B" w:rsidRPr="004B3F62">
        <w:t>přepravní</w:t>
      </w:r>
      <w:r w:rsidR="00554E2B">
        <w:t xml:space="preserve"> </w:t>
      </w:r>
      <w:r w:rsidR="00554E2B" w:rsidRPr="004B3F62">
        <w:t>doklad</w:t>
      </w:r>
      <w:r w:rsidR="00554E2B">
        <w:t xml:space="preserve"> </w:t>
      </w:r>
      <w:r w:rsidR="00554E2B" w:rsidRPr="004B3F62">
        <w:t>osobě</w:t>
      </w:r>
      <w:r w:rsidR="00554E2B">
        <w:t xml:space="preserve"> </w:t>
      </w:r>
      <w:r w:rsidR="00554E2B" w:rsidRPr="004B3F62">
        <w:t>se</w:t>
      </w:r>
      <w:r w:rsidR="00554E2B">
        <w:t xml:space="preserve"> </w:t>
      </w:r>
      <w:r w:rsidR="00554E2B" w:rsidRPr="004B3F62">
        <w:t>zdravotním</w:t>
      </w:r>
      <w:r w:rsidR="00554E2B">
        <w:t xml:space="preserve"> </w:t>
      </w:r>
      <w:r w:rsidR="00554E2B" w:rsidRPr="004B3F62">
        <w:t>postižením</w:t>
      </w:r>
      <w:r w:rsidR="00554E2B">
        <w:t xml:space="preserve"> </w:t>
      </w:r>
      <w:r w:rsidR="00554E2B" w:rsidRPr="004B3F62">
        <w:t>nebo</w:t>
      </w:r>
      <w:r w:rsidR="00554E2B">
        <w:t xml:space="preserve"> </w:t>
      </w:r>
      <w:r w:rsidR="00554E2B" w:rsidRPr="004B3F62">
        <w:t>s</w:t>
      </w:r>
      <w:r w:rsidR="00554E2B">
        <w:t xml:space="preserve"> </w:t>
      </w:r>
      <w:r w:rsidR="00554E2B" w:rsidRPr="004B3F62">
        <w:t>omezenou</w:t>
      </w:r>
      <w:r w:rsidR="00554E2B">
        <w:t xml:space="preserve"> </w:t>
      </w:r>
      <w:r w:rsidR="00554E2B" w:rsidRPr="004B3F62">
        <w:t>schopností</w:t>
      </w:r>
      <w:r w:rsidR="00554E2B">
        <w:t xml:space="preserve"> </w:t>
      </w:r>
      <w:r w:rsidR="00554E2B" w:rsidRPr="004B3F62">
        <w:t>pohybu</w:t>
      </w:r>
      <w:r w:rsidR="00554E2B">
        <w:t xml:space="preserve"> </w:t>
      </w:r>
      <w:r w:rsidR="00554E2B" w:rsidRPr="004B3F62">
        <w:t>a</w:t>
      </w:r>
      <w:r w:rsidR="00554E2B">
        <w:t xml:space="preserve"> </w:t>
      </w:r>
      <w:r w:rsidR="00554E2B" w:rsidRPr="004B3F62">
        <w:t>orientace,</w:t>
      </w:r>
      <w:r w:rsidR="00554E2B">
        <w:t xml:space="preserve"> </w:t>
      </w:r>
      <w:r w:rsidR="00554E2B" w:rsidRPr="004B3F62">
        <w:t>požaduje</w:t>
      </w:r>
      <w:r w:rsidR="00554E2B">
        <w:t xml:space="preserve"> </w:t>
      </w:r>
      <w:r w:rsidR="00554E2B" w:rsidRPr="004B3F62">
        <w:t>v</w:t>
      </w:r>
      <w:r w:rsidR="00554E2B">
        <w:t xml:space="preserve"> </w:t>
      </w:r>
      <w:r w:rsidR="00554E2B" w:rsidRPr="004B3F62">
        <w:t>souvislosti</w:t>
      </w:r>
      <w:r w:rsidR="00554E2B">
        <w:t xml:space="preserve"> </w:t>
      </w:r>
      <w:r w:rsidR="00554E2B" w:rsidRPr="004B3F62">
        <w:t>s</w:t>
      </w:r>
      <w:r w:rsidR="00554E2B">
        <w:t xml:space="preserve"> </w:t>
      </w:r>
      <w:r w:rsidR="00554E2B" w:rsidRPr="004B3F62">
        <w:t>přijetím</w:t>
      </w:r>
      <w:r w:rsidR="00554E2B">
        <w:t xml:space="preserve"> </w:t>
      </w:r>
      <w:r w:rsidR="00554E2B" w:rsidRPr="004B3F62">
        <w:t>rezervace</w:t>
      </w:r>
      <w:r w:rsidR="00554E2B">
        <w:t xml:space="preserve"> </w:t>
      </w:r>
      <w:r w:rsidR="00554E2B" w:rsidRPr="004B3F62">
        <w:t>nebo</w:t>
      </w:r>
      <w:r w:rsidR="00554E2B">
        <w:t xml:space="preserve"> </w:t>
      </w:r>
      <w:r w:rsidR="00554E2B" w:rsidRPr="004B3F62">
        <w:t>vystavením</w:t>
      </w:r>
      <w:r w:rsidR="00554E2B">
        <w:t xml:space="preserve"> </w:t>
      </w:r>
      <w:r w:rsidR="00554E2B" w:rsidRPr="004B3F62">
        <w:t>jízdního</w:t>
      </w:r>
      <w:r w:rsidR="00554E2B">
        <w:t xml:space="preserve"> </w:t>
      </w:r>
      <w:r w:rsidR="00554E2B" w:rsidRPr="004B3F62">
        <w:t>nebo</w:t>
      </w:r>
      <w:r w:rsidR="00554E2B">
        <w:t xml:space="preserve"> </w:t>
      </w:r>
      <w:r w:rsidR="00554E2B" w:rsidRPr="004B3F62">
        <w:t>přepravního</w:t>
      </w:r>
      <w:r w:rsidR="00554E2B">
        <w:t xml:space="preserve"> </w:t>
      </w:r>
      <w:r w:rsidR="00554E2B" w:rsidRPr="004B3F62">
        <w:t>dokladu</w:t>
      </w:r>
      <w:r w:rsidR="00554E2B">
        <w:t xml:space="preserve"> </w:t>
      </w:r>
      <w:r w:rsidR="00554E2B" w:rsidRPr="004B3F62">
        <w:t>takové</w:t>
      </w:r>
      <w:r w:rsidR="00554E2B">
        <w:t xml:space="preserve"> </w:t>
      </w:r>
      <w:r w:rsidR="00554E2B" w:rsidRPr="004B3F62">
        <w:t>osobě</w:t>
      </w:r>
      <w:r w:rsidR="00554E2B">
        <w:t xml:space="preserve"> </w:t>
      </w:r>
      <w:r w:rsidR="00554E2B" w:rsidRPr="004B3F62">
        <w:t>úhradu</w:t>
      </w:r>
      <w:r w:rsidR="00554E2B">
        <w:t xml:space="preserve"> </w:t>
      </w:r>
      <w:r w:rsidR="00554E2B" w:rsidRPr="004B3F62">
        <w:t>dodatečných</w:t>
      </w:r>
      <w:r w:rsidR="00554E2B">
        <w:t xml:space="preserve"> </w:t>
      </w:r>
      <w:r w:rsidR="00554E2B" w:rsidRPr="004B3F62">
        <w:t>nákladů</w:t>
      </w:r>
      <w:r w:rsidR="00554E2B">
        <w:t xml:space="preserve"> </w:t>
      </w:r>
      <w:r w:rsidR="00554E2B" w:rsidRPr="004B3F62">
        <w:t>anebo</w:t>
      </w:r>
      <w:r w:rsidR="00554E2B">
        <w:t xml:space="preserve"> </w:t>
      </w:r>
      <w:r w:rsidR="00554E2B" w:rsidRPr="004B3F62">
        <w:t>požaduje,</w:t>
      </w:r>
      <w:r w:rsidR="00554E2B">
        <w:t xml:space="preserve"> </w:t>
      </w:r>
      <w:r w:rsidR="00554E2B" w:rsidRPr="004B3F62">
        <w:t>aby</w:t>
      </w:r>
      <w:r w:rsidR="00554E2B">
        <w:t xml:space="preserve"> </w:t>
      </w:r>
      <w:r w:rsidR="00554E2B" w:rsidRPr="004B3F62">
        <w:t>taková</w:t>
      </w:r>
      <w:r w:rsidR="00554E2B">
        <w:t xml:space="preserve"> </w:t>
      </w:r>
      <w:r w:rsidR="00554E2B" w:rsidRPr="004B3F62">
        <w:t>osoba</w:t>
      </w:r>
      <w:r w:rsidR="00554E2B">
        <w:t xml:space="preserve"> </w:t>
      </w:r>
      <w:r w:rsidR="00554E2B" w:rsidRPr="004B3F62">
        <w:t>byla</w:t>
      </w:r>
      <w:r w:rsidR="00554E2B">
        <w:t xml:space="preserve"> </w:t>
      </w:r>
      <w:r w:rsidR="00554E2B" w:rsidRPr="004B3F62">
        <w:t>doprovázena</w:t>
      </w:r>
      <w:r w:rsidR="00554E2B">
        <w:t xml:space="preserve"> </w:t>
      </w:r>
      <w:r w:rsidR="00554E2B" w:rsidRPr="004B3F62">
        <w:t>jinou</w:t>
      </w:r>
      <w:r w:rsidR="00554E2B">
        <w:t xml:space="preserve"> </w:t>
      </w:r>
      <w:r w:rsidR="00554E2B" w:rsidRPr="004B3F62">
        <w:t>osobou,</w:t>
      </w:r>
      <w:r w:rsidR="00554E2B">
        <w:t xml:space="preserve"> </w:t>
      </w:r>
      <w:r w:rsidR="00554E2B" w:rsidRPr="004B3F62">
        <w:t>nebo</w:t>
      </w:r>
    </w:p>
    <w:p w14:paraId="5B0DEF80" w14:textId="5A7BBEB3" w:rsidR="00554E2B" w:rsidRDefault="002474FB" w:rsidP="00A62843">
      <w:pPr>
        <w:pStyle w:val="Textparagrafu"/>
        <w:tabs>
          <w:tab w:val="left" w:pos="406"/>
          <w:tab w:val="left" w:pos="868"/>
        </w:tabs>
        <w:spacing w:before="0"/>
        <w:ind w:left="868" w:hanging="868"/>
      </w:pPr>
      <w:r>
        <w:tab/>
      </w:r>
      <w:r w:rsidR="00554E2B" w:rsidRPr="004B3F62">
        <w:t>4.</w:t>
      </w:r>
      <w:r w:rsidR="00A62843">
        <w:tab/>
      </w:r>
      <w:r w:rsidR="00554E2B" w:rsidRPr="004B3F62">
        <w:t>nevynaloží</w:t>
      </w:r>
      <w:r w:rsidR="00554E2B">
        <w:t xml:space="preserve"> </w:t>
      </w:r>
      <w:r w:rsidR="00554E2B" w:rsidRPr="004B3F62">
        <w:t>v</w:t>
      </w:r>
      <w:r w:rsidR="00554E2B">
        <w:t xml:space="preserve"> </w:t>
      </w:r>
      <w:r w:rsidR="00554E2B" w:rsidRPr="004B3F62">
        <w:t>případě</w:t>
      </w:r>
      <w:r w:rsidR="00554E2B">
        <w:t xml:space="preserve"> </w:t>
      </w:r>
      <w:r w:rsidR="00554E2B" w:rsidRPr="004B3F62">
        <w:t>odmítnutí</w:t>
      </w:r>
      <w:r w:rsidR="00554E2B">
        <w:t xml:space="preserve"> </w:t>
      </w:r>
      <w:r w:rsidR="00554E2B" w:rsidRPr="004B3F62">
        <w:t>přijetí</w:t>
      </w:r>
      <w:r w:rsidR="00554E2B">
        <w:t xml:space="preserve"> </w:t>
      </w:r>
      <w:r w:rsidR="00554E2B" w:rsidRPr="004B3F62">
        <w:t>rezervace,</w:t>
      </w:r>
      <w:r w:rsidR="00554E2B">
        <w:t xml:space="preserve"> </w:t>
      </w:r>
      <w:r w:rsidR="00554E2B" w:rsidRPr="004B3F62">
        <w:t>nevystavení</w:t>
      </w:r>
      <w:r w:rsidR="00554E2B">
        <w:t xml:space="preserve"> </w:t>
      </w:r>
      <w:r w:rsidR="00554E2B" w:rsidRPr="004B3F62">
        <w:t>jízdního</w:t>
      </w:r>
      <w:r w:rsidR="00554E2B">
        <w:t xml:space="preserve"> </w:t>
      </w:r>
      <w:r w:rsidR="00554E2B" w:rsidRPr="004B3F62">
        <w:t>nebo</w:t>
      </w:r>
      <w:r w:rsidR="00554E2B">
        <w:t xml:space="preserve"> </w:t>
      </w:r>
      <w:r w:rsidR="00554E2B" w:rsidRPr="004B3F62">
        <w:t>přepravního</w:t>
      </w:r>
      <w:r w:rsidR="00554E2B">
        <w:t xml:space="preserve"> </w:t>
      </w:r>
      <w:r w:rsidR="00554E2B" w:rsidRPr="004B3F62">
        <w:t>dokladu</w:t>
      </w:r>
      <w:r w:rsidR="00554E2B">
        <w:t xml:space="preserve"> </w:t>
      </w:r>
      <w:r w:rsidR="00554E2B" w:rsidRPr="004B3F62">
        <w:t>anebo</w:t>
      </w:r>
      <w:r w:rsidR="00554E2B">
        <w:t xml:space="preserve"> </w:t>
      </w:r>
      <w:r w:rsidR="00554E2B" w:rsidRPr="004B3F62">
        <w:t>požadavku</w:t>
      </w:r>
      <w:r w:rsidR="00554E2B">
        <w:t xml:space="preserve"> </w:t>
      </w:r>
      <w:r w:rsidR="00554E2B" w:rsidRPr="004B3F62">
        <w:t>doprovodu</w:t>
      </w:r>
      <w:r w:rsidR="00554E2B">
        <w:t xml:space="preserve"> </w:t>
      </w:r>
      <w:r w:rsidR="00554E2B" w:rsidRPr="004B3F62">
        <w:t>osoby</w:t>
      </w:r>
      <w:r w:rsidR="00554E2B">
        <w:t xml:space="preserve"> </w:t>
      </w:r>
      <w:r w:rsidR="00554E2B" w:rsidRPr="004B3F62">
        <w:t>se</w:t>
      </w:r>
      <w:r w:rsidR="00554E2B">
        <w:t xml:space="preserve"> </w:t>
      </w:r>
      <w:r w:rsidR="00554E2B" w:rsidRPr="004B3F62">
        <w:t>zdravotním</w:t>
      </w:r>
      <w:r w:rsidR="00554E2B">
        <w:t xml:space="preserve"> </w:t>
      </w:r>
      <w:r w:rsidR="00554E2B" w:rsidRPr="004B3F62">
        <w:t>postižením</w:t>
      </w:r>
      <w:r w:rsidR="00554E2B">
        <w:t xml:space="preserve"> </w:t>
      </w:r>
      <w:r w:rsidR="00554E2B" w:rsidRPr="004B3F62">
        <w:t>nebo</w:t>
      </w:r>
      <w:r w:rsidR="00554E2B">
        <w:t xml:space="preserve"> </w:t>
      </w:r>
      <w:r w:rsidR="00554E2B" w:rsidRPr="004B3F62">
        <w:t>s</w:t>
      </w:r>
      <w:r w:rsidR="00554E2B">
        <w:t xml:space="preserve"> </w:t>
      </w:r>
      <w:r w:rsidR="00554E2B" w:rsidRPr="004B3F62">
        <w:t>omezenou</w:t>
      </w:r>
      <w:r w:rsidR="00554E2B">
        <w:t xml:space="preserve"> </w:t>
      </w:r>
      <w:r w:rsidR="00554E2B" w:rsidRPr="004B3F62">
        <w:t>schopností</w:t>
      </w:r>
      <w:r w:rsidR="00554E2B">
        <w:t xml:space="preserve"> </w:t>
      </w:r>
      <w:r w:rsidR="00554E2B" w:rsidRPr="004B3F62">
        <w:t>pohybu</w:t>
      </w:r>
      <w:r w:rsidR="00554E2B">
        <w:t xml:space="preserve"> </w:t>
      </w:r>
      <w:r w:rsidR="00554E2B" w:rsidRPr="004B3F62">
        <w:t>a</w:t>
      </w:r>
      <w:r w:rsidR="00554E2B">
        <w:t xml:space="preserve"> </w:t>
      </w:r>
      <w:r w:rsidR="00554E2B" w:rsidRPr="004B3F62">
        <w:t>orientace</w:t>
      </w:r>
      <w:r w:rsidR="00554E2B">
        <w:t xml:space="preserve"> </w:t>
      </w:r>
      <w:r w:rsidR="00554E2B" w:rsidRPr="004B3F62">
        <w:t>náležité</w:t>
      </w:r>
      <w:r w:rsidR="00554E2B">
        <w:t xml:space="preserve"> </w:t>
      </w:r>
      <w:r w:rsidR="00554E2B" w:rsidRPr="004B3F62">
        <w:t>úsilí,</w:t>
      </w:r>
      <w:r w:rsidR="00554E2B">
        <w:t xml:space="preserve"> </w:t>
      </w:r>
      <w:r w:rsidR="00554E2B" w:rsidRPr="004B3F62">
        <w:t>aby</w:t>
      </w:r>
      <w:r w:rsidR="00554E2B">
        <w:t xml:space="preserve"> </w:t>
      </w:r>
      <w:r w:rsidR="00554E2B" w:rsidRPr="004B3F62">
        <w:t>pro</w:t>
      </w:r>
      <w:r w:rsidR="00554E2B">
        <w:t xml:space="preserve"> </w:t>
      </w:r>
      <w:r w:rsidR="00554E2B" w:rsidRPr="004B3F62">
        <w:t>tuto</w:t>
      </w:r>
      <w:r w:rsidR="00554E2B">
        <w:t xml:space="preserve"> </w:t>
      </w:r>
      <w:r w:rsidR="00554E2B" w:rsidRPr="004B3F62">
        <w:t>osobu</w:t>
      </w:r>
      <w:r w:rsidR="00554E2B">
        <w:t xml:space="preserve"> </w:t>
      </w:r>
      <w:r w:rsidR="00554E2B" w:rsidRPr="004B3F62">
        <w:t>navrhla</w:t>
      </w:r>
      <w:r w:rsidR="00554E2B">
        <w:t xml:space="preserve"> </w:t>
      </w:r>
      <w:r w:rsidR="00554E2B" w:rsidRPr="004B3F62">
        <w:t>přijatelnou</w:t>
      </w:r>
      <w:r w:rsidR="00554E2B">
        <w:t xml:space="preserve"> </w:t>
      </w:r>
      <w:r w:rsidR="00554E2B" w:rsidRPr="004B3F62">
        <w:t>náhradní</w:t>
      </w:r>
      <w:r w:rsidR="00554E2B">
        <w:t xml:space="preserve"> </w:t>
      </w:r>
      <w:r w:rsidR="00554E2B" w:rsidRPr="004B3F62">
        <w:t>přepravu,</w:t>
      </w:r>
      <w:r w:rsidR="00554E2B">
        <w:t xml:space="preserve"> </w:t>
      </w:r>
      <w:r w:rsidR="00554E2B" w:rsidRPr="004B3F62">
        <w:t>nebo</w:t>
      </w:r>
    </w:p>
    <w:p w14:paraId="40A9DC2A" w14:textId="1EA3CF65" w:rsidR="00554E2B" w:rsidRPr="004B3F62" w:rsidRDefault="00554E2B" w:rsidP="00812ECA">
      <w:pPr>
        <w:pStyle w:val="Textparagrafu"/>
        <w:tabs>
          <w:tab w:val="left" w:pos="406"/>
          <w:tab w:val="left" w:pos="868"/>
        </w:tabs>
        <w:spacing w:before="0"/>
        <w:ind w:left="426" w:hanging="426"/>
      </w:pPr>
      <w:r w:rsidRPr="004B3F62">
        <w:t>g)</w:t>
      </w:r>
      <w:r w:rsidR="002474FB">
        <w:tab/>
      </w:r>
      <w:r w:rsidRPr="004B3F62">
        <w:t>dopravce,</w:t>
      </w:r>
      <w:r>
        <w:t xml:space="preserve"> </w:t>
      </w:r>
      <w:r w:rsidRPr="004B3F62">
        <w:t>provozovatel</w:t>
      </w:r>
      <w:r>
        <w:t xml:space="preserve"> </w:t>
      </w:r>
      <w:r w:rsidRPr="004B3F62">
        <w:t>železniční</w:t>
      </w:r>
      <w:r>
        <w:t xml:space="preserve"> </w:t>
      </w:r>
      <w:r w:rsidRPr="004B3F62">
        <w:t>stanice,</w:t>
      </w:r>
      <w:r>
        <w:t xml:space="preserve"> </w:t>
      </w:r>
      <w:r w:rsidRPr="004B3F62">
        <w:t>prodejce</w:t>
      </w:r>
      <w:r>
        <w:t xml:space="preserve"> </w:t>
      </w:r>
      <w:r w:rsidRPr="004B3F62">
        <w:t>jízdních</w:t>
      </w:r>
      <w:r>
        <w:t xml:space="preserve"> </w:t>
      </w:r>
      <w:r w:rsidRPr="004B3F62">
        <w:t>a</w:t>
      </w:r>
      <w:r>
        <w:t xml:space="preserve"> </w:t>
      </w:r>
      <w:r w:rsidRPr="004B3F62">
        <w:t>přepravních</w:t>
      </w:r>
      <w:r>
        <w:t xml:space="preserve"> </w:t>
      </w:r>
      <w:r w:rsidRPr="004B3F62">
        <w:t>dokladů,</w:t>
      </w:r>
      <w:r>
        <w:t xml:space="preserve"> </w:t>
      </w:r>
      <w:r w:rsidRPr="004B3F62">
        <w:t>provozovatel</w:t>
      </w:r>
      <w:r>
        <w:t xml:space="preserve"> </w:t>
      </w:r>
      <w:r w:rsidRPr="004B3F62">
        <w:t>cestovní</w:t>
      </w:r>
      <w:r>
        <w:t xml:space="preserve"> </w:t>
      </w:r>
      <w:r w:rsidRPr="004B3F62">
        <w:t>kanceláře</w:t>
      </w:r>
      <w:r>
        <w:t xml:space="preserve"> </w:t>
      </w:r>
      <w:r w:rsidRPr="004B3F62">
        <w:t>nebo</w:t>
      </w:r>
      <w:r>
        <w:t xml:space="preserve"> </w:t>
      </w:r>
      <w:r w:rsidRPr="004B3F62">
        <w:t>provozovatel</w:t>
      </w:r>
      <w:r>
        <w:t xml:space="preserve"> </w:t>
      </w:r>
      <w:r w:rsidRPr="004B3F62">
        <w:t>cestovní</w:t>
      </w:r>
      <w:r>
        <w:t xml:space="preserve"> </w:t>
      </w:r>
      <w:r w:rsidRPr="004B3F62">
        <w:t>agentury</w:t>
      </w:r>
    </w:p>
    <w:p w14:paraId="4F701451" w14:textId="0DE019F1" w:rsidR="00554E2B" w:rsidRPr="004B3F62" w:rsidRDefault="002474FB" w:rsidP="00A62843">
      <w:pPr>
        <w:pStyle w:val="Textparagrafu"/>
        <w:tabs>
          <w:tab w:val="left" w:pos="406"/>
          <w:tab w:val="left" w:pos="868"/>
        </w:tabs>
        <w:spacing w:before="0"/>
        <w:ind w:left="868" w:hanging="868"/>
      </w:pPr>
      <w:r>
        <w:tab/>
      </w:r>
      <w:r w:rsidR="00554E2B" w:rsidRPr="004B3F62">
        <w:t>1.</w:t>
      </w:r>
      <w:r>
        <w:tab/>
      </w:r>
      <w:r w:rsidR="00554E2B" w:rsidRPr="004B3F62">
        <w:t>neposkytne</w:t>
      </w:r>
      <w:r w:rsidR="00554E2B">
        <w:t xml:space="preserve"> </w:t>
      </w:r>
      <w:r w:rsidR="00554E2B" w:rsidRPr="004B3F62">
        <w:t>nebo</w:t>
      </w:r>
      <w:r w:rsidR="00554E2B">
        <w:t xml:space="preserve"> </w:t>
      </w:r>
      <w:r w:rsidR="00554E2B" w:rsidRPr="004B3F62">
        <w:t>nezpřístupní</w:t>
      </w:r>
      <w:r w:rsidR="00554E2B">
        <w:t xml:space="preserve"> </w:t>
      </w:r>
      <w:r w:rsidR="00554E2B" w:rsidRPr="004B3F62">
        <w:t>cestujícímu</w:t>
      </w:r>
      <w:r w:rsidR="00554E2B">
        <w:t xml:space="preserve"> </w:t>
      </w:r>
      <w:r w:rsidR="00554E2B" w:rsidRPr="004B3F62">
        <w:t>včas,</w:t>
      </w:r>
      <w:r w:rsidR="00554E2B">
        <w:t xml:space="preserve"> </w:t>
      </w:r>
      <w:r w:rsidR="00554E2B" w:rsidRPr="004B3F62">
        <w:t>ve</w:t>
      </w:r>
      <w:r w:rsidR="00554E2B">
        <w:t xml:space="preserve"> </w:t>
      </w:r>
      <w:r w:rsidR="00554E2B" w:rsidRPr="004B3F62">
        <w:t>stanoveném</w:t>
      </w:r>
      <w:r w:rsidR="00554E2B">
        <w:t xml:space="preserve"> </w:t>
      </w:r>
      <w:r w:rsidR="00554E2B" w:rsidRPr="004B3F62">
        <w:t>rozsahu</w:t>
      </w:r>
      <w:r w:rsidR="00554E2B">
        <w:t xml:space="preserve"> </w:t>
      </w:r>
      <w:r w:rsidR="00554E2B" w:rsidRPr="004B3F62">
        <w:t>nebo</w:t>
      </w:r>
      <w:r w:rsidR="00554E2B">
        <w:t xml:space="preserve"> </w:t>
      </w:r>
      <w:r w:rsidR="00554E2B" w:rsidRPr="004B3F62">
        <w:t>stanoveným</w:t>
      </w:r>
      <w:r w:rsidR="00554E2B">
        <w:t xml:space="preserve"> </w:t>
      </w:r>
      <w:r w:rsidR="00554E2B" w:rsidRPr="004B3F62">
        <w:t>způsobem</w:t>
      </w:r>
      <w:r w:rsidR="00554E2B">
        <w:t xml:space="preserve"> </w:t>
      </w:r>
      <w:r w:rsidR="00554E2B" w:rsidRPr="004B3F62">
        <w:t>informace,</w:t>
      </w:r>
      <w:r w:rsidR="00554E2B">
        <w:t xml:space="preserve"> </w:t>
      </w:r>
      <w:r w:rsidR="00554E2B" w:rsidRPr="004B3F62">
        <w:t>nebo</w:t>
      </w:r>
    </w:p>
    <w:p w14:paraId="19C85832" w14:textId="396C29E3" w:rsidR="00554E2B" w:rsidRDefault="002474FB" w:rsidP="00A62843">
      <w:pPr>
        <w:pStyle w:val="Textparagrafu"/>
        <w:tabs>
          <w:tab w:val="left" w:pos="406"/>
          <w:tab w:val="left" w:pos="851"/>
        </w:tabs>
        <w:spacing w:before="0"/>
        <w:ind w:left="851" w:hanging="851"/>
      </w:pPr>
      <w:r>
        <w:tab/>
      </w:r>
      <w:r w:rsidR="00554E2B" w:rsidRPr="004B3F62">
        <w:t>2.</w:t>
      </w:r>
      <w:r>
        <w:tab/>
      </w:r>
      <w:r w:rsidR="00554E2B" w:rsidRPr="004B3F62">
        <w:t>nezavede</w:t>
      </w:r>
      <w:r w:rsidR="00554E2B">
        <w:t xml:space="preserve"> </w:t>
      </w:r>
      <w:r w:rsidR="00554E2B" w:rsidRPr="004B3F62">
        <w:t>nezbytná</w:t>
      </w:r>
      <w:r w:rsidR="00554E2B">
        <w:t xml:space="preserve"> </w:t>
      </w:r>
      <w:r w:rsidR="00554E2B" w:rsidRPr="004B3F62">
        <w:t>opatření</w:t>
      </w:r>
      <w:r w:rsidR="00554E2B">
        <w:t xml:space="preserve"> </w:t>
      </w:r>
      <w:r w:rsidR="00554E2B" w:rsidRPr="004B3F62">
        <w:t>pro</w:t>
      </w:r>
      <w:r w:rsidR="00554E2B">
        <w:t xml:space="preserve"> </w:t>
      </w:r>
      <w:r w:rsidR="00554E2B" w:rsidRPr="004B3F62">
        <w:t>příjem</w:t>
      </w:r>
      <w:r w:rsidR="00554E2B">
        <w:t xml:space="preserve"> </w:t>
      </w:r>
      <w:r w:rsidR="00554E2B" w:rsidRPr="004B3F62">
        <w:t>oznámení</w:t>
      </w:r>
      <w:r w:rsidR="00554E2B">
        <w:t xml:space="preserve"> </w:t>
      </w:r>
      <w:r w:rsidR="00554E2B" w:rsidRPr="004B3F62">
        <w:t>osob</w:t>
      </w:r>
      <w:r w:rsidR="00554E2B">
        <w:t xml:space="preserve"> </w:t>
      </w:r>
      <w:r w:rsidR="00554E2B" w:rsidRPr="004B3F62">
        <w:t>se</w:t>
      </w:r>
      <w:r w:rsidR="00554E2B">
        <w:t xml:space="preserve"> </w:t>
      </w:r>
      <w:r w:rsidR="00554E2B" w:rsidRPr="004B3F62">
        <w:t>zdravotním</w:t>
      </w:r>
      <w:r w:rsidR="00554E2B">
        <w:t xml:space="preserve"> </w:t>
      </w:r>
      <w:r w:rsidR="00554E2B" w:rsidRPr="004B3F62">
        <w:t>postižením</w:t>
      </w:r>
      <w:r w:rsidR="00554E2B">
        <w:t xml:space="preserve"> </w:t>
      </w:r>
      <w:r w:rsidR="00554E2B" w:rsidRPr="004B3F62">
        <w:t>nebo</w:t>
      </w:r>
      <w:r w:rsidR="00554E2B">
        <w:t xml:space="preserve"> </w:t>
      </w:r>
      <w:r w:rsidR="00554E2B" w:rsidRPr="004B3F62">
        <w:t>s</w:t>
      </w:r>
      <w:r w:rsidR="00554E2B">
        <w:t xml:space="preserve"> </w:t>
      </w:r>
      <w:r w:rsidR="00554E2B" w:rsidRPr="004B3F62">
        <w:t>omezenou</w:t>
      </w:r>
      <w:r w:rsidR="00554E2B">
        <w:t xml:space="preserve"> </w:t>
      </w:r>
      <w:r w:rsidR="00554E2B" w:rsidRPr="004B3F62">
        <w:t>schopností</w:t>
      </w:r>
      <w:r w:rsidR="00554E2B">
        <w:t xml:space="preserve"> </w:t>
      </w:r>
      <w:r w:rsidR="00554E2B" w:rsidRPr="004B3F62">
        <w:t>pohybu</w:t>
      </w:r>
      <w:r w:rsidR="00554E2B">
        <w:t xml:space="preserve"> </w:t>
      </w:r>
      <w:r w:rsidR="00554E2B" w:rsidRPr="004B3F62">
        <w:t>a</w:t>
      </w:r>
      <w:r w:rsidR="00554E2B">
        <w:t xml:space="preserve"> </w:t>
      </w:r>
      <w:r w:rsidR="00554E2B" w:rsidRPr="004B3F62">
        <w:t>orientace</w:t>
      </w:r>
      <w:r w:rsidR="00554E2B">
        <w:t xml:space="preserve"> </w:t>
      </w:r>
      <w:r w:rsidR="00554E2B" w:rsidRPr="004B3F62">
        <w:t>o</w:t>
      </w:r>
      <w:r w:rsidR="00554E2B">
        <w:t xml:space="preserve"> </w:t>
      </w:r>
      <w:r w:rsidR="00554E2B" w:rsidRPr="004B3F62">
        <w:t>potřebě</w:t>
      </w:r>
      <w:r w:rsidR="00554E2B">
        <w:t xml:space="preserve"> </w:t>
      </w:r>
      <w:r w:rsidR="00554E2B" w:rsidRPr="004B3F62">
        <w:t>pomoci</w:t>
      </w:r>
      <w:r w:rsidR="00554E2B">
        <w:t xml:space="preserve"> </w:t>
      </w:r>
      <w:r w:rsidR="00554E2B" w:rsidRPr="004B3F62">
        <w:t>v</w:t>
      </w:r>
      <w:r w:rsidR="00554E2B">
        <w:t xml:space="preserve"> </w:t>
      </w:r>
      <w:r w:rsidR="00554E2B" w:rsidRPr="004B3F62">
        <w:t>železniční</w:t>
      </w:r>
      <w:r w:rsidR="00554E2B">
        <w:t xml:space="preserve"> </w:t>
      </w:r>
      <w:r w:rsidR="00554E2B" w:rsidRPr="004B3F62">
        <w:t>stanici</w:t>
      </w:r>
      <w:r w:rsidR="00554E2B">
        <w:t xml:space="preserve"> </w:t>
      </w:r>
      <w:r w:rsidR="00554E2B" w:rsidRPr="004B3F62">
        <w:t>nebo</w:t>
      </w:r>
      <w:r w:rsidR="00554E2B">
        <w:t xml:space="preserve"> </w:t>
      </w:r>
      <w:r w:rsidR="00554E2B" w:rsidRPr="004B3F62">
        <w:t>ve</w:t>
      </w:r>
      <w:r w:rsidR="00554E2B">
        <w:t xml:space="preserve"> </w:t>
      </w:r>
      <w:r w:rsidR="00554E2B" w:rsidRPr="004B3F62">
        <w:t>vlaku</w:t>
      </w:r>
      <w:r w:rsidR="00554E2B">
        <w:t xml:space="preserve"> </w:t>
      </w:r>
      <w:r w:rsidR="00554E2B" w:rsidRPr="004B3F62">
        <w:t>nebo</w:t>
      </w:r>
      <w:r w:rsidR="00554E2B">
        <w:t xml:space="preserve"> </w:t>
      </w:r>
      <w:r w:rsidR="00554E2B" w:rsidRPr="004B3F62">
        <w:t>nepřijímá</w:t>
      </w:r>
      <w:r w:rsidR="00554E2B">
        <w:t xml:space="preserve"> </w:t>
      </w:r>
      <w:r w:rsidR="00554E2B" w:rsidRPr="004B3F62">
        <w:t>tato</w:t>
      </w:r>
      <w:r w:rsidR="00554E2B">
        <w:t xml:space="preserve"> </w:t>
      </w:r>
      <w:r w:rsidR="00554E2B" w:rsidRPr="004B3F62">
        <w:t>oznámení</w:t>
      </w:r>
      <w:r w:rsidR="00554E2B">
        <w:t xml:space="preserve"> </w:t>
      </w:r>
      <w:r w:rsidR="00554E2B" w:rsidRPr="004B3F62">
        <w:t>bez</w:t>
      </w:r>
      <w:r w:rsidR="00554E2B">
        <w:t xml:space="preserve"> </w:t>
      </w:r>
      <w:r w:rsidR="00554E2B" w:rsidRPr="004B3F62">
        <w:t>úhrady</w:t>
      </w:r>
      <w:r w:rsidR="00554E2B">
        <w:t xml:space="preserve"> </w:t>
      </w:r>
      <w:r w:rsidR="00554E2B" w:rsidRPr="004B3F62">
        <w:t>dodatečných</w:t>
      </w:r>
      <w:r w:rsidR="00554E2B">
        <w:t xml:space="preserve"> </w:t>
      </w:r>
      <w:r w:rsidR="00554E2B" w:rsidRPr="004B3F62">
        <w:t>nákladů.</w:t>
      </w:r>
    </w:p>
    <w:p w14:paraId="35EC37CD" w14:textId="77777777" w:rsidR="00554E2B" w:rsidRDefault="00554E2B" w:rsidP="00CE2C91">
      <w:pPr>
        <w:pStyle w:val="Textparagrafu"/>
        <w:tabs>
          <w:tab w:val="left" w:pos="406"/>
          <w:tab w:val="left" w:pos="868"/>
        </w:tabs>
        <w:spacing w:before="120" w:after="120"/>
      </w:pPr>
      <w:r w:rsidRPr="004B3F62">
        <w:t>(7)</w:t>
      </w:r>
      <w:r>
        <w:t xml:space="preserve"> </w:t>
      </w:r>
      <w:r w:rsidRPr="004B3F62">
        <w:t>Právnická</w:t>
      </w:r>
      <w:r>
        <w:t xml:space="preserve"> </w:t>
      </w:r>
      <w:r w:rsidRPr="004B3F62">
        <w:t>nebo</w:t>
      </w:r>
      <w:r>
        <w:t xml:space="preserve"> </w:t>
      </w:r>
      <w:r w:rsidRPr="004B3F62">
        <w:t>podnikající</w:t>
      </w:r>
      <w:r>
        <w:t xml:space="preserve"> </w:t>
      </w:r>
      <w:r w:rsidRPr="004B3F62">
        <w:t>fyzická</w:t>
      </w:r>
      <w:r>
        <w:t xml:space="preserve"> </w:t>
      </w:r>
      <w:r w:rsidRPr="004B3F62">
        <w:t>osoba</w:t>
      </w:r>
      <w:r>
        <w:t xml:space="preserve"> </w:t>
      </w:r>
      <w:r w:rsidRPr="004B3F62">
        <w:t>se</w:t>
      </w:r>
      <w:r>
        <w:t xml:space="preserve"> </w:t>
      </w:r>
      <w:r w:rsidRPr="004B3F62">
        <w:t>jako</w:t>
      </w:r>
      <w:r>
        <w:t xml:space="preserve"> </w:t>
      </w:r>
      <w:r w:rsidRPr="004B3F62">
        <w:t>držitel</w:t>
      </w:r>
      <w:r>
        <w:t xml:space="preserve"> </w:t>
      </w:r>
      <w:r w:rsidRPr="004B3F62">
        <w:t>drážního</w:t>
      </w:r>
      <w:r>
        <w:t xml:space="preserve"> </w:t>
      </w:r>
      <w:r w:rsidRPr="004B3F62">
        <w:t>vozidla</w:t>
      </w:r>
      <w:r>
        <w:t xml:space="preserve"> </w:t>
      </w:r>
      <w:r w:rsidRPr="004B3F62">
        <w:t>provozovaného</w:t>
      </w:r>
      <w:r>
        <w:t xml:space="preserve"> </w:t>
      </w:r>
      <w:r w:rsidRPr="004B3F62">
        <w:t>na</w:t>
      </w:r>
      <w:r>
        <w:t xml:space="preserve"> </w:t>
      </w:r>
      <w:r w:rsidRPr="004B3F62">
        <w:t>dráze</w:t>
      </w:r>
      <w:r>
        <w:t xml:space="preserve"> </w:t>
      </w:r>
      <w:r w:rsidRPr="004B3F62">
        <w:t>celostátní</w:t>
      </w:r>
      <w:r>
        <w:t xml:space="preserve"> </w:t>
      </w:r>
      <w:r w:rsidRPr="004B3F62">
        <w:t>nebo</w:t>
      </w:r>
      <w:r>
        <w:t xml:space="preserve"> </w:t>
      </w:r>
      <w:r w:rsidRPr="004B3F62">
        <w:t>regionální</w:t>
      </w:r>
      <w:r>
        <w:t xml:space="preserve"> </w:t>
      </w:r>
      <w:r w:rsidRPr="004B3F62">
        <w:t>dopustí</w:t>
      </w:r>
      <w:r>
        <w:t xml:space="preserve"> </w:t>
      </w:r>
      <w:r w:rsidRPr="004B3F62">
        <w:t>přestupku</w:t>
      </w:r>
      <w:r>
        <w:t xml:space="preserve"> </w:t>
      </w:r>
      <w:r w:rsidRPr="004B3F62">
        <w:t>tím,</w:t>
      </w:r>
      <w:r>
        <w:t xml:space="preserve"> </w:t>
      </w:r>
      <w:r w:rsidRPr="004B3F62">
        <w:t>že</w:t>
      </w:r>
    </w:p>
    <w:p w14:paraId="422591CF" w14:textId="3BA5F1C1" w:rsidR="00554E2B" w:rsidRDefault="00554E2B" w:rsidP="00812ECA">
      <w:pPr>
        <w:pStyle w:val="Textparagrafu"/>
        <w:tabs>
          <w:tab w:val="left" w:pos="406"/>
          <w:tab w:val="left" w:pos="868"/>
        </w:tabs>
        <w:spacing w:before="0"/>
        <w:ind w:left="426" w:hanging="426"/>
      </w:pPr>
      <w:r w:rsidRPr="004B3F62">
        <w:t>a)</w:t>
      </w:r>
      <w:r w:rsidR="002474FB">
        <w:tab/>
      </w:r>
      <w:r w:rsidRPr="004B3F62">
        <w:t>v</w:t>
      </w:r>
      <w:r>
        <w:t xml:space="preserve"> </w:t>
      </w:r>
      <w:r w:rsidRPr="004B3F62">
        <w:t>rozporu</w:t>
      </w:r>
      <w:r>
        <w:t xml:space="preserve"> </w:t>
      </w:r>
      <w:r w:rsidRPr="004B3F62">
        <w:t>s</w:t>
      </w:r>
      <w:r>
        <w:t xml:space="preserve"> </w:t>
      </w:r>
      <w:r w:rsidRPr="004B3F62">
        <w:t>§</w:t>
      </w:r>
      <w:r>
        <w:t xml:space="preserve"> </w:t>
      </w:r>
      <w:r w:rsidRPr="004B3F62">
        <w:t>43</w:t>
      </w:r>
      <w:r>
        <w:t xml:space="preserve"> </w:t>
      </w:r>
      <w:r w:rsidRPr="004B3F62">
        <w:t>odst.</w:t>
      </w:r>
      <w:r>
        <w:t xml:space="preserve"> </w:t>
      </w:r>
      <w:r w:rsidRPr="004B3F62">
        <w:t>3</w:t>
      </w:r>
      <w:r>
        <w:t xml:space="preserve"> </w:t>
      </w:r>
      <w:r w:rsidRPr="004B3F62">
        <w:t>neoznámí</w:t>
      </w:r>
      <w:r>
        <w:t xml:space="preserve"> </w:t>
      </w:r>
      <w:r w:rsidRPr="004B3F62">
        <w:t>drážnímu</w:t>
      </w:r>
      <w:r>
        <w:t xml:space="preserve"> </w:t>
      </w:r>
      <w:r w:rsidRPr="004B3F62">
        <w:t>správnímu</w:t>
      </w:r>
      <w:r>
        <w:t xml:space="preserve"> </w:t>
      </w:r>
      <w:r w:rsidRPr="004B3F62">
        <w:t>úřadu</w:t>
      </w:r>
      <w:r>
        <w:t xml:space="preserve"> </w:t>
      </w:r>
      <w:r w:rsidRPr="004B3F62">
        <w:t>změnu</w:t>
      </w:r>
      <w:r>
        <w:t xml:space="preserve"> </w:t>
      </w:r>
      <w:r w:rsidRPr="004B3F62">
        <w:t>údaje</w:t>
      </w:r>
      <w:r>
        <w:t xml:space="preserve"> </w:t>
      </w:r>
      <w:r w:rsidRPr="004B3F62">
        <w:t>zapsaného</w:t>
      </w:r>
      <w:r>
        <w:t xml:space="preserve"> </w:t>
      </w:r>
      <w:r w:rsidRPr="004B3F62">
        <w:t>v</w:t>
      </w:r>
      <w:r>
        <w:t xml:space="preserve"> </w:t>
      </w:r>
      <w:r w:rsidRPr="004B3F62">
        <w:t>evropském</w:t>
      </w:r>
      <w:r>
        <w:t xml:space="preserve"> </w:t>
      </w:r>
      <w:r w:rsidRPr="004B3F62">
        <w:t>registru</w:t>
      </w:r>
      <w:r>
        <w:t xml:space="preserve"> </w:t>
      </w:r>
      <w:r w:rsidRPr="004B3F62">
        <w:t>vozidel</w:t>
      </w:r>
      <w:r>
        <w:t xml:space="preserve"> </w:t>
      </w:r>
      <w:r w:rsidRPr="004B3F62">
        <w:t>nebo</w:t>
      </w:r>
      <w:r>
        <w:t xml:space="preserve"> </w:t>
      </w:r>
      <w:r w:rsidRPr="004B3F62">
        <w:t>zničení</w:t>
      </w:r>
      <w:r>
        <w:t xml:space="preserve"> </w:t>
      </w:r>
      <w:r w:rsidRPr="004B3F62">
        <w:t>drážního</w:t>
      </w:r>
      <w:r>
        <w:t xml:space="preserve"> </w:t>
      </w:r>
      <w:r w:rsidRPr="004B3F62">
        <w:t>vozidla,</w:t>
      </w:r>
    </w:p>
    <w:p w14:paraId="36577FFA" w14:textId="50D0CEF9" w:rsidR="00554E2B" w:rsidRDefault="00554E2B" w:rsidP="00812ECA">
      <w:pPr>
        <w:pStyle w:val="Textparagrafu"/>
        <w:tabs>
          <w:tab w:val="left" w:pos="406"/>
          <w:tab w:val="left" w:pos="868"/>
        </w:tabs>
        <w:spacing w:before="0"/>
        <w:ind w:left="426" w:hanging="426"/>
      </w:pPr>
      <w:r w:rsidRPr="004B3F62">
        <w:t>b)</w:t>
      </w:r>
      <w:r w:rsidR="002474FB">
        <w:tab/>
      </w:r>
      <w:r w:rsidRPr="004B3F62">
        <w:t>v</w:t>
      </w:r>
      <w:r>
        <w:t xml:space="preserve"> </w:t>
      </w:r>
      <w:r w:rsidRPr="004B3F62">
        <w:t>rozporu</w:t>
      </w:r>
      <w:r>
        <w:t xml:space="preserve"> </w:t>
      </w:r>
      <w:r w:rsidRPr="004B3F62">
        <w:t>s</w:t>
      </w:r>
      <w:r>
        <w:t xml:space="preserve"> </w:t>
      </w:r>
      <w:r w:rsidRPr="004B3F62">
        <w:t>§</w:t>
      </w:r>
      <w:r>
        <w:t xml:space="preserve"> </w:t>
      </w:r>
      <w:r w:rsidRPr="004B3F62">
        <w:t>43</w:t>
      </w:r>
      <w:r>
        <w:t xml:space="preserve"> </w:t>
      </w:r>
      <w:r w:rsidRPr="004B3F62">
        <w:t>odst.</w:t>
      </w:r>
      <w:r>
        <w:t xml:space="preserve"> </w:t>
      </w:r>
      <w:r w:rsidRPr="004B3F62">
        <w:t>5</w:t>
      </w:r>
      <w:r>
        <w:t xml:space="preserve"> </w:t>
      </w:r>
      <w:r w:rsidRPr="004B3F62">
        <w:t>nezajistí</w:t>
      </w:r>
      <w:r>
        <w:t xml:space="preserve"> </w:t>
      </w:r>
      <w:r w:rsidRPr="004B3F62">
        <w:t>označení</w:t>
      </w:r>
      <w:r>
        <w:t xml:space="preserve"> </w:t>
      </w:r>
      <w:r w:rsidRPr="004B3F62">
        <w:t>drážního</w:t>
      </w:r>
      <w:r>
        <w:t xml:space="preserve"> </w:t>
      </w:r>
      <w:r w:rsidRPr="004B3F62">
        <w:t>vozidla</w:t>
      </w:r>
      <w:r>
        <w:t xml:space="preserve"> </w:t>
      </w:r>
      <w:r w:rsidRPr="004B3F62">
        <w:t>přiděleným</w:t>
      </w:r>
      <w:r>
        <w:t xml:space="preserve"> </w:t>
      </w:r>
      <w:r w:rsidRPr="004B3F62">
        <w:t>evropským</w:t>
      </w:r>
      <w:r>
        <w:t xml:space="preserve"> </w:t>
      </w:r>
      <w:r w:rsidRPr="004B3F62">
        <w:t>číslem</w:t>
      </w:r>
      <w:r>
        <w:t xml:space="preserve"> </w:t>
      </w:r>
      <w:r w:rsidRPr="004B3F62">
        <w:t>vozidla,</w:t>
      </w:r>
      <w:r>
        <w:t xml:space="preserve"> </w:t>
      </w:r>
      <w:r w:rsidRPr="004B3F62">
        <w:t>nebo</w:t>
      </w:r>
    </w:p>
    <w:p w14:paraId="55D56220" w14:textId="3B4D8406" w:rsidR="00554E2B" w:rsidRDefault="00554E2B" w:rsidP="00812ECA">
      <w:pPr>
        <w:pStyle w:val="Textparagrafu"/>
        <w:tabs>
          <w:tab w:val="left" w:pos="406"/>
          <w:tab w:val="left" w:pos="868"/>
        </w:tabs>
        <w:spacing w:before="0"/>
        <w:ind w:left="426" w:hanging="426"/>
      </w:pPr>
      <w:r w:rsidRPr="004B3F62">
        <w:t>c)</w:t>
      </w:r>
      <w:r w:rsidR="002474FB">
        <w:tab/>
      </w:r>
      <w:r w:rsidRPr="004B3F62">
        <w:t>nezajistí,</w:t>
      </w:r>
      <w:r>
        <w:t xml:space="preserve"> </w:t>
      </w:r>
      <w:r w:rsidRPr="004B3F62">
        <w:t>aby</w:t>
      </w:r>
      <w:r>
        <w:t xml:space="preserve"> </w:t>
      </w:r>
      <w:r w:rsidRPr="004B3F62">
        <w:t>údržbu</w:t>
      </w:r>
      <w:r>
        <w:t xml:space="preserve"> </w:t>
      </w:r>
      <w:r w:rsidRPr="004B3F62">
        <w:t>jím</w:t>
      </w:r>
      <w:r>
        <w:t xml:space="preserve"> </w:t>
      </w:r>
      <w:r w:rsidRPr="004B3F62">
        <w:t>provozovaného</w:t>
      </w:r>
      <w:r>
        <w:t xml:space="preserve"> </w:t>
      </w:r>
      <w:r w:rsidRPr="004B3F62">
        <w:t>drážního</w:t>
      </w:r>
      <w:r>
        <w:t xml:space="preserve"> </w:t>
      </w:r>
      <w:r w:rsidRPr="004B3F62">
        <w:t>vozidla</w:t>
      </w:r>
      <w:r>
        <w:t xml:space="preserve"> </w:t>
      </w:r>
      <w:r w:rsidRPr="004B3F62">
        <w:t>zabezpečovala</w:t>
      </w:r>
      <w:r>
        <w:t xml:space="preserve"> </w:t>
      </w:r>
      <w:r w:rsidRPr="004B3F62">
        <w:t>osoba</w:t>
      </w:r>
      <w:r>
        <w:t xml:space="preserve"> </w:t>
      </w:r>
      <w:r w:rsidRPr="004B3F62">
        <w:t>splňující</w:t>
      </w:r>
      <w:r>
        <w:t xml:space="preserve"> </w:t>
      </w:r>
      <w:r w:rsidRPr="004B3F62">
        <w:t>podmínky</w:t>
      </w:r>
      <w:r>
        <w:t xml:space="preserve"> </w:t>
      </w:r>
      <w:r w:rsidRPr="004B3F62">
        <w:t>stanovené</w:t>
      </w:r>
      <w:r>
        <w:t xml:space="preserve"> </w:t>
      </w:r>
      <w:r w:rsidRPr="004B3F62">
        <w:t>v</w:t>
      </w:r>
      <w:r>
        <w:t xml:space="preserve"> </w:t>
      </w:r>
      <w:r w:rsidRPr="004B3F62">
        <w:t>§</w:t>
      </w:r>
      <w:r>
        <w:t xml:space="preserve"> </w:t>
      </w:r>
      <w:r w:rsidRPr="004B3F62">
        <w:t>43b</w:t>
      </w:r>
      <w:r>
        <w:t xml:space="preserve"> </w:t>
      </w:r>
      <w:r w:rsidRPr="004B3F62">
        <w:t>odst.</w:t>
      </w:r>
      <w:r>
        <w:t xml:space="preserve"> </w:t>
      </w:r>
      <w:r w:rsidRPr="004B3F62">
        <w:t>1.</w:t>
      </w:r>
    </w:p>
    <w:p w14:paraId="76224A53" w14:textId="77777777" w:rsidR="00554E2B" w:rsidRDefault="00554E2B" w:rsidP="00CE2C91">
      <w:pPr>
        <w:pStyle w:val="Textparagrafu"/>
        <w:tabs>
          <w:tab w:val="left" w:pos="406"/>
          <w:tab w:val="left" w:pos="868"/>
        </w:tabs>
        <w:spacing w:before="120" w:after="120"/>
      </w:pPr>
      <w:r w:rsidRPr="004B3F62">
        <w:t>(8)</w:t>
      </w:r>
      <w:r>
        <w:t xml:space="preserve"> </w:t>
      </w:r>
      <w:r w:rsidRPr="004B3F62">
        <w:t>Právnická</w:t>
      </w:r>
      <w:r>
        <w:t xml:space="preserve"> </w:t>
      </w:r>
      <w:r w:rsidRPr="004B3F62">
        <w:t>nebo</w:t>
      </w:r>
      <w:r>
        <w:t xml:space="preserve"> </w:t>
      </w:r>
      <w:r w:rsidRPr="004B3F62">
        <w:t>podnikající</w:t>
      </w:r>
      <w:r>
        <w:t xml:space="preserve"> </w:t>
      </w:r>
      <w:r w:rsidRPr="004B3F62">
        <w:t>fyzická</w:t>
      </w:r>
      <w:r>
        <w:t xml:space="preserve"> </w:t>
      </w:r>
      <w:r w:rsidRPr="004B3F62">
        <w:t>osoba</w:t>
      </w:r>
      <w:r>
        <w:t xml:space="preserve"> </w:t>
      </w:r>
      <w:r w:rsidRPr="004B3F62">
        <w:t>se</w:t>
      </w:r>
      <w:r>
        <w:t xml:space="preserve"> </w:t>
      </w:r>
      <w:r w:rsidRPr="004B3F62">
        <w:t>jako</w:t>
      </w:r>
      <w:r>
        <w:t xml:space="preserve"> </w:t>
      </w:r>
      <w:r w:rsidRPr="004B3F62">
        <w:t>přídělce</w:t>
      </w:r>
      <w:r>
        <w:t xml:space="preserve"> </w:t>
      </w:r>
      <w:r w:rsidRPr="004B3F62">
        <w:t>kapacity</w:t>
      </w:r>
      <w:r>
        <w:t xml:space="preserve"> </w:t>
      </w:r>
      <w:r w:rsidRPr="004B3F62">
        <w:t>dopravní</w:t>
      </w:r>
      <w:r>
        <w:t xml:space="preserve"> </w:t>
      </w:r>
      <w:r w:rsidRPr="004B3F62">
        <w:t>cesty</w:t>
      </w:r>
      <w:r>
        <w:t xml:space="preserve"> </w:t>
      </w:r>
      <w:r w:rsidRPr="004B3F62">
        <w:t>dopustí</w:t>
      </w:r>
      <w:r>
        <w:t xml:space="preserve"> </w:t>
      </w:r>
      <w:r w:rsidRPr="004B3F62">
        <w:t>přestupku</w:t>
      </w:r>
      <w:r>
        <w:t xml:space="preserve"> </w:t>
      </w:r>
      <w:r w:rsidRPr="004B3F62">
        <w:t>tím,</w:t>
      </w:r>
      <w:r>
        <w:t xml:space="preserve"> </w:t>
      </w:r>
      <w:r w:rsidRPr="004B3F62">
        <w:t>že</w:t>
      </w:r>
    </w:p>
    <w:p w14:paraId="1C8A5727" w14:textId="04810CBB" w:rsidR="00554E2B" w:rsidRDefault="00554E2B" w:rsidP="00D60616">
      <w:pPr>
        <w:pStyle w:val="Textparagrafu"/>
        <w:tabs>
          <w:tab w:val="left" w:pos="406"/>
          <w:tab w:val="left" w:pos="868"/>
        </w:tabs>
        <w:spacing w:before="0"/>
        <w:ind w:left="426" w:hanging="426"/>
      </w:pPr>
      <w:r w:rsidRPr="004B3F62">
        <w:lastRenderedPageBreak/>
        <w:t>a)</w:t>
      </w:r>
      <w:r>
        <w:tab/>
      </w:r>
      <w:r w:rsidRPr="004B3F62">
        <w:t>v</w:t>
      </w:r>
      <w:r>
        <w:t xml:space="preserve"> </w:t>
      </w:r>
      <w:r w:rsidRPr="004B3F62">
        <w:t>rozporu</w:t>
      </w:r>
      <w:r>
        <w:t xml:space="preserve"> </w:t>
      </w:r>
      <w:r w:rsidRPr="004B3F62">
        <w:t>s</w:t>
      </w:r>
      <w:r>
        <w:t xml:space="preserve"> </w:t>
      </w:r>
      <w:r w:rsidRPr="004B3F62">
        <w:t>§</w:t>
      </w:r>
      <w:r>
        <w:t xml:space="preserve"> </w:t>
      </w:r>
      <w:r w:rsidRPr="004B3F62">
        <w:t>32a</w:t>
      </w:r>
      <w:r>
        <w:t xml:space="preserve"> </w:t>
      </w:r>
      <w:r w:rsidRPr="004B3F62">
        <w:t>odst.</w:t>
      </w:r>
      <w:r>
        <w:t xml:space="preserve"> </w:t>
      </w:r>
      <w:r w:rsidRPr="004B3F62">
        <w:t>1</w:t>
      </w:r>
      <w:r>
        <w:t xml:space="preserve"> </w:t>
      </w:r>
      <w:r w:rsidRPr="004B3F62">
        <w:t>přihlédne</w:t>
      </w:r>
      <w:r>
        <w:t xml:space="preserve"> </w:t>
      </w:r>
      <w:r w:rsidRPr="004B3F62">
        <w:t>k</w:t>
      </w:r>
      <w:r>
        <w:t xml:space="preserve"> </w:t>
      </w:r>
      <w:r w:rsidRPr="004B3F62">
        <w:t>pokynu</w:t>
      </w:r>
      <w:r>
        <w:t xml:space="preserve"> </w:t>
      </w:r>
      <w:r w:rsidRPr="004B3F62">
        <w:t>dopravce</w:t>
      </w:r>
      <w:r>
        <w:t xml:space="preserve"> </w:t>
      </w:r>
      <w:r w:rsidRPr="004B3F62">
        <w:t>nebo</w:t>
      </w:r>
      <w:r>
        <w:t xml:space="preserve"> </w:t>
      </w:r>
      <w:r w:rsidRPr="004B3F62">
        <w:t>jiného</w:t>
      </w:r>
      <w:r>
        <w:t xml:space="preserve"> </w:t>
      </w:r>
      <w:r w:rsidRPr="004B3F62">
        <w:t>podnikatele</w:t>
      </w:r>
      <w:r>
        <w:t xml:space="preserve"> </w:t>
      </w:r>
      <w:r w:rsidRPr="004B3F62">
        <w:t>týkajícímu</w:t>
      </w:r>
      <w:r>
        <w:t xml:space="preserve"> </w:t>
      </w:r>
      <w:r w:rsidRPr="004B3F62">
        <w:t>se</w:t>
      </w:r>
      <w:r>
        <w:t xml:space="preserve"> </w:t>
      </w:r>
      <w:r w:rsidRPr="004B3F62">
        <w:t>výkonu</w:t>
      </w:r>
      <w:r>
        <w:t xml:space="preserve"> </w:t>
      </w:r>
      <w:r w:rsidRPr="004B3F62">
        <w:t>hlavních</w:t>
      </w:r>
      <w:r>
        <w:t xml:space="preserve"> </w:t>
      </w:r>
      <w:r w:rsidRPr="004B3F62">
        <w:t>činností</w:t>
      </w:r>
      <w:r>
        <w:t xml:space="preserve"> </w:t>
      </w:r>
      <w:r w:rsidRPr="004B3F62">
        <w:t>nebo</w:t>
      </w:r>
      <w:r>
        <w:t xml:space="preserve"> </w:t>
      </w:r>
      <w:r w:rsidRPr="004B3F62">
        <w:t>umožní</w:t>
      </w:r>
      <w:r>
        <w:t xml:space="preserve"> </w:t>
      </w:r>
      <w:r w:rsidRPr="004B3F62">
        <w:t>jiný</w:t>
      </w:r>
      <w:r>
        <w:t xml:space="preserve"> </w:t>
      </w:r>
      <w:r w:rsidRPr="004B3F62">
        <w:t>významný</w:t>
      </w:r>
      <w:r>
        <w:t xml:space="preserve"> </w:t>
      </w:r>
      <w:r w:rsidRPr="004B3F62">
        <w:t>zásah</w:t>
      </w:r>
      <w:r>
        <w:t xml:space="preserve"> </w:t>
      </w:r>
      <w:r w:rsidRPr="004B3F62">
        <w:t>do</w:t>
      </w:r>
      <w:r>
        <w:t xml:space="preserve"> </w:t>
      </w:r>
      <w:r w:rsidRPr="004B3F62">
        <w:t>rozhodování</w:t>
      </w:r>
      <w:r>
        <w:t xml:space="preserve"> </w:t>
      </w:r>
      <w:r w:rsidRPr="004B3F62">
        <w:t>o</w:t>
      </w:r>
      <w:r>
        <w:t xml:space="preserve"> </w:t>
      </w:r>
      <w:r w:rsidRPr="004B3F62">
        <w:t>hlavních</w:t>
      </w:r>
      <w:r>
        <w:t xml:space="preserve"> </w:t>
      </w:r>
      <w:r w:rsidRPr="004B3F62">
        <w:t>činnostech,</w:t>
      </w:r>
    </w:p>
    <w:p w14:paraId="023E3688" w14:textId="485845A2" w:rsidR="00554E2B" w:rsidRDefault="00554E2B" w:rsidP="00D60616">
      <w:pPr>
        <w:pStyle w:val="Textparagrafu"/>
        <w:tabs>
          <w:tab w:val="left" w:pos="406"/>
          <w:tab w:val="left" w:pos="868"/>
        </w:tabs>
        <w:spacing w:before="0"/>
        <w:ind w:left="426" w:hanging="426"/>
      </w:pPr>
      <w:r w:rsidRPr="004B3F62">
        <w:t>b)</w:t>
      </w:r>
      <w:r>
        <w:tab/>
      </w:r>
      <w:r w:rsidRPr="004B3F62">
        <w:t>nezpracuje</w:t>
      </w:r>
      <w:r>
        <w:t xml:space="preserve"> </w:t>
      </w:r>
      <w:r w:rsidRPr="004B3F62">
        <w:t>nebo</w:t>
      </w:r>
      <w:r>
        <w:t xml:space="preserve"> </w:t>
      </w:r>
      <w:r w:rsidRPr="004B3F62">
        <w:t>nezveřejní</w:t>
      </w:r>
      <w:r>
        <w:t xml:space="preserve"> </w:t>
      </w:r>
      <w:r w:rsidRPr="004B3F62">
        <w:t>prohlášení</w:t>
      </w:r>
      <w:r>
        <w:t xml:space="preserve"> </w:t>
      </w:r>
      <w:r w:rsidRPr="004B3F62">
        <w:t>o</w:t>
      </w:r>
      <w:r>
        <w:t xml:space="preserve"> </w:t>
      </w:r>
      <w:r w:rsidRPr="004B3F62">
        <w:t>dráze</w:t>
      </w:r>
      <w:r>
        <w:t xml:space="preserve"> </w:t>
      </w:r>
      <w:r w:rsidRPr="004B3F62">
        <w:t>nebo</w:t>
      </w:r>
      <w:r>
        <w:t xml:space="preserve"> </w:t>
      </w:r>
      <w:r w:rsidRPr="004B3F62">
        <w:t>neumožní</w:t>
      </w:r>
      <w:r>
        <w:t xml:space="preserve"> </w:t>
      </w:r>
      <w:r w:rsidRPr="004B3F62">
        <w:t>vyjádřit</w:t>
      </w:r>
      <w:r>
        <w:t xml:space="preserve"> </w:t>
      </w:r>
      <w:r w:rsidRPr="004B3F62">
        <w:t>se</w:t>
      </w:r>
      <w:r>
        <w:t xml:space="preserve"> </w:t>
      </w:r>
      <w:r w:rsidRPr="004B3F62">
        <w:t>k</w:t>
      </w:r>
      <w:r>
        <w:t xml:space="preserve"> </w:t>
      </w:r>
      <w:r w:rsidRPr="004B3F62">
        <w:t>jeho</w:t>
      </w:r>
      <w:r>
        <w:t xml:space="preserve"> </w:t>
      </w:r>
      <w:r w:rsidRPr="004B3F62">
        <w:t>obsahu</w:t>
      </w:r>
      <w:r>
        <w:t xml:space="preserve"> </w:t>
      </w:r>
      <w:r w:rsidRPr="004B3F62">
        <w:t>podle</w:t>
      </w:r>
      <w:r>
        <w:t xml:space="preserve"> </w:t>
      </w:r>
      <w:r w:rsidRPr="004B3F62">
        <w:t>§</w:t>
      </w:r>
      <w:r>
        <w:t xml:space="preserve"> </w:t>
      </w:r>
      <w:r w:rsidRPr="004B3F62">
        <w:t>33</w:t>
      </w:r>
      <w:r>
        <w:t xml:space="preserve"> </w:t>
      </w:r>
      <w:r w:rsidRPr="004B3F62">
        <w:t>odst.</w:t>
      </w:r>
      <w:r>
        <w:t xml:space="preserve"> </w:t>
      </w:r>
      <w:r w:rsidRPr="004B3F62">
        <w:t>1,</w:t>
      </w:r>
      <w:r>
        <w:t xml:space="preserve"> </w:t>
      </w:r>
      <w:r w:rsidRPr="004B3F62">
        <w:t>nebo</w:t>
      </w:r>
    </w:p>
    <w:p w14:paraId="27BEBE33" w14:textId="6FB6ED0B" w:rsidR="00554E2B" w:rsidRDefault="00554E2B" w:rsidP="00D60616">
      <w:pPr>
        <w:pStyle w:val="Textparagrafu"/>
        <w:tabs>
          <w:tab w:val="left" w:pos="406"/>
          <w:tab w:val="left" w:pos="868"/>
        </w:tabs>
        <w:spacing w:before="0"/>
        <w:ind w:left="426" w:hanging="426"/>
      </w:pPr>
      <w:r w:rsidRPr="004B3F62">
        <w:t>c)</w:t>
      </w:r>
      <w:r>
        <w:tab/>
      </w:r>
      <w:r w:rsidRPr="004B3F62">
        <w:t>nepřidělí</w:t>
      </w:r>
      <w:r>
        <w:t xml:space="preserve"> </w:t>
      </w:r>
      <w:r w:rsidRPr="004B3F62">
        <w:t>kapacitu</w:t>
      </w:r>
      <w:r>
        <w:t xml:space="preserve"> </w:t>
      </w:r>
      <w:r w:rsidRPr="004B3F62">
        <w:t>dráhy</w:t>
      </w:r>
      <w:r>
        <w:t xml:space="preserve"> </w:t>
      </w:r>
      <w:r w:rsidRPr="004B3F62">
        <w:t>podle</w:t>
      </w:r>
      <w:r>
        <w:t xml:space="preserve"> </w:t>
      </w:r>
      <w:r w:rsidRPr="004B3F62">
        <w:t>§</w:t>
      </w:r>
      <w:r>
        <w:t xml:space="preserve"> </w:t>
      </w:r>
      <w:r w:rsidRPr="004B3F62">
        <w:t>34,</w:t>
      </w:r>
      <w:r>
        <w:t xml:space="preserve"> </w:t>
      </w:r>
      <w:r w:rsidRPr="004B3F62">
        <w:t>34a</w:t>
      </w:r>
      <w:r>
        <w:t xml:space="preserve"> </w:t>
      </w:r>
      <w:r w:rsidRPr="004B3F62">
        <w:t>nebo</w:t>
      </w:r>
      <w:r>
        <w:t xml:space="preserve"> </w:t>
      </w:r>
      <w:r w:rsidRPr="004B3F62">
        <w:t>34b</w:t>
      </w:r>
      <w:r>
        <w:t xml:space="preserve"> </w:t>
      </w:r>
      <w:r w:rsidRPr="004B3F62">
        <w:t>nebo</w:t>
      </w:r>
      <w:r>
        <w:t xml:space="preserve"> </w:t>
      </w:r>
      <w:r w:rsidRPr="004B3F62">
        <w:t>ji</w:t>
      </w:r>
      <w:r>
        <w:t xml:space="preserve"> </w:t>
      </w:r>
      <w:r w:rsidRPr="004B3F62">
        <w:t>přidělí</w:t>
      </w:r>
      <w:r>
        <w:t xml:space="preserve"> </w:t>
      </w:r>
      <w:r w:rsidRPr="004B3F62">
        <w:t>v</w:t>
      </w:r>
      <w:r>
        <w:t xml:space="preserve"> </w:t>
      </w:r>
      <w:r w:rsidRPr="004B3F62">
        <w:t>rozporu</w:t>
      </w:r>
      <w:r>
        <w:t xml:space="preserve"> </w:t>
      </w:r>
      <w:r w:rsidRPr="004B3F62">
        <w:t>s</w:t>
      </w:r>
      <w:r>
        <w:t xml:space="preserve"> </w:t>
      </w:r>
      <w:r w:rsidRPr="004B3F62">
        <w:t>§</w:t>
      </w:r>
      <w:r>
        <w:t xml:space="preserve"> </w:t>
      </w:r>
      <w:r w:rsidRPr="004B3F62">
        <w:t>34d</w:t>
      </w:r>
      <w:r>
        <w:t xml:space="preserve"> </w:t>
      </w:r>
      <w:r w:rsidRPr="004B3F62">
        <w:t>odst.</w:t>
      </w:r>
      <w:r>
        <w:t xml:space="preserve"> </w:t>
      </w:r>
      <w:r w:rsidRPr="004B3F62">
        <w:t>1</w:t>
      </w:r>
      <w:r>
        <w:t xml:space="preserve"> </w:t>
      </w:r>
      <w:r w:rsidRPr="004B3F62">
        <w:t>nebo</w:t>
      </w:r>
      <w:r>
        <w:t xml:space="preserve"> </w:t>
      </w:r>
      <w:r w:rsidRPr="004B3F62">
        <w:t>4.</w:t>
      </w:r>
    </w:p>
    <w:p w14:paraId="5B93663F" w14:textId="77777777" w:rsidR="00554E2B" w:rsidRDefault="00554E2B" w:rsidP="00CE2C91">
      <w:pPr>
        <w:pStyle w:val="Textparagrafu"/>
        <w:tabs>
          <w:tab w:val="left" w:pos="406"/>
          <w:tab w:val="left" w:pos="868"/>
        </w:tabs>
        <w:spacing w:before="120" w:after="120"/>
      </w:pPr>
      <w:r w:rsidRPr="004B3F62">
        <w:t>(9)</w:t>
      </w:r>
      <w:r>
        <w:t xml:space="preserve"> </w:t>
      </w:r>
      <w:r w:rsidRPr="004B3F62">
        <w:t>Právnická</w:t>
      </w:r>
      <w:r>
        <w:t xml:space="preserve"> </w:t>
      </w:r>
      <w:r w:rsidRPr="004B3F62">
        <w:t>nebo</w:t>
      </w:r>
      <w:r>
        <w:t xml:space="preserve"> </w:t>
      </w:r>
      <w:r w:rsidRPr="004B3F62">
        <w:t>podnikající</w:t>
      </w:r>
      <w:r>
        <w:t xml:space="preserve"> </w:t>
      </w:r>
      <w:r w:rsidRPr="004B3F62">
        <w:t>fyzická</w:t>
      </w:r>
      <w:r>
        <w:t xml:space="preserve"> </w:t>
      </w:r>
      <w:r w:rsidRPr="004B3F62">
        <w:t>osoba</w:t>
      </w:r>
      <w:r>
        <w:t xml:space="preserve"> </w:t>
      </w:r>
      <w:r w:rsidRPr="004B3F62">
        <w:t>se</w:t>
      </w:r>
      <w:r>
        <w:t xml:space="preserve"> </w:t>
      </w:r>
      <w:r w:rsidRPr="004B3F62">
        <w:t>jako</w:t>
      </w:r>
      <w:r>
        <w:t xml:space="preserve"> </w:t>
      </w:r>
      <w:r w:rsidRPr="004B3F62">
        <w:t>nezávislý</w:t>
      </w:r>
      <w:r>
        <w:t xml:space="preserve"> </w:t>
      </w:r>
      <w:r w:rsidRPr="004B3F62">
        <w:t>přídělce</w:t>
      </w:r>
      <w:r>
        <w:t xml:space="preserve"> </w:t>
      </w:r>
      <w:r w:rsidRPr="004B3F62">
        <w:t>dopustí</w:t>
      </w:r>
      <w:r>
        <w:t xml:space="preserve"> </w:t>
      </w:r>
      <w:r w:rsidRPr="004B3F62">
        <w:t>přestupku</w:t>
      </w:r>
      <w:r>
        <w:t xml:space="preserve"> </w:t>
      </w:r>
      <w:r w:rsidRPr="004B3F62">
        <w:t>tím,</w:t>
      </w:r>
      <w:r>
        <w:t xml:space="preserve"> </w:t>
      </w:r>
      <w:r w:rsidRPr="004B3F62">
        <w:t>že</w:t>
      </w:r>
    </w:p>
    <w:p w14:paraId="40C666D0" w14:textId="69C57218" w:rsidR="00554E2B" w:rsidRDefault="00554E2B" w:rsidP="00D60616">
      <w:pPr>
        <w:pStyle w:val="Textparagrafu"/>
        <w:tabs>
          <w:tab w:val="left" w:pos="406"/>
          <w:tab w:val="left" w:pos="868"/>
        </w:tabs>
        <w:spacing w:before="0"/>
        <w:ind w:left="426" w:hanging="426"/>
      </w:pPr>
      <w:r w:rsidRPr="004B3F62">
        <w:t>a)</w:t>
      </w:r>
      <w:r>
        <w:tab/>
      </w:r>
      <w:r w:rsidRPr="004B3F62">
        <w:t>v</w:t>
      </w:r>
      <w:r>
        <w:t xml:space="preserve"> </w:t>
      </w:r>
      <w:r w:rsidRPr="004B3F62">
        <w:t>rozporu</w:t>
      </w:r>
      <w:r>
        <w:t xml:space="preserve"> </w:t>
      </w:r>
      <w:r w:rsidRPr="004B3F62">
        <w:t>s</w:t>
      </w:r>
      <w:r>
        <w:t xml:space="preserve"> </w:t>
      </w:r>
      <w:r w:rsidRPr="004B3F62">
        <w:t>§</w:t>
      </w:r>
      <w:r>
        <w:t xml:space="preserve"> </w:t>
      </w:r>
      <w:r w:rsidRPr="004B3F62">
        <w:t>32a</w:t>
      </w:r>
      <w:r>
        <w:t xml:space="preserve"> </w:t>
      </w:r>
      <w:r w:rsidRPr="004B3F62">
        <w:t>odst.</w:t>
      </w:r>
      <w:r>
        <w:t xml:space="preserve"> </w:t>
      </w:r>
      <w:r w:rsidRPr="004B3F62">
        <w:t>5</w:t>
      </w:r>
      <w:r>
        <w:t xml:space="preserve"> </w:t>
      </w:r>
      <w:r w:rsidRPr="004B3F62">
        <w:t>nevydá</w:t>
      </w:r>
      <w:r>
        <w:t xml:space="preserve"> </w:t>
      </w:r>
      <w:r w:rsidRPr="004B3F62">
        <w:t>vnitřní</w:t>
      </w:r>
      <w:r>
        <w:t xml:space="preserve"> </w:t>
      </w:r>
      <w:r w:rsidRPr="004B3F62">
        <w:t>předpis,</w:t>
      </w:r>
      <w:r>
        <w:t xml:space="preserve"> </w:t>
      </w:r>
      <w:r w:rsidRPr="004B3F62">
        <w:t>kterým</w:t>
      </w:r>
      <w:r>
        <w:t xml:space="preserve"> </w:t>
      </w:r>
      <w:r w:rsidRPr="004B3F62">
        <w:t>stanoví</w:t>
      </w:r>
      <w:r>
        <w:t xml:space="preserve"> </w:t>
      </w:r>
      <w:r w:rsidRPr="004B3F62">
        <w:t>opatření</w:t>
      </w:r>
      <w:r>
        <w:t xml:space="preserve"> </w:t>
      </w:r>
      <w:r w:rsidRPr="004B3F62">
        <w:t>k</w:t>
      </w:r>
      <w:r>
        <w:t xml:space="preserve"> </w:t>
      </w:r>
      <w:r w:rsidRPr="004B3F62">
        <w:t>vyloučení</w:t>
      </w:r>
      <w:r>
        <w:t xml:space="preserve"> </w:t>
      </w:r>
      <w:r w:rsidRPr="004B3F62">
        <w:t>diskriminačního</w:t>
      </w:r>
      <w:r>
        <w:t xml:space="preserve"> </w:t>
      </w:r>
      <w:r w:rsidRPr="004B3F62">
        <w:t>jednání</w:t>
      </w:r>
      <w:r>
        <w:t xml:space="preserve"> </w:t>
      </w:r>
      <w:r w:rsidRPr="004B3F62">
        <w:t>a</w:t>
      </w:r>
      <w:r>
        <w:t xml:space="preserve"> </w:t>
      </w:r>
      <w:r w:rsidRPr="004B3F62">
        <w:t>střetu</w:t>
      </w:r>
      <w:r>
        <w:t xml:space="preserve"> </w:t>
      </w:r>
      <w:r w:rsidRPr="004B3F62">
        <w:t>zájmů</w:t>
      </w:r>
      <w:r>
        <w:t xml:space="preserve"> </w:t>
      </w:r>
      <w:r w:rsidRPr="004B3F62">
        <w:t>členů</w:t>
      </w:r>
      <w:r>
        <w:t xml:space="preserve"> </w:t>
      </w:r>
      <w:r w:rsidRPr="004B3F62">
        <w:t>statutárního</w:t>
      </w:r>
      <w:r>
        <w:t xml:space="preserve"> </w:t>
      </w:r>
      <w:r w:rsidRPr="004B3F62">
        <w:t>nebo</w:t>
      </w:r>
      <w:r>
        <w:t xml:space="preserve"> </w:t>
      </w:r>
      <w:r w:rsidRPr="004B3F62">
        <w:t>kontrolního</w:t>
      </w:r>
      <w:r>
        <w:t xml:space="preserve"> </w:t>
      </w:r>
      <w:r w:rsidRPr="004B3F62">
        <w:t>orgánu</w:t>
      </w:r>
      <w:r>
        <w:t xml:space="preserve"> </w:t>
      </w:r>
      <w:r w:rsidRPr="004B3F62">
        <w:t>a</w:t>
      </w:r>
      <w:r>
        <w:t xml:space="preserve"> </w:t>
      </w:r>
      <w:r w:rsidRPr="004B3F62">
        <w:t>vedoucích</w:t>
      </w:r>
      <w:r>
        <w:t xml:space="preserve"> </w:t>
      </w:r>
      <w:r w:rsidRPr="004B3F62">
        <w:t>zaměstnanců</w:t>
      </w:r>
      <w:r>
        <w:t xml:space="preserve"> </w:t>
      </w:r>
      <w:r w:rsidRPr="004B3F62">
        <w:t>ve</w:t>
      </w:r>
      <w:r>
        <w:t xml:space="preserve"> </w:t>
      </w:r>
      <w:r w:rsidRPr="004B3F62">
        <w:t>vztahu</w:t>
      </w:r>
      <w:r>
        <w:t xml:space="preserve"> </w:t>
      </w:r>
      <w:r w:rsidRPr="004B3F62">
        <w:t>k</w:t>
      </w:r>
      <w:r>
        <w:t xml:space="preserve"> </w:t>
      </w:r>
      <w:r w:rsidRPr="004B3F62">
        <w:t>dopravcům,</w:t>
      </w:r>
      <w:r>
        <w:t xml:space="preserve"> </w:t>
      </w:r>
      <w:r w:rsidRPr="004B3F62">
        <w:t>nebo</w:t>
      </w:r>
      <w:r>
        <w:t xml:space="preserve"> </w:t>
      </w:r>
      <w:r w:rsidRPr="004B3F62">
        <w:t>nezajistí</w:t>
      </w:r>
      <w:r>
        <w:t xml:space="preserve"> </w:t>
      </w:r>
      <w:r w:rsidRPr="004B3F62">
        <w:t>jeho</w:t>
      </w:r>
      <w:r>
        <w:t xml:space="preserve"> </w:t>
      </w:r>
      <w:r w:rsidRPr="004B3F62">
        <w:t>dodržování,</w:t>
      </w:r>
      <w:r>
        <w:t xml:space="preserve"> </w:t>
      </w:r>
      <w:r w:rsidRPr="004B3F62">
        <w:t>nebo</w:t>
      </w:r>
    </w:p>
    <w:p w14:paraId="166310EF" w14:textId="433D7FD6" w:rsidR="00554E2B" w:rsidRDefault="00554E2B" w:rsidP="00D60616">
      <w:pPr>
        <w:pStyle w:val="Textparagrafu"/>
        <w:tabs>
          <w:tab w:val="left" w:pos="406"/>
          <w:tab w:val="left" w:pos="868"/>
        </w:tabs>
        <w:spacing w:before="0"/>
        <w:ind w:left="426" w:hanging="426"/>
      </w:pPr>
      <w:r w:rsidRPr="004B3F62">
        <w:t>b)</w:t>
      </w:r>
      <w:r>
        <w:tab/>
      </w:r>
      <w:r w:rsidRPr="004B3F62">
        <w:t>v</w:t>
      </w:r>
      <w:r>
        <w:t xml:space="preserve"> </w:t>
      </w:r>
      <w:r w:rsidRPr="004B3F62">
        <w:t>rozporu</w:t>
      </w:r>
      <w:r>
        <w:t xml:space="preserve"> </w:t>
      </w:r>
      <w:r w:rsidRPr="004B3F62">
        <w:t>s</w:t>
      </w:r>
      <w:r>
        <w:t xml:space="preserve"> </w:t>
      </w:r>
      <w:r w:rsidRPr="004B3F62">
        <w:t>§</w:t>
      </w:r>
      <w:r>
        <w:t xml:space="preserve"> </w:t>
      </w:r>
      <w:r w:rsidRPr="004B3F62">
        <w:t>32a</w:t>
      </w:r>
      <w:r>
        <w:t xml:space="preserve"> </w:t>
      </w:r>
      <w:r w:rsidRPr="004B3F62">
        <w:t>odst.</w:t>
      </w:r>
      <w:r>
        <w:t xml:space="preserve"> </w:t>
      </w:r>
      <w:r w:rsidRPr="004B3F62">
        <w:t>7</w:t>
      </w:r>
      <w:r>
        <w:t xml:space="preserve"> </w:t>
      </w:r>
      <w:r w:rsidRPr="004B3F62">
        <w:t>sjedná</w:t>
      </w:r>
      <w:r>
        <w:t xml:space="preserve"> </w:t>
      </w:r>
      <w:r w:rsidRPr="004B3F62">
        <w:t>cenu</w:t>
      </w:r>
      <w:r>
        <w:t xml:space="preserve"> </w:t>
      </w:r>
      <w:r w:rsidRPr="004B3F62">
        <w:t>za</w:t>
      </w:r>
      <w:r>
        <w:t xml:space="preserve"> </w:t>
      </w:r>
      <w:r w:rsidRPr="004B3F62">
        <w:t>užití</w:t>
      </w:r>
      <w:r>
        <w:t xml:space="preserve"> </w:t>
      </w:r>
      <w:r w:rsidRPr="004B3F62">
        <w:t>dráhy</w:t>
      </w:r>
      <w:r>
        <w:t xml:space="preserve"> </w:t>
      </w:r>
      <w:r w:rsidRPr="004B3F62">
        <w:t>nebo</w:t>
      </w:r>
      <w:r>
        <w:t xml:space="preserve"> </w:t>
      </w:r>
      <w:r w:rsidRPr="004B3F62">
        <w:t>za</w:t>
      </w:r>
      <w:r>
        <w:t xml:space="preserve"> </w:t>
      </w:r>
      <w:r w:rsidRPr="004B3F62">
        <w:t>přidělení</w:t>
      </w:r>
      <w:r>
        <w:t xml:space="preserve"> </w:t>
      </w:r>
      <w:r w:rsidRPr="004B3F62">
        <w:t>její</w:t>
      </w:r>
      <w:r>
        <w:t xml:space="preserve"> </w:t>
      </w:r>
      <w:r w:rsidRPr="004B3F62">
        <w:t>kapacity</w:t>
      </w:r>
      <w:r>
        <w:t xml:space="preserve"> </w:t>
      </w:r>
      <w:r w:rsidRPr="004B3F62">
        <w:t>diskriminačním</w:t>
      </w:r>
      <w:r>
        <w:t xml:space="preserve"> </w:t>
      </w:r>
      <w:r w:rsidRPr="004B3F62">
        <w:t>způsobem</w:t>
      </w:r>
      <w:r>
        <w:t xml:space="preserve"> </w:t>
      </w:r>
      <w:r w:rsidRPr="004B3F62">
        <w:t>nebo</w:t>
      </w:r>
      <w:r>
        <w:t xml:space="preserve"> </w:t>
      </w:r>
      <w:r w:rsidRPr="004B3F62">
        <w:t>v</w:t>
      </w:r>
      <w:r>
        <w:t xml:space="preserve"> </w:t>
      </w:r>
      <w:r w:rsidRPr="004B3F62">
        <w:t>rozporu</w:t>
      </w:r>
      <w:r>
        <w:t xml:space="preserve"> </w:t>
      </w:r>
      <w:r w:rsidRPr="004B3F62">
        <w:t>s</w:t>
      </w:r>
      <w:r>
        <w:t xml:space="preserve"> </w:t>
      </w:r>
      <w:r w:rsidRPr="004B3F62">
        <w:t>cenovými</w:t>
      </w:r>
      <w:r>
        <w:t xml:space="preserve"> </w:t>
      </w:r>
      <w:r w:rsidRPr="004B3F62">
        <w:t>předpisy.</w:t>
      </w:r>
    </w:p>
    <w:p w14:paraId="718D4C5B" w14:textId="77777777" w:rsidR="00554E2B" w:rsidRDefault="00554E2B" w:rsidP="00CE2C91">
      <w:pPr>
        <w:pStyle w:val="Textparagrafu"/>
        <w:tabs>
          <w:tab w:val="left" w:pos="406"/>
          <w:tab w:val="left" w:pos="868"/>
        </w:tabs>
        <w:spacing w:before="120" w:after="120"/>
      </w:pPr>
      <w:r w:rsidRPr="004B3F62">
        <w:t>(10)</w:t>
      </w:r>
      <w:r>
        <w:t xml:space="preserve"> </w:t>
      </w:r>
      <w:r w:rsidRPr="004B3F62">
        <w:t>Právnická</w:t>
      </w:r>
      <w:r>
        <w:t xml:space="preserve"> </w:t>
      </w:r>
      <w:r w:rsidRPr="004B3F62">
        <w:t>nebo</w:t>
      </w:r>
      <w:r>
        <w:t xml:space="preserve"> </w:t>
      </w:r>
      <w:r w:rsidRPr="004B3F62">
        <w:t>podnikající</w:t>
      </w:r>
      <w:r>
        <w:t xml:space="preserve"> </w:t>
      </w:r>
      <w:r w:rsidRPr="004B3F62">
        <w:t>fyzická</w:t>
      </w:r>
      <w:r>
        <w:t xml:space="preserve"> </w:t>
      </w:r>
      <w:r w:rsidRPr="004B3F62">
        <w:t>osoba</w:t>
      </w:r>
      <w:r>
        <w:t xml:space="preserve"> </w:t>
      </w:r>
      <w:r w:rsidRPr="004B3F62">
        <w:t>se</w:t>
      </w:r>
      <w:r>
        <w:t xml:space="preserve"> </w:t>
      </w:r>
      <w:r w:rsidRPr="004B3F62">
        <w:t>jako</w:t>
      </w:r>
      <w:r>
        <w:t xml:space="preserve"> </w:t>
      </w:r>
      <w:r w:rsidRPr="004B3F62">
        <w:t>účastník</w:t>
      </w:r>
      <w:r>
        <w:t xml:space="preserve"> </w:t>
      </w:r>
      <w:r w:rsidRPr="004B3F62">
        <w:t>přepravy</w:t>
      </w:r>
      <w:r>
        <w:t xml:space="preserve"> </w:t>
      </w:r>
      <w:r w:rsidRPr="004B3F62">
        <w:t>nebezpečných</w:t>
      </w:r>
      <w:r>
        <w:t xml:space="preserve"> </w:t>
      </w:r>
      <w:r w:rsidRPr="004B3F62">
        <w:t>věcí</w:t>
      </w:r>
      <w:r>
        <w:t xml:space="preserve"> </w:t>
      </w:r>
      <w:r w:rsidRPr="004B3F62">
        <w:t>dopustí</w:t>
      </w:r>
      <w:r>
        <w:t xml:space="preserve"> </w:t>
      </w:r>
      <w:r w:rsidRPr="004B3F62">
        <w:t>přestupku</w:t>
      </w:r>
      <w:r>
        <w:t xml:space="preserve"> </w:t>
      </w:r>
      <w:r w:rsidRPr="004B3F62">
        <w:t>tím,</w:t>
      </w:r>
      <w:r>
        <w:t xml:space="preserve"> </w:t>
      </w:r>
      <w:r w:rsidRPr="004B3F62">
        <w:t>že</w:t>
      </w:r>
    </w:p>
    <w:p w14:paraId="54B72D5A" w14:textId="5F08CE99" w:rsidR="00554E2B" w:rsidRDefault="00554E2B" w:rsidP="00D60616">
      <w:pPr>
        <w:pStyle w:val="Textparagrafu"/>
        <w:tabs>
          <w:tab w:val="left" w:pos="406"/>
          <w:tab w:val="left" w:pos="868"/>
        </w:tabs>
        <w:spacing w:before="0"/>
        <w:ind w:left="426" w:hanging="426"/>
      </w:pPr>
      <w:r w:rsidRPr="004B3F62">
        <w:t>a)</w:t>
      </w:r>
      <w:r>
        <w:tab/>
      </w:r>
      <w:r w:rsidRPr="004B3F62">
        <w:t>nezajistí</w:t>
      </w:r>
      <w:r>
        <w:t xml:space="preserve"> </w:t>
      </w:r>
      <w:r w:rsidRPr="004B3F62">
        <w:t>odpovídající</w:t>
      </w:r>
      <w:r>
        <w:t xml:space="preserve"> </w:t>
      </w:r>
      <w:r w:rsidRPr="004B3F62">
        <w:t>proškolení</w:t>
      </w:r>
      <w:r>
        <w:t xml:space="preserve"> </w:t>
      </w:r>
      <w:r w:rsidRPr="004B3F62">
        <w:t>zaměstnanců</w:t>
      </w:r>
      <w:r>
        <w:t xml:space="preserve"> </w:t>
      </w:r>
      <w:r w:rsidRPr="004B3F62">
        <w:t>podílejících</w:t>
      </w:r>
      <w:r>
        <w:t xml:space="preserve"> </w:t>
      </w:r>
      <w:r w:rsidRPr="004B3F62">
        <w:t>se</w:t>
      </w:r>
      <w:r>
        <w:t xml:space="preserve"> </w:t>
      </w:r>
      <w:r w:rsidRPr="004B3F62">
        <w:t>na</w:t>
      </w:r>
      <w:r>
        <w:t xml:space="preserve"> </w:t>
      </w:r>
      <w:r w:rsidRPr="004B3F62">
        <w:t>přepravě</w:t>
      </w:r>
      <w:r>
        <w:t xml:space="preserve"> </w:t>
      </w:r>
      <w:r w:rsidRPr="004B3F62">
        <w:t>nebezpečných</w:t>
      </w:r>
      <w:r>
        <w:t xml:space="preserve"> </w:t>
      </w:r>
      <w:r w:rsidRPr="004B3F62">
        <w:t>věcí</w:t>
      </w:r>
      <w:r>
        <w:t xml:space="preserve"> </w:t>
      </w:r>
      <w:r w:rsidRPr="004B3F62">
        <w:t>podle</w:t>
      </w:r>
      <w:r>
        <w:t xml:space="preserve"> </w:t>
      </w:r>
      <w:r w:rsidRPr="004B3F62">
        <w:t>kapitoly</w:t>
      </w:r>
      <w:r>
        <w:t xml:space="preserve"> </w:t>
      </w:r>
      <w:r w:rsidRPr="004B3F62">
        <w:t>1.3</w:t>
      </w:r>
      <w:r>
        <w:t xml:space="preserve"> </w:t>
      </w:r>
      <w:r w:rsidRPr="004B3F62">
        <w:t>Řádu,</w:t>
      </w:r>
    </w:p>
    <w:p w14:paraId="1253BDEC" w14:textId="08F029CF" w:rsidR="00554E2B" w:rsidRDefault="00554E2B" w:rsidP="00D60616">
      <w:pPr>
        <w:pStyle w:val="Textparagrafu"/>
        <w:tabs>
          <w:tab w:val="left" w:pos="406"/>
          <w:tab w:val="left" w:pos="868"/>
        </w:tabs>
        <w:spacing w:before="0"/>
        <w:ind w:left="426" w:hanging="426"/>
      </w:pPr>
      <w:r w:rsidRPr="004B3F62">
        <w:t>b)</w:t>
      </w:r>
      <w:r>
        <w:tab/>
      </w:r>
      <w:r w:rsidRPr="004B3F62">
        <w:t>nesplní</w:t>
      </w:r>
      <w:r>
        <w:t xml:space="preserve"> </w:t>
      </w:r>
      <w:r w:rsidRPr="004B3F62">
        <w:t>povinnost</w:t>
      </w:r>
      <w:r>
        <w:t xml:space="preserve"> </w:t>
      </w:r>
      <w:r w:rsidRPr="004B3F62">
        <w:t>z</w:t>
      </w:r>
      <w:r>
        <w:t xml:space="preserve"> </w:t>
      </w:r>
      <w:r w:rsidRPr="004B3F62">
        <w:t>hlediska</w:t>
      </w:r>
      <w:r>
        <w:t xml:space="preserve"> </w:t>
      </w:r>
      <w:r w:rsidRPr="004B3F62">
        <w:t>bezpečnosti</w:t>
      </w:r>
      <w:r>
        <w:t xml:space="preserve"> </w:t>
      </w:r>
      <w:r w:rsidRPr="004B3F62">
        <w:t>podle</w:t>
      </w:r>
      <w:r>
        <w:t xml:space="preserve"> </w:t>
      </w:r>
      <w:r w:rsidRPr="004B3F62">
        <w:t>kapitoly</w:t>
      </w:r>
      <w:r>
        <w:t xml:space="preserve"> </w:t>
      </w:r>
      <w:r w:rsidRPr="004B3F62">
        <w:t>1.4</w:t>
      </w:r>
      <w:r>
        <w:t xml:space="preserve"> </w:t>
      </w:r>
      <w:r w:rsidRPr="004B3F62">
        <w:t>Řádu,</w:t>
      </w:r>
    </w:p>
    <w:p w14:paraId="31A9D39D" w14:textId="20E4AFDE" w:rsidR="00554E2B" w:rsidRDefault="00554E2B" w:rsidP="00D60616">
      <w:pPr>
        <w:pStyle w:val="Textparagrafu"/>
        <w:tabs>
          <w:tab w:val="left" w:pos="406"/>
          <w:tab w:val="left" w:pos="868"/>
        </w:tabs>
        <w:spacing w:before="0"/>
        <w:ind w:left="426" w:hanging="426"/>
      </w:pPr>
      <w:r w:rsidRPr="004B3F62">
        <w:t>c)</w:t>
      </w:r>
      <w:r>
        <w:tab/>
      </w:r>
      <w:r w:rsidRPr="004B3F62">
        <w:t>neustanoví</w:t>
      </w:r>
      <w:r>
        <w:t xml:space="preserve"> </w:t>
      </w:r>
      <w:r w:rsidRPr="004B3F62">
        <w:t>bezpečnostního</w:t>
      </w:r>
      <w:r>
        <w:t xml:space="preserve"> </w:t>
      </w:r>
      <w:r w:rsidRPr="004B3F62">
        <w:t>poradce</w:t>
      </w:r>
      <w:r>
        <w:t xml:space="preserve"> </w:t>
      </w:r>
      <w:r w:rsidRPr="004B3F62">
        <w:t>pro</w:t>
      </w:r>
      <w:r>
        <w:t xml:space="preserve"> </w:t>
      </w:r>
      <w:r w:rsidRPr="004B3F62">
        <w:t>přepravu</w:t>
      </w:r>
      <w:r>
        <w:t xml:space="preserve"> </w:t>
      </w:r>
      <w:r w:rsidRPr="004B3F62">
        <w:t>nebezpečných</w:t>
      </w:r>
      <w:r>
        <w:t xml:space="preserve"> </w:t>
      </w:r>
      <w:r w:rsidRPr="004B3F62">
        <w:t>věcí</w:t>
      </w:r>
      <w:r>
        <w:t xml:space="preserve"> </w:t>
      </w:r>
      <w:r w:rsidRPr="004B3F62">
        <w:t>podle</w:t>
      </w:r>
      <w:r>
        <w:t xml:space="preserve"> </w:t>
      </w:r>
      <w:r w:rsidRPr="004B3F62">
        <w:t>pododdílu</w:t>
      </w:r>
      <w:r>
        <w:t xml:space="preserve"> </w:t>
      </w:r>
      <w:r w:rsidRPr="004B3F62">
        <w:t>1.8.3.1</w:t>
      </w:r>
      <w:r>
        <w:t xml:space="preserve"> </w:t>
      </w:r>
      <w:r w:rsidRPr="004B3F62">
        <w:t>Řádu,</w:t>
      </w:r>
    </w:p>
    <w:p w14:paraId="5B27EF72" w14:textId="77767136" w:rsidR="00554E2B" w:rsidRDefault="00554E2B" w:rsidP="00D60616">
      <w:pPr>
        <w:pStyle w:val="Textparagrafu"/>
        <w:tabs>
          <w:tab w:val="left" w:pos="406"/>
          <w:tab w:val="left" w:pos="868"/>
        </w:tabs>
        <w:spacing w:before="0"/>
        <w:ind w:left="426" w:hanging="426"/>
      </w:pPr>
      <w:r w:rsidRPr="004B3F62">
        <w:t>d)</w:t>
      </w:r>
      <w:r>
        <w:tab/>
      </w:r>
      <w:r w:rsidRPr="004B3F62">
        <w:t>nevypracuje</w:t>
      </w:r>
      <w:r>
        <w:t xml:space="preserve"> </w:t>
      </w:r>
      <w:r w:rsidRPr="004B3F62">
        <w:t>bezpečnostní</w:t>
      </w:r>
      <w:r>
        <w:t xml:space="preserve"> </w:t>
      </w:r>
      <w:r w:rsidRPr="004B3F62">
        <w:t>plán,</w:t>
      </w:r>
      <w:r>
        <w:t xml:space="preserve"> </w:t>
      </w:r>
      <w:r w:rsidRPr="004B3F62">
        <w:t>nezajistí</w:t>
      </w:r>
      <w:r>
        <w:t xml:space="preserve"> </w:t>
      </w:r>
      <w:r w:rsidRPr="004B3F62">
        <w:t>proškolení</w:t>
      </w:r>
      <w:r>
        <w:t xml:space="preserve"> </w:t>
      </w:r>
      <w:r w:rsidRPr="004B3F62">
        <w:t>zaměstnanců</w:t>
      </w:r>
      <w:r>
        <w:t xml:space="preserve"> </w:t>
      </w:r>
      <w:r w:rsidRPr="004B3F62">
        <w:t>nebo</w:t>
      </w:r>
      <w:r>
        <w:t xml:space="preserve"> </w:t>
      </w:r>
      <w:r w:rsidRPr="004B3F62">
        <w:t>nedodržuje</w:t>
      </w:r>
      <w:r>
        <w:t xml:space="preserve"> </w:t>
      </w:r>
      <w:r w:rsidRPr="004B3F62">
        <w:t>ustanovení</w:t>
      </w:r>
      <w:r>
        <w:t xml:space="preserve"> </w:t>
      </w:r>
      <w:r w:rsidRPr="004B3F62">
        <w:t>bezpečnostního</w:t>
      </w:r>
      <w:r>
        <w:t xml:space="preserve"> </w:t>
      </w:r>
      <w:r w:rsidRPr="004B3F62">
        <w:t>plánu</w:t>
      </w:r>
      <w:r>
        <w:t xml:space="preserve"> </w:t>
      </w:r>
      <w:r w:rsidRPr="004B3F62">
        <w:t>podle</w:t>
      </w:r>
      <w:r>
        <w:t xml:space="preserve"> </w:t>
      </w:r>
      <w:r w:rsidRPr="004B3F62">
        <w:t>kapitoly</w:t>
      </w:r>
      <w:r>
        <w:t xml:space="preserve"> </w:t>
      </w:r>
      <w:r w:rsidRPr="004B3F62">
        <w:t>1.10</w:t>
      </w:r>
      <w:r>
        <w:t xml:space="preserve"> </w:t>
      </w:r>
      <w:r w:rsidRPr="004B3F62">
        <w:t>Řádu,</w:t>
      </w:r>
    </w:p>
    <w:p w14:paraId="2619D835" w14:textId="795B121D" w:rsidR="00554E2B" w:rsidRDefault="00554E2B" w:rsidP="00D60616">
      <w:pPr>
        <w:pStyle w:val="Textparagrafu"/>
        <w:tabs>
          <w:tab w:val="left" w:pos="406"/>
          <w:tab w:val="left" w:pos="868"/>
        </w:tabs>
        <w:spacing w:before="0"/>
        <w:ind w:left="426" w:hanging="426"/>
      </w:pPr>
      <w:r w:rsidRPr="004B3F62">
        <w:t>e)</w:t>
      </w:r>
      <w:r>
        <w:tab/>
      </w:r>
      <w:r w:rsidRPr="004B3F62">
        <w:t>užije</w:t>
      </w:r>
      <w:r>
        <w:t xml:space="preserve"> </w:t>
      </w:r>
      <w:r w:rsidRPr="004B3F62">
        <w:t>pro</w:t>
      </w:r>
      <w:r>
        <w:t xml:space="preserve"> </w:t>
      </w:r>
      <w:r w:rsidRPr="004B3F62">
        <w:t>přepravu</w:t>
      </w:r>
      <w:r>
        <w:t xml:space="preserve"> </w:t>
      </w:r>
      <w:r w:rsidRPr="004B3F62">
        <w:t>nebezpečných</w:t>
      </w:r>
      <w:r>
        <w:t xml:space="preserve"> </w:t>
      </w:r>
      <w:r w:rsidRPr="004B3F62">
        <w:t>věcí</w:t>
      </w:r>
      <w:r>
        <w:t xml:space="preserve"> </w:t>
      </w:r>
      <w:r w:rsidRPr="004B3F62">
        <w:t>jiné</w:t>
      </w:r>
      <w:r>
        <w:t xml:space="preserve"> </w:t>
      </w:r>
      <w:r w:rsidRPr="004B3F62">
        <w:t>než</w:t>
      </w:r>
      <w:r>
        <w:t xml:space="preserve"> </w:t>
      </w:r>
      <w:r w:rsidRPr="004B3F62">
        <w:t>předepsané</w:t>
      </w:r>
      <w:r>
        <w:t xml:space="preserve"> </w:t>
      </w:r>
      <w:r w:rsidRPr="004B3F62">
        <w:t>obaly</w:t>
      </w:r>
      <w:r>
        <w:t xml:space="preserve"> </w:t>
      </w:r>
      <w:r w:rsidRPr="004B3F62">
        <w:t>nebo</w:t>
      </w:r>
      <w:r>
        <w:t xml:space="preserve"> </w:t>
      </w:r>
      <w:r w:rsidRPr="004B3F62">
        <w:t>cisterny</w:t>
      </w:r>
      <w:r>
        <w:t xml:space="preserve"> </w:t>
      </w:r>
      <w:r w:rsidRPr="004B3F62">
        <w:t>nebo</w:t>
      </w:r>
      <w:r>
        <w:t xml:space="preserve"> </w:t>
      </w:r>
      <w:r w:rsidRPr="004B3F62">
        <w:t>je</w:t>
      </w:r>
      <w:r>
        <w:t xml:space="preserve"> </w:t>
      </w:r>
      <w:r w:rsidRPr="004B3F62">
        <w:t>užije</w:t>
      </w:r>
      <w:r>
        <w:t xml:space="preserve"> </w:t>
      </w:r>
      <w:r w:rsidRPr="004B3F62">
        <w:t>jiným</w:t>
      </w:r>
      <w:r>
        <w:t xml:space="preserve"> </w:t>
      </w:r>
      <w:r w:rsidRPr="004B3F62">
        <w:t>než</w:t>
      </w:r>
      <w:r>
        <w:t xml:space="preserve"> </w:t>
      </w:r>
      <w:r w:rsidRPr="004B3F62">
        <w:t>předepsaným</w:t>
      </w:r>
      <w:r>
        <w:t xml:space="preserve"> </w:t>
      </w:r>
      <w:r w:rsidRPr="004B3F62">
        <w:t>způsobem</w:t>
      </w:r>
      <w:r>
        <w:t xml:space="preserve"> </w:t>
      </w:r>
      <w:r w:rsidRPr="004B3F62">
        <w:t>podle</w:t>
      </w:r>
      <w:r>
        <w:t xml:space="preserve"> </w:t>
      </w:r>
      <w:r w:rsidRPr="004B3F62">
        <w:t>části</w:t>
      </w:r>
      <w:r>
        <w:t xml:space="preserve"> </w:t>
      </w:r>
      <w:r w:rsidRPr="004B3F62">
        <w:t>4</w:t>
      </w:r>
      <w:r>
        <w:t xml:space="preserve"> </w:t>
      </w:r>
      <w:r w:rsidRPr="004B3F62">
        <w:t>Řádu,</w:t>
      </w:r>
    </w:p>
    <w:p w14:paraId="48884364" w14:textId="03A72602" w:rsidR="00554E2B" w:rsidRDefault="00554E2B" w:rsidP="00D60616">
      <w:pPr>
        <w:pStyle w:val="Textparagrafu"/>
        <w:tabs>
          <w:tab w:val="left" w:pos="406"/>
          <w:tab w:val="left" w:pos="868"/>
        </w:tabs>
        <w:spacing w:before="0"/>
        <w:ind w:left="426" w:hanging="426"/>
      </w:pPr>
      <w:r w:rsidRPr="004B3F62">
        <w:t>f)</w:t>
      </w:r>
      <w:r>
        <w:tab/>
      </w:r>
      <w:r w:rsidRPr="004B3F62">
        <w:t>neoznačí</w:t>
      </w:r>
      <w:r>
        <w:t xml:space="preserve"> </w:t>
      </w:r>
      <w:r w:rsidRPr="004B3F62">
        <w:t>nebezpečnou</w:t>
      </w:r>
      <w:r>
        <w:t xml:space="preserve"> </w:t>
      </w:r>
      <w:r w:rsidRPr="004B3F62">
        <w:t>věc</w:t>
      </w:r>
      <w:r>
        <w:t xml:space="preserve"> </w:t>
      </w:r>
      <w:r w:rsidRPr="004B3F62">
        <w:t>podle</w:t>
      </w:r>
      <w:r>
        <w:t xml:space="preserve"> </w:t>
      </w:r>
      <w:r w:rsidRPr="004B3F62">
        <w:t>části</w:t>
      </w:r>
      <w:r>
        <w:t xml:space="preserve"> </w:t>
      </w:r>
      <w:r w:rsidRPr="004B3F62">
        <w:t>5</w:t>
      </w:r>
      <w:r>
        <w:t xml:space="preserve"> </w:t>
      </w:r>
      <w:r w:rsidRPr="004B3F62">
        <w:t>Řádu,</w:t>
      </w:r>
    </w:p>
    <w:p w14:paraId="2E8E40E0" w14:textId="07729E7F" w:rsidR="00554E2B" w:rsidRDefault="00554E2B" w:rsidP="00D60616">
      <w:pPr>
        <w:pStyle w:val="Textparagrafu"/>
        <w:tabs>
          <w:tab w:val="left" w:pos="406"/>
          <w:tab w:val="left" w:pos="868"/>
        </w:tabs>
        <w:spacing w:before="0"/>
        <w:ind w:left="426" w:hanging="426"/>
      </w:pPr>
      <w:r w:rsidRPr="004B3F62">
        <w:t>g)</w:t>
      </w:r>
      <w:r>
        <w:tab/>
      </w:r>
      <w:r w:rsidRPr="004B3F62">
        <w:t>nepřiloží</w:t>
      </w:r>
      <w:r>
        <w:t xml:space="preserve"> </w:t>
      </w:r>
      <w:r w:rsidRPr="004B3F62">
        <w:t>řádně</w:t>
      </w:r>
      <w:r>
        <w:t xml:space="preserve"> </w:t>
      </w:r>
      <w:r w:rsidRPr="004B3F62">
        <w:t>vyplněné</w:t>
      </w:r>
      <w:r>
        <w:t xml:space="preserve"> </w:t>
      </w:r>
      <w:r w:rsidRPr="004B3F62">
        <w:t>doklady</w:t>
      </w:r>
      <w:r>
        <w:t xml:space="preserve"> </w:t>
      </w:r>
      <w:r w:rsidRPr="004B3F62">
        <w:t>předepsané</w:t>
      </w:r>
      <w:r>
        <w:t xml:space="preserve"> </w:t>
      </w:r>
      <w:r w:rsidRPr="004B3F62">
        <w:t>pro</w:t>
      </w:r>
      <w:r>
        <w:t xml:space="preserve"> </w:t>
      </w:r>
      <w:r w:rsidRPr="004B3F62">
        <w:t>přepravu</w:t>
      </w:r>
      <w:r>
        <w:t xml:space="preserve"> </w:t>
      </w:r>
      <w:r w:rsidRPr="004B3F62">
        <w:t>nebezpečných</w:t>
      </w:r>
      <w:r>
        <w:t xml:space="preserve"> </w:t>
      </w:r>
      <w:r w:rsidRPr="004B3F62">
        <w:t>věcí</w:t>
      </w:r>
      <w:r>
        <w:t xml:space="preserve"> </w:t>
      </w:r>
      <w:r w:rsidRPr="004B3F62">
        <w:t>podle</w:t>
      </w:r>
      <w:r>
        <w:t xml:space="preserve"> </w:t>
      </w:r>
      <w:r w:rsidRPr="004B3F62">
        <w:t>kapitol</w:t>
      </w:r>
      <w:r>
        <w:t xml:space="preserve"> </w:t>
      </w:r>
      <w:r w:rsidRPr="004B3F62">
        <w:t>5.1</w:t>
      </w:r>
      <w:r>
        <w:t xml:space="preserve"> </w:t>
      </w:r>
      <w:r w:rsidRPr="004B3F62">
        <w:t>a</w:t>
      </w:r>
      <w:r>
        <w:t xml:space="preserve"> </w:t>
      </w:r>
      <w:r w:rsidRPr="004B3F62">
        <w:t>5.4</w:t>
      </w:r>
      <w:r>
        <w:t xml:space="preserve"> </w:t>
      </w:r>
      <w:r w:rsidRPr="004B3F62">
        <w:t>Řádu,</w:t>
      </w:r>
    </w:p>
    <w:p w14:paraId="225B9A48" w14:textId="0B470214" w:rsidR="00554E2B" w:rsidRDefault="00554E2B" w:rsidP="00D60616">
      <w:pPr>
        <w:pStyle w:val="Textparagrafu"/>
        <w:tabs>
          <w:tab w:val="left" w:pos="406"/>
          <w:tab w:val="left" w:pos="868"/>
        </w:tabs>
        <w:spacing w:before="0"/>
        <w:ind w:left="426" w:hanging="426"/>
      </w:pPr>
      <w:r w:rsidRPr="004B3F62">
        <w:t>h)</w:t>
      </w:r>
      <w:r>
        <w:tab/>
      </w:r>
      <w:r w:rsidRPr="004B3F62">
        <w:t>poruší</w:t>
      </w:r>
      <w:r>
        <w:t xml:space="preserve"> </w:t>
      </w:r>
      <w:r w:rsidRPr="004B3F62">
        <w:t>požadavky</w:t>
      </w:r>
      <w:r>
        <w:t xml:space="preserve"> </w:t>
      </w:r>
      <w:r w:rsidRPr="004B3F62">
        <w:t>na</w:t>
      </w:r>
      <w:r>
        <w:t xml:space="preserve"> </w:t>
      </w:r>
      <w:r w:rsidRPr="004B3F62">
        <w:t>konstrukci</w:t>
      </w:r>
      <w:r>
        <w:t xml:space="preserve"> </w:t>
      </w:r>
      <w:r w:rsidRPr="004B3F62">
        <w:t>a</w:t>
      </w:r>
      <w:r>
        <w:t xml:space="preserve"> </w:t>
      </w:r>
      <w:r w:rsidRPr="004B3F62">
        <w:t>zkoušky</w:t>
      </w:r>
      <w:r>
        <w:t xml:space="preserve"> </w:t>
      </w:r>
      <w:r w:rsidRPr="004B3F62">
        <w:t>obalů,</w:t>
      </w:r>
      <w:r>
        <w:t xml:space="preserve"> </w:t>
      </w:r>
      <w:r w:rsidRPr="004B3F62">
        <w:t>velkých</w:t>
      </w:r>
      <w:r>
        <w:t xml:space="preserve"> </w:t>
      </w:r>
      <w:r w:rsidRPr="004B3F62">
        <w:t>nádob</w:t>
      </w:r>
      <w:r>
        <w:t xml:space="preserve"> </w:t>
      </w:r>
      <w:r w:rsidRPr="004B3F62">
        <w:t>pro</w:t>
      </w:r>
      <w:r>
        <w:t xml:space="preserve"> </w:t>
      </w:r>
      <w:r w:rsidRPr="004B3F62">
        <w:t>volně</w:t>
      </w:r>
      <w:r>
        <w:t xml:space="preserve"> </w:t>
      </w:r>
      <w:r w:rsidRPr="004B3F62">
        <w:t>ložené</w:t>
      </w:r>
      <w:r>
        <w:t xml:space="preserve"> </w:t>
      </w:r>
      <w:r w:rsidRPr="004B3F62">
        <w:t>látky,</w:t>
      </w:r>
      <w:r>
        <w:t xml:space="preserve"> </w:t>
      </w:r>
      <w:r w:rsidRPr="004B3F62">
        <w:t>velkých</w:t>
      </w:r>
      <w:r>
        <w:t xml:space="preserve"> </w:t>
      </w:r>
      <w:r w:rsidRPr="004B3F62">
        <w:t>obalů</w:t>
      </w:r>
      <w:r>
        <w:t xml:space="preserve"> </w:t>
      </w:r>
      <w:r w:rsidRPr="004B3F62">
        <w:t>nebo</w:t>
      </w:r>
      <w:r>
        <w:t xml:space="preserve"> </w:t>
      </w:r>
      <w:r w:rsidRPr="004B3F62">
        <w:t>cisteren</w:t>
      </w:r>
      <w:r>
        <w:t xml:space="preserve"> </w:t>
      </w:r>
      <w:r w:rsidRPr="004B3F62">
        <w:t>podle</w:t>
      </w:r>
      <w:r>
        <w:t xml:space="preserve"> </w:t>
      </w:r>
      <w:r w:rsidRPr="004B3F62">
        <w:t>části</w:t>
      </w:r>
      <w:r>
        <w:t xml:space="preserve"> </w:t>
      </w:r>
      <w:r w:rsidRPr="004B3F62">
        <w:t>6</w:t>
      </w:r>
      <w:r>
        <w:t xml:space="preserve"> </w:t>
      </w:r>
      <w:r w:rsidRPr="004B3F62">
        <w:t>Řádu,</w:t>
      </w:r>
      <w:r>
        <w:t xml:space="preserve"> </w:t>
      </w:r>
      <w:r w:rsidRPr="004B3F62">
        <w:t>nebo</w:t>
      </w:r>
    </w:p>
    <w:p w14:paraId="2F3A8BE2" w14:textId="100B62B7" w:rsidR="00554E2B" w:rsidRDefault="00554E2B" w:rsidP="00D60616">
      <w:pPr>
        <w:pStyle w:val="Textparagrafu"/>
        <w:tabs>
          <w:tab w:val="left" w:pos="406"/>
          <w:tab w:val="left" w:pos="868"/>
        </w:tabs>
        <w:spacing w:before="0"/>
        <w:ind w:left="426" w:hanging="426"/>
      </w:pPr>
      <w:r w:rsidRPr="004B3F62">
        <w:t>i)</w:t>
      </w:r>
      <w:r>
        <w:tab/>
      </w:r>
      <w:r w:rsidRPr="004B3F62">
        <w:t>poruší</w:t>
      </w:r>
      <w:r>
        <w:t xml:space="preserve"> </w:t>
      </w:r>
      <w:r w:rsidRPr="004B3F62">
        <w:t>podmínky</w:t>
      </w:r>
      <w:r>
        <w:t xml:space="preserve"> </w:t>
      </w:r>
      <w:r w:rsidRPr="004B3F62">
        <w:t>přepravy,</w:t>
      </w:r>
      <w:r>
        <w:t xml:space="preserve"> </w:t>
      </w:r>
      <w:r w:rsidRPr="004B3F62">
        <w:t>nakládky,</w:t>
      </w:r>
      <w:r>
        <w:t xml:space="preserve"> </w:t>
      </w:r>
      <w:r w:rsidRPr="004B3F62">
        <w:t>vykládky</w:t>
      </w:r>
      <w:r>
        <w:t xml:space="preserve"> </w:t>
      </w:r>
      <w:r w:rsidRPr="004B3F62">
        <w:t>nebo</w:t>
      </w:r>
      <w:r>
        <w:t xml:space="preserve"> </w:t>
      </w:r>
      <w:r w:rsidRPr="004B3F62">
        <w:t>manipulace</w:t>
      </w:r>
      <w:r>
        <w:t xml:space="preserve"> </w:t>
      </w:r>
      <w:r w:rsidRPr="004B3F62">
        <w:t>s</w:t>
      </w:r>
      <w:r>
        <w:t xml:space="preserve"> </w:t>
      </w:r>
      <w:r w:rsidRPr="004B3F62">
        <w:t>nebezpečnými</w:t>
      </w:r>
      <w:r>
        <w:t xml:space="preserve"> </w:t>
      </w:r>
      <w:r w:rsidRPr="004B3F62">
        <w:t>věcmi</w:t>
      </w:r>
      <w:r>
        <w:t xml:space="preserve"> </w:t>
      </w:r>
      <w:r w:rsidRPr="004B3F62">
        <w:t>podle</w:t>
      </w:r>
      <w:r>
        <w:t xml:space="preserve"> </w:t>
      </w:r>
      <w:r w:rsidRPr="004B3F62">
        <w:t>části</w:t>
      </w:r>
      <w:r>
        <w:t xml:space="preserve"> </w:t>
      </w:r>
      <w:r w:rsidRPr="004B3F62">
        <w:t>7</w:t>
      </w:r>
      <w:r>
        <w:t xml:space="preserve"> </w:t>
      </w:r>
      <w:r w:rsidRPr="004B3F62">
        <w:t>Řádu.</w:t>
      </w:r>
    </w:p>
    <w:p w14:paraId="74151AC4" w14:textId="77777777" w:rsidR="00554E2B" w:rsidRDefault="00554E2B" w:rsidP="00CE2C91">
      <w:pPr>
        <w:pStyle w:val="Textparagrafu"/>
        <w:tabs>
          <w:tab w:val="left" w:pos="406"/>
          <w:tab w:val="left" w:pos="868"/>
        </w:tabs>
        <w:spacing w:before="120" w:after="120"/>
      </w:pPr>
      <w:r w:rsidRPr="004B3F62">
        <w:t>(11)</w:t>
      </w:r>
      <w:r>
        <w:t xml:space="preserve"> </w:t>
      </w:r>
      <w:r w:rsidRPr="004B3F62">
        <w:t>Právnická</w:t>
      </w:r>
      <w:r>
        <w:t xml:space="preserve"> </w:t>
      </w:r>
      <w:r w:rsidRPr="004B3F62">
        <w:t>nebo</w:t>
      </w:r>
      <w:r>
        <w:t xml:space="preserve"> </w:t>
      </w:r>
      <w:r w:rsidRPr="004B3F62">
        <w:t>podnikající</w:t>
      </w:r>
      <w:r>
        <w:t xml:space="preserve"> </w:t>
      </w:r>
      <w:r w:rsidRPr="004B3F62">
        <w:t>fyzická</w:t>
      </w:r>
      <w:r>
        <w:t xml:space="preserve"> </w:t>
      </w:r>
      <w:r w:rsidRPr="004B3F62">
        <w:t>osoba</w:t>
      </w:r>
      <w:r>
        <w:t xml:space="preserve"> </w:t>
      </w:r>
      <w:r w:rsidRPr="004B3F62">
        <w:t>se</w:t>
      </w:r>
      <w:r>
        <w:t xml:space="preserve"> </w:t>
      </w:r>
      <w:r w:rsidRPr="004B3F62">
        <w:t>jako</w:t>
      </w:r>
      <w:r>
        <w:t xml:space="preserve"> </w:t>
      </w:r>
      <w:r w:rsidRPr="004B3F62">
        <w:t>provozovatel</w:t>
      </w:r>
      <w:r>
        <w:t xml:space="preserve"> </w:t>
      </w:r>
      <w:r w:rsidRPr="004B3F62">
        <w:t>dráhy</w:t>
      </w:r>
      <w:r>
        <w:t xml:space="preserve"> </w:t>
      </w:r>
      <w:r w:rsidRPr="004B3F62">
        <w:t>při</w:t>
      </w:r>
      <w:r>
        <w:t xml:space="preserve"> </w:t>
      </w:r>
      <w:r w:rsidRPr="004B3F62">
        <w:t>přepravě</w:t>
      </w:r>
      <w:r>
        <w:t xml:space="preserve"> </w:t>
      </w:r>
      <w:r w:rsidRPr="004B3F62">
        <w:t>nebezpečných</w:t>
      </w:r>
      <w:r>
        <w:t xml:space="preserve"> </w:t>
      </w:r>
      <w:r w:rsidRPr="004B3F62">
        <w:t>věcí</w:t>
      </w:r>
      <w:r>
        <w:t xml:space="preserve"> </w:t>
      </w:r>
      <w:r w:rsidRPr="004B3F62">
        <w:t>v</w:t>
      </w:r>
      <w:r>
        <w:t xml:space="preserve"> </w:t>
      </w:r>
      <w:r w:rsidRPr="004B3F62">
        <w:t>seřaďovacích</w:t>
      </w:r>
      <w:r>
        <w:t xml:space="preserve"> </w:t>
      </w:r>
      <w:r w:rsidRPr="004B3F62">
        <w:t>nádražích</w:t>
      </w:r>
      <w:r>
        <w:t xml:space="preserve"> </w:t>
      </w:r>
      <w:r w:rsidRPr="004B3F62">
        <w:t>dopustí</w:t>
      </w:r>
      <w:r>
        <w:t xml:space="preserve"> </w:t>
      </w:r>
      <w:r w:rsidRPr="004B3F62">
        <w:t>přestupku</w:t>
      </w:r>
      <w:r>
        <w:t xml:space="preserve"> </w:t>
      </w:r>
      <w:r w:rsidRPr="004B3F62">
        <w:t>tím,</w:t>
      </w:r>
      <w:r>
        <w:t xml:space="preserve"> </w:t>
      </w:r>
      <w:r w:rsidRPr="004B3F62">
        <w:t>že</w:t>
      </w:r>
      <w:r>
        <w:t xml:space="preserve"> </w:t>
      </w:r>
      <w:r w:rsidRPr="004B3F62">
        <w:t>nezajistí</w:t>
      </w:r>
      <w:r>
        <w:t xml:space="preserve"> </w:t>
      </w:r>
      <w:r w:rsidRPr="004B3F62">
        <w:t>vypracování</w:t>
      </w:r>
      <w:r>
        <w:t xml:space="preserve"> </w:t>
      </w:r>
      <w:r w:rsidRPr="004B3F62">
        <w:t>interních</w:t>
      </w:r>
      <w:r>
        <w:t xml:space="preserve"> </w:t>
      </w:r>
      <w:r w:rsidRPr="004B3F62">
        <w:t>nouzových</w:t>
      </w:r>
      <w:r>
        <w:t xml:space="preserve"> </w:t>
      </w:r>
      <w:r w:rsidRPr="004B3F62">
        <w:t>plánů</w:t>
      </w:r>
      <w:r>
        <w:t xml:space="preserve"> </w:t>
      </w:r>
      <w:r w:rsidRPr="004B3F62">
        <w:t>(kapitola</w:t>
      </w:r>
      <w:r>
        <w:t xml:space="preserve"> </w:t>
      </w:r>
      <w:r w:rsidRPr="004B3F62">
        <w:t>1.11</w:t>
      </w:r>
      <w:r>
        <w:t xml:space="preserve"> </w:t>
      </w:r>
      <w:r w:rsidRPr="004B3F62">
        <w:t>Řádu)</w:t>
      </w:r>
      <w:r>
        <w:t xml:space="preserve"> </w:t>
      </w:r>
      <w:r w:rsidRPr="004B3F62">
        <w:t>pro</w:t>
      </w:r>
      <w:r>
        <w:t xml:space="preserve"> </w:t>
      </w:r>
      <w:r w:rsidRPr="004B3F62">
        <w:t>tuto</w:t>
      </w:r>
      <w:r>
        <w:t xml:space="preserve"> </w:t>
      </w:r>
      <w:r w:rsidRPr="004B3F62">
        <w:t>přepravu</w:t>
      </w:r>
      <w:r>
        <w:t xml:space="preserve"> </w:t>
      </w:r>
      <w:r w:rsidRPr="004B3F62">
        <w:t>podle</w:t>
      </w:r>
      <w:r>
        <w:t xml:space="preserve"> </w:t>
      </w:r>
      <w:r w:rsidRPr="004B3F62">
        <w:t>pododdílu</w:t>
      </w:r>
      <w:r>
        <w:t xml:space="preserve"> </w:t>
      </w:r>
      <w:r w:rsidRPr="004B3F62">
        <w:t>1.4.3.6</w:t>
      </w:r>
      <w:r>
        <w:t xml:space="preserve"> </w:t>
      </w:r>
      <w:r w:rsidRPr="004B3F62">
        <w:t>Řádu.</w:t>
      </w:r>
    </w:p>
    <w:p w14:paraId="68B0BDD9" w14:textId="77777777" w:rsidR="00554E2B" w:rsidRDefault="00554E2B" w:rsidP="00CE2C91">
      <w:pPr>
        <w:pStyle w:val="Textparagrafu"/>
        <w:tabs>
          <w:tab w:val="left" w:pos="406"/>
          <w:tab w:val="left" w:pos="868"/>
        </w:tabs>
        <w:spacing w:before="120" w:after="120"/>
      </w:pPr>
      <w:r w:rsidRPr="004B3F62">
        <w:t>(12)</w:t>
      </w:r>
      <w:r>
        <w:t xml:space="preserve"> </w:t>
      </w:r>
      <w:r w:rsidRPr="004B3F62">
        <w:t>Právnická</w:t>
      </w:r>
      <w:r>
        <w:t xml:space="preserve"> </w:t>
      </w:r>
      <w:r w:rsidRPr="004B3F62">
        <w:t>nebo</w:t>
      </w:r>
      <w:r>
        <w:t xml:space="preserve"> </w:t>
      </w:r>
      <w:r w:rsidRPr="004B3F62">
        <w:t>podnikající</w:t>
      </w:r>
      <w:r>
        <w:t xml:space="preserve"> </w:t>
      </w:r>
      <w:r w:rsidRPr="004B3F62">
        <w:t>fyzická</w:t>
      </w:r>
      <w:r>
        <w:t xml:space="preserve"> </w:t>
      </w:r>
      <w:r w:rsidRPr="004B3F62">
        <w:t>osoba</w:t>
      </w:r>
      <w:r>
        <w:t xml:space="preserve"> </w:t>
      </w:r>
      <w:r w:rsidRPr="004B3F62">
        <w:t>se</w:t>
      </w:r>
      <w:r>
        <w:t xml:space="preserve"> </w:t>
      </w:r>
      <w:r w:rsidRPr="004B3F62">
        <w:t>jako</w:t>
      </w:r>
      <w:r>
        <w:t xml:space="preserve"> </w:t>
      </w:r>
      <w:r w:rsidRPr="004B3F62">
        <w:t>dopravce</w:t>
      </w:r>
      <w:r>
        <w:t xml:space="preserve"> </w:t>
      </w:r>
      <w:r w:rsidRPr="004B3F62">
        <w:t>nebo</w:t>
      </w:r>
      <w:r>
        <w:t xml:space="preserve"> </w:t>
      </w:r>
      <w:r w:rsidRPr="004B3F62">
        <w:t>provozovatel</w:t>
      </w:r>
      <w:r>
        <w:t xml:space="preserve"> </w:t>
      </w:r>
      <w:r w:rsidRPr="004B3F62">
        <w:t>dráhy</w:t>
      </w:r>
      <w:r>
        <w:t xml:space="preserve"> </w:t>
      </w:r>
      <w:r w:rsidRPr="004B3F62">
        <w:t>při</w:t>
      </w:r>
      <w:r>
        <w:t xml:space="preserve"> </w:t>
      </w:r>
      <w:r w:rsidRPr="004B3F62">
        <w:t>přepravě</w:t>
      </w:r>
      <w:r>
        <w:t xml:space="preserve"> </w:t>
      </w:r>
      <w:r w:rsidRPr="004B3F62">
        <w:t>nebezpečných</w:t>
      </w:r>
      <w:r>
        <w:t xml:space="preserve"> </w:t>
      </w:r>
      <w:r w:rsidRPr="004B3F62">
        <w:t>věcí</w:t>
      </w:r>
      <w:r>
        <w:t xml:space="preserve"> </w:t>
      </w:r>
      <w:r w:rsidRPr="004B3F62">
        <w:t>dopustí</w:t>
      </w:r>
      <w:r>
        <w:t xml:space="preserve"> </w:t>
      </w:r>
      <w:r w:rsidRPr="004B3F62">
        <w:t>přestupku</w:t>
      </w:r>
      <w:r>
        <w:t xml:space="preserve"> </w:t>
      </w:r>
      <w:r w:rsidRPr="004B3F62">
        <w:t>tím,</w:t>
      </w:r>
      <w:r>
        <w:t xml:space="preserve"> </w:t>
      </w:r>
      <w:r w:rsidRPr="004B3F62">
        <w:t>že</w:t>
      </w:r>
      <w:r>
        <w:t xml:space="preserve"> </w:t>
      </w:r>
      <w:r w:rsidRPr="004B3F62">
        <w:t>nevypracuje</w:t>
      </w:r>
      <w:r>
        <w:t xml:space="preserve"> </w:t>
      </w:r>
      <w:r w:rsidRPr="004B3F62">
        <w:t>zprávu</w:t>
      </w:r>
      <w:r>
        <w:t xml:space="preserve"> </w:t>
      </w:r>
      <w:r w:rsidRPr="004B3F62">
        <w:t>o</w:t>
      </w:r>
      <w:r>
        <w:t xml:space="preserve"> </w:t>
      </w:r>
      <w:r w:rsidRPr="004B3F62">
        <w:t>nehodě</w:t>
      </w:r>
      <w:r>
        <w:t xml:space="preserve"> </w:t>
      </w:r>
      <w:r w:rsidRPr="004B3F62">
        <w:t>podle</w:t>
      </w:r>
      <w:r>
        <w:t xml:space="preserve"> </w:t>
      </w:r>
      <w:r w:rsidRPr="004B3F62">
        <w:t>oddílu</w:t>
      </w:r>
      <w:r>
        <w:t xml:space="preserve"> </w:t>
      </w:r>
      <w:r w:rsidRPr="004B3F62">
        <w:t>1.8.5</w:t>
      </w:r>
      <w:r>
        <w:t xml:space="preserve"> </w:t>
      </w:r>
      <w:r w:rsidRPr="004B3F62">
        <w:t>Řádu.</w:t>
      </w:r>
    </w:p>
    <w:p w14:paraId="5F70165B" w14:textId="77777777" w:rsidR="00554E2B" w:rsidRDefault="00554E2B" w:rsidP="00CE2C91">
      <w:pPr>
        <w:pStyle w:val="Textparagrafu"/>
        <w:tabs>
          <w:tab w:val="left" w:pos="406"/>
          <w:tab w:val="left" w:pos="868"/>
        </w:tabs>
        <w:spacing w:before="120" w:after="120"/>
      </w:pPr>
      <w:r w:rsidRPr="004B3F62">
        <w:t>(13)</w:t>
      </w:r>
      <w:r>
        <w:t xml:space="preserve"> </w:t>
      </w:r>
      <w:r w:rsidRPr="004B3F62">
        <w:t>Právnická</w:t>
      </w:r>
      <w:r>
        <w:t xml:space="preserve"> </w:t>
      </w:r>
      <w:r w:rsidRPr="004B3F62">
        <w:t>nebo</w:t>
      </w:r>
      <w:r>
        <w:t xml:space="preserve"> </w:t>
      </w:r>
      <w:r w:rsidRPr="004B3F62">
        <w:t>podnikající</w:t>
      </w:r>
      <w:r>
        <w:t xml:space="preserve"> </w:t>
      </w:r>
      <w:r w:rsidRPr="004B3F62">
        <w:t>fyzická</w:t>
      </w:r>
      <w:r>
        <w:t xml:space="preserve"> </w:t>
      </w:r>
      <w:r w:rsidRPr="004B3F62">
        <w:t>osoba</w:t>
      </w:r>
      <w:r>
        <w:t xml:space="preserve"> </w:t>
      </w:r>
      <w:r w:rsidRPr="004B3F62">
        <w:t>se</w:t>
      </w:r>
      <w:r>
        <w:t xml:space="preserve"> </w:t>
      </w:r>
      <w:r w:rsidRPr="004B3F62">
        <w:t>jako</w:t>
      </w:r>
      <w:r>
        <w:t xml:space="preserve"> </w:t>
      </w:r>
      <w:r w:rsidRPr="004B3F62">
        <w:t>odesílatel</w:t>
      </w:r>
      <w:r>
        <w:t xml:space="preserve"> </w:t>
      </w:r>
      <w:r w:rsidRPr="004B3F62">
        <w:t>při</w:t>
      </w:r>
      <w:r>
        <w:t xml:space="preserve"> </w:t>
      </w:r>
      <w:r w:rsidRPr="004B3F62">
        <w:t>přepravě</w:t>
      </w:r>
      <w:r>
        <w:t xml:space="preserve"> </w:t>
      </w:r>
      <w:r w:rsidRPr="004B3F62">
        <w:t>nebezpečných</w:t>
      </w:r>
      <w:r>
        <w:t xml:space="preserve"> </w:t>
      </w:r>
      <w:r w:rsidRPr="004B3F62">
        <w:t>věcí</w:t>
      </w:r>
      <w:r>
        <w:t xml:space="preserve"> </w:t>
      </w:r>
      <w:r w:rsidRPr="004B3F62">
        <w:t>dopustí</w:t>
      </w:r>
      <w:r>
        <w:t xml:space="preserve"> </w:t>
      </w:r>
      <w:r w:rsidRPr="004B3F62">
        <w:t>přestupku</w:t>
      </w:r>
      <w:r>
        <w:t xml:space="preserve"> </w:t>
      </w:r>
      <w:r w:rsidRPr="004B3F62">
        <w:t>tím,</w:t>
      </w:r>
      <w:r>
        <w:t xml:space="preserve"> </w:t>
      </w:r>
      <w:r w:rsidRPr="004B3F62">
        <w:t>že</w:t>
      </w:r>
      <w:r>
        <w:t xml:space="preserve"> </w:t>
      </w:r>
      <w:r w:rsidRPr="004B3F62">
        <w:t>při</w:t>
      </w:r>
      <w:r>
        <w:t xml:space="preserve"> </w:t>
      </w:r>
      <w:r w:rsidRPr="004B3F62">
        <w:t>odesílání</w:t>
      </w:r>
      <w:r>
        <w:t xml:space="preserve"> </w:t>
      </w:r>
      <w:r w:rsidRPr="004B3F62">
        <w:t>nezařadí</w:t>
      </w:r>
      <w:r>
        <w:t xml:space="preserve"> </w:t>
      </w:r>
      <w:r w:rsidRPr="004B3F62">
        <w:t>nebezpečnou</w:t>
      </w:r>
      <w:r>
        <w:t xml:space="preserve"> </w:t>
      </w:r>
      <w:r w:rsidRPr="004B3F62">
        <w:t>věc</w:t>
      </w:r>
      <w:r>
        <w:t xml:space="preserve"> </w:t>
      </w:r>
      <w:r w:rsidRPr="004B3F62">
        <w:t>podle</w:t>
      </w:r>
      <w:r>
        <w:t xml:space="preserve"> </w:t>
      </w:r>
      <w:r w:rsidRPr="004B3F62">
        <w:t>části</w:t>
      </w:r>
      <w:r>
        <w:t xml:space="preserve"> </w:t>
      </w:r>
      <w:r w:rsidRPr="004B3F62">
        <w:t>2</w:t>
      </w:r>
      <w:r>
        <w:t xml:space="preserve"> </w:t>
      </w:r>
      <w:r w:rsidRPr="004B3F62">
        <w:t>Řádu.</w:t>
      </w:r>
    </w:p>
    <w:p w14:paraId="6A1689CE" w14:textId="77777777" w:rsidR="00554E2B" w:rsidRDefault="00554E2B" w:rsidP="00CE2C91">
      <w:pPr>
        <w:pStyle w:val="Textparagrafu"/>
        <w:tabs>
          <w:tab w:val="left" w:pos="406"/>
          <w:tab w:val="left" w:pos="868"/>
        </w:tabs>
        <w:spacing w:before="120" w:after="120"/>
      </w:pPr>
      <w:r w:rsidRPr="004B3F62">
        <w:t>(14)</w:t>
      </w:r>
      <w:r>
        <w:t xml:space="preserve"> </w:t>
      </w:r>
      <w:r w:rsidRPr="004B3F62">
        <w:t>Za</w:t>
      </w:r>
      <w:r>
        <w:t xml:space="preserve"> </w:t>
      </w:r>
      <w:r w:rsidRPr="004B3F62">
        <w:t>přestupek</w:t>
      </w:r>
      <w:r>
        <w:t xml:space="preserve"> </w:t>
      </w:r>
      <w:r w:rsidRPr="004B3F62">
        <w:t>lze</w:t>
      </w:r>
      <w:r>
        <w:t xml:space="preserve"> </w:t>
      </w:r>
      <w:r w:rsidRPr="004B3F62">
        <w:t>uložit</w:t>
      </w:r>
      <w:r>
        <w:t xml:space="preserve"> </w:t>
      </w:r>
      <w:r w:rsidRPr="004B3F62">
        <w:t>pokutu</w:t>
      </w:r>
      <w:r>
        <w:t xml:space="preserve"> </w:t>
      </w:r>
      <w:r w:rsidRPr="004B3F62">
        <w:t>do</w:t>
      </w:r>
    </w:p>
    <w:p w14:paraId="7DB1A17D" w14:textId="2C39362B" w:rsidR="00554E2B" w:rsidRDefault="00554E2B" w:rsidP="00D60616">
      <w:pPr>
        <w:pStyle w:val="Textparagrafu"/>
        <w:tabs>
          <w:tab w:val="left" w:pos="406"/>
          <w:tab w:val="left" w:pos="868"/>
        </w:tabs>
        <w:spacing w:before="0"/>
        <w:ind w:left="426" w:hanging="426"/>
      </w:pPr>
      <w:r w:rsidRPr="004B3F62">
        <w:t>a)</w:t>
      </w:r>
      <w:r>
        <w:tab/>
      </w:r>
      <w:r w:rsidRPr="004B3F62">
        <w:t>200</w:t>
      </w:r>
      <w:r>
        <w:t xml:space="preserve"> </w:t>
      </w:r>
      <w:r w:rsidRPr="004B3F62">
        <w:t>000</w:t>
      </w:r>
      <w:r>
        <w:t xml:space="preserve"> </w:t>
      </w:r>
      <w:r w:rsidRPr="004B3F62">
        <w:t>Kč,</w:t>
      </w:r>
      <w:r>
        <w:t xml:space="preserve"> </w:t>
      </w:r>
      <w:r w:rsidRPr="004B3F62">
        <w:t>jde-li</w:t>
      </w:r>
      <w:r>
        <w:t xml:space="preserve"> </w:t>
      </w:r>
      <w:r w:rsidRPr="004B3F62">
        <w:t>o</w:t>
      </w:r>
      <w:r>
        <w:t xml:space="preserve"> </w:t>
      </w:r>
      <w:r w:rsidRPr="004B3F62">
        <w:t>přestupek</w:t>
      </w:r>
      <w:r>
        <w:t xml:space="preserve"> </w:t>
      </w:r>
      <w:r w:rsidRPr="004B3F62">
        <w:t>podle</w:t>
      </w:r>
      <w:r>
        <w:t xml:space="preserve"> </w:t>
      </w:r>
      <w:r w:rsidRPr="004B3F62">
        <w:t>odstavce</w:t>
      </w:r>
      <w:r>
        <w:t xml:space="preserve"> </w:t>
      </w:r>
      <w:r w:rsidRPr="004B3F62">
        <w:t>2</w:t>
      </w:r>
      <w:r>
        <w:t xml:space="preserve"> </w:t>
      </w:r>
      <w:r w:rsidRPr="004B3F62">
        <w:t>písm.</w:t>
      </w:r>
      <w:r>
        <w:t xml:space="preserve"> </w:t>
      </w:r>
      <w:r w:rsidRPr="004B3F62">
        <w:t>b),</w:t>
      </w:r>
      <w:r>
        <w:t xml:space="preserve"> </w:t>
      </w:r>
      <w:r w:rsidRPr="004B3F62">
        <w:t>c),</w:t>
      </w:r>
      <w:r>
        <w:t xml:space="preserve"> </w:t>
      </w:r>
      <w:r w:rsidRPr="004B3F62">
        <w:t>d),</w:t>
      </w:r>
      <w:r>
        <w:t xml:space="preserve"> </w:t>
      </w:r>
      <w:r w:rsidRPr="004B3F62">
        <w:t>k),</w:t>
      </w:r>
      <w:r>
        <w:t xml:space="preserve"> </w:t>
      </w:r>
      <w:r w:rsidRPr="004B3F62">
        <w:t>m)</w:t>
      </w:r>
      <w:r>
        <w:t xml:space="preserve"> </w:t>
      </w:r>
      <w:r w:rsidRPr="004B3F62">
        <w:t>nebo</w:t>
      </w:r>
      <w:r>
        <w:t xml:space="preserve"> </w:t>
      </w:r>
      <w:r w:rsidRPr="004B3F62">
        <w:t>n)</w:t>
      </w:r>
      <w:r>
        <w:t xml:space="preserve"> </w:t>
      </w:r>
      <w:r w:rsidRPr="004B3F62">
        <w:t>nebo</w:t>
      </w:r>
      <w:r>
        <w:t xml:space="preserve"> </w:t>
      </w:r>
      <w:r w:rsidRPr="004B3F62">
        <w:t>odstavce</w:t>
      </w:r>
      <w:r>
        <w:t xml:space="preserve"> </w:t>
      </w:r>
      <w:r w:rsidRPr="004B3F62">
        <w:t>7</w:t>
      </w:r>
      <w:r>
        <w:t xml:space="preserve"> </w:t>
      </w:r>
      <w:r w:rsidRPr="004B3F62">
        <w:t>písm.</w:t>
      </w:r>
      <w:r>
        <w:t xml:space="preserve"> </w:t>
      </w:r>
      <w:r w:rsidRPr="004B3F62">
        <w:t>a),</w:t>
      </w:r>
    </w:p>
    <w:p w14:paraId="228D29B4" w14:textId="08FE9FBD" w:rsidR="00554E2B" w:rsidRDefault="00554E2B" w:rsidP="00D60616">
      <w:pPr>
        <w:pStyle w:val="Textparagrafu"/>
        <w:tabs>
          <w:tab w:val="left" w:pos="406"/>
          <w:tab w:val="left" w:pos="868"/>
        </w:tabs>
        <w:spacing w:before="0"/>
        <w:ind w:left="426" w:hanging="426"/>
      </w:pPr>
      <w:r w:rsidRPr="004B3F62">
        <w:lastRenderedPageBreak/>
        <w:t>b)</w:t>
      </w:r>
      <w:r>
        <w:tab/>
      </w:r>
      <w:r w:rsidRPr="004B3F62">
        <w:t>1</w:t>
      </w:r>
      <w:r>
        <w:t xml:space="preserve"> </w:t>
      </w:r>
      <w:r w:rsidRPr="004B3F62">
        <w:t>000</w:t>
      </w:r>
      <w:r>
        <w:t xml:space="preserve"> </w:t>
      </w:r>
      <w:r w:rsidRPr="004B3F62">
        <w:t>000</w:t>
      </w:r>
      <w:r>
        <w:t xml:space="preserve"> </w:t>
      </w:r>
      <w:r w:rsidRPr="004B3F62">
        <w:t>Kč,</w:t>
      </w:r>
      <w:r>
        <w:t xml:space="preserve"> </w:t>
      </w:r>
      <w:r w:rsidRPr="004B3F62">
        <w:t>jde-li</w:t>
      </w:r>
      <w:r>
        <w:t xml:space="preserve"> </w:t>
      </w:r>
      <w:r w:rsidRPr="004B3F62">
        <w:t>o</w:t>
      </w:r>
      <w:r>
        <w:t xml:space="preserve"> </w:t>
      </w:r>
      <w:r w:rsidRPr="004B3F62">
        <w:t>přestupek</w:t>
      </w:r>
      <w:r>
        <w:t xml:space="preserve"> </w:t>
      </w:r>
      <w:r w:rsidRPr="004B3F62">
        <w:t>podle</w:t>
      </w:r>
      <w:r>
        <w:t xml:space="preserve"> </w:t>
      </w:r>
      <w:r w:rsidRPr="004B3F62">
        <w:t>odstavce</w:t>
      </w:r>
      <w:r>
        <w:t xml:space="preserve"> </w:t>
      </w:r>
      <w:r w:rsidRPr="004B3F62">
        <w:t>1</w:t>
      </w:r>
      <w:r>
        <w:t xml:space="preserve"> </w:t>
      </w:r>
      <w:r w:rsidRPr="004B3F62">
        <w:t>písm.</w:t>
      </w:r>
      <w:r>
        <w:t xml:space="preserve"> </w:t>
      </w:r>
      <w:r w:rsidRPr="004B3F62">
        <w:t>b),</w:t>
      </w:r>
      <w:r>
        <w:t xml:space="preserve"> </w:t>
      </w:r>
      <w:r w:rsidRPr="004B3F62">
        <w:t>g),</w:t>
      </w:r>
      <w:r>
        <w:t xml:space="preserve"> </w:t>
      </w:r>
      <w:r w:rsidRPr="004B3F62">
        <w:t>i)</w:t>
      </w:r>
      <w:r>
        <w:t xml:space="preserve"> </w:t>
      </w:r>
      <w:r w:rsidRPr="004B3F62">
        <w:t>nebo</w:t>
      </w:r>
      <w:r>
        <w:t xml:space="preserve"> </w:t>
      </w:r>
      <w:r w:rsidRPr="004B3F62">
        <w:t>j),</w:t>
      </w:r>
      <w:r>
        <w:t xml:space="preserve"> </w:t>
      </w:r>
      <w:r w:rsidRPr="004B3F62">
        <w:t>odstavce</w:t>
      </w:r>
      <w:r>
        <w:t xml:space="preserve"> </w:t>
      </w:r>
      <w:r w:rsidRPr="004B3F62">
        <w:t>2</w:t>
      </w:r>
      <w:r>
        <w:t xml:space="preserve"> </w:t>
      </w:r>
      <w:r w:rsidRPr="004B3F62">
        <w:t>písm.</w:t>
      </w:r>
      <w:r>
        <w:t xml:space="preserve"> </w:t>
      </w:r>
      <w:r w:rsidRPr="004B3F62">
        <w:t>f),</w:t>
      </w:r>
      <w:r>
        <w:t xml:space="preserve"> </w:t>
      </w:r>
      <w:r w:rsidRPr="004B3F62">
        <w:t>g),</w:t>
      </w:r>
      <w:r>
        <w:t xml:space="preserve"> </w:t>
      </w:r>
      <w:r w:rsidRPr="004B3F62">
        <w:t>h),</w:t>
      </w:r>
      <w:r>
        <w:t xml:space="preserve"> </w:t>
      </w:r>
      <w:r w:rsidRPr="004B3F62">
        <w:t>j),</w:t>
      </w:r>
      <w:r>
        <w:t xml:space="preserve"> </w:t>
      </w:r>
      <w:r w:rsidRPr="004B3F62">
        <w:t>l),</w:t>
      </w:r>
      <w:r>
        <w:t xml:space="preserve"> </w:t>
      </w:r>
      <w:r w:rsidRPr="004B3F62">
        <w:t>o),</w:t>
      </w:r>
      <w:r>
        <w:t xml:space="preserve"> </w:t>
      </w:r>
      <w:r w:rsidRPr="004B3F62">
        <w:t>p),</w:t>
      </w:r>
      <w:r>
        <w:t xml:space="preserve"> </w:t>
      </w:r>
      <w:r w:rsidRPr="004B3F62">
        <w:t>r)</w:t>
      </w:r>
      <w:r>
        <w:t xml:space="preserve"> </w:t>
      </w:r>
      <w:r w:rsidRPr="004B3F62">
        <w:t>nebo</w:t>
      </w:r>
      <w:r>
        <w:t xml:space="preserve"> </w:t>
      </w:r>
      <w:r w:rsidRPr="004B3F62">
        <w:t>t),</w:t>
      </w:r>
      <w:r>
        <w:t xml:space="preserve"> </w:t>
      </w:r>
      <w:r w:rsidRPr="004B3F62">
        <w:t>odstavce</w:t>
      </w:r>
      <w:r>
        <w:t xml:space="preserve"> </w:t>
      </w:r>
      <w:r w:rsidRPr="004B3F62">
        <w:t>3</w:t>
      </w:r>
      <w:r>
        <w:t xml:space="preserve"> </w:t>
      </w:r>
      <w:r w:rsidRPr="004B3F62">
        <w:t>písm.</w:t>
      </w:r>
      <w:r>
        <w:t xml:space="preserve"> </w:t>
      </w:r>
      <w:r w:rsidRPr="004B3F62">
        <w:t>a),</w:t>
      </w:r>
      <w:r>
        <w:t xml:space="preserve"> </w:t>
      </w:r>
      <w:r w:rsidRPr="004B3F62">
        <w:t>b),</w:t>
      </w:r>
      <w:r>
        <w:t xml:space="preserve"> </w:t>
      </w:r>
      <w:r w:rsidRPr="004B3F62">
        <w:t>c),</w:t>
      </w:r>
      <w:r>
        <w:t xml:space="preserve"> </w:t>
      </w:r>
      <w:r w:rsidRPr="004B3F62">
        <w:t>d),</w:t>
      </w:r>
      <w:r>
        <w:t xml:space="preserve"> </w:t>
      </w:r>
      <w:r w:rsidRPr="004B3F62">
        <w:t>e),</w:t>
      </w:r>
      <w:r>
        <w:t xml:space="preserve"> </w:t>
      </w:r>
      <w:r w:rsidRPr="004B3F62">
        <w:t>f)</w:t>
      </w:r>
      <w:r>
        <w:t xml:space="preserve"> </w:t>
      </w:r>
      <w:r w:rsidRPr="004B3F62">
        <w:t>nebo</w:t>
      </w:r>
      <w:r>
        <w:t xml:space="preserve"> </w:t>
      </w:r>
      <w:r w:rsidRPr="004B3F62">
        <w:t>h),</w:t>
      </w:r>
      <w:r>
        <w:t xml:space="preserve"> </w:t>
      </w:r>
      <w:r w:rsidRPr="004B3F62">
        <w:t>odstavce</w:t>
      </w:r>
      <w:r>
        <w:t xml:space="preserve"> </w:t>
      </w:r>
      <w:r w:rsidRPr="004B3F62">
        <w:t>4,</w:t>
      </w:r>
      <w:r>
        <w:t xml:space="preserve"> </w:t>
      </w:r>
      <w:r w:rsidRPr="004B3F62">
        <w:t>5</w:t>
      </w:r>
      <w:r>
        <w:t xml:space="preserve"> </w:t>
      </w:r>
      <w:r w:rsidRPr="004B3F62">
        <w:t>nebo</w:t>
      </w:r>
      <w:r>
        <w:t xml:space="preserve"> </w:t>
      </w:r>
      <w:r w:rsidRPr="004B3F62">
        <w:t>6,</w:t>
      </w:r>
      <w:r>
        <w:t xml:space="preserve"> </w:t>
      </w:r>
      <w:r w:rsidRPr="004B3F62">
        <w:t>odstavce</w:t>
      </w:r>
      <w:r>
        <w:t xml:space="preserve"> </w:t>
      </w:r>
      <w:r w:rsidRPr="004B3F62">
        <w:t>7</w:t>
      </w:r>
      <w:r>
        <w:t xml:space="preserve"> </w:t>
      </w:r>
      <w:r w:rsidRPr="004B3F62">
        <w:t>písm.</w:t>
      </w:r>
      <w:r>
        <w:t xml:space="preserve"> </w:t>
      </w:r>
      <w:r w:rsidRPr="004B3F62">
        <w:t>b),</w:t>
      </w:r>
      <w:r>
        <w:t xml:space="preserve"> </w:t>
      </w:r>
      <w:r w:rsidRPr="004B3F62">
        <w:t>odstavce</w:t>
      </w:r>
      <w:r>
        <w:t xml:space="preserve"> </w:t>
      </w:r>
      <w:r w:rsidRPr="004B3F62">
        <w:t>8</w:t>
      </w:r>
      <w:r>
        <w:t xml:space="preserve"> </w:t>
      </w:r>
      <w:r w:rsidRPr="004B3F62">
        <w:t>nebo</w:t>
      </w:r>
      <w:r>
        <w:t xml:space="preserve"> </w:t>
      </w:r>
      <w:r w:rsidRPr="004B3F62">
        <w:t>9,</w:t>
      </w:r>
      <w:r>
        <w:t xml:space="preserve"> </w:t>
      </w:r>
      <w:r w:rsidRPr="004B3F62">
        <w:t>odstavce</w:t>
      </w:r>
      <w:r>
        <w:t xml:space="preserve"> </w:t>
      </w:r>
      <w:r w:rsidRPr="004B3F62">
        <w:t>10</w:t>
      </w:r>
      <w:r>
        <w:t xml:space="preserve"> </w:t>
      </w:r>
      <w:r w:rsidRPr="004B3F62">
        <w:t>písm.</w:t>
      </w:r>
      <w:r>
        <w:t xml:space="preserve"> </w:t>
      </w:r>
      <w:r w:rsidRPr="004B3F62">
        <w:t>a),</w:t>
      </w:r>
      <w:r>
        <w:t xml:space="preserve"> </w:t>
      </w:r>
      <w:r w:rsidRPr="004B3F62">
        <w:t>b),</w:t>
      </w:r>
      <w:r>
        <w:t xml:space="preserve"> </w:t>
      </w:r>
      <w:r w:rsidRPr="004B3F62">
        <w:t>c),</w:t>
      </w:r>
      <w:r>
        <w:t xml:space="preserve"> </w:t>
      </w:r>
      <w:r w:rsidRPr="004B3F62">
        <w:t>e),</w:t>
      </w:r>
      <w:r>
        <w:t xml:space="preserve"> </w:t>
      </w:r>
      <w:r w:rsidRPr="004B3F62">
        <w:t>f),</w:t>
      </w:r>
      <w:r>
        <w:t xml:space="preserve"> </w:t>
      </w:r>
      <w:r w:rsidRPr="004B3F62">
        <w:t>g),</w:t>
      </w:r>
      <w:r>
        <w:t xml:space="preserve"> </w:t>
      </w:r>
      <w:r w:rsidRPr="004B3F62">
        <w:t>h)</w:t>
      </w:r>
      <w:r>
        <w:t xml:space="preserve"> </w:t>
      </w:r>
      <w:r w:rsidRPr="004B3F62">
        <w:t>nebo</w:t>
      </w:r>
      <w:r>
        <w:t xml:space="preserve"> </w:t>
      </w:r>
      <w:r w:rsidRPr="004B3F62">
        <w:t>i)</w:t>
      </w:r>
      <w:r>
        <w:t xml:space="preserve"> </w:t>
      </w:r>
      <w:r w:rsidRPr="004B3F62">
        <w:t>nebo</w:t>
      </w:r>
      <w:r>
        <w:t xml:space="preserve"> </w:t>
      </w:r>
      <w:r w:rsidRPr="004B3F62">
        <w:t>odstavce</w:t>
      </w:r>
      <w:r>
        <w:t xml:space="preserve"> </w:t>
      </w:r>
      <w:r w:rsidRPr="004B3F62">
        <w:t>11,</w:t>
      </w:r>
      <w:r>
        <w:t xml:space="preserve"> </w:t>
      </w:r>
      <w:r w:rsidRPr="004B3F62">
        <w:t>12</w:t>
      </w:r>
      <w:r>
        <w:t xml:space="preserve"> </w:t>
      </w:r>
      <w:r w:rsidRPr="004B3F62">
        <w:t>nebo</w:t>
      </w:r>
      <w:r>
        <w:t xml:space="preserve"> </w:t>
      </w:r>
      <w:r w:rsidRPr="004B3F62">
        <w:t>13,</w:t>
      </w:r>
    </w:p>
    <w:p w14:paraId="1C85AA72" w14:textId="3E0DFFA9" w:rsidR="00554E2B" w:rsidRDefault="00554E2B" w:rsidP="00D60616">
      <w:pPr>
        <w:pStyle w:val="Textparagrafu"/>
        <w:tabs>
          <w:tab w:val="left" w:pos="406"/>
          <w:tab w:val="left" w:pos="868"/>
        </w:tabs>
        <w:spacing w:before="0"/>
        <w:ind w:left="426" w:hanging="426"/>
      </w:pPr>
      <w:r w:rsidRPr="004B3F62">
        <w:t>c)</w:t>
      </w:r>
      <w:r>
        <w:tab/>
      </w:r>
      <w:r w:rsidRPr="004B3F62">
        <w:t>10</w:t>
      </w:r>
      <w:r>
        <w:t xml:space="preserve"> </w:t>
      </w:r>
      <w:r w:rsidRPr="004B3F62">
        <w:t>000</w:t>
      </w:r>
      <w:r>
        <w:t xml:space="preserve"> </w:t>
      </w:r>
      <w:r w:rsidRPr="004B3F62">
        <w:t>000</w:t>
      </w:r>
      <w:r>
        <w:t xml:space="preserve"> </w:t>
      </w:r>
      <w:r w:rsidRPr="004B3F62">
        <w:t>Kč,</w:t>
      </w:r>
      <w:r>
        <w:t xml:space="preserve"> </w:t>
      </w:r>
      <w:r w:rsidRPr="004B3F62">
        <w:t>jde-li</w:t>
      </w:r>
      <w:r>
        <w:t xml:space="preserve"> </w:t>
      </w:r>
      <w:r w:rsidRPr="004B3F62">
        <w:t>o</w:t>
      </w:r>
      <w:r>
        <w:t xml:space="preserve"> </w:t>
      </w:r>
      <w:r w:rsidRPr="004B3F62">
        <w:t>přestupek</w:t>
      </w:r>
      <w:r>
        <w:t xml:space="preserve"> </w:t>
      </w:r>
      <w:r w:rsidRPr="004B3F62">
        <w:t>podle</w:t>
      </w:r>
      <w:r>
        <w:t xml:space="preserve"> </w:t>
      </w:r>
      <w:r w:rsidRPr="004B3F62">
        <w:t>odstavce</w:t>
      </w:r>
      <w:r>
        <w:t xml:space="preserve"> </w:t>
      </w:r>
      <w:r w:rsidRPr="004B3F62">
        <w:t>1</w:t>
      </w:r>
      <w:r>
        <w:t xml:space="preserve"> </w:t>
      </w:r>
      <w:r w:rsidRPr="004B3F62">
        <w:t>písm.</w:t>
      </w:r>
      <w:r>
        <w:t xml:space="preserve"> </w:t>
      </w:r>
      <w:r w:rsidRPr="004B3F62">
        <w:t>a),</w:t>
      </w:r>
      <w:r>
        <w:t xml:space="preserve"> </w:t>
      </w:r>
      <w:r w:rsidRPr="004B3F62">
        <w:t>c),</w:t>
      </w:r>
      <w:r>
        <w:t xml:space="preserve"> </w:t>
      </w:r>
      <w:r w:rsidRPr="004B3F62">
        <w:t>d),</w:t>
      </w:r>
      <w:r>
        <w:t xml:space="preserve"> </w:t>
      </w:r>
      <w:r w:rsidRPr="004B3F62">
        <w:t>e),</w:t>
      </w:r>
      <w:r>
        <w:t xml:space="preserve"> </w:t>
      </w:r>
      <w:r w:rsidRPr="004B3F62">
        <w:t>f),</w:t>
      </w:r>
      <w:r>
        <w:t xml:space="preserve"> </w:t>
      </w:r>
      <w:r w:rsidRPr="004B3F62">
        <w:t>h),</w:t>
      </w:r>
      <w:r>
        <w:t xml:space="preserve"> </w:t>
      </w:r>
      <w:r w:rsidRPr="004B3F62">
        <w:t>k),</w:t>
      </w:r>
      <w:r>
        <w:t xml:space="preserve"> </w:t>
      </w:r>
      <w:r w:rsidRPr="004B3F62">
        <w:t>l)</w:t>
      </w:r>
      <w:r>
        <w:t xml:space="preserve"> </w:t>
      </w:r>
      <w:r w:rsidRPr="004B3F62">
        <w:t>nebo</w:t>
      </w:r>
      <w:r>
        <w:t xml:space="preserve"> </w:t>
      </w:r>
      <w:r w:rsidRPr="004B3F62">
        <w:t>m),</w:t>
      </w:r>
      <w:r>
        <w:t xml:space="preserve"> </w:t>
      </w:r>
      <w:r w:rsidRPr="004B3F62">
        <w:t>odstavce</w:t>
      </w:r>
      <w:r>
        <w:t xml:space="preserve"> </w:t>
      </w:r>
      <w:r w:rsidRPr="004B3F62">
        <w:t>2</w:t>
      </w:r>
      <w:r>
        <w:t xml:space="preserve"> </w:t>
      </w:r>
      <w:r w:rsidRPr="004B3F62">
        <w:t>písm.</w:t>
      </w:r>
      <w:r>
        <w:t xml:space="preserve"> </w:t>
      </w:r>
      <w:r w:rsidRPr="004B3F62">
        <w:t>a),</w:t>
      </w:r>
      <w:r>
        <w:t xml:space="preserve"> </w:t>
      </w:r>
      <w:r w:rsidRPr="004B3F62">
        <w:t>e),</w:t>
      </w:r>
      <w:r>
        <w:t xml:space="preserve"> </w:t>
      </w:r>
      <w:r w:rsidRPr="004B3F62">
        <w:t>i),</w:t>
      </w:r>
      <w:r>
        <w:t xml:space="preserve"> </w:t>
      </w:r>
      <w:r w:rsidRPr="004B3F62">
        <w:t>q),</w:t>
      </w:r>
      <w:r>
        <w:t xml:space="preserve"> </w:t>
      </w:r>
      <w:r w:rsidRPr="004B3F62">
        <w:t>s)</w:t>
      </w:r>
      <w:r>
        <w:t xml:space="preserve"> </w:t>
      </w:r>
      <w:r w:rsidRPr="004B3F62">
        <w:t>nebo</w:t>
      </w:r>
      <w:r>
        <w:t xml:space="preserve"> </w:t>
      </w:r>
      <w:r w:rsidRPr="004B3F62">
        <w:t>u),</w:t>
      </w:r>
      <w:r>
        <w:t xml:space="preserve"> </w:t>
      </w:r>
      <w:r w:rsidRPr="004B3F62">
        <w:t>odstavce</w:t>
      </w:r>
      <w:r>
        <w:t xml:space="preserve"> </w:t>
      </w:r>
      <w:r w:rsidRPr="004B3F62">
        <w:t>3</w:t>
      </w:r>
      <w:r>
        <w:t xml:space="preserve"> </w:t>
      </w:r>
      <w:r w:rsidRPr="004B3F62">
        <w:t>písm.</w:t>
      </w:r>
      <w:r>
        <w:t xml:space="preserve"> </w:t>
      </w:r>
      <w:r w:rsidRPr="004B3F62">
        <w:t>g),</w:t>
      </w:r>
      <w:r>
        <w:t xml:space="preserve"> </w:t>
      </w:r>
      <w:r w:rsidRPr="004B3F62">
        <w:t>odstavce</w:t>
      </w:r>
      <w:r>
        <w:t xml:space="preserve"> </w:t>
      </w:r>
      <w:r w:rsidRPr="004B3F62">
        <w:t>7</w:t>
      </w:r>
      <w:r>
        <w:t xml:space="preserve"> </w:t>
      </w:r>
      <w:r w:rsidRPr="004B3F62">
        <w:t>písm.</w:t>
      </w:r>
      <w:r>
        <w:t xml:space="preserve"> </w:t>
      </w:r>
      <w:r w:rsidRPr="004B3F62">
        <w:t>c)</w:t>
      </w:r>
      <w:r>
        <w:t xml:space="preserve"> </w:t>
      </w:r>
      <w:r w:rsidRPr="004B3F62">
        <w:t>nebo</w:t>
      </w:r>
      <w:r>
        <w:t xml:space="preserve"> </w:t>
      </w:r>
      <w:r w:rsidRPr="004B3F62">
        <w:t>odstavce</w:t>
      </w:r>
      <w:r>
        <w:t xml:space="preserve"> </w:t>
      </w:r>
      <w:r w:rsidRPr="004B3F62">
        <w:t>10</w:t>
      </w:r>
      <w:r>
        <w:t xml:space="preserve"> </w:t>
      </w:r>
      <w:r w:rsidRPr="004B3F62">
        <w:t>písm.</w:t>
      </w:r>
      <w:r>
        <w:t xml:space="preserve"> </w:t>
      </w:r>
      <w:r w:rsidRPr="004B3F62">
        <w:t>d).</w:t>
      </w:r>
    </w:p>
    <w:p w14:paraId="4EE898E7" w14:textId="77777777" w:rsidR="00554E2B" w:rsidRPr="004B3F62" w:rsidRDefault="00554E2B" w:rsidP="00CE2C91">
      <w:pPr>
        <w:pStyle w:val="Textparagrafu"/>
        <w:tabs>
          <w:tab w:val="left" w:pos="406"/>
          <w:tab w:val="left" w:pos="868"/>
        </w:tabs>
        <w:spacing w:before="120" w:after="120"/>
      </w:pPr>
      <w:r w:rsidRPr="004B3F62">
        <w:t>(15)</w:t>
      </w:r>
      <w:r>
        <w:t xml:space="preserve"> </w:t>
      </w:r>
      <w:r w:rsidRPr="004B3F62">
        <w:t>Za</w:t>
      </w:r>
      <w:r>
        <w:t xml:space="preserve"> </w:t>
      </w:r>
      <w:r w:rsidRPr="004B3F62">
        <w:t>přestupek</w:t>
      </w:r>
      <w:r>
        <w:t xml:space="preserve"> </w:t>
      </w:r>
      <w:r w:rsidRPr="004B3F62">
        <w:t>podle</w:t>
      </w:r>
      <w:r>
        <w:t xml:space="preserve"> </w:t>
      </w:r>
      <w:r w:rsidRPr="004B3F62">
        <w:t>odstavce</w:t>
      </w:r>
      <w:r>
        <w:t xml:space="preserve"> </w:t>
      </w:r>
      <w:r w:rsidRPr="004B3F62">
        <w:t>2</w:t>
      </w:r>
      <w:r>
        <w:t xml:space="preserve"> </w:t>
      </w:r>
      <w:r w:rsidRPr="004B3F62">
        <w:t>písm.</w:t>
      </w:r>
      <w:r>
        <w:t xml:space="preserve"> </w:t>
      </w:r>
      <w:r w:rsidRPr="004B3F62">
        <w:t>a)</w:t>
      </w:r>
      <w:r>
        <w:t xml:space="preserve"> </w:t>
      </w:r>
      <w:r w:rsidRPr="004B3F62">
        <w:t>nebo</w:t>
      </w:r>
      <w:r>
        <w:t xml:space="preserve"> </w:t>
      </w:r>
      <w:r w:rsidRPr="004B3F62">
        <w:t>odstavců</w:t>
      </w:r>
      <w:r>
        <w:t xml:space="preserve"> </w:t>
      </w:r>
      <w:r w:rsidRPr="004B3F62">
        <w:t>10</w:t>
      </w:r>
      <w:r>
        <w:t xml:space="preserve"> </w:t>
      </w:r>
      <w:r w:rsidRPr="004B3F62">
        <w:t>až</w:t>
      </w:r>
      <w:r>
        <w:t xml:space="preserve"> </w:t>
      </w:r>
      <w:r w:rsidRPr="004B3F62">
        <w:t>13</w:t>
      </w:r>
      <w:r>
        <w:t xml:space="preserve"> </w:t>
      </w:r>
      <w:r w:rsidRPr="004B3F62">
        <w:t>lze</w:t>
      </w:r>
      <w:r>
        <w:t xml:space="preserve"> </w:t>
      </w:r>
      <w:r w:rsidRPr="004B3F62">
        <w:t>uložit</w:t>
      </w:r>
      <w:r>
        <w:t xml:space="preserve"> </w:t>
      </w:r>
      <w:r w:rsidRPr="004B3F62">
        <w:t>také</w:t>
      </w:r>
      <w:r>
        <w:t xml:space="preserve"> </w:t>
      </w:r>
      <w:r w:rsidRPr="004B3F62">
        <w:t>zákaz</w:t>
      </w:r>
      <w:r>
        <w:t xml:space="preserve"> </w:t>
      </w:r>
      <w:r w:rsidRPr="004B3F62">
        <w:t>činnosti.</w:t>
      </w:r>
    </w:p>
    <w:p w14:paraId="74EB1552" w14:textId="2E2D8C46" w:rsidR="006B439C" w:rsidRDefault="00106516" w:rsidP="00106516">
      <w:pPr>
        <w:pStyle w:val="Textparagrafu"/>
        <w:tabs>
          <w:tab w:val="left" w:pos="406"/>
          <w:tab w:val="left" w:pos="868"/>
        </w:tabs>
        <w:spacing w:after="120"/>
        <w:ind w:firstLine="0"/>
        <w:jc w:val="center"/>
      </w:pPr>
      <w:r>
        <w:t>***</w:t>
      </w:r>
    </w:p>
    <w:p w14:paraId="310FD49B" w14:textId="77777777" w:rsidR="00106516" w:rsidRDefault="00106516" w:rsidP="00106516">
      <w:pPr>
        <w:pStyle w:val="Textparagrafu"/>
        <w:ind w:firstLine="0"/>
        <w:jc w:val="center"/>
      </w:pPr>
      <w:r w:rsidRPr="00840C4F">
        <w:t>§</w:t>
      </w:r>
      <w:r>
        <w:t xml:space="preserve"> </w:t>
      </w:r>
      <w:r w:rsidRPr="00840C4F">
        <w:t>62</w:t>
      </w:r>
    </w:p>
    <w:p w14:paraId="475C0082" w14:textId="77777777" w:rsidR="00106516" w:rsidRDefault="00106516" w:rsidP="00CE2C91">
      <w:pPr>
        <w:pStyle w:val="Textparagrafu"/>
        <w:tabs>
          <w:tab w:val="left" w:pos="406"/>
          <w:tab w:val="left" w:pos="868"/>
        </w:tabs>
        <w:spacing w:before="120" w:after="120"/>
      </w:pPr>
      <w:r w:rsidRPr="00840C4F">
        <w:t>(1)</w:t>
      </w:r>
      <w:r>
        <w:t xml:space="preserve"> </w:t>
      </w:r>
      <w:r w:rsidRPr="00840C4F">
        <w:t>Dopravci,</w:t>
      </w:r>
      <w:r>
        <w:t xml:space="preserve"> </w:t>
      </w:r>
      <w:r w:rsidRPr="00840C4F">
        <w:t>kteří</w:t>
      </w:r>
      <w:r>
        <w:t xml:space="preserve"> </w:t>
      </w:r>
      <w:r w:rsidRPr="00840C4F">
        <w:t>provozují</w:t>
      </w:r>
      <w:r>
        <w:t xml:space="preserve"> </w:t>
      </w:r>
      <w:r w:rsidRPr="00840C4F">
        <w:t>drážní</w:t>
      </w:r>
      <w:r>
        <w:t xml:space="preserve"> </w:t>
      </w:r>
      <w:r w:rsidRPr="00840C4F">
        <w:t>dopravu</w:t>
      </w:r>
      <w:r>
        <w:t xml:space="preserve"> </w:t>
      </w:r>
      <w:r w:rsidRPr="00840C4F">
        <w:t>na</w:t>
      </w:r>
      <w:r>
        <w:t xml:space="preserve"> </w:t>
      </w:r>
      <w:r w:rsidRPr="00840C4F">
        <w:t>základě</w:t>
      </w:r>
      <w:r>
        <w:t xml:space="preserve"> </w:t>
      </w:r>
      <w:r w:rsidRPr="00840C4F">
        <w:t>koncese,</w:t>
      </w:r>
      <w:r>
        <w:t xml:space="preserve"> </w:t>
      </w:r>
      <w:r w:rsidRPr="00840C4F">
        <w:t>jsou</w:t>
      </w:r>
      <w:r>
        <w:t xml:space="preserve"> </w:t>
      </w:r>
      <w:r w:rsidRPr="00840C4F">
        <w:t>povinni</w:t>
      </w:r>
      <w:r>
        <w:t xml:space="preserve"> </w:t>
      </w:r>
      <w:r w:rsidRPr="00840C4F">
        <w:t>do</w:t>
      </w:r>
      <w:r>
        <w:t xml:space="preserve"> </w:t>
      </w:r>
      <w:r w:rsidRPr="00840C4F">
        <w:t>jednoho</w:t>
      </w:r>
      <w:r>
        <w:t xml:space="preserve"> </w:t>
      </w:r>
      <w:r w:rsidRPr="00840C4F">
        <w:t>roku</w:t>
      </w:r>
      <w:r>
        <w:t xml:space="preserve"> </w:t>
      </w:r>
      <w:r w:rsidRPr="00840C4F">
        <w:t>od</w:t>
      </w:r>
      <w:r>
        <w:t xml:space="preserve"> </w:t>
      </w:r>
      <w:r w:rsidRPr="00840C4F">
        <w:t>účinnosti</w:t>
      </w:r>
      <w:r>
        <w:t xml:space="preserve"> </w:t>
      </w:r>
      <w:r w:rsidRPr="00840C4F">
        <w:t>tohoto</w:t>
      </w:r>
      <w:r>
        <w:t xml:space="preserve"> </w:t>
      </w:r>
      <w:r w:rsidRPr="00840C4F">
        <w:t>zákona</w:t>
      </w:r>
      <w:r>
        <w:t xml:space="preserve"> </w:t>
      </w:r>
      <w:r w:rsidRPr="00840C4F">
        <w:t>požádat</w:t>
      </w:r>
      <w:r>
        <w:t xml:space="preserve"> </w:t>
      </w:r>
      <w:r w:rsidRPr="00840C4F">
        <w:t>o</w:t>
      </w:r>
      <w:r>
        <w:t xml:space="preserve"> </w:t>
      </w:r>
      <w:r w:rsidRPr="00840C4F">
        <w:t>udělení</w:t>
      </w:r>
      <w:r>
        <w:t xml:space="preserve"> </w:t>
      </w:r>
      <w:r w:rsidRPr="00840C4F">
        <w:t>licence</w:t>
      </w:r>
      <w:r>
        <w:t xml:space="preserve"> </w:t>
      </w:r>
      <w:r w:rsidRPr="00840C4F">
        <w:t>(§</w:t>
      </w:r>
      <w:r>
        <w:t xml:space="preserve"> </w:t>
      </w:r>
      <w:r w:rsidRPr="00840C4F">
        <w:t>24).</w:t>
      </w:r>
      <w:r>
        <w:t xml:space="preserve"> </w:t>
      </w:r>
      <w:r w:rsidRPr="00840C4F">
        <w:t>Do</w:t>
      </w:r>
      <w:r>
        <w:t xml:space="preserve"> </w:t>
      </w:r>
      <w:r w:rsidRPr="00840C4F">
        <w:t>doby</w:t>
      </w:r>
      <w:r>
        <w:t xml:space="preserve"> </w:t>
      </w:r>
      <w:r w:rsidRPr="00840C4F">
        <w:t>rozhodnutí</w:t>
      </w:r>
      <w:r>
        <w:t xml:space="preserve"> </w:t>
      </w:r>
      <w:r w:rsidRPr="00840C4F">
        <w:t>drážního</w:t>
      </w:r>
      <w:r>
        <w:t xml:space="preserve"> </w:t>
      </w:r>
      <w:r w:rsidRPr="00840C4F">
        <w:t>správního</w:t>
      </w:r>
      <w:r>
        <w:t xml:space="preserve"> </w:t>
      </w:r>
      <w:r w:rsidRPr="00840C4F">
        <w:t>úřadu</w:t>
      </w:r>
      <w:r>
        <w:t xml:space="preserve"> </w:t>
      </w:r>
      <w:r w:rsidRPr="00840C4F">
        <w:t>se</w:t>
      </w:r>
      <w:r>
        <w:t xml:space="preserve"> </w:t>
      </w:r>
      <w:r w:rsidRPr="00840C4F">
        <w:t>tito</w:t>
      </w:r>
      <w:r>
        <w:t xml:space="preserve"> </w:t>
      </w:r>
      <w:r w:rsidRPr="00840C4F">
        <w:t>dopravci</w:t>
      </w:r>
      <w:r>
        <w:t xml:space="preserve"> </w:t>
      </w:r>
      <w:r w:rsidRPr="00840C4F">
        <w:t>považují</w:t>
      </w:r>
      <w:r>
        <w:t xml:space="preserve"> </w:t>
      </w:r>
      <w:r w:rsidRPr="00840C4F">
        <w:t>za</w:t>
      </w:r>
      <w:r>
        <w:t xml:space="preserve"> </w:t>
      </w:r>
      <w:r w:rsidRPr="00840C4F">
        <w:t>dopravce,</w:t>
      </w:r>
      <w:r>
        <w:t xml:space="preserve"> </w:t>
      </w:r>
      <w:r w:rsidRPr="00840C4F">
        <w:t>kterým</w:t>
      </w:r>
      <w:r>
        <w:t xml:space="preserve"> </w:t>
      </w:r>
      <w:r w:rsidRPr="00840C4F">
        <w:t>byla</w:t>
      </w:r>
      <w:r>
        <w:t xml:space="preserve"> </w:t>
      </w:r>
      <w:r w:rsidRPr="00840C4F">
        <w:t>udělena</w:t>
      </w:r>
      <w:r>
        <w:t xml:space="preserve"> </w:t>
      </w:r>
      <w:r w:rsidRPr="00840C4F">
        <w:t>licence</w:t>
      </w:r>
      <w:r>
        <w:t xml:space="preserve"> </w:t>
      </w:r>
      <w:r w:rsidRPr="00840C4F">
        <w:t>podle</w:t>
      </w:r>
      <w:r>
        <w:t xml:space="preserve"> </w:t>
      </w:r>
      <w:r w:rsidRPr="00840C4F">
        <w:t>tohoto</w:t>
      </w:r>
      <w:r>
        <w:t xml:space="preserve"> </w:t>
      </w:r>
      <w:r w:rsidRPr="00840C4F">
        <w:t>zákona.</w:t>
      </w:r>
    </w:p>
    <w:p w14:paraId="2F8C5448" w14:textId="77777777" w:rsidR="00106516" w:rsidRDefault="00106516" w:rsidP="00CE2C91">
      <w:pPr>
        <w:pStyle w:val="Textparagrafu"/>
        <w:tabs>
          <w:tab w:val="left" w:pos="406"/>
          <w:tab w:val="left" w:pos="868"/>
        </w:tabs>
        <w:spacing w:before="120" w:after="120"/>
      </w:pPr>
      <w:r w:rsidRPr="00840C4F">
        <w:t>(2)</w:t>
      </w:r>
      <w:r>
        <w:t xml:space="preserve"> </w:t>
      </w:r>
      <w:r w:rsidRPr="00840C4F">
        <w:t>Provozovatelé</w:t>
      </w:r>
      <w:r>
        <w:t xml:space="preserve"> </w:t>
      </w:r>
      <w:r w:rsidRPr="00840C4F">
        <w:t>dráhy,</w:t>
      </w:r>
      <w:r>
        <w:t xml:space="preserve"> </w:t>
      </w:r>
      <w:r w:rsidRPr="00840C4F">
        <w:t>kteří</w:t>
      </w:r>
      <w:r>
        <w:t xml:space="preserve"> </w:t>
      </w:r>
      <w:r w:rsidRPr="00840C4F">
        <w:t>provozují</w:t>
      </w:r>
      <w:r>
        <w:t xml:space="preserve"> </w:t>
      </w:r>
      <w:r w:rsidRPr="00840C4F">
        <w:t>dráhu</w:t>
      </w:r>
      <w:r>
        <w:t xml:space="preserve"> </w:t>
      </w:r>
      <w:r w:rsidRPr="00840C4F">
        <w:t>na</w:t>
      </w:r>
      <w:r>
        <w:t xml:space="preserve"> </w:t>
      </w:r>
      <w:r w:rsidRPr="00840C4F">
        <w:t>základě</w:t>
      </w:r>
      <w:r>
        <w:t xml:space="preserve"> </w:t>
      </w:r>
      <w:r w:rsidRPr="00840C4F">
        <w:t>koncese,</w:t>
      </w:r>
      <w:r>
        <w:t xml:space="preserve"> </w:t>
      </w:r>
      <w:r w:rsidRPr="00840C4F">
        <w:t>jsou</w:t>
      </w:r>
      <w:r>
        <w:t xml:space="preserve"> </w:t>
      </w:r>
      <w:r w:rsidRPr="00840C4F">
        <w:t>povinni</w:t>
      </w:r>
      <w:r>
        <w:t xml:space="preserve"> </w:t>
      </w:r>
      <w:r w:rsidRPr="00840C4F">
        <w:t>požádat</w:t>
      </w:r>
      <w:r>
        <w:t xml:space="preserve"> </w:t>
      </w:r>
      <w:r w:rsidRPr="00840C4F">
        <w:t>drážní</w:t>
      </w:r>
      <w:r>
        <w:t xml:space="preserve"> </w:t>
      </w:r>
      <w:r w:rsidRPr="00840C4F">
        <w:t>správní</w:t>
      </w:r>
      <w:r>
        <w:t xml:space="preserve"> </w:t>
      </w:r>
      <w:r w:rsidRPr="00840C4F">
        <w:t>úřad</w:t>
      </w:r>
      <w:r>
        <w:t xml:space="preserve"> </w:t>
      </w:r>
      <w:r w:rsidRPr="00840C4F">
        <w:t>do</w:t>
      </w:r>
      <w:r>
        <w:t xml:space="preserve"> </w:t>
      </w:r>
      <w:r w:rsidRPr="00840C4F">
        <w:t>jednoho</w:t>
      </w:r>
      <w:r>
        <w:t xml:space="preserve"> </w:t>
      </w:r>
      <w:r w:rsidRPr="00840C4F">
        <w:t>roku</w:t>
      </w:r>
      <w:r>
        <w:t xml:space="preserve"> </w:t>
      </w:r>
      <w:r w:rsidRPr="00840C4F">
        <w:t>od</w:t>
      </w:r>
      <w:r>
        <w:t xml:space="preserve"> </w:t>
      </w:r>
      <w:r w:rsidRPr="00840C4F">
        <w:t>účinnosti</w:t>
      </w:r>
      <w:r>
        <w:t xml:space="preserve"> </w:t>
      </w:r>
      <w:r w:rsidRPr="00840C4F">
        <w:t>tohoto</w:t>
      </w:r>
      <w:r>
        <w:t xml:space="preserve"> </w:t>
      </w:r>
      <w:r w:rsidRPr="00840C4F">
        <w:t>zákona</w:t>
      </w:r>
      <w:r>
        <w:t xml:space="preserve"> </w:t>
      </w:r>
      <w:r w:rsidRPr="00840C4F">
        <w:t>o</w:t>
      </w:r>
      <w:r>
        <w:t xml:space="preserve"> </w:t>
      </w:r>
      <w:r w:rsidRPr="00840C4F">
        <w:t>vydání</w:t>
      </w:r>
      <w:r>
        <w:t xml:space="preserve"> </w:t>
      </w:r>
      <w:r w:rsidRPr="00840C4F">
        <w:t>úředního</w:t>
      </w:r>
      <w:r>
        <w:t xml:space="preserve"> </w:t>
      </w:r>
      <w:r w:rsidRPr="00840C4F">
        <w:t>povolení</w:t>
      </w:r>
      <w:r>
        <w:t xml:space="preserve"> </w:t>
      </w:r>
      <w:r w:rsidRPr="00840C4F">
        <w:t>k</w:t>
      </w:r>
      <w:r>
        <w:t xml:space="preserve"> </w:t>
      </w:r>
      <w:r w:rsidRPr="00840C4F">
        <w:t>provozování</w:t>
      </w:r>
      <w:r>
        <w:t xml:space="preserve"> </w:t>
      </w:r>
      <w:r w:rsidRPr="00840C4F">
        <w:t>dráhy</w:t>
      </w:r>
      <w:r>
        <w:t xml:space="preserve"> </w:t>
      </w:r>
      <w:r w:rsidRPr="00840C4F">
        <w:t>(§</w:t>
      </w:r>
      <w:r>
        <w:t xml:space="preserve"> </w:t>
      </w:r>
      <w:r w:rsidRPr="00840C4F">
        <w:t>11).</w:t>
      </w:r>
      <w:r>
        <w:t xml:space="preserve"> </w:t>
      </w:r>
      <w:r w:rsidRPr="00840C4F">
        <w:t>Do</w:t>
      </w:r>
      <w:r>
        <w:t xml:space="preserve"> </w:t>
      </w:r>
      <w:r w:rsidRPr="00840C4F">
        <w:t>doby</w:t>
      </w:r>
      <w:r>
        <w:t xml:space="preserve"> </w:t>
      </w:r>
      <w:r w:rsidRPr="00840C4F">
        <w:t>rozhodnutí</w:t>
      </w:r>
      <w:r>
        <w:t xml:space="preserve"> </w:t>
      </w:r>
      <w:r w:rsidRPr="00840C4F">
        <w:t>drážního</w:t>
      </w:r>
      <w:r>
        <w:t xml:space="preserve"> </w:t>
      </w:r>
      <w:r w:rsidRPr="00840C4F">
        <w:t>správního</w:t>
      </w:r>
      <w:r>
        <w:t xml:space="preserve"> </w:t>
      </w:r>
      <w:r w:rsidRPr="00840C4F">
        <w:t>úřadu</w:t>
      </w:r>
      <w:r>
        <w:t xml:space="preserve"> </w:t>
      </w:r>
      <w:r w:rsidRPr="00840C4F">
        <w:t>se</w:t>
      </w:r>
      <w:r>
        <w:t xml:space="preserve"> </w:t>
      </w:r>
      <w:r w:rsidRPr="00840C4F">
        <w:t>tito</w:t>
      </w:r>
      <w:r>
        <w:t xml:space="preserve"> </w:t>
      </w:r>
      <w:r w:rsidRPr="00840C4F">
        <w:t>provozovatelé</w:t>
      </w:r>
      <w:r>
        <w:t xml:space="preserve"> </w:t>
      </w:r>
      <w:r w:rsidRPr="00840C4F">
        <w:t>dráhy</w:t>
      </w:r>
      <w:r>
        <w:t xml:space="preserve"> </w:t>
      </w:r>
      <w:r w:rsidRPr="00840C4F">
        <w:t>považují</w:t>
      </w:r>
      <w:r>
        <w:t xml:space="preserve"> </w:t>
      </w:r>
      <w:r w:rsidRPr="00840C4F">
        <w:t>za</w:t>
      </w:r>
      <w:r>
        <w:t xml:space="preserve"> </w:t>
      </w:r>
      <w:r w:rsidRPr="00840C4F">
        <w:t>provozovatele</w:t>
      </w:r>
      <w:r>
        <w:t xml:space="preserve"> </w:t>
      </w:r>
      <w:r w:rsidRPr="00840C4F">
        <w:t>dráhy,</w:t>
      </w:r>
      <w:r>
        <w:t xml:space="preserve"> </w:t>
      </w:r>
      <w:r w:rsidRPr="00840C4F">
        <w:t>kterým</w:t>
      </w:r>
      <w:r>
        <w:t xml:space="preserve"> </w:t>
      </w:r>
      <w:r w:rsidRPr="00840C4F">
        <w:t>bylo</w:t>
      </w:r>
      <w:r>
        <w:t xml:space="preserve"> </w:t>
      </w:r>
      <w:r w:rsidRPr="00840C4F">
        <w:t>vydáno</w:t>
      </w:r>
      <w:r>
        <w:t xml:space="preserve"> </w:t>
      </w:r>
      <w:r w:rsidRPr="00840C4F">
        <w:t>úřední</w:t>
      </w:r>
      <w:r>
        <w:t xml:space="preserve"> </w:t>
      </w:r>
      <w:r w:rsidRPr="00840C4F">
        <w:t>povolení</w:t>
      </w:r>
      <w:r>
        <w:t xml:space="preserve"> </w:t>
      </w:r>
      <w:r w:rsidRPr="00840C4F">
        <w:t>podle</w:t>
      </w:r>
      <w:r>
        <w:t xml:space="preserve"> </w:t>
      </w:r>
      <w:r w:rsidRPr="00840C4F">
        <w:t>tohoto</w:t>
      </w:r>
      <w:r>
        <w:t xml:space="preserve"> </w:t>
      </w:r>
      <w:r w:rsidRPr="00840C4F">
        <w:t>zákona.</w:t>
      </w:r>
    </w:p>
    <w:p w14:paraId="358A103E" w14:textId="77777777" w:rsidR="00106516" w:rsidRDefault="00106516" w:rsidP="00CE2C91">
      <w:pPr>
        <w:pStyle w:val="Textparagrafu"/>
        <w:tabs>
          <w:tab w:val="left" w:pos="406"/>
          <w:tab w:val="left" w:pos="868"/>
        </w:tabs>
        <w:spacing w:before="120" w:after="120"/>
      </w:pPr>
      <w:r w:rsidRPr="00840C4F">
        <w:t>(3)</w:t>
      </w:r>
      <w:r>
        <w:t xml:space="preserve"> </w:t>
      </w:r>
      <w:r w:rsidRPr="00840C4F">
        <w:t>Osoby,</w:t>
      </w:r>
      <w:r>
        <w:t xml:space="preserve"> </w:t>
      </w:r>
      <w:r w:rsidRPr="00840C4F">
        <w:t>které</w:t>
      </w:r>
      <w:r>
        <w:t xml:space="preserve"> </w:t>
      </w:r>
      <w:r w:rsidRPr="00840C4F">
        <w:t>řídí</w:t>
      </w:r>
      <w:r>
        <w:t xml:space="preserve"> </w:t>
      </w:r>
      <w:r w:rsidRPr="00840C4F">
        <w:t>drážní</w:t>
      </w:r>
      <w:r>
        <w:t xml:space="preserve"> </w:t>
      </w:r>
      <w:r w:rsidRPr="00840C4F">
        <w:t>vozidlo,</w:t>
      </w:r>
      <w:r>
        <w:t xml:space="preserve"> </w:t>
      </w:r>
      <w:r w:rsidRPr="00840C4F">
        <w:t>jsou</w:t>
      </w:r>
      <w:r>
        <w:t xml:space="preserve"> </w:t>
      </w:r>
      <w:r w:rsidRPr="00840C4F">
        <w:t>povinny</w:t>
      </w:r>
      <w:r>
        <w:t xml:space="preserve"> </w:t>
      </w:r>
      <w:r w:rsidRPr="00840C4F">
        <w:t>zažádat</w:t>
      </w:r>
      <w:r>
        <w:t xml:space="preserve"> </w:t>
      </w:r>
      <w:r w:rsidRPr="00840C4F">
        <w:t>drážní</w:t>
      </w:r>
      <w:r>
        <w:t xml:space="preserve"> </w:t>
      </w:r>
      <w:r w:rsidRPr="00840C4F">
        <w:t>správní</w:t>
      </w:r>
      <w:r>
        <w:t xml:space="preserve"> </w:t>
      </w:r>
      <w:r w:rsidRPr="00840C4F">
        <w:t>úřad</w:t>
      </w:r>
      <w:r>
        <w:t xml:space="preserve"> </w:t>
      </w:r>
      <w:r w:rsidRPr="00840C4F">
        <w:t>o</w:t>
      </w:r>
      <w:r>
        <w:t xml:space="preserve"> </w:t>
      </w:r>
      <w:r w:rsidRPr="00840C4F">
        <w:t>vydání</w:t>
      </w:r>
      <w:r>
        <w:t xml:space="preserve"> </w:t>
      </w:r>
      <w:r w:rsidRPr="00840C4F">
        <w:t>průkazu</w:t>
      </w:r>
      <w:r>
        <w:t xml:space="preserve"> </w:t>
      </w:r>
      <w:r w:rsidRPr="00840C4F">
        <w:t>způsobilosti</w:t>
      </w:r>
      <w:r>
        <w:t xml:space="preserve"> </w:t>
      </w:r>
      <w:r w:rsidRPr="00840C4F">
        <w:t>k</w:t>
      </w:r>
      <w:r>
        <w:t xml:space="preserve"> </w:t>
      </w:r>
      <w:r w:rsidRPr="00840C4F">
        <w:t>řízení</w:t>
      </w:r>
      <w:r>
        <w:t xml:space="preserve"> </w:t>
      </w:r>
      <w:r w:rsidRPr="00840C4F">
        <w:t>(§</w:t>
      </w:r>
      <w:r>
        <w:t xml:space="preserve"> </w:t>
      </w:r>
      <w:r w:rsidRPr="00840C4F">
        <w:t>45)</w:t>
      </w:r>
      <w:r>
        <w:t xml:space="preserve"> </w:t>
      </w:r>
      <w:r w:rsidRPr="00840C4F">
        <w:t>do</w:t>
      </w:r>
      <w:r>
        <w:t xml:space="preserve"> </w:t>
      </w:r>
      <w:r w:rsidRPr="00840C4F">
        <w:t>jednoho</w:t>
      </w:r>
      <w:r>
        <w:t xml:space="preserve"> </w:t>
      </w:r>
      <w:r w:rsidRPr="00840C4F">
        <w:t>roku</w:t>
      </w:r>
      <w:r>
        <w:t xml:space="preserve"> </w:t>
      </w:r>
      <w:r w:rsidRPr="00840C4F">
        <w:t>od</w:t>
      </w:r>
      <w:r>
        <w:t xml:space="preserve"> </w:t>
      </w:r>
      <w:r w:rsidRPr="00840C4F">
        <w:t>účinnosti</w:t>
      </w:r>
      <w:r>
        <w:t xml:space="preserve"> </w:t>
      </w:r>
      <w:r w:rsidRPr="00840C4F">
        <w:t>tohoto</w:t>
      </w:r>
      <w:r>
        <w:t xml:space="preserve"> </w:t>
      </w:r>
      <w:r w:rsidRPr="00840C4F">
        <w:t>zákona.</w:t>
      </w:r>
      <w:r>
        <w:t xml:space="preserve"> </w:t>
      </w:r>
      <w:r w:rsidRPr="00840C4F">
        <w:t>Do</w:t>
      </w:r>
      <w:r>
        <w:t xml:space="preserve"> </w:t>
      </w:r>
      <w:r w:rsidRPr="00840C4F">
        <w:t>doby</w:t>
      </w:r>
      <w:r>
        <w:t xml:space="preserve"> </w:t>
      </w:r>
      <w:r w:rsidRPr="00840C4F">
        <w:t>rozhodnutí</w:t>
      </w:r>
      <w:r>
        <w:t xml:space="preserve"> </w:t>
      </w:r>
      <w:r w:rsidRPr="00840C4F">
        <w:t>o</w:t>
      </w:r>
      <w:r>
        <w:t xml:space="preserve"> </w:t>
      </w:r>
      <w:r w:rsidRPr="00840C4F">
        <w:t>způsobilosti</w:t>
      </w:r>
      <w:r>
        <w:t xml:space="preserve"> </w:t>
      </w:r>
      <w:r w:rsidRPr="00840C4F">
        <w:t>k</w:t>
      </w:r>
      <w:r>
        <w:t xml:space="preserve"> </w:t>
      </w:r>
      <w:r w:rsidRPr="00840C4F">
        <w:t>řízení</w:t>
      </w:r>
      <w:r>
        <w:t xml:space="preserve"> </w:t>
      </w:r>
      <w:r w:rsidRPr="00840C4F">
        <w:t>se</w:t>
      </w:r>
      <w:r>
        <w:t xml:space="preserve"> </w:t>
      </w:r>
      <w:r w:rsidRPr="00840C4F">
        <w:t>tyto</w:t>
      </w:r>
      <w:r>
        <w:t xml:space="preserve"> </w:t>
      </w:r>
      <w:r w:rsidRPr="00840C4F">
        <w:t>osoby</w:t>
      </w:r>
      <w:r>
        <w:t xml:space="preserve"> </w:t>
      </w:r>
      <w:r w:rsidRPr="00840C4F">
        <w:t>považují</w:t>
      </w:r>
      <w:r>
        <w:t xml:space="preserve"> </w:t>
      </w:r>
      <w:r w:rsidRPr="00840C4F">
        <w:t>za</w:t>
      </w:r>
      <w:r>
        <w:t xml:space="preserve"> </w:t>
      </w:r>
      <w:r w:rsidRPr="00840C4F">
        <w:t>osoby</w:t>
      </w:r>
      <w:r>
        <w:t xml:space="preserve"> </w:t>
      </w:r>
      <w:r w:rsidRPr="00840C4F">
        <w:t>způsobilé</w:t>
      </w:r>
      <w:r>
        <w:t xml:space="preserve"> </w:t>
      </w:r>
      <w:r w:rsidRPr="00840C4F">
        <w:t>k</w:t>
      </w:r>
      <w:r>
        <w:t xml:space="preserve"> </w:t>
      </w:r>
      <w:r w:rsidRPr="00840C4F">
        <w:t>řízení</w:t>
      </w:r>
      <w:r>
        <w:t xml:space="preserve"> </w:t>
      </w:r>
      <w:r w:rsidRPr="00840C4F">
        <w:t>podle</w:t>
      </w:r>
      <w:r>
        <w:t xml:space="preserve"> </w:t>
      </w:r>
      <w:r w:rsidRPr="00840C4F">
        <w:t>tohoto</w:t>
      </w:r>
      <w:r>
        <w:t xml:space="preserve"> </w:t>
      </w:r>
      <w:r w:rsidRPr="00840C4F">
        <w:t>zákona.</w:t>
      </w:r>
    </w:p>
    <w:p w14:paraId="1C6D9E8D" w14:textId="31B1AEF6" w:rsidR="00024DD2" w:rsidRDefault="00106516" w:rsidP="00CE2C91">
      <w:pPr>
        <w:pStyle w:val="Textparagrafu"/>
        <w:tabs>
          <w:tab w:val="left" w:pos="406"/>
          <w:tab w:val="left" w:pos="868"/>
        </w:tabs>
        <w:spacing w:before="120" w:after="120"/>
        <w:sectPr w:rsidR="00024DD2" w:rsidSect="00554E2B">
          <w:footnotePr>
            <w:numStart w:val="3"/>
          </w:footnotePr>
          <w:endnotePr>
            <w:numFmt w:val="decimal"/>
          </w:endnotePr>
          <w:pgSz w:w="11906" w:h="16838"/>
          <w:pgMar w:top="1418" w:right="1418" w:bottom="1418" w:left="1418" w:header="709" w:footer="709" w:gutter="0"/>
          <w:cols w:space="708"/>
          <w:docGrid w:linePitch="360"/>
        </w:sectPr>
      </w:pPr>
      <w:r w:rsidRPr="00840C4F">
        <w:t>(4)</w:t>
      </w:r>
      <w:r>
        <w:t xml:space="preserve"> </w:t>
      </w:r>
      <w:r w:rsidRPr="00840C4F">
        <w:t>Je-li</w:t>
      </w:r>
      <w:r>
        <w:t xml:space="preserve"> </w:t>
      </w:r>
      <w:r w:rsidRPr="00840C4F">
        <w:t>jedna</w:t>
      </w:r>
      <w:r>
        <w:t xml:space="preserve"> </w:t>
      </w:r>
      <w:r w:rsidRPr="00840C4F">
        <w:t>fyzická</w:t>
      </w:r>
      <w:r>
        <w:t xml:space="preserve"> </w:t>
      </w:r>
      <w:r w:rsidRPr="00840C4F">
        <w:t>nebo</w:t>
      </w:r>
      <w:r>
        <w:t xml:space="preserve"> </w:t>
      </w:r>
      <w:r w:rsidRPr="00840C4F">
        <w:t>právnická</w:t>
      </w:r>
      <w:r>
        <w:t xml:space="preserve"> </w:t>
      </w:r>
      <w:r w:rsidRPr="00840C4F">
        <w:t>osoba</w:t>
      </w:r>
      <w:r>
        <w:t xml:space="preserve"> </w:t>
      </w:r>
      <w:r w:rsidRPr="00840C4F">
        <w:t>zároveň</w:t>
      </w:r>
      <w:r>
        <w:t xml:space="preserve"> </w:t>
      </w:r>
      <w:r w:rsidRPr="00840C4F">
        <w:t>provozovatelem</w:t>
      </w:r>
      <w:r>
        <w:t xml:space="preserve"> </w:t>
      </w:r>
      <w:r w:rsidRPr="00840C4F">
        <w:t>celostátní</w:t>
      </w:r>
      <w:r>
        <w:t xml:space="preserve"> </w:t>
      </w:r>
      <w:r w:rsidRPr="00840C4F">
        <w:t>nebo</w:t>
      </w:r>
      <w:r>
        <w:t xml:space="preserve"> </w:t>
      </w:r>
      <w:r w:rsidRPr="00840C4F">
        <w:t>regionální</w:t>
      </w:r>
      <w:r>
        <w:t xml:space="preserve"> </w:t>
      </w:r>
      <w:r w:rsidRPr="00840C4F">
        <w:t>dráhy</w:t>
      </w:r>
      <w:r>
        <w:t xml:space="preserve"> </w:t>
      </w:r>
      <w:r w:rsidRPr="00840C4F">
        <w:t>a</w:t>
      </w:r>
      <w:r>
        <w:t xml:space="preserve"> </w:t>
      </w:r>
      <w:r w:rsidRPr="00840C4F">
        <w:t>provozovatelem</w:t>
      </w:r>
      <w:r>
        <w:t xml:space="preserve"> </w:t>
      </w:r>
      <w:r w:rsidRPr="00840C4F">
        <w:t>drážní</w:t>
      </w:r>
      <w:r>
        <w:t xml:space="preserve"> </w:t>
      </w:r>
      <w:r w:rsidRPr="00840C4F">
        <w:t>dopravy</w:t>
      </w:r>
      <w:r>
        <w:t xml:space="preserve"> </w:t>
      </w:r>
      <w:r w:rsidRPr="00840C4F">
        <w:t>na</w:t>
      </w:r>
      <w:r>
        <w:t xml:space="preserve"> </w:t>
      </w:r>
      <w:r w:rsidRPr="00840C4F">
        <w:t>těchto</w:t>
      </w:r>
      <w:r>
        <w:t xml:space="preserve"> </w:t>
      </w:r>
      <w:r w:rsidRPr="00840C4F">
        <w:t>dráhách</w:t>
      </w:r>
      <w:r w:rsidRPr="00DF3349">
        <w:rPr>
          <w:strike/>
        </w:rPr>
        <w:t>, je pro tuto fyzickou nebo právnickou osobu závazné vedení odděleného účetnictví a odděleného účtování v účetních okruzích za provozování dráhy, za osobní drážní dopravu, za nákladní drážní dopravu a činností</w:t>
      </w:r>
      <w:r w:rsidR="00DF3349" w:rsidRPr="00DF3349">
        <w:rPr>
          <w:b/>
        </w:rPr>
        <w:t xml:space="preserve"> </w:t>
      </w:r>
      <w:r w:rsidR="00DF3349" w:rsidRPr="008B2DA4">
        <w:rPr>
          <w:b/>
        </w:rPr>
        <w:t>sleduje v účetním systému odděleně provozování dráhy, osobní drážní dopravu, nákladní drážní dopravu a činnosti</w:t>
      </w:r>
      <w:r w:rsidRPr="00840C4F">
        <w:t>,</w:t>
      </w:r>
      <w:r>
        <w:t xml:space="preserve"> </w:t>
      </w:r>
      <w:r w:rsidRPr="00840C4F">
        <w:t>na</w:t>
      </w:r>
      <w:r>
        <w:t xml:space="preserve"> </w:t>
      </w:r>
      <w:r w:rsidRPr="00840C4F">
        <w:t>něž</w:t>
      </w:r>
      <w:r>
        <w:t xml:space="preserve"> </w:t>
      </w:r>
      <w:r w:rsidRPr="00840C4F">
        <w:t>byly</w:t>
      </w:r>
      <w:r>
        <w:t xml:space="preserve"> </w:t>
      </w:r>
      <w:r w:rsidRPr="00840C4F">
        <w:t>poskytnuty</w:t>
      </w:r>
      <w:r>
        <w:t xml:space="preserve"> </w:t>
      </w:r>
      <w:r w:rsidRPr="00840C4F">
        <w:t>finanční</w:t>
      </w:r>
      <w:r>
        <w:t xml:space="preserve"> </w:t>
      </w:r>
      <w:r w:rsidRPr="00840C4F">
        <w:t>prostředky</w:t>
      </w:r>
      <w:r>
        <w:t xml:space="preserve"> </w:t>
      </w:r>
      <w:r w:rsidRPr="00840C4F">
        <w:t>z</w:t>
      </w:r>
      <w:r>
        <w:t xml:space="preserve"> </w:t>
      </w:r>
      <w:r w:rsidRPr="00840C4F">
        <w:t>veřejných</w:t>
      </w:r>
      <w:r>
        <w:t xml:space="preserve"> </w:t>
      </w:r>
      <w:r w:rsidRPr="00840C4F">
        <w:t>rozpočtů</w:t>
      </w:r>
      <w:r>
        <w:t xml:space="preserve"> </w:t>
      </w:r>
      <w:r w:rsidRPr="00840C4F">
        <w:t>při</w:t>
      </w:r>
      <w:r>
        <w:t xml:space="preserve"> </w:t>
      </w:r>
      <w:r w:rsidRPr="00840C4F">
        <w:t>provozování</w:t>
      </w:r>
      <w:r>
        <w:t xml:space="preserve"> </w:t>
      </w:r>
      <w:r w:rsidRPr="00840C4F">
        <w:t>dráhy</w:t>
      </w:r>
      <w:r>
        <w:t xml:space="preserve"> </w:t>
      </w:r>
      <w:r w:rsidRPr="00840C4F">
        <w:t>a</w:t>
      </w:r>
      <w:r>
        <w:t xml:space="preserve"> </w:t>
      </w:r>
      <w:r w:rsidRPr="00840C4F">
        <w:t>provozování</w:t>
      </w:r>
      <w:r>
        <w:t xml:space="preserve"> </w:t>
      </w:r>
      <w:r w:rsidRPr="00840C4F">
        <w:t>drážní</w:t>
      </w:r>
      <w:r>
        <w:t xml:space="preserve"> </w:t>
      </w:r>
      <w:r w:rsidRPr="00840C4F">
        <w:t>dopravy.</w:t>
      </w:r>
      <w:r>
        <w:t xml:space="preserve"> </w:t>
      </w:r>
      <w:r w:rsidRPr="007225C5">
        <w:rPr>
          <w:strike/>
        </w:rPr>
        <w:t>Oddělené účtování v účetních okruzích za provozování dráhy, za osobní drážní dopravu, za nákladní drážní dopravu a činností, na něž byly poskytnuty finanční prostředky z veřejných rozpočtů, provádí</w:t>
      </w:r>
      <w:r>
        <w:t xml:space="preserve"> </w:t>
      </w:r>
      <w:r w:rsidR="007225C5" w:rsidRPr="002E60D7">
        <w:rPr>
          <w:b/>
          <w:bCs/>
        </w:rPr>
        <w:t>O</w:t>
      </w:r>
      <w:r w:rsidR="007225C5" w:rsidRPr="00007AA9">
        <w:rPr>
          <w:b/>
        </w:rPr>
        <w:t>sobní</w:t>
      </w:r>
      <w:r w:rsidR="007225C5" w:rsidRPr="00A54038">
        <w:rPr>
          <w:b/>
        </w:rPr>
        <w:t xml:space="preserve"> drážní doprav</w:t>
      </w:r>
      <w:r w:rsidR="007225C5">
        <w:rPr>
          <w:b/>
        </w:rPr>
        <w:t>u</w:t>
      </w:r>
      <w:r w:rsidR="007225C5" w:rsidRPr="00A54038">
        <w:rPr>
          <w:b/>
        </w:rPr>
        <w:t>, nákladní drážní dopravu a činnosti, na něž byly poskytnuty finanční prostředky z veřejných rozpočtů, sleduje v účetním systému odděleně</w:t>
      </w:r>
      <w:r w:rsidR="007225C5" w:rsidRPr="00840C4F">
        <w:t xml:space="preserve"> </w:t>
      </w:r>
      <w:r w:rsidRPr="00840C4F">
        <w:t>i</w:t>
      </w:r>
      <w:r>
        <w:t xml:space="preserve"> </w:t>
      </w:r>
      <w:r w:rsidRPr="00840C4F">
        <w:t>provozovatel</w:t>
      </w:r>
      <w:r>
        <w:t xml:space="preserve"> </w:t>
      </w:r>
      <w:r w:rsidRPr="00840C4F">
        <w:t>drážní</w:t>
      </w:r>
      <w:r>
        <w:t xml:space="preserve"> </w:t>
      </w:r>
      <w:r w:rsidRPr="00840C4F">
        <w:t>dopravy,</w:t>
      </w:r>
      <w:r>
        <w:t xml:space="preserve"> </w:t>
      </w:r>
      <w:r w:rsidRPr="00840C4F">
        <w:t>který</w:t>
      </w:r>
      <w:r>
        <w:t xml:space="preserve"> </w:t>
      </w:r>
      <w:r w:rsidRPr="00840C4F">
        <w:t>není</w:t>
      </w:r>
      <w:r>
        <w:t xml:space="preserve"> </w:t>
      </w:r>
      <w:r w:rsidRPr="00840C4F">
        <w:t>současně</w:t>
      </w:r>
      <w:r>
        <w:t xml:space="preserve"> </w:t>
      </w:r>
      <w:r w:rsidRPr="00840C4F">
        <w:t>provozovatelem</w:t>
      </w:r>
      <w:r>
        <w:t xml:space="preserve"> </w:t>
      </w:r>
      <w:r w:rsidRPr="00840C4F">
        <w:t>dráhy.</w:t>
      </w:r>
      <w:r>
        <w:t xml:space="preserve"> </w:t>
      </w:r>
      <w:r w:rsidRPr="00840C4F">
        <w:t>Finanční</w:t>
      </w:r>
      <w:r>
        <w:t xml:space="preserve"> </w:t>
      </w:r>
      <w:r w:rsidRPr="00840C4F">
        <w:t>prostředky</w:t>
      </w:r>
      <w:r>
        <w:t xml:space="preserve"> </w:t>
      </w:r>
      <w:r w:rsidRPr="00840C4F">
        <w:t>k</w:t>
      </w:r>
      <w:r>
        <w:t xml:space="preserve"> </w:t>
      </w:r>
      <w:r w:rsidRPr="00840C4F">
        <w:t>provozování</w:t>
      </w:r>
      <w:r>
        <w:t xml:space="preserve"> </w:t>
      </w:r>
      <w:r w:rsidRPr="00840C4F">
        <w:t>veřejné</w:t>
      </w:r>
      <w:r>
        <w:t xml:space="preserve"> </w:t>
      </w:r>
      <w:r w:rsidRPr="00840C4F">
        <w:t>drážní</w:t>
      </w:r>
      <w:r>
        <w:t xml:space="preserve"> </w:t>
      </w:r>
      <w:r w:rsidRPr="00840C4F">
        <w:t>osobní</w:t>
      </w:r>
      <w:r>
        <w:t xml:space="preserve"> </w:t>
      </w:r>
      <w:r w:rsidRPr="00840C4F">
        <w:t>dopravy</w:t>
      </w:r>
      <w:r>
        <w:t xml:space="preserve"> </w:t>
      </w:r>
      <w:r w:rsidRPr="00840C4F">
        <w:t>a</w:t>
      </w:r>
      <w:r>
        <w:t xml:space="preserve"> </w:t>
      </w:r>
      <w:r w:rsidRPr="00840C4F">
        <w:t>prostředky</w:t>
      </w:r>
      <w:r>
        <w:t xml:space="preserve"> </w:t>
      </w:r>
      <w:r w:rsidRPr="00840C4F">
        <w:t>k</w:t>
      </w:r>
      <w:r>
        <w:t xml:space="preserve"> </w:t>
      </w:r>
      <w:r w:rsidRPr="00840C4F">
        <w:t>provozování</w:t>
      </w:r>
      <w:r>
        <w:t xml:space="preserve"> </w:t>
      </w:r>
      <w:r w:rsidRPr="00840C4F">
        <w:t>dráhy</w:t>
      </w:r>
      <w:r>
        <w:t xml:space="preserve"> </w:t>
      </w:r>
      <w:r w:rsidRPr="00840C4F">
        <w:t>poskytnuté</w:t>
      </w:r>
      <w:r>
        <w:t xml:space="preserve"> </w:t>
      </w:r>
      <w:r w:rsidRPr="00840C4F">
        <w:t>z</w:t>
      </w:r>
      <w:r>
        <w:t xml:space="preserve"> </w:t>
      </w:r>
      <w:r w:rsidRPr="00840C4F">
        <w:t>veřejných</w:t>
      </w:r>
      <w:r>
        <w:t xml:space="preserve"> </w:t>
      </w:r>
      <w:r w:rsidRPr="00840C4F">
        <w:t>rozpočtů</w:t>
      </w:r>
      <w:r>
        <w:t xml:space="preserve"> </w:t>
      </w:r>
      <w:r w:rsidRPr="00840C4F">
        <w:t>se</w:t>
      </w:r>
      <w:r>
        <w:t xml:space="preserve"> </w:t>
      </w:r>
      <w:proofErr w:type="gramStart"/>
      <w:r w:rsidRPr="00200023">
        <w:rPr>
          <w:strike/>
        </w:rPr>
        <w:t>vedou</w:t>
      </w:r>
      <w:r>
        <w:t xml:space="preserve"> </w:t>
      </w:r>
      <w:r w:rsidR="00200023" w:rsidRPr="00200023">
        <w:rPr>
          <w:b/>
        </w:rPr>
        <w:t>sledují</w:t>
      </w:r>
      <w:proofErr w:type="gramEnd"/>
      <w:r w:rsidR="00200023">
        <w:t xml:space="preserve"> </w:t>
      </w:r>
      <w:r w:rsidRPr="00840C4F">
        <w:t>samostatně</w:t>
      </w:r>
      <w:r>
        <w:t xml:space="preserve"> </w:t>
      </w:r>
      <w:r w:rsidRPr="00840C4F">
        <w:t>a</w:t>
      </w:r>
      <w:r>
        <w:t xml:space="preserve"> </w:t>
      </w:r>
      <w:r w:rsidRPr="00840C4F">
        <w:t>nemohou</w:t>
      </w:r>
      <w:r>
        <w:t xml:space="preserve"> </w:t>
      </w:r>
      <w:r w:rsidRPr="00840C4F">
        <w:t>se</w:t>
      </w:r>
      <w:r>
        <w:t xml:space="preserve"> </w:t>
      </w:r>
      <w:r w:rsidRPr="00840C4F">
        <w:t>převádět</w:t>
      </w:r>
      <w:r>
        <w:t xml:space="preserve"> </w:t>
      </w:r>
      <w:r w:rsidRPr="00840C4F">
        <w:t>do</w:t>
      </w:r>
      <w:r>
        <w:t xml:space="preserve"> </w:t>
      </w:r>
      <w:r w:rsidRPr="00840C4F">
        <w:t>jiných</w:t>
      </w:r>
      <w:r>
        <w:t xml:space="preserve"> </w:t>
      </w:r>
      <w:r w:rsidRPr="00840C4F">
        <w:t>činností.</w:t>
      </w:r>
    </w:p>
    <w:p w14:paraId="692B8F53" w14:textId="101420C8" w:rsidR="008923DB" w:rsidRPr="008923DB" w:rsidRDefault="008923DB" w:rsidP="008923DB">
      <w:pPr>
        <w:pStyle w:val="Odstavecseseznamem"/>
        <w:tabs>
          <w:tab w:val="left" w:pos="851"/>
        </w:tabs>
        <w:spacing w:before="120" w:after="120"/>
        <w:ind w:left="0" w:firstLine="0"/>
        <w:outlineLvl w:val="0"/>
        <w:rPr>
          <w:szCs w:val="24"/>
        </w:rPr>
      </w:pPr>
      <w:r w:rsidRPr="00D60616">
        <w:rPr>
          <w:b/>
          <w:szCs w:val="24"/>
        </w:rPr>
        <w:lastRenderedPageBreak/>
        <w:t xml:space="preserve">K části dvacáté </w:t>
      </w:r>
      <w:r w:rsidR="00A55D8D">
        <w:rPr>
          <w:b/>
          <w:szCs w:val="24"/>
        </w:rPr>
        <w:t>devá</w:t>
      </w:r>
      <w:r w:rsidR="00D60616" w:rsidRPr="00D60616">
        <w:rPr>
          <w:b/>
          <w:szCs w:val="24"/>
        </w:rPr>
        <w:t>té</w:t>
      </w:r>
      <w:r w:rsidR="00A55D8D">
        <w:rPr>
          <w:b/>
          <w:szCs w:val="24"/>
        </w:rPr>
        <w:t xml:space="preserve"> </w:t>
      </w:r>
      <w:r w:rsidRPr="00D60616">
        <w:rPr>
          <w:b/>
          <w:szCs w:val="24"/>
        </w:rPr>
        <w:t xml:space="preserve">návrhu zákona – </w:t>
      </w:r>
      <w:r w:rsidRPr="00D60616">
        <w:rPr>
          <w:szCs w:val="24"/>
        </w:rPr>
        <w:t>změna zákona o spořitelnách a úvěrních družstvech</w:t>
      </w:r>
    </w:p>
    <w:p w14:paraId="472646E2" w14:textId="77777777" w:rsidR="008923DB" w:rsidRPr="00383BB6" w:rsidRDefault="008923DB" w:rsidP="008923DB">
      <w:pPr>
        <w:pStyle w:val="Odstavecseseznamem"/>
        <w:tabs>
          <w:tab w:val="left" w:pos="851"/>
        </w:tabs>
        <w:spacing w:before="120" w:after="120"/>
        <w:ind w:left="0" w:firstLine="0"/>
        <w:outlineLvl w:val="0"/>
        <w:rPr>
          <w:b/>
          <w:szCs w:val="24"/>
        </w:rPr>
      </w:pPr>
    </w:p>
    <w:p w14:paraId="227A1CE0" w14:textId="55AD187C" w:rsidR="008923DB" w:rsidRPr="00383BB6" w:rsidRDefault="008923DB" w:rsidP="008923DB">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383BB6">
        <w:rPr>
          <w:b/>
          <w:szCs w:val="24"/>
        </w:rPr>
        <w:t>Platné znění</w:t>
      </w:r>
      <w:r w:rsidRPr="00383BB6">
        <w:rPr>
          <w:szCs w:val="24"/>
        </w:rPr>
        <w:t xml:space="preserve"> zákona </w:t>
      </w:r>
      <w:r w:rsidRPr="00383BB6">
        <w:rPr>
          <w:color w:val="000000"/>
          <w:szCs w:val="24"/>
        </w:rPr>
        <w:t>č. </w:t>
      </w:r>
      <w:r>
        <w:rPr>
          <w:color w:val="000000"/>
          <w:szCs w:val="24"/>
        </w:rPr>
        <w:t>87</w:t>
      </w:r>
      <w:r w:rsidRPr="00383BB6">
        <w:rPr>
          <w:color w:val="000000"/>
          <w:szCs w:val="24"/>
        </w:rPr>
        <w:t>/</w:t>
      </w:r>
      <w:r w:rsidRPr="008923DB">
        <w:rPr>
          <w:szCs w:val="24"/>
        </w:rPr>
        <w:t>1995 Sb., o spořitelnách a úvěrních družstvech</w:t>
      </w:r>
    </w:p>
    <w:p w14:paraId="27E9AB68" w14:textId="77777777" w:rsidR="00CE2C91" w:rsidRPr="00A06781" w:rsidRDefault="00CE2C91" w:rsidP="00CE2C91">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b/>
          <w:szCs w:val="24"/>
        </w:rPr>
      </w:pPr>
      <w:r w:rsidRPr="00A06781">
        <w:rPr>
          <w:b/>
          <w:szCs w:val="24"/>
        </w:rPr>
        <w:t>s vyznačením navrhovaných změn a doplnění k 1. lednu 2025</w:t>
      </w:r>
    </w:p>
    <w:p w14:paraId="14E1140D" w14:textId="77777777" w:rsidR="00A64E48" w:rsidRPr="00BE2BE9" w:rsidRDefault="00A64E48" w:rsidP="00A64E48">
      <w:pPr>
        <w:pStyle w:val="Paragraf"/>
        <w:numPr>
          <w:ilvl w:val="0"/>
          <w:numId w:val="27"/>
        </w:numPr>
      </w:pPr>
      <w:r>
        <w:t>§ 1</w:t>
      </w:r>
    </w:p>
    <w:p w14:paraId="19CAE063" w14:textId="77777777" w:rsidR="00A64E48" w:rsidRPr="00E56E6E" w:rsidRDefault="00A64E48" w:rsidP="00A64E48">
      <w:pPr>
        <w:pStyle w:val="NADPISSTI"/>
        <w:keepLines w:val="0"/>
        <w:ind w:firstLine="0"/>
        <w:contextualSpacing/>
      </w:pPr>
      <w:r w:rsidRPr="00BE2BE9">
        <w:t>Obecná ustanovení</w:t>
      </w:r>
    </w:p>
    <w:p w14:paraId="170EE925" w14:textId="77777777" w:rsidR="00A64E48" w:rsidRPr="00BE2BE9" w:rsidRDefault="00A64E48" w:rsidP="00CE2C91">
      <w:pPr>
        <w:pStyle w:val="PZTextodstavce"/>
        <w:rPr>
          <w:szCs w:val="24"/>
        </w:rPr>
      </w:pPr>
      <w:r w:rsidRPr="00BE2BE9">
        <w:rPr>
          <w:szCs w:val="24"/>
        </w:rPr>
        <w:t>(1) Tento zákon zapracovává příslušné předpisy Evropské unie</w:t>
      </w:r>
      <w:r>
        <w:rPr>
          <w:rStyle w:val="Znakapoznpodarou"/>
          <w:szCs w:val="24"/>
        </w:rPr>
        <w:footnoteReference w:customMarkFollows="1" w:id="217"/>
        <w:t>1)</w:t>
      </w:r>
      <w:r w:rsidRPr="00BE2BE9">
        <w:rPr>
          <w:szCs w:val="24"/>
        </w:rPr>
        <w:t>, zároveň navazuje na přímo použitelný předpis Evropské unie</w:t>
      </w:r>
      <w:r>
        <w:rPr>
          <w:rStyle w:val="Znakapoznpodarou"/>
          <w:szCs w:val="24"/>
        </w:rPr>
        <w:footnoteReference w:customMarkFollows="1" w:id="218"/>
        <w:t>38)</w:t>
      </w:r>
      <w:r w:rsidRPr="00BE2BE9">
        <w:rPr>
          <w:szCs w:val="24"/>
        </w:rPr>
        <w:t xml:space="preserve"> a upravuje některé vztahy související se vznikem, podnikáním a zánikem spořitelních a úvěrních družstev (dále jen "družstevní záložna"). Tento zákon rovněž upravuje dohled nad družstevními záložnami, který vykonává Česká národní banka, a pojištění pohledávek z v</w:t>
      </w:r>
      <w:r>
        <w:rPr>
          <w:szCs w:val="24"/>
        </w:rPr>
        <w:t>kladů v družstevních záložnách.</w:t>
      </w:r>
      <w:r w:rsidRPr="00BE2BE9">
        <w:rPr>
          <w:szCs w:val="24"/>
        </w:rPr>
        <w:t xml:space="preserve"> </w:t>
      </w:r>
    </w:p>
    <w:p w14:paraId="3212E63E" w14:textId="77777777" w:rsidR="00A64E48" w:rsidRPr="00BE2BE9" w:rsidRDefault="00A64E48" w:rsidP="00A64E48">
      <w:pPr>
        <w:pStyle w:val="PZTextodstavce"/>
        <w:rPr>
          <w:szCs w:val="24"/>
        </w:rPr>
      </w:pPr>
      <w:r w:rsidRPr="00BE2BE9">
        <w:rPr>
          <w:szCs w:val="24"/>
        </w:rPr>
        <w:t xml:space="preserve">(2) Povolení působit jako družstevní záložna (dále jen „povolení“) uděluje Česká národní banka (§ 2a) družstvu se sídlem v České republice </w:t>
      </w:r>
      <w:r>
        <w:rPr>
          <w:szCs w:val="24"/>
        </w:rPr>
        <w:t>k výkonu následujících činností</w:t>
      </w:r>
    </w:p>
    <w:p w14:paraId="1A179C09" w14:textId="306201BE" w:rsidR="00A64E48" w:rsidRPr="00BE2BE9" w:rsidRDefault="00A64E48" w:rsidP="00A64E48">
      <w:pPr>
        <w:tabs>
          <w:tab w:val="left" w:pos="425"/>
          <w:tab w:val="left" w:pos="851"/>
        </w:tabs>
        <w:spacing w:before="0"/>
        <w:ind w:left="425" w:hanging="425"/>
        <w:rPr>
          <w:szCs w:val="24"/>
        </w:rPr>
      </w:pPr>
      <w:r>
        <w:rPr>
          <w:szCs w:val="24"/>
        </w:rPr>
        <w:t>a)</w:t>
      </w:r>
      <w:r>
        <w:rPr>
          <w:szCs w:val="24"/>
        </w:rPr>
        <w:tab/>
      </w:r>
      <w:r w:rsidRPr="00BE2BE9">
        <w:rPr>
          <w:szCs w:val="24"/>
        </w:rPr>
        <w:t>př</w:t>
      </w:r>
      <w:r>
        <w:rPr>
          <w:szCs w:val="24"/>
        </w:rPr>
        <w:t>ijímání vkladů od svých členů a</w:t>
      </w:r>
    </w:p>
    <w:p w14:paraId="16C9D200" w14:textId="3273FE4D" w:rsidR="00A64E48" w:rsidRPr="00BE2BE9" w:rsidRDefault="00A64E48" w:rsidP="00A64E48">
      <w:pPr>
        <w:tabs>
          <w:tab w:val="left" w:pos="425"/>
          <w:tab w:val="left" w:pos="851"/>
        </w:tabs>
        <w:spacing w:before="0"/>
        <w:ind w:left="425" w:hanging="425"/>
        <w:rPr>
          <w:szCs w:val="24"/>
        </w:rPr>
      </w:pPr>
      <w:r w:rsidRPr="00BE2BE9">
        <w:rPr>
          <w:szCs w:val="24"/>
        </w:rPr>
        <w:t>b)</w:t>
      </w:r>
      <w:r>
        <w:rPr>
          <w:szCs w:val="24"/>
        </w:rPr>
        <w:tab/>
        <w:t>poskytování úvěrů svým členům.</w:t>
      </w:r>
    </w:p>
    <w:p w14:paraId="5789FD7A" w14:textId="2DE2B4B5" w:rsidR="00A64E48" w:rsidRPr="00BE2BE9" w:rsidRDefault="00A64E48" w:rsidP="00CE2C91">
      <w:pPr>
        <w:pStyle w:val="PZTextodstavce"/>
        <w:rPr>
          <w:szCs w:val="24"/>
        </w:rPr>
      </w:pPr>
      <w:r>
        <w:rPr>
          <w:szCs w:val="24"/>
        </w:rPr>
        <w:t xml:space="preserve">(3) </w:t>
      </w:r>
      <w:r w:rsidRPr="00BE2BE9">
        <w:rPr>
          <w:szCs w:val="24"/>
        </w:rPr>
        <w:t>Obchodní firma (dále jen "firma") družstevní záložny musí obsahovat označení "spořitelní a úvěrní družstvo", "družstevní záložna", "spořitelní družstvo" nebo "úvěrní družstvo"; toto označení je oprávněna používat pouze právnická osob</w:t>
      </w:r>
      <w:r>
        <w:rPr>
          <w:szCs w:val="24"/>
        </w:rPr>
        <w:t>a založená podle tohoto zákona.</w:t>
      </w:r>
      <w:r w:rsidRPr="00BE2BE9">
        <w:rPr>
          <w:szCs w:val="24"/>
        </w:rPr>
        <w:t xml:space="preserve"> </w:t>
      </w:r>
    </w:p>
    <w:p w14:paraId="63CE02FE" w14:textId="77777777" w:rsidR="00A64E48" w:rsidRPr="00BE2BE9" w:rsidRDefault="00A64E48" w:rsidP="00CE2C91">
      <w:pPr>
        <w:pStyle w:val="PZTextodstavce"/>
        <w:rPr>
          <w:szCs w:val="24"/>
        </w:rPr>
      </w:pPr>
      <w:r>
        <w:rPr>
          <w:szCs w:val="24"/>
        </w:rPr>
        <w:t>(4)</w:t>
      </w:r>
      <w:r>
        <w:rPr>
          <w:szCs w:val="24"/>
        </w:rPr>
        <w:tab/>
      </w:r>
      <w:r w:rsidRPr="00BE2BE9">
        <w:rPr>
          <w:szCs w:val="24"/>
        </w:rPr>
        <w:t>Družstevní záložna není bankou podle zákona upravujícího činnost bank a její podnikání se nepova</w:t>
      </w:r>
      <w:r>
        <w:rPr>
          <w:szCs w:val="24"/>
        </w:rPr>
        <w:t>žuje za provozování živnosti</w:t>
      </w:r>
      <w:r>
        <w:rPr>
          <w:rStyle w:val="Znakapoznpodarou"/>
          <w:szCs w:val="24"/>
        </w:rPr>
        <w:footnoteReference w:customMarkFollows="1" w:id="219"/>
        <w:t>2)</w:t>
      </w:r>
      <w:r>
        <w:rPr>
          <w:szCs w:val="24"/>
        </w:rPr>
        <w:t>.</w:t>
      </w:r>
      <w:r w:rsidRPr="00BE2BE9">
        <w:rPr>
          <w:szCs w:val="24"/>
        </w:rPr>
        <w:t xml:space="preserve"> </w:t>
      </w:r>
    </w:p>
    <w:p w14:paraId="7155A3A9" w14:textId="77777777" w:rsidR="00A64E48" w:rsidRPr="00BE2BE9" w:rsidRDefault="00A64E48" w:rsidP="00CE2C91">
      <w:pPr>
        <w:pStyle w:val="PZTextodstavce"/>
        <w:rPr>
          <w:szCs w:val="24"/>
        </w:rPr>
      </w:pPr>
      <w:r>
        <w:rPr>
          <w:szCs w:val="24"/>
        </w:rPr>
        <w:t>(5) Družstevní záložna</w:t>
      </w:r>
      <w:r w:rsidRPr="00BE2BE9">
        <w:rPr>
          <w:szCs w:val="24"/>
        </w:rPr>
        <w:t xml:space="preserve"> </w:t>
      </w:r>
    </w:p>
    <w:p w14:paraId="7D747EFB" w14:textId="260CDCB5" w:rsidR="00A64E48" w:rsidRPr="00BE2BE9" w:rsidRDefault="00A64E48" w:rsidP="00A64E48">
      <w:pPr>
        <w:tabs>
          <w:tab w:val="left" w:pos="425"/>
          <w:tab w:val="left" w:pos="851"/>
        </w:tabs>
        <w:spacing w:before="0"/>
        <w:ind w:left="425" w:hanging="425"/>
        <w:rPr>
          <w:szCs w:val="24"/>
        </w:rPr>
      </w:pPr>
      <w:r>
        <w:rPr>
          <w:szCs w:val="24"/>
        </w:rPr>
        <w:t>a)</w:t>
      </w:r>
      <w:r>
        <w:rPr>
          <w:szCs w:val="24"/>
        </w:rPr>
        <w:tab/>
      </w:r>
      <w:r w:rsidRPr="00BE2BE9">
        <w:rPr>
          <w:szCs w:val="24"/>
        </w:rPr>
        <w:t>je oprávněna vykonávat pouze činnosti stanovené tímto zákonem, a to v rozsahu uděleného povo</w:t>
      </w:r>
      <w:r>
        <w:rPr>
          <w:szCs w:val="24"/>
        </w:rPr>
        <w:t>lení,</w:t>
      </w:r>
      <w:r w:rsidRPr="00BE2BE9">
        <w:rPr>
          <w:szCs w:val="24"/>
        </w:rPr>
        <w:t xml:space="preserve"> </w:t>
      </w:r>
    </w:p>
    <w:p w14:paraId="7938554C" w14:textId="66D0F02B" w:rsidR="00A64E48" w:rsidRPr="00BE2BE9" w:rsidRDefault="00A64E48" w:rsidP="00A64E48">
      <w:pPr>
        <w:tabs>
          <w:tab w:val="left" w:pos="425"/>
          <w:tab w:val="left" w:pos="851"/>
        </w:tabs>
        <w:spacing w:before="0"/>
        <w:ind w:left="425" w:hanging="425"/>
        <w:rPr>
          <w:szCs w:val="24"/>
        </w:rPr>
      </w:pPr>
      <w:r>
        <w:rPr>
          <w:szCs w:val="24"/>
        </w:rPr>
        <w:t>b)</w:t>
      </w:r>
      <w:r>
        <w:rPr>
          <w:szCs w:val="24"/>
        </w:rPr>
        <w:tab/>
      </w:r>
      <w:r w:rsidRPr="00BE2BE9">
        <w:rPr>
          <w:szCs w:val="24"/>
        </w:rPr>
        <w:t>je povinna při svém podnikání postupovat obezřetně a s náležitou péčí, zejména podnikat způsobem, který neohrožuje návratnost vkladů jejích členů</w:t>
      </w:r>
      <w:r>
        <w:rPr>
          <w:szCs w:val="24"/>
        </w:rPr>
        <w:t xml:space="preserve"> a její bezpečnost a stabilitu,</w:t>
      </w:r>
      <w:r w:rsidRPr="00BE2BE9">
        <w:rPr>
          <w:szCs w:val="24"/>
        </w:rPr>
        <w:t xml:space="preserve"> </w:t>
      </w:r>
    </w:p>
    <w:p w14:paraId="012D3707" w14:textId="4395D701" w:rsidR="00A64E48" w:rsidRPr="00BE2BE9" w:rsidRDefault="00A64E48" w:rsidP="00A64E48">
      <w:pPr>
        <w:tabs>
          <w:tab w:val="left" w:pos="425"/>
          <w:tab w:val="left" w:pos="851"/>
        </w:tabs>
        <w:spacing w:before="0"/>
        <w:ind w:left="425" w:hanging="425"/>
        <w:rPr>
          <w:szCs w:val="24"/>
        </w:rPr>
      </w:pPr>
      <w:r>
        <w:rPr>
          <w:szCs w:val="24"/>
        </w:rPr>
        <w:t>c)</w:t>
      </w:r>
      <w:r>
        <w:rPr>
          <w:szCs w:val="24"/>
        </w:rPr>
        <w:tab/>
      </w:r>
      <w:r w:rsidRPr="00BE2BE9">
        <w:rPr>
          <w:szCs w:val="24"/>
        </w:rPr>
        <w:t xml:space="preserve">nesmí uzavírat smlouvy za nápadně nevýhodných podmínek pro družstevní záložnu, zejména takové, které zavazují družstevní záložnu k hospodářsky neodůvodněnému plnění </w:t>
      </w:r>
      <w:r w:rsidRPr="00BE2BE9">
        <w:rPr>
          <w:szCs w:val="24"/>
        </w:rPr>
        <w:lastRenderedPageBreak/>
        <w:t>nebo plnění nápadně neodpovídajícímu poskytované protihodnotě; porušení této podmí</w:t>
      </w:r>
      <w:r>
        <w:rPr>
          <w:szCs w:val="24"/>
        </w:rPr>
        <w:t>nky zakládá neplatnost smlouvy,</w:t>
      </w:r>
      <w:r w:rsidRPr="00BE2BE9">
        <w:rPr>
          <w:szCs w:val="24"/>
        </w:rPr>
        <w:t xml:space="preserve"> </w:t>
      </w:r>
    </w:p>
    <w:p w14:paraId="3EA4C91B" w14:textId="74C9FB99" w:rsidR="00A64E48" w:rsidRPr="00BE2BE9" w:rsidRDefault="00A64E48" w:rsidP="00A64E48">
      <w:pPr>
        <w:tabs>
          <w:tab w:val="left" w:pos="425"/>
          <w:tab w:val="left" w:pos="851"/>
        </w:tabs>
        <w:spacing w:before="0"/>
        <w:ind w:left="425" w:hanging="425"/>
        <w:rPr>
          <w:szCs w:val="24"/>
        </w:rPr>
      </w:pPr>
      <w:r>
        <w:rPr>
          <w:szCs w:val="24"/>
        </w:rPr>
        <w:t>d)</w:t>
      </w:r>
      <w:r>
        <w:rPr>
          <w:szCs w:val="24"/>
        </w:rPr>
        <w:tab/>
      </w:r>
      <w:r w:rsidRPr="00BE2BE9">
        <w:rPr>
          <w:szCs w:val="24"/>
        </w:rPr>
        <w:t>nemůže být emitentem podřízeného dl</w:t>
      </w:r>
      <w:r>
        <w:rPr>
          <w:szCs w:val="24"/>
        </w:rPr>
        <w:t>uhopisu</w:t>
      </w:r>
      <w:r>
        <w:rPr>
          <w:rStyle w:val="Znakapoznpodarou"/>
          <w:szCs w:val="24"/>
        </w:rPr>
        <w:footnoteReference w:customMarkFollows="1" w:id="220"/>
        <w:t>3)</w:t>
      </w:r>
      <w:r>
        <w:rPr>
          <w:szCs w:val="24"/>
        </w:rPr>
        <w:t>,</w:t>
      </w:r>
    </w:p>
    <w:p w14:paraId="52C3E82D" w14:textId="5E518A8C" w:rsidR="00A64E48" w:rsidRPr="00BE2BE9" w:rsidRDefault="00A64E48" w:rsidP="00A64E48">
      <w:pPr>
        <w:tabs>
          <w:tab w:val="left" w:pos="425"/>
          <w:tab w:val="left" w:pos="851"/>
        </w:tabs>
        <w:spacing w:before="0"/>
        <w:ind w:left="425" w:hanging="425"/>
        <w:rPr>
          <w:szCs w:val="24"/>
        </w:rPr>
      </w:pPr>
      <w:r>
        <w:rPr>
          <w:szCs w:val="24"/>
        </w:rPr>
        <w:t>e)</w:t>
      </w:r>
      <w:r>
        <w:rPr>
          <w:szCs w:val="24"/>
        </w:rPr>
        <w:tab/>
      </w:r>
      <w:r w:rsidRPr="00BE2BE9">
        <w:rPr>
          <w:szCs w:val="24"/>
        </w:rPr>
        <w:t>nesmí nabýt pohledávku vázanou podmínkou podřízenosti ve smyslu zákona upravujícího dluhopisy</w:t>
      </w:r>
      <w:r w:rsidRPr="00BE17A3">
        <w:rPr>
          <w:szCs w:val="24"/>
          <w:vertAlign w:val="superscript"/>
        </w:rPr>
        <w:t>3)</w:t>
      </w:r>
      <w:r w:rsidRPr="00BE2BE9">
        <w:rPr>
          <w:szCs w:val="24"/>
        </w:rPr>
        <w:t xml:space="preserve"> za jinou úvěrovou institucí, investičním podnikem, finanční institucí nebo osobou mající kvalifikovanou účast v družstevní záložně samostatně nebo je</w:t>
      </w:r>
      <w:r>
        <w:rPr>
          <w:szCs w:val="24"/>
        </w:rPr>
        <w:t>dnáním ve shodě s jinou osobou.</w:t>
      </w:r>
    </w:p>
    <w:p w14:paraId="40AEE3B5" w14:textId="77777777" w:rsidR="00A64E48" w:rsidRPr="00B63AC4" w:rsidRDefault="00A64E48" w:rsidP="00A64E48">
      <w:pPr>
        <w:pStyle w:val="PZTextodstavce"/>
        <w:rPr>
          <w:strike/>
          <w:szCs w:val="24"/>
        </w:rPr>
      </w:pPr>
      <w:r w:rsidRPr="00B63AC4">
        <w:rPr>
          <w:strike/>
          <w:szCs w:val="24"/>
        </w:rPr>
        <w:t>(6) Schválená účetní závěrka,</w:t>
      </w:r>
      <w:r w:rsidRPr="00B63AC4">
        <w:rPr>
          <w:rStyle w:val="Znakapoznpodarou"/>
          <w:strike/>
          <w:szCs w:val="24"/>
        </w:rPr>
        <w:footnoteReference w:customMarkFollows="1" w:id="221"/>
        <w:t>3a)</w:t>
      </w:r>
      <w:r w:rsidRPr="00B63AC4">
        <w:rPr>
          <w:strike/>
          <w:szCs w:val="24"/>
        </w:rPr>
        <w:t xml:space="preserve"> výroční zpráva a opis povolení musí být uveřejněny na místě veřejně přístupném v sídle družstevní záložny, v jejích pobočkách, expoziturách a jednatelstvích.</w:t>
      </w:r>
    </w:p>
    <w:p w14:paraId="10627D09" w14:textId="77777777" w:rsidR="00A64E48" w:rsidRPr="00B63AC4" w:rsidRDefault="00A64E48" w:rsidP="00CE2C91">
      <w:pPr>
        <w:pStyle w:val="PZTextodstavce"/>
        <w:rPr>
          <w:b/>
          <w:szCs w:val="24"/>
        </w:rPr>
      </w:pPr>
      <w:r w:rsidRPr="00B63AC4">
        <w:rPr>
          <w:b/>
          <w:szCs w:val="24"/>
        </w:rPr>
        <w:t>(6) Družstevní záložna zveřejní řádnou účetní závěrku, zprávy podle zákona upravujícího účetnictví, jsou-li vyhotovovány, a zprávy o jejich ověření, jsou-li ověřovány, do 6 měsíců od konce účetního období a v téže lhůtě také uveřejní tyto dokumenty na svých internetových stránkách. Tyto dokumenty a opis povolení musí být také uveřejněny na místě veřejně přístupném v sídle družstevní záložny, v jejích pobočkách, expoziturách a jednatelstvích.</w:t>
      </w:r>
    </w:p>
    <w:p w14:paraId="2D63736D" w14:textId="77777777" w:rsidR="00A64E48" w:rsidRPr="00BE2BE9" w:rsidRDefault="00A64E48" w:rsidP="00CE2C91">
      <w:pPr>
        <w:pStyle w:val="PZTextodstavce"/>
        <w:rPr>
          <w:szCs w:val="24"/>
        </w:rPr>
      </w:pPr>
      <w:r>
        <w:rPr>
          <w:szCs w:val="24"/>
        </w:rPr>
        <w:t>(7)</w:t>
      </w:r>
      <w:r>
        <w:rPr>
          <w:szCs w:val="24"/>
        </w:rPr>
        <w:tab/>
      </w:r>
      <w:r w:rsidRPr="00BE2BE9">
        <w:rPr>
          <w:szCs w:val="24"/>
        </w:rPr>
        <w:t xml:space="preserve">Družstevní záložna je povinna vyžádat si předchozí souhlas České národní banky k uzavření smlouvy, na jejímž základě dochází k jakékoliv dispozici s obchodním závodem nebo jeho částí. Zastavení obchodního závodu družstevní záložnou </w:t>
      </w:r>
      <w:r>
        <w:rPr>
          <w:szCs w:val="24"/>
        </w:rPr>
        <w:t>nebo jeho části je nepřípustné.</w:t>
      </w:r>
    </w:p>
    <w:p w14:paraId="5B4FD611" w14:textId="77777777" w:rsidR="00A64E48" w:rsidRPr="00BE2BE9" w:rsidRDefault="00A64E48" w:rsidP="00CE2C91">
      <w:pPr>
        <w:pStyle w:val="PZTextodstavce"/>
        <w:rPr>
          <w:szCs w:val="24"/>
        </w:rPr>
      </w:pPr>
      <w:r w:rsidRPr="00BE2BE9">
        <w:rPr>
          <w:szCs w:val="24"/>
        </w:rPr>
        <w:t>(8) Žádost o udělení souhlasu podle odstavce 7 obsahuje, vedle náležitostí stanovených správním řádem, informace o důvodech zamýšleného postupu, způsobu jeho provedení a jeho účastnících. Žádost lze podat pouze elektronicky. Podrobnosti náležitostí žádosti, její formát a další technické náležitosti stanoví</w:t>
      </w:r>
      <w:r>
        <w:rPr>
          <w:szCs w:val="24"/>
        </w:rPr>
        <w:t xml:space="preserve"> Česká národní banka vyhláškou.</w:t>
      </w:r>
    </w:p>
    <w:p w14:paraId="20D4303B" w14:textId="77777777" w:rsidR="00A64E48" w:rsidRPr="00E45F06" w:rsidRDefault="00A64E48" w:rsidP="00CE2C91">
      <w:pPr>
        <w:pStyle w:val="PZTextodstavce"/>
        <w:rPr>
          <w:szCs w:val="24"/>
        </w:rPr>
      </w:pPr>
      <w:r w:rsidRPr="00BE2BE9">
        <w:rPr>
          <w:szCs w:val="24"/>
        </w:rPr>
        <w:t>(9) Družstevní záložna není oprávněna nabývat přímý nebo nepřímý podíl na základním kapitálu právnické osoby, stát se členem, společníkem, akcionářem právnické osoby, či jiným způsobem nabývat vliv na řízení právnické osoby.</w:t>
      </w:r>
    </w:p>
    <w:p w14:paraId="074B0A0C" w14:textId="77777777" w:rsidR="00A64E48" w:rsidRDefault="00A64E48" w:rsidP="00A64E48">
      <w:pPr>
        <w:pStyle w:val="Paragraf"/>
        <w:numPr>
          <w:ilvl w:val="0"/>
          <w:numId w:val="27"/>
        </w:numPr>
      </w:pPr>
      <w:r>
        <w:t>***</w:t>
      </w:r>
    </w:p>
    <w:p w14:paraId="64CD3431" w14:textId="77777777" w:rsidR="00A64E48" w:rsidRPr="009063B5" w:rsidRDefault="00A64E48" w:rsidP="00A64E48">
      <w:pPr>
        <w:pStyle w:val="Paragraf"/>
        <w:numPr>
          <w:ilvl w:val="0"/>
          <w:numId w:val="27"/>
        </w:numPr>
        <w:spacing w:after="120"/>
      </w:pPr>
      <w:r w:rsidRPr="009063B5">
        <w:t>§ 4c</w:t>
      </w:r>
    </w:p>
    <w:p w14:paraId="2F5820BB" w14:textId="77777777" w:rsidR="00A64E48" w:rsidRPr="00BE17A3" w:rsidRDefault="00A64E48" w:rsidP="00A64E48">
      <w:pPr>
        <w:pStyle w:val="Paragraf"/>
        <w:numPr>
          <w:ilvl w:val="0"/>
          <w:numId w:val="27"/>
        </w:numPr>
        <w:spacing w:after="120"/>
        <w:rPr>
          <w:b/>
        </w:rPr>
      </w:pPr>
      <w:r w:rsidRPr="00BE17A3">
        <w:rPr>
          <w:b/>
        </w:rPr>
        <w:t>Vypořádací podíl</w:t>
      </w:r>
    </w:p>
    <w:p w14:paraId="62EC731C" w14:textId="77777777" w:rsidR="00A64E48" w:rsidRPr="00BE17A3" w:rsidRDefault="00A64E48" w:rsidP="00CE2C91">
      <w:pPr>
        <w:pStyle w:val="PZTextodstavce"/>
        <w:rPr>
          <w:szCs w:val="24"/>
        </w:rPr>
      </w:pPr>
      <w:r w:rsidRPr="00F34748">
        <w:rPr>
          <w:szCs w:val="24"/>
        </w:rPr>
        <w:t>(</w:t>
      </w:r>
      <w:r>
        <w:rPr>
          <w:szCs w:val="24"/>
        </w:rPr>
        <w:t>1)</w:t>
      </w:r>
      <w:r>
        <w:rPr>
          <w:szCs w:val="24"/>
        </w:rPr>
        <w:tab/>
      </w:r>
      <w:r w:rsidRPr="00F34748">
        <w:rPr>
          <w:szCs w:val="24"/>
        </w:rPr>
        <w:t xml:space="preserve">Výše vypořádacího podílu se vypočte podle přílohy k tomuto zákonu. Pro určení výše vypořádacího podílu je rozhodný stav vlastního kapitálu po odečtení rizikového fondu, rezervního fondu a dalších fondů družstevní záložny, které se podle tohoto zákona, zvláštního právního předpisu nebo stanov nerozdělují mezi členy, podle </w:t>
      </w:r>
      <w:r w:rsidRPr="009F0FF0">
        <w:rPr>
          <w:strike/>
          <w:szCs w:val="24"/>
        </w:rPr>
        <w:t xml:space="preserve">účetní závěrky </w:t>
      </w:r>
      <w:r w:rsidRPr="00377ECF">
        <w:rPr>
          <w:strike/>
          <w:szCs w:val="24"/>
        </w:rPr>
        <w:t>za</w:t>
      </w:r>
      <w:r w:rsidRPr="00377ECF">
        <w:rPr>
          <w:szCs w:val="24"/>
        </w:rPr>
        <w:t xml:space="preserve"> </w:t>
      </w:r>
      <w:r w:rsidRPr="00BE17A3">
        <w:rPr>
          <w:strike/>
          <w:szCs w:val="24"/>
        </w:rPr>
        <w:t xml:space="preserve">rok </w:t>
      </w:r>
      <w:r w:rsidRPr="00BE17A3">
        <w:rPr>
          <w:b/>
          <w:szCs w:val="24"/>
        </w:rPr>
        <w:t xml:space="preserve">řádné individuální účetní závěrky za </w:t>
      </w:r>
      <w:r>
        <w:rPr>
          <w:b/>
          <w:szCs w:val="24"/>
        </w:rPr>
        <w:t xml:space="preserve">individuální </w:t>
      </w:r>
      <w:r w:rsidRPr="00BE17A3">
        <w:rPr>
          <w:b/>
          <w:szCs w:val="24"/>
        </w:rPr>
        <w:t>účetní období</w:t>
      </w:r>
      <w:r w:rsidRPr="00BE17A3">
        <w:rPr>
          <w:szCs w:val="24"/>
        </w:rPr>
        <w:t xml:space="preserve">, v němž členství zaniklo. Vypořádací podíl člena, který z družstevní záložny vystoupil, protože nesouhlasil se změnou právní formy družstevní záložny, se určí z </w:t>
      </w:r>
      <w:r w:rsidRPr="00BE17A3">
        <w:rPr>
          <w:strike/>
          <w:szCs w:val="24"/>
        </w:rPr>
        <w:t>konečné, případně mezitímní účetní závěrky</w:t>
      </w:r>
      <w:r w:rsidRPr="00BE17A3">
        <w:rPr>
          <w:szCs w:val="24"/>
        </w:rPr>
        <w:t xml:space="preserve"> </w:t>
      </w:r>
      <w:r w:rsidRPr="00BE17A3">
        <w:rPr>
          <w:strike/>
          <w:szCs w:val="24"/>
        </w:rPr>
        <w:t>podle zákona upravujícího přeměny obchodních společností a družstev</w:t>
      </w:r>
      <w:r w:rsidRPr="00B119EB">
        <w:rPr>
          <w:b/>
          <w:szCs w:val="24"/>
        </w:rPr>
        <w:t xml:space="preserve"> </w:t>
      </w:r>
      <w:r w:rsidRPr="00BE17A3">
        <w:rPr>
          <w:b/>
          <w:szCs w:val="24"/>
        </w:rPr>
        <w:t xml:space="preserve">individuální účetní závěrky sestavené ke </w:t>
      </w:r>
      <w:r>
        <w:rPr>
          <w:b/>
          <w:szCs w:val="24"/>
        </w:rPr>
        <w:t>dni</w:t>
      </w:r>
      <w:r w:rsidRPr="00BE17A3">
        <w:rPr>
          <w:b/>
          <w:szCs w:val="24"/>
        </w:rPr>
        <w:t xml:space="preserve"> předcházející</w:t>
      </w:r>
      <w:r>
        <w:rPr>
          <w:b/>
          <w:szCs w:val="24"/>
        </w:rPr>
        <w:t>mu</w:t>
      </w:r>
      <w:r w:rsidRPr="00BE17A3">
        <w:rPr>
          <w:b/>
          <w:szCs w:val="24"/>
        </w:rPr>
        <w:t xml:space="preserve"> </w:t>
      </w:r>
      <w:r>
        <w:rPr>
          <w:b/>
          <w:szCs w:val="24"/>
        </w:rPr>
        <w:t>den</w:t>
      </w:r>
      <w:r w:rsidRPr="00BE17A3">
        <w:rPr>
          <w:b/>
          <w:szCs w:val="24"/>
        </w:rPr>
        <w:t xml:space="preserve"> zápisu změny právní formy</w:t>
      </w:r>
      <w:r w:rsidRPr="00BE17A3">
        <w:rPr>
          <w:szCs w:val="24"/>
        </w:rPr>
        <w:t>.</w:t>
      </w:r>
    </w:p>
    <w:p w14:paraId="2408D676" w14:textId="77777777" w:rsidR="00A64E48" w:rsidRPr="00F34748" w:rsidRDefault="00A64E48" w:rsidP="00CE2C91">
      <w:pPr>
        <w:pStyle w:val="PZTextodstavce"/>
        <w:rPr>
          <w:szCs w:val="24"/>
        </w:rPr>
      </w:pPr>
      <w:r w:rsidRPr="00BE17A3">
        <w:rPr>
          <w:szCs w:val="24"/>
        </w:rPr>
        <w:t>(2)</w:t>
      </w:r>
      <w:r>
        <w:rPr>
          <w:szCs w:val="24"/>
        </w:rPr>
        <w:tab/>
      </w:r>
      <w:r w:rsidRPr="00BE17A3">
        <w:rPr>
          <w:szCs w:val="24"/>
        </w:rPr>
        <w:t xml:space="preserve">Vypořádací podíl je splatný do 3 měsíců ode dne schválení </w:t>
      </w:r>
      <w:r w:rsidRPr="00BE17A3">
        <w:rPr>
          <w:b/>
          <w:szCs w:val="24"/>
        </w:rPr>
        <w:t>řádné individuální</w:t>
      </w:r>
      <w:r w:rsidRPr="00BE17A3">
        <w:rPr>
          <w:szCs w:val="24"/>
        </w:rPr>
        <w:t xml:space="preserve"> účetní</w:t>
      </w:r>
      <w:r w:rsidRPr="00F34748">
        <w:rPr>
          <w:szCs w:val="24"/>
        </w:rPr>
        <w:t xml:space="preserve"> závěrky za účetní období, v němž členství zaniklo. Družstevní záložna odloží výplatu </w:t>
      </w:r>
      <w:r w:rsidRPr="00F34748">
        <w:rPr>
          <w:szCs w:val="24"/>
        </w:rPr>
        <w:lastRenderedPageBreak/>
        <w:t>vypořádacího podílu, anebo jeho části, pokud by výplata mohla ohrozit plnění požadavků podle přímo použitelného předpisu Evropské unie upravujícího obezřetnostní požadavky</w:t>
      </w:r>
      <w:r w:rsidRPr="00D84CDA">
        <w:rPr>
          <w:szCs w:val="24"/>
          <w:vertAlign w:val="superscript"/>
        </w:rPr>
        <w:t>38)</w:t>
      </w:r>
      <w:r w:rsidRPr="00F34748">
        <w:rPr>
          <w:szCs w:val="24"/>
        </w:rPr>
        <w:t>, zejména s přihlédnutím ke skutečnostem podle čl. 10 odst. 3 nařízení Komise v přenesené pravomoci (EU) č. 241/2014, a to na dobu, než pominou důvody, p</w:t>
      </w:r>
      <w:r>
        <w:rPr>
          <w:szCs w:val="24"/>
        </w:rPr>
        <w:t>ro které byla výplata odložena.</w:t>
      </w:r>
    </w:p>
    <w:p w14:paraId="021825D1" w14:textId="77777777" w:rsidR="00A64E48" w:rsidRDefault="00A64E48" w:rsidP="00CE2C91">
      <w:pPr>
        <w:pStyle w:val="PZTextodstavce"/>
        <w:rPr>
          <w:strike/>
          <w:szCs w:val="24"/>
        </w:rPr>
      </w:pPr>
      <w:r w:rsidRPr="00144700">
        <w:rPr>
          <w:strike/>
          <w:szCs w:val="24"/>
        </w:rPr>
        <w:t>(3) Účetní závěrka družstevní záložny musí být předložena členské schůzi ke schválení do 6 měsíců od posledního dne účetního období.</w:t>
      </w:r>
    </w:p>
    <w:p w14:paraId="736F7832" w14:textId="77777777" w:rsidR="00A64E48" w:rsidRPr="00BE17A3" w:rsidRDefault="00A64E48" w:rsidP="00A64E48">
      <w:pPr>
        <w:pStyle w:val="Paragraf"/>
        <w:numPr>
          <w:ilvl w:val="0"/>
          <w:numId w:val="27"/>
        </w:numPr>
        <w:spacing w:after="120"/>
      </w:pPr>
      <w:r w:rsidRPr="00BE17A3">
        <w:t>§ 5a</w:t>
      </w:r>
    </w:p>
    <w:p w14:paraId="16631BFE" w14:textId="77777777" w:rsidR="00A64E48" w:rsidRPr="0050226B" w:rsidRDefault="00A64E48" w:rsidP="00CE2C91">
      <w:pPr>
        <w:pStyle w:val="PZTextodstavce"/>
        <w:rPr>
          <w:szCs w:val="24"/>
        </w:rPr>
      </w:pPr>
      <w:r w:rsidRPr="0050226B">
        <w:rPr>
          <w:szCs w:val="24"/>
        </w:rPr>
        <w:t>(1)</w:t>
      </w:r>
      <w:r>
        <w:rPr>
          <w:szCs w:val="24"/>
        </w:rPr>
        <w:tab/>
      </w:r>
      <w:r w:rsidRPr="0050226B">
        <w:rPr>
          <w:szCs w:val="24"/>
        </w:rPr>
        <w:t>K přijetí usnesení členské schůze je třeba, v případě hlasování o fúzi nebo rozdělení družstevní záložny, souhlasu alespoň dvou třetin hlasů přítomných členů.</w:t>
      </w:r>
    </w:p>
    <w:p w14:paraId="73359332" w14:textId="77777777" w:rsidR="00A64E48" w:rsidRPr="0050226B" w:rsidRDefault="00A64E48" w:rsidP="00CE2C91">
      <w:pPr>
        <w:pStyle w:val="PZTextodstavce"/>
        <w:rPr>
          <w:szCs w:val="24"/>
        </w:rPr>
      </w:pPr>
      <w:r w:rsidRPr="0050226B">
        <w:rPr>
          <w:szCs w:val="24"/>
        </w:rPr>
        <w:t>(2)</w:t>
      </w:r>
      <w:r>
        <w:rPr>
          <w:szCs w:val="24"/>
        </w:rPr>
        <w:tab/>
      </w:r>
      <w:r w:rsidRPr="0050226B">
        <w:rPr>
          <w:szCs w:val="24"/>
        </w:rPr>
        <w:t>Náhradní členská schůze může být svolána stejnou pozvánkou jako původní členská schůze. Pozvánka musí obsahovat upozornění, že náhradní členská schůze je schopna se usnášet za jakéhokoli počtu přítomných členů. Takto svolaná náhradní členská schůze může být zahájena nejdříve po uplynutí 30 minut od plánovaného zahájení původní členské schůze uvedené v pozvánce. Podrobnosti upravují stanovy.</w:t>
      </w:r>
    </w:p>
    <w:p w14:paraId="695CE0A5" w14:textId="77777777" w:rsidR="00A64E48" w:rsidRPr="0050226B" w:rsidRDefault="00A64E48" w:rsidP="00CE2C91">
      <w:pPr>
        <w:pStyle w:val="PZTextodstavce"/>
        <w:rPr>
          <w:szCs w:val="24"/>
        </w:rPr>
      </w:pPr>
      <w:r w:rsidRPr="0050226B">
        <w:rPr>
          <w:szCs w:val="24"/>
        </w:rPr>
        <w:t>(3)</w:t>
      </w:r>
      <w:r>
        <w:rPr>
          <w:szCs w:val="24"/>
        </w:rPr>
        <w:tab/>
      </w:r>
      <w:r w:rsidRPr="0050226B">
        <w:rPr>
          <w:szCs w:val="24"/>
        </w:rPr>
        <w:t>Rozhodnutí členské schůze o snížení výše základního členského vkladu bez předchozího souhlasu České národní banky, která posoudí snížení výše základního členského vkladu ve vztahu k povinnosti družstevní záložny dodržovat pravidla určená podle § 11 a části čtvrté a šesté nařízení Evropského parlamentu a Rady (EU) č. 575/2013 s ohledem na bezpečnost a stabilitu družstevní záložny, je neplatné. Rozhodnutí členské schůze o zrušení, o fúzi a o rozdělení družstevní záložny bez předchozího souhlasu České národní banky je neplatné. Podrobnosti náležitostí žádostí o udělení souhlasu podle tohoto odstavce, jejich formát a další technické náležitosti stanoví Česká národní banka vyhláškou.</w:t>
      </w:r>
    </w:p>
    <w:p w14:paraId="2B2300F8" w14:textId="77777777" w:rsidR="00A64E48" w:rsidRPr="0050226B" w:rsidRDefault="00A64E48" w:rsidP="00CE2C91">
      <w:pPr>
        <w:pStyle w:val="PZTextodstavce"/>
        <w:rPr>
          <w:szCs w:val="24"/>
        </w:rPr>
      </w:pPr>
      <w:r w:rsidRPr="0050226B">
        <w:rPr>
          <w:szCs w:val="24"/>
        </w:rPr>
        <w:t xml:space="preserve"> (4)</w:t>
      </w:r>
      <w:r>
        <w:rPr>
          <w:szCs w:val="24"/>
        </w:rPr>
        <w:tab/>
      </w:r>
      <w:r>
        <w:rPr>
          <w:szCs w:val="24"/>
        </w:rPr>
        <w:tab/>
      </w:r>
      <w:r w:rsidRPr="0050226B">
        <w:rPr>
          <w:szCs w:val="24"/>
        </w:rPr>
        <w:t>Insolvenční správce svolá na základě žádosti České národní banky do 30 dnů od jejího doručení členskou schůzi výhradně za účelem schválení řádné</w:t>
      </w:r>
      <w:r>
        <w:rPr>
          <w:szCs w:val="24"/>
        </w:rPr>
        <w:t xml:space="preserve"> </w:t>
      </w:r>
      <w:r w:rsidRPr="00BE17A3">
        <w:rPr>
          <w:b/>
          <w:szCs w:val="24"/>
        </w:rPr>
        <w:t>individuální</w:t>
      </w:r>
      <w:r w:rsidRPr="0050226B">
        <w:rPr>
          <w:szCs w:val="24"/>
        </w:rPr>
        <w:t xml:space="preserve"> účetní závěrky. Pro svolání členské schůze insolvenčním správcem platí přiměřeně ustanovení stanov, zvláštního zákona a § 5a odst. 2. Náklady spojené se svoláním a konáním členské schůze jsou náklady spojené s udržováním a správou podstaty podle zvláštního zákona.</w:t>
      </w:r>
      <w:r>
        <w:rPr>
          <w:rStyle w:val="Znakapoznpodarou"/>
          <w:szCs w:val="24"/>
        </w:rPr>
        <w:footnoteReference w:customMarkFollows="1" w:id="222"/>
        <w:t>5a)</w:t>
      </w:r>
    </w:p>
    <w:p w14:paraId="78E8FA90" w14:textId="77777777" w:rsidR="00A64E48" w:rsidRDefault="00A64E48" w:rsidP="00A64E48">
      <w:pPr>
        <w:pStyle w:val="Paragraf"/>
        <w:numPr>
          <w:ilvl w:val="0"/>
          <w:numId w:val="27"/>
        </w:numPr>
        <w:spacing w:after="120"/>
      </w:pPr>
      <w:r w:rsidRPr="009063B5">
        <w:t>§ 6</w:t>
      </w:r>
    </w:p>
    <w:p w14:paraId="1CE169AA" w14:textId="77777777" w:rsidR="00A64E48" w:rsidRPr="009063B5" w:rsidRDefault="00A64E48" w:rsidP="00CE2C91">
      <w:pPr>
        <w:pStyle w:val="PZTextodstavce"/>
        <w:rPr>
          <w:szCs w:val="24"/>
        </w:rPr>
      </w:pPr>
      <w:r>
        <w:rPr>
          <w:szCs w:val="24"/>
        </w:rPr>
        <w:t>(1)</w:t>
      </w:r>
      <w:r>
        <w:rPr>
          <w:szCs w:val="24"/>
        </w:rPr>
        <w:tab/>
      </w:r>
      <w:r w:rsidRPr="009063B5">
        <w:rPr>
          <w:szCs w:val="24"/>
        </w:rPr>
        <w:t>Kromě orgánů ustavovaných podle zákona upravujícího právní poměry obchodních společností a družstev ustavuje družstevní záložna úvěrovou komisi, která má nejméně tři členy. Člen úvěrové komise nesmí být členem představenstva, členem kontrolní komise družstevní záložny ani osobou pověře</w:t>
      </w:r>
      <w:r>
        <w:rPr>
          <w:szCs w:val="24"/>
        </w:rPr>
        <w:t>nou výkonem vnitřního auditu.</w:t>
      </w:r>
    </w:p>
    <w:p w14:paraId="0E9F6246" w14:textId="77777777" w:rsidR="00A64E48" w:rsidRPr="009063B5" w:rsidRDefault="00A64E48" w:rsidP="00CE2C91">
      <w:pPr>
        <w:pStyle w:val="PZTextodstavce"/>
        <w:rPr>
          <w:szCs w:val="24"/>
        </w:rPr>
      </w:pPr>
      <w:r w:rsidRPr="009063B5">
        <w:rPr>
          <w:szCs w:val="24"/>
        </w:rPr>
        <w:t>(2)</w:t>
      </w:r>
      <w:r>
        <w:rPr>
          <w:szCs w:val="24"/>
        </w:rPr>
        <w:tab/>
      </w:r>
      <w:r w:rsidRPr="009063B5">
        <w:rPr>
          <w:szCs w:val="24"/>
        </w:rPr>
        <w:t xml:space="preserve">Úvěrovou komisi volí členská schůze družstevní záložny </w:t>
      </w:r>
      <w:r>
        <w:rPr>
          <w:szCs w:val="24"/>
        </w:rPr>
        <w:t>z řad členů družstevní záložny.</w:t>
      </w:r>
    </w:p>
    <w:p w14:paraId="1389BDCC" w14:textId="77777777" w:rsidR="00A64E48" w:rsidRPr="009063B5" w:rsidRDefault="00A64E48" w:rsidP="00CE2C91">
      <w:pPr>
        <w:pStyle w:val="PZTextodstavce"/>
        <w:rPr>
          <w:szCs w:val="24"/>
        </w:rPr>
      </w:pPr>
      <w:r>
        <w:rPr>
          <w:szCs w:val="24"/>
        </w:rPr>
        <w:t>(3)</w:t>
      </w:r>
      <w:r>
        <w:rPr>
          <w:szCs w:val="24"/>
        </w:rPr>
        <w:tab/>
        <w:t>Úvěrová komise rozhoduje o</w:t>
      </w:r>
    </w:p>
    <w:p w14:paraId="2642EE96" w14:textId="77777777" w:rsidR="00A64E48" w:rsidRPr="009063B5" w:rsidRDefault="00A64E48" w:rsidP="00A55D8D">
      <w:pPr>
        <w:tabs>
          <w:tab w:val="left" w:pos="425"/>
          <w:tab w:val="left" w:pos="851"/>
        </w:tabs>
        <w:spacing w:before="0"/>
        <w:ind w:left="425" w:hanging="425"/>
        <w:rPr>
          <w:szCs w:val="24"/>
        </w:rPr>
      </w:pPr>
      <w:r w:rsidRPr="009063B5">
        <w:rPr>
          <w:szCs w:val="24"/>
        </w:rPr>
        <w:t xml:space="preserve">a) </w:t>
      </w:r>
      <w:r>
        <w:rPr>
          <w:szCs w:val="24"/>
        </w:rPr>
        <w:tab/>
      </w:r>
      <w:r w:rsidRPr="009063B5">
        <w:rPr>
          <w:szCs w:val="24"/>
        </w:rPr>
        <w:t>poskyto</w:t>
      </w:r>
      <w:r>
        <w:rPr>
          <w:szCs w:val="24"/>
        </w:rPr>
        <w:t>vání úvěrů členům podle stanov,</w:t>
      </w:r>
      <w:r w:rsidRPr="009063B5">
        <w:rPr>
          <w:szCs w:val="24"/>
        </w:rPr>
        <w:t xml:space="preserve"> </w:t>
      </w:r>
    </w:p>
    <w:p w14:paraId="70C7C229" w14:textId="77777777" w:rsidR="00A64E48" w:rsidRPr="009063B5" w:rsidRDefault="00A64E48" w:rsidP="00A55D8D">
      <w:pPr>
        <w:tabs>
          <w:tab w:val="left" w:pos="425"/>
          <w:tab w:val="left" w:pos="851"/>
        </w:tabs>
        <w:spacing w:before="0"/>
        <w:ind w:left="425" w:hanging="425"/>
        <w:rPr>
          <w:szCs w:val="24"/>
        </w:rPr>
      </w:pPr>
      <w:r w:rsidRPr="009063B5">
        <w:rPr>
          <w:szCs w:val="24"/>
        </w:rPr>
        <w:t xml:space="preserve">b) </w:t>
      </w:r>
      <w:r>
        <w:rPr>
          <w:szCs w:val="24"/>
        </w:rPr>
        <w:tab/>
      </w:r>
      <w:r w:rsidRPr="009063B5">
        <w:rPr>
          <w:szCs w:val="24"/>
        </w:rPr>
        <w:t>poskytování záruk ve formě ručení nebo finanční z</w:t>
      </w:r>
      <w:r>
        <w:rPr>
          <w:szCs w:val="24"/>
        </w:rPr>
        <w:t>áruky za členy,</w:t>
      </w:r>
      <w:r w:rsidRPr="009063B5">
        <w:rPr>
          <w:szCs w:val="24"/>
        </w:rPr>
        <w:t xml:space="preserve"> </w:t>
      </w:r>
    </w:p>
    <w:p w14:paraId="3A709EA6" w14:textId="77777777" w:rsidR="00A64E48" w:rsidRPr="009063B5" w:rsidRDefault="00A64E48" w:rsidP="00A55D8D">
      <w:pPr>
        <w:tabs>
          <w:tab w:val="left" w:pos="425"/>
          <w:tab w:val="left" w:pos="851"/>
        </w:tabs>
        <w:spacing w:before="0"/>
        <w:ind w:left="425" w:hanging="425"/>
        <w:rPr>
          <w:szCs w:val="24"/>
        </w:rPr>
      </w:pPr>
      <w:r>
        <w:rPr>
          <w:szCs w:val="24"/>
        </w:rPr>
        <w:t xml:space="preserve">c) </w:t>
      </w:r>
      <w:r>
        <w:rPr>
          <w:szCs w:val="24"/>
        </w:rPr>
        <w:tab/>
        <w:t>zajištění úvěrů.</w:t>
      </w:r>
    </w:p>
    <w:p w14:paraId="0D83149C" w14:textId="77777777" w:rsidR="00A64E48" w:rsidRPr="009063B5" w:rsidRDefault="00A64E48" w:rsidP="00CE2C91">
      <w:pPr>
        <w:pStyle w:val="PZTextodstavce"/>
        <w:rPr>
          <w:szCs w:val="24"/>
        </w:rPr>
      </w:pPr>
      <w:r w:rsidRPr="009063B5">
        <w:rPr>
          <w:szCs w:val="24"/>
        </w:rPr>
        <w:lastRenderedPageBreak/>
        <w:t>(4) Určí-li tak stanovy, je úvěrová komise oprávněna převést část výkonu svých pravomocí na jiné osoby, a to způsobem uvedeným ve stanovách. Tím není dotčena odpovědnost členů úvě</w:t>
      </w:r>
      <w:r>
        <w:rPr>
          <w:szCs w:val="24"/>
        </w:rPr>
        <w:t>rové komise podle § 6a odst. 2.</w:t>
      </w:r>
      <w:r w:rsidRPr="009063B5">
        <w:rPr>
          <w:szCs w:val="24"/>
        </w:rPr>
        <w:t xml:space="preserve"> </w:t>
      </w:r>
    </w:p>
    <w:p w14:paraId="78BA5107" w14:textId="77777777" w:rsidR="00A64E48" w:rsidRDefault="00A64E48" w:rsidP="00CE2C91">
      <w:pPr>
        <w:pStyle w:val="PZTextodstavce"/>
        <w:rPr>
          <w:szCs w:val="24"/>
        </w:rPr>
      </w:pPr>
      <w:r w:rsidRPr="009063B5">
        <w:rPr>
          <w:szCs w:val="24"/>
        </w:rPr>
        <w:t>(5) Představenstvo rozhoduje kromě věcí podle tohoto zákona a zákona upravujícího právní poměry obchodních společností a družstev, popřípadě podle stanov</w:t>
      </w:r>
    </w:p>
    <w:p w14:paraId="1EC367C4" w14:textId="77777777" w:rsidR="00A64E48" w:rsidRPr="009063B5" w:rsidRDefault="00A64E48" w:rsidP="00A55D8D">
      <w:pPr>
        <w:tabs>
          <w:tab w:val="left" w:pos="425"/>
          <w:tab w:val="left" w:pos="851"/>
        </w:tabs>
        <w:spacing w:before="0"/>
        <w:ind w:left="425" w:hanging="425"/>
        <w:rPr>
          <w:szCs w:val="24"/>
        </w:rPr>
      </w:pPr>
      <w:r w:rsidRPr="009063B5">
        <w:rPr>
          <w:szCs w:val="24"/>
        </w:rPr>
        <w:t xml:space="preserve">a) </w:t>
      </w:r>
      <w:r>
        <w:rPr>
          <w:szCs w:val="24"/>
        </w:rPr>
        <w:tab/>
      </w:r>
      <w:r w:rsidRPr="009063B5">
        <w:rPr>
          <w:szCs w:val="24"/>
        </w:rPr>
        <w:t>na návrh úvěrové komise o úročení vkladů a úvěrů, o poskytnutí úvěru jiné družstevní záložně nebo bance a o přijetí úvěru od jiné družstevní záložny nebo banky a o přijetí vkladu od jiné družstevní záložny nebo banky,</w:t>
      </w:r>
    </w:p>
    <w:p w14:paraId="4970852C" w14:textId="77777777" w:rsidR="00A64E48" w:rsidRPr="009063B5" w:rsidRDefault="00A64E48" w:rsidP="00A55D8D">
      <w:pPr>
        <w:tabs>
          <w:tab w:val="left" w:pos="425"/>
          <w:tab w:val="left" w:pos="851"/>
        </w:tabs>
        <w:spacing w:before="0"/>
        <w:ind w:left="425" w:hanging="425"/>
        <w:rPr>
          <w:szCs w:val="24"/>
        </w:rPr>
      </w:pPr>
      <w:r w:rsidRPr="009063B5">
        <w:rPr>
          <w:szCs w:val="24"/>
        </w:rPr>
        <w:t xml:space="preserve">b) </w:t>
      </w:r>
      <w:r>
        <w:rPr>
          <w:szCs w:val="24"/>
        </w:rPr>
        <w:tab/>
      </w:r>
      <w:r w:rsidRPr="009063B5">
        <w:rPr>
          <w:szCs w:val="24"/>
        </w:rPr>
        <w:t>o obchodování na vlastní účet s devizami a nástroji směnných kurzů a úrokových sazeb za účelem zajištění rizik vyplývajících z činností podle § 3 odst. 1,</w:t>
      </w:r>
    </w:p>
    <w:p w14:paraId="7CB1C0F2" w14:textId="77777777" w:rsidR="00A64E48" w:rsidRPr="009063B5" w:rsidRDefault="00A64E48" w:rsidP="00A55D8D">
      <w:pPr>
        <w:tabs>
          <w:tab w:val="left" w:pos="425"/>
          <w:tab w:val="left" w:pos="851"/>
        </w:tabs>
        <w:spacing w:before="0"/>
        <w:ind w:left="425" w:hanging="425"/>
        <w:rPr>
          <w:szCs w:val="24"/>
        </w:rPr>
      </w:pPr>
      <w:r w:rsidRPr="009063B5">
        <w:rPr>
          <w:szCs w:val="24"/>
        </w:rPr>
        <w:t xml:space="preserve">c) </w:t>
      </w:r>
      <w:r>
        <w:rPr>
          <w:szCs w:val="24"/>
        </w:rPr>
        <w:tab/>
      </w:r>
      <w:r w:rsidRPr="009063B5">
        <w:rPr>
          <w:szCs w:val="24"/>
        </w:rPr>
        <w:t>o obchodování na vlastní účet s registrovanými cennými papíry,</w:t>
      </w:r>
    </w:p>
    <w:p w14:paraId="4A440D8F" w14:textId="77777777" w:rsidR="00A64E48" w:rsidRPr="009063B5" w:rsidRDefault="00A64E48" w:rsidP="00A55D8D">
      <w:pPr>
        <w:tabs>
          <w:tab w:val="left" w:pos="425"/>
          <w:tab w:val="left" w:pos="851"/>
        </w:tabs>
        <w:spacing w:before="0"/>
        <w:ind w:left="425" w:hanging="425"/>
        <w:rPr>
          <w:szCs w:val="24"/>
        </w:rPr>
      </w:pPr>
      <w:r w:rsidRPr="009063B5">
        <w:rPr>
          <w:szCs w:val="24"/>
        </w:rPr>
        <w:t xml:space="preserve">d) </w:t>
      </w:r>
      <w:r>
        <w:rPr>
          <w:szCs w:val="24"/>
        </w:rPr>
        <w:tab/>
      </w:r>
      <w:r w:rsidRPr="009063B5">
        <w:rPr>
          <w:szCs w:val="24"/>
        </w:rPr>
        <w:t>o poplatcích za činnosti a služby poskytované členům.</w:t>
      </w:r>
    </w:p>
    <w:p w14:paraId="2FC8F45A" w14:textId="77777777" w:rsidR="00A64E48" w:rsidRPr="00FE6845" w:rsidRDefault="00A64E48" w:rsidP="00CE2C91">
      <w:pPr>
        <w:pStyle w:val="PZTextodstavce"/>
        <w:rPr>
          <w:strike/>
          <w:szCs w:val="24"/>
        </w:rPr>
      </w:pPr>
      <w:r w:rsidRPr="00FE6845">
        <w:rPr>
          <w:strike/>
          <w:szCs w:val="24"/>
        </w:rPr>
        <w:t>(6) Představenstvo vypracuje výroční zprávu a předkládá ji spolu s řádnou účetní závěrkou ke schválení členské schůzi. Tuto členskou schůzi je povinno svolat tak, aby se konala do 6 měsíců po ukončení účetního období, za které je výroční zpráva vypracována. Schválenou výroční zprávu zašle představenstvo České národní bance do 10 dnů od jejího schválení. Návrh výroční zprávy musí být poskytnut</w:t>
      </w:r>
      <w:r w:rsidRPr="00FE6845">
        <w:rPr>
          <w:strike/>
          <w:color w:val="FF0000"/>
          <w:szCs w:val="24"/>
        </w:rPr>
        <w:t xml:space="preserve"> </w:t>
      </w:r>
      <w:r w:rsidRPr="00FE6845">
        <w:rPr>
          <w:strike/>
          <w:szCs w:val="24"/>
        </w:rPr>
        <w:t>členům nejméně 30 dnů před dnem konání členské schůze způsobem podle stanov.</w:t>
      </w:r>
    </w:p>
    <w:p w14:paraId="4B52EC86" w14:textId="77777777" w:rsidR="00A64E48" w:rsidRPr="00FE6845" w:rsidRDefault="00A64E48" w:rsidP="00CE2C91">
      <w:pPr>
        <w:pStyle w:val="PZTextodstavce"/>
        <w:rPr>
          <w:b/>
          <w:szCs w:val="24"/>
        </w:rPr>
      </w:pPr>
      <w:r w:rsidRPr="00FE6845">
        <w:rPr>
          <w:b/>
          <w:szCs w:val="24"/>
        </w:rPr>
        <w:t>(6) Představenstvo vypracuje individu</w:t>
      </w:r>
      <w:r>
        <w:rPr>
          <w:b/>
          <w:szCs w:val="24"/>
        </w:rPr>
        <w:t>ální zprávu vedení a předloží ji</w:t>
      </w:r>
      <w:r w:rsidRPr="00FE6845">
        <w:rPr>
          <w:b/>
          <w:szCs w:val="24"/>
        </w:rPr>
        <w:t xml:space="preserve"> společně </w:t>
      </w:r>
      <w:r>
        <w:rPr>
          <w:b/>
          <w:szCs w:val="24"/>
        </w:rPr>
        <w:t xml:space="preserve">s </w:t>
      </w:r>
      <w:r w:rsidRPr="00FE6845">
        <w:rPr>
          <w:b/>
          <w:szCs w:val="24"/>
        </w:rPr>
        <w:t>řá</w:t>
      </w:r>
      <w:r>
        <w:rPr>
          <w:b/>
          <w:szCs w:val="24"/>
        </w:rPr>
        <w:t>dnou individuální účetní závěrkou</w:t>
      </w:r>
      <w:r w:rsidRPr="00FE6845">
        <w:rPr>
          <w:b/>
          <w:szCs w:val="24"/>
        </w:rPr>
        <w:t xml:space="preserve"> ke schválení členské schůzi. Tuto členskou schůzi je povinno svolat </w:t>
      </w:r>
      <w:r w:rsidRPr="000F0E6F">
        <w:rPr>
          <w:b/>
          <w:szCs w:val="24"/>
        </w:rPr>
        <w:t>tak, aby se konala do 6 měsíců od konce individuálního účetního období, za které je řádná individuální účetní závěrka sestavena a individuální zpráva vedení</w:t>
      </w:r>
      <w:r w:rsidRPr="00FE6845">
        <w:rPr>
          <w:b/>
          <w:szCs w:val="24"/>
        </w:rPr>
        <w:t>. Tyto dokumenty musí být poskytnuty členům nejméně 30 dnů před</w:t>
      </w:r>
      <w:r>
        <w:rPr>
          <w:b/>
          <w:szCs w:val="24"/>
        </w:rPr>
        <w:t>e</w:t>
      </w:r>
      <w:r w:rsidRPr="00FE6845">
        <w:rPr>
          <w:b/>
          <w:szCs w:val="24"/>
        </w:rPr>
        <w:t xml:space="preserve"> dnem konání členské schůze způsobem podle stanov.</w:t>
      </w:r>
    </w:p>
    <w:p w14:paraId="4748A3A0" w14:textId="77777777" w:rsidR="00A64E48" w:rsidRPr="00CE2C91" w:rsidRDefault="00A64E48" w:rsidP="00CE2C91">
      <w:pPr>
        <w:pStyle w:val="PZTextodstavce"/>
        <w:rPr>
          <w:szCs w:val="24"/>
        </w:rPr>
      </w:pPr>
      <w:r w:rsidRPr="00CE2C91">
        <w:rPr>
          <w:szCs w:val="24"/>
        </w:rPr>
        <w:t xml:space="preserve"> (7) Každý orgán družstevní záložny jedná podle jednacího řádu, který schvaluje členská schůze.</w:t>
      </w:r>
    </w:p>
    <w:p w14:paraId="48BA0DE3" w14:textId="11BD5778" w:rsidR="00A64E48" w:rsidRPr="00CE2C91" w:rsidRDefault="00A55D8D" w:rsidP="00CE2C91">
      <w:pPr>
        <w:pStyle w:val="PZTextodstavce"/>
        <w:rPr>
          <w:szCs w:val="24"/>
        </w:rPr>
      </w:pPr>
      <w:r w:rsidRPr="00CE2C91">
        <w:rPr>
          <w:szCs w:val="24"/>
        </w:rPr>
        <w:t xml:space="preserve">(8) </w:t>
      </w:r>
      <w:r w:rsidR="00A64E48" w:rsidRPr="00CE2C91">
        <w:rPr>
          <w:szCs w:val="24"/>
        </w:rPr>
        <w:t xml:space="preserve">Při hlasování ve volených orgánech družstevní záložny má každý člen jeden hlas. </w:t>
      </w:r>
    </w:p>
    <w:p w14:paraId="24B3925C" w14:textId="3E6702ED" w:rsidR="00A64E48" w:rsidRPr="00CE2C91" w:rsidRDefault="00A55D8D" w:rsidP="00CE2C91">
      <w:pPr>
        <w:pStyle w:val="PZTextodstavce"/>
        <w:rPr>
          <w:szCs w:val="24"/>
        </w:rPr>
      </w:pPr>
      <w:r w:rsidRPr="00CE2C91">
        <w:rPr>
          <w:szCs w:val="24"/>
        </w:rPr>
        <w:t xml:space="preserve">(9) </w:t>
      </w:r>
      <w:r w:rsidR="00A64E48" w:rsidRPr="00CE2C91">
        <w:rPr>
          <w:szCs w:val="24"/>
        </w:rPr>
        <w:t xml:space="preserve">Oprávnění kontrolní komise družstva ve vztahu k představenstvu družstva podle zákona upravujícího právní poměry obchodních společností a družstev může kontrolní komise družstevní záložny uplatnit rovněž vůči úvěrové komisi. </w:t>
      </w:r>
    </w:p>
    <w:p w14:paraId="1802A58C" w14:textId="70F23585" w:rsidR="00A64E48" w:rsidRPr="00CE2C91" w:rsidRDefault="00A64E48" w:rsidP="00CE2C91">
      <w:pPr>
        <w:pStyle w:val="PZTextodstavce"/>
        <w:rPr>
          <w:szCs w:val="24"/>
        </w:rPr>
      </w:pPr>
      <w:r w:rsidRPr="00CE2C91">
        <w:rPr>
          <w:szCs w:val="24"/>
        </w:rPr>
        <w:t>(10</w:t>
      </w:r>
      <w:r w:rsidR="00A55D8D" w:rsidRPr="00CE2C91">
        <w:rPr>
          <w:szCs w:val="24"/>
        </w:rPr>
        <w:t xml:space="preserve">) </w:t>
      </w:r>
      <w:r w:rsidRPr="00CE2C91">
        <w:rPr>
          <w:szCs w:val="24"/>
        </w:rPr>
        <w:t xml:space="preserve">Členové volených orgánů družstevní záložny jsou povinni neprodleně a úplně informovat Českou národní banku o všech skutečnostech, které by mohly mít za následek ohrožení hospodaření družstevní záložny nebo uplatnění postupu podle § 28, a o ztrátě odborné způsobilosti nebo důvěryhodnosti členů volených orgánů družstevní záložny. Členové volených orgánů družstevní záložny jsou povinni vykonávat svoji činnost s odbornou péčí. Jsou povinni vykonávat své funkce tak, aby neohrozili návratnost vkladů členů družstevní záložny a její bezpečnost a stabilitu ve vztahu k hospodaření. </w:t>
      </w:r>
    </w:p>
    <w:p w14:paraId="3895A255" w14:textId="7D2E38FB" w:rsidR="00A64E48" w:rsidRDefault="00A55D8D" w:rsidP="00CE2C91">
      <w:pPr>
        <w:pStyle w:val="PZTextodstavce"/>
        <w:rPr>
          <w:szCs w:val="24"/>
        </w:rPr>
      </w:pPr>
      <w:r>
        <w:rPr>
          <w:szCs w:val="24"/>
        </w:rPr>
        <w:t xml:space="preserve">(11) </w:t>
      </w:r>
      <w:r w:rsidR="00A64E48" w:rsidRPr="009063B5">
        <w:rPr>
          <w:szCs w:val="24"/>
        </w:rPr>
        <w:t>Členové volených orgánů družstevní záložny, kteří porušili své povinnosti z titulu člena voleného orgánu družstevní záložny vyplývající pro ně z právních předpisů nebo stanov, odpovídají společně a nerozdílně za škodu, která vznikne věřitelům družstevní záložny tím, že v důsledku tohoto porušení povinností těmito členy volených orgánů není družstevní záložna schopna plnit své splatné dluhy.</w:t>
      </w:r>
    </w:p>
    <w:p w14:paraId="5F8172BD" w14:textId="77777777" w:rsidR="00A64E48" w:rsidRDefault="00A64E48" w:rsidP="00A64E48">
      <w:pPr>
        <w:pStyle w:val="Paragraf"/>
        <w:numPr>
          <w:ilvl w:val="0"/>
          <w:numId w:val="27"/>
        </w:numPr>
        <w:spacing w:after="120"/>
      </w:pPr>
      <w:r>
        <w:lastRenderedPageBreak/>
        <w:t>***</w:t>
      </w:r>
    </w:p>
    <w:p w14:paraId="041BB107" w14:textId="77777777" w:rsidR="00A64E48" w:rsidRPr="00565E6F" w:rsidRDefault="00A64E48" w:rsidP="00A64E48">
      <w:pPr>
        <w:pStyle w:val="Paragraf"/>
        <w:numPr>
          <w:ilvl w:val="0"/>
          <w:numId w:val="27"/>
        </w:numPr>
        <w:spacing w:after="120"/>
      </w:pPr>
      <w:r w:rsidRPr="00565E6F">
        <w:t>§ 7</w:t>
      </w:r>
    </w:p>
    <w:p w14:paraId="35631064" w14:textId="77777777" w:rsidR="00A64E48" w:rsidRPr="0071128F" w:rsidRDefault="00A64E48" w:rsidP="00A64E48">
      <w:pPr>
        <w:pStyle w:val="Paragraf"/>
        <w:numPr>
          <w:ilvl w:val="0"/>
          <w:numId w:val="27"/>
        </w:numPr>
        <w:spacing w:after="120"/>
        <w:rPr>
          <w:b/>
        </w:rPr>
      </w:pPr>
      <w:r w:rsidRPr="0071128F">
        <w:rPr>
          <w:b/>
        </w:rPr>
        <w:t>Střet zájmů</w:t>
      </w:r>
    </w:p>
    <w:p w14:paraId="3478A4AB" w14:textId="77777777" w:rsidR="00A64E48" w:rsidRPr="002A75B6" w:rsidRDefault="00A64E48" w:rsidP="00CE2C91">
      <w:pPr>
        <w:pStyle w:val="PZTextodstavce"/>
        <w:rPr>
          <w:szCs w:val="24"/>
        </w:rPr>
      </w:pPr>
      <w:r w:rsidRPr="002A75B6">
        <w:rPr>
          <w:szCs w:val="24"/>
        </w:rPr>
        <w:t xml:space="preserve"> (1) Úvěry nebo záruky členům volených orgánů družstevní záložny, jejím členům, kteří mají pracovní poměr v družstevní záložně, a osobám jim blízkým podle občanského zákoníku lze poskytnout pouze za podmínek, za nichž jsou úvěry nebo záruky poskytovány ostatním členům družstevní záložny, přičemž</w:t>
      </w:r>
    </w:p>
    <w:p w14:paraId="135213E2" w14:textId="07A98B8E" w:rsidR="00A64E48" w:rsidRPr="002A75B6" w:rsidRDefault="00A64E48" w:rsidP="00A55D8D">
      <w:pPr>
        <w:tabs>
          <w:tab w:val="left" w:pos="425"/>
          <w:tab w:val="left" w:pos="851"/>
        </w:tabs>
        <w:spacing w:before="0"/>
        <w:ind w:left="426" w:hanging="426"/>
        <w:rPr>
          <w:szCs w:val="24"/>
        </w:rPr>
      </w:pPr>
      <w:r w:rsidRPr="002A75B6">
        <w:rPr>
          <w:szCs w:val="24"/>
        </w:rPr>
        <w:t xml:space="preserve">a) </w:t>
      </w:r>
      <w:r>
        <w:rPr>
          <w:szCs w:val="24"/>
        </w:rPr>
        <w:tab/>
      </w:r>
      <w:r w:rsidRPr="002A75B6">
        <w:rPr>
          <w:szCs w:val="24"/>
        </w:rPr>
        <w:t>členům kontrolní komise, členům, kteří mají pracovní poměr v družstevní záložně, a osobám jim blízkým lze úvěr nebo záruku poskytnout jen s předchozím souhlasem představenstva,</w:t>
      </w:r>
    </w:p>
    <w:p w14:paraId="4ED17DD2" w14:textId="66EDA367" w:rsidR="00A64E48" w:rsidRPr="002A75B6" w:rsidRDefault="00A64E48" w:rsidP="00A55D8D">
      <w:pPr>
        <w:tabs>
          <w:tab w:val="left" w:pos="425"/>
          <w:tab w:val="left" w:pos="851"/>
        </w:tabs>
        <w:spacing w:before="0"/>
        <w:ind w:left="425" w:hanging="425"/>
        <w:rPr>
          <w:szCs w:val="24"/>
        </w:rPr>
      </w:pPr>
      <w:r w:rsidRPr="002A75B6">
        <w:rPr>
          <w:szCs w:val="24"/>
        </w:rPr>
        <w:t xml:space="preserve">b) </w:t>
      </w:r>
      <w:r>
        <w:rPr>
          <w:szCs w:val="24"/>
        </w:rPr>
        <w:tab/>
      </w:r>
      <w:r w:rsidRPr="002A75B6">
        <w:rPr>
          <w:szCs w:val="24"/>
        </w:rPr>
        <w:t>členům představenstva, členům úvěrové komise a osobám jim blízkým lze úvěr nebo záruku poskytnout pouze s předchozím souhlasem kontrolní komise.</w:t>
      </w:r>
    </w:p>
    <w:p w14:paraId="55D4CE62" w14:textId="77777777" w:rsidR="00A64E48" w:rsidRPr="002A75B6" w:rsidRDefault="00A64E48" w:rsidP="00CE2C91">
      <w:pPr>
        <w:pStyle w:val="PZTextodstavce"/>
        <w:rPr>
          <w:szCs w:val="24"/>
        </w:rPr>
      </w:pPr>
      <w:r w:rsidRPr="002A75B6">
        <w:rPr>
          <w:szCs w:val="24"/>
        </w:rPr>
        <w:t>(2) Člen úvěrové komise a člen, jemuž byla podle stanov svěřena pravomoc rozhodovat o poskytnutí úvěru, nemohou být ručiteli za úvěr, o jehož poskytnutí rozhodovali.</w:t>
      </w:r>
    </w:p>
    <w:p w14:paraId="5FFE716C" w14:textId="77777777" w:rsidR="00A64E48" w:rsidRPr="002A75B6" w:rsidRDefault="00A64E48" w:rsidP="00CE2C91">
      <w:pPr>
        <w:pStyle w:val="PZTextodstavce"/>
        <w:rPr>
          <w:szCs w:val="24"/>
        </w:rPr>
      </w:pPr>
      <w:r w:rsidRPr="002A75B6">
        <w:rPr>
          <w:szCs w:val="24"/>
        </w:rPr>
        <w:t>(3) Z jednání a rozhodování voleného orgánu družstevní záložny je vždy vyloučen člen tohoto orgánu, o jehož zájmu se rozhoduje.</w:t>
      </w:r>
    </w:p>
    <w:p w14:paraId="3F5224AF" w14:textId="77777777" w:rsidR="00A64E48" w:rsidRPr="002A75B6" w:rsidRDefault="00A64E48" w:rsidP="00CE2C91">
      <w:pPr>
        <w:pStyle w:val="PZTextodstavce"/>
        <w:rPr>
          <w:szCs w:val="24"/>
        </w:rPr>
      </w:pPr>
      <w:r w:rsidRPr="002A75B6">
        <w:rPr>
          <w:szCs w:val="24"/>
        </w:rPr>
        <w:t xml:space="preserve">(4) </w:t>
      </w:r>
      <w:r w:rsidRPr="0071128F">
        <w:rPr>
          <w:strike/>
          <w:szCs w:val="24"/>
        </w:rPr>
        <w:t>Ve výroční zprávě</w:t>
      </w:r>
      <w:r w:rsidRPr="00F47E34">
        <w:rPr>
          <w:szCs w:val="24"/>
        </w:rPr>
        <w:t xml:space="preserve"> </w:t>
      </w:r>
      <w:r w:rsidRPr="0071128F">
        <w:rPr>
          <w:b/>
          <w:szCs w:val="24"/>
        </w:rPr>
        <w:t>V</w:t>
      </w:r>
      <w:r w:rsidRPr="00F13DB3">
        <w:rPr>
          <w:b/>
          <w:szCs w:val="24"/>
        </w:rPr>
        <w:t xml:space="preserve"> individuální</w:t>
      </w:r>
      <w:r w:rsidRPr="00F13DB3">
        <w:rPr>
          <w:szCs w:val="24"/>
        </w:rPr>
        <w:t xml:space="preserve"> </w:t>
      </w:r>
      <w:r>
        <w:rPr>
          <w:b/>
          <w:szCs w:val="24"/>
        </w:rPr>
        <w:t xml:space="preserve">zprávě </w:t>
      </w:r>
      <w:r w:rsidRPr="00F47E34">
        <w:rPr>
          <w:b/>
          <w:szCs w:val="24"/>
        </w:rPr>
        <w:t>vedení družstevní záložny</w:t>
      </w:r>
      <w:r w:rsidRPr="00F47E34">
        <w:rPr>
          <w:szCs w:val="24"/>
        </w:rPr>
        <w:t xml:space="preserve"> musí být vždy uvedeny údaje o poskytnutí úvěrů nebo záruk osobám uvedeným v odstavci 1.</w:t>
      </w:r>
    </w:p>
    <w:p w14:paraId="4D562F5B" w14:textId="77777777" w:rsidR="00A64E48" w:rsidRPr="002A75B6" w:rsidRDefault="00A64E48" w:rsidP="00CE2C91">
      <w:pPr>
        <w:pStyle w:val="PZTextodstavce"/>
        <w:rPr>
          <w:szCs w:val="24"/>
        </w:rPr>
      </w:pPr>
      <w:r w:rsidRPr="002A75B6">
        <w:rPr>
          <w:szCs w:val="24"/>
        </w:rPr>
        <w:t>(5) Ustanovení zákona upravujícího právní poměry obchodních společností a družstev o zákazu konkurence nejsou tímto zákonem dotčena a platí také pro členy úvěrové komise. Výkon funkce člena voleného orgánu družstevní záložny je neslučitelný s výkonem funkce člena voleného orgánu jiné družstevní záložny a s pracovním nebo obdobným poměrem v jiné družstevní záložně. Člen představenstva družstevní záložny nesmí být současně členem statutárního orgánu, správní rady nebo členem dozorčího orgánu jiné právnické osoby, která je podnikatelem. To neplatí pro členství člena představenstva družstevní záložny ve statutárním orgánu, správní radě nebo dozorčím orgánu finanční instituce, obchodníka s cennými papíry, pojišťovny, zajišťovny nebo úvěrové instituce jiné než družstevní záložna, které družstevní záložnu ovládají, a dále právnické osoby oprávněné organizovat poptávku a nabídku cenných papírů a podniku pomocných služeb.</w:t>
      </w:r>
    </w:p>
    <w:p w14:paraId="7E639178" w14:textId="7F937B10" w:rsidR="00A64E48" w:rsidRPr="002A75B6" w:rsidRDefault="00A55D8D" w:rsidP="00CE2C91">
      <w:pPr>
        <w:pStyle w:val="PZTextodstavce"/>
        <w:rPr>
          <w:szCs w:val="24"/>
        </w:rPr>
      </w:pPr>
      <w:r>
        <w:rPr>
          <w:szCs w:val="24"/>
        </w:rPr>
        <w:t xml:space="preserve">(6) </w:t>
      </w:r>
      <w:r w:rsidR="00A64E48" w:rsidRPr="002A75B6">
        <w:rPr>
          <w:szCs w:val="24"/>
        </w:rPr>
        <w:t>Člen voleného orgánu družstevní záložny je povinen před svým zvolením do příslušné funkce písemně informovat toho, kdo jej volí, o své důvěryhodnosti, odborné způsobilosti a zkušenosti, o předmětu své případné podnikatelské činnosti, o svém členství v orgánech jiných právnických osob, o tom, zda vykonává v jiných právnických osobách funkci prokuristy nebo v nich má majetkovou účast, pracovní nebo obdobný poměr, včetně předmětu činnosti této právnické osoby. Člen voleného orgánu družstevní záložny informuje písemně i o změnách, které nastaly v průběhu výkonu jeho funkce.</w:t>
      </w:r>
    </w:p>
    <w:p w14:paraId="4CD09983" w14:textId="4285DDA7" w:rsidR="00A64E48" w:rsidRDefault="00A55D8D" w:rsidP="00CE2C91">
      <w:pPr>
        <w:pStyle w:val="PZTextodstavce"/>
        <w:rPr>
          <w:szCs w:val="24"/>
        </w:rPr>
      </w:pPr>
      <w:r>
        <w:rPr>
          <w:szCs w:val="24"/>
        </w:rPr>
        <w:t xml:space="preserve">(7) </w:t>
      </w:r>
      <w:r w:rsidR="00A64E48" w:rsidRPr="002A75B6">
        <w:rPr>
          <w:szCs w:val="24"/>
        </w:rPr>
        <w:t>Družstevní záložna je povinna informovat Českou národní banku o návrzích personálních změn ve voleném orgánu družstevní záložny, včetně předložení podkladů nezbytných pro posouzení odborné způsobilosti, důvěryhodnosti a zkušenosti navrhovaných osob přiměřeně rozsahu informací předkládaných za tyto osoby v žádosti o udělení povolení podle § 2a.</w:t>
      </w:r>
    </w:p>
    <w:p w14:paraId="799E063C" w14:textId="77777777" w:rsidR="00A64E48" w:rsidRDefault="00A64E48" w:rsidP="00A64E48">
      <w:pPr>
        <w:pStyle w:val="Paragraf"/>
        <w:numPr>
          <w:ilvl w:val="0"/>
          <w:numId w:val="27"/>
        </w:numPr>
        <w:spacing w:after="120"/>
      </w:pPr>
      <w:r>
        <w:lastRenderedPageBreak/>
        <w:t>***</w:t>
      </w:r>
    </w:p>
    <w:p w14:paraId="3E622F39" w14:textId="77777777" w:rsidR="00A64E48" w:rsidRPr="00565E6F" w:rsidRDefault="00A64E48" w:rsidP="00A64E48">
      <w:pPr>
        <w:pStyle w:val="Paragraf"/>
        <w:numPr>
          <w:ilvl w:val="0"/>
          <w:numId w:val="27"/>
        </w:numPr>
        <w:spacing w:after="120"/>
      </w:pPr>
      <w:r w:rsidRPr="00565E6F">
        <w:t>§ 7b</w:t>
      </w:r>
    </w:p>
    <w:p w14:paraId="57BA6842" w14:textId="77777777" w:rsidR="00A64E48" w:rsidRPr="000C5009" w:rsidRDefault="00A64E48" w:rsidP="00A64E48">
      <w:pPr>
        <w:pStyle w:val="Paragraf"/>
        <w:numPr>
          <w:ilvl w:val="0"/>
          <w:numId w:val="27"/>
        </w:numPr>
        <w:spacing w:after="120"/>
        <w:rPr>
          <w:b/>
        </w:rPr>
      </w:pPr>
      <w:r w:rsidRPr="00E6641F">
        <w:rPr>
          <w:b/>
        </w:rPr>
        <w:t>Uveřejňování informací</w:t>
      </w:r>
    </w:p>
    <w:p w14:paraId="253EA1EA" w14:textId="77777777" w:rsidR="00A64E48" w:rsidRPr="00565E6F" w:rsidRDefault="00A64E48" w:rsidP="00CE2C91">
      <w:pPr>
        <w:pStyle w:val="PZTextodstavce"/>
        <w:rPr>
          <w:szCs w:val="24"/>
        </w:rPr>
      </w:pPr>
      <w:r>
        <w:rPr>
          <w:szCs w:val="24"/>
        </w:rPr>
        <w:t>(1)</w:t>
      </w:r>
      <w:r>
        <w:rPr>
          <w:szCs w:val="24"/>
        </w:rPr>
        <w:tab/>
      </w:r>
      <w:r w:rsidRPr="00565E6F">
        <w:rPr>
          <w:szCs w:val="24"/>
        </w:rPr>
        <w:t>Družstevní záložna uveřejňuje základní údaje o sobě, o svých členech, struktuře skupiny, jejíž je součástí, a o s</w:t>
      </w:r>
      <w:r>
        <w:rPr>
          <w:szCs w:val="24"/>
        </w:rPr>
        <w:t>vé činnosti a finanční situaci.</w:t>
      </w:r>
    </w:p>
    <w:p w14:paraId="6ED66419" w14:textId="77777777" w:rsidR="00A64E48" w:rsidRPr="00565E6F" w:rsidRDefault="00A64E48" w:rsidP="00CE2C91">
      <w:pPr>
        <w:pStyle w:val="PZTextodstavce"/>
        <w:rPr>
          <w:szCs w:val="24"/>
        </w:rPr>
      </w:pPr>
      <w:r>
        <w:rPr>
          <w:szCs w:val="24"/>
        </w:rPr>
        <w:t>(2)</w:t>
      </w:r>
      <w:r>
        <w:rPr>
          <w:szCs w:val="24"/>
        </w:rPr>
        <w:tab/>
      </w:r>
      <w:r w:rsidRPr="00565E6F">
        <w:rPr>
          <w:szCs w:val="24"/>
        </w:rPr>
        <w:t xml:space="preserve">Česká národní banka může stanovit kratší periodicitu uveřejňování informací družstevními </w:t>
      </w:r>
      <w:proofErr w:type="gramStart"/>
      <w:r w:rsidRPr="00565E6F">
        <w:rPr>
          <w:szCs w:val="24"/>
        </w:rPr>
        <w:t>záložnami než</w:t>
      </w:r>
      <w:proofErr w:type="gramEnd"/>
      <w:r w:rsidRPr="00565E6F">
        <w:rPr>
          <w:szCs w:val="24"/>
        </w:rPr>
        <w:t xml:space="preserve"> je stanoveno podle části osmé nařízení Evropského parlamentu a Rady (EU) č. 575/2013.</w:t>
      </w:r>
    </w:p>
    <w:p w14:paraId="31CB07F9" w14:textId="77777777" w:rsidR="00A64E48" w:rsidRPr="00E6641F" w:rsidRDefault="00A64E48" w:rsidP="00CE2C91">
      <w:pPr>
        <w:pStyle w:val="PZTextodstavce"/>
        <w:rPr>
          <w:strike/>
          <w:szCs w:val="24"/>
        </w:rPr>
      </w:pPr>
      <w:r w:rsidRPr="00E6641F">
        <w:rPr>
          <w:strike/>
          <w:szCs w:val="24"/>
        </w:rPr>
        <w:t>(3)</w:t>
      </w:r>
      <w:r w:rsidRPr="00E6641F">
        <w:rPr>
          <w:strike/>
          <w:szCs w:val="24"/>
        </w:rPr>
        <w:tab/>
        <w:t>Družstevní záložna každoročně uveřejňuje za bezprostředně předcházející účetní období s rozlišením podle jednotlivých členských států a jiných než členských států, ve kterých má pobočku,</w:t>
      </w:r>
    </w:p>
    <w:p w14:paraId="54FD9CB8" w14:textId="77777777" w:rsidR="00A64E48" w:rsidRPr="00E6641F" w:rsidRDefault="00A64E48" w:rsidP="00A55D8D">
      <w:pPr>
        <w:tabs>
          <w:tab w:val="left" w:pos="425"/>
          <w:tab w:val="left" w:pos="851"/>
        </w:tabs>
        <w:spacing w:before="0"/>
        <w:ind w:left="426" w:hanging="426"/>
        <w:rPr>
          <w:strike/>
          <w:szCs w:val="24"/>
        </w:rPr>
      </w:pPr>
      <w:r w:rsidRPr="00E6641F">
        <w:rPr>
          <w:strike/>
          <w:szCs w:val="24"/>
        </w:rPr>
        <w:t>a)</w:t>
      </w:r>
      <w:r w:rsidRPr="00E6641F">
        <w:rPr>
          <w:strike/>
          <w:szCs w:val="24"/>
        </w:rPr>
        <w:tab/>
        <w:t>výčet činností, které vykonává, a jejich zeměpisné umístění,</w:t>
      </w:r>
    </w:p>
    <w:p w14:paraId="207220B4" w14:textId="77777777" w:rsidR="00A64E48" w:rsidRPr="00E6641F" w:rsidRDefault="00A64E48" w:rsidP="00A55D8D">
      <w:pPr>
        <w:tabs>
          <w:tab w:val="left" w:pos="425"/>
          <w:tab w:val="left" w:pos="851"/>
        </w:tabs>
        <w:spacing w:before="0"/>
        <w:ind w:left="426" w:hanging="426"/>
        <w:rPr>
          <w:strike/>
          <w:szCs w:val="24"/>
        </w:rPr>
      </w:pPr>
      <w:r w:rsidRPr="00E6641F">
        <w:rPr>
          <w:strike/>
          <w:szCs w:val="24"/>
        </w:rPr>
        <w:t xml:space="preserve">b) </w:t>
      </w:r>
      <w:r w:rsidRPr="00E6641F">
        <w:rPr>
          <w:strike/>
          <w:szCs w:val="24"/>
        </w:rPr>
        <w:tab/>
        <w:t>obrat,</w:t>
      </w:r>
    </w:p>
    <w:p w14:paraId="555D5568" w14:textId="77777777" w:rsidR="00A64E48" w:rsidRPr="00E6641F" w:rsidRDefault="00A64E48" w:rsidP="00A55D8D">
      <w:pPr>
        <w:tabs>
          <w:tab w:val="left" w:pos="425"/>
          <w:tab w:val="left" w:pos="851"/>
        </w:tabs>
        <w:spacing w:before="0"/>
        <w:ind w:left="426" w:hanging="426"/>
        <w:rPr>
          <w:strike/>
          <w:szCs w:val="24"/>
        </w:rPr>
      </w:pPr>
      <w:r w:rsidRPr="00E6641F">
        <w:rPr>
          <w:strike/>
          <w:szCs w:val="24"/>
        </w:rPr>
        <w:t xml:space="preserve">c) </w:t>
      </w:r>
      <w:r w:rsidRPr="00E6641F">
        <w:rPr>
          <w:strike/>
          <w:szCs w:val="24"/>
        </w:rPr>
        <w:tab/>
        <w:t>počet pracovníků přepočtený na ekvivalenty pracovníků na plný pracovní úvazek,</w:t>
      </w:r>
    </w:p>
    <w:p w14:paraId="78A26393" w14:textId="77777777" w:rsidR="00A64E48" w:rsidRPr="00E6641F" w:rsidRDefault="00A64E48" w:rsidP="00A55D8D">
      <w:pPr>
        <w:tabs>
          <w:tab w:val="left" w:pos="425"/>
          <w:tab w:val="left" w:pos="851"/>
        </w:tabs>
        <w:spacing w:before="0"/>
        <w:ind w:left="426" w:hanging="426"/>
        <w:rPr>
          <w:strike/>
          <w:szCs w:val="24"/>
        </w:rPr>
      </w:pPr>
      <w:r w:rsidRPr="00E6641F">
        <w:rPr>
          <w:strike/>
          <w:szCs w:val="24"/>
        </w:rPr>
        <w:t xml:space="preserve">d) </w:t>
      </w:r>
      <w:r w:rsidRPr="00E6641F">
        <w:rPr>
          <w:strike/>
          <w:szCs w:val="24"/>
        </w:rPr>
        <w:tab/>
        <w:t>zisk nebo ztrátu před zdaněním,</w:t>
      </w:r>
    </w:p>
    <w:p w14:paraId="08D2F4B8" w14:textId="77777777" w:rsidR="00A64E48" w:rsidRPr="00E6641F" w:rsidRDefault="00A64E48" w:rsidP="00A55D8D">
      <w:pPr>
        <w:tabs>
          <w:tab w:val="left" w:pos="425"/>
          <w:tab w:val="left" w:pos="851"/>
        </w:tabs>
        <w:spacing w:before="0"/>
        <w:ind w:left="426" w:hanging="426"/>
        <w:rPr>
          <w:strike/>
          <w:szCs w:val="24"/>
        </w:rPr>
      </w:pPr>
      <w:r w:rsidRPr="00E6641F">
        <w:rPr>
          <w:strike/>
          <w:szCs w:val="24"/>
        </w:rPr>
        <w:t xml:space="preserve">e) </w:t>
      </w:r>
      <w:r w:rsidRPr="00E6641F">
        <w:rPr>
          <w:strike/>
          <w:szCs w:val="24"/>
        </w:rPr>
        <w:tab/>
        <w:t>daň z příjmů právnických osob nebo obdobnou daň placenou v zahraničí nebo ztrátu,</w:t>
      </w:r>
    </w:p>
    <w:p w14:paraId="2002E321" w14:textId="77777777" w:rsidR="00A64E48" w:rsidRPr="00E6641F" w:rsidRDefault="00A64E48" w:rsidP="00A55D8D">
      <w:pPr>
        <w:tabs>
          <w:tab w:val="left" w:pos="425"/>
          <w:tab w:val="left" w:pos="851"/>
        </w:tabs>
        <w:spacing w:before="0"/>
        <w:ind w:left="425" w:hanging="425"/>
        <w:rPr>
          <w:strike/>
          <w:szCs w:val="24"/>
        </w:rPr>
      </w:pPr>
      <w:r w:rsidRPr="00E6641F">
        <w:rPr>
          <w:strike/>
          <w:szCs w:val="24"/>
        </w:rPr>
        <w:t xml:space="preserve">f) </w:t>
      </w:r>
      <w:r w:rsidRPr="00E6641F">
        <w:rPr>
          <w:strike/>
          <w:szCs w:val="24"/>
        </w:rPr>
        <w:tab/>
        <w:t>získané veřejné podpory.</w:t>
      </w:r>
    </w:p>
    <w:p w14:paraId="29D029E1" w14:textId="77777777" w:rsidR="00A64E48" w:rsidRPr="00E6641F" w:rsidRDefault="00A64E48" w:rsidP="00CE2C91">
      <w:pPr>
        <w:spacing w:before="120" w:after="120"/>
        <w:rPr>
          <w:strike/>
          <w:szCs w:val="24"/>
        </w:rPr>
      </w:pPr>
      <w:r w:rsidRPr="00E6641F">
        <w:rPr>
          <w:strike/>
          <w:szCs w:val="24"/>
        </w:rPr>
        <w:t>(4) Údaje podle odstavce 3 se uveřejňují v příloze roční účetní závěrky.</w:t>
      </w:r>
    </w:p>
    <w:p w14:paraId="31E35BC1" w14:textId="77777777" w:rsidR="00A64E48" w:rsidRDefault="00A64E48" w:rsidP="00CE2C91">
      <w:pPr>
        <w:pStyle w:val="PZTextodstavce"/>
        <w:rPr>
          <w:strike/>
          <w:szCs w:val="24"/>
        </w:rPr>
      </w:pPr>
      <w:r w:rsidRPr="00FC762F">
        <w:rPr>
          <w:szCs w:val="24"/>
        </w:rPr>
        <w:t xml:space="preserve"> (</w:t>
      </w:r>
      <w:r w:rsidRPr="00FC762F">
        <w:rPr>
          <w:strike/>
          <w:szCs w:val="24"/>
        </w:rPr>
        <w:t>5)</w:t>
      </w:r>
      <w:r w:rsidRPr="00FC762F">
        <w:rPr>
          <w:b/>
          <w:szCs w:val="24"/>
        </w:rPr>
        <w:t>(3</w:t>
      </w:r>
      <w:r w:rsidRPr="00FC762F">
        <w:rPr>
          <w:szCs w:val="24"/>
        </w:rPr>
        <w:t xml:space="preserve">) Družstevní záložna </w:t>
      </w:r>
      <w:proofErr w:type="gramStart"/>
      <w:r w:rsidRPr="00FC762F">
        <w:rPr>
          <w:strike/>
          <w:szCs w:val="24"/>
        </w:rPr>
        <w:t xml:space="preserve">uveřejňuje </w:t>
      </w:r>
      <w:r>
        <w:rPr>
          <w:strike/>
          <w:szCs w:val="24"/>
        </w:rPr>
        <w:t xml:space="preserve"> </w:t>
      </w:r>
      <w:r w:rsidRPr="00FC762F">
        <w:rPr>
          <w:b/>
          <w:szCs w:val="24"/>
        </w:rPr>
        <w:t>uvede</w:t>
      </w:r>
      <w:proofErr w:type="gramEnd"/>
      <w:r w:rsidRPr="00FC762F">
        <w:rPr>
          <w:szCs w:val="24"/>
        </w:rPr>
        <w:t xml:space="preserve"> ve své </w:t>
      </w:r>
      <w:r w:rsidRPr="00FC762F">
        <w:rPr>
          <w:strike/>
          <w:szCs w:val="24"/>
        </w:rPr>
        <w:t xml:space="preserve">výroční zprávě </w:t>
      </w:r>
      <w:r w:rsidRPr="00FC762F">
        <w:rPr>
          <w:b/>
          <w:szCs w:val="24"/>
        </w:rPr>
        <w:t xml:space="preserve">individuální zprávě vedení </w:t>
      </w:r>
      <w:r w:rsidRPr="00FC762F">
        <w:rPr>
          <w:szCs w:val="24"/>
        </w:rPr>
        <w:t xml:space="preserve">mezi klíčovými ukazateli návratnost jejích aktiv, vyjádřenou jako podíl čistého zisku a celkové bilanční sumy. </w:t>
      </w:r>
      <w:r w:rsidRPr="00FC762F">
        <w:rPr>
          <w:strike/>
          <w:szCs w:val="24"/>
        </w:rPr>
        <w:t>Auditor v rámci své auditorské činnosti ověřuje rovněž údaje uvedené v odstavci 5.</w:t>
      </w:r>
    </w:p>
    <w:p w14:paraId="7A43CBBC" w14:textId="77777777" w:rsidR="00A64E48" w:rsidRPr="0017515A" w:rsidRDefault="00A64E48" w:rsidP="00CE2C91">
      <w:pPr>
        <w:pStyle w:val="PZTextodstavce"/>
        <w:rPr>
          <w:szCs w:val="24"/>
        </w:rPr>
      </w:pPr>
      <w:proofErr w:type="gramStart"/>
      <w:r w:rsidRPr="00565E6F">
        <w:rPr>
          <w:szCs w:val="24"/>
        </w:rPr>
        <w:t>(</w:t>
      </w:r>
      <w:r w:rsidRPr="00D72C42">
        <w:rPr>
          <w:strike/>
          <w:szCs w:val="24"/>
        </w:rPr>
        <w:t>6</w:t>
      </w:r>
      <w:r>
        <w:rPr>
          <w:strike/>
          <w:szCs w:val="24"/>
        </w:rPr>
        <w:t>)</w:t>
      </w:r>
      <w:r w:rsidRPr="00E06E5E">
        <w:rPr>
          <w:b/>
          <w:szCs w:val="24"/>
        </w:rPr>
        <w:t>(</w:t>
      </w:r>
      <w:r>
        <w:rPr>
          <w:b/>
          <w:szCs w:val="24"/>
        </w:rPr>
        <w:t>4</w:t>
      </w:r>
      <w:r w:rsidRPr="00565E6F">
        <w:rPr>
          <w:szCs w:val="24"/>
        </w:rPr>
        <w:t>) Družstevní</w:t>
      </w:r>
      <w:proofErr w:type="gramEnd"/>
      <w:r w:rsidRPr="00565E6F">
        <w:rPr>
          <w:szCs w:val="24"/>
        </w:rPr>
        <w:t xml:space="preserve"> záložna uveřejňuje každoročně údaje o tom, jak dodržuje požadavky na správu a řízení společnosti, představenstvo, kontrolní komisi jako celek a jednotlivé členy jejího představenstva a kontrolní komise, systém odměňování, výbor pro jmenování a výbor pro odměňování</w:t>
      </w:r>
      <w:r w:rsidRPr="00E6641F">
        <w:rPr>
          <w:strike/>
          <w:szCs w:val="24"/>
        </w:rPr>
        <w:t>, uveřejňování informací podle jednotlivých zemí a uveřejňování</w:t>
      </w:r>
      <w:r w:rsidRPr="0017515A">
        <w:rPr>
          <w:szCs w:val="24"/>
        </w:rPr>
        <w:t xml:space="preserve"> </w:t>
      </w:r>
      <w:r>
        <w:rPr>
          <w:b/>
          <w:szCs w:val="24"/>
        </w:rPr>
        <w:t xml:space="preserve">a </w:t>
      </w:r>
      <w:r w:rsidRPr="0017515A">
        <w:rPr>
          <w:b/>
          <w:szCs w:val="24"/>
        </w:rPr>
        <w:t xml:space="preserve">uvádění </w:t>
      </w:r>
      <w:r w:rsidRPr="0017515A">
        <w:rPr>
          <w:szCs w:val="24"/>
        </w:rPr>
        <w:t xml:space="preserve">informací o návratnosti aktiv </w:t>
      </w:r>
      <w:r w:rsidRPr="00E06E5E">
        <w:rPr>
          <w:szCs w:val="24"/>
        </w:rPr>
        <w:t xml:space="preserve">podle odstavce </w:t>
      </w:r>
      <w:r w:rsidRPr="00E06E5E">
        <w:rPr>
          <w:strike/>
          <w:szCs w:val="24"/>
        </w:rPr>
        <w:t>5</w:t>
      </w:r>
      <w:r w:rsidRPr="00AB5C3C">
        <w:rPr>
          <w:b/>
          <w:szCs w:val="24"/>
        </w:rPr>
        <w:t>3</w:t>
      </w:r>
      <w:r w:rsidRPr="0017515A">
        <w:rPr>
          <w:szCs w:val="24"/>
        </w:rPr>
        <w:t>.</w:t>
      </w:r>
    </w:p>
    <w:p w14:paraId="15EBD639" w14:textId="77777777" w:rsidR="00A64E48" w:rsidRPr="00565E6F" w:rsidRDefault="00A64E48" w:rsidP="00CE2C91">
      <w:pPr>
        <w:pStyle w:val="PZTextodstavce"/>
        <w:rPr>
          <w:szCs w:val="24"/>
        </w:rPr>
      </w:pPr>
      <w:proofErr w:type="gramStart"/>
      <w:r w:rsidRPr="00565E6F">
        <w:rPr>
          <w:szCs w:val="24"/>
        </w:rPr>
        <w:t>(</w:t>
      </w:r>
      <w:r w:rsidRPr="00D72C42">
        <w:rPr>
          <w:strike/>
          <w:szCs w:val="24"/>
        </w:rPr>
        <w:t>7</w:t>
      </w:r>
      <w:r>
        <w:rPr>
          <w:strike/>
          <w:szCs w:val="24"/>
        </w:rPr>
        <w:t>)</w:t>
      </w:r>
      <w:r w:rsidRPr="00E06E5E">
        <w:rPr>
          <w:b/>
          <w:szCs w:val="24"/>
        </w:rPr>
        <w:t>(</w:t>
      </w:r>
      <w:r>
        <w:rPr>
          <w:b/>
          <w:szCs w:val="24"/>
        </w:rPr>
        <w:t>5</w:t>
      </w:r>
      <w:r>
        <w:rPr>
          <w:szCs w:val="24"/>
        </w:rPr>
        <w:t xml:space="preserve">) </w:t>
      </w:r>
      <w:r w:rsidRPr="00565E6F">
        <w:rPr>
          <w:szCs w:val="24"/>
        </w:rPr>
        <w:t>Česká</w:t>
      </w:r>
      <w:proofErr w:type="gramEnd"/>
      <w:r w:rsidRPr="00565E6F">
        <w:rPr>
          <w:szCs w:val="24"/>
        </w:rPr>
        <w:t xml:space="preserve"> národní banka</w:t>
      </w:r>
    </w:p>
    <w:p w14:paraId="138603FA" w14:textId="77777777" w:rsidR="00A64E48" w:rsidRPr="0035148C" w:rsidRDefault="00A64E48" w:rsidP="00A55D8D">
      <w:pPr>
        <w:tabs>
          <w:tab w:val="left" w:pos="425"/>
          <w:tab w:val="left" w:pos="851"/>
        </w:tabs>
        <w:spacing w:before="0"/>
        <w:ind w:left="425" w:hanging="425"/>
        <w:rPr>
          <w:szCs w:val="24"/>
        </w:rPr>
      </w:pPr>
      <w:r w:rsidRPr="0035148C">
        <w:rPr>
          <w:szCs w:val="24"/>
        </w:rPr>
        <w:t xml:space="preserve">a) </w:t>
      </w:r>
      <w:r w:rsidRPr="0035148C">
        <w:rPr>
          <w:szCs w:val="24"/>
        </w:rPr>
        <w:tab/>
        <w:t>stanoví vyhláškou obsah údajů určených k uveřejnění podle odstavce 1, jakož i formu, způsob, strukturu a lhůty uveřejňování údajů a periodicitu uveřejňování údajů podle odstavce 1,</w:t>
      </w:r>
    </w:p>
    <w:p w14:paraId="17535B4D" w14:textId="77777777" w:rsidR="00A64E48" w:rsidRPr="0035148C" w:rsidRDefault="00A64E48" w:rsidP="00A55D8D">
      <w:pPr>
        <w:tabs>
          <w:tab w:val="left" w:pos="425"/>
          <w:tab w:val="left" w:pos="851"/>
        </w:tabs>
        <w:spacing w:before="0"/>
        <w:ind w:left="425" w:hanging="425"/>
        <w:rPr>
          <w:szCs w:val="24"/>
        </w:rPr>
      </w:pPr>
      <w:r w:rsidRPr="0035148C">
        <w:rPr>
          <w:szCs w:val="24"/>
        </w:rPr>
        <w:t xml:space="preserve">b) </w:t>
      </w:r>
      <w:r w:rsidRPr="0035148C">
        <w:rPr>
          <w:szCs w:val="24"/>
        </w:rPr>
        <w:tab/>
        <w:t>může vyhláškou stanovit periodicitu podle odstavce 2, lhůty a způsob uveřejňování informací,</w:t>
      </w:r>
    </w:p>
    <w:p w14:paraId="4A8D759B" w14:textId="52D076BF" w:rsidR="00A64E48" w:rsidRDefault="00A64E48" w:rsidP="00A55D8D">
      <w:pPr>
        <w:tabs>
          <w:tab w:val="left" w:pos="425"/>
          <w:tab w:val="left" w:pos="851"/>
        </w:tabs>
        <w:spacing w:before="0"/>
        <w:ind w:left="425" w:hanging="425"/>
        <w:rPr>
          <w:szCs w:val="24"/>
        </w:rPr>
      </w:pPr>
      <w:r w:rsidRPr="0035148C">
        <w:rPr>
          <w:szCs w:val="24"/>
        </w:rPr>
        <w:t xml:space="preserve">c) </w:t>
      </w:r>
      <w:r w:rsidRPr="0035148C">
        <w:rPr>
          <w:szCs w:val="24"/>
        </w:rPr>
        <w:tab/>
        <w:t xml:space="preserve">stanoví vyhláškou formu, způsob a lhůty uveřejňování údajů podle odstavce </w:t>
      </w:r>
      <w:r w:rsidRPr="00CA78A0">
        <w:rPr>
          <w:strike/>
          <w:szCs w:val="24"/>
        </w:rPr>
        <w:t>6</w:t>
      </w:r>
      <w:r w:rsidRPr="003A3D33">
        <w:rPr>
          <w:b/>
          <w:szCs w:val="24"/>
        </w:rPr>
        <w:t>4</w:t>
      </w:r>
      <w:r w:rsidRPr="0035148C">
        <w:rPr>
          <w:szCs w:val="24"/>
        </w:rPr>
        <w:t>.</w:t>
      </w:r>
    </w:p>
    <w:p w14:paraId="2FE59872" w14:textId="77777777" w:rsidR="00A64E48" w:rsidRDefault="00A64E48" w:rsidP="00A64E48">
      <w:pPr>
        <w:pStyle w:val="Paragraf"/>
        <w:numPr>
          <w:ilvl w:val="0"/>
          <w:numId w:val="27"/>
        </w:numPr>
        <w:spacing w:after="120"/>
      </w:pPr>
      <w:r>
        <w:t>***</w:t>
      </w:r>
    </w:p>
    <w:p w14:paraId="16161ECA" w14:textId="77777777" w:rsidR="00A64E48" w:rsidRPr="000C5009" w:rsidRDefault="00A64E48" w:rsidP="00A64E48">
      <w:pPr>
        <w:pStyle w:val="Paragraf"/>
        <w:numPr>
          <w:ilvl w:val="0"/>
          <w:numId w:val="27"/>
        </w:numPr>
        <w:spacing w:after="120"/>
        <w:rPr>
          <w:strike/>
        </w:rPr>
      </w:pPr>
      <w:r w:rsidRPr="0040192A">
        <w:rPr>
          <w:strike/>
        </w:rPr>
        <w:t>§ 8b</w:t>
      </w:r>
    </w:p>
    <w:p w14:paraId="69A7E8E6" w14:textId="77777777" w:rsidR="00A64E48" w:rsidRPr="00805896" w:rsidRDefault="00A64E48" w:rsidP="00CE2C91">
      <w:pPr>
        <w:pStyle w:val="PZTextodstavce"/>
        <w:rPr>
          <w:strike/>
          <w:szCs w:val="24"/>
        </w:rPr>
      </w:pPr>
      <w:r w:rsidRPr="00805896">
        <w:rPr>
          <w:strike/>
          <w:szCs w:val="24"/>
        </w:rPr>
        <w:t>(1) Družstevní záložna zajistí, aby auditor provedl</w:t>
      </w:r>
    </w:p>
    <w:p w14:paraId="699E9E43" w14:textId="77777777" w:rsidR="00A64E48" w:rsidRPr="0017515A" w:rsidRDefault="00A64E48" w:rsidP="00A55D8D">
      <w:pPr>
        <w:tabs>
          <w:tab w:val="left" w:pos="425"/>
          <w:tab w:val="left" w:pos="851"/>
        </w:tabs>
        <w:spacing w:before="0"/>
        <w:ind w:left="425" w:hanging="425"/>
        <w:rPr>
          <w:strike/>
          <w:szCs w:val="24"/>
        </w:rPr>
      </w:pPr>
      <w:r w:rsidRPr="0017515A">
        <w:rPr>
          <w:strike/>
          <w:szCs w:val="24"/>
        </w:rPr>
        <w:t xml:space="preserve">a) </w:t>
      </w:r>
      <w:r w:rsidRPr="0017515A">
        <w:rPr>
          <w:strike/>
          <w:szCs w:val="24"/>
        </w:rPr>
        <w:tab/>
        <w:t>ověření účetní závěrky družstevní záložny,</w:t>
      </w:r>
    </w:p>
    <w:p w14:paraId="052A60F6" w14:textId="77777777" w:rsidR="00A64E48" w:rsidRPr="00805896" w:rsidRDefault="00A64E48" w:rsidP="00A55D8D">
      <w:pPr>
        <w:tabs>
          <w:tab w:val="left" w:pos="425"/>
          <w:tab w:val="left" w:pos="851"/>
        </w:tabs>
        <w:spacing w:before="0"/>
        <w:ind w:left="425" w:hanging="425"/>
        <w:rPr>
          <w:strike/>
          <w:szCs w:val="24"/>
        </w:rPr>
      </w:pPr>
      <w:r w:rsidRPr="00805896">
        <w:rPr>
          <w:strike/>
          <w:szCs w:val="24"/>
        </w:rPr>
        <w:t xml:space="preserve">b) </w:t>
      </w:r>
      <w:r w:rsidRPr="00805896">
        <w:rPr>
          <w:strike/>
          <w:szCs w:val="24"/>
        </w:rPr>
        <w:tab/>
        <w:t>jednou za 3 kalendářní roky ověření řídicího a kontrolního systému družstevní záložny, přičemž družstevní záložna pro auditora zajistí přehled provedených vnitřních kontrol, které se tohoto ověření týkají,</w:t>
      </w:r>
    </w:p>
    <w:p w14:paraId="45D67111" w14:textId="77777777" w:rsidR="00A64E48" w:rsidRPr="00805896" w:rsidRDefault="00A64E48" w:rsidP="00A55D8D">
      <w:pPr>
        <w:tabs>
          <w:tab w:val="left" w:pos="425"/>
          <w:tab w:val="left" w:pos="851"/>
        </w:tabs>
        <w:spacing w:before="0"/>
        <w:ind w:left="425" w:hanging="425"/>
        <w:rPr>
          <w:strike/>
          <w:szCs w:val="24"/>
        </w:rPr>
      </w:pPr>
      <w:r w:rsidRPr="00805896">
        <w:rPr>
          <w:strike/>
          <w:szCs w:val="24"/>
        </w:rPr>
        <w:lastRenderedPageBreak/>
        <w:t xml:space="preserve">c) </w:t>
      </w:r>
      <w:r w:rsidRPr="00805896">
        <w:rPr>
          <w:strike/>
          <w:szCs w:val="24"/>
        </w:rPr>
        <w:tab/>
        <w:t>vypracování zpráv o ověření účetní závěrky a řídicího a kontrolního systému; družstevní záložna předloží tyto zprávy ve stanovených lhůtách České národní bance.</w:t>
      </w:r>
    </w:p>
    <w:p w14:paraId="4EBC7FC1" w14:textId="77777777" w:rsidR="00A64E48" w:rsidRPr="00805896" w:rsidRDefault="00A64E48" w:rsidP="00CE2C91">
      <w:pPr>
        <w:pStyle w:val="PZTextodstavce"/>
        <w:rPr>
          <w:strike/>
          <w:szCs w:val="24"/>
        </w:rPr>
      </w:pPr>
      <w:r w:rsidRPr="00805896">
        <w:rPr>
          <w:strike/>
          <w:szCs w:val="24"/>
        </w:rPr>
        <w:t>Česká národní banka stanoví vyhláškou obsah zprávy o ověření řídicího a kontrolního systému družstevní záložny podle písmen b) a c), způsob, strukturu a periodicitu jejího zpracování a lhůty pro její předložení.</w:t>
      </w:r>
    </w:p>
    <w:p w14:paraId="307DDC24" w14:textId="77777777" w:rsidR="00A64E48" w:rsidRPr="00805896" w:rsidRDefault="00A64E48" w:rsidP="00CE2C91">
      <w:pPr>
        <w:pStyle w:val="PZTextodstavce"/>
        <w:rPr>
          <w:strike/>
          <w:szCs w:val="24"/>
        </w:rPr>
      </w:pPr>
      <w:r w:rsidRPr="00805896">
        <w:rPr>
          <w:strike/>
          <w:szCs w:val="24"/>
        </w:rPr>
        <w:t>(2) Česká národní banka může požadavek na ověření řídicího a kontrolního systému družstevní záložny podle odstavce 1 písm. b) prominout nebo omezit pouze na některé jeho součásti. Česká národní banka do 30. dubna příslušného kalendářního roku družstevní záložně sdělí, že ověření řídicího a kontrolního systému družstevní záložny podle odstavce 1 písm. b) promíjí nebo jakým způsobem provedení tohoto ověření omezuje. Na sdělení České národní banky o prominutí nebo omezení provedení tohoto ověření se nepoužijí části druhá a třetí správního řádu.</w:t>
      </w:r>
    </w:p>
    <w:p w14:paraId="6773206D" w14:textId="77777777" w:rsidR="00A64E48" w:rsidRPr="0017515A" w:rsidRDefault="00A64E48" w:rsidP="00CE2C91">
      <w:pPr>
        <w:pStyle w:val="PZTextodstavce"/>
        <w:rPr>
          <w:strike/>
          <w:szCs w:val="24"/>
        </w:rPr>
      </w:pPr>
      <w:r w:rsidRPr="0017515A">
        <w:rPr>
          <w:strike/>
          <w:szCs w:val="24"/>
        </w:rPr>
        <w:t>(3) Vybraného auditora je družstevní záložna povinna oznámit České národní bance, která je do 30 dnů ode dne obdržení tohoto oznámení oprávněna auditora odmítnout. Ověřit účetní závěrku družstevní záložny může pouze ten auditor, který nemá k družstevní záložně zvláštní vztah a který doloží, že v průběhu minimálně 2 účetních období ověřoval účetní závěrky bank, družstevních záložen nebo jiných finančních institucí, a kterému nebylo v souvislosti s poskytováním auditorských služeb oprávnění k jejich poskytování pozastaveno. Neodmítne-li Česká národní banka auditora ve stanovené lhůtě, platí, že auditor byl schválen. V případě odmítnutí auditora Českou národní bankou je družstevní záložna povinna oznámit do 15 dnů ode dne odmítnutí České národní bance nového auditora.</w:t>
      </w:r>
    </w:p>
    <w:p w14:paraId="46AFDD26" w14:textId="77777777" w:rsidR="00A64E48" w:rsidRPr="00805896" w:rsidRDefault="00A64E48" w:rsidP="00CE2C91">
      <w:pPr>
        <w:pStyle w:val="PZTextodstavce"/>
        <w:rPr>
          <w:strike/>
          <w:szCs w:val="24"/>
        </w:rPr>
      </w:pPr>
      <w:r w:rsidRPr="00805896">
        <w:rPr>
          <w:strike/>
          <w:szCs w:val="24"/>
        </w:rPr>
        <w:t>(4) Za osoby, které mají k družstevní záložně zvláštní vztah, se pro účely tohoto zákona považují členové družstevní záložny, členové volených orgánů družstevní záložny a osoby jim blízké podle občanského zákoníku.</w:t>
      </w:r>
    </w:p>
    <w:p w14:paraId="63C3D5B1" w14:textId="77777777" w:rsidR="00A64E48" w:rsidRPr="00A31356" w:rsidRDefault="00A64E48" w:rsidP="00CE2C91">
      <w:pPr>
        <w:pStyle w:val="PZTextodstavce"/>
        <w:rPr>
          <w:strike/>
          <w:szCs w:val="24"/>
        </w:rPr>
      </w:pPr>
      <w:r w:rsidRPr="00805896">
        <w:rPr>
          <w:strike/>
          <w:szCs w:val="24"/>
        </w:rPr>
        <w:t>(5) Česká národní banka může nařídit družstevní záložně změnu auditora, pokud auditor nesplní povinnost informovat Českou národní banku o skutečnostech zjištěných podle § 21 odst. 3 a 4 zákona č. 93/2009 Sb., o auditorech, ve znění pozdějších předpisů.</w:t>
      </w:r>
    </w:p>
    <w:p w14:paraId="6AE9CDCD" w14:textId="77777777" w:rsidR="00A64E48" w:rsidRPr="006916E1" w:rsidRDefault="00A64E48" w:rsidP="00A64E48">
      <w:pPr>
        <w:pStyle w:val="Paragraf"/>
        <w:numPr>
          <w:ilvl w:val="0"/>
          <w:numId w:val="27"/>
        </w:numPr>
        <w:spacing w:after="120"/>
        <w:rPr>
          <w:b/>
        </w:rPr>
      </w:pPr>
      <w:r w:rsidRPr="006916E1">
        <w:rPr>
          <w:b/>
        </w:rPr>
        <w:t>§ 8b</w:t>
      </w:r>
    </w:p>
    <w:p w14:paraId="26891DE5" w14:textId="77777777" w:rsidR="00A64E48" w:rsidRPr="0035148C" w:rsidRDefault="00A64E48" w:rsidP="00A64E48">
      <w:pPr>
        <w:pStyle w:val="Paragraf"/>
        <w:numPr>
          <w:ilvl w:val="0"/>
          <w:numId w:val="27"/>
        </w:numPr>
        <w:spacing w:after="120"/>
        <w:rPr>
          <w:b/>
        </w:rPr>
      </w:pPr>
      <w:r w:rsidRPr="0035148C">
        <w:rPr>
          <w:b/>
        </w:rPr>
        <w:t>Výběr auditora</w:t>
      </w:r>
    </w:p>
    <w:p w14:paraId="754CADBC" w14:textId="77777777" w:rsidR="00A64E48" w:rsidRPr="0032423F" w:rsidRDefault="00A64E48" w:rsidP="00CE2C91">
      <w:pPr>
        <w:pStyle w:val="PZTextodstavce"/>
        <w:rPr>
          <w:b/>
        </w:rPr>
      </w:pPr>
      <w:r w:rsidRPr="0032423F">
        <w:rPr>
          <w:b/>
        </w:rPr>
        <w:t>(</w:t>
      </w:r>
      <w:r>
        <w:rPr>
          <w:b/>
        </w:rPr>
        <w:t>1)</w:t>
      </w:r>
      <w:r>
        <w:rPr>
          <w:b/>
        </w:rPr>
        <w:tab/>
        <w:t>Družstevní záložna</w:t>
      </w:r>
      <w:r w:rsidRPr="0032423F">
        <w:rPr>
          <w:b/>
        </w:rPr>
        <w:t xml:space="preserve"> </w:t>
      </w:r>
      <w:r>
        <w:rPr>
          <w:b/>
        </w:rPr>
        <w:t>oznámí</w:t>
      </w:r>
      <w:r w:rsidRPr="0032423F">
        <w:rPr>
          <w:b/>
        </w:rPr>
        <w:t xml:space="preserve"> České národní bance auditora vybraného pro </w:t>
      </w:r>
      <w:r>
        <w:rPr>
          <w:b/>
        </w:rPr>
        <w:t xml:space="preserve">provedení </w:t>
      </w:r>
      <w:r w:rsidRPr="00A00488">
        <w:rPr>
          <w:b/>
        </w:rPr>
        <w:t>povinného auditu</w:t>
      </w:r>
      <w:r>
        <w:rPr>
          <w:b/>
        </w:rPr>
        <w:t xml:space="preserve"> </w:t>
      </w:r>
      <w:r w:rsidRPr="00FB78A7">
        <w:rPr>
          <w:b/>
        </w:rPr>
        <w:t>před jeho určením způsobem stanoveným v zákoně upravujícím auditorskou činnost.</w:t>
      </w:r>
    </w:p>
    <w:p w14:paraId="19B1F372" w14:textId="77777777" w:rsidR="00A64E48" w:rsidRPr="0032423F" w:rsidRDefault="00A64E48" w:rsidP="00CE2C91">
      <w:pPr>
        <w:pStyle w:val="PZTextodstavce"/>
        <w:rPr>
          <w:b/>
        </w:rPr>
      </w:pPr>
      <w:r>
        <w:rPr>
          <w:b/>
        </w:rPr>
        <w:t>(2)</w:t>
      </w:r>
      <w:r>
        <w:rPr>
          <w:b/>
        </w:rPr>
        <w:tab/>
      </w:r>
      <w:r w:rsidRPr="0032423F">
        <w:rPr>
          <w:b/>
        </w:rPr>
        <w:t>Oznámení o výběru auditora podle odstavce 1 obsahuje</w:t>
      </w:r>
    </w:p>
    <w:p w14:paraId="5AD5107D" w14:textId="77777777" w:rsidR="00A64E48" w:rsidRPr="003D5D31" w:rsidRDefault="00A64E48" w:rsidP="00A55D8D">
      <w:pPr>
        <w:tabs>
          <w:tab w:val="left" w:pos="425"/>
          <w:tab w:val="left" w:pos="851"/>
        </w:tabs>
        <w:spacing w:before="0"/>
        <w:ind w:left="425" w:hanging="425"/>
        <w:rPr>
          <w:b/>
          <w:szCs w:val="24"/>
        </w:rPr>
      </w:pPr>
      <w:r w:rsidRPr="003D5D31">
        <w:rPr>
          <w:b/>
          <w:szCs w:val="24"/>
        </w:rPr>
        <w:t>a)</w:t>
      </w:r>
      <w:r w:rsidRPr="003D5D31">
        <w:rPr>
          <w:b/>
          <w:szCs w:val="24"/>
        </w:rPr>
        <w:tab/>
        <w:t>identifikaci auditora, klíčového auditorského partnera a dalších osob, které se budou podílet na povinném auditu,</w:t>
      </w:r>
    </w:p>
    <w:p w14:paraId="3AE66E77" w14:textId="77777777" w:rsidR="00A64E48" w:rsidRDefault="00A64E48" w:rsidP="00A55D8D">
      <w:pPr>
        <w:tabs>
          <w:tab w:val="left" w:pos="425"/>
          <w:tab w:val="left" w:pos="851"/>
        </w:tabs>
        <w:spacing w:before="0"/>
        <w:ind w:left="425" w:hanging="425"/>
        <w:rPr>
          <w:b/>
          <w:szCs w:val="24"/>
        </w:rPr>
      </w:pPr>
      <w:r w:rsidRPr="003D5D31">
        <w:rPr>
          <w:b/>
          <w:szCs w:val="24"/>
        </w:rPr>
        <w:t>b)</w:t>
      </w:r>
      <w:r w:rsidRPr="003D5D31">
        <w:rPr>
          <w:b/>
          <w:szCs w:val="24"/>
        </w:rPr>
        <w:tab/>
        <w:t>popis činností doposud vykonávaných auditorem v oblasti povinného auditu úvěrových institucí, popřípadě jiných subjektů působících na finančním trhu,</w:t>
      </w:r>
    </w:p>
    <w:p w14:paraId="3528AA04" w14:textId="77777777" w:rsidR="00A64E48" w:rsidRPr="00FB78A7" w:rsidRDefault="00A64E48" w:rsidP="00A55D8D">
      <w:pPr>
        <w:tabs>
          <w:tab w:val="left" w:pos="425"/>
          <w:tab w:val="left" w:pos="851"/>
        </w:tabs>
        <w:spacing w:before="0"/>
        <w:ind w:left="425" w:hanging="425"/>
        <w:rPr>
          <w:b/>
          <w:szCs w:val="24"/>
        </w:rPr>
      </w:pPr>
      <w:r w:rsidRPr="00FB78A7">
        <w:rPr>
          <w:b/>
          <w:szCs w:val="24"/>
        </w:rPr>
        <w:t>c)</w:t>
      </w:r>
      <w:r w:rsidRPr="00FB78A7">
        <w:rPr>
          <w:b/>
          <w:szCs w:val="24"/>
        </w:rPr>
        <w:tab/>
        <w:t>období, na jaké má být auditor určen,</w:t>
      </w:r>
    </w:p>
    <w:p w14:paraId="740F2CAC" w14:textId="77777777" w:rsidR="00A64E48" w:rsidRPr="00A31356" w:rsidRDefault="00A64E48" w:rsidP="00A55D8D">
      <w:pPr>
        <w:tabs>
          <w:tab w:val="left" w:pos="425"/>
          <w:tab w:val="left" w:pos="851"/>
        </w:tabs>
        <w:spacing w:before="0"/>
        <w:ind w:left="425" w:hanging="425"/>
        <w:rPr>
          <w:b/>
          <w:szCs w:val="24"/>
        </w:rPr>
      </w:pPr>
      <w:r w:rsidRPr="00FB78A7">
        <w:rPr>
          <w:b/>
          <w:szCs w:val="24"/>
        </w:rPr>
        <w:t>d)</w:t>
      </w:r>
      <w:r w:rsidRPr="00FB78A7">
        <w:rPr>
          <w:b/>
          <w:szCs w:val="24"/>
        </w:rPr>
        <w:tab/>
        <w:t>posouzení družstevní záložny, zda jsou splněny pož</w:t>
      </w:r>
      <w:r>
        <w:rPr>
          <w:b/>
          <w:szCs w:val="24"/>
        </w:rPr>
        <w:t>adavky na nezávislost auditora.</w:t>
      </w:r>
    </w:p>
    <w:p w14:paraId="0531BECB" w14:textId="77777777" w:rsidR="00A64E48" w:rsidRPr="0032423F" w:rsidRDefault="00A64E48" w:rsidP="00CE2C91">
      <w:pPr>
        <w:pStyle w:val="PZTextodstavce"/>
        <w:rPr>
          <w:b/>
        </w:rPr>
      </w:pPr>
      <w:r w:rsidRPr="0032423F">
        <w:rPr>
          <w:b/>
        </w:rPr>
        <w:t>(3) Česká národní banka auditora oznámeného podle odstavce 1 odmítne</w:t>
      </w:r>
      <w:r>
        <w:rPr>
          <w:b/>
        </w:rPr>
        <w:t xml:space="preserve"> do 3</w:t>
      </w:r>
      <w:r w:rsidRPr="00D95948">
        <w:rPr>
          <w:b/>
        </w:rPr>
        <w:t>0</w:t>
      </w:r>
      <w:r>
        <w:rPr>
          <w:b/>
        </w:rPr>
        <w:t xml:space="preserve"> dnů ode dne zahájení řízení</w:t>
      </w:r>
      <w:r w:rsidRPr="0032423F">
        <w:rPr>
          <w:b/>
        </w:rPr>
        <w:t>, pokud</w:t>
      </w:r>
    </w:p>
    <w:p w14:paraId="60713268" w14:textId="77777777" w:rsidR="00A64E48" w:rsidRPr="00C713D2" w:rsidRDefault="00A64E48" w:rsidP="00A55D8D">
      <w:pPr>
        <w:tabs>
          <w:tab w:val="left" w:pos="425"/>
          <w:tab w:val="left" w:pos="851"/>
        </w:tabs>
        <w:spacing w:before="0"/>
        <w:ind w:left="425" w:hanging="425"/>
        <w:rPr>
          <w:b/>
          <w:szCs w:val="24"/>
        </w:rPr>
      </w:pPr>
      <w:r>
        <w:rPr>
          <w:b/>
          <w:szCs w:val="24"/>
        </w:rPr>
        <w:t>a)</w:t>
      </w:r>
      <w:r>
        <w:rPr>
          <w:b/>
          <w:szCs w:val="24"/>
        </w:rPr>
        <w:tab/>
      </w:r>
      <w:r w:rsidRPr="00C713D2">
        <w:rPr>
          <w:b/>
          <w:szCs w:val="24"/>
        </w:rPr>
        <w:t>nesplňuje podmínky nezávislosti podle zákona upravující</w:t>
      </w:r>
      <w:r>
        <w:rPr>
          <w:b/>
          <w:szCs w:val="24"/>
        </w:rPr>
        <w:t>ho</w:t>
      </w:r>
      <w:r w:rsidRPr="00C713D2">
        <w:rPr>
          <w:b/>
          <w:szCs w:val="24"/>
        </w:rPr>
        <w:t xml:space="preserve"> </w:t>
      </w:r>
      <w:r>
        <w:rPr>
          <w:b/>
          <w:szCs w:val="24"/>
        </w:rPr>
        <w:t xml:space="preserve">auditorskou </w:t>
      </w:r>
      <w:r w:rsidRPr="00C713D2">
        <w:rPr>
          <w:b/>
          <w:szCs w:val="24"/>
        </w:rPr>
        <w:t xml:space="preserve">činnost, </w:t>
      </w:r>
    </w:p>
    <w:p w14:paraId="71A7B69D" w14:textId="77777777" w:rsidR="00A64E48" w:rsidRPr="00C713D2" w:rsidRDefault="00A64E48" w:rsidP="00A55D8D">
      <w:pPr>
        <w:tabs>
          <w:tab w:val="left" w:pos="425"/>
          <w:tab w:val="left" w:pos="851"/>
        </w:tabs>
        <w:spacing w:before="0"/>
        <w:ind w:left="425" w:hanging="425"/>
        <w:rPr>
          <w:b/>
          <w:szCs w:val="24"/>
        </w:rPr>
      </w:pPr>
      <w:r>
        <w:rPr>
          <w:b/>
          <w:szCs w:val="24"/>
        </w:rPr>
        <w:lastRenderedPageBreak/>
        <w:t>b)</w:t>
      </w:r>
      <w:r>
        <w:rPr>
          <w:b/>
          <w:szCs w:val="24"/>
        </w:rPr>
        <w:tab/>
      </w:r>
      <w:r w:rsidRPr="00C713D2">
        <w:rPr>
          <w:b/>
          <w:szCs w:val="24"/>
        </w:rPr>
        <w:t>jeho dosavadní činnost v oblasti auditu</w:t>
      </w:r>
      <w:r>
        <w:rPr>
          <w:b/>
          <w:szCs w:val="24"/>
        </w:rPr>
        <w:t xml:space="preserve"> účetních závěrek</w:t>
      </w:r>
      <w:r w:rsidRPr="00C713D2">
        <w:rPr>
          <w:b/>
          <w:szCs w:val="24"/>
        </w:rPr>
        <w:t xml:space="preserve"> úvěrových institucí, případně jiných subjektů působících na finančním trhu, nezajišťuje předpoklad řádného provedení </w:t>
      </w:r>
      <w:r w:rsidRPr="00A00488">
        <w:rPr>
          <w:b/>
          <w:szCs w:val="24"/>
        </w:rPr>
        <w:t>povinného auditu</w:t>
      </w:r>
      <w:r w:rsidRPr="00C713D2">
        <w:rPr>
          <w:b/>
          <w:szCs w:val="24"/>
        </w:rPr>
        <w:t xml:space="preserve">, a to s ohledem na rozsah a složitost činností vykonávaných </w:t>
      </w:r>
      <w:r>
        <w:rPr>
          <w:b/>
        </w:rPr>
        <w:t>družstevní záložnou</w:t>
      </w:r>
      <w:r w:rsidRPr="00C713D2">
        <w:rPr>
          <w:b/>
          <w:szCs w:val="24"/>
        </w:rPr>
        <w:t xml:space="preserve">, ve které má být </w:t>
      </w:r>
      <w:r w:rsidRPr="00A00488">
        <w:rPr>
          <w:b/>
          <w:szCs w:val="24"/>
        </w:rPr>
        <w:t>povinný audit</w:t>
      </w:r>
      <w:r w:rsidRPr="00C713D2">
        <w:rPr>
          <w:b/>
          <w:szCs w:val="24"/>
        </w:rPr>
        <w:t xml:space="preserve"> proveden.</w:t>
      </w:r>
    </w:p>
    <w:p w14:paraId="4A15A862" w14:textId="77777777" w:rsidR="00A64E48" w:rsidRPr="0032423F" w:rsidRDefault="00A64E48" w:rsidP="00CE2C91">
      <w:pPr>
        <w:pStyle w:val="PZTextodstavce"/>
        <w:rPr>
          <w:b/>
        </w:rPr>
      </w:pPr>
      <w:r>
        <w:rPr>
          <w:b/>
        </w:rPr>
        <w:t>(4)</w:t>
      </w:r>
      <w:r>
        <w:rPr>
          <w:b/>
        </w:rPr>
        <w:tab/>
      </w:r>
      <w:r w:rsidRPr="0032423F">
        <w:rPr>
          <w:b/>
        </w:rPr>
        <w:t>Řízení o odmítnutí auditora zahájí Česká národní banka do 30 dnů od</w:t>
      </w:r>
      <w:r>
        <w:rPr>
          <w:b/>
        </w:rPr>
        <w:t>e dne</w:t>
      </w:r>
      <w:r w:rsidRPr="0032423F">
        <w:rPr>
          <w:b/>
        </w:rPr>
        <w:t xml:space="preserve"> obdržení oznámení od </w:t>
      </w:r>
      <w:r>
        <w:rPr>
          <w:b/>
        </w:rPr>
        <w:t>družstevní záložny</w:t>
      </w:r>
      <w:r w:rsidRPr="0032423F">
        <w:rPr>
          <w:b/>
        </w:rPr>
        <w:t xml:space="preserve"> podle odstavce 2. Nezahájí-li Česká národní banka řízení ve stanovené lhůtě, platí, že Česká národní banka auditora neodmítla.</w:t>
      </w:r>
    </w:p>
    <w:p w14:paraId="3BE9A17A" w14:textId="77777777" w:rsidR="00A64E48" w:rsidRDefault="00A64E48" w:rsidP="00CE2C91">
      <w:pPr>
        <w:pStyle w:val="PZTextodstavce"/>
        <w:rPr>
          <w:b/>
        </w:rPr>
      </w:pPr>
      <w:r w:rsidRPr="0032423F">
        <w:rPr>
          <w:b/>
        </w:rPr>
        <w:t>(5) Odmítne-li Česká nár</w:t>
      </w:r>
      <w:r>
        <w:rPr>
          <w:b/>
        </w:rPr>
        <w:t>odní banka vybraného auditora</w:t>
      </w:r>
      <w:r w:rsidRPr="0032423F">
        <w:rPr>
          <w:b/>
        </w:rPr>
        <w:t xml:space="preserve">, oznámí </w:t>
      </w:r>
      <w:r>
        <w:rPr>
          <w:b/>
        </w:rPr>
        <w:t>družstevní záložna</w:t>
      </w:r>
      <w:r w:rsidRPr="0032423F">
        <w:rPr>
          <w:b/>
        </w:rPr>
        <w:t xml:space="preserve"> České národní </w:t>
      </w:r>
      <w:r>
        <w:rPr>
          <w:b/>
        </w:rPr>
        <w:t>bance nově vybraného auditora</w:t>
      </w:r>
      <w:r w:rsidRPr="0032423F">
        <w:rPr>
          <w:b/>
        </w:rPr>
        <w:t xml:space="preserve">. Na nově vybraného </w:t>
      </w:r>
      <w:r>
        <w:rPr>
          <w:b/>
        </w:rPr>
        <w:t>auditora se použijí odstavce 2</w:t>
      </w:r>
      <w:r w:rsidRPr="0032423F">
        <w:rPr>
          <w:b/>
        </w:rPr>
        <w:t xml:space="preserve"> až 4 obdobně.</w:t>
      </w:r>
    </w:p>
    <w:p w14:paraId="0CE4920D" w14:textId="77777777" w:rsidR="00A64E48" w:rsidRPr="001C5168" w:rsidRDefault="00A64E48" w:rsidP="00CE2C91">
      <w:pPr>
        <w:pStyle w:val="PZTextodstavce"/>
        <w:rPr>
          <w:b/>
        </w:rPr>
      </w:pPr>
      <w:r>
        <w:rPr>
          <w:b/>
        </w:rPr>
        <w:t>(6) Proti rozhodnutí o odmítnutí auditora není přípustný rozklad.</w:t>
      </w:r>
    </w:p>
    <w:p w14:paraId="37C3B033" w14:textId="77777777" w:rsidR="00A64E48" w:rsidRPr="001B3AB1" w:rsidRDefault="00A64E48" w:rsidP="00A64E48">
      <w:pPr>
        <w:pStyle w:val="Paragraf"/>
        <w:numPr>
          <w:ilvl w:val="0"/>
          <w:numId w:val="27"/>
        </w:numPr>
        <w:spacing w:after="120"/>
        <w:rPr>
          <w:b/>
        </w:rPr>
      </w:pPr>
      <w:r w:rsidRPr="001B3AB1">
        <w:rPr>
          <w:b/>
        </w:rPr>
        <w:t>§ 8c</w:t>
      </w:r>
    </w:p>
    <w:p w14:paraId="694B6632" w14:textId="77777777" w:rsidR="00A64E48" w:rsidRPr="001C5168" w:rsidRDefault="00A64E48" w:rsidP="00A64E48">
      <w:pPr>
        <w:pStyle w:val="Paragraf"/>
        <w:numPr>
          <w:ilvl w:val="0"/>
          <w:numId w:val="27"/>
        </w:numPr>
        <w:spacing w:after="120"/>
        <w:rPr>
          <w:b/>
        </w:rPr>
      </w:pPr>
      <w:r w:rsidRPr="001C5168">
        <w:rPr>
          <w:b/>
        </w:rPr>
        <w:t>Ověření řídicího a kontrolního systému</w:t>
      </w:r>
    </w:p>
    <w:p w14:paraId="0C9C8BEC" w14:textId="77777777" w:rsidR="00A64E48" w:rsidRDefault="00A64E48" w:rsidP="00CE2C91">
      <w:pPr>
        <w:pStyle w:val="PZTextodstavce"/>
        <w:rPr>
          <w:b/>
        </w:rPr>
      </w:pPr>
      <w:r w:rsidRPr="00802B96">
        <w:rPr>
          <w:b/>
        </w:rPr>
        <w:t xml:space="preserve">(1) Česká národní banka může nařídit </w:t>
      </w:r>
      <w:r>
        <w:rPr>
          <w:b/>
        </w:rPr>
        <w:t>družstevní záložně</w:t>
      </w:r>
      <w:r w:rsidRPr="00802B96">
        <w:rPr>
          <w:b/>
        </w:rPr>
        <w:t xml:space="preserve">, aby zajistila ověření svého řídicího a kontrolního systému nebo jeho části nebo informací předkládaných České národní bance </w:t>
      </w:r>
      <w:r>
        <w:rPr>
          <w:b/>
        </w:rPr>
        <w:t xml:space="preserve">ověřovatelem podle § 8d, </w:t>
      </w:r>
      <w:r w:rsidRPr="00802B96">
        <w:rPr>
          <w:b/>
        </w:rPr>
        <w:t xml:space="preserve">pokud nastanou skutečnosti, které by mohly mít zásadní nepříznivý dopad na činnost </w:t>
      </w:r>
      <w:r>
        <w:rPr>
          <w:b/>
        </w:rPr>
        <w:t>družstevní záložny</w:t>
      </w:r>
      <w:r w:rsidRPr="00802B96">
        <w:rPr>
          <w:b/>
        </w:rPr>
        <w:t xml:space="preserve">, její rizikový profil nebo postavení v rámci skupiny, jíž je </w:t>
      </w:r>
      <w:r>
        <w:rPr>
          <w:b/>
        </w:rPr>
        <w:t xml:space="preserve">družstevní záložna </w:t>
      </w:r>
      <w:r w:rsidRPr="00802B96">
        <w:rPr>
          <w:b/>
        </w:rPr>
        <w:t xml:space="preserve">součástí. </w:t>
      </w:r>
      <w:r w:rsidRPr="00CE795B">
        <w:rPr>
          <w:b/>
        </w:rPr>
        <w:t xml:space="preserve">Ověření je dokončeno </w:t>
      </w:r>
      <w:r>
        <w:rPr>
          <w:b/>
        </w:rPr>
        <w:t>předložením</w:t>
      </w:r>
      <w:r w:rsidRPr="00CE795B">
        <w:rPr>
          <w:b/>
        </w:rPr>
        <w:t xml:space="preserve"> zprávy o ověření </w:t>
      </w:r>
      <w:r>
        <w:rPr>
          <w:b/>
        </w:rPr>
        <w:t>řídicího a kontrolního systému České národní bance</w:t>
      </w:r>
      <w:r w:rsidRPr="00CE795B">
        <w:rPr>
          <w:b/>
        </w:rPr>
        <w:t xml:space="preserve">. </w:t>
      </w:r>
      <w:r w:rsidRPr="001148AE">
        <w:rPr>
          <w:b/>
        </w:rPr>
        <w:t xml:space="preserve">  </w:t>
      </w:r>
    </w:p>
    <w:p w14:paraId="6CB08498" w14:textId="77777777" w:rsidR="00A64E48" w:rsidRPr="00802B96" w:rsidRDefault="00A64E48" w:rsidP="00CE2C91">
      <w:pPr>
        <w:pStyle w:val="PZTextodstavce"/>
        <w:rPr>
          <w:b/>
        </w:rPr>
      </w:pPr>
      <w:r w:rsidRPr="00802B96">
        <w:rPr>
          <w:b/>
        </w:rPr>
        <w:t>(2) Proti rozhodnutí podle odstavce 1 není přípustný rozklad.</w:t>
      </w:r>
    </w:p>
    <w:p w14:paraId="4ADBAD56" w14:textId="77777777" w:rsidR="00A64E48" w:rsidRPr="00802B96" w:rsidRDefault="00A64E48" w:rsidP="00CE2C91">
      <w:pPr>
        <w:pStyle w:val="PZTextodstavce"/>
        <w:rPr>
          <w:b/>
        </w:rPr>
      </w:pPr>
      <w:r w:rsidRPr="00802B96">
        <w:rPr>
          <w:b/>
        </w:rPr>
        <w:t>(3) Česká národní banka v rozhodnutí podle odstavce 1 stanoví přiměřenou lhůtu pro provedení ověření</w:t>
      </w:r>
      <w:r w:rsidRPr="00AF08E9">
        <w:rPr>
          <w:b/>
        </w:rPr>
        <w:t xml:space="preserve"> </w:t>
      </w:r>
      <w:r>
        <w:rPr>
          <w:b/>
        </w:rPr>
        <w:t>a předložení zprávy podle odstavce 1 České národní bance</w:t>
      </w:r>
      <w:r w:rsidRPr="00802B96">
        <w:rPr>
          <w:b/>
        </w:rPr>
        <w:t xml:space="preserve">, která nesmí být kratší než 3 měsíce ode dne nabytí právní moci rozhodnutí, a určí část řídicího a kontrolního systému </w:t>
      </w:r>
      <w:r>
        <w:rPr>
          <w:b/>
        </w:rPr>
        <w:t>družstevní záložny</w:t>
      </w:r>
      <w:r w:rsidRPr="00802B96">
        <w:rPr>
          <w:b/>
        </w:rPr>
        <w:t xml:space="preserve">, jejíž funkčnost a efektivnost má ověřovatel ověřit. </w:t>
      </w:r>
    </w:p>
    <w:p w14:paraId="6895884B" w14:textId="77777777" w:rsidR="00A64E48" w:rsidRPr="00802B96" w:rsidRDefault="00A64E48" w:rsidP="00CE2C91">
      <w:pPr>
        <w:pStyle w:val="PZTextodstavce"/>
        <w:rPr>
          <w:b/>
        </w:rPr>
      </w:pPr>
      <w:r w:rsidRPr="00802B96">
        <w:rPr>
          <w:b/>
        </w:rPr>
        <w:t xml:space="preserve">(4) </w:t>
      </w:r>
      <w:r>
        <w:rPr>
          <w:b/>
        </w:rPr>
        <w:t>Družstevní záložna</w:t>
      </w:r>
      <w:r w:rsidRPr="00802B96">
        <w:rPr>
          <w:b/>
        </w:rPr>
        <w:t>, které bylo nařízeno provést ověření, poskytne ověřovateli potřebnou součinnost.</w:t>
      </w:r>
    </w:p>
    <w:p w14:paraId="4B9A8D19" w14:textId="77777777" w:rsidR="00A64E48" w:rsidRPr="00802B96" w:rsidRDefault="00A64E48" w:rsidP="00CE2C91">
      <w:pPr>
        <w:pStyle w:val="PZTextodstavce"/>
        <w:rPr>
          <w:b/>
        </w:rPr>
      </w:pPr>
      <w:r w:rsidRPr="00802B96">
        <w:rPr>
          <w:b/>
        </w:rPr>
        <w:t xml:space="preserve">(5) Podrobnosti náležitostí a strukturu zprávy </w:t>
      </w:r>
      <w:r>
        <w:rPr>
          <w:b/>
        </w:rPr>
        <w:t xml:space="preserve">podle odstavce 1 </w:t>
      </w:r>
      <w:r w:rsidRPr="00802B96">
        <w:rPr>
          <w:b/>
        </w:rPr>
        <w:t>stanoví Česká národní banka vyhláškou.</w:t>
      </w:r>
    </w:p>
    <w:p w14:paraId="0323C87C" w14:textId="77777777" w:rsidR="00A64E48" w:rsidRPr="001B3AB1" w:rsidRDefault="00A64E48" w:rsidP="00A64E48">
      <w:pPr>
        <w:pStyle w:val="Paragraf"/>
        <w:numPr>
          <w:ilvl w:val="0"/>
          <w:numId w:val="27"/>
        </w:numPr>
        <w:spacing w:after="120"/>
        <w:rPr>
          <w:b/>
        </w:rPr>
      </w:pPr>
      <w:r w:rsidRPr="001B3AB1">
        <w:rPr>
          <w:b/>
        </w:rPr>
        <w:t>§ 8d</w:t>
      </w:r>
    </w:p>
    <w:p w14:paraId="335B7CF3" w14:textId="0310D043" w:rsidR="00A64E48" w:rsidRPr="00CE2C91" w:rsidRDefault="00A64E48" w:rsidP="00CE2C91">
      <w:pPr>
        <w:pStyle w:val="Paragraf"/>
        <w:numPr>
          <w:ilvl w:val="0"/>
          <w:numId w:val="27"/>
        </w:numPr>
        <w:spacing w:after="120"/>
        <w:rPr>
          <w:b/>
        </w:rPr>
      </w:pPr>
      <w:r w:rsidRPr="001B3AB1">
        <w:rPr>
          <w:b/>
        </w:rPr>
        <w:t>Výběr ověřovatele</w:t>
      </w:r>
    </w:p>
    <w:p w14:paraId="57D552AA" w14:textId="77777777" w:rsidR="00A64E48" w:rsidRPr="00802B96" w:rsidRDefault="00A64E48" w:rsidP="00CE2C91">
      <w:pPr>
        <w:pStyle w:val="PZTextodstavce"/>
        <w:rPr>
          <w:b/>
        </w:rPr>
      </w:pPr>
      <w:r w:rsidRPr="00802B96">
        <w:rPr>
          <w:b/>
        </w:rPr>
        <w:t xml:space="preserve">(1) </w:t>
      </w:r>
      <w:r>
        <w:rPr>
          <w:b/>
        </w:rPr>
        <w:t>Družstevní záložna</w:t>
      </w:r>
      <w:r w:rsidRPr="00802B96">
        <w:rPr>
          <w:b/>
        </w:rPr>
        <w:t xml:space="preserve"> </w:t>
      </w:r>
      <w:r>
        <w:rPr>
          <w:b/>
        </w:rPr>
        <w:t>oznámí</w:t>
      </w:r>
      <w:r w:rsidRPr="00802B96">
        <w:rPr>
          <w:b/>
        </w:rPr>
        <w:t xml:space="preserve"> České národní bance vybraného ověřovatele do 30 dnů ode dne nabytí právní moci rozhodnutí podle § </w:t>
      </w:r>
      <w:r>
        <w:rPr>
          <w:b/>
        </w:rPr>
        <w:t>8c</w:t>
      </w:r>
      <w:r w:rsidRPr="00802B96">
        <w:rPr>
          <w:b/>
        </w:rPr>
        <w:t xml:space="preserve"> odst. 1.</w:t>
      </w:r>
    </w:p>
    <w:p w14:paraId="2DD11C2D" w14:textId="77777777" w:rsidR="00A64E48" w:rsidRPr="00802B96" w:rsidRDefault="00A64E48" w:rsidP="00CE2C91">
      <w:pPr>
        <w:pStyle w:val="PZTextodstavce"/>
        <w:rPr>
          <w:b/>
        </w:rPr>
      </w:pPr>
      <w:r w:rsidRPr="00802B96">
        <w:rPr>
          <w:b/>
        </w:rPr>
        <w:t>(2)</w:t>
      </w:r>
      <w:r>
        <w:rPr>
          <w:b/>
        </w:rPr>
        <w:tab/>
      </w:r>
      <w:r w:rsidRPr="00802B96">
        <w:rPr>
          <w:b/>
        </w:rPr>
        <w:t>Oznámení o výběru ověřovatele podle odstavce 1 obsahuje</w:t>
      </w:r>
    </w:p>
    <w:p w14:paraId="4A32AAB6" w14:textId="77777777" w:rsidR="00A64E48" w:rsidRPr="00802B96" w:rsidRDefault="00A64E48" w:rsidP="00A55D8D">
      <w:pPr>
        <w:tabs>
          <w:tab w:val="left" w:pos="425"/>
          <w:tab w:val="left" w:pos="851"/>
        </w:tabs>
        <w:spacing w:before="0"/>
        <w:ind w:left="425" w:hanging="425"/>
        <w:rPr>
          <w:b/>
          <w:szCs w:val="24"/>
        </w:rPr>
      </w:pPr>
      <w:r w:rsidRPr="00802B96">
        <w:rPr>
          <w:b/>
          <w:szCs w:val="24"/>
        </w:rPr>
        <w:t>a)</w:t>
      </w:r>
      <w:r w:rsidRPr="00802B96">
        <w:rPr>
          <w:b/>
          <w:szCs w:val="24"/>
        </w:rPr>
        <w:tab/>
        <w:t>identifikaci ověřovatele a dalších osob, které se budou podílet na ověření,</w:t>
      </w:r>
    </w:p>
    <w:p w14:paraId="14CBE315" w14:textId="77777777" w:rsidR="00A64E48" w:rsidRPr="00802B96" w:rsidRDefault="00A64E48" w:rsidP="00A55D8D">
      <w:pPr>
        <w:tabs>
          <w:tab w:val="left" w:pos="425"/>
          <w:tab w:val="left" w:pos="851"/>
        </w:tabs>
        <w:spacing w:before="0"/>
        <w:ind w:left="425" w:hanging="425"/>
        <w:rPr>
          <w:b/>
          <w:szCs w:val="24"/>
        </w:rPr>
      </w:pPr>
      <w:r w:rsidRPr="00802B96">
        <w:rPr>
          <w:b/>
          <w:szCs w:val="24"/>
        </w:rPr>
        <w:t>b)</w:t>
      </w:r>
      <w:r w:rsidRPr="00802B96">
        <w:rPr>
          <w:b/>
          <w:szCs w:val="24"/>
        </w:rPr>
        <w:tab/>
        <w:t xml:space="preserve">vymezení části řídicího a kontrolního systému, která má být daným ověřovatelem ověřena, </w:t>
      </w:r>
    </w:p>
    <w:p w14:paraId="6CD363BC" w14:textId="77777777" w:rsidR="00A64E48" w:rsidRPr="00802B96" w:rsidRDefault="00A64E48" w:rsidP="00A55D8D">
      <w:pPr>
        <w:tabs>
          <w:tab w:val="left" w:pos="425"/>
          <w:tab w:val="left" w:pos="851"/>
        </w:tabs>
        <w:spacing w:before="0"/>
        <w:ind w:left="425" w:hanging="425"/>
        <w:rPr>
          <w:b/>
          <w:szCs w:val="24"/>
        </w:rPr>
      </w:pPr>
      <w:r w:rsidRPr="00802B96">
        <w:rPr>
          <w:b/>
          <w:szCs w:val="24"/>
        </w:rPr>
        <w:t>c)</w:t>
      </w:r>
      <w:r w:rsidRPr="00802B96">
        <w:rPr>
          <w:b/>
          <w:szCs w:val="24"/>
        </w:rPr>
        <w:tab/>
        <w:t xml:space="preserve">rozsah dosavadní činnosti ověřovatele v oblasti řídicího a kontrolního systému </w:t>
      </w:r>
      <w:r w:rsidRPr="001B3AB1">
        <w:rPr>
          <w:b/>
          <w:szCs w:val="24"/>
        </w:rPr>
        <w:t>družstevní záložny</w:t>
      </w:r>
      <w:r w:rsidRPr="00802B96">
        <w:rPr>
          <w:b/>
          <w:szCs w:val="24"/>
        </w:rPr>
        <w:t>, která má být ověřena,</w:t>
      </w:r>
    </w:p>
    <w:p w14:paraId="04A60B9A" w14:textId="77777777" w:rsidR="00A64E48" w:rsidRPr="00802B96" w:rsidRDefault="00A64E48" w:rsidP="00A55D8D">
      <w:pPr>
        <w:tabs>
          <w:tab w:val="left" w:pos="425"/>
          <w:tab w:val="left" w:pos="851"/>
        </w:tabs>
        <w:spacing w:before="0"/>
        <w:ind w:left="425" w:hanging="425"/>
        <w:rPr>
          <w:b/>
          <w:szCs w:val="24"/>
        </w:rPr>
      </w:pPr>
      <w:r w:rsidRPr="00802B96">
        <w:rPr>
          <w:b/>
          <w:szCs w:val="24"/>
        </w:rPr>
        <w:t>d)</w:t>
      </w:r>
      <w:r w:rsidRPr="00802B96">
        <w:rPr>
          <w:b/>
          <w:szCs w:val="24"/>
        </w:rPr>
        <w:tab/>
        <w:t>popis činností doposud vykonávaných ověřovatelem v oblasti činnosti úvěrových institucí, popřípadě jiných subjektů působících na finančním trhu,</w:t>
      </w:r>
    </w:p>
    <w:p w14:paraId="7117C06D" w14:textId="77777777" w:rsidR="00A64E48" w:rsidRPr="00802B96" w:rsidRDefault="00A64E48" w:rsidP="00A55D8D">
      <w:pPr>
        <w:tabs>
          <w:tab w:val="left" w:pos="425"/>
          <w:tab w:val="left" w:pos="851"/>
        </w:tabs>
        <w:spacing w:before="0"/>
        <w:ind w:left="425" w:hanging="425"/>
        <w:rPr>
          <w:b/>
          <w:szCs w:val="24"/>
        </w:rPr>
      </w:pPr>
      <w:r w:rsidRPr="00802B96">
        <w:rPr>
          <w:b/>
          <w:szCs w:val="24"/>
        </w:rPr>
        <w:lastRenderedPageBreak/>
        <w:t>e)</w:t>
      </w:r>
      <w:r w:rsidRPr="00802B96">
        <w:rPr>
          <w:b/>
          <w:szCs w:val="24"/>
        </w:rPr>
        <w:tab/>
        <w:t xml:space="preserve">čestné prohlášení ověřovatele o kárných nebo jiných sankčních opatřeních přijatých vůči </w:t>
      </w:r>
      <w:r w:rsidRPr="00996A54">
        <w:rPr>
          <w:b/>
          <w:szCs w:val="24"/>
        </w:rPr>
        <w:t xml:space="preserve">ověřovateli, pokud není zjistitelné z veřejných rejstříků, </w:t>
      </w:r>
    </w:p>
    <w:p w14:paraId="373DF941" w14:textId="77777777" w:rsidR="00A64E48" w:rsidRDefault="00A64E48" w:rsidP="00A55D8D">
      <w:pPr>
        <w:tabs>
          <w:tab w:val="left" w:pos="425"/>
          <w:tab w:val="left" w:pos="851"/>
        </w:tabs>
        <w:spacing w:before="0"/>
        <w:ind w:left="425" w:hanging="425"/>
        <w:rPr>
          <w:b/>
          <w:szCs w:val="24"/>
        </w:rPr>
      </w:pPr>
      <w:r w:rsidRPr="00802B96">
        <w:rPr>
          <w:b/>
          <w:szCs w:val="24"/>
        </w:rPr>
        <w:t>f)</w:t>
      </w:r>
      <w:r w:rsidRPr="00802B96">
        <w:rPr>
          <w:b/>
          <w:szCs w:val="24"/>
        </w:rPr>
        <w:tab/>
        <w:t xml:space="preserve">prohlášení </w:t>
      </w:r>
      <w:r>
        <w:rPr>
          <w:b/>
          <w:szCs w:val="24"/>
        </w:rPr>
        <w:t>družstevní záložny</w:t>
      </w:r>
      <w:r w:rsidRPr="00802B96">
        <w:rPr>
          <w:b/>
          <w:szCs w:val="24"/>
        </w:rPr>
        <w:t xml:space="preserve"> o neexistenci propojení</w:t>
      </w:r>
      <w:r>
        <w:rPr>
          <w:b/>
          <w:szCs w:val="24"/>
        </w:rPr>
        <w:t xml:space="preserve"> ověřovatele</w:t>
      </w:r>
      <w:r w:rsidRPr="00802B96">
        <w:rPr>
          <w:b/>
          <w:szCs w:val="24"/>
        </w:rPr>
        <w:t xml:space="preserve"> s</w:t>
      </w:r>
      <w:r>
        <w:rPr>
          <w:b/>
          <w:szCs w:val="24"/>
        </w:rPr>
        <w:t> </w:t>
      </w:r>
      <w:r w:rsidRPr="001B3AB1">
        <w:rPr>
          <w:b/>
          <w:szCs w:val="24"/>
        </w:rPr>
        <w:t>družstevní záložnou</w:t>
      </w:r>
      <w:r w:rsidRPr="00802B96">
        <w:rPr>
          <w:b/>
          <w:szCs w:val="24"/>
        </w:rPr>
        <w:t>, které by bránilo provedení nestranného ověření jejího řídicího a kontrolního systému nebo jeho části.</w:t>
      </w:r>
    </w:p>
    <w:p w14:paraId="5F8FFC91" w14:textId="77777777" w:rsidR="00A64E48" w:rsidRPr="00802B96" w:rsidRDefault="00A64E48" w:rsidP="00CE2C91">
      <w:pPr>
        <w:pStyle w:val="PZTextodstavce"/>
        <w:rPr>
          <w:b/>
          <w:szCs w:val="24"/>
        </w:rPr>
      </w:pPr>
      <w:r w:rsidRPr="00802B96">
        <w:rPr>
          <w:b/>
          <w:szCs w:val="24"/>
        </w:rPr>
        <w:t>(3)</w:t>
      </w:r>
      <w:r>
        <w:rPr>
          <w:b/>
          <w:szCs w:val="24"/>
        </w:rPr>
        <w:tab/>
      </w:r>
      <w:r w:rsidRPr="00802B96">
        <w:rPr>
          <w:b/>
          <w:szCs w:val="24"/>
        </w:rPr>
        <w:t xml:space="preserve">Česká </w:t>
      </w:r>
      <w:r w:rsidRPr="00CE2C91">
        <w:rPr>
          <w:b/>
        </w:rPr>
        <w:t>národní</w:t>
      </w:r>
      <w:r w:rsidRPr="00802B96">
        <w:rPr>
          <w:b/>
          <w:szCs w:val="24"/>
        </w:rPr>
        <w:t xml:space="preserve"> banka ověřovatele oznámeného podle odstavce 1 odmítne</w:t>
      </w:r>
      <w:r>
        <w:rPr>
          <w:b/>
          <w:szCs w:val="24"/>
        </w:rPr>
        <w:t xml:space="preserve"> do 30 dnů ode dne zahájení řízení</w:t>
      </w:r>
      <w:r w:rsidRPr="00802B96">
        <w:rPr>
          <w:b/>
          <w:szCs w:val="24"/>
        </w:rPr>
        <w:t>, pokud</w:t>
      </w:r>
    </w:p>
    <w:p w14:paraId="31D92B3B" w14:textId="77777777" w:rsidR="00A64E48" w:rsidRPr="00802B96" w:rsidRDefault="00A64E48" w:rsidP="00A55D8D">
      <w:pPr>
        <w:tabs>
          <w:tab w:val="left" w:pos="425"/>
          <w:tab w:val="left" w:pos="851"/>
        </w:tabs>
        <w:spacing w:before="0"/>
        <w:ind w:left="425" w:hanging="425"/>
        <w:rPr>
          <w:b/>
          <w:szCs w:val="24"/>
        </w:rPr>
      </w:pPr>
      <w:r w:rsidRPr="00802B96">
        <w:rPr>
          <w:b/>
          <w:szCs w:val="24"/>
        </w:rPr>
        <w:t>a)</w:t>
      </w:r>
      <w:r w:rsidRPr="00802B96">
        <w:rPr>
          <w:b/>
          <w:szCs w:val="24"/>
        </w:rPr>
        <w:tab/>
        <w:t xml:space="preserve">je nebo byl v posledních 2 letech před provedením ověření k </w:t>
      </w:r>
      <w:r>
        <w:rPr>
          <w:b/>
        </w:rPr>
        <w:t>družstevní záložně</w:t>
      </w:r>
      <w:r w:rsidRPr="00802B96">
        <w:rPr>
          <w:b/>
        </w:rPr>
        <w:t xml:space="preserve"> </w:t>
      </w:r>
      <w:r w:rsidRPr="00802B96">
        <w:rPr>
          <w:b/>
          <w:szCs w:val="24"/>
        </w:rPr>
        <w:t>ve vztahu, který by mohl ovlivnit jeho nestrannost</w:t>
      </w:r>
      <w:r>
        <w:rPr>
          <w:b/>
          <w:szCs w:val="24"/>
        </w:rPr>
        <w:t>,</w:t>
      </w:r>
      <w:r w:rsidRPr="00802B96">
        <w:rPr>
          <w:b/>
          <w:szCs w:val="24"/>
        </w:rPr>
        <w:t xml:space="preserve"> </w:t>
      </w:r>
      <w:r>
        <w:rPr>
          <w:b/>
          <w:szCs w:val="24"/>
        </w:rPr>
        <w:t>nebo nesplňuje-li požadavky na nezávislost stanovené v zákoně upravujícím auditorskou činnost, jde-li o auditora</w:t>
      </w:r>
      <w:r w:rsidRPr="00802B96">
        <w:rPr>
          <w:b/>
          <w:szCs w:val="24"/>
        </w:rPr>
        <w:t>,</w:t>
      </w:r>
    </w:p>
    <w:p w14:paraId="735C4721" w14:textId="77777777" w:rsidR="00A64E48" w:rsidRPr="00802B96" w:rsidRDefault="00A64E48" w:rsidP="00A55D8D">
      <w:pPr>
        <w:tabs>
          <w:tab w:val="left" w:pos="425"/>
          <w:tab w:val="left" w:pos="851"/>
        </w:tabs>
        <w:spacing w:before="0"/>
        <w:ind w:left="425" w:hanging="425"/>
        <w:rPr>
          <w:b/>
          <w:szCs w:val="24"/>
        </w:rPr>
      </w:pPr>
      <w:r w:rsidRPr="00802B96">
        <w:rPr>
          <w:b/>
          <w:szCs w:val="24"/>
        </w:rPr>
        <w:t>b)</w:t>
      </w:r>
      <w:r w:rsidRPr="00802B96">
        <w:rPr>
          <w:b/>
          <w:szCs w:val="24"/>
        </w:rPr>
        <w:tab/>
        <w:t xml:space="preserve">jeho dosavadní činnost v oblasti ověření řídicího a kontrolního systému úvěrových institucí nebo jeho části nezajišťuje předpoklad řádného ověření, a to s ohledem na rozsah a složitost činností vykonávaných </w:t>
      </w:r>
      <w:r>
        <w:rPr>
          <w:b/>
        </w:rPr>
        <w:t>družstevní záložnou</w:t>
      </w:r>
      <w:r w:rsidRPr="00802B96">
        <w:rPr>
          <w:b/>
          <w:szCs w:val="24"/>
        </w:rPr>
        <w:t>, ve které má ověření provést.</w:t>
      </w:r>
    </w:p>
    <w:p w14:paraId="3621AEE1" w14:textId="77777777" w:rsidR="00A64E48" w:rsidRPr="00802B96" w:rsidRDefault="00A64E48" w:rsidP="00CE2C91">
      <w:pPr>
        <w:pStyle w:val="PZTextodstavce"/>
        <w:rPr>
          <w:b/>
        </w:rPr>
      </w:pPr>
      <w:r w:rsidRPr="00802B96">
        <w:rPr>
          <w:b/>
        </w:rPr>
        <w:t>(4) Řízení o odmítnutí ověřovatele zahájí Česká národní banka do 30 dnů od</w:t>
      </w:r>
      <w:r>
        <w:rPr>
          <w:b/>
        </w:rPr>
        <w:t>e dne</w:t>
      </w:r>
      <w:r w:rsidRPr="00802B96">
        <w:rPr>
          <w:b/>
        </w:rPr>
        <w:t xml:space="preserve"> obdržení oznámení od </w:t>
      </w:r>
      <w:r>
        <w:rPr>
          <w:b/>
        </w:rPr>
        <w:t>družstevní záložny</w:t>
      </w:r>
      <w:r w:rsidRPr="00802B96">
        <w:rPr>
          <w:b/>
        </w:rPr>
        <w:t xml:space="preserve"> podle odstavce 2. Nezahájí-li Česká národní banka řízení ve stanovené lhůtě, platí, že Česká národní banka ověřovatele neodmítla.</w:t>
      </w:r>
    </w:p>
    <w:p w14:paraId="453ECB2D" w14:textId="77777777" w:rsidR="00A64E48" w:rsidRPr="00802B96" w:rsidRDefault="00A64E48" w:rsidP="00CE2C91">
      <w:pPr>
        <w:pStyle w:val="PZTextodstavce"/>
        <w:rPr>
          <w:b/>
        </w:rPr>
      </w:pPr>
      <w:r w:rsidRPr="00802B96">
        <w:rPr>
          <w:b/>
        </w:rPr>
        <w:t>(5)</w:t>
      </w:r>
      <w:r>
        <w:rPr>
          <w:b/>
        </w:rPr>
        <w:tab/>
      </w:r>
      <w:r w:rsidRPr="00802B96">
        <w:rPr>
          <w:b/>
        </w:rPr>
        <w:t xml:space="preserve">Pokud Česká národní banka zahájí řízení o odmítnutí ověřovatele podle odstavce 4, lhůta pro provedení ověření </w:t>
      </w:r>
      <w:r>
        <w:rPr>
          <w:b/>
        </w:rPr>
        <w:t>řídicího</w:t>
      </w:r>
      <w:r w:rsidRPr="00802B96">
        <w:rPr>
          <w:b/>
        </w:rPr>
        <w:t xml:space="preserve"> a kontrolního systému nebo jeho části podle § </w:t>
      </w:r>
      <w:r>
        <w:rPr>
          <w:b/>
        </w:rPr>
        <w:t>8c</w:t>
      </w:r>
      <w:r w:rsidRPr="00802B96">
        <w:rPr>
          <w:b/>
        </w:rPr>
        <w:t xml:space="preserve"> odst. 3 se o dobu trvání tohoto řízení prodlužuje.</w:t>
      </w:r>
    </w:p>
    <w:p w14:paraId="1505443C" w14:textId="77777777" w:rsidR="00A64E48" w:rsidRDefault="00A64E48" w:rsidP="00CE2C91">
      <w:pPr>
        <w:pStyle w:val="PZTextodstavce"/>
        <w:rPr>
          <w:b/>
        </w:rPr>
      </w:pPr>
      <w:r>
        <w:rPr>
          <w:b/>
        </w:rPr>
        <w:t>(6)</w:t>
      </w:r>
      <w:r>
        <w:rPr>
          <w:b/>
        </w:rPr>
        <w:tab/>
      </w:r>
      <w:r w:rsidRPr="00802B96">
        <w:rPr>
          <w:b/>
        </w:rPr>
        <w:t xml:space="preserve">Odmítne-li Česká národní banka vybraného ověřovatele, oznámí </w:t>
      </w:r>
      <w:r>
        <w:rPr>
          <w:b/>
        </w:rPr>
        <w:t>družstevní záložna</w:t>
      </w:r>
      <w:r w:rsidRPr="00802B96">
        <w:rPr>
          <w:b/>
        </w:rPr>
        <w:t xml:space="preserve"> České národní bance nově vybraného ověřovatele. Na nově vybraného o</w:t>
      </w:r>
      <w:r>
        <w:rPr>
          <w:b/>
        </w:rPr>
        <w:t>věřovatele se použijí odstavce 2</w:t>
      </w:r>
      <w:r w:rsidRPr="00802B96">
        <w:rPr>
          <w:b/>
        </w:rPr>
        <w:t xml:space="preserve"> až </w:t>
      </w:r>
      <w:r>
        <w:rPr>
          <w:b/>
        </w:rPr>
        <w:t>5</w:t>
      </w:r>
      <w:r w:rsidRPr="00802B96">
        <w:rPr>
          <w:b/>
        </w:rPr>
        <w:t xml:space="preserve"> obdobně.</w:t>
      </w:r>
    </w:p>
    <w:p w14:paraId="499DCB39" w14:textId="07D8CCD9" w:rsidR="00A64E48" w:rsidRDefault="00A64E48" w:rsidP="00CE2C91">
      <w:pPr>
        <w:pStyle w:val="PZTextodstavce"/>
        <w:rPr>
          <w:b/>
        </w:rPr>
      </w:pPr>
      <w:r>
        <w:rPr>
          <w:b/>
        </w:rPr>
        <w:t>(7) Proti rozhodnutí o odmítnutí ověřovatele není přípustný rozklad.</w:t>
      </w:r>
    </w:p>
    <w:p w14:paraId="458A2C3D" w14:textId="77777777" w:rsidR="00A64E48" w:rsidRPr="001B3AB1" w:rsidRDefault="00A64E48" w:rsidP="00A64E48">
      <w:pPr>
        <w:pStyle w:val="Paragraf"/>
        <w:numPr>
          <w:ilvl w:val="0"/>
          <w:numId w:val="27"/>
        </w:numPr>
        <w:spacing w:after="120"/>
      </w:pPr>
      <w:r w:rsidRPr="001B3AB1">
        <w:t>§ 9</w:t>
      </w:r>
    </w:p>
    <w:p w14:paraId="60CFF487" w14:textId="77777777" w:rsidR="00A64E48" w:rsidRPr="00330AD2" w:rsidRDefault="00A64E48" w:rsidP="00CE2C91">
      <w:pPr>
        <w:pStyle w:val="PZTextodstavce"/>
      </w:pPr>
      <w:r w:rsidRPr="00330AD2">
        <w:t>(1) Zisk lze rozdělit mezi členy družstevní záložny. Podíl člena na zisku je stanoven poměrem výše členského vkladu k souhrnu všech členských vkladů všech členů k rozvahovému dni řádné účetní závěrky. Na určení zisku, který se má rozdělit mezi členy, se po zohlednění části zisku připadajícího na vypořádací podíly usnáší členská schůze při projednání řádné účetní závěrky. Ustanovení zákona upravujícího právní poměry obchodních společností a družstev o rozdělení a užití zisku družstva se nepoužijí.</w:t>
      </w:r>
    </w:p>
    <w:p w14:paraId="24E4CD1D" w14:textId="77777777" w:rsidR="00A64E48" w:rsidRPr="00330AD2" w:rsidRDefault="00A64E48" w:rsidP="00CE2C91">
      <w:pPr>
        <w:pStyle w:val="PZTextodstavce"/>
      </w:pPr>
      <w:r>
        <w:t>(2)</w:t>
      </w:r>
      <w:r>
        <w:tab/>
      </w:r>
      <w:r w:rsidRPr="00330AD2">
        <w:t xml:space="preserve">Vykáže-li družstevní záložna ztrátu, je členská schůze povinna rozhodnout při schvalování </w:t>
      </w:r>
      <w:r w:rsidRPr="00AB5C3C">
        <w:rPr>
          <w:b/>
        </w:rPr>
        <w:t>řádné individuální</w:t>
      </w:r>
      <w:r>
        <w:t xml:space="preserve"> </w:t>
      </w:r>
      <w:r w:rsidRPr="00330AD2">
        <w:t xml:space="preserve">účetní závěrky za příslušné </w:t>
      </w:r>
      <w:r>
        <w:rPr>
          <w:b/>
        </w:rPr>
        <w:t xml:space="preserve">individuální účetní </w:t>
      </w:r>
      <w:r w:rsidRPr="00330AD2">
        <w:t>období o úhradě této ztráty z rizikového fondu, rezervního fondu a nerozděleného zisku minulých let družstevní záložny. Úhradu ztráty provede družstevní záložna bez zbytečného odkladu po rozhodnutí členské schůze.</w:t>
      </w:r>
    </w:p>
    <w:p w14:paraId="789DA4DA" w14:textId="77777777" w:rsidR="00A64E48" w:rsidRDefault="00A64E48" w:rsidP="00CE2C91">
      <w:pPr>
        <w:pStyle w:val="PZTextodstavce"/>
      </w:pPr>
      <w:r>
        <w:t>(3)</w:t>
      </w:r>
      <w:r>
        <w:tab/>
      </w:r>
      <w:r w:rsidRPr="00330AD2">
        <w:t>Rozdělení zisku družstevní záložny podle předchozích odstavců provede představenstvo do 30 dnů od dne konání členské schůze, která schválila řádnou účetní závěrku, z níž zisk vyplývá.</w:t>
      </w:r>
    </w:p>
    <w:p w14:paraId="52CA3ECC" w14:textId="77777777" w:rsidR="00A64E48" w:rsidRDefault="00A64E48" w:rsidP="00A64E48">
      <w:pPr>
        <w:pStyle w:val="Paragraf"/>
        <w:numPr>
          <w:ilvl w:val="0"/>
          <w:numId w:val="27"/>
        </w:numPr>
        <w:spacing w:after="120"/>
      </w:pPr>
      <w:r>
        <w:lastRenderedPageBreak/>
        <w:t>***</w:t>
      </w:r>
    </w:p>
    <w:p w14:paraId="33D7FED6" w14:textId="77777777" w:rsidR="00A64E48" w:rsidRDefault="00A64E48" w:rsidP="00A64E48">
      <w:pPr>
        <w:pStyle w:val="Paragraf"/>
        <w:numPr>
          <w:ilvl w:val="0"/>
          <w:numId w:val="27"/>
        </w:numPr>
        <w:spacing w:after="120"/>
      </w:pPr>
      <w:r>
        <w:t>§ 10</w:t>
      </w:r>
    </w:p>
    <w:p w14:paraId="005832B6" w14:textId="77777777" w:rsidR="00A64E48" w:rsidRPr="00B13D55" w:rsidRDefault="00A64E48" w:rsidP="00A64E48">
      <w:pPr>
        <w:pStyle w:val="Paragraf"/>
        <w:numPr>
          <w:ilvl w:val="0"/>
          <w:numId w:val="27"/>
        </w:numPr>
        <w:spacing w:after="120"/>
        <w:rPr>
          <w:b/>
        </w:rPr>
      </w:pPr>
      <w:r w:rsidRPr="00B13D55">
        <w:rPr>
          <w:b/>
        </w:rPr>
        <w:t>Fondy družstevní záložny</w:t>
      </w:r>
    </w:p>
    <w:p w14:paraId="529E10DC" w14:textId="77777777" w:rsidR="00A64E48" w:rsidRPr="0050226B" w:rsidRDefault="00A64E48" w:rsidP="00CE2C91">
      <w:pPr>
        <w:pStyle w:val="PZTextodstavce"/>
      </w:pPr>
      <w:r w:rsidRPr="0050226B">
        <w:t>(1) Družstevní záložna zřizuje tyto fondy:</w:t>
      </w:r>
    </w:p>
    <w:p w14:paraId="14F9B03A" w14:textId="77777777" w:rsidR="00A64E48" w:rsidRPr="0050226B" w:rsidRDefault="00A64E48" w:rsidP="00A64E48">
      <w:pPr>
        <w:tabs>
          <w:tab w:val="left" w:pos="425"/>
          <w:tab w:val="left" w:pos="851"/>
        </w:tabs>
        <w:spacing w:before="0"/>
        <w:ind w:left="425" w:hanging="425"/>
      </w:pPr>
      <w:r w:rsidRPr="0050226B">
        <w:t xml:space="preserve"> a) </w:t>
      </w:r>
      <w:r>
        <w:tab/>
      </w:r>
      <w:r w:rsidRPr="0050226B">
        <w:t>rizikový fond při svém vzniku ke krytí rizik z poskytování úvěrů a záruk ve výši nejméně 20 % ročního zisku po zdanění, a to až do doby, kdy výše rizikového fondu dosáhne částky nejméně 30 % souhrnu nesplacených úvěrů a záruk poskytnutých družstevní záložnou,</w:t>
      </w:r>
    </w:p>
    <w:p w14:paraId="49EA5CF0" w14:textId="77777777" w:rsidR="00A64E48" w:rsidRPr="0050226B" w:rsidRDefault="00A64E48" w:rsidP="00A64E48">
      <w:pPr>
        <w:tabs>
          <w:tab w:val="left" w:pos="425"/>
          <w:tab w:val="left" w:pos="851"/>
        </w:tabs>
        <w:spacing w:before="0"/>
        <w:ind w:left="425" w:hanging="425"/>
      </w:pPr>
      <w:r w:rsidRPr="0050226B">
        <w:t xml:space="preserve"> b) </w:t>
      </w:r>
      <w:r>
        <w:tab/>
      </w:r>
      <w:r w:rsidRPr="0050226B">
        <w:t>rezervní fond. Není-li rezervní fond vytvořen již při vzniku družstevní záložny, vytvoří se ze zisku po zdanění vykázaného v</w:t>
      </w:r>
      <w:r>
        <w:t> </w:t>
      </w:r>
      <w:r w:rsidRPr="0050226B">
        <w:t>řádné</w:t>
      </w:r>
      <w:r>
        <w:t xml:space="preserve"> </w:t>
      </w:r>
      <w:r w:rsidRPr="00B13D55">
        <w:rPr>
          <w:b/>
        </w:rPr>
        <w:t>individuální</w:t>
      </w:r>
      <w:r w:rsidRPr="0050226B">
        <w:t xml:space="preserve"> účetní závěrce za</w:t>
      </w:r>
      <w:r>
        <w:t xml:space="preserve"> </w:t>
      </w:r>
      <w:r>
        <w:rPr>
          <w:b/>
        </w:rPr>
        <w:t>individuální</w:t>
      </w:r>
      <w:r w:rsidRPr="0050226B">
        <w:t xml:space="preserve"> účetní období, v němž poprvé se tento zisk vytvoří, a to ve výši nejméně 10 % ze zisku po zdanění. Tento fond se ročně doplňuje o částku určenou ve stanovách, nejméně však o 10 % ze zisku po zdanění, a to až do doby, kdy výše rezervního fondu dosáhne nejméně 20 % základního kapitálu.</w:t>
      </w:r>
    </w:p>
    <w:p w14:paraId="3EFC420C" w14:textId="77777777" w:rsidR="00A64E48" w:rsidRPr="00330AD2" w:rsidRDefault="00A64E48" w:rsidP="00CE2C91">
      <w:pPr>
        <w:pStyle w:val="PZTextodstavce"/>
      </w:pPr>
      <w:r w:rsidRPr="0050226B">
        <w:t>(2) Stanovy mohou určit, že se vytváří vyšší rizikový fond a rezervní fond a že se popřípadě zřizují další fondy.</w:t>
      </w:r>
    </w:p>
    <w:p w14:paraId="6E7E9E8C" w14:textId="77777777" w:rsidR="00A64E48" w:rsidRDefault="00A64E48" w:rsidP="00A64E48">
      <w:pPr>
        <w:pStyle w:val="Paragraf"/>
        <w:numPr>
          <w:ilvl w:val="0"/>
          <w:numId w:val="27"/>
        </w:numPr>
        <w:spacing w:after="120"/>
      </w:pPr>
      <w:r>
        <w:t>***</w:t>
      </w:r>
    </w:p>
    <w:p w14:paraId="0A95590C" w14:textId="77777777" w:rsidR="00A64E48" w:rsidRPr="00B13D55" w:rsidRDefault="00A64E48" w:rsidP="00A64E48">
      <w:pPr>
        <w:pStyle w:val="Paragraf"/>
        <w:numPr>
          <w:ilvl w:val="0"/>
          <w:numId w:val="27"/>
        </w:numPr>
        <w:spacing w:after="120"/>
      </w:pPr>
      <w:r w:rsidRPr="00B13D55">
        <w:t>§ 13</w:t>
      </w:r>
    </w:p>
    <w:p w14:paraId="1E85E253" w14:textId="77777777" w:rsidR="00A64E48" w:rsidRPr="00B13D55" w:rsidRDefault="00A64E48" w:rsidP="00A64E48">
      <w:pPr>
        <w:pStyle w:val="Paragraf"/>
        <w:numPr>
          <w:ilvl w:val="0"/>
          <w:numId w:val="27"/>
        </w:numPr>
        <w:spacing w:after="120"/>
        <w:rPr>
          <w:b/>
        </w:rPr>
      </w:pPr>
      <w:r w:rsidRPr="00B13D55">
        <w:rPr>
          <w:b/>
        </w:rPr>
        <w:t>Některá ustanovení o zrušení a likvidaci družstevní záložny</w:t>
      </w:r>
    </w:p>
    <w:p w14:paraId="11485023" w14:textId="77777777" w:rsidR="00A64E48" w:rsidRPr="000577C7" w:rsidRDefault="00A64E48" w:rsidP="00CE2C91">
      <w:pPr>
        <w:pStyle w:val="PZTextodstavce"/>
        <w:rPr>
          <w:szCs w:val="24"/>
        </w:rPr>
      </w:pPr>
      <w:r w:rsidRPr="000577C7">
        <w:rPr>
          <w:szCs w:val="24"/>
        </w:rPr>
        <w:t xml:space="preserve">(1) Soud na </w:t>
      </w:r>
      <w:r w:rsidRPr="00CE2C91">
        <w:t>návrh</w:t>
      </w:r>
      <w:r w:rsidRPr="000577C7">
        <w:rPr>
          <w:szCs w:val="24"/>
        </w:rPr>
        <w:t xml:space="preserve"> České národní banky, orgánu nebo člena družstevní záložny nebo osoby, která osvědčí právní zájem, rozhodne o zrušení družstevní záložny a její likvidaci, jestliže</w:t>
      </w:r>
    </w:p>
    <w:p w14:paraId="1E371B38" w14:textId="77777777" w:rsidR="00A64E48" w:rsidRPr="00B13D55" w:rsidRDefault="00A64E48" w:rsidP="00A64E48">
      <w:pPr>
        <w:tabs>
          <w:tab w:val="left" w:pos="425"/>
          <w:tab w:val="left" w:pos="851"/>
        </w:tabs>
        <w:spacing w:before="0"/>
        <w:ind w:left="425" w:hanging="425"/>
      </w:pPr>
      <w:r w:rsidRPr="00B13D55">
        <w:t xml:space="preserve">a) </w:t>
      </w:r>
      <w:r w:rsidRPr="00B13D55">
        <w:tab/>
        <w:t>počet členů klesl pod 30,</w:t>
      </w:r>
    </w:p>
    <w:p w14:paraId="431BF847" w14:textId="77777777" w:rsidR="00A64E48" w:rsidRPr="00B13D55" w:rsidRDefault="00A64E48" w:rsidP="00A64E48">
      <w:pPr>
        <w:tabs>
          <w:tab w:val="left" w:pos="425"/>
          <w:tab w:val="left" w:pos="851"/>
        </w:tabs>
        <w:spacing w:before="0"/>
        <w:ind w:left="425" w:hanging="425"/>
      </w:pPr>
      <w:r w:rsidRPr="00B13D55">
        <w:t xml:space="preserve">b) </w:t>
      </w:r>
      <w:r w:rsidRPr="00B13D55">
        <w:tab/>
        <w:t>kapitál klesl pod 35 000 000 Kč,</w:t>
      </w:r>
    </w:p>
    <w:p w14:paraId="231099D4" w14:textId="77777777" w:rsidR="00A64E48" w:rsidRPr="00B13D55" w:rsidRDefault="00A64E48" w:rsidP="00A64E48">
      <w:pPr>
        <w:tabs>
          <w:tab w:val="left" w:pos="425"/>
          <w:tab w:val="left" w:pos="851"/>
        </w:tabs>
        <w:spacing w:before="0"/>
        <w:ind w:left="425" w:hanging="425"/>
      </w:pPr>
      <w:r w:rsidRPr="00B13D55">
        <w:t xml:space="preserve">c) </w:t>
      </w:r>
      <w:r w:rsidRPr="00B13D55">
        <w:tab/>
        <w:t xml:space="preserve">uplynulo šest měsíců ode dne, kdy skončilo funkční období orgánu družstevní </w:t>
      </w:r>
      <w:proofErr w:type="gramStart"/>
      <w:r w:rsidRPr="00B13D55">
        <w:t>záložny a nebyl</w:t>
      </w:r>
      <w:proofErr w:type="gramEnd"/>
      <w:r w:rsidRPr="00B13D55">
        <w:t xml:space="preserve"> zvolen nový orgán, nebo byla porušena povinnost svolat členskou schůzi, anebo družstevní záložna po dobu delší než jeden rok neprovozuje žádnou činnost,</w:t>
      </w:r>
    </w:p>
    <w:p w14:paraId="4EEA3248" w14:textId="77777777" w:rsidR="00A64E48" w:rsidRPr="00B13D55" w:rsidRDefault="00A64E48" w:rsidP="00A64E48">
      <w:pPr>
        <w:tabs>
          <w:tab w:val="left" w:pos="425"/>
          <w:tab w:val="left" w:pos="851"/>
        </w:tabs>
        <w:spacing w:before="0"/>
        <w:ind w:left="425" w:hanging="425"/>
      </w:pPr>
      <w:r w:rsidRPr="00B13D55">
        <w:t xml:space="preserve">d) </w:t>
      </w:r>
      <w:r w:rsidRPr="00B13D55">
        <w:tab/>
        <w:t>založením, fúzí nebo rozdělením družstevní záložny byl porušen zákon.</w:t>
      </w:r>
    </w:p>
    <w:p w14:paraId="0997CCF3" w14:textId="77777777" w:rsidR="00A64E48" w:rsidRPr="00CE2C91" w:rsidRDefault="00A64E48" w:rsidP="00CE2C91">
      <w:pPr>
        <w:pStyle w:val="PZTextodstavce"/>
      </w:pPr>
      <w:r w:rsidRPr="00CE2C91">
        <w:t>(2) Soud na návrh České národní banky rozhodne o zrušení družstevní záložny a její likvidaci také tehdy, jestliže opatření uložená Českou národní bankou podle § 28 byla neúčinná.</w:t>
      </w:r>
    </w:p>
    <w:p w14:paraId="1F9E431F" w14:textId="77777777" w:rsidR="00A64E48" w:rsidRPr="00CE2C91" w:rsidRDefault="00A64E48" w:rsidP="00CE2C91">
      <w:pPr>
        <w:pStyle w:val="PZTextodstavce"/>
      </w:pPr>
      <w:r w:rsidRPr="00CE2C91">
        <w:t>(3) Soud dále na návrh České národní banky rozhodne o zrušení družstevní záložny a její likvidaci také tehdy, bylo-li družstevní záložně odňato povolení.</w:t>
      </w:r>
    </w:p>
    <w:p w14:paraId="1581C29F" w14:textId="77777777" w:rsidR="00A64E48" w:rsidRPr="00CE2C91" w:rsidRDefault="00A64E48" w:rsidP="00CE2C91">
      <w:pPr>
        <w:pStyle w:val="PZTextodstavce"/>
      </w:pPr>
      <w:r w:rsidRPr="00CE2C91">
        <w:t>(4) Fúze družstevní záložny je možná jen s jinou družstevní záložnou. Družstevní záložnu lze rozdělit pouze na družstevní záložny. K rozdělení nebo fúzi je třeba předchozího souhlasu České národní banky; přitom se postupuje přiměřeně podle § 2a.</w:t>
      </w:r>
    </w:p>
    <w:p w14:paraId="2E1416BE" w14:textId="77777777" w:rsidR="00A64E48" w:rsidRPr="00CE2C91" w:rsidRDefault="00A64E48" w:rsidP="00CE2C91">
      <w:pPr>
        <w:pStyle w:val="PZTextodstavce"/>
      </w:pPr>
      <w:r w:rsidRPr="00CE2C91">
        <w:t>(5) Změna právní formy družstevní záložny není přípustná. To neplatí v případě změny právní formy na akciovou společnost, pokud Česká národní banka udělila souhlas k takové přeměně a současně rozhodla o udělení bankovní licence. Projekt změny právní formy družstevní záložny nemusí obsahovat počet, druh, formu a jmenovitou hodnotu akcií určených pro každého akcionáře po zápisu změny právní formy do obchodního rejstříku, pokud bude obsahovat způsob jejich určení.</w:t>
      </w:r>
    </w:p>
    <w:p w14:paraId="53B94DB7" w14:textId="77777777" w:rsidR="00A64E48" w:rsidRPr="00CE2C91" w:rsidRDefault="00A64E48" w:rsidP="00CE2C91">
      <w:pPr>
        <w:pStyle w:val="PZTextodstavce"/>
      </w:pPr>
      <w:r w:rsidRPr="00CE2C91">
        <w:lastRenderedPageBreak/>
        <w:t>(6) Žádost o udělení souhlasu podle odstavců 4 a 5 obsahuje, vedle náležitostí stanovených správním řádem, informace o důvodech zamýšleného postupu, způsobu jeho provedení a jeho účastnících. Žádost lze podat pouze elektronicky. Podrobnosti náležitostí žádosti, její formát a další technické náležitosti stanoví Česká národní banka vyhláškou.</w:t>
      </w:r>
    </w:p>
    <w:p w14:paraId="06E74564" w14:textId="77777777" w:rsidR="00A64E48" w:rsidRPr="00CE2C91" w:rsidRDefault="00A64E48" w:rsidP="00CE2C91">
      <w:pPr>
        <w:pStyle w:val="PZTextodstavce"/>
      </w:pPr>
      <w:r w:rsidRPr="00CE2C91">
        <w:t>(7) Zrušuje-li se družstevní záložna s likvidací nebo zrušuje-li se výmaz družstevní záložny z obchodního rejstříku, likvidátora družstevní záložny jmenuje a odvolává na návrh České národní banky soud. Likvidátorem může být pouze fyzická nebo právnická osoba splňující podmínky důvěryhodnosti a odborné způsobilosti a která nemá nebo neměla zvláštní vztah k družstevní záložně. V případě odnětí povolení podle § 28g a 28h nemůže být likvidátorem jmenována osoba, která v posledních 5 letech prováděla audit nebo se jinak podílela na zpracování a vedení účetnictví družstevní záložny.</w:t>
      </w:r>
    </w:p>
    <w:p w14:paraId="715DD3FC" w14:textId="77777777" w:rsidR="00A64E48" w:rsidRPr="00CE2C91" w:rsidRDefault="00A64E48" w:rsidP="00CE2C91">
      <w:pPr>
        <w:pStyle w:val="PZTextodstavce"/>
      </w:pPr>
      <w:r w:rsidRPr="00CE2C91">
        <w:t>(8) Soud rozhodne o návrhu České národní banky podle odstavců 2, 3 a 7 bez jednání a rozhodnutí vyhlásí vyvěšením jeho písemného vyhotovení bez odůvodnění na úřední desce soudu do 24 hodin od obdržení návrhu. Vyvěšením rozhodnutí nastávají právní účinky uvedené ve výroku a tím je výrok závazný pro každého; den vyhlášení se na písemném vyhotovení poznamená. Odvolání proti rozhodnutí nemá odkladný účinek.</w:t>
      </w:r>
    </w:p>
    <w:p w14:paraId="379A4F67" w14:textId="77777777" w:rsidR="00A64E48" w:rsidRPr="00CE2C91" w:rsidRDefault="00A64E48" w:rsidP="00CE2C91">
      <w:pPr>
        <w:pStyle w:val="PZTextodstavce"/>
      </w:pPr>
      <w:r w:rsidRPr="00CE2C91">
        <w:t>(9) Náklady spojené s výkonem činnosti likvidátora jsou hrazeny z majetku družstevní záložny. Nepostačuje-li její majetek na výplatu odměny likvidátora a náhradu jeho hotových výdajů, uhradí je stát, kterému tím vznikne pohledávka za družstevní záložnou ve výši vyplacených částek. Odměnu a způsob její výplaty určuje likvidátorovi Česká národní banka. Pravidla pro stanovení a výplatu náhrady hotových výdajů a odměny likvidátora a jejich maximální výši hrazenou státem stanoví Česká národní banka vyhláškou.</w:t>
      </w:r>
    </w:p>
    <w:p w14:paraId="35E4E8C7" w14:textId="77777777" w:rsidR="00A64E48" w:rsidRDefault="00A64E48" w:rsidP="00CE2C91">
      <w:pPr>
        <w:pStyle w:val="PZTextodstavce"/>
        <w:rPr>
          <w:szCs w:val="24"/>
        </w:rPr>
      </w:pPr>
      <w:r w:rsidRPr="00CE2C91">
        <w:t>(10) Likvidátor předkládá České</w:t>
      </w:r>
      <w:r w:rsidRPr="000577C7">
        <w:rPr>
          <w:szCs w:val="24"/>
        </w:rPr>
        <w:t xml:space="preserve"> národní bance bez zbytečného odkladu účetní </w:t>
      </w:r>
      <w:r w:rsidRPr="00AA6318">
        <w:rPr>
          <w:strike/>
          <w:szCs w:val="24"/>
        </w:rPr>
        <w:t>výkazy a doklady</w:t>
      </w:r>
      <w:r w:rsidRPr="000577C7">
        <w:rPr>
          <w:szCs w:val="24"/>
        </w:rPr>
        <w:t xml:space="preserve"> </w:t>
      </w:r>
      <w:r>
        <w:rPr>
          <w:b/>
          <w:szCs w:val="24"/>
        </w:rPr>
        <w:t>závěrky a účetní záznamy</w:t>
      </w:r>
      <w:r>
        <w:rPr>
          <w:szCs w:val="24"/>
        </w:rPr>
        <w:t xml:space="preserve"> </w:t>
      </w:r>
      <w:r w:rsidRPr="000577C7">
        <w:rPr>
          <w:szCs w:val="24"/>
        </w:rPr>
        <w:t xml:space="preserve">zpracovávané v průběhu likvidace v souladu </w:t>
      </w:r>
      <w:r w:rsidRPr="004A5778">
        <w:rPr>
          <w:b/>
        </w:rPr>
        <w:t>s</w:t>
      </w:r>
      <w:r>
        <w:t> </w:t>
      </w:r>
      <w:r w:rsidRPr="00DC23EF">
        <w:rPr>
          <w:b/>
        </w:rPr>
        <w:t>právními předpisy upravujícími účetnictví,</w:t>
      </w:r>
      <w:r w:rsidRPr="002A7FDD">
        <w:t xml:space="preserve"> </w:t>
      </w:r>
      <w:r w:rsidRPr="004A5778">
        <w:rPr>
          <w:b/>
        </w:rPr>
        <w:t>občanským zákoníkem</w:t>
      </w:r>
      <w:r>
        <w:rPr>
          <w:szCs w:val="24"/>
        </w:rPr>
        <w:t xml:space="preserve"> </w:t>
      </w:r>
      <w:r w:rsidRPr="004A5778">
        <w:rPr>
          <w:b/>
          <w:szCs w:val="24"/>
        </w:rPr>
        <w:t>a</w:t>
      </w:r>
      <w:r w:rsidRPr="004A5778">
        <w:rPr>
          <w:szCs w:val="24"/>
        </w:rPr>
        <w:t xml:space="preserve"> </w:t>
      </w:r>
      <w:r w:rsidRPr="000577C7">
        <w:rPr>
          <w:szCs w:val="24"/>
        </w:rPr>
        <w:t>se zákonem upravujícím právní poměry obchodních společností a družstev, a na základě výzvy podle § 27 odst. 2 další vyžádané údaje, doklady a informace.</w:t>
      </w:r>
    </w:p>
    <w:p w14:paraId="29C2E346" w14:textId="77777777" w:rsidR="00A64E48" w:rsidRPr="0055438B" w:rsidRDefault="00A64E48" w:rsidP="00A64E48">
      <w:pPr>
        <w:pStyle w:val="Paragraf"/>
        <w:numPr>
          <w:ilvl w:val="0"/>
          <w:numId w:val="27"/>
        </w:numPr>
        <w:spacing w:after="120"/>
      </w:pPr>
      <w:r>
        <w:t>***</w:t>
      </w:r>
    </w:p>
    <w:p w14:paraId="3495CB1F" w14:textId="77777777" w:rsidR="00A64E48" w:rsidRPr="0055438B" w:rsidRDefault="00A64E48" w:rsidP="00A64E48">
      <w:pPr>
        <w:pStyle w:val="PZTextodstavce"/>
        <w:keepNext/>
        <w:keepLines/>
        <w:spacing w:before="240"/>
        <w:ind w:firstLine="0"/>
        <w:jc w:val="center"/>
      </w:pPr>
      <w:r w:rsidRPr="0055438B">
        <w:t>§ 25a</w:t>
      </w:r>
    </w:p>
    <w:p w14:paraId="719E442B" w14:textId="77777777" w:rsidR="00A64E48" w:rsidRPr="00B119EB" w:rsidRDefault="00A64E48" w:rsidP="00A64E48">
      <w:pPr>
        <w:pStyle w:val="Paragraf"/>
        <w:numPr>
          <w:ilvl w:val="0"/>
          <w:numId w:val="27"/>
        </w:numPr>
        <w:spacing w:after="120"/>
        <w:rPr>
          <w:b/>
        </w:rPr>
      </w:pPr>
      <w:r w:rsidRPr="00B13D55">
        <w:rPr>
          <w:b/>
        </w:rPr>
        <w:t>Povinnost mlčenlivosti</w:t>
      </w:r>
    </w:p>
    <w:p w14:paraId="5FAA12A4" w14:textId="77777777" w:rsidR="00A64E48" w:rsidRPr="00CE2C91" w:rsidRDefault="00A64E48" w:rsidP="00CE2C91">
      <w:pPr>
        <w:pStyle w:val="PZTextodstavce"/>
      </w:pPr>
      <w:r w:rsidRPr="00CE2C91">
        <w:t>(1) Osoby provádějící dohled nad činností družstevních záložen jsou povinny zachovávat mlčenlivost o všech skutečnostech, o nichž se dozvěděly v souvislosti s výkonem svého povolání, zaměstnání nebo funkce. Mohou poskytovat třetím osobám informace pouze v souhrnné podobě, u nichž nelze identifikovat, o kterou konkrétní družstevní záložnu či člena družstevní záložny se jedná. Povinnost mlčenlivosti trvá i po skončení pracovněprávního nebo jiného obdobného vztahu.</w:t>
      </w:r>
    </w:p>
    <w:p w14:paraId="1A9A0282" w14:textId="77777777" w:rsidR="00A64E48" w:rsidRPr="00CE2C91" w:rsidRDefault="00A64E48" w:rsidP="00CE2C91">
      <w:pPr>
        <w:pStyle w:val="PZTextodstavce"/>
      </w:pPr>
      <w:r w:rsidRPr="00CE2C91">
        <w:t>(2) Informace získané při výkonu své činnosti mohou osoby uvedené v odstavci 1 použít pouze k plnění úkolů České národní banky nebo v soudním řízení o žalobě ohledně rozhodnutí učiněného v souvislosti s výkonem dohledu nebo v obdobném řízení před mezinárodním orgánem.</w:t>
      </w:r>
    </w:p>
    <w:p w14:paraId="215F0268" w14:textId="77777777" w:rsidR="00A64E48" w:rsidRPr="00CE2C91" w:rsidRDefault="00A64E48" w:rsidP="00CE2C91">
      <w:pPr>
        <w:pStyle w:val="PZTextodstavce"/>
      </w:pPr>
      <w:r w:rsidRPr="00CE2C91">
        <w:t>(3) Za porušení povinnosti mlčenlivosti se nepovažuje</w:t>
      </w:r>
    </w:p>
    <w:p w14:paraId="54EC06B4" w14:textId="77777777" w:rsidR="00A64E48" w:rsidRPr="00B13D55" w:rsidRDefault="00A64E48" w:rsidP="00A64E48">
      <w:pPr>
        <w:tabs>
          <w:tab w:val="left" w:pos="425"/>
          <w:tab w:val="left" w:pos="851"/>
        </w:tabs>
        <w:spacing w:before="0"/>
        <w:ind w:left="425" w:hanging="425"/>
      </w:pPr>
      <w:r w:rsidRPr="00B13D55">
        <w:t xml:space="preserve">a) </w:t>
      </w:r>
      <w:r w:rsidRPr="00B13D55">
        <w:tab/>
        <w:t>poskytnutí informací získaných v souvislosti s výkonem dohledu orgánu činnému v trestním řízení v České republice,</w:t>
      </w:r>
    </w:p>
    <w:p w14:paraId="7DCA06B2" w14:textId="77777777" w:rsidR="00A64E48" w:rsidRPr="00B13D55" w:rsidRDefault="00A64E48" w:rsidP="00A64E48">
      <w:pPr>
        <w:tabs>
          <w:tab w:val="left" w:pos="425"/>
          <w:tab w:val="left" w:pos="851"/>
        </w:tabs>
        <w:spacing w:before="0"/>
        <w:ind w:left="425" w:hanging="425"/>
      </w:pPr>
      <w:r w:rsidRPr="00B13D55">
        <w:lastRenderedPageBreak/>
        <w:t xml:space="preserve">b) </w:t>
      </w:r>
      <w:r w:rsidRPr="00B13D55">
        <w:tab/>
        <w:t>poskytnutí informací orgánu dohledu nebo doplňkového dohledu nad osobami ve finančním konglomerátu nebo nad finančními institucemi nebo finančními trhy nebo úvěrovými institucemi v jiném státě a Evropské komisi,</w:t>
      </w:r>
    </w:p>
    <w:p w14:paraId="4A6FDCAA" w14:textId="77777777" w:rsidR="00A64E48" w:rsidRPr="00B13D55" w:rsidRDefault="00A64E48" w:rsidP="00A64E48">
      <w:pPr>
        <w:tabs>
          <w:tab w:val="left" w:pos="425"/>
          <w:tab w:val="left" w:pos="851"/>
        </w:tabs>
        <w:spacing w:before="0"/>
        <w:ind w:left="425" w:hanging="425"/>
      </w:pPr>
      <w:r w:rsidRPr="00B13D55">
        <w:t xml:space="preserve">c) </w:t>
      </w:r>
      <w:r w:rsidRPr="00B13D55">
        <w:tab/>
        <w:t>uveřejnění výsledku zátěžových testů provedených podle § 21b odst. 2 nebo podle přímo použitelného předpisu Evropské unie upravujícího dohled nad finančním trhem v oblasti bankovnictví a</w:t>
      </w:r>
    </w:p>
    <w:p w14:paraId="4071454B" w14:textId="77777777" w:rsidR="00A64E48" w:rsidRPr="00C43143" w:rsidRDefault="00A64E48" w:rsidP="00A64E48">
      <w:pPr>
        <w:tabs>
          <w:tab w:val="left" w:pos="425"/>
          <w:tab w:val="left" w:pos="851"/>
        </w:tabs>
        <w:spacing w:before="0"/>
        <w:ind w:left="425" w:hanging="425"/>
      </w:pPr>
      <w:r w:rsidRPr="00B13D55">
        <w:t xml:space="preserve">d) </w:t>
      </w:r>
      <w:r w:rsidRPr="00B13D55">
        <w:tab/>
        <w:t>poskytnutí informací Evropskému parlamentu pro účely výkonu vyšetřovacích pravomocí podle čl. 226 Smlouvy o fungování Evropské unie.</w:t>
      </w:r>
    </w:p>
    <w:p w14:paraId="547C186D" w14:textId="77777777" w:rsidR="00A64E48" w:rsidRPr="006D5C33" w:rsidRDefault="00A64E48" w:rsidP="00CE2C91">
      <w:pPr>
        <w:pStyle w:val="PZTextodstavce"/>
        <w:rPr>
          <w:szCs w:val="24"/>
        </w:rPr>
      </w:pPr>
      <w:r w:rsidRPr="006D5C33">
        <w:rPr>
          <w:szCs w:val="24"/>
        </w:rPr>
        <w:t xml:space="preserve">(4) Za </w:t>
      </w:r>
      <w:r w:rsidRPr="00CE2C91">
        <w:t>porušení</w:t>
      </w:r>
      <w:r w:rsidRPr="006D5C33">
        <w:rPr>
          <w:szCs w:val="24"/>
        </w:rPr>
        <w:t xml:space="preserve"> povinnosti mlčenlivosti se při dodržení ustanovení tohoto zákona nepovažuje poskytnutí informací získaných v souvislosti s výkonem dohledu veřejným orgánům a dalším osobám v České republice, jsou-li informace poskytovány pro plnění funkce</w:t>
      </w:r>
    </w:p>
    <w:p w14:paraId="37C1E0B2" w14:textId="77777777" w:rsidR="00A64E48" w:rsidRPr="00B13D55" w:rsidRDefault="00A64E48" w:rsidP="00A64E48">
      <w:pPr>
        <w:tabs>
          <w:tab w:val="left" w:pos="425"/>
          <w:tab w:val="left" w:pos="851"/>
        </w:tabs>
        <w:spacing w:before="0"/>
        <w:ind w:left="425" w:hanging="425"/>
      </w:pPr>
      <w:r w:rsidRPr="00B13D55">
        <w:t xml:space="preserve">a) </w:t>
      </w:r>
      <w:r w:rsidRPr="00B13D55">
        <w:tab/>
        <w:t>orgánů působících při likvidaci nebo úpadku u družstevní záložny,</w:t>
      </w:r>
    </w:p>
    <w:p w14:paraId="23D5D100" w14:textId="77777777" w:rsidR="00A64E48" w:rsidRPr="00B13D55" w:rsidRDefault="00A64E48" w:rsidP="00A64E48">
      <w:pPr>
        <w:tabs>
          <w:tab w:val="left" w:pos="425"/>
          <w:tab w:val="left" w:pos="851"/>
        </w:tabs>
        <w:spacing w:before="0"/>
        <w:ind w:left="425" w:hanging="425"/>
      </w:pPr>
      <w:r w:rsidRPr="00B13D55">
        <w:t xml:space="preserve">b) </w:t>
      </w:r>
      <w:r w:rsidRPr="00B13D55">
        <w:tab/>
        <w:t>dohledu nad orgánem podle písmene a),</w:t>
      </w:r>
    </w:p>
    <w:p w14:paraId="5CBFB9A6" w14:textId="77777777" w:rsidR="00A64E48" w:rsidRPr="006D5C33" w:rsidRDefault="00A64E48" w:rsidP="00A64E48">
      <w:pPr>
        <w:tabs>
          <w:tab w:val="left" w:pos="425"/>
          <w:tab w:val="left" w:pos="851"/>
        </w:tabs>
        <w:spacing w:before="0"/>
        <w:ind w:left="425" w:hanging="425"/>
        <w:rPr>
          <w:szCs w:val="24"/>
        </w:rPr>
      </w:pPr>
      <w:r w:rsidRPr="00B13D55">
        <w:t xml:space="preserve">c) </w:t>
      </w:r>
      <w:r w:rsidRPr="00B13D55">
        <w:tab/>
        <w:t>auditora</w:t>
      </w:r>
      <w:r w:rsidRPr="006D5C33">
        <w:rPr>
          <w:szCs w:val="24"/>
        </w:rPr>
        <w:t xml:space="preserve"> </w:t>
      </w:r>
      <w:r w:rsidRPr="006D5C33">
        <w:rPr>
          <w:strike/>
          <w:szCs w:val="24"/>
        </w:rPr>
        <w:t>zákonem stanovené účetní závěrky</w:t>
      </w:r>
      <w:r>
        <w:rPr>
          <w:szCs w:val="24"/>
        </w:rPr>
        <w:t xml:space="preserve"> </w:t>
      </w:r>
      <w:r>
        <w:rPr>
          <w:b/>
          <w:szCs w:val="24"/>
        </w:rPr>
        <w:t xml:space="preserve">provádějícího </w:t>
      </w:r>
      <w:r w:rsidRPr="00900BD1">
        <w:rPr>
          <w:b/>
          <w:szCs w:val="24"/>
        </w:rPr>
        <w:t>povinný audit</w:t>
      </w:r>
      <w:r>
        <w:rPr>
          <w:b/>
          <w:szCs w:val="24"/>
        </w:rPr>
        <w:t xml:space="preserve"> </w:t>
      </w:r>
      <w:r>
        <w:rPr>
          <w:szCs w:val="24"/>
        </w:rPr>
        <w:t>družstevní záložny,</w:t>
      </w:r>
    </w:p>
    <w:p w14:paraId="42420E8A" w14:textId="77777777" w:rsidR="00A64E48" w:rsidRPr="006D5C33" w:rsidRDefault="00A64E48" w:rsidP="00A64E48">
      <w:pPr>
        <w:tabs>
          <w:tab w:val="left" w:pos="425"/>
          <w:tab w:val="left" w:pos="851"/>
        </w:tabs>
        <w:spacing w:before="0"/>
        <w:ind w:left="425" w:hanging="425"/>
        <w:rPr>
          <w:szCs w:val="24"/>
        </w:rPr>
      </w:pPr>
      <w:r w:rsidRPr="006D5C33">
        <w:rPr>
          <w:szCs w:val="24"/>
        </w:rPr>
        <w:t xml:space="preserve">d) </w:t>
      </w:r>
      <w:r>
        <w:rPr>
          <w:szCs w:val="24"/>
        </w:rPr>
        <w:tab/>
      </w:r>
      <w:r w:rsidRPr="006D5C33">
        <w:rPr>
          <w:szCs w:val="24"/>
        </w:rPr>
        <w:t xml:space="preserve">dohledu nad auditorem </w:t>
      </w:r>
      <w:r w:rsidRPr="006D5C33">
        <w:rPr>
          <w:strike/>
          <w:szCs w:val="24"/>
        </w:rPr>
        <w:t>stanovené účetní závěrky</w:t>
      </w:r>
      <w:r>
        <w:rPr>
          <w:szCs w:val="24"/>
        </w:rPr>
        <w:t xml:space="preserve"> </w:t>
      </w:r>
      <w:r>
        <w:rPr>
          <w:b/>
          <w:szCs w:val="24"/>
        </w:rPr>
        <w:t xml:space="preserve">provádějícím </w:t>
      </w:r>
      <w:r w:rsidRPr="00900BD1">
        <w:rPr>
          <w:b/>
          <w:szCs w:val="24"/>
        </w:rPr>
        <w:t>povinný audit</w:t>
      </w:r>
      <w:r>
        <w:rPr>
          <w:b/>
          <w:szCs w:val="24"/>
        </w:rPr>
        <w:t xml:space="preserve"> </w:t>
      </w:r>
      <w:r>
        <w:rPr>
          <w:szCs w:val="24"/>
        </w:rPr>
        <w:t>družstevní záložny,</w:t>
      </w:r>
    </w:p>
    <w:p w14:paraId="7B3499EC" w14:textId="77777777" w:rsidR="00A64E48" w:rsidRPr="006D5C33" w:rsidRDefault="00A64E48" w:rsidP="00A64E48">
      <w:pPr>
        <w:tabs>
          <w:tab w:val="left" w:pos="425"/>
          <w:tab w:val="left" w:pos="851"/>
        </w:tabs>
        <w:spacing w:before="0"/>
        <w:ind w:left="425" w:hanging="425"/>
        <w:rPr>
          <w:szCs w:val="24"/>
        </w:rPr>
      </w:pPr>
      <w:r w:rsidRPr="006D5C33">
        <w:rPr>
          <w:szCs w:val="24"/>
        </w:rPr>
        <w:t xml:space="preserve">e) </w:t>
      </w:r>
      <w:r>
        <w:rPr>
          <w:szCs w:val="24"/>
        </w:rPr>
        <w:tab/>
      </w:r>
      <w:r w:rsidRPr="006D5C33">
        <w:rPr>
          <w:szCs w:val="24"/>
        </w:rPr>
        <w:t>dohledu nad dodržování</w:t>
      </w:r>
      <w:r>
        <w:rPr>
          <w:szCs w:val="24"/>
        </w:rPr>
        <w:t>m práva obchodních společností,</w:t>
      </w:r>
    </w:p>
    <w:p w14:paraId="2C01F21D" w14:textId="77777777" w:rsidR="00A64E48" w:rsidRPr="006D5C33" w:rsidRDefault="00A64E48" w:rsidP="00A64E48">
      <w:pPr>
        <w:tabs>
          <w:tab w:val="left" w:pos="425"/>
          <w:tab w:val="left" w:pos="851"/>
        </w:tabs>
        <w:spacing w:before="0"/>
        <w:ind w:left="425" w:hanging="425"/>
        <w:rPr>
          <w:szCs w:val="24"/>
        </w:rPr>
      </w:pPr>
      <w:r w:rsidRPr="006D5C33">
        <w:rPr>
          <w:szCs w:val="24"/>
        </w:rPr>
        <w:t xml:space="preserve">f) </w:t>
      </w:r>
      <w:r>
        <w:rPr>
          <w:szCs w:val="24"/>
        </w:rPr>
        <w:tab/>
      </w:r>
      <w:r w:rsidRPr="006D5C33">
        <w:rPr>
          <w:szCs w:val="24"/>
        </w:rPr>
        <w:t>boje proti legalizaci výnosů z trestné činnosti a financování terorismu nebo provádění mezinárodních sankcí za účelem udržování mezinárodního míru a bezpečnosti, ochrany základních lidský</w:t>
      </w:r>
      <w:r>
        <w:rPr>
          <w:szCs w:val="24"/>
        </w:rPr>
        <w:t>ch práv a boje proti terorismu,</w:t>
      </w:r>
    </w:p>
    <w:p w14:paraId="61B21448" w14:textId="77777777" w:rsidR="00A64E48" w:rsidRPr="006D5C33" w:rsidRDefault="00A64E48" w:rsidP="00A64E48">
      <w:pPr>
        <w:tabs>
          <w:tab w:val="left" w:pos="425"/>
          <w:tab w:val="left" w:pos="851"/>
        </w:tabs>
        <w:spacing w:before="0"/>
        <w:ind w:left="425" w:hanging="425"/>
        <w:rPr>
          <w:szCs w:val="24"/>
        </w:rPr>
      </w:pPr>
      <w:r w:rsidRPr="006D5C33">
        <w:rPr>
          <w:szCs w:val="24"/>
        </w:rPr>
        <w:t xml:space="preserve">g) </w:t>
      </w:r>
      <w:r>
        <w:rPr>
          <w:szCs w:val="24"/>
        </w:rPr>
        <w:tab/>
      </w:r>
      <w:r w:rsidRPr="006D5C33">
        <w:rPr>
          <w:szCs w:val="24"/>
        </w:rPr>
        <w:t>dohledu nad platebními nebo v</w:t>
      </w:r>
      <w:r>
        <w:rPr>
          <w:szCs w:val="24"/>
        </w:rPr>
        <w:t>ypořádacími systémy,</w:t>
      </w:r>
    </w:p>
    <w:p w14:paraId="07C0EE85" w14:textId="77777777" w:rsidR="00A64E48" w:rsidRPr="006D5C33" w:rsidRDefault="00A64E48" w:rsidP="00A64E48">
      <w:pPr>
        <w:tabs>
          <w:tab w:val="left" w:pos="425"/>
          <w:tab w:val="left" w:pos="851"/>
        </w:tabs>
        <w:spacing w:before="0"/>
        <w:ind w:left="425" w:hanging="425"/>
        <w:rPr>
          <w:szCs w:val="24"/>
        </w:rPr>
      </w:pPr>
      <w:r w:rsidRPr="006D5C33">
        <w:rPr>
          <w:szCs w:val="24"/>
        </w:rPr>
        <w:t xml:space="preserve">h) </w:t>
      </w:r>
      <w:r>
        <w:rPr>
          <w:szCs w:val="24"/>
        </w:rPr>
        <w:tab/>
      </w:r>
      <w:r w:rsidRPr="006D5C33">
        <w:rPr>
          <w:szCs w:val="24"/>
        </w:rPr>
        <w:t>provozovatele plateb</w:t>
      </w:r>
      <w:r>
        <w:rPr>
          <w:szCs w:val="24"/>
        </w:rPr>
        <w:t>ního nebo vypořádacího systému,</w:t>
      </w:r>
    </w:p>
    <w:p w14:paraId="0F8B080F" w14:textId="77777777" w:rsidR="00A64E48" w:rsidRPr="006D5C33" w:rsidRDefault="00A64E48" w:rsidP="00A64E48">
      <w:pPr>
        <w:tabs>
          <w:tab w:val="left" w:pos="425"/>
          <w:tab w:val="left" w:pos="851"/>
        </w:tabs>
        <w:spacing w:before="0"/>
        <w:ind w:left="425" w:hanging="425"/>
        <w:rPr>
          <w:szCs w:val="24"/>
        </w:rPr>
      </w:pPr>
      <w:r w:rsidRPr="006D5C33">
        <w:rPr>
          <w:szCs w:val="24"/>
        </w:rPr>
        <w:t xml:space="preserve">i) </w:t>
      </w:r>
      <w:r>
        <w:rPr>
          <w:szCs w:val="24"/>
        </w:rPr>
        <w:tab/>
      </w:r>
      <w:r w:rsidRPr="006D5C33">
        <w:rPr>
          <w:szCs w:val="24"/>
        </w:rPr>
        <w:t>České národní banky jako ústřední banky České republiky a orgánu vykonávajíc</w:t>
      </w:r>
      <w:r>
        <w:rPr>
          <w:szCs w:val="24"/>
        </w:rPr>
        <w:t>ímu dohled nad finančním trhem,</w:t>
      </w:r>
    </w:p>
    <w:p w14:paraId="63C0F393" w14:textId="77777777" w:rsidR="00A64E48" w:rsidRPr="006D5C33" w:rsidRDefault="00A64E48" w:rsidP="00A64E48">
      <w:pPr>
        <w:tabs>
          <w:tab w:val="left" w:pos="425"/>
          <w:tab w:val="left" w:pos="851"/>
        </w:tabs>
        <w:spacing w:before="0"/>
        <w:ind w:left="425" w:hanging="425"/>
        <w:rPr>
          <w:szCs w:val="24"/>
        </w:rPr>
      </w:pPr>
      <w:r w:rsidRPr="006D5C33">
        <w:rPr>
          <w:szCs w:val="24"/>
        </w:rPr>
        <w:t xml:space="preserve">j) </w:t>
      </w:r>
      <w:r>
        <w:rPr>
          <w:szCs w:val="24"/>
        </w:rPr>
        <w:tab/>
      </w:r>
      <w:r w:rsidRPr="006D5C33">
        <w:rPr>
          <w:szCs w:val="24"/>
        </w:rPr>
        <w:t>systémů pojištění pohledávek z vkladů, systémů pojištění investorů a mecha</w:t>
      </w:r>
      <w:r>
        <w:rPr>
          <w:szCs w:val="24"/>
        </w:rPr>
        <w:t>nismů financování řešení krize,</w:t>
      </w:r>
    </w:p>
    <w:p w14:paraId="7C4D3D38" w14:textId="77777777" w:rsidR="00A64E48" w:rsidRPr="006D5C33" w:rsidRDefault="00A64E48" w:rsidP="00A64E48">
      <w:pPr>
        <w:tabs>
          <w:tab w:val="left" w:pos="425"/>
          <w:tab w:val="left" w:pos="851"/>
        </w:tabs>
        <w:spacing w:before="0"/>
        <w:ind w:left="425" w:hanging="425"/>
        <w:rPr>
          <w:szCs w:val="24"/>
        </w:rPr>
      </w:pPr>
      <w:r w:rsidRPr="006D5C33">
        <w:rPr>
          <w:szCs w:val="24"/>
        </w:rPr>
        <w:t xml:space="preserve">k) </w:t>
      </w:r>
      <w:r>
        <w:rPr>
          <w:szCs w:val="24"/>
        </w:rPr>
        <w:tab/>
      </w:r>
      <w:r w:rsidRPr="006D5C33">
        <w:rPr>
          <w:szCs w:val="24"/>
        </w:rPr>
        <w:t>orgánu veřejné moci, do jehož působnosti náleží příprava právních předpisů týkajících se dohledu nad úvěrovými institucemi a finančními institucemi, jakož i osob pověřených těmito orgány k výkonu kontrolní</w:t>
      </w:r>
      <w:r>
        <w:rPr>
          <w:szCs w:val="24"/>
        </w:rPr>
        <w:t xml:space="preserve"> činnosti,</w:t>
      </w:r>
    </w:p>
    <w:p w14:paraId="3A327FFC" w14:textId="77777777" w:rsidR="00A64E48" w:rsidRPr="006D5C33" w:rsidRDefault="00A64E48" w:rsidP="00A64E48">
      <w:pPr>
        <w:tabs>
          <w:tab w:val="left" w:pos="425"/>
          <w:tab w:val="left" w:pos="851"/>
        </w:tabs>
        <w:spacing w:before="0"/>
        <w:ind w:left="425" w:hanging="425"/>
        <w:rPr>
          <w:szCs w:val="24"/>
        </w:rPr>
      </w:pPr>
      <w:r w:rsidRPr="006D5C33">
        <w:rPr>
          <w:szCs w:val="24"/>
        </w:rPr>
        <w:t xml:space="preserve">l) </w:t>
      </w:r>
      <w:r>
        <w:rPr>
          <w:szCs w:val="24"/>
        </w:rPr>
        <w:tab/>
      </w:r>
      <w:r w:rsidRPr="006D5C33">
        <w:rPr>
          <w:szCs w:val="24"/>
        </w:rPr>
        <w:t xml:space="preserve">jiné osoby nebo orgánu, kde poskytnutí informací je nezbytné k řešení krize a není porušením mlčenlivosti podle zákona upravujícího ozdravné postupy a </w:t>
      </w:r>
      <w:r>
        <w:rPr>
          <w:szCs w:val="24"/>
        </w:rPr>
        <w:t>řešení krize na finančním trhu,</w:t>
      </w:r>
    </w:p>
    <w:p w14:paraId="3E64BD17" w14:textId="77777777" w:rsidR="00A64E48" w:rsidRPr="006D5C33" w:rsidRDefault="00A64E48" w:rsidP="00A64E48">
      <w:pPr>
        <w:tabs>
          <w:tab w:val="left" w:pos="425"/>
          <w:tab w:val="left" w:pos="851"/>
        </w:tabs>
        <w:spacing w:before="0"/>
        <w:ind w:left="425" w:hanging="425"/>
        <w:rPr>
          <w:szCs w:val="24"/>
        </w:rPr>
      </w:pPr>
      <w:r w:rsidRPr="006D5C33">
        <w:rPr>
          <w:szCs w:val="24"/>
        </w:rPr>
        <w:t xml:space="preserve">m) </w:t>
      </w:r>
      <w:r>
        <w:rPr>
          <w:szCs w:val="24"/>
        </w:rPr>
        <w:tab/>
      </w:r>
      <w:r w:rsidRPr="006D5C33">
        <w:rPr>
          <w:szCs w:val="24"/>
        </w:rPr>
        <w:t xml:space="preserve">Policie České republiky pro účely pátrání po hledané nebo pohřešované osobě nebo předcházení a odhalování konkrétních hrozeb v oblasti terorismu podle zákona </w:t>
      </w:r>
      <w:r>
        <w:rPr>
          <w:szCs w:val="24"/>
        </w:rPr>
        <w:t xml:space="preserve">o Policii České republiky, </w:t>
      </w:r>
      <w:r w:rsidRPr="00AB5C3C">
        <w:rPr>
          <w:strike/>
          <w:szCs w:val="24"/>
        </w:rPr>
        <w:t>nebo</w:t>
      </w:r>
    </w:p>
    <w:p w14:paraId="39B6ED54" w14:textId="77777777" w:rsidR="00A64E48" w:rsidRDefault="00A64E48" w:rsidP="00A64E48">
      <w:pPr>
        <w:tabs>
          <w:tab w:val="left" w:pos="425"/>
          <w:tab w:val="left" w:pos="851"/>
        </w:tabs>
        <w:spacing w:before="0"/>
        <w:ind w:left="425" w:hanging="425"/>
        <w:rPr>
          <w:szCs w:val="24"/>
        </w:rPr>
      </w:pPr>
      <w:r w:rsidRPr="006D5C33">
        <w:rPr>
          <w:szCs w:val="24"/>
        </w:rPr>
        <w:t xml:space="preserve">n) </w:t>
      </w:r>
      <w:r>
        <w:rPr>
          <w:szCs w:val="24"/>
        </w:rPr>
        <w:tab/>
      </w:r>
      <w:r w:rsidRPr="006D5C33">
        <w:rPr>
          <w:szCs w:val="24"/>
        </w:rPr>
        <w:t>Generální inspekce bezpečnostních sborů pro účely pátrání po hledané osobě podle zákona o Generální inspekci bezp</w:t>
      </w:r>
      <w:r>
        <w:rPr>
          <w:szCs w:val="24"/>
        </w:rPr>
        <w:t>ečnostních sborů</w:t>
      </w:r>
      <w:r w:rsidRPr="00AB5C3C">
        <w:rPr>
          <w:strike/>
          <w:szCs w:val="24"/>
        </w:rPr>
        <w:t>.</w:t>
      </w:r>
      <w:r w:rsidRPr="00AB5C3C">
        <w:rPr>
          <w:b/>
          <w:szCs w:val="24"/>
        </w:rPr>
        <w:t>,</w:t>
      </w:r>
    </w:p>
    <w:p w14:paraId="39BB7E6A" w14:textId="77777777" w:rsidR="00A64E48" w:rsidRPr="006D5C33" w:rsidRDefault="00A64E48" w:rsidP="00A64E48">
      <w:pPr>
        <w:tabs>
          <w:tab w:val="left" w:pos="425"/>
          <w:tab w:val="left" w:pos="851"/>
        </w:tabs>
        <w:spacing w:before="0"/>
        <w:ind w:left="425" w:hanging="425"/>
        <w:rPr>
          <w:szCs w:val="24"/>
        </w:rPr>
      </w:pPr>
      <w:r>
        <w:rPr>
          <w:b/>
          <w:szCs w:val="24"/>
        </w:rPr>
        <w:t>o)</w:t>
      </w:r>
      <w:r w:rsidRPr="00E90F59">
        <w:rPr>
          <w:b/>
          <w:szCs w:val="24"/>
        </w:rPr>
        <w:tab/>
        <w:t xml:space="preserve">ověřovatele provádějícího ověření </w:t>
      </w:r>
      <w:r>
        <w:rPr>
          <w:b/>
          <w:szCs w:val="24"/>
        </w:rPr>
        <w:t>řídicího</w:t>
      </w:r>
      <w:r w:rsidRPr="00E90F59">
        <w:rPr>
          <w:b/>
          <w:szCs w:val="24"/>
        </w:rPr>
        <w:t xml:space="preserve"> a kontrolního systému </w:t>
      </w:r>
      <w:r>
        <w:rPr>
          <w:b/>
          <w:szCs w:val="24"/>
        </w:rPr>
        <w:t>družstevní záložny.</w:t>
      </w:r>
    </w:p>
    <w:p w14:paraId="68ED8C9C" w14:textId="77777777" w:rsidR="00A64E48" w:rsidRDefault="00A64E48" w:rsidP="00CE2C91">
      <w:pPr>
        <w:pStyle w:val="PZTextodstavce"/>
        <w:rPr>
          <w:szCs w:val="24"/>
        </w:rPr>
      </w:pPr>
      <w:r w:rsidRPr="006D5C33">
        <w:rPr>
          <w:szCs w:val="24"/>
        </w:rPr>
        <w:t>(5) Odstavec 4 se použije pro poskytování informací veřejným orgánům a dalším osobám v členských státech a s výjimkou orgánů uvedených v odstavci 4 písm. g), h), i) a k) též v jiných státech a Evropské centrální bance, Evropskému orgánu pro bankovnictví a Evropské radě pro systémová rizika</w:t>
      </w:r>
      <w:r>
        <w:rPr>
          <w:rStyle w:val="Znakapoznpodarou"/>
          <w:szCs w:val="24"/>
        </w:rPr>
        <w:footnoteReference w:customMarkFollows="1" w:id="223"/>
        <w:t>34)</w:t>
      </w:r>
      <w:r w:rsidRPr="006D5C33">
        <w:rPr>
          <w:szCs w:val="24"/>
        </w:rPr>
        <w:t xml:space="preserve"> obdobně, přičemž při poskytnutí informací podle odstavce 4 písm. e) mohou </w:t>
      </w:r>
      <w:r w:rsidRPr="006D5C33">
        <w:rPr>
          <w:szCs w:val="24"/>
        </w:rPr>
        <w:lastRenderedPageBreak/>
        <w:t>být takové informace poskytnuty pouze po předchozím sdělení jmen a přesného vymezení úkolů osob, jimž mají být tyto inform</w:t>
      </w:r>
      <w:r>
        <w:rPr>
          <w:szCs w:val="24"/>
        </w:rPr>
        <w:t>ace předány.</w:t>
      </w:r>
    </w:p>
    <w:p w14:paraId="7C383048" w14:textId="77777777" w:rsidR="00A64E48" w:rsidRDefault="00A64E48" w:rsidP="00CE2C91">
      <w:pPr>
        <w:pStyle w:val="PZTextodstavce"/>
        <w:rPr>
          <w:szCs w:val="24"/>
        </w:rPr>
      </w:pPr>
      <w:r w:rsidRPr="006D5C33">
        <w:rPr>
          <w:szCs w:val="24"/>
        </w:rPr>
        <w:t>(6) Informace získané v souvislosti s výkonem dohledu mohou být poskytovány též orgánům Evropské unie, je-li to zapotřebí ke splnění závazků vyplývajících z mezinárodní smlouvy, a dále příslušným orgánům dohledu nebo subjektům odpovědným za uplatňování pravidel týkajících se strukturá</w:t>
      </w:r>
      <w:r>
        <w:rPr>
          <w:szCs w:val="24"/>
        </w:rPr>
        <w:t>lního oddělení v rámci skupiny.</w:t>
      </w:r>
    </w:p>
    <w:p w14:paraId="12A144C7" w14:textId="77777777" w:rsidR="00A64E48" w:rsidRPr="006D5C33" w:rsidRDefault="00A64E48" w:rsidP="00CE2C91">
      <w:pPr>
        <w:pStyle w:val="PZTextodstavce"/>
        <w:rPr>
          <w:szCs w:val="24"/>
        </w:rPr>
      </w:pPr>
      <w:r w:rsidRPr="006D5C33">
        <w:rPr>
          <w:szCs w:val="24"/>
        </w:rPr>
        <w:t>(7) Informace získané v souvislosti s výkonem dohledu mohou být na v</w:t>
      </w:r>
      <w:r>
        <w:rPr>
          <w:szCs w:val="24"/>
        </w:rPr>
        <w:t>ýslovnou žádost poskytovány též</w:t>
      </w:r>
    </w:p>
    <w:p w14:paraId="4FD83B44" w14:textId="77777777" w:rsidR="00A64E48" w:rsidRPr="006D5C33" w:rsidRDefault="00A64E48" w:rsidP="00A64E48">
      <w:pPr>
        <w:tabs>
          <w:tab w:val="left" w:pos="425"/>
          <w:tab w:val="left" w:pos="851"/>
        </w:tabs>
        <w:spacing w:before="0"/>
        <w:ind w:left="425" w:hanging="425"/>
        <w:rPr>
          <w:szCs w:val="24"/>
        </w:rPr>
      </w:pPr>
      <w:r>
        <w:rPr>
          <w:szCs w:val="24"/>
        </w:rPr>
        <w:t>a)</w:t>
      </w:r>
      <w:r>
        <w:rPr>
          <w:szCs w:val="24"/>
        </w:rPr>
        <w:tab/>
      </w:r>
      <w:r w:rsidRPr="006D5C33">
        <w:rPr>
          <w:szCs w:val="24"/>
        </w:rPr>
        <w:t>Mezinárodnímu měnovému fondu a Světové bance pro účely hodnocení v rámci program</w:t>
      </w:r>
      <w:r>
        <w:rPr>
          <w:szCs w:val="24"/>
        </w:rPr>
        <w:t>u hodnocení finančního sektoru,</w:t>
      </w:r>
    </w:p>
    <w:p w14:paraId="356689A7" w14:textId="77777777" w:rsidR="00A64E48" w:rsidRPr="006D5C33" w:rsidRDefault="00A64E48" w:rsidP="00A64E48">
      <w:pPr>
        <w:tabs>
          <w:tab w:val="left" w:pos="425"/>
          <w:tab w:val="left" w:pos="851"/>
        </w:tabs>
        <w:spacing w:before="0"/>
        <w:ind w:left="425" w:hanging="425"/>
        <w:rPr>
          <w:szCs w:val="24"/>
        </w:rPr>
      </w:pPr>
      <w:r>
        <w:rPr>
          <w:szCs w:val="24"/>
        </w:rPr>
        <w:t>b)</w:t>
      </w:r>
      <w:r>
        <w:rPr>
          <w:szCs w:val="24"/>
        </w:rPr>
        <w:tab/>
      </w:r>
      <w:r w:rsidRPr="006D5C33">
        <w:rPr>
          <w:szCs w:val="24"/>
        </w:rPr>
        <w:t>Bance pro mezinárodní platby pro účely</w:t>
      </w:r>
      <w:r>
        <w:rPr>
          <w:szCs w:val="24"/>
        </w:rPr>
        <w:t xml:space="preserve"> kvantitativních studií dopadu</w:t>
      </w:r>
    </w:p>
    <w:p w14:paraId="39BB9F5D" w14:textId="77777777" w:rsidR="00A64E48" w:rsidRDefault="00A64E48" w:rsidP="00A64E48">
      <w:pPr>
        <w:tabs>
          <w:tab w:val="left" w:pos="425"/>
          <w:tab w:val="left" w:pos="851"/>
        </w:tabs>
        <w:spacing w:before="0"/>
        <w:ind w:left="425" w:hanging="425"/>
        <w:rPr>
          <w:szCs w:val="24"/>
        </w:rPr>
      </w:pPr>
      <w:r>
        <w:rPr>
          <w:szCs w:val="24"/>
        </w:rPr>
        <w:t>c)</w:t>
      </w:r>
      <w:r>
        <w:rPr>
          <w:szCs w:val="24"/>
        </w:rPr>
        <w:tab/>
      </w:r>
      <w:r w:rsidRPr="006D5C33">
        <w:rPr>
          <w:szCs w:val="24"/>
        </w:rPr>
        <w:t>Radě pro finanční stabilitu p</w:t>
      </w:r>
      <w:r>
        <w:rPr>
          <w:szCs w:val="24"/>
        </w:rPr>
        <w:t>ro účely její dohledové funkce.</w:t>
      </w:r>
    </w:p>
    <w:p w14:paraId="6DDD8880" w14:textId="77777777" w:rsidR="00A64E48" w:rsidRDefault="00A64E48" w:rsidP="00CE2C91">
      <w:pPr>
        <w:pStyle w:val="PZTextodstavce"/>
        <w:rPr>
          <w:szCs w:val="24"/>
        </w:rPr>
      </w:pPr>
      <w:r w:rsidRPr="006D5C33">
        <w:rPr>
          <w:szCs w:val="24"/>
        </w:rPr>
        <w:t xml:space="preserve">(8) Poskytnutí informací podle odstavců 3 až 7 je možné pouze za podmínky, že pro jejich příjemce je zaveden režim ochrany informací nejméně v rozsahu, jaký je </w:t>
      </w:r>
      <w:r>
        <w:rPr>
          <w:szCs w:val="24"/>
        </w:rPr>
        <w:t>požadován právem Evropské unie.</w:t>
      </w:r>
    </w:p>
    <w:p w14:paraId="66CA8EE8" w14:textId="77777777" w:rsidR="00A64E48" w:rsidRPr="006D5C33" w:rsidRDefault="00A64E48" w:rsidP="00CE2C91">
      <w:pPr>
        <w:pStyle w:val="PZTextodstavce"/>
        <w:rPr>
          <w:szCs w:val="24"/>
        </w:rPr>
      </w:pPr>
      <w:r w:rsidRPr="006D5C33">
        <w:rPr>
          <w:szCs w:val="24"/>
        </w:rPr>
        <w:t>(9) Poskytnutí informací podle odstavce 7 je dále možné, pou</w:t>
      </w:r>
      <w:r>
        <w:rPr>
          <w:szCs w:val="24"/>
        </w:rPr>
        <w:t>ze pokud</w:t>
      </w:r>
    </w:p>
    <w:p w14:paraId="03D95697" w14:textId="77777777" w:rsidR="00A64E48" w:rsidRPr="006D5C33" w:rsidRDefault="00A64E48" w:rsidP="00A64E48">
      <w:pPr>
        <w:tabs>
          <w:tab w:val="left" w:pos="425"/>
          <w:tab w:val="left" w:pos="851"/>
        </w:tabs>
        <w:spacing w:before="0"/>
        <w:ind w:left="425" w:hanging="425"/>
        <w:rPr>
          <w:szCs w:val="24"/>
        </w:rPr>
      </w:pPr>
      <w:r w:rsidRPr="006D5C33">
        <w:rPr>
          <w:szCs w:val="24"/>
        </w:rPr>
        <w:t xml:space="preserve">a) </w:t>
      </w:r>
      <w:r>
        <w:rPr>
          <w:szCs w:val="24"/>
        </w:rPr>
        <w:tab/>
      </w:r>
      <w:r w:rsidRPr="006D5C33">
        <w:rPr>
          <w:szCs w:val="24"/>
        </w:rPr>
        <w:t xml:space="preserve">mají souhrnnou, či anonymizovanou podobu, přičemž jiné informace je možné poskytnout jen v </w:t>
      </w:r>
      <w:r>
        <w:rPr>
          <w:szCs w:val="24"/>
        </w:rPr>
        <w:t>prostorách České národní banky,</w:t>
      </w:r>
    </w:p>
    <w:p w14:paraId="43DB9F72" w14:textId="77777777" w:rsidR="00A64E48" w:rsidRPr="006D5C33" w:rsidRDefault="00A64E48" w:rsidP="00A64E48">
      <w:pPr>
        <w:tabs>
          <w:tab w:val="left" w:pos="425"/>
          <w:tab w:val="left" w:pos="851"/>
        </w:tabs>
        <w:spacing w:before="0"/>
        <w:ind w:left="425" w:hanging="425"/>
        <w:rPr>
          <w:szCs w:val="24"/>
        </w:rPr>
      </w:pPr>
      <w:r w:rsidRPr="006D5C33">
        <w:rPr>
          <w:szCs w:val="24"/>
        </w:rPr>
        <w:t xml:space="preserve">b) </w:t>
      </w:r>
      <w:r>
        <w:rPr>
          <w:szCs w:val="24"/>
        </w:rPr>
        <w:tab/>
      </w:r>
      <w:r w:rsidRPr="006D5C33">
        <w:rPr>
          <w:szCs w:val="24"/>
        </w:rPr>
        <w:t>je žádost dostatečně odůvodněna s ohledem na konkrétní úkoly žadatele v souladu s jeho mandátem stanoveným příslušnými mezinárodními smlouvami nebo úmlu</w:t>
      </w:r>
      <w:r>
        <w:rPr>
          <w:szCs w:val="24"/>
        </w:rPr>
        <w:t>vami upravujícími jeho činnost,</w:t>
      </w:r>
    </w:p>
    <w:p w14:paraId="5B80A1EB" w14:textId="77777777" w:rsidR="00A64E48" w:rsidRPr="006D5C33" w:rsidRDefault="00A64E48" w:rsidP="00A64E48">
      <w:pPr>
        <w:tabs>
          <w:tab w:val="left" w:pos="425"/>
          <w:tab w:val="left" w:pos="851"/>
        </w:tabs>
        <w:spacing w:before="0"/>
        <w:ind w:left="425" w:hanging="425"/>
        <w:rPr>
          <w:szCs w:val="24"/>
        </w:rPr>
      </w:pPr>
      <w:r w:rsidRPr="006D5C33">
        <w:rPr>
          <w:szCs w:val="24"/>
        </w:rPr>
        <w:t xml:space="preserve">c) </w:t>
      </w:r>
      <w:r>
        <w:rPr>
          <w:szCs w:val="24"/>
        </w:rPr>
        <w:tab/>
      </w:r>
      <w:r w:rsidRPr="006D5C33">
        <w:rPr>
          <w:szCs w:val="24"/>
        </w:rPr>
        <w:t>je žádost dostatečně konkrétní, pokud jde o povahu, rozsah a formát požadovaných informací a způs</w:t>
      </w:r>
      <w:r>
        <w:rPr>
          <w:szCs w:val="24"/>
        </w:rPr>
        <w:t>ob jejich sdělení nebo předání,</w:t>
      </w:r>
    </w:p>
    <w:p w14:paraId="70D0957A" w14:textId="77777777" w:rsidR="00A64E48" w:rsidRPr="006D5C33" w:rsidRDefault="00A64E48" w:rsidP="00A64E48">
      <w:pPr>
        <w:tabs>
          <w:tab w:val="left" w:pos="425"/>
          <w:tab w:val="left" w:pos="851"/>
        </w:tabs>
        <w:spacing w:before="0"/>
        <w:ind w:left="425" w:hanging="425"/>
        <w:rPr>
          <w:szCs w:val="24"/>
        </w:rPr>
      </w:pPr>
      <w:r w:rsidRPr="006D5C33">
        <w:rPr>
          <w:szCs w:val="24"/>
        </w:rPr>
        <w:t>d)</w:t>
      </w:r>
      <w:r>
        <w:rPr>
          <w:szCs w:val="24"/>
        </w:rPr>
        <w:tab/>
      </w:r>
      <w:r w:rsidRPr="006D5C33">
        <w:rPr>
          <w:szCs w:val="24"/>
        </w:rPr>
        <w:t xml:space="preserve"> požadované informace jsou nezbytně nutné k plnění konkrétních úkolů žadatele a nepřesahují rámec úkolů, jež jsou mu stanoveny příslušnými mezinárodními smlouvami nebo úmluva</w:t>
      </w:r>
      <w:r>
        <w:rPr>
          <w:szCs w:val="24"/>
        </w:rPr>
        <w:t>mi upravujícími jeho činnost, a</w:t>
      </w:r>
    </w:p>
    <w:p w14:paraId="0D0352BF" w14:textId="77777777" w:rsidR="00A64E48" w:rsidRDefault="00A64E48" w:rsidP="00A64E48">
      <w:pPr>
        <w:tabs>
          <w:tab w:val="left" w:pos="425"/>
          <w:tab w:val="left" w:pos="851"/>
        </w:tabs>
        <w:spacing w:before="0"/>
        <w:ind w:left="425" w:hanging="425"/>
        <w:rPr>
          <w:szCs w:val="24"/>
        </w:rPr>
      </w:pPr>
      <w:r w:rsidRPr="006D5C33">
        <w:rPr>
          <w:szCs w:val="24"/>
        </w:rPr>
        <w:t xml:space="preserve">e) </w:t>
      </w:r>
      <w:r>
        <w:rPr>
          <w:szCs w:val="24"/>
        </w:rPr>
        <w:tab/>
      </w:r>
      <w:r w:rsidRPr="006D5C33">
        <w:rPr>
          <w:szCs w:val="24"/>
        </w:rPr>
        <w:t>žadatel podle odstavce 7 poskytne dostatečné záruky, že informace budou předány nebo sděleny výlučně osobám přímo zapojeným do plnění konkrétního úkolu a že tyto informace budou chráněny profesním tajemstvím nejméně v rozsahu povinnosti ml</w:t>
      </w:r>
      <w:r>
        <w:rPr>
          <w:szCs w:val="24"/>
        </w:rPr>
        <w:t>čenlivosti podle tohoto zákona.</w:t>
      </w:r>
    </w:p>
    <w:p w14:paraId="538A32BE" w14:textId="77777777" w:rsidR="00A64E48" w:rsidRPr="009D0D88" w:rsidRDefault="00A64E48" w:rsidP="00CE2C91">
      <w:pPr>
        <w:pStyle w:val="PZTextodstavce"/>
        <w:rPr>
          <w:szCs w:val="24"/>
        </w:rPr>
      </w:pPr>
      <w:r w:rsidRPr="006D5C33">
        <w:rPr>
          <w:szCs w:val="24"/>
        </w:rPr>
        <w:t>(10) Informace získané od orgánů hostitelských států nemohou být použity k jinému účelu než k tomu, pro který byly poskytnuty, a nesmí být bez souhlasu poskytovatele poskytnuty třetí osobě. Informace získané v rámci dohledu na místě v rámci jiného státu nesmí být bez souhlasu orgánů dohledu toho</w:t>
      </w:r>
      <w:r>
        <w:rPr>
          <w:szCs w:val="24"/>
        </w:rPr>
        <w:t>to státu poskytnuty třetí osobě.</w:t>
      </w:r>
    </w:p>
    <w:p w14:paraId="77C97631" w14:textId="77777777" w:rsidR="00A64E48" w:rsidRDefault="00A64E48" w:rsidP="00A64E48">
      <w:pPr>
        <w:pStyle w:val="Paragraf"/>
        <w:numPr>
          <w:ilvl w:val="0"/>
          <w:numId w:val="27"/>
        </w:numPr>
        <w:spacing w:after="120"/>
      </w:pPr>
      <w:r>
        <w:t>***</w:t>
      </w:r>
    </w:p>
    <w:p w14:paraId="06C82779" w14:textId="77777777" w:rsidR="00A64E48" w:rsidRPr="00EB685A" w:rsidRDefault="00A64E48" w:rsidP="00A64E48">
      <w:pPr>
        <w:pStyle w:val="PZTextodstavce"/>
        <w:keepNext/>
        <w:keepLines/>
        <w:spacing w:before="240"/>
        <w:ind w:firstLine="0"/>
        <w:jc w:val="center"/>
      </w:pPr>
      <w:r w:rsidRPr="00EB685A">
        <w:t>§ 25c</w:t>
      </w:r>
    </w:p>
    <w:p w14:paraId="479EEF33" w14:textId="77777777" w:rsidR="00A64E48" w:rsidRPr="00241537" w:rsidRDefault="00A64E48" w:rsidP="00CE2C91">
      <w:pPr>
        <w:pStyle w:val="PZTextodstavce"/>
        <w:rPr>
          <w:szCs w:val="24"/>
        </w:rPr>
      </w:pPr>
      <w:r w:rsidRPr="00241537">
        <w:rPr>
          <w:szCs w:val="24"/>
        </w:rPr>
        <w:t>(1) Pracovníci a členové orgánů družstevní záložny jsou povinni zachovávat mlčenlivost ve služebních věcech dotýkajících se zájmů družstevní záložny a jejích členů. Z důvodů uvedených v § 25b odst. 2, 3, 4 a 7 je představenstvo této povinnosti zprostí.</w:t>
      </w:r>
    </w:p>
    <w:p w14:paraId="374B51BE" w14:textId="77777777" w:rsidR="00A64E48" w:rsidRPr="00241537" w:rsidRDefault="00A64E48" w:rsidP="00CE2C91">
      <w:pPr>
        <w:pStyle w:val="PZTextodstavce"/>
        <w:rPr>
          <w:szCs w:val="24"/>
        </w:rPr>
      </w:pPr>
      <w:r w:rsidRPr="00241537">
        <w:rPr>
          <w:szCs w:val="24"/>
        </w:rPr>
        <w:t xml:space="preserve">(2) Pracovníci a členové orgánů družstevní záložny jsou povinni zachovávat mlčenlivost o údajích, které jim byly poskytnuty za účelem vyřízení vyžádání údajů, které je družstevní záložna povinna zachovávat v tajnosti a chránit před zneužitím, podle § 25b odst. 3 písm. j). Tuto povinnost jsou povinni zachovávat vůči členovi i všem dalším osobám; porušením této </w:t>
      </w:r>
      <w:r w:rsidRPr="00241537">
        <w:rPr>
          <w:szCs w:val="24"/>
        </w:rPr>
        <w:lastRenderedPageBreak/>
        <w:t>povinnosti není poskytnutí údaje podle věty první pracovníkovi nebo členovi orgánu téže družstevní záložny, pokud je to nutné pro výkon jeho funkce nebo pracovní činnosti.</w:t>
      </w:r>
    </w:p>
    <w:p w14:paraId="5F8BB42C" w14:textId="77777777" w:rsidR="00A64E48" w:rsidRDefault="00A64E48" w:rsidP="00CE2C91">
      <w:pPr>
        <w:pStyle w:val="PZTextodstavce"/>
        <w:rPr>
          <w:szCs w:val="24"/>
        </w:rPr>
      </w:pPr>
      <w:r w:rsidRPr="00241537">
        <w:rPr>
          <w:szCs w:val="24"/>
        </w:rPr>
        <w:t>(3) Povinnost zachovávat mlčenlivost trvá i po skončení pracovněprávního vztahu nebo jiného obdobného vztahu.</w:t>
      </w:r>
    </w:p>
    <w:p w14:paraId="0D8BE723" w14:textId="77777777" w:rsidR="00A64E48" w:rsidRPr="00EB685A" w:rsidRDefault="00A64E48" w:rsidP="00CE2C91">
      <w:pPr>
        <w:pStyle w:val="PZTextodstavce"/>
        <w:rPr>
          <w:b/>
          <w:szCs w:val="24"/>
        </w:rPr>
      </w:pPr>
      <w:r>
        <w:rPr>
          <w:b/>
          <w:szCs w:val="24"/>
        </w:rPr>
        <w:t xml:space="preserve">(4) </w:t>
      </w:r>
      <w:r w:rsidRPr="00CE2C91">
        <w:rPr>
          <w:b/>
          <w:szCs w:val="24"/>
        </w:rPr>
        <w:t>Pro</w:t>
      </w:r>
      <w:r w:rsidRPr="00F00BE9">
        <w:rPr>
          <w:b/>
          <w:szCs w:val="24"/>
        </w:rPr>
        <w:t xml:space="preserve"> povinno</w:t>
      </w:r>
      <w:r>
        <w:rPr>
          <w:b/>
          <w:szCs w:val="24"/>
        </w:rPr>
        <w:t>st mlčenlivosti ověřovatele řídi</w:t>
      </w:r>
      <w:r w:rsidRPr="00F00BE9">
        <w:rPr>
          <w:b/>
          <w:szCs w:val="24"/>
        </w:rPr>
        <w:t xml:space="preserve">cího a kontrolního systému se použijí ustanovení zákona upravujícího </w:t>
      </w:r>
      <w:r>
        <w:rPr>
          <w:b/>
          <w:szCs w:val="24"/>
        </w:rPr>
        <w:t xml:space="preserve">auditorskou </w:t>
      </w:r>
      <w:r w:rsidRPr="00F00BE9">
        <w:rPr>
          <w:b/>
          <w:szCs w:val="24"/>
        </w:rPr>
        <w:t>činnost obdobně.</w:t>
      </w:r>
      <w:r>
        <w:rPr>
          <w:b/>
          <w:szCs w:val="24"/>
        </w:rPr>
        <w:t xml:space="preserve"> Ověřovatel řídicího a kontrolního systému je povinen zachovávat mlčenlivost podle zákona upravujícího auditorskou činnost, jde-li o auditora.</w:t>
      </w:r>
    </w:p>
    <w:p w14:paraId="4B2ED373" w14:textId="77777777" w:rsidR="00A64E48" w:rsidRDefault="00A64E48" w:rsidP="00A64E48">
      <w:pPr>
        <w:pStyle w:val="Paragraf"/>
        <w:numPr>
          <w:ilvl w:val="0"/>
          <w:numId w:val="27"/>
        </w:numPr>
        <w:spacing w:after="120"/>
      </w:pPr>
      <w:r>
        <w:t>***</w:t>
      </w:r>
    </w:p>
    <w:p w14:paraId="5E72C349" w14:textId="77777777" w:rsidR="00A64E48" w:rsidRPr="00EB685A" w:rsidRDefault="00A64E48" w:rsidP="00A64E48">
      <w:pPr>
        <w:pStyle w:val="PZTextodstavce"/>
        <w:keepNext/>
        <w:keepLines/>
        <w:spacing w:before="240"/>
        <w:ind w:firstLine="0"/>
        <w:jc w:val="center"/>
      </w:pPr>
      <w:r w:rsidRPr="0050226B">
        <w:t>§ 27a</w:t>
      </w:r>
    </w:p>
    <w:p w14:paraId="73BA9F8F" w14:textId="77777777" w:rsidR="00A64E48" w:rsidRPr="00EB685A" w:rsidRDefault="00A64E48" w:rsidP="00A64E48">
      <w:pPr>
        <w:pStyle w:val="PZTextodstavce"/>
        <w:keepNext/>
        <w:keepLines/>
        <w:spacing w:before="240"/>
        <w:ind w:firstLine="0"/>
        <w:jc w:val="center"/>
        <w:rPr>
          <w:b/>
        </w:rPr>
      </w:pPr>
      <w:r w:rsidRPr="00EB685A">
        <w:rPr>
          <w:b/>
        </w:rPr>
        <w:t>Přestupky fyzických osob</w:t>
      </w:r>
    </w:p>
    <w:p w14:paraId="59881B32" w14:textId="77777777" w:rsidR="00A64E48" w:rsidRPr="0050226B" w:rsidRDefault="00A64E48" w:rsidP="00CE2C91">
      <w:pPr>
        <w:pStyle w:val="PZTextodstavce"/>
      </w:pPr>
      <w:r w:rsidRPr="0050226B">
        <w:t xml:space="preserve">(1) Fyzická osoba </w:t>
      </w:r>
      <w:r w:rsidRPr="00CE2C91">
        <w:rPr>
          <w:szCs w:val="24"/>
        </w:rPr>
        <w:t>se</w:t>
      </w:r>
      <w:r w:rsidRPr="0050226B">
        <w:t xml:space="preserve"> dopustí přestupku tím, že</w:t>
      </w:r>
    </w:p>
    <w:p w14:paraId="55883CE2" w14:textId="77777777" w:rsidR="00A64E48" w:rsidRPr="00EB685A" w:rsidRDefault="00A64E48" w:rsidP="00A64E48">
      <w:pPr>
        <w:tabs>
          <w:tab w:val="left" w:pos="425"/>
          <w:tab w:val="left" w:pos="851"/>
        </w:tabs>
        <w:spacing w:before="0"/>
        <w:ind w:left="425" w:hanging="425"/>
        <w:rPr>
          <w:szCs w:val="24"/>
        </w:rPr>
      </w:pPr>
      <w:r w:rsidRPr="00EB685A">
        <w:rPr>
          <w:szCs w:val="24"/>
        </w:rPr>
        <w:t xml:space="preserve">a) </w:t>
      </w:r>
      <w:r w:rsidRPr="00EB685A">
        <w:rPr>
          <w:szCs w:val="24"/>
        </w:rPr>
        <w:tab/>
        <w:t>zahájí činnost, ke které je třeba povolení podle tohoto zákona, bez tohoto povolení,</w:t>
      </w:r>
    </w:p>
    <w:p w14:paraId="66947D45" w14:textId="77777777" w:rsidR="00A64E48" w:rsidRPr="00EB685A" w:rsidRDefault="00A64E48" w:rsidP="00A64E48">
      <w:pPr>
        <w:tabs>
          <w:tab w:val="left" w:pos="425"/>
          <w:tab w:val="left" w:pos="851"/>
        </w:tabs>
        <w:spacing w:before="0"/>
        <w:ind w:left="425" w:hanging="425"/>
        <w:rPr>
          <w:szCs w:val="24"/>
        </w:rPr>
      </w:pPr>
      <w:r w:rsidRPr="00EB685A">
        <w:rPr>
          <w:szCs w:val="24"/>
        </w:rPr>
        <w:t xml:space="preserve">b) </w:t>
      </w:r>
      <w:r w:rsidRPr="00EB685A">
        <w:rPr>
          <w:szCs w:val="24"/>
        </w:rPr>
        <w:tab/>
        <w:t>nabude kvalifikovanou účast na družstevní záložně nebo ji zvýší tak, že dosáhne podílů na základním kapitálu nebo hlasovacích právech uvedených v § 2b odst. 3, bez předchozího souhlasu České národní banky,</w:t>
      </w:r>
    </w:p>
    <w:p w14:paraId="6996B1BB" w14:textId="77777777" w:rsidR="00A64E48" w:rsidRPr="00EB685A" w:rsidRDefault="00A64E48" w:rsidP="00A64E48">
      <w:pPr>
        <w:tabs>
          <w:tab w:val="left" w:pos="425"/>
          <w:tab w:val="left" w:pos="851"/>
        </w:tabs>
        <w:spacing w:before="0"/>
        <w:ind w:left="425" w:hanging="425"/>
        <w:rPr>
          <w:szCs w:val="24"/>
        </w:rPr>
      </w:pPr>
      <w:r w:rsidRPr="00EB685A">
        <w:rPr>
          <w:szCs w:val="24"/>
        </w:rPr>
        <w:t xml:space="preserve"> c) </w:t>
      </w:r>
      <w:r w:rsidRPr="00EB685A">
        <w:rPr>
          <w:szCs w:val="24"/>
        </w:rPr>
        <w:tab/>
        <w:t>ovládne družstevní záložnu bez předchozího souhlasu České národní banky podle § 2b odst. 3, nebo</w:t>
      </w:r>
    </w:p>
    <w:p w14:paraId="552D41D4" w14:textId="77777777" w:rsidR="00A64E48" w:rsidRPr="00EB685A" w:rsidRDefault="00A64E48" w:rsidP="00A64E48">
      <w:pPr>
        <w:tabs>
          <w:tab w:val="left" w:pos="425"/>
          <w:tab w:val="left" w:pos="851"/>
        </w:tabs>
        <w:spacing w:before="0"/>
        <w:ind w:left="425" w:hanging="425"/>
        <w:rPr>
          <w:szCs w:val="24"/>
        </w:rPr>
      </w:pPr>
      <w:r w:rsidRPr="00EB685A">
        <w:rPr>
          <w:szCs w:val="24"/>
        </w:rPr>
        <w:t>d)</w:t>
      </w:r>
      <w:r w:rsidRPr="00EB685A">
        <w:rPr>
          <w:szCs w:val="24"/>
        </w:rPr>
        <w:tab/>
        <w:t>užívá označení "spořitelní a úvěrní družstvo" nebo "družstevní záložna" nebo "úvěrní dru</w:t>
      </w:r>
      <w:r>
        <w:rPr>
          <w:szCs w:val="24"/>
        </w:rPr>
        <w:t>žstvo" v rozporu s § 1 odst. 3.</w:t>
      </w:r>
    </w:p>
    <w:p w14:paraId="44433543" w14:textId="77777777" w:rsidR="00A64E48" w:rsidRPr="00CE2C91" w:rsidRDefault="00A64E48" w:rsidP="00CE2C91">
      <w:pPr>
        <w:pStyle w:val="PZTextodstavce"/>
        <w:rPr>
          <w:szCs w:val="24"/>
        </w:rPr>
      </w:pPr>
      <w:r w:rsidRPr="00CE2C91">
        <w:rPr>
          <w:szCs w:val="24"/>
        </w:rPr>
        <w:t>(2) Fyzická osoba jako osoba podléhající dohledu České národní banky se dopustí přestupku tím, že nesplní některou z povinností stanovenou kontrolním řádem.</w:t>
      </w:r>
    </w:p>
    <w:p w14:paraId="615F1D9C" w14:textId="77777777" w:rsidR="00A64E48" w:rsidRPr="00CE2C91" w:rsidRDefault="00A64E48" w:rsidP="00CE2C91">
      <w:pPr>
        <w:pStyle w:val="PZTextodstavce"/>
        <w:rPr>
          <w:szCs w:val="24"/>
        </w:rPr>
      </w:pPr>
      <w:r w:rsidRPr="00CE2C91">
        <w:rPr>
          <w:szCs w:val="24"/>
        </w:rPr>
        <w:t>(3) Pracovník nebo člen voleného orgánu družstevní záložny se dopustí přestupku tím, že poruší povinnost zachovávat mlčenlivost podle § 25c.</w:t>
      </w:r>
    </w:p>
    <w:p w14:paraId="18FFD473" w14:textId="77777777" w:rsidR="00A64E48" w:rsidRPr="00CE2C91" w:rsidRDefault="00A64E48" w:rsidP="00CE2C91">
      <w:pPr>
        <w:pStyle w:val="PZTextodstavce"/>
        <w:rPr>
          <w:szCs w:val="24"/>
        </w:rPr>
      </w:pPr>
      <w:r w:rsidRPr="00CE2C91">
        <w:rPr>
          <w:szCs w:val="24"/>
        </w:rPr>
        <w:t>(4) Člen voleného orgánu družstevní záložny se dopustí přestupku tím, že neinformuje neprodleně Českou národní banku o skutečnostech uvedených v § 6 odst. 10.</w:t>
      </w:r>
    </w:p>
    <w:p w14:paraId="2985ED09" w14:textId="77777777" w:rsidR="00A64E48" w:rsidRPr="00CE2C91" w:rsidRDefault="00A64E48" w:rsidP="00CE2C91">
      <w:pPr>
        <w:pStyle w:val="PZTextodstavce"/>
        <w:rPr>
          <w:szCs w:val="24"/>
        </w:rPr>
      </w:pPr>
      <w:r w:rsidRPr="00CE2C91">
        <w:rPr>
          <w:szCs w:val="24"/>
        </w:rPr>
        <w:t>(5) Člen úvěrové komise nebo člen družstevní záložny, jemuž byla podle stanov svěřena pravomoc rozhodovat o poskytnutí úvěru, se dopustí přestupku tím, že se stane ručitelem úvěru, o jehož poskytnutí rozhoduje.</w:t>
      </w:r>
    </w:p>
    <w:p w14:paraId="11E34106" w14:textId="77777777" w:rsidR="00A64E48" w:rsidRPr="0050226B" w:rsidRDefault="00A64E48" w:rsidP="00CE2C91">
      <w:pPr>
        <w:pStyle w:val="PZTextodstavce"/>
      </w:pPr>
      <w:r w:rsidRPr="00CE2C91">
        <w:rPr>
          <w:szCs w:val="24"/>
        </w:rPr>
        <w:t>(6) Insolvenční</w:t>
      </w:r>
      <w:r w:rsidRPr="0050226B">
        <w:t xml:space="preserve"> správce družstevní záložny se dopustí přestupku tím, že na žádost České národní banky nesvolá do 30 dnů od doručení žádosti členskou schůzi družstevní záložny výhradně za účelem schválení řádné</w:t>
      </w:r>
      <w:r>
        <w:t xml:space="preserve"> </w:t>
      </w:r>
      <w:r w:rsidRPr="00EB685A">
        <w:rPr>
          <w:b/>
        </w:rPr>
        <w:t>individuální</w:t>
      </w:r>
      <w:r w:rsidRPr="0050226B">
        <w:t xml:space="preserve"> účetní závěrky (§ 5a odst. 4).</w:t>
      </w:r>
    </w:p>
    <w:p w14:paraId="564232FC" w14:textId="77777777" w:rsidR="00A64E48" w:rsidRPr="0050226B" w:rsidRDefault="00A64E48" w:rsidP="00CE2C91">
      <w:pPr>
        <w:pStyle w:val="PZTextodstavce"/>
      </w:pPr>
      <w:r w:rsidRPr="0050226B">
        <w:t xml:space="preserve">(7) </w:t>
      </w:r>
      <w:r w:rsidRPr="00CE2C91">
        <w:rPr>
          <w:szCs w:val="24"/>
        </w:rPr>
        <w:t>Fyzická</w:t>
      </w:r>
      <w:r w:rsidRPr="0050226B">
        <w:t xml:space="preserve"> osoba se dopustí přestupku tím, že jako osoba vykonávající funkci likvidátora poruší povinnost vykonávat funkci s péčí řádného hospodáře.</w:t>
      </w:r>
    </w:p>
    <w:p w14:paraId="44AAC30A" w14:textId="77777777" w:rsidR="00A64E48" w:rsidRPr="00CE2C91" w:rsidRDefault="00A64E48" w:rsidP="00CE2C91">
      <w:pPr>
        <w:pStyle w:val="PZTextodstavce"/>
        <w:rPr>
          <w:szCs w:val="24"/>
        </w:rPr>
      </w:pPr>
      <w:r w:rsidRPr="00CE2C91">
        <w:rPr>
          <w:szCs w:val="24"/>
        </w:rPr>
        <w:t>(8) Člen představenstva nebo člen kontrolní komise družstevní záložny se dopustí přestupku tím, že neprodleně neinformuje Českou národní banku podle § 28ab.</w:t>
      </w:r>
    </w:p>
    <w:p w14:paraId="66093A23" w14:textId="77777777" w:rsidR="00A64E48" w:rsidRPr="00CE2C91" w:rsidRDefault="00A64E48" w:rsidP="00CE2C91">
      <w:pPr>
        <w:pStyle w:val="PZTextodstavce"/>
        <w:rPr>
          <w:szCs w:val="24"/>
        </w:rPr>
      </w:pPr>
      <w:r w:rsidRPr="00CE2C91">
        <w:rPr>
          <w:szCs w:val="24"/>
        </w:rPr>
        <w:t>(9) Za přestupek lze uložit pokutu do</w:t>
      </w:r>
    </w:p>
    <w:p w14:paraId="0B0832F3" w14:textId="77777777" w:rsidR="00A64E48" w:rsidRPr="00EB685A" w:rsidRDefault="00A64E48" w:rsidP="00A64E48">
      <w:pPr>
        <w:tabs>
          <w:tab w:val="left" w:pos="425"/>
          <w:tab w:val="left" w:pos="851"/>
        </w:tabs>
        <w:spacing w:before="0"/>
        <w:ind w:left="425" w:hanging="425"/>
        <w:rPr>
          <w:szCs w:val="24"/>
        </w:rPr>
      </w:pPr>
      <w:r w:rsidRPr="00EB685A">
        <w:rPr>
          <w:szCs w:val="24"/>
        </w:rPr>
        <w:t>a)</w:t>
      </w:r>
      <w:r w:rsidRPr="00EB685A">
        <w:rPr>
          <w:szCs w:val="24"/>
        </w:rPr>
        <w:tab/>
        <w:t>200 000 Kč, jde-li o přestupek podle odstavce 5,</w:t>
      </w:r>
    </w:p>
    <w:p w14:paraId="54974CC6" w14:textId="77777777" w:rsidR="00A64E48" w:rsidRPr="00EB685A" w:rsidRDefault="00A64E48" w:rsidP="00A64E48">
      <w:pPr>
        <w:tabs>
          <w:tab w:val="left" w:pos="425"/>
          <w:tab w:val="left" w:pos="851"/>
        </w:tabs>
        <w:spacing w:before="0"/>
        <w:ind w:left="425" w:hanging="425"/>
        <w:rPr>
          <w:szCs w:val="24"/>
        </w:rPr>
      </w:pPr>
      <w:r w:rsidRPr="00EB685A">
        <w:rPr>
          <w:szCs w:val="24"/>
        </w:rPr>
        <w:t>b)</w:t>
      </w:r>
      <w:r w:rsidRPr="00EB685A">
        <w:rPr>
          <w:szCs w:val="24"/>
        </w:rPr>
        <w:tab/>
        <w:t>500 000 Kč, jde-li o přestupek podle odstavce 6 nebo 7,</w:t>
      </w:r>
    </w:p>
    <w:p w14:paraId="4B69201F" w14:textId="77777777" w:rsidR="00A64E48" w:rsidRPr="00EB685A" w:rsidRDefault="00A64E48" w:rsidP="00A64E48">
      <w:pPr>
        <w:tabs>
          <w:tab w:val="left" w:pos="425"/>
          <w:tab w:val="left" w:pos="851"/>
        </w:tabs>
        <w:spacing w:before="0"/>
        <w:ind w:left="425" w:hanging="425"/>
        <w:rPr>
          <w:szCs w:val="24"/>
        </w:rPr>
      </w:pPr>
      <w:r w:rsidRPr="00EB685A">
        <w:rPr>
          <w:szCs w:val="24"/>
        </w:rPr>
        <w:t>c)</w:t>
      </w:r>
      <w:r w:rsidRPr="00EB685A">
        <w:rPr>
          <w:szCs w:val="24"/>
        </w:rPr>
        <w:tab/>
        <w:t>1 000 000 Kč, jde-li o přestupek podle odstavce 1 písm. d) nebo odstavce 3 nebo 4,</w:t>
      </w:r>
    </w:p>
    <w:p w14:paraId="1B021716" w14:textId="77777777" w:rsidR="00A64E48" w:rsidRPr="00EB685A" w:rsidRDefault="00A64E48" w:rsidP="00A64E48">
      <w:pPr>
        <w:tabs>
          <w:tab w:val="left" w:pos="425"/>
          <w:tab w:val="left" w:pos="851"/>
        </w:tabs>
        <w:spacing w:before="0"/>
        <w:ind w:left="425" w:hanging="425"/>
        <w:rPr>
          <w:szCs w:val="24"/>
        </w:rPr>
      </w:pPr>
      <w:r w:rsidRPr="00EB685A">
        <w:rPr>
          <w:szCs w:val="24"/>
        </w:rPr>
        <w:t>d)</w:t>
      </w:r>
      <w:r w:rsidRPr="00EB685A">
        <w:rPr>
          <w:szCs w:val="24"/>
        </w:rPr>
        <w:tab/>
        <w:t>5 000 000 Kč, jde-li o přestupek podle odstavce 2 nebo 8,</w:t>
      </w:r>
    </w:p>
    <w:p w14:paraId="3A3C67F5" w14:textId="77777777" w:rsidR="00A64E48" w:rsidRPr="00EB685A" w:rsidRDefault="00A64E48" w:rsidP="00A64E48">
      <w:pPr>
        <w:tabs>
          <w:tab w:val="left" w:pos="425"/>
          <w:tab w:val="left" w:pos="851"/>
        </w:tabs>
        <w:spacing w:before="0"/>
        <w:ind w:left="425" w:hanging="425"/>
        <w:rPr>
          <w:szCs w:val="24"/>
        </w:rPr>
      </w:pPr>
      <w:r w:rsidRPr="00EB685A">
        <w:rPr>
          <w:szCs w:val="24"/>
        </w:rPr>
        <w:lastRenderedPageBreak/>
        <w:t>e)</w:t>
      </w:r>
      <w:r w:rsidRPr="00EB685A">
        <w:rPr>
          <w:szCs w:val="24"/>
        </w:rPr>
        <w:tab/>
        <w:t>dvojnásobku výše neoprávněného prospěchu, jde-li o přestupek podle odstavce 1 písm. a), b) nebo c); není-li možné výši neoprávněného prospěchu zjistit, lze u</w:t>
      </w:r>
      <w:r>
        <w:rPr>
          <w:szCs w:val="24"/>
        </w:rPr>
        <w:t>ložit pokutu do 130 000 000 Kč.</w:t>
      </w:r>
    </w:p>
    <w:p w14:paraId="3A6CE7FD" w14:textId="77777777" w:rsidR="00A64E48" w:rsidRPr="00EB685A" w:rsidRDefault="00A64E48" w:rsidP="00A64E48">
      <w:pPr>
        <w:pStyle w:val="PZTextodstavce"/>
        <w:keepNext/>
        <w:keepLines/>
        <w:spacing w:before="240"/>
        <w:jc w:val="center"/>
      </w:pPr>
      <w:r w:rsidRPr="00EB685A">
        <w:t>§ 27b</w:t>
      </w:r>
    </w:p>
    <w:p w14:paraId="7F0CA169" w14:textId="77777777" w:rsidR="00A64E48" w:rsidRPr="00EB685A" w:rsidRDefault="00A64E48" w:rsidP="00A64E48">
      <w:pPr>
        <w:pStyle w:val="PZTextodstavce"/>
        <w:keepNext/>
        <w:keepLines/>
        <w:spacing w:before="240"/>
        <w:jc w:val="center"/>
        <w:rPr>
          <w:b/>
        </w:rPr>
      </w:pPr>
      <w:r w:rsidRPr="00EB685A">
        <w:rPr>
          <w:b/>
        </w:rPr>
        <w:t>Přestupky družstevní záložny</w:t>
      </w:r>
    </w:p>
    <w:p w14:paraId="22992472" w14:textId="77777777" w:rsidR="00A64E48" w:rsidRPr="00253972" w:rsidRDefault="00A64E48" w:rsidP="00CE2C91">
      <w:pPr>
        <w:pStyle w:val="PZTextodstavce"/>
        <w:rPr>
          <w:szCs w:val="24"/>
        </w:rPr>
      </w:pPr>
      <w:r w:rsidRPr="00253972">
        <w:rPr>
          <w:szCs w:val="24"/>
        </w:rPr>
        <w:t>(1) Družstevní záložna se dopustí přestupku tím, že</w:t>
      </w:r>
    </w:p>
    <w:p w14:paraId="6817E115" w14:textId="77777777" w:rsidR="00A64E48" w:rsidRPr="00253972" w:rsidRDefault="00A64E48" w:rsidP="00A64E48">
      <w:pPr>
        <w:tabs>
          <w:tab w:val="left" w:pos="425"/>
          <w:tab w:val="left" w:pos="851"/>
        </w:tabs>
        <w:spacing w:before="0"/>
        <w:ind w:left="425" w:hanging="425"/>
        <w:rPr>
          <w:szCs w:val="24"/>
        </w:rPr>
      </w:pPr>
      <w:r w:rsidRPr="00253972">
        <w:rPr>
          <w:szCs w:val="24"/>
        </w:rPr>
        <w:t xml:space="preserve">a) </w:t>
      </w:r>
      <w:r>
        <w:rPr>
          <w:szCs w:val="24"/>
        </w:rPr>
        <w:tab/>
      </w:r>
      <w:r w:rsidRPr="00253972">
        <w:rPr>
          <w:szCs w:val="24"/>
        </w:rPr>
        <w:t>uskuteční činnost v rozporu s vydaným po</w:t>
      </w:r>
      <w:r>
        <w:rPr>
          <w:szCs w:val="24"/>
        </w:rPr>
        <w:t>volením [§ 1 odst. 5 písm. a)],</w:t>
      </w:r>
    </w:p>
    <w:p w14:paraId="7722E141" w14:textId="77777777" w:rsidR="00A64E48" w:rsidRPr="00253972" w:rsidRDefault="00A64E48" w:rsidP="00A64E48">
      <w:pPr>
        <w:tabs>
          <w:tab w:val="left" w:pos="425"/>
          <w:tab w:val="left" w:pos="851"/>
        </w:tabs>
        <w:spacing w:before="0"/>
        <w:ind w:left="425" w:hanging="425"/>
        <w:rPr>
          <w:szCs w:val="24"/>
        </w:rPr>
      </w:pPr>
      <w:r w:rsidRPr="00253972">
        <w:rPr>
          <w:szCs w:val="24"/>
        </w:rPr>
        <w:t xml:space="preserve">b) </w:t>
      </w:r>
      <w:r>
        <w:rPr>
          <w:szCs w:val="24"/>
        </w:rPr>
        <w:tab/>
      </w:r>
      <w:r w:rsidRPr="00253972">
        <w:rPr>
          <w:szCs w:val="24"/>
        </w:rPr>
        <w:t xml:space="preserve">nesplní povinnost stanovenou v rozhodnutí </w:t>
      </w:r>
      <w:r>
        <w:rPr>
          <w:szCs w:val="24"/>
        </w:rPr>
        <w:t>České národní banky podle § 28,</w:t>
      </w:r>
    </w:p>
    <w:p w14:paraId="102879C5" w14:textId="77777777" w:rsidR="00A64E48" w:rsidRPr="00A60257" w:rsidRDefault="00A64E48" w:rsidP="00A64E48">
      <w:pPr>
        <w:tabs>
          <w:tab w:val="left" w:pos="425"/>
          <w:tab w:val="left" w:pos="851"/>
        </w:tabs>
        <w:spacing w:before="0"/>
        <w:ind w:left="425" w:hanging="425"/>
        <w:rPr>
          <w:b/>
          <w:szCs w:val="24"/>
        </w:rPr>
      </w:pPr>
      <w:r w:rsidRPr="00253972">
        <w:rPr>
          <w:szCs w:val="24"/>
        </w:rPr>
        <w:t xml:space="preserve">c) </w:t>
      </w:r>
      <w:r>
        <w:rPr>
          <w:szCs w:val="24"/>
        </w:rPr>
        <w:tab/>
      </w:r>
      <w:r w:rsidRPr="00071546">
        <w:rPr>
          <w:szCs w:val="24"/>
        </w:rPr>
        <w:t xml:space="preserve">neuveřejní </w:t>
      </w:r>
      <w:r w:rsidRPr="00071546">
        <w:rPr>
          <w:strike/>
          <w:szCs w:val="24"/>
        </w:rPr>
        <w:t>schválenou účetní závěrku</w:t>
      </w:r>
      <w:r w:rsidRPr="00996A54">
        <w:rPr>
          <w:strike/>
          <w:szCs w:val="24"/>
        </w:rPr>
        <w:t xml:space="preserve">, výroční </w:t>
      </w:r>
      <w:r w:rsidRPr="00364270">
        <w:rPr>
          <w:strike/>
          <w:szCs w:val="24"/>
        </w:rPr>
        <w:t>zprávu</w:t>
      </w:r>
      <w:r w:rsidRPr="00364270">
        <w:rPr>
          <w:szCs w:val="24"/>
        </w:rPr>
        <w:t xml:space="preserve"> </w:t>
      </w:r>
      <w:r w:rsidRPr="00364270">
        <w:rPr>
          <w:b/>
          <w:szCs w:val="24"/>
        </w:rPr>
        <w:t xml:space="preserve">řádnou individuální </w:t>
      </w:r>
      <w:r>
        <w:rPr>
          <w:b/>
          <w:szCs w:val="24"/>
        </w:rPr>
        <w:t>účetní závěrku, zprávu podle zákona upravujícího účetnictví, je-li vyhotovována, nebo zprávu o jejich ověření, jsou-li ověřovány,</w:t>
      </w:r>
      <w:r w:rsidRPr="00364270">
        <w:rPr>
          <w:szCs w:val="24"/>
        </w:rPr>
        <w:t xml:space="preserve"> nebo opis povolení </w:t>
      </w:r>
      <w:r w:rsidRPr="00364270">
        <w:rPr>
          <w:strike/>
          <w:szCs w:val="24"/>
        </w:rPr>
        <w:t>(§ 1 odst. 6)</w:t>
      </w:r>
      <w:r w:rsidRPr="00364270">
        <w:rPr>
          <w:szCs w:val="24"/>
        </w:rPr>
        <w:t xml:space="preserve"> </w:t>
      </w:r>
      <w:r w:rsidRPr="00364270">
        <w:rPr>
          <w:b/>
          <w:szCs w:val="24"/>
        </w:rPr>
        <w:t>podle § 1 odst. 6 věty druhé,</w:t>
      </w:r>
    </w:p>
    <w:p w14:paraId="7BD4377B" w14:textId="77777777" w:rsidR="00A64E48" w:rsidRPr="00253972" w:rsidRDefault="00A64E48" w:rsidP="00A64E48">
      <w:pPr>
        <w:tabs>
          <w:tab w:val="left" w:pos="425"/>
          <w:tab w:val="left" w:pos="851"/>
        </w:tabs>
        <w:spacing w:before="0"/>
        <w:ind w:left="425" w:hanging="425"/>
        <w:rPr>
          <w:szCs w:val="24"/>
        </w:rPr>
      </w:pPr>
      <w:r w:rsidRPr="00253972">
        <w:rPr>
          <w:szCs w:val="24"/>
        </w:rPr>
        <w:t xml:space="preserve">d) </w:t>
      </w:r>
      <w:r>
        <w:rPr>
          <w:szCs w:val="24"/>
        </w:rPr>
        <w:tab/>
      </w:r>
      <w:r w:rsidRPr="00253972">
        <w:rPr>
          <w:szCs w:val="24"/>
        </w:rPr>
        <w:t>neoprávněně nabude přímý nebo nepřímý podíl na základním kapitálu právnické osoby, stane se členem, společníkem nebo akcionářem právnické osoby nebo jiným způsobem nabude vliv na řízení</w:t>
      </w:r>
      <w:r>
        <w:rPr>
          <w:szCs w:val="24"/>
        </w:rPr>
        <w:t xml:space="preserve"> právnické osoby (§ 1 odst. 9),</w:t>
      </w:r>
    </w:p>
    <w:p w14:paraId="17615D60" w14:textId="77777777" w:rsidR="00A64E48" w:rsidRPr="00253972" w:rsidRDefault="00A64E48" w:rsidP="00A64E48">
      <w:pPr>
        <w:tabs>
          <w:tab w:val="left" w:pos="425"/>
          <w:tab w:val="left" w:pos="851"/>
        </w:tabs>
        <w:spacing w:before="0"/>
        <w:ind w:left="425" w:hanging="425"/>
        <w:rPr>
          <w:szCs w:val="24"/>
        </w:rPr>
      </w:pPr>
      <w:r w:rsidRPr="00253972">
        <w:rPr>
          <w:szCs w:val="24"/>
        </w:rPr>
        <w:t xml:space="preserve">e) </w:t>
      </w:r>
      <w:r>
        <w:rPr>
          <w:szCs w:val="24"/>
        </w:rPr>
        <w:tab/>
      </w:r>
      <w:r w:rsidRPr="00253972">
        <w:rPr>
          <w:szCs w:val="24"/>
        </w:rPr>
        <w:t>připustí na členské schůzi účast osoby, které Česká národní banka pozast</w:t>
      </w:r>
      <w:r>
        <w:rPr>
          <w:szCs w:val="24"/>
        </w:rPr>
        <w:t>avila práva podle § 2c odst. 1,</w:t>
      </w:r>
    </w:p>
    <w:p w14:paraId="0D47F0BD" w14:textId="77777777" w:rsidR="00A64E48" w:rsidRPr="00253972" w:rsidRDefault="00A64E48" w:rsidP="00A64E48">
      <w:pPr>
        <w:tabs>
          <w:tab w:val="left" w:pos="425"/>
          <w:tab w:val="left" w:pos="851"/>
        </w:tabs>
        <w:spacing w:before="0"/>
        <w:ind w:left="425" w:hanging="425"/>
        <w:rPr>
          <w:szCs w:val="24"/>
        </w:rPr>
      </w:pPr>
      <w:r w:rsidRPr="00253972">
        <w:rPr>
          <w:szCs w:val="24"/>
        </w:rPr>
        <w:t xml:space="preserve">f) </w:t>
      </w:r>
      <w:r>
        <w:rPr>
          <w:szCs w:val="24"/>
        </w:rPr>
        <w:tab/>
      </w:r>
      <w:r w:rsidRPr="00253972">
        <w:rPr>
          <w:szCs w:val="24"/>
        </w:rPr>
        <w:t>zřídí pobočku na území hostitelského státu bez souhlasu České národní banky (§ 2d odst. 1) nebo změní skutečnosti týkající se činnosti pobočky na území hostitelského státu v rozp</w:t>
      </w:r>
      <w:r>
        <w:rPr>
          <w:szCs w:val="24"/>
        </w:rPr>
        <w:t>oru s ustanovením § 2e odst. 2,</w:t>
      </w:r>
    </w:p>
    <w:p w14:paraId="1BEB335E" w14:textId="77777777" w:rsidR="00A64E48" w:rsidRPr="00253972" w:rsidRDefault="00A64E48" w:rsidP="00A64E48">
      <w:pPr>
        <w:tabs>
          <w:tab w:val="left" w:pos="425"/>
          <w:tab w:val="left" w:pos="851"/>
        </w:tabs>
        <w:spacing w:before="0"/>
        <w:ind w:left="425" w:hanging="425"/>
        <w:rPr>
          <w:szCs w:val="24"/>
        </w:rPr>
      </w:pPr>
      <w:r w:rsidRPr="00253972">
        <w:rPr>
          <w:szCs w:val="24"/>
        </w:rPr>
        <w:t xml:space="preserve">g) </w:t>
      </w:r>
      <w:r>
        <w:rPr>
          <w:szCs w:val="24"/>
        </w:rPr>
        <w:tab/>
      </w:r>
      <w:r w:rsidRPr="00253972">
        <w:rPr>
          <w:szCs w:val="24"/>
        </w:rPr>
        <w:t>začne podnikat na území hostitelského státu bez založení pobočky, aniž by tento svůj záměr včetně specifikace vykonávané činnosti předem oznám</w:t>
      </w:r>
      <w:r>
        <w:rPr>
          <w:szCs w:val="24"/>
        </w:rPr>
        <w:t>ila České národní bance (§ 2f),</w:t>
      </w:r>
    </w:p>
    <w:p w14:paraId="291E532C" w14:textId="77777777" w:rsidR="00A64E48" w:rsidRPr="00253972" w:rsidRDefault="00A64E48" w:rsidP="00A64E48">
      <w:pPr>
        <w:tabs>
          <w:tab w:val="left" w:pos="425"/>
          <w:tab w:val="left" w:pos="851"/>
        </w:tabs>
        <w:spacing w:before="0"/>
        <w:ind w:left="425" w:hanging="425"/>
        <w:rPr>
          <w:szCs w:val="24"/>
        </w:rPr>
      </w:pPr>
      <w:r w:rsidRPr="00253972">
        <w:rPr>
          <w:szCs w:val="24"/>
        </w:rPr>
        <w:t xml:space="preserve">h) </w:t>
      </w:r>
      <w:r>
        <w:rPr>
          <w:szCs w:val="24"/>
        </w:rPr>
        <w:tab/>
      </w:r>
      <w:r w:rsidRPr="00253972">
        <w:rPr>
          <w:szCs w:val="24"/>
        </w:rPr>
        <w:t xml:space="preserve">neposkytne na vyžádání hostitelského státu informace a pravidelná hlášení ve formě statistických údajů o podnikání své pobočky na území tohoto hostitelského </w:t>
      </w:r>
      <w:r>
        <w:rPr>
          <w:szCs w:val="24"/>
        </w:rPr>
        <w:t>státu v souladu s § 2g odst. 2,</w:t>
      </w:r>
    </w:p>
    <w:p w14:paraId="0B699767" w14:textId="77777777" w:rsidR="00A64E48" w:rsidRPr="00253972" w:rsidRDefault="00A64E48" w:rsidP="00A64E48">
      <w:pPr>
        <w:tabs>
          <w:tab w:val="left" w:pos="425"/>
          <w:tab w:val="left" w:pos="851"/>
        </w:tabs>
        <w:spacing w:before="0"/>
        <w:ind w:left="425" w:hanging="425"/>
        <w:rPr>
          <w:szCs w:val="24"/>
        </w:rPr>
      </w:pPr>
      <w:r w:rsidRPr="00253972">
        <w:rPr>
          <w:szCs w:val="24"/>
        </w:rPr>
        <w:t xml:space="preserve">i) </w:t>
      </w:r>
      <w:r>
        <w:rPr>
          <w:szCs w:val="24"/>
        </w:rPr>
        <w:tab/>
      </w:r>
      <w:r w:rsidRPr="00253972">
        <w:rPr>
          <w:szCs w:val="24"/>
        </w:rPr>
        <w:t>svým jednáním nebo jednáním své pobočky na území hostitelského státu porušuje ustanovení právních předpisů hostitelského státu nebo přímo použitelného předpisu Evropské unie upravu</w:t>
      </w:r>
      <w:r>
        <w:rPr>
          <w:szCs w:val="24"/>
        </w:rPr>
        <w:t>jícího obezřetnostní požadavky,</w:t>
      </w:r>
    </w:p>
    <w:p w14:paraId="6CE20AC7" w14:textId="77777777" w:rsidR="00A64E48" w:rsidRPr="00253972" w:rsidRDefault="00A64E48" w:rsidP="00A64E48">
      <w:pPr>
        <w:tabs>
          <w:tab w:val="left" w:pos="425"/>
          <w:tab w:val="left" w:pos="851"/>
        </w:tabs>
        <w:spacing w:before="0"/>
        <w:ind w:left="425" w:hanging="425"/>
        <w:rPr>
          <w:szCs w:val="24"/>
        </w:rPr>
      </w:pPr>
      <w:r w:rsidRPr="00253972">
        <w:rPr>
          <w:szCs w:val="24"/>
        </w:rPr>
        <w:t xml:space="preserve">j) </w:t>
      </w:r>
      <w:r>
        <w:rPr>
          <w:szCs w:val="24"/>
        </w:rPr>
        <w:tab/>
      </w:r>
      <w:r w:rsidRPr="00253972">
        <w:rPr>
          <w:szCs w:val="24"/>
        </w:rPr>
        <w:t>nabude majetek v rozporu</w:t>
      </w:r>
      <w:r>
        <w:rPr>
          <w:szCs w:val="24"/>
        </w:rPr>
        <w:t xml:space="preserve"> s ustanovením § 3 odst. 2 a 3,</w:t>
      </w:r>
    </w:p>
    <w:p w14:paraId="36C4759F" w14:textId="77777777" w:rsidR="00A64E48" w:rsidRPr="00253972" w:rsidRDefault="00A64E48" w:rsidP="00A64E48">
      <w:pPr>
        <w:tabs>
          <w:tab w:val="left" w:pos="425"/>
          <w:tab w:val="left" w:pos="851"/>
        </w:tabs>
        <w:spacing w:before="0"/>
        <w:ind w:left="425" w:hanging="425"/>
        <w:rPr>
          <w:szCs w:val="24"/>
        </w:rPr>
      </w:pPr>
      <w:r w:rsidRPr="00253972">
        <w:rPr>
          <w:szCs w:val="24"/>
        </w:rPr>
        <w:t xml:space="preserve">k) </w:t>
      </w:r>
      <w:r>
        <w:rPr>
          <w:szCs w:val="24"/>
        </w:rPr>
        <w:tab/>
      </w:r>
      <w:r w:rsidRPr="00253972">
        <w:rPr>
          <w:szCs w:val="24"/>
        </w:rPr>
        <w:t>poruší povinnosti stanovené zvláštním právním předpisem18a) pro uzavírání smluv o finančních</w:t>
      </w:r>
      <w:r>
        <w:rPr>
          <w:szCs w:val="24"/>
        </w:rPr>
        <w:t xml:space="preserve"> službách uzavíraných na dálku,</w:t>
      </w:r>
    </w:p>
    <w:p w14:paraId="29E11C05" w14:textId="77777777" w:rsidR="00A64E48" w:rsidRPr="00253972" w:rsidRDefault="00A64E48" w:rsidP="00A64E48">
      <w:pPr>
        <w:tabs>
          <w:tab w:val="left" w:pos="425"/>
          <w:tab w:val="left" w:pos="851"/>
        </w:tabs>
        <w:spacing w:before="0"/>
        <w:ind w:left="425" w:hanging="425"/>
        <w:rPr>
          <w:szCs w:val="24"/>
        </w:rPr>
      </w:pPr>
      <w:r w:rsidRPr="00253972">
        <w:rPr>
          <w:szCs w:val="24"/>
        </w:rPr>
        <w:t xml:space="preserve">l) </w:t>
      </w:r>
      <w:r>
        <w:rPr>
          <w:szCs w:val="24"/>
        </w:rPr>
        <w:tab/>
      </w:r>
      <w:r w:rsidRPr="00253972">
        <w:rPr>
          <w:szCs w:val="24"/>
        </w:rPr>
        <w:t xml:space="preserve">použije úvěrové hodnocení pro výpočet kapitálových požadavků </w:t>
      </w:r>
      <w:r>
        <w:rPr>
          <w:szCs w:val="24"/>
        </w:rPr>
        <w:t xml:space="preserve">v rozporu s tímto zákonem, </w:t>
      </w:r>
      <w:r w:rsidRPr="00364270">
        <w:rPr>
          <w:strike/>
          <w:szCs w:val="24"/>
        </w:rPr>
        <w:t>nebo</w:t>
      </w:r>
    </w:p>
    <w:p w14:paraId="3BFCBBB1" w14:textId="77777777" w:rsidR="00A64E48" w:rsidRDefault="00A64E48" w:rsidP="00A64E48">
      <w:pPr>
        <w:tabs>
          <w:tab w:val="left" w:pos="425"/>
          <w:tab w:val="left" w:pos="851"/>
        </w:tabs>
        <w:spacing w:before="0"/>
        <w:ind w:left="425" w:hanging="425"/>
        <w:rPr>
          <w:b/>
          <w:szCs w:val="24"/>
        </w:rPr>
      </w:pPr>
      <w:r w:rsidRPr="00253972">
        <w:rPr>
          <w:szCs w:val="24"/>
        </w:rPr>
        <w:t xml:space="preserve">m) </w:t>
      </w:r>
      <w:r>
        <w:rPr>
          <w:szCs w:val="24"/>
        </w:rPr>
        <w:tab/>
      </w:r>
      <w:r w:rsidRPr="00253972">
        <w:rPr>
          <w:szCs w:val="24"/>
        </w:rPr>
        <w:t>nevykonává činnost s odbornou péčí podle § 7af</w:t>
      </w:r>
      <w:r w:rsidRPr="00364270">
        <w:rPr>
          <w:strike/>
          <w:szCs w:val="24"/>
        </w:rPr>
        <w:t>.</w:t>
      </w:r>
      <w:r w:rsidRPr="004260E2">
        <w:rPr>
          <w:b/>
          <w:szCs w:val="24"/>
        </w:rPr>
        <w:t>,</w:t>
      </w:r>
      <w:r>
        <w:rPr>
          <w:b/>
          <w:szCs w:val="24"/>
        </w:rPr>
        <w:t xml:space="preserve"> </w:t>
      </w:r>
    </w:p>
    <w:p w14:paraId="69B940E7" w14:textId="77777777" w:rsidR="00A64E48" w:rsidRPr="00422CF0" w:rsidRDefault="00A64E48" w:rsidP="00A64E48">
      <w:pPr>
        <w:tabs>
          <w:tab w:val="left" w:pos="425"/>
          <w:tab w:val="left" w:pos="851"/>
        </w:tabs>
        <w:spacing w:before="0"/>
        <w:ind w:left="425" w:hanging="425"/>
        <w:rPr>
          <w:b/>
          <w:szCs w:val="24"/>
        </w:rPr>
      </w:pPr>
      <w:r w:rsidRPr="004260E2">
        <w:rPr>
          <w:b/>
          <w:szCs w:val="24"/>
        </w:rPr>
        <w:t>n)</w:t>
      </w:r>
      <w:r>
        <w:rPr>
          <w:b/>
          <w:szCs w:val="24"/>
        </w:rPr>
        <w:tab/>
      </w:r>
      <w:r w:rsidRPr="004260E2">
        <w:rPr>
          <w:b/>
          <w:szCs w:val="24"/>
        </w:rPr>
        <w:t>neuveřejní údaje podle části osmé nařízení Evropského parlamentu a Rady (EU) č. 575/2013.</w:t>
      </w:r>
    </w:p>
    <w:p w14:paraId="02FBC253" w14:textId="77777777" w:rsidR="00A64E48" w:rsidRPr="00253972" w:rsidRDefault="00A64E48" w:rsidP="005940A4">
      <w:pPr>
        <w:pStyle w:val="PZTextodstavce"/>
        <w:rPr>
          <w:szCs w:val="24"/>
        </w:rPr>
      </w:pPr>
      <w:r w:rsidRPr="00253972">
        <w:rPr>
          <w:szCs w:val="24"/>
        </w:rPr>
        <w:t>(2) Družstevní záložna se dopustí přestupku tím, že</w:t>
      </w:r>
    </w:p>
    <w:p w14:paraId="0F5AACEB" w14:textId="77777777" w:rsidR="00A64E48" w:rsidRPr="00253972" w:rsidRDefault="00A64E48" w:rsidP="00A64E48">
      <w:pPr>
        <w:tabs>
          <w:tab w:val="left" w:pos="425"/>
          <w:tab w:val="left" w:pos="851"/>
        </w:tabs>
        <w:spacing w:before="0"/>
        <w:ind w:left="425" w:hanging="425"/>
        <w:rPr>
          <w:szCs w:val="24"/>
        </w:rPr>
      </w:pPr>
      <w:r w:rsidRPr="00253972">
        <w:rPr>
          <w:szCs w:val="24"/>
        </w:rPr>
        <w:t xml:space="preserve">a) </w:t>
      </w:r>
      <w:r>
        <w:rPr>
          <w:szCs w:val="24"/>
        </w:rPr>
        <w:tab/>
      </w:r>
      <w:r w:rsidRPr="00253972">
        <w:rPr>
          <w:szCs w:val="24"/>
        </w:rPr>
        <w:t>její řídicí a kontrolní systém nesplňuje všechny požadavky stanovené tímto zákonem, právním předpisem jej provádějícím, rozhodnutím nebo opatřením obecné povahy vydaným podle tohoto zákona, přímo použitelným předpisem Evropské unie upravujícím obezřetnostní požadavky, nařízením nebo rozhodnutím Evropské komise,</w:t>
      </w:r>
    </w:p>
    <w:p w14:paraId="24A860C8" w14:textId="77777777" w:rsidR="00A64E48" w:rsidRPr="00253972" w:rsidRDefault="00A64E48" w:rsidP="00A64E48">
      <w:pPr>
        <w:tabs>
          <w:tab w:val="left" w:pos="425"/>
          <w:tab w:val="left" w:pos="851"/>
        </w:tabs>
        <w:spacing w:before="0"/>
        <w:ind w:left="425" w:hanging="425"/>
        <w:rPr>
          <w:szCs w:val="24"/>
        </w:rPr>
      </w:pPr>
      <w:r w:rsidRPr="00253972">
        <w:rPr>
          <w:szCs w:val="24"/>
        </w:rPr>
        <w:t xml:space="preserve">b) </w:t>
      </w:r>
      <w:r>
        <w:rPr>
          <w:szCs w:val="24"/>
        </w:rPr>
        <w:tab/>
      </w:r>
      <w:r w:rsidRPr="00253972">
        <w:rPr>
          <w:szCs w:val="24"/>
        </w:rPr>
        <w:t>neposkytne právnické osobě nebo fyzické osobě v souvislosti s jejím podnikáním bez zbytečného odkladu písemné vysvětlení jejího úvěrového hodnocení podle čl. 431 odst. 5 nařízení Evropského parlamentu a Rady (EU) č. 575/2013,</w:t>
      </w:r>
    </w:p>
    <w:p w14:paraId="6A95A5FB" w14:textId="77777777" w:rsidR="00A64E48" w:rsidRPr="00253972" w:rsidRDefault="00A64E48" w:rsidP="00A64E48">
      <w:pPr>
        <w:tabs>
          <w:tab w:val="left" w:pos="425"/>
          <w:tab w:val="left" w:pos="851"/>
        </w:tabs>
        <w:spacing w:before="0"/>
        <w:ind w:left="425" w:hanging="425"/>
        <w:rPr>
          <w:szCs w:val="24"/>
        </w:rPr>
      </w:pPr>
      <w:r w:rsidRPr="00253972">
        <w:rPr>
          <w:szCs w:val="24"/>
        </w:rPr>
        <w:t xml:space="preserve">c) </w:t>
      </w:r>
      <w:r>
        <w:rPr>
          <w:szCs w:val="24"/>
        </w:rPr>
        <w:tab/>
      </w:r>
      <w:r w:rsidRPr="00253972">
        <w:rPr>
          <w:szCs w:val="24"/>
        </w:rPr>
        <w:t xml:space="preserve">nedodrží pravidla pro stanovení kapitálu, určení jednotlivých kapitálových požadavků a podmínky pro užívání interních přístupů a interních modelů pro výpočet kapitálových </w:t>
      </w:r>
      <w:r w:rsidRPr="00253972">
        <w:rPr>
          <w:szCs w:val="24"/>
        </w:rPr>
        <w:lastRenderedPageBreak/>
        <w:t>požadavků podle části druhé a třetí nařízení Evropského parlamentu a Rady (EU) č. 575/2013 a opatření obecné povahy České národní banky podle § 9a,</w:t>
      </w:r>
    </w:p>
    <w:p w14:paraId="0A0D7969" w14:textId="77777777" w:rsidR="00A64E48" w:rsidRPr="00253972" w:rsidRDefault="00A64E48" w:rsidP="00A64E48">
      <w:pPr>
        <w:tabs>
          <w:tab w:val="left" w:pos="425"/>
          <w:tab w:val="left" w:pos="851"/>
        </w:tabs>
        <w:spacing w:before="0"/>
        <w:ind w:left="425" w:hanging="425"/>
        <w:rPr>
          <w:szCs w:val="24"/>
        </w:rPr>
      </w:pPr>
      <w:r w:rsidRPr="00253972">
        <w:rPr>
          <w:szCs w:val="24"/>
        </w:rPr>
        <w:t xml:space="preserve">d) </w:t>
      </w:r>
      <w:r>
        <w:rPr>
          <w:szCs w:val="24"/>
        </w:rPr>
        <w:tab/>
      </w:r>
      <w:r w:rsidRPr="00253972">
        <w:rPr>
          <w:szCs w:val="24"/>
        </w:rPr>
        <w:t>nesdělí České národní bance údaje, nebo sdělí neúplné nebo nesprávné údaje podle části sedmé A nařízení Evropského parlamentu a Rady (EU) č. 575/2013, nařízení nebo rozhodnutí Evropské komise,</w:t>
      </w:r>
    </w:p>
    <w:p w14:paraId="41F761D9" w14:textId="77777777" w:rsidR="00A64E48" w:rsidRPr="00253972" w:rsidRDefault="00A64E48" w:rsidP="00A64E48">
      <w:pPr>
        <w:tabs>
          <w:tab w:val="left" w:pos="425"/>
          <w:tab w:val="left" w:pos="851"/>
        </w:tabs>
        <w:spacing w:before="0"/>
        <w:ind w:left="425" w:hanging="425"/>
        <w:rPr>
          <w:szCs w:val="24"/>
        </w:rPr>
      </w:pPr>
      <w:r w:rsidRPr="00253972">
        <w:rPr>
          <w:szCs w:val="24"/>
        </w:rPr>
        <w:t xml:space="preserve">e) </w:t>
      </w:r>
      <w:r>
        <w:rPr>
          <w:szCs w:val="24"/>
        </w:rPr>
        <w:tab/>
      </w:r>
      <w:r w:rsidRPr="00253972">
        <w:rPr>
          <w:szCs w:val="24"/>
        </w:rPr>
        <w:t>použije nebo změní interní přístup pro výpočet kapitálového požadavku bez předchozího souhlasu České národní banky nebo jiného orgánu dohledu členského státu, nebo tyto přístupy používá v rozporu se závaznými podmínkami stanovenými v tomto souhlasu podle čl. 143 nařízení Evropského parlamentu a Rady (EU) č. 575/2013, nařízení n</w:t>
      </w:r>
      <w:r>
        <w:rPr>
          <w:szCs w:val="24"/>
        </w:rPr>
        <w:t>ebo rozhodnutí Evropské komise,</w:t>
      </w:r>
    </w:p>
    <w:p w14:paraId="4A719E38" w14:textId="77777777" w:rsidR="00A64E48" w:rsidRPr="00253972" w:rsidRDefault="00A64E48" w:rsidP="00A64E48">
      <w:pPr>
        <w:tabs>
          <w:tab w:val="left" w:pos="425"/>
          <w:tab w:val="left" w:pos="851"/>
        </w:tabs>
        <w:spacing w:before="0"/>
        <w:ind w:left="425" w:hanging="425"/>
        <w:rPr>
          <w:szCs w:val="24"/>
        </w:rPr>
      </w:pPr>
      <w:r w:rsidRPr="00253972">
        <w:rPr>
          <w:szCs w:val="24"/>
        </w:rPr>
        <w:t xml:space="preserve">f) </w:t>
      </w:r>
      <w:r>
        <w:rPr>
          <w:szCs w:val="24"/>
        </w:rPr>
        <w:tab/>
      </w:r>
      <w:r w:rsidRPr="00253972">
        <w:rPr>
          <w:szCs w:val="24"/>
        </w:rPr>
        <w:t>nesplní některou z povinností nebo poruší některý ze zákazů uvedených v kapitole 2 nařízení Evropského parla</w:t>
      </w:r>
      <w:r>
        <w:rPr>
          <w:szCs w:val="24"/>
        </w:rPr>
        <w:t>mentu a Rady (EU) 2017/2402</w:t>
      </w:r>
      <w:r>
        <w:rPr>
          <w:rStyle w:val="Znakapoznpodarou"/>
          <w:szCs w:val="24"/>
        </w:rPr>
        <w:footnoteReference w:customMarkFollows="1" w:id="224"/>
        <w:t>50)</w:t>
      </w:r>
      <w:r>
        <w:rPr>
          <w:szCs w:val="24"/>
        </w:rPr>
        <w:t>,</w:t>
      </w:r>
    </w:p>
    <w:p w14:paraId="03CFA2C3" w14:textId="77777777" w:rsidR="00A64E48" w:rsidRPr="00253972" w:rsidRDefault="00A64E48" w:rsidP="00A64E48">
      <w:pPr>
        <w:tabs>
          <w:tab w:val="left" w:pos="425"/>
          <w:tab w:val="left" w:pos="851"/>
        </w:tabs>
        <w:spacing w:before="0"/>
        <w:ind w:left="425" w:hanging="425"/>
        <w:rPr>
          <w:szCs w:val="24"/>
        </w:rPr>
      </w:pPr>
      <w:r w:rsidRPr="00253972">
        <w:rPr>
          <w:szCs w:val="24"/>
        </w:rPr>
        <w:t xml:space="preserve">g) </w:t>
      </w:r>
      <w:r>
        <w:rPr>
          <w:szCs w:val="24"/>
        </w:rPr>
        <w:tab/>
      </w:r>
      <w:r w:rsidRPr="00253972">
        <w:rPr>
          <w:szCs w:val="24"/>
        </w:rPr>
        <w:t xml:space="preserve">se vystaví expozici přesahující limity stanovené v čl. 395 nařízení Evropského parlamentu a Rady (EU) č. 575/2013, nařízení nebo rozhodnutí Evropské komise a opatření obecné povahy </w:t>
      </w:r>
      <w:r>
        <w:rPr>
          <w:szCs w:val="24"/>
        </w:rPr>
        <w:t>České národní banky podle § 9a,</w:t>
      </w:r>
    </w:p>
    <w:p w14:paraId="4FA3D334" w14:textId="77777777" w:rsidR="00A64E48" w:rsidRPr="00253972" w:rsidRDefault="00A64E48" w:rsidP="00A64E48">
      <w:pPr>
        <w:tabs>
          <w:tab w:val="left" w:pos="425"/>
          <w:tab w:val="left" w:pos="851"/>
        </w:tabs>
        <w:spacing w:before="0"/>
        <w:ind w:left="425" w:hanging="425"/>
        <w:rPr>
          <w:szCs w:val="24"/>
        </w:rPr>
      </w:pPr>
      <w:r w:rsidRPr="00253972">
        <w:rPr>
          <w:szCs w:val="24"/>
        </w:rPr>
        <w:t xml:space="preserve">h) </w:t>
      </w:r>
      <w:r>
        <w:rPr>
          <w:szCs w:val="24"/>
        </w:rPr>
        <w:tab/>
      </w:r>
      <w:r w:rsidRPr="00253972">
        <w:rPr>
          <w:szCs w:val="24"/>
        </w:rPr>
        <w:t>neudržuje opakovaně nebo po delší dobu likvidní prostředky podle čl. 412 nařízení Evropského parl</w:t>
      </w:r>
      <w:r>
        <w:rPr>
          <w:szCs w:val="24"/>
        </w:rPr>
        <w:t>amentu a Rady (EU) č. 575/2013,</w:t>
      </w:r>
    </w:p>
    <w:p w14:paraId="5AEA4CDA" w14:textId="77777777" w:rsidR="00A64E48" w:rsidRPr="00253972" w:rsidRDefault="00A64E48" w:rsidP="00A64E48">
      <w:pPr>
        <w:tabs>
          <w:tab w:val="left" w:pos="425"/>
          <w:tab w:val="left" w:pos="851"/>
        </w:tabs>
        <w:spacing w:before="0"/>
        <w:ind w:left="425" w:hanging="425"/>
        <w:rPr>
          <w:szCs w:val="24"/>
        </w:rPr>
      </w:pPr>
      <w:r w:rsidRPr="00253972">
        <w:rPr>
          <w:szCs w:val="24"/>
        </w:rPr>
        <w:t xml:space="preserve">i) </w:t>
      </w:r>
      <w:r>
        <w:rPr>
          <w:szCs w:val="24"/>
        </w:rPr>
        <w:tab/>
      </w:r>
      <w:r w:rsidRPr="00253972">
        <w:rPr>
          <w:szCs w:val="24"/>
        </w:rPr>
        <w:t>nezpřístupní informace v rozsahu a způsobem stanoveným v části osmé nařízení Evropského parlamentu a Rady (EU) č. 575/2013, nařízením nebo rozhodnutím Evropské komise nebo tyto informace zpřístupní s neúplnými nebo n</w:t>
      </w:r>
      <w:r>
        <w:rPr>
          <w:szCs w:val="24"/>
        </w:rPr>
        <w:t>esprávnými údaji,</w:t>
      </w:r>
    </w:p>
    <w:p w14:paraId="699334AA" w14:textId="77777777" w:rsidR="00A64E48" w:rsidRPr="00253972" w:rsidRDefault="00A64E48" w:rsidP="00A64E48">
      <w:pPr>
        <w:tabs>
          <w:tab w:val="left" w:pos="425"/>
          <w:tab w:val="left" w:pos="851"/>
        </w:tabs>
        <w:spacing w:before="0"/>
        <w:ind w:left="425" w:hanging="425"/>
        <w:rPr>
          <w:szCs w:val="24"/>
        </w:rPr>
      </w:pPr>
      <w:r w:rsidRPr="00253972">
        <w:rPr>
          <w:szCs w:val="24"/>
        </w:rPr>
        <w:t xml:space="preserve">j) </w:t>
      </w:r>
      <w:r>
        <w:rPr>
          <w:szCs w:val="24"/>
        </w:rPr>
        <w:tab/>
      </w:r>
      <w:r w:rsidRPr="00253972">
        <w:rPr>
          <w:szCs w:val="24"/>
        </w:rPr>
        <w:t xml:space="preserve">rozdělí kmenový kapitál </w:t>
      </w:r>
      <w:proofErr w:type="spellStart"/>
      <w:r w:rsidRPr="00253972">
        <w:rPr>
          <w:szCs w:val="24"/>
        </w:rPr>
        <w:t>ti</w:t>
      </w:r>
      <w:r>
        <w:rPr>
          <w:szCs w:val="24"/>
        </w:rPr>
        <w:t>er</w:t>
      </w:r>
      <w:proofErr w:type="spellEnd"/>
      <w:r>
        <w:rPr>
          <w:szCs w:val="24"/>
        </w:rPr>
        <w:t xml:space="preserve"> 1 v rozporu s tímto zákonem,</w:t>
      </w:r>
    </w:p>
    <w:p w14:paraId="4F58460F" w14:textId="77777777" w:rsidR="00A64E48" w:rsidRPr="00253972" w:rsidRDefault="00A64E48" w:rsidP="00A64E48">
      <w:pPr>
        <w:tabs>
          <w:tab w:val="left" w:pos="425"/>
          <w:tab w:val="left" w:pos="851"/>
        </w:tabs>
        <w:spacing w:before="0"/>
        <w:ind w:left="425" w:hanging="425"/>
        <w:rPr>
          <w:szCs w:val="24"/>
        </w:rPr>
      </w:pPr>
      <w:r w:rsidRPr="00253972">
        <w:rPr>
          <w:szCs w:val="24"/>
        </w:rPr>
        <w:t xml:space="preserve">k) </w:t>
      </w:r>
      <w:r>
        <w:rPr>
          <w:szCs w:val="24"/>
        </w:rPr>
        <w:tab/>
      </w:r>
      <w:r w:rsidRPr="00253972">
        <w:rPr>
          <w:szCs w:val="24"/>
        </w:rPr>
        <w:t>nesplní některou z informačních</w:t>
      </w:r>
      <w:r>
        <w:rPr>
          <w:szCs w:val="24"/>
        </w:rPr>
        <w:t xml:space="preserve"> povinností podle § 2c odst. 3,</w:t>
      </w:r>
    </w:p>
    <w:p w14:paraId="0884814C" w14:textId="77777777" w:rsidR="00A64E48" w:rsidRPr="00253972" w:rsidRDefault="00A64E48" w:rsidP="00A64E48">
      <w:pPr>
        <w:tabs>
          <w:tab w:val="left" w:pos="425"/>
          <w:tab w:val="left" w:pos="851"/>
        </w:tabs>
        <w:spacing w:before="0"/>
        <w:ind w:left="425" w:hanging="425"/>
        <w:rPr>
          <w:szCs w:val="24"/>
        </w:rPr>
      </w:pPr>
      <w:r w:rsidRPr="00253972">
        <w:rPr>
          <w:szCs w:val="24"/>
        </w:rPr>
        <w:t xml:space="preserve">l) </w:t>
      </w:r>
      <w:r>
        <w:rPr>
          <w:szCs w:val="24"/>
        </w:rPr>
        <w:tab/>
      </w:r>
      <w:r w:rsidRPr="00253972">
        <w:rPr>
          <w:szCs w:val="24"/>
        </w:rPr>
        <w:t xml:space="preserve">poskytne plnění držitelům nástrojů zahrnutých v kapitálu družstevní záložny v rozporu s čl. 28, </w:t>
      </w:r>
      <w:r w:rsidRPr="000F6592">
        <w:rPr>
          <w:strike/>
          <w:szCs w:val="24"/>
        </w:rPr>
        <w:t xml:space="preserve">51 </w:t>
      </w:r>
      <w:r w:rsidRPr="000F6592">
        <w:rPr>
          <w:b/>
          <w:szCs w:val="24"/>
        </w:rPr>
        <w:t xml:space="preserve">52 </w:t>
      </w:r>
      <w:r w:rsidRPr="00253972">
        <w:rPr>
          <w:szCs w:val="24"/>
        </w:rPr>
        <w:t>nebo 63 nařízení Evropského parlament</w:t>
      </w:r>
      <w:r>
        <w:rPr>
          <w:szCs w:val="24"/>
        </w:rPr>
        <w:t>u a Rady (EU) č. 575/2013, nebo</w:t>
      </w:r>
    </w:p>
    <w:p w14:paraId="5E60FDE6" w14:textId="77777777" w:rsidR="00A64E48" w:rsidRPr="00253972" w:rsidRDefault="00A64E48" w:rsidP="00A64E48">
      <w:pPr>
        <w:tabs>
          <w:tab w:val="left" w:pos="425"/>
          <w:tab w:val="left" w:pos="851"/>
        </w:tabs>
        <w:spacing w:before="0"/>
        <w:ind w:left="425" w:hanging="425"/>
        <w:rPr>
          <w:szCs w:val="24"/>
        </w:rPr>
      </w:pPr>
      <w:r w:rsidRPr="00253972">
        <w:rPr>
          <w:szCs w:val="24"/>
        </w:rPr>
        <w:t xml:space="preserve">m) </w:t>
      </w:r>
      <w:r>
        <w:rPr>
          <w:szCs w:val="24"/>
        </w:rPr>
        <w:tab/>
      </w:r>
      <w:r w:rsidRPr="00253972">
        <w:rPr>
          <w:szCs w:val="24"/>
        </w:rPr>
        <w:t>umožní osobě, která nesplňuje požadavky tohoto zákona na člena představenstva, kontrolní komise nebo úvěrové komise družstevní záložny, stát se nebo zůstat členem tohoto orgánu.</w:t>
      </w:r>
    </w:p>
    <w:p w14:paraId="49F950B9" w14:textId="77777777" w:rsidR="00A64E48" w:rsidRPr="009D2C48" w:rsidRDefault="00A64E48" w:rsidP="005940A4">
      <w:pPr>
        <w:pStyle w:val="PZTextodstavce"/>
        <w:rPr>
          <w:szCs w:val="24"/>
        </w:rPr>
      </w:pPr>
      <w:r w:rsidRPr="00253972">
        <w:rPr>
          <w:szCs w:val="24"/>
        </w:rPr>
        <w:t>(3) Družstevní záložna se dopustí přestupku tím, že</w:t>
      </w:r>
    </w:p>
    <w:p w14:paraId="7C9A9FD2" w14:textId="77777777" w:rsidR="00A64E48" w:rsidRPr="00AF04CD" w:rsidRDefault="00A64E48" w:rsidP="00A64E48">
      <w:pPr>
        <w:tabs>
          <w:tab w:val="left" w:pos="425"/>
          <w:tab w:val="left" w:pos="851"/>
        </w:tabs>
        <w:spacing w:before="0"/>
        <w:ind w:left="426" w:hanging="426"/>
        <w:rPr>
          <w:strike/>
          <w:szCs w:val="24"/>
        </w:rPr>
      </w:pPr>
      <w:r w:rsidRPr="00AF04CD">
        <w:rPr>
          <w:strike/>
          <w:szCs w:val="24"/>
        </w:rPr>
        <w:t xml:space="preserve">a) </w:t>
      </w:r>
      <w:r w:rsidRPr="00AF04CD">
        <w:rPr>
          <w:strike/>
          <w:szCs w:val="24"/>
        </w:rPr>
        <w:tab/>
        <w:t>nevypracuje výroční zprávu, nepředloží ji spolu s řádnou účetní závěrkou ke schválení členské schůzi do 6 měsíců po ukončení účetního období, za které je vypracovávána, nebo schválenou výroční zprávu nezašle České národní bance do 10 dnů od jejího schválení (§ 6 odst. 6),</w:t>
      </w:r>
    </w:p>
    <w:p w14:paraId="52F23A97" w14:textId="77777777" w:rsidR="00A64E48" w:rsidRDefault="00A64E48" w:rsidP="00A64E48">
      <w:pPr>
        <w:tabs>
          <w:tab w:val="left" w:pos="425"/>
          <w:tab w:val="left" w:pos="851"/>
        </w:tabs>
        <w:spacing w:before="0"/>
        <w:ind w:left="426" w:hanging="426"/>
        <w:rPr>
          <w:b/>
          <w:szCs w:val="24"/>
        </w:rPr>
      </w:pPr>
      <w:r>
        <w:rPr>
          <w:b/>
          <w:szCs w:val="24"/>
        </w:rPr>
        <w:t>a)</w:t>
      </w:r>
      <w:r>
        <w:rPr>
          <w:b/>
          <w:szCs w:val="24"/>
        </w:rPr>
        <w:tab/>
        <w:t>nepředloží řádnou individuální účetní závěrku a individuální zprávu vedení ke schválení členské schůzi ve stanovené lhůtě podle § 6 odst. 6,</w:t>
      </w:r>
    </w:p>
    <w:p w14:paraId="31BEA413" w14:textId="77777777" w:rsidR="00A64E48" w:rsidRPr="00731A43" w:rsidRDefault="00A64E48" w:rsidP="00A64E48">
      <w:pPr>
        <w:tabs>
          <w:tab w:val="left" w:pos="425"/>
          <w:tab w:val="left" w:pos="851"/>
        </w:tabs>
        <w:spacing w:before="0"/>
        <w:ind w:left="426" w:hanging="426"/>
        <w:rPr>
          <w:b/>
          <w:szCs w:val="24"/>
        </w:rPr>
      </w:pPr>
      <w:r>
        <w:rPr>
          <w:b/>
          <w:szCs w:val="24"/>
        </w:rPr>
        <w:t>b)</w:t>
      </w:r>
      <w:r>
        <w:rPr>
          <w:b/>
          <w:szCs w:val="24"/>
        </w:rPr>
        <w:tab/>
        <w:t>nezveřejní nebo neuveřejní</w:t>
      </w:r>
      <w:r w:rsidRPr="00DE7DE7">
        <w:rPr>
          <w:b/>
          <w:szCs w:val="24"/>
        </w:rPr>
        <w:t xml:space="preserve"> </w:t>
      </w:r>
      <w:r>
        <w:rPr>
          <w:b/>
          <w:szCs w:val="24"/>
        </w:rPr>
        <w:t xml:space="preserve">řádnou individuální účetní závěrku, zprávu podle zákona upravujícího účetnictví, je-li vyhotovována, nebo zprávu o jejich ověření, jsou-li ověřovány, </w:t>
      </w:r>
      <w:r w:rsidRPr="00364270">
        <w:rPr>
          <w:b/>
          <w:szCs w:val="24"/>
        </w:rPr>
        <w:t xml:space="preserve">ve lhůtě </w:t>
      </w:r>
      <w:r>
        <w:rPr>
          <w:b/>
          <w:szCs w:val="24"/>
        </w:rPr>
        <w:t>podle § 1 odst. 6 věty první,</w:t>
      </w:r>
    </w:p>
    <w:p w14:paraId="79A931FC" w14:textId="77777777" w:rsidR="00A64E48" w:rsidRDefault="00A64E48" w:rsidP="00A64E48">
      <w:pPr>
        <w:tabs>
          <w:tab w:val="left" w:pos="425"/>
          <w:tab w:val="left" w:pos="851"/>
        </w:tabs>
        <w:spacing w:before="0"/>
        <w:ind w:left="426" w:hanging="426"/>
        <w:rPr>
          <w:szCs w:val="24"/>
        </w:rPr>
      </w:pPr>
      <w:r w:rsidRPr="00731A43">
        <w:rPr>
          <w:strike/>
          <w:szCs w:val="24"/>
        </w:rPr>
        <w:t>b</w:t>
      </w:r>
      <w:r>
        <w:rPr>
          <w:strike/>
          <w:szCs w:val="24"/>
        </w:rPr>
        <w:t>)</w:t>
      </w:r>
      <w:r>
        <w:rPr>
          <w:b/>
          <w:szCs w:val="24"/>
        </w:rPr>
        <w:t>c</w:t>
      </w:r>
      <w:r w:rsidRPr="00AF04CD">
        <w:rPr>
          <w:b/>
          <w:szCs w:val="24"/>
        </w:rPr>
        <w:t>)</w:t>
      </w:r>
      <w:r w:rsidRPr="00253972">
        <w:rPr>
          <w:szCs w:val="24"/>
        </w:rPr>
        <w:t xml:space="preserve"> poskytne osobám uvedeným v § 7 odst. 1 úvěr za výhodnějších podmínek, než jsou podmínky, za jakých poskytuje úvěry osta</w:t>
      </w:r>
      <w:r>
        <w:rPr>
          <w:szCs w:val="24"/>
        </w:rPr>
        <w:t>tním svým členům (§ 7 odst. 1),</w:t>
      </w:r>
    </w:p>
    <w:p w14:paraId="6AEF7C84" w14:textId="77777777" w:rsidR="00A64E48" w:rsidRPr="00C92A64" w:rsidRDefault="00A64E48" w:rsidP="00A64E48">
      <w:pPr>
        <w:tabs>
          <w:tab w:val="left" w:pos="425"/>
          <w:tab w:val="left" w:pos="851"/>
        </w:tabs>
        <w:spacing w:before="0"/>
        <w:ind w:left="426" w:hanging="426"/>
        <w:rPr>
          <w:b/>
          <w:szCs w:val="24"/>
        </w:rPr>
      </w:pPr>
      <w:r>
        <w:rPr>
          <w:b/>
          <w:szCs w:val="24"/>
        </w:rPr>
        <w:t>d</w:t>
      </w:r>
      <w:r w:rsidRPr="007B5E64">
        <w:rPr>
          <w:b/>
          <w:szCs w:val="24"/>
        </w:rPr>
        <w:t>)</w:t>
      </w:r>
      <w:r w:rsidRPr="007B5E64">
        <w:rPr>
          <w:b/>
          <w:szCs w:val="24"/>
        </w:rPr>
        <w:tab/>
        <w:t xml:space="preserve">neuveřejní </w:t>
      </w:r>
      <w:r w:rsidRPr="006C5EBE">
        <w:rPr>
          <w:b/>
          <w:szCs w:val="24"/>
        </w:rPr>
        <w:t>údaje podle § 7b odst. 1,</w:t>
      </w:r>
    </w:p>
    <w:p w14:paraId="0088CA6B" w14:textId="77777777" w:rsidR="00A64E48" w:rsidRPr="00253972" w:rsidRDefault="00A64E48" w:rsidP="00A64E48">
      <w:pPr>
        <w:tabs>
          <w:tab w:val="left" w:pos="425"/>
          <w:tab w:val="left" w:pos="851"/>
        </w:tabs>
        <w:spacing w:before="0"/>
        <w:ind w:left="426" w:hanging="426"/>
        <w:rPr>
          <w:szCs w:val="24"/>
        </w:rPr>
      </w:pPr>
      <w:r w:rsidRPr="007B5E64">
        <w:rPr>
          <w:strike/>
          <w:szCs w:val="24"/>
        </w:rPr>
        <w:t>c</w:t>
      </w:r>
      <w:r>
        <w:rPr>
          <w:strike/>
          <w:szCs w:val="24"/>
        </w:rPr>
        <w:t>)</w:t>
      </w:r>
      <w:r>
        <w:rPr>
          <w:b/>
          <w:strike/>
          <w:szCs w:val="24"/>
        </w:rPr>
        <w:t>d</w:t>
      </w:r>
      <w:r w:rsidRPr="00AF04CD">
        <w:rPr>
          <w:b/>
          <w:strike/>
          <w:szCs w:val="24"/>
        </w:rPr>
        <w:t>)</w:t>
      </w:r>
      <w:r>
        <w:rPr>
          <w:b/>
          <w:szCs w:val="24"/>
        </w:rPr>
        <w:t>e</w:t>
      </w:r>
      <w:r w:rsidRPr="00731A43">
        <w:rPr>
          <w:szCs w:val="24"/>
        </w:rPr>
        <w:t>)</w:t>
      </w:r>
      <w:r>
        <w:rPr>
          <w:szCs w:val="24"/>
        </w:rPr>
        <w:t xml:space="preserve"> </w:t>
      </w:r>
      <w:r w:rsidRPr="007B5E64">
        <w:rPr>
          <w:szCs w:val="24"/>
        </w:rPr>
        <w:t xml:space="preserve">neuvede </w:t>
      </w:r>
      <w:r w:rsidRPr="00244D4C">
        <w:rPr>
          <w:strike/>
          <w:szCs w:val="24"/>
        </w:rPr>
        <w:t>ve výroční</w:t>
      </w:r>
      <w:r w:rsidRPr="007B5E64">
        <w:rPr>
          <w:strike/>
          <w:szCs w:val="24"/>
        </w:rPr>
        <w:t xml:space="preserve"> </w:t>
      </w:r>
      <w:r w:rsidRPr="00244D4C">
        <w:rPr>
          <w:strike/>
          <w:szCs w:val="24"/>
        </w:rPr>
        <w:t xml:space="preserve">zprávě </w:t>
      </w:r>
      <w:r w:rsidRPr="00244D4C">
        <w:rPr>
          <w:b/>
          <w:szCs w:val="24"/>
        </w:rPr>
        <w:t>v</w:t>
      </w:r>
      <w:r>
        <w:rPr>
          <w:b/>
          <w:szCs w:val="24"/>
        </w:rPr>
        <w:t> </w:t>
      </w:r>
      <w:r w:rsidRPr="00244D4C">
        <w:rPr>
          <w:b/>
          <w:szCs w:val="24"/>
        </w:rPr>
        <w:t>individuální</w:t>
      </w:r>
      <w:r>
        <w:rPr>
          <w:b/>
          <w:szCs w:val="24"/>
        </w:rPr>
        <w:t xml:space="preserve"> zprávě </w:t>
      </w:r>
      <w:r w:rsidRPr="007B5E64">
        <w:rPr>
          <w:b/>
          <w:szCs w:val="24"/>
        </w:rPr>
        <w:t xml:space="preserve">vedení </w:t>
      </w:r>
      <w:r w:rsidRPr="007B5E64">
        <w:rPr>
          <w:szCs w:val="24"/>
        </w:rPr>
        <w:t>údaje o poskytnutí úvěrů osobám uvedeným v § 7 odst. 1 v souladu s ustanovením § 7 odst. 4,</w:t>
      </w:r>
    </w:p>
    <w:p w14:paraId="1ACA2518" w14:textId="77777777" w:rsidR="00A64E48" w:rsidRPr="00253972" w:rsidRDefault="00A64E48" w:rsidP="00A64E48">
      <w:pPr>
        <w:tabs>
          <w:tab w:val="left" w:pos="425"/>
          <w:tab w:val="left" w:pos="851"/>
        </w:tabs>
        <w:spacing w:before="0"/>
        <w:ind w:left="426" w:hanging="426"/>
        <w:rPr>
          <w:szCs w:val="24"/>
        </w:rPr>
      </w:pPr>
      <w:r w:rsidRPr="007B5E64">
        <w:rPr>
          <w:strike/>
          <w:szCs w:val="24"/>
        </w:rPr>
        <w:lastRenderedPageBreak/>
        <w:t>d)</w:t>
      </w:r>
      <w:r>
        <w:rPr>
          <w:b/>
          <w:strike/>
          <w:szCs w:val="24"/>
        </w:rPr>
        <w:t>e</w:t>
      </w:r>
      <w:r w:rsidRPr="00AF04CD">
        <w:rPr>
          <w:b/>
          <w:strike/>
          <w:szCs w:val="24"/>
        </w:rPr>
        <w:t>)</w:t>
      </w:r>
      <w:r>
        <w:rPr>
          <w:b/>
          <w:szCs w:val="24"/>
        </w:rPr>
        <w:t>f</w:t>
      </w:r>
      <w:r w:rsidRPr="007B5E64">
        <w:rPr>
          <w:b/>
          <w:szCs w:val="24"/>
        </w:rPr>
        <w:t>)</w:t>
      </w:r>
      <w:r>
        <w:rPr>
          <w:b/>
          <w:szCs w:val="24"/>
        </w:rPr>
        <w:t xml:space="preserve"> </w:t>
      </w:r>
      <w:r w:rsidRPr="00253972">
        <w:rPr>
          <w:szCs w:val="24"/>
        </w:rPr>
        <w:t>nedoručí České národní bance do 10 pracovních dnů ode dne zvolení člena orgánu družstevní záložny žádost o posouzení podmínek pro výkon jeho funkce, včetně listin osvědčujících splnění</w:t>
      </w:r>
      <w:r>
        <w:rPr>
          <w:szCs w:val="24"/>
        </w:rPr>
        <w:t xml:space="preserve"> těchto podmínek (§ 7 odst. 7),</w:t>
      </w:r>
    </w:p>
    <w:p w14:paraId="57FDC25D" w14:textId="77777777" w:rsidR="00A64E48" w:rsidRPr="00253972" w:rsidRDefault="00A64E48" w:rsidP="00A64E48">
      <w:pPr>
        <w:tabs>
          <w:tab w:val="left" w:pos="425"/>
          <w:tab w:val="left" w:pos="851"/>
        </w:tabs>
        <w:spacing w:before="0"/>
        <w:ind w:left="426" w:hanging="426"/>
        <w:rPr>
          <w:szCs w:val="24"/>
        </w:rPr>
      </w:pPr>
      <w:r w:rsidRPr="00731A43">
        <w:rPr>
          <w:strike/>
          <w:szCs w:val="24"/>
        </w:rPr>
        <w:t>e)</w:t>
      </w:r>
      <w:r>
        <w:rPr>
          <w:b/>
          <w:strike/>
          <w:szCs w:val="24"/>
        </w:rPr>
        <w:t>f</w:t>
      </w:r>
      <w:r w:rsidRPr="00AF04CD">
        <w:rPr>
          <w:b/>
          <w:strike/>
          <w:szCs w:val="24"/>
        </w:rPr>
        <w:t>)</w:t>
      </w:r>
      <w:r>
        <w:rPr>
          <w:b/>
          <w:szCs w:val="24"/>
        </w:rPr>
        <w:t>g)</w:t>
      </w:r>
      <w:r w:rsidRPr="00253972">
        <w:rPr>
          <w:szCs w:val="24"/>
        </w:rPr>
        <w:t xml:space="preserve"> nabude pohledávku vázanou podmínkou podřízenosti v </w:t>
      </w:r>
      <w:r>
        <w:rPr>
          <w:szCs w:val="24"/>
        </w:rPr>
        <w:t>rozporu s § 1 odst. 5 písm. e),</w:t>
      </w:r>
    </w:p>
    <w:p w14:paraId="3D165B6A" w14:textId="77777777" w:rsidR="00A64E48" w:rsidRPr="002C67FB" w:rsidRDefault="00A64E48" w:rsidP="00A64E48">
      <w:pPr>
        <w:tabs>
          <w:tab w:val="left" w:pos="425"/>
          <w:tab w:val="left" w:pos="851"/>
        </w:tabs>
        <w:spacing w:before="0"/>
        <w:ind w:left="426" w:hanging="426"/>
        <w:rPr>
          <w:strike/>
          <w:szCs w:val="24"/>
        </w:rPr>
      </w:pPr>
      <w:r w:rsidRPr="002C67FB">
        <w:rPr>
          <w:strike/>
          <w:szCs w:val="24"/>
        </w:rPr>
        <w:t>f)</w:t>
      </w:r>
      <w:r>
        <w:rPr>
          <w:b/>
          <w:strike/>
          <w:szCs w:val="24"/>
        </w:rPr>
        <w:t>g</w:t>
      </w:r>
      <w:r w:rsidRPr="00AF04CD">
        <w:rPr>
          <w:b/>
          <w:strike/>
          <w:szCs w:val="24"/>
        </w:rPr>
        <w:t>)h)</w:t>
      </w:r>
      <w:r w:rsidRPr="002C67FB">
        <w:rPr>
          <w:strike/>
          <w:szCs w:val="24"/>
        </w:rPr>
        <w:t xml:space="preserve"> neo</w:t>
      </w:r>
      <w:r w:rsidRPr="00731A43">
        <w:rPr>
          <w:strike/>
          <w:szCs w:val="24"/>
        </w:rPr>
        <w:t>z</w:t>
      </w:r>
      <w:r w:rsidRPr="002C67FB">
        <w:rPr>
          <w:strike/>
          <w:szCs w:val="24"/>
        </w:rPr>
        <w:t>námí České národní bance vybraného auditora nebo nového auditora v případě, že původně navržený auditor byl Českou národní bankou odmítnut (§ 8b odst. 3),</w:t>
      </w:r>
    </w:p>
    <w:p w14:paraId="1DBDC9C7" w14:textId="77777777" w:rsidR="00A64E48" w:rsidRDefault="00A64E48" w:rsidP="00A64E48">
      <w:pPr>
        <w:tabs>
          <w:tab w:val="left" w:pos="425"/>
          <w:tab w:val="left" w:pos="851"/>
        </w:tabs>
        <w:spacing w:before="0"/>
        <w:ind w:left="426" w:hanging="426"/>
        <w:rPr>
          <w:b/>
          <w:szCs w:val="24"/>
        </w:rPr>
      </w:pPr>
      <w:r>
        <w:rPr>
          <w:b/>
          <w:szCs w:val="24"/>
        </w:rPr>
        <w:t>h</w:t>
      </w:r>
      <w:r w:rsidRPr="00885CEB">
        <w:rPr>
          <w:b/>
          <w:szCs w:val="24"/>
        </w:rPr>
        <w:t xml:space="preserve">) </w:t>
      </w:r>
      <w:r w:rsidRPr="00885CEB">
        <w:rPr>
          <w:b/>
          <w:szCs w:val="24"/>
        </w:rPr>
        <w:tab/>
        <w:t>neoznámí České národní ban</w:t>
      </w:r>
      <w:r>
        <w:rPr>
          <w:b/>
          <w:szCs w:val="24"/>
        </w:rPr>
        <w:t>ce vybraného auditora podle § 8b</w:t>
      </w:r>
      <w:r w:rsidRPr="00885CEB">
        <w:rPr>
          <w:b/>
          <w:szCs w:val="24"/>
        </w:rPr>
        <w:t xml:space="preserve"> odst</w:t>
      </w:r>
      <w:r>
        <w:rPr>
          <w:b/>
          <w:szCs w:val="24"/>
        </w:rPr>
        <w:t>. 1 nebo nového auditora podle § 8b</w:t>
      </w:r>
      <w:r w:rsidRPr="00885CEB">
        <w:rPr>
          <w:b/>
          <w:szCs w:val="24"/>
        </w:rPr>
        <w:t xml:space="preserve"> odst. 5 v případě, že byl původně vybraný auditor Českou národní bankou odmítnut,</w:t>
      </w:r>
    </w:p>
    <w:p w14:paraId="14F289B9" w14:textId="77777777" w:rsidR="00A64E48" w:rsidRDefault="00A64E48" w:rsidP="00A64E48">
      <w:pPr>
        <w:tabs>
          <w:tab w:val="left" w:pos="425"/>
          <w:tab w:val="left" w:pos="851"/>
        </w:tabs>
        <w:spacing w:before="0"/>
        <w:ind w:left="426" w:hanging="426"/>
        <w:rPr>
          <w:b/>
          <w:szCs w:val="24"/>
        </w:rPr>
      </w:pPr>
      <w:r>
        <w:rPr>
          <w:b/>
          <w:szCs w:val="24"/>
        </w:rPr>
        <w:t>i)</w:t>
      </w:r>
      <w:r>
        <w:rPr>
          <w:b/>
          <w:szCs w:val="24"/>
        </w:rPr>
        <w:tab/>
      </w:r>
      <w:r w:rsidRPr="007B5E64">
        <w:rPr>
          <w:b/>
          <w:szCs w:val="24"/>
        </w:rPr>
        <w:t>nezajistí řádné ověření svého řídicího a kontrolního systému nebo jeho části ověřo</w:t>
      </w:r>
      <w:r>
        <w:rPr>
          <w:b/>
          <w:szCs w:val="24"/>
        </w:rPr>
        <w:t>vatelem podle § 8c odst. 1 a 3,</w:t>
      </w:r>
    </w:p>
    <w:p w14:paraId="379A3B0D" w14:textId="77777777" w:rsidR="00A64E48" w:rsidRDefault="00A64E48" w:rsidP="00A64E48">
      <w:pPr>
        <w:tabs>
          <w:tab w:val="left" w:pos="425"/>
          <w:tab w:val="left" w:pos="851"/>
        </w:tabs>
        <w:spacing w:before="0"/>
        <w:ind w:left="426" w:hanging="426"/>
        <w:rPr>
          <w:b/>
          <w:szCs w:val="24"/>
        </w:rPr>
      </w:pPr>
      <w:r>
        <w:rPr>
          <w:b/>
          <w:szCs w:val="24"/>
        </w:rPr>
        <w:t>j</w:t>
      </w:r>
      <w:r w:rsidRPr="007B5E64">
        <w:rPr>
          <w:b/>
          <w:szCs w:val="24"/>
        </w:rPr>
        <w:t>)</w:t>
      </w:r>
      <w:r w:rsidRPr="007B5E64">
        <w:rPr>
          <w:b/>
          <w:szCs w:val="24"/>
        </w:rPr>
        <w:tab/>
        <w:t xml:space="preserve">nepředloží České národní bance zprávu o ověření </w:t>
      </w:r>
      <w:r>
        <w:rPr>
          <w:b/>
          <w:szCs w:val="24"/>
        </w:rPr>
        <w:t>řídicího</w:t>
      </w:r>
      <w:r w:rsidRPr="007B5E64">
        <w:rPr>
          <w:b/>
          <w:szCs w:val="24"/>
        </w:rPr>
        <w:t xml:space="preserve"> a kontrolního systému podle § 8</w:t>
      </w:r>
      <w:r>
        <w:rPr>
          <w:b/>
          <w:szCs w:val="24"/>
        </w:rPr>
        <w:t>c</w:t>
      </w:r>
      <w:r w:rsidRPr="007B5E64">
        <w:rPr>
          <w:b/>
          <w:szCs w:val="24"/>
        </w:rPr>
        <w:t xml:space="preserve"> odst. </w:t>
      </w:r>
      <w:r>
        <w:rPr>
          <w:b/>
          <w:szCs w:val="24"/>
        </w:rPr>
        <w:t>1 a 3</w:t>
      </w:r>
      <w:r w:rsidRPr="007B5E64">
        <w:rPr>
          <w:b/>
          <w:szCs w:val="24"/>
        </w:rPr>
        <w:t>,</w:t>
      </w:r>
    </w:p>
    <w:p w14:paraId="32D82815" w14:textId="77777777" w:rsidR="00A64E48" w:rsidRPr="004F6B50" w:rsidRDefault="00A64E48" w:rsidP="00A64E48">
      <w:pPr>
        <w:tabs>
          <w:tab w:val="left" w:pos="425"/>
          <w:tab w:val="left" w:pos="851"/>
        </w:tabs>
        <w:spacing w:before="0"/>
        <w:ind w:left="426" w:hanging="426"/>
        <w:rPr>
          <w:b/>
          <w:szCs w:val="24"/>
        </w:rPr>
      </w:pPr>
      <w:r>
        <w:rPr>
          <w:b/>
          <w:szCs w:val="24"/>
        </w:rPr>
        <w:t>k</w:t>
      </w:r>
      <w:r w:rsidRPr="007B5E64">
        <w:rPr>
          <w:b/>
          <w:szCs w:val="24"/>
        </w:rPr>
        <w:t>)</w:t>
      </w:r>
      <w:r w:rsidRPr="007B5E64">
        <w:rPr>
          <w:b/>
          <w:szCs w:val="24"/>
        </w:rPr>
        <w:tab/>
        <w:t>neposkytne ověřovateli součinnost podle § 8</w:t>
      </w:r>
      <w:r>
        <w:rPr>
          <w:b/>
          <w:szCs w:val="24"/>
        </w:rPr>
        <w:t>c</w:t>
      </w:r>
      <w:r w:rsidRPr="007B5E64">
        <w:rPr>
          <w:b/>
          <w:szCs w:val="24"/>
        </w:rPr>
        <w:t xml:space="preserve"> odst. 4,</w:t>
      </w:r>
    </w:p>
    <w:p w14:paraId="2986769C" w14:textId="77777777" w:rsidR="00A64E48" w:rsidRPr="007B5E64" w:rsidRDefault="00A64E48" w:rsidP="00A64E48">
      <w:pPr>
        <w:tabs>
          <w:tab w:val="left" w:pos="425"/>
          <w:tab w:val="left" w:pos="851"/>
        </w:tabs>
        <w:spacing w:before="0"/>
        <w:ind w:left="426" w:hanging="426"/>
        <w:rPr>
          <w:b/>
          <w:szCs w:val="24"/>
        </w:rPr>
      </w:pPr>
      <w:r>
        <w:rPr>
          <w:b/>
          <w:szCs w:val="24"/>
        </w:rPr>
        <w:t>l</w:t>
      </w:r>
      <w:r w:rsidRPr="007B5E64">
        <w:rPr>
          <w:b/>
          <w:szCs w:val="24"/>
        </w:rPr>
        <w:t>)</w:t>
      </w:r>
      <w:r w:rsidRPr="007B5E64">
        <w:rPr>
          <w:b/>
          <w:szCs w:val="24"/>
        </w:rPr>
        <w:tab/>
        <w:t>neoznámí České národní bance vybraného ověřovatele podle § 8</w:t>
      </w:r>
      <w:r>
        <w:rPr>
          <w:b/>
          <w:szCs w:val="24"/>
        </w:rPr>
        <w:t>d</w:t>
      </w:r>
      <w:r w:rsidRPr="007B5E64">
        <w:rPr>
          <w:b/>
          <w:szCs w:val="24"/>
        </w:rPr>
        <w:t xml:space="preserve"> odst. 1 nebo ověřovatele podle § 8</w:t>
      </w:r>
      <w:r>
        <w:rPr>
          <w:b/>
          <w:szCs w:val="24"/>
        </w:rPr>
        <w:t>d</w:t>
      </w:r>
      <w:r w:rsidRPr="007B5E64">
        <w:rPr>
          <w:b/>
          <w:szCs w:val="24"/>
        </w:rPr>
        <w:t xml:space="preserve"> odst. 6 v případě, že byl původně vybraný ověřovatel Českou národní bankou odmítnut,</w:t>
      </w:r>
    </w:p>
    <w:p w14:paraId="2681155E" w14:textId="77777777" w:rsidR="00A64E48" w:rsidRPr="00253972" w:rsidRDefault="00A64E48" w:rsidP="00A64E48">
      <w:pPr>
        <w:tabs>
          <w:tab w:val="left" w:pos="425"/>
          <w:tab w:val="left" w:pos="851"/>
        </w:tabs>
        <w:spacing w:before="0"/>
        <w:ind w:left="426" w:hanging="426"/>
        <w:rPr>
          <w:szCs w:val="24"/>
        </w:rPr>
      </w:pPr>
      <w:r w:rsidRPr="007B5E64">
        <w:rPr>
          <w:strike/>
          <w:szCs w:val="24"/>
        </w:rPr>
        <w:t>g</w:t>
      </w:r>
      <w:r w:rsidRPr="00731A43">
        <w:rPr>
          <w:strike/>
          <w:szCs w:val="24"/>
        </w:rPr>
        <w:t>)</w:t>
      </w:r>
      <w:r w:rsidRPr="00AF04CD">
        <w:rPr>
          <w:b/>
          <w:strike/>
          <w:szCs w:val="24"/>
        </w:rPr>
        <w:t>h)</w:t>
      </w:r>
      <w:r>
        <w:rPr>
          <w:b/>
          <w:strike/>
          <w:szCs w:val="24"/>
        </w:rPr>
        <w:t>i</w:t>
      </w:r>
      <w:r w:rsidRPr="000E5C28">
        <w:rPr>
          <w:b/>
          <w:strike/>
          <w:szCs w:val="24"/>
        </w:rPr>
        <w:t>)</w:t>
      </w:r>
      <w:r w:rsidRPr="000E5C28">
        <w:rPr>
          <w:b/>
          <w:szCs w:val="24"/>
        </w:rPr>
        <w:t>m)</w:t>
      </w:r>
      <w:r w:rsidRPr="007B5E64">
        <w:rPr>
          <w:szCs w:val="24"/>
        </w:rPr>
        <w:tab/>
        <w:t>v rozporu s § 9 odst. 2</w:t>
      </w:r>
    </w:p>
    <w:p w14:paraId="411D70B2" w14:textId="77777777" w:rsidR="00A64E48" w:rsidRPr="00253972" w:rsidRDefault="00A64E48" w:rsidP="00A64E48">
      <w:pPr>
        <w:pStyle w:val="PZTextbodu"/>
        <w:spacing w:before="0"/>
        <w:rPr>
          <w:szCs w:val="24"/>
        </w:rPr>
      </w:pPr>
      <w:r>
        <w:rPr>
          <w:szCs w:val="24"/>
        </w:rPr>
        <w:t>1.</w:t>
      </w:r>
      <w:r>
        <w:rPr>
          <w:szCs w:val="24"/>
        </w:rPr>
        <w:tab/>
      </w:r>
      <w:r w:rsidRPr="00253972">
        <w:rPr>
          <w:szCs w:val="24"/>
        </w:rPr>
        <w:t>nerozhodne při schvalování</w:t>
      </w:r>
      <w:r>
        <w:rPr>
          <w:szCs w:val="24"/>
        </w:rPr>
        <w:t xml:space="preserve"> </w:t>
      </w:r>
      <w:r w:rsidRPr="00676A66">
        <w:rPr>
          <w:b/>
          <w:szCs w:val="24"/>
        </w:rPr>
        <w:t>řádné individuální</w:t>
      </w:r>
      <w:r w:rsidRPr="00253972">
        <w:rPr>
          <w:szCs w:val="24"/>
        </w:rPr>
        <w:t xml:space="preserve"> účetní závěrky za příslušné </w:t>
      </w:r>
      <w:r>
        <w:rPr>
          <w:b/>
          <w:szCs w:val="24"/>
        </w:rPr>
        <w:t xml:space="preserve">individuální </w:t>
      </w:r>
      <w:r w:rsidRPr="00676A66">
        <w:rPr>
          <w:b/>
          <w:szCs w:val="24"/>
        </w:rPr>
        <w:t>účetní</w:t>
      </w:r>
      <w:r>
        <w:rPr>
          <w:szCs w:val="24"/>
        </w:rPr>
        <w:t xml:space="preserve"> </w:t>
      </w:r>
      <w:r w:rsidRPr="00253972">
        <w:rPr>
          <w:szCs w:val="24"/>
        </w:rPr>
        <w:t>období o uhrazení vykázané ztráty z vlastních zdrojů, nebo</w:t>
      </w:r>
    </w:p>
    <w:p w14:paraId="21792353" w14:textId="77777777" w:rsidR="00A64E48" w:rsidRPr="00253972" w:rsidRDefault="00A64E48" w:rsidP="00A64E48">
      <w:pPr>
        <w:pStyle w:val="PZTextbodu"/>
        <w:spacing w:before="0"/>
        <w:rPr>
          <w:szCs w:val="24"/>
        </w:rPr>
      </w:pPr>
      <w:r>
        <w:rPr>
          <w:szCs w:val="24"/>
        </w:rPr>
        <w:t>2.</w:t>
      </w:r>
      <w:r>
        <w:rPr>
          <w:szCs w:val="24"/>
        </w:rPr>
        <w:tab/>
      </w:r>
      <w:r w:rsidRPr="00253972">
        <w:rPr>
          <w:szCs w:val="24"/>
        </w:rPr>
        <w:t>neuhradí ztrátu bez zbytečného odklad</w:t>
      </w:r>
      <w:r>
        <w:rPr>
          <w:szCs w:val="24"/>
        </w:rPr>
        <w:t>u po rozhodnutí členské schůze,</w:t>
      </w:r>
    </w:p>
    <w:p w14:paraId="3F4CE5A5" w14:textId="77777777" w:rsidR="00A64E48" w:rsidRPr="007B5E64" w:rsidRDefault="00A64E48" w:rsidP="00A64E48">
      <w:pPr>
        <w:tabs>
          <w:tab w:val="left" w:pos="425"/>
          <w:tab w:val="left" w:pos="851"/>
        </w:tabs>
        <w:spacing w:before="0"/>
        <w:ind w:left="426" w:hanging="426"/>
        <w:rPr>
          <w:szCs w:val="24"/>
        </w:rPr>
      </w:pPr>
      <w:r w:rsidRPr="000E5C28">
        <w:rPr>
          <w:strike/>
          <w:szCs w:val="24"/>
        </w:rPr>
        <w:t>h</w:t>
      </w:r>
      <w:r>
        <w:rPr>
          <w:b/>
          <w:strike/>
          <w:szCs w:val="24"/>
        </w:rPr>
        <w:t>)i</w:t>
      </w:r>
      <w:r w:rsidRPr="00AF04CD">
        <w:rPr>
          <w:b/>
          <w:strike/>
          <w:szCs w:val="24"/>
        </w:rPr>
        <w:t>)</w:t>
      </w:r>
      <w:r w:rsidRPr="000E5C28">
        <w:rPr>
          <w:b/>
          <w:strike/>
          <w:szCs w:val="24"/>
        </w:rPr>
        <w:t>j)</w:t>
      </w:r>
      <w:r>
        <w:rPr>
          <w:b/>
          <w:szCs w:val="24"/>
        </w:rPr>
        <w:t>n</w:t>
      </w:r>
      <w:r w:rsidRPr="000E5C28">
        <w:rPr>
          <w:b/>
          <w:szCs w:val="24"/>
        </w:rPr>
        <w:t>)</w:t>
      </w:r>
      <w:r w:rsidRPr="000E5C28">
        <w:rPr>
          <w:szCs w:val="24"/>
        </w:rPr>
        <w:t xml:space="preserve"> </w:t>
      </w:r>
      <w:r w:rsidRPr="007B5E64">
        <w:rPr>
          <w:szCs w:val="24"/>
        </w:rPr>
        <w:t>nevypočte řádně příspěvek do Fondu pojištění vkladů nebo příspěvek řádně a včas nezaplatí (§ 14),</w:t>
      </w:r>
    </w:p>
    <w:p w14:paraId="0412B127" w14:textId="77777777" w:rsidR="00A64E48" w:rsidRPr="007B5E64" w:rsidRDefault="00A64E48" w:rsidP="00A64E48">
      <w:pPr>
        <w:tabs>
          <w:tab w:val="left" w:pos="425"/>
          <w:tab w:val="left" w:pos="851"/>
        </w:tabs>
        <w:spacing w:before="0"/>
        <w:ind w:left="426" w:hanging="426"/>
        <w:rPr>
          <w:szCs w:val="24"/>
        </w:rPr>
      </w:pPr>
      <w:r w:rsidRPr="007B5E64">
        <w:rPr>
          <w:strike/>
          <w:szCs w:val="24"/>
        </w:rPr>
        <w:t>i</w:t>
      </w:r>
      <w:r>
        <w:rPr>
          <w:strike/>
          <w:szCs w:val="24"/>
        </w:rPr>
        <w:t>)</w:t>
      </w:r>
      <w:r>
        <w:rPr>
          <w:b/>
          <w:strike/>
          <w:szCs w:val="24"/>
        </w:rPr>
        <w:t>j)</w:t>
      </w:r>
      <w:r w:rsidRPr="000E5C28">
        <w:rPr>
          <w:b/>
          <w:strike/>
          <w:szCs w:val="24"/>
        </w:rPr>
        <w:t>k)</w:t>
      </w:r>
      <w:r>
        <w:rPr>
          <w:b/>
          <w:szCs w:val="24"/>
        </w:rPr>
        <w:t>o</w:t>
      </w:r>
      <w:r w:rsidRPr="000E5C28">
        <w:rPr>
          <w:b/>
          <w:szCs w:val="24"/>
        </w:rPr>
        <w:t>)</w:t>
      </w:r>
      <w:r w:rsidRPr="007B5E64">
        <w:rPr>
          <w:szCs w:val="24"/>
        </w:rPr>
        <w:tab/>
        <w:t>neprovede opravné zúčtování v souladu s ustanovením § 13b odst. 1,</w:t>
      </w:r>
    </w:p>
    <w:p w14:paraId="5C22E036" w14:textId="77777777" w:rsidR="00A64E48" w:rsidRPr="007B5E64" w:rsidRDefault="00A64E48" w:rsidP="00A64E48">
      <w:pPr>
        <w:tabs>
          <w:tab w:val="left" w:pos="425"/>
          <w:tab w:val="left" w:pos="851"/>
        </w:tabs>
        <w:spacing w:before="0"/>
        <w:ind w:left="426" w:hanging="426"/>
        <w:rPr>
          <w:szCs w:val="24"/>
        </w:rPr>
      </w:pPr>
      <w:r w:rsidRPr="007B5E64">
        <w:rPr>
          <w:strike/>
          <w:szCs w:val="24"/>
        </w:rPr>
        <w:t>j</w:t>
      </w:r>
      <w:r>
        <w:rPr>
          <w:strike/>
          <w:szCs w:val="24"/>
        </w:rPr>
        <w:t>)</w:t>
      </w:r>
      <w:r w:rsidRPr="000E5C28">
        <w:rPr>
          <w:b/>
          <w:strike/>
          <w:szCs w:val="24"/>
        </w:rPr>
        <w:t>k</w:t>
      </w:r>
      <w:r w:rsidRPr="00AF04CD">
        <w:rPr>
          <w:b/>
          <w:strike/>
          <w:szCs w:val="24"/>
        </w:rPr>
        <w:t>)</w:t>
      </w:r>
      <w:r w:rsidRPr="000E5C28">
        <w:rPr>
          <w:b/>
          <w:strike/>
          <w:szCs w:val="24"/>
        </w:rPr>
        <w:t>l)</w:t>
      </w:r>
      <w:r>
        <w:rPr>
          <w:b/>
          <w:szCs w:val="24"/>
        </w:rPr>
        <w:t>p</w:t>
      </w:r>
      <w:r w:rsidRPr="000E5C28">
        <w:rPr>
          <w:b/>
          <w:szCs w:val="24"/>
        </w:rPr>
        <w:t>)</w:t>
      </w:r>
      <w:r w:rsidRPr="007B5E64">
        <w:rPr>
          <w:szCs w:val="24"/>
        </w:rPr>
        <w:tab/>
        <w:t>poruší povinnost zachovávat v tajnosti a chránit před zneužitím údaje o svém členovi a jeho obchodech s družstevní záložnou (§ 25b),</w:t>
      </w:r>
    </w:p>
    <w:p w14:paraId="4100568D" w14:textId="77777777" w:rsidR="00A64E48" w:rsidRPr="007B5E64" w:rsidRDefault="00A64E48" w:rsidP="00A64E48">
      <w:pPr>
        <w:tabs>
          <w:tab w:val="left" w:pos="425"/>
          <w:tab w:val="left" w:pos="851"/>
        </w:tabs>
        <w:spacing w:before="0"/>
        <w:ind w:left="426" w:hanging="426"/>
        <w:rPr>
          <w:szCs w:val="24"/>
        </w:rPr>
      </w:pPr>
      <w:r w:rsidRPr="007B5E64">
        <w:rPr>
          <w:strike/>
          <w:szCs w:val="24"/>
        </w:rPr>
        <w:t>k</w:t>
      </w:r>
      <w:r>
        <w:rPr>
          <w:strike/>
          <w:szCs w:val="24"/>
        </w:rPr>
        <w:t>)</w:t>
      </w:r>
      <w:r>
        <w:rPr>
          <w:b/>
          <w:strike/>
          <w:szCs w:val="24"/>
        </w:rPr>
        <w:t>l</w:t>
      </w:r>
      <w:r w:rsidRPr="00AF04CD">
        <w:rPr>
          <w:b/>
          <w:strike/>
          <w:szCs w:val="24"/>
        </w:rPr>
        <w:t>)</w:t>
      </w:r>
      <w:r w:rsidRPr="000E5C28">
        <w:rPr>
          <w:b/>
          <w:strike/>
          <w:szCs w:val="24"/>
        </w:rPr>
        <w:t>m)</w:t>
      </w:r>
      <w:r>
        <w:rPr>
          <w:b/>
          <w:szCs w:val="24"/>
        </w:rPr>
        <w:t>q</w:t>
      </w:r>
      <w:r w:rsidRPr="000E5C28">
        <w:rPr>
          <w:b/>
          <w:szCs w:val="24"/>
        </w:rPr>
        <w:t>)</w:t>
      </w:r>
      <w:r w:rsidRPr="007B5E64">
        <w:rPr>
          <w:szCs w:val="24"/>
        </w:rPr>
        <w:tab/>
        <w:t>nepodá zprávu o údajích, které je povinna zachovávat v tajnosti a chránit před zneužitím, subjektům uvedeným v § 25b odst. 3, 4 nebo 6,</w:t>
      </w:r>
    </w:p>
    <w:p w14:paraId="45053E62" w14:textId="77777777" w:rsidR="00A64E48" w:rsidRPr="007B5E64" w:rsidRDefault="00A64E48" w:rsidP="00A64E48">
      <w:pPr>
        <w:tabs>
          <w:tab w:val="left" w:pos="425"/>
          <w:tab w:val="left" w:pos="851"/>
        </w:tabs>
        <w:spacing w:before="0"/>
        <w:ind w:left="426" w:hanging="426"/>
        <w:rPr>
          <w:szCs w:val="24"/>
        </w:rPr>
      </w:pPr>
      <w:r w:rsidRPr="007B5E64">
        <w:rPr>
          <w:strike/>
          <w:szCs w:val="24"/>
        </w:rPr>
        <w:t>l</w:t>
      </w:r>
      <w:r>
        <w:rPr>
          <w:strike/>
          <w:szCs w:val="24"/>
        </w:rPr>
        <w:t>)</w:t>
      </w:r>
      <w:r>
        <w:rPr>
          <w:b/>
          <w:strike/>
          <w:szCs w:val="24"/>
        </w:rPr>
        <w:t>m</w:t>
      </w:r>
      <w:r w:rsidRPr="00AF04CD">
        <w:rPr>
          <w:b/>
          <w:strike/>
          <w:szCs w:val="24"/>
        </w:rPr>
        <w:t>)</w:t>
      </w:r>
      <w:r w:rsidRPr="000E5C28">
        <w:rPr>
          <w:b/>
          <w:strike/>
          <w:szCs w:val="24"/>
        </w:rPr>
        <w:t>n)</w:t>
      </w:r>
      <w:r>
        <w:rPr>
          <w:b/>
          <w:szCs w:val="24"/>
        </w:rPr>
        <w:t>r</w:t>
      </w:r>
      <w:r w:rsidRPr="000E5C28">
        <w:rPr>
          <w:b/>
          <w:szCs w:val="24"/>
        </w:rPr>
        <w:t>)</w:t>
      </w:r>
      <w:r w:rsidRPr="007B5E64">
        <w:rPr>
          <w:szCs w:val="24"/>
        </w:rPr>
        <w:t xml:space="preserve"> nepředloží nebo neposkytne informace anebo podklady podle § 27 odst. 1, 2 nebo 3,</w:t>
      </w:r>
    </w:p>
    <w:p w14:paraId="7537034D" w14:textId="77777777" w:rsidR="00A64E48" w:rsidRPr="007B5E64" w:rsidRDefault="00A64E48" w:rsidP="00A64E48">
      <w:pPr>
        <w:tabs>
          <w:tab w:val="left" w:pos="425"/>
          <w:tab w:val="left" w:pos="851"/>
        </w:tabs>
        <w:spacing w:before="0"/>
        <w:ind w:left="426" w:hanging="426"/>
        <w:rPr>
          <w:szCs w:val="24"/>
        </w:rPr>
      </w:pPr>
      <w:r w:rsidRPr="007B5E64">
        <w:rPr>
          <w:strike/>
          <w:szCs w:val="24"/>
        </w:rPr>
        <w:t>m</w:t>
      </w:r>
      <w:r>
        <w:rPr>
          <w:strike/>
          <w:szCs w:val="24"/>
        </w:rPr>
        <w:t>)</w:t>
      </w:r>
      <w:r>
        <w:rPr>
          <w:b/>
          <w:strike/>
          <w:szCs w:val="24"/>
        </w:rPr>
        <w:t>n</w:t>
      </w:r>
      <w:r w:rsidRPr="00AF04CD">
        <w:rPr>
          <w:b/>
          <w:strike/>
          <w:szCs w:val="24"/>
        </w:rPr>
        <w:t>)</w:t>
      </w:r>
      <w:r w:rsidRPr="000E5C28">
        <w:rPr>
          <w:b/>
          <w:strike/>
          <w:szCs w:val="24"/>
        </w:rPr>
        <w:t>o)</w:t>
      </w:r>
      <w:r>
        <w:rPr>
          <w:b/>
          <w:szCs w:val="24"/>
        </w:rPr>
        <w:t>s</w:t>
      </w:r>
      <w:r w:rsidRPr="000E5C28">
        <w:rPr>
          <w:b/>
          <w:szCs w:val="24"/>
        </w:rPr>
        <w:t>)</w:t>
      </w:r>
      <w:r>
        <w:rPr>
          <w:b/>
          <w:szCs w:val="24"/>
        </w:rPr>
        <w:t xml:space="preserve"> </w:t>
      </w:r>
      <w:r w:rsidRPr="007B5E64">
        <w:rPr>
          <w:szCs w:val="24"/>
        </w:rPr>
        <w:t>nevede agendu každé smlouvy uzavírané s klientem podle § 12a,</w:t>
      </w:r>
    </w:p>
    <w:p w14:paraId="5A8688AC" w14:textId="77777777" w:rsidR="00A64E48" w:rsidRPr="007B5E64" w:rsidRDefault="00A64E48" w:rsidP="00A64E48">
      <w:pPr>
        <w:tabs>
          <w:tab w:val="left" w:pos="425"/>
          <w:tab w:val="left" w:pos="851"/>
        </w:tabs>
        <w:spacing w:before="0"/>
        <w:ind w:left="426" w:hanging="426"/>
        <w:rPr>
          <w:szCs w:val="24"/>
        </w:rPr>
      </w:pPr>
      <w:r w:rsidRPr="007B5E64">
        <w:rPr>
          <w:strike/>
          <w:szCs w:val="24"/>
        </w:rPr>
        <w:t>n</w:t>
      </w:r>
      <w:r>
        <w:rPr>
          <w:strike/>
          <w:szCs w:val="24"/>
        </w:rPr>
        <w:t>)</w:t>
      </w:r>
      <w:r w:rsidRPr="000E5C28">
        <w:rPr>
          <w:b/>
          <w:strike/>
          <w:szCs w:val="24"/>
        </w:rPr>
        <w:t>o</w:t>
      </w:r>
      <w:r w:rsidRPr="00AF04CD">
        <w:rPr>
          <w:b/>
          <w:strike/>
          <w:szCs w:val="24"/>
        </w:rPr>
        <w:t>)</w:t>
      </w:r>
      <w:r w:rsidRPr="000E5C28">
        <w:rPr>
          <w:b/>
          <w:strike/>
          <w:szCs w:val="24"/>
        </w:rPr>
        <w:t>p)</w:t>
      </w:r>
      <w:r>
        <w:rPr>
          <w:b/>
          <w:szCs w:val="24"/>
        </w:rPr>
        <w:t>t</w:t>
      </w:r>
      <w:r w:rsidRPr="000E5C28">
        <w:rPr>
          <w:b/>
          <w:szCs w:val="24"/>
        </w:rPr>
        <w:t>)</w:t>
      </w:r>
      <w:r w:rsidRPr="007B5E64">
        <w:rPr>
          <w:szCs w:val="24"/>
        </w:rPr>
        <w:tab/>
        <w:t>v rozporu s § 12 nezavede účinný postup pro vyřizování stížností klientů nebo o tomto postupu neinformuje, nebo</w:t>
      </w:r>
    </w:p>
    <w:p w14:paraId="7636174E" w14:textId="77777777" w:rsidR="00A64E48" w:rsidRPr="00253972" w:rsidRDefault="00A64E48" w:rsidP="00A64E48">
      <w:pPr>
        <w:tabs>
          <w:tab w:val="left" w:pos="425"/>
          <w:tab w:val="left" w:pos="851"/>
        </w:tabs>
        <w:spacing w:before="0"/>
        <w:ind w:left="426" w:hanging="426"/>
        <w:rPr>
          <w:szCs w:val="24"/>
        </w:rPr>
      </w:pPr>
      <w:r w:rsidRPr="007B5E64">
        <w:rPr>
          <w:strike/>
          <w:szCs w:val="24"/>
        </w:rPr>
        <w:t>o</w:t>
      </w:r>
      <w:r>
        <w:rPr>
          <w:strike/>
          <w:szCs w:val="24"/>
        </w:rPr>
        <w:t>)</w:t>
      </w:r>
      <w:r>
        <w:rPr>
          <w:b/>
          <w:strike/>
          <w:szCs w:val="24"/>
        </w:rPr>
        <w:t>p</w:t>
      </w:r>
      <w:r w:rsidRPr="00AF04CD">
        <w:rPr>
          <w:b/>
          <w:strike/>
          <w:szCs w:val="24"/>
        </w:rPr>
        <w:t>)</w:t>
      </w:r>
      <w:r>
        <w:rPr>
          <w:b/>
          <w:strike/>
          <w:szCs w:val="24"/>
        </w:rPr>
        <w:t>q</w:t>
      </w:r>
      <w:r w:rsidRPr="000E5C28">
        <w:rPr>
          <w:b/>
          <w:strike/>
          <w:szCs w:val="24"/>
        </w:rPr>
        <w:t>)</w:t>
      </w:r>
      <w:r>
        <w:rPr>
          <w:b/>
          <w:szCs w:val="24"/>
        </w:rPr>
        <w:t>u</w:t>
      </w:r>
      <w:r w:rsidRPr="000E5C28">
        <w:rPr>
          <w:b/>
          <w:szCs w:val="24"/>
        </w:rPr>
        <w:t>)</w:t>
      </w:r>
      <w:r w:rsidRPr="007B5E64">
        <w:rPr>
          <w:szCs w:val="24"/>
        </w:rPr>
        <w:tab/>
        <w:t>nesplní některou z povinností podle § 7aa odst. 1.</w:t>
      </w:r>
    </w:p>
    <w:p w14:paraId="14290FF6" w14:textId="77777777" w:rsidR="00A64E48" w:rsidRPr="00253972" w:rsidRDefault="00A64E48" w:rsidP="005940A4">
      <w:pPr>
        <w:pStyle w:val="PZTextodstavce"/>
        <w:rPr>
          <w:szCs w:val="24"/>
        </w:rPr>
      </w:pPr>
      <w:r w:rsidRPr="00253972">
        <w:rPr>
          <w:szCs w:val="24"/>
        </w:rPr>
        <w:t>(4) Za přestupek lze uložit pokutu do</w:t>
      </w:r>
    </w:p>
    <w:p w14:paraId="06561754" w14:textId="505BD1B5" w:rsidR="00A64E48" w:rsidRPr="00662C06" w:rsidRDefault="00A64E48" w:rsidP="00A64E48">
      <w:pPr>
        <w:tabs>
          <w:tab w:val="left" w:pos="425"/>
          <w:tab w:val="left" w:pos="851"/>
        </w:tabs>
        <w:spacing w:before="0"/>
        <w:ind w:left="425" w:hanging="425"/>
        <w:rPr>
          <w:szCs w:val="24"/>
        </w:rPr>
      </w:pPr>
      <w:r>
        <w:rPr>
          <w:szCs w:val="24"/>
        </w:rPr>
        <w:t>a)</w:t>
      </w:r>
      <w:r>
        <w:rPr>
          <w:szCs w:val="24"/>
        </w:rPr>
        <w:tab/>
      </w:r>
      <w:r w:rsidRPr="00676A66">
        <w:rPr>
          <w:szCs w:val="24"/>
        </w:rPr>
        <w:t xml:space="preserve">2 000 000 Kč, jde-li o přestupek podle odstavce 3 písm. </w:t>
      </w:r>
      <w:r w:rsidRPr="00676A66">
        <w:rPr>
          <w:strike/>
          <w:szCs w:val="24"/>
        </w:rPr>
        <w:t>f), i) nebo m)</w:t>
      </w:r>
      <w:r w:rsidRPr="00676A66">
        <w:rPr>
          <w:szCs w:val="24"/>
        </w:rPr>
        <w:t xml:space="preserve"> </w:t>
      </w:r>
      <w:r w:rsidRPr="00821C90">
        <w:rPr>
          <w:b/>
          <w:szCs w:val="24"/>
        </w:rPr>
        <w:t>d</w:t>
      </w:r>
      <w:r w:rsidRPr="00676A66">
        <w:rPr>
          <w:b/>
          <w:szCs w:val="24"/>
        </w:rPr>
        <w:t>)</w:t>
      </w:r>
      <w:r w:rsidRPr="00821C90">
        <w:rPr>
          <w:b/>
          <w:szCs w:val="24"/>
        </w:rPr>
        <w:t>,</w:t>
      </w:r>
      <w:r w:rsidRPr="00676A66">
        <w:rPr>
          <w:szCs w:val="24"/>
        </w:rPr>
        <w:t xml:space="preserve"> </w:t>
      </w:r>
      <w:r w:rsidRPr="00676A66">
        <w:rPr>
          <w:b/>
          <w:szCs w:val="24"/>
        </w:rPr>
        <w:t>h) až l), o) nebo s)</w:t>
      </w:r>
      <w:r w:rsidRPr="00676A66">
        <w:rPr>
          <w:szCs w:val="24"/>
        </w:rPr>
        <w:t>,</w:t>
      </w:r>
    </w:p>
    <w:p w14:paraId="2FC9A584" w14:textId="3AF7638D" w:rsidR="00A64E48" w:rsidRPr="00662C06" w:rsidRDefault="00A64E48" w:rsidP="00A64E48">
      <w:pPr>
        <w:tabs>
          <w:tab w:val="left" w:pos="425"/>
          <w:tab w:val="left" w:pos="851"/>
        </w:tabs>
        <w:spacing w:before="0"/>
        <w:ind w:left="425" w:hanging="425"/>
        <w:rPr>
          <w:szCs w:val="24"/>
        </w:rPr>
      </w:pPr>
      <w:r>
        <w:rPr>
          <w:szCs w:val="24"/>
        </w:rPr>
        <w:t>b)</w:t>
      </w:r>
      <w:r w:rsidRPr="00662C06">
        <w:rPr>
          <w:szCs w:val="24"/>
        </w:rPr>
        <w:tab/>
        <w:t xml:space="preserve">5 000 000 Kč, jde-li o přestupek podle odstavce 1 písm. c) </w:t>
      </w:r>
      <w:r w:rsidRPr="00821C90">
        <w:rPr>
          <w:b/>
          <w:szCs w:val="24"/>
        </w:rPr>
        <w:t>a n)</w:t>
      </w:r>
      <w:r>
        <w:rPr>
          <w:szCs w:val="24"/>
        </w:rPr>
        <w:t xml:space="preserve"> </w:t>
      </w:r>
      <w:r w:rsidRPr="00662C06">
        <w:rPr>
          <w:szCs w:val="24"/>
        </w:rPr>
        <w:t xml:space="preserve">nebo odstavce 3 písm. </w:t>
      </w:r>
      <w:r w:rsidRPr="00217266">
        <w:rPr>
          <w:szCs w:val="24"/>
        </w:rPr>
        <w:t>a),</w:t>
      </w:r>
      <w:r>
        <w:rPr>
          <w:szCs w:val="24"/>
        </w:rPr>
        <w:t xml:space="preserve"> </w:t>
      </w:r>
      <w:r w:rsidRPr="001C6243">
        <w:rPr>
          <w:strike/>
          <w:szCs w:val="24"/>
        </w:rPr>
        <w:t>c),</w:t>
      </w:r>
      <w:r w:rsidRPr="00292F49">
        <w:rPr>
          <w:strike/>
          <w:szCs w:val="24"/>
        </w:rPr>
        <w:t xml:space="preserve"> n) nebo o)</w:t>
      </w:r>
      <w:r>
        <w:rPr>
          <w:szCs w:val="24"/>
        </w:rPr>
        <w:t xml:space="preserve"> </w:t>
      </w:r>
      <w:r w:rsidRPr="00217266">
        <w:rPr>
          <w:b/>
          <w:szCs w:val="24"/>
        </w:rPr>
        <w:t>b)</w:t>
      </w:r>
      <w:r>
        <w:rPr>
          <w:b/>
          <w:szCs w:val="24"/>
        </w:rPr>
        <w:t>,</w:t>
      </w:r>
      <w:r w:rsidRPr="00217266">
        <w:rPr>
          <w:b/>
          <w:szCs w:val="24"/>
        </w:rPr>
        <w:t xml:space="preserve"> e)</w:t>
      </w:r>
      <w:r>
        <w:rPr>
          <w:b/>
          <w:szCs w:val="24"/>
        </w:rPr>
        <w:t>, t) nebo u)</w:t>
      </w:r>
      <w:r w:rsidRPr="00662C06">
        <w:rPr>
          <w:szCs w:val="24"/>
        </w:rPr>
        <w:t>,</w:t>
      </w:r>
    </w:p>
    <w:p w14:paraId="65DF950A" w14:textId="17A904B5" w:rsidR="00A64E48" w:rsidRPr="00253972" w:rsidRDefault="00A64E48" w:rsidP="00A64E48">
      <w:pPr>
        <w:tabs>
          <w:tab w:val="left" w:pos="425"/>
          <w:tab w:val="left" w:pos="851"/>
        </w:tabs>
        <w:spacing w:before="0"/>
        <w:ind w:left="425" w:hanging="425"/>
        <w:rPr>
          <w:szCs w:val="24"/>
        </w:rPr>
      </w:pPr>
      <w:r>
        <w:rPr>
          <w:szCs w:val="24"/>
        </w:rPr>
        <w:t>c)</w:t>
      </w:r>
      <w:r w:rsidRPr="00662C06">
        <w:rPr>
          <w:szCs w:val="24"/>
        </w:rPr>
        <w:tab/>
        <w:t xml:space="preserve">20 000 000 Kč, jde-li o přestupek podle odstavce 1 písm. a), b), d), e), f), g), h), i), j), </w:t>
      </w:r>
      <w:r w:rsidRPr="008E69FC">
        <w:rPr>
          <w:strike/>
          <w:szCs w:val="24"/>
        </w:rPr>
        <w:t xml:space="preserve">k) nebo </w:t>
      </w:r>
      <w:r w:rsidRPr="00821C90">
        <w:rPr>
          <w:strike/>
          <w:szCs w:val="24"/>
        </w:rPr>
        <w:t>l</w:t>
      </w:r>
      <w:r>
        <w:rPr>
          <w:strike/>
          <w:szCs w:val="24"/>
        </w:rPr>
        <w:t>)</w:t>
      </w:r>
      <w:r>
        <w:rPr>
          <w:b/>
          <w:szCs w:val="24"/>
        </w:rPr>
        <w:t xml:space="preserve"> k), l) nebo m)</w:t>
      </w:r>
      <w:r w:rsidRPr="00662C06">
        <w:rPr>
          <w:szCs w:val="24"/>
        </w:rPr>
        <w:t xml:space="preserve"> nebo odstavce 3 písm</w:t>
      </w:r>
      <w:r w:rsidRPr="00292F49">
        <w:rPr>
          <w:strike/>
          <w:szCs w:val="24"/>
        </w:rPr>
        <w:t xml:space="preserve">. b), d), e), g), h), j), k), l) </w:t>
      </w:r>
      <w:proofErr w:type="gramStart"/>
      <w:r w:rsidRPr="00292F49">
        <w:rPr>
          <w:strike/>
          <w:szCs w:val="24"/>
        </w:rPr>
        <w:t>nebo m)</w:t>
      </w:r>
      <w:r>
        <w:rPr>
          <w:szCs w:val="24"/>
        </w:rPr>
        <w:t xml:space="preserve">  </w:t>
      </w:r>
      <w:r w:rsidRPr="00F62B05">
        <w:rPr>
          <w:b/>
          <w:szCs w:val="24"/>
        </w:rPr>
        <w:t>c),</w:t>
      </w:r>
      <w:r>
        <w:rPr>
          <w:b/>
          <w:szCs w:val="24"/>
        </w:rPr>
        <w:t xml:space="preserve"> </w:t>
      </w:r>
      <w:r w:rsidRPr="00F62B05">
        <w:rPr>
          <w:b/>
          <w:szCs w:val="24"/>
        </w:rPr>
        <w:t>f</w:t>
      </w:r>
      <w:r w:rsidRPr="00821C90">
        <w:rPr>
          <w:b/>
          <w:szCs w:val="24"/>
        </w:rPr>
        <w:t>), g), m), n</w:t>
      </w:r>
      <w:r w:rsidRPr="00F62B05">
        <w:rPr>
          <w:b/>
          <w:szCs w:val="24"/>
        </w:rPr>
        <w:t>), p), q)</w:t>
      </w:r>
      <w:r>
        <w:rPr>
          <w:b/>
          <w:szCs w:val="24"/>
        </w:rPr>
        <w:t xml:space="preserve"> nebo</w:t>
      </w:r>
      <w:proofErr w:type="gramEnd"/>
      <w:r w:rsidRPr="00F62B05">
        <w:rPr>
          <w:b/>
          <w:szCs w:val="24"/>
        </w:rPr>
        <w:t xml:space="preserve"> r)</w:t>
      </w:r>
      <w:r w:rsidRPr="00F62B05">
        <w:rPr>
          <w:szCs w:val="24"/>
        </w:rPr>
        <w:t>,</w:t>
      </w:r>
    </w:p>
    <w:p w14:paraId="4D65838A" w14:textId="697974E8" w:rsidR="00A64E48" w:rsidRPr="00253972" w:rsidRDefault="00A64E48" w:rsidP="00A64E48">
      <w:pPr>
        <w:tabs>
          <w:tab w:val="left" w:pos="425"/>
          <w:tab w:val="left" w:pos="851"/>
        </w:tabs>
        <w:spacing w:before="0"/>
        <w:ind w:left="425" w:hanging="425"/>
        <w:rPr>
          <w:szCs w:val="24"/>
        </w:rPr>
      </w:pPr>
      <w:r>
        <w:rPr>
          <w:szCs w:val="24"/>
        </w:rPr>
        <w:t>d)</w:t>
      </w:r>
      <w:r>
        <w:rPr>
          <w:szCs w:val="24"/>
        </w:rPr>
        <w:tab/>
      </w:r>
      <w:r w:rsidRPr="00253972">
        <w:rPr>
          <w:szCs w:val="24"/>
        </w:rPr>
        <w:t>126 650 000 Kč, jde-li o přest</w:t>
      </w:r>
      <w:r>
        <w:rPr>
          <w:szCs w:val="24"/>
        </w:rPr>
        <w:t>upek podle odstavce 2 písm. f),</w:t>
      </w:r>
    </w:p>
    <w:p w14:paraId="4A7415FB" w14:textId="588B20DD" w:rsidR="00A64E48" w:rsidRPr="00253972" w:rsidRDefault="00A64E48" w:rsidP="00A64E48">
      <w:pPr>
        <w:tabs>
          <w:tab w:val="left" w:pos="425"/>
          <w:tab w:val="left" w:pos="851"/>
        </w:tabs>
        <w:spacing w:before="0"/>
        <w:ind w:left="425" w:hanging="425"/>
        <w:rPr>
          <w:szCs w:val="24"/>
        </w:rPr>
      </w:pPr>
      <w:r>
        <w:rPr>
          <w:szCs w:val="24"/>
        </w:rPr>
        <w:t>e)</w:t>
      </w:r>
      <w:r>
        <w:rPr>
          <w:szCs w:val="24"/>
        </w:rPr>
        <w:tab/>
      </w:r>
      <w:r w:rsidRPr="00253972">
        <w:rPr>
          <w:szCs w:val="24"/>
        </w:rPr>
        <w:t>dvojnásobku výše neoprávněného prospěchu, jde-li o přestupek podle odstavce 2 a spáchala-li ho právnická osoba; není-li možné výši neoprávněného prospěchu zjistit, lze uložit pokutu do výše 10 % čistého ročního obratu dosaženého právnickou osobou za bezprostředně předcházející účetní období, který zahrnuje položky uvedené v čl. 316 nařízení Evropského parl</w:t>
      </w:r>
      <w:r>
        <w:rPr>
          <w:szCs w:val="24"/>
        </w:rPr>
        <w:t>amentu a Rady (EU) č. 575/2013,</w:t>
      </w:r>
    </w:p>
    <w:p w14:paraId="4DA4107F" w14:textId="2568A560" w:rsidR="00A64E48" w:rsidRPr="000243A7" w:rsidRDefault="00A64E48" w:rsidP="005940A4">
      <w:pPr>
        <w:tabs>
          <w:tab w:val="left" w:pos="425"/>
          <w:tab w:val="left" w:pos="851"/>
        </w:tabs>
        <w:spacing w:before="0"/>
        <w:ind w:left="425" w:hanging="425"/>
        <w:rPr>
          <w:szCs w:val="24"/>
        </w:rPr>
      </w:pPr>
      <w:r>
        <w:rPr>
          <w:szCs w:val="24"/>
        </w:rPr>
        <w:lastRenderedPageBreak/>
        <w:t>f)</w:t>
      </w:r>
      <w:r>
        <w:rPr>
          <w:szCs w:val="24"/>
        </w:rPr>
        <w:tab/>
      </w:r>
      <w:r w:rsidRPr="00253972">
        <w:rPr>
          <w:szCs w:val="24"/>
        </w:rPr>
        <w:t>dvojnásobku výše neoprávněného prospěchu, jde-li o přestupek podle odstavce 2 a spáchala-li ho ovládaná osoba; není-li možné výši neoprávněného prospěchu zjistit, lze uložit pokutu do výše 10 % čistého ročního obratu vyplývajícího z konsolidované účetní závěrky ovládající osoby za bezprostřed</w:t>
      </w:r>
      <w:r w:rsidR="005940A4">
        <w:rPr>
          <w:szCs w:val="24"/>
        </w:rPr>
        <w:t>ně předcházející účetní období.</w:t>
      </w:r>
    </w:p>
    <w:p w14:paraId="2A19C622" w14:textId="77777777" w:rsidR="00A64E48" w:rsidRPr="000821C9" w:rsidRDefault="00A64E48" w:rsidP="00A64E48">
      <w:pPr>
        <w:pStyle w:val="PZTextodstavce"/>
        <w:keepNext/>
        <w:keepLines/>
        <w:spacing w:before="240"/>
        <w:jc w:val="center"/>
      </w:pPr>
      <w:r w:rsidRPr="000821C9">
        <w:t>§ 27c</w:t>
      </w:r>
    </w:p>
    <w:p w14:paraId="39D2D2B4" w14:textId="77777777" w:rsidR="00A64E48" w:rsidRPr="000243A7" w:rsidRDefault="00A64E48" w:rsidP="00A64E48">
      <w:pPr>
        <w:pStyle w:val="PZTextodstavce"/>
        <w:keepNext/>
        <w:keepLines/>
        <w:spacing w:before="240"/>
        <w:jc w:val="center"/>
        <w:rPr>
          <w:b/>
        </w:rPr>
      </w:pPr>
      <w:r w:rsidRPr="000243A7">
        <w:rPr>
          <w:b/>
        </w:rPr>
        <w:t>Přestupky právnických a podnikajících fyzických osob</w:t>
      </w:r>
    </w:p>
    <w:p w14:paraId="67EA20C0" w14:textId="77777777" w:rsidR="00A64E48" w:rsidRPr="000821C9" w:rsidRDefault="00A64E48" w:rsidP="005940A4">
      <w:pPr>
        <w:pStyle w:val="PZTextodstavce"/>
      </w:pPr>
      <w:r w:rsidRPr="000821C9">
        <w:t xml:space="preserve">(1) </w:t>
      </w:r>
      <w:r w:rsidRPr="005940A4">
        <w:rPr>
          <w:szCs w:val="24"/>
        </w:rPr>
        <w:t>Právnická</w:t>
      </w:r>
      <w:r w:rsidRPr="000821C9">
        <w:t xml:space="preserve"> osoba nebo podnikající fyzická osoba se dopustí přestupku tím, že</w:t>
      </w:r>
    </w:p>
    <w:p w14:paraId="1BF74C08" w14:textId="77777777" w:rsidR="00A64E48" w:rsidRPr="000243A7" w:rsidRDefault="00A64E48" w:rsidP="00A64E48">
      <w:pPr>
        <w:tabs>
          <w:tab w:val="left" w:pos="425"/>
          <w:tab w:val="left" w:pos="851"/>
        </w:tabs>
        <w:spacing w:before="0"/>
        <w:ind w:left="425" w:hanging="425"/>
        <w:rPr>
          <w:szCs w:val="24"/>
        </w:rPr>
      </w:pPr>
      <w:r w:rsidRPr="000243A7">
        <w:rPr>
          <w:szCs w:val="24"/>
        </w:rPr>
        <w:t>a)</w:t>
      </w:r>
      <w:r w:rsidRPr="000243A7">
        <w:rPr>
          <w:szCs w:val="24"/>
        </w:rPr>
        <w:tab/>
        <w:t>nabude nebo zvýší svoji kvalifikovanou účast na družstevní záložně bez předchozího souhlasu České národní banky podle § 2b odst. 3,</w:t>
      </w:r>
    </w:p>
    <w:p w14:paraId="792C800E" w14:textId="77777777" w:rsidR="00A64E48" w:rsidRPr="000243A7" w:rsidRDefault="00A64E48" w:rsidP="00A64E48">
      <w:pPr>
        <w:tabs>
          <w:tab w:val="left" w:pos="425"/>
          <w:tab w:val="left" w:pos="851"/>
        </w:tabs>
        <w:spacing w:before="0"/>
        <w:ind w:left="425" w:hanging="425"/>
        <w:rPr>
          <w:szCs w:val="24"/>
        </w:rPr>
      </w:pPr>
      <w:r w:rsidRPr="000243A7">
        <w:rPr>
          <w:szCs w:val="24"/>
        </w:rPr>
        <w:t>b)</w:t>
      </w:r>
      <w:r w:rsidRPr="000243A7">
        <w:rPr>
          <w:szCs w:val="24"/>
        </w:rPr>
        <w:tab/>
        <w:t>užívá označení "spořitelní a úvěrní družstvo" nebo "družstevní záložna" nebo "úvěrní družstvo" v rozporu s § 1 odst. 3,</w:t>
      </w:r>
    </w:p>
    <w:p w14:paraId="3B399F48" w14:textId="77777777" w:rsidR="00A64E48" w:rsidRPr="000243A7" w:rsidRDefault="00A64E48" w:rsidP="00A64E48">
      <w:pPr>
        <w:tabs>
          <w:tab w:val="left" w:pos="425"/>
          <w:tab w:val="left" w:pos="851"/>
        </w:tabs>
        <w:spacing w:before="0"/>
        <w:ind w:left="425" w:hanging="425"/>
        <w:rPr>
          <w:szCs w:val="24"/>
        </w:rPr>
      </w:pPr>
      <w:r w:rsidRPr="000243A7">
        <w:rPr>
          <w:szCs w:val="24"/>
        </w:rPr>
        <w:t>c)</w:t>
      </w:r>
      <w:r w:rsidRPr="000243A7">
        <w:rPr>
          <w:szCs w:val="24"/>
        </w:rPr>
        <w:tab/>
        <w:t>zahájí činnost, ke které je třeba povolení podle tohoto zákona, bez tohoto povolení,</w:t>
      </w:r>
    </w:p>
    <w:p w14:paraId="2CA07349" w14:textId="77777777" w:rsidR="00A64E48" w:rsidRPr="000243A7" w:rsidRDefault="00A64E48" w:rsidP="00A64E48">
      <w:pPr>
        <w:tabs>
          <w:tab w:val="left" w:pos="425"/>
          <w:tab w:val="left" w:pos="851"/>
        </w:tabs>
        <w:spacing w:before="0"/>
        <w:ind w:left="425" w:hanging="425"/>
        <w:rPr>
          <w:szCs w:val="24"/>
        </w:rPr>
      </w:pPr>
      <w:r w:rsidRPr="000243A7">
        <w:rPr>
          <w:szCs w:val="24"/>
        </w:rPr>
        <w:t>d)</w:t>
      </w:r>
      <w:r w:rsidRPr="000243A7">
        <w:rPr>
          <w:szCs w:val="24"/>
        </w:rPr>
        <w:tab/>
        <w:t>ovládne družstevní záložnu bez předchozího souhlasu České národní banky podle § 2b odst. 3,</w:t>
      </w:r>
    </w:p>
    <w:p w14:paraId="2273811A" w14:textId="77777777" w:rsidR="00A64E48" w:rsidRPr="000243A7" w:rsidRDefault="00A64E48" w:rsidP="00A64E48">
      <w:pPr>
        <w:tabs>
          <w:tab w:val="left" w:pos="425"/>
          <w:tab w:val="left" w:pos="851"/>
        </w:tabs>
        <w:spacing w:before="0"/>
        <w:ind w:left="425" w:hanging="425"/>
        <w:rPr>
          <w:szCs w:val="24"/>
        </w:rPr>
      </w:pPr>
      <w:r w:rsidRPr="000243A7">
        <w:rPr>
          <w:szCs w:val="24"/>
        </w:rPr>
        <w:t>e)</w:t>
      </w:r>
      <w:r w:rsidRPr="000243A7">
        <w:rPr>
          <w:szCs w:val="24"/>
        </w:rPr>
        <w:tab/>
        <w:t>nesplní oznamovací povinnost podle § 2b odst. 12, nebo</w:t>
      </w:r>
    </w:p>
    <w:p w14:paraId="442C8428" w14:textId="77777777" w:rsidR="00A64E48" w:rsidRPr="000243A7" w:rsidRDefault="00A64E48" w:rsidP="00A64E48">
      <w:pPr>
        <w:tabs>
          <w:tab w:val="left" w:pos="425"/>
          <w:tab w:val="left" w:pos="851"/>
        </w:tabs>
        <w:spacing w:before="0"/>
        <w:ind w:left="425" w:hanging="425"/>
        <w:rPr>
          <w:szCs w:val="24"/>
        </w:rPr>
      </w:pPr>
      <w:r w:rsidRPr="000243A7">
        <w:rPr>
          <w:szCs w:val="24"/>
        </w:rPr>
        <w:t>f)</w:t>
      </w:r>
      <w:r w:rsidRPr="000243A7">
        <w:rPr>
          <w:szCs w:val="24"/>
        </w:rPr>
        <w:tab/>
        <w:t>v žádosti o souhlas podle tohoto zákona nebo přímo použitelného předpisu Evropské unie upravujícího obezřetnostní požadavky uvede nepravdivé údaje nebo zamlčí podstatné údaje nezbytné pro posou</w:t>
      </w:r>
      <w:r>
        <w:rPr>
          <w:szCs w:val="24"/>
        </w:rPr>
        <w:t>zení této žádosti.</w:t>
      </w:r>
    </w:p>
    <w:p w14:paraId="7AD6D7D5" w14:textId="77777777" w:rsidR="00A64E48" w:rsidRPr="000821C9" w:rsidRDefault="00A64E48" w:rsidP="005940A4">
      <w:pPr>
        <w:pStyle w:val="PZTextodstavce"/>
      </w:pPr>
      <w:r w:rsidRPr="000821C9">
        <w:t>(2) Právnická nebo podnikající fyzická osoba jako osoba podléhající dohledu České národní banky se dopustí přestupku tím, že nesplní některou z povinností stanovenou kontrolním řádem.</w:t>
      </w:r>
    </w:p>
    <w:p w14:paraId="1F22F666" w14:textId="77777777" w:rsidR="00A64E48" w:rsidRPr="000821C9" w:rsidRDefault="00A64E48" w:rsidP="005940A4">
      <w:pPr>
        <w:pStyle w:val="PZTextodstavce"/>
      </w:pPr>
      <w:r w:rsidRPr="000821C9">
        <w:t xml:space="preserve">(3) Právnická nebo podnikající fyzická osoba jako insolvenční správce družstevní záložny se dopustí přestupku tím, že na žádost České národní banky nesvolá do 30 dnů od doručení žádosti členskou schůzi družstevní záložny výhradně za účelem schválení řádné </w:t>
      </w:r>
      <w:r w:rsidRPr="005940A4">
        <w:rPr>
          <w:b/>
        </w:rPr>
        <w:t>individuální</w:t>
      </w:r>
      <w:r>
        <w:t xml:space="preserve"> </w:t>
      </w:r>
      <w:r w:rsidRPr="000821C9">
        <w:t>účetní závěrky podle § 5a odst. 4.</w:t>
      </w:r>
    </w:p>
    <w:p w14:paraId="1B536FD0" w14:textId="77777777" w:rsidR="00A64E48" w:rsidRDefault="00A64E48" w:rsidP="005940A4">
      <w:pPr>
        <w:pStyle w:val="PZTextodstavce"/>
      </w:pPr>
      <w:r w:rsidRPr="000821C9">
        <w:t>(4) Právnická nebo podnikající fyzická osoba se dopustí přestupku tím, že jako osoba vykonávající funkci likvidátora poruší povinnost vykonávat funkci s péčí řádného hospodáře.</w:t>
      </w:r>
    </w:p>
    <w:p w14:paraId="6AF54059" w14:textId="77777777" w:rsidR="00A64E48" w:rsidRPr="000243A7" w:rsidRDefault="00A64E48" w:rsidP="005940A4">
      <w:pPr>
        <w:pStyle w:val="PZTextodstavce"/>
        <w:rPr>
          <w:b/>
        </w:rPr>
      </w:pPr>
      <w:r>
        <w:rPr>
          <w:b/>
        </w:rPr>
        <w:t>(5</w:t>
      </w:r>
      <w:r w:rsidRPr="007B6BE1">
        <w:rPr>
          <w:b/>
        </w:rPr>
        <w:t xml:space="preserve">) Právnická nebo podnikající fyzická osoba se jako ověřovatel </w:t>
      </w:r>
      <w:r>
        <w:rPr>
          <w:b/>
        </w:rPr>
        <w:t>řídicího a kontrolního systému</w:t>
      </w:r>
      <w:r w:rsidRPr="007B6BE1">
        <w:rPr>
          <w:b/>
        </w:rPr>
        <w:t xml:space="preserve"> dopustí přestupku tím, že poruší povinnost zachovávat mlčenlivost podle § </w:t>
      </w:r>
      <w:r>
        <w:rPr>
          <w:b/>
        </w:rPr>
        <w:t>25c odst. 4</w:t>
      </w:r>
      <w:r w:rsidRPr="007B6BE1">
        <w:rPr>
          <w:b/>
        </w:rPr>
        <w:t>.</w:t>
      </w:r>
    </w:p>
    <w:p w14:paraId="5DB2829A" w14:textId="77777777" w:rsidR="00A64E48" w:rsidRPr="000821C9" w:rsidRDefault="00A64E48" w:rsidP="005940A4">
      <w:pPr>
        <w:pStyle w:val="PZTextodstavce"/>
      </w:pPr>
      <w:proofErr w:type="gramStart"/>
      <w:r w:rsidRPr="000821C9">
        <w:t>(</w:t>
      </w:r>
      <w:r w:rsidRPr="000243A7">
        <w:rPr>
          <w:strike/>
        </w:rPr>
        <w:t>5</w:t>
      </w:r>
      <w:r>
        <w:rPr>
          <w:strike/>
        </w:rPr>
        <w:t>)</w:t>
      </w:r>
      <w:r w:rsidRPr="000243A7">
        <w:rPr>
          <w:b/>
        </w:rPr>
        <w:t xml:space="preserve">(6) </w:t>
      </w:r>
      <w:r w:rsidRPr="000821C9">
        <w:t>Za</w:t>
      </w:r>
      <w:proofErr w:type="gramEnd"/>
      <w:r w:rsidRPr="000821C9">
        <w:t xml:space="preserve"> přestupek lze uložit pokutu do</w:t>
      </w:r>
    </w:p>
    <w:p w14:paraId="244939EB" w14:textId="77777777" w:rsidR="00A64E48" w:rsidRPr="000821C9" w:rsidRDefault="00A64E48" w:rsidP="00A64E48">
      <w:pPr>
        <w:pStyle w:val="Textparagrafu"/>
        <w:spacing w:before="0"/>
        <w:ind w:left="425" w:hanging="425"/>
      </w:pPr>
      <w:r w:rsidRPr="000821C9">
        <w:t>a)</w:t>
      </w:r>
      <w:r w:rsidRPr="000821C9">
        <w:tab/>
        <w:t xml:space="preserve">1 000 000 Kč, jde-li o přestupek podle odstavce 4, </w:t>
      </w:r>
    </w:p>
    <w:p w14:paraId="283FBC65" w14:textId="77777777" w:rsidR="00A64E48" w:rsidRPr="000821C9" w:rsidRDefault="00A64E48" w:rsidP="00A64E48">
      <w:pPr>
        <w:pStyle w:val="Textparagrafu"/>
        <w:spacing w:before="0"/>
        <w:ind w:left="425" w:hanging="425"/>
      </w:pPr>
      <w:r w:rsidRPr="000821C9">
        <w:t>b)</w:t>
      </w:r>
      <w:r w:rsidRPr="000821C9">
        <w:tab/>
        <w:t>5 000 000 Kč, jde-li o přestupek podle odstavce 2</w:t>
      </w:r>
      <w:r>
        <w:t xml:space="preserve"> </w:t>
      </w:r>
      <w:r>
        <w:rPr>
          <w:b/>
        </w:rPr>
        <w:t>nebo 5</w:t>
      </w:r>
      <w:r w:rsidRPr="000821C9">
        <w:t>,</w:t>
      </w:r>
    </w:p>
    <w:p w14:paraId="302B483B" w14:textId="77777777" w:rsidR="00A64E48" w:rsidRPr="000821C9" w:rsidRDefault="00A64E48" w:rsidP="00A64E48">
      <w:pPr>
        <w:pStyle w:val="Textparagrafu"/>
        <w:spacing w:before="0"/>
        <w:ind w:left="425" w:hanging="425"/>
      </w:pPr>
      <w:r w:rsidRPr="000821C9">
        <w:t>c)</w:t>
      </w:r>
      <w:r w:rsidRPr="000821C9">
        <w:tab/>
        <w:t>10 000 000 Kč, jde-li o přestupek podle odstavce 1 písm. b) nebo f) nebo odstavce 3,</w:t>
      </w:r>
    </w:p>
    <w:p w14:paraId="077EDB99" w14:textId="77777777" w:rsidR="00A64E48" w:rsidRPr="000821C9" w:rsidRDefault="00A64E48" w:rsidP="00A64E48">
      <w:pPr>
        <w:pStyle w:val="Textparagrafu"/>
        <w:spacing w:before="0"/>
        <w:ind w:left="425" w:hanging="425"/>
      </w:pPr>
      <w:r w:rsidRPr="000821C9">
        <w:t>d)</w:t>
      </w:r>
      <w:r w:rsidRPr="000821C9">
        <w:tab/>
        <w:t>dvojnásobku výše neoprávněného prospěchu, jde-li o přestupek podle odstavce 1 písm. a), c), d) nebo e) a spáchala-li ho podnikající fyzická osoba; není-li možné výši neoprávněného prospěchu zjistit, lze uložit pokutu do 130 000 000 Kč,</w:t>
      </w:r>
    </w:p>
    <w:p w14:paraId="28BB4018" w14:textId="77777777" w:rsidR="00A64E48" w:rsidRPr="000821C9" w:rsidRDefault="00A64E48" w:rsidP="00A64E48">
      <w:pPr>
        <w:pStyle w:val="Textparagrafu"/>
        <w:spacing w:before="0"/>
        <w:ind w:left="425" w:hanging="425"/>
      </w:pPr>
      <w:r w:rsidRPr="000821C9">
        <w:t>e)</w:t>
      </w:r>
      <w:r w:rsidRPr="000821C9">
        <w:tab/>
        <w:t>dvojnásobku výše neoprávněného prospěchu, jde-li o přestupek podle odstavce 1 písm. a), c), d) nebo e) a spáchala-li ho právnická osoba; není-li možné výši neoprávněného prospěchu zjistit, lze uložit pokutu do výše 10 % čistého ročního obratu dosaženého právnickou osobou za bez- prostředně předcházející účetní období, který zahrnuje položky uvedené v čl. 316 nařízení Evropského parlamentu a Rady (EU) č. 575/2013,</w:t>
      </w:r>
    </w:p>
    <w:p w14:paraId="3296A572" w14:textId="69DABBD9" w:rsidR="00A64E48" w:rsidRPr="000243A7" w:rsidRDefault="00A64E48" w:rsidP="00A64E48">
      <w:pPr>
        <w:pStyle w:val="Textparagrafu"/>
        <w:spacing w:before="0"/>
        <w:ind w:left="425" w:hanging="425"/>
      </w:pPr>
      <w:r>
        <w:t>f)</w:t>
      </w:r>
      <w:r w:rsidRPr="000821C9">
        <w:tab/>
        <w:t xml:space="preserve">dvojnásobku výše neoprávněného prospěchu, jde-li o přestupek podle odstavce 1 písm. a), c), d) nebo e) a spáchala-li ho ovládaná osoba; není-li možné výši neoprávněného </w:t>
      </w:r>
      <w:r w:rsidRPr="000821C9">
        <w:lastRenderedPageBreak/>
        <w:t>prospěchu zjistit, lze uložit pokutu do výše 10 % čistého ročního obratu vyplývajícího z konsolidované účetní závěrky ovládající osoby za bezprostředně předcházející účetní období.</w:t>
      </w:r>
    </w:p>
    <w:p w14:paraId="5855E040" w14:textId="77777777" w:rsidR="00A64E48" w:rsidRPr="000243A7" w:rsidRDefault="00A64E48" w:rsidP="00A64E48">
      <w:pPr>
        <w:pStyle w:val="PZTextodstavce"/>
        <w:keepNext/>
        <w:keepLines/>
        <w:spacing w:before="240"/>
        <w:jc w:val="center"/>
      </w:pPr>
      <w:r w:rsidRPr="000243A7">
        <w:t>§ 28</w:t>
      </w:r>
    </w:p>
    <w:p w14:paraId="7188EF48" w14:textId="77777777" w:rsidR="00A64E48" w:rsidRPr="000243A7" w:rsidRDefault="00A64E48" w:rsidP="00A64E48">
      <w:pPr>
        <w:pStyle w:val="PZTextodstavce"/>
        <w:keepNext/>
        <w:keepLines/>
        <w:spacing w:before="240"/>
        <w:jc w:val="center"/>
        <w:rPr>
          <w:b/>
        </w:rPr>
      </w:pPr>
      <w:r w:rsidRPr="000243A7">
        <w:rPr>
          <w:b/>
        </w:rPr>
        <w:t>Opatření k nápravě</w:t>
      </w:r>
    </w:p>
    <w:p w14:paraId="2D509CE9" w14:textId="77777777" w:rsidR="00A64E48" w:rsidRPr="00595F3F" w:rsidRDefault="00A64E48" w:rsidP="005940A4">
      <w:pPr>
        <w:pStyle w:val="PZTextodstavce"/>
        <w:rPr>
          <w:szCs w:val="24"/>
        </w:rPr>
      </w:pPr>
      <w:r w:rsidRPr="00595F3F">
        <w:rPr>
          <w:szCs w:val="24"/>
        </w:rPr>
        <w:t>(1) Česká národní banka může osobě podléhající jejímu dohledu při zjištění nedostatku v její činnosti v důsledku porušení nebo nedodržení povinnosti nebo podmínky stanovené tímto zákonem, právním předpisem jej provádějícím, rozhodnutím vydaným podle tohoto zákona, opatřením obecné povahy vydaným podle tohoto zákona, přímo použitelným předpisem Evropské unie upravujícím obezřetnostní požadavky a nařízením nebo rozhodnutím Evropské komise uložit opatření k nápravě zjištěného nedostatku odpovídající povaze porušení a jeho závažnosti.</w:t>
      </w:r>
    </w:p>
    <w:p w14:paraId="08A064F3" w14:textId="77777777" w:rsidR="00A64E48" w:rsidRPr="00595F3F" w:rsidRDefault="00A64E48" w:rsidP="005940A4">
      <w:pPr>
        <w:pStyle w:val="PZTextodstavce"/>
        <w:rPr>
          <w:szCs w:val="24"/>
        </w:rPr>
      </w:pPr>
      <w:r w:rsidRPr="00595F3F">
        <w:rPr>
          <w:szCs w:val="24"/>
        </w:rPr>
        <w:t>(2) K odstranění zjištěných nedostatků může Česká národní banka</w:t>
      </w:r>
    </w:p>
    <w:p w14:paraId="0C4D6AA3" w14:textId="45F3E190" w:rsidR="00A64E48" w:rsidRPr="00595F3F" w:rsidRDefault="00A64E48" w:rsidP="00A64E48">
      <w:pPr>
        <w:tabs>
          <w:tab w:val="left" w:pos="425"/>
          <w:tab w:val="left" w:pos="851"/>
        </w:tabs>
        <w:spacing w:before="0"/>
        <w:ind w:left="426" w:hanging="426"/>
        <w:rPr>
          <w:szCs w:val="24"/>
        </w:rPr>
      </w:pPr>
      <w:r w:rsidRPr="00595F3F">
        <w:rPr>
          <w:szCs w:val="24"/>
        </w:rPr>
        <w:t>a)</w:t>
      </w:r>
      <w:r>
        <w:rPr>
          <w:szCs w:val="24"/>
        </w:rPr>
        <w:tab/>
      </w:r>
      <w:r w:rsidRPr="00595F3F">
        <w:rPr>
          <w:szCs w:val="24"/>
        </w:rPr>
        <w:t>uložit, aby osoba podléhající jejímu dohledu</w:t>
      </w:r>
    </w:p>
    <w:p w14:paraId="1100B713" w14:textId="77777777" w:rsidR="00A64E48" w:rsidRPr="00595F3F" w:rsidRDefault="00A64E48" w:rsidP="00A64E48">
      <w:pPr>
        <w:pStyle w:val="PZTextbodu"/>
        <w:spacing w:before="0"/>
        <w:rPr>
          <w:szCs w:val="24"/>
        </w:rPr>
      </w:pPr>
      <w:r>
        <w:rPr>
          <w:szCs w:val="24"/>
        </w:rPr>
        <w:t>1.</w:t>
      </w:r>
      <w:r>
        <w:rPr>
          <w:szCs w:val="24"/>
        </w:rPr>
        <w:tab/>
      </w:r>
      <w:r w:rsidRPr="00595F3F">
        <w:rPr>
          <w:szCs w:val="24"/>
        </w:rPr>
        <w:t>udržovala kapitál nad minimální úrovní požadavků na kapitál podle čl. 92 nařízení Evropského parlamentu a Rady (EU) č. 575/2013,</w:t>
      </w:r>
    </w:p>
    <w:p w14:paraId="637C0ECB" w14:textId="77777777" w:rsidR="00A64E48" w:rsidRPr="00595F3F" w:rsidRDefault="00A64E48" w:rsidP="00A64E48">
      <w:pPr>
        <w:pStyle w:val="PZTextbodu"/>
        <w:spacing w:before="0"/>
        <w:rPr>
          <w:szCs w:val="24"/>
        </w:rPr>
      </w:pPr>
      <w:r w:rsidRPr="00595F3F">
        <w:rPr>
          <w:szCs w:val="24"/>
        </w:rPr>
        <w:t xml:space="preserve">2. </w:t>
      </w:r>
      <w:r>
        <w:rPr>
          <w:szCs w:val="24"/>
        </w:rPr>
        <w:tab/>
      </w:r>
      <w:r w:rsidRPr="00595F3F">
        <w:rPr>
          <w:szCs w:val="24"/>
        </w:rPr>
        <w:t>zlepšila uspořádání, strategie, postupy a jiné mechanismy tak, aby obnovila nebo posílila jejich soulad s tímto zákonem, právním předpisem provádějícím tento zákon, rozhodnutím nebo opatřením obecné povahy vydaným podle tohoto zákona, přímo použitelným předpisem Evropské unie upravujícím obezřetnostní požadavky, nařízením nebo rozhodnutím Evropské komise,</w:t>
      </w:r>
    </w:p>
    <w:p w14:paraId="2950791C" w14:textId="77777777" w:rsidR="00A64E48" w:rsidRPr="00595F3F" w:rsidRDefault="00A64E48" w:rsidP="00A64E48">
      <w:pPr>
        <w:pStyle w:val="PZTextbodu"/>
        <w:spacing w:before="0"/>
        <w:rPr>
          <w:szCs w:val="24"/>
        </w:rPr>
      </w:pPr>
      <w:r w:rsidRPr="00595F3F">
        <w:rPr>
          <w:szCs w:val="24"/>
        </w:rPr>
        <w:t xml:space="preserve">3. </w:t>
      </w:r>
      <w:r>
        <w:rPr>
          <w:szCs w:val="24"/>
        </w:rPr>
        <w:tab/>
      </w:r>
      <w:r w:rsidRPr="00595F3F">
        <w:rPr>
          <w:szCs w:val="24"/>
        </w:rPr>
        <w:t>předložila plán na obnovení souladu s požadavky České národní banky podle tohoto zákona a přímo použitelným předpisem Evropské unie upravujícím obezřetnostní požadavky a zavedla jej ve stanoveném termínu,</w:t>
      </w:r>
    </w:p>
    <w:p w14:paraId="0F42E837" w14:textId="77777777" w:rsidR="00A64E48" w:rsidRPr="00595F3F" w:rsidRDefault="00A64E48" w:rsidP="00A64E48">
      <w:pPr>
        <w:pStyle w:val="PZTextbodu"/>
        <w:spacing w:before="0"/>
        <w:rPr>
          <w:szCs w:val="24"/>
        </w:rPr>
      </w:pPr>
      <w:r w:rsidRPr="00595F3F">
        <w:rPr>
          <w:szCs w:val="24"/>
        </w:rPr>
        <w:t xml:space="preserve">4. </w:t>
      </w:r>
      <w:r>
        <w:rPr>
          <w:szCs w:val="24"/>
        </w:rPr>
        <w:tab/>
      </w:r>
      <w:r w:rsidRPr="00595F3F">
        <w:rPr>
          <w:szCs w:val="24"/>
        </w:rPr>
        <w:t>uplatňovala specifické zásady a postupy pro tvorbu opravných položek k aktivům a rezerv nebo pro stanovení kapitálových požadavků,</w:t>
      </w:r>
    </w:p>
    <w:p w14:paraId="14D32C92" w14:textId="77777777" w:rsidR="00A64E48" w:rsidRPr="00595F3F" w:rsidRDefault="00A64E48" w:rsidP="00A64E48">
      <w:pPr>
        <w:pStyle w:val="PZTextbodu"/>
        <w:spacing w:before="0"/>
        <w:rPr>
          <w:szCs w:val="24"/>
        </w:rPr>
      </w:pPr>
      <w:r w:rsidRPr="00595F3F">
        <w:rPr>
          <w:szCs w:val="24"/>
        </w:rPr>
        <w:t xml:space="preserve">5. </w:t>
      </w:r>
      <w:r>
        <w:rPr>
          <w:szCs w:val="24"/>
        </w:rPr>
        <w:tab/>
      </w:r>
      <w:r w:rsidRPr="00595F3F">
        <w:rPr>
          <w:szCs w:val="24"/>
        </w:rPr>
        <w:t>omezila, ukončila nebo neprováděla některé obchody, operace nebo činnosti, které znamenají nadměrné riziko pro družstevní záložnu,</w:t>
      </w:r>
    </w:p>
    <w:p w14:paraId="0461A56C" w14:textId="77777777" w:rsidR="00A64E48" w:rsidRPr="00595F3F" w:rsidRDefault="00A64E48" w:rsidP="00A64E48">
      <w:pPr>
        <w:pStyle w:val="PZTextbodu"/>
        <w:spacing w:before="0"/>
        <w:rPr>
          <w:szCs w:val="24"/>
        </w:rPr>
      </w:pPr>
      <w:r w:rsidRPr="00595F3F">
        <w:rPr>
          <w:szCs w:val="24"/>
        </w:rPr>
        <w:t xml:space="preserve">6. </w:t>
      </w:r>
      <w:r>
        <w:rPr>
          <w:szCs w:val="24"/>
        </w:rPr>
        <w:tab/>
      </w:r>
      <w:r w:rsidRPr="00595F3F">
        <w:rPr>
          <w:szCs w:val="24"/>
        </w:rPr>
        <w:t>omezila distribuční síť, včetně případného snížení počtu obchodních míst,</w:t>
      </w:r>
    </w:p>
    <w:p w14:paraId="3113E58B" w14:textId="77777777" w:rsidR="00A64E48" w:rsidRPr="00595F3F" w:rsidRDefault="00A64E48" w:rsidP="00A64E48">
      <w:pPr>
        <w:pStyle w:val="PZTextbodu"/>
        <w:spacing w:before="0"/>
        <w:rPr>
          <w:szCs w:val="24"/>
        </w:rPr>
      </w:pPr>
      <w:r w:rsidRPr="00595F3F">
        <w:rPr>
          <w:szCs w:val="24"/>
        </w:rPr>
        <w:t xml:space="preserve">7. </w:t>
      </w:r>
      <w:r>
        <w:rPr>
          <w:szCs w:val="24"/>
        </w:rPr>
        <w:tab/>
      </w:r>
      <w:r w:rsidRPr="00595F3F">
        <w:rPr>
          <w:szCs w:val="24"/>
        </w:rPr>
        <w:t>snížila rizika spojená s jejími činnostmi, produkty nebo systémy, včetně činností, jejichž výkonem družstevní záložna pověřila jinou osobu,</w:t>
      </w:r>
    </w:p>
    <w:p w14:paraId="6359E002" w14:textId="77777777" w:rsidR="00A64E48" w:rsidRPr="00595F3F" w:rsidRDefault="00A64E48" w:rsidP="00A64E48">
      <w:pPr>
        <w:pStyle w:val="PZTextbodu"/>
        <w:spacing w:before="0"/>
        <w:rPr>
          <w:szCs w:val="24"/>
        </w:rPr>
      </w:pPr>
      <w:r w:rsidRPr="00595F3F">
        <w:rPr>
          <w:szCs w:val="24"/>
        </w:rPr>
        <w:t xml:space="preserve">8. </w:t>
      </w:r>
      <w:r>
        <w:rPr>
          <w:szCs w:val="24"/>
        </w:rPr>
        <w:tab/>
      </w:r>
      <w:r w:rsidRPr="00595F3F">
        <w:rPr>
          <w:szCs w:val="24"/>
        </w:rPr>
        <w:t>omezila pohyblivou složku odměny osob uvedených v § 7a odst. 1 písm. f) bodě 3, pokud není v souladu s udržováním kapitálu; v takovém případě určí družstevní záložna výši pohyblivé složky procentem z čistého zisku,</w:t>
      </w:r>
    </w:p>
    <w:p w14:paraId="09F396C1" w14:textId="77777777" w:rsidR="00A64E48" w:rsidRPr="00595F3F" w:rsidRDefault="00A64E48" w:rsidP="00A64E48">
      <w:pPr>
        <w:pStyle w:val="PZTextbodu"/>
        <w:spacing w:before="0"/>
        <w:rPr>
          <w:szCs w:val="24"/>
        </w:rPr>
      </w:pPr>
      <w:r w:rsidRPr="00595F3F">
        <w:rPr>
          <w:szCs w:val="24"/>
        </w:rPr>
        <w:t xml:space="preserve">9. </w:t>
      </w:r>
      <w:r>
        <w:rPr>
          <w:szCs w:val="24"/>
        </w:rPr>
        <w:tab/>
      </w:r>
      <w:r w:rsidRPr="00595F3F">
        <w:rPr>
          <w:szCs w:val="24"/>
        </w:rPr>
        <w:t>použila zisk po zdanění přednostně k doplnění rezervních fondů nebo ke zvýšení základního kapitálu,</w:t>
      </w:r>
    </w:p>
    <w:p w14:paraId="60EB1E69" w14:textId="77777777" w:rsidR="00A64E48" w:rsidRPr="00595F3F" w:rsidRDefault="00A64E48" w:rsidP="00A64E48">
      <w:pPr>
        <w:pStyle w:val="PZTextbodu"/>
        <w:spacing w:before="0"/>
        <w:rPr>
          <w:szCs w:val="24"/>
        </w:rPr>
      </w:pPr>
      <w:r w:rsidRPr="00595F3F">
        <w:rPr>
          <w:szCs w:val="24"/>
        </w:rPr>
        <w:t xml:space="preserve">10. </w:t>
      </w:r>
      <w:r>
        <w:rPr>
          <w:szCs w:val="24"/>
        </w:rPr>
        <w:tab/>
      </w:r>
      <w:r w:rsidRPr="00595F3F">
        <w:rPr>
          <w:szCs w:val="24"/>
        </w:rPr>
        <w:t xml:space="preserve">omezila nebo zakázala rozdělení kapitálu nebo úrokové platby členům či držitelům nástrojů vedlejšího kapitálu </w:t>
      </w:r>
      <w:proofErr w:type="spellStart"/>
      <w:r w:rsidRPr="00595F3F">
        <w:rPr>
          <w:szCs w:val="24"/>
        </w:rPr>
        <w:t>tier</w:t>
      </w:r>
      <w:proofErr w:type="spellEnd"/>
      <w:r w:rsidRPr="00595F3F">
        <w:rPr>
          <w:szCs w:val="24"/>
        </w:rPr>
        <w:t xml:space="preserve"> 1 podle čl. 51 nařízení Evropského parlamentu a Rady (EU) č. 575/2013; pokud tento zákaz nepředstavuje nesplnění závazků této osoby,</w:t>
      </w:r>
    </w:p>
    <w:p w14:paraId="36FA9A1B" w14:textId="77777777" w:rsidR="00A64E48" w:rsidRPr="00595F3F" w:rsidRDefault="00A64E48" w:rsidP="00A64E48">
      <w:pPr>
        <w:pStyle w:val="PZTextbodu"/>
        <w:spacing w:before="0"/>
        <w:rPr>
          <w:szCs w:val="24"/>
        </w:rPr>
      </w:pPr>
      <w:r w:rsidRPr="00595F3F">
        <w:rPr>
          <w:szCs w:val="24"/>
        </w:rPr>
        <w:t>11. ve stanovené lhůtě odstranila nedostatek v činnosti a zdržela se jeho opakování,</w:t>
      </w:r>
    </w:p>
    <w:p w14:paraId="46F6D03B" w14:textId="77777777" w:rsidR="00A64E48" w:rsidRPr="00595F3F" w:rsidRDefault="00A64E48" w:rsidP="00A64E48">
      <w:pPr>
        <w:pStyle w:val="PZTextbodu"/>
        <w:spacing w:before="0"/>
        <w:rPr>
          <w:szCs w:val="24"/>
        </w:rPr>
      </w:pPr>
      <w:r w:rsidRPr="00595F3F">
        <w:rPr>
          <w:szCs w:val="24"/>
        </w:rPr>
        <w:t>12. zrušeno,</w:t>
      </w:r>
    </w:p>
    <w:p w14:paraId="059F39C9" w14:textId="77777777" w:rsidR="00A64E48" w:rsidRPr="00595F3F" w:rsidRDefault="00A64E48" w:rsidP="00A64E48">
      <w:pPr>
        <w:pStyle w:val="PZTextbodu"/>
        <w:spacing w:before="0"/>
        <w:rPr>
          <w:szCs w:val="24"/>
        </w:rPr>
      </w:pPr>
      <w:r w:rsidRPr="00595F3F">
        <w:rPr>
          <w:szCs w:val="24"/>
        </w:rPr>
        <w:t>13. ve stanovené lhůtě navýšila kapitál na určenou výši, pokud nedodržuje kombinovanou kapitálovou rezervu podle § 8aj odst. 1 a Česká národní banka neschvá</w:t>
      </w:r>
      <w:r>
        <w:rPr>
          <w:szCs w:val="24"/>
        </w:rPr>
        <w:t>lila plán na obnovení kapitálu,</w:t>
      </w:r>
    </w:p>
    <w:p w14:paraId="48787909" w14:textId="0DDDB2E3" w:rsidR="00A64E48" w:rsidRPr="00595F3F" w:rsidRDefault="00A64E48" w:rsidP="00A64E48">
      <w:pPr>
        <w:tabs>
          <w:tab w:val="left" w:pos="425"/>
          <w:tab w:val="left" w:pos="851"/>
        </w:tabs>
        <w:spacing w:before="0"/>
        <w:ind w:left="426" w:hanging="426"/>
        <w:rPr>
          <w:szCs w:val="24"/>
        </w:rPr>
      </w:pPr>
      <w:r>
        <w:rPr>
          <w:szCs w:val="24"/>
        </w:rPr>
        <w:t>b)</w:t>
      </w:r>
      <w:r>
        <w:rPr>
          <w:szCs w:val="24"/>
        </w:rPr>
        <w:tab/>
      </w:r>
      <w:r w:rsidRPr="00595F3F">
        <w:rPr>
          <w:szCs w:val="24"/>
        </w:rPr>
        <w:t xml:space="preserve">uložit dodatečné nebo častější předkládání výkazů, včetně informací o kapitálu, likviditě a páce za podmínky, že tento požadavek je vhodný a přiměřený z hlediska účelu, pro který </w:t>
      </w:r>
      <w:r w:rsidRPr="00595F3F">
        <w:rPr>
          <w:szCs w:val="24"/>
        </w:rPr>
        <w:lastRenderedPageBreak/>
        <w:t>jsou informace požadovány, a že požadované informace nejsou duplicitní s j</w:t>
      </w:r>
      <w:r>
        <w:rPr>
          <w:szCs w:val="24"/>
        </w:rPr>
        <w:t>inými požadovanými informacemi,</w:t>
      </w:r>
    </w:p>
    <w:p w14:paraId="50C81DC5" w14:textId="61AD4853" w:rsidR="00A64E48" w:rsidRPr="00595F3F" w:rsidRDefault="00A64E48" w:rsidP="00A64E48">
      <w:pPr>
        <w:tabs>
          <w:tab w:val="left" w:pos="425"/>
          <w:tab w:val="left" w:pos="851"/>
        </w:tabs>
        <w:spacing w:before="0"/>
        <w:ind w:left="426" w:hanging="426"/>
        <w:rPr>
          <w:szCs w:val="24"/>
        </w:rPr>
      </w:pPr>
      <w:r>
        <w:rPr>
          <w:szCs w:val="24"/>
        </w:rPr>
        <w:t>c)</w:t>
      </w:r>
      <w:r>
        <w:rPr>
          <w:szCs w:val="24"/>
        </w:rPr>
        <w:tab/>
      </w:r>
      <w:r w:rsidRPr="00595F3F">
        <w:rPr>
          <w:szCs w:val="24"/>
        </w:rPr>
        <w:t>uložit zvláštní požadavky na likviditu, včetně omezení nesouladu splatnosti aktiv a závazků, s přihlédnutím ke konkrétnímu modelu podnikání družstevní záložny a k uspořádáním, postupům a mechanismům družstevní záložny, zejmé</w:t>
      </w:r>
      <w:r>
        <w:rPr>
          <w:szCs w:val="24"/>
        </w:rPr>
        <w:t>na podle § 7a odst. 1 písm. b),</w:t>
      </w:r>
    </w:p>
    <w:p w14:paraId="282ADDB1" w14:textId="45962D2B" w:rsidR="00A64E48" w:rsidRPr="00595F3F" w:rsidRDefault="00A64E48" w:rsidP="00A64E48">
      <w:pPr>
        <w:tabs>
          <w:tab w:val="left" w:pos="425"/>
          <w:tab w:val="left" w:pos="851"/>
        </w:tabs>
        <w:spacing w:before="0"/>
        <w:ind w:left="426" w:hanging="426"/>
        <w:rPr>
          <w:szCs w:val="24"/>
        </w:rPr>
      </w:pPr>
      <w:r>
        <w:rPr>
          <w:szCs w:val="24"/>
        </w:rPr>
        <w:t>d)</w:t>
      </w:r>
      <w:r>
        <w:rPr>
          <w:szCs w:val="24"/>
        </w:rPr>
        <w:tab/>
      </w:r>
      <w:r w:rsidRPr="00595F3F">
        <w:rPr>
          <w:szCs w:val="24"/>
        </w:rPr>
        <w:t>uložit do</w:t>
      </w:r>
      <w:r>
        <w:rPr>
          <w:szCs w:val="24"/>
        </w:rPr>
        <w:t>datečné uveřejňování informací,</w:t>
      </w:r>
    </w:p>
    <w:p w14:paraId="0F87A1F3" w14:textId="17AF0260" w:rsidR="00A64E48" w:rsidRPr="00595F3F" w:rsidRDefault="00A64E48" w:rsidP="00A64E48">
      <w:pPr>
        <w:tabs>
          <w:tab w:val="left" w:pos="425"/>
          <w:tab w:val="left" w:pos="851"/>
        </w:tabs>
        <w:spacing w:before="0"/>
        <w:ind w:left="426" w:hanging="426"/>
        <w:rPr>
          <w:szCs w:val="24"/>
        </w:rPr>
      </w:pPr>
      <w:r>
        <w:rPr>
          <w:szCs w:val="24"/>
        </w:rPr>
        <w:t>e)</w:t>
      </w:r>
      <w:r>
        <w:rPr>
          <w:szCs w:val="24"/>
        </w:rPr>
        <w:tab/>
        <w:t>zrušeno</w:t>
      </w:r>
    </w:p>
    <w:p w14:paraId="615CA82A" w14:textId="6453AE2D" w:rsidR="00A64E48" w:rsidRPr="00595F3F" w:rsidRDefault="00A64E48" w:rsidP="00A64E48">
      <w:pPr>
        <w:tabs>
          <w:tab w:val="left" w:pos="425"/>
          <w:tab w:val="left" w:pos="851"/>
        </w:tabs>
        <w:spacing w:before="0"/>
        <w:ind w:left="426" w:hanging="426"/>
        <w:rPr>
          <w:szCs w:val="24"/>
        </w:rPr>
      </w:pPr>
      <w:r>
        <w:rPr>
          <w:szCs w:val="24"/>
        </w:rPr>
        <w:t>f)</w:t>
      </w:r>
      <w:r>
        <w:rPr>
          <w:szCs w:val="24"/>
        </w:rPr>
        <w:tab/>
      </w:r>
      <w:r w:rsidRPr="00595F3F">
        <w:rPr>
          <w:szCs w:val="24"/>
        </w:rPr>
        <w:t xml:space="preserve">uložit přísnější omezení týkající se rozdělení kmenového kapitálu </w:t>
      </w:r>
      <w:proofErr w:type="spellStart"/>
      <w:r w:rsidRPr="00595F3F">
        <w:rPr>
          <w:szCs w:val="24"/>
        </w:rPr>
        <w:t>tier</w:t>
      </w:r>
      <w:proofErr w:type="spellEnd"/>
      <w:r w:rsidRPr="00595F3F">
        <w:rPr>
          <w:szCs w:val="24"/>
        </w:rPr>
        <w:t xml:space="preserve"> 1 něž podle § 8aj odst. 3, pokud Česká národní banka neschvá</w:t>
      </w:r>
      <w:r>
        <w:rPr>
          <w:szCs w:val="24"/>
        </w:rPr>
        <w:t>lila plán na obnovení kapitálu,</w:t>
      </w:r>
    </w:p>
    <w:p w14:paraId="3AAC38A3" w14:textId="450CECFF" w:rsidR="00A64E48" w:rsidRPr="00595F3F" w:rsidRDefault="00A64E48" w:rsidP="00A64E48">
      <w:pPr>
        <w:tabs>
          <w:tab w:val="left" w:pos="425"/>
          <w:tab w:val="left" w:pos="851"/>
        </w:tabs>
        <w:spacing w:before="0"/>
        <w:ind w:left="426" w:hanging="426"/>
        <w:rPr>
          <w:szCs w:val="24"/>
        </w:rPr>
      </w:pPr>
      <w:r>
        <w:rPr>
          <w:szCs w:val="24"/>
        </w:rPr>
        <w:t>g)</w:t>
      </w:r>
      <w:r>
        <w:rPr>
          <w:szCs w:val="24"/>
        </w:rPr>
        <w:tab/>
      </w:r>
      <w:r w:rsidRPr="00595F3F">
        <w:rPr>
          <w:szCs w:val="24"/>
        </w:rPr>
        <w:t>uložit jiná vhodná opatření k nápravě.</w:t>
      </w:r>
    </w:p>
    <w:p w14:paraId="7C0595D6" w14:textId="77777777" w:rsidR="00A64E48" w:rsidRPr="00595F3F" w:rsidRDefault="00A64E48" w:rsidP="005940A4">
      <w:pPr>
        <w:pStyle w:val="PZTextodstavce"/>
        <w:rPr>
          <w:szCs w:val="24"/>
        </w:rPr>
      </w:pPr>
      <w:r w:rsidRPr="00595F3F">
        <w:rPr>
          <w:szCs w:val="24"/>
        </w:rPr>
        <w:t>(3) Česká národní banka může osobě podléhající jejímu dohledu, která obdržela souhlas používat interní přístup nebo interní model k výpočtu kapitálových požadavků podle části třetí nařízení Evropského parlamentu a Rady (EU) č. 575/2013, ale nesplňuje požadavky pro jeho používání,</w:t>
      </w:r>
    </w:p>
    <w:p w14:paraId="7D521DA9" w14:textId="59F653DF" w:rsidR="00A64E48" w:rsidRPr="00595F3F" w:rsidRDefault="00A64E48" w:rsidP="00A64E48">
      <w:pPr>
        <w:tabs>
          <w:tab w:val="left" w:pos="425"/>
          <w:tab w:val="left" w:pos="851"/>
        </w:tabs>
        <w:spacing w:before="0"/>
        <w:ind w:left="425" w:hanging="425"/>
        <w:rPr>
          <w:szCs w:val="24"/>
        </w:rPr>
      </w:pPr>
      <w:r>
        <w:rPr>
          <w:szCs w:val="24"/>
        </w:rPr>
        <w:t>a)</w:t>
      </w:r>
      <w:r>
        <w:rPr>
          <w:szCs w:val="24"/>
        </w:rPr>
        <w:tab/>
      </w:r>
      <w:r w:rsidRPr="00595F3F">
        <w:rPr>
          <w:szCs w:val="24"/>
        </w:rPr>
        <w:t>uložit, aby prokázala, že nesoulad s požadavky na interní přístup neb</w:t>
      </w:r>
      <w:r>
        <w:rPr>
          <w:szCs w:val="24"/>
        </w:rPr>
        <w:t>o interní model je nepodstatný,</w:t>
      </w:r>
    </w:p>
    <w:p w14:paraId="5248E463" w14:textId="78FB735C" w:rsidR="00A64E48" w:rsidRPr="00595F3F" w:rsidRDefault="00A64E48" w:rsidP="00A64E48">
      <w:pPr>
        <w:tabs>
          <w:tab w:val="left" w:pos="425"/>
          <w:tab w:val="left" w:pos="851"/>
        </w:tabs>
        <w:spacing w:before="0"/>
        <w:ind w:left="425" w:hanging="425"/>
        <w:rPr>
          <w:szCs w:val="24"/>
        </w:rPr>
      </w:pPr>
      <w:r>
        <w:rPr>
          <w:szCs w:val="24"/>
        </w:rPr>
        <w:t>b)</w:t>
      </w:r>
      <w:r>
        <w:rPr>
          <w:szCs w:val="24"/>
        </w:rPr>
        <w:tab/>
      </w:r>
      <w:r w:rsidRPr="00595F3F">
        <w:rPr>
          <w:szCs w:val="24"/>
        </w:rPr>
        <w:t>uložit, aby předložila plán na obnovení souladu s požadavky na interní přístup a st</w:t>
      </w:r>
      <w:r>
        <w:rPr>
          <w:szCs w:val="24"/>
        </w:rPr>
        <w:t>anovila lhůtu k jeho provedení,</w:t>
      </w:r>
    </w:p>
    <w:p w14:paraId="516E9DE1" w14:textId="6B91B75B" w:rsidR="00A64E48" w:rsidRPr="00595F3F" w:rsidRDefault="00A64E48" w:rsidP="00A64E48">
      <w:pPr>
        <w:tabs>
          <w:tab w:val="left" w:pos="425"/>
          <w:tab w:val="left" w:pos="851"/>
        </w:tabs>
        <w:spacing w:before="0"/>
        <w:ind w:left="425" w:hanging="425"/>
        <w:rPr>
          <w:szCs w:val="24"/>
        </w:rPr>
      </w:pPr>
      <w:r>
        <w:rPr>
          <w:szCs w:val="24"/>
        </w:rPr>
        <w:t>c)</w:t>
      </w:r>
      <w:r>
        <w:rPr>
          <w:szCs w:val="24"/>
        </w:rPr>
        <w:tab/>
      </w:r>
      <w:r w:rsidRPr="00595F3F">
        <w:rPr>
          <w:szCs w:val="24"/>
        </w:rPr>
        <w:t>uložit, aby provedla úpravy plánu na obnovení souladu s požadavky na interní přístup nebo interní model a stanovit lhůtu pro provedení těchto úprav, je-li nepravděpodobné, že podle původního plánu bude dosaženo plného souladu, nebo lhůty uvedené v původní</w:t>
      </w:r>
      <w:r>
        <w:rPr>
          <w:szCs w:val="24"/>
        </w:rPr>
        <w:t>m plánu jsou nevhodné,</w:t>
      </w:r>
    </w:p>
    <w:p w14:paraId="1BAB9A81" w14:textId="76B98CC4" w:rsidR="00A64E48" w:rsidRPr="00595F3F" w:rsidRDefault="00A64E48" w:rsidP="00A64E48">
      <w:pPr>
        <w:tabs>
          <w:tab w:val="left" w:pos="425"/>
          <w:tab w:val="left" w:pos="851"/>
        </w:tabs>
        <w:spacing w:before="0"/>
        <w:ind w:left="425" w:hanging="425"/>
        <w:rPr>
          <w:szCs w:val="24"/>
        </w:rPr>
      </w:pPr>
      <w:r>
        <w:rPr>
          <w:szCs w:val="24"/>
        </w:rPr>
        <w:t>d)</w:t>
      </w:r>
      <w:r>
        <w:rPr>
          <w:szCs w:val="24"/>
        </w:rPr>
        <w:tab/>
      </w:r>
      <w:r w:rsidRPr="00595F3F">
        <w:rPr>
          <w:szCs w:val="24"/>
        </w:rPr>
        <w:t>omezit souhlas na oblasti, které splňují stanovené požadavky nebo u nichž lze dosáhnout s</w:t>
      </w:r>
      <w:r>
        <w:rPr>
          <w:szCs w:val="24"/>
        </w:rPr>
        <w:t>ouladu v rámci příslušné lhůty,</w:t>
      </w:r>
    </w:p>
    <w:p w14:paraId="21531192" w14:textId="029132CE" w:rsidR="00A64E48" w:rsidRPr="00595F3F" w:rsidRDefault="00A64E48" w:rsidP="00A64E48">
      <w:pPr>
        <w:tabs>
          <w:tab w:val="left" w:pos="425"/>
          <w:tab w:val="left" w:pos="851"/>
        </w:tabs>
        <w:spacing w:before="0"/>
        <w:ind w:left="425" w:hanging="425"/>
        <w:rPr>
          <w:szCs w:val="24"/>
        </w:rPr>
      </w:pPr>
      <w:r>
        <w:rPr>
          <w:szCs w:val="24"/>
        </w:rPr>
        <w:t>e)</w:t>
      </w:r>
      <w:r>
        <w:rPr>
          <w:szCs w:val="24"/>
        </w:rPr>
        <w:tab/>
      </w:r>
      <w:r w:rsidRPr="00595F3F">
        <w:rPr>
          <w:szCs w:val="24"/>
        </w:rPr>
        <w:t>odejmout souhlas s používáním interního přístupu nebo interního modelu, který vyžaduje souhlas, pokud je nepravděpodobné, že družstevní záložna bude schopna obnovit soulad v rámci příslušné lhůty nebo neprokázala, ž</w:t>
      </w:r>
      <w:r>
        <w:rPr>
          <w:szCs w:val="24"/>
        </w:rPr>
        <w:t>e nesoulad je nepodstatný, nebo</w:t>
      </w:r>
    </w:p>
    <w:p w14:paraId="0AD5C531" w14:textId="1915B007" w:rsidR="00A64E48" w:rsidRPr="00595F3F" w:rsidRDefault="00A64E48" w:rsidP="00A64E48">
      <w:pPr>
        <w:tabs>
          <w:tab w:val="left" w:pos="425"/>
          <w:tab w:val="left" w:pos="851"/>
        </w:tabs>
        <w:spacing w:before="0"/>
        <w:ind w:left="425" w:hanging="425"/>
        <w:rPr>
          <w:szCs w:val="24"/>
        </w:rPr>
      </w:pPr>
      <w:r>
        <w:rPr>
          <w:szCs w:val="24"/>
        </w:rPr>
        <w:t>f)</w:t>
      </w:r>
      <w:r>
        <w:rPr>
          <w:szCs w:val="24"/>
        </w:rPr>
        <w:tab/>
      </w:r>
      <w:r w:rsidRPr="00595F3F">
        <w:rPr>
          <w:szCs w:val="24"/>
        </w:rPr>
        <w:t>odejmout souhlas s používáním interního modelu tržního rizika nebo uložit vhodná opatření k zajištění jeho okamžitého zlepšení, pokud u interního modelu naznačuje velký počet překročení uvedených v čl. 366 nařízení Evropského parlamentu a Rady (EU) č. 575/2013, ž</w:t>
      </w:r>
      <w:r>
        <w:rPr>
          <w:szCs w:val="24"/>
        </w:rPr>
        <w:t>e model není dostatečně přesný,</w:t>
      </w:r>
    </w:p>
    <w:p w14:paraId="45FA904A" w14:textId="778BD658" w:rsidR="00A64E48" w:rsidRPr="00595F3F" w:rsidRDefault="00A64E48" w:rsidP="00A64E48">
      <w:pPr>
        <w:tabs>
          <w:tab w:val="left" w:pos="425"/>
          <w:tab w:val="left" w:pos="851"/>
        </w:tabs>
        <w:spacing w:before="0"/>
        <w:ind w:left="425" w:hanging="425"/>
        <w:rPr>
          <w:szCs w:val="24"/>
        </w:rPr>
      </w:pPr>
      <w:r>
        <w:rPr>
          <w:szCs w:val="24"/>
        </w:rPr>
        <w:t>g)</w:t>
      </w:r>
      <w:r>
        <w:rPr>
          <w:szCs w:val="24"/>
        </w:rPr>
        <w:tab/>
      </w:r>
      <w:r w:rsidRPr="00595F3F">
        <w:rPr>
          <w:szCs w:val="24"/>
        </w:rPr>
        <w:t>uložit jiná vhodná opatření.</w:t>
      </w:r>
    </w:p>
    <w:p w14:paraId="387E3628" w14:textId="77777777" w:rsidR="00A64E48" w:rsidRPr="00595F3F" w:rsidRDefault="00A64E48" w:rsidP="005940A4">
      <w:pPr>
        <w:pStyle w:val="PZTextodstavce"/>
        <w:rPr>
          <w:szCs w:val="24"/>
        </w:rPr>
      </w:pPr>
      <w:r w:rsidRPr="00595F3F">
        <w:rPr>
          <w:szCs w:val="24"/>
        </w:rPr>
        <w:t>(4) Česká národní banka může osobě podléhající jejímu dohledu uložit, aby pro účely řízení úrokového rizika investičního portfolia použila standardizovanou metodiku stanovenou přímo použitelným předpisem Evropské unie vydaným podle čl. 84 směrnice 2013/36/EU upravujícím standardizovanou metodiku pro hodnocení úrokového rizika investičního portfolia, pokud zjednodušená standardizovaná metodika nebo systém řízení úrokového rizika investičního portfolia používaný povinnou osobou nezajišťují řádnou identifikaci, hodnocení, řízení a snižování úrokového rizika investičního portfolia.</w:t>
      </w:r>
    </w:p>
    <w:p w14:paraId="5CF07D1D" w14:textId="77777777" w:rsidR="00A64E48" w:rsidRPr="00595F3F" w:rsidRDefault="00A64E48" w:rsidP="005940A4">
      <w:pPr>
        <w:pStyle w:val="PZTextodstavce"/>
        <w:rPr>
          <w:szCs w:val="24"/>
        </w:rPr>
      </w:pPr>
      <w:r w:rsidRPr="00595F3F">
        <w:rPr>
          <w:szCs w:val="24"/>
        </w:rPr>
        <w:t>(5) V případě zjištění nedostatku v činnosti osoby podléhající jejímu dohledu může Česká národní banka</w:t>
      </w:r>
    </w:p>
    <w:p w14:paraId="10FCA08C" w14:textId="2FEE4C96" w:rsidR="00A64E48" w:rsidRPr="00595F3F" w:rsidRDefault="00A64E48" w:rsidP="005940A4">
      <w:pPr>
        <w:tabs>
          <w:tab w:val="left" w:pos="425"/>
          <w:tab w:val="left" w:pos="851"/>
        </w:tabs>
        <w:spacing w:before="0"/>
        <w:ind w:left="426" w:hanging="426"/>
        <w:rPr>
          <w:szCs w:val="24"/>
        </w:rPr>
      </w:pPr>
      <w:r>
        <w:rPr>
          <w:szCs w:val="24"/>
        </w:rPr>
        <w:t>a)</w:t>
      </w:r>
      <w:r>
        <w:rPr>
          <w:szCs w:val="24"/>
        </w:rPr>
        <w:tab/>
      </w:r>
      <w:r w:rsidRPr="00595F3F">
        <w:rPr>
          <w:szCs w:val="24"/>
        </w:rPr>
        <w:t>uložit, aby tato osoba</w:t>
      </w:r>
    </w:p>
    <w:p w14:paraId="46A7DAA0" w14:textId="77777777" w:rsidR="00A64E48" w:rsidRPr="00595F3F" w:rsidRDefault="00A64E48" w:rsidP="005940A4">
      <w:pPr>
        <w:pStyle w:val="PZTextbodu"/>
        <w:spacing w:before="0"/>
        <w:rPr>
          <w:szCs w:val="24"/>
        </w:rPr>
      </w:pPr>
      <w:r>
        <w:rPr>
          <w:szCs w:val="24"/>
        </w:rPr>
        <w:t>1.</w:t>
      </w:r>
      <w:r>
        <w:rPr>
          <w:szCs w:val="24"/>
        </w:rPr>
        <w:tab/>
      </w:r>
      <w:r w:rsidRPr="00595F3F">
        <w:rPr>
          <w:szCs w:val="24"/>
        </w:rPr>
        <w:t>vyměnila člena představenstva, člena kontrolní komise nebo jinou odpovědnou fyzickou osobu,</w:t>
      </w:r>
    </w:p>
    <w:p w14:paraId="307AF5B5" w14:textId="77777777" w:rsidR="00A64E48" w:rsidRPr="00595F3F" w:rsidRDefault="00A64E48" w:rsidP="005940A4">
      <w:pPr>
        <w:pStyle w:val="PZTextbodu"/>
        <w:spacing w:before="0"/>
        <w:rPr>
          <w:szCs w:val="24"/>
        </w:rPr>
      </w:pPr>
      <w:r>
        <w:rPr>
          <w:szCs w:val="24"/>
        </w:rPr>
        <w:t>2.</w:t>
      </w:r>
      <w:r>
        <w:rPr>
          <w:szCs w:val="24"/>
        </w:rPr>
        <w:tab/>
      </w:r>
      <w:r w:rsidRPr="00595F3F">
        <w:rPr>
          <w:szCs w:val="24"/>
        </w:rPr>
        <w:t>svolala členskou schůzi a tato členská schůze projedná s Českou národní bankou stanovenou záležitost nebo její návrh,</w:t>
      </w:r>
    </w:p>
    <w:p w14:paraId="7830E277" w14:textId="77777777" w:rsidR="00A64E48" w:rsidRPr="00595F3F" w:rsidRDefault="00A64E48" w:rsidP="005940A4">
      <w:pPr>
        <w:pStyle w:val="PZTextbodu"/>
        <w:spacing w:before="0"/>
        <w:rPr>
          <w:szCs w:val="24"/>
        </w:rPr>
      </w:pPr>
      <w:r>
        <w:rPr>
          <w:szCs w:val="24"/>
        </w:rPr>
        <w:lastRenderedPageBreak/>
        <w:t>3.</w:t>
      </w:r>
      <w:r>
        <w:rPr>
          <w:szCs w:val="24"/>
        </w:rPr>
        <w:tab/>
      </w:r>
      <w:r w:rsidRPr="00595F3F">
        <w:rPr>
          <w:szCs w:val="24"/>
        </w:rPr>
        <w:t>vytvořila odpovídající výši opravných položek a rezerv,</w:t>
      </w:r>
    </w:p>
    <w:p w14:paraId="066CD48A" w14:textId="77777777" w:rsidR="00A64E48" w:rsidRPr="00595F3F" w:rsidRDefault="00A64E48" w:rsidP="005940A4">
      <w:pPr>
        <w:pStyle w:val="PZTextbodu"/>
        <w:spacing w:before="0"/>
        <w:rPr>
          <w:szCs w:val="24"/>
        </w:rPr>
      </w:pPr>
      <w:r>
        <w:rPr>
          <w:szCs w:val="24"/>
        </w:rPr>
        <w:t>4.</w:t>
      </w:r>
      <w:r>
        <w:rPr>
          <w:szCs w:val="24"/>
        </w:rPr>
        <w:tab/>
      </w:r>
      <w:r w:rsidRPr="00595F3F">
        <w:rPr>
          <w:szCs w:val="24"/>
        </w:rPr>
        <w:t>snížila nebo zvýšila základní kapitál ve stanoveném rozsa</w:t>
      </w:r>
      <w:r>
        <w:rPr>
          <w:szCs w:val="24"/>
        </w:rPr>
        <w:t>hu,</w:t>
      </w:r>
    </w:p>
    <w:p w14:paraId="1822556D" w14:textId="12776B74" w:rsidR="00A64E48" w:rsidRPr="00595F3F" w:rsidRDefault="00A64E48" w:rsidP="005940A4">
      <w:pPr>
        <w:tabs>
          <w:tab w:val="left" w:pos="425"/>
          <w:tab w:val="left" w:pos="851"/>
        </w:tabs>
        <w:spacing w:before="0"/>
        <w:ind w:left="426" w:hanging="426"/>
        <w:rPr>
          <w:szCs w:val="24"/>
        </w:rPr>
      </w:pPr>
      <w:r>
        <w:rPr>
          <w:szCs w:val="24"/>
        </w:rPr>
        <w:t>b)</w:t>
      </w:r>
      <w:r>
        <w:rPr>
          <w:szCs w:val="24"/>
        </w:rPr>
        <w:tab/>
      </w:r>
      <w:r w:rsidRPr="00595F3F">
        <w:rPr>
          <w:szCs w:val="24"/>
        </w:rPr>
        <w:t xml:space="preserve">rozhodnout o omezení nebo zákazu některých povolených činností družstevní záložny až na 120 dnů, a to včetně nakládání vkladatelů s jejich vklady; nakládáním vkladatelů s jejich vklady se pro účely tohoto zákona rozumí jakákoli jejich </w:t>
      </w:r>
      <w:proofErr w:type="gramStart"/>
      <w:r w:rsidRPr="00595F3F">
        <w:rPr>
          <w:szCs w:val="24"/>
        </w:rPr>
        <w:t xml:space="preserve">dispozice s </w:t>
      </w:r>
      <w:r>
        <w:rPr>
          <w:szCs w:val="24"/>
        </w:rPr>
        <w:t>vkladem</w:t>
      </w:r>
      <w:proofErr w:type="gramEnd"/>
      <w:r>
        <w:rPr>
          <w:szCs w:val="24"/>
        </w:rPr>
        <w:t>,</w:t>
      </w:r>
    </w:p>
    <w:p w14:paraId="7833FF46" w14:textId="0FFC22BA" w:rsidR="00A64E48" w:rsidRPr="00595F3F" w:rsidRDefault="00A64E48" w:rsidP="005940A4">
      <w:pPr>
        <w:tabs>
          <w:tab w:val="left" w:pos="425"/>
          <w:tab w:val="left" w:pos="851"/>
        </w:tabs>
        <w:spacing w:before="0"/>
        <w:ind w:left="426" w:hanging="426"/>
        <w:rPr>
          <w:szCs w:val="24"/>
        </w:rPr>
      </w:pPr>
      <w:r>
        <w:rPr>
          <w:szCs w:val="24"/>
        </w:rPr>
        <w:t>c)</w:t>
      </w:r>
      <w:r>
        <w:rPr>
          <w:szCs w:val="24"/>
        </w:rPr>
        <w:tab/>
      </w:r>
      <w:r w:rsidRPr="00595F3F">
        <w:rPr>
          <w:szCs w:val="24"/>
        </w:rPr>
        <w:t>změnit povolení vyloučením nebo omezením někt</w:t>
      </w:r>
      <w:r>
        <w:rPr>
          <w:szCs w:val="24"/>
        </w:rPr>
        <w:t>erých činností v něm uvedených,</w:t>
      </w:r>
    </w:p>
    <w:p w14:paraId="7DD527F9" w14:textId="69B8D12A" w:rsidR="00A64E48" w:rsidRPr="00AA13A4" w:rsidRDefault="00A64E48" w:rsidP="005940A4">
      <w:pPr>
        <w:tabs>
          <w:tab w:val="left" w:pos="425"/>
          <w:tab w:val="left" w:pos="851"/>
        </w:tabs>
        <w:spacing w:before="0"/>
        <w:ind w:left="426" w:hanging="426"/>
        <w:rPr>
          <w:strike/>
          <w:szCs w:val="24"/>
        </w:rPr>
      </w:pPr>
      <w:r>
        <w:rPr>
          <w:strike/>
          <w:szCs w:val="24"/>
        </w:rPr>
        <w:t>d)</w:t>
      </w:r>
      <w:r w:rsidRPr="00AA13A4">
        <w:rPr>
          <w:strike/>
          <w:szCs w:val="24"/>
        </w:rPr>
        <w:tab/>
        <w:t>nařídit mimořádný audit na náklady družstevní záložny,</w:t>
      </w:r>
    </w:p>
    <w:p w14:paraId="756B6BEC" w14:textId="77777777" w:rsidR="00A64E48" w:rsidRPr="00595F3F" w:rsidRDefault="00A64E48" w:rsidP="005940A4">
      <w:pPr>
        <w:tabs>
          <w:tab w:val="left" w:pos="425"/>
          <w:tab w:val="left" w:pos="851"/>
        </w:tabs>
        <w:spacing w:before="0"/>
        <w:ind w:left="426" w:hanging="426"/>
        <w:rPr>
          <w:szCs w:val="24"/>
        </w:rPr>
      </w:pPr>
      <w:r w:rsidRPr="00643E98">
        <w:rPr>
          <w:strike/>
          <w:szCs w:val="24"/>
        </w:rPr>
        <w:t>e</w:t>
      </w:r>
      <w:r>
        <w:rPr>
          <w:strike/>
          <w:szCs w:val="24"/>
        </w:rPr>
        <w:t>)</w:t>
      </w:r>
      <w:r>
        <w:rPr>
          <w:b/>
          <w:szCs w:val="24"/>
        </w:rPr>
        <w:t>d</w:t>
      </w:r>
      <w:r>
        <w:rPr>
          <w:szCs w:val="24"/>
        </w:rPr>
        <w:t>)</w:t>
      </w:r>
      <w:r>
        <w:rPr>
          <w:szCs w:val="24"/>
        </w:rPr>
        <w:tab/>
      </w:r>
      <w:r w:rsidRPr="00595F3F">
        <w:rPr>
          <w:szCs w:val="24"/>
        </w:rPr>
        <w:t>nařídit svolání členské schůze na náklady družstevní záložny a určit některé body progra</w:t>
      </w:r>
      <w:r>
        <w:rPr>
          <w:szCs w:val="24"/>
        </w:rPr>
        <w:t>mu jednání této členské schůze,</w:t>
      </w:r>
    </w:p>
    <w:p w14:paraId="35182F4D" w14:textId="77777777" w:rsidR="00A64E48" w:rsidRPr="00595F3F" w:rsidRDefault="00A64E48" w:rsidP="005940A4">
      <w:pPr>
        <w:tabs>
          <w:tab w:val="left" w:pos="425"/>
          <w:tab w:val="left" w:pos="851"/>
        </w:tabs>
        <w:spacing w:before="0"/>
        <w:ind w:left="426" w:hanging="426"/>
        <w:rPr>
          <w:szCs w:val="24"/>
        </w:rPr>
      </w:pPr>
      <w:r w:rsidRPr="00643E98">
        <w:rPr>
          <w:strike/>
          <w:szCs w:val="24"/>
        </w:rPr>
        <w:t>f</w:t>
      </w:r>
      <w:r>
        <w:rPr>
          <w:strike/>
          <w:szCs w:val="24"/>
        </w:rPr>
        <w:t>)</w:t>
      </w:r>
      <w:r>
        <w:rPr>
          <w:b/>
          <w:szCs w:val="24"/>
        </w:rPr>
        <w:t>e</w:t>
      </w:r>
      <w:r w:rsidRPr="00595F3F">
        <w:rPr>
          <w:szCs w:val="24"/>
        </w:rPr>
        <w:t xml:space="preserve">) </w:t>
      </w:r>
      <w:r>
        <w:rPr>
          <w:szCs w:val="24"/>
        </w:rPr>
        <w:tab/>
      </w:r>
      <w:r w:rsidRPr="00595F3F">
        <w:rPr>
          <w:szCs w:val="24"/>
        </w:rPr>
        <w:t>zakázat nebo omezit provádění operací s osobami, které jsou spjaty úzkým propojením s družstevní záložnou nebo které jsou součástí stejné skupiny jako družstevní záložna nebo mají k dru</w:t>
      </w:r>
      <w:r>
        <w:rPr>
          <w:szCs w:val="24"/>
        </w:rPr>
        <w:t>žstevní záložně zvláštní vztah,</w:t>
      </w:r>
    </w:p>
    <w:p w14:paraId="7BDB6C78" w14:textId="77777777" w:rsidR="00A64E48" w:rsidRPr="00595F3F" w:rsidRDefault="00A64E48" w:rsidP="005940A4">
      <w:pPr>
        <w:tabs>
          <w:tab w:val="left" w:pos="425"/>
          <w:tab w:val="left" w:pos="851"/>
        </w:tabs>
        <w:spacing w:before="0"/>
        <w:ind w:left="426" w:hanging="426"/>
        <w:rPr>
          <w:szCs w:val="24"/>
        </w:rPr>
      </w:pPr>
      <w:r w:rsidRPr="00643E98">
        <w:rPr>
          <w:strike/>
          <w:szCs w:val="24"/>
        </w:rPr>
        <w:t>g</w:t>
      </w:r>
      <w:r>
        <w:rPr>
          <w:strike/>
          <w:szCs w:val="24"/>
        </w:rPr>
        <w:t>)</w:t>
      </w:r>
      <w:r>
        <w:rPr>
          <w:b/>
          <w:szCs w:val="24"/>
        </w:rPr>
        <w:t>f</w:t>
      </w:r>
      <w:r w:rsidRPr="00595F3F">
        <w:rPr>
          <w:szCs w:val="24"/>
        </w:rPr>
        <w:t xml:space="preserve">) </w:t>
      </w:r>
      <w:r>
        <w:rPr>
          <w:szCs w:val="24"/>
        </w:rPr>
        <w:tab/>
      </w:r>
      <w:r w:rsidRPr="00595F3F">
        <w:rPr>
          <w:szCs w:val="24"/>
        </w:rPr>
        <w:t>uložit zvýšit likvidní prostředky družstevní záložny alespoň na výši st</w:t>
      </w:r>
      <w:r>
        <w:rPr>
          <w:szCs w:val="24"/>
        </w:rPr>
        <w:t>anovenou Českou národní bankou,</w:t>
      </w:r>
    </w:p>
    <w:p w14:paraId="2BDD2D15" w14:textId="77777777" w:rsidR="00A64E48" w:rsidRPr="00595F3F" w:rsidRDefault="00A64E48" w:rsidP="005940A4">
      <w:pPr>
        <w:tabs>
          <w:tab w:val="left" w:pos="425"/>
          <w:tab w:val="left" w:pos="851"/>
        </w:tabs>
        <w:spacing w:before="0"/>
        <w:ind w:left="426" w:hanging="426"/>
        <w:rPr>
          <w:szCs w:val="24"/>
        </w:rPr>
      </w:pPr>
      <w:r w:rsidRPr="00643E98">
        <w:rPr>
          <w:strike/>
          <w:szCs w:val="24"/>
        </w:rPr>
        <w:t>h</w:t>
      </w:r>
      <w:r>
        <w:rPr>
          <w:strike/>
          <w:szCs w:val="24"/>
        </w:rPr>
        <w:t>)</w:t>
      </w:r>
      <w:r>
        <w:rPr>
          <w:b/>
          <w:szCs w:val="24"/>
        </w:rPr>
        <w:t>g</w:t>
      </w:r>
      <w:r w:rsidRPr="00595F3F">
        <w:rPr>
          <w:szCs w:val="24"/>
        </w:rPr>
        <w:t>) odejmout souhlas s používáním interního přístupu pro výpočet kapitálového požadavku podle části třetí nařízení Evropského parl</w:t>
      </w:r>
      <w:r>
        <w:rPr>
          <w:szCs w:val="24"/>
        </w:rPr>
        <w:t>amentu a Rady (EU) č. 575/2013.</w:t>
      </w:r>
    </w:p>
    <w:p w14:paraId="5F175146" w14:textId="77777777" w:rsidR="00A64E48" w:rsidRDefault="00A64E48" w:rsidP="005940A4">
      <w:pPr>
        <w:pStyle w:val="PZTextodstavce"/>
        <w:rPr>
          <w:b/>
        </w:rPr>
      </w:pPr>
      <w:r w:rsidRPr="008E69FC">
        <w:rPr>
          <w:b/>
        </w:rPr>
        <w:t xml:space="preserve">(6) Česká národní banka může nařídit družstevní záložně změnu auditora, pokud auditor nesplní povinnost informovat Českou národní banku o skutečnostech zjištěných podle § 21 odst. 3 nebo 4 zákona </w:t>
      </w:r>
      <w:r>
        <w:rPr>
          <w:b/>
        </w:rPr>
        <w:t>o auditorech</w:t>
      </w:r>
      <w:r w:rsidRPr="008E69FC">
        <w:rPr>
          <w:b/>
        </w:rPr>
        <w:t>.</w:t>
      </w:r>
    </w:p>
    <w:p w14:paraId="1C95D1AF" w14:textId="77777777" w:rsidR="00A64E48" w:rsidRPr="00595F3F" w:rsidRDefault="00A64E48" w:rsidP="005940A4">
      <w:pPr>
        <w:pStyle w:val="PZTextodstavce"/>
        <w:rPr>
          <w:szCs w:val="24"/>
        </w:rPr>
      </w:pPr>
      <w:proofErr w:type="gramStart"/>
      <w:r w:rsidRPr="002246F9">
        <w:rPr>
          <w:strike/>
          <w:szCs w:val="24"/>
        </w:rPr>
        <w:t>(</w:t>
      </w:r>
      <w:r w:rsidRPr="00663557">
        <w:rPr>
          <w:strike/>
          <w:szCs w:val="24"/>
        </w:rPr>
        <w:t>6</w:t>
      </w:r>
      <w:r>
        <w:rPr>
          <w:strike/>
          <w:szCs w:val="24"/>
        </w:rPr>
        <w:t>)</w:t>
      </w:r>
      <w:r w:rsidRPr="002246F9">
        <w:rPr>
          <w:b/>
          <w:szCs w:val="24"/>
        </w:rPr>
        <w:t xml:space="preserve">(7) </w:t>
      </w:r>
      <w:r w:rsidRPr="00595F3F">
        <w:rPr>
          <w:szCs w:val="24"/>
        </w:rPr>
        <w:t>Česká</w:t>
      </w:r>
      <w:proofErr w:type="gramEnd"/>
      <w:r w:rsidRPr="00595F3F">
        <w:rPr>
          <w:szCs w:val="24"/>
        </w:rPr>
        <w:t xml:space="preserve"> národní banka může uložit fyzické osobě nebo právnické osobě nepodléhající jejímu dohledu, která neplní povinnost uloženou tímto zákonem, právním předpisem jej provádějícím, rozhodnutím vydaným podle tohoto zákona, přímo použitelným předpisem Evropské unie upravujícím obezřetnostní požadavky nebo nařízením nebo rozhodnutím Evropské komise, aby upustila od tohoto protiprávního jednání a zdržela se jeho opakování; Česká národní banka může dále</w:t>
      </w:r>
    </w:p>
    <w:p w14:paraId="3A99E597" w14:textId="6A6D44D1" w:rsidR="00A64E48" w:rsidRPr="00595F3F" w:rsidRDefault="00A64E48" w:rsidP="005940A4">
      <w:pPr>
        <w:tabs>
          <w:tab w:val="left" w:pos="425"/>
          <w:tab w:val="left" w:pos="851"/>
        </w:tabs>
        <w:spacing w:before="0"/>
        <w:ind w:left="425" w:hanging="425"/>
        <w:rPr>
          <w:szCs w:val="24"/>
        </w:rPr>
      </w:pPr>
      <w:r>
        <w:rPr>
          <w:szCs w:val="24"/>
        </w:rPr>
        <w:t>a)</w:t>
      </w:r>
      <w:r>
        <w:rPr>
          <w:szCs w:val="24"/>
        </w:rPr>
        <w:tab/>
      </w:r>
      <w:r w:rsidRPr="00595F3F">
        <w:rPr>
          <w:szCs w:val="24"/>
        </w:rPr>
        <w:t>dočasně zakázat členovi představenstva nebo kontrolní komise družstevní záložny nebo jiné odpovědné fyzické osobě výkon funkce v družstevní záložně nebo výkon fu</w:t>
      </w:r>
      <w:r>
        <w:rPr>
          <w:szCs w:val="24"/>
        </w:rPr>
        <w:t>nkce v jiné družstevní záložně,</w:t>
      </w:r>
    </w:p>
    <w:p w14:paraId="3D09A27B" w14:textId="01D51A04" w:rsidR="00A64E48" w:rsidRPr="00595F3F" w:rsidRDefault="00A64E48" w:rsidP="005940A4">
      <w:pPr>
        <w:tabs>
          <w:tab w:val="left" w:pos="425"/>
          <w:tab w:val="left" w:pos="851"/>
        </w:tabs>
        <w:spacing w:before="0"/>
        <w:ind w:left="425" w:hanging="425"/>
        <w:rPr>
          <w:szCs w:val="24"/>
        </w:rPr>
      </w:pPr>
      <w:r>
        <w:rPr>
          <w:szCs w:val="24"/>
        </w:rPr>
        <w:t>b)</w:t>
      </w:r>
      <w:r>
        <w:rPr>
          <w:szCs w:val="24"/>
        </w:rPr>
        <w:tab/>
      </w:r>
      <w:r w:rsidRPr="00595F3F">
        <w:rPr>
          <w:szCs w:val="24"/>
        </w:rPr>
        <w:t>uveřejnit informaci o tom, která osoba je odpovědná za protiprávní jednání a jaká je jeho povaha.</w:t>
      </w:r>
    </w:p>
    <w:p w14:paraId="35AB0D3E" w14:textId="77777777" w:rsidR="00A64E48" w:rsidRPr="005708FF" w:rsidRDefault="00A64E48" w:rsidP="005940A4">
      <w:pPr>
        <w:pStyle w:val="PZTextodstavce"/>
        <w:rPr>
          <w:szCs w:val="24"/>
        </w:rPr>
      </w:pPr>
      <w:proofErr w:type="gramStart"/>
      <w:r w:rsidRPr="002246F9">
        <w:rPr>
          <w:strike/>
          <w:szCs w:val="24"/>
        </w:rPr>
        <w:t>(</w:t>
      </w:r>
      <w:r>
        <w:rPr>
          <w:strike/>
          <w:szCs w:val="24"/>
        </w:rPr>
        <w:t>7)</w:t>
      </w:r>
      <w:r w:rsidRPr="002246F9">
        <w:rPr>
          <w:b/>
          <w:szCs w:val="24"/>
        </w:rPr>
        <w:t>(</w:t>
      </w:r>
      <w:r>
        <w:rPr>
          <w:b/>
          <w:szCs w:val="24"/>
        </w:rPr>
        <w:t>8</w:t>
      </w:r>
      <w:r w:rsidRPr="002246F9">
        <w:rPr>
          <w:b/>
          <w:szCs w:val="24"/>
        </w:rPr>
        <w:t xml:space="preserve">) </w:t>
      </w:r>
      <w:r w:rsidRPr="00595F3F">
        <w:rPr>
          <w:szCs w:val="24"/>
        </w:rPr>
        <w:t>Česká</w:t>
      </w:r>
      <w:proofErr w:type="gramEnd"/>
      <w:r w:rsidRPr="00595F3F">
        <w:rPr>
          <w:szCs w:val="24"/>
        </w:rPr>
        <w:t xml:space="preserve"> národní banka může uložit opatření k nápravě podle odstavců 2 </w:t>
      </w:r>
      <w:r w:rsidRPr="00C04AB0">
        <w:rPr>
          <w:szCs w:val="24"/>
        </w:rPr>
        <w:t>až 4,</w:t>
      </w:r>
      <w:r>
        <w:rPr>
          <w:b/>
          <w:szCs w:val="24"/>
        </w:rPr>
        <w:t xml:space="preserve"> </w:t>
      </w:r>
      <w:r w:rsidRPr="00595F3F">
        <w:rPr>
          <w:szCs w:val="24"/>
        </w:rPr>
        <w:t xml:space="preserve">odstavce 5 písm. </w:t>
      </w:r>
      <w:r w:rsidRPr="00643E98">
        <w:rPr>
          <w:strike/>
          <w:szCs w:val="24"/>
        </w:rPr>
        <w:t>h</w:t>
      </w:r>
      <w:r>
        <w:rPr>
          <w:strike/>
          <w:szCs w:val="24"/>
        </w:rPr>
        <w:t>)</w:t>
      </w:r>
      <w:r>
        <w:rPr>
          <w:b/>
          <w:szCs w:val="24"/>
        </w:rPr>
        <w:t>g</w:t>
      </w:r>
      <w:r w:rsidRPr="00F948BF">
        <w:rPr>
          <w:b/>
          <w:szCs w:val="24"/>
        </w:rPr>
        <w:t>)</w:t>
      </w:r>
      <w:r w:rsidRPr="00595F3F">
        <w:rPr>
          <w:szCs w:val="24"/>
        </w:rPr>
        <w:t xml:space="preserve"> a odstavce </w:t>
      </w:r>
      <w:r w:rsidRPr="00663557">
        <w:rPr>
          <w:strike/>
          <w:szCs w:val="24"/>
        </w:rPr>
        <w:t>6</w:t>
      </w:r>
      <w:r w:rsidRPr="00C27E96">
        <w:rPr>
          <w:b/>
          <w:szCs w:val="24"/>
        </w:rPr>
        <w:t>7</w:t>
      </w:r>
      <w:r w:rsidRPr="00595F3F">
        <w:rPr>
          <w:szCs w:val="24"/>
        </w:rPr>
        <w:t xml:space="preserve"> také, jestliže má důvodné podezření, že nedostatek v činnosti může v průběhu následujících 12 měsíců nastat.</w:t>
      </w:r>
    </w:p>
    <w:p w14:paraId="5B4ABC88" w14:textId="77777777" w:rsidR="008923DB" w:rsidRDefault="008923DB" w:rsidP="00106516">
      <w:pPr>
        <w:pStyle w:val="Textparagrafu"/>
        <w:tabs>
          <w:tab w:val="left" w:pos="406"/>
          <w:tab w:val="left" w:pos="868"/>
        </w:tabs>
        <w:spacing w:after="120"/>
        <w:ind w:firstLine="0"/>
        <w:sectPr w:rsidR="008923DB" w:rsidSect="00554E2B">
          <w:footnotePr>
            <w:numStart w:val="3"/>
          </w:footnotePr>
          <w:endnotePr>
            <w:numFmt w:val="decimal"/>
          </w:endnotePr>
          <w:pgSz w:w="11906" w:h="16838"/>
          <w:pgMar w:top="1418" w:right="1418" w:bottom="1418" w:left="1418" w:header="709" w:footer="709" w:gutter="0"/>
          <w:cols w:space="708"/>
          <w:docGrid w:linePitch="360"/>
        </w:sectPr>
      </w:pPr>
    </w:p>
    <w:p w14:paraId="2574417F" w14:textId="36F34797" w:rsidR="006B0BC0" w:rsidRPr="008923DB" w:rsidRDefault="006B0BC0" w:rsidP="005940A4">
      <w:pPr>
        <w:pStyle w:val="Odstavecseseznamem"/>
        <w:tabs>
          <w:tab w:val="left" w:pos="851"/>
        </w:tabs>
        <w:spacing w:before="120" w:after="120"/>
        <w:ind w:left="0" w:firstLine="0"/>
        <w:jc w:val="center"/>
        <w:outlineLvl w:val="0"/>
        <w:rPr>
          <w:szCs w:val="24"/>
        </w:rPr>
      </w:pPr>
      <w:r w:rsidRPr="006B0BC0">
        <w:rPr>
          <w:b/>
          <w:szCs w:val="24"/>
        </w:rPr>
        <w:lastRenderedPageBreak/>
        <w:t xml:space="preserve">K části </w:t>
      </w:r>
      <w:r w:rsidR="001F542D">
        <w:rPr>
          <w:b/>
          <w:szCs w:val="24"/>
        </w:rPr>
        <w:t>třicáté</w:t>
      </w:r>
      <w:r w:rsidRPr="006B0BC0">
        <w:rPr>
          <w:b/>
          <w:szCs w:val="24"/>
        </w:rPr>
        <w:t xml:space="preserve"> návrhu zákona – </w:t>
      </w:r>
      <w:r w:rsidRPr="006B0BC0">
        <w:rPr>
          <w:szCs w:val="24"/>
        </w:rPr>
        <w:t>změna zákona o vnitrozemské plavbě</w:t>
      </w:r>
    </w:p>
    <w:p w14:paraId="78015F81" w14:textId="77777777" w:rsidR="006B0BC0" w:rsidRPr="00383BB6" w:rsidRDefault="006B0BC0" w:rsidP="006B0BC0">
      <w:pPr>
        <w:pStyle w:val="Odstavecseseznamem"/>
        <w:tabs>
          <w:tab w:val="left" w:pos="851"/>
        </w:tabs>
        <w:spacing w:before="120" w:after="120"/>
        <w:ind w:left="0" w:firstLine="0"/>
        <w:outlineLvl w:val="0"/>
        <w:rPr>
          <w:b/>
          <w:szCs w:val="24"/>
        </w:rPr>
      </w:pPr>
    </w:p>
    <w:p w14:paraId="67B9C4CF" w14:textId="7B401F7B" w:rsidR="006B0BC0" w:rsidRPr="00383BB6" w:rsidRDefault="006B0BC0" w:rsidP="006B0BC0">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383BB6">
        <w:rPr>
          <w:b/>
          <w:szCs w:val="24"/>
        </w:rPr>
        <w:t>Platné znění</w:t>
      </w:r>
      <w:r w:rsidRPr="00383BB6">
        <w:rPr>
          <w:szCs w:val="24"/>
        </w:rPr>
        <w:t xml:space="preserve"> zákona </w:t>
      </w:r>
      <w:r w:rsidRPr="00383BB6">
        <w:rPr>
          <w:color w:val="000000"/>
          <w:szCs w:val="24"/>
        </w:rPr>
        <w:t>č. </w:t>
      </w:r>
      <w:r>
        <w:rPr>
          <w:color w:val="000000"/>
          <w:szCs w:val="24"/>
        </w:rPr>
        <w:t>114</w:t>
      </w:r>
      <w:r w:rsidRPr="00383BB6">
        <w:rPr>
          <w:color w:val="000000"/>
          <w:szCs w:val="24"/>
        </w:rPr>
        <w:t>/</w:t>
      </w:r>
      <w:r w:rsidRPr="008923DB">
        <w:rPr>
          <w:szCs w:val="24"/>
        </w:rPr>
        <w:t xml:space="preserve">1995 Sb., </w:t>
      </w:r>
      <w:r w:rsidRPr="006B0BC0">
        <w:rPr>
          <w:szCs w:val="24"/>
        </w:rPr>
        <w:t>o vnitrozemské plavbě</w:t>
      </w:r>
    </w:p>
    <w:p w14:paraId="05B53C57" w14:textId="77777777" w:rsidR="005940A4" w:rsidRPr="00A06781" w:rsidRDefault="005940A4" w:rsidP="005940A4">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b/>
          <w:szCs w:val="24"/>
        </w:rPr>
      </w:pPr>
      <w:r w:rsidRPr="00A06781">
        <w:rPr>
          <w:b/>
          <w:szCs w:val="24"/>
        </w:rPr>
        <w:t>s vyznačením navrhovaných změn a doplnění k 1. lednu 2025</w:t>
      </w:r>
    </w:p>
    <w:p w14:paraId="47A20ACE" w14:textId="3C8F1EE3" w:rsidR="006B0BC0" w:rsidRPr="00BE1F13" w:rsidRDefault="00BE1F13" w:rsidP="00BE1F13">
      <w:pPr>
        <w:ind w:firstLine="0"/>
        <w:jc w:val="center"/>
      </w:pPr>
      <w:r w:rsidRPr="00BE1F13">
        <w:t>***</w:t>
      </w:r>
    </w:p>
    <w:p w14:paraId="1F50EE7B" w14:textId="77777777" w:rsidR="00BE1F13" w:rsidRDefault="00BE1F13" w:rsidP="00BE1F13">
      <w:pPr>
        <w:pStyle w:val="Textparagrafu"/>
        <w:ind w:firstLine="0"/>
        <w:jc w:val="center"/>
      </w:pPr>
      <w:r w:rsidRPr="00C23169">
        <w:t>§</w:t>
      </w:r>
      <w:r>
        <w:t xml:space="preserve"> </w:t>
      </w:r>
      <w:r w:rsidRPr="00C23169">
        <w:t>25</w:t>
      </w:r>
    </w:p>
    <w:p w14:paraId="7ED9B813" w14:textId="77777777" w:rsidR="00BE1F13" w:rsidRPr="00BE1F13" w:rsidRDefault="00BE1F13" w:rsidP="00BE1F13">
      <w:pPr>
        <w:pStyle w:val="Textparagrafu"/>
        <w:ind w:firstLine="0"/>
        <w:jc w:val="center"/>
        <w:rPr>
          <w:b/>
        </w:rPr>
      </w:pPr>
      <w:r w:rsidRPr="00BE1F13">
        <w:rPr>
          <w:b/>
        </w:rPr>
        <w:t>Školení určené pro člena posádky plavidla nebo pro výkon činnosti odborníka na přepravu cestujících</w:t>
      </w:r>
    </w:p>
    <w:p w14:paraId="0177B77A" w14:textId="77777777" w:rsidR="00BE1F13" w:rsidRDefault="00BE1F13" w:rsidP="00300853">
      <w:pPr>
        <w:pStyle w:val="Textparagrafu"/>
        <w:tabs>
          <w:tab w:val="left" w:pos="392"/>
          <w:tab w:val="left" w:pos="826"/>
        </w:tabs>
        <w:spacing w:before="120" w:after="120"/>
      </w:pPr>
      <w:r w:rsidRPr="00C23169">
        <w:t>(1)</w:t>
      </w:r>
      <w:r>
        <w:t xml:space="preserve"> </w:t>
      </w:r>
      <w:r w:rsidRPr="00C23169">
        <w:t>Školení</w:t>
      </w:r>
      <w:r>
        <w:t xml:space="preserve"> </w:t>
      </w:r>
      <w:r w:rsidRPr="00C23169">
        <w:t>určené</w:t>
      </w:r>
      <w:r>
        <w:t xml:space="preserve"> </w:t>
      </w:r>
      <w:r w:rsidRPr="00C23169">
        <w:t>pro</w:t>
      </w:r>
      <w:r>
        <w:t xml:space="preserve"> </w:t>
      </w:r>
      <w:r w:rsidRPr="00C23169">
        <w:t>člena</w:t>
      </w:r>
      <w:r>
        <w:t xml:space="preserve"> </w:t>
      </w:r>
      <w:r w:rsidRPr="00C23169">
        <w:t>posádky</w:t>
      </w:r>
      <w:r>
        <w:t xml:space="preserve"> </w:t>
      </w:r>
      <w:r w:rsidRPr="00C23169">
        <w:t>plavidla</w:t>
      </w:r>
      <w:r>
        <w:t xml:space="preserve"> </w:t>
      </w:r>
      <w:r w:rsidRPr="00C23169">
        <w:t>nebo</w:t>
      </w:r>
      <w:r>
        <w:t xml:space="preserve"> </w:t>
      </w:r>
      <w:r w:rsidRPr="00C23169">
        <w:t>pro</w:t>
      </w:r>
      <w:r>
        <w:t xml:space="preserve"> </w:t>
      </w:r>
      <w:r w:rsidRPr="00C23169">
        <w:t>výkon</w:t>
      </w:r>
      <w:r>
        <w:t xml:space="preserve"> </w:t>
      </w:r>
      <w:r w:rsidRPr="00C23169">
        <w:t>činnosti</w:t>
      </w:r>
      <w:r>
        <w:t xml:space="preserve"> </w:t>
      </w:r>
      <w:r w:rsidRPr="00C23169">
        <w:t>odborníka</w:t>
      </w:r>
      <w:r>
        <w:t xml:space="preserve"> </w:t>
      </w:r>
      <w:r w:rsidRPr="00C23169">
        <w:t>na</w:t>
      </w:r>
      <w:r>
        <w:t xml:space="preserve"> </w:t>
      </w:r>
      <w:r w:rsidRPr="00C23169">
        <w:t>přepravu</w:t>
      </w:r>
      <w:r>
        <w:t xml:space="preserve"> </w:t>
      </w:r>
      <w:r w:rsidRPr="00C23169">
        <w:t>cestujících</w:t>
      </w:r>
      <w:r>
        <w:t xml:space="preserve"> </w:t>
      </w:r>
      <w:r w:rsidRPr="00C23169">
        <w:t>lze</w:t>
      </w:r>
      <w:r>
        <w:t xml:space="preserve"> </w:t>
      </w:r>
      <w:r w:rsidRPr="00C23169">
        <w:t>absolvovat</w:t>
      </w:r>
      <w:r>
        <w:t xml:space="preserve"> </w:t>
      </w:r>
      <w:r w:rsidRPr="00C23169">
        <w:t>pouze</w:t>
      </w:r>
      <w:r>
        <w:t xml:space="preserve"> </w:t>
      </w:r>
      <w:r w:rsidRPr="00C23169">
        <w:t>u</w:t>
      </w:r>
      <w:r>
        <w:t xml:space="preserve"> </w:t>
      </w:r>
      <w:r w:rsidRPr="00C23169">
        <w:t>osoby</w:t>
      </w:r>
      <w:r>
        <w:t xml:space="preserve"> </w:t>
      </w:r>
      <w:r w:rsidRPr="00C23169">
        <w:t>pověřené</w:t>
      </w:r>
      <w:r>
        <w:t xml:space="preserve"> </w:t>
      </w:r>
      <w:r w:rsidRPr="00C23169">
        <w:t>jeho</w:t>
      </w:r>
      <w:r>
        <w:t xml:space="preserve"> </w:t>
      </w:r>
      <w:r w:rsidRPr="00C23169">
        <w:t>prováděním</w:t>
      </w:r>
    </w:p>
    <w:p w14:paraId="68C67F7C" w14:textId="03FD75C4" w:rsidR="00BE1F13" w:rsidRDefault="00BE1F13" w:rsidP="005610DE">
      <w:pPr>
        <w:pStyle w:val="Textparagrafu"/>
        <w:tabs>
          <w:tab w:val="left" w:pos="392"/>
          <w:tab w:val="left" w:pos="826"/>
        </w:tabs>
        <w:spacing w:before="0"/>
        <w:ind w:firstLine="0"/>
      </w:pPr>
      <w:r w:rsidRPr="00C23169">
        <w:t>a)</w:t>
      </w:r>
      <w:r w:rsidR="005610DE">
        <w:tab/>
      </w:r>
      <w:r w:rsidRPr="00C23169">
        <w:t>plavebním</w:t>
      </w:r>
      <w:r>
        <w:t xml:space="preserve"> </w:t>
      </w:r>
      <w:r w:rsidRPr="00C23169">
        <w:t>úřadem,</w:t>
      </w:r>
    </w:p>
    <w:p w14:paraId="2215B2C8" w14:textId="16324DD1" w:rsidR="00BE1F13" w:rsidRDefault="00BE1F13" w:rsidP="005610DE">
      <w:pPr>
        <w:pStyle w:val="Textparagrafu"/>
        <w:tabs>
          <w:tab w:val="left" w:pos="392"/>
          <w:tab w:val="left" w:pos="826"/>
        </w:tabs>
        <w:spacing w:before="0"/>
        <w:ind w:firstLine="0"/>
      </w:pPr>
      <w:r w:rsidRPr="00C23169">
        <w:t>b)</w:t>
      </w:r>
      <w:r w:rsidR="005610DE">
        <w:tab/>
      </w:r>
      <w:r w:rsidRPr="00C23169">
        <w:t>jiným</w:t>
      </w:r>
      <w:r>
        <w:t xml:space="preserve"> </w:t>
      </w:r>
      <w:r w:rsidRPr="00C23169">
        <w:t>členským</w:t>
      </w:r>
      <w:r>
        <w:t xml:space="preserve"> </w:t>
      </w:r>
      <w:r w:rsidRPr="00C23169">
        <w:t>státem</w:t>
      </w:r>
      <w:r>
        <w:t xml:space="preserve"> </w:t>
      </w:r>
      <w:r w:rsidRPr="00C23169">
        <w:t>Evropské</w:t>
      </w:r>
      <w:r>
        <w:t xml:space="preserve"> </w:t>
      </w:r>
      <w:r w:rsidRPr="00C23169">
        <w:t>unie,</w:t>
      </w:r>
      <w:r>
        <w:t xml:space="preserve"> </w:t>
      </w:r>
      <w:r w:rsidRPr="00C23169">
        <w:t>nebo</w:t>
      </w:r>
    </w:p>
    <w:p w14:paraId="357875D4" w14:textId="3F367E56" w:rsidR="00BE1F13" w:rsidRDefault="00BE1F13" w:rsidP="005610DE">
      <w:pPr>
        <w:pStyle w:val="Textparagrafu"/>
        <w:tabs>
          <w:tab w:val="left" w:pos="392"/>
          <w:tab w:val="left" w:pos="826"/>
        </w:tabs>
        <w:spacing w:before="0"/>
        <w:ind w:firstLine="0"/>
      </w:pPr>
      <w:r w:rsidRPr="00C23169">
        <w:t>c)</w:t>
      </w:r>
      <w:r w:rsidR="005610DE">
        <w:tab/>
      </w:r>
      <w:r w:rsidRPr="00C23169">
        <w:t>smluvním</w:t>
      </w:r>
      <w:r>
        <w:t xml:space="preserve"> </w:t>
      </w:r>
      <w:r w:rsidRPr="00C23169">
        <w:t>státem</w:t>
      </w:r>
      <w:r>
        <w:t xml:space="preserve"> </w:t>
      </w:r>
      <w:r w:rsidRPr="00C23169">
        <w:t>Dohody</w:t>
      </w:r>
      <w:r>
        <w:t xml:space="preserve"> </w:t>
      </w:r>
      <w:r w:rsidRPr="00C23169">
        <w:t>o</w:t>
      </w:r>
      <w:r>
        <w:t xml:space="preserve"> </w:t>
      </w:r>
      <w:r w:rsidRPr="00C23169">
        <w:t>Evropském</w:t>
      </w:r>
      <w:r>
        <w:t xml:space="preserve"> </w:t>
      </w:r>
      <w:r w:rsidRPr="00C23169">
        <w:t>hospodářském</w:t>
      </w:r>
      <w:r>
        <w:t xml:space="preserve"> </w:t>
      </w:r>
      <w:r w:rsidRPr="00C23169">
        <w:t>prostoru.</w:t>
      </w:r>
    </w:p>
    <w:p w14:paraId="694D1151" w14:textId="77777777" w:rsidR="00BE1F13" w:rsidRDefault="00BE1F13" w:rsidP="00300853">
      <w:pPr>
        <w:pStyle w:val="Textparagrafu"/>
        <w:tabs>
          <w:tab w:val="left" w:pos="392"/>
          <w:tab w:val="left" w:pos="826"/>
        </w:tabs>
        <w:spacing w:before="120" w:after="120"/>
      </w:pPr>
      <w:proofErr w:type="gramStart"/>
      <w:r w:rsidRPr="00C23169">
        <w:t>(2)</w:t>
      </w:r>
      <w:r>
        <w:t xml:space="preserve"> </w:t>
      </w:r>
      <w:r w:rsidRPr="00C23169">
        <w:t>Plavební</w:t>
      </w:r>
      <w:proofErr w:type="gramEnd"/>
      <w:r>
        <w:t xml:space="preserve"> </w:t>
      </w:r>
      <w:r w:rsidRPr="00C23169">
        <w:t>úřad</w:t>
      </w:r>
      <w:r>
        <w:t xml:space="preserve"> </w:t>
      </w:r>
      <w:r w:rsidRPr="00C23169">
        <w:t>může</w:t>
      </w:r>
      <w:r>
        <w:t xml:space="preserve"> </w:t>
      </w:r>
      <w:r w:rsidRPr="00C23169">
        <w:t>na</w:t>
      </w:r>
      <w:r>
        <w:t xml:space="preserve"> </w:t>
      </w:r>
      <w:r w:rsidRPr="00C23169">
        <w:t>žádost</w:t>
      </w:r>
      <w:r>
        <w:t xml:space="preserve"> </w:t>
      </w:r>
      <w:r w:rsidRPr="00C23169">
        <w:t>pověřit</w:t>
      </w:r>
      <w:r>
        <w:t xml:space="preserve"> </w:t>
      </w:r>
      <w:r w:rsidRPr="00C23169">
        <w:t>prováděním</w:t>
      </w:r>
      <w:r>
        <w:t xml:space="preserve"> </w:t>
      </w:r>
      <w:r w:rsidRPr="00C23169">
        <w:t>školení</w:t>
      </w:r>
      <w:r>
        <w:t xml:space="preserve"> </w:t>
      </w:r>
      <w:r w:rsidRPr="00C23169">
        <w:t>osobu,</w:t>
      </w:r>
      <w:r>
        <w:t xml:space="preserve"> </w:t>
      </w:r>
      <w:proofErr w:type="gramStart"/>
      <w:r w:rsidRPr="00C23169">
        <w:t>která</w:t>
      </w:r>
      <w:proofErr w:type="gramEnd"/>
    </w:p>
    <w:p w14:paraId="4C9E3F52" w14:textId="43833B03" w:rsidR="00BE1F13" w:rsidRDefault="00BE1F13" w:rsidP="000D73B3">
      <w:pPr>
        <w:pStyle w:val="Textparagrafu"/>
        <w:tabs>
          <w:tab w:val="left" w:pos="392"/>
          <w:tab w:val="left" w:pos="826"/>
        </w:tabs>
        <w:spacing w:before="0"/>
        <w:ind w:left="426" w:hanging="426"/>
      </w:pPr>
      <w:r w:rsidRPr="00C23169">
        <w:t>a)</w:t>
      </w:r>
      <w:r w:rsidR="005E4525">
        <w:tab/>
      </w:r>
      <w:r w:rsidRPr="00C23169">
        <w:t>má</w:t>
      </w:r>
      <w:r>
        <w:t xml:space="preserve"> </w:t>
      </w:r>
      <w:r w:rsidRPr="00C23169">
        <w:t>sídlo</w:t>
      </w:r>
      <w:r>
        <w:t xml:space="preserve"> </w:t>
      </w:r>
      <w:r w:rsidRPr="00C23169">
        <w:t>na</w:t>
      </w:r>
      <w:r>
        <w:t xml:space="preserve"> </w:t>
      </w:r>
      <w:r w:rsidRPr="00C23169">
        <w:t>území</w:t>
      </w:r>
      <w:r>
        <w:t xml:space="preserve"> </w:t>
      </w:r>
      <w:r w:rsidRPr="00C23169">
        <w:t>členského</w:t>
      </w:r>
      <w:r>
        <w:t xml:space="preserve"> </w:t>
      </w:r>
      <w:r w:rsidRPr="00C23169">
        <w:t>státu</w:t>
      </w:r>
      <w:r>
        <w:t xml:space="preserve"> </w:t>
      </w:r>
      <w:r w:rsidRPr="00C23169">
        <w:t>Evropské</w:t>
      </w:r>
      <w:r>
        <w:t xml:space="preserve"> </w:t>
      </w:r>
      <w:r w:rsidRPr="00C23169">
        <w:t>unie,</w:t>
      </w:r>
    </w:p>
    <w:p w14:paraId="6DF00008" w14:textId="50DCF708" w:rsidR="00BE1F13" w:rsidRDefault="00BE1F13" w:rsidP="000D73B3">
      <w:pPr>
        <w:pStyle w:val="Textparagrafu"/>
        <w:tabs>
          <w:tab w:val="left" w:pos="392"/>
          <w:tab w:val="left" w:pos="826"/>
        </w:tabs>
        <w:spacing w:before="0"/>
        <w:ind w:left="426" w:hanging="426"/>
      </w:pPr>
      <w:r w:rsidRPr="00C23169">
        <w:t>b)</w:t>
      </w:r>
      <w:r w:rsidR="005E4525">
        <w:tab/>
      </w:r>
      <w:r w:rsidRPr="00C23169">
        <w:t>má</w:t>
      </w:r>
      <w:r>
        <w:t xml:space="preserve"> </w:t>
      </w:r>
      <w:r w:rsidRPr="00C23169">
        <w:t>právo</w:t>
      </w:r>
      <w:r>
        <w:t xml:space="preserve"> </w:t>
      </w:r>
      <w:r w:rsidRPr="00C23169">
        <w:t>k</w:t>
      </w:r>
      <w:r>
        <w:t xml:space="preserve"> </w:t>
      </w:r>
      <w:r w:rsidRPr="00C23169">
        <w:t>užívání</w:t>
      </w:r>
      <w:r>
        <w:t xml:space="preserve"> </w:t>
      </w:r>
      <w:r w:rsidRPr="00C23169">
        <w:t>nebytových</w:t>
      </w:r>
      <w:r>
        <w:t xml:space="preserve"> </w:t>
      </w:r>
      <w:r w:rsidRPr="00C23169">
        <w:t>prostor</w:t>
      </w:r>
      <w:r>
        <w:t xml:space="preserve"> </w:t>
      </w:r>
      <w:r w:rsidRPr="00C23169">
        <w:t>potřebných</w:t>
      </w:r>
      <w:r>
        <w:t xml:space="preserve"> </w:t>
      </w:r>
      <w:r w:rsidRPr="00C23169">
        <w:t>k</w:t>
      </w:r>
      <w:r>
        <w:t xml:space="preserve"> </w:t>
      </w:r>
      <w:r w:rsidRPr="00C23169">
        <w:t>provádění</w:t>
      </w:r>
      <w:r>
        <w:t xml:space="preserve"> </w:t>
      </w:r>
      <w:r w:rsidRPr="00C23169">
        <w:t>školení,</w:t>
      </w:r>
    </w:p>
    <w:p w14:paraId="2B3E2B8B" w14:textId="6D270497" w:rsidR="00BE1F13" w:rsidRDefault="00BE1F13" w:rsidP="000D73B3">
      <w:pPr>
        <w:pStyle w:val="Textparagrafu"/>
        <w:tabs>
          <w:tab w:val="left" w:pos="392"/>
          <w:tab w:val="left" w:pos="826"/>
        </w:tabs>
        <w:spacing w:before="0"/>
        <w:ind w:left="426" w:hanging="426"/>
      </w:pPr>
      <w:r w:rsidRPr="00C23169">
        <w:t>c)</w:t>
      </w:r>
      <w:r w:rsidR="005E4525">
        <w:tab/>
      </w:r>
      <w:r w:rsidRPr="00C23169">
        <w:t>je</w:t>
      </w:r>
      <w:r>
        <w:t xml:space="preserve"> </w:t>
      </w:r>
      <w:r w:rsidRPr="00C23169">
        <w:t>provozovatelem</w:t>
      </w:r>
      <w:r>
        <w:t xml:space="preserve"> </w:t>
      </w:r>
      <w:r w:rsidRPr="00C23169">
        <w:t>plavidla,</w:t>
      </w:r>
      <w:r>
        <w:t xml:space="preserve"> </w:t>
      </w:r>
      <w:r w:rsidRPr="00C23169">
        <w:t>jehož</w:t>
      </w:r>
      <w:r>
        <w:t xml:space="preserve"> </w:t>
      </w:r>
      <w:r w:rsidRPr="00C23169">
        <w:t>technické</w:t>
      </w:r>
      <w:r>
        <w:t xml:space="preserve"> </w:t>
      </w:r>
      <w:r w:rsidRPr="00C23169">
        <w:t>parametry</w:t>
      </w:r>
      <w:r>
        <w:t xml:space="preserve"> </w:t>
      </w:r>
      <w:r w:rsidRPr="00C23169">
        <w:t>a</w:t>
      </w:r>
      <w:r>
        <w:t xml:space="preserve"> </w:t>
      </w:r>
      <w:r w:rsidRPr="00C23169">
        <w:t>vybavení</w:t>
      </w:r>
      <w:r>
        <w:t xml:space="preserve"> </w:t>
      </w:r>
      <w:r w:rsidRPr="00C23169">
        <w:t>umožňují</w:t>
      </w:r>
      <w:r>
        <w:t xml:space="preserve"> </w:t>
      </w:r>
      <w:r w:rsidRPr="00C23169">
        <w:t>provádění</w:t>
      </w:r>
      <w:r>
        <w:t xml:space="preserve"> </w:t>
      </w:r>
      <w:r w:rsidRPr="00C23169">
        <w:t>školení,</w:t>
      </w:r>
      <w:r>
        <w:t xml:space="preserve"> </w:t>
      </w:r>
      <w:r w:rsidRPr="00C23169">
        <w:t>nebo</w:t>
      </w:r>
      <w:r>
        <w:t xml:space="preserve"> </w:t>
      </w:r>
      <w:r w:rsidRPr="00C23169">
        <w:t>má</w:t>
      </w:r>
      <w:r>
        <w:t xml:space="preserve"> </w:t>
      </w:r>
      <w:r w:rsidRPr="00C23169">
        <w:t>s</w:t>
      </w:r>
      <w:r>
        <w:t xml:space="preserve"> </w:t>
      </w:r>
      <w:r w:rsidRPr="00C23169">
        <w:t>takovým</w:t>
      </w:r>
      <w:r>
        <w:t xml:space="preserve"> </w:t>
      </w:r>
      <w:r w:rsidRPr="00C23169">
        <w:t>provozovatelem</w:t>
      </w:r>
      <w:r>
        <w:t xml:space="preserve"> </w:t>
      </w:r>
      <w:r w:rsidRPr="00C23169">
        <w:t>smluvní</w:t>
      </w:r>
      <w:r>
        <w:t xml:space="preserve"> </w:t>
      </w:r>
      <w:r w:rsidRPr="00C23169">
        <w:t>vztah,</w:t>
      </w:r>
      <w:r>
        <w:t xml:space="preserve"> </w:t>
      </w:r>
      <w:r w:rsidRPr="00C23169">
        <w:t>jehož</w:t>
      </w:r>
      <w:r>
        <w:t xml:space="preserve"> </w:t>
      </w:r>
      <w:r w:rsidRPr="00C23169">
        <w:t>předmětem</w:t>
      </w:r>
      <w:r>
        <w:t xml:space="preserve"> </w:t>
      </w:r>
      <w:r w:rsidRPr="00C23169">
        <w:t>je</w:t>
      </w:r>
      <w:r>
        <w:t xml:space="preserve"> </w:t>
      </w:r>
      <w:r w:rsidRPr="00C23169">
        <w:t>užívání</w:t>
      </w:r>
      <w:r>
        <w:t xml:space="preserve"> </w:t>
      </w:r>
      <w:r w:rsidRPr="00C23169">
        <w:t>takového</w:t>
      </w:r>
      <w:r>
        <w:t xml:space="preserve"> </w:t>
      </w:r>
      <w:r w:rsidRPr="00C23169">
        <w:t>plavidla</w:t>
      </w:r>
      <w:r>
        <w:t xml:space="preserve"> </w:t>
      </w:r>
      <w:r w:rsidRPr="00C23169">
        <w:t>za</w:t>
      </w:r>
      <w:r>
        <w:t xml:space="preserve"> </w:t>
      </w:r>
      <w:r w:rsidRPr="00C23169">
        <w:t>účelem</w:t>
      </w:r>
      <w:r>
        <w:t xml:space="preserve"> </w:t>
      </w:r>
      <w:r w:rsidRPr="00C23169">
        <w:t>provádění</w:t>
      </w:r>
      <w:r>
        <w:t xml:space="preserve"> </w:t>
      </w:r>
      <w:r w:rsidRPr="00C23169">
        <w:t>školení,</w:t>
      </w:r>
    </w:p>
    <w:p w14:paraId="0B19380F" w14:textId="3EEFAD06" w:rsidR="00BE1F13" w:rsidRDefault="00BE1F13" w:rsidP="000D73B3">
      <w:pPr>
        <w:pStyle w:val="Textparagrafu"/>
        <w:tabs>
          <w:tab w:val="left" w:pos="392"/>
          <w:tab w:val="left" w:pos="826"/>
        </w:tabs>
        <w:spacing w:before="0"/>
        <w:ind w:left="426" w:hanging="426"/>
      </w:pPr>
      <w:r w:rsidRPr="00C23169">
        <w:t>d)</w:t>
      </w:r>
      <w:r w:rsidR="005E4525">
        <w:tab/>
      </w:r>
      <w:r w:rsidRPr="00C23169">
        <w:t>má</w:t>
      </w:r>
      <w:r>
        <w:t xml:space="preserve"> </w:t>
      </w:r>
      <w:r w:rsidRPr="00C23169">
        <w:t>zajištěny</w:t>
      </w:r>
      <w:r>
        <w:t xml:space="preserve"> </w:t>
      </w:r>
      <w:r w:rsidRPr="00C23169">
        <w:t>výukové</w:t>
      </w:r>
      <w:r>
        <w:t xml:space="preserve"> </w:t>
      </w:r>
      <w:r w:rsidRPr="00C23169">
        <w:t>materiály,</w:t>
      </w:r>
      <w:r>
        <w:t xml:space="preserve"> </w:t>
      </w:r>
      <w:r w:rsidRPr="00C23169">
        <w:t>pomůcky</w:t>
      </w:r>
      <w:r>
        <w:t xml:space="preserve"> </w:t>
      </w:r>
      <w:r w:rsidRPr="00C23169">
        <w:t>a</w:t>
      </w:r>
      <w:r>
        <w:t xml:space="preserve"> </w:t>
      </w:r>
      <w:r w:rsidRPr="00C23169">
        <w:t>jiné</w:t>
      </w:r>
      <w:r>
        <w:t xml:space="preserve"> </w:t>
      </w:r>
      <w:r w:rsidRPr="00C23169">
        <w:t>vybavení</w:t>
      </w:r>
      <w:r>
        <w:t xml:space="preserve"> </w:t>
      </w:r>
      <w:r w:rsidRPr="00C23169">
        <w:t>potřebné</w:t>
      </w:r>
      <w:r>
        <w:t xml:space="preserve"> </w:t>
      </w:r>
      <w:r w:rsidRPr="00C23169">
        <w:t>k</w:t>
      </w:r>
      <w:r>
        <w:t xml:space="preserve"> </w:t>
      </w:r>
      <w:r w:rsidRPr="00C23169">
        <w:t>provádění</w:t>
      </w:r>
      <w:r>
        <w:t xml:space="preserve"> </w:t>
      </w:r>
      <w:r w:rsidRPr="00C23169">
        <w:t>školení,</w:t>
      </w:r>
    </w:p>
    <w:p w14:paraId="618852A4" w14:textId="68B94EE4" w:rsidR="00BE1F13" w:rsidRDefault="00BE1F13" w:rsidP="000D73B3">
      <w:pPr>
        <w:pStyle w:val="Textparagrafu"/>
        <w:tabs>
          <w:tab w:val="left" w:pos="392"/>
          <w:tab w:val="left" w:pos="826"/>
        </w:tabs>
        <w:spacing w:before="0"/>
        <w:ind w:left="426" w:hanging="426"/>
      </w:pPr>
      <w:r w:rsidRPr="00C23169">
        <w:t>e)</w:t>
      </w:r>
      <w:r w:rsidR="005E4525">
        <w:tab/>
      </w:r>
      <w:r w:rsidRPr="00C23169">
        <w:t>má</w:t>
      </w:r>
      <w:r>
        <w:t xml:space="preserve"> </w:t>
      </w:r>
      <w:r w:rsidRPr="00C23169">
        <w:t>zajištěn</w:t>
      </w:r>
      <w:r>
        <w:t xml:space="preserve"> </w:t>
      </w:r>
      <w:r w:rsidRPr="00C23169">
        <w:t>simulátor,</w:t>
      </w:r>
      <w:r>
        <w:t xml:space="preserve"> </w:t>
      </w:r>
      <w:r w:rsidRPr="00C23169">
        <w:t>jehož</w:t>
      </w:r>
      <w:r>
        <w:t xml:space="preserve"> </w:t>
      </w:r>
      <w:r w:rsidRPr="00C23169">
        <w:t>technická</w:t>
      </w:r>
      <w:r>
        <w:t xml:space="preserve"> </w:t>
      </w:r>
      <w:r w:rsidRPr="00C23169">
        <w:t>způsobilost</w:t>
      </w:r>
      <w:r>
        <w:t xml:space="preserve"> </w:t>
      </w:r>
      <w:r w:rsidRPr="00C23169">
        <w:t>byla</w:t>
      </w:r>
      <w:r>
        <w:t xml:space="preserve"> </w:t>
      </w:r>
      <w:r w:rsidRPr="00C23169">
        <w:t>schválena</w:t>
      </w:r>
      <w:r>
        <w:t xml:space="preserve"> </w:t>
      </w:r>
      <w:r w:rsidRPr="00C23169">
        <w:t>plavebním</w:t>
      </w:r>
      <w:r>
        <w:t xml:space="preserve"> </w:t>
      </w:r>
      <w:r w:rsidRPr="00C23169">
        <w:t>úřadem,</w:t>
      </w:r>
      <w:r>
        <w:t xml:space="preserve"> </w:t>
      </w:r>
      <w:r w:rsidRPr="00C23169">
        <w:t>jiným</w:t>
      </w:r>
      <w:r>
        <w:t xml:space="preserve"> </w:t>
      </w:r>
      <w:r w:rsidRPr="00C23169">
        <w:t>členským</w:t>
      </w:r>
      <w:r>
        <w:t xml:space="preserve"> </w:t>
      </w:r>
      <w:r w:rsidRPr="00C23169">
        <w:t>státem</w:t>
      </w:r>
      <w:r>
        <w:t xml:space="preserve"> </w:t>
      </w:r>
      <w:r w:rsidRPr="00C23169">
        <w:t>Evropské</w:t>
      </w:r>
      <w:r>
        <w:t xml:space="preserve"> </w:t>
      </w:r>
      <w:r w:rsidRPr="00C23169">
        <w:t>unie</w:t>
      </w:r>
      <w:r>
        <w:t xml:space="preserve"> </w:t>
      </w:r>
      <w:r w:rsidRPr="00C23169">
        <w:t>nebo</w:t>
      </w:r>
      <w:r>
        <w:t xml:space="preserve"> </w:t>
      </w:r>
      <w:r w:rsidRPr="00C23169">
        <w:t>smluvním</w:t>
      </w:r>
      <w:r>
        <w:t xml:space="preserve"> </w:t>
      </w:r>
      <w:r w:rsidRPr="00C23169">
        <w:t>státem</w:t>
      </w:r>
      <w:r>
        <w:t xml:space="preserve"> </w:t>
      </w:r>
      <w:r w:rsidRPr="00C23169">
        <w:t>Dohody</w:t>
      </w:r>
      <w:r>
        <w:t xml:space="preserve"> </w:t>
      </w:r>
      <w:r w:rsidRPr="00C23169">
        <w:t>o</w:t>
      </w:r>
      <w:r>
        <w:t xml:space="preserve"> </w:t>
      </w:r>
      <w:r w:rsidRPr="00C23169">
        <w:t>Evropském</w:t>
      </w:r>
      <w:r>
        <w:t xml:space="preserve"> </w:t>
      </w:r>
      <w:r w:rsidRPr="00C23169">
        <w:t>hospodářském</w:t>
      </w:r>
      <w:r>
        <w:t xml:space="preserve"> </w:t>
      </w:r>
      <w:r w:rsidRPr="00C23169">
        <w:t>prostoru,</w:t>
      </w:r>
      <w:r>
        <w:t xml:space="preserve"> </w:t>
      </w:r>
      <w:r w:rsidRPr="00C23169">
        <w:t>hodlá-li</w:t>
      </w:r>
      <w:r>
        <w:t xml:space="preserve"> </w:t>
      </w:r>
      <w:r w:rsidRPr="00C23169">
        <w:t>využívat</w:t>
      </w:r>
      <w:r>
        <w:t xml:space="preserve"> </w:t>
      </w:r>
      <w:r w:rsidRPr="00C23169">
        <w:t>simulátor</w:t>
      </w:r>
      <w:r>
        <w:t xml:space="preserve"> </w:t>
      </w:r>
      <w:r w:rsidRPr="00C23169">
        <w:t>k</w:t>
      </w:r>
      <w:r>
        <w:t xml:space="preserve"> </w:t>
      </w:r>
      <w:r w:rsidRPr="00C23169">
        <w:t>ověřování</w:t>
      </w:r>
      <w:r>
        <w:t xml:space="preserve"> </w:t>
      </w:r>
      <w:r w:rsidRPr="00C23169">
        <w:t>praktických</w:t>
      </w:r>
      <w:r>
        <w:t xml:space="preserve"> </w:t>
      </w:r>
      <w:r w:rsidRPr="00C23169">
        <w:t>dovedností</w:t>
      </w:r>
      <w:r>
        <w:t xml:space="preserve"> </w:t>
      </w:r>
      <w:r w:rsidRPr="00C23169">
        <w:t>vůdce</w:t>
      </w:r>
      <w:r>
        <w:t xml:space="preserve"> </w:t>
      </w:r>
      <w:r w:rsidRPr="00C23169">
        <w:t>plavidla,</w:t>
      </w:r>
    </w:p>
    <w:p w14:paraId="45D74A73" w14:textId="357BC385" w:rsidR="00BE1F13" w:rsidRDefault="00BE1F13" w:rsidP="000D73B3">
      <w:pPr>
        <w:pStyle w:val="Textparagrafu"/>
        <w:tabs>
          <w:tab w:val="left" w:pos="392"/>
          <w:tab w:val="left" w:pos="826"/>
        </w:tabs>
        <w:spacing w:before="0"/>
        <w:ind w:left="426" w:hanging="426"/>
      </w:pPr>
      <w:r w:rsidRPr="00C23169">
        <w:t>f)</w:t>
      </w:r>
      <w:r w:rsidR="005E4525">
        <w:tab/>
      </w:r>
      <w:r w:rsidRPr="00C23169">
        <w:t>má</w:t>
      </w:r>
      <w:r>
        <w:t xml:space="preserve"> </w:t>
      </w:r>
      <w:r w:rsidRPr="00C23169">
        <w:t>zpracován</w:t>
      </w:r>
      <w:r>
        <w:t xml:space="preserve"> </w:t>
      </w:r>
      <w:r w:rsidRPr="00C23169">
        <w:t>plán</w:t>
      </w:r>
      <w:r>
        <w:t xml:space="preserve"> </w:t>
      </w:r>
      <w:r w:rsidRPr="00C23169">
        <w:t>pro</w:t>
      </w:r>
      <w:r>
        <w:t xml:space="preserve"> </w:t>
      </w:r>
      <w:r w:rsidRPr="00C23169">
        <w:t>zajištění</w:t>
      </w:r>
      <w:r>
        <w:t xml:space="preserve"> </w:t>
      </w:r>
      <w:r w:rsidRPr="00C23169">
        <w:t>školení</w:t>
      </w:r>
      <w:r>
        <w:t xml:space="preserve"> </w:t>
      </w:r>
      <w:r w:rsidRPr="00C23169">
        <w:t>obsahující</w:t>
      </w:r>
      <w:r>
        <w:t xml:space="preserve"> </w:t>
      </w:r>
      <w:r w:rsidRPr="00C23169">
        <w:t>vymezení</w:t>
      </w:r>
      <w:r>
        <w:t xml:space="preserve"> </w:t>
      </w:r>
      <w:r w:rsidRPr="00C23169">
        <w:t>organizace,</w:t>
      </w:r>
      <w:r>
        <w:t xml:space="preserve"> </w:t>
      </w:r>
      <w:r w:rsidRPr="00C23169">
        <w:t>rozsahu</w:t>
      </w:r>
      <w:r>
        <w:t xml:space="preserve"> </w:t>
      </w:r>
      <w:r w:rsidRPr="00C23169">
        <w:t>a</w:t>
      </w:r>
      <w:r>
        <w:t xml:space="preserve"> </w:t>
      </w:r>
      <w:r w:rsidRPr="00C23169">
        <w:t>způsobu</w:t>
      </w:r>
      <w:r>
        <w:t xml:space="preserve"> </w:t>
      </w:r>
      <w:r w:rsidRPr="00C23169">
        <w:t>provádění</w:t>
      </w:r>
      <w:r>
        <w:t xml:space="preserve"> </w:t>
      </w:r>
      <w:r w:rsidRPr="00C23169">
        <w:t>školení</w:t>
      </w:r>
      <w:r>
        <w:t xml:space="preserve"> </w:t>
      </w:r>
      <w:r w:rsidRPr="00C23169">
        <w:t>a</w:t>
      </w:r>
      <w:r>
        <w:t xml:space="preserve"> </w:t>
      </w:r>
      <w:r w:rsidRPr="00C23169">
        <w:t>jeho</w:t>
      </w:r>
      <w:r>
        <w:t xml:space="preserve"> </w:t>
      </w:r>
      <w:r w:rsidRPr="00C23169">
        <w:t>kontroly,</w:t>
      </w:r>
    </w:p>
    <w:p w14:paraId="6F4FF4B1" w14:textId="2B814DB7" w:rsidR="00BE1F13" w:rsidRDefault="00BE1F13" w:rsidP="000D73B3">
      <w:pPr>
        <w:pStyle w:val="Textparagrafu"/>
        <w:tabs>
          <w:tab w:val="left" w:pos="392"/>
          <w:tab w:val="left" w:pos="826"/>
        </w:tabs>
        <w:spacing w:before="0"/>
        <w:ind w:left="426" w:hanging="426"/>
      </w:pPr>
      <w:r w:rsidRPr="00C23169">
        <w:t>g)</w:t>
      </w:r>
      <w:r w:rsidR="005E4525">
        <w:tab/>
      </w:r>
      <w:r w:rsidRPr="00C23169">
        <w:t>má</w:t>
      </w:r>
      <w:r>
        <w:t xml:space="preserve"> </w:t>
      </w:r>
      <w:r w:rsidRPr="00C23169">
        <w:t>zaveden</w:t>
      </w:r>
      <w:r>
        <w:t xml:space="preserve"> </w:t>
      </w:r>
      <w:r w:rsidRPr="00C23169">
        <w:t>systém</w:t>
      </w:r>
      <w:r>
        <w:t xml:space="preserve"> </w:t>
      </w:r>
      <w:r w:rsidRPr="00C23169">
        <w:t>řízení</w:t>
      </w:r>
      <w:r>
        <w:t xml:space="preserve"> </w:t>
      </w:r>
      <w:r w:rsidRPr="00C23169">
        <w:t>kvality</w:t>
      </w:r>
      <w:r>
        <w:t xml:space="preserve"> </w:t>
      </w:r>
      <w:r w:rsidRPr="00C23169">
        <w:t>ve</w:t>
      </w:r>
      <w:r>
        <w:t xml:space="preserve"> </w:t>
      </w:r>
      <w:r w:rsidRPr="00C23169">
        <w:t>shodě</w:t>
      </w:r>
      <w:r>
        <w:t xml:space="preserve"> </w:t>
      </w:r>
      <w:r w:rsidRPr="00C23169">
        <w:t>s</w:t>
      </w:r>
      <w:r>
        <w:t xml:space="preserve"> </w:t>
      </w:r>
      <w:r w:rsidRPr="00C23169">
        <w:t>harmonizovanou</w:t>
      </w:r>
      <w:r>
        <w:t xml:space="preserve"> </w:t>
      </w:r>
      <w:r w:rsidRPr="00C23169">
        <w:t>českou</w:t>
      </w:r>
      <w:r>
        <w:t xml:space="preserve"> </w:t>
      </w:r>
      <w:r w:rsidRPr="00C23169">
        <w:t>technickou</w:t>
      </w:r>
      <w:r>
        <w:t xml:space="preserve"> </w:t>
      </w:r>
      <w:r w:rsidRPr="00C23169">
        <w:t>normou</w:t>
      </w:r>
      <w:r>
        <w:t xml:space="preserve"> </w:t>
      </w:r>
      <w:r w:rsidRPr="00C23169">
        <w:t>upravující</w:t>
      </w:r>
      <w:r>
        <w:t xml:space="preserve"> </w:t>
      </w:r>
      <w:r w:rsidRPr="00C23169">
        <w:t>řízení</w:t>
      </w:r>
      <w:r>
        <w:t xml:space="preserve"> </w:t>
      </w:r>
      <w:r w:rsidR="005610DE">
        <w:t>kvality</w:t>
      </w:r>
      <w:r w:rsidR="005610DE">
        <w:rPr>
          <w:rStyle w:val="Znakapoznpodarou"/>
        </w:rPr>
        <w:footnoteReference w:customMarkFollows="1" w:id="225"/>
        <w:t>31)</w:t>
      </w:r>
      <w:r w:rsidRPr="00C23169">
        <w:t>,</w:t>
      </w:r>
    </w:p>
    <w:p w14:paraId="696B1F1D" w14:textId="048B5DD1" w:rsidR="00BE1F13" w:rsidRDefault="00BE1F13" w:rsidP="000D73B3">
      <w:pPr>
        <w:pStyle w:val="Textparagrafu"/>
        <w:tabs>
          <w:tab w:val="left" w:pos="392"/>
          <w:tab w:val="left" w:pos="826"/>
        </w:tabs>
        <w:spacing w:before="0"/>
        <w:ind w:left="426" w:hanging="426"/>
      </w:pPr>
      <w:r w:rsidRPr="00C23169">
        <w:t>h)</w:t>
      </w:r>
      <w:r w:rsidR="005E4525">
        <w:tab/>
      </w:r>
      <w:r w:rsidRPr="00C23169">
        <w:t>je</w:t>
      </w:r>
      <w:r>
        <w:t xml:space="preserve"> </w:t>
      </w:r>
      <w:r w:rsidRPr="00C23169">
        <w:t>finančně</w:t>
      </w:r>
      <w:r>
        <w:t xml:space="preserve"> </w:t>
      </w:r>
      <w:r w:rsidRPr="00C23169">
        <w:t>způsobilá</w:t>
      </w:r>
      <w:r>
        <w:t xml:space="preserve"> </w:t>
      </w:r>
      <w:r w:rsidRPr="00C23169">
        <w:t>v</w:t>
      </w:r>
      <w:r>
        <w:t xml:space="preserve"> </w:t>
      </w:r>
      <w:r w:rsidRPr="00C23169">
        <w:t>rozsahu</w:t>
      </w:r>
      <w:r>
        <w:t xml:space="preserve"> </w:t>
      </w:r>
      <w:r w:rsidRPr="00C23169">
        <w:t>nezbytném</w:t>
      </w:r>
      <w:r>
        <w:t xml:space="preserve"> </w:t>
      </w:r>
      <w:r w:rsidRPr="00C23169">
        <w:t>k</w:t>
      </w:r>
      <w:r>
        <w:t xml:space="preserve"> </w:t>
      </w:r>
      <w:r w:rsidRPr="00C23169">
        <w:t>provádění</w:t>
      </w:r>
      <w:r>
        <w:t xml:space="preserve"> </w:t>
      </w:r>
      <w:r w:rsidRPr="00C23169">
        <w:t>školení,</w:t>
      </w:r>
    </w:p>
    <w:p w14:paraId="4D957C44" w14:textId="5D851937" w:rsidR="00BE1F13" w:rsidRDefault="00BE1F13" w:rsidP="000D73B3">
      <w:pPr>
        <w:pStyle w:val="Textparagrafu"/>
        <w:tabs>
          <w:tab w:val="left" w:pos="392"/>
          <w:tab w:val="left" w:pos="826"/>
        </w:tabs>
        <w:spacing w:before="0"/>
        <w:ind w:left="426" w:hanging="426"/>
      </w:pPr>
      <w:r w:rsidRPr="00C23169">
        <w:t>i)</w:t>
      </w:r>
      <w:r w:rsidR="005E4525">
        <w:tab/>
      </w:r>
      <w:r w:rsidRPr="00C23169">
        <w:t>má</w:t>
      </w:r>
      <w:r>
        <w:t xml:space="preserve"> </w:t>
      </w:r>
      <w:r w:rsidRPr="00C23169">
        <w:t>zajištěno</w:t>
      </w:r>
      <w:r>
        <w:t xml:space="preserve"> </w:t>
      </w:r>
      <w:r w:rsidRPr="00C23169">
        <w:t>provádění</w:t>
      </w:r>
      <w:r>
        <w:t xml:space="preserve"> </w:t>
      </w:r>
      <w:r w:rsidRPr="00C23169">
        <w:t>školení</w:t>
      </w:r>
      <w:r>
        <w:t xml:space="preserve"> </w:t>
      </w:r>
      <w:r w:rsidRPr="00C23169">
        <w:t>a</w:t>
      </w:r>
      <w:r>
        <w:t xml:space="preserve"> </w:t>
      </w:r>
      <w:r w:rsidRPr="00C23169">
        <w:t>závěrečných</w:t>
      </w:r>
      <w:r>
        <w:t xml:space="preserve"> </w:t>
      </w:r>
      <w:r w:rsidRPr="00C23169">
        <w:t>zkoušek</w:t>
      </w:r>
      <w:r>
        <w:t xml:space="preserve"> </w:t>
      </w:r>
      <w:r w:rsidRPr="00C23169">
        <w:t>prostřednictvím</w:t>
      </w:r>
      <w:r>
        <w:t xml:space="preserve"> </w:t>
      </w:r>
      <w:r w:rsidRPr="00C23169">
        <w:t>odborně</w:t>
      </w:r>
      <w:r>
        <w:t xml:space="preserve"> </w:t>
      </w:r>
      <w:r w:rsidRPr="00C23169">
        <w:t>způsobilých</w:t>
      </w:r>
      <w:r>
        <w:t xml:space="preserve"> </w:t>
      </w:r>
      <w:r w:rsidRPr="00C23169">
        <w:t>fyzických</w:t>
      </w:r>
      <w:r>
        <w:t xml:space="preserve"> </w:t>
      </w:r>
      <w:r w:rsidRPr="00C23169">
        <w:t>osob</w:t>
      </w:r>
      <w:r>
        <w:t xml:space="preserve"> </w:t>
      </w:r>
      <w:r w:rsidRPr="00C23169">
        <w:t>a</w:t>
      </w:r>
    </w:p>
    <w:p w14:paraId="7ACD29A5" w14:textId="6C37FA52" w:rsidR="00BE1F13" w:rsidRDefault="00BE1F13" w:rsidP="000D73B3">
      <w:pPr>
        <w:pStyle w:val="Textparagrafu"/>
        <w:tabs>
          <w:tab w:val="left" w:pos="392"/>
          <w:tab w:val="left" w:pos="826"/>
        </w:tabs>
        <w:spacing w:before="0"/>
        <w:ind w:left="426" w:hanging="426"/>
      </w:pPr>
      <w:r w:rsidRPr="00C23169">
        <w:t>j)</w:t>
      </w:r>
      <w:r w:rsidR="005E4525">
        <w:tab/>
      </w:r>
      <w:r w:rsidRPr="00C23169">
        <w:t>má</w:t>
      </w:r>
      <w:r>
        <w:t xml:space="preserve"> </w:t>
      </w:r>
      <w:r w:rsidRPr="00C23169">
        <w:t>zajištěno</w:t>
      </w:r>
      <w:r>
        <w:t xml:space="preserve"> </w:t>
      </w:r>
      <w:r w:rsidRPr="00C23169">
        <w:t>vyloučení</w:t>
      </w:r>
      <w:r>
        <w:t xml:space="preserve"> </w:t>
      </w:r>
      <w:r w:rsidRPr="00C23169">
        <w:t>střetu</w:t>
      </w:r>
      <w:r>
        <w:t xml:space="preserve"> </w:t>
      </w:r>
      <w:r w:rsidRPr="00C23169">
        <w:t>zájmů</w:t>
      </w:r>
      <w:r>
        <w:t xml:space="preserve"> </w:t>
      </w:r>
      <w:r w:rsidRPr="00C23169">
        <w:t>při</w:t>
      </w:r>
      <w:r>
        <w:t xml:space="preserve"> </w:t>
      </w:r>
      <w:r w:rsidRPr="00C23169">
        <w:t>provádění</w:t>
      </w:r>
      <w:r>
        <w:t xml:space="preserve"> </w:t>
      </w:r>
      <w:r w:rsidRPr="00C23169">
        <w:t>závěrečných</w:t>
      </w:r>
      <w:r>
        <w:t xml:space="preserve"> </w:t>
      </w:r>
      <w:r w:rsidRPr="00C23169">
        <w:t>zkoušek.</w:t>
      </w:r>
    </w:p>
    <w:p w14:paraId="2BC3A331" w14:textId="77777777" w:rsidR="00BE1F13" w:rsidRDefault="00BE1F13" w:rsidP="00300853">
      <w:pPr>
        <w:pStyle w:val="Textparagrafu"/>
        <w:tabs>
          <w:tab w:val="left" w:pos="392"/>
          <w:tab w:val="left" w:pos="826"/>
        </w:tabs>
        <w:spacing w:before="120" w:after="120"/>
      </w:pPr>
      <w:r w:rsidRPr="00C23169">
        <w:t>(3)</w:t>
      </w:r>
      <w:r>
        <w:t xml:space="preserve"> </w:t>
      </w:r>
      <w:r w:rsidRPr="005610DE">
        <w:t>F</w:t>
      </w:r>
      <w:r w:rsidRPr="00C23169">
        <w:t>inančně</w:t>
      </w:r>
      <w:r>
        <w:t xml:space="preserve"> </w:t>
      </w:r>
      <w:r w:rsidRPr="00C23169">
        <w:t>způsobilou</w:t>
      </w:r>
      <w:r>
        <w:t xml:space="preserve"> </w:t>
      </w:r>
      <w:r w:rsidRPr="00C23169">
        <w:t>k</w:t>
      </w:r>
      <w:r>
        <w:t xml:space="preserve"> </w:t>
      </w:r>
      <w:r w:rsidRPr="00C23169">
        <w:t>provádění</w:t>
      </w:r>
      <w:r>
        <w:t xml:space="preserve"> </w:t>
      </w:r>
      <w:r w:rsidRPr="00C23169">
        <w:t>školení</w:t>
      </w:r>
      <w:r>
        <w:t xml:space="preserve"> </w:t>
      </w:r>
      <w:r w:rsidRPr="00C23169">
        <w:t>je</w:t>
      </w:r>
      <w:r>
        <w:t xml:space="preserve"> </w:t>
      </w:r>
      <w:r w:rsidRPr="00C23169">
        <w:t>osoba,</w:t>
      </w:r>
      <w:r>
        <w:t xml:space="preserve"> </w:t>
      </w:r>
      <w:r w:rsidRPr="00C23169">
        <w:t>která</w:t>
      </w:r>
      <w:r>
        <w:t xml:space="preserve"> </w:t>
      </w:r>
      <w:r w:rsidRPr="00C23169">
        <w:t>je</w:t>
      </w:r>
      <w:r>
        <w:t xml:space="preserve"> </w:t>
      </w:r>
      <w:r w:rsidRPr="00C23169">
        <w:t>schopna</w:t>
      </w:r>
      <w:r>
        <w:t xml:space="preserve"> </w:t>
      </w:r>
      <w:r w:rsidRPr="00C23169">
        <w:t>finančně</w:t>
      </w:r>
      <w:r>
        <w:t xml:space="preserve"> </w:t>
      </w:r>
      <w:r w:rsidRPr="00C23169">
        <w:t>zabezpečit</w:t>
      </w:r>
      <w:r>
        <w:t xml:space="preserve"> </w:t>
      </w:r>
      <w:r w:rsidRPr="00C23169">
        <w:t>jeho</w:t>
      </w:r>
      <w:r>
        <w:t xml:space="preserve"> </w:t>
      </w:r>
      <w:r w:rsidRPr="00C23169">
        <w:t>provádění</w:t>
      </w:r>
      <w:r>
        <w:t xml:space="preserve"> </w:t>
      </w:r>
      <w:r w:rsidRPr="00C23169">
        <w:t>po</w:t>
      </w:r>
      <w:r>
        <w:t xml:space="preserve"> </w:t>
      </w:r>
      <w:r w:rsidRPr="00C23169">
        <w:t>dobu</w:t>
      </w:r>
      <w:r>
        <w:t xml:space="preserve"> </w:t>
      </w:r>
      <w:r w:rsidRPr="00C23169">
        <w:t>alespoň</w:t>
      </w:r>
      <w:r>
        <w:t xml:space="preserve"> </w:t>
      </w:r>
      <w:r w:rsidRPr="00C23169">
        <w:t>3</w:t>
      </w:r>
      <w:r>
        <w:t xml:space="preserve"> </w:t>
      </w:r>
      <w:r w:rsidRPr="00C23169">
        <w:t>let.</w:t>
      </w:r>
      <w:r>
        <w:t xml:space="preserve"> </w:t>
      </w:r>
      <w:r w:rsidRPr="00C23169">
        <w:t>Za</w:t>
      </w:r>
      <w:r>
        <w:t xml:space="preserve"> </w:t>
      </w:r>
      <w:r w:rsidRPr="00C23169">
        <w:t>finančně</w:t>
      </w:r>
      <w:r>
        <w:t xml:space="preserve"> </w:t>
      </w:r>
      <w:r w:rsidRPr="00C23169">
        <w:t>způsobilou</w:t>
      </w:r>
      <w:r>
        <w:t xml:space="preserve"> </w:t>
      </w:r>
      <w:r w:rsidRPr="00C23169">
        <w:t>se</w:t>
      </w:r>
      <w:r>
        <w:t xml:space="preserve"> </w:t>
      </w:r>
      <w:r w:rsidRPr="00C23169">
        <w:t>nepovažuje</w:t>
      </w:r>
      <w:r>
        <w:t xml:space="preserve"> </w:t>
      </w:r>
      <w:r w:rsidRPr="00C23169">
        <w:t>osoba,</w:t>
      </w:r>
    </w:p>
    <w:p w14:paraId="0B585935" w14:textId="798A734F" w:rsidR="00BE1F13" w:rsidRDefault="00BE1F13" w:rsidP="000D73B3">
      <w:pPr>
        <w:pStyle w:val="Textparagrafu"/>
        <w:tabs>
          <w:tab w:val="left" w:pos="392"/>
          <w:tab w:val="left" w:pos="826"/>
        </w:tabs>
        <w:spacing w:before="0"/>
        <w:ind w:left="426" w:hanging="426"/>
      </w:pPr>
      <w:r w:rsidRPr="00C23169">
        <w:t>a)</w:t>
      </w:r>
      <w:r w:rsidR="005E4525">
        <w:tab/>
      </w:r>
      <w:r w:rsidRPr="00C23169">
        <w:t>jejíž</w:t>
      </w:r>
      <w:r>
        <w:t xml:space="preserve"> </w:t>
      </w:r>
      <w:r w:rsidRPr="00C23169">
        <w:t>úpadek</w:t>
      </w:r>
      <w:r>
        <w:t xml:space="preserve"> </w:t>
      </w:r>
      <w:r w:rsidRPr="00C23169">
        <w:t>je</w:t>
      </w:r>
      <w:r>
        <w:t xml:space="preserve"> </w:t>
      </w:r>
      <w:r w:rsidRPr="00C23169">
        <w:t>řešen</w:t>
      </w:r>
      <w:r>
        <w:t xml:space="preserve"> </w:t>
      </w:r>
      <w:r w:rsidRPr="00C23169">
        <w:t>konkursem</w:t>
      </w:r>
      <w:r>
        <w:t xml:space="preserve"> </w:t>
      </w:r>
      <w:r w:rsidRPr="00C23169">
        <w:t>nebo</w:t>
      </w:r>
      <w:r>
        <w:t xml:space="preserve"> </w:t>
      </w:r>
      <w:r w:rsidRPr="00C23169">
        <w:t>reorganizací</w:t>
      </w:r>
      <w:r>
        <w:t xml:space="preserve"> </w:t>
      </w:r>
      <w:r w:rsidRPr="00C23169">
        <w:t>na</w:t>
      </w:r>
      <w:r>
        <w:t xml:space="preserve"> </w:t>
      </w:r>
      <w:r w:rsidRPr="00C23169">
        <w:t>základě</w:t>
      </w:r>
      <w:r>
        <w:t xml:space="preserve"> </w:t>
      </w:r>
      <w:r w:rsidRPr="00C23169">
        <w:t>rozhodnutí</w:t>
      </w:r>
      <w:r>
        <w:t xml:space="preserve"> </w:t>
      </w:r>
      <w:r w:rsidRPr="00C23169">
        <w:t>insolvenčního</w:t>
      </w:r>
      <w:r>
        <w:t xml:space="preserve"> </w:t>
      </w:r>
      <w:r w:rsidRPr="00C23169">
        <w:t>soudu,</w:t>
      </w:r>
    </w:p>
    <w:p w14:paraId="576307E4" w14:textId="4D3A6C39" w:rsidR="00BE1F13" w:rsidRDefault="00BE1F13" w:rsidP="000D73B3">
      <w:pPr>
        <w:pStyle w:val="Textparagrafu"/>
        <w:tabs>
          <w:tab w:val="left" w:pos="392"/>
          <w:tab w:val="left" w:pos="826"/>
        </w:tabs>
        <w:spacing w:before="0"/>
        <w:ind w:left="426" w:hanging="426"/>
      </w:pPr>
      <w:r w:rsidRPr="00C23169">
        <w:t>b)</w:t>
      </w:r>
      <w:r w:rsidR="005E4525">
        <w:tab/>
      </w:r>
      <w:r w:rsidRPr="00C23169">
        <w:t>u</w:t>
      </w:r>
      <w:r>
        <w:t xml:space="preserve"> </w:t>
      </w:r>
      <w:r w:rsidRPr="00C23169">
        <w:t>níž</w:t>
      </w:r>
      <w:r>
        <w:t xml:space="preserve"> </w:t>
      </w:r>
      <w:r w:rsidRPr="00C23169">
        <w:t>insolvenční</w:t>
      </w:r>
      <w:r>
        <w:t xml:space="preserve"> </w:t>
      </w:r>
      <w:r w:rsidRPr="00C23169">
        <w:t>soud</w:t>
      </w:r>
      <w:r>
        <w:t xml:space="preserve"> </w:t>
      </w:r>
      <w:r w:rsidRPr="00C23169">
        <w:t>v</w:t>
      </w:r>
      <w:r>
        <w:t xml:space="preserve"> </w:t>
      </w:r>
      <w:r w:rsidRPr="00C23169">
        <w:t>období</w:t>
      </w:r>
      <w:r>
        <w:t xml:space="preserve"> </w:t>
      </w:r>
      <w:r w:rsidRPr="00C23169">
        <w:t>5</w:t>
      </w:r>
      <w:r>
        <w:t xml:space="preserve"> </w:t>
      </w:r>
      <w:r w:rsidRPr="00C23169">
        <w:t>let</w:t>
      </w:r>
      <w:r>
        <w:t xml:space="preserve"> </w:t>
      </w:r>
      <w:r w:rsidRPr="00C23169">
        <w:t>přede</w:t>
      </w:r>
      <w:r>
        <w:t xml:space="preserve"> </w:t>
      </w:r>
      <w:r w:rsidRPr="00C23169">
        <w:t>dnem</w:t>
      </w:r>
      <w:r>
        <w:t xml:space="preserve"> </w:t>
      </w:r>
      <w:r w:rsidRPr="00C23169">
        <w:t>podání</w:t>
      </w:r>
      <w:r>
        <w:t xml:space="preserve"> </w:t>
      </w:r>
      <w:r w:rsidRPr="00C23169">
        <w:t>žádosti</w:t>
      </w:r>
      <w:r>
        <w:t xml:space="preserve"> </w:t>
      </w:r>
      <w:r w:rsidRPr="00C23169">
        <w:t>o</w:t>
      </w:r>
      <w:r>
        <w:t xml:space="preserve"> </w:t>
      </w:r>
      <w:r w:rsidRPr="00C23169">
        <w:t>pověření</w:t>
      </w:r>
      <w:r>
        <w:t xml:space="preserve"> </w:t>
      </w:r>
      <w:r w:rsidRPr="00C23169">
        <w:t>pravomocně</w:t>
      </w:r>
      <w:r>
        <w:t xml:space="preserve"> </w:t>
      </w:r>
      <w:r w:rsidRPr="00C23169">
        <w:t>rozhodl</w:t>
      </w:r>
      <w:r>
        <w:t xml:space="preserve"> </w:t>
      </w:r>
      <w:r w:rsidRPr="00C23169">
        <w:t>o</w:t>
      </w:r>
      <w:r>
        <w:t xml:space="preserve"> </w:t>
      </w:r>
      <w:r w:rsidRPr="00C23169">
        <w:t>zrušení</w:t>
      </w:r>
      <w:r>
        <w:t xml:space="preserve"> </w:t>
      </w:r>
      <w:r w:rsidRPr="00C23169">
        <w:t>konkursu</w:t>
      </w:r>
      <w:r>
        <w:t xml:space="preserve"> </w:t>
      </w:r>
      <w:r w:rsidRPr="00C23169">
        <w:t>z</w:t>
      </w:r>
      <w:r>
        <w:t xml:space="preserve"> </w:t>
      </w:r>
      <w:r w:rsidRPr="00C23169">
        <w:t>důvodu,</w:t>
      </w:r>
      <w:r>
        <w:t xml:space="preserve"> </w:t>
      </w:r>
      <w:r w:rsidRPr="00C23169">
        <w:t>že</w:t>
      </w:r>
      <w:r>
        <w:t xml:space="preserve"> </w:t>
      </w:r>
      <w:r w:rsidRPr="00C23169">
        <w:t>pro</w:t>
      </w:r>
      <w:r>
        <w:t xml:space="preserve"> </w:t>
      </w:r>
      <w:r w:rsidRPr="00C23169">
        <w:t>uspokojení</w:t>
      </w:r>
      <w:r>
        <w:t xml:space="preserve"> </w:t>
      </w:r>
      <w:r w:rsidRPr="00C23169">
        <w:t>věřitelů</w:t>
      </w:r>
      <w:r>
        <w:t xml:space="preserve"> </w:t>
      </w:r>
      <w:r w:rsidRPr="00C23169">
        <w:t>je</w:t>
      </w:r>
      <w:r>
        <w:t xml:space="preserve"> </w:t>
      </w:r>
      <w:r w:rsidRPr="00C23169">
        <w:t>majetek</w:t>
      </w:r>
      <w:r>
        <w:t xml:space="preserve"> </w:t>
      </w:r>
      <w:r w:rsidRPr="00C23169">
        <w:t>dlužníka</w:t>
      </w:r>
      <w:r>
        <w:t xml:space="preserve"> </w:t>
      </w:r>
      <w:r w:rsidRPr="00C23169">
        <w:t>zcela</w:t>
      </w:r>
      <w:r>
        <w:t xml:space="preserve"> </w:t>
      </w:r>
      <w:r w:rsidRPr="00C23169">
        <w:t>nepostačující,</w:t>
      </w:r>
    </w:p>
    <w:p w14:paraId="0D32942B" w14:textId="6C0813C8" w:rsidR="00BE1F13" w:rsidRDefault="00BE1F13" w:rsidP="000D73B3">
      <w:pPr>
        <w:pStyle w:val="Textparagrafu"/>
        <w:tabs>
          <w:tab w:val="left" w:pos="392"/>
          <w:tab w:val="left" w:pos="826"/>
        </w:tabs>
        <w:spacing w:before="0"/>
        <w:ind w:left="426" w:hanging="426"/>
      </w:pPr>
      <w:r w:rsidRPr="00C23169">
        <w:lastRenderedPageBreak/>
        <w:t>c)</w:t>
      </w:r>
      <w:r w:rsidR="005E4525">
        <w:tab/>
      </w:r>
      <w:r w:rsidRPr="00C23169">
        <w:t>která</w:t>
      </w:r>
      <w:r>
        <w:t xml:space="preserve"> </w:t>
      </w:r>
      <w:r w:rsidRPr="00C23169">
        <w:t>má</w:t>
      </w:r>
      <w:r>
        <w:t xml:space="preserve"> </w:t>
      </w:r>
      <w:r w:rsidRPr="00C23169">
        <w:t>evidován</w:t>
      </w:r>
      <w:r>
        <w:t xml:space="preserve"> </w:t>
      </w:r>
      <w:r w:rsidRPr="00C23169">
        <w:t>nedoplatek</w:t>
      </w:r>
      <w:r>
        <w:t xml:space="preserve"> </w:t>
      </w:r>
      <w:r w:rsidRPr="00C23169">
        <w:t>u</w:t>
      </w:r>
      <w:r>
        <w:t xml:space="preserve"> </w:t>
      </w:r>
      <w:r w:rsidRPr="00C23169">
        <w:t>orgánů</w:t>
      </w:r>
      <w:r>
        <w:t xml:space="preserve"> </w:t>
      </w:r>
      <w:r w:rsidRPr="00C23169">
        <w:t>Finanční</w:t>
      </w:r>
      <w:r>
        <w:t xml:space="preserve"> </w:t>
      </w:r>
      <w:r w:rsidRPr="00C23169">
        <w:t>správy</w:t>
      </w:r>
      <w:r>
        <w:t xml:space="preserve"> </w:t>
      </w:r>
      <w:r w:rsidRPr="00C23169">
        <w:t>České</w:t>
      </w:r>
      <w:r>
        <w:t xml:space="preserve"> </w:t>
      </w:r>
      <w:r w:rsidRPr="00C23169">
        <w:t>republiky</w:t>
      </w:r>
      <w:r>
        <w:t xml:space="preserve"> </w:t>
      </w:r>
      <w:r w:rsidRPr="00C23169">
        <w:t>nebo</w:t>
      </w:r>
      <w:r>
        <w:t xml:space="preserve"> </w:t>
      </w:r>
      <w:r w:rsidRPr="00C23169">
        <w:t>u</w:t>
      </w:r>
      <w:r>
        <w:t xml:space="preserve"> </w:t>
      </w:r>
      <w:r w:rsidRPr="00C23169">
        <w:t>orgánů</w:t>
      </w:r>
      <w:r>
        <w:t xml:space="preserve"> </w:t>
      </w:r>
      <w:r w:rsidRPr="00C23169">
        <w:t>Celní</w:t>
      </w:r>
      <w:r>
        <w:t xml:space="preserve"> </w:t>
      </w:r>
      <w:r w:rsidRPr="00C23169">
        <w:t>správy</w:t>
      </w:r>
      <w:r>
        <w:t xml:space="preserve"> </w:t>
      </w:r>
      <w:r w:rsidRPr="00C23169">
        <w:t>České</w:t>
      </w:r>
      <w:r>
        <w:t xml:space="preserve"> </w:t>
      </w:r>
      <w:r w:rsidRPr="00C23169">
        <w:t>republiky,</w:t>
      </w:r>
      <w:r>
        <w:t xml:space="preserve"> </w:t>
      </w:r>
      <w:r w:rsidRPr="00C23169">
        <w:t>s</w:t>
      </w:r>
      <w:r>
        <w:t xml:space="preserve"> </w:t>
      </w:r>
      <w:r w:rsidRPr="00C23169">
        <w:t>výjimkou</w:t>
      </w:r>
      <w:r>
        <w:t xml:space="preserve"> </w:t>
      </w:r>
      <w:r w:rsidRPr="00C23169">
        <w:t>nedoplatku,</w:t>
      </w:r>
      <w:r>
        <w:t xml:space="preserve"> </w:t>
      </w:r>
      <w:r w:rsidRPr="00C23169">
        <w:t>u</w:t>
      </w:r>
      <w:r>
        <w:t xml:space="preserve"> </w:t>
      </w:r>
      <w:r w:rsidRPr="00C23169">
        <w:t>kterého</w:t>
      </w:r>
      <w:r>
        <w:t xml:space="preserve"> </w:t>
      </w:r>
      <w:r w:rsidRPr="00C23169">
        <w:t>je</w:t>
      </w:r>
      <w:r>
        <w:t xml:space="preserve"> </w:t>
      </w:r>
      <w:r w:rsidRPr="00C23169">
        <w:t>povoleno</w:t>
      </w:r>
      <w:r>
        <w:t xml:space="preserve"> </w:t>
      </w:r>
      <w:r w:rsidRPr="00C23169">
        <w:t>posečkání</w:t>
      </w:r>
      <w:r>
        <w:t xml:space="preserve"> </w:t>
      </w:r>
      <w:r w:rsidRPr="00C23169">
        <w:t>jeho</w:t>
      </w:r>
      <w:r>
        <w:t xml:space="preserve"> </w:t>
      </w:r>
      <w:r w:rsidRPr="00C23169">
        <w:t>úhrady</w:t>
      </w:r>
      <w:r>
        <w:t xml:space="preserve"> </w:t>
      </w:r>
      <w:r w:rsidRPr="00C23169">
        <w:t>nebo</w:t>
      </w:r>
      <w:r>
        <w:t xml:space="preserve"> </w:t>
      </w:r>
      <w:r w:rsidRPr="00C23169">
        <w:t>rozložení</w:t>
      </w:r>
      <w:r>
        <w:t xml:space="preserve"> </w:t>
      </w:r>
      <w:r w:rsidRPr="00C23169">
        <w:t>jeho</w:t>
      </w:r>
      <w:r>
        <w:t xml:space="preserve"> </w:t>
      </w:r>
      <w:r w:rsidRPr="00C23169">
        <w:t>úhrady</w:t>
      </w:r>
      <w:r>
        <w:t xml:space="preserve"> </w:t>
      </w:r>
      <w:r w:rsidRPr="00C23169">
        <w:t>na</w:t>
      </w:r>
      <w:r>
        <w:t xml:space="preserve"> </w:t>
      </w:r>
      <w:r w:rsidRPr="00C23169">
        <w:t>splátky,</w:t>
      </w:r>
    </w:p>
    <w:p w14:paraId="686ADD08" w14:textId="56C76205" w:rsidR="00BE1F13" w:rsidRDefault="00BE1F13" w:rsidP="000D73B3">
      <w:pPr>
        <w:pStyle w:val="Textparagrafu"/>
        <w:tabs>
          <w:tab w:val="left" w:pos="392"/>
          <w:tab w:val="left" w:pos="826"/>
        </w:tabs>
        <w:spacing w:before="0"/>
        <w:ind w:left="426" w:hanging="426"/>
      </w:pPr>
      <w:r w:rsidRPr="00C23169">
        <w:t>d)</w:t>
      </w:r>
      <w:r w:rsidR="005E4525">
        <w:tab/>
      </w:r>
      <w:r w:rsidRPr="00C23169">
        <w:t>která</w:t>
      </w:r>
      <w:r>
        <w:t xml:space="preserve"> </w:t>
      </w:r>
      <w:r w:rsidRPr="00C23169">
        <w:t>má</w:t>
      </w:r>
      <w:r>
        <w:t xml:space="preserve"> </w:t>
      </w:r>
      <w:r w:rsidRPr="00C23169">
        <w:t>evidován</w:t>
      </w:r>
      <w:r>
        <w:t xml:space="preserve"> </w:t>
      </w:r>
      <w:r w:rsidRPr="00C23169">
        <w:t>nedoplatek</w:t>
      </w:r>
      <w:r>
        <w:t xml:space="preserve"> </w:t>
      </w:r>
      <w:r w:rsidRPr="00C23169">
        <w:t>na</w:t>
      </w:r>
      <w:r>
        <w:t xml:space="preserve"> </w:t>
      </w:r>
      <w:r w:rsidRPr="00C23169">
        <w:t>pojistném</w:t>
      </w:r>
      <w:r>
        <w:t xml:space="preserve"> </w:t>
      </w:r>
      <w:r w:rsidRPr="00C23169">
        <w:t>nebo</w:t>
      </w:r>
      <w:r>
        <w:t xml:space="preserve"> </w:t>
      </w:r>
      <w:r w:rsidRPr="00C23169">
        <w:t>na</w:t>
      </w:r>
      <w:r>
        <w:t xml:space="preserve"> </w:t>
      </w:r>
      <w:r w:rsidRPr="00C23169">
        <w:t>penále</w:t>
      </w:r>
      <w:r>
        <w:t xml:space="preserve"> </w:t>
      </w:r>
      <w:r w:rsidRPr="00C23169">
        <w:t>na</w:t>
      </w:r>
      <w:r>
        <w:t xml:space="preserve"> </w:t>
      </w:r>
      <w:r w:rsidRPr="00C23169">
        <w:t>sociální</w:t>
      </w:r>
      <w:r>
        <w:t xml:space="preserve"> </w:t>
      </w:r>
      <w:r w:rsidRPr="00C23169">
        <w:t>zabezpečení</w:t>
      </w:r>
      <w:r>
        <w:t xml:space="preserve"> </w:t>
      </w:r>
      <w:r w:rsidRPr="00C23169">
        <w:t>anebo</w:t>
      </w:r>
      <w:r>
        <w:t xml:space="preserve"> </w:t>
      </w:r>
      <w:r w:rsidRPr="00C23169">
        <w:t>na</w:t>
      </w:r>
      <w:r>
        <w:t xml:space="preserve"> </w:t>
      </w:r>
      <w:r w:rsidRPr="00C23169">
        <w:t>příspěvku</w:t>
      </w:r>
      <w:r>
        <w:t xml:space="preserve"> </w:t>
      </w:r>
      <w:r w:rsidRPr="00C23169">
        <w:t>na</w:t>
      </w:r>
      <w:r>
        <w:t xml:space="preserve"> </w:t>
      </w:r>
      <w:r w:rsidRPr="00C23169">
        <w:t>státní</w:t>
      </w:r>
      <w:r>
        <w:t xml:space="preserve"> </w:t>
      </w:r>
      <w:r w:rsidRPr="00C23169">
        <w:t>politiku</w:t>
      </w:r>
      <w:r>
        <w:t xml:space="preserve"> </w:t>
      </w:r>
      <w:r w:rsidRPr="00C23169">
        <w:t>zaměstnanosti,</w:t>
      </w:r>
      <w:r>
        <w:t xml:space="preserve"> </w:t>
      </w:r>
      <w:r w:rsidRPr="00C23169">
        <w:t>s</w:t>
      </w:r>
      <w:r>
        <w:t xml:space="preserve"> </w:t>
      </w:r>
      <w:r w:rsidRPr="00C23169">
        <w:t>výjimkou</w:t>
      </w:r>
      <w:r>
        <w:t xml:space="preserve"> </w:t>
      </w:r>
      <w:r w:rsidRPr="00C23169">
        <w:t>nedoplatku,</w:t>
      </w:r>
      <w:r>
        <w:t xml:space="preserve"> </w:t>
      </w:r>
      <w:r w:rsidRPr="00C23169">
        <w:t>u</w:t>
      </w:r>
      <w:r>
        <w:t xml:space="preserve"> </w:t>
      </w:r>
      <w:r w:rsidRPr="00C23169">
        <w:t>kterého</w:t>
      </w:r>
      <w:r>
        <w:t xml:space="preserve"> </w:t>
      </w:r>
      <w:r w:rsidRPr="00C23169">
        <w:t>bylo</w:t>
      </w:r>
      <w:r>
        <w:t xml:space="preserve"> </w:t>
      </w:r>
      <w:r w:rsidRPr="00C23169">
        <w:t>povoleno</w:t>
      </w:r>
      <w:r>
        <w:t xml:space="preserve"> </w:t>
      </w:r>
      <w:r w:rsidRPr="00C23169">
        <w:t>splácení</w:t>
      </w:r>
      <w:r>
        <w:t xml:space="preserve"> </w:t>
      </w:r>
      <w:r w:rsidRPr="00C23169">
        <w:t>ve</w:t>
      </w:r>
      <w:r>
        <w:t xml:space="preserve"> </w:t>
      </w:r>
      <w:r w:rsidRPr="00C23169">
        <w:t>splátkách,</w:t>
      </w:r>
      <w:r>
        <w:t xml:space="preserve"> </w:t>
      </w:r>
      <w:r w:rsidRPr="00C23169">
        <w:t>a</w:t>
      </w:r>
      <w:r>
        <w:t xml:space="preserve"> </w:t>
      </w:r>
      <w:r w:rsidRPr="00C23169">
        <w:t>není</w:t>
      </w:r>
      <w:r>
        <w:t xml:space="preserve"> </w:t>
      </w:r>
      <w:r w:rsidRPr="00C23169">
        <w:t>v</w:t>
      </w:r>
      <w:r>
        <w:t xml:space="preserve"> </w:t>
      </w:r>
      <w:r w:rsidRPr="00C23169">
        <w:t>prodlení</w:t>
      </w:r>
      <w:r>
        <w:t xml:space="preserve"> </w:t>
      </w:r>
      <w:r w:rsidRPr="00C23169">
        <w:t>se</w:t>
      </w:r>
      <w:r>
        <w:t xml:space="preserve"> </w:t>
      </w:r>
      <w:r w:rsidRPr="00C23169">
        <w:t>splácením</w:t>
      </w:r>
      <w:r>
        <w:t xml:space="preserve"> </w:t>
      </w:r>
      <w:r w:rsidRPr="00C23169">
        <w:t>splátek,</w:t>
      </w:r>
      <w:r>
        <w:t xml:space="preserve"> </w:t>
      </w:r>
      <w:r w:rsidRPr="00C23169">
        <w:t>nebo</w:t>
      </w:r>
    </w:p>
    <w:p w14:paraId="66AE6A93" w14:textId="03062891" w:rsidR="00BE1F13" w:rsidRDefault="00BE1F13" w:rsidP="000D73B3">
      <w:pPr>
        <w:pStyle w:val="Textparagrafu"/>
        <w:tabs>
          <w:tab w:val="left" w:pos="392"/>
          <w:tab w:val="left" w:pos="826"/>
        </w:tabs>
        <w:spacing w:before="0"/>
        <w:ind w:left="426" w:hanging="426"/>
      </w:pPr>
      <w:r w:rsidRPr="00C23169">
        <w:t>e)</w:t>
      </w:r>
      <w:r w:rsidR="005E4525">
        <w:tab/>
      </w:r>
      <w:r w:rsidRPr="00C23169">
        <w:t>která</w:t>
      </w:r>
      <w:r>
        <w:t xml:space="preserve"> </w:t>
      </w:r>
      <w:r w:rsidRPr="00C23169">
        <w:t>má</w:t>
      </w:r>
      <w:r>
        <w:t xml:space="preserve"> </w:t>
      </w:r>
      <w:r w:rsidRPr="00C23169">
        <w:t>evidován</w:t>
      </w:r>
      <w:r>
        <w:t xml:space="preserve"> </w:t>
      </w:r>
      <w:r w:rsidRPr="00C23169">
        <w:t>nedoplatek</w:t>
      </w:r>
      <w:r>
        <w:t xml:space="preserve"> </w:t>
      </w:r>
      <w:r w:rsidRPr="00C23169">
        <w:t>na</w:t>
      </w:r>
      <w:r>
        <w:t xml:space="preserve"> </w:t>
      </w:r>
      <w:r w:rsidRPr="00C23169">
        <w:t>pojistném</w:t>
      </w:r>
      <w:r>
        <w:t xml:space="preserve"> </w:t>
      </w:r>
      <w:r w:rsidRPr="00C23169">
        <w:t>nebo</w:t>
      </w:r>
      <w:r>
        <w:t xml:space="preserve"> </w:t>
      </w:r>
      <w:r w:rsidRPr="00C23169">
        <w:t>na</w:t>
      </w:r>
      <w:r>
        <w:t xml:space="preserve"> </w:t>
      </w:r>
      <w:r w:rsidRPr="00C23169">
        <w:t>penále</w:t>
      </w:r>
      <w:r>
        <w:t xml:space="preserve"> </w:t>
      </w:r>
      <w:r w:rsidRPr="00C23169">
        <w:t>na</w:t>
      </w:r>
      <w:r>
        <w:t xml:space="preserve"> </w:t>
      </w:r>
      <w:r w:rsidRPr="00C23169">
        <w:t>veřejné</w:t>
      </w:r>
      <w:r>
        <w:t xml:space="preserve"> </w:t>
      </w:r>
      <w:r w:rsidRPr="00C23169">
        <w:t>zdravotní</w:t>
      </w:r>
      <w:r>
        <w:t xml:space="preserve"> </w:t>
      </w:r>
      <w:r w:rsidRPr="00C23169">
        <w:t>pojištění.</w:t>
      </w:r>
    </w:p>
    <w:p w14:paraId="4C3B6E1B" w14:textId="77777777" w:rsidR="00BE1F13" w:rsidRDefault="00BE1F13" w:rsidP="00300853">
      <w:pPr>
        <w:pStyle w:val="Textparagrafu"/>
        <w:tabs>
          <w:tab w:val="left" w:pos="392"/>
          <w:tab w:val="left" w:pos="826"/>
        </w:tabs>
        <w:spacing w:before="120" w:after="120"/>
      </w:pPr>
      <w:r w:rsidRPr="00C23169">
        <w:t>(4)</w:t>
      </w:r>
      <w:r>
        <w:t xml:space="preserve"> </w:t>
      </w:r>
      <w:r w:rsidRPr="00C23169">
        <w:t>Odborně</w:t>
      </w:r>
      <w:r>
        <w:t xml:space="preserve"> </w:t>
      </w:r>
      <w:r w:rsidRPr="00C23169">
        <w:t>způsobilým</w:t>
      </w:r>
      <w:r>
        <w:t xml:space="preserve"> </w:t>
      </w:r>
      <w:r w:rsidRPr="00C23169">
        <w:t>k</w:t>
      </w:r>
      <w:r>
        <w:t xml:space="preserve"> </w:t>
      </w:r>
      <w:r w:rsidRPr="00C23169">
        <w:t>provádění</w:t>
      </w:r>
      <w:r>
        <w:t xml:space="preserve"> </w:t>
      </w:r>
      <w:r w:rsidRPr="00C23169">
        <w:t>školení</w:t>
      </w:r>
      <w:r>
        <w:t xml:space="preserve"> </w:t>
      </w:r>
      <w:r w:rsidRPr="00C23169">
        <w:t>a</w:t>
      </w:r>
      <w:r>
        <w:t xml:space="preserve"> </w:t>
      </w:r>
      <w:r w:rsidRPr="00C23169">
        <w:t>závěrečných</w:t>
      </w:r>
      <w:r>
        <w:t xml:space="preserve"> </w:t>
      </w:r>
      <w:r w:rsidRPr="00C23169">
        <w:t>zkoušek</w:t>
      </w:r>
      <w:r>
        <w:t xml:space="preserve"> </w:t>
      </w:r>
      <w:r w:rsidRPr="00C23169">
        <w:t>je</w:t>
      </w:r>
    </w:p>
    <w:p w14:paraId="1EFBE072" w14:textId="2AD6DB80" w:rsidR="00BE1F13" w:rsidRDefault="00BE1F13" w:rsidP="000D73B3">
      <w:pPr>
        <w:pStyle w:val="Textparagrafu"/>
        <w:tabs>
          <w:tab w:val="left" w:pos="392"/>
          <w:tab w:val="left" w:pos="826"/>
        </w:tabs>
        <w:spacing w:before="0"/>
        <w:ind w:left="426" w:hanging="426"/>
      </w:pPr>
      <w:r w:rsidRPr="00C23169">
        <w:t>a)</w:t>
      </w:r>
      <w:r w:rsidR="005E4525">
        <w:tab/>
      </w:r>
      <w:r w:rsidRPr="00C23169">
        <w:t>učitel</w:t>
      </w:r>
      <w:r>
        <w:t xml:space="preserve"> </w:t>
      </w:r>
      <w:r w:rsidRPr="00C23169">
        <w:t>střední,</w:t>
      </w:r>
      <w:r>
        <w:t xml:space="preserve"> </w:t>
      </w:r>
      <w:r w:rsidRPr="00C23169">
        <w:t>vyšší</w:t>
      </w:r>
      <w:r>
        <w:t xml:space="preserve"> </w:t>
      </w:r>
      <w:r w:rsidRPr="00C23169">
        <w:t>odborné</w:t>
      </w:r>
      <w:r>
        <w:t xml:space="preserve"> </w:t>
      </w:r>
      <w:r w:rsidRPr="00C23169">
        <w:t>nebo</w:t>
      </w:r>
      <w:r>
        <w:t xml:space="preserve"> </w:t>
      </w:r>
      <w:r w:rsidRPr="00C23169">
        <w:t>vysoké</w:t>
      </w:r>
      <w:r>
        <w:t xml:space="preserve"> </w:t>
      </w:r>
      <w:r w:rsidRPr="00C23169">
        <w:t>školy</w:t>
      </w:r>
      <w:r>
        <w:t xml:space="preserve"> </w:t>
      </w:r>
      <w:r w:rsidRPr="00C23169">
        <w:t>vyučující</w:t>
      </w:r>
      <w:r>
        <w:t xml:space="preserve"> </w:t>
      </w:r>
      <w:r w:rsidRPr="00C23169">
        <w:t>předmět,</w:t>
      </w:r>
      <w:r>
        <w:t xml:space="preserve"> </w:t>
      </w:r>
      <w:r w:rsidRPr="00C23169">
        <w:t>jehož</w:t>
      </w:r>
      <w:r>
        <w:t xml:space="preserve"> </w:t>
      </w:r>
      <w:r w:rsidRPr="00C23169">
        <w:t>výuka</w:t>
      </w:r>
      <w:r>
        <w:t xml:space="preserve"> </w:t>
      </w:r>
      <w:r w:rsidRPr="00C23169">
        <w:t>vyžaduje</w:t>
      </w:r>
      <w:r>
        <w:t xml:space="preserve"> </w:t>
      </w:r>
      <w:r w:rsidRPr="00C23169">
        <w:t>znalosti</w:t>
      </w:r>
      <w:r>
        <w:t xml:space="preserve"> </w:t>
      </w:r>
      <w:r w:rsidRPr="00C23169">
        <w:t>a</w:t>
      </w:r>
      <w:r>
        <w:t xml:space="preserve"> </w:t>
      </w:r>
      <w:r w:rsidRPr="00C23169">
        <w:t>dovednosti</w:t>
      </w:r>
      <w:r>
        <w:t xml:space="preserve"> </w:t>
      </w:r>
      <w:r w:rsidRPr="00C23169">
        <w:t>využitelné</w:t>
      </w:r>
      <w:r>
        <w:t xml:space="preserve"> </w:t>
      </w:r>
      <w:r w:rsidRPr="00C23169">
        <w:t>pro</w:t>
      </w:r>
      <w:r>
        <w:t xml:space="preserve"> </w:t>
      </w:r>
      <w:r w:rsidRPr="00C23169">
        <w:t>provádění</w:t>
      </w:r>
      <w:r>
        <w:t xml:space="preserve"> </w:t>
      </w:r>
      <w:r w:rsidRPr="00C23169">
        <w:t>školení</w:t>
      </w:r>
      <w:r>
        <w:t xml:space="preserve"> </w:t>
      </w:r>
      <w:r w:rsidRPr="00C23169">
        <w:t>a</w:t>
      </w:r>
      <w:r>
        <w:t xml:space="preserve"> </w:t>
      </w:r>
      <w:r w:rsidRPr="00C23169">
        <w:t>závěrečných</w:t>
      </w:r>
      <w:r>
        <w:t xml:space="preserve"> </w:t>
      </w:r>
      <w:r w:rsidRPr="00C23169">
        <w:t>zkoušek,</w:t>
      </w:r>
      <w:r>
        <w:t xml:space="preserve"> </w:t>
      </w:r>
      <w:r w:rsidRPr="00C23169">
        <w:t>nebo</w:t>
      </w:r>
    </w:p>
    <w:p w14:paraId="3FDE38B3" w14:textId="5B459932" w:rsidR="00BE1F13" w:rsidRDefault="00BE1F13" w:rsidP="000D73B3">
      <w:pPr>
        <w:pStyle w:val="Textparagrafu"/>
        <w:tabs>
          <w:tab w:val="left" w:pos="392"/>
          <w:tab w:val="left" w:pos="826"/>
        </w:tabs>
        <w:spacing w:before="0"/>
        <w:ind w:left="426" w:hanging="426"/>
      </w:pPr>
      <w:r w:rsidRPr="00C23169">
        <w:t>b)</w:t>
      </w:r>
      <w:r w:rsidR="005E4525">
        <w:tab/>
      </w:r>
      <w:r w:rsidRPr="00C23169">
        <w:t>držitel</w:t>
      </w:r>
      <w:r>
        <w:t xml:space="preserve"> </w:t>
      </w:r>
      <w:r w:rsidRPr="00C23169">
        <w:t>dokladu</w:t>
      </w:r>
      <w:r>
        <w:t xml:space="preserve"> </w:t>
      </w:r>
      <w:r w:rsidRPr="00C23169">
        <w:t>prokazujícího</w:t>
      </w:r>
      <w:r>
        <w:t xml:space="preserve"> </w:t>
      </w:r>
      <w:r w:rsidRPr="00C23169">
        <w:t>oprávnění</w:t>
      </w:r>
      <w:r>
        <w:t xml:space="preserve"> </w:t>
      </w:r>
      <w:r w:rsidRPr="00C23169">
        <w:t>k</w:t>
      </w:r>
      <w:r>
        <w:t xml:space="preserve"> </w:t>
      </w:r>
      <w:r w:rsidRPr="00C23169">
        <w:t>výkonu</w:t>
      </w:r>
      <w:r>
        <w:t xml:space="preserve"> </w:t>
      </w:r>
      <w:r w:rsidRPr="00C23169">
        <w:t>funkce</w:t>
      </w:r>
      <w:r>
        <w:t xml:space="preserve"> </w:t>
      </w:r>
      <w:r w:rsidRPr="00C23169">
        <w:t>vůdce</w:t>
      </w:r>
      <w:r>
        <w:t xml:space="preserve"> </w:t>
      </w:r>
      <w:r w:rsidRPr="00C23169">
        <w:t>plavidla</w:t>
      </w:r>
      <w:r>
        <w:t xml:space="preserve"> </w:t>
      </w:r>
      <w:r w:rsidRPr="00C23169">
        <w:t>uvedeného</w:t>
      </w:r>
      <w:r>
        <w:t xml:space="preserve"> </w:t>
      </w:r>
      <w:r w:rsidRPr="00C23169">
        <w:t>v</w:t>
      </w:r>
      <w:r>
        <w:t xml:space="preserve"> </w:t>
      </w:r>
      <w:r w:rsidRPr="00C23169">
        <w:t>§</w:t>
      </w:r>
      <w:r>
        <w:t xml:space="preserve"> </w:t>
      </w:r>
      <w:r w:rsidRPr="00C23169">
        <w:t>24a</w:t>
      </w:r>
      <w:r>
        <w:t xml:space="preserve"> </w:t>
      </w:r>
      <w:r w:rsidRPr="00C23169">
        <w:t>odst.</w:t>
      </w:r>
      <w:r>
        <w:t xml:space="preserve"> </w:t>
      </w:r>
      <w:r w:rsidRPr="00C23169">
        <w:t>1,</w:t>
      </w:r>
      <w:r>
        <w:t xml:space="preserve"> </w:t>
      </w:r>
      <w:r w:rsidRPr="00C23169">
        <w:t>který</w:t>
      </w:r>
      <w:r>
        <w:t xml:space="preserve"> </w:t>
      </w:r>
      <w:r w:rsidRPr="00C23169">
        <w:t>má</w:t>
      </w:r>
      <w:r>
        <w:t xml:space="preserve"> </w:t>
      </w:r>
      <w:r w:rsidRPr="00C23169">
        <w:t>praxi</w:t>
      </w:r>
      <w:r>
        <w:t xml:space="preserve"> </w:t>
      </w:r>
      <w:r w:rsidRPr="00C23169">
        <w:t>ve</w:t>
      </w:r>
      <w:r>
        <w:t xml:space="preserve"> </w:t>
      </w:r>
      <w:r w:rsidRPr="00C23169">
        <w:t>vedení</w:t>
      </w:r>
      <w:r>
        <w:t xml:space="preserve"> </w:t>
      </w:r>
      <w:r w:rsidRPr="00C23169">
        <w:t>tohoto</w:t>
      </w:r>
      <w:r>
        <w:t xml:space="preserve"> </w:t>
      </w:r>
      <w:r w:rsidRPr="00C23169">
        <w:t>plavidla</w:t>
      </w:r>
      <w:r>
        <w:t xml:space="preserve"> </w:t>
      </w:r>
      <w:r w:rsidRPr="00C23169">
        <w:t>v</w:t>
      </w:r>
      <w:r>
        <w:t xml:space="preserve"> </w:t>
      </w:r>
      <w:r w:rsidRPr="00C23169">
        <w:t>rozsahu</w:t>
      </w:r>
      <w:r>
        <w:t xml:space="preserve"> </w:t>
      </w:r>
      <w:r w:rsidRPr="00C23169">
        <w:t>nejméně</w:t>
      </w:r>
      <w:r>
        <w:t xml:space="preserve"> </w:t>
      </w:r>
      <w:r w:rsidRPr="00C23169">
        <w:t>500</w:t>
      </w:r>
      <w:r>
        <w:t xml:space="preserve"> </w:t>
      </w:r>
      <w:r w:rsidRPr="00C23169">
        <w:t>dnů</w:t>
      </w:r>
      <w:r>
        <w:t xml:space="preserve"> </w:t>
      </w:r>
      <w:r w:rsidRPr="00C23169">
        <w:t>a</w:t>
      </w:r>
      <w:r>
        <w:t xml:space="preserve"> </w:t>
      </w:r>
      <w:r w:rsidRPr="00C23169">
        <w:t>úspěšně</w:t>
      </w:r>
      <w:r>
        <w:t xml:space="preserve"> </w:t>
      </w:r>
      <w:r w:rsidRPr="00C23169">
        <w:t>složil</w:t>
      </w:r>
      <w:r>
        <w:t xml:space="preserve"> </w:t>
      </w:r>
      <w:r w:rsidRPr="00C23169">
        <w:t>zkoušku</w:t>
      </w:r>
      <w:r>
        <w:t xml:space="preserve"> </w:t>
      </w:r>
      <w:r w:rsidRPr="00C23169">
        <w:t>z</w:t>
      </w:r>
      <w:r>
        <w:t xml:space="preserve"> </w:t>
      </w:r>
      <w:r w:rsidRPr="00C23169">
        <w:t>teoretických</w:t>
      </w:r>
      <w:r>
        <w:t xml:space="preserve"> </w:t>
      </w:r>
      <w:r w:rsidRPr="00C23169">
        <w:t>znalostí</w:t>
      </w:r>
      <w:r>
        <w:t xml:space="preserve"> </w:t>
      </w:r>
      <w:r w:rsidRPr="00C23169">
        <w:t>a</w:t>
      </w:r>
      <w:r>
        <w:t xml:space="preserve"> </w:t>
      </w:r>
      <w:r w:rsidRPr="00C23169">
        <w:t>praktických</w:t>
      </w:r>
      <w:r>
        <w:t xml:space="preserve"> </w:t>
      </w:r>
      <w:r w:rsidRPr="00C23169">
        <w:t>dovedností</w:t>
      </w:r>
      <w:r>
        <w:t xml:space="preserve"> </w:t>
      </w:r>
      <w:r w:rsidRPr="00C23169">
        <w:t>potřebných</w:t>
      </w:r>
      <w:r>
        <w:t xml:space="preserve"> </w:t>
      </w:r>
      <w:r w:rsidRPr="00C23169">
        <w:t>k</w:t>
      </w:r>
      <w:r>
        <w:t xml:space="preserve"> </w:t>
      </w:r>
      <w:r w:rsidRPr="00C23169">
        <w:t>provádění</w:t>
      </w:r>
      <w:r>
        <w:t xml:space="preserve"> </w:t>
      </w:r>
      <w:r w:rsidRPr="00C23169">
        <w:t>školení.</w:t>
      </w:r>
    </w:p>
    <w:p w14:paraId="4B320936" w14:textId="77777777" w:rsidR="00BE1F13" w:rsidRDefault="00BE1F13" w:rsidP="00300853">
      <w:pPr>
        <w:pStyle w:val="Textparagrafu"/>
        <w:tabs>
          <w:tab w:val="left" w:pos="392"/>
          <w:tab w:val="left" w:pos="826"/>
        </w:tabs>
        <w:spacing w:before="120" w:after="120"/>
      </w:pPr>
      <w:r w:rsidRPr="00C23169">
        <w:t>(5)</w:t>
      </w:r>
      <w:r>
        <w:t xml:space="preserve"> </w:t>
      </w:r>
      <w:r w:rsidRPr="00C23169">
        <w:t>K</w:t>
      </w:r>
      <w:r>
        <w:t xml:space="preserve"> </w:t>
      </w:r>
      <w:r w:rsidRPr="00C23169">
        <w:t>žádosti</w:t>
      </w:r>
      <w:r>
        <w:t xml:space="preserve"> </w:t>
      </w:r>
      <w:r w:rsidRPr="00C23169">
        <w:t>o</w:t>
      </w:r>
      <w:r>
        <w:t xml:space="preserve"> </w:t>
      </w:r>
      <w:r w:rsidRPr="00C23169">
        <w:t>pověření</w:t>
      </w:r>
      <w:r>
        <w:t xml:space="preserve"> </w:t>
      </w:r>
      <w:r w:rsidRPr="00C23169">
        <w:t>musí</w:t>
      </w:r>
      <w:r>
        <w:t xml:space="preserve"> </w:t>
      </w:r>
      <w:r w:rsidRPr="00C23169">
        <w:t>být</w:t>
      </w:r>
      <w:r>
        <w:t xml:space="preserve"> </w:t>
      </w:r>
      <w:r w:rsidRPr="00C23169">
        <w:t>přiloženy</w:t>
      </w:r>
    </w:p>
    <w:p w14:paraId="599842D1" w14:textId="44715119" w:rsidR="00BE1F13" w:rsidRDefault="00BE1F13" w:rsidP="000D73B3">
      <w:pPr>
        <w:pStyle w:val="Textparagrafu"/>
        <w:tabs>
          <w:tab w:val="left" w:pos="392"/>
          <w:tab w:val="left" w:pos="826"/>
        </w:tabs>
        <w:spacing w:before="0"/>
        <w:ind w:left="426" w:hanging="426"/>
      </w:pPr>
      <w:r w:rsidRPr="00C23169">
        <w:t>a)</w:t>
      </w:r>
      <w:r w:rsidR="005E4525">
        <w:tab/>
      </w:r>
      <w:r w:rsidRPr="00C23169">
        <w:t>doklad</w:t>
      </w:r>
      <w:r>
        <w:t xml:space="preserve"> </w:t>
      </w:r>
      <w:r w:rsidRPr="00C23169">
        <w:t>prokazující</w:t>
      </w:r>
      <w:r>
        <w:t xml:space="preserve"> </w:t>
      </w:r>
      <w:r w:rsidRPr="00C23169">
        <w:t>splnění</w:t>
      </w:r>
      <w:r>
        <w:t xml:space="preserve"> </w:t>
      </w:r>
      <w:r w:rsidRPr="00C23169">
        <w:t>podmínky</w:t>
      </w:r>
      <w:r>
        <w:t xml:space="preserve"> </w:t>
      </w:r>
      <w:r w:rsidRPr="00C23169">
        <w:t>sídla,</w:t>
      </w:r>
      <w:r>
        <w:t xml:space="preserve"> </w:t>
      </w:r>
      <w:r w:rsidRPr="00C23169">
        <w:t>má-li</w:t>
      </w:r>
      <w:r>
        <w:t xml:space="preserve"> </w:t>
      </w:r>
      <w:r w:rsidRPr="00C23169">
        <w:t>je</w:t>
      </w:r>
      <w:r>
        <w:t xml:space="preserve"> </w:t>
      </w:r>
      <w:r w:rsidRPr="00C23169">
        <w:t>žadatel</w:t>
      </w:r>
      <w:r>
        <w:t xml:space="preserve"> </w:t>
      </w:r>
      <w:r w:rsidRPr="00C23169">
        <w:t>v</w:t>
      </w:r>
      <w:r>
        <w:t xml:space="preserve"> </w:t>
      </w:r>
      <w:r w:rsidRPr="00C23169">
        <w:t>jiném</w:t>
      </w:r>
      <w:r>
        <w:t xml:space="preserve"> </w:t>
      </w:r>
      <w:r w:rsidRPr="00C23169">
        <w:t>členském</w:t>
      </w:r>
      <w:r>
        <w:t xml:space="preserve"> </w:t>
      </w:r>
      <w:r w:rsidRPr="00C23169">
        <w:t>státě</w:t>
      </w:r>
      <w:r>
        <w:t xml:space="preserve"> </w:t>
      </w:r>
      <w:r w:rsidRPr="00C23169">
        <w:t>Evropské</w:t>
      </w:r>
      <w:r>
        <w:t xml:space="preserve"> </w:t>
      </w:r>
      <w:r w:rsidRPr="00C23169">
        <w:t>unie,</w:t>
      </w:r>
    </w:p>
    <w:p w14:paraId="414842D6" w14:textId="3C3870DB" w:rsidR="00BE1F13" w:rsidRDefault="00BE1F13" w:rsidP="000D73B3">
      <w:pPr>
        <w:pStyle w:val="Textparagrafu"/>
        <w:tabs>
          <w:tab w:val="left" w:pos="392"/>
          <w:tab w:val="left" w:pos="826"/>
        </w:tabs>
        <w:spacing w:before="0"/>
        <w:ind w:left="426" w:hanging="426"/>
      </w:pPr>
      <w:r w:rsidRPr="00C23169">
        <w:t>b)</w:t>
      </w:r>
      <w:r w:rsidR="005E4525">
        <w:tab/>
      </w:r>
      <w:r w:rsidRPr="00C23169">
        <w:t>doklady</w:t>
      </w:r>
      <w:r>
        <w:t xml:space="preserve"> </w:t>
      </w:r>
      <w:r w:rsidRPr="00C23169">
        <w:t>prokazující</w:t>
      </w:r>
      <w:r>
        <w:t xml:space="preserve"> </w:t>
      </w:r>
      <w:r w:rsidRPr="00C23169">
        <w:t>splnění</w:t>
      </w:r>
      <w:r>
        <w:t xml:space="preserve"> </w:t>
      </w:r>
      <w:r w:rsidRPr="00C23169">
        <w:t>podmínek</w:t>
      </w:r>
      <w:r>
        <w:t xml:space="preserve"> </w:t>
      </w:r>
      <w:r w:rsidRPr="00C23169">
        <w:t>uvedených</w:t>
      </w:r>
      <w:r>
        <w:t xml:space="preserve"> </w:t>
      </w:r>
      <w:r w:rsidRPr="00C23169">
        <w:t>v</w:t>
      </w:r>
      <w:r>
        <w:t xml:space="preserve"> </w:t>
      </w:r>
      <w:r w:rsidRPr="00C23169">
        <w:t>odstavci</w:t>
      </w:r>
      <w:r>
        <w:t xml:space="preserve"> </w:t>
      </w:r>
      <w:r w:rsidRPr="00C23169">
        <w:t>2</w:t>
      </w:r>
      <w:r>
        <w:t xml:space="preserve"> </w:t>
      </w:r>
      <w:r w:rsidRPr="00C23169">
        <w:t>písm.</w:t>
      </w:r>
      <w:r>
        <w:t xml:space="preserve"> </w:t>
      </w:r>
      <w:r w:rsidRPr="00C23169">
        <w:t>b)</w:t>
      </w:r>
      <w:r>
        <w:t xml:space="preserve"> </w:t>
      </w:r>
      <w:r w:rsidRPr="00C23169">
        <w:t>až</w:t>
      </w:r>
      <w:r>
        <w:t xml:space="preserve"> </w:t>
      </w:r>
      <w:r w:rsidRPr="00C23169">
        <w:t>d),</w:t>
      </w:r>
    </w:p>
    <w:p w14:paraId="0C38EFB3" w14:textId="72D25BF6" w:rsidR="00BE1F13" w:rsidRDefault="00BE1F13" w:rsidP="000D73B3">
      <w:pPr>
        <w:pStyle w:val="Textparagrafu"/>
        <w:tabs>
          <w:tab w:val="left" w:pos="392"/>
          <w:tab w:val="left" w:pos="826"/>
        </w:tabs>
        <w:spacing w:before="0"/>
        <w:ind w:left="426" w:hanging="426"/>
      </w:pPr>
      <w:r w:rsidRPr="00C23169">
        <w:t>c)</w:t>
      </w:r>
      <w:r w:rsidR="005E4525">
        <w:tab/>
      </w:r>
      <w:r w:rsidRPr="00C23169">
        <w:t>doklad</w:t>
      </w:r>
      <w:r>
        <w:t xml:space="preserve"> </w:t>
      </w:r>
      <w:r w:rsidRPr="00C23169">
        <w:t>o</w:t>
      </w:r>
      <w:r>
        <w:t xml:space="preserve"> </w:t>
      </w:r>
      <w:r w:rsidRPr="00C23169">
        <w:t>schválení</w:t>
      </w:r>
      <w:r>
        <w:t xml:space="preserve"> </w:t>
      </w:r>
      <w:r w:rsidRPr="00C23169">
        <w:t>technické</w:t>
      </w:r>
      <w:r>
        <w:t xml:space="preserve"> </w:t>
      </w:r>
      <w:r w:rsidRPr="00C23169">
        <w:t>způsobilosti</w:t>
      </w:r>
      <w:r>
        <w:t xml:space="preserve"> </w:t>
      </w:r>
      <w:r w:rsidRPr="00C23169">
        <w:t>simulátoru</w:t>
      </w:r>
      <w:r>
        <w:t xml:space="preserve"> </w:t>
      </w:r>
      <w:r w:rsidRPr="00C23169">
        <w:t>vydaný</w:t>
      </w:r>
      <w:r>
        <w:t xml:space="preserve"> </w:t>
      </w:r>
      <w:r w:rsidRPr="00C23169">
        <w:t>jiným</w:t>
      </w:r>
      <w:r>
        <w:t xml:space="preserve"> </w:t>
      </w:r>
      <w:r w:rsidRPr="00C23169">
        <w:t>členským</w:t>
      </w:r>
      <w:r>
        <w:t xml:space="preserve"> </w:t>
      </w:r>
      <w:r w:rsidRPr="00C23169">
        <w:t>státem</w:t>
      </w:r>
      <w:r>
        <w:t xml:space="preserve"> </w:t>
      </w:r>
      <w:r w:rsidRPr="00C23169">
        <w:t>Evropské</w:t>
      </w:r>
      <w:r>
        <w:t xml:space="preserve"> </w:t>
      </w:r>
      <w:r w:rsidRPr="00C23169">
        <w:t>unie</w:t>
      </w:r>
      <w:r>
        <w:t xml:space="preserve"> </w:t>
      </w:r>
      <w:r w:rsidRPr="00C23169">
        <w:t>nebo</w:t>
      </w:r>
      <w:r>
        <w:t xml:space="preserve"> </w:t>
      </w:r>
      <w:r w:rsidRPr="00C23169">
        <w:t>smluvním</w:t>
      </w:r>
      <w:r>
        <w:t xml:space="preserve"> </w:t>
      </w:r>
      <w:r w:rsidRPr="00C23169">
        <w:t>státem</w:t>
      </w:r>
      <w:r>
        <w:t xml:space="preserve"> </w:t>
      </w:r>
      <w:r w:rsidRPr="00C23169">
        <w:t>Dohody</w:t>
      </w:r>
      <w:r>
        <w:t xml:space="preserve"> </w:t>
      </w:r>
      <w:r w:rsidRPr="00C23169">
        <w:t>o</w:t>
      </w:r>
      <w:r>
        <w:t xml:space="preserve"> </w:t>
      </w:r>
      <w:r w:rsidRPr="00C23169">
        <w:t>Evropském</w:t>
      </w:r>
      <w:r>
        <w:t xml:space="preserve"> </w:t>
      </w:r>
      <w:r w:rsidRPr="00C23169">
        <w:t>hospodářském</w:t>
      </w:r>
      <w:r>
        <w:t xml:space="preserve"> </w:t>
      </w:r>
      <w:r w:rsidRPr="00C23169">
        <w:t>prostoru,</w:t>
      </w:r>
      <w:r>
        <w:t xml:space="preserve"> </w:t>
      </w:r>
      <w:r w:rsidRPr="00C23169">
        <w:t>hodlá-li</w:t>
      </w:r>
      <w:r>
        <w:t xml:space="preserve"> </w:t>
      </w:r>
      <w:r w:rsidRPr="00C23169">
        <w:t>žadatel</w:t>
      </w:r>
      <w:r>
        <w:t xml:space="preserve"> </w:t>
      </w:r>
      <w:r w:rsidRPr="00C23169">
        <w:t>využívat</w:t>
      </w:r>
      <w:r>
        <w:t xml:space="preserve"> </w:t>
      </w:r>
      <w:r w:rsidRPr="00C23169">
        <w:t>simulátor</w:t>
      </w:r>
      <w:r>
        <w:t xml:space="preserve"> </w:t>
      </w:r>
      <w:r w:rsidRPr="00C23169">
        <w:t>k</w:t>
      </w:r>
      <w:r>
        <w:t xml:space="preserve"> </w:t>
      </w:r>
      <w:r w:rsidRPr="00C23169">
        <w:t>ověřování</w:t>
      </w:r>
      <w:r>
        <w:t xml:space="preserve"> </w:t>
      </w:r>
      <w:r w:rsidRPr="00C23169">
        <w:t>praktických</w:t>
      </w:r>
      <w:r>
        <w:t xml:space="preserve"> </w:t>
      </w:r>
      <w:r w:rsidRPr="00C23169">
        <w:t>dovedností</w:t>
      </w:r>
      <w:r>
        <w:t xml:space="preserve"> </w:t>
      </w:r>
      <w:r w:rsidRPr="00C23169">
        <w:t>vůdce</w:t>
      </w:r>
      <w:r>
        <w:t xml:space="preserve"> </w:t>
      </w:r>
      <w:r w:rsidRPr="00C23169">
        <w:t>plavidla</w:t>
      </w:r>
      <w:r>
        <w:t xml:space="preserve"> </w:t>
      </w:r>
      <w:r w:rsidRPr="00C23169">
        <w:t>a</w:t>
      </w:r>
      <w:r>
        <w:t xml:space="preserve"> </w:t>
      </w:r>
      <w:r w:rsidRPr="00C23169">
        <w:t>byla-li</w:t>
      </w:r>
      <w:r>
        <w:t xml:space="preserve"> </w:t>
      </w:r>
      <w:r w:rsidRPr="00C23169">
        <w:t>technická</w:t>
      </w:r>
      <w:r>
        <w:t xml:space="preserve"> </w:t>
      </w:r>
      <w:r w:rsidRPr="00C23169">
        <w:t>způsobilost</w:t>
      </w:r>
      <w:r>
        <w:t xml:space="preserve"> </w:t>
      </w:r>
      <w:r w:rsidRPr="00C23169">
        <w:t>simulátoru</w:t>
      </w:r>
      <w:r>
        <w:t xml:space="preserve"> </w:t>
      </w:r>
      <w:r w:rsidRPr="00C23169">
        <w:t>schválena</w:t>
      </w:r>
      <w:r>
        <w:t xml:space="preserve"> </w:t>
      </w:r>
      <w:r w:rsidRPr="00C23169">
        <w:t>tímto</w:t>
      </w:r>
      <w:r>
        <w:t xml:space="preserve"> </w:t>
      </w:r>
      <w:r w:rsidRPr="00C23169">
        <w:t>státem,</w:t>
      </w:r>
    </w:p>
    <w:p w14:paraId="7F506557" w14:textId="5643E511" w:rsidR="00BE1F13" w:rsidRDefault="00BE1F13" w:rsidP="000D73B3">
      <w:pPr>
        <w:pStyle w:val="Textparagrafu"/>
        <w:tabs>
          <w:tab w:val="left" w:pos="392"/>
          <w:tab w:val="left" w:pos="826"/>
        </w:tabs>
        <w:spacing w:before="0"/>
        <w:ind w:left="426" w:hanging="426"/>
      </w:pPr>
      <w:r w:rsidRPr="00C23169">
        <w:t>d)</w:t>
      </w:r>
      <w:r w:rsidR="005E4525">
        <w:tab/>
      </w:r>
      <w:r w:rsidRPr="00C23169">
        <w:t>plán</w:t>
      </w:r>
      <w:r>
        <w:t xml:space="preserve"> </w:t>
      </w:r>
      <w:r w:rsidRPr="00C23169">
        <w:t>pro</w:t>
      </w:r>
      <w:r>
        <w:t xml:space="preserve"> </w:t>
      </w:r>
      <w:r w:rsidRPr="00C23169">
        <w:t>zajištění</w:t>
      </w:r>
      <w:r>
        <w:t xml:space="preserve"> </w:t>
      </w:r>
      <w:r w:rsidRPr="00C23169">
        <w:t>školení</w:t>
      </w:r>
      <w:r>
        <w:t xml:space="preserve"> </w:t>
      </w:r>
      <w:r w:rsidRPr="00C23169">
        <w:t>žadatelem</w:t>
      </w:r>
      <w:r>
        <w:t xml:space="preserve"> </w:t>
      </w:r>
      <w:r w:rsidRPr="00C23169">
        <w:t>obsahující</w:t>
      </w:r>
      <w:r>
        <w:t xml:space="preserve"> </w:t>
      </w:r>
      <w:r w:rsidRPr="00C23169">
        <w:t>vymezení</w:t>
      </w:r>
      <w:r>
        <w:t xml:space="preserve"> </w:t>
      </w:r>
      <w:r w:rsidRPr="00C23169">
        <w:t>organizace,</w:t>
      </w:r>
      <w:r>
        <w:t xml:space="preserve"> </w:t>
      </w:r>
      <w:r w:rsidRPr="00C23169">
        <w:t>rozsahu</w:t>
      </w:r>
      <w:r>
        <w:t xml:space="preserve"> </w:t>
      </w:r>
      <w:r w:rsidRPr="00C23169">
        <w:t>a</w:t>
      </w:r>
      <w:r>
        <w:t xml:space="preserve"> </w:t>
      </w:r>
      <w:r w:rsidRPr="00C23169">
        <w:t>způsobu</w:t>
      </w:r>
      <w:r>
        <w:t xml:space="preserve"> </w:t>
      </w:r>
      <w:r w:rsidRPr="00C23169">
        <w:t>provádění</w:t>
      </w:r>
      <w:r>
        <w:t xml:space="preserve"> </w:t>
      </w:r>
      <w:r w:rsidRPr="00C23169">
        <w:t>školení</w:t>
      </w:r>
      <w:r>
        <w:t xml:space="preserve"> </w:t>
      </w:r>
      <w:r w:rsidRPr="00C23169">
        <w:t>a</w:t>
      </w:r>
      <w:r>
        <w:t xml:space="preserve"> </w:t>
      </w:r>
      <w:r w:rsidRPr="00C23169">
        <w:t>jeho</w:t>
      </w:r>
      <w:r>
        <w:t xml:space="preserve"> </w:t>
      </w:r>
      <w:r w:rsidRPr="00C23169">
        <w:t>kontroly,</w:t>
      </w:r>
    </w:p>
    <w:p w14:paraId="4A4CA71A" w14:textId="38F4A651" w:rsidR="00BE1F13" w:rsidRDefault="00BE1F13" w:rsidP="000D73B3">
      <w:pPr>
        <w:pStyle w:val="Textparagrafu"/>
        <w:tabs>
          <w:tab w:val="left" w:pos="392"/>
          <w:tab w:val="left" w:pos="826"/>
        </w:tabs>
        <w:spacing w:before="0"/>
        <w:ind w:left="426" w:hanging="426"/>
      </w:pPr>
      <w:r w:rsidRPr="00C23169">
        <w:t>e)</w:t>
      </w:r>
      <w:r w:rsidR="005E4525">
        <w:tab/>
      </w:r>
      <w:r w:rsidRPr="00C23169">
        <w:t>doklad</w:t>
      </w:r>
      <w:r>
        <w:t xml:space="preserve"> </w:t>
      </w:r>
      <w:r w:rsidRPr="00C23169">
        <w:t>prokazující</w:t>
      </w:r>
      <w:r>
        <w:t xml:space="preserve"> </w:t>
      </w:r>
      <w:r w:rsidRPr="00C23169">
        <w:t>zavedení</w:t>
      </w:r>
      <w:r>
        <w:t xml:space="preserve"> </w:t>
      </w:r>
      <w:r w:rsidRPr="00C23169">
        <w:t>systému</w:t>
      </w:r>
      <w:r>
        <w:t xml:space="preserve"> </w:t>
      </w:r>
      <w:r w:rsidRPr="00C23169">
        <w:t>řízení</w:t>
      </w:r>
      <w:r>
        <w:t xml:space="preserve"> </w:t>
      </w:r>
      <w:r w:rsidRPr="00C23169">
        <w:t>kvality</w:t>
      </w:r>
      <w:r>
        <w:t xml:space="preserve"> </w:t>
      </w:r>
      <w:r w:rsidRPr="00C23169">
        <w:t>ve</w:t>
      </w:r>
      <w:r>
        <w:t xml:space="preserve"> </w:t>
      </w:r>
      <w:r w:rsidRPr="00C23169">
        <w:t>shodě</w:t>
      </w:r>
      <w:r>
        <w:t xml:space="preserve"> </w:t>
      </w:r>
      <w:r w:rsidRPr="00C23169">
        <w:t>s</w:t>
      </w:r>
      <w:r>
        <w:t xml:space="preserve"> </w:t>
      </w:r>
      <w:r w:rsidRPr="00C23169">
        <w:t>harmonizovanou</w:t>
      </w:r>
      <w:r>
        <w:t xml:space="preserve"> </w:t>
      </w:r>
      <w:r w:rsidRPr="00C23169">
        <w:t>českou</w:t>
      </w:r>
      <w:r>
        <w:t xml:space="preserve"> </w:t>
      </w:r>
      <w:r w:rsidRPr="00C23169">
        <w:t>technickou</w:t>
      </w:r>
      <w:r>
        <w:t xml:space="preserve"> </w:t>
      </w:r>
      <w:r w:rsidRPr="00C23169">
        <w:t>normou</w:t>
      </w:r>
      <w:r>
        <w:t xml:space="preserve"> </w:t>
      </w:r>
      <w:r w:rsidRPr="00C23169">
        <w:t>upravující</w:t>
      </w:r>
      <w:r>
        <w:t xml:space="preserve"> </w:t>
      </w:r>
      <w:r w:rsidRPr="00C23169">
        <w:t>řízení</w:t>
      </w:r>
      <w:r>
        <w:t xml:space="preserve"> </w:t>
      </w:r>
      <w:r w:rsidRPr="00C23169">
        <w:t>kvality31),</w:t>
      </w:r>
    </w:p>
    <w:p w14:paraId="79B36AE1" w14:textId="570C5586" w:rsidR="00BE1F13" w:rsidRPr="00C23169" w:rsidRDefault="00BE1F13" w:rsidP="000D73B3">
      <w:pPr>
        <w:pStyle w:val="Textparagrafu"/>
        <w:tabs>
          <w:tab w:val="left" w:pos="392"/>
          <w:tab w:val="left" w:pos="826"/>
        </w:tabs>
        <w:spacing w:before="0"/>
        <w:ind w:left="426" w:hanging="426"/>
      </w:pPr>
      <w:r w:rsidRPr="00C23169">
        <w:t>f)</w:t>
      </w:r>
      <w:r w:rsidR="005E4525">
        <w:tab/>
      </w:r>
      <w:r w:rsidRPr="00C23169">
        <w:t>doklady</w:t>
      </w:r>
      <w:r>
        <w:t xml:space="preserve"> </w:t>
      </w:r>
      <w:r w:rsidRPr="00C23169">
        <w:t>prokazující</w:t>
      </w:r>
      <w:r>
        <w:t xml:space="preserve"> </w:t>
      </w:r>
      <w:r w:rsidRPr="00C23169">
        <w:t>splnění</w:t>
      </w:r>
      <w:r>
        <w:t xml:space="preserve"> </w:t>
      </w:r>
      <w:r w:rsidRPr="00C23169">
        <w:t>podmínky</w:t>
      </w:r>
      <w:r>
        <w:t xml:space="preserve"> </w:t>
      </w:r>
      <w:r w:rsidRPr="00C23169">
        <w:t>finanční</w:t>
      </w:r>
      <w:r>
        <w:t xml:space="preserve"> </w:t>
      </w:r>
      <w:r w:rsidRPr="00C23169">
        <w:t>způsobilosti</w:t>
      </w:r>
      <w:r>
        <w:t xml:space="preserve"> </w:t>
      </w:r>
      <w:r w:rsidRPr="00C23169">
        <w:t>žadatele,</w:t>
      </w:r>
      <w:r>
        <w:t xml:space="preserve"> </w:t>
      </w:r>
      <w:r w:rsidRPr="00C23169">
        <w:t>kterými</w:t>
      </w:r>
      <w:r>
        <w:t xml:space="preserve"> </w:t>
      </w:r>
      <w:r w:rsidRPr="00C23169">
        <w:t>jsou</w:t>
      </w:r>
      <w:r>
        <w:t xml:space="preserve"> </w:t>
      </w:r>
      <w:r w:rsidRPr="00C23169">
        <w:t>doklad</w:t>
      </w:r>
      <w:r>
        <w:t xml:space="preserve"> </w:t>
      </w:r>
      <w:r w:rsidRPr="00C23169">
        <w:t>prokazující</w:t>
      </w:r>
      <w:r>
        <w:t xml:space="preserve"> </w:t>
      </w:r>
      <w:r w:rsidRPr="00C23169">
        <w:t>objem</w:t>
      </w:r>
      <w:r>
        <w:t xml:space="preserve"> </w:t>
      </w:r>
      <w:r w:rsidRPr="00C23169">
        <w:t>dostupných</w:t>
      </w:r>
      <w:r>
        <w:t xml:space="preserve"> </w:t>
      </w:r>
      <w:r w:rsidRPr="00C23169">
        <w:t>peněžních</w:t>
      </w:r>
      <w:r>
        <w:t xml:space="preserve"> </w:t>
      </w:r>
      <w:r w:rsidRPr="00C23169">
        <w:t>prostředků</w:t>
      </w:r>
      <w:r>
        <w:t xml:space="preserve"> </w:t>
      </w:r>
      <w:r w:rsidRPr="00C23169">
        <w:t>žadatele</w:t>
      </w:r>
      <w:r>
        <w:t xml:space="preserve"> </w:t>
      </w:r>
      <w:r w:rsidRPr="00C23169">
        <w:t>včetně</w:t>
      </w:r>
      <w:r>
        <w:t xml:space="preserve"> </w:t>
      </w:r>
      <w:r w:rsidRPr="00C23169">
        <w:t>stavu</w:t>
      </w:r>
      <w:r>
        <w:t xml:space="preserve"> </w:t>
      </w:r>
      <w:r w:rsidRPr="00C23169">
        <w:t>bankovních</w:t>
      </w:r>
      <w:r>
        <w:t xml:space="preserve"> </w:t>
      </w:r>
      <w:r w:rsidRPr="00C23169">
        <w:t>účtů</w:t>
      </w:r>
      <w:r>
        <w:t xml:space="preserve"> </w:t>
      </w:r>
      <w:r w:rsidRPr="00C23169">
        <w:t>a</w:t>
      </w:r>
      <w:r>
        <w:t xml:space="preserve"> </w:t>
      </w:r>
      <w:r w:rsidRPr="00C23169">
        <w:t>úvěrů</w:t>
      </w:r>
      <w:r>
        <w:t xml:space="preserve"> </w:t>
      </w:r>
      <w:r w:rsidRPr="00C23169">
        <w:t>a</w:t>
      </w:r>
      <w:r>
        <w:t xml:space="preserve"> </w:t>
      </w:r>
      <w:r w:rsidRPr="00C23169">
        <w:t>jeho</w:t>
      </w:r>
    </w:p>
    <w:p w14:paraId="73184327" w14:textId="0B421607" w:rsidR="00BE1F13" w:rsidRPr="00300853" w:rsidRDefault="00BE1F13" w:rsidP="00300853">
      <w:pPr>
        <w:pStyle w:val="Textpsmene"/>
        <w:tabs>
          <w:tab w:val="num" w:pos="851"/>
        </w:tabs>
        <w:spacing w:before="0"/>
        <w:ind w:left="851" w:hanging="426"/>
        <w:rPr>
          <w:strike/>
        </w:rPr>
      </w:pPr>
      <w:r w:rsidRPr="00300853">
        <w:rPr>
          <w:strike/>
        </w:rPr>
        <w:t>1.</w:t>
      </w:r>
      <w:r w:rsidR="005E4525" w:rsidRPr="00300853">
        <w:rPr>
          <w:strike/>
        </w:rPr>
        <w:tab/>
      </w:r>
      <w:r w:rsidRPr="00300853">
        <w:rPr>
          <w:strike/>
        </w:rPr>
        <w:t>poslední účetní závěrka, vede-li žadatel účetnictví,</w:t>
      </w:r>
    </w:p>
    <w:p w14:paraId="04D53478" w14:textId="055244C4" w:rsidR="00BE1F13" w:rsidRPr="00300853" w:rsidRDefault="00BE1F13" w:rsidP="00300853">
      <w:pPr>
        <w:pStyle w:val="Textpsmene"/>
        <w:tabs>
          <w:tab w:val="num" w:pos="851"/>
        </w:tabs>
        <w:spacing w:before="0"/>
        <w:ind w:left="851" w:hanging="426"/>
        <w:rPr>
          <w:strike/>
        </w:rPr>
      </w:pPr>
      <w:r w:rsidRPr="00300853">
        <w:rPr>
          <w:strike/>
        </w:rPr>
        <w:t>2.</w:t>
      </w:r>
      <w:r w:rsidR="005E4525" w:rsidRPr="00300853">
        <w:rPr>
          <w:strike/>
        </w:rPr>
        <w:tab/>
      </w:r>
      <w:r w:rsidRPr="00300853">
        <w:rPr>
          <w:strike/>
        </w:rPr>
        <w:t>zahajovací rozvaha nebo zahajovací rozvaha ve zjednodušeném rozsahu, povede-li žadatel účetnictví, nebo</w:t>
      </w:r>
    </w:p>
    <w:p w14:paraId="024A9878" w14:textId="3DF09F7C" w:rsidR="00BE1F13" w:rsidRPr="00300853" w:rsidRDefault="00BE1F13" w:rsidP="00300853">
      <w:pPr>
        <w:pStyle w:val="Textpsmene"/>
        <w:tabs>
          <w:tab w:val="num" w:pos="851"/>
        </w:tabs>
        <w:spacing w:before="0"/>
        <w:ind w:left="851" w:hanging="426"/>
        <w:rPr>
          <w:strike/>
        </w:rPr>
      </w:pPr>
      <w:r w:rsidRPr="00300853">
        <w:rPr>
          <w:strike/>
        </w:rPr>
        <w:t>3.</w:t>
      </w:r>
      <w:r w:rsidR="005E4525" w:rsidRPr="00300853">
        <w:rPr>
          <w:strike/>
        </w:rPr>
        <w:tab/>
      </w:r>
      <w:r w:rsidRPr="00300853">
        <w:rPr>
          <w:strike/>
        </w:rPr>
        <w:t>zahajovací přehled obchodního majetku, povede-li žadatel daňovou evidenci,</w:t>
      </w:r>
    </w:p>
    <w:p w14:paraId="5E7F088D" w14:textId="3F45CD4E" w:rsidR="00D73175" w:rsidRPr="00D73175" w:rsidRDefault="00D73175" w:rsidP="00300853">
      <w:pPr>
        <w:pStyle w:val="Textpsmene"/>
        <w:tabs>
          <w:tab w:val="num" w:pos="851"/>
        </w:tabs>
        <w:spacing w:before="0"/>
        <w:ind w:left="851" w:hanging="426"/>
        <w:rPr>
          <w:b/>
        </w:rPr>
      </w:pPr>
      <w:r w:rsidRPr="00D73175">
        <w:rPr>
          <w:b/>
        </w:rPr>
        <w:t>1.</w:t>
      </w:r>
      <w:r w:rsidRPr="00D73175">
        <w:rPr>
          <w:b/>
        </w:rPr>
        <w:tab/>
        <w:t>řádná individuální účetní závěrka za poslední individuální účetní období, je-li žadatel účetní jednotkou,</w:t>
      </w:r>
    </w:p>
    <w:p w14:paraId="4A77E1A3" w14:textId="3101E47C" w:rsidR="00D73175" w:rsidRPr="00D73175" w:rsidRDefault="00D73175" w:rsidP="00300853">
      <w:pPr>
        <w:pStyle w:val="Textpsmene"/>
        <w:tabs>
          <w:tab w:val="num" w:pos="851"/>
        </w:tabs>
        <w:spacing w:before="0"/>
        <w:ind w:left="851" w:hanging="426"/>
        <w:rPr>
          <w:b/>
        </w:rPr>
      </w:pPr>
      <w:r w:rsidRPr="00D73175">
        <w:rPr>
          <w:b/>
        </w:rPr>
        <w:t>2.</w:t>
      </w:r>
      <w:r w:rsidRPr="00D73175">
        <w:rPr>
          <w:b/>
        </w:rPr>
        <w:tab/>
        <w:t>zahajovací rozvaha, bude-li žadatel účetní jednotkou, nebo</w:t>
      </w:r>
    </w:p>
    <w:p w14:paraId="6002979B" w14:textId="18CCB206" w:rsidR="00D73175" w:rsidRPr="00D73175" w:rsidRDefault="00D73175" w:rsidP="00300853">
      <w:pPr>
        <w:pStyle w:val="Textpsmene"/>
        <w:tabs>
          <w:tab w:val="num" w:pos="851"/>
        </w:tabs>
        <w:spacing w:before="0"/>
        <w:ind w:left="851" w:hanging="426"/>
        <w:rPr>
          <w:b/>
        </w:rPr>
      </w:pPr>
      <w:r w:rsidRPr="00D73175">
        <w:rPr>
          <w:b/>
        </w:rPr>
        <w:t>3.</w:t>
      </w:r>
      <w:r w:rsidRPr="00D73175">
        <w:rPr>
          <w:b/>
        </w:rPr>
        <w:tab/>
        <w:t>daňová evidence, povede-li ji žadatel,</w:t>
      </w:r>
    </w:p>
    <w:p w14:paraId="02C7E1E7" w14:textId="1ECEFA25" w:rsidR="00BE1F13" w:rsidRDefault="00BE1F13" w:rsidP="000D73B3">
      <w:pPr>
        <w:pStyle w:val="Textparagrafu"/>
        <w:tabs>
          <w:tab w:val="left" w:pos="392"/>
          <w:tab w:val="left" w:pos="826"/>
        </w:tabs>
        <w:spacing w:before="0"/>
        <w:ind w:left="426" w:hanging="426"/>
      </w:pPr>
      <w:r w:rsidRPr="00C23169">
        <w:t>g)</w:t>
      </w:r>
      <w:r w:rsidR="005E4525">
        <w:tab/>
      </w:r>
      <w:r w:rsidRPr="00C23169">
        <w:t>doklady</w:t>
      </w:r>
      <w:r>
        <w:t xml:space="preserve"> </w:t>
      </w:r>
      <w:r w:rsidRPr="00C23169">
        <w:t>prokazující</w:t>
      </w:r>
      <w:r>
        <w:t xml:space="preserve"> </w:t>
      </w:r>
      <w:r w:rsidRPr="00C23169">
        <w:t>odbornou</w:t>
      </w:r>
      <w:r>
        <w:t xml:space="preserve"> </w:t>
      </w:r>
      <w:r w:rsidRPr="00C23169">
        <w:t>způsobilost</w:t>
      </w:r>
      <w:r>
        <w:t xml:space="preserve"> </w:t>
      </w:r>
      <w:r w:rsidRPr="00C23169">
        <w:t>osob,</w:t>
      </w:r>
      <w:r>
        <w:t xml:space="preserve"> </w:t>
      </w:r>
      <w:r w:rsidRPr="00C23169">
        <w:t>jimiž</w:t>
      </w:r>
      <w:r>
        <w:t xml:space="preserve"> </w:t>
      </w:r>
      <w:r w:rsidRPr="00C23169">
        <w:t>má</w:t>
      </w:r>
      <w:r>
        <w:t xml:space="preserve"> </w:t>
      </w:r>
      <w:r w:rsidRPr="00C23169">
        <w:t>být</w:t>
      </w:r>
      <w:r>
        <w:t xml:space="preserve"> </w:t>
      </w:r>
      <w:r w:rsidRPr="00C23169">
        <w:t>zajištěno</w:t>
      </w:r>
      <w:r>
        <w:t xml:space="preserve"> </w:t>
      </w:r>
      <w:r w:rsidRPr="00C23169">
        <w:t>provádění</w:t>
      </w:r>
      <w:r>
        <w:t xml:space="preserve"> </w:t>
      </w:r>
      <w:r w:rsidRPr="00C23169">
        <w:t>školení</w:t>
      </w:r>
      <w:r>
        <w:t xml:space="preserve"> </w:t>
      </w:r>
      <w:r w:rsidRPr="00C23169">
        <w:t>a</w:t>
      </w:r>
      <w:r>
        <w:t xml:space="preserve"> </w:t>
      </w:r>
      <w:r w:rsidRPr="00C23169">
        <w:t>závěrečných</w:t>
      </w:r>
      <w:r>
        <w:t xml:space="preserve"> </w:t>
      </w:r>
      <w:r w:rsidRPr="00C23169">
        <w:t>zkoušek,</w:t>
      </w:r>
      <w:r>
        <w:t xml:space="preserve"> </w:t>
      </w:r>
      <w:r w:rsidRPr="00C23169">
        <w:t>a</w:t>
      </w:r>
      <w:r>
        <w:t xml:space="preserve"> </w:t>
      </w:r>
      <w:r w:rsidRPr="00C23169">
        <w:t>doklady</w:t>
      </w:r>
      <w:r>
        <w:t xml:space="preserve"> </w:t>
      </w:r>
      <w:r w:rsidRPr="00C23169">
        <w:t>prokazující</w:t>
      </w:r>
      <w:r>
        <w:t xml:space="preserve"> </w:t>
      </w:r>
      <w:r w:rsidRPr="00C23169">
        <w:t>smluvní</w:t>
      </w:r>
      <w:r>
        <w:t xml:space="preserve"> </w:t>
      </w:r>
      <w:r w:rsidRPr="00C23169">
        <w:t>vztah</w:t>
      </w:r>
      <w:r>
        <w:t xml:space="preserve"> </w:t>
      </w:r>
      <w:r w:rsidRPr="00C23169">
        <w:t>těchto</w:t>
      </w:r>
      <w:r>
        <w:t xml:space="preserve"> </w:t>
      </w:r>
      <w:r w:rsidRPr="00C23169">
        <w:t>osob</w:t>
      </w:r>
      <w:r>
        <w:t xml:space="preserve"> </w:t>
      </w:r>
      <w:r w:rsidRPr="00C23169">
        <w:t>k</w:t>
      </w:r>
      <w:r>
        <w:t xml:space="preserve"> </w:t>
      </w:r>
      <w:r w:rsidRPr="00C23169">
        <w:t>žadateli,</w:t>
      </w:r>
      <w:r>
        <w:t xml:space="preserve"> </w:t>
      </w:r>
      <w:r w:rsidRPr="00C23169">
        <w:t>a</w:t>
      </w:r>
    </w:p>
    <w:p w14:paraId="49321823" w14:textId="3F550F5C" w:rsidR="00BE1F13" w:rsidRDefault="00BE1F13" w:rsidP="000D73B3">
      <w:pPr>
        <w:pStyle w:val="Textparagrafu"/>
        <w:tabs>
          <w:tab w:val="left" w:pos="392"/>
          <w:tab w:val="left" w:pos="826"/>
        </w:tabs>
        <w:spacing w:before="0"/>
        <w:ind w:left="426" w:hanging="426"/>
      </w:pPr>
      <w:r w:rsidRPr="00C23169">
        <w:t>h)</w:t>
      </w:r>
      <w:r w:rsidR="005E4525">
        <w:tab/>
      </w:r>
      <w:r w:rsidRPr="00C23169">
        <w:t>doklad</w:t>
      </w:r>
      <w:r>
        <w:t xml:space="preserve"> </w:t>
      </w:r>
      <w:r w:rsidRPr="00C23169">
        <w:t>prokazující</w:t>
      </w:r>
      <w:r>
        <w:t xml:space="preserve"> </w:t>
      </w:r>
      <w:r w:rsidRPr="00C23169">
        <w:t>způsob</w:t>
      </w:r>
      <w:r>
        <w:t xml:space="preserve"> </w:t>
      </w:r>
      <w:r w:rsidRPr="00C23169">
        <w:t>zajištění</w:t>
      </w:r>
      <w:r>
        <w:t xml:space="preserve"> </w:t>
      </w:r>
      <w:r w:rsidRPr="00C23169">
        <w:t>vyloučení</w:t>
      </w:r>
      <w:r>
        <w:t xml:space="preserve"> </w:t>
      </w:r>
      <w:r w:rsidRPr="00C23169">
        <w:t>střetu</w:t>
      </w:r>
      <w:r>
        <w:t xml:space="preserve"> </w:t>
      </w:r>
      <w:r w:rsidRPr="00C23169">
        <w:t>zájmů</w:t>
      </w:r>
      <w:r>
        <w:t xml:space="preserve"> </w:t>
      </w:r>
      <w:r w:rsidRPr="00C23169">
        <w:t>při</w:t>
      </w:r>
      <w:r>
        <w:t xml:space="preserve"> </w:t>
      </w:r>
      <w:r w:rsidRPr="00C23169">
        <w:t>provádění</w:t>
      </w:r>
      <w:r>
        <w:t xml:space="preserve"> </w:t>
      </w:r>
      <w:r w:rsidRPr="00C23169">
        <w:t>závěrečných</w:t>
      </w:r>
      <w:r>
        <w:t xml:space="preserve"> </w:t>
      </w:r>
      <w:r w:rsidRPr="00C23169">
        <w:t>zkoušek.</w:t>
      </w:r>
    </w:p>
    <w:p w14:paraId="21D4D08D" w14:textId="77777777" w:rsidR="00BE1F13" w:rsidRDefault="00BE1F13" w:rsidP="00300853">
      <w:pPr>
        <w:pStyle w:val="Textparagrafu"/>
        <w:tabs>
          <w:tab w:val="left" w:pos="392"/>
          <w:tab w:val="left" w:pos="826"/>
        </w:tabs>
        <w:spacing w:before="120" w:after="120"/>
      </w:pPr>
      <w:r w:rsidRPr="00C23169">
        <w:t>(6)</w:t>
      </w:r>
      <w:r>
        <w:t xml:space="preserve"> </w:t>
      </w:r>
      <w:r w:rsidRPr="00C23169">
        <w:t>V</w:t>
      </w:r>
      <w:r>
        <w:t xml:space="preserve"> </w:t>
      </w:r>
      <w:r w:rsidRPr="00C23169">
        <w:t>pověření</w:t>
      </w:r>
      <w:r>
        <w:t xml:space="preserve"> </w:t>
      </w:r>
      <w:r w:rsidRPr="00C23169">
        <w:t>plavební</w:t>
      </w:r>
      <w:r>
        <w:t xml:space="preserve"> </w:t>
      </w:r>
      <w:r w:rsidRPr="00C23169">
        <w:t>úřad</w:t>
      </w:r>
      <w:r>
        <w:t xml:space="preserve"> </w:t>
      </w:r>
      <w:r w:rsidRPr="00C23169">
        <w:t>stanoví</w:t>
      </w:r>
      <w:r>
        <w:t xml:space="preserve"> </w:t>
      </w:r>
      <w:r w:rsidRPr="00C23169">
        <w:t>rozsah</w:t>
      </w:r>
      <w:r>
        <w:t xml:space="preserve"> </w:t>
      </w:r>
      <w:r w:rsidRPr="00C23169">
        <w:t>školení,</w:t>
      </w:r>
      <w:r>
        <w:t xml:space="preserve"> </w:t>
      </w:r>
      <w:r w:rsidRPr="00C23169">
        <w:t>které</w:t>
      </w:r>
      <w:r>
        <w:t xml:space="preserve"> </w:t>
      </w:r>
      <w:r w:rsidRPr="00C23169">
        <w:t>bude</w:t>
      </w:r>
      <w:r>
        <w:t xml:space="preserve"> </w:t>
      </w:r>
      <w:r w:rsidRPr="00C23169">
        <w:t>pověřenou</w:t>
      </w:r>
      <w:r>
        <w:t xml:space="preserve"> </w:t>
      </w:r>
      <w:r w:rsidRPr="00C23169">
        <w:t>osobou</w:t>
      </w:r>
      <w:r>
        <w:t xml:space="preserve"> </w:t>
      </w:r>
      <w:r w:rsidRPr="00C23169">
        <w:t>prováděno,</w:t>
      </w:r>
      <w:r>
        <w:t xml:space="preserve"> </w:t>
      </w:r>
      <w:r w:rsidRPr="00C23169">
        <w:t>a</w:t>
      </w:r>
      <w:r>
        <w:t xml:space="preserve"> </w:t>
      </w:r>
      <w:r w:rsidRPr="00C23169">
        <w:t>podmínky</w:t>
      </w:r>
      <w:r>
        <w:t xml:space="preserve"> </w:t>
      </w:r>
      <w:r w:rsidRPr="00C23169">
        <w:t>pro</w:t>
      </w:r>
      <w:r>
        <w:t xml:space="preserve"> </w:t>
      </w:r>
      <w:r w:rsidRPr="00C23169">
        <w:t>zajištění</w:t>
      </w:r>
      <w:r>
        <w:t xml:space="preserve"> </w:t>
      </w:r>
      <w:r w:rsidRPr="00C23169">
        <w:t>jeho</w:t>
      </w:r>
      <w:r>
        <w:t xml:space="preserve"> </w:t>
      </w:r>
      <w:r w:rsidRPr="00C23169">
        <w:t>řádného</w:t>
      </w:r>
      <w:r>
        <w:t xml:space="preserve"> </w:t>
      </w:r>
      <w:r w:rsidRPr="00C23169">
        <w:t>provádění.</w:t>
      </w:r>
    </w:p>
    <w:p w14:paraId="7C517B40" w14:textId="77777777" w:rsidR="00BE1F13" w:rsidRDefault="00BE1F13" w:rsidP="00300853">
      <w:pPr>
        <w:pStyle w:val="Textparagrafu"/>
        <w:tabs>
          <w:tab w:val="left" w:pos="392"/>
          <w:tab w:val="left" w:pos="826"/>
        </w:tabs>
        <w:spacing w:before="120" w:after="120"/>
      </w:pPr>
      <w:r w:rsidRPr="00C23169">
        <w:t>(7)</w:t>
      </w:r>
      <w:r>
        <w:t xml:space="preserve"> </w:t>
      </w:r>
      <w:r w:rsidRPr="00C23169">
        <w:t>Pověřená</w:t>
      </w:r>
      <w:r>
        <w:t xml:space="preserve"> </w:t>
      </w:r>
      <w:r w:rsidRPr="00C23169">
        <w:t>osoba</w:t>
      </w:r>
      <w:r>
        <w:t xml:space="preserve"> </w:t>
      </w:r>
      <w:r w:rsidRPr="00C23169">
        <w:t>je</w:t>
      </w:r>
      <w:r>
        <w:t xml:space="preserve"> </w:t>
      </w:r>
      <w:r w:rsidRPr="00C23169">
        <w:t>povinna</w:t>
      </w:r>
    </w:p>
    <w:p w14:paraId="5CF231C5" w14:textId="41B20441" w:rsidR="00BE1F13" w:rsidRDefault="00BE1F13" w:rsidP="000D73B3">
      <w:pPr>
        <w:pStyle w:val="Textparagrafu"/>
        <w:tabs>
          <w:tab w:val="left" w:pos="392"/>
          <w:tab w:val="left" w:pos="826"/>
        </w:tabs>
        <w:spacing w:before="0"/>
        <w:ind w:left="426" w:hanging="426"/>
      </w:pPr>
      <w:r w:rsidRPr="00C23169">
        <w:lastRenderedPageBreak/>
        <w:t>a)</w:t>
      </w:r>
      <w:r w:rsidR="005E4525">
        <w:tab/>
      </w:r>
      <w:r w:rsidRPr="00C23169">
        <w:t>zajistit,</w:t>
      </w:r>
      <w:r>
        <w:t xml:space="preserve"> </w:t>
      </w:r>
      <w:r w:rsidRPr="00C23169">
        <w:t>aby</w:t>
      </w:r>
      <w:r>
        <w:t xml:space="preserve"> </w:t>
      </w:r>
      <w:r w:rsidRPr="00C23169">
        <w:t>osoby</w:t>
      </w:r>
      <w:r>
        <w:t xml:space="preserve"> </w:t>
      </w:r>
      <w:r w:rsidRPr="00C23169">
        <w:t>provádějící</w:t>
      </w:r>
      <w:r>
        <w:t xml:space="preserve"> </w:t>
      </w:r>
      <w:r w:rsidRPr="00C23169">
        <w:t>školení</w:t>
      </w:r>
      <w:r>
        <w:t xml:space="preserve"> </w:t>
      </w:r>
      <w:r w:rsidRPr="00C23169">
        <w:t>a</w:t>
      </w:r>
      <w:r>
        <w:t xml:space="preserve"> </w:t>
      </w:r>
      <w:r w:rsidRPr="00C23169">
        <w:t>závěrečné</w:t>
      </w:r>
      <w:r>
        <w:t xml:space="preserve"> </w:t>
      </w:r>
      <w:r w:rsidRPr="00C23169">
        <w:t>zkoušky</w:t>
      </w:r>
      <w:r>
        <w:t xml:space="preserve"> </w:t>
      </w:r>
      <w:r w:rsidRPr="00C23169">
        <w:t>byly</w:t>
      </w:r>
      <w:r>
        <w:t xml:space="preserve"> </w:t>
      </w:r>
      <w:r w:rsidRPr="00C23169">
        <w:t>seznámeny</w:t>
      </w:r>
      <w:r>
        <w:t xml:space="preserve"> </w:t>
      </w:r>
      <w:r w:rsidRPr="00C23169">
        <w:t>s</w:t>
      </w:r>
      <w:r>
        <w:t xml:space="preserve"> </w:t>
      </w:r>
      <w:r w:rsidRPr="00C23169">
        <w:t>plánem</w:t>
      </w:r>
      <w:r>
        <w:t xml:space="preserve"> </w:t>
      </w:r>
      <w:r w:rsidRPr="00C23169">
        <w:t>pro</w:t>
      </w:r>
      <w:r>
        <w:t xml:space="preserve"> </w:t>
      </w:r>
      <w:r w:rsidRPr="00C23169">
        <w:t>zajištění</w:t>
      </w:r>
      <w:r>
        <w:t xml:space="preserve"> </w:t>
      </w:r>
      <w:r w:rsidRPr="00C23169">
        <w:t>školení</w:t>
      </w:r>
      <w:r>
        <w:t xml:space="preserve"> </w:t>
      </w:r>
      <w:r w:rsidRPr="00C23169">
        <w:t>obsahujícím</w:t>
      </w:r>
      <w:r>
        <w:t xml:space="preserve"> </w:t>
      </w:r>
      <w:r w:rsidRPr="00C23169">
        <w:t>vymezení</w:t>
      </w:r>
      <w:r>
        <w:t xml:space="preserve"> </w:t>
      </w:r>
      <w:r w:rsidRPr="00C23169">
        <w:t>organizace,</w:t>
      </w:r>
      <w:r>
        <w:t xml:space="preserve"> </w:t>
      </w:r>
      <w:r w:rsidRPr="00C23169">
        <w:t>rozsahu</w:t>
      </w:r>
      <w:r>
        <w:t xml:space="preserve"> </w:t>
      </w:r>
      <w:r w:rsidRPr="00C23169">
        <w:t>a</w:t>
      </w:r>
      <w:r>
        <w:t xml:space="preserve"> </w:t>
      </w:r>
      <w:r w:rsidRPr="00C23169">
        <w:t>způsobu</w:t>
      </w:r>
      <w:r>
        <w:t xml:space="preserve"> </w:t>
      </w:r>
      <w:r w:rsidRPr="00C23169">
        <w:t>provádění</w:t>
      </w:r>
      <w:r>
        <w:t xml:space="preserve"> </w:t>
      </w:r>
      <w:r w:rsidRPr="00C23169">
        <w:t>školení</w:t>
      </w:r>
      <w:r>
        <w:t xml:space="preserve"> </w:t>
      </w:r>
      <w:r w:rsidRPr="00C23169">
        <w:t>a</w:t>
      </w:r>
      <w:r>
        <w:t xml:space="preserve"> </w:t>
      </w:r>
      <w:r w:rsidRPr="00C23169">
        <w:t>jeho</w:t>
      </w:r>
      <w:r>
        <w:t xml:space="preserve"> </w:t>
      </w:r>
      <w:r w:rsidRPr="00C23169">
        <w:t>kontroly,</w:t>
      </w:r>
    </w:p>
    <w:p w14:paraId="526C4595" w14:textId="454D9BB5" w:rsidR="00BE1F13" w:rsidRDefault="00BE1F13" w:rsidP="000D73B3">
      <w:pPr>
        <w:pStyle w:val="Textparagrafu"/>
        <w:tabs>
          <w:tab w:val="left" w:pos="392"/>
          <w:tab w:val="left" w:pos="826"/>
        </w:tabs>
        <w:spacing w:before="0"/>
        <w:ind w:left="426" w:hanging="426"/>
      </w:pPr>
      <w:r w:rsidRPr="00C23169">
        <w:t>b)</w:t>
      </w:r>
      <w:r w:rsidR="005E4525">
        <w:tab/>
      </w:r>
      <w:r w:rsidRPr="00C23169">
        <w:t>provádět</w:t>
      </w:r>
      <w:r>
        <w:t xml:space="preserve"> </w:t>
      </w:r>
      <w:r w:rsidRPr="00C23169">
        <w:t>školení</w:t>
      </w:r>
      <w:r>
        <w:t xml:space="preserve"> </w:t>
      </w:r>
      <w:r w:rsidRPr="00C23169">
        <w:t>prostřednictvím</w:t>
      </w:r>
      <w:r>
        <w:t xml:space="preserve"> </w:t>
      </w:r>
      <w:r w:rsidRPr="00C23169">
        <w:t>odborně</w:t>
      </w:r>
      <w:r>
        <w:t xml:space="preserve"> </w:t>
      </w:r>
      <w:r w:rsidRPr="00C23169">
        <w:t>způsobilých</w:t>
      </w:r>
      <w:r>
        <w:t xml:space="preserve"> </w:t>
      </w:r>
      <w:r w:rsidRPr="00C23169">
        <w:t>fyzických</w:t>
      </w:r>
      <w:r>
        <w:t xml:space="preserve"> </w:t>
      </w:r>
      <w:r w:rsidRPr="00C23169">
        <w:t>osob</w:t>
      </w:r>
      <w:r>
        <w:t xml:space="preserve"> </w:t>
      </w:r>
      <w:r w:rsidRPr="00C23169">
        <w:t>a</w:t>
      </w:r>
      <w:r>
        <w:t xml:space="preserve"> </w:t>
      </w:r>
      <w:r w:rsidRPr="00C23169">
        <w:t>způsobem</w:t>
      </w:r>
      <w:r>
        <w:t xml:space="preserve"> </w:t>
      </w:r>
      <w:r w:rsidRPr="00C23169">
        <w:t>a</w:t>
      </w:r>
      <w:r>
        <w:t xml:space="preserve"> </w:t>
      </w:r>
      <w:r w:rsidRPr="00C23169">
        <w:t>v</w:t>
      </w:r>
      <w:r>
        <w:t xml:space="preserve"> </w:t>
      </w:r>
      <w:r w:rsidRPr="00C23169">
        <w:t>rozsahu,</w:t>
      </w:r>
      <w:r>
        <w:t xml:space="preserve"> </w:t>
      </w:r>
      <w:r w:rsidRPr="00C23169">
        <w:t>které</w:t>
      </w:r>
      <w:r>
        <w:t xml:space="preserve"> </w:t>
      </w:r>
      <w:r w:rsidRPr="00C23169">
        <w:t>zajistí</w:t>
      </w:r>
      <w:r>
        <w:t xml:space="preserve"> </w:t>
      </w:r>
      <w:r w:rsidRPr="00C23169">
        <w:t>nabytí</w:t>
      </w:r>
      <w:r>
        <w:t xml:space="preserve"> </w:t>
      </w:r>
      <w:r w:rsidRPr="00C23169">
        <w:t>teoretických</w:t>
      </w:r>
      <w:r>
        <w:t xml:space="preserve"> </w:t>
      </w:r>
      <w:r w:rsidRPr="00C23169">
        <w:t>znalostí</w:t>
      </w:r>
      <w:r>
        <w:t xml:space="preserve"> </w:t>
      </w:r>
      <w:r w:rsidRPr="00C23169">
        <w:t>a</w:t>
      </w:r>
      <w:r>
        <w:t xml:space="preserve"> </w:t>
      </w:r>
      <w:r w:rsidRPr="00C23169">
        <w:t>praktických</w:t>
      </w:r>
      <w:r>
        <w:t xml:space="preserve"> </w:t>
      </w:r>
      <w:r w:rsidRPr="00C23169">
        <w:t>dovedností</w:t>
      </w:r>
      <w:r>
        <w:t xml:space="preserve"> </w:t>
      </w:r>
      <w:r w:rsidRPr="00C23169">
        <w:t>člena</w:t>
      </w:r>
      <w:r>
        <w:t xml:space="preserve"> </w:t>
      </w:r>
      <w:r w:rsidRPr="00C23169">
        <w:t>posádky</w:t>
      </w:r>
      <w:r>
        <w:t xml:space="preserve"> </w:t>
      </w:r>
      <w:r w:rsidRPr="00C23169">
        <w:t>plavidla</w:t>
      </w:r>
      <w:r>
        <w:t xml:space="preserve"> </w:t>
      </w:r>
      <w:r w:rsidRPr="00C23169">
        <w:t>nebo</w:t>
      </w:r>
      <w:r>
        <w:t xml:space="preserve"> </w:t>
      </w:r>
      <w:r w:rsidRPr="00C23169">
        <w:t>odborníka</w:t>
      </w:r>
      <w:r>
        <w:t xml:space="preserve"> </w:t>
      </w:r>
      <w:r w:rsidRPr="00C23169">
        <w:t>na</w:t>
      </w:r>
      <w:r>
        <w:t xml:space="preserve"> </w:t>
      </w:r>
      <w:r w:rsidRPr="00C23169">
        <w:t>přepravu</w:t>
      </w:r>
      <w:r>
        <w:t xml:space="preserve"> </w:t>
      </w:r>
      <w:r w:rsidRPr="00C23169">
        <w:t>cestujících,</w:t>
      </w:r>
    </w:p>
    <w:p w14:paraId="1EB63801" w14:textId="104D19CC" w:rsidR="00BE1F13" w:rsidRDefault="00BE1F13" w:rsidP="000D73B3">
      <w:pPr>
        <w:pStyle w:val="Textparagrafu"/>
        <w:tabs>
          <w:tab w:val="left" w:pos="392"/>
          <w:tab w:val="left" w:pos="826"/>
        </w:tabs>
        <w:spacing w:before="0"/>
        <w:ind w:left="426" w:hanging="426"/>
      </w:pPr>
      <w:r w:rsidRPr="00C23169">
        <w:t>c)</w:t>
      </w:r>
      <w:r w:rsidR="005E4525">
        <w:tab/>
      </w:r>
      <w:r w:rsidRPr="00C23169">
        <w:t>provádět</w:t>
      </w:r>
      <w:r>
        <w:t xml:space="preserve"> </w:t>
      </w:r>
      <w:r w:rsidRPr="00C23169">
        <w:t>školení</w:t>
      </w:r>
      <w:r>
        <w:t xml:space="preserve"> </w:t>
      </w:r>
      <w:r w:rsidRPr="00C23169">
        <w:t>v</w:t>
      </w:r>
      <w:r>
        <w:t xml:space="preserve"> </w:t>
      </w:r>
      <w:r w:rsidRPr="00C23169">
        <w:t>prostorách</w:t>
      </w:r>
      <w:r>
        <w:t xml:space="preserve"> </w:t>
      </w:r>
      <w:r w:rsidRPr="00C23169">
        <w:t>a</w:t>
      </w:r>
      <w:r>
        <w:t xml:space="preserve"> </w:t>
      </w:r>
      <w:r w:rsidRPr="00C23169">
        <w:t>s</w:t>
      </w:r>
      <w:r>
        <w:t xml:space="preserve"> </w:t>
      </w:r>
      <w:r w:rsidRPr="00C23169">
        <w:t>využitím</w:t>
      </w:r>
      <w:r>
        <w:t xml:space="preserve"> </w:t>
      </w:r>
      <w:r w:rsidRPr="00C23169">
        <w:t>plavidla,</w:t>
      </w:r>
      <w:r>
        <w:t xml:space="preserve"> </w:t>
      </w:r>
      <w:r w:rsidRPr="00C23169">
        <w:t>výukových</w:t>
      </w:r>
      <w:r>
        <w:t xml:space="preserve"> </w:t>
      </w:r>
      <w:r w:rsidRPr="00C23169">
        <w:t>materiálů,</w:t>
      </w:r>
      <w:r>
        <w:t xml:space="preserve"> </w:t>
      </w:r>
      <w:r w:rsidRPr="00C23169">
        <w:t>pomůcek</w:t>
      </w:r>
      <w:r>
        <w:t xml:space="preserve"> </w:t>
      </w:r>
      <w:r w:rsidRPr="00C23169">
        <w:t>a</w:t>
      </w:r>
      <w:r>
        <w:t xml:space="preserve"> </w:t>
      </w:r>
      <w:r w:rsidRPr="00C23169">
        <w:t>jiného</w:t>
      </w:r>
      <w:r>
        <w:t xml:space="preserve"> </w:t>
      </w:r>
      <w:r w:rsidRPr="00C23169">
        <w:t>vybavení,</w:t>
      </w:r>
      <w:r>
        <w:t xml:space="preserve"> </w:t>
      </w:r>
      <w:r w:rsidRPr="00C23169">
        <w:t>které</w:t>
      </w:r>
      <w:r>
        <w:t xml:space="preserve"> </w:t>
      </w:r>
      <w:r w:rsidRPr="00C23169">
        <w:t>zajistí</w:t>
      </w:r>
      <w:r>
        <w:t xml:space="preserve"> </w:t>
      </w:r>
      <w:r w:rsidRPr="00C23169">
        <w:t>nabytí</w:t>
      </w:r>
      <w:r>
        <w:t xml:space="preserve"> </w:t>
      </w:r>
      <w:r w:rsidRPr="00C23169">
        <w:t>teoretických</w:t>
      </w:r>
      <w:r>
        <w:t xml:space="preserve"> </w:t>
      </w:r>
      <w:r w:rsidRPr="00C23169">
        <w:t>znalostí</w:t>
      </w:r>
      <w:r>
        <w:t xml:space="preserve"> </w:t>
      </w:r>
      <w:r w:rsidRPr="00C23169">
        <w:t>a</w:t>
      </w:r>
      <w:r>
        <w:t xml:space="preserve"> </w:t>
      </w:r>
      <w:r w:rsidRPr="00C23169">
        <w:t>praktických</w:t>
      </w:r>
      <w:r>
        <w:t xml:space="preserve"> </w:t>
      </w:r>
      <w:r w:rsidRPr="00C23169">
        <w:t>dovedností</w:t>
      </w:r>
      <w:r>
        <w:t xml:space="preserve"> </w:t>
      </w:r>
      <w:r w:rsidRPr="00C23169">
        <w:t>člena</w:t>
      </w:r>
      <w:r>
        <w:t xml:space="preserve"> </w:t>
      </w:r>
      <w:r w:rsidRPr="00C23169">
        <w:t>posádky</w:t>
      </w:r>
      <w:r>
        <w:t xml:space="preserve"> </w:t>
      </w:r>
      <w:r w:rsidRPr="00C23169">
        <w:t>plavidla</w:t>
      </w:r>
      <w:r>
        <w:t xml:space="preserve"> </w:t>
      </w:r>
      <w:r w:rsidRPr="00C23169">
        <w:t>nebo</w:t>
      </w:r>
      <w:r>
        <w:t xml:space="preserve"> </w:t>
      </w:r>
      <w:r w:rsidRPr="00C23169">
        <w:t>odborníka</w:t>
      </w:r>
      <w:r>
        <w:t xml:space="preserve"> </w:t>
      </w:r>
      <w:r w:rsidRPr="00C23169">
        <w:t>na</w:t>
      </w:r>
      <w:r>
        <w:t xml:space="preserve"> </w:t>
      </w:r>
      <w:r w:rsidRPr="00C23169">
        <w:t>přepravu</w:t>
      </w:r>
      <w:r>
        <w:t xml:space="preserve"> </w:t>
      </w:r>
      <w:r w:rsidRPr="00C23169">
        <w:t>cestujících,</w:t>
      </w:r>
    </w:p>
    <w:p w14:paraId="4F8F2DCB" w14:textId="556B6570" w:rsidR="00BE1F13" w:rsidRDefault="00BE1F13" w:rsidP="000D73B3">
      <w:pPr>
        <w:pStyle w:val="Textparagrafu"/>
        <w:tabs>
          <w:tab w:val="left" w:pos="392"/>
          <w:tab w:val="left" w:pos="826"/>
        </w:tabs>
        <w:spacing w:before="0"/>
        <w:ind w:left="426" w:hanging="426"/>
      </w:pPr>
      <w:r w:rsidRPr="00C23169">
        <w:t>d)</w:t>
      </w:r>
      <w:r w:rsidR="005E4525">
        <w:tab/>
      </w:r>
      <w:r w:rsidRPr="00C23169">
        <w:t>provádět</w:t>
      </w:r>
      <w:r>
        <w:t xml:space="preserve"> </w:t>
      </w:r>
      <w:r w:rsidRPr="00C23169">
        <w:t>školení</w:t>
      </w:r>
      <w:r>
        <w:t xml:space="preserve"> </w:t>
      </w:r>
      <w:r w:rsidRPr="00C23169">
        <w:t>s</w:t>
      </w:r>
      <w:r>
        <w:t xml:space="preserve"> </w:t>
      </w:r>
      <w:r w:rsidRPr="00C23169">
        <w:t>využitím</w:t>
      </w:r>
      <w:r>
        <w:t xml:space="preserve"> </w:t>
      </w:r>
      <w:r w:rsidRPr="00C23169">
        <w:t>simulátoru,</w:t>
      </w:r>
      <w:r>
        <w:t xml:space="preserve"> </w:t>
      </w:r>
      <w:r w:rsidRPr="00C23169">
        <w:t>jehož</w:t>
      </w:r>
      <w:r>
        <w:t xml:space="preserve"> </w:t>
      </w:r>
      <w:r w:rsidRPr="00C23169">
        <w:t>technická</w:t>
      </w:r>
      <w:r>
        <w:t xml:space="preserve"> </w:t>
      </w:r>
      <w:r w:rsidRPr="00C23169">
        <w:t>způsobilost</w:t>
      </w:r>
      <w:r>
        <w:t xml:space="preserve"> </w:t>
      </w:r>
      <w:r w:rsidRPr="00C23169">
        <w:t>byla</w:t>
      </w:r>
      <w:r>
        <w:t xml:space="preserve"> </w:t>
      </w:r>
      <w:r w:rsidRPr="00C23169">
        <w:t>schválena</w:t>
      </w:r>
      <w:r>
        <w:t xml:space="preserve"> </w:t>
      </w:r>
      <w:r w:rsidRPr="00C23169">
        <w:t>plavebním</w:t>
      </w:r>
      <w:r>
        <w:t xml:space="preserve"> </w:t>
      </w:r>
      <w:r w:rsidRPr="00C23169">
        <w:t>úřadem,</w:t>
      </w:r>
      <w:r>
        <w:t xml:space="preserve"> </w:t>
      </w:r>
      <w:r w:rsidRPr="00C23169">
        <w:t>jiným</w:t>
      </w:r>
      <w:r>
        <w:t xml:space="preserve"> </w:t>
      </w:r>
      <w:r w:rsidRPr="00C23169">
        <w:t>členským</w:t>
      </w:r>
      <w:r>
        <w:t xml:space="preserve"> </w:t>
      </w:r>
      <w:r w:rsidRPr="00C23169">
        <w:t>státem</w:t>
      </w:r>
      <w:r>
        <w:t xml:space="preserve"> </w:t>
      </w:r>
      <w:r w:rsidRPr="00C23169">
        <w:t>Evropské</w:t>
      </w:r>
      <w:r>
        <w:t xml:space="preserve"> </w:t>
      </w:r>
      <w:r w:rsidRPr="00C23169">
        <w:t>unie</w:t>
      </w:r>
      <w:r>
        <w:t xml:space="preserve"> </w:t>
      </w:r>
      <w:r w:rsidRPr="00C23169">
        <w:t>nebo</w:t>
      </w:r>
      <w:r>
        <w:t xml:space="preserve"> </w:t>
      </w:r>
      <w:r w:rsidRPr="00C23169">
        <w:t>smluvním</w:t>
      </w:r>
      <w:r>
        <w:t xml:space="preserve"> </w:t>
      </w:r>
      <w:r w:rsidRPr="00C23169">
        <w:t>státem</w:t>
      </w:r>
      <w:r>
        <w:t xml:space="preserve"> </w:t>
      </w:r>
      <w:r w:rsidRPr="00C23169">
        <w:t>Dohody</w:t>
      </w:r>
      <w:r>
        <w:t xml:space="preserve"> </w:t>
      </w:r>
      <w:r w:rsidRPr="00C23169">
        <w:t>o</w:t>
      </w:r>
      <w:r>
        <w:t xml:space="preserve"> </w:t>
      </w:r>
      <w:r w:rsidRPr="00C23169">
        <w:t>Evropském</w:t>
      </w:r>
      <w:r>
        <w:t xml:space="preserve"> </w:t>
      </w:r>
      <w:r w:rsidRPr="00C23169">
        <w:t>hospodářském</w:t>
      </w:r>
      <w:r>
        <w:t xml:space="preserve"> </w:t>
      </w:r>
      <w:r w:rsidRPr="00C23169">
        <w:t>prostoru</w:t>
      </w:r>
      <w:r>
        <w:t xml:space="preserve"> </w:t>
      </w:r>
      <w:r w:rsidRPr="00C23169">
        <w:t>a</w:t>
      </w:r>
      <w:r>
        <w:t xml:space="preserve"> </w:t>
      </w:r>
      <w:r w:rsidRPr="00C23169">
        <w:t>u</w:t>
      </w:r>
      <w:r>
        <w:t xml:space="preserve"> </w:t>
      </w:r>
      <w:r w:rsidRPr="00C23169">
        <w:t>něhož</w:t>
      </w:r>
      <w:r>
        <w:t xml:space="preserve"> </w:t>
      </w:r>
      <w:r w:rsidRPr="00C23169">
        <w:t>nebylo</w:t>
      </w:r>
      <w:r>
        <w:t xml:space="preserve"> </w:t>
      </w:r>
      <w:r w:rsidRPr="00C23169">
        <w:t>pravomocně</w:t>
      </w:r>
      <w:r>
        <w:t xml:space="preserve"> </w:t>
      </w:r>
      <w:r w:rsidRPr="00C23169">
        <w:t>rozhodnuto</w:t>
      </w:r>
      <w:r>
        <w:t xml:space="preserve"> </w:t>
      </w:r>
      <w:r w:rsidRPr="00C23169">
        <w:t>o</w:t>
      </w:r>
      <w:r>
        <w:t xml:space="preserve"> </w:t>
      </w:r>
      <w:r w:rsidRPr="00C23169">
        <w:t>technické</w:t>
      </w:r>
      <w:r>
        <w:t xml:space="preserve"> </w:t>
      </w:r>
      <w:r w:rsidRPr="00C23169">
        <w:t>nezpůsobilosti</w:t>
      </w:r>
      <w:r>
        <w:t xml:space="preserve"> </w:t>
      </w:r>
      <w:r w:rsidRPr="00C23169">
        <w:t>nebo</w:t>
      </w:r>
      <w:r>
        <w:t xml:space="preserve"> </w:t>
      </w:r>
      <w:r w:rsidRPr="00C23169">
        <w:t>o</w:t>
      </w:r>
      <w:r>
        <w:t xml:space="preserve"> </w:t>
      </w:r>
      <w:r w:rsidRPr="00C23169">
        <w:t>zákazu</w:t>
      </w:r>
      <w:r>
        <w:t xml:space="preserve"> </w:t>
      </w:r>
      <w:r w:rsidRPr="00C23169">
        <w:t>používání</w:t>
      </w:r>
      <w:r>
        <w:t xml:space="preserve"> </w:t>
      </w:r>
      <w:r w:rsidRPr="00C23169">
        <w:t>simulátoru</w:t>
      </w:r>
      <w:r>
        <w:t xml:space="preserve"> </w:t>
      </w:r>
      <w:r w:rsidRPr="00C23169">
        <w:t>k</w:t>
      </w:r>
      <w:r>
        <w:t xml:space="preserve"> </w:t>
      </w:r>
      <w:r w:rsidRPr="00C23169">
        <w:t>ověřování</w:t>
      </w:r>
      <w:r>
        <w:t xml:space="preserve"> </w:t>
      </w:r>
      <w:r w:rsidRPr="00C23169">
        <w:t>praktických</w:t>
      </w:r>
      <w:r>
        <w:t xml:space="preserve"> </w:t>
      </w:r>
      <w:r w:rsidRPr="00C23169">
        <w:t>dovedností</w:t>
      </w:r>
      <w:r>
        <w:t xml:space="preserve"> </w:t>
      </w:r>
      <w:r w:rsidRPr="00C23169">
        <w:t>podle</w:t>
      </w:r>
      <w:r>
        <w:t xml:space="preserve"> </w:t>
      </w:r>
      <w:r w:rsidRPr="00C23169">
        <w:t>§</w:t>
      </w:r>
      <w:r>
        <w:t xml:space="preserve"> </w:t>
      </w:r>
      <w:r w:rsidRPr="00C23169">
        <w:t>25b</w:t>
      </w:r>
      <w:r>
        <w:t xml:space="preserve"> </w:t>
      </w:r>
      <w:r w:rsidRPr="00C23169">
        <w:t>odst.</w:t>
      </w:r>
      <w:r>
        <w:t xml:space="preserve"> </w:t>
      </w:r>
      <w:r w:rsidRPr="00C23169">
        <w:t>5,</w:t>
      </w:r>
      <w:r>
        <w:t xml:space="preserve"> </w:t>
      </w:r>
      <w:r w:rsidRPr="00C23169">
        <w:t>využívá-li</w:t>
      </w:r>
      <w:r>
        <w:t xml:space="preserve"> </w:t>
      </w:r>
      <w:r w:rsidRPr="00C23169">
        <w:t>simulátor</w:t>
      </w:r>
      <w:r>
        <w:t xml:space="preserve"> </w:t>
      </w:r>
      <w:r w:rsidRPr="00C23169">
        <w:t>k</w:t>
      </w:r>
      <w:r>
        <w:t xml:space="preserve"> </w:t>
      </w:r>
      <w:r w:rsidRPr="00C23169">
        <w:t>ověřování</w:t>
      </w:r>
      <w:r>
        <w:t xml:space="preserve"> </w:t>
      </w:r>
      <w:r w:rsidRPr="00C23169">
        <w:t>praktických</w:t>
      </w:r>
      <w:r>
        <w:t xml:space="preserve"> </w:t>
      </w:r>
      <w:r w:rsidRPr="00C23169">
        <w:t>dovedností</w:t>
      </w:r>
      <w:r>
        <w:t xml:space="preserve"> </w:t>
      </w:r>
      <w:r w:rsidRPr="00C23169">
        <w:t>vůdce</w:t>
      </w:r>
      <w:r>
        <w:t xml:space="preserve"> </w:t>
      </w:r>
      <w:r w:rsidRPr="00C23169">
        <w:t>plavidla,</w:t>
      </w:r>
    </w:p>
    <w:p w14:paraId="42DC9DC3" w14:textId="34B90BEB" w:rsidR="00BE1F13" w:rsidRDefault="00BE1F13" w:rsidP="000D73B3">
      <w:pPr>
        <w:pStyle w:val="Textparagrafu"/>
        <w:tabs>
          <w:tab w:val="left" w:pos="392"/>
          <w:tab w:val="left" w:pos="826"/>
        </w:tabs>
        <w:spacing w:before="0"/>
        <w:ind w:left="426" w:hanging="426"/>
      </w:pPr>
      <w:r w:rsidRPr="00C23169">
        <w:t>e)</w:t>
      </w:r>
      <w:r w:rsidR="005E4525">
        <w:tab/>
      </w:r>
      <w:r w:rsidRPr="00C23169">
        <w:t>vést</w:t>
      </w:r>
      <w:r>
        <w:t xml:space="preserve"> </w:t>
      </w:r>
      <w:r w:rsidRPr="00C23169">
        <w:t>seznam</w:t>
      </w:r>
      <w:r>
        <w:t xml:space="preserve"> </w:t>
      </w:r>
      <w:r w:rsidRPr="00C23169">
        <w:t>osob</w:t>
      </w:r>
      <w:r>
        <w:t xml:space="preserve"> </w:t>
      </w:r>
      <w:r w:rsidRPr="00C23169">
        <w:t>účastnících</w:t>
      </w:r>
      <w:r>
        <w:t xml:space="preserve"> </w:t>
      </w:r>
      <w:r w:rsidRPr="00C23169">
        <w:t>se</w:t>
      </w:r>
      <w:r>
        <w:t xml:space="preserve"> </w:t>
      </w:r>
      <w:r w:rsidRPr="00C23169">
        <w:t>prováděného</w:t>
      </w:r>
      <w:r>
        <w:t xml:space="preserve"> </w:t>
      </w:r>
      <w:r w:rsidRPr="00C23169">
        <w:t>školení</w:t>
      </w:r>
      <w:r>
        <w:t xml:space="preserve"> </w:t>
      </w:r>
      <w:r w:rsidRPr="00C23169">
        <w:t>a</w:t>
      </w:r>
      <w:r>
        <w:t xml:space="preserve"> </w:t>
      </w:r>
      <w:r w:rsidRPr="00C23169">
        <w:t>tento</w:t>
      </w:r>
      <w:r>
        <w:t xml:space="preserve"> </w:t>
      </w:r>
      <w:r w:rsidRPr="00C23169">
        <w:t>seznam</w:t>
      </w:r>
      <w:r>
        <w:t xml:space="preserve"> </w:t>
      </w:r>
      <w:r w:rsidRPr="00C23169">
        <w:t>neprodleně</w:t>
      </w:r>
      <w:r>
        <w:t xml:space="preserve"> </w:t>
      </w:r>
      <w:r w:rsidRPr="00C23169">
        <w:t>po</w:t>
      </w:r>
      <w:r>
        <w:t xml:space="preserve"> </w:t>
      </w:r>
      <w:r w:rsidRPr="00C23169">
        <w:t>zahájení</w:t>
      </w:r>
      <w:r>
        <w:t xml:space="preserve"> </w:t>
      </w:r>
      <w:r w:rsidRPr="00C23169">
        <w:t>školení</w:t>
      </w:r>
      <w:r>
        <w:t xml:space="preserve"> </w:t>
      </w:r>
      <w:r w:rsidRPr="00C23169">
        <w:t>zaslat</w:t>
      </w:r>
      <w:r>
        <w:t xml:space="preserve"> </w:t>
      </w:r>
      <w:r w:rsidRPr="00C23169">
        <w:t>prostřednictvím</w:t>
      </w:r>
      <w:r>
        <w:t xml:space="preserve"> </w:t>
      </w:r>
      <w:r w:rsidRPr="00C23169">
        <w:t>veřejné</w:t>
      </w:r>
      <w:r>
        <w:t xml:space="preserve"> </w:t>
      </w:r>
      <w:r w:rsidRPr="00C23169">
        <w:t>datové</w:t>
      </w:r>
      <w:r>
        <w:t xml:space="preserve"> </w:t>
      </w:r>
      <w:r w:rsidRPr="00C23169">
        <w:t>sítě</w:t>
      </w:r>
      <w:r>
        <w:t xml:space="preserve"> </w:t>
      </w:r>
      <w:r w:rsidRPr="00C23169">
        <w:t>do</w:t>
      </w:r>
      <w:r>
        <w:t xml:space="preserve"> </w:t>
      </w:r>
      <w:r w:rsidRPr="00C23169">
        <w:t>datové</w:t>
      </w:r>
      <w:r>
        <w:t xml:space="preserve"> </w:t>
      </w:r>
      <w:r w:rsidRPr="00C23169">
        <w:t>schránky</w:t>
      </w:r>
      <w:r>
        <w:t xml:space="preserve"> </w:t>
      </w:r>
      <w:r w:rsidRPr="00C23169">
        <w:t>plavebnímu</w:t>
      </w:r>
      <w:r>
        <w:t xml:space="preserve"> </w:t>
      </w:r>
      <w:r w:rsidRPr="00C23169">
        <w:t>úřadu,</w:t>
      </w:r>
    </w:p>
    <w:p w14:paraId="249D1397" w14:textId="773D319C" w:rsidR="00BE1F13" w:rsidRDefault="00BE1F13" w:rsidP="000D73B3">
      <w:pPr>
        <w:pStyle w:val="Textparagrafu"/>
        <w:tabs>
          <w:tab w:val="left" w:pos="392"/>
          <w:tab w:val="left" w:pos="826"/>
        </w:tabs>
        <w:spacing w:before="0"/>
        <w:ind w:left="426" w:hanging="426"/>
      </w:pPr>
      <w:r w:rsidRPr="00C23169">
        <w:t>f)</w:t>
      </w:r>
      <w:r w:rsidR="005E4525">
        <w:tab/>
      </w:r>
      <w:r w:rsidRPr="00C23169">
        <w:t>podrobit</w:t>
      </w:r>
      <w:r>
        <w:t xml:space="preserve"> </w:t>
      </w:r>
      <w:r w:rsidRPr="00C23169">
        <w:t>osoby</w:t>
      </w:r>
      <w:r>
        <w:t xml:space="preserve"> </w:t>
      </w:r>
      <w:r w:rsidRPr="00C23169">
        <w:t>účastnící</w:t>
      </w:r>
      <w:r>
        <w:t xml:space="preserve"> </w:t>
      </w:r>
      <w:r w:rsidRPr="00C23169">
        <w:t>se</w:t>
      </w:r>
      <w:r>
        <w:t xml:space="preserve"> </w:t>
      </w:r>
      <w:r w:rsidRPr="00C23169">
        <w:t>prováděného</w:t>
      </w:r>
      <w:r>
        <w:t xml:space="preserve"> </w:t>
      </w:r>
      <w:r w:rsidRPr="00C23169">
        <w:t>školení</w:t>
      </w:r>
      <w:r>
        <w:t xml:space="preserve"> </w:t>
      </w:r>
      <w:r w:rsidRPr="00C23169">
        <w:t>závěrečné</w:t>
      </w:r>
      <w:r>
        <w:t xml:space="preserve"> </w:t>
      </w:r>
      <w:r w:rsidRPr="00C23169">
        <w:t>zkoušce,</w:t>
      </w:r>
      <w:r>
        <w:t xml:space="preserve"> </w:t>
      </w:r>
      <w:r w:rsidRPr="00C23169">
        <w:t>která</w:t>
      </w:r>
      <w:r>
        <w:t xml:space="preserve"> </w:t>
      </w:r>
      <w:r w:rsidRPr="00C23169">
        <w:t>ověří</w:t>
      </w:r>
      <w:r>
        <w:t xml:space="preserve"> </w:t>
      </w:r>
      <w:r w:rsidRPr="00C23169">
        <w:t>nabytí</w:t>
      </w:r>
      <w:r>
        <w:t xml:space="preserve"> </w:t>
      </w:r>
      <w:r w:rsidRPr="00C23169">
        <w:t>teoretických</w:t>
      </w:r>
      <w:r>
        <w:t xml:space="preserve"> </w:t>
      </w:r>
      <w:r w:rsidRPr="00C23169">
        <w:t>znalostí</w:t>
      </w:r>
      <w:r>
        <w:t xml:space="preserve"> </w:t>
      </w:r>
      <w:r w:rsidRPr="00C23169">
        <w:t>a</w:t>
      </w:r>
      <w:r>
        <w:t xml:space="preserve"> </w:t>
      </w:r>
      <w:r w:rsidRPr="00C23169">
        <w:t>praktických</w:t>
      </w:r>
      <w:r>
        <w:t xml:space="preserve"> </w:t>
      </w:r>
      <w:r w:rsidRPr="00C23169">
        <w:t>dovedností</w:t>
      </w:r>
      <w:r>
        <w:t xml:space="preserve"> </w:t>
      </w:r>
      <w:r w:rsidRPr="00C23169">
        <w:t>člena</w:t>
      </w:r>
      <w:r>
        <w:t xml:space="preserve"> </w:t>
      </w:r>
      <w:r w:rsidRPr="00C23169">
        <w:t>posádky</w:t>
      </w:r>
      <w:r>
        <w:t xml:space="preserve"> </w:t>
      </w:r>
      <w:r w:rsidRPr="00C23169">
        <w:t>plavidla</w:t>
      </w:r>
      <w:r>
        <w:t xml:space="preserve"> </w:t>
      </w:r>
      <w:r w:rsidRPr="00C23169">
        <w:t>nebo</w:t>
      </w:r>
      <w:r>
        <w:t xml:space="preserve"> </w:t>
      </w:r>
      <w:r w:rsidRPr="00C23169">
        <w:t>odborníka</w:t>
      </w:r>
      <w:r>
        <w:t xml:space="preserve"> </w:t>
      </w:r>
      <w:r w:rsidRPr="00C23169">
        <w:t>na</w:t>
      </w:r>
      <w:r>
        <w:t xml:space="preserve"> </w:t>
      </w:r>
      <w:r w:rsidRPr="00C23169">
        <w:t>přepravu</w:t>
      </w:r>
      <w:r>
        <w:t xml:space="preserve"> </w:t>
      </w:r>
      <w:r w:rsidRPr="00C23169">
        <w:t>cestujících,</w:t>
      </w:r>
      <w:r>
        <w:t xml:space="preserve"> </w:t>
      </w:r>
      <w:r w:rsidRPr="00C23169">
        <w:t>a</w:t>
      </w:r>
      <w:r>
        <w:t xml:space="preserve"> </w:t>
      </w:r>
      <w:r w:rsidRPr="00C23169">
        <w:t>provádět</w:t>
      </w:r>
      <w:r>
        <w:t xml:space="preserve"> </w:t>
      </w:r>
      <w:r w:rsidRPr="00C23169">
        <w:t>tuto</w:t>
      </w:r>
      <w:r>
        <w:t xml:space="preserve"> </w:t>
      </w:r>
      <w:r w:rsidRPr="00C23169">
        <w:t>zkoušku</w:t>
      </w:r>
      <w:r>
        <w:t xml:space="preserve"> </w:t>
      </w:r>
      <w:r w:rsidRPr="00C23169">
        <w:t>prostřednictvím</w:t>
      </w:r>
      <w:r>
        <w:t xml:space="preserve"> </w:t>
      </w:r>
      <w:r w:rsidRPr="00C23169">
        <w:t>odborně</w:t>
      </w:r>
      <w:r>
        <w:t xml:space="preserve"> </w:t>
      </w:r>
      <w:r w:rsidRPr="00C23169">
        <w:t>způsobilých</w:t>
      </w:r>
      <w:r>
        <w:t xml:space="preserve"> </w:t>
      </w:r>
      <w:r w:rsidRPr="00C23169">
        <w:t>fyzických</w:t>
      </w:r>
      <w:r>
        <w:t xml:space="preserve"> </w:t>
      </w:r>
      <w:r w:rsidRPr="00C23169">
        <w:t>osob,</w:t>
      </w:r>
    </w:p>
    <w:p w14:paraId="390541DA" w14:textId="054DD87F" w:rsidR="00BE1F13" w:rsidRDefault="00BE1F13" w:rsidP="000D73B3">
      <w:pPr>
        <w:pStyle w:val="Textparagrafu"/>
        <w:tabs>
          <w:tab w:val="left" w:pos="392"/>
          <w:tab w:val="left" w:pos="826"/>
        </w:tabs>
        <w:spacing w:before="0"/>
        <w:ind w:left="426" w:hanging="426"/>
      </w:pPr>
      <w:r w:rsidRPr="00C23169">
        <w:t>g)</w:t>
      </w:r>
      <w:r w:rsidR="005E4525">
        <w:tab/>
      </w:r>
      <w:r w:rsidRPr="00C23169">
        <w:t>pořídit</w:t>
      </w:r>
      <w:r>
        <w:t xml:space="preserve"> </w:t>
      </w:r>
      <w:r w:rsidRPr="00C23169">
        <w:t>o</w:t>
      </w:r>
      <w:r>
        <w:t xml:space="preserve"> </w:t>
      </w:r>
      <w:r w:rsidRPr="00C23169">
        <w:t>průběhu</w:t>
      </w:r>
      <w:r>
        <w:t xml:space="preserve"> </w:t>
      </w:r>
      <w:r w:rsidRPr="00C23169">
        <w:t>a</w:t>
      </w:r>
      <w:r>
        <w:t xml:space="preserve"> </w:t>
      </w:r>
      <w:r w:rsidRPr="00C23169">
        <w:t>výsledku</w:t>
      </w:r>
      <w:r>
        <w:t xml:space="preserve"> </w:t>
      </w:r>
      <w:r w:rsidRPr="00C23169">
        <w:t>školení</w:t>
      </w:r>
      <w:r>
        <w:t xml:space="preserve"> </w:t>
      </w:r>
      <w:r w:rsidRPr="00C23169">
        <w:t>a</w:t>
      </w:r>
      <w:r>
        <w:t xml:space="preserve"> </w:t>
      </w:r>
      <w:r w:rsidRPr="00C23169">
        <w:t>závěrečné</w:t>
      </w:r>
      <w:r>
        <w:t xml:space="preserve"> </w:t>
      </w:r>
      <w:r w:rsidRPr="00C23169">
        <w:t>zkoušky</w:t>
      </w:r>
      <w:r>
        <w:t xml:space="preserve"> </w:t>
      </w:r>
      <w:r w:rsidRPr="00C23169">
        <w:t>zápis,</w:t>
      </w:r>
      <w:r>
        <w:t xml:space="preserve"> </w:t>
      </w:r>
      <w:r w:rsidRPr="00C23169">
        <w:t>který</w:t>
      </w:r>
      <w:r>
        <w:t xml:space="preserve"> </w:t>
      </w:r>
      <w:r w:rsidRPr="00C23169">
        <w:t>uchová</w:t>
      </w:r>
      <w:r>
        <w:t xml:space="preserve"> </w:t>
      </w:r>
      <w:r w:rsidRPr="00C23169">
        <w:t>po</w:t>
      </w:r>
      <w:r>
        <w:t xml:space="preserve"> </w:t>
      </w:r>
      <w:r w:rsidRPr="00C23169">
        <w:t>dobu</w:t>
      </w:r>
      <w:r>
        <w:t xml:space="preserve"> </w:t>
      </w:r>
      <w:r w:rsidRPr="00C23169">
        <w:t>5</w:t>
      </w:r>
      <w:r>
        <w:t xml:space="preserve"> </w:t>
      </w:r>
      <w:r w:rsidRPr="00C23169">
        <w:t>let</w:t>
      </w:r>
      <w:r>
        <w:t xml:space="preserve"> </w:t>
      </w:r>
      <w:r w:rsidRPr="00C23169">
        <w:t>ode</w:t>
      </w:r>
      <w:r>
        <w:t xml:space="preserve"> </w:t>
      </w:r>
      <w:r w:rsidRPr="00C23169">
        <w:t>dne</w:t>
      </w:r>
      <w:r>
        <w:t xml:space="preserve"> </w:t>
      </w:r>
      <w:r w:rsidRPr="00C23169">
        <w:t>provedení</w:t>
      </w:r>
      <w:r>
        <w:t xml:space="preserve"> </w:t>
      </w:r>
      <w:r w:rsidRPr="00C23169">
        <w:t>závěrečné</w:t>
      </w:r>
      <w:r>
        <w:t xml:space="preserve"> </w:t>
      </w:r>
      <w:r w:rsidRPr="00C23169">
        <w:t>zkoušky,</w:t>
      </w:r>
    </w:p>
    <w:p w14:paraId="19BC124D" w14:textId="64AF48C8" w:rsidR="00BE1F13" w:rsidRDefault="00BE1F13" w:rsidP="000D73B3">
      <w:pPr>
        <w:pStyle w:val="Textparagrafu"/>
        <w:tabs>
          <w:tab w:val="left" w:pos="392"/>
          <w:tab w:val="left" w:pos="826"/>
        </w:tabs>
        <w:spacing w:before="0"/>
        <w:ind w:left="426" w:hanging="426"/>
      </w:pPr>
      <w:r w:rsidRPr="00C23169">
        <w:t>h)</w:t>
      </w:r>
      <w:r w:rsidR="005E4525">
        <w:tab/>
      </w:r>
      <w:r w:rsidRPr="00C23169">
        <w:t>sdělit</w:t>
      </w:r>
      <w:r>
        <w:t xml:space="preserve"> </w:t>
      </w:r>
      <w:r w:rsidRPr="00C23169">
        <w:t>výsledek</w:t>
      </w:r>
      <w:r>
        <w:t xml:space="preserve"> </w:t>
      </w:r>
      <w:r w:rsidRPr="00C23169">
        <w:t>závěrečné</w:t>
      </w:r>
      <w:r>
        <w:t xml:space="preserve"> </w:t>
      </w:r>
      <w:r w:rsidRPr="00C23169">
        <w:t>zkoušky</w:t>
      </w:r>
      <w:r>
        <w:t xml:space="preserve"> </w:t>
      </w:r>
      <w:r w:rsidRPr="00C23169">
        <w:t>neprodleně</w:t>
      </w:r>
      <w:r>
        <w:t xml:space="preserve"> </w:t>
      </w:r>
      <w:r w:rsidRPr="00C23169">
        <w:t>po</w:t>
      </w:r>
      <w:r>
        <w:t xml:space="preserve"> </w:t>
      </w:r>
      <w:r w:rsidRPr="00C23169">
        <w:t>jejím</w:t>
      </w:r>
      <w:r>
        <w:t xml:space="preserve"> </w:t>
      </w:r>
      <w:r w:rsidRPr="00C23169">
        <w:t>provedení</w:t>
      </w:r>
      <w:r>
        <w:t xml:space="preserve"> </w:t>
      </w:r>
      <w:r w:rsidRPr="00C23169">
        <w:t>prostřednictvím</w:t>
      </w:r>
      <w:r>
        <w:t xml:space="preserve"> </w:t>
      </w:r>
      <w:r w:rsidRPr="00C23169">
        <w:t>veřejné</w:t>
      </w:r>
      <w:r>
        <w:t xml:space="preserve"> </w:t>
      </w:r>
      <w:r w:rsidRPr="00C23169">
        <w:t>datové</w:t>
      </w:r>
      <w:r>
        <w:t xml:space="preserve"> </w:t>
      </w:r>
      <w:r w:rsidRPr="00C23169">
        <w:t>sítě</w:t>
      </w:r>
      <w:r>
        <w:t xml:space="preserve"> </w:t>
      </w:r>
      <w:r w:rsidRPr="00C23169">
        <w:t>do</w:t>
      </w:r>
      <w:r>
        <w:t xml:space="preserve"> </w:t>
      </w:r>
      <w:r w:rsidRPr="00C23169">
        <w:t>datové</w:t>
      </w:r>
      <w:r>
        <w:t xml:space="preserve"> </w:t>
      </w:r>
      <w:r w:rsidRPr="00C23169">
        <w:t>schránky</w:t>
      </w:r>
      <w:r>
        <w:t xml:space="preserve"> </w:t>
      </w:r>
      <w:r w:rsidRPr="00C23169">
        <w:t>plavebnímu</w:t>
      </w:r>
      <w:r>
        <w:t xml:space="preserve"> </w:t>
      </w:r>
      <w:r w:rsidRPr="00C23169">
        <w:t>úřadu</w:t>
      </w:r>
      <w:r>
        <w:t xml:space="preserve"> </w:t>
      </w:r>
      <w:r w:rsidRPr="00C23169">
        <w:t>a</w:t>
      </w:r>
    </w:p>
    <w:p w14:paraId="5F16E019" w14:textId="0900DB2C" w:rsidR="00BE1F13" w:rsidRDefault="00BE1F13" w:rsidP="000D73B3">
      <w:pPr>
        <w:pStyle w:val="Textparagrafu"/>
        <w:tabs>
          <w:tab w:val="left" w:pos="392"/>
          <w:tab w:val="left" w:pos="826"/>
        </w:tabs>
        <w:spacing w:before="0"/>
        <w:ind w:left="426" w:hanging="426"/>
      </w:pPr>
      <w:r w:rsidRPr="00C23169">
        <w:t>i)</w:t>
      </w:r>
      <w:r w:rsidR="005E4525">
        <w:tab/>
      </w:r>
      <w:r w:rsidRPr="00C23169">
        <w:t>vydat</w:t>
      </w:r>
      <w:r>
        <w:t xml:space="preserve"> </w:t>
      </w:r>
      <w:r w:rsidRPr="00C23169">
        <w:t>absolventu</w:t>
      </w:r>
      <w:r>
        <w:t xml:space="preserve"> </w:t>
      </w:r>
      <w:r w:rsidRPr="00C23169">
        <w:t>školení</w:t>
      </w:r>
      <w:r>
        <w:t xml:space="preserve"> </w:t>
      </w:r>
      <w:r w:rsidRPr="00C23169">
        <w:t>o</w:t>
      </w:r>
      <w:r>
        <w:t xml:space="preserve"> </w:t>
      </w:r>
      <w:r w:rsidRPr="00C23169">
        <w:t>úspěšném</w:t>
      </w:r>
      <w:r>
        <w:t xml:space="preserve"> </w:t>
      </w:r>
      <w:r w:rsidRPr="00C23169">
        <w:t>složení</w:t>
      </w:r>
      <w:r>
        <w:t xml:space="preserve"> </w:t>
      </w:r>
      <w:r w:rsidRPr="00C23169">
        <w:t>závěrečné</w:t>
      </w:r>
      <w:r>
        <w:t xml:space="preserve"> </w:t>
      </w:r>
      <w:r w:rsidRPr="00C23169">
        <w:t>zkoušky</w:t>
      </w:r>
      <w:r>
        <w:t xml:space="preserve"> </w:t>
      </w:r>
      <w:r w:rsidRPr="00C23169">
        <w:t>osvědčení.</w:t>
      </w:r>
    </w:p>
    <w:p w14:paraId="0BA00DE8" w14:textId="77777777" w:rsidR="00BE1F13" w:rsidRDefault="00BE1F13" w:rsidP="00300853">
      <w:pPr>
        <w:pStyle w:val="Textparagrafu"/>
        <w:tabs>
          <w:tab w:val="left" w:pos="392"/>
          <w:tab w:val="left" w:pos="826"/>
        </w:tabs>
        <w:spacing w:before="120" w:after="120"/>
      </w:pPr>
      <w:r w:rsidRPr="00C23169">
        <w:t>(8)</w:t>
      </w:r>
      <w:r>
        <w:t xml:space="preserve"> </w:t>
      </w:r>
      <w:r w:rsidRPr="00C23169">
        <w:t>Plavební</w:t>
      </w:r>
      <w:r>
        <w:t xml:space="preserve"> </w:t>
      </w:r>
      <w:r w:rsidRPr="00C23169">
        <w:t>úřad</w:t>
      </w:r>
      <w:r>
        <w:t xml:space="preserve"> </w:t>
      </w:r>
      <w:r w:rsidRPr="00C23169">
        <w:t>pověření</w:t>
      </w:r>
      <w:r>
        <w:t xml:space="preserve"> </w:t>
      </w:r>
      <w:r w:rsidRPr="00C23169">
        <w:t>odejme,</w:t>
      </w:r>
      <w:r>
        <w:t xml:space="preserve"> </w:t>
      </w:r>
      <w:r w:rsidRPr="00C23169">
        <w:t>pokud</w:t>
      </w:r>
      <w:r>
        <w:t xml:space="preserve"> </w:t>
      </w:r>
      <w:r w:rsidRPr="00C23169">
        <w:t>pověřená</w:t>
      </w:r>
      <w:r>
        <w:t xml:space="preserve"> </w:t>
      </w:r>
      <w:r w:rsidRPr="00C23169">
        <w:t>osoba</w:t>
      </w:r>
    </w:p>
    <w:p w14:paraId="16422333" w14:textId="66A9156B" w:rsidR="00BE1F13" w:rsidRDefault="00BE1F13" w:rsidP="000D73B3">
      <w:pPr>
        <w:pStyle w:val="Textparagrafu"/>
        <w:tabs>
          <w:tab w:val="left" w:pos="392"/>
          <w:tab w:val="left" w:pos="826"/>
        </w:tabs>
        <w:spacing w:before="0"/>
        <w:ind w:left="426" w:hanging="426"/>
      </w:pPr>
      <w:r w:rsidRPr="00C23169">
        <w:t>a)</w:t>
      </w:r>
      <w:r w:rsidR="005E4525">
        <w:tab/>
      </w:r>
      <w:r w:rsidRPr="00C23169">
        <w:t>přestala</w:t>
      </w:r>
      <w:r>
        <w:t xml:space="preserve"> </w:t>
      </w:r>
      <w:r w:rsidRPr="00C23169">
        <w:t>splňovat</w:t>
      </w:r>
      <w:r>
        <w:t xml:space="preserve"> </w:t>
      </w:r>
      <w:r w:rsidRPr="00C23169">
        <w:t>některou</w:t>
      </w:r>
      <w:r>
        <w:t xml:space="preserve"> </w:t>
      </w:r>
      <w:r w:rsidRPr="00C23169">
        <w:t>z</w:t>
      </w:r>
      <w:r>
        <w:t xml:space="preserve"> </w:t>
      </w:r>
      <w:r w:rsidRPr="00C23169">
        <w:t>podmínek</w:t>
      </w:r>
      <w:r>
        <w:t xml:space="preserve"> </w:t>
      </w:r>
      <w:r w:rsidRPr="00C23169">
        <w:t>pro</w:t>
      </w:r>
      <w:r>
        <w:t xml:space="preserve"> </w:t>
      </w:r>
      <w:r w:rsidRPr="00C23169">
        <w:t>pověření,</w:t>
      </w:r>
    </w:p>
    <w:p w14:paraId="024D0B8F" w14:textId="59ED3DD9" w:rsidR="00BE1F13" w:rsidRDefault="00BE1F13" w:rsidP="000D73B3">
      <w:pPr>
        <w:pStyle w:val="Textparagrafu"/>
        <w:tabs>
          <w:tab w:val="left" w:pos="392"/>
          <w:tab w:val="left" w:pos="826"/>
        </w:tabs>
        <w:spacing w:before="0"/>
        <w:ind w:left="426" w:hanging="426"/>
      </w:pPr>
      <w:r w:rsidRPr="00C23169">
        <w:t>b)</w:t>
      </w:r>
      <w:r w:rsidR="005E4525">
        <w:tab/>
      </w:r>
      <w:r w:rsidRPr="00C23169">
        <w:t>porušila</w:t>
      </w:r>
      <w:r>
        <w:t xml:space="preserve"> </w:t>
      </w:r>
      <w:r w:rsidRPr="00C23169">
        <w:t>závažným</w:t>
      </w:r>
      <w:r>
        <w:t xml:space="preserve"> </w:t>
      </w:r>
      <w:r w:rsidRPr="00C23169">
        <w:t>způsobem</w:t>
      </w:r>
      <w:r>
        <w:t xml:space="preserve"> </w:t>
      </w:r>
      <w:r w:rsidRPr="00C23169">
        <w:t>povinnost</w:t>
      </w:r>
      <w:r>
        <w:t xml:space="preserve"> </w:t>
      </w:r>
      <w:r w:rsidRPr="00C23169">
        <w:t>stanovenou</w:t>
      </w:r>
      <w:r>
        <w:t xml:space="preserve"> </w:t>
      </w:r>
      <w:r w:rsidRPr="00C23169">
        <w:t>tímto</w:t>
      </w:r>
      <w:r>
        <w:t xml:space="preserve"> </w:t>
      </w:r>
      <w:r w:rsidRPr="00C23169">
        <w:t>zákonem</w:t>
      </w:r>
      <w:r>
        <w:t xml:space="preserve"> </w:t>
      </w:r>
      <w:r w:rsidRPr="00C23169">
        <w:t>nebo</w:t>
      </w:r>
      <w:r>
        <w:t xml:space="preserve"> </w:t>
      </w:r>
      <w:r w:rsidRPr="00C23169">
        <w:t>podmínku</w:t>
      </w:r>
      <w:r>
        <w:t xml:space="preserve"> </w:t>
      </w:r>
      <w:r w:rsidRPr="00C23169">
        <w:t>stanovenou</w:t>
      </w:r>
      <w:r>
        <w:t xml:space="preserve"> </w:t>
      </w:r>
      <w:r w:rsidRPr="00C23169">
        <w:t>v</w:t>
      </w:r>
      <w:r>
        <w:t xml:space="preserve"> </w:t>
      </w:r>
      <w:r w:rsidRPr="00C23169">
        <w:t>pověření,</w:t>
      </w:r>
      <w:r>
        <w:t xml:space="preserve"> </w:t>
      </w:r>
      <w:r w:rsidRPr="00C23169">
        <w:t>nebo</w:t>
      </w:r>
    </w:p>
    <w:p w14:paraId="60C130FC" w14:textId="7A6AE896" w:rsidR="00BE1F13" w:rsidRDefault="00BE1F13" w:rsidP="000D73B3">
      <w:pPr>
        <w:pStyle w:val="Textparagrafu"/>
        <w:tabs>
          <w:tab w:val="left" w:pos="392"/>
          <w:tab w:val="left" w:pos="826"/>
        </w:tabs>
        <w:spacing w:before="0"/>
        <w:ind w:left="426" w:hanging="426"/>
      </w:pPr>
      <w:r w:rsidRPr="00C23169">
        <w:t>c)</w:t>
      </w:r>
      <w:r w:rsidR="005E4525">
        <w:tab/>
      </w:r>
      <w:r w:rsidRPr="00C23169">
        <w:t>o</w:t>
      </w:r>
      <w:r>
        <w:t xml:space="preserve"> </w:t>
      </w:r>
      <w:r w:rsidRPr="00C23169">
        <w:t>to</w:t>
      </w:r>
      <w:r>
        <w:t xml:space="preserve"> </w:t>
      </w:r>
      <w:r w:rsidRPr="00C23169">
        <w:t>požádala.</w:t>
      </w:r>
    </w:p>
    <w:p w14:paraId="6E810AB0" w14:textId="77777777" w:rsidR="00BE1F13" w:rsidRPr="00C23169" w:rsidRDefault="00BE1F13" w:rsidP="00300853">
      <w:pPr>
        <w:pStyle w:val="Textparagrafu"/>
        <w:tabs>
          <w:tab w:val="left" w:pos="392"/>
          <w:tab w:val="left" w:pos="826"/>
        </w:tabs>
        <w:spacing w:before="120" w:after="120"/>
      </w:pPr>
      <w:r w:rsidRPr="00C23169">
        <w:t>(9)</w:t>
      </w:r>
      <w:r>
        <w:t xml:space="preserve"> </w:t>
      </w:r>
      <w:r w:rsidRPr="00C23169">
        <w:t>Teoretické</w:t>
      </w:r>
      <w:r>
        <w:t xml:space="preserve"> </w:t>
      </w:r>
      <w:r w:rsidRPr="00C23169">
        <w:t>znalosti</w:t>
      </w:r>
      <w:r>
        <w:t xml:space="preserve"> </w:t>
      </w:r>
      <w:r w:rsidRPr="00C23169">
        <w:t>a</w:t>
      </w:r>
      <w:r>
        <w:t xml:space="preserve"> </w:t>
      </w:r>
      <w:r w:rsidRPr="00C23169">
        <w:t>praktické</w:t>
      </w:r>
      <w:r>
        <w:t xml:space="preserve"> </w:t>
      </w:r>
      <w:r w:rsidRPr="00C23169">
        <w:t>dovednosti,</w:t>
      </w:r>
      <w:r>
        <w:t xml:space="preserve"> </w:t>
      </w:r>
      <w:r w:rsidRPr="00C23169">
        <w:t>jejichž</w:t>
      </w:r>
      <w:r>
        <w:t xml:space="preserve"> </w:t>
      </w:r>
      <w:r w:rsidRPr="00C23169">
        <w:t>nabytí</w:t>
      </w:r>
      <w:r>
        <w:t xml:space="preserve"> </w:t>
      </w:r>
      <w:r w:rsidRPr="00C23169">
        <w:t>musí</w:t>
      </w:r>
      <w:r>
        <w:t xml:space="preserve"> </w:t>
      </w:r>
      <w:r w:rsidRPr="00C23169">
        <w:t>být</w:t>
      </w:r>
      <w:r>
        <w:t xml:space="preserve"> </w:t>
      </w:r>
      <w:r w:rsidRPr="00C23169">
        <w:t>zajištěno</w:t>
      </w:r>
      <w:r>
        <w:t xml:space="preserve"> </w:t>
      </w:r>
      <w:r w:rsidRPr="00C23169">
        <w:t>školením</w:t>
      </w:r>
      <w:r>
        <w:t xml:space="preserve"> </w:t>
      </w:r>
      <w:r w:rsidRPr="00C23169">
        <w:t>určeným</w:t>
      </w:r>
      <w:r>
        <w:t xml:space="preserve"> </w:t>
      </w:r>
      <w:r w:rsidRPr="00C23169">
        <w:t>pro</w:t>
      </w:r>
      <w:r>
        <w:t xml:space="preserve"> </w:t>
      </w:r>
      <w:r w:rsidRPr="00C23169">
        <w:t>člena</w:t>
      </w:r>
      <w:r>
        <w:t xml:space="preserve"> </w:t>
      </w:r>
      <w:r w:rsidRPr="00C23169">
        <w:t>posádky</w:t>
      </w:r>
      <w:r>
        <w:t xml:space="preserve"> </w:t>
      </w:r>
      <w:r w:rsidRPr="00C23169">
        <w:t>plavidla</w:t>
      </w:r>
      <w:r>
        <w:t xml:space="preserve"> </w:t>
      </w:r>
      <w:r w:rsidRPr="00C23169">
        <w:t>nebo</w:t>
      </w:r>
      <w:r>
        <w:t xml:space="preserve"> </w:t>
      </w:r>
      <w:r w:rsidRPr="00C23169">
        <w:t>pro</w:t>
      </w:r>
      <w:r>
        <w:t xml:space="preserve"> </w:t>
      </w:r>
      <w:r w:rsidRPr="00C23169">
        <w:t>výkon</w:t>
      </w:r>
      <w:r>
        <w:t xml:space="preserve"> </w:t>
      </w:r>
      <w:r w:rsidRPr="00C23169">
        <w:t>činnosti</w:t>
      </w:r>
      <w:r>
        <w:t xml:space="preserve"> </w:t>
      </w:r>
      <w:r w:rsidRPr="00C23169">
        <w:t>odborníka</w:t>
      </w:r>
      <w:r>
        <w:t xml:space="preserve"> </w:t>
      </w:r>
      <w:r w:rsidRPr="00C23169">
        <w:t>na</w:t>
      </w:r>
      <w:r>
        <w:t xml:space="preserve"> </w:t>
      </w:r>
      <w:r w:rsidRPr="00C23169">
        <w:t>přepravu</w:t>
      </w:r>
      <w:r>
        <w:t xml:space="preserve"> </w:t>
      </w:r>
      <w:r w:rsidRPr="00C23169">
        <w:t>cestujících,</w:t>
      </w:r>
      <w:r>
        <w:t xml:space="preserve"> </w:t>
      </w:r>
      <w:r w:rsidRPr="00C23169">
        <w:t>způsob</w:t>
      </w:r>
      <w:r>
        <w:t xml:space="preserve"> </w:t>
      </w:r>
      <w:r w:rsidRPr="00C23169">
        <w:t>a</w:t>
      </w:r>
      <w:r>
        <w:t xml:space="preserve"> </w:t>
      </w:r>
      <w:r w:rsidRPr="00C23169">
        <w:t>průběh</w:t>
      </w:r>
      <w:r>
        <w:t xml:space="preserve"> </w:t>
      </w:r>
      <w:r w:rsidRPr="00C23169">
        <w:t>provádění</w:t>
      </w:r>
      <w:r>
        <w:t xml:space="preserve"> </w:t>
      </w:r>
      <w:r w:rsidRPr="00C23169">
        <w:t>tohoto</w:t>
      </w:r>
      <w:r>
        <w:t xml:space="preserve"> </w:t>
      </w:r>
      <w:r w:rsidRPr="00C23169">
        <w:t>školení,</w:t>
      </w:r>
      <w:r>
        <w:t xml:space="preserve"> </w:t>
      </w:r>
      <w:r w:rsidRPr="00C23169">
        <w:t>podrobné</w:t>
      </w:r>
      <w:r>
        <w:t xml:space="preserve"> </w:t>
      </w:r>
      <w:r w:rsidRPr="00C23169">
        <w:t>členění</w:t>
      </w:r>
      <w:r>
        <w:t xml:space="preserve"> </w:t>
      </w:r>
      <w:r w:rsidRPr="00C23169">
        <w:t>údajů,</w:t>
      </w:r>
      <w:r>
        <w:t xml:space="preserve"> </w:t>
      </w:r>
      <w:r w:rsidRPr="00C23169">
        <w:t>které</w:t>
      </w:r>
      <w:r>
        <w:t xml:space="preserve"> </w:t>
      </w:r>
      <w:r w:rsidRPr="00C23169">
        <w:t>musí</w:t>
      </w:r>
      <w:r>
        <w:t xml:space="preserve"> </w:t>
      </w:r>
      <w:r w:rsidRPr="00C23169">
        <w:t>být</w:t>
      </w:r>
      <w:r>
        <w:t xml:space="preserve"> </w:t>
      </w:r>
      <w:r w:rsidRPr="00C23169">
        <w:t>obsaženy</w:t>
      </w:r>
      <w:r>
        <w:t xml:space="preserve"> </w:t>
      </w:r>
      <w:r w:rsidRPr="00C23169">
        <w:t>v</w:t>
      </w:r>
      <w:r>
        <w:t xml:space="preserve"> </w:t>
      </w:r>
      <w:r w:rsidRPr="00C23169">
        <w:t>plánu</w:t>
      </w:r>
      <w:r>
        <w:t xml:space="preserve"> </w:t>
      </w:r>
      <w:r w:rsidRPr="00C23169">
        <w:t>pro</w:t>
      </w:r>
      <w:r>
        <w:t xml:space="preserve"> </w:t>
      </w:r>
      <w:r w:rsidRPr="00C23169">
        <w:t>jeho</w:t>
      </w:r>
      <w:r>
        <w:t xml:space="preserve"> </w:t>
      </w:r>
      <w:r w:rsidRPr="00C23169">
        <w:t>zajištění,</w:t>
      </w:r>
      <w:r>
        <w:t xml:space="preserve"> </w:t>
      </w:r>
      <w:r w:rsidRPr="00C23169">
        <w:t>technické</w:t>
      </w:r>
      <w:r>
        <w:t xml:space="preserve"> </w:t>
      </w:r>
      <w:r w:rsidRPr="00C23169">
        <w:t>parametry</w:t>
      </w:r>
      <w:r>
        <w:t xml:space="preserve"> </w:t>
      </w:r>
      <w:r w:rsidRPr="00C23169">
        <w:t>a</w:t>
      </w:r>
      <w:r>
        <w:t xml:space="preserve"> </w:t>
      </w:r>
      <w:r w:rsidRPr="00C23169">
        <w:t>vybavení</w:t>
      </w:r>
      <w:r>
        <w:t xml:space="preserve"> </w:t>
      </w:r>
      <w:r w:rsidRPr="00C23169">
        <w:t>plavidla,</w:t>
      </w:r>
      <w:r>
        <w:t xml:space="preserve"> </w:t>
      </w:r>
      <w:r w:rsidRPr="00C23169">
        <w:t>které</w:t>
      </w:r>
      <w:r>
        <w:t xml:space="preserve"> </w:t>
      </w:r>
      <w:r w:rsidRPr="00C23169">
        <w:t>umožňují</w:t>
      </w:r>
      <w:r>
        <w:t xml:space="preserve"> </w:t>
      </w:r>
      <w:r w:rsidRPr="00C23169">
        <w:t>provádění</w:t>
      </w:r>
      <w:r>
        <w:t xml:space="preserve"> </w:t>
      </w:r>
      <w:r w:rsidRPr="00C23169">
        <w:t>školení,</w:t>
      </w:r>
      <w:r>
        <w:t xml:space="preserve"> </w:t>
      </w:r>
      <w:r w:rsidRPr="00C23169">
        <w:t>a</w:t>
      </w:r>
      <w:r>
        <w:t xml:space="preserve"> </w:t>
      </w:r>
      <w:r w:rsidRPr="00C23169">
        <w:t>rozsah</w:t>
      </w:r>
      <w:r>
        <w:t xml:space="preserve"> </w:t>
      </w:r>
      <w:r w:rsidRPr="00C23169">
        <w:t>finanční</w:t>
      </w:r>
      <w:r>
        <w:t xml:space="preserve"> </w:t>
      </w:r>
      <w:r w:rsidRPr="00C23169">
        <w:t>způsobilosti</w:t>
      </w:r>
      <w:r>
        <w:t xml:space="preserve"> </w:t>
      </w:r>
      <w:r w:rsidRPr="00C23169">
        <w:t>nezbytné</w:t>
      </w:r>
      <w:r>
        <w:t xml:space="preserve"> </w:t>
      </w:r>
      <w:r w:rsidRPr="00C23169">
        <w:t>k</w:t>
      </w:r>
      <w:r>
        <w:t xml:space="preserve"> </w:t>
      </w:r>
      <w:r w:rsidRPr="00C23169">
        <w:t>jeho</w:t>
      </w:r>
      <w:r>
        <w:t xml:space="preserve"> </w:t>
      </w:r>
      <w:r w:rsidRPr="00C23169">
        <w:t>provádění</w:t>
      </w:r>
      <w:r>
        <w:t xml:space="preserve"> </w:t>
      </w:r>
      <w:r w:rsidRPr="00C23169">
        <w:t>stanoví</w:t>
      </w:r>
      <w:r>
        <w:t xml:space="preserve"> </w:t>
      </w:r>
      <w:r w:rsidRPr="00C23169">
        <w:t>prováděcí</w:t>
      </w:r>
      <w:r>
        <w:t xml:space="preserve"> </w:t>
      </w:r>
      <w:r w:rsidRPr="00C23169">
        <w:t>právní</w:t>
      </w:r>
      <w:r>
        <w:t xml:space="preserve"> </w:t>
      </w:r>
      <w:r w:rsidRPr="00C23169">
        <w:t>předpis.</w:t>
      </w:r>
    </w:p>
    <w:p w14:paraId="7A0BD4F0" w14:textId="77777777" w:rsidR="00BE1F13" w:rsidRPr="00BE1F13" w:rsidRDefault="00BE1F13" w:rsidP="00BE1F13">
      <w:pPr>
        <w:rPr>
          <w:highlight w:val="red"/>
        </w:rPr>
        <w:sectPr w:rsidR="00BE1F13" w:rsidRPr="00BE1F13" w:rsidSect="005610DE">
          <w:footnotePr>
            <w:numStart w:val="3"/>
          </w:footnotePr>
          <w:endnotePr>
            <w:numFmt w:val="decimal"/>
          </w:endnotePr>
          <w:pgSz w:w="11906" w:h="16838"/>
          <w:pgMar w:top="1418" w:right="1418" w:bottom="1418" w:left="1418" w:header="709" w:footer="709" w:gutter="0"/>
          <w:cols w:space="708"/>
          <w:docGrid w:linePitch="360"/>
        </w:sectPr>
      </w:pPr>
    </w:p>
    <w:p w14:paraId="72263C68" w14:textId="71310AD5" w:rsidR="002E0715" w:rsidRPr="008923DB" w:rsidRDefault="002E0715" w:rsidP="002E0715">
      <w:pPr>
        <w:pStyle w:val="Odstavecseseznamem"/>
        <w:tabs>
          <w:tab w:val="left" w:pos="851"/>
        </w:tabs>
        <w:spacing w:before="120" w:after="120"/>
        <w:ind w:left="0" w:firstLine="0"/>
        <w:outlineLvl w:val="0"/>
        <w:rPr>
          <w:szCs w:val="24"/>
        </w:rPr>
      </w:pPr>
      <w:r w:rsidRPr="000D73B3">
        <w:rPr>
          <w:b/>
          <w:szCs w:val="24"/>
        </w:rPr>
        <w:lastRenderedPageBreak/>
        <w:t xml:space="preserve">K části </w:t>
      </w:r>
      <w:r w:rsidR="004443C2" w:rsidRPr="000D73B3">
        <w:rPr>
          <w:b/>
          <w:szCs w:val="24"/>
        </w:rPr>
        <w:t>třicáté</w:t>
      </w:r>
      <w:r w:rsidRPr="000D73B3">
        <w:rPr>
          <w:b/>
          <w:szCs w:val="24"/>
        </w:rPr>
        <w:t xml:space="preserve"> </w:t>
      </w:r>
      <w:r w:rsidR="000D73B3" w:rsidRPr="000D73B3">
        <w:rPr>
          <w:b/>
          <w:szCs w:val="24"/>
        </w:rPr>
        <w:t xml:space="preserve">první </w:t>
      </w:r>
      <w:r w:rsidRPr="000D73B3">
        <w:rPr>
          <w:b/>
          <w:szCs w:val="24"/>
        </w:rPr>
        <w:t xml:space="preserve">návrhu zákona – </w:t>
      </w:r>
      <w:r w:rsidRPr="000D73B3">
        <w:rPr>
          <w:szCs w:val="24"/>
        </w:rPr>
        <w:t>změna zákona o sídle Parlamentu České republiky</w:t>
      </w:r>
    </w:p>
    <w:p w14:paraId="3FE844D6" w14:textId="77777777" w:rsidR="002E0715" w:rsidRPr="00383BB6" w:rsidRDefault="002E0715" w:rsidP="002E0715">
      <w:pPr>
        <w:pStyle w:val="Odstavecseseznamem"/>
        <w:tabs>
          <w:tab w:val="left" w:pos="851"/>
        </w:tabs>
        <w:spacing w:before="120" w:after="120"/>
        <w:ind w:left="0" w:firstLine="0"/>
        <w:outlineLvl w:val="0"/>
        <w:rPr>
          <w:b/>
          <w:szCs w:val="24"/>
        </w:rPr>
      </w:pPr>
    </w:p>
    <w:p w14:paraId="4CA5A4AD" w14:textId="543DB1A9" w:rsidR="002E0715" w:rsidRPr="00383BB6" w:rsidRDefault="002E0715" w:rsidP="00A62336">
      <w:pPr>
        <w:pStyle w:val="Odstavecseseznamem"/>
        <w:numPr>
          <w:ilvl w:val="0"/>
          <w:numId w:val="27"/>
        </w:numPr>
        <w:pBdr>
          <w:top w:val="single" w:sz="12" w:space="6" w:color="auto"/>
          <w:left w:val="single" w:sz="12" w:space="0" w:color="auto"/>
          <w:bottom w:val="single" w:sz="12" w:space="6" w:color="auto"/>
          <w:right w:val="single" w:sz="12" w:space="0" w:color="auto"/>
        </w:pBdr>
        <w:spacing w:before="0"/>
        <w:jc w:val="center"/>
        <w:rPr>
          <w:szCs w:val="24"/>
        </w:rPr>
      </w:pPr>
      <w:r w:rsidRPr="00383BB6">
        <w:rPr>
          <w:b/>
          <w:szCs w:val="24"/>
        </w:rPr>
        <w:t>Platné znění</w:t>
      </w:r>
      <w:r w:rsidRPr="00383BB6">
        <w:rPr>
          <w:szCs w:val="24"/>
        </w:rPr>
        <w:t xml:space="preserve"> zákona </w:t>
      </w:r>
      <w:r w:rsidRPr="00383BB6">
        <w:rPr>
          <w:color w:val="000000"/>
          <w:szCs w:val="24"/>
        </w:rPr>
        <w:t>č. </w:t>
      </w:r>
      <w:r>
        <w:rPr>
          <w:color w:val="000000"/>
          <w:szCs w:val="24"/>
        </w:rPr>
        <w:t>59</w:t>
      </w:r>
      <w:r w:rsidRPr="00383BB6">
        <w:rPr>
          <w:color w:val="000000"/>
          <w:szCs w:val="24"/>
        </w:rPr>
        <w:t>/</w:t>
      </w:r>
      <w:r w:rsidRPr="008923DB">
        <w:rPr>
          <w:szCs w:val="24"/>
        </w:rPr>
        <w:t>199</w:t>
      </w:r>
      <w:r>
        <w:rPr>
          <w:szCs w:val="24"/>
        </w:rPr>
        <w:t>6</w:t>
      </w:r>
      <w:r w:rsidRPr="008923DB">
        <w:rPr>
          <w:szCs w:val="24"/>
        </w:rPr>
        <w:t xml:space="preserve"> Sb., </w:t>
      </w:r>
      <w:r w:rsidRPr="002E0715">
        <w:rPr>
          <w:szCs w:val="24"/>
        </w:rPr>
        <w:t>o sídle Parlamentu České republiky</w:t>
      </w:r>
    </w:p>
    <w:p w14:paraId="181EC228" w14:textId="77777777" w:rsidR="00AE4818" w:rsidRPr="00AE4818" w:rsidRDefault="00AE4818" w:rsidP="00A62336">
      <w:pPr>
        <w:pStyle w:val="Odstavecseseznamem"/>
        <w:numPr>
          <w:ilvl w:val="0"/>
          <w:numId w:val="27"/>
        </w:numPr>
        <w:pBdr>
          <w:top w:val="single" w:sz="12" w:space="6" w:color="auto"/>
          <w:left w:val="single" w:sz="12" w:space="0" w:color="auto"/>
          <w:bottom w:val="single" w:sz="12" w:space="6" w:color="auto"/>
          <w:right w:val="single" w:sz="12" w:space="0" w:color="auto"/>
        </w:pBdr>
        <w:spacing w:before="0" w:after="120"/>
        <w:jc w:val="center"/>
        <w:rPr>
          <w:b/>
          <w:szCs w:val="24"/>
          <w:lang w:eastAsia="en-US"/>
        </w:rPr>
      </w:pPr>
      <w:r w:rsidRPr="00AE4818">
        <w:rPr>
          <w:b/>
          <w:szCs w:val="24"/>
          <w:lang w:eastAsia="en-US"/>
        </w:rPr>
        <w:t>s vyznačením navrhovaných změn a doplnění k 1. lednu 2025</w:t>
      </w:r>
    </w:p>
    <w:p w14:paraId="1E2A0F4D" w14:textId="77777777" w:rsidR="002E0715" w:rsidRDefault="002E0715" w:rsidP="002E0715">
      <w:pPr>
        <w:pStyle w:val="Textparagrafu"/>
        <w:tabs>
          <w:tab w:val="left" w:pos="392"/>
        </w:tabs>
        <w:ind w:firstLine="0"/>
        <w:jc w:val="center"/>
      </w:pPr>
      <w:r>
        <w:t>***</w:t>
      </w:r>
    </w:p>
    <w:p w14:paraId="7C6F178C" w14:textId="77777777" w:rsidR="000D73B3" w:rsidRDefault="000D73B3" w:rsidP="000D73B3">
      <w:pPr>
        <w:pStyle w:val="Paragraf"/>
        <w:numPr>
          <w:ilvl w:val="0"/>
          <w:numId w:val="29"/>
        </w:numPr>
      </w:pPr>
      <w:r>
        <w:t>§ 5</w:t>
      </w:r>
    </w:p>
    <w:p w14:paraId="4CE746B3" w14:textId="77777777" w:rsidR="000D73B3" w:rsidRDefault="000D73B3" w:rsidP="000D73B3">
      <w:pPr>
        <w:pStyle w:val="PZTextodstavce"/>
      </w:pPr>
      <w:r>
        <w:t xml:space="preserve">(1) </w:t>
      </w:r>
      <w:r w:rsidRPr="00A33914">
        <w:t xml:space="preserve">K zajištění úkolů spojených s odborným, organizačním a technickým zabezpečením činnosti Poslanecké sněmovny, jejích orgánů a funkcionářů, poslanců a poslaneckých klubů je zřízena Kancelář Poslanecké </w:t>
      </w:r>
      <w:r w:rsidRPr="00CA12C7">
        <w:t>sněmovny</w:t>
      </w:r>
      <w:r w:rsidRPr="00CA12C7">
        <w:rPr>
          <w:strike/>
        </w:rPr>
        <w:t>, která je rozpočtovou organizací</w:t>
      </w:r>
      <w:r w:rsidRPr="00CA12C7">
        <w:t>.</w:t>
      </w:r>
      <w:r>
        <w:rPr>
          <w:rStyle w:val="Znakapoznpodarou"/>
        </w:rPr>
        <w:footnoteReference w:customMarkFollows="1" w:id="226"/>
        <w:t>3)</w:t>
      </w:r>
    </w:p>
    <w:p w14:paraId="3993E398" w14:textId="61E038E7" w:rsidR="000D73B3" w:rsidRDefault="000D73B3" w:rsidP="000D73B3">
      <w:pPr>
        <w:pStyle w:val="PZTextodstavce"/>
      </w:pPr>
      <w:r>
        <w:t xml:space="preserve">(2) </w:t>
      </w:r>
      <w:r w:rsidRPr="00A33914">
        <w:t>V čele Kanceláře Poslanecké sněmovny stojí její vedoucí.</w:t>
      </w:r>
    </w:p>
    <w:p w14:paraId="798F0420" w14:textId="77777777" w:rsidR="000D73B3" w:rsidRDefault="000D73B3" w:rsidP="000D73B3">
      <w:pPr>
        <w:pStyle w:val="Paragraf"/>
        <w:numPr>
          <w:ilvl w:val="0"/>
          <w:numId w:val="29"/>
        </w:numPr>
        <w:spacing w:before="120"/>
      </w:pPr>
      <w:r>
        <w:t>***</w:t>
      </w:r>
    </w:p>
    <w:p w14:paraId="7E9E2B85" w14:textId="77777777" w:rsidR="000D73B3" w:rsidRDefault="000D73B3" w:rsidP="000D73B3">
      <w:pPr>
        <w:pStyle w:val="Paragraf"/>
        <w:numPr>
          <w:ilvl w:val="0"/>
          <w:numId w:val="29"/>
        </w:numPr>
      </w:pPr>
      <w:r>
        <w:t>§ 7</w:t>
      </w:r>
    </w:p>
    <w:p w14:paraId="14F87CBD" w14:textId="77777777" w:rsidR="000D73B3" w:rsidRPr="00CA12C7" w:rsidRDefault="000D73B3" w:rsidP="000D73B3">
      <w:pPr>
        <w:pStyle w:val="PZTextodstavce"/>
      </w:pPr>
      <w:r>
        <w:t xml:space="preserve">(1) </w:t>
      </w:r>
      <w:r w:rsidRPr="00A33914">
        <w:t xml:space="preserve">K zajištění úkolů spojených s odborným, organizačním a technickým zabezpečením činnosti Senátu, jeho orgánů a funkcionářů, senátorů a klubů politických stran zastoupených v Senátu se dnem účinnosti tohoto zákona zřizuje Kancelář </w:t>
      </w:r>
      <w:r w:rsidRPr="00CA12C7">
        <w:t>Senátu</w:t>
      </w:r>
      <w:r w:rsidRPr="00CA12C7">
        <w:rPr>
          <w:strike/>
        </w:rPr>
        <w:t>, která je rozpočtovou organizací</w:t>
      </w:r>
      <w:r w:rsidRPr="00CA12C7">
        <w:t>.</w:t>
      </w:r>
    </w:p>
    <w:p w14:paraId="1BD61609" w14:textId="77777777" w:rsidR="000D73B3" w:rsidRDefault="000D73B3" w:rsidP="000D73B3">
      <w:pPr>
        <w:pStyle w:val="PZTextodstavce"/>
      </w:pPr>
      <w:r>
        <w:t xml:space="preserve">(2) </w:t>
      </w:r>
      <w:r w:rsidRPr="00A33914">
        <w:t>V čele Kanceláře Senátu stojí její vedoucí.</w:t>
      </w:r>
    </w:p>
    <w:p w14:paraId="76A5B820" w14:textId="77777777" w:rsidR="002E0715" w:rsidRDefault="002E0715" w:rsidP="00106516">
      <w:pPr>
        <w:pStyle w:val="Textparagrafu"/>
        <w:tabs>
          <w:tab w:val="left" w:pos="406"/>
          <w:tab w:val="left" w:pos="868"/>
        </w:tabs>
        <w:spacing w:after="120"/>
        <w:ind w:firstLine="0"/>
        <w:sectPr w:rsidR="002E0715" w:rsidSect="00554E2B">
          <w:footnotePr>
            <w:numStart w:val="3"/>
          </w:footnotePr>
          <w:endnotePr>
            <w:numFmt w:val="decimal"/>
          </w:endnotePr>
          <w:pgSz w:w="11906" w:h="16838"/>
          <w:pgMar w:top="1418" w:right="1418" w:bottom="1418" w:left="1418" w:header="709" w:footer="709" w:gutter="0"/>
          <w:cols w:space="708"/>
          <w:docGrid w:linePitch="360"/>
        </w:sectPr>
      </w:pPr>
    </w:p>
    <w:p w14:paraId="6FAB54CB" w14:textId="1E328868" w:rsidR="002E0715" w:rsidRPr="008923DB" w:rsidRDefault="002E0715" w:rsidP="00A62336">
      <w:pPr>
        <w:pStyle w:val="Odstavecseseznamem"/>
        <w:tabs>
          <w:tab w:val="left" w:pos="851"/>
        </w:tabs>
        <w:spacing w:before="120" w:after="120"/>
        <w:ind w:left="0" w:firstLine="0"/>
        <w:jc w:val="center"/>
        <w:outlineLvl w:val="0"/>
        <w:rPr>
          <w:szCs w:val="24"/>
        </w:rPr>
      </w:pPr>
      <w:r w:rsidRPr="002E0715">
        <w:rPr>
          <w:b/>
          <w:szCs w:val="24"/>
        </w:rPr>
        <w:lastRenderedPageBreak/>
        <w:t xml:space="preserve">K části </w:t>
      </w:r>
      <w:r w:rsidR="00A66DBC">
        <w:rPr>
          <w:b/>
          <w:szCs w:val="24"/>
        </w:rPr>
        <w:t xml:space="preserve">třicáté </w:t>
      </w:r>
      <w:r w:rsidR="00B0390E">
        <w:rPr>
          <w:b/>
          <w:szCs w:val="24"/>
        </w:rPr>
        <w:t xml:space="preserve">druhé </w:t>
      </w:r>
      <w:r w:rsidRPr="002E0715">
        <w:rPr>
          <w:b/>
          <w:szCs w:val="24"/>
        </w:rPr>
        <w:t xml:space="preserve">návrhu zákona – </w:t>
      </w:r>
      <w:r w:rsidRPr="002E0715">
        <w:rPr>
          <w:szCs w:val="24"/>
        </w:rPr>
        <w:t xml:space="preserve">změna zákona o </w:t>
      </w:r>
      <w:r w:rsidR="006C626E" w:rsidRPr="006C626E">
        <w:rPr>
          <w:szCs w:val="24"/>
        </w:rPr>
        <w:t>pozemních komunikacích</w:t>
      </w:r>
    </w:p>
    <w:p w14:paraId="1AE0EB28" w14:textId="77777777" w:rsidR="002E0715" w:rsidRPr="00383BB6" w:rsidRDefault="002E0715" w:rsidP="002E0715">
      <w:pPr>
        <w:pStyle w:val="Odstavecseseznamem"/>
        <w:tabs>
          <w:tab w:val="left" w:pos="851"/>
        </w:tabs>
        <w:spacing w:before="120" w:after="120"/>
        <w:ind w:left="0" w:firstLine="0"/>
        <w:outlineLvl w:val="0"/>
        <w:rPr>
          <w:b/>
          <w:szCs w:val="24"/>
        </w:rPr>
      </w:pPr>
    </w:p>
    <w:p w14:paraId="41AA174D" w14:textId="5B4026B6" w:rsidR="002E0715" w:rsidRPr="00383BB6" w:rsidRDefault="002E0715" w:rsidP="006C626E">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383BB6">
        <w:rPr>
          <w:b/>
          <w:szCs w:val="24"/>
        </w:rPr>
        <w:t>Platné znění</w:t>
      </w:r>
      <w:r w:rsidRPr="00383BB6">
        <w:rPr>
          <w:szCs w:val="24"/>
        </w:rPr>
        <w:t xml:space="preserve"> zákona </w:t>
      </w:r>
      <w:r w:rsidRPr="00383BB6">
        <w:rPr>
          <w:color w:val="000000"/>
          <w:szCs w:val="24"/>
        </w:rPr>
        <w:t>č. </w:t>
      </w:r>
      <w:r w:rsidR="006C626E">
        <w:rPr>
          <w:color w:val="000000"/>
          <w:szCs w:val="24"/>
        </w:rPr>
        <w:t>13</w:t>
      </w:r>
      <w:r w:rsidRPr="00383BB6">
        <w:rPr>
          <w:color w:val="000000"/>
          <w:szCs w:val="24"/>
        </w:rPr>
        <w:t>/</w:t>
      </w:r>
      <w:r w:rsidRPr="008923DB">
        <w:rPr>
          <w:szCs w:val="24"/>
        </w:rPr>
        <w:t>199</w:t>
      </w:r>
      <w:r w:rsidR="006C626E">
        <w:rPr>
          <w:szCs w:val="24"/>
        </w:rPr>
        <w:t>7</w:t>
      </w:r>
      <w:r w:rsidRPr="008923DB">
        <w:rPr>
          <w:szCs w:val="24"/>
        </w:rPr>
        <w:t xml:space="preserve"> Sb., </w:t>
      </w:r>
      <w:r w:rsidRPr="002E0715">
        <w:rPr>
          <w:szCs w:val="24"/>
        </w:rPr>
        <w:t xml:space="preserve">o </w:t>
      </w:r>
      <w:r w:rsidR="006C626E" w:rsidRPr="006C626E">
        <w:rPr>
          <w:szCs w:val="24"/>
        </w:rPr>
        <w:t>pozemních komunikacích</w:t>
      </w:r>
    </w:p>
    <w:p w14:paraId="627AFE39" w14:textId="77777777" w:rsidR="00A62336" w:rsidRPr="00AE4818" w:rsidRDefault="00A62336" w:rsidP="00A62336">
      <w:pPr>
        <w:pStyle w:val="Odstavecseseznamem"/>
        <w:numPr>
          <w:ilvl w:val="0"/>
          <w:numId w:val="27"/>
        </w:numPr>
        <w:pBdr>
          <w:top w:val="single" w:sz="12" w:space="6" w:color="auto"/>
          <w:left w:val="single" w:sz="12" w:space="0" w:color="auto"/>
          <w:bottom w:val="single" w:sz="12" w:space="6" w:color="auto"/>
          <w:right w:val="single" w:sz="12" w:space="0" w:color="auto"/>
        </w:pBdr>
        <w:spacing w:before="0" w:after="120"/>
        <w:jc w:val="center"/>
        <w:rPr>
          <w:b/>
          <w:szCs w:val="24"/>
          <w:lang w:eastAsia="en-US"/>
        </w:rPr>
      </w:pPr>
      <w:r w:rsidRPr="00AE4818">
        <w:rPr>
          <w:b/>
          <w:szCs w:val="24"/>
          <w:lang w:eastAsia="en-US"/>
        </w:rPr>
        <w:t>s vyznačením navrhovaných změn a doplnění k 1. lednu 2025</w:t>
      </w:r>
    </w:p>
    <w:p w14:paraId="2D7971AC" w14:textId="77777777" w:rsidR="002E0715" w:rsidRDefault="002E0715" w:rsidP="002E0715">
      <w:pPr>
        <w:pStyle w:val="Textparagrafu"/>
        <w:tabs>
          <w:tab w:val="left" w:pos="392"/>
        </w:tabs>
        <w:ind w:firstLine="0"/>
        <w:jc w:val="center"/>
      </w:pPr>
      <w:r>
        <w:t>***</w:t>
      </w:r>
    </w:p>
    <w:p w14:paraId="59C7DB99" w14:textId="77777777" w:rsidR="005C6B33" w:rsidRDefault="005C6B33" w:rsidP="00A66DBC">
      <w:pPr>
        <w:pStyle w:val="Textparagrafu"/>
        <w:ind w:firstLine="0"/>
        <w:jc w:val="center"/>
      </w:pPr>
      <w:r w:rsidRPr="00DB44FB">
        <w:t>§</w:t>
      </w:r>
      <w:r>
        <w:t xml:space="preserve"> </w:t>
      </w:r>
      <w:r w:rsidRPr="00DB44FB">
        <w:t>9a</w:t>
      </w:r>
    </w:p>
    <w:p w14:paraId="63407597" w14:textId="77777777" w:rsidR="005C6B33" w:rsidRPr="00A66DBC" w:rsidRDefault="005C6B33" w:rsidP="00A66DBC">
      <w:pPr>
        <w:pStyle w:val="Textparagrafu"/>
        <w:ind w:firstLine="0"/>
        <w:jc w:val="center"/>
        <w:rPr>
          <w:b/>
        </w:rPr>
      </w:pPr>
      <w:r w:rsidRPr="00A66DBC">
        <w:rPr>
          <w:b/>
        </w:rPr>
        <w:t>Ředitelství silnic a dálnic s. p.</w:t>
      </w:r>
    </w:p>
    <w:p w14:paraId="3AEC091B" w14:textId="77777777" w:rsidR="005C6B33" w:rsidRDefault="005C6B33" w:rsidP="00A62336">
      <w:pPr>
        <w:pStyle w:val="Textparagrafu"/>
        <w:spacing w:before="120" w:after="120"/>
      </w:pPr>
      <w:r w:rsidRPr="00DB44FB">
        <w:t>(1)</w:t>
      </w:r>
      <w:r>
        <w:t xml:space="preserve"> </w:t>
      </w:r>
      <w:r w:rsidRPr="00DB44FB">
        <w:t>Právo</w:t>
      </w:r>
      <w:r>
        <w:t xml:space="preserve"> </w:t>
      </w:r>
      <w:r w:rsidRPr="00DB44FB">
        <w:t>hospodařit</w:t>
      </w:r>
      <w:r>
        <w:t xml:space="preserve"> </w:t>
      </w:r>
      <w:r w:rsidRPr="00DB44FB">
        <w:t>s</w:t>
      </w:r>
      <w:r>
        <w:t xml:space="preserve"> </w:t>
      </w:r>
      <w:r w:rsidRPr="00DB44FB">
        <w:t>dálnicemi</w:t>
      </w:r>
      <w:r>
        <w:t xml:space="preserve"> </w:t>
      </w:r>
      <w:r w:rsidRPr="00DB44FB">
        <w:t>a</w:t>
      </w:r>
      <w:r>
        <w:t xml:space="preserve"> </w:t>
      </w:r>
      <w:r w:rsidRPr="00DB44FB">
        <w:t>silnicemi</w:t>
      </w:r>
      <w:r>
        <w:t xml:space="preserve"> </w:t>
      </w:r>
      <w:r w:rsidRPr="00DB44FB">
        <w:t>I.</w:t>
      </w:r>
      <w:r>
        <w:t xml:space="preserve"> </w:t>
      </w:r>
      <w:r w:rsidRPr="00DB44FB">
        <w:t>třídy</w:t>
      </w:r>
      <w:r>
        <w:t xml:space="preserve"> </w:t>
      </w:r>
      <w:r w:rsidRPr="00DB44FB">
        <w:t>a</w:t>
      </w:r>
      <w:r>
        <w:t xml:space="preserve"> </w:t>
      </w:r>
      <w:r w:rsidRPr="00DB44FB">
        <w:t>jejich</w:t>
      </w:r>
      <w:r>
        <w:t xml:space="preserve"> </w:t>
      </w:r>
      <w:r w:rsidRPr="00DB44FB">
        <w:t>součástmi</w:t>
      </w:r>
      <w:r>
        <w:t xml:space="preserve"> </w:t>
      </w:r>
      <w:r w:rsidRPr="00DB44FB">
        <w:t>a</w:t>
      </w:r>
      <w:r>
        <w:t xml:space="preserve"> </w:t>
      </w:r>
      <w:r w:rsidRPr="00DB44FB">
        <w:t>příslušenstvím</w:t>
      </w:r>
      <w:r>
        <w:t xml:space="preserve"> </w:t>
      </w:r>
      <w:r w:rsidRPr="00DB44FB">
        <w:t>má</w:t>
      </w:r>
      <w:r>
        <w:t xml:space="preserve"> </w:t>
      </w:r>
      <w:r w:rsidRPr="00DB44FB">
        <w:t>Ředitelství</w:t>
      </w:r>
      <w:r>
        <w:t xml:space="preserve"> </w:t>
      </w:r>
      <w:r w:rsidRPr="00DB44FB">
        <w:t>silnic</w:t>
      </w:r>
      <w:r>
        <w:t xml:space="preserve"> </w:t>
      </w:r>
      <w:r w:rsidRPr="00DB44FB">
        <w:t>a</w:t>
      </w:r>
      <w:r>
        <w:t xml:space="preserve"> </w:t>
      </w:r>
      <w:r w:rsidRPr="00DB44FB">
        <w:t>dálnic</w:t>
      </w:r>
      <w:r>
        <w:t xml:space="preserve"> </w:t>
      </w:r>
      <w:r w:rsidRPr="00DB44FB">
        <w:t>s.</w:t>
      </w:r>
      <w:r>
        <w:t xml:space="preserve"> </w:t>
      </w:r>
      <w:r w:rsidRPr="00DB44FB">
        <w:t>p.</w:t>
      </w:r>
    </w:p>
    <w:p w14:paraId="0C263631" w14:textId="77777777" w:rsidR="005C6B33" w:rsidRDefault="005C6B33" w:rsidP="00A62336">
      <w:pPr>
        <w:pStyle w:val="Textparagrafu"/>
        <w:spacing w:before="120" w:after="120"/>
      </w:pPr>
      <w:r w:rsidRPr="00DB44FB">
        <w:t>(2)</w:t>
      </w:r>
      <w:r>
        <w:t xml:space="preserve"> </w:t>
      </w:r>
      <w:r w:rsidRPr="00DB44FB">
        <w:t>Ředitelství</w:t>
      </w:r>
      <w:r>
        <w:t xml:space="preserve"> </w:t>
      </w:r>
      <w:r w:rsidRPr="00DB44FB">
        <w:t>silnic</w:t>
      </w:r>
      <w:r>
        <w:t xml:space="preserve"> </w:t>
      </w:r>
      <w:r w:rsidRPr="00DB44FB">
        <w:t>a</w:t>
      </w:r>
      <w:r>
        <w:t xml:space="preserve"> </w:t>
      </w:r>
      <w:r w:rsidRPr="00DB44FB">
        <w:t>dálnic</w:t>
      </w:r>
      <w:r>
        <w:t xml:space="preserve"> </w:t>
      </w:r>
      <w:r w:rsidRPr="00DB44FB">
        <w:t>s.</w:t>
      </w:r>
      <w:r>
        <w:t xml:space="preserve"> </w:t>
      </w:r>
      <w:r w:rsidRPr="00DB44FB">
        <w:t>p.</w:t>
      </w:r>
      <w:r>
        <w:t xml:space="preserve"> </w:t>
      </w:r>
      <w:r w:rsidRPr="00DB44FB">
        <w:t>zajišťuje</w:t>
      </w:r>
      <w:r>
        <w:t xml:space="preserve"> </w:t>
      </w:r>
      <w:r w:rsidRPr="00DB44FB">
        <w:t>výstavbu</w:t>
      </w:r>
      <w:r>
        <w:t xml:space="preserve"> </w:t>
      </w:r>
      <w:r w:rsidRPr="00DB44FB">
        <w:t>dálnic</w:t>
      </w:r>
      <w:r>
        <w:t xml:space="preserve"> </w:t>
      </w:r>
      <w:r w:rsidRPr="00DB44FB">
        <w:t>a</w:t>
      </w:r>
      <w:r>
        <w:t xml:space="preserve"> </w:t>
      </w:r>
      <w:r w:rsidRPr="00DB44FB">
        <w:t>silnic</w:t>
      </w:r>
      <w:r>
        <w:t xml:space="preserve"> </w:t>
      </w:r>
      <w:r w:rsidRPr="00DB44FB">
        <w:t>I.</w:t>
      </w:r>
      <w:r>
        <w:t xml:space="preserve"> </w:t>
      </w:r>
      <w:r w:rsidRPr="00DB44FB">
        <w:t>třídy</w:t>
      </w:r>
      <w:r>
        <w:t xml:space="preserve"> </w:t>
      </w:r>
      <w:r w:rsidRPr="00DB44FB">
        <w:t>a</w:t>
      </w:r>
      <w:r>
        <w:t xml:space="preserve"> </w:t>
      </w:r>
      <w:r w:rsidRPr="00DB44FB">
        <w:t>jejich</w:t>
      </w:r>
      <w:r>
        <w:t xml:space="preserve"> </w:t>
      </w:r>
      <w:r w:rsidRPr="00DB44FB">
        <w:t>součástí</w:t>
      </w:r>
      <w:r>
        <w:t xml:space="preserve"> </w:t>
      </w:r>
      <w:r w:rsidRPr="00DB44FB">
        <w:t>a</w:t>
      </w:r>
      <w:r>
        <w:t xml:space="preserve"> </w:t>
      </w:r>
      <w:r w:rsidRPr="00DB44FB">
        <w:t>příslušenství,</w:t>
      </w:r>
      <w:r>
        <w:t xml:space="preserve"> </w:t>
      </w:r>
      <w:r w:rsidRPr="00DB44FB">
        <w:t>je</w:t>
      </w:r>
      <w:r>
        <w:t xml:space="preserve"> </w:t>
      </w:r>
      <w:r w:rsidRPr="00DB44FB">
        <w:t>správcem</w:t>
      </w:r>
      <w:r>
        <w:t xml:space="preserve"> </w:t>
      </w:r>
      <w:r w:rsidRPr="00DB44FB">
        <w:t>dálnic</w:t>
      </w:r>
      <w:r>
        <w:t xml:space="preserve"> </w:t>
      </w:r>
      <w:r w:rsidRPr="00DB44FB">
        <w:t>a</w:t>
      </w:r>
      <w:r>
        <w:t xml:space="preserve"> </w:t>
      </w:r>
      <w:r w:rsidRPr="00DB44FB">
        <w:t>silnic</w:t>
      </w:r>
      <w:r>
        <w:t xml:space="preserve"> </w:t>
      </w:r>
      <w:r w:rsidRPr="00DB44FB">
        <w:t>I.</w:t>
      </w:r>
      <w:r>
        <w:t xml:space="preserve"> </w:t>
      </w:r>
      <w:r w:rsidRPr="00DB44FB">
        <w:t>třídy</w:t>
      </w:r>
      <w:r>
        <w:t xml:space="preserve"> </w:t>
      </w:r>
      <w:r w:rsidRPr="00DB44FB">
        <w:t>a</w:t>
      </w:r>
      <w:r>
        <w:t xml:space="preserve"> </w:t>
      </w:r>
      <w:r w:rsidRPr="00DB44FB">
        <w:t>vykonává</w:t>
      </w:r>
      <w:r>
        <w:t xml:space="preserve"> </w:t>
      </w:r>
      <w:r w:rsidRPr="00DB44FB">
        <w:t>další</w:t>
      </w:r>
      <w:r>
        <w:t xml:space="preserve"> </w:t>
      </w:r>
      <w:r w:rsidRPr="00DB44FB">
        <w:t>činnosti</w:t>
      </w:r>
      <w:r>
        <w:t xml:space="preserve"> </w:t>
      </w:r>
      <w:r w:rsidRPr="00DB44FB">
        <w:t>svěřené</w:t>
      </w:r>
      <w:r>
        <w:t xml:space="preserve"> </w:t>
      </w:r>
      <w:r w:rsidRPr="00DB44FB">
        <w:t>mu</w:t>
      </w:r>
      <w:r>
        <w:t xml:space="preserve"> </w:t>
      </w:r>
      <w:r w:rsidRPr="00DB44FB">
        <w:t>zakládací</w:t>
      </w:r>
      <w:r>
        <w:t xml:space="preserve"> </w:t>
      </w:r>
      <w:r w:rsidRPr="00DB44FB">
        <w:t>listinou.</w:t>
      </w:r>
    </w:p>
    <w:p w14:paraId="30F9A010" w14:textId="77777777" w:rsidR="005C6B33" w:rsidRDefault="005C6B33" w:rsidP="00A62336">
      <w:pPr>
        <w:pStyle w:val="Textparagrafu"/>
        <w:spacing w:before="120" w:after="120"/>
      </w:pPr>
      <w:r w:rsidRPr="00DB44FB">
        <w:t>(3)</w:t>
      </w:r>
      <w:r>
        <w:t xml:space="preserve"> </w:t>
      </w:r>
      <w:r w:rsidRPr="00DB44FB">
        <w:t>Za</w:t>
      </w:r>
      <w:r>
        <w:t xml:space="preserve"> </w:t>
      </w:r>
      <w:r w:rsidRPr="00DB44FB">
        <w:t>dluhy</w:t>
      </w:r>
      <w:r>
        <w:t xml:space="preserve"> </w:t>
      </w:r>
      <w:r w:rsidRPr="00DB44FB">
        <w:t>Ředitelství</w:t>
      </w:r>
      <w:r>
        <w:t xml:space="preserve"> </w:t>
      </w:r>
      <w:r w:rsidRPr="00DB44FB">
        <w:t>silnic</w:t>
      </w:r>
      <w:r>
        <w:t xml:space="preserve"> </w:t>
      </w:r>
      <w:r w:rsidRPr="00DB44FB">
        <w:t>a</w:t>
      </w:r>
      <w:r>
        <w:t xml:space="preserve"> </w:t>
      </w:r>
      <w:r w:rsidRPr="00DB44FB">
        <w:t>dálnic</w:t>
      </w:r>
      <w:r>
        <w:t xml:space="preserve"> </w:t>
      </w:r>
      <w:r w:rsidRPr="00DB44FB">
        <w:t>s.</w:t>
      </w:r>
      <w:r>
        <w:t xml:space="preserve"> </w:t>
      </w:r>
      <w:r w:rsidRPr="00DB44FB">
        <w:t>p.</w:t>
      </w:r>
      <w:r>
        <w:t xml:space="preserve"> </w:t>
      </w:r>
      <w:r w:rsidRPr="00DB44FB">
        <w:t>ručí</w:t>
      </w:r>
      <w:r>
        <w:t xml:space="preserve"> </w:t>
      </w:r>
      <w:r w:rsidRPr="00DB44FB">
        <w:t>stát.</w:t>
      </w:r>
      <w:r>
        <w:t xml:space="preserve"> </w:t>
      </w:r>
      <w:r w:rsidRPr="00DB44FB">
        <w:t>Jde-li</w:t>
      </w:r>
      <w:r>
        <w:t xml:space="preserve"> </w:t>
      </w:r>
      <w:r w:rsidRPr="00DB44FB">
        <w:t>o</w:t>
      </w:r>
      <w:r>
        <w:t xml:space="preserve"> </w:t>
      </w:r>
      <w:r w:rsidRPr="00DB44FB">
        <w:t>dluh</w:t>
      </w:r>
      <w:r>
        <w:t xml:space="preserve"> </w:t>
      </w:r>
      <w:r w:rsidRPr="00DB44FB">
        <w:t>vzniklý</w:t>
      </w:r>
      <w:r>
        <w:t xml:space="preserve"> </w:t>
      </w:r>
      <w:r w:rsidRPr="00DB44FB">
        <w:t>v</w:t>
      </w:r>
      <w:r>
        <w:t xml:space="preserve"> </w:t>
      </w:r>
      <w:r w:rsidRPr="00DB44FB">
        <w:t>souvislosti</w:t>
      </w:r>
      <w:r>
        <w:t xml:space="preserve"> </w:t>
      </w:r>
      <w:r w:rsidRPr="00DB44FB">
        <w:t>s</w:t>
      </w:r>
      <w:r>
        <w:t xml:space="preserve"> </w:t>
      </w:r>
      <w:r w:rsidRPr="00DB44FB">
        <w:t>úvěrem</w:t>
      </w:r>
      <w:r>
        <w:t xml:space="preserve"> </w:t>
      </w:r>
      <w:r w:rsidRPr="00DB44FB">
        <w:t>nebo</w:t>
      </w:r>
      <w:r>
        <w:t xml:space="preserve"> </w:t>
      </w:r>
      <w:r w:rsidRPr="00DB44FB">
        <w:t>s</w:t>
      </w:r>
      <w:r>
        <w:t xml:space="preserve"> </w:t>
      </w:r>
      <w:r w:rsidRPr="00DB44FB">
        <w:t>peněžními</w:t>
      </w:r>
      <w:r>
        <w:t xml:space="preserve"> </w:t>
      </w:r>
      <w:r w:rsidRPr="00DB44FB">
        <w:t>prostředky</w:t>
      </w:r>
      <w:r>
        <w:t xml:space="preserve"> </w:t>
      </w:r>
      <w:r w:rsidRPr="00DB44FB">
        <w:t>poskytnutými</w:t>
      </w:r>
      <w:r>
        <w:t xml:space="preserve"> </w:t>
      </w:r>
      <w:r w:rsidRPr="00DB44FB">
        <w:t>dočasně</w:t>
      </w:r>
      <w:r>
        <w:t xml:space="preserve"> </w:t>
      </w:r>
      <w:r w:rsidRPr="00DB44FB">
        <w:t>v</w:t>
      </w:r>
      <w:r>
        <w:t xml:space="preserve"> </w:t>
      </w:r>
      <w:r w:rsidRPr="00DB44FB">
        <w:t>jiné</w:t>
      </w:r>
      <w:r>
        <w:t xml:space="preserve"> </w:t>
      </w:r>
      <w:r w:rsidRPr="00DB44FB">
        <w:t>formě</w:t>
      </w:r>
      <w:r>
        <w:t xml:space="preserve"> </w:t>
      </w:r>
      <w:r w:rsidRPr="00DB44FB">
        <w:t>k</w:t>
      </w:r>
      <w:r>
        <w:t xml:space="preserve"> </w:t>
      </w:r>
      <w:r w:rsidRPr="00DB44FB">
        <w:t>úhradě</w:t>
      </w:r>
      <w:r>
        <w:t xml:space="preserve"> </w:t>
      </w:r>
      <w:r w:rsidRPr="00DB44FB">
        <w:t>nákladů</w:t>
      </w:r>
      <w:r>
        <w:t xml:space="preserve"> </w:t>
      </w:r>
      <w:r w:rsidRPr="00DB44FB">
        <w:t>na</w:t>
      </w:r>
      <w:r>
        <w:t xml:space="preserve"> </w:t>
      </w:r>
      <w:r w:rsidRPr="00DB44FB">
        <w:t>výstavbu</w:t>
      </w:r>
      <w:r>
        <w:t xml:space="preserve"> </w:t>
      </w:r>
      <w:r w:rsidRPr="00DB44FB">
        <w:t>dálnic</w:t>
      </w:r>
      <w:r>
        <w:t xml:space="preserve"> </w:t>
      </w:r>
      <w:r w:rsidRPr="00DB44FB">
        <w:t>nebo</w:t>
      </w:r>
      <w:r>
        <w:t xml:space="preserve"> </w:t>
      </w:r>
      <w:r w:rsidRPr="00DB44FB">
        <w:t>silnic</w:t>
      </w:r>
      <w:r>
        <w:t xml:space="preserve"> </w:t>
      </w:r>
      <w:r w:rsidRPr="00DB44FB">
        <w:t>I.</w:t>
      </w:r>
      <w:r>
        <w:t xml:space="preserve"> </w:t>
      </w:r>
      <w:r w:rsidRPr="00DB44FB">
        <w:t>třídy</w:t>
      </w:r>
      <w:r>
        <w:t xml:space="preserve"> </w:t>
      </w:r>
      <w:r w:rsidRPr="00DB44FB">
        <w:t>nebo</w:t>
      </w:r>
      <w:r>
        <w:t xml:space="preserve"> </w:t>
      </w:r>
      <w:r w:rsidRPr="00DB44FB">
        <w:t>jejich</w:t>
      </w:r>
      <w:r>
        <w:t xml:space="preserve"> </w:t>
      </w:r>
      <w:r w:rsidRPr="00DB44FB">
        <w:t>součástí</w:t>
      </w:r>
      <w:r>
        <w:t xml:space="preserve"> </w:t>
      </w:r>
      <w:r w:rsidRPr="00DB44FB">
        <w:t>nebo</w:t>
      </w:r>
      <w:r>
        <w:t xml:space="preserve"> </w:t>
      </w:r>
      <w:r w:rsidRPr="00DB44FB">
        <w:t>příslušenství,</w:t>
      </w:r>
      <w:r>
        <w:t xml:space="preserve"> </w:t>
      </w:r>
      <w:r w:rsidRPr="00DB44FB">
        <w:t>stát</w:t>
      </w:r>
      <w:r>
        <w:t xml:space="preserve"> </w:t>
      </w:r>
      <w:r w:rsidRPr="00DB44FB">
        <w:t>za</w:t>
      </w:r>
      <w:r>
        <w:t xml:space="preserve"> </w:t>
      </w:r>
      <w:r w:rsidRPr="00DB44FB">
        <w:t>něj</w:t>
      </w:r>
      <w:r>
        <w:t xml:space="preserve"> </w:t>
      </w:r>
      <w:r w:rsidRPr="00DB44FB">
        <w:t>ručí,</w:t>
      </w:r>
      <w:r>
        <w:t xml:space="preserve"> </w:t>
      </w:r>
      <w:r w:rsidRPr="00DB44FB">
        <w:t>pouze</w:t>
      </w:r>
      <w:r>
        <w:t xml:space="preserve"> </w:t>
      </w:r>
      <w:r w:rsidRPr="00DB44FB">
        <w:t>pokud</w:t>
      </w:r>
      <w:r>
        <w:t xml:space="preserve"> </w:t>
      </w:r>
      <w:r w:rsidRPr="00DB44FB">
        <w:t>tak</w:t>
      </w:r>
      <w:r>
        <w:t xml:space="preserve"> </w:t>
      </w:r>
      <w:r w:rsidRPr="00DB44FB">
        <w:t>stanoví</w:t>
      </w:r>
      <w:r>
        <w:t xml:space="preserve"> </w:t>
      </w:r>
      <w:r w:rsidRPr="00DB44FB">
        <w:t>zvláštní</w:t>
      </w:r>
      <w:r>
        <w:t xml:space="preserve"> </w:t>
      </w:r>
      <w:r w:rsidRPr="00DB44FB">
        <w:t>zákon.</w:t>
      </w:r>
      <w:r>
        <w:t xml:space="preserve"> </w:t>
      </w:r>
      <w:r w:rsidRPr="00DB44FB">
        <w:t>Stát</w:t>
      </w:r>
      <w:r>
        <w:t xml:space="preserve"> </w:t>
      </w:r>
      <w:r w:rsidRPr="00DB44FB">
        <w:t>jako</w:t>
      </w:r>
      <w:r>
        <w:t xml:space="preserve"> </w:t>
      </w:r>
      <w:r w:rsidRPr="00DB44FB">
        <w:t>ručitele</w:t>
      </w:r>
      <w:r>
        <w:t xml:space="preserve"> </w:t>
      </w:r>
      <w:r w:rsidRPr="00DB44FB">
        <w:t>zastupuje</w:t>
      </w:r>
      <w:r>
        <w:t xml:space="preserve"> </w:t>
      </w:r>
      <w:r w:rsidRPr="00DB44FB">
        <w:t>Ministerstvo</w:t>
      </w:r>
      <w:r>
        <w:t xml:space="preserve"> </w:t>
      </w:r>
      <w:r w:rsidRPr="00DB44FB">
        <w:t>dopravy.</w:t>
      </w:r>
    </w:p>
    <w:p w14:paraId="737E4A5E" w14:textId="77777777" w:rsidR="005C6B33" w:rsidRDefault="005C6B33" w:rsidP="00A62336">
      <w:pPr>
        <w:pStyle w:val="Textparagrafu"/>
        <w:spacing w:before="120" w:after="120"/>
      </w:pPr>
      <w:r w:rsidRPr="00DB44FB">
        <w:t>(4)</w:t>
      </w:r>
      <w:r>
        <w:t xml:space="preserve"> </w:t>
      </w:r>
      <w:r w:rsidRPr="00DB44FB">
        <w:t>Je-li</w:t>
      </w:r>
      <w:r>
        <w:t xml:space="preserve"> </w:t>
      </w:r>
      <w:r w:rsidRPr="00DB44FB">
        <w:t>Ředitelství</w:t>
      </w:r>
      <w:r>
        <w:t xml:space="preserve"> </w:t>
      </w:r>
      <w:r w:rsidRPr="00DB44FB">
        <w:t>silnic</w:t>
      </w:r>
      <w:r>
        <w:t xml:space="preserve"> </w:t>
      </w:r>
      <w:r w:rsidRPr="00DB44FB">
        <w:t>a</w:t>
      </w:r>
      <w:r>
        <w:t xml:space="preserve"> </w:t>
      </w:r>
      <w:r w:rsidRPr="00DB44FB">
        <w:t>dálnic</w:t>
      </w:r>
      <w:r>
        <w:t xml:space="preserve"> </w:t>
      </w:r>
      <w:r w:rsidRPr="00DB44FB">
        <w:t>s.</w:t>
      </w:r>
      <w:r>
        <w:t xml:space="preserve"> </w:t>
      </w:r>
      <w:r w:rsidRPr="00DB44FB">
        <w:t>p.</w:t>
      </w:r>
      <w:r>
        <w:t xml:space="preserve"> </w:t>
      </w:r>
      <w:r w:rsidRPr="00DB44FB">
        <w:t>povinným</w:t>
      </w:r>
      <w:r>
        <w:t xml:space="preserve"> </w:t>
      </w:r>
      <w:r w:rsidRPr="00DB44FB">
        <w:t>v</w:t>
      </w:r>
      <w:r>
        <w:t xml:space="preserve"> </w:t>
      </w:r>
      <w:r w:rsidRPr="00DB44FB">
        <w:t>exekučním</w:t>
      </w:r>
      <w:r>
        <w:t xml:space="preserve"> </w:t>
      </w:r>
      <w:r w:rsidRPr="00DB44FB">
        <w:t>řízení,</w:t>
      </w:r>
      <w:r>
        <w:t xml:space="preserve"> </w:t>
      </w:r>
      <w:r w:rsidRPr="00DB44FB">
        <w:t>neuplatní</w:t>
      </w:r>
      <w:r>
        <w:t xml:space="preserve"> </w:t>
      </w:r>
      <w:r w:rsidRPr="00DB44FB">
        <w:t>se</w:t>
      </w:r>
      <w:r>
        <w:t xml:space="preserve"> </w:t>
      </w:r>
      <w:r w:rsidRPr="00DB44FB">
        <w:t>na</w:t>
      </w:r>
      <w:r>
        <w:t xml:space="preserve"> </w:t>
      </w:r>
      <w:r w:rsidRPr="00DB44FB">
        <w:t>něj</w:t>
      </w:r>
      <w:r>
        <w:t xml:space="preserve"> </w:t>
      </w:r>
      <w:r w:rsidRPr="00DB44FB">
        <w:t>zákaz</w:t>
      </w:r>
      <w:r>
        <w:t xml:space="preserve"> </w:t>
      </w:r>
      <w:r w:rsidRPr="00DB44FB">
        <w:t>nakládání</w:t>
      </w:r>
      <w:r>
        <w:t xml:space="preserve"> </w:t>
      </w:r>
      <w:r w:rsidRPr="00DB44FB">
        <w:t>s</w:t>
      </w:r>
      <w:r>
        <w:t xml:space="preserve"> </w:t>
      </w:r>
      <w:r w:rsidRPr="00DB44FB">
        <w:t>majetkem</w:t>
      </w:r>
      <w:r>
        <w:t xml:space="preserve"> </w:t>
      </w:r>
      <w:r w:rsidRPr="00DB44FB">
        <w:t>po</w:t>
      </w:r>
      <w:r>
        <w:t xml:space="preserve"> </w:t>
      </w:r>
      <w:r w:rsidRPr="00DB44FB">
        <w:t>doručení</w:t>
      </w:r>
      <w:r>
        <w:t xml:space="preserve"> </w:t>
      </w:r>
      <w:r w:rsidRPr="00DB44FB">
        <w:t>vyrozumění</w:t>
      </w:r>
      <w:r>
        <w:t xml:space="preserve"> </w:t>
      </w:r>
      <w:r w:rsidRPr="00DB44FB">
        <w:t>o</w:t>
      </w:r>
      <w:r>
        <w:t xml:space="preserve"> </w:t>
      </w:r>
      <w:r w:rsidRPr="00DB44FB">
        <w:t>zahájení</w:t>
      </w:r>
      <w:r>
        <w:t xml:space="preserve"> </w:t>
      </w:r>
      <w:r w:rsidRPr="00DB44FB">
        <w:t>exekuce</w:t>
      </w:r>
      <w:r>
        <w:t xml:space="preserve"> </w:t>
      </w:r>
      <w:r w:rsidRPr="00DB44FB">
        <w:t>podle</w:t>
      </w:r>
      <w:r>
        <w:t xml:space="preserve"> </w:t>
      </w:r>
      <w:r w:rsidRPr="00DB44FB">
        <w:t>exekučního</w:t>
      </w:r>
      <w:r>
        <w:t xml:space="preserve"> </w:t>
      </w:r>
      <w:r w:rsidRPr="00DB44FB">
        <w:t>řádu.</w:t>
      </w:r>
      <w:r>
        <w:t xml:space="preserve"> </w:t>
      </w:r>
      <w:r w:rsidRPr="00DB44FB">
        <w:t>Zákaz</w:t>
      </w:r>
      <w:r>
        <w:t xml:space="preserve"> </w:t>
      </w:r>
      <w:r w:rsidRPr="00DB44FB">
        <w:t>povinného</w:t>
      </w:r>
      <w:r>
        <w:t xml:space="preserve"> </w:t>
      </w:r>
      <w:r w:rsidRPr="00DB44FB">
        <w:t>převést</w:t>
      </w:r>
      <w:r>
        <w:t xml:space="preserve"> </w:t>
      </w:r>
      <w:r w:rsidRPr="00DB44FB">
        <w:t>nebo</w:t>
      </w:r>
      <w:r>
        <w:t xml:space="preserve"> </w:t>
      </w:r>
      <w:r w:rsidRPr="00DB44FB">
        <w:t>zatížit</w:t>
      </w:r>
      <w:r>
        <w:t xml:space="preserve"> </w:t>
      </w:r>
      <w:r w:rsidRPr="00DB44FB">
        <w:t>majetek</w:t>
      </w:r>
      <w:r>
        <w:t xml:space="preserve"> </w:t>
      </w:r>
      <w:r w:rsidRPr="00DB44FB">
        <w:t>postižený</w:t>
      </w:r>
      <w:r>
        <w:t xml:space="preserve"> </w:t>
      </w:r>
      <w:r w:rsidRPr="00DB44FB">
        <w:t>exekučním</w:t>
      </w:r>
      <w:r>
        <w:t xml:space="preserve"> </w:t>
      </w:r>
      <w:r w:rsidRPr="00DB44FB">
        <w:t>příkazem</w:t>
      </w:r>
      <w:r>
        <w:t xml:space="preserve"> </w:t>
      </w:r>
      <w:r w:rsidRPr="00DB44FB">
        <w:t>nebo</w:t>
      </w:r>
      <w:r>
        <w:t xml:space="preserve"> </w:t>
      </w:r>
      <w:r w:rsidRPr="00DB44FB">
        <w:t>s</w:t>
      </w:r>
      <w:r>
        <w:t xml:space="preserve"> </w:t>
      </w:r>
      <w:r w:rsidRPr="00DB44FB">
        <w:t>ním</w:t>
      </w:r>
      <w:r>
        <w:t xml:space="preserve"> </w:t>
      </w:r>
      <w:r w:rsidRPr="00DB44FB">
        <w:t>jinak</w:t>
      </w:r>
      <w:r>
        <w:t xml:space="preserve"> </w:t>
      </w:r>
      <w:r w:rsidRPr="00DB44FB">
        <w:t>nakládat</w:t>
      </w:r>
      <w:r>
        <w:t xml:space="preserve"> </w:t>
      </w:r>
      <w:r w:rsidRPr="00DB44FB">
        <w:t>tím</w:t>
      </w:r>
      <w:r>
        <w:t xml:space="preserve"> </w:t>
      </w:r>
      <w:r w:rsidRPr="00DB44FB">
        <w:t>není</w:t>
      </w:r>
      <w:r>
        <w:t xml:space="preserve"> </w:t>
      </w:r>
      <w:r w:rsidRPr="00DB44FB">
        <w:t>dotčen.</w:t>
      </w:r>
    </w:p>
    <w:p w14:paraId="4EF80011" w14:textId="77777777" w:rsidR="005C6B33" w:rsidRDefault="005C6B33" w:rsidP="00A62336">
      <w:pPr>
        <w:pStyle w:val="Textparagrafu"/>
        <w:spacing w:before="120" w:after="120"/>
      </w:pPr>
      <w:r w:rsidRPr="00DB44FB">
        <w:t>(5)</w:t>
      </w:r>
      <w:r>
        <w:t xml:space="preserve"> </w:t>
      </w:r>
      <w:r w:rsidRPr="00DB44FB">
        <w:t>Ředitelství</w:t>
      </w:r>
      <w:r>
        <w:t xml:space="preserve"> </w:t>
      </w:r>
      <w:r w:rsidRPr="00DB44FB">
        <w:t>silnic</w:t>
      </w:r>
      <w:r>
        <w:t xml:space="preserve"> </w:t>
      </w:r>
      <w:r w:rsidRPr="00DB44FB">
        <w:t>a</w:t>
      </w:r>
      <w:r>
        <w:t xml:space="preserve"> </w:t>
      </w:r>
      <w:r w:rsidRPr="00DB44FB">
        <w:t>dálnic</w:t>
      </w:r>
      <w:r>
        <w:t xml:space="preserve"> </w:t>
      </w:r>
      <w:r w:rsidRPr="00DB44FB">
        <w:t>s.</w:t>
      </w:r>
      <w:r>
        <w:t xml:space="preserve"> </w:t>
      </w:r>
      <w:r w:rsidRPr="00DB44FB">
        <w:t>p.</w:t>
      </w:r>
      <w:r>
        <w:t xml:space="preserve"> </w:t>
      </w:r>
      <w:r w:rsidRPr="00DB44FB">
        <w:t>zavede</w:t>
      </w:r>
      <w:r>
        <w:t xml:space="preserve"> </w:t>
      </w:r>
      <w:r w:rsidRPr="00DB44FB">
        <w:t>a</w:t>
      </w:r>
      <w:r>
        <w:t xml:space="preserve"> </w:t>
      </w:r>
      <w:r w:rsidRPr="00DB44FB">
        <w:t>udržuje</w:t>
      </w:r>
      <w:r>
        <w:t xml:space="preserve"> </w:t>
      </w:r>
      <w:r w:rsidRPr="00DB44FB">
        <w:t>vnitřní</w:t>
      </w:r>
      <w:r>
        <w:t xml:space="preserve"> </w:t>
      </w:r>
      <w:r w:rsidRPr="00DB44FB">
        <w:t>kontrolní</w:t>
      </w:r>
      <w:r>
        <w:t xml:space="preserve"> </w:t>
      </w:r>
      <w:r w:rsidRPr="00DB44FB">
        <w:t>systém</w:t>
      </w:r>
      <w:r>
        <w:t xml:space="preserve"> </w:t>
      </w:r>
      <w:r w:rsidRPr="00DB44FB">
        <w:t>podle</w:t>
      </w:r>
      <w:r>
        <w:t xml:space="preserve"> </w:t>
      </w:r>
      <w:r w:rsidRPr="00DB44FB">
        <w:t>zákona</w:t>
      </w:r>
      <w:r>
        <w:t xml:space="preserve"> </w:t>
      </w:r>
      <w:r w:rsidRPr="00DB44FB">
        <w:t>o</w:t>
      </w:r>
      <w:r>
        <w:t xml:space="preserve"> </w:t>
      </w:r>
      <w:r w:rsidRPr="00DB44FB">
        <w:t>finanční</w:t>
      </w:r>
      <w:r>
        <w:t xml:space="preserve"> </w:t>
      </w:r>
      <w:r w:rsidRPr="00DB44FB">
        <w:t>kontrole.</w:t>
      </w:r>
    </w:p>
    <w:p w14:paraId="1B277933" w14:textId="77777777" w:rsidR="005C6B33" w:rsidRPr="00A66DBC" w:rsidRDefault="005C6B33" w:rsidP="00A62336">
      <w:pPr>
        <w:pStyle w:val="Textparagrafu"/>
        <w:spacing w:before="120" w:after="120"/>
        <w:rPr>
          <w:strike/>
        </w:rPr>
      </w:pPr>
      <w:r w:rsidRPr="00A66DBC">
        <w:rPr>
          <w:strike/>
        </w:rPr>
        <w:t>(6) Dálnice a silnice I. třídy a jejich součásti a příslušenství se neodpisují podle právních předpisů upravujících účetnictví.</w:t>
      </w:r>
    </w:p>
    <w:p w14:paraId="54615804" w14:textId="6157AF1A" w:rsidR="005C6B33" w:rsidRPr="00DB44FB" w:rsidRDefault="005C6B33" w:rsidP="00A62336">
      <w:pPr>
        <w:pStyle w:val="Textparagrafu"/>
        <w:spacing w:before="120" w:after="120"/>
      </w:pPr>
      <w:proofErr w:type="gramStart"/>
      <w:r w:rsidRPr="00A66DBC">
        <w:rPr>
          <w:strike/>
        </w:rPr>
        <w:t>(7)</w:t>
      </w:r>
      <w:r w:rsidR="00A66DBC">
        <w:rPr>
          <w:b/>
        </w:rPr>
        <w:t>(6)</w:t>
      </w:r>
      <w:r w:rsidR="00A66DBC" w:rsidRPr="00A66DBC">
        <w:t xml:space="preserve"> </w:t>
      </w:r>
      <w:r w:rsidRPr="00DB44FB">
        <w:t>Ředitel</w:t>
      </w:r>
      <w:proofErr w:type="gramEnd"/>
      <w:r>
        <w:t xml:space="preserve"> </w:t>
      </w:r>
      <w:r w:rsidRPr="00DB44FB">
        <w:t>Ředitelství</w:t>
      </w:r>
      <w:r>
        <w:t xml:space="preserve"> </w:t>
      </w:r>
      <w:r w:rsidRPr="00DB44FB">
        <w:t>silnic</w:t>
      </w:r>
      <w:r>
        <w:t xml:space="preserve"> </w:t>
      </w:r>
      <w:r w:rsidRPr="00DB44FB">
        <w:t>a</w:t>
      </w:r>
      <w:r>
        <w:t xml:space="preserve"> </w:t>
      </w:r>
      <w:r w:rsidRPr="00DB44FB">
        <w:t>dálnic</w:t>
      </w:r>
      <w:r>
        <w:t xml:space="preserve"> </w:t>
      </w:r>
      <w:r w:rsidRPr="00DB44FB">
        <w:t>s.</w:t>
      </w:r>
      <w:r>
        <w:t xml:space="preserve"> </w:t>
      </w:r>
      <w:r w:rsidRPr="00DB44FB">
        <w:t>p.</w:t>
      </w:r>
      <w:r>
        <w:t xml:space="preserve"> </w:t>
      </w:r>
      <w:r w:rsidRPr="00DB44FB">
        <w:t>se</w:t>
      </w:r>
      <w:r>
        <w:t xml:space="preserve"> </w:t>
      </w:r>
      <w:r w:rsidRPr="00DB44FB">
        <w:t>označuje</w:t>
      </w:r>
      <w:r>
        <w:t xml:space="preserve"> </w:t>
      </w:r>
      <w:r w:rsidRPr="00DB44FB">
        <w:t>jako</w:t>
      </w:r>
      <w:r>
        <w:t xml:space="preserve"> </w:t>
      </w:r>
      <w:r w:rsidRPr="00DB44FB">
        <w:t>generální</w:t>
      </w:r>
      <w:r>
        <w:t xml:space="preserve"> </w:t>
      </w:r>
      <w:r w:rsidRPr="00DB44FB">
        <w:t>ředitel.</w:t>
      </w:r>
    </w:p>
    <w:p w14:paraId="246B325F" w14:textId="7CC8534D" w:rsidR="00106516" w:rsidRDefault="00A66DBC" w:rsidP="00A66DBC">
      <w:pPr>
        <w:pStyle w:val="Textparagrafu"/>
        <w:tabs>
          <w:tab w:val="left" w:pos="406"/>
          <w:tab w:val="left" w:pos="868"/>
        </w:tabs>
        <w:spacing w:after="120"/>
        <w:ind w:firstLine="0"/>
        <w:jc w:val="center"/>
      </w:pPr>
      <w:r>
        <w:t>***</w:t>
      </w:r>
    </w:p>
    <w:p w14:paraId="33B56DDD" w14:textId="07EEA143" w:rsidR="00A66DBC" w:rsidRDefault="00A66DBC" w:rsidP="00A62336">
      <w:pPr>
        <w:pStyle w:val="Textparagrafu"/>
        <w:ind w:firstLine="0"/>
        <w:jc w:val="center"/>
      </w:pPr>
      <w:r w:rsidRPr="003B590A">
        <w:t>§</w:t>
      </w:r>
      <w:r>
        <w:t xml:space="preserve"> </w:t>
      </w:r>
      <w:r w:rsidRPr="003B590A">
        <w:t>17</w:t>
      </w:r>
    </w:p>
    <w:p w14:paraId="294A03C7" w14:textId="27B4897E" w:rsidR="00A66DBC" w:rsidRDefault="00A66DBC" w:rsidP="00A62336">
      <w:pPr>
        <w:pStyle w:val="Textparagrafu"/>
        <w:spacing w:before="120" w:after="120"/>
      </w:pPr>
      <w:r w:rsidRPr="003B590A">
        <w:t>(1)</w:t>
      </w:r>
      <w:r>
        <w:t xml:space="preserve"> </w:t>
      </w:r>
      <w:r w:rsidRPr="003B590A">
        <w:t>Dálnice,</w:t>
      </w:r>
      <w:r>
        <w:t xml:space="preserve"> </w:t>
      </w:r>
      <w:r w:rsidRPr="003B590A">
        <w:t>silnice</w:t>
      </w:r>
      <w:r>
        <w:t xml:space="preserve"> </w:t>
      </w:r>
      <w:r w:rsidRPr="003B590A">
        <w:t>a</w:t>
      </w:r>
      <w:r>
        <w:t xml:space="preserve"> </w:t>
      </w:r>
      <w:r w:rsidRPr="003B590A">
        <w:t>místní</w:t>
      </w:r>
      <w:r>
        <w:t xml:space="preserve"> </w:t>
      </w:r>
      <w:r w:rsidRPr="003B590A">
        <w:t>komunikace</w:t>
      </w:r>
      <w:r>
        <w:t xml:space="preserve"> </w:t>
      </w:r>
      <w:r w:rsidRPr="003B590A">
        <w:t>I.</w:t>
      </w:r>
      <w:r>
        <w:t xml:space="preserve"> </w:t>
      </w:r>
      <w:r w:rsidRPr="003B590A">
        <w:t>třídy,</w:t>
      </w:r>
      <w:r>
        <w:t xml:space="preserve"> </w:t>
      </w:r>
      <w:r w:rsidRPr="003B590A">
        <w:t>jejich</w:t>
      </w:r>
      <w:r>
        <w:t xml:space="preserve"> </w:t>
      </w:r>
      <w:r w:rsidRPr="003B590A">
        <w:t>součásti,</w:t>
      </w:r>
      <w:r>
        <w:t xml:space="preserve"> </w:t>
      </w:r>
      <w:r w:rsidRPr="003B590A">
        <w:t>příslušenství</w:t>
      </w:r>
      <w:r>
        <w:t xml:space="preserve"> </w:t>
      </w:r>
      <w:r w:rsidRPr="003B590A">
        <w:t>a</w:t>
      </w:r>
      <w:r>
        <w:t xml:space="preserve"> </w:t>
      </w:r>
      <w:r w:rsidRPr="003B590A">
        <w:t>stavby</w:t>
      </w:r>
      <w:r>
        <w:t xml:space="preserve"> </w:t>
      </w:r>
      <w:r w:rsidRPr="003B590A">
        <w:t>související</w:t>
      </w:r>
      <w:r>
        <w:t xml:space="preserve"> </w:t>
      </w:r>
      <w:r w:rsidRPr="003B590A">
        <w:t>jsou</w:t>
      </w:r>
      <w:r>
        <w:t xml:space="preserve"> </w:t>
      </w:r>
      <w:r w:rsidRPr="003B590A">
        <w:t>veřejně</w:t>
      </w:r>
      <w:r>
        <w:t xml:space="preserve"> </w:t>
      </w:r>
      <w:r w:rsidRPr="003B590A">
        <w:t>prospěšné.</w:t>
      </w:r>
      <w:r>
        <w:t xml:space="preserve"> </w:t>
      </w:r>
      <w:r w:rsidRPr="003B590A">
        <w:t>Za</w:t>
      </w:r>
      <w:r>
        <w:t xml:space="preserve"> </w:t>
      </w:r>
      <w:r w:rsidRPr="003B590A">
        <w:t>související</w:t>
      </w:r>
      <w:r>
        <w:t xml:space="preserve"> </w:t>
      </w:r>
      <w:r w:rsidRPr="003B590A">
        <w:t>stavbu</w:t>
      </w:r>
      <w:r>
        <w:t xml:space="preserve"> </w:t>
      </w:r>
      <w:r w:rsidRPr="003B590A">
        <w:t>se</w:t>
      </w:r>
      <w:r>
        <w:t xml:space="preserve"> </w:t>
      </w:r>
      <w:r w:rsidRPr="003B590A">
        <w:t>pro</w:t>
      </w:r>
      <w:r>
        <w:t xml:space="preserve"> </w:t>
      </w:r>
      <w:r w:rsidRPr="003B590A">
        <w:t>tyto</w:t>
      </w:r>
      <w:r>
        <w:t xml:space="preserve"> </w:t>
      </w:r>
      <w:r w:rsidRPr="003B590A">
        <w:t>účely</w:t>
      </w:r>
      <w:r>
        <w:t xml:space="preserve"> </w:t>
      </w:r>
      <w:r w:rsidRPr="003B590A">
        <w:t>považuje</w:t>
      </w:r>
      <w:r>
        <w:t xml:space="preserve"> </w:t>
      </w:r>
      <w:r w:rsidRPr="003B590A">
        <w:t>i</w:t>
      </w:r>
      <w:r>
        <w:t xml:space="preserve"> </w:t>
      </w:r>
      <w:r w:rsidRPr="003B590A">
        <w:t>stezka</w:t>
      </w:r>
      <w:r>
        <w:t xml:space="preserve"> </w:t>
      </w:r>
      <w:r w:rsidRPr="003B590A">
        <w:t>pro</w:t>
      </w:r>
      <w:r>
        <w:t xml:space="preserve"> </w:t>
      </w:r>
      <w:r w:rsidRPr="003B590A">
        <w:t>cyklisty</w:t>
      </w:r>
      <w:r>
        <w:t xml:space="preserve"> </w:t>
      </w:r>
      <w:r w:rsidRPr="003B590A">
        <w:t>a</w:t>
      </w:r>
      <w:r>
        <w:t xml:space="preserve"> </w:t>
      </w:r>
      <w:r w:rsidRPr="003B590A">
        <w:t>stezka</w:t>
      </w:r>
      <w:r>
        <w:t xml:space="preserve"> </w:t>
      </w:r>
      <w:r w:rsidRPr="003B590A">
        <w:t>pro</w:t>
      </w:r>
      <w:r>
        <w:t xml:space="preserve"> </w:t>
      </w:r>
      <w:r w:rsidRPr="003B590A">
        <w:t>chodce</w:t>
      </w:r>
      <w:r>
        <w:t xml:space="preserve"> </w:t>
      </w:r>
      <w:r w:rsidRPr="003B590A">
        <w:t>a</w:t>
      </w:r>
      <w:r>
        <w:t xml:space="preserve"> </w:t>
      </w:r>
      <w:r w:rsidRPr="003B590A">
        <w:t>cyklisty</w:t>
      </w:r>
      <w:r>
        <w:t xml:space="preserve"> </w:t>
      </w:r>
      <w:r w:rsidRPr="003B590A">
        <w:t>souběžná</w:t>
      </w:r>
      <w:r>
        <w:t xml:space="preserve"> </w:t>
      </w:r>
      <w:r w:rsidRPr="003B590A">
        <w:t>se</w:t>
      </w:r>
      <w:r>
        <w:t xml:space="preserve"> </w:t>
      </w:r>
      <w:r w:rsidRPr="003B590A">
        <w:t>silnicí</w:t>
      </w:r>
      <w:r>
        <w:t xml:space="preserve"> </w:t>
      </w:r>
      <w:r w:rsidRPr="003B590A">
        <w:t>nebo</w:t>
      </w:r>
      <w:r>
        <w:t xml:space="preserve"> </w:t>
      </w:r>
      <w:r w:rsidRPr="003B590A">
        <w:t>místní</w:t>
      </w:r>
      <w:r>
        <w:t xml:space="preserve"> </w:t>
      </w:r>
      <w:r w:rsidRPr="003B590A">
        <w:t>komunikací</w:t>
      </w:r>
      <w:r>
        <w:t xml:space="preserve"> </w:t>
      </w:r>
      <w:r w:rsidRPr="003B590A">
        <w:t>I.</w:t>
      </w:r>
      <w:r>
        <w:t xml:space="preserve"> </w:t>
      </w:r>
      <w:r w:rsidRPr="003B590A">
        <w:t>třídy.</w:t>
      </w:r>
    </w:p>
    <w:p w14:paraId="177FA28A" w14:textId="0261F785" w:rsidR="00A66DBC" w:rsidRDefault="00A66DBC" w:rsidP="00A62336">
      <w:pPr>
        <w:pStyle w:val="Textparagrafu"/>
        <w:spacing w:before="120" w:after="120"/>
      </w:pPr>
      <w:r w:rsidRPr="003B590A">
        <w:t>(2)</w:t>
      </w:r>
      <w:r>
        <w:t xml:space="preserve"> </w:t>
      </w:r>
      <w:r w:rsidRPr="003B590A">
        <w:t>Podle</w:t>
      </w:r>
      <w:r>
        <w:t xml:space="preserve"> </w:t>
      </w:r>
      <w:r w:rsidRPr="003B590A">
        <w:t>zvláštního</w:t>
      </w:r>
      <w:r>
        <w:t xml:space="preserve"> </w:t>
      </w:r>
      <w:r w:rsidRPr="003B590A">
        <w:t>právního</w:t>
      </w:r>
      <w:r>
        <w:t xml:space="preserve"> předpisu</w:t>
      </w:r>
      <w:r>
        <w:rPr>
          <w:rStyle w:val="Znakapoznpodarou"/>
        </w:rPr>
        <w:footnoteReference w:customMarkFollows="1" w:id="227"/>
        <w:t>7)</w:t>
      </w:r>
      <w:r>
        <w:t xml:space="preserve"> </w:t>
      </w:r>
      <w:r w:rsidRPr="003B590A">
        <w:t>lze</w:t>
      </w:r>
      <w:r>
        <w:t xml:space="preserve"> </w:t>
      </w:r>
      <w:r w:rsidRPr="003B590A">
        <w:t>odejmout</w:t>
      </w:r>
      <w:r>
        <w:t xml:space="preserve"> </w:t>
      </w:r>
      <w:r w:rsidRPr="003B590A">
        <w:t>nebo</w:t>
      </w:r>
      <w:r>
        <w:t xml:space="preserve"> </w:t>
      </w:r>
      <w:r w:rsidRPr="003B590A">
        <w:t>omezit</w:t>
      </w:r>
    </w:p>
    <w:p w14:paraId="168B5948" w14:textId="37731B67" w:rsidR="00A66DBC" w:rsidRDefault="00A66DBC" w:rsidP="00B0390E">
      <w:pPr>
        <w:pStyle w:val="Textparagrafu"/>
        <w:tabs>
          <w:tab w:val="left" w:pos="392"/>
        </w:tabs>
        <w:spacing w:before="0"/>
        <w:ind w:left="426" w:hanging="426"/>
      </w:pPr>
      <w:r w:rsidRPr="003B590A">
        <w:t>a)</w:t>
      </w:r>
      <w:r>
        <w:tab/>
      </w:r>
      <w:r w:rsidRPr="003B590A">
        <w:t>vlastnické</w:t>
      </w:r>
      <w:r>
        <w:t xml:space="preserve"> </w:t>
      </w:r>
      <w:r w:rsidRPr="003B590A">
        <w:t>právo</w:t>
      </w:r>
      <w:r>
        <w:t xml:space="preserve"> </w:t>
      </w:r>
      <w:r w:rsidRPr="003B590A">
        <w:t>k</w:t>
      </w:r>
      <w:r>
        <w:t xml:space="preserve"> </w:t>
      </w:r>
      <w:r w:rsidRPr="003B590A">
        <w:t>pozemku</w:t>
      </w:r>
      <w:r>
        <w:t xml:space="preserve"> </w:t>
      </w:r>
      <w:r w:rsidRPr="003B590A">
        <w:t>nebo</w:t>
      </w:r>
      <w:r>
        <w:t xml:space="preserve"> </w:t>
      </w:r>
      <w:r w:rsidRPr="003B590A">
        <w:t>ke</w:t>
      </w:r>
      <w:r>
        <w:t xml:space="preserve"> </w:t>
      </w:r>
      <w:r w:rsidRPr="003B590A">
        <w:t>stavbě</w:t>
      </w:r>
      <w:r>
        <w:t xml:space="preserve"> </w:t>
      </w:r>
      <w:r w:rsidRPr="003B590A">
        <w:t>nebo</w:t>
      </w:r>
      <w:r>
        <w:t xml:space="preserve"> </w:t>
      </w:r>
      <w:r w:rsidRPr="003B590A">
        <w:t>právo</w:t>
      </w:r>
      <w:r>
        <w:t xml:space="preserve"> </w:t>
      </w:r>
      <w:r w:rsidRPr="003B590A">
        <w:t>odpovídající</w:t>
      </w:r>
      <w:r>
        <w:t xml:space="preserve"> </w:t>
      </w:r>
      <w:r w:rsidRPr="003B590A">
        <w:t>věcnému</w:t>
      </w:r>
      <w:r>
        <w:t xml:space="preserve"> </w:t>
      </w:r>
      <w:r w:rsidRPr="003B590A">
        <w:t>břemenu</w:t>
      </w:r>
      <w:r>
        <w:t xml:space="preserve"> </w:t>
      </w:r>
      <w:r w:rsidRPr="003B590A">
        <w:t>k</w:t>
      </w:r>
      <w:r>
        <w:t xml:space="preserve"> </w:t>
      </w:r>
      <w:r w:rsidRPr="003B590A">
        <w:t>pozemku</w:t>
      </w:r>
      <w:r>
        <w:t xml:space="preserve"> </w:t>
      </w:r>
      <w:r w:rsidRPr="003B590A">
        <w:t>nebo</w:t>
      </w:r>
      <w:r>
        <w:t xml:space="preserve"> </w:t>
      </w:r>
      <w:r w:rsidRPr="003B590A">
        <w:t>ke</w:t>
      </w:r>
      <w:r>
        <w:t xml:space="preserve"> </w:t>
      </w:r>
      <w:r w:rsidRPr="003B590A">
        <w:t>stavbě</w:t>
      </w:r>
      <w:r>
        <w:t xml:space="preserve"> </w:t>
      </w:r>
      <w:r w:rsidRPr="003B590A">
        <w:t>potřebným</w:t>
      </w:r>
      <w:r>
        <w:t xml:space="preserve"> </w:t>
      </w:r>
      <w:r w:rsidRPr="003B590A">
        <w:t>k</w:t>
      </w:r>
      <w:r>
        <w:t xml:space="preserve"> </w:t>
      </w:r>
      <w:r w:rsidRPr="003B590A">
        <w:t>uskutečnění</w:t>
      </w:r>
      <w:r>
        <w:t xml:space="preserve"> </w:t>
      </w:r>
      <w:r w:rsidRPr="003B590A">
        <w:t>výstavby,</w:t>
      </w:r>
      <w:r>
        <w:t xml:space="preserve"> </w:t>
      </w:r>
      <w:r w:rsidRPr="003B590A">
        <w:t>opravy,</w:t>
      </w:r>
      <w:r>
        <w:t xml:space="preserve"> </w:t>
      </w:r>
      <w:r w:rsidRPr="003B590A">
        <w:t>úpravy,</w:t>
      </w:r>
      <w:r>
        <w:t xml:space="preserve"> </w:t>
      </w:r>
      <w:r w:rsidRPr="003B590A">
        <w:t>modernizace</w:t>
      </w:r>
      <w:r>
        <w:t xml:space="preserve"> </w:t>
      </w:r>
      <w:r w:rsidRPr="003B590A">
        <w:t>nebo</w:t>
      </w:r>
      <w:r>
        <w:t xml:space="preserve"> </w:t>
      </w:r>
      <w:r w:rsidRPr="003B590A">
        <w:t>rekonstrukce</w:t>
      </w:r>
      <w:r>
        <w:t xml:space="preserve"> </w:t>
      </w:r>
      <w:r w:rsidRPr="003B590A">
        <w:t>dálnice,</w:t>
      </w:r>
      <w:r>
        <w:t xml:space="preserve"> </w:t>
      </w:r>
      <w:r w:rsidRPr="003B590A">
        <w:t>silnice,</w:t>
      </w:r>
      <w:r>
        <w:t xml:space="preserve"> </w:t>
      </w:r>
      <w:r w:rsidRPr="003B590A">
        <w:t>místní</w:t>
      </w:r>
      <w:r>
        <w:t xml:space="preserve"> </w:t>
      </w:r>
      <w:r w:rsidRPr="003B590A">
        <w:t>komunikace</w:t>
      </w:r>
      <w:r>
        <w:t xml:space="preserve"> </w:t>
      </w:r>
      <w:r w:rsidRPr="003B590A">
        <w:t>I.</w:t>
      </w:r>
      <w:r>
        <w:t xml:space="preserve"> </w:t>
      </w:r>
      <w:r w:rsidRPr="003B590A">
        <w:t>třídy,</w:t>
      </w:r>
      <w:r>
        <w:t xml:space="preserve"> </w:t>
      </w:r>
      <w:r w:rsidRPr="003B590A">
        <w:t>jejich</w:t>
      </w:r>
      <w:r>
        <w:t xml:space="preserve"> </w:t>
      </w:r>
      <w:r w:rsidRPr="003B590A">
        <w:t>součástí,</w:t>
      </w:r>
      <w:r>
        <w:t xml:space="preserve"> </w:t>
      </w:r>
      <w:r w:rsidRPr="003B590A">
        <w:t>příslušenství</w:t>
      </w:r>
      <w:r>
        <w:t xml:space="preserve"> </w:t>
      </w:r>
      <w:r w:rsidRPr="003B590A">
        <w:t>nebo</w:t>
      </w:r>
      <w:r>
        <w:t xml:space="preserve"> </w:t>
      </w:r>
      <w:r w:rsidRPr="003B590A">
        <w:t>staveb</w:t>
      </w:r>
      <w:r>
        <w:t xml:space="preserve"> </w:t>
      </w:r>
      <w:r w:rsidRPr="003B590A">
        <w:t>souvisejících,</w:t>
      </w:r>
    </w:p>
    <w:p w14:paraId="7AECEE21" w14:textId="1D7F4970" w:rsidR="00A66DBC" w:rsidRDefault="00A66DBC" w:rsidP="00B0390E">
      <w:pPr>
        <w:pStyle w:val="Textparagrafu"/>
        <w:tabs>
          <w:tab w:val="left" w:pos="392"/>
        </w:tabs>
        <w:spacing w:before="0"/>
        <w:ind w:left="426" w:hanging="426"/>
      </w:pPr>
      <w:r w:rsidRPr="003B590A">
        <w:lastRenderedPageBreak/>
        <w:t>b)</w:t>
      </w:r>
      <w:r>
        <w:tab/>
      </w:r>
      <w:r w:rsidRPr="003B590A">
        <w:t>vlastnické</w:t>
      </w:r>
      <w:r>
        <w:t xml:space="preserve"> </w:t>
      </w:r>
      <w:r w:rsidRPr="003B590A">
        <w:t>právo</w:t>
      </w:r>
      <w:r>
        <w:t xml:space="preserve"> </w:t>
      </w:r>
      <w:r w:rsidRPr="003B590A">
        <w:t>k</w:t>
      </w:r>
      <w:r>
        <w:t xml:space="preserve"> </w:t>
      </w:r>
      <w:r w:rsidRPr="003B590A">
        <w:t>pozemku,</w:t>
      </w:r>
      <w:r>
        <w:t xml:space="preserve"> </w:t>
      </w:r>
      <w:r w:rsidRPr="003B590A">
        <w:t>jestliže</w:t>
      </w:r>
      <w:r>
        <w:t xml:space="preserve"> </w:t>
      </w:r>
      <w:r w:rsidRPr="003B590A">
        <w:t>byla</w:t>
      </w:r>
      <w:r>
        <w:t xml:space="preserve"> </w:t>
      </w:r>
      <w:r w:rsidRPr="003B590A">
        <w:t>dálnice,</w:t>
      </w:r>
      <w:r>
        <w:t xml:space="preserve"> </w:t>
      </w:r>
      <w:r w:rsidRPr="003B590A">
        <w:t>silnice</w:t>
      </w:r>
      <w:r>
        <w:t xml:space="preserve"> </w:t>
      </w:r>
      <w:r w:rsidRPr="003B590A">
        <w:t>nebo</w:t>
      </w:r>
      <w:r>
        <w:t xml:space="preserve"> </w:t>
      </w:r>
      <w:r w:rsidRPr="003B590A">
        <w:t>místní</w:t>
      </w:r>
      <w:r>
        <w:t xml:space="preserve"> </w:t>
      </w:r>
      <w:r w:rsidRPr="003B590A">
        <w:t>komunikace</w:t>
      </w:r>
      <w:r>
        <w:t xml:space="preserve"> </w:t>
      </w:r>
      <w:r w:rsidRPr="003B590A">
        <w:t>zřízena</w:t>
      </w:r>
      <w:r>
        <w:t xml:space="preserve"> </w:t>
      </w:r>
      <w:r w:rsidRPr="003B590A">
        <w:t>na</w:t>
      </w:r>
      <w:r>
        <w:t xml:space="preserve"> </w:t>
      </w:r>
      <w:r w:rsidRPr="003B590A">
        <w:t>cizím</w:t>
      </w:r>
      <w:r>
        <w:t xml:space="preserve"> </w:t>
      </w:r>
      <w:r w:rsidRPr="003B590A">
        <w:t>pozemku.</w:t>
      </w:r>
    </w:p>
    <w:p w14:paraId="6E78530F" w14:textId="77777777" w:rsidR="00A66DBC" w:rsidRDefault="00A66DBC" w:rsidP="00A62336">
      <w:pPr>
        <w:pStyle w:val="Textparagrafu"/>
        <w:spacing w:before="120" w:after="120"/>
      </w:pPr>
      <w:r w:rsidRPr="003B590A">
        <w:t>(3)</w:t>
      </w:r>
      <w:r>
        <w:t xml:space="preserve"> </w:t>
      </w:r>
      <w:r w:rsidRPr="003B590A">
        <w:t>Pokud</w:t>
      </w:r>
      <w:r>
        <w:t xml:space="preserve"> </w:t>
      </w:r>
      <w:r w:rsidRPr="003B590A">
        <w:t>se</w:t>
      </w:r>
      <w:r>
        <w:t xml:space="preserve"> </w:t>
      </w:r>
      <w:r w:rsidRPr="003B590A">
        <w:t>vlastnické</w:t>
      </w:r>
      <w:r>
        <w:t xml:space="preserve"> </w:t>
      </w:r>
      <w:r w:rsidRPr="003B590A">
        <w:t>právo</w:t>
      </w:r>
      <w:r>
        <w:t xml:space="preserve"> </w:t>
      </w:r>
      <w:r w:rsidRPr="003B590A">
        <w:t>k</w:t>
      </w:r>
      <w:r>
        <w:t xml:space="preserve"> </w:t>
      </w:r>
      <w:r w:rsidRPr="003B590A">
        <w:t>pozemku</w:t>
      </w:r>
      <w:r>
        <w:t xml:space="preserve"> </w:t>
      </w:r>
      <w:r w:rsidRPr="003B590A">
        <w:t>nebo</w:t>
      </w:r>
      <w:r>
        <w:t xml:space="preserve"> </w:t>
      </w:r>
      <w:r w:rsidRPr="003B590A">
        <w:t>stavbě</w:t>
      </w:r>
      <w:r>
        <w:t xml:space="preserve"> </w:t>
      </w:r>
      <w:r w:rsidRPr="003B590A">
        <w:t>potřebným</w:t>
      </w:r>
      <w:r>
        <w:t xml:space="preserve"> </w:t>
      </w:r>
      <w:r w:rsidRPr="003B590A">
        <w:t>k</w:t>
      </w:r>
      <w:r>
        <w:t xml:space="preserve"> </w:t>
      </w:r>
      <w:r w:rsidRPr="003B590A">
        <w:t>uskutečnění</w:t>
      </w:r>
      <w:r>
        <w:t xml:space="preserve"> </w:t>
      </w:r>
      <w:r w:rsidRPr="003B590A">
        <w:t>výstavby,</w:t>
      </w:r>
      <w:r>
        <w:t xml:space="preserve"> </w:t>
      </w:r>
      <w:r w:rsidRPr="003B590A">
        <w:t>opravy,</w:t>
      </w:r>
      <w:r>
        <w:t xml:space="preserve"> </w:t>
      </w:r>
      <w:r w:rsidRPr="003B590A">
        <w:t>úpravy,</w:t>
      </w:r>
      <w:r>
        <w:t xml:space="preserve"> </w:t>
      </w:r>
      <w:r w:rsidRPr="003B590A">
        <w:t>modernizace</w:t>
      </w:r>
      <w:r>
        <w:t xml:space="preserve"> </w:t>
      </w:r>
      <w:r w:rsidRPr="003B590A">
        <w:t>nebo</w:t>
      </w:r>
      <w:r>
        <w:t xml:space="preserve"> </w:t>
      </w:r>
      <w:r w:rsidRPr="003B590A">
        <w:t>rekonstrukce</w:t>
      </w:r>
      <w:r>
        <w:t xml:space="preserve"> </w:t>
      </w:r>
      <w:r w:rsidRPr="003B590A">
        <w:t>staveb</w:t>
      </w:r>
      <w:r>
        <w:t xml:space="preserve"> </w:t>
      </w:r>
      <w:r w:rsidRPr="003B590A">
        <w:t>uvedených</w:t>
      </w:r>
      <w:r>
        <w:t xml:space="preserve"> </w:t>
      </w:r>
      <w:r w:rsidRPr="003B590A">
        <w:t>v</w:t>
      </w:r>
      <w:r>
        <w:t xml:space="preserve"> </w:t>
      </w:r>
      <w:r w:rsidRPr="003B590A">
        <w:t>odstavci</w:t>
      </w:r>
      <w:r>
        <w:t xml:space="preserve"> </w:t>
      </w:r>
      <w:r w:rsidRPr="003B590A">
        <w:t>1</w:t>
      </w:r>
      <w:r>
        <w:t xml:space="preserve"> </w:t>
      </w:r>
      <w:r w:rsidRPr="003B590A">
        <w:t>omezuje</w:t>
      </w:r>
      <w:r>
        <w:t xml:space="preserve"> </w:t>
      </w:r>
      <w:r w:rsidRPr="003B590A">
        <w:t>smlouvou,</w:t>
      </w:r>
      <w:r>
        <w:t xml:space="preserve"> </w:t>
      </w:r>
      <w:r w:rsidRPr="003B590A">
        <w:t>sjednává</w:t>
      </w:r>
      <w:r>
        <w:t xml:space="preserve"> </w:t>
      </w:r>
      <w:r w:rsidRPr="003B590A">
        <w:t>se</w:t>
      </w:r>
      <w:r>
        <w:t xml:space="preserve"> </w:t>
      </w:r>
      <w:r w:rsidRPr="003B590A">
        <w:t>výše</w:t>
      </w:r>
      <w:r>
        <w:t xml:space="preserve"> </w:t>
      </w:r>
      <w:r w:rsidRPr="003B590A">
        <w:t>úplaty</w:t>
      </w:r>
      <w:r>
        <w:t xml:space="preserve"> </w:t>
      </w:r>
      <w:r w:rsidRPr="003B590A">
        <w:t>ve</w:t>
      </w:r>
      <w:r>
        <w:t xml:space="preserve"> </w:t>
      </w:r>
      <w:r w:rsidRPr="003B590A">
        <w:t>výši</w:t>
      </w:r>
      <w:r>
        <w:t xml:space="preserve"> </w:t>
      </w:r>
      <w:r w:rsidRPr="003B590A">
        <w:t>10</w:t>
      </w:r>
      <w:r>
        <w:t xml:space="preserve"> </w:t>
      </w:r>
      <w:r w:rsidRPr="003B590A">
        <w:t>000</w:t>
      </w:r>
      <w:r>
        <w:t xml:space="preserve"> </w:t>
      </w:r>
      <w:r w:rsidRPr="003B590A">
        <w:t>Kč.</w:t>
      </w:r>
      <w:r>
        <w:t xml:space="preserve"> </w:t>
      </w:r>
      <w:r w:rsidRPr="003B590A">
        <w:t>Nesouhlasí-li</w:t>
      </w:r>
      <w:r>
        <w:t xml:space="preserve"> </w:t>
      </w:r>
      <w:r w:rsidRPr="003B590A">
        <w:t>vyvlastňovaný</w:t>
      </w:r>
      <w:r>
        <w:t xml:space="preserve"> </w:t>
      </w:r>
      <w:r w:rsidRPr="003B590A">
        <w:t>s</w:t>
      </w:r>
      <w:r>
        <w:t xml:space="preserve"> </w:t>
      </w:r>
      <w:r w:rsidRPr="003B590A">
        <w:t>částkou</w:t>
      </w:r>
      <w:r>
        <w:t xml:space="preserve"> </w:t>
      </w:r>
      <w:r w:rsidRPr="003B590A">
        <w:t>podle</w:t>
      </w:r>
      <w:r>
        <w:t xml:space="preserve"> </w:t>
      </w:r>
      <w:r w:rsidRPr="003B590A">
        <w:t>předchozí</w:t>
      </w:r>
      <w:r>
        <w:t xml:space="preserve"> </w:t>
      </w:r>
      <w:r w:rsidRPr="003B590A">
        <w:t>věty,</w:t>
      </w:r>
      <w:r>
        <w:t xml:space="preserve"> </w:t>
      </w:r>
      <w:r w:rsidRPr="003B590A">
        <w:t>sjednává</w:t>
      </w:r>
      <w:r>
        <w:t xml:space="preserve"> </w:t>
      </w:r>
      <w:r w:rsidRPr="003B590A">
        <w:t>se</w:t>
      </w:r>
      <w:r>
        <w:t xml:space="preserve"> </w:t>
      </w:r>
      <w:r w:rsidRPr="003B590A">
        <w:t>úplata</w:t>
      </w:r>
      <w:r>
        <w:t xml:space="preserve"> </w:t>
      </w:r>
      <w:r w:rsidRPr="003B590A">
        <w:t>ve</w:t>
      </w:r>
      <w:r>
        <w:t xml:space="preserve"> </w:t>
      </w:r>
      <w:r w:rsidRPr="003B590A">
        <w:t>výši</w:t>
      </w:r>
      <w:r>
        <w:t xml:space="preserve"> </w:t>
      </w:r>
      <w:r w:rsidRPr="003B590A">
        <w:t>odpovídající</w:t>
      </w:r>
      <w:r>
        <w:t xml:space="preserve"> </w:t>
      </w:r>
      <w:r w:rsidRPr="003B590A">
        <w:t>ocenění</w:t>
      </w:r>
      <w:r>
        <w:t xml:space="preserve"> </w:t>
      </w:r>
      <w:r w:rsidRPr="003B590A">
        <w:t>tohoto</w:t>
      </w:r>
      <w:r>
        <w:t xml:space="preserve"> </w:t>
      </w:r>
      <w:r w:rsidRPr="003B590A">
        <w:t>omezení</w:t>
      </w:r>
      <w:r>
        <w:t xml:space="preserve"> </w:t>
      </w:r>
      <w:r w:rsidRPr="003B590A">
        <w:t>stanovené</w:t>
      </w:r>
      <w:r>
        <w:t xml:space="preserve"> </w:t>
      </w:r>
      <w:r w:rsidRPr="003B590A">
        <w:t>znaleckým</w:t>
      </w:r>
      <w:r>
        <w:t xml:space="preserve"> </w:t>
      </w:r>
      <w:r w:rsidRPr="003B590A">
        <w:t>posudkem.</w:t>
      </w:r>
    </w:p>
    <w:p w14:paraId="19175605" w14:textId="7FA14E88" w:rsidR="00A66DBC" w:rsidRPr="003B590A" w:rsidRDefault="00A66DBC" w:rsidP="00A62336">
      <w:pPr>
        <w:pStyle w:val="Textparagrafu"/>
        <w:spacing w:before="120" w:after="120"/>
      </w:pPr>
      <w:r w:rsidRPr="003B590A">
        <w:t>(4)</w:t>
      </w:r>
      <w:r>
        <w:t xml:space="preserve"> </w:t>
      </w:r>
      <w:r w:rsidRPr="003B590A">
        <w:t>Sjednává-li</w:t>
      </w:r>
      <w:r>
        <w:t xml:space="preserve"> </w:t>
      </w:r>
      <w:r w:rsidRPr="003B590A">
        <w:t>se</w:t>
      </w:r>
      <w:r>
        <w:t xml:space="preserve"> </w:t>
      </w:r>
      <w:r w:rsidRPr="003B590A">
        <w:t>nájem</w:t>
      </w:r>
      <w:r>
        <w:t xml:space="preserve"> </w:t>
      </w:r>
      <w:r w:rsidRPr="003B590A">
        <w:t>pozemku</w:t>
      </w:r>
      <w:r>
        <w:t xml:space="preserve"> </w:t>
      </w:r>
      <w:r w:rsidRPr="003B590A">
        <w:t>nebo</w:t>
      </w:r>
      <w:r>
        <w:t xml:space="preserve"> </w:t>
      </w:r>
      <w:r w:rsidRPr="003B590A">
        <w:t>stavby</w:t>
      </w:r>
      <w:r>
        <w:t xml:space="preserve"> </w:t>
      </w:r>
      <w:r w:rsidRPr="003B590A">
        <w:t>potřebných</w:t>
      </w:r>
      <w:r>
        <w:t xml:space="preserve"> </w:t>
      </w:r>
      <w:r w:rsidRPr="003B590A">
        <w:t>k</w:t>
      </w:r>
      <w:r>
        <w:t xml:space="preserve"> </w:t>
      </w:r>
      <w:r w:rsidRPr="003B590A">
        <w:t>uskutečnění</w:t>
      </w:r>
      <w:r>
        <w:t xml:space="preserve"> </w:t>
      </w:r>
      <w:r w:rsidRPr="003B590A">
        <w:t>výstavby,</w:t>
      </w:r>
      <w:r>
        <w:t xml:space="preserve"> </w:t>
      </w:r>
      <w:r w:rsidRPr="003B590A">
        <w:t>opravy,</w:t>
      </w:r>
      <w:r>
        <w:t xml:space="preserve"> </w:t>
      </w:r>
      <w:r w:rsidRPr="003B590A">
        <w:t>úpravy,</w:t>
      </w:r>
      <w:r>
        <w:t xml:space="preserve"> </w:t>
      </w:r>
      <w:r w:rsidRPr="003B590A">
        <w:t>údržby,</w:t>
      </w:r>
      <w:r>
        <w:t xml:space="preserve"> </w:t>
      </w:r>
      <w:r w:rsidRPr="003B590A">
        <w:t>modernizace</w:t>
      </w:r>
      <w:r>
        <w:t xml:space="preserve"> </w:t>
      </w:r>
      <w:r w:rsidRPr="003B590A">
        <w:t>nebo</w:t>
      </w:r>
      <w:r>
        <w:t xml:space="preserve"> </w:t>
      </w:r>
      <w:r w:rsidRPr="003B590A">
        <w:t>rekonstrukce</w:t>
      </w:r>
      <w:r>
        <w:t xml:space="preserve"> </w:t>
      </w:r>
      <w:r w:rsidRPr="003B590A">
        <w:t>dálnice,</w:t>
      </w:r>
      <w:r>
        <w:t xml:space="preserve"> </w:t>
      </w:r>
      <w:r w:rsidRPr="003B590A">
        <w:t>silnice</w:t>
      </w:r>
      <w:r>
        <w:t xml:space="preserve"> </w:t>
      </w:r>
      <w:r w:rsidRPr="003B590A">
        <w:t>I.</w:t>
      </w:r>
      <w:r>
        <w:t xml:space="preserve"> </w:t>
      </w:r>
      <w:r w:rsidRPr="003B590A">
        <w:t>třídy,</w:t>
      </w:r>
      <w:r>
        <w:t xml:space="preserve"> </w:t>
      </w:r>
      <w:r w:rsidRPr="003B590A">
        <w:t>jejich</w:t>
      </w:r>
      <w:r>
        <w:t xml:space="preserve"> </w:t>
      </w:r>
      <w:r w:rsidRPr="003B590A">
        <w:t>součástí,</w:t>
      </w:r>
      <w:r>
        <w:t xml:space="preserve"> </w:t>
      </w:r>
      <w:r w:rsidRPr="003B590A">
        <w:t>příslušenství</w:t>
      </w:r>
      <w:r>
        <w:t xml:space="preserve"> </w:t>
      </w:r>
      <w:r w:rsidRPr="003B590A">
        <w:t>nebo</w:t>
      </w:r>
      <w:r>
        <w:t xml:space="preserve"> </w:t>
      </w:r>
      <w:r w:rsidRPr="003B590A">
        <w:t>staveb</w:t>
      </w:r>
      <w:r>
        <w:t xml:space="preserve"> </w:t>
      </w:r>
      <w:r w:rsidRPr="003B590A">
        <w:t>souvisejících,</w:t>
      </w:r>
      <w:r>
        <w:t xml:space="preserve"> </w:t>
      </w:r>
      <w:r w:rsidRPr="003B590A">
        <w:t>nesmí</w:t>
      </w:r>
      <w:r>
        <w:t xml:space="preserve"> </w:t>
      </w:r>
      <w:r w:rsidRPr="003B590A">
        <w:t>nájemné</w:t>
      </w:r>
      <w:r>
        <w:t xml:space="preserve"> </w:t>
      </w:r>
      <w:r w:rsidRPr="003B590A">
        <w:t>překročit</w:t>
      </w:r>
      <w:r>
        <w:t xml:space="preserve"> </w:t>
      </w:r>
      <w:r w:rsidRPr="003B590A">
        <w:t>nejvyšší</w:t>
      </w:r>
      <w:r>
        <w:t xml:space="preserve"> </w:t>
      </w:r>
      <w:r w:rsidRPr="003B590A">
        <w:t>možnou</w:t>
      </w:r>
      <w:r>
        <w:t xml:space="preserve"> </w:t>
      </w:r>
      <w:r w:rsidRPr="003B590A">
        <w:t>výši</w:t>
      </w:r>
      <w:r>
        <w:t xml:space="preserve"> </w:t>
      </w:r>
      <w:r w:rsidRPr="003B590A">
        <w:t>vyplývající</w:t>
      </w:r>
      <w:r>
        <w:t xml:space="preserve"> </w:t>
      </w:r>
      <w:r w:rsidRPr="003B590A">
        <w:t>z</w:t>
      </w:r>
      <w:r>
        <w:t xml:space="preserve"> </w:t>
      </w:r>
      <w:r w:rsidRPr="003B590A">
        <w:t>regulace</w:t>
      </w:r>
      <w:r>
        <w:t xml:space="preserve"> </w:t>
      </w:r>
      <w:r w:rsidRPr="003B590A">
        <w:t>cen</w:t>
      </w:r>
      <w:r>
        <w:t xml:space="preserve"> </w:t>
      </w:r>
      <w:r w:rsidRPr="003B590A">
        <w:t>stanovené</w:t>
      </w:r>
      <w:r>
        <w:t xml:space="preserve"> </w:t>
      </w:r>
      <w:r w:rsidRPr="003B590A">
        <w:t>a</w:t>
      </w:r>
      <w:r>
        <w:t xml:space="preserve"> </w:t>
      </w:r>
      <w:r w:rsidRPr="003B590A">
        <w:t>vydávané</w:t>
      </w:r>
      <w:r>
        <w:t xml:space="preserve"> </w:t>
      </w:r>
      <w:r w:rsidRPr="003B590A">
        <w:t>podle</w:t>
      </w:r>
      <w:r>
        <w:t xml:space="preserve"> </w:t>
      </w:r>
      <w:r w:rsidRPr="003B590A">
        <w:t>zákona</w:t>
      </w:r>
      <w:r>
        <w:t xml:space="preserve"> </w:t>
      </w:r>
      <w:r w:rsidRPr="003B590A">
        <w:t>o</w:t>
      </w:r>
      <w:r>
        <w:t xml:space="preserve"> </w:t>
      </w:r>
      <w:r w:rsidRPr="003B590A">
        <w:t>cenách</w:t>
      </w:r>
      <w:r>
        <w:t xml:space="preserve"> </w:t>
      </w:r>
      <w:r w:rsidRPr="003B590A">
        <w:t>pro</w:t>
      </w:r>
      <w:r>
        <w:t xml:space="preserve"> </w:t>
      </w:r>
      <w:r w:rsidRPr="003B590A">
        <w:t>pozemky</w:t>
      </w:r>
      <w:r>
        <w:t xml:space="preserve"> </w:t>
      </w:r>
      <w:r w:rsidRPr="003B590A">
        <w:t>veřejné</w:t>
      </w:r>
      <w:r>
        <w:t xml:space="preserve"> </w:t>
      </w:r>
      <w:r w:rsidRPr="003B590A">
        <w:t>infrastruktury</w:t>
      </w:r>
      <w:r>
        <w:t xml:space="preserve"> </w:t>
      </w:r>
      <w:r w:rsidRPr="003B590A">
        <w:t>užívané</w:t>
      </w:r>
      <w:r>
        <w:t xml:space="preserve"> </w:t>
      </w:r>
      <w:r w:rsidRPr="003B590A">
        <w:t>ve</w:t>
      </w:r>
      <w:r>
        <w:t xml:space="preserve"> </w:t>
      </w:r>
      <w:r w:rsidRPr="003B590A">
        <w:t>veřejném</w:t>
      </w:r>
      <w:r>
        <w:t xml:space="preserve"> </w:t>
      </w:r>
      <w:r w:rsidRPr="003B590A">
        <w:t>zájmu,</w:t>
      </w:r>
      <w:r>
        <w:t xml:space="preserve"> </w:t>
      </w:r>
      <w:r w:rsidRPr="003B590A">
        <w:t>je-li</w:t>
      </w:r>
      <w:r>
        <w:t xml:space="preserve"> </w:t>
      </w:r>
      <w:r w:rsidRPr="003B590A">
        <w:t>uplatněna,</w:t>
      </w:r>
      <w:r>
        <w:t xml:space="preserve"> </w:t>
      </w:r>
      <w:r w:rsidRPr="003B590A">
        <w:t>a</w:t>
      </w:r>
      <w:r>
        <w:t xml:space="preserve"> </w:t>
      </w:r>
      <w:r w:rsidRPr="003B590A">
        <w:t>současně</w:t>
      </w:r>
      <w:r>
        <w:t xml:space="preserve"> </w:t>
      </w:r>
      <w:r w:rsidRPr="003B590A">
        <w:t>nesmí</w:t>
      </w:r>
      <w:r>
        <w:t xml:space="preserve"> </w:t>
      </w:r>
      <w:r w:rsidRPr="003B590A">
        <w:t>překročit</w:t>
      </w:r>
      <w:r>
        <w:t xml:space="preserve"> </w:t>
      </w:r>
      <w:r w:rsidRPr="008A21AB">
        <w:rPr>
          <w:strike/>
        </w:rPr>
        <w:t>cenu obvyklou</w:t>
      </w:r>
      <w:r w:rsidR="008A21AB" w:rsidRPr="008A21AB">
        <w:rPr>
          <w:b/>
          <w:bCs/>
        </w:rPr>
        <w:t xml:space="preserve"> </w:t>
      </w:r>
      <w:proofErr w:type="spellStart"/>
      <w:r w:rsidR="008A21AB">
        <w:rPr>
          <w:b/>
          <w:bCs/>
        </w:rPr>
        <w:t>obvyklou</w:t>
      </w:r>
      <w:proofErr w:type="spellEnd"/>
      <w:r w:rsidR="008A21AB">
        <w:rPr>
          <w:b/>
          <w:bCs/>
        </w:rPr>
        <w:t xml:space="preserve"> hodnotu podle zákona o oceňování</w:t>
      </w:r>
      <w:r w:rsidRPr="003B590A">
        <w:t>;</w:t>
      </w:r>
      <w:r>
        <w:t xml:space="preserve"> </w:t>
      </w:r>
      <w:r w:rsidRPr="003B590A">
        <w:t>to</w:t>
      </w:r>
      <w:r>
        <w:t xml:space="preserve"> </w:t>
      </w:r>
      <w:r w:rsidRPr="003B590A">
        <w:t>platí</w:t>
      </w:r>
      <w:r>
        <w:t xml:space="preserve"> </w:t>
      </w:r>
      <w:r w:rsidRPr="003B590A">
        <w:t>i</w:t>
      </w:r>
      <w:r>
        <w:t xml:space="preserve"> </w:t>
      </w:r>
      <w:r w:rsidRPr="003B590A">
        <w:t>v</w:t>
      </w:r>
      <w:r>
        <w:t xml:space="preserve"> </w:t>
      </w:r>
      <w:r w:rsidRPr="003B590A">
        <w:t>případě,</w:t>
      </w:r>
      <w:r>
        <w:t xml:space="preserve"> </w:t>
      </w:r>
      <w:r w:rsidRPr="003B590A">
        <w:t>sjednává-li</w:t>
      </w:r>
      <w:r>
        <w:t xml:space="preserve"> </w:t>
      </w:r>
      <w:r w:rsidRPr="003B590A">
        <w:t>se</w:t>
      </w:r>
      <w:r>
        <w:t xml:space="preserve"> </w:t>
      </w:r>
      <w:r w:rsidRPr="003B590A">
        <w:t>nájem</w:t>
      </w:r>
      <w:r>
        <w:t xml:space="preserve"> </w:t>
      </w:r>
      <w:r w:rsidRPr="003B590A">
        <w:t>pozemku,</w:t>
      </w:r>
      <w:r>
        <w:t xml:space="preserve"> </w:t>
      </w:r>
      <w:r w:rsidRPr="003B590A">
        <w:t>na</w:t>
      </w:r>
      <w:r>
        <w:t xml:space="preserve"> </w:t>
      </w:r>
      <w:r w:rsidRPr="003B590A">
        <w:t>kterém</w:t>
      </w:r>
      <w:r>
        <w:t xml:space="preserve"> </w:t>
      </w:r>
      <w:r w:rsidRPr="003B590A">
        <w:t>byla</w:t>
      </w:r>
      <w:r>
        <w:t xml:space="preserve"> </w:t>
      </w:r>
      <w:r w:rsidRPr="003B590A">
        <w:t>zřízena</w:t>
      </w:r>
      <w:r>
        <w:t xml:space="preserve"> </w:t>
      </w:r>
      <w:r w:rsidRPr="003B590A">
        <w:t>dálnice,</w:t>
      </w:r>
      <w:r>
        <w:t xml:space="preserve"> </w:t>
      </w:r>
      <w:r w:rsidRPr="003B590A">
        <w:t>silnice</w:t>
      </w:r>
      <w:r>
        <w:t xml:space="preserve"> </w:t>
      </w:r>
      <w:r w:rsidRPr="003B590A">
        <w:t>I.</w:t>
      </w:r>
      <w:r>
        <w:t xml:space="preserve"> </w:t>
      </w:r>
      <w:r w:rsidRPr="003B590A">
        <w:t>třídy,</w:t>
      </w:r>
      <w:r>
        <w:t xml:space="preserve"> </w:t>
      </w:r>
      <w:r w:rsidRPr="003B590A">
        <w:t>jejich</w:t>
      </w:r>
      <w:r>
        <w:t xml:space="preserve"> </w:t>
      </w:r>
      <w:r w:rsidRPr="003B590A">
        <w:t>součásti,</w:t>
      </w:r>
      <w:r>
        <w:t xml:space="preserve"> </w:t>
      </w:r>
      <w:r w:rsidRPr="003B590A">
        <w:t>příslušenství</w:t>
      </w:r>
      <w:r>
        <w:t xml:space="preserve"> </w:t>
      </w:r>
      <w:r w:rsidRPr="003B590A">
        <w:t>nebo</w:t>
      </w:r>
      <w:r>
        <w:t xml:space="preserve"> </w:t>
      </w:r>
      <w:r w:rsidRPr="003B590A">
        <w:t>stavby</w:t>
      </w:r>
      <w:r>
        <w:t xml:space="preserve"> </w:t>
      </w:r>
      <w:r w:rsidRPr="003B590A">
        <w:t>související.</w:t>
      </w:r>
    </w:p>
    <w:p w14:paraId="2C30A304" w14:textId="6A7159C0" w:rsidR="00A66DBC" w:rsidRDefault="00A66DBC" w:rsidP="00A66DBC">
      <w:pPr>
        <w:pStyle w:val="Textparagrafu"/>
        <w:tabs>
          <w:tab w:val="left" w:pos="406"/>
          <w:tab w:val="left" w:pos="868"/>
        </w:tabs>
        <w:spacing w:after="120"/>
        <w:ind w:firstLine="0"/>
        <w:jc w:val="center"/>
      </w:pPr>
      <w:r>
        <w:t>***</w:t>
      </w:r>
    </w:p>
    <w:p w14:paraId="2290345C" w14:textId="77777777" w:rsidR="008A21AB" w:rsidRDefault="008A21AB" w:rsidP="008A21AB">
      <w:pPr>
        <w:pStyle w:val="Textparagrafu"/>
        <w:ind w:firstLine="0"/>
        <w:jc w:val="center"/>
      </w:pPr>
      <w:r w:rsidRPr="00531FAE">
        <w:t>§</w:t>
      </w:r>
      <w:r>
        <w:t xml:space="preserve"> </w:t>
      </w:r>
      <w:r w:rsidRPr="00531FAE">
        <w:t>18f</w:t>
      </w:r>
    </w:p>
    <w:p w14:paraId="11356672" w14:textId="0BE550BE" w:rsidR="008A21AB" w:rsidRDefault="008A21AB" w:rsidP="00A62336">
      <w:pPr>
        <w:pStyle w:val="Textparagrafu"/>
        <w:spacing w:before="120" w:after="120"/>
      </w:pPr>
      <w:r w:rsidRPr="00531FAE">
        <w:t>(1)</w:t>
      </w:r>
      <w:r>
        <w:t xml:space="preserve"> </w:t>
      </w:r>
      <w:r w:rsidRPr="00531FAE">
        <w:t>Jestliže</w:t>
      </w:r>
      <w:r>
        <w:t xml:space="preserve"> </w:t>
      </w:r>
      <w:r w:rsidRPr="00531FAE">
        <w:t>koncesionář</w:t>
      </w:r>
      <w:r>
        <w:t xml:space="preserve"> </w:t>
      </w:r>
      <w:r w:rsidRPr="00531FAE">
        <w:t>provozuje</w:t>
      </w:r>
      <w:r>
        <w:t xml:space="preserve"> </w:t>
      </w:r>
      <w:r w:rsidRPr="00531FAE">
        <w:t>jiné</w:t>
      </w:r>
      <w:r>
        <w:t xml:space="preserve"> </w:t>
      </w:r>
      <w:r w:rsidRPr="00531FAE">
        <w:t>činnosti</w:t>
      </w:r>
      <w:r>
        <w:t xml:space="preserve"> </w:t>
      </w:r>
      <w:r w:rsidRPr="00531FAE">
        <w:t>než</w:t>
      </w:r>
      <w:r>
        <w:t xml:space="preserve"> </w:t>
      </w:r>
      <w:r w:rsidRPr="00531FAE">
        <w:t>výstavbu,</w:t>
      </w:r>
      <w:r>
        <w:t xml:space="preserve"> </w:t>
      </w:r>
      <w:r w:rsidRPr="00531FAE">
        <w:t>provozování</w:t>
      </w:r>
      <w:r>
        <w:t xml:space="preserve"> </w:t>
      </w:r>
      <w:r w:rsidRPr="00531FAE">
        <w:t>a</w:t>
      </w:r>
      <w:r>
        <w:t xml:space="preserve"> </w:t>
      </w:r>
      <w:r w:rsidRPr="00531FAE">
        <w:t>údržbu</w:t>
      </w:r>
      <w:r>
        <w:t xml:space="preserve"> </w:t>
      </w:r>
      <w:r w:rsidRPr="00531FAE">
        <w:t>dálnice</w:t>
      </w:r>
      <w:r>
        <w:t xml:space="preserve"> </w:t>
      </w:r>
      <w:r w:rsidRPr="00531FAE">
        <w:t>nebo</w:t>
      </w:r>
      <w:r>
        <w:t xml:space="preserve"> </w:t>
      </w:r>
      <w:r w:rsidRPr="00531FAE">
        <w:t>silnice</w:t>
      </w:r>
      <w:r>
        <w:t xml:space="preserve"> </w:t>
      </w:r>
      <w:r w:rsidRPr="00531FAE">
        <w:t>I.</w:t>
      </w:r>
      <w:r>
        <w:t xml:space="preserve"> </w:t>
      </w:r>
      <w:r w:rsidRPr="00531FAE">
        <w:t>třídy,</w:t>
      </w:r>
      <w:r>
        <w:t xml:space="preserve"> </w:t>
      </w:r>
      <w:r w:rsidRPr="00531FAE">
        <w:t>je</w:t>
      </w:r>
      <w:r>
        <w:t xml:space="preserve"> </w:t>
      </w:r>
      <w:r w:rsidRPr="00531FAE">
        <w:t>povinen</w:t>
      </w:r>
      <w:r>
        <w:t xml:space="preserve"> </w:t>
      </w:r>
      <w:r w:rsidRPr="00531FAE">
        <w:t>vést</w:t>
      </w:r>
      <w:r>
        <w:t xml:space="preserve"> </w:t>
      </w:r>
      <w:r w:rsidRPr="00531FAE">
        <w:t>pro</w:t>
      </w:r>
      <w:r>
        <w:t xml:space="preserve"> </w:t>
      </w:r>
      <w:r w:rsidRPr="00531FAE">
        <w:t>tyto</w:t>
      </w:r>
      <w:r>
        <w:t xml:space="preserve"> </w:t>
      </w:r>
      <w:r w:rsidRPr="00531FAE">
        <w:t>činnosti</w:t>
      </w:r>
      <w:r>
        <w:t xml:space="preserve"> </w:t>
      </w:r>
      <w:r w:rsidRPr="008A21AB">
        <w:rPr>
          <w:strike/>
        </w:rPr>
        <w:t>oddělené účtování nákladů, tržeb a výnosů včetně tržeb</w:t>
      </w:r>
      <w:r w:rsidRPr="008A21AB">
        <w:rPr>
          <w:b/>
        </w:rPr>
        <w:t xml:space="preserve"> </w:t>
      </w:r>
      <w:r w:rsidRPr="00F72534">
        <w:rPr>
          <w:b/>
        </w:rPr>
        <w:t>sledovat v účetním systému odděleně</w:t>
      </w:r>
      <w:r w:rsidRPr="00531FAE">
        <w:t>;</w:t>
      </w:r>
      <w:r>
        <w:t xml:space="preserve"> </w:t>
      </w:r>
      <w:r w:rsidRPr="00531FAE">
        <w:t>finanční</w:t>
      </w:r>
      <w:r>
        <w:t xml:space="preserve"> </w:t>
      </w:r>
      <w:r w:rsidRPr="00531FAE">
        <w:t>prostředky</w:t>
      </w:r>
      <w:r>
        <w:t xml:space="preserve"> </w:t>
      </w:r>
      <w:r w:rsidRPr="00531FAE">
        <w:t>z</w:t>
      </w:r>
      <w:r>
        <w:t xml:space="preserve"> </w:t>
      </w:r>
      <w:r w:rsidRPr="00531FAE">
        <w:t>činností</w:t>
      </w:r>
      <w:r>
        <w:t xml:space="preserve"> </w:t>
      </w:r>
      <w:r w:rsidRPr="00531FAE">
        <w:t>hrazených</w:t>
      </w:r>
      <w:r>
        <w:t xml:space="preserve"> </w:t>
      </w:r>
      <w:r w:rsidRPr="00531FAE">
        <w:t>z</w:t>
      </w:r>
      <w:r>
        <w:t xml:space="preserve"> </w:t>
      </w:r>
      <w:r w:rsidRPr="00531FAE">
        <w:t>veřejných</w:t>
      </w:r>
      <w:r>
        <w:t xml:space="preserve"> </w:t>
      </w:r>
      <w:r w:rsidRPr="00531FAE">
        <w:t>prostředků</w:t>
      </w:r>
      <w:r>
        <w:t xml:space="preserve"> </w:t>
      </w:r>
      <w:r w:rsidRPr="00531FAE">
        <w:t>nelze</w:t>
      </w:r>
      <w:r>
        <w:t xml:space="preserve"> </w:t>
      </w:r>
      <w:r w:rsidRPr="00531FAE">
        <w:t>použít</w:t>
      </w:r>
      <w:r>
        <w:t xml:space="preserve"> </w:t>
      </w:r>
      <w:r w:rsidRPr="00531FAE">
        <w:t>na</w:t>
      </w:r>
      <w:r>
        <w:t xml:space="preserve"> </w:t>
      </w:r>
      <w:r w:rsidRPr="00531FAE">
        <w:t>financování</w:t>
      </w:r>
      <w:r>
        <w:t xml:space="preserve"> </w:t>
      </w:r>
      <w:r w:rsidRPr="00531FAE">
        <w:t>jiných</w:t>
      </w:r>
      <w:r>
        <w:t xml:space="preserve"> </w:t>
      </w:r>
      <w:r w:rsidRPr="00531FAE">
        <w:t>činností.</w:t>
      </w:r>
    </w:p>
    <w:p w14:paraId="48A7DFA8" w14:textId="77777777" w:rsidR="008A21AB" w:rsidRPr="00531FAE" w:rsidRDefault="008A21AB" w:rsidP="00A62336">
      <w:pPr>
        <w:pStyle w:val="Textparagrafu"/>
        <w:spacing w:before="120" w:after="120"/>
      </w:pPr>
      <w:r w:rsidRPr="00531FAE">
        <w:t>(2)</w:t>
      </w:r>
      <w:r>
        <w:t xml:space="preserve"> </w:t>
      </w:r>
      <w:r w:rsidRPr="00531FAE">
        <w:t>Po</w:t>
      </w:r>
      <w:r>
        <w:t xml:space="preserve"> </w:t>
      </w:r>
      <w:r w:rsidRPr="00531FAE">
        <w:t>dobu</w:t>
      </w:r>
      <w:r>
        <w:t xml:space="preserve"> </w:t>
      </w:r>
      <w:r w:rsidRPr="00531FAE">
        <w:t>trvání</w:t>
      </w:r>
      <w:r>
        <w:t xml:space="preserve"> </w:t>
      </w:r>
      <w:r w:rsidRPr="00531FAE">
        <w:t>koncesionářské</w:t>
      </w:r>
      <w:r>
        <w:t xml:space="preserve"> </w:t>
      </w:r>
      <w:r w:rsidRPr="00531FAE">
        <w:t>smlouvy</w:t>
      </w:r>
      <w:r>
        <w:t xml:space="preserve"> </w:t>
      </w:r>
      <w:r w:rsidRPr="00531FAE">
        <w:t>koncesionář</w:t>
      </w:r>
      <w:r>
        <w:t xml:space="preserve"> </w:t>
      </w:r>
      <w:r w:rsidRPr="00531FAE">
        <w:t>odpovídá</w:t>
      </w:r>
      <w:r>
        <w:t xml:space="preserve"> </w:t>
      </w:r>
      <w:r w:rsidRPr="00531FAE">
        <w:t>za</w:t>
      </w:r>
      <w:r>
        <w:t xml:space="preserve"> </w:t>
      </w:r>
      <w:r w:rsidRPr="00531FAE">
        <w:t>výstavbu,</w:t>
      </w:r>
      <w:r>
        <w:t xml:space="preserve"> </w:t>
      </w:r>
      <w:r w:rsidRPr="00531FAE">
        <w:t>provozování</w:t>
      </w:r>
      <w:r>
        <w:t xml:space="preserve"> </w:t>
      </w:r>
      <w:r w:rsidRPr="00531FAE">
        <w:t>a</w:t>
      </w:r>
      <w:r>
        <w:t xml:space="preserve"> </w:t>
      </w:r>
      <w:r w:rsidRPr="00531FAE">
        <w:t>údržbu</w:t>
      </w:r>
      <w:r>
        <w:t xml:space="preserve"> </w:t>
      </w:r>
      <w:r w:rsidRPr="00531FAE">
        <w:t>dálnice</w:t>
      </w:r>
      <w:r>
        <w:t xml:space="preserve"> </w:t>
      </w:r>
      <w:r w:rsidRPr="00531FAE">
        <w:t>nebo</w:t>
      </w:r>
      <w:r>
        <w:t xml:space="preserve"> </w:t>
      </w:r>
      <w:r w:rsidRPr="00531FAE">
        <w:t>silnice</w:t>
      </w:r>
      <w:r>
        <w:t xml:space="preserve"> </w:t>
      </w:r>
      <w:r w:rsidRPr="00531FAE">
        <w:t>I.</w:t>
      </w:r>
      <w:r>
        <w:t xml:space="preserve"> </w:t>
      </w:r>
      <w:r w:rsidRPr="00531FAE">
        <w:t>třídy</w:t>
      </w:r>
      <w:r>
        <w:t xml:space="preserve"> </w:t>
      </w:r>
      <w:r w:rsidRPr="00531FAE">
        <w:t>a</w:t>
      </w:r>
      <w:r>
        <w:t xml:space="preserve"> </w:t>
      </w:r>
      <w:r w:rsidRPr="00531FAE">
        <w:t>za</w:t>
      </w:r>
      <w:r>
        <w:t xml:space="preserve"> </w:t>
      </w:r>
      <w:r w:rsidRPr="00531FAE">
        <w:t>dodržení</w:t>
      </w:r>
      <w:r>
        <w:t xml:space="preserve"> </w:t>
      </w:r>
      <w:r w:rsidRPr="00531FAE">
        <w:t>stavebního</w:t>
      </w:r>
      <w:r>
        <w:t xml:space="preserve"> </w:t>
      </w:r>
      <w:r w:rsidRPr="00531FAE">
        <w:t>a</w:t>
      </w:r>
      <w:r>
        <w:t xml:space="preserve"> </w:t>
      </w:r>
      <w:r w:rsidRPr="00531FAE">
        <w:t>dopravně</w:t>
      </w:r>
      <w:r>
        <w:t xml:space="preserve"> </w:t>
      </w:r>
      <w:r w:rsidRPr="00531FAE">
        <w:t>technického</w:t>
      </w:r>
      <w:r>
        <w:t xml:space="preserve"> </w:t>
      </w:r>
      <w:r w:rsidRPr="00531FAE">
        <w:t>stavu</w:t>
      </w:r>
      <w:r>
        <w:t xml:space="preserve"> </w:t>
      </w:r>
      <w:r w:rsidRPr="00531FAE">
        <w:t>dálnice</w:t>
      </w:r>
      <w:r>
        <w:t xml:space="preserve"> </w:t>
      </w:r>
      <w:r w:rsidRPr="00531FAE">
        <w:t>nebo</w:t>
      </w:r>
      <w:r>
        <w:t xml:space="preserve"> </w:t>
      </w:r>
      <w:r w:rsidRPr="00531FAE">
        <w:t>silnice</w:t>
      </w:r>
      <w:r>
        <w:t xml:space="preserve"> </w:t>
      </w:r>
      <w:r w:rsidRPr="00531FAE">
        <w:t>I.</w:t>
      </w:r>
      <w:r>
        <w:t xml:space="preserve"> </w:t>
      </w:r>
      <w:r w:rsidRPr="00531FAE">
        <w:t>třídy</w:t>
      </w:r>
      <w:r>
        <w:t xml:space="preserve"> </w:t>
      </w:r>
      <w:r w:rsidRPr="00531FAE">
        <w:t>stanoveného</w:t>
      </w:r>
      <w:r>
        <w:t xml:space="preserve"> </w:t>
      </w:r>
      <w:r w:rsidRPr="00531FAE">
        <w:t>tímto</w:t>
      </w:r>
      <w:r>
        <w:t xml:space="preserve"> </w:t>
      </w:r>
      <w:r w:rsidRPr="00531FAE">
        <w:t>zákonem.</w:t>
      </w:r>
    </w:p>
    <w:p w14:paraId="198CF9C3" w14:textId="2888B5FD" w:rsidR="00A66DBC" w:rsidRDefault="008A21AB" w:rsidP="008A21AB">
      <w:pPr>
        <w:pStyle w:val="Textparagrafu"/>
        <w:tabs>
          <w:tab w:val="left" w:pos="406"/>
          <w:tab w:val="left" w:pos="868"/>
        </w:tabs>
        <w:spacing w:after="120"/>
        <w:ind w:firstLine="0"/>
        <w:jc w:val="center"/>
      </w:pPr>
      <w:r>
        <w:t>***</w:t>
      </w:r>
    </w:p>
    <w:p w14:paraId="681C19EE" w14:textId="77777777" w:rsidR="008A21AB" w:rsidRDefault="008A21AB" w:rsidP="008A21AB">
      <w:pPr>
        <w:pStyle w:val="Textparagrafu"/>
        <w:ind w:firstLine="0"/>
        <w:jc w:val="center"/>
      </w:pPr>
      <w:r w:rsidRPr="00531FAE">
        <w:t>§</w:t>
      </w:r>
      <w:r>
        <w:t xml:space="preserve"> </w:t>
      </w:r>
      <w:r w:rsidRPr="00531FAE">
        <w:t>22c</w:t>
      </w:r>
    </w:p>
    <w:p w14:paraId="191BA3A5" w14:textId="77777777" w:rsidR="008A21AB" w:rsidRPr="008A21AB" w:rsidRDefault="008A21AB" w:rsidP="008A21AB">
      <w:pPr>
        <w:pStyle w:val="Textparagrafu"/>
        <w:ind w:firstLine="0"/>
        <w:jc w:val="center"/>
        <w:rPr>
          <w:b/>
        </w:rPr>
      </w:pPr>
      <w:r w:rsidRPr="008A21AB">
        <w:rPr>
          <w:b/>
        </w:rPr>
        <w:t>Práva a povinnosti provozovatele systému elektronického mýtného</w:t>
      </w:r>
    </w:p>
    <w:p w14:paraId="54619ECC" w14:textId="77777777" w:rsidR="008A21AB" w:rsidRDefault="008A21AB" w:rsidP="00A62336">
      <w:pPr>
        <w:pStyle w:val="Textparagrafu"/>
        <w:spacing w:before="120" w:after="120"/>
      </w:pPr>
      <w:r w:rsidRPr="00531FAE">
        <w:t>(1)</w:t>
      </w:r>
      <w:r>
        <w:t xml:space="preserve"> </w:t>
      </w:r>
      <w:r w:rsidRPr="00531FAE">
        <w:t>Provozovatel</w:t>
      </w:r>
      <w:r>
        <w:t xml:space="preserve"> </w:t>
      </w:r>
      <w:r w:rsidRPr="00531FAE">
        <w:t>systému</w:t>
      </w:r>
      <w:r>
        <w:t xml:space="preserve"> </w:t>
      </w:r>
      <w:r w:rsidRPr="00531FAE">
        <w:t>elektronického</w:t>
      </w:r>
      <w:r>
        <w:t xml:space="preserve"> </w:t>
      </w:r>
      <w:r w:rsidRPr="00531FAE">
        <w:t>mýtného</w:t>
      </w:r>
      <w:r>
        <w:t xml:space="preserve"> </w:t>
      </w:r>
      <w:r w:rsidRPr="00531FAE">
        <w:t>je</w:t>
      </w:r>
      <w:r>
        <w:t xml:space="preserve"> </w:t>
      </w:r>
      <w:r w:rsidRPr="00531FAE">
        <w:t>povinen</w:t>
      </w:r>
    </w:p>
    <w:p w14:paraId="4015D83E" w14:textId="75C73AFC" w:rsidR="008A21AB" w:rsidRDefault="008A21AB" w:rsidP="00B0390E">
      <w:pPr>
        <w:pStyle w:val="Textparagrafu"/>
        <w:tabs>
          <w:tab w:val="left" w:pos="406"/>
          <w:tab w:val="left" w:pos="840"/>
        </w:tabs>
        <w:spacing w:before="0"/>
        <w:ind w:left="426" w:hanging="426"/>
      </w:pPr>
      <w:r w:rsidRPr="00531FAE">
        <w:t>a)</w:t>
      </w:r>
      <w:r>
        <w:tab/>
      </w:r>
      <w:r w:rsidRPr="00531FAE">
        <w:t>určit</w:t>
      </w:r>
      <w:r>
        <w:t xml:space="preserve"> </w:t>
      </w:r>
      <w:r w:rsidRPr="00531FAE">
        <w:t>druhy</w:t>
      </w:r>
      <w:r>
        <w:t xml:space="preserve"> </w:t>
      </w:r>
      <w:r w:rsidRPr="00531FAE">
        <w:t>elektronických</w:t>
      </w:r>
      <w:r>
        <w:t xml:space="preserve"> </w:t>
      </w:r>
      <w:r w:rsidRPr="00531FAE">
        <w:t>zařízení,</w:t>
      </w:r>
      <w:r>
        <w:t xml:space="preserve"> </w:t>
      </w:r>
      <w:r w:rsidRPr="00531FAE">
        <w:t>které</w:t>
      </w:r>
      <w:r>
        <w:t xml:space="preserve"> </w:t>
      </w:r>
      <w:r w:rsidRPr="00531FAE">
        <w:t>lze</w:t>
      </w:r>
      <w:r>
        <w:t xml:space="preserve"> </w:t>
      </w:r>
      <w:r w:rsidRPr="00531FAE">
        <w:t>evidovat</w:t>
      </w:r>
      <w:r>
        <w:t xml:space="preserve"> </w:t>
      </w:r>
      <w:r w:rsidRPr="00531FAE">
        <w:t>v</w:t>
      </w:r>
      <w:r>
        <w:t xml:space="preserve"> </w:t>
      </w:r>
      <w:r w:rsidRPr="00531FAE">
        <w:t>systému</w:t>
      </w:r>
      <w:r>
        <w:t xml:space="preserve"> </w:t>
      </w:r>
      <w:r w:rsidRPr="00531FAE">
        <w:t>elektronického</w:t>
      </w:r>
      <w:r>
        <w:t xml:space="preserve"> </w:t>
      </w:r>
      <w:r w:rsidRPr="00531FAE">
        <w:t>mýtného,</w:t>
      </w:r>
      <w:r>
        <w:t xml:space="preserve"> </w:t>
      </w:r>
      <w:r w:rsidRPr="00531FAE">
        <w:t>a</w:t>
      </w:r>
      <w:r>
        <w:t xml:space="preserve"> </w:t>
      </w:r>
      <w:r w:rsidRPr="00531FAE">
        <w:t>umožnit</w:t>
      </w:r>
      <w:r>
        <w:t xml:space="preserve"> </w:t>
      </w:r>
      <w:r w:rsidRPr="00531FAE">
        <w:t>použití</w:t>
      </w:r>
      <w:r>
        <w:t xml:space="preserve"> </w:t>
      </w:r>
      <w:r w:rsidRPr="00531FAE">
        <w:t>elektronických</w:t>
      </w:r>
      <w:r>
        <w:t xml:space="preserve"> </w:t>
      </w:r>
      <w:r w:rsidRPr="00531FAE">
        <w:t>zařízení</w:t>
      </w:r>
      <w:r>
        <w:t xml:space="preserve"> </w:t>
      </w:r>
      <w:r w:rsidRPr="00531FAE">
        <w:t>splňujících</w:t>
      </w:r>
      <w:r>
        <w:t xml:space="preserve"> </w:t>
      </w:r>
      <w:r w:rsidRPr="00531FAE">
        <w:t>požadavky</w:t>
      </w:r>
      <w:r>
        <w:t xml:space="preserve"> </w:t>
      </w:r>
      <w:r w:rsidRPr="00531FAE">
        <w:t>podle</w:t>
      </w:r>
      <w:r>
        <w:t xml:space="preserve"> </w:t>
      </w:r>
      <w:r w:rsidRPr="00531FAE">
        <w:t>§</w:t>
      </w:r>
      <w:r>
        <w:t xml:space="preserve"> </w:t>
      </w:r>
      <w:r w:rsidRPr="00531FAE">
        <w:t>22g</w:t>
      </w:r>
      <w:r>
        <w:t xml:space="preserve"> </w:t>
      </w:r>
      <w:r w:rsidRPr="00531FAE">
        <w:t>odst.</w:t>
      </w:r>
      <w:r>
        <w:t xml:space="preserve"> </w:t>
      </w:r>
      <w:r w:rsidRPr="00531FAE">
        <w:t>1</w:t>
      </w:r>
      <w:r>
        <w:t xml:space="preserve"> </w:t>
      </w:r>
      <w:r w:rsidRPr="00531FAE">
        <w:t>poskytnutých</w:t>
      </w:r>
      <w:r>
        <w:t xml:space="preserve"> </w:t>
      </w:r>
      <w:r w:rsidRPr="00531FAE">
        <w:t>poskytovatelem</w:t>
      </w:r>
      <w:r>
        <w:t xml:space="preserve"> </w:t>
      </w:r>
      <w:r w:rsidRPr="00531FAE">
        <w:t>evropského</w:t>
      </w:r>
      <w:r>
        <w:t xml:space="preserve"> </w:t>
      </w:r>
      <w:r w:rsidRPr="00531FAE">
        <w:t>mýtného,</w:t>
      </w:r>
      <w:r>
        <w:t xml:space="preserve"> </w:t>
      </w:r>
      <w:r w:rsidRPr="00531FAE">
        <w:t>nejde-li</w:t>
      </w:r>
      <w:r>
        <w:t xml:space="preserve"> </w:t>
      </w:r>
      <w:r w:rsidRPr="00531FAE">
        <w:t>o</w:t>
      </w:r>
      <w:r>
        <w:t xml:space="preserve"> </w:t>
      </w:r>
      <w:r w:rsidRPr="00531FAE">
        <w:t>elektronické</w:t>
      </w:r>
      <w:r>
        <w:t xml:space="preserve"> </w:t>
      </w:r>
      <w:r w:rsidRPr="00531FAE">
        <w:t>zařízení,</w:t>
      </w:r>
      <w:r>
        <w:t xml:space="preserve"> </w:t>
      </w:r>
      <w:r w:rsidRPr="00531FAE">
        <w:t>které</w:t>
      </w:r>
      <w:r>
        <w:t xml:space="preserve"> </w:t>
      </w:r>
      <w:r w:rsidRPr="00531FAE">
        <w:t>je</w:t>
      </w:r>
      <w:r>
        <w:t xml:space="preserve"> </w:t>
      </w:r>
      <w:r w:rsidRPr="00531FAE">
        <w:t>evidováno</w:t>
      </w:r>
      <w:r>
        <w:t xml:space="preserve"> </w:t>
      </w:r>
      <w:r w:rsidRPr="00531FAE">
        <w:t>jako</w:t>
      </w:r>
      <w:r>
        <w:t xml:space="preserve"> </w:t>
      </w:r>
      <w:r w:rsidRPr="00531FAE">
        <w:t>zablokované</w:t>
      </w:r>
      <w:r>
        <w:t xml:space="preserve"> </w:t>
      </w:r>
      <w:r w:rsidRPr="00531FAE">
        <w:t>nebo</w:t>
      </w:r>
      <w:r>
        <w:t xml:space="preserve"> </w:t>
      </w:r>
      <w:r w:rsidRPr="00531FAE">
        <w:t>nefunkční,</w:t>
      </w:r>
    </w:p>
    <w:p w14:paraId="21159E17" w14:textId="68ADA372" w:rsidR="008A21AB" w:rsidRDefault="008A21AB" w:rsidP="00B0390E">
      <w:pPr>
        <w:pStyle w:val="Textparagrafu"/>
        <w:tabs>
          <w:tab w:val="left" w:pos="406"/>
          <w:tab w:val="left" w:pos="840"/>
        </w:tabs>
        <w:spacing w:before="0"/>
        <w:ind w:left="426" w:hanging="426"/>
      </w:pPr>
      <w:r w:rsidRPr="00531FAE">
        <w:t>b)</w:t>
      </w:r>
      <w:r>
        <w:tab/>
      </w:r>
      <w:r w:rsidRPr="00531FAE">
        <w:t>vést</w:t>
      </w:r>
      <w:r>
        <w:t xml:space="preserve"> </w:t>
      </w:r>
      <w:r w:rsidRPr="00531FAE">
        <w:t>evidenci</w:t>
      </w:r>
      <w:r>
        <w:t xml:space="preserve"> </w:t>
      </w:r>
      <w:r w:rsidRPr="00531FAE">
        <w:t>údajů</w:t>
      </w:r>
      <w:r>
        <w:t xml:space="preserve"> </w:t>
      </w:r>
      <w:r w:rsidRPr="00531FAE">
        <w:t>pro</w:t>
      </w:r>
      <w:r>
        <w:t xml:space="preserve"> </w:t>
      </w:r>
      <w:r w:rsidRPr="00531FAE">
        <w:t>účely</w:t>
      </w:r>
      <w:r>
        <w:t xml:space="preserve"> </w:t>
      </w:r>
      <w:r w:rsidRPr="00531FAE">
        <w:t>provozování</w:t>
      </w:r>
      <w:r>
        <w:t xml:space="preserve"> </w:t>
      </w:r>
      <w:r w:rsidRPr="00531FAE">
        <w:t>systému</w:t>
      </w:r>
      <w:r>
        <w:t xml:space="preserve"> </w:t>
      </w:r>
      <w:r w:rsidRPr="00531FAE">
        <w:t>elektronického</w:t>
      </w:r>
      <w:r>
        <w:t xml:space="preserve"> </w:t>
      </w:r>
      <w:r w:rsidRPr="00531FAE">
        <w:t>mýtného</w:t>
      </w:r>
      <w:r>
        <w:t xml:space="preserve"> </w:t>
      </w:r>
      <w:r w:rsidRPr="00531FAE">
        <w:t>(dále</w:t>
      </w:r>
      <w:r>
        <w:t xml:space="preserve"> </w:t>
      </w:r>
      <w:r w:rsidRPr="00531FAE">
        <w:t>jen</w:t>
      </w:r>
      <w:r>
        <w:t xml:space="preserve"> </w:t>
      </w:r>
      <w:r w:rsidRPr="00531FAE">
        <w:t>„evidence</w:t>
      </w:r>
      <w:r>
        <w:t xml:space="preserve"> </w:t>
      </w:r>
      <w:r w:rsidRPr="00531FAE">
        <w:t>údajů</w:t>
      </w:r>
      <w:r>
        <w:t xml:space="preserve"> </w:t>
      </w:r>
      <w:r w:rsidRPr="00531FAE">
        <w:t>o</w:t>
      </w:r>
      <w:r>
        <w:t xml:space="preserve"> </w:t>
      </w:r>
      <w:r w:rsidRPr="00531FAE">
        <w:t>mýtném“),</w:t>
      </w:r>
    </w:p>
    <w:p w14:paraId="555E8A7B" w14:textId="1B0D5C1A" w:rsidR="008A21AB" w:rsidRDefault="008A21AB" w:rsidP="00B0390E">
      <w:pPr>
        <w:pStyle w:val="Textparagrafu"/>
        <w:tabs>
          <w:tab w:val="left" w:pos="406"/>
          <w:tab w:val="left" w:pos="840"/>
        </w:tabs>
        <w:spacing w:before="0"/>
        <w:ind w:left="426" w:hanging="426"/>
      </w:pPr>
      <w:r w:rsidRPr="00531FAE">
        <w:t>c)</w:t>
      </w:r>
      <w:r>
        <w:tab/>
      </w:r>
      <w:r w:rsidRPr="00531FAE">
        <w:t>určit</w:t>
      </w:r>
      <w:r>
        <w:t xml:space="preserve"> </w:t>
      </w:r>
      <w:r w:rsidRPr="00531FAE">
        <w:t>emisní</w:t>
      </w:r>
      <w:r>
        <w:t xml:space="preserve"> </w:t>
      </w:r>
      <w:r w:rsidRPr="00531FAE">
        <w:t>třídu</w:t>
      </w:r>
      <w:r>
        <w:t xml:space="preserve"> </w:t>
      </w:r>
      <w:r w:rsidRPr="00531FAE">
        <w:t>CO2</w:t>
      </w:r>
      <w:r>
        <w:t xml:space="preserve"> </w:t>
      </w:r>
      <w:r w:rsidRPr="00531FAE">
        <w:t>vozidla</w:t>
      </w:r>
      <w:r>
        <w:t xml:space="preserve"> </w:t>
      </w:r>
      <w:r w:rsidRPr="00531FAE">
        <w:t>v</w:t>
      </w:r>
      <w:r>
        <w:t xml:space="preserve"> </w:t>
      </w:r>
      <w:r w:rsidRPr="00531FAE">
        <w:t>systému</w:t>
      </w:r>
      <w:r>
        <w:t xml:space="preserve"> </w:t>
      </w:r>
      <w:r w:rsidRPr="00531FAE">
        <w:t>elektronického</w:t>
      </w:r>
      <w:r>
        <w:t xml:space="preserve"> </w:t>
      </w:r>
      <w:r w:rsidRPr="00531FAE">
        <w:t>mýtného</w:t>
      </w:r>
      <w:r>
        <w:t xml:space="preserve"> </w:t>
      </w:r>
      <w:r w:rsidRPr="00531FAE">
        <w:t>a</w:t>
      </w:r>
      <w:r>
        <w:t xml:space="preserve"> </w:t>
      </w:r>
      <w:r w:rsidRPr="00531FAE">
        <w:t>zapsat</w:t>
      </w:r>
      <w:r>
        <w:t xml:space="preserve"> </w:t>
      </w:r>
      <w:r w:rsidRPr="00531FAE">
        <w:t>ji</w:t>
      </w:r>
      <w:r>
        <w:t xml:space="preserve"> </w:t>
      </w:r>
      <w:r w:rsidRPr="00531FAE">
        <w:t>v</w:t>
      </w:r>
      <w:r>
        <w:t xml:space="preserve"> </w:t>
      </w:r>
      <w:r w:rsidRPr="00531FAE">
        <w:t>evidenci</w:t>
      </w:r>
      <w:r>
        <w:t xml:space="preserve"> </w:t>
      </w:r>
      <w:r w:rsidRPr="00531FAE">
        <w:t>údajů</w:t>
      </w:r>
      <w:r>
        <w:t xml:space="preserve"> </w:t>
      </w:r>
      <w:r w:rsidRPr="00531FAE">
        <w:t>o</w:t>
      </w:r>
      <w:r>
        <w:t xml:space="preserve"> </w:t>
      </w:r>
      <w:r w:rsidRPr="00531FAE">
        <w:t>mýtném,</w:t>
      </w:r>
    </w:p>
    <w:p w14:paraId="26F37E61" w14:textId="48AE9692" w:rsidR="008A21AB" w:rsidRDefault="008A21AB" w:rsidP="00B0390E">
      <w:pPr>
        <w:pStyle w:val="Textparagrafu"/>
        <w:tabs>
          <w:tab w:val="left" w:pos="406"/>
          <w:tab w:val="left" w:pos="840"/>
        </w:tabs>
        <w:spacing w:before="0"/>
        <w:ind w:left="426" w:hanging="426"/>
      </w:pPr>
      <w:r w:rsidRPr="00531FAE">
        <w:t>d)</w:t>
      </w:r>
      <w:r>
        <w:tab/>
      </w:r>
      <w:r w:rsidRPr="00531FAE">
        <w:t>zajistit</w:t>
      </w:r>
      <w:r>
        <w:t xml:space="preserve"> </w:t>
      </w:r>
      <w:r w:rsidRPr="00531FAE">
        <w:t>bezplatné</w:t>
      </w:r>
      <w:r>
        <w:t xml:space="preserve"> </w:t>
      </w:r>
      <w:r w:rsidRPr="00531FAE">
        <w:t>poskytnutí</w:t>
      </w:r>
      <w:r>
        <w:t xml:space="preserve"> </w:t>
      </w:r>
      <w:r w:rsidRPr="00531FAE">
        <w:t>elektronického</w:t>
      </w:r>
      <w:r>
        <w:t xml:space="preserve"> </w:t>
      </w:r>
      <w:r w:rsidRPr="00531FAE">
        <w:t>zařízení</w:t>
      </w:r>
      <w:r>
        <w:t xml:space="preserve"> </w:t>
      </w:r>
      <w:r w:rsidRPr="00531FAE">
        <w:t>každému</w:t>
      </w:r>
      <w:r>
        <w:t xml:space="preserve"> </w:t>
      </w:r>
      <w:r w:rsidRPr="00531FAE">
        <w:t>provozovateli</w:t>
      </w:r>
      <w:r>
        <w:t xml:space="preserve"> </w:t>
      </w:r>
      <w:r w:rsidRPr="00531FAE">
        <w:t>vozidla</w:t>
      </w:r>
      <w:r>
        <w:t xml:space="preserve"> </w:t>
      </w:r>
      <w:r w:rsidRPr="00531FAE">
        <w:t>v</w:t>
      </w:r>
      <w:r>
        <w:t xml:space="preserve"> </w:t>
      </w:r>
      <w:r w:rsidRPr="00531FAE">
        <w:t>systému</w:t>
      </w:r>
      <w:r>
        <w:t xml:space="preserve"> </w:t>
      </w:r>
      <w:r w:rsidRPr="00531FAE">
        <w:t>elektronického</w:t>
      </w:r>
      <w:r>
        <w:t xml:space="preserve"> </w:t>
      </w:r>
      <w:r w:rsidRPr="00531FAE">
        <w:t>mýtného</w:t>
      </w:r>
      <w:r>
        <w:t xml:space="preserve"> </w:t>
      </w:r>
      <w:r w:rsidRPr="00531FAE">
        <w:t>nebo</w:t>
      </w:r>
      <w:r>
        <w:t xml:space="preserve"> </w:t>
      </w:r>
      <w:r w:rsidRPr="00531FAE">
        <w:t>jím</w:t>
      </w:r>
      <w:r>
        <w:t xml:space="preserve"> </w:t>
      </w:r>
      <w:r w:rsidRPr="00531FAE">
        <w:t>zmocněné</w:t>
      </w:r>
      <w:r>
        <w:t xml:space="preserve"> </w:t>
      </w:r>
      <w:r w:rsidRPr="00531FAE">
        <w:t>osobě</w:t>
      </w:r>
      <w:r>
        <w:rPr>
          <w:rStyle w:val="Znakapoznpodarou"/>
        </w:rPr>
        <w:footnoteReference w:customMarkFollows="1" w:id="228"/>
        <w:t>11l)</w:t>
      </w:r>
      <w:r w:rsidRPr="00531FAE">
        <w:t>,</w:t>
      </w:r>
      <w:r>
        <w:t xml:space="preserve"> </w:t>
      </w:r>
      <w:r w:rsidRPr="00531FAE">
        <w:t>která</w:t>
      </w:r>
      <w:r>
        <w:t xml:space="preserve"> </w:t>
      </w:r>
      <w:r w:rsidRPr="00531FAE">
        <w:t>o</w:t>
      </w:r>
      <w:r>
        <w:t xml:space="preserve"> </w:t>
      </w:r>
      <w:r w:rsidRPr="00531FAE">
        <w:t>to</w:t>
      </w:r>
      <w:r>
        <w:t xml:space="preserve"> </w:t>
      </w:r>
      <w:r w:rsidRPr="00531FAE">
        <w:t>požádá,</w:t>
      </w:r>
      <w:r>
        <w:t xml:space="preserve"> </w:t>
      </w:r>
      <w:r w:rsidRPr="00531FAE">
        <w:t>pokud</w:t>
      </w:r>
      <w:r>
        <w:t xml:space="preserve"> </w:t>
      </w:r>
      <w:r w:rsidRPr="00531FAE">
        <w:t>nebylo</w:t>
      </w:r>
      <w:r>
        <w:t xml:space="preserve"> </w:t>
      </w:r>
      <w:r w:rsidRPr="00531FAE">
        <w:t>elektronické</w:t>
      </w:r>
      <w:r>
        <w:t xml:space="preserve"> </w:t>
      </w:r>
      <w:r w:rsidRPr="00531FAE">
        <w:t>zařízení</w:t>
      </w:r>
      <w:r>
        <w:t xml:space="preserve"> </w:t>
      </w:r>
      <w:r w:rsidRPr="00531FAE">
        <w:t>poskytnuto</w:t>
      </w:r>
      <w:r>
        <w:t xml:space="preserve"> </w:t>
      </w:r>
      <w:r w:rsidRPr="00531FAE">
        <w:t>poskytovatelem</w:t>
      </w:r>
      <w:r>
        <w:t xml:space="preserve"> </w:t>
      </w:r>
      <w:r w:rsidRPr="00531FAE">
        <w:t>evropského</w:t>
      </w:r>
      <w:r>
        <w:t xml:space="preserve"> </w:t>
      </w:r>
      <w:r w:rsidRPr="00531FAE">
        <w:t>mýtného,</w:t>
      </w:r>
    </w:p>
    <w:p w14:paraId="66442614" w14:textId="382C3BA8" w:rsidR="008A21AB" w:rsidRDefault="008A21AB" w:rsidP="00B0390E">
      <w:pPr>
        <w:pStyle w:val="Textparagrafu"/>
        <w:tabs>
          <w:tab w:val="left" w:pos="406"/>
          <w:tab w:val="left" w:pos="840"/>
        </w:tabs>
        <w:spacing w:before="0"/>
        <w:ind w:left="426" w:hanging="426"/>
      </w:pPr>
      <w:r w:rsidRPr="00531FAE">
        <w:lastRenderedPageBreak/>
        <w:t>e)</w:t>
      </w:r>
      <w:r>
        <w:tab/>
      </w:r>
      <w:r w:rsidRPr="00531FAE">
        <w:t>zajistit</w:t>
      </w:r>
      <w:r>
        <w:t xml:space="preserve"> </w:t>
      </w:r>
      <w:r w:rsidRPr="00531FAE">
        <w:t>výběr</w:t>
      </w:r>
      <w:r>
        <w:t xml:space="preserve"> </w:t>
      </w:r>
      <w:r w:rsidRPr="00531FAE">
        <w:t>mýtného</w:t>
      </w:r>
      <w:r>
        <w:t xml:space="preserve"> </w:t>
      </w:r>
      <w:r w:rsidRPr="00531FAE">
        <w:t>od</w:t>
      </w:r>
      <w:r>
        <w:t xml:space="preserve"> </w:t>
      </w:r>
      <w:r w:rsidRPr="00531FAE">
        <w:t>provozovatele</w:t>
      </w:r>
      <w:r>
        <w:t xml:space="preserve"> </w:t>
      </w:r>
      <w:r w:rsidRPr="00531FAE">
        <w:t>vozidla</w:t>
      </w:r>
      <w:r>
        <w:t xml:space="preserve"> </w:t>
      </w:r>
      <w:r w:rsidRPr="00531FAE">
        <w:t>v</w:t>
      </w:r>
      <w:r>
        <w:t xml:space="preserve"> </w:t>
      </w:r>
      <w:r w:rsidRPr="00531FAE">
        <w:t>systému</w:t>
      </w:r>
      <w:r>
        <w:t xml:space="preserve"> </w:t>
      </w:r>
      <w:r w:rsidRPr="00531FAE">
        <w:t>elektronického</w:t>
      </w:r>
      <w:r>
        <w:t xml:space="preserve"> </w:t>
      </w:r>
      <w:r w:rsidRPr="00531FAE">
        <w:t>mýtného</w:t>
      </w:r>
      <w:r>
        <w:t xml:space="preserve"> </w:t>
      </w:r>
      <w:r w:rsidRPr="00531FAE">
        <w:t>nebo</w:t>
      </w:r>
      <w:r>
        <w:t xml:space="preserve"> </w:t>
      </w:r>
      <w:r w:rsidRPr="00531FAE">
        <w:t>od</w:t>
      </w:r>
      <w:r>
        <w:t xml:space="preserve"> </w:t>
      </w:r>
      <w:r w:rsidRPr="00531FAE">
        <w:t>jím</w:t>
      </w:r>
      <w:r>
        <w:t xml:space="preserve"> </w:t>
      </w:r>
      <w:r w:rsidRPr="00531FAE">
        <w:t>zmocněné</w:t>
      </w:r>
      <w:r>
        <w:t xml:space="preserve"> </w:t>
      </w:r>
      <w:r w:rsidRPr="00531FAE">
        <w:t>osoby</w:t>
      </w:r>
      <w:r w:rsidRPr="008A21AB">
        <w:rPr>
          <w:vertAlign w:val="superscript"/>
        </w:rPr>
        <w:t>11l)</w:t>
      </w:r>
      <w:r w:rsidRPr="00531FAE">
        <w:t>,</w:t>
      </w:r>
      <w:r>
        <w:t xml:space="preserve"> </w:t>
      </w:r>
      <w:r w:rsidRPr="00531FAE">
        <w:t>nejedná-li</w:t>
      </w:r>
      <w:r>
        <w:t xml:space="preserve"> </w:t>
      </w:r>
      <w:r w:rsidRPr="00531FAE">
        <w:t>se</w:t>
      </w:r>
      <w:r>
        <w:t xml:space="preserve"> </w:t>
      </w:r>
      <w:r w:rsidRPr="00531FAE">
        <w:t>o</w:t>
      </w:r>
      <w:r>
        <w:t xml:space="preserve"> </w:t>
      </w:r>
      <w:r w:rsidRPr="00531FAE">
        <w:t>případ</w:t>
      </w:r>
      <w:r>
        <w:t xml:space="preserve"> </w:t>
      </w:r>
      <w:r w:rsidRPr="00531FAE">
        <w:t>podle</w:t>
      </w:r>
      <w:r>
        <w:t xml:space="preserve"> </w:t>
      </w:r>
      <w:r w:rsidRPr="00531FAE">
        <w:t>písmene</w:t>
      </w:r>
      <w:r>
        <w:t xml:space="preserve"> </w:t>
      </w:r>
      <w:r w:rsidRPr="00531FAE">
        <w:t>g),</w:t>
      </w:r>
    </w:p>
    <w:p w14:paraId="5F75BB1C" w14:textId="542F1DC4" w:rsidR="008A21AB" w:rsidRPr="00531FAE" w:rsidRDefault="008A21AB" w:rsidP="00B0390E">
      <w:pPr>
        <w:pStyle w:val="Textparagrafu"/>
        <w:tabs>
          <w:tab w:val="left" w:pos="406"/>
          <w:tab w:val="left" w:pos="840"/>
        </w:tabs>
        <w:spacing w:before="0"/>
        <w:ind w:left="426" w:hanging="426"/>
      </w:pPr>
      <w:r w:rsidRPr="00531FAE">
        <w:t>f)</w:t>
      </w:r>
      <w:r>
        <w:tab/>
      </w:r>
      <w:r w:rsidRPr="00531FAE">
        <w:t>vydat</w:t>
      </w:r>
      <w:r>
        <w:t xml:space="preserve"> </w:t>
      </w:r>
      <w:r w:rsidRPr="00531FAE">
        <w:t>v</w:t>
      </w:r>
      <w:r>
        <w:t xml:space="preserve"> </w:t>
      </w:r>
      <w:r w:rsidRPr="00531FAE">
        <w:t>elektronické</w:t>
      </w:r>
      <w:r>
        <w:t xml:space="preserve"> </w:t>
      </w:r>
      <w:r w:rsidRPr="00531FAE">
        <w:t>podobě</w:t>
      </w:r>
      <w:r>
        <w:t xml:space="preserve"> </w:t>
      </w:r>
      <w:r w:rsidRPr="00531FAE">
        <w:t>provozovateli</w:t>
      </w:r>
      <w:r>
        <w:t xml:space="preserve"> </w:t>
      </w:r>
      <w:r w:rsidRPr="00531FAE">
        <w:t>vozidla</w:t>
      </w:r>
      <w:r>
        <w:t xml:space="preserve"> </w:t>
      </w:r>
      <w:r w:rsidRPr="00531FAE">
        <w:t>v</w:t>
      </w:r>
      <w:r>
        <w:t xml:space="preserve"> </w:t>
      </w:r>
      <w:r w:rsidRPr="00531FAE">
        <w:t>systému</w:t>
      </w:r>
      <w:r>
        <w:t xml:space="preserve"> </w:t>
      </w:r>
      <w:r w:rsidRPr="00531FAE">
        <w:t>elektronického</w:t>
      </w:r>
      <w:r>
        <w:t xml:space="preserve"> </w:t>
      </w:r>
      <w:r w:rsidRPr="00531FAE">
        <w:t>mýtného</w:t>
      </w:r>
      <w:r>
        <w:t xml:space="preserve"> </w:t>
      </w:r>
      <w:r w:rsidRPr="00531FAE">
        <w:t>nebo</w:t>
      </w:r>
      <w:r>
        <w:t xml:space="preserve"> </w:t>
      </w:r>
      <w:r w:rsidRPr="00531FAE">
        <w:t>jím</w:t>
      </w:r>
      <w:r>
        <w:t xml:space="preserve"> </w:t>
      </w:r>
      <w:r w:rsidRPr="00531FAE">
        <w:t>zmocněné</w:t>
      </w:r>
      <w:r>
        <w:t xml:space="preserve"> </w:t>
      </w:r>
      <w:r w:rsidRPr="00531FAE">
        <w:t>osobě</w:t>
      </w:r>
      <w:r>
        <w:t xml:space="preserve"> </w:t>
      </w:r>
      <w:r w:rsidRPr="00531FAE">
        <w:t>doklad,</w:t>
      </w:r>
      <w:r>
        <w:t xml:space="preserve"> </w:t>
      </w:r>
      <w:r w:rsidRPr="00531FAE">
        <w:t>v</w:t>
      </w:r>
      <w:r>
        <w:t xml:space="preserve"> </w:t>
      </w:r>
      <w:r w:rsidRPr="00531FAE">
        <w:t>němž</w:t>
      </w:r>
      <w:r>
        <w:t xml:space="preserve"> </w:t>
      </w:r>
      <w:r w:rsidRPr="00531FAE">
        <w:t>jsou</w:t>
      </w:r>
      <w:r>
        <w:t xml:space="preserve"> </w:t>
      </w:r>
      <w:r w:rsidRPr="00531FAE">
        <w:t>uvedeny</w:t>
      </w:r>
      <w:r>
        <w:t xml:space="preserve"> </w:t>
      </w:r>
      <w:r w:rsidRPr="00531FAE">
        <w:t>alespoň</w:t>
      </w:r>
      <w:r>
        <w:t xml:space="preserve"> </w:t>
      </w:r>
      <w:r w:rsidRPr="00531FAE">
        <w:t>emisní</w:t>
      </w:r>
      <w:r>
        <w:t xml:space="preserve"> </w:t>
      </w:r>
      <w:r w:rsidRPr="00531FAE">
        <w:t>třída</w:t>
      </w:r>
      <w:r>
        <w:t xml:space="preserve"> </w:t>
      </w:r>
      <w:r w:rsidRPr="00531FAE">
        <w:t>CO2</w:t>
      </w:r>
      <w:r>
        <w:t xml:space="preserve"> </w:t>
      </w:r>
      <w:r w:rsidRPr="00531FAE">
        <w:t>vozidla</w:t>
      </w:r>
      <w:r>
        <w:t xml:space="preserve"> </w:t>
      </w:r>
      <w:r w:rsidRPr="00531FAE">
        <w:t>v</w:t>
      </w:r>
      <w:r>
        <w:t xml:space="preserve"> </w:t>
      </w:r>
      <w:r w:rsidRPr="00531FAE">
        <w:t>systému</w:t>
      </w:r>
      <w:r>
        <w:t xml:space="preserve"> </w:t>
      </w:r>
      <w:r w:rsidRPr="00531FAE">
        <w:t>elektronického</w:t>
      </w:r>
      <w:r>
        <w:t xml:space="preserve"> </w:t>
      </w:r>
      <w:r w:rsidRPr="00531FAE">
        <w:t>mýtného,</w:t>
      </w:r>
      <w:r>
        <w:t xml:space="preserve"> </w:t>
      </w:r>
      <w:r w:rsidRPr="00531FAE">
        <w:t>celkově</w:t>
      </w:r>
      <w:r>
        <w:t xml:space="preserve"> </w:t>
      </w:r>
      <w:r w:rsidRPr="00531FAE">
        <w:t>vyúčtované</w:t>
      </w:r>
      <w:r>
        <w:t xml:space="preserve"> </w:t>
      </w:r>
      <w:r w:rsidRPr="00531FAE">
        <w:t>mýtné,</w:t>
      </w:r>
      <w:r>
        <w:t xml:space="preserve"> </w:t>
      </w:r>
      <w:r w:rsidRPr="00531FAE">
        <w:t>část</w:t>
      </w:r>
      <w:r>
        <w:t xml:space="preserve"> </w:t>
      </w:r>
      <w:r w:rsidRPr="00531FAE">
        <w:t>mýtného</w:t>
      </w:r>
      <w:r>
        <w:t xml:space="preserve"> </w:t>
      </w:r>
      <w:r w:rsidRPr="00531FAE">
        <w:t>ukládaná</w:t>
      </w:r>
      <w:r>
        <w:t xml:space="preserve"> </w:t>
      </w:r>
      <w:r w:rsidRPr="00531FAE">
        <w:t>za</w:t>
      </w:r>
      <w:r>
        <w:t xml:space="preserve"> </w:t>
      </w:r>
      <w:r w:rsidRPr="00531FAE">
        <w:t>účelem</w:t>
      </w:r>
      <w:r>
        <w:t xml:space="preserve"> </w:t>
      </w:r>
      <w:r w:rsidRPr="00531FAE">
        <w:t>dosažení</w:t>
      </w:r>
      <w:r>
        <w:t xml:space="preserve"> </w:t>
      </w:r>
      <w:r w:rsidRPr="00531FAE">
        <w:t>návratnosti</w:t>
      </w:r>
      <w:r>
        <w:t xml:space="preserve"> </w:t>
      </w:r>
      <w:r w:rsidRPr="00531FAE">
        <w:t>nákladů</w:t>
      </w:r>
      <w:r>
        <w:t xml:space="preserve"> </w:t>
      </w:r>
      <w:r w:rsidRPr="00531FAE">
        <w:t>podle</w:t>
      </w:r>
      <w:r>
        <w:t xml:space="preserve"> </w:t>
      </w:r>
      <w:r w:rsidRPr="00531FAE">
        <w:t>§</w:t>
      </w:r>
      <w:r>
        <w:t xml:space="preserve"> </w:t>
      </w:r>
      <w:r w:rsidRPr="00531FAE">
        <w:t>22</w:t>
      </w:r>
      <w:r>
        <w:t xml:space="preserve"> </w:t>
      </w:r>
      <w:r w:rsidRPr="00531FAE">
        <w:t>odst.</w:t>
      </w:r>
      <w:r>
        <w:t xml:space="preserve"> </w:t>
      </w:r>
      <w:r w:rsidRPr="00531FAE">
        <w:t>1</w:t>
      </w:r>
      <w:r>
        <w:t xml:space="preserve"> </w:t>
      </w:r>
      <w:r w:rsidRPr="00531FAE">
        <w:t>písm.</w:t>
      </w:r>
      <w:r>
        <w:t xml:space="preserve"> </w:t>
      </w:r>
      <w:r w:rsidRPr="00531FAE">
        <w:t>a)</w:t>
      </w:r>
      <w:r>
        <w:t xml:space="preserve"> </w:t>
      </w:r>
      <w:r w:rsidRPr="00531FAE">
        <w:t>a</w:t>
      </w:r>
      <w:r>
        <w:t xml:space="preserve"> </w:t>
      </w:r>
      <w:r w:rsidRPr="00531FAE">
        <w:t>část</w:t>
      </w:r>
      <w:r>
        <w:t xml:space="preserve"> </w:t>
      </w:r>
      <w:r w:rsidRPr="00531FAE">
        <w:t>mýtného</w:t>
      </w:r>
      <w:r>
        <w:t xml:space="preserve"> </w:t>
      </w:r>
      <w:r w:rsidRPr="00531FAE">
        <w:t>ukládaná</w:t>
      </w:r>
      <w:r>
        <w:t xml:space="preserve"> </w:t>
      </w:r>
      <w:r w:rsidRPr="00531FAE">
        <w:t>za</w:t>
      </w:r>
      <w:r>
        <w:t xml:space="preserve"> </w:t>
      </w:r>
      <w:r w:rsidRPr="00531FAE">
        <w:t>účelem</w:t>
      </w:r>
      <w:r>
        <w:t xml:space="preserve"> </w:t>
      </w:r>
      <w:r w:rsidRPr="00531FAE">
        <w:t>dosažení</w:t>
      </w:r>
      <w:r>
        <w:t xml:space="preserve"> </w:t>
      </w:r>
      <w:r w:rsidRPr="00531FAE">
        <w:t>návratnosti</w:t>
      </w:r>
      <w:r>
        <w:t xml:space="preserve"> </w:t>
      </w:r>
      <w:r w:rsidRPr="00531FAE">
        <w:t>nákladů</w:t>
      </w:r>
      <w:r>
        <w:t xml:space="preserve"> </w:t>
      </w:r>
      <w:r w:rsidRPr="00531FAE">
        <w:t>podle</w:t>
      </w:r>
      <w:r>
        <w:t xml:space="preserve"> </w:t>
      </w:r>
      <w:r w:rsidRPr="00531FAE">
        <w:t>§</w:t>
      </w:r>
      <w:r>
        <w:t xml:space="preserve"> </w:t>
      </w:r>
      <w:r w:rsidRPr="00531FAE">
        <w:t>22</w:t>
      </w:r>
      <w:r>
        <w:t xml:space="preserve"> </w:t>
      </w:r>
      <w:r w:rsidRPr="00531FAE">
        <w:t>odst.</w:t>
      </w:r>
      <w:r>
        <w:t xml:space="preserve"> </w:t>
      </w:r>
      <w:r w:rsidRPr="00531FAE">
        <w:t>1</w:t>
      </w:r>
      <w:r>
        <w:t xml:space="preserve"> </w:t>
      </w:r>
      <w:r w:rsidRPr="00531FAE">
        <w:t>písm.</w:t>
      </w:r>
      <w:r>
        <w:t xml:space="preserve"> </w:t>
      </w:r>
      <w:r w:rsidRPr="00531FAE">
        <w:t>b);</w:t>
      </w:r>
      <w:r>
        <w:t xml:space="preserve"> </w:t>
      </w:r>
      <w:r w:rsidRPr="00531FAE">
        <w:t>to</w:t>
      </w:r>
      <w:r>
        <w:t xml:space="preserve"> </w:t>
      </w:r>
      <w:r w:rsidRPr="00531FAE">
        <w:t>neplatí,</w:t>
      </w:r>
    </w:p>
    <w:p w14:paraId="429805F3" w14:textId="2D390D44" w:rsidR="008A21AB" w:rsidRPr="00531FAE" w:rsidRDefault="008A21AB" w:rsidP="00A62336">
      <w:pPr>
        <w:pStyle w:val="Textpsmene"/>
        <w:tabs>
          <w:tab w:val="num" w:pos="851"/>
        </w:tabs>
        <w:spacing w:before="0"/>
        <w:ind w:left="851" w:hanging="426"/>
      </w:pPr>
      <w:r w:rsidRPr="00531FAE">
        <w:t>1.</w:t>
      </w:r>
      <w:r>
        <w:tab/>
      </w:r>
      <w:r w:rsidRPr="00531FAE">
        <w:t>uvede-li</w:t>
      </w:r>
      <w:r>
        <w:t xml:space="preserve"> </w:t>
      </w:r>
      <w:r w:rsidRPr="00531FAE">
        <w:t>provozovatel</w:t>
      </w:r>
      <w:r>
        <w:t xml:space="preserve"> </w:t>
      </w:r>
      <w:r w:rsidRPr="00531FAE">
        <w:t>vozidla</w:t>
      </w:r>
      <w:r>
        <w:t xml:space="preserve"> </w:t>
      </w:r>
      <w:r w:rsidRPr="00531FAE">
        <w:t>v</w:t>
      </w:r>
      <w:r>
        <w:t xml:space="preserve"> </w:t>
      </w:r>
      <w:r w:rsidRPr="00531FAE">
        <w:t>systému</w:t>
      </w:r>
      <w:r>
        <w:t xml:space="preserve"> </w:t>
      </w:r>
      <w:r w:rsidRPr="00531FAE">
        <w:t>elektronického</w:t>
      </w:r>
      <w:r>
        <w:t xml:space="preserve"> </w:t>
      </w:r>
      <w:r w:rsidRPr="00531FAE">
        <w:t>mýtného</w:t>
      </w:r>
      <w:r>
        <w:t xml:space="preserve"> </w:t>
      </w:r>
      <w:r w:rsidRPr="00531FAE">
        <w:t>nebo</w:t>
      </w:r>
      <w:r>
        <w:t xml:space="preserve"> </w:t>
      </w:r>
      <w:r w:rsidRPr="00531FAE">
        <w:t>jím</w:t>
      </w:r>
      <w:r>
        <w:t xml:space="preserve"> </w:t>
      </w:r>
      <w:r w:rsidRPr="00531FAE">
        <w:t>zmocněná</w:t>
      </w:r>
      <w:r>
        <w:t xml:space="preserve"> </w:t>
      </w:r>
      <w:r w:rsidRPr="00531FAE">
        <w:t>osoba,</w:t>
      </w:r>
      <w:r>
        <w:t xml:space="preserve"> </w:t>
      </w:r>
      <w:r w:rsidRPr="00531FAE">
        <w:t>že</w:t>
      </w:r>
      <w:r>
        <w:t xml:space="preserve"> </w:t>
      </w:r>
      <w:r w:rsidRPr="00531FAE">
        <w:t>vydání</w:t>
      </w:r>
      <w:r>
        <w:t xml:space="preserve"> </w:t>
      </w:r>
      <w:r w:rsidRPr="00531FAE">
        <w:t>dokladu</w:t>
      </w:r>
      <w:r>
        <w:t xml:space="preserve"> </w:t>
      </w:r>
      <w:r w:rsidRPr="00531FAE">
        <w:t>nepožaduje,</w:t>
      </w:r>
      <w:r>
        <w:t xml:space="preserve"> </w:t>
      </w:r>
      <w:r w:rsidRPr="00531FAE">
        <w:t>nebo</w:t>
      </w:r>
    </w:p>
    <w:p w14:paraId="5D2920E1" w14:textId="3088E6DE" w:rsidR="008A21AB" w:rsidRDefault="008A21AB" w:rsidP="00A62336">
      <w:pPr>
        <w:pStyle w:val="Textpsmene"/>
        <w:tabs>
          <w:tab w:val="num" w:pos="851"/>
        </w:tabs>
        <w:spacing w:before="0"/>
        <w:ind w:left="851" w:hanging="426"/>
      </w:pPr>
      <w:r w:rsidRPr="00531FAE">
        <w:t>2.</w:t>
      </w:r>
      <w:r>
        <w:tab/>
      </w:r>
      <w:r w:rsidRPr="00531FAE">
        <w:t>jde-li</w:t>
      </w:r>
      <w:r>
        <w:t xml:space="preserve"> </w:t>
      </w:r>
      <w:r w:rsidRPr="00531FAE">
        <w:t>o</w:t>
      </w:r>
      <w:r>
        <w:t xml:space="preserve"> </w:t>
      </w:r>
      <w:r w:rsidRPr="00531FAE">
        <w:t>vozidlo</w:t>
      </w:r>
      <w:r>
        <w:t xml:space="preserve"> </w:t>
      </w:r>
      <w:r w:rsidRPr="00531FAE">
        <w:t>v</w:t>
      </w:r>
      <w:r>
        <w:t xml:space="preserve"> </w:t>
      </w:r>
      <w:r w:rsidRPr="00531FAE">
        <w:t>systému</w:t>
      </w:r>
      <w:r>
        <w:t xml:space="preserve"> </w:t>
      </w:r>
      <w:r w:rsidRPr="00531FAE">
        <w:t>elektronického</w:t>
      </w:r>
      <w:r>
        <w:t xml:space="preserve"> </w:t>
      </w:r>
      <w:r w:rsidRPr="00531FAE">
        <w:t>mýtného,</w:t>
      </w:r>
      <w:r>
        <w:t xml:space="preserve"> </w:t>
      </w:r>
      <w:r w:rsidRPr="00531FAE">
        <w:t>ohledně</w:t>
      </w:r>
      <w:r>
        <w:t xml:space="preserve"> </w:t>
      </w:r>
      <w:r w:rsidRPr="00531FAE">
        <w:t>kterého</w:t>
      </w:r>
      <w:r>
        <w:t xml:space="preserve"> </w:t>
      </w:r>
      <w:r w:rsidRPr="00531FAE">
        <w:t>uzavřel</w:t>
      </w:r>
      <w:r>
        <w:t xml:space="preserve"> </w:t>
      </w:r>
      <w:r w:rsidRPr="00531FAE">
        <w:t>provozovatel</w:t>
      </w:r>
      <w:r>
        <w:t xml:space="preserve"> </w:t>
      </w:r>
      <w:r w:rsidRPr="00531FAE">
        <w:t>tohoto</w:t>
      </w:r>
      <w:r>
        <w:t xml:space="preserve"> </w:t>
      </w:r>
      <w:r w:rsidRPr="00531FAE">
        <w:t>vozidla</w:t>
      </w:r>
      <w:r>
        <w:t xml:space="preserve"> </w:t>
      </w:r>
      <w:r w:rsidRPr="00531FAE">
        <w:t>smlouvu</w:t>
      </w:r>
      <w:r>
        <w:t xml:space="preserve"> </w:t>
      </w:r>
      <w:r w:rsidRPr="00531FAE">
        <w:t>s</w:t>
      </w:r>
      <w:r>
        <w:t xml:space="preserve"> </w:t>
      </w:r>
      <w:r w:rsidRPr="00531FAE">
        <w:t>poskytovatelem</w:t>
      </w:r>
      <w:r>
        <w:t xml:space="preserve"> </w:t>
      </w:r>
      <w:r w:rsidRPr="00531FAE">
        <w:t>evropského</w:t>
      </w:r>
      <w:r>
        <w:t xml:space="preserve"> </w:t>
      </w:r>
      <w:r w:rsidRPr="00531FAE">
        <w:t>mýtného</w:t>
      </w:r>
      <w:r>
        <w:t xml:space="preserve"> </w:t>
      </w:r>
      <w:r w:rsidRPr="00531FAE">
        <w:t>podle</w:t>
      </w:r>
      <w:r>
        <w:t xml:space="preserve"> </w:t>
      </w:r>
      <w:r w:rsidRPr="00531FAE">
        <w:t>§</w:t>
      </w:r>
      <w:r>
        <w:t xml:space="preserve"> </w:t>
      </w:r>
      <w:r w:rsidRPr="00531FAE">
        <w:t>22b</w:t>
      </w:r>
      <w:r>
        <w:t xml:space="preserve"> </w:t>
      </w:r>
      <w:r w:rsidRPr="00531FAE">
        <w:t>odst.</w:t>
      </w:r>
      <w:r>
        <w:t xml:space="preserve"> </w:t>
      </w:r>
      <w:r w:rsidRPr="00531FAE">
        <w:t>3,</w:t>
      </w:r>
      <w:r>
        <w:t xml:space="preserve"> </w:t>
      </w:r>
      <w:r w:rsidRPr="00531FAE">
        <w:t>a</w:t>
      </w:r>
      <w:r>
        <w:t xml:space="preserve"> </w:t>
      </w:r>
      <w:r w:rsidRPr="00531FAE">
        <w:t>jehož</w:t>
      </w:r>
      <w:r>
        <w:t xml:space="preserve"> </w:t>
      </w:r>
      <w:r w:rsidRPr="00531FAE">
        <w:t>elektronické</w:t>
      </w:r>
      <w:r>
        <w:t xml:space="preserve"> </w:t>
      </w:r>
      <w:r w:rsidRPr="00531FAE">
        <w:t>zařízení</w:t>
      </w:r>
      <w:r>
        <w:t xml:space="preserve"> </w:t>
      </w:r>
      <w:r w:rsidRPr="00531FAE">
        <w:t>není</w:t>
      </w:r>
      <w:r>
        <w:t xml:space="preserve"> </w:t>
      </w:r>
      <w:r w:rsidRPr="00531FAE">
        <w:t>evidováno</w:t>
      </w:r>
      <w:r>
        <w:t xml:space="preserve"> </w:t>
      </w:r>
      <w:r w:rsidRPr="00531FAE">
        <w:t>jako</w:t>
      </w:r>
      <w:r>
        <w:t xml:space="preserve"> </w:t>
      </w:r>
      <w:r w:rsidRPr="00531FAE">
        <w:t>zablokované,</w:t>
      </w:r>
    </w:p>
    <w:p w14:paraId="0DDF3D45" w14:textId="6C7E1F3F" w:rsidR="008A21AB" w:rsidRDefault="008A21AB" w:rsidP="00B0390E">
      <w:pPr>
        <w:pStyle w:val="Textparagrafu"/>
        <w:tabs>
          <w:tab w:val="left" w:pos="406"/>
          <w:tab w:val="left" w:pos="840"/>
        </w:tabs>
        <w:spacing w:before="0"/>
        <w:ind w:left="426" w:hanging="426"/>
      </w:pPr>
      <w:r w:rsidRPr="00531FAE">
        <w:t>g)</w:t>
      </w:r>
      <w:r>
        <w:tab/>
      </w:r>
      <w:r w:rsidRPr="00531FAE">
        <w:t>zajistit</w:t>
      </w:r>
      <w:r>
        <w:t xml:space="preserve"> </w:t>
      </w:r>
      <w:r w:rsidRPr="00531FAE">
        <w:t>výběr</w:t>
      </w:r>
      <w:r>
        <w:t xml:space="preserve"> </w:t>
      </w:r>
      <w:r w:rsidRPr="00531FAE">
        <w:t>souhrnného</w:t>
      </w:r>
      <w:r>
        <w:t xml:space="preserve"> </w:t>
      </w:r>
      <w:r w:rsidRPr="00531FAE">
        <w:t>mýtného,</w:t>
      </w:r>
      <w:r>
        <w:t xml:space="preserve"> </w:t>
      </w:r>
      <w:r w:rsidRPr="00531FAE">
        <w:t>jež</w:t>
      </w:r>
      <w:r>
        <w:t xml:space="preserve"> </w:t>
      </w:r>
      <w:r w:rsidRPr="00531FAE">
        <w:t>vzniklo</w:t>
      </w:r>
      <w:r>
        <w:t xml:space="preserve"> </w:t>
      </w:r>
      <w:r w:rsidRPr="00531FAE">
        <w:t>užitím</w:t>
      </w:r>
      <w:r>
        <w:t xml:space="preserve"> </w:t>
      </w:r>
      <w:r w:rsidRPr="00531FAE">
        <w:t>zpoplatněných</w:t>
      </w:r>
      <w:r>
        <w:t xml:space="preserve"> </w:t>
      </w:r>
      <w:r w:rsidRPr="00531FAE">
        <w:t>pozemních</w:t>
      </w:r>
      <w:r>
        <w:t xml:space="preserve"> </w:t>
      </w:r>
      <w:r w:rsidRPr="00531FAE">
        <w:t>komunikací</w:t>
      </w:r>
      <w:r>
        <w:t xml:space="preserve"> </w:t>
      </w:r>
      <w:r w:rsidRPr="00531FAE">
        <w:t>vozidly</w:t>
      </w:r>
      <w:r>
        <w:t xml:space="preserve"> </w:t>
      </w:r>
      <w:r w:rsidRPr="00531FAE">
        <w:t>v</w:t>
      </w:r>
      <w:r>
        <w:t xml:space="preserve"> </w:t>
      </w:r>
      <w:r w:rsidRPr="00531FAE">
        <w:t>systému</w:t>
      </w:r>
      <w:r>
        <w:t xml:space="preserve"> </w:t>
      </w:r>
      <w:r w:rsidRPr="00531FAE">
        <w:t>elektronického</w:t>
      </w:r>
      <w:r>
        <w:t xml:space="preserve"> </w:t>
      </w:r>
      <w:r w:rsidRPr="00531FAE">
        <w:t>mýtného,</w:t>
      </w:r>
      <w:r>
        <w:t xml:space="preserve"> </w:t>
      </w:r>
      <w:r w:rsidRPr="00531FAE">
        <w:t>ohledně</w:t>
      </w:r>
      <w:r>
        <w:t xml:space="preserve"> </w:t>
      </w:r>
      <w:r w:rsidRPr="00531FAE">
        <w:t>kterých</w:t>
      </w:r>
      <w:r>
        <w:t xml:space="preserve"> </w:t>
      </w:r>
      <w:r w:rsidRPr="00531FAE">
        <w:t>uzavřeli</w:t>
      </w:r>
      <w:r>
        <w:t xml:space="preserve"> </w:t>
      </w:r>
      <w:r w:rsidRPr="00531FAE">
        <w:t>provozovatelé</w:t>
      </w:r>
      <w:r>
        <w:t xml:space="preserve"> </w:t>
      </w:r>
      <w:r w:rsidRPr="00531FAE">
        <w:t>těchto</w:t>
      </w:r>
      <w:r>
        <w:t xml:space="preserve"> </w:t>
      </w:r>
      <w:r w:rsidRPr="00531FAE">
        <w:t>vozidel</w:t>
      </w:r>
      <w:r>
        <w:t xml:space="preserve"> </w:t>
      </w:r>
      <w:r w:rsidRPr="00531FAE">
        <w:t>smlouvu</w:t>
      </w:r>
      <w:r>
        <w:t xml:space="preserve"> </w:t>
      </w:r>
      <w:r w:rsidRPr="00531FAE">
        <w:t>s</w:t>
      </w:r>
      <w:r>
        <w:t xml:space="preserve"> </w:t>
      </w:r>
      <w:r w:rsidRPr="00531FAE">
        <w:t>poskytovatelem</w:t>
      </w:r>
      <w:r>
        <w:t xml:space="preserve"> </w:t>
      </w:r>
      <w:r w:rsidRPr="00531FAE">
        <w:t>evropského</w:t>
      </w:r>
      <w:r>
        <w:t xml:space="preserve"> </w:t>
      </w:r>
      <w:r w:rsidRPr="00531FAE">
        <w:t>mýtného</w:t>
      </w:r>
      <w:r>
        <w:t xml:space="preserve"> </w:t>
      </w:r>
      <w:r w:rsidRPr="00531FAE">
        <w:t>podle</w:t>
      </w:r>
      <w:r>
        <w:t xml:space="preserve"> </w:t>
      </w:r>
      <w:r w:rsidRPr="00531FAE">
        <w:t>§</w:t>
      </w:r>
      <w:r>
        <w:t xml:space="preserve"> </w:t>
      </w:r>
      <w:r w:rsidRPr="00531FAE">
        <w:t>22b</w:t>
      </w:r>
      <w:r>
        <w:t xml:space="preserve"> </w:t>
      </w:r>
      <w:r w:rsidRPr="00531FAE">
        <w:t>odst.</w:t>
      </w:r>
      <w:r>
        <w:t xml:space="preserve"> </w:t>
      </w:r>
      <w:r w:rsidRPr="00531FAE">
        <w:t>3,</w:t>
      </w:r>
      <w:r>
        <w:t xml:space="preserve"> </w:t>
      </w:r>
      <w:r w:rsidRPr="00531FAE">
        <w:t>s</w:t>
      </w:r>
      <w:r>
        <w:t xml:space="preserve"> </w:t>
      </w:r>
      <w:r w:rsidRPr="00531FAE">
        <w:t>výjimkou</w:t>
      </w:r>
      <w:r>
        <w:t xml:space="preserve"> </w:t>
      </w:r>
      <w:r w:rsidRPr="00531FAE">
        <w:t>vozidel,</w:t>
      </w:r>
      <w:r>
        <w:t xml:space="preserve"> </w:t>
      </w:r>
      <w:r w:rsidRPr="00531FAE">
        <w:t>jejichž</w:t>
      </w:r>
      <w:r>
        <w:t xml:space="preserve"> </w:t>
      </w:r>
      <w:r w:rsidRPr="00531FAE">
        <w:t>elektronické</w:t>
      </w:r>
      <w:r>
        <w:t xml:space="preserve"> </w:t>
      </w:r>
      <w:r w:rsidRPr="00531FAE">
        <w:t>zařízení</w:t>
      </w:r>
      <w:r>
        <w:t xml:space="preserve"> </w:t>
      </w:r>
      <w:r w:rsidRPr="00531FAE">
        <w:t>je</w:t>
      </w:r>
      <w:r>
        <w:t xml:space="preserve"> </w:t>
      </w:r>
      <w:r w:rsidRPr="00531FAE">
        <w:t>evidováno</w:t>
      </w:r>
      <w:r>
        <w:t xml:space="preserve"> </w:t>
      </w:r>
      <w:r w:rsidRPr="00531FAE">
        <w:t>jako</w:t>
      </w:r>
      <w:r>
        <w:t xml:space="preserve"> </w:t>
      </w:r>
      <w:r w:rsidRPr="00531FAE">
        <w:t>zablokované,</w:t>
      </w:r>
      <w:r>
        <w:t xml:space="preserve"> </w:t>
      </w:r>
      <w:r w:rsidRPr="00531FAE">
        <w:t>a</w:t>
      </w:r>
      <w:r>
        <w:t xml:space="preserve"> </w:t>
      </w:r>
      <w:r w:rsidRPr="00531FAE">
        <w:t>to</w:t>
      </w:r>
      <w:r>
        <w:t xml:space="preserve"> </w:t>
      </w:r>
      <w:r w:rsidRPr="00531FAE">
        <w:t>na</w:t>
      </w:r>
      <w:r>
        <w:t xml:space="preserve"> </w:t>
      </w:r>
      <w:r w:rsidRPr="00531FAE">
        <w:t>základě</w:t>
      </w:r>
      <w:r>
        <w:t xml:space="preserve"> </w:t>
      </w:r>
      <w:r w:rsidRPr="00531FAE">
        <w:t>výkazu</w:t>
      </w:r>
      <w:r>
        <w:t xml:space="preserve"> </w:t>
      </w:r>
      <w:r w:rsidRPr="00531FAE">
        <w:t>o</w:t>
      </w:r>
      <w:r>
        <w:t xml:space="preserve"> </w:t>
      </w:r>
      <w:r w:rsidRPr="00531FAE">
        <w:t>mýtném,</w:t>
      </w:r>
      <w:r>
        <w:t xml:space="preserve"> </w:t>
      </w:r>
      <w:r w:rsidRPr="00531FAE">
        <w:t>které</w:t>
      </w:r>
      <w:r>
        <w:t xml:space="preserve"> </w:t>
      </w:r>
      <w:r w:rsidRPr="00531FAE">
        <w:t>poskytovatel</w:t>
      </w:r>
      <w:r>
        <w:t xml:space="preserve"> </w:t>
      </w:r>
      <w:r w:rsidRPr="00531FAE">
        <w:t>evropského</w:t>
      </w:r>
      <w:r>
        <w:t xml:space="preserve"> </w:t>
      </w:r>
      <w:r w:rsidRPr="00531FAE">
        <w:t>mýtného</w:t>
      </w:r>
      <w:r>
        <w:t xml:space="preserve"> </w:t>
      </w:r>
      <w:r w:rsidRPr="00531FAE">
        <w:t>předkládá</w:t>
      </w:r>
      <w:r>
        <w:t xml:space="preserve"> </w:t>
      </w:r>
      <w:r w:rsidRPr="00531FAE">
        <w:t>provozovateli</w:t>
      </w:r>
      <w:r>
        <w:t xml:space="preserve"> </w:t>
      </w:r>
      <w:r w:rsidRPr="00531FAE">
        <w:t>systému</w:t>
      </w:r>
      <w:r>
        <w:t xml:space="preserve"> </w:t>
      </w:r>
      <w:r w:rsidRPr="00531FAE">
        <w:t>elektronického</w:t>
      </w:r>
      <w:r>
        <w:t xml:space="preserve"> </w:t>
      </w:r>
      <w:r w:rsidRPr="00531FAE">
        <w:t>mýtného,</w:t>
      </w:r>
      <w:r>
        <w:t xml:space="preserve"> </w:t>
      </w:r>
      <w:r w:rsidRPr="00531FAE">
        <w:t>ve</w:t>
      </w:r>
      <w:r>
        <w:t xml:space="preserve"> </w:t>
      </w:r>
      <w:r w:rsidRPr="00531FAE">
        <w:t>lhůtách</w:t>
      </w:r>
      <w:r>
        <w:t xml:space="preserve"> </w:t>
      </w:r>
      <w:r w:rsidRPr="00531FAE">
        <w:t>a</w:t>
      </w:r>
      <w:r>
        <w:t xml:space="preserve"> </w:t>
      </w:r>
      <w:r w:rsidRPr="00531FAE">
        <w:t>podle</w:t>
      </w:r>
      <w:r>
        <w:t xml:space="preserve"> </w:t>
      </w:r>
      <w:r w:rsidRPr="00531FAE">
        <w:t>podmínek</w:t>
      </w:r>
      <w:r>
        <w:t xml:space="preserve"> </w:t>
      </w:r>
      <w:r w:rsidRPr="00531FAE">
        <w:t>stanovených</w:t>
      </w:r>
      <w:r>
        <w:t xml:space="preserve"> </w:t>
      </w:r>
      <w:r w:rsidRPr="00531FAE">
        <w:t>ve</w:t>
      </w:r>
      <w:r>
        <w:t xml:space="preserve"> </w:t>
      </w:r>
      <w:r w:rsidRPr="00531FAE">
        <w:t>smlouvě</w:t>
      </w:r>
      <w:r>
        <w:t xml:space="preserve"> </w:t>
      </w:r>
      <w:r w:rsidRPr="00531FAE">
        <w:t>podle</w:t>
      </w:r>
      <w:r>
        <w:t xml:space="preserve"> </w:t>
      </w:r>
      <w:r w:rsidRPr="00531FAE">
        <w:t>písmene</w:t>
      </w:r>
      <w:r>
        <w:t xml:space="preserve"> </w:t>
      </w:r>
      <w:r w:rsidRPr="00531FAE">
        <w:t>i),</w:t>
      </w:r>
    </w:p>
    <w:p w14:paraId="483E3843" w14:textId="21FCED96" w:rsidR="008A21AB" w:rsidRDefault="008A21AB" w:rsidP="00B0390E">
      <w:pPr>
        <w:pStyle w:val="Textparagrafu"/>
        <w:tabs>
          <w:tab w:val="left" w:pos="406"/>
          <w:tab w:val="left" w:pos="840"/>
        </w:tabs>
        <w:spacing w:before="0"/>
        <w:ind w:left="426" w:hanging="426"/>
      </w:pPr>
      <w:r w:rsidRPr="00531FAE">
        <w:t>h)</w:t>
      </w:r>
      <w:r>
        <w:tab/>
      </w:r>
      <w:r w:rsidRPr="00531FAE">
        <w:t>zveřejnit</w:t>
      </w:r>
      <w:r>
        <w:t xml:space="preserve"> </w:t>
      </w:r>
      <w:r w:rsidRPr="00531FAE">
        <w:t>způsobem</w:t>
      </w:r>
      <w:r>
        <w:t xml:space="preserve"> </w:t>
      </w:r>
      <w:r w:rsidRPr="00531FAE">
        <w:t>umožňujícím</w:t>
      </w:r>
      <w:r>
        <w:t xml:space="preserve"> </w:t>
      </w:r>
      <w:r w:rsidRPr="00531FAE">
        <w:t>dálkový</w:t>
      </w:r>
      <w:r>
        <w:t xml:space="preserve"> </w:t>
      </w:r>
      <w:r w:rsidRPr="00531FAE">
        <w:t>přístup</w:t>
      </w:r>
      <w:r>
        <w:t xml:space="preserve"> </w:t>
      </w:r>
      <w:r w:rsidRPr="00531FAE">
        <w:t>prohlášení</w:t>
      </w:r>
      <w:r>
        <w:t xml:space="preserve"> </w:t>
      </w:r>
      <w:r w:rsidRPr="00531FAE">
        <w:t>o</w:t>
      </w:r>
      <w:r>
        <w:t xml:space="preserve"> </w:t>
      </w:r>
      <w:r w:rsidRPr="00531FAE">
        <w:t>systému</w:t>
      </w:r>
      <w:r>
        <w:t xml:space="preserve"> </w:t>
      </w:r>
      <w:r w:rsidRPr="00531FAE">
        <w:t>elektronického</w:t>
      </w:r>
      <w:r>
        <w:t xml:space="preserve"> </w:t>
      </w:r>
      <w:r w:rsidRPr="00531FAE">
        <w:t>mýtného</w:t>
      </w:r>
      <w:r>
        <w:t xml:space="preserve"> </w:t>
      </w:r>
      <w:r w:rsidRPr="00531FAE">
        <w:t>podle</w:t>
      </w:r>
      <w:r>
        <w:t xml:space="preserve"> </w:t>
      </w:r>
      <w:r w:rsidRPr="00531FAE">
        <w:t>přímo</w:t>
      </w:r>
      <w:r>
        <w:t xml:space="preserve"> </w:t>
      </w:r>
      <w:r w:rsidRPr="00531FAE">
        <w:t>použitelného</w:t>
      </w:r>
      <w:r>
        <w:t xml:space="preserve"> </w:t>
      </w:r>
      <w:r w:rsidRPr="00531FAE">
        <w:t>předpisu</w:t>
      </w:r>
      <w:r>
        <w:t xml:space="preserve"> </w:t>
      </w:r>
      <w:r w:rsidRPr="00531FAE">
        <w:t>Evropské</w:t>
      </w:r>
      <w:r>
        <w:t xml:space="preserve"> unie</w:t>
      </w:r>
      <w:r>
        <w:rPr>
          <w:rStyle w:val="Znakapoznpodarou"/>
        </w:rPr>
        <w:footnoteReference w:customMarkFollows="1" w:id="229"/>
        <w:t>41)</w:t>
      </w:r>
      <w:r w:rsidRPr="00531FAE">
        <w:t>,</w:t>
      </w:r>
      <w:r>
        <w:t xml:space="preserve"> </w:t>
      </w:r>
      <w:r w:rsidRPr="00531FAE">
        <w:t>v</w:t>
      </w:r>
      <w:r>
        <w:t xml:space="preserve"> </w:t>
      </w:r>
      <w:r w:rsidRPr="00531FAE">
        <w:t>němž</w:t>
      </w:r>
      <w:r>
        <w:t xml:space="preserve"> </w:t>
      </w:r>
      <w:r w:rsidRPr="00531FAE">
        <w:t>stanoví</w:t>
      </w:r>
      <w:r>
        <w:t xml:space="preserve"> </w:t>
      </w:r>
      <w:r w:rsidRPr="00531FAE">
        <w:t>podmínky</w:t>
      </w:r>
      <w:r>
        <w:t xml:space="preserve"> </w:t>
      </w:r>
      <w:r w:rsidRPr="00531FAE">
        <w:t>přístupu</w:t>
      </w:r>
      <w:r>
        <w:t xml:space="preserve"> </w:t>
      </w:r>
      <w:r w:rsidRPr="00531FAE">
        <w:t>poskytovatelů</w:t>
      </w:r>
      <w:r>
        <w:t xml:space="preserve"> </w:t>
      </w:r>
      <w:r w:rsidRPr="00531FAE">
        <w:t>evropského</w:t>
      </w:r>
      <w:r>
        <w:t xml:space="preserve"> </w:t>
      </w:r>
      <w:r w:rsidRPr="00531FAE">
        <w:t>mýtného</w:t>
      </w:r>
      <w:r>
        <w:t xml:space="preserve"> </w:t>
      </w:r>
      <w:r w:rsidRPr="00531FAE">
        <w:t>do</w:t>
      </w:r>
      <w:r>
        <w:t xml:space="preserve"> </w:t>
      </w:r>
      <w:r w:rsidRPr="00531FAE">
        <w:t>jím</w:t>
      </w:r>
      <w:r>
        <w:t xml:space="preserve"> </w:t>
      </w:r>
      <w:r w:rsidRPr="00531FAE">
        <w:t>provozovaného</w:t>
      </w:r>
      <w:r>
        <w:t xml:space="preserve"> </w:t>
      </w:r>
      <w:r w:rsidRPr="00531FAE">
        <w:t>systému</w:t>
      </w:r>
      <w:r>
        <w:t xml:space="preserve"> </w:t>
      </w:r>
      <w:r w:rsidRPr="00531FAE">
        <w:t>elektronického</w:t>
      </w:r>
      <w:r>
        <w:t xml:space="preserve"> </w:t>
      </w:r>
      <w:r w:rsidRPr="00531FAE">
        <w:t>mýtného,</w:t>
      </w:r>
    </w:p>
    <w:p w14:paraId="16014506" w14:textId="513A0315" w:rsidR="008A21AB" w:rsidRDefault="008A21AB" w:rsidP="00B0390E">
      <w:pPr>
        <w:pStyle w:val="Textparagrafu"/>
        <w:tabs>
          <w:tab w:val="left" w:pos="406"/>
          <w:tab w:val="left" w:pos="840"/>
        </w:tabs>
        <w:spacing w:before="0"/>
        <w:ind w:left="426" w:hanging="426"/>
      </w:pPr>
      <w:r w:rsidRPr="00531FAE">
        <w:t>i)</w:t>
      </w:r>
      <w:r>
        <w:tab/>
      </w:r>
      <w:r w:rsidRPr="00531FAE">
        <w:t>uzavřít</w:t>
      </w:r>
      <w:r>
        <w:t xml:space="preserve"> </w:t>
      </w:r>
      <w:r w:rsidRPr="00531FAE">
        <w:t>s</w:t>
      </w:r>
      <w:r>
        <w:t xml:space="preserve"> </w:t>
      </w:r>
      <w:r w:rsidRPr="00531FAE">
        <w:t>poskytovatelem</w:t>
      </w:r>
      <w:r>
        <w:t xml:space="preserve"> </w:t>
      </w:r>
      <w:r w:rsidRPr="00531FAE">
        <w:t>evropského</w:t>
      </w:r>
      <w:r>
        <w:t xml:space="preserve"> </w:t>
      </w:r>
      <w:r w:rsidRPr="00531FAE">
        <w:t>mýtného</w:t>
      </w:r>
      <w:r>
        <w:t xml:space="preserve"> </w:t>
      </w:r>
      <w:r w:rsidRPr="00531FAE">
        <w:t>smlouvu</w:t>
      </w:r>
      <w:r>
        <w:t xml:space="preserve"> </w:t>
      </w:r>
      <w:r w:rsidRPr="00531FAE">
        <w:t>o</w:t>
      </w:r>
      <w:r>
        <w:t xml:space="preserve"> </w:t>
      </w:r>
      <w:r w:rsidRPr="00531FAE">
        <w:t>poskytování</w:t>
      </w:r>
      <w:r>
        <w:t xml:space="preserve"> </w:t>
      </w:r>
      <w:r w:rsidRPr="00531FAE">
        <w:t>evropské</w:t>
      </w:r>
      <w:r>
        <w:t xml:space="preserve"> </w:t>
      </w:r>
      <w:r w:rsidRPr="00531FAE">
        <w:t>služby</w:t>
      </w:r>
      <w:r>
        <w:t xml:space="preserve"> </w:t>
      </w:r>
      <w:r w:rsidRPr="00531FAE">
        <w:t>elektronického</w:t>
      </w:r>
      <w:r>
        <w:t xml:space="preserve"> </w:t>
      </w:r>
      <w:r w:rsidRPr="00531FAE">
        <w:t>mýtného</w:t>
      </w:r>
      <w:r>
        <w:t xml:space="preserve"> </w:t>
      </w:r>
      <w:r w:rsidRPr="00531FAE">
        <w:t>v</w:t>
      </w:r>
      <w:r>
        <w:t xml:space="preserve"> </w:t>
      </w:r>
      <w:r w:rsidRPr="00531FAE">
        <w:t>rámci</w:t>
      </w:r>
      <w:r>
        <w:t xml:space="preserve"> </w:t>
      </w:r>
      <w:r w:rsidRPr="00531FAE">
        <w:t>systému</w:t>
      </w:r>
      <w:r>
        <w:t xml:space="preserve"> </w:t>
      </w:r>
      <w:r w:rsidRPr="00531FAE">
        <w:t>elektronického</w:t>
      </w:r>
      <w:r>
        <w:t xml:space="preserve"> </w:t>
      </w:r>
      <w:r w:rsidRPr="00531FAE">
        <w:t>mýtného,</w:t>
      </w:r>
      <w:r>
        <w:t xml:space="preserve"> </w:t>
      </w:r>
      <w:r w:rsidRPr="00531FAE">
        <w:t>splnil-li</w:t>
      </w:r>
      <w:r>
        <w:t xml:space="preserve"> </w:t>
      </w:r>
      <w:r w:rsidRPr="00531FAE">
        <w:t>poskytovatel</w:t>
      </w:r>
      <w:r>
        <w:t xml:space="preserve"> </w:t>
      </w:r>
      <w:r w:rsidRPr="00531FAE">
        <w:t>evropského</w:t>
      </w:r>
      <w:r>
        <w:t xml:space="preserve"> </w:t>
      </w:r>
      <w:r w:rsidRPr="00531FAE">
        <w:t>mýtného</w:t>
      </w:r>
      <w:r>
        <w:t xml:space="preserve"> </w:t>
      </w:r>
      <w:r w:rsidRPr="00531FAE">
        <w:t>podmínky</w:t>
      </w:r>
      <w:r>
        <w:t xml:space="preserve"> </w:t>
      </w:r>
      <w:r w:rsidRPr="00531FAE">
        <w:t>uvedené</w:t>
      </w:r>
      <w:r>
        <w:t xml:space="preserve"> </w:t>
      </w:r>
      <w:r w:rsidRPr="00531FAE">
        <w:t>v</w:t>
      </w:r>
      <w:r>
        <w:t xml:space="preserve"> </w:t>
      </w:r>
      <w:r w:rsidRPr="00531FAE">
        <w:t>prohlášení</w:t>
      </w:r>
      <w:r>
        <w:t xml:space="preserve"> </w:t>
      </w:r>
      <w:r w:rsidRPr="00531FAE">
        <w:t>podle</w:t>
      </w:r>
      <w:r>
        <w:t xml:space="preserve"> </w:t>
      </w:r>
      <w:r w:rsidRPr="00531FAE">
        <w:t>písmene</w:t>
      </w:r>
      <w:r>
        <w:t xml:space="preserve"> </w:t>
      </w:r>
      <w:r w:rsidRPr="00531FAE">
        <w:t>h)</w:t>
      </w:r>
      <w:r>
        <w:t xml:space="preserve"> </w:t>
      </w:r>
      <w:r w:rsidRPr="00531FAE">
        <w:t>a</w:t>
      </w:r>
      <w:r>
        <w:t xml:space="preserve"> </w:t>
      </w:r>
      <w:r w:rsidRPr="00531FAE">
        <w:t>platit</w:t>
      </w:r>
      <w:r>
        <w:t xml:space="preserve"> </w:t>
      </w:r>
      <w:r w:rsidRPr="00531FAE">
        <w:t>mu</w:t>
      </w:r>
      <w:r>
        <w:t xml:space="preserve"> </w:t>
      </w:r>
      <w:r w:rsidRPr="00531FAE">
        <w:t>za</w:t>
      </w:r>
      <w:r>
        <w:t xml:space="preserve"> </w:t>
      </w:r>
      <w:r w:rsidRPr="00531FAE">
        <w:t>poskytování</w:t>
      </w:r>
      <w:r>
        <w:t xml:space="preserve"> </w:t>
      </w:r>
      <w:r w:rsidRPr="00531FAE">
        <w:t>evropské</w:t>
      </w:r>
      <w:r>
        <w:t xml:space="preserve"> </w:t>
      </w:r>
      <w:r w:rsidRPr="00531FAE">
        <w:t>služby</w:t>
      </w:r>
      <w:r>
        <w:t xml:space="preserve"> </w:t>
      </w:r>
      <w:r w:rsidRPr="00531FAE">
        <w:t>elektronického</w:t>
      </w:r>
      <w:r>
        <w:t xml:space="preserve"> </w:t>
      </w:r>
      <w:r w:rsidRPr="00531FAE">
        <w:t>mýtného</w:t>
      </w:r>
      <w:r>
        <w:t xml:space="preserve"> </w:t>
      </w:r>
      <w:r w:rsidRPr="00531FAE">
        <w:t>odměnu,</w:t>
      </w:r>
    </w:p>
    <w:p w14:paraId="49C1B31F" w14:textId="281E64AC" w:rsidR="008A21AB" w:rsidRDefault="008A21AB" w:rsidP="00B0390E">
      <w:pPr>
        <w:pStyle w:val="Textparagrafu"/>
        <w:tabs>
          <w:tab w:val="left" w:pos="406"/>
          <w:tab w:val="left" w:pos="840"/>
        </w:tabs>
        <w:spacing w:before="0"/>
        <w:ind w:left="426" w:hanging="426"/>
      </w:pPr>
      <w:r w:rsidRPr="00531FAE">
        <w:t>j)</w:t>
      </w:r>
      <w:r>
        <w:tab/>
      </w:r>
      <w:r w:rsidRPr="00531FAE">
        <w:t>zveřejnit</w:t>
      </w:r>
      <w:r>
        <w:t xml:space="preserve"> </w:t>
      </w:r>
      <w:r w:rsidRPr="00531FAE">
        <w:t>způsobem</w:t>
      </w:r>
      <w:r>
        <w:t xml:space="preserve"> </w:t>
      </w:r>
      <w:r w:rsidRPr="00531FAE">
        <w:t>umožňujícím</w:t>
      </w:r>
      <w:r>
        <w:t xml:space="preserve"> </w:t>
      </w:r>
      <w:r w:rsidRPr="00531FAE">
        <w:t>dálkový</w:t>
      </w:r>
      <w:r>
        <w:t xml:space="preserve"> </w:t>
      </w:r>
      <w:r w:rsidRPr="00531FAE">
        <w:t>přístup</w:t>
      </w:r>
      <w:r>
        <w:t xml:space="preserve"> </w:t>
      </w:r>
      <w:r w:rsidRPr="00531FAE">
        <w:t>seznam</w:t>
      </w:r>
      <w:r>
        <w:t xml:space="preserve"> </w:t>
      </w:r>
      <w:r w:rsidRPr="00531FAE">
        <w:t>všech</w:t>
      </w:r>
      <w:r>
        <w:t xml:space="preserve"> </w:t>
      </w:r>
      <w:r w:rsidRPr="00531FAE">
        <w:t>poskytovatelů</w:t>
      </w:r>
      <w:r>
        <w:t xml:space="preserve"> </w:t>
      </w:r>
      <w:r w:rsidRPr="00531FAE">
        <w:t>evropského</w:t>
      </w:r>
      <w:r>
        <w:t xml:space="preserve"> </w:t>
      </w:r>
      <w:r w:rsidRPr="00531FAE">
        <w:t>mýtného,</w:t>
      </w:r>
      <w:r>
        <w:t xml:space="preserve"> </w:t>
      </w:r>
      <w:r w:rsidRPr="00531FAE">
        <w:t>s</w:t>
      </w:r>
      <w:r>
        <w:t xml:space="preserve"> </w:t>
      </w:r>
      <w:r w:rsidRPr="00531FAE">
        <w:t>nimiž</w:t>
      </w:r>
      <w:r>
        <w:t xml:space="preserve"> </w:t>
      </w:r>
      <w:r w:rsidRPr="00531FAE">
        <w:t>má</w:t>
      </w:r>
      <w:r>
        <w:t xml:space="preserve"> </w:t>
      </w:r>
      <w:r w:rsidRPr="00531FAE">
        <w:t>uzavřenu</w:t>
      </w:r>
      <w:r>
        <w:t xml:space="preserve"> </w:t>
      </w:r>
      <w:r w:rsidRPr="00531FAE">
        <w:t>smlouvu</w:t>
      </w:r>
      <w:r>
        <w:t xml:space="preserve"> </w:t>
      </w:r>
      <w:r w:rsidRPr="00531FAE">
        <w:t>podle</w:t>
      </w:r>
      <w:r>
        <w:t xml:space="preserve"> </w:t>
      </w:r>
      <w:r w:rsidRPr="00531FAE">
        <w:t>písmene</w:t>
      </w:r>
      <w:r>
        <w:t xml:space="preserve"> </w:t>
      </w:r>
      <w:r w:rsidRPr="00531FAE">
        <w:t>i),</w:t>
      </w:r>
      <w:r>
        <w:t xml:space="preserve"> </w:t>
      </w:r>
      <w:r w:rsidRPr="00531FAE">
        <w:t>a</w:t>
      </w:r>
      <w:r>
        <w:t xml:space="preserve"> </w:t>
      </w:r>
      <w:r w:rsidRPr="00531FAE">
        <w:t>průběžně</w:t>
      </w:r>
      <w:r>
        <w:t xml:space="preserve"> </w:t>
      </w:r>
      <w:r w:rsidRPr="00531FAE">
        <w:t>jej</w:t>
      </w:r>
      <w:r>
        <w:t xml:space="preserve"> </w:t>
      </w:r>
      <w:r w:rsidRPr="00531FAE">
        <w:t>aktualizovat,</w:t>
      </w:r>
      <w:r>
        <w:t xml:space="preserve"> </w:t>
      </w:r>
      <w:r w:rsidRPr="00531FAE">
        <w:t>a</w:t>
      </w:r>
    </w:p>
    <w:p w14:paraId="27019217" w14:textId="1B4D8009" w:rsidR="008A21AB" w:rsidRDefault="008A21AB" w:rsidP="00B0390E">
      <w:pPr>
        <w:pStyle w:val="Textparagrafu"/>
        <w:tabs>
          <w:tab w:val="left" w:pos="406"/>
          <w:tab w:val="left" w:pos="840"/>
        </w:tabs>
        <w:spacing w:before="0"/>
        <w:ind w:left="426" w:hanging="426"/>
      </w:pPr>
      <w:r w:rsidRPr="00531FAE">
        <w:t>k)</w:t>
      </w:r>
      <w:r w:rsidR="00A05459">
        <w:tab/>
      </w:r>
      <w:r w:rsidRPr="00EF22B8">
        <w:rPr>
          <w:strike/>
        </w:rPr>
        <w:t>vést oddělené účetnictví o nákladech a výnosech vztahujících</w:t>
      </w:r>
      <w:r>
        <w:t xml:space="preserve"> </w:t>
      </w:r>
      <w:r w:rsidR="00EF22B8" w:rsidRPr="00B04011">
        <w:rPr>
          <w:b/>
        </w:rPr>
        <w:t>sledovat v účetním systému odděleně účetní záznamy vztahující</w:t>
      </w:r>
      <w:r w:rsidR="00EF22B8" w:rsidRPr="00531FAE">
        <w:t xml:space="preserve"> </w:t>
      </w:r>
      <w:r w:rsidRPr="00531FAE">
        <w:t>se</w:t>
      </w:r>
      <w:r>
        <w:t xml:space="preserve"> </w:t>
      </w:r>
      <w:r w:rsidRPr="00531FAE">
        <w:t>k</w:t>
      </w:r>
      <w:r>
        <w:t xml:space="preserve"> </w:t>
      </w:r>
      <w:r w:rsidRPr="00531FAE">
        <w:t>provozování</w:t>
      </w:r>
      <w:r>
        <w:t xml:space="preserve"> </w:t>
      </w:r>
      <w:r w:rsidRPr="00531FAE">
        <w:t>systému</w:t>
      </w:r>
      <w:r>
        <w:t xml:space="preserve"> </w:t>
      </w:r>
      <w:r w:rsidRPr="00531FAE">
        <w:t>elektronického</w:t>
      </w:r>
      <w:r>
        <w:t xml:space="preserve"> </w:t>
      </w:r>
      <w:r w:rsidRPr="00531FAE">
        <w:t>mýtného</w:t>
      </w:r>
      <w:r>
        <w:t xml:space="preserve"> </w:t>
      </w:r>
      <w:r w:rsidRPr="00531FAE">
        <w:t>a</w:t>
      </w:r>
      <w:r>
        <w:t xml:space="preserve"> </w:t>
      </w:r>
      <w:r w:rsidRPr="00531FAE">
        <w:t>peněžní</w:t>
      </w:r>
      <w:r>
        <w:t xml:space="preserve"> </w:t>
      </w:r>
      <w:r w:rsidRPr="00531FAE">
        <w:t>prostředky</w:t>
      </w:r>
      <w:r>
        <w:t xml:space="preserve"> </w:t>
      </w:r>
      <w:r w:rsidRPr="00531FAE">
        <w:t>z</w:t>
      </w:r>
      <w:r>
        <w:t xml:space="preserve"> </w:t>
      </w:r>
      <w:r w:rsidRPr="00531FAE">
        <w:t>veřejných</w:t>
      </w:r>
      <w:r>
        <w:t xml:space="preserve"> </w:t>
      </w:r>
      <w:r w:rsidRPr="00531FAE">
        <w:t>rozpočtů</w:t>
      </w:r>
      <w:r>
        <w:t xml:space="preserve"> </w:t>
      </w:r>
      <w:r w:rsidRPr="00531FAE">
        <w:t>poskytnuté</w:t>
      </w:r>
      <w:r>
        <w:t xml:space="preserve"> </w:t>
      </w:r>
      <w:r w:rsidRPr="00531FAE">
        <w:t>k</w:t>
      </w:r>
      <w:r>
        <w:t xml:space="preserve"> </w:t>
      </w:r>
      <w:r w:rsidRPr="00531FAE">
        <w:t>provozování</w:t>
      </w:r>
      <w:r>
        <w:t xml:space="preserve"> </w:t>
      </w:r>
      <w:r w:rsidRPr="00531FAE">
        <w:t>tohoto</w:t>
      </w:r>
      <w:r>
        <w:t xml:space="preserve"> </w:t>
      </w:r>
      <w:r w:rsidRPr="00531FAE">
        <w:t>systému</w:t>
      </w:r>
      <w:r>
        <w:t xml:space="preserve"> </w:t>
      </w:r>
      <w:r w:rsidRPr="00531FAE">
        <w:t>vést</w:t>
      </w:r>
      <w:r>
        <w:t xml:space="preserve"> </w:t>
      </w:r>
      <w:r w:rsidRPr="00531FAE">
        <w:t>samostatně</w:t>
      </w:r>
      <w:r>
        <w:t xml:space="preserve"> </w:t>
      </w:r>
      <w:r w:rsidRPr="00531FAE">
        <w:t>a</w:t>
      </w:r>
      <w:r>
        <w:t xml:space="preserve"> </w:t>
      </w:r>
      <w:r w:rsidRPr="00531FAE">
        <w:t>nepoužívat</w:t>
      </w:r>
      <w:r>
        <w:t xml:space="preserve"> </w:t>
      </w:r>
      <w:r w:rsidRPr="00531FAE">
        <w:t>je</w:t>
      </w:r>
      <w:r>
        <w:t xml:space="preserve"> </w:t>
      </w:r>
      <w:r w:rsidRPr="00531FAE">
        <w:t>na</w:t>
      </w:r>
      <w:r>
        <w:t xml:space="preserve"> </w:t>
      </w:r>
      <w:r w:rsidRPr="00531FAE">
        <w:t>financování</w:t>
      </w:r>
      <w:r>
        <w:t xml:space="preserve"> </w:t>
      </w:r>
      <w:r w:rsidRPr="00531FAE">
        <w:t>jiných</w:t>
      </w:r>
      <w:r>
        <w:t xml:space="preserve"> </w:t>
      </w:r>
      <w:r w:rsidRPr="00531FAE">
        <w:t>činností.</w:t>
      </w:r>
    </w:p>
    <w:p w14:paraId="024E506E" w14:textId="6A57F84C" w:rsidR="008A21AB" w:rsidRDefault="008A21AB" w:rsidP="00A62336">
      <w:pPr>
        <w:pStyle w:val="Textparagrafu"/>
        <w:tabs>
          <w:tab w:val="left" w:pos="406"/>
          <w:tab w:val="left" w:pos="840"/>
        </w:tabs>
        <w:spacing w:before="120" w:after="120"/>
      </w:pPr>
      <w:r w:rsidRPr="00531FAE">
        <w:t>(2)</w:t>
      </w:r>
      <w:r>
        <w:t xml:space="preserve"> </w:t>
      </w:r>
      <w:r w:rsidRPr="00531FAE">
        <w:t>Evidence</w:t>
      </w:r>
      <w:r>
        <w:t xml:space="preserve"> </w:t>
      </w:r>
      <w:r w:rsidRPr="00531FAE">
        <w:t>údajů</w:t>
      </w:r>
      <w:r>
        <w:t xml:space="preserve"> </w:t>
      </w:r>
      <w:r w:rsidRPr="00531FAE">
        <w:t>o</w:t>
      </w:r>
      <w:r>
        <w:t xml:space="preserve"> </w:t>
      </w:r>
      <w:r w:rsidRPr="00531FAE">
        <w:t>mýtném</w:t>
      </w:r>
      <w:r>
        <w:t xml:space="preserve"> </w:t>
      </w:r>
      <w:r w:rsidRPr="00531FAE">
        <w:t>je</w:t>
      </w:r>
      <w:r>
        <w:t xml:space="preserve"> </w:t>
      </w:r>
      <w:r w:rsidRPr="00531FAE">
        <w:t>informačním</w:t>
      </w:r>
      <w:r>
        <w:t xml:space="preserve"> </w:t>
      </w:r>
      <w:r w:rsidRPr="00531FAE">
        <w:t>systémem</w:t>
      </w:r>
      <w:r>
        <w:t xml:space="preserve"> </w:t>
      </w:r>
      <w:r w:rsidRPr="00531FAE">
        <w:t>veřejné</w:t>
      </w:r>
      <w:r>
        <w:t xml:space="preserve"> </w:t>
      </w:r>
      <w:r w:rsidRPr="00531FAE">
        <w:t>správy</w:t>
      </w:r>
      <w:r>
        <w:t xml:space="preserve"> </w:t>
      </w:r>
      <w:r w:rsidRPr="00531FAE">
        <w:t>podle</w:t>
      </w:r>
      <w:r>
        <w:t xml:space="preserve"> </w:t>
      </w:r>
      <w:r w:rsidRPr="00531FAE">
        <w:t>zvláštního</w:t>
      </w:r>
      <w:r>
        <w:t xml:space="preserve"> zákona</w:t>
      </w:r>
      <w:r>
        <w:rPr>
          <w:rStyle w:val="Znakapoznpodarou"/>
        </w:rPr>
        <w:footnoteReference w:customMarkFollows="1" w:id="230"/>
        <w:t>11m)</w:t>
      </w:r>
      <w:r w:rsidRPr="00531FAE">
        <w:t>,</w:t>
      </w:r>
      <w:r>
        <w:t xml:space="preserve"> </w:t>
      </w:r>
      <w:r w:rsidRPr="00531FAE">
        <w:t>jehož</w:t>
      </w:r>
      <w:r>
        <w:t xml:space="preserve"> </w:t>
      </w:r>
      <w:r w:rsidRPr="00531FAE">
        <w:t>správcem</w:t>
      </w:r>
      <w:r>
        <w:t xml:space="preserve"> </w:t>
      </w:r>
      <w:r w:rsidRPr="00531FAE">
        <w:t>je</w:t>
      </w:r>
      <w:r>
        <w:t xml:space="preserve"> </w:t>
      </w:r>
      <w:r w:rsidRPr="00531FAE">
        <w:t>provozovatel</w:t>
      </w:r>
      <w:r>
        <w:t xml:space="preserve"> </w:t>
      </w:r>
      <w:r w:rsidRPr="00531FAE">
        <w:t>systému</w:t>
      </w:r>
      <w:r>
        <w:t xml:space="preserve"> </w:t>
      </w:r>
      <w:r w:rsidRPr="00531FAE">
        <w:t>elektronického</w:t>
      </w:r>
      <w:r>
        <w:t xml:space="preserve"> </w:t>
      </w:r>
      <w:r w:rsidRPr="00531FAE">
        <w:t>mýtného.</w:t>
      </w:r>
      <w:r>
        <w:t xml:space="preserve"> </w:t>
      </w:r>
      <w:r w:rsidRPr="00531FAE">
        <w:t>Evidence</w:t>
      </w:r>
      <w:r>
        <w:t xml:space="preserve"> </w:t>
      </w:r>
      <w:r w:rsidRPr="00531FAE">
        <w:t>údajů</w:t>
      </w:r>
      <w:r>
        <w:t xml:space="preserve"> </w:t>
      </w:r>
      <w:r w:rsidRPr="00531FAE">
        <w:t>o</w:t>
      </w:r>
      <w:r>
        <w:t xml:space="preserve"> </w:t>
      </w:r>
      <w:r w:rsidRPr="00531FAE">
        <w:t>mýtném</w:t>
      </w:r>
      <w:r>
        <w:t xml:space="preserve"> </w:t>
      </w:r>
      <w:r w:rsidRPr="00531FAE">
        <w:t>obsahuje</w:t>
      </w:r>
      <w:r>
        <w:t xml:space="preserve"> </w:t>
      </w:r>
      <w:r w:rsidRPr="00531FAE">
        <w:t>údaje</w:t>
      </w:r>
      <w:r>
        <w:t xml:space="preserve"> </w:t>
      </w:r>
      <w:r w:rsidRPr="00531FAE">
        <w:t>o</w:t>
      </w:r>
    </w:p>
    <w:p w14:paraId="117037CC" w14:textId="637A9DCF" w:rsidR="008A21AB" w:rsidRDefault="008A21AB" w:rsidP="00B0390E">
      <w:pPr>
        <w:pStyle w:val="Textparagrafu"/>
        <w:tabs>
          <w:tab w:val="left" w:pos="406"/>
          <w:tab w:val="left" w:pos="840"/>
        </w:tabs>
        <w:spacing w:before="0"/>
        <w:ind w:left="426" w:hanging="426"/>
      </w:pPr>
      <w:r w:rsidRPr="00531FAE">
        <w:t>a)</w:t>
      </w:r>
      <w:r w:rsidR="00A05459">
        <w:tab/>
      </w:r>
      <w:r w:rsidRPr="00531FAE">
        <w:t>provozovatelích</w:t>
      </w:r>
      <w:r>
        <w:t xml:space="preserve"> </w:t>
      </w:r>
      <w:r w:rsidRPr="00531FAE">
        <w:t>vozidel</w:t>
      </w:r>
      <w:r>
        <w:t xml:space="preserve"> </w:t>
      </w:r>
      <w:r w:rsidRPr="00531FAE">
        <w:t>v</w:t>
      </w:r>
      <w:r>
        <w:t xml:space="preserve"> </w:t>
      </w:r>
      <w:r w:rsidRPr="00531FAE">
        <w:t>systému</w:t>
      </w:r>
      <w:r>
        <w:t xml:space="preserve"> </w:t>
      </w:r>
      <w:r w:rsidRPr="00531FAE">
        <w:t>elektronického</w:t>
      </w:r>
      <w:r>
        <w:t xml:space="preserve"> </w:t>
      </w:r>
      <w:r w:rsidRPr="00531FAE">
        <w:t>mýtného</w:t>
      </w:r>
      <w:r>
        <w:t xml:space="preserve"> </w:t>
      </w:r>
      <w:r w:rsidRPr="00531FAE">
        <w:t>a</w:t>
      </w:r>
      <w:r>
        <w:t xml:space="preserve"> </w:t>
      </w:r>
      <w:r w:rsidRPr="00531FAE">
        <w:t>jejich</w:t>
      </w:r>
      <w:r>
        <w:t xml:space="preserve"> </w:t>
      </w:r>
      <w:r w:rsidRPr="00531FAE">
        <w:t>vlastnících,</w:t>
      </w:r>
      <w:r>
        <w:t xml:space="preserve"> </w:t>
      </w:r>
      <w:r w:rsidRPr="00531FAE">
        <w:t>není-li</w:t>
      </w:r>
      <w:r>
        <w:t xml:space="preserve"> </w:t>
      </w:r>
      <w:r w:rsidRPr="00531FAE">
        <w:t>vlastník</w:t>
      </w:r>
      <w:r>
        <w:t xml:space="preserve"> </w:t>
      </w:r>
      <w:r w:rsidRPr="00531FAE">
        <w:t>provozovatelem,</w:t>
      </w:r>
      <w:r>
        <w:t xml:space="preserve"> </w:t>
      </w:r>
      <w:r w:rsidRPr="00531FAE">
        <w:t>a</w:t>
      </w:r>
      <w:r>
        <w:t xml:space="preserve"> </w:t>
      </w:r>
      <w:r w:rsidRPr="00531FAE">
        <w:t>o</w:t>
      </w:r>
      <w:r>
        <w:t xml:space="preserve"> </w:t>
      </w:r>
      <w:r w:rsidRPr="00531FAE">
        <w:t>poskytovatelích</w:t>
      </w:r>
      <w:r>
        <w:t xml:space="preserve"> </w:t>
      </w:r>
      <w:r w:rsidRPr="00531FAE">
        <w:t>evropského</w:t>
      </w:r>
      <w:r>
        <w:t xml:space="preserve"> </w:t>
      </w:r>
      <w:r w:rsidRPr="00531FAE">
        <w:t>mýtného,</w:t>
      </w:r>
    </w:p>
    <w:p w14:paraId="19194A8E" w14:textId="36AE865A" w:rsidR="008A21AB" w:rsidRDefault="008A21AB" w:rsidP="00B0390E">
      <w:pPr>
        <w:pStyle w:val="Textparagrafu"/>
        <w:tabs>
          <w:tab w:val="left" w:pos="406"/>
          <w:tab w:val="left" w:pos="840"/>
        </w:tabs>
        <w:spacing w:before="0"/>
        <w:ind w:left="426" w:hanging="426"/>
      </w:pPr>
      <w:r w:rsidRPr="00531FAE">
        <w:t>b)</w:t>
      </w:r>
      <w:r w:rsidR="00A05459">
        <w:tab/>
      </w:r>
      <w:r w:rsidRPr="00531FAE">
        <w:t>vozidlech,</w:t>
      </w:r>
      <w:r>
        <w:t xml:space="preserve"> </w:t>
      </w:r>
      <w:r w:rsidRPr="00531FAE">
        <w:t>která</w:t>
      </w:r>
      <w:r>
        <w:t xml:space="preserve"> </w:t>
      </w:r>
      <w:r w:rsidRPr="00531FAE">
        <w:t>byla</w:t>
      </w:r>
      <w:r>
        <w:t xml:space="preserve"> </w:t>
      </w:r>
      <w:r w:rsidRPr="00531FAE">
        <w:t>zaevidována</w:t>
      </w:r>
      <w:r>
        <w:t xml:space="preserve"> </w:t>
      </w:r>
      <w:r w:rsidRPr="00531FAE">
        <w:t>do</w:t>
      </w:r>
      <w:r>
        <w:t xml:space="preserve"> </w:t>
      </w:r>
      <w:r w:rsidRPr="00531FAE">
        <w:t>systému</w:t>
      </w:r>
      <w:r>
        <w:t xml:space="preserve"> </w:t>
      </w:r>
      <w:r w:rsidRPr="00531FAE">
        <w:t>elektronického</w:t>
      </w:r>
      <w:r>
        <w:t xml:space="preserve"> </w:t>
      </w:r>
      <w:r w:rsidRPr="00531FAE">
        <w:t>mýtného,</w:t>
      </w:r>
    </w:p>
    <w:p w14:paraId="7A4DF1F7" w14:textId="79F7D9F1" w:rsidR="008A21AB" w:rsidRDefault="008A21AB" w:rsidP="00B0390E">
      <w:pPr>
        <w:pStyle w:val="Textparagrafu"/>
        <w:tabs>
          <w:tab w:val="left" w:pos="406"/>
          <w:tab w:val="left" w:pos="840"/>
        </w:tabs>
        <w:spacing w:before="0"/>
        <w:ind w:left="426" w:hanging="426"/>
      </w:pPr>
      <w:r w:rsidRPr="00531FAE">
        <w:t>c)</w:t>
      </w:r>
      <w:r w:rsidR="00A05459">
        <w:tab/>
      </w:r>
      <w:r w:rsidRPr="00531FAE">
        <w:t>čase</w:t>
      </w:r>
      <w:r>
        <w:t xml:space="preserve"> </w:t>
      </w:r>
      <w:r w:rsidRPr="00531FAE">
        <w:t>a</w:t>
      </w:r>
      <w:r>
        <w:t xml:space="preserve"> </w:t>
      </w:r>
      <w:r w:rsidRPr="00531FAE">
        <w:t>místě</w:t>
      </w:r>
      <w:r>
        <w:t xml:space="preserve"> </w:t>
      </w:r>
      <w:r w:rsidRPr="00531FAE">
        <w:t>průjezdu</w:t>
      </w:r>
      <w:r>
        <w:t xml:space="preserve"> </w:t>
      </w:r>
      <w:r w:rsidRPr="00531FAE">
        <w:t>vozidel</w:t>
      </w:r>
      <w:r>
        <w:t xml:space="preserve"> </w:t>
      </w:r>
      <w:r w:rsidRPr="00531FAE">
        <w:t>v</w:t>
      </w:r>
      <w:r>
        <w:t xml:space="preserve"> </w:t>
      </w:r>
      <w:r w:rsidRPr="00531FAE">
        <w:t>systému</w:t>
      </w:r>
      <w:r>
        <w:t xml:space="preserve"> </w:t>
      </w:r>
      <w:r w:rsidRPr="00531FAE">
        <w:t>elektronického</w:t>
      </w:r>
      <w:r>
        <w:t xml:space="preserve"> </w:t>
      </w:r>
      <w:r w:rsidRPr="00531FAE">
        <w:t>mýtného,</w:t>
      </w:r>
    </w:p>
    <w:p w14:paraId="1B487C68" w14:textId="40E3B8D0" w:rsidR="008A21AB" w:rsidRDefault="008A21AB" w:rsidP="00B0390E">
      <w:pPr>
        <w:pStyle w:val="Textparagrafu"/>
        <w:tabs>
          <w:tab w:val="left" w:pos="406"/>
          <w:tab w:val="left" w:pos="840"/>
        </w:tabs>
        <w:spacing w:before="0"/>
        <w:ind w:left="426" w:hanging="426"/>
      </w:pPr>
      <w:r w:rsidRPr="00531FAE">
        <w:lastRenderedPageBreak/>
        <w:t>d)</w:t>
      </w:r>
      <w:r w:rsidR="00A05459">
        <w:tab/>
      </w:r>
      <w:r w:rsidRPr="00531FAE">
        <w:t>používaných</w:t>
      </w:r>
      <w:r>
        <w:t xml:space="preserve"> </w:t>
      </w:r>
      <w:r w:rsidRPr="00531FAE">
        <w:t>elektronických</w:t>
      </w:r>
      <w:r>
        <w:t xml:space="preserve"> </w:t>
      </w:r>
      <w:r w:rsidRPr="00531FAE">
        <w:t>zařízeních,</w:t>
      </w:r>
      <w:r>
        <w:t xml:space="preserve"> </w:t>
      </w:r>
      <w:r w:rsidRPr="00531FAE">
        <w:t>která</w:t>
      </w:r>
      <w:r>
        <w:t xml:space="preserve"> </w:t>
      </w:r>
      <w:r w:rsidRPr="00531FAE">
        <w:t>byla</w:t>
      </w:r>
      <w:r>
        <w:t xml:space="preserve"> </w:t>
      </w:r>
      <w:r w:rsidRPr="00531FAE">
        <w:t>zaevidována</w:t>
      </w:r>
      <w:r>
        <w:t xml:space="preserve"> </w:t>
      </w:r>
      <w:r w:rsidRPr="00531FAE">
        <w:t>do</w:t>
      </w:r>
      <w:r>
        <w:t xml:space="preserve"> </w:t>
      </w:r>
      <w:r w:rsidRPr="00531FAE">
        <w:t>systému</w:t>
      </w:r>
      <w:r>
        <w:t xml:space="preserve"> </w:t>
      </w:r>
      <w:r w:rsidRPr="00531FAE">
        <w:t>elektronického</w:t>
      </w:r>
      <w:r>
        <w:t xml:space="preserve"> </w:t>
      </w:r>
      <w:r w:rsidRPr="00531FAE">
        <w:t>mýtného,</w:t>
      </w:r>
    </w:p>
    <w:p w14:paraId="46D95602" w14:textId="6D699C82" w:rsidR="008A21AB" w:rsidRDefault="008A21AB" w:rsidP="00B0390E">
      <w:pPr>
        <w:pStyle w:val="Textparagrafu"/>
        <w:tabs>
          <w:tab w:val="left" w:pos="406"/>
          <w:tab w:val="left" w:pos="840"/>
        </w:tabs>
        <w:spacing w:before="0"/>
        <w:ind w:left="426" w:hanging="426"/>
      </w:pPr>
      <w:r w:rsidRPr="00531FAE">
        <w:t>e)</w:t>
      </w:r>
      <w:r w:rsidR="00A05459">
        <w:tab/>
      </w:r>
      <w:r w:rsidRPr="00531FAE">
        <w:t>vozidlech,</w:t>
      </w:r>
      <w:r>
        <w:t xml:space="preserve"> </w:t>
      </w:r>
      <w:r w:rsidRPr="00531FAE">
        <w:t>za</w:t>
      </w:r>
      <w:r>
        <w:t xml:space="preserve"> </w:t>
      </w:r>
      <w:r w:rsidRPr="00531FAE">
        <w:t>která</w:t>
      </w:r>
      <w:r>
        <w:t xml:space="preserve"> </w:t>
      </w:r>
      <w:r w:rsidRPr="00531FAE">
        <w:t>nebyla</w:t>
      </w:r>
      <w:r>
        <w:t xml:space="preserve"> </w:t>
      </w:r>
      <w:r w:rsidRPr="00531FAE">
        <w:t>splněna</w:t>
      </w:r>
      <w:r>
        <w:t xml:space="preserve"> </w:t>
      </w:r>
      <w:r w:rsidRPr="00531FAE">
        <w:t>povinnost</w:t>
      </w:r>
      <w:r>
        <w:t xml:space="preserve"> </w:t>
      </w:r>
      <w:r w:rsidRPr="00531FAE">
        <w:t>uhradit</w:t>
      </w:r>
      <w:r>
        <w:t xml:space="preserve"> </w:t>
      </w:r>
      <w:r w:rsidRPr="00531FAE">
        <w:t>mýtné,</w:t>
      </w:r>
      <w:r>
        <w:t xml:space="preserve"> </w:t>
      </w:r>
      <w:r w:rsidRPr="00531FAE">
        <w:t>a</w:t>
      </w:r>
      <w:r>
        <w:t xml:space="preserve"> </w:t>
      </w:r>
      <w:r w:rsidRPr="00531FAE">
        <w:t>o</w:t>
      </w:r>
      <w:r>
        <w:t xml:space="preserve"> </w:t>
      </w:r>
      <w:r w:rsidRPr="00531FAE">
        <w:t>jimi</w:t>
      </w:r>
      <w:r>
        <w:t xml:space="preserve"> </w:t>
      </w:r>
      <w:r w:rsidRPr="00531FAE">
        <w:t>ujetých</w:t>
      </w:r>
      <w:r>
        <w:t xml:space="preserve"> </w:t>
      </w:r>
      <w:r w:rsidRPr="00531FAE">
        <w:t>kilometrech,</w:t>
      </w:r>
    </w:p>
    <w:p w14:paraId="1AC5555C" w14:textId="7698C3B3" w:rsidR="008A21AB" w:rsidRDefault="008A21AB" w:rsidP="00B0390E">
      <w:pPr>
        <w:pStyle w:val="Textparagrafu"/>
        <w:tabs>
          <w:tab w:val="left" w:pos="406"/>
          <w:tab w:val="left" w:pos="840"/>
        </w:tabs>
        <w:spacing w:before="0"/>
        <w:ind w:left="426" w:hanging="426"/>
      </w:pPr>
      <w:r w:rsidRPr="00531FAE">
        <w:t>f)</w:t>
      </w:r>
      <w:r w:rsidR="00A05459">
        <w:tab/>
      </w:r>
      <w:r w:rsidRPr="00531FAE">
        <w:t>dalších</w:t>
      </w:r>
      <w:r>
        <w:t xml:space="preserve"> </w:t>
      </w:r>
      <w:r w:rsidRPr="00531FAE">
        <w:t>skutečnostech,</w:t>
      </w:r>
      <w:r>
        <w:t xml:space="preserve"> </w:t>
      </w:r>
      <w:r w:rsidRPr="00531FAE">
        <w:t>které</w:t>
      </w:r>
      <w:r>
        <w:t xml:space="preserve"> </w:t>
      </w:r>
      <w:r w:rsidRPr="00531FAE">
        <w:t>jsou</w:t>
      </w:r>
      <w:r>
        <w:t xml:space="preserve"> </w:t>
      </w:r>
      <w:r w:rsidRPr="00531FAE">
        <w:t>nezbytné</w:t>
      </w:r>
      <w:r>
        <w:t xml:space="preserve"> </w:t>
      </w:r>
      <w:r w:rsidRPr="00531FAE">
        <w:t>pro</w:t>
      </w:r>
      <w:r>
        <w:t xml:space="preserve"> </w:t>
      </w:r>
      <w:r w:rsidRPr="00531FAE">
        <w:t>provozování</w:t>
      </w:r>
      <w:r>
        <w:t xml:space="preserve"> </w:t>
      </w:r>
      <w:r w:rsidRPr="00531FAE">
        <w:t>systému</w:t>
      </w:r>
      <w:r>
        <w:t xml:space="preserve"> </w:t>
      </w:r>
      <w:r w:rsidRPr="00531FAE">
        <w:t>elektronického</w:t>
      </w:r>
      <w:r>
        <w:t xml:space="preserve"> </w:t>
      </w:r>
      <w:r w:rsidRPr="00531FAE">
        <w:t>mýtného,</w:t>
      </w:r>
      <w:r>
        <w:t xml:space="preserve"> </w:t>
      </w:r>
      <w:r w:rsidRPr="00531FAE">
        <w:t>stanovených</w:t>
      </w:r>
      <w:r>
        <w:t xml:space="preserve"> </w:t>
      </w:r>
      <w:r w:rsidRPr="00531FAE">
        <w:t>prováděcím</w:t>
      </w:r>
      <w:r>
        <w:t xml:space="preserve"> </w:t>
      </w:r>
      <w:r w:rsidRPr="00531FAE">
        <w:t>právním</w:t>
      </w:r>
      <w:r>
        <w:t xml:space="preserve"> </w:t>
      </w:r>
      <w:r w:rsidRPr="00531FAE">
        <w:t>předpisem.</w:t>
      </w:r>
    </w:p>
    <w:p w14:paraId="1F685A9A" w14:textId="77777777" w:rsidR="008A21AB" w:rsidRDefault="008A21AB" w:rsidP="00A62336">
      <w:pPr>
        <w:pStyle w:val="Textparagrafu"/>
        <w:tabs>
          <w:tab w:val="left" w:pos="406"/>
          <w:tab w:val="left" w:pos="840"/>
        </w:tabs>
        <w:spacing w:before="120" w:after="120"/>
      </w:pPr>
      <w:r w:rsidRPr="00531FAE">
        <w:t>(3)</w:t>
      </w:r>
      <w:r>
        <w:t xml:space="preserve"> </w:t>
      </w:r>
      <w:r w:rsidRPr="00531FAE">
        <w:t>Provozovatel</w:t>
      </w:r>
      <w:r>
        <w:t xml:space="preserve"> </w:t>
      </w:r>
      <w:r w:rsidRPr="00531FAE">
        <w:t>systému</w:t>
      </w:r>
      <w:r>
        <w:t xml:space="preserve"> </w:t>
      </w:r>
      <w:r w:rsidRPr="00531FAE">
        <w:t>elektronického</w:t>
      </w:r>
      <w:r>
        <w:t xml:space="preserve"> </w:t>
      </w:r>
      <w:r w:rsidRPr="00531FAE">
        <w:t>mýtného</w:t>
      </w:r>
      <w:r>
        <w:t xml:space="preserve"> </w:t>
      </w:r>
      <w:r w:rsidRPr="00531FAE">
        <w:t>v</w:t>
      </w:r>
      <w:r>
        <w:t xml:space="preserve"> </w:t>
      </w:r>
      <w:r w:rsidRPr="00531FAE">
        <w:t>evidenci</w:t>
      </w:r>
      <w:r>
        <w:t xml:space="preserve"> </w:t>
      </w:r>
      <w:r w:rsidRPr="00531FAE">
        <w:t>údajů</w:t>
      </w:r>
      <w:r>
        <w:t xml:space="preserve"> </w:t>
      </w:r>
      <w:r w:rsidRPr="00531FAE">
        <w:t>o</w:t>
      </w:r>
      <w:r>
        <w:t xml:space="preserve"> </w:t>
      </w:r>
      <w:r w:rsidRPr="00531FAE">
        <w:t>mýtném</w:t>
      </w:r>
      <w:r>
        <w:t xml:space="preserve"> </w:t>
      </w:r>
      <w:r w:rsidRPr="00531FAE">
        <w:t>zpracovává</w:t>
      </w:r>
      <w:r>
        <w:t xml:space="preserve"> </w:t>
      </w:r>
      <w:r w:rsidRPr="00531FAE">
        <w:t>údaje</w:t>
      </w:r>
      <w:r>
        <w:t xml:space="preserve"> </w:t>
      </w:r>
      <w:r w:rsidRPr="00531FAE">
        <w:t>způsobem</w:t>
      </w:r>
      <w:r>
        <w:t xml:space="preserve"> </w:t>
      </w:r>
      <w:r w:rsidRPr="00531FAE">
        <w:t>stanoveným</w:t>
      </w:r>
      <w:r>
        <w:t xml:space="preserve"> </w:t>
      </w:r>
      <w:r w:rsidRPr="00531FAE">
        <w:t>zvláštním</w:t>
      </w:r>
      <w:r>
        <w:t xml:space="preserve"> </w:t>
      </w:r>
      <w:r w:rsidRPr="00531FAE">
        <w:t>zákonem</w:t>
      </w:r>
      <w:r w:rsidRPr="00A05459">
        <w:rPr>
          <w:vertAlign w:val="superscript"/>
        </w:rPr>
        <w:t>11m)</w:t>
      </w:r>
      <w:r w:rsidRPr="00531FAE">
        <w:t>.</w:t>
      </w:r>
      <w:r>
        <w:t xml:space="preserve"> </w:t>
      </w:r>
      <w:r w:rsidRPr="00531FAE">
        <w:t>Provozovatel</w:t>
      </w:r>
      <w:r>
        <w:t xml:space="preserve"> </w:t>
      </w:r>
      <w:r w:rsidRPr="00531FAE">
        <w:t>systému</w:t>
      </w:r>
      <w:r>
        <w:t xml:space="preserve"> </w:t>
      </w:r>
      <w:r w:rsidRPr="00531FAE">
        <w:t>elektronického</w:t>
      </w:r>
      <w:r>
        <w:t xml:space="preserve"> </w:t>
      </w:r>
      <w:r w:rsidRPr="00531FAE">
        <w:t>mýtného</w:t>
      </w:r>
      <w:r>
        <w:t xml:space="preserve"> </w:t>
      </w:r>
      <w:r w:rsidRPr="00531FAE">
        <w:t>zajistí</w:t>
      </w:r>
      <w:r>
        <w:t xml:space="preserve"> </w:t>
      </w:r>
      <w:r w:rsidRPr="00531FAE">
        <w:t>dálkový</w:t>
      </w:r>
      <w:r>
        <w:t xml:space="preserve"> </w:t>
      </w:r>
      <w:r w:rsidRPr="00531FAE">
        <w:t>a</w:t>
      </w:r>
      <w:r>
        <w:t xml:space="preserve"> </w:t>
      </w:r>
      <w:r w:rsidRPr="00531FAE">
        <w:t>nepřetržitý</w:t>
      </w:r>
      <w:r>
        <w:t xml:space="preserve"> </w:t>
      </w:r>
      <w:r w:rsidRPr="00531FAE">
        <w:t>přístup</w:t>
      </w:r>
      <w:r>
        <w:t xml:space="preserve"> </w:t>
      </w:r>
      <w:r w:rsidRPr="00531FAE">
        <w:t>k</w:t>
      </w:r>
      <w:r>
        <w:t xml:space="preserve"> </w:t>
      </w:r>
      <w:r w:rsidRPr="00531FAE">
        <w:t>údajům</w:t>
      </w:r>
      <w:r>
        <w:t xml:space="preserve"> </w:t>
      </w:r>
      <w:r w:rsidRPr="00531FAE">
        <w:t>podle</w:t>
      </w:r>
      <w:r>
        <w:t xml:space="preserve"> </w:t>
      </w:r>
      <w:r w:rsidRPr="00531FAE">
        <w:t>odstavce</w:t>
      </w:r>
      <w:r>
        <w:t xml:space="preserve"> </w:t>
      </w:r>
      <w:r w:rsidRPr="00531FAE">
        <w:t>2</w:t>
      </w:r>
      <w:r>
        <w:t xml:space="preserve"> </w:t>
      </w:r>
      <w:r w:rsidRPr="00531FAE">
        <w:t>písm.</w:t>
      </w:r>
      <w:r>
        <w:t xml:space="preserve"> </w:t>
      </w:r>
      <w:r w:rsidRPr="00531FAE">
        <w:t>a)</w:t>
      </w:r>
      <w:r>
        <w:t xml:space="preserve"> </w:t>
      </w:r>
      <w:r w:rsidRPr="00531FAE">
        <w:t>a</w:t>
      </w:r>
      <w:r>
        <w:t xml:space="preserve"> </w:t>
      </w:r>
      <w:r w:rsidRPr="00531FAE">
        <w:t>b)</w:t>
      </w:r>
      <w:r>
        <w:t xml:space="preserve"> </w:t>
      </w:r>
      <w:r w:rsidRPr="00531FAE">
        <w:t>z</w:t>
      </w:r>
      <w:r>
        <w:t xml:space="preserve"> </w:t>
      </w:r>
      <w:r w:rsidRPr="00531FAE">
        <w:t>evidence</w:t>
      </w:r>
      <w:r>
        <w:t xml:space="preserve"> </w:t>
      </w:r>
      <w:r w:rsidRPr="00531FAE">
        <w:t>údajů</w:t>
      </w:r>
      <w:r>
        <w:t xml:space="preserve"> </w:t>
      </w:r>
      <w:r w:rsidRPr="00531FAE">
        <w:t>o</w:t>
      </w:r>
      <w:r>
        <w:t xml:space="preserve"> </w:t>
      </w:r>
      <w:r w:rsidRPr="00531FAE">
        <w:t>mýtném</w:t>
      </w:r>
      <w:r>
        <w:t xml:space="preserve"> </w:t>
      </w:r>
      <w:r w:rsidRPr="00531FAE">
        <w:t>silničním</w:t>
      </w:r>
      <w:r>
        <w:t xml:space="preserve"> </w:t>
      </w:r>
      <w:r w:rsidRPr="00531FAE">
        <w:t>správním</w:t>
      </w:r>
      <w:r>
        <w:t xml:space="preserve"> </w:t>
      </w:r>
      <w:r w:rsidRPr="00531FAE">
        <w:t>úřadům,</w:t>
      </w:r>
      <w:r>
        <w:t xml:space="preserve"> </w:t>
      </w:r>
      <w:r w:rsidRPr="00531FAE">
        <w:t>Policii</w:t>
      </w:r>
      <w:r>
        <w:t xml:space="preserve"> </w:t>
      </w:r>
      <w:r w:rsidRPr="00531FAE">
        <w:t>České</w:t>
      </w:r>
      <w:r>
        <w:t xml:space="preserve"> </w:t>
      </w:r>
      <w:r w:rsidRPr="00531FAE">
        <w:t>republiky,</w:t>
      </w:r>
      <w:r>
        <w:t xml:space="preserve"> </w:t>
      </w:r>
      <w:r w:rsidRPr="00531FAE">
        <w:t>Bezpečnostní</w:t>
      </w:r>
      <w:r>
        <w:t xml:space="preserve"> </w:t>
      </w:r>
      <w:r w:rsidRPr="00531FAE">
        <w:t>informační</w:t>
      </w:r>
      <w:r>
        <w:t xml:space="preserve"> </w:t>
      </w:r>
      <w:r w:rsidRPr="00531FAE">
        <w:t>službě</w:t>
      </w:r>
      <w:r>
        <w:t xml:space="preserve"> </w:t>
      </w:r>
      <w:r w:rsidRPr="00531FAE">
        <w:t>a</w:t>
      </w:r>
      <w:r>
        <w:t xml:space="preserve"> </w:t>
      </w:r>
      <w:r w:rsidRPr="00531FAE">
        <w:t>Celní</w:t>
      </w:r>
      <w:r>
        <w:t xml:space="preserve"> </w:t>
      </w:r>
      <w:r w:rsidRPr="00531FAE">
        <w:t>správě</w:t>
      </w:r>
      <w:r>
        <w:t xml:space="preserve"> </w:t>
      </w:r>
      <w:r w:rsidRPr="00531FAE">
        <w:t>České</w:t>
      </w:r>
      <w:r>
        <w:t xml:space="preserve"> </w:t>
      </w:r>
      <w:r w:rsidRPr="00531FAE">
        <w:t>republiky</w:t>
      </w:r>
      <w:r>
        <w:t xml:space="preserve"> </w:t>
      </w:r>
      <w:r w:rsidRPr="00531FAE">
        <w:t>v</w:t>
      </w:r>
      <w:r>
        <w:t xml:space="preserve"> </w:t>
      </w:r>
      <w:r w:rsidRPr="00531FAE">
        <w:t>rozsahu</w:t>
      </w:r>
      <w:r>
        <w:t xml:space="preserve"> </w:t>
      </w:r>
      <w:r w:rsidRPr="00531FAE">
        <w:t>nezbytném</w:t>
      </w:r>
      <w:r>
        <w:t xml:space="preserve"> </w:t>
      </w:r>
      <w:r w:rsidRPr="00531FAE">
        <w:t>pro</w:t>
      </w:r>
      <w:r>
        <w:t xml:space="preserve"> </w:t>
      </w:r>
      <w:r w:rsidRPr="00531FAE">
        <w:t>výkon</w:t>
      </w:r>
      <w:r>
        <w:t xml:space="preserve"> </w:t>
      </w:r>
      <w:r w:rsidRPr="00531FAE">
        <w:t>jejich</w:t>
      </w:r>
      <w:r>
        <w:t xml:space="preserve"> </w:t>
      </w:r>
      <w:r w:rsidRPr="00531FAE">
        <w:t>působnosti.</w:t>
      </w:r>
      <w:r>
        <w:t xml:space="preserve"> </w:t>
      </w:r>
      <w:r w:rsidRPr="00531FAE">
        <w:t>Provozovatel</w:t>
      </w:r>
      <w:r>
        <w:t xml:space="preserve"> </w:t>
      </w:r>
      <w:r w:rsidRPr="00531FAE">
        <w:t>systému</w:t>
      </w:r>
      <w:r>
        <w:t xml:space="preserve"> </w:t>
      </w:r>
      <w:r w:rsidRPr="00531FAE">
        <w:t>elektronického</w:t>
      </w:r>
      <w:r>
        <w:t xml:space="preserve"> </w:t>
      </w:r>
      <w:r w:rsidRPr="00531FAE">
        <w:t>mýtného</w:t>
      </w:r>
      <w:r>
        <w:t xml:space="preserve"> </w:t>
      </w:r>
      <w:r w:rsidRPr="00531FAE">
        <w:t>poskytuje</w:t>
      </w:r>
      <w:r>
        <w:t xml:space="preserve"> </w:t>
      </w:r>
      <w:r w:rsidRPr="00531FAE">
        <w:t>údaje</w:t>
      </w:r>
      <w:r>
        <w:t xml:space="preserve"> </w:t>
      </w:r>
      <w:r w:rsidRPr="00531FAE">
        <w:t>podle</w:t>
      </w:r>
      <w:r>
        <w:t xml:space="preserve"> </w:t>
      </w:r>
      <w:r w:rsidRPr="00531FAE">
        <w:t>odstavce</w:t>
      </w:r>
      <w:r>
        <w:t xml:space="preserve"> </w:t>
      </w:r>
      <w:r w:rsidRPr="00531FAE">
        <w:t>2</w:t>
      </w:r>
      <w:r>
        <w:t xml:space="preserve"> </w:t>
      </w:r>
      <w:r w:rsidRPr="00531FAE">
        <w:t>písm.</w:t>
      </w:r>
      <w:r>
        <w:t xml:space="preserve"> </w:t>
      </w:r>
      <w:r w:rsidRPr="00531FAE">
        <w:t>c)</w:t>
      </w:r>
      <w:r>
        <w:t xml:space="preserve"> </w:t>
      </w:r>
      <w:r w:rsidRPr="00531FAE">
        <w:t>až</w:t>
      </w:r>
      <w:r>
        <w:t xml:space="preserve"> </w:t>
      </w:r>
      <w:r w:rsidRPr="00531FAE">
        <w:t>f)</w:t>
      </w:r>
      <w:r>
        <w:t xml:space="preserve"> </w:t>
      </w:r>
      <w:r w:rsidRPr="00531FAE">
        <w:t>z</w:t>
      </w:r>
      <w:r>
        <w:t xml:space="preserve"> </w:t>
      </w:r>
      <w:r w:rsidRPr="00531FAE">
        <w:t>evidence</w:t>
      </w:r>
      <w:r>
        <w:t xml:space="preserve"> </w:t>
      </w:r>
      <w:r w:rsidRPr="00531FAE">
        <w:t>údajů</w:t>
      </w:r>
      <w:r>
        <w:t xml:space="preserve"> </w:t>
      </w:r>
      <w:r w:rsidRPr="00531FAE">
        <w:t>o</w:t>
      </w:r>
      <w:r>
        <w:t xml:space="preserve"> </w:t>
      </w:r>
      <w:r w:rsidRPr="00531FAE">
        <w:t>mýtném</w:t>
      </w:r>
      <w:r>
        <w:t xml:space="preserve"> </w:t>
      </w:r>
      <w:r w:rsidRPr="00531FAE">
        <w:t>na</w:t>
      </w:r>
      <w:r>
        <w:t xml:space="preserve"> </w:t>
      </w:r>
      <w:r w:rsidRPr="00531FAE">
        <w:t>základě</w:t>
      </w:r>
      <w:r>
        <w:t xml:space="preserve"> </w:t>
      </w:r>
      <w:r w:rsidRPr="00531FAE">
        <w:t>písemné</w:t>
      </w:r>
      <w:r>
        <w:t xml:space="preserve"> </w:t>
      </w:r>
      <w:r w:rsidRPr="00531FAE">
        <w:t>žádosti</w:t>
      </w:r>
      <w:r>
        <w:t xml:space="preserve"> </w:t>
      </w:r>
      <w:r w:rsidRPr="00531FAE">
        <w:t>správcům</w:t>
      </w:r>
      <w:r>
        <w:t xml:space="preserve"> </w:t>
      </w:r>
      <w:r w:rsidRPr="00531FAE">
        <w:t>pozemních</w:t>
      </w:r>
      <w:r>
        <w:t xml:space="preserve"> </w:t>
      </w:r>
      <w:r w:rsidRPr="00531FAE">
        <w:t>komunikací,</w:t>
      </w:r>
      <w:r>
        <w:t xml:space="preserve"> </w:t>
      </w:r>
      <w:r w:rsidRPr="00531FAE">
        <w:t>silničním</w:t>
      </w:r>
      <w:r>
        <w:t xml:space="preserve"> </w:t>
      </w:r>
      <w:r w:rsidRPr="00531FAE">
        <w:t>správním</w:t>
      </w:r>
      <w:r>
        <w:t xml:space="preserve"> </w:t>
      </w:r>
      <w:r w:rsidRPr="00531FAE">
        <w:t>úřadům,</w:t>
      </w:r>
      <w:r>
        <w:t xml:space="preserve"> </w:t>
      </w:r>
      <w:r w:rsidRPr="00531FAE">
        <w:t>Policii</w:t>
      </w:r>
      <w:r>
        <w:t xml:space="preserve"> </w:t>
      </w:r>
      <w:r w:rsidRPr="00531FAE">
        <w:t>České</w:t>
      </w:r>
      <w:r>
        <w:t xml:space="preserve"> </w:t>
      </w:r>
      <w:r w:rsidRPr="00531FAE">
        <w:t>republiky,</w:t>
      </w:r>
      <w:r>
        <w:t xml:space="preserve"> </w:t>
      </w:r>
      <w:r w:rsidRPr="00531FAE">
        <w:t>Bezpečnostní</w:t>
      </w:r>
      <w:r>
        <w:t xml:space="preserve"> </w:t>
      </w:r>
      <w:r w:rsidRPr="00531FAE">
        <w:t>informační</w:t>
      </w:r>
      <w:r>
        <w:t xml:space="preserve"> </w:t>
      </w:r>
      <w:r w:rsidRPr="00531FAE">
        <w:t>službě,</w:t>
      </w:r>
      <w:r>
        <w:t xml:space="preserve"> </w:t>
      </w:r>
      <w:r w:rsidRPr="00531FAE">
        <w:t>Celní</w:t>
      </w:r>
      <w:r>
        <w:t xml:space="preserve"> </w:t>
      </w:r>
      <w:r w:rsidRPr="00531FAE">
        <w:t>správě</w:t>
      </w:r>
      <w:r>
        <w:t xml:space="preserve"> </w:t>
      </w:r>
      <w:r w:rsidRPr="00531FAE">
        <w:t>České</w:t>
      </w:r>
      <w:r>
        <w:t xml:space="preserve"> </w:t>
      </w:r>
      <w:r w:rsidRPr="00531FAE">
        <w:t>republiky</w:t>
      </w:r>
      <w:r>
        <w:t xml:space="preserve"> </w:t>
      </w:r>
      <w:r w:rsidRPr="00531FAE">
        <w:t>v</w:t>
      </w:r>
      <w:r>
        <w:t xml:space="preserve"> </w:t>
      </w:r>
      <w:r w:rsidRPr="00531FAE">
        <w:t>rozsahu</w:t>
      </w:r>
      <w:r>
        <w:t xml:space="preserve"> </w:t>
      </w:r>
      <w:r w:rsidRPr="00531FAE">
        <w:t>nezbytném</w:t>
      </w:r>
      <w:r>
        <w:t xml:space="preserve"> </w:t>
      </w:r>
      <w:r w:rsidRPr="00531FAE">
        <w:t>pro</w:t>
      </w:r>
      <w:r>
        <w:t xml:space="preserve"> </w:t>
      </w:r>
      <w:r w:rsidRPr="00531FAE">
        <w:t>výkon</w:t>
      </w:r>
      <w:r>
        <w:t xml:space="preserve"> </w:t>
      </w:r>
      <w:r w:rsidRPr="00531FAE">
        <w:t>jejich</w:t>
      </w:r>
      <w:r>
        <w:t xml:space="preserve"> </w:t>
      </w:r>
      <w:r w:rsidRPr="00531FAE">
        <w:t>působnosti.</w:t>
      </w:r>
      <w:r>
        <w:t xml:space="preserve"> </w:t>
      </w:r>
      <w:r w:rsidRPr="00531FAE">
        <w:t>Provozovatel</w:t>
      </w:r>
      <w:r>
        <w:t xml:space="preserve"> </w:t>
      </w:r>
      <w:r w:rsidRPr="00531FAE">
        <w:t>systému</w:t>
      </w:r>
      <w:r>
        <w:t xml:space="preserve"> </w:t>
      </w:r>
      <w:r w:rsidRPr="00531FAE">
        <w:t>elektronického</w:t>
      </w:r>
      <w:r>
        <w:t xml:space="preserve"> </w:t>
      </w:r>
      <w:r w:rsidRPr="00531FAE">
        <w:t>mýtného</w:t>
      </w:r>
      <w:r>
        <w:t xml:space="preserve"> </w:t>
      </w:r>
      <w:r w:rsidRPr="00531FAE">
        <w:t>poskytuje</w:t>
      </w:r>
      <w:r>
        <w:t xml:space="preserve"> </w:t>
      </w:r>
      <w:r w:rsidRPr="00531FAE">
        <w:t>pro</w:t>
      </w:r>
      <w:r>
        <w:t xml:space="preserve"> </w:t>
      </w:r>
      <w:r w:rsidRPr="00531FAE">
        <w:t>účely</w:t>
      </w:r>
      <w:r>
        <w:t xml:space="preserve"> </w:t>
      </w:r>
      <w:r w:rsidRPr="00531FAE">
        <w:t>sledování</w:t>
      </w:r>
      <w:r>
        <w:t xml:space="preserve"> </w:t>
      </w:r>
      <w:r w:rsidRPr="00531FAE">
        <w:t>a</w:t>
      </w:r>
      <w:r>
        <w:t xml:space="preserve"> </w:t>
      </w:r>
      <w:r w:rsidRPr="00531FAE">
        <w:t>kontroly,</w:t>
      </w:r>
      <w:r>
        <w:t xml:space="preserve"> </w:t>
      </w:r>
      <w:r w:rsidRPr="00531FAE">
        <w:t>zda</w:t>
      </w:r>
      <w:r>
        <w:t xml:space="preserve"> </w:t>
      </w:r>
      <w:r w:rsidRPr="00531FAE">
        <w:t>jsou</w:t>
      </w:r>
      <w:r>
        <w:t xml:space="preserve"> </w:t>
      </w:r>
      <w:r w:rsidRPr="00531FAE">
        <w:t>zpoplatněné</w:t>
      </w:r>
      <w:r>
        <w:t xml:space="preserve"> </w:t>
      </w:r>
      <w:r w:rsidRPr="00531FAE">
        <w:t>pozemní</w:t>
      </w:r>
      <w:r>
        <w:t xml:space="preserve"> </w:t>
      </w:r>
      <w:r w:rsidRPr="00531FAE">
        <w:t>komunikace</w:t>
      </w:r>
      <w:r>
        <w:t xml:space="preserve"> </w:t>
      </w:r>
      <w:r w:rsidRPr="00531FAE">
        <w:t>užívány</w:t>
      </w:r>
      <w:r>
        <w:t xml:space="preserve"> </w:t>
      </w:r>
      <w:r w:rsidRPr="00531FAE">
        <w:t>v</w:t>
      </w:r>
      <w:r>
        <w:t xml:space="preserve"> </w:t>
      </w:r>
      <w:r w:rsidRPr="00531FAE">
        <w:t>souladu</w:t>
      </w:r>
      <w:r>
        <w:t xml:space="preserve"> </w:t>
      </w:r>
      <w:r w:rsidRPr="00531FAE">
        <w:t>s</w:t>
      </w:r>
      <w:r>
        <w:t xml:space="preserve"> </w:t>
      </w:r>
      <w:r w:rsidRPr="00531FAE">
        <w:t>§</w:t>
      </w:r>
      <w:r>
        <w:t xml:space="preserve"> </w:t>
      </w:r>
      <w:r w:rsidRPr="00531FAE">
        <w:t>21</w:t>
      </w:r>
      <w:r>
        <w:t xml:space="preserve"> </w:t>
      </w:r>
      <w:r w:rsidRPr="00531FAE">
        <w:t>odst.</w:t>
      </w:r>
      <w:r>
        <w:t xml:space="preserve"> </w:t>
      </w:r>
      <w:r w:rsidRPr="00531FAE">
        <w:t>1,</w:t>
      </w:r>
      <w:r>
        <w:t xml:space="preserve"> </w:t>
      </w:r>
      <w:r w:rsidRPr="00531FAE">
        <w:t>Státnímu</w:t>
      </w:r>
      <w:r>
        <w:t xml:space="preserve"> </w:t>
      </w:r>
      <w:r w:rsidRPr="00531FAE">
        <w:t>fondu</w:t>
      </w:r>
      <w:r>
        <w:t xml:space="preserve"> </w:t>
      </w:r>
      <w:r w:rsidRPr="00531FAE">
        <w:t>dopravní</w:t>
      </w:r>
      <w:r>
        <w:t xml:space="preserve"> </w:t>
      </w:r>
      <w:r w:rsidRPr="00531FAE">
        <w:t>infrastruktury</w:t>
      </w:r>
      <w:r>
        <w:t xml:space="preserve"> </w:t>
      </w:r>
      <w:r w:rsidRPr="00531FAE">
        <w:t>způsobem</w:t>
      </w:r>
      <w:r>
        <w:t xml:space="preserve"> </w:t>
      </w:r>
      <w:r w:rsidRPr="00531FAE">
        <w:t>umožňujícím</w:t>
      </w:r>
      <w:r>
        <w:t xml:space="preserve"> </w:t>
      </w:r>
      <w:r w:rsidRPr="00531FAE">
        <w:t>dálkový</w:t>
      </w:r>
      <w:r>
        <w:t xml:space="preserve"> </w:t>
      </w:r>
      <w:r w:rsidRPr="00531FAE">
        <w:t>přístup</w:t>
      </w:r>
      <w:r>
        <w:t xml:space="preserve"> </w:t>
      </w:r>
      <w:r w:rsidRPr="00531FAE">
        <w:t>údaje</w:t>
      </w:r>
      <w:r>
        <w:t xml:space="preserve"> </w:t>
      </w:r>
      <w:r w:rsidRPr="00531FAE">
        <w:t>podle</w:t>
      </w:r>
      <w:r>
        <w:t xml:space="preserve"> </w:t>
      </w:r>
      <w:r w:rsidRPr="00531FAE">
        <w:t>odstavce</w:t>
      </w:r>
      <w:r>
        <w:t xml:space="preserve"> </w:t>
      </w:r>
      <w:r w:rsidRPr="00531FAE">
        <w:t>2</w:t>
      </w:r>
      <w:r>
        <w:t xml:space="preserve"> </w:t>
      </w:r>
      <w:r w:rsidRPr="00531FAE">
        <w:t>písm.</w:t>
      </w:r>
      <w:r>
        <w:t xml:space="preserve"> </w:t>
      </w:r>
      <w:r w:rsidRPr="00531FAE">
        <w:t>b).</w:t>
      </w:r>
    </w:p>
    <w:p w14:paraId="016897EC" w14:textId="77777777" w:rsidR="008A21AB" w:rsidRDefault="008A21AB" w:rsidP="00A62336">
      <w:pPr>
        <w:pStyle w:val="Textparagrafu"/>
        <w:tabs>
          <w:tab w:val="left" w:pos="406"/>
          <w:tab w:val="left" w:pos="840"/>
        </w:tabs>
        <w:spacing w:before="120" w:after="120"/>
      </w:pPr>
      <w:r w:rsidRPr="00531FAE">
        <w:t>(4)</w:t>
      </w:r>
      <w:r>
        <w:t xml:space="preserve"> </w:t>
      </w:r>
      <w:r w:rsidRPr="00531FAE">
        <w:t>Provozovatel</w:t>
      </w:r>
      <w:r>
        <w:t xml:space="preserve"> </w:t>
      </w:r>
      <w:r w:rsidRPr="00531FAE">
        <w:t>systému</w:t>
      </w:r>
      <w:r>
        <w:t xml:space="preserve"> </w:t>
      </w:r>
      <w:r w:rsidRPr="00531FAE">
        <w:t>elektronického</w:t>
      </w:r>
      <w:r>
        <w:t xml:space="preserve"> </w:t>
      </w:r>
      <w:r w:rsidRPr="00531FAE">
        <w:t>mýtného</w:t>
      </w:r>
      <w:r>
        <w:t xml:space="preserve"> </w:t>
      </w:r>
      <w:r w:rsidRPr="00531FAE">
        <w:t>je</w:t>
      </w:r>
      <w:r>
        <w:t xml:space="preserve"> </w:t>
      </w:r>
      <w:r w:rsidRPr="00531FAE">
        <w:t>oprávněn</w:t>
      </w:r>
      <w:r>
        <w:t xml:space="preserve"> </w:t>
      </w:r>
      <w:r w:rsidRPr="00531FAE">
        <w:t>požadovat</w:t>
      </w:r>
    </w:p>
    <w:p w14:paraId="2498E146" w14:textId="5F98176F" w:rsidR="008A21AB" w:rsidRPr="00531FAE" w:rsidRDefault="008A21AB" w:rsidP="00B0390E">
      <w:pPr>
        <w:pStyle w:val="Textparagrafu"/>
        <w:tabs>
          <w:tab w:val="left" w:pos="406"/>
          <w:tab w:val="left" w:pos="840"/>
        </w:tabs>
        <w:spacing w:before="0"/>
        <w:ind w:left="426" w:hanging="426"/>
      </w:pPr>
      <w:r w:rsidRPr="00531FAE">
        <w:t>a)</w:t>
      </w:r>
      <w:r w:rsidR="00A05459">
        <w:tab/>
      </w:r>
      <w:r w:rsidRPr="00531FAE">
        <w:t>od</w:t>
      </w:r>
      <w:r>
        <w:t xml:space="preserve"> </w:t>
      </w:r>
      <w:r w:rsidRPr="00531FAE">
        <w:t>provozovatele</w:t>
      </w:r>
      <w:r>
        <w:t xml:space="preserve"> </w:t>
      </w:r>
      <w:r w:rsidRPr="00531FAE">
        <w:t>vozidla</w:t>
      </w:r>
      <w:r>
        <w:t xml:space="preserve"> </w:t>
      </w:r>
      <w:r w:rsidRPr="00531FAE">
        <w:t>v</w:t>
      </w:r>
      <w:r>
        <w:t xml:space="preserve"> </w:t>
      </w:r>
      <w:r w:rsidRPr="00531FAE">
        <w:t>systému</w:t>
      </w:r>
      <w:r>
        <w:t xml:space="preserve"> </w:t>
      </w:r>
      <w:r w:rsidRPr="00531FAE">
        <w:t>elektronického</w:t>
      </w:r>
      <w:r>
        <w:t xml:space="preserve"> </w:t>
      </w:r>
      <w:r w:rsidRPr="00531FAE">
        <w:t>mýtného</w:t>
      </w:r>
      <w:r>
        <w:t xml:space="preserve"> </w:t>
      </w:r>
      <w:r w:rsidRPr="00531FAE">
        <w:t>nebo</w:t>
      </w:r>
      <w:r>
        <w:t xml:space="preserve"> </w:t>
      </w:r>
      <w:r w:rsidRPr="00531FAE">
        <w:t>od</w:t>
      </w:r>
      <w:r>
        <w:t xml:space="preserve"> </w:t>
      </w:r>
      <w:r w:rsidRPr="00531FAE">
        <w:t>jím</w:t>
      </w:r>
      <w:r>
        <w:t xml:space="preserve"> </w:t>
      </w:r>
      <w:r w:rsidRPr="00531FAE">
        <w:t>zmocněné</w:t>
      </w:r>
      <w:r>
        <w:t xml:space="preserve"> </w:t>
      </w:r>
      <w:r w:rsidRPr="00531FAE">
        <w:t>osoby</w:t>
      </w:r>
      <w:r w:rsidRPr="00A05459">
        <w:rPr>
          <w:vertAlign w:val="superscript"/>
        </w:rPr>
        <w:t>11l)</w:t>
      </w:r>
      <w:r>
        <w:t xml:space="preserve"> </w:t>
      </w:r>
      <w:r w:rsidRPr="00531FAE">
        <w:t>s</w:t>
      </w:r>
      <w:r>
        <w:t xml:space="preserve"> </w:t>
      </w:r>
      <w:r w:rsidRPr="00531FAE">
        <w:t>výjimkou</w:t>
      </w:r>
      <w:r>
        <w:t xml:space="preserve"> </w:t>
      </w:r>
      <w:r w:rsidRPr="00531FAE">
        <w:t>vozidla</w:t>
      </w:r>
      <w:r>
        <w:t xml:space="preserve"> </w:t>
      </w:r>
      <w:r w:rsidRPr="00531FAE">
        <w:t>v</w:t>
      </w:r>
      <w:r>
        <w:t xml:space="preserve"> </w:t>
      </w:r>
      <w:r w:rsidRPr="00531FAE">
        <w:t>systému</w:t>
      </w:r>
      <w:r>
        <w:t xml:space="preserve"> </w:t>
      </w:r>
      <w:r w:rsidRPr="00531FAE">
        <w:t>elektronického</w:t>
      </w:r>
      <w:r>
        <w:t xml:space="preserve"> </w:t>
      </w:r>
      <w:r w:rsidRPr="00531FAE">
        <w:t>mýtného,</w:t>
      </w:r>
      <w:r>
        <w:t xml:space="preserve"> </w:t>
      </w:r>
      <w:r w:rsidRPr="00531FAE">
        <w:t>jehož</w:t>
      </w:r>
      <w:r>
        <w:t xml:space="preserve"> </w:t>
      </w:r>
      <w:r w:rsidRPr="00531FAE">
        <w:t>užití</w:t>
      </w:r>
      <w:r>
        <w:t xml:space="preserve"> </w:t>
      </w:r>
      <w:r w:rsidRPr="00531FAE">
        <w:t>na</w:t>
      </w:r>
      <w:r>
        <w:t xml:space="preserve"> </w:t>
      </w:r>
      <w:r w:rsidRPr="00531FAE">
        <w:t>zpoplatněné</w:t>
      </w:r>
      <w:r>
        <w:t xml:space="preserve"> </w:t>
      </w:r>
      <w:r w:rsidRPr="00531FAE">
        <w:t>pozemní</w:t>
      </w:r>
      <w:r>
        <w:t xml:space="preserve"> </w:t>
      </w:r>
      <w:r w:rsidRPr="00531FAE">
        <w:t>komunikaci</w:t>
      </w:r>
      <w:r>
        <w:t xml:space="preserve"> </w:t>
      </w:r>
      <w:r w:rsidRPr="00531FAE">
        <w:t>zpoplatnění</w:t>
      </w:r>
      <w:r>
        <w:t xml:space="preserve"> </w:t>
      </w:r>
      <w:r w:rsidRPr="00531FAE">
        <w:t>nepodléhá,</w:t>
      </w:r>
      <w:r>
        <w:t xml:space="preserve"> </w:t>
      </w:r>
      <w:r w:rsidRPr="00531FAE">
        <w:t>a</w:t>
      </w:r>
      <w:r>
        <w:t xml:space="preserve"> </w:t>
      </w:r>
      <w:r w:rsidRPr="00531FAE">
        <w:t>s</w:t>
      </w:r>
      <w:r>
        <w:t xml:space="preserve"> </w:t>
      </w:r>
      <w:r w:rsidRPr="00531FAE">
        <w:t>výjimkou</w:t>
      </w:r>
      <w:r>
        <w:t xml:space="preserve"> </w:t>
      </w:r>
      <w:r w:rsidRPr="00531FAE">
        <w:t>vozidla,</w:t>
      </w:r>
      <w:r>
        <w:t xml:space="preserve"> </w:t>
      </w:r>
      <w:r w:rsidRPr="00531FAE">
        <w:t>pro</w:t>
      </w:r>
      <w:r>
        <w:t xml:space="preserve"> </w:t>
      </w:r>
      <w:r w:rsidRPr="00531FAE">
        <w:t>které</w:t>
      </w:r>
      <w:r>
        <w:t xml:space="preserve"> </w:t>
      </w:r>
      <w:r w:rsidRPr="00531FAE">
        <w:t>poskytuje</w:t>
      </w:r>
      <w:r>
        <w:t xml:space="preserve"> </w:t>
      </w:r>
      <w:r w:rsidRPr="00531FAE">
        <w:t>službu</w:t>
      </w:r>
      <w:r>
        <w:t xml:space="preserve"> </w:t>
      </w:r>
      <w:r w:rsidRPr="00531FAE">
        <w:t>elektronického</w:t>
      </w:r>
      <w:r>
        <w:t xml:space="preserve"> </w:t>
      </w:r>
      <w:r w:rsidRPr="00531FAE">
        <w:t>mýtného</w:t>
      </w:r>
      <w:r>
        <w:t xml:space="preserve"> </w:t>
      </w:r>
      <w:r w:rsidRPr="00531FAE">
        <w:t>poskytovatel</w:t>
      </w:r>
      <w:r>
        <w:t xml:space="preserve"> </w:t>
      </w:r>
      <w:r w:rsidRPr="00531FAE">
        <w:t>evropského</w:t>
      </w:r>
      <w:r>
        <w:t xml:space="preserve"> </w:t>
      </w:r>
      <w:r w:rsidRPr="00531FAE">
        <w:t>mýtného,</w:t>
      </w:r>
    </w:p>
    <w:p w14:paraId="1806F82D" w14:textId="57ACDFE0" w:rsidR="008A21AB" w:rsidRPr="00531FAE" w:rsidRDefault="00A05459" w:rsidP="00B0390E">
      <w:pPr>
        <w:pStyle w:val="Textparagrafu"/>
        <w:tabs>
          <w:tab w:val="left" w:pos="406"/>
          <w:tab w:val="left" w:pos="840"/>
        </w:tabs>
        <w:spacing w:before="0"/>
        <w:ind w:left="426" w:hanging="426"/>
      </w:pPr>
      <w:r>
        <w:tab/>
      </w:r>
      <w:r w:rsidR="008A21AB" w:rsidRPr="00531FAE">
        <w:t>1.</w:t>
      </w:r>
      <w:r>
        <w:tab/>
      </w:r>
      <w:r w:rsidR="008A21AB" w:rsidRPr="00531FAE">
        <w:t>úhradu</w:t>
      </w:r>
      <w:r w:rsidR="008A21AB">
        <w:t xml:space="preserve"> </w:t>
      </w:r>
      <w:r w:rsidR="008A21AB" w:rsidRPr="00531FAE">
        <w:t>mýtného,</w:t>
      </w:r>
    </w:p>
    <w:p w14:paraId="5E6B88BC" w14:textId="373D8523" w:rsidR="008A21AB" w:rsidRDefault="00A05459" w:rsidP="00B0390E">
      <w:pPr>
        <w:pStyle w:val="Textparagrafu"/>
        <w:tabs>
          <w:tab w:val="left" w:pos="406"/>
          <w:tab w:val="left" w:pos="840"/>
        </w:tabs>
        <w:spacing w:before="0"/>
        <w:ind w:left="426" w:hanging="426"/>
      </w:pPr>
      <w:r>
        <w:tab/>
      </w:r>
      <w:r w:rsidR="008A21AB" w:rsidRPr="00531FAE">
        <w:t>2.</w:t>
      </w:r>
      <w:r>
        <w:tab/>
      </w:r>
      <w:r w:rsidR="008A21AB" w:rsidRPr="00531FAE">
        <w:t>složení</w:t>
      </w:r>
      <w:r w:rsidR="008A21AB">
        <w:t xml:space="preserve"> </w:t>
      </w:r>
      <w:r w:rsidR="008A21AB" w:rsidRPr="00531FAE">
        <w:t>kauce</w:t>
      </w:r>
      <w:r w:rsidR="008A21AB">
        <w:t xml:space="preserve"> </w:t>
      </w:r>
      <w:r w:rsidR="008A21AB" w:rsidRPr="00531FAE">
        <w:t>a</w:t>
      </w:r>
    </w:p>
    <w:p w14:paraId="5E698733" w14:textId="62ECCF50" w:rsidR="008A21AB" w:rsidRDefault="008A21AB" w:rsidP="00B0390E">
      <w:pPr>
        <w:pStyle w:val="Textparagrafu"/>
        <w:tabs>
          <w:tab w:val="left" w:pos="406"/>
          <w:tab w:val="left" w:pos="840"/>
        </w:tabs>
        <w:spacing w:before="0"/>
        <w:ind w:left="426" w:hanging="426"/>
      </w:pPr>
      <w:r w:rsidRPr="00531FAE">
        <w:t>b)</w:t>
      </w:r>
      <w:r w:rsidR="00A05459">
        <w:tab/>
      </w:r>
      <w:r w:rsidRPr="00531FAE">
        <w:t>od</w:t>
      </w:r>
      <w:r>
        <w:t xml:space="preserve"> </w:t>
      </w:r>
      <w:r w:rsidRPr="00531FAE">
        <w:t>poskytovatele</w:t>
      </w:r>
      <w:r>
        <w:t xml:space="preserve"> </w:t>
      </w:r>
      <w:r w:rsidRPr="00531FAE">
        <w:t>evropského</w:t>
      </w:r>
      <w:r>
        <w:t xml:space="preserve"> </w:t>
      </w:r>
      <w:r w:rsidRPr="00531FAE">
        <w:t>mýtného</w:t>
      </w:r>
      <w:r>
        <w:t xml:space="preserve"> </w:t>
      </w:r>
      <w:r w:rsidRPr="00531FAE">
        <w:t>úhradu</w:t>
      </w:r>
      <w:r>
        <w:t xml:space="preserve"> </w:t>
      </w:r>
      <w:r w:rsidRPr="00531FAE">
        <w:t>souhrnného</w:t>
      </w:r>
      <w:r>
        <w:t xml:space="preserve"> </w:t>
      </w:r>
      <w:r w:rsidRPr="00531FAE">
        <w:t>mýtného</w:t>
      </w:r>
      <w:r>
        <w:t xml:space="preserve"> </w:t>
      </w:r>
      <w:r w:rsidRPr="00531FAE">
        <w:t>v</w:t>
      </w:r>
      <w:r>
        <w:t xml:space="preserve"> </w:t>
      </w:r>
      <w:r w:rsidRPr="00531FAE">
        <w:t>případech</w:t>
      </w:r>
      <w:r>
        <w:t xml:space="preserve"> </w:t>
      </w:r>
      <w:r w:rsidRPr="00531FAE">
        <w:t>podle</w:t>
      </w:r>
      <w:r>
        <w:t xml:space="preserve"> </w:t>
      </w:r>
      <w:r w:rsidRPr="00531FAE">
        <w:t>odstavce</w:t>
      </w:r>
      <w:r>
        <w:t xml:space="preserve"> </w:t>
      </w:r>
      <w:r w:rsidRPr="00531FAE">
        <w:t>1</w:t>
      </w:r>
      <w:r>
        <w:t xml:space="preserve"> </w:t>
      </w:r>
      <w:r w:rsidRPr="00531FAE">
        <w:t>písm.</w:t>
      </w:r>
      <w:r>
        <w:t xml:space="preserve"> </w:t>
      </w:r>
      <w:r w:rsidRPr="00531FAE">
        <w:t>g).</w:t>
      </w:r>
    </w:p>
    <w:p w14:paraId="11748B18" w14:textId="5120DB7D" w:rsidR="008A21AB" w:rsidRDefault="008A21AB" w:rsidP="00A62336">
      <w:pPr>
        <w:pStyle w:val="Textparagrafu"/>
        <w:tabs>
          <w:tab w:val="left" w:pos="406"/>
          <w:tab w:val="left" w:pos="840"/>
        </w:tabs>
        <w:spacing w:before="120" w:after="120"/>
      </w:pPr>
      <w:r w:rsidRPr="00531FAE">
        <w:t>(5)</w:t>
      </w:r>
      <w:r>
        <w:t xml:space="preserve"> </w:t>
      </w:r>
      <w:r w:rsidRPr="00531FAE">
        <w:t>Složení</w:t>
      </w:r>
      <w:r>
        <w:t xml:space="preserve"> </w:t>
      </w:r>
      <w:r w:rsidRPr="00531FAE">
        <w:t>kauce</w:t>
      </w:r>
      <w:r>
        <w:t xml:space="preserve"> </w:t>
      </w:r>
      <w:r w:rsidRPr="00531FAE">
        <w:t>je</w:t>
      </w:r>
      <w:r>
        <w:t xml:space="preserve"> </w:t>
      </w:r>
      <w:r w:rsidRPr="00531FAE">
        <w:t>zárukou,</w:t>
      </w:r>
      <w:r>
        <w:t xml:space="preserve"> </w:t>
      </w:r>
      <w:r w:rsidRPr="00531FAE">
        <w:t>že</w:t>
      </w:r>
      <w:r>
        <w:t xml:space="preserve"> </w:t>
      </w:r>
      <w:r w:rsidRPr="00531FAE">
        <w:t>elektronické</w:t>
      </w:r>
      <w:r>
        <w:t xml:space="preserve"> </w:t>
      </w:r>
      <w:r w:rsidRPr="00531FAE">
        <w:t>zařízení</w:t>
      </w:r>
      <w:r>
        <w:t xml:space="preserve"> </w:t>
      </w:r>
      <w:r w:rsidRPr="00531FAE">
        <w:t>bude</w:t>
      </w:r>
      <w:r>
        <w:t xml:space="preserve"> </w:t>
      </w:r>
      <w:r w:rsidRPr="00531FAE">
        <w:t>vráceno</w:t>
      </w:r>
      <w:r>
        <w:t xml:space="preserve"> </w:t>
      </w:r>
      <w:r w:rsidRPr="00531FAE">
        <w:t>nepoškozené</w:t>
      </w:r>
      <w:r>
        <w:t xml:space="preserve"> </w:t>
      </w:r>
      <w:r w:rsidRPr="00531FAE">
        <w:t>provozovateli</w:t>
      </w:r>
      <w:r>
        <w:t xml:space="preserve"> </w:t>
      </w:r>
      <w:r w:rsidRPr="00531FAE">
        <w:t>systému</w:t>
      </w:r>
      <w:r>
        <w:t xml:space="preserve"> </w:t>
      </w:r>
      <w:r w:rsidRPr="00531FAE">
        <w:t>elektronického</w:t>
      </w:r>
      <w:r>
        <w:t xml:space="preserve"> </w:t>
      </w:r>
      <w:r w:rsidRPr="00531FAE">
        <w:t>mýtného.</w:t>
      </w:r>
      <w:r>
        <w:t xml:space="preserve"> </w:t>
      </w:r>
      <w:r w:rsidRPr="00531FAE">
        <w:t>Po</w:t>
      </w:r>
      <w:r>
        <w:t xml:space="preserve"> </w:t>
      </w:r>
      <w:r w:rsidRPr="00531FAE">
        <w:t>převzetí</w:t>
      </w:r>
      <w:r>
        <w:t xml:space="preserve"> </w:t>
      </w:r>
      <w:r w:rsidRPr="00531FAE">
        <w:t>nepoškozeného</w:t>
      </w:r>
      <w:r>
        <w:t xml:space="preserve"> </w:t>
      </w:r>
      <w:r w:rsidRPr="00531FAE">
        <w:t>elektronického</w:t>
      </w:r>
      <w:r>
        <w:t xml:space="preserve"> </w:t>
      </w:r>
      <w:r w:rsidRPr="00531FAE">
        <w:t>zařízení</w:t>
      </w:r>
      <w:r>
        <w:t xml:space="preserve"> </w:t>
      </w:r>
      <w:r w:rsidRPr="00531FAE">
        <w:t>vrátí</w:t>
      </w:r>
      <w:r>
        <w:t xml:space="preserve"> </w:t>
      </w:r>
      <w:r w:rsidRPr="00531FAE">
        <w:t>provozovatel</w:t>
      </w:r>
      <w:r>
        <w:t xml:space="preserve"> </w:t>
      </w:r>
      <w:r w:rsidRPr="00531FAE">
        <w:t>systému</w:t>
      </w:r>
      <w:r>
        <w:t xml:space="preserve"> </w:t>
      </w:r>
      <w:r w:rsidRPr="00531FAE">
        <w:t>elektronického</w:t>
      </w:r>
      <w:r>
        <w:t xml:space="preserve"> </w:t>
      </w:r>
      <w:r w:rsidRPr="00531FAE">
        <w:t>mýtného</w:t>
      </w:r>
      <w:r>
        <w:t xml:space="preserve"> </w:t>
      </w:r>
      <w:r w:rsidRPr="00531FAE">
        <w:t>kauci</w:t>
      </w:r>
      <w:r>
        <w:t xml:space="preserve"> </w:t>
      </w:r>
      <w:r w:rsidRPr="00531FAE">
        <w:t>v</w:t>
      </w:r>
      <w:r>
        <w:t xml:space="preserve"> </w:t>
      </w:r>
      <w:r w:rsidRPr="00531FAE">
        <w:t>plné</w:t>
      </w:r>
      <w:r>
        <w:t xml:space="preserve"> </w:t>
      </w:r>
      <w:r w:rsidRPr="00531FAE">
        <w:t>výši</w:t>
      </w:r>
      <w:r>
        <w:t xml:space="preserve"> </w:t>
      </w:r>
      <w:r w:rsidRPr="00531FAE">
        <w:t>provozovateli</w:t>
      </w:r>
      <w:r>
        <w:t xml:space="preserve"> </w:t>
      </w:r>
      <w:r w:rsidRPr="00531FAE">
        <w:t>vozidla</w:t>
      </w:r>
      <w:r>
        <w:t xml:space="preserve"> </w:t>
      </w:r>
      <w:r w:rsidRPr="00531FAE">
        <w:t>nebo</w:t>
      </w:r>
      <w:r>
        <w:t xml:space="preserve"> </w:t>
      </w:r>
      <w:r w:rsidRPr="00531FAE">
        <w:t>jiné</w:t>
      </w:r>
      <w:r>
        <w:t xml:space="preserve"> </w:t>
      </w:r>
      <w:r w:rsidRPr="00531FAE">
        <w:t>zmocněné</w:t>
      </w:r>
      <w:r>
        <w:t xml:space="preserve"> </w:t>
      </w:r>
      <w:r w:rsidRPr="00531FAE">
        <w:t>osobě</w:t>
      </w:r>
      <w:r w:rsidRPr="00A05459">
        <w:rPr>
          <w:vertAlign w:val="superscript"/>
        </w:rPr>
        <w:t>1l)</w:t>
      </w:r>
      <w:r w:rsidRPr="00531FAE">
        <w:t>.</w:t>
      </w:r>
    </w:p>
    <w:p w14:paraId="3F08C9D9" w14:textId="77777777" w:rsidR="008A21AB" w:rsidRDefault="008A21AB" w:rsidP="00A62336">
      <w:pPr>
        <w:pStyle w:val="Textparagrafu"/>
        <w:tabs>
          <w:tab w:val="left" w:pos="406"/>
          <w:tab w:val="left" w:pos="840"/>
        </w:tabs>
        <w:spacing w:before="120" w:after="120"/>
      </w:pPr>
      <w:r w:rsidRPr="00531FAE">
        <w:t>(6)</w:t>
      </w:r>
      <w:r>
        <w:t xml:space="preserve"> </w:t>
      </w:r>
      <w:r w:rsidRPr="00531FAE">
        <w:t>Kauce</w:t>
      </w:r>
      <w:r>
        <w:t xml:space="preserve"> </w:t>
      </w:r>
      <w:r w:rsidRPr="00531FAE">
        <w:t>a</w:t>
      </w:r>
      <w:r>
        <w:t xml:space="preserve"> </w:t>
      </w:r>
      <w:r w:rsidRPr="00531FAE">
        <w:t>finanční</w:t>
      </w:r>
      <w:r>
        <w:t xml:space="preserve"> </w:t>
      </w:r>
      <w:r w:rsidRPr="00531FAE">
        <w:t>prostředky</w:t>
      </w:r>
      <w:r>
        <w:t xml:space="preserve"> </w:t>
      </w:r>
      <w:r w:rsidRPr="00531FAE">
        <w:t>určené</w:t>
      </w:r>
      <w:r>
        <w:t xml:space="preserve"> </w:t>
      </w:r>
      <w:r w:rsidRPr="00531FAE">
        <w:t>pro</w:t>
      </w:r>
      <w:r>
        <w:t xml:space="preserve"> </w:t>
      </w:r>
      <w:r w:rsidRPr="00531FAE">
        <w:t>úhradu</w:t>
      </w:r>
      <w:r>
        <w:t xml:space="preserve"> </w:t>
      </w:r>
      <w:r w:rsidRPr="00531FAE">
        <w:t>mýtného</w:t>
      </w:r>
      <w:r>
        <w:t xml:space="preserve"> </w:t>
      </w:r>
      <w:r w:rsidRPr="00531FAE">
        <w:t>vložené</w:t>
      </w:r>
      <w:r>
        <w:t xml:space="preserve"> </w:t>
      </w:r>
      <w:r w:rsidRPr="00531FAE">
        <w:t>na</w:t>
      </w:r>
      <w:r>
        <w:t xml:space="preserve"> </w:t>
      </w:r>
      <w:r w:rsidRPr="00531FAE">
        <w:t>zaevidovaném</w:t>
      </w:r>
      <w:r>
        <w:t xml:space="preserve"> </w:t>
      </w:r>
      <w:r w:rsidRPr="00531FAE">
        <w:t>elektronickém</w:t>
      </w:r>
      <w:r>
        <w:t xml:space="preserve"> </w:t>
      </w:r>
      <w:r w:rsidRPr="00531FAE">
        <w:t>zařízení</w:t>
      </w:r>
      <w:r>
        <w:t xml:space="preserve"> </w:t>
      </w:r>
      <w:r w:rsidRPr="00531FAE">
        <w:t>propadnou,</w:t>
      </w:r>
      <w:r>
        <w:t xml:space="preserve"> </w:t>
      </w:r>
      <w:r w:rsidRPr="00531FAE">
        <w:t>neproběhla-li</w:t>
      </w:r>
      <w:r>
        <w:t xml:space="preserve"> </w:t>
      </w:r>
      <w:r w:rsidRPr="00531FAE">
        <w:t>u</w:t>
      </w:r>
      <w:r>
        <w:t xml:space="preserve"> </w:t>
      </w:r>
      <w:r w:rsidRPr="00531FAE">
        <w:t>zaevidovaného</w:t>
      </w:r>
      <w:r>
        <w:t xml:space="preserve"> </w:t>
      </w:r>
      <w:r w:rsidRPr="00531FAE">
        <w:t>elektronického</w:t>
      </w:r>
      <w:r>
        <w:t xml:space="preserve"> </w:t>
      </w:r>
      <w:r w:rsidRPr="00531FAE">
        <w:t>zařízení</w:t>
      </w:r>
      <w:r>
        <w:t xml:space="preserve"> </w:t>
      </w:r>
      <w:r w:rsidRPr="00531FAE">
        <w:t>ode</w:t>
      </w:r>
      <w:r>
        <w:t xml:space="preserve"> </w:t>
      </w:r>
      <w:r w:rsidRPr="00531FAE">
        <w:t>dne</w:t>
      </w:r>
      <w:r>
        <w:t xml:space="preserve"> </w:t>
      </w:r>
      <w:r w:rsidRPr="00531FAE">
        <w:t>jeho</w:t>
      </w:r>
      <w:r>
        <w:t xml:space="preserve"> </w:t>
      </w:r>
      <w:r w:rsidRPr="00531FAE">
        <w:t>převzetí</w:t>
      </w:r>
      <w:r>
        <w:t xml:space="preserve"> </w:t>
      </w:r>
      <w:r w:rsidRPr="00531FAE">
        <w:t>nebo</w:t>
      </w:r>
      <w:r>
        <w:t xml:space="preserve"> </w:t>
      </w:r>
      <w:r w:rsidRPr="00531FAE">
        <w:t>ode</w:t>
      </w:r>
      <w:r>
        <w:t xml:space="preserve"> </w:t>
      </w:r>
      <w:r w:rsidRPr="00531FAE">
        <w:t>dne</w:t>
      </w:r>
      <w:r>
        <w:t xml:space="preserve"> </w:t>
      </w:r>
      <w:r w:rsidRPr="00531FAE">
        <w:t>proběhnutí</w:t>
      </w:r>
      <w:r>
        <w:t xml:space="preserve"> </w:t>
      </w:r>
      <w:r w:rsidRPr="00531FAE">
        <w:t>poslední</w:t>
      </w:r>
      <w:r>
        <w:t xml:space="preserve"> </w:t>
      </w:r>
      <w:r w:rsidRPr="00531FAE">
        <w:t>mýtné</w:t>
      </w:r>
      <w:r>
        <w:t xml:space="preserve"> </w:t>
      </w:r>
      <w:r w:rsidRPr="00531FAE">
        <w:t>transakce</w:t>
      </w:r>
      <w:r>
        <w:t xml:space="preserve"> </w:t>
      </w:r>
      <w:r w:rsidRPr="00531FAE">
        <w:t>po</w:t>
      </w:r>
      <w:r>
        <w:t xml:space="preserve"> </w:t>
      </w:r>
      <w:r w:rsidRPr="00531FAE">
        <w:t>dobu</w:t>
      </w:r>
      <w:r>
        <w:t xml:space="preserve"> </w:t>
      </w:r>
      <w:r w:rsidRPr="00531FAE">
        <w:t>delší</w:t>
      </w:r>
      <w:r>
        <w:t xml:space="preserve"> </w:t>
      </w:r>
      <w:r w:rsidRPr="00531FAE">
        <w:t>než</w:t>
      </w:r>
      <w:r>
        <w:t xml:space="preserve"> </w:t>
      </w:r>
      <w:r w:rsidRPr="00531FAE">
        <w:t>1</w:t>
      </w:r>
      <w:r>
        <w:t xml:space="preserve"> </w:t>
      </w:r>
      <w:r w:rsidRPr="00531FAE">
        <w:t>rok</w:t>
      </w:r>
      <w:r>
        <w:t xml:space="preserve"> </w:t>
      </w:r>
      <w:r w:rsidRPr="00531FAE">
        <w:t>žádná</w:t>
      </w:r>
      <w:r>
        <w:t xml:space="preserve"> </w:t>
      </w:r>
      <w:r w:rsidRPr="00531FAE">
        <w:t>mýtná</w:t>
      </w:r>
      <w:r>
        <w:t xml:space="preserve"> </w:t>
      </w:r>
      <w:r w:rsidRPr="00531FAE">
        <w:t>transakce</w:t>
      </w:r>
      <w:r>
        <w:t xml:space="preserve"> </w:t>
      </w:r>
      <w:r w:rsidRPr="00531FAE">
        <w:t>a</w:t>
      </w:r>
      <w:r>
        <w:t xml:space="preserve"> </w:t>
      </w:r>
      <w:r w:rsidRPr="00531FAE">
        <w:t>elektronické</w:t>
      </w:r>
      <w:r>
        <w:t xml:space="preserve"> </w:t>
      </w:r>
      <w:r w:rsidRPr="00531FAE">
        <w:t>zařízení</w:t>
      </w:r>
      <w:r>
        <w:t xml:space="preserve"> </w:t>
      </w:r>
      <w:r w:rsidRPr="00531FAE">
        <w:t>nebylo</w:t>
      </w:r>
      <w:r>
        <w:t xml:space="preserve"> </w:t>
      </w:r>
      <w:r w:rsidRPr="00531FAE">
        <w:t>do</w:t>
      </w:r>
      <w:r>
        <w:t xml:space="preserve"> </w:t>
      </w:r>
      <w:r w:rsidRPr="00531FAE">
        <w:t>této</w:t>
      </w:r>
      <w:r>
        <w:t xml:space="preserve"> </w:t>
      </w:r>
      <w:r w:rsidRPr="00531FAE">
        <w:t>doby</w:t>
      </w:r>
      <w:r>
        <w:t xml:space="preserve"> </w:t>
      </w:r>
      <w:r w:rsidRPr="00531FAE">
        <w:t>vráceno</w:t>
      </w:r>
      <w:r>
        <w:t xml:space="preserve"> </w:t>
      </w:r>
      <w:r w:rsidRPr="00531FAE">
        <w:t>provozovateli</w:t>
      </w:r>
      <w:r>
        <w:t xml:space="preserve"> </w:t>
      </w:r>
      <w:r w:rsidRPr="00531FAE">
        <w:t>systému</w:t>
      </w:r>
      <w:r>
        <w:t xml:space="preserve"> </w:t>
      </w:r>
      <w:r w:rsidRPr="00531FAE">
        <w:t>elektronického</w:t>
      </w:r>
      <w:r>
        <w:t xml:space="preserve"> </w:t>
      </w:r>
      <w:r w:rsidRPr="00531FAE">
        <w:t>mýtného.</w:t>
      </w:r>
      <w:r>
        <w:t xml:space="preserve"> </w:t>
      </w:r>
      <w:r w:rsidRPr="00531FAE">
        <w:t>Provozovatel</w:t>
      </w:r>
      <w:r>
        <w:t xml:space="preserve"> </w:t>
      </w:r>
      <w:r w:rsidRPr="00531FAE">
        <w:t>systému</w:t>
      </w:r>
      <w:r>
        <w:t xml:space="preserve"> </w:t>
      </w:r>
      <w:r w:rsidRPr="00531FAE">
        <w:t>elektronického</w:t>
      </w:r>
      <w:r>
        <w:t xml:space="preserve"> </w:t>
      </w:r>
      <w:r w:rsidRPr="00531FAE">
        <w:t>mýtného</w:t>
      </w:r>
      <w:r>
        <w:t xml:space="preserve"> </w:t>
      </w:r>
      <w:r w:rsidRPr="00531FAE">
        <w:t>v</w:t>
      </w:r>
      <w:r>
        <w:t xml:space="preserve"> </w:t>
      </w:r>
      <w:r w:rsidRPr="00531FAE">
        <w:t>takovém</w:t>
      </w:r>
      <w:r>
        <w:t xml:space="preserve"> </w:t>
      </w:r>
      <w:r w:rsidRPr="00531FAE">
        <w:t>případě</w:t>
      </w:r>
      <w:r>
        <w:t xml:space="preserve"> </w:t>
      </w:r>
      <w:r w:rsidRPr="00531FAE">
        <w:t>elektronické</w:t>
      </w:r>
      <w:r>
        <w:t xml:space="preserve"> </w:t>
      </w:r>
      <w:r w:rsidRPr="00531FAE">
        <w:t>zařízení</w:t>
      </w:r>
      <w:r>
        <w:t xml:space="preserve"> </w:t>
      </w:r>
      <w:r w:rsidRPr="00531FAE">
        <w:t>a</w:t>
      </w:r>
      <w:r>
        <w:t xml:space="preserve"> </w:t>
      </w:r>
      <w:r w:rsidRPr="00531FAE">
        <w:t>příslušné</w:t>
      </w:r>
      <w:r>
        <w:t xml:space="preserve"> </w:t>
      </w:r>
      <w:r w:rsidRPr="00531FAE">
        <w:t>vozidlo</w:t>
      </w:r>
      <w:r>
        <w:t xml:space="preserve"> </w:t>
      </w:r>
      <w:r w:rsidRPr="00531FAE">
        <w:t>odebere</w:t>
      </w:r>
      <w:r>
        <w:t xml:space="preserve"> </w:t>
      </w:r>
      <w:r w:rsidRPr="00531FAE">
        <w:t>z</w:t>
      </w:r>
      <w:r>
        <w:t xml:space="preserve"> </w:t>
      </w:r>
      <w:r w:rsidRPr="00531FAE">
        <w:t>evidence</w:t>
      </w:r>
      <w:r>
        <w:t xml:space="preserve"> </w:t>
      </w:r>
      <w:r w:rsidRPr="00531FAE">
        <w:t>údajů</w:t>
      </w:r>
      <w:r>
        <w:t xml:space="preserve"> </w:t>
      </w:r>
      <w:r w:rsidRPr="00531FAE">
        <w:t>o</w:t>
      </w:r>
      <w:r>
        <w:t xml:space="preserve"> </w:t>
      </w:r>
      <w:r w:rsidRPr="00531FAE">
        <w:t>mýtném.</w:t>
      </w:r>
      <w:r>
        <w:t xml:space="preserve"> </w:t>
      </w:r>
      <w:r w:rsidRPr="00531FAE">
        <w:t>Kauce</w:t>
      </w:r>
      <w:r>
        <w:t xml:space="preserve"> </w:t>
      </w:r>
      <w:r w:rsidRPr="00531FAE">
        <w:t>propadne</w:t>
      </w:r>
      <w:r>
        <w:t xml:space="preserve"> </w:t>
      </w:r>
      <w:r w:rsidRPr="00531FAE">
        <w:t>rovněž</w:t>
      </w:r>
      <w:r>
        <w:t xml:space="preserve"> </w:t>
      </w:r>
      <w:r w:rsidRPr="00531FAE">
        <w:t>tehdy,</w:t>
      </w:r>
      <w:r>
        <w:t xml:space="preserve"> </w:t>
      </w:r>
      <w:r w:rsidRPr="00531FAE">
        <w:t>bylo-li</w:t>
      </w:r>
      <w:r>
        <w:t xml:space="preserve"> </w:t>
      </w:r>
      <w:r w:rsidRPr="00531FAE">
        <w:t>zaevidované</w:t>
      </w:r>
      <w:r>
        <w:t xml:space="preserve"> </w:t>
      </w:r>
      <w:r w:rsidRPr="00531FAE">
        <w:t>elektronické</w:t>
      </w:r>
      <w:r>
        <w:t xml:space="preserve"> </w:t>
      </w:r>
      <w:r w:rsidRPr="00531FAE">
        <w:t>zařízení</w:t>
      </w:r>
      <w:r>
        <w:t xml:space="preserve"> </w:t>
      </w:r>
      <w:r w:rsidRPr="00531FAE">
        <w:t>vráceno</w:t>
      </w:r>
      <w:r>
        <w:t xml:space="preserve"> </w:t>
      </w:r>
      <w:r w:rsidRPr="00531FAE">
        <w:t>provozovateli</w:t>
      </w:r>
      <w:r>
        <w:t xml:space="preserve"> </w:t>
      </w:r>
      <w:r w:rsidRPr="00531FAE">
        <w:t>systému</w:t>
      </w:r>
      <w:r>
        <w:t xml:space="preserve"> </w:t>
      </w:r>
      <w:r w:rsidRPr="00531FAE">
        <w:t>elektronického</w:t>
      </w:r>
      <w:r>
        <w:t xml:space="preserve"> </w:t>
      </w:r>
      <w:r w:rsidRPr="00531FAE">
        <w:t>mýtného</w:t>
      </w:r>
      <w:r>
        <w:t xml:space="preserve"> </w:t>
      </w:r>
      <w:r w:rsidRPr="00531FAE">
        <w:t>poškozené.</w:t>
      </w:r>
      <w:r>
        <w:t xml:space="preserve"> </w:t>
      </w:r>
      <w:r w:rsidRPr="00531FAE">
        <w:t>Propadlé</w:t>
      </w:r>
      <w:r>
        <w:t xml:space="preserve"> </w:t>
      </w:r>
      <w:r w:rsidRPr="00531FAE">
        <w:t>kauce</w:t>
      </w:r>
      <w:r>
        <w:t xml:space="preserve"> </w:t>
      </w:r>
      <w:r w:rsidRPr="00531FAE">
        <w:t>a</w:t>
      </w:r>
      <w:r>
        <w:t xml:space="preserve"> </w:t>
      </w:r>
      <w:r w:rsidRPr="00531FAE">
        <w:t>propadlé</w:t>
      </w:r>
      <w:r>
        <w:t xml:space="preserve"> </w:t>
      </w:r>
      <w:r w:rsidRPr="00531FAE">
        <w:t>finanční</w:t>
      </w:r>
      <w:r>
        <w:t xml:space="preserve"> </w:t>
      </w:r>
      <w:r w:rsidRPr="00531FAE">
        <w:t>prostředky</w:t>
      </w:r>
      <w:r>
        <w:t xml:space="preserve"> </w:t>
      </w:r>
      <w:r w:rsidRPr="00531FAE">
        <w:t>určené</w:t>
      </w:r>
      <w:r>
        <w:t xml:space="preserve"> </w:t>
      </w:r>
      <w:r w:rsidRPr="00531FAE">
        <w:t>pro</w:t>
      </w:r>
      <w:r>
        <w:t xml:space="preserve"> </w:t>
      </w:r>
      <w:r w:rsidRPr="00531FAE">
        <w:t>úhradu</w:t>
      </w:r>
      <w:r>
        <w:t xml:space="preserve"> </w:t>
      </w:r>
      <w:r w:rsidRPr="00531FAE">
        <w:t>mýtného</w:t>
      </w:r>
      <w:r>
        <w:t xml:space="preserve"> </w:t>
      </w:r>
      <w:r w:rsidRPr="00531FAE">
        <w:t>vložené</w:t>
      </w:r>
      <w:r>
        <w:t xml:space="preserve"> </w:t>
      </w:r>
      <w:r w:rsidRPr="00531FAE">
        <w:t>na</w:t>
      </w:r>
      <w:r>
        <w:t xml:space="preserve"> </w:t>
      </w:r>
      <w:r w:rsidRPr="00531FAE">
        <w:t>zaevidovaných</w:t>
      </w:r>
      <w:r>
        <w:t xml:space="preserve"> </w:t>
      </w:r>
      <w:r w:rsidRPr="00531FAE">
        <w:t>elektronických</w:t>
      </w:r>
      <w:r>
        <w:t xml:space="preserve"> </w:t>
      </w:r>
      <w:r w:rsidRPr="00531FAE">
        <w:t>zařízeních</w:t>
      </w:r>
      <w:r>
        <w:t xml:space="preserve"> </w:t>
      </w:r>
      <w:r w:rsidRPr="00531FAE">
        <w:t>jsou</w:t>
      </w:r>
      <w:r>
        <w:t xml:space="preserve"> </w:t>
      </w:r>
      <w:r w:rsidRPr="00531FAE">
        <w:t>příjmem</w:t>
      </w:r>
      <w:r>
        <w:t xml:space="preserve"> </w:t>
      </w:r>
      <w:r w:rsidRPr="00531FAE">
        <w:t>Státního</w:t>
      </w:r>
      <w:r>
        <w:t xml:space="preserve"> </w:t>
      </w:r>
      <w:r w:rsidRPr="00531FAE">
        <w:t>fondu</w:t>
      </w:r>
      <w:r>
        <w:t xml:space="preserve"> </w:t>
      </w:r>
      <w:r w:rsidRPr="00531FAE">
        <w:t>dopravní</w:t>
      </w:r>
      <w:r>
        <w:t xml:space="preserve"> </w:t>
      </w:r>
      <w:r w:rsidRPr="00531FAE">
        <w:t>infrastruktury.</w:t>
      </w:r>
    </w:p>
    <w:p w14:paraId="4F34512A" w14:textId="77777777" w:rsidR="008A21AB" w:rsidRDefault="008A21AB" w:rsidP="00A62336">
      <w:pPr>
        <w:pStyle w:val="Textparagrafu"/>
        <w:tabs>
          <w:tab w:val="left" w:pos="406"/>
          <w:tab w:val="left" w:pos="840"/>
        </w:tabs>
        <w:spacing w:before="120" w:after="120"/>
      </w:pPr>
      <w:r w:rsidRPr="00531FAE">
        <w:t>(7)</w:t>
      </w:r>
      <w:r>
        <w:t xml:space="preserve"> </w:t>
      </w:r>
      <w:r w:rsidRPr="00531FAE">
        <w:t>Způsob</w:t>
      </w:r>
      <w:r>
        <w:t xml:space="preserve"> </w:t>
      </w:r>
      <w:r w:rsidRPr="00531FAE">
        <w:t>určení</w:t>
      </w:r>
      <w:r>
        <w:t xml:space="preserve"> </w:t>
      </w:r>
      <w:r w:rsidRPr="00531FAE">
        <w:t>emisní</w:t>
      </w:r>
      <w:r>
        <w:t xml:space="preserve"> </w:t>
      </w:r>
      <w:r w:rsidRPr="00531FAE">
        <w:t>třídy</w:t>
      </w:r>
      <w:r>
        <w:t xml:space="preserve"> </w:t>
      </w:r>
      <w:r w:rsidRPr="00531FAE">
        <w:t>CO2</w:t>
      </w:r>
      <w:r>
        <w:t xml:space="preserve"> </w:t>
      </w:r>
      <w:r w:rsidRPr="00531FAE">
        <w:t>vozidla</w:t>
      </w:r>
      <w:r>
        <w:t xml:space="preserve"> </w:t>
      </w:r>
      <w:r w:rsidRPr="00531FAE">
        <w:t>v</w:t>
      </w:r>
      <w:r>
        <w:t xml:space="preserve"> </w:t>
      </w:r>
      <w:r w:rsidRPr="00531FAE">
        <w:t>systému</w:t>
      </w:r>
      <w:r>
        <w:t xml:space="preserve"> </w:t>
      </w:r>
      <w:r w:rsidRPr="00531FAE">
        <w:t>elektronického</w:t>
      </w:r>
      <w:r>
        <w:t xml:space="preserve"> </w:t>
      </w:r>
      <w:r w:rsidRPr="00531FAE">
        <w:t>mýtného</w:t>
      </w:r>
      <w:r>
        <w:t xml:space="preserve"> </w:t>
      </w:r>
      <w:r w:rsidRPr="00531FAE">
        <w:t>a</w:t>
      </w:r>
      <w:r>
        <w:t xml:space="preserve"> </w:t>
      </w:r>
      <w:r w:rsidRPr="00531FAE">
        <w:t>výši</w:t>
      </w:r>
      <w:r>
        <w:t xml:space="preserve"> </w:t>
      </w:r>
      <w:r w:rsidRPr="00531FAE">
        <w:t>kauce</w:t>
      </w:r>
      <w:r>
        <w:t xml:space="preserve"> </w:t>
      </w:r>
      <w:r w:rsidRPr="00531FAE">
        <w:t>stanoví</w:t>
      </w:r>
      <w:r>
        <w:t xml:space="preserve"> </w:t>
      </w:r>
      <w:r w:rsidRPr="00531FAE">
        <w:t>prováděcí</w:t>
      </w:r>
      <w:r>
        <w:t xml:space="preserve"> </w:t>
      </w:r>
      <w:r w:rsidRPr="00531FAE">
        <w:t>právní</w:t>
      </w:r>
      <w:r>
        <w:t xml:space="preserve"> </w:t>
      </w:r>
      <w:r w:rsidRPr="00531FAE">
        <w:t>předpis.</w:t>
      </w:r>
    </w:p>
    <w:p w14:paraId="251A8F1A" w14:textId="77777777" w:rsidR="008A21AB" w:rsidRDefault="008A21AB" w:rsidP="00A62336">
      <w:pPr>
        <w:pStyle w:val="Textparagrafu"/>
        <w:tabs>
          <w:tab w:val="left" w:pos="406"/>
          <w:tab w:val="left" w:pos="840"/>
        </w:tabs>
        <w:spacing w:before="120" w:after="120"/>
      </w:pPr>
      <w:r w:rsidRPr="00531FAE">
        <w:t>(8)</w:t>
      </w:r>
      <w:r>
        <w:t xml:space="preserve"> </w:t>
      </w:r>
      <w:r w:rsidRPr="00531FAE">
        <w:t>Způsob</w:t>
      </w:r>
      <w:r>
        <w:t xml:space="preserve"> </w:t>
      </w:r>
      <w:r w:rsidRPr="00531FAE">
        <w:t>stanovení</w:t>
      </w:r>
      <w:r>
        <w:t xml:space="preserve"> </w:t>
      </w:r>
      <w:r w:rsidRPr="00531FAE">
        <w:t>výše</w:t>
      </w:r>
      <w:r>
        <w:t xml:space="preserve"> </w:t>
      </w:r>
      <w:r w:rsidRPr="00531FAE">
        <w:t>odměny</w:t>
      </w:r>
      <w:r>
        <w:t xml:space="preserve"> </w:t>
      </w:r>
      <w:r w:rsidRPr="00531FAE">
        <w:t>za</w:t>
      </w:r>
      <w:r>
        <w:t xml:space="preserve"> </w:t>
      </w:r>
      <w:r w:rsidRPr="00531FAE">
        <w:t>poskytování</w:t>
      </w:r>
      <w:r>
        <w:t xml:space="preserve"> </w:t>
      </w:r>
      <w:r w:rsidRPr="00531FAE">
        <w:t>evropské</w:t>
      </w:r>
      <w:r>
        <w:t xml:space="preserve"> </w:t>
      </w:r>
      <w:r w:rsidRPr="00531FAE">
        <w:t>služby</w:t>
      </w:r>
      <w:r>
        <w:t xml:space="preserve"> </w:t>
      </w:r>
      <w:r w:rsidRPr="00531FAE">
        <w:t>elektronického</w:t>
      </w:r>
      <w:r>
        <w:t xml:space="preserve"> </w:t>
      </w:r>
      <w:r w:rsidRPr="00531FAE">
        <w:t>mýtného</w:t>
      </w:r>
      <w:r>
        <w:t xml:space="preserve"> </w:t>
      </w:r>
      <w:r w:rsidRPr="00531FAE">
        <w:t>stanoví</w:t>
      </w:r>
      <w:r>
        <w:t xml:space="preserve"> </w:t>
      </w:r>
      <w:r w:rsidRPr="00531FAE">
        <w:t>prováděcí</w:t>
      </w:r>
      <w:r>
        <w:t xml:space="preserve"> </w:t>
      </w:r>
      <w:r w:rsidRPr="00531FAE">
        <w:t>právní</w:t>
      </w:r>
      <w:r>
        <w:t xml:space="preserve"> </w:t>
      </w:r>
      <w:r w:rsidRPr="00531FAE">
        <w:t>předpis.</w:t>
      </w:r>
    </w:p>
    <w:p w14:paraId="06F09FEE" w14:textId="77777777" w:rsidR="008A21AB" w:rsidRDefault="008A21AB" w:rsidP="00A05459">
      <w:pPr>
        <w:pStyle w:val="Textparagrafu"/>
        <w:tabs>
          <w:tab w:val="left" w:pos="406"/>
          <w:tab w:val="left" w:pos="840"/>
        </w:tabs>
        <w:ind w:firstLine="0"/>
        <w:jc w:val="center"/>
      </w:pPr>
      <w:r w:rsidRPr="00531FAE">
        <w:t>§</w:t>
      </w:r>
      <w:r>
        <w:t xml:space="preserve"> </w:t>
      </w:r>
      <w:r w:rsidRPr="00531FAE">
        <w:t>22d</w:t>
      </w:r>
    </w:p>
    <w:p w14:paraId="58342BE0" w14:textId="77777777" w:rsidR="008A21AB" w:rsidRPr="00A05459" w:rsidRDefault="008A21AB" w:rsidP="00A05459">
      <w:pPr>
        <w:pStyle w:val="Textparagrafu"/>
        <w:tabs>
          <w:tab w:val="left" w:pos="406"/>
          <w:tab w:val="left" w:pos="840"/>
        </w:tabs>
        <w:ind w:firstLine="0"/>
        <w:jc w:val="center"/>
        <w:rPr>
          <w:b/>
        </w:rPr>
      </w:pPr>
      <w:r w:rsidRPr="00A05459">
        <w:rPr>
          <w:b/>
        </w:rPr>
        <w:lastRenderedPageBreak/>
        <w:t>Oprávnění k poskytování evropské služby elektronického mýtného</w:t>
      </w:r>
    </w:p>
    <w:p w14:paraId="648415FA" w14:textId="77777777" w:rsidR="008A21AB" w:rsidRDefault="008A21AB" w:rsidP="00A62336">
      <w:pPr>
        <w:pStyle w:val="Textparagrafu"/>
        <w:tabs>
          <w:tab w:val="left" w:pos="406"/>
          <w:tab w:val="left" w:pos="840"/>
        </w:tabs>
        <w:spacing w:before="120" w:after="120"/>
      </w:pPr>
      <w:r w:rsidRPr="00531FAE">
        <w:t>(1)</w:t>
      </w:r>
      <w:r>
        <w:t xml:space="preserve"> </w:t>
      </w:r>
      <w:r w:rsidRPr="00531FAE">
        <w:t>Ministerstvo</w:t>
      </w:r>
      <w:r>
        <w:t xml:space="preserve"> </w:t>
      </w:r>
      <w:r w:rsidRPr="00531FAE">
        <w:t>dopravy</w:t>
      </w:r>
      <w:r>
        <w:t xml:space="preserve"> </w:t>
      </w:r>
      <w:r w:rsidRPr="00531FAE">
        <w:t>udělí</w:t>
      </w:r>
      <w:r>
        <w:t xml:space="preserve"> </w:t>
      </w:r>
      <w:r w:rsidRPr="00531FAE">
        <w:t>právnické</w:t>
      </w:r>
      <w:r>
        <w:t xml:space="preserve"> </w:t>
      </w:r>
      <w:r w:rsidRPr="00531FAE">
        <w:t>osobě</w:t>
      </w:r>
      <w:r>
        <w:t xml:space="preserve"> </w:t>
      </w:r>
      <w:r w:rsidRPr="00531FAE">
        <w:t>na</w:t>
      </w:r>
      <w:r>
        <w:t xml:space="preserve"> </w:t>
      </w:r>
      <w:r w:rsidRPr="00531FAE">
        <w:t>základě</w:t>
      </w:r>
      <w:r>
        <w:t xml:space="preserve"> </w:t>
      </w:r>
      <w:r w:rsidRPr="00531FAE">
        <w:t>písemné</w:t>
      </w:r>
      <w:r>
        <w:t xml:space="preserve"> </w:t>
      </w:r>
      <w:r w:rsidRPr="00531FAE">
        <w:t>žádosti</w:t>
      </w:r>
      <w:r>
        <w:t xml:space="preserve"> </w:t>
      </w:r>
      <w:r w:rsidRPr="00531FAE">
        <w:t>oprávnění</w:t>
      </w:r>
      <w:r>
        <w:t xml:space="preserve"> </w:t>
      </w:r>
      <w:r w:rsidRPr="00531FAE">
        <w:t>k</w:t>
      </w:r>
      <w:r>
        <w:t xml:space="preserve"> </w:t>
      </w:r>
      <w:r w:rsidRPr="00531FAE">
        <w:t>poskytování</w:t>
      </w:r>
      <w:r>
        <w:t xml:space="preserve"> </w:t>
      </w:r>
      <w:r w:rsidRPr="00531FAE">
        <w:t>evropské</w:t>
      </w:r>
      <w:r>
        <w:t xml:space="preserve"> </w:t>
      </w:r>
      <w:r w:rsidRPr="00531FAE">
        <w:t>služby</w:t>
      </w:r>
      <w:r>
        <w:t xml:space="preserve"> </w:t>
      </w:r>
      <w:r w:rsidRPr="00531FAE">
        <w:t>elektronického</w:t>
      </w:r>
      <w:r>
        <w:t xml:space="preserve"> </w:t>
      </w:r>
      <w:r w:rsidRPr="00531FAE">
        <w:t>mýtného,</w:t>
      </w:r>
      <w:r>
        <w:t xml:space="preserve"> </w:t>
      </w:r>
      <w:r w:rsidRPr="00531FAE">
        <w:t>pokud</w:t>
      </w:r>
    </w:p>
    <w:p w14:paraId="3A4BFD59" w14:textId="43B2A228" w:rsidR="008A21AB" w:rsidRDefault="008A21AB" w:rsidP="00B0390E">
      <w:pPr>
        <w:pStyle w:val="Textparagrafu"/>
        <w:tabs>
          <w:tab w:val="left" w:pos="406"/>
          <w:tab w:val="left" w:pos="840"/>
        </w:tabs>
        <w:spacing w:before="0"/>
        <w:ind w:left="426" w:hanging="426"/>
      </w:pPr>
      <w:r w:rsidRPr="00531FAE">
        <w:t>a)</w:t>
      </w:r>
      <w:r w:rsidR="009A70CD">
        <w:tab/>
      </w:r>
      <w:r w:rsidRPr="00531FAE">
        <w:t>je</w:t>
      </w:r>
      <w:r>
        <w:t xml:space="preserve"> </w:t>
      </w:r>
      <w:r w:rsidRPr="00531FAE">
        <w:t>usazena</w:t>
      </w:r>
      <w:r>
        <w:t xml:space="preserve"> </w:t>
      </w:r>
      <w:r w:rsidRPr="00531FAE">
        <w:t>v</w:t>
      </w:r>
      <w:r>
        <w:t xml:space="preserve"> </w:t>
      </w:r>
      <w:r w:rsidRPr="00531FAE">
        <w:t>České</w:t>
      </w:r>
      <w:r>
        <w:t xml:space="preserve"> </w:t>
      </w:r>
      <w:r w:rsidRPr="00531FAE">
        <w:t>republice,</w:t>
      </w:r>
    </w:p>
    <w:p w14:paraId="10431DE5" w14:textId="0F17CA76" w:rsidR="008A21AB" w:rsidRDefault="008A21AB" w:rsidP="00B0390E">
      <w:pPr>
        <w:pStyle w:val="Textparagrafu"/>
        <w:tabs>
          <w:tab w:val="left" w:pos="406"/>
          <w:tab w:val="left" w:pos="840"/>
        </w:tabs>
        <w:spacing w:before="0"/>
        <w:ind w:left="426" w:hanging="426"/>
      </w:pPr>
      <w:r w:rsidRPr="00531FAE">
        <w:t>b)</w:t>
      </w:r>
      <w:r w:rsidR="009A70CD">
        <w:tab/>
      </w:r>
      <w:r w:rsidRPr="00531FAE">
        <w:t>má</w:t>
      </w:r>
      <w:r>
        <w:t xml:space="preserve"> </w:t>
      </w:r>
      <w:r w:rsidRPr="00531FAE">
        <w:t>udělenu</w:t>
      </w:r>
      <w:r>
        <w:t xml:space="preserve"> </w:t>
      </w:r>
      <w:r w:rsidRPr="00531FAE">
        <w:t>certifikaci</w:t>
      </w:r>
      <w:r>
        <w:t xml:space="preserve"> </w:t>
      </w:r>
      <w:r w:rsidRPr="00531FAE">
        <w:t>systému</w:t>
      </w:r>
      <w:r>
        <w:t xml:space="preserve"> </w:t>
      </w:r>
      <w:r w:rsidRPr="00531FAE">
        <w:t>řízení</w:t>
      </w:r>
      <w:r>
        <w:t xml:space="preserve"> </w:t>
      </w:r>
      <w:r w:rsidRPr="00531FAE">
        <w:t>jakosti</w:t>
      </w:r>
      <w:r>
        <w:t xml:space="preserve"> </w:t>
      </w:r>
      <w:r w:rsidRPr="00531FAE">
        <w:t>podle</w:t>
      </w:r>
      <w:r>
        <w:t xml:space="preserve"> </w:t>
      </w:r>
      <w:r w:rsidRPr="00531FAE">
        <w:t>evropské</w:t>
      </w:r>
      <w:r>
        <w:t xml:space="preserve"> </w:t>
      </w:r>
      <w:r w:rsidRPr="00531FAE">
        <w:t>technické</w:t>
      </w:r>
      <w:r>
        <w:t xml:space="preserve"> </w:t>
      </w:r>
      <w:r w:rsidR="00A05459">
        <w:t>normy</w:t>
      </w:r>
      <w:r w:rsidR="00A05459">
        <w:rPr>
          <w:rStyle w:val="Znakapoznpodarou"/>
        </w:rPr>
        <w:footnoteReference w:customMarkFollows="1" w:id="231"/>
        <w:t>31)</w:t>
      </w:r>
      <w:r w:rsidRPr="00531FAE">
        <w:t>,</w:t>
      </w:r>
    </w:p>
    <w:p w14:paraId="79DE9681" w14:textId="2B3666EE" w:rsidR="008A21AB" w:rsidRDefault="008A21AB" w:rsidP="00B0390E">
      <w:pPr>
        <w:pStyle w:val="Textparagrafu"/>
        <w:tabs>
          <w:tab w:val="left" w:pos="406"/>
          <w:tab w:val="left" w:pos="840"/>
        </w:tabs>
        <w:spacing w:before="0"/>
        <w:ind w:left="426" w:hanging="426"/>
      </w:pPr>
      <w:r w:rsidRPr="00531FAE">
        <w:t>c)</w:t>
      </w:r>
      <w:r w:rsidR="009A70CD">
        <w:tab/>
      </w:r>
      <w:r w:rsidRPr="00531FAE">
        <w:t>vlastní</w:t>
      </w:r>
      <w:r>
        <w:t xml:space="preserve"> </w:t>
      </w:r>
      <w:r w:rsidRPr="00531FAE">
        <w:t>nebo</w:t>
      </w:r>
      <w:r>
        <w:t xml:space="preserve"> </w:t>
      </w:r>
      <w:r w:rsidRPr="00531FAE">
        <w:t>má</w:t>
      </w:r>
      <w:r>
        <w:t xml:space="preserve"> </w:t>
      </w:r>
      <w:r w:rsidRPr="00531FAE">
        <w:t>právo</w:t>
      </w:r>
      <w:r>
        <w:t xml:space="preserve"> </w:t>
      </w:r>
      <w:r w:rsidRPr="00531FAE">
        <w:t>užívat</w:t>
      </w:r>
      <w:r>
        <w:t xml:space="preserve"> </w:t>
      </w:r>
      <w:r w:rsidRPr="00531FAE">
        <w:t>technické</w:t>
      </w:r>
      <w:r>
        <w:t xml:space="preserve"> </w:t>
      </w:r>
      <w:r w:rsidRPr="00531FAE">
        <w:t>vybavení</w:t>
      </w:r>
      <w:r>
        <w:t xml:space="preserve"> </w:t>
      </w:r>
      <w:r w:rsidRPr="00531FAE">
        <w:t>nezbytné</w:t>
      </w:r>
      <w:r>
        <w:t xml:space="preserve"> </w:t>
      </w:r>
      <w:r w:rsidRPr="00531FAE">
        <w:t>k</w:t>
      </w:r>
      <w:r>
        <w:t xml:space="preserve"> </w:t>
      </w:r>
      <w:r w:rsidRPr="00531FAE">
        <w:t>poskytování</w:t>
      </w:r>
      <w:r>
        <w:t xml:space="preserve"> </w:t>
      </w:r>
      <w:r w:rsidRPr="00531FAE">
        <w:t>evropské</w:t>
      </w:r>
      <w:r>
        <w:t xml:space="preserve"> </w:t>
      </w:r>
      <w:r w:rsidRPr="00531FAE">
        <w:t>služby</w:t>
      </w:r>
      <w:r>
        <w:t xml:space="preserve"> </w:t>
      </w:r>
      <w:r w:rsidRPr="00531FAE">
        <w:t>elektronického</w:t>
      </w:r>
      <w:r>
        <w:t xml:space="preserve"> </w:t>
      </w:r>
      <w:r w:rsidRPr="00531FAE">
        <w:t>mýtného,</w:t>
      </w:r>
    </w:p>
    <w:p w14:paraId="6B40DB88" w14:textId="7B72340C" w:rsidR="008A21AB" w:rsidRDefault="008A21AB" w:rsidP="00B0390E">
      <w:pPr>
        <w:pStyle w:val="Textparagrafu"/>
        <w:tabs>
          <w:tab w:val="left" w:pos="406"/>
          <w:tab w:val="left" w:pos="840"/>
        </w:tabs>
        <w:spacing w:before="0"/>
        <w:ind w:left="426" w:hanging="426"/>
      </w:pPr>
      <w:r w:rsidRPr="00531FAE">
        <w:t>d)</w:t>
      </w:r>
      <w:r w:rsidR="009A70CD">
        <w:tab/>
      </w:r>
      <w:r w:rsidRPr="00531FAE">
        <w:t>jí</w:t>
      </w:r>
      <w:r>
        <w:t xml:space="preserve"> </w:t>
      </w:r>
      <w:r w:rsidRPr="00531FAE">
        <w:t>používané</w:t>
      </w:r>
      <w:r>
        <w:t xml:space="preserve"> </w:t>
      </w:r>
      <w:r w:rsidRPr="00531FAE">
        <w:t>prvky</w:t>
      </w:r>
      <w:r>
        <w:t xml:space="preserve"> </w:t>
      </w:r>
      <w:r w:rsidRPr="00531FAE">
        <w:t>systému</w:t>
      </w:r>
      <w:r>
        <w:t xml:space="preserve"> </w:t>
      </w:r>
      <w:r w:rsidRPr="00531FAE">
        <w:t>elektronického</w:t>
      </w:r>
      <w:r>
        <w:t xml:space="preserve"> </w:t>
      </w:r>
      <w:r w:rsidRPr="00531FAE">
        <w:t>mýtného</w:t>
      </w:r>
      <w:r>
        <w:t xml:space="preserve"> </w:t>
      </w:r>
      <w:r w:rsidRPr="00531FAE">
        <w:t>jsou</w:t>
      </w:r>
      <w:r>
        <w:t xml:space="preserve"> </w:t>
      </w:r>
      <w:r w:rsidRPr="00531FAE">
        <w:t>vyrobeny</w:t>
      </w:r>
      <w:r>
        <w:t xml:space="preserve"> </w:t>
      </w:r>
      <w:r w:rsidRPr="00531FAE">
        <w:t>v</w:t>
      </w:r>
      <w:r>
        <w:t xml:space="preserve"> </w:t>
      </w:r>
      <w:r w:rsidRPr="00531FAE">
        <w:t>souladu</w:t>
      </w:r>
      <w:r>
        <w:t xml:space="preserve"> </w:t>
      </w:r>
      <w:r w:rsidRPr="00531FAE">
        <w:t>s</w:t>
      </w:r>
      <w:r>
        <w:t xml:space="preserve"> </w:t>
      </w:r>
      <w:r w:rsidRPr="00531FAE">
        <w:t>požadavky</w:t>
      </w:r>
      <w:r>
        <w:t xml:space="preserve"> </w:t>
      </w:r>
      <w:r w:rsidRPr="00531FAE">
        <w:t>podle</w:t>
      </w:r>
      <w:r>
        <w:t xml:space="preserve"> </w:t>
      </w:r>
      <w:r w:rsidRPr="00531FAE">
        <w:t>§</w:t>
      </w:r>
      <w:r>
        <w:t xml:space="preserve"> </w:t>
      </w:r>
      <w:r w:rsidRPr="00531FAE">
        <w:t>22g</w:t>
      </w:r>
      <w:r>
        <w:t xml:space="preserve"> </w:t>
      </w:r>
      <w:r w:rsidRPr="00531FAE">
        <w:t>odst.</w:t>
      </w:r>
      <w:r>
        <w:t xml:space="preserve"> </w:t>
      </w:r>
      <w:r w:rsidRPr="00531FAE">
        <w:t>1,</w:t>
      </w:r>
    </w:p>
    <w:p w14:paraId="3232D63C" w14:textId="6F65CF36" w:rsidR="008A21AB" w:rsidRDefault="008A21AB" w:rsidP="00B0390E">
      <w:pPr>
        <w:pStyle w:val="Textparagrafu"/>
        <w:tabs>
          <w:tab w:val="left" w:pos="406"/>
          <w:tab w:val="left" w:pos="840"/>
        </w:tabs>
        <w:spacing w:before="0"/>
        <w:ind w:left="426" w:hanging="426"/>
      </w:pPr>
      <w:r w:rsidRPr="00531FAE">
        <w:t>e)</w:t>
      </w:r>
      <w:r w:rsidR="009A70CD">
        <w:tab/>
      </w:r>
      <w:r w:rsidRPr="00531FAE">
        <w:t>splňuje</w:t>
      </w:r>
      <w:r>
        <w:t xml:space="preserve"> </w:t>
      </w:r>
      <w:r w:rsidRPr="00531FAE">
        <w:t>podmínky</w:t>
      </w:r>
      <w:r>
        <w:t xml:space="preserve"> </w:t>
      </w:r>
      <w:r w:rsidRPr="00531FAE">
        <w:t>odborné</w:t>
      </w:r>
      <w:r>
        <w:t xml:space="preserve"> </w:t>
      </w:r>
      <w:r w:rsidRPr="00531FAE">
        <w:t>způsobilosti</w:t>
      </w:r>
      <w:r>
        <w:t xml:space="preserve"> </w:t>
      </w:r>
      <w:r w:rsidRPr="00531FAE">
        <w:t>pro</w:t>
      </w:r>
      <w:r>
        <w:t xml:space="preserve"> </w:t>
      </w:r>
      <w:r w:rsidRPr="00531FAE">
        <w:t>poskytování</w:t>
      </w:r>
      <w:r>
        <w:t xml:space="preserve"> </w:t>
      </w:r>
      <w:r w:rsidRPr="00531FAE">
        <w:t>evropské</w:t>
      </w:r>
      <w:r>
        <w:t xml:space="preserve"> </w:t>
      </w:r>
      <w:r w:rsidRPr="00531FAE">
        <w:t>služby</w:t>
      </w:r>
      <w:r>
        <w:t xml:space="preserve"> </w:t>
      </w:r>
      <w:r w:rsidRPr="00531FAE">
        <w:t>elektronického</w:t>
      </w:r>
      <w:r>
        <w:t xml:space="preserve"> </w:t>
      </w:r>
      <w:r w:rsidRPr="00531FAE">
        <w:t>mýtného,</w:t>
      </w:r>
    </w:p>
    <w:p w14:paraId="63518FF1" w14:textId="6201C855" w:rsidR="008A21AB" w:rsidRDefault="008A21AB" w:rsidP="00B0390E">
      <w:pPr>
        <w:pStyle w:val="Textparagrafu"/>
        <w:tabs>
          <w:tab w:val="left" w:pos="406"/>
          <w:tab w:val="left" w:pos="840"/>
        </w:tabs>
        <w:spacing w:before="0"/>
        <w:ind w:left="426" w:hanging="426"/>
      </w:pPr>
      <w:r w:rsidRPr="00531FAE">
        <w:t>f)</w:t>
      </w:r>
      <w:r w:rsidR="009A70CD">
        <w:tab/>
      </w:r>
      <w:r w:rsidRPr="00531FAE">
        <w:t>splňuje</w:t>
      </w:r>
      <w:r>
        <w:t xml:space="preserve"> </w:t>
      </w:r>
      <w:r w:rsidRPr="00531FAE">
        <w:t>podmínky</w:t>
      </w:r>
      <w:r>
        <w:t xml:space="preserve"> </w:t>
      </w:r>
      <w:r w:rsidRPr="00531FAE">
        <w:t>finanční</w:t>
      </w:r>
      <w:r>
        <w:t xml:space="preserve"> </w:t>
      </w:r>
      <w:r w:rsidRPr="00531FAE">
        <w:t>způsobilosti</w:t>
      </w:r>
      <w:r>
        <w:t xml:space="preserve"> </w:t>
      </w:r>
      <w:r w:rsidRPr="00531FAE">
        <w:t>pro</w:t>
      </w:r>
      <w:r>
        <w:t xml:space="preserve"> </w:t>
      </w:r>
      <w:r w:rsidRPr="00531FAE">
        <w:t>poskytování</w:t>
      </w:r>
      <w:r>
        <w:t xml:space="preserve"> </w:t>
      </w:r>
      <w:r w:rsidRPr="00531FAE">
        <w:t>evropské</w:t>
      </w:r>
      <w:r>
        <w:t xml:space="preserve"> </w:t>
      </w:r>
      <w:r w:rsidRPr="00531FAE">
        <w:t>služby</w:t>
      </w:r>
      <w:r>
        <w:t xml:space="preserve"> </w:t>
      </w:r>
      <w:r w:rsidRPr="00531FAE">
        <w:t>elektronického</w:t>
      </w:r>
      <w:r>
        <w:t xml:space="preserve"> </w:t>
      </w:r>
      <w:r w:rsidRPr="00531FAE">
        <w:t>mýtného,</w:t>
      </w:r>
    </w:p>
    <w:p w14:paraId="4B0BE9B7" w14:textId="7D76C40E" w:rsidR="008A21AB" w:rsidRDefault="008A21AB" w:rsidP="00B0390E">
      <w:pPr>
        <w:pStyle w:val="Textparagrafu"/>
        <w:tabs>
          <w:tab w:val="left" w:pos="406"/>
          <w:tab w:val="left" w:pos="840"/>
        </w:tabs>
        <w:spacing w:before="0"/>
        <w:ind w:left="426" w:hanging="426"/>
      </w:pPr>
      <w:r w:rsidRPr="00531FAE">
        <w:t>g)</w:t>
      </w:r>
      <w:r w:rsidR="009A70CD">
        <w:tab/>
      </w:r>
      <w:r w:rsidRPr="00531FAE">
        <w:t>má</w:t>
      </w:r>
      <w:r>
        <w:t xml:space="preserve"> </w:t>
      </w:r>
      <w:r w:rsidRPr="00531FAE">
        <w:t>zpracován</w:t>
      </w:r>
      <w:r>
        <w:t xml:space="preserve"> </w:t>
      </w:r>
      <w:r w:rsidRPr="00531FAE">
        <w:t>plán</w:t>
      </w:r>
      <w:r>
        <w:t xml:space="preserve"> </w:t>
      </w:r>
      <w:r w:rsidRPr="00531FAE">
        <w:t>řízení</w:t>
      </w:r>
      <w:r>
        <w:t xml:space="preserve"> </w:t>
      </w:r>
      <w:r w:rsidRPr="00531FAE">
        <w:t>rizik,</w:t>
      </w:r>
      <w:r>
        <w:t xml:space="preserve"> </w:t>
      </w:r>
      <w:r w:rsidRPr="00531FAE">
        <w:t>který</w:t>
      </w:r>
      <w:r>
        <w:t xml:space="preserve"> </w:t>
      </w:r>
      <w:r w:rsidRPr="00531FAE">
        <w:t>obsahuje</w:t>
      </w:r>
      <w:r>
        <w:t xml:space="preserve"> </w:t>
      </w:r>
      <w:r w:rsidRPr="00531FAE">
        <w:t>postupy</w:t>
      </w:r>
      <w:r>
        <w:t xml:space="preserve"> </w:t>
      </w:r>
      <w:r w:rsidRPr="00531FAE">
        <w:t>a</w:t>
      </w:r>
      <w:r>
        <w:t xml:space="preserve"> </w:t>
      </w:r>
      <w:r w:rsidRPr="00531FAE">
        <w:t>opatření</w:t>
      </w:r>
      <w:r>
        <w:t xml:space="preserve"> </w:t>
      </w:r>
      <w:r w:rsidRPr="00531FAE">
        <w:t>k</w:t>
      </w:r>
      <w:r>
        <w:t xml:space="preserve"> </w:t>
      </w:r>
      <w:r w:rsidRPr="00531FAE">
        <w:t>zajištění</w:t>
      </w:r>
      <w:r>
        <w:t xml:space="preserve"> </w:t>
      </w:r>
      <w:r w:rsidRPr="00531FAE">
        <w:t>úrovně</w:t>
      </w:r>
      <w:r>
        <w:t xml:space="preserve"> </w:t>
      </w:r>
      <w:r w:rsidRPr="00531FAE">
        <w:t>jím</w:t>
      </w:r>
      <w:r>
        <w:t xml:space="preserve"> </w:t>
      </w:r>
      <w:r w:rsidRPr="00531FAE">
        <w:t>poskytovaných</w:t>
      </w:r>
      <w:r>
        <w:t xml:space="preserve"> </w:t>
      </w:r>
      <w:r w:rsidRPr="00531FAE">
        <w:t>služeb,</w:t>
      </w:r>
      <w:r>
        <w:t xml:space="preserve"> </w:t>
      </w:r>
      <w:r w:rsidRPr="00531FAE">
        <w:t>a</w:t>
      </w:r>
    </w:p>
    <w:p w14:paraId="2311F12A" w14:textId="16404B23" w:rsidR="008A21AB" w:rsidRDefault="008A21AB" w:rsidP="00B0390E">
      <w:pPr>
        <w:pStyle w:val="Textparagrafu"/>
        <w:tabs>
          <w:tab w:val="left" w:pos="406"/>
          <w:tab w:val="left" w:pos="840"/>
        </w:tabs>
        <w:spacing w:before="0"/>
        <w:ind w:left="426" w:hanging="426"/>
      </w:pPr>
      <w:r w:rsidRPr="00531FAE">
        <w:t>h)</w:t>
      </w:r>
      <w:r w:rsidR="009A70CD">
        <w:tab/>
      </w:r>
      <w:r w:rsidRPr="00531FAE">
        <w:t>má</w:t>
      </w:r>
      <w:r>
        <w:t xml:space="preserve"> </w:t>
      </w:r>
      <w:r w:rsidRPr="00531FAE">
        <w:t>dobrou</w:t>
      </w:r>
      <w:r>
        <w:t xml:space="preserve"> </w:t>
      </w:r>
      <w:r w:rsidRPr="00531FAE">
        <w:t>pověst.</w:t>
      </w:r>
    </w:p>
    <w:p w14:paraId="025DB061" w14:textId="77777777" w:rsidR="008A21AB" w:rsidRDefault="008A21AB" w:rsidP="00A62336">
      <w:pPr>
        <w:pStyle w:val="Textparagrafu"/>
        <w:tabs>
          <w:tab w:val="left" w:pos="406"/>
          <w:tab w:val="left" w:pos="840"/>
        </w:tabs>
        <w:spacing w:before="120" w:after="120"/>
      </w:pPr>
      <w:r w:rsidRPr="00531FAE">
        <w:t>(2)</w:t>
      </w:r>
      <w:r>
        <w:t xml:space="preserve"> </w:t>
      </w:r>
      <w:r w:rsidRPr="00531FAE">
        <w:t>Žadatel</w:t>
      </w:r>
      <w:r>
        <w:t xml:space="preserve"> </w:t>
      </w:r>
      <w:r w:rsidRPr="00531FAE">
        <w:t>o</w:t>
      </w:r>
      <w:r>
        <w:t xml:space="preserve"> </w:t>
      </w:r>
      <w:r w:rsidRPr="00531FAE">
        <w:t>udělení</w:t>
      </w:r>
      <w:r>
        <w:t xml:space="preserve"> </w:t>
      </w:r>
      <w:r w:rsidRPr="00531FAE">
        <w:t>oprávnění</w:t>
      </w:r>
      <w:r>
        <w:t xml:space="preserve"> </w:t>
      </w:r>
      <w:r w:rsidRPr="00531FAE">
        <w:t>k</w:t>
      </w:r>
      <w:r>
        <w:t xml:space="preserve"> </w:t>
      </w:r>
      <w:r w:rsidRPr="00531FAE">
        <w:t>poskytování</w:t>
      </w:r>
      <w:r>
        <w:t xml:space="preserve"> </w:t>
      </w:r>
      <w:r w:rsidRPr="00531FAE">
        <w:t>evropské</w:t>
      </w:r>
      <w:r>
        <w:t xml:space="preserve"> </w:t>
      </w:r>
      <w:r w:rsidRPr="00531FAE">
        <w:t>služby</w:t>
      </w:r>
      <w:r>
        <w:t xml:space="preserve"> </w:t>
      </w:r>
      <w:r w:rsidRPr="00531FAE">
        <w:t>elektronického</w:t>
      </w:r>
      <w:r>
        <w:t xml:space="preserve"> </w:t>
      </w:r>
      <w:r w:rsidRPr="00531FAE">
        <w:t>mýtného</w:t>
      </w:r>
      <w:r>
        <w:t xml:space="preserve"> </w:t>
      </w:r>
      <w:r w:rsidRPr="00531FAE">
        <w:t>je</w:t>
      </w:r>
      <w:r>
        <w:t xml:space="preserve"> </w:t>
      </w:r>
      <w:r w:rsidRPr="00531FAE">
        <w:t>odborně</w:t>
      </w:r>
      <w:r>
        <w:t xml:space="preserve"> </w:t>
      </w:r>
      <w:r w:rsidRPr="00531FAE">
        <w:t>způsobilý,</w:t>
      </w:r>
      <w:r>
        <w:t xml:space="preserve"> </w:t>
      </w:r>
      <w:r w:rsidRPr="00531FAE">
        <w:t>pokud</w:t>
      </w:r>
      <w:r>
        <w:t xml:space="preserve"> </w:t>
      </w:r>
      <w:r w:rsidRPr="00531FAE">
        <w:t>alespoň</w:t>
      </w:r>
      <w:r>
        <w:t xml:space="preserve"> </w:t>
      </w:r>
      <w:r w:rsidRPr="00531FAE">
        <w:t>1</w:t>
      </w:r>
      <w:r>
        <w:t xml:space="preserve"> </w:t>
      </w:r>
      <w:r w:rsidRPr="00531FAE">
        <w:t>člen</w:t>
      </w:r>
      <w:r>
        <w:t xml:space="preserve"> </w:t>
      </w:r>
      <w:r w:rsidRPr="00531FAE">
        <w:t>statutárního</w:t>
      </w:r>
      <w:r>
        <w:t xml:space="preserve"> </w:t>
      </w:r>
      <w:r w:rsidRPr="00531FAE">
        <w:t>orgánu</w:t>
      </w:r>
      <w:r>
        <w:t xml:space="preserve"> </w:t>
      </w:r>
      <w:r w:rsidRPr="00531FAE">
        <w:t>je</w:t>
      </w:r>
      <w:r>
        <w:t xml:space="preserve"> </w:t>
      </w:r>
      <w:r w:rsidRPr="00531FAE">
        <w:t>absolventem</w:t>
      </w:r>
      <w:r>
        <w:t xml:space="preserve"> </w:t>
      </w:r>
      <w:r w:rsidRPr="00531FAE">
        <w:t>magisterského</w:t>
      </w:r>
      <w:r>
        <w:t xml:space="preserve"> </w:t>
      </w:r>
      <w:r w:rsidRPr="00531FAE">
        <w:t>studijního</w:t>
      </w:r>
      <w:r>
        <w:t xml:space="preserve"> </w:t>
      </w:r>
      <w:r w:rsidRPr="00531FAE">
        <w:t>programu</w:t>
      </w:r>
      <w:r>
        <w:t xml:space="preserve"> </w:t>
      </w:r>
      <w:r w:rsidRPr="00531FAE">
        <w:t>v</w:t>
      </w:r>
      <w:r>
        <w:t xml:space="preserve"> </w:t>
      </w:r>
      <w:r w:rsidRPr="00531FAE">
        <w:t>oblasti</w:t>
      </w:r>
      <w:r>
        <w:t xml:space="preserve"> </w:t>
      </w:r>
      <w:r w:rsidRPr="00531FAE">
        <w:t>technických</w:t>
      </w:r>
      <w:r>
        <w:t xml:space="preserve"> </w:t>
      </w:r>
      <w:r w:rsidRPr="00531FAE">
        <w:t>věd</w:t>
      </w:r>
      <w:r>
        <w:t xml:space="preserve"> </w:t>
      </w:r>
      <w:r w:rsidRPr="00531FAE">
        <w:t>nebo</w:t>
      </w:r>
      <w:r>
        <w:t xml:space="preserve"> </w:t>
      </w:r>
      <w:r w:rsidRPr="00531FAE">
        <w:t>ekonomie</w:t>
      </w:r>
      <w:r>
        <w:t xml:space="preserve"> </w:t>
      </w:r>
      <w:r w:rsidRPr="00531FAE">
        <w:t>a</w:t>
      </w:r>
      <w:r>
        <w:t xml:space="preserve"> </w:t>
      </w:r>
      <w:r w:rsidRPr="00531FAE">
        <w:t>má</w:t>
      </w:r>
      <w:r>
        <w:t xml:space="preserve"> </w:t>
      </w:r>
      <w:r w:rsidRPr="00531FAE">
        <w:t>alespoň</w:t>
      </w:r>
      <w:r>
        <w:t xml:space="preserve"> </w:t>
      </w:r>
      <w:r w:rsidRPr="00531FAE">
        <w:t>3</w:t>
      </w:r>
      <w:r>
        <w:t xml:space="preserve"> </w:t>
      </w:r>
      <w:r w:rsidRPr="00531FAE">
        <w:t>roky</w:t>
      </w:r>
      <w:r>
        <w:t xml:space="preserve"> </w:t>
      </w:r>
      <w:r w:rsidRPr="00531FAE">
        <w:t>praxe</w:t>
      </w:r>
      <w:r>
        <w:t xml:space="preserve"> </w:t>
      </w:r>
      <w:r w:rsidRPr="00531FAE">
        <w:t>v</w:t>
      </w:r>
      <w:r>
        <w:t xml:space="preserve"> </w:t>
      </w:r>
      <w:r w:rsidRPr="00531FAE">
        <w:t>oblasti</w:t>
      </w:r>
      <w:r>
        <w:t xml:space="preserve"> </w:t>
      </w:r>
      <w:r w:rsidRPr="00531FAE">
        <w:t>správy</w:t>
      </w:r>
      <w:r>
        <w:t xml:space="preserve"> </w:t>
      </w:r>
      <w:r w:rsidRPr="00531FAE">
        <w:t>nebo</w:t>
      </w:r>
      <w:r>
        <w:t xml:space="preserve"> </w:t>
      </w:r>
      <w:r w:rsidRPr="00531FAE">
        <w:t>poskytování</w:t>
      </w:r>
      <w:r>
        <w:t xml:space="preserve"> </w:t>
      </w:r>
      <w:r w:rsidRPr="00531FAE">
        <w:t>elektronického</w:t>
      </w:r>
      <w:r>
        <w:t xml:space="preserve"> </w:t>
      </w:r>
      <w:r w:rsidRPr="00531FAE">
        <w:t>mýtného,</w:t>
      </w:r>
      <w:r>
        <w:t xml:space="preserve"> </w:t>
      </w:r>
      <w:r w:rsidRPr="00531FAE">
        <w:t>služeb</w:t>
      </w:r>
      <w:r>
        <w:t xml:space="preserve"> </w:t>
      </w:r>
      <w:r w:rsidRPr="00531FAE">
        <w:t>informační</w:t>
      </w:r>
      <w:r>
        <w:t xml:space="preserve"> </w:t>
      </w:r>
      <w:r w:rsidRPr="00531FAE">
        <w:t>společnosti,</w:t>
      </w:r>
      <w:r>
        <w:t xml:space="preserve"> </w:t>
      </w:r>
      <w:r w:rsidRPr="00531FAE">
        <w:t>služeb</w:t>
      </w:r>
      <w:r>
        <w:t xml:space="preserve"> </w:t>
      </w:r>
      <w:r w:rsidRPr="00531FAE">
        <w:t>elektronických</w:t>
      </w:r>
      <w:r>
        <w:t xml:space="preserve"> </w:t>
      </w:r>
      <w:r w:rsidRPr="00531FAE">
        <w:t>komunikací</w:t>
      </w:r>
      <w:r>
        <w:t xml:space="preserve"> </w:t>
      </w:r>
      <w:r w:rsidRPr="00531FAE">
        <w:t>nebo</w:t>
      </w:r>
      <w:r>
        <w:t xml:space="preserve"> </w:t>
      </w:r>
      <w:r w:rsidRPr="00531FAE">
        <w:t>služeb</w:t>
      </w:r>
      <w:r>
        <w:t xml:space="preserve"> </w:t>
      </w:r>
      <w:r w:rsidRPr="00531FAE">
        <w:t>institucí</w:t>
      </w:r>
      <w:r>
        <w:t xml:space="preserve"> </w:t>
      </w:r>
      <w:r w:rsidRPr="00531FAE">
        <w:t>elektronických</w:t>
      </w:r>
      <w:r>
        <w:t xml:space="preserve"> </w:t>
      </w:r>
      <w:r w:rsidRPr="00531FAE">
        <w:t>peněz.</w:t>
      </w:r>
    </w:p>
    <w:p w14:paraId="5F441DBA" w14:textId="573B2399" w:rsidR="008A21AB" w:rsidRDefault="008A21AB" w:rsidP="00A62336">
      <w:pPr>
        <w:pStyle w:val="Textparagrafu"/>
        <w:tabs>
          <w:tab w:val="left" w:pos="406"/>
          <w:tab w:val="left" w:pos="840"/>
        </w:tabs>
        <w:spacing w:before="120" w:after="120"/>
      </w:pPr>
      <w:r w:rsidRPr="00531FAE">
        <w:t>(3)</w:t>
      </w:r>
      <w:r>
        <w:t xml:space="preserve"> </w:t>
      </w:r>
      <w:r w:rsidRPr="00531FAE">
        <w:t>Finanční</w:t>
      </w:r>
      <w:r>
        <w:t xml:space="preserve"> </w:t>
      </w:r>
      <w:r w:rsidRPr="00531FAE">
        <w:t>způsobilostí</w:t>
      </w:r>
      <w:r>
        <w:t xml:space="preserve"> </w:t>
      </w:r>
      <w:r w:rsidRPr="00531FAE">
        <w:t>pro</w:t>
      </w:r>
      <w:r>
        <w:t xml:space="preserve"> </w:t>
      </w:r>
      <w:r w:rsidRPr="00531FAE">
        <w:t>poskytování</w:t>
      </w:r>
      <w:r>
        <w:t xml:space="preserve"> </w:t>
      </w:r>
      <w:r w:rsidRPr="00531FAE">
        <w:t>evropské</w:t>
      </w:r>
      <w:r>
        <w:t xml:space="preserve"> </w:t>
      </w:r>
      <w:r w:rsidRPr="00531FAE">
        <w:t>služby</w:t>
      </w:r>
      <w:r>
        <w:t xml:space="preserve"> </w:t>
      </w:r>
      <w:r w:rsidRPr="00531FAE">
        <w:t>elektronického</w:t>
      </w:r>
      <w:r>
        <w:t xml:space="preserve"> </w:t>
      </w:r>
      <w:r w:rsidRPr="00531FAE">
        <w:t>mýtného</w:t>
      </w:r>
      <w:r>
        <w:t xml:space="preserve"> </w:t>
      </w:r>
      <w:r w:rsidRPr="00531FAE">
        <w:t>se</w:t>
      </w:r>
      <w:r>
        <w:t xml:space="preserve"> </w:t>
      </w:r>
      <w:r w:rsidRPr="00531FAE">
        <w:t>rozumí</w:t>
      </w:r>
      <w:r>
        <w:t xml:space="preserve"> </w:t>
      </w:r>
      <w:r w:rsidRPr="00531FAE">
        <w:t>schopnost</w:t>
      </w:r>
      <w:r>
        <w:t xml:space="preserve"> </w:t>
      </w:r>
      <w:r w:rsidRPr="00531FAE">
        <w:t>žadatele</w:t>
      </w:r>
      <w:r>
        <w:t xml:space="preserve"> </w:t>
      </w:r>
      <w:r w:rsidRPr="00531FAE">
        <w:t>o</w:t>
      </w:r>
      <w:r>
        <w:t xml:space="preserve"> </w:t>
      </w:r>
      <w:r w:rsidRPr="00531FAE">
        <w:t>udělení</w:t>
      </w:r>
      <w:r>
        <w:t xml:space="preserve"> </w:t>
      </w:r>
      <w:r w:rsidRPr="00531FAE">
        <w:t>oprávnění</w:t>
      </w:r>
      <w:r>
        <w:t xml:space="preserve"> </w:t>
      </w:r>
      <w:r w:rsidRPr="00531FAE">
        <w:t>k</w:t>
      </w:r>
      <w:r>
        <w:t xml:space="preserve"> </w:t>
      </w:r>
      <w:r w:rsidRPr="00531FAE">
        <w:t>poskytování</w:t>
      </w:r>
      <w:r>
        <w:t xml:space="preserve"> </w:t>
      </w:r>
      <w:r w:rsidRPr="00531FAE">
        <w:t>evropské</w:t>
      </w:r>
      <w:r>
        <w:t xml:space="preserve"> </w:t>
      </w:r>
      <w:r w:rsidRPr="00531FAE">
        <w:t>služby</w:t>
      </w:r>
      <w:r>
        <w:t xml:space="preserve"> </w:t>
      </w:r>
      <w:r w:rsidRPr="00531FAE">
        <w:t>elektronického</w:t>
      </w:r>
      <w:r>
        <w:t xml:space="preserve"> </w:t>
      </w:r>
      <w:r w:rsidRPr="00531FAE">
        <w:t>mýtného</w:t>
      </w:r>
      <w:r>
        <w:t xml:space="preserve"> </w:t>
      </w:r>
      <w:r w:rsidRPr="00531FAE">
        <w:t>finančně</w:t>
      </w:r>
      <w:r>
        <w:t xml:space="preserve"> </w:t>
      </w:r>
      <w:r w:rsidRPr="00531FAE">
        <w:t>zabezpečit</w:t>
      </w:r>
      <w:r>
        <w:t xml:space="preserve"> </w:t>
      </w:r>
      <w:r w:rsidRPr="00531FAE">
        <w:t>řádné</w:t>
      </w:r>
      <w:r>
        <w:t xml:space="preserve"> </w:t>
      </w:r>
      <w:r w:rsidRPr="00531FAE">
        <w:t>a</w:t>
      </w:r>
      <w:r>
        <w:t xml:space="preserve"> </w:t>
      </w:r>
      <w:r w:rsidRPr="00531FAE">
        <w:t>nepřetržité</w:t>
      </w:r>
      <w:r>
        <w:t xml:space="preserve"> </w:t>
      </w:r>
      <w:r w:rsidRPr="00531FAE">
        <w:t>poskytování</w:t>
      </w:r>
      <w:r>
        <w:t xml:space="preserve"> </w:t>
      </w:r>
      <w:r w:rsidRPr="00531FAE">
        <w:t>evropské</w:t>
      </w:r>
      <w:r>
        <w:t xml:space="preserve"> </w:t>
      </w:r>
      <w:r w:rsidRPr="00531FAE">
        <w:t>služby</w:t>
      </w:r>
      <w:r>
        <w:t xml:space="preserve"> </w:t>
      </w:r>
      <w:r w:rsidRPr="00531FAE">
        <w:t>elektronického</w:t>
      </w:r>
      <w:r>
        <w:t xml:space="preserve"> </w:t>
      </w:r>
      <w:r w:rsidRPr="00531FAE">
        <w:t>mýtného</w:t>
      </w:r>
      <w:r>
        <w:t xml:space="preserve"> </w:t>
      </w:r>
      <w:r w:rsidRPr="00531FAE">
        <w:t>v</w:t>
      </w:r>
      <w:r>
        <w:t xml:space="preserve"> </w:t>
      </w:r>
      <w:r w:rsidRPr="00531FAE">
        <w:t>členských</w:t>
      </w:r>
      <w:r>
        <w:t xml:space="preserve"> </w:t>
      </w:r>
      <w:r w:rsidRPr="00531FAE">
        <w:t>státech</w:t>
      </w:r>
      <w:r>
        <w:t xml:space="preserve"> </w:t>
      </w:r>
      <w:r w:rsidRPr="00531FAE">
        <w:t>Evropské</w:t>
      </w:r>
      <w:r>
        <w:t xml:space="preserve"> </w:t>
      </w:r>
      <w:r w:rsidRPr="00531FAE">
        <w:t>unie.</w:t>
      </w:r>
      <w:r>
        <w:t xml:space="preserve"> </w:t>
      </w:r>
      <w:r w:rsidRPr="00531FAE">
        <w:t>Finanční</w:t>
      </w:r>
      <w:r>
        <w:t xml:space="preserve"> </w:t>
      </w:r>
      <w:r w:rsidRPr="00531FAE">
        <w:t>způsobilost</w:t>
      </w:r>
      <w:r>
        <w:t xml:space="preserve"> </w:t>
      </w:r>
      <w:r w:rsidRPr="00531FAE">
        <w:t>se</w:t>
      </w:r>
      <w:r>
        <w:t xml:space="preserve"> </w:t>
      </w:r>
      <w:r w:rsidRPr="00531FAE">
        <w:t>prokazuje</w:t>
      </w:r>
      <w:r>
        <w:t xml:space="preserve"> </w:t>
      </w:r>
      <w:r w:rsidRPr="00413CED">
        <w:rPr>
          <w:strike/>
        </w:rPr>
        <w:t>účetní závěrkou za předcházející rok ověřenou auditorem, popřípadě poslední účetní závěrkou ověřenou auditorem,</w:t>
      </w:r>
      <w:r>
        <w:t xml:space="preserve"> </w:t>
      </w:r>
      <w:r w:rsidR="00413CED" w:rsidRPr="00A37334">
        <w:rPr>
          <w:b/>
          <w:bCs/>
          <w:szCs w:val="24"/>
          <w:bdr w:val="none" w:sz="0" w:space="0" w:color="auto" w:frame="1"/>
        </w:rPr>
        <w:t xml:space="preserve">řádnou individuální účetní závěrkou za poslední individuální účetní období, zprávou auditora o </w:t>
      </w:r>
      <w:r w:rsidR="00413CED">
        <w:rPr>
          <w:b/>
          <w:bCs/>
          <w:szCs w:val="24"/>
          <w:bdr w:val="none" w:sz="0" w:space="0" w:color="auto" w:frame="1"/>
        </w:rPr>
        <w:t xml:space="preserve">povinném auditu </w:t>
      </w:r>
      <w:r w:rsidRPr="00531FAE">
        <w:t>a</w:t>
      </w:r>
      <w:r>
        <w:t xml:space="preserve"> </w:t>
      </w:r>
      <w:r w:rsidRPr="00531FAE">
        <w:t>dokladem</w:t>
      </w:r>
      <w:r>
        <w:t xml:space="preserve"> </w:t>
      </w:r>
      <w:r w:rsidRPr="00531FAE">
        <w:t>o</w:t>
      </w:r>
      <w:r>
        <w:t xml:space="preserve"> </w:t>
      </w:r>
      <w:r w:rsidRPr="00531FAE">
        <w:t>uzavření</w:t>
      </w:r>
      <w:r>
        <w:t xml:space="preserve"> </w:t>
      </w:r>
      <w:r w:rsidRPr="00531FAE">
        <w:t>pojištění</w:t>
      </w:r>
      <w:r>
        <w:t xml:space="preserve"> </w:t>
      </w:r>
      <w:r w:rsidRPr="00531FAE">
        <w:t>odpovědnosti</w:t>
      </w:r>
      <w:r>
        <w:t xml:space="preserve"> </w:t>
      </w:r>
      <w:r w:rsidRPr="00531FAE">
        <w:t>za</w:t>
      </w:r>
      <w:r>
        <w:t xml:space="preserve"> </w:t>
      </w:r>
      <w:r w:rsidRPr="00531FAE">
        <w:t>škodu</w:t>
      </w:r>
      <w:r>
        <w:t xml:space="preserve"> </w:t>
      </w:r>
      <w:r w:rsidRPr="00531FAE">
        <w:t>způsobenou</w:t>
      </w:r>
      <w:r>
        <w:t xml:space="preserve"> </w:t>
      </w:r>
      <w:r w:rsidRPr="00531FAE">
        <w:t>v</w:t>
      </w:r>
      <w:r>
        <w:t xml:space="preserve"> </w:t>
      </w:r>
      <w:r w:rsidRPr="00531FAE">
        <w:t>souvislosti</w:t>
      </w:r>
      <w:r>
        <w:t xml:space="preserve"> </w:t>
      </w:r>
      <w:r w:rsidRPr="00531FAE">
        <w:t>s</w:t>
      </w:r>
      <w:r>
        <w:t xml:space="preserve"> </w:t>
      </w:r>
      <w:r w:rsidRPr="00531FAE">
        <w:t>poskytováním</w:t>
      </w:r>
      <w:r>
        <w:t xml:space="preserve"> </w:t>
      </w:r>
      <w:r w:rsidRPr="00531FAE">
        <w:t>evropské</w:t>
      </w:r>
      <w:r>
        <w:t xml:space="preserve"> </w:t>
      </w:r>
      <w:r w:rsidRPr="00531FAE">
        <w:t>služby</w:t>
      </w:r>
      <w:r>
        <w:t xml:space="preserve"> </w:t>
      </w:r>
      <w:r w:rsidRPr="00531FAE">
        <w:t>elektronického</w:t>
      </w:r>
      <w:r>
        <w:t xml:space="preserve"> </w:t>
      </w:r>
      <w:r w:rsidRPr="00531FAE">
        <w:t>mýtného</w:t>
      </w:r>
      <w:r w:rsidR="00413CED" w:rsidRPr="00E70210">
        <w:rPr>
          <w:b/>
          <w:bCs/>
          <w:szCs w:val="24"/>
        </w:rPr>
        <w:t>;</w:t>
      </w:r>
      <w:r w:rsidR="00413CED" w:rsidRPr="00E70210">
        <w:rPr>
          <w:b/>
          <w:bCs/>
        </w:rPr>
        <w:t xml:space="preserve"> </w:t>
      </w:r>
      <w:r w:rsidR="00413CED" w:rsidRPr="00E70210">
        <w:rPr>
          <w:b/>
          <w:bCs/>
          <w:szCs w:val="24"/>
        </w:rPr>
        <w:t xml:space="preserve">pro tyto účely musí být účetní závěrka sestavena v rozsahu stanoveném pro velké účetní jednotky a </w:t>
      </w:r>
      <w:r w:rsidR="00413CED">
        <w:rPr>
          <w:b/>
          <w:bCs/>
          <w:szCs w:val="24"/>
        </w:rPr>
        <w:t>žadatel</w:t>
      </w:r>
      <w:r w:rsidR="00413CED" w:rsidRPr="00E70210">
        <w:rPr>
          <w:b/>
          <w:bCs/>
          <w:szCs w:val="24"/>
        </w:rPr>
        <w:t xml:space="preserve"> má povinnost jejího auditu</w:t>
      </w:r>
      <w:r w:rsidRPr="00531FAE">
        <w:t>.</w:t>
      </w:r>
    </w:p>
    <w:p w14:paraId="53355405" w14:textId="12202C70" w:rsidR="008A21AB" w:rsidRDefault="008A21AB" w:rsidP="00A62336">
      <w:pPr>
        <w:pStyle w:val="Textparagrafu"/>
        <w:tabs>
          <w:tab w:val="left" w:pos="406"/>
          <w:tab w:val="left" w:pos="840"/>
        </w:tabs>
        <w:spacing w:before="120" w:after="120"/>
      </w:pPr>
      <w:r w:rsidRPr="00531FAE">
        <w:t>(4)</w:t>
      </w:r>
      <w:r>
        <w:t xml:space="preserve"> </w:t>
      </w:r>
      <w:r w:rsidRPr="00531FAE">
        <w:t>Žadatel</w:t>
      </w:r>
      <w:r>
        <w:t xml:space="preserve"> </w:t>
      </w:r>
      <w:r w:rsidRPr="00531FAE">
        <w:t>o</w:t>
      </w:r>
      <w:r>
        <w:t xml:space="preserve"> </w:t>
      </w:r>
      <w:r w:rsidRPr="00531FAE">
        <w:t>udělení</w:t>
      </w:r>
      <w:r>
        <w:t xml:space="preserve"> </w:t>
      </w:r>
      <w:r w:rsidRPr="00531FAE">
        <w:t>oprávnění</w:t>
      </w:r>
      <w:r>
        <w:t xml:space="preserve"> </w:t>
      </w:r>
      <w:r w:rsidRPr="00531FAE">
        <w:t>k</w:t>
      </w:r>
      <w:r>
        <w:t xml:space="preserve"> </w:t>
      </w:r>
      <w:r w:rsidRPr="00531FAE">
        <w:t>poskytování</w:t>
      </w:r>
      <w:r>
        <w:t xml:space="preserve"> </w:t>
      </w:r>
      <w:r w:rsidRPr="00531FAE">
        <w:t>evropské</w:t>
      </w:r>
      <w:r>
        <w:t xml:space="preserve"> </w:t>
      </w:r>
      <w:r w:rsidRPr="00531FAE">
        <w:t>služby</w:t>
      </w:r>
      <w:r>
        <w:t xml:space="preserve"> </w:t>
      </w:r>
      <w:r w:rsidRPr="00531FAE">
        <w:t>elektronického</w:t>
      </w:r>
      <w:r>
        <w:t xml:space="preserve"> </w:t>
      </w:r>
      <w:r w:rsidRPr="00531FAE">
        <w:t>mýtného</w:t>
      </w:r>
      <w:r>
        <w:t xml:space="preserve"> </w:t>
      </w:r>
      <w:r w:rsidRPr="00531FAE">
        <w:t>není</w:t>
      </w:r>
      <w:r>
        <w:t xml:space="preserve"> </w:t>
      </w:r>
      <w:r w:rsidRPr="00531FAE">
        <w:t>finančně</w:t>
      </w:r>
      <w:r>
        <w:t xml:space="preserve"> </w:t>
      </w:r>
      <w:r w:rsidRPr="00531FAE">
        <w:t>způsobilý,</w:t>
      </w:r>
      <w:r>
        <w:t xml:space="preserve"> </w:t>
      </w:r>
      <w:r w:rsidRPr="00531FAE">
        <w:t>pokud</w:t>
      </w:r>
      <w:r>
        <w:t xml:space="preserve"> </w:t>
      </w:r>
      <w:r w:rsidRPr="00531FAE">
        <w:t>bylo</w:t>
      </w:r>
      <w:r>
        <w:t xml:space="preserve"> </w:t>
      </w:r>
      <w:r w:rsidRPr="00531FAE">
        <w:t>rozhodnuto</w:t>
      </w:r>
      <w:r>
        <w:t xml:space="preserve"> </w:t>
      </w:r>
      <w:r w:rsidRPr="00531FAE">
        <w:t>o</w:t>
      </w:r>
      <w:r>
        <w:t xml:space="preserve"> </w:t>
      </w:r>
      <w:r w:rsidRPr="00531FAE">
        <w:t>zrušení</w:t>
      </w:r>
      <w:r>
        <w:t xml:space="preserve"> </w:t>
      </w:r>
      <w:r w:rsidRPr="00531FAE">
        <w:t>s</w:t>
      </w:r>
      <w:r>
        <w:t xml:space="preserve"> </w:t>
      </w:r>
      <w:r w:rsidRPr="00531FAE">
        <w:t>likvidací</w:t>
      </w:r>
      <w:r>
        <w:t xml:space="preserve"> </w:t>
      </w:r>
      <w:r w:rsidRPr="00531FAE">
        <w:t>nebo</w:t>
      </w:r>
      <w:r>
        <w:t xml:space="preserve"> </w:t>
      </w:r>
      <w:r w:rsidRPr="00531FAE">
        <w:t>bylo</w:t>
      </w:r>
      <w:r>
        <w:t xml:space="preserve"> </w:t>
      </w:r>
      <w:r w:rsidRPr="00531FAE">
        <w:t>rozhodnuto</w:t>
      </w:r>
      <w:r>
        <w:t xml:space="preserve"> </w:t>
      </w:r>
      <w:r w:rsidRPr="00531FAE">
        <w:t>o</w:t>
      </w:r>
      <w:r>
        <w:t xml:space="preserve"> </w:t>
      </w:r>
      <w:r w:rsidR="009A70CD">
        <w:t>úpadku</w:t>
      </w:r>
      <w:r w:rsidR="009A70CD" w:rsidRPr="00A62336">
        <w:rPr>
          <w:vertAlign w:val="superscript"/>
        </w:rPr>
        <w:footnoteReference w:customMarkFollows="1" w:id="232"/>
        <w:t>32)</w:t>
      </w:r>
      <w:r w:rsidRPr="00531FAE">
        <w:t>,</w:t>
      </w:r>
      <w:r>
        <w:t xml:space="preserve"> </w:t>
      </w:r>
      <w:r w:rsidRPr="00531FAE">
        <w:t>nebo</w:t>
      </w:r>
      <w:r>
        <w:t xml:space="preserve"> </w:t>
      </w:r>
      <w:r w:rsidRPr="00531FAE">
        <w:t>jestliže</w:t>
      </w:r>
      <w:r>
        <w:t xml:space="preserve"> </w:t>
      </w:r>
      <w:r w:rsidRPr="00531FAE">
        <w:t>má</w:t>
      </w:r>
      <w:r>
        <w:t xml:space="preserve"> </w:t>
      </w:r>
      <w:r w:rsidRPr="00531FAE">
        <w:t>nedoplatky</w:t>
      </w:r>
      <w:r>
        <w:t xml:space="preserve"> </w:t>
      </w:r>
      <w:r w:rsidRPr="00531FAE">
        <w:t>na</w:t>
      </w:r>
      <w:r>
        <w:t xml:space="preserve"> </w:t>
      </w:r>
      <w:r w:rsidRPr="00531FAE">
        <w:t>daních,</w:t>
      </w:r>
      <w:r>
        <w:t xml:space="preserve"> </w:t>
      </w:r>
      <w:r w:rsidRPr="00531FAE">
        <w:t>pojistném</w:t>
      </w:r>
      <w:r>
        <w:t xml:space="preserve"> </w:t>
      </w:r>
      <w:r w:rsidRPr="00531FAE">
        <w:t>na</w:t>
      </w:r>
      <w:r>
        <w:t xml:space="preserve"> </w:t>
      </w:r>
      <w:r w:rsidRPr="00531FAE">
        <w:t>sociální</w:t>
      </w:r>
      <w:r>
        <w:t xml:space="preserve"> </w:t>
      </w:r>
      <w:r w:rsidRPr="00531FAE">
        <w:t>zabezpečení</w:t>
      </w:r>
      <w:r>
        <w:t xml:space="preserve"> </w:t>
      </w:r>
      <w:r w:rsidRPr="00531FAE">
        <w:t>a</w:t>
      </w:r>
      <w:r>
        <w:t xml:space="preserve"> </w:t>
      </w:r>
      <w:r w:rsidRPr="00531FAE">
        <w:t>příspěvku</w:t>
      </w:r>
      <w:r>
        <w:t xml:space="preserve"> </w:t>
      </w:r>
      <w:r w:rsidRPr="00531FAE">
        <w:t>na</w:t>
      </w:r>
      <w:r>
        <w:t xml:space="preserve"> </w:t>
      </w:r>
      <w:r w:rsidRPr="00531FAE">
        <w:t>státní</w:t>
      </w:r>
      <w:r>
        <w:t xml:space="preserve"> </w:t>
      </w:r>
      <w:r w:rsidRPr="00531FAE">
        <w:t>politiku</w:t>
      </w:r>
      <w:r>
        <w:t xml:space="preserve"> </w:t>
      </w:r>
      <w:r w:rsidRPr="00531FAE">
        <w:t>zaměstnanosti</w:t>
      </w:r>
      <w:r>
        <w:t xml:space="preserve"> </w:t>
      </w:r>
      <w:r w:rsidRPr="00531FAE">
        <w:t>včetně</w:t>
      </w:r>
      <w:r>
        <w:t xml:space="preserve"> </w:t>
      </w:r>
      <w:r w:rsidRPr="00531FAE">
        <w:t>penále</w:t>
      </w:r>
      <w:r>
        <w:t xml:space="preserve"> </w:t>
      </w:r>
      <w:r w:rsidRPr="00531FAE">
        <w:t>nebo</w:t>
      </w:r>
      <w:r>
        <w:t xml:space="preserve"> </w:t>
      </w:r>
      <w:r w:rsidRPr="00531FAE">
        <w:t>na</w:t>
      </w:r>
      <w:r>
        <w:t xml:space="preserve"> </w:t>
      </w:r>
      <w:r w:rsidRPr="00531FAE">
        <w:t>pojistném</w:t>
      </w:r>
      <w:r>
        <w:t xml:space="preserve"> </w:t>
      </w:r>
      <w:r w:rsidRPr="00531FAE">
        <w:t>na</w:t>
      </w:r>
      <w:r>
        <w:t xml:space="preserve"> </w:t>
      </w:r>
      <w:r w:rsidRPr="00531FAE">
        <w:t>všeobecné</w:t>
      </w:r>
      <w:r>
        <w:t xml:space="preserve"> </w:t>
      </w:r>
      <w:r w:rsidRPr="00531FAE">
        <w:t>zdravotní</w:t>
      </w:r>
      <w:r>
        <w:t xml:space="preserve"> </w:t>
      </w:r>
      <w:r w:rsidRPr="00531FAE">
        <w:t>pojištění</w:t>
      </w:r>
      <w:r>
        <w:t xml:space="preserve"> </w:t>
      </w:r>
      <w:r w:rsidRPr="00531FAE">
        <w:t>včetně</w:t>
      </w:r>
      <w:r>
        <w:t xml:space="preserve"> </w:t>
      </w:r>
      <w:r w:rsidRPr="00531FAE">
        <w:t>penále.</w:t>
      </w:r>
    </w:p>
    <w:p w14:paraId="3FE5206E" w14:textId="77777777" w:rsidR="008A21AB" w:rsidRDefault="008A21AB" w:rsidP="00A62336">
      <w:pPr>
        <w:pStyle w:val="Textparagrafu"/>
        <w:tabs>
          <w:tab w:val="left" w:pos="406"/>
          <w:tab w:val="left" w:pos="840"/>
        </w:tabs>
        <w:spacing w:before="120" w:after="120"/>
      </w:pPr>
      <w:r w:rsidRPr="00531FAE">
        <w:t>(5)</w:t>
      </w:r>
      <w:r>
        <w:t xml:space="preserve"> </w:t>
      </w:r>
      <w:r w:rsidRPr="00531FAE">
        <w:t>Poskytovatel</w:t>
      </w:r>
      <w:r>
        <w:t xml:space="preserve"> </w:t>
      </w:r>
      <w:r w:rsidRPr="00531FAE">
        <w:t>evropského</w:t>
      </w:r>
      <w:r>
        <w:t xml:space="preserve"> </w:t>
      </w:r>
      <w:r w:rsidRPr="00531FAE">
        <w:t>mýtného</w:t>
      </w:r>
      <w:r>
        <w:t xml:space="preserve"> </w:t>
      </w:r>
      <w:r w:rsidRPr="00531FAE">
        <w:t>má</w:t>
      </w:r>
      <w:r>
        <w:t xml:space="preserve"> </w:t>
      </w:r>
      <w:r w:rsidRPr="00531FAE">
        <w:t>dobrou</w:t>
      </w:r>
      <w:r>
        <w:t xml:space="preserve"> </w:t>
      </w:r>
      <w:r w:rsidRPr="00531FAE">
        <w:t>pověst,</w:t>
      </w:r>
      <w:r>
        <w:t xml:space="preserve"> </w:t>
      </w:r>
      <w:r w:rsidRPr="00531FAE">
        <w:t>pokud</w:t>
      </w:r>
      <w:r>
        <w:t xml:space="preserve"> </w:t>
      </w:r>
      <w:r w:rsidRPr="00531FAE">
        <w:t>členové</w:t>
      </w:r>
      <w:r>
        <w:t xml:space="preserve"> </w:t>
      </w:r>
      <w:r w:rsidRPr="00531FAE">
        <w:t>statutárního</w:t>
      </w:r>
      <w:r>
        <w:t xml:space="preserve"> </w:t>
      </w:r>
      <w:r w:rsidRPr="00531FAE">
        <w:t>orgánu</w:t>
      </w:r>
      <w:r>
        <w:t xml:space="preserve"> </w:t>
      </w:r>
      <w:r w:rsidRPr="00531FAE">
        <w:t>jsou</w:t>
      </w:r>
      <w:r>
        <w:t xml:space="preserve"> </w:t>
      </w:r>
      <w:r w:rsidRPr="00531FAE">
        <w:t>bezúhonní.</w:t>
      </w:r>
      <w:r>
        <w:t xml:space="preserve"> </w:t>
      </w:r>
      <w:r w:rsidRPr="00531FAE">
        <w:t>Za</w:t>
      </w:r>
      <w:r>
        <w:t xml:space="preserve"> </w:t>
      </w:r>
      <w:r w:rsidRPr="00531FAE">
        <w:t>bezúhonného</w:t>
      </w:r>
      <w:r>
        <w:t xml:space="preserve"> </w:t>
      </w:r>
      <w:r w:rsidRPr="00531FAE">
        <w:t>se</w:t>
      </w:r>
      <w:r>
        <w:t xml:space="preserve"> </w:t>
      </w:r>
      <w:r w:rsidRPr="00531FAE">
        <w:t>pro</w:t>
      </w:r>
      <w:r>
        <w:t xml:space="preserve"> </w:t>
      </w:r>
      <w:r w:rsidRPr="00531FAE">
        <w:t>účely</w:t>
      </w:r>
      <w:r>
        <w:t xml:space="preserve"> </w:t>
      </w:r>
      <w:r w:rsidRPr="00531FAE">
        <w:t>tohoto</w:t>
      </w:r>
      <w:r>
        <w:t xml:space="preserve"> </w:t>
      </w:r>
      <w:r w:rsidRPr="00531FAE">
        <w:t>zákona</w:t>
      </w:r>
      <w:r>
        <w:t xml:space="preserve"> </w:t>
      </w:r>
      <w:r w:rsidRPr="00531FAE">
        <w:t>nepovažuje</w:t>
      </w:r>
      <w:r>
        <w:t xml:space="preserve"> </w:t>
      </w:r>
      <w:r w:rsidRPr="00531FAE">
        <w:t>ten,</w:t>
      </w:r>
      <w:r>
        <w:t xml:space="preserve"> </w:t>
      </w:r>
      <w:r w:rsidRPr="00531FAE">
        <w:t>kdo</w:t>
      </w:r>
      <w:r>
        <w:t xml:space="preserve"> </w:t>
      </w:r>
      <w:r w:rsidRPr="00531FAE">
        <w:t>byl</w:t>
      </w:r>
      <w:r>
        <w:t xml:space="preserve"> </w:t>
      </w:r>
      <w:r w:rsidRPr="00531FAE">
        <w:t>pravomocně</w:t>
      </w:r>
      <w:r>
        <w:t xml:space="preserve"> </w:t>
      </w:r>
      <w:r w:rsidRPr="00531FAE">
        <w:t>odsouzen</w:t>
      </w:r>
      <w:r>
        <w:t xml:space="preserve"> </w:t>
      </w:r>
      <w:r w:rsidRPr="00531FAE">
        <w:t>pro</w:t>
      </w:r>
      <w:r>
        <w:t xml:space="preserve"> </w:t>
      </w:r>
      <w:r w:rsidRPr="00531FAE">
        <w:t>trestný</w:t>
      </w:r>
      <w:r>
        <w:t xml:space="preserve"> </w:t>
      </w:r>
      <w:r w:rsidRPr="00531FAE">
        <w:t>čin</w:t>
      </w:r>
      <w:r>
        <w:t xml:space="preserve"> </w:t>
      </w:r>
      <w:r w:rsidRPr="00531FAE">
        <w:t>spáchaný</w:t>
      </w:r>
      <w:r>
        <w:t xml:space="preserve"> </w:t>
      </w:r>
      <w:r w:rsidRPr="00531FAE">
        <w:t>úmyslně</w:t>
      </w:r>
      <w:r>
        <w:t xml:space="preserve"> </w:t>
      </w:r>
      <w:r w:rsidRPr="00531FAE">
        <w:t>k</w:t>
      </w:r>
      <w:r>
        <w:t xml:space="preserve"> </w:t>
      </w:r>
      <w:r w:rsidRPr="00531FAE">
        <w:t>nepodmíněnému</w:t>
      </w:r>
      <w:r>
        <w:t xml:space="preserve"> </w:t>
      </w:r>
      <w:r w:rsidRPr="00531FAE">
        <w:t>trestu</w:t>
      </w:r>
      <w:r>
        <w:t xml:space="preserve"> </w:t>
      </w:r>
      <w:r w:rsidRPr="00531FAE">
        <w:t>odnětí</w:t>
      </w:r>
      <w:r>
        <w:t xml:space="preserve"> </w:t>
      </w:r>
      <w:r w:rsidRPr="00531FAE">
        <w:t>svobody</w:t>
      </w:r>
      <w:r>
        <w:t xml:space="preserve"> </w:t>
      </w:r>
      <w:r w:rsidRPr="00531FAE">
        <w:t>v</w:t>
      </w:r>
      <w:r>
        <w:t xml:space="preserve"> </w:t>
      </w:r>
      <w:r w:rsidRPr="00531FAE">
        <w:t>trvání</w:t>
      </w:r>
      <w:r>
        <w:t xml:space="preserve"> </w:t>
      </w:r>
      <w:r w:rsidRPr="00531FAE">
        <w:t>alespoň</w:t>
      </w:r>
      <w:r>
        <w:t xml:space="preserve"> </w:t>
      </w:r>
      <w:r w:rsidRPr="00531FAE">
        <w:t>1</w:t>
      </w:r>
      <w:r>
        <w:t xml:space="preserve"> </w:t>
      </w:r>
      <w:r w:rsidRPr="00531FAE">
        <w:t>roku,</w:t>
      </w:r>
      <w:r>
        <w:t xml:space="preserve"> </w:t>
      </w:r>
      <w:r w:rsidRPr="00531FAE">
        <w:t>pro</w:t>
      </w:r>
      <w:r>
        <w:t xml:space="preserve"> </w:t>
      </w:r>
      <w:r w:rsidRPr="00531FAE">
        <w:t>trestný</w:t>
      </w:r>
      <w:r>
        <w:t xml:space="preserve"> </w:t>
      </w:r>
      <w:r w:rsidRPr="00531FAE">
        <w:t>čin</w:t>
      </w:r>
      <w:r>
        <w:t xml:space="preserve"> </w:t>
      </w:r>
      <w:r w:rsidRPr="00531FAE">
        <w:t>spáchaný</w:t>
      </w:r>
      <w:r>
        <w:t xml:space="preserve"> </w:t>
      </w:r>
      <w:r w:rsidRPr="00531FAE">
        <w:t>úmyslně,</w:t>
      </w:r>
      <w:r>
        <w:t xml:space="preserve"> </w:t>
      </w:r>
      <w:r w:rsidRPr="00531FAE">
        <w:t>jehož</w:t>
      </w:r>
      <w:r>
        <w:t xml:space="preserve"> </w:t>
      </w:r>
      <w:r w:rsidRPr="00531FAE">
        <w:t>skutková</w:t>
      </w:r>
      <w:r>
        <w:t xml:space="preserve"> </w:t>
      </w:r>
      <w:r w:rsidRPr="00531FAE">
        <w:t>podstata</w:t>
      </w:r>
      <w:r>
        <w:t xml:space="preserve"> </w:t>
      </w:r>
      <w:r w:rsidRPr="00531FAE">
        <w:t>souvisí</w:t>
      </w:r>
      <w:r>
        <w:t xml:space="preserve"> </w:t>
      </w:r>
      <w:r w:rsidRPr="00531FAE">
        <w:t>s</w:t>
      </w:r>
      <w:r>
        <w:t xml:space="preserve"> </w:t>
      </w:r>
      <w:r w:rsidRPr="00531FAE">
        <w:t>podnikáním,</w:t>
      </w:r>
      <w:r>
        <w:t xml:space="preserve"> </w:t>
      </w:r>
      <w:r w:rsidRPr="00531FAE">
        <w:t>nebo</w:t>
      </w:r>
      <w:r>
        <w:t xml:space="preserve"> </w:t>
      </w:r>
      <w:r w:rsidRPr="00531FAE">
        <w:t>pro</w:t>
      </w:r>
      <w:r>
        <w:t xml:space="preserve"> </w:t>
      </w:r>
      <w:r w:rsidRPr="00531FAE">
        <w:t>trestný</w:t>
      </w:r>
      <w:r>
        <w:t xml:space="preserve"> </w:t>
      </w:r>
      <w:r w:rsidRPr="00531FAE">
        <w:t>čin</w:t>
      </w:r>
      <w:r>
        <w:t xml:space="preserve"> </w:t>
      </w:r>
      <w:r w:rsidRPr="00531FAE">
        <w:t>spáchaný</w:t>
      </w:r>
      <w:r>
        <w:t xml:space="preserve"> </w:t>
      </w:r>
      <w:r w:rsidRPr="00531FAE">
        <w:t>z</w:t>
      </w:r>
      <w:r>
        <w:t xml:space="preserve"> </w:t>
      </w:r>
      <w:r w:rsidRPr="00531FAE">
        <w:t>nedbalosti,</w:t>
      </w:r>
      <w:r>
        <w:t xml:space="preserve"> </w:t>
      </w:r>
      <w:r w:rsidRPr="00531FAE">
        <w:t>jehož</w:t>
      </w:r>
      <w:r>
        <w:t xml:space="preserve"> </w:t>
      </w:r>
      <w:r w:rsidRPr="00531FAE">
        <w:t>skutková</w:t>
      </w:r>
      <w:r>
        <w:t xml:space="preserve"> </w:t>
      </w:r>
      <w:r w:rsidRPr="00531FAE">
        <w:t>podstata</w:t>
      </w:r>
      <w:r>
        <w:t xml:space="preserve"> </w:t>
      </w:r>
      <w:r w:rsidRPr="00531FAE">
        <w:t>souvisí</w:t>
      </w:r>
      <w:r>
        <w:t xml:space="preserve"> </w:t>
      </w:r>
      <w:r w:rsidRPr="00531FAE">
        <w:t>s</w:t>
      </w:r>
      <w:r>
        <w:t xml:space="preserve"> </w:t>
      </w:r>
      <w:r w:rsidRPr="00531FAE">
        <w:t>předmětem</w:t>
      </w:r>
      <w:r>
        <w:t xml:space="preserve"> </w:t>
      </w:r>
      <w:r w:rsidRPr="00531FAE">
        <w:t>podnikání,</w:t>
      </w:r>
      <w:r>
        <w:t xml:space="preserve"> </w:t>
      </w:r>
      <w:r w:rsidRPr="00531FAE">
        <w:t>pokud</w:t>
      </w:r>
      <w:r>
        <w:t xml:space="preserve"> </w:t>
      </w:r>
      <w:r w:rsidRPr="00531FAE">
        <w:t>se</w:t>
      </w:r>
      <w:r>
        <w:t xml:space="preserve"> </w:t>
      </w:r>
      <w:r w:rsidRPr="00531FAE">
        <w:t>na</w:t>
      </w:r>
      <w:r>
        <w:t xml:space="preserve"> </w:t>
      </w:r>
      <w:r w:rsidRPr="00531FAE">
        <w:t>něho</w:t>
      </w:r>
      <w:r>
        <w:t xml:space="preserve"> </w:t>
      </w:r>
      <w:r w:rsidRPr="00531FAE">
        <w:t>nehledí,</w:t>
      </w:r>
      <w:r>
        <w:t xml:space="preserve"> </w:t>
      </w:r>
      <w:r w:rsidRPr="00531FAE">
        <w:t>jako</w:t>
      </w:r>
      <w:r>
        <w:t xml:space="preserve"> </w:t>
      </w:r>
      <w:r w:rsidRPr="00531FAE">
        <w:t>by</w:t>
      </w:r>
      <w:r>
        <w:t xml:space="preserve"> </w:t>
      </w:r>
      <w:r w:rsidRPr="00531FAE">
        <w:t>nebyl</w:t>
      </w:r>
      <w:r>
        <w:t xml:space="preserve"> </w:t>
      </w:r>
      <w:r w:rsidRPr="00531FAE">
        <w:t>odsouzen.</w:t>
      </w:r>
    </w:p>
    <w:p w14:paraId="5419E2EB" w14:textId="7845D983" w:rsidR="008A21AB" w:rsidRDefault="008A21AB" w:rsidP="00A62336">
      <w:pPr>
        <w:pStyle w:val="Textparagrafu"/>
        <w:tabs>
          <w:tab w:val="left" w:pos="406"/>
          <w:tab w:val="left" w:pos="840"/>
        </w:tabs>
        <w:spacing w:before="120" w:after="120"/>
      </w:pPr>
      <w:r w:rsidRPr="00531FAE">
        <w:lastRenderedPageBreak/>
        <w:t>(6)</w:t>
      </w:r>
      <w:r>
        <w:t xml:space="preserve"> </w:t>
      </w:r>
      <w:r w:rsidRPr="00531FAE">
        <w:t>Za</w:t>
      </w:r>
      <w:r>
        <w:t xml:space="preserve"> </w:t>
      </w:r>
      <w:r w:rsidRPr="00531FAE">
        <w:t>účelem</w:t>
      </w:r>
      <w:r>
        <w:t xml:space="preserve"> </w:t>
      </w:r>
      <w:r w:rsidRPr="00531FAE">
        <w:t>zjištění,</w:t>
      </w:r>
      <w:r>
        <w:t xml:space="preserve"> </w:t>
      </w:r>
      <w:r w:rsidRPr="00531FAE">
        <w:t>zda</w:t>
      </w:r>
      <w:r>
        <w:t xml:space="preserve"> </w:t>
      </w:r>
      <w:r w:rsidRPr="00531FAE">
        <w:t>žadatel</w:t>
      </w:r>
      <w:r>
        <w:t xml:space="preserve"> </w:t>
      </w:r>
      <w:r w:rsidRPr="00531FAE">
        <w:t>splňuje</w:t>
      </w:r>
      <w:r>
        <w:t xml:space="preserve"> </w:t>
      </w:r>
      <w:r w:rsidRPr="00531FAE">
        <w:t>podmínku</w:t>
      </w:r>
      <w:r>
        <w:t xml:space="preserve"> </w:t>
      </w:r>
      <w:r w:rsidRPr="00531FAE">
        <w:t>dobré</w:t>
      </w:r>
      <w:r>
        <w:t xml:space="preserve"> </w:t>
      </w:r>
      <w:r w:rsidRPr="00531FAE">
        <w:t>pověsti</w:t>
      </w:r>
      <w:r>
        <w:t xml:space="preserve"> </w:t>
      </w:r>
      <w:r w:rsidRPr="00531FAE">
        <w:t>podle</w:t>
      </w:r>
      <w:r>
        <w:t xml:space="preserve"> </w:t>
      </w:r>
      <w:r w:rsidRPr="00531FAE">
        <w:t>odstavce</w:t>
      </w:r>
      <w:r>
        <w:t xml:space="preserve"> </w:t>
      </w:r>
      <w:r w:rsidRPr="00531FAE">
        <w:t>1</w:t>
      </w:r>
      <w:r>
        <w:t xml:space="preserve"> </w:t>
      </w:r>
      <w:r w:rsidRPr="00531FAE">
        <w:t>písm.</w:t>
      </w:r>
      <w:r>
        <w:t xml:space="preserve"> </w:t>
      </w:r>
      <w:r w:rsidRPr="00531FAE">
        <w:t>h),</w:t>
      </w:r>
      <w:r>
        <w:t xml:space="preserve"> </w:t>
      </w:r>
      <w:r w:rsidRPr="00531FAE">
        <w:t>si</w:t>
      </w:r>
      <w:r>
        <w:t xml:space="preserve"> </w:t>
      </w:r>
      <w:r w:rsidRPr="00531FAE">
        <w:t>Ministerstvo</w:t>
      </w:r>
      <w:r>
        <w:t xml:space="preserve"> </w:t>
      </w:r>
      <w:r w:rsidRPr="00531FAE">
        <w:t>dopravy</w:t>
      </w:r>
      <w:r>
        <w:t xml:space="preserve"> </w:t>
      </w:r>
      <w:r w:rsidRPr="00531FAE">
        <w:t>vyžádá</w:t>
      </w:r>
      <w:r>
        <w:t xml:space="preserve"> </w:t>
      </w:r>
      <w:r w:rsidRPr="00531FAE">
        <w:t>podle</w:t>
      </w:r>
      <w:r>
        <w:t xml:space="preserve"> </w:t>
      </w:r>
      <w:r w:rsidRPr="00531FAE">
        <w:t>zvláštního</w:t>
      </w:r>
      <w:r>
        <w:t xml:space="preserve"> </w:t>
      </w:r>
      <w:r w:rsidRPr="00531FAE">
        <w:t>právního</w:t>
      </w:r>
      <w:r>
        <w:t xml:space="preserve"> </w:t>
      </w:r>
      <w:r w:rsidR="009A70CD">
        <w:t>předpisu</w:t>
      </w:r>
      <w:r w:rsidR="009A70CD">
        <w:rPr>
          <w:rStyle w:val="Znakapoznpodarou"/>
        </w:rPr>
        <w:footnoteReference w:customMarkFollows="1" w:id="233"/>
        <w:t>33)</w:t>
      </w:r>
      <w:r>
        <w:t xml:space="preserve"> </w:t>
      </w:r>
      <w:r w:rsidRPr="00531FAE">
        <w:t>výpis</w:t>
      </w:r>
      <w:r>
        <w:t xml:space="preserve"> </w:t>
      </w:r>
      <w:r w:rsidRPr="00531FAE">
        <w:t>z</w:t>
      </w:r>
      <w:r>
        <w:t xml:space="preserve"> </w:t>
      </w:r>
      <w:r w:rsidRPr="00531FAE">
        <w:t>evidence</w:t>
      </w:r>
      <w:r>
        <w:t xml:space="preserve"> </w:t>
      </w:r>
      <w:r w:rsidRPr="00531FAE">
        <w:t>Rejstříku</w:t>
      </w:r>
      <w:r>
        <w:t xml:space="preserve"> </w:t>
      </w:r>
      <w:r w:rsidRPr="00531FAE">
        <w:t>trestů.</w:t>
      </w:r>
      <w:r>
        <w:t xml:space="preserve"> </w:t>
      </w:r>
      <w:r w:rsidRPr="00531FAE">
        <w:t>Žádost</w:t>
      </w:r>
      <w:r>
        <w:t xml:space="preserve"> </w:t>
      </w:r>
      <w:r w:rsidRPr="00531FAE">
        <w:t>o</w:t>
      </w:r>
      <w:r>
        <w:t xml:space="preserve"> </w:t>
      </w:r>
      <w:r w:rsidRPr="00531FAE">
        <w:t>vydání</w:t>
      </w:r>
      <w:r>
        <w:t xml:space="preserve"> </w:t>
      </w:r>
      <w:r w:rsidRPr="00531FAE">
        <w:t>výpisu</w:t>
      </w:r>
      <w:r>
        <w:t xml:space="preserve"> </w:t>
      </w:r>
      <w:r w:rsidRPr="00531FAE">
        <w:t>z</w:t>
      </w:r>
      <w:r>
        <w:t xml:space="preserve"> </w:t>
      </w:r>
      <w:r w:rsidRPr="00531FAE">
        <w:t>evidence</w:t>
      </w:r>
      <w:r>
        <w:t xml:space="preserve"> </w:t>
      </w:r>
      <w:r w:rsidRPr="00531FAE">
        <w:t>Rejstříku</w:t>
      </w:r>
      <w:r>
        <w:t xml:space="preserve"> </w:t>
      </w:r>
      <w:r w:rsidRPr="00531FAE">
        <w:t>trestů</w:t>
      </w:r>
      <w:r>
        <w:t xml:space="preserve"> </w:t>
      </w:r>
      <w:r w:rsidRPr="00531FAE">
        <w:t>a</w:t>
      </w:r>
      <w:r>
        <w:t xml:space="preserve"> </w:t>
      </w:r>
      <w:r w:rsidRPr="00531FAE">
        <w:t>výpis</w:t>
      </w:r>
      <w:r>
        <w:t xml:space="preserve"> </w:t>
      </w:r>
      <w:r w:rsidRPr="00531FAE">
        <w:t>z</w:t>
      </w:r>
      <w:r>
        <w:t xml:space="preserve"> </w:t>
      </w:r>
      <w:r w:rsidRPr="00531FAE">
        <w:t>evidence</w:t>
      </w:r>
      <w:r>
        <w:t xml:space="preserve"> </w:t>
      </w:r>
      <w:r w:rsidRPr="00531FAE">
        <w:t>Rejstříku</w:t>
      </w:r>
      <w:r>
        <w:t xml:space="preserve"> </w:t>
      </w:r>
      <w:r w:rsidRPr="00531FAE">
        <w:t>trestů</w:t>
      </w:r>
      <w:r>
        <w:t xml:space="preserve"> </w:t>
      </w:r>
      <w:r w:rsidRPr="00531FAE">
        <w:t>se</w:t>
      </w:r>
      <w:r>
        <w:t xml:space="preserve"> </w:t>
      </w:r>
      <w:r w:rsidRPr="00531FAE">
        <w:t>předávají</w:t>
      </w:r>
      <w:r>
        <w:t xml:space="preserve"> </w:t>
      </w:r>
      <w:r w:rsidRPr="00531FAE">
        <w:t>v</w:t>
      </w:r>
      <w:r>
        <w:t xml:space="preserve"> </w:t>
      </w:r>
      <w:r w:rsidRPr="00531FAE">
        <w:t>elektronické</w:t>
      </w:r>
      <w:r>
        <w:t xml:space="preserve"> </w:t>
      </w:r>
      <w:r w:rsidRPr="00531FAE">
        <w:t>podobě,</w:t>
      </w:r>
      <w:r>
        <w:t xml:space="preserve"> </w:t>
      </w:r>
      <w:r w:rsidRPr="00531FAE">
        <w:t>a</w:t>
      </w:r>
      <w:r>
        <w:t xml:space="preserve"> </w:t>
      </w:r>
      <w:r w:rsidRPr="00531FAE">
        <w:t>to</w:t>
      </w:r>
      <w:r>
        <w:t xml:space="preserve"> </w:t>
      </w:r>
      <w:r w:rsidRPr="00531FAE">
        <w:t>způsobem</w:t>
      </w:r>
      <w:r>
        <w:t xml:space="preserve"> </w:t>
      </w:r>
      <w:r w:rsidRPr="00531FAE">
        <w:t>umožňujícím</w:t>
      </w:r>
      <w:r>
        <w:t xml:space="preserve"> </w:t>
      </w:r>
      <w:r w:rsidRPr="00531FAE">
        <w:t>dálkový</w:t>
      </w:r>
      <w:r>
        <w:t xml:space="preserve"> </w:t>
      </w:r>
      <w:r w:rsidRPr="00531FAE">
        <w:t>přístup.</w:t>
      </w:r>
    </w:p>
    <w:p w14:paraId="00232BBD" w14:textId="77777777" w:rsidR="008A21AB" w:rsidRDefault="008A21AB" w:rsidP="00A62336">
      <w:pPr>
        <w:pStyle w:val="Textparagrafu"/>
        <w:tabs>
          <w:tab w:val="left" w:pos="406"/>
          <w:tab w:val="left" w:pos="840"/>
        </w:tabs>
        <w:spacing w:before="120" w:after="120"/>
      </w:pPr>
      <w:r w:rsidRPr="00531FAE">
        <w:t>(7)</w:t>
      </w:r>
      <w:r>
        <w:t xml:space="preserve"> </w:t>
      </w:r>
      <w:r w:rsidRPr="00531FAE">
        <w:t>Podmínky</w:t>
      </w:r>
      <w:r>
        <w:t xml:space="preserve"> </w:t>
      </w:r>
      <w:r w:rsidRPr="00531FAE">
        <w:t>udělení</w:t>
      </w:r>
      <w:r>
        <w:t xml:space="preserve"> </w:t>
      </w:r>
      <w:r w:rsidRPr="00531FAE">
        <w:t>oprávnění</w:t>
      </w:r>
      <w:r>
        <w:t xml:space="preserve"> </w:t>
      </w:r>
      <w:r w:rsidRPr="00531FAE">
        <w:t>k</w:t>
      </w:r>
      <w:r>
        <w:t xml:space="preserve"> </w:t>
      </w:r>
      <w:r w:rsidRPr="00531FAE">
        <w:t>poskytování</w:t>
      </w:r>
      <w:r>
        <w:t xml:space="preserve"> </w:t>
      </w:r>
      <w:r w:rsidRPr="00531FAE">
        <w:t>evropské</w:t>
      </w:r>
      <w:r>
        <w:t xml:space="preserve"> </w:t>
      </w:r>
      <w:r w:rsidRPr="00531FAE">
        <w:t>služby</w:t>
      </w:r>
      <w:r>
        <w:t xml:space="preserve"> </w:t>
      </w:r>
      <w:r w:rsidRPr="00531FAE">
        <w:t>elektronického</w:t>
      </w:r>
      <w:r>
        <w:t xml:space="preserve"> </w:t>
      </w:r>
      <w:r w:rsidRPr="00531FAE">
        <w:t>mýtného</w:t>
      </w:r>
      <w:r>
        <w:t xml:space="preserve"> </w:t>
      </w:r>
      <w:r w:rsidRPr="00531FAE">
        <w:t>je</w:t>
      </w:r>
      <w:r>
        <w:t xml:space="preserve"> </w:t>
      </w:r>
      <w:r w:rsidRPr="00531FAE">
        <w:t>poskytovatel</w:t>
      </w:r>
      <w:r>
        <w:t xml:space="preserve"> </w:t>
      </w:r>
      <w:r w:rsidRPr="00531FAE">
        <w:t>evropského</w:t>
      </w:r>
      <w:r>
        <w:t xml:space="preserve"> </w:t>
      </w:r>
      <w:r w:rsidRPr="00531FAE">
        <w:t>mýtného</w:t>
      </w:r>
      <w:r>
        <w:t xml:space="preserve"> </w:t>
      </w:r>
      <w:r w:rsidRPr="00531FAE">
        <w:t>povinen</w:t>
      </w:r>
      <w:r>
        <w:t xml:space="preserve"> </w:t>
      </w:r>
      <w:r w:rsidRPr="00531FAE">
        <w:t>plnit</w:t>
      </w:r>
      <w:r>
        <w:t xml:space="preserve"> </w:t>
      </w:r>
      <w:r w:rsidRPr="00531FAE">
        <w:t>po</w:t>
      </w:r>
      <w:r>
        <w:t xml:space="preserve"> </w:t>
      </w:r>
      <w:r w:rsidRPr="00531FAE">
        <w:t>celou</w:t>
      </w:r>
      <w:r>
        <w:t xml:space="preserve"> </w:t>
      </w:r>
      <w:r w:rsidRPr="00531FAE">
        <w:t>dobu</w:t>
      </w:r>
      <w:r>
        <w:t xml:space="preserve"> </w:t>
      </w:r>
      <w:r w:rsidRPr="00531FAE">
        <w:t>platnosti</w:t>
      </w:r>
      <w:r>
        <w:t xml:space="preserve"> </w:t>
      </w:r>
      <w:r w:rsidRPr="00531FAE">
        <w:t>tohoto</w:t>
      </w:r>
      <w:r>
        <w:t xml:space="preserve"> </w:t>
      </w:r>
      <w:r w:rsidRPr="00531FAE">
        <w:t>oprávnění.</w:t>
      </w:r>
      <w:r>
        <w:t xml:space="preserve"> </w:t>
      </w:r>
      <w:r w:rsidRPr="00531FAE">
        <w:t>Ministerstvo</w:t>
      </w:r>
      <w:r>
        <w:t xml:space="preserve"> </w:t>
      </w:r>
      <w:r w:rsidRPr="00531FAE">
        <w:t>dopravy</w:t>
      </w:r>
      <w:r>
        <w:t xml:space="preserve"> </w:t>
      </w:r>
      <w:r w:rsidRPr="00531FAE">
        <w:t>každý</w:t>
      </w:r>
      <w:r>
        <w:t xml:space="preserve"> </w:t>
      </w:r>
      <w:r w:rsidRPr="00531FAE">
        <w:t>rok</w:t>
      </w:r>
      <w:r>
        <w:t xml:space="preserve"> </w:t>
      </w:r>
      <w:r w:rsidRPr="00531FAE">
        <w:t>ověří</w:t>
      </w:r>
      <w:r>
        <w:t xml:space="preserve"> </w:t>
      </w:r>
      <w:r w:rsidRPr="00531FAE">
        <w:t>plnění</w:t>
      </w:r>
      <w:r>
        <w:t xml:space="preserve"> </w:t>
      </w:r>
      <w:r w:rsidRPr="00531FAE">
        <w:t>podmínek</w:t>
      </w:r>
      <w:r>
        <w:t xml:space="preserve"> </w:t>
      </w:r>
      <w:r w:rsidRPr="00531FAE">
        <w:t>podle</w:t>
      </w:r>
      <w:r>
        <w:t xml:space="preserve"> </w:t>
      </w:r>
      <w:r w:rsidRPr="00531FAE">
        <w:t>odstavce</w:t>
      </w:r>
      <w:r>
        <w:t xml:space="preserve"> </w:t>
      </w:r>
      <w:r w:rsidRPr="00531FAE">
        <w:t>1</w:t>
      </w:r>
      <w:r>
        <w:t xml:space="preserve"> </w:t>
      </w:r>
      <w:r w:rsidRPr="00531FAE">
        <w:t>písm.</w:t>
      </w:r>
      <w:r>
        <w:t xml:space="preserve"> </w:t>
      </w:r>
      <w:r w:rsidRPr="00531FAE">
        <w:t>b)</w:t>
      </w:r>
      <w:r>
        <w:t xml:space="preserve"> </w:t>
      </w:r>
      <w:r w:rsidRPr="00531FAE">
        <w:t>a</w:t>
      </w:r>
      <w:r>
        <w:t xml:space="preserve"> </w:t>
      </w:r>
      <w:r w:rsidRPr="00531FAE">
        <w:t>f)</w:t>
      </w:r>
      <w:r>
        <w:t xml:space="preserve"> </w:t>
      </w:r>
      <w:r w:rsidRPr="00531FAE">
        <w:t>až</w:t>
      </w:r>
      <w:r>
        <w:t xml:space="preserve"> </w:t>
      </w:r>
      <w:r w:rsidRPr="00531FAE">
        <w:t>h).</w:t>
      </w:r>
    </w:p>
    <w:p w14:paraId="6051A762" w14:textId="77777777" w:rsidR="008A21AB" w:rsidRPr="00531FAE" w:rsidRDefault="008A21AB" w:rsidP="00A62336">
      <w:pPr>
        <w:pStyle w:val="Textparagrafu"/>
        <w:tabs>
          <w:tab w:val="left" w:pos="406"/>
          <w:tab w:val="left" w:pos="840"/>
        </w:tabs>
        <w:spacing w:before="120" w:after="120"/>
      </w:pPr>
      <w:r w:rsidRPr="00531FAE">
        <w:t>(8)</w:t>
      </w:r>
      <w:r>
        <w:t xml:space="preserve"> </w:t>
      </w:r>
      <w:r w:rsidRPr="00531FAE">
        <w:t>Náležitosti</w:t>
      </w:r>
      <w:r>
        <w:t xml:space="preserve"> </w:t>
      </w:r>
      <w:r w:rsidRPr="00531FAE">
        <w:t>plánu</w:t>
      </w:r>
      <w:r>
        <w:t xml:space="preserve"> </w:t>
      </w:r>
      <w:r w:rsidRPr="00531FAE">
        <w:t>pro</w:t>
      </w:r>
      <w:r>
        <w:t xml:space="preserve"> </w:t>
      </w:r>
      <w:r w:rsidRPr="00531FAE">
        <w:t>řízení</w:t>
      </w:r>
      <w:r>
        <w:t xml:space="preserve"> </w:t>
      </w:r>
      <w:r w:rsidRPr="00531FAE">
        <w:t>rizik</w:t>
      </w:r>
      <w:r>
        <w:t xml:space="preserve"> </w:t>
      </w:r>
      <w:r w:rsidRPr="00531FAE">
        <w:t>stanoví</w:t>
      </w:r>
      <w:r>
        <w:t xml:space="preserve"> </w:t>
      </w:r>
      <w:r w:rsidRPr="00531FAE">
        <w:t>prováděcí</w:t>
      </w:r>
      <w:r>
        <w:t xml:space="preserve"> </w:t>
      </w:r>
      <w:r w:rsidRPr="00531FAE">
        <w:t>právní</w:t>
      </w:r>
      <w:r>
        <w:t xml:space="preserve"> </w:t>
      </w:r>
      <w:r w:rsidRPr="00531FAE">
        <w:t>předpis.</w:t>
      </w:r>
    </w:p>
    <w:p w14:paraId="0CF3E3FE" w14:textId="77777777" w:rsidR="00413CED" w:rsidRDefault="00413CED" w:rsidP="008A21AB">
      <w:pPr>
        <w:pStyle w:val="Textparagrafu"/>
        <w:tabs>
          <w:tab w:val="left" w:pos="406"/>
          <w:tab w:val="left" w:pos="840"/>
          <w:tab w:val="left" w:pos="868"/>
        </w:tabs>
        <w:spacing w:after="120"/>
        <w:ind w:firstLine="0"/>
        <w:sectPr w:rsidR="00413CED" w:rsidSect="00554E2B">
          <w:footnotePr>
            <w:numStart w:val="3"/>
          </w:footnotePr>
          <w:endnotePr>
            <w:numFmt w:val="decimal"/>
          </w:endnotePr>
          <w:pgSz w:w="11906" w:h="16838"/>
          <w:pgMar w:top="1418" w:right="1418" w:bottom="1418" w:left="1418" w:header="709" w:footer="709" w:gutter="0"/>
          <w:cols w:space="708"/>
          <w:docGrid w:linePitch="360"/>
        </w:sectPr>
      </w:pPr>
    </w:p>
    <w:p w14:paraId="53B50529" w14:textId="16B60EC0" w:rsidR="00392D87" w:rsidRPr="008923DB" w:rsidRDefault="00392D87" w:rsidP="00A62336">
      <w:pPr>
        <w:pStyle w:val="Odstavecseseznamem"/>
        <w:tabs>
          <w:tab w:val="left" w:pos="851"/>
        </w:tabs>
        <w:spacing w:before="120" w:after="120"/>
        <w:ind w:left="0" w:firstLine="0"/>
        <w:jc w:val="center"/>
        <w:outlineLvl w:val="0"/>
        <w:rPr>
          <w:szCs w:val="24"/>
        </w:rPr>
      </w:pPr>
      <w:r w:rsidRPr="002E0715">
        <w:rPr>
          <w:b/>
          <w:szCs w:val="24"/>
        </w:rPr>
        <w:lastRenderedPageBreak/>
        <w:t xml:space="preserve">K části </w:t>
      </w:r>
      <w:r>
        <w:rPr>
          <w:b/>
          <w:szCs w:val="24"/>
        </w:rPr>
        <w:t xml:space="preserve">třicáté </w:t>
      </w:r>
      <w:r w:rsidR="00B0390E">
        <w:rPr>
          <w:b/>
          <w:szCs w:val="24"/>
        </w:rPr>
        <w:t>třetí</w:t>
      </w:r>
      <w:r w:rsidRPr="002E0715">
        <w:rPr>
          <w:b/>
          <w:szCs w:val="24"/>
        </w:rPr>
        <w:t xml:space="preserve"> návrhu zákona – </w:t>
      </w:r>
      <w:r w:rsidRPr="002E0715">
        <w:rPr>
          <w:szCs w:val="24"/>
        </w:rPr>
        <w:t xml:space="preserve">změna zákona </w:t>
      </w:r>
      <w:r w:rsidRPr="00392D87">
        <w:rPr>
          <w:szCs w:val="24"/>
        </w:rPr>
        <w:t>o civilním letectví</w:t>
      </w:r>
    </w:p>
    <w:p w14:paraId="6293DAAC" w14:textId="77777777" w:rsidR="00392D87" w:rsidRPr="00383BB6" w:rsidRDefault="00392D87" w:rsidP="00392D87">
      <w:pPr>
        <w:pStyle w:val="Odstavecseseznamem"/>
        <w:tabs>
          <w:tab w:val="left" w:pos="851"/>
        </w:tabs>
        <w:spacing w:before="120" w:after="120"/>
        <w:ind w:left="0" w:firstLine="0"/>
        <w:outlineLvl w:val="0"/>
        <w:rPr>
          <w:b/>
          <w:szCs w:val="24"/>
        </w:rPr>
      </w:pPr>
    </w:p>
    <w:p w14:paraId="5D38DE16" w14:textId="48F8E9D0" w:rsidR="00392D87" w:rsidRPr="00383BB6" w:rsidRDefault="00392D87" w:rsidP="00392D87">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383BB6">
        <w:rPr>
          <w:b/>
          <w:szCs w:val="24"/>
        </w:rPr>
        <w:t>Platné znění</w:t>
      </w:r>
      <w:r w:rsidRPr="00383BB6">
        <w:rPr>
          <w:szCs w:val="24"/>
        </w:rPr>
        <w:t xml:space="preserve"> zákona </w:t>
      </w:r>
      <w:r w:rsidRPr="00383BB6">
        <w:rPr>
          <w:color w:val="000000"/>
          <w:szCs w:val="24"/>
        </w:rPr>
        <w:t>č. </w:t>
      </w:r>
      <w:r>
        <w:rPr>
          <w:color w:val="000000"/>
          <w:szCs w:val="24"/>
        </w:rPr>
        <w:t>49</w:t>
      </w:r>
      <w:r w:rsidRPr="00383BB6">
        <w:rPr>
          <w:color w:val="000000"/>
          <w:szCs w:val="24"/>
        </w:rPr>
        <w:t>/</w:t>
      </w:r>
      <w:r w:rsidRPr="008923DB">
        <w:rPr>
          <w:szCs w:val="24"/>
        </w:rPr>
        <w:t>199</w:t>
      </w:r>
      <w:r>
        <w:rPr>
          <w:szCs w:val="24"/>
        </w:rPr>
        <w:t>7</w:t>
      </w:r>
      <w:r w:rsidRPr="008923DB">
        <w:rPr>
          <w:szCs w:val="24"/>
        </w:rPr>
        <w:t xml:space="preserve"> Sb., </w:t>
      </w:r>
      <w:r w:rsidRPr="00392D87">
        <w:rPr>
          <w:szCs w:val="24"/>
        </w:rPr>
        <w:t>o civilním letectví</w:t>
      </w:r>
    </w:p>
    <w:p w14:paraId="34FFA017" w14:textId="77777777" w:rsidR="00A62336" w:rsidRPr="00AE4818" w:rsidRDefault="00A62336" w:rsidP="00A62336">
      <w:pPr>
        <w:pStyle w:val="Odstavecseseznamem"/>
        <w:numPr>
          <w:ilvl w:val="0"/>
          <w:numId w:val="27"/>
        </w:numPr>
        <w:pBdr>
          <w:top w:val="single" w:sz="12" w:space="6" w:color="auto"/>
          <w:left w:val="single" w:sz="12" w:space="0" w:color="auto"/>
          <w:bottom w:val="single" w:sz="12" w:space="6" w:color="auto"/>
          <w:right w:val="single" w:sz="12" w:space="0" w:color="auto"/>
        </w:pBdr>
        <w:spacing w:before="0" w:after="120"/>
        <w:jc w:val="center"/>
        <w:rPr>
          <w:b/>
          <w:szCs w:val="24"/>
          <w:lang w:eastAsia="en-US"/>
        </w:rPr>
      </w:pPr>
      <w:r w:rsidRPr="00AE4818">
        <w:rPr>
          <w:b/>
          <w:szCs w:val="24"/>
          <w:lang w:eastAsia="en-US"/>
        </w:rPr>
        <w:t>s vyznačením navrhovaných změn a doplnění k 1. lednu 2025</w:t>
      </w:r>
    </w:p>
    <w:p w14:paraId="1FBA72FE" w14:textId="7BCA43EE" w:rsidR="008A21AB" w:rsidRDefault="00392D87" w:rsidP="00392D87">
      <w:pPr>
        <w:pStyle w:val="Textparagrafu"/>
        <w:tabs>
          <w:tab w:val="left" w:pos="406"/>
          <w:tab w:val="left" w:pos="840"/>
          <w:tab w:val="left" w:pos="868"/>
        </w:tabs>
        <w:spacing w:after="120"/>
        <w:ind w:firstLine="0"/>
        <w:jc w:val="center"/>
      </w:pPr>
      <w:r>
        <w:t>***</w:t>
      </w:r>
    </w:p>
    <w:p w14:paraId="352946A4" w14:textId="31FA3D6E" w:rsidR="00392D87" w:rsidRDefault="00392D87" w:rsidP="00392D87">
      <w:pPr>
        <w:pStyle w:val="Textparagrafu"/>
        <w:spacing w:after="120"/>
        <w:ind w:firstLine="0"/>
        <w:jc w:val="center"/>
      </w:pPr>
      <w:r w:rsidRPr="00C141BF">
        <w:t>§</w:t>
      </w:r>
      <w:r>
        <w:t xml:space="preserve"> </w:t>
      </w:r>
      <w:r w:rsidRPr="00C141BF">
        <w:t>3</w:t>
      </w:r>
    </w:p>
    <w:p w14:paraId="0B87D341" w14:textId="77777777" w:rsidR="00392D87" w:rsidRPr="00392D87" w:rsidRDefault="00392D87" w:rsidP="00392D87">
      <w:pPr>
        <w:pStyle w:val="Textparagrafu"/>
        <w:spacing w:after="120"/>
        <w:ind w:firstLine="0"/>
        <w:jc w:val="center"/>
        <w:rPr>
          <w:b/>
        </w:rPr>
      </w:pPr>
      <w:r w:rsidRPr="00392D87">
        <w:rPr>
          <w:b/>
        </w:rPr>
        <w:t>Zřízení Úřadu pro civilní letectví</w:t>
      </w:r>
    </w:p>
    <w:p w14:paraId="74C017A3" w14:textId="77777777" w:rsidR="00392D87" w:rsidRDefault="00392D87" w:rsidP="00532DF9">
      <w:pPr>
        <w:pStyle w:val="Textparagrafu"/>
        <w:spacing w:before="120" w:after="120"/>
      </w:pPr>
      <w:r w:rsidRPr="00C141BF">
        <w:t>(1)</w:t>
      </w:r>
      <w:r>
        <w:t xml:space="preserve"> </w:t>
      </w:r>
      <w:r w:rsidRPr="00C141BF">
        <w:t>Zřizuje</w:t>
      </w:r>
      <w:r>
        <w:t xml:space="preserve"> </w:t>
      </w:r>
      <w:r w:rsidRPr="00C141BF">
        <w:t>se</w:t>
      </w:r>
      <w:r>
        <w:t xml:space="preserve"> </w:t>
      </w:r>
      <w:r w:rsidRPr="00C141BF">
        <w:t>správní</w:t>
      </w:r>
      <w:r>
        <w:t xml:space="preserve"> </w:t>
      </w:r>
      <w:r w:rsidRPr="00C141BF">
        <w:t>úřad</w:t>
      </w:r>
      <w:r>
        <w:t xml:space="preserve"> </w:t>
      </w:r>
      <w:proofErr w:type="spellStart"/>
      <w:r w:rsidRPr="00C141BF">
        <w:t>Úřad</w:t>
      </w:r>
      <w:proofErr w:type="spellEnd"/>
      <w:r>
        <w:t xml:space="preserve"> </w:t>
      </w:r>
      <w:r w:rsidRPr="00C141BF">
        <w:t>pro</w:t>
      </w:r>
      <w:r>
        <w:t xml:space="preserve"> </w:t>
      </w:r>
      <w:r w:rsidRPr="00C141BF">
        <w:t>civilní</w:t>
      </w:r>
      <w:r>
        <w:t xml:space="preserve"> </w:t>
      </w:r>
      <w:r w:rsidRPr="00C141BF">
        <w:t>letectví</w:t>
      </w:r>
      <w:r>
        <w:t xml:space="preserve"> </w:t>
      </w:r>
      <w:r w:rsidRPr="00C141BF">
        <w:t>se</w:t>
      </w:r>
      <w:r>
        <w:t xml:space="preserve"> </w:t>
      </w:r>
      <w:r w:rsidRPr="00C141BF">
        <w:t>sídlem</w:t>
      </w:r>
      <w:r>
        <w:t xml:space="preserve"> </w:t>
      </w:r>
      <w:r w:rsidRPr="00C141BF">
        <w:t>v</w:t>
      </w:r>
      <w:r>
        <w:t xml:space="preserve"> </w:t>
      </w:r>
      <w:r w:rsidRPr="00C141BF">
        <w:t>Praze</w:t>
      </w:r>
      <w:r>
        <w:t xml:space="preserve"> </w:t>
      </w:r>
      <w:r w:rsidRPr="00C141BF">
        <w:t>(dále</w:t>
      </w:r>
      <w:r>
        <w:t xml:space="preserve"> </w:t>
      </w:r>
      <w:r w:rsidRPr="00C141BF">
        <w:t>jen</w:t>
      </w:r>
      <w:r>
        <w:t xml:space="preserve"> </w:t>
      </w:r>
      <w:r w:rsidRPr="00C141BF">
        <w:t>"Úřad")</w:t>
      </w:r>
      <w:r>
        <w:t xml:space="preserve"> </w:t>
      </w:r>
      <w:r w:rsidRPr="00C141BF">
        <w:t>pro</w:t>
      </w:r>
      <w:r>
        <w:t xml:space="preserve"> </w:t>
      </w:r>
      <w:r w:rsidRPr="00C141BF">
        <w:t>výkon</w:t>
      </w:r>
      <w:r>
        <w:t xml:space="preserve"> </w:t>
      </w:r>
      <w:r w:rsidRPr="00C141BF">
        <w:t>státní</w:t>
      </w:r>
      <w:r>
        <w:t xml:space="preserve"> </w:t>
      </w:r>
      <w:r w:rsidRPr="00C141BF">
        <w:t>správy</w:t>
      </w:r>
      <w:r>
        <w:t xml:space="preserve"> </w:t>
      </w:r>
      <w:r w:rsidRPr="00C141BF">
        <w:t>ve</w:t>
      </w:r>
      <w:r>
        <w:t xml:space="preserve"> </w:t>
      </w:r>
      <w:r w:rsidRPr="00C141BF">
        <w:t>věcech</w:t>
      </w:r>
      <w:r>
        <w:t xml:space="preserve"> </w:t>
      </w:r>
      <w:r w:rsidRPr="00C141BF">
        <w:t>civilního</w:t>
      </w:r>
      <w:r>
        <w:t xml:space="preserve"> </w:t>
      </w:r>
      <w:r w:rsidRPr="00C141BF">
        <w:t>letectví.</w:t>
      </w:r>
      <w:r>
        <w:t xml:space="preserve"> </w:t>
      </w:r>
      <w:r w:rsidRPr="00C141BF">
        <w:t>Úřad</w:t>
      </w:r>
      <w:r>
        <w:t xml:space="preserve"> </w:t>
      </w:r>
      <w:r w:rsidRPr="00C141BF">
        <w:t>je</w:t>
      </w:r>
      <w:r>
        <w:t xml:space="preserve"> </w:t>
      </w:r>
      <w:r w:rsidRPr="00C141BF">
        <w:t>podřízen</w:t>
      </w:r>
      <w:r>
        <w:t xml:space="preserve"> </w:t>
      </w:r>
      <w:r w:rsidRPr="00C141BF">
        <w:t>Ministerstvu</w:t>
      </w:r>
      <w:r>
        <w:t xml:space="preserve"> </w:t>
      </w:r>
      <w:r w:rsidRPr="00C141BF">
        <w:t>dopravy.</w:t>
      </w:r>
    </w:p>
    <w:p w14:paraId="0857BCCF" w14:textId="77777777" w:rsidR="00392D87" w:rsidRDefault="00392D87" w:rsidP="00532DF9">
      <w:pPr>
        <w:pStyle w:val="Textparagrafu"/>
        <w:spacing w:before="120" w:after="120"/>
      </w:pPr>
      <w:r w:rsidRPr="00C141BF">
        <w:t>(2)</w:t>
      </w:r>
      <w:r>
        <w:t xml:space="preserve"> </w:t>
      </w:r>
      <w:r w:rsidRPr="00C141BF">
        <w:t>V</w:t>
      </w:r>
      <w:r>
        <w:t xml:space="preserve"> </w:t>
      </w:r>
      <w:r w:rsidRPr="00C141BF">
        <w:t>čele</w:t>
      </w:r>
      <w:r>
        <w:t xml:space="preserve"> </w:t>
      </w:r>
      <w:r w:rsidRPr="00C141BF">
        <w:t>Úřadu</w:t>
      </w:r>
      <w:r>
        <w:t xml:space="preserve"> </w:t>
      </w:r>
      <w:r w:rsidRPr="00C141BF">
        <w:t>je</w:t>
      </w:r>
      <w:r>
        <w:t xml:space="preserve"> </w:t>
      </w:r>
      <w:r w:rsidRPr="00C141BF">
        <w:t>ředitel,</w:t>
      </w:r>
      <w:r>
        <w:t xml:space="preserve"> </w:t>
      </w:r>
      <w:r w:rsidRPr="00C141BF">
        <w:t>jehož</w:t>
      </w:r>
      <w:r>
        <w:t xml:space="preserve"> </w:t>
      </w:r>
      <w:r w:rsidRPr="00C141BF">
        <w:t>výběr,</w:t>
      </w:r>
      <w:r>
        <w:t xml:space="preserve"> </w:t>
      </w:r>
      <w:r w:rsidRPr="00C141BF">
        <w:t>jmenování</w:t>
      </w:r>
      <w:r>
        <w:t xml:space="preserve"> </w:t>
      </w:r>
      <w:r w:rsidRPr="00C141BF">
        <w:t>a</w:t>
      </w:r>
      <w:r>
        <w:t xml:space="preserve"> </w:t>
      </w:r>
      <w:r w:rsidRPr="00C141BF">
        <w:t>odvolání</w:t>
      </w:r>
      <w:r>
        <w:t xml:space="preserve"> </w:t>
      </w:r>
      <w:r w:rsidRPr="00C141BF">
        <w:t>se</w:t>
      </w:r>
      <w:r>
        <w:t xml:space="preserve"> </w:t>
      </w:r>
      <w:r w:rsidRPr="00C141BF">
        <w:t>řídí</w:t>
      </w:r>
      <w:r>
        <w:t xml:space="preserve"> </w:t>
      </w:r>
      <w:r w:rsidRPr="00C141BF">
        <w:t>zákonem</w:t>
      </w:r>
      <w:r>
        <w:t xml:space="preserve"> </w:t>
      </w:r>
      <w:r w:rsidRPr="00C141BF">
        <w:t>o</w:t>
      </w:r>
      <w:r>
        <w:t xml:space="preserve"> </w:t>
      </w:r>
      <w:r w:rsidRPr="00C141BF">
        <w:t>státní</w:t>
      </w:r>
      <w:r>
        <w:t xml:space="preserve"> </w:t>
      </w:r>
      <w:r w:rsidRPr="00C141BF">
        <w:t>službě.</w:t>
      </w:r>
    </w:p>
    <w:p w14:paraId="28F2F697" w14:textId="038E836D" w:rsidR="00392D87" w:rsidRDefault="00392D87" w:rsidP="00532DF9">
      <w:pPr>
        <w:pStyle w:val="Textparagrafu"/>
        <w:spacing w:before="120" w:after="120"/>
      </w:pPr>
      <w:r w:rsidRPr="00C141BF">
        <w:t>(3)</w:t>
      </w:r>
      <w:r>
        <w:t xml:space="preserve"> </w:t>
      </w:r>
      <w:r w:rsidRPr="00C141BF">
        <w:t>Úřad</w:t>
      </w:r>
      <w:r>
        <w:t xml:space="preserve"> </w:t>
      </w:r>
      <w:r w:rsidRPr="00C141BF">
        <w:t>spolupracuje</w:t>
      </w:r>
      <w:r>
        <w:t xml:space="preserve"> </w:t>
      </w:r>
      <w:r w:rsidRPr="00C141BF">
        <w:t>s</w:t>
      </w:r>
      <w:r>
        <w:t xml:space="preserve"> </w:t>
      </w:r>
      <w:r w:rsidRPr="00C141BF">
        <w:t>Agenturou</w:t>
      </w:r>
      <w:r>
        <w:t xml:space="preserve"> </w:t>
      </w:r>
      <w:r w:rsidRPr="00C141BF">
        <w:t>Evropské</w:t>
      </w:r>
      <w:r>
        <w:t xml:space="preserve"> </w:t>
      </w:r>
      <w:r w:rsidRPr="00C141BF">
        <w:t>unie</w:t>
      </w:r>
      <w:r>
        <w:t xml:space="preserve"> </w:t>
      </w:r>
      <w:r w:rsidRPr="00C141BF">
        <w:t>pro</w:t>
      </w:r>
      <w:r>
        <w:t xml:space="preserve"> </w:t>
      </w:r>
      <w:r w:rsidRPr="00C141BF">
        <w:t>bezpečnost</w:t>
      </w:r>
      <w:r>
        <w:t xml:space="preserve"> </w:t>
      </w:r>
      <w:r w:rsidRPr="00C141BF">
        <w:t>letectví</w:t>
      </w:r>
      <w:r>
        <w:t xml:space="preserve"> </w:t>
      </w:r>
      <w:r w:rsidRPr="00C141BF">
        <w:t>(dále</w:t>
      </w:r>
      <w:r>
        <w:t xml:space="preserve"> </w:t>
      </w:r>
      <w:r w:rsidRPr="00C141BF">
        <w:t>jen</w:t>
      </w:r>
      <w:r>
        <w:t xml:space="preserve"> </w:t>
      </w:r>
      <w:r w:rsidRPr="00C141BF">
        <w:t>"Agentura")</w:t>
      </w:r>
      <w:r>
        <w:t xml:space="preserve"> </w:t>
      </w:r>
      <w:r w:rsidRPr="00C141BF">
        <w:t>na</w:t>
      </w:r>
      <w:r>
        <w:t xml:space="preserve"> </w:t>
      </w:r>
      <w:r w:rsidRPr="00C141BF">
        <w:t>základě</w:t>
      </w:r>
      <w:r>
        <w:t xml:space="preserve"> </w:t>
      </w:r>
      <w:r w:rsidRPr="00C141BF">
        <w:t>přímo</w:t>
      </w:r>
      <w:r>
        <w:t xml:space="preserve"> </w:t>
      </w:r>
      <w:r w:rsidRPr="00C141BF">
        <w:t>použitelného</w:t>
      </w:r>
      <w:r>
        <w:t xml:space="preserve"> </w:t>
      </w:r>
      <w:r w:rsidRPr="00C141BF">
        <w:t>předpisu</w:t>
      </w:r>
      <w:r>
        <w:t xml:space="preserve"> </w:t>
      </w:r>
      <w:r w:rsidRPr="00C141BF">
        <w:t>Evropské</w:t>
      </w:r>
      <w:r>
        <w:t xml:space="preserve"> </w:t>
      </w:r>
      <w:r w:rsidRPr="00C141BF">
        <w:t>unie</w:t>
      </w:r>
      <w:r>
        <w:t xml:space="preserve"> </w:t>
      </w:r>
      <w:r w:rsidRPr="00C141BF">
        <w:t>upravujícího</w:t>
      </w:r>
      <w:r>
        <w:t xml:space="preserve"> </w:t>
      </w:r>
      <w:r w:rsidRPr="00C141BF">
        <w:t>společná</w:t>
      </w:r>
      <w:r>
        <w:t xml:space="preserve"> </w:t>
      </w:r>
      <w:r w:rsidRPr="00C141BF">
        <w:t>pravidla</w:t>
      </w:r>
      <w:r>
        <w:t xml:space="preserve"> </w:t>
      </w:r>
      <w:r w:rsidRPr="00C141BF">
        <w:t>v</w:t>
      </w:r>
      <w:r>
        <w:t xml:space="preserve"> </w:t>
      </w:r>
      <w:r w:rsidRPr="00C141BF">
        <w:t>oblasti</w:t>
      </w:r>
      <w:r>
        <w:t xml:space="preserve"> </w:t>
      </w:r>
      <w:r w:rsidRPr="00C141BF">
        <w:t>civilního</w:t>
      </w:r>
      <w:r>
        <w:t xml:space="preserve"> letectví</w:t>
      </w:r>
      <w:r>
        <w:rPr>
          <w:rStyle w:val="Znakapoznpodarou"/>
        </w:rPr>
        <w:footnoteReference w:customMarkFollows="1" w:id="234"/>
        <w:t>1c)</w:t>
      </w:r>
      <w:r w:rsidRPr="00C141BF">
        <w:t>.</w:t>
      </w:r>
      <w:r>
        <w:t xml:space="preserve"> </w:t>
      </w:r>
      <w:r w:rsidRPr="00C141BF">
        <w:t>Rozsah</w:t>
      </w:r>
      <w:r>
        <w:t xml:space="preserve"> </w:t>
      </w:r>
      <w:r w:rsidRPr="00C141BF">
        <w:t>a</w:t>
      </w:r>
      <w:r>
        <w:t xml:space="preserve"> </w:t>
      </w:r>
      <w:r w:rsidRPr="00C141BF">
        <w:t>podmínky</w:t>
      </w:r>
      <w:r>
        <w:t xml:space="preserve"> </w:t>
      </w:r>
      <w:r w:rsidRPr="00C141BF">
        <w:t>spolupráce</w:t>
      </w:r>
      <w:r>
        <w:t xml:space="preserve"> </w:t>
      </w:r>
      <w:r w:rsidRPr="00C141BF">
        <w:t>jsou</w:t>
      </w:r>
      <w:r>
        <w:t xml:space="preserve"> </w:t>
      </w:r>
      <w:r w:rsidRPr="00C141BF">
        <w:t>dále</w:t>
      </w:r>
      <w:r>
        <w:t xml:space="preserve"> </w:t>
      </w:r>
      <w:r w:rsidRPr="00C141BF">
        <w:t>upraveny</w:t>
      </w:r>
      <w:r>
        <w:t xml:space="preserve"> </w:t>
      </w:r>
      <w:r w:rsidRPr="00C141BF">
        <w:t>smlouvou</w:t>
      </w:r>
      <w:r>
        <w:t xml:space="preserve"> </w:t>
      </w:r>
      <w:r w:rsidRPr="00C141BF">
        <w:t>uzavřenou</w:t>
      </w:r>
      <w:r>
        <w:t xml:space="preserve"> </w:t>
      </w:r>
      <w:r w:rsidRPr="00C141BF">
        <w:t>mezi</w:t>
      </w:r>
      <w:r>
        <w:t xml:space="preserve"> </w:t>
      </w:r>
      <w:r w:rsidRPr="00C141BF">
        <w:t>Úřadem</w:t>
      </w:r>
      <w:r>
        <w:t xml:space="preserve"> </w:t>
      </w:r>
      <w:r w:rsidRPr="00C141BF">
        <w:t>a</w:t>
      </w:r>
      <w:r>
        <w:t xml:space="preserve"> </w:t>
      </w:r>
      <w:r w:rsidRPr="00C141BF">
        <w:t>Agenturou.</w:t>
      </w:r>
    </w:p>
    <w:p w14:paraId="0BEACAD6" w14:textId="233626BD" w:rsidR="00392D87" w:rsidRDefault="00392D87" w:rsidP="00532DF9">
      <w:pPr>
        <w:pStyle w:val="Textparagrafu"/>
        <w:spacing w:before="120" w:after="120"/>
      </w:pPr>
      <w:r w:rsidRPr="00C141BF">
        <w:t>(4)</w:t>
      </w:r>
      <w:r>
        <w:t xml:space="preserve"> </w:t>
      </w:r>
      <w:r w:rsidRPr="00C141BF">
        <w:t>Provádí-li</w:t>
      </w:r>
      <w:r>
        <w:t xml:space="preserve"> </w:t>
      </w:r>
      <w:r w:rsidRPr="00C141BF">
        <w:t>Úřad</w:t>
      </w:r>
      <w:r>
        <w:t xml:space="preserve"> </w:t>
      </w:r>
      <w:r w:rsidRPr="00C141BF">
        <w:t>činnosti</w:t>
      </w:r>
      <w:r>
        <w:t xml:space="preserve"> </w:t>
      </w:r>
      <w:r w:rsidRPr="00C141BF">
        <w:t>pro</w:t>
      </w:r>
      <w:r>
        <w:t xml:space="preserve"> </w:t>
      </w:r>
      <w:r w:rsidRPr="00C141BF">
        <w:t>Agenturu,</w:t>
      </w:r>
      <w:r>
        <w:t xml:space="preserve"> </w:t>
      </w:r>
      <w:r w:rsidRPr="00C141BF">
        <w:t>je</w:t>
      </w:r>
      <w:r>
        <w:t xml:space="preserve"> </w:t>
      </w:r>
      <w:r w:rsidRPr="00C141BF">
        <w:t>povinen</w:t>
      </w:r>
      <w:r>
        <w:t xml:space="preserve"> </w:t>
      </w:r>
      <w:r w:rsidRPr="00C141BF">
        <w:t>zřídit</w:t>
      </w:r>
      <w:r>
        <w:t xml:space="preserve"> </w:t>
      </w:r>
      <w:r w:rsidRPr="00C141BF">
        <w:t>pro</w:t>
      </w:r>
      <w:r>
        <w:t xml:space="preserve"> </w:t>
      </w:r>
      <w:r w:rsidRPr="00C141BF">
        <w:t>výnosy</w:t>
      </w:r>
      <w:r>
        <w:t xml:space="preserve"> </w:t>
      </w:r>
      <w:r w:rsidRPr="00C141BF">
        <w:t>z</w:t>
      </w:r>
      <w:r>
        <w:t xml:space="preserve"> </w:t>
      </w:r>
      <w:r w:rsidRPr="00C141BF">
        <w:t>těchto</w:t>
      </w:r>
      <w:r>
        <w:t xml:space="preserve"> </w:t>
      </w:r>
      <w:r w:rsidRPr="00C141BF">
        <w:t>činností</w:t>
      </w:r>
      <w:r>
        <w:t xml:space="preserve"> </w:t>
      </w:r>
      <w:r w:rsidRPr="00C141BF">
        <w:t>zvláštní</w:t>
      </w:r>
      <w:r>
        <w:t xml:space="preserve"> </w:t>
      </w:r>
      <w:r w:rsidRPr="00C141BF">
        <w:t>účet</w:t>
      </w:r>
      <w:r>
        <w:t xml:space="preserve"> </w:t>
      </w:r>
      <w:r w:rsidRPr="00C141BF">
        <w:t>a</w:t>
      </w:r>
      <w:r>
        <w:t xml:space="preserve"> </w:t>
      </w:r>
      <w:r w:rsidRPr="0044227B">
        <w:rPr>
          <w:strike/>
        </w:rPr>
        <w:t>vést oddělené účtování nákladů a výnosů</w:t>
      </w:r>
      <w:r w:rsidR="0044227B" w:rsidRPr="0044227B">
        <w:rPr>
          <w:b/>
        </w:rPr>
        <w:t xml:space="preserve"> </w:t>
      </w:r>
      <w:r w:rsidR="0044227B" w:rsidRPr="0020257A">
        <w:rPr>
          <w:b/>
        </w:rPr>
        <w:t>tyto činnosti sledovat v účetním systému odděleně</w:t>
      </w:r>
      <w:r w:rsidRPr="00C141BF">
        <w:t>.</w:t>
      </w:r>
      <w:r>
        <w:t xml:space="preserve"> </w:t>
      </w:r>
      <w:r w:rsidRPr="00C141BF">
        <w:t>Prostředky</w:t>
      </w:r>
      <w:r>
        <w:t xml:space="preserve"> </w:t>
      </w:r>
      <w:r w:rsidRPr="00C141BF">
        <w:t>účtu</w:t>
      </w:r>
      <w:r>
        <w:t xml:space="preserve"> </w:t>
      </w:r>
      <w:r w:rsidRPr="00C141BF">
        <w:t>je</w:t>
      </w:r>
      <w:r>
        <w:t xml:space="preserve"> </w:t>
      </w:r>
      <w:r w:rsidRPr="00C141BF">
        <w:t>Úřad</w:t>
      </w:r>
      <w:r>
        <w:t xml:space="preserve"> </w:t>
      </w:r>
      <w:r w:rsidRPr="00C141BF">
        <w:t>oprávněn</w:t>
      </w:r>
      <w:r>
        <w:t xml:space="preserve"> </w:t>
      </w:r>
      <w:r w:rsidRPr="00C141BF">
        <w:t>použít</w:t>
      </w:r>
      <w:r>
        <w:t xml:space="preserve"> </w:t>
      </w:r>
      <w:r w:rsidRPr="00C141BF">
        <w:t>jen</w:t>
      </w:r>
      <w:r>
        <w:t xml:space="preserve"> </w:t>
      </w:r>
      <w:r w:rsidRPr="00C141BF">
        <w:t>na</w:t>
      </w:r>
      <w:r>
        <w:t xml:space="preserve"> </w:t>
      </w:r>
      <w:r w:rsidRPr="00C141BF">
        <w:t>zvýšení</w:t>
      </w:r>
      <w:r>
        <w:t xml:space="preserve"> </w:t>
      </w:r>
      <w:r w:rsidRPr="00C141BF">
        <w:t>kvalifikace</w:t>
      </w:r>
      <w:r>
        <w:t xml:space="preserve"> </w:t>
      </w:r>
      <w:r w:rsidRPr="00C141BF">
        <w:t>svých</w:t>
      </w:r>
      <w:r>
        <w:t xml:space="preserve"> </w:t>
      </w:r>
      <w:r w:rsidRPr="00C141BF">
        <w:t>zaměstnanců,</w:t>
      </w:r>
      <w:r>
        <w:t xml:space="preserve"> </w:t>
      </w:r>
      <w:r w:rsidRPr="00C141BF">
        <w:t>nákup</w:t>
      </w:r>
      <w:r>
        <w:t xml:space="preserve"> </w:t>
      </w:r>
      <w:r w:rsidRPr="00C141BF">
        <w:t>technických</w:t>
      </w:r>
      <w:r>
        <w:t xml:space="preserve"> </w:t>
      </w:r>
      <w:r w:rsidRPr="00C141BF">
        <w:t>zařízení</w:t>
      </w:r>
      <w:r>
        <w:t xml:space="preserve"> </w:t>
      </w:r>
      <w:r w:rsidRPr="00C141BF">
        <w:t>a</w:t>
      </w:r>
      <w:r>
        <w:t xml:space="preserve"> </w:t>
      </w:r>
      <w:r w:rsidRPr="00C141BF">
        <w:t>financování</w:t>
      </w:r>
      <w:r>
        <w:t xml:space="preserve"> </w:t>
      </w:r>
      <w:r w:rsidRPr="00C141BF">
        <w:t>dalších</w:t>
      </w:r>
      <w:r>
        <w:t xml:space="preserve"> </w:t>
      </w:r>
      <w:r w:rsidRPr="00C141BF">
        <w:t>potřeb</w:t>
      </w:r>
      <w:r>
        <w:t xml:space="preserve"> </w:t>
      </w:r>
      <w:r w:rsidRPr="00C141BF">
        <w:t>nezbytných</w:t>
      </w:r>
      <w:r>
        <w:t xml:space="preserve"> </w:t>
      </w:r>
      <w:r w:rsidRPr="00C141BF">
        <w:t>pro</w:t>
      </w:r>
      <w:r>
        <w:t xml:space="preserve"> </w:t>
      </w:r>
      <w:r w:rsidRPr="00C141BF">
        <w:t>výkon</w:t>
      </w:r>
      <w:r>
        <w:t xml:space="preserve"> </w:t>
      </w:r>
      <w:r w:rsidRPr="00C141BF">
        <w:t>činností</w:t>
      </w:r>
      <w:r>
        <w:t xml:space="preserve"> </w:t>
      </w:r>
      <w:r w:rsidRPr="00C141BF">
        <w:t>pro</w:t>
      </w:r>
      <w:r>
        <w:t xml:space="preserve"> </w:t>
      </w:r>
      <w:r w:rsidRPr="00C141BF">
        <w:t>Agenturu.</w:t>
      </w:r>
      <w:r>
        <w:t xml:space="preserve"> </w:t>
      </w:r>
      <w:r w:rsidRPr="00C141BF">
        <w:t>Nevyčerpané</w:t>
      </w:r>
      <w:r>
        <w:t xml:space="preserve"> </w:t>
      </w:r>
      <w:r w:rsidRPr="00C141BF">
        <w:t>prostředky</w:t>
      </w:r>
      <w:r>
        <w:t xml:space="preserve"> </w:t>
      </w:r>
      <w:r w:rsidRPr="00C141BF">
        <w:t>účtu</w:t>
      </w:r>
      <w:r>
        <w:t xml:space="preserve"> </w:t>
      </w:r>
      <w:r w:rsidRPr="00C141BF">
        <w:t>v</w:t>
      </w:r>
      <w:r>
        <w:t xml:space="preserve"> </w:t>
      </w:r>
      <w:r w:rsidRPr="00C141BF">
        <w:t>kalendářním</w:t>
      </w:r>
      <w:r>
        <w:t xml:space="preserve"> </w:t>
      </w:r>
      <w:r w:rsidRPr="00C141BF">
        <w:t>roce</w:t>
      </w:r>
      <w:r>
        <w:t xml:space="preserve"> </w:t>
      </w:r>
      <w:r w:rsidRPr="00C141BF">
        <w:t>jsou</w:t>
      </w:r>
      <w:r>
        <w:t xml:space="preserve"> </w:t>
      </w:r>
      <w:r w:rsidRPr="00C141BF">
        <w:t>příjmem</w:t>
      </w:r>
      <w:r>
        <w:t xml:space="preserve"> </w:t>
      </w:r>
      <w:r w:rsidRPr="00C141BF">
        <w:t>státního</w:t>
      </w:r>
      <w:r>
        <w:t xml:space="preserve"> </w:t>
      </w:r>
      <w:r w:rsidRPr="00C141BF">
        <w:t>rozpočtu.</w:t>
      </w:r>
      <w:r>
        <w:t xml:space="preserve"> </w:t>
      </w:r>
      <w:r w:rsidRPr="00C141BF">
        <w:t>Výkaz</w:t>
      </w:r>
      <w:r>
        <w:t xml:space="preserve"> </w:t>
      </w:r>
      <w:r w:rsidRPr="00C141BF">
        <w:t>o</w:t>
      </w:r>
      <w:r>
        <w:t xml:space="preserve"> </w:t>
      </w:r>
      <w:r w:rsidRPr="00C141BF">
        <w:t>hospodaření</w:t>
      </w:r>
      <w:r>
        <w:t xml:space="preserve"> </w:t>
      </w:r>
      <w:r w:rsidRPr="00C141BF">
        <w:t>s</w:t>
      </w:r>
      <w:r>
        <w:t xml:space="preserve"> </w:t>
      </w:r>
      <w:r w:rsidRPr="00C141BF">
        <w:t>účtem</w:t>
      </w:r>
      <w:r>
        <w:t xml:space="preserve"> </w:t>
      </w:r>
      <w:r w:rsidRPr="00C141BF">
        <w:t>za</w:t>
      </w:r>
      <w:r>
        <w:t xml:space="preserve"> </w:t>
      </w:r>
      <w:r w:rsidRPr="00C141BF">
        <w:t>příslušný</w:t>
      </w:r>
      <w:r>
        <w:t xml:space="preserve"> </w:t>
      </w:r>
      <w:r w:rsidRPr="00C141BF">
        <w:t>kalendářní</w:t>
      </w:r>
      <w:r>
        <w:t xml:space="preserve"> </w:t>
      </w:r>
      <w:r w:rsidRPr="00C141BF">
        <w:t>rok</w:t>
      </w:r>
      <w:r>
        <w:t xml:space="preserve"> </w:t>
      </w:r>
      <w:r w:rsidRPr="00C141BF">
        <w:t>je</w:t>
      </w:r>
      <w:r>
        <w:t xml:space="preserve"> </w:t>
      </w:r>
      <w:r w:rsidRPr="00C141BF">
        <w:t>Úřad</w:t>
      </w:r>
      <w:r>
        <w:t xml:space="preserve"> </w:t>
      </w:r>
      <w:r w:rsidRPr="00C141BF">
        <w:t>povinen</w:t>
      </w:r>
      <w:r>
        <w:t xml:space="preserve"> </w:t>
      </w:r>
      <w:r w:rsidRPr="00C141BF">
        <w:t>zveřejnit</w:t>
      </w:r>
      <w:r>
        <w:t xml:space="preserve"> </w:t>
      </w:r>
      <w:r w:rsidRPr="00C141BF">
        <w:t>způsobem</w:t>
      </w:r>
      <w:r>
        <w:t xml:space="preserve"> </w:t>
      </w:r>
      <w:r w:rsidRPr="00C141BF">
        <w:t>umožňujícím</w:t>
      </w:r>
      <w:r>
        <w:t xml:space="preserve"> </w:t>
      </w:r>
      <w:r w:rsidRPr="00C141BF">
        <w:t>dálkový</w:t>
      </w:r>
      <w:r>
        <w:t xml:space="preserve"> přístup</w:t>
      </w:r>
      <w:r>
        <w:rPr>
          <w:rStyle w:val="Znakapoznpodarou"/>
        </w:rPr>
        <w:footnoteReference w:customMarkFollows="1" w:id="235"/>
        <w:t>1d)</w:t>
      </w:r>
      <w:r>
        <w:t xml:space="preserve"> </w:t>
      </w:r>
      <w:r w:rsidRPr="00C141BF">
        <w:t>do</w:t>
      </w:r>
      <w:r>
        <w:t xml:space="preserve"> </w:t>
      </w:r>
      <w:r w:rsidRPr="00C141BF">
        <w:t>6</w:t>
      </w:r>
      <w:r>
        <w:t xml:space="preserve"> </w:t>
      </w:r>
      <w:r w:rsidRPr="00C141BF">
        <w:t>měsíců</w:t>
      </w:r>
      <w:r>
        <w:t xml:space="preserve"> </w:t>
      </w:r>
      <w:r w:rsidRPr="00C141BF">
        <w:t>od</w:t>
      </w:r>
      <w:r>
        <w:t xml:space="preserve"> </w:t>
      </w:r>
      <w:r w:rsidRPr="00C141BF">
        <w:t>konce</w:t>
      </w:r>
      <w:r>
        <w:t xml:space="preserve"> </w:t>
      </w:r>
      <w:r w:rsidRPr="00C141BF">
        <w:t>příslušného</w:t>
      </w:r>
      <w:r>
        <w:t xml:space="preserve"> </w:t>
      </w:r>
      <w:r w:rsidRPr="00C141BF">
        <w:t>kalendářního</w:t>
      </w:r>
      <w:r>
        <w:t xml:space="preserve"> </w:t>
      </w:r>
      <w:r w:rsidRPr="00C141BF">
        <w:t>roku.</w:t>
      </w:r>
    </w:p>
    <w:p w14:paraId="49742E43" w14:textId="73384ED1" w:rsidR="00392D87" w:rsidRDefault="00392D87" w:rsidP="00532DF9">
      <w:pPr>
        <w:pStyle w:val="Textparagrafu"/>
        <w:spacing w:before="120" w:after="120"/>
      </w:pPr>
      <w:r w:rsidRPr="00C141BF">
        <w:t>(5)</w:t>
      </w:r>
      <w:r>
        <w:t xml:space="preserve"> </w:t>
      </w:r>
      <w:r w:rsidRPr="00C141BF">
        <w:t>Úřad</w:t>
      </w:r>
      <w:r>
        <w:t xml:space="preserve"> </w:t>
      </w:r>
      <w:r w:rsidRPr="00C141BF">
        <w:t>plní</w:t>
      </w:r>
      <w:r>
        <w:t xml:space="preserve"> </w:t>
      </w:r>
      <w:r w:rsidRPr="00C141BF">
        <w:t>úkoly</w:t>
      </w:r>
      <w:r>
        <w:t xml:space="preserve"> </w:t>
      </w:r>
      <w:r w:rsidRPr="00C141BF">
        <w:t>vnitrostátního</w:t>
      </w:r>
      <w:r>
        <w:t xml:space="preserve"> </w:t>
      </w:r>
      <w:r w:rsidRPr="00C141BF">
        <w:t>dozorového</w:t>
      </w:r>
      <w:r>
        <w:t xml:space="preserve"> </w:t>
      </w:r>
      <w:r w:rsidRPr="00C141BF">
        <w:t>orgánu</w:t>
      </w:r>
      <w:r>
        <w:t xml:space="preserve"> </w:t>
      </w:r>
      <w:r w:rsidRPr="00C141BF">
        <w:t>podle</w:t>
      </w:r>
      <w:r>
        <w:t xml:space="preserve"> </w:t>
      </w:r>
      <w:r w:rsidRPr="00C141BF">
        <w:t>přímo</w:t>
      </w:r>
      <w:r>
        <w:t xml:space="preserve"> </w:t>
      </w:r>
      <w:r w:rsidRPr="00C141BF">
        <w:t>použitelného</w:t>
      </w:r>
      <w:r>
        <w:t xml:space="preserve"> </w:t>
      </w:r>
      <w:r w:rsidRPr="00C141BF">
        <w:t>předpisu</w:t>
      </w:r>
      <w:r>
        <w:t xml:space="preserve"> </w:t>
      </w:r>
      <w:r w:rsidRPr="00C141BF">
        <w:t>Evropské</w:t>
      </w:r>
      <w:r>
        <w:t xml:space="preserve"> </w:t>
      </w:r>
      <w:r w:rsidRPr="00C141BF">
        <w:t>uni</w:t>
      </w:r>
      <w:r>
        <w:t>e</w:t>
      </w:r>
      <w:r>
        <w:rPr>
          <w:rStyle w:val="Znakapoznpodarou"/>
        </w:rPr>
        <w:footnoteReference w:customMarkFollows="1" w:id="236"/>
        <w:t>1e)</w:t>
      </w:r>
      <w:r w:rsidRPr="00C141BF">
        <w:t>.</w:t>
      </w:r>
    </w:p>
    <w:p w14:paraId="091F94DD" w14:textId="0621566F" w:rsidR="00392D87" w:rsidRDefault="00392D87" w:rsidP="00532DF9">
      <w:pPr>
        <w:pStyle w:val="Textparagrafu"/>
        <w:spacing w:before="120" w:after="120"/>
      </w:pPr>
      <w:r w:rsidRPr="00C141BF">
        <w:t>(6)</w:t>
      </w:r>
      <w:r>
        <w:t xml:space="preserve"> </w:t>
      </w:r>
      <w:r w:rsidRPr="00C141BF">
        <w:t>Úřad</w:t>
      </w:r>
      <w:r>
        <w:t xml:space="preserve"> </w:t>
      </w:r>
      <w:r w:rsidRPr="00C141BF">
        <w:t>může</w:t>
      </w:r>
      <w:r>
        <w:t xml:space="preserve"> </w:t>
      </w:r>
      <w:r w:rsidRPr="00C141BF">
        <w:t>svým</w:t>
      </w:r>
      <w:r>
        <w:t xml:space="preserve"> </w:t>
      </w:r>
      <w:r w:rsidRPr="00C141BF">
        <w:t>rozhodnutím</w:t>
      </w:r>
      <w:r>
        <w:t xml:space="preserve"> </w:t>
      </w:r>
      <w:r w:rsidRPr="00C141BF">
        <w:t>pověřit</w:t>
      </w:r>
      <w:r>
        <w:t xml:space="preserve"> </w:t>
      </w:r>
      <w:r w:rsidRPr="00C141BF">
        <w:t>plněním</w:t>
      </w:r>
      <w:r>
        <w:t xml:space="preserve"> </w:t>
      </w:r>
      <w:r w:rsidRPr="00C141BF">
        <w:t>úkolů</w:t>
      </w:r>
      <w:r>
        <w:t xml:space="preserve"> </w:t>
      </w:r>
      <w:r w:rsidRPr="00C141BF">
        <w:t>v</w:t>
      </w:r>
      <w:r>
        <w:t xml:space="preserve"> </w:t>
      </w:r>
      <w:r w:rsidRPr="00C141BF">
        <w:t>oblasti</w:t>
      </w:r>
      <w:r>
        <w:t xml:space="preserve"> </w:t>
      </w:r>
      <w:r w:rsidRPr="00C141BF">
        <w:t>hodnocení</w:t>
      </w:r>
      <w:r>
        <w:t xml:space="preserve"> </w:t>
      </w:r>
      <w:r w:rsidRPr="00C141BF">
        <w:t>shody</w:t>
      </w:r>
      <w:r>
        <w:t xml:space="preserve"> </w:t>
      </w:r>
      <w:r w:rsidRPr="00C141BF">
        <w:t>nebo</w:t>
      </w:r>
      <w:r>
        <w:t xml:space="preserve"> </w:t>
      </w:r>
      <w:r w:rsidRPr="00C141BF">
        <w:t>vhodnosti</w:t>
      </w:r>
      <w:r>
        <w:t xml:space="preserve"> </w:t>
      </w:r>
      <w:r w:rsidRPr="00C141BF">
        <w:t>použití</w:t>
      </w:r>
      <w:r>
        <w:t xml:space="preserve"> </w:t>
      </w:r>
      <w:r w:rsidRPr="00C141BF">
        <w:t>složek</w:t>
      </w:r>
      <w:r>
        <w:t xml:space="preserve"> </w:t>
      </w:r>
      <w:r w:rsidRPr="00C141BF">
        <w:t>a</w:t>
      </w:r>
      <w:r>
        <w:t xml:space="preserve"> </w:t>
      </w:r>
      <w:r w:rsidRPr="00C141BF">
        <w:t>ověřování</w:t>
      </w:r>
      <w:r>
        <w:t xml:space="preserve"> </w:t>
      </w:r>
      <w:r w:rsidRPr="00C141BF">
        <w:t>systémů</w:t>
      </w:r>
      <w:r>
        <w:t xml:space="preserve"> </w:t>
      </w:r>
      <w:r w:rsidRPr="00C141BF">
        <w:t>Evropské</w:t>
      </w:r>
      <w:r>
        <w:t xml:space="preserve"> </w:t>
      </w:r>
      <w:r w:rsidRPr="00C141BF">
        <w:t>sítě</w:t>
      </w:r>
      <w:r>
        <w:t xml:space="preserve"> </w:t>
      </w:r>
      <w:r w:rsidRPr="00C141BF">
        <w:t>řízení</w:t>
      </w:r>
      <w:r>
        <w:t xml:space="preserve"> </w:t>
      </w:r>
      <w:r w:rsidRPr="00C141BF">
        <w:t>letového</w:t>
      </w:r>
      <w:r>
        <w:t xml:space="preserve"> </w:t>
      </w:r>
      <w:r w:rsidRPr="00C141BF">
        <w:t>provozu</w:t>
      </w:r>
      <w:r>
        <w:t xml:space="preserve"> </w:t>
      </w:r>
      <w:r w:rsidRPr="00C141BF">
        <w:t>právnickou</w:t>
      </w:r>
      <w:r>
        <w:t xml:space="preserve"> </w:t>
      </w:r>
      <w:r w:rsidRPr="00C141BF">
        <w:t>osobu,</w:t>
      </w:r>
      <w:r>
        <w:t xml:space="preserve"> </w:t>
      </w:r>
      <w:r w:rsidRPr="00C141BF">
        <w:t>která</w:t>
      </w:r>
      <w:r>
        <w:t xml:space="preserve"> </w:t>
      </w:r>
      <w:r w:rsidRPr="00C141BF">
        <w:t>splňuje</w:t>
      </w:r>
      <w:r>
        <w:t xml:space="preserve"> </w:t>
      </w:r>
      <w:r w:rsidRPr="00C141BF">
        <w:t>podmínky</w:t>
      </w:r>
      <w:r>
        <w:t xml:space="preserve"> </w:t>
      </w:r>
      <w:r w:rsidRPr="00C141BF">
        <w:t>stanovené</w:t>
      </w:r>
      <w:r>
        <w:t xml:space="preserve"> </w:t>
      </w:r>
      <w:r w:rsidRPr="00C141BF">
        <w:t>přímo</w:t>
      </w:r>
      <w:r>
        <w:t xml:space="preserve"> </w:t>
      </w:r>
      <w:r w:rsidRPr="00C141BF">
        <w:t>použitelným</w:t>
      </w:r>
      <w:r>
        <w:t xml:space="preserve"> </w:t>
      </w:r>
      <w:r w:rsidRPr="00C141BF">
        <w:t>předpisem</w:t>
      </w:r>
      <w:r>
        <w:t xml:space="preserve"> </w:t>
      </w:r>
      <w:r w:rsidRPr="00C141BF">
        <w:t>Evropské</w:t>
      </w:r>
      <w:r>
        <w:t xml:space="preserve"> </w:t>
      </w:r>
      <w:r w:rsidR="00634ED3">
        <w:t>unie</w:t>
      </w:r>
      <w:r w:rsidR="00634ED3">
        <w:rPr>
          <w:rStyle w:val="Znakapoznpodarou"/>
        </w:rPr>
        <w:footnoteReference w:customMarkFollows="1" w:id="237"/>
        <w:t>1f)</w:t>
      </w:r>
      <w:r w:rsidRPr="00C141BF">
        <w:t>.</w:t>
      </w:r>
      <w:r>
        <w:t xml:space="preserve"> </w:t>
      </w:r>
      <w:r w:rsidRPr="00C141BF">
        <w:t>Úřad</w:t>
      </w:r>
      <w:r>
        <w:t xml:space="preserve"> </w:t>
      </w:r>
      <w:r w:rsidRPr="00C141BF">
        <w:t>pověření</w:t>
      </w:r>
      <w:r>
        <w:t xml:space="preserve"> </w:t>
      </w:r>
      <w:r w:rsidRPr="00C141BF">
        <w:t>odejme</w:t>
      </w:r>
      <w:r>
        <w:t xml:space="preserve"> </w:t>
      </w:r>
      <w:r w:rsidRPr="00C141BF">
        <w:t>za</w:t>
      </w:r>
      <w:r>
        <w:t xml:space="preserve"> </w:t>
      </w:r>
      <w:r w:rsidRPr="00C141BF">
        <w:t>podmínek</w:t>
      </w:r>
      <w:r>
        <w:t xml:space="preserve"> </w:t>
      </w:r>
      <w:r w:rsidRPr="00C141BF">
        <w:t>stanovených</w:t>
      </w:r>
      <w:r>
        <w:t xml:space="preserve"> </w:t>
      </w:r>
      <w:r w:rsidRPr="00C141BF">
        <w:t>přímo</w:t>
      </w:r>
      <w:r>
        <w:t xml:space="preserve"> </w:t>
      </w:r>
      <w:r w:rsidRPr="00C141BF">
        <w:t>použitelným</w:t>
      </w:r>
      <w:r>
        <w:t xml:space="preserve"> </w:t>
      </w:r>
      <w:r w:rsidRPr="00C141BF">
        <w:t>předpisem</w:t>
      </w:r>
      <w:r>
        <w:t xml:space="preserve"> </w:t>
      </w:r>
      <w:r w:rsidRPr="00C141BF">
        <w:t>Evropské</w:t>
      </w:r>
      <w:r>
        <w:t xml:space="preserve"> </w:t>
      </w:r>
      <w:r w:rsidRPr="00C141BF">
        <w:t>unie</w:t>
      </w:r>
      <w:r w:rsidRPr="00634ED3">
        <w:rPr>
          <w:vertAlign w:val="superscript"/>
        </w:rPr>
        <w:t>1f)</w:t>
      </w:r>
      <w:r w:rsidRPr="00C141BF">
        <w:t>.</w:t>
      </w:r>
    </w:p>
    <w:p w14:paraId="1B9E9191" w14:textId="423DA072" w:rsidR="00392D87" w:rsidRDefault="00392D87" w:rsidP="00532DF9">
      <w:pPr>
        <w:pStyle w:val="Textparagrafu"/>
        <w:spacing w:before="120" w:after="120"/>
      </w:pPr>
      <w:r w:rsidRPr="00C141BF">
        <w:t>(7)</w:t>
      </w:r>
      <w:r>
        <w:t xml:space="preserve"> </w:t>
      </w:r>
      <w:r w:rsidRPr="00C141BF">
        <w:t>Úřad</w:t>
      </w:r>
      <w:r>
        <w:t xml:space="preserve"> </w:t>
      </w:r>
      <w:r w:rsidRPr="00C141BF">
        <w:t>dohlíží</w:t>
      </w:r>
      <w:r>
        <w:t xml:space="preserve"> </w:t>
      </w:r>
      <w:r w:rsidRPr="00C141BF">
        <w:t>na</w:t>
      </w:r>
      <w:r>
        <w:t xml:space="preserve"> </w:t>
      </w:r>
      <w:r w:rsidRPr="00C141BF">
        <w:t>plnění</w:t>
      </w:r>
      <w:r>
        <w:t xml:space="preserve"> </w:t>
      </w:r>
      <w:r w:rsidRPr="00C141BF">
        <w:t>povinností</w:t>
      </w:r>
      <w:r>
        <w:t xml:space="preserve"> </w:t>
      </w:r>
      <w:r w:rsidRPr="00C141BF">
        <w:t>leteckého</w:t>
      </w:r>
      <w:r>
        <w:t xml:space="preserve"> </w:t>
      </w:r>
      <w:r w:rsidRPr="00C141BF">
        <w:t>dopravce</w:t>
      </w:r>
      <w:r>
        <w:t xml:space="preserve"> </w:t>
      </w:r>
      <w:r w:rsidRPr="00C141BF">
        <w:t>týkajících</w:t>
      </w:r>
      <w:r>
        <w:t xml:space="preserve"> </w:t>
      </w:r>
      <w:r w:rsidRPr="00C141BF">
        <w:t>se</w:t>
      </w:r>
      <w:r>
        <w:t xml:space="preserve"> </w:t>
      </w:r>
      <w:r w:rsidRPr="00C141BF">
        <w:t>náhrad</w:t>
      </w:r>
      <w:r>
        <w:t xml:space="preserve"> </w:t>
      </w:r>
      <w:r w:rsidRPr="00C141BF">
        <w:t>a</w:t>
      </w:r>
      <w:r>
        <w:t xml:space="preserve"> </w:t>
      </w:r>
      <w:r w:rsidRPr="00C141BF">
        <w:t>pomoci</w:t>
      </w:r>
      <w:r>
        <w:t xml:space="preserve"> </w:t>
      </w:r>
      <w:r w:rsidRPr="00C141BF">
        <w:t>cestujícím</w:t>
      </w:r>
      <w:r>
        <w:t xml:space="preserve"> </w:t>
      </w:r>
      <w:r w:rsidRPr="00C141BF">
        <w:t>v</w:t>
      </w:r>
      <w:r>
        <w:t xml:space="preserve"> </w:t>
      </w:r>
      <w:r w:rsidRPr="00C141BF">
        <w:t>případě</w:t>
      </w:r>
      <w:r>
        <w:t xml:space="preserve"> </w:t>
      </w:r>
      <w:r w:rsidRPr="00C141BF">
        <w:t>odepření</w:t>
      </w:r>
      <w:r>
        <w:t xml:space="preserve"> </w:t>
      </w:r>
      <w:r w:rsidRPr="00C141BF">
        <w:t>nástupu</w:t>
      </w:r>
      <w:r>
        <w:t xml:space="preserve"> </w:t>
      </w:r>
      <w:r w:rsidRPr="00C141BF">
        <w:t>na</w:t>
      </w:r>
      <w:r>
        <w:t xml:space="preserve"> </w:t>
      </w:r>
      <w:r w:rsidRPr="00C141BF">
        <w:t>palubu,</w:t>
      </w:r>
      <w:r>
        <w:t xml:space="preserve"> </w:t>
      </w:r>
      <w:r w:rsidRPr="00C141BF">
        <w:t>zrušení</w:t>
      </w:r>
      <w:r>
        <w:t xml:space="preserve"> </w:t>
      </w:r>
      <w:r w:rsidRPr="00C141BF">
        <w:t>nebo</w:t>
      </w:r>
      <w:r>
        <w:t xml:space="preserve"> </w:t>
      </w:r>
      <w:r w:rsidRPr="00C141BF">
        <w:t>významného</w:t>
      </w:r>
      <w:r>
        <w:t xml:space="preserve"> </w:t>
      </w:r>
      <w:r w:rsidRPr="00C141BF">
        <w:t>zpoždění</w:t>
      </w:r>
      <w:r>
        <w:t xml:space="preserve"> </w:t>
      </w:r>
      <w:r w:rsidRPr="00C141BF">
        <w:t>letu</w:t>
      </w:r>
      <w:r>
        <w:t xml:space="preserve"> </w:t>
      </w:r>
      <w:r w:rsidRPr="00C141BF">
        <w:t>podle</w:t>
      </w:r>
      <w:r>
        <w:t xml:space="preserve"> </w:t>
      </w:r>
      <w:r w:rsidRPr="00C141BF">
        <w:t>přímo</w:t>
      </w:r>
      <w:r>
        <w:t xml:space="preserve"> </w:t>
      </w:r>
      <w:r w:rsidRPr="00C141BF">
        <w:t>použitelného</w:t>
      </w:r>
      <w:r>
        <w:t xml:space="preserve"> </w:t>
      </w:r>
      <w:r w:rsidRPr="00C141BF">
        <w:t>předpisu</w:t>
      </w:r>
      <w:r>
        <w:t xml:space="preserve"> </w:t>
      </w:r>
      <w:r w:rsidRPr="00C141BF">
        <w:t>Evropské</w:t>
      </w:r>
      <w:r>
        <w:t xml:space="preserve"> </w:t>
      </w:r>
      <w:r w:rsidRPr="00C141BF">
        <w:t>u</w:t>
      </w:r>
      <w:r w:rsidR="00634ED3">
        <w:t>nie</w:t>
      </w:r>
      <w:r w:rsidR="00634ED3">
        <w:rPr>
          <w:rStyle w:val="Znakapoznpodarou"/>
        </w:rPr>
        <w:footnoteReference w:customMarkFollows="1" w:id="238"/>
        <w:t>1g)</w:t>
      </w:r>
      <w:r>
        <w:t xml:space="preserve"> </w:t>
      </w:r>
      <w:r w:rsidRPr="00C141BF">
        <w:t>a</w:t>
      </w:r>
      <w:r>
        <w:t xml:space="preserve"> </w:t>
      </w:r>
      <w:r w:rsidRPr="00C141BF">
        <w:t>vyřizuje</w:t>
      </w:r>
      <w:r>
        <w:t xml:space="preserve"> </w:t>
      </w:r>
      <w:r w:rsidRPr="00C141BF">
        <w:t>stížnosti</w:t>
      </w:r>
      <w:r>
        <w:t xml:space="preserve"> </w:t>
      </w:r>
      <w:r w:rsidRPr="00C141BF">
        <w:t>na</w:t>
      </w:r>
      <w:r>
        <w:t xml:space="preserve"> </w:t>
      </w:r>
      <w:r w:rsidRPr="00C141BF">
        <w:t>porušování</w:t>
      </w:r>
      <w:r>
        <w:t xml:space="preserve"> </w:t>
      </w:r>
      <w:r w:rsidRPr="00C141BF">
        <w:t>těchto</w:t>
      </w:r>
      <w:r>
        <w:t xml:space="preserve"> </w:t>
      </w:r>
      <w:r w:rsidRPr="00C141BF">
        <w:t>povinností.</w:t>
      </w:r>
    </w:p>
    <w:p w14:paraId="2D4332C1" w14:textId="77777777" w:rsidR="00392D87" w:rsidRDefault="00392D87" w:rsidP="00532DF9">
      <w:pPr>
        <w:pStyle w:val="Textparagrafu"/>
        <w:spacing w:before="120" w:after="120"/>
      </w:pPr>
      <w:r w:rsidRPr="00C141BF">
        <w:lastRenderedPageBreak/>
        <w:t>(8)</w:t>
      </w:r>
      <w:r>
        <w:t xml:space="preserve"> </w:t>
      </w:r>
      <w:r w:rsidRPr="00C141BF">
        <w:t>Úřad</w:t>
      </w:r>
      <w:r>
        <w:t xml:space="preserve"> </w:t>
      </w:r>
      <w:r w:rsidRPr="00C141BF">
        <w:t>dohlíží</w:t>
      </w:r>
      <w:r>
        <w:t xml:space="preserve"> </w:t>
      </w:r>
      <w:r w:rsidRPr="00C141BF">
        <w:t>na</w:t>
      </w:r>
      <w:r>
        <w:t xml:space="preserve"> </w:t>
      </w:r>
      <w:r w:rsidRPr="00C141BF">
        <w:t>plnění</w:t>
      </w:r>
      <w:r>
        <w:t xml:space="preserve"> </w:t>
      </w:r>
      <w:r w:rsidRPr="00C141BF">
        <w:t>povinností</w:t>
      </w:r>
    </w:p>
    <w:p w14:paraId="05FEF01B" w14:textId="1154DF7D" w:rsidR="00392D87" w:rsidRDefault="00392D87" w:rsidP="00B0390E">
      <w:pPr>
        <w:pStyle w:val="Textparagrafu"/>
        <w:tabs>
          <w:tab w:val="left" w:pos="392"/>
          <w:tab w:val="left" w:pos="851"/>
        </w:tabs>
        <w:spacing w:before="0"/>
        <w:ind w:left="426" w:hanging="426"/>
      </w:pPr>
      <w:r w:rsidRPr="00C141BF">
        <w:t>a)</w:t>
      </w:r>
      <w:r w:rsidR="00634ED3">
        <w:tab/>
      </w:r>
      <w:r w:rsidRPr="00C141BF">
        <w:t>provozovatele</w:t>
      </w:r>
      <w:r>
        <w:t xml:space="preserve"> </w:t>
      </w:r>
      <w:r w:rsidRPr="00C141BF">
        <w:t>letiště</w:t>
      </w:r>
      <w:r>
        <w:t xml:space="preserve"> </w:t>
      </w:r>
      <w:r w:rsidRPr="00C141BF">
        <w:t>a</w:t>
      </w:r>
      <w:r>
        <w:t xml:space="preserve"> </w:t>
      </w:r>
      <w:r w:rsidRPr="00C141BF">
        <w:t>leteckého</w:t>
      </w:r>
      <w:r>
        <w:t xml:space="preserve"> </w:t>
      </w:r>
      <w:r w:rsidRPr="00C141BF">
        <w:t>dopravce</w:t>
      </w:r>
      <w:r>
        <w:t xml:space="preserve"> </w:t>
      </w:r>
      <w:r w:rsidRPr="00C141BF">
        <w:t>týkajících</w:t>
      </w:r>
      <w:r>
        <w:t xml:space="preserve"> </w:t>
      </w:r>
      <w:r w:rsidRPr="00C141BF">
        <w:t>se</w:t>
      </w:r>
      <w:r>
        <w:t xml:space="preserve"> </w:t>
      </w:r>
      <w:r w:rsidRPr="00C141BF">
        <w:t>dodržování</w:t>
      </w:r>
      <w:r>
        <w:t xml:space="preserve"> </w:t>
      </w:r>
      <w:r w:rsidRPr="00C141BF">
        <w:t>práv</w:t>
      </w:r>
      <w:r>
        <w:t xml:space="preserve"> </w:t>
      </w:r>
      <w:r w:rsidRPr="00C141BF">
        <w:t>osob</w:t>
      </w:r>
      <w:r>
        <w:t xml:space="preserve"> </w:t>
      </w:r>
      <w:r w:rsidRPr="00C141BF">
        <w:t>se</w:t>
      </w:r>
      <w:r>
        <w:t xml:space="preserve"> </w:t>
      </w:r>
      <w:r w:rsidRPr="00C141BF">
        <w:t>zdravotním</w:t>
      </w:r>
      <w:r>
        <w:t xml:space="preserve"> </w:t>
      </w:r>
      <w:r w:rsidRPr="00C141BF">
        <w:t>postižením</w:t>
      </w:r>
      <w:r>
        <w:t xml:space="preserve"> </w:t>
      </w:r>
      <w:r w:rsidRPr="00C141BF">
        <w:t>a</w:t>
      </w:r>
      <w:r>
        <w:t xml:space="preserve"> </w:t>
      </w:r>
      <w:r w:rsidRPr="00C141BF">
        <w:t>osob</w:t>
      </w:r>
      <w:r>
        <w:t xml:space="preserve"> </w:t>
      </w:r>
      <w:r w:rsidRPr="00C141BF">
        <w:t>s</w:t>
      </w:r>
      <w:r>
        <w:t xml:space="preserve"> </w:t>
      </w:r>
      <w:r w:rsidRPr="00C141BF">
        <w:t>omezenou</w:t>
      </w:r>
      <w:r>
        <w:t xml:space="preserve"> </w:t>
      </w:r>
      <w:r w:rsidRPr="00C141BF">
        <w:t>schopností</w:t>
      </w:r>
      <w:r>
        <w:t xml:space="preserve"> </w:t>
      </w:r>
      <w:r w:rsidRPr="00C141BF">
        <w:t>pohybu</w:t>
      </w:r>
      <w:r>
        <w:t xml:space="preserve"> </w:t>
      </w:r>
      <w:r w:rsidRPr="00C141BF">
        <w:t>a</w:t>
      </w:r>
      <w:r>
        <w:t xml:space="preserve"> </w:t>
      </w:r>
      <w:r w:rsidRPr="00C141BF">
        <w:t>orientace</w:t>
      </w:r>
      <w:r>
        <w:t xml:space="preserve"> </w:t>
      </w:r>
      <w:r w:rsidRPr="00C141BF">
        <w:t>podle</w:t>
      </w:r>
      <w:r>
        <w:t xml:space="preserve"> </w:t>
      </w:r>
      <w:r w:rsidRPr="00C141BF">
        <w:t>přímo</w:t>
      </w:r>
      <w:r>
        <w:t xml:space="preserve"> </w:t>
      </w:r>
      <w:r w:rsidRPr="00C141BF">
        <w:t>použitelného</w:t>
      </w:r>
      <w:r>
        <w:t xml:space="preserve"> </w:t>
      </w:r>
      <w:r w:rsidRPr="00C141BF">
        <w:t>předpisu</w:t>
      </w:r>
      <w:r>
        <w:t xml:space="preserve"> </w:t>
      </w:r>
      <w:r w:rsidRPr="00C141BF">
        <w:t>Evropské</w:t>
      </w:r>
      <w:r>
        <w:t xml:space="preserve"> </w:t>
      </w:r>
      <w:r w:rsidR="00634ED3">
        <w:t>unie</w:t>
      </w:r>
      <w:r w:rsidR="00634ED3">
        <w:rPr>
          <w:rStyle w:val="Znakapoznpodarou"/>
        </w:rPr>
        <w:footnoteReference w:customMarkFollows="1" w:id="239"/>
        <w:t>1h)</w:t>
      </w:r>
      <w:r w:rsidRPr="00C141BF">
        <w:t>,</w:t>
      </w:r>
    </w:p>
    <w:p w14:paraId="204DF50E" w14:textId="48643E68" w:rsidR="00392D87" w:rsidRDefault="00392D87" w:rsidP="00B0390E">
      <w:pPr>
        <w:pStyle w:val="Textparagrafu"/>
        <w:tabs>
          <w:tab w:val="left" w:pos="392"/>
          <w:tab w:val="left" w:pos="851"/>
        </w:tabs>
        <w:spacing w:before="0"/>
        <w:ind w:left="426" w:hanging="426"/>
      </w:pPr>
      <w:r w:rsidRPr="00C141BF">
        <w:t>b)</w:t>
      </w:r>
      <w:r w:rsidR="00634ED3">
        <w:tab/>
      </w:r>
      <w:r w:rsidRPr="00C141BF">
        <w:t>leteckého</w:t>
      </w:r>
      <w:r>
        <w:t xml:space="preserve"> </w:t>
      </w:r>
      <w:r w:rsidRPr="00C141BF">
        <w:t>dopravce</w:t>
      </w:r>
      <w:r>
        <w:t xml:space="preserve"> </w:t>
      </w:r>
      <w:r w:rsidRPr="00C141BF">
        <w:t>týkajících</w:t>
      </w:r>
      <w:r>
        <w:t xml:space="preserve"> </w:t>
      </w:r>
      <w:r w:rsidRPr="00C141BF">
        <w:t>se</w:t>
      </w:r>
      <w:r>
        <w:t xml:space="preserve"> </w:t>
      </w:r>
      <w:r w:rsidRPr="00C141BF">
        <w:t>informování</w:t>
      </w:r>
      <w:r>
        <w:t xml:space="preserve"> </w:t>
      </w:r>
      <w:r w:rsidRPr="00C141BF">
        <w:t>cestujících</w:t>
      </w:r>
      <w:r>
        <w:t xml:space="preserve"> </w:t>
      </w:r>
      <w:r w:rsidRPr="00C141BF">
        <w:t>v</w:t>
      </w:r>
      <w:r>
        <w:t xml:space="preserve"> </w:t>
      </w:r>
      <w:r w:rsidRPr="00C141BF">
        <w:t>letecké</w:t>
      </w:r>
      <w:r>
        <w:t xml:space="preserve"> </w:t>
      </w:r>
      <w:r w:rsidRPr="00C141BF">
        <w:t>dopravě</w:t>
      </w:r>
      <w:r>
        <w:t xml:space="preserve"> </w:t>
      </w:r>
      <w:r w:rsidRPr="00C141BF">
        <w:t>podle</w:t>
      </w:r>
      <w:r>
        <w:t xml:space="preserve"> </w:t>
      </w:r>
      <w:r w:rsidRPr="00C141BF">
        <w:t>přímo</w:t>
      </w:r>
      <w:r>
        <w:t xml:space="preserve"> </w:t>
      </w:r>
      <w:r w:rsidRPr="00C141BF">
        <w:t>použitelného</w:t>
      </w:r>
      <w:r>
        <w:t xml:space="preserve"> </w:t>
      </w:r>
      <w:r w:rsidRPr="00C141BF">
        <w:t>předpisu</w:t>
      </w:r>
      <w:r>
        <w:t xml:space="preserve"> </w:t>
      </w:r>
      <w:r w:rsidRPr="00C141BF">
        <w:t>Evropské</w:t>
      </w:r>
      <w:r>
        <w:t xml:space="preserve"> </w:t>
      </w:r>
      <w:r w:rsidR="00634ED3">
        <w:t>unie</w:t>
      </w:r>
      <w:r w:rsidR="00634ED3">
        <w:rPr>
          <w:rStyle w:val="Znakapoznpodarou"/>
        </w:rPr>
        <w:footnoteReference w:customMarkFollows="1" w:id="240"/>
        <w:t>1i)</w:t>
      </w:r>
      <w:r w:rsidRPr="00C141BF">
        <w:t>.</w:t>
      </w:r>
    </w:p>
    <w:p w14:paraId="69BEEB3B" w14:textId="38BCE171" w:rsidR="00392D87" w:rsidRDefault="00392D87" w:rsidP="00532DF9">
      <w:pPr>
        <w:pStyle w:val="Textparagrafu"/>
        <w:spacing w:before="120" w:after="120"/>
      </w:pPr>
      <w:r w:rsidRPr="00C141BF">
        <w:t>(9)</w:t>
      </w:r>
      <w:r>
        <w:t xml:space="preserve"> </w:t>
      </w:r>
      <w:r w:rsidRPr="00C141BF">
        <w:t>Týkají-li</w:t>
      </w:r>
      <w:r>
        <w:t xml:space="preserve"> </w:t>
      </w:r>
      <w:r w:rsidRPr="00C141BF">
        <w:t>se</w:t>
      </w:r>
      <w:r>
        <w:t xml:space="preserve"> </w:t>
      </w:r>
      <w:r w:rsidRPr="00C141BF">
        <w:t>povinnosti</w:t>
      </w:r>
      <w:r>
        <w:t xml:space="preserve"> </w:t>
      </w:r>
      <w:r w:rsidRPr="00C141BF">
        <w:t>stanovené</w:t>
      </w:r>
      <w:r>
        <w:t xml:space="preserve"> </w:t>
      </w:r>
      <w:r w:rsidRPr="00C141BF">
        <w:t>v</w:t>
      </w:r>
      <w:r>
        <w:t xml:space="preserve"> </w:t>
      </w:r>
      <w:r w:rsidRPr="00C141BF">
        <w:t>odstavci</w:t>
      </w:r>
      <w:r>
        <w:t xml:space="preserve"> </w:t>
      </w:r>
      <w:r w:rsidRPr="00C141BF">
        <w:t>8</w:t>
      </w:r>
      <w:r>
        <w:t xml:space="preserve"> </w:t>
      </w:r>
      <w:r w:rsidRPr="00C141BF">
        <w:t>písm.</w:t>
      </w:r>
      <w:r>
        <w:t xml:space="preserve"> </w:t>
      </w:r>
      <w:r w:rsidRPr="00C141BF">
        <w:t>a)</w:t>
      </w:r>
      <w:r>
        <w:t xml:space="preserve"> </w:t>
      </w:r>
      <w:r w:rsidRPr="00C141BF">
        <w:t>a</w:t>
      </w:r>
      <w:r>
        <w:t xml:space="preserve"> </w:t>
      </w:r>
      <w:r w:rsidRPr="00C141BF">
        <w:t>b)</w:t>
      </w:r>
      <w:r>
        <w:t xml:space="preserve"> </w:t>
      </w:r>
      <w:r w:rsidRPr="00C141BF">
        <w:t>provozovatele</w:t>
      </w:r>
      <w:r>
        <w:t xml:space="preserve"> </w:t>
      </w:r>
      <w:r w:rsidRPr="00C141BF">
        <w:t>cestovní</w:t>
      </w:r>
      <w:r>
        <w:t xml:space="preserve"> </w:t>
      </w:r>
      <w:r w:rsidRPr="00C141BF">
        <w:t>kanceláře</w:t>
      </w:r>
      <w:r>
        <w:t xml:space="preserve"> </w:t>
      </w:r>
      <w:r w:rsidRPr="00C141BF">
        <w:t>nebo</w:t>
      </w:r>
      <w:r>
        <w:t xml:space="preserve"> </w:t>
      </w:r>
      <w:r w:rsidRPr="00C141BF">
        <w:t>provozovatele</w:t>
      </w:r>
      <w:r>
        <w:t xml:space="preserve"> </w:t>
      </w:r>
      <w:r w:rsidRPr="00C141BF">
        <w:t>cestovní</w:t>
      </w:r>
      <w:r>
        <w:t xml:space="preserve"> </w:t>
      </w:r>
      <w:r w:rsidRPr="00C141BF">
        <w:t>agentury,</w:t>
      </w:r>
      <w:r>
        <w:t xml:space="preserve"> </w:t>
      </w:r>
      <w:r w:rsidRPr="00C141BF">
        <w:t>dohlíží</w:t>
      </w:r>
      <w:r>
        <w:t xml:space="preserve"> </w:t>
      </w:r>
      <w:r w:rsidRPr="00C141BF">
        <w:t>na</w:t>
      </w:r>
      <w:r>
        <w:t xml:space="preserve"> </w:t>
      </w:r>
      <w:r w:rsidRPr="00C141BF">
        <w:t>jejich</w:t>
      </w:r>
      <w:r>
        <w:t xml:space="preserve"> </w:t>
      </w:r>
      <w:r w:rsidRPr="00C141BF">
        <w:t>plnění</w:t>
      </w:r>
      <w:r>
        <w:t xml:space="preserve"> </w:t>
      </w:r>
      <w:r w:rsidRPr="00C141BF">
        <w:t>obecní</w:t>
      </w:r>
      <w:r>
        <w:t xml:space="preserve"> </w:t>
      </w:r>
      <w:r w:rsidRPr="00C141BF">
        <w:t>živnostenský</w:t>
      </w:r>
      <w:r>
        <w:t xml:space="preserve"> </w:t>
      </w:r>
      <w:r w:rsidRPr="00C141BF">
        <w:t>úřad.</w:t>
      </w:r>
    </w:p>
    <w:p w14:paraId="412185AA" w14:textId="4D760872" w:rsidR="00634ED3" w:rsidRDefault="00634ED3" w:rsidP="00532DF9">
      <w:pPr>
        <w:pStyle w:val="Textparagrafu"/>
        <w:spacing w:before="120" w:after="120"/>
      </w:pPr>
      <w:r w:rsidRPr="00634ED3">
        <w:t>(10) Nesnese-li věc odkladu a je-li to potřebné k plnění závazku vyplývajícího z přímo použitelného předpisu Evropské unie, Úřad může do doby schválení jeho organizační struktury nebo její změny podle zákona o státní službě prozatímně postupovat tak, jako by navržená organizační struktura nebo její změna byla schválena; to neplatí, pokud by tím došlo ke skončení služebního poměru.</w:t>
      </w:r>
    </w:p>
    <w:p w14:paraId="199CF168" w14:textId="749C3761" w:rsidR="00392D87" w:rsidRDefault="00392D87" w:rsidP="00392D87">
      <w:pPr>
        <w:pStyle w:val="Textparagrafu"/>
        <w:tabs>
          <w:tab w:val="left" w:pos="406"/>
          <w:tab w:val="left" w:pos="840"/>
          <w:tab w:val="left" w:pos="868"/>
        </w:tabs>
        <w:spacing w:after="120"/>
        <w:ind w:firstLine="0"/>
        <w:jc w:val="center"/>
      </w:pPr>
      <w:r>
        <w:t>***</w:t>
      </w:r>
    </w:p>
    <w:p w14:paraId="69129F3F" w14:textId="77777777" w:rsidR="00392D87" w:rsidRDefault="00392D87" w:rsidP="00634ED3">
      <w:pPr>
        <w:pStyle w:val="Textparagrafu"/>
        <w:spacing w:after="120"/>
        <w:ind w:firstLine="0"/>
        <w:jc w:val="center"/>
      </w:pPr>
      <w:r w:rsidRPr="00C141BF">
        <w:t>§</w:t>
      </w:r>
      <w:r>
        <w:t xml:space="preserve"> </w:t>
      </w:r>
      <w:r w:rsidRPr="00C141BF">
        <w:t>42h</w:t>
      </w:r>
    </w:p>
    <w:p w14:paraId="57B91DFD" w14:textId="369BA2BD" w:rsidR="00634ED3" w:rsidRPr="00634ED3" w:rsidRDefault="00634ED3" w:rsidP="00532DF9">
      <w:pPr>
        <w:pStyle w:val="Textparagrafu"/>
        <w:spacing w:before="120" w:after="120"/>
        <w:rPr>
          <w:szCs w:val="24"/>
        </w:rPr>
      </w:pPr>
      <w:r w:rsidRPr="00634ED3">
        <w:rPr>
          <w:szCs w:val="24"/>
        </w:rPr>
        <w:t xml:space="preserve">Provozovatel letiště vyzve způsobem umožňujícím dálkový přístup letecké dopravce, kteří užívají jím </w:t>
      </w:r>
      <w:r w:rsidRPr="00532DF9">
        <w:t>provozované</w:t>
      </w:r>
      <w:r w:rsidRPr="00634ED3">
        <w:rPr>
          <w:szCs w:val="24"/>
        </w:rPr>
        <w:t xml:space="preserve"> letiště, aby se přihlásili k účasti na projednávání záměru rozvoje letiště, jehož předpokládané náklady jsou vyšší než 15 % </w:t>
      </w:r>
      <w:r w:rsidRPr="00634ED3">
        <w:rPr>
          <w:strike/>
          <w:szCs w:val="24"/>
        </w:rPr>
        <w:t>průměrného ročního obratu</w:t>
      </w:r>
      <w:r w:rsidRPr="00634ED3">
        <w:rPr>
          <w:b/>
          <w:bCs/>
          <w:lang w:eastAsia="en-US"/>
        </w:rPr>
        <w:t xml:space="preserve"> </w:t>
      </w:r>
      <w:r w:rsidRPr="005F4F63">
        <w:rPr>
          <w:b/>
          <w:bCs/>
          <w:lang w:eastAsia="en-US"/>
        </w:rPr>
        <w:t>průměrného ročního úhrnu čistého obratu</w:t>
      </w:r>
      <w:r w:rsidRPr="00634ED3">
        <w:rPr>
          <w:szCs w:val="24"/>
        </w:rPr>
        <w:t xml:space="preserve"> provozovatele letiště za předcházejících 5 kalendářních let. K tomu jim stanoví přiměřenou lhůtu, která nesmí být kratší než 60 dnů. Provozovatel letiště projedná s leteckými dopravci, kteří se přihlásili na jeho výzvu, záměr rozvoje letiště nejpozději před započetím realizace takového záměru.</w:t>
      </w:r>
    </w:p>
    <w:p w14:paraId="28058245" w14:textId="263B9B14" w:rsidR="00392D87" w:rsidRDefault="00392D87" w:rsidP="00392D87">
      <w:pPr>
        <w:pStyle w:val="Textparagrafu"/>
        <w:tabs>
          <w:tab w:val="left" w:pos="406"/>
          <w:tab w:val="left" w:pos="840"/>
          <w:tab w:val="left" w:pos="868"/>
        </w:tabs>
        <w:spacing w:after="120"/>
        <w:ind w:firstLine="0"/>
        <w:jc w:val="center"/>
      </w:pPr>
      <w:r>
        <w:t>***</w:t>
      </w:r>
    </w:p>
    <w:p w14:paraId="16A406A0" w14:textId="77777777" w:rsidR="00392D87" w:rsidRDefault="00392D87" w:rsidP="0044146B">
      <w:pPr>
        <w:pStyle w:val="Textparagrafu"/>
        <w:spacing w:after="120"/>
        <w:ind w:firstLine="0"/>
        <w:jc w:val="center"/>
      </w:pPr>
      <w:r w:rsidRPr="00C141BF">
        <w:t>§</w:t>
      </w:r>
      <w:r>
        <w:t xml:space="preserve"> </w:t>
      </w:r>
      <w:r w:rsidRPr="00C141BF">
        <w:t>49o</w:t>
      </w:r>
    </w:p>
    <w:p w14:paraId="2D9EEF4F" w14:textId="77777777" w:rsidR="00392D87" w:rsidRPr="0044146B" w:rsidRDefault="00392D87" w:rsidP="0044146B">
      <w:pPr>
        <w:pStyle w:val="Textparagrafu"/>
        <w:spacing w:after="120"/>
        <w:ind w:firstLine="0"/>
        <w:jc w:val="center"/>
        <w:rPr>
          <w:b/>
        </w:rPr>
      </w:pPr>
      <w:r w:rsidRPr="0044146B">
        <w:rPr>
          <w:b/>
        </w:rPr>
        <w:t>Vedení účtů</w:t>
      </w:r>
    </w:p>
    <w:p w14:paraId="454F729B" w14:textId="08FF2232" w:rsidR="00392D87" w:rsidRPr="00C141BF" w:rsidRDefault="00392D87" w:rsidP="00532DF9">
      <w:pPr>
        <w:pStyle w:val="Textparagrafu"/>
        <w:spacing w:before="120" w:after="120"/>
      </w:pPr>
      <w:r w:rsidRPr="00C141BF">
        <w:t>Poskytovatel</w:t>
      </w:r>
      <w:r>
        <w:t xml:space="preserve"> </w:t>
      </w:r>
      <w:r w:rsidRPr="00C141BF">
        <w:t>odbavovacích</w:t>
      </w:r>
      <w:r>
        <w:t xml:space="preserve"> </w:t>
      </w:r>
      <w:r w:rsidRPr="00C141BF">
        <w:t>služeb</w:t>
      </w:r>
      <w:r>
        <w:t xml:space="preserve"> </w:t>
      </w:r>
      <w:r w:rsidRPr="00C141BF">
        <w:t>musí</w:t>
      </w:r>
      <w:r>
        <w:t xml:space="preserve"> </w:t>
      </w:r>
      <w:r w:rsidRPr="006930C7">
        <w:rPr>
          <w:strike/>
        </w:rPr>
        <w:t>vést pro poskytování těchto služeb oddělené účtování nákladů, tržeb a výnosů</w:t>
      </w:r>
      <w:r w:rsidR="006930C7" w:rsidRPr="006930C7">
        <w:rPr>
          <w:b/>
          <w:bCs/>
        </w:rPr>
        <w:t xml:space="preserve"> </w:t>
      </w:r>
      <w:r w:rsidR="006930C7" w:rsidRPr="00C70C73">
        <w:rPr>
          <w:b/>
          <w:bCs/>
        </w:rPr>
        <w:t>poskytování těchto služeb</w:t>
      </w:r>
      <w:r w:rsidR="006930C7" w:rsidRPr="00C70C73">
        <w:rPr>
          <w:b/>
        </w:rPr>
        <w:t xml:space="preserve"> </w:t>
      </w:r>
      <w:r w:rsidR="006930C7" w:rsidRPr="004D0A3D">
        <w:rPr>
          <w:b/>
        </w:rPr>
        <w:t>sledovat v účetním systému odděleně</w:t>
      </w:r>
      <w:r w:rsidRPr="00C141BF">
        <w:t>.</w:t>
      </w:r>
      <w:r>
        <w:t xml:space="preserve"> </w:t>
      </w:r>
      <w:r w:rsidRPr="00C141BF">
        <w:t>Provozovatel</w:t>
      </w:r>
      <w:r>
        <w:t xml:space="preserve"> </w:t>
      </w:r>
      <w:r w:rsidRPr="00C141BF">
        <w:t>letiště</w:t>
      </w:r>
      <w:r>
        <w:t xml:space="preserve"> </w:t>
      </w:r>
      <w:r w:rsidRPr="00C141BF">
        <w:t>nesmí</w:t>
      </w:r>
      <w:r>
        <w:t xml:space="preserve"> </w:t>
      </w:r>
      <w:r w:rsidRPr="00C141BF">
        <w:t>převádět</w:t>
      </w:r>
      <w:r>
        <w:t xml:space="preserve"> </w:t>
      </w:r>
      <w:r w:rsidRPr="00C141BF">
        <w:t>finanční</w:t>
      </w:r>
      <w:r>
        <w:t xml:space="preserve"> </w:t>
      </w:r>
      <w:r w:rsidRPr="00C141BF">
        <w:t>prostředky</w:t>
      </w:r>
      <w:r>
        <w:t xml:space="preserve"> </w:t>
      </w:r>
      <w:r w:rsidRPr="00C141BF">
        <w:t>získané</w:t>
      </w:r>
      <w:r>
        <w:t xml:space="preserve"> </w:t>
      </w:r>
      <w:r w:rsidRPr="00C141BF">
        <w:t>z</w:t>
      </w:r>
      <w:r>
        <w:t xml:space="preserve"> </w:t>
      </w:r>
      <w:r w:rsidRPr="00C141BF">
        <w:t>provozování</w:t>
      </w:r>
      <w:r>
        <w:t xml:space="preserve"> </w:t>
      </w:r>
      <w:r w:rsidRPr="00C141BF">
        <w:t>letiště</w:t>
      </w:r>
      <w:r>
        <w:t xml:space="preserve"> </w:t>
      </w:r>
      <w:r w:rsidRPr="00C141BF">
        <w:t>do</w:t>
      </w:r>
      <w:r>
        <w:t xml:space="preserve"> </w:t>
      </w:r>
      <w:r w:rsidRPr="00C141BF">
        <w:t>odbavovací</w:t>
      </w:r>
      <w:r>
        <w:t xml:space="preserve"> </w:t>
      </w:r>
      <w:r w:rsidRPr="00C141BF">
        <w:t>služby.</w:t>
      </w:r>
      <w:r>
        <w:t xml:space="preserve"> </w:t>
      </w:r>
      <w:r w:rsidRPr="00C141BF">
        <w:t>Úřad</w:t>
      </w:r>
      <w:r>
        <w:t xml:space="preserve"> </w:t>
      </w:r>
      <w:r w:rsidRPr="00C141BF">
        <w:t>provádí</w:t>
      </w:r>
      <w:r>
        <w:t xml:space="preserve"> </w:t>
      </w:r>
      <w:r w:rsidRPr="00C141BF">
        <w:t>dozor</w:t>
      </w:r>
      <w:r>
        <w:t xml:space="preserve"> </w:t>
      </w:r>
      <w:r w:rsidRPr="00C141BF">
        <w:t>nad</w:t>
      </w:r>
      <w:r>
        <w:t xml:space="preserve"> </w:t>
      </w:r>
      <w:r w:rsidRPr="006930C7">
        <w:rPr>
          <w:strike/>
        </w:rPr>
        <w:t>vedením odděleného účtování</w:t>
      </w:r>
      <w:r w:rsidR="006930C7" w:rsidRPr="006930C7">
        <w:rPr>
          <w:b/>
        </w:rPr>
        <w:t xml:space="preserve"> </w:t>
      </w:r>
      <w:r w:rsidR="006930C7" w:rsidRPr="00C70C73">
        <w:rPr>
          <w:b/>
        </w:rPr>
        <w:t>odděleným sledováním poskytování odbavovacích služeb v účetním systému</w:t>
      </w:r>
      <w:r w:rsidRPr="00C141BF">
        <w:t>.</w:t>
      </w:r>
    </w:p>
    <w:p w14:paraId="48446CB0" w14:textId="006D171F" w:rsidR="00392D87" w:rsidRDefault="00392D87" w:rsidP="00392D87">
      <w:pPr>
        <w:pStyle w:val="Textparagrafu"/>
        <w:tabs>
          <w:tab w:val="left" w:pos="406"/>
          <w:tab w:val="left" w:pos="840"/>
          <w:tab w:val="left" w:pos="868"/>
        </w:tabs>
        <w:spacing w:after="120"/>
        <w:ind w:firstLine="0"/>
        <w:jc w:val="center"/>
      </w:pPr>
      <w:r>
        <w:t>***</w:t>
      </w:r>
    </w:p>
    <w:p w14:paraId="717C28C3" w14:textId="1D4C3D94" w:rsidR="00392D87" w:rsidRDefault="00392D87" w:rsidP="0044146B">
      <w:pPr>
        <w:pStyle w:val="Textparagrafu"/>
        <w:tabs>
          <w:tab w:val="left" w:pos="406"/>
          <w:tab w:val="left" w:pos="840"/>
          <w:tab w:val="left" w:pos="868"/>
        </w:tabs>
        <w:spacing w:after="120"/>
        <w:ind w:firstLine="0"/>
        <w:jc w:val="center"/>
      </w:pPr>
      <w:r>
        <w:t>§ 98a</w:t>
      </w:r>
    </w:p>
    <w:p w14:paraId="586325D0" w14:textId="530341E2" w:rsidR="00392D87" w:rsidRDefault="00392D87" w:rsidP="00532DF9">
      <w:pPr>
        <w:pStyle w:val="Textparagrafu"/>
        <w:spacing w:before="120" w:after="120"/>
      </w:pPr>
      <w:r>
        <w:lastRenderedPageBreak/>
        <w:t>(1) Za účelem statistického zjišťování předává Ministerstvu dopravy</w:t>
      </w:r>
    </w:p>
    <w:p w14:paraId="6EAE83D0" w14:textId="53EA30D2" w:rsidR="00392D87" w:rsidRDefault="00392D87" w:rsidP="0044146B">
      <w:pPr>
        <w:pStyle w:val="Textparagrafu"/>
        <w:tabs>
          <w:tab w:val="left" w:pos="406"/>
          <w:tab w:val="left" w:pos="840"/>
          <w:tab w:val="left" w:pos="868"/>
        </w:tabs>
        <w:spacing w:before="0"/>
        <w:ind w:firstLine="0"/>
      </w:pPr>
      <w:r>
        <w:t>a)</w:t>
      </w:r>
      <w:r w:rsidR="0044146B">
        <w:tab/>
      </w:r>
      <w:r>
        <w:t>provozovatel letiště</w:t>
      </w:r>
    </w:p>
    <w:p w14:paraId="3803A7F1" w14:textId="5A5FD59C" w:rsidR="00392D87" w:rsidRDefault="0044146B" w:rsidP="0044146B">
      <w:pPr>
        <w:pStyle w:val="Textparagrafu"/>
        <w:tabs>
          <w:tab w:val="left" w:pos="406"/>
          <w:tab w:val="left" w:pos="840"/>
          <w:tab w:val="left" w:pos="868"/>
        </w:tabs>
        <w:spacing w:before="0"/>
        <w:ind w:left="840" w:hanging="840"/>
      </w:pPr>
      <w:r>
        <w:tab/>
      </w:r>
      <w:r w:rsidR="00392D87">
        <w:t>1.</w:t>
      </w:r>
      <w:r>
        <w:tab/>
      </w:r>
      <w:r w:rsidR="00392D87">
        <w:t>údaje o počtu pohybů letadel, počtu odbavených cestujících, množství odbaveného nákladu a pošty na letišti za kalendářní rok, a to nejpozději do konce dubna následujícího kalendářního roku,</w:t>
      </w:r>
    </w:p>
    <w:p w14:paraId="7F4E993F" w14:textId="2992B30A" w:rsidR="00392D87" w:rsidRDefault="0044146B" w:rsidP="0044146B">
      <w:pPr>
        <w:pStyle w:val="Textparagrafu"/>
        <w:tabs>
          <w:tab w:val="left" w:pos="406"/>
          <w:tab w:val="left" w:pos="840"/>
          <w:tab w:val="left" w:pos="868"/>
        </w:tabs>
        <w:spacing w:before="0"/>
        <w:ind w:left="840" w:hanging="840"/>
      </w:pPr>
      <w:r>
        <w:tab/>
      </w:r>
      <w:r w:rsidR="00392D87">
        <w:t>2.</w:t>
      </w:r>
      <w:r>
        <w:tab/>
      </w:r>
      <w:r w:rsidR="00392D87">
        <w:t>údaje o počtu pohybů letadel, počtu odbavených cestujících, množství odbaveného nákladu a pošty na letišti a o počátečním a konečném místě uskutečněných obchodních letů za uplynulé čtvrtletí, jde-li o mezinárodní letiště, které odbavuje nejméně 90 % z celkově přepravovaných cestujících nebo nákladu v České republice, nebo o letiště odbavující alespoň 1 milion cestujících nebo 100 tisíc tun nákladu ročně, a to vždy nejpozději do konce února, května, srpna a listopadu v příslušném kalendářním roce,</w:t>
      </w:r>
    </w:p>
    <w:p w14:paraId="67836ABA" w14:textId="27381140" w:rsidR="00392D87" w:rsidRDefault="00392D87" w:rsidP="0044146B">
      <w:pPr>
        <w:pStyle w:val="Textparagrafu"/>
        <w:tabs>
          <w:tab w:val="left" w:pos="406"/>
          <w:tab w:val="left" w:pos="840"/>
          <w:tab w:val="left" w:pos="868"/>
        </w:tabs>
        <w:spacing w:before="0"/>
        <w:ind w:left="840" w:hanging="406"/>
      </w:pPr>
      <w:r>
        <w:t>3.</w:t>
      </w:r>
      <w:r w:rsidR="0044146B">
        <w:tab/>
      </w:r>
      <w:r>
        <w:t>údaje o výnosech, nákladech a investicích provozovatele letiště a o počtu a struktuře jeho zaměstnanců, jde-li o mezinárodní letiště, které odbavuje nejméně 90 % z celkově přepravovaných cestujících nebo nákladu v České republice, nebo o letiště odbavující alespoň 1 milion cestujících nebo 100 tisíc tun nákladu ročně, a to nejpozději do konce dubna následujícího kalendářního roku,</w:t>
      </w:r>
    </w:p>
    <w:p w14:paraId="37A24ED1" w14:textId="2D3D6428" w:rsidR="00392D87" w:rsidRDefault="00392D87" w:rsidP="0044146B">
      <w:pPr>
        <w:pStyle w:val="Textparagrafu"/>
        <w:tabs>
          <w:tab w:val="left" w:pos="406"/>
          <w:tab w:val="left" w:pos="840"/>
          <w:tab w:val="left" w:pos="868"/>
        </w:tabs>
        <w:spacing w:before="0"/>
        <w:ind w:left="406" w:hanging="406"/>
      </w:pPr>
      <w:r>
        <w:t>b)</w:t>
      </w:r>
      <w:r w:rsidR="0044146B">
        <w:tab/>
      </w:r>
      <w:r>
        <w:t>tuzemský letecký dopravce</w:t>
      </w:r>
    </w:p>
    <w:p w14:paraId="68B67B52" w14:textId="28C20362" w:rsidR="00392D87" w:rsidRDefault="0044146B" w:rsidP="0044146B">
      <w:pPr>
        <w:pStyle w:val="Textparagrafu"/>
        <w:tabs>
          <w:tab w:val="left" w:pos="406"/>
          <w:tab w:val="left" w:pos="840"/>
          <w:tab w:val="left" w:pos="868"/>
        </w:tabs>
        <w:spacing w:before="0"/>
        <w:ind w:left="840" w:hanging="840"/>
      </w:pPr>
      <w:r>
        <w:tab/>
      </w:r>
      <w:r w:rsidR="00392D87">
        <w:t>1.</w:t>
      </w:r>
      <w:r>
        <w:tab/>
      </w:r>
      <w:r w:rsidR="00392D87">
        <w:t>údaje o počtu jím přepravených cestujících, nákladu a pošty a o využité kapacitě jím provozovaných letadel za kalendářní rok, a to vždy nejpozději do konce dubna následujícího kalendářního roku,</w:t>
      </w:r>
    </w:p>
    <w:p w14:paraId="3BA5D8FF" w14:textId="0EDB3F67" w:rsidR="00392D87" w:rsidRDefault="00392D87" w:rsidP="0044146B">
      <w:pPr>
        <w:pStyle w:val="Textparagrafu"/>
        <w:tabs>
          <w:tab w:val="left" w:pos="406"/>
          <w:tab w:val="left" w:pos="840"/>
          <w:tab w:val="left" w:pos="868"/>
        </w:tabs>
        <w:spacing w:before="0"/>
        <w:ind w:left="840" w:hanging="406"/>
      </w:pPr>
      <w:r>
        <w:t>2.</w:t>
      </w:r>
      <w:r w:rsidR="0044146B">
        <w:tab/>
      </w:r>
      <w:r>
        <w:t>údaje o počtu a typu jím provozovaných letadel, jejich nabízené a využité kapacitě, o počtu a struktuře leteckého personálu a o mzdových nákladech s ním souvisejících, za kalendářní rok, a to vždy nejpozději do konce března následujícího kalendářního roku,</w:t>
      </w:r>
    </w:p>
    <w:p w14:paraId="0007F2FF" w14:textId="0C1BFCE8" w:rsidR="00392D87" w:rsidRDefault="00392D87" w:rsidP="0044146B">
      <w:pPr>
        <w:pStyle w:val="Textparagrafu"/>
        <w:tabs>
          <w:tab w:val="left" w:pos="406"/>
          <w:tab w:val="left" w:pos="840"/>
          <w:tab w:val="left" w:pos="868"/>
        </w:tabs>
        <w:spacing w:before="0"/>
        <w:ind w:left="840" w:hanging="406"/>
      </w:pPr>
      <w:r>
        <w:t>3.</w:t>
      </w:r>
      <w:r w:rsidR="0044146B">
        <w:tab/>
      </w:r>
      <w:r>
        <w:t>údaje o spotřebě paliva na uskutečněné lety podle typu letadla za kalendářní rok, a to vždy nejpozději do konce února následujícího kalendářního roku,</w:t>
      </w:r>
    </w:p>
    <w:p w14:paraId="4C01C1FB" w14:textId="33A09323" w:rsidR="00392D87" w:rsidRDefault="00392D87" w:rsidP="00B0390E">
      <w:pPr>
        <w:pStyle w:val="Textparagrafu"/>
        <w:tabs>
          <w:tab w:val="left" w:pos="426"/>
          <w:tab w:val="left" w:pos="840"/>
          <w:tab w:val="left" w:pos="868"/>
        </w:tabs>
        <w:spacing w:before="0"/>
        <w:ind w:left="426" w:hanging="426"/>
      </w:pPr>
      <w:r>
        <w:t>c)</w:t>
      </w:r>
      <w:r w:rsidR="0044146B">
        <w:tab/>
      </w:r>
      <w:r>
        <w:t>tuzemský letecký dopravce provozující alespoň jedno letadlo s celkovým počtem sedadel pro cestující vyšším než 30 nebo letadlo výhradně pro přepravu nákladu a pošty s maximální vzletovou hmotností více než 10 tun</w:t>
      </w:r>
    </w:p>
    <w:p w14:paraId="7A7B8D81" w14:textId="53B0AFDE" w:rsidR="00392D87" w:rsidRDefault="0044146B" w:rsidP="0044146B">
      <w:pPr>
        <w:pStyle w:val="Textparagrafu"/>
        <w:tabs>
          <w:tab w:val="left" w:pos="406"/>
          <w:tab w:val="left" w:pos="840"/>
          <w:tab w:val="left" w:pos="868"/>
        </w:tabs>
        <w:spacing w:before="0"/>
        <w:ind w:left="840" w:hanging="840"/>
      </w:pPr>
      <w:r>
        <w:tab/>
      </w:r>
      <w:r w:rsidR="00392D87">
        <w:t>1.</w:t>
      </w:r>
      <w:r>
        <w:tab/>
      </w:r>
      <w:r w:rsidR="00392D87">
        <w:t>údaje o počtu jím přepravených cestujících, nákladu a pošty a o využité kapacitě jím provozovaných letadel za kalendářní měsíc, a to vždy nejpozději do konce druhého kalendářního měsíce následujícího po měsíci rozhodném pro předávání těchto údajů,</w:t>
      </w:r>
    </w:p>
    <w:p w14:paraId="70F074BD" w14:textId="3C57A700" w:rsidR="00392D87" w:rsidRDefault="0044146B" w:rsidP="0044146B">
      <w:pPr>
        <w:pStyle w:val="Textparagrafu"/>
        <w:tabs>
          <w:tab w:val="left" w:pos="406"/>
          <w:tab w:val="left" w:pos="840"/>
          <w:tab w:val="left" w:pos="868"/>
        </w:tabs>
        <w:spacing w:before="0"/>
        <w:ind w:left="840" w:hanging="840"/>
      </w:pPr>
      <w:r>
        <w:tab/>
      </w:r>
      <w:r w:rsidR="00392D87">
        <w:t>2.</w:t>
      </w:r>
      <w:r>
        <w:tab/>
      </w:r>
      <w:r w:rsidR="00392D87">
        <w:t>údaje o počátečním a konečném místě uskutečněných obchodních letů za uplynulé čtvrtletí, a to vždy nejpozději do konce února, května, srpna a listopadu v příslušném kalendářním roce,</w:t>
      </w:r>
    </w:p>
    <w:p w14:paraId="5650B61F" w14:textId="3067D1BE" w:rsidR="00392D87" w:rsidRDefault="0044146B" w:rsidP="0044146B">
      <w:pPr>
        <w:pStyle w:val="Textparagrafu"/>
        <w:tabs>
          <w:tab w:val="left" w:pos="406"/>
          <w:tab w:val="left" w:pos="840"/>
          <w:tab w:val="left" w:pos="868"/>
        </w:tabs>
        <w:spacing w:before="0"/>
        <w:ind w:left="840" w:hanging="840"/>
      </w:pPr>
      <w:r>
        <w:tab/>
      </w:r>
      <w:r w:rsidR="00392D87">
        <w:t>3.</w:t>
      </w:r>
      <w:r>
        <w:tab/>
      </w:r>
      <w:r w:rsidR="00392D87">
        <w:t xml:space="preserve">rozvahu, </w:t>
      </w:r>
      <w:r w:rsidR="00392D87" w:rsidRPr="00076954">
        <w:rPr>
          <w:strike/>
        </w:rPr>
        <w:t>výkaz zisků a ztrát</w:t>
      </w:r>
      <w:r w:rsidR="00076954" w:rsidRPr="00076954">
        <w:rPr>
          <w:b/>
          <w:bCs/>
        </w:rPr>
        <w:t xml:space="preserve"> </w:t>
      </w:r>
      <w:r w:rsidR="00076954">
        <w:rPr>
          <w:b/>
          <w:bCs/>
        </w:rPr>
        <w:t>výkaz výsledku hospodaření</w:t>
      </w:r>
      <w:r w:rsidR="00392D87">
        <w:t>, prohlášení o nerozděleném zisku a kategorizaci výnosů podle přepravených osob, nákladu a pošty a podle toho, zda jde o provozování pravidelné nebo nepravidelné obchodní letecké dopravy, za kalendářní rok, a to vždy nejpozději do konce dubna následujícího kalendářního roku,</w:t>
      </w:r>
    </w:p>
    <w:p w14:paraId="31B780F3" w14:textId="6E1F534B" w:rsidR="00392D87" w:rsidRDefault="00392D87" w:rsidP="00B0390E">
      <w:pPr>
        <w:pStyle w:val="Textparagrafu"/>
        <w:tabs>
          <w:tab w:val="left" w:pos="406"/>
          <w:tab w:val="left" w:pos="840"/>
          <w:tab w:val="left" w:pos="868"/>
        </w:tabs>
        <w:spacing w:before="0"/>
        <w:ind w:left="426" w:hanging="426"/>
      </w:pPr>
      <w:r>
        <w:t>d)</w:t>
      </w:r>
      <w:r w:rsidR="0044146B">
        <w:tab/>
      </w:r>
      <w:r>
        <w:t>tuzemský letecký dopravce provozující mezinárodní pravidelnou obchodní leteckou dopravu údaje o počtu uskutečněných letů, typu jím provozovaných letadel, organizačním a zeměpisném vymezení provozu letadel, nabízené kapacitě jím provozovaných letadel a počtu přepravených cestujících, nákladu a pošty za kalendářní rok, a to nejpozději do konce února následujícího kalendářního roku,</w:t>
      </w:r>
    </w:p>
    <w:p w14:paraId="67DAC803" w14:textId="0BA52FFC" w:rsidR="00392D87" w:rsidRDefault="00392D87" w:rsidP="0044146B">
      <w:pPr>
        <w:pStyle w:val="Textparagrafu"/>
        <w:tabs>
          <w:tab w:val="left" w:pos="406"/>
          <w:tab w:val="left" w:pos="840"/>
          <w:tab w:val="left" w:pos="868"/>
        </w:tabs>
        <w:spacing w:before="0"/>
        <w:ind w:firstLine="0"/>
      </w:pPr>
      <w:r>
        <w:t>e)</w:t>
      </w:r>
      <w:r w:rsidR="0044146B">
        <w:tab/>
      </w:r>
      <w:r>
        <w:t>poskytovatel letových provozních služeb</w:t>
      </w:r>
    </w:p>
    <w:p w14:paraId="4F37FDD8" w14:textId="22A2E32A" w:rsidR="00392D87" w:rsidRDefault="0044146B" w:rsidP="0044146B">
      <w:pPr>
        <w:pStyle w:val="Textparagrafu"/>
        <w:tabs>
          <w:tab w:val="left" w:pos="406"/>
          <w:tab w:val="left" w:pos="840"/>
          <w:tab w:val="left" w:pos="868"/>
        </w:tabs>
        <w:spacing w:before="0"/>
        <w:ind w:left="840" w:hanging="840"/>
      </w:pPr>
      <w:r>
        <w:tab/>
      </w:r>
      <w:r w:rsidR="00392D87">
        <w:t>1.</w:t>
      </w:r>
      <w:r>
        <w:tab/>
      </w:r>
      <w:r w:rsidR="00392D87">
        <w:t>údaje o výnosech, nákladech a investicích a údaje o počtu a struktuře jeho zaměstnanců za kalendářní rok, a to vždy nejpozději do konce května následujícího kalendářního roku,</w:t>
      </w:r>
    </w:p>
    <w:p w14:paraId="7EE4CABA" w14:textId="17660F1F" w:rsidR="00392D87" w:rsidRDefault="0044146B" w:rsidP="0044146B">
      <w:pPr>
        <w:pStyle w:val="Textparagrafu"/>
        <w:tabs>
          <w:tab w:val="left" w:pos="406"/>
          <w:tab w:val="left" w:pos="840"/>
          <w:tab w:val="left" w:pos="868"/>
        </w:tabs>
        <w:spacing w:before="0"/>
        <w:ind w:left="840" w:hanging="840"/>
      </w:pPr>
      <w:r>
        <w:tab/>
      </w:r>
      <w:r w:rsidR="00392D87">
        <w:t>2.</w:t>
      </w:r>
      <w:r>
        <w:tab/>
      </w:r>
      <w:r w:rsidR="00392D87">
        <w:t>údaje o poskytnutých letových provozních službách za kalendářní rok, a to vždy nejpozději do konce března následujícího kalendářního roku.</w:t>
      </w:r>
    </w:p>
    <w:p w14:paraId="4A1323FD" w14:textId="6E39083D" w:rsidR="00392D87" w:rsidRDefault="00392D87" w:rsidP="00532DF9">
      <w:pPr>
        <w:pStyle w:val="Textparagrafu"/>
        <w:spacing w:before="120" w:after="120"/>
      </w:pPr>
      <w:r>
        <w:lastRenderedPageBreak/>
        <w:t>(2) Poskytovatel odbavovacích služeb průběžně předává provozovateli letiště údaje o počtu jím odbavených cestujících.</w:t>
      </w:r>
    </w:p>
    <w:p w14:paraId="61722CAE" w14:textId="77777777" w:rsidR="0044146B" w:rsidRDefault="00392D87" w:rsidP="00532DF9">
      <w:pPr>
        <w:pStyle w:val="Textparagrafu"/>
        <w:spacing w:before="120" w:after="120"/>
        <w:sectPr w:rsidR="0044146B" w:rsidSect="00554E2B">
          <w:footnotePr>
            <w:numStart w:val="3"/>
          </w:footnotePr>
          <w:endnotePr>
            <w:numFmt w:val="decimal"/>
          </w:endnotePr>
          <w:pgSz w:w="11906" w:h="16838"/>
          <w:pgMar w:top="1418" w:right="1418" w:bottom="1418" w:left="1418" w:header="709" w:footer="709" w:gutter="0"/>
          <w:cols w:space="708"/>
          <w:docGrid w:linePitch="360"/>
        </w:sectPr>
      </w:pPr>
      <w:r>
        <w:t>(3) Jednotlivé údaje předávané za účelem statistického zjišťování Ministerstvu dopravy, údaje o počtu odbavených cestujících předávané poskytovatelem odbavovacích služeb provozovateli letiště a jejich strukturu stanoví prováděcí právní předpis.</w:t>
      </w:r>
    </w:p>
    <w:p w14:paraId="6CC436BC" w14:textId="75FC097D" w:rsidR="00076954" w:rsidRPr="008923DB" w:rsidRDefault="00076954" w:rsidP="00532DF9">
      <w:pPr>
        <w:pStyle w:val="Odstavecseseznamem"/>
        <w:tabs>
          <w:tab w:val="left" w:pos="851"/>
        </w:tabs>
        <w:spacing w:before="120" w:after="120"/>
        <w:ind w:left="0" w:firstLine="0"/>
        <w:jc w:val="center"/>
        <w:outlineLvl w:val="0"/>
        <w:rPr>
          <w:szCs w:val="24"/>
        </w:rPr>
      </w:pPr>
      <w:r w:rsidRPr="002E0715">
        <w:rPr>
          <w:b/>
          <w:szCs w:val="24"/>
        </w:rPr>
        <w:lastRenderedPageBreak/>
        <w:t xml:space="preserve">K části </w:t>
      </w:r>
      <w:r>
        <w:rPr>
          <w:b/>
          <w:szCs w:val="24"/>
        </w:rPr>
        <w:t xml:space="preserve">třicáté </w:t>
      </w:r>
      <w:r w:rsidR="00B0390E">
        <w:rPr>
          <w:b/>
          <w:szCs w:val="24"/>
        </w:rPr>
        <w:t>čtvrté</w:t>
      </w:r>
      <w:r w:rsidRPr="002E0715">
        <w:rPr>
          <w:b/>
          <w:szCs w:val="24"/>
        </w:rPr>
        <w:t xml:space="preserve"> návrhu zákona – </w:t>
      </w:r>
      <w:r w:rsidRPr="002E0715">
        <w:rPr>
          <w:szCs w:val="24"/>
        </w:rPr>
        <w:t xml:space="preserve">změna zákona </w:t>
      </w:r>
      <w:r w:rsidRPr="00076954">
        <w:rPr>
          <w:szCs w:val="24"/>
        </w:rPr>
        <w:t>o státním podniku</w:t>
      </w:r>
    </w:p>
    <w:p w14:paraId="3E74C8C7" w14:textId="77777777" w:rsidR="00076954" w:rsidRPr="00383BB6" w:rsidRDefault="00076954" w:rsidP="00076954">
      <w:pPr>
        <w:pStyle w:val="Odstavecseseznamem"/>
        <w:tabs>
          <w:tab w:val="left" w:pos="851"/>
        </w:tabs>
        <w:spacing w:before="120" w:after="120"/>
        <w:ind w:left="0" w:firstLine="0"/>
        <w:outlineLvl w:val="0"/>
        <w:rPr>
          <w:b/>
          <w:szCs w:val="24"/>
        </w:rPr>
      </w:pPr>
    </w:p>
    <w:p w14:paraId="21474526" w14:textId="1A2DA81D" w:rsidR="00076954" w:rsidRPr="00383BB6" w:rsidRDefault="00076954" w:rsidP="00076954">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383BB6">
        <w:rPr>
          <w:b/>
          <w:szCs w:val="24"/>
        </w:rPr>
        <w:t>Platné znění</w:t>
      </w:r>
      <w:r w:rsidRPr="00383BB6">
        <w:rPr>
          <w:szCs w:val="24"/>
        </w:rPr>
        <w:t xml:space="preserve"> zákona </w:t>
      </w:r>
      <w:r w:rsidRPr="00383BB6">
        <w:rPr>
          <w:color w:val="000000"/>
          <w:szCs w:val="24"/>
        </w:rPr>
        <w:t>č.</w:t>
      </w:r>
      <w:r>
        <w:rPr>
          <w:color w:val="000000"/>
          <w:szCs w:val="24"/>
        </w:rPr>
        <w:t>77</w:t>
      </w:r>
      <w:r w:rsidRPr="00383BB6">
        <w:rPr>
          <w:color w:val="000000"/>
          <w:szCs w:val="24"/>
        </w:rPr>
        <w:t>/</w:t>
      </w:r>
      <w:r w:rsidRPr="008923DB">
        <w:rPr>
          <w:szCs w:val="24"/>
        </w:rPr>
        <w:t>199</w:t>
      </w:r>
      <w:r>
        <w:rPr>
          <w:szCs w:val="24"/>
        </w:rPr>
        <w:t>7</w:t>
      </w:r>
      <w:r w:rsidRPr="008923DB">
        <w:rPr>
          <w:szCs w:val="24"/>
        </w:rPr>
        <w:t xml:space="preserve"> Sb., </w:t>
      </w:r>
      <w:r w:rsidRPr="00076954">
        <w:rPr>
          <w:szCs w:val="24"/>
        </w:rPr>
        <w:t>o státním podniku</w:t>
      </w:r>
    </w:p>
    <w:p w14:paraId="537E743F" w14:textId="77777777" w:rsidR="00532DF9" w:rsidRPr="00AE4818" w:rsidRDefault="00532DF9" w:rsidP="00532DF9">
      <w:pPr>
        <w:pStyle w:val="Odstavecseseznamem"/>
        <w:numPr>
          <w:ilvl w:val="0"/>
          <w:numId w:val="27"/>
        </w:numPr>
        <w:pBdr>
          <w:top w:val="single" w:sz="12" w:space="6" w:color="auto"/>
          <w:left w:val="single" w:sz="12" w:space="0" w:color="auto"/>
          <w:bottom w:val="single" w:sz="12" w:space="6" w:color="auto"/>
          <w:right w:val="single" w:sz="12" w:space="0" w:color="auto"/>
        </w:pBdr>
        <w:spacing w:before="0" w:after="120"/>
        <w:jc w:val="center"/>
        <w:rPr>
          <w:b/>
          <w:szCs w:val="24"/>
          <w:lang w:eastAsia="en-US"/>
        </w:rPr>
      </w:pPr>
      <w:r w:rsidRPr="00AE4818">
        <w:rPr>
          <w:b/>
          <w:szCs w:val="24"/>
          <w:lang w:eastAsia="en-US"/>
        </w:rPr>
        <w:t>s vyznačením navrhovaných změn a doplnění k 1. lednu 2025</w:t>
      </w:r>
    </w:p>
    <w:p w14:paraId="16016AA9" w14:textId="04EC58DD" w:rsidR="00076954" w:rsidRDefault="00076954" w:rsidP="00FF6AA1">
      <w:pPr>
        <w:pStyle w:val="Textparagrafu"/>
        <w:tabs>
          <w:tab w:val="left" w:pos="406"/>
          <w:tab w:val="left" w:pos="840"/>
          <w:tab w:val="left" w:pos="868"/>
        </w:tabs>
        <w:spacing w:after="120"/>
        <w:ind w:firstLine="0"/>
        <w:jc w:val="center"/>
      </w:pPr>
      <w:r>
        <w:t>***</w:t>
      </w:r>
    </w:p>
    <w:p w14:paraId="3BCEF49F" w14:textId="46EFDF21" w:rsidR="00FF6AA1" w:rsidRDefault="00FF6AA1" w:rsidP="00FF6AA1">
      <w:pPr>
        <w:pStyle w:val="Textparagrafu"/>
        <w:ind w:firstLine="0"/>
        <w:jc w:val="center"/>
      </w:pPr>
      <w:r w:rsidRPr="00BD0B47">
        <w:t>§</w:t>
      </w:r>
      <w:r>
        <w:t xml:space="preserve"> </w:t>
      </w:r>
      <w:r w:rsidRPr="00BD0B47">
        <w:t>4</w:t>
      </w:r>
    </w:p>
    <w:p w14:paraId="0D8B538D" w14:textId="77777777" w:rsidR="00FF6AA1" w:rsidRPr="00FF6AA1" w:rsidRDefault="00FF6AA1" w:rsidP="00FF6AA1">
      <w:pPr>
        <w:pStyle w:val="Textparagrafu"/>
        <w:ind w:firstLine="0"/>
        <w:jc w:val="center"/>
        <w:rPr>
          <w:b/>
        </w:rPr>
      </w:pPr>
      <w:r w:rsidRPr="00FF6AA1">
        <w:rPr>
          <w:b/>
        </w:rPr>
        <w:t>Založení podniku</w:t>
      </w:r>
    </w:p>
    <w:p w14:paraId="35110F41" w14:textId="77777777" w:rsidR="00FF6AA1" w:rsidRDefault="00FF6AA1" w:rsidP="00B8532E">
      <w:pPr>
        <w:pStyle w:val="Textparagrafu"/>
        <w:tabs>
          <w:tab w:val="left" w:pos="406"/>
          <w:tab w:val="left" w:pos="826"/>
        </w:tabs>
        <w:spacing w:before="120" w:after="120"/>
      </w:pPr>
      <w:r w:rsidRPr="00BD0B47">
        <w:t>(1)</w:t>
      </w:r>
      <w:r>
        <w:t xml:space="preserve"> </w:t>
      </w:r>
      <w:r w:rsidRPr="00BD0B47">
        <w:t>Podnik</w:t>
      </w:r>
      <w:r>
        <w:t xml:space="preserve"> </w:t>
      </w:r>
      <w:r w:rsidRPr="00BD0B47">
        <w:t>se</w:t>
      </w:r>
      <w:r>
        <w:t xml:space="preserve"> </w:t>
      </w:r>
      <w:r w:rsidRPr="00BD0B47">
        <w:t>zakládá</w:t>
      </w:r>
      <w:r>
        <w:t xml:space="preserve"> </w:t>
      </w:r>
      <w:r w:rsidRPr="00BD0B47">
        <w:t>zakládací</w:t>
      </w:r>
      <w:r>
        <w:t xml:space="preserve"> </w:t>
      </w:r>
      <w:r w:rsidRPr="00BD0B47">
        <w:t>listinou,</w:t>
      </w:r>
      <w:r>
        <w:t xml:space="preserve"> </w:t>
      </w:r>
      <w:r w:rsidRPr="00BD0B47">
        <w:t>kterou</w:t>
      </w:r>
      <w:r>
        <w:t xml:space="preserve"> </w:t>
      </w:r>
      <w:r w:rsidRPr="00BD0B47">
        <w:t>jménem</w:t>
      </w:r>
      <w:r>
        <w:t xml:space="preserve"> </w:t>
      </w:r>
      <w:r w:rsidRPr="00BD0B47">
        <w:t>státu</w:t>
      </w:r>
      <w:r>
        <w:t xml:space="preserve"> </w:t>
      </w:r>
      <w:r w:rsidRPr="00BD0B47">
        <w:t>vydává</w:t>
      </w:r>
      <w:r>
        <w:t xml:space="preserve"> </w:t>
      </w:r>
      <w:r w:rsidRPr="00BD0B47">
        <w:t>příslušné</w:t>
      </w:r>
      <w:r>
        <w:t xml:space="preserve"> </w:t>
      </w:r>
      <w:r w:rsidRPr="00BD0B47">
        <w:t>ministerstvo</w:t>
      </w:r>
      <w:r>
        <w:t xml:space="preserve"> </w:t>
      </w:r>
      <w:r w:rsidRPr="00BD0B47">
        <w:t>(§</w:t>
      </w:r>
      <w:r>
        <w:t xml:space="preserve"> </w:t>
      </w:r>
      <w:r w:rsidRPr="00BD0B47">
        <w:t>3).</w:t>
      </w:r>
    </w:p>
    <w:p w14:paraId="6A8311F1" w14:textId="77777777" w:rsidR="00FF6AA1" w:rsidRDefault="00FF6AA1" w:rsidP="00B8532E">
      <w:pPr>
        <w:pStyle w:val="Textparagrafu"/>
        <w:tabs>
          <w:tab w:val="left" w:pos="406"/>
          <w:tab w:val="left" w:pos="826"/>
        </w:tabs>
        <w:spacing w:before="120" w:after="120"/>
      </w:pPr>
      <w:r w:rsidRPr="00BD0B47">
        <w:t>(2)</w:t>
      </w:r>
      <w:r>
        <w:t xml:space="preserve"> </w:t>
      </w:r>
      <w:r w:rsidRPr="00BD0B47">
        <w:t>Pravost</w:t>
      </w:r>
      <w:r>
        <w:t xml:space="preserve"> </w:t>
      </w:r>
      <w:r w:rsidRPr="00BD0B47">
        <w:t>podpisu</w:t>
      </w:r>
      <w:r>
        <w:t xml:space="preserve"> </w:t>
      </w:r>
      <w:r w:rsidRPr="00BD0B47">
        <w:t>osoby</w:t>
      </w:r>
      <w:r>
        <w:t xml:space="preserve"> </w:t>
      </w:r>
      <w:r w:rsidRPr="00BD0B47">
        <w:t>jednající</w:t>
      </w:r>
      <w:r>
        <w:t xml:space="preserve"> </w:t>
      </w:r>
      <w:r w:rsidRPr="00BD0B47">
        <w:t>za</w:t>
      </w:r>
      <w:r>
        <w:t xml:space="preserve"> </w:t>
      </w:r>
      <w:r w:rsidRPr="00BD0B47">
        <w:t>zakladatele</w:t>
      </w:r>
      <w:r>
        <w:t xml:space="preserve"> </w:t>
      </w:r>
      <w:r w:rsidRPr="00BD0B47">
        <w:t>musí</w:t>
      </w:r>
      <w:r>
        <w:t xml:space="preserve"> </w:t>
      </w:r>
      <w:r w:rsidRPr="00BD0B47">
        <w:t>být</w:t>
      </w:r>
      <w:r>
        <w:t xml:space="preserve"> </w:t>
      </w:r>
      <w:r w:rsidRPr="00BD0B47">
        <w:t>na</w:t>
      </w:r>
      <w:r>
        <w:t xml:space="preserve"> </w:t>
      </w:r>
      <w:r w:rsidRPr="00BD0B47">
        <w:t>zakládací</w:t>
      </w:r>
      <w:r>
        <w:t xml:space="preserve"> </w:t>
      </w:r>
      <w:r w:rsidRPr="00BD0B47">
        <w:t>listině</w:t>
      </w:r>
      <w:r>
        <w:t xml:space="preserve"> </w:t>
      </w:r>
      <w:r w:rsidRPr="00BD0B47">
        <w:t>úředně</w:t>
      </w:r>
      <w:r>
        <w:t xml:space="preserve"> </w:t>
      </w:r>
      <w:r w:rsidRPr="00BD0B47">
        <w:t>ověřena.</w:t>
      </w:r>
    </w:p>
    <w:p w14:paraId="415448E1" w14:textId="77777777" w:rsidR="00FF6AA1" w:rsidRDefault="00FF6AA1" w:rsidP="00B8532E">
      <w:pPr>
        <w:pStyle w:val="Textparagrafu"/>
        <w:tabs>
          <w:tab w:val="left" w:pos="406"/>
          <w:tab w:val="left" w:pos="826"/>
        </w:tabs>
        <w:spacing w:before="120" w:after="120"/>
      </w:pPr>
      <w:r w:rsidRPr="00BD0B47">
        <w:t>(3)</w:t>
      </w:r>
      <w:r>
        <w:t xml:space="preserve"> </w:t>
      </w:r>
      <w:r w:rsidRPr="00BD0B47">
        <w:t>Zakládací</w:t>
      </w:r>
      <w:r>
        <w:t xml:space="preserve"> </w:t>
      </w:r>
      <w:r w:rsidRPr="00BD0B47">
        <w:t>listina</w:t>
      </w:r>
      <w:r>
        <w:t xml:space="preserve"> </w:t>
      </w:r>
      <w:r w:rsidRPr="00BD0B47">
        <w:t>musí</w:t>
      </w:r>
      <w:r>
        <w:t xml:space="preserve"> </w:t>
      </w:r>
      <w:r w:rsidRPr="00BD0B47">
        <w:t>obsahovat</w:t>
      </w:r>
    </w:p>
    <w:p w14:paraId="597CC304" w14:textId="0151386D" w:rsidR="00FF6AA1" w:rsidRDefault="00FF6AA1" w:rsidP="00B0390E">
      <w:pPr>
        <w:pStyle w:val="Textparagrafu"/>
        <w:tabs>
          <w:tab w:val="left" w:pos="406"/>
          <w:tab w:val="left" w:pos="826"/>
        </w:tabs>
        <w:spacing w:before="0"/>
        <w:ind w:left="426" w:hanging="426"/>
      </w:pPr>
      <w:r w:rsidRPr="00BD0B47">
        <w:t>a)</w:t>
      </w:r>
      <w:r>
        <w:tab/>
      </w:r>
      <w:r w:rsidRPr="00BD0B47">
        <w:t>označení</w:t>
      </w:r>
      <w:r>
        <w:t xml:space="preserve"> </w:t>
      </w:r>
      <w:r w:rsidRPr="00BD0B47">
        <w:t>ministerstva,</w:t>
      </w:r>
      <w:r>
        <w:t xml:space="preserve"> </w:t>
      </w:r>
      <w:r w:rsidRPr="00BD0B47">
        <w:t>které</w:t>
      </w:r>
      <w:r>
        <w:t xml:space="preserve"> </w:t>
      </w:r>
      <w:r w:rsidRPr="00BD0B47">
        <w:t>vykonává</w:t>
      </w:r>
      <w:r>
        <w:t xml:space="preserve"> </w:t>
      </w:r>
      <w:r w:rsidRPr="00BD0B47">
        <w:t>funkci</w:t>
      </w:r>
      <w:r>
        <w:t xml:space="preserve"> </w:t>
      </w:r>
      <w:r w:rsidRPr="00BD0B47">
        <w:t>zakladatele,</w:t>
      </w:r>
    </w:p>
    <w:p w14:paraId="22526425" w14:textId="0D6D6C4A" w:rsidR="00FF6AA1" w:rsidRDefault="00FF6AA1" w:rsidP="00B0390E">
      <w:pPr>
        <w:pStyle w:val="Textparagrafu"/>
        <w:tabs>
          <w:tab w:val="left" w:pos="406"/>
          <w:tab w:val="left" w:pos="826"/>
        </w:tabs>
        <w:spacing w:before="0"/>
        <w:ind w:left="426" w:hanging="426"/>
      </w:pPr>
      <w:r w:rsidRPr="00BD0B47">
        <w:t>b)</w:t>
      </w:r>
      <w:r>
        <w:tab/>
      </w:r>
      <w:r w:rsidRPr="00BD0B47">
        <w:t>název</w:t>
      </w:r>
      <w:r>
        <w:t xml:space="preserve"> </w:t>
      </w:r>
      <w:r w:rsidRPr="00BD0B47">
        <w:t>a</w:t>
      </w:r>
      <w:r>
        <w:t xml:space="preserve"> </w:t>
      </w:r>
      <w:r w:rsidRPr="00BD0B47">
        <w:t>sídlo</w:t>
      </w:r>
      <w:r>
        <w:t xml:space="preserve"> </w:t>
      </w:r>
      <w:r w:rsidRPr="00BD0B47">
        <w:t>podniku;</w:t>
      </w:r>
      <w:r>
        <w:t xml:space="preserve"> </w:t>
      </w:r>
      <w:r w:rsidRPr="00BD0B47">
        <w:t>součástí</w:t>
      </w:r>
      <w:r>
        <w:t xml:space="preserve"> </w:t>
      </w:r>
      <w:r w:rsidRPr="00BD0B47">
        <w:t>názvu</w:t>
      </w:r>
      <w:r>
        <w:t xml:space="preserve"> </w:t>
      </w:r>
      <w:r w:rsidRPr="00BD0B47">
        <w:t>je</w:t>
      </w:r>
      <w:r>
        <w:t xml:space="preserve"> </w:t>
      </w:r>
      <w:r w:rsidRPr="00BD0B47">
        <w:t>označení</w:t>
      </w:r>
      <w:r>
        <w:t xml:space="preserve"> </w:t>
      </w:r>
      <w:r w:rsidRPr="00BD0B47">
        <w:t>"státní</w:t>
      </w:r>
      <w:r>
        <w:t xml:space="preserve"> </w:t>
      </w:r>
      <w:r w:rsidRPr="00BD0B47">
        <w:t>podnik",</w:t>
      </w:r>
      <w:r>
        <w:t xml:space="preserve"> </w:t>
      </w:r>
      <w:r w:rsidRPr="00BD0B47">
        <w:t>které</w:t>
      </w:r>
      <w:r>
        <w:t xml:space="preserve"> </w:t>
      </w:r>
      <w:r w:rsidRPr="00BD0B47">
        <w:t>může</w:t>
      </w:r>
      <w:r>
        <w:t xml:space="preserve"> </w:t>
      </w:r>
      <w:r w:rsidRPr="00BD0B47">
        <w:t>být</w:t>
      </w:r>
      <w:r>
        <w:t xml:space="preserve"> </w:t>
      </w:r>
      <w:r w:rsidRPr="00BD0B47">
        <w:t>nahrazeno</w:t>
      </w:r>
      <w:r>
        <w:t xml:space="preserve"> </w:t>
      </w:r>
      <w:r w:rsidRPr="00BD0B47">
        <w:t>zkratkou</w:t>
      </w:r>
      <w:r>
        <w:t xml:space="preserve"> </w:t>
      </w:r>
      <w:r w:rsidRPr="00BD0B47">
        <w:t>"</w:t>
      </w:r>
      <w:proofErr w:type="spellStart"/>
      <w:proofErr w:type="gramStart"/>
      <w:r w:rsidRPr="00BD0B47">
        <w:t>s.p</w:t>
      </w:r>
      <w:proofErr w:type="spellEnd"/>
      <w:r w:rsidRPr="00BD0B47">
        <w:t>.</w:t>
      </w:r>
      <w:proofErr w:type="gramEnd"/>
      <w:r w:rsidRPr="00BD0B47">
        <w:t>",</w:t>
      </w:r>
    </w:p>
    <w:p w14:paraId="4DD8A44D" w14:textId="65F44FE7" w:rsidR="00FF6AA1" w:rsidRDefault="00FF6AA1" w:rsidP="00B0390E">
      <w:pPr>
        <w:pStyle w:val="Textparagrafu"/>
        <w:tabs>
          <w:tab w:val="left" w:pos="406"/>
          <w:tab w:val="left" w:pos="826"/>
        </w:tabs>
        <w:spacing w:before="0"/>
        <w:ind w:left="426" w:hanging="426"/>
      </w:pPr>
      <w:r w:rsidRPr="00BD0B47">
        <w:t>c)</w:t>
      </w:r>
      <w:r>
        <w:tab/>
      </w:r>
      <w:r w:rsidRPr="00BD0B47">
        <w:t>předmět</w:t>
      </w:r>
      <w:r>
        <w:t xml:space="preserve"> </w:t>
      </w:r>
      <w:r w:rsidRPr="00BD0B47">
        <w:t>podnikání</w:t>
      </w:r>
      <w:r>
        <w:t xml:space="preserve"> </w:t>
      </w:r>
      <w:r w:rsidRPr="00BD0B47">
        <w:t>a</w:t>
      </w:r>
      <w:r>
        <w:t xml:space="preserve"> </w:t>
      </w:r>
      <w:r w:rsidRPr="00BD0B47">
        <w:t>účel,</w:t>
      </w:r>
      <w:r>
        <w:t xml:space="preserve"> </w:t>
      </w:r>
      <w:r w:rsidRPr="00BD0B47">
        <w:t>pro</w:t>
      </w:r>
      <w:r>
        <w:t xml:space="preserve"> </w:t>
      </w:r>
      <w:r w:rsidRPr="00BD0B47">
        <w:t>který</w:t>
      </w:r>
      <w:r>
        <w:t xml:space="preserve"> </w:t>
      </w:r>
      <w:r w:rsidRPr="00BD0B47">
        <w:t>je</w:t>
      </w:r>
      <w:r>
        <w:t xml:space="preserve"> </w:t>
      </w:r>
      <w:r w:rsidRPr="00BD0B47">
        <w:t>podnik</w:t>
      </w:r>
      <w:r>
        <w:t xml:space="preserve"> </w:t>
      </w:r>
      <w:r w:rsidRPr="00BD0B47">
        <w:t>založen,</w:t>
      </w:r>
    </w:p>
    <w:p w14:paraId="0B23F50B" w14:textId="64CC73E9" w:rsidR="00FF6AA1" w:rsidRDefault="00FF6AA1" w:rsidP="00B0390E">
      <w:pPr>
        <w:pStyle w:val="Textparagrafu"/>
        <w:tabs>
          <w:tab w:val="left" w:pos="406"/>
          <w:tab w:val="left" w:pos="826"/>
        </w:tabs>
        <w:spacing w:before="0"/>
        <w:ind w:left="426" w:hanging="426"/>
      </w:pPr>
      <w:r w:rsidRPr="00BD0B47">
        <w:t>d)</w:t>
      </w:r>
      <w:r>
        <w:tab/>
      </w:r>
      <w:r w:rsidRPr="00BD0B47">
        <w:t>výši</w:t>
      </w:r>
      <w:r>
        <w:t xml:space="preserve"> </w:t>
      </w:r>
      <w:r w:rsidRPr="00BD0B47">
        <w:t>kmenového</w:t>
      </w:r>
      <w:r>
        <w:t xml:space="preserve"> </w:t>
      </w:r>
      <w:r w:rsidRPr="00BD0B47">
        <w:t>jmění</w:t>
      </w:r>
      <w:r>
        <w:t xml:space="preserve"> </w:t>
      </w:r>
      <w:r w:rsidRPr="00BD0B47">
        <w:t>a</w:t>
      </w:r>
      <w:r>
        <w:t xml:space="preserve"> </w:t>
      </w:r>
      <w:r w:rsidRPr="00BD0B47">
        <w:t>jeho</w:t>
      </w:r>
      <w:r>
        <w:t xml:space="preserve"> </w:t>
      </w:r>
      <w:r w:rsidRPr="00BD0B47">
        <w:t>minimální</w:t>
      </w:r>
      <w:r>
        <w:t xml:space="preserve"> </w:t>
      </w:r>
      <w:r w:rsidRPr="00BD0B47">
        <w:t>výši,</w:t>
      </w:r>
      <w:r>
        <w:t xml:space="preserve"> </w:t>
      </w:r>
      <w:r w:rsidRPr="00BD0B47">
        <w:t>kterou</w:t>
      </w:r>
      <w:r>
        <w:t xml:space="preserve"> </w:t>
      </w:r>
      <w:r w:rsidRPr="00BD0B47">
        <w:t>je</w:t>
      </w:r>
      <w:r>
        <w:t xml:space="preserve"> </w:t>
      </w:r>
      <w:r w:rsidRPr="00BD0B47">
        <w:t>podnik</w:t>
      </w:r>
      <w:r>
        <w:t xml:space="preserve"> </w:t>
      </w:r>
      <w:r w:rsidRPr="00BD0B47">
        <w:t>povinen</w:t>
      </w:r>
      <w:r>
        <w:t xml:space="preserve"> </w:t>
      </w:r>
      <w:r w:rsidRPr="00BD0B47">
        <w:t>zachovat,</w:t>
      </w:r>
      <w:r>
        <w:t xml:space="preserve"> </w:t>
      </w:r>
      <w:r w:rsidRPr="00BD0B47">
        <w:t>určený</w:t>
      </w:r>
      <w:r>
        <w:t xml:space="preserve"> </w:t>
      </w:r>
      <w:r w:rsidRPr="00BD0B47">
        <w:t>majetek</w:t>
      </w:r>
      <w:r>
        <w:t xml:space="preserve"> </w:t>
      </w:r>
      <w:r w:rsidRPr="00BD0B47">
        <w:t>a</w:t>
      </w:r>
      <w:r>
        <w:t xml:space="preserve"> </w:t>
      </w:r>
      <w:r w:rsidRPr="00BD0B47">
        <w:t>jeho</w:t>
      </w:r>
      <w:r>
        <w:t xml:space="preserve"> </w:t>
      </w:r>
      <w:r w:rsidRPr="00BD0B47">
        <w:t>položkovou</w:t>
      </w:r>
      <w:r>
        <w:t xml:space="preserve"> </w:t>
      </w:r>
      <w:r w:rsidRPr="00BD0B47">
        <w:t>specifikaci,</w:t>
      </w:r>
    </w:p>
    <w:p w14:paraId="7D7C5D04" w14:textId="748CDED8" w:rsidR="00FF6AA1" w:rsidRDefault="00FF6AA1" w:rsidP="00B0390E">
      <w:pPr>
        <w:pStyle w:val="Textparagrafu"/>
        <w:tabs>
          <w:tab w:val="left" w:pos="406"/>
          <w:tab w:val="left" w:pos="826"/>
        </w:tabs>
        <w:spacing w:before="0"/>
        <w:ind w:left="426" w:hanging="426"/>
      </w:pPr>
      <w:r w:rsidRPr="00BD0B47">
        <w:t>e)</w:t>
      </w:r>
      <w:r>
        <w:tab/>
      </w:r>
      <w:r w:rsidRPr="00BD0B47">
        <w:t>určení</w:t>
      </w:r>
      <w:r>
        <w:t xml:space="preserve"> </w:t>
      </w:r>
      <w:r w:rsidRPr="00BD0B47">
        <w:t>a</w:t>
      </w:r>
      <w:r>
        <w:t xml:space="preserve"> </w:t>
      </w:r>
      <w:r w:rsidRPr="00BD0B47">
        <w:t>ocenění</w:t>
      </w:r>
      <w:r>
        <w:t xml:space="preserve"> </w:t>
      </w:r>
      <w:r w:rsidRPr="00BD0B47">
        <w:t>majetku</w:t>
      </w:r>
      <w:r>
        <w:t xml:space="preserve"> </w:t>
      </w:r>
      <w:r w:rsidRPr="00BD0B47">
        <w:t>podniku;</w:t>
      </w:r>
      <w:r>
        <w:t xml:space="preserve"> </w:t>
      </w:r>
      <w:r w:rsidRPr="00BD0B47">
        <w:t>ocenění</w:t>
      </w:r>
      <w:r>
        <w:t xml:space="preserve"> </w:t>
      </w:r>
      <w:r w:rsidRPr="00BD0B47">
        <w:t>majetku</w:t>
      </w:r>
      <w:r>
        <w:t xml:space="preserve"> </w:t>
      </w:r>
      <w:r w:rsidRPr="003516D5">
        <w:rPr>
          <w:strike/>
        </w:rPr>
        <w:t xml:space="preserve">navazuje na výši ocenění v účetnictví účetní jednotky, která o tomto majetku naposledy </w:t>
      </w:r>
      <w:proofErr w:type="gramStart"/>
      <w:r w:rsidRPr="003516D5">
        <w:rPr>
          <w:strike/>
        </w:rPr>
        <w:t>účtovala</w:t>
      </w:r>
      <w:proofErr w:type="gramEnd"/>
      <w:r w:rsidR="00075A7A">
        <w:rPr>
          <w:rStyle w:val="Znakapoznpodarou"/>
          <w:strike/>
        </w:rPr>
        <w:footnoteReference w:customMarkFollows="1" w:id="241"/>
        <w:t>2)</w:t>
      </w:r>
      <w:r w:rsidR="00075A7A" w:rsidRPr="00075A7A">
        <w:rPr>
          <w:b/>
        </w:rPr>
        <w:t xml:space="preserve"> </w:t>
      </w:r>
      <w:r w:rsidR="00075A7A" w:rsidRPr="00075A7A">
        <w:rPr>
          <w:b/>
          <w:szCs w:val="24"/>
        </w:rPr>
        <w:t xml:space="preserve">podniku </w:t>
      </w:r>
      <w:proofErr w:type="gramStart"/>
      <w:r w:rsidR="00075A7A" w:rsidRPr="00075A7A">
        <w:rPr>
          <w:b/>
          <w:szCs w:val="24"/>
        </w:rPr>
        <w:t>odpovídá</w:t>
      </w:r>
      <w:proofErr w:type="gramEnd"/>
      <w:r w:rsidR="00075A7A" w:rsidRPr="00075A7A">
        <w:rPr>
          <w:b/>
          <w:szCs w:val="24"/>
        </w:rPr>
        <w:t xml:space="preserve"> jeho účetní hodnotě u účetní jednotky, která ho naposledy vykazovala jako aktivum</w:t>
      </w:r>
      <w:r w:rsidRPr="00BD0B47">
        <w:t>,</w:t>
      </w:r>
    </w:p>
    <w:p w14:paraId="2709613C" w14:textId="6C7ADC69" w:rsidR="00FF6AA1" w:rsidRDefault="00FF6AA1" w:rsidP="00B0390E">
      <w:pPr>
        <w:pStyle w:val="Textparagrafu"/>
        <w:tabs>
          <w:tab w:val="left" w:pos="406"/>
          <w:tab w:val="left" w:pos="826"/>
        </w:tabs>
        <w:spacing w:before="0"/>
        <w:ind w:left="426" w:hanging="426"/>
      </w:pPr>
      <w:r w:rsidRPr="00BD0B47">
        <w:t>f)</w:t>
      </w:r>
      <w:r>
        <w:tab/>
      </w:r>
      <w:r w:rsidRPr="00BD0B47">
        <w:t>jméno</w:t>
      </w:r>
      <w:r>
        <w:t xml:space="preserve"> </w:t>
      </w:r>
      <w:r w:rsidRPr="00BD0B47">
        <w:t>prvního</w:t>
      </w:r>
      <w:r>
        <w:t xml:space="preserve"> </w:t>
      </w:r>
      <w:r w:rsidRPr="00BD0B47">
        <w:t>ředitele,</w:t>
      </w:r>
    </w:p>
    <w:p w14:paraId="2DE3FB29" w14:textId="3DB9CBA1" w:rsidR="00FF6AA1" w:rsidRDefault="00FF6AA1" w:rsidP="00B0390E">
      <w:pPr>
        <w:pStyle w:val="Textparagrafu"/>
        <w:tabs>
          <w:tab w:val="left" w:pos="406"/>
          <w:tab w:val="left" w:pos="826"/>
        </w:tabs>
        <w:spacing w:before="0"/>
        <w:ind w:left="426" w:hanging="426"/>
      </w:pPr>
      <w:r w:rsidRPr="00BD0B47">
        <w:t>g)</w:t>
      </w:r>
      <w:r>
        <w:tab/>
      </w:r>
      <w:r w:rsidRPr="00BD0B47">
        <w:t>počet</w:t>
      </w:r>
      <w:r>
        <w:t xml:space="preserve"> </w:t>
      </w:r>
      <w:r w:rsidRPr="00BD0B47">
        <w:t>členů</w:t>
      </w:r>
      <w:r>
        <w:t xml:space="preserve"> </w:t>
      </w:r>
      <w:r w:rsidRPr="00BD0B47">
        <w:t>dozorčí</w:t>
      </w:r>
      <w:r>
        <w:t xml:space="preserve"> </w:t>
      </w:r>
      <w:r w:rsidRPr="00BD0B47">
        <w:t>rady</w:t>
      </w:r>
      <w:r>
        <w:t xml:space="preserve"> </w:t>
      </w:r>
      <w:r w:rsidRPr="00BD0B47">
        <w:t>a</w:t>
      </w:r>
      <w:r>
        <w:t xml:space="preserve"> </w:t>
      </w:r>
      <w:r w:rsidRPr="00BD0B47">
        <w:t>jména</w:t>
      </w:r>
      <w:r>
        <w:t xml:space="preserve"> </w:t>
      </w:r>
      <w:r w:rsidRPr="00BD0B47">
        <w:t>prvních</w:t>
      </w:r>
      <w:r>
        <w:t xml:space="preserve"> </w:t>
      </w:r>
      <w:r w:rsidRPr="00BD0B47">
        <w:t>členů</w:t>
      </w:r>
      <w:r>
        <w:t xml:space="preserve"> </w:t>
      </w:r>
      <w:r w:rsidRPr="00BD0B47">
        <w:t>dozorčí</w:t>
      </w:r>
      <w:r>
        <w:t xml:space="preserve"> </w:t>
      </w:r>
      <w:r w:rsidRPr="00BD0B47">
        <w:t>rady,</w:t>
      </w:r>
    </w:p>
    <w:p w14:paraId="1E272EDC" w14:textId="090AD838" w:rsidR="00FF6AA1" w:rsidRDefault="00FF6AA1" w:rsidP="00B0390E">
      <w:pPr>
        <w:pStyle w:val="Textparagrafu"/>
        <w:tabs>
          <w:tab w:val="left" w:pos="406"/>
          <w:tab w:val="left" w:pos="826"/>
        </w:tabs>
        <w:spacing w:before="0"/>
        <w:ind w:left="426" w:hanging="426"/>
      </w:pPr>
      <w:r w:rsidRPr="00BD0B47">
        <w:t>h)</w:t>
      </w:r>
      <w:r>
        <w:tab/>
      </w:r>
      <w:r w:rsidRPr="00BD0B47">
        <w:t>výši</w:t>
      </w:r>
      <w:r>
        <w:t xml:space="preserve"> </w:t>
      </w:r>
      <w:r w:rsidRPr="00BD0B47">
        <w:t>rezervního</w:t>
      </w:r>
      <w:r>
        <w:t xml:space="preserve"> </w:t>
      </w:r>
      <w:r w:rsidRPr="00BD0B47">
        <w:t>fondu</w:t>
      </w:r>
      <w:r>
        <w:t xml:space="preserve"> </w:t>
      </w:r>
      <w:r w:rsidRPr="00BD0B47">
        <w:t>v</w:t>
      </w:r>
      <w:r>
        <w:t xml:space="preserve"> </w:t>
      </w:r>
      <w:r w:rsidRPr="00BD0B47">
        <w:t>okamžiku</w:t>
      </w:r>
      <w:r>
        <w:t xml:space="preserve"> </w:t>
      </w:r>
      <w:r w:rsidRPr="00BD0B47">
        <w:t>založení</w:t>
      </w:r>
      <w:r>
        <w:t xml:space="preserve"> </w:t>
      </w:r>
      <w:r w:rsidRPr="00BD0B47">
        <w:t>podniku,</w:t>
      </w:r>
      <w:r>
        <w:t xml:space="preserve"> </w:t>
      </w:r>
      <w:r w:rsidRPr="00BD0B47">
        <w:t>která</w:t>
      </w:r>
      <w:r>
        <w:t xml:space="preserve"> </w:t>
      </w:r>
      <w:r w:rsidRPr="00BD0B47">
        <w:t>činí</w:t>
      </w:r>
      <w:r>
        <w:t xml:space="preserve"> </w:t>
      </w:r>
      <w:r w:rsidRPr="00BD0B47">
        <w:t>nejméně</w:t>
      </w:r>
      <w:r>
        <w:t xml:space="preserve"> </w:t>
      </w:r>
      <w:r w:rsidRPr="00BD0B47">
        <w:t>10</w:t>
      </w:r>
      <w:r>
        <w:t xml:space="preserve"> </w:t>
      </w:r>
      <w:r w:rsidRPr="00BD0B47">
        <w:t>%</w:t>
      </w:r>
      <w:r>
        <w:t xml:space="preserve"> </w:t>
      </w:r>
      <w:r w:rsidRPr="00BD0B47">
        <w:t>kmenového</w:t>
      </w:r>
      <w:r>
        <w:t xml:space="preserve"> </w:t>
      </w:r>
      <w:r w:rsidRPr="00BD0B47">
        <w:t>jmění,</w:t>
      </w:r>
      <w:r>
        <w:t xml:space="preserve"> </w:t>
      </w:r>
      <w:r w:rsidRPr="00BD0B47">
        <w:t>pokud</w:t>
      </w:r>
      <w:r>
        <w:t xml:space="preserve"> </w:t>
      </w:r>
      <w:r w:rsidRPr="00BD0B47">
        <w:t>zakladatel</w:t>
      </w:r>
      <w:r>
        <w:t xml:space="preserve"> </w:t>
      </w:r>
      <w:r w:rsidRPr="00BD0B47">
        <w:t>nestanoví</w:t>
      </w:r>
      <w:r>
        <w:t xml:space="preserve"> </w:t>
      </w:r>
      <w:r w:rsidRPr="00BD0B47">
        <w:t>jinak,</w:t>
      </w:r>
      <w:r>
        <w:t xml:space="preserve"> </w:t>
      </w:r>
      <w:r w:rsidRPr="00BD0B47">
        <w:t>a</w:t>
      </w:r>
      <w:r>
        <w:t xml:space="preserve"> </w:t>
      </w:r>
      <w:r w:rsidRPr="00BD0B47">
        <w:t>minimální</w:t>
      </w:r>
      <w:r>
        <w:t xml:space="preserve"> </w:t>
      </w:r>
      <w:r w:rsidRPr="00BD0B47">
        <w:t>výši,</w:t>
      </w:r>
      <w:r>
        <w:t xml:space="preserve"> </w:t>
      </w:r>
      <w:r w:rsidRPr="00BD0B47">
        <w:t>do</w:t>
      </w:r>
      <w:r>
        <w:t xml:space="preserve"> </w:t>
      </w:r>
      <w:r w:rsidRPr="00BD0B47">
        <w:t>které</w:t>
      </w:r>
      <w:r>
        <w:t xml:space="preserve"> </w:t>
      </w:r>
      <w:r w:rsidRPr="00BD0B47">
        <w:t>bude</w:t>
      </w:r>
      <w:r>
        <w:t xml:space="preserve"> </w:t>
      </w:r>
      <w:r w:rsidRPr="00BD0B47">
        <w:t>doplněn</w:t>
      </w:r>
      <w:r>
        <w:t xml:space="preserve"> </w:t>
      </w:r>
      <w:r w:rsidRPr="00BD0B47">
        <w:t>v</w:t>
      </w:r>
      <w:r>
        <w:t xml:space="preserve"> </w:t>
      </w:r>
      <w:r w:rsidRPr="00BD0B47">
        <w:t>průběhu</w:t>
      </w:r>
      <w:r>
        <w:t xml:space="preserve"> </w:t>
      </w:r>
      <w:r w:rsidRPr="00BD0B47">
        <w:t>podnikání,</w:t>
      </w:r>
    </w:p>
    <w:p w14:paraId="603D7507" w14:textId="58C1FFDD" w:rsidR="00FF6AA1" w:rsidRDefault="00FF6AA1" w:rsidP="00B0390E">
      <w:pPr>
        <w:pStyle w:val="Textparagrafu"/>
        <w:tabs>
          <w:tab w:val="left" w:pos="406"/>
          <w:tab w:val="left" w:pos="826"/>
        </w:tabs>
        <w:spacing w:before="0"/>
        <w:ind w:left="426" w:hanging="426"/>
      </w:pPr>
      <w:r w:rsidRPr="00BD0B47">
        <w:t>i)</w:t>
      </w:r>
      <w:r>
        <w:tab/>
      </w:r>
      <w:r w:rsidRPr="00BD0B47">
        <w:t>označení</w:t>
      </w:r>
      <w:r>
        <w:t xml:space="preserve"> </w:t>
      </w:r>
      <w:r w:rsidRPr="00BD0B47">
        <w:t>osoby</w:t>
      </w:r>
      <w:r>
        <w:t xml:space="preserve"> </w:t>
      </w:r>
      <w:r w:rsidRPr="00BD0B47">
        <w:t>oprávněné</w:t>
      </w:r>
      <w:r>
        <w:t xml:space="preserve"> </w:t>
      </w:r>
      <w:r w:rsidRPr="00BD0B47">
        <w:t>jednat</w:t>
      </w:r>
      <w:r>
        <w:t xml:space="preserve"> </w:t>
      </w:r>
      <w:r w:rsidRPr="00BD0B47">
        <w:t>jménem</w:t>
      </w:r>
      <w:r>
        <w:t xml:space="preserve"> </w:t>
      </w:r>
      <w:r w:rsidRPr="00BD0B47">
        <w:t>ministerstva</w:t>
      </w:r>
      <w:r>
        <w:t xml:space="preserve"> </w:t>
      </w:r>
      <w:r w:rsidRPr="00BD0B47">
        <w:t>vykonávajícího</w:t>
      </w:r>
      <w:r>
        <w:t xml:space="preserve"> </w:t>
      </w:r>
      <w:r w:rsidRPr="00BD0B47">
        <w:t>funkci</w:t>
      </w:r>
      <w:r>
        <w:t xml:space="preserve"> </w:t>
      </w:r>
      <w:r w:rsidRPr="00BD0B47">
        <w:t>zakladatele.</w:t>
      </w:r>
    </w:p>
    <w:p w14:paraId="30BF75D8" w14:textId="77777777" w:rsidR="00FF6AA1" w:rsidRDefault="00FF6AA1" w:rsidP="00532DF9">
      <w:pPr>
        <w:pStyle w:val="Textparagrafu"/>
        <w:tabs>
          <w:tab w:val="left" w:pos="406"/>
          <w:tab w:val="left" w:pos="826"/>
        </w:tabs>
        <w:spacing w:before="120" w:after="120"/>
      </w:pPr>
      <w:r w:rsidRPr="00BD0B47">
        <w:t>(4)</w:t>
      </w:r>
      <w:r>
        <w:t xml:space="preserve"> </w:t>
      </w:r>
      <w:r w:rsidRPr="00BD0B47">
        <w:t>Určení</w:t>
      </w:r>
      <w:r>
        <w:t xml:space="preserve"> </w:t>
      </w:r>
      <w:r w:rsidRPr="00BD0B47">
        <w:t>a</w:t>
      </w:r>
      <w:r>
        <w:t xml:space="preserve"> </w:t>
      </w:r>
      <w:r w:rsidRPr="00BD0B47">
        <w:t>ocenění</w:t>
      </w:r>
      <w:r>
        <w:t xml:space="preserve"> </w:t>
      </w:r>
      <w:r w:rsidRPr="00BD0B47">
        <w:t>majetku</w:t>
      </w:r>
      <w:r>
        <w:t xml:space="preserve"> </w:t>
      </w:r>
      <w:r w:rsidRPr="00BD0B47">
        <w:t>podniku</w:t>
      </w:r>
      <w:r>
        <w:t xml:space="preserve"> </w:t>
      </w:r>
      <w:r w:rsidRPr="00BD0B47">
        <w:t>podle</w:t>
      </w:r>
      <w:r>
        <w:t xml:space="preserve"> </w:t>
      </w:r>
      <w:r w:rsidRPr="00BD0B47">
        <w:t>předchozího</w:t>
      </w:r>
      <w:r>
        <w:t xml:space="preserve"> </w:t>
      </w:r>
      <w:r w:rsidRPr="00BD0B47">
        <w:t>odstavce</w:t>
      </w:r>
      <w:r>
        <w:t xml:space="preserve"> </w:t>
      </w:r>
      <w:r w:rsidRPr="00BD0B47">
        <w:t>se</w:t>
      </w:r>
      <w:r>
        <w:t xml:space="preserve"> </w:t>
      </w:r>
      <w:r w:rsidRPr="00BD0B47">
        <w:t>provede</w:t>
      </w:r>
      <w:r>
        <w:t xml:space="preserve"> </w:t>
      </w:r>
      <w:r w:rsidRPr="00BD0B47">
        <w:t>ke</w:t>
      </w:r>
      <w:r>
        <w:t xml:space="preserve"> </w:t>
      </w:r>
      <w:r w:rsidRPr="00BD0B47">
        <w:t>dni</w:t>
      </w:r>
      <w:r>
        <w:t xml:space="preserve"> </w:t>
      </w:r>
      <w:r w:rsidRPr="00BD0B47">
        <w:t>založení</w:t>
      </w:r>
      <w:r>
        <w:t xml:space="preserve"> </w:t>
      </w:r>
      <w:r w:rsidRPr="00BD0B47">
        <w:t>podniku.</w:t>
      </w:r>
    </w:p>
    <w:p w14:paraId="3C18B350" w14:textId="77777777" w:rsidR="00FF6AA1" w:rsidRPr="00BD0B47" w:rsidRDefault="00FF6AA1" w:rsidP="00532DF9">
      <w:pPr>
        <w:pStyle w:val="Textparagrafu"/>
        <w:tabs>
          <w:tab w:val="left" w:pos="406"/>
          <w:tab w:val="left" w:pos="826"/>
        </w:tabs>
        <w:spacing w:before="120" w:after="120"/>
      </w:pPr>
      <w:r w:rsidRPr="00BD0B47">
        <w:t>(5)</w:t>
      </w:r>
      <w:r>
        <w:t xml:space="preserve"> </w:t>
      </w:r>
      <w:r w:rsidRPr="00BD0B47">
        <w:t>Při</w:t>
      </w:r>
      <w:r>
        <w:t xml:space="preserve"> </w:t>
      </w:r>
      <w:r w:rsidRPr="00BD0B47">
        <w:t>stanovení</w:t>
      </w:r>
      <w:r>
        <w:t xml:space="preserve"> </w:t>
      </w:r>
      <w:r w:rsidRPr="00BD0B47">
        <w:t>výše</w:t>
      </w:r>
      <w:r>
        <w:t xml:space="preserve"> </w:t>
      </w:r>
      <w:r w:rsidRPr="00BD0B47">
        <w:t>kmenového</w:t>
      </w:r>
      <w:r>
        <w:t xml:space="preserve"> </w:t>
      </w:r>
      <w:r w:rsidRPr="00BD0B47">
        <w:t>jmění</w:t>
      </w:r>
      <w:r>
        <w:t xml:space="preserve"> </w:t>
      </w:r>
      <w:r w:rsidRPr="00BD0B47">
        <w:t>a</w:t>
      </w:r>
      <w:r>
        <w:t xml:space="preserve"> </w:t>
      </w:r>
      <w:r w:rsidRPr="00BD0B47">
        <w:t>při</w:t>
      </w:r>
      <w:r>
        <w:t xml:space="preserve"> </w:t>
      </w:r>
      <w:r w:rsidRPr="00BD0B47">
        <w:t>ocenění</w:t>
      </w:r>
      <w:r>
        <w:t xml:space="preserve"> </w:t>
      </w:r>
      <w:r w:rsidRPr="00BD0B47">
        <w:t>podle</w:t>
      </w:r>
      <w:r>
        <w:t xml:space="preserve"> </w:t>
      </w:r>
      <w:r w:rsidRPr="00BD0B47">
        <w:t>odstavce</w:t>
      </w:r>
      <w:r>
        <w:t xml:space="preserve"> </w:t>
      </w:r>
      <w:r w:rsidRPr="00BD0B47">
        <w:t>3</w:t>
      </w:r>
      <w:r>
        <w:t xml:space="preserve"> </w:t>
      </w:r>
      <w:r w:rsidRPr="00BD0B47">
        <w:t>písm.</w:t>
      </w:r>
      <w:r>
        <w:t xml:space="preserve"> </w:t>
      </w:r>
      <w:r w:rsidRPr="00BD0B47">
        <w:t>d)</w:t>
      </w:r>
      <w:r>
        <w:t xml:space="preserve"> </w:t>
      </w:r>
      <w:r w:rsidRPr="00BD0B47">
        <w:t>a</w:t>
      </w:r>
      <w:r>
        <w:t xml:space="preserve"> </w:t>
      </w:r>
      <w:r w:rsidRPr="00BD0B47">
        <w:t>e)</w:t>
      </w:r>
      <w:r>
        <w:t xml:space="preserve"> </w:t>
      </w:r>
      <w:r w:rsidRPr="00BD0B47">
        <w:t>se</w:t>
      </w:r>
      <w:r>
        <w:t xml:space="preserve"> </w:t>
      </w:r>
      <w:r w:rsidRPr="00BD0B47">
        <w:t>nepřihlíží</w:t>
      </w:r>
      <w:r>
        <w:t xml:space="preserve"> </w:t>
      </w:r>
      <w:r w:rsidRPr="00BD0B47">
        <w:t>k</w:t>
      </w:r>
      <w:r>
        <w:t xml:space="preserve"> </w:t>
      </w:r>
      <w:r w:rsidRPr="00BD0B47">
        <w:t>povrchovým</w:t>
      </w:r>
      <w:r>
        <w:t xml:space="preserve"> </w:t>
      </w:r>
      <w:r w:rsidRPr="00BD0B47">
        <w:t>a</w:t>
      </w:r>
      <w:r>
        <w:t xml:space="preserve"> </w:t>
      </w:r>
      <w:r w:rsidRPr="00BD0B47">
        <w:t>podzemním</w:t>
      </w:r>
      <w:r>
        <w:t xml:space="preserve"> </w:t>
      </w:r>
      <w:r w:rsidRPr="00BD0B47">
        <w:t>vodám,</w:t>
      </w:r>
      <w:r>
        <w:t xml:space="preserve"> </w:t>
      </w:r>
      <w:r w:rsidRPr="00BD0B47">
        <w:t>lesním</w:t>
      </w:r>
      <w:r>
        <w:t xml:space="preserve"> </w:t>
      </w:r>
      <w:r w:rsidRPr="00BD0B47">
        <w:t>pozemkům</w:t>
      </w:r>
      <w:r>
        <w:t xml:space="preserve"> </w:t>
      </w:r>
      <w:r w:rsidRPr="00BD0B47">
        <w:t>a</w:t>
      </w:r>
      <w:r>
        <w:t xml:space="preserve"> </w:t>
      </w:r>
      <w:r w:rsidRPr="00BD0B47">
        <w:t>lesním</w:t>
      </w:r>
      <w:r>
        <w:t xml:space="preserve"> </w:t>
      </w:r>
      <w:r w:rsidRPr="00BD0B47">
        <w:t>porostům,</w:t>
      </w:r>
      <w:r>
        <w:t xml:space="preserve"> </w:t>
      </w:r>
      <w:r w:rsidRPr="00BD0B47">
        <w:t>ložiskům</w:t>
      </w:r>
      <w:r>
        <w:t xml:space="preserve"> </w:t>
      </w:r>
      <w:r w:rsidRPr="00BD0B47">
        <w:t>nerostných</w:t>
      </w:r>
      <w:r>
        <w:t xml:space="preserve"> </w:t>
      </w:r>
      <w:r w:rsidRPr="00BD0B47">
        <w:t>surovin</w:t>
      </w:r>
      <w:r>
        <w:t xml:space="preserve"> </w:t>
      </w:r>
      <w:r w:rsidRPr="00BD0B47">
        <w:t>a</w:t>
      </w:r>
      <w:r>
        <w:t xml:space="preserve"> </w:t>
      </w:r>
      <w:r w:rsidRPr="00BD0B47">
        <w:t>nerostů</w:t>
      </w:r>
      <w:r>
        <w:t xml:space="preserve"> </w:t>
      </w:r>
      <w:r w:rsidRPr="00BD0B47">
        <w:t>a</w:t>
      </w:r>
      <w:r>
        <w:t xml:space="preserve"> </w:t>
      </w:r>
      <w:r w:rsidRPr="00BD0B47">
        <w:t>jeskyním.</w:t>
      </w:r>
    </w:p>
    <w:p w14:paraId="1AA3E7B8" w14:textId="6C25B354" w:rsidR="00FF6AA1" w:rsidRDefault="00FF6AA1" w:rsidP="00075A7A">
      <w:pPr>
        <w:pStyle w:val="Textparagrafu"/>
        <w:tabs>
          <w:tab w:val="left" w:pos="406"/>
          <w:tab w:val="left" w:pos="826"/>
        </w:tabs>
        <w:spacing w:after="120"/>
        <w:ind w:firstLine="0"/>
        <w:jc w:val="center"/>
      </w:pPr>
      <w:r w:rsidRPr="00BD0B47">
        <w:t>§</w:t>
      </w:r>
      <w:r>
        <w:t xml:space="preserve"> </w:t>
      </w:r>
      <w:r w:rsidRPr="00BD0B47">
        <w:t>5</w:t>
      </w:r>
    </w:p>
    <w:p w14:paraId="1CFD47A7" w14:textId="77777777" w:rsidR="00FF6AA1" w:rsidRPr="00FF6AA1" w:rsidRDefault="00FF6AA1" w:rsidP="00075A7A">
      <w:pPr>
        <w:pStyle w:val="Textparagrafu"/>
        <w:tabs>
          <w:tab w:val="left" w:pos="406"/>
          <w:tab w:val="left" w:pos="826"/>
        </w:tabs>
        <w:spacing w:after="120"/>
        <w:ind w:firstLine="0"/>
        <w:jc w:val="center"/>
        <w:rPr>
          <w:b/>
        </w:rPr>
      </w:pPr>
      <w:r w:rsidRPr="00FF6AA1">
        <w:rPr>
          <w:b/>
        </w:rPr>
        <w:t>Vznik podniku</w:t>
      </w:r>
    </w:p>
    <w:p w14:paraId="3BB281EC" w14:textId="7B730F71" w:rsidR="00FF6AA1" w:rsidRDefault="00FF6AA1" w:rsidP="00532DF9">
      <w:pPr>
        <w:pStyle w:val="Textparagrafu"/>
        <w:tabs>
          <w:tab w:val="left" w:pos="406"/>
          <w:tab w:val="left" w:pos="826"/>
        </w:tabs>
        <w:spacing w:before="120" w:after="120"/>
      </w:pPr>
      <w:r w:rsidRPr="00BD0B47">
        <w:lastRenderedPageBreak/>
        <w:t>(1)</w:t>
      </w:r>
      <w:r>
        <w:t xml:space="preserve"> </w:t>
      </w:r>
      <w:r w:rsidRPr="00BD0B47">
        <w:t>Podnik</w:t>
      </w:r>
      <w:r>
        <w:t xml:space="preserve"> </w:t>
      </w:r>
      <w:r w:rsidRPr="00BD0B47">
        <w:t>vzniká</w:t>
      </w:r>
      <w:r>
        <w:t xml:space="preserve"> </w:t>
      </w:r>
      <w:r w:rsidRPr="00BD0B47">
        <w:t>dnem,</w:t>
      </w:r>
      <w:r>
        <w:t xml:space="preserve"> </w:t>
      </w:r>
      <w:r w:rsidRPr="00BD0B47">
        <w:t>ke</w:t>
      </w:r>
      <w:r>
        <w:t xml:space="preserve"> </w:t>
      </w:r>
      <w:r w:rsidRPr="00BD0B47">
        <w:t>kterému</w:t>
      </w:r>
      <w:r>
        <w:t xml:space="preserve"> </w:t>
      </w:r>
      <w:r w:rsidRPr="00BD0B47">
        <w:t>byl</w:t>
      </w:r>
      <w:r>
        <w:t xml:space="preserve"> </w:t>
      </w:r>
      <w:r w:rsidRPr="00BD0B47">
        <w:t>zapsán</w:t>
      </w:r>
      <w:r>
        <w:t xml:space="preserve"> </w:t>
      </w:r>
      <w:r w:rsidRPr="00BD0B47">
        <w:t>do</w:t>
      </w:r>
      <w:r>
        <w:t xml:space="preserve"> </w:t>
      </w:r>
      <w:r w:rsidRPr="00BD0B47">
        <w:t>obchodního</w:t>
      </w:r>
      <w:r>
        <w:t xml:space="preserve"> rejstříku.</w:t>
      </w:r>
      <w:r>
        <w:rPr>
          <w:rStyle w:val="Znakapoznpodarou"/>
        </w:rPr>
        <w:footnoteReference w:customMarkFollows="1" w:id="242"/>
        <w:t>3)</w:t>
      </w:r>
      <w:r>
        <w:t xml:space="preserve"> </w:t>
      </w:r>
      <w:r w:rsidRPr="00BD0B47">
        <w:t>Návrh</w:t>
      </w:r>
      <w:r>
        <w:t xml:space="preserve"> </w:t>
      </w:r>
      <w:r w:rsidRPr="00BD0B47">
        <w:t>na</w:t>
      </w:r>
      <w:r>
        <w:t xml:space="preserve"> </w:t>
      </w:r>
      <w:r w:rsidRPr="00BD0B47">
        <w:t>zápis</w:t>
      </w:r>
      <w:r>
        <w:t xml:space="preserve"> </w:t>
      </w:r>
      <w:r w:rsidRPr="00BD0B47">
        <w:t>podává</w:t>
      </w:r>
      <w:r>
        <w:t xml:space="preserve"> </w:t>
      </w:r>
      <w:r w:rsidRPr="00BD0B47">
        <w:t>zakladatel.</w:t>
      </w:r>
    </w:p>
    <w:p w14:paraId="4A2F13AD" w14:textId="77777777" w:rsidR="00FF6AA1" w:rsidRDefault="00FF6AA1" w:rsidP="00532DF9">
      <w:pPr>
        <w:pStyle w:val="Textparagrafu"/>
        <w:tabs>
          <w:tab w:val="left" w:pos="406"/>
          <w:tab w:val="left" w:pos="826"/>
        </w:tabs>
        <w:spacing w:before="120" w:after="120"/>
      </w:pPr>
      <w:r w:rsidRPr="00BD0B47">
        <w:t>(2)</w:t>
      </w:r>
      <w:r>
        <w:t xml:space="preserve"> </w:t>
      </w:r>
      <w:r w:rsidRPr="00BD0B47">
        <w:t>K</w:t>
      </w:r>
      <w:r>
        <w:t xml:space="preserve"> </w:t>
      </w:r>
      <w:r w:rsidRPr="00BD0B47">
        <w:t>návrhu</w:t>
      </w:r>
      <w:r>
        <w:t xml:space="preserve"> </w:t>
      </w:r>
      <w:r w:rsidRPr="00BD0B47">
        <w:t>se</w:t>
      </w:r>
      <w:r>
        <w:t xml:space="preserve"> </w:t>
      </w:r>
      <w:r w:rsidRPr="00BD0B47">
        <w:t>připojí</w:t>
      </w:r>
    </w:p>
    <w:p w14:paraId="0B129EA1" w14:textId="2BECF9D6" w:rsidR="00FF6AA1" w:rsidRDefault="00FF6AA1" w:rsidP="00B0390E">
      <w:pPr>
        <w:pStyle w:val="Textparagrafu"/>
        <w:tabs>
          <w:tab w:val="left" w:pos="406"/>
          <w:tab w:val="left" w:pos="826"/>
        </w:tabs>
        <w:spacing w:before="0"/>
        <w:ind w:left="426" w:hanging="426"/>
      </w:pPr>
      <w:r w:rsidRPr="00BD0B47">
        <w:t>a)</w:t>
      </w:r>
      <w:r>
        <w:tab/>
      </w:r>
      <w:r w:rsidRPr="00BD0B47">
        <w:t>zakládací</w:t>
      </w:r>
      <w:r>
        <w:t xml:space="preserve"> </w:t>
      </w:r>
      <w:r w:rsidRPr="00BD0B47">
        <w:t>listina,</w:t>
      </w:r>
    </w:p>
    <w:p w14:paraId="645C449A" w14:textId="584A3EB4" w:rsidR="00FF6AA1" w:rsidRDefault="00FF6AA1" w:rsidP="00B0390E">
      <w:pPr>
        <w:pStyle w:val="Textparagrafu"/>
        <w:tabs>
          <w:tab w:val="left" w:pos="406"/>
          <w:tab w:val="left" w:pos="826"/>
        </w:tabs>
        <w:spacing w:before="0"/>
        <w:ind w:left="426" w:hanging="426"/>
      </w:pPr>
      <w:r w:rsidRPr="00BD0B47">
        <w:t>b)</w:t>
      </w:r>
      <w:r>
        <w:tab/>
      </w:r>
      <w:r w:rsidRPr="00BD0B47">
        <w:t>doklad</w:t>
      </w:r>
      <w:r>
        <w:t xml:space="preserve"> </w:t>
      </w:r>
      <w:r w:rsidRPr="00BD0B47">
        <w:t>o</w:t>
      </w:r>
      <w:r>
        <w:t xml:space="preserve"> </w:t>
      </w:r>
      <w:r w:rsidRPr="00BD0B47">
        <w:t>ocenění</w:t>
      </w:r>
      <w:r>
        <w:t xml:space="preserve"> </w:t>
      </w:r>
      <w:r w:rsidRPr="00BD0B47">
        <w:t>majetku,</w:t>
      </w:r>
      <w:r>
        <w:t xml:space="preserve"> </w:t>
      </w:r>
      <w:r w:rsidRPr="00BD0B47">
        <w:t>s</w:t>
      </w:r>
      <w:r>
        <w:t xml:space="preserve"> </w:t>
      </w:r>
      <w:r w:rsidRPr="00BD0B47">
        <w:t>nímž</w:t>
      </w:r>
      <w:r>
        <w:t xml:space="preserve"> </w:t>
      </w:r>
      <w:r w:rsidRPr="00BD0B47">
        <w:t>má</w:t>
      </w:r>
      <w:r>
        <w:t xml:space="preserve"> </w:t>
      </w:r>
      <w:r w:rsidRPr="00BD0B47">
        <w:t>podle</w:t>
      </w:r>
      <w:r>
        <w:t xml:space="preserve"> </w:t>
      </w:r>
      <w:r w:rsidRPr="00BD0B47">
        <w:t>zakládací</w:t>
      </w:r>
      <w:r>
        <w:t xml:space="preserve"> </w:t>
      </w:r>
      <w:r w:rsidRPr="00BD0B47">
        <w:t>listiny</w:t>
      </w:r>
      <w:r>
        <w:t xml:space="preserve"> </w:t>
      </w:r>
      <w:r w:rsidRPr="00BD0B47">
        <w:t>podnik</w:t>
      </w:r>
      <w:r>
        <w:t xml:space="preserve"> </w:t>
      </w:r>
      <w:r w:rsidRPr="00BD0B47">
        <w:t>právo</w:t>
      </w:r>
      <w:r>
        <w:t xml:space="preserve"> </w:t>
      </w:r>
      <w:r w:rsidRPr="00BD0B47">
        <w:t>hospodařit</w:t>
      </w:r>
      <w:r>
        <w:t xml:space="preserve"> </w:t>
      </w:r>
      <w:r w:rsidRPr="00BD0B47">
        <w:t>v</w:t>
      </w:r>
      <w:r>
        <w:t xml:space="preserve"> </w:t>
      </w:r>
      <w:r w:rsidRPr="00BD0B47">
        <w:t>okamžiku</w:t>
      </w:r>
      <w:r>
        <w:t xml:space="preserve"> </w:t>
      </w:r>
      <w:r w:rsidRPr="00BD0B47">
        <w:t>svého</w:t>
      </w:r>
      <w:r>
        <w:t xml:space="preserve"> </w:t>
      </w:r>
      <w:r w:rsidRPr="00BD0B47">
        <w:t>založení,</w:t>
      </w:r>
      <w:r>
        <w:t xml:space="preserve"> </w:t>
      </w:r>
      <w:r w:rsidRPr="00BD0B47">
        <w:t>provedeném</w:t>
      </w:r>
      <w:r>
        <w:t xml:space="preserve"> </w:t>
      </w:r>
      <w:r w:rsidRPr="00BD0B47">
        <w:t>podle</w:t>
      </w:r>
      <w:r>
        <w:t xml:space="preserve"> </w:t>
      </w:r>
      <w:r w:rsidRPr="00BD0B47">
        <w:t>zvláštních</w:t>
      </w:r>
      <w:r>
        <w:t xml:space="preserve"> </w:t>
      </w:r>
      <w:r w:rsidRPr="00BD0B47">
        <w:t>právních</w:t>
      </w:r>
      <w:r>
        <w:t xml:space="preserve"> </w:t>
      </w:r>
      <w:proofErr w:type="gramStart"/>
      <w:r>
        <w:t>předpisů,</w:t>
      </w:r>
      <w:r w:rsidRPr="00FF6AA1">
        <w:rPr>
          <w:vertAlign w:val="superscript"/>
        </w:rPr>
        <w:t>2)</w:t>
      </w:r>
      <w:proofErr w:type="gramEnd"/>
    </w:p>
    <w:p w14:paraId="42C0B80A" w14:textId="4765AD4B" w:rsidR="00FF6AA1" w:rsidRPr="00BD0B47" w:rsidRDefault="00FF6AA1" w:rsidP="00B0390E">
      <w:pPr>
        <w:pStyle w:val="Textparagrafu"/>
        <w:tabs>
          <w:tab w:val="left" w:pos="406"/>
          <w:tab w:val="left" w:pos="826"/>
        </w:tabs>
        <w:spacing w:before="0"/>
        <w:ind w:left="426" w:hanging="426"/>
      </w:pPr>
      <w:r w:rsidRPr="00BD0B47">
        <w:t>c)</w:t>
      </w:r>
      <w:r>
        <w:tab/>
      </w:r>
      <w:r w:rsidRPr="00BD0B47">
        <w:t>usnesení</w:t>
      </w:r>
      <w:r>
        <w:t xml:space="preserve"> </w:t>
      </w:r>
      <w:r w:rsidRPr="00BD0B47">
        <w:t>vlády,</w:t>
      </w:r>
      <w:r>
        <w:t xml:space="preserve"> </w:t>
      </w:r>
      <w:r w:rsidRPr="00BD0B47">
        <w:t>kterým</w:t>
      </w:r>
      <w:r>
        <w:t xml:space="preserve"> </w:t>
      </w:r>
      <w:r w:rsidRPr="00BD0B47">
        <w:t>se</w:t>
      </w:r>
      <w:r>
        <w:t xml:space="preserve"> </w:t>
      </w:r>
      <w:r w:rsidRPr="00BD0B47">
        <w:t>uděluje</w:t>
      </w:r>
      <w:r>
        <w:t xml:space="preserve"> </w:t>
      </w:r>
      <w:r w:rsidRPr="00BD0B47">
        <w:t>souhlas</w:t>
      </w:r>
      <w:r>
        <w:t xml:space="preserve"> </w:t>
      </w:r>
      <w:r w:rsidRPr="00BD0B47">
        <w:t>se</w:t>
      </w:r>
      <w:r>
        <w:t xml:space="preserve"> </w:t>
      </w:r>
      <w:r w:rsidRPr="00BD0B47">
        <w:t>založením</w:t>
      </w:r>
      <w:r>
        <w:t xml:space="preserve"> </w:t>
      </w:r>
      <w:r w:rsidRPr="00BD0B47">
        <w:t>podniku.</w:t>
      </w:r>
    </w:p>
    <w:p w14:paraId="741CC2A5" w14:textId="7EA31283" w:rsidR="00392D87" w:rsidRDefault="00FF6AA1" w:rsidP="00FF6AA1">
      <w:pPr>
        <w:pStyle w:val="Textparagrafu"/>
        <w:tabs>
          <w:tab w:val="left" w:pos="406"/>
          <w:tab w:val="left" w:pos="840"/>
          <w:tab w:val="left" w:pos="868"/>
        </w:tabs>
        <w:spacing w:after="120"/>
        <w:ind w:firstLine="0"/>
        <w:jc w:val="center"/>
      </w:pPr>
      <w:r>
        <w:t>***</w:t>
      </w:r>
    </w:p>
    <w:p w14:paraId="39408514" w14:textId="77777777" w:rsidR="00CB6038" w:rsidRDefault="00CB6038" w:rsidP="00075A7A">
      <w:pPr>
        <w:pStyle w:val="Textparagrafu"/>
        <w:ind w:firstLine="0"/>
        <w:jc w:val="center"/>
      </w:pPr>
      <w:r w:rsidRPr="00C757C7">
        <w:t>§</w:t>
      </w:r>
      <w:r>
        <w:t xml:space="preserve"> </w:t>
      </w:r>
      <w:r w:rsidRPr="00C757C7">
        <w:t>13</w:t>
      </w:r>
    </w:p>
    <w:p w14:paraId="1BCDD4E1" w14:textId="2B13C1E2" w:rsidR="00CB6038" w:rsidRDefault="00CB6038" w:rsidP="00532DF9">
      <w:pPr>
        <w:pStyle w:val="Textparagrafu"/>
        <w:tabs>
          <w:tab w:val="left" w:pos="406"/>
          <w:tab w:val="left" w:pos="826"/>
        </w:tabs>
        <w:spacing w:before="120" w:after="120"/>
      </w:pPr>
      <w:r w:rsidRPr="00C757C7">
        <w:t>(1)</w:t>
      </w:r>
      <w:r>
        <w:t xml:space="preserve"> </w:t>
      </w:r>
      <w:r w:rsidRPr="00C757C7">
        <w:t>Dozorčí</w:t>
      </w:r>
      <w:r>
        <w:t xml:space="preserve"> </w:t>
      </w:r>
      <w:r w:rsidRPr="00C757C7">
        <w:t>rada</w:t>
      </w:r>
    </w:p>
    <w:p w14:paraId="426C761C" w14:textId="2AF808B0" w:rsidR="00CB6038" w:rsidRDefault="00CB6038" w:rsidP="00B0390E">
      <w:pPr>
        <w:pStyle w:val="Textparagrafu"/>
        <w:tabs>
          <w:tab w:val="left" w:pos="392"/>
        </w:tabs>
        <w:spacing w:before="0"/>
        <w:ind w:left="426" w:hanging="426"/>
      </w:pPr>
      <w:r w:rsidRPr="00C757C7">
        <w:t>a)</w:t>
      </w:r>
      <w:r w:rsidR="001E080D">
        <w:tab/>
      </w:r>
      <w:r w:rsidRPr="00C757C7">
        <w:t>schvaluje</w:t>
      </w:r>
      <w:r>
        <w:t xml:space="preserve"> </w:t>
      </w:r>
      <w:r w:rsidRPr="00C757C7">
        <w:t>v</w:t>
      </w:r>
      <w:r>
        <w:t xml:space="preserve"> </w:t>
      </w:r>
      <w:r w:rsidRPr="00C757C7">
        <w:t>rozsahu,</w:t>
      </w:r>
      <w:r>
        <w:t xml:space="preserve"> </w:t>
      </w:r>
      <w:r w:rsidRPr="00C757C7">
        <w:t>který</w:t>
      </w:r>
      <w:r>
        <w:t xml:space="preserve"> </w:t>
      </w:r>
      <w:r w:rsidRPr="00C757C7">
        <w:t>určí</w:t>
      </w:r>
      <w:r>
        <w:t xml:space="preserve"> </w:t>
      </w:r>
      <w:r w:rsidRPr="00C757C7">
        <w:t>zakladatel,</w:t>
      </w:r>
      <w:r>
        <w:t xml:space="preserve"> </w:t>
      </w:r>
      <w:r w:rsidRPr="00C757C7">
        <w:t>zásadní</w:t>
      </w:r>
      <w:r>
        <w:t xml:space="preserve"> </w:t>
      </w:r>
      <w:r w:rsidRPr="00C757C7">
        <w:t>otázky</w:t>
      </w:r>
      <w:r>
        <w:t xml:space="preserve"> </w:t>
      </w:r>
      <w:r w:rsidRPr="00C757C7">
        <w:t>koncepce</w:t>
      </w:r>
      <w:r>
        <w:t xml:space="preserve"> </w:t>
      </w:r>
      <w:r w:rsidRPr="00C757C7">
        <w:t>rozvoje</w:t>
      </w:r>
      <w:r>
        <w:t xml:space="preserve"> </w:t>
      </w:r>
      <w:r w:rsidRPr="00C757C7">
        <w:t>podniku</w:t>
      </w:r>
      <w:r>
        <w:t xml:space="preserve"> </w:t>
      </w:r>
      <w:r w:rsidRPr="00C757C7">
        <w:t>(zejména</w:t>
      </w:r>
      <w:r>
        <w:t xml:space="preserve"> </w:t>
      </w:r>
      <w:r w:rsidRPr="00C757C7">
        <w:t>strategii</w:t>
      </w:r>
      <w:r>
        <w:t xml:space="preserve"> </w:t>
      </w:r>
      <w:r w:rsidRPr="00C757C7">
        <w:t>rozvoje</w:t>
      </w:r>
      <w:r>
        <w:t xml:space="preserve"> </w:t>
      </w:r>
      <w:r w:rsidRPr="00C757C7">
        <w:t>výroby</w:t>
      </w:r>
      <w:r>
        <w:t xml:space="preserve"> </w:t>
      </w:r>
      <w:r w:rsidRPr="00C757C7">
        <w:t>a</w:t>
      </w:r>
      <w:r>
        <w:t xml:space="preserve"> </w:t>
      </w:r>
      <w:r w:rsidRPr="00C757C7">
        <w:t>služeb,</w:t>
      </w:r>
      <w:r>
        <w:t xml:space="preserve"> </w:t>
      </w:r>
      <w:r w:rsidRPr="00C757C7">
        <w:t>investiční</w:t>
      </w:r>
      <w:r>
        <w:t xml:space="preserve"> </w:t>
      </w:r>
      <w:r w:rsidRPr="00C757C7">
        <w:t>a</w:t>
      </w:r>
      <w:r>
        <w:t xml:space="preserve"> </w:t>
      </w:r>
      <w:r w:rsidRPr="00C757C7">
        <w:t>vědecko-technické</w:t>
      </w:r>
      <w:r>
        <w:t xml:space="preserve"> </w:t>
      </w:r>
      <w:r w:rsidRPr="00C757C7">
        <w:t>programy,</w:t>
      </w:r>
      <w:r>
        <w:t xml:space="preserve"> </w:t>
      </w:r>
      <w:r w:rsidRPr="00C757C7">
        <w:t>využití</w:t>
      </w:r>
      <w:r>
        <w:t xml:space="preserve"> </w:t>
      </w:r>
      <w:r w:rsidRPr="00C757C7">
        <w:t>know-how</w:t>
      </w:r>
      <w:r>
        <w:t xml:space="preserve"> </w:t>
      </w:r>
      <w:r w:rsidRPr="00C757C7">
        <w:t>podniku,</w:t>
      </w:r>
      <w:r>
        <w:t xml:space="preserve"> </w:t>
      </w:r>
      <w:r w:rsidRPr="00C757C7">
        <w:t>programy</w:t>
      </w:r>
      <w:r>
        <w:t xml:space="preserve"> </w:t>
      </w:r>
      <w:r w:rsidRPr="00C757C7">
        <w:t>společného</w:t>
      </w:r>
      <w:r>
        <w:t xml:space="preserve"> </w:t>
      </w:r>
      <w:r w:rsidRPr="00C757C7">
        <w:t>podnikání</w:t>
      </w:r>
      <w:r>
        <w:t xml:space="preserve"> </w:t>
      </w:r>
      <w:r w:rsidRPr="00C757C7">
        <w:t>s</w:t>
      </w:r>
      <w:r>
        <w:t xml:space="preserve"> </w:t>
      </w:r>
      <w:r w:rsidRPr="00C757C7">
        <w:t>tuzemskými</w:t>
      </w:r>
      <w:r>
        <w:t xml:space="preserve"> </w:t>
      </w:r>
      <w:r w:rsidRPr="00C757C7">
        <w:t>a</w:t>
      </w:r>
      <w:r>
        <w:t xml:space="preserve"> </w:t>
      </w:r>
      <w:r w:rsidRPr="00C757C7">
        <w:t>zahraničními</w:t>
      </w:r>
      <w:r>
        <w:t xml:space="preserve"> </w:t>
      </w:r>
      <w:r w:rsidRPr="00C757C7">
        <w:t>subjekty</w:t>
      </w:r>
      <w:r>
        <w:t xml:space="preserve"> </w:t>
      </w:r>
      <w:r w:rsidRPr="00C757C7">
        <w:t>atd.)</w:t>
      </w:r>
      <w:r>
        <w:t xml:space="preserve"> </w:t>
      </w:r>
      <w:r w:rsidRPr="00C757C7">
        <w:t>a</w:t>
      </w:r>
      <w:r>
        <w:t xml:space="preserve"> </w:t>
      </w:r>
      <w:r w:rsidRPr="00C757C7">
        <w:t>nakládání</w:t>
      </w:r>
      <w:r>
        <w:t xml:space="preserve"> </w:t>
      </w:r>
      <w:r w:rsidRPr="00C757C7">
        <w:t>s</w:t>
      </w:r>
      <w:r>
        <w:t xml:space="preserve"> </w:t>
      </w:r>
      <w:r w:rsidRPr="00C757C7">
        <w:t>majetkem</w:t>
      </w:r>
      <w:r>
        <w:t xml:space="preserve"> </w:t>
      </w:r>
      <w:r w:rsidRPr="00C757C7">
        <w:t>podniku</w:t>
      </w:r>
      <w:r>
        <w:t xml:space="preserve"> </w:t>
      </w:r>
      <w:r w:rsidRPr="00C757C7">
        <w:t>(mimo</w:t>
      </w:r>
      <w:r>
        <w:t xml:space="preserve"> </w:t>
      </w:r>
      <w:r w:rsidRPr="00C757C7">
        <w:t>určený</w:t>
      </w:r>
      <w:r>
        <w:t xml:space="preserve"> </w:t>
      </w:r>
      <w:r w:rsidRPr="00C757C7">
        <w:t>majetek),</w:t>
      </w:r>
    </w:p>
    <w:p w14:paraId="55FBD6C1" w14:textId="7280FEBE" w:rsidR="00CB6038" w:rsidRDefault="00CB6038" w:rsidP="00B0390E">
      <w:pPr>
        <w:pStyle w:val="Textparagrafu"/>
        <w:tabs>
          <w:tab w:val="left" w:pos="392"/>
        </w:tabs>
        <w:spacing w:before="0"/>
        <w:ind w:left="426" w:hanging="426"/>
      </w:pPr>
      <w:r w:rsidRPr="00C757C7">
        <w:t>b)</w:t>
      </w:r>
      <w:r w:rsidR="001E080D">
        <w:tab/>
      </w:r>
      <w:r w:rsidRPr="00C757C7">
        <w:t>projednává</w:t>
      </w:r>
      <w:r>
        <w:t xml:space="preserve"> </w:t>
      </w:r>
      <w:r w:rsidRPr="00075A7A">
        <w:rPr>
          <w:strike/>
        </w:rPr>
        <w:t>výroční zprávu</w:t>
      </w:r>
      <w:r w:rsidR="00075A7A">
        <w:rPr>
          <w:b/>
        </w:rPr>
        <w:t xml:space="preserve"> </w:t>
      </w:r>
      <w:proofErr w:type="spellStart"/>
      <w:r w:rsidR="00075A7A">
        <w:rPr>
          <w:b/>
        </w:rPr>
        <w:t>zprávu</w:t>
      </w:r>
      <w:proofErr w:type="spellEnd"/>
      <w:r w:rsidR="00075A7A">
        <w:rPr>
          <w:b/>
        </w:rPr>
        <w:t xml:space="preserve"> vedení</w:t>
      </w:r>
      <w:r w:rsidRPr="00C757C7">
        <w:t>,</w:t>
      </w:r>
      <w:r>
        <w:t xml:space="preserve"> </w:t>
      </w:r>
      <w:r w:rsidRPr="00C757C7">
        <w:t>roční</w:t>
      </w:r>
      <w:r>
        <w:t xml:space="preserve"> </w:t>
      </w:r>
      <w:r w:rsidRPr="00C757C7">
        <w:t>finanční</w:t>
      </w:r>
      <w:r>
        <w:t xml:space="preserve"> </w:t>
      </w:r>
      <w:r w:rsidRPr="00C757C7">
        <w:t>plán,</w:t>
      </w:r>
      <w:r>
        <w:t xml:space="preserve"> </w:t>
      </w:r>
      <w:r w:rsidRPr="00C757C7">
        <w:t>pololetní</w:t>
      </w:r>
      <w:r>
        <w:t xml:space="preserve"> </w:t>
      </w:r>
      <w:r w:rsidRPr="00C757C7">
        <w:t>výsledky</w:t>
      </w:r>
      <w:r>
        <w:t xml:space="preserve"> </w:t>
      </w:r>
      <w:r w:rsidRPr="00C757C7">
        <w:t>hospodaření</w:t>
      </w:r>
      <w:r>
        <w:t xml:space="preserve"> </w:t>
      </w:r>
      <w:r w:rsidRPr="00C757C7">
        <w:t>a</w:t>
      </w:r>
      <w:r>
        <w:t xml:space="preserve"> </w:t>
      </w:r>
      <w:r w:rsidRPr="00C757C7">
        <w:t>přezkoumává</w:t>
      </w:r>
      <w:r>
        <w:t xml:space="preserve"> </w:t>
      </w:r>
      <w:r w:rsidRPr="00075A7A">
        <w:rPr>
          <w:strike/>
        </w:rPr>
        <w:t>roční účetní</w:t>
      </w:r>
      <w:r>
        <w:t xml:space="preserve"> </w:t>
      </w:r>
      <w:r w:rsidR="00075A7A">
        <w:rPr>
          <w:b/>
        </w:rPr>
        <w:t xml:space="preserve">řádnou účetní </w:t>
      </w:r>
      <w:r w:rsidRPr="00C757C7">
        <w:t>závěrku</w:t>
      </w:r>
      <w:r>
        <w:t xml:space="preserve"> </w:t>
      </w:r>
      <w:r w:rsidRPr="00C757C7">
        <w:t>podniku</w:t>
      </w:r>
      <w:r>
        <w:t xml:space="preserve"> </w:t>
      </w:r>
      <w:r w:rsidRPr="00C757C7">
        <w:t>a</w:t>
      </w:r>
      <w:r>
        <w:t xml:space="preserve"> </w:t>
      </w:r>
      <w:r w:rsidRPr="00C757C7">
        <w:t>návrh</w:t>
      </w:r>
      <w:r>
        <w:t xml:space="preserve"> </w:t>
      </w:r>
      <w:r w:rsidRPr="00C757C7">
        <w:t>na</w:t>
      </w:r>
      <w:r>
        <w:t xml:space="preserve"> </w:t>
      </w:r>
      <w:r w:rsidRPr="00C757C7">
        <w:t>rozdělení</w:t>
      </w:r>
      <w:r>
        <w:t xml:space="preserve"> </w:t>
      </w:r>
      <w:r w:rsidRPr="00C757C7">
        <w:t>použitelného</w:t>
      </w:r>
      <w:r>
        <w:t xml:space="preserve"> </w:t>
      </w:r>
      <w:r w:rsidRPr="00C757C7">
        <w:t>zisku</w:t>
      </w:r>
      <w:r>
        <w:t xml:space="preserve"> </w:t>
      </w:r>
      <w:r w:rsidRPr="00C757C7">
        <w:t>(vypořádání</w:t>
      </w:r>
      <w:r>
        <w:t xml:space="preserve"> </w:t>
      </w:r>
      <w:r w:rsidRPr="00C757C7">
        <w:t>ztráty);</w:t>
      </w:r>
      <w:r>
        <w:t xml:space="preserve"> </w:t>
      </w:r>
      <w:r w:rsidRPr="00C757C7">
        <w:t>své</w:t>
      </w:r>
      <w:r>
        <w:t xml:space="preserve"> </w:t>
      </w:r>
      <w:r w:rsidRPr="00C757C7">
        <w:t>stanovisko</w:t>
      </w:r>
      <w:r>
        <w:t xml:space="preserve"> </w:t>
      </w:r>
      <w:r w:rsidRPr="00C757C7">
        <w:t>předkládá</w:t>
      </w:r>
      <w:r>
        <w:t xml:space="preserve"> </w:t>
      </w:r>
      <w:r w:rsidRPr="00C757C7">
        <w:t>řediteli</w:t>
      </w:r>
      <w:r>
        <w:t xml:space="preserve"> </w:t>
      </w:r>
      <w:r w:rsidRPr="00C757C7">
        <w:t>a</w:t>
      </w:r>
      <w:r>
        <w:t xml:space="preserve"> </w:t>
      </w:r>
      <w:r w:rsidRPr="00C757C7">
        <w:t>zakladateli,</w:t>
      </w:r>
    </w:p>
    <w:p w14:paraId="396A8800" w14:textId="6A65AE46" w:rsidR="00CB6038" w:rsidRDefault="00CB6038" w:rsidP="00B0390E">
      <w:pPr>
        <w:pStyle w:val="Textparagrafu"/>
        <w:tabs>
          <w:tab w:val="left" w:pos="392"/>
        </w:tabs>
        <w:spacing w:before="0"/>
        <w:ind w:left="426" w:hanging="426"/>
      </w:pPr>
      <w:r w:rsidRPr="00C757C7">
        <w:t>c)</w:t>
      </w:r>
      <w:r w:rsidR="001E080D">
        <w:tab/>
      </w:r>
      <w:r w:rsidRPr="00C757C7">
        <w:t>projednává</w:t>
      </w:r>
      <w:r>
        <w:t xml:space="preserve"> </w:t>
      </w:r>
      <w:r w:rsidRPr="00C757C7">
        <w:t>pravidla</w:t>
      </w:r>
      <w:r>
        <w:t xml:space="preserve"> </w:t>
      </w:r>
      <w:r w:rsidRPr="00C757C7">
        <w:t>pro</w:t>
      </w:r>
      <w:r>
        <w:t xml:space="preserve"> </w:t>
      </w:r>
      <w:r w:rsidRPr="00C757C7">
        <w:t>zřizování</w:t>
      </w:r>
      <w:r>
        <w:t xml:space="preserve"> </w:t>
      </w:r>
      <w:r w:rsidRPr="00C757C7">
        <w:t>dalších</w:t>
      </w:r>
      <w:r>
        <w:t xml:space="preserve"> </w:t>
      </w:r>
      <w:r w:rsidRPr="00C757C7">
        <w:t>fondů</w:t>
      </w:r>
      <w:r>
        <w:t xml:space="preserve"> </w:t>
      </w:r>
      <w:r w:rsidRPr="00C757C7">
        <w:t>podniku</w:t>
      </w:r>
      <w:r>
        <w:t xml:space="preserve"> </w:t>
      </w:r>
      <w:r w:rsidRPr="00C757C7">
        <w:t>a</w:t>
      </w:r>
      <w:r>
        <w:t xml:space="preserve"> </w:t>
      </w:r>
      <w:r w:rsidRPr="00C757C7">
        <w:t>dohlíží</w:t>
      </w:r>
      <w:r>
        <w:t xml:space="preserve"> </w:t>
      </w:r>
      <w:r w:rsidRPr="00C757C7">
        <w:t>na</w:t>
      </w:r>
      <w:r>
        <w:t xml:space="preserve"> </w:t>
      </w:r>
      <w:r w:rsidRPr="00C757C7">
        <w:t>hospodaření</w:t>
      </w:r>
      <w:r>
        <w:t xml:space="preserve"> </w:t>
      </w:r>
      <w:r w:rsidRPr="00C757C7">
        <w:t>s</w:t>
      </w:r>
      <w:r>
        <w:t xml:space="preserve"> </w:t>
      </w:r>
      <w:r w:rsidRPr="00C757C7">
        <w:t>fondy</w:t>
      </w:r>
      <w:r>
        <w:t xml:space="preserve"> </w:t>
      </w:r>
      <w:r w:rsidRPr="00C757C7">
        <w:t>podniku;</w:t>
      </w:r>
      <w:r>
        <w:t xml:space="preserve"> </w:t>
      </w:r>
      <w:r w:rsidRPr="00C757C7">
        <w:t>své</w:t>
      </w:r>
      <w:r>
        <w:t xml:space="preserve"> </w:t>
      </w:r>
      <w:r w:rsidRPr="00C757C7">
        <w:t>stanovisko</w:t>
      </w:r>
      <w:r>
        <w:t xml:space="preserve"> </w:t>
      </w:r>
      <w:r w:rsidRPr="00C757C7">
        <w:t>předkládá</w:t>
      </w:r>
      <w:r>
        <w:t xml:space="preserve"> </w:t>
      </w:r>
      <w:r w:rsidRPr="00C757C7">
        <w:t>řediteli</w:t>
      </w:r>
      <w:r>
        <w:t xml:space="preserve"> </w:t>
      </w:r>
      <w:r w:rsidRPr="00C757C7">
        <w:t>a</w:t>
      </w:r>
      <w:r>
        <w:t xml:space="preserve"> </w:t>
      </w:r>
      <w:r w:rsidRPr="00C757C7">
        <w:t>zakladateli,</w:t>
      </w:r>
    </w:p>
    <w:p w14:paraId="46F03254" w14:textId="58906D2D" w:rsidR="00CB6038" w:rsidRDefault="00CB6038" w:rsidP="00B0390E">
      <w:pPr>
        <w:pStyle w:val="Textparagrafu"/>
        <w:tabs>
          <w:tab w:val="left" w:pos="392"/>
        </w:tabs>
        <w:spacing w:before="0"/>
        <w:ind w:left="426" w:hanging="426"/>
      </w:pPr>
      <w:r w:rsidRPr="00C757C7">
        <w:t>d)</w:t>
      </w:r>
      <w:r w:rsidR="001E080D">
        <w:tab/>
      </w:r>
      <w:r w:rsidRPr="00C757C7">
        <w:t>dohlíží</w:t>
      </w:r>
      <w:r>
        <w:t xml:space="preserve"> </w:t>
      </w:r>
      <w:r w:rsidRPr="00C757C7">
        <w:t>na</w:t>
      </w:r>
      <w:r>
        <w:t xml:space="preserve"> </w:t>
      </w:r>
      <w:r w:rsidRPr="00C757C7">
        <w:t>výkon</w:t>
      </w:r>
      <w:r>
        <w:t xml:space="preserve"> </w:t>
      </w:r>
      <w:r w:rsidRPr="00C757C7">
        <w:t>působnosti</w:t>
      </w:r>
      <w:r>
        <w:t xml:space="preserve"> </w:t>
      </w:r>
      <w:r w:rsidRPr="00C757C7">
        <w:t>ředitele</w:t>
      </w:r>
      <w:r>
        <w:t xml:space="preserve"> </w:t>
      </w:r>
      <w:r w:rsidRPr="00C757C7">
        <w:t>a</w:t>
      </w:r>
      <w:r>
        <w:t xml:space="preserve"> </w:t>
      </w:r>
      <w:r w:rsidRPr="00C757C7">
        <w:t>uskutečňování</w:t>
      </w:r>
      <w:r>
        <w:t xml:space="preserve"> </w:t>
      </w:r>
      <w:r w:rsidRPr="00C757C7">
        <w:t>podnikatelské</w:t>
      </w:r>
      <w:r>
        <w:t xml:space="preserve"> </w:t>
      </w:r>
      <w:r w:rsidRPr="00C757C7">
        <w:t>činnosti</w:t>
      </w:r>
      <w:r>
        <w:t xml:space="preserve"> </w:t>
      </w:r>
      <w:r w:rsidRPr="00C757C7">
        <w:t>podniku,</w:t>
      </w:r>
      <w:r>
        <w:t xml:space="preserve"> </w:t>
      </w:r>
      <w:r w:rsidRPr="00C757C7">
        <w:t>zejména</w:t>
      </w:r>
      <w:r>
        <w:t xml:space="preserve"> </w:t>
      </w:r>
      <w:r w:rsidRPr="00C757C7">
        <w:t>zda</w:t>
      </w:r>
      <w:r>
        <w:t xml:space="preserve"> </w:t>
      </w:r>
      <w:r w:rsidRPr="00C757C7">
        <w:t>se</w:t>
      </w:r>
      <w:r>
        <w:t xml:space="preserve"> </w:t>
      </w:r>
      <w:r w:rsidRPr="00C757C7">
        <w:t>podnikatelská</w:t>
      </w:r>
      <w:r>
        <w:t xml:space="preserve"> </w:t>
      </w:r>
      <w:r w:rsidRPr="00C757C7">
        <w:t>činnost</w:t>
      </w:r>
      <w:r>
        <w:t xml:space="preserve"> </w:t>
      </w:r>
      <w:r w:rsidRPr="00C757C7">
        <w:t>podniku</w:t>
      </w:r>
      <w:r>
        <w:t xml:space="preserve"> </w:t>
      </w:r>
      <w:r w:rsidRPr="00C757C7">
        <w:t>uskutečňuje</w:t>
      </w:r>
      <w:r>
        <w:t xml:space="preserve"> </w:t>
      </w:r>
      <w:r w:rsidRPr="00C757C7">
        <w:t>v</w:t>
      </w:r>
      <w:r>
        <w:t xml:space="preserve"> </w:t>
      </w:r>
      <w:r w:rsidRPr="00C757C7">
        <w:t>souladu</w:t>
      </w:r>
      <w:r>
        <w:t xml:space="preserve"> </w:t>
      </w:r>
      <w:r w:rsidRPr="00C757C7">
        <w:t>s</w:t>
      </w:r>
      <w:r>
        <w:t xml:space="preserve"> </w:t>
      </w:r>
      <w:r w:rsidRPr="00C757C7">
        <w:t>právními</w:t>
      </w:r>
      <w:r>
        <w:t xml:space="preserve"> </w:t>
      </w:r>
      <w:r w:rsidRPr="00C757C7">
        <w:t>předpisy</w:t>
      </w:r>
      <w:r>
        <w:t xml:space="preserve"> </w:t>
      </w:r>
      <w:r w:rsidRPr="00C757C7">
        <w:t>a</w:t>
      </w:r>
      <w:r>
        <w:t xml:space="preserve"> </w:t>
      </w:r>
      <w:r w:rsidRPr="00C757C7">
        <w:t>zakládací</w:t>
      </w:r>
      <w:r>
        <w:t xml:space="preserve"> </w:t>
      </w:r>
      <w:r w:rsidRPr="00C757C7">
        <w:t>listinou,</w:t>
      </w:r>
    </w:p>
    <w:p w14:paraId="07C7A18D" w14:textId="5619B630" w:rsidR="00CB6038" w:rsidRDefault="00CB6038" w:rsidP="00B0390E">
      <w:pPr>
        <w:pStyle w:val="Textparagrafu"/>
        <w:tabs>
          <w:tab w:val="left" w:pos="392"/>
        </w:tabs>
        <w:spacing w:before="0"/>
        <w:ind w:left="426" w:hanging="426"/>
      </w:pPr>
      <w:r w:rsidRPr="00C757C7">
        <w:t>e)</w:t>
      </w:r>
      <w:r w:rsidR="001E080D">
        <w:tab/>
      </w:r>
      <w:r w:rsidRPr="00C757C7">
        <w:t>vyjadřuje</w:t>
      </w:r>
      <w:r>
        <w:t xml:space="preserve"> </w:t>
      </w:r>
      <w:r w:rsidRPr="00C757C7">
        <w:t>se</w:t>
      </w:r>
      <w:r>
        <w:t xml:space="preserve"> </w:t>
      </w:r>
      <w:r w:rsidRPr="00C757C7">
        <w:t>k</w:t>
      </w:r>
      <w:r>
        <w:t xml:space="preserve"> </w:t>
      </w:r>
      <w:r w:rsidRPr="00C757C7">
        <w:t>návrhu</w:t>
      </w:r>
      <w:r>
        <w:t xml:space="preserve"> </w:t>
      </w:r>
      <w:r w:rsidRPr="00C757C7">
        <w:t>zakladatele</w:t>
      </w:r>
      <w:r>
        <w:t xml:space="preserve"> </w:t>
      </w:r>
      <w:r w:rsidRPr="00C757C7">
        <w:t>na</w:t>
      </w:r>
      <w:r>
        <w:t xml:space="preserve"> </w:t>
      </w:r>
      <w:r w:rsidRPr="00C757C7">
        <w:t>zrušení</w:t>
      </w:r>
      <w:r>
        <w:t xml:space="preserve"> </w:t>
      </w:r>
      <w:r w:rsidRPr="00C757C7">
        <w:t>nebo</w:t>
      </w:r>
      <w:r>
        <w:t xml:space="preserve"> </w:t>
      </w:r>
      <w:r w:rsidRPr="00C757C7">
        <w:t>přeměnu</w:t>
      </w:r>
      <w:r>
        <w:t xml:space="preserve"> </w:t>
      </w:r>
      <w:r w:rsidRPr="00C757C7">
        <w:t>podniku,</w:t>
      </w:r>
    </w:p>
    <w:p w14:paraId="108D5A52" w14:textId="4AC5F802" w:rsidR="00CB6038" w:rsidRDefault="00CB6038" w:rsidP="00B0390E">
      <w:pPr>
        <w:pStyle w:val="Textparagrafu"/>
        <w:tabs>
          <w:tab w:val="left" w:pos="392"/>
        </w:tabs>
        <w:spacing w:before="0"/>
        <w:ind w:left="426" w:hanging="426"/>
      </w:pPr>
      <w:r w:rsidRPr="00C757C7">
        <w:t>f)</w:t>
      </w:r>
      <w:r w:rsidR="001E080D">
        <w:tab/>
      </w:r>
      <w:r w:rsidRPr="00C757C7">
        <w:t>je</w:t>
      </w:r>
      <w:r>
        <w:t xml:space="preserve"> </w:t>
      </w:r>
      <w:r w:rsidRPr="00C757C7">
        <w:t>oprávněna</w:t>
      </w:r>
      <w:r>
        <w:t xml:space="preserve"> </w:t>
      </w:r>
      <w:r w:rsidRPr="00C757C7">
        <w:t>nahlížet</w:t>
      </w:r>
      <w:r>
        <w:t xml:space="preserve"> </w:t>
      </w:r>
      <w:r w:rsidRPr="00C757C7">
        <w:t>do</w:t>
      </w:r>
      <w:r>
        <w:t xml:space="preserve"> </w:t>
      </w:r>
      <w:r w:rsidRPr="00C757C7">
        <w:t>všech</w:t>
      </w:r>
      <w:r>
        <w:t xml:space="preserve"> </w:t>
      </w:r>
      <w:r w:rsidRPr="00C757C7">
        <w:t>dokladů</w:t>
      </w:r>
      <w:r>
        <w:t xml:space="preserve"> </w:t>
      </w:r>
      <w:r w:rsidRPr="00C757C7">
        <w:t>a</w:t>
      </w:r>
      <w:r>
        <w:t xml:space="preserve"> </w:t>
      </w:r>
      <w:r w:rsidRPr="00C757C7">
        <w:t>záznamů</w:t>
      </w:r>
      <w:r>
        <w:t xml:space="preserve"> </w:t>
      </w:r>
      <w:r w:rsidRPr="00C757C7">
        <w:t>týkajících</w:t>
      </w:r>
      <w:r>
        <w:t xml:space="preserve"> </w:t>
      </w:r>
      <w:r w:rsidRPr="00C757C7">
        <w:t>se</w:t>
      </w:r>
      <w:r>
        <w:t xml:space="preserve"> </w:t>
      </w:r>
      <w:r w:rsidRPr="00C757C7">
        <w:t>činnosti</w:t>
      </w:r>
      <w:r>
        <w:t xml:space="preserve"> </w:t>
      </w:r>
      <w:r w:rsidRPr="00C757C7">
        <w:t>podniku</w:t>
      </w:r>
      <w:r>
        <w:t xml:space="preserve"> </w:t>
      </w:r>
      <w:r w:rsidRPr="00C757C7">
        <w:t>a</w:t>
      </w:r>
      <w:r>
        <w:t xml:space="preserve"> </w:t>
      </w:r>
      <w:r w:rsidRPr="00C757C7">
        <w:t>kontrolovat,</w:t>
      </w:r>
      <w:r>
        <w:t xml:space="preserve"> </w:t>
      </w:r>
      <w:r w:rsidRPr="00C757C7">
        <w:t>zda</w:t>
      </w:r>
      <w:r>
        <w:t xml:space="preserve"> </w:t>
      </w:r>
      <w:r w:rsidRPr="00C757C7">
        <w:t>účetní</w:t>
      </w:r>
      <w:r>
        <w:t xml:space="preserve"> </w:t>
      </w:r>
      <w:r w:rsidRPr="00C757C7">
        <w:t>záznamy</w:t>
      </w:r>
      <w:r>
        <w:t xml:space="preserve"> </w:t>
      </w:r>
      <w:r w:rsidRPr="00C757C7">
        <w:t>jsou</w:t>
      </w:r>
      <w:r>
        <w:t xml:space="preserve"> </w:t>
      </w:r>
      <w:r w:rsidRPr="00C757C7">
        <w:t>vedeny</w:t>
      </w:r>
      <w:r>
        <w:t xml:space="preserve"> </w:t>
      </w:r>
      <w:r w:rsidRPr="00C757C7">
        <w:t>řádně</w:t>
      </w:r>
      <w:r>
        <w:t xml:space="preserve"> </w:t>
      </w:r>
      <w:r w:rsidRPr="00C757C7">
        <w:t>v</w:t>
      </w:r>
      <w:r>
        <w:t xml:space="preserve"> </w:t>
      </w:r>
      <w:r w:rsidRPr="00C757C7">
        <w:t>souladu</w:t>
      </w:r>
      <w:r>
        <w:t xml:space="preserve"> </w:t>
      </w:r>
      <w:r w:rsidRPr="00C757C7">
        <w:t>se</w:t>
      </w:r>
      <w:r>
        <w:t xml:space="preserve"> </w:t>
      </w:r>
      <w:r w:rsidRPr="00C757C7">
        <w:t>skutečností,</w:t>
      </w:r>
    </w:p>
    <w:p w14:paraId="19CEA2D4" w14:textId="47C775D7" w:rsidR="00CB6038" w:rsidRDefault="00CB6038" w:rsidP="00B0390E">
      <w:pPr>
        <w:pStyle w:val="Textparagrafu"/>
        <w:tabs>
          <w:tab w:val="left" w:pos="392"/>
        </w:tabs>
        <w:spacing w:before="0"/>
        <w:ind w:left="426" w:hanging="426"/>
      </w:pPr>
      <w:r w:rsidRPr="00C757C7">
        <w:t>g)</w:t>
      </w:r>
      <w:r w:rsidR="001E080D">
        <w:tab/>
      </w:r>
      <w:r w:rsidRPr="00C757C7">
        <w:t>je</w:t>
      </w:r>
      <w:r>
        <w:t xml:space="preserve"> </w:t>
      </w:r>
      <w:r w:rsidRPr="00C757C7">
        <w:t>povinna</w:t>
      </w:r>
      <w:r>
        <w:t xml:space="preserve"> </w:t>
      </w:r>
      <w:r w:rsidRPr="00C757C7">
        <w:t>upozornit</w:t>
      </w:r>
      <w:r>
        <w:t xml:space="preserve"> </w:t>
      </w:r>
      <w:r w:rsidRPr="00C757C7">
        <w:t>ředitele</w:t>
      </w:r>
      <w:r>
        <w:t xml:space="preserve"> </w:t>
      </w:r>
      <w:r w:rsidRPr="00C757C7">
        <w:t>a</w:t>
      </w:r>
      <w:r>
        <w:t xml:space="preserve"> </w:t>
      </w:r>
      <w:r w:rsidRPr="00C757C7">
        <w:t>zakladatele</w:t>
      </w:r>
      <w:r>
        <w:t xml:space="preserve"> </w:t>
      </w:r>
      <w:r w:rsidRPr="00C757C7">
        <w:t>na</w:t>
      </w:r>
      <w:r>
        <w:t xml:space="preserve"> </w:t>
      </w:r>
      <w:r w:rsidRPr="00C757C7">
        <w:t>zjištěné</w:t>
      </w:r>
      <w:r>
        <w:t xml:space="preserve"> </w:t>
      </w:r>
      <w:r w:rsidRPr="00C757C7">
        <w:t>nedostatky;</w:t>
      </w:r>
      <w:r>
        <w:t xml:space="preserve"> </w:t>
      </w:r>
      <w:r w:rsidRPr="00C757C7">
        <w:t>přitom</w:t>
      </w:r>
      <w:r>
        <w:t xml:space="preserve"> </w:t>
      </w:r>
      <w:r w:rsidRPr="00C757C7">
        <w:t>může</w:t>
      </w:r>
      <w:r>
        <w:t xml:space="preserve"> </w:t>
      </w:r>
      <w:r w:rsidRPr="00C757C7">
        <w:t>navrhnout</w:t>
      </w:r>
      <w:r>
        <w:t xml:space="preserve"> </w:t>
      </w:r>
      <w:r w:rsidRPr="00C757C7">
        <w:t>řediteli</w:t>
      </w:r>
      <w:r>
        <w:t xml:space="preserve"> </w:t>
      </w:r>
      <w:r w:rsidRPr="00C757C7">
        <w:t>opatření</w:t>
      </w:r>
      <w:r>
        <w:t xml:space="preserve"> </w:t>
      </w:r>
      <w:r w:rsidRPr="00C757C7">
        <w:t>k</w:t>
      </w:r>
      <w:r>
        <w:t xml:space="preserve"> </w:t>
      </w:r>
      <w:r w:rsidRPr="00C757C7">
        <w:t>nápravě,</w:t>
      </w:r>
    </w:p>
    <w:p w14:paraId="27496AD8" w14:textId="126E46F6" w:rsidR="00CB6038" w:rsidRDefault="00CB6038" w:rsidP="00B0390E">
      <w:pPr>
        <w:pStyle w:val="Textparagrafu"/>
        <w:tabs>
          <w:tab w:val="left" w:pos="392"/>
        </w:tabs>
        <w:spacing w:before="0"/>
        <w:ind w:left="426" w:hanging="426"/>
      </w:pPr>
      <w:r w:rsidRPr="00C757C7">
        <w:t>h)</w:t>
      </w:r>
      <w:r w:rsidR="001E080D">
        <w:tab/>
      </w:r>
      <w:r w:rsidRPr="00C757C7">
        <w:t>je</w:t>
      </w:r>
      <w:r>
        <w:t xml:space="preserve"> </w:t>
      </w:r>
      <w:r w:rsidRPr="00C757C7">
        <w:t>povinna</w:t>
      </w:r>
      <w:r>
        <w:t xml:space="preserve"> </w:t>
      </w:r>
      <w:r w:rsidRPr="00C757C7">
        <w:t>na</w:t>
      </w:r>
      <w:r>
        <w:t xml:space="preserve"> </w:t>
      </w:r>
      <w:r w:rsidRPr="00C757C7">
        <w:t>požádání</w:t>
      </w:r>
      <w:r>
        <w:t xml:space="preserve"> </w:t>
      </w:r>
      <w:r w:rsidRPr="00C757C7">
        <w:t>zakladatele</w:t>
      </w:r>
      <w:r>
        <w:t xml:space="preserve"> </w:t>
      </w:r>
      <w:r w:rsidRPr="00C757C7">
        <w:t>poskytnout</w:t>
      </w:r>
      <w:r>
        <w:t xml:space="preserve"> </w:t>
      </w:r>
      <w:r w:rsidRPr="00C757C7">
        <w:t>mu</w:t>
      </w:r>
      <w:r>
        <w:t xml:space="preserve"> </w:t>
      </w:r>
      <w:r w:rsidRPr="00C757C7">
        <w:t>informace</w:t>
      </w:r>
      <w:r>
        <w:t xml:space="preserve"> </w:t>
      </w:r>
      <w:r w:rsidRPr="00C757C7">
        <w:t>nebo</w:t>
      </w:r>
      <w:r>
        <w:t xml:space="preserve"> </w:t>
      </w:r>
      <w:r w:rsidRPr="00C757C7">
        <w:t>provést</w:t>
      </w:r>
      <w:r>
        <w:t xml:space="preserve"> </w:t>
      </w:r>
      <w:r w:rsidRPr="00C757C7">
        <w:t>šetření,</w:t>
      </w:r>
      <w:r>
        <w:t xml:space="preserve"> </w:t>
      </w:r>
      <w:r w:rsidRPr="00C757C7">
        <w:t>a</w:t>
      </w:r>
      <w:r>
        <w:t xml:space="preserve"> </w:t>
      </w:r>
      <w:r w:rsidRPr="00C757C7">
        <w:t>to</w:t>
      </w:r>
      <w:r>
        <w:t xml:space="preserve"> </w:t>
      </w:r>
      <w:r w:rsidRPr="00C757C7">
        <w:t>ve</w:t>
      </w:r>
      <w:r>
        <w:t xml:space="preserve"> </w:t>
      </w:r>
      <w:r w:rsidRPr="00C757C7">
        <w:t>lhůtě</w:t>
      </w:r>
      <w:r>
        <w:t xml:space="preserve"> </w:t>
      </w:r>
      <w:r w:rsidRPr="00C757C7">
        <w:t>jím</w:t>
      </w:r>
      <w:r>
        <w:t xml:space="preserve"> </w:t>
      </w:r>
      <w:r w:rsidRPr="00C757C7">
        <w:t>stanovené,</w:t>
      </w:r>
    </w:p>
    <w:p w14:paraId="4694B36A" w14:textId="74754EC4" w:rsidR="00CB6038" w:rsidRDefault="00CB6038" w:rsidP="00B0390E">
      <w:pPr>
        <w:pStyle w:val="Textparagrafu"/>
        <w:tabs>
          <w:tab w:val="left" w:pos="392"/>
        </w:tabs>
        <w:spacing w:before="0"/>
        <w:ind w:left="426" w:hanging="426"/>
      </w:pPr>
      <w:r w:rsidRPr="00C757C7">
        <w:t>i)</w:t>
      </w:r>
      <w:r w:rsidR="001E080D">
        <w:tab/>
      </w:r>
      <w:r w:rsidRPr="00C757C7">
        <w:t>schvaluje</w:t>
      </w:r>
      <w:r>
        <w:t xml:space="preserve"> </w:t>
      </w:r>
      <w:r w:rsidRPr="00C757C7">
        <w:t>auditora,</w:t>
      </w:r>
    </w:p>
    <w:p w14:paraId="51B3C645" w14:textId="7F84D186" w:rsidR="00CB6038" w:rsidRDefault="00CB6038" w:rsidP="00B0390E">
      <w:pPr>
        <w:pStyle w:val="Textparagrafu"/>
        <w:tabs>
          <w:tab w:val="left" w:pos="392"/>
        </w:tabs>
        <w:spacing w:before="0"/>
        <w:ind w:left="426" w:hanging="426"/>
      </w:pPr>
      <w:r w:rsidRPr="00C757C7">
        <w:t>j)</w:t>
      </w:r>
      <w:r w:rsidR="001E080D">
        <w:tab/>
      </w:r>
      <w:r w:rsidRPr="00C757C7">
        <w:t>může</w:t>
      </w:r>
      <w:r>
        <w:t xml:space="preserve"> </w:t>
      </w:r>
      <w:r w:rsidRPr="00C757C7">
        <w:t>doporučit</w:t>
      </w:r>
      <w:r>
        <w:t xml:space="preserve"> </w:t>
      </w:r>
      <w:r w:rsidRPr="00C757C7">
        <w:t>zakladateli</w:t>
      </w:r>
      <w:r>
        <w:t xml:space="preserve"> </w:t>
      </w:r>
      <w:r w:rsidRPr="00C757C7">
        <w:t>odvolat</w:t>
      </w:r>
      <w:r>
        <w:t xml:space="preserve"> </w:t>
      </w:r>
      <w:r w:rsidRPr="00C757C7">
        <w:t>ředitele</w:t>
      </w:r>
      <w:r>
        <w:t xml:space="preserve"> </w:t>
      </w:r>
      <w:r w:rsidRPr="00C757C7">
        <w:t>podniku,</w:t>
      </w:r>
    </w:p>
    <w:p w14:paraId="78CA19F5" w14:textId="7A643C92" w:rsidR="00CB6038" w:rsidRDefault="00CB6038" w:rsidP="00B0390E">
      <w:pPr>
        <w:pStyle w:val="Textparagrafu"/>
        <w:tabs>
          <w:tab w:val="left" w:pos="392"/>
        </w:tabs>
        <w:spacing w:before="0"/>
        <w:ind w:left="426" w:hanging="426"/>
      </w:pPr>
      <w:r w:rsidRPr="00C757C7">
        <w:t>k)</w:t>
      </w:r>
      <w:r w:rsidR="001E080D">
        <w:tab/>
      </w:r>
      <w:r w:rsidRPr="00C757C7">
        <w:t>vyjadřuje</w:t>
      </w:r>
      <w:r>
        <w:t xml:space="preserve"> </w:t>
      </w:r>
      <w:r w:rsidRPr="00C757C7">
        <w:t>se</w:t>
      </w:r>
      <w:r>
        <w:t xml:space="preserve"> </w:t>
      </w:r>
      <w:r w:rsidRPr="00C757C7">
        <w:t>k</w:t>
      </w:r>
      <w:r>
        <w:t xml:space="preserve"> </w:t>
      </w:r>
      <w:r w:rsidRPr="00C757C7">
        <w:t>návrhu</w:t>
      </w:r>
      <w:r>
        <w:t xml:space="preserve"> </w:t>
      </w:r>
      <w:r w:rsidRPr="00C757C7">
        <w:t>statutu</w:t>
      </w:r>
      <w:r>
        <w:t xml:space="preserve"> </w:t>
      </w:r>
      <w:r w:rsidRPr="00C757C7">
        <w:t>a</w:t>
      </w:r>
      <w:r>
        <w:t xml:space="preserve"> </w:t>
      </w:r>
      <w:r w:rsidRPr="00C757C7">
        <w:t>jeho</w:t>
      </w:r>
      <w:r>
        <w:t xml:space="preserve"> </w:t>
      </w:r>
      <w:r w:rsidRPr="00C757C7">
        <w:t>změnám,</w:t>
      </w:r>
    </w:p>
    <w:p w14:paraId="7C52C47C" w14:textId="7D69C068" w:rsidR="00CB6038" w:rsidRDefault="00CB6038" w:rsidP="00B0390E">
      <w:pPr>
        <w:pStyle w:val="Textparagrafu"/>
        <w:tabs>
          <w:tab w:val="left" w:pos="392"/>
        </w:tabs>
        <w:spacing w:before="0"/>
        <w:ind w:left="426" w:hanging="426"/>
      </w:pPr>
      <w:r w:rsidRPr="00C757C7">
        <w:t>l)</w:t>
      </w:r>
      <w:r w:rsidR="001E080D">
        <w:tab/>
      </w:r>
      <w:r w:rsidRPr="00C757C7">
        <w:t>vykonává</w:t>
      </w:r>
      <w:r>
        <w:t xml:space="preserve"> </w:t>
      </w:r>
      <w:r w:rsidRPr="00C757C7">
        <w:t>další</w:t>
      </w:r>
      <w:r>
        <w:t xml:space="preserve"> </w:t>
      </w:r>
      <w:r w:rsidRPr="00C757C7">
        <w:t>činnosti,</w:t>
      </w:r>
      <w:r>
        <w:t xml:space="preserve"> </w:t>
      </w:r>
      <w:r w:rsidRPr="00C757C7">
        <w:t>které</w:t>
      </w:r>
      <w:r>
        <w:t xml:space="preserve"> </w:t>
      </w:r>
      <w:r w:rsidRPr="00C757C7">
        <w:t>jí</w:t>
      </w:r>
      <w:r>
        <w:t xml:space="preserve"> </w:t>
      </w:r>
      <w:r w:rsidRPr="00C757C7">
        <w:t>určí</w:t>
      </w:r>
      <w:r>
        <w:t xml:space="preserve"> </w:t>
      </w:r>
      <w:r w:rsidRPr="00C757C7">
        <w:t>zakladatel</w:t>
      </w:r>
      <w:r>
        <w:t xml:space="preserve"> </w:t>
      </w:r>
      <w:r w:rsidRPr="00C757C7">
        <w:t>ve</w:t>
      </w:r>
      <w:r>
        <w:t xml:space="preserve"> </w:t>
      </w:r>
      <w:r w:rsidRPr="00C757C7">
        <w:t>statutu</w:t>
      </w:r>
      <w:r>
        <w:t xml:space="preserve"> </w:t>
      </w:r>
      <w:r w:rsidRPr="00C757C7">
        <w:t>podniku.</w:t>
      </w:r>
    </w:p>
    <w:p w14:paraId="0E48CC40" w14:textId="77777777" w:rsidR="00CB6038" w:rsidRDefault="00CB6038" w:rsidP="00B8532E">
      <w:pPr>
        <w:pStyle w:val="Textparagrafu"/>
        <w:tabs>
          <w:tab w:val="left" w:pos="406"/>
          <w:tab w:val="left" w:pos="826"/>
        </w:tabs>
        <w:spacing w:before="120" w:after="120"/>
      </w:pPr>
      <w:r w:rsidRPr="00C757C7">
        <w:t>(2)</w:t>
      </w:r>
      <w:r>
        <w:t xml:space="preserve"> </w:t>
      </w:r>
      <w:r w:rsidRPr="00C757C7">
        <w:t>Dozorčí</w:t>
      </w:r>
      <w:r>
        <w:t xml:space="preserve"> </w:t>
      </w:r>
      <w:r w:rsidRPr="00C757C7">
        <w:t>rada</w:t>
      </w:r>
      <w:r>
        <w:t xml:space="preserve"> </w:t>
      </w:r>
      <w:r w:rsidRPr="00C757C7">
        <w:t>musí</w:t>
      </w:r>
      <w:r>
        <w:t xml:space="preserve"> </w:t>
      </w:r>
      <w:r w:rsidRPr="00C757C7">
        <w:t>mít</w:t>
      </w:r>
      <w:r>
        <w:t xml:space="preserve"> </w:t>
      </w:r>
      <w:r w:rsidRPr="00C757C7">
        <w:t>minimálně</w:t>
      </w:r>
      <w:r>
        <w:t xml:space="preserve"> </w:t>
      </w:r>
      <w:r w:rsidRPr="00C757C7">
        <w:t>tři</w:t>
      </w:r>
      <w:r>
        <w:t xml:space="preserve"> </w:t>
      </w:r>
      <w:r w:rsidRPr="00C757C7">
        <w:t>členy.</w:t>
      </w:r>
      <w:r>
        <w:t xml:space="preserve"> </w:t>
      </w:r>
      <w:r w:rsidRPr="00C757C7">
        <w:t>Jednu</w:t>
      </w:r>
      <w:r>
        <w:t xml:space="preserve"> </w:t>
      </w:r>
      <w:r w:rsidRPr="00C757C7">
        <w:t>třetinu</w:t>
      </w:r>
      <w:r>
        <w:t xml:space="preserve"> </w:t>
      </w:r>
      <w:r w:rsidRPr="00C757C7">
        <w:t>členů</w:t>
      </w:r>
      <w:r>
        <w:t xml:space="preserve"> </w:t>
      </w:r>
      <w:r w:rsidRPr="00C757C7">
        <w:t>dozorčí</w:t>
      </w:r>
      <w:r>
        <w:t xml:space="preserve"> </w:t>
      </w:r>
      <w:r w:rsidRPr="00C757C7">
        <w:t>rady</w:t>
      </w:r>
      <w:r>
        <w:t xml:space="preserve"> </w:t>
      </w:r>
      <w:r w:rsidRPr="00C757C7">
        <w:t>tvoří</w:t>
      </w:r>
      <w:r>
        <w:t xml:space="preserve"> </w:t>
      </w:r>
      <w:r w:rsidRPr="00C757C7">
        <w:t>zaměstnanci</w:t>
      </w:r>
      <w:r>
        <w:t xml:space="preserve"> </w:t>
      </w:r>
      <w:r w:rsidRPr="00C757C7">
        <w:t>podniku,</w:t>
      </w:r>
      <w:r>
        <w:t xml:space="preserve"> </w:t>
      </w:r>
      <w:r w:rsidRPr="00C757C7">
        <w:t>které</w:t>
      </w:r>
      <w:r>
        <w:t xml:space="preserve"> </w:t>
      </w:r>
      <w:r w:rsidRPr="00C757C7">
        <w:t>volí</w:t>
      </w:r>
      <w:r>
        <w:t xml:space="preserve"> </w:t>
      </w:r>
      <w:r w:rsidRPr="00C757C7">
        <w:t>a</w:t>
      </w:r>
      <w:r>
        <w:t xml:space="preserve"> </w:t>
      </w:r>
      <w:r w:rsidRPr="00C757C7">
        <w:t>odvolávají</w:t>
      </w:r>
      <w:r>
        <w:t xml:space="preserve"> </w:t>
      </w:r>
      <w:r w:rsidRPr="00C757C7">
        <w:t>zaměstnanci</w:t>
      </w:r>
      <w:r>
        <w:t xml:space="preserve"> </w:t>
      </w:r>
      <w:r w:rsidRPr="00C757C7">
        <w:t>podniku</w:t>
      </w:r>
      <w:r>
        <w:t xml:space="preserve"> </w:t>
      </w:r>
      <w:r w:rsidRPr="00C757C7">
        <w:t>na</w:t>
      </w:r>
      <w:r>
        <w:t xml:space="preserve"> </w:t>
      </w:r>
      <w:r w:rsidRPr="00C757C7">
        <w:t>základě</w:t>
      </w:r>
      <w:r>
        <w:t xml:space="preserve"> </w:t>
      </w:r>
      <w:r w:rsidRPr="00C757C7">
        <w:t>výsledků</w:t>
      </w:r>
      <w:r>
        <w:t xml:space="preserve"> </w:t>
      </w:r>
      <w:r w:rsidRPr="00C757C7">
        <w:t>voleb.</w:t>
      </w:r>
      <w:r>
        <w:t xml:space="preserve"> </w:t>
      </w:r>
      <w:r w:rsidRPr="00C757C7">
        <w:t>Dvě</w:t>
      </w:r>
      <w:r>
        <w:t xml:space="preserve"> </w:t>
      </w:r>
      <w:r w:rsidRPr="00C757C7">
        <w:t>třetiny</w:t>
      </w:r>
      <w:r>
        <w:t xml:space="preserve"> </w:t>
      </w:r>
      <w:r w:rsidRPr="00C757C7">
        <w:t>členů</w:t>
      </w:r>
      <w:r>
        <w:t xml:space="preserve"> </w:t>
      </w:r>
      <w:r w:rsidRPr="00C757C7">
        <w:t>dozorčí</w:t>
      </w:r>
      <w:r>
        <w:t xml:space="preserve"> </w:t>
      </w:r>
      <w:r w:rsidRPr="00C757C7">
        <w:t>rady</w:t>
      </w:r>
      <w:r>
        <w:t xml:space="preserve"> </w:t>
      </w:r>
      <w:r w:rsidRPr="00C757C7">
        <w:t>do</w:t>
      </w:r>
      <w:r>
        <w:t xml:space="preserve"> </w:t>
      </w:r>
      <w:r w:rsidRPr="00C757C7">
        <w:t>funkce</w:t>
      </w:r>
      <w:r>
        <w:t xml:space="preserve"> </w:t>
      </w:r>
      <w:r w:rsidRPr="00C757C7">
        <w:t>jmenuje</w:t>
      </w:r>
      <w:r>
        <w:t xml:space="preserve"> </w:t>
      </w:r>
      <w:r w:rsidRPr="00C757C7">
        <w:t>a</w:t>
      </w:r>
      <w:r>
        <w:t xml:space="preserve"> </w:t>
      </w:r>
      <w:r w:rsidRPr="00C757C7">
        <w:t>odvolává</w:t>
      </w:r>
      <w:r>
        <w:t xml:space="preserve"> </w:t>
      </w:r>
      <w:r w:rsidRPr="00C757C7">
        <w:t>zakladatel.</w:t>
      </w:r>
      <w:r>
        <w:t xml:space="preserve"> </w:t>
      </w:r>
      <w:r w:rsidRPr="00C757C7">
        <w:t>Dozorčí</w:t>
      </w:r>
      <w:r>
        <w:t xml:space="preserve"> </w:t>
      </w:r>
      <w:r w:rsidRPr="00C757C7">
        <w:t>rada</w:t>
      </w:r>
      <w:r>
        <w:t xml:space="preserve"> </w:t>
      </w:r>
      <w:r w:rsidRPr="00C757C7">
        <w:t>volí</w:t>
      </w:r>
      <w:r>
        <w:t xml:space="preserve"> </w:t>
      </w:r>
      <w:r w:rsidRPr="00C757C7">
        <w:t>ze</w:t>
      </w:r>
      <w:r>
        <w:t xml:space="preserve"> </w:t>
      </w:r>
      <w:r w:rsidRPr="00C757C7">
        <w:t>svých</w:t>
      </w:r>
      <w:r>
        <w:t xml:space="preserve"> </w:t>
      </w:r>
      <w:r w:rsidRPr="00C757C7">
        <w:t>členů</w:t>
      </w:r>
      <w:r>
        <w:t xml:space="preserve"> </w:t>
      </w:r>
      <w:r w:rsidRPr="00C757C7">
        <w:t>předsedu,</w:t>
      </w:r>
      <w:r>
        <w:t xml:space="preserve"> </w:t>
      </w:r>
      <w:r w:rsidRPr="00C757C7">
        <w:t>který</w:t>
      </w:r>
      <w:r>
        <w:t xml:space="preserve"> </w:t>
      </w:r>
      <w:r w:rsidRPr="00C757C7">
        <w:t>svolává</w:t>
      </w:r>
      <w:r>
        <w:t xml:space="preserve"> </w:t>
      </w:r>
      <w:r w:rsidRPr="00C757C7">
        <w:t>jednání</w:t>
      </w:r>
      <w:r>
        <w:t xml:space="preserve"> </w:t>
      </w:r>
      <w:r w:rsidRPr="00C757C7">
        <w:t>dozorčí</w:t>
      </w:r>
      <w:r>
        <w:t xml:space="preserve"> </w:t>
      </w:r>
      <w:r w:rsidRPr="00C757C7">
        <w:t>rady</w:t>
      </w:r>
      <w:r>
        <w:t xml:space="preserve"> </w:t>
      </w:r>
      <w:r w:rsidRPr="00C757C7">
        <w:t>a</w:t>
      </w:r>
      <w:r>
        <w:t xml:space="preserve"> </w:t>
      </w:r>
      <w:r w:rsidRPr="00C757C7">
        <w:t>řídí</w:t>
      </w:r>
      <w:r>
        <w:t xml:space="preserve"> </w:t>
      </w:r>
      <w:r w:rsidRPr="00C757C7">
        <w:t>její</w:t>
      </w:r>
      <w:r>
        <w:t xml:space="preserve"> </w:t>
      </w:r>
      <w:r w:rsidRPr="00C757C7">
        <w:t>činnost.</w:t>
      </w:r>
      <w:r>
        <w:t xml:space="preserve"> </w:t>
      </w:r>
      <w:r w:rsidRPr="00C757C7">
        <w:t>Při</w:t>
      </w:r>
      <w:r>
        <w:t xml:space="preserve"> </w:t>
      </w:r>
      <w:r w:rsidRPr="00C757C7">
        <w:t>volbě</w:t>
      </w:r>
      <w:r>
        <w:t xml:space="preserve"> </w:t>
      </w:r>
      <w:r w:rsidRPr="00C757C7">
        <w:t>předsedy</w:t>
      </w:r>
      <w:r>
        <w:t xml:space="preserve"> </w:t>
      </w:r>
      <w:r w:rsidRPr="00C757C7">
        <w:t>má</w:t>
      </w:r>
      <w:r>
        <w:t xml:space="preserve"> </w:t>
      </w:r>
      <w:r w:rsidRPr="00C757C7">
        <w:t>každý</w:t>
      </w:r>
      <w:r>
        <w:t xml:space="preserve"> </w:t>
      </w:r>
      <w:r w:rsidRPr="00C757C7">
        <w:t>člen</w:t>
      </w:r>
      <w:r>
        <w:t xml:space="preserve"> </w:t>
      </w:r>
      <w:r w:rsidRPr="00C757C7">
        <w:t>dozorčí</w:t>
      </w:r>
      <w:r>
        <w:t xml:space="preserve"> </w:t>
      </w:r>
      <w:r w:rsidRPr="00C757C7">
        <w:t>rady</w:t>
      </w:r>
      <w:r>
        <w:t xml:space="preserve"> </w:t>
      </w:r>
      <w:r w:rsidRPr="00C757C7">
        <w:t>jeden</w:t>
      </w:r>
      <w:r>
        <w:t xml:space="preserve"> </w:t>
      </w:r>
      <w:r w:rsidRPr="00C757C7">
        <w:t>hlas</w:t>
      </w:r>
      <w:r>
        <w:t xml:space="preserve"> </w:t>
      </w:r>
      <w:r w:rsidRPr="00C757C7">
        <w:t>a</w:t>
      </w:r>
      <w:r>
        <w:t xml:space="preserve"> </w:t>
      </w:r>
      <w:r w:rsidRPr="00C757C7">
        <w:t>ke</w:t>
      </w:r>
      <w:r>
        <w:t xml:space="preserve"> </w:t>
      </w:r>
      <w:r w:rsidRPr="00C757C7">
        <w:t>zvolení</w:t>
      </w:r>
      <w:r>
        <w:t xml:space="preserve"> </w:t>
      </w:r>
      <w:r w:rsidRPr="00C757C7">
        <w:t>předsedy</w:t>
      </w:r>
      <w:r>
        <w:t xml:space="preserve"> </w:t>
      </w:r>
      <w:r w:rsidRPr="00C757C7">
        <w:t>je</w:t>
      </w:r>
      <w:r>
        <w:t xml:space="preserve"> </w:t>
      </w:r>
      <w:r w:rsidRPr="00C757C7">
        <w:t>třeba</w:t>
      </w:r>
      <w:r>
        <w:t xml:space="preserve"> </w:t>
      </w:r>
      <w:r w:rsidRPr="00C757C7">
        <w:t>nadpoloviční</w:t>
      </w:r>
      <w:r>
        <w:t xml:space="preserve"> </w:t>
      </w:r>
      <w:r w:rsidRPr="00C757C7">
        <w:t>většiny</w:t>
      </w:r>
      <w:r>
        <w:t xml:space="preserve"> </w:t>
      </w:r>
      <w:r w:rsidRPr="00C757C7">
        <w:t>hlasů</w:t>
      </w:r>
      <w:r>
        <w:t xml:space="preserve"> </w:t>
      </w:r>
      <w:r w:rsidRPr="00C757C7">
        <w:t>všech</w:t>
      </w:r>
      <w:r>
        <w:t xml:space="preserve"> </w:t>
      </w:r>
      <w:r w:rsidRPr="00C757C7">
        <w:t>členů</w:t>
      </w:r>
      <w:r>
        <w:t xml:space="preserve"> </w:t>
      </w:r>
      <w:r w:rsidRPr="00C757C7">
        <w:t>dozorčí</w:t>
      </w:r>
      <w:r>
        <w:t xml:space="preserve"> </w:t>
      </w:r>
      <w:r w:rsidRPr="00C757C7">
        <w:t>rady.</w:t>
      </w:r>
    </w:p>
    <w:p w14:paraId="19D068D4" w14:textId="77777777" w:rsidR="00CB6038" w:rsidRDefault="00CB6038" w:rsidP="00B8532E">
      <w:pPr>
        <w:pStyle w:val="Textparagrafu"/>
        <w:tabs>
          <w:tab w:val="left" w:pos="406"/>
          <w:tab w:val="left" w:pos="826"/>
        </w:tabs>
        <w:spacing w:before="120" w:after="120"/>
      </w:pPr>
      <w:r w:rsidRPr="00C757C7">
        <w:lastRenderedPageBreak/>
        <w:t>(3)</w:t>
      </w:r>
      <w:r>
        <w:t xml:space="preserve"> </w:t>
      </w:r>
      <w:r w:rsidRPr="00C757C7">
        <w:t>Členové</w:t>
      </w:r>
      <w:r>
        <w:t xml:space="preserve"> </w:t>
      </w:r>
      <w:r w:rsidRPr="00C757C7">
        <w:t>dozorčí</w:t>
      </w:r>
      <w:r>
        <w:t xml:space="preserve"> </w:t>
      </w:r>
      <w:r w:rsidRPr="00C757C7">
        <w:t>rady</w:t>
      </w:r>
      <w:r>
        <w:t xml:space="preserve"> </w:t>
      </w:r>
      <w:r w:rsidRPr="00C757C7">
        <w:t>jsou</w:t>
      </w:r>
      <w:r>
        <w:t xml:space="preserve"> </w:t>
      </w:r>
      <w:r w:rsidRPr="00C757C7">
        <w:t>jmenováni</w:t>
      </w:r>
      <w:r>
        <w:t xml:space="preserve"> </w:t>
      </w:r>
      <w:r w:rsidRPr="00C757C7">
        <w:t>a</w:t>
      </w:r>
      <w:r>
        <w:t xml:space="preserve"> </w:t>
      </w:r>
      <w:r w:rsidRPr="00C757C7">
        <w:t>voleni</w:t>
      </w:r>
      <w:r>
        <w:t xml:space="preserve"> </w:t>
      </w:r>
      <w:r w:rsidRPr="00C757C7">
        <w:t>z</w:t>
      </w:r>
      <w:r>
        <w:t xml:space="preserve"> </w:t>
      </w:r>
      <w:r w:rsidRPr="00C757C7">
        <w:t>řad</w:t>
      </w:r>
      <w:r>
        <w:t xml:space="preserve"> </w:t>
      </w:r>
      <w:r w:rsidRPr="00C757C7">
        <w:t>odborníků</w:t>
      </w:r>
      <w:r>
        <w:t xml:space="preserve"> </w:t>
      </w:r>
      <w:r w:rsidRPr="00C757C7">
        <w:t>a</w:t>
      </w:r>
      <w:r>
        <w:t xml:space="preserve"> </w:t>
      </w:r>
      <w:r w:rsidRPr="00C757C7">
        <w:t>zástupců</w:t>
      </w:r>
      <w:r>
        <w:t xml:space="preserve"> </w:t>
      </w:r>
      <w:r w:rsidRPr="00C757C7">
        <w:t>zaměstnanců</w:t>
      </w:r>
      <w:r>
        <w:t xml:space="preserve"> </w:t>
      </w:r>
      <w:r w:rsidRPr="00C757C7">
        <w:t>podniku.</w:t>
      </w:r>
      <w:r>
        <w:t xml:space="preserve"> </w:t>
      </w:r>
      <w:r w:rsidRPr="00C757C7">
        <w:t>Výkon</w:t>
      </w:r>
      <w:r>
        <w:t xml:space="preserve"> </w:t>
      </w:r>
      <w:r w:rsidRPr="00C757C7">
        <w:t>funkce</w:t>
      </w:r>
      <w:r>
        <w:t xml:space="preserve"> </w:t>
      </w:r>
      <w:r w:rsidRPr="00C757C7">
        <w:t>člena</w:t>
      </w:r>
      <w:r>
        <w:t xml:space="preserve"> </w:t>
      </w:r>
      <w:r w:rsidRPr="00C757C7">
        <w:t>dozorčí</w:t>
      </w:r>
      <w:r>
        <w:t xml:space="preserve"> </w:t>
      </w:r>
      <w:r w:rsidRPr="00C757C7">
        <w:t>rady</w:t>
      </w:r>
      <w:r>
        <w:t xml:space="preserve"> </w:t>
      </w:r>
      <w:r w:rsidRPr="00C757C7">
        <w:t>je</w:t>
      </w:r>
      <w:r>
        <w:t xml:space="preserve"> </w:t>
      </w:r>
      <w:r w:rsidRPr="00C757C7">
        <w:t>nezastupitelný.</w:t>
      </w:r>
    </w:p>
    <w:p w14:paraId="6B523B9E" w14:textId="77777777" w:rsidR="00CB6038" w:rsidRDefault="00CB6038" w:rsidP="00B8532E">
      <w:pPr>
        <w:pStyle w:val="Textparagrafu"/>
        <w:tabs>
          <w:tab w:val="left" w:pos="406"/>
          <w:tab w:val="left" w:pos="826"/>
        </w:tabs>
        <w:spacing w:before="120" w:after="120"/>
      </w:pPr>
      <w:r w:rsidRPr="00C757C7">
        <w:t>(4)</w:t>
      </w:r>
      <w:r>
        <w:t xml:space="preserve"> </w:t>
      </w:r>
      <w:r w:rsidRPr="00C757C7">
        <w:t>Ředitel</w:t>
      </w:r>
      <w:r>
        <w:t xml:space="preserve"> </w:t>
      </w:r>
      <w:r w:rsidRPr="00C757C7">
        <w:t>ani</w:t>
      </w:r>
      <w:r>
        <w:t xml:space="preserve"> </w:t>
      </w:r>
      <w:r w:rsidRPr="00C757C7">
        <w:t>jeho</w:t>
      </w:r>
      <w:r>
        <w:t xml:space="preserve"> </w:t>
      </w:r>
      <w:r w:rsidRPr="00C757C7">
        <w:t>zástupci</w:t>
      </w:r>
      <w:r>
        <w:t xml:space="preserve"> </w:t>
      </w:r>
      <w:r w:rsidRPr="00C757C7">
        <w:t>nemohou</w:t>
      </w:r>
      <w:r>
        <w:t xml:space="preserve"> </w:t>
      </w:r>
      <w:r w:rsidRPr="00C757C7">
        <w:t>být</w:t>
      </w:r>
      <w:r>
        <w:t xml:space="preserve"> </w:t>
      </w:r>
      <w:r w:rsidRPr="00C757C7">
        <w:t>členy</w:t>
      </w:r>
      <w:r>
        <w:t xml:space="preserve"> </w:t>
      </w:r>
      <w:r w:rsidRPr="00C757C7">
        <w:t>dozorčí</w:t>
      </w:r>
      <w:r>
        <w:t xml:space="preserve"> </w:t>
      </w:r>
      <w:r w:rsidRPr="00C757C7">
        <w:t>rady,</w:t>
      </w:r>
      <w:r>
        <w:t xml:space="preserve"> </w:t>
      </w:r>
      <w:r w:rsidRPr="00C757C7">
        <w:t>mohou</w:t>
      </w:r>
      <w:r>
        <w:t xml:space="preserve"> </w:t>
      </w:r>
      <w:r w:rsidRPr="00C757C7">
        <w:t>však</w:t>
      </w:r>
      <w:r>
        <w:t xml:space="preserve"> </w:t>
      </w:r>
      <w:r w:rsidRPr="00C757C7">
        <w:t>být</w:t>
      </w:r>
      <w:r>
        <w:t xml:space="preserve"> </w:t>
      </w:r>
      <w:r w:rsidRPr="00C757C7">
        <w:t>na</w:t>
      </w:r>
      <w:r>
        <w:t xml:space="preserve"> </w:t>
      </w:r>
      <w:r w:rsidRPr="00C757C7">
        <w:t>jednání</w:t>
      </w:r>
      <w:r>
        <w:t xml:space="preserve"> </w:t>
      </w:r>
      <w:r w:rsidRPr="00C757C7">
        <w:t>dozorčí</w:t>
      </w:r>
      <w:r>
        <w:t xml:space="preserve"> </w:t>
      </w:r>
      <w:r w:rsidRPr="00C757C7">
        <w:t>rady</w:t>
      </w:r>
      <w:r>
        <w:t xml:space="preserve"> </w:t>
      </w:r>
      <w:r w:rsidRPr="00C757C7">
        <w:t>přizváni.</w:t>
      </w:r>
    </w:p>
    <w:p w14:paraId="4CC61BDA" w14:textId="35C884F2" w:rsidR="00CB6038" w:rsidRDefault="00CB6038" w:rsidP="00B8532E">
      <w:pPr>
        <w:pStyle w:val="Textparagrafu"/>
        <w:tabs>
          <w:tab w:val="left" w:pos="406"/>
          <w:tab w:val="left" w:pos="826"/>
        </w:tabs>
        <w:spacing w:before="120" w:after="120"/>
      </w:pPr>
      <w:r w:rsidRPr="00C757C7">
        <w:t>(5)</w:t>
      </w:r>
      <w:r>
        <w:t xml:space="preserve"> </w:t>
      </w:r>
      <w:r w:rsidRPr="00C757C7">
        <w:t>Způsob</w:t>
      </w:r>
      <w:r>
        <w:t xml:space="preserve"> </w:t>
      </w:r>
      <w:r w:rsidRPr="00C757C7">
        <w:t>a</w:t>
      </w:r>
      <w:r>
        <w:t xml:space="preserve"> </w:t>
      </w:r>
      <w:r w:rsidRPr="00C757C7">
        <w:t>podmínky</w:t>
      </w:r>
      <w:r>
        <w:t xml:space="preserve"> </w:t>
      </w:r>
      <w:r w:rsidRPr="00C757C7">
        <w:t>volby</w:t>
      </w:r>
      <w:r>
        <w:t xml:space="preserve"> </w:t>
      </w:r>
      <w:r w:rsidRPr="00C757C7">
        <w:t>a</w:t>
      </w:r>
      <w:r>
        <w:t xml:space="preserve"> </w:t>
      </w:r>
      <w:r w:rsidRPr="00C757C7">
        <w:t>odvolání</w:t>
      </w:r>
      <w:r>
        <w:t xml:space="preserve"> </w:t>
      </w:r>
      <w:r w:rsidRPr="00C757C7">
        <w:t>zástupců</w:t>
      </w:r>
      <w:r>
        <w:t xml:space="preserve"> </w:t>
      </w:r>
      <w:r w:rsidRPr="00C757C7">
        <w:t>zaměstnanců</w:t>
      </w:r>
      <w:r>
        <w:t xml:space="preserve"> </w:t>
      </w:r>
      <w:r w:rsidRPr="00C757C7">
        <w:t>stanoví</w:t>
      </w:r>
      <w:r>
        <w:t xml:space="preserve"> </w:t>
      </w:r>
      <w:r w:rsidRPr="00C757C7">
        <w:t>volební</w:t>
      </w:r>
      <w:r>
        <w:t xml:space="preserve"> </w:t>
      </w:r>
      <w:r w:rsidRPr="00C757C7">
        <w:t>řád.</w:t>
      </w:r>
      <w:r>
        <w:t xml:space="preserve"> </w:t>
      </w:r>
      <w:r w:rsidRPr="00C757C7">
        <w:t>Pokud</w:t>
      </w:r>
      <w:r>
        <w:t xml:space="preserve"> </w:t>
      </w:r>
      <w:r w:rsidRPr="00C757C7">
        <w:t>v</w:t>
      </w:r>
      <w:r>
        <w:t xml:space="preserve"> </w:t>
      </w:r>
      <w:r w:rsidRPr="00C757C7">
        <w:t>podniku</w:t>
      </w:r>
      <w:r>
        <w:t xml:space="preserve"> </w:t>
      </w:r>
      <w:r w:rsidRPr="00C757C7">
        <w:t>působí</w:t>
      </w:r>
      <w:r>
        <w:t xml:space="preserve"> </w:t>
      </w:r>
      <w:r w:rsidRPr="00C757C7">
        <w:t>odborová</w:t>
      </w:r>
      <w:r>
        <w:t xml:space="preserve"> </w:t>
      </w:r>
      <w:r w:rsidRPr="00C757C7">
        <w:t>organizace,</w:t>
      </w:r>
      <w:r>
        <w:t xml:space="preserve"> </w:t>
      </w:r>
      <w:r w:rsidRPr="00C757C7">
        <w:t>je</w:t>
      </w:r>
      <w:r>
        <w:t xml:space="preserve"> </w:t>
      </w:r>
      <w:r w:rsidRPr="00C757C7">
        <w:t>volební</w:t>
      </w:r>
      <w:r>
        <w:t xml:space="preserve"> </w:t>
      </w:r>
      <w:r w:rsidRPr="00C757C7">
        <w:t>řád</w:t>
      </w:r>
      <w:r>
        <w:t xml:space="preserve"> </w:t>
      </w:r>
      <w:r w:rsidRPr="00C757C7">
        <w:t>vydáván</w:t>
      </w:r>
      <w:r>
        <w:t xml:space="preserve"> </w:t>
      </w:r>
      <w:r w:rsidRPr="00C757C7">
        <w:t>se</w:t>
      </w:r>
      <w:r>
        <w:t xml:space="preserve"> </w:t>
      </w:r>
      <w:r w:rsidRPr="00C757C7">
        <w:t>souhlasem</w:t>
      </w:r>
      <w:r>
        <w:t xml:space="preserve"> </w:t>
      </w:r>
      <w:r w:rsidRPr="00C757C7">
        <w:t>příslušného</w:t>
      </w:r>
      <w:r>
        <w:t xml:space="preserve"> </w:t>
      </w:r>
      <w:r w:rsidRPr="00C757C7">
        <w:t>odborového</w:t>
      </w:r>
      <w:r>
        <w:t xml:space="preserve"> </w:t>
      </w:r>
      <w:r w:rsidRPr="00C757C7">
        <w:t>orgánu</w:t>
      </w:r>
      <w:r>
        <w:t xml:space="preserve"> </w:t>
      </w:r>
      <w:r w:rsidRPr="00C757C7">
        <w:t>a</w:t>
      </w:r>
      <w:r>
        <w:t xml:space="preserve"> </w:t>
      </w:r>
      <w:r w:rsidRPr="00C757C7">
        <w:t>vlastní</w:t>
      </w:r>
      <w:r>
        <w:t xml:space="preserve"> </w:t>
      </w:r>
      <w:r w:rsidRPr="00C757C7">
        <w:t>volba</w:t>
      </w:r>
      <w:r>
        <w:t xml:space="preserve"> </w:t>
      </w:r>
      <w:r w:rsidRPr="00C757C7">
        <w:t>je</w:t>
      </w:r>
      <w:r>
        <w:t xml:space="preserve"> </w:t>
      </w:r>
      <w:r w:rsidRPr="00C757C7">
        <w:t>zajišťována</w:t>
      </w:r>
      <w:r>
        <w:t xml:space="preserve"> </w:t>
      </w:r>
      <w:r w:rsidRPr="00C757C7">
        <w:t>zaměstnavatelem</w:t>
      </w:r>
      <w:r>
        <w:t xml:space="preserve"> </w:t>
      </w:r>
      <w:r w:rsidRPr="00C757C7">
        <w:t>v</w:t>
      </w:r>
      <w:r>
        <w:t xml:space="preserve"> </w:t>
      </w:r>
      <w:r w:rsidRPr="00C757C7">
        <w:t>součinnosti</w:t>
      </w:r>
      <w:r>
        <w:t xml:space="preserve"> </w:t>
      </w:r>
      <w:r w:rsidRPr="00C757C7">
        <w:t>s</w:t>
      </w:r>
      <w:r>
        <w:t xml:space="preserve"> </w:t>
      </w:r>
      <w:r w:rsidRPr="00C757C7">
        <w:t>příslušným</w:t>
      </w:r>
      <w:r>
        <w:t xml:space="preserve"> </w:t>
      </w:r>
      <w:r w:rsidRPr="00C757C7">
        <w:t>odborovým</w:t>
      </w:r>
      <w:r>
        <w:t xml:space="preserve"> </w:t>
      </w:r>
      <w:r w:rsidRPr="00C757C7">
        <w:t>orgánem.</w:t>
      </w:r>
      <w:r>
        <w:t xml:space="preserve"> </w:t>
      </w:r>
      <w:r w:rsidRPr="00C757C7">
        <w:t>Působí-li</w:t>
      </w:r>
      <w:r>
        <w:t xml:space="preserve"> </w:t>
      </w:r>
      <w:r w:rsidRPr="00C757C7">
        <w:t>u</w:t>
      </w:r>
      <w:r>
        <w:t xml:space="preserve"> </w:t>
      </w:r>
      <w:r w:rsidRPr="00C757C7">
        <w:t>zaměstnavatele</w:t>
      </w:r>
      <w:r>
        <w:t xml:space="preserve"> </w:t>
      </w:r>
      <w:r w:rsidRPr="00C757C7">
        <w:t>více</w:t>
      </w:r>
      <w:r>
        <w:t xml:space="preserve"> </w:t>
      </w:r>
      <w:r w:rsidRPr="00C757C7">
        <w:t>odborových</w:t>
      </w:r>
      <w:r>
        <w:t xml:space="preserve"> </w:t>
      </w:r>
      <w:r w:rsidRPr="00C757C7">
        <w:t>organizací,</w:t>
      </w:r>
      <w:r>
        <w:t xml:space="preserve"> </w:t>
      </w:r>
      <w:r w:rsidRPr="00C757C7">
        <w:t>řídí</w:t>
      </w:r>
      <w:r>
        <w:t xml:space="preserve"> </w:t>
      </w:r>
      <w:r w:rsidRPr="00C757C7">
        <w:t>se</w:t>
      </w:r>
      <w:r>
        <w:t xml:space="preserve"> </w:t>
      </w:r>
      <w:r w:rsidRPr="00C757C7">
        <w:t>jejich</w:t>
      </w:r>
      <w:r>
        <w:t xml:space="preserve"> </w:t>
      </w:r>
      <w:r w:rsidRPr="00C757C7">
        <w:t>vzájemné</w:t>
      </w:r>
      <w:r>
        <w:t xml:space="preserve"> </w:t>
      </w:r>
      <w:r w:rsidRPr="00C757C7">
        <w:t>vztahy</w:t>
      </w:r>
      <w:r>
        <w:t xml:space="preserve"> </w:t>
      </w:r>
      <w:r w:rsidRPr="00C757C7">
        <w:t>zvláštním</w:t>
      </w:r>
      <w:r>
        <w:t xml:space="preserve"> </w:t>
      </w:r>
      <w:r w:rsidR="001E080D">
        <w:t>zákonem.</w:t>
      </w:r>
      <w:r w:rsidR="001E080D">
        <w:rPr>
          <w:rStyle w:val="Znakapoznpodarou"/>
        </w:rPr>
        <w:footnoteReference w:customMarkFollows="1" w:id="243"/>
        <w:t>10)</w:t>
      </w:r>
      <w:r>
        <w:t xml:space="preserve"> </w:t>
      </w:r>
      <w:r w:rsidRPr="00C757C7">
        <w:t>Nepůsobí-li</w:t>
      </w:r>
      <w:r>
        <w:t xml:space="preserve"> </w:t>
      </w:r>
      <w:r w:rsidRPr="00C757C7">
        <w:t>u</w:t>
      </w:r>
      <w:r>
        <w:t xml:space="preserve"> </w:t>
      </w:r>
      <w:r w:rsidRPr="00C757C7">
        <w:t>zaměstnavatele</w:t>
      </w:r>
      <w:r>
        <w:t xml:space="preserve"> </w:t>
      </w:r>
      <w:r w:rsidRPr="00C757C7">
        <w:t>odborová</w:t>
      </w:r>
      <w:r>
        <w:t xml:space="preserve"> </w:t>
      </w:r>
      <w:r w:rsidRPr="00C757C7">
        <w:t>organizace,</w:t>
      </w:r>
      <w:r>
        <w:t xml:space="preserve"> </w:t>
      </w:r>
      <w:r w:rsidRPr="00C757C7">
        <w:t>stanoví</w:t>
      </w:r>
      <w:r>
        <w:t xml:space="preserve"> </w:t>
      </w:r>
      <w:r w:rsidRPr="00C757C7">
        <w:t>způsob</w:t>
      </w:r>
      <w:r>
        <w:t xml:space="preserve"> </w:t>
      </w:r>
      <w:r w:rsidRPr="00C757C7">
        <w:t>a</w:t>
      </w:r>
      <w:r>
        <w:t xml:space="preserve"> </w:t>
      </w:r>
      <w:r w:rsidRPr="00C757C7">
        <w:t>podmínky</w:t>
      </w:r>
      <w:r>
        <w:t xml:space="preserve"> </w:t>
      </w:r>
      <w:r w:rsidRPr="00C757C7">
        <w:t>volby</w:t>
      </w:r>
      <w:r>
        <w:t xml:space="preserve"> </w:t>
      </w:r>
      <w:r w:rsidRPr="00C757C7">
        <w:t>a</w:t>
      </w:r>
      <w:r>
        <w:t xml:space="preserve"> </w:t>
      </w:r>
      <w:r w:rsidRPr="00C757C7">
        <w:t>odvolání</w:t>
      </w:r>
      <w:r>
        <w:t xml:space="preserve"> </w:t>
      </w:r>
      <w:r w:rsidRPr="00C757C7">
        <w:t>zástupců</w:t>
      </w:r>
      <w:r>
        <w:t xml:space="preserve"> </w:t>
      </w:r>
      <w:r w:rsidRPr="00C757C7">
        <w:t>zaměstnanců</w:t>
      </w:r>
      <w:r>
        <w:t xml:space="preserve"> </w:t>
      </w:r>
      <w:r w:rsidRPr="00C757C7">
        <w:t>zaměstnavatel.</w:t>
      </w:r>
    </w:p>
    <w:p w14:paraId="672752FC" w14:textId="77777777" w:rsidR="00CB6038" w:rsidRDefault="00CB6038" w:rsidP="00B8532E">
      <w:pPr>
        <w:pStyle w:val="Textparagrafu"/>
        <w:tabs>
          <w:tab w:val="left" w:pos="406"/>
          <w:tab w:val="left" w:pos="826"/>
        </w:tabs>
        <w:spacing w:before="120" w:after="120"/>
      </w:pPr>
      <w:r w:rsidRPr="00C757C7">
        <w:t>(6)</w:t>
      </w:r>
      <w:r>
        <w:t xml:space="preserve"> </w:t>
      </w:r>
      <w:r w:rsidRPr="00C757C7">
        <w:t>Dozorčí</w:t>
      </w:r>
      <w:r>
        <w:t xml:space="preserve"> </w:t>
      </w:r>
      <w:r w:rsidRPr="00C757C7">
        <w:t>rada</w:t>
      </w:r>
      <w:r>
        <w:t xml:space="preserve"> </w:t>
      </w:r>
      <w:r w:rsidRPr="00C757C7">
        <w:t>rozhoduje</w:t>
      </w:r>
      <w:r>
        <w:t xml:space="preserve"> </w:t>
      </w:r>
      <w:r w:rsidRPr="00C757C7">
        <w:t>na</w:t>
      </w:r>
      <w:r>
        <w:t xml:space="preserve"> </w:t>
      </w:r>
      <w:r w:rsidRPr="00C757C7">
        <w:t>základě</w:t>
      </w:r>
      <w:r>
        <w:t xml:space="preserve"> </w:t>
      </w:r>
      <w:r w:rsidRPr="00C757C7">
        <w:t>souhlasu</w:t>
      </w:r>
      <w:r>
        <w:t xml:space="preserve"> </w:t>
      </w:r>
      <w:r w:rsidRPr="00C757C7">
        <w:t>většiny</w:t>
      </w:r>
      <w:r>
        <w:t xml:space="preserve"> </w:t>
      </w:r>
      <w:r w:rsidRPr="00C757C7">
        <w:t>svých</w:t>
      </w:r>
      <w:r>
        <w:t xml:space="preserve"> </w:t>
      </w:r>
      <w:r w:rsidRPr="00C757C7">
        <w:t>členů.</w:t>
      </w:r>
      <w:r>
        <w:t xml:space="preserve"> </w:t>
      </w:r>
      <w:r w:rsidRPr="00C757C7">
        <w:t>O</w:t>
      </w:r>
      <w:r>
        <w:t xml:space="preserve"> </w:t>
      </w:r>
      <w:r w:rsidRPr="00C757C7">
        <w:t>zasedání</w:t>
      </w:r>
      <w:r>
        <w:t xml:space="preserve"> </w:t>
      </w:r>
      <w:r w:rsidRPr="00C757C7">
        <w:t>dozorčí</w:t>
      </w:r>
      <w:r>
        <w:t xml:space="preserve"> </w:t>
      </w:r>
      <w:r w:rsidRPr="00C757C7">
        <w:t>rady</w:t>
      </w:r>
      <w:r>
        <w:t xml:space="preserve"> </w:t>
      </w:r>
      <w:r w:rsidRPr="00C757C7">
        <w:t>se</w:t>
      </w:r>
      <w:r>
        <w:t xml:space="preserve"> </w:t>
      </w:r>
      <w:r w:rsidRPr="00C757C7">
        <w:t>pořizuje</w:t>
      </w:r>
      <w:r>
        <w:t xml:space="preserve"> </w:t>
      </w:r>
      <w:r w:rsidRPr="00C757C7">
        <w:t>zápis,</w:t>
      </w:r>
      <w:r>
        <w:t xml:space="preserve"> </w:t>
      </w:r>
      <w:r w:rsidRPr="00C757C7">
        <w:t>který</w:t>
      </w:r>
      <w:r>
        <w:t xml:space="preserve"> </w:t>
      </w:r>
      <w:r w:rsidRPr="00C757C7">
        <w:t>podepisuje</w:t>
      </w:r>
      <w:r>
        <w:t xml:space="preserve"> </w:t>
      </w:r>
      <w:r w:rsidRPr="00C757C7">
        <w:t>její</w:t>
      </w:r>
      <w:r>
        <w:t xml:space="preserve"> </w:t>
      </w:r>
      <w:r w:rsidRPr="00C757C7">
        <w:t>předseda.</w:t>
      </w:r>
      <w:r>
        <w:t xml:space="preserve"> </w:t>
      </w:r>
      <w:r w:rsidRPr="00C757C7">
        <w:t>V</w:t>
      </w:r>
      <w:r>
        <w:t xml:space="preserve"> </w:t>
      </w:r>
      <w:r w:rsidRPr="00C757C7">
        <w:t>zápise</w:t>
      </w:r>
      <w:r>
        <w:t xml:space="preserve"> </w:t>
      </w:r>
      <w:r w:rsidRPr="00C757C7">
        <w:t>se</w:t>
      </w:r>
      <w:r>
        <w:t xml:space="preserve"> </w:t>
      </w:r>
      <w:r w:rsidRPr="00C757C7">
        <w:t>uvedou</w:t>
      </w:r>
      <w:r>
        <w:t xml:space="preserve"> </w:t>
      </w:r>
      <w:r w:rsidRPr="00C757C7">
        <w:t>i</w:t>
      </w:r>
      <w:r>
        <w:t xml:space="preserve"> </w:t>
      </w:r>
      <w:r w:rsidRPr="00C757C7">
        <w:t>stanoviska</w:t>
      </w:r>
      <w:r>
        <w:t xml:space="preserve"> </w:t>
      </w:r>
      <w:r w:rsidRPr="00C757C7">
        <w:t>menšiny</w:t>
      </w:r>
      <w:r>
        <w:t xml:space="preserve"> </w:t>
      </w:r>
      <w:r w:rsidRPr="00C757C7">
        <w:t>členů,</w:t>
      </w:r>
      <w:r>
        <w:t xml:space="preserve"> </w:t>
      </w:r>
      <w:r w:rsidRPr="00C757C7">
        <w:t>jestliže</w:t>
      </w:r>
      <w:r>
        <w:t xml:space="preserve"> </w:t>
      </w:r>
      <w:r w:rsidRPr="00C757C7">
        <w:t>tito</w:t>
      </w:r>
      <w:r>
        <w:t xml:space="preserve"> </w:t>
      </w:r>
      <w:r w:rsidRPr="00C757C7">
        <w:t>o</w:t>
      </w:r>
      <w:r>
        <w:t xml:space="preserve"> </w:t>
      </w:r>
      <w:r w:rsidRPr="00C757C7">
        <w:t>to</w:t>
      </w:r>
      <w:r>
        <w:t xml:space="preserve"> </w:t>
      </w:r>
      <w:r w:rsidRPr="00C757C7">
        <w:t>požádají.</w:t>
      </w:r>
    </w:p>
    <w:p w14:paraId="6AA770C0" w14:textId="77777777" w:rsidR="00CB6038" w:rsidRPr="00C757C7" w:rsidRDefault="00CB6038" w:rsidP="00B8532E">
      <w:pPr>
        <w:pStyle w:val="Textparagrafu"/>
        <w:tabs>
          <w:tab w:val="left" w:pos="406"/>
          <w:tab w:val="left" w:pos="826"/>
        </w:tabs>
        <w:spacing w:before="120" w:after="120"/>
      </w:pPr>
      <w:r w:rsidRPr="00C757C7">
        <w:t>(7)</w:t>
      </w:r>
      <w:r>
        <w:t xml:space="preserve"> </w:t>
      </w:r>
      <w:r w:rsidRPr="00C757C7">
        <w:t>Členové</w:t>
      </w:r>
      <w:r>
        <w:t xml:space="preserve"> </w:t>
      </w:r>
      <w:r w:rsidRPr="00C757C7">
        <w:t>dozorčí</w:t>
      </w:r>
      <w:r>
        <w:t xml:space="preserve"> </w:t>
      </w:r>
      <w:r w:rsidRPr="00C757C7">
        <w:t>rady</w:t>
      </w:r>
      <w:r>
        <w:t xml:space="preserve"> </w:t>
      </w:r>
      <w:r w:rsidRPr="00C757C7">
        <w:t>jsou</w:t>
      </w:r>
      <w:r>
        <w:t xml:space="preserve"> </w:t>
      </w:r>
      <w:r w:rsidRPr="00C757C7">
        <w:t>povinni</w:t>
      </w:r>
      <w:r>
        <w:t xml:space="preserve"> </w:t>
      </w:r>
      <w:r w:rsidRPr="00C757C7">
        <w:t>vykonávat</w:t>
      </w:r>
      <w:r>
        <w:t xml:space="preserve"> </w:t>
      </w:r>
      <w:r w:rsidRPr="00C757C7">
        <w:t>svoji</w:t>
      </w:r>
      <w:r>
        <w:t xml:space="preserve"> </w:t>
      </w:r>
      <w:r w:rsidRPr="00C757C7">
        <w:t>působnost</w:t>
      </w:r>
      <w:r>
        <w:t xml:space="preserve"> </w:t>
      </w:r>
      <w:r w:rsidRPr="00C757C7">
        <w:t>s</w:t>
      </w:r>
      <w:r>
        <w:t xml:space="preserve"> </w:t>
      </w:r>
      <w:r w:rsidRPr="00C757C7">
        <w:t>péčí</w:t>
      </w:r>
      <w:r>
        <w:t xml:space="preserve"> </w:t>
      </w:r>
      <w:r w:rsidRPr="00C757C7">
        <w:t>řádného</w:t>
      </w:r>
      <w:r>
        <w:t xml:space="preserve"> </w:t>
      </w:r>
      <w:r w:rsidRPr="00C757C7">
        <w:t>hospodáře</w:t>
      </w:r>
      <w:r>
        <w:t xml:space="preserve"> </w:t>
      </w:r>
      <w:r w:rsidRPr="00C757C7">
        <w:t>a</w:t>
      </w:r>
      <w:r>
        <w:t xml:space="preserve"> </w:t>
      </w:r>
      <w:r w:rsidRPr="00C757C7">
        <w:t>zachovávat</w:t>
      </w:r>
      <w:r>
        <w:t xml:space="preserve"> </w:t>
      </w:r>
      <w:r w:rsidRPr="00C757C7">
        <w:t>mlčenlivost</w:t>
      </w:r>
      <w:r>
        <w:t xml:space="preserve"> </w:t>
      </w:r>
      <w:r w:rsidRPr="00C757C7">
        <w:t>o</w:t>
      </w:r>
      <w:r>
        <w:t xml:space="preserve"> </w:t>
      </w:r>
      <w:r w:rsidRPr="00C757C7">
        <w:t>důvěrných</w:t>
      </w:r>
      <w:r>
        <w:t xml:space="preserve"> </w:t>
      </w:r>
      <w:r w:rsidRPr="00C757C7">
        <w:t>informacích</w:t>
      </w:r>
      <w:r>
        <w:t xml:space="preserve"> </w:t>
      </w:r>
      <w:r w:rsidRPr="00C757C7">
        <w:t>a</w:t>
      </w:r>
      <w:r>
        <w:t xml:space="preserve"> </w:t>
      </w:r>
      <w:r w:rsidRPr="00C757C7">
        <w:t>skutečnostech,</w:t>
      </w:r>
      <w:r>
        <w:t xml:space="preserve"> </w:t>
      </w:r>
      <w:r w:rsidRPr="00C757C7">
        <w:t>jejichž</w:t>
      </w:r>
      <w:r>
        <w:t xml:space="preserve"> </w:t>
      </w:r>
      <w:r w:rsidRPr="00C757C7">
        <w:t>prozrazením</w:t>
      </w:r>
      <w:r>
        <w:t xml:space="preserve"> </w:t>
      </w:r>
      <w:r w:rsidRPr="00C757C7">
        <w:t>třetím</w:t>
      </w:r>
      <w:r>
        <w:t xml:space="preserve"> </w:t>
      </w:r>
      <w:r w:rsidRPr="00C757C7">
        <w:t>osobám</w:t>
      </w:r>
      <w:r>
        <w:t xml:space="preserve"> </w:t>
      </w:r>
      <w:r w:rsidRPr="00C757C7">
        <w:t>by</w:t>
      </w:r>
      <w:r>
        <w:t xml:space="preserve"> </w:t>
      </w:r>
      <w:r w:rsidRPr="00C757C7">
        <w:t>mohla</w:t>
      </w:r>
      <w:r>
        <w:t xml:space="preserve"> </w:t>
      </w:r>
      <w:r w:rsidRPr="00C757C7">
        <w:t>podniku</w:t>
      </w:r>
      <w:r>
        <w:t xml:space="preserve"> </w:t>
      </w:r>
      <w:r w:rsidRPr="00C757C7">
        <w:t>vzniknout</w:t>
      </w:r>
      <w:r>
        <w:t xml:space="preserve"> </w:t>
      </w:r>
      <w:r w:rsidRPr="00C757C7">
        <w:t>újma.</w:t>
      </w:r>
      <w:r>
        <w:t xml:space="preserve"> </w:t>
      </w:r>
      <w:r w:rsidRPr="00C757C7">
        <w:t>Povinnost</w:t>
      </w:r>
      <w:r>
        <w:t xml:space="preserve"> </w:t>
      </w:r>
      <w:r w:rsidRPr="00C757C7">
        <w:t>mlčenlivosti</w:t>
      </w:r>
      <w:r>
        <w:t xml:space="preserve"> </w:t>
      </w:r>
      <w:r w:rsidRPr="00C757C7">
        <w:t>trvá</w:t>
      </w:r>
      <w:r>
        <w:t xml:space="preserve"> </w:t>
      </w:r>
      <w:r w:rsidRPr="00C757C7">
        <w:t>i</w:t>
      </w:r>
      <w:r>
        <w:t xml:space="preserve"> </w:t>
      </w:r>
      <w:r w:rsidRPr="00C757C7">
        <w:t>po</w:t>
      </w:r>
      <w:r>
        <w:t xml:space="preserve"> </w:t>
      </w:r>
      <w:r w:rsidRPr="00C757C7">
        <w:t>ukončení</w:t>
      </w:r>
      <w:r>
        <w:t xml:space="preserve"> </w:t>
      </w:r>
      <w:r w:rsidRPr="00C757C7">
        <w:t>členství</w:t>
      </w:r>
      <w:r>
        <w:t xml:space="preserve"> </w:t>
      </w:r>
      <w:r w:rsidRPr="00C757C7">
        <w:t>v</w:t>
      </w:r>
      <w:r>
        <w:t xml:space="preserve"> </w:t>
      </w:r>
      <w:r w:rsidRPr="00C757C7">
        <w:t>dozorčí</w:t>
      </w:r>
      <w:r>
        <w:t xml:space="preserve"> </w:t>
      </w:r>
      <w:r w:rsidRPr="00C757C7">
        <w:t>radě.</w:t>
      </w:r>
    </w:p>
    <w:p w14:paraId="510A3A41" w14:textId="40A16C9B" w:rsidR="00CB6038" w:rsidRDefault="00CB6038" w:rsidP="00CB6038">
      <w:pPr>
        <w:pStyle w:val="Textparagrafu"/>
        <w:tabs>
          <w:tab w:val="left" w:pos="406"/>
          <w:tab w:val="left" w:pos="840"/>
          <w:tab w:val="left" w:pos="868"/>
        </w:tabs>
        <w:spacing w:after="120"/>
        <w:ind w:firstLine="0"/>
        <w:jc w:val="center"/>
      </w:pPr>
      <w:r>
        <w:t>***</w:t>
      </w:r>
    </w:p>
    <w:p w14:paraId="273333D7" w14:textId="2D766376" w:rsidR="00D031FB" w:rsidRDefault="00D031FB" w:rsidP="00D031FB">
      <w:pPr>
        <w:pStyle w:val="Textparagrafu"/>
        <w:ind w:firstLine="0"/>
        <w:jc w:val="center"/>
      </w:pPr>
      <w:r w:rsidRPr="00EA4DFA">
        <w:t>§</w:t>
      </w:r>
      <w:r>
        <w:t xml:space="preserve"> </w:t>
      </w:r>
      <w:r w:rsidRPr="00EA4DFA">
        <w:t>15</w:t>
      </w:r>
    </w:p>
    <w:p w14:paraId="725891F9" w14:textId="77777777" w:rsidR="00D031FB" w:rsidRDefault="00D031FB" w:rsidP="00B8532E">
      <w:pPr>
        <w:pStyle w:val="Textparagrafu"/>
        <w:tabs>
          <w:tab w:val="left" w:pos="406"/>
          <w:tab w:val="left" w:pos="826"/>
        </w:tabs>
        <w:spacing w:before="120" w:after="120"/>
      </w:pPr>
      <w:r w:rsidRPr="00EA4DFA">
        <w:t>(1)</w:t>
      </w:r>
      <w:r>
        <w:t xml:space="preserve"> </w:t>
      </w:r>
      <w:r w:rsidRPr="00EA4DFA">
        <w:t>Zakladatel</w:t>
      </w:r>
    </w:p>
    <w:p w14:paraId="4AE4F99D" w14:textId="0AD97922" w:rsidR="00D031FB" w:rsidRDefault="00D031FB" w:rsidP="00B0390E">
      <w:pPr>
        <w:pStyle w:val="Textparagrafu"/>
        <w:tabs>
          <w:tab w:val="left" w:pos="406"/>
        </w:tabs>
        <w:spacing w:before="0"/>
        <w:ind w:left="426" w:hanging="426"/>
      </w:pPr>
      <w:r w:rsidRPr="00EA4DFA">
        <w:t>a)</w:t>
      </w:r>
      <w:r>
        <w:tab/>
      </w:r>
      <w:r w:rsidRPr="00EA4DFA">
        <w:t>zakládá</w:t>
      </w:r>
      <w:r>
        <w:t xml:space="preserve"> </w:t>
      </w:r>
      <w:r w:rsidRPr="00EA4DFA">
        <w:t>a</w:t>
      </w:r>
      <w:r>
        <w:t xml:space="preserve"> </w:t>
      </w:r>
      <w:r w:rsidRPr="00EA4DFA">
        <w:t>ruší</w:t>
      </w:r>
      <w:r>
        <w:t xml:space="preserve"> </w:t>
      </w:r>
      <w:r w:rsidRPr="00EA4DFA">
        <w:t>podnik</w:t>
      </w:r>
      <w:r>
        <w:t xml:space="preserve"> </w:t>
      </w:r>
      <w:r w:rsidRPr="00EA4DFA">
        <w:t>a</w:t>
      </w:r>
      <w:r>
        <w:t xml:space="preserve"> </w:t>
      </w:r>
      <w:r w:rsidRPr="00EA4DFA">
        <w:t>vydává</w:t>
      </w:r>
      <w:r>
        <w:t xml:space="preserve"> </w:t>
      </w:r>
      <w:r w:rsidRPr="00EA4DFA">
        <w:t>rozhodnutí</w:t>
      </w:r>
      <w:r>
        <w:t xml:space="preserve"> </w:t>
      </w:r>
      <w:r w:rsidRPr="00EA4DFA">
        <w:t>o</w:t>
      </w:r>
      <w:r>
        <w:t xml:space="preserve"> </w:t>
      </w:r>
      <w:r w:rsidRPr="00EA4DFA">
        <w:t>přeměně</w:t>
      </w:r>
      <w:r>
        <w:t xml:space="preserve"> </w:t>
      </w:r>
      <w:r w:rsidRPr="00EA4DFA">
        <w:t>podniku,</w:t>
      </w:r>
    </w:p>
    <w:p w14:paraId="4D48D520" w14:textId="6D592804" w:rsidR="00D031FB" w:rsidRDefault="00D031FB" w:rsidP="00B0390E">
      <w:pPr>
        <w:pStyle w:val="Textparagrafu"/>
        <w:tabs>
          <w:tab w:val="left" w:pos="406"/>
        </w:tabs>
        <w:spacing w:before="0"/>
        <w:ind w:left="426" w:hanging="426"/>
      </w:pPr>
      <w:r w:rsidRPr="00EA4DFA">
        <w:t>b)</w:t>
      </w:r>
      <w:r>
        <w:tab/>
      </w:r>
      <w:r w:rsidRPr="00EA4DFA">
        <w:t>jmenuje</w:t>
      </w:r>
      <w:r>
        <w:t xml:space="preserve"> </w:t>
      </w:r>
      <w:r w:rsidRPr="00EA4DFA">
        <w:t>a</w:t>
      </w:r>
      <w:r>
        <w:t xml:space="preserve"> </w:t>
      </w:r>
      <w:r w:rsidRPr="00EA4DFA">
        <w:t>odvolává</w:t>
      </w:r>
      <w:r>
        <w:t xml:space="preserve"> </w:t>
      </w:r>
      <w:r w:rsidRPr="00EA4DFA">
        <w:t>ředitele,</w:t>
      </w:r>
      <w:r>
        <w:t xml:space="preserve"> </w:t>
      </w:r>
      <w:r w:rsidRPr="00EA4DFA">
        <w:t>vyjma</w:t>
      </w:r>
      <w:r>
        <w:t xml:space="preserve"> </w:t>
      </w:r>
      <w:r w:rsidRPr="00EA4DFA">
        <w:t>případu</w:t>
      </w:r>
      <w:r>
        <w:t xml:space="preserve"> </w:t>
      </w:r>
      <w:r w:rsidRPr="00EA4DFA">
        <w:t>jmenování</w:t>
      </w:r>
      <w:r>
        <w:t xml:space="preserve"> </w:t>
      </w:r>
      <w:r w:rsidRPr="00EA4DFA">
        <w:t>ředitele</w:t>
      </w:r>
      <w:r>
        <w:t xml:space="preserve"> </w:t>
      </w:r>
      <w:r w:rsidRPr="00EA4DFA">
        <w:t>vládou,</w:t>
      </w:r>
      <w:r>
        <w:t xml:space="preserve"> </w:t>
      </w:r>
      <w:r w:rsidRPr="00EA4DFA">
        <w:t>členy</w:t>
      </w:r>
      <w:r>
        <w:t xml:space="preserve"> </w:t>
      </w:r>
      <w:r w:rsidRPr="00EA4DFA">
        <w:t>dozorčí</w:t>
      </w:r>
      <w:r>
        <w:t xml:space="preserve"> </w:t>
      </w:r>
      <w:r w:rsidRPr="00EA4DFA">
        <w:t>rady</w:t>
      </w:r>
      <w:r>
        <w:t xml:space="preserve"> </w:t>
      </w:r>
      <w:r w:rsidRPr="00EA4DFA">
        <w:t>a</w:t>
      </w:r>
      <w:r>
        <w:t xml:space="preserve"> </w:t>
      </w:r>
      <w:r w:rsidRPr="00EA4DFA">
        <w:t>likvidátora,</w:t>
      </w:r>
    </w:p>
    <w:p w14:paraId="7E250556" w14:textId="75C8A4A4" w:rsidR="00D031FB" w:rsidRDefault="00D031FB" w:rsidP="00B0390E">
      <w:pPr>
        <w:pStyle w:val="Textparagrafu"/>
        <w:tabs>
          <w:tab w:val="left" w:pos="406"/>
        </w:tabs>
        <w:spacing w:before="0"/>
        <w:ind w:left="426" w:hanging="426"/>
      </w:pPr>
      <w:r w:rsidRPr="00EA4DFA">
        <w:t>c)</w:t>
      </w:r>
      <w:r>
        <w:tab/>
      </w:r>
      <w:r w:rsidRPr="00EA4DFA">
        <w:t>schvaluje</w:t>
      </w:r>
      <w:r>
        <w:t xml:space="preserve"> </w:t>
      </w:r>
      <w:r w:rsidRPr="00EA4DFA">
        <w:t>jednací</w:t>
      </w:r>
      <w:r>
        <w:t xml:space="preserve"> </w:t>
      </w:r>
      <w:r w:rsidRPr="00EA4DFA">
        <w:t>řád</w:t>
      </w:r>
      <w:r>
        <w:t xml:space="preserve"> </w:t>
      </w:r>
      <w:r w:rsidRPr="00EA4DFA">
        <w:t>dozorčí</w:t>
      </w:r>
      <w:r>
        <w:t xml:space="preserve"> </w:t>
      </w:r>
      <w:r w:rsidRPr="00EA4DFA">
        <w:t>rady,</w:t>
      </w:r>
      <w:r>
        <w:t xml:space="preserve"> </w:t>
      </w:r>
      <w:r w:rsidRPr="00EA4DFA">
        <w:t>stanoví</w:t>
      </w:r>
      <w:r>
        <w:t xml:space="preserve"> </w:t>
      </w:r>
      <w:r w:rsidRPr="00EA4DFA">
        <w:t>počet</w:t>
      </w:r>
      <w:r>
        <w:t xml:space="preserve"> </w:t>
      </w:r>
      <w:r w:rsidRPr="00EA4DFA">
        <w:t>jejích</w:t>
      </w:r>
      <w:r>
        <w:t xml:space="preserve"> </w:t>
      </w:r>
      <w:r w:rsidRPr="00EA4DFA">
        <w:t>členů,</w:t>
      </w:r>
      <w:r>
        <w:t xml:space="preserve"> </w:t>
      </w:r>
      <w:r w:rsidRPr="00EA4DFA">
        <w:t>délku</w:t>
      </w:r>
      <w:r>
        <w:t xml:space="preserve"> </w:t>
      </w:r>
      <w:r w:rsidRPr="00EA4DFA">
        <w:t>funkčního</w:t>
      </w:r>
      <w:r>
        <w:t xml:space="preserve"> </w:t>
      </w:r>
      <w:r w:rsidRPr="00EA4DFA">
        <w:t>období</w:t>
      </w:r>
      <w:r>
        <w:t xml:space="preserve"> </w:t>
      </w:r>
      <w:r w:rsidRPr="00EA4DFA">
        <w:t>a</w:t>
      </w:r>
      <w:r>
        <w:t xml:space="preserve"> </w:t>
      </w:r>
      <w:r w:rsidRPr="00EA4DFA">
        <w:t>minimální</w:t>
      </w:r>
      <w:r>
        <w:t xml:space="preserve"> </w:t>
      </w:r>
      <w:r w:rsidRPr="00EA4DFA">
        <w:t>počet</w:t>
      </w:r>
      <w:r>
        <w:t xml:space="preserve"> </w:t>
      </w:r>
      <w:r w:rsidRPr="00EA4DFA">
        <w:t>schůzí</w:t>
      </w:r>
      <w:r>
        <w:t xml:space="preserve"> </w:t>
      </w:r>
      <w:r w:rsidRPr="00EA4DFA">
        <w:t>za</w:t>
      </w:r>
      <w:r>
        <w:t xml:space="preserve"> </w:t>
      </w:r>
      <w:r w:rsidRPr="00EA4DFA">
        <w:t>rok,</w:t>
      </w:r>
    </w:p>
    <w:p w14:paraId="6D4AB6D7" w14:textId="03E98DDA" w:rsidR="00D031FB" w:rsidRDefault="00D031FB" w:rsidP="00B0390E">
      <w:pPr>
        <w:pStyle w:val="Textparagrafu"/>
        <w:tabs>
          <w:tab w:val="left" w:pos="406"/>
        </w:tabs>
        <w:spacing w:before="0"/>
        <w:ind w:left="426" w:hanging="426"/>
      </w:pPr>
      <w:r w:rsidRPr="00EA4DFA">
        <w:t>d)</w:t>
      </w:r>
      <w:r>
        <w:tab/>
      </w:r>
      <w:r w:rsidRPr="00EA4DFA">
        <w:t>vymezí</w:t>
      </w:r>
      <w:r>
        <w:t xml:space="preserve"> </w:t>
      </w:r>
      <w:r w:rsidRPr="00EA4DFA">
        <w:t>v</w:t>
      </w:r>
      <w:r>
        <w:t xml:space="preserve"> </w:t>
      </w:r>
      <w:r w:rsidRPr="00EA4DFA">
        <w:t>příloze</w:t>
      </w:r>
      <w:r>
        <w:t xml:space="preserve"> </w:t>
      </w:r>
      <w:r w:rsidRPr="00EA4DFA">
        <w:t>zakládací</w:t>
      </w:r>
      <w:r>
        <w:t xml:space="preserve"> </w:t>
      </w:r>
      <w:r w:rsidRPr="00EA4DFA">
        <w:t>listiny</w:t>
      </w:r>
      <w:r>
        <w:t xml:space="preserve"> </w:t>
      </w:r>
      <w:r w:rsidRPr="00EA4DFA">
        <w:t>určený</w:t>
      </w:r>
      <w:r>
        <w:t xml:space="preserve"> </w:t>
      </w:r>
      <w:r w:rsidRPr="00EA4DFA">
        <w:t>majetek</w:t>
      </w:r>
      <w:r>
        <w:t xml:space="preserve"> </w:t>
      </w:r>
      <w:r w:rsidRPr="00EA4DFA">
        <w:t>včetně</w:t>
      </w:r>
      <w:r>
        <w:t xml:space="preserve"> </w:t>
      </w:r>
      <w:r w:rsidRPr="00EA4DFA">
        <w:t>jeho</w:t>
      </w:r>
      <w:r>
        <w:t xml:space="preserve"> </w:t>
      </w:r>
      <w:r w:rsidRPr="00EA4DFA">
        <w:t>položkové</w:t>
      </w:r>
      <w:r>
        <w:t xml:space="preserve"> </w:t>
      </w:r>
      <w:r w:rsidRPr="00EA4DFA">
        <w:t>specifikace,</w:t>
      </w:r>
    </w:p>
    <w:p w14:paraId="66554705" w14:textId="69229240" w:rsidR="00D031FB" w:rsidRDefault="00D031FB" w:rsidP="00B0390E">
      <w:pPr>
        <w:pStyle w:val="Textparagrafu"/>
        <w:tabs>
          <w:tab w:val="left" w:pos="406"/>
        </w:tabs>
        <w:spacing w:before="0"/>
        <w:ind w:left="426" w:hanging="426"/>
      </w:pPr>
      <w:r w:rsidRPr="00EA4DFA">
        <w:t>e)</w:t>
      </w:r>
      <w:r>
        <w:tab/>
      </w:r>
      <w:r w:rsidRPr="00EA4DFA">
        <w:t>může</w:t>
      </w:r>
      <w:r>
        <w:t xml:space="preserve"> </w:t>
      </w:r>
      <w:r w:rsidRPr="00EA4DFA">
        <w:t>měnit</w:t>
      </w:r>
      <w:r>
        <w:t xml:space="preserve"> </w:t>
      </w:r>
      <w:r w:rsidRPr="00EA4DFA">
        <w:t>zakládací</w:t>
      </w:r>
      <w:r>
        <w:t xml:space="preserve"> </w:t>
      </w:r>
      <w:r w:rsidRPr="00EA4DFA">
        <w:t>listinu</w:t>
      </w:r>
      <w:r>
        <w:t xml:space="preserve"> </w:t>
      </w:r>
      <w:r w:rsidRPr="00EA4DFA">
        <w:t>s</w:t>
      </w:r>
      <w:r>
        <w:t xml:space="preserve"> </w:t>
      </w:r>
      <w:r w:rsidRPr="00EA4DFA">
        <w:t>výjimkou</w:t>
      </w:r>
      <w:r>
        <w:t xml:space="preserve"> </w:t>
      </w:r>
      <w:r w:rsidRPr="00EA4DFA">
        <w:t>odnětí</w:t>
      </w:r>
      <w:r>
        <w:t xml:space="preserve"> </w:t>
      </w:r>
      <w:r w:rsidRPr="00EA4DFA">
        <w:t>majetku,</w:t>
      </w:r>
      <w:r>
        <w:t xml:space="preserve"> </w:t>
      </w:r>
      <w:r w:rsidRPr="00EA4DFA">
        <w:t>s</w:t>
      </w:r>
      <w:r>
        <w:t xml:space="preserve"> </w:t>
      </w:r>
      <w:r w:rsidRPr="00EA4DFA">
        <w:t>nímž</w:t>
      </w:r>
      <w:r>
        <w:t xml:space="preserve"> </w:t>
      </w:r>
      <w:r w:rsidRPr="00EA4DFA">
        <w:t>má</w:t>
      </w:r>
      <w:r>
        <w:t xml:space="preserve"> </w:t>
      </w:r>
      <w:r w:rsidRPr="00EA4DFA">
        <w:t>podnik</w:t>
      </w:r>
      <w:r>
        <w:t xml:space="preserve"> </w:t>
      </w:r>
      <w:r w:rsidRPr="00EA4DFA">
        <w:t>právo</w:t>
      </w:r>
      <w:r>
        <w:t xml:space="preserve"> </w:t>
      </w:r>
      <w:r w:rsidRPr="00EA4DFA">
        <w:t>hospodařit</w:t>
      </w:r>
      <w:r>
        <w:t xml:space="preserve"> </w:t>
      </w:r>
      <w:r w:rsidRPr="00EA4DFA">
        <w:t>k</w:t>
      </w:r>
      <w:r>
        <w:t xml:space="preserve"> </w:t>
      </w:r>
      <w:r w:rsidRPr="00EA4DFA">
        <w:t>okamžiku</w:t>
      </w:r>
      <w:r>
        <w:t xml:space="preserve"> </w:t>
      </w:r>
      <w:r w:rsidRPr="00EA4DFA">
        <w:t>svého</w:t>
      </w:r>
      <w:r>
        <w:t xml:space="preserve"> </w:t>
      </w:r>
      <w:r w:rsidRPr="00EA4DFA">
        <w:t>založení</w:t>
      </w:r>
      <w:r>
        <w:t xml:space="preserve"> </w:t>
      </w:r>
      <w:r w:rsidRPr="00EA4DFA">
        <w:t>nebo</w:t>
      </w:r>
      <w:r>
        <w:t xml:space="preserve"> </w:t>
      </w:r>
      <w:r w:rsidRPr="00EA4DFA">
        <w:t>k</w:t>
      </w:r>
      <w:r>
        <w:t xml:space="preserve"> </w:t>
      </w:r>
      <w:r w:rsidRPr="00EA4DFA">
        <w:t>okamžiku</w:t>
      </w:r>
      <w:r>
        <w:t xml:space="preserve"> </w:t>
      </w:r>
      <w:r w:rsidRPr="00EA4DFA">
        <w:t>zápisu</w:t>
      </w:r>
      <w:r>
        <w:t xml:space="preserve"> </w:t>
      </w:r>
      <w:r w:rsidRPr="00EA4DFA">
        <w:t>změny</w:t>
      </w:r>
      <w:r>
        <w:t xml:space="preserve"> </w:t>
      </w:r>
      <w:r w:rsidRPr="00EA4DFA">
        <w:t>zakládací</w:t>
      </w:r>
      <w:r>
        <w:t xml:space="preserve"> </w:t>
      </w:r>
      <w:r w:rsidRPr="00EA4DFA">
        <w:t>listiny</w:t>
      </w:r>
      <w:r>
        <w:t xml:space="preserve"> </w:t>
      </w:r>
      <w:r w:rsidRPr="00EA4DFA">
        <w:t>do</w:t>
      </w:r>
      <w:r>
        <w:t xml:space="preserve"> </w:t>
      </w:r>
      <w:r w:rsidRPr="00EA4DFA">
        <w:t>obchodního</w:t>
      </w:r>
      <w:r>
        <w:t xml:space="preserve"> </w:t>
      </w:r>
      <w:r w:rsidRPr="00EA4DFA">
        <w:t>rejstříku,</w:t>
      </w:r>
      <w:r>
        <w:t xml:space="preserve"> </w:t>
      </w:r>
      <w:r w:rsidRPr="00EA4DFA">
        <w:t>nestanoví-li</w:t>
      </w:r>
      <w:r>
        <w:t xml:space="preserve"> </w:t>
      </w:r>
      <w:r w:rsidRPr="00EA4DFA">
        <w:t>tento</w:t>
      </w:r>
      <w:r>
        <w:t xml:space="preserve"> </w:t>
      </w:r>
      <w:r w:rsidRPr="00EA4DFA">
        <w:t>zákon</w:t>
      </w:r>
      <w:r>
        <w:t xml:space="preserve"> </w:t>
      </w:r>
      <w:r w:rsidRPr="00EA4DFA">
        <w:t>jinak,</w:t>
      </w:r>
    </w:p>
    <w:p w14:paraId="709280D3" w14:textId="4847C361" w:rsidR="00D031FB" w:rsidRDefault="00D031FB" w:rsidP="00B0390E">
      <w:pPr>
        <w:pStyle w:val="Textparagrafu"/>
        <w:tabs>
          <w:tab w:val="left" w:pos="406"/>
        </w:tabs>
        <w:spacing w:before="0"/>
        <w:ind w:left="426" w:hanging="426"/>
      </w:pPr>
      <w:r w:rsidRPr="00EA4DFA">
        <w:t>f)</w:t>
      </w:r>
      <w:r>
        <w:tab/>
      </w:r>
      <w:r w:rsidRPr="00EA4DFA">
        <w:t>do</w:t>
      </w:r>
      <w:r>
        <w:t xml:space="preserve"> </w:t>
      </w:r>
      <w:r w:rsidRPr="00EA4DFA">
        <w:t>3</w:t>
      </w:r>
      <w:r>
        <w:t xml:space="preserve"> </w:t>
      </w:r>
      <w:r w:rsidRPr="00EA4DFA">
        <w:t>měsíců</w:t>
      </w:r>
      <w:r>
        <w:t xml:space="preserve"> </w:t>
      </w:r>
      <w:r w:rsidRPr="00EA4DFA">
        <w:t>ode</w:t>
      </w:r>
      <w:r>
        <w:t xml:space="preserve"> </w:t>
      </w:r>
      <w:r w:rsidRPr="00EA4DFA">
        <w:t>dne</w:t>
      </w:r>
      <w:r>
        <w:t xml:space="preserve"> </w:t>
      </w:r>
      <w:r w:rsidRPr="00EA4DFA">
        <w:t>zápisu</w:t>
      </w:r>
      <w:r>
        <w:t xml:space="preserve"> </w:t>
      </w:r>
      <w:r w:rsidRPr="00EA4DFA">
        <w:t>podniku</w:t>
      </w:r>
      <w:r>
        <w:t xml:space="preserve"> </w:t>
      </w:r>
      <w:r w:rsidRPr="00EA4DFA">
        <w:t>do</w:t>
      </w:r>
      <w:r>
        <w:t xml:space="preserve"> </w:t>
      </w:r>
      <w:r w:rsidRPr="00EA4DFA">
        <w:t>obchodního</w:t>
      </w:r>
      <w:r>
        <w:t xml:space="preserve"> </w:t>
      </w:r>
      <w:r w:rsidRPr="00EA4DFA">
        <w:t>rejstříku</w:t>
      </w:r>
      <w:r>
        <w:t xml:space="preserve"> </w:t>
      </w:r>
      <w:r w:rsidRPr="00EA4DFA">
        <w:t>vydá</w:t>
      </w:r>
      <w:r>
        <w:t xml:space="preserve"> </w:t>
      </w:r>
      <w:r w:rsidRPr="00EA4DFA">
        <w:t>statut</w:t>
      </w:r>
      <w:r>
        <w:t xml:space="preserve"> </w:t>
      </w:r>
      <w:r w:rsidRPr="00EA4DFA">
        <w:t>podniku,</w:t>
      </w:r>
      <w:r>
        <w:t xml:space="preserve"> </w:t>
      </w:r>
      <w:r w:rsidRPr="00EA4DFA">
        <w:t>v</w:t>
      </w:r>
      <w:r>
        <w:t xml:space="preserve"> </w:t>
      </w:r>
      <w:r w:rsidRPr="00EA4DFA">
        <w:t>němž</w:t>
      </w:r>
      <w:r>
        <w:t xml:space="preserve"> </w:t>
      </w:r>
      <w:r w:rsidRPr="00EA4DFA">
        <w:t>určí,</w:t>
      </w:r>
      <w:r>
        <w:t xml:space="preserve"> </w:t>
      </w:r>
      <w:r w:rsidRPr="00EA4DFA">
        <w:t>ve</w:t>
      </w:r>
      <w:r>
        <w:t xml:space="preserve"> </w:t>
      </w:r>
      <w:r w:rsidRPr="00EA4DFA">
        <w:t>kterých</w:t>
      </w:r>
      <w:r>
        <w:t xml:space="preserve"> </w:t>
      </w:r>
      <w:r w:rsidRPr="00EA4DFA">
        <w:t>dalších</w:t>
      </w:r>
      <w:r>
        <w:t xml:space="preserve"> </w:t>
      </w:r>
      <w:r w:rsidRPr="00EA4DFA">
        <w:t>případech</w:t>
      </w:r>
      <w:r>
        <w:t xml:space="preserve"> </w:t>
      </w:r>
      <w:r w:rsidRPr="00EA4DFA">
        <w:t>vyžaduje</w:t>
      </w:r>
      <w:r>
        <w:t xml:space="preserve"> </w:t>
      </w:r>
      <w:r w:rsidRPr="00EA4DFA">
        <w:t>jednání</w:t>
      </w:r>
      <w:r>
        <w:t xml:space="preserve"> </w:t>
      </w:r>
      <w:r w:rsidRPr="00EA4DFA">
        <w:t>ředitele</w:t>
      </w:r>
      <w:r>
        <w:t xml:space="preserve"> </w:t>
      </w:r>
      <w:r w:rsidRPr="00EA4DFA">
        <w:t>předchozí</w:t>
      </w:r>
      <w:r>
        <w:t xml:space="preserve"> </w:t>
      </w:r>
      <w:r w:rsidRPr="00EA4DFA">
        <w:t>souhlas</w:t>
      </w:r>
      <w:r>
        <w:t xml:space="preserve"> </w:t>
      </w:r>
      <w:r w:rsidRPr="00EA4DFA">
        <w:t>dozorčí</w:t>
      </w:r>
      <w:r>
        <w:t xml:space="preserve"> </w:t>
      </w:r>
      <w:r w:rsidRPr="00EA4DFA">
        <w:t>rady;</w:t>
      </w:r>
      <w:r>
        <w:t xml:space="preserve"> </w:t>
      </w:r>
      <w:r w:rsidRPr="00EA4DFA">
        <w:t>statut</w:t>
      </w:r>
      <w:r>
        <w:t xml:space="preserve"> </w:t>
      </w:r>
      <w:r w:rsidRPr="00EA4DFA">
        <w:t>dále</w:t>
      </w:r>
      <w:r>
        <w:t xml:space="preserve"> </w:t>
      </w:r>
      <w:r w:rsidRPr="00EA4DFA">
        <w:t>obsahuje</w:t>
      </w:r>
      <w:r>
        <w:t xml:space="preserve"> </w:t>
      </w:r>
      <w:r w:rsidRPr="00EA4DFA">
        <w:t>pravidla</w:t>
      </w:r>
      <w:r>
        <w:t xml:space="preserve"> </w:t>
      </w:r>
      <w:r w:rsidRPr="00EA4DFA">
        <w:t>usměrňování</w:t>
      </w:r>
      <w:r>
        <w:t xml:space="preserve"> </w:t>
      </w:r>
      <w:r w:rsidRPr="00EA4DFA">
        <w:t>hospodářské</w:t>
      </w:r>
      <w:r>
        <w:t xml:space="preserve"> </w:t>
      </w:r>
      <w:r w:rsidRPr="00EA4DFA">
        <w:t>činnosti</w:t>
      </w:r>
      <w:r>
        <w:t xml:space="preserve"> </w:t>
      </w:r>
      <w:r w:rsidRPr="00EA4DFA">
        <w:t>podniku,</w:t>
      </w:r>
      <w:r>
        <w:t xml:space="preserve"> </w:t>
      </w:r>
      <w:r w:rsidRPr="00EA4DFA">
        <w:t>pravidla</w:t>
      </w:r>
      <w:r>
        <w:t xml:space="preserve"> </w:t>
      </w:r>
      <w:r w:rsidRPr="00EA4DFA">
        <w:t>kontrolní</w:t>
      </w:r>
      <w:r>
        <w:t xml:space="preserve"> </w:t>
      </w:r>
      <w:r w:rsidRPr="00EA4DFA">
        <w:t>činnosti</w:t>
      </w:r>
      <w:r>
        <w:t xml:space="preserve"> </w:t>
      </w:r>
      <w:r w:rsidRPr="00EA4DFA">
        <w:t>zakladatele</w:t>
      </w:r>
      <w:r>
        <w:t xml:space="preserve"> </w:t>
      </w:r>
      <w:r w:rsidRPr="00EA4DFA">
        <w:t>a</w:t>
      </w:r>
      <w:r>
        <w:t xml:space="preserve"> </w:t>
      </w:r>
      <w:r w:rsidRPr="00EA4DFA">
        <w:t>zásady</w:t>
      </w:r>
      <w:r>
        <w:t xml:space="preserve"> </w:t>
      </w:r>
      <w:r w:rsidRPr="00EA4DFA">
        <w:t>nakládání</w:t>
      </w:r>
      <w:r>
        <w:t xml:space="preserve"> </w:t>
      </w:r>
      <w:r w:rsidRPr="00EA4DFA">
        <w:t>s</w:t>
      </w:r>
      <w:r>
        <w:t xml:space="preserve"> </w:t>
      </w:r>
      <w:r w:rsidRPr="00EA4DFA">
        <w:t>majetkem</w:t>
      </w:r>
      <w:r>
        <w:t xml:space="preserve"> </w:t>
      </w:r>
      <w:r w:rsidRPr="00EA4DFA">
        <w:t>podniku,</w:t>
      </w:r>
    </w:p>
    <w:p w14:paraId="3F652214" w14:textId="086F6DA0" w:rsidR="00D031FB" w:rsidRDefault="00D031FB" w:rsidP="00B0390E">
      <w:pPr>
        <w:pStyle w:val="Textparagrafu"/>
        <w:tabs>
          <w:tab w:val="left" w:pos="406"/>
        </w:tabs>
        <w:spacing w:before="0"/>
        <w:ind w:left="426" w:hanging="426"/>
      </w:pPr>
      <w:r w:rsidRPr="00EA4DFA">
        <w:t>g)</w:t>
      </w:r>
      <w:r>
        <w:tab/>
      </w:r>
      <w:r w:rsidRPr="00EA4DFA">
        <w:t>má</w:t>
      </w:r>
      <w:r>
        <w:t xml:space="preserve"> </w:t>
      </w:r>
      <w:r w:rsidRPr="00EA4DFA">
        <w:t>právo</w:t>
      </w:r>
      <w:r>
        <w:t xml:space="preserve"> </w:t>
      </w:r>
      <w:r w:rsidRPr="00EA4DFA">
        <w:t>a</w:t>
      </w:r>
      <w:r>
        <w:t xml:space="preserve"> </w:t>
      </w:r>
      <w:r w:rsidRPr="00EA4DFA">
        <w:t>povinnost</w:t>
      </w:r>
      <w:r>
        <w:t xml:space="preserve"> </w:t>
      </w:r>
      <w:r w:rsidRPr="00EA4DFA">
        <w:t>požadovat</w:t>
      </w:r>
      <w:r>
        <w:t xml:space="preserve"> </w:t>
      </w:r>
      <w:r w:rsidRPr="00EA4DFA">
        <w:t>informace</w:t>
      </w:r>
      <w:r>
        <w:t xml:space="preserve"> </w:t>
      </w:r>
      <w:r w:rsidRPr="00EA4DFA">
        <w:t>o</w:t>
      </w:r>
      <w:r>
        <w:t xml:space="preserve"> </w:t>
      </w:r>
      <w:r w:rsidRPr="00EA4DFA">
        <w:t>hospodářské</w:t>
      </w:r>
      <w:r>
        <w:t xml:space="preserve"> </w:t>
      </w:r>
      <w:r w:rsidRPr="00EA4DFA">
        <w:t>činnosti</w:t>
      </w:r>
      <w:r>
        <w:t xml:space="preserve"> </w:t>
      </w:r>
      <w:r w:rsidRPr="00EA4DFA">
        <w:t>a</w:t>
      </w:r>
      <w:r>
        <w:t xml:space="preserve"> </w:t>
      </w:r>
      <w:r w:rsidRPr="00EA4DFA">
        <w:t>stavu</w:t>
      </w:r>
      <w:r>
        <w:t xml:space="preserve"> </w:t>
      </w:r>
      <w:r w:rsidRPr="00EA4DFA">
        <w:t>majetku</w:t>
      </w:r>
      <w:r>
        <w:t xml:space="preserve"> </w:t>
      </w:r>
      <w:r w:rsidRPr="00EA4DFA">
        <w:t>podniku</w:t>
      </w:r>
      <w:r>
        <w:t xml:space="preserve"> </w:t>
      </w:r>
      <w:r w:rsidRPr="00EA4DFA">
        <w:t>a</w:t>
      </w:r>
      <w:r>
        <w:t xml:space="preserve"> </w:t>
      </w:r>
      <w:r w:rsidRPr="00EA4DFA">
        <w:t>na</w:t>
      </w:r>
      <w:r>
        <w:t xml:space="preserve"> </w:t>
      </w:r>
      <w:r w:rsidRPr="00EA4DFA">
        <w:t>kontrolu</w:t>
      </w:r>
      <w:r>
        <w:t xml:space="preserve"> </w:t>
      </w:r>
      <w:r w:rsidRPr="00EA4DFA">
        <w:t>a</w:t>
      </w:r>
      <w:r>
        <w:t xml:space="preserve"> </w:t>
      </w:r>
      <w:r w:rsidRPr="00EA4DFA">
        <w:t>ověřování</w:t>
      </w:r>
      <w:r>
        <w:t xml:space="preserve"> </w:t>
      </w:r>
      <w:r w:rsidRPr="00EA4DFA">
        <w:t>těchto</w:t>
      </w:r>
      <w:r>
        <w:t xml:space="preserve"> </w:t>
      </w:r>
      <w:r w:rsidRPr="00EA4DFA">
        <w:t>informací</w:t>
      </w:r>
      <w:r>
        <w:t xml:space="preserve"> </w:t>
      </w:r>
      <w:r w:rsidRPr="00EA4DFA">
        <w:t>způsobem</w:t>
      </w:r>
      <w:r>
        <w:t xml:space="preserve"> </w:t>
      </w:r>
      <w:r w:rsidRPr="00EA4DFA">
        <w:t>stanoveným</w:t>
      </w:r>
      <w:r>
        <w:t xml:space="preserve"> </w:t>
      </w:r>
      <w:r w:rsidRPr="00EA4DFA">
        <w:t>zvláštním</w:t>
      </w:r>
      <w:r>
        <w:t xml:space="preserve"> </w:t>
      </w:r>
      <w:r w:rsidRPr="00EA4DFA">
        <w:t>předpisem,</w:t>
      </w:r>
      <w:r w:rsidR="001F34DF">
        <w:rPr>
          <w:rStyle w:val="Znakapoznpodarou"/>
        </w:rPr>
        <w:footnoteReference w:customMarkFollows="1" w:id="244"/>
        <w:t>11)</w:t>
      </w:r>
    </w:p>
    <w:p w14:paraId="25D923D2" w14:textId="1173BD2F" w:rsidR="00D031FB" w:rsidRDefault="00D031FB" w:rsidP="00B0390E">
      <w:pPr>
        <w:pStyle w:val="Textparagrafu"/>
        <w:tabs>
          <w:tab w:val="left" w:pos="406"/>
        </w:tabs>
        <w:spacing w:before="0"/>
        <w:ind w:left="426" w:hanging="426"/>
      </w:pPr>
      <w:r w:rsidRPr="00EA4DFA">
        <w:t>h)</w:t>
      </w:r>
      <w:r>
        <w:tab/>
      </w:r>
      <w:r w:rsidRPr="00EA4DFA">
        <w:t>kontroluje,</w:t>
      </w:r>
      <w:r>
        <w:t xml:space="preserve"> </w:t>
      </w:r>
      <w:r w:rsidRPr="00EA4DFA">
        <w:t>zda</w:t>
      </w:r>
      <w:r>
        <w:t xml:space="preserve"> </w:t>
      </w:r>
      <w:r w:rsidRPr="00EA4DFA">
        <w:t>potřeby</w:t>
      </w:r>
      <w:r>
        <w:t xml:space="preserve"> </w:t>
      </w:r>
      <w:r w:rsidRPr="00EA4DFA">
        <w:t>státu,</w:t>
      </w:r>
      <w:r>
        <w:t xml:space="preserve"> </w:t>
      </w:r>
      <w:r w:rsidRPr="00EA4DFA">
        <w:t>které</w:t>
      </w:r>
      <w:r>
        <w:t xml:space="preserve"> </w:t>
      </w:r>
      <w:r w:rsidRPr="00EA4DFA">
        <w:t>podnik</w:t>
      </w:r>
      <w:r>
        <w:t xml:space="preserve"> </w:t>
      </w:r>
      <w:r w:rsidRPr="00EA4DFA">
        <w:t>svou</w:t>
      </w:r>
      <w:r>
        <w:t xml:space="preserve"> </w:t>
      </w:r>
      <w:r w:rsidRPr="00EA4DFA">
        <w:t>podnikatelskou</w:t>
      </w:r>
      <w:r>
        <w:t xml:space="preserve"> </w:t>
      </w:r>
      <w:r w:rsidRPr="00EA4DFA">
        <w:t>činností</w:t>
      </w:r>
      <w:r>
        <w:t xml:space="preserve"> </w:t>
      </w:r>
      <w:r w:rsidRPr="00EA4DFA">
        <w:t>zabezpečuje,</w:t>
      </w:r>
      <w:r>
        <w:t xml:space="preserve"> </w:t>
      </w:r>
      <w:r w:rsidRPr="00EA4DFA">
        <w:t>jsou</w:t>
      </w:r>
      <w:r>
        <w:t xml:space="preserve"> </w:t>
      </w:r>
      <w:r w:rsidRPr="00EA4DFA">
        <w:t>zajišťovány</w:t>
      </w:r>
      <w:r>
        <w:t xml:space="preserve"> </w:t>
      </w:r>
      <w:r w:rsidRPr="00EA4DFA">
        <w:t>účelně</w:t>
      </w:r>
      <w:r>
        <w:t xml:space="preserve"> </w:t>
      </w:r>
      <w:r w:rsidRPr="00EA4DFA">
        <w:t>a</w:t>
      </w:r>
      <w:r>
        <w:t xml:space="preserve"> </w:t>
      </w:r>
      <w:r w:rsidRPr="00EA4DFA">
        <w:t>hospodárně,</w:t>
      </w:r>
    </w:p>
    <w:p w14:paraId="163FFEDE" w14:textId="5490F8EA" w:rsidR="00D031FB" w:rsidRDefault="00D031FB" w:rsidP="00B0390E">
      <w:pPr>
        <w:pStyle w:val="Textparagrafu"/>
        <w:tabs>
          <w:tab w:val="left" w:pos="406"/>
        </w:tabs>
        <w:spacing w:before="0"/>
        <w:ind w:left="426" w:hanging="426"/>
      </w:pPr>
      <w:r w:rsidRPr="00EA4DFA">
        <w:t>i)</w:t>
      </w:r>
      <w:r>
        <w:tab/>
      </w:r>
      <w:r w:rsidRPr="00EA4DFA">
        <w:t>schvaluje</w:t>
      </w:r>
      <w:r>
        <w:t xml:space="preserve"> </w:t>
      </w:r>
      <w:r w:rsidR="001B784C" w:rsidRPr="001B784C">
        <w:rPr>
          <w:b/>
        </w:rPr>
        <w:t>řádnou</w:t>
      </w:r>
      <w:r w:rsidR="001B784C">
        <w:t xml:space="preserve"> </w:t>
      </w:r>
      <w:r w:rsidRPr="00EA4DFA">
        <w:t>účetní</w:t>
      </w:r>
      <w:r>
        <w:t xml:space="preserve"> </w:t>
      </w:r>
      <w:r w:rsidRPr="00EA4DFA">
        <w:t>závěrku</w:t>
      </w:r>
      <w:r>
        <w:t xml:space="preserve"> </w:t>
      </w:r>
      <w:r w:rsidRPr="00EA4DFA">
        <w:t>a</w:t>
      </w:r>
      <w:r>
        <w:t xml:space="preserve"> </w:t>
      </w:r>
      <w:r w:rsidRPr="001B784C">
        <w:rPr>
          <w:strike/>
        </w:rPr>
        <w:t>výroční zprávu</w:t>
      </w:r>
      <w:r w:rsidR="001B784C">
        <w:t xml:space="preserve"> </w:t>
      </w:r>
      <w:proofErr w:type="spellStart"/>
      <w:r w:rsidR="001B784C">
        <w:rPr>
          <w:b/>
        </w:rPr>
        <w:t>zprávu</w:t>
      </w:r>
      <w:proofErr w:type="spellEnd"/>
      <w:r w:rsidR="001B784C">
        <w:rPr>
          <w:b/>
        </w:rPr>
        <w:t xml:space="preserve"> vedení</w:t>
      </w:r>
      <w:r w:rsidRPr="00EA4DFA">
        <w:t>,</w:t>
      </w:r>
      <w:r>
        <w:t xml:space="preserve"> </w:t>
      </w:r>
      <w:r w:rsidRPr="00EA4DFA">
        <w:t>rozhoduje</w:t>
      </w:r>
      <w:r>
        <w:t xml:space="preserve"> </w:t>
      </w:r>
      <w:r w:rsidRPr="00EA4DFA">
        <w:t>o</w:t>
      </w:r>
      <w:r>
        <w:t xml:space="preserve"> </w:t>
      </w:r>
      <w:r w:rsidRPr="00EA4DFA">
        <w:t>rozdělení</w:t>
      </w:r>
      <w:r>
        <w:t xml:space="preserve"> </w:t>
      </w:r>
      <w:r w:rsidRPr="00EA4DFA">
        <w:t>použitelného</w:t>
      </w:r>
      <w:r>
        <w:t xml:space="preserve"> </w:t>
      </w:r>
      <w:r w:rsidRPr="00EA4DFA">
        <w:t>zisku</w:t>
      </w:r>
      <w:r>
        <w:t xml:space="preserve"> </w:t>
      </w:r>
      <w:r w:rsidRPr="00EA4DFA">
        <w:t>(vypořádání</w:t>
      </w:r>
      <w:r>
        <w:t xml:space="preserve"> </w:t>
      </w:r>
      <w:r w:rsidRPr="00EA4DFA">
        <w:t>ztráty);</w:t>
      </w:r>
      <w:r>
        <w:t xml:space="preserve"> </w:t>
      </w:r>
      <w:r w:rsidRPr="00EA4DFA">
        <w:t>je-li</w:t>
      </w:r>
      <w:r>
        <w:t xml:space="preserve"> </w:t>
      </w:r>
      <w:r w:rsidRPr="00EA4DFA">
        <w:t>rozhodnuto</w:t>
      </w:r>
      <w:r>
        <w:t xml:space="preserve"> </w:t>
      </w:r>
      <w:r w:rsidRPr="00EA4DFA">
        <w:t>o</w:t>
      </w:r>
      <w:r>
        <w:t xml:space="preserve"> </w:t>
      </w:r>
      <w:r w:rsidRPr="00EA4DFA">
        <w:t>vytvoření</w:t>
      </w:r>
      <w:r>
        <w:t xml:space="preserve"> </w:t>
      </w:r>
      <w:r w:rsidRPr="00EA4DFA">
        <w:t>fondu</w:t>
      </w:r>
      <w:r>
        <w:t xml:space="preserve"> </w:t>
      </w:r>
      <w:r w:rsidRPr="00EA4DFA">
        <w:t>zakladatele</w:t>
      </w:r>
      <w:r>
        <w:t xml:space="preserve"> </w:t>
      </w:r>
      <w:r w:rsidRPr="00EA4DFA">
        <w:t>podle</w:t>
      </w:r>
      <w:r>
        <w:t xml:space="preserve"> </w:t>
      </w:r>
      <w:r w:rsidRPr="00EA4DFA">
        <w:t>§</w:t>
      </w:r>
      <w:r>
        <w:t xml:space="preserve"> </w:t>
      </w:r>
      <w:r w:rsidRPr="00EA4DFA">
        <w:t>19</w:t>
      </w:r>
      <w:r>
        <w:t xml:space="preserve"> </w:t>
      </w:r>
      <w:r w:rsidRPr="00EA4DFA">
        <w:t>odst.</w:t>
      </w:r>
      <w:r>
        <w:t xml:space="preserve"> </w:t>
      </w:r>
      <w:r w:rsidRPr="00EA4DFA">
        <w:t>1</w:t>
      </w:r>
      <w:r>
        <w:t xml:space="preserve"> </w:t>
      </w:r>
      <w:r w:rsidRPr="00EA4DFA">
        <w:t>písm.</w:t>
      </w:r>
      <w:r>
        <w:t xml:space="preserve"> </w:t>
      </w:r>
      <w:r w:rsidRPr="00EA4DFA">
        <w:t>c)</w:t>
      </w:r>
      <w:r>
        <w:t xml:space="preserve"> </w:t>
      </w:r>
      <w:r w:rsidRPr="00EA4DFA">
        <w:t>a</w:t>
      </w:r>
      <w:r>
        <w:t xml:space="preserve"> </w:t>
      </w:r>
      <w:r w:rsidRPr="00EA4DFA">
        <w:t>§</w:t>
      </w:r>
      <w:r>
        <w:t xml:space="preserve"> </w:t>
      </w:r>
      <w:r w:rsidRPr="00EA4DFA">
        <w:t>19</w:t>
      </w:r>
      <w:r>
        <w:t xml:space="preserve"> </w:t>
      </w:r>
      <w:r w:rsidRPr="00EA4DFA">
        <w:t>odst.</w:t>
      </w:r>
      <w:r>
        <w:t xml:space="preserve"> </w:t>
      </w:r>
      <w:r w:rsidRPr="00EA4DFA">
        <w:t>4,</w:t>
      </w:r>
      <w:r>
        <w:t xml:space="preserve"> </w:t>
      </w:r>
      <w:r w:rsidRPr="00EA4DFA">
        <w:t>zakladatel</w:t>
      </w:r>
      <w:r>
        <w:t xml:space="preserve"> </w:t>
      </w:r>
      <w:r w:rsidRPr="00EA4DFA">
        <w:t>rozhoduje</w:t>
      </w:r>
      <w:r>
        <w:t xml:space="preserve"> </w:t>
      </w:r>
      <w:r w:rsidRPr="00EA4DFA">
        <w:t>každoročně</w:t>
      </w:r>
      <w:r>
        <w:t xml:space="preserve"> </w:t>
      </w:r>
      <w:r w:rsidRPr="00EA4DFA">
        <w:t>o</w:t>
      </w:r>
      <w:r>
        <w:t xml:space="preserve"> </w:t>
      </w:r>
      <w:r w:rsidRPr="00EA4DFA">
        <w:t>tom,</w:t>
      </w:r>
      <w:r>
        <w:t xml:space="preserve"> </w:t>
      </w:r>
      <w:r w:rsidRPr="00EA4DFA">
        <w:t>jaká</w:t>
      </w:r>
      <w:r>
        <w:t xml:space="preserve"> </w:t>
      </w:r>
      <w:r w:rsidRPr="00EA4DFA">
        <w:t>část</w:t>
      </w:r>
      <w:r>
        <w:t xml:space="preserve"> </w:t>
      </w:r>
      <w:r w:rsidRPr="00EA4DFA">
        <w:t>použitelného</w:t>
      </w:r>
      <w:r>
        <w:t xml:space="preserve"> </w:t>
      </w:r>
      <w:r w:rsidRPr="00EA4DFA">
        <w:t>zisku</w:t>
      </w:r>
      <w:r>
        <w:t xml:space="preserve"> </w:t>
      </w:r>
      <w:r w:rsidRPr="00EA4DFA">
        <w:t>podniku,</w:t>
      </w:r>
      <w:r>
        <w:t xml:space="preserve"> </w:t>
      </w:r>
      <w:r w:rsidRPr="00EA4DFA">
        <w:t>nerozděleného</w:t>
      </w:r>
      <w:r>
        <w:t xml:space="preserve"> </w:t>
      </w:r>
      <w:r w:rsidRPr="00EA4DFA">
        <w:t>zisku</w:t>
      </w:r>
      <w:r>
        <w:t xml:space="preserve"> </w:t>
      </w:r>
      <w:r w:rsidRPr="00EA4DFA">
        <w:t>minulých</w:t>
      </w:r>
      <w:r>
        <w:t xml:space="preserve"> </w:t>
      </w:r>
      <w:r w:rsidRPr="00EA4DFA">
        <w:t>let</w:t>
      </w:r>
      <w:r>
        <w:t xml:space="preserve"> </w:t>
      </w:r>
      <w:r w:rsidRPr="00EA4DFA">
        <w:t>a</w:t>
      </w:r>
      <w:r>
        <w:t xml:space="preserve"> </w:t>
      </w:r>
      <w:r w:rsidRPr="00EA4DFA">
        <w:t>fondů</w:t>
      </w:r>
      <w:r>
        <w:t xml:space="preserve"> </w:t>
      </w:r>
      <w:r w:rsidRPr="00EA4DFA">
        <w:t>podniku,</w:t>
      </w:r>
      <w:r>
        <w:t xml:space="preserve"> </w:t>
      </w:r>
      <w:r w:rsidRPr="00EA4DFA">
        <w:t>s</w:t>
      </w:r>
      <w:r>
        <w:t xml:space="preserve"> </w:t>
      </w:r>
      <w:r w:rsidRPr="00EA4DFA">
        <w:lastRenderedPageBreak/>
        <w:t>výjimkou</w:t>
      </w:r>
      <w:r>
        <w:t xml:space="preserve"> </w:t>
      </w:r>
      <w:r w:rsidRPr="00EA4DFA">
        <w:t>fondů</w:t>
      </w:r>
      <w:r>
        <w:t xml:space="preserve"> </w:t>
      </w:r>
      <w:r w:rsidRPr="00EA4DFA">
        <w:t>vytvořených</w:t>
      </w:r>
      <w:r>
        <w:t xml:space="preserve"> </w:t>
      </w:r>
      <w:r w:rsidRPr="00EA4DFA">
        <w:t>podle</w:t>
      </w:r>
      <w:r>
        <w:t xml:space="preserve"> </w:t>
      </w:r>
      <w:r w:rsidRPr="00EA4DFA">
        <w:t>§</w:t>
      </w:r>
      <w:r>
        <w:t xml:space="preserve"> </w:t>
      </w:r>
      <w:r w:rsidRPr="00EA4DFA">
        <w:t>19</w:t>
      </w:r>
      <w:r>
        <w:t xml:space="preserve"> </w:t>
      </w:r>
      <w:r w:rsidRPr="00EA4DFA">
        <w:t>odst.</w:t>
      </w:r>
      <w:r>
        <w:t xml:space="preserve"> </w:t>
      </w:r>
      <w:r w:rsidRPr="00EA4DFA">
        <w:t>1</w:t>
      </w:r>
      <w:r>
        <w:t xml:space="preserve"> </w:t>
      </w:r>
      <w:r w:rsidRPr="00EA4DFA">
        <w:t>písm.</w:t>
      </w:r>
      <w:r>
        <w:t xml:space="preserve"> </w:t>
      </w:r>
      <w:r w:rsidRPr="00EA4DFA">
        <w:t>a)</w:t>
      </w:r>
      <w:r>
        <w:t xml:space="preserve"> </w:t>
      </w:r>
      <w:r w:rsidRPr="00EA4DFA">
        <w:t>a</w:t>
      </w:r>
      <w:r>
        <w:t xml:space="preserve"> </w:t>
      </w:r>
      <w:r w:rsidRPr="00EA4DFA">
        <w:t>b),</w:t>
      </w:r>
      <w:r>
        <w:t xml:space="preserve"> </w:t>
      </w:r>
      <w:r w:rsidRPr="00EA4DFA">
        <w:t>se</w:t>
      </w:r>
      <w:r>
        <w:t xml:space="preserve"> </w:t>
      </w:r>
      <w:r w:rsidRPr="00EA4DFA">
        <w:t>v</w:t>
      </w:r>
      <w:r>
        <w:t xml:space="preserve"> </w:t>
      </w:r>
      <w:r w:rsidRPr="00EA4DFA">
        <w:t>příslušném</w:t>
      </w:r>
      <w:r>
        <w:t xml:space="preserve"> </w:t>
      </w:r>
      <w:r w:rsidRPr="00EA4DFA">
        <w:t>kalendářním</w:t>
      </w:r>
      <w:r>
        <w:t xml:space="preserve"> </w:t>
      </w:r>
      <w:r w:rsidRPr="00EA4DFA">
        <w:t>roce</w:t>
      </w:r>
      <w:r>
        <w:t xml:space="preserve"> </w:t>
      </w:r>
      <w:r w:rsidRPr="00EA4DFA">
        <w:t>přidělí</w:t>
      </w:r>
      <w:r>
        <w:t xml:space="preserve"> </w:t>
      </w:r>
      <w:r w:rsidRPr="00EA4DFA">
        <w:t>do</w:t>
      </w:r>
      <w:r>
        <w:t xml:space="preserve"> </w:t>
      </w:r>
      <w:r w:rsidRPr="00EA4DFA">
        <w:t>tohoto</w:t>
      </w:r>
      <w:r>
        <w:t xml:space="preserve"> </w:t>
      </w:r>
      <w:r w:rsidRPr="00EA4DFA">
        <w:t>fondu,</w:t>
      </w:r>
    </w:p>
    <w:p w14:paraId="30213A61" w14:textId="652D695A" w:rsidR="00D031FB" w:rsidRDefault="00D031FB" w:rsidP="00B0390E">
      <w:pPr>
        <w:pStyle w:val="Textparagrafu"/>
        <w:tabs>
          <w:tab w:val="left" w:pos="406"/>
        </w:tabs>
        <w:spacing w:before="0"/>
        <w:ind w:left="426" w:hanging="426"/>
      </w:pPr>
      <w:r w:rsidRPr="00EA4DFA">
        <w:t>j)</w:t>
      </w:r>
      <w:r>
        <w:tab/>
      </w:r>
      <w:r w:rsidRPr="00EA4DFA">
        <w:t>přebírá</w:t>
      </w:r>
      <w:r>
        <w:t xml:space="preserve"> </w:t>
      </w:r>
      <w:r w:rsidRPr="00EA4DFA">
        <w:t>likvidační</w:t>
      </w:r>
      <w:r>
        <w:t xml:space="preserve"> </w:t>
      </w:r>
      <w:r w:rsidRPr="00EA4DFA">
        <w:t>zůstatek</w:t>
      </w:r>
      <w:r>
        <w:t xml:space="preserve"> </w:t>
      </w:r>
      <w:r w:rsidRPr="00EA4DFA">
        <w:t>v</w:t>
      </w:r>
      <w:r>
        <w:t xml:space="preserve"> </w:t>
      </w:r>
      <w:r w:rsidRPr="00EA4DFA">
        <w:t>případě</w:t>
      </w:r>
      <w:r>
        <w:t xml:space="preserve"> </w:t>
      </w:r>
      <w:r w:rsidRPr="00EA4DFA">
        <w:t>zrušení</w:t>
      </w:r>
      <w:r>
        <w:t xml:space="preserve"> </w:t>
      </w:r>
      <w:r w:rsidRPr="00EA4DFA">
        <w:t>podniku</w:t>
      </w:r>
      <w:r>
        <w:t xml:space="preserve"> </w:t>
      </w:r>
      <w:r w:rsidRPr="00EA4DFA">
        <w:t>s</w:t>
      </w:r>
      <w:r>
        <w:t xml:space="preserve"> </w:t>
      </w:r>
      <w:r w:rsidRPr="00EA4DFA">
        <w:t>likvidací;</w:t>
      </w:r>
      <w:r>
        <w:t xml:space="preserve"> </w:t>
      </w:r>
      <w:r w:rsidRPr="00EA4DFA">
        <w:t>tento</w:t>
      </w:r>
      <w:r>
        <w:t xml:space="preserve"> </w:t>
      </w:r>
      <w:r w:rsidRPr="00EA4DFA">
        <w:t>zůstatek</w:t>
      </w:r>
      <w:r>
        <w:t xml:space="preserve"> </w:t>
      </w:r>
      <w:r w:rsidRPr="00EA4DFA">
        <w:t>je</w:t>
      </w:r>
      <w:r>
        <w:t xml:space="preserve"> </w:t>
      </w:r>
      <w:r w:rsidRPr="00EA4DFA">
        <w:t>povinen</w:t>
      </w:r>
      <w:r>
        <w:t xml:space="preserve"> </w:t>
      </w:r>
      <w:r w:rsidRPr="00EA4DFA">
        <w:t>bez</w:t>
      </w:r>
      <w:r>
        <w:t xml:space="preserve"> </w:t>
      </w:r>
      <w:r w:rsidRPr="00EA4DFA">
        <w:t>zbytečného</w:t>
      </w:r>
      <w:r>
        <w:t xml:space="preserve"> </w:t>
      </w:r>
      <w:r w:rsidRPr="00EA4DFA">
        <w:t>odkladu</w:t>
      </w:r>
      <w:r>
        <w:t xml:space="preserve"> </w:t>
      </w:r>
      <w:r w:rsidRPr="00EA4DFA">
        <w:t>převést</w:t>
      </w:r>
      <w:r>
        <w:t xml:space="preserve"> </w:t>
      </w:r>
      <w:r w:rsidRPr="00EA4DFA">
        <w:t>do</w:t>
      </w:r>
      <w:r>
        <w:t xml:space="preserve"> </w:t>
      </w:r>
      <w:r w:rsidRPr="00EA4DFA">
        <w:t>státních</w:t>
      </w:r>
      <w:r>
        <w:t xml:space="preserve"> </w:t>
      </w:r>
      <w:r w:rsidRPr="00EA4DFA">
        <w:t>finančních</w:t>
      </w:r>
      <w:r>
        <w:t xml:space="preserve"> </w:t>
      </w:r>
      <w:r w:rsidRPr="00EA4DFA">
        <w:t>aktiv,</w:t>
      </w:r>
    </w:p>
    <w:p w14:paraId="05C969C4" w14:textId="2E465E8B" w:rsidR="00D031FB" w:rsidRDefault="00D031FB" w:rsidP="00B0390E">
      <w:pPr>
        <w:pStyle w:val="Textparagrafu"/>
        <w:tabs>
          <w:tab w:val="left" w:pos="406"/>
        </w:tabs>
        <w:spacing w:before="0"/>
        <w:ind w:left="426" w:hanging="426"/>
      </w:pPr>
      <w:r w:rsidRPr="00EA4DFA">
        <w:t>k)</w:t>
      </w:r>
      <w:r>
        <w:tab/>
      </w:r>
      <w:r w:rsidRPr="00EA4DFA">
        <w:t>rozhoduje</w:t>
      </w:r>
      <w:r>
        <w:t xml:space="preserve"> </w:t>
      </w:r>
      <w:r w:rsidRPr="00EA4DFA">
        <w:t>o</w:t>
      </w:r>
      <w:r>
        <w:t xml:space="preserve"> </w:t>
      </w:r>
      <w:r w:rsidRPr="00EA4DFA">
        <w:t>použití</w:t>
      </w:r>
      <w:r>
        <w:t xml:space="preserve"> </w:t>
      </w:r>
      <w:r w:rsidRPr="00EA4DFA">
        <w:t>finančních</w:t>
      </w:r>
      <w:r>
        <w:t xml:space="preserve"> </w:t>
      </w:r>
      <w:r w:rsidRPr="00EA4DFA">
        <w:t>prostředků</w:t>
      </w:r>
      <w:r>
        <w:t xml:space="preserve"> </w:t>
      </w:r>
      <w:r w:rsidRPr="00EA4DFA">
        <w:t>z</w:t>
      </w:r>
      <w:r>
        <w:t xml:space="preserve"> </w:t>
      </w:r>
      <w:r w:rsidRPr="00EA4DFA">
        <w:t>fondu</w:t>
      </w:r>
      <w:r>
        <w:t xml:space="preserve"> </w:t>
      </w:r>
      <w:r w:rsidRPr="00EA4DFA">
        <w:t>zakladatele</w:t>
      </w:r>
      <w:r>
        <w:t xml:space="preserve"> </w:t>
      </w:r>
      <w:r w:rsidRPr="00EA4DFA">
        <w:t>po</w:t>
      </w:r>
      <w:r>
        <w:t xml:space="preserve"> </w:t>
      </w:r>
      <w:r w:rsidRPr="00EA4DFA">
        <w:t>předchozím</w:t>
      </w:r>
      <w:r>
        <w:t xml:space="preserve"> </w:t>
      </w:r>
      <w:r w:rsidRPr="00EA4DFA">
        <w:t>souhlasu</w:t>
      </w:r>
      <w:r>
        <w:t xml:space="preserve"> </w:t>
      </w:r>
      <w:r w:rsidRPr="00EA4DFA">
        <w:t>vlády,</w:t>
      </w:r>
    </w:p>
    <w:p w14:paraId="1AEB4578" w14:textId="5C1E2EF9" w:rsidR="00D031FB" w:rsidRDefault="00D031FB" w:rsidP="00B0390E">
      <w:pPr>
        <w:pStyle w:val="Textparagrafu"/>
        <w:tabs>
          <w:tab w:val="left" w:pos="406"/>
        </w:tabs>
        <w:spacing w:before="0"/>
        <w:ind w:left="426" w:hanging="426"/>
      </w:pPr>
      <w:r w:rsidRPr="00EA4DFA">
        <w:t>l)</w:t>
      </w:r>
      <w:r>
        <w:tab/>
      </w:r>
      <w:r w:rsidRPr="00EA4DFA">
        <w:t>dohlíží</w:t>
      </w:r>
      <w:r>
        <w:t xml:space="preserve"> </w:t>
      </w:r>
      <w:r w:rsidRPr="00EA4DFA">
        <w:t>na</w:t>
      </w:r>
      <w:r>
        <w:t xml:space="preserve"> </w:t>
      </w:r>
      <w:r w:rsidRPr="00EA4DFA">
        <w:t>řádný</w:t>
      </w:r>
      <w:r>
        <w:t xml:space="preserve"> </w:t>
      </w:r>
      <w:r w:rsidRPr="00EA4DFA">
        <w:t>výkon</w:t>
      </w:r>
      <w:r>
        <w:t xml:space="preserve"> </w:t>
      </w:r>
      <w:r w:rsidRPr="00EA4DFA">
        <w:t>práva</w:t>
      </w:r>
      <w:r>
        <w:t xml:space="preserve"> </w:t>
      </w:r>
      <w:r w:rsidRPr="00EA4DFA">
        <w:t>hospodařit</w:t>
      </w:r>
      <w:r>
        <w:t xml:space="preserve"> </w:t>
      </w:r>
      <w:r w:rsidRPr="00EA4DFA">
        <w:t>s</w:t>
      </w:r>
      <w:r>
        <w:t xml:space="preserve"> </w:t>
      </w:r>
      <w:r w:rsidRPr="00EA4DFA">
        <w:t>majetkem</w:t>
      </w:r>
      <w:r>
        <w:t xml:space="preserve"> </w:t>
      </w:r>
      <w:r w:rsidRPr="00EA4DFA">
        <w:t>státu,</w:t>
      </w:r>
      <w:r>
        <w:t xml:space="preserve"> </w:t>
      </w:r>
      <w:r w:rsidRPr="00EA4DFA">
        <w:t>zejména</w:t>
      </w:r>
      <w:r>
        <w:t xml:space="preserve"> </w:t>
      </w:r>
      <w:r w:rsidRPr="00EA4DFA">
        <w:t>na</w:t>
      </w:r>
      <w:r>
        <w:t xml:space="preserve"> </w:t>
      </w:r>
      <w:r w:rsidRPr="00EA4DFA">
        <w:t>hospodárné,</w:t>
      </w:r>
      <w:r>
        <w:t xml:space="preserve"> </w:t>
      </w:r>
      <w:r w:rsidRPr="00EA4DFA">
        <w:t>účelné</w:t>
      </w:r>
      <w:r>
        <w:t xml:space="preserve"> </w:t>
      </w:r>
      <w:r w:rsidRPr="00EA4DFA">
        <w:t>a</w:t>
      </w:r>
      <w:r>
        <w:t xml:space="preserve"> </w:t>
      </w:r>
      <w:r w:rsidRPr="00EA4DFA">
        <w:t>efektivní</w:t>
      </w:r>
      <w:r>
        <w:t xml:space="preserve"> </w:t>
      </w:r>
      <w:r w:rsidRPr="00EA4DFA">
        <w:t>využívání</w:t>
      </w:r>
      <w:r>
        <w:t xml:space="preserve"> </w:t>
      </w:r>
      <w:r w:rsidRPr="00EA4DFA">
        <w:t>tohoto</w:t>
      </w:r>
      <w:r>
        <w:t xml:space="preserve"> </w:t>
      </w:r>
      <w:r w:rsidRPr="00EA4DFA">
        <w:t>majetku</w:t>
      </w:r>
      <w:r>
        <w:t xml:space="preserve"> </w:t>
      </w:r>
      <w:r w:rsidRPr="00EA4DFA">
        <w:t>při</w:t>
      </w:r>
      <w:r>
        <w:t xml:space="preserve"> </w:t>
      </w:r>
      <w:r w:rsidRPr="00EA4DFA">
        <w:t>provozování</w:t>
      </w:r>
      <w:r>
        <w:t xml:space="preserve"> </w:t>
      </w:r>
      <w:r w:rsidRPr="00EA4DFA">
        <w:t>podnikatelské</w:t>
      </w:r>
      <w:r>
        <w:t xml:space="preserve"> </w:t>
      </w:r>
      <w:r w:rsidRPr="00EA4DFA">
        <w:t>činnosti,</w:t>
      </w:r>
      <w:r>
        <w:t xml:space="preserve"> </w:t>
      </w:r>
      <w:r w:rsidRPr="00EA4DFA">
        <w:t>a</w:t>
      </w:r>
      <w:r>
        <w:t xml:space="preserve"> </w:t>
      </w:r>
      <w:r w:rsidRPr="00EA4DFA">
        <w:t>kontroluje,</w:t>
      </w:r>
      <w:r>
        <w:t xml:space="preserve"> </w:t>
      </w:r>
      <w:r w:rsidRPr="00EA4DFA">
        <w:t>jak</w:t>
      </w:r>
      <w:r>
        <w:t xml:space="preserve"> </w:t>
      </w:r>
      <w:r w:rsidRPr="00EA4DFA">
        <w:t>podnik</w:t>
      </w:r>
      <w:r>
        <w:t xml:space="preserve"> </w:t>
      </w:r>
      <w:r w:rsidRPr="00EA4DFA">
        <w:t>s</w:t>
      </w:r>
      <w:r>
        <w:t xml:space="preserve"> </w:t>
      </w:r>
      <w:r w:rsidRPr="00EA4DFA">
        <w:t>tímto</w:t>
      </w:r>
      <w:r>
        <w:t xml:space="preserve"> </w:t>
      </w:r>
      <w:r w:rsidRPr="00EA4DFA">
        <w:t>majetkem</w:t>
      </w:r>
      <w:r>
        <w:t xml:space="preserve"> </w:t>
      </w:r>
      <w:r w:rsidRPr="00EA4DFA">
        <w:t>nakládá,</w:t>
      </w:r>
    </w:p>
    <w:p w14:paraId="4ED4C816" w14:textId="316295FB" w:rsidR="00D031FB" w:rsidRDefault="00D031FB" w:rsidP="00B0390E">
      <w:pPr>
        <w:pStyle w:val="Textparagrafu"/>
        <w:tabs>
          <w:tab w:val="left" w:pos="406"/>
        </w:tabs>
        <w:spacing w:before="0"/>
        <w:ind w:left="426" w:hanging="426"/>
      </w:pPr>
      <w:r w:rsidRPr="00EA4DFA">
        <w:t>m)</w:t>
      </w:r>
      <w:r>
        <w:t xml:space="preserve"> </w:t>
      </w:r>
      <w:r w:rsidRPr="00EA4DFA">
        <w:t>napomáhá</w:t>
      </w:r>
      <w:r>
        <w:t xml:space="preserve"> </w:t>
      </w:r>
      <w:r w:rsidRPr="00EA4DFA">
        <w:t>podnikům</w:t>
      </w:r>
      <w:r>
        <w:t xml:space="preserve"> </w:t>
      </w:r>
      <w:r w:rsidRPr="00EA4DFA">
        <w:t>zapojit</w:t>
      </w:r>
      <w:r>
        <w:t xml:space="preserve"> </w:t>
      </w:r>
      <w:r w:rsidRPr="00EA4DFA">
        <w:t>se</w:t>
      </w:r>
      <w:r>
        <w:t xml:space="preserve"> </w:t>
      </w:r>
      <w:r w:rsidRPr="00EA4DFA">
        <w:t>do</w:t>
      </w:r>
      <w:r>
        <w:t xml:space="preserve"> </w:t>
      </w:r>
      <w:r w:rsidRPr="00EA4DFA">
        <w:t>programů</w:t>
      </w:r>
      <w:r>
        <w:t xml:space="preserve"> </w:t>
      </w:r>
      <w:r w:rsidRPr="00EA4DFA">
        <w:t>v</w:t>
      </w:r>
      <w:r>
        <w:t xml:space="preserve"> </w:t>
      </w:r>
      <w:r w:rsidRPr="00EA4DFA">
        <w:t>oblasti</w:t>
      </w:r>
      <w:r>
        <w:t xml:space="preserve"> </w:t>
      </w:r>
      <w:r w:rsidRPr="00EA4DFA">
        <w:t>výzkumu,</w:t>
      </w:r>
      <w:r>
        <w:t xml:space="preserve"> </w:t>
      </w:r>
      <w:r w:rsidRPr="00EA4DFA">
        <w:t>vývoje</w:t>
      </w:r>
      <w:r>
        <w:t xml:space="preserve"> </w:t>
      </w:r>
      <w:r w:rsidRPr="00EA4DFA">
        <w:t>a</w:t>
      </w:r>
      <w:r>
        <w:t xml:space="preserve"> </w:t>
      </w:r>
      <w:r w:rsidRPr="00EA4DFA">
        <w:t>inovací</w:t>
      </w:r>
      <w:r>
        <w:t xml:space="preserve"> </w:t>
      </w:r>
      <w:r w:rsidRPr="00EA4DFA">
        <w:t>podporovaných</w:t>
      </w:r>
      <w:r>
        <w:t xml:space="preserve"> </w:t>
      </w:r>
      <w:r w:rsidRPr="00EA4DFA">
        <w:t>ze</w:t>
      </w:r>
      <w:r>
        <w:t xml:space="preserve"> </w:t>
      </w:r>
      <w:r w:rsidRPr="00EA4DFA">
        <w:t>státního</w:t>
      </w:r>
      <w:r>
        <w:t xml:space="preserve"> </w:t>
      </w:r>
      <w:r w:rsidRPr="00EA4DFA">
        <w:t>rozpočtu</w:t>
      </w:r>
      <w:r>
        <w:t xml:space="preserve"> </w:t>
      </w:r>
      <w:r w:rsidRPr="00EA4DFA">
        <w:t>nebo</w:t>
      </w:r>
      <w:r>
        <w:t xml:space="preserve"> </w:t>
      </w:r>
      <w:r w:rsidRPr="00EA4DFA">
        <w:t>z</w:t>
      </w:r>
      <w:r>
        <w:t xml:space="preserve"> </w:t>
      </w:r>
      <w:r w:rsidRPr="00EA4DFA">
        <w:t>jiných</w:t>
      </w:r>
      <w:r>
        <w:t xml:space="preserve"> </w:t>
      </w:r>
      <w:r w:rsidRPr="00EA4DFA">
        <w:t>veřejných</w:t>
      </w:r>
      <w:r>
        <w:t xml:space="preserve"> </w:t>
      </w:r>
      <w:r w:rsidRPr="00EA4DFA">
        <w:t>zdrojů</w:t>
      </w:r>
      <w:r>
        <w:t xml:space="preserve"> </w:t>
      </w:r>
      <w:r w:rsidRPr="00EA4DFA">
        <w:t>financování.</w:t>
      </w:r>
    </w:p>
    <w:p w14:paraId="2E207A47" w14:textId="2B2E8338" w:rsidR="00D031FB" w:rsidRDefault="00D031FB" w:rsidP="00B8532E">
      <w:pPr>
        <w:pStyle w:val="Textparagrafu"/>
        <w:tabs>
          <w:tab w:val="left" w:pos="406"/>
          <w:tab w:val="left" w:pos="826"/>
        </w:tabs>
        <w:spacing w:before="120" w:after="120"/>
      </w:pPr>
      <w:r w:rsidRPr="00D031FB">
        <w:t>(2) Zakladatel při výkonu činností uvedených v odstavci 1, které ovlivňují nebo mohou ovlivňovat hospodaření podniku, jedná s péčí řádného hospodáře.</w:t>
      </w:r>
    </w:p>
    <w:p w14:paraId="0BD049C8" w14:textId="15C65FE1" w:rsidR="00CB6038" w:rsidRDefault="00D031FB" w:rsidP="00CB6038">
      <w:pPr>
        <w:pStyle w:val="Textparagrafu"/>
        <w:tabs>
          <w:tab w:val="left" w:pos="406"/>
          <w:tab w:val="left" w:pos="840"/>
          <w:tab w:val="left" w:pos="868"/>
        </w:tabs>
        <w:spacing w:after="120"/>
        <w:ind w:firstLine="0"/>
        <w:jc w:val="center"/>
      </w:pPr>
      <w:r>
        <w:t>***</w:t>
      </w:r>
    </w:p>
    <w:p w14:paraId="45C3EC4B" w14:textId="77777777" w:rsidR="00D031FB" w:rsidRDefault="00D031FB" w:rsidP="00D031FB">
      <w:pPr>
        <w:pStyle w:val="Textparagrafu"/>
        <w:ind w:firstLine="0"/>
        <w:jc w:val="center"/>
      </w:pPr>
      <w:r w:rsidRPr="00EA4DFA">
        <w:t>§</w:t>
      </w:r>
      <w:r>
        <w:t xml:space="preserve"> </w:t>
      </w:r>
      <w:r w:rsidRPr="00EA4DFA">
        <w:t>17a</w:t>
      </w:r>
    </w:p>
    <w:p w14:paraId="084CDC74" w14:textId="77777777" w:rsidR="00D031FB" w:rsidRDefault="00D031FB" w:rsidP="00B8532E">
      <w:pPr>
        <w:pStyle w:val="Textparagrafu"/>
        <w:tabs>
          <w:tab w:val="left" w:pos="406"/>
          <w:tab w:val="left" w:pos="826"/>
        </w:tabs>
        <w:spacing w:before="120" w:after="120"/>
      </w:pPr>
      <w:r w:rsidRPr="00EA4DFA">
        <w:t>(1)</w:t>
      </w:r>
      <w:r>
        <w:t xml:space="preserve"> </w:t>
      </w:r>
      <w:r w:rsidRPr="00EA4DFA">
        <w:t>Podnik</w:t>
      </w:r>
      <w:r>
        <w:t xml:space="preserve"> </w:t>
      </w:r>
      <w:r w:rsidRPr="00EA4DFA">
        <w:t>může</w:t>
      </w:r>
      <w:r>
        <w:t xml:space="preserve"> </w:t>
      </w:r>
      <w:r w:rsidRPr="00EA4DFA">
        <w:t>nabývat</w:t>
      </w:r>
      <w:r>
        <w:t xml:space="preserve"> </w:t>
      </w:r>
      <w:r w:rsidRPr="00EA4DFA">
        <w:t>od</w:t>
      </w:r>
      <w:r>
        <w:t xml:space="preserve"> </w:t>
      </w:r>
      <w:r w:rsidRPr="00EA4DFA">
        <w:t>právnických</w:t>
      </w:r>
      <w:r>
        <w:t xml:space="preserve"> </w:t>
      </w:r>
      <w:r w:rsidRPr="00EA4DFA">
        <w:t>nebo</w:t>
      </w:r>
      <w:r>
        <w:t xml:space="preserve"> </w:t>
      </w:r>
      <w:r w:rsidRPr="00EA4DFA">
        <w:t>fyzických</w:t>
      </w:r>
      <w:r>
        <w:t xml:space="preserve"> </w:t>
      </w:r>
      <w:r w:rsidRPr="00EA4DFA">
        <w:t>osob,</w:t>
      </w:r>
      <w:r>
        <w:t xml:space="preserve"> </w:t>
      </w:r>
      <w:r w:rsidRPr="00EA4DFA">
        <w:t>od</w:t>
      </w:r>
      <w:r>
        <w:t xml:space="preserve"> </w:t>
      </w:r>
      <w:r w:rsidRPr="00EA4DFA">
        <w:t>jiných</w:t>
      </w:r>
      <w:r>
        <w:t xml:space="preserve"> </w:t>
      </w:r>
      <w:r w:rsidRPr="00EA4DFA">
        <w:t>podniků,</w:t>
      </w:r>
      <w:r>
        <w:t xml:space="preserve"> </w:t>
      </w:r>
      <w:r w:rsidRPr="00EA4DFA">
        <w:t>organizačních</w:t>
      </w:r>
      <w:r>
        <w:t xml:space="preserve"> </w:t>
      </w:r>
      <w:r w:rsidRPr="00EA4DFA">
        <w:t>složek</w:t>
      </w:r>
      <w:r>
        <w:t xml:space="preserve"> </w:t>
      </w:r>
      <w:r w:rsidRPr="00EA4DFA">
        <w:t>státu</w:t>
      </w:r>
      <w:r>
        <w:t xml:space="preserve"> </w:t>
      </w:r>
      <w:r w:rsidRPr="00EA4DFA">
        <w:t>nebo</w:t>
      </w:r>
      <w:r>
        <w:t xml:space="preserve"> </w:t>
      </w:r>
      <w:r w:rsidRPr="00EA4DFA">
        <w:t>jiných</w:t>
      </w:r>
      <w:r>
        <w:t xml:space="preserve"> </w:t>
      </w:r>
      <w:r w:rsidRPr="00EA4DFA">
        <w:t>státních</w:t>
      </w:r>
      <w:r>
        <w:t xml:space="preserve"> </w:t>
      </w:r>
      <w:r w:rsidRPr="00EA4DFA">
        <w:t>organizací</w:t>
      </w:r>
      <w:r>
        <w:t xml:space="preserve"> </w:t>
      </w:r>
      <w:r w:rsidRPr="00EA4DFA">
        <w:t>pouze</w:t>
      </w:r>
      <w:r>
        <w:t xml:space="preserve"> </w:t>
      </w:r>
      <w:r w:rsidRPr="00EA4DFA">
        <w:t>věci,</w:t>
      </w:r>
      <w:r>
        <w:t xml:space="preserve"> </w:t>
      </w:r>
      <w:r w:rsidRPr="00EA4DFA">
        <w:t>které</w:t>
      </w:r>
      <w:r>
        <w:t xml:space="preserve"> </w:t>
      </w:r>
      <w:r w:rsidRPr="00EA4DFA">
        <w:t>potřebuje</w:t>
      </w:r>
      <w:r>
        <w:t xml:space="preserve"> </w:t>
      </w:r>
      <w:r w:rsidRPr="00EA4DFA">
        <w:t>k</w:t>
      </w:r>
      <w:r>
        <w:t xml:space="preserve"> </w:t>
      </w:r>
      <w:r w:rsidRPr="00EA4DFA">
        <w:t>provozování</w:t>
      </w:r>
      <w:r>
        <w:t xml:space="preserve"> </w:t>
      </w:r>
      <w:r w:rsidRPr="00EA4DFA">
        <w:t>činnosti</w:t>
      </w:r>
      <w:r>
        <w:t xml:space="preserve"> </w:t>
      </w:r>
      <w:r w:rsidRPr="00EA4DFA">
        <w:t>v</w:t>
      </w:r>
      <w:r>
        <w:t xml:space="preserve"> </w:t>
      </w:r>
      <w:r w:rsidRPr="00EA4DFA">
        <w:t>předmětu</w:t>
      </w:r>
      <w:r>
        <w:t xml:space="preserve"> </w:t>
      </w:r>
      <w:r w:rsidRPr="00EA4DFA">
        <w:t>jeho</w:t>
      </w:r>
      <w:r>
        <w:t xml:space="preserve"> </w:t>
      </w:r>
      <w:r w:rsidRPr="00EA4DFA">
        <w:t>podnikání.</w:t>
      </w:r>
    </w:p>
    <w:p w14:paraId="07B21481" w14:textId="71DBD163" w:rsidR="00D031FB" w:rsidRDefault="00D031FB" w:rsidP="00B8532E">
      <w:pPr>
        <w:pStyle w:val="Textparagrafu"/>
        <w:tabs>
          <w:tab w:val="left" w:pos="406"/>
          <w:tab w:val="left" w:pos="826"/>
        </w:tabs>
        <w:spacing w:before="120" w:after="120"/>
      </w:pPr>
      <w:r w:rsidRPr="00EA4DFA">
        <w:t>(2)</w:t>
      </w:r>
      <w:r>
        <w:t xml:space="preserve"> </w:t>
      </w:r>
      <w:r w:rsidRPr="00EA4DFA">
        <w:t>Zakladatel</w:t>
      </w:r>
      <w:r>
        <w:t xml:space="preserve"> </w:t>
      </w:r>
      <w:r w:rsidRPr="00EA4DFA">
        <w:t>ve</w:t>
      </w:r>
      <w:r>
        <w:t xml:space="preserve"> </w:t>
      </w:r>
      <w:r w:rsidRPr="00EA4DFA">
        <w:t>statutu</w:t>
      </w:r>
      <w:r>
        <w:t xml:space="preserve"> </w:t>
      </w:r>
      <w:r w:rsidRPr="00EA4DFA">
        <w:t>podniku</w:t>
      </w:r>
      <w:r>
        <w:t xml:space="preserve"> </w:t>
      </w:r>
      <w:r w:rsidRPr="00EA4DFA">
        <w:t>stanoví,</w:t>
      </w:r>
      <w:r>
        <w:t xml:space="preserve"> </w:t>
      </w:r>
      <w:r w:rsidRPr="00EA4DFA">
        <w:t>ve</w:t>
      </w:r>
      <w:r>
        <w:t xml:space="preserve"> </w:t>
      </w:r>
      <w:r w:rsidRPr="00EA4DFA">
        <w:t>kterých</w:t>
      </w:r>
      <w:r>
        <w:t xml:space="preserve"> </w:t>
      </w:r>
      <w:r w:rsidRPr="00EA4DFA">
        <w:t>případech</w:t>
      </w:r>
      <w:r>
        <w:t xml:space="preserve"> </w:t>
      </w:r>
      <w:r w:rsidRPr="00EA4DFA">
        <w:t>vyžaduje</w:t>
      </w:r>
      <w:r>
        <w:t xml:space="preserve"> </w:t>
      </w:r>
      <w:r w:rsidRPr="00EA4DFA">
        <w:t>smlouva,</w:t>
      </w:r>
      <w:r>
        <w:t xml:space="preserve"> </w:t>
      </w:r>
      <w:r w:rsidRPr="00EA4DFA">
        <w:t>kterou</w:t>
      </w:r>
      <w:r>
        <w:t xml:space="preserve"> </w:t>
      </w:r>
      <w:r w:rsidRPr="00EA4DFA">
        <w:t>podnik</w:t>
      </w:r>
      <w:r>
        <w:t xml:space="preserve"> </w:t>
      </w:r>
      <w:r w:rsidRPr="00EA4DFA">
        <w:t>nabývá</w:t>
      </w:r>
      <w:r>
        <w:t xml:space="preserve"> </w:t>
      </w:r>
      <w:r w:rsidRPr="00EA4DFA">
        <w:t>nemovitou</w:t>
      </w:r>
      <w:r>
        <w:t xml:space="preserve"> </w:t>
      </w:r>
      <w:r w:rsidRPr="00EA4DFA">
        <w:t>věc,</w:t>
      </w:r>
      <w:r>
        <w:t xml:space="preserve"> </w:t>
      </w:r>
      <w:r w:rsidRPr="00EA4DFA">
        <w:t>jeho</w:t>
      </w:r>
      <w:r>
        <w:t xml:space="preserve"> </w:t>
      </w:r>
      <w:r w:rsidRPr="00EA4DFA">
        <w:t>předchozí</w:t>
      </w:r>
      <w:r>
        <w:t xml:space="preserve"> </w:t>
      </w:r>
      <w:r w:rsidRPr="00EA4DFA">
        <w:t>schválení.</w:t>
      </w:r>
      <w:r>
        <w:t xml:space="preserve"> </w:t>
      </w:r>
      <w:r w:rsidRPr="00EA4DFA">
        <w:t>Při</w:t>
      </w:r>
      <w:r>
        <w:t xml:space="preserve"> </w:t>
      </w:r>
      <w:r w:rsidRPr="00EA4DFA">
        <w:t>úplatném</w:t>
      </w:r>
      <w:r>
        <w:t xml:space="preserve"> </w:t>
      </w:r>
      <w:r w:rsidRPr="00EA4DFA">
        <w:t>nabývání</w:t>
      </w:r>
      <w:r>
        <w:t xml:space="preserve"> </w:t>
      </w:r>
      <w:r w:rsidRPr="00EA4DFA">
        <w:t>nemovité</w:t>
      </w:r>
      <w:r>
        <w:t xml:space="preserve"> </w:t>
      </w:r>
      <w:r w:rsidRPr="00EA4DFA">
        <w:t>věci</w:t>
      </w:r>
      <w:r>
        <w:t xml:space="preserve"> </w:t>
      </w:r>
      <w:r w:rsidRPr="00EA4DFA">
        <w:t>lze</w:t>
      </w:r>
      <w:r>
        <w:t xml:space="preserve"> </w:t>
      </w:r>
      <w:r w:rsidRPr="00EA4DFA">
        <w:t>cenu</w:t>
      </w:r>
      <w:r>
        <w:t xml:space="preserve"> </w:t>
      </w:r>
      <w:r w:rsidRPr="00EA4DFA">
        <w:t>sjednat</w:t>
      </w:r>
      <w:r>
        <w:t xml:space="preserve"> </w:t>
      </w:r>
      <w:r w:rsidRPr="00EA4DFA">
        <w:t>podle</w:t>
      </w:r>
      <w:r>
        <w:t xml:space="preserve"> </w:t>
      </w:r>
      <w:r w:rsidRPr="00EA4DFA">
        <w:t>zákona</w:t>
      </w:r>
      <w:r>
        <w:t xml:space="preserve"> </w:t>
      </w:r>
      <w:r w:rsidRPr="00EA4DFA">
        <w:t>upravujícího</w:t>
      </w:r>
      <w:r>
        <w:t xml:space="preserve"> ceny</w:t>
      </w:r>
      <w:r>
        <w:rPr>
          <w:rStyle w:val="Znakapoznpodarou"/>
        </w:rPr>
        <w:footnoteReference w:customMarkFollows="1" w:id="245"/>
        <w:t>28)</w:t>
      </w:r>
      <w:r>
        <w:t xml:space="preserve"> </w:t>
      </w:r>
      <w:r w:rsidRPr="00EA4DFA">
        <w:t>pouze</w:t>
      </w:r>
      <w:r>
        <w:t xml:space="preserve"> </w:t>
      </w:r>
      <w:r w:rsidRPr="00EA4DFA">
        <w:t>do</w:t>
      </w:r>
      <w:r>
        <w:t xml:space="preserve"> </w:t>
      </w:r>
      <w:r w:rsidRPr="00EA4DFA">
        <w:t>výše</w:t>
      </w:r>
      <w:r>
        <w:t xml:space="preserve"> </w:t>
      </w:r>
      <w:r w:rsidRPr="00EA4DFA">
        <w:t>rovnající</w:t>
      </w:r>
      <w:r>
        <w:t xml:space="preserve"> </w:t>
      </w:r>
      <w:r w:rsidRPr="00EA4DFA">
        <w:t>se</w:t>
      </w:r>
      <w:r>
        <w:t xml:space="preserve"> </w:t>
      </w:r>
      <w:r w:rsidRPr="00EA4DFA">
        <w:t>ocenění</w:t>
      </w:r>
      <w:r>
        <w:t xml:space="preserve"> </w:t>
      </w:r>
      <w:r w:rsidRPr="00EA4DFA">
        <w:t>této</w:t>
      </w:r>
      <w:r>
        <w:t xml:space="preserve"> </w:t>
      </w:r>
      <w:r w:rsidRPr="00EA4DFA">
        <w:t>nemovité</w:t>
      </w:r>
      <w:r>
        <w:t xml:space="preserve"> </w:t>
      </w:r>
      <w:r w:rsidRPr="00EA4DFA">
        <w:t>věci</w:t>
      </w:r>
      <w:r>
        <w:t xml:space="preserve"> </w:t>
      </w:r>
      <w:r w:rsidRPr="00EA4DFA">
        <w:t>podle</w:t>
      </w:r>
      <w:r>
        <w:t xml:space="preserve"> </w:t>
      </w:r>
      <w:r w:rsidRPr="00EA4DFA">
        <w:t>zákona</w:t>
      </w:r>
      <w:r>
        <w:t xml:space="preserve"> </w:t>
      </w:r>
      <w:r w:rsidRPr="00EA4DFA">
        <w:t>upravujícího</w:t>
      </w:r>
      <w:r>
        <w:t xml:space="preserve"> </w:t>
      </w:r>
      <w:r w:rsidRPr="00EA4DFA">
        <w:t>oceňování</w:t>
      </w:r>
      <w:r>
        <w:t xml:space="preserve"> </w:t>
      </w:r>
      <w:r w:rsidRPr="001B784C">
        <w:rPr>
          <w:strike/>
        </w:rPr>
        <w:t>majetku</w:t>
      </w:r>
      <w:r w:rsidR="001B784C">
        <w:t xml:space="preserve"> </w:t>
      </w:r>
      <w:r w:rsidR="001B784C" w:rsidRPr="001B784C">
        <w:rPr>
          <w:b/>
        </w:rPr>
        <w:t>věcí</w:t>
      </w:r>
      <w:r>
        <w:rPr>
          <w:rStyle w:val="Znakapoznpodarou"/>
        </w:rPr>
        <w:footnoteReference w:customMarkFollows="1" w:id="246"/>
        <w:t>29)</w:t>
      </w:r>
      <w:r w:rsidRPr="00EA4DFA">
        <w:t>.</w:t>
      </w:r>
      <w:r>
        <w:t xml:space="preserve"> </w:t>
      </w:r>
      <w:r w:rsidRPr="00EA4DFA">
        <w:t>Zakladatel</w:t>
      </w:r>
      <w:r>
        <w:t xml:space="preserve"> </w:t>
      </w:r>
      <w:r w:rsidRPr="00EA4DFA">
        <w:t>ve</w:t>
      </w:r>
      <w:r>
        <w:t xml:space="preserve"> </w:t>
      </w:r>
      <w:r w:rsidRPr="00EA4DFA">
        <w:t>statutu</w:t>
      </w:r>
      <w:r>
        <w:t xml:space="preserve"> </w:t>
      </w:r>
      <w:r w:rsidRPr="00EA4DFA">
        <w:t>podniku</w:t>
      </w:r>
      <w:r>
        <w:t xml:space="preserve"> </w:t>
      </w:r>
      <w:r w:rsidRPr="00EA4DFA">
        <w:t>určí</w:t>
      </w:r>
      <w:r>
        <w:t xml:space="preserve"> </w:t>
      </w:r>
      <w:r w:rsidRPr="00EA4DFA">
        <w:t>cenové</w:t>
      </w:r>
      <w:r>
        <w:t xml:space="preserve"> </w:t>
      </w:r>
      <w:r w:rsidRPr="00EA4DFA">
        <w:t>limity</w:t>
      </w:r>
      <w:r>
        <w:t xml:space="preserve"> </w:t>
      </w:r>
      <w:r w:rsidRPr="00EA4DFA">
        <w:t>a</w:t>
      </w:r>
      <w:r>
        <w:t xml:space="preserve"> </w:t>
      </w:r>
      <w:r w:rsidRPr="00EA4DFA">
        <w:t>další</w:t>
      </w:r>
      <w:r>
        <w:t xml:space="preserve"> </w:t>
      </w:r>
      <w:r w:rsidRPr="00EA4DFA">
        <w:t>podmínky</w:t>
      </w:r>
      <w:r>
        <w:t xml:space="preserve"> </w:t>
      </w:r>
      <w:r w:rsidRPr="00EA4DFA">
        <w:t>pro</w:t>
      </w:r>
      <w:r>
        <w:t xml:space="preserve"> </w:t>
      </w:r>
      <w:r w:rsidRPr="00EA4DFA">
        <w:t>nabývání</w:t>
      </w:r>
      <w:r>
        <w:t xml:space="preserve"> </w:t>
      </w:r>
      <w:r w:rsidRPr="00EA4DFA">
        <w:t>movitých</w:t>
      </w:r>
      <w:r>
        <w:t xml:space="preserve"> </w:t>
      </w:r>
      <w:r w:rsidRPr="00EA4DFA">
        <w:t>věcí,</w:t>
      </w:r>
      <w:r>
        <w:t xml:space="preserve"> </w:t>
      </w:r>
      <w:r w:rsidRPr="00EA4DFA">
        <w:t>a</w:t>
      </w:r>
      <w:r>
        <w:t xml:space="preserve"> </w:t>
      </w:r>
      <w:r w:rsidRPr="00EA4DFA">
        <w:t>to</w:t>
      </w:r>
      <w:r>
        <w:t xml:space="preserve"> </w:t>
      </w:r>
      <w:r w:rsidRPr="00EA4DFA">
        <w:t>s</w:t>
      </w:r>
      <w:r>
        <w:t xml:space="preserve"> </w:t>
      </w:r>
      <w:r w:rsidRPr="00EA4DFA">
        <w:t>přihlédnutím</w:t>
      </w:r>
      <w:r>
        <w:t xml:space="preserve"> </w:t>
      </w:r>
      <w:r w:rsidRPr="00EA4DFA">
        <w:t>k</w:t>
      </w:r>
      <w:r>
        <w:t xml:space="preserve"> </w:t>
      </w:r>
      <w:r w:rsidRPr="00EA4DFA">
        <w:t>jejich</w:t>
      </w:r>
      <w:r>
        <w:t xml:space="preserve"> </w:t>
      </w:r>
      <w:r w:rsidRPr="00EA4DFA">
        <w:t>významu</w:t>
      </w:r>
      <w:r>
        <w:t xml:space="preserve"> </w:t>
      </w:r>
      <w:r w:rsidRPr="00EA4DFA">
        <w:t>a</w:t>
      </w:r>
      <w:r>
        <w:t xml:space="preserve"> </w:t>
      </w:r>
      <w:r w:rsidRPr="00EA4DFA">
        <w:t>hodnotě.</w:t>
      </w:r>
      <w:r>
        <w:t xml:space="preserve"> </w:t>
      </w:r>
      <w:r w:rsidRPr="00EA4DFA">
        <w:t>Vyšší</w:t>
      </w:r>
      <w:r>
        <w:t xml:space="preserve"> </w:t>
      </w:r>
      <w:r w:rsidRPr="00EA4DFA">
        <w:t>cenu</w:t>
      </w:r>
      <w:r>
        <w:t xml:space="preserve"> </w:t>
      </w:r>
      <w:r w:rsidRPr="00EA4DFA">
        <w:t>nemovité</w:t>
      </w:r>
      <w:r>
        <w:t xml:space="preserve"> </w:t>
      </w:r>
      <w:r w:rsidRPr="00EA4DFA">
        <w:t>nebo</w:t>
      </w:r>
      <w:r>
        <w:t xml:space="preserve"> </w:t>
      </w:r>
      <w:r w:rsidRPr="00EA4DFA">
        <w:t>movité</w:t>
      </w:r>
      <w:r>
        <w:t xml:space="preserve"> </w:t>
      </w:r>
      <w:r w:rsidRPr="00EA4DFA">
        <w:t>věci</w:t>
      </w:r>
      <w:r>
        <w:t xml:space="preserve"> </w:t>
      </w:r>
      <w:r w:rsidRPr="00EA4DFA">
        <w:t>může</w:t>
      </w:r>
      <w:r>
        <w:t xml:space="preserve"> </w:t>
      </w:r>
      <w:r w:rsidRPr="00EA4DFA">
        <w:t>podnik</w:t>
      </w:r>
      <w:r>
        <w:t xml:space="preserve"> </w:t>
      </w:r>
      <w:r w:rsidRPr="00EA4DFA">
        <w:t>sjednat</w:t>
      </w:r>
      <w:r>
        <w:t xml:space="preserve"> </w:t>
      </w:r>
      <w:r w:rsidRPr="00EA4DFA">
        <w:t>jen</w:t>
      </w:r>
      <w:r>
        <w:t xml:space="preserve"> </w:t>
      </w:r>
      <w:r w:rsidRPr="00EA4DFA">
        <w:t>po</w:t>
      </w:r>
      <w:r>
        <w:t xml:space="preserve"> </w:t>
      </w:r>
      <w:r w:rsidRPr="00EA4DFA">
        <w:t>předchozím</w:t>
      </w:r>
      <w:r>
        <w:t xml:space="preserve"> </w:t>
      </w:r>
      <w:r w:rsidRPr="00EA4DFA">
        <w:t>schválení</w:t>
      </w:r>
      <w:r>
        <w:t xml:space="preserve"> </w:t>
      </w:r>
      <w:r w:rsidRPr="00EA4DFA">
        <w:t>zakladatele.</w:t>
      </w:r>
      <w:r>
        <w:t xml:space="preserve"> </w:t>
      </w:r>
      <w:r w:rsidRPr="00EA4DFA">
        <w:t>Podnik</w:t>
      </w:r>
      <w:r>
        <w:t xml:space="preserve"> </w:t>
      </w:r>
      <w:r w:rsidRPr="00EA4DFA">
        <w:t>je</w:t>
      </w:r>
      <w:r>
        <w:t xml:space="preserve"> </w:t>
      </w:r>
      <w:r w:rsidRPr="00EA4DFA">
        <w:t>povinen</w:t>
      </w:r>
      <w:r>
        <w:t xml:space="preserve"> </w:t>
      </w:r>
      <w:r w:rsidRPr="00EA4DFA">
        <w:t>doložit</w:t>
      </w:r>
      <w:r>
        <w:t xml:space="preserve"> </w:t>
      </w:r>
      <w:r w:rsidRPr="00EA4DFA">
        <w:t>zakladateli</w:t>
      </w:r>
      <w:r>
        <w:t xml:space="preserve"> </w:t>
      </w:r>
      <w:r w:rsidRPr="00EA4DFA">
        <w:t>před</w:t>
      </w:r>
      <w:r>
        <w:t xml:space="preserve"> </w:t>
      </w:r>
      <w:r w:rsidRPr="00EA4DFA">
        <w:t>schválením</w:t>
      </w:r>
      <w:r>
        <w:t xml:space="preserve"> </w:t>
      </w:r>
      <w:r w:rsidRPr="00EA4DFA">
        <w:t>důvody</w:t>
      </w:r>
      <w:r>
        <w:t xml:space="preserve"> </w:t>
      </w:r>
      <w:r w:rsidRPr="00EA4DFA">
        <w:t>pro</w:t>
      </w:r>
      <w:r>
        <w:t xml:space="preserve"> </w:t>
      </w:r>
      <w:r w:rsidRPr="00EA4DFA">
        <w:t>sjednání</w:t>
      </w:r>
      <w:r>
        <w:t xml:space="preserve"> </w:t>
      </w:r>
      <w:r w:rsidRPr="00EA4DFA">
        <w:t>vyšší</w:t>
      </w:r>
      <w:r>
        <w:t xml:space="preserve"> </w:t>
      </w:r>
      <w:r w:rsidRPr="00EA4DFA">
        <w:t>ceny</w:t>
      </w:r>
      <w:r>
        <w:t xml:space="preserve"> </w:t>
      </w:r>
      <w:r w:rsidRPr="00EA4DFA">
        <w:t>spolu</w:t>
      </w:r>
      <w:r>
        <w:t xml:space="preserve"> </w:t>
      </w:r>
      <w:r w:rsidRPr="00EA4DFA">
        <w:t>s</w:t>
      </w:r>
      <w:r>
        <w:t xml:space="preserve"> </w:t>
      </w:r>
      <w:r w:rsidRPr="00EA4DFA">
        <w:t>doložením</w:t>
      </w:r>
      <w:r>
        <w:t xml:space="preserve"> </w:t>
      </w:r>
      <w:r w:rsidRPr="00EA4DFA">
        <w:t>zajištění</w:t>
      </w:r>
      <w:r>
        <w:t xml:space="preserve"> </w:t>
      </w:r>
      <w:r w:rsidRPr="00EA4DFA">
        <w:t>souladu</w:t>
      </w:r>
      <w:r>
        <w:t xml:space="preserve"> </w:t>
      </w:r>
      <w:r w:rsidRPr="00EA4DFA">
        <w:t>ceny</w:t>
      </w:r>
      <w:r>
        <w:t xml:space="preserve"> </w:t>
      </w:r>
      <w:r w:rsidRPr="00EA4DFA">
        <w:t>s</w:t>
      </w:r>
      <w:r>
        <w:t xml:space="preserve"> </w:t>
      </w:r>
      <w:r w:rsidRPr="00EA4DFA">
        <w:t>pravidly</w:t>
      </w:r>
      <w:r>
        <w:t xml:space="preserve"> </w:t>
      </w:r>
      <w:r w:rsidRPr="00EA4DFA">
        <w:t>veřejné</w:t>
      </w:r>
      <w:r>
        <w:t xml:space="preserve"> </w:t>
      </w:r>
      <w:r w:rsidRPr="00EA4DFA">
        <w:t>podpory.</w:t>
      </w:r>
    </w:p>
    <w:p w14:paraId="55C93B7B" w14:textId="77777777" w:rsidR="00D031FB" w:rsidRDefault="00D031FB" w:rsidP="00B8532E">
      <w:pPr>
        <w:pStyle w:val="Textparagrafu"/>
        <w:tabs>
          <w:tab w:val="left" w:pos="406"/>
          <w:tab w:val="left" w:pos="826"/>
        </w:tabs>
        <w:spacing w:before="120" w:after="120"/>
      </w:pPr>
      <w:r w:rsidRPr="00EA4DFA">
        <w:t>(3)</w:t>
      </w:r>
      <w:r>
        <w:t xml:space="preserve"> </w:t>
      </w:r>
      <w:r w:rsidRPr="00EA4DFA">
        <w:t>Podnik</w:t>
      </w:r>
      <w:r>
        <w:t xml:space="preserve"> </w:t>
      </w:r>
      <w:r w:rsidRPr="00EA4DFA">
        <w:t>může</w:t>
      </w:r>
      <w:r>
        <w:t xml:space="preserve"> </w:t>
      </w:r>
      <w:r w:rsidRPr="00EA4DFA">
        <w:t>nabýt</w:t>
      </w:r>
      <w:r>
        <w:t xml:space="preserve"> </w:t>
      </w:r>
      <w:r w:rsidRPr="00EA4DFA">
        <w:t>majetkovou</w:t>
      </w:r>
      <w:r>
        <w:t xml:space="preserve"> </w:t>
      </w:r>
      <w:r w:rsidRPr="00EA4DFA">
        <w:t>účast</w:t>
      </w:r>
      <w:r>
        <w:t xml:space="preserve"> </w:t>
      </w:r>
      <w:r w:rsidRPr="00EA4DFA">
        <w:t>v</w:t>
      </w:r>
      <w:r>
        <w:t xml:space="preserve"> </w:t>
      </w:r>
      <w:r w:rsidRPr="00EA4DFA">
        <w:t>jiných</w:t>
      </w:r>
      <w:r>
        <w:t xml:space="preserve"> </w:t>
      </w:r>
      <w:r w:rsidRPr="00EA4DFA">
        <w:t>právnických</w:t>
      </w:r>
      <w:r>
        <w:t xml:space="preserve"> </w:t>
      </w:r>
      <w:r w:rsidRPr="00EA4DFA">
        <w:t>osobách</w:t>
      </w:r>
      <w:r>
        <w:t xml:space="preserve"> </w:t>
      </w:r>
      <w:r w:rsidRPr="00EA4DFA">
        <w:t>pouze</w:t>
      </w:r>
      <w:r>
        <w:t xml:space="preserve"> </w:t>
      </w:r>
      <w:r w:rsidRPr="00EA4DFA">
        <w:t>po</w:t>
      </w:r>
      <w:r>
        <w:t xml:space="preserve"> </w:t>
      </w:r>
      <w:r w:rsidRPr="00EA4DFA">
        <w:t>předchozím</w:t>
      </w:r>
      <w:r>
        <w:t xml:space="preserve"> </w:t>
      </w:r>
      <w:r w:rsidRPr="00EA4DFA">
        <w:t>schválení</w:t>
      </w:r>
      <w:r>
        <w:t xml:space="preserve"> </w:t>
      </w:r>
      <w:r w:rsidRPr="00EA4DFA">
        <w:t>zakladatele.</w:t>
      </w:r>
    </w:p>
    <w:p w14:paraId="23FBB461" w14:textId="77777777" w:rsidR="00D031FB" w:rsidRDefault="00D031FB" w:rsidP="00D031FB">
      <w:pPr>
        <w:pStyle w:val="Textparagrafu"/>
        <w:ind w:firstLine="0"/>
        <w:jc w:val="center"/>
      </w:pPr>
      <w:r w:rsidRPr="00EA4DFA">
        <w:t>§</w:t>
      </w:r>
      <w:r>
        <w:t xml:space="preserve"> </w:t>
      </w:r>
      <w:r w:rsidRPr="00EA4DFA">
        <w:t>17b</w:t>
      </w:r>
    </w:p>
    <w:p w14:paraId="0A43A6C9" w14:textId="77777777" w:rsidR="00D031FB" w:rsidRDefault="00D031FB" w:rsidP="00B8532E">
      <w:pPr>
        <w:pStyle w:val="Textparagrafu"/>
        <w:spacing w:before="120" w:after="120"/>
      </w:pPr>
      <w:r w:rsidRPr="00EA4DFA">
        <w:t>(1)</w:t>
      </w:r>
      <w:r>
        <w:t xml:space="preserve"> </w:t>
      </w:r>
      <w:r w:rsidRPr="00EA4DFA">
        <w:t>Podnik</w:t>
      </w:r>
      <w:r>
        <w:t xml:space="preserve"> </w:t>
      </w:r>
      <w:r w:rsidRPr="00EA4DFA">
        <w:t>je</w:t>
      </w:r>
      <w:r>
        <w:t xml:space="preserve"> </w:t>
      </w:r>
      <w:r w:rsidRPr="00EA4DFA">
        <w:t>povinen</w:t>
      </w:r>
      <w:r>
        <w:t xml:space="preserve"> </w:t>
      </w:r>
      <w:r w:rsidRPr="00EA4DFA">
        <w:t>využívat</w:t>
      </w:r>
      <w:r>
        <w:t xml:space="preserve"> </w:t>
      </w:r>
      <w:r w:rsidRPr="00EA4DFA">
        <w:t>majetek</w:t>
      </w:r>
      <w:r>
        <w:t xml:space="preserve"> </w:t>
      </w:r>
      <w:r w:rsidRPr="00EA4DFA">
        <w:t>podniku</w:t>
      </w:r>
      <w:r>
        <w:t xml:space="preserve"> </w:t>
      </w:r>
      <w:r w:rsidRPr="00EA4DFA">
        <w:t>účelně,</w:t>
      </w:r>
      <w:r>
        <w:t xml:space="preserve"> </w:t>
      </w:r>
      <w:r w:rsidRPr="00EA4DFA">
        <w:t>hospodárně</w:t>
      </w:r>
      <w:r>
        <w:t xml:space="preserve"> </w:t>
      </w:r>
      <w:r w:rsidRPr="00EA4DFA">
        <w:t>a</w:t>
      </w:r>
      <w:r>
        <w:t xml:space="preserve"> </w:t>
      </w:r>
      <w:r w:rsidRPr="00EA4DFA">
        <w:t>efektivně</w:t>
      </w:r>
      <w:r>
        <w:t xml:space="preserve"> </w:t>
      </w:r>
      <w:r w:rsidRPr="00EA4DFA">
        <w:t>k</w:t>
      </w:r>
      <w:r>
        <w:t xml:space="preserve"> </w:t>
      </w:r>
      <w:r w:rsidRPr="00EA4DFA">
        <w:t>jeho</w:t>
      </w:r>
      <w:r>
        <w:t xml:space="preserve"> </w:t>
      </w:r>
      <w:r w:rsidRPr="00EA4DFA">
        <w:t>podnikání.</w:t>
      </w:r>
      <w:r>
        <w:t xml:space="preserve"> </w:t>
      </w:r>
      <w:r w:rsidRPr="00EA4DFA">
        <w:t>Podnik</w:t>
      </w:r>
      <w:r>
        <w:t xml:space="preserve"> </w:t>
      </w:r>
      <w:r w:rsidRPr="00EA4DFA">
        <w:t>s</w:t>
      </w:r>
      <w:r>
        <w:t xml:space="preserve"> </w:t>
      </w:r>
      <w:r w:rsidRPr="00EA4DFA">
        <w:t>majetkem</w:t>
      </w:r>
      <w:r>
        <w:t xml:space="preserve"> </w:t>
      </w:r>
      <w:r w:rsidRPr="00EA4DFA">
        <w:t>hospodaří</w:t>
      </w:r>
      <w:r>
        <w:t xml:space="preserve"> </w:t>
      </w:r>
      <w:r w:rsidRPr="00EA4DFA">
        <w:t>a</w:t>
      </w:r>
      <w:r>
        <w:t xml:space="preserve"> </w:t>
      </w:r>
      <w:r w:rsidRPr="00EA4DFA">
        <w:t>nakládá</w:t>
      </w:r>
      <w:r>
        <w:t xml:space="preserve"> </w:t>
      </w:r>
      <w:r w:rsidRPr="00EA4DFA">
        <w:t>tak,</w:t>
      </w:r>
      <w:r>
        <w:t xml:space="preserve"> </w:t>
      </w:r>
      <w:r w:rsidRPr="00EA4DFA">
        <w:t>aby</w:t>
      </w:r>
      <w:r>
        <w:t xml:space="preserve"> </w:t>
      </w:r>
      <w:r w:rsidRPr="00EA4DFA">
        <w:t>svým</w:t>
      </w:r>
      <w:r>
        <w:t xml:space="preserve"> </w:t>
      </w:r>
      <w:r w:rsidRPr="00EA4DFA">
        <w:t>jednáním</w:t>
      </w:r>
      <w:r>
        <w:t xml:space="preserve"> </w:t>
      </w:r>
      <w:r w:rsidRPr="00EA4DFA">
        <w:t>majetek</w:t>
      </w:r>
      <w:r>
        <w:t xml:space="preserve"> </w:t>
      </w:r>
      <w:r w:rsidRPr="00EA4DFA">
        <w:t>nepoškozoval</w:t>
      </w:r>
      <w:r>
        <w:t xml:space="preserve"> </w:t>
      </w:r>
      <w:r w:rsidRPr="00EA4DFA">
        <w:t>a</w:t>
      </w:r>
      <w:r>
        <w:t xml:space="preserve"> </w:t>
      </w:r>
      <w:r w:rsidRPr="00EA4DFA">
        <w:t>neodůvodněně</w:t>
      </w:r>
      <w:r>
        <w:t xml:space="preserve"> </w:t>
      </w:r>
      <w:r w:rsidRPr="00EA4DFA">
        <w:t>nesnižoval</w:t>
      </w:r>
      <w:r>
        <w:t xml:space="preserve"> </w:t>
      </w:r>
      <w:r w:rsidRPr="00EA4DFA">
        <w:t>jeho</w:t>
      </w:r>
      <w:r>
        <w:t xml:space="preserve"> </w:t>
      </w:r>
      <w:r w:rsidRPr="00EA4DFA">
        <w:t>rozsah</w:t>
      </w:r>
      <w:r>
        <w:t xml:space="preserve"> </w:t>
      </w:r>
      <w:r w:rsidRPr="00EA4DFA">
        <w:t>a</w:t>
      </w:r>
      <w:r>
        <w:t xml:space="preserve"> </w:t>
      </w:r>
      <w:r w:rsidRPr="00EA4DFA">
        <w:t>hodnotu</w:t>
      </w:r>
      <w:r>
        <w:t xml:space="preserve"> </w:t>
      </w:r>
      <w:r w:rsidRPr="00EA4DFA">
        <w:t>anebo</w:t>
      </w:r>
      <w:r>
        <w:t xml:space="preserve"> </w:t>
      </w:r>
      <w:r w:rsidRPr="00EA4DFA">
        <w:t>výnos</w:t>
      </w:r>
      <w:r>
        <w:t xml:space="preserve"> </w:t>
      </w:r>
      <w:r w:rsidRPr="00EA4DFA">
        <w:t>z</w:t>
      </w:r>
      <w:r>
        <w:t xml:space="preserve"> </w:t>
      </w:r>
      <w:r w:rsidRPr="00EA4DFA">
        <w:t>tohoto</w:t>
      </w:r>
      <w:r>
        <w:t xml:space="preserve"> </w:t>
      </w:r>
      <w:r w:rsidRPr="00EA4DFA">
        <w:t>majetku.</w:t>
      </w:r>
    </w:p>
    <w:p w14:paraId="606233AD" w14:textId="77777777" w:rsidR="00D031FB" w:rsidRDefault="00D031FB" w:rsidP="00B8532E">
      <w:pPr>
        <w:pStyle w:val="Textparagrafu"/>
        <w:spacing w:before="120" w:after="120"/>
      </w:pPr>
      <w:r w:rsidRPr="00EA4DFA">
        <w:t>(2)</w:t>
      </w:r>
      <w:r>
        <w:t xml:space="preserve"> </w:t>
      </w:r>
      <w:r w:rsidRPr="00EA4DFA">
        <w:t>Podnik</w:t>
      </w:r>
      <w:r>
        <w:t xml:space="preserve"> </w:t>
      </w:r>
      <w:r w:rsidRPr="00EA4DFA">
        <w:t>pečuje</w:t>
      </w:r>
      <w:r>
        <w:t xml:space="preserve"> </w:t>
      </w:r>
      <w:r w:rsidRPr="00EA4DFA">
        <w:t>o</w:t>
      </w:r>
      <w:r>
        <w:t xml:space="preserve"> </w:t>
      </w:r>
      <w:r w:rsidRPr="00EA4DFA">
        <w:t>zachování</w:t>
      </w:r>
      <w:r>
        <w:t xml:space="preserve"> </w:t>
      </w:r>
      <w:r w:rsidRPr="00EA4DFA">
        <w:t>majetku</w:t>
      </w:r>
      <w:r>
        <w:t xml:space="preserve"> </w:t>
      </w:r>
      <w:r w:rsidRPr="00EA4DFA">
        <w:t>a</w:t>
      </w:r>
      <w:r>
        <w:t xml:space="preserve"> </w:t>
      </w:r>
      <w:r w:rsidRPr="00EA4DFA">
        <w:t>jeho</w:t>
      </w:r>
      <w:r>
        <w:t xml:space="preserve"> </w:t>
      </w:r>
      <w:r w:rsidRPr="00EA4DFA">
        <w:t>údržbu,</w:t>
      </w:r>
      <w:r>
        <w:t xml:space="preserve"> </w:t>
      </w:r>
      <w:r w:rsidRPr="00EA4DFA">
        <w:t>a</w:t>
      </w:r>
      <w:r>
        <w:t xml:space="preserve"> </w:t>
      </w:r>
      <w:r w:rsidRPr="00EA4DFA">
        <w:t>pokud</w:t>
      </w:r>
      <w:r>
        <w:t xml:space="preserve"> </w:t>
      </w:r>
      <w:r w:rsidRPr="00EA4DFA">
        <w:t>to</w:t>
      </w:r>
      <w:r>
        <w:t xml:space="preserve"> </w:t>
      </w:r>
      <w:r w:rsidRPr="00EA4DFA">
        <w:t>připouští</w:t>
      </w:r>
      <w:r>
        <w:t xml:space="preserve"> </w:t>
      </w:r>
      <w:r w:rsidRPr="00EA4DFA">
        <w:t>jeho</w:t>
      </w:r>
      <w:r>
        <w:t xml:space="preserve"> </w:t>
      </w:r>
      <w:r w:rsidRPr="00EA4DFA">
        <w:t>povaha,</w:t>
      </w:r>
      <w:r>
        <w:t xml:space="preserve"> </w:t>
      </w:r>
      <w:r w:rsidRPr="00EA4DFA">
        <w:t>i</w:t>
      </w:r>
      <w:r>
        <w:t xml:space="preserve"> </w:t>
      </w:r>
      <w:r w:rsidRPr="00EA4DFA">
        <w:t>o</w:t>
      </w:r>
      <w:r>
        <w:t xml:space="preserve"> </w:t>
      </w:r>
      <w:r w:rsidRPr="00EA4DFA">
        <w:t>jeho</w:t>
      </w:r>
      <w:r>
        <w:t xml:space="preserve"> </w:t>
      </w:r>
      <w:r w:rsidRPr="00EA4DFA">
        <w:t>zlepšení</w:t>
      </w:r>
      <w:r>
        <w:t xml:space="preserve"> </w:t>
      </w:r>
      <w:r w:rsidRPr="00EA4DFA">
        <w:t>nebo</w:t>
      </w:r>
      <w:r>
        <w:t xml:space="preserve"> </w:t>
      </w:r>
      <w:r w:rsidRPr="00EA4DFA">
        <w:t>rozmnožení.</w:t>
      </w:r>
      <w:r>
        <w:t xml:space="preserve"> </w:t>
      </w:r>
      <w:r w:rsidRPr="00EA4DFA">
        <w:t>Chrání</w:t>
      </w:r>
      <w:r>
        <w:t xml:space="preserve"> </w:t>
      </w:r>
      <w:r w:rsidRPr="00EA4DFA">
        <w:t>jej</w:t>
      </w:r>
      <w:r>
        <w:t xml:space="preserve"> </w:t>
      </w:r>
      <w:r w:rsidRPr="00EA4DFA">
        <w:t>před</w:t>
      </w:r>
      <w:r>
        <w:t xml:space="preserve"> </w:t>
      </w:r>
      <w:r w:rsidRPr="00EA4DFA">
        <w:t>poškozením,</w:t>
      </w:r>
      <w:r>
        <w:t xml:space="preserve"> </w:t>
      </w:r>
      <w:r w:rsidRPr="00EA4DFA">
        <w:t>zničením,</w:t>
      </w:r>
      <w:r>
        <w:t xml:space="preserve"> </w:t>
      </w:r>
      <w:r w:rsidRPr="00EA4DFA">
        <w:t>ztrátou,</w:t>
      </w:r>
      <w:r>
        <w:t xml:space="preserve"> </w:t>
      </w:r>
      <w:r w:rsidRPr="00EA4DFA">
        <w:t>odcizením</w:t>
      </w:r>
      <w:r>
        <w:t xml:space="preserve"> </w:t>
      </w:r>
      <w:r w:rsidRPr="00EA4DFA">
        <w:t>nebo</w:t>
      </w:r>
      <w:r>
        <w:t xml:space="preserve"> </w:t>
      </w:r>
      <w:r w:rsidRPr="00EA4DFA">
        <w:t>zneužitím.</w:t>
      </w:r>
    </w:p>
    <w:p w14:paraId="326558B4" w14:textId="77777777" w:rsidR="00D031FB" w:rsidRDefault="00D031FB" w:rsidP="00B8532E">
      <w:pPr>
        <w:pStyle w:val="Textparagrafu"/>
        <w:spacing w:before="120" w:after="120"/>
      </w:pPr>
      <w:r w:rsidRPr="00EA4DFA">
        <w:t>(3)</w:t>
      </w:r>
      <w:r>
        <w:t xml:space="preserve"> </w:t>
      </w:r>
      <w:r w:rsidRPr="00EA4DFA">
        <w:t>Podnik</w:t>
      </w:r>
      <w:r>
        <w:t xml:space="preserve"> </w:t>
      </w:r>
      <w:r w:rsidRPr="00EA4DFA">
        <w:t>důsledně</w:t>
      </w:r>
      <w:r>
        <w:t xml:space="preserve"> </w:t>
      </w:r>
      <w:r w:rsidRPr="00EA4DFA">
        <w:t>využívá</w:t>
      </w:r>
      <w:r>
        <w:t xml:space="preserve"> </w:t>
      </w:r>
      <w:r w:rsidRPr="00EA4DFA">
        <w:t>všechny</w:t>
      </w:r>
      <w:r>
        <w:t xml:space="preserve"> </w:t>
      </w:r>
      <w:r w:rsidRPr="00EA4DFA">
        <w:t>právní</w:t>
      </w:r>
      <w:r>
        <w:t xml:space="preserve"> </w:t>
      </w:r>
      <w:r w:rsidRPr="00EA4DFA">
        <w:t>prostředky</w:t>
      </w:r>
      <w:r>
        <w:t xml:space="preserve"> </w:t>
      </w:r>
      <w:r w:rsidRPr="00EA4DFA">
        <w:t>při</w:t>
      </w:r>
      <w:r>
        <w:t xml:space="preserve"> </w:t>
      </w:r>
      <w:r w:rsidRPr="00EA4DFA">
        <w:t>uplatňování</w:t>
      </w:r>
      <w:r>
        <w:t xml:space="preserve"> </w:t>
      </w:r>
      <w:r w:rsidRPr="00EA4DFA">
        <w:t>a</w:t>
      </w:r>
      <w:r>
        <w:t xml:space="preserve"> </w:t>
      </w:r>
      <w:r w:rsidRPr="00EA4DFA">
        <w:t>hájení</w:t>
      </w:r>
      <w:r>
        <w:t xml:space="preserve"> </w:t>
      </w:r>
      <w:r w:rsidRPr="00EA4DFA">
        <w:t>svých</w:t>
      </w:r>
      <w:r>
        <w:t xml:space="preserve"> </w:t>
      </w:r>
      <w:r w:rsidRPr="00EA4DFA">
        <w:t>práv</w:t>
      </w:r>
      <w:r>
        <w:t xml:space="preserve"> </w:t>
      </w:r>
      <w:r w:rsidRPr="00EA4DFA">
        <w:t>a</w:t>
      </w:r>
      <w:r>
        <w:t xml:space="preserve"> </w:t>
      </w:r>
      <w:r w:rsidRPr="00EA4DFA">
        <w:t>práv</w:t>
      </w:r>
      <w:r>
        <w:t xml:space="preserve"> </w:t>
      </w:r>
      <w:r w:rsidRPr="00EA4DFA">
        <w:t>státu</w:t>
      </w:r>
      <w:r>
        <w:t xml:space="preserve"> </w:t>
      </w:r>
      <w:r w:rsidRPr="00EA4DFA">
        <w:t>jako</w:t>
      </w:r>
      <w:r>
        <w:t xml:space="preserve"> </w:t>
      </w:r>
      <w:r w:rsidRPr="00EA4DFA">
        <w:t>vlastníka</w:t>
      </w:r>
      <w:r>
        <w:t xml:space="preserve"> </w:t>
      </w:r>
      <w:r w:rsidRPr="00EA4DFA">
        <w:t>a</w:t>
      </w:r>
      <w:r>
        <w:t xml:space="preserve"> </w:t>
      </w:r>
      <w:r w:rsidRPr="00EA4DFA">
        <w:t>při</w:t>
      </w:r>
      <w:r>
        <w:t xml:space="preserve"> </w:t>
      </w:r>
      <w:r w:rsidRPr="00EA4DFA">
        <w:t>ochraně</w:t>
      </w:r>
      <w:r>
        <w:t xml:space="preserve"> </w:t>
      </w:r>
      <w:r w:rsidRPr="00EA4DFA">
        <w:t>majetku</w:t>
      </w:r>
      <w:r>
        <w:t xml:space="preserve"> </w:t>
      </w:r>
      <w:r w:rsidRPr="00EA4DFA">
        <w:t>podniku</w:t>
      </w:r>
      <w:r>
        <w:t xml:space="preserve"> </w:t>
      </w:r>
      <w:r w:rsidRPr="00EA4DFA">
        <w:t>před</w:t>
      </w:r>
      <w:r>
        <w:t xml:space="preserve"> </w:t>
      </w:r>
      <w:r w:rsidRPr="00EA4DFA">
        <w:t>neoprávněnými</w:t>
      </w:r>
      <w:r>
        <w:t xml:space="preserve"> </w:t>
      </w:r>
      <w:r w:rsidRPr="00EA4DFA">
        <w:t>zásahy</w:t>
      </w:r>
      <w:r>
        <w:t xml:space="preserve"> </w:t>
      </w:r>
      <w:r w:rsidRPr="00EA4DFA">
        <w:t>a</w:t>
      </w:r>
      <w:r>
        <w:t xml:space="preserve"> </w:t>
      </w:r>
      <w:r w:rsidRPr="00EA4DFA">
        <w:t>včas</w:t>
      </w:r>
      <w:r>
        <w:t xml:space="preserve"> </w:t>
      </w:r>
      <w:r w:rsidRPr="00EA4DFA">
        <w:lastRenderedPageBreak/>
        <w:t>uplatňuje</w:t>
      </w:r>
      <w:r>
        <w:t xml:space="preserve"> </w:t>
      </w:r>
      <w:r w:rsidRPr="00EA4DFA">
        <w:t>zejména</w:t>
      </w:r>
      <w:r>
        <w:t xml:space="preserve"> </w:t>
      </w:r>
      <w:r w:rsidRPr="00EA4DFA">
        <w:t>právo</w:t>
      </w:r>
      <w:r>
        <w:t xml:space="preserve"> </w:t>
      </w:r>
      <w:r w:rsidRPr="00EA4DFA">
        <w:t>na</w:t>
      </w:r>
      <w:r>
        <w:t xml:space="preserve"> </w:t>
      </w:r>
      <w:r w:rsidRPr="00EA4DFA">
        <w:t>náhradu</w:t>
      </w:r>
      <w:r>
        <w:t xml:space="preserve"> </w:t>
      </w:r>
      <w:r w:rsidRPr="00EA4DFA">
        <w:t>škody,</w:t>
      </w:r>
      <w:r>
        <w:t xml:space="preserve"> </w:t>
      </w:r>
      <w:r w:rsidRPr="00EA4DFA">
        <w:t>právo</w:t>
      </w:r>
      <w:r>
        <w:t xml:space="preserve"> </w:t>
      </w:r>
      <w:r w:rsidRPr="00EA4DFA">
        <w:t>na</w:t>
      </w:r>
      <w:r>
        <w:t xml:space="preserve"> </w:t>
      </w:r>
      <w:r w:rsidRPr="00EA4DFA">
        <w:t>vydání</w:t>
      </w:r>
      <w:r>
        <w:t xml:space="preserve"> </w:t>
      </w:r>
      <w:r w:rsidRPr="00EA4DFA">
        <w:t>bezdůvodného</w:t>
      </w:r>
      <w:r>
        <w:t xml:space="preserve"> </w:t>
      </w:r>
      <w:r w:rsidRPr="00EA4DFA">
        <w:t>obohacení</w:t>
      </w:r>
      <w:r>
        <w:t xml:space="preserve"> </w:t>
      </w:r>
      <w:r w:rsidRPr="00EA4DFA">
        <w:t>a</w:t>
      </w:r>
      <w:r>
        <w:t xml:space="preserve"> </w:t>
      </w:r>
      <w:r w:rsidRPr="00EA4DFA">
        <w:t>další</w:t>
      </w:r>
      <w:r>
        <w:t xml:space="preserve"> </w:t>
      </w:r>
      <w:r w:rsidRPr="00EA4DFA">
        <w:t>práva</w:t>
      </w:r>
      <w:r>
        <w:t xml:space="preserve"> </w:t>
      </w:r>
      <w:r w:rsidRPr="00EA4DFA">
        <w:t>k</w:t>
      </w:r>
      <w:r>
        <w:t xml:space="preserve"> </w:t>
      </w:r>
      <w:r w:rsidRPr="00EA4DFA">
        <w:t>zajištění,</w:t>
      </w:r>
      <w:r>
        <w:t xml:space="preserve"> </w:t>
      </w:r>
      <w:r w:rsidRPr="00EA4DFA">
        <w:t>zachování</w:t>
      </w:r>
      <w:r>
        <w:t xml:space="preserve"> </w:t>
      </w:r>
      <w:r w:rsidRPr="00EA4DFA">
        <w:t>a</w:t>
      </w:r>
      <w:r>
        <w:t xml:space="preserve"> </w:t>
      </w:r>
      <w:r w:rsidRPr="00EA4DFA">
        <w:t>ochraně</w:t>
      </w:r>
      <w:r>
        <w:t xml:space="preserve"> </w:t>
      </w:r>
      <w:r w:rsidRPr="00EA4DFA">
        <w:t>majetku.</w:t>
      </w:r>
    </w:p>
    <w:p w14:paraId="7508B798" w14:textId="77777777" w:rsidR="00D031FB" w:rsidRDefault="00D031FB" w:rsidP="00B8532E">
      <w:pPr>
        <w:pStyle w:val="Textparagrafu"/>
        <w:spacing w:before="120" w:after="120"/>
      </w:pPr>
      <w:r w:rsidRPr="00EA4DFA">
        <w:t>(4)</w:t>
      </w:r>
      <w:r>
        <w:t xml:space="preserve"> </w:t>
      </w:r>
      <w:r w:rsidRPr="00EA4DFA">
        <w:t>Podnik</w:t>
      </w:r>
      <w:r>
        <w:t xml:space="preserve"> </w:t>
      </w:r>
      <w:r w:rsidRPr="00EA4DFA">
        <w:t>průběžně</w:t>
      </w:r>
      <w:r>
        <w:t xml:space="preserve"> </w:t>
      </w:r>
      <w:r w:rsidRPr="00EA4DFA">
        <w:t>sleduje,</w:t>
      </w:r>
      <w:r>
        <w:t xml:space="preserve"> </w:t>
      </w:r>
      <w:r w:rsidRPr="00EA4DFA">
        <w:t>zda</w:t>
      </w:r>
      <w:r>
        <w:t xml:space="preserve"> </w:t>
      </w:r>
      <w:r w:rsidRPr="00EA4DFA">
        <w:t>dlužníci</w:t>
      </w:r>
      <w:r>
        <w:t xml:space="preserve"> </w:t>
      </w:r>
      <w:r w:rsidRPr="00EA4DFA">
        <w:t>včas</w:t>
      </w:r>
      <w:r>
        <w:t xml:space="preserve"> </w:t>
      </w:r>
      <w:r w:rsidRPr="00EA4DFA">
        <w:t>a</w:t>
      </w:r>
      <w:r>
        <w:t xml:space="preserve"> </w:t>
      </w:r>
      <w:r w:rsidRPr="00EA4DFA">
        <w:t>řádně</w:t>
      </w:r>
      <w:r>
        <w:t xml:space="preserve"> </w:t>
      </w:r>
      <w:r w:rsidRPr="00EA4DFA">
        <w:t>plní</w:t>
      </w:r>
      <w:r>
        <w:t xml:space="preserve"> </w:t>
      </w:r>
      <w:r w:rsidRPr="00EA4DFA">
        <w:t>své</w:t>
      </w:r>
      <w:r>
        <w:t xml:space="preserve"> </w:t>
      </w:r>
      <w:r w:rsidRPr="00EA4DFA">
        <w:t>dluhy,</w:t>
      </w:r>
      <w:r>
        <w:t xml:space="preserve"> </w:t>
      </w:r>
      <w:r w:rsidRPr="00EA4DFA">
        <w:t>a</w:t>
      </w:r>
      <w:r>
        <w:t xml:space="preserve"> </w:t>
      </w:r>
      <w:r w:rsidRPr="00EA4DFA">
        <w:t>zejména</w:t>
      </w:r>
      <w:r>
        <w:t xml:space="preserve"> </w:t>
      </w:r>
      <w:r w:rsidRPr="00EA4DFA">
        <w:t>včasným</w:t>
      </w:r>
      <w:r>
        <w:t xml:space="preserve"> </w:t>
      </w:r>
      <w:r w:rsidRPr="00EA4DFA">
        <w:t>uplatněním</w:t>
      </w:r>
      <w:r>
        <w:t xml:space="preserve"> </w:t>
      </w:r>
      <w:r w:rsidRPr="00EA4DFA">
        <w:t>a</w:t>
      </w:r>
      <w:r>
        <w:t xml:space="preserve"> </w:t>
      </w:r>
      <w:r w:rsidRPr="00EA4DFA">
        <w:t>vymáháním</w:t>
      </w:r>
      <w:r>
        <w:t xml:space="preserve"> </w:t>
      </w:r>
      <w:r w:rsidRPr="00EA4DFA">
        <w:t>svých</w:t>
      </w:r>
      <w:r>
        <w:t xml:space="preserve"> </w:t>
      </w:r>
      <w:r w:rsidRPr="00EA4DFA">
        <w:t>práv</w:t>
      </w:r>
      <w:r>
        <w:t xml:space="preserve"> </w:t>
      </w:r>
      <w:r w:rsidRPr="00EA4DFA">
        <w:t>zajišťuje,</w:t>
      </w:r>
      <w:r>
        <w:t xml:space="preserve"> </w:t>
      </w:r>
      <w:r w:rsidRPr="00EA4DFA">
        <w:t>aby</w:t>
      </w:r>
      <w:r>
        <w:t xml:space="preserve"> </w:t>
      </w:r>
      <w:r w:rsidRPr="00EA4DFA">
        <w:t>nedošlo</w:t>
      </w:r>
      <w:r>
        <w:t xml:space="preserve"> </w:t>
      </w:r>
      <w:r w:rsidRPr="00EA4DFA">
        <w:t>k</w:t>
      </w:r>
      <w:r>
        <w:t xml:space="preserve"> </w:t>
      </w:r>
      <w:r w:rsidRPr="00EA4DFA">
        <w:t>promlčení</w:t>
      </w:r>
      <w:r>
        <w:t xml:space="preserve"> </w:t>
      </w:r>
      <w:r w:rsidRPr="00EA4DFA">
        <w:t>nebo</w:t>
      </w:r>
      <w:r>
        <w:t xml:space="preserve"> </w:t>
      </w:r>
      <w:r w:rsidRPr="00EA4DFA">
        <w:t>zániku</w:t>
      </w:r>
      <w:r>
        <w:t xml:space="preserve"> </w:t>
      </w:r>
      <w:r w:rsidRPr="00EA4DFA">
        <w:t>těchto</w:t>
      </w:r>
      <w:r>
        <w:t xml:space="preserve"> </w:t>
      </w:r>
      <w:r w:rsidRPr="00EA4DFA">
        <w:t>práv.</w:t>
      </w:r>
      <w:r>
        <w:t xml:space="preserve"> </w:t>
      </w:r>
      <w:r w:rsidRPr="00EA4DFA">
        <w:t>Podnik</w:t>
      </w:r>
      <w:r>
        <w:t xml:space="preserve"> </w:t>
      </w:r>
      <w:r w:rsidRPr="00EA4DFA">
        <w:t>od</w:t>
      </w:r>
      <w:r>
        <w:t xml:space="preserve"> </w:t>
      </w:r>
      <w:r w:rsidRPr="00EA4DFA">
        <w:t>dlužníků</w:t>
      </w:r>
      <w:r>
        <w:t xml:space="preserve"> </w:t>
      </w:r>
      <w:r w:rsidRPr="00EA4DFA">
        <w:t>požaduje</w:t>
      </w:r>
      <w:r>
        <w:t xml:space="preserve"> </w:t>
      </w:r>
      <w:r w:rsidRPr="00EA4DFA">
        <w:t>úroky</w:t>
      </w:r>
      <w:r>
        <w:t xml:space="preserve"> </w:t>
      </w:r>
      <w:r w:rsidRPr="00EA4DFA">
        <w:t>z</w:t>
      </w:r>
      <w:r>
        <w:t xml:space="preserve"> </w:t>
      </w:r>
      <w:r w:rsidRPr="00EA4DFA">
        <w:t>prodlení</w:t>
      </w:r>
      <w:r>
        <w:t xml:space="preserve"> </w:t>
      </w:r>
      <w:r w:rsidRPr="00EA4DFA">
        <w:t>a</w:t>
      </w:r>
      <w:r>
        <w:t xml:space="preserve"> </w:t>
      </w:r>
      <w:r w:rsidRPr="00EA4DFA">
        <w:t>sjednané</w:t>
      </w:r>
      <w:r>
        <w:t xml:space="preserve"> </w:t>
      </w:r>
      <w:r w:rsidRPr="00EA4DFA">
        <w:t>smluvní</w:t>
      </w:r>
      <w:r>
        <w:t xml:space="preserve"> </w:t>
      </w:r>
      <w:r w:rsidRPr="00EA4DFA">
        <w:t>pokuty.</w:t>
      </w:r>
      <w:r>
        <w:t xml:space="preserve"> </w:t>
      </w:r>
      <w:r w:rsidRPr="00EA4DFA">
        <w:t>Podnik</w:t>
      </w:r>
      <w:r>
        <w:t xml:space="preserve"> </w:t>
      </w:r>
      <w:r w:rsidRPr="00EA4DFA">
        <w:t>není</w:t>
      </w:r>
      <w:r>
        <w:t xml:space="preserve"> </w:t>
      </w:r>
      <w:r w:rsidRPr="00EA4DFA">
        <w:t>povinen</w:t>
      </w:r>
      <w:r>
        <w:t xml:space="preserve"> </w:t>
      </w:r>
      <w:r w:rsidRPr="00EA4DFA">
        <w:t>takto</w:t>
      </w:r>
      <w:r>
        <w:t xml:space="preserve"> </w:t>
      </w:r>
      <w:r w:rsidRPr="00EA4DFA">
        <w:t>postupovat,</w:t>
      </w:r>
      <w:r>
        <w:t xml:space="preserve"> </w:t>
      </w:r>
      <w:r w:rsidRPr="00EA4DFA">
        <w:t>pokud</w:t>
      </w:r>
      <w:r>
        <w:t xml:space="preserve"> </w:t>
      </w:r>
      <w:r w:rsidRPr="00EA4DFA">
        <w:t>by</w:t>
      </w:r>
      <w:r>
        <w:t xml:space="preserve"> </w:t>
      </w:r>
      <w:r w:rsidRPr="00EA4DFA">
        <w:t>byl</w:t>
      </w:r>
      <w:r>
        <w:t xml:space="preserve"> </w:t>
      </w:r>
      <w:r w:rsidRPr="00EA4DFA">
        <w:t>takový</w:t>
      </w:r>
      <w:r>
        <w:t xml:space="preserve"> </w:t>
      </w:r>
      <w:r w:rsidRPr="00EA4DFA">
        <w:t>postup</w:t>
      </w:r>
      <w:r>
        <w:t xml:space="preserve"> </w:t>
      </w:r>
      <w:r w:rsidRPr="00EA4DFA">
        <w:t>v</w:t>
      </w:r>
      <w:r>
        <w:t xml:space="preserve"> </w:t>
      </w:r>
      <w:r w:rsidRPr="00EA4DFA">
        <w:t>rozporu</w:t>
      </w:r>
      <w:r>
        <w:t xml:space="preserve"> </w:t>
      </w:r>
      <w:r w:rsidRPr="00EA4DFA">
        <w:t>s</w:t>
      </w:r>
      <w:r>
        <w:t xml:space="preserve"> </w:t>
      </w:r>
      <w:r w:rsidRPr="00EA4DFA">
        <w:t>péčí</w:t>
      </w:r>
      <w:r>
        <w:t xml:space="preserve"> </w:t>
      </w:r>
      <w:r w:rsidRPr="00EA4DFA">
        <w:t>řádného</w:t>
      </w:r>
      <w:r>
        <w:t xml:space="preserve"> </w:t>
      </w:r>
      <w:r w:rsidRPr="00EA4DFA">
        <w:t>hospodáře.</w:t>
      </w:r>
    </w:p>
    <w:p w14:paraId="6A7849FD" w14:textId="2A0063FB" w:rsidR="00D031FB" w:rsidRPr="00EA4DFA" w:rsidRDefault="00D031FB" w:rsidP="00B8532E">
      <w:pPr>
        <w:pStyle w:val="Textparagrafu"/>
        <w:spacing w:before="120" w:after="120"/>
      </w:pPr>
      <w:r w:rsidRPr="00EA4DFA">
        <w:t>(5)</w:t>
      </w:r>
      <w:r>
        <w:t xml:space="preserve"> </w:t>
      </w:r>
      <w:r w:rsidRPr="001B784C">
        <w:rPr>
          <w:strike/>
        </w:rPr>
        <w:t>Účetní závěrka podniku musí být ověřena auditorem.</w:t>
      </w:r>
      <w:r>
        <w:t xml:space="preserve"> </w:t>
      </w:r>
      <w:bookmarkStart w:id="26" w:name="_Hlk164150958"/>
      <w:r w:rsidR="001B784C" w:rsidRPr="008F49EF">
        <w:rPr>
          <w:b/>
          <w:bCs/>
        </w:rPr>
        <w:t xml:space="preserve">Podnik </w:t>
      </w:r>
      <w:r w:rsidR="001B784C">
        <w:rPr>
          <w:b/>
          <w:bCs/>
        </w:rPr>
        <w:t xml:space="preserve">vyhotovuje individuální zprávu vedení a </w:t>
      </w:r>
      <w:r w:rsidR="001B784C" w:rsidRPr="008F49EF">
        <w:rPr>
          <w:b/>
          <w:bCs/>
        </w:rPr>
        <w:t xml:space="preserve">má povinnost auditu </w:t>
      </w:r>
      <w:r w:rsidR="001B784C">
        <w:rPr>
          <w:b/>
          <w:bCs/>
        </w:rPr>
        <w:t xml:space="preserve">řádné </w:t>
      </w:r>
      <w:r w:rsidR="001B784C" w:rsidRPr="008F49EF">
        <w:rPr>
          <w:b/>
          <w:bCs/>
        </w:rPr>
        <w:t>účetní závěrky</w:t>
      </w:r>
      <w:r w:rsidR="001B784C" w:rsidRPr="001B784C">
        <w:rPr>
          <w:b/>
        </w:rPr>
        <w:t>.</w:t>
      </w:r>
      <w:bookmarkEnd w:id="26"/>
      <w:r w:rsidR="001B784C">
        <w:t xml:space="preserve"> </w:t>
      </w:r>
      <w:r w:rsidRPr="00EA4DFA">
        <w:t>Ředitel</w:t>
      </w:r>
      <w:r>
        <w:t xml:space="preserve"> </w:t>
      </w:r>
      <w:r w:rsidRPr="00EA4DFA">
        <w:t>podniku</w:t>
      </w:r>
      <w:r>
        <w:t xml:space="preserve"> </w:t>
      </w:r>
      <w:r w:rsidRPr="00EA4DFA">
        <w:t>sdělí</w:t>
      </w:r>
      <w:r>
        <w:t xml:space="preserve"> </w:t>
      </w:r>
      <w:r w:rsidRPr="00EA4DFA">
        <w:t>písemně</w:t>
      </w:r>
      <w:r>
        <w:t xml:space="preserve"> </w:t>
      </w:r>
      <w:r w:rsidRPr="00EA4DFA">
        <w:t>zakladateli</w:t>
      </w:r>
      <w:r>
        <w:t xml:space="preserve"> </w:t>
      </w:r>
      <w:r w:rsidRPr="00EA4DFA">
        <w:t>a</w:t>
      </w:r>
      <w:r>
        <w:t xml:space="preserve"> </w:t>
      </w:r>
      <w:r w:rsidRPr="00EA4DFA">
        <w:t>dozorčí</w:t>
      </w:r>
      <w:r>
        <w:t xml:space="preserve"> </w:t>
      </w:r>
      <w:r w:rsidRPr="00EA4DFA">
        <w:t>radě</w:t>
      </w:r>
      <w:r>
        <w:t xml:space="preserve"> </w:t>
      </w:r>
      <w:r w:rsidRPr="00EA4DFA">
        <w:t>do</w:t>
      </w:r>
      <w:r>
        <w:t xml:space="preserve"> </w:t>
      </w:r>
      <w:r w:rsidRPr="00EA4DFA">
        <w:t>1</w:t>
      </w:r>
      <w:r>
        <w:t xml:space="preserve"> </w:t>
      </w:r>
      <w:r w:rsidRPr="00EA4DFA">
        <w:t>měsíce</w:t>
      </w:r>
      <w:r>
        <w:t xml:space="preserve"> </w:t>
      </w:r>
      <w:r w:rsidRPr="00EA4DFA">
        <w:t>od</w:t>
      </w:r>
      <w:r>
        <w:t xml:space="preserve"> </w:t>
      </w:r>
      <w:r w:rsidRPr="00EA4DFA">
        <w:t>doručení</w:t>
      </w:r>
      <w:r>
        <w:t xml:space="preserve"> </w:t>
      </w:r>
      <w:r w:rsidRPr="00EA4DFA">
        <w:t>zprávy</w:t>
      </w:r>
      <w:r>
        <w:t xml:space="preserve"> </w:t>
      </w:r>
      <w:r w:rsidRPr="00EA4DFA">
        <w:t>auditora</w:t>
      </w:r>
      <w:r>
        <w:t xml:space="preserve"> </w:t>
      </w:r>
      <w:r w:rsidRPr="007B06A0">
        <w:rPr>
          <w:strike/>
        </w:rPr>
        <w:t>o ověření účetní závěrky</w:t>
      </w:r>
      <w:r w:rsidR="007B06A0" w:rsidRPr="007B06A0">
        <w:rPr>
          <w:b/>
        </w:rPr>
        <w:t xml:space="preserve"> </w:t>
      </w:r>
      <w:r w:rsidR="007B06A0" w:rsidRPr="00EA4A46">
        <w:rPr>
          <w:b/>
        </w:rPr>
        <w:t>o</w:t>
      </w:r>
      <w:r w:rsidR="007B06A0">
        <w:rPr>
          <w:b/>
        </w:rPr>
        <w:t> </w:t>
      </w:r>
      <w:r w:rsidR="007B06A0" w:rsidRPr="00EA4A46">
        <w:rPr>
          <w:b/>
        </w:rPr>
        <w:t>povinném auditu</w:t>
      </w:r>
      <w:r w:rsidRPr="00EA4DFA">
        <w:t>,</w:t>
      </w:r>
      <w:r>
        <w:t xml:space="preserve"> </w:t>
      </w:r>
      <w:r w:rsidRPr="00EA4DFA">
        <w:t>jaká</w:t>
      </w:r>
      <w:r>
        <w:t xml:space="preserve"> </w:t>
      </w:r>
      <w:r w:rsidRPr="00EA4DFA">
        <w:t>byla</w:t>
      </w:r>
      <w:r>
        <w:t xml:space="preserve"> </w:t>
      </w:r>
      <w:r w:rsidRPr="00EA4DFA">
        <w:t>přijata</w:t>
      </w:r>
      <w:r>
        <w:t xml:space="preserve"> </w:t>
      </w:r>
      <w:r w:rsidRPr="00EA4DFA">
        <w:t>opatření</w:t>
      </w:r>
      <w:r>
        <w:t xml:space="preserve"> </w:t>
      </w:r>
      <w:r w:rsidRPr="00EA4DFA">
        <w:t>k</w:t>
      </w:r>
      <w:r>
        <w:t xml:space="preserve"> </w:t>
      </w:r>
      <w:r w:rsidRPr="00EA4DFA">
        <w:t>odstranění</w:t>
      </w:r>
      <w:r>
        <w:t xml:space="preserve"> </w:t>
      </w:r>
      <w:r w:rsidRPr="00EA4DFA">
        <w:t>nedostatků</w:t>
      </w:r>
      <w:r>
        <w:t xml:space="preserve"> </w:t>
      </w:r>
      <w:r w:rsidRPr="00EA4DFA">
        <w:t>v</w:t>
      </w:r>
      <w:r>
        <w:t xml:space="preserve"> </w:t>
      </w:r>
      <w:r w:rsidRPr="00EA4DFA">
        <w:t>této</w:t>
      </w:r>
      <w:r>
        <w:t xml:space="preserve"> </w:t>
      </w:r>
      <w:r w:rsidRPr="00EA4DFA">
        <w:t>zprávě</w:t>
      </w:r>
      <w:r>
        <w:t xml:space="preserve"> </w:t>
      </w:r>
      <w:r w:rsidRPr="00EA4DFA">
        <w:t>auditora</w:t>
      </w:r>
      <w:r>
        <w:t xml:space="preserve"> </w:t>
      </w:r>
      <w:r w:rsidRPr="00EA4DFA">
        <w:t>uvedených.</w:t>
      </w:r>
    </w:p>
    <w:p w14:paraId="63A636A0" w14:textId="77777777" w:rsidR="00D031FB" w:rsidRDefault="00D031FB" w:rsidP="00D031FB">
      <w:pPr>
        <w:pStyle w:val="Textparagrafu"/>
        <w:tabs>
          <w:tab w:val="left" w:pos="406"/>
          <w:tab w:val="left" w:pos="840"/>
          <w:tab w:val="left" w:pos="868"/>
        </w:tabs>
        <w:spacing w:after="120"/>
        <w:ind w:firstLine="0"/>
        <w:sectPr w:rsidR="00D031FB" w:rsidSect="00554E2B">
          <w:footnotePr>
            <w:numStart w:val="3"/>
          </w:footnotePr>
          <w:endnotePr>
            <w:numFmt w:val="decimal"/>
          </w:endnotePr>
          <w:pgSz w:w="11906" w:h="16838"/>
          <w:pgMar w:top="1418" w:right="1418" w:bottom="1418" w:left="1418" w:header="709" w:footer="709" w:gutter="0"/>
          <w:cols w:space="708"/>
          <w:docGrid w:linePitch="360"/>
        </w:sectPr>
      </w:pPr>
    </w:p>
    <w:p w14:paraId="0C4F0886" w14:textId="1369B54E" w:rsidR="00E75796" w:rsidRPr="00E75796" w:rsidRDefault="00E75796" w:rsidP="00B8532E">
      <w:pPr>
        <w:tabs>
          <w:tab w:val="left" w:pos="851"/>
        </w:tabs>
        <w:spacing w:before="120" w:after="120"/>
        <w:ind w:firstLine="0"/>
        <w:jc w:val="center"/>
        <w:outlineLvl w:val="0"/>
        <w:rPr>
          <w:szCs w:val="24"/>
        </w:rPr>
      </w:pPr>
      <w:r w:rsidRPr="001407E1">
        <w:rPr>
          <w:b/>
          <w:szCs w:val="24"/>
        </w:rPr>
        <w:lastRenderedPageBreak/>
        <w:t xml:space="preserve">K části třicáté </w:t>
      </w:r>
      <w:r w:rsidR="00B0390E">
        <w:rPr>
          <w:b/>
          <w:szCs w:val="24"/>
        </w:rPr>
        <w:t>páté</w:t>
      </w:r>
      <w:r w:rsidRPr="001407E1">
        <w:rPr>
          <w:b/>
          <w:szCs w:val="24"/>
        </w:rPr>
        <w:t xml:space="preserve"> návrhu zákona – </w:t>
      </w:r>
      <w:r w:rsidR="002C5CA6">
        <w:rPr>
          <w:szCs w:val="24"/>
        </w:rPr>
        <w:t xml:space="preserve">změna zákona </w:t>
      </w:r>
      <w:r w:rsidRPr="00506288">
        <w:rPr>
          <w:szCs w:val="24"/>
        </w:rPr>
        <w:t xml:space="preserve">o oceňování </w:t>
      </w:r>
      <w:r w:rsidRPr="00B0390E">
        <w:rPr>
          <w:strike/>
          <w:szCs w:val="24"/>
        </w:rPr>
        <w:t>majetku</w:t>
      </w:r>
    </w:p>
    <w:p w14:paraId="4F06B028" w14:textId="77777777" w:rsidR="00E75796" w:rsidRPr="00383BB6" w:rsidRDefault="00E75796" w:rsidP="00E75796">
      <w:pPr>
        <w:pStyle w:val="Odstavecseseznamem"/>
        <w:tabs>
          <w:tab w:val="left" w:pos="851"/>
        </w:tabs>
        <w:spacing w:before="120" w:after="120"/>
        <w:ind w:left="0" w:firstLine="0"/>
        <w:outlineLvl w:val="0"/>
        <w:rPr>
          <w:b/>
          <w:szCs w:val="24"/>
        </w:rPr>
      </w:pPr>
    </w:p>
    <w:p w14:paraId="4EA0C034" w14:textId="5CBEE3E9" w:rsidR="00E75796" w:rsidRPr="00E75796" w:rsidRDefault="00E75796" w:rsidP="00E75796">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383BB6">
        <w:rPr>
          <w:b/>
          <w:szCs w:val="24"/>
        </w:rPr>
        <w:t>Platné znění</w:t>
      </w:r>
      <w:r w:rsidRPr="00383BB6">
        <w:rPr>
          <w:szCs w:val="24"/>
        </w:rPr>
        <w:t xml:space="preserve"> zákona </w:t>
      </w:r>
      <w:r w:rsidRPr="00383BB6">
        <w:rPr>
          <w:color w:val="000000"/>
          <w:szCs w:val="24"/>
        </w:rPr>
        <w:t>č.</w:t>
      </w:r>
      <w:r>
        <w:rPr>
          <w:color w:val="000000"/>
          <w:szCs w:val="24"/>
        </w:rPr>
        <w:t>151</w:t>
      </w:r>
      <w:r w:rsidRPr="00383BB6">
        <w:rPr>
          <w:color w:val="000000"/>
          <w:szCs w:val="24"/>
        </w:rPr>
        <w:t>/</w:t>
      </w:r>
      <w:r w:rsidRPr="008923DB">
        <w:rPr>
          <w:szCs w:val="24"/>
        </w:rPr>
        <w:t>199</w:t>
      </w:r>
      <w:r>
        <w:rPr>
          <w:szCs w:val="24"/>
        </w:rPr>
        <w:t>7</w:t>
      </w:r>
      <w:r w:rsidRPr="008923DB">
        <w:rPr>
          <w:szCs w:val="24"/>
        </w:rPr>
        <w:t xml:space="preserve"> Sb., </w:t>
      </w:r>
      <w:r w:rsidRPr="006E4A68">
        <w:rPr>
          <w:szCs w:val="24"/>
        </w:rPr>
        <w:t xml:space="preserve">o oceňování </w:t>
      </w:r>
      <w:r w:rsidRPr="00B0390E">
        <w:rPr>
          <w:strike/>
          <w:szCs w:val="24"/>
        </w:rPr>
        <w:t>majetku</w:t>
      </w:r>
      <w:r w:rsidRPr="00506288">
        <w:rPr>
          <w:szCs w:val="24"/>
        </w:rPr>
        <w:t xml:space="preserve"> a o změně některých zákonů (zákon o oceňování </w:t>
      </w:r>
      <w:r w:rsidRPr="00B0390E">
        <w:rPr>
          <w:strike/>
          <w:szCs w:val="24"/>
        </w:rPr>
        <w:t>majetku</w:t>
      </w:r>
      <w:r w:rsidRPr="00506288">
        <w:rPr>
          <w:szCs w:val="24"/>
        </w:rPr>
        <w:t>)</w:t>
      </w:r>
    </w:p>
    <w:p w14:paraId="07FA6449" w14:textId="324E2188" w:rsidR="00E75796" w:rsidRPr="00B8532E" w:rsidRDefault="00B8532E" w:rsidP="00B8532E">
      <w:pPr>
        <w:pStyle w:val="Odstavecseseznamem"/>
        <w:numPr>
          <w:ilvl w:val="0"/>
          <w:numId w:val="27"/>
        </w:numPr>
        <w:pBdr>
          <w:top w:val="single" w:sz="12" w:space="6" w:color="auto"/>
          <w:left w:val="single" w:sz="12" w:space="0" w:color="auto"/>
          <w:bottom w:val="single" w:sz="12" w:space="6" w:color="auto"/>
          <w:right w:val="single" w:sz="12" w:space="0" w:color="auto"/>
        </w:pBdr>
        <w:spacing w:before="0" w:after="120"/>
        <w:jc w:val="center"/>
        <w:rPr>
          <w:b/>
          <w:szCs w:val="24"/>
          <w:lang w:eastAsia="en-US"/>
        </w:rPr>
      </w:pPr>
      <w:r w:rsidRPr="00AE4818">
        <w:rPr>
          <w:b/>
          <w:szCs w:val="24"/>
          <w:lang w:eastAsia="en-US"/>
        </w:rPr>
        <w:t>s vyznačením navrhovaných změn a doplnění k 1. lednu 2025</w:t>
      </w:r>
    </w:p>
    <w:p w14:paraId="519E6CD7" w14:textId="77777777" w:rsidR="0076774A" w:rsidRPr="0076774A" w:rsidRDefault="0076774A" w:rsidP="00E5337B">
      <w:pPr>
        <w:spacing w:after="120"/>
        <w:ind w:firstLine="0"/>
        <w:jc w:val="center"/>
        <w:rPr>
          <w:szCs w:val="24"/>
        </w:rPr>
      </w:pPr>
      <w:r w:rsidRPr="0076774A">
        <w:rPr>
          <w:szCs w:val="24"/>
        </w:rPr>
        <w:t>ČÁST PRVNÍ</w:t>
      </w:r>
    </w:p>
    <w:p w14:paraId="45C26060" w14:textId="77777777" w:rsidR="0076774A" w:rsidRPr="0076774A" w:rsidRDefault="0076774A" w:rsidP="00E5337B">
      <w:pPr>
        <w:spacing w:after="120"/>
        <w:ind w:firstLine="0"/>
        <w:jc w:val="center"/>
        <w:rPr>
          <w:szCs w:val="24"/>
        </w:rPr>
      </w:pPr>
      <w:r w:rsidRPr="0076774A">
        <w:rPr>
          <w:b/>
          <w:szCs w:val="24"/>
        </w:rPr>
        <w:t>ZÁKLADNÍ USTANOVENÍ</w:t>
      </w:r>
    </w:p>
    <w:p w14:paraId="4CF82EC5" w14:textId="77777777" w:rsidR="0076774A" w:rsidRPr="0076774A" w:rsidRDefault="0076774A" w:rsidP="00E5337B">
      <w:pPr>
        <w:spacing w:after="120"/>
        <w:ind w:firstLine="0"/>
        <w:jc w:val="center"/>
        <w:rPr>
          <w:szCs w:val="24"/>
        </w:rPr>
      </w:pPr>
      <w:r w:rsidRPr="0076774A">
        <w:rPr>
          <w:szCs w:val="24"/>
        </w:rPr>
        <w:t>HLAVA PRVNÍ</w:t>
      </w:r>
    </w:p>
    <w:p w14:paraId="68272AFC" w14:textId="77777777" w:rsidR="0076774A" w:rsidRPr="0076774A" w:rsidRDefault="0076774A" w:rsidP="00E5337B">
      <w:pPr>
        <w:spacing w:after="120"/>
        <w:ind w:firstLine="0"/>
        <w:jc w:val="center"/>
        <w:rPr>
          <w:strike/>
          <w:szCs w:val="24"/>
        </w:rPr>
      </w:pPr>
      <w:r w:rsidRPr="0076774A">
        <w:rPr>
          <w:strike/>
          <w:szCs w:val="24"/>
        </w:rPr>
        <w:t>ZÁKLADNÍ USTANOVENÍ</w:t>
      </w:r>
    </w:p>
    <w:p w14:paraId="41A8E335" w14:textId="680CAC13" w:rsidR="0076774A" w:rsidRPr="0076774A" w:rsidRDefault="0076774A" w:rsidP="00E5337B">
      <w:pPr>
        <w:tabs>
          <w:tab w:val="center" w:pos="4536"/>
          <w:tab w:val="right" w:pos="9072"/>
        </w:tabs>
        <w:spacing w:after="120"/>
        <w:ind w:firstLine="0"/>
        <w:jc w:val="center"/>
        <w:rPr>
          <w:b/>
          <w:szCs w:val="24"/>
        </w:rPr>
      </w:pPr>
      <w:r w:rsidRPr="0076774A">
        <w:rPr>
          <w:b/>
          <w:szCs w:val="24"/>
        </w:rPr>
        <w:t>ZÁK</w:t>
      </w:r>
      <w:r w:rsidR="00E5337B">
        <w:rPr>
          <w:b/>
          <w:szCs w:val="24"/>
        </w:rPr>
        <w:t>LADNÍ POJMY A ZPŮSOBY OCEŇOVÁNÍ</w:t>
      </w:r>
    </w:p>
    <w:p w14:paraId="0721440B" w14:textId="77777777" w:rsidR="0076774A" w:rsidRPr="0076774A" w:rsidRDefault="0076774A" w:rsidP="00E967F8">
      <w:pPr>
        <w:tabs>
          <w:tab w:val="left" w:pos="426"/>
          <w:tab w:val="left" w:pos="868"/>
        </w:tabs>
        <w:spacing w:after="120"/>
        <w:ind w:firstLine="0"/>
        <w:jc w:val="center"/>
        <w:rPr>
          <w:strike/>
          <w:szCs w:val="24"/>
        </w:rPr>
      </w:pPr>
      <w:r w:rsidRPr="0076774A">
        <w:rPr>
          <w:strike/>
          <w:szCs w:val="24"/>
        </w:rPr>
        <w:t>§ 1</w:t>
      </w:r>
    </w:p>
    <w:p w14:paraId="223C2108" w14:textId="77777777" w:rsidR="0076774A" w:rsidRPr="0076774A" w:rsidRDefault="0076774A" w:rsidP="00E967F8">
      <w:pPr>
        <w:tabs>
          <w:tab w:val="left" w:pos="426"/>
          <w:tab w:val="left" w:pos="868"/>
        </w:tabs>
        <w:spacing w:after="120"/>
        <w:ind w:firstLine="0"/>
        <w:jc w:val="center"/>
        <w:rPr>
          <w:strike/>
          <w:szCs w:val="24"/>
        </w:rPr>
      </w:pPr>
      <w:r w:rsidRPr="0076774A">
        <w:rPr>
          <w:strike/>
          <w:szCs w:val="24"/>
        </w:rPr>
        <w:t>Předmět úpravy</w:t>
      </w:r>
    </w:p>
    <w:p w14:paraId="77CBEADF" w14:textId="2DD1C52A" w:rsidR="0076774A" w:rsidRPr="0076774A" w:rsidRDefault="0076774A" w:rsidP="00B8532E">
      <w:pPr>
        <w:tabs>
          <w:tab w:val="left" w:pos="426"/>
          <w:tab w:val="left" w:pos="868"/>
        </w:tabs>
        <w:spacing w:before="120" w:after="120"/>
        <w:rPr>
          <w:strike/>
          <w:szCs w:val="24"/>
        </w:rPr>
      </w:pPr>
      <w:r w:rsidRPr="0076774A">
        <w:rPr>
          <w:strike/>
          <w:szCs w:val="24"/>
        </w:rPr>
        <w:t>(1) Zákon upravuje způsoby oceňování věcí, práv a jiných majetkových hodnot (dále jen "majetek") a služeb pro účely stanovené zvláštními předpisy</w:t>
      </w:r>
      <w:r w:rsidR="005B0A10">
        <w:rPr>
          <w:rStyle w:val="Znakapoznpodarou"/>
          <w:strike/>
          <w:szCs w:val="24"/>
        </w:rPr>
        <w:footnoteReference w:customMarkFollows="1" w:id="247"/>
        <w:t>1)</w:t>
      </w:r>
      <w:r w:rsidR="00407F6E">
        <w:rPr>
          <w:strike/>
          <w:szCs w:val="24"/>
        </w:rPr>
        <w:t>.</w:t>
      </w:r>
      <w:r w:rsidRPr="0076774A">
        <w:rPr>
          <w:strike/>
          <w:szCs w:val="24"/>
        </w:rPr>
        <w:t xml:space="preserve"> Odkazují-li tyto předpisy na cenový nebo zvláštní předpis pro ocenění majetku nebo služby k jinému účelu než pro prodej, rozumí se tímto předpisem tento zákon. Zákon platí i pro účely stanovené zvláštními předpisy uvedenými v části čtvrté až deváté tohoto zákona a dále tehdy, stanoví-li tak příslušný orgán v rámci svého oprávnění nebo dohodnou-li se tak strany.</w:t>
      </w:r>
    </w:p>
    <w:p w14:paraId="64FE6B57" w14:textId="7FC1CFC2" w:rsidR="0076774A" w:rsidRPr="0076774A" w:rsidRDefault="0076774A" w:rsidP="00B8532E">
      <w:pPr>
        <w:tabs>
          <w:tab w:val="left" w:pos="426"/>
          <w:tab w:val="left" w:pos="868"/>
        </w:tabs>
        <w:spacing w:before="120" w:after="120"/>
        <w:rPr>
          <w:strike/>
          <w:szCs w:val="24"/>
        </w:rPr>
      </w:pPr>
      <w:r w:rsidRPr="0076774A">
        <w:rPr>
          <w:strike/>
          <w:szCs w:val="24"/>
        </w:rPr>
        <w:t>(2) Zákon se nevztahuje na sjednávání cen</w:t>
      </w:r>
      <w:r w:rsidR="005B0A10">
        <w:rPr>
          <w:rStyle w:val="Znakapoznpodarou"/>
          <w:strike/>
          <w:szCs w:val="24"/>
        </w:rPr>
        <w:footnoteReference w:customMarkFollows="1" w:id="248"/>
        <w:t>2)</w:t>
      </w:r>
      <w:r w:rsidRPr="0076774A">
        <w:rPr>
          <w:strike/>
          <w:szCs w:val="24"/>
        </w:rPr>
        <w:t xml:space="preserve"> a neplatí pro oceňování přírodních zdrojů kromě lesů.</w:t>
      </w:r>
    </w:p>
    <w:p w14:paraId="0F68CC0A" w14:textId="77777777" w:rsidR="0076774A" w:rsidRPr="0076774A" w:rsidRDefault="0076774A" w:rsidP="00B8532E">
      <w:pPr>
        <w:tabs>
          <w:tab w:val="left" w:pos="426"/>
          <w:tab w:val="left" w:pos="868"/>
        </w:tabs>
        <w:spacing w:before="120" w:after="120"/>
        <w:rPr>
          <w:strike/>
          <w:szCs w:val="24"/>
        </w:rPr>
      </w:pPr>
      <w:r w:rsidRPr="0076774A">
        <w:rPr>
          <w:strike/>
          <w:szCs w:val="24"/>
        </w:rPr>
        <w:t>(3) Ustanovení tohoto zákona se nepoužijí</w:t>
      </w:r>
    </w:p>
    <w:p w14:paraId="42685088" w14:textId="469DBB7C" w:rsidR="0076774A" w:rsidRPr="0076774A" w:rsidRDefault="00C85EF6" w:rsidP="00B8532E">
      <w:pPr>
        <w:tabs>
          <w:tab w:val="left" w:pos="426"/>
          <w:tab w:val="left" w:pos="868"/>
        </w:tabs>
        <w:spacing w:before="120" w:after="120"/>
        <w:ind w:firstLine="0"/>
        <w:rPr>
          <w:strike/>
          <w:szCs w:val="24"/>
        </w:rPr>
      </w:pPr>
      <w:r>
        <w:rPr>
          <w:strike/>
          <w:szCs w:val="24"/>
        </w:rPr>
        <w:t>a)</w:t>
      </w:r>
      <w:r>
        <w:rPr>
          <w:strike/>
          <w:szCs w:val="24"/>
        </w:rPr>
        <w:tab/>
      </w:r>
      <w:r w:rsidR="0076774A" w:rsidRPr="0076774A">
        <w:rPr>
          <w:strike/>
          <w:szCs w:val="24"/>
        </w:rPr>
        <w:t>v případech, kdy zvláštní předpis stanoví odlišný způsob oceňování,</w:t>
      </w:r>
      <w:r w:rsidR="008772EA">
        <w:rPr>
          <w:rStyle w:val="Znakapoznpodarou"/>
          <w:strike/>
          <w:szCs w:val="24"/>
        </w:rPr>
        <w:footnoteReference w:customMarkFollows="1" w:id="249"/>
        <w:t>3)</w:t>
      </w:r>
    </w:p>
    <w:p w14:paraId="3D4031C8" w14:textId="2A617196" w:rsidR="0076774A" w:rsidRPr="00E5337B" w:rsidRDefault="00C85EF6" w:rsidP="00B8532E">
      <w:pPr>
        <w:tabs>
          <w:tab w:val="left" w:pos="426"/>
          <w:tab w:val="left" w:pos="868"/>
        </w:tabs>
        <w:spacing w:before="120" w:after="120"/>
        <w:ind w:firstLine="0"/>
        <w:rPr>
          <w:strike/>
          <w:szCs w:val="24"/>
        </w:rPr>
      </w:pPr>
      <w:r>
        <w:rPr>
          <w:strike/>
          <w:szCs w:val="24"/>
        </w:rPr>
        <w:t>b)</w:t>
      </w:r>
      <w:r>
        <w:rPr>
          <w:strike/>
          <w:szCs w:val="24"/>
        </w:rPr>
        <w:tab/>
      </w:r>
      <w:r w:rsidR="0076774A" w:rsidRPr="0076774A">
        <w:rPr>
          <w:strike/>
          <w:szCs w:val="24"/>
        </w:rPr>
        <w:t>při převádění majetku podle zvláštního předpisu.</w:t>
      </w:r>
      <w:r w:rsidR="008772EA">
        <w:rPr>
          <w:rStyle w:val="Znakapoznpodarou"/>
          <w:strike/>
          <w:szCs w:val="24"/>
        </w:rPr>
        <w:footnoteReference w:customMarkFollows="1" w:id="250"/>
        <w:t>4)</w:t>
      </w:r>
    </w:p>
    <w:p w14:paraId="62C29AFF" w14:textId="77777777" w:rsidR="0076774A" w:rsidRPr="0076774A" w:rsidRDefault="0076774A" w:rsidP="009B1011">
      <w:pPr>
        <w:tabs>
          <w:tab w:val="left" w:pos="426"/>
          <w:tab w:val="left" w:pos="868"/>
        </w:tabs>
        <w:spacing w:after="120"/>
        <w:ind w:firstLine="0"/>
        <w:jc w:val="center"/>
        <w:rPr>
          <w:strike/>
          <w:szCs w:val="24"/>
        </w:rPr>
      </w:pPr>
      <w:r w:rsidRPr="0076774A">
        <w:rPr>
          <w:strike/>
          <w:szCs w:val="24"/>
        </w:rPr>
        <w:lastRenderedPageBreak/>
        <w:t>§ 2</w:t>
      </w:r>
    </w:p>
    <w:p w14:paraId="5EC12491" w14:textId="77777777" w:rsidR="0076774A" w:rsidRPr="00B8532E" w:rsidRDefault="0076774A" w:rsidP="009B1011">
      <w:pPr>
        <w:tabs>
          <w:tab w:val="left" w:pos="426"/>
          <w:tab w:val="left" w:pos="868"/>
        </w:tabs>
        <w:spacing w:after="120"/>
        <w:ind w:firstLine="0"/>
        <w:jc w:val="center"/>
        <w:rPr>
          <w:b/>
          <w:strike/>
          <w:szCs w:val="24"/>
        </w:rPr>
      </w:pPr>
      <w:r w:rsidRPr="00B8532E">
        <w:rPr>
          <w:b/>
          <w:strike/>
          <w:szCs w:val="24"/>
        </w:rPr>
        <w:t>Způsoby oceňování majetku a služeb</w:t>
      </w:r>
    </w:p>
    <w:p w14:paraId="32A4B926" w14:textId="77777777" w:rsidR="0076774A" w:rsidRPr="0076774A" w:rsidRDefault="0076774A" w:rsidP="00B8532E">
      <w:pPr>
        <w:tabs>
          <w:tab w:val="left" w:pos="426"/>
          <w:tab w:val="left" w:pos="868"/>
        </w:tabs>
        <w:spacing w:before="120" w:after="120"/>
        <w:rPr>
          <w:strike/>
          <w:szCs w:val="24"/>
        </w:rPr>
      </w:pPr>
      <w:r w:rsidRPr="0076774A">
        <w:rPr>
          <w:strike/>
          <w:szCs w:val="24"/>
        </w:rPr>
        <w:t>(1) Pokud tento zákon nestanoví jiný způsob oceňování, oceňují se majetek a služba obvyklou cenou.</w:t>
      </w:r>
    </w:p>
    <w:p w14:paraId="745FC4E9" w14:textId="77777777" w:rsidR="0076774A" w:rsidRPr="0076774A" w:rsidRDefault="0076774A" w:rsidP="00B8532E">
      <w:pPr>
        <w:tabs>
          <w:tab w:val="left" w:pos="426"/>
          <w:tab w:val="left" w:pos="868"/>
        </w:tabs>
        <w:spacing w:before="120" w:after="120"/>
        <w:rPr>
          <w:strike/>
          <w:szCs w:val="24"/>
        </w:rPr>
      </w:pPr>
      <w:r w:rsidRPr="0076774A">
        <w:rPr>
          <w:strike/>
          <w:szCs w:val="24"/>
        </w:rPr>
        <w:t>(2) Obvyklou cenou se pro účely tohoto zákona rozumí cena, která by byla dosažena při prodejích stejného, popřípadě obdobného majetku nebo při poskytování stejné nebo obdobné služby v obvyklém obchodním styku v tuzemsku ke dni ocenění. Přitom se zvažují všechny okolnosti, které mají na cenu vliv, avšak do její výše se nepromítají vlivy mimořádných okolností trhu, osobních poměrů prodávajícího nebo kupujícího ani vliv zvláštní obliby. Mimořádnými okolnostmi trhu se rozumějí například stav tísně prodávajícího nebo kupujícího, důsledky přírodních či jiných kalamit. Osobními poměry se rozumějí zejména vztahy majetkové, rodinné nebo jiné osobní vztahy mezi prodávajícím a kupujícím. Zvláštní oblibou se rozumí zvláštní hodnota přikládaná majetku nebo službě vyplývající z osobního vztahu k nim. Obvyklá cena vyjadřuje hodnotu majetku nebo služby a určí se ze sjednaných cen porovnáním.</w:t>
      </w:r>
    </w:p>
    <w:p w14:paraId="1912243F" w14:textId="77777777" w:rsidR="0076774A" w:rsidRPr="0076774A" w:rsidRDefault="0076774A" w:rsidP="00B8532E">
      <w:pPr>
        <w:tabs>
          <w:tab w:val="left" w:pos="426"/>
          <w:tab w:val="left" w:pos="868"/>
        </w:tabs>
        <w:spacing w:before="120" w:after="120"/>
        <w:rPr>
          <w:strike/>
          <w:szCs w:val="24"/>
        </w:rPr>
      </w:pPr>
      <w:r w:rsidRPr="0076774A">
        <w:rPr>
          <w:strike/>
          <w:szCs w:val="24"/>
        </w:rPr>
        <w:t>(3) V odůvodněných případech, kdy nelze obvyklou cenu určit, oceňuje se majetek a služba tržní hodnotou, pokud zvláštní právní předpis nestanoví jinak. Přitom se zvažují všechny okolnosti, které mají na tržní hodnotu vliv. Důvody pro neurčení obvyklé ceny musejí být v ocenění uvedeny.</w:t>
      </w:r>
    </w:p>
    <w:p w14:paraId="68053344" w14:textId="77777777" w:rsidR="0076774A" w:rsidRPr="0076774A" w:rsidRDefault="0076774A" w:rsidP="00B8532E">
      <w:pPr>
        <w:tabs>
          <w:tab w:val="left" w:pos="426"/>
          <w:tab w:val="left" w:pos="868"/>
        </w:tabs>
        <w:spacing w:before="120" w:after="120"/>
        <w:rPr>
          <w:strike/>
          <w:szCs w:val="24"/>
        </w:rPr>
      </w:pPr>
      <w:r w:rsidRPr="0076774A">
        <w:rPr>
          <w:strike/>
          <w:szCs w:val="24"/>
        </w:rPr>
        <w:t>(4) Tržní hodnotou se pro účely tohoto zákona rozumí odhadovaná částka, za kterou by měly být majetek nebo služba směněny ke dni ocenění mezi ochotným kupujícím a ochotným prodávajícím, a to v obchodním styku uskutečněném v souladu s principem tržního odstupu, po náležitém marketingu, kdy každá ze stran jednala informovaně, uvážlivě a nikoli v tísni. Principem tržního odstupu se pro účely tohoto zákona rozumí, že účastníci směny jsou osobami, které mezi sebou nemají žádný zvláštní vzájemný vztah a jednají vzájemně nezávisle.</w:t>
      </w:r>
    </w:p>
    <w:p w14:paraId="2A8CA241" w14:textId="77777777" w:rsidR="0076774A" w:rsidRPr="0076774A" w:rsidRDefault="0076774A" w:rsidP="00B8532E">
      <w:pPr>
        <w:tabs>
          <w:tab w:val="left" w:pos="426"/>
          <w:tab w:val="left" w:pos="868"/>
        </w:tabs>
        <w:spacing w:before="120" w:after="120"/>
        <w:rPr>
          <w:strike/>
          <w:szCs w:val="24"/>
        </w:rPr>
      </w:pPr>
      <w:r w:rsidRPr="0076774A">
        <w:rPr>
          <w:strike/>
          <w:szCs w:val="24"/>
        </w:rPr>
        <w:t>(5) Určení obvyklé ceny a tržní hodnoty a postup při tomto určení musejí být z ocenění zřejmé, jejich použití, včetně použitých údajů, musí být odůvodněno a odpovídat druhu předmětu ocenění, účelu ocenění a dostupnosti objektivních dat využitelných pro ocenění. Podrobnosti k určení obvyklé ceny a tržní hodnoty stanoví vyhláška.</w:t>
      </w:r>
    </w:p>
    <w:p w14:paraId="70395653" w14:textId="77777777" w:rsidR="0076774A" w:rsidRPr="0076774A" w:rsidRDefault="0076774A" w:rsidP="00B8532E">
      <w:pPr>
        <w:tabs>
          <w:tab w:val="left" w:pos="426"/>
          <w:tab w:val="left" w:pos="868"/>
        </w:tabs>
        <w:spacing w:before="120" w:after="120"/>
        <w:rPr>
          <w:strike/>
          <w:szCs w:val="24"/>
        </w:rPr>
      </w:pPr>
      <w:r w:rsidRPr="0076774A">
        <w:rPr>
          <w:strike/>
          <w:szCs w:val="24"/>
        </w:rPr>
        <w:t>(6) Mimořádnou cenou se rozumí cena, do jejíž výše se promítly mimořádné okolnosti trhu, osobní poměry prodávajícího nebo kupujícího nebo vliv zvláštní obliby.</w:t>
      </w:r>
    </w:p>
    <w:p w14:paraId="62B1AFA0" w14:textId="77777777" w:rsidR="0076774A" w:rsidRPr="0076774A" w:rsidRDefault="0076774A" w:rsidP="00B8532E">
      <w:pPr>
        <w:tabs>
          <w:tab w:val="left" w:pos="426"/>
          <w:tab w:val="left" w:pos="868"/>
        </w:tabs>
        <w:spacing w:before="120" w:after="120"/>
        <w:rPr>
          <w:strike/>
          <w:szCs w:val="24"/>
        </w:rPr>
      </w:pPr>
      <w:r w:rsidRPr="0076774A">
        <w:rPr>
          <w:strike/>
          <w:szCs w:val="24"/>
        </w:rPr>
        <w:t>(7) Cena určená podle tohoto zákona jinak než obvyklá cena, mimořádná cena nebo tržní hodnota, je cena zjištěná.</w:t>
      </w:r>
    </w:p>
    <w:p w14:paraId="55AB8888" w14:textId="77777777" w:rsidR="0076774A" w:rsidRPr="0076774A" w:rsidRDefault="0076774A" w:rsidP="00B8532E">
      <w:pPr>
        <w:tabs>
          <w:tab w:val="left" w:pos="426"/>
          <w:tab w:val="left" w:pos="868"/>
        </w:tabs>
        <w:spacing w:before="120" w:after="120"/>
        <w:rPr>
          <w:strike/>
          <w:szCs w:val="24"/>
        </w:rPr>
      </w:pPr>
      <w:r w:rsidRPr="0076774A">
        <w:rPr>
          <w:strike/>
          <w:szCs w:val="24"/>
        </w:rPr>
        <w:t>(8) Službou je poskytování činností nebo hmotně zachytitelných výsledků činností.</w:t>
      </w:r>
    </w:p>
    <w:p w14:paraId="30A1A977" w14:textId="77777777" w:rsidR="0076774A" w:rsidRPr="0076774A" w:rsidRDefault="0076774A" w:rsidP="00B8532E">
      <w:pPr>
        <w:tabs>
          <w:tab w:val="left" w:pos="426"/>
          <w:tab w:val="left" w:pos="868"/>
        </w:tabs>
        <w:spacing w:before="120" w:after="120"/>
        <w:rPr>
          <w:strike/>
          <w:szCs w:val="24"/>
        </w:rPr>
      </w:pPr>
      <w:r w:rsidRPr="0076774A">
        <w:rPr>
          <w:strike/>
          <w:szCs w:val="24"/>
        </w:rPr>
        <w:t>(9) Jiným způsobem oceňování stanoveným tímto zákonem nebo na jeho základě je</w:t>
      </w:r>
    </w:p>
    <w:p w14:paraId="44EF0ED3" w14:textId="46D6DF9D" w:rsidR="0076774A" w:rsidRPr="0076774A" w:rsidRDefault="005B0A10" w:rsidP="00B8532E">
      <w:pPr>
        <w:tabs>
          <w:tab w:val="left" w:pos="426"/>
          <w:tab w:val="left" w:pos="868"/>
        </w:tabs>
        <w:spacing w:before="0"/>
        <w:ind w:left="425" w:hanging="425"/>
        <w:rPr>
          <w:strike/>
          <w:szCs w:val="24"/>
        </w:rPr>
      </w:pPr>
      <w:r>
        <w:rPr>
          <w:strike/>
          <w:szCs w:val="24"/>
        </w:rPr>
        <w:t>a)</w:t>
      </w:r>
      <w:r>
        <w:rPr>
          <w:strike/>
          <w:szCs w:val="24"/>
        </w:rPr>
        <w:tab/>
      </w:r>
      <w:r w:rsidR="0076774A" w:rsidRPr="0076774A">
        <w:rPr>
          <w:strike/>
          <w:szCs w:val="24"/>
        </w:rPr>
        <w:t>nákladový způsob, který vychází z nákladů, které by bylo nutno vynaložit na pořízení předmětu ocenění v místě ocenění a podle jeho stavu ke dni ocenění,</w:t>
      </w:r>
    </w:p>
    <w:p w14:paraId="22189144" w14:textId="18516942" w:rsidR="0076774A" w:rsidRPr="0076774A" w:rsidRDefault="005B0A10" w:rsidP="00B8532E">
      <w:pPr>
        <w:tabs>
          <w:tab w:val="left" w:pos="426"/>
          <w:tab w:val="left" w:pos="868"/>
        </w:tabs>
        <w:spacing w:before="0"/>
        <w:ind w:left="425" w:hanging="425"/>
        <w:rPr>
          <w:strike/>
          <w:szCs w:val="24"/>
        </w:rPr>
      </w:pPr>
      <w:r>
        <w:rPr>
          <w:strike/>
          <w:szCs w:val="24"/>
        </w:rPr>
        <w:t>b)</w:t>
      </w:r>
      <w:r>
        <w:rPr>
          <w:strike/>
          <w:szCs w:val="24"/>
        </w:rPr>
        <w:tab/>
      </w:r>
      <w:r w:rsidR="0076774A" w:rsidRPr="0076774A">
        <w:rPr>
          <w:strike/>
          <w:szCs w:val="24"/>
        </w:rPr>
        <w:t>výnosový způsob, který vychází z výnosu z předmětu ocenění skutečně dosahovaného nebo z výnosu, který lze z předmětu ocenění za daných podmínek obvykle získat, a z kapitalizace tohoto výnosu (úrokové míry),</w:t>
      </w:r>
    </w:p>
    <w:p w14:paraId="2389A4AA" w14:textId="57448E46" w:rsidR="0076774A" w:rsidRPr="0076774A" w:rsidRDefault="005B0A10" w:rsidP="00B8532E">
      <w:pPr>
        <w:tabs>
          <w:tab w:val="left" w:pos="426"/>
          <w:tab w:val="left" w:pos="868"/>
        </w:tabs>
        <w:spacing w:before="0"/>
        <w:ind w:left="425" w:hanging="425"/>
        <w:rPr>
          <w:strike/>
          <w:szCs w:val="24"/>
        </w:rPr>
      </w:pPr>
      <w:r>
        <w:rPr>
          <w:strike/>
          <w:szCs w:val="24"/>
        </w:rPr>
        <w:lastRenderedPageBreak/>
        <w:t>c)</w:t>
      </w:r>
      <w:r>
        <w:rPr>
          <w:strike/>
          <w:szCs w:val="24"/>
        </w:rPr>
        <w:tab/>
      </w:r>
      <w:r w:rsidR="0076774A" w:rsidRPr="0076774A">
        <w:rPr>
          <w:strike/>
          <w:szCs w:val="24"/>
        </w:rPr>
        <w:t>porovnávací způsob, který vychází z porovnání předmětu ocenění se stejným nebo obdobným předmětem a cenou sjednanou při jeho prodeji; je jím též ocenění věci odvozením z ceny jiné funkčně související věci,</w:t>
      </w:r>
    </w:p>
    <w:p w14:paraId="727EC1C1" w14:textId="1AA31BA8" w:rsidR="0076774A" w:rsidRPr="0076774A" w:rsidRDefault="005B0A10" w:rsidP="00B8532E">
      <w:pPr>
        <w:tabs>
          <w:tab w:val="left" w:pos="426"/>
          <w:tab w:val="left" w:pos="868"/>
        </w:tabs>
        <w:spacing w:before="0"/>
        <w:ind w:left="425" w:hanging="425"/>
        <w:rPr>
          <w:strike/>
          <w:szCs w:val="24"/>
        </w:rPr>
      </w:pPr>
      <w:r>
        <w:rPr>
          <w:strike/>
          <w:szCs w:val="24"/>
        </w:rPr>
        <w:t>d)</w:t>
      </w:r>
      <w:r>
        <w:rPr>
          <w:strike/>
          <w:szCs w:val="24"/>
        </w:rPr>
        <w:tab/>
      </w:r>
      <w:r w:rsidR="0076774A" w:rsidRPr="0076774A">
        <w:rPr>
          <w:strike/>
          <w:szCs w:val="24"/>
        </w:rPr>
        <w:t>oceňování podle jmenovité hodnoty, které vychází z částky, na kterou předmět ocenění zní nebo která je jinak zřejmá,</w:t>
      </w:r>
    </w:p>
    <w:p w14:paraId="03DC0B91" w14:textId="08402F93" w:rsidR="0076774A" w:rsidRPr="0076774A" w:rsidRDefault="005B0A10" w:rsidP="00B8532E">
      <w:pPr>
        <w:tabs>
          <w:tab w:val="left" w:pos="426"/>
          <w:tab w:val="left" w:pos="868"/>
        </w:tabs>
        <w:spacing w:before="0"/>
        <w:ind w:left="425" w:hanging="425"/>
        <w:rPr>
          <w:strike/>
          <w:szCs w:val="24"/>
        </w:rPr>
      </w:pPr>
      <w:r>
        <w:rPr>
          <w:strike/>
          <w:szCs w:val="24"/>
        </w:rPr>
        <w:t>e)</w:t>
      </w:r>
      <w:r>
        <w:rPr>
          <w:strike/>
          <w:szCs w:val="24"/>
        </w:rPr>
        <w:tab/>
      </w:r>
      <w:r w:rsidR="0076774A" w:rsidRPr="0076774A">
        <w:rPr>
          <w:strike/>
          <w:szCs w:val="24"/>
        </w:rPr>
        <w:t>oceňování podle účetní hodnoty, které vychází ze způsobů oceňování stanovených na základě předpisů o účetnictví,</w:t>
      </w:r>
    </w:p>
    <w:p w14:paraId="2BB4764B" w14:textId="5A999D6F" w:rsidR="0076774A" w:rsidRPr="0076774A" w:rsidRDefault="005B0A10" w:rsidP="00B8532E">
      <w:pPr>
        <w:tabs>
          <w:tab w:val="left" w:pos="426"/>
          <w:tab w:val="left" w:pos="868"/>
        </w:tabs>
        <w:spacing w:before="0"/>
        <w:ind w:left="425" w:hanging="425"/>
        <w:rPr>
          <w:strike/>
          <w:szCs w:val="24"/>
        </w:rPr>
      </w:pPr>
      <w:r>
        <w:rPr>
          <w:strike/>
          <w:szCs w:val="24"/>
        </w:rPr>
        <w:t>f)</w:t>
      </w:r>
      <w:r>
        <w:rPr>
          <w:strike/>
          <w:szCs w:val="24"/>
        </w:rPr>
        <w:tab/>
      </w:r>
      <w:r w:rsidR="0076774A" w:rsidRPr="0076774A">
        <w:rPr>
          <w:strike/>
          <w:szCs w:val="24"/>
        </w:rPr>
        <w:t>oceňování podle kurzové hodnoty, které vychází z ceny předmětu ocenění zaznamenané ve stanoveném období na trhu,</w:t>
      </w:r>
    </w:p>
    <w:p w14:paraId="1BBB8229" w14:textId="31CBF543" w:rsidR="0076774A" w:rsidRPr="0076774A" w:rsidRDefault="005B0A10" w:rsidP="00B8532E">
      <w:pPr>
        <w:tabs>
          <w:tab w:val="left" w:pos="426"/>
          <w:tab w:val="left" w:pos="868"/>
        </w:tabs>
        <w:spacing w:before="0"/>
        <w:ind w:left="425" w:hanging="425"/>
        <w:rPr>
          <w:strike/>
          <w:szCs w:val="24"/>
        </w:rPr>
      </w:pPr>
      <w:r>
        <w:rPr>
          <w:strike/>
          <w:szCs w:val="24"/>
        </w:rPr>
        <w:t>g)</w:t>
      </w:r>
      <w:r>
        <w:rPr>
          <w:strike/>
          <w:szCs w:val="24"/>
        </w:rPr>
        <w:tab/>
      </w:r>
      <w:r w:rsidR="0076774A" w:rsidRPr="0076774A">
        <w:rPr>
          <w:strike/>
          <w:szCs w:val="24"/>
        </w:rPr>
        <w:t>oceňování sjednanou cenou, kterou je cena předmětu ocenění sjednaná při jeho prodeji, popřípadě c</w:t>
      </w:r>
      <w:r w:rsidR="00407F6E">
        <w:rPr>
          <w:strike/>
          <w:szCs w:val="24"/>
        </w:rPr>
        <w:t>ena odvozená ze sjednaných cen.</w:t>
      </w:r>
    </w:p>
    <w:p w14:paraId="037D0E1A" w14:textId="77777777" w:rsidR="0076774A" w:rsidRPr="0076774A" w:rsidRDefault="0076774A" w:rsidP="009B1011">
      <w:pPr>
        <w:tabs>
          <w:tab w:val="left" w:pos="426"/>
          <w:tab w:val="left" w:pos="868"/>
        </w:tabs>
        <w:spacing w:after="120"/>
        <w:ind w:firstLine="0"/>
        <w:jc w:val="center"/>
        <w:rPr>
          <w:b/>
          <w:szCs w:val="24"/>
        </w:rPr>
      </w:pPr>
      <w:r w:rsidRPr="0076774A">
        <w:rPr>
          <w:b/>
          <w:szCs w:val="24"/>
        </w:rPr>
        <w:t>§ 1</w:t>
      </w:r>
    </w:p>
    <w:p w14:paraId="6F92BF8D" w14:textId="77777777" w:rsidR="0076774A" w:rsidRPr="0076774A" w:rsidRDefault="0076774A" w:rsidP="009B1011">
      <w:pPr>
        <w:tabs>
          <w:tab w:val="left" w:pos="426"/>
          <w:tab w:val="left" w:pos="868"/>
        </w:tabs>
        <w:spacing w:after="120"/>
        <w:ind w:firstLine="0"/>
        <w:jc w:val="center"/>
        <w:rPr>
          <w:b/>
          <w:szCs w:val="24"/>
        </w:rPr>
      </w:pPr>
      <w:r w:rsidRPr="0076774A">
        <w:rPr>
          <w:b/>
          <w:szCs w:val="24"/>
        </w:rPr>
        <w:t>Předmět úpravy</w:t>
      </w:r>
    </w:p>
    <w:p w14:paraId="6BCB88B2" w14:textId="2A76AB9F" w:rsidR="0076774A" w:rsidRPr="0076774A" w:rsidRDefault="00503B1C" w:rsidP="00B8532E">
      <w:pPr>
        <w:tabs>
          <w:tab w:val="left" w:pos="426"/>
          <w:tab w:val="left" w:pos="868"/>
        </w:tabs>
        <w:spacing w:before="120" w:after="120"/>
        <w:rPr>
          <w:b/>
          <w:szCs w:val="24"/>
        </w:rPr>
      </w:pPr>
      <w:r>
        <w:rPr>
          <w:b/>
          <w:szCs w:val="24"/>
        </w:rPr>
        <w:t>(1)</w:t>
      </w:r>
      <w:r w:rsidR="00407F6E">
        <w:rPr>
          <w:b/>
          <w:szCs w:val="24"/>
        </w:rPr>
        <w:t xml:space="preserve"> </w:t>
      </w:r>
      <w:r w:rsidR="0076774A" w:rsidRPr="0076774A">
        <w:rPr>
          <w:b/>
          <w:szCs w:val="24"/>
        </w:rPr>
        <w:t xml:space="preserve">Tento zákon se použije na oceňování </w:t>
      </w:r>
      <w:r w:rsidR="0076774A" w:rsidRPr="00407F6E">
        <w:rPr>
          <w:b/>
          <w:szCs w:val="24"/>
        </w:rPr>
        <w:t>věcí</w:t>
      </w:r>
      <w:r w:rsidR="00D27CE0">
        <w:rPr>
          <w:rStyle w:val="Znakapoznpodarou"/>
          <w:b/>
          <w:szCs w:val="24"/>
        </w:rPr>
        <w:footnoteReference w:customMarkFollows="1" w:id="251"/>
        <w:t>21)</w:t>
      </w:r>
      <w:r w:rsidR="0076774A" w:rsidRPr="00407F6E">
        <w:rPr>
          <w:b/>
          <w:szCs w:val="24"/>
        </w:rPr>
        <w:t>,</w:t>
      </w:r>
      <w:r w:rsidR="0076774A" w:rsidRPr="0076774A">
        <w:rPr>
          <w:b/>
          <w:szCs w:val="24"/>
        </w:rPr>
        <w:t xml:space="preserve"> služeb a dluhů.</w:t>
      </w:r>
    </w:p>
    <w:p w14:paraId="7A47F3E5" w14:textId="5BA9F5B6" w:rsidR="0076774A" w:rsidRPr="0076774A" w:rsidRDefault="00503B1C" w:rsidP="00B8532E">
      <w:pPr>
        <w:tabs>
          <w:tab w:val="left" w:pos="426"/>
          <w:tab w:val="left" w:pos="868"/>
        </w:tabs>
        <w:spacing w:before="120" w:after="120"/>
        <w:rPr>
          <w:b/>
          <w:szCs w:val="24"/>
        </w:rPr>
      </w:pPr>
      <w:r>
        <w:rPr>
          <w:b/>
          <w:szCs w:val="24"/>
        </w:rPr>
        <w:t xml:space="preserve">(2) </w:t>
      </w:r>
      <w:r w:rsidR="0076774A" w:rsidRPr="0076774A">
        <w:rPr>
          <w:b/>
          <w:szCs w:val="24"/>
        </w:rPr>
        <w:t>Oceňováním se pro účely tohoto zákona rozumí určení hodnoty věcí, služeb a dluhů ke dni ocenění.</w:t>
      </w:r>
    </w:p>
    <w:p w14:paraId="6E73B53B" w14:textId="5BA59D5C" w:rsidR="0076774A" w:rsidRPr="0076774A" w:rsidRDefault="0076774A" w:rsidP="00B8532E">
      <w:pPr>
        <w:tabs>
          <w:tab w:val="left" w:pos="426"/>
          <w:tab w:val="left" w:pos="868"/>
        </w:tabs>
        <w:spacing w:before="120" w:after="120"/>
        <w:rPr>
          <w:b/>
          <w:szCs w:val="24"/>
        </w:rPr>
      </w:pPr>
      <w:r w:rsidRPr="0076774A">
        <w:rPr>
          <w:b/>
          <w:szCs w:val="24"/>
        </w:rPr>
        <w:t>(</w:t>
      </w:r>
      <w:r w:rsidR="00503B1C">
        <w:rPr>
          <w:b/>
          <w:szCs w:val="24"/>
        </w:rPr>
        <w:t xml:space="preserve">3) </w:t>
      </w:r>
      <w:r w:rsidRPr="0076774A">
        <w:rPr>
          <w:b/>
          <w:szCs w:val="24"/>
        </w:rPr>
        <w:t>Hodnotou se pro účely tohoto zákona rozumí peněžitá částka, která je výsledkem ocenění p</w:t>
      </w:r>
      <w:r w:rsidR="00407F6E">
        <w:rPr>
          <w:b/>
          <w:szCs w:val="24"/>
        </w:rPr>
        <w:t>rovedeného podle tohoto zákona.</w:t>
      </w:r>
    </w:p>
    <w:p w14:paraId="67FC847A" w14:textId="77777777" w:rsidR="0076774A" w:rsidRPr="0076774A" w:rsidRDefault="0076774A" w:rsidP="009B1011">
      <w:pPr>
        <w:tabs>
          <w:tab w:val="left" w:pos="426"/>
          <w:tab w:val="left" w:pos="868"/>
        </w:tabs>
        <w:spacing w:after="120"/>
        <w:ind w:firstLine="0"/>
        <w:jc w:val="center"/>
        <w:rPr>
          <w:b/>
          <w:szCs w:val="24"/>
        </w:rPr>
      </w:pPr>
      <w:r w:rsidRPr="0076774A">
        <w:rPr>
          <w:b/>
          <w:szCs w:val="24"/>
        </w:rPr>
        <w:t>§ 1a</w:t>
      </w:r>
    </w:p>
    <w:p w14:paraId="5D7339D3" w14:textId="77777777" w:rsidR="0076774A" w:rsidRPr="0076774A" w:rsidRDefault="0076774A" w:rsidP="009B1011">
      <w:pPr>
        <w:tabs>
          <w:tab w:val="left" w:pos="426"/>
          <w:tab w:val="left" w:pos="868"/>
        </w:tabs>
        <w:spacing w:after="120"/>
        <w:ind w:firstLine="0"/>
        <w:jc w:val="center"/>
        <w:rPr>
          <w:b/>
          <w:szCs w:val="24"/>
        </w:rPr>
      </w:pPr>
      <w:r w:rsidRPr="0076774A">
        <w:rPr>
          <w:b/>
          <w:szCs w:val="24"/>
        </w:rPr>
        <w:t>Zásady oceňování</w:t>
      </w:r>
    </w:p>
    <w:p w14:paraId="287E3702" w14:textId="7D5A7B25" w:rsidR="0076774A" w:rsidRPr="0076774A" w:rsidRDefault="00503B1C" w:rsidP="00B8532E">
      <w:pPr>
        <w:tabs>
          <w:tab w:val="left" w:pos="426"/>
          <w:tab w:val="left" w:pos="868"/>
        </w:tabs>
        <w:spacing w:before="120" w:after="120"/>
        <w:rPr>
          <w:b/>
          <w:szCs w:val="24"/>
        </w:rPr>
      </w:pPr>
      <w:r>
        <w:rPr>
          <w:b/>
          <w:szCs w:val="24"/>
        </w:rPr>
        <w:t xml:space="preserve">(1) </w:t>
      </w:r>
      <w:r w:rsidR="0076774A" w:rsidRPr="0076774A">
        <w:rPr>
          <w:b/>
          <w:szCs w:val="24"/>
        </w:rPr>
        <w:t>Při oceňování se vychází z</w:t>
      </w:r>
    </w:p>
    <w:p w14:paraId="0D111C06" w14:textId="10D9D6BE" w:rsidR="0076774A" w:rsidRPr="0076774A" w:rsidRDefault="00E967F8" w:rsidP="005A7455">
      <w:pPr>
        <w:tabs>
          <w:tab w:val="left" w:pos="426"/>
          <w:tab w:val="left" w:pos="868"/>
        </w:tabs>
        <w:spacing w:before="0"/>
        <w:ind w:left="426" w:hanging="426"/>
        <w:rPr>
          <w:b/>
          <w:szCs w:val="24"/>
        </w:rPr>
      </w:pPr>
      <w:r>
        <w:rPr>
          <w:b/>
          <w:szCs w:val="24"/>
        </w:rPr>
        <w:t>a)</w:t>
      </w:r>
      <w:r>
        <w:rPr>
          <w:b/>
          <w:szCs w:val="24"/>
        </w:rPr>
        <w:tab/>
      </w:r>
      <w:r w:rsidR="0076774A" w:rsidRPr="0076774A">
        <w:rPr>
          <w:b/>
          <w:szCs w:val="24"/>
        </w:rPr>
        <w:t>druhu hodnoty,</w:t>
      </w:r>
    </w:p>
    <w:p w14:paraId="646CD2EA" w14:textId="785CF821" w:rsidR="0076774A" w:rsidRPr="0076774A" w:rsidRDefault="00E967F8" w:rsidP="005A7455">
      <w:pPr>
        <w:tabs>
          <w:tab w:val="left" w:pos="426"/>
          <w:tab w:val="left" w:pos="868"/>
        </w:tabs>
        <w:spacing w:before="0"/>
        <w:ind w:left="426" w:hanging="426"/>
        <w:rPr>
          <w:b/>
          <w:szCs w:val="24"/>
        </w:rPr>
      </w:pPr>
      <w:r>
        <w:rPr>
          <w:b/>
          <w:szCs w:val="24"/>
        </w:rPr>
        <w:t>b)</w:t>
      </w:r>
      <w:r>
        <w:rPr>
          <w:b/>
          <w:szCs w:val="24"/>
        </w:rPr>
        <w:tab/>
      </w:r>
      <w:r w:rsidR="0076774A" w:rsidRPr="0076774A">
        <w:rPr>
          <w:b/>
          <w:szCs w:val="24"/>
        </w:rPr>
        <w:t xml:space="preserve">účelu ocenění, umožňuje-li ho právní předpis pro daný druh hodnoty zohlednit,  </w:t>
      </w:r>
    </w:p>
    <w:p w14:paraId="3DE458D0" w14:textId="159C0D0B" w:rsidR="0076774A" w:rsidRPr="0076774A" w:rsidRDefault="00E967F8" w:rsidP="005A7455">
      <w:pPr>
        <w:tabs>
          <w:tab w:val="left" w:pos="426"/>
          <w:tab w:val="left" w:pos="868"/>
        </w:tabs>
        <w:spacing w:before="0"/>
        <w:ind w:left="426" w:hanging="426"/>
        <w:rPr>
          <w:b/>
          <w:szCs w:val="24"/>
        </w:rPr>
      </w:pPr>
      <w:r>
        <w:rPr>
          <w:b/>
          <w:szCs w:val="24"/>
        </w:rPr>
        <w:t>c)</w:t>
      </w:r>
      <w:r>
        <w:rPr>
          <w:b/>
          <w:szCs w:val="24"/>
        </w:rPr>
        <w:tab/>
      </w:r>
      <w:r w:rsidR="0076774A" w:rsidRPr="0076774A">
        <w:rPr>
          <w:b/>
          <w:szCs w:val="24"/>
        </w:rPr>
        <w:t xml:space="preserve">vlastností oceňované věci, služby nebo dluhu, </w:t>
      </w:r>
    </w:p>
    <w:p w14:paraId="7C2FFC6D" w14:textId="3C473B58" w:rsidR="0076774A" w:rsidRPr="0076774A" w:rsidRDefault="00E967F8" w:rsidP="005A7455">
      <w:pPr>
        <w:tabs>
          <w:tab w:val="left" w:pos="426"/>
          <w:tab w:val="left" w:pos="868"/>
        </w:tabs>
        <w:spacing w:before="0"/>
        <w:ind w:left="426" w:hanging="426"/>
        <w:rPr>
          <w:b/>
          <w:szCs w:val="24"/>
        </w:rPr>
      </w:pPr>
      <w:r>
        <w:rPr>
          <w:b/>
          <w:szCs w:val="24"/>
        </w:rPr>
        <w:t>d)</w:t>
      </w:r>
      <w:r>
        <w:rPr>
          <w:b/>
          <w:szCs w:val="24"/>
        </w:rPr>
        <w:tab/>
      </w:r>
      <w:r w:rsidR="0076774A" w:rsidRPr="0076774A">
        <w:rPr>
          <w:b/>
          <w:szCs w:val="24"/>
        </w:rPr>
        <w:t xml:space="preserve">dostupných objektivních dat využitelných pro ocenění, umožňuje-li právní předpis jejich využití při ocenění daným druhem hodnoty, </w:t>
      </w:r>
    </w:p>
    <w:p w14:paraId="57F3CBC5" w14:textId="55218994" w:rsidR="0076774A" w:rsidRPr="0076774A" w:rsidRDefault="00E967F8" w:rsidP="005A7455">
      <w:pPr>
        <w:tabs>
          <w:tab w:val="left" w:pos="426"/>
          <w:tab w:val="left" w:pos="868"/>
        </w:tabs>
        <w:spacing w:before="0"/>
        <w:ind w:left="426" w:hanging="426"/>
        <w:rPr>
          <w:b/>
          <w:szCs w:val="24"/>
        </w:rPr>
      </w:pPr>
      <w:r>
        <w:rPr>
          <w:b/>
          <w:szCs w:val="24"/>
        </w:rPr>
        <w:t>e)</w:t>
      </w:r>
      <w:r>
        <w:rPr>
          <w:b/>
          <w:szCs w:val="24"/>
        </w:rPr>
        <w:tab/>
      </w:r>
      <w:r w:rsidR="0076774A" w:rsidRPr="0076774A">
        <w:rPr>
          <w:b/>
          <w:szCs w:val="24"/>
        </w:rPr>
        <w:t xml:space="preserve">dalších okolností hodných zřetele. </w:t>
      </w:r>
    </w:p>
    <w:p w14:paraId="3EDD2D3E" w14:textId="6531E369" w:rsidR="0076774A" w:rsidRPr="0076774A" w:rsidRDefault="00503B1C" w:rsidP="00B8532E">
      <w:pPr>
        <w:tabs>
          <w:tab w:val="left" w:pos="426"/>
          <w:tab w:val="left" w:pos="868"/>
        </w:tabs>
        <w:spacing w:before="120" w:after="120"/>
        <w:rPr>
          <w:b/>
          <w:szCs w:val="24"/>
        </w:rPr>
      </w:pPr>
      <w:r>
        <w:rPr>
          <w:b/>
          <w:szCs w:val="24"/>
        </w:rPr>
        <w:t xml:space="preserve">(2) </w:t>
      </w:r>
      <w:r w:rsidR="0076774A" w:rsidRPr="0076774A">
        <w:rPr>
          <w:b/>
          <w:szCs w:val="24"/>
        </w:rPr>
        <w:t>Ocenění musí být přezkoumatelné.</w:t>
      </w:r>
    </w:p>
    <w:p w14:paraId="461D73D9" w14:textId="16DD84DE" w:rsidR="0076774A" w:rsidRPr="0076774A" w:rsidRDefault="00503B1C" w:rsidP="00B8532E">
      <w:pPr>
        <w:tabs>
          <w:tab w:val="left" w:pos="426"/>
          <w:tab w:val="left" w:pos="868"/>
        </w:tabs>
        <w:spacing w:before="120" w:after="120"/>
        <w:rPr>
          <w:b/>
          <w:szCs w:val="24"/>
        </w:rPr>
      </w:pPr>
      <w:r>
        <w:rPr>
          <w:b/>
          <w:szCs w:val="24"/>
        </w:rPr>
        <w:t xml:space="preserve">(3) </w:t>
      </w:r>
      <w:r w:rsidR="0076774A" w:rsidRPr="0076774A">
        <w:rPr>
          <w:b/>
          <w:szCs w:val="24"/>
        </w:rPr>
        <w:t>Ocenění není přezkoumatelné, pokud nelze</w:t>
      </w:r>
    </w:p>
    <w:p w14:paraId="72F21AE1" w14:textId="4292687A" w:rsidR="0076774A" w:rsidRPr="0076774A" w:rsidRDefault="00E967F8" w:rsidP="005A7455">
      <w:pPr>
        <w:tabs>
          <w:tab w:val="left" w:pos="426"/>
          <w:tab w:val="left" w:pos="868"/>
        </w:tabs>
        <w:spacing w:before="0"/>
        <w:ind w:left="426" w:hanging="426"/>
        <w:rPr>
          <w:b/>
          <w:szCs w:val="24"/>
        </w:rPr>
      </w:pPr>
      <w:r>
        <w:rPr>
          <w:b/>
          <w:szCs w:val="24"/>
        </w:rPr>
        <w:t>a)</w:t>
      </w:r>
      <w:r>
        <w:rPr>
          <w:b/>
          <w:szCs w:val="24"/>
        </w:rPr>
        <w:tab/>
      </w:r>
      <w:r w:rsidR="0076774A" w:rsidRPr="0076774A">
        <w:rPr>
          <w:b/>
          <w:szCs w:val="24"/>
        </w:rPr>
        <w:t>zjistit účel ocenění,</w:t>
      </w:r>
    </w:p>
    <w:p w14:paraId="4CFE1BC7" w14:textId="45EE1AB2" w:rsidR="0076774A" w:rsidRPr="0076774A" w:rsidRDefault="00E967F8" w:rsidP="005A7455">
      <w:pPr>
        <w:tabs>
          <w:tab w:val="left" w:pos="426"/>
          <w:tab w:val="left" w:pos="868"/>
        </w:tabs>
        <w:spacing w:before="0"/>
        <w:ind w:left="426" w:hanging="426"/>
        <w:rPr>
          <w:b/>
          <w:szCs w:val="24"/>
        </w:rPr>
      </w:pPr>
      <w:r>
        <w:rPr>
          <w:b/>
          <w:szCs w:val="24"/>
        </w:rPr>
        <w:t>b)</w:t>
      </w:r>
      <w:r w:rsidR="00503B1C">
        <w:rPr>
          <w:b/>
          <w:szCs w:val="24"/>
        </w:rPr>
        <w:tab/>
      </w:r>
      <w:r w:rsidR="0076774A" w:rsidRPr="0076774A">
        <w:rPr>
          <w:b/>
          <w:szCs w:val="24"/>
        </w:rPr>
        <w:t>určit důvod ocenění věci, služby nebo dluhu zvoleným druhem hodnoty nebo oceňovacím přístupem, jsou-li druh hodnoty nebo oceňovací přístup věcí úsudku,</w:t>
      </w:r>
    </w:p>
    <w:p w14:paraId="4B7C8CD1" w14:textId="4591AC52" w:rsidR="0076774A" w:rsidRPr="0076774A" w:rsidRDefault="00E967F8" w:rsidP="005A7455">
      <w:pPr>
        <w:tabs>
          <w:tab w:val="left" w:pos="426"/>
          <w:tab w:val="left" w:pos="868"/>
        </w:tabs>
        <w:spacing w:before="0"/>
        <w:ind w:left="426" w:hanging="426"/>
        <w:rPr>
          <w:b/>
          <w:szCs w:val="24"/>
        </w:rPr>
      </w:pPr>
      <w:r>
        <w:rPr>
          <w:b/>
          <w:szCs w:val="24"/>
        </w:rPr>
        <w:t>c)</w:t>
      </w:r>
      <w:r>
        <w:rPr>
          <w:b/>
          <w:szCs w:val="24"/>
        </w:rPr>
        <w:tab/>
      </w:r>
      <w:r w:rsidR="0076774A" w:rsidRPr="0076774A">
        <w:rPr>
          <w:b/>
          <w:szCs w:val="24"/>
        </w:rPr>
        <w:t>prokázat správnost a úplnost použitých údajů vztahujících se k oceňované věci, službě nebo dluhu a identifikovat jejich původ,</w:t>
      </w:r>
    </w:p>
    <w:p w14:paraId="0432FA82" w14:textId="5049DA0D" w:rsidR="0076774A" w:rsidRPr="0076774A" w:rsidRDefault="00E967F8" w:rsidP="005A7455">
      <w:pPr>
        <w:tabs>
          <w:tab w:val="left" w:pos="426"/>
          <w:tab w:val="left" w:pos="868"/>
        </w:tabs>
        <w:spacing w:before="0"/>
        <w:ind w:left="426" w:hanging="426"/>
        <w:rPr>
          <w:b/>
          <w:szCs w:val="24"/>
        </w:rPr>
      </w:pPr>
      <w:r>
        <w:rPr>
          <w:b/>
          <w:szCs w:val="24"/>
        </w:rPr>
        <w:t>d)</w:t>
      </w:r>
      <w:r>
        <w:rPr>
          <w:b/>
          <w:szCs w:val="24"/>
        </w:rPr>
        <w:tab/>
      </w:r>
      <w:r w:rsidR="0076774A" w:rsidRPr="0076774A">
        <w:rPr>
          <w:b/>
          <w:szCs w:val="24"/>
        </w:rPr>
        <w:t>identifikovat zdroje dat využitých pro ocenění, nebo</w:t>
      </w:r>
    </w:p>
    <w:p w14:paraId="2F2E231E" w14:textId="29A212DD" w:rsidR="0076774A" w:rsidRPr="0076774A" w:rsidRDefault="00E967F8" w:rsidP="005A7455">
      <w:pPr>
        <w:tabs>
          <w:tab w:val="left" w:pos="426"/>
          <w:tab w:val="left" w:pos="868"/>
        </w:tabs>
        <w:spacing w:before="0"/>
        <w:ind w:left="426" w:hanging="426"/>
        <w:rPr>
          <w:b/>
          <w:szCs w:val="24"/>
        </w:rPr>
      </w:pPr>
      <w:r>
        <w:rPr>
          <w:b/>
          <w:szCs w:val="24"/>
        </w:rPr>
        <w:t>e)</w:t>
      </w:r>
      <w:r>
        <w:rPr>
          <w:b/>
          <w:szCs w:val="24"/>
        </w:rPr>
        <w:tab/>
      </w:r>
      <w:r w:rsidR="0076774A" w:rsidRPr="0076774A">
        <w:rPr>
          <w:b/>
          <w:szCs w:val="24"/>
        </w:rPr>
        <w:t>zjistit, jak byly při ocenění zohledněny údaje podle písmena c) a data p</w:t>
      </w:r>
      <w:r>
        <w:rPr>
          <w:b/>
          <w:szCs w:val="24"/>
        </w:rPr>
        <w:t>odle písmena d).</w:t>
      </w:r>
    </w:p>
    <w:p w14:paraId="18060E8B" w14:textId="77777777" w:rsidR="0076774A" w:rsidRPr="0076774A" w:rsidRDefault="0076774A" w:rsidP="00B8532E">
      <w:pPr>
        <w:keepNext/>
        <w:keepLines/>
        <w:tabs>
          <w:tab w:val="left" w:pos="426"/>
          <w:tab w:val="left" w:pos="868"/>
        </w:tabs>
        <w:spacing w:after="120"/>
        <w:ind w:firstLine="0"/>
        <w:jc w:val="center"/>
        <w:rPr>
          <w:b/>
          <w:szCs w:val="24"/>
        </w:rPr>
      </w:pPr>
      <w:r w:rsidRPr="0076774A">
        <w:rPr>
          <w:b/>
          <w:szCs w:val="24"/>
        </w:rPr>
        <w:lastRenderedPageBreak/>
        <w:t>§ 1b</w:t>
      </w:r>
    </w:p>
    <w:p w14:paraId="3B689967" w14:textId="77777777" w:rsidR="0076774A" w:rsidRPr="0076774A" w:rsidRDefault="0076774A" w:rsidP="00B8532E">
      <w:pPr>
        <w:keepNext/>
        <w:keepLines/>
        <w:tabs>
          <w:tab w:val="left" w:pos="426"/>
          <w:tab w:val="left" w:pos="868"/>
        </w:tabs>
        <w:spacing w:after="120"/>
        <w:ind w:firstLine="0"/>
        <w:jc w:val="center"/>
        <w:rPr>
          <w:b/>
          <w:szCs w:val="24"/>
        </w:rPr>
      </w:pPr>
      <w:r w:rsidRPr="0076774A">
        <w:rPr>
          <w:b/>
          <w:szCs w:val="24"/>
        </w:rPr>
        <w:t>Druhy hodnot</w:t>
      </w:r>
    </w:p>
    <w:p w14:paraId="36D1D305" w14:textId="1F8739E1" w:rsidR="0076774A" w:rsidRPr="0076774A" w:rsidRDefault="00503B1C" w:rsidP="00B8532E">
      <w:pPr>
        <w:tabs>
          <w:tab w:val="left" w:pos="426"/>
          <w:tab w:val="left" w:pos="868"/>
        </w:tabs>
        <w:spacing w:before="120" w:after="120"/>
        <w:rPr>
          <w:b/>
          <w:szCs w:val="24"/>
        </w:rPr>
      </w:pPr>
      <w:r>
        <w:rPr>
          <w:b/>
          <w:szCs w:val="24"/>
        </w:rPr>
        <w:t xml:space="preserve">(1) </w:t>
      </w:r>
      <w:r w:rsidR="0076774A" w:rsidRPr="0076774A">
        <w:rPr>
          <w:b/>
          <w:szCs w:val="24"/>
        </w:rPr>
        <w:t xml:space="preserve">Druhem hodnoty se pro účely tohoto zákona rozumí </w:t>
      </w:r>
    </w:p>
    <w:p w14:paraId="2A992F0D" w14:textId="2D3B41EB" w:rsidR="0076774A" w:rsidRPr="0076774A" w:rsidRDefault="00E967F8" w:rsidP="00E967F8">
      <w:pPr>
        <w:tabs>
          <w:tab w:val="left" w:pos="426"/>
          <w:tab w:val="left" w:pos="868"/>
        </w:tabs>
        <w:spacing w:before="0"/>
        <w:ind w:firstLine="0"/>
        <w:rPr>
          <w:b/>
          <w:szCs w:val="24"/>
        </w:rPr>
      </w:pPr>
      <w:r>
        <w:rPr>
          <w:b/>
          <w:szCs w:val="24"/>
        </w:rPr>
        <w:t>a)</w:t>
      </w:r>
      <w:r>
        <w:rPr>
          <w:b/>
          <w:szCs w:val="24"/>
        </w:rPr>
        <w:tab/>
      </w:r>
      <w:r w:rsidR="0076774A" w:rsidRPr="0076774A">
        <w:rPr>
          <w:b/>
          <w:szCs w:val="24"/>
        </w:rPr>
        <w:t xml:space="preserve">tržní hodnota, </w:t>
      </w:r>
    </w:p>
    <w:p w14:paraId="51AEBD18" w14:textId="54CB6FD4" w:rsidR="0076774A" w:rsidRPr="0076774A" w:rsidRDefault="00E967F8" w:rsidP="00E967F8">
      <w:pPr>
        <w:tabs>
          <w:tab w:val="left" w:pos="426"/>
          <w:tab w:val="left" w:pos="868"/>
        </w:tabs>
        <w:spacing w:before="0"/>
        <w:ind w:firstLine="0"/>
        <w:rPr>
          <w:b/>
          <w:szCs w:val="24"/>
        </w:rPr>
      </w:pPr>
      <w:r>
        <w:rPr>
          <w:b/>
          <w:szCs w:val="24"/>
        </w:rPr>
        <w:t>b)</w:t>
      </w:r>
      <w:r>
        <w:rPr>
          <w:b/>
          <w:szCs w:val="24"/>
        </w:rPr>
        <w:tab/>
      </w:r>
      <w:r w:rsidR="0076774A" w:rsidRPr="0076774A">
        <w:rPr>
          <w:b/>
          <w:szCs w:val="24"/>
        </w:rPr>
        <w:t>obvyklá hodnota,</w:t>
      </w:r>
    </w:p>
    <w:p w14:paraId="3799247A" w14:textId="67B3C295" w:rsidR="0076774A" w:rsidRPr="0076774A" w:rsidRDefault="00E967F8" w:rsidP="00E967F8">
      <w:pPr>
        <w:tabs>
          <w:tab w:val="left" w:pos="426"/>
          <w:tab w:val="left" w:pos="868"/>
        </w:tabs>
        <w:spacing w:before="0"/>
        <w:ind w:firstLine="0"/>
        <w:rPr>
          <w:b/>
          <w:szCs w:val="24"/>
        </w:rPr>
      </w:pPr>
      <w:r>
        <w:rPr>
          <w:b/>
          <w:szCs w:val="24"/>
        </w:rPr>
        <w:t>c)</w:t>
      </w:r>
      <w:r>
        <w:rPr>
          <w:b/>
          <w:szCs w:val="24"/>
        </w:rPr>
        <w:tab/>
      </w:r>
      <w:r w:rsidR="0076774A" w:rsidRPr="0076774A">
        <w:rPr>
          <w:b/>
          <w:szCs w:val="24"/>
        </w:rPr>
        <w:t>zjištěná hodnota.</w:t>
      </w:r>
    </w:p>
    <w:p w14:paraId="09191F3C" w14:textId="292F38F1" w:rsidR="0076774A" w:rsidRPr="0076774A" w:rsidRDefault="00503B1C" w:rsidP="00B8532E">
      <w:pPr>
        <w:tabs>
          <w:tab w:val="left" w:pos="426"/>
          <w:tab w:val="left" w:pos="868"/>
        </w:tabs>
        <w:spacing w:before="120" w:after="120"/>
        <w:rPr>
          <w:b/>
          <w:szCs w:val="24"/>
        </w:rPr>
      </w:pPr>
      <w:r>
        <w:rPr>
          <w:b/>
          <w:szCs w:val="24"/>
        </w:rPr>
        <w:t xml:space="preserve">(2) </w:t>
      </w:r>
      <w:r w:rsidR="0076774A" w:rsidRPr="0076774A">
        <w:rPr>
          <w:b/>
          <w:szCs w:val="24"/>
        </w:rPr>
        <w:t>Tržní hodnotou se pro účely tohoto zákona rozumí odhadovaná peněžitá částka, za kterou by byly věc, služba nebo dluh směněny mezi ochotným kupujícím a ochotným prodávajícím, a to v obchodním styku uskutečněném v souladu s principem tržního odstupu, po náležitém marketingu, kdy každá ze stran jednala informovaně, uvážlivě a nikoli v tísni. Principem tržního odstupu se pro tyto účely rozumí, že účastníci směny mezi sebou nemají žádný zvláštní vztah a jednají na sobě nezávisle.</w:t>
      </w:r>
    </w:p>
    <w:p w14:paraId="23CFFC24" w14:textId="488707CF" w:rsidR="0076774A" w:rsidRPr="0076774A" w:rsidRDefault="00503B1C" w:rsidP="00B8532E">
      <w:pPr>
        <w:tabs>
          <w:tab w:val="left" w:pos="426"/>
          <w:tab w:val="left" w:pos="868"/>
        </w:tabs>
        <w:spacing w:before="120" w:after="120"/>
        <w:rPr>
          <w:b/>
          <w:szCs w:val="24"/>
        </w:rPr>
      </w:pPr>
      <w:r>
        <w:rPr>
          <w:b/>
          <w:szCs w:val="24"/>
        </w:rPr>
        <w:t xml:space="preserve">(3) </w:t>
      </w:r>
      <w:r w:rsidR="0076774A" w:rsidRPr="0076774A">
        <w:rPr>
          <w:b/>
          <w:szCs w:val="24"/>
        </w:rPr>
        <w:t>Obvyklou hodnotou je hodnota věci, služby nebo dluhu, která vychází z cen stejných nebo podobných věcí, služeb nebo dluhů sjednaných na relevantním trhu.</w:t>
      </w:r>
    </w:p>
    <w:p w14:paraId="548E745A" w14:textId="087E9043" w:rsidR="0076774A" w:rsidRPr="0076774A" w:rsidRDefault="00503B1C" w:rsidP="00B8532E">
      <w:pPr>
        <w:tabs>
          <w:tab w:val="left" w:pos="426"/>
          <w:tab w:val="left" w:pos="868"/>
        </w:tabs>
        <w:spacing w:before="120" w:after="120"/>
        <w:rPr>
          <w:b/>
          <w:szCs w:val="24"/>
        </w:rPr>
      </w:pPr>
      <w:r>
        <w:rPr>
          <w:b/>
          <w:szCs w:val="24"/>
        </w:rPr>
        <w:t xml:space="preserve">(4) </w:t>
      </w:r>
      <w:r w:rsidR="0076774A" w:rsidRPr="0076774A">
        <w:rPr>
          <w:b/>
          <w:szCs w:val="24"/>
        </w:rPr>
        <w:t>Zjištěnou hodnotou je administrativně určená hodnota věci nebo služby p</w:t>
      </w:r>
      <w:r w:rsidR="008479B4">
        <w:rPr>
          <w:b/>
          <w:szCs w:val="24"/>
        </w:rPr>
        <w:t>odle části druhé tohoto zákona.</w:t>
      </w:r>
    </w:p>
    <w:p w14:paraId="78129668" w14:textId="77777777" w:rsidR="0076774A" w:rsidRPr="0076774A" w:rsidRDefault="0076774A" w:rsidP="009B1011">
      <w:pPr>
        <w:tabs>
          <w:tab w:val="left" w:pos="426"/>
          <w:tab w:val="left" w:pos="868"/>
        </w:tabs>
        <w:spacing w:after="120"/>
        <w:ind w:firstLine="0"/>
        <w:jc w:val="center"/>
        <w:rPr>
          <w:b/>
          <w:szCs w:val="24"/>
        </w:rPr>
      </w:pPr>
      <w:r w:rsidRPr="0076774A">
        <w:rPr>
          <w:b/>
          <w:szCs w:val="24"/>
        </w:rPr>
        <w:t>§ 1c</w:t>
      </w:r>
    </w:p>
    <w:p w14:paraId="7C20FB54" w14:textId="77777777" w:rsidR="0076774A" w:rsidRPr="0076774A" w:rsidRDefault="0076774A" w:rsidP="009B1011">
      <w:pPr>
        <w:tabs>
          <w:tab w:val="left" w:pos="426"/>
          <w:tab w:val="left" w:pos="868"/>
        </w:tabs>
        <w:spacing w:after="120"/>
        <w:ind w:firstLine="0"/>
        <w:jc w:val="center"/>
        <w:rPr>
          <w:b/>
          <w:szCs w:val="24"/>
        </w:rPr>
      </w:pPr>
      <w:r w:rsidRPr="0076774A">
        <w:rPr>
          <w:b/>
          <w:szCs w:val="24"/>
        </w:rPr>
        <w:t>Oceňovací přístupy</w:t>
      </w:r>
    </w:p>
    <w:p w14:paraId="1856C6EB" w14:textId="4886BA58" w:rsidR="0076774A" w:rsidRPr="0076774A" w:rsidRDefault="00503B1C" w:rsidP="00B8532E">
      <w:pPr>
        <w:tabs>
          <w:tab w:val="left" w:pos="426"/>
          <w:tab w:val="left" w:pos="868"/>
        </w:tabs>
        <w:spacing w:before="120" w:after="120"/>
        <w:rPr>
          <w:b/>
          <w:szCs w:val="24"/>
        </w:rPr>
      </w:pPr>
      <w:r>
        <w:rPr>
          <w:b/>
          <w:szCs w:val="24"/>
        </w:rPr>
        <w:t xml:space="preserve">(1) </w:t>
      </w:r>
      <w:r w:rsidR="0076774A" w:rsidRPr="0076774A">
        <w:rPr>
          <w:b/>
          <w:szCs w:val="24"/>
        </w:rPr>
        <w:t>Oceňovacím přístupem se pro účely tohoto zákona rozumí</w:t>
      </w:r>
    </w:p>
    <w:p w14:paraId="5419F385" w14:textId="5D143D0D" w:rsidR="0076774A" w:rsidRPr="0076774A" w:rsidRDefault="00503B1C" w:rsidP="00503B1C">
      <w:pPr>
        <w:tabs>
          <w:tab w:val="left" w:pos="426"/>
          <w:tab w:val="left" w:pos="868"/>
        </w:tabs>
        <w:spacing w:before="0"/>
        <w:ind w:firstLine="0"/>
        <w:rPr>
          <w:b/>
          <w:szCs w:val="24"/>
        </w:rPr>
      </w:pPr>
      <w:r>
        <w:rPr>
          <w:b/>
          <w:szCs w:val="24"/>
        </w:rPr>
        <w:t>a)</w:t>
      </w:r>
      <w:r>
        <w:rPr>
          <w:b/>
          <w:szCs w:val="24"/>
        </w:rPr>
        <w:tab/>
      </w:r>
      <w:r w:rsidR="0076774A" w:rsidRPr="0076774A">
        <w:rPr>
          <w:b/>
          <w:szCs w:val="24"/>
        </w:rPr>
        <w:t>porovnávací přístup,</w:t>
      </w:r>
    </w:p>
    <w:p w14:paraId="02A02078" w14:textId="6034E3F2" w:rsidR="0076774A" w:rsidRPr="0076774A" w:rsidRDefault="00503B1C" w:rsidP="00503B1C">
      <w:pPr>
        <w:tabs>
          <w:tab w:val="left" w:pos="426"/>
          <w:tab w:val="left" w:pos="868"/>
        </w:tabs>
        <w:spacing w:before="0"/>
        <w:ind w:firstLine="0"/>
        <w:rPr>
          <w:b/>
          <w:szCs w:val="24"/>
        </w:rPr>
      </w:pPr>
      <w:r>
        <w:rPr>
          <w:b/>
          <w:szCs w:val="24"/>
        </w:rPr>
        <w:t>b)</w:t>
      </w:r>
      <w:r>
        <w:rPr>
          <w:b/>
          <w:szCs w:val="24"/>
        </w:rPr>
        <w:tab/>
      </w:r>
      <w:r w:rsidR="0076774A" w:rsidRPr="0076774A">
        <w:rPr>
          <w:b/>
          <w:szCs w:val="24"/>
        </w:rPr>
        <w:t xml:space="preserve">výnosový přístup, </w:t>
      </w:r>
    </w:p>
    <w:p w14:paraId="540A4554" w14:textId="7E69F4CD" w:rsidR="0076774A" w:rsidRPr="0076774A" w:rsidRDefault="00503B1C" w:rsidP="00503B1C">
      <w:pPr>
        <w:tabs>
          <w:tab w:val="left" w:pos="426"/>
          <w:tab w:val="left" w:pos="868"/>
        </w:tabs>
        <w:spacing w:before="0"/>
        <w:ind w:firstLine="0"/>
        <w:rPr>
          <w:b/>
          <w:szCs w:val="24"/>
        </w:rPr>
      </w:pPr>
      <w:r>
        <w:rPr>
          <w:b/>
          <w:szCs w:val="24"/>
        </w:rPr>
        <w:t>c)</w:t>
      </w:r>
      <w:r>
        <w:rPr>
          <w:b/>
          <w:szCs w:val="24"/>
        </w:rPr>
        <w:tab/>
      </w:r>
      <w:r w:rsidR="0076774A" w:rsidRPr="0076774A">
        <w:rPr>
          <w:b/>
          <w:szCs w:val="24"/>
        </w:rPr>
        <w:t>nákladový přístup.</w:t>
      </w:r>
    </w:p>
    <w:p w14:paraId="29128807" w14:textId="1AE5DC61" w:rsidR="0076774A" w:rsidRPr="0076774A" w:rsidRDefault="00503B1C" w:rsidP="00B8532E">
      <w:pPr>
        <w:tabs>
          <w:tab w:val="left" w:pos="426"/>
          <w:tab w:val="left" w:pos="868"/>
        </w:tabs>
        <w:spacing w:before="120" w:after="120"/>
        <w:rPr>
          <w:b/>
          <w:szCs w:val="24"/>
        </w:rPr>
      </w:pPr>
      <w:r>
        <w:rPr>
          <w:b/>
          <w:szCs w:val="24"/>
        </w:rPr>
        <w:t xml:space="preserve">(2) </w:t>
      </w:r>
      <w:r w:rsidR="0076774A" w:rsidRPr="0076774A">
        <w:rPr>
          <w:b/>
          <w:szCs w:val="24"/>
        </w:rPr>
        <w:t>Při ocenění věci, služby nebo dluhu porovnávacím přístupem se vychází z cen srovnatelných věcí, služeb nebo dluhů.</w:t>
      </w:r>
    </w:p>
    <w:p w14:paraId="46F93D39" w14:textId="1F37D931" w:rsidR="0076774A" w:rsidRPr="0076774A" w:rsidRDefault="00503B1C" w:rsidP="00B8532E">
      <w:pPr>
        <w:tabs>
          <w:tab w:val="left" w:pos="426"/>
          <w:tab w:val="left" w:pos="868"/>
        </w:tabs>
        <w:spacing w:before="120" w:after="120"/>
        <w:rPr>
          <w:b/>
          <w:szCs w:val="24"/>
        </w:rPr>
      </w:pPr>
      <w:r>
        <w:rPr>
          <w:b/>
          <w:szCs w:val="24"/>
        </w:rPr>
        <w:t xml:space="preserve">(3) </w:t>
      </w:r>
      <w:r w:rsidR="0076774A" w:rsidRPr="0076774A">
        <w:rPr>
          <w:b/>
          <w:szCs w:val="24"/>
        </w:rPr>
        <w:t>Při ocenění věci nebo služby výnosovým přístupem se vychází z výnosů poskytovaných touto věcí nebo službou; při ocenění dluhu se vychází z výdajů potřebných k uhrazení dluhu.</w:t>
      </w:r>
    </w:p>
    <w:p w14:paraId="5E92B8DB" w14:textId="74A9DA18" w:rsidR="0076774A" w:rsidRPr="00503B1C" w:rsidRDefault="00503B1C" w:rsidP="00B8532E">
      <w:pPr>
        <w:tabs>
          <w:tab w:val="left" w:pos="426"/>
          <w:tab w:val="left" w:pos="868"/>
        </w:tabs>
        <w:spacing w:before="120" w:after="120"/>
        <w:rPr>
          <w:b/>
          <w:szCs w:val="24"/>
        </w:rPr>
      </w:pPr>
      <w:r>
        <w:rPr>
          <w:b/>
          <w:szCs w:val="24"/>
        </w:rPr>
        <w:t xml:space="preserve">(4) </w:t>
      </w:r>
      <w:r w:rsidR="0076774A" w:rsidRPr="0076774A">
        <w:rPr>
          <w:b/>
          <w:szCs w:val="24"/>
        </w:rPr>
        <w:t>Při ocenění věci nebo služby nákladovým přístupem se vychází z toho, co by bylo nutno vynaložit na pořízení nebo vytvoření této věci nebo služby; při ocenění dluhu se vychází z plnění, v jehož důsledku dluh vznikl.</w:t>
      </w:r>
    </w:p>
    <w:p w14:paraId="3DCA9515" w14:textId="77777777" w:rsidR="0076774A" w:rsidRPr="0076774A" w:rsidRDefault="0076774A" w:rsidP="009B1011">
      <w:pPr>
        <w:tabs>
          <w:tab w:val="left" w:pos="426"/>
          <w:tab w:val="left" w:pos="868"/>
        </w:tabs>
        <w:spacing w:after="120"/>
        <w:ind w:firstLine="0"/>
        <w:jc w:val="center"/>
        <w:rPr>
          <w:b/>
          <w:szCs w:val="24"/>
        </w:rPr>
      </w:pPr>
      <w:r w:rsidRPr="0076774A">
        <w:rPr>
          <w:b/>
          <w:szCs w:val="24"/>
        </w:rPr>
        <w:t>HLAVA DRUHÁ</w:t>
      </w:r>
    </w:p>
    <w:p w14:paraId="1FC61335" w14:textId="77777777" w:rsidR="0076774A" w:rsidRPr="0076774A" w:rsidRDefault="0076774A" w:rsidP="009B1011">
      <w:pPr>
        <w:tabs>
          <w:tab w:val="left" w:pos="426"/>
          <w:tab w:val="left" w:pos="868"/>
        </w:tabs>
        <w:spacing w:after="120"/>
        <w:ind w:firstLine="0"/>
        <w:jc w:val="center"/>
        <w:rPr>
          <w:b/>
          <w:szCs w:val="24"/>
        </w:rPr>
      </w:pPr>
      <w:r w:rsidRPr="0076774A">
        <w:rPr>
          <w:b/>
          <w:szCs w:val="24"/>
        </w:rPr>
        <w:t>TRŽNÍ A OBVYKLÁ HODNOTA</w:t>
      </w:r>
    </w:p>
    <w:p w14:paraId="0CDBA429" w14:textId="77777777" w:rsidR="0076774A" w:rsidRPr="0076774A" w:rsidRDefault="0076774A" w:rsidP="009B1011">
      <w:pPr>
        <w:tabs>
          <w:tab w:val="left" w:pos="426"/>
          <w:tab w:val="left" w:pos="868"/>
        </w:tabs>
        <w:spacing w:after="120"/>
        <w:ind w:firstLine="0"/>
        <w:jc w:val="center"/>
        <w:rPr>
          <w:b/>
          <w:szCs w:val="24"/>
        </w:rPr>
      </w:pPr>
      <w:r w:rsidRPr="0076774A">
        <w:rPr>
          <w:b/>
          <w:szCs w:val="24"/>
        </w:rPr>
        <w:t>§ 2</w:t>
      </w:r>
    </w:p>
    <w:p w14:paraId="61356C72" w14:textId="77777777" w:rsidR="0076774A" w:rsidRPr="0076774A" w:rsidRDefault="0076774A" w:rsidP="009B1011">
      <w:pPr>
        <w:tabs>
          <w:tab w:val="left" w:pos="426"/>
          <w:tab w:val="left" w:pos="868"/>
        </w:tabs>
        <w:spacing w:after="120"/>
        <w:ind w:firstLine="0"/>
        <w:jc w:val="center"/>
        <w:rPr>
          <w:b/>
          <w:szCs w:val="24"/>
        </w:rPr>
      </w:pPr>
      <w:r w:rsidRPr="0076774A">
        <w:rPr>
          <w:b/>
          <w:szCs w:val="24"/>
        </w:rPr>
        <w:t>Výchozí ocenění</w:t>
      </w:r>
    </w:p>
    <w:p w14:paraId="3DF0305B" w14:textId="06D30CE2" w:rsidR="0076774A" w:rsidRPr="00503B1C" w:rsidRDefault="0076774A" w:rsidP="00B8532E">
      <w:pPr>
        <w:tabs>
          <w:tab w:val="left" w:pos="426"/>
          <w:tab w:val="left" w:pos="868"/>
        </w:tabs>
        <w:spacing w:before="120" w:after="120"/>
        <w:rPr>
          <w:b/>
          <w:szCs w:val="24"/>
        </w:rPr>
      </w:pPr>
      <w:r w:rsidRPr="0076774A">
        <w:rPr>
          <w:b/>
          <w:szCs w:val="24"/>
        </w:rPr>
        <w:t>Věc, služba nebo dluh se oceňují tržní hodnotou, nestanoví-li</w:t>
      </w:r>
      <w:r w:rsidR="00503B1C">
        <w:rPr>
          <w:b/>
          <w:szCs w:val="24"/>
        </w:rPr>
        <w:t xml:space="preserve"> zvláštní právní předpis jinak.</w:t>
      </w:r>
    </w:p>
    <w:p w14:paraId="427BE1A9" w14:textId="77777777" w:rsidR="0076774A" w:rsidRPr="0076774A" w:rsidRDefault="0076774A" w:rsidP="00B8532E">
      <w:pPr>
        <w:keepNext/>
        <w:keepLines/>
        <w:tabs>
          <w:tab w:val="left" w:pos="426"/>
          <w:tab w:val="left" w:pos="868"/>
        </w:tabs>
        <w:spacing w:after="120"/>
        <w:ind w:firstLine="0"/>
        <w:jc w:val="center"/>
        <w:rPr>
          <w:b/>
          <w:szCs w:val="24"/>
        </w:rPr>
      </w:pPr>
      <w:r w:rsidRPr="0076774A">
        <w:rPr>
          <w:b/>
          <w:szCs w:val="24"/>
        </w:rPr>
        <w:lastRenderedPageBreak/>
        <w:t>§ 2a</w:t>
      </w:r>
    </w:p>
    <w:p w14:paraId="258CD8A1" w14:textId="77777777" w:rsidR="0076774A" w:rsidRPr="0076774A" w:rsidRDefault="0076774A" w:rsidP="00B8532E">
      <w:pPr>
        <w:keepNext/>
        <w:keepLines/>
        <w:tabs>
          <w:tab w:val="left" w:pos="426"/>
          <w:tab w:val="left" w:pos="868"/>
        </w:tabs>
        <w:spacing w:after="120"/>
        <w:ind w:firstLine="0"/>
        <w:jc w:val="center"/>
        <w:rPr>
          <w:b/>
          <w:szCs w:val="24"/>
        </w:rPr>
      </w:pPr>
      <w:r w:rsidRPr="0076774A">
        <w:rPr>
          <w:b/>
          <w:szCs w:val="24"/>
        </w:rPr>
        <w:t>Oceňování tržní hodnotou</w:t>
      </w:r>
    </w:p>
    <w:p w14:paraId="275F4FDD" w14:textId="7A71136F" w:rsidR="0076774A" w:rsidRPr="0076774A" w:rsidRDefault="00503B1C" w:rsidP="00B8532E">
      <w:pPr>
        <w:tabs>
          <w:tab w:val="left" w:pos="426"/>
          <w:tab w:val="left" w:pos="868"/>
        </w:tabs>
        <w:spacing w:before="120" w:after="120"/>
        <w:rPr>
          <w:b/>
          <w:szCs w:val="24"/>
        </w:rPr>
      </w:pPr>
      <w:r>
        <w:rPr>
          <w:b/>
          <w:szCs w:val="24"/>
        </w:rPr>
        <w:t>(1)</w:t>
      </w:r>
      <w:r w:rsidR="008479B4">
        <w:rPr>
          <w:b/>
          <w:szCs w:val="24"/>
        </w:rPr>
        <w:t xml:space="preserve"> </w:t>
      </w:r>
      <w:r w:rsidR="0076774A" w:rsidRPr="0076774A">
        <w:rPr>
          <w:b/>
          <w:szCs w:val="24"/>
        </w:rPr>
        <w:t xml:space="preserve">Při ocenění tržní hodnotou se zvolí oceňovací přístup, který odpovídá účelu ocenění, nestanoví-li zvláštní právní předpis jinak. </w:t>
      </w:r>
    </w:p>
    <w:p w14:paraId="0E878DAE" w14:textId="1F2C4E29" w:rsidR="0076774A" w:rsidRPr="0076774A" w:rsidRDefault="00503B1C" w:rsidP="00B8532E">
      <w:pPr>
        <w:tabs>
          <w:tab w:val="left" w:pos="426"/>
          <w:tab w:val="left" w:pos="868"/>
        </w:tabs>
        <w:spacing w:before="120" w:after="120"/>
        <w:rPr>
          <w:b/>
          <w:szCs w:val="24"/>
        </w:rPr>
      </w:pPr>
      <w:r>
        <w:rPr>
          <w:b/>
          <w:szCs w:val="24"/>
        </w:rPr>
        <w:t xml:space="preserve">(2) </w:t>
      </w:r>
      <w:r w:rsidR="0076774A" w:rsidRPr="0076774A">
        <w:rPr>
          <w:b/>
          <w:szCs w:val="24"/>
        </w:rPr>
        <w:t xml:space="preserve">Při ocenění věci tržní hodnotou se zohlední </w:t>
      </w:r>
    </w:p>
    <w:p w14:paraId="01530F20" w14:textId="12781249" w:rsidR="0076774A" w:rsidRPr="0076774A" w:rsidRDefault="00503B1C" w:rsidP="005A7455">
      <w:pPr>
        <w:tabs>
          <w:tab w:val="left" w:pos="426"/>
          <w:tab w:val="left" w:pos="868"/>
        </w:tabs>
        <w:spacing w:before="0"/>
        <w:ind w:left="426" w:hanging="426"/>
        <w:rPr>
          <w:b/>
          <w:szCs w:val="24"/>
        </w:rPr>
      </w:pPr>
      <w:r>
        <w:rPr>
          <w:b/>
          <w:szCs w:val="24"/>
        </w:rPr>
        <w:t>a)</w:t>
      </w:r>
      <w:r>
        <w:rPr>
          <w:b/>
          <w:szCs w:val="24"/>
        </w:rPr>
        <w:tab/>
      </w:r>
      <w:r w:rsidR="0076774A" w:rsidRPr="0076774A">
        <w:rPr>
          <w:b/>
          <w:szCs w:val="24"/>
        </w:rPr>
        <w:t xml:space="preserve">tržní rizika, </w:t>
      </w:r>
    </w:p>
    <w:p w14:paraId="6A77F9F7" w14:textId="08223C57" w:rsidR="0076774A" w:rsidRPr="0076774A" w:rsidRDefault="00503B1C" w:rsidP="005A7455">
      <w:pPr>
        <w:tabs>
          <w:tab w:val="left" w:pos="426"/>
          <w:tab w:val="left" w:pos="868"/>
        </w:tabs>
        <w:spacing w:before="0"/>
        <w:ind w:left="426" w:hanging="426"/>
        <w:rPr>
          <w:b/>
          <w:szCs w:val="24"/>
        </w:rPr>
      </w:pPr>
      <w:r>
        <w:rPr>
          <w:b/>
          <w:szCs w:val="24"/>
        </w:rPr>
        <w:t>b)</w:t>
      </w:r>
      <w:r>
        <w:rPr>
          <w:b/>
          <w:szCs w:val="24"/>
        </w:rPr>
        <w:tab/>
      </w:r>
      <w:r w:rsidR="0076774A" w:rsidRPr="0076774A">
        <w:rPr>
          <w:b/>
          <w:szCs w:val="24"/>
        </w:rPr>
        <w:t xml:space="preserve">předpokládaný vývoj na relevantním trhu a </w:t>
      </w:r>
    </w:p>
    <w:p w14:paraId="17BD738B" w14:textId="2D81E503" w:rsidR="0076774A" w:rsidRPr="0076774A" w:rsidRDefault="00503B1C" w:rsidP="005A7455">
      <w:pPr>
        <w:tabs>
          <w:tab w:val="left" w:pos="426"/>
          <w:tab w:val="left" w:pos="868"/>
        </w:tabs>
        <w:spacing w:before="0"/>
        <w:ind w:left="426" w:hanging="426"/>
        <w:rPr>
          <w:b/>
          <w:szCs w:val="24"/>
        </w:rPr>
      </w:pPr>
      <w:r>
        <w:rPr>
          <w:b/>
          <w:szCs w:val="24"/>
        </w:rPr>
        <w:t>c)</w:t>
      </w:r>
      <w:r>
        <w:rPr>
          <w:b/>
          <w:szCs w:val="24"/>
        </w:rPr>
        <w:tab/>
      </w:r>
      <w:r w:rsidR="0076774A" w:rsidRPr="0076774A">
        <w:rPr>
          <w:b/>
          <w:szCs w:val="24"/>
        </w:rPr>
        <w:t>nejlepší a nejvyšší možné využití věci ke dni ocenění; při určení nejlepšího a nejvyššího možného využití věci se zohlední její fyzicky dosažitelné, právně přípustné a ekonomicky proveditelné využití.</w:t>
      </w:r>
    </w:p>
    <w:p w14:paraId="5A064F45" w14:textId="2F2732DF" w:rsidR="0076774A" w:rsidRPr="0076774A" w:rsidRDefault="008479B4" w:rsidP="00B8532E">
      <w:pPr>
        <w:tabs>
          <w:tab w:val="left" w:pos="426"/>
          <w:tab w:val="left" w:pos="868"/>
        </w:tabs>
        <w:spacing w:before="120" w:after="120"/>
        <w:rPr>
          <w:b/>
          <w:szCs w:val="24"/>
        </w:rPr>
      </w:pPr>
      <w:r>
        <w:rPr>
          <w:b/>
          <w:szCs w:val="24"/>
        </w:rPr>
        <w:t xml:space="preserve">(3) </w:t>
      </w:r>
      <w:r w:rsidR="0076774A" w:rsidRPr="0076774A">
        <w:rPr>
          <w:b/>
          <w:szCs w:val="24"/>
        </w:rPr>
        <w:t>Ocenění tržní hodnotou prováděné znalcem nebo odhadcem musí být provedeno v souladu s mezinárodně uznávanými oceňovacími standardy.</w:t>
      </w:r>
    </w:p>
    <w:p w14:paraId="3F1BF79D" w14:textId="39D08B51" w:rsidR="0076774A" w:rsidRPr="0076774A" w:rsidRDefault="008479B4" w:rsidP="00B8532E">
      <w:pPr>
        <w:tabs>
          <w:tab w:val="left" w:pos="426"/>
          <w:tab w:val="left" w:pos="868"/>
        </w:tabs>
        <w:spacing w:before="120" w:after="120"/>
        <w:rPr>
          <w:b/>
          <w:szCs w:val="24"/>
        </w:rPr>
      </w:pPr>
      <w:r>
        <w:rPr>
          <w:b/>
          <w:szCs w:val="24"/>
        </w:rPr>
        <w:t xml:space="preserve">(4) </w:t>
      </w:r>
      <w:r w:rsidR="0076774A" w:rsidRPr="0076774A">
        <w:rPr>
          <w:b/>
          <w:szCs w:val="24"/>
        </w:rPr>
        <w:t>Reálná hodnota podle zákona upravujícího účetnictví se považuje za tržní hodnotu.</w:t>
      </w:r>
    </w:p>
    <w:p w14:paraId="2EF70AF1" w14:textId="17EBA206" w:rsidR="0076774A" w:rsidRPr="0076774A" w:rsidRDefault="008479B4" w:rsidP="00B8532E">
      <w:pPr>
        <w:tabs>
          <w:tab w:val="left" w:pos="426"/>
          <w:tab w:val="left" w:pos="868"/>
        </w:tabs>
        <w:spacing w:before="120" w:after="120"/>
        <w:rPr>
          <w:b/>
          <w:szCs w:val="24"/>
        </w:rPr>
      </w:pPr>
      <w:r>
        <w:rPr>
          <w:b/>
          <w:szCs w:val="24"/>
        </w:rPr>
        <w:t xml:space="preserve">(5) </w:t>
      </w:r>
      <w:r w:rsidR="0076774A" w:rsidRPr="0076774A">
        <w:rPr>
          <w:b/>
          <w:szCs w:val="24"/>
        </w:rPr>
        <w:t>Při ocenění tržní hodnotou se část druhá tohoto zákona nepoužije.</w:t>
      </w:r>
    </w:p>
    <w:p w14:paraId="77645475" w14:textId="6FF7BAC3" w:rsidR="0076774A" w:rsidRPr="0076774A" w:rsidRDefault="008479B4" w:rsidP="00B8532E">
      <w:pPr>
        <w:tabs>
          <w:tab w:val="left" w:pos="426"/>
          <w:tab w:val="left" w:pos="868"/>
        </w:tabs>
        <w:spacing w:before="120" w:after="120"/>
        <w:rPr>
          <w:b/>
          <w:szCs w:val="24"/>
        </w:rPr>
      </w:pPr>
      <w:r>
        <w:rPr>
          <w:b/>
          <w:szCs w:val="24"/>
        </w:rPr>
        <w:t xml:space="preserve">(6) </w:t>
      </w:r>
      <w:r w:rsidR="0076774A" w:rsidRPr="0076774A">
        <w:rPr>
          <w:b/>
          <w:szCs w:val="24"/>
        </w:rPr>
        <w:t>Prováděcí právní předpis stanoví podrobnější postup ocenění tr</w:t>
      </w:r>
      <w:r>
        <w:rPr>
          <w:b/>
          <w:szCs w:val="24"/>
        </w:rPr>
        <w:t>žní hodnotou.</w:t>
      </w:r>
    </w:p>
    <w:p w14:paraId="5F08F926" w14:textId="77777777" w:rsidR="0076774A" w:rsidRPr="0076774A" w:rsidRDefault="0076774A" w:rsidP="009B1011">
      <w:pPr>
        <w:tabs>
          <w:tab w:val="left" w:pos="426"/>
          <w:tab w:val="left" w:pos="868"/>
        </w:tabs>
        <w:spacing w:after="120"/>
        <w:ind w:firstLine="0"/>
        <w:jc w:val="center"/>
        <w:rPr>
          <w:b/>
          <w:szCs w:val="24"/>
        </w:rPr>
      </w:pPr>
      <w:r w:rsidRPr="0076774A">
        <w:rPr>
          <w:b/>
          <w:szCs w:val="24"/>
        </w:rPr>
        <w:t>§ 2b</w:t>
      </w:r>
    </w:p>
    <w:p w14:paraId="764B0F54" w14:textId="77777777" w:rsidR="0076774A" w:rsidRPr="0076774A" w:rsidRDefault="0076774A" w:rsidP="009B1011">
      <w:pPr>
        <w:tabs>
          <w:tab w:val="left" w:pos="426"/>
          <w:tab w:val="left" w:pos="868"/>
        </w:tabs>
        <w:spacing w:after="120"/>
        <w:ind w:firstLine="0"/>
        <w:jc w:val="center"/>
        <w:rPr>
          <w:b/>
          <w:szCs w:val="24"/>
        </w:rPr>
      </w:pPr>
      <w:r w:rsidRPr="0076774A">
        <w:rPr>
          <w:b/>
          <w:szCs w:val="24"/>
        </w:rPr>
        <w:t>Oceňování obvyklou hodnotou</w:t>
      </w:r>
    </w:p>
    <w:p w14:paraId="3897F244" w14:textId="14429609" w:rsidR="0076774A" w:rsidRPr="0076774A" w:rsidRDefault="008479B4" w:rsidP="00B8532E">
      <w:pPr>
        <w:tabs>
          <w:tab w:val="left" w:pos="426"/>
          <w:tab w:val="left" w:pos="868"/>
        </w:tabs>
        <w:spacing w:before="120" w:after="120"/>
        <w:rPr>
          <w:b/>
          <w:szCs w:val="24"/>
        </w:rPr>
      </w:pPr>
      <w:r>
        <w:rPr>
          <w:b/>
          <w:szCs w:val="24"/>
        </w:rPr>
        <w:t xml:space="preserve">(1) </w:t>
      </w:r>
      <w:r w:rsidR="0076774A" w:rsidRPr="0076774A">
        <w:rPr>
          <w:b/>
          <w:szCs w:val="24"/>
        </w:rPr>
        <w:t>Při ocenění věci, služby nebo dluhu obvyklou hodnotou se vychází z porovnání cen stejných věcí, služeb nebo dluhů sjednaných na relevantním trhu. Nejsou-li dostupné údaje o cenách stejných věcí, služeb nebo dluhů, vychází se z porovnání cen podobných, z hlediska užití porovnatelných nebo vzájemně zastupitelných věcí, služeb nebo dluhů.</w:t>
      </w:r>
    </w:p>
    <w:p w14:paraId="3835F225" w14:textId="624038CC" w:rsidR="0076774A" w:rsidRPr="0076774A" w:rsidRDefault="008479B4" w:rsidP="00B8532E">
      <w:pPr>
        <w:tabs>
          <w:tab w:val="left" w:pos="426"/>
          <w:tab w:val="left" w:pos="868"/>
        </w:tabs>
        <w:spacing w:before="120" w:after="120"/>
        <w:rPr>
          <w:b/>
          <w:szCs w:val="24"/>
        </w:rPr>
      </w:pPr>
      <w:r>
        <w:rPr>
          <w:b/>
          <w:szCs w:val="24"/>
        </w:rPr>
        <w:t xml:space="preserve">(2) </w:t>
      </w:r>
      <w:r w:rsidR="0076774A" w:rsidRPr="0076774A">
        <w:rPr>
          <w:b/>
          <w:szCs w:val="24"/>
        </w:rPr>
        <w:t>Při ocenění obvyklou hodnotou se nezohledňuje mimořádná cena. Mimořádnou cenou se pro tyto účely rozumí cena věci, služby nebo dluhu, do jejíhož sjednání se promítly mimořádné okolnosti trhu, osobní poměry kupujícího a prodávajícího, zvláštní vztahy mezi nimi nebo vliv zvláštní obliby.</w:t>
      </w:r>
    </w:p>
    <w:p w14:paraId="08974E4F" w14:textId="2CD8FDB4" w:rsidR="0076774A" w:rsidRPr="0076774A" w:rsidRDefault="008479B4" w:rsidP="00B8532E">
      <w:pPr>
        <w:tabs>
          <w:tab w:val="left" w:pos="426"/>
          <w:tab w:val="left" w:pos="868"/>
        </w:tabs>
        <w:spacing w:before="120" w:after="120"/>
        <w:rPr>
          <w:b/>
          <w:szCs w:val="24"/>
        </w:rPr>
      </w:pPr>
      <w:r>
        <w:rPr>
          <w:b/>
          <w:szCs w:val="24"/>
        </w:rPr>
        <w:t xml:space="preserve">(3) </w:t>
      </w:r>
      <w:r w:rsidR="0076774A" w:rsidRPr="0076774A">
        <w:rPr>
          <w:b/>
          <w:szCs w:val="24"/>
        </w:rPr>
        <w:t>Ocenění obvyklou hodnotou zahrnuje</w:t>
      </w:r>
    </w:p>
    <w:p w14:paraId="2FA3F083" w14:textId="77777777" w:rsidR="0076774A" w:rsidRPr="0076774A" w:rsidRDefault="0076774A" w:rsidP="005A7455">
      <w:pPr>
        <w:tabs>
          <w:tab w:val="left" w:pos="426"/>
          <w:tab w:val="left" w:pos="868"/>
        </w:tabs>
        <w:spacing w:before="0"/>
        <w:ind w:left="426" w:hanging="426"/>
        <w:rPr>
          <w:b/>
          <w:szCs w:val="24"/>
        </w:rPr>
      </w:pPr>
      <w:r w:rsidRPr="0076774A">
        <w:rPr>
          <w:b/>
          <w:szCs w:val="24"/>
        </w:rPr>
        <w:t>a)</w:t>
      </w:r>
      <w:r w:rsidRPr="0076774A">
        <w:rPr>
          <w:b/>
          <w:szCs w:val="24"/>
        </w:rPr>
        <w:tab/>
        <w:t>zjištění alespoň 3 nejaktuálnějších sjednaných cen věcí, služeb nebo dluhů podle odstavce 1,</w:t>
      </w:r>
    </w:p>
    <w:p w14:paraId="3F4E93D4" w14:textId="77777777" w:rsidR="0076774A" w:rsidRPr="0076774A" w:rsidRDefault="0076774A" w:rsidP="005A7455">
      <w:pPr>
        <w:tabs>
          <w:tab w:val="left" w:pos="426"/>
          <w:tab w:val="left" w:pos="868"/>
        </w:tabs>
        <w:spacing w:before="0"/>
        <w:ind w:left="426" w:hanging="426"/>
        <w:rPr>
          <w:b/>
          <w:szCs w:val="24"/>
        </w:rPr>
      </w:pPr>
      <w:r w:rsidRPr="0076774A">
        <w:rPr>
          <w:b/>
          <w:szCs w:val="24"/>
        </w:rPr>
        <w:t>b)</w:t>
      </w:r>
      <w:r w:rsidRPr="0076774A">
        <w:rPr>
          <w:b/>
          <w:szCs w:val="24"/>
        </w:rPr>
        <w:tab/>
        <w:t>porovnání oceňované věci, služby nebo dluhu s věcmi, službami nebo dluhy podle písmene a) a zjištění rozdílů mezi nimi,</w:t>
      </w:r>
    </w:p>
    <w:p w14:paraId="4489F55F" w14:textId="77777777" w:rsidR="0076774A" w:rsidRPr="0076774A" w:rsidRDefault="0076774A" w:rsidP="005A7455">
      <w:pPr>
        <w:tabs>
          <w:tab w:val="left" w:pos="426"/>
          <w:tab w:val="left" w:pos="868"/>
        </w:tabs>
        <w:spacing w:before="0"/>
        <w:ind w:left="426" w:hanging="426"/>
        <w:rPr>
          <w:b/>
          <w:szCs w:val="24"/>
        </w:rPr>
      </w:pPr>
      <w:r w:rsidRPr="0076774A">
        <w:rPr>
          <w:b/>
          <w:szCs w:val="24"/>
        </w:rPr>
        <w:t>c)</w:t>
      </w:r>
      <w:r w:rsidRPr="0076774A">
        <w:rPr>
          <w:b/>
          <w:szCs w:val="24"/>
        </w:rPr>
        <w:tab/>
        <w:t>posouzení vlivu rozdílů podle písmene b) na sjednanou cenu,</w:t>
      </w:r>
    </w:p>
    <w:p w14:paraId="7B9710AE" w14:textId="77777777" w:rsidR="0076774A" w:rsidRPr="0076774A" w:rsidRDefault="0076774A" w:rsidP="005A7455">
      <w:pPr>
        <w:tabs>
          <w:tab w:val="left" w:pos="426"/>
          <w:tab w:val="left" w:pos="868"/>
        </w:tabs>
        <w:spacing w:before="0"/>
        <w:ind w:left="426" w:hanging="426"/>
        <w:rPr>
          <w:b/>
          <w:szCs w:val="24"/>
        </w:rPr>
      </w:pPr>
      <w:r w:rsidRPr="0076774A">
        <w:rPr>
          <w:b/>
          <w:szCs w:val="24"/>
        </w:rPr>
        <w:t>d)</w:t>
      </w:r>
      <w:r w:rsidRPr="0076774A">
        <w:rPr>
          <w:b/>
          <w:szCs w:val="24"/>
        </w:rPr>
        <w:tab/>
        <w:t>úpravu zjištěných cen podle písmena a) o vlivy podle písmene c),</w:t>
      </w:r>
    </w:p>
    <w:p w14:paraId="6D67D4E0" w14:textId="77777777" w:rsidR="0076774A" w:rsidRPr="0076774A" w:rsidRDefault="0076774A" w:rsidP="005A7455">
      <w:pPr>
        <w:tabs>
          <w:tab w:val="left" w:pos="426"/>
          <w:tab w:val="left" w:pos="868"/>
        </w:tabs>
        <w:spacing w:before="0"/>
        <w:ind w:left="426" w:hanging="426"/>
        <w:rPr>
          <w:b/>
          <w:szCs w:val="24"/>
        </w:rPr>
      </w:pPr>
      <w:r w:rsidRPr="0076774A">
        <w:rPr>
          <w:b/>
          <w:szCs w:val="24"/>
        </w:rPr>
        <w:t>e)</w:t>
      </w:r>
      <w:r w:rsidRPr="0076774A">
        <w:rPr>
          <w:b/>
          <w:szCs w:val="24"/>
        </w:rPr>
        <w:tab/>
        <w:t>určení obvyklé hodnoty na základě zjištěných cen upravených podle písmene d).</w:t>
      </w:r>
    </w:p>
    <w:p w14:paraId="435E8458" w14:textId="2C6B3626" w:rsidR="0076774A" w:rsidRPr="0076774A" w:rsidRDefault="008479B4" w:rsidP="00B8532E">
      <w:pPr>
        <w:tabs>
          <w:tab w:val="left" w:pos="426"/>
          <w:tab w:val="left" w:pos="868"/>
        </w:tabs>
        <w:spacing w:before="120" w:after="120"/>
        <w:rPr>
          <w:b/>
          <w:szCs w:val="24"/>
        </w:rPr>
      </w:pPr>
      <w:r>
        <w:rPr>
          <w:b/>
          <w:szCs w:val="24"/>
        </w:rPr>
        <w:t xml:space="preserve">(4) </w:t>
      </w:r>
      <w:r w:rsidR="0076774A" w:rsidRPr="0076774A">
        <w:rPr>
          <w:b/>
          <w:szCs w:val="24"/>
        </w:rPr>
        <w:t>Nelze-li určit obvyklou hodnotu, věc, služba nebo dluh se ocení tržní hodnotou, nestanoví-li zvláštní právní předpis jinak.</w:t>
      </w:r>
    </w:p>
    <w:p w14:paraId="1C07FE43" w14:textId="05DA9C2A" w:rsidR="0076774A" w:rsidRPr="0076774A" w:rsidRDefault="0076774A" w:rsidP="00B8532E">
      <w:pPr>
        <w:tabs>
          <w:tab w:val="left" w:pos="426"/>
          <w:tab w:val="left" w:pos="868"/>
        </w:tabs>
        <w:spacing w:before="120" w:after="120"/>
        <w:rPr>
          <w:b/>
          <w:szCs w:val="24"/>
        </w:rPr>
      </w:pPr>
      <w:r w:rsidRPr="0076774A">
        <w:rPr>
          <w:b/>
          <w:szCs w:val="24"/>
        </w:rPr>
        <w:t>(</w:t>
      </w:r>
      <w:r w:rsidR="008479B4">
        <w:rPr>
          <w:b/>
          <w:szCs w:val="24"/>
        </w:rPr>
        <w:t xml:space="preserve">5) </w:t>
      </w:r>
      <w:r w:rsidRPr="0076774A">
        <w:rPr>
          <w:b/>
          <w:szCs w:val="24"/>
        </w:rPr>
        <w:t>Při ocenění obvyklou hodnotou se část druhá tohoto zákona nepoužije.</w:t>
      </w:r>
    </w:p>
    <w:p w14:paraId="3C9422BF" w14:textId="102EA025" w:rsidR="0076774A" w:rsidRPr="0076774A" w:rsidRDefault="008479B4" w:rsidP="00B8532E">
      <w:pPr>
        <w:tabs>
          <w:tab w:val="left" w:pos="426"/>
          <w:tab w:val="left" w:pos="868"/>
        </w:tabs>
        <w:spacing w:before="120" w:after="120"/>
        <w:rPr>
          <w:b/>
          <w:szCs w:val="24"/>
        </w:rPr>
      </w:pPr>
      <w:r>
        <w:rPr>
          <w:b/>
          <w:szCs w:val="24"/>
        </w:rPr>
        <w:t xml:space="preserve">(6) </w:t>
      </w:r>
      <w:r w:rsidR="0076774A" w:rsidRPr="0076774A">
        <w:rPr>
          <w:b/>
          <w:szCs w:val="24"/>
        </w:rPr>
        <w:t>Prováděcí právní předpis stanoví podrobnější po</w:t>
      </w:r>
      <w:r w:rsidR="002635D8">
        <w:rPr>
          <w:b/>
          <w:szCs w:val="24"/>
        </w:rPr>
        <w:t>stup ocenění obvyklou hodnotou.</w:t>
      </w:r>
    </w:p>
    <w:p w14:paraId="1A05C9F0" w14:textId="77777777" w:rsidR="0076774A" w:rsidRPr="0076774A" w:rsidRDefault="0076774A" w:rsidP="00B8532E">
      <w:pPr>
        <w:keepNext/>
        <w:keepLines/>
        <w:tabs>
          <w:tab w:val="left" w:pos="426"/>
          <w:tab w:val="left" w:pos="868"/>
        </w:tabs>
        <w:spacing w:after="120"/>
        <w:ind w:firstLine="0"/>
        <w:jc w:val="center"/>
        <w:rPr>
          <w:b/>
          <w:szCs w:val="24"/>
        </w:rPr>
      </w:pPr>
      <w:r w:rsidRPr="0076774A">
        <w:rPr>
          <w:b/>
          <w:szCs w:val="24"/>
        </w:rPr>
        <w:lastRenderedPageBreak/>
        <w:t>ČÁST DRUHÁ</w:t>
      </w:r>
    </w:p>
    <w:p w14:paraId="6B20B9C7" w14:textId="77777777" w:rsidR="0076774A" w:rsidRPr="0076774A" w:rsidRDefault="0076774A" w:rsidP="00B8532E">
      <w:pPr>
        <w:keepNext/>
        <w:keepLines/>
        <w:tabs>
          <w:tab w:val="left" w:pos="426"/>
          <w:tab w:val="left" w:pos="868"/>
        </w:tabs>
        <w:spacing w:after="120"/>
        <w:ind w:firstLine="0"/>
        <w:jc w:val="center"/>
        <w:rPr>
          <w:b/>
          <w:szCs w:val="24"/>
        </w:rPr>
      </w:pPr>
      <w:r w:rsidRPr="0076774A">
        <w:rPr>
          <w:b/>
          <w:szCs w:val="24"/>
        </w:rPr>
        <w:t>ZJIŠTĚNÁ HODNOTA</w:t>
      </w:r>
    </w:p>
    <w:p w14:paraId="6183ECF8" w14:textId="77777777" w:rsidR="0076774A" w:rsidRPr="0076774A" w:rsidRDefault="0076774A" w:rsidP="00B8532E">
      <w:pPr>
        <w:keepNext/>
        <w:keepLines/>
        <w:tabs>
          <w:tab w:val="left" w:pos="426"/>
          <w:tab w:val="left" w:pos="868"/>
        </w:tabs>
        <w:spacing w:after="120"/>
        <w:ind w:firstLine="0"/>
        <w:jc w:val="center"/>
        <w:rPr>
          <w:b/>
          <w:szCs w:val="24"/>
        </w:rPr>
      </w:pPr>
      <w:r w:rsidRPr="0076774A">
        <w:rPr>
          <w:b/>
          <w:szCs w:val="24"/>
        </w:rPr>
        <w:t>HLAVA PRVNÍ</w:t>
      </w:r>
    </w:p>
    <w:p w14:paraId="756CA529" w14:textId="22341F14" w:rsidR="0076774A" w:rsidRPr="0076774A" w:rsidRDefault="0076774A" w:rsidP="00B8532E">
      <w:pPr>
        <w:keepNext/>
        <w:keepLines/>
        <w:tabs>
          <w:tab w:val="left" w:pos="426"/>
          <w:tab w:val="left" w:pos="868"/>
        </w:tabs>
        <w:spacing w:after="120"/>
        <w:ind w:firstLine="0"/>
        <w:jc w:val="center"/>
        <w:rPr>
          <w:b/>
          <w:szCs w:val="24"/>
        </w:rPr>
      </w:pPr>
      <w:r w:rsidRPr="0076774A">
        <w:rPr>
          <w:b/>
          <w:szCs w:val="24"/>
        </w:rPr>
        <w:t>OBECNÁ USTANOVENÍ</w:t>
      </w:r>
      <w:r w:rsidRPr="0076774A" w:rsidDel="00D56386">
        <w:rPr>
          <w:b/>
          <w:szCs w:val="24"/>
        </w:rPr>
        <w:t xml:space="preserve"> </w:t>
      </w:r>
    </w:p>
    <w:p w14:paraId="64091B31" w14:textId="77777777" w:rsidR="0076774A" w:rsidRPr="0076774A" w:rsidRDefault="0076774A" w:rsidP="009B1011">
      <w:pPr>
        <w:tabs>
          <w:tab w:val="left" w:pos="426"/>
          <w:tab w:val="left" w:pos="868"/>
        </w:tabs>
        <w:spacing w:after="120"/>
        <w:ind w:firstLine="0"/>
        <w:jc w:val="center"/>
        <w:rPr>
          <w:b/>
          <w:szCs w:val="24"/>
        </w:rPr>
      </w:pPr>
      <w:r w:rsidRPr="0076774A">
        <w:rPr>
          <w:b/>
          <w:szCs w:val="24"/>
        </w:rPr>
        <w:t>§ 2c</w:t>
      </w:r>
    </w:p>
    <w:p w14:paraId="4C650609" w14:textId="77777777" w:rsidR="0076774A" w:rsidRPr="0076774A" w:rsidRDefault="0076774A" w:rsidP="009B1011">
      <w:pPr>
        <w:tabs>
          <w:tab w:val="left" w:pos="426"/>
          <w:tab w:val="left" w:pos="868"/>
        </w:tabs>
        <w:spacing w:after="120"/>
        <w:ind w:firstLine="0"/>
        <w:jc w:val="center"/>
        <w:rPr>
          <w:b/>
          <w:szCs w:val="24"/>
        </w:rPr>
      </w:pPr>
      <w:r w:rsidRPr="0076774A">
        <w:rPr>
          <w:b/>
          <w:szCs w:val="24"/>
        </w:rPr>
        <w:t>Oceňování zjištěnou hodnotou</w:t>
      </w:r>
    </w:p>
    <w:p w14:paraId="5AA55BF0" w14:textId="33A82730" w:rsidR="0076774A" w:rsidRPr="0076774A" w:rsidRDefault="00332F13" w:rsidP="00B8532E">
      <w:pPr>
        <w:tabs>
          <w:tab w:val="left" w:pos="426"/>
          <w:tab w:val="left" w:pos="868"/>
        </w:tabs>
        <w:spacing w:before="120" w:after="120"/>
        <w:rPr>
          <w:b/>
          <w:szCs w:val="24"/>
        </w:rPr>
      </w:pPr>
      <w:r>
        <w:rPr>
          <w:b/>
          <w:szCs w:val="24"/>
        </w:rPr>
        <w:t xml:space="preserve">(1) </w:t>
      </w:r>
      <w:r w:rsidR="0076774A" w:rsidRPr="0076774A">
        <w:rPr>
          <w:b/>
          <w:szCs w:val="24"/>
        </w:rPr>
        <w:t>Při ocenění zjištěnou hodnotou se postupuje podle části druhé tohoto zákona a v souladu s obecně závaznými vyhláškami obcí upravující cenové mapy stavebních pozemků (dále jen „cenové mapy“).</w:t>
      </w:r>
    </w:p>
    <w:p w14:paraId="14C4E9C5" w14:textId="06BC565E" w:rsidR="0076774A" w:rsidRPr="0076774A" w:rsidRDefault="00332F13" w:rsidP="00B8532E">
      <w:pPr>
        <w:tabs>
          <w:tab w:val="left" w:pos="426"/>
          <w:tab w:val="left" w:pos="868"/>
        </w:tabs>
        <w:spacing w:before="120" w:after="120"/>
        <w:rPr>
          <w:b/>
          <w:szCs w:val="24"/>
        </w:rPr>
      </w:pPr>
      <w:r>
        <w:rPr>
          <w:b/>
          <w:szCs w:val="24"/>
        </w:rPr>
        <w:t xml:space="preserve">(2) </w:t>
      </w:r>
      <w:r w:rsidR="0076774A" w:rsidRPr="0076774A">
        <w:rPr>
          <w:b/>
          <w:szCs w:val="24"/>
        </w:rPr>
        <w:t xml:space="preserve">Pro ocenění zjištěnou hodnotou se hodnoty v zahraniční měně přepočtou na českou měnu kurzem devizového trhu vyhlášeným Českou národní bankou pro den ocenění. Pro přepočet měny, ke které Česká národní banka kurz nevyhlašuje, se použije kurz mezibankovního trhu této měny k americkému dolaru pro den ocenění a kurz devizového trhu vyhlášeným Českou národní bankou k americkému dolaru pro den ocenění. </w:t>
      </w:r>
    </w:p>
    <w:p w14:paraId="6148ED67" w14:textId="391A326D" w:rsidR="0076774A" w:rsidRPr="0076774A" w:rsidRDefault="00332F13" w:rsidP="00B8532E">
      <w:pPr>
        <w:tabs>
          <w:tab w:val="left" w:pos="426"/>
          <w:tab w:val="left" w:pos="868"/>
        </w:tabs>
        <w:spacing w:before="120" w:after="120"/>
        <w:rPr>
          <w:b/>
          <w:szCs w:val="24"/>
        </w:rPr>
      </w:pPr>
      <w:r>
        <w:rPr>
          <w:b/>
          <w:szCs w:val="24"/>
        </w:rPr>
        <w:t xml:space="preserve">(3) </w:t>
      </w:r>
      <w:r w:rsidR="0076774A" w:rsidRPr="0076774A">
        <w:rPr>
          <w:b/>
          <w:szCs w:val="24"/>
        </w:rPr>
        <w:t>Nelze-li určit zjištěnou hodnotu, věc, služba nebo dluh se ocení tržní hodnotou.</w:t>
      </w:r>
    </w:p>
    <w:p w14:paraId="553F6362" w14:textId="20982602" w:rsidR="0076774A" w:rsidRPr="002635D8" w:rsidRDefault="00332F13" w:rsidP="00B8532E">
      <w:pPr>
        <w:tabs>
          <w:tab w:val="left" w:pos="426"/>
          <w:tab w:val="left" w:pos="868"/>
        </w:tabs>
        <w:spacing w:before="120" w:after="120"/>
        <w:rPr>
          <w:b/>
          <w:szCs w:val="24"/>
        </w:rPr>
      </w:pPr>
      <w:r>
        <w:rPr>
          <w:b/>
          <w:szCs w:val="24"/>
        </w:rPr>
        <w:t xml:space="preserve">(4) </w:t>
      </w:r>
      <w:r w:rsidR="0076774A" w:rsidRPr="0076774A">
        <w:rPr>
          <w:b/>
          <w:szCs w:val="24"/>
        </w:rPr>
        <w:t>Prováděcí právní předpis stanoví podrobnější pos</w:t>
      </w:r>
      <w:r w:rsidR="002635D8">
        <w:rPr>
          <w:b/>
          <w:szCs w:val="24"/>
        </w:rPr>
        <w:t>tup ocenění zjištěnou hodnotou.</w:t>
      </w:r>
    </w:p>
    <w:p w14:paraId="0FB51FCB" w14:textId="77777777" w:rsidR="0076774A" w:rsidRPr="0076774A" w:rsidRDefault="0076774A" w:rsidP="009B1011">
      <w:pPr>
        <w:tabs>
          <w:tab w:val="left" w:pos="426"/>
          <w:tab w:val="left" w:pos="868"/>
        </w:tabs>
        <w:spacing w:after="120"/>
        <w:ind w:firstLine="0"/>
        <w:jc w:val="center"/>
        <w:rPr>
          <w:szCs w:val="24"/>
        </w:rPr>
      </w:pPr>
      <w:r w:rsidRPr="0076774A">
        <w:rPr>
          <w:szCs w:val="24"/>
        </w:rPr>
        <w:t>§ 3</w:t>
      </w:r>
    </w:p>
    <w:p w14:paraId="329155B6" w14:textId="77777777" w:rsidR="0076774A" w:rsidRPr="00332F13" w:rsidRDefault="0076774A" w:rsidP="009B1011">
      <w:pPr>
        <w:tabs>
          <w:tab w:val="left" w:pos="426"/>
          <w:tab w:val="left" w:pos="868"/>
        </w:tabs>
        <w:spacing w:after="120"/>
        <w:ind w:firstLine="0"/>
        <w:jc w:val="center"/>
        <w:rPr>
          <w:b/>
          <w:szCs w:val="24"/>
        </w:rPr>
      </w:pPr>
      <w:r w:rsidRPr="00332F13">
        <w:rPr>
          <w:b/>
          <w:szCs w:val="24"/>
        </w:rPr>
        <w:t>Členění staveb</w:t>
      </w:r>
    </w:p>
    <w:p w14:paraId="0C91EBFB" w14:textId="77777777" w:rsidR="0076774A" w:rsidRPr="0076774A" w:rsidRDefault="0076774A" w:rsidP="00B8532E">
      <w:pPr>
        <w:tabs>
          <w:tab w:val="left" w:pos="426"/>
          <w:tab w:val="left" w:pos="868"/>
        </w:tabs>
        <w:spacing w:before="120" w:after="120"/>
        <w:rPr>
          <w:szCs w:val="24"/>
        </w:rPr>
      </w:pPr>
      <w:r w:rsidRPr="0076774A">
        <w:rPr>
          <w:szCs w:val="24"/>
        </w:rPr>
        <w:t>(1) Pro účely oceňování se stavby člení na</w:t>
      </w:r>
    </w:p>
    <w:p w14:paraId="5516ACE3" w14:textId="75F23424" w:rsidR="0076774A" w:rsidRPr="0076774A" w:rsidRDefault="00347875" w:rsidP="005A7455">
      <w:pPr>
        <w:tabs>
          <w:tab w:val="left" w:pos="426"/>
          <w:tab w:val="left" w:pos="868"/>
        </w:tabs>
        <w:spacing w:before="0"/>
        <w:ind w:left="426" w:hanging="426"/>
        <w:rPr>
          <w:szCs w:val="24"/>
        </w:rPr>
      </w:pPr>
      <w:r>
        <w:rPr>
          <w:szCs w:val="24"/>
        </w:rPr>
        <w:t>a)</w:t>
      </w:r>
      <w:r>
        <w:rPr>
          <w:szCs w:val="24"/>
        </w:rPr>
        <w:tab/>
      </w:r>
      <w:r w:rsidR="0076774A" w:rsidRPr="0076774A">
        <w:rPr>
          <w:szCs w:val="24"/>
        </w:rPr>
        <w:t>stavby pozemní, kterými jsou</w:t>
      </w:r>
    </w:p>
    <w:p w14:paraId="61F35CDA" w14:textId="578409B5" w:rsidR="0076774A" w:rsidRPr="0076774A" w:rsidRDefault="00347875" w:rsidP="005A7455">
      <w:pPr>
        <w:tabs>
          <w:tab w:val="left" w:pos="426"/>
          <w:tab w:val="left" w:pos="868"/>
        </w:tabs>
        <w:spacing w:before="0"/>
        <w:ind w:left="426" w:hanging="426"/>
        <w:rPr>
          <w:szCs w:val="24"/>
        </w:rPr>
      </w:pPr>
      <w:r>
        <w:rPr>
          <w:szCs w:val="24"/>
        </w:rPr>
        <w:tab/>
        <w:t>1.</w:t>
      </w:r>
      <w:r>
        <w:rPr>
          <w:szCs w:val="24"/>
        </w:rPr>
        <w:tab/>
      </w:r>
      <w:r w:rsidR="0076774A" w:rsidRPr="0076774A">
        <w:rPr>
          <w:szCs w:val="24"/>
        </w:rPr>
        <w:t>budovy, jimiž se rozumí stavby prostorově soustředěné a navenek převážně uzavřené obvodovými stěnami a střešními konstrukcemi, s jedním nebo více ohraničenými užitkovými prostory,</w:t>
      </w:r>
    </w:p>
    <w:p w14:paraId="503DEF9C" w14:textId="37822B50" w:rsidR="0076774A" w:rsidRPr="0076774A" w:rsidRDefault="00347875" w:rsidP="005A7455">
      <w:pPr>
        <w:tabs>
          <w:tab w:val="left" w:pos="426"/>
          <w:tab w:val="left" w:pos="868"/>
        </w:tabs>
        <w:spacing w:before="0"/>
        <w:ind w:left="426" w:hanging="426"/>
        <w:rPr>
          <w:szCs w:val="24"/>
        </w:rPr>
      </w:pPr>
      <w:r>
        <w:rPr>
          <w:szCs w:val="24"/>
        </w:rPr>
        <w:tab/>
        <w:t>2.</w:t>
      </w:r>
      <w:r>
        <w:rPr>
          <w:szCs w:val="24"/>
        </w:rPr>
        <w:tab/>
      </w:r>
      <w:r w:rsidR="0076774A" w:rsidRPr="0076774A">
        <w:rPr>
          <w:szCs w:val="24"/>
        </w:rPr>
        <w:t>jednotky,</w:t>
      </w:r>
    </w:p>
    <w:p w14:paraId="731E1A65" w14:textId="290E9596" w:rsidR="0076774A" w:rsidRPr="0076774A" w:rsidRDefault="00347875" w:rsidP="005A7455">
      <w:pPr>
        <w:tabs>
          <w:tab w:val="left" w:pos="426"/>
          <w:tab w:val="left" w:pos="868"/>
        </w:tabs>
        <w:spacing w:before="0"/>
        <w:ind w:left="426" w:hanging="426"/>
        <w:rPr>
          <w:szCs w:val="24"/>
        </w:rPr>
      </w:pPr>
      <w:r>
        <w:rPr>
          <w:szCs w:val="24"/>
        </w:rPr>
        <w:tab/>
        <w:t>3.</w:t>
      </w:r>
      <w:r>
        <w:rPr>
          <w:szCs w:val="24"/>
        </w:rPr>
        <w:tab/>
      </w:r>
      <w:r w:rsidR="0076774A" w:rsidRPr="0076774A">
        <w:rPr>
          <w:szCs w:val="24"/>
        </w:rPr>
        <w:t>venkovní úpravy,</w:t>
      </w:r>
    </w:p>
    <w:p w14:paraId="64E79604" w14:textId="29E5486B" w:rsidR="0076774A" w:rsidRPr="0076774A" w:rsidRDefault="00347875" w:rsidP="005A7455">
      <w:pPr>
        <w:tabs>
          <w:tab w:val="left" w:pos="426"/>
          <w:tab w:val="left" w:pos="868"/>
        </w:tabs>
        <w:spacing w:before="0"/>
        <w:ind w:left="426" w:hanging="426"/>
        <w:rPr>
          <w:szCs w:val="24"/>
        </w:rPr>
      </w:pPr>
      <w:r>
        <w:rPr>
          <w:szCs w:val="24"/>
        </w:rPr>
        <w:t>b)</w:t>
      </w:r>
      <w:r>
        <w:rPr>
          <w:szCs w:val="24"/>
        </w:rPr>
        <w:tab/>
      </w:r>
      <w:r w:rsidR="0076774A" w:rsidRPr="0076774A">
        <w:rPr>
          <w:szCs w:val="24"/>
        </w:rPr>
        <w:t>stavby inženýrské a speciální pozemní, kterými jsou stavby dopravní, vodní, pro rozvod energií a vody, kanalizace, věže, stožáry, komíny, plochy a úpravy území, studny a další stavby speciálního charakteru,</w:t>
      </w:r>
    </w:p>
    <w:p w14:paraId="23730513" w14:textId="2D175AE4" w:rsidR="0076774A" w:rsidRPr="0076774A" w:rsidRDefault="00347875" w:rsidP="005A7455">
      <w:pPr>
        <w:tabs>
          <w:tab w:val="left" w:pos="426"/>
          <w:tab w:val="left" w:pos="868"/>
        </w:tabs>
        <w:spacing w:before="0"/>
        <w:ind w:left="426" w:hanging="426"/>
        <w:rPr>
          <w:szCs w:val="24"/>
        </w:rPr>
      </w:pPr>
      <w:r>
        <w:rPr>
          <w:szCs w:val="24"/>
        </w:rPr>
        <w:t>c)</w:t>
      </w:r>
      <w:r>
        <w:rPr>
          <w:szCs w:val="24"/>
        </w:rPr>
        <w:tab/>
      </w:r>
      <w:r w:rsidR="0076774A" w:rsidRPr="0076774A">
        <w:rPr>
          <w:szCs w:val="24"/>
        </w:rPr>
        <w:t>vodní nádrže a rybníky,</w:t>
      </w:r>
    </w:p>
    <w:p w14:paraId="0E9679C7" w14:textId="17BA3A97" w:rsidR="0076774A" w:rsidRPr="0076774A" w:rsidRDefault="00347875" w:rsidP="005A7455">
      <w:pPr>
        <w:tabs>
          <w:tab w:val="left" w:pos="426"/>
          <w:tab w:val="left" w:pos="868"/>
        </w:tabs>
        <w:spacing w:before="0"/>
        <w:ind w:left="426" w:hanging="426"/>
        <w:rPr>
          <w:szCs w:val="24"/>
        </w:rPr>
      </w:pPr>
      <w:r>
        <w:rPr>
          <w:szCs w:val="24"/>
        </w:rPr>
        <w:t>d)</w:t>
      </w:r>
      <w:r>
        <w:rPr>
          <w:szCs w:val="24"/>
        </w:rPr>
        <w:tab/>
      </w:r>
      <w:r w:rsidR="0076774A" w:rsidRPr="0076774A">
        <w:rPr>
          <w:szCs w:val="24"/>
        </w:rPr>
        <w:t>jiné stavby.</w:t>
      </w:r>
    </w:p>
    <w:p w14:paraId="3DCA92E5" w14:textId="6C6D3BA0" w:rsidR="0076774A" w:rsidRPr="0076774A" w:rsidRDefault="0076774A" w:rsidP="00B8532E">
      <w:pPr>
        <w:tabs>
          <w:tab w:val="left" w:pos="426"/>
          <w:tab w:val="left" w:pos="868"/>
        </w:tabs>
        <w:spacing w:before="120" w:after="120"/>
        <w:rPr>
          <w:szCs w:val="24"/>
        </w:rPr>
      </w:pPr>
      <w:r w:rsidRPr="0076774A">
        <w:rPr>
          <w:szCs w:val="24"/>
        </w:rPr>
        <w:t xml:space="preserve">Členění staveb na jednotlivé druhy stanoví </w:t>
      </w:r>
      <w:r w:rsidRPr="0076774A">
        <w:rPr>
          <w:strike/>
          <w:szCs w:val="24"/>
        </w:rPr>
        <w:t>vyhláška</w:t>
      </w:r>
      <w:r w:rsidR="00347875" w:rsidRPr="00D7737B">
        <w:rPr>
          <w:szCs w:val="24"/>
        </w:rPr>
        <w:t xml:space="preserve"> </w:t>
      </w:r>
      <w:r w:rsidRPr="0076774A">
        <w:rPr>
          <w:b/>
          <w:szCs w:val="24"/>
        </w:rPr>
        <w:t>prováděcí právní předpis</w:t>
      </w:r>
      <w:r w:rsidRPr="0076774A">
        <w:rPr>
          <w:szCs w:val="24"/>
        </w:rPr>
        <w:t>.</w:t>
      </w:r>
    </w:p>
    <w:p w14:paraId="1F723F99" w14:textId="77777777" w:rsidR="0076774A" w:rsidRPr="0076774A" w:rsidRDefault="0076774A" w:rsidP="00B8532E">
      <w:pPr>
        <w:tabs>
          <w:tab w:val="left" w:pos="426"/>
          <w:tab w:val="left" w:pos="868"/>
        </w:tabs>
        <w:spacing w:before="120" w:after="120"/>
        <w:rPr>
          <w:szCs w:val="24"/>
        </w:rPr>
      </w:pPr>
      <w:r w:rsidRPr="0076774A">
        <w:rPr>
          <w:szCs w:val="24"/>
        </w:rPr>
        <w:t xml:space="preserve">(2) Pro účely oceňování se stavba posuzuje podle účelu užití. Při nesouladu mezi účelem užití stavby uvedeným v </w:t>
      </w:r>
      <w:r w:rsidRPr="0076774A">
        <w:rPr>
          <w:strike/>
          <w:szCs w:val="24"/>
        </w:rPr>
        <w:t>rozhodnutí o povolení záměru,</w:t>
      </w:r>
      <w:r w:rsidRPr="00FE0E8B">
        <w:rPr>
          <w:szCs w:val="24"/>
        </w:rPr>
        <w:t xml:space="preserve"> </w:t>
      </w:r>
      <w:r w:rsidRPr="0076774A">
        <w:rPr>
          <w:szCs w:val="24"/>
        </w:rPr>
        <w:t xml:space="preserve">kolaudačním rozhodnutí nebo v kolaudačním souhlasu nebo ve stavebním povolení nebo ve veřejnoprávní smlouvě nahrazující stavební povolení nebo v ohlášení či v oznámení stavebníka stavebnímu úřadu nebo v souhlasu stavebního úřadu nebo v certifikátu autorizovaného inspektora a skutečným užitím se vychází při oceňování ze skutečného užití stavby. Nejsou-li zachovány doklady o účelu, pro který byla stavba povolena, nebo při nesouladu mezi stavem uvedeným v katastru nemovitostí a </w:t>
      </w:r>
      <w:r w:rsidRPr="0076774A">
        <w:rPr>
          <w:szCs w:val="24"/>
        </w:rPr>
        <w:lastRenderedPageBreak/>
        <w:t>skutečným stavem platí, že stavba je určena k účelu, pro který je svým stavebně technickým uspořádáním vybavena. Jestliže vybavení stavby nasvědčuje několika účelům, má se za to, že stavba je určena k účelu, ke kterému se užívá bez závad.</w:t>
      </w:r>
    </w:p>
    <w:p w14:paraId="7CFE9357" w14:textId="77777777" w:rsidR="0076774A" w:rsidRPr="00B503E5" w:rsidRDefault="0076774A" w:rsidP="009B1011">
      <w:pPr>
        <w:tabs>
          <w:tab w:val="left" w:pos="426"/>
          <w:tab w:val="left" w:pos="868"/>
        </w:tabs>
        <w:spacing w:after="120"/>
        <w:ind w:firstLine="0"/>
        <w:jc w:val="center"/>
        <w:rPr>
          <w:b/>
          <w:szCs w:val="24"/>
        </w:rPr>
      </w:pPr>
      <w:r w:rsidRPr="00B503E5">
        <w:rPr>
          <w:b/>
          <w:szCs w:val="24"/>
        </w:rPr>
        <w:t>Oceňování stavby</w:t>
      </w:r>
    </w:p>
    <w:p w14:paraId="4D676ABD" w14:textId="77777777" w:rsidR="0076774A" w:rsidRPr="0076774A" w:rsidRDefault="0076774A" w:rsidP="009B1011">
      <w:pPr>
        <w:tabs>
          <w:tab w:val="left" w:pos="426"/>
          <w:tab w:val="left" w:pos="868"/>
        </w:tabs>
        <w:spacing w:after="120"/>
        <w:ind w:firstLine="0"/>
        <w:jc w:val="center"/>
        <w:rPr>
          <w:szCs w:val="24"/>
        </w:rPr>
      </w:pPr>
      <w:r w:rsidRPr="0076774A">
        <w:rPr>
          <w:szCs w:val="24"/>
        </w:rPr>
        <w:t>§ 4</w:t>
      </w:r>
    </w:p>
    <w:p w14:paraId="1376B180" w14:textId="795667DD" w:rsidR="0076774A" w:rsidRPr="0076774A" w:rsidRDefault="0076774A" w:rsidP="00B8532E">
      <w:pPr>
        <w:tabs>
          <w:tab w:val="left" w:pos="426"/>
          <w:tab w:val="left" w:pos="868"/>
        </w:tabs>
        <w:spacing w:before="120" w:after="120"/>
        <w:rPr>
          <w:szCs w:val="24"/>
        </w:rPr>
      </w:pPr>
      <w:r w:rsidRPr="0076774A">
        <w:rPr>
          <w:szCs w:val="24"/>
        </w:rPr>
        <w:t xml:space="preserve">(1) Nestanoví-li tento zákon jinak, stavba nebo její část (dále jen "stavba") se oceňuje nákladovým, výnosovým nebo porovnávacím </w:t>
      </w:r>
      <w:r w:rsidRPr="00423ABD">
        <w:rPr>
          <w:strike/>
          <w:szCs w:val="24"/>
        </w:rPr>
        <w:t>způsobem</w:t>
      </w:r>
      <w:r w:rsidR="009B1011">
        <w:rPr>
          <w:szCs w:val="24"/>
        </w:rPr>
        <w:t xml:space="preserve"> </w:t>
      </w:r>
      <w:r w:rsidRPr="009B1011">
        <w:rPr>
          <w:b/>
          <w:szCs w:val="24"/>
        </w:rPr>
        <w:t>přístupem</w:t>
      </w:r>
      <w:r w:rsidRPr="0076774A">
        <w:rPr>
          <w:szCs w:val="24"/>
        </w:rPr>
        <w:t xml:space="preserve"> nebo jejich kombinací</w:t>
      </w:r>
      <w:r w:rsidRPr="0076774A">
        <w:rPr>
          <w:strike/>
          <w:szCs w:val="24"/>
        </w:rPr>
        <w:t>, jejichž použití u jednotlivých druhů staveb stanoví</w:t>
      </w:r>
      <w:r w:rsidRPr="0076774A">
        <w:rPr>
          <w:szCs w:val="24"/>
        </w:rPr>
        <w:t xml:space="preserve"> </w:t>
      </w:r>
      <w:r w:rsidRPr="0076774A">
        <w:rPr>
          <w:strike/>
          <w:szCs w:val="24"/>
        </w:rPr>
        <w:t>vyhláška</w:t>
      </w:r>
      <w:r w:rsidRPr="0076774A">
        <w:rPr>
          <w:szCs w:val="24"/>
        </w:rPr>
        <w:t xml:space="preserve">. </w:t>
      </w:r>
      <w:r w:rsidRPr="0076774A">
        <w:rPr>
          <w:b/>
          <w:szCs w:val="24"/>
        </w:rPr>
        <w:t>Prováděcí právní předpis stanoví použití oceňovacích přístupů u jednotlivých druhů staveb.</w:t>
      </w:r>
    </w:p>
    <w:p w14:paraId="4B843100" w14:textId="77777777" w:rsidR="0076774A" w:rsidRPr="0076774A" w:rsidRDefault="0076774A" w:rsidP="00B8532E">
      <w:pPr>
        <w:tabs>
          <w:tab w:val="left" w:pos="426"/>
          <w:tab w:val="left" w:pos="868"/>
        </w:tabs>
        <w:spacing w:before="120" w:after="120"/>
        <w:rPr>
          <w:szCs w:val="24"/>
        </w:rPr>
      </w:pPr>
      <w:r w:rsidRPr="0076774A">
        <w:rPr>
          <w:szCs w:val="24"/>
        </w:rPr>
        <w:t>(2) Stavba se oceňuje podle účelu jejího užití bez rozdílu, zda jde o nemovitou nebo movitou věc nebo zda je součástí pozemku nebo práva stavby.</w:t>
      </w:r>
    </w:p>
    <w:p w14:paraId="29589B01" w14:textId="00418BD4" w:rsidR="0076774A" w:rsidRPr="0076774A" w:rsidRDefault="0076774A" w:rsidP="00B8532E">
      <w:pPr>
        <w:tabs>
          <w:tab w:val="left" w:pos="426"/>
          <w:tab w:val="left" w:pos="868"/>
        </w:tabs>
        <w:spacing w:before="120" w:after="120"/>
        <w:rPr>
          <w:szCs w:val="24"/>
        </w:rPr>
      </w:pPr>
      <w:r w:rsidRPr="0076774A">
        <w:rPr>
          <w:szCs w:val="24"/>
        </w:rPr>
        <w:t xml:space="preserve">(3) Není-li stavba samostatnou věcí, její </w:t>
      </w:r>
      <w:r w:rsidRPr="00423ABD">
        <w:rPr>
          <w:strike/>
          <w:szCs w:val="24"/>
        </w:rPr>
        <w:t>cena</w:t>
      </w:r>
      <w:r w:rsidR="009B1011">
        <w:rPr>
          <w:szCs w:val="24"/>
        </w:rPr>
        <w:t xml:space="preserve"> </w:t>
      </w:r>
      <w:r w:rsidRPr="009B1011">
        <w:rPr>
          <w:b/>
          <w:szCs w:val="24"/>
        </w:rPr>
        <w:t>hodnota</w:t>
      </w:r>
      <w:r w:rsidRPr="0076774A">
        <w:rPr>
          <w:szCs w:val="24"/>
        </w:rPr>
        <w:t xml:space="preserve"> se přičte k</w:t>
      </w:r>
      <w:r w:rsidR="009B1011">
        <w:rPr>
          <w:szCs w:val="24"/>
        </w:rPr>
        <w:t> </w:t>
      </w:r>
      <w:r w:rsidRPr="00423ABD">
        <w:rPr>
          <w:strike/>
          <w:szCs w:val="24"/>
        </w:rPr>
        <w:t>ceně</w:t>
      </w:r>
      <w:r w:rsidR="009B1011">
        <w:rPr>
          <w:szCs w:val="24"/>
        </w:rPr>
        <w:t xml:space="preserve"> </w:t>
      </w:r>
      <w:r w:rsidRPr="009B1011">
        <w:rPr>
          <w:b/>
          <w:szCs w:val="24"/>
        </w:rPr>
        <w:t>hodnotě</w:t>
      </w:r>
      <w:r w:rsidRPr="0076774A">
        <w:rPr>
          <w:szCs w:val="24"/>
        </w:rPr>
        <w:t xml:space="preserve"> nemovité věci, jejíž je součástí.</w:t>
      </w:r>
    </w:p>
    <w:p w14:paraId="473F2C36" w14:textId="77777777" w:rsidR="0076774A" w:rsidRPr="0076774A" w:rsidRDefault="0076774A" w:rsidP="00B8532E">
      <w:pPr>
        <w:tabs>
          <w:tab w:val="left" w:pos="426"/>
          <w:tab w:val="left" w:pos="868"/>
        </w:tabs>
        <w:spacing w:before="120" w:after="120"/>
        <w:rPr>
          <w:szCs w:val="24"/>
        </w:rPr>
      </w:pPr>
      <w:r w:rsidRPr="0076774A">
        <w:rPr>
          <w:szCs w:val="24"/>
        </w:rPr>
        <w:t>(4) Výrobek, který plní funkci stavby, se oceňuje jako jiná stavba.</w:t>
      </w:r>
    </w:p>
    <w:p w14:paraId="5D8FEBF5" w14:textId="77777777" w:rsidR="0076774A" w:rsidRPr="0076774A" w:rsidRDefault="0076774A" w:rsidP="009B1011">
      <w:pPr>
        <w:tabs>
          <w:tab w:val="left" w:pos="426"/>
          <w:tab w:val="left" w:pos="868"/>
        </w:tabs>
        <w:spacing w:after="120"/>
        <w:ind w:firstLine="0"/>
        <w:jc w:val="center"/>
        <w:rPr>
          <w:szCs w:val="24"/>
        </w:rPr>
      </w:pPr>
      <w:r w:rsidRPr="0076774A">
        <w:rPr>
          <w:szCs w:val="24"/>
        </w:rPr>
        <w:t>§ 5</w:t>
      </w:r>
    </w:p>
    <w:p w14:paraId="755BF5C2" w14:textId="47A99B66" w:rsidR="0076774A" w:rsidRPr="0076774A" w:rsidRDefault="0076774A" w:rsidP="00B8532E">
      <w:pPr>
        <w:tabs>
          <w:tab w:val="left" w:pos="426"/>
          <w:tab w:val="left" w:pos="868"/>
        </w:tabs>
        <w:spacing w:before="120" w:after="120"/>
        <w:rPr>
          <w:szCs w:val="24"/>
        </w:rPr>
      </w:pPr>
      <w:r w:rsidRPr="0076774A">
        <w:rPr>
          <w:szCs w:val="24"/>
        </w:rPr>
        <w:t xml:space="preserve">(1) Oceňuje-li se stavba nákladovým </w:t>
      </w:r>
      <w:r w:rsidRPr="00423ABD">
        <w:rPr>
          <w:strike/>
          <w:szCs w:val="24"/>
        </w:rPr>
        <w:t>způsobem</w:t>
      </w:r>
      <w:r w:rsidR="009B1011">
        <w:rPr>
          <w:szCs w:val="24"/>
        </w:rPr>
        <w:t xml:space="preserve"> </w:t>
      </w:r>
      <w:r w:rsidRPr="009B1011">
        <w:rPr>
          <w:b/>
          <w:szCs w:val="24"/>
        </w:rPr>
        <w:t>přístupem</w:t>
      </w:r>
      <w:r w:rsidRPr="0076774A">
        <w:rPr>
          <w:szCs w:val="24"/>
        </w:rPr>
        <w:t>, vychází se</w:t>
      </w:r>
    </w:p>
    <w:p w14:paraId="63F018EC" w14:textId="65360A07" w:rsidR="0076774A" w:rsidRPr="0076774A" w:rsidRDefault="009B1011" w:rsidP="005A7455">
      <w:pPr>
        <w:tabs>
          <w:tab w:val="left" w:pos="426"/>
          <w:tab w:val="left" w:pos="868"/>
        </w:tabs>
        <w:spacing w:before="0"/>
        <w:ind w:left="426" w:hanging="426"/>
        <w:rPr>
          <w:szCs w:val="24"/>
        </w:rPr>
      </w:pPr>
      <w:r>
        <w:rPr>
          <w:szCs w:val="24"/>
        </w:rPr>
        <w:t>a)</w:t>
      </w:r>
      <w:r>
        <w:rPr>
          <w:szCs w:val="24"/>
        </w:rPr>
        <w:tab/>
      </w:r>
      <w:r w:rsidR="0076774A" w:rsidRPr="0076774A">
        <w:rPr>
          <w:szCs w:val="24"/>
        </w:rPr>
        <w:t>ze základních cen za měrné jednotky stavby nebo z nákladů na pořízení stavby; u  stavby určené k odstranění se vychází z ocenění použitelného materiálu z jejího odstranění sníženého o náklady na odstranění,</w:t>
      </w:r>
    </w:p>
    <w:p w14:paraId="0CF902E9" w14:textId="28DBE5A1" w:rsidR="0076774A" w:rsidRPr="0076774A" w:rsidRDefault="009B1011" w:rsidP="005A7455">
      <w:pPr>
        <w:tabs>
          <w:tab w:val="left" w:pos="426"/>
          <w:tab w:val="left" w:pos="868"/>
        </w:tabs>
        <w:spacing w:before="0"/>
        <w:ind w:left="426" w:hanging="426"/>
        <w:rPr>
          <w:szCs w:val="24"/>
        </w:rPr>
      </w:pPr>
      <w:r>
        <w:rPr>
          <w:szCs w:val="24"/>
        </w:rPr>
        <w:t>b)</w:t>
      </w:r>
      <w:r>
        <w:rPr>
          <w:szCs w:val="24"/>
        </w:rPr>
        <w:tab/>
      </w:r>
      <w:r w:rsidR="0076774A" w:rsidRPr="0076774A">
        <w:rPr>
          <w:szCs w:val="24"/>
        </w:rPr>
        <w:t>ze zohlednění charakteru, velikosti stavby, jejího vybavení, polohy a prodejnosti, u  vodní nádrže a rybníku i ze zohlednění jejich funkce,</w:t>
      </w:r>
    </w:p>
    <w:p w14:paraId="47F14AB5" w14:textId="2FA5B1C4" w:rsidR="0076774A" w:rsidRPr="0076774A" w:rsidRDefault="009B1011" w:rsidP="005A7455">
      <w:pPr>
        <w:tabs>
          <w:tab w:val="left" w:pos="426"/>
          <w:tab w:val="left" w:pos="868"/>
        </w:tabs>
        <w:spacing w:before="0"/>
        <w:ind w:left="426" w:hanging="426"/>
        <w:rPr>
          <w:szCs w:val="24"/>
        </w:rPr>
      </w:pPr>
      <w:r>
        <w:rPr>
          <w:szCs w:val="24"/>
        </w:rPr>
        <w:t>c)</w:t>
      </w:r>
      <w:r>
        <w:rPr>
          <w:szCs w:val="24"/>
        </w:rPr>
        <w:tab/>
      </w:r>
      <w:r w:rsidR="0076774A" w:rsidRPr="0076774A">
        <w:rPr>
          <w:szCs w:val="24"/>
        </w:rPr>
        <w:t>z technického nebo morálního opotřebení stavby,</w:t>
      </w:r>
    </w:p>
    <w:p w14:paraId="0ECBE616" w14:textId="11AD5925" w:rsidR="0076774A" w:rsidRPr="0076774A" w:rsidRDefault="009B1011" w:rsidP="005A7455">
      <w:pPr>
        <w:tabs>
          <w:tab w:val="left" w:pos="426"/>
          <w:tab w:val="left" w:pos="868"/>
        </w:tabs>
        <w:spacing w:before="0"/>
        <w:ind w:left="426" w:hanging="426"/>
        <w:rPr>
          <w:szCs w:val="24"/>
        </w:rPr>
      </w:pPr>
      <w:r>
        <w:rPr>
          <w:szCs w:val="24"/>
        </w:rPr>
        <w:t>d)</w:t>
      </w:r>
      <w:r>
        <w:rPr>
          <w:szCs w:val="24"/>
        </w:rPr>
        <w:tab/>
      </w:r>
      <w:r w:rsidR="0076774A" w:rsidRPr="0076774A">
        <w:rPr>
          <w:szCs w:val="24"/>
        </w:rPr>
        <w:t>ze zohlednění ceny stroje nebo jiného technologického zařízení, není-li v katastru nemovitostí zapsána výhrada, že stroj není vlastnictvím vlastníka nemovité věci.</w:t>
      </w:r>
    </w:p>
    <w:p w14:paraId="4FBB21F5" w14:textId="15DD0379" w:rsidR="0076774A" w:rsidRPr="0076774A" w:rsidRDefault="0076774A" w:rsidP="00B8532E">
      <w:pPr>
        <w:tabs>
          <w:tab w:val="left" w:pos="426"/>
          <w:tab w:val="left" w:pos="868"/>
        </w:tabs>
        <w:spacing w:before="120" w:after="120"/>
        <w:rPr>
          <w:szCs w:val="24"/>
        </w:rPr>
      </w:pPr>
      <w:r w:rsidRPr="0076774A">
        <w:rPr>
          <w:szCs w:val="24"/>
        </w:rPr>
        <w:t xml:space="preserve">(2) Základní ceny a způsob jejich úpravy podle odstavce 1 u jednotlivých druhů staveb, postupy při měření a výpočtu výměr staveb a postupy při oceňování včetně způsobů </w:t>
      </w:r>
      <w:r w:rsidRPr="009B1011">
        <w:rPr>
          <w:szCs w:val="24"/>
        </w:rPr>
        <w:t>zjištění</w:t>
      </w:r>
      <w:r w:rsidR="009B1011">
        <w:rPr>
          <w:szCs w:val="24"/>
        </w:rPr>
        <w:t xml:space="preserve"> </w:t>
      </w:r>
      <w:r w:rsidRPr="009B1011">
        <w:rPr>
          <w:b/>
          <w:szCs w:val="24"/>
        </w:rPr>
        <w:t>určení</w:t>
      </w:r>
      <w:r w:rsidRPr="0076774A">
        <w:rPr>
          <w:szCs w:val="24"/>
        </w:rPr>
        <w:t xml:space="preserve"> a uplatnění technického nebo morálního opotřebení stanoví </w:t>
      </w:r>
      <w:r w:rsidRPr="009B1011">
        <w:rPr>
          <w:strike/>
          <w:szCs w:val="24"/>
        </w:rPr>
        <w:t>vyhláška</w:t>
      </w:r>
      <w:r w:rsidR="009B1011">
        <w:rPr>
          <w:szCs w:val="24"/>
        </w:rPr>
        <w:t xml:space="preserve"> </w:t>
      </w:r>
      <w:r w:rsidRPr="009B1011">
        <w:rPr>
          <w:b/>
          <w:szCs w:val="24"/>
        </w:rPr>
        <w:t>prováděcí</w:t>
      </w:r>
      <w:r w:rsidRPr="0076774A">
        <w:rPr>
          <w:b/>
          <w:szCs w:val="24"/>
        </w:rPr>
        <w:t xml:space="preserve"> právní předpis</w:t>
      </w:r>
      <w:r w:rsidRPr="0076774A">
        <w:rPr>
          <w:szCs w:val="24"/>
        </w:rPr>
        <w:t>. Ve stanovených cenách a postupech se zohledňují i vlivy působící na úrov</w:t>
      </w:r>
      <w:r w:rsidR="009B1011">
        <w:rPr>
          <w:szCs w:val="24"/>
        </w:rPr>
        <w:t>eň a relace cen staveb na trhu.</w:t>
      </w:r>
    </w:p>
    <w:p w14:paraId="59128573" w14:textId="77777777" w:rsidR="0076774A" w:rsidRPr="00024312" w:rsidRDefault="0076774A" w:rsidP="009B1011">
      <w:pPr>
        <w:tabs>
          <w:tab w:val="left" w:pos="426"/>
          <w:tab w:val="left" w:pos="868"/>
        </w:tabs>
        <w:spacing w:after="120"/>
        <w:ind w:firstLine="0"/>
        <w:jc w:val="center"/>
        <w:rPr>
          <w:strike/>
          <w:szCs w:val="24"/>
        </w:rPr>
      </w:pPr>
      <w:r w:rsidRPr="00024312">
        <w:rPr>
          <w:strike/>
          <w:szCs w:val="24"/>
        </w:rPr>
        <w:t>§ 6</w:t>
      </w:r>
    </w:p>
    <w:p w14:paraId="3AD34FC4" w14:textId="77777777" w:rsidR="00024312" w:rsidRDefault="0076774A" w:rsidP="00B8532E">
      <w:pPr>
        <w:tabs>
          <w:tab w:val="left" w:pos="426"/>
          <w:tab w:val="left" w:pos="868"/>
        </w:tabs>
        <w:spacing w:before="120" w:after="120"/>
        <w:rPr>
          <w:b/>
          <w:szCs w:val="24"/>
        </w:rPr>
      </w:pPr>
      <w:r w:rsidRPr="0076774A">
        <w:rPr>
          <w:strike/>
          <w:szCs w:val="24"/>
        </w:rPr>
        <w:t>Oceňuje-li se stavba výnosovým způsobem, stanoví vyhláška způsob výpočtu ceny, způsob zjištění výnosu a výši míry kapitalizace pro dané časové období.</w:t>
      </w:r>
      <w:r w:rsidRPr="0076774A">
        <w:rPr>
          <w:b/>
          <w:szCs w:val="24"/>
        </w:rPr>
        <w:t xml:space="preserve"> </w:t>
      </w:r>
    </w:p>
    <w:p w14:paraId="5F3F9D5E" w14:textId="5E255801" w:rsidR="00024312" w:rsidRDefault="00024312" w:rsidP="00024312">
      <w:pPr>
        <w:tabs>
          <w:tab w:val="left" w:pos="426"/>
          <w:tab w:val="left" w:pos="868"/>
        </w:tabs>
        <w:spacing w:after="120"/>
        <w:ind w:firstLine="0"/>
        <w:jc w:val="center"/>
        <w:rPr>
          <w:b/>
          <w:szCs w:val="24"/>
        </w:rPr>
      </w:pPr>
      <w:r>
        <w:rPr>
          <w:b/>
          <w:szCs w:val="24"/>
        </w:rPr>
        <w:t>§ 6</w:t>
      </w:r>
    </w:p>
    <w:p w14:paraId="45780FB7" w14:textId="57A7E66C" w:rsidR="0076774A" w:rsidRPr="00024312" w:rsidRDefault="0076774A" w:rsidP="00B8532E">
      <w:pPr>
        <w:tabs>
          <w:tab w:val="left" w:pos="426"/>
          <w:tab w:val="left" w:pos="868"/>
        </w:tabs>
        <w:spacing w:before="120" w:after="120"/>
        <w:rPr>
          <w:b/>
          <w:szCs w:val="24"/>
        </w:rPr>
      </w:pPr>
      <w:r w:rsidRPr="0076774A">
        <w:rPr>
          <w:b/>
          <w:szCs w:val="24"/>
        </w:rPr>
        <w:t>Prováděcí právní předpis stanoví pro účely výnosového přístupu k oceňování staveb způsob výpočtu hodnoty, způsob určení výnosu a výši míry kapit</w:t>
      </w:r>
      <w:r w:rsidR="00024312">
        <w:rPr>
          <w:b/>
          <w:szCs w:val="24"/>
        </w:rPr>
        <w:t>alizace pro dané časové období.</w:t>
      </w:r>
    </w:p>
    <w:p w14:paraId="29FFAA1C" w14:textId="77777777" w:rsidR="0076774A" w:rsidRPr="00024312" w:rsidRDefault="0076774A" w:rsidP="00024312">
      <w:pPr>
        <w:tabs>
          <w:tab w:val="left" w:pos="426"/>
          <w:tab w:val="left" w:pos="868"/>
        </w:tabs>
        <w:spacing w:after="120"/>
        <w:ind w:firstLine="0"/>
        <w:jc w:val="center"/>
        <w:rPr>
          <w:strike/>
          <w:szCs w:val="24"/>
        </w:rPr>
      </w:pPr>
      <w:r w:rsidRPr="00024312">
        <w:rPr>
          <w:strike/>
          <w:szCs w:val="24"/>
        </w:rPr>
        <w:t>§ 7</w:t>
      </w:r>
    </w:p>
    <w:p w14:paraId="3E5882B7" w14:textId="59ADF534" w:rsidR="00024312" w:rsidRDefault="0076774A" w:rsidP="00B8532E">
      <w:pPr>
        <w:tabs>
          <w:tab w:val="left" w:pos="426"/>
          <w:tab w:val="left" w:pos="868"/>
        </w:tabs>
        <w:spacing w:before="120" w:after="120"/>
        <w:rPr>
          <w:b/>
          <w:szCs w:val="24"/>
        </w:rPr>
      </w:pPr>
      <w:r w:rsidRPr="0076774A">
        <w:rPr>
          <w:strike/>
          <w:szCs w:val="24"/>
        </w:rPr>
        <w:t>Oceňuje-li se stavba porovnávacím způsobem, stanoví vyhláška hlediska, která se při porovnání berou v úvahu.</w:t>
      </w:r>
      <w:r w:rsidRPr="0076774A">
        <w:rPr>
          <w:b/>
          <w:szCs w:val="24"/>
        </w:rPr>
        <w:t xml:space="preserve"> </w:t>
      </w:r>
    </w:p>
    <w:p w14:paraId="01A4B9BD" w14:textId="4D9741E4" w:rsidR="00024312" w:rsidRDefault="00024312" w:rsidP="00B8532E">
      <w:pPr>
        <w:keepNext/>
        <w:keepLines/>
        <w:tabs>
          <w:tab w:val="left" w:pos="426"/>
          <w:tab w:val="left" w:pos="868"/>
        </w:tabs>
        <w:spacing w:after="120"/>
        <w:ind w:firstLine="0"/>
        <w:jc w:val="center"/>
        <w:rPr>
          <w:b/>
          <w:szCs w:val="24"/>
        </w:rPr>
      </w:pPr>
      <w:r>
        <w:rPr>
          <w:b/>
          <w:szCs w:val="24"/>
        </w:rPr>
        <w:lastRenderedPageBreak/>
        <w:t>§ 7</w:t>
      </w:r>
    </w:p>
    <w:p w14:paraId="502DCAB7" w14:textId="0D34D192" w:rsidR="0076774A" w:rsidRPr="0076774A" w:rsidRDefault="0076774A" w:rsidP="00B8532E">
      <w:pPr>
        <w:keepNext/>
        <w:keepLines/>
        <w:tabs>
          <w:tab w:val="left" w:pos="426"/>
          <w:tab w:val="left" w:pos="868"/>
        </w:tabs>
        <w:spacing w:after="120"/>
        <w:rPr>
          <w:szCs w:val="24"/>
        </w:rPr>
      </w:pPr>
      <w:r w:rsidRPr="0076774A">
        <w:rPr>
          <w:b/>
          <w:szCs w:val="24"/>
        </w:rPr>
        <w:t>Prováděcí právní předpis stanoví pro účely porovnávacího přístupu k oceňování staveb hlediska, která se při porovnání berou v úvahu.</w:t>
      </w:r>
    </w:p>
    <w:p w14:paraId="07C6A075" w14:textId="77777777" w:rsidR="0076774A" w:rsidRPr="0076774A" w:rsidRDefault="0076774A" w:rsidP="00024312">
      <w:pPr>
        <w:tabs>
          <w:tab w:val="left" w:pos="426"/>
          <w:tab w:val="left" w:pos="868"/>
        </w:tabs>
        <w:spacing w:after="120"/>
        <w:ind w:firstLine="0"/>
        <w:jc w:val="center"/>
        <w:rPr>
          <w:szCs w:val="24"/>
        </w:rPr>
      </w:pPr>
      <w:r w:rsidRPr="0076774A">
        <w:rPr>
          <w:szCs w:val="24"/>
        </w:rPr>
        <w:t>§ 8</w:t>
      </w:r>
    </w:p>
    <w:p w14:paraId="6A06510A" w14:textId="77777777" w:rsidR="0076774A" w:rsidRPr="00024312" w:rsidRDefault="0076774A" w:rsidP="00024312">
      <w:pPr>
        <w:tabs>
          <w:tab w:val="left" w:pos="426"/>
          <w:tab w:val="left" w:pos="868"/>
        </w:tabs>
        <w:spacing w:after="120"/>
        <w:ind w:firstLine="0"/>
        <w:jc w:val="center"/>
        <w:rPr>
          <w:b/>
          <w:szCs w:val="24"/>
        </w:rPr>
      </w:pPr>
      <w:r w:rsidRPr="00024312">
        <w:rPr>
          <w:b/>
          <w:szCs w:val="24"/>
        </w:rPr>
        <w:t>Oceňování jednotek</w:t>
      </w:r>
    </w:p>
    <w:p w14:paraId="0F5FD0BE" w14:textId="77777777" w:rsidR="0076774A" w:rsidRPr="0076774A" w:rsidRDefault="0076774A" w:rsidP="00B8532E">
      <w:pPr>
        <w:tabs>
          <w:tab w:val="left" w:pos="426"/>
          <w:tab w:val="left" w:pos="868"/>
        </w:tabs>
        <w:spacing w:before="120" w:after="120"/>
        <w:rPr>
          <w:szCs w:val="24"/>
        </w:rPr>
      </w:pPr>
      <w:r w:rsidRPr="0076774A">
        <w:rPr>
          <w:szCs w:val="24"/>
        </w:rPr>
        <w:t>(1) Jednotka, kterou je byt nebo která zahrnuje byt, se oceňuje včetně podílu na společných částech nemovité věci, a to i v případě, jsou-li umístěny mimo dům, a  včetně podílu na nemovitých věcech, které tvoří příslušenství domu, určené pro společné užívání.</w:t>
      </w:r>
    </w:p>
    <w:p w14:paraId="69D7AFE9" w14:textId="77777777" w:rsidR="0076774A" w:rsidRPr="0076774A" w:rsidRDefault="0076774A" w:rsidP="00B8532E">
      <w:pPr>
        <w:tabs>
          <w:tab w:val="left" w:pos="426"/>
          <w:tab w:val="left" w:pos="868"/>
        </w:tabs>
        <w:spacing w:before="120" w:after="120"/>
        <w:rPr>
          <w:szCs w:val="24"/>
        </w:rPr>
      </w:pPr>
      <w:r w:rsidRPr="0076774A">
        <w:rPr>
          <w:szCs w:val="24"/>
        </w:rPr>
        <w:t>(2) Jednotka, kterou je nebytový prostor nebo která zahrnuje nebytový prostor, se oceňuje včetně podílu na společných částech nemovité věci a to i v případě, jsou-li umístěny mimo dům, a včetně podílu na nemovitých věcech, které tvoří příslušenství domu určené pro společné užívání; nebytovým prostorem nejsou příslušenství bytu ani společné části domu.</w:t>
      </w:r>
    </w:p>
    <w:p w14:paraId="128461E7" w14:textId="68E2260A" w:rsidR="0076774A" w:rsidRPr="0076774A" w:rsidRDefault="0076774A" w:rsidP="00B8532E">
      <w:pPr>
        <w:tabs>
          <w:tab w:val="left" w:pos="426"/>
          <w:tab w:val="left" w:pos="868"/>
        </w:tabs>
        <w:spacing w:before="120" w:after="120"/>
        <w:rPr>
          <w:szCs w:val="24"/>
        </w:rPr>
      </w:pPr>
      <w:r w:rsidRPr="0076774A">
        <w:rPr>
          <w:szCs w:val="24"/>
        </w:rPr>
        <w:t xml:space="preserve">(3) </w:t>
      </w:r>
      <w:r w:rsidRPr="00423ABD">
        <w:rPr>
          <w:strike/>
          <w:szCs w:val="24"/>
        </w:rPr>
        <w:t>Cena</w:t>
      </w:r>
      <w:r w:rsidR="00683BA3">
        <w:rPr>
          <w:szCs w:val="24"/>
        </w:rPr>
        <w:t xml:space="preserve"> </w:t>
      </w:r>
      <w:r w:rsidRPr="00683BA3">
        <w:rPr>
          <w:b/>
          <w:szCs w:val="24"/>
        </w:rPr>
        <w:t>Hodnota</w:t>
      </w:r>
      <w:r w:rsidRPr="0076774A">
        <w:rPr>
          <w:szCs w:val="24"/>
        </w:rPr>
        <w:t xml:space="preserve"> jednotky se </w:t>
      </w:r>
      <w:proofErr w:type="gramStart"/>
      <w:r w:rsidRPr="00423ABD">
        <w:rPr>
          <w:strike/>
          <w:szCs w:val="24"/>
        </w:rPr>
        <w:t>zjistí</w:t>
      </w:r>
      <w:r w:rsidR="00683BA3">
        <w:rPr>
          <w:szCs w:val="24"/>
        </w:rPr>
        <w:t xml:space="preserve"> </w:t>
      </w:r>
      <w:r w:rsidRPr="00683BA3">
        <w:rPr>
          <w:b/>
          <w:szCs w:val="24"/>
        </w:rPr>
        <w:t>určí</w:t>
      </w:r>
      <w:proofErr w:type="gramEnd"/>
      <w:r w:rsidRPr="0076774A">
        <w:rPr>
          <w:szCs w:val="24"/>
        </w:rPr>
        <w:t xml:space="preserve"> nákladovým nebo porovnávacím </w:t>
      </w:r>
      <w:r w:rsidRPr="00423ABD">
        <w:rPr>
          <w:strike/>
          <w:szCs w:val="24"/>
        </w:rPr>
        <w:t>způsobem</w:t>
      </w:r>
      <w:r w:rsidR="00683BA3">
        <w:rPr>
          <w:szCs w:val="24"/>
        </w:rPr>
        <w:t xml:space="preserve"> </w:t>
      </w:r>
      <w:r w:rsidRPr="00683BA3">
        <w:rPr>
          <w:b/>
          <w:szCs w:val="24"/>
        </w:rPr>
        <w:t>přístupem</w:t>
      </w:r>
      <w:r w:rsidRPr="0076774A">
        <w:rPr>
          <w:szCs w:val="24"/>
        </w:rPr>
        <w:t xml:space="preserve">. Velikost podílu na společných částech nemovité věci příslušejících k jednotce se zjistí z veřejného seznamu. </w:t>
      </w:r>
      <w:r w:rsidRPr="0076774A">
        <w:rPr>
          <w:strike/>
          <w:szCs w:val="24"/>
        </w:rPr>
        <w:t xml:space="preserve">Způsob jejich ocenění </w:t>
      </w:r>
      <w:proofErr w:type="gramStart"/>
      <w:r w:rsidRPr="0076774A">
        <w:rPr>
          <w:strike/>
          <w:szCs w:val="24"/>
        </w:rPr>
        <w:t>stanoví</w:t>
      </w:r>
      <w:proofErr w:type="gramEnd"/>
      <w:r w:rsidRPr="0076774A">
        <w:rPr>
          <w:szCs w:val="24"/>
        </w:rPr>
        <w:t xml:space="preserve"> </w:t>
      </w:r>
      <w:r w:rsidRPr="0076774A">
        <w:rPr>
          <w:strike/>
          <w:szCs w:val="24"/>
        </w:rPr>
        <w:t>vyhláška</w:t>
      </w:r>
      <w:r w:rsidRPr="0076774A">
        <w:rPr>
          <w:szCs w:val="24"/>
        </w:rPr>
        <w:t xml:space="preserve"> </w:t>
      </w:r>
      <w:r w:rsidRPr="0076774A">
        <w:rPr>
          <w:b/>
          <w:szCs w:val="24"/>
        </w:rPr>
        <w:t xml:space="preserve">Prováděcí právní předpis </w:t>
      </w:r>
      <w:proofErr w:type="gramStart"/>
      <w:r w:rsidRPr="0076774A">
        <w:rPr>
          <w:b/>
          <w:szCs w:val="24"/>
        </w:rPr>
        <w:t>stanoví</w:t>
      </w:r>
      <w:proofErr w:type="gramEnd"/>
      <w:r w:rsidRPr="0076774A">
        <w:rPr>
          <w:b/>
          <w:szCs w:val="24"/>
        </w:rPr>
        <w:t xml:space="preserve"> oceňovací přístup </w:t>
      </w:r>
      <w:r w:rsidRPr="0076774A">
        <w:rPr>
          <w:szCs w:val="24"/>
        </w:rPr>
        <w:t>v návaznosti na druh a účel užití stavby, ve které se jednotka nachází.</w:t>
      </w:r>
    </w:p>
    <w:p w14:paraId="7BAC8FBD" w14:textId="3E594E64" w:rsidR="0076774A" w:rsidRPr="0076774A" w:rsidRDefault="0076774A" w:rsidP="00B8532E">
      <w:pPr>
        <w:tabs>
          <w:tab w:val="left" w:pos="426"/>
          <w:tab w:val="left" w:pos="868"/>
        </w:tabs>
        <w:spacing w:before="120" w:after="120"/>
        <w:rPr>
          <w:szCs w:val="24"/>
        </w:rPr>
      </w:pPr>
      <w:r w:rsidRPr="0076774A">
        <w:rPr>
          <w:szCs w:val="24"/>
        </w:rPr>
        <w:t xml:space="preserve">(4) </w:t>
      </w:r>
      <w:r w:rsidRPr="00423ABD">
        <w:rPr>
          <w:strike/>
          <w:szCs w:val="24"/>
        </w:rPr>
        <w:t>Cena</w:t>
      </w:r>
      <w:r w:rsidR="00683BA3">
        <w:rPr>
          <w:szCs w:val="24"/>
        </w:rPr>
        <w:t xml:space="preserve"> </w:t>
      </w:r>
      <w:r w:rsidRPr="00683BA3">
        <w:rPr>
          <w:b/>
          <w:szCs w:val="24"/>
        </w:rPr>
        <w:t>Hodnota</w:t>
      </w:r>
      <w:r w:rsidRPr="0076774A">
        <w:rPr>
          <w:szCs w:val="24"/>
        </w:rPr>
        <w:t xml:space="preserve"> příslušenství nemovité věci, které není stavebně její součástí, jako jsou zejména venkovní úpravy, studny a vedlejší stavby sloužící výhradně společnému užívání, se pro účely ocenění jednotky, bytu nebo nebytového prostoru započte do jeho </w:t>
      </w:r>
      <w:r w:rsidRPr="00423ABD">
        <w:rPr>
          <w:strike/>
          <w:szCs w:val="24"/>
        </w:rPr>
        <w:t>ceny</w:t>
      </w:r>
      <w:r w:rsidR="00683BA3">
        <w:rPr>
          <w:szCs w:val="24"/>
        </w:rPr>
        <w:t xml:space="preserve"> </w:t>
      </w:r>
      <w:r w:rsidRPr="00683BA3">
        <w:rPr>
          <w:b/>
          <w:szCs w:val="24"/>
        </w:rPr>
        <w:t>hodnoty</w:t>
      </w:r>
      <w:r w:rsidRPr="0076774A">
        <w:rPr>
          <w:szCs w:val="24"/>
        </w:rPr>
        <w:t xml:space="preserve"> ve výši spoluvlastnického podílu.</w:t>
      </w:r>
    </w:p>
    <w:p w14:paraId="2613480A" w14:textId="03212919" w:rsidR="0076774A" w:rsidRPr="0076774A" w:rsidRDefault="0076774A" w:rsidP="00B8532E">
      <w:pPr>
        <w:tabs>
          <w:tab w:val="left" w:pos="426"/>
          <w:tab w:val="left" w:pos="868"/>
        </w:tabs>
        <w:spacing w:before="120" w:after="120"/>
        <w:rPr>
          <w:szCs w:val="24"/>
        </w:rPr>
      </w:pPr>
      <w:r w:rsidRPr="0076774A">
        <w:rPr>
          <w:szCs w:val="24"/>
        </w:rPr>
        <w:t xml:space="preserve">(5) Podlahová plocha jednotky, kterou je byt nebo nebytový prostor, nebo která zahrnuje byt nebo nebytový prostor, je součtem všech plošných výměr podlah jednotlivých místností nebo místností v prostorově oddělené části domu a prostor užívaných výhradně s nimi. Způsob určení plošných výměr stanoví </w:t>
      </w:r>
      <w:r w:rsidRPr="00423ABD">
        <w:rPr>
          <w:strike/>
          <w:szCs w:val="24"/>
        </w:rPr>
        <w:t>vyhláška</w:t>
      </w:r>
      <w:r w:rsidR="00683BA3">
        <w:rPr>
          <w:szCs w:val="24"/>
        </w:rPr>
        <w:t xml:space="preserve"> </w:t>
      </w:r>
      <w:r w:rsidRPr="00683BA3">
        <w:rPr>
          <w:b/>
          <w:szCs w:val="24"/>
        </w:rPr>
        <w:t>prováděcí</w:t>
      </w:r>
      <w:r w:rsidRPr="0076774A">
        <w:rPr>
          <w:b/>
          <w:szCs w:val="24"/>
        </w:rPr>
        <w:t xml:space="preserve"> právní předpis</w:t>
      </w:r>
      <w:r w:rsidRPr="0076774A">
        <w:rPr>
          <w:szCs w:val="24"/>
        </w:rPr>
        <w:t>.</w:t>
      </w:r>
    </w:p>
    <w:p w14:paraId="4CBF5D35" w14:textId="1DBEA4F9" w:rsidR="0076774A" w:rsidRPr="0076774A" w:rsidRDefault="0076774A" w:rsidP="00B8532E">
      <w:pPr>
        <w:tabs>
          <w:tab w:val="left" w:pos="426"/>
          <w:tab w:val="left" w:pos="868"/>
        </w:tabs>
        <w:spacing w:before="120" w:after="120"/>
        <w:rPr>
          <w:szCs w:val="24"/>
        </w:rPr>
      </w:pPr>
      <w:r w:rsidRPr="0076774A">
        <w:rPr>
          <w:szCs w:val="24"/>
        </w:rPr>
        <w:t xml:space="preserve">(6) Pozemek, který je společnou částí jednotky, se ocení samostatně a jeho </w:t>
      </w:r>
      <w:r w:rsidRPr="00423ABD">
        <w:rPr>
          <w:strike/>
          <w:szCs w:val="24"/>
        </w:rPr>
        <w:t>cena</w:t>
      </w:r>
      <w:r w:rsidR="00683BA3">
        <w:rPr>
          <w:szCs w:val="24"/>
        </w:rPr>
        <w:t xml:space="preserve"> </w:t>
      </w:r>
      <w:r w:rsidRPr="00683BA3">
        <w:rPr>
          <w:b/>
          <w:szCs w:val="24"/>
        </w:rPr>
        <w:t>hodnota</w:t>
      </w:r>
      <w:r w:rsidRPr="0076774A">
        <w:rPr>
          <w:szCs w:val="24"/>
        </w:rPr>
        <w:t xml:space="preserve"> se přičte k</w:t>
      </w:r>
      <w:r w:rsidR="00683BA3">
        <w:rPr>
          <w:szCs w:val="24"/>
        </w:rPr>
        <w:t> </w:t>
      </w:r>
      <w:r w:rsidRPr="00423ABD">
        <w:rPr>
          <w:strike/>
          <w:szCs w:val="24"/>
        </w:rPr>
        <w:t>ceně</w:t>
      </w:r>
      <w:r w:rsidR="00683BA3">
        <w:rPr>
          <w:szCs w:val="24"/>
        </w:rPr>
        <w:t xml:space="preserve"> </w:t>
      </w:r>
      <w:r w:rsidRPr="00683BA3">
        <w:rPr>
          <w:b/>
          <w:szCs w:val="24"/>
        </w:rPr>
        <w:t>hodnotě</w:t>
      </w:r>
      <w:r w:rsidRPr="0076774A">
        <w:rPr>
          <w:szCs w:val="24"/>
        </w:rPr>
        <w:t xml:space="preserve"> jednotky.</w:t>
      </w:r>
    </w:p>
    <w:p w14:paraId="1984A8D4" w14:textId="77777777" w:rsidR="0076774A" w:rsidRPr="0076774A" w:rsidRDefault="0076774A" w:rsidP="00423ABD">
      <w:pPr>
        <w:tabs>
          <w:tab w:val="left" w:pos="426"/>
          <w:tab w:val="left" w:pos="868"/>
        </w:tabs>
        <w:spacing w:after="120"/>
        <w:ind w:firstLine="0"/>
        <w:jc w:val="center"/>
        <w:rPr>
          <w:szCs w:val="24"/>
        </w:rPr>
      </w:pPr>
      <w:r w:rsidRPr="0076774A">
        <w:rPr>
          <w:szCs w:val="24"/>
        </w:rPr>
        <w:t>§ 9</w:t>
      </w:r>
    </w:p>
    <w:p w14:paraId="114D82E4" w14:textId="77777777" w:rsidR="0076774A" w:rsidRPr="00683BA3" w:rsidRDefault="0076774A" w:rsidP="00423ABD">
      <w:pPr>
        <w:tabs>
          <w:tab w:val="left" w:pos="426"/>
          <w:tab w:val="left" w:pos="868"/>
        </w:tabs>
        <w:spacing w:after="120"/>
        <w:ind w:firstLine="0"/>
        <w:jc w:val="center"/>
        <w:rPr>
          <w:b/>
          <w:szCs w:val="24"/>
        </w:rPr>
      </w:pPr>
      <w:r w:rsidRPr="00683BA3">
        <w:rPr>
          <w:b/>
          <w:szCs w:val="24"/>
        </w:rPr>
        <w:t>Členění pozemků</w:t>
      </w:r>
    </w:p>
    <w:p w14:paraId="65A32F4E" w14:textId="77777777" w:rsidR="0076774A" w:rsidRPr="0076774A" w:rsidRDefault="0076774A" w:rsidP="00B8532E">
      <w:pPr>
        <w:tabs>
          <w:tab w:val="left" w:pos="426"/>
          <w:tab w:val="left" w:pos="868"/>
        </w:tabs>
        <w:spacing w:before="120" w:after="120"/>
        <w:rPr>
          <w:szCs w:val="24"/>
        </w:rPr>
      </w:pPr>
      <w:r w:rsidRPr="0076774A">
        <w:rPr>
          <w:szCs w:val="24"/>
        </w:rPr>
        <w:t>(1) Pro účely oceňování se pozemky člení na</w:t>
      </w:r>
    </w:p>
    <w:p w14:paraId="405AB24E" w14:textId="3D62CEC5" w:rsidR="0076774A" w:rsidRPr="0076774A" w:rsidRDefault="00A009AB" w:rsidP="005A7455">
      <w:pPr>
        <w:tabs>
          <w:tab w:val="left" w:pos="426"/>
          <w:tab w:val="left" w:pos="868"/>
        </w:tabs>
        <w:spacing w:before="0"/>
        <w:ind w:left="426" w:hanging="426"/>
        <w:rPr>
          <w:szCs w:val="24"/>
        </w:rPr>
      </w:pPr>
      <w:r>
        <w:rPr>
          <w:szCs w:val="24"/>
        </w:rPr>
        <w:t>a)</w:t>
      </w:r>
      <w:r>
        <w:rPr>
          <w:szCs w:val="24"/>
        </w:rPr>
        <w:tab/>
      </w:r>
      <w:r w:rsidR="0076774A" w:rsidRPr="0076774A">
        <w:rPr>
          <w:szCs w:val="24"/>
        </w:rPr>
        <w:t>stavební pozemky,</w:t>
      </w:r>
    </w:p>
    <w:p w14:paraId="7277348C" w14:textId="493292A8" w:rsidR="0076774A" w:rsidRPr="0076774A" w:rsidRDefault="00A009AB" w:rsidP="005A7455">
      <w:pPr>
        <w:tabs>
          <w:tab w:val="left" w:pos="426"/>
          <w:tab w:val="left" w:pos="868"/>
        </w:tabs>
        <w:spacing w:before="0"/>
        <w:ind w:left="426" w:hanging="426"/>
        <w:rPr>
          <w:szCs w:val="24"/>
        </w:rPr>
      </w:pPr>
      <w:r>
        <w:rPr>
          <w:szCs w:val="24"/>
        </w:rPr>
        <w:t>b)</w:t>
      </w:r>
      <w:r>
        <w:rPr>
          <w:szCs w:val="24"/>
        </w:rPr>
        <w:tab/>
      </w:r>
      <w:r w:rsidR="0076774A" w:rsidRPr="0076774A">
        <w:rPr>
          <w:szCs w:val="24"/>
        </w:rPr>
        <w:t>zemědělské pozemky evidované v katastru nemovitostí jako orná půda, chmelnice, vinice, zahrada, ovocný sad a trvalý travní porost,</w:t>
      </w:r>
    </w:p>
    <w:p w14:paraId="6227D35F" w14:textId="718EDD89" w:rsidR="0076774A" w:rsidRPr="0076774A" w:rsidRDefault="00A009AB" w:rsidP="005A7455">
      <w:pPr>
        <w:tabs>
          <w:tab w:val="left" w:pos="426"/>
          <w:tab w:val="left" w:pos="868"/>
        </w:tabs>
        <w:spacing w:before="0"/>
        <w:ind w:left="426" w:hanging="426"/>
        <w:rPr>
          <w:szCs w:val="24"/>
        </w:rPr>
      </w:pPr>
      <w:r>
        <w:rPr>
          <w:szCs w:val="24"/>
        </w:rPr>
        <w:t>c)</w:t>
      </w:r>
      <w:r>
        <w:rPr>
          <w:szCs w:val="24"/>
        </w:rPr>
        <w:tab/>
      </w:r>
      <w:r w:rsidR="0076774A" w:rsidRPr="0076774A">
        <w:rPr>
          <w:szCs w:val="24"/>
        </w:rPr>
        <w:t>lesní pozemky, kterými jsou lesní pozemky evidované v katastru nemovitostí, a  zalesněné nelesní pozemky,</w:t>
      </w:r>
    </w:p>
    <w:p w14:paraId="2CE4CEBC" w14:textId="47D12915" w:rsidR="0076774A" w:rsidRPr="0076774A" w:rsidRDefault="00A009AB" w:rsidP="005A7455">
      <w:pPr>
        <w:tabs>
          <w:tab w:val="left" w:pos="426"/>
          <w:tab w:val="left" w:pos="868"/>
        </w:tabs>
        <w:spacing w:before="0"/>
        <w:ind w:left="426" w:hanging="426"/>
        <w:rPr>
          <w:szCs w:val="24"/>
        </w:rPr>
      </w:pPr>
      <w:r>
        <w:rPr>
          <w:szCs w:val="24"/>
        </w:rPr>
        <w:t>d)</w:t>
      </w:r>
      <w:r>
        <w:rPr>
          <w:szCs w:val="24"/>
        </w:rPr>
        <w:tab/>
      </w:r>
      <w:r w:rsidR="0076774A" w:rsidRPr="0076774A">
        <w:rPr>
          <w:szCs w:val="24"/>
        </w:rPr>
        <w:t>pozemky evidované v katastru nemovitostí jako vodní plochy,</w:t>
      </w:r>
    </w:p>
    <w:p w14:paraId="60DBD95D" w14:textId="1A8F254B" w:rsidR="0076774A" w:rsidRPr="0076774A" w:rsidRDefault="00A009AB" w:rsidP="005A7455">
      <w:pPr>
        <w:tabs>
          <w:tab w:val="left" w:pos="426"/>
          <w:tab w:val="left" w:pos="868"/>
        </w:tabs>
        <w:spacing w:before="0"/>
        <w:ind w:left="426" w:hanging="426"/>
        <w:rPr>
          <w:szCs w:val="24"/>
        </w:rPr>
      </w:pPr>
      <w:r>
        <w:rPr>
          <w:szCs w:val="24"/>
        </w:rPr>
        <w:t>e)</w:t>
      </w:r>
      <w:r>
        <w:rPr>
          <w:szCs w:val="24"/>
        </w:rPr>
        <w:tab/>
      </w:r>
      <w:r w:rsidR="0076774A" w:rsidRPr="0076774A">
        <w:rPr>
          <w:szCs w:val="24"/>
        </w:rPr>
        <w:t>jiné pozemky, které nejsou uvedeny v písmenech a) až d).</w:t>
      </w:r>
    </w:p>
    <w:p w14:paraId="6D2EA12B" w14:textId="77777777" w:rsidR="0076774A" w:rsidRPr="0076774A" w:rsidRDefault="0076774A" w:rsidP="00B8532E">
      <w:pPr>
        <w:tabs>
          <w:tab w:val="left" w:pos="426"/>
          <w:tab w:val="left" w:pos="868"/>
        </w:tabs>
        <w:spacing w:before="120" w:after="120"/>
        <w:rPr>
          <w:szCs w:val="24"/>
        </w:rPr>
      </w:pPr>
      <w:r w:rsidRPr="0076774A">
        <w:rPr>
          <w:szCs w:val="24"/>
        </w:rPr>
        <w:t>(2) Stavební pozemky se pro účely oceňování dále člení na</w:t>
      </w:r>
    </w:p>
    <w:p w14:paraId="30E9ED67" w14:textId="465A4605" w:rsidR="0076774A" w:rsidRPr="0076774A" w:rsidRDefault="00A009AB" w:rsidP="00A009AB">
      <w:pPr>
        <w:tabs>
          <w:tab w:val="left" w:pos="426"/>
          <w:tab w:val="left" w:pos="868"/>
        </w:tabs>
        <w:spacing w:before="0"/>
        <w:ind w:firstLine="0"/>
        <w:rPr>
          <w:szCs w:val="24"/>
        </w:rPr>
      </w:pPr>
      <w:r>
        <w:rPr>
          <w:szCs w:val="24"/>
        </w:rPr>
        <w:t>a)</w:t>
      </w:r>
      <w:r>
        <w:rPr>
          <w:szCs w:val="24"/>
        </w:rPr>
        <w:tab/>
      </w:r>
      <w:r w:rsidR="0076774A" w:rsidRPr="0076774A">
        <w:rPr>
          <w:szCs w:val="24"/>
        </w:rPr>
        <w:t>nezastavěné pozemky,</w:t>
      </w:r>
    </w:p>
    <w:p w14:paraId="194548C9" w14:textId="6AD50FBE" w:rsidR="0076774A" w:rsidRPr="0076774A" w:rsidRDefault="00A009AB" w:rsidP="00A009AB">
      <w:pPr>
        <w:tabs>
          <w:tab w:val="left" w:pos="426"/>
          <w:tab w:val="left" w:pos="868"/>
        </w:tabs>
        <w:spacing w:before="0"/>
        <w:ind w:firstLine="0"/>
        <w:rPr>
          <w:szCs w:val="24"/>
        </w:rPr>
      </w:pPr>
      <w:r>
        <w:rPr>
          <w:szCs w:val="24"/>
        </w:rPr>
        <w:tab/>
        <w:t>1.</w:t>
      </w:r>
      <w:r>
        <w:rPr>
          <w:szCs w:val="24"/>
        </w:rPr>
        <w:tab/>
      </w:r>
      <w:r w:rsidR="0076774A" w:rsidRPr="0076774A">
        <w:rPr>
          <w:szCs w:val="24"/>
        </w:rPr>
        <w:t>evidované v katastru nemovitostí v druhu pozemku zastavěné plochy a nádvoří,</w:t>
      </w:r>
    </w:p>
    <w:p w14:paraId="1205FB9F" w14:textId="72D18480" w:rsidR="0076774A" w:rsidRPr="0076774A" w:rsidRDefault="00A009AB" w:rsidP="00A009AB">
      <w:pPr>
        <w:tabs>
          <w:tab w:val="left" w:pos="426"/>
          <w:tab w:val="left" w:pos="868"/>
        </w:tabs>
        <w:spacing w:before="0"/>
        <w:ind w:left="870" w:hanging="870"/>
        <w:rPr>
          <w:szCs w:val="24"/>
        </w:rPr>
      </w:pPr>
      <w:r>
        <w:rPr>
          <w:szCs w:val="24"/>
        </w:rPr>
        <w:lastRenderedPageBreak/>
        <w:tab/>
        <w:t>2.</w:t>
      </w:r>
      <w:r>
        <w:rPr>
          <w:szCs w:val="24"/>
        </w:rPr>
        <w:tab/>
      </w:r>
      <w:r w:rsidR="0076774A" w:rsidRPr="0076774A">
        <w:rPr>
          <w:szCs w:val="24"/>
        </w:rPr>
        <w:t xml:space="preserve">evidované v katastru nemovitostí v jednotlivých druzích pozemků, které byly vydaným </w:t>
      </w:r>
      <w:r w:rsidR="0076774A" w:rsidRPr="0076774A">
        <w:rPr>
          <w:strike/>
          <w:szCs w:val="24"/>
        </w:rPr>
        <w:t>rozhodnutím o povolení záměru,</w:t>
      </w:r>
      <w:r w:rsidR="0076774A" w:rsidRPr="0076774A">
        <w:rPr>
          <w:szCs w:val="24"/>
        </w:rPr>
        <w:t xml:space="preserve"> územním rozhodnutím, společným povolením, kterým se stavba umisťuje a povoluje, regulačním plánem, veřejnoprávní smlouvou nahrazující územní rozhodnutí nebo územním souhlasem určeny k zastavění,</w:t>
      </w:r>
    </w:p>
    <w:p w14:paraId="0A92C9DF" w14:textId="1C5E9046" w:rsidR="0076774A" w:rsidRPr="0076774A" w:rsidRDefault="00A009AB" w:rsidP="00A009AB">
      <w:pPr>
        <w:tabs>
          <w:tab w:val="left" w:pos="426"/>
          <w:tab w:val="left" w:pos="868"/>
        </w:tabs>
        <w:spacing w:before="0"/>
        <w:ind w:left="850" w:hanging="850"/>
        <w:rPr>
          <w:szCs w:val="24"/>
        </w:rPr>
      </w:pPr>
      <w:r>
        <w:rPr>
          <w:szCs w:val="24"/>
        </w:rPr>
        <w:tab/>
        <w:t>3.</w:t>
      </w:r>
      <w:r>
        <w:rPr>
          <w:szCs w:val="24"/>
        </w:rPr>
        <w:tab/>
      </w:r>
      <w:r w:rsidR="0076774A" w:rsidRPr="0076774A">
        <w:rPr>
          <w:szCs w:val="24"/>
        </w:rPr>
        <w:t>evidované v katastru nemovitostí v druhu pozemku zahrady nebo ostatní plochy, v jednotném funkčním celku. Jednotným funkčním celkem se rozumějí pozemky v druhu pozemku zahrady nebo ostatní plochy, které souvisle navazují na pozemek evidovaný v katastru nemovitostí v druhu pozemku zastavěná plocha a nádvoří se stavbou, se společným účelem jejich využití. V jednotném funkčním celku může být i více pozemků druhu pozemku zastavěná plocha a nádvoří,</w:t>
      </w:r>
    </w:p>
    <w:p w14:paraId="3C5731F3" w14:textId="11B641BF" w:rsidR="0076774A" w:rsidRPr="0076774A" w:rsidRDefault="00A009AB" w:rsidP="00A009AB">
      <w:pPr>
        <w:tabs>
          <w:tab w:val="left" w:pos="426"/>
          <w:tab w:val="left" w:pos="868"/>
        </w:tabs>
        <w:spacing w:before="0"/>
        <w:ind w:firstLine="0"/>
        <w:rPr>
          <w:szCs w:val="24"/>
        </w:rPr>
      </w:pPr>
      <w:r>
        <w:rPr>
          <w:szCs w:val="24"/>
        </w:rPr>
        <w:tab/>
        <w:t>4.</w:t>
      </w:r>
      <w:r>
        <w:rPr>
          <w:szCs w:val="24"/>
        </w:rPr>
        <w:tab/>
      </w:r>
      <w:r w:rsidR="0076774A" w:rsidRPr="0076774A">
        <w:rPr>
          <w:szCs w:val="24"/>
        </w:rPr>
        <w:t>evidované v katastru nemovitostí s právem stavby,</w:t>
      </w:r>
    </w:p>
    <w:p w14:paraId="78240B1E" w14:textId="27CC1040" w:rsidR="0076774A" w:rsidRPr="0076774A" w:rsidRDefault="00A009AB" w:rsidP="00A009AB">
      <w:pPr>
        <w:tabs>
          <w:tab w:val="left" w:pos="426"/>
          <w:tab w:val="left" w:pos="868"/>
        </w:tabs>
        <w:spacing w:before="0"/>
        <w:ind w:firstLine="0"/>
        <w:rPr>
          <w:szCs w:val="24"/>
        </w:rPr>
      </w:pPr>
      <w:r>
        <w:rPr>
          <w:szCs w:val="24"/>
        </w:rPr>
        <w:t>b)</w:t>
      </w:r>
      <w:r>
        <w:rPr>
          <w:szCs w:val="24"/>
        </w:rPr>
        <w:tab/>
      </w:r>
      <w:r w:rsidR="0076774A" w:rsidRPr="0076774A">
        <w:rPr>
          <w:szCs w:val="24"/>
        </w:rPr>
        <w:t>zastavěné pozemky,</w:t>
      </w:r>
    </w:p>
    <w:p w14:paraId="19CB87EB" w14:textId="0162D5F6" w:rsidR="0076774A" w:rsidRPr="0076774A" w:rsidRDefault="00A009AB" w:rsidP="00A009AB">
      <w:pPr>
        <w:tabs>
          <w:tab w:val="left" w:pos="426"/>
          <w:tab w:val="left" w:pos="868"/>
        </w:tabs>
        <w:spacing w:before="0"/>
        <w:ind w:firstLine="0"/>
        <w:rPr>
          <w:szCs w:val="24"/>
        </w:rPr>
      </w:pPr>
      <w:r>
        <w:rPr>
          <w:szCs w:val="24"/>
        </w:rPr>
        <w:tab/>
        <w:t>1.</w:t>
      </w:r>
      <w:r>
        <w:rPr>
          <w:szCs w:val="24"/>
        </w:rPr>
        <w:tab/>
      </w:r>
      <w:r w:rsidR="0076774A" w:rsidRPr="0076774A">
        <w:rPr>
          <w:szCs w:val="24"/>
        </w:rPr>
        <w:t>evidované v katastru nemovitostí v druhu pozemku zastavěné plochy a nádvoří,</w:t>
      </w:r>
    </w:p>
    <w:p w14:paraId="302A0C54" w14:textId="47B6E003" w:rsidR="0076774A" w:rsidRPr="0076774A" w:rsidRDefault="00A009AB" w:rsidP="005A7455">
      <w:pPr>
        <w:tabs>
          <w:tab w:val="left" w:pos="426"/>
          <w:tab w:val="left" w:pos="868"/>
        </w:tabs>
        <w:spacing w:before="0"/>
        <w:ind w:left="850" w:hanging="850"/>
        <w:rPr>
          <w:b/>
          <w:szCs w:val="24"/>
        </w:rPr>
      </w:pPr>
      <w:r>
        <w:rPr>
          <w:szCs w:val="24"/>
        </w:rPr>
        <w:tab/>
        <w:t>2.</w:t>
      </w:r>
      <w:r>
        <w:rPr>
          <w:szCs w:val="24"/>
        </w:rPr>
        <w:tab/>
      </w:r>
      <w:r w:rsidR="0076774A" w:rsidRPr="0076774A">
        <w:rPr>
          <w:szCs w:val="24"/>
        </w:rPr>
        <w:t xml:space="preserve">evidované v katastru nemovitostí v druhu pozemku ostatní plochy, které jsou již </w:t>
      </w:r>
      <w:proofErr w:type="gramStart"/>
      <w:r w:rsidR="0076774A" w:rsidRPr="0076774A">
        <w:rPr>
          <w:szCs w:val="24"/>
        </w:rPr>
        <w:t>zastavěny</w:t>
      </w:r>
      <w:r w:rsidR="0076774A" w:rsidRPr="0076774A">
        <w:rPr>
          <w:strike/>
          <w:szCs w:val="24"/>
        </w:rPr>
        <w:t>,</w:t>
      </w:r>
      <w:r w:rsidR="0076774A" w:rsidRPr="0076774A">
        <w:rPr>
          <w:b/>
          <w:szCs w:val="24"/>
        </w:rPr>
        <w:t>.</w:t>
      </w:r>
      <w:proofErr w:type="gramEnd"/>
    </w:p>
    <w:p w14:paraId="5827B0B4" w14:textId="5D5E6B2B" w:rsidR="0076774A" w:rsidRPr="0076774A" w:rsidRDefault="00A009AB" w:rsidP="00A009AB">
      <w:pPr>
        <w:tabs>
          <w:tab w:val="left" w:pos="426"/>
          <w:tab w:val="left" w:pos="868"/>
        </w:tabs>
        <w:spacing w:before="0"/>
        <w:ind w:firstLine="0"/>
        <w:rPr>
          <w:strike/>
          <w:szCs w:val="24"/>
        </w:rPr>
      </w:pPr>
      <w:r>
        <w:rPr>
          <w:strike/>
          <w:szCs w:val="24"/>
        </w:rPr>
        <w:t>c)</w:t>
      </w:r>
      <w:r>
        <w:rPr>
          <w:strike/>
          <w:szCs w:val="24"/>
        </w:rPr>
        <w:tab/>
      </w:r>
      <w:r w:rsidR="0076774A" w:rsidRPr="0076774A">
        <w:rPr>
          <w:strike/>
          <w:szCs w:val="24"/>
        </w:rPr>
        <w:t>plochy pozemků skutečně zastavěné stavbami bez ohledu na evidovaný stav v katastru nemovitostí.</w:t>
      </w:r>
    </w:p>
    <w:p w14:paraId="05B2E075" w14:textId="4DBC9BEC" w:rsidR="0076774A" w:rsidRPr="0076774A" w:rsidRDefault="0076774A" w:rsidP="00B8532E">
      <w:pPr>
        <w:tabs>
          <w:tab w:val="left" w:pos="426"/>
          <w:tab w:val="left" w:pos="868"/>
        </w:tabs>
        <w:spacing w:before="120" w:after="120"/>
        <w:rPr>
          <w:szCs w:val="24"/>
        </w:rPr>
      </w:pPr>
      <w:r w:rsidRPr="0076774A">
        <w:rPr>
          <w:szCs w:val="24"/>
        </w:rPr>
        <w:t xml:space="preserve">(3) Další členění pozemků pro účely ocenění v návaznosti na druh pozemku a jeho účel užití stanoví </w:t>
      </w:r>
      <w:r w:rsidRPr="00423ABD">
        <w:rPr>
          <w:strike/>
          <w:szCs w:val="24"/>
        </w:rPr>
        <w:t>vyhláška</w:t>
      </w:r>
      <w:r w:rsidR="00A009AB">
        <w:rPr>
          <w:szCs w:val="24"/>
        </w:rPr>
        <w:t xml:space="preserve"> </w:t>
      </w:r>
      <w:r w:rsidRPr="00A009AB">
        <w:rPr>
          <w:b/>
          <w:szCs w:val="24"/>
        </w:rPr>
        <w:t>prováděcí</w:t>
      </w:r>
      <w:r w:rsidRPr="0076774A">
        <w:rPr>
          <w:b/>
          <w:szCs w:val="24"/>
        </w:rPr>
        <w:t xml:space="preserve"> právní předpis</w:t>
      </w:r>
      <w:r w:rsidRPr="0076774A">
        <w:rPr>
          <w:szCs w:val="24"/>
        </w:rPr>
        <w:t>.</w:t>
      </w:r>
    </w:p>
    <w:p w14:paraId="3A598DAB" w14:textId="77777777" w:rsidR="0076774A" w:rsidRPr="0076774A" w:rsidRDefault="0076774A" w:rsidP="00B8532E">
      <w:pPr>
        <w:tabs>
          <w:tab w:val="left" w:pos="426"/>
          <w:tab w:val="left" w:pos="868"/>
        </w:tabs>
        <w:spacing w:before="120" w:after="120"/>
        <w:rPr>
          <w:szCs w:val="24"/>
        </w:rPr>
      </w:pPr>
      <w:r w:rsidRPr="0076774A">
        <w:rPr>
          <w:szCs w:val="24"/>
        </w:rPr>
        <w:t>(4) Stavebním pozemkem pro účely oceňování není pozemek, který je zastavěný jen podzemním nebo nadzemním vedením včetně jejich příslušenství, podzemními stavbami, které nedosahují úrovně terénu, podzemními částmi a příslušenstvím staveb pro dopravu a vodní hospodářství netvořícími součást pozemních staveb. Stavebním pozemkem pro účely oceňování není též pozemek zastavěný stavbami bez základů, studnami, ploty, opěrnými zdmi, pomníky, sochami apod.</w:t>
      </w:r>
    </w:p>
    <w:p w14:paraId="189CB68F" w14:textId="77777777" w:rsidR="0076774A" w:rsidRPr="0076774A" w:rsidRDefault="0076774A" w:rsidP="00B8532E">
      <w:pPr>
        <w:tabs>
          <w:tab w:val="left" w:pos="426"/>
          <w:tab w:val="left" w:pos="868"/>
        </w:tabs>
        <w:spacing w:before="120" w:after="120"/>
        <w:rPr>
          <w:szCs w:val="24"/>
        </w:rPr>
      </w:pPr>
      <w:r w:rsidRPr="0076774A">
        <w:rPr>
          <w:szCs w:val="24"/>
        </w:rPr>
        <w:t>(5) Pro účely oceňování se pozemek posuzuje podle stavu uvedeného v katastru nemovitostí. Při nesouladu mezi stavem uvedeným v katastru nemovitostí a skutečným stavem se vychází při oceňování ze skutečného stavu.</w:t>
      </w:r>
    </w:p>
    <w:p w14:paraId="4F1452D5" w14:textId="77777777" w:rsidR="0076774A" w:rsidRPr="0076774A" w:rsidRDefault="0076774A" w:rsidP="00423ABD">
      <w:pPr>
        <w:tabs>
          <w:tab w:val="left" w:pos="426"/>
          <w:tab w:val="left" w:pos="868"/>
        </w:tabs>
        <w:spacing w:after="120"/>
        <w:ind w:firstLine="0"/>
        <w:jc w:val="center"/>
        <w:rPr>
          <w:szCs w:val="24"/>
        </w:rPr>
      </w:pPr>
      <w:r w:rsidRPr="0076774A">
        <w:rPr>
          <w:szCs w:val="24"/>
        </w:rPr>
        <w:t>§ 10</w:t>
      </w:r>
    </w:p>
    <w:p w14:paraId="59BA88C6" w14:textId="77777777" w:rsidR="0076774A" w:rsidRPr="00A009AB" w:rsidRDefault="0076774A" w:rsidP="00423ABD">
      <w:pPr>
        <w:tabs>
          <w:tab w:val="left" w:pos="426"/>
          <w:tab w:val="left" w:pos="868"/>
        </w:tabs>
        <w:spacing w:after="120"/>
        <w:ind w:firstLine="0"/>
        <w:jc w:val="center"/>
        <w:rPr>
          <w:b/>
          <w:szCs w:val="24"/>
        </w:rPr>
      </w:pPr>
      <w:r w:rsidRPr="00A009AB">
        <w:rPr>
          <w:b/>
          <w:szCs w:val="24"/>
        </w:rPr>
        <w:t>Oceňování stavebního pozemku</w:t>
      </w:r>
    </w:p>
    <w:p w14:paraId="641DF423" w14:textId="25E5CBD1" w:rsidR="0076774A" w:rsidRPr="00423ABD" w:rsidRDefault="0076774A" w:rsidP="00690B81">
      <w:pPr>
        <w:tabs>
          <w:tab w:val="left" w:pos="426"/>
          <w:tab w:val="left" w:pos="868"/>
        </w:tabs>
        <w:spacing w:before="120" w:after="120"/>
        <w:rPr>
          <w:szCs w:val="24"/>
        </w:rPr>
      </w:pPr>
      <w:r w:rsidRPr="0076774A">
        <w:rPr>
          <w:szCs w:val="24"/>
        </w:rPr>
        <w:t>(1) Stavební pozemek se oceňuje násobkem výměry pozemku a ceny za m</w:t>
      </w:r>
      <w:r w:rsidRPr="0076774A">
        <w:rPr>
          <w:szCs w:val="24"/>
          <w:vertAlign w:val="superscript"/>
        </w:rPr>
        <w:t>2</w:t>
      </w:r>
      <w:r w:rsidRPr="0076774A">
        <w:rPr>
          <w:szCs w:val="24"/>
        </w:rPr>
        <w:t xml:space="preserve"> uvedené v cenové mapě, kterou vydala obec. Není-li stavební pozemek oceněn v  cenové mapě nebo nelze-li stavební pozemek ocenit cenou z cenové mapy, ocení se násobkem výměry pozemku a základní ceny za m</w:t>
      </w:r>
      <w:r w:rsidRPr="0076774A">
        <w:rPr>
          <w:szCs w:val="24"/>
          <w:vertAlign w:val="superscript"/>
        </w:rPr>
        <w:t>2</w:t>
      </w:r>
      <w:r w:rsidRPr="0076774A">
        <w:rPr>
          <w:szCs w:val="24"/>
        </w:rPr>
        <w:t xml:space="preserve"> upravené o vliv polohy a další vlivy působící zejména na využitelnost pozemků pro stavbu, popřípadě </w:t>
      </w:r>
      <w:r w:rsidRPr="0076774A">
        <w:rPr>
          <w:strike/>
          <w:szCs w:val="24"/>
        </w:rPr>
        <w:t>ceny určené jiným způsobem oceňování po</w:t>
      </w:r>
      <w:r w:rsidR="00423ABD">
        <w:rPr>
          <w:strike/>
          <w:szCs w:val="24"/>
        </w:rPr>
        <w:t xml:space="preserve">dle § 2, které stanoví </w:t>
      </w:r>
      <w:r w:rsidR="00423ABD" w:rsidRPr="00423ABD">
        <w:rPr>
          <w:szCs w:val="24"/>
        </w:rPr>
        <w:t>vyhláška</w:t>
      </w:r>
      <w:r w:rsidR="00423ABD">
        <w:rPr>
          <w:szCs w:val="24"/>
        </w:rPr>
        <w:t xml:space="preserve"> </w:t>
      </w:r>
      <w:r w:rsidR="00423ABD" w:rsidRPr="00423ABD">
        <w:rPr>
          <w:b/>
          <w:szCs w:val="24"/>
        </w:rPr>
        <w:t>násobkem</w:t>
      </w:r>
      <w:r w:rsidR="00423ABD" w:rsidRPr="0076774A">
        <w:rPr>
          <w:b/>
          <w:szCs w:val="24"/>
        </w:rPr>
        <w:t xml:space="preserve"> výměry pozemku a hodnoty za m</w:t>
      </w:r>
      <w:r w:rsidR="00423ABD" w:rsidRPr="0076774A">
        <w:rPr>
          <w:b/>
          <w:szCs w:val="24"/>
          <w:vertAlign w:val="superscript"/>
        </w:rPr>
        <w:t>2</w:t>
      </w:r>
      <w:r w:rsidR="00423ABD" w:rsidRPr="0076774A">
        <w:rPr>
          <w:b/>
          <w:szCs w:val="24"/>
        </w:rPr>
        <w:t xml:space="preserve"> určené jiným oceňovacím přístupem, který stanoví prováděcí právní předpis. Stavební pozemek nelze ocenit cenou z cenové mapy také v případě, pokud ke dni ocenění uplynulo ode dne zveřejnění cenové mapy více než dvanáct měsíců</w:t>
      </w:r>
      <w:r w:rsidR="00423ABD">
        <w:rPr>
          <w:szCs w:val="24"/>
        </w:rPr>
        <w:t>.</w:t>
      </w:r>
    </w:p>
    <w:p w14:paraId="6C2BC53E" w14:textId="77777777" w:rsidR="0076774A" w:rsidRPr="0076774A" w:rsidRDefault="0076774A" w:rsidP="00690B81">
      <w:pPr>
        <w:tabs>
          <w:tab w:val="left" w:pos="426"/>
          <w:tab w:val="left" w:pos="868"/>
        </w:tabs>
        <w:spacing w:before="120" w:after="120"/>
        <w:rPr>
          <w:szCs w:val="24"/>
        </w:rPr>
      </w:pPr>
      <w:r w:rsidRPr="0076774A">
        <w:rPr>
          <w:szCs w:val="24"/>
        </w:rPr>
        <w:t xml:space="preserve">(2) Cenová mapa </w:t>
      </w:r>
      <w:r w:rsidRPr="0076774A">
        <w:rPr>
          <w:strike/>
          <w:szCs w:val="24"/>
        </w:rPr>
        <w:t>stavebních pozemků</w:t>
      </w:r>
      <w:r w:rsidRPr="0076774A">
        <w:rPr>
          <w:szCs w:val="24"/>
        </w:rPr>
        <w:t xml:space="preserve"> je grafické znázornění stavebních pozemků na území obce nebo její části v měřítku 1:5000, popřípadě v měřítku podrobnějším s vyznačenými cenami. Stavební pozemky v cenové mapě se </w:t>
      </w:r>
      <w:proofErr w:type="gramStart"/>
      <w:r w:rsidRPr="0076774A">
        <w:rPr>
          <w:strike/>
          <w:szCs w:val="24"/>
        </w:rPr>
        <w:t>ocení</w:t>
      </w:r>
      <w:r w:rsidRPr="0076774A">
        <w:rPr>
          <w:b/>
          <w:szCs w:val="24"/>
        </w:rPr>
        <w:t xml:space="preserve"> oceňují</w:t>
      </w:r>
      <w:proofErr w:type="gramEnd"/>
      <w:r w:rsidRPr="0076774A">
        <w:rPr>
          <w:szCs w:val="24"/>
        </w:rPr>
        <w:t xml:space="preserve"> skutečně sjednanými cenami obsaženými v kupních smlouvách.</w:t>
      </w:r>
    </w:p>
    <w:p w14:paraId="663AD641" w14:textId="77777777" w:rsidR="0076774A" w:rsidRPr="0076774A" w:rsidRDefault="0076774A" w:rsidP="00690B81">
      <w:pPr>
        <w:tabs>
          <w:tab w:val="left" w:pos="426"/>
          <w:tab w:val="left" w:pos="868"/>
        </w:tabs>
        <w:spacing w:before="120" w:after="120"/>
        <w:rPr>
          <w:szCs w:val="24"/>
        </w:rPr>
      </w:pPr>
      <w:r w:rsidRPr="0076774A">
        <w:rPr>
          <w:szCs w:val="24"/>
        </w:rPr>
        <w:lastRenderedPageBreak/>
        <w:t>(3) Nejsou-li při zpracování cenové mapy sjednané ceny stavebních pozemků podle odstavce 2 v dané obci k dispozici nebo nelze-li je použít, protože již neodpovídají úrovni sjednaných cen porovnatelných pozemků ke dni vypracování cenové mapy, určí se ceny na základě porovnání se sjednanými cenami obdobných pozemků v dané obci nebo v jiných srovnatelných obcích, přičemž srovnatelnost obce se posuzuje podle počtu obyvatel, polohy obce, hospodářsko-správního významu obce, dopravní obslužnosti obce, technické infrastruktury a občanské vybavenosti v obci. Při porovnání se vychází ze shodného účelu užití, z obdobné polohy v obci a ze shodné stavební vybavenosti pozemku. Údaje o postupu a porovnání uvede obec v textové části cenové mapy, která popřípadě obsahuje další vysvětlivky.</w:t>
      </w:r>
    </w:p>
    <w:p w14:paraId="7A3A69D4" w14:textId="77777777" w:rsidR="0076774A" w:rsidRPr="0076774A" w:rsidRDefault="0076774A" w:rsidP="00690B81">
      <w:pPr>
        <w:tabs>
          <w:tab w:val="left" w:pos="426"/>
          <w:tab w:val="left" w:pos="868"/>
        </w:tabs>
        <w:spacing w:before="120" w:after="120"/>
        <w:rPr>
          <w:szCs w:val="24"/>
        </w:rPr>
      </w:pPr>
      <w:r w:rsidRPr="0076774A">
        <w:rPr>
          <w:szCs w:val="24"/>
        </w:rPr>
        <w:t>(4) Jestliže nelze cenu stavebního pozemku určit podle odstavce 2 nebo 3, do cenové mapy se cena takového pozemku neuvede a pozemek se oceňuje podle odstavce 1 druhé věty.</w:t>
      </w:r>
    </w:p>
    <w:p w14:paraId="2DFAF1A3" w14:textId="57B680F4" w:rsidR="0076774A" w:rsidRPr="0076774A" w:rsidRDefault="0076774A" w:rsidP="00690B81">
      <w:pPr>
        <w:tabs>
          <w:tab w:val="left" w:pos="426"/>
          <w:tab w:val="left" w:pos="868"/>
        </w:tabs>
        <w:spacing w:before="120" w:after="120"/>
        <w:rPr>
          <w:szCs w:val="24"/>
        </w:rPr>
      </w:pPr>
      <w:r w:rsidRPr="0076774A">
        <w:rPr>
          <w:szCs w:val="24"/>
        </w:rPr>
        <w:t>(5) Podklady pro zpracování cenové mapy a postup ocenění stavebních pozemků, které nejsou oceněny v cenové mapě</w:t>
      </w:r>
      <w:r w:rsidRPr="0076774A">
        <w:rPr>
          <w:b/>
          <w:szCs w:val="24"/>
        </w:rPr>
        <w:t xml:space="preserve"> </w:t>
      </w:r>
      <w:r w:rsidRPr="0076774A">
        <w:rPr>
          <w:szCs w:val="24"/>
        </w:rPr>
        <w:t xml:space="preserve">nebo je nelze ocenit cenou z cenové mapy, stanoví </w:t>
      </w:r>
      <w:r w:rsidRPr="00423ABD">
        <w:rPr>
          <w:strike/>
          <w:szCs w:val="24"/>
        </w:rPr>
        <w:t>vyhláška</w:t>
      </w:r>
      <w:r w:rsidR="00A009AB">
        <w:rPr>
          <w:szCs w:val="24"/>
        </w:rPr>
        <w:t xml:space="preserve"> </w:t>
      </w:r>
      <w:r w:rsidRPr="00A009AB">
        <w:rPr>
          <w:b/>
          <w:szCs w:val="24"/>
        </w:rPr>
        <w:t>prováděcí</w:t>
      </w:r>
      <w:r w:rsidRPr="0076774A">
        <w:rPr>
          <w:b/>
          <w:szCs w:val="24"/>
        </w:rPr>
        <w:t xml:space="preserve"> právní předpis</w:t>
      </w:r>
      <w:r w:rsidRPr="0076774A">
        <w:rPr>
          <w:szCs w:val="24"/>
        </w:rPr>
        <w:t>.</w:t>
      </w:r>
    </w:p>
    <w:p w14:paraId="0F14CB5E" w14:textId="77777777" w:rsidR="0076774A" w:rsidRPr="0076774A" w:rsidRDefault="0076774A" w:rsidP="00690B81">
      <w:pPr>
        <w:tabs>
          <w:tab w:val="left" w:pos="426"/>
          <w:tab w:val="left" w:pos="868"/>
        </w:tabs>
        <w:spacing w:before="120" w:after="120"/>
        <w:rPr>
          <w:b/>
          <w:szCs w:val="24"/>
        </w:rPr>
      </w:pPr>
      <w:r w:rsidRPr="0076774A">
        <w:rPr>
          <w:szCs w:val="24"/>
        </w:rPr>
        <w:t xml:space="preserve">(6) Návrh cenové mapy </w:t>
      </w:r>
      <w:r w:rsidRPr="0076774A">
        <w:rPr>
          <w:strike/>
          <w:szCs w:val="24"/>
        </w:rPr>
        <w:t>stavebních pozemků</w:t>
      </w:r>
      <w:r w:rsidRPr="0076774A">
        <w:rPr>
          <w:szCs w:val="24"/>
        </w:rPr>
        <w:t xml:space="preserve"> nebo její změny předkládá obec před jejím vydáním Ministerstvu financí k vyjádření.</w:t>
      </w:r>
    </w:p>
    <w:p w14:paraId="2BCA7DC3" w14:textId="0F7DF0C7" w:rsidR="0076774A" w:rsidRPr="0076774A" w:rsidRDefault="0076774A" w:rsidP="00690B81">
      <w:pPr>
        <w:tabs>
          <w:tab w:val="left" w:pos="426"/>
          <w:tab w:val="left" w:pos="868"/>
        </w:tabs>
        <w:spacing w:before="120" w:after="120"/>
        <w:rPr>
          <w:szCs w:val="24"/>
        </w:rPr>
      </w:pPr>
      <w:r w:rsidRPr="0076774A">
        <w:rPr>
          <w:szCs w:val="24"/>
        </w:rPr>
        <w:t>(7) Koncem každého kalendářního roku se obecně závaznou vyhláškou obce doplňují cenové mapy</w:t>
      </w:r>
      <w:r w:rsidRPr="0076774A">
        <w:rPr>
          <w:b/>
          <w:szCs w:val="24"/>
        </w:rPr>
        <w:t xml:space="preserve"> </w:t>
      </w:r>
      <w:r w:rsidRPr="0076774A">
        <w:rPr>
          <w:szCs w:val="24"/>
        </w:rPr>
        <w:t xml:space="preserve">o nové ceny stavebních pozemků. Změní-li se sjednaná cena, účel užití nebo stavební vybavenost pozemku, </w:t>
      </w:r>
      <w:proofErr w:type="gramStart"/>
      <w:r w:rsidRPr="00423ABD">
        <w:rPr>
          <w:strike/>
          <w:szCs w:val="24"/>
        </w:rPr>
        <w:t>určí</w:t>
      </w:r>
      <w:r w:rsidR="00A009AB">
        <w:rPr>
          <w:szCs w:val="24"/>
        </w:rPr>
        <w:t xml:space="preserve"> </w:t>
      </w:r>
      <w:r w:rsidRPr="00A009AB">
        <w:rPr>
          <w:b/>
          <w:szCs w:val="24"/>
        </w:rPr>
        <w:t>stanoví</w:t>
      </w:r>
      <w:proofErr w:type="gramEnd"/>
      <w:r w:rsidRPr="0076774A">
        <w:rPr>
          <w:szCs w:val="24"/>
        </w:rPr>
        <w:t xml:space="preserve"> se nová cena pozemku způsobem podle odstavce 2 nebo 3. Přitom platí postup podle odstavce 6.</w:t>
      </w:r>
    </w:p>
    <w:p w14:paraId="1247668D" w14:textId="77777777" w:rsidR="0076774A" w:rsidRPr="0076774A" w:rsidRDefault="0076774A" w:rsidP="00690B81">
      <w:pPr>
        <w:tabs>
          <w:tab w:val="left" w:pos="426"/>
          <w:tab w:val="left" w:pos="868"/>
        </w:tabs>
        <w:spacing w:before="120" w:after="120"/>
        <w:rPr>
          <w:szCs w:val="24"/>
        </w:rPr>
      </w:pPr>
      <w:r w:rsidRPr="0076774A">
        <w:rPr>
          <w:szCs w:val="24"/>
        </w:rPr>
        <w:t xml:space="preserve">(8) Obec umožní nahlédnout bezplatně do cenové mapy </w:t>
      </w:r>
      <w:r w:rsidRPr="0076774A">
        <w:rPr>
          <w:strike/>
          <w:szCs w:val="24"/>
        </w:rPr>
        <w:t xml:space="preserve">pozemků </w:t>
      </w:r>
      <w:r w:rsidRPr="0076774A">
        <w:rPr>
          <w:szCs w:val="24"/>
        </w:rPr>
        <w:t>vedené touto obcí každému, kdo o to požádá.</w:t>
      </w:r>
    </w:p>
    <w:p w14:paraId="5835F85A" w14:textId="77919AC6" w:rsidR="0076774A" w:rsidRPr="0076774A" w:rsidRDefault="0076774A" w:rsidP="00690B81">
      <w:pPr>
        <w:tabs>
          <w:tab w:val="left" w:pos="426"/>
          <w:tab w:val="left" w:pos="868"/>
        </w:tabs>
        <w:spacing w:before="120" w:after="120"/>
        <w:rPr>
          <w:szCs w:val="24"/>
        </w:rPr>
      </w:pPr>
      <w:r w:rsidRPr="0076774A">
        <w:rPr>
          <w:szCs w:val="24"/>
        </w:rPr>
        <w:t>(9) K</w:t>
      </w:r>
      <w:r w:rsidR="00A009AB">
        <w:rPr>
          <w:szCs w:val="24"/>
        </w:rPr>
        <w:t> </w:t>
      </w:r>
      <w:r w:rsidRPr="00FE3586">
        <w:rPr>
          <w:strike/>
          <w:szCs w:val="24"/>
        </w:rPr>
        <w:t>ceně</w:t>
      </w:r>
      <w:r w:rsidR="00A009AB">
        <w:rPr>
          <w:szCs w:val="24"/>
        </w:rPr>
        <w:t xml:space="preserve"> </w:t>
      </w:r>
      <w:r w:rsidRPr="00A009AB">
        <w:rPr>
          <w:b/>
          <w:szCs w:val="24"/>
        </w:rPr>
        <w:t>hodnotě</w:t>
      </w:r>
      <w:r w:rsidRPr="0076774A">
        <w:rPr>
          <w:szCs w:val="24"/>
        </w:rPr>
        <w:t xml:space="preserve"> pozemku určené podle odstavce 1 se přičte </w:t>
      </w:r>
      <w:r w:rsidRPr="00FE3586">
        <w:rPr>
          <w:strike/>
          <w:szCs w:val="24"/>
        </w:rPr>
        <w:t>cena</w:t>
      </w:r>
      <w:r w:rsidR="00A009AB">
        <w:rPr>
          <w:szCs w:val="24"/>
        </w:rPr>
        <w:t xml:space="preserve"> </w:t>
      </w:r>
      <w:r w:rsidRPr="00A009AB">
        <w:rPr>
          <w:b/>
          <w:szCs w:val="24"/>
        </w:rPr>
        <w:t>hodnota</w:t>
      </w:r>
      <w:r w:rsidRPr="0076774A">
        <w:rPr>
          <w:szCs w:val="24"/>
        </w:rPr>
        <w:t xml:space="preserve"> stavby, popřípadě staveb, které jsou jeho součástí. Stojí-li stavba, která je součástí pozemku, na několika pozemcích, nezapočte se k ceně pozemku, na němž je </w:t>
      </w:r>
      <w:proofErr w:type="spellStart"/>
      <w:r w:rsidRPr="0076774A">
        <w:rPr>
          <w:szCs w:val="24"/>
        </w:rPr>
        <w:t>přestavkem</w:t>
      </w:r>
      <w:proofErr w:type="spellEnd"/>
      <w:r w:rsidRPr="0076774A">
        <w:rPr>
          <w:szCs w:val="24"/>
        </w:rPr>
        <w:t xml:space="preserve">. Způsob určení výměry nemovité věci stanoví </w:t>
      </w:r>
      <w:r w:rsidRPr="00FE3586">
        <w:rPr>
          <w:strike/>
          <w:szCs w:val="24"/>
        </w:rPr>
        <w:t>vyhláška</w:t>
      </w:r>
      <w:r w:rsidR="00A009AB">
        <w:rPr>
          <w:szCs w:val="24"/>
        </w:rPr>
        <w:t xml:space="preserve"> </w:t>
      </w:r>
      <w:r w:rsidRPr="00A009AB">
        <w:rPr>
          <w:b/>
          <w:szCs w:val="24"/>
        </w:rPr>
        <w:t>prováděcí</w:t>
      </w:r>
      <w:r w:rsidRPr="0076774A">
        <w:rPr>
          <w:b/>
          <w:szCs w:val="24"/>
        </w:rPr>
        <w:t xml:space="preserve"> právní předpis</w:t>
      </w:r>
      <w:r w:rsidRPr="0076774A">
        <w:rPr>
          <w:szCs w:val="24"/>
        </w:rPr>
        <w:t>.</w:t>
      </w:r>
    </w:p>
    <w:p w14:paraId="163243B0" w14:textId="77777777" w:rsidR="00A009AB" w:rsidRPr="00A009AB" w:rsidRDefault="0076774A" w:rsidP="00690B81">
      <w:pPr>
        <w:tabs>
          <w:tab w:val="left" w:pos="426"/>
          <w:tab w:val="left" w:pos="868"/>
        </w:tabs>
        <w:spacing w:before="120" w:after="120"/>
        <w:rPr>
          <w:strike/>
          <w:szCs w:val="24"/>
        </w:rPr>
      </w:pPr>
      <w:r w:rsidRPr="00A009AB">
        <w:rPr>
          <w:strike/>
          <w:szCs w:val="24"/>
        </w:rPr>
        <w:t xml:space="preserve">(10) K ceně pozemku určené podle odstavce 1 se přičte cena trvalých porostů. </w:t>
      </w:r>
    </w:p>
    <w:p w14:paraId="6D698011" w14:textId="77777777" w:rsidR="00FE3586" w:rsidRDefault="00A009AB" w:rsidP="00690B81">
      <w:pPr>
        <w:tabs>
          <w:tab w:val="left" w:pos="426"/>
          <w:tab w:val="left" w:pos="868"/>
        </w:tabs>
        <w:spacing w:before="120" w:after="120"/>
        <w:rPr>
          <w:szCs w:val="24"/>
        </w:rPr>
      </w:pPr>
      <w:r w:rsidRPr="00A009AB">
        <w:rPr>
          <w:b/>
          <w:szCs w:val="24"/>
        </w:rPr>
        <w:t>(10)</w:t>
      </w:r>
      <w:r w:rsidRPr="00034D6F">
        <w:rPr>
          <w:szCs w:val="24"/>
        </w:rPr>
        <w:t xml:space="preserve"> </w:t>
      </w:r>
      <w:r w:rsidR="0076774A" w:rsidRPr="0076774A">
        <w:rPr>
          <w:b/>
          <w:szCs w:val="24"/>
        </w:rPr>
        <w:t>K hodnotě pozemku určené podle odstavce 1 se přičte cena trvalých porostů, které jsou jeho součástí. Cenu trvalých porostů pro tyto účely stanoví prováděcí právní předpis.</w:t>
      </w:r>
    </w:p>
    <w:p w14:paraId="008C3CD3" w14:textId="3E5C139F" w:rsidR="0076774A" w:rsidRPr="0076774A" w:rsidRDefault="0076774A" w:rsidP="00FE3586">
      <w:pPr>
        <w:tabs>
          <w:tab w:val="left" w:pos="426"/>
          <w:tab w:val="left" w:pos="868"/>
        </w:tabs>
        <w:spacing w:after="120"/>
        <w:ind w:firstLine="0"/>
        <w:jc w:val="center"/>
        <w:rPr>
          <w:szCs w:val="24"/>
        </w:rPr>
      </w:pPr>
      <w:r w:rsidRPr="0076774A">
        <w:rPr>
          <w:szCs w:val="24"/>
        </w:rPr>
        <w:t>§ 11</w:t>
      </w:r>
    </w:p>
    <w:p w14:paraId="1F060BB3" w14:textId="77777777" w:rsidR="0076774A" w:rsidRPr="00FE3586" w:rsidRDefault="0076774A" w:rsidP="00423ABD">
      <w:pPr>
        <w:tabs>
          <w:tab w:val="left" w:pos="426"/>
          <w:tab w:val="left" w:pos="868"/>
        </w:tabs>
        <w:spacing w:after="120"/>
        <w:ind w:firstLine="0"/>
        <w:jc w:val="center"/>
        <w:rPr>
          <w:b/>
          <w:szCs w:val="24"/>
        </w:rPr>
      </w:pPr>
      <w:r w:rsidRPr="00FE3586">
        <w:rPr>
          <w:b/>
          <w:szCs w:val="24"/>
        </w:rPr>
        <w:t>Oceňování zemědělského pozemku</w:t>
      </w:r>
    </w:p>
    <w:p w14:paraId="45FB897A" w14:textId="7F471480" w:rsidR="0076774A" w:rsidRPr="0076774A" w:rsidRDefault="0076774A" w:rsidP="00690B81">
      <w:pPr>
        <w:tabs>
          <w:tab w:val="left" w:pos="426"/>
          <w:tab w:val="left" w:pos="868"/>
        </w:tabs>
        <w:spacing w:before="120" w:after="120"/>
        <w:rPr>
          <w:szCs w:val="24"/>
        </w:rPr>
      </w:pPr>
      <w:r w:rsidRPr="0076774A">
        <w:rPr>
          <w:szCs w:val="24"/>
        </w:rPr>
        <w:t xml:space="preserve">(1) Zemědělský pozemek se oceňuje </w:t>
      </w:r>
      <w:r w:rsidRPr="00FE3586">
        <w:rPr>
          <w:strike/>
          <w:szCs w:val="24"/>
        </w:rPr>
        <w:t>cenou</w:t>
      </w:r>
      <w:r w:rsidR="002B2E2D">
        <w:rPr>
          <w:szCs w:val="24"/>
        </w:rPr>
        <w:t xml:space="preserve"> </w:t>
      </w:r>
      <w:r w:rsidRPr="002B2E2D">
        <w:rPr>
          <w:b/>
          <w:szCs w:val="24"/>
        </w:rPr>
        <w:t>hodnotou</w:t>
      </w:r>
      <w:r w:rsidRPr="0076774A">
        <w:rPr>
          <w:szCs w:val="24"/>
        </w:rPr>
        <w:t xml:space="preserve"> stanovenou výnosovým </w:t>
      </w:r>
      <w:r w:rsidRPr="00FE3586">
        <w:rPr>
          <w:strike/>
          <w:szCs w:val="24"/>
        </w:rPr>
        <w:t>způsobem</w:t>
      </w:r>
      <w:r w:rsidR="002B2E2D">
        <w:rPr>
          <w:szCs w:val="24"/>
        </w:rPr>
        <w:t xml:space="preserve"> </w:t>
      </w:r>
      <w:r w:rsidRPr="002B2E2D">
        <w:rPr>
          <w:b/>
          <w:szCs w:val="24"/>
        </w:rPr>
        <w:t>přístupem</w:t>
      </w:r>
      <w:r w:rsidRPr="0076774A">
        <w:rPr>
          <w:szCs w:val="24"/>
        </w:rPr>
        <w:t xml:space="preserve"> podle bonitovaných půdně ekologických jednotek.</w:t>
      </w:r>
    </w:p>
    <w:p w14:paraId="5DD5DC2E" w14:textId="2C721406" w:rsidR="0076774A" w:rsidRPr="0076774A" w:rsidRDefault="0076774A" w:rsidP="00690B81">
      <w:pPr>
        <w:tabs>
          <w:tab w:val="left" w:pos="426"/>
          <w:tab w:val="left" w:pos="868"/>
        </w:tabs>
        <w:spacing w:before="120" w:after="120"/>
        <w:rPr>
          <w:szCs w:val="24"/>
        </w:rPr>
      </w:pPr>
      <w:r w:rsidRPr="0076774A">
        <w:rPr>
          <w:szCs w:val="24"/>
        </w:rPr>
        <w:t>(2) Základní ceny zemědělských pozemků a jejich úpravu vyjadřující vliv polohy a další vlivy působící zejména na využitelnost pozemků pro zemědělskou výrobu, jako jsou přírodní nebo technické překážky a vyhlášení zvláště chráněných území</w:t>
      </w:r>
      <w:r w:rsidR="002B2E2D">
        <w:rPr>
          <w:rStyle w:val="Znakapoznpodarou"/>
          <w:szCs w:val="24"/>
        </w:rPr>
        <w:footnoteReference w:customMarkFollows="1" w:id="252"/>
        <w:t>11)</w:t>
      </w:r>
      <w:r w:rsidRPr="0076774A">
        <w:rPr>
          <w:szCs w:val="24"/>
        </w:rPr>
        <w:t xml:space="preserve">, stanoví </w:t>
      </w:r>
      <w:r w:rsidRPr="00FE3586">
        <w:rPr>
          <w:strike/>
          <w:szCs w:val="24"/>
        </w:rPr>
        <w:t>vyhláška</w:t>
      </w:r>
      <w:r w:rsidR="002B2E2D">
        <w:rPr>
          <w:szCs w:val="24"/>
        </w:rPr>
        <w:t xml:space="preserve"> </w:t>
      </w:r>
      <w:r w:rsidRPr="002B2E2D">
        <w:rPr>
          <w:b/>
          <w:szCs w:val="24"/>
        </w:rPr>
        <w:t>prováděcí</w:t>
      </w:r>
      <w:r w:rsidRPr="0076774A">
        <w:rPr>
          <w:b/>
          <w:szCs w:val="24"/>
        </w:rPr>
        <w:t xml:space="preserve"> právní předpis</w:t>
      </w:r>
      <w:r w:rsidRPr="0076774A">
        <w:rPr>
          <w:szCs w:val="24"/>
        </w:rPr>
        <w:t>.</w:t>
      </w:r>
    </w:p>
    <w:p w14:paraId="706CC48C" w14:textId="77777777" w:rsidR="0076774A" w:rsidRPr="0076774A" w:rsidRDefault="0076774A" w:rsidP="00690B81">
      <w:pPr>
        <w:keepNext/>
        <w:keepLines/>
        <w:tabs>
          <w:tab w:val="left" w:pos="426"/>
          <w:tab w:val="left" w:pos="868"/>
        </w:tabs>
        <w:spacing w:before="120" w:after="120"/>
        <w:ind w:firstLine="0"/>
        <w:jc w:val="center"/>
        <w:rPr>
          <w:szCs w:val="24"/>
        </w:rPr>
      </w:pPr>
      <w:r w:rsidRPr="0076774A">
        <w:rPr>
          <w:szCs w:val="24"/>
        </w:rPr>
        <w:lastRenderedPageBreak/>
        <w:t>§ 12</w:t>
      </w:r>
    </w:p>
    <w:p w14:paraId="17BD2805" w14:textId="77777777" w:rsidR="0076774A" w:rsidRPr="00FE3586" w:rsidRDefault="0076774A" w:rsidP="00690B81">
      <w:pPr>
        <w:keepNext/>
        <w:keepLines/>
        <w:tabs>
          <w:tab w:val="left" w:pos="426"/>
          <w:tab w:val="left" w:pos="868"/>
        </w:tabs>
        <w:spacing w:before="120" w:after="120"/>
        <w:ind w:firstLine="0"/>
        <w:jc w:val="center"/>
        <w:rPr>
          <w:b/>
          <w:szCs w:val="24"/>
        </w:rPr>
      </w:pPr>
      <w:r w:rsidRPr="00FE3586">
        <w:rPr>
          <w:b/>
          <w:szCs w:val="24"/>
        </w:rPr>
        <w:t>Oceňování lesního pozemku</w:t>
      </w:r>
    </w:p>
    <w:p w14:paraId="4EB516B7" w14:textId="58E3DBBE" w:rsidR="0076774A" w:rsidRPr="0076774A" w:rsidRDefault="0076774A" w:rsidP="00690B81">
      <w:pPr>
        <w:keepNext/>
        <w:keepLines/>
        <w:tabs>
          <w:tab w:val="left" w:pos="426"/>
          <w:tab w:val="left" w:pos="868"/>
        </w:tabs>
        <w:spacing w:before="120" w:after="120"/>
        <w:rPr>
          <w:szCs w:val="24"/>
        </w:rPr>
      </w:pPr>
      <w:r w:rsidRPr="0076774A">
        <w:rPr>
          <w:szCs w:val="24"/>
        </w:rPr>
        <w:t>(1) Lesní pozemek</w:t>
      </w:r>
      <w:r w:rsidR="002B2E2D">
        <w:rPr>
          <w:rStyle w:val="Znakapoznpodarou"/>
          <w:szCs w:val="24"/>
        </w:rPr>
        <w:footnoteReference w:customMarkFollows="1" w:id="253"/>
        <w:t>12)</w:t>
      </w:r>
      <w:r w:rsidRPr="0076774A">
        <w:rPr>
          <w:szCs w:val="24"/>
        </w:rPr>
        <w:t xml:space="preserve"> se oceňuje výnosovým a porovnávacím </w:t>
      </w:r>
      <w:r w:rsidRPr="00FE3586">
        <w:rPr>
          <w:strike/>
          <w:szCs w:val="24"/>
        </w:rPr>
        <w:t>způsobem</w:t>
      </w:r>
      <w:r w:rsidR="002B2E2D">
        <w:rPr>
          <w:szCs w:val="24"/>
        </w:rPr>
        <w:t xml:space="preserve"> </w:t>
      </w:r>
      <w:r w:rsidRPr="002B2E2D">
        <w:rPr>
          <w:b/>
          <w:szCs w:val="24"/>
        </w:rPr>
        <w:t>přístupem</w:t>
      </w:r>
      <w:r w:rsidRPr="0076774A">
        <w:rPr>
          <w:szCs w:val="24"/>
        </w:rPr>
        <w:t xml:space="preserve"> podle plošně převládajících souborů lesních typů.</w:t>
      </w:r>
    </w:p>
    <w:p w14:paraId="14354E96" w14:textId="3871E66F" w:rsidR="0076774A" w:rsidRPr="0076774A" w:rsidRDefault="0076774A" w:rsidP="00E967F8">
      <w:pPr>
        <w:tabs>
          <w:tab w:val="left" w:pos="426"/>
          <w:tab w:val="left" w:pos="868"/>
        </w:tabs>
        <w:spacing w:after="120"/>
        <w:rPr>
          <w:szCs w:val="24"/>
        </w:rPr>
      </w:pPr>
      <w:r w:rsidRPr="0076774A">
        <w:rPr>
          <w:szCs w:val="24"/>
        </w:rPr>
        <w:t>(2) Základní ceny lesních pozemků a jejich úpravu vyjadřující kategorii lesů</w:t>
      </w:r>
      <w:r w:rsidR="002B2E2D">
        <w:rPr>
          <w:rStyle w:val="Znakapoznpodarou"/>
          <w:szCs w:val="24"/>
        </w:rPr>
        <w:footnoteReference w:customMarkFollows="1" w:id="254"/>
        <w:t>13)</w:t>
      </w:r>
      <w:r w:rsidRPr="0076774A">
        <w:rPr>
          <w:szCs w:val="24"/>
        </w:rPr>
        <w:t xml:space="preserve"> a další vlivy působící na využitelnost lesních pozemků stanoví </w:t>
      </w:r>
      <w:r w:rsidRPr="00FE3586">
        <w:rPr>
          <w:strike/>
          <w:szCs w:val="24"/>
        </w:rPr>
        <w:t>vyhláška</w:t>
      </w:r>
      <w:r w:rsidR="002B2E2D">
        <w:rPr>
          <w:szCs w:val="24"/>
        </w:rPr>
        <w:t xml:space="preserve"> </w:t>
      </w:r>
      <w:r w:rsidRPr="002B2E2D">
        <w:rPr>
          <w:b/>
          <w:szCs w:val="24"/>
        </w:rPr>
        <w:t>prováděcí</w:t>
      </w:r>
      <w:r w:rsidRPr="0076774A">
        <w:rPr>
          <w:b/>
          <w:szCs w:val="24"/>
        </w:rPr>
        <w:t xml:space="preserve"> právní předpis</w:t>
      </w:r>
      <w:r w:rsidRPr="0076774A">
        <w:rPr>
          <w:szCs w:val="24"/>
        </w:rPr>
        <w:t>.</w:t>
      </w:r>
    </w:p>
    <w:p w14:paraId="5C149DBE" w14:textId="77777777" w:rsidR="0076774A" w:rsidRPr="0076774A" w:rsidRDefault="0076774A" w:rsidP="00423ABD">
      <w:pPr>
        <w:tabs>
          <w:tab w:val="left" w:pos="426"/>
          <w:tab w:val="left" w:pos="868"/>
        </w:tabs>
        <w:spacing w:after="120"/>
        <w:ind w:firstLine="0"/>
        <w:jc w:val="center"/>
        <w:rPr>
          <w:szCs w:val="24"/>
        </w:rPr>
      </w:pPr>
      <w:r w:rsidRPr="0076774A">
        <w:rPr>
          <w:szCs w:val="24"/>
        </w:rPr>
        <w:t>§ 13</w:t>
      </w:r>
    </w:p>
    <w:p w14:paraId="1DF46648" w14:textId="77777777" w:rsidR="0076774A" w:rsidRPr="00BE10DB" w:rsidRDefault="0076774A" w:rsidP="00423ABD">
      <w:pPr>
        <w:tabs>
          <w:tab w:val="left" w:pos="426"/>
          <w:tab w:val="left" w:pos="868"/>
        </w:tabs>
        <w:spacing w:after="120"/>
        <w:ind w:firstLine="0"/>
        <w:jc w:val="center"/>
        <w:rPr>
          <w:b/>
          <w:szCs w:val="24"/>
        </w:rPr>
      </w:pPr>
      <w:r w:rsidRPr="00BE10DB">
        <w:rPr>
          <w:b/>
          <w:szCs w:val="24"/>
        </w:rPr>
        <w:t>Oceňování pozemků vodních ploch a jiných pozemků</w:t>
      </w:r>
    </w:p>
    <w:p w14:paraId="44048CFB" w14:textId="50B4AF5F" w:rsidR="0076774A" w:rsidRPr="0076774A" w:rsidRDefault="0076774A" w:rsidP="00E967F8">
      <w:pPr>
        <w:tabs>
          <w:tab w:val="left" w:pos="426"/>
          <w:tab w:val="left" w:pos="868"/>
        </w:tabs>
        <w:spacing w:after="120"/>
        <w:rPr>
          <w:szCs w:val="24"/>
        </w:rPr>
      </w:pPr>
      <w:r w:rsidRPr="0076774A">
        <w:rPr>
          <w:szCs w:val="24"/>
        </w:rPr>
        <w:t xml:space="preserve">Pozemky vodních ploch a jiné pozemky se oceňují cenami stanovenými </w:t>
      </w:r>
      <w:r w:rsidRPr="00BE10DB">
        <w:rPr>
          <w:szCs w:val="24"/>
        </w:rPr>
        <w:t>vyhláškou</w:t>
      </w:r>
      <w:r w:rsidR="00BE10DB">
        <w:rPr>
          <w:szCs w:val="24"/>
        </w:rPr>
        <w:t xml:space="preserve"> </w:t>
      </w:r>
      <w:r w:rsidRPr="00BE10DB">
        <w:rPr>
          <w:b/>
          <w:szCs w:val="24"/>
        </w:rPr>
        <w:t>prováděcím</w:t>
      </w:r>
      <w:r w:rsidRPr="0076774A">
        <w:rPr>
          <w:b/>
          <w:szCs w:val="24"/>
        </w:rPr>
        <w:t xml:space="preserve"> právním předpisem</w:t>
      </w:r>
      <w:r w:rsidRPr="0076774A">
        <w:rPr>
          <w:szCs w:val="24"/>
        </w:rPr>
        <w:t>.</w:t>
      </w:r>
    </w:p>
    <w:p w14:paraId="213E297E" w14:textId="77777777" w:rsidR="0076774A" w:rsidRPr="0076774A" w:rsidRDefault="0076774A" w:rsidP="00FE3586">
      <w:pPr>
        <w:tabs>
          <w:tab w:val="left" w:pos="426"/>
          <w:tab w:val="left" w:pos="868"/>
        </w:tabs>
        <w:spacing w:after="120"/>
        <w:ind w:firstLine="0"/>
        <w:jc w:val="center"/>
        <w:rPr>
          <w:szCs w:val="24"/>
        </w:rPr>
      </w:pPr>
      <w:r w:rsidRPr="0076774A">
        <w:rPr>
          <w:szCs w:val="24"/>
        </w:rPr>
        <w:t>§ 14</w:t>
      </w:r>
    </w:p>
    <w:p w14:paraId="68CA8077" w14:textId="77777777" w:rsidR="0076774A" w:rsidRPr="00FE3586" w:rsidRDefault="0076774A" w:rsidP="00FE3586">
      <w:pPr>
        <w:tabs>
          <w:tab w:val="left" w:pos="426"/>
          <w:tab w:val="left" w:pos="868"/>
        </w:tabs>
        <w:spacing w:after="120"/>
        <w:ind w:firstLine="0"/>
        <w:jc w:val="center"/>
        <w:rPr>
          <w:b/>
          <w:szCs w:val="24"/>
        </w:rPr>
      </w:pPr>
      <w:r w:rsidRPr="00FE3586">
        <w:rPr>
          <w:b/>
          <w:szCs w:val="24"/>
        </w:rPr>
        <w:t>Členění trvalých porostů</w:t>
      </w:r>
    </w:p>
    <w:p w14:paraId="3BAF5030" w14:textId="77777777" w:rsidR="0076774A" w:rsidRPr="0076774A" w:rsidRDefault="0076774A" w:rsidP="00E967F8">
      <w:pPr>
        <w:tabs>
          <w:tab w:val="left" w:pos="426"/>
          <w:tab w:val="left" w:pos="868"/>
        </w:tabs>
        <w:spacing w:after="120"/>
        <w:rPr>
          <w:szCs w:val="24"/>
        </w:rPr>
      </w:pPr>
      <w:r w:rsidRPr="0076774A">
        <w:rPr>
          <w:szCs w:val="24"/>
        </w:rPr>
        <w:t>Pro účely oceňování podle tohoto zákona se trvalé porosty člení na</w:t>
      </w:r>
    </w:p>
    <w:p w14:paraId="4FA41E0C" w14:textId="7ED739FA" w:rsidR="0076774A" w:rsidRPr="0076774A" w:rsidRDefault="00742D5C" w:rsidP="00742D5C">
      <w:pPr>
        <w:tabs>
          <w:tab w:val="left" w:pos="426"/>
          <w:tab w:val="left" w:pos="868"/>
        </w:tabs>
        <w:spacing w:before="0"/>
        <w:ind w:firstLine="0"/>
        <w:rPr>
          <w:szCs w:val="24"/>
        </w:rPr>
      </w:pPr>
      <w:r>
        <w:rPr>
          <w:szCs w:val="24"/>
        </w:rPr>
        <w:t>a)</w:t>
      </w:r>
      <w:r>
        <w:rPr>
          <w:szCs w:val="24"/>
        </w:rPr>
        <w:tab/>
      </w:r>
      <w:r w:rsidR="0076774A" w:rsidRPr="0076774A">
        <w:rPr>
          <w:szCs w:val="24"/>
        </w:rPr>
        <w:t>lesní porosty</w:t>
      </w:r>
      <w:r>
        <w:rPr>
          <w:rStyle w:val="Znakapoznpodarou"/>
          <w:szCs w:val="24"/>
        </w:rPr>
        <w:footnoteReference w:customMarkFollows="1" w:id="255"/>
        <w:t>14)</w:t>
      </w:r>
      <w:r w:rsidR="0076774A" w:rsidRPr="0076774A">
        <w:rPr>
          <w:szCs w:val="24"/>
        </w:rPr>
        <w:t>,</w:t>
      </w:r>
    </w:p>
    <w:p w14:paraId="66219FAE" w14:textId="07400066" w:rsidR="0076774A" w:rsidRPr="0076774A" w:rsidRDefault="00742D5C" w:rsidP="00742D5C">
      <w:pPr>
        <w:tabs>
          <w:tab w:val="left" w:pos="426"/>
          <w:tab w:val="left" w:pos="868"/>
        </w:tabs>
        <w:spacing w:before="0"/>
        <w:ind w:firstLine="0"/>
        <w:rPr>
          <w:szCs w:val="24"/>
        </w:rPr>
      </w:pPr>
      <w:r>
        <w:rPr>
          <w:szCs w:val="24"/>
        </w:rPr>
        <w:t>b)</w:t>
      </w:r>
      <w:r>
        <w:rPr>
          <w:szCs w:val="24"/>
        </w:rPr>
        <w:tab/>
      </w:r>
      <w:r w:rsidR="0076774A" w:rsidRPr="0076774A">
        <w:rPr>
          <w:szCs w:val="24"/>
        </w:rPr>
        <w:t>ovocné dřeviny,</w:t>
      </w:r>
    </w:p>
    <w:p w14:paraId="32F7B093" w14:textId="33421B17" w:rsidR="0076774A" w:rsidRPr="0076774A" w:rsidRDefault="00742D5C" w:rsidP="00742D5C">
      <w:pPr>
        <w:tabs>
          <w:tab w:val="left" w:pos="426"/>
          <w:tab w:val="left" w:pos="868"/>
        </w:tabs>
        <w:spacing w:before="0"/>
        <w:ind w:firstLine="0"/>
        <w:rPr>
          <w:szCs w:val="24"/>
        </w:rPr>
      </w:pPr>
      <w:r>
        <w:rPr>
          <w:szCs w:val="24"/>
        </w:rPr>
        <w:t>c)</w:t>
      </w:r>
      <w:r>
        <w:rPr>
          <w:szCs w:val="24"/>
        </w:rPr>
        <w:tab/>
      </w:r>
      <w:r w:rsidR="0076774A" w:rsidRPr="0076774A">
        <w:rPr>
          <w:szCs w:val="24"/>
        </w:rPr>
        <w:t>rychle rostoucí dřeviny,</w:t>
      </w:r>
    </w:p>
    <w:p w14:paraId="633DD37D" w14:textId="2A3ED946" w:rsidR="0076774A" w:rsidRPr="0076774A" w:rsidRDefault="00742D5C" w:rsidP="00742D5C">
      <w:pPr>
        <w:tabs>
          <w:tab w:val="left" w:pos="426"/>
          <w:tab w:val="left" w:pos="868"/>
        </w:tabs>
        <w:spacing w:before="0"/>
        <w:ind w:firstLine="0"/>
        <w:rPr>
          <w:szCs w:val="24"/>
        </w:rPr>
      </w:pPr>
      <w:r>
        <w:rPr>
          <w:szCs w:val="24"/>
        </w:rPr>
        <w:t>d)</w:t>
      </w:r>
      <w:r>
        <w:rPr>
          <w:szCs w:val="24"/>
        </w:rPr>
        <w:tab/>
      </w:r>
      <w:r w:rsidR="0076774A" w:rsidRPr="0076774A">
        <w:rPr>
          <w:szCs w:val="24"/>
        </w:rPr>
        <w:t>vinnou a chmelovou révu,</w:t>
      </w:r>
    </w:p>
    <w:p w14:paraId="55E74551" w14:textId="6C924BB3" w:rsidR="0076774A" w:rsidRPr="0076774A" w:rsidRDefault="00742D5C" w:rsidP="00742D5C">
      <w:pPr>
        <w:tabs>
          <w:tab w:val="left" w:pos="426"/>
          <w:tab w:val="left" w:pos="868"/>
        </w:tabs>
        <w:spacing w:before="0"/>
        <w:ind w:firstLine="0"/>
        <w:rPr>
          <w:szCs w:val="24"/>
        </w:rPr>
      </w:pPr>
      <w:r>
        <w:rPr>
          <w:szCs w:val="24"/>
        </w:rPr>
        <w:t>e)</w:t>
      </w:r>
      <w:r>
        <w:rPr>
          <w:szCs w:val="24"/>
        </w:rPr>
        <w:tab/>
      </w:r>
      <w:r w:rsidR="0076774A" w:rsidRPr="0076774A">
        <w:rPr>
          <w:szCs w:val="24"/>
        </w:rPr>
        <w:t>okrasné rostliny.</w:t>
      </w:r>
    </w:p>
    <w:p w14:paraId="245B0547" w14:textId="77777777" w:rsidR="0076774A" w:rsidRPr="0076774A" w:rsidRDefault="0076774A" w:rsidP="00FE3586">
      <w:pPr>
        <w:tabs>
          <w:tab w:val="left" w:pos="426"/>
          <w:tab w:val="left" w:pos="868"/>
        </w:tabs>
        <w:spacing w:after="120"/>
        <w:ind w:firstLine="0"/>
        <w:jc w:val="center"/>
        <w:rPr>
          <w:szCs w:val="24"/>
        </w:rPr>
      </w:pPr>
      <w:r w:rsidRPr="0076774A">
        <w:rPr>
          <w:szCs w:val="24"/>
        </w:rPr>
        <w:t>§ 15</w:t>
      </w:r>
    </w:p>
    <w:p w14:paraId="52E627E5" w14:textId="77777777" w:rsidR="0076774A" w:rsidRPr="00742D5C" w:rsidRDefault="0076774A" w:rsidP="00FE3586">
      <w:pPr>
        <w:tabs>
          <w:tab w:val="left" w:pos="426"/>
          <w:tab w:val="left" w:pos="868"/>
        </w:tabs>
        <w:spacing w:after="120"/>
        <w:ind w:firstLine="0"/>
        <w:jc w:val="center"/>
        <w:rPr>
          <w:b/>
          <w:szCs w:val="24"/>
        </w:rPr>
      </w:pPr>
      <w:r w:rsidRPr="00742D5C">
        <w:rPr>
          <w:b/>
          <w:szCs w:val="24"/>
        </w:rPr>
        <w:t>Oceňování lesního porostu</w:t>
      </w:r>
    </w:p>
    <w:p w14:paraId="62955162" w14:textId="2D782368" w:rsidR="0076774A" w:rsidRPr="0076774A" w:rsidRDefault="0076774A" w:rsidP="00690B81">
      <w:pPr>
        <w:tabs>
          <w:tab w:val="left" w:pos="426"/>
          <w:tab w:val="left" w:pos="868"/>
        </w:tabs>
        <w:spacing w:before="120" w:after="120"/>
        <w:rPr>
          <w:szCs w:val="24"/>
        </w:rPr>
      </w:pPr>
      <w:r w:rsidRPr="0076774A">
        <w:rPr>
          <w:szCs w:val="24"/>
        </w:rPr>
        <w:t xml:space="preserve">(1) Lesní porost se oceňuje nákladovým a výnosovým </w:t>
      </w:r>
      <w:r w:rsidRPr="0076774A">
        <w:rPr>
          <w:strike/>
          <w:szCs w:val="24"/>
        </w:rPr>
        <w:t>způsobem</w:t>
      </w:r>
      <w:r w:rsidR="00F1717B" w:rsidRPr="00F1717B">
        <w:rPr>
          <w:szCs w:val="24"/>
        </w:rPr>
        <w:t xml:space="preserve"> </w:t>
      </w:r>
      <w:r w:rsidRPr="0076774A">
        <w:rPr>
          <w:b/>
          <w:szCs w:val="24"/>
        </w:rPr>
        <w:t>přístupem</w:t>
      </w:r>
      <w:r w:rsidRPr="0076774A">
        <w:rPr>
          <w:szCs w:val="24"/>
        </w:rPr>
        <w:t xml:space="preserve">. Vychází se ze skupin lesních dřevin podle jejich zastoupení v lesním porostu, věku, bonitních stupňů, obmýtí a </w:t>
      </w:r>
      <w:proofErr w:type="spellStart"/>
      <w:r w:rsidRPr="0076774A">
        <w:rPr>
          <w:szCs w:val="24"/>
        </w:rPr>
        <w:t>zakmenění</w:t>
      </w:r>
      <w:proofErr w:type="spellEnd"/>
      <w:r w:rsidRPr="0076774A">
        <w:rPr>
          <w:szCs w:val="24"/>
        </w:rPr>
        <w:t>.</w:t>
      </w:r>
    </w:p>
    <w:p w14:paraId="15600A99" w14:textId="25AE33B7" w:rsidR="0076774A" w:rsidRPr="0076774A" w:rsidRDefault="0076774A" w:rsidP="00690B81">
      <w:pPr>
        <w:tabs>
          <w:tab w:val="left" w:pos="426"/>
          <w:tab w:val="left" w:pos="868"/>
        </w:tabs>
        <w:spacing w:before="120" w:after="120"/>
        <w:rPr>
          <w:szCs w:val="24"/>
        </w:rPr>
      </w:pPr>
      <w:r w:rsidRPr="0076774A">
        <w:rPr>
          <w:szCs w:val="24"/>
        </w:rPr>
        <w:t xml:space="preserve">(2) Postup </w:t>
      </w:r>
      <w:r w:rsidRPr="00F1717B">
        <w:rPr>
          <w:strike/>
          <w:szCs w:val="24"/>
        </w:rPr>
        <w:t>zjištění</w:t>
      </w:r>
      <w:r w:rsidR="00F1717B">
        <w:rPr>
          <w:szCs w:val="24"/>
        </w:rPr>
        <w:t xml:space="preserve"> </w:t>
      </w:r>
      <w:r w:rsidRPr="00F1717B">
        <w:rPr>
          <w:b/>
          <w:szCs w:val="24"/>
        </w:rPr>
        <w:t>stanovení</w:t>
      </w:r>
      <w:r w:rsidRPr="0076774A">
        <w:rPr>
          <w:szCs w:val="24"/>
        </w:rPr>
        <w:t xml:space="preserve"> základních cen lesních porostů a jejich úpravu vyjadřující kategorii lesa, hospodářský tvar lesa, stupeň poškození porostu, </w:t>
      </w:r>
      <w:proofErr w:type="spellStart"/>
      <w:r w:rsidRPr="0076774A">
        <w:rPr>
          <w:szCs w:val="24"/>
        </w:rPr>
        <w:t>sortimentaci</w:t>
      </w:r>
      <w:proofErr w:type="spellEnd"/>
      <w:r w:rsidRPr="0076774A">
        <w:rPr>
          <w:szCs w:val="24"/>
        </w:rPr>
        <w:t xml:space="preserve"> porostu a další vlivy, které působí na produkci dřeva, stanoví </w:t>
      </w:r>
      <w:r w:rsidRPr="00F1717B">
        <w:rPr>
          <w:strike/>
          <w:szCs w:val="24"/>
        </w:rPr>
        <w:t>vyhláška</w:t>
      </w:r>
      <w:r w:rsidR="00FE3586">
        <w:rPr>
          <w:szCs w:val="24"/>
        </w:rPr>
        <w:t xml:space="preserve"> </w:t>
      </w:r>
      <w:r w:rsidRPr="00FE3586">
        <w:rPr>
          <w:b/>
          <w:szCs w:val="24"/>
        </w:rPr>
        <w:t>prováděcí</w:t>
      </w:r>
      <w:r w:rsidRPr="0076774A">
        <w:rPr>
          <w:b/>
          <w:szCs w:val="24"/>
        </w:rPr>
        <w:t xml:space="preserve"> právní předpis</w:t>
      </w:r>
      <w:r w:rsidRPr="0076774A">
        <w:rPr>
          <w:szCs w:val="24"/>
        </w:rPr>
        <w:t>.</w:t>
      </w:r>
    </w:p>
    <w:p w14:paraId="20835BF0" w14:textId="376889C6" w:rsidR="0076774A" w:rsidRPr="0076774A" w:rsidRDefault="0076774A" w:rsidP="00690B81">
      <w:pPr>
        <w:tabs>
          <w:tab w:val="left" w:pos="426"/>
          <w:tab w:val="left" w:pos="868"/>
        </w:tabs>
        <w:spacing w:before="120" w:after="120"/>
        <w:rPr>
          <w:szCs w:val="24"/>
        </w:rPr>
      </w:pPr>
      <w:r w:rsidRPr="0076774A">
        <w:rPr>
          <w:szCs w:val="24"/>
        </w:rPr>
        <w:t xml:space="preserve">(3) Při oceňování se vychází z údajů o lesním porostu obsažených v závazném podkladu zpracovaném podle zvláštního </w:t>
      </w:r>
      <w:r w:rsidRPr="0076774A">
        <w:rPr>
          <w:b/>
          <w:szCs w:val="24"/>
        </w:rPr>
        <w:t>právního</w:t>
      </w:r>
      <w:r w:rsidRPr="0076774A">
        <w:rPr>
          <w:szCs w:val="24"/>
        </w:rPr>
        <w:t xml:space="preserve"> předpisu</w:t>
      </w:r>
      <w:r w:rsidR="00F1717B">
        <w:rPr>
          <w:rStyle w:val="Znakapoznpodarou"/>
          <w:szCs w:val="24"/>
        </w:rPr>
        <w:footnoteReference w:customMarkFollows="1" w:id="256"/>
        <w:t>15)</w:t>
      </w:r>
      <w:r w:rsidRPr="0076774A">
        <w:rPr>
          <w:szCs w:val="24"/>
        </w:rPr>
        <w:t xml:space="preserve">. Není-li tento podklad zpracován nebo údaje v něm uvedené neodpovídají skutečnosti, </w:t>
      </w:r>
      <w:proofErr w:type="gramStart"/>
      <w:r w:rsidRPr="00F1717B">
        <w:rPr>
          <w:strike/>
          <w:szCs w:val="24"/>
        </w:rPr>
        <w:t>zjistí</w:t>
      </w:r>
      <w:r w:rsidR="00F1717B">
        <w:rPr>
          <w:szCs w:val="24"/>
        </w:rPr>
        <w:t xml:space="preserve"> </w:t>
      </w:r>
      <w:r w:rsidRPr="00F1717B">
        <w:rPr>
          <w:b/>
          <w:szCs w:val="24"/>
        </w:rPr>
        <w:t>určí</w:t>
      </w:r>
      <w:proofErr w:type="gramEnd"/>
      <w:r w:rsidRPr="0076774A">
        <w:rPr>
          <w:szCs w:val="24"/>
        </w:rPr>
        <w:t xml:space="preserve"> se potřebné údaje podle skutečnosti.</w:t>
      </w:r>
    </w:p>
    <w:p w14:paraId="6A6ABD2F" w14:textId="77777777" w:rsidR="0076774A" w:rsidRPr="0076774A" w:rsidRDefault="0076774A" w:rsidP="00690B81">
      <w:pPr>
        <w:keepNext/>
        <w:keepLines/>
        <w:tabs>
          <w:tab w:val="left" w:pos="426"/>
          <w:tab w:val="left" w:pos="868"/>
        </w:tabs>
        <w:spacing w:after="120"/>
        <w:ind w:firstLine="0"/>
        <w:jc w:val="center"/>
        <w:rPr>
          <w:b/>
          <w:szCs w:val="24"/>
        </w:rPr>
      </w:pPr>
      <w:r w:rsidRPr="0076774A">
        <w:rPr>
          <w:b/>
          <w:szCs w:val="24"/>
        </w:rPr>
        <w:lastRenderedPageBreak/>
        <w:t>§ 15a</w:t>
      </w:r>
    </w:p>
    <w:p w14:paraId="1BE89A5B" w14:textId="77777777" w:rsidR="0076774A" w:rsidRPr="0076774A" w:rsidRDefault="0076774A" w:rsidP="00690B81">
      <w:pPr>
        <w:keepNext/>
        <w:keepLines/>
        <w:tabs>
          <w:tab w:val="left" w:pos="426"/>
          <w:tab w:val="left" w:pos="868"/>
        </w:tabs>
        <w:spacing w:after="120"/>
        <w:ind w:firstLine="0"/>
        <w:jc w:val="center"/>
        <w:rPr>
          <w:b/>
          <w:szCs w:val="24"/>
        </w:rPr>
      </w:pPr>
      <w:r w:rsidRPr="0076774A">
        <w:rPr>
          <w:b/>
          <w:szCs w:val="24"/>
        </w:rPr>
        <w:t>Oceňování lesa</w:t>
      </w:r>
    </w:p>
    <w:p w14:paraId="45764636" w14:textId="77777777" w:rsidR="0076774A" w:rsidRPr="0076774A" w:rsidRDefault="0076774A" w:rsidP="00690B81">
      <w:pPr>
        <w:keepNext/>
        <w:keepLines/>
        <w:tabs>
          <w:tab w:val="left" w:pos="426"/>
          <w:tab w:val="left" w:pos="868"/>
        </w:tabs>
        <w:spacing w:after="120"/>
        <w:rPr>
          <w:b/>
          <w:szCs w:val="24"/>
        </w:rPr>
      </w:pPr>
      <w:r w:rsidRPr="0076774A">
        <w:rPr>
          <w:b/>
          <w:szCs w:val="24"/>
        </w:rPr>
        <w:t>(1)</w:t>
      </w:r>
      <w:r w:rsidRPr="0076774A">
        <w:rPr>
          <w:b/>
          <w:szCs w:val="24"/>
        </w:rPr>
        <w:tab/>
        <w:t>Hodnota lesa se určí</w:t>
      </w:r>
    </w:p>
    <w:p w14:paraId="65706573" w14:textId="77777777" w:rsidR="0076774A" w:rsidRPr="0076774A" w:rsidRDefault="0076774A" w:rsidP="00690B81">
      <w:pPr>
        <w:keepNext/>
        <w:keepLines/>
        <w:tabs>
          <w:tab w:val="left" w:pos="426"/>
          <w:tab w:val="left" w:pos="868"/>
        </w:tabs>
        <w:spacing w:before="0"/>
        <w:ind w:left="426" w:hanging="426"/>
        <w:rPr>
          <w:b/>
          <w:szCs w:val="24"/>
        </w:rPr>
      </w:pPr>
      <w:r w:rsidRPr="0076774A">
        <w:rPr>
          <w:b/>
          <w:szCs w:val="24"/>
        </w:rPr>
        <w:t>a)</w:t>
      </w:r>
      <w:r w:rsidRPr="0076774A">
        <w:rPr>
          <w:b/>
          <w:szCs w:val="24"/>
        </w:rPr>
        <w:tab/>
        <w:t>pro výměry lesních pozemků do 50 hektarů jako součet hodnoty lesních pozemků podle § 12 a hodnoty lesních porostů podle § 15 a</w:t>
      </w:r>
    </w:p>
    <w:p w14:paraId="23F0D2D5" w14:textId="77777777" w:rsidR="0076774A" w:rsidRPr="0076774A" w:rsidRDefault="0076774A" w:rsidP="005A7455">
      <w:pPr>
        <w:tabs>
          <w:tab w:val="left" w:pos="426"/>
          <w:tab w:val="left" w:pos="868"/>
        </w:tabs>
        <w:spacing w:before="0"/>
        <w:ind w:left="426" w:hanging="426"/>
        <w:rPr>
          <w:b/>
          <w:szCs w:val="24"/>
        </w:rPr>
      </w:pPr>
      <w:r w:rsidRPr="0076774A">
        <w:rPr>
          <w:b/>
          <w:szCs w:val="24"/>
        </w:rPr>
        <w:t>b)</w:t>
      </w:r>
      <w:r w:rsidRPr="0076774A">
        <w:rPr>
          <w:b/>
          <w:szCs w:val="24"/>
        </w:rPr>
        <w:tab/>
        <w:t>pro výměry lesních pozemků vyšší než 50 hektarů výnosovým přístupem na základě určení čistého výnosu z lesa a jeho kapitalizace.</w:t>
      </w:r>
    </w:p>
    <w:p w14:paraId="68D4F7FD" w14:textId="77777777" w:rsidR="0076774A" w:rsidRPr="0076774A" w:rsidRDefault="0076774A" w:rsidP="00E967F8">
      <w:pPr>
        <w:tabs>
          <w:tab w:val="left" w:pos="426"/>
          <w:tab w:val="left" w:pos="868"/>
        </w:tabs>
        <w:spacing w:after="120"/>
        <w:rPr>
          <w:b/>
          <w:szCs w:val="24"/>
        </w:rPr>
      </w:pPr>
      <w:r w:rsidRPr="0076774A">
        <w:rPr>
          <w:b/>
          <w:szCs w:val="24"/>
        </w:rPr>
        <w:t>(2)</w:t>
      </w:r>
      <w:r w:rsidRPr="0076774A">
        <w:rPr>
          <w:b/>
          <w:szCs w:val="24"/>
        </w:rPr>
        <w:tab/>
        <w:t>Prováděcí právní předpis stanoví způsob určení čistého výnosu z lesa a výši míry kapitalizace.</w:t>
      </w:r>
    </w:p>
    <w:p w14:paraId="4D3A911B" w14:textId="77777777" w:rsidR="0076774A" w:rsidRPr="0076774A" w:rsidRDefault="0076774A" w:rsidP="00E45434">
      <w:pPr>
        <w:keepNext/>
        <w:tabs>
          <w:tab w:val="left" w:pos="426"/>
          <w:tab w:val="left" w:pos="868"/>
        </w:tabs>
        <w:spacing w:after="120"/>
        <w:ind w:firstLine="0"/>
        <w:jc w:val="center"/>
        <w:rPr>
          <w:szCs w:val="24"/>
        </w:rPr>
      </w:pPr>
      <w:r w:rsidRPr="0076774A">
        <w:rPr>
          <w:szCs w:val="24"/>
        </w:rPr>
        <w:t>§ 16</w:t>
      </w:r>
    </w:p>
    <w:p w14:paraId="5ADD9DBC" w14:textId="77777777" w:rsidR="0076774A" w:rsidRPr="00E45434" w:rsidRDefault="0076774A" w:rsidP="00E45434">
      <w:pPr>
        <w:tabs>
          <w:tab w:val="left" w:pos="426"/>
          <w:tab w:val="left" w:pos="868"/>
        </w:tabs>
        <w:spacing w:after="120"/>
        <w:ind w:firstLine="0"/>
        <w:jc w:val="center"/>
        <w:rPr>
          <w:b/>
          <w:szCs w:val="24"/>
        </w:rPr>
      </w:pPr>
      <w:r w:rsidRPr="00E45434">
        <w:rPr>
          <w:b/>
          <w:szCs w:val="24"/>
        </w:rPr>
        <w:t>Oceňování ovocných dřevin, rychle rostoucích dřevin, vinné a chmelové révy a okrasných rostlin</w:t>
      </w:r>
    </w:p>
    <w:p w14:paraId="02F928D7" w14:textId="77777777" w:rsidR="0076774A" w:rsidRPr="0076774A" w:rsidRDefault="0076774A" w:rsidP="00690B81">
      <w:pPr>
        <w:tabs>
          <w:tab w:val="left" w:pos="426"/>
          <w:tab w:val="left" w:pos="868"/>
        </w:tabs>
        <w:spacing w:before="120" w:after="120"/>
        <w:rPr>
          <w:szCs w:val="24"/>
        </w:rPr>
      </w:pPr>
      <w:r w:rsidRPr="0076774A">
        <w:rPr>
          <w:szCs w:val="24"/>
        </w:rPr>
        <w:t xml:space="preserve">(1) Ovocné dřeviny, rychle rostoucí dřeviny, vinná a chmelová réva se oceňují výnosovým </w:t>
      </w:r>
      <w:r w:rsidRPr="0076774A">
        <w:rPr>
          <w:strike/>
          <w:szCs w:val="24"/>
        </w:rPr>
        <w:t>způsobem</w:t>
      </w:r>
      <w:r w:rsidRPr="0076774A">
        <w:rPr>
          <w:szCs w:val="24"/>
        </w:rPr>
        <w:t xml:space="preserve"> </w:t>
      </w:r>
      <w:r w:rsidRPr="0076774A">
        <w:rPr>
          <w:b/>
          <w:szCs w:val="24"/>
        </w:rPr>
        <w:t>přístupem</w:t>
      </w:r>
      <w:r w:rsidRPr="0076774A">
        <w:rPr>
          <w:szCs w:val="24"/>
        </w:rPr>
        <w:t xml:space="preserve"> podle druhu dřevin, jejich věku, pěstebního tvaru nebo způsobu založení jejich porostu. Ceny vinné a chmelové révy obsahují ceny zařízení vinic a chmelnic.</w:t>
      </w:r>
    </w:p>
    <w:p w14:paraId="2BA07708" w14:textId="05461E81" w:rsidR="0076774A" w:rsidRPr="0076774A" w:rsidRDefault="0076774A" w:rsidP="00690B81">
      <w:pPr>
        <w:tabs>
          <w:tab w:val="left" w:pos="426"/>
          <w:tab w:val="left" w:pos="868"/>
        </w:tabs>
        <w:spacing w:before="120" w:after="120"/>
        <w:rPr>
          <w:szCs w:val="24"/>
        </w:rPr>
      </w:pPr>
      <w:r w:rsidRPr="0076774A">
        <w:rPr>
          <w:szCs w:val="24"/>
        </w:rPr>
        <w:t xml:space="preserve">(2) Okrasné rostliny se oceňují nákladovým </w:t>
      </w:r>
      <w:r w:rsidRPr="0076774A">
        <w:rPr>
          <w:strike/>
          <w:szCs w:val="24"/>
        </w:rPr>
        <w:t>způsobem</w:t>
      </w:r>
      <w:r w:rsidR="00E45434" w:rsidRPr="00E45434">
        <w:rPr>
          <w:szCs w:val="24"/>
        </w:rPr>
        <w:t xml:space="preserve"> </w:t>
      </w:r>
      <w:r w:rsidRPr="0076774A">
        <w:rPr>
          <w:b/>
          <w:szCs w:val="24"/>
        </w:rPr>
        <w:t>přístupem</w:t>
      </w:r>
      <w:r w:rsidRPr="0076774A">
        <w:rPr>
          <w:szCs w:val="24"/>
        </w:rPr>
        <w:t>.</w:t>
      </w:r>
    </w:p>
    <w:p w14:paraId="460326DB" w14:textId="3D5E04E7" w:rsidR="0076774A" w:rsidRPr="0076774A" w:rsidRDefault="0076774A" w:rsidP="00690B81">
      <w:pPr>
        <w:tabs>
          <w:tab w:val="left" w:pos="426"/>
          <w:tab w:val="left" w:pos="868"/>
        </w:tabs>
        <w:spacing w:before="120" w:after="120"/>
        <w:rPr>
          <w:szCs w:val="24"/>
        </w:rPr>
      </w:pPr>
      <w:r w:rsidRPr="0076774A">
        <w:rPr>
          <w:szCs w:val="24"/>
        </w:rPr>
        <w:t xml:space="preserve">(3) Základní ceny podle odstavců 1 a 2 a jejich úpravu vyjadřující zejména zdravotní stav porostů, stupeň poškození, jejich ekonomickou životnost a ceny zařízení vinic a chmelnic stanoví </w:t>
      </w:r>
      <w:r w:rsidRPr="0076774A">
        <w:rPr>
          <w:strike/>
          <w:szCs w:val="24"/>
        </w:rPr>
        <w:t>vyhláška</w:t>
      </w:r>
      <w:r w:rsidR="00E45434" w:rsidRPr="00E45434">
        <w:rPr>
          <w:szCs w:val="24"/>
        </w:rPr>
        <w:t xml:space="preserve"> </w:t>
      </w:r>
      <w:r w:rsidRPr="0076774A">
        <w:rPr>
          <w:b/>
          <w:szCs w:val="24"/>
        </w:rPr>
        <w:t>prováděcí právní předpis</w:t>
      </w:r>
      <w:r w:rsidRPr="0076774A">
        <w:rPr>
          <w:szCs w:val="24"/>
        </w:rPr>
        <w:t>.</w:t>
      </w:r>
    </w:p>
    <w:p w14:paraId="714B4DC0" w14:textId="77777777" w:rsidR="0076774A" w:rsidRPr="00525173" w:rsidRDefault="0076774A" w:rsidP="00525173">
      <w:pPr>
        <w:tabs>
          <w:tab w:val="left" w:pos="426"/>
          <w:tab w:val="left" w:pos="868"/>
        </w:tabs>
        <w:spacing w:after="120"/>
        <w:ind w:firstLine="0"/>
        <w:jc w:val="center"/>
        <w:rPr>
          <w:szCs w:val="24"/>
        </w:rPr>
      </w:pPr>
      <w:r w:rsidRPr="00525173">
        <w:rPr>
          <w:szCs w:val="24"/>
        </w:rPr>
        <w:t>§ 16a</w:t>
      </w:r>
    </w:p>
    <w:p w14:paraId="70F2ACE4" w14:textId="77777777" w:rsidR="0076774A" w:rsidRPr="00525173" w:rsidRDefault="0076774A" w:rsidP="00525173">
      <w:pPr>
        <w:tabs>
          <w:tab w:val="left" w:pos="426"/>
          <w:tab w:val="left" w:pos="868"/>
        </w:tabs>
        <w:spacing w:after="120"/>
        <w:ind w:firstLine="0"/>
        <w:jc w:val="center"/>
        <w:rPr>
          <w:b/>
          <w:szCs w:val="24"/>
        </w:rPr>
      </w:pPr>
      <w:r w:rsidRPr="00525173">
        <w:rPr>
          <w:b/>
          <w:szCs w:val="24"/>
        </w:rPr>
        <w:t>Oceňování práva stavby</w:t>
      </w:r>
    </w:p>
    <w:p w14:paraId="28DFA7A2" w14:textId="77777777" w:rsidR="0076774A" w:rsidRPr="0076774A" w:rsidRDefault="0076774A" w:rsidP="00690B81">
      <w:pPr>
        <w:tabs>
          <w:tab w:val="left" w:pos="426"/>
          <w:tab w:val="left" w:pos="868"/>
        </w:tabs>
        <w:spacing w:before="120" w:after="120"/>
        <w:rPr>
          <w:szCs w:val="24"/>
        </w:rPr>
      </w:pPr>
      <w:r w:rsidRPr="0076774A">
        <w:rPr>
          <w:szCs w:val="24"/>
        </w:rPr>
        <w:t xml:space="preserve">(1) Právo stavby se oceňuje výnosovým </w:t>
      </w:r>
      <w:r w:rsidRPr="0076774A">
        <w:rPr>
          <w:strike/>
          <w:szCs w:val="24"/>
        </w:rPr>
        <w:t>způsobem</w:t>
      </w:r>
      <w:r w:rsidRPr="0076774A">
        <w:rPr>
          <w:szCs w:val="24"/>
        </w:rPr>
        <w:t xml:space="preserve"> </w:t>
      </w:r>
      <w:r w:rsidRPr="0076774A">
        <w:rPr>
          <w:b/>
          <w:szCs w:val="24"/>
        </w:rPr>
        <w:t>přístupem</w:t>
      </w:r>
      <w:r w:rsidRPr="0076774A">
        <w:rPr>
          <w:szCs w:val="24"/>
        </w:rPr>
        <w:t xml:space="preserve"> na základě ročního užitku při zohlednění doby dalšího užívání práva, která uplyne v období od roku ocenění do roku zániku práva.</w:t>
      </w:r>
    </w:p>
    <w:p w14:paraId="272EAE9F" w14:textId="29EC57B0" w:rsidR="0076774A" w:rsidRPr="0076774A" w:rsidRDefault="0076774A" w:rsidP="00690B81">
      <w:pPr>
        <w:tabs>
          <w:tab w:val="left" w:pos="426"/>
          <w:tab w:val="left" w:pos="868"/>
        </w:tabs>
        <w:spacing w:before="120" w:after="120"/>
        <w:rPr>
          <w:szCs w:val="24"/>
        </w:rPr>
      </w:pPr>
      <w:r w:rsidRPr="0076774A">
        <w:rPr>
          <w:szCs w:val="24"/>
        </w:rPr>
        <w:t xml:space="preserve">(2) Pro ocenění práva stavby s nezřízenou stavbou, která právu stavby vyhovuje, se </w:t>
      </w:r>
      <w:proofErr w:type="gramStart"/>
      <w:r w:rsidRPr="0076774A">
        <w:rPr>
          <w:strike/>
          <w:szCs w:val="24"/>
        </w:rPr>
        <w:t>zjistí</w:t>
      </w:r>
      <w:r w:rsidR="0064594D" w:rsidRPr="0064594D">
        <w:rPr>
          <w:szCs w:val="24"/>
        </w:rPr>
        <w:t xml:space="preserve"> </w:t>
      </w:r>
      <w:r w:rsidRPr="0076774A">
        <w:rPr>
          <w:b/>
          <w:szCs w:val="24"/>
        </w:rPr>
        <w:t>určí</w:t>
      </w:r>
      <w:proofErr w:type="gramEnd"/>
      <w:r w:rsidRPr="0076774A">
        <w:rPr>
          <w:szCs w:val="24"/>
        </w:rPr>
        <w:t xml:space="preserve"> roční užitek z pozemku zatíženého tímto právem.</w:t>
      </w:r>
    </w:p>
    <w:p w14:paraId="1741CF48" w14:textId="77777777" w:rsidR="0064594D" w:rsidRDefault="0076774A" w:rsidP="00690B81">
      <w:pPr>
        <w:tabs>
          <w:tab w:val="left" w:pos="426"/>
          <w:tab w:val="left" w:pos="868"/>
        </w:tabs>
        <w:spacing w:before="120" w:after="120"/>
        <w:rPr>
          <w:szCs w:val="24"/>
        </w:rPr>
      </w:pPr>
      <w:r w:rsidRPr="0064594D">
        <w:rPr>
          <w:strike/>
          <w:szCs w:val="24"/>
        </w:rPr>
        <w:t>(3)</w:t>
      </w:r>
      <w:r w:rsidRPr="0076774A">
        <w:rPr>
          <w:szCs w:val="24"/>
        </w:rPr>
        <w:t xml:space="preserve"> </w:t>
      </w:r>
      <w:r w:rsidRPr="0076774A">
        <w:rPr>
          <w:strike/>
          <w:szCs w:val="24"/>
        </w:rPr>
        <w:t>Pro ocenění práva stavby se zřízenou stavbou, která právu stavby vyhovuje, se roční užitek určí ze zjištěné ceny zatíženého pozemku a zjištěné ceny stavby, která právu stavby vyhovuje, a z náhrady při zániku práva stavby.</w:t>
      </w:r>
      <w:r w:rsidRPr="0076774A">
        <w:rPr>
          <w:szCs w:val="24"/>
        </w:rPr>
        <w:t xml:space="preserve"> </w:t>
      </w:r>
    </w:p>
    <w:p w14:paraId="44EDC927" w14:textId="7A4A4214" w:rsidR="0076774A" w:rsidRPr="0076774A" w:rsidRDefault="0064594D" w:rsidP="00690B81">
      <w:pPr>
        <w:tabs>
          <w:tab w:val="left" w:pos="426"/>
          <w:tab w:val="left" w:pos="868"/>
        </w:tabs>
        <w:spacing w:before="120" w:after="120"/>
        <w:rPr>
          <w:b/>
          <w:szCs w:val="24"/>
        </w:rPr>
      </w:pPr>
      <w:r w:rsidRPr="0064594D">
        <w:rPr>
          <w:b/>
          <w:szCs w:val="24"/>
        </w:rPr>
        <w:t xml:space="preserve">(3) </w:t>
      </w:r>
      <w:r w:rsidR="0076774A" w:rsidRPr="0076774A">
        <w:rPr>
          <w:b/>
          <w:szCs w:val="24"/>
        </w:rPr>
        <w:t>Pro ocenění práva stavby se zřízenou stavbou, která právu stavby vyhovuje, se roční užitek určí z hodnoty zatíženého pozemku určené dle § 10 a hodnoty stavby dle § 4, která právu stavby vyhovuje, a z náhrady při zániku práva stavby.</w:t>
      </w:r>
    </w:p>
    <w:p w14:paraId="714AAA44" w14:textId="65B637FE" w:rsidR="0076774A" w:rsidRPr="0076774A" w:rsidRDefault="0076774A" w:rsidP="00690B81">
      <w:pPr>
        <w:tabs>
          <w:tab w:val="left" w:pos="426"/>
          <w:tab w:val="left" w:pos="868"/>
        </w:tabs>
        <w:spacing w:before="120" w:after="120"/>
        <w:rPr>
          <w:szCs w:val="24"/>
        </w:rPr>
      </w:pPr>
      <w:r w:rsidRPr="0076774A">
        <w:rPr>
          <w:szCs w:val="24"/>
        </w:rPr>
        <w:t xml:space="preserve">(4) Způsob výpočtu </w:t>
      </w:r>
      <w:r w:rsidRPr="0064594D">
        <w:rPr>
          <w:strike/>
          <w:szCs w:val="24"/>
        </w:rPr>
        <w:t>ceny</w:t>
      </w:r>
      <w:r w:rsidR="0064594D">
        <w:rPr>
          <w:szCs w:val="24"/>
        </w:rPr>
        <w:t xml:space="preserve"> </w:t>
      </w:r>
      <w:r w:rsidRPr="0064594D">
        <w:rPr>
          <w:b/>
          <w:szCs w:val="24"/>
        </w:rPr>
        <w:t>hodnoty</w:t>
      </w:r>
      <w:r w:rsidRPr="0076774A">
        <w:rPr>
          <w:szCs w:val="24"/>
        </w:rPr>
        <w:t xml:space="preserve"> práva stavby při zohlednění počtu let dalšího trvání práva stavby, určení ročního užitku a výše náhrady při zániku práva stavby stanoví </w:t>
      </w:r>
      <w:r w:rsidRPr="0064594D">
        <w:rPr>
          <w:strike/>
          <w:szCs w:val="24"/>
        </w:rPr>
        <w:t>vyhláška</w:t>
      </w:r>
      <w:r w:rsidR="0064594D">
        <w:rPr>
          <w:szCs w:val="24"/>
        </w:rPr>
        <w:t xml:space="preserve"> </w:t>
      </w:r>
      <w:r w:rsidRPr="0064594D">
        <w:rPr>
          <w:b/>
          <w:szCs w:val="24"/>
        </w:rPr>
        <w:t>prováděcí</w:t>
      </w:r>
      <w:r w:rsidRPr="0076774A">
        <w:rPr>
          <w:b/>
          <w:szCs w:val="24"/>
        </w:rPr>
        <w:t xml:space="preserve"> právní předpis</w:t>
      </w:r>
      <w:r w:rsidRPr="0076774A">
        <w:rPr>
          <w:szCs w:val="24"/>
        </w:rPr>
        <w:t>.</w:t>
      </w:r>
    </w:p>
    <w:p w14:paraId="5872EF62" w14:textId="77777777" w:rsidR="0076774A" w:rsidRPr="0076774A" w:rsidRDefault="0076774A" w:rsidP="00690B81">
      <w:pPr>
        <w:tabs>
          <w:tab w:val="left" w:pos="426"/>
          <w:tab w:val="left" w:pos="868"/>
        </w:tabs>
        <w:spacing w:before="120" w:after="120"/>
        <w:rPr>
          <w:b/>
          <w:szCs w:val="24"/>
        </w:rPr>
      </w:pPr>
      <w:r w:rsidRPr="0076774A">
        <w:rPr>
          <w:szCs w:val="24"/>
        </w:rPr>
        <w:t xml:space="preserve">(5) </w:t>
      </w:r>
      <w:r w:rsidRPr="0076774A">
        <w:rPr>
          <w:strike/>
          <w:szCs w:val="24"/>
        </w:rPr>
        <w:t xml:space="preserve">Ocenění podle odstavců 2 a 3 se nepoužije, lze-li cenu práva stavby zjistit z rozhodnutí příslušného orgánu. </w:t>
      </w:r>
      <w:r w:rsidRPr="0076774A">
        <w:rPr>
          <w:b/>
          <w:szCs w:val="24"/>
        </w:rPr>
        <w:t>Ocenění podle odstavců 2 a 3 se neprovede, je-li cena práva stavby určena rozhodnutím příslušného orgánu.</w:t>
      </w:r>
    </w:p>
    <w:p w14:paraId="4C566608" w14:textId="77777777" w:rsidR="0076774A" w:rsidRPr="0076774A" w:rsidRDefault="0076774A" w:rsidP="00690B81">
      <w:pPr>
        <w:keepNext/>
        <w:keepLines/>
        <w:tabs>
          <w:tab w:val="left" w:pos="426"/>
          <w:tab w:val="left" w:pos="868"/>
        </w:tabs>
        <w:spacing w:after="120"/>
        <w:ind w:firstLine="0"/>
        <w:jc w:val="center"/>
        <w:rPr>
          <w:szCs w:val="24"/>
        </w:rPr>
      </w:pPr>
      <w:r w:rsidRPr="0076774A">
        <w:rPr>
          <w:szCs w:val="24"/>
        </w:rPr>
        <w:lastRenderedPageBreak/>
        <w:t>§ 16b</w:t>
      </w:r>
    </w:p>
    <w:p w14:paraId="29951C2C" w14:textId="77777777" w:rsidR="0076774A" w:rsidRPr="0014215F" w:rsidRDefault="0076774A" w:rsidP="00690B81">
      <w:pPr>
        <w:keepNext/>
        <w:keepLines/>
        <w:tabs>
          <w:tab w:val="left" w:pos="426"/>
          <w:tab w:val="left" w:pos="868"/>
        </w:tabs>
        <w:spacing w:after="120"/>
        <w:ind w:firstLine="0"/>
        <w:jc w:val="center"/>
        <w:rPr>
          <w:b/>
          <w:szCs w:val="24"/>
        </w:rPr>
      </w:pPr>
      <w:r w:rsidRPr="0014215F">
        <w:rPr>
          <w:b/>
          <w:szCs w:val="24"/>
        </w:rPr>
        <w:t>Oceňování věcných břemen</w:t>
      </w:r>
    </w:p>
    <w:p w14:paraId="5866809A" w14:textId="77777777" w:rsidR="0076774A" w:rsidRPr="0076774A" w:rsidRDefault="0076774A" w:rsidP="00690B81">
      <w:pPr>
        <w:tabs>
          <w:tab w:val="left" w:pos="426"/>
          <w:tab w:val="left" w:pos="868"/>
        </w:tabs>
        <w:spacing w:before="120" w:after="120"/>
        <w:rPr>
          <w:szCs w:val="24"/>
        </w:rPr>
      </w:pPr>
      <w:r w:rsidRPr="0076774A">
        <w:rPr>
          <w:szCs w:val="24"/>
        </w:rPr>
        <w:t xml:space="preserve">(1) Věcné břemeno se oceňuje výnosovým </w:t>
      </w:r>
      <w:r w:rsidRPr="0076774A">
        <w:rPr>
          <w:strike/>
          <w:szCs w:val="24"/>
        </w:rPr>
        <w:t>způsobem</w:t>
      </w:r>
      <w:r w:rsidRPr="0076774A">
        <w:rPr>
          <w:szCs w:val="24"/>
        </w:rPr>
        <w:t xml:space="preserve"> </w:t>
      </w:r>
      <w:r w:rsidRPr="0076774A">
        <w:rPr>
          <w:b/>
          <w:szCs w:val="24"/>
        </w:rPr>
        <w:t>přístupem</w:t>
      </w:r>
      <w:r w:rsidRPr="0076774A">
        <w:rPr>
          <w:szCs w:val="24"/>
        </w:rPr>
        <w:t xml:space="preserve"> na základě ročního užitku při zohlednění doby jeho trvání nebo pevnou částkou, nelze-li určit roční užitek z věcného břemene.</w:t>
      </w:r>
    </w:p>
    <w:p w14:paraId="6F606BC2" w14:textId="77777777" w:rsidR="0076774A" w:rsidRPr="0076774A" w:rsidRDefault="0076774A" w:rsidP="00690B81">
      <w:pPr>
        <w:tabs>
          <w:tab w:val="left" w:pos="426"/>
          <w:tab w:val="left" w:pos="868"/>
        </w:tabs>
        <w:spacing w:before="120" w:after="120"/>
        <w:rPr>
          <w:szCs w:val="24"/>
        </w:rPr>
      </w:pPr>
      <w:r w:rsidRPr="0076774A">
        <w:rPr>
          <w:szCs w:val="24"/>
        </w:rPr>
        <w:t>(2) U služebnosti se v ročním užitku zohledňuje míra omezení užívání nemovité věci.</w:t>
      </w:r>
    </w:p>
    <w:p w14:paraId="6112ED2E" w14:textId="77777777" w:rsidR="0076774A" w:rsidRPr="0076774A" w:rsidRDefault="0076774A" w:rsidP="00690B81">
      <w:pPr>
        <w:tabs>
          <w:tab w:val="left" w:pos="426"/>
          <w:tab w:val="left" w:pos="868"/>
        </w:tabs>
        <w:spacing w:before="120" w:after="120"/>
        <w:rPr>
          <w:szCs w:val="24"/>
        </w:rPr>
      </w:pPr>
      <w:r w:rsidRPr="0076774A">
        <w:rPr>
          <w:szCs w:val="24"/>
        </w:rPr>
        <w:t>(3) U reálného břemene zohledňuje roční užitek prospěch oprávněného.</w:t>
      </w:r>
    </w:p>
    <w:p w14:paraId="2E21F9B8" w14:textId="77777777" w:rsidR="0076774A" w:rsidRPr="0076774A" w:rsidRDefault="0076774A" w:rsidP="00690B81">
      <w:pPr>
        <w:tabs>
          <w:tab w:val="left" w:pos="426"/>
          <w:tab w:val="left" w:pos="868"/>
        </w:tabs>
        <w:spacing w:before="120" w:after="120"/>
        <w:rPr>
          <w:szCs w:val="24"/>
        </w:rPr>
      </w:pPr>
      <w:r w:rsidRPr="0076774A">
        <w:rPr>
          <w:szCs w:val="24"/>
        </w:rPr>
        <w:t>(4) Časově neomezené reálné břemeno nebo právo z vykupitelné služebnosti se ocení ve výši náhrady uvedené ve smlouvě. Jsou-li ve smlouvě uvedené pouze podmínky výkupu reálného břemena nebo zrušení služebnosti za přiměřenou náhradu, vypočte se náhrada podle uvedených podmínek k datu ocenění.</w:t>
      </w:r>
    </w:p>
    <w:p w14:paraId="6875D2EB" w14:textId="483791BC" w:rsidR="0076774A" w:rsidRPr="0076774A" w:rsidRDefault="0076774A" w:rsidP="00690B81">
      <w:pPr>
        <w:tabs>
          <w:tab w:val="left" w:pos="426"/>
          <w:tab w:val="left" w:pos="868"/>
        </w:tabs>
        <w:spacing w:before="120" w:after="120"/>
        <w:rPr>
          <w:szCs w:val="24"/>
        </w:rPr>
      </w:pPr>
      <w:r w:rsidRPr="0076774A">
        <w:rPr>
          <w:szCs w:val="24"/>
        </w:rPr>
        <w:t xml:space="preserve">(5) Způsob členění věcných břemen podle výpočtu jejich ocenění, postup výpočtu </w:t>
      </w:r>
      <w:r w:rsidRPr="0076774A">
        <w:rPr>
          <w:strike/>
          <w:szCs w:val="24"/>
        </w:rPr>
        <w:t>ceny</w:t>
      </w:r>
      <w:r w:rsidR="001B498A" w:rsidRPr="001B498A">
        <w:rPr>
          <w:szCs w:val="24"/>
        </w:rPr>
        <w:t xml:space="preserve"> </w:t>
      </w:r>
      <w:r w:rsidRPr="0076774A">
        <w:rPr>
          <w:b/>
          <w:szCs w:val="24"/>
        </w:rPr>
        <w:t>hodnoty</w:t>
      </w:r>
      <w:r w:rsidRPr="0076774A">
        <w:rPr>
          <w:szCs w:val="24"/>
        </w:rPr>
        <w:t xml:space="preserve"> věcného břemene, způsob určení ročního užitku a míry kapitalizace podle druhu věcného břemene a zatížené nemovité věci a výši pevné částky stanoví </w:t>
      </w:r>
      <w:r w:rsidRPr="0076774A">
        <w:rPr>
          <w:strike/>
          <w:szCs w:val="24"/>
        </w:rPr>
        <w:t>vyhláška</w:t>
      </w:r>
      <w:r w:rsidR="001B498A" w:rsidRPr="001B498A">
        <w:rPr>
          <w:szCs w:val="24"/>
        </w:rPr>
        <w:t xml:space="preserve"> </w:t>
      </w:r>
      <w:r w:rsidRPr="0076774A">
        <w:rPr>
          <w:b/>
          <w:szCs w:val="24"/>
        </w:rPr>
        <w:t>prováděcí právní předpis</w:t>
      </w:r>
      <w:r w:rsidRPr="0076774A">
        <w:rPr>
          <w:szCs w:val="24"/>
        </w:rPr>
        <w:t>.</w:t>
      </w:r>
    </w:p>
    <w:p w14:paraId="76187F0A" w14:textId="77777777" w:rsidR="001B498A" w:rsidRDefault="0076774A" w:rsidP="00690B81">
      <w:pPr>
        <w:tabs>
          <w:tab w:val="left" w:pos="426"/>
          <w:tab w:val="left" w:pos="868"/>
        </w:tabs>
        <w:spacing w:before="120" w:after="120"/>
        <w:rPr>
          <w:szCs w:val="24"/>
        </w:rPr>
      </w:pPr>
      <w:r w:rsidRPr="001B498A">
        <w:rPr>
          <w:strike/>
          <w:szCs w:val="24"/>
        </w:rPr>
        <w:t>(6)</w:t>
      </w:r>
      <w:r w:rsidRPr="0076774A">
        <w:rPr>
          <w:szCs w:val="24"/>
        </w:rPr>
        <w:t xml:space="preserve"> </w:t>
      </w:r>
      <w:r w:rsidRPr="0076774A">
        <w:rPr>
          <w:strike/>
          <w:szCs w:val="24"/>
        </w:rPr>
        <w:t>Ocenění podle odstavců 2 až 4 se nepoužije, lze-li cenu věcného břemene zjistit z rozhodnutí příslušného orgánu.</w:t>
      </w:r>
      <w:r w:rsidRPr="0076774A">
        <w:rPr>
          <w:szCs w:val="24"/>
        </w:rPr>
        <w:t xml:space="preserve"> </w:t>
      </w:r>
    </w:p>
    <w:p w14:paraId="0B2981BA" w14:textId="08EB3E43" w:rsidR="0076774A" w:rsidRPr="0076774A" w:rsidRDefault="001B498A" w:rsidP="00690B81">
      <w:pPr>
        <w:tabs>
          <w:tab w:val="left" w:pos="426"/>
          <w:tab w:val="left" w:pos="868"/>
        </w:tabs>
        <w:spacing w:before="120" w:after="120"/>
        <w:rPr>
          <w:b/>
          <w:szCs w:val="24"/>
        </w:rPr>
      </w:pPr>
      <w:r w:rsidRPr="001B498A">
        <w:rPr>
          <w:b/>
          <w:szCs w:val="24"/>
        </w:rPr>
        <w:t xml:space="preserve">(6) </w:t>
      </w:r>
      <w:r w:rsidR="0076774A" w:rsidRPr="0076774A">
        <w:rPr>
          <w:b/>
          <w:szCs w:val="24"/>
        </w:rPr>
        <w:t>Ocenění podle odstavců 2 až 4 se neprovede, je-li cena věcného břemene určena rozhodnutím příslušného orgánu.</w:t>
      </w:r>
    </w:p>
    <w:p w14:paraId="526275D1" w14:textId="77777777" w:rsidR="0076774A" w:rsidRPr="0076774A" w:rsidRDefault="0076774A" w:rsidP="001B498A">
      <w:pPr>
        <w:tabs>
          <w:tab w:val="left" w:pos="426"/>
          <w:tab w:val="left" w:pos="868"/>
        </w:tabs>
        <w:spacing w:after="120"/>
        <w:ind w:firstLine="0"/>
        <w:jc w:val="center"/>
        <w:rPr>
          <w:szCs w:val="24"/>
        </w:rPr>
      </w:pPr>
      <w:r w:rsidRPr="0076774A">
        <w:rPr>
          <w:szCs w:val="24"/>
        </w:rPr>
        <w:t>§ 16c</w:t>
      </w:r>
    </w:p>
    <w:p w14:paraId="264EA413" w14:textId="2A4AAC68" w:rsidR="0076774A" w:rsidRPr="00690B81" w:rsidRDefault="0076774A" w:rsidP="001B498A">
      <w:pPr>
        <w:tabs>
          <w:tab w:val="left" w:pos="426"/>
          <w:tab w:val="left" w:pos="868"/>
        </w:tabs>
        <w:spacing w:after="120"/>
        <w:ind w:firstLine="0"/>
        <w:jc w:val="center"/>
        <w:rPr>
          <w:b/>
          <w:szCs w:val="24"/>
        </w:rPr>
      </w:pPr>
      <w:r w:rsidRPr="00690B81">
        <w:rPr>
          <w:b/>
          <w:strike/>
          <w:szCs w:val="24"/>
        </w:rPr>
        <w:t>Ocenění</w:t>
      </w:r>
      <w:r w:rsidR="001B498A" w:rsidRPr="00690B81">
        <w:rPr>
          <w:b/>
          <w:szCs w:val="24"/>
        </w:rPr>
        <w:t xml:space="preserve"> </w:t>
      </w:r>
      <w:r w:rsidRPr="00690B81">
        <w:rPr>
          <w:b/>
          <w:szCs w:val="24"/>
        </w:rPr>
        <w:t>Oceňování závady na nemovité věci</w:t>
      </w:r>
    </w:p>
    <w:p w14:paraId="31F93BE1" w14:textId="3AAF058C" w:rsidR="0076774A" w:rsidRPr="0076774A" w:rsidRDefault="0076774A" w:rsidP="00690B81">
      <w:pPr>
        <w:keepNext/>
        <w:keepLines/>
        <w:tabs>
          <w:tab w:val="left" w:pos="426"/>
          <w:tab w:val="left" w:pos="868"/>
        </w:tabs>
        <w:spacing w:before="120" w:after="120"/>
        <w:rPr>
          <w:szCs w:val="24"/>
        </w:rPr>
      </w:pPr>
      <w:r w:rsidRPr="0076774A">
        <w:rPr>
          <w:szCs w:val="24"/>
        </w:rPr>
        <w:t xml:space="preserve">(1) Zatěžuje-li nemovitou věc věcné břemeno nebo právo zřízené jinak než jako právo odpovídající věcnému břemenu (dále jen "závada"), snižuje </w:t>
      </w:r>
      <w:r w:rsidRPr="0076774A">
        <w:rPr>
          <w:strike/>
          <w:szCs w:val="24"/>
        </w:rPr>
        <w:t>cena této závady v případě určování ceny nemovité věci její hodnotu</w:t>
      </w:r>
      <w:r w:rsidRPr="0076774A">
        <w:rPr>
          <w:szCs w:val="24"/>
        </w:rPr>
        <w:t xml:space="preserve"> </w:t>
      </w:r>
      <w:r w:rsidRPr="0076774A">
        <w:rPr>
          <w:b/>
          <w:szCs w:val="24"/>
        </w:rPr>
        <w:t>hodnota této závady hodnotu nemovité věci</w:t>
      </w:r>
      <w:r w:rsidRPr="0076774A">
        <w:rPr>
          <w:szCs w:val="24"/>
        </w:rPr>
        <w:t xml:space="preserve">. Závada se oceňuje v závislosti na výši </w:t>
      </w:r>
      <w:r w:rsidRPr="0076774A">
        <w:rPr>
          <w:strike/>
          <w:szCs w:val="24"/>
        </w:rPr>
        <w:t>ceny</w:t>
      </w:r>
      <w:r w:rsidR="00600FB1" w:rsidRPr="00600FB1">
        <w:rPr>
          <w:szCs w:val="24"/>
        </w:rPr>
        <w:t xml:space="preserve"> </w:t>
      </w:r>
      <w:r w:rsidRPr="0076774A">
        <w:rPr>
          <w:b/>
          <w:szCs w:val="24"/>
        </w:rPr>
        <w:t>hodnoty</w:t>
      </w:r>
      <w:r w:rsidRPr="0076774A">
        <w:rPr>
          <w:szCs w:val="24"/>
        </w:rPr>
        <w:t xml:space="preserve"> roční újmy vlastníka nemovité věci související s tímto zatížením při zohlednění doby jejího trvání.</w:t>
      </w:r>
    </w:p>
    <w:p w14:paraId="417AEB73" w14:textId="77777777" w:rsidR="0076774A" w:rsidRPr="0076774A" w:rsidRDefault="0076774A" w:rsidP="00690B81">
      <w:pPr>
        <w:keepNext/>
        <w:keepLines/>
        <w:tabs>
          <w:tab w:val="left" w:pos="426"/>
          <w:tab w:val="left" w:pos="868"/>
        </w:tabs>
        <w:spacing w:before="120" w:after="120"/>
        <w:rPr>
          <w:szCs w:val="24"/>
        </w:rPr>
      </w:pPr>
      <w:r w:rsidRPr="0076774A">
        <w:rPr>
          <w:szCs w:val="24"/>
        </w:rPr>
        <w:t>(2) Pro účely tohoto zákona se za závadu nepovažuje</w:t>
      </w:r>
    </w:p>
    <w:p w14:paraId="23A763E9" w14:textId="722C0076" w:rsidR="0076774A" w:rsidRPr="0076774A" w:rsidRDefault="00600FB1" w:rsidP="005A7455">
      <w:pPr>
        <w:tabs>
          <w:tab w:val="left" w:pos="426"/>
          <w:tab w:val="left" w:pos="868"/>
        </w:tabs>
        <w:spacing w:before="0"/>
        <w:ind w:left="426" w:hanging="426"/>
        <w:rPr>
          <w:szCs w:val="24"/>
        </w:rPr>
      </w:pPr>
      <w:r>
        <w:rPr>
          <w:szCs w:val="24"/>
        </w:rPr>
        <w:t>a)</w:t>
      </w:r>
      <w:r>
        <w:rPr>
          <w:szCs w:val="24"/>
        </w:rPr>
        <w:tab/>
      </w:r>
      <w:r w:rsidR="0076774A" w:rsidRPr="0076774A">
        <w:rPr>
          <w:szCs w:val="24"/>
        </w:rPr>
        <w:t xml:space="preserve">právo, které podstatně neomezuje vlastnické, užívací nebo požívací právo k nemovité věci a nemá tak významný vliv na výši její </w:t>
      </w:r>
      <w:r w:rsidR="0076774A" w:rsidRPr="0076774A">
        <w:rPr>
          <w:strike/>
          <w:szCs w:val="24"/>
        </w:rPr>
        <w:t>ceny</w:t>
      </w:r>
      <w:r w:rsidRPr="00600FB1">
        <w:rPr>
          <w:szCs w:val="24"/>
        </w:rPr>
        <w:t xml:space="preserve"> </w:t>
      </w:r>
      <w:r w:rsidR="0076774A" w:rsidRPr="0076774A">
        <w:rPr>
          <w:b/>
          <w:szCs w:val="24"/>
        </w:rPr>
        <w:t>hodnoty</w:t>
      </w:r>
      <w:r w:rsidR="0076774A" w:rsidRPr="0076774A">
        <w:rPr>
          <w:szCs w:val="24"/>
        </w:rPr>
        <w:t>,</w:t>
      </w:r>
    </w:p>
    <w:p w14:paraId="67B09FE8" w14:textId="35E0E162" w:rsidR="0076774A" w:rsidRPr="0076774A" w:rsidRDefault="00600FB1" w:rsidP="005A7455">
      <w:pPr>
        <w:tabs>
          <w:tab w:val="left" w:pos="426"/>
          <w:tab w:val="left" w:pos="868"/>
        </w:tabs>
        <w:spacing w:before="0"/>
        <w:ind w:left="426" w:hanging="426"/>
        <w:rPr>
          <w:szCs w:val="24"/>
        </w:rPr>
      </w:pPr>
      <w:r>
        <w:rPr>
          <w:szCs w:val="24"/>
        </w:rPr>
        <w:t>b)</w:t>
      </w:r>
      <w:r>
        <w:rPr>
          <w:szCs w:val="24"/>
        </w:rPr>
        <w:tab/>
      </w:r>
      <w:r w:rsidR="0076774A" w:rsidRPr="0076774A">
        <w:rPr>
          <w:szCs w:val="24"/>
        </w:rPr>
        <w:t>zástavní právo,</w:t>
      </w:r>
    </w:p>
    <w:p w14:paraId="7DF3854F" w14:textId="24D72F0F" w:rsidR="0076774A" w:rsidRPr="0076774A" w:rsidRDefault="00600FB1" w:rsidP="005A7455">
      <w:pPr>
        <w:tabs>
          <w:tab w:val="left" w:pos="426"/>
          <w:tab w:val="left" w:pos="868"/>
        </w:tabs>
        <w:spacing w:before="0"/>
        <w:ind w:left="426" w:hanging="426"/>
        <w:rPr>
          <w:szCs w:val="24"/>
        </w:rPr>
      </w:pPr>
      <w:r>
        <w:rPr>
          <w:szCs w:val="24"/>
        </w:rPr>
        <w:t>c)</w:t>
      </w:r>
      <w:r>
        <w:rPr>
          <w:szCs w:val="24"/>
        </w:rPr>
        <w:tab/>
      </w:r>
      <w:r w:rsidR="0076774A" w:rsidRPr="0076774A">
        <w:rPr>
          <w:szCs w:val="24"/>
        </w:rPr>
        <w:t>zadržovací právo,</w:t>
      </w:r>
    </w:p>
    <w:p w14:paraId="024E1579" w14:textId="38B1E856" w:rsidR="0076774A" w:rsidRPr="0076774A" w:rsidRDefault="00600FB1" w:rsidP="005A7455">
      <w:pPr>
        <w:tabs>
          <w:tab w:val="left" w:pos="426"/>
          <w:tab w:val="left" w:pos="868"/>
        </w:tabs>
        <w:spacing w:before="0"/>
        <w:ind w:left="426" w:hanging="426"/>
        <w:rPr>
          <w:szCs w:val="24"/>
        </w:rPr>
      </w:pPr>
      <w:r>
        <w:rPr>
          <w:szCs w:val="24"/>
        </w:rPr>
        <w:t>d)</w:t>
      </w:r>
      <w:r>
        <w:rPr>
          <w:szCs w:val="24"/>
        </w:rPr>
        <w:tab/>
      </w:r>
      <w:r w:rsidR="0076774A" w:rsidRPr="0076774A">
        <w:rPr>
          <w:szCs w:val="24"/>
        </w:rPr>
        <w:t>nájem,</w:t>
      </w:r>
    </w:p>
    <w:p w14:paraId="089A7A7C" w14:textId="687D7E9E" w:rsidR="0076774A" w:rsidRPr="0076774A" w:rsidRDefault="00600FB1" w:rsidP="005A7455">
      <w:pPr>
        <w:tabs>
          <w:tab w:val="left" w:pos="426"/>
          <w:tab w:val="left" w:pos="868"/>
        </w:tabs>
        <w:spacing w:before="0"/>
        <w:ind w:left="426" w:hanging="426"/>
        <w:rPr>
          <w:szCs w:val="24"/>
        </w:rPr>
      </w:pPr>
      <w:r>
        <w:rPr>
          <w:szCs w:val="24"/>
        </w:rPr>
        <w:t>e)</w:t>
      </w:r>
      <w:r>
        <w:rPr>
          <w:szCs w:val="24"/>
        </w:rPr>
        <w:tab/>
      </w:r>
      <w:r w:rsidR="0076774A" w:rsidRPr="0076774A">
        <w:rPr>
          <w:szCs w:val="24"/>
        </w:rPr>
        <w:t>pacht,</w:t>
      </w:r>
    </w:p>
    <w:p w14:paraId="29598B04" w14:textId="7DEAB60E" w:rsidR="0076774A" w:rsidRPr="0076774A" w:rsidRDefault="00600FB1" w:rsidP="005A7455">
      <w:pPr>
        <w:tabs>
          <w:tab w:val="left" w:pos="426"/>
          <w:tab w:val="left" w:pos="868"/>
        </w:tabs>
        <w:spacing w:before="0"/>
        <w:ind w:left="426" w:hanging="426"/>
        <w:rPr>
          <w:szCs w:val="24"/>
        </w:rPr>
      </w:pPr>
      <w:r>
        <w:rPr>
          <w:szCs w:val="24"/>
        </w:rPr>
        <w:t>f)</w:t>
      </w:r>
      <w:r>
        <w:rPr>
          <w:szCs w:val="24"/>
        </w:rPr>
        <w:tab/>
      </w:r>
      <w:r w:rsidR="0076774A" w:rsidRPr="0076774A">
        <w:rPr>
          <w:szCs w:val="24"/>
        </w:rPr>
        <w:t>právo stavby.</w:t>
      </w:r>
    </w:p>
    <w:p w14:paraId="6B36EA1D" w14:textId="77777777" w:rsidR="0076774A" w:rsidRPr="0076774A" w:rsidRDefault="0076774A" w:rsidP="00690B81">
      <w:pPr>
        <w:tabs>
          <w:tab w:val="left" w:pos="426"/>
          <w:tab w:val="left" w:pos="868"/>
        </w:tabs>
        <w:spacing w:before="120" w:after="120"/>
        <w:rPr>
          <w:szCs w:val="24"/>
        </w:rPr>
      </w:pPr>
      <w:r w:rsidRPr="0076774A">
        <w:rPr>
          <w:szCs w:val="24"/>
        </w:rPr>
        <w:t>(3) Výše roční újmy se určí jako rozdíl mezi výší ročního užitku plynoucího z nemovité věci bez zatížení závadou a výší ročního užitku z nemovité věci se zatížením závadou.</w:t>
      </w:r>
    </w:p>
    <w:p w14:paraId="34C04B0A" w14:textId="3057339E" w:rsidR="0076774A" w:rsidRPr="0076774A" w:rsidRDefault="0076774A" w:rsidP="00690B81">
      <w:pPr>
        <w:tabs>
          <w:tab w:val="left" w:pos="426"/>
          <w:tab w:val="left" w:pos="868"/>
        </w:tabs>
        <w:spacing w:before="120" w:after="120"/>
        <w:rPr>
          <w:szCs w:val="24"/>
        </w:rPr>
      </w:pPr>
      <w:r w:rsidRPr="0076774A">
        <w:rPr>
          <w:szCs w:val="24"/>
        </w:rPr>
        <w:t xml:space="preserve">(4) Pro určení ročního užitku vlastníka nemovité věci a způsobu jeho výpočtu se použije postup podle § 16b obdobně. Postup ocenění závady, stanovení míry kapitalizace podle druhu závady a zatížené nemovité věci stanoví </w:t>
      </w:r>
      <w:r w:rsidRPr="0076774A">
        <w:rPr>
          <w:strike/>
          <w:szCs w:val="24"/>
        </w:rPr>
        <w:t>vyhláška</w:t>
      </w:r>
      <w:r w:rsidR="00600FB1" w:rsidRPr="00600FB1">
        <w:rPr>
          <w:szCs w:val="24"/>
        </w:rPr>
        <w:t xml:space="preserve"> </w:t>
      </w:r>
      <w:r w:rsidRPr="0076774A">
        <w:rPr>
          <w:b/>
          <w:szCs w:val="24"/>
        </w:rPr>
        <w:t>prováděcí právní předpis</w:t>
      </w:r>
      <w:r w:rsidRPr="0076774A">
        <w:rPr>
          <w:szCs w:val="24"/>
        </w:rPr>
        <w:t>.</w:t>
      </w:r>
    </w:p>
    <w:p w14:paraId="0EC93BC3" w14:textId="77777777" w:rsidR="0076774A" w:rsidRPr="0076774A" w:rsidRDefault="0076774A" w:rsidP="00690B81">
      <w:pPr>
        <w:keepNext/>
        <w:keepLines/>
        <w:tabs>
          <w:tab w:val="left" w:pos="426"/>
          <w:tab w:val="left" w:pos="868"/>
        </w:tabs>
        <w:spacing w:after="120"/>
        <w:ind w:firstLine="0"/>
        <w:jc w:val="center"/>
        <w:rPr>
          <w:szCs w:val="24"/>
        </w:rPr>
      </w:pPr>
      <w:r w:rsidRPr="0076774A">
        <w:rPr>
          <w:szCs w:val="24"/>
        </w:rPr>
        <w:lastRenderedPageBreak/>
        <w:t>§ 17</w:t>
      </w:r>
    </w:p>
    <w:p w14:paraId="5906564B" w14:textId="77777777" w:rsidR="0076774A" w:rsidRPr="00935829" w:rsidRDefault="0076774A" w:rsidP="00690B81">
      <w:pPr>
        <w:keepNext/>
        <w:keepLines/>
        <w:tabs>
          <w:tab w:val="left" w:pos="426"/>
          <w:tab w:val="left" w:pos="868"/>
        </w:tabs>
        <w:spacing w:after="120"/>
        <w:ind w:firstLine="0"/>
        <w:jc w:val="center"/>
        <w:rPr>
          <w:b/>
          <w:szCs w:val="24"/>
        </w:rPr>
      </w:pPr>
      <w:r w:rsidRPr="00935829">
        <w:rPr>
          <w:b/>
          <w:szCs w:val="24"/>
        </w:rPr>
        <w:t>Oceňování majetkových práv vyplývajících z průmyslových práv a práv na označení a výrobně technických poznatků, některých majetkových práv souvisejících s právem autorským a práv pořizovatele databáze</w:t>
      </w:r>
    </w:p>
    <w:p w14:paraId="63296CC3" w14:textId="431D51CA" w:rsidR="0076774A" w:rsidRPr="0076774A" w:rsidRDefault="0076774A" w:rsidP="00690B81">
      <w:pPr>
        <w:tabs>
          <w:tab w:val="left" w:pos="426"/>
          <w:tab w:val="left" w:pos="868"/>
        </w:tabs>
        <w:spacing w:before="120" w:after="120"/>
        <w:rPr>
          <w:b/>
          <w:szCs w:val="24"/>
        </w:rPr>
      </w:pPr>
      <w:r w:rsidRPr="0076774A">
        <w:rPr>
          <w:szCs w:val="24"/>
        </w:rPr>
        <w:t>(1) Majetková práva, která jsou obsahem průmyslových práv</w:t>
      </w:r>
      <w:r w:rsidR="00DB7AB5">
        <w:rPr>
          <w:rStyle w:val="Znakapoznpodarou"/>
          <w:szCs w:val="24"/>
        </w:rPr>
        <w:footnoteReference w:customMarkFollows="1" w:id="257"/>
        <w:t>16)</w:t>
      </w:r>
      <w:r w:rsidRPr="0076774A">
        <w:rPr>
          <w:szCs w:val="24"/>
        </w:rPr>
        <w:t xml:space="preserve"> a práv na označení</w:t>
      </w:r>
      <w:r w:rsidR="00DB7AB5">
        <w:rPr>
          <w:rStyle w:val="Znakapoznpodarou"/>
          <w:szCs w:val="24"/>
        </w:rPr>
        <w:footnoteReference w:customMarkFollows="1" w:id="258"/>
        <w:t>17)</w:t>
      </w:r>
      <w:r w:rsidRPr="0076774A">
        <w:rPr>
          <w:szCs w:val="24"/>
        </w:rPr>
        <w:t xml:space="preserve"> nebo vyplývající z jejich užití, a výrobně technické a obchodní poznatky (know-how), majetková práva, která jsou obsahem práv souvisejících s právem autorským, s výjimkou práv výkonných umělců, a majetková práva pořizovatele databáze,</w:t>
      </w:r>
      <w:r w:rsidR="00DB7AB5">
        <w:rPr>
          <w:rStyle w:val="Znakapoznpodarou"/>
          <w:szCs w:val="24"/>
        </w:rPr>
        <w:footnoteReference w:customMarkFollows="1" w:id="259"/>
        <w:t>17a)</w:t>
      </w:r>
      <w:r w:rsidRPr="0076774A">
        <w:rPr>
          <w:szCs w:val="24"/>
        </w:rPr>
        <w:t xml:space="preserve"> se oceňují výnosovým </w:t>
      </w:r>
      <w:r w:rsidRPr="0076774A">
        <w:rPr>
          <w:strike/>
          <w:szCs w:val="24"/>
        </w:rPr>
        <w:t>způsobem</w:t>
      </w:r>
      <w:r w:rsidR="00DB7AB5" w:rsidRPr="00DB7AB5">
        <w:rPr>
          <w:szCs w:val="24"/>
        </w:rPr>
        <w:t xml:space="preserve"> </w:t>
      </w:r>
      <w:r w:rsidRPr="0076774A">
        <w:rPr>
          <w:b/>
          <w:szCs w:val="24"/>
        </w:rPr>
        <w:t>přístupem</w:t>
      </w:r>
      <w:r w:rsidRPr="0076774A">
        <w:rPr>
          <w:szCs w:val="24"/>
        </w:rPr>
        <w:t>, a to jako součet diskontovaných budoucích ročních čistých výnosů vyplývajících z užívání těchto práv ode dne ocenění</w:t>
      </w:r>
      <w:r w:rsidRPr="0076774A">
        <w:rPr>
          <w:strike/>
          <w:szCs w:val="24"/>
        </w:rPr>
        <w:t>.</w:t>
      </w:r>
      <w:r w:rsidR="00E03C1C" w:rsidRPr="00E03C1C">
        <w:rPr>
          <w:b/>
          <w:szCs w:val="24"/>
        </w:rPr>
        <w:t>,</w:t>
      </w:r>
      <w:r w:rsidRPr="00E03C1C">
        <w:rPr>
          <w:b/>
          <w:szCs w:val="24"/>
        </w:rPr>
        <w:t xml:space="preserve"> </w:t>
      </w:r>
      <w:r w:rsidRPr="0076774A">
        <w:rPr>
          <w:strike/>
          <w:szCs w:val="24"/>
        </w:rPr>
        <w:t>Způsob diskontování stanoví vyhláška</w:t>
      </w:r>
      <w:r w:rsidRPr="0076774A">
        <w:rPr>
          <w:szCs w:val="24"/>
        </w:rPr>
        <w:t xml:space="preserve"> s možností zohlednění míry zastarání.</w:t>
      </w:r>
      <w:r w:rsidRPr="0076774A">
        <w:rPr>
          <w:b/>
          <w:szCs w:val="24"/>
        </w:rPr>
        <w:t xml:space="preserve"> Způsob diskontování stanoví prováděcí právní předpis.</w:t>
      </w:r>
    </w:p>
    <w:p w14:paraId="473E55CC" w14:textId="0F7A4EC8" w:rsidR="0076774A" w:rsidRPr="0076774A" w:rsidRDefault="0076774A" w:rsidP="00690B81">
      <w:pPr>
        <w:tabs>
          <w:tab w:val="left" w:pos="426"/>
          <w:tab w:val="left" w:pos="868"/>
        </w:tabs>
        <w:spacing w:before="120" w:after="120"/>
        <w:rPr>
          <w:b/>
          <w:szCs w:val="24"/>
        </w:rPr>
      </w:pPr>
      <w:r w:rsidRPr="0076774A">
        <w:rPr>
          <w:szCs w:val="24"/>
        </w:rPr>
        <w:t xml:space="preserve">(2) Roční čistý výnos užívání se </w:t>
      </w:r>
      <w:proofErr w:type="gramStart"/>
      <w:r w:rsidRPr="0076774A">
        <w:rPr>
          <w:strike/>
          <w:szCs w:val="24"/>
        </w:rPr>
        <w:t>zjistí</w:t>
      </w:r>
      <w:r w:rsidR="00F25B66" w:rsidRPr="00F25B66">
        <w:rPr>
          <w:szCs w:val="24"/>
        </w:rPr>
        <w:t xml:space="preserve"> </w:t>
      </w:r>
      <w:r w:rsidRPr="0076774A">
        <w:rPr>
          <w:b/>
          <w:szCs w:val="24"/>
        </w:rPr>
        <w:t>určí</w:t>
      </w:r>
      <w:proofErr w:type="gramEnd"/>
    </w:p>
    <w:p w14:paraId="3D6E4E99" w14:textId="6FC78A61" w:rsidR="0076774A" w:rsidRPr="0076774A" w:rsidRDefault="005A7455" w:rsidP="005A7455">
      <w:pPr>
        <w:tabs>
          <w:tab w:val="left" w:pos="426"/>
          <w:tab w:val="left" w:pos="868"/>
        </w:tabs>
        <w:spacing w:before="0"/>
        <w:ind w:left="425" w:hanging="425"/>
        <w:rPr>
          <w:szCs w:val="24"/>
        </w:rPr>
      </w:pPr>
      <w:r>
        <w:rPr>
          <w:szCs w:val="24"/>
        </w:rPr>
        <w:t>a)</w:t>
      </w:r>
      <w:r>
        <w:rPr>
          <w:szCs w:val="24"/>
        </w:rPr>
        <w:tab/>
      </w:r>
      <w:r w:rsidR="0076774A" w:rsidRPr="0076774A">
        <w:rPr>
          <w:szCs w:val="24"/>
        </w:rPr>
        <w:t xml:space="preserve">ze smluv o užívání práva (například licenční smlouva) platných </w:t>
      </w:r>
      <w:r w:rsidR="0076774A" w:rsidRPr="0076774A">
        <w:rPr>
          <w:strike/>
          <w:szCs w:val="24"/>
        </w:rPr>
        <w:t>v den ocenění</w:t>
      </w:r>
      <w:r w:rsidR="00781EB9" w:rsidRPr="00781EB9">
        <w:rPr>
          <w:szCs w:val="24"/>
        </w:rPr>
        <w:t xml:space="preserve"> </w:t>
      </w:r>
      <w:r w:rsidR="0076774A" w:rsidRPr="0076774A">
        <w:rPr>
          <w:b/>
          <w:szCs w:val="24"/>
        </w:rPr>
        <w:t>ke dni ocenění</w:t>
      </w:r>
      <w:r w:rsidR="0076774A" w:rsidRPr="0076774A">
        <w:rPr>
          <w:szCs w:val="24"/>
        </w:rPr>
        <w:t>,</w:t>
      </w:r>
    </w:p>
    <w:p w14:paraId="4BCA151B" w14:textId="49915B3F" w:rsidR="0076774A" w:rsidRPr="0076774A" w:rsidRDefault="005A7455" w:rsidP="005A7455">
      <w:pPr>
        <w:tabs>
          <w:tab w:val="left" w:pos="426"/>
          <w:tab w:val="left" w:pos="868"/>
        </w:tabs>
        <w:spacing w:before="0"/>
        <w:ind w:left="425" w:hanging="425"/>
        <w:rPr>
          <w:szCs w:val="24"/>
        </w:rPr>
      </w:pPr>
      <w:r>
        <w:rPr>
          <w:szCs w:val="24"/>
        </w:rPr>
        <w:t>b)</w:t>
      </w:r>
      <w:r>
        <w:rPr>
          <w:szCs w:val="24"/>
        </w:rPr>
        <w:tab/>
      </w:r>
      <w:r w:rsidR="0076774A" w:rsidRPr="0076774A">
        <w:rPr>
          <w:szCs w:val="24"/>
        </w:rPr>
        <w:t>podle skutečnosti za poslední kalendářní rok užívání v období pěti let předcházejících roku ocenění</w:t>
      </w:r>
      <w:r w:rsidR="0076774A" w:rsidRPr="00781EB9">
        <w:rPr>
          <w:szCs w:val="24"/>
        </w:rPr>
        <w:t xml:space="preserve">, </w:t>
      </w:r>
      <w:r w:rsidR="0076774A" w:rsidRPr="0076774A">
        <w:rPr>
          <w:strike/>
          <w:szCs w:val="24"/>
        </w:rPr>
        <w:t xml:space="preserve">nelze-li jej </w:t>
      </w:r>
      <w:proofErr w:type="gramStart"/>
      <w:r w:rsidR="0076774A" w:rsidRPr="0076774A">
        <w:rPr>
          <w:strike/>
          <w:szCs w:val="24"/>
        </w:rPr>
        <w:t>zjistit</w:t>
      </w:r>
      <w:r w:rsidR="0076774A" w:rsidRPr="0076774A">
        <w:rPr>
          <w:b/>
          <w:szCs w:val="24"/>
        </w:rPr>
        <w:t xml:space="preserve"> nelze</w:t>
      </w:r>
      <w:proofErr w:type="gramEnd"/>
      <w:r w:rsidR="0076774A" w:rsidRPr="0076774A">
        <w:rPr>
          <w:b/>
          <w:szCs w:val="24"/>
        </w:rPr>
        <w:t>-li jej určit</w:t>
      </w:r>
      <w:r w:rsidR="0076774A" w:rsidRPr="0076774A">
        <w:rPr>
          <w:szCs w:val="24"/>
        </w:rPr>
        <w:t xml:space="preserve"> podle písmene a).</w:t>
      </w:r>
    </w:p>
    <w:p w14:paraId="22987843" w14:textId="77777777" w:rsidR="0076774A" w:rsidRPr="00690B81" w:rsidRDefault="0076774A" w:rsidP="00690B81">
      <w:pPr>
        <w:tabs>
          <w:tab w:val="left" w:pos="426"/>
          <w:tab w:val="left" w:pos="868"/>
        </w:tabs>
        <w:spacing w:before="120" w:after="120"/>
        <w:rPr>
          <w:strike/>
          <w:szCs w:val="24"/>
        </w:rPr>
      </w:pPr>
      <w:r w:rsidRPr="00690B81">
        <w:rPr>
          <w:strike/>
          <w:szCs w:val="24"/>
        </w:rPr>
        <w:t>(3) Počet let užívání</w:t>
      </w:r>
    </w:p>
    <w:p w14:paraId="4E4A78CE" w14:textId="2A677501" w:rsidR="0076774A" w:rsidRPr="0076774A" w:rsidRDefault="005A7455" w:rsidP="005A7455">
      <w:pPr>
        <w:tabs>
          <w:tab w:val="left" w:pos="426"/>
          <w:tab w:val="left" w:pos="868"/>
        </w:tabs>
        <w:spacing w:before="0"/>
        <w:ind w:left="426" w:hanging="426"/>
        <w:rPr>
          <w:strike/>
          <w:szCs w:val="24"/>
        </w:rPr>
      </w:pPr>
      <w:r>
        <w:rPr>
          <w:strike/>
          <w:szCs w:val="24"/>
        </w:rPr>
        <w:t>a)</w:t>
      </w:r>
      <w:r>
        <w:rPr>
          <w:strike/>
          <w:szCs w:val="24"/>
        </w:rPr>
        <w:tab/>
      </w:r>
      <w:r w:rsidR="0076774A" w:rsidRPr="0076774A">
        <w:rPr>
          <w:strike/>
          <w:szCs w:val="24"/>
        </w:rPr>
        <w:t>se zjistí ze smluv, nejvýše však ve výši podle písmene b), c) nebo d)</w:t>
      </w:r>
    </w:p>
    <w:p w14:paraId="1A096835" w14:textId="587D9600" w:rsidR="0076774A" w:rsidRPr="0076774A" w:rsidRDefault="005A7455" w:rsidP="005A7455">
      <w:pPr>
        <w:tabs>
          <w:tab w:val="left" w:pos="426"/>
          <w:tab w:val="left" w:pos="868"/>
        </w:tabs>
        <w:spacing w:before="0"/>
        <w:ind w:left="426" w:hanging="426"/>
        <w:rPr>
          <w:strike/>
          <w:szCs w:val="24"/>
        </w:rPr>
      </w:pPr>
      <w:r>
        <w:rPr>
          <w:strike/>
          <w:szCs w:val="24"/>
        </w:rPr>
        <w:t>b)</w:t>
      </w:r>
      <w:r>
        <w:rPr>
          <w:strike/>
          <w:szCs w:val="24"/>
        </w:rPr>
        <w:tab/>
      </w:r>
      <w:r w:rsidR="0076774A" w:rsidRPr="0076774A">
        <w:rPr>
          <w:strike/>
          <w:szCs w:val="24"/>
        </w:rPr>
        <w:t>činí pět let u průmyslových práv a výrobně technických a obchodních poznatků a deset let u práv na označení v případě, že nelze zjistit počet let podle písmene a),</w:t>
      </w:r>
    </w:p>
    <w:p w14:paraId="75EF65E9" w14:textId="49DE4332" w:rsidR="0076774A" w:rsidRPr="0076774A" w:rsidRDefault="005A7455" w:rsidP="005A7455">
      <w:pPr>
        <w:tabs>
          <w:tab w:val="left" w:pos="426"/>
          <w:tab w:val="left" w:pos="868"/>
        </w:tabs>
        <w:spacing w:before="0"/>
        <w:ind w:left="426" w:hanging="426"/>
        <w:rPr>
          <w:strike/>
          <w:szCs w:val="24"/>
        </w:rPr>
      </w:pPr>
      <w:r>
        <w:rPr>
          <w:strike/>
          <w:szCs w:val="24"/>
        </w:rPr>
        <w:t>c)</w:t>
      </w:r>
      <w:r>
        <w:rPr>
          <w:strike/>
          <w:szCs w:val="24"/>
        </w:rPr>
        <w:tab/>
      </w:r>
      <w:r w:rsidR="0076774A" w:rsidRPr="0076774A">
        <w:rPr>
          <w:strike/>
          <w:szCs w:val="24"/>
        </w:rPr>
        <w:t>činí u příslušných práv souvisejících s právem autorským takový počet let, který zbývá do ukončení doby trvání těchto práv podle autorského zákona, v případě, že nelze zjistit počet let podle písmene a), a</w:t>
      </w:r>
    </w:p>
    <w:p w14:paraId="7C257F5F" w14:textId="5D4D421E" w:rsidR="0076774A" w:rsidRPr="0076774A" w:rsidRDefault="005A7455" w:rsidP="005A7455">
      <w:pPr>
        <w:tabs>
          <w:tab w:val="left" w:pos="426"/>
          <w:tab w:val="left" w:pos="868"/>
        </w:tabs>
        <w:spacing w:before="0"/>
        <w:ind w:left="426" w:hanging="426"/>
        <w:rPr>
          <w:strike/>
          <w:szCs w:val="24"/>
        </w:rPr>
      </w:pPr>
      <w:r>
        <w:rPr>
          <w:strike/>
          <w:szCs w:val="24"/>
        </w:rPr>
        <w:t>d)</w:t>
      </w:r>
      <w:r>
        <w:rPr>
          <w:strike/>
          <w:szCs w:val="24"/>
        </w:rPr>
        <w:tab/>
      </w:r>
      <w:r w:rsidR="0076774A" w:rsidRPr="0076774A">
        <w:rPr>
          <w:strike/>
          <w:szCs w:val="24"/>
        </w:rPr>
        <w:t>činí u práv pořizovatele databáze takový počet let, který zbývá do ukončení patnáctileté doby trvání těchto práv, v případě, že nelze zjistit počet let podle písmene a).</w:t>
      </w:r>
    </w:p>
    <w:p w14:paraId="459456B9" w14:textId="0E703E52" w:rsidR="0076774A" w:rsidRPr="0076774A" w:rsidRDefault="00E03C1C" w:rsidP="00690B81">
      <w:pPr>
        <w:tabs>
          <w:tab w:val="left" w:pos="426"/>
          <w:tab w:val="left" w:pos="868"/>
        </w:tabs>
        <w:spacing w:before="120" w:after="120"/>
        <w:rPr>
          <w:b/>
          <w:szCs w:val="24"/>
        </w:rPr>
      </w:pPr>
      <w:r>
        <w:rPr>
          <w:b/>
          <w:szCs w:val="24"/>
        </w:rPr>
        <w:t xml:space="preserve">(3) </w:t>
      </w:r>
      <w:r w:rsidR="0076774A" w:rsidRPr="0076774A">
        <w:rPr>
          <w:b/>
          <w:szCs w:val="24"/>
        </w:rPr>
        <w:t>Počet let užívání</w:t>
      </w:r>
    </w:p>
    <w:p w14:paraId="66CFD0BF" w14:textId="77777777" w:rsidR="0076774A" w:rsidRPr="0076774A" w:rsidRDefault="0076774A" w:rsidP="005A7455">
      <w:pPr>
        <w:tabs>
          <w:tab w:val="left" w:pos="426"/>
          <w:tab w:val="left" w:pos="868"/>
        </w:tabs>
        <w:spacing w:before="0"/>
        <w:ind w:left="426" w:hanging="426"/>
        <w:rPr>
          <w:b/>
          <w:szCs w:val="24"/>
        </w:rPr>
      </w:pPr>
      <w:r w:rsidRPr="0076774A">
        <w:rPr>
          <w:b/>
          <w:szCs w:val="24"/>
        </w:rPr>
        <w:t>a)</w:t>
      </w:r>
      <w:r w:rsidRPr="0076774A">
        <w:rPr>
          <w:b/>
          <w:szCs w:val="24"/>
        </w:rPr>
        <w:tab/>
        <w:t>se určí ze smluv, nejvýše však ve výši podle písmene c), d) nebo e),</w:t>
      </w:r>
    </w:p>
    <w:p w14:paraId="4D880B8C" w14:textId="77777777" w:rsidR="0076774A" w:rsidRPr="0076774A" w:rsidRDefault="0076774A" w:rsidP="005A7455">
      <w:pPr>
        <w:tabs>
          <w:tab w:val="left" w:pos="426"/>
          <w:tab w:val="left" w:pos="868"/>
        </w:tabs>
        <w:spacing w:before="0"/>
        <w:ind w:left="426" w:hanging="426"/>
        <w:rPr>
          <w:b/>
          <w:szCs w:val="24"/>
        </w:rPr>
      </w:pPr>
      <w:r w:rsidRPr="0076774A">
        <w:rPr>
          <w:b/>
          <w:szCs w:val="24"/>
        </w:rPr>
        <w:t>b)</w:t>
      </w:r>
      <w:r w:rsidRPr="0076774A">
        <w:rPr>
          <w:b/>
          <w:szCs w:val="24"/>
        </w:rPr>
        <w:tab/>
        <w:t>neurčí-li se ze smluv, stanoví se v nejvyšší možné výši podle písmene c), d) nebo e),</w:t>
      </w:r>
    </w:p>
    <w:p w14:paraId="772FE3BB" w14:textId="77777777" w:rsidR="0076774A" w:rsidRPr="0076774A" w:rsidRDefault="0076774A" w:rsidP="005A7455">
      <w:pPr>
        <w:tabs>
          <w:tab w:val="left" w:pos="426"/>
          <w:tab w:val="left" w:pos="868"/>
        </w:tabs>
        <w:spacing w:before="0"/>
        <w:ind w:left="426" w:hanging="426"/>
        <w:rPr>
          <w:b/>
          <w:szCs w:val="24"/>
        </w:rPr>
      </w:pPr>
      <w:r w:rsidRPr="0076774A">
        <w:rPr>
          <w:b/>
          <w:szCs w:val="24"/>
        </w:rPr>
        <w:t>c)</w:t>
      </w:r>
      <w:r w:rsidRPr="0076774A">
        <w:rPr>
          <w:b/>
          <w:szCs w:val="24"/>
        </w:rPr>
        <w:tab/>
        <w:t>činí nejvýše pět let u průmyslových práv a výrobně technických a obchodních poznatků a deset let u práv na označení,</w:t>
      </w:r>
    </w:p>
    <w:p w14:paraId="03407007" w14:textId="77777777" w:rsidR="0076774A" w:rsidRPr="0076774A" w:rsidRDefault="0076774A" w:rsidP="005A7455">
      <w:pPr>
        <w:tabs>
          <w:tab w:val="left" w:pos="426"/>
          <w:tab w:val="left" w:pos="868"/>
        </w:tabs>
        <w:spacing w:before="0"/>
        <w:ind w:left="426" w:hanging="426"/>
        <w:rPr>
          <w:b/>
          <w:szCs w:val="24"/>
        </w:rPr>
      </w:pPr>
      <w:r w:rsidRPr="0076774A">
        <w:rPr>
          <w:b/>
          <w:szCs w:val="24"/>
        </w:rPr>
        <w:t>d)</w:t>
      </w:r>
      <w:r w:rsidRPr="0076774A">
        <w:rPr>
          <w:b/>
          <w:szCs w:val="24"/>
        </w:rPr>
        <w:tab/>
        <w:t>činí u příslušných práv souvisejících s právem autorským nejvýše takový počet let, který zbývá do ukončení doby trvání těchto práv podle autorského zákona a</w:t>
      </w:r>
    </w:p>
    <w:p w14:paraId="5A167004" w14:textId="77777777" w:rsidR="0076774A" w:rsidRPr="0076774A" w:rsidRDefault="0076774A" w:rsidP="005A7455">
      <w:pPr>
        <w:tabs>
          <w:tab w:val="left" w:pos="426"/>
          <w:tab w:val="left" w:pos="868"/>
        </w:tabs>
        <w:spacing w:before="0"/>
        <w:ind w:left="426" w:hanging="426"/>
        <w:rPr>
          <w:b/>
          <w:szCs w:val="24"/>
        </w:rPr>
      </w:pPr>
      <w:r w:rsidRPr="0076774A">
        <w:rPr>
          <w:b/>
          <w:szCs w:val="24"/>
        </w:rPr>
        <w:t>e)</w:t>
      </w:r>
      <w:r w:rsidRPr="0076774A">
        <w:rPr>
          <w:b/>
          <w:szCs w:val="24"/>
        </w:rPr>
        <w:tab/>
        <w:t>činí u práv pořizovatele databáze nejvýše takový počet let, který zbývá do ukončení patnáctileté doby trvání těchto práv.</w:t>
      </w:r>
    </w:p>
    <w:p w14:paraId="29D4417E" w14:textId="77777777" w:rsidR="0076774A" w:rsidRPr="0076774A" w:rsidRDefault="0076774A" w:rsidP="00690B81">
      <w:pPr>
        <w:tabs>
          <w:tab w:val="left" w:pos="426"/>
          <w:tab w:val="left" w:pos="868"/>
        </w:tabs>
        <w:spacing w:before="120" w:after="120"/>
        <w:rPr>
          <w:strike/>
          <w:szCs w:val="24"/>
        </w:rPr>
      </w:pPr>
      <w:r w:rsidRPr="0076774A">
        <w:rPr>
          <w:strike/>
          <w:szCs w:val="24"/>
        </w:rPr>
        <w:lastRenderedPageBreak/>
        <w:t>(4) Nelze-li právo z různých důvodů, včetně toho, že nebylo užíváno, ocenit podle odstavců 1 až 3 nebo je-li cena zjištěná podle odstavců 1 až 3 nepřiměřeně vyšší nebo nižší než cena obvyklá, ocení se právo cenou obvyklou.</w:t>
      </w:r>
    </w:p>
    <w:p w14:paraId="4EE148CD" w14:textId="77777777" w:rsidR="0076774A" w:rsidRPr="0076774A" w:rsidRDefault="0076774A" w:rsidP="00690B81">
      <w:pPr>
        <w:tabs>
          <w:tab w:val="left" w:pos="426"/>
          <w:tab w:val="left" w:pos="868"/>
        </w:tabs>
        <w:spacing w:before="120" w:after="120"/>
        <w:rPr>
          <w:strike/>
          <w:szCs w:val="24"/>
        </w:rPr>
      </w:pPr>
      <w:r w:rsidRPr="0076774A">
        <w:rPr>
          <w:strike/>
          <w:szCs w:val="24"/>
        </w:rPr>
        <w:t>(5) Majetková práva autorská a majetková práva výkonných umělců jakožto práva nepřevoditelná se neoceňují.</w:t>
      </w:r>
    </w:p>
    <w:p w14:paraId="4C7E04F7" w14:textId="77777777" w:rsidR="0076774A" w:rsidRPr="0076774A" w:rsidRDefault="0076774A" w:rsidP="00E03C1C">
      <w:pPr>
        <w:tabs>
          <w:tab w:val="left" w:pos="426"/>
          <w:tab w:val="left" w:pos="868"/>
        </w:tabs>
        <w:spacing w:after="120"/>
        <w:ind w:firstLine="0"/>
        <w:jc w:val="center"/>
        <w:rPr>
          <w:szCs w:val="24"/>
        </w:rPr>
      </w:pPr>
      <w:r w:rsidRPr="0076774A">
        <w:rPr>
          <w:szCs w:val="24"/>
        </w:rPr>
        <w:t>§ 19</w:t>
      </w:r>
    </w:p>
    <w:p w14:paraId="199148E1" w14:textId="77777777" w:rsidR="0076774A" w:rsidRPr="00E03C1C" w:rsidRDefault="0076774A" w:rsidP="00E03C1C">
      <w:pPr>
        <w:tabs>
          <w:tab w:val="left" w:pos="426"/>
          <w:tab w:val="left" w:pos="868"/>
        </w:tabs>
        <w:spacing w:after="120"/>
        <w:ind w:firstLine="0"/>
        <w:jc w:val="center"/>
        <w:rPr>
          <w:b/>
          <w:szCs w:val="24"/>
        </w:rPr>
      </w:pPr>
      <w:r w:rsidRPr="00E03C1C">
        <w:rPr>
          <w:b/>
          <w:szCs w:val="24"/>
        </w:rPr>
        <w:t>Oceňování cenných papírů obchodovaných na regulovaném trhu, zahraničním regulovaném trhu nebo zahraničním trhu obdobném regulovanému trhu</w:t>
      </w:r>
    </w:p>
    <w:p w14:paraId="75A5AEB6" w14:textId="77777777" w:rsidR="0076774A" w:rsidRPr="0076774A" w:rsidRDefault="0076774A" w:rsidP="00690B81">
      <w:pPr>
        <w:tabs>
          <w:tab w:val="left" w:pos="426"/>
          <w:tab w:val="left" w:pos="868"/>
        </w:tabs>
        <w:spacing w:before="120" w:after="120"/>
        <w:rPr>
          <w:szCs w:val="24"/>
        </w:rPr>
      </w:pPr>
      <w:r w:rsidRPr="0076774A">
        <w:rPr>
          <w:szCs w:val="24"/>
        </w:rPr>
        <w:t>(1) Cenné papíry</w:t>
      </w:r>
    </w:p>
    <w:p w14:paraId="702C6730" w14:textId="2C29CAC1" w:rsidR="0076774A" w:rsidRPr="0076774A" w:rsidRDefault="0076774A" w:rsidP="005A7455">
      <w:pPr>
        <w:tabs>
          <w:tab w:val="left" w:pos="426"/>
          <w:tab w:val="left" w:pos="868"/>
        </w:tabs>
        <w:spacing w:before="0"/>
        <w:ind w:left="426" w:hanging="426"/>
        <w:rPr>
          <w:szCs w:val="24"/>
        </w:rPr>
      </w:pPr>
      <w:r w:rsidRPr="0076774A">
        <w:rPr>
          <w:szCs w:val="24"/>
        </w:rPr>
        <w:t>a</w:t>
      </w:r>
      <w:r w:rsidR="00561D76">
        <w:rPr>
          <w:szCs w:val="24"/>
        </w:rPr>
        <w:t>)</w:t>
      </w:r>
      <w:r w:rsidR="00561D76">
        <w:rPr>
          <w:szCs w:val="24"/>
        </w:rPr>
        <w:tab/>
      </w:r>
      <w:r w:rsidRPr="0076774A">
        <w:rPr>
          <w:szCs w:val="24"/>
        </w:rPr>
        <w:t>tuzemské nebo zahraniční, obchodované na regulovaném trhu</w:t>
      </w:r>
      <w:r w:rsidR="009937DB">
        <w:rPr>
          <w:rStyle w:val="Znakapoznpodarou"/>
          <w:szCs w:val="24"/>
        </w:rPr>
        <w:footnoteReference w:customMarkFollows="1" w:id="260"/>
        <w:t>19)</w:t>
      </w:r>
      <w:r w:rsidRPr="0076774A">
        <w:rPr>
          <w:szCs w:val="24"/>
        </w:rPr>
        <w:t xml:space="preserve"> se oceňují závěrečným kurzem vyhlášeným na regulovaném trhu v den ocenění, a pokud</w:t>
      </w:r>
    </w:p>
    <w:p w14:paraId="727F8C01" w14:textId="1E2DCA3A" w:rsidR="0076774A" w:rsidRPr="0076774A" w:rsidRDefault="00561D76" w:rsidP="005A7455">
      <w:pPr>
        <w:tabs>
          <w:tab w:val="left" w:pos="426"/>
          <w:tab w:val="left" w:pos="868"/>
        </w:tabs>
        <w:spacing w:before="0"/>
        <w:ind w:left="426" w:hanging="426"/>
        <w:rPr>
          <w:szCs w:val="24"/>
        </w:rPr>
      </w:pPr>
      <w:r>
        <w:rPr>
          <w:szCs w:val="24"/>
        </w:rPr>
        <w:tab/>
        <w:t>1.</w:t>
      </w:r>
      <w:r>
        <w:rPr>
          <w:szCs w:val="24"/>
        </w:rPr>
        <w:tab/>
      </w:r>
      <w:r w:rsidR="0076774A" w:rsidRPr="0076774A">
        <w:rPr>
          <w:szCs w:val="24"/>
        </w:rPr>
        <w:t>nebyl v den ocenění cenný papír na regulovaném trhu obchodován, ocení se posledním závěrečným kurzem vyhlášeným na regulovaném trhu v období předcházejících 30 dnů přede dnem ocenění,</w:t>
      </w:r>
    </w:p>
    <w:p w14:paraId="222AEE0A" w14:textId="6D93FDF4" w:rsidR="0076774A" w:rsidRPr="0076774A" w:rsidRDefault="00561D76" w:rsidP="005A7455">
      <w:pPr>
        <w:tabs>
          <w:tab w:val="left" w:pos="426"/>
          <w:tab w:val="left" w:pos="868"/>
        </w:tabs>
        <w:spacing w:before="0"/>
        <w:ind w:left="426" w:hanging="426"/>
        <w:rPr>
          <w:szCs w:val="24"/>
        </w:rPr>
      </w:pPr>
      <w:r>
        <w:rPr>
          <w:szCs w:val="24"/>
        </w:rPr>
        <w:tab/>
        <w:t>2.</w:t>
      </w:r>
      <w:r>
        <w:rPr>
          <w:szCs w:val="24"/>
        </w:rPr>
        <w:tab/>
      </w:r>
      <w:r w:rsidR="0076774A" w:rsidRPr="0076774A">
        <w:rPr>
          <w:szCs w:val="24"/>
        </w:rPr>
        <w:t>nebyl cenný papír na regulovaném trhu</w:t>
      </w:r>
      <w:r w:rsidR="009937DB">
        <w:rPr>
          <w:rStyle w:val="Znakapoznpodarou"/>
          <w:szCs w:val="24"/>
        </w:rPr>
        <w:footnoteReference w:customMarkFollows="1" w:id="261"/>
        <w:t>20)</w:t>
      </w:r>
      <w:r w:rsidR="0076774A" w:rsidRPr="0076774A">
        <w:rPr>
          <w:szCs w:val="24"/>
        </w:rPr>
        <w:t xml:space="preserve"> obchodován v den ocenění a nebyl na tomto trhu obchodován ani v období předcházejících 30 dnů přede dnem ocenění, ocení se nejnižším dosaženým závěrečným kurzem vyhlášeným ve stejném období na jiném převodním místě v České republice,</w:t>
      </w:r>
    </w:p>
    <w:p w14:paraId="63FAA9DB" w14:textId="73180D05" w:rsidR="0076774A" w:rsidRPr="0076774A" w:rsidRDefault="00561D76" w:rsidP="005A7455">
      <w:pPr>
        <w:tabs>
          <w:tab w:val="left" w:pos="426"/>
          <w:tab w:val="left" w:pos="868"/>
        </w:tabs>
        <w:spacing w:before="0"/>
        <w:ind w:left="426" w:hanging="426"/>
        <w:rPr>
          <w:szCs w:val="24"/>
        </w:rPr>
      </w:pPr>
      <w:r>
        <w:rPr>
          <w:szCs w:val="24"/>
        </w:rPr>
        <w:t>b)</w:t>
      </w:r>
      <w:r>
        <w:rPr>
          <w:szCs w:val="24"/>
        </w:rPr>
        <w:tab/>
      </w:r>
      <w:r w:rsidR="0076774A" w:rsidRPr="0076774A">
        <w:rPr>
          <w:szCs w:val="24"/>
        </w:rPr>
        <w:t>tuzemské nebo zahraniční, obchodované pouze na zahraničním regulovaném trhu nebo zahraničním trhu obdobném regulovanému trhu se ocení, pokud se cenným papírem</w:t>
      </w:r>
    </w:p>
    <w:p w14:paraId="2253278D" w14:textId="5840F2F9" w:rsidR="0076774A" w:rsidRPr="0076774A" w:rsidRDefault="00561D76" w:rsidP="005A7455">
      <w:pPr>
        <w:tabs>
          <w:tab w:val="left" w:pos="426"/>
          <w:tab w:val="left" w:pos="868"/>
        </w:tabs>
        <w:spacing w:before="0"/>
        <w:ind w:left="426" w:hanging="426"/>
        <w:rPr>
          <w:szCs w:val="24"/>
        </w:rPr>
      </w:pPr>
      <w:r>
        <w:rPr>
          <w:szCs w:val="24"/>
        </w:rPr>
        <w:tab/>
        <w:t>1.</w:t>
      </w:r>
      <w:r>
        <w:rPr>
          <w:szCs w:val="24"/>
        </w:rPr>
        <w:tab/>
      </w:r>
      <w:r w:rsidR="0076774A" w:rsidRPr="0076774A">
        <w:rPr>
          <w:szCs w:val="24"/>
        </w:rPr>
        <w:t>obchoduje na zahraničním regulovaném trhu nebo zahraničním trhu obdobném regulovanému trhu ve státě sídla emitenta, závěrečným kurzem vyhlášeným na tomto trhu ke dni ocenění, a není-li k dispozici, ocení se posledním závěrečným kurzem vyhlášeným na tomto trhu v období uvedeném v písmeni a),</w:t>
      </w:r>
    </w:p>
    <w:p w14:paraId="6B2122C3" w14:textId="4CF1BD84" w:rsidR="0076774A" w:rsidRPr="0076774A" w:rsidRDefault="00561D76" w:rsidP="00561D76">
      <w:pPr>
        <w:tabs>
          <w:tab w:val="left" w:pos="426"/>
          <w:tab w:val="left" w:pos="868"/>
        </w:tabs>
        <w:spacing w:before="0"/>
        <w:ind w:left="850" w:hanging="850"/>
        <w:rPr>
          <w:szCs w:val="24"/>
        </w:rPr>
      </w:pPr>
      <w:r>
        <w:rPr>
          <w:szCs w:val="24"/>
        </w:rPr>
        <w:tab/>
        <w:t>2.</w:t>
      </w:r>
      <w:r>
        <w:rPr>
          <w:szCs w:val="24"/>
        </w:rPr>
        <w:tab/>
      </w:r>
      <w:r w:rsidR="0076774A" w:rsidRPr="0076774A">
        <w:rPr>
          <w:szCs w:val="24"/>
        </w:rPr>
        <w:t>neobchoduje na zahraničním regulovaném trhu nebo zahraničním trhu obdobném regulovanému trhu ve státě sídla emitenta, posledním závěrečným kurzem vyhlášeným na zahraničním regulovaném trhu nebo zahraničním trhu obdobném regulovanému trhu v období uvedeném v písmeni a) ve státě, v němž byl cenný papír přijat k obchodování na příslušném trhu; pokud byl ve stejný den vyhlášen kurz na trhu ve více státech, ocení se nejnižším vyhlášeným závěrečným kurzem.</w:t>
      </w:r>
    </w:p>
    <w:p w14:paraId="713F8B2C" w14:textId="77777777" w:rsidR="0076774A" w:rsidRPr="0076774A" w:rsidRDefault="0076774A" w:rsidP="00690B81">
      <w:pPr>
        <w:tabs>
          <w:tab w:val="left" w:pos="426"/>
          <w:tab w:val="left" w:pos="868"/>
        </w:tabs>
        <w:spacing w:before="120" w:after="120"/>
        <w:rPr>
          <w:strike/>
          <w:szCs w:val="24"/>
        </w:rPr>
      </w:pPr>
      <w:r w:rsidRPr="0076774A">
        <w:rPr>
          <w:strike/>
          <w:szCs w:val="24"/>
        </w:rPr>
        <w:t>(2) Při postupu podle odstavce 1 písm. b) bodu 2 se přednostně uplatní kurz vyhlášený na trzích určených opatřením Ministerstva financí po dohodě s Českou národní bankou. Kurz cenného papíru v zahraniční měně se přepočte kurzem devizového trhu České národní banky platným ke dni ocenění. Pro přepočet měn, které nejsou uvedeny v kurzovním lístku České národní banky, se použije kurz amerického dolaru k této měně vyhlášený ústřední bankou státu s touto měnou.</w:t>
      </w:r>
    </w:p>
    <w:p w14:paraId="2DCB0C66" w14:textId="1ABC5720" w:rsidR="0076774A" w:rsidRPr="0076774A" w:rsidRDefault="0076774A" w:rsidP="00690B81">
      <w:pPr>
        <w:tabs>
          <w:tab w:val="left" w:pos="426"/>
          <w:tab w:val="left" w:pos="868"/>
        </w:tabs>
        <w:spacing w:before="120" w:after="120"/>
        <w:rPr>
          <w:szCs w:val="24"/>
        </w:rPr>
      </w:pPr>
      <w:proofErr w:type="gramStart"/>
      <w:r w:rsidRPr="00990F46">
        <w:rPr>
          <w:strike/>
          <w:szCs w:val="24"/>
        </w:rPr>
        <w:t>(</w:t>
      </w:r>
      <w:r w:rsidRPr="0076774A">
        <w:rPr>
          <w:strike/>
          <w:szCs w:val="24"/>
        </w:rPr>
        <w:t>3</w:t>
      </w:r>
      <w:r w:rsidR="00990F46">
        <w:rPr>
          <w:strike/>
          <w:szCs w:val="24"/>
        </w:rPr>
        <w:t>)</w:t>
      </w:r>
      <w:r w:rsidR="00990F46" w:rsidRPr="00990F46">
        <w:rPr>
          <w:szCs w:val="24"/>
        </w:rPr>
        <w:t>(</w:t>
      </w:r>
      <w:r w:rsidRPr="0076774A">
        <w:rPr>
          <w:b/>
          <w:szCs w:val="24"/>
        </w:rPr>
        <w:t>2</w:t>
      </w:r>
      <w:r w:rsidRPr="0076774A">
        <w:rPr>
          <w:szCs w:val="24"/>
        </w:rPr>
        <w:t>) Nebyl</w:t>
      </w:r>
      <w:proofErr w:type="gramEnd"/>
      <w:r w:rsidRPr="0076774A">
        <w:rPr>
          <w:szCs w:val="24"/>
        </w:rPr>
        <w:t>-li kurz cenného papíru uvedeného v odstavci 1 vyhlášen v období 30 dnů přede dnem ocenění na žádném trhu, ocení se cenný papír podle § 20.</w:t>
      </w:r>
    </w:p>
    <w:p w14:paraId="61A770CE" w14:textId="77777777" w:rsidR="0076774A" w:rsidRPr="0076774A" w:rsidRDefault="0076774A" w:rsidP="00690B81">
      <w:pPr>
        <w:keepNext/>
        <w:keepLines/>
        <w:tabs>
          <w:tab w:val="left" w:pos="426"/>
          <w:tab w:val="left" w:pos="868"/>
        </w:tabs>
        <w:spacing w:after="120"/>
        <w:ind w:firstLine="0"/>
        <w:jc w:val="center"/>
        <w:rPr>
          <w:szCs w:val="24"/>
        </w:rPr>
      </w:pPr>
      <w:r w:rsidRPr="0076774A">
        <w:rPr>
          <w:szCs w:val="24"/>
        </w:rPr>
        <w:lastRenderedPageBreak/>
        <w:t>§ 20</w:t>
      </w:r>
    </w:p>
    <w:p w14:paraId="6F9F812D" w14:textId="77777777" w:rsidR="0076774A" w:rsidRPr="00A04ADF" w:rsidRDefault="0076774A" w:rsidP="00690B81">
      <w:pPr>
        <w:keepNext/>
        <w:keepLines/>
        <w:tabs>
          <w:tab w:val="left" w:pos="426"/>
          <w:tab w:val="left" w:pos="868"/>
        </w:tabs>
        <w:spacing w:after="120"/>
        <w:ind w:firstLine="0"/>
        <w:jc w:val="center"/>
        <w:rPr>
          <w:b/>
          <w:szCs w:val="24"/>
        </w:rPr>
      </w:pPr>
      <w:r w:rsidRPr="00A04ADF">
        <w:rPr>
          <w:b/>
          <w:szCs w:val="24"/>
        </w:rPr>
        <w:t>Oceňování cenných papírů neobchodovaných na evropském regulovaném trhu nebo zahraničním trhu obdobném regulovanému trhu a cenných papírů nepřijatých k obchodování na těchto trzích</w:t>
      </w:r>
    </w:p>
    <w:p w14:paraId="552B7C3B" w14:textId="77777777" w:rsidR="0076774A" w:rsidRPr="0076774A" w:rsidRDefault="0076774A" w:rsidP="00690B81">
      <w:pPr>
        <w:tabs>
          <w:tab w:val="left" w:pos="426"/>
          <w:tab w:val="left" w:pos="868"/>
        </w:tabs>
        <w:spacing w:before="120" w:after="120"/>
        <w:rPr>
          <w:szCs w:val="24"/>
        </w:rPr>
      </w:pPr>
      <w:r w:rsidRPr="0076774A">
        <w:rPr>
          <w:szCs w:val="24"/>
        </w:rPr>
        <w:t>(1) Cenné papíry, které nejsou obchodovány na evropském regulovaném trhu ani na zahraničním trhu obdobném regulovanému trhu, a cenné papíry, které nebyly přijaty k obchodování na těchto trzích, se oceňují takto:</w:t>
      </w:r>
    </w:p>
    <w:p w14:paraId="0049B808" w14:textId="737A58B5" w:rsidR="0076774A" w:rsidRPr="0076774A" w:rsidRDefault="005A7455" w:rsidP="005A7455">
      <w:pPr>
        <w:tabs>
          <w:tab w:val="left" w:pos="426"/>
          <w:tab w:val="left" w:pos="868"/>
        </w:tabs>
        <w:spacing w:before="0"/>
        <w:ind w:left="426" w:hanging="426"/>
        <w:rPr>
          <w:szCs w:val="24"/>
        </w:rPr>
      </w:pPr>
      <w:r>
        <w:rPr>
          <w:szCs w:val="24"/>
        </w:rPr>
        <w:t>a)</w:t>
      </w:r>
      <w:r>
        <w:rPr>
          <w:szCs w:val="24"/>
        </w:rPr>
        <w:tab/>
      </w:r>
      <w:r w:rsidR="0076774A" w:rsidRPr="0076774A">
        <w:rPr>
          <w:szCs w:val="24"/>
        </w:rPr>
        <w:t>akcie a podílové listy uzavřených podílových fondů podílem, v jehož čitateli je vlastní jmění akciové společnosti nebo uzavřeného podílového fondu podle účetní závěrky za předchozí účetní období, pokud není prokázána jiná hodnota vlastního jmění, a ve jmenovateli počet vydaných akcií nebo podílových listů převedený na shodnou emisní hodnotu,</w:t>
      </w:r>
    </w:p>
    <w:p w14:paraId="2725C128" w14:textId="06681F82" w:rsidR="0076774A" w:rsidRPr="0076774A" w:rsidRDefault="005A7455" w:rsidP="005A7455">
      <w:pPr>
        <w:tabs>
          <w:tab w:val="left" w:pos="426"/>
          <w:tab w:val="left" w:pos="868"/>
        </w:tabs>
        <w:spacing w:before="0"/>
        <w:ind w:left="426" w:hanging="426"/>
        <w:rPr>
          <w:szCs w:val="24"/>
        </w:rPr>
      </w:pPr>
      <w:r>
        <w:rPr>
          <w:szCs w:val="24"/>
        </w:rPr>
        <w:t>b)</w:t>
      </w:r>
      <w:r>
        <w:rPr>
          <w:szCs w:val="24"/>
        </w:rPr>
        <w:tab/>
      </w:r>
      <w:r w:rsidR="0076774A" w:rsidRPr="0076774A">
        <w:rPr>
          <w:szCs w:val="24"/>
        </w:rPr>
        <w:t xml:space="preserve">dluhopisy s připojeným kupónem určujícím výnos nebo způsob stanovení výnosu jmenovitou hodnotou se zahrnutím úroků, na něž má majitel ke dni ocenění právo, popř. s přihlédnutím k jiným očekávaným výnosům, pokud je lze ocenit, neodůvodňují-li zvláštní okolnosti </w:t>
      </w:r>
      <w:r w:rsidR="0076774A" w:rsidRPr="0076774A">
        <w:rPr>
          <w:strike/>
          <w:szCs w:val="24"/>
        </w:rPr>
        <w:t>cenu</w:t>
      </w:r>
      <w:r w:rsidR="003A1888" w:rsidRPr="003A1888">
        <w:rPr>
          <w:szCs w:val="24"/>
        </w:rPr>
        <w:t xml:space="preserve"> </w:t>
      </w:r>
      <w:r w:rsidR="0076774A" w:rsidRPr="0076774A">
        <w:rPr>
          <w:b/>
          <w:szCs w:val="24"/>
        </w:rPr>
        <w:t>hodnotu</w:t>
      </w:r>
      <w:r w:rsidR="0076774A" w:rsidRPr="0076774A">
        <w:rPr>
          <w:szCs w:val="24"/>
        </w:rPr>
        <w:t xml:space="preserve"> vyšší nebo nižší,</w:t>
      </w:r>
    </w:p>
    <w:p w14:paraId="6E6FE27D" w14:textId="34863E33" w:rsidR="0076774A" w:rsidRPr="0076774A" w:rsidRDefault="005A7455" w:rsidP="005A7455">
      <w:pPr>
        <w:tabs>
          <w:tab w:val="left" w:pos="426"/>
          <w:tab w:val="left" w:pos="868"/>
        </w:tabs>
        <w:spacing w:before="0"/>
        <w:ind w:left="426" w:hanging="426"/>
        <w:rPr>
          <w:szCs w:val="24"/>
        </w:rPr>
      </w:pPr>
      <w:r>
        <w:rPr>
          <w:szCs w:val="24"/>
        </w:rPr>
        <w:t>c)</w:t>
      </w:r>
      <w:r>
        <w:rPr>
          <w:szCs w:val="24"/>
        </w:rPr>
        <w:tab/>
      </w:r>
      <w:r w:rsidR="0076774A" w:rsidRPr="0076774A">
        <w:rPr>
          <w:szCs w:val="24"/>
        </w:rPr>
        <w:t xml:space="preserve">dluhopisy, u nichž je úrokový výnos stanoven rozdílem mezi jmenovitou hodnotou a emisním kurzem, jmenovitou hodnotou sníženou o poměrnou část rozdílu mezi průměrným emisním kurzem a jmenovitou hodnotou do doby splatnosti, neodůvodňují-li zvláštní okolnosti </w:t>
      </w:r>
      <w:r w:rsidR="0076774A" w:rsidRPr="0076774A">
        <w:rPr>
          <w:strike/>
          <w:szCs w:val="24"/>
        </w:rPr>
        <w:t>cenu</w:t>
      </w:r>
      <w:r w:rsidR="003A1888" w:rsidRPr="003A1888">
        <w:rPr>
          <w:szCs w:val="24"/>
        </w:rPr>
        <w:t xml:space="preserve"> </w:t>
      </w:r>
      <w:r w:rsidR="0076774A" w:rsidRPr="0076774A">
        <w:rPr>
          <w:b/>
          <w:szCs w:val="24"/>
        </w:rPr>
        <w:t>hodnotu</w:t>
      </w:r>
      <w:r w:rsidR="0076774A" w:rsidRPr="0076774A">
        <w:rPr>
          <w:szCs w:val="24"/>
        </w:rPr>
        <w:t xml:space="preserve"> vyšší nebo nižší. Poměrná část podle předchozí věty se určí jako podíl počtu dní ode dne ocenění do dne splatnosti dluhopisu a celkové doby splatnosti dluhopisu určené ve dnech,</w:t>
      </w:r>
    </w:p>
    <w:p w14:paraId="5550BE29" w14:textId="4995AEA2" w:rsidR="0076774A" w:rsidRPr="0076774A" w:rsidRDefault="005A7455" w:rsidP="005A7455">
      <w:pPr>
        <w:tabs>
          <w:tab w:val="left" w:pos="426"/>
          <w:tab w:val="left" w:pos="868"/>
        </w:tabs>
        <w:spacing w:before="0"/>
        <w:ind w:left="426" w:hanging="426"/>
        <w:rPr>
          <w:szCs w:val="24"/>
        </w:rPr>
      </w:pPr>
      <w:r>
        <w:rPr>
          <w:szCs w:val="24"/>
        </w:rPr>
        <w:t>d)</w:t>
      </w:r>
      <w:r>
        <w:rPr>
          <w:szCs w:val="24"/>
        </w:rPr>
        <w:tab/>
      </w:r>
      <w:r w:rsidR="0076774A" w:rsidRPr="0076774A">
        <w:rPr>
          <w:szCs w:val="24"/>
        </w:rPr>
        <w:t xml:space="preserve">směnky jmenovitou hodnotou, na kterou jsou vystaveny, směnky opatřené úrokovou doložkou jmenovitou hodnotou se zahrnutím úroku, na nějž vzniklo majiteli směnky právo ke dni ocenění, neodůvodňují-li zvláštní okolnosti </w:t>
      </w:r>
      <w:r w:rsidR="0076774A" w:rsidRPr="0076774A">
        <w:rPr>
          <w:strike/>
          <w:szCs w:val="24"/>
        </w:rPr>
        <w:t>cenu</w:t>
      </w:r>
      <w:r w:rsidR="003A1888" w:rsidRPr="003A1888">
        <w:rPr>
          <w:szCs w:val="24"/>
        </w:rPr>
        <w:t xml:space="preserve"> </w:t>
      </w:r>
      <w:r w:rsidR="0076774A" w:rsidRPr="0076774A">
        <w:rPr>
          <w:b/>
          <w:szCs w:val="24"/>
        </w:rPr>
        <w:t>hodnotu</w:t>
      </w:r>
      <w:r w:rsidR="0076774A" w:rsidRPr="0076774A">
        <w:rPr>
          <w:szCs w:val="24"/>
        </w:rPr>
        <w:t xml:space="preserve"> vyšší nebo nižší,</w:t>
      </w:r>
    </w:p>
    <w:p w14:paraId="159C0257" w14:textId="1E49B392" w:rsidR="0076774A" w:rsidRPr="0076774A" w:rsidRDefault="005A7455" w:rsidP="005A7455">
      <w:pPr>
        <w:tabs>
          <w:tab w:val="left" w:pos="426"/>
          <w:tab w:val="left" w:pos="868"/>
        </w:tabs>
        <w:spacing w:before="0"/>
        <w:ind w:left="426" w:hanging="426"/>
        <w:rPr>
          <w:szCs w:val="24"/>
        </w:rPr>
      </w:pPr>
      <w:r>
        <w:rPr>
          <w:szCs w:val="24"/>
        </w:rPr>
        <w:t>e)</w:t>
      </w:r>
      <w:r>
        <w:rPr>
          <w:szCs w:val="24"/>
        </w:rPr>
        <w:tab/>
      </w:r>
      <w:r w:rsidR="0076774A" w:rsidRPr="0076774A">
        <w:rPr>
          <w:szCs w:val="24"/>
        </w:rPr>
        <w:t>podílové listy otevřených podílových fondů částkou, kterou zaplatí emitent za vrácený podílový list v den ocenění, odpovídající hodnotě podílu podílového listu na vlastním jmění v podílovém fondu sníženém o závazky podílového fondu. Hodnota podílového listu může být snížena o srážku uvedenou ve statutu otevřeného podílového fondu uplatňovanou při vrácení podílového listu. Pokud emitent v den ocenění neproplácí vrácení podílového listu, ocení se podílový list poslední cenou, která jím byla proplacena při vrácení takového podílového listu,</w:t>
      </w:r>
    </w:p>
    <w:p w14:paraId="1D12761C" w14:textId="1B050A10" w:rsidR="0076774A" w:rsidRPr="0076774A" w:rsidRDefault="005A7455" w:rsidP="005A7455">
      <w:pPr>
        <w:tabs>
          <w:tab w:val="left" w:pos="426"/>
          <w:tab w:val="left" w:pos="868"/>
        </w:tabs>
        <w:spacing w:before="0"/>
        <w:ind w:left="426" w:hanging="426"/>
        <w:rPr>
          <w:szCs w:val="24"/>
        </w:rPr>
      </w:pPr>
      <w:r>
        <w:rPr>
          <w:szCs w:val="24"/>
        </w:rPr>
        <w:t>f)</w:t>
      </w:r>
      <w:r>
        <w:rPr>
          <w:szCs w:val="24"/>
        </w:rPr>
        <w:tab/>
      </w:r>
      <w:r w:rsidR="0076774A" w:rsidRPr="0076774A">
        <w:rPr>
          <w:szCs w:val="24"/>
        </w:rPr>
        <w:t>zatímní listy částkou odpovídající hodnotě splaceného vkladu, včetně emisního ážia ke dni ocenění,</w:t>
      </w:r>
    </w:p>
    <w:p w14:paraId="6849D3FB" w14:textId="42CB8FAD" w:rsidR="0076774A" w:rsidRPr="0076774A" w:rsidRDefault="005A7455" w:rsidP="005A7455">
      <w:pPr>
        <w:tabs>
          <w:tab w:val="left" w:pos="426"/>
          <w:tab w:val="left" w:pos="868"/>
        </w:tabs>
        <w:spacing w:before="0"/>
        <w:ind w:left="426" w:hanging="426"/>
        <w:rPr>
          <w:szCs w:val="24"/>
        </w:rPr>
      </w:pPr>
      <w:r>
        <w:rPr>
          <w:szCs w:val="24"/>
        </w:rPr>
        <w:t>g)</w:t>
      </w:r>
      <w:r>
        <w:rPr>
          <w:szCs w:val="24"/>
        </w:rPr>
        <w:tab/>
      </w:r>
      <w:r w:rsidR="0076774A" w:rsidRPr="0076774A">
        <w:rPr>
          <w:szCs w:val="24"/>
        </w:rPr>
        <w:t xml:space="preserve">cenné papíry vyjadřující právo na vydání zboží </w:t>
      </w:r>
      <w:r w:rsidR="0076774A" w:rsidRPr="0076774A">
        <w:rPr>
          <w:strike/>
          <w:szCs w:val="24"/>
        </w:rPr>
        <w:t>cenou</w:t>
      </w:r>
      <w:r w:rsidR="00A04ADF" w:rsidRPr="00A04ADF">
        <w:rPr>
          <w:szCs w:val="24"/>
        </w:rPr>
        <w:t xml:space="preserve"> </w:t>
      </w:r>
      <w:r w:rsidR="0076774A" w:rsidRPr="0076774A">
        <w:rPr>
          <w:b/>
          <w:szCs w:val="24"/>
        </w:rPr>
        <w:t>hodnotou</w:t>
      </w:r>
      <w:r w:rsidR="0076774A" w:rsidRPr="0076774A">
        <w:rPr>
          <w:szCs w:val="24"/>
        </w:rPr>
        <w:t xml:space="preserve"> tohoto zboží </w:t>
      </w:r>
      <w:r w:rsidR="0076774A" w:rsidRPr="0076774A">
        <w:rPr>
          <w:strike/>
          <w:szCs w:val="24"/>
        </w:rPr>
        <w:t>zjištěnou</w:t>
      </w:r>
      <w:r w:rsidR="00A04ADF" w:rsidRPr="00A04ADF">
        <w:rPr>
          <w:szCs w:val="24"/>
        </w:rPr>
        <w:t xml:space="preserve"> </w:t>
      </w:r>
      <w:r w:rsidR="0076774A" w:rsidRPr="0076774A">
        <w:rPr>
          <w:b/>
          <w:szCs w:val="24"/>
        </w:rPr>
        <w:t>určenou</w:t>
      </w:r>
      <w:r w:rsidR="0076774A" w:rsidRPr="0076774A">
        <w:rPr>
          <w:szCs w:val="24"/>
        </w:rPr>
        <w:t xml:space="preserve"> podle tohoto zákona,</w:t>
      </w:r>
    </w:p>
    <w:p w14:paraId="73562CC8" w14:textId="4D717573" w:rsidR="0076774A" w:rsidRPr="0076774A" w:rsidRDefault="005A7455" w:rsidP="005A7455">
      <w:pPr>
        <w:tabs>
          <w:tab w:val="left" w:pos="426"/>
          <w:tab w:val="left" w:pos="868"/>
        </w:tabs>
        <w:spacing w:before="0"/>
        <w:ind w:left="426" w:hanging="426"/>
        <w:rPr>
          <w:szCs w:val="24"/>
        </w:rPr>
      </w:pPr>
      <w:r>
        <w:rPr>
          <w:szCs w:val="24"/>
        </w:rPr>
        <w:t>h)</w:t>
      </w:r>
      <w:r>
        <w:rPr>
          <w:szCs w:val="24"/>
        </w:rPr>
        <w:tab/>
      </w:r>
      <w:r w:rsidR="0076774A" w:rsidRPr="0076774A">
        <w:rPr>
          <w:szCs w:val="24"/>
        </w:rPr>
        <w:t xml:space="preserve">ostatní cenné papíry </w:t>
      </w:r>
      <w:r w:rsidR="0076774A" w:rsidRPr="0076774A">
        <w:rPr>
          <w:strike/>
          <w:szCs w:val="24"/>
        </w:rPr>
        <w:t>cenou obvyklou</w:t>
      </w:r>
      <w:r w:rsidR="00A04ADF" w:rsidRPr="00A04ADF">
        <w:rPr>
          <w:szCs w:val="24"/>
        </w:rPr>
        <w:t xml:space="preserve"> </w:t>
      </w:r>
      <w:proofErr w:type="spellStart"/>
      <w:r w:rsidR="0076774A" w:rsidRPr="0076774A">
        <w:rPr>
          <w:b/>
          <w:szCs w:val="24"/>
        </w:rPr>
        <w:t>obvyklou</w:t>
      </w:r>
      <w:proofErr w:type="spellEnd"/>
      <w:r w:rsidR="0076774A" w:rsidRPr="0076774A">
        <w:rPr>
          <w:b/>
          <w:szCs w:val="24"/>
        </w:rPr>
        <w:t xml:space="preserve"> hodnotou</w:t>
      </w:r>
      <w:r w:rsidR="0076774A" w:rsidRPr="0076774A">
        <w:rPr>
          <w:szCs w:val="24"/>
        </w:rPr>
        <w:t>.</w:t>
      </w:r>
    </w:p>
    <w:p w14:paraId="4C00E460" w14:textId="11B84FB5" w:rsidR="0076774A" w:rsidRPr="0076774A" w:rsidRDefault="0076774A" w:rsidP="00690B81">
      <w:pPr>
        <w:tabs>
          <w:tab w:val="left" w:pos="426"/>
          <w:tab w:val="left" w:pos="868"/>
        </w:tabs>
        <w:spacing w:before="120" w:after="120"/>
        <w:rPr>
          <w:szCs w:val="24"/>
        </w:rPr>
      </w:pPr>
      <w:r w:rsidRPr="0076774A">
        <w:rPr>
          <w:szCs w:val="24"/>
        </w:rPr>
        <w:t xml:space="preserve">(2) Úroky a dividendy se do </w:t>
      </w:r>
      <w:r w:rsidRPr="0076774A">
        <w:rPr>
          <w:strike/>
          <w:szCs w:val="24"/>
        </w:rPr>
        <w:t>cen</w:t>
      </w:r>
      <w:r w:rsidR="00A04ADF" w:rsidRPr="00A04ADF">
        <w:rPr>
          <w:szCs w:val="24"/>
        </w:rPr>
        <w:t xml:space="preserve"> </w:t>
      </w:r>
      <w:r w:rsidRPr="0076774A">
        <w:rPr>
          <w:b/>
          <w:szCs w:val="24"/>
        </w:rPr>
        <w:t>hodnot</w:t>
      </w:r>
      <w:r w:rsidRPr="0076774A">
        <w:rPr>
          <w:szCs w:val="24"/>
        </w:rPr>
        <w:t xml:space="preserve"> cenných papírů zahrnují snížené o daň z příjmů, pokud je vybírána srážkou podle zvláštní sazby daně.</w:t>
      </w:r>
    </w:p>
    <w:p w14:paraId="59460A1E" w14:textId="3D200DA5" w:rsidR="0076774A" w:rsidRPr="0076774A" w:rsidRDefault="0076774A" w:rsidP="00690B81">
      <w:pPr>
        <w:tabs>
          <w:tab w:val="left" w:pos="426"/>
          <w:tab w:val="left" w:pos="868"/>
        </w:tabs>
        <w:spacing w:before="120" w:after="120"/>
        <w:rPr>
          <w:szCs w:val="24"/>
        </w:rPr>
      </w:pPr>
      <w:r w:rsidRPr="0076774A">
        <w:rPr>
          <w:szCs w:val="24"/>
        </w:rPr>
        <w:t xml:space="preserve">(3) Cenné papíry, které jsou předmětem sběratelského zájmu, se </w:t>
      </w:r>
      <w:r w:rsidRPr="0076774A">
        <w:rPr>
          <w:strike/>
          <w:szCs w:val="24"/>
        </w:rPr>
        <w:t>oceňují cenou obvyklou</w:t>
      </w:r>
      <w:r w:rsidR="00A04ADF" w:rsidRPr="00A04ADF">
        <w:rPr>
          <w:szCs w:val="24"/>
        </w:rPr>
        <w:t xml:space="preserve"> </w:t>
      </w:r>
      <w:r w:rsidRPr="0076774A">
        <w:rPr>
          <w:b/>
          <w:szCs w:val="24"/>
        </w:rPr>
        <w:t>nelze ocenit zjištěnou hodnotou</w:t>
      </w:r>
      <w:r w:rsidRPr="0076774A">
        <w:rPr>
          <w:szCs w:val="24"/>
        </w:rPr>
        <w:t>.</w:t>
      </w:r>
    </w:p>
    <w:p w14:paraId="6EFF1988" w14:textId="77777777" w:rsidR="0076774A" w:rsidRPr="0076774A" w:rsidRDefault="0076774A" w:rsidP="00690B81">
      <w:pPr>
        <w:keepNext/>
        <w:keepLines/>
        <w:tabs>
          <w:tab w:val="left" w:pos="426"/>
          <w:tab w:val="left" w:pos="868"/>
        </w:tabs>
        <w:spacing w:after="120"/>
        <w:jc w:val="center"/>
        <w:rPr>
          <w:szCs w:val="24"/>
        </w:rPr>
      </w:pPr>
      <w:r w:rsidRPr="0076774A">
        <w:rPr>
          <w:szCs w:val="24"/>
        </w:rPr>
        <w:lastRenderedPageBreak/>
        <w:t>HLAVA PÁTÁ</w:t>
      </w:r>
    </w:p>
    <w:p w14:paraId="4B83612E" w14:textId="77777777" w:rsidR="0076774A" w:rsidRPr="0076774A" w:rsidRDefault="0076774A" w:rsidP="00690B81">
      <w:pPr>
        <w:keepNext/>
        <w:keepLines/>
        <w:tabs>
          <w:tab w:val="left" w:pos="426"/>
          <w:tab w:val="left" w:pos="868"/>
        </w:tabs>
        <w:spacing w:after="120"/>
        <w:jc w:val="center"/>
        <w:rPr>
          <w:szCs w:val="24"/>
        </w:rPr>
      </w:pPr>
      <w:r w:rsidRPr="0076774A">
        <w:rPr>
          <w:strike/>
          <w:szCs w:val="24"/>
        </w:rPr>
        <w:t>OSTATNÍ</w:t>
      </w:r>
      <w:r w:rsidRPr="0076774A">
        <w:rPr>
          <w:szCs w:val="24"/>
        </w:rPr>
        <w:t xml:space="preserve"> </w:t>
      </w:r>
      <w:r w:rsidRPr="0076774A">
        <w:rPr>
          <w:b/>
          <w:szCs w:val="24"/>
        </w:rPr>
        <w:t>JINÝ</w:t>
      </w:r>
      <w:r w:rsidRPr="0076774A">
        <w:rPr>
          <w:szCs w:val="24"/>
        </w:rPr>
        <w:t xml:space="preserve"> MAJETEK</w:t>
      </w:r>
    </w:p>
    <w:p w14:paraId="0A33F569" w14:textId="77777777" w:rsidR="0076774A" w:rsidRPr="0076774A" w:rsidRDefault="0076774A" w:rsidP="00690B81">
      <w:pPr>
        <w:keepNext/>
        <w:keepLines/>
        <w:tabs>
          <w:tab w:val="left" w:pos="426"/>
          <w:tab w:val="left" w:pos="868"/>
        </w:tabs>
        <w:spacing w:after="120"/>
        <w:jc w:val="center"/>
        <w:rPr>
          <w:szCs w:val="24"/>
        </w:rPr>
      </w:pPr>
      <w:r w:rsidRPr="0076774A">
        <w:rPr>
          <w:szCs w:val="24"/>
        </w:rPr>
        <w:t>§ 21</w:t>
      </w:r>
    </w:p>
    <w:p w14:paraId="065A6C81" w14:textId="77777777" w:rsidR="0076774A" w:rsidRPr="001839FA" w:rsidRDefault="0076774A" w:rsidP="00690B81">
      <w:pPr>
        <w:keepNext/>
        <w:keepLines/>
        <w:tabs>
          <w:tab w:val="left" w:pos="426"/>
          <w:tab w:val="left" w:pos="868"/>
        </w:tabs>
        <w:spacing w:after="120"/>
        <w:jc w:val="center"/>
        <w:rPr>
          <w:b/>
          <w:szCs w:val="24"/>
        </w:rPr>
      </w:pPr>
      <w:r w:rsidRPr="001839FA">
        <w:rPr>
          <w:b/>
          <w:szCs w:val="24"/>
        </w:rPr>
        <w:t>Oceňování platebních prostředků a platebních karet, cenin a vkladů</w:t>
      </w:r>
    </w:p>
    <w:p w14:paraId="56013C8C" w14:textId="77777777" w:rsidR="0076774A" w:rsidRPr="0076774A" w:rsidRDefault="0076774A" w:rsidP="00690B81">
      <w:pPr>
        <w:tabs>
          <w:tab w:val="left" w:pos="426"/>
          <w:tab w:val="left" w:pos="868"/>
        </w:tabs>
        <w:spacing w:before="120" w:after="120"/>
        <w:rPr>
          <w:szCs w:val="24"/>
        </w:rPr>
      </w:pPr>
      <w:r w:rsidRPr="0076774A">
        <w:rPr>
          <w:szCs w:val="24"/>
        </w:rPr>
        <w:t>(1) Platný platební prostředek a cenina se oceňují jmenovitou hodnotou, na kterou znějí, pokud nejde o cenné papíry oceňované podle § 20.</w:t>
      </w:r>
    </w:p>
    <w:p w14:paraId="087C9CBB" w14:textId="0263C919" w:rsidR="0076774A" w:rsidRPr="0076774A" w:rsidRDefault="0076774A" w:rsidP="00690B81">
      <w:pPr>
        <w:tabs>
          <w:tab w:val="left" w:pos="426"/>
          <w:tab w:val="left" w:pos="868"/>
        </w:tabs>
        <w:spacing w:before="120" w:after="120"/>
        <w:rPr>
          <w:szCs w:val="24"/>
        </w:rPr>
      </w:pPr>
      <w:r w:rsidRPr="0076774A">
        <w:rPr>
          <w:szCs w:val="24"/>
        </w:rPr>
        <w:t xml:space="preserve">(2) Vklady u bank se oceňují jmenovitou hodnotou, na kterou znějí, s připočtením úroků ke dni ocenění. Úroky se do </w:t>
      </w:r>
      <w:r w:rsidRPr="0076774A">
        <w:rPr>
          <w:strike/>
          <w:szCs w:val="24"/>
        </w:rPr>
        <w:t>ceny</w:t>
      </w:r>
      <w:r w:rsidR="003A1888" w:rsidRPr="003A1888">
        <w:rPr>
          <w:szCs w:val="24"/>
        </w:rPr>
        <w:t xml:space="preserve"> </w:t>
      </w:r>
      <w:r w:rsidRPr="0076774A">
        <w:rPr>
          <w:b/>
          <w:szCs w:val="24"/>
        </w:rPr>
        <w:t>hodnoty</w:t>
      </w:r>
      <w:r w:rsidRPr="0076774A">
        <w:rPr>
          <w:szCs w:val="24"/>
        </w:rPr>
        <w:t xml:space="preserve"> zahrnují snížené o daň z příjmů, pokud je vybírána srážkou podle zvláštní sazby daně.</w:t>
      </w:r>
    </w:p>
    <w:p w14:paraId="2F956B8E" w14:textId="77777777" w:rsidR="0076774A" w:rsidRPr="0076774A" w:rsidRDefault="0076774A" w:rsidP="00690B81">
      <w:pPr>
        <w:tabs>
          <w:tab w:val="left" w:pos="426"/>
          <w:tab w:val="left" w:pos="868"/>
        </w:tabs>
        <w:spacing w:before="120" w:after="120"/>
        <w:rPr>
          <w:strike/>
          <w:szCs w:val="24"/>
        </w:rPr>
      </w:pPr>
      <w:r w:rsidRPr="0076774A">
        <w:rPr>
          <w:strike/>
          <w:szCs w:val="24"/>
        </w:rPr>
        <w:t>(3) Peněžní prostředky v cizí měně se přepočítají na české koruny kurzem devizového trhu České národní banky platným ke dni ocenění. Pro přepočet měn, které nejsou uvedeny v kurzovním lístku České národní banky, se použije kurz střed amerického dolaru k této měně vyhlášený ústřední bankou státu s touto měnou.</w:t>
      </w:r>
    </w:p>
    <w:p w14:paraId="124BF437" w14:textId="6D74F10E" w:rsidR="0076774A" w:rsidRPr="0076774A" w:rsidRDefault="0076774A" w:rsidP="00690B81">
      <w:pPr>
        <w:tabs>
          <w:tab w:val="left" w:pos="426"/>
          <w:tab w:val="left" w:pos="868"/>
        </w:tabs>
        <w:spacing w:before="120" w:after="120"/>
        <w:rPr>
          <w:szCs w:val="24"/>
        </w:rPr>
      </w:pPr>
      <w:proofErr w:type="gramStart"/>
      <w:r w:rsidRPr="00AA4E70">
        <w:rPr>
          <w:strike/>
          <w:szCs w:val="24"/>
        </w:rPr>
        <w:t>(</w:t>
      </w:r>
      <w:r w:rsidRPr="0076774A">
        <w:rPr>
          <w:strike/>
          <w:szCs w:val="24"/>
        </w:rPr>
        <w:t>4</w:t>
      </w:r>
      <w:r w:rsidR="00AA4E70">
        <w:rPr>
          <w:strike/>
          <w:szCs w:val="24"/>
        </w:rPr>
        <w:t>)</w:t>
      </w:r>
      <w:r w:rsidR="00AA4E70" w:rsidRPr="00AA4E70">
        <w:rPr>
          <w:b/>
          <w:szCs w:val="24"/>
        </w:rPr>
        <w:t>(</w:t>
      </w:r>
      <w:r w:rsidRPr="0076774A">
        <w:rPr>
          <w:b/>
          <w:szCs w:val="24"/>
        </w:rPr>
        <w:t>3</w:t>
      </w:r>
      <w:r w:rsidRPr="0076774A">
        <w:rPr>
          <w:szCs w:val="24"/>
        </w:rPr>
        <w:t>) Platební</w:t>
      </w:r>
      <w:proofErr w:type="gramEnd"/>
      <w:r w:rsidRPr="0076774A">
        <w:rPr>
          <w:szCs w:val="24"/>
        </w:rPr>
        <w:t xml:space="preserve"> karta se oceňuje jmenovitou hodnotou, na kterou zní, sníženou o vyčerpanou částku ke dni ocenění.</w:t>
      </w:r>
    </w:p>
    <w:p w14:paraId="06E49C5A" w14:textId="77777777" w:rsidR="0076774A" w:rsidRPr="0076774A" w:rsidRDefault="0076774A" w:rsidP="00A55BF8">
      <w:pPr>
        <w:tabs>
          <w:tab w:val="left" w:pos="426"/>
          <w:tab w:val="left" w:pos="868"/>
        </w:tabs>
        <w:spacing w:after="120"/>
        <w:ind w:firstLine="0"/>
        <w:jc w:val="center"/>
        <w:rPr>
          <w:szCs w:val="24"/>
        </w:rPr>
      </w:pPr>
      <w:r w:rsidRPr="0076774A">
        <w:rPr>
          <w:szCs w:val="24"/>
        </w:rPr>
        <w:t>§ 22</w:t>
      </w:r>
    </w:p>
    <w:p w14:paraId="0B4EEF48" w14:textId="77777777" w:rsidR="0076774A" w:rsidRPr="00A55BF8" w:rsidRDefault="0076774A" w:rsidP="00A55BF8">
      <w:pPr>
        <w:tabs>
          <w:tab w:val="left" w:pos="426"/>
          <w:tab w:val="left" w:pos="868"/>
        </w:tabs>
        <w:spacing w:after="120"/>
        <w:ind w:firstLine="0"/>
        <w:jc w:val="center"/>
        <w:rPr>
          <w:b/>
          <w:szCs w:val="24"/>
        </w:rPr>
      </w:pPr>
      <w:r w:rsidRPr="00A55BF8">
        <w:rPr>
          <w:b/>
          <w:szCs w:val="24"/>
        </w:rPr>
        <w:t>Oceňování pohledávek a dluhů, nároků ze životního pojištění a penzijního připojištění se státním příspěvkem</w:t>
      </w:r>
    </w:p>
    <w:p w14:paraId="6E3E54AD" w14:textId="153EED21" w:rsidR="0076774A" w:rsidRPr="0076774A" w:rsidRDefault="0076774A" w:rsidP="00690B81">
      <w:pPr>
        <w:tabs>
          <w:tab w:val="left" w:pos="426"/>
          <w:tab w:val="left" w:pos="868"/>
        </w:tabs>
        <w:spacing w:before="120" w:after="120"/>
        <w:rPr>
          <w:szCs w:val="24"/>
        </w:rPr>
      </w:pPr>
      <w:r w:rsidRPr="0076774A">
        <w:rPr>
          <w:szCs w:val="24"/>
        </w:rPr>
        <w:t xml:space="preserve">(1) Peněžitá pohledávka a peněžitý dluh se oceňují jmenovitou hodnotou, neodůvodňují-li zvláštní okolnosti, vyplývající zejména z rozhodnutí soudu, </w:t>
      </w:r>
      <w:r w:rsidRPr="0076774A">
        <w:rPr>
          <w:strike/>
          <w:szCs w:val="24"/>
        </w:rPr>
        <w:t>cenu</w:t>
      </w:r>
      <w:r w:rsidR="00A55BF8" w:rsidRPr="00A55BF8">
        <w:rPr>
          <w:szCs w:val="24"/>
        </w:rPr>
        <w:t xml:space="preserve"> </w:t>
      </w:r>
      <w:r w:rsidRPr="0076774A">
        <w:rPr>
          <w:b/>
          <w:szCs w:val="24"/>
        </w:rPr>
        <w:t>hodnotu</w:t>
      </w:r>
      <w:r w:rsidRPr="0076774A">
        <w:rPr>
          <w:szCs w:val="24"/>
        </w:rPr>
        <w:t xml:space="preserve"> vyšší nebo nižší. Ostatní pohledávky a dluhy se oceňují </w:t>
      </w:r>
      <w:r w:rsidRPr="0076774A">
        <w:rPr>
          <w:strike/>
          <w:szCs w:val="24"/>
        </w:rPr>
        <w:t>způsoby</w:t>
      </w:r>
      <w:r w:rsidRPr="0076774A">
        <w:rPr>
          <w:szCs w:val="24"/>
        </w:rPr>
        <w:t xml:space="preserve"> </w:t>
      </w:r>
      <w:r w:rsidRPr="0076774A">
        <w:rPr>
          <w:b/>
          <w:szCs w:val="24"/>
        </w:rPr>
        <w:t>oceňovacími přístupy</w:t>
      </w:r>
      <w:r w:rsidRPr="0076774A">
        <w:rPr>
          <w:szCs w:val="24"/>
        </w:rPr>
        <w:t xml:space="preserve"> uvedenými v tomto zákoně podle druhu předmětu pohledávky a dluhu.</w:t>
      </w:r>
    </w:p>
    <w:p w14:paraId="6843618A" w14:textId="77777777" w:rsidR="0076774A" w:rsidRPr="0076774A" w:rsidRDefault="0076774A" w:rsidP="00690B81">
      <w:pPr>
        <w:tabs>
          <w:tab w:val="left" w:pos="426"/>
          <w:tab w:val="left" w:pos="868"/>
        </w:tabs>
        <w:spacing w:before="120" w:after="120"/>
        <w:rPr>
          <w:szCs w:val="24"/>
        </w:rPr>
      </w:pPr>
      <w:r w:rsidRPr="0076774A">
        <w:rPr>
          <w:szCs w:val="24"/>
        </w:rPr>
        <w:t>(2) Nároky ze životního pojištění (kromě penzijního připojištění se státním příspěvkem) se oceňují částkou, která by byla vyplacena při plnění podle pojistné smlouvy ke dni ocenění nebo, nevylučuje-li to smlouva, částkou, která by odpovídala výši odkupného k datu ocenění.</w:t>
      </w:r>
    </w:p>
    <w:p w14:paraId="7C01CC29" w14:textId="19966D53" w:rsidR="0076774A" w:rsidRDefault="0076774A" w:rsidP="00690B81">
      <w:pPr>
        <w:tabs>
          <w:tab w:val="left" w:pos="426"/>
          <w:tab w:val="left" w:pos="868"/>
        </w:tabs>
        <w:spacing w:before="120" w:after="120"/>
        <w:rPr>
          <w:szCs w:val="24"/>
        </w:rPr>
      </w:pPr>
      <w:r w:rsidRPr="0076774A">
        <w:rPr>
          <w:szCs w:val="24"/>
        </w:rPr>
        <w:t>(3) Nároky z penzijního připojištění se státním příspěvkem se oceňují částkou, která by byla vyplacena při poskytnutí dávky podle smlouvy o tomto připojištění ke dni ocenění.</w:t>
      </w:r>
    </w:p>
    <w:p w14:paraId="3AECB702" w14:textId="7D823389" w:rsidR="0016191E" w:rsidRPr="0076774A" w:rsidRDefault="0016191E" w:rsidP="0016191E">
      <w:pPr>
        <w:tabs>
          <w:tab w:val="left" w:pos="426"/>
          <w:tab w:val="left" w:pos="868"/>
        </w:tabs>
        <w:spacing w:after="120"/>
        <w:ind w:firstLine="0"/>
        <w:jc w:val="center"/>
        <w:rPr>
          <w:szCs w:val="24"/>
        </w:rPr>
      </w:pPr>
      <w:r>
        <w:rPr>
          <w:szCs w:val="24"/>
        </w:rPr>
        <w:t>***</w:t>
      </w:r>
    </w:p>
    <w:p w14:paraId="6086C40F" w14:textId="77777777" w:rsidR="0076774A" w:rsidRPr="0076774A" w:rsidRDefault="0076774A" w:rsidP="00A55BF8">
      <w:pPr>
        <w:tabs>
          <w:tab w:val="left" w:pos="426"/>
          <w:tab w:val="left" w:pos="868"/>
        </w:tabs>
        <w:spacing w:after="120"/>
        <w:ind w:firstLine="0"/>
        <w:jc w:val="center"/>
        <w:rPr>
          <w:strike/>
          <w:szCs w:val="24"/>
        </w:rPr>
      </w:pPr>
      <w:r w:rsidRPr="0076774A">
        <w:rPr>
          <w:strike/>
          <w:szCs w:val="24"/>
        </w:rPr>
        <w:t>HLAVA ŠESTÁ</w:t>
      </w:r>
    </w:p>
    <w:p w14:paraId="2D1C4CD7" w14:textId="77777777" w:rsidR="0076774A" w:rsidRPr="0076774A" w:rsidRDefault="0076774A" w:rsidP="00A55BF8">
      <w:pPr>
        <w:tabs>
          <w:tab w:val="left" w:pos="426"/>
          <w:tab w:val="left" w:pos="868"/>
        </w:tabs>
        <w:spacing w:after="120"/>
        <w:ind w:firstLine="0"/>
        <w:jc w:val="center"/>
        <w:rPr>
          <w:strike/>
          <w:szCs w:val="24"/>
        </w:rPr>
      </w:pPr>
      <w:r w:rsidRPr="0076774A">
        <w:rPr>
          <w:strike/>
          <w:szCs w:val="24"/>
        </w:rPr>
        <w:t>OBCHODNÍ ZÁVOD</w:t>
      </w:r>
    </w:p>
    <w:p w14:paraId="31BCA255" w14:textId="77777777" w:rsidR="0076774A" w:rsidRPr="0076774A" w:rsidRDefault="0076774A" w:rsidP="00A55BF8">
      <w:pPr>
        <w:tabs>
          <w:tab w:val="left" w:pos="426"/>
          <w:tab w:val="left" w:pos="868"/>
        </w:tabs>
        <w:spacing w:after="120"/>
        <w:ind w:firstLine="0"/>
        <w:jc w:val="center"/>
        <w:rPr>
          <w:strike/>
          <w:szCs w:val="24"/>
        </w:rPr>
      </w:pPr>
      <w:r w:rsidRPr="0076774A">
        <w:rPr>
          <w:strike/>
          <w:szCs w:val="24"/>
        </w:rPr>
        <w:t>§ 24</w:t>
      </w:r>
    </w:p>
    <w:p w14:paraId="2CAC62A2" w14:textId="77777777" w:rsidR="0076774A" w:rsidRPr="00690B81" w:rsidRDefault="0076774A" w:rsidP="00A55BF8">
      <w:pPr>
        <w:tabs>
          <w:tab w:val="left" w:pos="426"/>
          <w:tab w:val="left" w:pos="868"/>
        </w:tabs>
        <w:spacing w:after="120"/>
        <w:ind w:firstLine="0"/>
        <w:jc w:val="center"/>
        <w:rPr>
          <w:b/>
          <w:strike/>
          <w:szCs w:val="24"/>
        </w:rPr>
      </w:pPr>
      <w:r w:rsidRPr="00690B81">
        <w:rPr>
          <w:b/>
          <w:strike/>
          <w:szCs w:val="24"/>
        </w:rPr>
        <w:t>Oceňování obchodního závodu</w:t>
      </w:r>
    </w:p>
    <w:p w14:paraId="6C50ACD4" w14:textId="77777777" w:rsidR="0076774A" w:rsidRPr="0076774A" w:rsidRDefault="0076774A" w:rsidP="00690B81">
      <w:pPr>
        <w:tabs>
          <w:tab w:val="left" w:pos="426"/>
          <w:tab w:val="left" w:pos="868"/>
        </w:tabs>
        <w:spacing w:before="120" w:after="120"/>
        <w:rPr>
          <w:strike/>
          <w:szCs w:val="24"/>
        </w:rPr>
      </w:pPr>
      <w:r w:rsidRPr="0076774A">
        <w:rPr>
          <w:strike/>
          <w:szCs w:val="24"/>
        </w:rPr>
        <w:t>(1) Obchodní závod nebo jeho část (dále jen „závod“) se oceňuje součtem cen jednotlivých druhů majetků určených podle tohoto zákona sníženým o ceny dluhů.</w:t>
      </w:r>
    </w:p>
    <w:p w14:paraId="6E0321E5" w14:textId="77777777" w:rsidR="0076774A" w:rsidRPr="0076774A" w:rsidRDefault="0076774A" w:rsidP="00690B81">
      <w:pPr>
        <w:tabs>
          <w:tab w:val="left" w:pos="426"/>
          <w:tab w:val="left" w:pos="868"/>
        </w:tabs>
        <w:spacing w:before="120" w:after="120"/>
        <w:rPr>
          <w:strike/>
          <w:szCs w:val="24"/>
        </w:rPr>
      </w:pPr>
      <w:r w:rsidRPr="0076774A">
        <w:rPr>
          <w:strike/>
          <w:szCs w:val="24"/>
        </w:rPr>
        <w:t>(2) Stanoví-li tak vyhláška, oceňuje se závod výnosovým způsobem, popřípadě jeho kombinací s oceněním podle odstavce 1.</w:t>
      </w:r>
    </w:p>
    <w:p w14:paraId="09384927" w14:textId="77777777" w:rsidR="0076774A" w:rsidRPr="0076774A" w:rsidRDefault="0076774A" w:rsidP="00690B81">
      <w:pPr>
        <w:tabs>
          <w:tab w:val="left" w:pos="426"/>
          <w:tab w:val="left" w:pos="868"/>
        </w:tabs>
        <w:spacing w:before="120" w:after="120"/>
        <w:rPr>
          <w:strike/>
          <w:szCs w:val="24"/>
        </w:rPr>
      </w:pPr>
      <w:r w:rsidRPr="0076774A">
        <w:rPr>
          <w:strike/>
          <w:szCs w:val="24"/>
        </w:rPr>
        <w:lastRenderedPageBreak/>
        <w:t>(3) Ocenění závodu výnosovým způsobem se určí jako součet diskontovaných budoucích čistých ročních výnosů závodu. Způsob zjištění těchto výnosů a diskontování stanoví vyhláška.</w:t>
      </w:r>
    </w:p>
    <w:p w14:paraId="4F5B137E" w14:textId="77777777" w:rsidR="0076774A" w:rsidRPr="0076774A" w:rsidRDefault="0076774A" w:rsidP="00690B81">
      <w:pPr>
        <w:tabs>
          <w:tab w:val="left" w:pos="426"/>
          <w:tab w:val="left" w:pos="868"/>
        </w:tabs>
        <w:spacing w:before="120" w:after="120"/>
        <w:rPr>
          <w:strike/>
          <w:szCs w:val="24"/>
        </w:rPr>
      </w:pPr>
      <w:r w:rsidRPr="0076774A">
        <w:rPr>
          <w:strike/>
          <w:szCs w:val="24"/>
        </w:rPr>
        <w:t>(4) Jestliže je při prodeji závodu sjednaná cena vyšší než cena podle odstavce 1 nebo 2, ocení se závod cenou sjednanou. Rozdíl mezi sjednanou cenou a cenou zjištěnou se považuje za cenu dobré pověsti závodu.</w:t>
      </w:r>
    </w:p>
    <w:p w14:paraId="740796B2" w14:textId="77777777" w:rsidR="0076774A" w:rsidRPr="0076774A" w:rsidRDefault="0076774A" w:rsidP="00410424">
      <w:pPr>
        <w:tabs>
          <w:tab w:val="left" w:pos="426"/>
          <w:tab w:val="left" w:pos="868"/>
        </w:tabs>
        <w:spacing w:after="120"/>
        <w:ind w:firstLine="0"/>
        <w:jc w:val="center"/>
        <w:rPr>
          <w:strike/>
          <w:szCs w:val="24"/>
        </w:rPr>
      </w:pPr>
      <w:r w:rsidRPr="0076774A">
        <w:rPr>
          <w:strike/>
          <w:szCs w:val="24"/>
        </w:rPr>
        <w:t>ČÁST DRUHÁ</w:t>
      </w:r>
    </w:p>
    <w:p w14:paraId="622D2745" w14:textId="77777777" w:rsidR="0076774A" w:rsidRPr="0076774A" w:rsidRDefault="0076774A" w:rsidP="00410424">
      <w:pPr>
        <w:tabs>
          <w:tab w:val="left" w:pos="426"/>
          <w:tab w:val="left" w:pos="868"/>
        </w:tabs>
        <w:spacing w:after="120"/>
        <w:ind w:firstLine="0"/>
        <w:jc w:val="center"/>
        <w:rPr>
          <w:b/>
          <w:szCs w:val="24"/>
        </w:rPr>
      </w:pPr>
      <w:r w:rsidRPr="0076774A">
        <w:rPr>
          <w:b/>
          <w:szCs w:val="24"/>
        </w:rPr>
        <w:t>ČÁST TŘETÍ</w:t>
      </w:r>
    </w:p>
    <w:p w14:paraId="79485E9A" w14:textId="77777777" w:rsidR="0076774A" w:rsidRPr="0076774A" w:rsidRDefault="0076774A" w:rsidP="00410424">
      <w:pPr>
        <w:tabs>
          <w:tab w:val="left" w:pos="426"/>
          <w:tab w:val="left" w:pos="868"/>
        </w:tabs>
        <w:spacing w:after="120"/>
        <w:ind w:firstLine="0"/>
        <w:jc w:val="center"/>
        <w:rPr>
          <w:szCs w:val="24"/>
        </w:rPr>
      </w:pPr>
      <w:r w:rsidRPr="0076774A">
        <w:rPr>
          <w:szCs w:val="24"/>
        </w:rPr>
        <w:t>ZMĚNA ZÁKONA Č. 526/1990 SB., O CENÁCH, VE ZNĚNÍ ZÁKONA Č. 135/1994 SB.</w:t>
      </w:r>
    </w:p>
    <w:p w14:paraId="6862204C" w14:textId="77777777" w:rsidR="0076774A" w:rsidRPr="0076774A" w:rsidRDefault="0076774A" w:rsidP="00410424">
      <w:pPr>
        <w:tabs>
          <w:tab w:val="left" w:pos="426"/>
          <w:tab w:val="left" w:pos="868"/>
        </w:tabs>
        <w:spacing w:after="120"/>
        <w:ind w:firstLine="0"/>
        <w:jc w:val="center"/>
        <w:rPr>
          <w:szCs w:val="24"/>
        </w:rPr>
      </w:pPr>
      <w:r w:rsidRPr="0076774A">
        <w:rPr>
          <w:szCs w:val="24"/>
        </w:rPr>
        <w:t>§ 25</w:t>
      </w:r>
    </w:p>
    <w:p w14:paraId="177DE23F" w14:textId="444FE8B5" w:rsidR="0076774A" w:rsidRPr="0076774A" w:rsidRDefault="0076774A" w:rsidP="00E967F8">
      <w:pPr>
        <w:tabs>
          <w:tab w:val="left" w:pos="426"/>
          <w:tab w:val="left" w:pos="868"/>
        </w:tabs>
        <w:spacing w:after="120"/>
        <w:rPr>
          <w:szCs w:val="24"/>
        </w:rPr>
      </w:pPr>
      <w:r w:rsidRPr="0076774A">
        <w:rPr>
          <w:szCs w:val="24"/>
        </w:rPr>
        <w:t>Záko</w:t>
      </w:r>
      <w:r w:rsidR="00BF5655">
        <w:rPr>
          <w:szCs w:val="24"/>
        </w:rPr>
        <w:t>n č. 526/1990 Sb.</w:t>
      </w:r>
      <w:r w:rsidRPr="0076774A">
        <w:rPr>
          <w:szCs w:val="24"/>
        </w:rPr>
        <w:t>, o cenách, ve znění zákona č. 135/1994 Sb., se mění takto:</w:t>
      </w:r>
    </w:p>
    <w:p w14:paraId="535D4E2C" w14:textId="62127E35" w:rsidR="0076774A" w:rsidRPr="0076774A" w:rsidRDefault="0076774A" w:rsidP="00BF5655">
      <w:pPr>
        <w:tabs>
          <w:tab w:val="left" w:pos="426"/>
          <w:tab w:val="left" w:pos="868"/>
        </w:tabs>
        <w:spacing w:after="120"/>
        <w:ind w:firstLine="284"/>
        <w:rPr>
          <w:szCs w:val="24"/>
        </w:rPr>
      </w:pPr>
      <w:r w:rsidRPr="0076774A">
        <w:rPr>
          <w:szCs w:val="24"/>
        </w:rPr>
        <w:t>§ 1 odst. 2 včetně poznámky č.</w:t>
      </w:r>
      <w:r w:rsidR="008C002D">
        <w:rPr>
          <w:szCs w:val="24"/>
        </w:rPr>
        <w:t xml:space="preserve"> </w:t>
      </w:r>
      <w:r w:rsidRPr="000E017B">
        <w:rPr>
          <w:szCs w:val="24"/>
        </w:rPr>
        <w:t>1)</w:t>
      </w:r>
      <w:r w:rsidRPr="0076774A">
        <w:rPr>
          <w:szCs w:val="24"/>
        </w:rPr>
        <w:t xml:space="preserve"> zní:</w:t>
      </w:r>
    </w:p>
    <w:p w14:paraId="3D8CCC2B" w14:textId="77777777" w:rsidR="0076774A" w:rsidRPr="0076774A" w:rsidRDefault="0076774A" w:rsidP="005A7455">
      <w:pPr>
        <w:tabs>
          <w:tab w:val="left" w:pos="426"/>
          <w:tab w:val="left" w:pos="868"/>
        </w:tabs>
        <w:spacing w:before="0"/>
        <w:ind w:firstLine="426"/>
        <w:rPr>
          <w:szCs w:val="24"/>
        </w:rPr>
      </w:pPr>
      <w:r w:rsidRPr="0076774A">
        <w:rPr>
          <w:szCs w:val="24"/>
        </w:rPr>
        <w:t>"(2) Cena je peněžní částka</w:t>
      </w:r>
    </w:p>
    <w:p w14:paraId="5D8173D2" w14:textId="7E5C23A2" w:rsidR="0076774A" w:rsidRPr="0076774A" w:rsidRDefault="000E017B" w:rsidP="00BF5655">
      <w:pPr>
        <w:tabs>
          <w:tab w:val="left" w:pos="426"/>
          <w:tab w:val="left" w:pos="868"/>
        </w:tabs>
        <w:spacing w:before="0"/>
        <w:ind w:firstLine="0"/>
        <w:rPr>
          <w:szCs w:val="24"/>
        </w:rPr>
      </w:pPr>
      <w:r>
        <w:rPr>
          <w:szCs w:val="24"/>
        </w:rPr>
        <w:t>a)</w:t>
      </w:r>
      <w:r>
        <w:rPr>
          <w:szCs w:val="24"/>
        </w:rPr>
        <w:tab/>
      </w:r>
      <w:r w:rsidR="0076774A" w:rsidRPr="0076774A">
        <w:rPr>
          <w:szCs w:val="24"/>
        </w:rPr>
        <w:t>sjednaná při nákupu a prodeji zboží podle § 2 až 13 nebo</w:t>
      </w:r>
    </w:p>
    <w:p w14:paraId="4A453633" w14:textId="52A0B7C3" w:rsidR="0076774A" w:rsidRPr="0076774A" w:rsidRDefault="000E017B" w:rsidP="00BF5655">
      <w:pPr>
        <w:tabs>
          <w:tab w:val="left" w:pos="426"/>
          <w:tab w:val="left" w:pos="868"/>
        </w:tabs>
        <w:spacing w:before="0"/>
        <w:ind w:firstLine="0"/>
        <w:rPr>
          <w:szCs w:val="24"/>
        </w:rPr>
      </w:pPr>
      <w:r>
        <w:rPr>
          <w:szCs w:val="24"/>
        </w:rPr>
        <w:t>b)</w:t>
      </w:r>
      <w:r>
        <w:rPr>
          <w:szCs w:val="24"/>
        </w:rPr>
        <w:tab/>
      </w:r>
      <w:r w:rsidR="0076774A" w:rsidRPr="0076774A">
        <w:rPr>
          <w:szCs w:val="24"/>
        </w:rPr>
        <w:t>zjištěná podle zvláštního předpisu1) k jiným účelům než k prodeji.</w:t>
      </w:r>
    </w:p>
    <w:p w14:paraId="5C3D267B" w14:textId="77777777" w:rsidR="0076774A" w:rsidRPr="0076774A" w:rsidRDefault="0076774A" w:rsidP="00BF5655">
      <w:pPr>
        <w:tabs>
          <w:tab w:val="left" w:pos="426"/>
          <w:tab w:val="left" w:pos="868"/>
        </w:tabs>
        <w:spacing w:after="120"/>
        <w:ind w:firstLine="0"/>
        <w:rPr>
          <w:szCs w:val="24"/>
        </w:rPr>
      </w:pPr>
      <w:r w:rsidRPr="00BF5655">
        <w:rPr>
          <w:szCs w:val="24"/>
          <w:vertAlign w:val="superscript"/>
        </w:rPr>
        <w:t>1)</w:t>
      </w:r>
      <w:r w:rsidRPr="0076774A">
        <w:rPr>
          <w:szCs w:val="24"/>
        </w:rPr>
        <w:t xml:space="preserve"> Zákon č. 151/1997 Sb., o oceňování majetku a o změně některých zákonů (zákon o oceňování majetku).".</w:t>
      </w:r>
    </w:p>
    <w:p w14:paraId="30FA225D" w14:textId="77777777" w:rsidR="0076774A" w:rsidRPr="0076774A" w:rsidRDefault="0076774A" w:rsidP="00C85EF6">
      <w:pPr>
        <w:tabs>
          <w:tab w:val="left" w:pos="426"/>
          <w:tab w:val="left" w:pos="868"/>
        </w:tabs>
        <w:spacing w:after="120"/>
        <w:ind w:firstLine="0"/>
        <w:jc w:val="center"/>
        <w:rPr>
          <w:strike/>
          <w:szCs w:val="24"/>
        </w:rPr>
      </w:pPr>
      <w:r w:rsidRPr="0076774A">
        <w:rPr>
          <w:strike/>
          <w:szCs w:val="24"/>
        </w:rPr>
        <w:t>ČÁST TŘETÍ</w:t>
      </w:r>
    </w:p>
    <w:p w14:paraId="07050FEC" w14:textId="77777777" w:rsidR="0076774A" w:rsidRPr="0076774A" w:rsidRDefault="0076774A" w:rsidP="00C85EF6">
      <w:pPr>
        <w:tabs>
          <w:tab w:val="left" w:pos="426"/>
          <w:tab w:val="left" w:pos="868"/>
        </w:tabs>
        <w:spacing w:after="120"/>
        <w:ind w:firstLine="0"/>
        <w:jc w:val="center"/>
        <w:rPr>
          <w:b/>
          <w:szCs w:val="24"/>
        </w:rPr>
      </w:pPr>
      <w:r w:rsidRPr="0076774A">
        <w:rPr>
          <w:b/>
          <w:szCs w:val="24"/>
        </w:rPr>
        <w:t>ČÁST ČTVRTÁ</w:t>
      </w:r>
    </w:p>
    <w:p w14:paraId="684084CF" w14:textId="77777777" w:rsidR="0076774A" w:rsidRPr="0076774A" w:rsidRDefault="0076774A" w:rsidP="00C85EF6">
      <w:pPr>
        <w:tabs>
          <w:tab w:val="left" w:pos="426"/>
          <w:tab w:val="left" w:pos="868"/>
        </w:tabs>
        <w:spacing w:after="120"/>
        <w:ind w:firstLine="0"/>
        <w:jc w:val="center"/>
        <w:rPr>
          <w:szCs w:val="24"/>
        </w:rPr>
      </w:pPr>
      <w:r w:rsidRPr="0076774A">
        <w:rPr>
          <w:szCs w:val="24"/>
        </w:rPr>
        <w:t>ZMĚNA ZÁKONA ČESKÉ NÁRODNÍ RADY Č. 265/1991 SB., O PŮSOBNOSTI ORGÁNŮ ČESKÉ REPUBLIKY V OBLASTI CEN, VE ZNĚNÍ ZÁKONA Č. 135/1994 SB.</w:t>
      </w:r>
    </w:p>
    <w:p w14:paraId="0E33DC42" w14:textId="77777777" w:rsidR="0076774A" w:rsidRPr="0076774A" w:rsidRDefault="0076774A" w:rsidP="00C85EF6">
      <w:pPr>
        <w:tabs>
          <w:tab w:val="left" w:pos="426"/>
          <w:tab w:val="left" w:pos="868"/>
        </w:tabs>
        <w:spacing w:after="120"/>
        <w:ind w:firstLine="0"/>
        <w:jc w:val="center"/>
        <w:rPr>
          <w:szCs w:val="24"/>
        </w:rPr>
      </w:pPr>
      <w:r w:rsidRPr="0076774A">
        <w:rPr>
          <w:szCs w:val="24"/>
        </w:rPr>
        <w:t>§ 26</w:t>
      </w:r>
    </w:p>
    <w:p w14:paraId="76958865" w14:textId="77777777" w:rsidR="0076774A" w:rsidRPr="0076774A" w:rsidRDefault="0076774A" w:rsidP="00E967F8">
      <w:pPr>
        <w:tabs>
          <w:tab w:val="left" w:pos="426"/>
          <w:tab w:val="left" w:pos="868"/>
        </w:tabs>
        <w:spacing w:after="120"/>
        <w:rPr>
          <w:szCs w:val="24"/>
        </w:rPr>
      </w:pPr>
      <w:r w:rsidRPr="0076774A">
        <w:rPr>
          <w:szCs w:val="24"/>
        </w:rPr>
        <w:t>Zákon České národní rady č. 265/1991 Sb., o působnosti orgánů České republiky v oblasti cen, ve znění zákona č. 135/1994 Sb., se mění takto:</w:t>
      </w:r>
    </w:p>
    <w:p w14:paraId="619E8246" w14:textId="0CE41C47" w:rsidR="0076774A" w:rsidRPr="0076774A" w:rsidRDefault="005A7455" w:rsidP="005A7455">
      <w:pPr>
        <w:tabs>
          <w:tab w:val="left" w:pos="709"/>
          <w:tab w:val="left" w:pos="868"/>
        </w:tabs>
        <w:spacing w:after="120"/>
        <w:ind w:left="567" w:hanging="567"/>
        <w:rPr>
          <w:szCs w:val="24"/>
        </w:rPr>
      </w:pPr>
      <w:r>
        <w:rPr>
          <w:szCs w:val="24"/>
        </w:rPr>
        <w:t>1.</w:t>
      </w:r>
      <w:r>
        <w:rPr>
          <w:szCs w:val="24"/>
        </w:rPr>
        <w:tab/>
      </w:r>
      <w:r w:rsidR="0076774A" w:rsidRPr="0076774A">
        <w:rPr>
          <w:szCs w:val="24"/>
        </w:rPr>
        <w:t>V § 2 odst. 2 se písmeno b) vypouští, označení písmenem a) se ruší a na jeho konci se čárka nahrazuje tečkou.</w:t>
      </w:r>
    </w:p>
    <w:p w14:paraId="18F8B3BD" w14:textId="3C74D727" w:rsidR="0076774A" w:rsidRPr="0076774A" w:rsidRDefault="005A7455" w:rsidP="005A7455">
      <w:pPr>
        <w:tabs>
          <w:tab w:val="left" w:pos="709"/>
          <w:tab w:val="left" w:pos="868"/>
        </w:tabs>
        <w:spacing w:after="120"/>
        <w:ind w:left="567" w:hanging="567"/>
        <w:rPr>
          <w:szCs w:val="24"/>
        </w:rPr>
      </w:pPr>
      <w:r>
        <w:rPr>
          <w:szCs w:val="24"/>
        </w:rPr>
        <w:t>2.</w:t>
      </w:r>
      <w:r>
        <w:rPr>
          <w:szCs w:val="24"/>
        </w:rPr>
        <w:tab/>
      </w:r>
      <w:r w:rsidR="0076774A" w:rsidRPr="0076774A">
        <w:rPr>
          <w:szCs w:val="24"/>
        </w:rPr>
        <w:t>V § 4a odst. 1 se písmeno d) vypouští a na konci písmene c) se čárka nahrazuje tečkou.</w:t>
      </w:r>
    </w:p>
    <w:p w14:paraId="4826E0BA" w14:textId="0D4C79A3" w:rsidR="000E017B" w:rsidRDefault="000E017B" w:rsidP="000E017B">
      <w:pPr>
        <w:tabs>
          <w:tab w:val="left" w:pos="426"/>
          <w:tab w:val="left" w:pos="868"/>
        </w:tabs>
        <w:spacing w:after="120"/>
        <w:ind w:firstLine="0"/>
        <w:jc w:val="center"/>
        <w:rPr>
          <w:szCs w:val="24"/>
        </w:rPr>
      </w:pPr>
      <w:r>
        <w:rPr>
          <w:szCs w:val="24"/>
        </w:rPr>
        <w:t>***</w:t>
      </w:r>
    </w:p>
    <w:p w14:paraId="5D14B624" w14:textId="77777777" w:rsidR="0076774A" w:rsidRPr="0076774A" w:rsidRDefault="0076774A" w:rsidP="000E017B">
      <w:pPr>
        <w:tabs>
          <w:tab w:val="left" w:pos="426"/>
          <w:tab w:val="left" w:pos="868"/>
        </w:tabs>
        <w:spacing w:after="120"/>
        <w:ind w:firstLine="0"/>
        <w:jc w:val="center"/>
        <w:rPr>
          <w:szCs w:val="24"/>
        </w:rPr>
      </w:pPr>
      <w:r w:rsidRPr="0076774A">
        <w:rPr>
          <w:szCs w:val="24"/>
        </w:rPr>
        <w:t>§ 33</w:t>
      </w:r>
    </w:p>
    <w:p w14:paraId="7E9C62C2" w14:textId="227DB6CF" w:rsidR="0076774A" w:rsidRPr="005A7455" w:rsidRDefault="005A7455" w:rsidP="00690B81">
      <w:pPr>
        <w:tabs>
          <w:tab w:val="left" w:pos="426"/>
          <w:tab w:val="left" w:pos="868"/>
        </w:tabs>
        <w:spacing w:before="120" w:after="120"/>
        <w:rPr>
          <w:strike/>
          <w:szCs w:val="24"/>
        </w:rPr>
      </w:pPr>
      <w:r>
        <w:rPr>
          <w:strike/>
          <w:szCs w:val="24"/>
        </w:rPr>
        <w:t xml:space="preserve">(1) </w:t>
      </w:r>
      <w:r w:rsidR="0076774A" w:rsidRPr="005A7455">
        <w:rPr>
          <w:strike/>
          <w:szCs w:val="24"/>
        </w:rPr>
        <w:t>Ministerstvo financí vydá vyhlášku k provedení § 2§ 2a až 13, a § 15 až 17 a § 24 a k ocenění některých věcí movitých a služeb.</w:t>
      </w:r>
    </w:p>
    <w:p w14:paraId="5085AAF4" w14:textId="77777777" w:rsidR="0076774A" w:rsidRPr="0076774A" w:rsidRDefault="0076774A" w:rsidP="00690B81">
      <w:pPr>
        <w:tabs>
          <w:tab w:val="left" w:pos="426"/>
          <w:tab w:val="left" w:pos="868"/>
        </w:tabs>
        <w:spacing w:before="120" w:after="120"/>
        <w:rPr>
          <w:b/>
          <w:strike/>
          <w:szCs w:val="24"/>
        </w:rPr>
      </w:pPr>
      <w:r w:rsidRPr="0076774A">
        <w:rPr>
          <w:b/>
          <w:szCs w:val="24"/>
        </w:rPr>
        <w:t>(1) Ministerstvo financí stanoví vyhláškou podrobnosti k oceňování zjištěnou hodnotou.</w:t>
      </w:r>
    </w:p>
    <w:p w14:paraId="32FC43DC" w14:textId="77777777" w:rsidR="0076774A" w:rsidRPr="0076774A" w:rsidRDefault="0076774A" w:rsidP="00690B81">
      <w:pPr>
        <w:tabs>
          <w:tab w:val="left" w:pos="426"/>
          <w:tab w:val="left" w:pos="868"/>
        </w:tabs>
        <w:spacing w:before="120" w:after="120"/>
        <w:rPr>
          <w:szCs w:val="24"/>
        </w:rPr>
      </w:pPr>
      <w:r w:rsidRPr="0076774A">
        <w:rPr>
          <w:szCs w:val="24"/>
        </w:rPr>
        <w:lastRenderedPageBreak/>
        <w:t>(2) Obce mohou v rozsahu a za podmínek uvedených v § 10 stanovit obecně závaznou vyhláškou ceny stavebních pozemků v cenových mapách. Pro tento účel prodávající při prodeji stavebního pozemku zašle obci, na jejímž území pozemek leží, a to jen v případech a za podmínek stanovených obecně závaznou vyhláškou obce, informaci o jeho sjednané ceně za m</w:t>
      </w:r>
      <w:r w:rsidRPr="0076774A">
        <w:rPr>
          <w:szCs w:val="24"/>
          <w:vertAlign w:val="superscript"/>
        </w:rPr>
        <w:t>2</w:t>
      </w:r>
      <w:r w:rsidRPr="0076774A">
        <w:rPr>
          <w:szCs w:val="24"/>
        </w:rPr>
        <w:t>, o parcelním čísle a názvu katastrálního území.</w:t>
      </w:r>
    </w:p>
    <w:p w14:paraId="12C41402" w14:textId="09921073" w:rsidR="0076774A" w:rsidRPr="0076774A" w:rsidRDefault="0076774A" w:rsidP="00690B81">
      <w:pPr>
        <w:tabs>
          <w:tab w:val="left" w:pos="426"/>
          <w:tab w:val="left" w:pos="868"/>
        </w:tabs>
        <w:spacing w:before="120" w:after="120"/>
        <w:rPr>
          <w:szCs w:val="24"/>
        </w:rPr>
      </w:pPr>
      <w:r w:rsidRPr="0076774A">
        <w:rPr>
          <w:szCs w:val="24"/>
        </w:rPr>
        <w:t>(3) Finanční úřady shromažďují v daňových spisech obsažené údaje o</w:t>
      </w:r>
      <w:r w:rsidRPr="0076774A">
        <w:rPr>
          <w:strike/>
          <w:szCs w:val="24"/>
        </w:rPr>
        <w:t xml:space="preserve"> cenách zjištěných</w:t>
      </w:r>
      <w:r w:rsidR="000E017B" w:rsidRPr="000E017B">
        <w:rPr>
          <w:szCs w:val="24"/>
        </w:rPr>
        <w:t xml:space="preserve"> </w:t>
      </w:r>
      <w:r w:rsidRPr="0076774A">
        <w:rPr>
          <w:b/>
          <w:szCs w:val="24"/>
        </w:rPr>
        <w:t>hodnotách určených</w:t>
      </w:r>
      <w:r w:rsidRPr="0076774A">
        <w:rPr>
          <w:szCs w:val="24"/>
        </w:rPr>
        <w:t xml:space="preserve"> při oceňování nemovitých věcí a o cenách sjednaných za tyto nemovité věci v případě jejich prodeje. Finanční úřady předávají údaje Ministerstvu financí a Českému statistickému úřadu.</w:t>
      </w:r>
    </w:p>
    <w:p w14:paraId="07405657" w14:textId="77777777" w:rsidR="0076774A" w:rsidRPr="0076774A" w:rsidRDefault="0076774A" w:rsidP="00690B81">
      <w:pPr>
        <w:tabs>
          <w:tab w:val="left" w:pos="426"/>
          <w:tab w:val="left" w:pos="868"/>
        </w:tabs>
        <w:spacing w:before="120" w:after="120"/>
        <w:rPr>
          <w:szCs w:val="24"/>
        </w:rPr>
      </w:pPr>
      <w:r w:rsidRPr="0076774A">
        <w:rPr>
          <w:szCs w:val="24"/>
        </w:rPr>
        <w:t>(4) Ministerstvo financí má bezplatný dálkový přístup k údajům a informacím o stavbách vedeným v informačních systémech veřejné správy podle § 267 odst. 2 písm. a) až e) stavebního zákona.</w:t>
      </w:r>
    </w:p>
    <w:p w14:paraId="4A3CF144" w14:textId="77777777" w:rsidR="0076774A" w:rsidRPr="0076774A" w:rsidRDefault="0076774A" w:rsidP="00690B81">
      <w:pPr>
        <w:tabs>
          <w:tab w:val="left" w:pos="426"/>
          <w:tab w:val="left" w:pos="868"/>
        </w:tabs>
        <w:spacing w:before="120" w:after="120"/>
        <w:rPr>
          <w:szCs w:val="24"/>
        </w:rPr>
      </w:pPr>
      <w:r w:rsidRPr="0076774A">
        <w:rPr>
          <w:szCs w:val="24"/>
        </w:rPr>
        <w:t>(5) Ministerstvo financí v případě potřeby zpracovává a vydává pro nemovité věci a určenou část území České republiky cenové mapy nájemného v podobě přehledů výstupních číselných územně lokalizovaných hodnot, případně jejich grafického znázornění v měřítku a podrobnosti odpovídající velikosti určeného území s vyznačením alespoň katastrálních hranic, silniční a uliční sítě, hranic obcí, měst a jim příslušejících názvů.</w:t>
      </w:r>
    </w:p>
    <w:p w14:paraId="2E1728C2" w14:textId="41C29D1F" w:rsidR="00E75796" w:rsidRPr="0076774A" w:rsidRDefault="0076774A" w:rsidP="00690B81">
      <w:pPr>
        <w:tabs>
          <w:tab w:val="left" w:pos="426"/>
          <w:tab w:val="left" w:pos="868"/>
        </w:tabs>
        <w:spacing w:before="120" w:after="120"/>
        <w:rPr>
          <w:szCs w:val="24"/>
        </w:rPr>
      </w:pPr>
      <w:r w:rsidRPr="0076774A">
        <w:rPr>
          <w:szCs w:val="24"/>
        </w:rPr>
        <w:t>(6) Ministerstvo financí stanoví vyhláškou podrobnosti zpracovávání, vydávání a zveře</w:t>
      </w:r>
      <w:r w:rsidR="008C002D">
        <w:rPr>
          <w:szCs w:val="24"/>
        </w:rPr>
        <w:t>jňování cenových map nájemného.</w:t>
      </w:r>
    </w:p>
    <w:p w14:paraId="30B7F1A2" w14:textId="77777777" w:rsidR="00E75796" w:rsidRDefault="00E75796" w:rsidP="00E75796">
      <w:pPr>
        <w:pStyle w:val="Textparagrafu"/>
        <w:tabs>
          <w:tab w:val="left" w:pos="406"/>
          <w:tab w:val="left" w:pos="840"/>
          <w:tab w:val="left" w:pos="868"/>
        </w:tabs>
        <w:spacing w:after="120"/>
        <w:ind w:firstLine="0"/>
        <w:jc w:val="center"/>
        <w:sectPr w:rsidR="00E75796" w:rsidSect="00554E2B">
          <w:footnotePr>
            <w:numStart w:val="3"/>
          </w:footnotePr>
          <w:endnotePr>
            <w:numFmt w:val="decimal"/>
          </w:endnotePr>
          <w:pgSz w:w="11906" w:h="16838"/>
          <w:pgMar w:top="1418" w:right="1418" w:bottom="1418" w:left="1418" w:header="709" w:footer="709" w:gutter="0"/>
          <w:cols w:space="708"/>
          <w:docGrid w:linePitch="360"/>
        </w:sectPr>
      </w:pPr>
    </w:p>
    <w:p w14:paraId="29B8F78D" w14:textId="6094C656" w:rsidR="00E75796" w:rsidRPr="00460F76" w:rsidRDefault="00E75796" w:rsidP="00690B81">
      <w:pPr>
        <w:tabs>
          <w:tab w:val="left" w:pos="851"/>
        </w:tabs>
        <w:spacing w:before="120" w:after="120"/>
        <w:ind w:firstLine="0"/>
        <w:jc w:val="center"/>
        <w:outlineLvl w:val="0"/>
        <w:rPr>
          <w:szCs w:val="24"/>
        </w:rPr>
      </w:pPr>
      <w:r w:rsidRPr="00460F76">
        <w:rPr>
          <w:b/>
          <w:szCs w:val="24"/>
        </w:rPr>
        <w:lastRenderedPageBreak/>
        <w:t xml:space="preserve">K části třicáté </w:t>
      </w:r>
      <w:r w:rsidR="00460F76" w:rsidRPr="00460F76">
        <w:rPr>
          <w:b/>
          <w:szCs w:val="24"/>
        </w:rPr>
        <w:t>šesté</w:t>
      </w:r>
      <w:r w:rsidRPr="00460F76">
        <w:rPr>
          <w:b/>
          <w:szCs w:val="24"/>
        </w:rPr>
        <w:t xml:space="preserve"> návrhu zákona – </w:t>
      </w:r>
      <w:r w:rsidRPr="00460F76">
        <w:rPr>
          <w:szCs w:val="24"/>
        </w:rPr>
        <w:t xml:space="preserve">změna zákona </w:t>
      </w:r>
      <w:r w:rsidR="00460F76" w:rsidRPr="00460F76">
        <w:rPr>
          <w:szCs w:val="24"/>
        </w:rPr>
        <w:t>o dohledu v oblasti kapitálového trhu a o změně a doplnění dalších zákonů</w:t>
      </w:r>
    </w:p>
    <w:p w14:paraId="37FD93AC" w14:textId="77777777" w:rsidR="00E75796" w:rsidRPr="00460F76" w:rsidRDefault="00E75796" w:rsidP="00E75796">
      <w:pPr>
        <w:pStyle w:val="Odstavecseseznamem"/>
        <w:tabs>
          <w:tab w:val="left" w:pos="851"/>
        </w:tabs>
        <w:spacing w:before="120" w:after="120"/>
        <w:ind w:left="0" w:firstLine="0"/>
        <w:outlineLvl w:val="0"/>
        <w:rPr>
          <w:b/>
          <w:szCs w:val="24"/>
        </w:rPr>
      </w:pPr>
    </w:p>
    <w:p w14:paraId="1616F0D9" w14:textId="17753715" w:rsidR="00E75796" w:rsidRPr="00460F76" w:rsidRDefault="00E75796" w:rsidP="00E75796">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460F76">
        <w:rPr>
          <w:b/>
          <w:szCs w:val="24"/>
        </w:rPr>
        <w:t>Platné znění</w:t>
      </w:r>
      <w:r w:rsidRPr="00460F76">
        <w:rPr>
          <w:szCs w:val="24"/>
        </w:rPr>
        <w:t xml:space="preserve"> zákona </w:t>
      </w:r>
      <w:r w:rsidRPr="00460F76">
        <w:rPr>
          <w:color w:val="000000"/>
          <w:szCs w:val="24"/>
        </w:rPr>
        <w:t>č.15/</w:t>
      </w:r>
      <w:r w:rsidRPr="00460F76">
        <w:rPr>
          <w:szCs w:val="24"/>
        </w:rPr>
        <w:t>1998 Sb., o dohledu v oblasti kapitálového trhu a o změně a doplnění dalších zákonů</w:t>
      </w:r>
    </w:p>
    <w:p w14:paraId="092273A0" w14:textId="4E2C0208" w:rsidR="00E75796" w:rsidRPr="00460F76" w:rsidRDefault="00690B81" w:rsidP="00E75796">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AE4818">
        <w:rPr>
          <w:b/>
          <w:szCs w:val="24"/>
          <w:lang w:eastAsia="en-US"/>
        </w:rPr>
        <w:t>s vyznačením navrhovaných změn a doplnění k 1. lednu 2025</w:t>
      </w:r>
    </w:p>
    <w:p w14:paraId="52543B64" w14:textId="77777777" w:rsidR="00E75796" w:rsidRPr="00460F76" w:rsidRDefault="00E75796" w:rsidP="00E75796">
      <w:pPr>
        <w:pStyle w:val="Textparagrafu"/>
        <w:tabs>
          <w:tab w:val="left" w:pos="406"/>
          <w:tab w:val="left" w:pos="840"/>
          <w:tab w:val="left" w:pos="868"/>
        </w:tabs>
        <w:spacing w:after="120"/>
        <w:ind w:firstLine="0"/>
        <w:jc w:val="center"/>
      </w:pPr>
      <w:r w:rsidRPr="00460F76">
        <w:t>***</w:t>
      </w:r>
    </w:p>
    <w:p w14:paraId="5021ACFC" w14:textId="77777777" w:rsidR="00E633ED" w:rsidRDefault="00E633ED" w:rsidP="00E633ED">
      <w:pPr>
        <w:pStyle w:val="Paragraf"/>
        <w:numPr>
          <w:ilvl w:val="0"/>
          <w:numId w:val="29"/>
        </w:numPr>
      </w:pPr>
      <w:r>
        <w:t>§ 26</w:t>
      </w:r>
    </w:p>
    <w:p w14:paraId="36F62454" w14:textId="77777777" w:rsidR="00E633ED" w:rsidRPr="00EB45E4" w:rsidRDefault="00E633ED" w:rsidP="00E633ED">
      <w:pPr>
        <w:pStyle w:val="Nadpisparagrafu"/>
        <w:numPr>
          <w:ilvl w:val="0"/>
          <w:numId w:val="29"/>
        </w:numPr>
      </w:pPr>
      <w:r>
        <w:t>Povinnost mlčenlivosti a mezinárodní spolupráce</w:t>
      </w:r>
    </w:p>
    <w:p w14:paraId="1BDC69C2" w14:textId="77777777" w:rsidR="00E633ED" w:rsidRDefault="00E633ED" w:rsidP="00E633ED">
      <w:pPr>
        <w:pStyle w:val="PZTextodstavce"/>
      </w:pPr>
      <w:r>
        <w:t xml:space="preserve">(1) </w:t>
      </w:r>
      <w:r w:rsidRPr="003628FF">
        <w:t>Zaměstnanci České národní banky vykonávající dohled v oblasti kapitálového trhu a osoby, jejichž služeb Česká národní banka využívá při výkonu dohledu nad kapitálovým trhem, a jejich zaměstnanci a členové poradních orgánů České národní banky pro oblast kapitálového trhu jsou povinni zachovávat mlčenlivost o všech informacích získaných v souvislosti s výkonem své činnosti, funkce nebo svého zaměstnání v oblasti dohledu nad kapitálovým trhem. Informace podle věty první může osoba, která má povinnost mlčenlivosti, použít jen způsobem a v rozsahu nutném pro plnění úkolů nebo výkon funkce v oblasti dohledu nad kapitálovým trhem nebo v soudním řízení vedeném v souvislosti s rozhodnutím nebo výkonem dohledu nad kapitálovým trhem nebo v obdobném mezinárodním řízení. Tyto informace mohou být použity i pro jiné účely než podle věty druhé, pokud s tím vysloví souhlas osoba, která informace poskytla. Porušením povinnosti mlčenlivosti není poskytnutí informace třetí osobě v souhrnné podobě tak, že nelze identifikovat konkrétní subjekt, kterého se informace týká. Povinnost mlčenlivosti trvá i po skončení činnosti, zaměstnání nebo funkce, které tuto povinnost založily.</w:t>
      </w:r>
    </w:p>
    <w:p w14:paraId="71D1F6A3" w14:textId="77777777" w:rsidR="00E633ED" w:rsidRDefault="00E633ED" w:rsidP="00E633ED">
      <w:pPr>
        <w:pStyle w:val="PZTextodstavce"/>
      </w:pPr>
      <w:r>
        <w:t xml:space="preserve">(2) </w:t>
      </w:r>
      <w:r w:rsidRPr="003628FF">
        <w:t>Porušením mlčenlivosti podle odstavce 1 a čl. 27 nařízení Evropského parlamentu a Rady (EU) č. 596/2014 není poskytnutí informace</w:t>
      </w:r>
    </w:p>
    <w:p w14:paraId="1EEFD024" w14:textId="77777777" w:rsidR="00E633ED" w:rsidRDefault="00E633ED" w:rsidP="00393B51">
      <w:pPr>
        <w:pStyle w:val="PZTextpsmene"/>
        <w:spacing w:before="0"/>
      </w:pPr>
      <w:r>
        <w:t>a)</w:t>
      </w:r>
      <w:r>
        <w:tab/>
        <w:t>zaměstnancům České národní banky, kteří spolupůsobí při výkonu dohledu nad finančním trhem v České republice a při řešení krize podle zákona upravujícího ozdravné postupy a řešení krize na finančním trhu,</w:t>
      </w:r>
    </w:p>
    <w:p w14:paraId="7110B18B" w14:textId="77777777" w:rsidR="00E633ED" w:rsidRDefault="00E633ED" w:rsidP="00393B51">
      <w:pPr>
        <w:pStyle w:val="PZTextpsmene"/>
        <w:spacing w:before="0"/>
      </w:pPr>
      <w:r>
        <w:t>b)</w:t>
      </w:r>
      <w:r>
        <w:tab/>
        <w:t>úřadu v členském státě, který působí při výkonu dohledu nad finančním trhem,</w:t>
      </w:r>
    </w:p>
    <w:p w14:paraId="287811BE" w14:textId="77777777" w:rsidR="00E633ED" w:rsidRDefault="00E633ED" w:rsidP="00393B51">
      <w:pPr>
        <w:pStyle w:val="PZTextpsmene"/>
        <w:spacing w:before="0"/>
      </w:pPr>
      <w:r>
        <w:t>c)</w:t>
      </w:r>
      <w:r>
        <w:tab/>
        <w:t>osobě se sídlem nebo trvalým pobytem v České republice nebo členském státě, která je</w:t>
      </w:r>
    </w:p>
    <w:p w14:paraId="214D5D66" w14:textId="77777777" w:rsidR="00E633ED" w:rsidRDefault="00E633ED" w:rsidP="00393B51">
      <w:pPr>
        <w:pStyle w:val="Textpsmene"/>
        <w:numPr>
          <w:ilvl w:val="4"/>
          <w:numId w:val="29"/>
        </w:numPr>
        <w:spacing w:before="0"/>
      </w:pPr>
      <w:r>
        <w:t>likvidátorem, nuceným správcem, dočasným správcem, osobou vykonávající správu pro řešení krize podle zákona upravujícího ozdravné postupy a řešení krize na finančním trhu, insolvenčním správcem nebo osobou s obdobnou funkcí vykonávanou v subjektu působícím na finančním trhu a podléhajícím dohledu,</w:t>
      </w:r>
    </w:p>
    <w:p w14:paraId="3004CE73" w14:textId="77777777" w:rsidR="00E633ED" w:rsidRDefault="00E633ED" w:rsidP="00393B51">
      <w:pPr>
        <w:pStyle w:val="Textpsmene"/>
        <w:numPr>
          <w:ilvl w:val="4"/>
          <w:numId w:val="29"/>
        </w:numPr>
        <w:spacing w:before="0"/>
      </w:pPr>
      <w:r w:rsidRPr="00B0550E">
        <w:t xml:space="preserve">auditorem </w:t>
      </w:r>
      <w:r w:rsidRPr="00CA12C7">
        <w:rPr>
          <w:strike/>
        </w:rPr>
        <w:t>zákonem stanovené účetní závěrky</w:t>
      </w:r>
      <w:r w:rsidRPr="00CA12C7">
        <w:rPr>
          <w:b/>
        </w:rPr>
        <w:t xml:space="preserve"> provádějícím povinný audit</w:t>
      </w:r>
      <w:r w:rsidRPr="00CA12C7">
        <w:t xml:space="preserve"> </w:t>
      </w:r>
      <w:r>
        <w:t>subjektu působícího na finančním trhu a podléhajícího dohledu,</w:t>
      </w:r>
    </w:p>
    <w:p w14:paraId="4370D4B0" w14:textId="77777777" w:rsidR="00E633ED" w:rsidRDefault="00E633ED" w:rsidP="00393B51">
      <w:pPr>
        <w:pStyle w:val="Textpsmene"/>
        <w:numPr>
          <w:ilvl w:val="4"/>
          <w:numId w:val="29"/>
        </w:numPr>
        <w:spacing w:before="0"/>
      </w:pPr>
      <w:r>
        <w:t>provozovatelem vypořádacího systému obchodů s cennými papíry poskytujícím vypořádací služby pro organizátora regulovaného trhu v České republice, pokud je poskytnutí informace nezbytné k zajištění řádného plnění funkcí této osoby v případě neplnění nebo hrozícího neplnění dluhů ze strany účastníka nebo účastníků regulovaného trhu, kterému tato osoba poskytuje služby,</w:t>
      </w:r>
    </w:p>
    <w:p w14:paraId="5A9C45A5" w14:textId="77777777" w:rsidR="00E633ED" w:rsidRDefault="00E633ED" w:rsidP="00393B51">
      <w:pPr>
        <w:pStyle w:val="Textpsmene"/>
        <w:numPr>
          <w:ilvl w:val="4"/>
          <w:numId w:val="29"/>
        </w:numPr>
        <w:spacing w:before="0"/>
      </w:pPr>
      <w:r>
        <w:t>provozovatelem kompenzačního systému pro investory nebo systému pojištění vkladů,</w:t>
      </w:r>
    </w:p>
    <w:p w14:paraId="38289F63" w14:textId="77777777" w:rsidR="00E633ED" w:rsidRDefault="00E633ED" w:rsidP="00393B51">
      <w:pPr>
        <w:pStyle w:val="PZTextpsmene"/>
        <w:spacing w:before="0"/>
      </w:pPr>
      <w:r>
        <w:t>d)</w:t>
      </w:r>
      <w:r>
        <w:tab/>
        <w:t xml:space="preserve">úřadu v České republice nebo v členském státě, který působí při výkonu dohledu nad osobami podle písmene c) bodů 1 a 2; Česká národní banka dále poskytne informaci úřadu </w:t>
      </w:r>
      <w:r>
        <w:lastRenderedPageBreak/>
        <w:t>v České republice nebo v členském státě, který působí při výkonu dohledu nad vypořádacími a platebními systémy a nad dodržováním práva obchodních korporací,</w:t>
      </w:r>
    </w:p>
    <w:p w14:paraId="097767A5" w14:textId="77777777" w:rsidR="00E633ED" w:rsidRDefault="00E633ED" w:rsidP="00393B51">
      <w:pPr>
        <w:pStyle w:val="PZTextpsmene"/>
        <w:spacing w:before="0"/>
      </w:pPr>
      <w:r>
        <w:t>e)</w:t>
      </w:r>
      <w:r>
        <w:tab/>
        <w:t>legislativním útvarům ústředních správních úřadů zabývajících se legislativou na úseku finančního trhu,</w:t>
      </w:r>
    </w:p>
    <w:p w14:paraId="44CFCDC7" w14:textId="77777777" w:rsidR="00E633ED" w:rsidRDefault="00E633ED" w:rsidP="00393B51">
      <w:pPr>
        <w:pStyle w:val="PZTextpsmene"/>
        <w:spacing w:before="0"/>
      </w:pPr>
      <w:r>
        <w:t>f)</w:t>
      </w:r>
      <w:r>
        <w:tab/>
        <w:t>orgánům v České republice nebo v členském státě činným v trestním řízení nebo zabývajícími se bojem proti legalizaci výnosů z trestné činnosti anebo prováděním mezinárodních sankcí za účelem udržování mezinárodního míru a bezpečnosti, ochrany základních lidských práv a boje proti terorismu; informaci lze poskytnout rovněž mezinárodní organizaci působící na úseku boje proti trestné činnosti nebo legalizaci výnosů z trestné činnosti,</w:t>
      </w:r>
    </w:p>
    <w:p w14:paraId="731624E8" w14:textId="77777777" w:rsidR="00E633ED" w:rsidRDefault="00E633ED" w:rsidP="00393B51">
      <w:pPr>
        <w:pStyle w:val="PZTextpsmene"/>
        <w:spacing w:before="0"/>
      </w:pPr>
      <w:r>
        <w:t>g)</w:t>
      </w:r>
      <w:r>
        <w:tab/>
        <w:t>soudu v souvislosti s insolvenčním řízením nebo obdobným zahraničním řízením, vedeným v případě úpadku osoby podléhající dohledu České národní banky; údaje týkající se třetích osob však poskytnuty být nemohou,</w:t>
      </w:r>
    </w:p>
    <w:p w14:paraId="3392BB6A" w14:textId="77777777" w:rsidR="00E633ED" w:rsidRDefault="00E633ED" w:rsidP="00393B51">
      <w:pPr>
        <w:pStyle w:val="PZTextpsmene"/>
        <w:spacing w:before="0"/>
      </w:pPr>
      <w:r>
        <w:t>h)</w:t>
      </w:r>
      <w:r>
        <w:tab/>
        <w:t>Veřejnému ochránci práv v souvislosti s šetřením podle zvláštního zákona,</w:t>
      </w:r>
    </w:p>
    <w:p w14:paraId="1F2C90F9" w14:textId="77777777" w:rsidR="00E633ED" w:rsidRDefault="00E633ED" w:rsidP="00393B51">
      <w:pPr>
        <w:pStyle w:val="PZTextpsmene"/>
        <w:spacing w:before="0"/>
      </w:pPr>
      <w:r>
        <w:t>i)</w:t>
      </w:r>
      <w:r>
        <w:tab/>
        <w:t>Evropským orgánům dohledu (Evropskému orgánu pro bankovnictví, Evropskému orgánu pro cenné papíry a trhy a Evropskému orgánu pro pojišťovnictví a zaměstnanecké penzijní pojištění)</w:t>
      </w:r>
      <w:r>
        <w:rPr>
          <w:rStyle w:val="Znakapoznpodarou"/>
        </w:rPr>
        <w:footnoteReference w:customMarkFollows="1" w:id="262"/>
        <w:t>33)</w:t>
      </w:r>
      <w:r>
        <w:t xml:space="preserve"> a Evropské radě pro systémová rizika</w:t>
      </w:r>
      <w:r>
        <w:rPr>
          <w:rStyle w:val="Znakapoznpodarou"/>
        </w:rPr>
        <w:footnoteReference w:customMarkFollows="1" w:id="263"/>
        <w:t>34)</w:t>
      </w:r>
      <w:r>
        <w:t>,</w:t>
      </w:r>
    </w:p>
    <w:p w14:paraId="0BC27488" w14:textId="77777777" w:rsidR="00E633ED" w:rsidRDefault="00E633ED" w:rsidP="00393B51">
      <w:pPr>
        <w:pStyle w:val="PZTextpsmene"/>
        <w:spacing w:before="0"/>
      </w:pPr>
      <w:r>
        <w:t>j)</w:t>
      </w:r>
      <w:r>
        <w:tab/>
        <w:t>Energetickému regulačnímu úřadu a Úřadu pro ochranu hospodářské soutěže podle právních předpisů upravujících podnikání v energetických odvětvích</w:t>
      </w:r>
      <w:r>
        <w:rPr>
          <w:rStyle w:val="Znakapoznpodarou"/>
        </w:rPr>
        <w:footnoteReference w:customMarkFollows="1" w:id="264"/>
        <w:t>37)</w:t>
      </w:r>
      <w:r>
        <w:t>,</w:t>
      </w:r>
    </w:p>
    <w:p w14:paraId="3DFD313D" w14:textId="77777777" w:rsidR="00E633ED" w:rsidRDefault="00E633ED" w:rsidP="00393B51">
      <w:pPr>
        <w:pStyle w:val="PZTextpsmene"/>
        <w:spacing w:before="0"/>
      </w:pPr>
      <w:r>
        <w:t>k)</w:t>
      </w:r>
      <w:r>
        <w:tab/>
        <w:t>jiným osobám nebo orgánům, je-li to nezbytné k řešení krize a není-li to porušením mlčenlivosti podle zákona upravujícího ozdravné postupy a řešení krize na finančním trhu,</w:t>
      </w:r>
    </w:p>
    <w:p w14:paraId="3556D4F7" w14:textId="77777777" w:rsidR="00E633ED" w:rsidRDefault="00E633ED" w:rsidP="00393B51">
      <w:pPr>
        <w:pStyle w:val="PZTextpsmene"/>
        <w:spacing w:before="0"/>
      </w:pPr>
      <w:r>
        <w:t>l)</w:t>
      </w:r>
      <w:r>
        <w:tab/>
        <w:t>orgánům dohledu nad platebními a zúčtovacími systémy.</w:t>
      </w:r>
    </w:p>
    <w:p w14:paraId="5F34DF78" w14:textId="77777777" w:rsidR="00E633ED" w:rsidRDefault="00E633ED" w:rsidP="00E633ED">
      <w:pPr>
        <w:pStyle w:val="PZTextodstavce"/>
      </w:pPr>
      <w:r>
        <w:t>(3) Porušením mlčenlivosti podle odstavce 1 a čl. 27 nařízení Evropského parlamentu a Rady (EU) č. 596/2014 dále není poskytnutí informace Evropské centrální bance a centrální bance členského státu. Porušením povinnosti mlčenlivosti podle odstavce 1 dále není poskytnutí informace Evropské komisi a Evropskému systému centrálních bank, pokud tyto informace souvisejí s výkonem jejich pravomocí.</w:t>
      </w:r>
    </w:p>
    <w:p w14:paraId="0A6DF356" w14:textId="77777777" w:rsidR="00E633ED" w:rsidRDefault="00E633ED" w:rsidP="00E633ED">
      <w:pPr>
        <w:pStyle w:val="PZTextodstavce"/>
      </w:pPr>
      <w:r>
        <w:t>(4) Informace se subjektům a úřadům podle odstavce 2 poskytují způsobem a v rozsahu nutném pro plnění jejich úkolů nebo výkon jejich funkce a je-li pro ně zaveden režim povinnosti zachovávat mlčenlivost nejméně v rozsahu srovnatelném s rozsahem podle tohoto zákona. Česká národní banka při poskytnutí informace může uvést, jakým způsobem se s takovou informací má zacházet, a rovněž může omezit další poskytování takové informace.</w:t>
      </w:r>
    </w:p>
    <w:p w14:paraId="371CDD92" w14:textId="77777777" w:rsidR="00E633ED" w:rsidRDefault="00E633ED" w:rsidP="00E633ED">
      <w:pPr>
        <w:pStyle w:val="PZTextodstavce"/>
      </w:pPr>
      <w:r>
        <w:lastRenderedPageBreak/>
        <w:t>(5) Informace získané v souvislosti s výkonem dohledu nad kapitálovým trhem mohou být poskytnuty též orgánům Evropské unie, je-li to zapotřebí k plnění mezinárodní smlouvy, jíž je Česká republika vázána a která byla řádně vyhlášena.</w:t>
      </w:r>
    </w:p>
    <w:p w14:paraId="696CEDC6" w14:textId="77777777" w:rsidR="00E633ED" w:rsidRDefault="00E633ED" w:rsidP="00E633ED">
      <w:pPr>
        <w:pStyle w:val="PZTextodstavce"/>
      </w:pPr>
      <w:r>
        <w:t>(6) Informace poskytnuté České národní bance zahraničním úřadem, který působí při výkonu dohledu nad finančním trhem, nemohou být použity k jinému účelu než k tomu, pro který byly poskytnuty, a nesmí být bez souhlasu poskytovatele poskytnuty nikomu dalšímu.</w:t>
      </w:r>
    </w:p>
    <w:p w14:paraId="12EAA690" w14:textId="77777777" w:rsidR="00E633ED" w:rsidRDefault="00E633ED" w:rsidP="00E633ED">
      <w:pPr>
        <w:pStyle w:val="PZTextodstavce"/>
      </w:pPr>
      <w:r>
        <w:t>(7) Informace získané Českou národní bankou v rámci kontroly na území cizího státu nesmí být bez souhlasu úřadu dohledu nad finančním trhem tohoto státu poskytnuty nikomu dalšímu.</w:t>
      </w:r>
    </w:p>
    <w:p w14:paraId="4F04AFCA" w14:textId="77777777" w:rsidR="00E633ED" w:rsidRDefault="00E633ED" w:rsidP="00E633ED">
      <w:pPr>
        <w:pStyle w:val="PZTextodstavce"/>
      </w:pPr>
      <w:r>
        <w:t>(8) Úřadu, který působí při výkonu dohledu nad finančním trhem ve státě, který není členským státem, lze poskytovat informace pro účely plnění jeho úkolů pouze na základě dohody a pouze tehdy je-li pro něj zaveden režim povinnosti zachovávat mlčenlivost alespoň srovnatelný s režimem podle tohoto zákona. Povinnosti stanovené zákonem o ochraně osobních údajů tím nejsou dotčeny</w:t>
      </w:r>
      <w:r w:rsidRPr="00EA544E">
        <w:rPr>
          <w:vertAlign w:val="superscript"/>
        </w:rPr>
        <w:t>26)</w:t>
      </w:r>
      <w:r>
        <w:t>.</w:t>
      </w:r>
    </w:p>
    <w:p w14:paraId="01D8AB2F" w14:textId="77777777" w:rsidR="00E633ED" w:rsidRDefault="00E633ED" w:rsidP="00E633ED">
      <w:pPr>
        <w:pStyle w:val="PZTextodstavce"/>
      </w:pPr>
      <w:r>
        <w:t>(9) Je-li pro ně zaveden režim povinnosti zachovávat mlčenlivost alespoň srovnatelný s režimem podle tohoto zákona, lze na základě dohody poskytovat informace pro účely plnění jejich úkolů také</w:t>
      </w:r>
    </w:p>
    <w:p w14:paraId="702BD288" w14:textId="77777777" w:rsidR="00E633ED" w:rsidRDefault="00E633ED" w:rsidP="00393B51">
      <w:pPr>
        <w:pStyle w:val="PZTextpsmene"/>
        <w:spacing w:before="0"/>
      </w:pPr>
      <w:r>
        <w:t>a)</w:t>
      </w:r>
      <w:r>
        <w:tab/>
        <w:t>osobám s trvalým pobytem nebo se sídlem ve státě, který není členským státem, které vykonávají v subjektu působícím na finančním trhu a podléhajícím dohledu funkci svým obsahem a charakterem obdobnou funkci likvidátora, nuceného správce, insolvenčního správce, předběžného insolvenčního správce nebo auditora,</w:t>
      </w:r>
    </w:p>
    <w:p w14:paraId="5C38AEE8" w14:textId="77777777" w:rsidR="00E633ED" w:rsidRDefault="00E633ED" w:rsidP="00393B51">
      <w:pPr>
        <w:pStyle w:val="PZTextpsmene"/>
        <w:spacing w:before="0"/>
      </w:pPr>
      <w:r>
        <w:t>b)</w:t>
      </w:r>
      <w:r>
        <w:tab/>
        <w:t>úřadu se sídlem ve státě, který není členským státem, dohlížejícímu osoby podle písmene a),</w:t>
      </w:r>
    </w:p>
    <w:p w14:paraId="059AE2A9" w14:textId="77777777" w:rsidR="00E633ED" w:rsidRDefault="00E633ED" w:rsidP="00393B51">
      <w:pPr>
        <w:pStyle w:val="PZTextpsmene"/>
        <w:spacing w:before="0"/>
      </w:pPr>
      <w:r>
        <w:t>c)</w:t>
      </w:r>
      <w:r>
        <w:tab/>
        <w:t>osobě se sídlem nebo trvalým pobytem ve státě, který není členským státem, provozující záruční systém na ochranu investorů,</w:t>
      </w:r>
    </w:p>
    <w:p w14:paraId="21F621D9" w14:textId="77777777" w:rsidR="00E633ED" w:rsidRDefault="00E633ED" w:rsidP="00393B51">
      <w:pPr>
        <w:pStyle w:val="PZTextpsmene"/>
        <w:spacing w:before="0"/>
      </w:pPr>
      <w:r>
        <w:t>d)</w:t>
      </w:r>
      <w:r>
        <w:tab/>
        <w:t>orgánu činnému v trestním řízení se sídlem ve státě, který není členským státem,</w:t>
      </w:r>
    </w:p>
    <w:p w14:paraId="7A7D3B00" w14:textId="77777777" w:rsidR="00E633ED" w:rsidRDefault="00E633ED" w:rsidP="00393B51">
      <w:pPr>
        <w:pStyle w:val="PZTextpsmene"/>
        <w:spacing w:before="0"/>
      </w:pPr>
      <w:r>
        <w:t>e)</w:t>
      </w:r>
      <w:r>
        <w:tab/>
        <w:t>orgánu se sídlem ve státě, který není členským státem, zabývajícímu se bojem proti legalizaci výnosů z trestné činnosti nebo prováděním mezinárodních sankcí za účelem udržování mezinárodního míru a bezpečnosti, ochrany základních lidských práv a boje proti terorismu; povinnosti stanovené zákonem o ochraně osobních údajů tím nejsou dotčeny</w:t>
      </w:r>
      <w:r>
        <w:rPr>
          <w:rStyle w:val="Znakapoznpodarou"/>
        </w:rPr>
        <w:footnoteReference w:customMarkFollows="1" w:id="265"/>
        <w:t>26)</w:t>
      </w:r>
      <w:r>
        <w:t>,</w:t>
      </w:r>
    </w:p>
    <w:p w14:paraId="314D5F8B" w14:textId="77777777" w:rsidR="00E633ED" w:rsidRDefault="00E633ED" w:rsidP="00393B51">
      <w:pPr>
        <w:pStyle w:val="PZTextpsmene"/>
        <w:spacing w:before="0"/>
      </w:pPr>
      <w:r>
        <w:t>f)</w:t>
      </w:r>
      <w:r>
        <w:tab/>
        <w:t>orgánu vykonávajícímu dohled nad osobami činnými na trzích s emisními povolenkami za účelem zajištění konsolidovaného přehledu finančních a spotových trhů a</w:t>
      </w:r>
    </w:p>
    <w:p w14:paraId="00572ABF" w14:textId="77777777" w:rsidR="00E633ED" w:rsidRDefault="00E633ED" w:rsidP="00393B51">
      <w:pPr>
        <w:pStyle w:val="PZTextpsmene"/>
        <w:spacing w:before="0"/>
      </w:pPr>
      <w:r>
        <w:t>g)</w:t>
      </w:r>
      <w:r>
        <w:tab/>
        <w:t>orgánu vykonávajícímu dohled nad osobami činnými na trzích se zemědělskými komoditními deriváty za účelem zajištění konsolidovaného přehledu finančních a spotových trhů.</w:t>
      </w:r>
    </w:p>
    <w:p w14:paraId="2B0F8D4C" w14:textId="77777777" w:rsidR="00E633ED" w:rsidRDefault="00E633ED" w:rsidP="00E633ED">
      <w:pPr>
        <w:pStyle w:val="PZTextodstavce"/>
      </w:pPr>
      <w:r>
        <w:t xml:space="preserve">(10) </w:t>
      </w:r>
      <w:r w:rsidRPr="00EA544E">
        <w:t>O uzavření dohody podle odstavců 8 a 9 informuje Česká národní banka Evropský orgán dohledu (Evropský orgán pro cenné papíry a trhy).</w:t>
      </w:r>
    </w:p>
    <w:p w14:paraId="055B47F3" w14:textId="77777777" w:rsidR="00E75796" w:rsidRDefault="00E75796" w:rsidP="00E75796">
      <w:pPr>
        <w:pStyle w:val="Textparagrafu"/>
        <w:tabs>
          <w:tab w:val="left" w:pos="406"/>
          <w:tab w:val="left" w:pos="840"/>
          <w:tab w:val="left" w:pos="868"/>
        </w:tabs>
        <w:spacing w:after="120"/>
        <w:ind w:firstLine="0"/>
        <w:jc w:val="center"/>
        <w:sectPr w:rsidR="00E75796" w:rsidSect="00554E2B">
          <w:footnotePr>
            <w:numStart w:val="3"/>
          </w:footnotePr>
          <w:endnotePr>
            <w:numFmt w:val="decimal"/>
          </w:endnotePr>
          <w:pgSz w:w="11906" w:h="16838"/>
          <w:pgMar w:top="1418" w:right="1418" w:bottom="1418" w:left="1418" w:header="709" w:footer="709" w:gutter="0"/>
          <w:cols w:space="708"/>
          <w:docGrid w:linePitch="360"/>
        </w:sectPr>
      </w:pPr>
    </w:p>
    <w:p w14:paraId="7E1153F2" w14:textId="19945193" w:rsidR="00CB5381" w:rsidRPr="00CB5381" w:rsidRDefault="00CB5381" w:rsidP="00566368">
      <w:pPr>
        <w:tabs>
          <w:tab w:val="left" w:pos="851"/>
        </w:tabs>
        <w:spacing w:before="120" w:after="120"/>
        <w:ind w:firstLine="0"/>
        <w:jc w:val="center"/>
        <w:outlineLvl w:val="0"/>
        <w:rPr>
          <w:szCs w:val="24"/>
        </w:rPr>
      </w:pPr>
      <w:r w:rsidRPr="00CB5381">
        <w:rPr>
          <w:b/>
          <w:szCs w:val="24"/>
        </w:rPr>
        <w:lastRenderedPageBreak/>
        <w:t xml:space="preserve">K části třicáté </w:t>
      </w:r>
      <w:r w:rsidR="00393B51">
        <w:rPr>
          <w:b/>
          <w:szCs w:val="24"/>
        </w:rPr>
        <w:t>sedmé</w:t>
      </w:r>
      <w:r w:rsidRPr="00CB5381">
        <w:rPr>
          <w:b/>
          <w:szCs w:val="24"/>
        </w:rPr>
        <w:t xml:space="preserve"> návrhu zákona – </w:t>
      </w:r>
      <w:r w:rsidRPr="00CB5381">
        <w:rPr>
          <w:szCs w:val="24"/>
        </w:rPr>
        <w:t xml:space="preserve">změna zákona o vysokých školách </w:t>
      </w:r>
    </w:p>
    <w:p w14:paraId="5B655244" w14:textId="229597A9" w:rsidR="00CB5381" w:rsidRDefault="00CB5381" w:rsidP="00CB5381">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CB5381">
        <w:rPr>
          <w:b/>
          <w:szCs w:val="24"/>
        </w:rPr>
        <w:t>Platné znění</w:t>
      </w:r>
      <w:r w:rsidRPr="00CB5381">
        <w:rPr>
          <w:szCs w:val="24"/>
        </w:rPr>
        <w:t xml:space="preserve"> zákona </w:t>
      </w:r>
      <w:r w:rsidRPr="00CB5381">
        <w:rPr>
          <w:color w:val="000000"/>
          <w:szCs w:val="24"/>
        </w:rPr>
        <w:t>č.111/</w:t>
      </w:r>
      <w:r w:rsidRPr="00CB5381">
        <w:rPr>
          <w:szCs w:val="24"/>
        </w:rPr>
        <w:t>1998 Sb., o vysokých školách a o změně a doplnění dalších zákonů</w:t>
      </w:r>
      <w:r>
        <w:rPr>
          <w:szCs w:val="24"/>
        </w:rPr>
        <w:t xml:space="preserve"> </w:t>
      </w:r>
      <w:r w:rsidRPr="00CB5381">
        <w:rPr>
          <w:szCs w:val="24"/>
        </w:rPr>
        <w:t>(zákon o vysokých školách)</w:t>
      </w:r>
    </w:p>
    <w:p w14:paraId="5FE7E070" w14:textId="0CDEC107" w:rsidR="00CB5381" w:rsidRPr="00CB5381" w:rsidRDefault="00566368" w:rsidP="00CB5381">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AE4818">
        <w:rPr>
          <w:b/>
          <w:szCs w:val="24"/>
          <w:lang w:eastAsia="en-US"/>
        </w:rPr>
        <w:t>s vyznačením navrhovaných změn a doplnění k 1. lednu 2025</w:t>
      </w:r>
    </w:p>
    <w:p w14:paraId="1D445C76" w14:textId="77777777" w:rsidR="00CB5381" w:rsidRDefault="00CB5381" w:rsidP="00CB5381">
      <w:pPr>
        <w:pStyle w:val="Textparagrafu"/>
        <w:tabs>
          <w:tab w:val="left" w:pos="406"/>
          <w:tab w:val="left" w:pos="840"/>
          <w:tab w:val="left" w:pos="868"/>
        </w:tabs>
        <w:spacing w:after="120"/>
        <w:ind w:firstLine="0"/>
        <w:jc w:val="center"/>
      </w:pPr>
      <w:r>
        <w:t>***</w:t>
      </w:r>
    </w:p>
    <w:p w14:paraId="2B1E5046" w14:textId="7F1BCED9" w:rsidR="00CB5381" w:rsidRDefault="00CB5381" w:rsidP="00B510F2">
      <w:pPr>
        <w:pStyle w:val="Textparagrafu"/>
        <w:tabs>
          <w:tab w:val="left" w:pos="392"/>
          <w:tab w:val="left" w:pos="840"/>
        </w:tabs>
        <w:spacing w:after="120"/>
        <w:ind w:firstLine="0"/>
        <w:jc w:val="center"/>
      </w:pPr>
      <w:r w:rsidRPr="005963FF">
        <w:t>§</w:t>
      </w:r>
      <w:r>
        <w:t xml:space="preserve"> </w:t>
      </w:r>
      <w:r w:rsidRPr="005963FF">
        <w:t>15</w:t>
      </w:r>
    </w:p>
    <w:p w14:paraId="44FA5E94" w14:textId="77777777" w:rsidR="00CB5381" w:rsidRDefault="00CB5381" w:rsidP="00566368">
      <w:pPr>
        <w:pStyle w:val="Textparagrafu"/>
        <w:tabs>
          <w:tab w:val="left" w:pos="392"/>
          <w:tab w:val="left" w:pos="840"/>
        </w:tabs>
        <w:spacing w:before="120" w:after="120"/>
      </w:pPr>
      <w:r w:rsidRPr="005963FF">
        <w:t>(1)</w:t>
      </w:r>
      <w:r>
        <w:t xml:space="preserve"> </w:t>
      </w:r>
      <w:r w:rsidRPr="005963FF">
        <w:t>Správní</w:t>
      </w:r>
      <w:r>
        <w:t xml:space="preserve"> </w:t>
      </w:r>
      <w:r w:rsidRPr="005963FF">
        <w:t>rada</w:t>
      </w:r>
      <w:r>
        <w:t xml:space="preserve"> </w:t>
      </w:r>
      <w:r w:rsidRPr="005963FF">
        <w:t>veřejné</w:t>
      </w:r>
      <w:r>
        <w:t xml:space="preserve"> </w:t>
      </w:r>
      <w:r w:rsidRPr="005963FF">
        <w:t>vysoké</w:t>
      </w:r>
      <w:r>
        <w:t xml:space="preserve"> </w:t>
      </w:r>
      <w:r w:rsidRPr="005963FF">
        <w:t>školy</w:t>
      </w:r>
      <w:r>
        <w:t xml:space="preserve"> </w:t>
      </w:r>
      <w:r w:rsidRPr="005963FF">
        <w:t>vydává</w:t>
      </w:r>
      <w:r>
        <w:t xml:space="preserve"> </w:t>
      </w:r>
      <w:r w:rsidRPr="005963FF">
        <w:t>předchozí</w:t>
      </w:r>
      <w:r>
        <w:t xml:space="preserve"> </w:t>
      </w:r>
      <w:r w:rsidRPr="005963FF">
        <w:t>písemný</w:t>
      </w:r>
      <w:r>
        <w:t xml:space="preserve"> </w:t>
      </w:r>
      <w:r w:rsidRPr="005963FF">
        <w:t>souhlas</w:t>
      </w:r>
    </w:p>
    <w:p w14:paraId="540B22BD" w14:textId="04BE2720" w:rsidR="00CB5381" w:rsidRDefault="00CB5381" w:rsidP="00352404">
      <w:pPr>
        <w:pStyle w:val="Textparagrafu"/>
        <w:tabs>
          <w:tab w:val="left" w:pos="392"/>
          <w:tab w:val="left" w:pos="840"/>
        </w:tabs>
        <w:spacing w:before="0"/>
        <w:ind w:firstLine="0"/>
      </w:pPr>
      <w:r w:rsidRPr="005963FF">
        <w:t>a)</w:t>
      </w:r>
      <w:r w:rsidR="000074A8">
        <w:tab/>
      </w:r>
      <w:r w:rsidRPr="005963FF">
        <w:t>k</w:t>
      </w:r>
      <w:r>
        <w:t xml:space="preserve"> </w:t>
      </w:r>
      <w:r w:rsidRPr="005963FF">
        <w:t>právním</w:t>
      </w:r>
      <w:r>
        <w:t xml:space="preserve"> </w:t>
      </w:r>
      <w:r w:rsidRPr="005963FF">
        <w:t>jednáním,</w:t>
      </w:r>
      <w:r>
        <w:t xml:space="preserve"> </w:t>
      </w:r>
      <w:r w:rsidRPr="005963FF">
        <w:t>kterými</w:t>
      </w:r>
      <w:r>
        <w:t xml:space="preserve"> </w:t>
      </w:r>
      <w:r w:rsidRPr="005963FF">
        <w:t>vysoká</w:t>
      </w:r>
      <w:r>
        <w:t xml:space="preserve"> </w:t>
      </w:r>
      <w:r w:rsidRPr="005963FF">
        <w:t>škola</w:t>
      </w:r>
      <w:r>
        <w:t xml:space="preserve"> </w:t>
      </w:r>
      <w:r w:rsidRPr="005963FF">
        <w:t>hodlá</w:t>
      </w:r>
      <w:r>
        <w:t xml:space="preserve"> </w:t>
      </w:r>
      <w:r w:rsidRPr="005963FF">
        <w:t>nabýt</w:t>
      </w:r>
      <w:r>
        <w:t xml:space="preserve"> </w:t>
      </w:r>
      <w:r w:rsidRPr="005963FF">
        <w:t>nebo</w:t>
      </w:r>
      <w:r>
        <w:t xml:space="preserve"> </w:t>
      </w:r>
      <w:r w:rsidRPr="005963FF">
        <w:t>převést</w:t>
      </w:r>
      <w:r>
        <w:t xml:space="preserve"> </w:t>
      </w:r>
      <w:r w:rsidRPr="005963FF">
        <w:t>vlastnické</w:t>
      </w:r>
      <w:r>
        <w:t xml:space="preserve"> </w:t>
      </w:r>
      <w:r w:rsidRPr="005963FF">
        <w:t>právo</w:t>
      </w:r>
      <w:r>
        <w:t xml:space="preserve"> </w:t>
      </w:r>
      <w:r w:rsidRPr="005963FF">
        <w:t>k</w:t>
      </w:r>
      <w:r>
        <w:t xml:space="preserve"> </w:t>
      </w:r>
      <w:r w:rsidRPr="005963FF">
        <w:t>nemovitým</w:t>
      </w:r>
      <w:r>
        <w:t xml:space="preserve"> </w:t>
      </w:r>
      <w:r w:rsidRPr="005963FF">
        <w:t>věcem,</w:t>
      </w:r>
    </w:p>
    <w:p w14:paraId="4A4097BB" w14:textId="27399E9A" w:rsidR="00CB5381" w:rsidRDefault="00CB5381" w:rsidP="00352404">
      <w:pPr>
        <w:pStyle w:val="Textparagrafu"/>
        <w:tabs>
          <w:tab w:val="left" w:pos="392"/>
          <w:tab w:val="left" w:pos="840"/>
        </w:tabs>
        <w:spacing w:before="0"/>
        <w:ind w:firstLine="0"/>
      </w:pPr>
      <w:r w:rsidRPr="005963FF">
        <w:t>b)</w:t>
      </w:r>
      <w:r w:rsidR="000074A8">
        <w:tab/>
      </w:r>
      <w:r w:rsidRPr="005963FF">
        <w:t>k</w:t>
      </w:r>
      <w:r>
        <w:t xml:space="preserve"> </w:t>
      </w:r>
      <w:r w:rsidRPr="005963FF">
        <w:t>právním</w:t>
      </w:r>
      <w:r>
        <w:t xml:space="preserve"> </w:t>
      </w:r>
      <w:r w:rsidRPr="005963FF">
        <w:t>jednáním,</w:t>
      </w:r>
      <w:r>
        <w:t xml:space="preserve"> </w:t>
      </w:r>
      <w:r w:rsidRPr="005963FF">
        <w:t>kterými</w:t>
      </w:r>
      <w:r>
        <w:t xml:space="preserve"> </w:t>
      </w:r>
      <w:r w:rsidRPr="005963FF">
        <w:t>vysoká</w:t>
      </w:r>
      <w:r>
        <w:t xml:space="preserve"> </w:t>
      </w:r>
      <w:r w:rsidRPr="005963FF">
        <w:t>škola</w:t>
      </w:r>
      <w:r>
        <w:t xml:space="preserve"> </w:t>
      </w:r>
      <w:r w:rsidRPr="005963FF">
        <w:t>hodlá</w:t>
      </w:r>
      <w:r>
        <w:t xml:space="preserve"> </w:t>
      </w:r>
      <w:r w:rsidRPr="005963FF">
        <w:t>nabýt</w:t>
      </w:r>
      <w:r>
        <w:t xml:space="preserve"> </w:t>
      </w:r>
      <w:r w:rsidRPr="005963FF">
        <w:t>nebo</w:t>
      </w:r>
      <w:r>
        <w:t xml:space="preserve"> </w:t>
      </w:r>
      <w:r w:rsidRPr="005963FF">
        <w:t>převést</w:t>
      </w:r>
      <w:r>
        <w:t xml:space="preserve"> </w:t>
      </w:r>
      <w:r w:rsidRPr="005963FF">
        <w:t>vlastnické</w:t>
      </w:r>
      <w:r>
        <w:t xml:space="preserve"> </w:t>
      </w:r>
      <w:r w:rsidRPr="005963FF">
        <w:t>právo</w:t>
      </w:r>
      <w:r>
        <w:t xml:space="preserve"> </w:t>
      </w:r>
      <w:r w:rsidRPr="005963FF">
        <w:t>k</w:t>
      </w:r>
      <w:r>
        <w:t xml:space="preserve"> </w:t>
      </w:r>
      <w:r w:rsidRPr="005963FF">
        <w:t>movitým</w:t>
      </w:r>
      <w:r>
        <w:t xml:space="preserve"> </w:t>
      </w:r>
      <w:r w:rsidRPr="005963FF">
        <w:t>věcem,</w:t>
      </w:r>
      <w:r>
        <w:t xml:space="preserve"> </w:t>
      </w:r>
      <w:r w:rsidRPr="005963FF">
        <w:t>jejichž</w:t>
      </w:r>
      <w:r>
        <w:t xml:space="preserve"> </w:t>
      </w:r>
      <w:r w:rsidRPr="005963FF">
        <w:t>cena</w:t>
      </w:r>
      <w:r>
        <w:t xml:space="preserve"> </w:t>
      </w:r>
      <w:r w:rsidRPr="005963FF">
        <w:t>je</w:t>
      </w:r>
      <w:r>
        <w:t xml:space="preserve"> </w:t>
      </w:r>
      <w:r w:rsidRPr="005963FF">
        <w:t>vyšší</w:t>
      </w:r>
      <w:r>
        <w:t xml:space="preserve"> </w:t>
      </w:r>
      <w:r w:rsidRPr="005963FF">
        <w:t>než</w:t>
      </w:r>
      <w:r>
        <w:t xml:space="preserve"> </w:t>
      </w:r>
      <w:r w:rsidRPr="005963FF">
        <w:t>pětisetnásobek</w:t>
      </w:r>
      <w:r>
        <w:t xml:space="preserve"> </w:t>
      </w:r>
      <w:r w:rsidRPr="005963FF">
        <w:t>částky,</w:t>
      </w:r>
      <w:r>
        <w:t xml:space="preserve"> </w:t>
      </w:r>
      <w:r w:rsidRPr="005963FF">
        <w:t>od</w:t>
      </w:r>
      <w:r>
        <w:t xml:space="preserve"> </w:t>
      </w:r>
      <w:r w:rsidRPr="005963FF">
        <w:t>níž</w:t>
      </w:r>
      <w:r>
        <w:t xml:space="preserve"> </w:t>
      </w:r>
      <w:r w:rsidRPr="005963FF">
        <w:t>jsou</w:t>
      </w:r>
      <w:r>
        <w:t xml:space="preserve"> </w:t>
      </w:r>
      <w:r w:rsidRPr="005963FF">
        <w:t>věci</w:t>
      </w:r>
      <w:r>
        <w:t xml:space="preserve"> </w:t>
      </w:r>
      <w:r w:rsidRPr="005963FF">
        <w:t>považovány</w:t>
      </w:r>
      <w:r>
        <w:t xml:space="preserve"> </w:t>
      </w:r>
      <w:r w:rsidRPr="000074A8">
        <w:rPr>
          <w:strike/>
        </w:rPr>
        <w:t xml:space="preserve">podle zvláštního předpisu </w:t>
      </w:r>
      <w:r w:rsidR="00352404" w:rsidRPr="000074A8">
        <w:rPr>
          <w:rStyle w:val="Znakapoznpodarou"/>
          <w:strike/>
        </w:rPr>
        <w:footnoteReference w:customMarkFollows="1" w:id="266"/>
        <w:t>2)</w:t>
      </w:r>
      <w:r w:rsidRPr="000074A8">
        <w:rPr>
          <w:strike/>
        </w:rPr>
        <w:t xml:space="preserve"> za hmotný majetek</w:t>
      </w:r>
      <w:r w:rsidR="000074A8" w:rsidRPr="000074A8">
        <w:rPr>
          <w:b/>
          <w:bCs/>
        </w:rPr>
        <w:t xml:space="preserve"> </w:t>
      </w:r>
      <w:r w:rsidR="000074A8" w:rsidRPr="47541D84">
        <w:rPr>
          <w:b/>
          <w:bCs/>
        </w:rPr>
        <w:t>za daňově odpisované aktivum</w:t>
      </w:r>
      <w:r w:rsidRPr="005963FF">
        <w:t>,</w:t>
      </w:r>
    </w:p>
    <w:p w14:paraId="2B09D06E" w14:textId="2FA5FF80" w:rsidR="00CB5381" w:rsidRDefault="00CB5381" w:rsidP="00352404">
      <w:pPr>
        <w:pStyle w:val="Textparagrafu"/>
        <w:tabs>
          <w:tab w:val="left" w:pos="392"/>
          <w:tab w:val="left" w:pos="840"/>
        </w:tabs>
        <w:spacing w:before="0"/>
        <w:ind w:firstLine="0"/>
      </w:pPr>
      <w:r w:rsidRPr="005963FF">
        <w:t>c)</w:t>
      </w:r>
      <w:r w:rsidR="000074A8">
        <w:tab/>
      </w:r>
      <w:r w:rsidRPr="005963FF">
        <w:t>k</w:t>
      </w:r>
      <w:r>
        <w:t xml:space="preserve"> </w:t>
      </w:r>
      <w:r w:rsidRPr="005963FF">
        <w:t>právním</w:t>
      </w:r>
      <w:r>
        <w:t xml:space="preserve"> </w:t>
      </w:r>
      <w:r w:rsidRPr="005963FF">
        <w:t>jednáním,</w:t>
      </w:r>
      <w:r>
        <w:t xml:space="preserve"> </w:t>
      </w:r>
      <w:r w:rsidRPr="005963FF">
        <w:t>kterými</w:t>
      </w:r>
      <w:r>
        <w:t xml:space="preserve"> </w:t>
      </w:r>
      <w:r w:rsidRPr="005963FF">
        <w:t>vysoká</w:t>
      </w:r>
      <w:r>
        <w:t xml:space="preserve"> </w:t>
      </w:r>
      <w:r w:rsidRPr="005963FF">
        <w:t>škola</w:t>
      </w:r>
      <w:r>
        <w:t xml:space="preserve"> </w:t>
      </w:r>
      <w:r w:rsidRPr="005963FF">
        <w:t>hodlá</w:t>
      </w:r>
      <w:r>
        <w:t xml:space="preserve"> </w:t>
      </w:r>
      <w:r w:rsidRPr="005963FF">
        <w:t>zřídit</w:t>
      </w:r>
      <w:r>
        <w:t xml:space="preserve"> </w:t>
      </w:r>
      <w:r w:rsidRPr="005963FF">
        <w:t>věcné</w:t>
      </w:r>
      <w:r>
        <w:t xml:space="preserve"> </w:t>
      </w:r>
      <w:r w:rsidRPr="005963FF">
        <w:t>břemeno</w:t>
      </w:r>
      <w:r>
        <w:t xml:space="preserve"> </w:t>
      </w:r>
      <w:r w:rsidRPr="005963FF">
        <w:t>nebo</w:t>
      </w:r>
      <w:r>
        <w:t xml:space="preserve"> </w:t>
      </w:r>
      <w:r w:rsidRPr="005963FF">
        <w:t>jiné</w:t>
      </w:r>
      <w:r>
        <w:t xml:space="preserve"> </w:t>
      </w:r>
      <w:r w:rsidRPr="005963FF">
        <w:t>věcné</w:t>
      </w:r>
      <w:r>
        <w:t xml:space="preserve"> </w:t>
      </w:r>
      <w:r w:rsidRPr="005963FF">
        <w:t>právo</w:t>
      </w:r>
      <w:r>
        <w:t xml:space="preserve"> </w:t>
      </w:r>
      <w:r w:rsidRPr="005963FF">
        <w:t>nebo</w:t>
      </w:r>
      <w:r>
        <w:t xml:space="preserve"> </w:t>
      </w:r>
      <w:r w:rsidRPr="005963FF">
        <w:t>předkupní</w:t>
      </w:r>
      <w:r>
        <w:t xml:space="preserve"> </w:t>
      </w:r>
      <w:r w:rsidRPr="005963FF">
        <w:t>právo,</w:t>
      </w:r>
    </w:p>
    <w:p w14:paraId="328DCA3A" w14:textId="43EAFFBE" w:rsidR="00CB5381" w:rsidRDefault="00CB5381" w:rsidP="00352404">
      <w:pPr>
        <w:pStyle w:val="Textparagrafu"/>
        <w:tabs>
          <w:tab w:val="left" w:pos="392"/>
          <w:tab w:val="left" w:pos="840"/>
        </w:tabs>
        <w:spacing w:before="0"/>
        <w:ind w:firstLine="0"/>
      </w:pPr>
      <w:r w:rsidRPr="005963FF">
        <w:t>d)</w:t>
      </w:r>
      <w:r w:rsidR="000074A8">
        <w:tab/>
      </w:r>
      <w:r w:rsidRPr="005963FF">
        <w:t>k</w:t>
      </w:r>
      <w:r>
        <w:t xml:space="preserve"> </w:t>
      </w:r>
      <w:r w:rsidRPr="005963FF">
        <w:t>právním</w:t>
      </w:r>
      <w:r>
        <w:t xml:space="preserve"> </w:t>
      </w:r>
      <w:r w:rsidRPr="005963FF">
        <w:t>jednáním,</w:t>
      </w:r>
      <w:r>
        <w:t xml:space="preserve"> </w:t>
      </w:r>
      <w:r w:rsidRPr="005963FF">
        <w:t>kterými</w:t>
      </w:r>
      <w:r>
        <w:t xml:space="preserve"> </w:t>
      </w:r>
      <w:r w:rsidRPr="005963FF">
        <w:t>vysoká</w:t>
      </w:r>
      <w:r>
        <w:t xml:space="preserve"> </w:t>
      </w:r>
      <w:r w:rsidRPr="005963FF">
        <w:t>škola</w:t>
      </w:r>
      <w:r>
        <w:t xml:space="preserve"> </w:t>
      </w:r>
      <w:r w:rsidRPr="005963FF">
        <w:t>hodlá</w:t>
      </w:r>
      <w:r>
        <w:t xml:space="preserve"> </w:t>
      </w:r>
      <w:r w:rsidRPr="005963FF">
        <w:t>jinou</w:t>
      </w:r>
      <w:r>
        <w:t xml:space="preserve"> </w:t>
      </w:r>
      <w:r w:rsidRPr="005963FF">
        <w:t>právnickou</w:t>
      </w:r>
      <w:r>
        <w:t xml:space="preserve"> </w:t>
      </w:r>
      <w:r w:rsidRPr="005963FF">
        <w:t>osobu</w:t>
      </w:r>
      <w:r>
        <w:t xml:space="preserve"> </w:t>
      </w:r>
      <w:r w:rsidRPr="005963FF">
        <w:t>ustavit,</w:t>
      </w:r>
      <w:r>
        <w:t xml:space="preserve"> </w:t>
      </w:r>
      <w:r w:rsidRPr="005963FF">
        <w:t>zrušit</w:t>
      </w:r>
      <w:r>
        <w:t xml:space="preserve"> </w:t>
      </w:r>
      <w:r w:rsidRPr="005963FF">
        <w:t>anebo</w:t>
      </w:r>
      <w:r>
        <w:t xml:space="preserve"> </w:t>
      </w:r>
      <w:r w:rsidRPr="005963FF">
        <w:t>přeměnit,</w:t>
      </w:r>
      <w:r>
        <w:t xml:space="preserve"> </w:t>
      </w:r>
      <w:r w:rsidRPr="005963FF">
        <w:t>a</w:t>
      </w:r>
      <w:r>
        <w:t xml:space="preserve"> </w:t>
      </w:r>
      <w:r w:rsidRPr="005963FF">
        <w:t>ke</w:t>
      </w:r>
      <w:r>
        <w:t xml:space="preserve"> </w:t>
      </w:r>
      <w:r w:rsidRPr="005963FF">
        <w:t>vkladům</w:t>
      </w:r>
      <w:r>
        <w:t xml:space="preserve"> </w:t>
      </w:r>
      <w:r w:rsidRPr="005963FF">
        <w:t>s</w:t>
      </w:r>
      <w:r>
        <w:t xml:space="preserve"> </w:t>
      </w:r>
      <w:r w:rsidRPr="005963FF">
        <w:t>peněžitým</w:t>
      </w:r>
      <w:r>
        <w:t xml:space="preserve"> </w:t>
      </w:r>
      <w:r w:rsidRPr="005963FF">
        <w:t>nebo</w:t>
      </w:r>
      <w:r>
        <w:t xml:space="preserve"> </w:t>
      </w:r>
      <w:r w:rsidRPr="005963FF">
        <w:t>nepeněžitým</w:t>
      </w:r>
      <w:r>
        <w:t xml:space="preserve"> </w:t>
      </w:r>
      <w:r w:rsidRPr="005963FF">
        <w:t>předmětem</w:t>
      </w:r>
      <w:r>
        <w:t xml:space="preserve"> </w:t>
      </w:r>
      <w:r w:rsidRPr="005963FF">
        <w:t>do</w:t>
      </w:r>
      <w:r>
        <w:t xml:space="preserve"> </w:t>
      </w:r>
      <w:r w:rsidRPr="005963FF">
        <w:t>těchto</w:t>
      </w:r>
      <w:r>
        <w:t xml:space="preserve"> </w:t>
      </w:r>
      <w:r w:rsidRPr="005963FF">
        <w:t>a</w:t>
      </w:r>
      <w:r>
        <w:t xml:space="preserve"> </w:t>
      </w:r>
      <w:r w:rsidRPr="005963FF">
        <w:t>jiných</w:t>
      </w:r>
      <w:r>
        <w:t xml:space="preserve"> </w:t>
      </w:r>
      <w:r w:rsidRPr="005963FF">
        <w:t>právnických</w:t>
      </w:r>
      <w:r>
        <w:t xml:space="preserve"> </w:t>
      </w:r>
      <w:r w:rsidRPr="005963FF">
        <w:t>osob.</w:t>
      </w:r>
    </w:p>
    <w:p w14:paraId="0493EABE" w14:textId="77777777" w:rsidR="00CB5381" w:rsidRDefault="00CB5381" w:rsidP="00566368">
      <w:pPr>
        <w:pStyle w:val="Textparagrafu"/>
        <w:tabs>
          <w:tab w:val="left" w:pos="392"/>
          <w:tab w:val="left" w:pos="840"/>
        </w:tabs>
        <w:spacing w:before="120" w:after="120"/>
      </w:pPr>
      <w:r w:rsidRPr="005963FF">
        <w:t>(2)</w:t>
      </w:r>
      <w:r>
        <w:t xml:space="preserve"> </w:t>
      </w:r>
      <w:r w:rsidRPr="005963FF">
        <w:t>Správní</w:t>
      </w:r>
      <w:r>
        <w:t xml:space="preserve"> </w:t>
      </w:r>
      <w:r w:rsidRPr="005963FF">
        <w:t>rada</w:t>
      </w:r>
      <w:r>
        <w:t xml:space="preserve"> </w:t>
      </w:r>
      <w:r w:rsidRPr="005963FF">
        <w:t>veřejné</w:t>
      </w:r>
      <w:r>
        <w:t xml:space="preserve"> </w:t>
      </w:r>
      <w:r w:rsidRPr="005963FF">
        <w:t>vysoké</w:t>
      </w:r>
      <w:r>
        <w:t xml:space="preserve"> </w:t>
      </w:r>
      <w:r w:rsidRPr="005963FF">
        <w:t>školy</w:t>
      </w:r>
      <w:r>
        <w:t xml:space="preserve"> </w:t>
      </w:r>
      <w:r w:rsidRPr="005963FF">
        <w:t>po</w:t>
      </w:r>
      <w:r>
        <w:t xml:space="preserve"> </w:t>
      </w:r>
      <w:r w:rsidRPr="005963FF">
        <w:t>schválení</w:t>
      </w:r>
      <w:r>
        <w:t xml:space="preserve"> </w:t>
      </w:r>
      <w:r w:rsidRPr="005963FF">
        <w:t>v</w:t>
      </w:r>
      <w:r>
        <w:t xml:space="preserve"> </w:t>
      </w:r>
      <w:r w:rsidRPr="005963FF">
        <w:t>akademickém</w:t>
      </w:r>
      <w:r>
        <w:t xml:space="preserve"> </w:t>
      </w:r>
      <w:r w:rsidRPr="005963FF">
        <w:t>senátu</w:t>
      </w:r>
      <w:r>
        <w:t xml:space="preserve"> </w:t>
      </w:r>
      <w:r w:rsidRPr="005963FF">
        <w:t>veřejné</w:t>
      </w:r>
      <w:r>
        <w:t xml:space="preserve"> </w:t>
      </w:r>
      <w:r w:rsidRPr="005963FF">
        <w:t>vysoké</w:t>
      </w:r>
      <w:r>
        <w:t xml:space="preserve"> </w:t>
      </w:r>
      <w:r w:rsidRPr="005963FF">
        <w:t>školy</w:t>
      </w:r>
    </w:p>
    <w:p w14:paraId="39A11C11" w14:textId="76CD3BF1" w:rsidR="00CB5381" w:rsidRDefault="00CB5381" w:rsidP="00393B51">
      <w:pPr>
        <w:pStyle w:val="Textparagrafu"/>
        <w:tabs>
          <w:tab w:val="left" w:pos="392"/>
          <w:tab w:val="left" w:pos="840"/>
        </w:tabs>
        <w:spacing w:before="0"/>
        <w:ind w:left="426" w:hanging="426"/>
      </w:pPr>
      <w:r w:rsidRPr="005963FF">
        <w:t>a)</w:t>
      </w:r>
      <w:r w:rsidR="00352404">
        <w:tab/>
      </w:r>
      <w:r w:rsidRPr="005963FF">
        <w:t>projednává</w:t>
      </w:r>
      <w:r>
        <w:t xml:space="preserve"> </w:t>
      </w:r>
      <w:r w:rsidRPr="005963FF">
        <w:t>zprávu</w:t>
      </w:r>
      <w:r>
        <w:t xml:space="preserve"> </w:t>
      </w:r>
      <w:r w:rsidRPr="005963FF">
        <w:t>o</w:t>
      </w:r>
      <w:r>
        <w:t xml:space="preserve"> </w:t>
      </w:r>
      <w:r w:rsidRPr="005963FF">
        <w:t>vnitřním</w:t>
      </w:r>
      <w:r>
        <w:t xml:space="preserve"> </w:t>
      </w:r>
      <w:r w:rsidRPr="005963FF">
        <w:t>hodnocení</w:t>
      </w:r>
      <w:r>
        <w:t xml:space="preserve"> </w:t>
      </w:r>
      <w:r w:rsidRPr="005963FF">
        <w:t>kvality</w:t>
      </w:r>
      <w:r>
        <w:t xml:space="preserve"> </w:t>
      </w:r>
      <w:r w:rsidRPr="005963FF">
        <w:t>vzdělávací,</w:t>
      </w:r>
      <w:r>
        <w:t xml:space="preserve"> </w:t>
      </w:r>
      <w:r w:rsidRPr="005963FF">
        <w:t>tvůrčí</w:t>
      </w:r>
      <w:r>
        <w:t xml:space="preserve"> </w:t>
      </w:r>
      <w:r w:rsidRPr="005963FF">
        <w:t>a</w:t>
      </w:r>
      <w:r>
        <w:t xml:space="preserve"> </w:t>
      </w:r>
      <w:r w:rsidRPr="005963FF">
        <w:t>s</w:t>
      </w:r>
      <w:r>
        <w:t xml:space="preserve"> </w:t>
      </w:r>
      <w:r w:rsidRPr="005963FF">
        <w:t>nimi</w:t>
      </w:r>
      <w:r>
        <w:t xml:space="preserve"> </w:t>
      </w:r>
      <w:r w:rsidRPr="005963FF">
        <w:t>souvisejících</w:t>
      </w:r>
      <w:r>
        <w:t xml:space="preserve"> </w:t>
      </w:r>
      <w:r w:rsidRPr="005963FF">
        <w:t>činností</w:t>
      </w:r>
      <w:r>
        <w:t xml:space="preserve"> </w:t>
      </w:r>
      <w:r w:rsidRPr="005963FF">
        <w:t>veřejné</w:t>
      </w:r>
      <w:r>
        <w:t xml:space="preserve"> </w:t>
      </w:r>
      <w:r w:rsidRPr="005963FF">
        <w:t>vysoké</w:t>
      </w:r>
      <w:r>
        <w:t xml:space="preserve"> </w:t>
      </w:r>
      <w:r w:rsidRPr="005963FF">
        <w:t>školy,</w:t>
      </w:r>
      <w:r>
        <w:t xml:space="preserve"> </w:t>
      </w:r>
      <w:r w:rsidRPr="005963FF">
        <w:t>předloženou</w:t>
      </w:r>
      <w:r>
        <w:t xml:space="preserve"> </w:t>
      </w:r>
      <w:r w:rsidRPr="005963FF">
        <w:t>rektorem,</w:t>
      </w:r>
      <w:r>
        <w:t xml:space="preserve"> </w:t>
      </w:r>
      <w:r w:rsidRPr="005963FF">
        <w:t>a</w:t>
      </w:r>
      <w:r>
        <w:t xml:space="preserve"> </w:t>
      </w:r>
      <w:r w:rsidRPr="005963FF">
        <w:t>dodatky</w:t>
      </w:r>
      <w:r>
        <w:t xml:space="preserve"> </w:t>
      </w:r>
      <w:r w:rsidRPr="005963FF">
        <w:t>k</w:t>
      </w:r>
      <w:r>
        <w:t xml:space="preserve"> </w:t>
      </w:r>
      <w:r w:rsidRPr="005963FF">
        <w:t>této</w:t>
      </w:r>
      <w:r>
        <w:t xml:space="preserve"> </w:t>
      </w:r>
      <w:r w:rsidRPr="005963FF">
        <w:t>zprávě,</w:t>
      </w:r>
    </w:p>
    <w:p w14:paraId="74BE95FC" w14:textId="7D878E2C" w:rsidR="00CB5381" w:rsidRDefault="00CB5381" w:rsidP="00393B51">
      <w:pPr>
        <w:pStyle w:val="Textparagrafu"/>
        <w:tabs>
          <w:tab w:val="left" w:pos="392"/>
          <w:tab w:val="left" w:pos="840"/>
        </w:tabs>
        <w:spacing w:before="0"/>
        <w:ind w:left="426" w:hanging="426"/>
      </w:pPr>
      <w:r w:rsidRPr="005963FF">
        <w:t>b)</w:t>
      </w:r>
      <w:r w:rsidR="00352404">
        <w:tab/>
      </w:r>
      <w:r w:rsidRPr="005963FF">
        <w:t>schvaluje</w:t>
      </w:r>
      <w:r>
        <w:t xml:space="preserve"> </w:t>
      </w:r>
      <w:r w:rsidRPr="005963FF">
        <w:t>rozpočet</w:t>
      </w:r>
      <w:r>
        <w:t xml:space="preserve"> </w:t>
      </w:r>
      <w:r w:rsidRPr="005963FF">
        <w:t>a</w:t>
      </w:r>
      <w:r>
        <w:t xml:space="preserve"> </w:t>
      </w:r>
      <w:r w:rsidRPr="005963FF">
        <w:t>střednědobý</w:t>
      </w:r>
      <w:r>
        <w:t xml:space="preserve"> </w:t>
      </w:r>
      <w:r w:rsidRPr="005963FF">
        <w:t>výhled</w:t>
      </w:r>
      <w:r>
        <w:t xml:space="preserve"> </w:t>
      </w:r>
      <w:r w:rsidRPr="005963FF">
        <w:t>veřejné</w:t>
      </w:r>
      <w:r>
        <w:t xml:space="preserve"> </w:t>
      </w:r>
      <w:r w:rsidRPr="005963FF">
        <w:t>vysoké</w:t>
      </w:r>
      <w:r>
        <w:t xml:space="preserve"> </w:t>
      </w:r>
      <w:r w:rsidRPr="005963FF">
        <w:t>školy,</w:t>
      </w:r>
      <w:r>
        <w:t xml:space="preserve"> </w:t>
      </w:r>
      <w:r w:rsidRPr="005963FF">
        <w:t>předložený</w:t>
      </w:r>
      <w:r>
        <w:t xml:space="preserve"> </w:t>
      </w:r>
      <w:r w:rsidRPr="005963FF">
        <w:t>rektorem,</w:t>
      </w:r>
    </w:p>
    <w:p w14:paraId="4E8CCE45" w14:textId="13D9DE47" w:rsidR="00CB5381" w:rsidRDefault="00CB5381" w:rsidP="00393B51">
      <w:pPr>
        <w:pStyle w:val="Textparagrafu"/>
        <w:tabs>
          <w:tab w:val="left" w:pos="392"/>
          <w:tab w:val="left" w:pos="840"/>
        </w:tabs>
        <w:spacing w:before="0"/>
        <w:ind w:left="426" w:hanging="426"/>
      </w:pPr>
      <w:r w:rsidRPr="005963FF">
        <w:t>c)</w:t>
      </w:r>
      <w:r w:rsidR="00352404">
        <w:tab/>
      </w:r>
      <w:r w:rsidRPr="005963FF">
        <w:t>schvaluje</w:t>
      </w:r>
      <w:r>
        <w:t xml:space="preserve"> </w:t>
      </w:r>
      <w:r w:rsidRPr="005963FF">
        <w:t>strategický</w:t>
      </w:r>
      <w:r>
        <w:t xml:space="preserve"> </w:t>
      </w:r>
      <w:r w:rsidRPr="005963FF">
        <w:t>záměr</w:t>
      </w:r>
      <w:r>
        <w:t xml:space="preserve"> </w:t>
      </w:r>
      <w:r w:rsidRPr="005963FF">
        <w:t>veřejné</w:t>
      </w:r>
      <w:r>
        <w:t xml:space="preserve"> </w:t>
      </w:r>
      <w:r w:rsidRPr="005963FF">
        <w:t>vysoké</w:t>
      </w:r>
      <w:r>
        <w:t xml:space="preserve"> </w:t>
      </w:r>
      <w:r w:rsidRPr="005963FF">
        <w:t>školy,</w:t>
      </w:r>
    </w:p>
    <w:p w14:paraId="0AD2124C" w14:textId="6BD93DB5" w:rsidR="00CB5381" w:rsidRDefault="00CB5381" w:rsidP="00393B51">
      <w:pPr>
        <w:pStyle w:val="Textparagrafu"/>
        <w:tabs>
          <w:tab w:val="left" w:pos="392"/>
          <w:tab w:val="left" w:pos="840"/>
        </w:tabs>
        <w:spacing w:before="0"/>
        <w:ind w:left="426" w:hanging="426"/>
      </w:pPr>
      <w:r w:rsidRPr="005963FF">
        <w:t>d)</w:t>
      </w:r>
      <w:r w:rsidR="00352404">
        <w:tab/>
      </w:r>
      <w:r w:rsidRPr="005963FF">
        <w:t>projednává</w:t>
      </w:r>
      <w:r>
        <w:t xml:space="preserve"> </w:t>
      </w:r>
      <w:r w:rsidRPr="005963FF">
        <w:t>výroční</w:t>
      </w:r>
      <w:r>
        <w:t xml:space="preserve"> </w:t>
      </w:r>
      <w:r w:rsidRPr="005963FF">
        <w:t>zprávu</w:t>
      </w:r>
      <w:r>
        <w:t xml:space="preserve"> </w:t>
      </w:r>
      <w:r w:rsidRPr="005963FF">
        <w:t>o</w:t>
      </w:r>
      <w:r>
        <w:t xml:space="preserve"> </w:t>
      </w:r>
      <w:r w:rsidRPr="005963FF">
        <w:t>činnosti</w:t>
      </w:r>
      <w:r>
        <w:t xml:space="preserve"> </w:t>
      </w:r>
      <w:r w:rsidRPr="005963FF">
        <w:t>a</w:t>
      </w:r>
      <w:r>
        <w:t xml:space="preserve"> </w:t>
      </w:r>
      <w:r w:rsidRPr="005963FF">
        <w:t>výroční</w:t>
      </w:r>
      <w:r>
        <w:t xml:space="preserve"> </w:t>
      </w:r>
      <w:r w:rsidRPr="005963FF">
        <w:t>zprávu</w:t>
      </w:r>
      <w:r>
        <w:t xml:space="preserve"> </w:t>
      </w:r>
      <w:r w:rsidRPr="005963FF">
        <w:t>o</w:t>
      </w:r>
      <w:r>
        <w:t xml:space="preserve"> </w:t>
      </w:r>
      <w:r w:rsidRPr="005963FF">
        <w:t>hospodaření</w:t>
      </w:r>
      <w:r>
        <w:t xml:space="preserve"> </w:t>
      </w:r>
      <w:r w:rsidRPr="005963FF">
        <w:t>veřejné</w:t>
      </w:r>
      <w:r>
        <w:t xml:space="preserve"> </w:t>
      </w:r>
      <w:r w:rsidRPr="005963FF">
        <w:t>vysoké</w:t>
      </w:r>
      <w:r>
        <w:t xml:space="preserve"> </w:t>
      </w:r>
      <w:r w:rsidRPr="005963FF">
        <w:t>školy,</w:t>
      </w:r>
      <w:r>
        <w:t xml:space="preserve"> </w:t>
      </w:r>
      <w:r w:rsidRPr="005963FF">
        <w:t>předložené</w:t>
      </w:r>
      <w:r>
        <w:t xml:space="preserve"> </w:t>
      </w:r>
      <w:r w:rsidRPr="005963FF">
        <w:t>rektorem.</w:t>
      </w:r>
    </w:p>
    <w:p w14:paraId="3814B04C" w14:textId="77777777" w:rsidR="00CB5381" w:rsidRDefault="00CB5381" w:rsidP="00566368">
      <w:pPr>
        <w:pStyle w:val="Textparagrafu"/>
        <w:tabs>
          <w:tab w:val="left" w:pos="392"/>
          <w:tab w:val="left" w:pos="840"/>
        </w:tabs>
        <w:spacing w:before="120" w:after="120"/>
      </w:pPr>
      <w:r w:rsidRPr="005963FF">
        <w:t>(3)</w:t>
      </w:r>
      <w:r>
        <w:t xml:space="preserve"> </w:t>
      </w:r>
      <w:r w:rsidRPr="005963FF">
        <w:t>Správní</w:t>
      </w:r>
      <w:r>
        <w:t xml:space="preserve"> </w:t>
      </w:r>
      <w:r w:rsidRPr="005963FF">
        <w:t>rada</w:t>
      </w:r>
      <w:r>
        <w:t xml:space="preserve"> </w:t>
      </w:r>
      <w:r w:rsidRPr="005963FF">
        <w:t>veřejné</w:t>
      </w:r>
      <w:r>
        <w:t xml:space="preserve"> </w:t>
      </w:r>
      <w:r w:rsidRPr="005963FF">
        <w:t>vysoké</w:t>
      </w:r>
      <w:r>
        <w:t xml:space="preserve"> </w:t>
      </w:r>
      <w:r w:rsidRPr="005963FF">
        <w:t>školy</w:t>
      </w:r>
      <w:r>
        <w:t xml:space="preserve"> </w:t>
      </w:r>
      <w:r w:rsidRPr="005963FF">
        <w:t>se</w:t>
      </w:r>
      <w:r>
        <w:t xml:space="preserve"> </w:t>
      </w:r>
      <w:r w:rsidRPr="005963FF">
        <w:t>vyjadřuje</w:t>
      </w:r>
      <w:r>
        <w:t xml:space="preserve"> </w:t>
      </w:r>
      <w:r w:rsidRPr="005963FF">
        <w:t>k</w:t>
      </w:r>
      <w:r>
        <w:t xml:space="preserve"> </w:t>
      </w:r>
      <w:r w:rsidRPr="005963FF">
        <w:t>dalším</w:t>
      </w:r>
      <w:r>
        <w:t xml:space="preserve"> </w:t>
      </w:r>
      <w:r w:rsidRPr="005963FF">
        <w:t>věcem,</w:t>
      </w:r>
      <w:r>
        <w:t xml:space="preserve"> </w:t>
      </w:r>
      <w:r w:rsidRPr="005963FF">
        <w:t>které</w:t>
      </w:r>
      <w:r>
        <w:t xml:space="preserve"> </w:t>
      </w:r>
      <w:r w:rsidRPr="005963FF">
        <w:t>jí</w:t>
      </w:r>
      <w:r>
        <w:t xml:space="preserve"> </w:t>
      </w:r>
      <w:r w:rsidRPr="005963FF">
        <w:t>k</w:t>
      </w:r>
      <w:r>
        <w:t xml:space="preserve"> </w:t>
      </w:r>
      <w:r w:rsidRPr="005963FF">
        <w:t>projednání</w:t>
      </w:r>
      <w:r>
        <w:t xml:space="preserve"> </w:t>
      </w:r>
      <w:r w:rsidRPr="005963FF">
        <w:t>předloží</w:t>
      </w:r>
      <w:r>
        <w:t xml:space="preserve"> </w:t>
      </w:r>
      <w:r w:rsidRPr="005963FF">
        <w:t>rektor;</w:t>
      </w:r>
      <w:r>
        <w:t xml:space="preserve"> </w:t>
      </w:r>
      <w:r w:rsidRPr="005963FF">
        <w:t>dává</w:t>
      </w:r>
      <w:r>
        <w:t xml:space="preserve"> </w:t>
      </w:r>
      <w:r w:rsidRPr="005963FF">
        <w:t>podněty</w:t>
      </w:r>
      <w:r>
        <w:t xml:space="preserve"> </w:t>
      </w:r>
      <w:r w:rsidRPr="005963FF">
        <w:t>a</w:t>
      </w:r>
      <w:r>
        <w:t xml:space="preserve"> </w:t>
      </w:r>
      <w:r w:rsidRPr="005963FF">
        <w:t>vyjadřuje</w:t>
      </w:r>
      <w:r>
        <w:t xml:space="preserve"> </w:t>
      </w:r>
      <w:r w:rsidRPr="005963FF">
        <w:t>stanoviska</w:t>
      </w:r>
      <w:r>
        <w:t xml:space="preserve"> </w:t>
      </w:r>
      <w:r w:rsidRPr="005963FF">
        <w:t>k</w:t>
      </w:r>
      <w:r>
        <w:t xml:space="preserve"> </w:t>
      </w:r>
      <w:r w:rsidRPr="005963FF">
        <w:t>činnosti</w:t>
      </w:r>
      <w:r>
        <w:t xml:space="preserve"> </w:t>
      </w:r>
      <w:r w:rsidRPr="005963FF">
        <w:t>veřejné</w:t>
      </w:r>
      <w:r>
        <w:t xml:space="preserve"> </w:t>
      </w:r>
      <w:r w:rsidRPr="005963FF">
        <w:t>vysoké</w:t>
      </w:r>
      <w:r>
        <w:t xml:space="preserve"> </w:t>
      </w:r>
      <w:r w:rsidRPr="005963FF">
        <w:t>školy,</w:t>
      </w:r>
      <w:r>
        <w:t xml:space="preserve"> </w:t>
      </w:r>
      <w:r w:rsidRPr="005963FF">
        <w:t>která</w:t>
      </w:r>
      <w:r>
        <w:t xml:space="preserve"> </w:t>
      </w:r>
      <w:r w:rsidRPr="005963FF">
        <w:t>zveřejňuje</w:t>
      </w:r>
      <w:r>
        <w:t xml:space="preserve"> </w:t>
      </w:r>
      <w:r w:rsidRPr="005963FF">
        <w:t>ve</w:t>
      </w:r>
      <w:r>
        <w:t xml:space="preserve"> </w:t>
      </w:r>
      <w:r w:rsidRPr="005963FF">
        <w:t>veřejné</w:t>
      </w:r>
      <w:r>
        <w:t xml:space="preserve"> </w:t>
      </w:r>
      <w:r w:rsidRPr="005963FF">
        <w:t>části</w:t>
      </w:r>
      <w:r>
        <w:t xml:space="preserve"> </w:t>
      </w:r>
      <w:r w:rsidRPr="005963FF">
        <w:t>internetových</w:t>
      </w:r>
      <w:r>
        <w:t xml:space="preserve"> </w:t>
      </w:r>
      <w:r w:rsidRPr="005963FF">
        <w:t>stránek</w:t>
      </w:r>
      <w:r>
        <w:t xml:space="preserve"> </w:t>
      </w:r>
      <w:r w:rsidRPr="005963FF">
        <w:t>veřejné</w:t>
      </w:r>
      <w:r>
        <w:t xml:space="preserve"> </w:t>
      </w:r>
      <w:r w:rsidRPr="005963FF">
        <w:t>vysoké</w:t>
      </w:r>
      <w:r>
        <w:t xml:space="preserve"> </w:t>
      </w:r>
      <w:r w:rsidRPr="005963FF">
        <w:t>školy.</w:t>
      </w:r>
    </w:p>
    <w:p w14:paraId="0CBC206A" w14:textId="73D6A372" w:rsidR="00CB5381" w:rsidRDefault="00CB5381" w:rsidP="00566368">
      <w:pPr>
        <w:pStyle w:val="Textparagrafu"/>
        <w:tabs>
          <w:tab w:val="left" w:pos="392"/>
          <w:tab w:val="left" w:pos="840"/>
        </w:tabs>
        <w:spacing w:before="120" w:after="120"/>
      </w:pPr>
      <w:r w:rsidRPr="005963FF">
        <w:t>(4)</w:t>
      </w:r>
      <w:r>
        <w:t xml:space="preserve"> </w:t>
      </w:r>
      <w:r w:rsidRPr="005963FF">
        <w:t>Při</w:t>
      </w:r>
      <w:r>
        <w:t xml:space="preserve"> </w:t>
      </w:r>
      <w:r w:rsidRPr="005963FF">
        <w:t>úplatném</w:t>
      </w:r>
      <w:r>
        <w:t xml:space="preserve"> </w:t>
      </w:r>
      <w:r w:rsidRPr="005963FF">
        <w:t>smluvním</w:t>
      </w:r>
      <w:r>
        <w:t xml:space="preserve"> </w:t>
      </w:r>
      <w:r w:rsidRPr="005963FF">
        <w:t>převodu</w:t>
      </w:r>
      <w:r>
        <w:t xml:space="preserve"> </w:t>
      </w:r>
      <w:r w:rsidRPr="005963FF">
        <w:t>movité</w:t>
      </w:r>
      <w:r>
        <w:t xml:space="preserve"> </w:t>
      </w:r>
      <w:r w:rsidRPr="005963FF">
        <w:t>věci</w:t>
      </w:r>
      <w:r>
        <w:t xml:space="preserve"> </w:t>
      </w:r>
      <w:r w:rsidRPr="005963FF">
        <w:t>podle</w:t>
      </w:r>
      <w:r>
        <w:t xml:space="preserve"> </w:t>
      </w:r>
      <w:r w:rsidRPr="005963FF">
        <w:t>odstavce</w:t>
      </w:r>
      <w:r>
        <w:t xml:space="preserve"> </w:t>
      </w:r>
      <w:r w:rsidRPr="005963FF">
        <w:t>1</w:t>
      </w:r>
      <w:r>
        <w:t xml:space="preserve"> </w:t>
      </w:r>
      <w:r w:rsidRPr="005963FF">
        <w:t>písm.</w:t>
      </w:r>
      <w:r>
        <w:t xml:space="preserve"> </w:t>
      </w:r>
      <w:r w:rsidRPr="005963FF">
        <w:t>b)</w:t>
      </w:r>
      <w:r>
        <w:t xml:space="preserve"> </w:t>
      </w:r>
      <w:r w:rsidRPr="005963FF">
        <w:t>se</w:t>
      </w:r>
      <w:r>
        <w:t xml:space="preserve"> </w:t>
      </w:r>
      <w:r w:rsidRPr="005963FF">
        <w:t>cena</w:t>
      </w:r>
      <w:r w:rsidR="00352404">
        <w:rPr>
          <w:rStyle w:val="Znakapoznpodarou"/>
        </w:rPr>
        <w:footnoteReference w:customMarkFollows="1" w:id="267"/>
        <w:t>3)</w:t>
      </w:r>
      <w:r w:rsidR="00352404">
        <w:t xml:space="preserve"> </w:t>
      </w:r>
      <w:r w:rsidRPr="005963FF">
        <w:t>sjednává</w:t>
      </w:r>
      <w:r>
        <w:t xml:space="preserve"> </w:t>
      </w:r>
      <w:r w:rsidRPr="005963FF">
        <w:t>ve</w:t>
      </w:r>
      <w:r>
        <w:t xml:space="preserve"> </w:t>
      </w:r>
      <w:r w:rsidRPr="005963FF">
        <w:t>výši,</w:t>
      </w:r>
      <w:r>
        <w:t xml:space="preserve"> </w:t>
      </w:r>
      <w:r w:rsidRPr="005963FF">
        <w:t>která</w:t>
      </w:r>
      <w:r>
        <w:t xml:space="preserve"> </w:t>
      </w:r>
      <w:r w:rsidRPr="005963FF">
        <w:t>je</w:t>
      </w:r>
      <w:r>
        <w:t xml:space="preserve"> </w:t>
      </w:r>
      <w:r w:rsidRPr="005963FF">
        <w:t>v</w:t>
      </w:r>
      <w:r>
        <w:t xml:space="preserve"> </w:t>
      </w:r>
      <w:r w:rsidRPr="005963FF">
        <w:t>daném</w:t>
      </w:r>
      <w:r>
        <w:t xml:space="preserve"> </w:t>
      </w:r>
      <w:r w:rsidRPr="005963FF">
        <w:t>místě</w:t>
      </w:r>
      <w:r>
        <w:t xml:space="preserve"> </w:t>
      </w:r>
      <w:r w:rsidRPr="005963FF">
        <w:t>a</w:t>
      </w:r>
      <w:r>
        <w:t xml:space="preserve"> </w:t>
      </w:r>
      <w:r w:rsidRPr="005963FF">
        <w:t>čase</w:t>
      </w:r>
      <w:r>
        <w:t xml:space="preserve"> </w:t>
      </w:r>
      <w:r w:rsidRPr="005963FF">
        <w:t>obvyklá;</w:t>
      </w:r>
      <w:r>
        <w:t xml:space="preserve"> </w:t>
      </w:r>
      <w:r w:rsidRPr="005963FF">
        <w:t>bezúplatně</w:t>
      </w:r>
      <w:r>
        <w:t xml:space="preserve"> </w:t>
      </w:r>
      <w:r w:rsidRPr="005963FF">
        <w:t>lze</w:t>
      </w:r>
      <w:r>
        <w:t xml:space="preserve"> </w:t>
      </w:r>
      <w:r w:rsidRPr="005963FF">
        <w:t>movitou</w:t>
      </w:r>
      <w:r>
        <w:t xml:space="preserve"> </w:t>
      </w:r>
      <w:r w:rsidRPr="005963FF">
        <w:t>věc</w:t>
      </w:r>
      <w:r>
        <w:t xml:space="preserve"> </w:t>
      </w:r>
      <w:r w:rsidRPr="005963FF">
        <w:t>převést</w:t>
      </w:r>
      <w:r>
        <w:t xml:space="preserve"> </w:t>
      </w:r>
      <w:r w:rsidRPr="005963FF">
        <w:t>pouze</w:t>
      </w:r>
      <w:r>
        <w:t xml:space="preserve"> </w:t>
      </w:r>
      <w:r w:rsidRPr="005963FF">
        <w:t>ve</w:t>
      </w:r>
      <w:r>
        <w:t xml:space="preserve"> </w:t>
      </w:r>
      <w:r w:rsidRPr="005963FF">
        <w:t>veřejném</w:t>
      </w:r>
      <w:r>
        <w:t xml:space="preserve"> </w:t>
      </w:r>
      <w:r w:rsidRPr="005963FF">
        <w:t>zájmu</w:t>
      </w:r>
      <w:r>
        <w:t xml:space="preserve"> </w:t>
      </w:r>
      <w:r w:rsidRPr="005963FF">
        <w:t>nebo</w:t>
      </w:r>
      <w:r>
        <w:t xml:space="preserve"> </w:t>
      </w:r>
      <w:r w:rsidRPr="005963FF">
        <w:t>je-li</w:t>
      </w:r>
      <w:r>
        <w:t xml:space="preserve"> </w:t>
      </w:r>
      <w:r w:rsidRPr="005963FF">
        <w:t>bezúplatný</w:t>
      </w:r>
      <w:r>
        <w:t xml:space="preserve"> </w:t>
      </w:r>
      <w:r w:rsidRPr="005963FF">
        <w:t>převod</w:t>
      </w:r>
      <w:r>
        <w:t xml:space="preserve"> </w:t>
      </w:r>
      <w:r w:rsidRPr="005963FF">
        <w:t>hospodárnější</w:t>
      </w:r>
      <w:r>
        <w:t xml:space="preserve"> </w:t>
      </w:r>
      <w:r w:rsidRPr="005963FF">
        <w:t>než</w:t>
      </w:r>
      <w:r>
        <w:t xml:space="preserve"> </w:t>
      </w:r>
      <w:r w:rsidRPr="005963FF">
        <w:t>jiný</w:t>
      </w:r>
      <w:r>
        <w:t xml:space="preserve"> </w:t>
      </w:r>
      <w:r w:rsidRPr="005963FF">
        <w:t>způsob</w:t>
      </w:r>
      <w:r>
        <w:t xml:space="preserve"> </w:t>
      </w:r>
      <w:r w:rsidRPr="005963FF">
        <w:t>naložení</w:t>
      </w:r>
      <w:r>
        <w:t xml:space="preserve"> </w:t>
      </w:r>
      <w:r w:rsidRPr="005963FF">
        <w:t>s</w:t>
      </w:r>
      <w:r>
        <w:t xml:space="preserve"> </w:t>
      </w:r>
      <w:r w:rsidRPr="005963FF">
        <w:t>věcí.</w:t>
      </w:r>
    </w:p>
    <w:p w14:paraId="28343CF4" w14:textId="77777777" w:rsidR="00CB5381" w:rsidRDefault="00CB5381" w:rsidP="00566368">
      <w:pPr>
        <w:pStyle w:val="Textparagrafu"/>
        <w:tabs>
          <w:tab w:val="left" w:pos="392"/>
          <w:tab w:val="left" w:pos="840"/>
        </w:tabs>
        <w:spacing w:before="120" w:after="120"/>
      </w:pPr>
      <w:r w:rsidRPr="005963FF">
        <w:t>(5)</w:t>
      </w:r>
      <w:r>
        <w:t xml:space="preserve"> </w:t>
      </w:r>
      <w:r w:rsidRPr="005963FF">
        <w:t>Správní</w:t>
      </w:r>
      <w:r>
        <w:t xml:space="preserve"> </w:t>
      </w:r>
      <w:r w:rsidRPr="005963FF">
        <w:t>rada</w:t>
      </w:r>
      <w:r>
        <w:t xml:space="preserve"> </w:t>
      </w:r>
      <w:r w:rsidRPr="005963FF">
        <w:t>veřejné</w:t>
      </w:r>
      <w:r>
        <w:t xml:space="preserve"> </w:t>
      </w:r>
      <w:r w:rsidRPr="005963FF">
        <w:t>vysoké</w:t>
      </w:r>
      <w:r>
        <w:t xml:space="preserve"> </w:t>
      </w:r>
      <w:r w:rsidRPr="005963FF">
        <w:t>školy</w:t>
      </w:r>
      <w:r>
        <w:t xml:space="preserve"> </w:t>
      </w:r>
      <w:r w:rsidRPr="005963FF">
        <w:t>právní</w:t>
      </w:r>
      <w:r>
        <w:t xml:space="preserve"> </w:t>
      </w:r>
      <w:r w:rsidRPr="005963FF">
        <w:t>jednání</w:t>
      </w:r>
      <w:r>
        <w:t xml:space="preserve"> </w:t>
      </w:r>
      <w:r w:rsidRPr="005963FF">
        <w:t>neschválí,</w:t>
      </w:r>
      <w:r>
        <w:t xml:space="preserve"> </w:t>
      </w:r>
      <w:r w:rsidRPr="005963FF">
        <w:t>jestliže</w:t>
      </w:r>
      <w:r>
        <w:t xml:space="preserve"> </w:t>
      </w:r>
      <w:r w:rsidRPr="005963FF">
        <w:t>je</w:t>
      </w:r>
      <w:r>
        <w:t xml:space="preserve"> </w:t>
      </w:r>
      <w:r w:rsidRPr="005963FF">
        <w:t>v</w:t>
      </w:r>
      <w:r>
        <w:t xml:space="preserve"> </w:t>
      </w:r>
      <w:r w:rsidRPr="005963FF">
        <w:t>rozporu</w:t>
      </w:r>
      <w:r>
        <w:t xml:space="preserve"> </w:t>
      </w:r>
      <w:r w:rsidRPr="005963FF">
        <w:t>s</w:t>
      </w:r>
      <w:r>
        <w:t xml:space="preserve"> </w:t>
      </w:r>
      <w:r w:rsidRPr="005963FF">
        <w:t>požadavkem</w:t>
      </w:r>
      <w:r>
        <w:t xml:space="preserve"> </w:t>
      </w:r>
      <w:r w:rsidRPr="005963FF">
        <w:t>řádného</w:t>
      </w:r>
      <w:r>
        <w:t xml:space="preserve"> </w:t>
      </w:r>
      <w:r w:rsidRPr="005963FF">
        <w:t>využívání</w:t>
      </w:r>
      <w:r>
        <w:t xml:space="preserve"> </w:t>
      </w:r>
      <w:r w:rsidRPr="005963FF">
        <w:t>majetku</w:t>
      </w:r>
      <w:r>
        <w:t xml:space="preserve"> </w:t>
      </w:r>
      <w:r w:rsidRPr="005963FF">
        <w:t>veřejné</w:t>
      </w:r>
      <w:r>
        <w:t xml:space="preserve"> </w:t>
      </w:r>
      <w:r w:rsidRPr="005963FF">
        <w:t>vysoké</w:t>
      </w:r>
      <w:r>
        <w:t xml:space="preserve"> </w:t>
      </w:r>
      <w:r w:rsidRPr="005963FF">
        <w:t>školy</w:t>
      </w:r>
      <w:r>
        <w:t xml:space="preserve"> </w:t>
      </w:r>
      <w:r w:rsidRPr="005963FF">
        <w:t>nebo</w:t>
      </w:r>
      <w:r>
        <w:t xml:space="preserve"> </w:t>
      </w:r>
      <w:r w:rsidRPr="005963FF">
        <w:t>jestliže</w:t>
      </w:r>
      <w:r>
        <w:t xml:space="preserve"> </w:t>
      </w:r>
      <w:r w:rsidRPr="005963FF">
        <w:t>by</w:t>
      </w:r>
      <w:r>
        <w:t xml:space="preserve"> </w:t>
      </w:r>
      <w:r w:rsidRPr="005963FF">
        <w:t>jím</w:t>
      </w:r>
      <w:r>
        <w:t xml:space="preserve"> </w:t>
      </w:r>
      <w:r w:rsidRPr="005963FF">
        <w:t>bylo</w:t>
      </w:r>
      <w:r>
        <w:t xml:space="preserve"> </w:t>
      </w:r>
      <w:r w:rsidRPr="005963FF">
        <w:t>ohroženo</w:t>
      </w:r>
      <w:r>
        <w:t xml:space="preserve"> </w:t>
      </w:r>
      <w:r w:rsidRPr="005963FF">
        <w:t>plnění</w:t>
      </w:r>
      <w:r>
        <w:t xml:space="preserve"> </w:t>
      </w:r>
      <w:r w:rsidRPr="005963FF">
        <w:t>úkolů</w:t>
      </w:r>
      <w:r>
        <w:t xml:space="preserve"> </w:t>
      </w:r>
      <w:r w:rsidRPr="005963FF">
        <w:t>školy.</w:t>
      </w:r>
    </w:p>
    <w:p w14:paraId="77132A30" w14:textId="77777777" w:rsidR="00CB5381" w:rsidRDefault="00CB5381" w:rsidP="00566368">
      <w:pPr>
        <w:pStyle w:val="Textparagrafu"/>
        <w:tabs>
          <w:tab w:val="left" w:pos="392"/>
          <w:tab w:val="left" w:pos="840"/>
        </w:tabs>
        <w:spacing w:before="120" w:after="120"/>
      </w:pPr>
      <w:r w:rsidRPr="005963FF">
        <w:t>(6)</w:t>
      </w:r>
      <w:r>
        <w:t xml:space="preserve"> </w:t>
      </w:r>
      <w:r w:rsidRPr="005963FF">
        <w:t>Vydání</w:t>
      </w:r>
      <w:r>
        <w:t xml:space="preserve"> </w:t>
      </w:r>
      <w:r w:rsidRPr="005963FF">
        <w:t>předchozího</w:t>
      </w:r>
      <w:r>
        <w:t xml:space="preserve"> </w:t>
      </w:r>
      <w:r w:rsidRPr="005963FF">
        <w:t>písemného</w:t>
      </w:r>
      <w:r>
        <w:t xml:space="preserve"> </w:t>
      </w:r>
      <w:r w:rsidRPr="005963FF">
        <w:t>souhlasu</w:t>
      </w:r>
      <w:r>
        <w:t xml:space="preserve"> </w:t>
      </w:r>
      <w:r w:rsidRPr="005963FF">
        <w:t>k</w:t>
      </w:r>
      <w:r>
        <w:t xml:space="preserve"> </w:t>
      </w:r>
      <w:r w:rsidRPr="005963FF">
        <w:t>právním</w:t>
      </w:r>
      <w:r>
        <w:t xml:space="preserve"> </w:t>
      </w:r>
      <w:r w:rsidRPr="005963FF">
        <w:t>jednáním</w:t>
      </w:r>
      <w:r>
        <w:t xml:space="preserve"> </w:t>
      </w:r>
      <w:r w:rsidRPr="005963FF">
        <w:t>uvedeným</w:t>
      </w:r>
      <w:r>
        <w:t xml:space="preserve"> </w:t>
      </w:r>
      <w:r w:rsidRPr="005963FF">
        <w:t>v</w:t>
      </w:r>
      <w:r>
        <w:t xml:space="preserve"> </w:t>
      </w:r>
      <w:r w:rsidRPr="005963FF">
        <w:t>odstavci</w:t>
      </w:r>
      <w:r>
        <w:t xml:space="preserve"> </w:t>
      </w:r>
      <w:r w:rsidRPr="005963FF">
        <w:t>1</w:t>
      </w:r>
      <w:r>
        <w:t xml:space="preserve"> </w:t>
      </w:r>
      <w:r w:rsidRPr="005963FF">
        <w:t>písm.</w:t>
      </w:r>
      <w:r>
        <w:t xml:space="preserve"> </w:t>
      </w:r>
      <w:r w:rsidRPr="005963FF">
        <w:t>a)</w:t>
      </w:r>
      <w:r>
        <w:t xml:space="preserve"> </w:t>
      </w:r>
      <w:r w:rsidRPr="005963FF">
        <w:t>až</w:t>
      </w:r>
      <w:r>
        <w:t xml:space="preserve"> </w:t>
      </w:r>
      <w:r w:rsidRPr="005963FF">
        <w:t>d)</w:t>
      </w:r>
      <w:r>
        <w:t xml:space="preserve"> </w:t>
      </w:r>
      <w:r w:rsidRPr="005963FF">
        <w:t>je</w:t>
      </w:r>
      <w:r>
        <w:t xml:space="preserve"> </w:t>
      </w:r>
      <w:r w:rsidRPr="005963FF">
        <w:t>povinna</w:t>
      </w:r>
      <w:r>
        <w:t xml:space="preserve"> </w:t>
      </w:r>
      <w:r w:rsidRPr="005963FF">
        <w:t>správní</w:t>
      </w:r>
      <w:r>
        <w:t xml:space="preserve"> </w:t>
      </w:r>
      <w:r w:rsidRPr="005963FF">
        <w:t>rada</w:t>
      </w:r>
      <w:r>
        <w:t xml:space="preserve"> </w:t>
      </w:r>
      <w:r w:rsidRPr="005963FF">
        <w:t>veřejné</w:t>
      </w:r>
      <w:r>
        <w:t xml:space="preserve"> </w:t>
      </w:r>
      <w:r w:rsidRPr="005963FF">
        <w:t>vysoké</w:t>
      </w:r>
      <w:r>
        <w:t xml:space="preserve"> </w:t>
      </w:r>
      <w:r w:rsidRPr="005963FF">
        <w:t>školy</w:t>
      </w:r>
      <w:r>
        <w:t xml:space="preserve"> </w:t>
      </w:r>
      <w:r w:rsidRPr="005963FF">
        <w:t>oznámit</w:t>
      </w:r>
      <w:r>
        <w:t xml:space="preserve"> </w:t>
      </w:r>
      <w:r w:rsidRPr="005963FF">
        <w:t>do</w:t>
      </w:r>
      <w:r>
        <w:t xml:space="preserve"> </w:t>
      </w:r>
      <w:r w:rsidRPr="005963FF">
        <w:t>sedmi</w:t>
      </w:r>
      <w:r>
        <w:t xml:space="preserve"> </w:t>
      </w:r>
      <w:r w:rsidRPr="005963FF">
        <w:t>dnů</w:t>
      </w:r>
      <w:r>
        <w:t xml:space="preserve"> </w:t>
      </w:r>
      <w:r w:rsidRPr="005963FF">
        <w:t>od</w:t>
      </w:r>
      <w:r>
        <w:t xml:space="preserve"> </w:t>
      </w:r>
      <w:r w:rsidRPr="005963FF">
        <w:t>jeho</w:t>
      </w:r>
      <w:r>
        <w:t xml:space="preserve"> </w:t>
      </w:r>
      <w:r w:rsidRPr="005963FF">
        <w:t>vydání</w:t>
      </w:r>
      <w:r>
        <w:t xml:space="preserve"> </w:t>
      </w:r>
      <w:r w:rsidRPr="005963FF">
        <w:t>Ministerstvu</w:t>
      </w:r>
      <w:r>
        <w:t xml:space="preserve"> </w:t>
      </w:r>
      <w:r w:rsidRPr="005963FF">
        <w:t>školství,</w:t>
      </w:r>
      <w:r>
        <w:t xml:space="preserve"> </w:t>
      </w:r>
      <w:r w:rsidRPr="005963FF">
        <w:t>mládeže</w:t>
      </w:r>
      <w:r>
        <w:t xml:space="preserve"> </w:t>
      </w:r>
      <w:r w:rsidRPr="005963FF">
        <w:t>a</w:t>
      </w:r>
      <w:r>
        <w:t xml:space="preserve"> </w:t>
      </w:r>
      <w:r w:rsidRPr="005963FF">
        <w:t>tělovýchovy</w:t>
      </w:r>
      <w:r>
        <w:t xml:space="preserve"> </w:t>
      </w:r>
      <w:r w:rsidRPr="005963FF">
        <w:t>(dále</w:t>
      </w:r>
      <w:r>
        <w:t xml:space="preserve"> </w:t>
      </w:r>
      <w:r w:rsidRPr="005963FF">
        <w:t>jen</w:t>
      </w:r>
      <w:r>
        <w:t xml:space="preserve"> </w:t>
      </w:r>
      <w:r w:rsidRPr="005963FF">
        <w:t>"ministerstvo").</w:t>
      </w:r>
    </w:p>
    <w:p w14:paraId="35467391" w14:textId="77777777" w:rsidR="00CB5381" w:rsidRDefault="00CB5381" w:rsidP="00566368">
      <w:pPr>
        <w:pStyle w:val="Textparagrafu"/>
        <w:tabs>
          <w:tab w:val="left" w:pos="392"/>
          <w:tab w:val="left" w:pos="840"/>
        </w:tabs>
        <w:spacing w:before="120" w:after="120"/>
      </w:pPr>
      <w:r w:rsidRPr="005963FF">
        <w:lastRenderedPageBreak/>
        <w:t>(7)</w:t>
      </w:r>
      <w:r>
        <w:t xml:space="preserve"> </w:t>
      </w:r>
      <w:r w:rsidRPr="005963FF">
        <w:t>Právní</w:t>
      </w:r>
      <w:r>
        <w:t xml:space="preserve"> </w:t>
      </w:r>
      <w:r w:rsidRPr="005963FF">
        <w:t>jednání</w:t>
      </w:r>
      <w:r>
        <w:t xml:space="preserve"> </w:t>
      </w:r>
      <w:r w:rsidRPr="005963FF">
        <w:t>uvedená</w:t>
      </w:r>
      <w:r>
        <w:t xml:space="preserve"> </w:t>
      </w:r>
      <w:r w:rsidRPr="005963FF">
        <w:t>v</w:t>
      </w:r>
      <w:r>
        <w:t xml:space="preserve"> </w:t>
      </w:r>
      <w:r w:rsidRPr="005963FF">
        <w:t>odstavci</w:t>
      </w:r>
      <w:r>
        <w:t xml:space="preserve"> </w:t>
      </w:r>
      <w:r w:rsidRPr="005963FF">
        <w:t>1</w:t>
      </w:r>
      <w:r>
        <w:t xml:space="preserve"> </w:t>
      </w:r>
      <w:r w:rsidRPr="005963FF">
        <w:t>písm.</w:t>
      </w:r>
      <w:r>
        <w:t xml:space="preserve"> </w:t>
      </w:r>
      <w:r w:rsidRPr="005963FF">
        <w:t>a)</w:t>
      </w:r>
      <w:r>
        <w:t xml:space="preserve"> </w:t>
      </w:r>
      <w:r w:rsidRPr="005963FF">
        <w:t>až</w:t>
      </w:r>
      <w:r>
        <w:t xml:space="preserve"> </w:t>
      </w:r>
      <w:r w:rsidRPr="005963FF">
        <w:t>d)</w:t>
      </w:r>
      <w:r>
        <w:t xml:space="preserve"> </w:t>
      </w:r>
      <w:r w:rsidRPr="005963FF">
        <w:t>jsou</w:t>
      </w:r>
      <w:r>
        <w:t xml:space="preserve"> </w:t>
      </w:r>
      <w:r w:rsidRPr="005963FF">
        <w:t>bez</w:t>
      </w:r>
      <w:r>
        <w:t xml:space="preserve"> </w:t>
      </w:r>
      <w:r w:rsidRPr="005963FF">
        <w:t>souhlasu</w:t>
      </w:r>
      <w:r>
        <w:t xml:space="preserve"> </w:t>
      </w:r>
      <w:r w:rsidRPr="005963FF">
        <w:t>správní</w:t>
      </w:r>
      <w:r>
        <w:t xml:space="preserve"> </w:t>
      </w:r>
      <w:r w:rsidRPr="005963FF">
        <w:t>rady</w:t>
      </w:r>
      <w:r>
        <w:t xml:space="preserve"> </w:t>
      </w:r>
      <w:r w:rsidRPr="005963FF">
        <w:t>veřejné</w:t>
      </w:r>
      <w:r>
        <w:t xml:space="preserve"> </w:t>
      </w:r>
      <w:r w:rsidRPr="005963FF">
        <w:t>vysoké</w:t>
      </w:r>
      <w:r>
        <w:t xml:space="preserve"> </w:t>
      </w:r>
      <w:r w:rsidRPr="005963FF">
        <w:t>školy</w:t>
      </w:r>
      <w:r>
        <w:t xml:space="preserve"> </w:t>
      </w:r>
      <w:r w:rsidRPr="005963FF">
        <w:t>a</w:t>
      </w:r>
      <w:r>
        <w:t xml:space="preserve"> </w:t>
      </w:r>
      <w:r w:rsidRPr="005963FF">
        <w:t>bez</w:t>
      </w:r>
      <w:r>
        <w:t xml:space="preserve"> </w:t>
      </w:r>
      <w:r w:rsidRPr="005963FF">
        <w:t>oznámení</w:t>
      </w:r>
      <w:r>
        <w:t xml:space="preserve"> </w:t>
      </w:r>
      <w:r w:rsidRPr="005963FF">
        <w:t>ministerstvu</w:t>
      </w:r>
      <w:r>
        <w:t xml:space="preserve"> </w:t>
      </w:r>
      <w:r w:rsidRPr="005963FF">
        <w:t>podle</w:t>
      </w:r>
      <w:r>
        <w:t xml:space="preserve"> </w:t>
      </w:r>
      <w:r w:rsidRPr="005963FF">
        <w:t>odstavce</w:t>
      </w:r>
      <w:r>
        <w:t xml:space="preserve"> </w:t>
      </w:r>
      <w:r w:rsidRPr="005963FF">
        <w:t>6</w:t>
      </w:r>
      <w:r>
        <w:t xml:space="preserve"> </w:t>
      </w:r>
      <w:r w:rsidRPr="005963FF">
        <w:t>neplatná.</w:t>
      </w:r>
    </w:p>
    <w:p w14:paraId="6ACC4C87" w14:textId="77777777" w:rsidR="00CB5381" w:rsidRDefault="00CB5381" w:rsidP="00566368">
      <w:pPr>
        <w:pStyle w:val="Textparagrafu"/>
        <w:tabs>
          <w:tab w:val="left" w:pos="392"/>
          <w:tab w:val="left" w:pos="840"/>
        </w:tabs>
        <w:spacing w:before="120" w:after="120"/>
      </w:pPr>
      <w:r w:rsidRPr="005963FF">
        <w:t>(8)</w:t>
      </w:r>
      <w:r>
        <w:t xml:space="preserve"> </w:t>
      </w:r>
      <w:r w:rsidRPr="005963FF">
        <w:t>Správní</w:t>
      </w:r>
      <w:r>
        <w:t xml:space="preserve"> </w:t>
      </w:r>
      <w:r w:rsidRPr="005963FF">
        <w:t>rada</w:t>
      </w:r>
      <w:r>
        <w:t xml:space="preserve"> </w:t>
      </w:r>
      <w:r w:rsidRPr="005963FF">
        <w:t>veřejné</w:t>
      </w:r>
      <w:r>
        <w:t xml:space="preserve"> </w:t>
      </w:r>
      <w:r w:rsidRPr="005963FF">
        <w:t>vysoké</w:t>
      </w:r>
      <w:r>
        <w:t xml:space="preserve"> </w:t>
      </w:r>
      <w:r w:rsidRPr="005963FF">
        <w:t>školy</w:t>
      </w:r>
      <w:r>
        <w:t xml:space="preserve"> </w:t>
      </w:r>
      <w:r w:rsidRPr="005963FF">
        <w:t>dbá</w:t>
      </w:r>
      <w:r>
        <w:t xml:space="preserve"> </w:t>
      </w:r>
      <w:r w:rsidRPr="005963FF">
        <w:t>na</w:t>
      </w:r>
      <w:r>
        <w:t xml:space="preserve"> </w:t>
      </w:r>
      <w:r w:rsidRPr="005963FF">
        <w:t>zachování</w:t>
      </w:r>
      <w:r>
        <w:t xml:space="preserve"> </w:t>
      </w:r>
      <w:r w:rsidRPr="005963FF">
        <w:t>účelu,</w:t>
      </w:r>
      <w:r>
        <w:t xml:space="preserve"> </w:t>
      </w:r>
      <w:r w:rsidRPr="005963FF">
        <w:t>pro</w:t>
      </w:r>
      <w:r>
        <w:t xml:space="preserve"> </w:t>
      </w:r>
      <w:r w:rsidRPr="005963FF">
        <w:t>který</w:t>
      </w:r>
      <w:r>
        <w:t xml:space="preserve"> </w:t>
      </w:r>
      <w:r w:rsidRPr="005963FF">
        <w:t>byla</w:t>
      </w:r>
      <w:r>
        <w:t xml:space="preserve"> </w:t>
      </w:r>
      <w:r w:rsidRPr="005963FF">
        <w:t>veřejná</w:t>
      </w:r>
      <w:r>
        <w:t xml:space="preserve"> </w:t>
      </w:r>
      <w:r w:rsidRPr="005963FF">
        <w:t>vysoká</w:t>
      </w:r>
      <w:r>
        <w:t xml:space="preserve"> </w:t>
      </w:r>
      <w:r w:rsidRPr="005963FF">
        <w:t>škola</w:t>
      </w:r>
      <w:r>
        <w:t xml:space="preserve"> </w:t>
      </w:r>
      <w:r w:rsidRPr="005963FF">
        <w:t>zřízena,</w:t>
      </w:r>
      <w:r>
        <w:t xml:space="preserve"> </w:t>
      </w:r>
      <w:r w:rsidRPr="005963FF">
        <w:t>na</w:t>
      </w:r>
      <w:r>
        <w:t xml:space="preserve"> </w:t>
      </w:r>
      <w:r w:rsidRPr="005963FF">
        <w:t>uplatnění</w:t>
      </w:r>
      <w:r>
        <w:t xml:space="preserve"> </w:t>
      </w:r>
      <w:r w:rsidRPr="005963FF">
        <w:t>veřejného</w:t>
      </w:r>
      <w:r>
        <w:t xml:space="preserve"> </w:t>
      </w:r>
      <w:r w:rsidRPr="005963FF">
        <w:t>zájmu</w:t>
      </w:r>
      <w:r>
        <w:t xml:space="preserve"> </w:t>
      </w:r>
      <w:r w:rsidRPr="005963FF">
        <w:t>v</w:t>
      </w:r>
      <w:r>
        <w:t xml:space="preserve"> </w:t>
      </w:r>
      <w:r w:rsidRPr="005963FF">
        <w:t>její</w:t>
      </w:r>
      <w:r>
        <w:t xml:space="preserve"> </w:t>
      </w:r>
      <w:r w:rsidRPr="005963FF">
        <w:t>činnosti</w:t>
      </w:r>
      <w:r>
        <w:t xml:space="preserve"> </w:t>
      </w:r>
      <w:r w:rsidRPr="005963FF">
        <w:t>a</w:t>
      </w:r>
      <w:r>
        <w:t xml:space="preserve"> </w:t>
      </w:r>
      <w:r w:rsidRPr="005963FF">
        <w:t>na</w:t>
      </w:r>
      <w:r>
        <w:t xml:space="preserve"> </w:t>
      </w:r>
      <w:r w:rsidRPr="005963FF">
        <w:t>řádné</w:t>
      </w:r>
      <w:r>
        <w:t xml:space="preserve"> </w:t>
      </w:r>
      <w:r w:rsidRPr="005963FF">
        <w:t>hospodaření</w:t>
      </w:r>
      <w:r>
        <w:t xml:space="preserve"> </w:t>
      </w:r>
      <w:r w:rsidRPr="005963FF">
        <w:t>s</w:t>
      </w:r>
      <w:r>
        <w:t xml:space="preserve"> </w:t>
      </w:r>
      <w:r w:rsidRPr="005963FF">
        <w:t>jejím</w:t>
      </w:r>
      <w:r>
        <w:t xml:space="preserve"> </w:t>
      </w:r>
      <w:r w:rsidRPr="005963FF">
        <w:t>majetkem.</w:t>
      </w:r>
    </w:p>
    <w:p w14:paraId="3AA0C27E" w14:textId="27856B61" w:rsidR="00CB5381" w:rsidRDefault="00CB5381" w:rsidP="00566368">
      <w:pPr>
        <w:pStyle w:val="Textparagrafu"/>
        <w:tabs>
          <w:tab w:val="left" w:pos="392"/>
          <w:tab w:val="left" w:pos="840"/>
        </w:tabs>
        <w:spacing w:before="120" w:after="120"/>
      </w:pPr>
      <w:r w:rsidRPr="005963FF">
        <w:t>(9)</w:t>
      </w:r>
      <w:r>
        <w:t xml:space="preserve"> </w:t>
      </w:r>
      <w:r w:rsidRPr="005963FF">
        <w:t>Činnost</w:t>
      </w:r>
      <w:r>
        <w:t xml:space="preserve"> </w:t>
      </w:r>
      <w:r w:rsidRPr="005963FF">
        <w:t>členů</w:t>
      </w:r>
      <w:r>
        <w:t xml:space="preserve"> </w:t>
      </w:r>
      <w:r w:rsidRPr="005963FF">
        <w:t>správní</w:t>
      </w:r>
      <w:r>
        <w:t xml:space="preserve"> </w:t>
      </w:r>
      <w:r w:rsidRPr="005963FF">
        <w:t>rady</w:t>
      </w:r>
      <w:r>
        <w:t xml:space="preserve"> </w:t>
      </w:r>
      <w:r w:rsidRPr="005963FF">
        <w:t>veřejné</w:t>
      </w:r>
      <w:r>
        <w:t xml:space="preserve"> </w:t>
      </w:r>
      <w:r w:rsidRPr="005963FF">
        <w:t>vysoké</w:t>
      </w:r>
      <w:r>
        <w:t xml:space="preserve"> </w:t>
      </w:r>
      <w:r w:rsidRPr="005963FF">
        <w:t>školy</w:t>
      </w:r>
      <w:r>
        <w:t xml:space="preserve"> </w:t>
      </w:r>
      <w:r w:rsidRPr="005963FF">
        <w:t>je</w:t>
      </w:r>
      <w:r>
        <w:t xml:space="preserve"> </w:t>
      </w:r>
      <w:r w:rsidRPr="005963FF">
        <w:t>úkonem</w:t>
      </w:r>
      <w:r>
        <w:t xml:space="preserve"> </w:t>
      </w:r>
      <w:r w:rsidRPr="005963FF">
        <w:t>v</w:t>
      </w:r>
      <w:r>
        <w:t xml:space="preserve"> </w:t>
      </w:r>
      <w:r w:rsidRPr="005963FF">
        <w:t>obecném</w:t>
      </w:r>
      <w:r>
        <w:t xml:space="preserve"> </w:t>
      </w:r>
      <w:r w:rsidRPr="005963FF">
        <w:t>zájmu.</w:t>
      </w:r>
      <w:r w:rsidR="00674EE5">
        <w:rPr>
          <w:rStyle w:val="Znakapoznpodarou"/>
        </w:rPr>
        <w:footnoteReference w:customMarkFollows="1" w:id="268"/>
        <w:t>4)</w:t>
      </w:r>
      <w:r>
        <w:t xml:space="preserve"> </w:t>
      </w:r>
      <w:r w:rsidRPr="005963FF">
        <w:t>Těmto</w:t>
      </w:r>
      <w:r>
        <w:t xml:space="preserve"> </w:t>
      </w:r>
      <w:r w:rsidRPr="005963FF">
        <w:t>osobám</w:t>
      </w:r>
      <w:r>
        <w:t xml:space="preserve"> </w:t>
      </w:r>
      <w:r w:rsidRPr="005963FF">
        <w:t>poskytuje</w:t>
      </w:r>
      <w:r>
        <w:t xml:space="preserve"> </w:t>
      </w:r>
      <w:r w:rsidRPr="005963FF">
        <w:t>veřejná</w:t>
      </w:r>
      <w:r>
        <w:t xml:space="preserve"> </w:t>
      </w:r>
      <w:r w:rsidRPr="005963FF">
        <w:t>vysoká</w:t>
      </w:r>
      <w:r>
        <w:t xml:space="preserve"> </w:t>
      </w:r>
      <w:r w:rsidRPr="005963FF">
        <w:t>škola</w:t>
      </w:r>
      <w:r>
        <w:t xml:space="preserve"> </w:t>
      </w:r>
      <w:r w:rsidRPr="005963FF">
        <w:t>cestovní</w:t>
      </w:r>
      <w:r>
        <w:t xml:space="preserve"> </w:t>
      </w:r>
      <w:r w:rsidRPr="005963FF">
        <w:t>náhrady</w:t>
      </w:r>
      <w:r>
        <w:t xml:space="preserve"> </w:t>
      </w:r>
      <w:r w:rsidRPr="005963FF">
        <w:t>podle</w:t>
      </w:r>
      <w:r>
        <w:t xml:space="preserve"> </w:t>
      </w:r>
      <w:r w:rsidRPr="005963FF">
        <w:t>zvláštního</w:t>
      </w:r>
      <w:r>
        <w:t xml:space="preserve"> </w:t>
      </w:r>
      <w:r w:rsidR="00674EE5">
        <w:t>předpisu;</w:t>
      </w:r>
      <w:r w:rsidR="00674EE5">
        <w:rPr>
          <w:rStyle w:val="Znakapoznpodarou"/>
        </w:rPr>
        <w:footnoteReference w:customMarkFollows="1" w:id="269"/>
        <w:t>5)</w:t>
      </w:r>
      <w:r>
        <w:t xml:space="preserve"> </w:t>
      </w:r>
      <w:r w:rsidRPr="005963FF">
        <w:t>ministerstvo</w:t>
      </w:r>
      <w:r>
        <w:t xml:space="preserve"> </w:t>
      </w:r>
      <w:r w:rsidRPr="005963FF">
        <w:t>jim</w:t>
      </w:r>
      <w:r>
        <w:t xml:space="preserve"> </w:t>
      </w:r>
      <w:r w:rsidRPr="005963FF">
        <w:t>může</w:t>
      </w:r>
      <w:r>
        <w:t xml:space="preserve"> </w:t>
      </w:r>
      <w:r w:rsidRPr="005963FF">
        <w:t>poskytnout</w:t>
      </w:r>
      <w:r>
        <w:t xml:space="preserve"> </w:t>
      </w:r>
      <w:r w:rsidRPr="005963FF">
        <w:t>odměnu.</w:t>
      </w:r>
    </w:p>
    <w:p w14:paraId="44522188" w14:textId="5D541187" w:rsidR="00CB5381" w:rsidRPr="005963FF" w:rsidRDefault="00CB5381" w:rsidP="00566368">
      <w:pPr>
        <w:pStyle w:val="Textparagrafu"/>
        <w:tabs>
          <w:tab w:val="left" w:pos="392"/>
          <w:tab w:val="left" w:pos="840"/>
        </w:tabs>
        <w:spacing w:before="120" w:after="120"/>
      </w:pPr>
      <w:r w:rsidRPr="005963FF">
        <w:t>(10)</w:t>
      </w:r>
      <w:r>
        <w:t xml:space="preserve"> </w:t>
      </w:r>
      <w:r w:rsidRPr="005963FF">
        <w:t>Na</w:t>
      </w:r>
      <w:r>
        <w:t xml:space="preserve"> </w:t>
      </w:r>
      <w:r w:rsidRPr="005963FF">
        <w:t>činnost</w:t>
      </w:r>
      <w:r>
        <w:t xml:space="preserve"> </w:t>
      </w:r>
      <w:r w:rsidRPr="005963FF">
        <w:t>členů</w:t>
      </w:r>
      <w:r>
        <w:t xml:space="preserve"> </w:t>
      </w:r>
      <w:r w:rsidRPr="005963FF">
        <w:t>správní</w:t>
      </w:r>
      <w:r>
        <w:t xml:space="preserve"> </w:t>
      </w:r>
      <w:r w:rsidRPr="005963FF">
        <w:t>rady</w:t>
      </w:r>
      <w:r>
        <w:t xml:space="preserve"> </w:t>
      </w:r>
      <w:r w:rsidRPr="005963FF">
        <w:t>veřejné</w:t>
      </w:r>
      <w:r>
        <w:t xml:space="preserve"> </w:t>
      </w:r>
      <w:r w:rsidRPr="005963FF">
        <w:t>vysoké</w:t>
      </w:r>
      <w:r>
        <w:t xml:space="preserve"> </w:t>
      </w:r>
      <w:r w:rsidRPr="005963FF">
        <w:t>školy</w:t>
      </w:r>
      <w:r>
        <w:t xml:space="preserve"> </w:t>
      </w:r>
      <w:r w:rsidRPr="005963FF">
        <w:t>se</w:t>
      </w:r>
      <w:r>
        <w:t xml:space="preserve"> </w:t>
      </w:r>
      <w:r w:rsidRPr="005963FF">
        <w:t>vztahují</w:t>
      </w:r>
      <w:r>
        <w:t xml:space="preserve"> </w:t>
      </w:r>
      <w:r w:rsidRPr="005963FF">
        <w:t>zvláštní</w:t>
      </w:r>
      <w:r>
        <w:t xml:space="preserve"> </w:t>
      </w:r>
      <w:r w:rsidR="00674EE5">
        <w:t>předpisy.</w:t>
      </w:r>
      <w:r w:rsidR="00674EE5">
        <w:rPr>
          <w:rStyle w:val="Znakapoznpodarou"/>
        </w:rPr>
        <w:footnoteReference w:customMarkFollows="1" w:id="270"/>
        <w:t>6)</w:t>
      </w:r>
    </w:p>
    <w:p w14:paraId="4FAE57B9" w14:textId="44C2C7FC" w:rsidR="00E75796" w:rsidRDefault="00CB5381" w:rsidP="00B510F2">
      <w:pPr>
        <w:pStyle w:val="Textparagrafu"/>
        <w:tabs>
          <w:tab w:val="left" w:pos="392"/>
          <w:tab w:val="left" w:pos="840"/>
          <w:tab w:val="left" w:pos="868"/>
        </w:tabs>
        <w:spacing w:after="120"/>
        <w:ind w:firstLine="0"/>
        <w:jc w:val="center"/>
      </w:pPr>
      <w:r>
        <w:t>***</w:t>
      </w:r>
    </w:p>
    <w:p w14:paraId="6178BCBB" w14:textId="77777777" w:rsidR="00CB5381" w:rsidRDefault="00CB5381" w:rsidP="00B510F2">
      <w:pPr>
        <w:pStyle w:val="Textparagrafu"/>
        <w:tabs>
          <w:tab w:val="left" w:pos="392"/>
          <w:tab w:val="left" w:pos="840"/>
        </w:tabs>
        <w:spacing w:after="120"/>
        <w:ind w:firstLine="0"/>
        <w:jc w:val="center"/>
      </w:pPr>
      <w:r w:rsidRPr="005963FF">
        <w:t>§</w:t>
      </w:r>
      <w:r>
        <w:t xml:space="preserve"> </w:t>
      </w:r>
      <w:r w:rsidRPr="005963FF">
        <w:t>18</w:t>
      </w:r>
    </w:p>
    <w:p w14:paraId="6FED38A8" w14:textId="77777777" w:rsidR="00CB5381" w:rsidRPr="00B510F2" w:rsidRDefault="00CB5381" w:rsidP="00B510F2">
      <w:pPr>
        <w:pStyle w:val="Textparagrafu"/>
        <w:tabs>
          <w:tab w:val="left" w:pos="392"/>
          <w:tab w:val="left" w:pos="840"/>
        </w:tabs>
        <w:spacing w:after="120"/>
        <w:ind w:firstLine="0"/>
        <w:jc w:val="center"/>
        <w:rPr>
          <w:b/>
        </w:rPr>
      </w:pPr>
      <w:r w:rsidRPr="00B510F2">
        <w:rPr>
          <w:b/>
        </w:rPr>
        <w:t>Rozpočet a střednědobý výhled veřejné vysoké školy</w:t>
      </w:r>
    </w:p>
    <w:p w14:paraId="7AA3865B" w14:textId="77777777" w:rsidR="00CB5381" w:rsidRDefault="00CB5381" w:rsidP="00566368">
      <w:pPr>
        <w:pStyle w:val="Textparagrafu"/>
        <w:tabs>
          <w:tab w:val="left" w:pos="392"/>
          <w:tab w:val="left" w:pos="840"/>
        </w:tabs>
        <w:spacing w:before="120" w:after="120"/>
      </w:pPr>
      <w:r w:rsidRPr="005963FF">
        <w:t>(1)</w:t>
      </w:r>
      <w:r>
        <w:t xml:space="preserve"> </w:t>
      </w:r>
      <w:r w:rsidRPr="005963FF">
        <w:t>Veřejná</w:t>
      </w:r>
      <w:r>
        <w:t xml:space="preserve"> </w:t>
      </w:r>
      <w:r w:rsidRPr="005963FF">
        <w:t>vysoká</w:t>
      </w:r>
      <w:r>
        <w:t xml:space="preserve"> </w:t>
      </w:r>
      <w:r w:rsidRPr="005963FF">
        <w:t>škola</w:t>
      </w:r>
      <w:r>
        <w:t xml:space="preserve"> </w:t>
      </w:r>
      <w:r w:rsidRPr="005963FF">
        <w:t>hospodaří</w:t>
      </w:r>
      <w:r>
        <w:t xml:space="preserve"> </w:t>
      </w:r>
      <w:r w:rsidRPr="005963FF">
        <w:t>podle</w:t>
      </w:r>
      <w:r>
        <w:t xml:space="preserve"> </w:t>
      </w:r>
      <w:r w:rsidRPr="005963FF">
        <w:t>rozpočtu,</w:t>
      </w:r>
      <w:r>
        <w:t xml:space="preserve"> </w:t>
      </w:r>
      <w:r w:rsidRPr="005963FF">
        <w:t>který</w:t>
      </w:r>
      <w:r>
        <w:t xml:space="preserve"> </w:t>
      </w:r>
      <w:r w:rsidRPr="005963FF">
        <w:t>nesmí</w:t>
      </w:r>
      <w:r>
        <w:t xml:space="preserve"> </w:t>
      </w:r>
      <w:r w:rsidRPr="005963FF">
        <w:t>být</w:t>
      </w:r>
      <w:r>
        <w:t xml:space="preserve"> </w:t>
      </w:r>
      <w:r w:rsidRPr="005963FF">
        <w:t>sestavován</w:t>
      </w:r>
      <w:r>
        <w:t xml:space="preserve"> </w:t>
      </w:r>
      <w:r w:rsidRPr="005963FF">
        <w:t>jako</w:t>
      </w:r>
      <w:r>
        <w:t xml:space="preserve"> </w:t>
      </w:r>
      <w:r w:rsidRPr="005963FF">
        <w:t>deficitní.</w:t>
      </w:r>
      <w:r>
        <w:t xml:space="preserve"> </w:t>
      </w:r>
      <w:r w:rsidRPr="005963FF">
        <w:t>Veřejná</w:t>
      </w:r>
      <w:r>
        <w:t xml:space="preserve"> </w:t>
      </w:r>
      <w:r w:rsidRPr="005963FF">
        <w:t>vysoká</w:t>
      </w:r>
      <w:r>
        <w:t xml:space="preserve"> </w:t>
      </w:r>
      <w:r w:rsidRPr="005963FF">
        <w:t>škola</w:t>
      </w:r>
      <w:r>
        <w:t xml:space="preserve"> </w:t>
      </w:r>
      <w:r w:rsidRPr="005963FF">
        <w:t>sestavuje</w:t>
      </w:r>
      <w:r>
        <w:t xml:space="preserve"> </w:t>
      </w:r>
      <w:r w:rsidRPr="005963FF">
        <w:t>rozpočet</w:t>
      </w:r>
      <w:r>
        <w:t xml:space="preserve"> </w:t>
      </w:r>
      <w:r w:rsidRPr="005963FF">
        <w:t>na</w:t>
      </w:r>
      <w:r>
        <w:t xml:space="preserve"> </w:t>
      </w:r>
      <w:r w:rsidRPr="005963FF">
        <w:t>kalendářní</w:t>
      </w:r>
      <w:r>
        <w:t xml:space="preserve"> </w:t>
      </w:r>
      <w:r w:rsidRPr="005963FF">
        <w:t>rok</w:t>
      </w:r>
      <w:r>
        <w:t xml:space="preserve"> </w:t>
      </w:r>
      <w:r w:rsidRPr="005963FF">
        <w:t>a</w:t>
      </w:r>
      <w:r>
        <w:t xml:space="preserve"> </w:t>
      </w:r>
      <w:r w:rsidRPr="005963FF">
        <w:t>střednědobý</w:t>
      </w:r>
      <w:r>
        <w:t xml:space="preserve"> </w:t>
      </w:r>
      <w:r w:rsidRPr="005963FF">
        <w:t>výhled</w:t>
      </w:r>
      <w:r>
        <w:t xml:space="preserve"> </w:t>
      </w:r>
      <w:r w:rsidRPr="005963FF">
        <w:t>rozpočtu</w:t>
      </w:r>
      <w:r>
        <w:t xml:space="preserve"> </w:t>
      </w:r>
      <w:r w:rsidRPr="005963FF">
        <w:t>na</w:t>
      </w:r>
      <w:r>
        <w:t xml:space="preserve"> </w:t>
      </w:r>
      <w:r w:rsidRPr="005963FF">
        <w:t>nejméně</w:t>
      </w:r>
      <w:r>
        <w:t xml:space="preserve"> </w:t>
      </w:r>
      <w:r w:rsidRPr="005963FF">
        <w:t>2</w:t>
      </w:r>
      <w:r>
        <w:t xml:space="preserve"> </w:t>
      </w:r>
      <w:r w:rsidRPr="005963FF">
        <w:t>další</w:t>
      </w:r>
      <w:r>
        <w:t xml:space="preserve"> </w:t>
      </w:r>
      <w:r w:rsidRPr="005963FF">
        <w:t>následující</w:t>
      </w:r>
      <w:r>
        <w:t xml:space="preserve"> </w:t>
      </w:r>
      <w:r w:rsidRPr="005963FF">
        <w:t>roky.</w:t>
      </w:r>
    </w:p>
    <w:p w14:paraId="6E663EAD" w14:textId="77777777" w:rsidR="00CB5381" w:rsidRDefault="00CB5381" w:rsidP="00566368">
      <w:pPr>
        <w:pStyle w:val="Textparagrafu"/>
        <w:tabs>
          <w:tab w:val="left" w:pos="392"/>
          <w:tab w:val="left" w:pos="840"/>
        </w:tabs>
        <w:spacing w:before="120" w:after="120"/>
      </w:pPr>
      <w:r w:rsidRPr="005963FF">
        <w:t>(2)</w:t>
      </w:r>
      <w:r>
        <w:t xml:space="preserve"> </w:t>
      </w:r>
      <w:r w:rsidRPr="005963FF">
        <w:t>Příjmy</w:t>
      </w:r>
      <w:r>
        <w:t xml:space="preserve"> </w:t>
      </w:r>
      <w:r w:rsidRPr="005963FF">
        <w:t>rozpočtu</w:t>
      </w:r>
      <w:r>
        <w:t xml:space="preserve"> </w:t>
      </w:r>
      <w:r w:rsidRPr="005963FF">
        <w:t>veřejné</w:t>
      </w:r>
      <w:r>
        <w:t xml:space="preserve"> </w:t>
      </w:r>
      <w:r w:rsidRPr="005963FF">
        <w:t>vysoké</w:t>
      </w:r>
      <w:r>
        <w:t xml:space="preserve"> </w:t>
      </w:r>
      <w:r w:rsidRPr="005963FF">
        <w:t>školy</w:t>
      </w:r>
      <w:r>
        <w:t xml:space="preserve"> </w:t>
      </w:r>
      <w:r w:rsidRPr="005963FF">
        <w:t>jsou</w:t>
      </w:r>
      <w:r>
        <w:t xml:space="preserve"> </w:t>
      </w:r>
      <w:r w:rsidRPr="005963FF">
        <w:t>zejména:</w:t>
      </w:r>
    </w:p>
    <w:p w14:paraId="637F6928" w14:textId="10E9FF2C" w:rsidR="00CB5381" w:rsidRDefault="00CB5381" w:rsidP="00393B51">
      <w:pPr>
        <w:pStyle w:val="Textparagrafu"/>
        <w:tabs>
          <w:tab w:val="left" w:pos="392"/>
          <w:tab w:val="left" w:pos="840"/>
        </w:tabs>
        <w:spacing w:before="0"/>
        <w:ind w:left="426" w:hanging="426"/>
      </w:pPr>
      <w:r w:rsidRPr="005963FF">
        <w:t>a)</w:t>
      </w:r>
      <w:r w:rsidR="00674EE5">
        <w:tab/>
      </w:r>
      <w:r w:rsidRPr="005963FF">
        <w:t>příspěvek</w:t>
      </w:r>
      <w:r>
        <w:t xml:space="preserve"> </w:t>
      </w:r>
      <w:r w:rsidRPr="005963FF">
        <w:t>ze</w:t>
      </w:r>
      <w:r>
        <w:t xml:space="preserve"> </w:t>
      </w:r>
      <w:r w:rsidRPr="005963FF">
        <w:t>státního</w:t>
      </w:r>
      <w:r>
        <w:t xml:space="preserve"> </w:t>
      </w:r>
      <w:r w:rsidRPr="005963FF">
        <w:t>rozpočtu</w:t>
      </w:r>
      <w:r>
        <w:t xml:space="preserve"> </w:t>
      </w:r>
      <w:r w:rsidRPr="005963FF">
        <w:t>na</w:t>
      </w:r>
      <w:r>
        <w:t xml:space="preserve"> </w:t>
      </w:r>
      <w:r w:rsidRPr="005963FF">
        <w:t>vzdělávací</w:t>
      </w:r>
      <w:r>
        <w:t xml:space="preserve"> </w:t>
      </w:r>
      <w:r w:rsidRPr="005963FF">
        <w:t>a</w:t>
      </w:r>
      <w:r>
        <w:t xml:space="preserve"> </w:t>
      </w:r>
      <w:r w:rsidRPr="005963FF">
        <w:t>tvůrčí</w:t>
      </w:r>
      <w:r>
        <w:t xml:space="preserve"> </w:t>
      </w:r>
      <w:r w:rsidRPr="005963FF">
        <w:t>činnost</w:t>
      </w:r>
      <w:r>
        <w:t xml:space="preserve"> </w:t>
      </w:r>
      <w:r w:rsidRPr="005963FF">
        <w:t>(dále</w:t>
      </w:r>
      <w:r>
        <w:t xml:space="preserve"> </w:t>
      </w:r>
      <w:r w:rsidRPr="005963FF">
        <w:t>jen</w:t>
      </w:r>
      <w:r>
        <w:t xml:space="preserve"> </w:t>
      </w:r>
      <w:r w:rsidR="000A6E57">
        <w:t>"příspěvek")</w:t>
      </w:r>
      <w:r w:rsidR="000A6E57">
        <w:rPr>
          <w:rStyle w:val="Znakapoznpodarou"/>
        </w:rPr>
        <w:footnoteReference w:customMarkFollows="1" w:id="271"/>
        <w:t>8)</w:t>
      </w:r>
      <w:r w:rsidRPr="005963FF">
        <w:t>,</w:t>
      </w:r>
    </w:p>
    <w:p w14:paraId="29F21C8B" w14:textId="18CEB013" w:rsidR="00CB5381" w:rsidRDefault="00CB5381" w:rsidP="00393B51">
      <w:pPr>
        <w:pStyle w:val="Textparagrafu"/>
        <w:tabs>
          <w:tab w:val="left" w:pos="392"/>
          <w:tab w:val="left" w:pos="840"/>
        </w:tabs>
        <w:spacing w:before="0"/>
        <w:ind w:left="426" w:hanging="426"/>
      </w:pPr>
      <w:r w:rsidRPr="005963FF">
        <w:t>b)</w:t>
      </w:r>
      <w:r w:rsidR="00674EE5">
        <w:tab/>
      </w:r>
      <w:r w:rsidRPr="005963FF">
        <w:t>podpora</w:t>
      </w:r>
      <w:r>
        <w:t xml:space="preserve"> </w:t>
      </w:r>
      <w:r w:rsidRPr="005963FF">
        <w:t>výzkumu,</w:t>
      </w:r>
      <w:r>
        <w:t xml:space="preserve"> </w:t>
      </w:r>
      <w:r w:rsidRPr="005963FF">
        <w:t>experimentálního</w:t>
      </w:r>
      <w:r>
        <w:t xml:space="preserve"> </w:t>
      </w:r>
      <w:r w:rsidRPr="005963FF">
        <w:t>vývoje</w:t>
      </w:r>
      <w:r>
        <w:t xml:space="preserve"> </w:t>
      </w:r>
      <w:r w:rsidRPr="005963FF">
        <w:t>a</w:t>
      </w:r>
      <w:r>
        <w:t xml:space="preserve"> </w:t>
      </w:r>
      <w:r w:rsidRPr="005963FF">
        <w:t>inovací</w:t>
      </w:r>
      <w:r>
        <w:t xml:space="preserve"> </w:t>
      </w:r>
      <w:r w:rsidRPr="005963FF">
        <w:t>z</w:t>
      </w:r>
      <w:r>
        <w:t xml:space="preserve"> </w:t>
      </w:r>
      <w:r w:rsidRPr="005963FF">
        <w:t>veřejných</w:t>
      </w:r>
      <w:r>
        <w:t xml:space="preserve"> </w:t>
      </w:r>
      <w:r w:rsidRPr="005963FF">
        <w:t>prostředků</w:t>
      </w:r>
      <w:r>
        <w:t xml:space="preserve"> </w:t>
      </w:r>
      <w:r w:rsidRPr="005963FF">
        <w:t>podle</w:t>
      </w:r>
      <w:r>
        <w:t xml:space="preserve"> </w:t>
      </w:r>
      <w:r w:rsidRPr="005963FF">
        <w:t>zvláštního</w:t>
      </w:r>
      <w:r>
        <w:t xml:space="preserve"> </w:t>
      </w:r>
      <w:r w:rsidRPr="005963FF">
        <w:t>právního</w:t>
      </w:r>
      <w:r>
        <w:t xml:space="preserve"> </w:t>
      </w:r>
      <w:r w:rsidR="000A6E57">
        <w:t>předpisu</w:t>
      </w:r>
      <w:r w:rsidR="000A6E57">
        <w:rPr>
          <w:rStyle w:val="Znakapoznpodarou"/>
        </w:rPr>
        <w:footnoteReference w:customMarkFollows="1" w:id="272"/>
        <w:t>8e)</w:t>
      </w:r>
      <w:r w:rsidRPr="005963FF">
        <w:t>),</w:t>
      </w:r>
    </w:p>
    <w:p w14:paraId="483DC162" w14:textId="244DBE0C" w:rsidR="00CB5381" w:rsidRDefault="00CB5381" w:rsidP="00393B51">
      <w:pPr>
        <w:pStyle w:val="Textparagrafu"/>
        <w:tabs>
          <w:tab w:val="left" w:pos="392"/>
          <w:tab w:val="left" w:pos="840"/>
        </w:tabs>
        <w:spacing w:before="0"/>
        <w:ind w:left="426" w:hanging="426"/>
      </w:pPr>
      <w:r w:rsidRPr="005963FF">
        <w:t>c)</w:t>
      </w:r>
      <w:r w:rsidR="00674EE5">
        <w:tab/>
      </w:r>
      <w:r w:rsidRPr="005963FF">
        <w:t>dotace</w:t>
      </w:r>
      <w:r>
        <w:t xml:space="preserve"> </w:t>
      </w:r>
      <w:r w:rsidRPr="005963FF">
        <w:t>ze</w:t>
      </w:r>
      <w:r>
        <w:t xml:space="preserve"> </w:t>
      </w:r>
      <w:r w:rsidRPr="005963FF">
        <w:t>státního</w:t>
      </w:r>
      <w:r>
        <w:t xml:space="preserve"> </w:t>
      </w:r>
      <w:r w:rsidRPr="005963FF">
        <w:t>rozpočtu</w:t>
      </w:r>
      <w:r>
        <w:t xml:space="preserve"> </w:t>
      </w:r>
      <w:r w:rsidRPr="005963FF">
        <w:t>(dále</w:t>
      </w:r>
      <w:r>
        <w:t xml:space="preserve"> </w:t>
      </w:r>
      <w:r w:rsidRPr="005963FF">
        <w:t>jen</w:t>
      </w:r>
      <w:r>
        <w:t xml:space="preserve"> </w:t>
      </w:r>
      <w:r w:rsidRPr="005963FF">
        <w:t>"dotace"),</w:t>
      </w:r>
    </w:p>
    <w:p w14:paraId="0430B1FC" w14:textId="3EDA7192" w:rsidR="00CB5381" w:rsidRDefault="00CB5381" w:rsidP="00393B51">
      <w:pPr>
        <w:pStyle w:val="Textparagrafu"/>
        <w:tabs>
          <w:tab w:val="left" w:pos="392"/>
          <w:tab w:val="left" w:pos="840"/>
        </w:tabs>
        <w:spacing w:before="0"/>
        <w:ind w:left="426" w:hanging="426"/>
      </w:pPr>
      <w:r w:rsidRPr="005963FF">
        <w:t>d)</w:t>
      </w:r>
      <w:r w:rsidR="00674EE5">
        <w:tab/>
      </w:r>
      <w:r w:rsidRPr="005963FF">
        <w:t>poplatky</w:t>
      </w:r>
      <w:r>
        <w:t xml:space="preserve"> </w:t>
      </w:r>
      <w:r w:rsidRPr="005963FF">
        <w:t>spojené</w:t>
      </w:r>
      <w:r>
        <w:t xml:space="preserve"> </w:t>
      </w:r>
      <w:r w:rsidRPr="005963FF">
        <w:t>se</w:t>
      </w:r>
      <w:r>
        <w:t xml:space="preserve"> </w:t>
      </w:r>
      <w:r w:rsidRPr="005963FF">
        <w:t>studiem,</w:t>
      </w:r>
    </w:p>
    <w:p w14:paraId="5B28BACE" w14:textId="0A2FED3F" w:rsidR="00CB5381" w:rsidRDefault="00CB5381" w:rsidP="00393B51">
      <w:pPr>
        <w:pStyle w:val="Textparagrafu"/>
        <w:tabs>
          <w:tab w:val="left" w:pos="392"/>
          <w:tab w:val="left" w:pos="840"/>
        </w:tabs>
        <w:spacing w:before="0"/>
        <w:ind w:left="426" w:hanging="426"/>
      </w:pPr>
      <w:r w:rsidRPr="005963FF">
        <w:t>e)</w:t>
      </w:r>
      <w:r w:rsidR="00674EE5">
        <w:tab/>
      </w:r>
      <w:r w:rsidRPr="005963FF">
        <w:t>výnosy</w:t>
      </w:r>
      <w:r>
        <w:t xml:space="preserve"> </w:t>
      </w:r>
      <w:r w:rsidRPr="005963FF">
        <w:t>z</w:t>
      </w:r>
      <w:r>
        <w:t xml:space="preserve"> </w:t>
      </w:r>
      <w:r w:rsidRPr="005963FF">
        <w:t>majetku,</w:t>
      </w:r>
    </w:p>
    <w:p w14:paraId="44935BC2" w14:textId="6DDEC410" w:rsidR="00CB5381" w:rsidRDefault="00CB5381" w:rsidP="00393B51">
      <w:pPr>
        <w:pStyle w:val="Textparagrafu"/>
        <w:tabs>
          <w:tab w:val="left" w:pos="392"/>
          <w:tab w:val="left" w:pos="840"/>
        </w:tabs>
        <w:spacing w:before="0"/>
        <w:ind w:left="426" w:hanging="426"/>
      </w:pPr>
      <w:r w:rsidRPr="005963FF">
        <w:t>f)</w:t>
      </w:r>
      <w:r w:rsidR="00674EE5">
        <w:tab/>
      </w:r>
      <w:r w:rsidRPr="005963FF">
        <w:t>jiné</w:t>
      </w:r>
      <w:r>
        <w:t xml:space="preserve"> </w:t>
      </w:r>
      <w:r w:rsidRPr="005963FF">
        <w:t>příjmy</w:t>
      </w:r>
      <w:r>
        <w:t xml:space="preserve"> </w:t>
      </w:r>
      <w:r w:rsidRPr="005963FF">
        <w:t>nebo</w:t>
      </w:r>
      <w:r>
        <w:t xml:space="preserve"> </w:t>
      </w:r>
      <w:r w:rsidRPr="005963FF">
        <w:t>jiné</w:t>
      </w:r>
      <w:r>
        <w:t xml:space="preserve"> </w:t>
      </w:r>
      <w:r w:rsidRPr="005963FF">
        <w:t>příspěvky</w:t>
      </w:r>
      <w:r>
        <w:t xml:space="preserve"> </w:t>
      </w:r>
      <w:r w:rsidRPr="005963FF">
        <w:t>než</w:t>
      </w:r>
      <w:r>
        <w:t xml:space="preserve"> </w:t>
      </w:r>
      <w:r w:rsidRPr="005963FF">
        <w:t>uvedené</w:t>
      </w:r>
      <w:r>
        <w:t xml:space="preserve"> </w:t>
      </w:r>
      <w:r w:rsidRPr="005963FF">
        <w:t>v</w:t>
      </w:r>
      <w:r>
        <w:t xml:space="preserve"> </w:t>
      </w:r>
      <w:r w:rsidRPr="005963FF">
        <w:t>písmenu</w:t>
      </w:r>
      <w:r>
        <w:t xml:space="preserve"> </w:t>
      </w:r>
      <w:r w:rsidRPr="005963FF">
        <w:t>a)</w:t>
      </w:r>
      <w:r>
        <w:t xml:space="preserve"> </w:t>
      </w:r>
      <w:r w:rsidRPr="005963FF">
        <w:t>ze</w:t>
      </w:r>
      <w:r>
        <w:t xml:space="preserve"> </w:t>
      </w:r>
      <w:r w:rsidRPr="005963FF">
        <w:t>státního</w:t>
      </w:r>
      <w:r>
        <w:t xml:space="preserve"> </w:t>
      </w:r>
      <w:r w:rsidRPr="005963FF">
        <w:t>rozpočtu,</w:t>
      </w:r>
      <w:r>
        <w:t xml:space="preserve"> </w:t>
      </w:r>
      <w:r w:rsidRPr="005963FF">
        <w:t>ze</w:t>
      </w:r>
      <w:r>
        <w:t xml:space="preserve"> </w:t>
      </w:r>
      <w:r w:rsidRPr="005963FF">
        <w:t>státních</w:t>
      </w:r>
      <w:r>
        <w:t xml:space="preserve"> </w:t>
      </w:r>
      <w:r w:rsidRPr="005963FF">
        <w:t>fondů,</w:t>
      </w:r>
      <w:r>
        <w:t xml:space="preserve"> </w:t>
      </w:r>
      <w:r w:rsidRPr="005963FF">
        <w:t>z</w:t>
      </w:r>
      <w:r>
        <w:t xml:space="preserve"> </w:t>
      </w:r>
      <w:r w:rsidRPr="005963FF">
        <w:t>Národního</w:t>
      </w:r>
      <w:r>
        <w:t xml:space="preserve"> </w:t>
      </w:r>
      <w:r w:rsidRPr="005963FF">
        <w:t>fondu</w:t>
      </w:r>
      <w:r>
        <w:t xml:space="preserve"> </w:t>
      </w:r>
      <w:r w:rsidRPr="005963FF">
        <w:t>a</w:t>
      </w:r>
      <w:r>
        <w:t xml:space="preserve"> </w:t>
      </w:r>
      <w:r w:rsidRPr="005963FF">
        <w:t>z</w:t>
      </w:r>
      <w:r>
        <w:t xml:space="preserve"> </w:t>
      </w:r>
      <w:r w:rsidRPr="005963FF">
        <w:t>rozpočtů</w:t>
      </w:r>
      <w:r>
        <w:t xml:space="preserve"> </w:t>
      </w:r>
      <w:r w:rsidRPr="005963FF">
        <w:t>obcí</w:t>
      </w:r>
      <w:r>
        <w:t xml:space="preserve"> </w:t>
      </w:r>
      <w:r w:rsidRPr="005963FF">
        <w:t>a</w:t>
      </w:r>
      <w:r>
        <w:t xml:space="preserve"> </w:t>
      </w:r>
      <w:r w:rsidRPr="005963FF">
        <w:t>krajů,</w:t>
      </w:r>
    </w:p>
    <w:p w14:paraId="64340308" w14:textId="2B210E58" w:rsidR="00CB5381" w:rsidRDefault="00CB5381" w:rsidP="00393B51">
      <w:pPr>
        <w:pStyle w:val="Textparagrafu"/>
        <w:tabs>
          <w:tab w:val="left" w:pos="392"/>
          <w:tab w:val="left" w:pos="840"/>
        </w:tabs>
        <w:spacing w:before="0"/>
        <w:ind w:left="426" w:hanging="426"/>
      </w:pPr>
      <w:r w:rsidRPr="005963FF">
        <w:t>g)</w:t>
      </w:r>
      <w:r w:rsidR="00674EE5">
        <w:tab/>
      </w:r>
      <w:r w:rsidRPr="005963FF">
        <w:t>výnosy</w:t>
      </w:r>
      <w:r>
        <w:t xml:space="preserve"> </w:t>
      </w:r>
      <w:r w:rsidRPr="005963FF">
        <w:t>z</w:t>
      </w:r>
      <w:r>
        <w:t xml:space="preserve"> </w:t>
      </w:r>
      <w:r w:rsidRPr="005963FF">
        <w:t>doplňkové</w:t>
      </w:r>
      <w:r>
        <w:t xml:space="preserve"> </w:t>
      </w:r>
      <w:r w:rsidRPr="005963FF">
        <w:t>činnosti,</w:t>
      </w:r>
    </w:p>
    <w:p w14:paraId="3A6536C7" w14:textId="0732BA85" w:rsidR="00CB5381" w:rsidRDefault="00CB5381" w:rsidP="00393B51">
      <w:pPr>
        <w:pStyle w:val="Textparagrafu"/>
        <w:tabs>
          <w:tab w:val="left" w:pos="392"/>
          <w:tab w:val="left" w:pos="840"/>
        </w:tabs>
        <w:spacing w:before="0"/>
        <w:ind w:left="426" w:hanging="426"/>
      </w:pPr>
      <w:r w:rsidRPr="005963FF">
        <w:t>h)</w:t>
      </w:r>
      <w:r w:rsidR="00674EE5">
        <w:tab/>
      </w:r>
      <w:r w:rsidRPr="005963FF">
        <w:t>příjmy</w:t>
      </w:r>
      <w:r>
        <w:t xml:space="preserve"> </w:t>
      </w:r>
      <w:r w:rsidRPr="005963FF">
        <w:t>z</w:t>
      </w:r>
      <w:r>
        <w:t xml:space="preserve"> </w:t>
      </w:r>
      <w:r w:rsidRPr="005963FF">
        <w:t>darů</w:t>
      </w:r>
      <w:r>
        <w:t xml:space="preserve"> </w:t>
      </w:r>
      <w:r w:rsidRPr="005963FF">
        <w:t>a</w:t>
      </w:r>
      <w:r>
        <w:t xml:space="preserve"> </w:t>
      </w:r>
      <w:r w:rsidRPr="005963FF">
        <w:t>dědictví.</w:t>
      </w:r>
    </w:p>
    <w:p w14:paraId="57F34735" w14:textId="54415B65" w:rsidR="00CB5381" w:rsidRDefault="00CB5381" w:rsidP="00566368">
      <w:pPr>
        <w:pStyle w:val="Textparagrafu"/>
        <w:tabs>
          <w:tab w:val="left" w:pos="392"/>
          <w:tab w:val="left" w:pos="840"/>
        </w:tabs>
        <w:spacing w:before="120" w:after="120"/>
      </w:pPr>
      <w:r w:rsidRPr="005963FF">
        <w:t>(3)</w:t>
      </w:r>
      <w:r>
        <w:t xml:space="preserve"> </w:t>
      </w:r>
      <w:r w:rsidRPr="005963FF">
        <w:t>Veřejná</w:t>
      </w:r>
      <w:r>
        <w:t xml:space="preserve"> </w:t>
      </w:r>
      <w:r w:rsidRPr="005963FF">
        <w:t>vysoká</w:t>
      </w:r>
      <w:r>
        <w:t xml:space="preserve"> </w:t>
      </w:r>
      <w:r w:rsidRPr="005963FF">
        <w:t>škola</w:t>
      </w:r>
      <w:r>
        <w:t xml:space="preserve"> </w:t>
      </w:r>
      <w:r w:rsidRPr="005963FF">
        <w:t>má</w:t>
      </w:r>
      <w:r>
        <w:t xml:space="preserve"> </w:t>
      </w:r>
      <w:r w:rsidRPr="005963FF">
        <w:t>nárok</w:t>
      </w:r>
      <w:r>
        <w:t xml:space="preserve"> </w:t>
      </w:r>
      <w:r w:rsidRPr="005963FF">
        <w:t>na</w:t>
      </w:r>
      <w:r>
        <w:t xml:space="preserve"> </w:t>
      </w:r>
      <w:r w:rsidRPr="005963FF">
        <w:t>příspěvek</w:t>
      </w:r>
      <w:r>
        <w:t xml:space="preserve"> </w:t>
      </w:r>
      <w:r w:rsidRPr="005963FF">
        <w:t>podle</w:t>
      </w:r>
      <w:r>
        <w:t xml:space="preserve"> </w:t>
      </w:r>
      <w:r w:rsidRPr="005963FF">
        <w:t>odstavce</w:t>
      </w:r>
      <w:r>
        <w:t xml:space="preserve"> </w:t>
      </w:r>
      <w:r w:rsidRPr="005963FF">
        <w:t>2</w:t>
      </w:r>
      <w:r>
        <w:t xml:space="preserve"> </w:t>
      </w:r>
      <w:r w:rsidRPr="005963FF">
        <w:t>písm.</w:t>
      </w:r>
      <w:r>
        <w:t xml:space="preserve"> </w:t>
      </w:r>
      <w:r w:rsidRPr="005963FF">
        <w:t>a).</w:t>
      </w:r>
      <w:r>
        <w:t xml:space="preserve"> </w:t>
      </w:r>
      <w:r w:rsidRPr="005963FF">
        <w:t>Pro</w:t>
      </w:r>
      <w:r>
        <w:t xml:space="preserve"> </w:t>
      </w:r>
      <w:r w:rsidRPr="005963FF">
        <w:t>stanovení</w:t>
      </w:r>
      <w:r>
        <w:t xml:space="preserve"> </w:t>
      </w:r>
      <w:r w:rsidRPr="005963FF">
        <w:t>výše</w:t>
      </w:r>
      <w:r>
        <w:t xml:space="preserve"> </w:t>
      </w:r>
      <w:r w:rsidRPr="005963FF">
        <w:t>příspěvku</w:t>
      </w:r>
      <w:r>
        <w:t xml:space="preserve"> </w:t>
      </w:r>
      <w:r w:rsidRPr="005963FF">
        <w:t>podle</w:t>
      </w:r>
      <w:r>
        <w:t xml:space="preserve"> </w:t>
      </w:r>
      <w:r w:rsidRPr="005963FF">
        <w:t>odstavce</w:t>
      </w:r>
      <w:r>
        <w:t xml:space="preserve"> </w:t>
      </w:r>
      <w:r w:rsidRPr="005963FF">
        <w:t>2</w:t>
      </w:r>
      <w:r>
        <w:t xml:space="preserve"> </w:t>
      </w:r>
      <w:r w:rsidRPr="005963FF">
        <w:t>písm.</w:t>
      </w:r>
      <w:r>
        <w:t xml:space="preserve"> </w:t>
      </w:r>
      <w:r w:rsidRPr="005963FF">
        <w:t>a)</w:t>
      </w:r>
      <w:r>
        <w:t xml:space="preserve"> </w:t>
      </w:r>
      <w:r w:rsidRPr="005963FF">
        <w:t>je</w:t>
      </w:r>
      <w:r>
        <w:t xml:space="preserve"> </w:t>
      </w:r>
      <w:r w:rsidRPr="005963FF">
        <w:t>rozhodný</w:t>
      </w:r>
      <w:r>
        <w:t xml:space="preserve"> </w:t>
      </w:r>
      <w:r w:rsidRPr="005963FF">
        <w:t>typ</w:t>
      </w:r>
      <w:r>
        <w:t xml:space="preserve"> </w:t>
      </w:r>
      <w:r w:rsidRPr="005963FF">
        <w:t>a</w:t>
      </w:r>
      <w:r>
        <w:t xml:space="preserve"> </w:t>
      </w:r>
      <w:r w:rsidRPr="005963FF">
        <w:t>finanční</w:t>
      </w:r>
      <w:r>
        <w:t xml:space="preserve"> </w:t>
      </w:r>
      <w:r w:rsidRPr="005963FF">
        <w:t>náročnost</w:t>
      </w:r>
      <w:r>
        <w:t xml:space="preserve"> </w:t>
      </w:r>
      <w:r w:rsidRPr="005963FF">
        <w:t>akreditovaných</w:t>
      </w:r>
      <w:r>
        <w:t xml:space="preserve"> </w:t>
      </w:r>
      <w:r w:rsidRPr="005963FF">
        <w:t>studijních</w:t>
      </w:r>
      <w:r>
        <w:t xml:space="preserve"> </w:t>
      </w:r>
      <w:r w:rsidRPr="005963FF">
        <w:t>programů</w:t>
      </w:r>
      <w:r>
        <w:t xml:space="preserve"> </w:t>
      </w:r>
      <w:r w:rsidRPr="005963FF">
        <w:t>a</w:t>
      </w:r>
      <w:r>
        <w:t xml:space="preserve"> </w:t>
      </w:r>
      <w:r w:rsidRPr="005963FF">
        <w:t>programů</w:t>
      </w:r>
      <w:r>
        <w:t xml:space="preserve"> </w:t>
      </w:r>
      <w:r w:rsidRPr="005963FF">
        <w:t>celoživotního</w:t>
      </w:r>
      <w:r>
        <w:t xml:space="preserve"> </w:t>
      </w:r>
      <w:r w:rsidRPr="005963FF">
        <w:t>vzdělávání,</w:t>
      </w:r>
      <w:r>
        <w:t xml:space="preserve"> </w:t>
      </w:r>
      <w:r w:rsidRPr="005963FF">
        <w:t>počet</w:t>
      </w:r>
      <w:r>
        <w:t xml:space="preserve"> </w:t>
      </w:r>
      <w:r w:rsidRPr="005963FF">
        <w:t>studentů</w:t>
      </w:r>
      <w:r>
        <w:t xml:space="preserve"> </w:t>
      </w:r>
      <w:r w:rsidRPr="005963FF">
        <w:t>a</w:t>
      </w:r>
      <w:r>
        <w:t xml:space="preserve"> </w:t>
      </w:r>
      <w:r w:rsidRPr="005963FF">
        <w:t>dosažené</w:t>
      </w:r>
      <w:r>
        <w:t xml:space="preserve"> </w:t>
      </w:r>
      <w:r w:rsidRPr="005963FF">
        <w:t>výsledky</w:t>
      </w:r>
      <w:r>
        <w:t xml:space="preserve"> </w:t>
      </w:r>
      <w:r w:rsidRPr="005963FF">
        <w:t>ve</w:t>
      </w:r>
      <w:r>
        <w:t xml:space="preserve"> </w:t>
      </w:r>
      <w:r w:rsidRPr="005963FF">
        <w:t>vzdělávací</w:t>
      </w:r>
      <w:r>
        <w:t xml:space="preserve"> </w:t>
      </w:r>
      <w:r w:rsidRPr="005963FF">
        <w:t>a</w:t>
      </w:r>
      <w:r>
        <w:t xml:space="preserve"> </w:t>
      </w:r>
      <w:r w:rsidRPr="005963FF">
        <w:t>tvůrčí</w:t>
      </w:r>
      <w:r>
        <w:t xml:space="preserve"> </w:t>
      </w:r>
      <w:r w:rsidRPr="005963FF">
        <w:t>činnosti</w:t>
      </w:r>
      <w:r>
        <w:t xml:space="preserve"> </w:t>
      </w:r>
      <w:r w:rsidRPr="005963FF">
        <w:t>a</w:t>
      </w:r>
      <w:r>
        <w:t xml:space="preserve"> </w:t>
      </w:r>
      <w:r w:rsidRPr="005963FF">
        <w:t>její</w:t>
      </w:r>
      <w:r>
        <w:t xml:space="preserve"> </w:t>
      </w:r>
      <w:r w:rsidRPr="005963FF">
        <w:t>náročnost.</w:t>
      </w:r>
      <w:r>
        <w:t xml:space="preserve"> </w:t>
      </w:r>
      <w:r w:rsidRPr="005963FF">
        <w:t>Pro</w:t>
      </w:r>
      <w:r>
        <w:t xml:space="preserve"> </w:t>
      </w:r>
      <w:r w:rsidRPr="005963FF">
        <w:t>výši</w:t>
      </w:r>
      <w:r>
        <w:t xml:space="preserve"> </w:t>
      </w:r>
      <w:r w:rsidRPr="005963FF">
        <w:t>příspěvku</w:t>
      </w:r>
      <w:r>
        <w:t xml:space="preserve"> </w:t>
      </w:r>
      <w:r w:rsidRPr="005963FF">
        <w:t>je</w:t>
      </w:r>
      <w:r>
        <w:t xml:space="preserve"> </w:t>
      </w:r>
      <w:r w:rsidRPr="005963FF">
        <w:t>také</w:t>
      </w:r>
      <w:r>
        <w:t xml:space="preserve"> </w:t>
      </w:r>
      <w:r w:rsidRPr="005963FF">
        <w:t>rozhodný</w:t>
      </w:r>
      <w:r>
        <w:t xml:space="preserve"> </w:t>
      </w:r>
      <w:r w:rsidRPr="005963FF">
        <w:t>strategický</w:t>
      </w:r>
      <w:r>
        <w:t xml:space="preserve"> </w:t>
      </w:r>
      <w:r w:rsidRPr="005963FF">
        <w:t>záměr</w:t>
      </w:r>
      <w:r>
        <w:t xml:space="preserve"> </w:t>
      </w:r>
      <w:r w:rsidRPr="005963FF">
        <w:t>vzdělávací</w:t>
      </w:r>
      <w:r>
        <w:t xml:space="preserve"> </w:t>
      </w:r>
      <w:r w:rsidRPr="005963FF">
        <w:t>a</w:t>
      </w:r>
      <w:r>
        <w:t xml:space="preserve"> </w:t>
      </w:r>
      <w:r w:rsidRPr="005963FF">
        <w:t>tvůrčí</w:t>
      </w:r>
      <w:r>
        <w:t xml:space="preserve"> </w:t>
      </w:r>
      <w:r w:rsidRPr="005963FF">
        <w:t>činnosti</w:t>
      </w:r>
      <w:r>
        <w:t xml:space="preserve"> </w:t>
      </w:r>
      <w:r w:rsidRPr="005963FF">
        <w:t>pro</w:t>
      </w:r>
      <w:r>
        <w:t xml:space="preserve"> </w:t>
      </w:r>
      <w:r w:rsidRPr="005963FF">
        <w:t>oblast</w:t>
      </w:r>
      <w:r>
        <w:t xml:space="preserve"> </w:t>
      </w:r>
      <w:r w:rsidRPr="005963FF">
        <w:t>vysokých</w:t>
      </w:r>
      <w:r>
        <w:t xml:space="preserve"> </w:t>
      </w:r>
      <w:r w:rsidRPr="005963FF">
        <w:t>škol</w:t>
      </w:r>
      <w:r>
        <w:t xml:space="preserve"> </w:t>
      </w:r>
      <w:r w:rsidRPr="005963FF">
        <w:t>vypracovaný</w:t>
      </w:r>
      <w:r>
        <w:t xml:space="preserve"> </w:t>
      </w:r>
      <w:r w:rsidRPr="005963FF">
        <w:t>ministerstvem</w:t>
      </w:r>
      <w:r>
        <w:t xml:space="preserve"> </w:t>
      </w:r>
      <w:r w:rsidRPr="005963FF">
        <w:t>a</w:t>
      </w:r>
      <w:r>
        <w:t xml:space="preserve"> </w:t>
      </w:r>
      <w:r w:rsidRPr="005963FF">
        <w:t>každoroční</w:t>
      </w:r>
      <w:r>
        <w:t xml:space="preserve"> </w:t>
      </w:r>
      <w:r w:rsidRPr="005963FF">
        <w:t>plán</w:t>
      </w:r>
      <w:r>
        <w:t xml:space="preserve"> </w:t>
      </w:r>
      <w:r w:rsidRPr="005963FF">
        <w:t>realizace</w:t>
      </w:r>
      <w:r>
        <w:t xml:space="preserve"> </w:t>
      </w:r>
      <w:r w:rsidRPr="005963FF">
        <w:t>strategického</w:t>
      </w:r>
      <w:r>
        <w:t xml:space="preserve"> </w:t>
      </w:r>
      <w:r w:rsidRPr="005963FF">
        <w:t>záměru</w:t>
      </w:r>
      <w:r>
        <w:t xml:space="preserve"> </w:t>
      </w:r>
      <w:r w:rsidRPr="005963FF">
        <w:t>(dále</w:t>
      </w:r>
      <w:r>
        <w:t xml:space="preserve"> </w:t>
      </w:r>
      <w:r w:rsidRPr="005963FF">
        <w:t>jen</w:t>
      </w:r>
      <w:r>
        <w:t xml:space="preserve"> </w:t>
      </w:r>
      <w:r w:rsidRPr="005963FF">
        <w:t>"strategický</w:t>
      </w:r>
      <w:r>
        <w:t xml:space="preserve"> </w:t>
      </w:r>
      <w:r w:rsidRPr="005963FF">
        <w:t>záměr</w:t>
      </w:r>
      <w:r>
        <w:t xml:space="preserve"> </w:t>
      </w:r>
      <w:r w:rsidRPr="005963FF">
        <w:t>ministerstva")</w:t>
      </w:r>
      <w:r>
        <w:t xml:space="preserve"> </w:t>
      </w:r>
      <w:r w:rsidRPr="005963FF">
        <w:t>a</w:t>
      </w:r>
      <w:r>
        <w:t xml:space="preserve"> </w:t>
      </w:r>
      <w:r w:rsidRPr="005963FF">
        <w:t>strategický</w:t>
      </w:r>
      <w:r>
        <w:t xml:space="preserve"> </w:t>
      </w:r>
      <w:r w:rsidRPr="005963FF">
        <w:t>záměr</w:t>
      </w:r>
      <w:r>
        <w:t xml:space="preserve"> </w:t>
      </w:r>
      <w:r w:rsidRPr="005963FF">
        <w:t>veřejné</w:t>
      </w:r>
      <w:r>
        <w:t xml:space="preserve"> </w:t>
      </w:r>
      <w:r w:rsidRPr="005963FF">
        <w:t>vysoké</w:t>
      </w:r>
      <w:r>
        <w:t xml:space="preserve"> </w:t>
      </w:r>
      <w:r w:rsidRPr="005963FF">
        <w:t>školy.</w:t>
      </w:r>
      <w:r>
        <w:t xml:space="preserve"> </w:t>
      </w:r>
      <w:r w:rsidRPr="005963FF">
        <w:t>Veřejné</w:t>
      </w:r>
      <w:r>
        <w:t xml:space="preserve"> </w:t>
      </w:r>
      <w:r w:rsidRPr="005963FF">
        <w:t>vysoké</w:t>
      </w:r>
      <w:r>
        <w:t xml:space="preserve"> </w:t>
      </w:r>
      <w:r w:rsidRPr="005963FF">
        <w:t>škole</w:t>
      </w:r>
      <w:r>
        <w:t xml:space="preserve"> </w:t>
      </w:r>
      <w:r w:rsidRPr="005963FF">
        <w:t>přísluší</w:t>
      </w:r>
      <w:r>
        <w:t xml:space="preserve"> </w:t>
      </w:r>
      <w:r w:rsidRPr="005963FF">
        <w:t>záloha</w:t>
      </w:r>
      <w:r>
        <w:t xml:space="preserve"> </w:t>
      </w:r>
      <w:r w:rsidRPr="005963FF">
        <w:t>na</w:t>
      </w:r>
      <w:r>
        <w:t xml:space="preserve"> </w:t>
      </w:r>
      <w:r w:rsidRPr="005963FF">
        <w:t>příspěvek</w:t>
      </w:r>
      <w:r>
        <w:t xml:space="preserve"> </w:t>
      </w:r>
      <w:r w:rsidRPr="005963FF">
        <w:t>stanovená</w:t>
      </w:r>
      <w:r>
        <w:t xml:space="preserve"> </w:t>
      </w:r>
      <w:r w:rsidRPr="005963FF">
        <w:t>na</w:t>
      </w:r>
      <w:r>
        <w:t xml:space="preserve"> </w:t>
      </w:r>
      <w:r w:rsidRPr="005963FF">
        <w:t>základě</w:t>
      </w:r>
      <w:r>
        <w:t xml:space="preserve"> </w:t>
      </w:r>
      <w:r w:rsidRPr="005963FF">
        <w:t>rozhodných</w:t>
      </w:r>
      <w:r>
        <w:t xml:space="preserve"> </w:t>
      </w:r>
      <w:r w:rsidRPr="005963FF">
        <w:t>údajů</w:t>
      </w:r>
      <w:r>
        <w:t xml:space="preserve"> </w:t>
      </w:r>
      <w:r w:rsidRPr="005963FF">
        <w:t>podle</w:t>
      </w:r>
      <w:r>
        <w:t xml:space="preserve"> </w:t>
      </w:r>
      <w:r w:rsidRPr="005963FF">
        <w:t>stavu</w:t>
      </w:r>
      <w:r>
        <w:t xml:space="preserve"> </w:t>
      </w:r>
      <w:r w:rsidRPr="005963FF">
        <w:t>k</w:t>
      </w:r>
      <w:r>
        <w:t xml:space="preserve"> </w:t>
      </w:r>
      <w:r w:rsidRPr="005963FF">
        <w:t>31.</w:t>
      </w:r>
      <w:r>
        <w:t xml:space="preserve"> </w:t>
      </w:r>
      <w:r w:rsidRPr="005963FF">
        <w:t>říjnu</w:t>
      </w:r>
      <w:r>
        <w:t xml:space="preserve"> </w:t>
      </w:r>
      <w:r w:rsidRPr="005963FF">
        <w:t>předchozího</w:t>
      </w:r>
      <w:r>
        <w:t xml:space="preserve"> </w:t>
      </w:r>
      <w:r w:rsidRPr="005963FF">
        <w:t>kalendářního</w:t>
      </w:r>
      <w:r>
        <w:t xml:space="preserve"> </w:t>
      </w:r>
      <w:r w:rsidRPr="005963FF">
        <w:t>roku.</w:t>
      </w:r>
      <w:r>
        <w:t xml:space="preserve"> </w:t>
      </w:r>
      <w:r w:rsidRPr="005963FF">
        <w:lastRenderedPageBreak/>
        <w:t>Příspěvek</w:t>
      </w:r>
      <w:r>
        <w:t xml:space="preserve"> </w:t>
      </w:r>
      <w:r w:rsidRPr="005963FF">
        <w:t>je</w:t>
      </w:r>
      <w:r>
        <w:t xml:space="preserve"> </w:t>
      </w:r>
      <w:r w:rsidRPr="005963FF">
        <w:t>z</w:t>
      </w:r>
      <w:r>
        <w:t xml:space="preserve"> </w:t>
      </w:r>
      <w:r w:rsidRPr="005963FF">
        <w:t>rozpočtové</w:t>
      </w:r>
      <w:r>
        <w:t xml:space="preserve"> </w:t>
      </w:r>
      <w:r w:rsidRPr="005963FF">
        <w:t>kapitoly</w:t>
      </w:r>
      <w:r>
        <w:t xml:space="preserve"> </w:t>
      </w:r>
      <w:r w:rsidRPr="005963FF">
        <w:t>poskytován</w:t>
      </w:r>
      <w:r>
        <w:t xml:space="preserve"> </w:t>
      </w:r>
      <w:r w:rsidRPr="005963FF">
        <w:t>podle</w:t>
      </w:r>
      <w:r>
        <w:t xml:space="preserve"> </w:t>
      </w:r>
      <w:r w:rsidRPr="005963FF">
        <w:t>obecných</w:t>
      </w:r>
      <w:r>
        <w:t xml:space="preserve"> </w:t>
      </w:r>
      <w:r w:rsidRPr="005963FF">
        <w:t>předpisů</w:t>
      </w:r>
      <w:r>
        <w:t xml:space="preserve"> </w:t>
      </w:r>
      <w:r w:rsidRPr="005963FF">
        <w:t>pro</w:t>
      </w:r>
      <w:r>
        <w:t xml:space="preserve"> </w:t>
      </w:r>
      <w:r w:rsidRPr="005963FF">
        <w:t>poskytování</w:t>
      </w:r>
      <w:r>
        <w:t xml:space="preserve"> </w:t>
      </w:r>
      <w:r w:rsidRPr="005963FF">
        <w:t>prostředků</w:t>
      </w:r>
      <w:r>
        <w:t xml:space="preserve"> </w:t>
      </w:r>
      <w:r w:rsidRPr="005963FF">
        <w:t>státního</w:t>
      </w:r>
      <w:r>
        <w:t xml:space="preserve"> </w:t>
      </w:r>
      <w:r w:rsidRPr="005963FF">
        <w:t>rozpočtu</w:t>
      </w:r>
      <w:r>
        <w:t xml:space="preserve"> </w:t>
      </w:r>
      <w:r w:rsidRPr="005963FF">
        <w:t>pro</w:t>
      </w:r>
      <w:r>
        <w:t xml:space="preserve"> </w:t>
      </w:r>
      <w:r w:rsidR="00674EE5">
        <w:t>dotace</w:t>
      </w:r>
      <w:r w:rsidR="00674EE5">
        <w:rPr>
          <w:rStyle w:val="Znakapoznpodarou"/>
        </w:rPr>
        <w:footnoteReference w:customMarkFollows="1" w:id="273"/>
        <w:t>8a)</w:t>
      </w:r>
      <w:r w:rsidRPr="005963FF">
        <w:t>,</w:t>
      </w:r>
      <w:r>
        <w:t xml:space="preserve"> </w:t>
      </w:r>
      <w:r w:rsidRPr="005963FF">
        <w:t>pokud</w:t>
      </w:r>
      <w:r>
        <w:t xml:space="preserve"> </w:t>
      </w:r>
      <w:r w:rsidRPr="005963FF">
        <w:t>tento</w:t>
      </w:r>
      <w:r>
        <w:t xml:space="preserve"> </w:t>
      </w:r>
      <w:r w:rsidRPr="005963FF">
        <w:t>zákon</w:t>
      </w:r>
      <w:r>
        <w:t xml:space="preserve"> </w:t>
      </w:r>
      <w:r w:rsidRPr="005963FF">
        <w:t>nestanoví</w:t>
      </w:r>
      <w:r>
        <w:t xml:space="preserve"> </w:t>
      </w:r>
      <w:r w:rsidRPr="005963FF">
        <w:t>jinak.</w:t>
      </w:r>
    </w:p>
    <w:p w14:paraId="2AFFB112" w14:textId="762205C0" w:rsidR="00CB5381" w:rsidRDefault="00CB5381" w:rsidP="00566368">
      <w:pPr>
        <w:pStyle w:val="Textparagrafu"/>
        <w:tabs>
          <w:tab w:val="left" w:pos="392"/>
          <w:tab w:val="left" w:pos="840"/>
        </w:tabs>
        <w:spacing w:before="120" w:after="120"/>
      </w:pPr>
      <w:r w:rsidRPr="005963FF">
        <w:t>(4)</w:t>
      </w:r>
      <w:r>
        <w:t xml:space="preserve"> </w:t>
      </w:r>
      <w:r w:rsidRPr="005963FF">
        <w:t>Ministerstvo</w:t>
      </w:r>
      <w:r>
        <w:t xml:space="preserve"> </w:t>
      </w:r>
      <w:r w:rsidRPr="005963FF">
        <w:t>rozhodnutím</w:t>
      </w:r>
      <w:r>
        <w:t xml:space="preserve"> </w:t>
      </w:r>
      <w:r w:rsidRPr="005963FF">
        <w:t>stanoví,</w:t>
      </w:r>
      <w:r>
        <w:t xml:space="preserve"> </w:t>
      </w:r>
      <w:r w:rsidRPr="005963FF">
        <w:t>zda</w:t>
      </w:r>
      <w:r>
        <w:t xml:space="preserve"> </w:t>
      </w:r>
      <w:r w:rsidRPr="005963FF">
        <w:t>poskytovaný</w:t>
      </w:r>
      <w:r>
        <w:t xml:space="preserve"> </w:t>
      </w:r>
      <w:r w:rsidRPr="005963FF">
        <w:t>příspěvek</w:t>
      </w:r>
      <w:r>
        <w:t xml:space="preserve"> </w:t>
      </w:r>
      <w:r w:rsidRPr="005963FF">
        <w:t>nebo</w:t>
      </w:r>
      <w:r>
        <w:t xml:space="preserve"> </w:t>
      </w:r>
      <w:r w:rsidRPr="005963FF">
        <w:t>dotace</w:t>
      </w:r>
      <w:r>
        <w:t xml:space="preserve"> </w:t>
      </w:r>
      <w:r w:rsidRPr="005963FF">
        <w:t>je</w:t>
      </w:r>
      <w:r>
        <w:t xml:space="preserve"> </w:t>
      </w:r>
      <w:r w:rsidRPr="005963FF">
        <w:t>účastí</w:t>
      </w:r>
      <w:r>
        <w:t xml:space="preserve"> </w:t>
      </w:r>
      <w:r w:rsidRPr="005963FF">
        <w:t>státního</w:t>
      </w:r>
      <w:r>
        <w:t xml:space="preserve"> </w:t>
      </w:r>
      <w:r w:rsidRPr="005963FF">
        <w:t>rozpočtu</w:t>
      </w:r>
      <w:r>
        <w:t xml:space="preserve"> </w:t>
      </w:r>
      <w:r w:rsidRPr="005963FF">
        <w:t>na</w:t>
      </w:r>
      <w:r>
        <w:t xml:space="preserve"> </w:t>
      </w:r>
      <w:r w:rsidRPr="005963FF">
        <w:t>financování</w:t>
      </w:r>
      <w:r>
        <w:t xml:space="preserve"> </w:t>
      </w:r>
      <w:r w:rsidR="000A6E57">
        <w:t>programu</w:t>
      </w:r>
      <w:r w:rsidR="000A6E57">
        <w:rPr>
          <w:rStyle w:val="Znakapoznpodarou"/>
        </w:rPr>
        <w:footnoteReference w:customMarkFollows="1" w:id="274"/>
        <w:t>8b)</w:t>
      </w:r>
      <w:r w:rsidRPr="005963FF">
        <w:t>,</w:t>
      </w:r>
      <w:r>
        <w:t xml:space="preserve"> </w:t>
      </w:r>
      <w:r w:rsidRPr="005963FF">
        <w:t>přičemž</w:t>
      </w:r>
      <w:r>
        <w:t xml:space="preserve"> </w:t>
      </w:r>
      <w:r w:rsidRPr="005963FF">
        <w:t>příspěvek</w:t>
      </w:r>
      <w:r>
        <w:t xml:space="preserve"> </w:t>
      </w:r>
      <w:r w:rsidRPr="005963FF">
        <w:t>nebo</w:t>
      </w:r>
      <w:r>
        <w:t xml:space="preserve"> </w:t>
      </w:r>
      <w:r w:rsidRPr="005963FF">
        <w:t>dotace</w:t>
      </w:r>
      <w:r>
        <w:t xml:space="preserve"> </w:t>
      </w:r>
      <w:r w:rsidRPr="005963FF">
        <w:t>na</w:t>
      </w:r>
      <w:r>
        <w:t xml:space="preserve"> </w:t>
      </w:r>
      <w:r w:rsidR="00352404">
        <w:t>stavbu</w:t>
      </w:r>
      <w:r w:rsidR="00352404">
        <w:rPr>
          <w:rStyle w:val="Znakapoznpodarou"/>
        </w:rPr>
        <w:footnoteReference w:customMarkFollows="1" w:id="275"/>
        <w:t>8c)</w:t>
      </w:r>
      <w:r>
        <w:t xml:space="preserve"> </w:t>
      </w:r>
      <w:r w:rsidRPr="005963FF">
        <w:t>je</w:t>
      </w:r>
      <w:r>
        <w:t xml:space="preserve"> </w:t>
      </w:r>
      <w:r w:rsidRPr="005963FF">
        <w:t>vždy,</w:t>
      </w:r>
      <w:r>
        <w:t xml:space="preserve"> </w:t>
      </w:r>
      <w:r w:rsidRPr="005963FF">
        <w:t>s</w:t>
      </w:r>
      <w:r>
        <w:t xml:space="preserve"> </w:t>
      </w:r>
      <w:r w:rsidRPr="005963FF">
        <w:t>výjimkou</w:t>
      </w:r>
      <w:r>
        <w:t xml:space="preserve"> </w:t>
      </w:r>
      <w:r w:rsidRPr="005963FF">
        <w:t>její</w:t>
      </w:r>
      <w:r>
        <w:t xml:space="preserve"> </w:t>
      </w:r>
      <w:r w:rsidRPr="005963FF">
        <w:t>údržby</w:t>
      </w:r>
      <w:r>
        <w:t xml:space="preserve"> </w:t>
      </w:r>
      <w:r w:rsidRPr="005963FF">
        <w:t>a</w:t>
      </w:r>
      <w:r>
        <w:t xml:space="preserve"> </w:t>
      </w:r>
      <w:r w:rsidRPr="005963FF">
        <w:t>oprav,</w:t>
      </w:r>
      <w:r>
        <w:t xml:space="preserve"> </w:t>
      </w:r>
      <w:r w:rsidRPr="005963FF">
        <w:t>účastí</w:t>
      </w:r>
      <w:r>
        <w:t xml:space="preserve"> </w:t>
      </w:r>
      <w:r w:rsidRPr="005963FF">
        <w:t>státního</w:t>
      </w:r>
      <w:r>
        <w:t xml:space="preserve"> </w:t>
      </w:r>
      <w:r w:rsidRPr="005963FF">
        <w:t>rozpočtu</w:t>
      </w:r>
      <w:r>
        <w:t xml:space="preserve"> </w:t>
      </w:r>
      <w:r w:rsidRPr="005963FF">
        <w:t>na</w:t>
      </w:r>
      <w:r>
        <w:t xml:space="preserve"> </w:t>
      </w:r>
      <w:r w:rsidRPr="005963FF">
        <w:t>financování</w:t>
      </w:r>
      <w:r>
        <w:t xml:space="preserve"> </w:t>
      </w:r>
      <w:r w:rsidRPr="005963FF">
        <w:t>programu,</w:t>
      </w:r>
      <w:r>
        <w:t xml:space="preserve"> </w:t>
      </w:r>
      <w:r w:rsidRPr="005963FF">
        <w:t>je-li</w:t>
      </w:r>
      <w:r>
        <w:t xml:space="preserve"> </w:t>
      </w:r>
      <w:r w:rsidRPr="005963FF">
        <w:t>vyšší</w:t>
      </w:r>
      <w:r>
        <w:t xml:space="preserve"> </w:t>
      </w:r>
      <w:r w:rsidRPr="005963FF">
        <w:t>než</w:t>
      </w:r>
      <w:r>
        <w:t xml:space="preserve"> </w:t>
      </w:r>
      <w:r w:rsidRPr="005963FF">
        <w:t>10</w:t>
      </w:r>
      <w:r>
        <w:t xml:space="preserve"> </w:t>
      </w:r>
      <w:r w:rsidRPr="005963FF">
        <w:t>000</w:t>
      </w:r>
      <w:r>
        <w:t xml:space="preserve"> </w:t>
      </w:r>
      <w:r w:rsidRPr="005963FF">
        <w:t>000</w:t>
      </w:r>
      <w:r>
        <w:t xml:space="preserve"> </w:t>
      </w:r>
      <w:r w:rsidRPr="005963FF">
        <w:t>Kč,</w:t>
      </w:r>
      <w:r>
        <w:t xml:space="preserve"> </w:t>
      </w:r>
      <w:r w:rsidRPr="005963FF">
        <w:t>a</w:t>
      </w:r>
      <w:r>
        <w:t xml:space="preserve"> </w:t>
      </w:r>
      <w:r w:rsidRPr="005963FF">
        <w:t>pokud</w:t>
      </w:r>
      <w:r>
        <w:t xml:space="preserve"> </w:t>
      </w:r>
      <w:r w:rsidRPr="005963FF">
        <w:t>se</w:t>
      </w:r>
      <w:r>
        <w:t xml:space="preserve"> </w:t>
      </w:r>
      <w:r w:rsidRPr="005963FF">
        <w:t>nepoužije</w:t>
      </w:r>
      <w:r>
        <w:t xml:space="preserve"> </w:t>
      </w:r>
      <w:r w:rsidRPr="005963FF">
        <w:t>věta</w:t>
      </w:r>
      <w:r>
        <w:t xml:space="preserve"> </w:t>
      </w:r>
      <w:r w:rsidRPr="005963FF">
        <w:t>druhá.</w:t>
      </w:r>
      <w:r>
        <w:t xml:space="preserve"> </w:t>
      </w:r>
      <w:r w:rsidRPr="005963FF">
        <w:t>Na</w:t>
      </w:r>
      <w:r>
        <w:t xml:space="preserve"> </w:t>
      </w:r>
      <w:r w:rsidRPr="005963FF">
        <w:t>programy</w:t>
      </w:r>
      <w:r>
        <w:t xml:space="preserve"> </w:t>
      </w:r>
      <w:r w:rsidRPr="005963FF">
        <w:t>spolufinancované</w:t>
      </w:r>
      <w:r>
        <w:t xml:space="preserve"> </w:t>
      </w:r>
      <w:r w:rsidRPr="005963FF">
        <w:t>z</w:t>
      </w:r>
      <w:r>
        <w:t xml:space="preserve"> </w:t>
      </w:r>
      <w:r w:rsidRPr="005963FF">
        <w:t>rozpočtu</w:t>
      </w:r>
      <w:r>
        <w:t xml:space="preserve"> </w:t>
      </w:r>
      <w:r w:rsidRPr="005963FF">
        <w:t>Evropské</w:t>
      </w:r>
      <w:r>
        <w:t xml:space="preserve"> </w:t>
      </w:r>
      <w:r w:rsidRPr="005963FF">
        <w:t>unie</w:t>
      </w:r>
      <w:r>
        <w:t xml:space="preserve"> </w:t>
      </w:r>
      <w:r w:rsidRPr="005963FF">
        <w:t>nebo</w:t>
      </w:r>
      <w:r>
        <w:t xml:space="preserve"> </w:t>
      </w:r>
      <w:r w:rsidRPr="005963FF">
        <w:t>jejich</w:t>
      </w:r>
      <w:r>
        <w:t xml:space="preserve"> </w:t>
      </w:r>
      <w:r w:rsidRPr="005963FF">
        <w:t>části,</w:t>
      </w:r>
      <w:r>
        <w:t xml:space="preserve"> </w:t>
      </w:r>
      <w:r w:rsidRPr="005963FF">
        <w:t>jejichž</w:t>
      </w:r>
      <w:r>
        <w:t xml:space="preserve"> </w:t>
      </w:r>
      <w:r w:rsidRPr="005963FF">
        <w:t>předmětem</w:t>
      </w:r>
      <w:r>
        <w:t xml:space="preserve"> </w:t>
      </w:r>
      <w:r w:rsidRPr="005963FF">
        <w:t>je</w:t>
      </w:r>
      <w:r>
        <w:t xml:space="preserve"> </w:t>
      </w:r>
      <w:r w:rsidRPr="005963FF">
        <w:t>podpora</w:t>
      </w:r>
      <w:r>
        <w:t xml:space="preserve"> </w:t>
      </w:r>
      <w:r w:rsidRPr="005963FF">
        <w:t>kvality,</w:t>
      </w:r>
      <w:r>
        <w:t xml:space="preserve"> </w:t>
      </w:r>
      <w:r w:rsidRPr="005963FF">
        <w:t>rozvoje</w:t>
      </w:r>
      <w:r>
        <w:t xml:space="preserve"> </w:t>
      </w:r>
      <w:r w:rsidRPr="005963FF">
        <w:t>nebo</w:t>
      </w:r>
      <w:r>
        <w:t xml:space="preserve"> </w:t>
      </w:r>
      <w:r w:rsidRPr="005963FF">
        <w:t>dostupnosti</w:t>
      </w:r>
      <w:r>
        <w:t xml:space="preserve"> </w:t>
      </w:r>
      <w:r w:rsidRPr="005963FF">
        <w:t>vysokoškolského</w:t>
      </w:r>
      <w:r>
        <w:t xml:space="preserve"> </w:t>
      </w:r>
      <w:r w:rsidRPr="005963FF">
        <w:t>vzdělávání</w:t>
      </w:r>
      <w:r>
        <w:t xml:space="preserve"> </w:t>
      </w:r>
      <w:r w:rsidRPr="005963FF">
        <w:t>podle</w:t>
      </w:r>
      <w:r>
        <w:t xml:space="preserve"> </w:t>
      </w:r>
      <w:r w:rsidRPr="005963FF">
        <w:t>tohoto</w:t>
      </w:r>
      <w:r>
        <w:t xml:space="preserve"> </w:t>
      </w:r>
      <w:r w:rsidRPr="005963FF">
        <w:t>zákona,</w:t>
      </w:r>
      <w:r>
        <w:t xml:space="preserve"> </w:t>
      </w:r>
      <w:r w:rsidRPr="005963FF">
        <w:t>se</w:t>
      </w:r>
      <w:r>
        <w:t xml:space="preserve"> </w:t>
      </w:r>
      <w:r w:rsidRPr="005963FF">
        <w:t>nepoužijí</w:t>
      </w:r>
      <w:r>
        <w:t xml:space="preserve"> </w:t>
      </w:r>
      <w:r w:rsidRPr="005963FF">
        <w:t>ustanovení</w:t>
      </w:r>
      <w:r>
        <w:t xml:space="preserve"> </w:t>
      </w:r>
      <w:r w:rsidRPr="005963FF">
        <w:t>o</w:t>
      </w:r>
      <w:r>
        <w:t xml:space="preserve"> </w:t>
      </w:r>
      <w:r w:rsidRPr="005963FF">
        <w:t>programech</w:t>
      </w:r>
      <w:r>
        <w:t xml:space="preserve"> </w:t>
      </w:r>
      <w:r w:rsidRPr="005963FF">
        <w:t>podle</w:t>
      </w:r>
      <w:r>
        <w:t xml:space="preserve"> </w:t>
      </w:r>
      <w:r w:rsidRPr="005963FF">
        <w:t>rozpočtových</w:t>
      </w:r>
      <w:r>
        <w:t xml:space="preserve"> </w:t>
      </w:r>
      <w:r w:rsidRPr="005963FF">
        <w:t>pravidel.</w:t>
      </w:r>
    </w:p>
    <w:p w14:paraId="2E38B9D6" w14:textId="353C423E" w:rsidR="00CB5381" w:rsidRDefault="00CB5381" w:rsidP="00566368">
      <w:pPr>
        <w:pStyle w:val="Textparagrafu"/>
        <w:tabs>
          <w:tab w:val="left" w:pos="392"/>
          <w:tab w:val="left" w:pos="840"/>
        </w:tabs>
        <w:spacing w:before="120" w:after="120"/>
      </w:pPr>
      <w:r w:rsidRPr="005963FF">
        <w:t>(5)</w:t>
      </w:r>
      <w:r>
        <w:t xml:space="preserve"> </w:t>
      </w:r>
      <w:r w:rsidRPr="005963FF">
        <w:t>Veřejná</w:t>
      </w:r>
      <w:r>
        <w:t xml:space="preserve"> </w:t>
      </w:r>
      <w:r w:rsidRPr="005963FF">
        <w:t>vysoká</w:t>
      </w:r>
      <w:r>
        <w:t xml:space="preserve"> </w:t>
      </w:r>
      <w:r w:rsidRPr="005963FF">
        <w:t>škola</w:t>
      </w:r>
      <w:r>
        <w:t xml:space="preserve"> </w:t>
      </w:r>
      <w:r w:rsidRPr="005963FF">
        <w:t>má</w:t>
      </w:r>
      <w:r>
        <w:t xml:space="preserve"> </w:t>
      </w:r>
      <w:r w:rsidRPr="005963FF">
        <w:t>nárok</w:t>
      </w:r>
      <w:r>
        <w:t xml:space="preserve"> </w:t>
      </w:r>
      <w:r w:rsidRPr="005963FF">
        <w:t>na</w:t>
      </w:r>
      <w:r>
        <w:t xml:space="preserve"> </w:t>
      </w:r>
      <w:r w:rsidRPr="005963FF">
        <w:t>dotaci</w:t>
      </w:r>
      <w:r>
        <w:t xml:space="preserve"> </w:t>
      </w:r>
      <w:r w:rsidRPr="005963FF">
        <w:t>na</w:t>
      </w:r>
      <w:r>
        <w:t xml:space="preserve"> </w:t>
      </w:r>
      <w:r w:rsidRPr="005963FF">
        <w:t>rozvoj</w:t>
      </w:r>
      <w:r>
        <w:t xml:space="preserve"> </w:t>
      </w:r>
      <w:r w:rsidRPr="005963FF">
        <w:t>vysoké</w:t>
      </w:r>
      <w:r>
        <w:t xml:space="preserve"> </w:t>
      </w:r>
      <w:r w:rsidRPr="005963FF">
        <w:t>školy.</w:t>
      </w:r>
      <w:r>
        <w:t xml:space="preserve"> </w:t>
      </w:r>
      <w:r w:rsidRPr="005963FF">
        <w:t>Veřejné</w:t>
      </w:r>
      <w:r>
        <w:t xml:space="preserve"> </w:t>
      </w:r>
      <w:r w:rsidRPr="005963FF">
        <w:t>vysoké</w:t>
      </w:r>
      <w:r>
        <w:t xml:space="preserve"> </w:t>
      </w:r>
      <w:r w:rsidRPr="005963FF">
        <w:t>škole</w:t>
      </w:r>
      <w:r>
        <w:t xml:space="preserve"> </w:t>
      </w:r>
      <w:r w:rsidRPr="005963FF">
        <w:t>se</w:t>
      </w:r>
      <w:r>
        <w:t xml:space="preserve"> </w:t>
      </w:r>
      <w:r w:rsidRPr="005963FF">
        <w:t>může</w:t>
      </w:r>
      <w:r>
        <w:t xml:space="preserve"> </w:t>
      </w:r>
      <w:r w:rsidRPr="005963FF">
        <w:t>poskytnout</w:t>
      </w:r>
      <w:r>
        <w:t xml:space="preserve"> </w:t>
      </w:r>
      <w:r w:rsidRPr="005963FF">
        <w:t>dotace</w:t>
      </w:r>
      <w:r>
        <w:t xml:space="preserve"> </w:t>
      </w:r>
      <w:r w:rsidRPr="005963FF">
        <w:t>zejména</w:t>
      </w:r>
      <w:r>
        <w:t xml:space="preserve"> </w:t>
      </w:r>
      <w:r w:rsidRPr="005963FF">
        <w:t>na</w:t>
      </w:r>
      <w:r>
        <w:t xml:space="preserve"> </w:t>
      </w:r>
      <w:r w:rsidRPr="005963FF">
        <w:t>ubytování</w:t>
      </w:r>
      <w:r>
        <w:t xml:space="preserve"> </w:t>
      </w:r>
      <w:r w:rsidRPr="005963FF">
        <w:t>a</w:t>
      </w:r>
      <w:r>
        <w:t xml:space="preserve"> </w:t>
      </w:r>
      <w:r w:rsidRPr="005963FF">
        <w:t>stravování</w:t>
      </w:r>
      <w:r>
        <w:t xml:space="preserve"> </w:t>
      </w:r>
      <w:r w:rsidRPr="005963FF">
        <w:t>studentů.</w:t>
      </w:r>
      <w:r>
        <w:t xml:space="preserve"> </w:t>
      </w:r>
      <w:r w:rsidRPr="005963FF">
        <w:t>Podmínky</w:t>
      </w:r>
      <w:r>
        <w:t xml:space="preserve"> </w:t>
      </w:r>
      <w:r w:rsidRPr="005963FF">
        <w:t>dotací,</w:t>
      </w:r>
      <w:r>
        <w:t xml:space="preserve"> </w:t>
      </w:r>
      <w:r w:rsidRPr="005963FF">
        <w:t>jejich</w:t>
      </w:r>
      <w:r>
        <w:t xml:space="preserve"> </w:t>
      </w:r>
      <w:r w:rsidRPr="005963FF">
        <w:t>užití</w:t>
      </w:r>
      <w:r>
        <w:t xml:space="preserve"> </w:t>
      </w:r>
      <w:r w:rsidRPr="005963FF">
        <w:t>a</w:t>
      </w:r>
      <w:r>
        <w:t xml:space="preserve"> </w:t>
      </w:r>
      <w:r w:rsidRPr="005963FF">
        <w:t>zúčtování</w:t>
      </w:r>
      <w:r>
        <w:t xml:space="preserve"> </w:t>
      </w:r>
      <w:r w:rsidRPr="005963FF">
        <w:t>se</w:t>
      </w:r>
      <w:r>
        <w:t xml:space="preserve"> </w:t>
      </w:r>
      <w:r w:rsidRPr="005963FF">
        <w:t>řídí</w:t>
      </w:r>
      <w:r>
        <w:t xml:space="preserve"> </w:t>
      </w:r>
      <w:r w:rsidRPr="005963FF">
        <w:t>obecnými</w:t>
      </w:r>
      <w:r>
        <w:t xml:space="preserve"> </w:t>
      </w:r>
      <w:r w:rsidRPr="005963FF">
        <w:t>předpisy</w:t>
      </w:r>
      <w:r>
        <w:t xml:space="preserve"> </w:t>
      </w:r>
      <w:r w:rsidRPr="005963FF">
        <w:t>pro</w:t>
      </w:r>
      <w:r>
        <w:t xml:space="preserve"> </w:t>
      </w:r>
      <w:r w:rsidRPr="005963FF">
        <w:t>nakládání</w:t>
      </w:r>
      <w:r>
        <w:t xml:space="preserve"> </w:t>
      </w:r>
      <w:r w:rsidRPr="005963FF">
        <w:t>s</w:t>
      </w:r>
      <w:r>
        <w:t xml:space="preserve"> </w:t>
      </w:r>
      <w:r w:rsidRPr="005963FF">
        <w:t>prostředky</w:t>
      </w:r>
      <w:r>
        <w:t xml:space="preserve"> </w:t>
      </w:r>
      <w:r w:rsidRPr="005963FF">
        <w:t>státního</w:t>
      </w:r>
      <w:r>
        <w:t xml:space="preserve"> </w:t>
      </w:r>
      <w:r w:rsidR="00674EE5">
        <w:t>rozpočtu</w:t>
      </w:r>
      <w:r w:rsidR="00674EE5">
        <w:rPr>
          <w:rStyle w:val="Znakapoznpodarou"/>
        </w:rPr>
        <w:footnoteReference w:customMarkFollows="1" w:id="276"/>
        <w:t>8d)</w:t>
      </w:r>
      <w:r>
        <w:t xml:space="preserve"> </w:t>
      </w:r>
      <w:r w:rsidRPr="005963FF">
        <w:t>a</w:t>
      </w:r>
      <w:r>
        <w:t xml:space="preserve"> </w:t>
      </w:r>
      <w:r w:rsidRPr="005963FF">
        <w:t>zvláštními</w:t>
      </w:r>
      <w:r>
        <w:t xml:space="preserve"> </w:t>
      </w:r>
      <w:r w:rsidRPr="005963FF">
        <w:t>předpisy</w:t>
      </w:r>
      <w:r>
        <w:t xml:space="preserve"> </w:t>
      </w:r>
      <w:r w:rsidRPr="005963FF">
        <w:t>upravujícími</w:t>
      </w:r>
      <w:r>
        <w:t xml:space="preserve"> </w:t>
      </w:r>
      <w:r w:rsidRPr="005963FF">
        <w:t>podporu</w:t>
      </w:r>
      <w:r>
        <w:t xml:space="preserve"> </w:t>
      </w:r>
      <w:r w:rsidRPr="005963FF">
        <w:t>výzkumu</w:t>
      </w:r>
      <w:r>
        <w:t xml:space="preserve"> </w:t>
      </w:r>
      <w:r w:rsidRPr="005963FF">
        <w:t>a</w:t>
      </w:r>
      <w:r>
        <w:t xml:space="preserve"> </w:t>
      </w:r>
      <w:r w:rsidR="00674EE5">
        <w:t>vývoje</w:t>
      </w:r>
      <w:r w:rsidR="00352404" w:rsidRPr="00352404">
        <w:rPr>
          <w:vertAlign w:val="superscript"/>
        </w:rPr>
        <w:t>8e)</w:t>
      </w:r>
      <w:r w:rsidRPr="005963FF">
        <w:t>.</w:t>
      </w:r>
      <w:r>
        <w:t xml:space="preserve"> </w:t>
      </w:r>
      <w:r w:rsidRPr="005963FF">
        <w:t>Pro</w:t>
      </w:r>
      <w:r>
        <w:t xml:space="preserve"> </w:t>
      </w:r>
      <w:r w:rsidRPr="005963FF">
        <w:t>výši</w:t>
      </w:r>
      <w:r>
        <w:t xml:space="preserve"> </w:t>
      </w:r>
      <w:r w:rsidRPr="005963FF">
        <w:t>dotací</w:t>
      </w:r>
      <w:r>
        <w:t xml:space="preserve"> </w:t>
      </w:r>
      <w:r w:rsidRPr="005963FF">
        <w:t>je</w:t>
      </w:r>
      <w:r>
        <w:t xml:space="preserve"> </w:t>
      </w:r>
      <w:r w:rsidRPr="005963FF">
        <w:t>rozhodný</w:t>
      </w:r>
      <w:r>
        <w:t xml:space="preserve"> </w:t>
      </w:r>
      <w:r w:rsidRPr="005963FF">
        <w:t>strategický</w:t>
      </w:r>
      <w:r>
        <w:t xml:space="preserve"> </w:t>
      </w:r>
      <w:r w:rsidRPr="005963FF">
        <w:t>záměr</w:t>
      </w:r>
      <w:r>
        <w:t xml:space="preserve"> </w:t>
      </w:r>
      <w:r w:rsidRPr="005963FF">
        <w:t>veřejné</w:t>
      </w:r>
      <w:r>
        <w:t xml:space="preserve"> </w:t>
      </w:r>
      <w:r w:rsidRPr="005963FF">
        <w:t>vysoké</w:t>
      </w:r>
      <w:r>
        <w:t xml:space="preserve"> </w:t>
      </w:r>
      <w:r w:rsidRPr="005963FF">
        <w:t>školy</w:t>
      </w:r>
      <w:r>
        <w:t xml:space="preserve"> </w:t>
      </w:r>
      <w:r w:rsidRPr="005963FF">
        <w:t>a</w:t>
      </w:r>
      <w:r>
        <w:t xml:space="preserve"> </w:t>
      </w:r>
      <w:r w:rsidRPr="005963FF">
        <w:t>strategický</w:t>
      </w:r>
      <w:r>
        <w:t xml:space="preserve"> </w:t>
      </w:r>
      <w:r w:rsidRPr="005963FF">
        <w:t>záměr</w:t>
      </w:r>
      <w:r>
        <w:t xml:space="preserve"> </w:t>
      </w:r>
      <w:r w:rsidRPr="005963FF">
        <w:t>ministerstva.</w:t>
      </w:r>
    </w:p>
    <w:p w14:paraId="513E065B" w14:textId="77777777" w:rsidR="00CB5381" w:rsidRDefault="00CB5381" w:rsidP="00566368">
      <w:pPr>
        <w:pStyle w:val="Textparagrafu"/>
        <w:tabs>
          <w:tab w:val="left" w:pos="392"/>
          <w:tab w:val="left" w:pos="840"/>
        </w:tabs>
        <w:spacing w:before="120" w:after="120"/>
      </w:pPr>
      <w:r w:rsidRPr="005963FF">
        <w:t>(6)</w:t>
      </w:r>
      <w:r>
        <w:t xml:space="preserve"> </w:t>
      </w:r>
      <w:r w:rsidRPr="005963FF">
        <w:t>Veřejná</w:t>
      </w:r>
      <w:r>
        <w:t xml:space="preserve"> </w:t>
      </w:r>
      <w:r w:rsidRPr="005963FF">
        <w:t>vysoká</w:t>
      </w:r>
      <w:r>
        <w:t xml:space="preserve"> </w:t>
      </w:r>
      <w:r w:rsidRPr="005963FF">
        <w:t>škola</w:t>
      </w:r>
      <w:r>
        <w:t xml:space="preserve"> </w:t>
      </w:r>
      <w:r w:rsidRPr="005963FF">
        <w:t>zřizuje</w:t>
      </w:r>
      <w:r>
        <w:t xml:space="preserve"> </w:t>
      </w:r>
      <w:r w:rsidRPr="005963FF">
        <w:t>tyto</w:t>
      </w:r>
      <w:r>
        <w:t xml:space="preserve"> </w:t>
      </w:r>
      <w:r w:rsidRPr="005963FF">
        <w:t>fondy:</w:t>
      </w:r>
    </w:p>
    <w:p w14:paraId="5386B310" w14:textId="3B44DBF5" w:rsidR="00CB5381" w:rsidRDefault="00CB5381" w:rsidP="000A6E57">
      <w:pPr>
        <w:pStyle w:val="Textparagrafu"/>
        <w:tabs>
          <w:tab w:val="left" w:pos="392"/>
          <w:tab w:val="left" w:pos="840"/>
        </w:tabs>
        <w:spacing w:before="0"/>
        <w:ind w:firstLine="0"/>
      </w:pPr>
      <w:r w:rsidRPr="005963FF">
        <w:t>a)</w:t>
      </w:r>
      <w:r w:rsidR="00674EE5">
        <w:tab/>
      </w:r>
      <w:r w:rsidRPr="005963FF">
        <w:t>rezervní</w:t>
      </w:r>
      <w:r>
        <w:t xml:space="preserve"> </w:t>
      </w:r>
      <w:r w:rsidRPr="005963FF">
        <w:t>fond</w:t>
      </w:r>
      <w:r>
        <w:t xml:space="preserve"> </w:t>
      </w:r>
      <w:r w:rsidRPr="005963FF">
        <w:t>určený</w:t>
      </w:r>
      <w:r>
        <w:t xml:space="preserve"> </w:t>
      </w:r>
      <w:r w:rsidRPr="005963FF">
        <w:t>zejména</w:t>
      </w:r>
      <w:r>
        <w:t xml:space="preserve"> </w:t>
      </w:r>
      <w:r w:rsidRPr="005963FF">
        <w:t>na</w:t>
      </w:r>
      <w:r>
        <w:t xml:space="preserve"> </w:t>
      </w:r>
      <w:r w:rsidRPr="005963FF">
        <w:t>krytí</w:t>
      </w:r>
      <w:r>
        <w:t xml:space="preserve"> </w:t>
      </w:r>
      <w:r w:rsidRPr="005963FF">
        <w:t>ztrát</w:t>
      </w:r>
      <w:r>
        <w:t xml:space="preserve"> </w:t>
      </w:r>
      <w:r w:rsidRPr="005963FF">
        <w:t>v</w:t>
      </w:r>
      <w:r>
        <w:t xml:space="preserve"> </w:t>
      </w:r>
      <w:r w:rsidRPr="005963FF">
        <w:t>následujících</w:t>
      </w:r>
      <w:r>
        <w:t xml:space="preserve"> </w:t>
      </w:r>
      <w:r w:rsidRPr="005963FF">
        <w:t>účetních</w:t>
      </w:r>
      <w:r>
        <w:t xml:space="preserve"> </w:t>
      </w:r>
      <w:r w:rsidRPr="005963FF">
        <w:t>obdobích,</w:t>
      </w:r>
    </w:p>
    <w:p w14:paraId="71905D21" w14:textId="17FA996C" w:rsidR="00CB5381" w:rsidRDefault="00CB5381" w:rsidP="000A6E57">
      <w:pPr>
        <w:pStyle w:val="Textparagrafu"/>
        <w:tabs>
          <w:tab w:val="left" w:pos="392"/>
          <w:tab w:val="left" w:pos="840"/>
        </w:tabs>
        <w:spacing w:before="0"/>
        <w:ind w:firstLine="0"/>
      </w:pPr>
      <w:r w:rsidRPr="005963FF">
        <w:t>b)</w:t>
      </w:r>
      <w:r w:rsidR="00674EE5">
        <w:tab/>
      </w:r>
      <w:r w:rsidRPr="005963FF">
        <w:t>fond</w:t>
      </w:r>
      <w:r>
        <w:t xml:space="preserve"> </w:t>
      </w:r>
      <w:r w:rsidRPr="005963FF">
        <w:t>reprodukce</w:t>
      </w:r>
      <w:r>
        <w:t xml:space="preserve"> </w:t>
      </w:r>
      <w:r w:rsidRPr="005963FF">
        <w:t>investičního</w:t>
      </w:r>
      <w:r>
        <w:t xml:space="preserve"> </w:t>
      </w:r>
      <w:r w:rsidRPr="005963FF">
        <w:t>majetku,</w:t>
      </w:r>
    </w:p>
    <w:p w14:paraId="4A519F8B" w14:textId="406CDECD" w:rsidR="00CB5381" w:rsidRDefault="00CB5381" w:rsidP="000A6E57">
      <w:pPr>
        <w:pStyle w:val="Textparagrafu"/>
        <w:tabs>
          <w:tab w:val="left" w:pos="392"/>
          <w:tab w:val="left" w:pos="840"/>
        </w:tabs>
        <w:spacing w:before="0"/>
        <w:ind w:firstLine="0"/>
      </w:pPr>
      <w:r w:rsidRPr="005963FF">
        <w:t>c)</w:t>
      </w:r>
      <w:r w:rsidR="00674EE5">
        <w:tab/>
      </w:r>
      <w:r w:rsidRPr="005963FF">
        <w:t>stipendijní</w:t>
      </w:r>
      <w:r>
        <w:t xml:space="preserve"> </w:t>
      </w:r>
      <w:r w:rsidRPr="005963FF">
        <w:t>fond,</w:t>
      </w:r>
    </w:p>
    <w:p w14:paraId="38626858" w14:textId="07D9B3AC" w:rsidR="00CB5381" w:rsidRDefault="00CB5381" w:rsidP="000A6E57">
      <w:pPr>
        <w:pStyle w:val="Textparagrafu"/>
        <w:tabs>
          <w:tab w:val="left" w:pos="392"/>
          <w:tab w:val="left" w:pos="840"/>
        </w:tabs>
        <w:spacing w:before="0"/>
        <w:ind w:firstLine="0"/>
      </w:pPr>
      <w:r w:rsidRPr="005963FF">
        <w:t>d)</w:t>
      </w:r>
      <w:r w:rsidR="00674EE5">
        <w:tab/>
      </w:r>
      <w:r w:rsidRPr="005963FF">
        <w:t>fond</w:t>
      </w:r>
      <w:r>
        <w:t xml:space="preserve"> </w:t>
      </w:r>
      <w:r w:rsidRPr="005963FF">
        <w:t>odměn,</w:t>
      </w:r>
    </w:p>
    <w:p w14:paraId="3249D16F" w14:textId="1CA980E3" w:rsidR="00CB5381" w:rsidRDefault="00CB5381" w:rsidP="000A6E57">
      <w:pPr>
        <w:pStyle w:val="Textparagrafu"/>
        <w:tabs>
          <w:tab w:val="left" w:pos="392"/>
          <w:tab w:val="left" w:pos="840"/>
        </w:tabs>
        <w:spacing w:before="0"/>
        <w:ind w:firstLine="0"/>
      </w:pPr>
      <w:r w:rsidRPr="005963FF">
        <w:t>e)</w:t>
      </w:r>
      <w:r w:rsidR="00674EE5">
        <w:tab/>
      </w:r>
      <w:r w:rsidRPr="005963FF">
        <w:t>fond</w:t>
      </w:r>
      <w:r>
        <w:t xml:space="preserve"> </w:t>
      </w:r>
      <w:r w:rsidRPr="005963FF">
        <w:t>účelově</w:t>
      </w:r>
      <w:r>
        <w:t xml:space="preserve"> </w:t>
      </w:r>
      <w:r w:rsidRPr="005963FF">
        <w:t>určených</w:t>
      </w:r>
      <w:r>
        <w:t xml:space="preserve"> </w:t>
      </w:r>
      <w:r w:rsidRPr="005963FF">
        <w:t>prostředků,</w:t>
      </w:r>
    </w:p>
    <w:p w14:paraId="54F46484" w14:textId="1394B46D" w:rsidR="00CB5381" w:rsidRDefault="00CB5381" w:rsidP="000A6E57">
      <w:pPr>
        <w:pStyle w:val="Textparagrafu"/>
        <w:tabs>
          <w:tab w:val="left" w:pos="392"/>
          <w:tab w:val="left" w:pos="840"/>
        </w:tabs>
        <w:spacing w:before="0"/>
        <w:ind w:firstLine="0"/>
      </w:pPr>
      <w:r w:rsidRPr="005963FF">
        <w:t>f)</w:t>
      </w:r>
      <w:r w:rsidR="00674EE5">
        <w:tab/>
      </w:r>
      <w:r w:rsidRPr="005963FF">
        <w:t>fond</w:t>
      </w:r>
      <w:r>
        <w:t xml:space="preserve"> </w:t>
      </w:r>
      <w:r w:rsidRPr="005963FF">
        <w:t>sociální,</w:t>
      </w:r>
    </w:p>
    <w:p w14:paraId="3EC109F3" w14:textId="3A51EFA9" w:rsidR="00CB5381" w:rsidRDefault="00CB5381" w:rsidP="000A6E57">
      <w:pPr>
        <w:pStyle w:val="Textparagrafu"/>
        <w:tabs>
          <w:tab w:val="left" w:pos="392"/>
          <w:tab w:val="left" w:pos="840"/>
        </w:tabs>
        <w:spacing w:before="0"/>
        <w:ind w:firstLine="0"/>
      </w:pPr>
      <w:r w:rsidRPr="005963FF">
        <w:t>g)</w:t>
      </w:r>
      <w:r w:rsidR="00674EE5">
        <w:tab/>
      </w:r>
      <w:r w:rsidRPr="005963FF">
        <w:t>fond</w:t>
      </w:r>
      <w:r>
        <w:t xml:space="preserve"> </w:t>
      </w:r>
      <w:r w:rsidRPr="005963FF">
        <w:t>provozních</w:t>
      </w:r>
      <w:r>
        <w:t xml:space="preserve"> </w:t>
      </w:r>
      <w:r w:rsidRPr="005963FF">
        <w:t>prostředků.</w:t>
      </w:r>
    </w:p>
    <w:p w14:paraId="0EA77BA2" w14:textId="67A5D979" w:rsidR="00CB5381" w:rsidRDefault="00CB5381" w:rsidP="00566368">
      <w:pPr>
        <w:pStyle w:val="Textparagrafu"/>
        <w:tabs>
          <w:tab w:val="left" w:pos="392"/>
          <w:tab w:val="left" w:pos="840"/>
        </w:tabs>
        <w:spacing w:before="120" w:after="120"/>
      </w:pPr>
      <w:r w:rsidRPr="005963FF">
        <w:t>(7)</w:t>
      </w:r>
      <w:r>
        <w:t xml:space="preserve"> </w:t>
      </w:r>
      <w:r w:rsidRPr="005963FF">
        <w:t>Fondy</w:t>
      </w:r>
      <w:r>
        <w:t xml:space="preserve"> </w:t>
      </w:r>
      <w:r w:rsidRPr="005963FF">
        <w:t>veřejné</w:t>
      </w:r>
      <w:r>
        <w:t xml:space="preserve"> </w:t>
      </w:r>
      <w:r w:rsidRPr="005963FF">
        <w:t>vysoké</w:t>
      </w:r>
      <w:r>
        <w:t xml:space="preserve"> </w:t>
      </w:r>
      <w:r w:rsidRPr="005963FF">
        <w:t>školy</w:t>
      </w:r>
      <w:r>
        <w:t xml:space="preserve"> </w:t>
      </w:r>
      <w:r w:rsidRPr="005963FF">
        <w:t>uvedené</w:t>
      </w:r>
      <w:r>
        <w:t xml:space="preserve"> </w:t>
      </w:r>
      <w:r w:rsidRPr="005963FF">
        <w:t>v</w:t>
      </w:r>
      <w:r>
        <w:t xml:space="preserve"> </w:t>
      </w:r>
      <w:r w:rsidRPr="005963FF">
        <w:t>odstavci</w:t>
      </w:r>
      <w:r>
        <w:t xml:space="preserve"> </w:t>
      </w:r>
      <w:r w:rsidRPr="005963FF">
        <w:t>6</w:t>
      </w:r>
      <w:r>
        <w:t xml:space="preserve"> </w:t>
      </w:r>
      <w:r w:rsidRPr="005963FF">
        <w:t>písm.</w:t>
      </w:r>
      <w:r>
        <w:t xml:space="preserve"> </w:t>
      </w:r>
      <w:r w:rsidRPr="005963FF">
        <w:t>a),</w:t>
      </w:r>
      <w:r>
        <w:t xml:space="preserve"> </w:t>
      </w:r>
      <w:r w:rsidRPr="005963FF">
        <w:t>b),</w:t>
      </w:r>
      <w:r>
        <w:t xml:space="preserve"> </w:t>
      </w:r>
      <w:r w:rsidRPr="005963FF">
        <w:t>d)</w:t>
      </w:r>
      <w:r>
        <w:t xml:space="preserve"> </w:t>
      </w:r>
      <w:r w:rsidRPr="005963FF">
        <w:t>a</w:t>
      </w:r>
      <w:r>
        <w:t xml:space="preserve"> </w:t>
      </w:r>
      <w:r w:rsidRPr="005963FF">
        <w:t>g)</w:t>
      </w:r>
      <w:r>
        <w:t xml:space="preserve"> </w:t>
      </w:r>
      <w:r w:rsidRPr="005963FF">
        <w:t>jsou</w:t>
      </w:r>
      <w:r>
        <w:t xml:space="preserve"> </w:t>
      </w:r>
      <w:r w:rsidRPr="005963FF">
        <w:t>vytvářeny</w:t>
      </w:r>
      <w:r>
        <w:t xml:space="preserve"> </w:t>
      </w:r>
      <w:r w:rsidRPr="005963FF">
        <w:t>ze</w:t>
      </w:r>
      <w:r>
        <w:t xml:space="preserve"> </w:t>
      </w:r>
      <w:r w:rsidRPr="005963FF">
        <w:t>zisku,</w:t>
      </w:r>
      <w:r>
        <w:t xml:space="preserve"> </w:t>
      </w:r>
      <w:r w:rsidRPr="005963FF">
        <w:t>není-li</w:t>
      </w:r>
      <w:r>
        <w:t xml:space="preserve"> </w:t>
      </w:r>
      <w:r w:rsidRPr="005963FF">
        <w:t>výslovně</w:t>
      </w:r>
      <w:r>
        <w:t xml:space="preserve"> </w:t>
      </w:r>
      <w:r w:rsidRPr="005963FF">
        <w:t>stanoveno</w:t>
      </w:r>
      <w:r>
        <w:t xml:space="preserve"> </w:t>
      </w:r>
      <w:r w:rsidRPr="005963FF">
        <w:t>jinak;</w:t>
      </w:r>
      <w:r>
        <w:t xml:space="preserve"> </w:t>
      </w:r>
      <w:r w:rsidRPr="005963FF">
        <w:t>fond</w:t>
      </w:r>
      <w:r>
        <w:t xml:space="preserve"> </w:t>
      </w:r>
      <w:r w:rsidRPr="005963FF">
        <w:t>reprodukce</w:t>
      </w:r>
      <w:r>
        <w:t xml:space="preserve"> </w:t>
      </w:r>
      <w:r w:rsidRPr="005963FF">
        <w:t>investičního</w:t>
      </w:r>
      <w:r>
        <w:t xml:space="preserve"> </w:t>
      </w:r>
      <w:r w:rsidRPr="005963FF">
        <w:t>majetku</w:t>
      </w:r>
      <w:r>
        <w:t xml:space="preserve"> </w:t>
      </w:r>
      <w:r w:rsidRPr="005963FF">
        <w:t>a</w:t>
      </w:r>
      <w:r>
        <w:t xml:space="preserve"> </w:t>
      </w:r>
      <w:r w:rsidRPr="005963FF">
        <w:t>fond</w:t>
      </w:r>
      <w:r>
        <w:t xml:space="preserve"> </w:t>
      </w:r>
      <w:r w:rsidRPr="005963FF">
        <w:t>provozních</w:t>
      </w:r>
      <w:r>
        <w:t xml:space="preserve"> </w:t>
      </w:r>
      <w:r w:rsidRPr="005963FF">
        <w:t>prostředků</w:t>
      </w:r>
      <w:r>
        <w:t xml:space="preserve"> </w:t>
      </w:r>
      <w:r w:rsidRPr="005963FF">
        <w:t>též</w:t>
      </w:r>
      <w:r>
        <w:t xml:space="preserve"> </w:t>
      </w:r>
      <w:r w:rsidRPr="005963FF">
        <w:t>ze</w:t>
      </w:r>
      <w:r>
        <w:t xml:space="preserve"> </w:t>
      </w:r>
      <w:r w:rsidRPr="005963FF">
        <w:t>zůstatku</w:t>
      </w:r>
      <w:r>
        <w:t xml:space="preserve"> </w:t>
      </w:r>
      <w:r w:rsidRPr="005963FF">
        <w:t>příspěvků</w:t>
      </w:r>
      <w:r>
        <w:t xml:space="preserve"> </w:t>
      </w:r>
      <w:r w:rsidRPr="005963FF">
        <w:t>podle</w:t>
      </w:r>
      <w:r>
        <w:t xml:space="preserve"> </w:t>
      </w:r>
      <w:r w:rsidRPr="005963FF">
        <w:t>odstavce</w:t>
      </w:r>
      <w:r>
        <w:t xml:space="preserve"> </w:t>
      </w:r>
      <w:r w:rsidRPr="005963FF">
        <w:t>2</w:t>
      </w:r>
      <w:r>
        <w:t xml:space="preserve"> </w:t>
      </w:r>
      <w:r w:rsidRPr="005963FF">
        <w:t>písm.</w:t>
      </w:r>
      <w:r>
        <w:t xml:space="preserve"> </w:t>
      </w:r>
      <w:r w:rsidRPr="005963FF">
        <w:t>a)</w:t>
      </w:r>
      <w:r>
        <w:t xml:space="preserve"> </w:t>
      </w:r>
      <w:r w:rsidRPr="005963FF">
        <w:t>k</w:t>
      </w:r>
      <w:r>
        <w:t xml:space="preserve"> </w:t>
      </w:r>
      <w:r w:rsidRPr="005963FF">
        <w:t>31.</w:t>
      </w:r>
      <w:r>
        <w:t xml:space="preserve"> </w:t>
      </w:r>
      <w:r w:rsidRPr="005963FF">
        <w:t>prosinci</w:t>
      </w:r>
      <w:r>
        <w:t xml:space="preserve"> </w:t>
      </w:r>
      <w:r w:rsidRPr="005963FF">
        <w:t>běžného</w:t>
      </w:r>
      <w:r>
        <w:t xml:space="preserve"> </w:t>
      </w:r>
      <w:r w:rsidRPr="005963FF">
        <w:t>roku,</w:t>
      </w:r>
      <w:r>
        <w:t xml:space="preserve"> </w:t>
      </w:r>
      <w:r w:rsidRPr="005963FF">
        <w:t>fond</w:t>
      </w:r>
      <w:r>
        <w:t xml:space="preserve"> </w:t>
      </w:r>
      <w:r w:rsidRPr="005963FF">
        <w:t>reprodukce</w:t>
      </w:r>
      <w:r>
        <w:t xml:space="preserve"> </w:t>
      </w:r>
      <w:r w:rsidRPr="005963FF">
        <w:t>investičního</w:t>
      </w:r>
      <w:r>
        <w:t xml:space="preserve"> </w:t>
      </w:r>
      <w:r w:rsidRPr="005963FF">
        <w:t>majetku</w:t>
      </w:r>
      <w:r>
        <w:t xml:space="preserve"> </w:t>
      </w:r>
      <w:r w:rsidRPr="005963FF">
        <w:t>též</w:t>
      </w:r>
      <w:r>
        <w:t xml:space="preserve"> </w:t>
      </w:r>
      <w:r w:rsidRPr="000074A8">
        <w:rPr>
          <w:strike/>
        </w:rPr>
        <w:t xml:space="preserve">z odpisů hmotného a nehmotného </w:t>
      </w:r>
      <w:r w:rsidR="000A6E57" w:rsidRPr="000074A8">
        <w:rPr>
          <w:strike/>
        </w:rPr>
        <w:t>majetku</w:t>
      </w:r>
      <w:r w:rsidR="000A6E57" w:rsidRPr="000074A8">
        <w:rPr>
          <w:rStyle w:val="Znakapoznpodarou"/>
          <w:strike/>
        </w:rPr>
        <w:footnoteReference w:customMarkFollows="1" w:id="277"/>
        <w:t>9)</w:t>
      </w:r>
      <w:r w:rsidR="000074A8" w:rsidRPr="000074A8">
        <w:rPr>
          <w:b/>
          <w:bCs/>
        </w:rPr>
        <w:t xml:space="preserve"> </w:t>
      </w:r>
      <w:r w:rsidR="000074A8" w:rsidRPr="66C4E76E">
        <w:rPr>
          <w:b/>
          <w:bCs/>
        </w:rPr>
        <w:t>do výše odpisů hmotných a nehmotných aktiv</w:t>
      </w:r>
      <w:r w:rsidRPr="005963FF">
        <w:t>.</w:t>
      </w:r>
      <w:r>
        <w:t xml:space="preserve"> </w:t>
      </w:r>
      <w:r w:rsidRPr="005963FF">
        <w:t>Zdroji</w:t>
      </w:r>
      <w:r>
        <w:t xml:space="preserve"> </w:t>
      </w:r>
      <w:r w:rsidRPr="005963FF">
        <w:t>stipendijního</w:t>
      </w:r>
      <w:r>
        <w:t xml:space="preserve"> </w:t>
      </w:r>
      <w:r w:rsidRPr="005963FF">
        <w:t>fondu</w:t>
      </w:r>
      <w:r>
        <w:t xml:space="preserve"> </w:t>
      </w:r>
      <w:r w:rsidRPr="005963FF">
        <w:t>jsou</w:t>
      </w:r>
      <w:r>
        <w:t xml:space="preserve"> </w:t>
      </w:r>
      <w:r w:rsidRPr="005963FF">
        <w:t>převody</w:t>
      </w:r>
      <w:r>
        <w:t xml:space="preserve"> </w:t>
      </w:r>
      <w:r w:rsidRPr="005963FF">
        <w:t>poplatků</w:t>
      </w:r>
      <w:r>
        <w:t xml:space="preserve"> </w:t>
      </w:r>
      <w:r w:rsidRPr="005963FF">
        <w:t>za</w:t>
      </w:r>
      <w:r>
        <w:t xml:space="preserve"> </w:t>
      </w:r>
      <w:r w:rsidRPr="005963FF">
        <w:t>studium</w:t>
      </w:r>
      <w:r>
        <w:t xml:space="preserve"> </w:t>
      </w:r>
      <w:r w:rsidRPr="005963FF">
        <w:t>podle</w:t>
      </w:r>
      <w:r>
        <w:t xml:space="preserve"> </w:t>
      </w:r>
      <w:r w:rsidRPr="005963FF">
        <w:t>§</w:t>
      </w:r>
      <w:r>
        <w:t xml:space="preserve"> </w:t>
      </w:r>
      <w:r w:rsidRPr="005963FF">
        <w:t>58</w:t>
      </w:r>
      <w:r>
        <w:t xml:space="preserve"> </w:t>
      </w:r>
      <w:r w:rsidRPr="005963FF">
        <w:t>odst.</w:t>
      </w:r>
      <w:r>
        <w:t xml:space="preserve"> </w:t>
      </w:r>
      <w:r w:rsidRPr="005963FF">
        <w:t>6</w:t>
      </w:r>
      <w:r>
        <w:t xml:space="preserve"> </w:t>
      </w:r>
      <w:r w:rsidRPr="005963FF">
        <w:t>a</w:t>
      </w:r>
      <w:r>
        <w:t xml:space="preserve"> </w:t>
      </w:r>
      <w:r w:rsidRPr="005963FF">
        <w:t>převody</w:t>
      </w:r>
      <w:r>
        <w:t xml:space="preserve"> </w:t>
      </w:r>
      <w:r w:rsidRPr="005963FF">
        <w:t>daňově</w:t>
      </w:r>
      <w:r>
        <w:t xml:space="preserve"> </w:t>
      </w:r>
      <w:r w:rsidRPr="005963FF">
        <w:t>uznatelných</w:t>
      </w:r>
      <w:r>
        <w:t xml:space="preserve"> </w:t>
      </w:r>
      <w:r w:rsidRPr="005963FF">
        <w:t>výdajů</w:t>
      </w:r>
      <w:r>
        <w:t xml:space="preserve"> </w:t>
      </w:r>
      <w:r w:rsidRPr="005963FF">
        <w:t>podle</w:t>
      </w:r>
      <w:r>
        <w:t xml:space="preserve"> </w:t>
      </w:r>
      <w:r w:rsidRPr="005963FF">
        <w:t>zvláštního</w:t>
      </w:r>
      <w:r>
        <w:t xml:space="preserve"> </w:t>
      </w:r>
      <w:r w:rsidRPr="005963FF">
        <w:t>předpisu</w:t>
      </w:r>
      <w:r>
        <w:t xml:space="preserve"> </w:t>
      </w:r>
      <w:r w:rsidR="000A6E57">
        <w:rPr>
          <w:rStyle w:val="Znakapoznpodarou"/>
        </w:rPr>
        <w:footnoteReference w:customMarkFollows="1" w:id="278"/>
        <w:t>9a)</w:t>
      </w:r>
      <w:r w:rsidRPr="005963FF">
        <w:t>.</w:t>
      </w:r>
      <w:r>
        <w:t xml:space="preserve"> </w:t>
      </w:r>
      <w:r w:rsidRPr="005963FF">
        <w:t>Veřejná</w:t>
      </w:r>
      <w:r>
        <w:t xml:space="preserve"> </w:t>
      </w:r>
      <w:r w:rsidRPr="005963FF">
        <w:t>vysoká</w:t>
      </w:r>
      <w:r>
        <w:t xml:space="preserve"> </w:t>
      </w:r>
      <w:r w:rsidRPr="005963FF">
        <w:t>škola</w:t>
      </w:r>
      <w:r>
        <w:t xml:space="preserve"> </w:t>
      </w:r>
      <w:r w:rsidRPr="005963FF">
        <w:t>může</w:t>
      </w:r>
      <w:r>
        <w:t xml:space="preserve"> </w:t>
      </w:r>
      <w:r w:rsidRPr="005963FF">
        <w:t>rozdělovat</w:t>
      </w:r>
      <w:r>
        <w:t xml:space="preserve"> </w:t>
      </w:r>
      <w:r w:rsidRPr="005963FF">
        <w:t>do</w:t>
      </w:r>
      <w:r>
        <w:t xml:space="preserve"> </w:t>
      </w:r>
      <w:r w:rsidRPr="005963FF">
        <w:t>fondů</w:t>
      </w:r>
      <w:r>
        <w:t xml:space="preserve"> </w:t>
      </w:r>
      <w:r w:rsidRPr="005963FF">
        <w:t>zisk</w:t>
      </w:r>
      <w:r>
        <w:t xml:space="preserve"> </w:t>
      </w:r>
      <w:r w:rsidRPr="005963FF">
        <w:t>po</w:t>
      </w:r>
      <w:r>
        <w:t xml:space="preserve"> </w:t>
      </w:r>
      <w:r w:rsidRPr="005963FF">
        <w:t>zdanění</w:t>
      </w:r>
      <w:r>
        <w:t xml:space="preserve"> </w:t>
      </w:r>
      <w:r w:rsidRPr="005963FF">
        <w:t>pouze</w:t>
      </w:r>
      <w:r>
        <w:t xml:space="preserve"> </w:t>
      </w:r>
      <w:r w:rsidRPr="005963FF">
        <w:t>v</w:t>
      </w:r>
      <w:r>
        <w:t xml:space="preserve"> </w:t>
      </w:r>
      <w:r w:rsidRPr="005963FF">
        <w:t>případě,</w:t>
      </w:r>
      <w:r>
        <w:t xml:space="preserve"> </w:t>
      </w:r>
      <w:r w:rsidRPr="005963FF">
        <w:t>že</w:t>
      </w:r>
      <w:r>
        <w:t xml:space="preserve"> </w:t>
      </w:r>
      <w:r w:rsidRPr="005963FF">
        <w:t>byla</w:t>
      </w:r>
      <w:r>
        <w:t xml:space="preserve"> </w:t>
      </w:r>
      <w:r w:rsidRPr="005963FF">
        <w:t>uhrazena</w:t>
      </w:r>
      <w:r>
        <w:t xml:space="preserve"> </w:t>
      </w:r>
      <w:r w:rsidRPr="005963FF">
        <w:t>případná</w:t>
      </w:r>
      <w:r>
        <w:t xml:space="preserve"> </w:t>
      </w:r>
      <w:r w:rsidRPr="005963FF">
        <w:t>ztráta</w:t>
      </w:r>
      <w:r>
        <w:t xml:space="preserve"> </w:t>
      </w:r>
      <w:r w:rsidRPr="005963FF">
        <w:t>z</w:t>
      </w:r>
      <w:r>
        <w:t xml:space="preserve"> </w:t>
      </w:r>
      <w:r w:rsidRPr="005963FF">
        <w:t>minulých</w:t>
      </w:r>
      <w:r>
        <w:t xml:space="preserve"> </w:t>
      </w:r>
      <w:r w:rsidRPr="005963FF">
        <w:t>období.</w:t>
      </w:r>
      <w:r>
        <w:t xml:space="preserve"> </w:t>
      </w:r>
      <w:r w:rsidRPr="005963FF">
        <w:t>Zůstatky</w:t>
      </w:r>
      <w:r>
        <w:t xml:space="preserve"> </w:t>
      </w:r>
      <w:r w:rsidRPr="005963FF">
        <w:t>fondů</w:t>
      </w:r>
      <w:r>
        <w:t xml:space="preserve"> </w:t>
      </w:r>
      <w:r w:rsidRPr="005963FF">
        <w:t>k</w:t>
      </w:r>
      <w:r>
        <w:t xml:space="preserve"> </w:t>
      </w:r>
      <w:r w:rsidRPr="005963FF">
        <w:t>31.</w:t>
      </w:r>
      <w:r>
        <w:t xml:space="preserve"> </w:t>
      </w:r>
      <w:r w:rsidRPr="005963FF">
        <w:t>prosinci</w:t>
      </w:r>
      <w:r>
        <w:t xml:space="preserve"> </w:t>
      </w:r>
      <w:r w:rsidRPr="005963FF">
        <w:t>běžného</w:t>
      </w:r>
      <w:r>
        <w:t xml:space="preserve"> </w:t>
      </w:r>
      <w:r w:rsidRPr="005963FF">
        <w:t>roku</w:t>
      </w:r>
      <w:r>
        <w:t xml:space="preserve"> </w:t>
      </w:r>
      <w:r w:rsidRPr="005963FF">
        <w:t>se</w:t>
      </w:r>
      <w:r>
        <w:t xml:space="preserve"> </w:t>
      </w:r>
      <w:r w:rsidRPr="005963FF">
        <w:t>převádějí</w:t>
      </w:r>
      <w:r>
        <w:t xml:space="preserve"> </w:t>
      </w:r>
      <w:r w:rsidRPr="005963FF">
        <w:t>do</w:t>
      </w:r>
      <w:r>
        <w:t xml:space="preserve"> </w:t>
      </w:r>
      <w:r w:rsidRPr="005963FF">
        <w:t>následujícího</w:t>
      </w:r>
      <w:r>
        <w:t xml:space="preserve"> </w:t>
      </w:r>
      <w:r w:rsidRPr="005963FF">
        <w:t>rozpočtového</w:t>
      </w:r>
      <w:r>
        <w:t xml:space="preserve"> </w:t>
      </w:r>
      <w:r w:rsidRPr="005963FF">
        <w:t>roku.</w:t>
      </w:r>
      <w:r>
        <w:t xml:space="preserve"> </w:t>
      </w:r>
      <w:r w:rsidRPr="005963FF">
        <w:t>Použití</w:t>
      </w:r>
      <w:r>
        <w:t xml:space="preserve"> </w:t>
      </w:r>
      <w:r w:rsidRPr="005963FF">
        <w:t>prostředků</w:t>
      </w:r>
      <w:r>
        <w:t xml:space="preserve"> </w:t>
      </w:r>
      <w:r w:rsidRPr="005963FF">
        <w:t>fondů</w:t>
      </w:r>
      <w:r>
        <w:t xml:space="preserve"> </w:t>
      </w:r>
      <w:r w:rsidRPr="005963FF">
        <w:t>uvedených</w:t>
      </w:r>
      <w:r>
        <w:t xml:space="preserve"> </w:t>
      </w:r>
      <w:r w:rsidRPr="005963FF">
        <w:t>v</w:t>
      </w:r>
      <w:r>
        <w:t xml:space="preserve"> </w:t>
      </w:r>
      <w:r w:rsidRPr="005963FF">
        <w:t>odstavci</w:t>
      </w:r>
      <w:r>
        <w:t xml:space="preserve"> </w:t>
      </w:r>
      <w:r w:rsidRPr="005963FF">
        <w:t>6</w:t>
      </w:r>
      <w:r>
        <w:t xml:space="preserve"> </w:t>
      </w:r>
      <w:r w:rsidRPr="005963FF">
        <w:t>písm.</w:t>
      </w:r>
      <w:r>
        <w:t xml:space="preserve"> </w:t>
      </w:r>
      <w:r w:rsidRPr="005963FF">
        <w:t>a)</w:t>
      </w:r>
      <w:r>
        <w:t xml:space="preserve"> </w:t>
      </w:r>
      <w:r w:rsidRPr="005963FF">
        <w:t>až</w:t>
      </w:r>
      <w:r>
        <w:t xml:space="preserve"> </w:t>
      </w:r>
      <w:r w:rsidRPr="005963FF">
        <w:t>d),</w:t>
      </w:r>
      <w:r>
        <w:t xml:space="preserve"> </w:t>
      </w:r>
      <w:r w:rsidRPr="005963FF">
        <w:t>f)</w:t>
      </w:r>
      <w:r>
        <w:t xml:space="preserve"> </w:t>
      </w:r>
      <w:r w:rsidRPr="005963FF">
        <w:t>a</w:t>
      </w:r>
      <w:r>
        <w:t xml:space="preserve"> </w:t>
      </w:r>
      <w:r w:rsidRPr="005963FF">
        <w:t>g)</w:t>
      </w:r>
      <w:r>
        <w:t xml:space="preserve"> </w:t>
      </w:r>
      <w:r w:rsidRPr="005963FF">
        <w:t>a</w:t>
      </w:r>
      <w:r>
        <w:t xml:space="preserve"> </w:t>
      </w:r>
      <w:r w:rsidRPr="005963FF">
        <w:t>podmínky</w:t>
      </w:r>
      <w:r>
        <w:t xml:space="preserve"> </w:t>
      </w:r>
      <w:r w:rsidRPr="005963FF">
        <w:t>převodu</w:t>
      </w:r>
      <w:r>
        <w:t xml:space="preserve"> </w:t>
      </w:r>
      <w:r w:rsidRPr="005963FF">
        <w:t>prostředků</w:t>
      </w:r>
      <w:r>
        <w:t xml:space="preserve"> </w:t>
      </w:r>
      <w:r w:rsidRPr="005963FF">
        <w:t>mezi</w:t>
      </w:r>
      <w:r>
        <w:t xml:space="preserve"> </w:t>
      </w:r>
      <w:r w:rsidRPr="005963FF">
        <w:t>fondy</w:t>
      </w:r>
      <w:r>
        <w:t xml:space="preserve"> </w:t>
      </w:r>
      <w:r w:rsidRPr="005963FF">
        <w:t>uvedenými</w:t>
      </w:r>
      <w:r>
        <w:t xml:space="preserve"> </w:t>
      </w:r>
      <w:r w:rsidRPr="005963FF">
        <w:t>v</w:t>
      </w:r>
      <w:r>
        <w:t xml:space="preserve"> </w:t>
      </w:r>
      <w:r w:rsidRPr="005963FF">
        <w:t>odstavci</w:t>
      </w:r>
      <w:r>
        <w:t xml:space="preserve"> </w:t>
      </w:r>
      <w:r w:rsidRPr="005963FF">
        <w:t>6</w:t>
      </w:r>
      <w:r>
        <w:t xml:space="preserve"> </w:t>
      </w:r>
      <w:r w:rsidRPr="005963FF">
        <w:t>písm.</w:t>
      </w:r>
      <w:r>
        <w:t xml:space="preserve"> </w:t>
      </w:r>
      <w:r w:rsidRPr="005963FF">
        <w:t>a),</w:t>
      </w:r>
      <w:r>
        <w:t xml:space="preserve"> </w:t>
      </w:r>
      <w:r w:rsidRPr="005963FF">
        <w:t>b),</w:t>
      </w:r>
      <w:r>
        <w:t xml:space="preserve"> </w:t>
      </w:r>
      <w:r w:rsidRPr="005963FF">
        <w:t>d)</w:t>
      </w:r>
      <w:r>
        <w:t xml:space="preserve"> </w:t>
      </w:r>
      <w:r w:rsidRPr="005963FF">
        <w:t>a</w:t>
      </w:r>
      <w:r>
        <w:t xml:space="preserve"> </w:t>
      </w:r>
      <w:r w:rsidRPr="005963FF">
        <w:t>g)</w:t>
      </w:r>
      <w:r>
        <w:t xml:space="preserve"> </w:t>
      </w:r>
      <w:r w:rsidRPr="005963FF">
        <w:t>upravuje</w:t>
      </w:r>
      <w:r>
        <w:t xml:space="preserve"> </w:t>
      </w:r>
      <w:r w:rsidRPr="005963FF">
        <w:t>vnitřní</w:t>
      </w:r>
      <w:r>
        <w:t xml:space="preserve"> </w:t>
      </w:r>
      <w:r w:rsidRPr="005963FF">
        <w:t>předpis</w:t>
      </w:r>
      <w:r>
        <w:t xml:space="preserve"> </w:t>
      </w:r>
      <w:r w:rsidRPr="005963FF">
        <w:t>veřejné</w:t>
      </w:r>
      <w:r>
        <w:t xml:space="preserve"> </w:t>
      </w:r>
      <w:r w:rsidRPr="005963FF">
        <w:t>vysoké</w:t>
      </w:r>
      <w:r>
        <w:t xml:space="preserve"> </w:t>
      </w:r>
      <w:r w:rsidRPr="005963FF">
        <w:t>školy;</w:t>
      </w:r>
      <w:r>
        <w:t xml:space="preserve"> </w:t>
      </w:r>
      <w:r w:rsidRPr="005963FF">
        <w:t>veřejná</w:t>
      </w:r>
      <w:r>
        <w:t xml:space="preserve"> </w:t>
      </w:r>
      <w:r w:rsidRPr="005963FF">
        <w:t>vysoká</w:t>
      </w:r>
      <w:r>
        <w:t xml:space="preserve"> </w:t>
      </w:r>
      <w:r w:rsidRPr="005963FF">
        <w:t>škola</w:t>
      </w:r>
      <w:r>
        <w:t xml:space="preserve"> </w:t>
      </w:r>
      <w:r w:rsidRPr="005963FF">
        <w:t>je</w:t>
      </w:r>
      <w:r>
        <w:t xml:space="preserve"> </w:t>
      </w:r>
      <w:r w:rsidRPr="005963FF">
        <w:t>povinna</w:t>
      </w:r>
      <w:r>
        <w:t xml:space="preserve"> </w:t>
      </w:r>
      <w:r w:rsidRPr="005963FF">
        <w:t>zajistit,</w:t>
      </w:r>
      <w:r>
        <w:t xml:space="preserve"> </w:t>
      </w:r>
      <w:r w:rsidRPr="005963FF">
        <w:t>aby</w:t>
      </w:r>
      <w:r>
        <w:t xml:space="preserve"> </w:t>
      </w:r>
      <w:r w:rsidRPr="005963FF">
        <w:t>prostředky</w:t>
      </w:r>
      <w:r>
        <w:t xml:space="preserve"> </w:t>
      </w:r>
      <w:r w:rsidRPr="005963FF">
        <w:t>fondů</w:t>
      </w:r>
      <w:r>
        <w:t xml:space="preserve"> </w:t>
      </w:r>
      <w:r w:rsidRPr="005963FF">
        <w:t>vytvořené</w:t>
      </w:r>
      <w:r>
        <w:t xml:space="preserve"> </w:t>
      </w:r>
      <w:r w:rsidRPr="005963FF">
        <w:t>převodem</w:t>
      </w:r>
      <w:r>
        <w:t xml:space="preserve"> </w:t>
      </w:r>
      <w:r w:rsidRPr="005963FF">
        <w:t>zůstatku</w:t>
      </w:r>
      <w:r>
        <w:t xml:space="preserve"> </w:t>
      </w:r>
      <w:r w:rsidRPr="005963FF">
        <w:t>příspěvku</w:t>
      </w:r>
      <w:r>
        <w:t xml:space="preserve"> </w:t>
      </w:r>
      <w:r w:rsidRPr="005963FF">
        <w:t>podle</w:t>
      </w:r>
      <w:r>
        <w:t xml:space="preserve"> </w:t>
      </w:r>
      <w:r w:rsidRPr="005963FF">
        <w:t>věty</w:t>
      </w:r>
      <w:r>
        <w:t xml:space="preserve"> </w:t>
      </w:r>
      <w:r w:rsidRPr="005963FF">
        <w:t>první</w:t>
      </w:r>
      <w:r>
        <w:t xml:space="preserve"> </w:t>
      </w:r>
      <w:r w:rsidRPr="005963FF">
        <w:t>použila</w:t>
      </w:r>
      <w:r>
        <w:t xml:space="preserve"> </w:t>
      </w:r>
      <w:r w:rsidRPr="005963FF">
        <w:t>v</w:t>
      </w:r>
      <w:r>
        <w:t xml:space="preserve"> </w:t>
      </w:r>
      <w:r w:rsidRPr="005963FF">
        <w:t>souladu</w:t>
      </w:r>
      <w:r>
        <w:t xml:space="preserve"> </w:t>
      </w:r>
      <w:r w:rsidRPr="005963FF">
        <w:t>s</w:t>
      </w:r>
      <w:r>
        <w:t xml:space="preserve"> </w:t>
      </w:r>
      <w:r w:rsidRPr="005963FF">
        <w:t>pravidly</w:t>
      </w:r>
      <w:r>
        <w:t xml:space="preserve"> </w:t>
      </w:r>
      <w:r w:rsidRPr="005963FF">
        <w:t>Evropské</w:t>
      </w:r>
      <w:r>
        <w:t xml:space="preserve"> </w:t>
      </w:r>
      <w:r w:rsidRPr="005963FF">
        <w:t>unie</w:t>
      </w:r>
      <w:r>
        <w:t xml:space="preserve"> </w:t>
      </w:r>
      <w:r w:rsidRPr="005963FF">
        <w:t>pro</w:t>
      </w:r>
      <w:r>
        <w:t xml:space="preserve"> </w:t>
      </w:r>
      <w:r w:rsidRPr="005963FF">
        <w:t>poskytování</w:t>
      </w:r>
      <w:r>
        <w:t xml:space="preserve"> </w:t>
      </w:r>
      <w:r w:rsidRPr="005963FF">
        <w:t>veřejné</w:t>
      </w:r>
      <w:r>
        <w:t xml:space="preserve"> </w:t>
      </w:r>
      <w:r w:rsidRPr="005963FF">
        <w:t>podpory</w:t>
      </w:r>
      <w:r>
        <w:t xml:space="preserve"> </w:t>
      </w:r>
      <w:r w:rsidRPr="005963FF">
        <w:t>tak,</w:t>
      </w:r>
      <w:r>
        <w:t xml:space="preserve"> </w:t>
      </w:r>
      <w:r w:rsidRPr="005963FF">
        <w:t>aby</w:t>
      </w:r>
      <w:r>
        <w:t xml:space="preserve"> </w:t>
      </w:r>
      <w:r w:rsidRPr="005963FF">
        <w:t>nedošlo</w:t>
      </w:r>
      <w:r>
        <w:t xml:space="preserve"> </w:t>
      </w:r>
      <w:r w:rsidRPr="005963FF">
        <w:t>k</w:t>
      </w:r>
      <w:r>
        <w:t xml:space="preserve"> </w:t>
      </w:r>
      <w:r w:rsidRPr="005963FF">
        <w:t>narušení</w:t>
      </w:r>
      <w:r>
        <w:t xml:space="preserve"> </w:t>
      </w:r>
      <w:r w:rsidRPr="005963FF">
        <w:t>ani</w:t>
      </w:r>
      <w:r>
        <w:t xml:space="preserve"> </w:t>
      </w:r>
      <w:r w:rsidRPr="005963FF">
        <w:t>hrozbě</w:t>
      </w:r>
      <w:r>
        <w:t xml:space="preserve"> </w:t>
      </w:r>
      <w:r w:rsidRPr="005963FF">
        <w:t>narušení</w:t>
      </w:r>
      <w:r>
        <w:t xml:space="preserve"> </w:t>
      </w:r>
      <w:r w:rsidRPr="005963FF">
        <w:t>hospodářské</w:t>
      </w:r>
      <w:r>
        <w:t xml:space="preserve"> </w:t>
      </w:r>
      <w:r w:rsidRPr="005963FF">
        <w:t>soutěže.</w:t>
      </w:r>
    </w:p>
    <w:p w14:paraId="4A3EACD9" w14:textId="77777777" w:rsidR="00CB5381" w:rsidRDefault="00CB5381" w:rsidP="00566368">
      <w:pPr>
        <w:pStyle w:val="Textparagrafu"/>
        <w:tabs>
          <w:tab w:val="left" w:pos="392"/>
          <w:tab w:val="left" w:pos="840"/>
        </w:tabs>
        <w:spacing w:before="120" w:after="120"/>
      </w:pPr>
      <w:r w:rsidRPr="005963FF">
        <w:t>(8)</w:t>
      </w:r>
      <w:r>
        <w:t xml:space="preserve"> </w:t>
      </w:r>
      <w:r w:rsidRPr="005963FF">
        <w:t>Podmínky</w:t>
      </w:r>
      <w:r>
        <w:t xml:space="preserve"> </w:t>
      </w:r>
      <w:r w:rsidRPr="005963FF">
        <w:t>tvorby</w:t>
      </w:r>
      <w:r>
        <w:t xml:space="preserve"> </w:t>
      </w:r>
      <w:r w:rsidRPr="005963FF">
        <w:t>a</w:t>
      </w:r>
      <w:r>
        <w:t xml:space="preserve"> </w:t>
      </w:r>
      <w:r w:rsidRPr="005963FF">
        <w:t>užití</w:t>
      </w:r>
      <w:r>
        <w:t xml:space="preserve"> </w:t>
      </w:r>
      <w:r w:rsidRPr="005963FF">
        <w:t>fondů</w:t>
      </w:r>
      <w:r>
        <w:t xml:space="preserve"> </w:t>
      </w:r>
      <w:r w:rsidRPr="005963FF">
        <w:t>stanoví</w:t>
      </w:r>
      <w:r>
        <w:t xml:space="preserve"> </w:t>
      </w:r>
      <w:r w:rsidRPr="005963FF">
        <w:t>vnitřní</w:t>
      </w:r>
      <w:r>
        <w:t xml:space="preserve"> </w:t>
      </w:r>
      <w:r w:rsidRPr="005963FF">
        <w:t>předpis</w:t>
      </w:r>
      <w:r>
        <w:t xml:space="preserve"> </w:t>
      </w:r>
      <w:r w:rsidRPr="005963FF">
        <w:t>veřejné</w:t>
      </w:r>
      <w:r>
        <w:t xml:space="preserve"> </w:t>
      </w:r>
      <w:r w:rsidRPr="005963FF">
        <w:t>vysoké</w:t>
      </w:r>
      <w:r>
        <w:t xml:space="preserve"> </w:t>
      </w:r>
      <w:r w:rsidRPr="005963FF">
        <w:t>školy</w:t>
      </w:r>
      <w:r>
        <w:t xml:space="preserve"> </w:t>
      </w:r>
      <w:r w:rsidRPr="005963FF">
        <w:t>tak,</w:t>
      </w:r>
      <w:r>
        <w:t xml:space="preserve"> </w:t>
      </w:r>
      <w:r w:rsidRPr="005963FF">
        <w:t>aby</w:t>
      </w:r>
      <w:r>
        <w:t xml:space="preserve"> </w:t>
      </w:r>
      <w:r w:rsidRPr="005963FF">
        <w:t>prostředky</w:t>
      </w:r>
      <w:r>
        <w:t xml:space="preserve"> </w:t>
      </w:r>
      <w:r w:rsidRPr="005963FF">
        <w:t>získané</w:t>
      </w:r>
      <w:r>
        <w:t xml:space="preserve"> </w:t>
      </w:r>
      <w:r w:rsidRPr="005963FF">
        <w:t>ze</w:t>
      </w:r>
      <w:r>
        <w:t xml:space="preserve"> </w:t>
      </w:r>
      <w:r w:rsidRPr="005963FF">
        <w:t>zisku</w:t>
      </w:r>
      <w:r>
        <w:t xml:space="preserve"> </w:t>
      </w:r>
      <w:r w:rsidRPr="005963FF">
        <w:t>pocházejícího</w:t>
      </w:r>
      <w:r>
        <w:t xml:space="preserve"> </w:t>
      </w:r>
      <w:r w:rsidRPr="005963FF">
        <w:t>z</w:t>
      </w:r>
      <w:r>
        <w:t xml:space="preserve"> </w:t>
      </w:r>
      <w:r w:rsidRPr="005963FF">
        <w:t>provádění</w:t>
      </w:r>
      <w:r>
        <w:t xml:space="preserve"> </w:t>
      </w:r>
      <w:r w:rsidRPr="005963FF">
        <w:t>základního</w:t>
      </w:r>
      <w:r>
        <w:t xml:space="preserve"> </w:t>
      </w:r>
      <w:r w:rsidRPr="005963FF">
        <w:t>výzkumu,</w:t>
      </w:r>
      <w:r>
        <w:t xml:space="preserve"> </w:t>
      </w:r>
      <w:r w:rsidRPr="005963FF">
        <w:t>aplikovaného</w:t>
      </w:r>
      <w:r>
        <w:t xml:space="preserve"> </w:t>
      </w:r>
      <w:r w:rsidRPr="005963FF">
        <w:t>výzkumu</w:t>
      </w:r>
      <w:r>
        <w:t xml:space="preserve"> </w:t>
      </w:r>
      <w:r w:rsidRPr="005963FF">
        <w:t>nebo</w:t>
      </w:r>
      <w:r>
        <w:t xml:space="preserve"> </w:t>
      </w:r>
      <w:r w:rsidRPr="005963FF">
        <w:t>experimentálního</w:t>
      </w:r>
      <w:r>
        <w:t xml:space="preserve"> </w:t>
      </w:r>
      <w:r w:rsidRPr="005963FF">
        <w:t>vývoje</w:t>
      </w:r>
      <w:r>
        <w:t xml:space="preserve"> </w:t>
      </w:r>
      <w:r w:rsidRPr="005963FF">
        <w:t>a</w:t>
      </w:r>
      <w:r>
        <w:t xml:space="preserve"> </w:t>
      </w:r>
      <w:r w:rsidRPr="005963FF">
        <w:t>šíření</w:t>
      </w:r>
      <w:r>
        <w:t xml:space="preserve"> </w:t>
      </w:r>
      <w:r w:rsidRPr="005963FF">
        <w:t>jejich</w:t>
      </w:r>
      <w:r>
        <w:t xml:space="preserve"> </w:t>
      </w:r>
      <w:r w:rsidRPr="005963FF">
        <w:t>výsledků</w:t>
      </w:r>
      <w:r>
        <w:t xml:space="preserve"> </w:t>
      </w:r>
      <w:r w:rsidRPr="005963FF">
        <w:t>prostřednictvím</w:t>
      </w:r>
      <w:r>
        <w:t xml:space="preserve"> </w:t>
      </w:r>
      <w:r w:rsidRPr="005963FF">
        <w:t>výuky,</w:t>
      </w:r>
      <w:r>
        <w:t xml:space="preserve"> </w:t>
      </w:r>
      <w:r w:rsidRPr="005963FF">
        <w:lastRenderedPageBreak/>
        <w:t>publikování</w:t>
      </w:r>
      <w:r>
        <w:t xml:space="preserve"> </w:t>
      </w:r>
      <w:r w:rsidRPr="005963FF">
        <w:t>nebo</w:t>
      </w:r>
      <w:r>
        <w:t xml:space="preserve"> </w:t>
      </w:r>
      <w:r w:rsidRPr="005963FF">
        <w:t>převodem</w:t>
      </w:r>
      <w:r>
        <w:t xml:space="preserve"> </w:t>
      </w:r>
      <w:r w:rsidRPr="005963FF">
        <w:t>technologií,</w:t>
      </w:r>
      <w:r>
        <w:t xml:space="preserve"> </w:t>
      </w:r>
      <w:r w:rsidRPr="005963FF">
        <w:t>které</w:t>
      </w:r>
      <w:r>
        <w:t xml:space="preserve"> </w:t>
      </w:r>
      <w:r w:rsidRPr="005963FF">
        <w:t>byly</w:t>
      </w:r>
      <w:r>
        <w:t xml:space="preserve"> </w:t>
      </w:r>
      <w:r w:rsidRPr="005963FF">
        <w:t>podpořeny</w:t>
      </w:r>
      <w:r>
        <w:t xml:space="preserve"> </w:t>
      </w:r>
      <w:r w:rsidRPr="005963FF">
        <w:t>z</w:t>
      </w:r>
      <w:r>
        <w:t xml:space="preserve"> </w:t>
      </w:r>
      <w:r w:rsidRPr="005963FF">
        <w:t>veřejných</w:t>
      </w:r>
      <w:r>
        <w:t xml:space="preserve"> </w:t>
      </w:r>
      <w:r w:rsidRPr="005963FF">
        <w:t>prostředků,</w:t>
      </w:r>
      <w:r>
        <w:t xml:space="preserve"> </w:t>
      </w:r>
      <w:r w:rsidRPr="005963FF">
        <w:t>byly</w:t>
      </w:r>
      <w:r>
        <w:t xml:space="preserve"> </w:t>
      </w:r>
      <w:r w:rsidRPr="005963FF">
        <w:t>využity</w:t>
      </w:r>
      <w:r>
        <w:t xml:space="preserve"> </w:t>
      </w:r>
      <w:r w:rsidRPr="005963FF">
        <w:t>zpětně</w:t>
      </w:r>
      <w:r>
        <w:t xml:space="preserve"> </w:t>
      </w:r>
      <w:r w:rsidRPr="005963FF">
        <w:t>pouze</w:t>
      </w:r>
      <w:r>
        <w:t xml:space="preserve"> </w:t>
      </w:r>
      <w:r w:rsidRPr="005963FF">
        <w:t>na</w:t>
      </w:r>
      <w:r>
        <w:t xml:space="preserve"> </w:t>
      </w:r>
      <w:r w:rsidRPr="005963FF">
        <w:t>tyto</w:t>
      </w:r>
      <w:r>
        <w:t xml:space="preserve"> </w:t>
      </w:r>
      <w:r w:rsidRPr="005963FF">
        <w:t>činnosti,</w:t>
      </w:r>
      <w:r>
        <w:t xml:space="preserve"> </w:t>
      </w:r>
      <w:r w:rsidRPr="005963FF">
        <w:t>nebo</w:t>
      </w:r>
      <w:r>
        <w:t xml:space="preserve"> </w:t>
      </w:r>
      <w:r w:rsidRPr="005963FF">
        <w:t>na</w:t>
      </w:r>
      <w:r>
        <w:t xml:space="preserve"> </w:t>
      </w:r>
      <w:r w:rsidRPr="005963FF">
        <w:t>šíření</w:t>
      </w:r>
      <w:r>
        <w:t xml:space="preserve"> </w:t>
      </w:r>
      <w:r w:rsidRPr="005963FF">
        <w:t>jejich</w:t>
      </w:r>
      <w:r>
        <w:t xml:space="preserve"> </w:t>
      </w:r>
      <w:r w:rsidRPr="005963FF">
        <w:t>výsledků</w:t>
      </w:r>
      <w:r>
        <w:t xml:space="preserve"> </w:t>
      </w:r>
      <w:r w:rsidRPr="005963FF">
        <w:t>nebo</w:t>
      </w:r>
      <w:r>
        <w:t xml:space="preserve"> </w:t>
      </w:r>
      <w:r w:rsidRPr="005963FF">
        <w:t>na</w:t>
      </w:r>
      <w:r>
        <w:t xml:space="preserve"> </w:t>
      </w:r>
      <w:r w:rsidRPr="005963FF">
        <w:t>výuku.</w:t>
      </w:r>
    </w:p>
    <w:p w14:paraId="6179E71C" w14:textId="77777777" w:rsidR="00CB5381" w:rsidRDefault="00CB5381" w:rsidP="00566368">
      <w:pPr>
        <w:pStyle w:val="Textparagrafu"/>
        <w:tabs>
          <w:tab w:val="left" w:pos="392"/>
          <w:tab w:val="left" w:pos="840"/>
        </w:tabs>
        <w:spacing w:before="120" w:after="120"/>
      </w:pPr>
      <w:r w:rsidRPr="005963FF">
        <w:t>(9)</w:t>
      </w:r>
      <w:r>
        <w:t xml:space="preserve"> </w:t>
      </w:r>
      <w:r w:rsidRPr="005963FF">
        <w:t>Fond</w:t>
      </w:r>
      <w:r>
        <w:t xml:space="preserve"> </w:t>
      </w:r>
      <w:r w:rsidRPr="005963FF">
        <w:t>účelově</w:t>
      </w:r>
      <w:r>
        <w:t xml:space="preserve"> </w:t>
      </w:r>
      <w:r w:rsidRPr="005963FF">
        <w:t>určených</w:t>
      </w:r>
      <w:r>
        <w:t xml:space="preserve"> </w:t>
      </w:r>
      <w:r w:rsidRPr="005963FF">
        <w:t>prostředků</w:t>
      </w:r>
      <w:r>
        <w:t xml:space="preserve"> </w:t>
      </w:r>
      <w:r w:rsidRPr="005963FF">
        <w:t>vytváří</w:t>
      </w:r>
      <w:r>
        <w:t xml:space="preserve"> </w:t>
      </w:r>
      <w:r w:rsidRPr="005963FF">
        <w:t>veřejná</w:t>
      </w:r>
      <w:r>
        <w:t xml:space="preserve"> </w:t>
      </w:r>
      <w:r w:rsidRPr="005963FF">
        <w:t>vysoká</w:t>
      </w:r>
      <w:r>
        <w:t xml:space="preserve"> </w:t>
      </w:r>
      <w:r w:rsidRPr="005963FF">
        <w:t>škola</w:t>
      </w:r>
      <w:r>
        <w:t xml:space="preserve"> </w:t>
      </w:r>
      <w:r w:rsidRPr="005963FF">
        <w:t>z:</w:t>
      </w:r>
    </w:p>
    <w:p w14:paraId="1CA3F4B1" w14:textId="23FC24BC" w:rsidR="00CB5381" w:rsidRDefault="00CB5381" w:rsidP="00393B51">
      <w:pPr>
        <w:pStyle w:val="Textparagrafu"/>
        <w:tabs>
          <w:tab w:val="left" w:pos="392"/>
          <w:tab w:val="left" w:pos="840"/>
        </w:tabs>
        <w:spacing w:before="0"/>
        <w:ind w:left="426" w:hanging="426"/>
      </w:pPr>
      <w:r w:rsidRPr="005963FF">
        <w:t>a)</w:t>
      </w:r>
      <w:r w:rsidR="000A6E57">
        <w:tab/>
      </w:r>
      <w:r w:rsidRPr="005963FF">
        <w:t>účelově</w:t>
      </w:r>
      <w:r>
        <w:t xml:space="preserve"> </w:t>
      </w:r>
      <w:r w:rsidRPr="005963FF">
        <w:t>určených</w:t>
      </w:r>
      <w:r>
        <w:t xml:space="preserve"> </w:t>
      </w:r>
      <w:r w:rsidRPr="005963FF">
        <w:t>darů,</w:t>
      </w:r>
      <w:r>
        <w:t xml:space="preserve"> </w:t>
      </w:r>
      <w:r w:rsidRPr="005963FF">
        <w:t>s</w:t>
      </w:r>
      <w:r>
        <w:t xml:space="preserve"> </w:t>
      </w:r>
      <w:r w:rsidRPr="005963FF">
        <w:t>výjimkou</w:t>
      </w:r>
      <w:r>
        <w:t xml:space="preserve"> </w:t>
      </w:r>
      <w:r w:rsidRPr="005963FF">
        <w:t>darů</w:t>
      </w:r>
      <w:r>
        <w:t xml:space="preserve"> </w:t>
      </w:r>
      <w:r w:rsidRPr="005963FF">
        <w:t>určených</w:t>
      </w:r>
      <w:r>
        <w:t xml:space="preserve"> </w:t>
      </w:r>
      <w:r w:rsidRPr="005963FF">
        <w:t>na</w:t>
      </w:r>
      <w:r>
        <w:t xml:space="preserve"> </w:t>
      </w:r>
      <w:r w:rsidRPr="005963FF">
        <w:t>pořízení</w:t>
      </w:r>
      <w:r>
        <w:t xml:space="preserve"> </w:t>
      </w:r>
      <w:r w:rsidRPr="00D10DE3">
        <w:rPr>
          <w:strike/>
        </w:rPr>
        <w:t>a technické zhodnocení dlouhodobého majetku</w:t>
      </w:r>
      <w:r w:rsidR="00D10DE3" w:rsidRPr="00D10DE3">
        <w:rPr>
          <w:b/>
          <w:szCs w:val="24"/>
        </w:rPr>
        <w:t xml:space="preserve"> </w:t>
      </w:r>
      <w:r w:rsidR="00D10DE3" w:rsidRPr="00D20E3A">
        <w:rPr>
          <w:b/>
          <w:szCs w:val="24"/>
        </w:rPr>
        <w:t xml:space="preserve">stálých aktiv nebo na pokrytí následných pořizovacích </w:t>
      </w:r>
      <w:r w:rsidR="00D10DE3">
        <w:rPr>
          <w:b/>
          <w:szCs w:val="24"/>
        </w:rPr>
        <w:t>výdaj</w:t>
      </w:r>
      <w:r w:rsidR="00D10DE3" w:rsidRPr="00D20E3A">
        <w:rPr>
          <w:b/>
          <w:szCs w:val="24"/>
        </w:rPr>
        <w:t>ů stálých aktiv</w:t>
      </w:r>
      <w:r w:rsidRPr="005963FF">
        <w:t>,</w:t>
      </w:r>
    </w:p>
    <w:p w14:paraId="58EEE3C5" w14:textId="2D95D129" w:rsidR="00CB5381" w:rsidRDefault="00CB5381" w:rsidP="00393B51">
      <w:pPr>
        <w:pStyle w:val="Textparagrafu"/>
        <w:tabs>
          <w:tab w:val="left" w:pos="392"/>
          <w:tab w:val="left" w:pos="840"/>
        </w:tabs>
        <w:spacing w:before="0"/>
        <w:ind w:left="426" w:hanging="426"/>
      </w:pPr>
      <w:r w:rsidRPr="005963FF">
        <w:t>b)</w:t>
      </w:r>
      <w:r w:rsidR="000A6E57">
        <w:tab/>
      </w:r>
      <w:r w:rsidRPr="005963FF">
        <w:t>účelově</w:t>
      </w:r>
      <w:r>
        <w:t xml:space="preserve"> </w:t>
      </w:r>
      <w:r w:rsidRPr="005963FF">
        <w:t>určených</w:t>
      </w:r>
      <w:r>
        <w:t xml:space="preserve"> </w:t>
      </w:r>
      <w:r w:rsidRPr="005963FF">
        <w:t>peněžních</w:t>
      </w:r>
      <w:r>
        <w:t xml:space="preserve"> </w:t>
      </w:r>
      <w:r w:rsidRPr="005963FF">
        <w:t>prostředků</w:t>
      </w:r>
      <w:r>
        <w:t xml:space="preserve"> </w:t>
      </w:r>
      <w:r w:rsidRPr="005963FF">
        <w:t>ze</w:t>
      </w:r>
      <w:r>
        <w:t xml:space="preserve"> </w:t>
      </w:r>
      <w:r w:rsidRPr="005963FF">
        <w:t>zahraničí,</w:t>
      </w:r>
    </w:p>
    <w:p w14:paraId="5FA4E29E" w14:textId="2FFFD716" w:rsidR="00CB5381" w:rsidRDefault="00CB5381" w:rsidP="00393B51">
      <w:pPr>
        <w:pStyle w:val="Textparagrafu"/>
        <w:tabs>
          <w:tab w:val="left" w:pos="392"/>
          <w:tab w:val="left" w:pos="840"/>
        </w:tabs>
        <w:spacing w:before="0"/>
        <w:ind w:left="426" w:hanging="426"/>
      </w:pPr>
      <w:r w:rsidRPr="005963FF">
        <w:t>c)</w:t>
      </w:r>
      <w:r w:rsidR="000A6E57">
        <w:tab/>
      </w:r>
      <w:r w:rsidRPr="005963FF">
        <w:t>účelově</w:t>
      </w:r>
      <w:r>
        <w:t xml:space="preserve"> </w:t>
      </w:r>
      <w:r w:rsidRPr="005963FF">
        <w:t>určených</w:t>
      </w:r>
      <w:r>
        <w:t xml:space="preserve"> </w:t>
      </w:r>
      <w:r w:rsidRPr="005963FF">
        <w:t>veřejných</w:t>
      </w:r>
      <w:r>
        <w:t xml:space="preserve"> </w:t>
      </w:r>
      <w:r w:rsidRPr="005963FF">
        <w:t>prostředků,</w:t>
      </w:r>
      <w:r>
        <w:t xml:space="preserve"> </w:t>
      </w:r>
      <w:r w:rsidRPr="005963FF">
        <w:t>včetně</w:t>
      </w:r>
      <w:r>
        <w:t xml:space="preserve"> </w:t>
      </w:r>
      <w:r w:rsidRPr="005963FF">
        <w:t>prostředků</w:t>
      </w:r>
      <w:r>
        <w:t xml:space="preserve"> </w:t>
      </w:r>
      <w:r w:rsidRPr="005963FF">
        <w:t>účelové</w:t>
      </w:r>
      <w:r>
        <w:t xml:space="preserve"> </w:t>
      </w:r>
      <w:r w:rsidRPr="005963FF">
        <w:t>a</w:t>
      </w:r>
      <w:r>
        <w:t xml:space="preserve"> </w:t>
      </w:r>
      <w:r w:rsidRPr="005963FF">
        <w:t>institucionální</w:t>
      </w:r>
      <w:r>
        <w:t xml:space="preserve"> </w:t>
      </w:r>
      <w:r w:rsidRPr="005963FF">
        <w:t>podpory</w:t>
      </w:r>
      <w:r>
        <w:t xml:space="preserve"> </w:t>
      </w:r>
      <w:r w:rsidRPr="005963FF">
        <w:t>výzkumu,</w:t>
      </w:r>
      <w:r>
        <w:t xml:space="preserve"> </w:t>
      </w:r>
      <w:r w:rsidRPr="005963FF">
        <w:t>experimentálního</w:t>
      </w:r>
      <w:r>
        <w:t xml:space="preserve"> </w:t>
      </w:r>
      <w:r w:rsidRPr="005963FF">
        <w:t>vývoje</w:t>
      </w:r>
      <w:r>
        <w:t xml:space="preserve"> </w:t>
      </w:r>
      <w:r w:rsidRPr="005963FF">
        <w:t>a</w:t>
      </w:r>
      <w:r>
        <w:t xml:space="preserve"> </w:t>
      </w:r>
      <w:r w:rsidRPr="005963FF">
        <w:t>inovací</w:t>
      </w:r>
      <w:r>
        <w:t xml:space="preserve"> </w:t>
      </w:r>
      <w:r w:rsidRPr="005963FF">
        <w:t>z</w:t>
      </w:r>
      <w:r>
        <w:t xml:space="preserve"> </w:t>
      </w:r>
      <w:r w:rsidRPr="005963FF">
        <w:t>veřejných</w:t>
      </w:r>
      <w:r>
        <w:t xml:space="preserve"> </w:t>
      </w:r>
      <w:r w:rsidRPr="005963FF">
        <w:t>prostředků,</w:t>
      </w:r>
      <w:r>
        <w:t xml:space="preserve"> </w:t>
      </w:r>
      <w:r w:rsidRPr="005963FF">
        <w:t>které</w:t>
      </w:r>
      <w:r>
        <w:t xml:space="preserve"> </w:t>
      </w:r>
      <w:r w:rsidRPr="005963FF">
        <w:t>nemohly</w:t>
      </w:r>
      <w:r>
        <w:t xml:space="preserve"> </w:t>
      </w:r>
      <w:r w:rsidRPr="005963FF">
        <w:t>být</w:t>
      </w:r>
      <w:r>
        <w:t xml:space="preserve"> </w:t>
      </w:r>
      <w:r w:rsidRPr="005963FF">
        <w:t>veřejnou</w:t>
      </w:r>
      <w:r>
        <w:t xml:space="preserve"> </w:t>
      </w:r>
      <w:r w:rsidRPr="005963FF">
        <w:t>vysokou</w:t>
      </w:r>
      <w:r>
        <w:t xml:space="preserve"> </w:t>
      </w:r>
      <w:r w:rsidRPr="005963FF">
        <w:t>školou</w:t>
      </w:r>
      <w:r>
        <w:t xml:space="preserve"> </w:t>
      </w:r>
      <w:r w:rsidRPr="005963FF">
        <w:t>použity</w:t>
      </w:r>
      <w:r>
        <w:t xml:space="preserve"> </w:t>
      </w:r>
      <w:r w:rsidRPr="005963FF">
        <w:t>v</w:t>
      </w:r>
      <w:r>
        <w:t xml:space="preserve"> </w:t>
      </w:r>
      <w:r w:rsidRPr="005963FF">
        <w:t>rozpočtovém</w:t>
      </w:r>
      <w:r>
        <w:t xml:space="preserve"> </w:t>
      </w:r>
      <w:r w:rsidRPr="005963FF">
        <w:t>roce,</w:t>
      </w:r>
      <w:r>
        <w:t xml:space="preserve"> </w:t>
      </w:r>
      <w:r w:rsidRPr="005963FF">
        <w:t>ve</w:t>
      </w:r>
      <w:r>
        <w:t xml:space="preserve"> </w:t>
      </w:r>
      <w:r w:rsidRPr="005963FF">
        <w:t>kterém</w:t>
      </w:r>
      <w:r>
        <w:t xml:space="preserve"> </w:t>
      </w:r>
      <w:r w:rsidRPr="005963FF">
        <w:t>jí</w:t>
      </w:r>
      <w:r>
        <w:t xml:space="preserve"> </w:t>
      </w:r>
      <w:r w:rsidRPr="005963FF">
        <w:t>byly</w:t>
      </w:r>
      <w:r>
        <w:t xml:space="preserve"> </w:t>
      </w:r>
      <w:r w:rsidRPr="005963FF">
        <w:t>poskytnuty.</w:t>
      </w:r>
    </w:p>
    <w:p w14:paraId="5396B05F" w14:textId="77777777" w:rsidR="00CB5381" w:rsidRDefault="00CB5381" w:rsidP="00566368">
      <w:pPr>
        <w:pStyle w:val="Textparagrafu"/>
        <w:tabs>
          <w:tab w:val="left" w:pos="392"/>
          <w:tab w:val="left" w:pos="840"/>
        </w:tabs>
        <w:spacing w:before="120" w:after="120"/>
      </w:pPr>
      <w:r w:rsidRPr="005963FF">
        <w:t>(10)</w:t>
      </w:r>
      <w:r>
        <w:t xml:space="preserve"> </w:t>
      </w:r>
      <w:r w:rsidRPr="005963FF">
        <w:t>Účelově</w:t>
      </w:r>
      <w:r>
        <w:t xml:space="preserve"> </w:t>
      </w:r>
      <w:r w:rsidRPr="005963FF">
        <w:t>určené</w:t>
      </w:r>
      <w:r>
        <w:t xml:space="preserve"> </w:t>
      </w:r>
      <w:r w:rsidRPr="005963FF">
        <w:t>prostředky</w:t>
      </w:r>
      <w:r>
        <w:t xml:space="preserve"> </w:t>
      </w:r>
      <w:r w:rsidRPr="005963FF">
        <w:t>podle</w:t>
      </w:r>
      <w:r>
        <w:t xml:space="preserve"> </w:t>
      </w:r>
      <w:r w:rsidRPr="005963FF">
        <w:t>odstavce</w:t>
      </w:r>
      <w:r>
        <w:t xml:space="preserve"> </w:t>
      </w:r>
      <w:r w:rsidRPr="005963FF">
        <w:t>9</w:t>
      </w:r>
      <w:r>
        <w:t xml:space="preserve"> </w:t>
      </w:r>
      <w:r w:rsidRPr="005963FF">
        <w:t>písm.</w:t>
      </w:r>
      <w:r>
        <w:t xml:space="preserve"> </w:t>
      </w:r>
      <w:r w:rsidRPr="005963FF">
        <w:t>c)</w:t>
      </w:r>
      <w:r>
        <w:t xml:space="preserve"> </w:t>
      </w:r>
      <w:r w:rsidRPr="005963FF">
        <w:t>může</w:t>
      </w:r>
      <w:r>
        <w:t xml:space="preserve"> </w:t>
      </w:r>
      <w:r w:rsidRPr="005963FF">
        <w:t>veřejná</w:t>
      </w:r>
      <w:r>
        <w:t xml:space="preserve"> </w:t>
      </w:r>
      <w:r w:rsidRPr="005963FF">
        <w:t>vysoká</w:t>
      </w:r>
      <w:r>
        <w:t xml:space="preserve"> </w:t>
      </w:r>
      <w:r w:rsidRPr="005963FF">
        <w:t>škola</w:t>
      </w:r>
      <w:r>
        <w:t xml:space="preserve"> </w:t>
      </w:r>
      <w:r w:rsidRPr="005963FF">
        <w:t>převést</w:t>
      </w:r>
      <w:r>
        <w:t xml:space="preserve"> </w:t>
      </w:r>
      <w:r w:rsidRPr="005963FF">
        <w:t>do</w:t>
      </w:r>
      <w:r>
        <w:t xml:space="preserve"> </w:t>
      </w:r>
      <w:r w:rsidRPr="005963FF">
        <w:t>fondu</w:t>
      </w:r>
      <w:r>
        <w:t xml:space="preserve"> </w:t>
      </w:r>
      <w:r w:rsidRPr="005963FF">
        <w:t>účelově</w:t>
      </w:r>
      <w:r>
        <w:t xml:space="preserve"> </w:t>
      </w:r>
      <w:r w:rsidRPr="005963FF">
        <w:t>určených</w:t>
      </w:r>
      <w:r>
        <w:t xml:space="preserve"> </w:t>
      </w:r>
      <w:r w:rsidRPr="005963FF">
        <w:t>prostředků</w:t>
      </w:r>
      <w:r>
        <w:t xml:space="preserve"> </w:t>
      </w:r>
      <w:r w:rsidRPr="005963FF">
        <w:t>do</w:t>
      </w:r>
      <w:r>
        <w:t xml:space="preserve"> </w:t>
      </w:r>
      <w:r w:rsidRPr="005963FF">
        <w:t>výše</w:t>
      </w:r>
      <w:r>
        <w:t xml:space="preserve"> </w:t>
      </w:r>
      <w:r w:rsidRPr="005963FF">
        <w:t>5</w:t>
      </w:r>
      <w:r>
        <w:t xml:space="preserve"> </w:t>
      </w:r>
      <w:r w:rsidRPr="005963FF">
        <w:t>%</w:t>
      </w:r>
      <w:r>
        <w:t xml:space="preserve"> </w:t>
      </w:r>
      <w:r w:rsidRPr="005963FF">
        <w:t>objemu</w:t>
      </w:r>
      <w:r>
        <w:t xml:space="preserve"> </w:t>
      </w:r>
      <w:r w:rsidRPr="005963FF">
        <w:t>účelově</w:t>
      </w:r>
      <w:r>
        <w:t xml:space="preserve"> </w:t>
      </w:r>
      <w:r w:rsidRPr="005963FF">
        <w:t>určených</w:t>
      </w:r>
      <w:r>
        <w:t xml:space="preserve"> </w:t>
      </w:r>
      <w:r w:rsidRPr="005963FF">
        <w:t>veřejných</w:t>
      </w:r>
      <w:r>
        <w:t xml:space="preserve"> </w:t>
      </w:r>
      <w:r w:rsidRPr="005963FF">
        <w:t>prostředků</w:t>
      </w:r>
      <w:r>
        <w:t xml:space="preserve"> </w:t>
      </w:r>
      <w:r w:rsidRPr="005963FF">
        <w:t>poskytnutých</w:t>
      </w:r>
      <w:r>
        <w:t xml:space="preserve"> </w:t>
      </w:r>
      <w:r w:rsidRPr="005963FF">
        <w:t>veřejné</w:t>
      </w:r>
      <w:r>
        <w:t xml:space="preserve"> </w:t>
      </w:r>
      <w:r w:rsidRPr="005963FF">
        <w:t>vysoké</w:t>
      </w:r>
      <w:r>
        <w:t xml:space="preserve"> </w:t>
      </w:r>
      <w:r w:rsidRPr="005963FF">
        <w:t>škole</w:t>
      </w:r>
      <w:r>
        <w:t xml:space="preserve"> </w:t>
      </w:r>
      <w:r w:rsidRPr="005963FF">
        <w:t>na</w:t>
      </w:r>
      <w:r>
        <w:t xml:space="preserve"> </w:t>
      </w:r>
      <w:r w:rsidRPr="005963FF">
        <w:t>jednotlivé</w:t>
      </w:r>
      <w:r>
        <w:t xml:space="preserve"> </w:t>
      </w:r>
      <w:r w:rsidRPr="005963FF">
        <w:t>projekty</w:t>
      </w:r>
      <w:r>
        <w:t xml:space="preserve"> </w:t>
      </w:r>
      <w:r w:rsidRPr="005963FF">
        <w:t>výzkumu,</w:t>
      </w:r>
      <w:r>
        <w:t xml:space="preserve"> </w:t>
      </w:r>
      <w:r w:rsidRPr="005963FF">
        <w:t>experimentálního</w:t>
      </w:r>
      <w:r>
        <w:t xml:space="preserve"> </w:t>
      </w:r>
      <w:r w:rsidRPr="005963FF">
        <w:t>vývoje</w:t>
      </w:r>
      <w:r>
        <w:t xml:space="preserve"> </w:t>
      </w:r>
      <w:r w:rsidRPr="005963FF">
        <w:t>a</w:t>
      </w:r>
      <w:r>
        <w:t xml:space="preserve"> </w:t>
      </w:r>
      <w:r w:rsidRPr="005963FF">
        <w:t>inovací</w:t>
      </w:r>
      <w:r>
        <w:t xml:space="preserve"> </w:t>
      </w:r>
      <w:r w:rsidRPr="005963FF">
        <w:t>v</w:t>
      </w:r>
      <w:r>
        <w:t xml:space="preserve"> </w:t>
      </w:r>
      <w:r w:rsidRPr="005963FF">
        <w:t>daném</w:t>
      </w:r>
      <w:r>
        <w:t xml:space="preserve"> </w:t>
      </w:r>
      <w:r w:rsidRPr="005963FF">
        <w:t>kalendářním</w:t>
      </w:r>
      <w:r>
        <w:t xml:space="preserve"> </w:t>
      </w:r>
      <w:r w:rsidRPr="005963FF">
        <w:t>roce;</w:t>
      </w:r>
      <w:r>
        <w:t xml:space="preserve"> </w:t>
      </w:r>
      <w:r w:rsidRPr="005963FF">
        <w:t>v</w:t>
      </w:r>
      <w:r>
        <w:t xml:space="preserve"> </w:t>
      </w:r>
      <w:r w:rsidRPr="005963FF">
        <w:t>případě</w:t>
      </w:r>
      <w:r>
        <w:t xml:space="preserve"> </w:t>
      </w:r>
      <w:r w:rsidRPr="005963FF">
        <w:t>jiné</w:t>
      </w:r>
      <w:r>
        <w:t xml:space="preserve"> </w:t>
      </w:r>
      <w:r w:rsidRPr="005963FF">
        <w:t>podpory</w:t>
      </w:r>
      <w:r>
        <w:t xml:space="preserve"> </w:t>
      </w:r>
      <w:r w:rsidRPr="005963FF">
        <w:t>z</w:t>
      </w:r>
      <w:r>
        <w:t xml:space="preserve"> </w:t>
      </w:r>
      <w:r w:rsidRPr="005963FF">
        <w:t>veřejných</w:t>
      </w:r>
      <w:r>
        <w:t xml:space="preserve"> </w:t>
      </w:r>
      <w:r w:rsidRPr="005963FF">
        <w:t>prostředků</w:t>
      </w:r>
      <w:r>
        <w:t xml:space="preserve"> </w:t>
      </w:r>
      <w:r w:rsidRPr="005963FF">
        <w:t>do</w:t>
      </w:r>
      <w:r>
        <w:t xml:space="preserve"> </w:t>
      </w:r>
      <w:r w:rsidRPr="005963FF">
        <w:t>výše</w:t>
      </w:r>
      <w:r>
        <w:t xml:space="preserve"> </w:t>
      </w:r>
      <w:r w:rsidRPr="005963FF">
        <w:t>5</w:t>
      </w:r>
      <w:r>
        <w:t xml:space="preserve"> </w:t>
      </w:r>
      <w:r w:rsidRPr="005963FF">
        <w:t>%</w:t>
      </w:r>
      <w:r>
        <w:t xml:space="preserve"> </w:t>
      </w:r>
      <w:r w:rsidRPr="005963FF">
        <w:t>objemu</w:t>
      </w:r>
      <w:r>
        <w:t xml:space="preserve"> </w:t>
      </w:r>
      <w:r w:rsidRPr="005963FF">
        <w:t>této</w:t>
      </w:r>
      <w:r>
        <w:t xml:space="preserve"> </w:t>
      </w:r>
      <w:r w:rsidRPr="005963FF">
        <w:t>podpory</w:t>
      </w:r>
      <w:r>
        <w:t xml:space="preserve"> </w:t>
      </w:r>
      <w:r w:rsidRPr="005963FF">
        <w:t>poskytnuté</w:t>
      </w:r>
      <w:r>
        <w:t xml:space="preserve"> </w:t>
      </w:r>
      <w:r w:rsidRPr="005963FF">
        <w:t>veřejné</w:t>
      </w:r>
      <w:r>
        <w:t xml:space="preserve"> </w:t>
      </w:r>
      <w:r w:rsidRPr="005963FF">
        <w:t>vysoké</w:t>
      </w:r>
      <w:r>
        <w:t xml:space="preserve"> </w:t>
      </w:r>
      <w:r w:rsidRPr="005963FF">
        <w:t>škole</w:t>
      </w:r>
      <w:r>
        <w:t xml:space="preserve"> </w:t>
      </w:r>
      <w:r w:rsidRPr="005963FF">
        <w:t>v</w:t>
      </w:r>
      <w:r>
        <w:t xml:space="preserve"> </w:t>
      </w:r>
      <w:r w:rsidRPr="005963FF">
        <w:t>daném</w:t>
      </w:r>
      <w:r>
        <w:t xml:space="preserve"> </w:t>
      </w:r>
      <w:r w:rsidRPr="005963FF">
        <w:t>kalendářním</w:t>
      </w:r>
      <w:r>
        <w:t xml:space="preserve"> </w:t>
      </w:r>
      <w:r w:rsidRPr="005963FF">
        <w:t>roce,</w:t>
      </w:r>
      <w:r>
        <w:t xml:space="preserve"> </w:t>
      </w:r>
      <w:r w:rsidRPr="005963FF">
        <w:t>mimo</w:t>
      </w:r>
      <w:r>
        <w:t xml:space="preserve"> </w:t>
      </w:r>
      <w:r w:rsidRPr="005963FF">
        <w:t>dotace</w:t>
      </w:r>
      <w:r>
        <w:t xml:space="preserve"> </w:t>
      </w:r>
      <w:r w:rsidRPr="005963FF">
        <w:t>na</w:t>
      </w:r>
      <w:r>
        <w:t xml:space="preserve"> </w:t>
      </w:r>
      <w:r w:rsidRPr="005963FF">
        <w:t>rozvoj</w:t>
      </w:r>
      <w:r>
        <w:t xml:space="preserve"> </w:t>
      </w:r>
      <w:r w:rsidRPr="005963FF">
        <w:t>podle</w:t>
      </w:r>
      <w:r>
        <w:t xml:space="preserve"> </w:t>
      </w:r>
      <w:r w:rsidRPr="005963FF">
        <w:t>odstavce</w:t>
      </w:r>
      <w:r>
        <w:t xml:space="preserve"> </w:t>
      </w:r>
      <w:r w:rsidRPr="005963FF">
        <w:t>5</w:t>
      </w:r>
      <w:r>
        <w:t xml:space="preserve"> </w:t>
      </w:r>
      <w:r w:rsidRPr="005963FF">
        <w:t>věty</w:t>
      </w:r>
      <w:r>
        <w:t xml:space="preserve"> </w:t>
      </w:r>
      <w:r w:rsidRPr="005963FF">
        <w:t>první,</w:t>
      </w:r>
      <w:r>
        <w:t xml:space="preserve"> </w:t>
      </w:r>
      <w:r w:rsidRPr="005963FF">
        <w:t>kterou</w:t>
      </w:r>
      <w:r>
        <w:t xml:space="preserve"> </w:t>
      </w:r>
      <w:r w:rsidRPr="005963FF">
        <w:t>lze</w:t>
      </w:r>
      <w:r>
        <w:t xml:space="preserve"> </w:t>
      </w:r>
      <w:r w:rsidRPr="005963FF">
        <w:t>převést</w:t>
      </w:r>
      <w:r>
        <w:t xml:space="preserve"> </w:t>
      </w:r>
      <w:r w:rsidRPr="005963FF">
        <w:t>v</w:t>
      </w:r>
      <w:r>
        <w:t xml:space="preserve"> </w:t>
      </w:r>
      <w:r w:rsidRPr="005963FF">
        <w:t>neomezené</w:t>
      </w:r>
      <w:r>
        <w:t xml:space="preserve"> </w:t>
      </w:r>
      <w:r w:rsidRPr="005963FF">
        <w:t>výši.</w:t>
      </w:r>
      <w:r>
        <w:t xml:space="preserve"> </w:t>
      </w:r>
      <w:r w:rsidRPr="005963FF">
        <w:t>Převod</w:t>
      </w:r>
      <w:r>
        <w:t xml:space="preserve"> </w:t>
      </w:r>
      <w:r w:rsidRPr="005963FF">
        <w:t>účelově</w:t>
      </w:r>
      <w:r>
        <w:t xml:space="preserve"> </w:t>
      </w:r>
      <w:r w:rsidRPr="005963FF">
        <w:t>určených</w:t>
      </w:r>
      <w:r>
        <w:t xml:space="preserve"> </w:t>
      </w:r>
      <w:r w:rsidRPr="005963FF">
        <w:t>prostředků</w:t>
      </w:r>
      <w:r>
        <w:t xml:space="preserve"> </w:t>
      </w:r>
      <w:r w:rsidRPr="005963FF">
        <w:t>veřejná</w:t>
      </w:r>
      <w:r>
        <w:t xml:space="preserve"> </w:t>
      </w:r>
      <w:r w:rsidRPr="005963FF">
        <w:t>vysoká</w:t>
      </w:r>
      <w:r>
        <w:t xml:space="preserve"> </w:t>
      </w:r>
      <w:r w:rsidRPr="005963FF">
        <w:t>škola</w:t>
      </w:r>
      <w:r>
        <w:t xml:space="preserve"> </w:t>
      </w:r>
      <w:r w:rsidRPr="005963FF">
        <w:t>písemně</w:t>
      </w:r>
      <w:r>
        <w:t xml:space="preserve"> </w:t>
      </w:r>
      <w:r w:rsidRPr="005963FF">
        <w:t>oznámí</w:t>
      </w:r>
      <w:r>
        <w:t xml:space="preserve"> </w:t>
      </w:r>
      <w:r w:rsidRPr="005963FF">
        <w:t>jejich</w:t>
      </w:r>
      <w:r>
        <w:t xml:space="preserve"> </w:t>
      </w:r>
      <w:r w:rsidRPr="005963FF">
        <w:t>poskytovateli.</w:t>
      </w:r>
    </w:p>
    <w:p w14:paraId="56F918B5" w14:textId="77777777" w:rsidR="00CB5381" w:rsidRDefault="00CB5381" w:rsidP="00566368">
      <w:pPr>
        <w:pStyle w:val="Textparagrafu"/>
        <w:tabs>
          <w:tab w:val="left" w:pos="392"/>
          <w:tab w:val="left" w:pos="840"/>
        </w:tabs>
        <w:spacing w:before="120" w:after="120"/>
      </w:pPr>
      <w:r w:rsidRPr="005963FF">
        <w:t>(11)</w:t>
      </w:r>
      <w:r>
        <w:t xml:space="preserve"> </w:t>
      </w:r>
      <w:r w:rsidRPr="005963FF">
        <w:t>Prostředky</w:t>
      </w:r>
      <w:r>
        <w:t xml:space="preserve"> </w:t>
      </w:r>
      <w:r w:rsidRPr="005963FF">
        <w:t>fondu</w:t>
      </w:r>
      <w:r>
        <w:t xml:space="preserve"> </w:t>
      </w:r>
      <w:r w:rsidRPr="005963FF">
        <w:t>účelově</w:t>
      </w:r>
      <w:r>
        <w:t xml:space="preserve"> </w:t>
      </w:r>
      <w:r w:rsidRPr="005963FF">
        <w:t>určených</w:t>
      </w:r>
      <w:r>
        <w:t xml:space="preserve"> </w:t>
      </w:r>
      <w:r w:rsidRPr="005963FF">
        <w:t>prostředků</w:t>
      </w:r>
      <w:r>
        <w:t xml:space="preserve"> </w:t>
      </w:r>
      <w:r w:rsidRPr="005963FF">
        <w:t>může</w:t>
      </w:r>
      <w:r>
        <w:t xml:space="preserve"> </w:t>
      </w:r>
      <w:r w:rsidRPr="005963FF">
        <w:t>veřejná</w:t>
      </w:r>
      <w:r>
        <w:t xml:space="preserve"> </w:t>
      </w:r>
      <w:r w:rsidRPr="005963FF">
        <w:t>vysoká</w:t>
      </w:r>
      <w:r>
        <w:t xml:space="preserve"> </w:t>
      </w:r>
      <w:r w:rsidRPr="005963FF">
        <w:t>škola</w:t>
      </w:r>
      <w:r>
        <w:t xml:space="preserve"> </w:t>
      </w:r>
      <w:r w:rsidRPr="005963FF">
        <w:t>použít</w:t>
      </w:r>
      <w:r>
        <w:t xml:space="preserve"> </w:t>
      </w:r>
      <w:r w:rsidRPr="005963FF">
        <w:t>pouze</w:t>
      </w:r>
      <w:r>
        <w:t xml:space="preserve"> </w:t>
      </w:r>
      <w:r w:rsidRPr="005963FF">
        <w:t>k</w:t>
      </w:r>
      <w:r>
        <w:t xml:space="preserve"> </w:t>
      </w:r>
      <w:r w:rsidRPr="005963FF">
        <w:t>účelu,</w:t>
      </w:r>
      <w:r>
        <w:t xml:space="preserve"> </w:t>
      </w:r>
      <w:r w:rsidRPr="005963FF">
        <w:t>ke</w:t>
      </w:r>
      <w:r>
        <w:t xml:space="preserve"> </w:t>
      </w:r>
      <w:r w:rsidRPr="005963FF">
        <w:t>kterému</w:t>
      </w:r>
      <w:r>
        <w:t xml:space="preserve"> </w:t>
      </w:r>
      <w:r w:rsidRPr="005963FF">
        <w:t>jí</w:t>
      </w:r>
      <w:r>
        <w:t xml:space="preserve"> </w:t>
      </w:r>
      <w:r w:rsidRPr="005963FF">
        <w:t>byly</w:t>
      </w:r>
      <w:r>
        <w:t xml:space="preserve"> </w:t>
      </w:r>
      <w:r w:rsidRPr="005963FF">
        <w:t>poskytnuty.</w:t>
      </w:r>
    </w:p>
    <w:p w14:paraId="2D35BCAF" w14:textId="77777777" w:rsidR="00CB5381" w:rsidRDefault="00CB5381" w:rsidP="00566368">
      <w:pPr>
        <w:pStyle w:val="Textparagrafu"/>
        <w:tabs>
          <w:tab w:val="left" w:pos="392"/>
          <w:tab w:val="left" w:pos="840"/>
        </w:tabs>
        <w:spacing w:before="120" w:after="120"/>
      </w:pPr>
      <w:r w:rsidRPr="005963FF">
        <w:t>(12)</w:t>
      </w:r>
      <w:r>
        <w:t xml:space="preserve"> </w:t>
      </w:r>
      <w:r w:rsidRPr="005963FF">
        <w:t>Sociální</w:t>
      </w:r>
      <w:r>
        <w:t xml:space="preserve"> </w:t>
      </w:r>
      <w:r w:rsidRPr="005963FF">
        <w:t>fond</w:t>
      </w:r>
      <w:r>
        <w:t xml:space="preserve"> </w:t>
      </w:r>
      <w:r w:rsidRPr="005963FF">
        <w:t>je</w:t>
      </w:r>
      <w:r>
        <w:t xml:space="preserve"> </w:t>
      </w:r>
      <w:r w:rsidRPr="005963FF">
        <w:t>tvořen</w:t>
      </w:r>
      <w:r>
        <w:t xml:space="preserve"> </w:t>
      </w:r>
      <w:r w:rsidRPr="005963FF">
        <w:t>základním</w:t>
      </w:r>
      <w:r>
        <w:t xml:space="preserve"> </w:t>
      </w:r>
      <w:r w:rsidRPr="005963FF">
        <w:t>přídělem</w:t>
      </w:r>
      <w:r>
        <w:t xml:space="preserve"> </w:t>
      </w:r>
      <w:r w:rsidRPr="005963FF">
        <w:t>na</w:t>
      </w:r>
      <w:r>
        <w:t xml:space="preserve"> </w:t>
      </w:r>
      <w:r w:rsidRPr="005963FF">
        <w:t>vrub</w:t>
      </w:r>
      <w:r>
        <w:t xml:space="preserve"> </w:t>
      </w:r>
      <w:r w:rsidRPr="005963FF">
        <w:t>nákladů</w:t>
      </w:r>
      <w:r>
        <w:t xml:space="preserve"> </w:t>
      </w:r>
      <w:r w:rsidRPr="005963FF">
        <w:t>veřejné</w:t>
      </w:r>
      <w:r>
        <w:t xml:space="preserve"> </w:t>
      </w:r>
      <w:r w:rsidRPr="005963FF">
        <w:t>vysoké</w:t>
      </w:r>
      <w:r>
        <w:t xml:space="preserve"> </w:t>
      </w:r>
      <w:r w:rsidRPr="005963FF">
        <w:t>školy</w:t>
      </w:r>
      <w:r>
        <w:t xml:space="preserve"> </w:t>
      </w:r>
      <w:r w:rsidRPr="005963FF">
        <w:t>do</w:t>
      </w:r>
      <w:r>
        <w:t xml:space="preserve"> </w:t>
      </w:r>
      <w:r w:rsidRPr="005963FF">
        <w:t>výše</w:t>
      </w:r>
      <w:r>
        <w:t xml:space="preserve"> </w:t>
      </w:r>
      <w:r w:rsidRPr="005963FF">
        <w:t>1</w:t>
      </w:r>
      <w:r>
        <w:t xml:space="preserve"> </w:t>
      </w:r>
      <w:r w:rsidRPr="005963FF">
        <w:t>%</w:t>
      </w:r>
      <w:r>
        <w:t xml:space="preserve"> </w:t>
      </w:r>
      <w:r w:rsidRPr="005963FF">
        <w:t>z</w:t>
      </w:r>
      <w:r>
        <w:t xml:space="preserve"> </w:t>
      </w:r>
      <w:r w:rsidRPr="005963FF">
        <w:t>ročního</w:t>
      </w:r>
      <w:r>
        <w:t xml:space="preserve"> </w:t>
      </w:r>
      <w:r w:rsidRPr="005963FF">
        <w:t>objemu</w:t>
      </w:r>
      <w:r>
        <w:t xml:space="preserve"> </w:t>
      </w:r>
      <w:r w:rsidRPr="005963FF">
        <w:t>nákladů</w:t>
      </w:r>
      <w:r>
        <w:t xml:space="preserve"> </w:t>
      </w:r>
      <w:r w:rsidRPr="005963FF">
        <w:t>veřejné</w:t>
      </w:r>
      <w:r>
        <w:t xml:space="preserve"> </w:t>
      </w:r>
      <w:r w:rsidRPr="005963FF">
        <w:t>vysoké</w:t>
      </w:r>
      <w:r>
        <w:t xml:space="preserve"> </w:t>
      </w:r>
      <w:r w:rsidRPr="005963FF">
        <w:t>školy</w:t>
      </w:r>
      <w:r>
        <w:t xml:space="preserve"> </w:t>
      </w:r>
      <w:r w:rsidRPr="005963FF">
        <w:t>zúčtovaných</w:t>
      </w:r>
      <w:r>
        <w:t xml:space="preserve"> </w:t>
      </w:r>
      <w:r w:rsidRPr="005963FF">
        <w:t>na</w:t>
      </w:r>
      <w:r>
        <w:t xml:space="preserve"> </w:t>
      </w:r>
      <w:r w:rsidRPr="005963FF">
        <w:t>mzdy,</w:t>
      </w:r>
      <w:r>
        <w:t xml:space="preserve"> </w:t>
      </w:r>
      <w:r w:rsidRPr="005963FF">
        <w:t>náhrady</w:t>
      </w:r>
      <w:r>
        <w:t xml:space="preserve"> </w:t>
      </w:r>
      <w:r w:rsidRPr="005963FF">
        <w:t>mzdy</w:t>
      </w:r>
      <w:r>
        <w:t xml:space="preserve"> </w:t>
      </w:r>
      <w:r w:rsidRPr="005963FF">
        <w:t>a</w:t>
      </w:r>
      <w:r>
        <w:t xml:space="preserve"> </w:t>
      </w:r>
      <w:r w:rsidRPr="005963FF">
        <w:t>odměny</w:t>
      </w:r>
      <w:r>
        <w:t xml:space="preserve"> </w:t>
      </w:r>
      <w:r w:rsidRPr="005963FF">
        <w:t>za</w:t>
      </w:r>
      <w:r>
        <w:t xml:space="preserve"> </w:t>
      </w:r>
      <w:r w:rsidRPr="005963FF">
        <w:t>pracovní</w:t>
      </w:r>
      <w:r>
        <w:t xml:space="preserve"> </w:t>
      </w:r>
      <w:r w:rsidRPr="005963FF">
        <w:t>pohotovost.</w:t>
      </w:r>
      <w:r>
        <w:t xml:space="preserve"> </w:t>
      </w:r>
      <w:r w:rsidRPr="005963FF">
        <w:t>Nejméně</w:t>
      </w:r>
      <w:r>
        <w:t xml:space="preserve"> </w:t>
      </w:r>
      <w:r w:rsidRPr="005963FF">
        <w:t>50</w:t>
      </w:r>
      <w:r>
        <w:t xml:space="preserve"> </w:t>
      </w:r>
      <w:r w:rsidRPr="005963FF">
        <w:t>%</w:t>
      </w:r>
      <w:r>
        <w:t xml:space="preserve"> </w:t>
      </w:r>
      <w:r w:rsidRPr="005963FF">
        <w:t>ze</w:t>
      </w:r>
      <w:r>
        <w:t xml:space="preserve"> </w:t>
      </w:r>
      <w:r w:rsidRPr="005963FF">
        <w:t>základního</w:t>
      </w:r>
      <w:r>
        <w:t xml:space="preserve"> </w:t>
      </w:r>
      <w:r w:rsidRPr="005963FF">
        <w:t>přídělu</w:t>
      </w:r>
      <w:r>
        <w:t xml:space="preserve"> </w:t>
      </w:r>
      <w:r w:rsidRPr="005963FF">
        <w:t>podle</w:t>
      </w:r>
      <w:r>
        <w:t xml:space="preserve"> </w:t>
      </w:r>
      <w:r w:rsidRPr="005963FF">
        <w:t>věty</w:t>
      </w:r>
      <w:r>
        <w:t xml:space="preserve"> </w:t>
      </w:r>
      <w:r w:rsidRPr="005963FF">
        <w:t>první</w:t>
      </w:r>
      <w:r>
        <w:t xml:space="preserve"> </w:t>
      </w:r>
      <w:r w:rsidRPr="005963FF">
        <w:t>se</w:t>
      </w:r>
      <w:r>
        <w:t xml:space="preserve"> </w:t>
      </w:r>
      <w:r w:rsidRPr="005963FF">
        <w:t>použije</w:t>
      </w:r>
      <w:r>
        <w:t xml:space="preserve"> </w:t>
      </w:r>
      <w:r w:rsidRPr="005963FF">
        <w:t>na</w:t>
      </w:r>
      <w:r>
        <w:t xml:space="preserve"> </w:t>
      </w:r>
      <w:r w:rsidRPr="005963FF">
        <w:t>příspěvky</w:t>
      </w:r>
      <w:r>
        <w:t xml:space="preserve"> </w:t>
      </w:r>
      <w:r w:rsidRPr="005963FF">
        <w:t>na</w:t>
      </w:r>
      <w:r>
        <w:t xml:space="preserve"> </w:t>
      </w:r>
      <w:r w:rsidRPr="005963FF">
        <w:t>produkty</w:t>
      </w:r>
      <w:r>
        <w:t xml:space="preserve"> </w:t>
      </w:r>
      <w:r w:rsidRPr="005963FF">
        <w:t>spoření</w:t>
      </w:r>
      <w:r>
        <w:t xml:space="preserve"> </w:t>
      </w:r>
      <w:r w:rsidRPr="005963FF">
        <w:t>na</w:t>
      </w:r>
      <w:r>
        <w:t xml:space="preserve"> </w:t>
      </w:r>
      <w:r w:rsidRPr="005963FF">
        <w:t>stáří</w:t>
      </w:r>
      <w:r>
        <w:t xml:space="preserve"> </w:t>
      </w:r>
      <w:r w:rsidRPr="005963FF">
        <w:t>zaměstnanců,</w:t>
      </w:r>
      <w:r>
        <w:t xml:space="preserve"> </w:t>
      </w:r>
      <w:r w:rsidRPr="005963FF">
        <w:t>které</w:t>
      </w:r>
      <w:r>
        <w:t xml:space="preserve"> </w:t>
      </w:r>
      <w:r w:rsidRPr="005963FF">
        <w:t>jsou</w:t>
      </w:r>
      <w:r>
        <w:t xml:space="preserve"> </w:t>
      </w:r>
      <w:r w:rsidRPr="005963FF">
        <w:t>osvobozeny</w:t>
      </w:r>
      <w:r>
        <w:t xml:space="preserve"> </w:t>
      </w:r>
      <w:r w:rsidRPr="005963FF">
        <w:t>od</w:t>
      </w:r>
      <w:r>
        <w:t xml:space="preserve"> </w:t>
      </w:r>
      <w:r w:rsidRPr="005963FF">
        <w:t>daně</w:t>
      </w:r>
      <w:r>
        <w:t xml:space="preserve"> </w:t>
      </w:r>
      <w:r w:rsidRPr="005963FF">
        <w:t>z</w:t>
      </w:r>
      <w:r>
        <w:t xml:space="preserve"> </w:t>
      </w:r>
      <w:r w:rsidRPr="005963FF">
        <w:t>příjmů</w:t>
      </w:r>
      <w:r>
        <w:t xml:space="preserve"> </w:t>
      </w:r>
      <w:r w:rsidRPr="005963FF">
        <w:t>fyzických</w:t>
      </w:r>
      <w:r>
        <w:t xml:space="preserve"> </w:t>
      </w:r>
      <w:r w:rsidRPr="005963FF">
        <w:t>osob.</w:t>
      </w:r>
    </w:p>
    <w:p w14:paraId="019452C1" w14:textId="77777777" w:rsidR="00CB5381" w:rsidRDefault="00CB5381" w:rsidP="00566368">
      <w:pPr>
        <w:pStyle w:val="Textparagrafu"/>
        <w:tabs>
          <w:tab w:val="left" w:pos="392"/>
          <w:tab w:val="left" w:pos="840"/>
        </w:tabs>
        <w:spacing w:before="120" w:after="120"/>
      </w:pPr>
      <w:r w:rsidRPr="005963FF">
        <w:t>(13)</w:t>
      </w:r>
      <w:r>
        <w:t xml:space="preserve"> </w:t>
      </w:r>
      <w:r w:rsidRPr="005963FF">
        <w:t>Prostředky</w:t>
      </w:r>
      <w:r>
        <w:t xml:space="preserve"> </w:t>
      </w:r>
      <w:r w:rsidRPr="005963FF">
        <w:t>rozpočtu</w:t>
      </w:r>
      <w:r>
        <w:t xml:space="preserve"> </w:t>
      </w:r>
      <w:r w:rsidRPr="005963FF">
        <w:t>se</w:t>
      </w:r>
      <w:r>
        <w:t xml:space="preserve"> </w:t>
      </w:r>
      <w:r w:rsidRPr="005963FF">
        <w:t>používají</w:t>
      </w:r>
      <w:r>
        <w:t xml:space="preserve"> </w:t>
      </w:r>
      <w:r w:rsidRPr="005963FF">
        <w:t>pouze</w:t>
      </w:r>
      <w:r>
        <w:t xml:space="preserve"> </w:t>
      </w:r>
      <w:r w:rsidRPr="005963FF">
        <w:t>na</w:t>
      </w:r>
      <w:r>
        <w:t xml:space="preserve"> </w:t>
      </w:r>
      <w:r w:rsidRPr="005963FF">
        <w:t>financování</w:t>
      </w:r>
      <w:r>
        <w:t xml:space="preserve"> </w:t>
      </w:r>
      <w:r w:rsidRPr="005963FF">
        <w:t>činností,</w:t>
      </w:r>
      <w:r>
        <w:t xml:space="preserve"> </w:t>
      </w:r>
      <w:r w:rsidRPr="005963FF">
        <w:t>pro</w:t>
      </w:r>
      <w:r>
        <w:t xml:space="preserve"> </w:t>
      </w:r>
      <w:r w:rsidRPr="005963FF">
        <w:t>které</w:t>
      </w:r>
      <w:r>
        <w:t xml:space="preserve"> </w:t>
      </w:r>
      <w:r w:rsidRPr="005963FF">
        <w:t>byla</w:t>
      </w:r>
      <w:r>
        <w:t xml:space="preserve"> </w:t>
      </w:r>
      <w:r w:rsidRPr="005963FF">
        <w:t>veřejná</w:t>
      </w:r>
      <w:r>
        <w:t xml:space="preserve"> </w:t>
      </w:r>
      <w:r w:rsidRPr="005963FF">
        <w:t>vysoká</w:t>
      </w:r>
      <w:r>
        <w:t xml:space="preserve"> </w:t>
      </w:r>
      <w:r w:rsidRPr="005963FF">
        <w:t>škola</w:t>
      </w:r>
      <w:r>
        <w:t xml:space="preserve"> </w:t>
      </w:r>
      <w:r w:rsidRPr="005963FF">
        <w:t>zřízena,</w:t>
      </w:r>
      <w:r>
        <w:t xml:space="preserve"> </w:t>
      </w:r>
      <w:r w:rsidRPr="005963FF">
        <w:t>a</w:t>
      </w:r>
      <w:r>
        <w:t xml:space="preserve"> </w:t>
      </w:r>
      <w:r w:rsidRPr="005963FF">
        <w:t>na</w:t>
      </w:r>
      <w:r>
        <w:t xml:space="preserve"> </w:t>
      </w:r>
      <w:r w:rsidRPr="005963FF">
        <w:t>financování</w:t>
      </w:r>
      <w:r>
        <w:t xml:space="preserve"> </w:t>
      </w:r>
      <w:r w:rsidRPr="005963FF">
        <w:t>doplňkové</w:t>
      </w:r>
      <w:r>
        <w:t xml:space="preserve"> </w:t>
      </w:r>
      <w:r w:rsidRPr="005963FF">
        <w:t>činnosti</w:t>
      </w:r>
      <w:r>
        <w:t xml:space="preserve"> </w:t>
      </w:r>
      <w:r w:rsidRPr="005963FF">
        <w:t>podle</w:t>
      </w:r>
      <w:r>
        <w:t xml:space="preserve"> </w:t>
      </w:r>
      <w:r w:rsidRPr="005963FF">
        <w:t>§</w:t>
      </w:r>
      <w:r>
        <w:t xml:space="preserve"> </w:t>
      </w:r>
      <w:r w:rsidRPr="005963FF">
        <w:t>20</w:t>
      </w:r>
      <w:r>
        <w:t xml:space="preserve"> </w:t>
      </w:r>
      <w:r w:rsidRPr="005963FF">
        <w:t>odst.</w:t>
      </w:r>
      <w:r>
        <w:t xml:space="preserve"> </w:t>
      </w:r>
      <w:r w:rsidRPr="005963FF">
        <w:t>2.</w:t>
      </w:r>
    </w:p>
    <w:p w14:paraId="7F7ED87F" w14:textId="50A4E906" w:rsidR="00CB5381" w:rsidRDefault="00CB5381" w:rsidP="00B510F2">
      <w:pPr>
        <w:pStyle w:val="Textparagrafu"/>
        <w:tabs>
          <w:tab w:val="left" w:pos="392"/>
          <w:tab w:val="left" w:pos="840"/>
          <w:tab w:val="left" w:pos="868"/>
        </w:tabs>
        <w:spacing w:after="120"/>
        <w:ind w:firstLine="0"/>
        <w:jc w:val="center"/>
      </w:pPr>
      <w:r>
        <w:t>***</w:t>
      </w:r>
    </w:p>
    <w:p w14:paraId="7E4E446A" w14:textId="03D7D9C0" w:rsidR="00B510F2" w:rsidRDefault="00B510F2" w:rsidP="00B510F2">
      <w:pPr>
        <w:pStyle w:val="Textparagrafu"/>
        <w:tabs>
          <w:tab w:val="left" w:pos="392"/>
          <w:tab w:val="left" w:pos="840"/>
        </w:tabs>
        <w:spacing w:after="120"/>
        <w:ind w:firstLine="0"/>
        <w:jc w:val="center"/>
      </w:pPr>
      <w:r w:rsidRPr="005963FF">
        <w:t>§</w:t>
      </w:r>
      <w:r>
        <w:t xml:space="preserve"> </w:t>
      </w:r>
      <w:r w:rsidRPr="005963FF">
        <w:t>21</w:t>
      </w:r>
    </w:p>
    <w:p w14:paraId="1BA385C7" w14:textId="77777777" w:rsidR="00B510F2" w:rsidRPr="00B510F2" w:rsidRDefault="00B510F2" w:rsidP="00B510F2">
      <w:pPr>
        <w:pStyle w:val="Textparagrafu"/>
        <w:tabs>
          <w:tab w:val="left" w:pos="392"/>
          <w:tab w:val="left" w:pos="840"/>
        </w:tabs>
        <w:spacing w:after="120"/>
        <w:ind w:firstLine="0"/>
        <w:jc w:val="center"/>
        <w:rPr>
          <w:b/>
        </w:rPr>
      </w:pPr>
      <w:r w:rsidRPr="00B510F2">
        <w:rPr>
          <w:b/>
        </w:rPr>
        <w:t>Další povinnosti veřejné vysoké školy</w:t>
      </w:r>
    </w:p>
    <w:p w14:paraId="6B4FF317" w14:textId="77777777" w:rsidR="00B510F2" w:rsidRDefault="00B510F2" w:rsidP="00566368">
      <w:pPr>
        <w:pStyle w:val="Textparagrafu"/>
        <w:tabs>
          <w:tab w:val="left" w:pos="392"/>
          <w:tab w:val="left" w:pos="840"/>
        </w:tabs>
        <w:spacing w:before="120" w:after="120"/>
      </w:pPr>
      <w:r w:rsidRPr="005963FF">
        <w:t>(1)</w:t>
      </w:r>
      <w:r>
        <w:t xml:space="preserve"> </w:t>
      </w:r>
      <w:r w:rsidRPr="005963FF">
        <w:t>Veřejná</w:t>
      </w:r>
      <w:r>
        <w:t xml:space="preserve"> </w:t>
      </w:r>
      <w:r w:rsidRPr="005963FF">
        <w:t>vysoká</w:t>
      </w:r>
      <w:r>
        <w:t xml:space="preserve"> </w:t>
      </w:r>
      <w:r w:rsidRPr="005963FF">
        <w:t>škola</w:t>
      </w:r>
      <w:r>
        <w:t xml:space="preserve"> </w:t>
      </w:r>
      <w:r w:rsidRPr="005963FF">
        <w:t>je</w:t>
      </w:r>
      <w:r>
        <w:t xml:space="preserve"> </w:t>
      </w:r>
      <w:r w:rsidRPr="005963FF">
        <w:t>povinna</w:t>
      </w:r>
    </w:p>
    <w:p w14:paraId="752DA45A" w14:textId="12CA1289" w:rsidR="00B510F2" w:rsidRDefault="00B510F2" w:rsidP="00393B51">
      <w:pPr>
        <w:pStyle w:val="Textparagrafu"/>
        <w:tabs>
          <w:tab w:val="left" w:pos="392"/>
          <w:tab w:val="left" w:pos="840"/>
        </w:tabs>
        <w:spacing w:before="0"/>
        <w:ind w:left="426" w:hanging="426"/>
      </w:pPr>
      <w:r w:rsidRPr="005963FF">
        <w:t>a)</w:t>
      </w:r>
      <w:r>
        <w:tab/>
      </w:r>
      <w:r w:rsidRPr="005963FF">
        <w:t>každoročně</w:t>
      </w:r>
      <w:r>
        <w:t xml:space="preserve"> </w:t>
      </w:r>
      <w:r w:rsidRPr="005963FF">
        <w:t>vypracovat,</w:t>
      </w:r>
      <w:r>
        <w:t xml:space="preserve"> </w:t>
      </w:r>
      <w:r w:rsidRPr="005963FF">
        <w:t>předložit</w:t>
      </w:r>
      <w:r>
        <w:t xml:space="preserve"> </w:t>
      </w:r>
      <w:r w:rsidRPr="005963FF">
        <w:t>ministerstvu</w:t>
      </w:r>
      <w:r>
        <w:t xml:space="preserve"> </w:t>
      </w:r>
      <w:r w:rsidRPr="005963FF">
        <w:t>a</w:t>
      </w:r>
      <w:r>
        <w:t xml:space="preserve"> </w:t>
      </w:r>
      <w:r w:rsidRPr="005963FF">
        <w:t>jako</w:t>
      </w:r>
      <w:r>
        <w:t xml:space="preserve"> </w:t>
      </w:r>
      <w:r w:rsidRPr="005963FF">
        <w:t>neperiodickou</w:t>
      </w:r>
      <w:r>
        <w:t xml:space="preserve"> </w:t>
      </w:r>
      <w:r w:rsidRPr="005963FF">
        <w:t>publikaci</w:t>
      </w:r>
      <w:r>
        <w:rPr>
          <w:rStyle w:val="Znakapoznpodarou"/>
        </w:rPr>
        <w:footnoteReference w:customMarkFollows="1" w:id="279"/>
        <w:t>11)</w:t>
      </w:r>
      <w:r>
        <w:t xml:space="preserve"> </w:t>
      </w:r>
      <w:r w:rsidRPr="005963FF">
        <w:t>zveřejnit</w:t>
      </w:r>
      <w:r>
        <w:t xml:space="preserve"> </w:t>
      </w:r>
      <w:r w:rsidRPr="005963FF">
        <w:t>výroční</w:t>
      </w:r>
      <w:r>
        <w:t xml:space="preserve"> </w:t>
      </w:r>
      <w:r w:rsidRPr="005963FF">
        <w:t>zprávu</w:t>
      </w:r>
      <w:r>
        <w:t xml:space="preserve"> </w:t>
      </w:r>
      <w:r w:rsidRPr="005963FF">
        <w:t>o</w:t>
      </w:r>
      <w:r>
        <w:t xml:space="preserve"> </w:t>
      </w:r>
      <w:r w:rsidRPr="005963FF">
        <w:t>činnosti</w:t>
      </w:r>
      <w:r>
        <w:t xml:space="preserve"> </w:t>
      </w:r>
      <w:r w:rsidRPr="005963FF">
        <w:t>a</w:t>
      </w:r>
      <w:r>
        <w:t xml:space="preserve"> </w:t>
      </w:r>
      <w:r w:rsidRPr="005963FF">
        <w:t>výroční</w:t>
      </w:r>
      <w:r>
        <w:t xml:space="preserve"> </w:t>
      </w:r>
      <w:r w:rsidRPr="005963FF">
        <w:t>zprávu</w:t>
      </w:r>
      <w:r>
        <w:t xml:space="preserve"> </w:t>
      </w:r>
      <w:r w:rsidRPr="005963FF">
        <w:t>o</w:t>
      </w:r>
      <w:r>
        <w:t xml:space="preserve"> </w:t>
      </w:r>
      <w:r w:rsidRPr="005963FF">
        <w:t>hospodaření</w:t>
      </w:r>
      <w:r>
        <w:t xml:space="preserve"> </w:t>
      </w:r>
      <w:r w:rsidRPr="005963FF">
        <w:t>vysoké</w:t>
      </w:r>
      <w:r>
        <w:t xml:space="preserve"> </w:t>
      </w:r>
      <w:r w:rsidRPr="005963FF">
        <w:t>školy</w:t>
      </w:r>
      <w:r>
        <w:t xml:space="preserve"> </w:t>
      </w:r>
      <w:r w:rsidRPr="005963FF">
        <w:t>v</w:t>
      </w:r>
      <w:r>
        <w:t xml:space="preserve"> </w:t>
      </w:r>
      <w:r w:rsidRPr="005963FF">
        <w:t>termínu</w:t>
      </w:r>
      <w:r>
        <w:t xml:space="preserve"> </w:t>
      </w:r>
      <w:r w:rsidRPr="005963FF">
        <w:t>a</w:t>
      </w:r>
      <w:r>
        <w:t xml:space="preserve"> </w:t>
      </w:r>
      <w:r w:rsidRPr="005963FF">
        <w:t>formě,</w:t>
      </w:r>
      <w:r>
        <w:t xml:space="preserve"> </w:t>
      </w:r>
      <w:r w:rsidRPr="005963FF">
        <w:t>kterou</w:t>
      </w:r>
      <w:r>
        <w:t xml:space="preserve"> </w:t>
      </w:r>
      <w:r w:rsidRPr="005963FF">
        <w:t>stanoví</w:t>
      </w:r>
      <w:r>
        <w:t xml:space="preserve"> </w:t>
      </w:r>
      <w:r w:rsidRPr="005963FF">
        <w:t>ministr</w:t>
      </w:r>
      <w:r>
        <w:t xml:space="preserve"> </w:t>
      </w:r>
      <w:r w:rsidRPr="005963FF">
        <w:t>opatřením</w:t>
      </w:r>
      <w:r>
        <w:t xml:space="preserve"> </w:t>
      </w:r>
      <w:r w:rsidRPr="005963FF">
        <w:t>zveřejněném</w:t>
      </w:r>
      <w:r>
        <w:t xml:space="preserve"> </w:t>
      </w:r>
      <w:r w:rsidRPr="005963FF">
        <w:t>ve</w:t>
      </w:r>
      <w:r>
        <w:t xml:space="preserve"> </w:t>
      </w:r>
      <w:r w:rsidRPr="005963FF">
        <w:t>Věstníku</w:t>
      </w:r>
      <w:r>
        <w:t xml:space="preserve"> </w:t>
      </w:r>
      <w:r w:rsidRPr="005963FF">
        <w:t>ministerstva,</w:t>
      </w:r>
    </w:p>
    <w:p w14:paraId="7306F938" w14:textId="257AEF84" w:rsidR="00B510F2" w:rsidRDefault="00B510F2" w:rsidP="00393B51">
      <w:pPr>
        <w:pStyle w:val="Textparagrafu"/>
        <w:tabs>
          <w:tab w:val="left" w:pos="392"/>
          <w:tab w:val="left" w:pos="840"/>
        </w:tabs>
        <w:spacing w:before="0"/>
        <w:ind w:left="426" w:hanging="426"/>
      </w:pPr>
      <w:r w:rsidRPr="005963FF">
        <w:t>b)</w:t>
      </w:r>
      <w:r>
        <w:tab/>
      </w:r>
      <w:r w:rsidRPr="005963FF">
        <w:t>vypracovat,</w:t>
      </w:r>
      <w:r>
        <w:t xml:space="preserve"> </w:t>
      </w:r>
      <w:r w:rsidRPr="005963FF">
        <w:t>projednat</w:t>
      </w:r>
      <w:r>
        <w:t xml:space="preserve"> </w:t>
      </w:r>
      <w:r w:rsidRPr="005963FF">
        <w:t>s</w:t>
      </w:r>
      <w:r>
        <w:t xml:space="preserve"> </w:t>
      </w:r>
      <w:r w:rsidRPr="005963FF">
        <w:t>ministerstvem</w:t>
      </w:r>
      <w:r>
        <w:t xml:space="preserve"> </w:t>
      </w:r>
      <w:r w:rsidRPr="005963FF">
        <w:t>a</w:t>
      </w:r>
      <w:r>
        <w:t xml:space="preserve"> </w:t>
      </w:r>
      <w:r w:rsidRPr="005963FF">
        <w:t>zveřejnit</w:t>
      </w:r>
      <w:r>
        <w:t xml:space="preserve"> </w:t>
      </w:r>
      <w:r w:rsidRPr="005963FF">
        <w:t>strategický</w:t>
      </w:r>
      <w:r>
        <w:t xml:space="preserve"> </w:t>
      </w:r>
      <w:r w:rsidRPr="005963FF">
        <w:t>záměr</w:t>
      </w:r>
      <w:r>
        <w:t xml:space="preserve"> </w:t>
      </w:r>
      <w:r w:rsidRPr="005963FF">
        <w:t>veřejné</w:t>
      </w:r>
      <w:r>
        <w:t xml:space="preserve"> </w:t>
      </w:r>
      <w:r w:rsidRPr="005963FF">
        <w:t>vysoké</w:t>
      </w:r>
      <w:r>
        <w:t xml:space="preserve"> </w:t>
      </w:r>
      <w:r w:rsidRPr="005963FF">
        <w:t>školy</w:t>
      </w:r>
      <w:r>
        <w:t xml:space="preserve"> </w:t>
      </w:r>
      <w:r w:rsidRPr="005963FF">
        <w:t>v</w:t>
      </w:r>
      <w:r>
        <w:t xml:space="preserve"> </w:t>
      </w:r>
      <w:r w:rsidRPr="005963FF">
        <w:t>termínu</w:t>
      </w:r>
      <w:r>
        <w:t xml:space="preserve"> </w:t>
      </w:r>
      <w:r w:rsidRPr="005963FF">
        <w:t>a</w:t>
      </w:r>
      <w:r>
        <w:t xml:space="preserve"> </w:t>
      </w:r>
      <w:r w:rsidRPr="005963FF">
        <w:t>formě,</w:t>
      </w:r>
      <w:r>
        <w:t xml:space="preserve"> </w:t>
      </w:r>
      <w:r w:rsidRPr="005963FF">
        <w:t>kterou</w:t>
      </w:r>
      <w:r>
        <w:t xml:space="preserve"> </w:t>
      </w:r>
      <w:r w:rsidRPr="005963FF">
        <w:t>stanoví</w:t>
      </w:r>
      <w:r>
        <w:t xml:space="preserve"> </w:t>
      </w:r>
      <w:r w:rsidRPr="005963FF">
        <w:t>ministr,</w:t>
      </w:r>
    </w:p>
    <w:p w14:paraId="6D93C22A" w14:textId="4C3B2011" w:rsidR="00B510F2" w:rsidRDefault="00B510F2" w:rsidP="00393B51">
      <w:pPr>
        <w:pStyle w:val="Textparagrafu"/>
        <w:tabs>
          <w:tab w:val="left" w:pos="392"/>
          <w:tab w:val="left" w:pos="840"/>
        </w:tabs>
        <w:spacing w:before="0"/>
        <w:ind w:left="426" w:hanging="426"/>
      </w:pPr>
      <w:r w:rsidRPr="005963FF">
        <w:t>c)</w:t>
      </w:r>
      <w:r>
        <w:tab/>
      </w:r>
      <w:r w:rsidRPr="005963FF">
        <w:t>poskytovat</w:t>
      </w:r>
      <w:r>
        <w:t xml:space="preserve"> </w:t>
      </w:r>
      <w:r w:rsidRPr="005963FF">
        <w:t>Akreditačnímu</w:t>
      </w:r>
      <w:r>
        <w:t xml:space="preserve"> </w:t>
      </w:r>
      <w:r w:rsidRPr="005963FF">
        <w:t>úřadu</w:t>
      </w:r>
      <w:r>
        <w:t xml:space="preserve"> </w:t>
      </w:r>
      <w:r w:rsidRPr="005963FF">
        <w:t>a</w:t>
      </w:r>
      <w:r>
        <w:t xml:space="preserve"> </w:t>
      </w:r>
      <w:r w:rsidRPr="005963FF">
        <w:t>ministerstvu</w:t>
      </w:r>
      <w:r>
        <w:t xml:space="preserve"> </w:t>
      </w:r>
      <w:r w:rsidRPr="005963FF">
        <w:t>na</w:t>
      </w:r>
      <w:r>
        <w:t xml:space="preserve"> </w:t>
      </w:r>
      <w:r w:rsidRPr="005963FF">
        <w:t>jejich</w:t>
      </w:r>
      <w:r>
        <w:t xml:space="preserve"> </w:t>
      </w:r>
      <w:r w:rsidRPr="005963FF">
        <w:t>žádost</w:t>
      </w:r>
      <w:r>
        <w:t xml:space="preserve"> </w:t>
      </w:r>
      <w:r w:rsidRPr="005963FF">
        <w:t>ve</w:t>
      </w:r>
      <w:r>
        <w:t xml:space="preserve"> </w:t>
      </w:r>
      <w:r w:rsidRPr="005963FF">
        <w:t>stanovených</w:t>
      </w:r>
      <w:r>
        <w:t xml:space="preserve"> </w:t>
      </w:r>
      <w:r w:rsidRPr="005963FF">
        <w:t>termínech</w:t>
      </w:r>
      <w:r>
        <w:t xml:space="preserve"> </w:t>
      </w:r>
      <w:r w:rsidRPr="005963FF">
        <w:t>a</w:t>
      </w:r>
      <w:r>
        <w:t xml:space="preserve"> </w:t>
      </w:r>
      <w:r w:rsidRPr="005963FF">
        <w:t>bezplatně</w:t>
      </w:r>
      <w:r>
        <w:t xml:space="preserve"> </w:t>
      </w:r>
      <w:r w:rsidRPr="005963FF">
        <w:t>informace</w:t>
      </w:r>
      <w:r>
        <w:t xml:space="preserve"> </w:t>
      </w:r>
      <w:r w:rsidRPr="005963FF">
        <w:t>potřebné</w:t>
      </w:r>
      <w:r>
        <w:t xml:space="preserve"> </w:t>
      </w:r>
      <w:r w:rsidRPr="005963FF">
        <w:t>pro</w:t>
      </w:r>
      <w:r>
        <w:t xml:space="preserve"> </w:t>
      </w:r>
      <w:r w:rsidRPr="005963FF">
        <w:t>jejich</w:t>
      </w:r>
      <w:r>
        <w:t xml:space="preserve"> </w:t>
      </w:r>
      <w:r w:rsidRPr="005963FF">
        <w:t>činnost</w:t>
      </w:r>
      <w:r>
        <w:t xml:space="preserve"> </w:t>
      </w:r>
      <w:r w:rsidRPr="005963FF">
        <w:t>podle</w:t>
      </w:r>
      <w:r>
        <w:t xml:space="preserve"> </w:t>
      </w:r>
      <w:r w:rsidRPr="005963FF">
        <w:t>tohoto</w:t>
      </w:r>
      <w:r>
        <w:t xml:space="preserve"> </w:t>
      </w:r>
      <w:r w:rsidRPr="005963FF">
        <w:t>zákona,</w:t>
      </w:r>
    </w:p>
    <w:p w14:paraId="588CC9F4" w14:textId="1C6ABB62" w:rsidR="00B510F2" w:rsidRDefault="00B510F2" w:rsidP="00393B51">
      <w:pPr>
        <w:pStyle w:val="Textparagrafu"/>
        <w:tabs>
          <w:tab w:val="left" w:pos="392"/>
          <w:tab w:val="left" w:pos="840"/>
        </w:tabs>
        <w:spacing w:before="0"/>
        <w:ind w:left="426" w:hanging="426"/>
      </w:pPr>
      <w:r w:rsidRPr="005963FF">
        <w:lastRenderedPageBreak/>
        <w:t>d)</w:t>
      </w:r>
      <w:r>
        <w:tab/>
      </w:r>
      <w:r w:rsidRPr="005963FF">
        <w:t>poskytovat</w:t>
      </w:r>
      <w:r>
        <w:t xml:space="preserve"> </w:t>
      </w:r>
      <w:r w:rsidRPr="005963FF">
        <w:t>uchazečům</w:t>
      </w:r>
      <w:r>
        <w:t xml:space="preserve"> </w:t>
      </w:r>
      <w:r w:rsidRPr="005963FF">
        <w:t>o</w:t>
      </w:r>
      <w:r>
        <w:t xml:space="preserve"> </w:t>
      </w:r>
      <w:r w:rsidRPr="005963FF">
        <w:t>studium,</w:t>
      </w:r>
      <w:r>
        <w:t xml:space="preserve"> </w:t>
      </w:r>
      <w:r w:rsidRPr="005963FF">
        <w:t>studentům</w:t>
      </w:r>
      <w:r>
        <w:t xml:space="preserve"> </w:t>
      </w:r>
      <w:r w:rsidRPr="005963FF">
        <w:t>a</w:t>
      </w:r>
      <w:r>
        <w:t xml:space="preserve"> </w:t>
      </w:r>
      <w:r w:rsidRPr="005963FF">
        <w:t>dalším</w:t>
      </w:r>
      <w:r>
        <w:t xml:space="preserve"> </w:t>
      </w:r>
      <w:r w:rsidRPr="005963FF">
        <w:t>osobám</w:t>
      </w:r>
      <w:r>
        <w:t xml:space="preserve"> </w:t>
      </w:r>
      <w:r w:rsidRPr="005963FF">
        <w:t>informační</w:t>
      </w:r>
      <w:r>
        <w:t xml:space="preserve"> </w:t>
      </w:r>
      <w:r w:rsidRPr="005963FF">
        <w:t>a</w:t>
      </w:r>
      <w:r>
        <w:t xml:space="preserve"> </w:t>
      </w:r>
      <w:r w:rsidRPr="005963FF">
        <w:t>poradenské</w:t>
      </w:r>
      <w:r>
        <w:t xml:space="preserve"> </w:t>
      </w:r>
      <w:r w:rsidRPr="005963FF">
        <w:t>služby</w:t>
      </w:r>
      <w:r>
        <w:t xml:space="preserve"> </w:t>
      </w:r>
      <w:r w:rsidRPr="005963FF">
        <w:t>související</w:t>
      </w:r>
      <w:r>
        <w:t xml:space="preserve"> </w:t>
      </w:r>
      <w:r w:rsidRPr="005963FF">
        <w:t>se</w:t>
      </w:r>
      <w:r>
        <w:t xml:space="preserve"> </w:t>
      </w:r>
      <w:r w:rsidRPr="005963FF">
        <w:t>studiem</w:t>
      </w:r>
      <w:r>
        <w:t xml:space="preserve"> </w:t>
      </w:r>
      <w:r w:rsidRPr="005963FF">
        <w:t>a</w:t>
      </w:r>
      <w:r>
        <w:t xml:space="preserve"> </w:t>
      </w:r>
      <w:r w:rsidRPr="005963FF">
        <w:t>s</w:t>
      </w:r>
      <w:r>
        <w:t xml:space="preserve"> </w:t>
      </w:r>
      <w:r w:rsidRPr="005963FF">
        <w:t>možností</w:t>
      </w:r>
      <w:r>
        <w:t xml:space="preserve"> </w:t>
      </w:r>
      <w:r w:rsidRPr="005963FF">
        <w:t>uplatnění</w:t>
      </w:r>
      <w:r>
        <w:t xml:space="preserve"> </w:t>
      </w:r>
      <w:r w:rsidRPr="005963FF">
        <w:t>absolventů</w:t>
      </w:r>
      <w:r>
        <w:t xml:space="preserve"> </w:t>
      </w:r>
      <w:r w:rsidRPr="005963FF">
        <w:t>studijních</w:t>
      </w:r>
      <w:r>
        <w:t xml:space="preserve"> </w:t>
      </w:r>
      <w:r w:rsidRPr="005963FF">
        <w:t>programů</w:t>
      </w:r>
      <w:r>
        <w:t xml:space="preserve"> </w:t>
      </w:r>
      <w:r w:rsidRPr="005963FF">
        <w:t>v</w:t>
      </w:r>
      <w:r>
        <w:t xml:space="preserve"> </w:t>
      </w:r>
      <w:r w:rsidRPr="005963FF">
        <w:t>praxi,</w:t>
      </w:r>
    </w:p>
    <w:p w14:paraId="2C2C89DB" w14:textId="272E8851" w:rsidR="00B510F2" w:rsidRDefault="00B510F2" w:rsidP="00393B51">
      <w:pPr>
        <w:pStyle w:val="Textparagrafu"/>
        <w:tabs>
          <w:tab w:val="left" w:pos="392"/>
          <w:tab w:val="left" w:pos="840"/>
        </w:tabs>
        <w:spacing w:before="0"/>
        <w:ind w:left="426" w:hanging="426"/>
      </w:pPr>
      <w:r w:rsidRPr="005963FF">
        <w:t>e)</w:t>
      </w:r>
      <w:r>
        <w:tab/>
      </w:r>
      <w:r w:rsidRPr="005963FF">
        <w:t>činit</w:t>
      </w:r>
      <w:r>
        <w:t xml:space="preserve"> </w:t>
      </w:r>
      <w:r w:rsidRPr="005963FF">
        <w:t>všechna</w:t>
      </w:r>
      <w:r>
        <w:t xml:space="preserve"> </w:t>
      </w:r>
      <w:r w:rsidRPr="005963FF">
        <w:t>dostupná</w:t>
      </w:r>
      <w:r>
        <w:t xml:space="preserve"> </w:t>
      </w:r>
      <w:r w:rsidRPr="005963FF">
        <w:t>opatření</w:t>
      </w:r>
      <w:r>
        <w:t xml:space="preserve"> </w:t>
      </w:r>
      <w:r w:rsidRPr="005963FF">
        <w:t>pro</w:t>
      </w:r>
      <w:r>
        <w:t xml:space="preserve"> </w:t>
      </w:r>
      <w:r w:rsidRPr="005963FF">
        <w:t>vyrovnání</w:t>
      </w:r>
      <w:r>
        <w:t xml:space="preserve"> </w:t>
      </w:r>
      <w:r w:rsidRPr="005963FF">
        <w:t>příležitostí</w:t>
      </w:r>
      <w:r>
        <w:t xml:space="preserve"> </w:t>
      </w:r>
      <w:r w:rsidRPr="005963FF">
        <w:t>studovat</w:t>
      </w:r>
      <w:r>
        <w:t xml:space="preserve"> </w:t>
      </w:r>
      <w:r w:rsidRPr="005963FF">
        <w:t>na</w:t>
      </w:r>
      <w:r>
        <w:t xml:space="preserve"> </w:t>
      </w:r>
      <w:r w:rsidRPr="005963FF">
        <w:t>vysoké</w:t>
      </w:r>
      <w:r>
        <w:t xml:space="preserve"> </w:t>
      </w:r>
      <w:r w:rsidRPr="005963FF">
        <w:t>škole,</w:t>
      </w:r>
    </w:p>
    <w:p w14:paraId="43B165D5" w14:textId="17C6EA84" w:rsidR="00B510F2" w:rsidRDefault="00B510F2" w:rsidP="00393B51">
      <w:pPr>
        <w:pStyle w:val="Textparagrafu"/>
        <w:tabs>
          <w:tab w:val="left" w:pos="392"/>
          <w:tab w:val="left" w:pos="840"/>
        </w:tabs>
        <w:spacing w:before="0"/>
        <w:ind w:left="426" w:hanging="426"/>
      </w:pPr>
      <w:r w:rsidRPr="005963FF">
        <w:t>f)</w:t>
      </w:r>
      <w:r>
        <w:tab/>
      </w:r>
      <w:r w:rsidRPr="005963FF">
        <w:t>činit</w:t>
      </w:r>
      <w:r>
        <w:t xml:space="preserve"> </w:t>
      </w:r>
      <w:r w:rsidRPr="005963FF">
        <w:t>vhodná</w:t>
      </w:r>
      <w:r>
        <w:t xml:space="preserve"> </w:t>
      </w:r>
      <w:r w:rsidRPr="005963FF">
        <w:t>opatření</w:t>
      </w:r>
      <w:r>
        <w:t xml:space="preserve"> </w:t>
      </w:r>
      <w:r w:rsidRPr="005963FF">
        <w:t>pro</w:t>
      </w:r>
      <w:r>
        <w:t xml:space="preserve"> </w:t>
      </w:r>
      <w:r w:rsidRPr="005963FF">
        <w:t>studium</w:t>
      </w:r>
      <w:r>
        <w:t xml:space="preserve"> </w:t>
      </w:r>
      <w:r w:rsidRPr="005963FF">
        <w:t>rodičů</w:t>
      </w:r>
      <w:r>
        <w:t xml:space="preserve"> </w:t>
      </w:r>
      <w:r w:rsidRPr="005963FF">
        <w:t>a</w:t>
      </w:r>
      <w:r>
        <w:t xml:space="preserve"> </w:t>
      </w:r>
      <w:r w:rsidRPr="005963FF">
        <w:t>osob,</w:t>
      </w:r>
      <w:r>
        <w:t xml:space="preserve"> </w:t>
      </w:r>
      <w:r w:rsidRPr="005963FF">
        <w:t>které</w:t>
      </w:r>
      <w:r>
        <w:t xml:space="preserve"> </w:t>
      </w:r>
      <w:r w:rsidRPr="005963FF">
        <w:t>převzaly</w:t>
      </w:r>
      <w:r>
        <w:t xml:space="preserve"> </w:t>
      </w:r>
      <w:r w:rsidRPr="005963FF">
        <w:t>dítě</w:t>
      </w:r>
      <w:r>
        <w:t xml:space="preserve"> </w:t>
      </w:r>
      <w:r w:rsidRPr="005963FF">
        <w:t>do</w:t>
      </w:r>
      <w:r>
        <w:t xml:space="preserve"> </w:t>
      </w:r>
      <w:r w:rsidRPr="005963FF">
        <w:t>péče</w:t>
      </w:r>
      <w:r>
        <w:t xml:space="preserve"> </w:t>
      </w:r>
      <w:r w:rsidRPr="005963FF">
        <w:t>nahrazující</w:t>
      </w:r>
      <w:r>
        <w:t xml:space="preserve"> </w:t>
      </w:r>
      <w:r w:rsidRPr="005963FF">
        <w:t>péči</w:t>
      </w:r>
      <w:r>
        <w:t xml:space="preserve"> </w:t>
      </w:r>
      <w:r w:rsidRPr="005963FF">
        <w:t>rodičů</w:t>
      </w:r>
      <w:r>
        <w:t xml:space="preserve"> </w:t>
      </w:r>
      <w:r w:rsidRPr="005963FF">
        <w:t>na</w:t>
      </w:r>
      <w:r>
        <w:t xml:space="preserve"> </w:t>
      </w:r>
      <w:r w:rsidRPr="005963FF">
        <w:t>základě</w:t>
      </w:r>
      <w:r>
        <w:t xml:space="preserve"> </w:t>
      </w:r>
      <w:r w:rsidRPr="005963FF">
        <w:t>rozhodnutí</w:t>
      </w:r>
      <w:r>
        <w:t xml:space="preserve"> </w:t>
      </w:r>
      <w:r w:rsidRPr="005963FF">
        <w:t>příslušného</w:t>
      </w:r>
      <w:r>
        <w:t xml:space="preserve"> </w:t>
      </w:r>
      <w:r w:rsidRPr="005963FF">
        <w:t>orgánu</w:t>
      </w:r>
      <w:r>
        <w:t xml:space="preserve"> </w:t>
      </w:r>
      <w:r w:rsidRPr="005963FF">
        <w:t>podle</w:t>
      </w:r>
      <w:r>
        <w:t xml:space="preserve"> </w:t>
      </w:r>
      <w:r w:rsidRPr="005963FF">
        <w:t>občanského</w:t>
      </w:r>
      <w:r>
        <w:t xml:space="preserve"> zákoníku</w:t>
      </w:r>
      <w:r>
        <w:rPr>
          <w:rStyle w:val="Znakapoznpodarou"/>
        </w:rPr>
        <w:footnoteReference w:customMarkFollows="1" w:id="280"/>
        <w:t>29)</w:t>
      </w:r>
      <w:r>
        <w:t xml:space="preserve"> </w:t>
      </w:r>
      <w:r w:rsidRPr="005963FF">
        <w:t>nebo</w:t>
      </w:r>
      <w:r>
        <w:t xml:space="preserve"> </w:t>
      </w:r>
      <w:r w:rsidRPr="005963FF">
        <w:t>právních</w:t>
      </w:r>
      <w:r>
        <w:t xml:space="preserve"> </w:t>
      </w:r>
      <w:r w:rsidRPr="005963FF">
        <w:t>předpisů</w:t>
      </w:r>
      <w:r>
        <w:t xml:space="preserve"> </w:t>
      </w:r>
      <w:r w:rsidRPr="005963FF">
        <w:t>upravujících</w:t>
      </w:r>
      <w:r>
        <w:t xml:space="preserve"> </w:t>
      </w:r>
      <w:r w:rsidRPr="005963FF">
        <w:t>státní</w:t>
      </w:r>
      <w:r>
        <w:t xml:space="preserve"> </w:t>
      </w:r>
      <w:r w:rsidRPr="005963FF">
        <w:t>sociální</w:t>
      </w:r>
      <w:r>
        <w:t xml:space="preserve"> podporu</w:t>
      </w:r>
      <w:r>
        <w:rPr>
          <w:rStyle w:val="Znakapoznpodarou"/>
        </w:rPr>
        <w:footnoteReference w:customMarkFollows="1" w:id="281"/>
        <w:t>30)</w:t>
      </w:r>
      <w:r w:rsidRPr="005963FF">
        <w:t>,</w:t>
      </w:r>
      <w:r>
        <w:t xml:space="preserve"> </w:t>
      </w:r>
      <w:r w:rsidRPr="005963FF">
        <w:t>a</w:t>
      </w:r>
      <w:r>
        <w:t xml:space="preserve"> </w:t>
      </w:r>
      <w:r w:rsidRPr="005963FF">
        <w:t>to</w:t>
      </w:r>
      <w:r>
        <w:t xml:space="preserve"> </w:t>
      </w:r>
      <w:r w:rsidRPr="005963FF">
        <w:t>po</w:t>
      </w:r>
      <w:r>
        <w:t xml:space="preserve"> </w:t>
      </w:r>
      <w:r w:rsidRPr="005963FF">
        <w:t>dobu,</w:t>
      </w:r>
      <w:r>
        <w:t xml:space="preserve"> </w:t>
      </w:r>
      <w:r w:rsidRPr="005963FF">
        <w:t>po</w:t>
      </w:r>
      <w:r>
        <w:t xml:space="preserve"> </w:t>
      </w:r>
      <w:r w:rsidRPr="005963FF">
        <w:t>kterou</w:t>
      </w:r>
      <w:r>
        <w:t xml:space="preserve"> </w:t>
      </w:r>
      <w:r w:rsidRPr="005963FF">
        <w:t>by</w:t>
      </w:r>
      <w:r>
        <w:t xml:space="preserve"> </w:t>
      </w:r>
      <w:r w:rsidRPr="005963FF">
        <w:t>jinak</w:t>
      </w:r>
      <w:r>
        <w:t xml:space="preserve"> </w:t>
      </w:r>
      <w:r w:rsidRPr="005963FF">
        <w:t>trvala</w:t>
      </w:r>
      <w:r>
        <w:t xml:space="preserve"> </w:t>
      </w:r>
      <w:r w:rsidRPr="005963FF">
        <w:t>jejich</w:t>
      </w:r>
      <w:r>
        <w:t xml:space="preserve"> </w:t>
      </w:r>
      <w:r w:rsidRPr="005963FF">
        <w:t>mateřská</w:t>
      </w:r>
      <w:r>
        <w:t xml:space="preserve"> </w:t>
      </w:r>
      <w:r w:rsidRPr="005963FF">
        <w:t>či</w:t>
      </w:r>
      <w:r>
        <w:t xml:space="preserve"> </w:t>
      </w:r>
      <w:r w:rsidRPr="005963FF">
        <w:t>rodičovská</w:t>
      </w:r>
      <w:r>
        <w:t xml:space="preserve"> dovolená</w:t>
      </w:r>
      <w:r>
        <w:rPr>
          <w:rStyle w:val="Znakapoznpodarou"/>
        </w:rPr>
        <w:footnoteReference w:customMarkFollows="1" w:id="282"/>
        <w:t>11a)</w:t>
      </w:r>
      <w:r>
        <w:t xml:space="preserve"> </w:t>
      </w:r>
      <w:r w:rsidRPr="005963FF">
        <w:t>(dále</w:t>
      </w:r>
      <w:r>
        <w:t xml:space="preserve"> </w:t>
      </w:r>
      <w:r w:rsidRPr="005963FF">
        <w:t>jen</w:t>
      </w:r>
      <w:r>
        <w:t xml:space="preserve"> </w:t>
      </w:r>
      <w:r w:rsidRPr="005963FF">
        <w:t>„uznaná</w:t>
      </w:r>
      <w:r>
        <w:t xml:space="preserve"> </w:t>
      </w:r>
      <w:r w:rsidRPr="005963FF">
        <w:t>doba</w:t>
      </w:r>
      <w:r>
        <w:t xml:space="preserve"> </w:t>
      </w:r>
      <w:r w:rsidRPr="005963FF">
        <w:t>rodičovství“),</w:t>
      </w:r>
    </w:p>
    <w:p w14:paraId="079C7CF7" w14:textId="5CF3440C" w:rsidR="00B510F2" w:rsidRDefault="00B510F2" w:rsidP="00393B51">
      <w:pPr>
        <w:pStyle w:val="Textparagrafu"/>
        <w:tabs>
          <w:tab w:val="left" w:pos="392"/>
          <w:tab w:val="left" w:pos="840"/>
        </w:tabs>
        <w:spacing w:before="0"/>
        <w:ind w:left="426" w:hanging="426"/>
      </w:pPr>
      <w:r w:rsidRPr="005963FF">
        <w:t>g)</w:t>
      </w:r>
      <w:r>
        <w:tab/>
      </w:r>
      <w:r w:rsidRPr="005963FF">
        <w:t>provádět</w:t>
      </w:r>
      <w:r>
        <w:t xml:space="preserve"> </w:t>
      </w:r>
      <w:r w:rsidRPr="005963FF">
        <w:t>vnitřní</w:t>
      </w:r>
      <w:r>
        <w:t xml:space="preserve"> </w:t>
      </w:r>
      <w:r w:rsidRPr="005963FF">
        <w:t>hodnocení</w:t>
      </w:r>
      <w:r>
        <w:t xml:space="preserve"> </w:t>
      </w:r>
      <w:r w:rsidRPr="005963FF">
        <w:t>kvality</w:t>
      </w:r>
      <w:r>
        <w:t xml:space="preserve"> </w:t>
      </w:r>
      <w:r w:rsidRPr="005963FF">
        <w:t>vzdělávací,</w:t>
      </w:r>
      <w:r>
        <w:t xml:space="preserve"> </w:t>
      </w:r>
      <w:r w:rsidRPr="005963FF">
        <w:t>tvůrčí</w:t>
      </w:r>
      <w:r>
        <w:t xml:space="preserve"> </w:t>
      </w:r>
      <w:r w:rsidRPr="005963FF">
        <w:t>a</w:t>
      </w:r>
      <w:r>
        <w:t xml:space="preserve"> </w:t>
      </w:r>
      <w:r w:rsidRPr="005963FF">
        <w:t>s</w:t>
      </w:r>
      <w:r>
        <w:t xml:space="preserve"> </w:t>
      </w:r>
      <w:r w:rsidRPr="005963FF">
        <w:t>nimi</w:t>
      </w:r>
      <w:r>
        <w:t xml:space="preserve"> </w:t>
      </w:r>
      <w:r w:rsidRPr="005963FF">
        <w:t>souvisejících</w:t>
      </w:r>
      <w:r>
        <w:t xml:space="preserve"> </w:t>
      </w:r>
      <w:r w:rsidRPr="005963FF">
        <w:t>činností</w:t>
      </w:r>
      <w:r>
        <w:t xml:space="preserve"> </w:t>
      </w:r>
      <w:r w:rsidRPr="005963FF">
        <w:t>vysoké</w:t>
      </w:r>
      <w:r>
        <w:t xml:space="preserve"> </w:t>
      </w:r>
      <w:r w:rsidRPr="005963FF">
        <w:t>školy</w:t>
      </w:r>
      <w:r>
        <w:t xml:space="preserve"> </w:t>
      </w:r>
      <w:r w:rsidRPr="005963FF">
        <w:t>za</w:t>
      </w:r>
      <w:r>
        <w:t xml:space="preserve"> </w:t>
      </w:r>
      <w:r w:rsidRPr="005963FF">
        <w:t>podmínek</w:t>
      </w:r>
      <w:r>
        <w:t xml:space="preserve"> </w:t>
      </w:r>
      <w:r w:rsidRPr="005963FF">
        <w:t>stanovených</w:t>
      </w:r>
      <w:r>
        <w:t xml:space="preserve"> </w:t>
      </w:r>
      <w:r w:rsidRPr="005963FF">
        <w:t>v</w:t>
      </w:r>
      <w:r>
        <w:t xml:space="preserve"> </w:t>
      </w:r>
      <w:r w:rsidRPr="005963FF">
        <w:t>§</w:t>
      </w:r>
      <w:r>
        <w:t xml:space="preserve"> </w:t>
      </w:r>
      <w:r w:rsidRPr="005963FF">
        <w:t>77b,</w:t>
      </w:r>
    </w:p>
    <w:p w14:paraId="1972C861" w14:textId="6D7B59F9" w:rsidR="00B510F2" w:rsidRDefault="00B510F2" w:rsidP="00393B51">
      <w:pPr>
        <w:pStyle w:val="Textparagrafu"/>
        <w:tabs>
          <w:tab w:val="left" w:pos="392"/>
          <w:tab w:val="left" w:pos="840"/>
        </w:tabs>
        <w:spacing w:before="0"/>
        <w:ind w:left="426" w:hanging="426"/>
      </w:pPr>
      <w:r w:rsidRPr="005963FF">
        <w:t>h)</w:t>
      </w:r>
      <w:r>
        <w:tab/>
      </w:r>
      <w:r w:rsidRPr="005963FF">
        <w:t>ve</w:t>
      </w:r>
      <w:r>
        <w:t xml:space="preserve"> </w:t>
      </w:r>
      <w:r w:rsidRPr="005963FF">
        <w:t>veřejné</w:t>
      </w:r>
      <w:r>
        <w:t xml:space="preserve"> </w:t>
      </w:r>
      <w:r w:rsidRPr="005963FF">
        <w:t>části</w:t>
      </w:r>
      <w:r>
        <w:t xml:space="preserve"> </w:t>
      </w:r>
      <w:r w:rsidRPr="005963FF">
        <w:t>svých</w:t>
      </w:r>
      <w:r>
        <w:t xml:space="preserve"> </w:t>
      </w:r>
      <w:r w:rsidRPr="005963FF">
        <w:t>internetových</w:t>
      </w:r>
      <w:r>
        <w:t xml:space="preserve"> </w:t>
      </w:r>
      <w:r w:rsidRPr="005963FF">
        <w:t>stránek</w:t>
      </w:r>
      <w:r>
        <w:t xml:space="preserve"> </w:t>
      </w:r>
      <w:r w:rsidRPr="005963FF">
        <w:t>zveřejňovat</w:t>
      </w:r>
      <w:r>
        <w:t xml:space="preserve"> </w:t>
      </w:r>
      <w:r w:rsidRPr="005963FF">
        <w:t>seznam</w:t>
      </w:r>
      <w:r>
        <w:t xml:space="preserve"> </w:t>
      </w:r>
      <w:r w:rsidRPr="005963FF">
        <w:t>studijních</w:t>
      </w:r>
      <w:r>
        <w:t xml:space="preserve"> </w:t>
      </w:r>
      <w:r w:rsidRPr="005963FF">
        <w:t>programů,</w:t>
      </w:r>
      <w:r>
        <w:t xml:space="preserve"> </w:t>
      </w:r>
      <w:r w:rsidRPr="005963FF">
        <w:t>které</w:t>
      </w:r>
      <w:r>
        <w:t xml:space="preserve"> </w:t>
      </w:r>
      <w:r w:rsidRPr="005963FF">
        <w:t>uskutečňuje,</w:t>
      </w:r>
      <w:r>
        <w:t xml:space="preserve"> </w:t>
      </w:r>
      <w:r w:rsidRPr="005963FF">
        <w:t>jejich</w:t>
      </w:r>
      <w:r>
        <w:t xml:space="preserve"> </w:t>
      </w:r>
      <w:r w:rsidRPr="005963FF">
        <w:t>typy</w:t>
      </w:r>
      <w:r>
        <w:t xml:space="preserve"> </w:t>
      </w:r>
      <w:r w:rsidRPr="005963FF">
        <w:t>a</w:t>
      </w:r>
      <w:r>
        <w:t xml:space="preserve"> </w:t>
      </w:r>
      <w:r w:rsidRPr="005963FF">
        <w:t>profily,</w:t>
      </w:r>
      <w:r>
        <w:t xml:space="preserve"> </w:t>
      </w:r>
      <w:r w:rsidRPr="005963FF">
        <w:t>formy</w:t>
      </w:r>
      <w:r>
        <w:t xml:space="preserve"> </w:t>
      </w:r>
      <w:r w:rsidRPr="005963FF">
        <w:t>výuky,</w:t>
      </w:r>
      <w:r>
        <w:t xml:space="preserve"> </w:t>
      </w:r>
      <w:r w:rsidRPr="005963FF">
        <w:t>standardní</w:t>
      </w:r>
      <w:r>
        <w:t xml:space="preserve"> </w:t>
      </w:r>
      <w:r w:rsidRPr="005963FF">
        <w:t>doby</w:t>
      </w:r>
      <w:r>
        <w:t xml:space="preserve"> </w:t>
      </w:r>
      <w:r w:rsidRPr="005963FF">
        <w:t>studia</w:t>
      </w:r>
      <w:r>
        <w:t xml:space="preserve"> </w:t>
      </w:r>
      <w:r w:rsidRPr="005963FF">
        <w:t>a</w:t>
      </w:r>
      <w:r>
        <w:t xml:space="preserve"> </w:t>
      </w:r>
      <w:r w:rsidRPr="005963FF">
        <w:t>informace</w:t>
      </w:r>
      <w:r>
        <w:t xml:space="preserve"> </w:t>
      </w:r>
      <w:r w:rsidRPr="005963FF">
        <w:t>o</w:t>
      </w:r>
      <w:r>
        <w:t xml:space="preserve"> </w:t>
      </w:r>
      <w:r w:rsidRPr="005963FF">
        <w:t>jejich</w:t>
      </w:r>
      <w:r>
        <w:t xml:space="preserve"> </w:t>
      </w:r>
      <w:r w:rsidRPr="005963FF">
        <w:t>dostupnosti</w:t>
      </w:r>
      <w:r>
        <w:t xml:space="preserve"> </w:t>
      </w:r>
      <w:r w:rsidRPr="005963FF">
        <w:t>pro</w:t>
      </w:r>
      <w:r>
        <w:t xml:space="preserve"> </w:t>
      </w:r>
      <w:r w:rsidRPr="005963FF">
        <w:t>osoby</w:t>
      </w:r>
      <w:r>
        <w:t xml:space="preserve"> </w:t>
      </w:r>
      <w:r w:rsidRPr="005963FF">
        <w:t>se</w:t>
      </w:r>
      <w:r>
        <w:t xml:space="preserve"> </w:t>
      </w:r>
      <w:r w:rsidRPr="005963FF">
        <w:t>zdravotním</w:t>
      </w:r>
      <w:r>
        <w:t xml:space="preserve"> </w:t>
      </w:r>
      <w:r w:rsidRPr="005963FF">
        <w:t>postižením,</w:t>
      </w:r>
      <w:r>
        <w:t xml:space="preserve"> </w:t>
      </w:r>
      <w:r w:rsidRPr="005963FF">
        <w:t>a</w:t>
      </w:r>
      <w:r>
        <w:t xml:space="preserve"> </w:t>
      </w:r>
      <w:r w:rsidRPr="005963FF">
        <w:t>seznam</w:t>
      </w:r>
      <w:r>
        <w:t xml:space="preserve"> </w:t>
      </w:r>
      <w:r w:rsidRPr="005963FF">
        <w:t>oborů,</w:t>
      </w:r>
      <w:r>
        <w:t xml:space="preserve"> </w:t>
      </w:r>
      <w:r w:rsidRPr="005963FF">
        <w:t>ve</w:t>
      </w:r>
      <w:r>
        <w:t xml:space="preserve"> </w:t>
      </w:r>
      <w:r w:rsidRPr="005963FF">
        <w:t>kterých</w:t>
      </w:r>
      <w:r>
        <w:t xml:space="preserve"> </w:t>
      </w:r>
      <w:r w:rsidRPr="005963FF">
        <w:t>je</w:t>
      </w:r>
      <w:r>
        <w:t xml:space="preserve"> </w:t>
      </w:r>
      <w:r w:rsidRPr="005963FF">
        <w:t>oprávněna</w:t>
      </w:r>
      <w:r>
        <w:t xml:space="preserve"> </w:t>
      </w:r>
      <w:r w:rsidRPr="005963FF">
        <w:t>konat</w:t>
      </w:r>
      <w:r>
        <w:t xml:space="preserve"> </w:t>
      </w:r>
      <w:r w:rsidRPr="005963FF">
        <w:t>habilitační</w:t>
      </w:r>
      <w:r>
        <w:t xml:space="preserve"> </w:t>
      </w:r>
      <w:r w:rsidRPr="005963FF">
        <w:t>řízení</w:t>
      </w:r>
      <w:r>
        <w:t xml:space="preserve"> </w:t>
      </w:r>
      <w:r w:rsidRPr="005963FF">
        <w:t>nebo</w:t>
      </w:r>
      <w:r>
        <w:t xml:space="preserve"> </w:t>
      </w:r>
      <w:r w:rsidRPr="005963FF">
        <w:t>řízení</w:t>
      </w:r>
      <w:r>
        <w:t xml:space="preserve"> </w:t>
      </w:r>
      <w:r w:rsidRPr="005963FF">
        <w:t>ke</w:t>
      </w:r>
      <w:r>
        <w:t xml:space="preserve"> </w:t>
      </w:r>
      <w:r w:rsidRPr="005963FF">
        <w:t>jmenování</w:t>
      </w:r>
      <w:r>
        <w:t xml:space="preserve"> </w:t>
      </w:r>
      <w:r w:rsidRPr="005963FF">
        <w:t>profesorem,</w:t>
      </w:r>
      <w:r>
        <w:t xml:space="preserve"> </w:t>
      </w:r>
      <w:r w:rsidRPr="005963FF">
        <w:t>s</w:t>
      </w:r>
      <w:r>
        <w:t xml:space="preserve"> </w:t>
      </w:r>
      <w:r w:rsidRPr="005963FF">
        <w:t>uvedením</w:t>
      </w:r>
      <w:r>
        <w:t xml:space="preserve"> </w:t>
      </w:r>
      <w:r w:rsidRPr="005963FF">
        <w:t>fakulty,</w:t>
      </w:r>
      <w:r>
        <w:t xml:space="preserve"> </w:t>
      </w:r>
      <w:r w:rsidRPr="005963FF">
        <w:t>je-li</w:t>
      </w:r>
      <w:r>
        <w:t xml:space="preserve"> </w:t>
      </w:r>
      <w:r w:rsidRPr="005963FF">
        <w:t>studijní</w:t>
      </w:r>
      <w:r>
        <w:t xml:space="preserve"> </w:t>
      </w:r>
      <w:r w:rsidRPr="005963FF">
        <w:t>program</w:t>
      </w:r>
      <w:r>
        <w:t xml:space="preserve"> </w:t>
      </w:r>
      <w:r w:rsidRPr="005963FF">
        <w:t>nebo</w:t>
      </w:r>
      <w:r>
        <w:t xml:space="preserve"> </w:t>
      </w:r>
      <w:r w:rsidRPr="005963FF">
        <w:t>obor,</w:t>
      </w:r>
      <w:r>
        <w:t xml:space="preserve"> </w:t>
      </w:r>
      <w:r w:rsidRPr="005963FF">
        <w:t>ve</w:t>
      </w:r>
      <w:r>
        <w:t xml:space="preserve"> </w:t>
      </w:r>
      <w:r w:rsidRPr="005963FF">
        <w:t>kterém</w:t>
      </w:r>
      <w:r>
        <w:t xml:space="preserve"> </w:t>
      </w:r>
      <w:r w:rsidRPr="005963FF">
        <w:t>je</w:t>
      </w:r>
      <w:r>
        <w:t xml:space="preserve"> </w:t>
      </w:r>
      <w:r w:rsidRPr="005963FF">
        <w:t>oprávněna</w:t>
      </w:r>
      <w:r>
        <w:t xml:space="preserve"> </w:t>
      </w:r>
      <w:r w:rsidRPr="005963FF">
        <w:t>konat</w:t>
      </w:r>
      <w:r>
        <w:t xml:space="preserve"> </w:t>
      </w:r>
      <w:r w:rsidRPr="005963FF">
        <w:t>habilitační</w:t>
      </w:r>
      <w:r>
        <w:t xml:space="preserve"> </w:t>
      </w:r>
      <w:r w:rsidRPr="005963FF">
        <w:t>řízení</w:t>
      </w:r>
      <w:r>
        <w:t xml:space="preserve"> </w:t>
      </w:r>
      <w:r w:rsidRPr="005963FF">
        <w:t>nebo</w:t>
      </w:r>
      <w:r>
        <w:t xml:space="preserve"> </w:t>
      </w:r>
      <w:r w:rsidRPr="005963FF">
        <w:t>řízení</w:t>
      </w:r>
      <w:r>
        <w:t xml:space="preserve"> </w:t>
      </w:r>
      <w:r w:rsidRPr="005963FF">
        <w:t>ke</w:t>
      </w:r>
      <w:r>
        <w:t xml:space="preserve"> </w:t>
      </w:r>
      <w:r w:rsidRPr="005963FF">
        <w:t>jmenování</w:t>
      </w:r>
      <w:r>
        <w:t xml:space="preserve"> </w:t>
      </w:r>
      <w:r w:rsidRPr="005963FF">
        <w:t>profesorem,</w:t>
      </w:r>
      <w:r>
        <w:t xml:space="preserve"> </w:t>
      </w:r>
      <w:r w:rsidRPr="005963FF">
        <w:t>uskutečňován</w:t>
      </w:r>
      <w:r>
        <w:t xml:space="preserve"> </w:t>
      </w:r>
      <w:r w:rsidRPr="005963FF">
        <w:t>na</w:t>
      </w:r>
      <w:r>
        <w:t xml:space="preserve"> </w:t>
      </w:r>
      <w:r w:rsidRPr="005963FF">
        <w:t>fakultě;</w:t>
      </w:r>
      <w:r>
        <w:t xml:space="preserve"> </w:t>
      </w:r>
      <w:r w:rsidRPr="005963FF">
        <w:t>o</w:t>
      </w:r>
      <w:r>
        <w:t xml:space="preserve"> </w:t>
      </w:r>
      <w:r w:rsidRPr="005963FF">
        <w:t>změnách</w:t>
      </w:r>
      <w:r>
        <w:t xml:space="preserve"> </w:t>
      </w:r>
      <w:r w:rsidRPr="005963FF">
        <w:t>prováděných</w:t>
      </w:r>
      <w:r>
        <w:t xml:space="preserve"> </w:t>
      </w:r>
      <w:r w:rsidRPr="005963FF">
        <w:t>v</w:t>
      </w:r>
      <w:r>
        <w:t xml:space="preserve"> </w:t>
      </w:r>
      <w:r w:rsidRPr="005963FF">
        <w:t>rámci</w:t>
      </w:r>
      <w:r>
        <w:t xml:space="preserve"> </w:t>
      </w:r>
      <w:r w:rsidRPr="005963FF">
        <w:t>oprávnění</w:t>
      </w:r>
      <w:r>
        <w:t xml:space="preserve"> </w:t>
      </w:r>
      <w:r w:rsidRPr="005963FF">
        <w:t>vyplývajících</w:t>
      </w:r>
      <w:r>
        <w:t xml:space="preserve"> </w:t>
      </w:r>
      <w:r w:rsidRPr="005963FF">
        <w:t>z</w:t>
      </w:r>
      <w:r>
        <w:t xml:space="preserve"> </w:t>
      </w:r>
      <w:r w:rsidRPr="005963FF">
        <w:t>institucionální</w:t>
      </w:r>
      <w:r>
        <w:t xml:space="preserve"> </w:t>
      </w:r>
      <w:r w:rsidRPr="005963FF">
        <w:t>akreditace</w:t>
      </w:r>
      <w:r>
        <w:t xml:space="preserve"> </w:t>
      </w:r>
      <w:r w:rsidRPr="005963FF">
        <w:t>a</w:t>
      </w:r>
      <w:r>
        <w:t xml:space="preserve"> </w:t>
      </w:r>
      <w:r w:rsidRPr="005963FF">
        <w:t>o</w:t>
      </w:r>
      <w:r>
        <w:t xml:space="preserve"> </w:t>
      </w:r>
      <w:r w:rsidRPr="005963FF">
        <w:t>změnách</w:t>
      </w:r>
      <w:r>
        <w:t xml:space="preserve"> </w:t>
      </w:r>
      <w:r w:rsidRPr="005963FF">
        <w:t>ve</w:t>
      </w:r>
      <w:r>
        <w:t xml:space="preserve"> </w:t>
      </w:r>
      <w:r w:rsidRPr="005963FF">
        <w:t>výčtu</w:t>
      </w:r>
      <w:r>
        <w:t xml:space="preserve"> </w:t>
      </w:r>
      <w:r w:rsidRPr="005963FF">
        <w:t>uskutečňovaných</w:t>
      </w:r>
      <w:r>
        <w:t xml:space="preserve"> </w:t>
      </w:r>
      <w:r w:rsidRPr="005963FF">
        <w:t>studijních</w:t>
      </w:r>
      <w:r>
        <w:t xml:space="preserve"> </w:t>
      </w:r>
      <w:r w:rsidRPr="005963FF">
        <w:t>programů</w:t>
      </w:r>
      <w:r>
        <w:t xml:space="preserve"> </w:t>
      </w:r>
      <w:r w:rsidRPr="005963FF">
        <w:t>je</w:t>
      </w:r>
      <w:r>
        <w:t xml:space="preserve"> </w:t>
      </w:r>
      <w:r w:rsidRPr="005963FF">
        <w:t>povinna</w:t>
      </w:r>
      <w:r>
        <w:t xml:space="preserve"> </w:t>
      </w:r>
      <w:r w:rsidRPr="005963FF">
        <w:t>předem</w:t>
      </w:r>
      <w:r>
        <w:t xml:space="preserve"> </w:t>
      </w:r>
      <w:r w:rsidRPr="005963FF">
        <w:t>informovat</w:t>
      </w:r>
      <w:r>
        <w:t xml:space="preserve"> </w:t>
      </w:r>
      <w:r w:rsidRPr="005963FF">
        <w:t>Akreditační</w:t>
      </w:r>
      <w:r>
        <w:t xml:space="preserve"> </w:t>
      </w:r>
      <w:r w:rsidRPr="005963FF">
        <w:t>úřad,</w:t>
      </w:r>
    </w:p>
    <w:p w14:paraId="637DF100" w14:textId="5D184CF9" w:rsidR="00B510F2" w:rsidRDefault="00B510F2" w:rsidP="00393B51">
      <w:pPr>
        <w:pStyle w:val="Textparagrafu"/>
        <w:tabs>
          <w:tab w:val="left" w:pos="392"/>
          <w:tab w:val="left" w:pos="840"/>
        </w:tabs>
        <w:spacing w:before="0"/>
        <w:ind w:left="426" w:hanging="426"/>
      </w:pPr>
      <w:r w:rsidRPr="005963FF">
        <w:t>i)</w:t>
      </w:r>
      <w:r>
        <w:tab/>
      </w:r>
      <w:r w:rsidRPr="005963FF">
        <w:t>zveřejňovat</w:t>
      </w:r>
      <w:r>
        <w:t xml:space="preserve"> </w:t>
      </w:r>
      <w:r w:rsidRPr="005963FF">
        <w:t>ve</w:t>
      </w:r>
      <w:r>
        <w:t xml:space="preserve"> </w:t>
      </w:r>
      <w:r w:rsidRPr="005963FF">
        <w:t>veřejné</w:t>
      </w:r>
      <w:r>
        <w:t xml:space="preserve"> </w:t>
      </w:r>
      <w:r w:rsidRPr="005963FF">
        <w:t>části</w:t>
      </w:r>
      <w:r>
        <w:t xml:space="preserve"> </w:t>
      </w:r>
      <w:r w:rsidRPr="005963FF">
        <w:t>svých</w:t>
      </w:r>
      <w:r>
        <w:t xml:space="preserve"> </w:t>
      </w:r>
      <w:r w:rsidRPr="005963FF">
        <w:t>internetových</w:t>
      </w:r>
      <w:r>
        <w:t xml:space="preserve"> </w:t>
      </w:r>
      <w:r w:rsidRPr="005963FF">
        <w:t>stránek</w:t>
      </w:r>
      <w:r>
        <w:t xml:space="preserve"> </w:t>
      </w:r>
      <w:r w:rsidRPr="005963FF">
        <w:t>registrované</w:t>
      </w:r>
      <w:r>
        <w:t xml:space="preserve"> </w:t>
      </w:r>
      <w:r w:rsidRPr="005963FF">
        <w:t>vnitřní</w:t>
      </w:r>
      <w:r>
        <w:t xml:space="preserve"> </w:t>
      </w:r>
      <w:r w:rsidRPr="005963FF">
        <w:t>předpisy</w:t>
      </w:r>
      <w:r>
        <w:t xml:space="preserve"> </w:t>
      </w:r>
      <w:r w:rsidRPr="005963FF">
        <w:t>veřejné</w:t>
      </w:r>
      <w:r>
        <w:t xml:space="preserve"> </w:t>
      </w:r>
      <w:r w:rsidRPr="005963FF">
        <w:t>vysoké</w:t>
      </w:r>
      <w:r>
        <w:t xml:space="preserve"> </w:t>
      </w:r>
      <w:r w:rsidRPr="005963FF">
        <w:t>školy</w:t>
      </w:r>
      <w:r>
        <w:t xml:space="preserve"> </w:t>
      </w:r>
      <w:r w:rsidRPr="005963FF">
        <w:t>včetně</w:t>
      </w:r>
      <w:r>
        <w:t xml:space="preserve"> </w:t>
      </w:r>
      <w:r w:rsidRPr="005963FF">
        <w:t>údajů</w:t>
      </w:r>
      <w:r>
        <w:t xml:space="preserve"> </w:t>
      </w:r>
      <w:r w:rsidRPr="005963FF">
        <w:t>o</w:t>
      </w:r>
      <w:r>
        <w:t xml:space="preserve"> </w:t>
      </w:r>
      <w:r w:rsidRPr="005963FF">
        <w:t>době</w:t>
      </w:r>
      <w:r>
        <w:t xml:space="preserve"> </w:t>
      </w:r>
      <w:r w:rsidRPr="005963FF">
        <w:t>jejich</w:t>
      </w:r>
      <w:r>
        <w:t xml:space="preserve"> </w:t>
      </w:r>
      <w:r w:rsidRPr="005963FF">
        <w:t>platnosti</w:t>
      </w:r>
      <w:r>
        <w:t xml:space="preserve"> </w:t>
      </w:r>
      <w:r w:rsidRPr="005963FF">
        <w:t>a</w:t>
      </w:r>
      <w:r>
        <w:t xml:space="preserve"> </w:t>
      </w:r>
      <w:r w:rsidRPr="005963FF">
        <w:t>účinnosti,</w:t>
      </w:r>
    </w:p>
    <w:p w14:paraId="71937CF1" w14:textId="2EDC13D2" w:rsidR="00B510F2" w:rsidRDefault="00B510F2" w:rsidP="00393B51">
      <w:pPr>
        <w:pStyle w:val="Textparagrafu"/>
        <w:tabs>
          <w:tab w:val="left" w:pos="392"/>
          <w:tab w:val="left" w:pos="840"/>
        </w:tabs>
        <w:spacing w:before="0"/>
        <w:ind w:left="426" w:hanging="426"/>
      </w:pPr>
      <w:r w:rsidRPr="005963FF">
        <w:t>j)</w:t>
      </w:r>
      <w:r>
        <w:tab/>
      </w:r>
      <w:r w:rsidRPr="005963FF">
        <w:t>ve</w:t>
      </w:r>
      <w:r>
        <w:t xml:space="preserve"> </w:t>
      </w:r>
      <w:r w:rsidRPr="005963FF">
        <w:t>veřejné</w:t>
      </w:r>
      <w:r>
        <w:t xml:space="preserve"> </w:t>
      </w:r>
      <w:r w:rsidRPr="005963FF">
        <w:t>části</w:t>
      </w:r>
      <w:r>
        <w:t xml:space="preserve"> </w:t>
      </w:r>
      <w:r w:rsidRPr="005963FF">
        <w:t>svých</w:t>
      </w:r>
      <w:r>
        <w:t xml:space="preserve"> </w:t>
      </w:r>
      <w:r w:rsidRPr="005963FF">
        <w:t>internetových</w:t>
      </w:r>
      <w:r>
        <w:t xml:space="preserve"> </w:t>
      </w:r>
      <w:r w:rsidRPr="005963FF">
        <w:t>stránek</w:t>
      </w:r>
      <w:r>
        <w:t xml:space="preserve"> </w:t>
      </w:r>
      <w:r w:rsidRPr="005963FF">
        <w:t>zveřejňovat</w:t>
      </w:r>
      <w:r>
        <w:t xml:space="preserve"> </w:t>
      </w:r>
      <w:r w:rsidRPr="005963FF">
        <w:t>informace</w:t>
      </w:r>
      <w:r>
        <w:t xml:space="preserve"> </w:t>
      </w:r>
      <w:r w:rsidRPr="005963FF">
        <w:t>o</w:t>
      </w:r>
      <w:r>
        <w:t xml:space="preserve"> </w:t>
      </w:r>
      <w:r w:rsidRPr="005963FF">
        <w:t>omezení</w:t>
      </w:r>
      <w:r>
        <w:t xml:space="preserve"> </w:t>
      </w:r>
      <w:r w:rsidRPr="005963FF">
        <w:t>nebo</w:t>
      </w:r>
      <w:r>
        <w:t xml:space="preserve"> </w:t>
      </w:r>
      <w:r w:rsidRPr="005963FF">
        <w:t>odnětí</w:t>
      </w:r>
      <w:r>
        <w:t xml:space="preserve"> </w:t>
      </w:r>
      <w:r w:rsidRPr="005963FF">
        <w:t>institucionální</w:t>
      </w:r>
      <w:r>
        <w:t xml:space="preserve"> </w:t>
      </w:r>
      <w:r w:rsidRPr="005963FF">
        <w:t>akreditace,</w:t>
      </w:r>
      <w:r>
        <w:t xml:space="preserve"> </w:t>
      </w:r>
      <w:r w:rsidRPr="005963FF">
        <w:t>o</w:t>
      </w:r>
      <w:r>
        <w:t xml:space="preserve"> </w:t>
      </w:r>
      <w:r w:rsidRPr="005963FF">
        <w:t>omezení</w:t>
      </w:r>
      <w:r>
        <w:t xml:space="preserve"> </w:t>
      </w:r>
      <w:r w:rsidRPr="005963FF">
        <w:t>nebo</w:t>
      </w:r>
      <w:r>
        <w:t xml:space="preserve"> </w:t>
      </w:r>
      <w:r w:rsidRPr="005963FF">
        <w:t>zániku</w:t>
      </w:r>
      <w:r>
        <w:t xml:space="preserve"> </w:t>
      </w:r>
      <w:r w:rsidRPr="005963FF">
        <w:t>oprávnění</w:t>
      </w:r>
      <w:r>
        <w:t xml:space="preserve"> </w:t>
      </w:r>
      <w:r w:rsidRPr="005963FF">
        <w:t>uskutečňovat</w:t>
      </w:r>
      <w:r>
        <w:t xml:space="preserve"> </w:t>
      </w:r>
      <w:r w:rsidRPr="005963FF">
        <w:t>studijní</w:t>
      </w:r>
      <w:r>
        <w:t xml:space="preserve"> </w:t>
      </w:r>
      <w:r w:rsidRPr="005963FF">
        <w:t>program,</w:t>
      </w:r>
      <w:r>
        <w:t xml:space="preserve"> </w:t>
      </w:r>
      <w:r w:rsidRPr="005963FF">
        <w:t>o</w:t>
      </w:r>
      <w:r>
        <w:t xml:space="preserve"> </w:t>
      </w:r>
      <w:r w:rsidRPr="005963FF">
        <w:t>omezení</w:t>
      </w:r>
      <w:r>
        <w:t xml:space="preserve"> </w:t>
      </w:r>
      <w:r w:rsidRPr="005963FF">
        <w:t>nebo</w:t>
      </w:r>
      <w:r>
        <w:t xml:space="preserve"> </w:t>
      </w:r>
      <w:r w:rsidRPr="005963FF">
        <w:t>odnětí</w:t>
      </w:r>
      <w:r>
        <w:t xml:space="preserve"> </w:t>
      </w:r>
      <w:r w:rsidRPr="005963FF">
        <w:t>akreditace</w:t>
      </w:r>
      <w:r>
        <w:t xml:space="preserve"> </w:t>
      </w:r>
      <w:r w:rsidRPr="005963FF">
        <w:t>studijních</w:t>
      </w:r>
      <w:r>
        <w:t xml:space="preserve"> </w:t>
      </w:r>
      <w:r w:rsidRPr="005963FF">
        <w:t>programů</w:t>
      </w:r>
      <w:r>
        <w:t xml:space="preserve"> </w:t>
      </w:r>
      <w:r w:rsidRPr="005963FF">
        <w:t>a</w:t>
      </w:r>
      <w:r>
        <w:t xml:space="preserve"> </w:t>
      </w:r>
      <w:r w:rsidRPr="005963FF">
        <w:t>o</w:t>
      </w:r>
      <w:r>
        <w:t xml:space="preserve"> </w:t>
      </w:r>
      <w:r w:rsidRPr="005963FF">
        <w:t>pozastavení</w:t>
      </w:r>
      <w:r>
        <w:t xml:space="preserve"> </w:t>
      </w:r>
      <w:r w:rsidRPr="005963FF">
        <w:t>nebo</w:t>
      </w:r>
      <w:r>
        <w:t xml:space="preserve"> </w:t>
      </w:r>
      <w:r w:rsidRPr="005963FF">
        <w:t>odnětí</w:t>
      </w:r>
      <w:r>
        <w:t xml:space="preserve"> </w:t>
      </w:r>
      <w:r w:rsidRPr="005963FF">
        <w:t>akreditace</w:t>
      </w:r>
      <w:r>
        <w:t xml:space="preserve"> </w:t>
      </w:r>
      <w:r w:rsidRPr="005963FF">
        <w:t>habilitačního</w:t>
      </w:r>
      <w:r>
        <w:t xml:space="preserve"> </w:t>
      </w:r>
      <w:r w:rsidRPr="005963FF">
        <w:t>řízení</w:t>
      </w:r>
      <w:r>
        <w:t xml:space="preserve"> </w:t>
      </w:r>
      <w:r w:rsidRPr="005963FF">
        <w:t>nebo</w:t>
      </w:r>
      <w:r>
        <w:t xml:space="preserve"> </w:t>
      </w:r>
      <w:r w:rsidRPr="005963FF">
        <w:t>řízení</w:t>
      </w:r>
      <w:r>
        <w:t xml:space="preserve"> </w:t>
      </w:r>
      <w:r w:rsidRPr="005963FF">
        <w:t>ke</w:t>
      </w:r>
      <w:r>
        <w:t xml:space="preserve"> </w:t>
      </w:r>
      <w:r w:rsidRPr="005963FF">
        <w:t>jmenování</w:t>
      </w:r>
      <w:r>
        <w:t xml:space="preserve"> </w:t>
      </w:r>
      <w:r w:rsidRPr="005963FF">
        <w:t>profesorem.</w:t>
      </w:r>
    </w:p>
    <w:p w14:paraId="422D11A0" w14:textId="77777777" w:rsidR="00B510F2" w:rsidRDefault="00B510F2" w:rsidP="00566368">
      <w:pPr>
        <w:pStyle w:val="Textparagrafu"/>
        <w:tabs>
          <w:tab w:val="left" w:pos="392"/>
          <w:tab w:val="left" w:pos="840"/>
        </w:tabs>
        <w:spacing w:before="120" w:after="120"/>
      </w:pPr>
      <w:r w:rsidRPr="005963FF">
        <w:t>(2)</w:t>
      </w:r>
      <w:r>
        <w:t xml:space="preserve"> </w:t>
      </w:r>
      <w:r w:rsidRPr="005963FF">
        <w:t>Výroční</w:t>
      </w:r>
      <w:r>
        <w:t xml:space="preserve"> </w:t>
      </w:r>
      <w:r w:rsidRPr="005963FF">
        <w:t>zpráva</w:t>
      </w:r>
      <w:r>
        <w:t xml:space="preserve"> </w:t>
      </w:r>
      <w:r w:rsidRPr="005963FF">
        <w:t>o</w:t>
      </w:r>
      <w:r>
        <w:t xml:space="preserve"> </w:t>
      </w:r>
      <w:r w:rsidRPr="005963FF">
        <w:t>činnosti</w:t>
      </w:r>
      <w:r>
        <w:t xml:space="preserve"> </w:t>
      </w:r>
      <w:r w:rsidRPr="005963FF">
        <w:t>veřejné</w:t>
      </w:r>
      <w:r>
        <w:t xml:space="preserve"> </w:t>
      </w:r>
      <w:r w:rsidRPr="005963FF">
        <w:t>vysoké</w:t>
      </w:r>
      <w:r>
        <w:t xml:space="preserve"> </w:t>
      </w:r>
      <w:r w:rsidRPr="005963FF">
        <w:t>školy</w:t>
      </w:r>
      <w:r>
        <w:t xml:space="preserve"> </w:t>
      </w:r>
      <w:r w:rsidRPr="005963FF">
        <w:t>obsahuje</w:t>
      </w:r>
      <w:r>
        <w:t xml:space="preserve"> </w:t>
      </w:r>
      <w:r w:rsidRPr="005963FF">
        <w:t>mimo</w:t>
      </w:r>
      <w:r>
        <w:t xml:space="preserve"> </w:t>
      </w:r>
      <w:r w:rsidRPr="005963FF">
        <w:t>jiné:</w:t>
      </w:r>
    </w:p>
    <w:p w14:paraId="560A0C81" w14:textId="7C651C71" w:rsidR="00B510F2" w:rsidRDefault="00B510F2" w:rsidP="00B510F2">
      <w:pPr>
        <w:pStyle w:val="Textparagrafu"/>
        <w:tabs>
          <w:tab w:val="left" w:pos="392"/>
          <w:tab w:val="left" w:pos="840"/>
        </w:tabs>
        <w:spacing w:before="0"/>
        <w:ind w:firstLine="0"/>
      </w:pPr>
      <w:r w:rsidRPr="005963FF">
        <w:t>a)</w:t>
      </w:r>
      <w:r w:rsidR="000A6E57">
        <w:tab/>
      </w:r>
      <w:r w:rsidRPr="005963FF">
        <w:t>přehled</w:t>
      </w:r>
      <w:r>
        <w:t xml:space="preserve"> </w:t>
      </w:r>
      <w:r w:rsidRPr="005963FF">
        <w:t>činností</w:t>
      </w:r>
      <w:r>
        <w:t xml:space="preserve"> </w:t>
      </w:r>
      <w:r w:rsidRPr="005963FF">
        <w:t>vykonávaných</w:t>
      </w:r>
      <w:r>
        <w:t xml:space="preserve"> </w:t>
      </w:r>
      <w:r w:rsidRPr="005963FF">
        <w:t>v</w:t>
      </w:r>
      <w:r>
        <w:t xml:space="preserve"> </w:t>
      </w:r>
      <w:r w:rsidRPr="005963FF">
        <w:t>kalendářním</w:t>
      </w:r>
      <w:r>
        <w:t xml:space="preserve"> </w:t>
      </w:r>
      <w:r w:rsidRPr="005963FF">
        <w:t>roce,</w:t>
      </w:r>
    </w:p>
    <w:p w14:paraId="5A8E817C" w14:textId="19C1D255" w:rsidR="00B510F2" w:rsidRDefault="00B510F2" w:rsidP="00B510F2">
      <w:pPr>
        <w:pStyle w:val="Textparagrafu"/>
        <w:tabs>
          <w:tab w:val="left" w:pos="392"/>
          <w:tab w:val="left" w:pos="840"/>
        </w:tabs>
        <w:spacing w:before="0"/>
        <w:ind w:firstLine="0"/>
      </w:pPr>
      <w:r w:rsidRPr="005963FF">
        <w:t>b)</w:t>
      </w:r>
      <w:r w:rsidR="000A6E57">
        <w:tab/>
      </w:r>
      <w:r w:rsidRPr="005963FF">
        <w:t>rámcové</w:t>
      </w:r>
      <w:r>
        <w:t xml:space="preserve"> </w:t>
      </w:r>
      <w:r w:rsidRPr="005963FF">
        <w:t>výsledky</w:t>
      </w:r>
      <w:r>
        <w:t xml:space="preserve"> </w:t>
      </w:r>
      <w:r w:rsidRPr="005963FF">
        <w:t>hodnocení</w:t>
      </w:r>
      <w:r>
        <w:t xml:space="preserve"> </w:t>
      </w:r>
      <w:r w:rsidRPr="005963FF">
        <w:t>činnosti</w:t>
      </w:r>
      <w:r>
        <w:t xml:space="preserve"> </w:t>
      </w:r>
      <w:r w:rsidRPr="005963FF">
        <w:t>vysoké</w:t>
      </w:r>
      <w:r>
        <w:t xml:space="preserve"> </w:t>
      </w:r>
      <w:r w:rsidRPr="005963FF">
        <w:t>školy,</w:t>
      </w:r>
    </w:p>
    <w:p w14:paraId="280A5CF9" w14:textId="3CDBFC71" w:rsidR="00B510F2" w:rsidRDefault="00B510F2" w:rsidP="00B510F2">
      <w:pPr>
        <w:pStyle w:val="Textparagrafu"/>
        <w:tabs>
          <w:tab w:val="left" w:pos="392"/>
          <w:tab w:val="left" w:pos="840"/>
        </w:tabs>
        <w:spacing w:before="0"/>
        <w:ind w:firstLine="0"/>
      </w:pPr>
      <w:r w:rsidRPr="005963FF">
        <w:t>c)</w:t>
      </w:r>
      <w:r w:rsidR="000A6E57">
        <w:tab/>
      </w:r>
      <w:r w:rsidRPr="005963FF">
        <w:t>změny</w:t>
      </w:r>
      <w:r>
        <w:t xml:space="preserve"> </w:t>
      </w:r>
      <w:r w:rsidRPr="005963FF">
        <w:t>vnitřních</w:t>
      </w:r>
      <w:r>
        <w:t xml:space="preserve"> </w:t>
      </w:r>
      <w:r w:rsidRPr="005963FF">
        <w:t>předpisů</w:t>
      </w:r>
      <w:r>
        <w:t xml:space="preserve"> </w:t>
      </w:r>
      <w:r w:rsidRPr="005963FF">
        <w:t>a</w:t>
      </w:r>
      <w:r>
        <w:t xml:space="preserve"> </w:t>
      </w:r>
      <w:r w:rsidRPr="005963FF">
        <w:t>změny</w:t>
      </w:r>
      <w:r>
        <w:t xml:space="preserve"> </w:t>
      </w:r>
      <w:r w:rsidRPr="005963FF">
        <w:t>v</w:t>
      </w:r>
      <w:r>
        <w:t xml:space="preserve"> </w:t>
      </w:r>
      <w:r w:rsidRPr="005963FF">
        <w:t>orgánech</w:t>
      </w:r>
      <w:r>
        <w:t xml:space="preserve"> </w:t>
      </w:r>
      <w:r w:rsidRPr="005963FF">
        <w:t>vysoké</w:t>
      </w:r>
      <w:r>
        <w:t xml:space="preserve"> </w:t>
      </w:r>
      <w:r w:rsidRPr="005963FF">
        <w:t>školy,</w:t>
      </w:r>
      <w:r>
        <w:t xml:space="preserve"> </w:t>
      </w:r>
      <w:r w:rsidRPr="005963FF">
        <w:t>k</w:t>
      </w:r>
      <w:r>
        <w:t xml:space="preserve"> </w:t>
      </w:r>
      <w:r w:rsidRPr="005963FF">
        <w:t>nimž</w:t>
      </w:r>
      <w:r>
        <w:t xml:space="preserve"> </w:t>
      </w:r>
      <w:r w:rsidRPr="005963FF">
        <w:t>došlo</w:t>
      </w:r>
      <w:r>
        <w:t xml:space="preserve"> </w:t>
      </w:r>
      <w:r w:rsidRPr="005963FF">
        <w:t>v</w:t>
      </w:r>
      <w:r>
        <w:t xml:space="preserve"> </w:t>
      </w:r>
      <w:r w:rsidRPr="005963FF">
        <w:t>průběhu</w:t>
      </w:r>
      <w:r>
        <w:t xml:space="preserve"> </w:t>
      </w:r>
      <w:r w:rsidRPr="005963FF">
        <w:t>roku,</w:t>
      </w:r>
    </w:p>
    <w:p w14:paraId="309D77A7" w14:textId="15A969AF" w:rsidR="00B510F2" w:rsidRDefault="00B510F2" w:rsidP="00B510F2">
      <w:pPr>
        <w:pStyle w:val="Textparagrafu"/>
        <w:tabs>
          <w:tab w:val="left" w:pos="392"/>
          <w:tab w:val="left" w:pos="840"/>
        </w:tabs>
        <w:spacing w:before="0"/>
        <w:ind w:firstLine="0"/>
      </w:pPr>
      <w:r w:rsidRPr="005963FF">
        <w:t>d)</w:t>
      </w:r>
      <w:r w:rsidR="000A6E57">
        <w:tab/>
      </w:r>
      <w:r w:rsidRPr="005963FF">
        <w:t>další</w:t>
      </w:r>
      <w:r>
        <w:t xml:space="preserve"> </w:t>
      </w:r>
      <w:r w:rsidRPr="005963FF">
        <w:t>údaje</w:t>
      </w:r>
      <w:r>
        <w:t xml:space="preserve"> </w:t>
      </w:r>
      <w:r w:rsidRPr="005963FF">
        <w:t>stanovené</w:t>
      </w:r>
      <w:r>
        <w:t xml:space="preserve"> </w:t>
      </w:r>
      <w:r w:rsidRPr="005963FF">
        <w:t>správní</w:t>
      </w:r>
      <w:r>
        <w:t xml:space="preserve"> </w:t>
      </w:r>
      <w:r w:rsidRPr="005963FF">
        <w:t>radou</w:t>
      </w:r>
      <w:r>
        <w:t xml:space="preserve"> </w:t>
      </w:r>
      <w:r w:rsidRPr="005963FF">
        <w:t>veřejné</w:t>
      </w:r>
      <w:r>
        <w:t xml:space="preserve"> </w:t>
      </w:r>
      <w:r w:rsidRPr="005963FF">
        <w:t>vysoké</w:t>
      </w:r>
      <w:r>
        <w:t xml:space="preserve"> </w:t>
      </w:r>
      <w:r w:rsidRPr="005963FF">
        <w:t>školy.</w:t>
      </w:r>
    </w:p>
    <w:p w14:paraId="2404082D" w14:textId="77777777" w:rsidR="00B510F2" w:rsidRDefault="00B510F2" w:rsidP="00566368">
      <w:pPr>
        <w:pStyle w:val="Textparagrafu"/>
        <w:tabs>
          <w:tab w:val="left" w:pos="392"/>
          <w:tab w:val="left" w:pos="840"/>
        </w:tabs>
        <w:spacing w:before="120" w:after="120"/>
      </w:pPr>
      <w:r w:rsidRPr="005963FF">
        <w:t>(3)</w:t>
      </w:r>
      <w:r>
        <w:t xml:space="preserve"> </w:t>
      </w:r>
      <w:r w:rsidRPr="005963FF">
        <w:t>Výroční</w:t>
      </w:r>
      <w:r>
        <w:t xml:space="preserve"> </w:t>
      </w:r>
      <w:r w:rsidRPr="005963FF">
        <w:t>zpráva</w:t>
      </w:r>
      <w:r>
        <w:t xml:space="preserve"> </w:t>
      </w:r>
      <w:r w:rsidRPr="005963FF">
        <w:t>o</w:t>
      </w:r>
      <w:r>
        <w:t xml:space="preserve"> </w:t>
      </w:r>
      <w:r w:rsidRPr="005963FF">
        <w:t>hospodaření</w:t>
      </w:r>
      <w:r>
        <w:t xml:space="preserve"> </w:t>
      </w:r>
      <w:r w:rsidRPr="005963FF">
        <w:t>veřejné</w:t>
      </w:r>
      <w:r>
        <w:t xml:space="preserve"> </w:t>
      </w:r>
      <w:r w:rsidRPr="005963FF">
        <w:t>vysoké</w:t>
      </w:r>
      <w:r>
        <w:t xml:space="preserve"> </w:t>
      </w:r>
      <w:r w:rsidRPr="005963FF">
        <w:t>školy</w:t>
      </w:r>
      <w:r>
        <w:t xml:space="preserve"> </w:t>
      </w:r>
      <w:r w:rsidRPr="005963FF">
        <w:t>obsahuje</w:t>
      </w:r>
      <w:r>
        <w:t xml:space="preserve"> </w:t>
      </w:r>
      <w:r w:rsidRPr="005963FF">
        <w:t>mimo</w:t>
      </w:r>
      <w:r>
        <w:t xml:space="preserve"> </w:t>
      </w:r>
      <w:r w:rsidRPr="005963FF">
        <w:t>jiné:</w:t>
      </w:r>
    </w:p>
    <w:p w14:paraId="49BA7D44" w14:textId="3AA9BCC4" w:rsidR="00B510F2" w:rsidRDefault="00B510F2" w:rsidP="00B510F2">
      <w:pPr>
        <w:pStyle w:val="Textparagrafu"/>
        <w:tabs>
          <w:tab w:val="left" w:pos="392"/>
          <w:tab w:val="left" w:pos="840"/>
        </w:tabs>
        <w:spacing w:before="0"/>
        <w:ind w:firstLine="0"/>
      </w:pPr>
      <w:r w:rsidRPr="005963FF">
        <w:t>a)</w:t>
      </w:r>
      <w:r w:rsidR="000A6E57">
        <w:tab/>
      </w:r>
      <w:r w:rsidRPr="00D10DE3">
        <w:rPr>
          <w:strike/>
        </w:rPr>
        <w:t>roční</w:t>
      </w:r>
      <w:r>
        <w:t xml:space="preserve"> </w:t>
      </w:r>
      <w:r w:rsidR="00D10DE3">
        <w:rPr>
          <w:b/>
        </w:rPr>
        <w:t xml:space="preserve">řádnou individuální </w:t>
      </w:r>
      <w:r w:rsidRPr="005963FF">
        <w:t>účetní</w:t>
      </w:r>
      <w:r>
        <w:t xml:space="preserve"> </w:t>
      </w:r>
      <w:r w:rsidRPr="005963FF">
        <w:t>závěrku</w:t>
      </w:r>
      <w:r>
        <w:t xml:space="preserve"> </w:t>
      </w:r>
      <w:r w:rsidRPr="005963FF">
        <w:t>a</w:t>
      </w:r>
      <w:r>
        <w:t xml:space="preserve"> </w:t>
      </w:r>
      <w:r w:rsidRPr="005963FF">
        <w:t>zhodnocení</w:t>
      </w:r>
      <w:r>
        <w:t xml:space="preserve"> </w:t>
      </w:r>
      <w:r w:rsidRPr="005963FF">
        <w:t>základních</w:t>
      </w:r>
      <w:r>
        <w:t xml:space="preserve"> </w:t>
      </w:r>
      <w:r w:rsidRPr="005963FF">
        <w:t>údajů</w:t>
      </w:r>
      <w:r>
        <w:t xml:space="preserve"> </w:t>
      </w:r>
      <w:r w:rsidRPr="005963FF">
        <w:t>v</w:t>
      </w:r>
      <w:r>
        <w:t xml:space="preserve"> </w:t>
      </w:r>
      <w:r w:rsidRPr="005963FF">
        <w:t>ní</w:t>
      </w:r>
      <w:r>
        <w:t xml:space="preserve"> </w:t>
      </w:r>
      <w:r w:rsidRPr="005963FF">
        <w:t>obsažených,</w:t>
      </w:r>
    </w:p>
    <w:p w14:paraId="12646828" w14:textId="044A8A56" w:rsidR="00B510F2" w:rsidRDefault="00B510F2" w:rsidP="00B510F2">
      <w:pPr>
        <w:pStyle w:val="Textparagrafu"/>
        <w:tabs>
          <w:tab w:val="left" w:pos="392"/>
          <w:tab w:val="left" w:pos="840"/>
        </w:tabs>
        <w:spacing w:before="0"/>
        <w:ind w:firstLine="0"/>
      </w:pPr>
      <w:r w:rsidRPr="005963FF">
        <w:t>b)</w:t>
      </w:r>
      <w:r w:rsidR="000A6E57">
        <w:tab/>
      </w:r>
      <w:r w:rsidRPr="005963FF">
        <w:t>výrok</w:t>
      </w:r>
      <w:r>
        <w:t xml:space="preserve"> </w:t>
      </w:r>
      <w:r w:rsidRPr="005963FF">
        <w:t>auditora</w:t>
      </w:r>
      <w:r>
        <w:t xml:space="preserve"> </w:t>
      </w:r>
      <w:r w:rsidRPr="005963FF">
        <w:t>k</w:t>
      </w:r>
      <w:r>
        <w:t xml:space="preserve"> </w:t>
      </w:r>
      <w:r w:rsidRPr="00D10DE3">
        <w:rPr>
          <w:strike/>
        </w:rPr>
        <w:t>roční</w:t>
      </w:r>
      <w:r>
        <w:t xml:space="preserve"> </w:t>
      </w:r>
      <w:r w:rsidR="00D10DE3">
        <w:rPr>
          <w:b/>
        </w:rPr>
        <w:t xml:space="preserve">řádné individuální </w:t>
      </w:r>
      <w:r w:rsidRPr="005963FF">
        <w:t>účetní</w:t>
      </w:r>
      <w:r>
        <w:t xml:space="preserve"> </w:t>
      </w:r>
      <w:r w:rsidRPr="005963FF">
        <w:t>závěrce,</w:t>
      </w:r>
      <w:r>
        <w:t xml:space="preserve"> </w:t>
      </w:r>
      <w:r w:rsidRPr="005963FF">
        <w:t>pokud</w:t>
      </w:r>
      <w:r>
        <w:t xml:space="preserve"> </w:t>
      </w:r>
      <w:r w:rsidRPr="005963FF">
        <w:t>byla</w:t>
      </w:r>
      <w:r>
        <w:t xml:space="preserve"> </w:t>
      </w:r>
      <w:r w:rsidRPr="005963FF">
        <w:t>auditorem</w:t>
      </w:r>
      <w:r>
        <w:t xml:space="preserve"> </w:t>
      </w:r>
      <w:r w:rsidRPr="005963FF">
        <w:t>ověřena,</w:t>
      </w:r>
    </w:p>
    <w:p w14:paraId="30FC80D4" w14:textId="68008A91" w:rsidR="00B510F2" w:rsidRDefault="00B510F2" w:rsidP="00B510F2">
      <w:pPr>
        <w:pStyle w:val="Textparagrafu"/>
        <w:tabs>
          <w:tab w:val="left" w:pos="392"/>
          <w:tab w:val="left" w:pos="840"/>
        </w:tabs>
        <w:spacing w:before="0"/>
        <w:ind w:firstLine="0"/>
      </w:pPr>
      <w:r w:rsidRPr="005963FF">
        <w:t>c)</w:t>
      </w:r>
      <w:r w:rsidR="000A6E57">
        <w:tab/>
      </w:r>
      <w:r w:rsidRPr="005963FF">
        <w:t>přehled</w:t>
      </w:r>
      <w:r>
        <w:t xml:space="preserve"> </w:t>
      </w:r>
      <w:r w:rsidRPr="005963FF">
        <w:t>o</w:t>
      </w:r>
      <w:r>
        <w:t xml:space="preserve"> </w:t>
      </w:r>
      <w:r w:rsidRPr="005963FF">
        <w:t>peněžních</w:t>
      </w:r>
      <w:r>
        <w:t xml:space="preserve"> </w:t>
      </w:r>
      <w:r w:rsidRPr="005963FF">
        <w:t>příjmech</w:t>
      </w:r>
      <w:r>
        <w:t xml:space="preserve"> </w:t>
      </w:r>
      <w:r w:rsidRPr="005963FF">
        <w:t>a</w:t>
      </w:r>
      <w:r>
        <w:t xml:space="preserve"> </w:t>
      </w:r>
      <w:r w:rsidRPr="005963FF">
        <w:t>výdajích,</w:t>
      </w:r>
    </w:p>
    <w:p w14:paraId="61E704A1" w14:textId="017A5BEC" w:rsidR="00B510F2" w:rsidRDefault="00B510F2" w:rsidP="00B510F2">
      <w:pPr>
        <w:pStyle w:val="Textparagrafu"/>
        <w:tabs>
          <w:tab w:val="left" w:pos="392"/>
          <w:tab w:val="left" w:pos="840"/>
        </w:tabs>
        <w:spacing w:before="0"/>
        <w:ind w:firstLine="0"/>
      </w:pPr>
      <w:r w:rsidRPr="005963FF">
        <w:t>d)</w:t>
      </w:r>
      <w:r w:rsidR="000A6E57">
        <w:tab/>
      </w:r>
      <w:r w:rsidRPr="005963FF">
        <w:t>přehled</w:t>
      </w:r>
      <w:r>
        <w:t xml:space="preserve"> </w:t>
      </w:r>
      <w:r w:rsidRPr="005963FF">
        <w:t>rozsahu</w:t>
      </w:r>
      <w:r>
        <w:t xml:space="preserve"> </w:t>
      </w:r>
      <w:r w:rsidRPr="005963FF">
        <w:t>příjmů</w:t>
      </w:r>
      <w:r>
        <w:t xml:space="preserve"> </w:t>
      </w:r>
      <w:r w:rsidRPr="005963FF">
        <w:t>a</w:t>
      </w:r>
      <w:r>
        <w:t xml:space="preserve"> </w:t>
      </w:r>
      <w:r w:rsidRPr="005963FF">
        <w:t>výnosů</w:t>
      </w:r>
      <w:r>
        <w:t xml:space="preserve"> </w:t>
      </w:r>
      <w:r w:rsidRPr="005963FF">
        <w:t>v</w:t>
      </w:r>
      <w:r>
        <w:t xml:space="preserve"> </w:t>
      </w:r>
      <w:r w:rsidRPr="005963FF">
        <w:t>členění</w:t>
      </w:r>
      <w:r>
        <w:t xml:space="preserve"> </w:t>
      </w:r>
      <w:r w:rsidRPr="005963FF">
        <w:t>podle</w:t>
      </w:r>
      <w:r>
        <w:t xml:space="preserve"> </w:t>
      </w:r>
      <w:r w:rsidRPr="005963FF">
        <w:t>zdrojů,</w:t>
      </w:r>
    </w:p>
    <w:p w14:paraId="76A9767E" w14:textId="6013B55F" w:rsidR="00B510F2" w:rsidRDefault="00B510F2" w:rsidP="00B510F2">
      <w:pPr>
        <w:pStyle w:val="Textparagrafu"/>
        <w:tabs>
          <w:tab w:val="left" w:pos="392"/>
          <w:tab w:val="left" w:pos="840"/>
        </w:tabs>
        <w:spacing w:before="0"/>
        <w:ind w:firstLine="0"/>
      </w:pPr>
      <w:r w:rsidRPr="005963FF">
        <w:t>e)</w:t>
      </w:r>
      <w:r w:rsidR="000A6E57">
        <w:tab/>
      </w:r>
      <w:r w:rsidRPr="005963FF">
        <w:t>vývoj</w:t>
      </w:r>
      <w:r>
        <w:t xml:space="preserve"> </w:t>
      </w:r>
      <w:r w:rsidRPr="005963FF">
        <w:t>a</w:t>
      </w:r>
      <w:r>
        <w:t xml:space="preserve"> </w:t>
      </w:r>
      <w:r w:rsidRPr="005963FF">
        <w:t>konečný</w:t>
      </w:r>
      <w:r>
        <w:t xml:space="preserve"> </w:t>
      </w:r>
      <w:r w:rsidRPr="005963FF">
        <w:t>stav</w:t>
      </w:r>
      <w:r>
        <w:t xml:space="preserve"> </w:t>
      </w:r>
      <w:r w:rsidRPr="005963FF">
        <w:t>fondů,</w:t>
      </w:r>
    </w:p>
    <w:p w14:paraId="5E33B017" w14:textId="672392D7" w:rsidR="00B510F2" w:rsidRDefault="00B510F2" w:rsidP="00B510F2">
      <w:pPr>
        <w:pStyle w:val="Textparagrafu"/>
        <w:tabs>
          <w:tab w:val="left" w:pos="392"/>
          <w:tab w:val="left" w:pos="840"/>
        </w:tabs>
        <w:spacing w:before="0"/>
        <w:ind w:firstLine="0"/>
      </w:pPr>
      <w:r w:rsidRPr="005963FF">
        <w:t>f)</w:t>
      </w:r>
      <w:r w:rsidR="000A6E57">
        <w:tab/>
      </w:r>
      <w:r w:rsidRPr="005963FF">
        <w:t>stav</w:t>
      </w:r>
      <w:r>
        <w:t xml:space="preserve"> </w:t>
      </w:r>
      <w:r w:rsidRPr="005963FF">
        <w:t>a</w:t>
      </w:r>
      <w:r>
        <w:t xml:space="preserve"> </w:t>
      </w:r>
      <w:r w:rsidRPr="005963FF">
        <w:t>pohyb</w:t>
      </w:r>
      <w:r>
        <w:t xml:space="preserve"> </w:t>
      </w:r>
      <w:r w:rsidRPr="00D10DE3">
        <w:rPr>
          <w:strike/>
        </w:rPr>
        <w:t>majetku a závazků</w:t>
      </w:r>
      <w:r w:rsidR="00D10DE3">
        <w:rPr>
          <w:strike/>
        </w:rPr>
        <w:t xml:space="preserve"> </w:t>
      </w:r>
      <w:r w:rsidR="00D10DE3" w:rsidRPr="00D20E3A">
        <w:rPr>
          <w:b/>
          <w:szCs w:val="24"/>
        </w:rPr>
        <w:t>aktiv a dluhů</w:t>
      </w:r>
      <w:r w:rsidRPr="005963FF">
        <w:t>,</w:t>
      </w:r>
    </w:p>
    <w:p w14:paraId="7FF746FB" w14:textId="20357241" w:rsidR="00B510F2" w:rsidRDefault="00B510F2" w:rsidP="00B510F2">
      <w:pPr>
        <w:pStyle w:val="Textparagrafu"/>
        <w:tabs>
          <w:tab w:val="left" w:pos="392"/>
          <w:tab w:val="left" w:pos="840"/>
        </w:tabs>
        <w:spacing w:before="0"/>
        <w:ind w:firstLine="0"/>
      </w:pPr>
      <w:r w:rsidRPr="005963FF">
        <w:t>g)</w:t>
      </w:r>
      <w:r w:rsidR="000A6E57">
        <w:tab/>
      </w:r>
      <w:r w:rsidRPr="005963FF">
        <w:t>úplný</w:t>
      </w:r>
      <w:r>
        <w:t xml:space="preserve"> </w:t>
      </w:r>
      <w:r w:rsidRPr="005963FF">
        <w:t>objem</w:t>
      </w:r>
      <w:r>
        <w:t xml:space="preserve"> </w:t>
      </w:r>
      <w:r w:rsidRPr="005963FF">
        <w:t>nákladů</w:t>
      </w:r>
      <w:r>
        <w:t xml:space="preserve"> </w:t>
      </w:r>
      <w:r w:rsidRPr="005963FF">
        <w:t>v</w:t>
      </w:r>
      <w:r>
        <w:t xml:space="preserve"> </w:t>
      </w:r>
      <w:r w:rsidRPr="005963FF">
        <w:t>členění</w:t>
      </w:r>
      <w:r>
        <w:t xml:space="preserve"> </w:t>
      </w:r>
      <w:r w:rsidRPr="005963FF">
        <w:t>na</w:t>
      </w:r>
      <w:r>
        <w:t xml:space="preserve"> </w:t>
      </w:r>
      <w:r w:rsidRPr="005963FF">
        <w:t>náklady</w:t>
      </w:r>
      <w:r>
        <w:t xml:space="preserve"> </w:t>
      </w:r>
      <w:r w:rsidRPr="005963FF">
        <w:t>pro</w:t>
      </w:r>
      <w:r>
        <w:t xml:space="preserve"> </w:t>
      </w:r>
      <w:r w:rsidRPr="005963FF">
        <w:t>plnění</w:t>
      </w:r>
      <w:r>
        <w:t xml:space="preserve"> </w:t>
      </w:r>
      <w:r w:rsidRPr="005963FF">
        <w:t>činností</w:t>
      </w:r>
      <w:r>
        <w:t xml:space="preserve"> </w:t>
      </w:r>
      <w:r w:rsidRPr="005963FF">
        <w:t>doplňkových</w:t>
      </w:r>
      <w:r>
        <w:t xml:space="preserve"> </w:t>
      </w:r>
      <w:r w:rsidRPr="005963FF">
        <w:t>a</w:t>
      </w:r>
      <w:r>
        <w:t xml:space="preserve"> </w:t>
      </w:r>
      <w:r w:rsidRPr="005963FF">
        <w:t>ostatních.</w:t>
      </w:r>
    </w:p>
    <w:p w14:paraId="4C6B0936" w14:textId="77777777" w:rsidR="00B510F2" w:rsidRPr="005963FF" w:rsidRDefault="00B510F2" w:rsidP="00566368">
      <w:pPr>
        <w:pStyle w:val="Textparagrafu"/>
        <w:tabs>
          <w:tab w:val="left" w:pos="392"/>
          <w:tab w:val="left" w:pos="840"/>
        </w:tabs>
        <w:spacing w:before="120" w:after="120"/>
      </w:pPr>
      <w:r w:rsidRPr="005963FF">
        <w:t>(4)</w:t>
      </w:r>
      <w:r>
        <w:t xml:space="preserve"> </w:t>
      </w:r>
      <w:r w:rsidRPr="005963FF">
        <w:t>Výroční</w:t>
      </w:r>
      <w:r>
        <w:t xml:space="preserve"> </w:t>
      </w:r>
      <w:r w:rsidRPr="005963FF">
        <w:t>zpráva</w:t>
      </w:r>
      <w:r>
        <w:t xml:space="preserve"> </w:t>
      </w:r>
      <w:r w:rsidRPr="005963FF">
        <w:t>o</w:t>
      </w:r>
      <w:r>
        <w:t xml:space="preserve"> </w:t>
      </w:r>
      <w:r w:rsidRPr="005963FF">
        <w:t>činnosti</w:t>
      </w:r>
      <w:r>
        <w:t xml:space="preserve"> </w:t>
      </w:r>
      <w:r w:rsidRPr="005963FF">
        <w:t>a</w:t>
      </w:r>
      <w:r>
        <w:t xml:space="preserve"> </w:t>
      </w:r>
      <w:r w:rsidRPr="005963FF">
        <w:t>výroční</w:t>
      </w:r>
      <w:r>
        <w:t xml:space="preserve"> </w:t>
      </w:r>
      <w:r w:rsidRPr="005963FF">
        <w:t>zpráva</w:t>
      </w:r>
      <w:r>
        <w:t xml:space="preserve"> </w:t>
      </w:r>
      <w:r w:rsidRPr="005963FF">
        <w:t>o</w:t>
      </w:r>
      <w:r>
        <w:t xml:space="preserve"> </w:t>
      </w:r>
      <w:r w:rsidRPr="005963FF">
        <w:t>hospodaření</w:t>
      </w:r>
      <w:r>
        <w:t xml:space="preserve"> </w:t>
      </w:r>
      <w:r w:rsidRPr="005963FF">
        <w:t>a</w:t>
      </w:r>
      <w:r>
        <w:t xml:space="preserve"> </w:t>
      </w:r>
      <w:r w:rsidRPr="005963FF">
        <w:t>strategický</w:t>
      </w:r>
      <w:r>
        <w:t xml:space="preserve"> </w:t>
      </w:r>
      <w:r w:rsidRPr="005963FF">
        <w:t>záměr</w:t>
      </w:r>
      <w:r>
        <w:t xml:space="preserve"> </w:t>
      </w:r>
      <w:r w:rsidRPr="005963FF">
        <w:t>veřejné</w:t>
      </w:r>
      <w:r>
        <w:t xml:space="preserve"> </w:t>
      </w:r>
      <w:r w:rsidRPr="005963FF">
        <w:t>vysoké</w:t>
      </w:r>
      <w:r>
        <w:t xml:space="preserve"> </w:t>
      </w:r>
      <w:r w:rsidRPr="005963FF">
        <w:t>školy</w:t>
      </w:r>
      <w:r>
        <w:t xml:space="preserve"> </w:t>
      </w:r>
      <w:r w:rsidRPr="005963FF">
        <w:t>musí</w:t>
      </w:r>
      <w:r>
        <w:t xml:space="preserve"> </w:t>
      </w:r>
      <w:r w:rsidRPr="005963FF">
        <w:t>být</w:t>
      </w:r>
      <w:r>
        <w:t xml:space="preserve"> </w:t>
      </w:r>
      <w:r w:rsidRPr="005963FF">
        <w:t>veřejně</w:t>
      </w:r>
      <w:r>
        <w:t xml:space="preserve"> </w:t>
      </w:r>
      <w:r w:rsidRPr="005963FF">
        <w:t>přístupné.</w:t>
      </w:r>
    </w:p>
    <w:p w14:paraId="4D315584" w14:textId="77777777" w:rsidR="00B510F2" w:rsidRDefault="00B510F2" w:rsidP="00CB5381">
      <w:pPr>
        <w:pStyle w:val="Textparagrafu"/>
        <w:tabs>
          <w:tab w:val="left" w:pos="406"/>
          <w:tab w:val="left" w:pos="840"/>
          <w:tab w:val="left" w:pos="868"/>
        </w:tabs>
        <w:spacing w:after="120"/>
        <w:ind w:firstLine="0"/>
        <w:sectPr w:rsidR="00B510F2" w:rsidSect="00B510F2">
          <w:footnotePr>
            <w:numStart w:val="3"/>
          </w:footnotePr>
          <w:endnotePr>
            <w:numFmt w:val="decimal"/>
          </w:endnotePr>
          <w:pgSz w:w="11906" w:h="16838"/>
          <w:pgMar w:top="1418" w:right="1418" w:bottom="1418" w:left="1418" w:header="709" w:footer="709" w:gutter="0"/>
          <w:cols w:space="708"/>
          <w:docGrid w:linePitch="360"/>
        </w:sectPr>
      </w:pPr>
    </w:p>
    <w:p w14:paraId="0376FE95" w14:textId="16988C2E" w:rsidR="002A3706" w:rsidRPr="00CB5381" w:rsidRDefault="002A3706" w:rsidP="00566368">
      <w:pPr>
        <w:tabs>
          <w:tab w:val="left" w:pos="851"/>
        </w:tabs>
        <w:spacing w:before="120" w:after="120"/>
        <w:ind w:firstLine="0"/>
        <w:jc w:val="center"/>
        <w:outlineLvl w:val="0"/>
        <w:rPr>
          <w:szCs w:val="24"/>
        </w:rPr>
      </w:pPr>
      <w:r w:rsidRPr="00CB5381">
        <w:rPr>
          <w:b/>
          <w:szCs w:val="24"/>
        </w:rPr>
        <w:lastRenderedPageBreak/>
        <w:t xml:space="preserve">K části třicáté </w:t>
      </w:r>
      <w:r w:rsidR="00393B51">
        <w:rPr>
          <w:b/>
          <w:szCs w:val="24"/>
        </w:rPr>
        <w:t>osmé</w:t>
      </w:r>
      <w:r w:rsidRPr="00CB5381">
        <w:rPr>
          <w:b/>
          <w:szCs w:val="24"/>
        </w:rPr>
        <w:t xml:space="preserve"> návrhu zákona – </w:t>
      </w:r>
      <w:r w:rsidRPr="00CB5381">
        <w:rPr>
          <w:szCs w:val="24"/>
        </w:rPr>
        <w:t xml:space="preserve">změna </w:t>
      </w:r>
      <w:r w:rsidR="00755CB6">
        <w:rPr>
          <w:szCs w:val="24"/>
        </w:rPr>
        <w:t>veterinárního zákona</w:t>
      </w:r>
    </w:p>
    <w:p w14:paraId="071154F4" w14:textId="6D025916" w:rsidR="002A3706" w:rsidRPr="002A3706" w:rsidRDefault="002A3706" w:rsidP="002A3706">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CB5381">
        <w:rPr>
          <w:b/>
          <w:szCs w:val="24"/>
        </w:rPr>
        <w:t>Platné znění</w:t>
      </w:r>
      <w:r w:rsidRPr="00CB5381">
        <w:rPr>
          <w:szCs w:val="24"/>
        </w:rPr>
        <w:t xml:space="preserve"> zákona </w:t>
      </w:r>
      <w:r w:rsidRPr="00CB5381">
        <w:rPr>
          <w:color w:val="000000"/>
          <w:szCs w:val="24"/>
        </w:rPr>
        <w:t>č.1</w:t>
      </w:r>
      <w:r>
        <w:rPr>
          <w:color w:val="000000"/>
          <w:szCs w:val="24"/>
        </w:rPr>
        <w:t>66</w:t>
      </w:r>
      <w:r w:rsidRPr="00CB5381">
        <w:rPr>
          <w:color w:val="000000"/>
          <w:szCs w:val="24"/>
        </w:rPr>
        <w:t>/</w:t>
      </w:r>
      <w:r w:rsidRPr="00CB5381">
        <w:rPr>
          <w:szCs w:val="24"/>
        </w:rPr>
        <w:t>199</w:t>
      </w:r>
      <w:r>
        <w:rPr>
          <w:szCs w:val="24"/>
        </w:rPr>
        <w:t>9</w:t>
      </w:r>
      <w:r w:rsidRPr="00CB5381">
        <w:rPr>
          <w:szCs w:val="24"/>
        </w:rPr>
        <w:t xml:space="preserve"> Sb., </w:t>
      </w:r>
      <w:r w:rsidRPr="002A3706">
        <w:rPr>
          <w:szCs w:val="24"/>
        </w:rPr>
        <w:t>o veterinární péči a o změně některých souvisejících zákonů</w:t>
      </w:r>
      <w:r>
        <w:rPr>
          <w:szCs w:val="24"/>
        </w:rPr>
        <w:t xml:space="preserve"> </w:t>
      </w:r>
      <w:r w:rsidRPr="002A3706">
        <w:rPr>
          <w:szCs w:val="24"/>
        </w:rPr>
        <w:t>(veterinární zákon)</w:t>
      </w:r>
    </w:p>
    <w:p w14:paraId="3EF4B84F" w14:textId="61390825" w:rsidR="002A3706" w:rsidRPr="00CB5381" w:rsidRDefault="00566368" w:rsidP="002A3706">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AE4818">
        <w:rPr>
          <w:b/>
          <w:szCs w:val="24"/>
          <w:lang w:eastAsia="en-US"/>
        </w:rPr>
        <w:t>s vyznačením navrhovaných změn a doplnění k 1. lednu 2025</w:t>
      </w:r>
    </w:p>
    <w:p w14:paraId="7C1C8B7F" w14:textId="77777777" w:rsidR="002A3706" w:rsidRDefault="002A3706" w:rsidP="002A3706">
      <w:pPr>
        <w:pStyle w:val="Textparagrafu"/>
        <w:tabs>
          <w:tab w:val="left" w:pos="406"/>
          <w:tab w:val="left" w:pos="840"/>
          <w:tab w:val="left" w:pos="868"/>
        </w:tabs>
        <w:spacing w:after="120"/>
        <w:ind w:firstLine="0"/>
        <w:jc w:val="center"/>
      </w:pPr>
      <w:r>
        <w:t>***</w:t>
      </w:r>
    </w:p>
    <w:p w14:paraId="71279254" w14:textId="1F53344A" w:rsidR="00156893" w:rsidRDefault="00156893" w:rsidP="00156893">
      <w:pPr>
        <w:pStyle w:val="Textparagrafu"/>
        <w:ind w:firstLine="0"/>
        <w:jc w:val="center"/>
      </w:pPr>
      <w:r w:rsidRPr="00D13DBF">
        <w:t>47</w:t>
      </w:r>
    </w:p>
    <w:p w14:paraId="16258BAA" w14:textId="77777777" w:rsidR="00156893" w:rsidRPr="00156893" w:rsidRDefault="00156893" w:rsidP="00156893">
      <w:pPr>
        <w:pStyle w:val="Textparagrafu"/>
        <w:ind w:firstLine="0"/>
        <w:jc w:val="center"/>
        <w:rPr>
          <w:b/>
        </w:rPr>
      </w:pPr>
      <w:r w:rsidRPr="00156893">
        <w:rPr>
          <w:b/>
        </w:rPr>
        <w:t>Orgány veterinární správy</w:t>
      </w:r>
    </w:p>
    <w:p w14:paraId="396BC902" w14:textId="77777777" w:rsidR="00156893" w:rsidRDefault="00156893" w:rsidP="00566368">
      <w:pPr>
        <w:pStyle w:val="Textparagrafu"/>
        <w:spacing w:before="120" w:after="120"/>
      </w:pPr>
      <w:r w:rsidRPr="00D13DBF">
        <w:t>(1)</w:t>
      </w:r>
      <w:r>
        <w:t xml:space="preserve"> </w:t>
      </w:r>
      <w:r w:rsidRPr="00D13DBF">
        <w:t>Státní</w:t>
      </w:r>
      <w:r>
        <w:t xml:space="preserve"> </w:t>
      </w:r>
      <w:r w:rsidRPr="00D13DBF">
        <w:t>veterinární</w:t>
      </w:r>
      <w:r>
        <w:t xml:space="preserve"> </w:t>
      </w:r>
      <w:r w:rsidRPr="00D13DBF">
        <w:t>správa</w:t>
      </w:r>
      <w:r>
        <w:t xml:space="preserve"> </w:t>
      </w:r>
      <w:r w:rsidRPr="00D13DBF">
        <w:t>je</w:t>
      </w:r>
      <w:r>
        <w:t xml:space="preserve"> </w:t>
      </w:r>
      <w:r w:rsidRPr="00D13DBF">
        <w:t>orgánem</w:t>
      </w:r>
      <w:r>
        <w:t xml:space="preserve"> </w:t>
      </w:r>
      <w:r w:rsidRPr="00D13DBF">
        <w:t>veterinární</w:t>
      </w:r>
      <w:r>
        <w:t xml:space="preserve"> </w:t>
      </w:r>
      <w:r w:rsidRPr="00D13DBF">
        <w:t>správy</w:t>
      </w:r>
      <w:r>
        <w:t xml:space="preserve"> </w:t>
      </w:r>
      <w:r w:rsidRPr="00D13DBF">
        <w:t>a</w:t>
      </w:r>
      <w:r>
        <w:t xml:space="preserve"> </w:t>
      </w:r>
      <w:r w:rsidRPr="00D13DBF">
        <w:t>správním</w:t>
      </w:r>
      <w:r>
        <w:t xml:space="preserve"> </w:t>
      </w:r>
      <w:r w:rsidRPr="00D13DBF">
        <w:t>úřadem</w:t>
      </w:r>
      <w:r>
        <w:t xml:space="preserve"> </w:t>
      </w:r>
      <w:r w:rsidRPr="00D13DBF">
        <w:t>s</w:t>
      </w:r>
      <w:r>
        <w:t xml:space="preserve"> </w:t>
      </w:r>
      <w:r w:rsidRPr="00D13DBF">
        <w:t>celostátní</w:t>
      </w:r>
      <w:r>
        <w:t xml:space="preserve"> </w:t>
      </w:r>
      <w:r w:rsidRPr="00D13DBF">
        <w:t>působností</w:t>
      </w:r>
      <w:r>
        <w:t xml:space="preserve"> </w:t>
      </w:r>
      <w:r w:rsidRPr="00D13DBF">
        <w:t>podřízeným</w:t>
      </w:r>
      <w:r>
        <w:t xml:space="preserve"> </w:t>
      </w:r>
      <w:r w:rsidRPr="00D13DBF">
        <w:t>ministerstvu.</w:t>
      </w:r>
    </w:p>
    <w:p w14:paraId="770B19CE" w14:textId="77777777" w:rsidR="00156893" w:rsidRDefault="00156893" w:rsidP="00566368">
      <w:pPr>
        <w:pStyle w:val="Textparagrafu"/>
        <w:spacing w:before="120" w:after="120"/>
      </w:pPr>
      <w:r w:rsidRPr="00D13DBF">
        <w:t>(2)</w:t>
      </w:r>
      <w:r>
        <w:t xml:space="preserve"> </w:t>
      </w:r>
      <w:r w:rsidRPr="00D13DBF">
        <w:t>Státní</w:t>
      </w:r>
      <w:r>
        <w:t xml:space="preserve"> </w:t>
      </w:r>
      <w:r w:rsidRPr="00D13DBF">
        <w:t>veterinární</w:t>
      </w:r>
      <w:r>
        <w:t xml:space="preserve"> </w:t>
      </w:r>
      <w:r w:rsidRPr="00D13DBF">
        <w:t>správa</w:t>
      </w:r>
      <w:r>
        <w:t xml:space="preserve"> </w:t>
      </w:r>
      <w:r w:rsidRPr="00D13DBF">
        <w:t>je</w:t>
      </w:r>
      <w:r>
        <w:t xml:space="preserve"> </w:t>
      </w:r>
      <w:r w:rsidRPr="00D13DBF">
        <w:t>organizační</w:t>
      </w:r>
      <w:r>
        <w:t xml:space="preserve"> </w:t>
      </w:r>
      <w:r w:rsidRPr="00D13DBF">
        <w:t>složkou</w:t>
      </w:r>
      <w:r>
        <w:t xml:space="preserve"> </w:t>
      </w:r>
      <w:r w:rsidRPr="00D13DBF">
        <w:t>státu</w:t>
      </w:r>
      <w:r>
        <w:t xml:space="preserve"> </w:t>
      </w:r>
      <w:r w:rsidRPr="00156893">
        <w:rPr>
          <w:strike/>
        </w:rPr>
        <w:t>a účetní jednotkou</w:t>
      </w:r>
      <w:r w:rsidRPr="00D13DBF">
        <w:t>.</w:t>
      </w:r>
      <w:r>
        <w:t xml:space="preserve"> </w:t>
      </w:r>
      <w:r w:rsidRPr="00D13DBF">
        <w:t>Jejím</w:t>
      </w:r>
      <w:r>
        <w:t xml:space="preserve"> </w:t>
      </w:r>
      <w:r w:rsidRPr="00D13DBF">
        <w:t>sídlem</w:t>
      </w:r>
      <w:r>
        <w:t xml:space="preserve"> </w:t>
      </w:r>
      <w:r w:rsidRPr="00D13DBF">
        <w:t>je</w:t>
      </w:r>
      <w:r>
        <w:t xml:space="preserve"> </w:t>
      </w:r>
      <w:r w:rsidRPr="00D13DBF">
        <w:t>Praha.</w:t>
      </w:r>
    </w:p>
    <w:p w14:paraId="7FE9E9FF" w14:textId="77777777" w:rsidR="00156893" w:rsidRDefault="00156893" w:rsidP="00566368">
      <w:pPr>
        <w:pStyle w:val="Textparagrafu"/>
        <w:spacing w:before="120" w:after="120"/>
      </w:pPr>
      <w:r w:rsidRPr="00D13DBF">
        <w:t>(3)</w:t>
      </w:r>
      <w:r>
        <w:t xml:space="preserve"> </w:t>
      </w:r>
      <w:r w:rsidRPr="00D13DBF">
        <w:t>Ústav</w:t>
      </w:r>
      <w:r>
        <w:t xml:space="preserve"> </w:t>
      </w:r>
      <w:r w:rsidRPr="00D13DBF">
        <w:t>pro</w:t>
      </w:r>
      <w:r>
        <w:t xml:space="preserve"> </w:t>
      </w:r>
      <w:r w:rsidRPr="00D13DBF">
        <w:t>státní</w:t>
      </w:r>
      <w:r>
        <w:t xml:space="preserve"> </w:t>
      </w:r>
      <w:r w:rsidRPr="00D13DBF">
        <w:t>kontrolu</w:t>
      </w:r>
      <w:r>
        <w:t xml:space="preserve"> </w:t>
      </w:r>
      <w:r w:rsidRPr="00D13DBF">
        <w:t>veterinárních</w:t>
      </w:r>
      <w:r>
        <w:t xml:space="preserve"> </w:t>
      </w:r>
      <w:r w:rsidRPr="00D13DBF">
        <w:t>biopreparátů</w:t>
      </w:r>
      <w:r>
        <w:t xml:space="preserve"> </w:t>
      </w:r>
      <w:r w:rsidRPr="00D13DBF">
        <w:t>a</w:t>
      </w:r>
      <w:r>
        <w:t xml:space="preserve"> </w:t>
      </w:r>
      <w:r w:rsidRPr="00D13DBF">
        <w:t>léčiv</w:t>
      </w:r>
      <w:r>
        <w:t xml:space="preserve"> </w:t>
      </w:r>
      <w:r w:rsidRPr="00D13DBF">
        <w:t>(dále</w:t>
      </w:r>
      <w:r>
        <w:t xml:space="preserve"> </w:t>
      </w:r>
      <w:r w:rsidRPr="00D13DBF">
        <w:t>jen</w:t>
      </w:r>
      <w:r>
        <w:t xml:space="preserve"> </w:t>
      </w:r>
      <w:r w:rsidRPr="00D13DBF">
        <w:t>„Ústav“)</w:t>
      </w:r>
      <w:r>
        <w:t xml:space="preserve"> </w:t>
      </w:r>
      <w:r w:rsidRPr="00D13DBF">
        <w:t>je</w:t>
      </w:r>
      <w:r>
        <w:t xml:space="preserve"> </w:t>
      </w:r>
      <w:r w:rsidRPr="00D13DBF">
        <w:t>orgánem</w:t>
      </w:r>
      <w:r>
        <w:t xml:space="preserve"> </w:t>
      </w:r>
      <w:r w:rsidRPr="00D13DBF">
        <w:t>veterinární</w:t>
      </w:r>
      <w:r>
        <w:t xml:space="preserve"> </w:t>
      </w:r>
      <w:r w:rsidRPr="00D13DBF">
        <w:t>správy</w:t>
      </w:r>
      <w:r>
        <w:t xml:space="preserve"> </w:t>
      </w:r>
      <w:r w:rsidRPr="00D13DBF">
        <w:t>pro</w:t>
      </w:r>
      <w:r>
        <w:t xml:space="preserve"> </w:t>
      </w:r>
      <w:r w:rsidRPr="00D13DBF">
        <w:t>oblast</w:t>
      </w:r>
      <w:r>
        <w:t xml:space="preserve"> </w:t>
      </w:r>
      <w:r w:rsidRPr="00D13DBF">
        <w:t>veterinárních</w:t>
      </w:r>
      <w:r>
        <w:t xml:space="preserve"> </w:t>
      </w:r>
      <w:r w:rsidRPr="00D13DBF">
        <w:t>přípravků</w:t>
      </w:r>
      <w:r>
        <w:t xml:space="preserve"> </w:t>
      </w:r>
      <w:r w:rsidRPr="00D13DBF">
        <w:t>a</w:t>
      </w:r>
      <w:r>
        <w:t xml:space="preserve"> </w:t>
      </w:r>
      <w:r w:rsidRPr="00D13DBF">
        <w:t>veterinárních</w:t>
      </w:r>
      <w:r>
        <w:t xml:space="preserve"> </w:t>
      </w:r>
      <w:r w:rsidRPr="00D13DBF">
        <w:t>technických</w:t>
      </w:r>
      <w:r>
        <w:t xml:space="preserve"> </w:t>
      </w:r>
      <w:r w:rsidRPr="00D13DBF">
        <w:t>prostředků,</w:t>
      </w:r>
      <w:r>
        <w:t xml:space="preserve"> </w:t>
      </w:r>
      <w:r w:rsidRPr="00D13DBF">
        <w:t>organizační</w:t>
      </w:r>
      <w:r>
        <w:t xml:space="preserve"> </w:t>
      </w:r>
      <w:r w:rsidRPr="00D13DBF">
        <w:t>složkou</w:t>
      </w:r>
      <w:r>
        <w:t xml:space="preserve"> </w:t>
      </w:r>
      <w:r w:rsidRPr="00D13DBF">
        <w:t>státu</w:t>
      </w:r>
      <w:r>
        <w:t xml:space="preserve"> </w:t>
      </w:r>
      <w:r w:rsidRPr="00156893">
        <w:rPr>
          <w:strike/>
        </w:rPr>
        <w:t>a účetní jednotkou</w:t>
      </w:r>
      <w:r w:rsidRPr="00D13DBF">
        <w:t>.</w:t>
      </w:r>
    </w:p>
    <w:p w14:paraId="4BC2C6B5" w14:textId="77777777" w:rsidR="00156893" w:rsidRDefault="00156893" w:rsidP="00566368">
      <w:pPr>
        <w:pStyle w:val="Textparagrafu"/>
        <w:spacing w:before="120" w:after="120"/>
      </w:pPr>
      <w:r w:rsidRPr="00D13DBF">
        <w:t>(4)</w:t>
      </w:r>
      <w:r>
        <w:t xml:space="preserve"> </w:t>
      </w:r>
      <w:r w:rsidRPr="00D13DBF">
        <w:t>Státní</w:t>
      </w:r>
      <w:r>
        <w:t xml:space="preserve"> </w:t>
      </w:r>
      <w:r w:rsidRPr="00D13DBF">
        <w:t>veterinární</w:t>
      </w:r>
      <w:r>
        <w:t xml:space="preserve"> </w:t>
      </w:r>
      <w:r w:rsidRPr="00D13DBF">
        <w:t>správa</w:t>
      </w:r>
      <w:r>
        <w:t xml:space="preserve"> </w:t>
      </w:r>
      <w:r w:rsidRPr="00D13DBF">
        <w:t>je</w:t>
      </w:r>
      <w:r>
        <w:t xml:space="preserve"> </w:t>
      </w:r>
      <w:r w:rsidRPr="00D13DBF">
        <w:t>tvořena</w:t>
      </w:r>
      <w:r>
        <w:t xml:space="preserve"> </w:t>
      </w:r>
      <w:r w:rsidRPr="00D13DBF">
        <w:t>Ústřední</w:t>
      </w:r>
      <w:r>
        <w:t xml:space="preserve"> </w:t>
      </w:r>
      <w:r w:rsidRPr="00D13DBF">
        <w:t>veterinární</w:t>
      </w:r>
      <w:r>
        <w:t xml:space="preserve"> </w:t>
      </w:r>
      <w:r w:rsidRPr="00D13DBF">
        <w:t>správou,</w:t>
      </w:r>
      <w:r>
        <w:t xml:space="preserve"> </w:t>
      </w:r>
      <w:r w:rsidRPr="00D13DBF">
        <w:t>krajskými</w:t>
      </w:r>
      <w:r>
        <w:t xml:space="preserve"> </w:t>
      </w:r>
      <w:r w:rsidRPr="00D13DBF">
        <w:t>veterinárními</w:t>
      </w:r>
      <w:r>
        <w:t xml:space="preserve"> </w:t>
      </w:r>
      <w:r w:rsidRPr="00D13DBF">
        <w:t>správami,</w:t>
      </w:r>
      <w:r>
        <w:t xml:space="preserve"> </w:t>
      </w:r>
      <w:r w:rsidRPr="00D13DBF">
        <w:t>které</w:t>
      </w:r>
      <w:r>
        <w:t xml:space="preserve"> </w:t>
      </w:r>
      <w:r w:rsidRPr="00D13DBF">
        <w:t>vykonávají</w:t>
      </w:r>
      <w:r>
        <w:t xml:space="preserve"> </w:t>
      </w:r>
      <w:r w:rsidRPr="00D13DBF">
        <w:t>svou</w:t>
      </w:r>
      <w:r>
        <w:t xml:space="preserve"> </w:t>
      </w:r>
      <w:r w:rsidRPr="00D13DBF">
        <w:t>působnost</w:t>
      </w:r>
      <w:r>
        <w:t xml:space="preserve"> </w:t>
      </w:r>
      <w:r w:rsidRPr="00D13DBF">
        <w:t>ve</w:t>
      </w:r>
      <w:r>
        <w:t xml:space="preserve"> </w:t>
      </w:r>
      <w:r w:rsidRPr="00D13DBF">
        <w:t>věcech</w:t>
      </w:r>
      <w:r>
        <w:t xml:space="preserve"> </w:t>
      </w:r>
      <w:r w:rsidRPr="00D13DBF">
        <w:t>veterinární</w:t>
      </w:r>
      <w:r>
        <w:t xml:space="preserve"> </w:t>
      </w:r>
      <w:r w:rsidRPr="00D13DBF">
        <w:t>péče</w:t>
      </w:r>
      <w:r>
        <w:t xml:space="preserve"> </w:t>
      </w:r>
      <w:r w:rsidRPr="00D13DBF">
        <w:t>na</w:t>
      </w:r>
      <w:r>
        <w:t xml:space="preserve"> </w:t>
      </w:r>
      <w:r w:rsidRPr="00D13DBF">
        <w:t>území,</w:t>
      </w:r>
      <w:r>
        <w:t xml:space="preserve"> </w:t>
      </w:r>
      <w:r w:rsidRPr="00D13DBF">
        <w:t>které</w:t>
      </w:r>
      <w:r>
        <w:t xml:space="preserve"> </w:t>
      </w:r>
      <w:r w:rsidRPr="00D13DBF">
        <w:t>je</w:t>
      </w:r>
      <w:r>
        <w:t xml:space="preserve"> </w:t>
      </w:r>
      <w:r w:rsidRPr="00D13DBF">
        <w:t>shodné</w:t>
      </w:r>
      <w:r>
        <w:t xml:space="preserve"> </w:t>
      </w:r>
      <w:r w:rsidRPr="00D13DBF">
        <w:t>s</w:t>
      </w:r>
      <w:r>
        <w:t xml:space="preserve"> </w:t>
      </w:r>
      <w:r w:rsidRPr="00D13DBF">
        <w:t>územím</w:t>
      </w:r>
      <w:r>
        <w:t xml:space="preserve"> </w:t>
      </w:r>
      <w:r w:rsidRPr="00D13DBF">
        <w:t>krajů</w:t>
      </w:r>
      <w:r>
        <w:t xml:space="preserve"> </w:t>
      </w:r>
      <w:r w:rsidRPr="00D13DBF">
        <w:t>podle</w:t>
      </w:r>
      <w:r>
        <w:t xml:space="preserve"> </w:t>
      </w:r>
      <w:r w:rsidRPr="00D13DBF">
        <w:t>jiného</w:t>
      </w:r>
      <w:r>
        <w:t xml:space="preserve"> </w:t>
      </w:r>
      <w:r w:rsidRPr="00D13DBF">
        <w:t>zákona7a),</w:t>
      </w:r>
      <w:r>
        <w:t xml:space="preserve"> </w:t>
      </w:r>
      <w:r w:rsidRPr="00D13DBF">
        <w:t>a</w:t>
      </w:r>
      <w:r>
        <w:t xml:space="preserve"> </w:t>
      </w:r>
      <w:r w:rsidRPr="00D13DBF">
        <w:t>Městskou</w:t>
      </w:r>
      <w:r>
        <w:t xml:space="preserve"> </w:t>
      </w:r>
      <w:r w:rsidRPr="00D13DBF">
        <w:t>veterinární</w:t>
      </w:r>
      <w:r>
        <w:t xml:space="preserve"> </w:t>
      </w:r>
      <w:r w:rsidRPr="00D13DBF">
        <w:t>správou</w:t>
      </w:r>
      <w:r>
        <w:t xml:space="preserve"> </w:t>
      </w:r>
      <w:r w:rsidRPr="00D13DBF">
        <w:t>v</w:t>
      </w:r>
      <w:r>
        <w:t xml:space="preserve"> </w:t>
      </w:r>
      <w:r w:rsidRPr="00D13DBF">
        <w:t>Praze,</w:t>
      </w:r>
      <w:r>
        <w:t xml:space="preserve"> </w:t>
      </w:r>
      <w:r w:rsidRPr="00D13DBF">
        <w:t>která</w:t>
      </w:r>
      <w:r>
        <w:t xml:space="preserve"> </w:t>
      </w:r>
      <w:r w:rsidRPr="00D13DBF">
        <w:t>vykonává</w:t>
      </w:r>
      <w:r>
        <w:t xml:space="preserve"> </w:t>
      </w:r>
      <w:r w:rsidRPr="00D13DBF">
        <w:t>působnost</w:t>
      </w:r>
      <w:r>
        <w:t xml:space="preserve"> </w:t>
      </w:r>
      <w:r w:rsidRPr="00D13DBF">
        <w:t>krajské</w:t>
      </w:r>
      <w:r>
        <w:t xml:space="preserve"> </w:t>
      </w:r>
      <w:r w:rsidRPr="00D13DBF">
        <w:t>veterinární</w:t>
      </w:r>
      <w:r>
        <w:t xml:space="preserve"> </w:t>
      </w:r>
      <w:r w:rsidRPr="00D13DBF">
        <w:t>správy</w:t>
      </w:r>
      <w:r>
        <w:t xml:space="preserve"> </w:t>
      </w:r>
      <w:r w:rsidRPr="00D13DBF">
        <w:t>na</w:t>
      </w:r>
      <w:r>
        <w:t xml:space="preserve"> </w:t>
      </w:r>
      <w:r w:rsidRPr="00D13DBF">
        <w:t>území</w:t>
      </w:r>
      <w:r>
        <w:t xml:space="preserve"> </w:t>
      </w:r>
      <w:r w:rsidRPr="00D13DBF">
        <w:t>hlavního</w:t>
      </w:r>
      <w:r>
        <w:t xml:space="preserve"> </w:t>
      </w:r>
      <w:r w:rsidRPr="00D13DBF">
        <w:t>města</w:t>
      </w:r>
      <w:r>
        <w:t xml:space="preserve"> </w:t>
      </w:r>
      <w:r w:rsidRPr="00D13DBF">
        <w:t>Prahy.</w:t>
      </w:r>
    </w:p>
    <w:p w14:paraId="0A4DFD53" w14:textId="77777777" w:rsidR="00156893" w:rsidRDefault="00156893" w:rsidP="00566368">
      <w:pPr>
        <w:pStyle w:val="Textparagrafu"/>
        <w:spacing w:before="120" w:after="120"/>
      </w:pPr>
      <w:r w:rsidRPr="00D13DBF">
        <w:t>(5)</w:t>
      </w:r>
      <w:r>
        <w:t xml:space="preserve"> </w:t>
      </w:r>
      <w:r w:rsidRPr="00D13DBF">
        <w:t>V</w:t>
      </w:r>
      <w:r>
        <w:t xml:space="preserve"> </w:t>
      </w:r>
      <w:r w:rsidRPr="00D13DBF">
        <w:t>čele</w:t>
      </w:r>
      <w:r>
        <w:t xml:space="preserve"> </w:t>
      </w:r>
      <w:r w:rsidRPr="00D13DBF">
        <w:t>Státní</w:t>
      </w:r>
      <w:r>
        <w:t xml:space="preserve"> </w:t>
      </w:r>
      <w:r w:rsidRPr="00D13DBF">
        <w:t>veterinární</w:t>
      </w:r>
      <w:r>
        <w:t xml:space="preserve"> </w:t>
      </w:r>
      <w:r w:rsidRPr="00D13DBF">
        <w:t>správy</w:t>
      </w:r>
      <w:r>
        <w:t xml:space="preserve"> </w:t>
      </w:r>
      <w:r w:rsidRPr="00D13DBF">
        <w:t>je</w:t>
      </w:r>
      <w:r>
        <w:t xml:space="preserve"> </w:t>
      </w:r>
      <w:r w:rsidRPr="00D13DBF">
        <w:t>ústřední</w:t>
      </w:r>
      <w:r>
        <w:t xml:space="preserve"> </w:t>
      </w:r>
      <w:r w:rsidRPr="00D13DBF">
        <w:t>ředitel,</w:t>
      </w:r>
      <w:r>
        <w:t xml:space="preserve"> </w:t>
      </w:r>
      <w:r w:rsidRPr="00D13DBF">
        <w:t>který</w:t>
      </w:r>
      <w:r>
        <w:t xml:space="preserve"> </w:t>
      </w:r>
      <w:r w:rsidRPr="00D13DBF">
        <w:t>řídí</w:t>
      </w:r>
      <w:r>
        <w:t xml:space="preserve"> </w:t>
      </w:r>
      <w:r w:rsidRPr="00D13DBF">
        <w:t>Ústřední</w:t>
      </w:r>
      <w:r>
        <w:t xml:space="preserve"> </w:t>
      </w:r>
      <w:r w:rsidRPr="00D13DBF">
        <w:t>veterinární</w:t>
      </w:r>
      <w:r>
        <w:t xml:space="preserve"> </w:t>
      </w:r>
      <w:r w:rsidRPr="00D13DBF">
        <w:t>správu;</w:t>
      </w:r>
      <w:r>
        <w:t xml:space="preserve"> </w:t>
      </w:r>
      <w:r w:rsidRPr="00D13DBF">
        <w:t>jeho</w:t>
      </w:r>
      <w:r>
        <w:t xml:space="preserve"> </w:t>
      </w:r>
      <w:r w:rsidRPr="00D13DBF">
        <w:t>výběr,</w:t>
      </w:r>
      <w:r>
        <w:t xml:space="preserve"> </w:t>
      </w:r>
      <w:r w:rsidRPr="00D13DBF">
        <w:t>jmenování</w:t>
      </w:r>
      <w:r>
        <w:t xml:space="preserve"> </w:t>
      </w:r>
      <w:r w:rsidRPr="00D13DBF">
        <w:t>a</w:t>
      </w:r>
      <w:r>
        <w:t xml:space="preserve"> </w:t>
      </w:r>
      <w:r w:rsidRPr="00D13DBF">
        <w:t>odvolání</w:t>
      </w:r>
      <w:r>
        <w:t xml:space="preserve"> </w:t>
      </w:r>
      <w:r w:rsidRPr="00D13DBF">
        <w:t>se</w:t>
      </w:r>
      <w:r>
        <w:t xml:space="preserve"> </w:t>
      </w:r>
      <w:r w:rsidRPr="00D13DBF">
        <w:t>řídí</w:t>
      </w:r>
      <w:r>
        <w:t xml:space="preserve"> </w:t>
      </w:r>
      <w:r w:rsidRPr="00D13DBF">
        <w:t>zákonem</w:t>
      </w:r>
      <w:r>
        <w:t xml:space="preserve"> </w:t>
      </w:r>
      <w:r w:rsidRPr="00D13DBF">
        <w:t>o</w:t>
      </w:r>
      <w:r>
        <w:t xml:space="preserve"> </w:t>
      </w:r>
      <w:r w:rsidRPr="00D13DBF">
        <w:t>státní</w:t>
      </w:r>
      <w:r>
        <w:t xml:space="preserve"> </w:t>
      </w:r>
      <w:r w:rsidRPr="00D13DBF">
        <w:t>službě.</w:t>
      </w:r>
      <w:r>
        <w:t xml:space="preserve"> </w:t>
      </w:r>
      <w:r w:rsidRPr="00D13DBF">
        <w:t>Výběr,</w:t>
      </w:r>
      <w:r>
        <w:t xml:space="preserve"> </w:t>
      </w:r>
      <w:r w:rsidRPr="00D13DBF">
        <w:t>jmenování</w:t>
      </w:r>
      <w:r>
        <w:t xml:space="preserve"> </w:t>
      </w:r>
      <w:r w:rsidRPr="00D13DBF">
        <w:t>a</w:t>
      </w:r>
      <w:r>
        <w:t xml:space="preserve"> </w:t>
      </w:r>
      <w:r w:rsidRPr="00D13DBF">
        <w:t>odvolání</w:t>
      </w:r>
      <w:r>
        <w:t xml:space="preserve"> </w:t>
      </w:r>
      <w:r w:rsidRPr="00D13DBF">
        <w:t>ředitele</w:t>
      </w:r>
      <w:r>
        <w:t xml:space="preserve"> </w:t>
      </w:r>
      <w:r w:rsidRPr="00D13DBF">
        <w:t>krajské</w:t>
      </w:r>
      <w:r>
        <w:t xml:space="preserve"> </w:t>
      </w:r>
      <w:r w:rsidRPr="00D13DBF">
        <w:t>veterinární</w:t>
      </w:r>
      <w:r>
        <w:t xml:space="preserve"> </w:t>
      </w:r>
      <w:r w:rsidRPr="00D13DBF">
        <w:t>správy</w:t>
      </w:r>
      <w:r>
        <w:t xml:space="preserve"> </w:t>
      </w:r>
      <w:r w:rsidRPr="00D13DBF">
        <w:t>se</w:t>
      </w:r>
      <w:r>
        <w:t xml:space="preserve"> </w:t>
      </w:r>
      <w:r w:rsidRPr="00D13DBF">
        <w:t>řídí</w:t>
      </w:r>
      <w:r>
        <w:t xml:space="preserve"> </w:t>
      </w:r>
      <w:r w:rsidRPr="00D13DBF">
        <w:t>zákonem</w:t>
      </w:r>
      <w:r>
        <w:t xml:space="preserve"> </w:t>
      </w:r>
      <w:r w:rsidRPr="00D13DBF">
        <w:t>o</w:t>
      </w:r>
      <w:r>
        <w:t xml:space="preserve"> </w:t>
      </w:r>
      <w:r w:rsidRPr="00D13DBF">
        <w:t>státní</w:t>
      </w:r>
      <w:r>
        <w:t xml:space="preserve"> </w:t>
      </w:r>
      <w:r w:rsidRPr="00D13DBF">
        <w:t>službě.</w:t>
      </w:r>
    </w:p>
    <w:p w14:paraId="6CFC1E62" w14:textId="77777777" w:rsidR="00156893" w:rsidRDefault="00156893" w:rsidP="00566368">
      <w:pPr>
        <w:pStyle w:val="Textparagrafu"/>
        <w:spacing w:before="120" w:after="120"/>
      </w:pPr>
      <w:r w:rsidRPr="00D13DBF">
        <w:t>(6)</w:t>
      </w:r>
      <w:r>
        <w:t xml:space="preserve"> </w:t>
      </w:r>
      <w:r w:rsidRPr="00D13DBF">
        <w:t>Ústřední</w:t>
      </w:r>
      <w:r>
        <w:t xml:space="preserve"> </w:t>
      </w:r>
      <w:r w:rsidRPr="00D13DBF">
        <w:t>ředitel</w:t>
      </w:r>
      <w:r>
        <w:t xml:space="preserve"> </w:t>
      </w:r>
      <w:r w:rsidRPr="00D13DBF">
        <w:t>jmenuje</w:t>
      </w:r>
      <w:r>
        <w:t xml:space="preserve"> </w:t>
      </w:r>
      <w:r w:rsidRPr="00D13DBF">
        <w:t>a</w:t>
      </w:r>
      <w:r>
        <w:t xml:space="preserve"> </w:t>
      </w:r>
      <w:r w:rsidRPr="00D13DBF">
        <w:t>odvolává</w:t>
      </w:r>
      <w:r>
        <w:t xml:space="preserve"> </w:t>
      </w:r>
      <w:r w:rsidRPr="00D13DBF">
        <w:t>se</w:t>
      </w:r>
      <w:r>
        <w:t xml:space="preserve"> </w:t>
      </w:r>
      <w:r w:rsidRPr="00D13DBF">
        <w:t>souhlasem</w:t>
      </w:r>
      <w:r>
        <w:t xml:space="preserve"> </w:t>
      </w:r>
      <w:r w:rsidRPr="00D13DBF">
        <w:t>ministra</w:t>
      </w:r>
      <w:r>
        <w:t xml:space="preserve"> </w:t>
      </w:r>
      <w:r w:rsidRPr="00D13DBF">
        <w:t>zemědělství</w:t>
      </w:r>
      <w:r>
        <w:t xml:space="preserve"> </w:t>
      </w:r>
      <w:r w:rsidRPr="00D13DBF">
        <w:t>ředitele</w:t>
      </w:r>
      <w:r>
        <w:t xml:space="preserve"> </w:t>
      </w:r>
      <w:r w:rsidRPr="00D13DBF">
        <w:t>státních</w:t>
      </w:r>
      <w:r>
        <w:t xml:space="preserve"> </w:t>
      </w:r>
      <w:r w:rsidRPr="00D13DBF">
        <w:t>veterinárních</w:t>
      </w:r>
      <w:r>
        <w:t xml:space="preserve"> </w:t>
      </w:r>
      <w:r w:rsidRPr="00D13DBF">
        <w:t>ústavů.</w:t>
      </w:r>
    </w:p>
    <w:p w14:paraId="1F268F83" w14:textId="77777777" w:rsidR="00156893" w:rsidRPr="00D13DBF" w:rsidRDefault="00156893" w:rsidP="00566368">
      <w:pPr>
        <w:pStyle w:val="Textparagrafu"/>
        <w:spacing w:before="120" w:after="120"/>
      </w:pPr>
      <w:r w:rsidRPr="00D13DBF">
        <w:t>(7)</w:t>
      </w:r>
      <w:r>
        <w:t xml:space="preserve"> </w:t>
      </w:r>
      <w:r w:rsidRPr="00D13DBF">
        <w:t>Svou</w:t>
      </w:r>
      <w:r>
        <w:t xml:space="preserve"> </w:t>
      </w:r>
      <w:r w:rsidRPr="00D13DBF">
        <w:t>působnost</w:t>
      </w:r>
      <w:r>
        <w:t xml:space="preserve"> </w:t>
      </w:r>
      <w:r w:rsidRPr="00D13DBF">
        <w:t>vykonává</w:t>
      </w:r>
      <w:r>
        <w:t xml:space="preserve"> </w:t>
      </w:r>
      <w:r w:rsidRPr="00D13DBF">
        <w:t>Státní</w:t>
      </w:r>
      <w:r>
        <w:t xml:space="preserve"> </w:t>
      </w:r>
      <w:r w:rsidRPr="00D13DBF">
        <w:t>veterinární</w:t>
      </w:r>
      <w:r>
        <w:t xml:space="preserve"> </w:t>
      </w:r>
      <w:r w:rsidRPr="00D13DBF">
        <w:t>správa</w:t>
      </w:r>
      <w:r>
        <w:t xml:space="preserve"> </w:t>
      </w:r>
      <w:r w:rsidRPr="00D13DBF">
        <w:t>Ústřední</w:t>
      </w:r>
      <w:r>
        <w:t xml:space="preserve"> </w:t>
      </w:r>
      <w:r w:rsidRPr="00D13DBF">
        <w:t>veterinární</w:t>
      </w:r>
      <w:r>
        <w:t xml:space="preserve"> </w:t>
      </w:r>
      <w:r w:rsidRPr="00D13DBF">
        <w:t>správou</w:t>
      </w:r>
      <w:r>
        <w:t xml:space="preserve"> </w:t>
      </w:r>
      <w:r w:rsidRPr="00D13DBF">
        <w:t>a</w:t>
      </w:r>
      <w:r>
        <w:t xml:space="preserve"> </w:t>
      </w:r>
      <w:r w:rsidRPr="00D13DBF">
        <w:t>krajskými</w:t>
      </w:r>
      <w:r>
        <w:t xml:space="preserve"> </w:t>
      </w:r>
      <w:r w:rsidRPr="00D13DBF">
        <w:t>veterinárními</w:t>
      </w:r>
      <w:r>
        <w:t xml:space="preserve"> </w:t>
      </w:r>
      <w:r w:rsidRPr="00D13DBF">
        <w:t>správami.</w:t>
      </w:r>
      <w:r>
        <w:t xml:space="preserve"> </w:t>
      </w:r>
      <w:r w:rsidRPr="00D13DBF">
        <w:t>Jako</w:t>
      </w:r>
      <w:r>
        <w:t xml:space="preserve"> </w:t>
      </w:r>
      <w:r w:rsidRPr="00D13DBF">
        <w:t>orgán</w:t>
      </w:r>
      <w:r>
        <w:t xml:space="preserve"> </w:t>
      </w:r>
      <w:r w:rsidRPr="00D13DBF">
        <w:t>prvého</w:t>
      </w:r>
      <w:r>
        <w:t xml:space="preserve"> </w:t>
      </w:r>
      <w:r w:rsidRPr="00D13DBF">
        <w:t>stupně</w:t>
      </w:r>
      <w:r>
        <w:t xml:space="preserve"> </w:t>
      </w:r>
      <w:r w:rsidRPr="00D13DBF">
        <w:t>rozhoduje</w:t>
      </w:r>
      <w:r>
        <w:t xml:space="preserve"> </w:t>
      </w:r>
      <w:r w:rsidRPr="00D13DBF">
        <w:t>ve</w:t>
      </w:r>
      <w:r>
        <w:t xml:space="preserve"> </w:t>
      </w:r>
      <w:r w:rsidRPr="00D13DBF">
        <w:t>správním</w:t>
      </w:r>
      <w:r>
        <w:t xml:space="preserve"> </w:t>
      </w:r>
      <w:r w:rsidRPr="00D13DBF">
        <w:t>řízení</w:t>
      </w:r>
      <w:r>
        <w:t xml:space="preserve"> </w:t>
      </w:r>
      <w:r w:rsidRPr="00D13DBF">
        <w:t>krajská</w:t>
      </w:r>
      <w:r>
        <w:t xml:space="preserve"> </w:t>
      </w:r>
      <w:r w:rsidRPr="00D13DBF">
        <w:t>veterinární</w:t>
      </w:r>
      <w:r>
        <w:t xml:space="preserve"> </w:t>
      </w:r>
      <w:r w:rsidRPr="00D13DBF">
        <w:t>správa</w:t>
      </w:r>
      <w:r>
        <w:t xml:space="preserve"> </w:t>
      </w:r>
      <w:r w:rsidRPr="00D13DBF">
        <w:t>podle</w:t>
      </w:r>
      <w:r>
        <w:t xml:space="preserve"> </w:t>
      </w:r>
      <w:r w:rsidRPr="00D13DBF">
        <w:t>své</w:t>
      </w:r>
      <w:r>
        <w:t xml:space="preserve"> </w:t>
      </w:r>
      <w:r w:rsidRPr="00D13DBF">
        <w:t>územní</w:t>
      </w:r>
      <w:r>
        <w:t xml:space="preserve"> </w:t>
      </w:r>
      <w:r w:rsidRPr="00D13DBF">
        <w:t>působnosti,</w:t>
      </w:r>
      <w:r>
        <w:t xml:space="preserve"> </w:t>
      </w:r>
      <w:r w:rsidRPr="00D13DBF">
        <w:t>o</w:t>
      </w:r>
      <w:r>
        <w:t xml:space="preserve"> </w:t>
      </w:r>
      <w:r w:rsidRPr="00D13DBF">
        <w:t>odvolání</w:t>
      </w:r>
      <w:r>
        <w:t xml:space="preserve"> </w:t>
      </w:r>
      <w:r w:rsidRPr="00D13DBF">
        <w:t>proti</w:t>
      </w:r>
      <w:r>
        <w:t xml:space="preserve"> </w:t>
      </w:r>
      <w:r w:rsidRPr="00D13DBF">
        <w:t>rozhodnutí</w:t>
      </w:r>
      <w:r>
        <w:t xml:space="preserve"> </w:t>
      </w:r>
      <w:r w:rsidRPr="00D13DBF">
        <w:t>krajské</w:t>
      </w:r>
      <w:r>
        <w:t xml:space="preserve"> </w:t>
      </w:r>
      <w:r w:rsidRPr="00D13DBF">
        <w:t>veterinární</w:t>
      </w:r>
      <w:r>
        <w:t xml:space="preserve"> </w:t>
      </w:r>
      <w:r w:rsidRPr="00D13DBF">
        <w:t>správy</w:t>
      </w:r>
      <w:r>
        <w:t xml:space="preserve"> </w:t>
      </w:r>
      <w:r w:rsidRPr="00D13DBF">
        <w:t>rozhoduje</w:t>
      </w:r>
      <w:r>
        <w:t xml:space="preserve"> </w:t>
      </w:r>
      <w:r w:rsidRPr="00D13DBF">
        <w:t>Ústřední</w:t>
      </w:r>
      <w:r>
        <w:t xml:space="preserve"> </w:t>
      </w:r>
      <w:r w:rsidRPr="00D13DBF">
        <w:t>veterinární</w:t>
      </w:r>
      <w:r>
        <w:t xml:space="preserve"> </w:t>
      </w:r>
      <w:r w:rsidRPr="00D13DBF">
        <w:t>správa,</w:t>
      </w:r>
      <w:r>
        <w:t xml:space="preserve"> </w:t>
      </w:r>
      <w:r w:rsidRPr="00D13DBF">
        <w:t>s</w:t>
      </w:r>
      <w:r>
        <w:t xml:space="preserve"> </w:t>
      </w:r>
      <w:r w:rsidRPr="00D13DBF">
        <w:t>výjimkou</w:t>
      </w:r>
      <w:r>
        <w:t xml:space="preserve"> </w:t>
      </w:r>
      <w:r w:rsidRPr="00D13DBF">
        <w:t>§</w:t>
      </w:r>
      <w:r>
        <w:t xml:space="preserve"> </w:t>
      </w:r>
      <w:r w:rsidRPr="00D13DBF">
        <w:t>48</w:t>
      </w:r>
      <w:r>
        <w:t xml:space="preserve"> </w:t>
      </w:r>
      <w:r w:rsidRPr="00D13DBF">
        <w:t>odst.</w:t>
      </w:r>
      <w:r>
        <w:t xml:space="preserve"> </w:t>
      </w:r>
      <w:r w:rsidRPr="00D13DBF">
        <w:t>1</w:t>
      </w:r>
      <w:r>
        <w:t xml:space="preserve"> </w:t>
      </w:r>
      <w:r w:rsidRPr="00D13DBF">
        <w:t>písm.</w:t>
      </w:r>
      <w:r>
        <w:t xml:space="preserve"> </w:t>
      </w:r>
      <w:r w:rsidRPr="00D13DBF">
        <w:t>g),</w:t>
      </w:r>
      <w:r>
        <w:t xml:space="preserve"> </w:t>
      </w:r>
      <w:r w:rsidRPr="00D13DBF">
        <w:t>h),</w:t>
      </w:r>
      <w:r>
        <w:t xml:space="preserve"> </w:t>
      </w:r>
      <w:r w:rsidRPr="00D13DBF">
        <w:t>m)</w:t>
      </w:r>
      <w:r>
        <w:t xml:space="preserve"> </w:t>
      </w:r>
      <w:r w:rsidRPr="00D13DBF">
        <w:t>a</w:t>
      </w:r>
      <w:r>
        <w:t xml:space="preserve"> </w:t>
      </w:r>
      <w:r w:rsidRPr="00D13DBF">
        <w:t>r),</w:t>
      </w:r>
      <w:r>
        <w:t xml:space="preserve"> </w:t>
      </w:r>
      <w:r w:rsidRPr="00D13DBF">
        <w:t>ve</w:t>
      </w:r>
      <w:r>
        <w:t xml:space="preserve"> </w:t>
      </w:r>
      <w:r w:rsidRPr="00D13DBF">
        <w:t>kterých</w:t>
      </w:r>
      <w:r>
        <w:t xml:space="preserve"> </w:t>
      </w:r>
      <w:r w:rsidRPr="00D13DBF">
        <w:t>rozhoduje</w:t>
      </w:r>
      <w:r>
        <w:t xml:space="preserve"> </w:t>
      </w:r>
      <w:r w:rsidRPr="00D13DBF">
        <w:t>jako</w:t>
      </w:r>
      <w:r>
        <w:t xml:space="preserve"> </w:t>
      </w:r>
      <w:r w:rsidRPr="00D13DBF">
        <w:t>orgán</w:t>
      </w:r>
      <w:r>
        <w:t xml:space="preserve"> </w:t>
      </w:r>
      <w:r w:rsidRPr="00D13DBF">
        <w:t>prvého</w:t>
      </w:r>
      <w:r>
        <w:t xml:space="preserve"> </w:t>
      </w:r>
      <w:r w:rsidRPr="00D13DBF">
        <w:t>stupně</w:t>
      </w:r>
      <w:r>
        <w:t xml:space="preserve"> </w:t>
      </w:r>
      <w:r w:rsidRPr="00D13DBF">
        <w:t>Ústřední</w:t>
      </w:r>
      <w:r>
        <w:t xml:space="preserve"> </w:t>
      </w:r>
      <w:r w:rsidRPr="00D13DBF">
        <w:t>veterinární</w:t>
      </w:r>
      <w:r>
        <w:t xml:space="preserve"> </w:t>
      </w:r>
      <w:r w:rsidRPr="00D13DBF">
        <w:t>správa.</w:t>
      </w:r>
    </w:p>
    <w:p w14:paraId="4E8F38C8" w14:textId="77777777" w:rsidR="00156893" w:rsidRDefault="00156893" w:rsidP="00CB5381">
      <w:pPr>
        <w:pStyle w:val="Textparagrafu"/>
        <w:tabs>
          <w:tab w:val="left" w:pos="406"/>
          <w:tab w:val="left" w:pos="840"/>
          <w:tab w:val="left" w:pos="868"/>
        </w:tabs>
        <w:spacing w:after="120"/>
        <w:ind w:firstLine="0"/>
        <w:sectPr w:rsidR="00156893" w:rsidSect="00554E2B">
          <w:footnotePr>
            <w:numStart w:val="3"/>
          </w:footnotePr>
          <w:endnotePr>
            <w:numFmt w:val="decimal"/>
          </w:endnotePr>
          <w:pgSz w:w="11906" w:h="16838"/>
          <w:pgMar w:top="1418" w:right="1418" w:bottom="1418" w:left="1418" w:header="709" w:footer="709" w:gutter="0"/>
          <w:cols w:space="708"/>
          <w:docGrid w:linePitch="360"/>
        </w:sectPr>
      </w:pPr>
    </w:p>
    <w:p w14:paraId="30C00709" w14:textId="1AD68379" w:rsidR="006609D4" w:rsidRPr="00381604" w:rsidRDefault="006609D4" w:rsidP="00566368">
      <w:pPr>
        <w:tabs>
          <w:tab w:val="left" w:pos="851"/>
        </w:tabs>
        <w:spacing w:before="120" w:after="120"/>
        <w:ind w:firstLine="0"/>
        <w:jc w:val="center"/>
        <w:outlineLvl w:val="0"/>
        <w:rPr>
          <w:szCs w:val="24"/>
        </w:rPr>
      </w:pPr>
      <w:r w:rsidRPr="00381604">
        <w:rPr>
          <w:b/>
          <w:szCs w:val="24"/>
        </w:rPr>
        <w:lastRenderedPageBreak/>
        <w:t xml:space="preserve">K části třicáté </w:t>
      </w:r>
      <w:r w:rsidR="00681D7E">
        <w:rPr>
          <w:b/>
          <w:szCs w:val="24"/>
        </w:rPr>
        <w:t>devát</w:t>
      </w:r>
      <w:r w:rsidRPr="00381604">
        <w:rPr>
          <w:b/>
          <w:szCs w:val="24"/>
        </w:rPr>
        <w:t xml:space="preserve">é návrhu zákona – </w:t>
      </w:r>
      <w:r w:rsidRPr="00381604">
        <w:rPr>
          <w:szCs w:val="24"/>
        </w:rPr>
        <w:t xml:space="preserve">změna zákona </w:t>
      </w:r>
      <w:r w:rsidR="00527C79" w:rsidRPr="00381604">
        <w:rPr>
          <w:szCs w:val="24"/>
        </w:rPr>
        <w:t>o zajišťování obrany České republiky</w:t>
      </w:r>
    </w:p>
    <w:p w14:paraId="51DAA588" w14:textId="1938D24C" w:rsidR="006609D4" w:rsidRPr="002A3706" w:rsidRDefault="006609D4" w:rsidP="00527C79">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381604">
        <w:rPr>
          <w:b/>
          <w:szCs w:val="24"/>
        </w:rPr>
        <w:t>Platné znění</w:t>
      </w:r>
      <w:r w:rsidRPr="00381604">
        <w:rPr>
          <w:szCs w:val="24"/>
        </w:rPr>
        <w:t xml:space="preserve"> zákona </w:t>
      </w:r>
      <w:r w:rsidRPr="00381604">
        <w:rPr>
          <w:color w:val="000000"/>
          <w:szCs w:val="24"/>
        </w:rPr>
        <w:t>č.</w:t>
      </w:r>
      <w:r w:rsidR="00527C79" w:rsidRPr="00381604">
        <w:rPr>
          <w:color w:val="000000"/>
          <w:szCs w:val="24"/>
        </w:rPr>
        <w:t>222</w:t>
      </w:r>
      <w:r w:rsidRPr="00381604">
        <w:rPr>
          <w:color w:val="000000"/>
          <w:szCs w:val="24"/>
        </w:rPr>
        <w:t>/</w:t>
      </w:r>
      <w:r w:rsidRPr="00381604">
        <w:rPr>
          <w:szCs w:val="24"/>
        </w:rPr>
        <w:t>199</w:t>
      </w:r>
      <w:r w:rsidR="00527C79" w:rsidRPr="00381604">
        <w:rPr>
          <w:szCs w:val="24"/>
        </w:rPr>
        <w:t>9</w:t>
      </w:r>
      <w:r w:rsidRPr="00381604">
        <w:rPr>
          <w:szCs w:val="24"/>
        </w:rPr>
        <w:t xml:space="preserve"> Sb.,</w:t>
      </w:r>
      <w:r w:rsidRPr="00CB5381">
        <w:rPr>
          <w:szCs w:val="24"/>
        </w:rPr>
        <w:t xml:space="preserve"> </w:t>
      </w:r>
      <w:r w:rsidR="00527C79" w:rsidRPr="00527C79">
        <w:rPr>
          <w:szCs w:val="24"/>
        </w:rPr>
        <w:t>o zajišťování obrany České republiky</w:t>
      </w:r>
    </w:p>
    <w:p w14:paraId="4C0D3443" w14:textId="323B460D" w:rsidR="006609D4" w:rsidRPr="00CB5381" w:rsidRDefault="00566368" w:rsidP="006609D4">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AE4818">
        <w:rPr>
          <w:b/>
          <w:szCs w:val="24"/>
          <w:lang w:eastAsia="en-US"/>
        </w:rPr>
        <w:t>s vyznačením navrhovaných změn a doplnění k 1. lednu 2025</w:t>
      </w:r>
    </w:p>
    <w:p w14:paraId="1B460FA4" w14:textId="77777777" w:rsidR="006609D4" w:rsidRDefault="006609D4" w:rsidP="006609D4">
      <w:pPr>
        <w:pStyle w:val="Textparagrafu"/>
        <w:tabs>
          <w:tab w:val="left" w:pos="406"/>
          <w:tab w:val="left" w:pos="840"/>
          <w:tab w:val="left" w:pos="868"/>
        </w:tabs>
        <w:spacing w:after="120"/>
        <w:ind w:firstLine="0"/>
        <w:jc w:val="center"/>
      </w:pPr>
      <w:r>
        <w:t>***</w:t>
      </w:r>
    </w:p>
    <w:p w14:paraId="62208905" w14:textId="77777777" w:rsidR="00681D7E" w:rsidRDefault="00681D7E" w:rsidP="00681D7E">
      <w:pPr>
        <w:pStyle w:val="Paragraf"/>
        <w:numPr>
          <w:ilvl w:val="0"/>
          <w:numId w:val="29"/>
        </w:numPr>
      </w:pPr>
      <w:r>
        <w:t>§ 49</w:t>
      </w:r>
    </w:p>
    <w:p w14:paraId="153560E8" w14:textId="77777777" w:rsidR="00681D7E" w:rsidRDefault="00681D7E" w:rsidP="00566368">
      <w:pPr>
        <w:pStyle w:val="PZTextodstavce"/>
      </w:pPr>
      <w:r>
        <w:t xml:space="preserve">(1) </w:t>
      </w:r>
      <w:r w:rsidRPr="003573A2">
        <w:t>Řízení se zahajuje podáním návrhu na vyvlastnění příslušnému úřadu.</w:t>
      </w:r>
    </w:p>
    <w:p w14:paraId="3BD360D3" w14:textId="77777777" w:rsidR="00681D7E" w:rsidRDefault="00681D7E" w:rsidP="00566368">
      <w:pPr>
        <w:pStyle w:val="PZTextodstavce"/>
      </w:pPr>
      <w:r>
        <w:t>(2) Příslušný úřad o zahájení řízení bezodkladně uvědomí účastníky řízení a stanoví jim lhůtu pro vyjádření. Lhůta pro vyjádření nesmí být kratší než 3 dny.</w:t>
      </w:r>
    </w:p>
    <w:p w14:paraId="37364F80" w14:textId="77777777" w:rsidR="00681D7E" w:rsidRDefault="00681D7E" w:rsidP="00566368">
      <w:pPr>
        <w:pStyle w:val="PZTextodstavce"/>
      </w:pPr>
      <w:r>
        <w:t xml:space="preserve">(3) Příslušný úřad před uplynutím lhůty, kterou stanovil účastníkům řízení pro vyjádření, uskuteční místní šetření. V průběhu místního šetření se ocení věc, která je předmětem vyvlastnění. </w:t>
      </w:r>
      <w:r w:rsidRPr="00FE3D59">
        <w:rPr>
          <w:strike/>
        </w:rPr>
        <w:t>K ocenění se použijí zvláštní právní předpisy platné v době zahájení řízení.</w:t>
      </w:r>
      <w:r w:rsidRPr="00FE3D59">
        <w:t xml:space="preserve"> </w:t>
      </w:r>
      <w:r w:rsidRPr="00FE3D59">
        <w:rPr>
          <w:b/>
        </w:rPr>
        <w:t>K oceňování se použijí právní předpisy upravující oceňování věcí, služeb a dluhů účinné v době zahájení řízení.</w:t>
      </w:r>
    </w:p>
    <w:p w14:paraId="3994BAF7" w14:textId="77777777" w:rsidR="00681D7E" w:rsidRDefault="00681D7E" w:rsidP="00566368">
      <w:pPr>
        <w:pStyle w:val="PZTextodstavce"/>
      </w:pPr>
      <w:r>
        <w:t>(4) Rozhodnutí se musí vydat do 7 dnů ode dne zahájení tohoto řízení.</w:t>
      </w:r>
    </w:p>
    <w:p w14:paraId="19D56AED" w14:textId="77777777" w:rsidR="00681D7E" w:rsidRDefault="00681D7E" w:rsidP="00566368">
      <w:pPr>
        <w:pStyle w:val="PZTextodstavce"/>
      </w:pPr>
      <w:r>
        <w:t>(5) Rozhodnutí obsahuje výrok, odůvodnění, rozhodnutí o náhradě za vyvlastnění a poučení o odvolání. Odůvodnění neobsahuje utajované informace a údaje, kterými může dojít k ohrožení ochrany utajovaných informací. Poučení o odvolání obsahuje označení správního úřadu, ke kterému se lze odvolat, lhůtu pro odvolání a poučení o tom, že odvolání nemá odkladný účinek.</w:t>
      </w:r>
    </w:p>
    <w:p w14:paraId="2B73CDBB" w14:textId="77777777" w:rsidR="00681D7E" w:rsidRDefault="00681D7E" w:rsidP="00681D7E">
      <w:pPr>
        <w:pStyle w:val="Paragraf"/>
        <w:numPr>
          <w:ilvl w:val="0"/>
          <w:numId w:val="29"/>
        </w:numPr>
        <w:spacing w:before="120"/>
      </w:pPr>
      <w:r>
        <w:t>***</w:t>
      </w:r>
    </w:p>
    <w:p w14:paraId="14A84B4A" w14:textId="77777777" w:rsidR="00681D7E" w:rsidRPr="003573A2" w:rsidRDefault="00681D7E" w:rsidP="00681D7E">
      <w:pPr>
        <w:pStyle w:val="Paragraf"/>
        <w:numPr>
          <w:ilvl w:val="0"/>
          <w:numId w:val="29"/>
        </w:numPr>
      </w:pPr>
      <w:r>
        <w:t>§ 58</w:t>
      </w:r>
    </w:p>
    <w:p w14:paraId="175D0CE2" w14:textId="77777777" w:rsidR="00681D7E" w:rsidRDefault="00681D7E" w:rsidP="00681D7E">
      <w:pPr>
        <w:pStyle w:val="PZTextodstavce"/>
      </w:pPr>
      <w:r>
        <w:t xml:space="preserve">(1) </w:t>
      </w:r>
      <w:r w:rsidRPr="00BC0D93">
        <w:t xml:space="preserve">Náhrada za poskytnutí věcného prostředku v souvislosti s prověřením podle § 41 se určí, nedošlo-li k dohodě o její výši, ve výši </w:t>
      </w:r>
      <w:r w:rsidRPr="00FE3D59">
        <w:rPr>
          <w:strike/>
        </w:rPr>
        <w:t>ceny zjištěné podle zvláštního právního předpisu</w:t>
      </w:r>
      <w:r w:rsidRPr="00FE3D59">
        <w:rPr>
          <w:b/>
          <w:strike/>
        </w:rPr>
        <w:t xml:space="preserve"> </w:t>
      </w:r>
      <w:r w:rsidRPr="00FE3D59">
        <w:rPr>
          <w:rStyle w:val="Znakapoznpodarou"/>
          <w:strike/>
        </w:rPr>
        <w:footnoteReference w:customMarkFollows="1" w:id="283"/>
        <w:t>18)</w:t>
      </w:r>
      <w:r w:rsidRPr="00FE3D59">
        <w:t xml:space="preserve"> </w:t>
      </w:r>
      <w:r w:rsidRPr="00FE3D59">
        <w:rPr>
          <w:b/>
        </w:rPr>
        <w:t>zjištěné hodnoty určené podle právních předpisů upravujících oceňování věcí, sužeb a dluhů</w:t>
      </w:r>
      <w:r w:rsidRPr="00FE3D59">
        <w:t xml:space="preserve">. Rada </w:t>
      </w:r>
      <w:r w:rsidRPr="00BC0D93">
        <w:t>kraje nařízením může stanovit sazby a způsob výpočtu maximální výše náhrad za poskytnutí jednotlivých druhů věcných prostředků použitých v souvislosti s prověřením podle věty první.</w:t>
      </w:r>
    </w:p>
    <w:p w14:paraId="67C3FA03" w14:textId="77777777" w:rsidR="00681D7E" w:rsidRDefault="00681D7E" w:rsidP="00681D7E">
      <w:pPr>
        <w:pStyle w:val="PZTextodstavce"/>
      </w:pPr>
      <w:r>
        <w:t xml:space="preserve">(2) </w:t>
      </w:r>
      <w:r w:rsidRPr="00BC0D93">
        <w:t xml:space="preserve">Náhrada za poskytnutí věcného prostředku za stavu ohrožení státu nebo za válečného stavu se určí </w:t>
      </w:r>
      <w:r w:rsidRPr="001417E5">
        <w:t>odvozením</w:t>
      </w:r>
      <w:r w:rsidRPr="001417E5">
        <w:rPr>
          <w:color w:val="000000" w:themeColor="text1"/>
        </w:rPr>
        <w:t xml:space="preserve"> </w:t>
      </w:r>
      <w:r w:rsidRPr="00FE3D59">
        <w:t>od</w:t>
      </w:r>
      <w:r w:rsidRPr="00FE3D59">
        <w:rPr>
          <w:strike/>
        </w:rPr>
        <w:t xml:space="preserve"> pořizovací ceny, popřípadě reprodukční pořizovací ceny</w:t>
      </w:r>
      <w:r w:rsidRPr="00FE3D59">
        <w:rPr>
          <w:rStyle w:val="Znakapoznpodarou"/>
          <w:strike/>
        </w:rPr>
        <w:footnoteReference w:customMarkFollows="1" w:id="284"/>
        <w:t>19</w:t>
      </w:r>
      <w:r w:rsidRPr="00FE3D59">
        <w:rPr>
          <w:rStyle w:val="Znakapoznpodarou"/>
        </w:rPr>
        <w:t>)</w:t>
      </w:r>
      <w:r w:rsidRPr="00FE3D59">
        <w:t xml:space="preserve"> </w:t>
      </w:r>
      <w:r w:rsidRPr="00FE3D59">
        <w:rPr>
          <w:b/>
        </w:rPr>
        <w:t>pořizovacího výdaje nebo reprodukčního pořizovacího výdaje</w:t>
      </w:r>
      <w:r w:rsidRPr="00FE3D59">
        <w:t xml:space="preserve"> věcného </w:t>
      </w:r>
      <w:r w:rsidRPr="00BC0D93">
        <w:t>prostředku s přihlédnutím k době používání a k míře opotřebení věcného prostředku v době převzetí a s přihlédnutím ke stavu věcného prostředku v době jeho vrácení a za podmínek, které stanoví regulační opatření vyhlášené podle zvláštního právního předpisu.</w:t>
      </w:r>
    </w:p>
    <w:p w14:paraId="1AE6E796" w14:textId="77777777" w:rsidR="00527C79" w:rsidRDefault="00527C79" w:rsidP="00CB5381">
      <w:pPr>
        <w:pStyle w:val="Textparagrafu"/>
        <w:tabs>
          <w:tab w:val="left" w:pos="406"/>
          <w:tab w:val="left" w:pos="840"/>
          <w:tab w:val="left" w:pos="868"/>
        </w:tabs>
        <w:spacing w:after="120"/>
        <w:ind w:firstLine="0"/>
        <w:sectPr w:rsidR="00527C79" w:rsidSect="00554E2B">
          <w:footnotePr>
            <w:numStart w:val="3"/>
          </w:footnotePr>
          <w:endnotePr>
            <w:numFmt w:val="decimal"/>
          </w:endnotePr>
          <w:pgSz w:w="11906" w:h="16838"/>
          <w:pgMar w:top="1418" w:right="1418" w:bottom="1418" w:left="1418" w:header="709" w:footer="709" w:gutter="0"/>
          <w:cols w:space="708"/>
          <w:docGrid w:linePitch="360"/>
        </w:sectPr>
      </w:pPr>
    </w:p>
    <w:p w14:paraId="4631DEC5" w14:textId="67C12817" w:rsidR="00527C79" w:rsidRPr="00527C79" w:rsidRDefault="00527C79" w:rsidP="00566368">
      <w:pPr>
        <w:tabs>
          <w:tab w:val="left" w:pos="851"/>
        </w:tabs>
        <w:spacing w:before="120" w:after="120"/>
        <w:ind w:firstLine="0"/>
        <w:jc w:val="center"/>
        <w:outlineLvl w:val="0"/>
        <w:rPr>
          <w:szCs w:val="24"/>
        </w:rPr>
      </w:pPr>
      <w:r w:rsidRPr="00527C79">
        <w:rPr>
          <w:b/>
          <w:szCs w:val="24"/>
        </w:rPr>
        <w:lastRenderedPageBreak/>
        <w:t xml:space="preserve">K části </w:t>
      </w:r>
      <w:r w:rsidR="00393B51">
        <w:rPr>
          <w:b/>
          <w:szCs w:val="24"/>
        </w:rPr>
        <w:t>čtyřicáté</w:t>
      </w:r>
      <w:r w:rsidRPr="00527C79">
        <w:rPr>
          <w:b/>
          <w:szCs w:val="24"/>
        </w:rPr>
        <w:t xml:space="preserve"> návrhu zákona – </w:t>
      </w:r>
      <w:r w:rsidRPr="00527C79">
        <w:rPr>
          <w:szCs w:val="24"/>
        </w:rPr>
        <w:t>změna zákona o poskytování dotací soukromým školám, předškolním a školským zařízením</w:t>
      </w:r>
    </w:p>
    <w:p w14:paraId="023C0F26" w14:textId="562ABBF7" w:rsidR="00527C79" w:rsidRPr="00527C79" w:rsidRDefault="00527C79" w:rsidP="00527C79">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527C79">
        <w:rPr>
          <w:b/>
          <w:szCs w:val="24"/>
        </w:rPr>
        <w:t>Platné znění</w:t>
      </w:r>
      <w:r w:rsidRPr="00527C79">
        <w:rPr>
          <w:szCs w:val="24"/>
        </w:rPr>
        <w:t xml:space="preserve"> zákona </w:t>
      </w:r>
      <w:r w:rsidRPr="00527C79">
        <w:rPr>
          <w:color w:val="000000"/>
          <w:szCs w:val="24"/>
        </w:rPr>
        <w:t>č.</w:t>
      </w:r>
      <w:r>
        <w:rPr>
          <w:color w:val="000000"/>
          <w:szCs w:val="24"/>
        </w:rPr>
        <w:t>306</w:t>
      </w:r>
      <w:r w:rsidRPr="00527C79">
        <w:rPr>
          <w:color w:val="000000"/>
          <w:szCs w:val="24"/>
        </w:rPr>
        <w:t>/</w:t>
      </w:r>
      <w:r w:rsidRPr="00527C79">
        <w:rPr>
          <w:szCs w:val="24"/>
        </w:rPr>
        <w:t>1999 Sb., o poskytování dotací soukromým školám, předškolním a školským zařízením</w:t>
      </w:r>
    </w:p>
    <w:p w14:paraId="551DE7A4" w14:textId="5EA8ACE2" w:rsidR="00527C79" w:rsidRPr="00527C79" w:rsidRDefault="00D50FFB" w:rsidP="00527C79">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AE4818">
        <w:rPr>
          <w:b/>
          <w:szCs w:val="24"/>
          <w:lang w:eastAsia="en-US"/>
        </w:rPr>
        <w:t>s vyznačením navrhovaných změn a doplnění k 1. lednu 2025</w:t>
      </w:r>
    </w:p>
    <w:p w14:paraId="470B67FE" w14:textId="77777777" w:rsidR="00527C79" w:rsidRDefault="00527C79" w:rsidP="00527C79">
      <w:pPr>
        <w:pStyle w:val="Textparagrafu"/>
        <w:tabs>
          <w:tab w:val="left" w:pos="406"/>
          <w:tab w:val="left" w:pos="840"/>
          <w:tab w:val="left" w:pos="868"/>
        </w:tabs>
        <w:spacing w:after="120"/>
        <w:ind w:firstLine="0"/>
        <w:jc w:val="center"/>
      </w:pPr>
      <w:r w:rsidRPr="00527C79">
        <w:t>***</w:t>
      </w:r>
    </w:p>
    <w:p w14:paraId="13EA2F10" w14:textId="7761296A" w:rsidR="00217AFA" w:rsidRDefault="00217AFA" w:rsidP="00217AFA">
      <w:pPr>
        <w:pStyle w:val="Textparagrafu"/>
        <w:ind w:firstLine="0"/>
        <w:jc w:val="center"/>
      </w:pPr>
      <w:r w:rsidRPr="00B63165">
        <w:t>§</w:t>
      </w:r>
      <w:r>
        <w:t xml:space="preserve"> </w:t>
      </w:r>
      <w:r w:rsidRPr="00B63165">
        <w:t>6</w:t>
      </w:r>
    </w:p>
    <w:p w14:paraId="1A1C3C67" w14:textId="77777777" w:rsidR="00217AFA" w:rsidRPr="00217AFA" w:rsidRDefault="00217AFA" w:rsidP="00217AFA">
      <w:pPr>
        <w:pStyle w:val="Textparagrafu"/>
        <w:ind w:firstLine="0"/>
        <w:jc w:val="center"/>
        <w:rPr>
          <w:b/>
        </w:rPr>
      </w:pPr>
      <w:r w:rsidRPr="00217AFA">
        <w:rPr>
          <w:b/>
        </w:rPr>
        <w:t>Pravidla pro poskytování dotace</w:t>
      </w:r>
    </w:p>
    <w:p w14:paraId="4845E8C0" w14:textId="77777777" w:rsidR="00217AFA" w:rsidRDefault="00217AFA" w:rsidP="00D50FFB">
      <w:pPr>
        <w:pStyle w:val="Textparagrafu"/>
        <w:spacing w:before="120" w:after="120"/>
      </w:pPr>
      <w:r w:rsidRPr="00B63165">
        <w:t>(1)</w:t>
      </w:r>
      <w:r>
        <w:t xml:space="preserve"> </w:t>
      </w:r>
      <w:r w:rsidRPr="00B63165">
        <w:t>Dotace</w:t>
      </w:r>
      <w:r>
        <w:t xml:space="preserve"> </w:t>
      </w:r>
      <w:r w:rsidRPr="00B63165">
        <w:t>se</w:t>
      </w:r>
      <w:r>
        <w:t xml:space="preserve"> </w:t>
      </w:r>
      <w:r w:rsidRPr="00B63165">
        <w:t>poskytuje</w:t>
      </w:r>
      <w:r>
        <w:t xml:space="preserve"> </w:t>
      </w:r>
      <w:r w:rsidRPr="00B63165">
        <w:t>na</w:t>
      </w:r>
      <w:r>
        <w:t xml:space="preserve"> </w:t>
      </w:r>
      <w:r w:rsidRPr="00B63165">
        <w:t>školní</w:t>
      </w:r>
      <w:r>
        <w:t xml:space="preserve"> </w:t>
      </w:r>
      <w:r w:rsidRPr="00B63165">
        <w:t>rok</w:t>
      </w:r>
      <w:r>
        <w:t xml:space="preserve"> </w:t>
      </w:r>
      <w:r w:rsidRPr="00B63165">
        <w:t>zálohově</w:t>
      </w:r>
      <w:r>
        <w:t xml:space="preserve"> </w:t>
      </w:r>
      <w:r w:rsidRPr="00B63165">
        <w:t>na</w:t>
      </w:r>
      <w:r>
        <w:t xml:space="preserve"> </w:t>
      </w:r>
      <w:r w:rsidRPr="00B63165">
        <w:t>jednotlivá</w:t>
      </w:r>
      <w:r>
        <w:t xml:space="preserve"> </w:t>
      </w:r>
      <w:r w:rsidRPr="00B63165">
        <w:t>čtvrtletí</w:t>
      </w:r>
      <w:r>
        <w:t xml:space="preserve"> </w:t>
      </w:r>
      <w:r w:rsidRPr="00B63165">
        <w:t>kalendářního</w:t>
      </w:r>
      <w:r>
        <w:t xml:space="preserve"> </w:t>
      </w:r>
      <w:r w:rsidRPr="00B63165">
        <w:t>roku,</w:t>
      </w:r>
      <w:r>
        <w:t xml:space="preserve"> </w:t>
      </w:r>
      <w:r w:rsidRPr="00B63165">
        <w:t>nejpozději</w:t>
      </w:r>
      <w:r>
        <w:t xml:space="preserve"> </w:t>
      </w:r>
      <w:r w:rsidRPr="00B63165">
        <w:t>poslední</w:t>
      </w:r>
      <w:r>
        <w:t xml:space="preserve"> </w:t>
      </w:r>
      <w:r w:rsidRPr="00B63165">
        <w:t>den</w:t>
      </w:r>
      <w:r>
        <w:t xml:space="preserve"> </w:t>
      </w:r>
      <w:r w:rsidRPr="00B63165">
        <w:t>prvního</w:t>
      </w:r>
      <w:r>
        <w:t xml:space="preserve"> </w:t>
      </w:r>
      <w:r w:rsidRPr="00B63165">
        <w:t>měsíce</w:t>
      </w:r>
      <w:r>
        <w:t xml:space="preserve"> </w:t>
      </w:r>
      <w:r w:rsidRPr="00B63165">
        <w:t>prvního,</w:t>
      </w:r>
      <w:r>
        <w:t xml:space="preserve"> </w:t>
      </w:r>
      <w:r w:rsidRPr="00B63165">
        <w:t>druhého</w:t>
      </w:r>
      <w:r>
        <w:t xml:space="preserve"> </w:t>
      </w:r>
      <w:r w:rsidRPr="00B63165">
        <w:t>a</w:t>
      </w:r>
      <w:r>
        <w:t xml:space="preserve"> </w:t>
      </w:r>
      <w:r w:rsidRPr="00B63165">
        <w:t>třetího</w:t>
      </w:r>
      <w:r>
        <w:t xml:space="preserve"> </w:t>
      </w:r>
      <w:r w:rsidRPr="00B63165">
        <w:t>čtvrtletí</w:t>
      </w:r>
      <w:r>
        <w:t xml:space="preserve"> </w:t>
      </w:r>
      <w:r w:rsidRPr="00B63165">
        <w:t>a</w:t>
      </w:r>
      <w:r>
        <w:t xml:space="preserve"> </w:t>
      </w:r>
      <w:r w:rsidRPr="00B63165">
        <w:t>patnáctý</w:t>
      </w:r>
      <w:r>
        <w:t xml:space="preserve"> </w:t>
      </w:r>
      <w:r w:rsidRPr="00B63165">
        <w:t>den</w:t>
      </w:r>
      <w:r>
        <w:t xml:space="preserve"> </w:t>
      </w:r>
      <w:r w:rsidRPr="00B63165">
        <w:t>druhého</w:t>
      </w:r>
      <w:r>
        <w:t xml:space="preserve"> </w:t>
      </w:r>
      <w:r w:rsidRPr="00B63165">
        <w:t>měsíce</w:t>
      </w:r>
      <w:r>
        <w:t xml:space="preserve"> </w:t>
      </w:r>
      <w:r w:rsidRPr="00B63165">
        <w:t>čtvrtého</w:t>
      </w:r>
      <w:r>
        <w:t xml:space="preserve"> </w:t>
      </w:r>
      <w:r w:rsidRPr="00B63165">
        <w:t>čtvrtletí.</w:t>
      </w:r>
      <w:r>
        <w:t xml:space="preserve"> </w:t>
      </w:r>
      <w:r w:rsidRPr="00B63165">
        <w:t>Roční</w:t>
      </w:r>
      <w:r>
        <w:t xml:space="preserve"> </w:t>
      </w:r>
      <w:r w:rsidRPr="00B63165">
        <w:t>výše</w:t>
      </w:r>
      <w:r>
        <w:t xml:space="preserve"> </w:t>
      </w:r>
      <w:r w:rsidRPr="00B63165">
        <w:t>poskytované</w:t>
      </w:r>
      <w:r>
        <w:t xml:space="preserve"> </w:t>
      </w:r>
      <w:r w:rsidRPr="00B63165">
        <w:t>dotace</w:t>
      </w:r>
      <w:r>
        <w:t xml:space="preserve"> </w:t>
      </w:r>
      <w:r w:rsidRPr="00B63165">
        <w:t>se</w:t>
      </w:r>
      <w:r>
        <w:t xml:space="preserve"> </w:t>
      </w:r>
      <w:r w:rsidRPr="00B63165">
        <w:t>stanoví</w:t>
      </w:r>
      <w:r>
        <w:t xml:space="preserve"> </w:t>
      </w:r>
      <w:r w:rsidRPr="00B63165">
        <w:t>podle</w:t>
      </w:r>
      <w:r>
        <w:t xml:space="preserve"> </w:t>
      </w:r>
      <w:r w:rsidRPr="00B63165">
        <w:t>§</w:t>
      </w:r>
      <w:r>
        <w:t xml:space="preserve"> </w:t>
      </w:r>
      <w:r w:rsidRPr="00B63165">
        <w:t>4</w:t>
      </w:r>
      <w:r>
        <w:t xml:space="preserve"> </w:t>
      </w:r>
      <w:r w:rsidRPr="00B63165">
        <w:t>a</w:t>
      </w:r>
      <w:r>
        <w:t xml:space="preserve"> </w:t>
      </w:r>
      <w:r w:rsidRPr="00B63165">
        <w:t>5.</w:t>
      </w:r>
    </w:p>
    <w:p w14:paraId="3CFEE378" w14:textId="055B2722" w:rsidR="00217AFA" w:rsidRDefault="00217AFA" w:rsidP="00D50FFB">
      <w:pPr>
        <w:pStyle w:val="Textparagrafu"/>
        <w:spacing w:before="120" w:after="120"/>
      </w:pPr>
      <w:r w:rsidRPr="00B63165">
        <w:t>(2)</w:t>
      </w:r>
      <w:r>
        <w:t xml:space="preserve"> </w:t>
      </w:r>
      <w:r w:rsidRPr="00B63165">
        <w:t>Dotace</w:t>
      </w:r>
      <w:r>
        <w:t xml:space="preserve"> </w:t>
      </w:r>
      <w:r w:rsidRPr="00B63165">
        <w:t>se</w:t>
      </w:r>
      <w:r>
        <w:t xml:space="preserve"> </w:t>
      </w:r>
      <w:r w:rsidRPr="00B63165">
        <w:t>poskytuje</w:t>
      </w:r>
      <w:r>
        <w:t xml:space="preserve"> </w:t>
      </w:r>
      <w:r w:rsidRPr="00B63165">
        <w:t>podle</w:t>
      </w:r>
      <w:r>
        <w:t xml:space="preserve"> </w:t>
      </w:r>
      <w:r w:rsidRPr="00B63165">
        <w:t>skutečného</w:t>
      </w:r>
      <w:r>
        <w:t xml:space="preserve"> </w:t>
      </w:r>
      <w:r w:rsidRPr="00B63165">
        <w:t>počtu</w:t>
      </w:r>
      <w:r>
        <w:t xml:space="preserve"> </w:t>
      </w:r>
      <w:r w:rsidRPr="00B63165">
        <w:t>dětí,</w:t>
      </w:r>
      <w:r>
        <w:t xml:space="preserve"> </w:t>
      </w:r>
      <w:r w:rsidRPr="00B63165">
        <w:t>žáků</w:t>
      </w:r>
      <w:r>
        <w:t xml:space="preserve"> </w:t>
      </w:r>
      <w:r w:rsidRPr="00B63165">
        <w:t>nebo</w:t>
      </w:r>
      <w:r>
        <w:t xml:space="preserve"> </w:t>
      </w:r>
      <w:r w:rsidRPr="00B63165">
        <w:t>studentů</w:t>
      </w:r>
      <w:r>
        <w:t xml:space="preserve"> </w:t>
      </w:r>
      <w:r w:rsidRPr="00B63165">
        <w:t>ve</w:t>
      </w:r>
      <w:r>
        <w:t xml:space="preserve"> </w:t>
      </w:r>
      <w:r w:rsidRPr="00B63165">
        <w:t>škole</w:t>
      </w:r>
      <w:r>
        <w:t xml:space="preserve"> </w:t>
      </w:r>
      <w:r w:rsidRPr="00B63165">
        <w:t>nebo</w:t>
      </w:r>
      <w:r>
        <w:t xml:space="preserve"> </w:t>
      </w:r>
      <w:r w:rsidRPr="00B63165">
        <w:t>školském</w:t>
      </w:r>
      <w:r>
        <w:t xml:space="preserve"> </w:t>
      </w:r>
      <w:r w:rsidRPr="00B63165">
        <w:t>zařízení,</w:t>
      </w:r>
      <w:r>
        <w:t xml:space="preserve"> </w:t>
      </w:r>
      <w:r w:rsidRPr="00B63165">
        <w:t>v</w:t>
      </w:r>
      <w:r>
        <w:t xml:space="preserve"> </w:t>
      </w:r>
      <w:r w:rsidRPr="00B63165">
        <w:t>jednotlivých</w:t>
      </w:r>
      <w:r>
        <w:t xml:space="preserve"> </w:t>
      </w:r>
      <w:r w:rsidRPr="00B63165">
        <w:t>oborech</w:t>
      </w:r>
      <w:r>
        <w:t xml:space="preserve"> </w:t>
      </w:r>
      <w:r w:rsidRPr="00B63165">
        <w:t>a</w:t>
      </w:r>
      <w:r>
        <w:t xml:space="preserve"> </w:t>
      </w:r>
      <w:r w:rsidRPr="00B63165">
        <w:t>formách</w:t>
      </w:r>
      <w:r>
        <w:t xml:space="preserve"> </w:t>
      </w:r>
      <w:r w:rsidRPr="00B63165">
        <w:t>vzdělávání,</w:t>
      </w:r>
      <w:r>
        <w:t xml:space="preserve"> </w:t>
      </w:r>
      <w:r w:rsidRPr="00B63165">
        <w:t>lůžek,</w:t>
      </w:r>
      <w:r>
        <w:t xml:space="preserve"> </w:t>
      </w:r>
      <w:r w:rsidRPr="00B63165">
        <w:t>stravovaných</w:t>
      </w:r>
      <w:r>
        <w:t xml:space="preserve"> </w:t>
      </w:r>
      <w:r w:rsidRPr="00B63165">
        <w:t>nebo</w:t>
      </w:r>
      <w:r>
        <w:t xml:space="preserve"> </w:t>
      </w:r>
      <w:r w:rsidRPr="00B63165">
        <w:t>jiných</w:t>
      </w:r>
      <w:r>
        <w:t xml:space="preserve"> </w:t>
      </w:r>
      <w:r w:rsidRPr="00B63165">
        <w:t>jednotek</w:t>
      </w:r>
      <w:r>
        <w:t xml:space="preserve"> </w:t>
      </w:r>
      <w:r w:rsidRPr="00B63165">
        <w:t>stanovených</w:t>
      </w:r>
      <w:r>
        <w:t xml:space="preserve"> </w:t>
      </w:r>
      <w:r w:rsidRPr="00B63165">
        <w:t>zvláštním</w:t>
      </w:r>
      <w:r>
        <w:t xml:space="preserve"> </w:t>
      </w:r>
      <w:r w:rsidRPr="00B63165">
        <w:t>právním</w:t>
      </w:r>
      <w:r>
        <w:t xml:space="preserve"> předpisem</w:t>
      </w:r>
      <w:r>
        <w:rPr>
          <w:rStyle w:val="Znakapoznpodarou"/>
        </w:rPr>
        <w:footnoteReference w:customMarkFollows="1" w:id="285"/>
        <w:t>6a)</w:t>
      </w:r>
      <w:r w:rsidRPr="00B63165">
        <w:t>,</w:t>
      </w:r>
      <w:r>
        <w:t xml:space="preserve"> </w:t>
      </w:r>
      <w:r w:rsidRPr="00B63165">
        <w:t>uvedeného</w:t>
      </w:r>
      <w:r>
        <w:t xml:space="preserve"> </w:t>
      </w:r>
      <w:r w:rsidRPr="00B63165">
        <w:t>ve</w:t>
      </w:r>
      <w:r>
        <w:t xml:space="preserve"> </w:t>
      </w:r>
      <w:r w:rsidRPr="00B63165">
        <w:t>školních</w:t>
      </w:r>
      <w:r>
        <w:t xml:space="preserve"> </w:t>
      </w:r>
      <w:r w:rsidRPr="00B63165">
        <w:t>matrikách</w:t>
      </w:r>
      <w:r>
        <w:t xml:space="preserve"> </w:t>
      </w:r>
      <w:r w:rsidRPr="00B63165">
        <w:t>pro</w:t>
      </w:r>
      <w:r>
        <w:t xml:space="preserve"> </w:t>
      </w:r>
      <w:r w:rsidRPr="00B63165">
        <w:t>příslušný</w:t>
      </w:r>
      <w:r>
        <w:t xml:space="preserve"> </w:t>
      </w:r>
      <w:r w:rsidRPr="00B63165">
        <w:t>školní</w:t>
      </w:r>
      <w:r>
        <w:t xml:space="preserve"> </w:t>
      </w:r>
      <w:r w:rsidRPr="00B63165">
        <w:t>rok,</w:t>
      </w:r>
      <w:r>
        <w:t xml:space="preserve"> </w:t>
      </w:r>
      <w:r w:rsidRPr="00B63165">
        <w:t>nejvýše</w:t>
      </w:r>
      <w:r>
        <w:t xml:space="preserve"> </w:t>
      </w:r>
      <w:r w:rsidRPr="00B63165">
        <w:t>však</w:t>
      </w:r>
      <w:r>
        <w:t xml:space="preserve"> </w:t>
      </w:r>
      <w:r w:rsidRPr="00B63165">
        <w:t>do</w:t>
      </w:r>
      <w:r>
        <w:t xml:space="preserve"> </w:t>
      </w:r>
      <w:r w:rsidRPr="00B63165">
        <w:t>výše</w:t>
      </w:r>
      <w:r>
        <w:t xml:space="preserve"> </w:t>
      </w:r>
      <w:r w:rsidRPr="00B63165">
        <w:t>povoleného</w:t>
      </w:r>
      <w:r>
        <w:t xml:space="preserve"> </w:t>
      </w:r>
      <w:r w:rsidRPr="00B63165">
        <w:t>počtu</w:t>
      </w:r>
      <w:r>
        <w:t xml:space="preserve"> </w:t>
      </w:r>
      <w:r w:rsidRPr="00B63165">
        <w:t>dětí,</w:t>
      </w:r>
      <w:r>
        <w:t xml:space="preserve"> </w:t>
      </w:r>
      <w:r w:rsidRPr="00B63165">
        <w:t>žáků</w:t>
      </w:r>
      <w:r>
        <w:t xml:space="preserve"> </w:t>
      </w:r>
      <w:r w:rsidRPr="00B63165">
        <w:t>nebo</w:t>
      </w:r>
      <w:r>
        <w:t xml:space="preserve"> </w:t>
      </w:r>
      <w:r w:rsidRPr="00B63165">
        <w:t>studentů</w:t>
      </w:r>
      <w:r>
        <w:t xml:space="preserve"> </w:t>
      </w:r>
      <w:r w:rsidRPr="00B63165">
        <w:t>ve</w:t>
      </w:r>
      <w:r>
        <w:t xml:space="preserve"> </w:t>
      </w:r>
      <w:r w:rsidRPr="00B63165">
        <w:t>škole</w:t>
      </w:r>
      <w:r>
        <w:t xml:space="preserve"> </w:t>
      </w:r>
      <w:r w:rsidRPr="00B63165">
        <w:t>nebo</w:t>
      </w:r>
      <w:r>
        <w:t xml:space="preserve"> </w:t>
      </w:r>
      <w:r w:rsidRPr="00B63165">
        <w:t>školském</w:t>
      </w:r>
      <w:r>
        <w:t xml:space="preserve"> </w:t>
      </w:r>
      <w:r w:rsidRPr="00B63165">
        <w:t>zařízení,</w:t>
      </w:r>
      <w:r>
        <w:t xml:space="preserve"> </w:t>
      </w:r>
      <w:r w:rsidRPr="00B63165">
        <w:t>v</w:t>
      </w:r>
      <w:r>
        <w:t xml:space="preserve"> </w:t>
      </w:r>
      <w:r w:rsidRPr="00B63165">
        <w:t>jednotlivých</w:t>
      </w:r>
      <w:r>
        <w:t xml:space="preserve"> </w:t>
      </w:r>
      <w:r w:rsidRPr="00B63165">
        <w:t>oborech</w:t>
      </w:r>
      <w:r>
        <w:t xml:space="preserve"> </w:t>
      </w:r>
      <w:r w:rsidRPr="00B63165">
        <w:t>a</w:t>
      </w:r>
      <w:r>
        <w:t xml:space="preserve"> </w:t>
      </w:r>
      <w:r w:rsidRPr="00B63165">
        <w:t>formách</w:t>
      </w:r>
      <w:r>
        <w:t xml:space="preserve"> </w:t>
      </w:r>
      <w:r w:rsidRPr="00B63165">
        <w:t>vzdělávání,</w:t>
      </w:r>
      <w:r>
        <w:t xml:space="preserve"> </w:t>
      </w:r>
      <w:r w:rsidRPr="00B63165">
        <w:t>lůžek,</w:t>
      </w:r>
      <w:r>
        <w:t xml:space="preserve"> </w:t>
      </w:r>
      <w:r w:rsidRPr="00B63165">
        <w:t>stravovaných</w:t>
      </w:r>
      <w:r>
        <w:t xml:space="preserve"> </w:t>
      </w:r>
      <w:r w:rsidRPr="00B63165">
        <w:t>nebo</w:t>
      </w:r>
      <w:r>
        <w:t xml:space="preserve"> </w:t>
      </w:r>
      <w:r w:rsidRPr="00B63165">
        <w:t>jiných</w:t>
      </w:r>
      <w:r>
        <w:t xml:space="preserve"> </w:t>
      </w:r>
      <w:r w:rsidRPr="00B63165">
        <w:t>jednotek</w:t>
      </w:r>
      <w:r>
        <w:t xml:space="preserve"> </w:t>
      </w:r>
      <w:r w:rsidRPr="00B63165">
        <w:t>stanovených</w:t>
      </w:r>
      <w:r>
        <w:t xml:space="preserve"> </w:t>
      </w:r>
      <w:r w:rsidRPr="00B63165">
        <w:t>zvláštním</w:t>
      </w:r>
      <w:r>
        <w:t xml:space="preserve"> </w:t>
      </w:r>
      <w:r w:rsidRPr="00B63165">
        <w:t>právním</w:t>
      </w:r>
      <w:r>
        <w:t xml:space="preserve"> </w:t>
      </w:r>
      <w:r w:rsidRPr="00B63165">
        <w:t>předpisem</w:t>
      </w:r>
      <w:r w:rsidRPr="00F82FF8">
        <w:rPr>
          <w:vertAlign w:val="superscript"/>
        </w:rPr>
        <w:t>6a)</w:t>
      </w:r>
      <w:r w:rsidRPr="00B63165">
        <w:t>,</w:t>
      </w:r>
      <w:r>
        <w:t xml:space="preserve"> </w:t>
      </w:r>
      <w:r w:rsidRPr="00B63165">
        <w:t>uvedeného</w:t>
      </w:r>
      <w:r>
        <w:t xml:space="preserve"> </w:t>
      </w:r>
      <w:r w:rsidRPr="00B63165">
        <w:t>ve</w:t>
      </w:r>
      <w:r>
        <w:t xml:space="preserve"> </w:t>
      </w:r>
      <w:r w:rsidRPr="00B63165">
        <w:t>školském</w:t>
      </w:r>
      <w:r>
        <w:t xml:space="preserve"> </w:t>
      </w:r>
      <w:r w:rsidRPr="00B63165">
        <w:t>rejstříku.</w:t>
      </w:r>
      <w:r>
        <w:t xml:space="preserve"> </w:t>
      </w:r>
      <w:r w:rsidRPr="00B63165">
        <w:t>Do</w:t>
      </w:r>
      <w:r>
        <w:t xml:space="preserve"> </w:t>
      </w:r>
      <w:r w:rsidRPr="00B63165">
        <w:t>skutečného</w:t>
      </w:r>
      <w:r>
        <w:t xml:space="preserve"> </w:t>
      </w:r>
      <w:r w:rsidRPr="00B63165">
        <w:t>počtu</w:t>
      </w:r>
      <w:r>
        <w:t xml:space="preserve"> </w:t>
      </w:r>
      <w:r w:rsidRPr="00B63165">
        <w:t>podle</w:t>
      </w:r>
      <w:r>
        <w:t xml:space="preserve"> </w:t>
      </w:r>
      <w:r w:rsidRPr="00B63165">
        <w:t>věty</w:t>
      </w:r>
      <w:r>
        <w:t xml:space="preserve"> </w:t>
      </w:r>
      <w:r w:rsidRPr="00B63165">
        <w:t>první</w:t>
      </w:r>
      <w:r>
        <w:t xml:space="preserve"> </w:t>
      </w:r>
      <w:r w:rsidRPr="00B63165">
        <w:t>se</w:t>
      </w:r>
      <w:r>
        <w:t xml:space="preserve"> </w:t>
      </w:r>
      <w:r w:rsidRPr="00B63165">
        <w:t>započítávají</w:t>
      </w:r>
      <w:r>
        <w:t xml:space="preserve"> </w:t>
      </w:r>
      <w:r w:rsidRPr="00B63165">
        <w:t>i</w:t>
      </w:r>
      <w:r>
        <w:t xml:space="preserve"> </w:t>
      </w:r>
      <w:r w:rsidRPr="00B63165">
        <w:t>cizinci,</w:t>
      </w:r>
      <w:r>
        <w:t xml:space="preserve"> </w:t>
      </w:r>
      <w:r w:rsidRPr="00B63165">
        <w:t>kterým</w:t>
      </w:r>
      <w:r>
        <w:t xml:space="preserve"> </w:t>
      </w:r>
      <w:r w:rsidRPr="00B63165">
        <w:t>se</w:t>
      </w:r>
      <w:r>
        <w:t xml:space="preserve"> </w:t>
      </w:r>
      <w:r w:rsidRPr="00B63165">
        <w:t>podle</w:t>
      </w:r>
      <w:r>
        <w:t xml:space="preserve"> </w:t>
      </w:r>
      <w:r w:rsidRPr="00B63165">
        <w:t>zvláštního</w:t>
      </w:r>
      <w:r>
        <w:t xml:space="preserve"> </w:t>
      </w:r>
      <w:r w:rsidRPr="00B63165">
        <w:t>právního</w:t>
      </w:r>
      <w:r>
        <w:t xml:space="preserve"> </w:t>
      </w:r>
      <w:r w:rsidRPr="00B63165">
        <w:t>předpisu</w:t>
      </w:r>
      <w:r w:rsidRPr="00217AFA">
        <w:rPr>
          <w:vertAlign w:val="superscript"/>
        </w:rPr>
        <w:t xml:space="preserve">6a) </w:t>
      </w:r>
      <w:r w:rsidRPr="00B63165">
        <w:t>poskytuje</w:t>
      </w:r>
      <w:r>
        <w:t xml:space="preserve"> </w:t>
      </w:r>
      <w:r w:rsidRPr="00B63165">
        <w:t>vzdělávání</w:t>
      </w:r>
      <w:r>
        <w:t xml:space="preserve"> </w:t>
      </w:r>
      <w:r w:rsidRPr="00B63165">
        <w:t>nebo</w:t>
      </w:r>
      <w:r>
        <w:t xml:space="preserve"> </w:t>
      </w:r>
      <w:r w:rsidRPr="00B63165">
        <w:t>školské</w:t>
      </w:r>
      <w:r>
        <w:t xml:space="preserve"> </w:t>
      </w:r>
      <w:r w:rsidRPr="00B63165">
        <w:t>služby</w:t>
      </w:r>
      <w:r>
        <w:t xml:space="preserve"> </w:t>
      </w:r>
      <w:r w:rsidRPr="00B63165">
        <w:t>za</w:t>
      </w:r>
      <w:r>
        <w:t xml:space="preserve"> </w:t>
      </w:r>
      <w:r w:rsidRPr="00B63165">
        <w:t>stejných</w:t>
      </w:r>
      <w:r>
        <w:t xml:space="preserve"> </w:t>
      </w:r>
      <w:r w:rsidRPr="00B63165">
        <w:t>podmínek</w:t>
      </w:r>
      <w:r>
        <w:t xml:space="preserve"> </w:t>
      </w:r>
      <w:r w:rsidRPr="00B63165">
        <w:t>jako</w:t>
      </w:r>
      <w:r>
        <w:t xml:space="preserve"> </w:t>
      </w:r>
      <w:r w:rsidRPr="00B63165">
        <w:t>státním</w:t>
      </w:r>
      <w:r>
        <w:t xml:space="preserve"> </w:t>
      </w:r>
      <w:r w:rsidRPr="00B63165">
        <w:t>občanům</w:t>
      </w:r>
      <w:r>
        <w:t xml:space="preserve"> </w:t>
      </w:r>
      <w:r w:rsidRPr="00B63165">
        <w:t>České</w:t>
      </w:r>
      <w:r>
        <w:t xml:space="preserve"> </w:t>
      </w:r>
      <w:r w:rsidRPr="00B63165">
        <w:t>republiky.</w:t>
      </w:r>
    </w:p>
    <w:p w14:paraId="196944A5" w14:textId="77777777" w:rsidR="00217AFA" w:rsidRDefault="00217AFA" w:rsidP="00D50FFB">
      <w:pPr>
        <w:pStyle w:val="Textparagrafu"/>
        <w:spacing w:before="120" w:after="120"/>
      </w:pPr>
      <w:r w:rsidRPr="00B63165">
        <w:t>(3)</w:t>
      </w:r>
      <w:r>
        <w:t xml:space="preserve"> </w:t>
      </w:r>
      <w:r w:rsidRPr="00B63165">
        <w:t>Pokud</w:t>
      </w:r>
      <w:r>
        <w:t xml:space="preserve"> </w:t>
      </w:r>
      <w:r w:rsidRPr="00B63165">
        <w:t>dojde</w:t>
      </w:r>
      <w:r>
        <w:t xml:space="preserve"> </w:t>
      </w:r>
      <w:r w:rsidRPr="00B63165">
        <w:t>v</w:t>
      </w:r>
      <w:r>
        <w:t xml:space="preserve"> </w:t>
      </w:r>
      <w:r w:rsidRPr="00B63165">
        <w:t>průběhu</w:t>
      </w:r>
      <w:r>
        <w:t xml:space="preserve"> </w:t>
      </w:r>
      <w:r w:rsidRPr="00B63165">
        <w:t>školního</w:t>
      </w:r>
      <w:r>
        <w:t xml:space="preserve"> </w:t>
      </w:r>
      <w:r w:rsidRPr="00B63165">
        <w:t>roku</w:t>
      </w:r>
      <w:r>
        <w:t xml:space="preserve"> </w:t>
      </w:r>
      <w:r w:rsidRPr="00B63165">
        <w:t>ke</w:t>
      </w:r>
      <w:r>
        <w:t xml:space="preserve"> </w:t>
      </w:r>
      <w:r w:rsidRPr="00B63165">
        <w:t>změně</w:t>
      </w:r>
      <w:r>
        <w:t xml:space="preserve"> </w:t>
      </w:r>
      <w:r w:rsidRPr="00B63165">
        <w:t>počtu</w:t>
      </w:r>
      <w:r>
        <w:t xml:space="preserve"> </w:t>
      </w:r>
      <w:r w:rsidRPr="00B63165">
        <w:t>dětí,</w:t>
      </w:r>
      <w:r>
        <w:t xml:space="preserve"> </w:t>
      </w:r>
      <w:r w:rsidRPr="00B63165">
        <w:t>žáků,</w:t>
      </w:r>
      <w:r>
        <w:t xml:space="preserve"> </w:t>
      </w:r>
      <w:r w:rsidRPr="00B63165">
        <w:t>studentů,</w:t>
      </w:r>
      <w:r>
        <w:t xml:space="preserve"> </w:t>
      </w:r>
      <w:r w:rsidRPr="00B63165">
        <w:t>lůžek,</w:t>
      </w:r>
      <w:r>
        <w:t xml:space="preserve"> </w:t>
      </w:r>
      <w:r w:rsidRPr="00B63165">
        <w:t>stravovaných</w:t>
      </w:r>
      <w:r>
        <w:t xml:space="preserve"> </w:t>
      </w:r>
      <w:r w:rsidRPr="00B63165">
        <w:t>nebo</w:t>
      </w:r>
      <w:r>
        <w:t xml:space="preserve"> </w:t>
      </w:r>
      <w:r w:rsidRPr="00B63165">
        <w:t>jiných</w:t>
      </w:r>
      <w:r>
        <w:t xml:space="preserve"> </w:t>
      </w:r>
      <w:r w:rsidRPr="00B63165">
        <w:t>jednotek</w:t>
      </w:r>
      <w:r>
        <w:t xml:space="preserve"> </w:t>
      </w:r>
      <w:r w:rsidRPr="00B63165">
        <w:t>stanovených</w:t>
      </w:r>
      <w:r>
        <w:t xml:space="preserve"> </w:t>
      </w:r>
      <w:r w:rsidRPr="00B63165">
        <w:t>zvláštním</w:t>
      </w:r>
      <w:r>
        <w:t xml:space="preserve"> </w:t>
      </w:r>
      <w:r w:rsidRPr="00B63165">
        <w:t>právním</w:t>
      </w:r>
      <w:r>
        <w:t xml:space="preserve"> </w:t>
      </w:r>
      <w:r w:rsidRPr="00B63165">
        <w:t>předpisem</w:t>
      </w:r>
      <w:r w:rsidRPr="00F82FF8">
        <w:rPr>
          <w:vertAlign w:val="superscript"/>
        </w:rPr>
        <w:t>6a)</w:t>
      </w:r>
      <w:r>
        <w:t xml:space="preserve"> </w:t>
      </w:r>
      <w:r w:rsidRPr="00B63165">
        <w:t>ve</w:t>
      </w:r>
      <w:r>
        <w:t xml:space="preserve"> </w:t>
      </w:r>
      <w:r w:rsidRPr="00B63165">
        <w:t>srovnání</w:t>
      </w:r>
      <w:r>
        <w:t xml:space="preserve"> </w:t>
      </w:r>
      <w:r w:rsidRPr="00B63165">
        <w:t>s</w:t>
      </w:r>
      <w:r>
        <w:t xml:space="preserve"> </w:t>
      </w:r>
      <w:r w:rsidRPr="00B63165">
        <w:t>počtem,</w:t>
      </w:r>
      <w:r>
        <w:t xml:space="preserve"> </w:t>
      </w:r>
      <w:r w:rsidRPr="00B63165">
        <w:t>na</w:t>
      </w:r>
      <w:r>
        <w:t xml:space="preserve"> </w:t>
      </w:r>
      <w:r w:rsidRPr="00B63165">
        <w:t>který</w:t>
      </w:r>
      <w:r>
        <w:t xml:space="preserve"> </w:t>
      </w:r>
      <w:r w:rsidRPr="00B63165">
        <w:t>se</w:t>
      </w:r>
      <w:r>
        <w:t xml:space="preserve"> </w:t>
      </w:r>
      <w:r w:rsidRPr="00B63165">
        <w:t>poskytuje</w:t>
      </w:r>
      <w:r>
        <w:t xml:space="preserve"> </w:t>
      </w:r>
      <w:r w:rsidRPr="00B63165">
        <w:t>dotace,</w:t>
      </w:r>
      <w:r>
        <w:t xml:space="preserve"> </w:t>
      </w:r>
      <w:r w:rsidRPr="00B63165">
        <w:t>právnická</w:t>
      </w:r>
      <w:r>
        <w:t xml:space="preserve"> </w:t>
      </w:r>
      <w:r w:rsidRPr="00B63165">
        <w:t>osoba</w:t>
      </w:r>
      <w:r>
        <w:t xml:space="preserve"> </w:t>
      </w:r>
      <w:r w:rsidRPr="00B63165">
        <w:t>neprodleně</w:t>
      </w:r>
      <w:r>
        <w:t xml:space="preserve"> </w:t>
      </w:r>
      <w:r w:rsidRPr="00B63165">
        <w:t>tuto</w:t>
      </w:r>
      <w:r>
        <w:t xml:space="preserve"> </w:t>
      </w:r>
      <w:r w:rsidRPr="00B63165">
        <w:t>skutečnost</w:t>
      </w:r>
      <w:r>
        <w:t xml:space="preserve"> </w:t>
      </w:r>
      <w:r w:rsidRPr="00B63165">
        <w:t>oznámí</w:t>
      </w:r>
      <w:r>
        <w:t xml:space="preserve"> </w:t>
      </w:r>
      <w:r w:rsidRPr="00B63165">
        <w:t>a</w:t>
      </w:r>
      <w:r>
        <w:t xml:space="preserve"> </w:t>
      </w:r>
      <w:r w:rsidRPr="00B63165">
        <w:t>hodnověrně</w:t>
      </w:r>
      <w:r>
        <w:t xml:space="preserve"> </w:t>
      </w:r>
      <w:r w:rsidRPr="00B63165">
        <w:t>prokáže</w:t>
      </w:r>
      <w:r>
        <w:t xml:space="preserve"> </w:t>
      </w:r>
      <w:r w:rsidRPr="00B63165">
        <w:t>krajskému</w:t>
      </w:r>
      <w:r>
        <w:t xml:space="preserve"> </w:t>
      </w:r>
      <w:r w:rsidRPr="00B63165">
        <w:t>úřadu.</w:t>
      </w:r>
      <w:r>
        <w:t xml:space="preserve"> </w:t>
      </w:r>
      <w:r w:rsidRPr="00B63165">
        <w:t>Dotace</w:t>
      </w:r>
      <w:r>
        <w:t xml:space="preserve"> </w:t>
      </w:r>
      <w:r w:rsidRPr="00B63165">
        <w:t>se</w:t>
      </w:r>
      <w:r>
        <w:t xml:space="preserve"> </w:t>
      </w:r>
      <w:r w:rsidRPr="00B63165">
        <w:t>upraví</w:t>
      </w:r>
      <w:r>
        <w:t xml:space="preserve"> </w:t>
      </w:r>
      <w:r w:rsidRPr="00B63165">
        <w:t>od</w:t>
      </w:r>
      <w:r>
        <w:t xml:space="preserve"> </w:t>
      </w:r>
      <w:r w:rsidRPr="00B63165">
        <w:t>počátku</w:t>
      </w:r>
      <w:r>
        <w:t xml:space="preserve"> </w:t>
      </w:r>
      <w:r w:rsidRPr="00B63165">
        <w:t>čtvrtletí</w:t>
      </w:r>
      <w:r>
        <w:t xml:space="preserve"> </w:t>
      </w:r>
      <w:r w:rsidRPr="00B63165">
        <w:t>následujícího</w:t>
      </w:r>
      <w:r>
        <w:t xml:space="preserve"> </w:t>
      </w:r>
      <w:r w:rsidRPr="00B63165">
        <w:t>po</w:t>
      </w:r>
      <w:r>
        <w:t xml:space="preserve"> </w:t>
      </w:r>
      <w:r w:rsidRPr="00B63165">
        <w:t>změně,</w:t>
      </w:r>
      <w:r>
        <w:t xml:space="preserve"> </w:t>
      </w:r>
      <w:r w:rsidRPr="00B63165">
        <w:t>kdy</w:t>
      </w:r>
      <w:r>
        <w:t xml:space="preserve"> </w:t>
      </w:r>
      <w:r w:rsidRPr="00B63165">
        <w:t>došlo</w:t>
      </w:r>
      <w:r>
        <w:t xml:space="preserve"> </w:t>
      </w:r>
      <w:r w:rsidRPr="00B63165">
        <w:t>k</w:t>
      </w:r>
      <w:r>
        <w:t xml:space="preserve"> </w:t>
      </w:r>
      <w:r w:rsidRPr="00B63165">
        <w:t>přeplatku</w:t>
      </w:r>
      <w:r>
        <w:t xml:space="preserve"> </w:t>
      </w:r>
      <w:r w:rsidRPr="00B63165">
        <w:t>či</w:t>
      </w:r>
      <w:r>
        <w:t xml:space="preserve"> </w:t>
      </w:r>
      <w:r w:rsidRPr="00B63165">
        <w:t>nedoplatku</w:t>
      </w:r>
      <w:r w:rsidRPr="00737D89">
        <w:rPr>
          <w:strike/>
        </w:rPr>
        <w:t>, a tento je vyúčtován podle odstavce 7</w:t>
      </w:r>
      <w:r w:rsidRPr="00B63165">
        <w:t>.</w:t>
      </w:r>
      <w:r>
        <w:t xml:space="preserve"> </w:t>
      </w:r>
      <w:r w:rsidRPr="00B63165">
        <w:t>U</w:t>
      </w:r>
      <w:r>
        <w:t xml:space="preserve"> </w:t>
      </w:r>
      <w:r w:rsidRPr="00B63165">
        <w:t>žáků</w:t>
      </w:r>
      <w:r>
        <w:t xml:space="preserve"> </w:t>
      </w:r>
      <w:r w:rsidRPr="00B63165">
        <w:t>a</w:t>
      </w:r>
      <w:r>
        <w:t xml:space="preserve"> </w:t>
      </w:r>
      <w:r w:rsidRPr="00B63165">
        <w:t>studentů</w:t>
      </w:r>
      <w:r>
        <w:t xml:space="preserve"> </w:t>
      </w:r>
      <w:r w:rsidRPr="00B63165">
        <w:t>závěrečných</w:t>
      </w:r>
      <w:r>
        <w:t xml:space="preserve"> </w:t>
      </w:r>
      <w:r w:rsidRPr="00B63165">
        <w:t>ročníků</w:t>
      </w:r>
      <w:r>
        <w:t xml:space="preserve"> </w:t>
      </w:r>
      <w:r w:rsidRPr="00B63165">
        <w:t>se</w:t>
      </w:r>
      <w:r>
        <w:t xml:space="preserve"> </w:t>
      </w:r>
      <w:r w:rsidRPr="00B63165">
        <w:t>dotace</w:t>
      </w:r>
      <w:r>
        <w:t xml:space="preserve"> </w:t>
      </w:r>
      <w:r w:rsidRPr="00B63165">
        <w:t>poskytuje</w:t>
      </w:r>
      <w:r>
        <w:t xml:space="preserve"> </w:t>
      </w:r>
      <w:r w:rsidRPr="00B63165">
        <w:t>až</w:t>
      </w:r>
      <w:r>
        <w:t xml:space="preserve"> </w:t>
      </w:r>
      <w:r w:rsidRPr="00B63165">
        <w:t>do</w:t>
      </w:r>
      <w:r>
        <w:t xml:space="preserve"> </w:t>
      </w:r>
      <w:r w:rsidRPr="00B63165">
        <w:t>konce</w:t>
      </w:r>
      <w:r>
        <w:t xml:space="preserve"> </w:t>
      </w:r>
      <w:r w:rsidRPr="00B63165">
        <w:t>školního</w:t>
      </w:r>
      <w:r>
        <w:t xml:space="preserve"> </w:t>
      </w:r>
      <w:r w:rsidRPr="00B63165">
        <w:t>roku</w:t>
      </w:r>
      <w:r>
        <w:t xml:space="preserve"> </w:t>
      </w:r>
      <w:r w:rsidRPr="00B63165">
        <w:t>bez</w:t>
      </w:r>
      <w:r>
        <w:t xml:space="preserve"> </w:t>
      </w:r>
      <w:r w:rsidRPr="00B63165">
        <w:t>ohledu</w:t>
      </w:r>
      <w:r>
        <w:t xml:space="preserve"> </w:t>
      </w:r>
      <w:r w:rsidRPr="00B63165">
        <w:t>na</w:t>
      </w:r>
      <w:r>
        <w:t xml:space="preserve"> </w:t>
      </w:r>
      <w:r w:rsidRPr="00B63165">
        <w:t>to,</w:t>
      </w:r>
      <w:r>
        <w:t xml:space="preserve"> </w:t>
      </w:r>
      <w:r w:rsidRPr="00B63165">
        <w:t>že</w:t>
      </w:r>
      <w:r>
        <w:t xml:space="preserve"> </w:t>
      </w:r>
      <w:r w:rsidRPr="00B63165">
        <w:t>maturitní</w:t>
      </w:r>
      <w:r>
        <w:t xml:space="preserve"> </w:t>
      </w:r>
      <w:r w:rsidRPr="00B63165">
        <w:t>nebo</w:t>
      </w:r>
      <w:r>
        <w:t xml:space="preserve"> </w:t>
      </w:r>
      <w:r w:rsidRPr="00B63165">
        <w:t>závěrečná</w:t>
      </w:r>
      <w:r>
        <w:t xml:space="preserve"> </w:t>
      </w:r>
      <w:r w:rsidRPr="00B63165">
        <w:t>zkouška</w:t>
      </w:r>
      <w:r>
        <w:t xml:space="preserve"> </w:t>
      </w:r>
      <w:r w:rsidRPr="00B63165">
        <w:t>byla</w:t>
      </w:r>
      <w:r>
        <w:t xml:space="preserve"> </w:t>
      </w:r>
      <w:r w:rsidRPr="00B63165">
        <w:t>konána</w:t>
      </w:r>
      <w:r>
        <w:t xml:space="preserve"> </w:t>
      </w:r>
      <w:r w:rsidRPr="00B63165">
        <w:t>již</w:t>
      </w:r>
      <w:r>
        <w:t xml:space="preserve"> </w:t>
      </w:r>
      <w:r w:rsidRPr="00B63165">
        <w:t>v</w:t>
      </w:r>
      <w:r>
        <w:t xml:space="preserve"> </w:t>
      </w:r>
      <w:r w:rsidRPr="00B63165">
        <w:t>květnu</w:t>
      </w:r>
      <w:r>
        <w:t xml:space="preserve"> </w:t>
      </w:r>
      <w:r w:rsidRPr="00B63165">
        <w:t>nebo</w:t>
      </w:r>
      <w:r>
        <w:t xml:space="preserve"> </w:t>
      </w:r>
      <w:r w:rsidRPr="00B63165">
        <w:t>červnu.</w:t>
      </w:r>
      <w:r>
        <w:t xml:space="preserve"> </w:t>
      </w:r>
      <w:r w:rsidRPr="00B63165">
        <w:t>To</w:t>
      </w:r>
      <w:r>
        <w:t xml:space="preserve"> </w:t>
      </w:r>
      <w:r w:rsidRPr="00B63165">
        <w:t>platí</w:t>
      </w:r>
      <w:r>
        <w:t xml:space="preserve"> </w:t>
      </w:r>
      <w:r w:rsidRPr="00B63165">
        <w:t>též,</w:t>
      </w:r>
      <w:r>
        <w:t xml:space="preserve"> </w:t>
      </w:r>
      <w:r w:rsidRPr="00B63165">
        <w:t>bylo-li</w:t>
      </w:r>
      <w:r>
        <w:t xml:space="preserve"> </w:t>
      </w:r>
      <w:r w:rsidRPr="00B63165">
        <w:t>v</w:t>
      </w:r>
      <w:r>
        <w:t xml:space="preserve"> </w:t>
      </w:r>
      <w:r w:rsidRPr="00B63165">
        <w:t>květnu</w:t>
      </w:r>
      <w:r>
        <w:t xml:space="preserve"> </w:t>
      </w:r>
      <w:r w:rsidRPr="00B63165">
        <w:t>nebo</w:t>
      </w:r>
      <w:r>
        <w:t xml:space="preserve"> </w:t>
      </w:r>
      <w:r w:rsidRPr="00B63165">
        <w:t>červnu</w:t>
      </w:r>
      <w:r>
        <w:t xml:space="preserve"> </w:t>
      </w:r>
      <w:r w:rsidRPr="00B63165">
        <w:t>konáno</w:t>
      </w:r>
      <w:r>
        <w:t xml:space="preserve"> </w:t>
      </w:r>
      <w:r w:rsidRPr="00B63165">
        <w:t>absolutorium.</w:t>
      </w:r>
      <w:r>
        <w:t xml:space="preserve"> </w:t>
      </w:r>
      <w:r w:rsidRPr="00B63165">
        <w:t>Koná-li</w:t>
      </w:r>
      <w:r>
        <w:t xml:space="preserve"> </w:t>
      </w:r>
      <w:r w:rsidRPr="00B63165">
        <w:t>se</w:t>
      </w:r>
      <w:r>
        <w:t xml:space="preserve"> </w:t>
      </w:r>
      <w:r w:rsidRPr="00B63165">
        <w:t>absolutorium</w:t>
      </w:r>
      <w:r>
        <w:t xml:space="preserve"> </w:t>
      </w:r>
      <w:r w:rsidRPr="00B63165">
        <w:t>v</w:t>
      </w:r>
      <w:r>
        <w:t xml:space="preserve"> </w:t>
      </w:r>
      <w:r w:rsidRPr="00B63165">
        <w:t>jiném</w:t>
      </w:r>
      <w:r>
        <w:t xml:space="preserve"> </w:t>
      </w:r>
      <w:r w:rsidRPr="00B63165">
        <w:t>období,</w:t>
      </w:r>
      <w:r>
        <w:t xml:space="preserve"> </w:t>
      </w:r>
      <w:r w:rsidRPr="00B63165">
        <w:t>je</w:t>
      </w:r>
      <w:r>
        <w:t xml:space="preserve"> </w:t>
      </w:r>
      <w:r w:rsidRPr="00B63165">
        <w:t>dotace</w:t>
      </w:r>
      <w:r>
        <w:t xml:space="preserve"> </w:t>
      </w:r>
      <w:r w:rsidRPr="00B63165">
        <w:t>poskytována</w:t>
      </w:r>
      <w:r>
        <w:t xml:space="preserve"> </w:t>
      </w:r>
      <w:r w:rsidRPr="00B63165">
        <w:t>jen</w:t>
      </w:r>
      <w:r>
        <w:t xml:space="preserve"> </w:t>
      </w:r>
      <w:r w:rsidRPr="00B63165">
        <w:t>do</w:t>
      </w:r>
      <w:r>
        <w:t xml:space="preserve"> </w:t>
      </w:r>
      <w:r w:rsidRPr="00B63165">
        <w:t>konce</w:t>
      </w:r>
      <w:r>
        <w:t xml:space="preserve"> </w:t>
      </w:r>
      <w:r w:rsidRPr="00B63165">
        <w:t>kalendářního</w:t>
      </w:r>
      <w:r>
        <w:t xml:space="preserve"> </w:t>
      </w:r>
      <w:r w:rsidRPr="00B63165">
        <w:t>čtvrtletí,</w:t>
      </w:r>
      <w:r>
        <w:t xml:space="preserve"> </w:t>
      </w:r>
      <w:r w:rsidRPr="00B63165">
        <w:t>v</w:t>
      </w:r>
      <w:r>
        <w:t xml:space="preserve"> </w:t>
      </w:r>
      <w:r w:rsidRPr="00B63165">
        <w:t>němž</w:t>
      </w:r>
      <w:r>
        <w:t xml:space="preserve"> </w:t>
      </w:r>
      <w:r w:rsidRPr="00B63165">
        <w:t>je</w:t>
      </w:r>
      <w:r>
        <w:t xml:space="preserve"> </w:t>
      </w:r>
      <w:r w:rsidRPr="00B63165">
        <w:t>absolutorium</w:t>
      </w:r>
      <w:r>
        <w:t xml:space="preserve"> </w:t>
      </w:r>
      <w:r w:rsidRPr="00B63165">
        <w:t>konáno.</w:t>
      </w:r>
    </w:p>
    <w:p w14:paraId="767B1D71" w14:textId="77777777" w:rsidR="00217AFA" w:rsidRDefault="00217AFA" w:rsidP="00D50FFB">
      <w:pPr>
        <w:pStyle w:val="Textparagrafu"/>
        <w:spacing w:before="120" w:after="120"/>
      </w:pPr>
      <w:r w:rsidRPr="00B63165">
        <w:t>(4)</w:t>
      </w:r>
      <w:r>
        <w:t xml:space="preserve"> </w:t>
      </w:r>
      <w:r w:rsidRPr="00B63165">
        <w:t>Pokud</w:t>
      </w:r>
      <w:r>
        <w:t xml:space="preserve"> </w:t>
      </w:r>
      <w:r w:rsidRPr="00B63165">
        <w:t>v</w:t>
      </w:r>
      <w:r>
        <w:t xml:space="preserve"> </w:t>
      </w:r>
      <w:r w:rsidRPr="00B63165">
        <w:t>průběhu</w:t>
      </w:r>
      <w:r>
        <w:t xml:space="preserve"> </w:t>
      </w:r>
      <w:r w:rsidRPr="00B63165">
        <w:t>školního</w:t>
      </w:r>
      <w:r>
        <w:t xml:space="preserve"> </w:t>
      </w:r>
      <w:r w:rsidRPr="00B63165">
        <w:t>roku</w:t>
      </w:r>
      <w:r>
        <w:t xml:space="preserve"> </w:t>
      </w:r>
      <w:r w:rsidRPr="00B63165">
        <w:t>zjistí</w:t>
      </w:r>
      <w:r>
        <w:t xml:space="preserve"> </w:t>
      </w:r>
      <w:r w:rsidRPr="00B63165">
        <w:t>Česká</w:t>
      </w:r>
      <w:r>
        <w:t xml:space="preserve"> </w:t>
      </w:r>
      <w:r w:rsidRPr="00B63165">
        <w:t>školní</w:t>
      </w:r>
      <w:r>
        <w:t xml:space="preserve"> </w:t>
      </w:r>
      <w:r w:rsidRPr="00B63165">
        <w:t>inspekce</w:t>
      </w:r>
      <w:r>
        <w:t xml:space="preserve"> </w:t>
      </w:r>
      <w:r w:rsidRPr="00B63165">
        <w:t>nebo</w:t>
      </w:r>
      <w:r>
        <w:t xml:space="preserve"> </w:t>
      </w:r>
      <w:r w:rsidRPr="00B63165">
        <w:t>jiný</w:t>
      </w:r>
      <w:r>
        <w:t xml:space="preserve"> </w:t>
      </w:r>
      <w:r w:rsidRPr="00B63165">
        <w:t>kontrolní</w:t>
      </w:r>
      <w:r>
        <w:t xml:space="preserve"> </w:t>
      </w:r>
      <w:r w:rsidRPr="00B63165">
        <w:t>orgán</w:t>
      </w:r>
      <w:r>
        <w:t xml:space="preserve"> </w:t>
      </w:r>
      <w:r w:rsidRPr="00B63165">
        <w:t>závažné</w:t>
      </w:r>
      <w:r>
        <w:t xml:space="preserve"> </w:t>
      </w:r>
      <w:r w:rsidRPr="00B63165">
        <w:t>nedostatky</w:t>
      </w:r>
      <w:r>
        <w:t xml:space="preserve"> </w:t>
      </w:r>
      <w:r w:rsidRPr="00B63165">
        <w:t>v</w:t>
      </w:r>
      <w:r>
        <w:t xml:space="preserve"> </w:t>
      </w:r>
      <w:r w:rsidRPr="00B63165">
        <w:t>činnosti</w:t>
      </w:r>
      <w:r>
        <w:t xml:space="preserve"> </w:t>
      </w:r>
      <w:r w:rsidRPr="00B63165">
        <w:t>právnické</w:t>
      </w:r>
      <w:r>
        <w:t xml:space="preserve"> </w:t>
      </w:r>
      <w:r w:rsidRPr="00B63165">
        <w:t>osoby,</w:t>
      </w:r>
      <w:r>
        <w:t xml:space="preserve"> </w:t>
      </w:r>
      <w:r w:rsidRPr="00B63165">
        <w:t>může</w:t>
      </w:r>
      <w:r>
        <w:t xml:space="preserve"> </w:t>
      </w:r>
      <w:r w:rsidRPr="00B63165">
        <w:t>krajský</w:t>
      </w:r>
      <w:r>
        <w:t xml:space="preserve"> </w:t>
      </w:r>
      <w:r w:rsidRPr="00B63165">
        <w:t>úřad</w:t>
      </w:r>
      <w:r>
        <w:t xml:space="preserve"> </w:t>
      </w:r>
      <w:r w:rsidRPr="00B63165">
        <w:t>podle</w:t>
      </w:r>
      <w:r>
        <w:t xml:space="preserve"> </w:t>
      </w:r>
      <w:r w:rsidRPr="00B63165">
        <w:t>charakteru</w:t>
      </w:r>
      <w:r>
        <w:t xml:space="preserve"> </w:t>
      </w:r>
      <w:r w:rsidRPr="00B63165">
        <w:t>nedostatků</w:t>
      </w:r>
      <w:r>
        <w:t xml:space="preserve"> </w:t>
      </w:r>
      <w:r w:rsidRPr="00B63165">
        <w:t>odstoupit</w:t>
      </w:r>
      <w:r>
        <w:t xml:space="preserve"> </w:t>
      </w:r>
      <w:r w:rsidRPr="00B63165">
        <w:t>od</w:t>
      </w:r>
      <w:r>
        <w:t xml:space="preserve"> </w:t>
      </w:r>
      <w:r w:rsidRPr="00B63165">
        <w:t>smlouvy</w:t>
      </w:r>
      <w:r>
        <w:t xml:space="preserve"> </w:t>
      </w:r>
      <w:r w:rsidRPr="00B63165">
        <w:t>o</w:t>
      </w:r>
      <w:r>
        <w:t xml:space="preserve"> </w:t>
      </w:r>
      <w:r w:rsidRPr="00B63165">
        <w:t>poskytnutí</w:t>
      </w:r>
      <w:r>
        <w:t xml:space="preserve"> </w:t>
      </w:r>
      <w:r w:rsidRPr="00B63165">
        <w:t>zvýšení</w:t>
      </w:r>
      <w:r>
        <w:t xml:space="preserve"> </w:t>
      </w:r>
      <w:r w:rsidRPr="00B63165">
        <w:t>dotace,</w:t>
      </w:r>
      <w:r>
        <w:t xml:space="preserve"> </w:t>
      </w:r>
      <w:r w:rsidRPr="00B63165">
        <w:t>popřípadě</w:t>
      </w:r>
      <w:r>
        <w:t xml:space="preserve"> </w:t>
      </w:r>
      <w:r w:rsidRPr="00B63165">
        <w:t>také</w:t>
      </w:r>
      <w:r>
        <w:t xml:space="preserve"> </w:t>
      </w:r>
      <w:r w:rsidRPr="00B63165">
        <w:t>od</w:t>
      </w:r>
      <w:r>
        <w:t xml:space="preserve"> </w:t>
      </w:r>
      <w:r w:rsidRPr="00B63165">
        <w:t>smlouvy</w:t>
      </w:r>
      <w:r>
        <w:t xml:space="preserve"> </w:t>
      </w:r>
      <w:r w:rsidRPr="00B63165">
        <w:t>podle</w:t>
      </w:r>
      <w:r>
        <w:t xml:space="preserve"> </w:t>
      </w:r>
      <w:r w:rsidRPr="00B63165">
        <w:t>§</w:t>
      </w:r>
      <w:r>
        <w:t xml:space="preserve"> </w:t>
      </w:r>
      <w:r w:rsidRPr="00B63165">
        <w:t>3,</w:t>
      </w:r>
      <w:r>
        <w:t xml:space="preserve"> </w:t>
      </w:r>
      <w:r w:rsidRPr="00B63165">
        <w:t>nedojde-li</w:t>
      </w:r>
      <w:r>
        <w:t xml:space="preserve"> </w:t>
      </w:r>
      <w:r w:rsidRPr="00B63165">
        <w:t>k</w:t>
      </w:r>
      <w:r>
        <w:t xml:space="preserve"> </w:t>
      </w:r>
      <w:r w:rsidRPr="00B63165">
        <w:t>jiné</w:t>
      </w:r>
      <w:r>
        <w:t xml:space="preserve"> </w:t>
      </w:r>
      <w:r w:rsidRPr="00B63165">
        <w:t>dohodě.</w:t>
      </w:r>
    </w:p>
    <w:p w14:paraId="6C257E65" w14:textId="49BE5A65" w:rsidR="00217AFA" w:rsidRDefault="00217AFA" w:rsidP="00D50FFB">
      <w:pPr>
        <w:pStyle w:val="Textparagrafu"/>
        <w:spacing w:before="120" w:after="120"/>
      </w:pPr>
      <w:r w:rsidRPr="00B63165">
        <w:t>(5)</w:t>
      </w:r>
      <w:r>
        <w:t xml:space="preserve"> </w:t>
      </w:r>
      <w:r w:rsidRPr="00B63165">
        <w:t>Pokud</w:t>
      </w:r>
      <w:r>
        <w:t xml:space="preserve"> </w:t>
      </w:r>
      <w:r w:rsidRPr="00B63165">
        <w:t>právnická</w:t>
      </w:r>
      <w:r>
        <w:t xml:space="preserve"> </w:t>
      </w:r>
      <w:r w:rsidRPr="00B63165">
        <w:t>osoba,</w:t>
      </w:r>
      <w:r>
        <w:t xml:space="preserve"> </w:t>
      </w:r>
      <w:r w:rsidRPr="00B63165">
        <w:t>která</w:t>
      </w:r>
      <w:r>
        <w:t xml:space="preserve"> </w:t>
      </w:r>
      <w:r w:rsidRPr="00B63165">
        <w:t>není</w:t>
      </w:r>
      <w:r>
        <w:t xml:space="preserve"> </w:t>
      </w:r>
      <w:r w:rsidRPr="00B63165">
        <w:t>obecně</w:t>
      </w:r>
      <w:r>
        <w:t xml:space="preserve"> </w:t>
      </w:r>
      <w:r w:rsidRPr="00B63165">
        <w:t>prospěšnou</w:t>
      </w:r>
      <w:r>
        <w:t xml:space="preserve"> </w:t>
      </w:r>
      <w:r w:rsidRPr="00B63165">
        <w:t>společností</w:t>
      </w:r>
      <w:r>
        <w:t xml:space="preserve"> </w:t>
      </w:r>
      <w:r w:rsidRPr="00B63165">
        <w:t>nebo</w:t>
      </w:r>
      <w:r>
        <w:t xml:space="preserve"> </w:t>
      </w:r>
      <w:r w:rsidRPr="00B63165">
        <w:t>školskou</w:t>
      </w:r>
      <w:r>
        <w:t xml:space="preserve"> </w:t>
      </w:r>
      <w:r w:rsidRPr="00B63165">
        <w:t>právnickou</w:t>
      </w:r>
      <w:r>
        <w:t xml:space="preserve"> </w:t>
      </w:r>
      <w:r w:rsidRPr="00B63165">
        <w:t>osobou,</w:t>
      </w:r>
      <w:r>
        <w:t xml:space="preserve"> </w:t>
      </w:r>
      <w:r w:rsidRPr="00B63165">
        <w:t>nedoloží</w:t>
      </w:r>
      <w:r>
        <w:t xml:space="preserve"> </w:t>
      </w:r>
      <w:r w:rsidRPr="00B63165">
        <w:t>vynaložení</w:t>
      </w:r>
      <w:r>
        <w:t xml:space="preserve"> </w:t>
      </w:r>
      <w:r w:rsidRPr="00B63165">
        <w:t>zisku</w:t>
      </w:r>
      <w:r>
        <w:t xml:space="preserve"> </w:t>
      </w:r>
      <w:r w:rsidRPr="00B63165">
        <w:t>na</w:t>
      </w:r>
      <w:r>
        <w:t xml:space="preserve"> </w:t>
      </w:r>
      <w:r w:rsidRPr="00B63165">
        <w:t>vzdělávání</w:t>
      </w:r>
      <w:r>
        <w:t xml:space="preserve"> </w:t>
      </w:r>
      <w:r w:rsidRPr="00B63165">
        <w:t>a</w:t>
      </w:r>
      <w:r>
        <w:t xml:space="preserve"> </w:t>
      </w:r>
      <w:r w:rsidRPr="00B63165">
        <w:t>školské</w:t>
      </w:r>
      <w:r>
        <w:t xml:space="preserve"> </w:t>
      </w:r>
      <w:r w:rsidRPr="00B63165">
        <w:t>služby,</w:t>
      </w:r>
      <w:r>
        <w:t xml:space="preserve"> </w:t>
      </w:r>
      <w:r w:rsidRPr="00B63165">
        <w:t>popřípadě</w:t>
      </w:r>
      <w:r>
        <w:t xml:space="preserve"> </w:t>
      </w:r>
      <w:r w:rsidRPr="00B63165">
        <w:t>u</w:t>
      </w:r>
      <w:r>
        <w:t xml:space="preserve"> </w:t>
      </w:r>
      <w:r w:rsidRPr="00B63165">
        <w:t>škol</w:t>
      </w:r>
      <w:r>
        <w:t xml:space="preserve"> </w:t>
      </w:r>
      <w:r w:rsidRPr="00B63165">
        <w:t>a</w:t>
      </w:r>
      <w:r>
        <w:t xml:space="preserve"> </w:t>
      </w:r>
      <w:r w:rsidRPr="00B63165">
        <w:t>školských</w:t>
      </w:r>
      <w:r>
        <w:t xml:space="preserve"> </w:t>
      </w:r>
      <w:r w:rsidRPr="00B63165">
        <w:t>zařízení,</w:t>
      </w:r>
      <w:r>
        <w:t xml:space="preserve"> </w:t>
      </w:r>
      <w:r w:rsidRPr="00B63165">
        <w:t>které</w:t>
      </w:r>
      <w:r>
        <w:t xml:space="preserve"> </w:t>
      </w:r>
      <w:r w:rsidRPr="00B63165">
        <w:t>uskutečňují</w:t>
      </w:r>
      <w:r>
        <w:t xml:space="preserve"> </w:t>
      </w:r>
      <w:r w:rsidRPr="00B63165">
        <w:t>vzdělávací</w:t>
      </w:r>
      <w:r>
        <w:t xml:space="preserve"> </w:t>
      </w:r>
      <w:r w:rsidRPr="00B63165">
        <w:t>programy</w:t>
      </w:r>
      <w:r>
        <w:t xml:space="preserve"> </w:t>
      </w:r>
      <w:r w:rsidRPr="00B63165">
        <w:t>pro</w:t>
      </w:r>
      <w:r>
        <w:t xml:space="preserve"> </w:t>
      </w:r>
      <w:r w:rsidRPr="00B63165">
        <w:t>žáky</w:t>
      </w:r>
      <w:r>
        <w:t xml:space="preserve"> </w:t>
      </w:r>
      <w:r w:rsidRPr="00B63165">
        <w:t>uvedené</w:t>
      </w:r>
      <w:r>
        <w:t xml:space="preserve"> </w:t>
      </w:r>
      <w:r w:rsidRPr="00B63165">
        <w:t>v</w:t>
      </w:r>
      <w:r>
        <w:t xml:space="preserve"> </w:t>
      </w:r>
      <w:r w:rsidRPr="00B63165">
        <w:t>§</w:t>
      </w:r>
      <w:r>
        <w:t xml:space="preserve"> </w:t>
      </w:r>
      <w:r w:rsidRPr="00B63165">
        <w:t>1</w:t>
      </w:r>
      <w:r>
        <w:t xml:space="preserve"> </w:t>
      </w:r>
      <w:r w:rsidRPr="00B63165">
        <w:t>odst.</w:t>
      </w:r>
      <w:r>
        <w:t xml:space="preserve"> </w:t>
      </w:r>
      <w:r w:rsidRPr="00B63165">
        <w:t>2,</w:t>
      </w:r>
      <w:r>
        <w:t xml:space="preserve"> </w:t>
      </w:r>
      <w:r w:rsidRPr="00B63165">
        <w:t>i</w:t>
      </w:r>
      <w:r>
        <w:t xml:space="preserve"> </w:t>
      </w:r>
      <w:r w:rsidRPr="00B63165">
        <w:t>na</w:t>
      </w:r>
      <w:r>
        <w:t xml:space="preserve"> </w:t>
      </w:r>
      <w:r w:rsidRPr="00B63165">
        <w:t>rehabilitaci,</w:t>
      </w:r>
      <w:r>
        <w:t xml:space="preserve"> </w:t>
      </w:r>
      <w:r w:rsidRPr="00737D89">
        <w:rPr>
          <w:strike/>
        </w:rPr>
        <w:t xml:space="preserve">potvrzené </w:t>
      </w:r>
      <w:r w:rsidR="00F82FF8" w:rsidRPr="00737D89">
        <w:rPr>
          <w:strike/>
        </w:rPr>
        <w:t>auditorem,</w:t>
      </w:r>
      <w:r w:rsidR="00F82FF8" w:rsidRPr="00737D89">
        <w:rPr>
          <w:rStyle w:val="Znakapoznpodarou"/>
          <w:strike/>
        </w:rPr>
        <w:footnoteReference w:customMarkFollows="1" w:id="286"/>
        <w:t>7)</w:t>
      </w:r>
      <w:r>
        <w:t xml:space="preserve"> </w:t>
      </w:r>
      <w:r w:rsidR="00737D89">
        <w:rPr>
          <w:b/>
        </w:rPr>
        <w:t xml:space="preserve">ověřené auditorem, </w:t>
      </w:r>
      <w:r w:rsidRPr="00B63165">
        <w:t>a</w:t>
      </w:r>
      <w:r>
        <w:t xml:space="preserve"> </w:t>
      </w:r>
      <w:r w:rsidRPr="00B63165">
        <w:t>to</w:t>
      </w:r>
      <w:r>
        <w:t xml:space="preserve"> </w:t>
      </w:r>
      <w:r w:rsidRPr="00B63165">
        <w:t>nejpozději</w:t>
      </w:r>
      <w:r>
        <w:t xml:space="preserve"> </w:t>
      </w:r>
      <w:r w:rsidRPr="00B63165">
        <w:t>do</w:t>
      </w:r>
      <w:r>
        <w:t xml:space="preserve"> </w:t>
      </w:r>
      <w:r w:rsidRPr="00B63165">
        <w:t>10.</w:t>
      </w:r>
      <w:r>
        <w:t xml:space="preserve"> </w:t>
      </w:r>
      <w:r w:rsidRPr="00B63165">
        <w:t>srpna</w:t>
      </w:r>
      <w:r>
        <w:t xml:space="preserve"> </w:t>
      </w:r>
      <w:r w:rsidRPr="00B63165">
        <w:t>následujícího</w:t>
      </w:r>
      <w:r>
        <w:t xml:space="preserve"> </w:t>
      </w:r>
      <w:r w:rsidRPr="00B63165">
        <w:t>kalendářního</w:t>
      </w:r>
      <w:r>
        <w:t xml:space="preserve"> </w:t>
      </w:r>
      <w:r w:rsidRPr="00B63165">
        <w:t>roku,</w:t>
      </w:r>
      <w:r>
        <w:t xml:space="preserve"> </w:t>
      </w:r>
      <w:r w:rsidRPr="00B63165">
        <w:t>může</w:t>
      </w:r>
      <w:r>
        <w:t xml:space="preserve"> </w:t>
      </w:r>
      <w:r w:rsidRPr="00B63165">
        <w:t>krajský</w:t>
      </w:r>
      <w:r>
        <w:t xml:space="preserve"> </w:t>
      </w:r>
      <w:r w:rsidRPr="00B63165">
        <w:t>úřad</w:t>
      </w:r>
      <w:r>
        <w:t xml:space="preserve"> </w:t>
      </w:r>
      <w:r w:rsidRPr="00B63165">
        <w:t>odstoupit</w:t>
      </w:r>
      <w:r>
        <w:t xml:space="preserve"> </w:t>
      </w:r>
      <w:r w:rsidRPr="00B63165">
        <w:t>od</w:t>
      </w:r>
      <w:r>
        <w:t xml:space="preserve"> </w:t>
      </w:r>
      <w:r w:rsidRPr="00B63165">
        <w:t>smlouvy</w:t>
      </w:r>
      <w:r>
        <w:t xml:space="preserve"> </w:t>
      </w:r>
      <w:r w:rsidRPr="00B63165">
        <w:t>o</w:t>
      </w:r>
      <w:r>
        <w:t xml:space="preserve"> </w:t>
      </w:r>
      <w:r w:rsidRPr="00B63165">
        <w:t>zvýšení</w:t>
      </w:r>
      <w:r>
        <w:t xml:space="preserve"> </w:t>
      </w:r>
      <w:r w:rsidRPr="00B63165">
        <w:t>dotace.</w:t>
      </w:r>
      <w:r>
        <w:t xml:space="preserve"> </w:t>
      </w:r>
      <w:r w:rsidRPr="00B63165">
        <w:lastRenderedPageBreak/>
        <w:t>Zvýšení</w:t>
      </w:r>
      <w:r>
        <w:t xml:space="preserve"> </w:t>
      </w:r>
      <w:r w:rsidRPr="00B63165">
        <w:t>dotace,</w:t>
      </w:r>
      <w:r>
        <w:t xml:space="preserve"> </w:t>
      </w:r>
      <w:r w:rsidRPr="00B63165">
        <w:t>které</w:t>
      </w:r>
      <w:r>
        <w:t xml:space="preserve"> </w:t>
      </w:r>
      <w:r w:rsidRPr="00B63165">
        <w:t>bylo</w:t>
      </w:r>
      <w:r>
        <w:t xml:space="preserve"> </w:t>
      </w:r>
      <w:r w:rsidRPr="00B63165">
        <w:t>na</w:t>
      </w:r>
      <w:r>
        <w:t xml:space="preserve"> </w:t>
      </w:r>
      <w:r w:rsidRPr="00B63165">
        <w:t>základě</w:t>
      </w:r>
      <w:r>
        <w:t xml:space="preserve"> </w:t>
      </w:r>
      <w:r w:rsidRPr="00B63165">
        <w:t>takové</w:t>
      </w:r>
      <w:r>
        <w:t xml:space="preserve"> </w:t>
      </w:r>
      <w:r w:rsidRPr="00B63165">
        <w:t>smlouvy</w:t>
      </w:r>
      <w:r>
        <w:t xml:space="preserve"> </w:t>
      </w:r>
      <w:r w:rsidRPr="00B63165">
        <w:t>poskytnuto,</w:t>
      </w:r>
      <w:r>
        <w:t xml:space="preserve"> </w:t>
      </w:r>
      <w:r w:rsidRPr="00B63165">
        <w:t>podléhá</w:t>
      </w:r>
      <w:r>
        <w:t xml:space="preserve"> </w:t>
      </w:r>
      <w:r w:rsidRPr="00B63165">
        <w:t>ustanovení</w:t>
      </w:r>
      <w:r>
        <w:t xml:space="preserve"> </w:t>
      </w:r>
      <w:r w:rsidRPr="00B63165">
        <w:t>zvláštního</w:t>
      </w:r>
      <w:r>
        <w:t xml:space="preserve"> </w:t>
      </w:r>
      <w:r w:rsidRPr="00B63165">
        <w:t>právního</w:t>
      </w:r>
      <w:r>
        <w:t xml:space="preserve"> </w:t>
      </w:r>
      <w:r w:rsidR="00F82FF8">
        <w:t>předpisu</w:t>
      </w:r>
      <w:r w:rsidR="00F82FF8">
        <w:rPr>
          <w:rStyle w:val="Znakapoznpodarou"/>
        </w:rPr>
        <w:footnoteReference w:customMarkFollows="1" w:id="287"/>
        <w:t>8)</w:t>
      </w:r>
      <w:r>
        <w:t xml:space="preserve"> </w:t>
      </w:r>
      <w:r w:rsidRPr="00B63165">
        <w:t>o</w:t>
      </w:r>
      <w:r>
        <w:t xml:space="preserve"> </w:t>
      </w:r>
      <w:r w:rsidRPr="00B63165">
        <w:t>neoprávněném</w:t>
      </w:r>
      <w:r>
        <w:t xml:space="preserve"> </w:t>
      </w:r>
      <w:r w:rsidRPr="00B63165">
        <w:t>použití</w:t>
      </w:r>
      <w:r>
        <w:t xml:space="preserve"> </w:t>
      </w:r>
      <w:r w:rsidRPr="00B63165">
        <w:t>finančních</w:t>
      </w:r>
      <w:r>
        <w:t xml:space="preserve"> </w:t>
      </w:r>
      <w:r w:rsidRPr="00B63165">
        <w:t>prostředků</w:t>
      </w:r>
      <w:r>
        <w:t xml:space="preserve"> </w:t>
      </w:r>
      <w:r w:rsidRPr="00B63165">
        <w:t>státního</w:t>
      </w:r>
      <w:r>
        <w:t xml:space="preserve"> </w:t>
      </w:r>
      <w:r w:rsidRPr="00B63165">
        <w:t>rozpočtu.</w:t>
      </w:r>
    </w:p>
    <w:p w14:paraId="756EDCC1" w14:textId="77777777" w:rsidR="00217AFA" w:rsidRPr="00EA0743" w:rsidRDefault="00217AFA" w:rsidP="00D50FFB">
      <w:pPr>
        <w:pStyle w:val="Textparagrafu"/>
        <w:spacing w:before="120" w:after="120"/>
        <w:rPr>
          <w:strike/>
        </w:rPr>
      </w:pPr>
      <w:r w:rsidRPr="00B63165">
        <w:t>(6)</w:t>
      </w:r>
      <w:r>
        <w:t xml:space="preserve"> </w:t>
      </w:r>
      <w:r w:rsidRPr="00B63165">
        <w:t>Výše</w:t>
      </w:r>
      <w:r>
        <w:t xml:space="preserve"> </w:t>
      </w:r>
      <w:r w:rsidRPr="00B63165">
        <w:t>dotace</w:t>
      </w:r>
      <w:r>
        <w:t xml:space="preserve"> </w:t>
      </w:r>
      <w:r w:rsidRPr="00B63165">
        <w:t>může</w:t>
      </w:r>
      <w:r>
        <w:t xml:space="preserve"> </w:t>
      </w:r>
      <w:r w:rsidRPr="00B63165">
        <w:t>být</w:t>
      </w:r>
      <w:r>
        <w:t xml:space="preserve"> </w:t>
      </w:r>
      <w:r w:rsidRPr="00B63165">
        <w:t>v</w:t>
      </w:r>
      <w:r>
        <w:t xml:space="preserve"> </w:t>
      </w:r>
      <w:r w:rsidRPr="00B63165">
        <w:t>průběhu</w:t>
      </w:r>
      <w:r>
        <w:t xml:space="preserve"> </w:t>
      </w:r>
      <w:r w:rsidRPr="00B63165">
        <w:t>školního</w:t>
      </w:r>
      <w:r>
        <w:t xml:space="preserve"> </w:t>
      </w:r>
      <w:r w:rsidRPr="00B63165">
        <w:t>roku,</w:t>
      </w:r>
      <w:r>
        <w:t xml:space="preserve"> </w:t>
      </w:r>
      <w:r w:rsidRPr="00B63165">
        <w:t>kdy</w:t>
      </w:r>
      <w:r>
        <w:t xml:space="preserve"> </w:t>
      </w:r>
      <w:r w:rsidRPr="00B63165">
        <w:t>je</w:t>
      </w:r>
      <w:r>
        <w:t xml:space="preserve"> </w:t>
      </w:r>
      <w:r w:rsidRPr="00B63165">
        <w:t>poskytována,</w:t>
      </w:r>
      <w:r>
        <w:t xml:space="preserve"> </w:t>
      </w:r>
      <w:r w:rsidRPr="00B63165">
        <w:t>snížena,</w:t>
      </w:r>
      <w:r>
        <w:t xml:space="preserve"> </w:t>
      </w:r>
      <w:r w:rsidRPr="00B63165">
        <w:t>poskytována</w:t>
      </w:r>
      <w:r>
        <w:t xml:space="preserve"> </w:t>
      </w:r>
      <w:r w:rsidRPr="00B63165">
        <w:t>na</w:t>
      </w:r>
      <w:r>
        <w:t xml:space="preserve"> </w:t>
      </w:r>
      <w:r w:rsidRPr="00B63165">
        <w:t>kratší</w:t>
      </w:r>
      <w:r>
        <w:t xml:space="preserve"> </w:t>
      </w:r>
      <w:r w:rsidRPr="00B63165">
        <w:t>období,</w:t>
      </w:r>
      <w:r>
        <w:t xml:space="preserve"> </w:t>
      </w:r>
      <w:r w:rsidRPr="00B63165">
        <w:t>než</w:t>
      </w:r>
      <w:r>
        <w:t xml:space="preserve"> </w:t>
      </w:r>
      <w:r w:rsidRPr="00B63165">
        <w:t>které</w:t>
      </w:r>
      <w:r>
        <w:t xml:space="preserve"> </w:t>
      </w:r>
      <w:r w:rsidRPr="00B63165">
        <w:t>je</w:t>
      </w:r>
      <w:r>
        <w:t xml:space="preserve"> </w:t>
      </w:r>
      <w:r w:rsidRPr="00B63165">
        <w:t>uvedeno</w:t>
      </w:r>
      <w:r>
        <w:t xml:space="preserve"> </w:t>
      </w:r>
      <w:r w:rsidRPr="00B63165">
        <w:t>v</w:t>
      </w:r>
      <w:r>
        <w:t xml:space="preserve"> </w:t>
      </w:r>
      <w:r w:rsidRPr="00B63165">
        <w:t>odstavci</w:t>
      </w:r>
      <w:r>
        <w:t xml:space="preserve"> </w:t>
      </w:r>
      <w:r w:rsidRPr="00B63165">
        <w:t>1,</w:t>
      </w:r>
      <w:r>
        <w:t xml:space="preserve"> </w:t>
      </w:r>
      <w:r w:rsidRPr="00B63165">
        <w:t>nebo</w:t>
      </w:r>
      <w:r>
        <w:t xml:space="preserve"> </w:t>
      </w:r>
      <w:r w:rsidRPr="00B63165">
        <w:t>zvýšena</w:t>
      </w:r>
      <w:r>
        <w:t xml:space="preserve"> </w:t>
      </w:r>
      <w:r w:rsidRPr="00B63165">
        <w:t>v</w:t>
      </w:r>
      <w:r>
        <w:t xml:space="preserve"> </w:t>
      </w:r>
      <w:r w:rsidRPr="00B63165">
        <w:t>souladu</w:t>
      </w:r>
      <w:r>
        <w:t xml:space="preserve"> </w:t>
      </w:r>
      <w:r w:rsidRPr="00B63165">
        <w:t>s</w:t>
      </w:r>
      <w:r>
        <w:t xml:space="preserve"> </w:t>
      </w:r>
      <w:r w:rsidRPr="00B63165">
        <w:t>regulačními</w:t>
      </w:r>
      <w:r>
        <w:t xml:space="preserve"> </w:t>
      </w:r>
      <w:r w:rsidRPr="00B63165">
        <w:t>opatřeními</w:t>
      </w:r>
      <w:r>
        <w:t xml:space="preserve"> </w:t>
      </w:r>
      <w:r w:rsidRPr="00B63165">
        <w:t>k</w:t>
      </w:r>
      <w:r>
        <w:t xml:space="preserve"> </w:t>
      </w:r>
      <w:r w:rsidRPr="00B63165">
        <w:t>čerpání</w:t>
      </w:r>
      <w:r>
        <w:t xml:space="preserve"> </w:t>
      </w:r>
      <w:r w:rsidRPr="00B63165">
        <w:t>výdajů</w:t>
      </w:r>
      <w:r>
        <w:t xml:space="preserve"> </w:t>
      </w:r>
      <w:r w:rsidRPr="00B63165">
        <w:t>státního</w:t>
      </w:r>
      <w:r>
        <w:t xml:space="preserve"> </w:t>
      </w:r>
      <w:r w:rsidRPr="00B63165">
        <w:t>rozpočtu,</w:t>
      </w:r>
      <w:r>
        <w:t xml:space="preserve"> </w:t>
      </w:r>
      <w:r w:rsidRPr="00B63165">
        <w:t>o</w:t>
      </w:r>
      <w:r>
        <w:t xml:space="preserve"> </w:t>
      </w:r>
      <w:r w:rsidRPr="00B63165">
        <w:t>nichž</w:t>
      </w:r>
      <w:r>
        <w:t xml:space="preserve"> </w:t>
      </w:r>
      <w:r w:rsidRPr="00B63165">
        <w:t>rozhodla</w:t>
      </w:r>
      <w:r>
        <w:t xml:space="preserve"> </w:t>
      </w:r>
      <w:r w:rsidRPr="00B63165">
        <w:t>vláda</w:t>
      </w:r>
      <w:r>
        <w:t xml:space="preserve"> </w:t>
      </w:r>
      <w:r w:rsidRPr="00B63165">
        <w:t>nebo</w:t>
      </w:r>
      <w:r>
        <w:t xml:space="preserve"> </w:t>
      </w:r>
      <w:r w:rsidRPr="00B63165">
        <w:t>ministr</w:t>
      </w:r>
      <w:r>
        <w:t xml:space="preserve"> </w:t>
      </w:r>
      <w:r w:rsidRPr="00B63165">
        <w:t>financí.</w:t>
      </w:r>
      <w:r>
        <w:t xml:space="preserve"> </w:t>
      </w:r>
      <w:r w:rsidRPr="00EA0743">
        <w:rPr>
          <w:strike/>
        </w:rPr>
        <w:t>Výše dotace může být v průběhu školního roku, kdy je poskytována, snížena nebo poskytována na kratší období, než které je uvedeno v odstavci 1, také v případě, že právnická osoba nedodrží ustanovení odstavce 7.</w:t>
      </w:r>
    </w:p>
    <w:p w14:paraId="3917BFE4" w14:textId="77777777" w:rsidR="00217AFA" w:rsidRPr="00EA0743" w:rsidRDefault="00217AFA" w:rsidP="00D50FFB">
      <w:pPr>
        <w:pStyle w:val="Textparagrafu"/>
        <w:spacing w:before="120" w:after="120"/>
        <w:rPr>
          <w:strike/>
        </w:rPr>
      </w:pPr>
      <w:r w:rsidRPr="00EA0743">
        <w:rPr>
          <w:strike/>
        </w:rPr>
        <w:t>(7) Právnická osoba předloží krajskému úřadu vyúčtování poskytnuté dotace podle skutečnosti kalendářního roku postupem stanoveným Ministerstvem financí pro zúčtování vztahů se státním rozpočtem.</w:t>
      </w:r>
    </w:p>
    <w:p w14:paraId="03DDD279" w14:textId="77777777" w:rsidR="00820CCC" w:rsidRDefault="00820CCC" w:rsidP="00CB5381">
      <w:pPr>
        <w:pStyle w:val="Textparagrafu"/>
        <w:tabs>
          <w:tab w:val="left" w:pos="406"/>
          <w:tab w:val="left" w:pos="840"/>
          <w:tab w:val="left" w:pos="868"/>
        </w:tabs>
        <w:spacing w:after="120"/>
        <w:ind w:firstLine="0"/>
        <w:sectPr w:rsidR="00820CCC" w:rsidSect="00554E2B">
          <w:footnotePr>
            <w:numStart w:val="3"/>
          </w:footnotePr>
          <w:endnotePr>
            <w:numFmt w:val="decimal"/>
          </w:endnotePr>
          <w:pgSz w:w="11906" w:h="16838"/>
          <w:pgMar w:top="1418" w:right="1418" w:bottom="1418" w:left="1418" w:header="709" w:footer="709" w:gutter="0"/>
          <w:cols w:space="708"/>
          <w:docGrid w:linePitch="360"/>
        </w:sectPr>
      </w:pPr>
    </w:p>
    <w:p w14:paraId="1E466BAB" w14:textId="5BC0EE7C" w:rsidR="00820CCC" w:rsidRPr="00527C79" w:rsidRDefault="00820CCC" w:rsidP="00D50FFB">
      <w:pPr>
        <w:tabs>
          <w:tab w:val="left" w:pos="851"/>
        </w:tabs>
        <w:spacing w:before="120" w:after="120"/>
        <w:ind w:firstLine="0"/>
        <w:jc w:val="center"/>
        <w:outlineLvl w:val="0"/>
        <w:rPr>
          <w:szCs w:val="24"/>
        </w:rPr>
      </w:pPr>
      <w:r w:rsidRPr="00527C79">
        <w:rPr>
          <w:b/>
          <w:szCs w:val="24"/>
        </w:rPr>
        <w:lastRenderedPageBreak/>
        <w:t xml:space="preserve">K části </w:t>
      </w:r>
      <w:r>
        <w:rPr>
          <w:b/>
          <w:szCs w:val="24"/>
        </w:rPr>
        <w:t>čtyřicáté</w:t>
      </w:r>
      <w:r w:rsidRPr="00527C79">
        <w:rPr>
          <w:b/>
          <w:szCs w:val="24"/>
        </w:rPr>
        <w:t xml:space="preserve"> </w:t>
      </w:r>
      <w:r w:rsidR="00562201">
        <w:rPr>
          <w:b/>
          <w:szCs w:val="24"/>
        </w:rPr>
        <w:t xml:space="preserve">první </w:t>
      </w:r>
      <w:r w:rsidRPr="00527C79">
        <w:rPr>
          <w:b/>
          <w:szCs w:val="24"/>
        </w:rPr>
        <w:t xml:space="preserve">návrhu zákona – </w:t>
      </w:r>
      <w:r w:rsidRPr="00527C79">
        <w:rPr>
          <w:szCs w:val="24"/>
        </w:rPr>
        <w:t xml:space="preserve">změna </w:t>
      </w:r>
      <w:r w:rsidRPr="00820CCC">
        <w:rPr>
          <w:szCs w:val="24"/>
        </w:rPr>
        <w:t>o pošt</w:t>
      </w:r>
      <w:r w:rsidR="001843B6">
        <w:rPr>
          <w:szCs w:val="24"/>
        </w:rPr>
        <w:t>ovních službách</w:t>
      </w:r>
    </w:p>
    <w:p w14:paraId="0E9D3167" w14:textId="2C95B650" w:rsidR="00820CCC" w:rsidRPr="00527C79" w:rsidRDefault="00820CCC" w:rsidP="00820CCC">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527C79">
        <w:rPr>
          <w:b/>
          <w:szCs w:val="24"/>
        </w:rPr>
        <w:t>Platné znění</w:t>
      </w:r>
      <w:r w:rsidRPr="00527C79">
        <w:rPr>
          <w:szCs w:val="24"/>
        </w:rPr>
        <w:t xml:space="preserve"> zákona </w:t>
      </w:r>
      <w:r w:rsidRPr="00527C79">
        <w:rPr>
          <w:color w:val="000000"/>
          <w:szCs w:val="24"/>
        </w:rPr>
        <w:t>č.</w:t>
      </w:r>
      <w:r>
        <w:rPr>
          <w:color w:val="000000"/>
          <w:szCs w:val="24"/>
        </w:rPr>
        <w:t>29</w:t>
      </w:r>
      <w:r w:rsidRPr="00527C79">
        <w:rPr>
          <w:color w:val="000000"/>
          <w:szCs w:val="24"/>
        </w:rPr>
        <w:t>/</w:t>
      </w:r>
      <w:r>
        <w:rPr>
          <w:szCs w:val="24"/>
        </w:rPr>
        <w:t>2000</w:t>
      </w:r>
      <w:r w:rsidRPr="00527C79">
        <w:rPr>
          <w:szCs w:val="24"/>
        </w:rPr>
        <w:t xml:space="preserve"> Sb., </w:t>
      </w:r>
      <w:r w:rsidRPr="00820CCC">
        <w:rPr>
          <w:szCs w:val="24"/>
        </w:rPr>
        <w:t>o poštovních službách a o změně některých zákonů (zákon o poštovních službách)</w:t>
      </w:r>
    </w:p>
    <w:p w14:paraId="3F7CEB53" w14:textId="07FD4853" w:rsidR="00820CCC" w:rsidRPr="00527C79" w:rsidRDefault="00D50FFB" w:rsidP="00820CCC">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AE4818">
        <w:rPr>
          <w:b/>
          <w:szCs w:val="24"/>
          <w:lang w:eastAsia="en-US"/>
        </w:rPr>
        <w:t>s vyznačením navrhovaných změn a doplnění k 1. lednu 2025</w:t>
      </w:r>
    </w:p>
    <w:p w14:paraId="1A1CBD59" w14:textId="77777777" w:rsidR="00820CCC" w:rsidRDefault="00820CCC" w:rsidP="00820CCC">
      <w:pPr>
        <w:pStyle w:val="Textparagrafu"/>
        <w:tabs>
          <w:tab w:val="left" w:pos="406"/>
          <w:tab w:val="left" w:pos="840"/>
          <w:tab w:val="left" w:pos="868"/>
        </w:tabs>
        <w:spacing w:after="120"/>
        <w:ind w:firstLine="0"/>
        <w:jc w:val="center"/>
      </w:pPr>
      <w:r w:rsidRPr="00527C79">
        <w:t>***</w:t>
      </w:r>
    </w:p>
    <w:p w14:paraId="1F4D37A3" w14:textId="77777777" w:rsidR="00820CCC" w:rsidRDefault="00820CCC" w:rsidP="00820CCC">
      <w:pPr>
        <w:pStyle w:val="Textparagrafu"/>
        <w:ind w:firstLine="0"/>
        <w:jc w:val="center"/>
      </w:pPr>
      <w:r w:rsidRPr="00D03D7E">
        <w:t>§</w:t>
      </w:r>
      <w:r>
        <w:t xml:space="preserve"> </w:t>
      </w:r>
      <w:r w:rsidRPr="00D03D7E">
        <w:t>33a</w:t>
      </w:r>
    </w:p>
    <w:p w14:paraId="705C2714" w14:textId="77777777" w:rsidR="00820CCC" w:rsidRPr="00820CCC" w:rsidRDefault="00820CCC" w:rsidP="00820CCC">
      <w:pPr>
        <w:pStyle w:val="Textparagrafu"/>
        <w:ind w:firstLine="0"/>
        <w:jc w:val="center"/>
        <w:rPr>
          <w:b/>
        </w:rPr>
      </w:pPr>
      <w:r w:rsidRPr="00820CCC">
        <w:rPr>
          <w:b/>
        </w:rPr>
        <w:t>Oddělená evidence nákladů a výnosů spojených s poskytováním a zajišťováním jednotlivých základních služeb</w:t>
      </w:r>
    </w:p>
    <w:p w14:paraId="1A541351" w14:textId="77777777" w:rsidR="00820CCC" w:rsidRDefault="00820CCC" w:rsidP="00D50FFB">
      <w:pPr>
        <w:pStyle w:val="Textparagrafu"/>
        <w:spacing w:before="120" w:after="120"/>
      </w:pPr>
      <w:r w:rsidRPr="00D03D7E">
        <w:t>(1)</w:t>
      </w:r>
      <w:r>
        <w:t xml:space="preserve"> </w:t>
      </w:r>
      <w:r w:rsidRPr="00D03D7E">
        <w:t>Držitel</w:t>
      </w:r>
      <w:r>
        <w:t xml:space="preserve"> </w:t>
      </w:r>
      <w:r w:rsidRPr="00D03D7E">
        <w:t>poštovní</w:t>
      </w:r>
      <w:r>
        <w:t xml:space="preserve"> </w:t>
      </w:r>
      <w:r w:rsidRPr="00D03D7E">
        <w:t>licence</w:t>
      </w:r>
      <w:r>
        <w:t xml:space="preserve"> </w:t>
      </w:r>
      <w:r w:rsidRPr="00D03D7E">
        <w:t>je</w:t>
      </w:r>
      <w:r>
        <w:t xml:space="preserve"> </w:t>
      </w:r>
      <w:r w:rsidRPr="00D03D7E">
        <w:t>povinen</w:t>
      </w:r>
      <w:r>
        <w:t xml:space="preserve"> </w:t>
      </w:r>
      <w:r w:rsidRPr="00D03D7E">
        <w:t>vést</w:t>
      </w:r>
      <w:r>
        <w:t xml:space="preserve"> </w:t>
      </w:r>
      <w:r w:rsidRPr="00D03D7E">
        <w:t>v</w:t>
      </w:r>
      <w:r>
        <w:t xml:space="preserve"> </w:t>
      </w:r>
      <w:r w:rsidRPr="00D03D7E">
        <w:t>souladu</w:t>
      </w:r>
      <w:r>
        <w:t xml:space="preserve"> </w:t>
      </w:r>
      <w:r w:rsidRPr="00D03D7E">
        <w:t>s</w:t>
      </w:r>
      <w:r>
        <w:t xml:space="preserve"> </w:t>
      </w:r>
      <w:r w:rsidRPr="00D03D7E">
        <w:t>prováděcím</w:t>
      </w:r>
      <w:r>
        <w:t xml:space="preserve"> </w:t>
      </w:r>
      <w:r w:rsidRPr="00D03D7E">
        <w:t>právním</w:t>
      </w:r>
      <w:r>
        <w:t xml:space="preserve"> </w:t>
      </w:r>
      <w:r w:rsidRPr="00D03D7E">
        <w:t>předpisem</w:t>
      </w:r>
      <w:r>
        <w:t xml:space="preserve"> </w:t>
      </w:r>
      <w:r w:rsidRPr="00D03D7E">
        <w:t>podle</w:t>
      </w:r>
      <w:r>
        <w:t xml:space="preserve"> </w:t>
      </w:r>
      <w:r w:rsidRPr="00D03D7E">
        <w:t>odstavce</w:t>
      </w:r>
      <w:r>
        <w:t xml:space="preserve"> </w:t>
      </w:r>
      <w:r w:rsidRPr="00D03D7E">
        <w:t>2</w:t>
      </w:r>
      <w:r>
        <w:t xml:space="preserve"> </w:t>
      </w:r>
      <w:r w:rsidRPr="00D03D7E">
        <w:t>oddělenou</w:t>
      </w:r>
      <w:r>
        <w:t xml:space="preserve"> </w:t>
      </w:r>
      <w:r w:rsidRPr="00D03D7E">
        <w:t>evidenci</w:t>
      </w:r>
      <w:r>
        <w:t xml:space="preserve"> </w:t>
      </w:r>
      <w:r w:rsidRPr="00D03D7E">
        <w:t>nákladů</w:t>
      </w:r>
      <w:r>
        <w:t xml:space="preserve"> </w:t>
      </w:r>
      <w:r w:rsidRPr="00D03D7E">
        <w:t>a</w:t>
      </w:r>
      <w:r>
        <w:t xml:space="preserve"> </w:t>
      </w:r>
      <w:r w:rsidRPr="00D03D7E">
        <w:t>výnosů</w:t>
      </w:r>
      <w:r>
        <w:t xml:space="preserve"> </w:t>
      </w:r>
      <w:r w:rsidRPr="00D03D7E">
        <w:t>spojených</w:t>
      </w:r>
      <w:r>
        <w:t xml:space="preserve"> </w:t>
      </w:r>
      <w:r w:rsidRPr="00D03D7E">
        <w:t>s</w:t>
      </w:r>
      <w:r>
        <w:t xml:space="preserve"> </w:t>
      </w:r>
      <w:r w:rsidRPr="00D03D7E">
        <w:t>poskytováním</w:t>
      </w:r>
      <w:r>
        <w:t xml:space="preserve"> </w:t>
      </w:r>
      <w:r w:rsidRPr="00D03D7E">
        <w:t>jednotlivých</w:t>
      </w:r>
      <w:r>
        <w:t xml:space="preserve"> </w:t>
      </w:r>
      <w:r w:rsidRPr="00D03D7E">
        <w:t>základních</w:t>
      </w:r>
      <w:r>
        <w:t xml:space="preserve"> </w:t>
      </w:r>
      <w:r w:rsidRPr="00D03D7E">
        <w:t>služeb,</w:t>
      </w:r>
      <w:r>
        <w:t xml:space="preserve"> </w:t>
      </w:r>
      <w:r w:rsidRPr="00D03D7E">
        <w:t>které</w:t>
      </w:r>
      <w:r>
        <w:t xml:space="preserve"> </w:t>
      </w:r>
      <w:r w:rsidRPr="00D03D7E">
        <w:t>jsou</w:t>
      </w:r>
      <w:r>
        <w:t xml:space="preserve"> </w:t>
      </w:r>
      <w:r w:rsidRPr="00D03D7E">
        <w:t>obsaženy</w:t>
      </w:r>
      <w:r>
        <w:t xml:space="preserve"> </w:t>
      </w:r>
      <w:r w:rsidRPr="00D03D7E">
        <w:t>v</w:t>
      </w:r>
      <w:r>
        <w:t xml:space="preserve"> </w:t>
      </w:r>
      <w:r w:rsidRPr="00D03D7E">
        <w:t>jeho</w:t>
      </w:r>
      <w:r>
        <w:t xml:space="preserve"> </w:t>
      </w:r>
      <w:r w:rsidRPr="00D03D7E">
        <w:t>poštovní</w:t>
      </w:r>
      <w:r>
        <w:t xml:space="preserve"> </w:t>
      </w:r>
      <w:r w:rsidRPr="00D03D7E">
        <w:t>licenci,</w:t>
      </w:r>
      <w:r>
        <w:t xml:space="preserve"> </w:t>
      </w:r>
      <w:r w:rsidRPr="00D03D7E">
        <w:t>a</w:t>
      </w:r>
      <w:r>
        <w:t xml:space="preserve"> </w:t>
      </w:r>
      <w:r w:rsidRPr="00D03D7E">
        <w:t>ostatních</w:t>
      </w:r>
      <w:r>
        <w:t xml:space="preserve"> </w:t>
      </w:r>
      <w:r w:rsidRPr="00D03D7E">
        <w:t>služeb</w:t>
      </w:r>
      <w:r>
        <w:t xml:space="preserve"> </w:t>
      </w:r>
      <w:r w:rsidRPr="00D03D7E">
        <w:t>tak,</w:t>
      </w:r>
      <w:r>
        <w:t xml:space="preserve"> </w:t>
      </w:r>
      <w:r w:rsidRPr="00D03D7E">
        <w:t>aby</w:t>
      </w:r>
      <w:r>
        <w:t xml:space="preserve"> </w:t>
      </w:r>
      <w:r w:rsidRPr="00D03D7E">
        <w:t>byly</w:t>
      </w:r>
      <w:r>
        <w:t xml:space="preserve"> </w:t>
      </w:r>
      <w:r w:rsidRPr="00D03D7E">
        <w:t>zajištěny</w:t>
      </w:r>
      <w:r>
        <w:t xml:space="preserve"> </w:t>
      </w:r>
      <w:r w:rsidRPr="00D03D7E">
        <w:t>podklady</w:t>
      </w:r>
      <w:r>
        <w:t xml:space="preserve"> </w:t>
      </w:r>
      <w:r w:rsidRPr="00D03D7E">
        <w:t>pro</w:t>
      </w:r>
      <w:r>
        <w:t xml:space="preserve"> </w:t>
      </w:r>
      <w:r w:rsidRPr="00D03D7E">
        <w:t>výpočet</w:t>
      </w:r>
      <w:r>
        <w:t xml:space="preserve"> </w:t>
      </w:r>
      <w:r w:rsidRPr="00D03D7E">
        <w:t>čistých</w:t>
      </w:r>
      <w:r>
        <w:t xml:space="preserve"> </w:t>
      </w:r>
      <w:r w:rsidRPr="00D03D7E">
        <w:t>nákladů</w:t>
      </w:r>
      <w:r>
        <w:t xml:space="preserve"> </w:t>
      </w:r>
      <w:r w:rsidRPr="00D03D7E">
        <w:t>pro</w:t>
      </w:r>
      <w:r>
        <w:t xml:space="preserve"> </w:t>
      </w:r>
      <w:r w:rsidRPr="00D03D7E">
        <w:t>jednotlivé</w:t>
      </w:r>
      <w:r>
        <w:t xml:space="preserve"> </w:t>
      </w:r>
      <w:r w:rsidRPr="00D03D7E">
        <w:t>základní</w:t>
      </w:r>
      <w:r>
        <w:t xml:space="preserve"> </w:t>
      </w:r>
      <w:r w:rsidRPr="00D03D7E">
        <w:t>služby,</w:t>
      </w:r>
      <w:r>
        <w:t xml:space="preserve"> </w:t>
      </w:r>
      <w:r w:rsidRPr="00D03D7E">
        <w:t>pro</w:t>
      </w:r>
      <w:r>
        <w:t xml:space="preserve"> </w:t>
      </w:r>
      <w:r w:rsidRPr="00D03D7E">
        <w:t>regulaci</w:t>
      </w:r>
      <w:r>
        <w:t xml:space="preserve"> </w:t>
      </w:r>
      <w:r w:rsidRPr="00D03D7E">
        <w:t>cen</w:t>
      </w:r>
      <w:r>
        <w:t xml:space="preserve"> </w:t>
      </w:r>
      <w:r w:rsidRPr="00D03D7E">
        <w:t>základních</w:t>
      </w:r>
      <w:r>
        <w:t xml:space="preserve"> </w:t>
      </w:r>
      <w:r w:rsidRPr="00D03D7E">
        <w:t>služeb</w:t>
      </w:r>
      <w:r>
        <w:t xml:space="preserve"> </w:t>
      </w:r>
      <w:r w:rsidRPr="00D03D7E">
        <w:t>a</w:t>
      </w:r>
      <w:r>
        <w:t xml:space="preserve"> </w:t>
      </w:r>
      <w:r w:rsidRPr="00D03D7E">
        <w:t>pro</w:t>
      </w:r>
      <w:r>
        <w:t xml:space="preserve"> </w:t>
      </w:r>
      <w:r w:rsidRPr="00D03D7E">
        <w:t>prokázání</w:t>
      </w:r>
      <w:r>
        <w:t xml:space="preserve"> </w:t>
      </w:r>
      <w:r w:rsidRPr="00D03D7E">
        <w:t>skutečnosti,</w:t>
      </w:r>
      <w:r>
        <w:t xml:space="preserve"> </w:t>
      </w:r>
      <w:r w:rsidRPr="00D03D7E">
        <w:t>že</w:t>
      </w:r>
      <w:r>
        <w:t xml:space="preserve"> </w:t>
      </w:r>
      <w:r w:rsidRPr="00D03D7E">
        <w:t>nedochází</w:t>
      </w:r>
      <w:r>
        <w:t xml:space="preserve"> </w:t>
      </w:r>
      <w:r w:rsidRPr="00D03D7E">
        <w:t>ke</w:t>
      </w:r>
      <w:r>
        <w:t xml:space="preserve"> </w:t>
      </w:r>
      <w:r w:rsidRPr="00D03D7E">
        <w:t>křížovému</w:t>
      </w:r>
      <w:r>
        <w:t xml:space="preserve"> </w:t>
      </w:r>
      <w:r w:rsidRPr="00D03D7E">
        <w:t>financování</w:t>
      </w:r>
      <w:r>
        <w:t xml:space="preserve"> </w:t>
      </w:r>
      <w:r w:rsidRPr="00D03D7E">
        <w:t>mezi</w:t>
      </w:r>
      <w:r>
        <w:t xml:space="preserve"> </w:t>
      </w:r>
      <w:r w:rsidRPr="00D03D7E">
        <w:t>základními</w:t>
      </w:r>
      <w:r>
        <w:t xml:space="preserve"> </w:t>
      </w:r>
      <w:r w:rsidRPr="00D03D7E">
        <w:t>službami,</w:t>
      </w:r>
      <w:r>
        <w:t xml:space="preserve"> </w:t>
      </w:r>
      <w:r w:rsidRPr="00D03D7E">
        <w:t>které</w:t>
      </w:r>
      <w:r>
        <w:t xml:space="preserve"> </w:t>
      </w:r>
      <w:r w:rsidRPr="00D03D7E">
        <w:t>jsou</w:t>
      </w:r>
      <w:r>
        <w:t xml:space="preserve"> </w:t>
      </w:r>
      <w:r w:rsidRPr="00D03D7E">
        <w:t>obsaženy</w:t>
      </w:r>
      <w:r>
        <w:t xml:space="preserve"> </w:t>
      </w:r>
      <w:r w:rsidRPr="00D03D7E">
        <w:t>v</w:t>
      </w:r>
      <w:r>
        <w:t xml:space="preserve"> </w:t>
      </w:r>
      <w:r w:rsidRPr="00D03D7E">
        <w:t>jeho</w:t>
      </w:r>
      <w:r>
        <w:t xml:space="preserve"> </w:t>
      </w:r>
      <w:r w:rsidRPr="00D03D7E">
        <w:t>poštovní</w:t>
      </w:r>
      <w:r>
        <w:t xml:space="preserve"> </w:t>
      </w:r>
      <w:r w:rsidRPr="00D03D7E">
        <w:t>licenci,</w:t>
      </w:r>
      <w:r>
        <w:t xml:space="preserve"> </w:t>
      </w:r>
      <w:r w:rsidRPr="00D03D7E">
        <w:t>a</w:t>
      </w:r>
      <w:r>
        <w:t xml:space="preserve"> </w:t>
      </w:r>
      <w:r w:rsidRPr="00D03D7E">
        <w:t>ostatními</w:t>
      </w:r>
      <w:r>
        <w:t xml:space="preserve"> </w:t>
      </w:r>
      <w:r w:rsidRPr="00D03D7E">
        <w:t>službami.</w:t>
      </w:r>
    </w:p>
    <w:p w14:paraId="2675D761" w14:textId="77777777" w:rsidR="00820CCC" w:rsidRDefault="00820CCC" w:rsidP="00D50FFB">
      <w:pPr>
        <w:pStyle w:val="Textparagrafu"/>
        <w:spacing w:before="120" w:after="120"/>
      </w:pPr>
      <w:r w:rsidRPr="00D03D7E">
        <w:t>(2)</w:t>
      </w:r>
      <w:r>
        <w:t xml:space="preserve"> </w:t>
      </w:r>
      <w:r w:rsidRPr="00D03D7E">
        <w:t>Prováděcí</w:t>
      </w:r>
      <w:r>
        <w:t xml:space="preserve"> </w:t>
      </w:r>
      <w:r w:rsidRPr="00D03D7E">
        <w:t>právní</w:t>
      </w:r>
      <w:r>
        <w:t xml:space="preserve"> </w:t>
      </w:r>
      <w:r w:rsidRPr="00D03D7E">
        <w:t>předpis</w:t>
      </w:r>
      <w:r>
        <w:t xml:space="preserve"> </w:t>
      </w:r>
      <w:r w:rsidRPr="00D03D7E">
        <w:t>stanoví</w:t>
      </w:r>
      <w:r>
        <w:t xml:space="preserve"> </w:t>
      </w:r>
      <w:r w:rsidRPr="00D03D7E">
        <w:t>způsob</w:t>
      </w:r>
      <w:r>
        <w:t xml:space="preserve"> </w:t>
      </w:r>
      <w:r w:rsidRPr="00D03D7E">
        <w:t>vedení</w:t>
      </w:r>
      <w:r>
        <w:t xml:space="preserve"> </w:t>
      </w:r>
      <w:r w:rsidRPr="00D03D7E">
        <w:t>oddělené</w:t>
      </w:r>
      <w:r>
        <w:t xml:space="preserve"> </w:t>
      </w:r>
      <w:r w:rsidRPr="00D03D7E">
        <w:t>evidence</w:t>
      </w:r>
      <w:r>
        <w:t xml:space="preserve"> </w:t>
      </w:r>
      <w:r w:rsidRPr="00D03D7E">
        <w:t>nákladů</w:t>
      </w:r>
      <w:r>
        <w:t xml:space="preserve"> </w:t>
      </w:r>
      <w:r w:rsidRPr="00D03D7E">
        <w:t>a</w:t>
      </w:r>
      <w:r>
        <w:t xml:space="preserve"> </w:t>
      </w:r>
      <w:r w:rsidRPr="00D03D7E">
        <w:t>výnosů,</w:t>
      </w:r>
      <w:r>
        <w:t xml:space="preserve"> </w:t>
      </w:r>
      <w:r w:rsidRPr="00D03D7E">
        <w:t>metodiku</w:t>
      </w:r>
      <w:r>
        <w:t xml:space="preserve"> </w:t>
      </w:r>
      <w:r w:rsidRPr="00D03D7E">
        <w:t>účelového</w:t>
      </w:r>
      <w:r>
        <w:t xml:space="preserve"> </w:t>
      </w:r>
      <w:r w:rsidRPr="00D03D7E">
        <w:t>členění</w:t>
      </w:r>
      <w:r>
        <w:t xml:space="preserve"> </w:t>
      </w:r>
      <w:r w:rsidRPr="00D03D7E">
        <w:t>nákladů</w:t>
      </w:r>
      <w:r>
        <w:t xml:space="preserve"> </w:t>
      </w:r>
      <w:r w:rsidRPr="00D03D7E">
        <w:t>a</w:t>
      </w:r>
      <w:r>
        <w:t xml:space="preserve"> </w:t>
      </w:r>
      <w:r w:rsidRPr="00D03D7E">
        <w:t>výnosů</w:t>
      </w:r>
      <w:r>
        <w:t xml:space="preserve"> </w:t>
      </w:r>
      <w:r w:rsidRPr="00D03D7E">
        <w:t>a</w:t>
      </w:r>
      <w:r>
        <w:t xml:space="preserve"> </w:t>
      </w:r>
      <w:r w:rsidRPr="00D03D7E">
        <w:t>jejich</w:t>
      </w:r>
      <w:r>
        <w:t xml:space="preserve"> </w:t>
      </w:r>
      <w:r w:rsidRPr="00D03D7E">
        <w:t>přiřazování</w:t>
      </w:r>
      <w:r>
        <w:t xml:space="preserve"> </w:t>
      </w:r>
      <w:r w:rsidRPr="00D03D7E">
        <w:t>včetně</w:t>
      </w:r>
      <w:r>
        <w:t xml:space="preserve"> </w:t>
      </w:r>
      <w:r w:rsidRPr="00D03D7E">
        <w:t>stanovení</w:t>
      </w:r>
      <w:r>
        <w:t xml:space="preserve"> </w:t>
      </w:r>
      <w:r w:rsidRPr="00D03D7E">
        <w:t>přiměřeného</w:t>
      </w:r>
      <w:r>
        <w:t xml:space="preserve"> </w:t>
      </w:r>
      <w:r w:rsidRPr="00D03D7E">
        <w:t>zisku</w:t>
      </w:r>
      <w:r>
        <w:t xml:space="preserve"> </w:t>
      </w:r>
      <w:r w:rsidRPr="00D03D7E">
        <w:t>a</w:t>
      </w:r>
      <w:r>
        <w:t xml:space="preserve"> </w:t>
      </w:r>
      <w:r w:rsidRPr="00D03D7E">
        <w:t>strukturu</w:t>
      </w:r>
      <w:r>
        <w:t xml:space="preserve"> </w:t>
      </w:r>
      <w:r w:rsidRPr="00D03D7E">
        <w:t>vykazovaných</w:t>
      </w:r>
      <w:r>
        <w:t xml:space="preserve"> </w:t>
      </w:r>
      <w:r w:rsidRPr="00D03D7E">
        <w:t>informací.</w:t>
      </w:r>
    </w:p>
    <w:p w14:paraId="11D46C9F" w14:textId="54EDBBD0" w:rsidR="00820CCC" w:rsidRDefault="00820CCC" w:rsidP="00D50FFB">
      <w:pPr>
        <w:pStyle w:val="Textparagrafu"/>
        <w:spacing w:before="120" w:after="120"/>
      </w:pPr>
      <w:r w:rsidRPr="00D03D7E">
        <w:t>(3)</w:t>
      </w:r>
      <w:r>
        <w:t xml:space="preserve"> </w:t>
      </w:r>
      <w:r w:rsidRPr="00D03D7E">
        <w:t>Držitel</w:t>
      </w:r>
      <w:r>
        <w:t xml:space="preserve"> </w:t>
      </w:r>
      <w:r w:rsidRPr="00D03D7E">
        <w:t>poštovní</w:t>
      </w:r>
      <w:r>
        <w:t xml:space="preserve"> </w:t>
      </w:r>
      <w:r w:rsidRPr="00D03D7E">
        <w:t>licence</w:t>
      </w:r>
      <w:r>
        <w:t xml:space="preserve"> </w:t>
      </w:r>
      <w:r w:rsidRPr="00D03D7E">
        <w:t>je</w:t>
      </w:r>
      <w:r>
        <w:t xml:space="preserve"> </w:t>
      </w:r>
      <w:r w:rsidRPr="00D03D7E">
        <w:t>povinen</w:t>
      </w:r>
      <w:r>
        <w:t xml:space="preserve"> </w:t>
      </w:r>
      <w:r w:rsidRPr="00D03D7E">
        <w:t>v</w:t>
      </w:r>
      <w:r>
        <w:t xml:space="preserve"> </w:t>
      </w:r>
      <w:r w:rsidRPr="00D03D7E">
        <w:t>oddělené</w:t>
      </w:r>
      <w:r>
        <w:t xml:space="preserve"> </w:t>
      </w:r>
      <w:r w:rsidRPr="00D03D7E">
        <w:t>evidenci</w:t>
      </w:r>
      <w:r>
        <w:t xml:space="preserve"> </w:t>
      </w:r>
      <w:r w:rsidRPr="00D03D7E">
        <w:t>přiřazovat</w:t>
      </w:r>
      <w:r>
        <w:t xml:space="preserve"> </w:t>
      </w:r>
      <w:r w:rsidRPr="00D03D7E">
        <w:t>přímé</w:t>
      </w:r>
      <w:r>
        <w:t xml:space="preserve"> </w:t>
      </w:r>
      <w:r w:rsidRPr="00D03D7E">
        <w:t>náklady</w:t>
      </w:r>
      <w:r>
        <w:t xml:space="preserve"> </w:t>
      </w:r>
      <w:r w:rsidRPr="00D03D7E">
        <w:t>konkrétní</w:t>
      </w:r>
      <w:r>
        <w:t xml:space="preserve"> </w:t>
      </w:r>
      <w:r w:rsidRPr="00D03D7E">
        <w:t>službě,</w:t>
      </w:r>
      <w:r>
        <w:t xml:space="preserve"> </w:t>
      </w:r>
      <w:r w:rsidRPr="00D03D7E">
        <w:t>na</w:t>
      </w:r>
      <w:r>
        <w:t xml:space="preserve"> </w:t>
      </w:r>
      <w:r w:rsidRPr="00D03D7E">
        <w:t>kterou</w:t>
      </w:r>
      <w:r>
        <w:t xml:space="preserve"> </w:t>
      </w:r>
      <w:r w:rsidRPr="00D03D7E">
        <w:t>se</w:t>
      </w:r>
      <w:r>
        <w:t xml:space="preserve"> </w:t>
      </w:r>
      <w:r w:rsidRPr="00D03D7E">
        <w:t>vztahují,</w:t>
      </w:r>
      <w:r>
        <w:t xml:space="preserve"> </w:t>
      </w:r>
      <w:r w:rsidRPr="00D03D7E">
        <w:t>a</w:t>
      </w:r>
      <w:r>
        <w:t xml:space="preserve"> </w:t>
      </w:r>
      <w:r w:rsidRPr="00D03D7E">
        <w:t>při</w:t>
      </w:r>
      <w:r>
        <w:t xml:space="preserve"> </w:t>
      </w:r>
      <w:r w:rsidRPr="00D03D7E">
        <w:t>přiřazování</w:t>
      </w:r>
      <w:r>
        <w:t xml:space="preserve"> </w:t>
      </w:r>
      <w:r w:rsidRPr="00D03D7E">
        <w:t>společných</w:t>
      </w:r>
      <w:r>
        <w:t xml:space="preserve"> </w:t>
      </w:r>
      <w:r w:rsidRPr="00D03D7E">
        <w:t>nákladů</w:t>
      </w:r>
      <w:r>
        <w:t xml:space="preserve"> </w:t>
      </w:r>
      <w:r w:rsidRPr="00D03D7E">
        <w:t>používat</w:t>
      </w:r>
      <w:r>
        <w:t xml:space="preserve"> </w:t>
      </w:r>
      <w:r w:rsidRPr="00D03D7E">
        <w:t>způsoby,</w:t>
      </w:r>
      <w:r>
        <w:t xml:space="preserve"> </w:t>
      </w:r>
      <w:r w:rsidRPr="00D03D7E">
        <w:t>které</w:t>
      </w:r>
      <w:r>
        <w:t xml:space="preserve"> </w:t>
      </w:r>
      <w:r w:rsidRPr="00D03D7E">
        <w:t>vycházejí</w:t>
      </w:r>
      <w:r>
        <w:t xml:space="preserve"> </w:t>
      </w:r>
      <w:r w:rsidRPr="00D03D7E">
        <w:t>z</w:t>
      </w:r>
      <w:r>
        <w:t xml:space="preserve"> </w:t>
      </w:r>
      <w:r w:rsidRPr="00D03D7E">
        <w:t>charakteru</w:t>
      </w:r>
      <w:r>
        <w:t xml:space="preserve"> </w:t>
      </w:r>
      <w:r w:rsidRPr="00D03D7E">
        <w:t>a</w:t>
      </w:r>
      <w:r>
        <w:t xml:space="preserve"> </w:t>
      </w:r>
      <w:r w:rsidRPr="00D03D7E">
        <w:t>původu</w:t>
      </w:r>
      <w:r>
        <w:t xml:space="preserve"> </w:t>
      </w:r>
      <w:r w:rsidRPr="00D03D7E">
        <w:t>nákladů,</w:t>
      </w:r>
      <w:r>
        <w:t xml:space="preserve"> </w:t>
      </w:r>
      <w:r w:rsidRPr="00D03D7E">
        <w:t>a</w:t>
      </w:r>
      <w:r>
        <w:t xml:space="preserve"> </w:t>
      </w:r>
      <w:r w:rsidRPr="00D03D7E">
        <w:t>používat</w:t>
      </w:r>
      <w:r>
        <w:t xml:space="preserve"> </w:t>
      </w:r>
      <w:r w:rsidRPr="00D03D7E">
        <w:t>za</w:t>
      </w:r>
      <w:r>
        <w:t xml:space="preserve"> </w:t>
      </w:r>
      <w:r w:rsidRPr="00D03D7E">
        <w:t>stejných</w:t>
      </w:r>
      <w:r>
        <w:t xml:space="preserve"> </w:t>
      </w:r>
      <w:r w:rsidRPr="00D03D7E">
        <w:t>podmínek</w:t>
      </w:r>
      <w:r>
        <w:t xml:space="preserve"> </w:t>
      </w:r>
      <w:r w:rsidRPr="00D03D7E">
        <w:t>stejná</w:t>
      </w:r>
      <w:r>
        <w:t xml:space="preserve"> </w:t>
      </w:r>
      <w:r w:rsidRPr="00D03D7E">
        <w:t>pravidla</w:t>
      </w:r>
      <w:r>
        <w:t xml:space="preserve"> </w:t>
      </w:r>
      <w:r w:rsidRPr="00D03D7E">
        <w:t>pro</w:t>
      </w:r>
      <w:r>
        <w:t xml:space="preserve"> </w:t>
      </w:r>
      <w:r w:rsidRPr="00D03D7E">
        <w:t>přiřazení</w:t>
      </w:r>
      <w:r>
        <w:t xml:space="preserve"> </w:t>
      </w:r>
      <w:r w:rsidRPr="00D03D7E">
        <w:t>nákladů</w:t>
      </w:r>
      <w:r>
        <w:t xml:space="preserve"> </w:t>
      </w:r>
      <w:r w:rsidRPr="00D03D7E">
        <w:t>na</w:t>
      </w:r>
      <w:r>
        <w:t xml:space="preserve"> </w:t>
      </w:r>
      <w:r w:rsidRPr="00D03D7E">
        <w:t>základní</w:t>
      </w:r>
      <w:r>
        <w:t xml:space="preserve"> </w:t>
      </w:r>
      <w:r w:rsidRPr="00D03D7E">
        <w:t>služby</w:t>
      </w:r>
      <w:r>
        <w:t xml:space="preserve"> </w:t>
      </w:r>
      <w:r w:rsidRPr="00D03D7E">
        <w:t>a</w:t>
      </w:r>
      <w:r>
        <w:t xml:space="preserve"> </w:t>
      </w:r>
      <w:r w:rsidRPr="00D03D7E">
        <w:t>na</w:t>
      </w:r>
      <w:r>
        <w:t xml:space="preserve"> </w:t>
      </w:r>
      <w:r w:rsidRPr="00D03D7E">
        <w:t>ostatní</w:t>
      </w:r>
      <w:r>
        <w:t xml:space="preserve"> </w:t>
      </w:r>
      <w:r w:rsidRPr="00D03D7E">
        <w:t>služby.</w:t>
      </w:r>
      <w:r>
        <w:t xml:space="preserve"> </w:t>
      </w:r>
      <w:r w:rsidRPr="00D03D7E">
        <w:t>Držitel</w:t>
      </w:r>
      <w:r>
        <w:t xml:space="preserve"> </w:t>
      </w:r>
      <w:r w:rsidRPr="00D03D7E">
        <w:t>poštovní</w:t>
      </w:r>
      <w:r>
        <w:t xml:space="preserve"> </w:t>
      </w:r>
      <w:r w:rsidRPr="00D03D7E">
        <w:t>licence</w:t>
      </w:r>
      <w:r>
        <w:t xml:space="preserve"> </w:t>
      </w:r>
      <w:r w:rsidRPr="00D03D7E">
        <w:t>zajistí,</w:t>
      </w:r>
      <w:r>
        <w:t xml:space="preserve"> </w:t>
      </w:r>
      <w:r w:rsidRPr="00D03D7E">
        <w:t>aby</w:t>
      </w:r>
      <w:r>
        <w:t xml:space="preserve"> </w:t>
      </w:r>
      <w:r w:rsidRPr="00D03D7E">
        <w:t>součet</w:t>
      </w:r>
      <w:r>
        <w:t xml:space="preserve"> </w:t>
      </w:r>
      <w:r w:rsidRPr="00D03D7E">
        <w:t>všech</w:t>
      </w:r>
      <w:r>
        <w:t xml:space="preserve"> </w:t>
      </w:r>
      <w:r w:rsidRPr="00D03D7E">
        <w:t>přiřazených</w:t>
      </w:r>
      <w:r>
        <w:t xml:space="preserve"> </w:t>
      </w:r>
      <w:r w:rsidRPr="00D03D7E">
        <w:t>nákladů</w:t>
      </w:r>
      <w:r>
        <w:t xml:space="preserve"> </w:t>
      </w:r>
      <w:r w:rsidRPr="00D03D7E">
        <w:t>a</w:t>
      </w:r>
      <w:r>
        <w:t xml:space="preserve"> </w:t>
      </w:r>
      <w:r w:rsidRPr="00D03D7E">
        <w:t>výnosů</w:t>
      </w:r>
      <w:r>
        <w:t xml:space="preserve"> </w:t>
      </w:r>
      <w:r w:rsidRPr="00D03D7E">
        <w:t>v</w:t>
      </w:r>
      <w:r>
        <w:t xml:space="preserve"> </w:t>
      </w:r>
      <w:r w:rsidRPr="00D03D7E">
        <w:t>oddělené</w:t>
      </w:r>
      <w:r>
        <w:t xml:space="preserve"> </w:t>
      </w:r>
      <w:r w:rsidRPr="00D03D7E">
        <w:t>evidenci</w:t>
      </w:r>
      <w:r>
        <w:t xml:space="preserve"> </w:t>
      </w:r>
      <w:r w:rsidRPr="00D03D7E">
        <w:t>odpovídal</w:t>
      </w:r>
      <w:r>
        <w:t xml:space="preserve"> </w:t>
      </w:r>
      <w:r w:rsidRPr="00D03D7E">
        <w:t>nákladům</w:t>
      </w:r>
      <w:r>
        <w:t xml:space="preserve"> </w:t>
      </w:r>
      <w:r w:rsidRPr="00D03D7E">
        <w:t>a</w:t>
      </w:r>
      <w:r>
        <w:t xml:space="preserve"> </w:t>
      </w:r>
      <w:r w:rsidRPr="00D03D7E">
        <w:t>výnosům</w:t>
      </w:r>
      <w:r>
        <w:t xml:space="preserve"> </w:t>
      </w:r>
      <w:r w:rsidRPr="00D03D7E">
        <w:t>ve</w:t>
      </w:r>
      <w:r>
        <w:t xml:space="preserve"> </w:t>
      </w:r>
      <w:r w:rsidRPr="00D03D7E">
        <w:t>výkazu</w:t>
      </w:r>
      <w:r>
        <w:t xml:space="preserve"> </w:t>
      </w:r>
      <w:r w:rsidRPr="00933D3C">
        <w:rPr>
          <w:strike/>
        </w:rPr>
        <w:t>zisku a ztráty sestaveném v rámci roční</w:t>
      </w:r>
      <w:r>
        <w:t xml:space="preserve"> </w:t>
      </w:r>
      <w:bookmarkStart w:id="27" w:name="_Hlk163640678"/>
      <w:r w:rsidR="00933D3C" w:rsidRPr="00082267">
        <w:rPr>
          <w:b/>
          <w:bCs/>
        </w:rPr>
        <w:t xml:space="preserve">výsledku hospodaření sestaveném v rámci </w:t>
      </w:r>
      <w:r w:rsidR="00933D3C" w:rsidRPr="00082267">
        <w:rPr>
          <w:b/>
        </w:rPr>
        <w:t>řádné individuální</w:t>
      </w:r>
      <w:bookmarkEnd w:id="27"/>
      <w:r w:rsidR="00933D3C" w:rsidRPr="00D03D7E">
        <w:t xml:space="preserve"> </w:t>
      </w:r>
      <w:r w:rsidRPr="00D03D7E">
        <w:t>účetní</w:t>
      </w:r>
      <w:r>
        <w:t xml:space="preserve"> </w:t>
      </w:r>
      <w:r w:rsidRPr="00D03D7E">
        <w:t>závěrky.</w:t>
      </w:r>
    </w:p>
    <w:p w14:paraId="1D57D513" w14:textId="77777777" w:rsidR="00820CCC" w:rsidRDefault="00820CCC" w:rsidP="00D50FFB">
      <w:pPr>
        <w:pStyle w:val="Textparagrafu"/>
        <w:spacing w:before="120" w:after="120"/>
      </w:pPr>
      <w:r w:rsidRPr="00D03D7E">
        <w:t>(4)</w:t>
      </w:r>
      <w:r>
        <w:t xml:space="preserve"> </w:t>
      </w:r>
      <w:r w:rsidRPr="00D03D7E">
        <w:t>Pravidla,</w:t>
      </w:r>
      <w:r>
        <w:t xml:space="preserve"> </w:t>
      </w:r>
      <w:r w:rsidRPr="00D03D7E">
        <w:t>která</w:t>
      </w:r>
      <w:r>
        <w:t xml:space="preserve"> </w:t>
      </w:r>
      <w:r w:rsidRPr="00D03D7E">
        <w:t>navrhne</w:t>
      </w:r>
      <w:r>
        <w:t xml:space="preserve"> </w:t>
      </w:r>
      <w:r w:rsidRPr="00D03D7E">
        <w:t>držitel</w:t>
      </w:r>
      <w:r>
        <w:t xml:space="preserve"> </w:t>
      </w:r>
      <w:r w:rsidRPr="00D03D7E">
        <w:t>poštovní</w:t>
      </w:r>
      <w:r>
        <w:t xml:space="preserve"> </w:t>
      </w:r>
      <w:r w:rsidRPr="00D03D7E">
        <w:t>licence</w:t>
      </w:r>
      <w:r>
        <w:t xml:space="preserve"> </w:t>
      </w:r>
      <w:r w:rsidRPr="00D03D7E">
        <w:t>a</w:t>
      </w:r>
      <w:r>
        <w:t xml:space="preserve"> </w:t>
      </w:r>
      <w:r w:rsidRPr="00D03D7E">
        <w:t>podle</w:t>
      </w:r>
      <w:r>
        <w:t xml:space="preserve"> </w:t>
      </w:r>
      <w:r w:rsidRPr="00D03D7E">
        <w:t>nichž</w:t>
      </w:r>
      <w:r>
        <w:t xml:space="preserve"> </w:t>
      </w:r>
      <w:r w:rsidRPr="00D03D7E">
        <w:t>budou</w:t>
      </w:r>
      <w:r>
        <w:t xml:space="preserve"> </w:t>
      </w:r>
      <w:r w:rsidRPr="00D03D7E">
        <w:t>náklady</w:t>
      </w:r>
      <w:r>
        <w:t xml:space="preserve"> </w:t>
      </w:r>
      <w:r w:rsidRPr="00D03D7E">
        <w:t>společné</w:t>
      </w:r>
      <w:r>
        <w:t xml:space="preserve"> </w:t>
      </w:r>
      <w:r w:rsidRPr="00D03D7E">
        <w:t>pro</w:t>
      </w:r>
      <w:r>
        <w:t xml:space="preserve"> </w:t>
      </w:r>
      <w:r w:rsidRPr="00D03D7E">
        <w:t>více</w:t>
      </w:r>
      <w:r>
        <w:t xml:space="preserve"> </w:t>
      </w:r>
      <w:r w:rsidRPr="00D03D7E">
        <w:t>činností</w:t>
      </w:r>
      <w:r>
        <w:t xml:space="preserve"> </w:t>
      </w:r>
      <w:r w:rsidRPr="00D03D7E">
        <w:t>držitele</w:t>
      </w:r>
      <w:r>
        <w:t xml:space="preserve"> </w:t>
      </w:r>
      <w:r w:rsidRPr="00D03D7E">
        <w:t>poštovní</w:t>
      </w:r>
      <w:r>
        <w:t xml:space="preserve"> </w:t>
      </w:r>
      <w:r w:rsidRPr="00D03D7E">
        <w:t>licence</w:t>
      </w:r>
      <w:r>
        <w:t xml:space="preserve"> </w:t>
      </w:r>
      <w:r w:rsidRPr="00D03D7E">
        <w:t>přiřazovány</w:t>
      </w:r>
      <w:r>
        <w:t xml:space="preserve"> </w:t>
      </w:r>
      <w:r w:rsidRPr="00D03D7E">
        <w:t>jednotlivým</w:t>
      </w:r>
      <w:r>
        <w:t xml:space="preserve"> </w:t>
      </w:r>
      <w:r w:rsidRPr="00D03D7E">
        <w:t>základním</w:t>
      </w:r>
      <w:r>
        <w:t xml:space="preserve"> </w:t>
      </w:r>
      <w:r w:rsidRPr="00D03D7E">
        <w:t>službám,</w:t>
      </w:r>
      <w:r>
        <w:t xml:space="preserve"> </w:t>
      </w:r>
      <w:r w:rsidRPr="00D03D7E">
        <w:t>které</w:t>
      </w:r>
      <w:r>
        <w:t xml:space="preserve"> </w:t>
      </w:r>
      <w:r w:rsidRPr="00D03D7E">
        <w:t>jsou</w:t>
      </w:r>
      <w:r>
        <w:t xml:space="preserve"> </w:t>
      </w:r>
      <w:r w:rsidRPr="00D03D7E">
        <w:t>obsaženy</w:t>
      </w:r>
      <w:r>
        <w:t xml:space="preserve"> </w:t>
      </w:r>
      <w:r w:rsidRPr="00D03D7E">
        <w:t>v</w:t>
      </w:r>
      <w:r>
        <w:t xml:space="preserve"> </w:t>
      </w:r>
      <w:r w:rsidRPr="00D03D7E">
        <w:t>jeho</w:t>
      </w:r>
      <w:r>
        <w:t xml:space="preserve"> </w:t>
      </w:r>
      <w:r w:rsidRPr="00D03D7E">
        <w:t>licenci,</w:t>
      </w:r>
      <w:r>
        <w:t xml:space="preserve"> </w:t>
      </w:r>
      <w:r w:rsidRPr="00D03D7E">
        <w:t>mohou</w:t>
      </w:r>
      <w:r>
        <w:t xml:space="preserve"> </w:t>
      </w:r>
      <w:r w:rsidRPr="00D03D7E">
        <w:t>nabýt</w:t>
      </w:r>
      <w:r>
        <w:t xml:space="preserve"> </w:t>
      </w:r>
      <w:r w:rsidRPr="00D03D7E">
        <w:t>platnosti</w:t>
      </w:r>
      <w:r>
        <w:t xml:space="preserve"> </w:t>
      </w:r>
      <w:r w:rsidRPr="00D03D7E">
        <w:t>až</w:t>
      </w:r>
      <w:r>
        <w:t xml:space="preserve"> </w:t>
      </w:r>
      <w:r w:rsidRPr="00D03D7E">
        <w:t>po</w:t>
      </w:r>
      <w:r>
        <w:t xml:space="preserve"> </w:t>
      </w:r>
      <w:r w:rsidRPr="00D03D7E">
        <w:t>jejich</w:t>
      </w:r>
      <w:r>
        <w:t xml:space="preserve"> </w:t>
      </w:r>
      <w:r w:rsidRPr="00D03D7E">
        <w:t>schválení</w:t>
      </w:r>
      <w:r>
        <w:t xml:space="preserve"> </w:t>
      </w:r>
      <w:r w:rsidRPr="00D03D7E">
        <w:t>Úřadem.</w:t>
      </w:r>
      <w:r>
        <w:t xml:space="preserve"> </w:t>
      </w:r>
      <w:r w:rsidRPr="00D03D7E">
        <w:t>Držitel</w:t>
      </w:r>
      <w:r>
        <w:t xml:space="preserve"> </w:t>
      </w:r>
      <w:r w:rsidRPr="00D03D7E">
        <w:t>poštovní</w:t>
      </w:r>
      <w:r>
        <w:t xml:space="preserve"> </w:t>
      </w:r>
      <w:r w:rsidRPr="00D03D7E">
        <w:t>licence</w:t>
      </w:r>
      <w:r>
        <w:t xml:space="preserve"> </w:t>
      </w:r>
      <w:r w:rsidRPr="00D03D7E">
        <w:t>musí</w:t>
      </w:r>
      <w:r>
        <w:t xml:space="preserve"> </w:t>
      </w:r>
      <w:r w:rsidRPr="00D03D7E">
        <w:t>zajistit,</w:t>
      </w:r>
      <w:r>
        <w:t xml:space="preserve"> </w:t>
      </w:r>
      <w:r w:rsidRPr="00D03D7E">
        <w:t>že</w:t>
      </w:r>
      <w:r>
        <w:t xml:space="preserve"> </w:t>
      </w:r>
      <w:r w:rsidRPr="00D03D7E">
        <w:t>dodržování</w:t>
      </w:r>
      <w:r>
        <w:t xml:space="preserve"> </w:t>
      </w:r>
      <w:r w:rsidRPr="00D03D7E">
        <w:t>schválených</w:t>
      </w:r>
      <w:r>
        <w:t xml:space="preserve"> </w:t>
      </w:r>
      <w:r w:rsidRPr="00D03D7E">
        <w:t>pravidel</w:t>
      </w:r>
      <w:r>
        <w:t xml:space="preserve"> </w:t>
      </w:r>
      <w:r w:rsidRPr="00D03D7E">
        <w:t>oddělené</w:t>
      </w:r>
      <w:r>
        <w:t xml:space="preserve"> </w:t>
      </w:r>
      <w:r w:rsidRPr="00D03D7E">
        <w:t>evidence</w:t>
      </w:r>
      <w:r>
        <w:t xml:space="preserve"> </w:t>
      </w:r>
      <w:r w:rsidRPr="00D03D7E">
        <w:t>nákladů</w:t>
      </w:r>
      <w:r>
        <w:t xml:space="preserve"> </w:t>
      </w:r>
      <w:r w:rsidRPr="00D03D7E">
        <w:t>a</w:t>
      </w:r>
      <w:r>
        <w:t xml:space="preserve"> </w:t>
      </w:r>
      <w:r w:rsidRPr="00D03D7E">
        <w:t>výnosů</w:t>
      </w:r>
      <w:r>
        <w:t xml:space="preserve"> </w:t>
      </w:r>
      <w:r w:rsidRPr="00D03D7E">
        <w:t>bude</w:t>
      </w:r>
      <w:r>
        <w:t xml:space="preserve"> </w:t>
      </w:r>
      <w:r w:rsidRPr="00D03D7E">
        <w:t>jednou</w:t>
      </w:r>
      <w:r>
        <w:t xml:space="preserve"> </w:t>
      </w:r>
      <w:r w:rsidRPr="00D03D7E">
        <w:t>ročně</w:t>
      </w:r>
      <w:r>
        <w:t xml:space="preserve"> </w:t>
      </w:r>
      <w:r w:rsidRPr="00D03D7E">
        <w:t>ověřeno</w:t>
      </w:r>
      <w:r>
        <w:t xml:space="preserve"> </w:t>
      </w:r>
      <w:r w:rsidRPr="00D03D7E">
        <w:t>osobou</w:t>
      </w:r>
      <w:r>
        <w:t xml:space="preserve"> </w:t>
      </w:r>
      <w:r w:rsidRPr="00D03D7E">
        <w:t>odborně</w:t>
      </w:r>
      <w:r>
        <w:t xml:space="preserve"> </w:t>
      </w:r>
      <w:r w:rsidRPr="00D03D7E">
        <w:t>způsobilou</w:t>
      </w:r>
      <w:r>
        <w:t xml:space="preserve"> </w:t>
      </w:r>
      <w:r w:rsidRPr="00D03D7E">
        <w:t>a</w:t>
      </w:r>
      <w:r>
        <w:t xml:space="preserve"> </w:t>
      </w:r>
      <w:r w:rsidRPr="00D03D7E">
        <w:t>nezávislou</w:t>
      </w:r>
      <w:r>
        <w:t xml:space="preserve"> </w:t>
      </w:r>
      <w:r w:rsidRPr="00D03D7E">
        <w:t>na</w:t>
      </w:r>
      <w:r>
        <w:t xml:space="preserve"> </w:t>
      </w:r>
      <w:r w:rsidRPr="00D03D7E">
        <w:t>držiteli</w:t>
      </w:r>
      <w:r>
        <w:t xml:space="preserve"> </w:t>
      </w:r>
      <w:r w:rsidRPr="00D03D7E">
        <w:t>poštovní</w:t>
      </w:r>
      <w:r>
        <w:t xml:space="preserve"> </w:t>
      </w:r>
      <w:r w:rsidRPr="00D03D7E">
        <w:t>licence;</w:t>
      </w:r>
      <w:r>
        <w:t xml:space="preserve"> </w:t>
      </w:r>
      <w:r w:rsidRPr="00D03D7E">
        <w:t>tato</w:t>
      </w:r>
      <w:r>
        <w:t xml:space="preserve"> </w:t>
      </w:r>
      <w:r w:rsidRPr="00D03D7E">
        <w:t>osoba</w:t>
      </w:r>
      <w:r>
        <w:t xml:space="preserve"> </w:t>
      </w:r>
      <w:r w:rsidRPr="00D03D7E">
        <w:t>musí</w:t>
      </w:r>
      <w:r>
        <w:t xml:space="preserve"> </w:t>
      </w:r>
      <w:r w:rsidRPr="00D03D7E">
        <w:t>být</w:t>
      </w:r>
      <w:r>
        <w:t xml:space="preserve"> </w:t>
      </w:r>
      <w:r w:rsidRPr="00D03D7E">
        <w:t>schválena</w:t>
      </w:r>
      <w:r>
        <w:t xml:space="preserve"> </w:t>
      </w:r>
      <w:r w:rsidRPr="00D03D7E">
        <w:t>Úřadem.</w:t>
      </w:r>
      <w:r>
        <w:t xml:space="preserve"> </w:t>
      </w:r>
      <w:r w:rsidRPr="00D03D7E">
        <w:t>Výsledky</w:t>
      </w:r>
      <w:r>
        <w:t xml:space="preserve"> </w:t>
      </w:r>
      <w:r w:rsidRPr="00D03D7E">
        <w:t>tohoto</w:t>
      </w:r>
      <w:r>
        <w:t xml:space="preserve"> </w:t>
      </w:r>
      <w:r w:rsidRPr="00D03D7E">
        <w:t>ověření</w:t>
      </w:r>
      <w:r>
        <w:t xml:space="preserve"> </w:t>
      </w:r>
      <w:r w:rsidRPr="00D03D7E">
        <w:t>Úřad</w:t>
      </w:r>
      <w:r>
        <w:t xml:space="preserve"> </w:t>
      </w:r>
      <w:r w:rsidRPr="00D03D7E">
        <w:t>zveřejní</w:t>
      </w:r>
      <w:r>
        <w:t xml:space="preserve"> </w:t>
      </w:r>
      <w:r w:rsidRPr="00D03D7E">
        <w:t>v</w:t>
      </w:r>
      <w:r>
        <w:t xml:space="preserve"> </w:t>
      </w:r>
      <w:r w:rsidRPr="00D03D7E">
        <w:t>Poštovním</w:t>
      </w:r>
      <w:r>
        <w:t xml:space="preserve"> </w:t>
      </w:r>
      <w:r w:rsidRPr="00D03D7E">
        <w:t>věstníku.</w:t>
      </w:r>
    </w:p>
    <w:p w14:paraId="4D95EE0D" w14:textId="77777777" w:rsidR="00820CCC" w:rsidRPr="00D03D7E" w:rsidRDefault="00820CCC" w:rsidP="00D50FFB">
      <w:pPr>
        <w:pStyle w:val="Textparagrafu"/>
        <w:spacing w:before="120" w:after="120"/>
      </w:pPr>
      <w:r w:rsidRPr="00D03D7E">
        <w:t>(5)</w:t>
      </w:r>
      <w:r>
        <w:t xml:space="preserve"> </w:t>
      </w:r>
      <w:r w:rsidRPr="00D03D7E">
        <w:t>Držitel</w:t>
      </w:r>
      <w:r>
        <w:t xml:space="preserve"> </w:t>
      </w:r>
      <w:r w:rsidRPr="00D03D7E">
        <w:t>poštovní</w:t>
      </w:r>
      <w:r>
        <w:t xml:space="preserve"> </w:t>
      </w:r>
      <w:r w:rsidRPr="00D03D7E">
        <w:t>licence</w:t>
      </w:r>
      <w:r>
        <w:t xml:space="preserve"> </w:t>
      </w:r>
      <w:r w:rsidRPr="00D03D7E">
        <w:t>je</w:t>
      </w:r>
      <w:r>
        <w:t xml:space="preserve"> </w:t>
      </w:r>
      <w:r w:rsidRPr="00D03D7E">
        <w:t>povinen</w:t>
      </w:r>
      <w:r>
        <w:t xml:space="preserve"> </w:t>
      </w:r>
      <w:r w:rsidRPr="00D03D7E">
        <w:t>předložit</w:t>
      </w:r>
      <w:r>
        <w:t xml:space="preserve"> </w:t>
      </w:r>
      <w:r w:rsidRPr="00D03D7E">
        <w:t>ověřené</w:t>
      </w:r>
      <w:r>
        <w:t xml:space="preserve"> </w:t>
      </w:r>
      <w:r w:rsidRPr="00D03D7E">
        <w:t>výsledky</w:t>
      </w:r>
      <w:r>
        <w:t xml:space="preserve"> </w:t>
      </w:r>
      <w:r w:rsidRPr="00D03D7E">
        <w:t>oddělené</w:t>
      </w:r>
      <w:r>
        <w:t xml:space="preserve"> </w:t>
      </w:r>
      <w:r w:rsidRPr="00D03D7E">
        <w:t>evidence</w:t>
      </w:r>
      <w:r>
        <w:t xml:space="preserve"> </w:t>
      </w:r>
      <w:r w:rsidRPr="00D03D7E">
        <w:t>nákladů</w:t>
      </w:r>
      <w:r>
        <w:t xml:space="preserve"> </w:t>
      </w:r>
      <w:r w:rsidRPr="00D03D7E">
        <w:t>a</w:t>
      </w:r>
      <w:r>
        <w:t xml:space="preserve"> </w:t>
      </w:r>
      <w:r w:rsidRPr="00D03D7E">
        <w:t>výnosů</w:t>
      </w:r>
      <w:r>
        <w:t xml:space="preserve"> </w:t>
      </w:r>
      <w:r w:rsidRPr="00D03D7E">
        <w:t>Úřadu</w:t>
      </w:r>
      <w:r>
        <w:t xml:space="preserve"> </w:t>
      </w:r>
      <w:r w:rsidRPr="00D03D7E">
        <w:t>nejpozději</w:t>
      </w:r>
      <w:r>
        <w:t xml:space="preserve"> </w:t>
      </w:r>
      <w:r w:rsidRPr="00D03D7E">
        <w:t>do</w:t>
      </w:r>
      <w:r>
        <w:t xml:space="preserve"> </w:t>
      </w:r>
      <w:r w:rsidRPr="00D03D7E">
        <w:t>31.</w:t>
      </w:r>
      <w:r>
        <w:t xml:space="preserve"> </w:t>
      </w:r>
      <w:r w:rsidRPr="00D03D7E">
        <w:t>července</w:t>
      </w:r>
      <w:r>
        <w:t xml:space="preserve"> </w:t>
      </w:r>
      <w:r w:rsidRPr="00D03D7E">
        <w:t>za</w:t>
      </w:r>
      <w:r>
        <w:t xml:space="preserve"> </w:t>
      </w:r>
      <w:r w:rsidRPr="00D03D7E">
        <w:t>předchozí</w:t>
      </w:r>
      <w:r>
        <w:t xml:space="preserve"> </w:t>
      </w:r>
      <w:r w:rsidRPr="00D03D7E">
        <w:t>účetní</w:t>
      </w:r>
      <w:r>
        <w:t xml:space="preserve"> </w:t>
      </w:r>
      <w:r w:rsidRPr="00D03D7E">
        <w:t>období.</w:t>
      </w:r>
    </w:p>
    <w:p w14:paraId="51A5440D" w14:textId="77777777" w:rsidR="00820CCC" w:rsidRDefault="00820CCC" w:rsidP="00CB5381">
      <w:pPr>
        <w:pStyle w:val="Textparagrafu"/>
        <w:tabs>
          <w:tab w:val="left" w:pos="406"/>
          <w:tab w:val="left" w:pos="840"/>
          <w:tab w:val="left" w:pos="868"/>
        </w:tabs>
        <w:spacing w:after="120"/>
        <w:ind w:firstLine="0"/>
        <w:sectPr w:rsidR="00820CCC" w:rsidSect="00554E2B">
          <w:footnotePr>
            <w:numStart w:val="3"/>
          </w:footnotePr>
          <w:endnotePr>
            <w:numFmt w:val="decimal"/>
          </w:endnotePr>
          <w:pgSz w:w="11906" w:h="16838"/>
          <w:pgMar w:top="1418" w:right="1418" w:bottom="1418" w:left="1418" w:header="709" w:footer="709" w:gutter="0"/>
          <w:cols w:space="708"/>
          <w:docGrid w:linePitch="360"/>
        </w:sectPr>
      </w:pPr>
    </w:p>
    <w:p w14:paraId="79A84ECF" w14:textId="1F509742" w:rsidR="00642A7B" w:rsidRPr="00527C79" w:rsidRDefault="00642A7B" w:rsidP="00D50FFB">
      <w:pPr>
        <w:tabs>
          <w:tab w:val="left" w:pos="851"/>
        </w:tabs>
        <w:spacing w:before="120" w:after="120"/>
        <w:ind w:firstLine="0"/>
        <w:jc w:val="center"/>
        <w:outlineLvl w:val="0"/>
        <w:rPr>
          <w:szCs w:val="24"/>
        </w:rPr>
      </w:pPr>
      <w:r w:rsidRPr="00527C79">
        <w:rPr>
          <w:b/>
          <w:szCs w:val="24"/>
        </w:rPr>
        <w:lastRenderedPageBreak/>
        <w:t xml:space="preserve">K části </w:t>
      </w:r>
      <w:r>
        <w:rPr>
          <w:b/>
          <w:szCs w:val="24"/>
        </w:rPr>
        <w:t>čtyřicáté</w:t>
      </w:r>
      <w:r w:rsidRPr="00527C79">
        <w:rPr>
          <w:b/>
          <w:szCs w:val="24"/>
        </w:rPr>
        <w:t xml:space="preserve"> </w:t>
      </w:r>
      <w:r w:rsidR="00562201">
        <w:rPr>
          <w:b/>
          <w:szCs w:val="24"/>
        </w:rPr>
        <w:t>druhé</w:t>
      </w:r>
      <w:r>
        <w:rPr>
          <w:b/>
          <w:szCs w:val="24"/>
        </w:rPr>
        <w:t xml:space="preserve"> </w:t>
      </w:r>
      <w:r w:rsidRPr="00527C79">
        <w:rPr>
          <w:b/>
          <w:szCs w:val="24"/>
        </w:rPr>
        <w:t xml:space="preserve">návrhu zákona – </w:t>
      </w:r>
      <w:r w:rsidRPr="00527C79">
        <w:rPr>
          <w:szCs w:val="24"/>
        </w:rPr>
        <w:t xml:space="preserve">změna zákona </w:t>
      </w:r>
      <w:r w:rsidR="00B74854">
        <w:rPr>
          <w:szCs w:val="24"/>
        </w:rPr>
        <w:t>o investičních pobídkách</w:t>
      </w:r>
    </w:p>
    <w:p w14:paraId="78F2AE6D" w14:textId="3CF1C574" w:rsidR="00642A7B" w:rsidRDefault="00642A7B" w:rsidP="00642A7B">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642A7B">
        <w:rPr>
          <w:b/>
          <w:szCs w:val="24"/>
        </w:rPr>
        <w:t>Platné znění</w:t>
      </w:r>
      <w:r w:rsidRPr="00642A7B">
        <w:rPr>
          <w:szCs w:val="24"/>
        </w:rPr>
        <w:t xml:space="preserve"> zákona </w:t>
      </w:r>
      <w:r w:rsidRPr="00642A7B">
        <w:rPr>
          <w:color w:val="000000"/>
          <w:szCs w:val="24"/>
        </w:rPr>
        <w:t>č.72/</w:t>
      </w:r>
      <w:r w:rsidRPr="00642A7B">
        <w:rPr>
          <w:szCs w:val="24"/>
        </w:rPr>
        <w:t>2000 Sb., o investičních pobídkách a o změně některých zákonů</w:t>
      </w:r>
      <w:r>
        <w:rPr>
          <w:szCs w:val="24"/>
        </w:rPr>
        <w:t xml:space="preserve"> </w:t>
      </w:r>
      <w:r w:rsidRPr="00642A7B">
        <w:rPr>
          <w:szCs w:val="24"/>
        </w:rPr>
        <w:t>(zákon o investičních pobídkách)</w:t>
      </w:r>
    </w:p>
    <w:p w14:paraId="2230C830" w14:textId="205F1DBF" w:rsidR="00642A7B" w:rsidRPr="00642A7B" w:rsidRDefault="00D50FFB" w:rsidP="00642A7B">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AE4818">
        <w:rPr>
          <w:b/>
          <w:szCs w:val="24"/>
          <w:lang w:eastAsia="en-US"/>
        </w:rPr>
        <w:t>s vyznačením navrhovaných změn a doplnění k 1. lednu 2025</w:t>
      </w:r>
    </w:p>
    <w:p w14:paraId="3E75970E" w14:textId="77777777" w:rsidR="00642A7B" w:rsidRDefault="00642A7B" w:rsidP="00642A7B">
      <w:pPr>
        <w:pStyle w:val="Textparagrafu"/>
        <w:tabs>
          <w:tab w:val="left" w:pos="406"/>
          <w:tab w:val="left" w:pos="840"/>
          <w:tab w:val="left" w:pos="868"/>
        </w:tabs>
        <w:spacing w:after="120"/>
        <w:ind w:firstLine="0"/>
        <w:jc w:val="center"/>
      </w:pPr>
      <w:r w:rsidRPr="00527C79">
        <w:t>***</w:t>
      </w:r>
    </w:p>
    <w:p w14:paraId="62232340" w14:textId="77777777" w:rsidR="00FF5E43" w:rsidRDefault="00FF5E43" w:rsidP="00145672">
      <w:pPr>
        <w:pStyle w:val="Textparagrafu"/>
        <w:tabs>
          <w:tab w:val="left" w:pos="392"/>
          <w:tab w:val="left" w:pos="854"/>
        </w:tabs>
        <w:spacing w:after="120"/>
        <w:ind w:firstLine="0"/>
        <w:jc w:val="center"/>
      </w:pPr>
      <w:r w:rsidRPr="00B71E69">
        <w:t>§</w:t>
      </w:r>
      <w:r>
        <w:t xml:space="preserve"> </w:t>
      </w:r>
      <w:r w:rsidRPr="00B71E69">
        <w:t>1a</w:t>
      </w:r>
    </w:p>
    <w:p w14:paraId="790C36C6" w14:textId="77777777" w:rsidR="00FF5E43" w:rsidRPr="00145672" w:rsidRDefault="00FF5E43" w:rsidP="00145672">
      <w:pPr>
        <w:pStyle w:val="Textparagrafu"/>
        <w:tabs>
          <w:tab w:val="left" w:pos="392"/>
          <w:tab w:val="left" w:pos="854"/>
        </w:tabs>
        <w:spacing w:after="120"/>
        <w:ind w:firstLine="0"/>
        <w:jc w:val="center"/>
        <w:rPr>
          <w:b/>
        </w:rPr>
      </w:pPr>
      <w:r w:rsidRPr="00145672">
        <w:rPr>
          <w:b/>
        </w:rPr>
        <w:t>Vymezení základních pojmů</w:t>
      </w:r>
    </w:p>
    <w:p w14:paraId="649E32AD" w14:textId="77777777" w:rsidR="00FF5E43" w:rsidRDefault="00FF5E43" w:rsidP="00D50FFB">
      <w:pPr>
        <w:pStyle w:val="Textparagrafu"/>
        <w:tabs>
          <w:tab w:val="left" w:pos="392"/>
          <w:tab w:val="left" w:pos="854"/>
        </w:tabs>
        <w:spacing w:before="120" w:after="120"/>
      </w:pPr>
      <w:r w:rsidRPr="00B71E69">
        <w:t>(1)</w:t>
      </w:r>
      <w:r>
        <w:t xml:space="preserve"> </w:t>
      </w:r>
      <w:r w:rsidRPr="00B71E69">
        <w:t>Pro</w:t>
      </w:r>
      <w:r>
        <w:t xml:space="preserve"> </w:t>
      </w:r>
      <w:r w:rsidRPr="00B71E69">
        <w:t>účely</w:t>
      </w:r>
      <w:r>
        <w:t xml:space="preserve"> </w:t>
      </w:r>
      <w:r w:rsidRPr="00B71E69">
        <w:t>tohoto</w:t>
      </w:r>
      <w:r>
        <w:t xml:space="preserve"> </w:t>
      </w:r>
      <w:r w:rsidRPr="00B71E69">
        <w:t>zákona</w:t>
      </w:r>
      <w:r>
        <w:t xml:space="preserve"> </w:t>
      </w:r>
      <w:r w:rsidRPr="00B71E69">
        <w:t>se</w:t>
      </w:r>
      <w:r>
        <w:t xml:space="preserve"> </w:t>
      </w:r>
      <w:r w:rsidRPr="00B71E69">
        <w:t>rozumí</w:t>
      </w:r>
    </w:p>
    <w:p w14:paraId="240B14A7" w14:textId="1A96EE55" w:rsidR="00FF5E43" w:rsidRPr="00B71E69" w:rsidRDefault="00FF5E43" w:rsidP="00562201">
      <w:pPr>
        <w:pStyle w:val="Textparagrafu"/>
        <w:tabs>
          <w:tab w:val="left" w:pos="392"/>
          <w:tab w:val="left" w:pos="854"/>
        </w:tabs>
        <w:spacing w:before="0"/>
        <w:ind w:left="426" w:hanging="426"/>
      </w:pPr>
      <w:r w:rsidRPr="00B71E69">
        <w:t>a)</w:t>
      </w:r>
      <w:r w:rsidR="004464E0">
        <w:tab/>
      </w:r>
      <w:r w:rsidRPr="00B71E69">
        <w:t>investiční</w:t>
      </w:r>
      <w:r>
        <w:t xml:space="preserve"> </w:t>
      </w:r>
      <w:r w:rsidRPr="00B71E69">
        <w:t>pobídkou</w:t>
      </w:r>
      <w:r>
        <w:t xml:space="preserve"> </w:t>
      </w:r>
      <w:r w:rsidRPr="00B71E69">
        <w:t>veřejná</w:t>
      </w:r>
      <w:r>
        <w:t xml:space="preserve"> </w:t>
      </w:r>
      <w:r w:rsidRPr="00B71E69">
        <w:t>podpora</w:t>
      </w:r>
      <w:r>
        <w:t xml:space="preserve"> </w:t>
      </w:r>
      <w:r w:rsidRPr="00B71E69">
        <w:t>ve</w:t>
      </w:r>
      <w:r>
        <w:t xml:space="preserve"> </w:t>
      </w:r>
      <w:r w:rsidRPr="00B71E69">
        <w:t>formě</w:t>
      </w:r>
    </w:p>
    <w:p w14:paraId="58242388" w14:textId="140C2D10" w:rsidR="00FF5E43" w:rsidRPr="00B71E69" w:rsidRDefault="00FF5E43" w:rsidP="00D50FFB">
      <w:pPr>
        <w:pStyle w:val="Textparagrafu"/>
        <w:tabs>
          <w:tab w:val="left" w:pos="392"/>
          <w:tab w:val="left" w:pos="854"/>
        </w:tabs>
        <w:spacing w:before="0"/>
        <w:ind w:left="850" w:hanging="425"/>
      </w:pPr>
      <w:r w:rsidRPr="00B71E69">
        <w:t>1.</w:t>
      </w:r>
      <w:r w:rsidR="004464E0">
        <w:tab/>
      </w:r>
      <w:r w:rsidRPr="00B71E69">
        <w:t>slevy</w:t>
      </w:r>
      <w:r>
        <w:t xml:space="preserve"> </w:t>
      </w:r>
      <w:r w:rsidRPr="00B71E69">
        <w:t>na</w:t>
      </w:r>
      <w:r>
        <w:t xml:space="preserve"> </w:t>
      </w:r>
      <w:r w:rsidRPr="00B71E69">
        <w:t>daních</w:t>
      </w:r>
      <w:r>
        <w:t xml:space="preserve"> </w:t>
      </w:r>
      <w:r w:rsidRPr="00B71E69">
        <w:t>z</w:t>
      </w:r>
      <w:r>
        <w:t xml:space="preserve"> </w:t>
      </w:r>
      <w:r w:rsidRPr="00B71E69">
        <w:t>příjmů</w:t>
      </w:r>
      <w:r>
        <w:t xml:space="preserve"> </w:t>
      </w:r>
      <w:r w:rsidRPr="00B71E69">
        <w:t>podle</w:t>
      </w:r>
      <w:r>
        <w:t xml:space="preserve"> </w:t>
      </w:r>
      <w:r w:rsidRPr="00B71E69">
        <w:t>zvláštního</w:t>
      </w:r>
      <w:r>
        <w:t xml:space="preserve"> </w:t>
      </w:r>
      <w:r w:rsidRPr="00B71E69">
        <w:t>právního</w:t>
      </w:r>
      <w:r>
        <w:t xml:space="preserve"> </w:t>
      </w:r>
      <w:r w:rsidR="004464E0">
        <w:t>předpisu</w:t>
      </w:r>
      <w:r w:rsidR="004464E0">
        <w:rPr>
          <w:rStyle w:val="Znakapoznpodarou"/>
        </w:rPr>
        <w:footnoteReference w:customMarkFollows="1" w:id="288"/>
        <w:t>12)</w:t>
      </w:r>
      <w:r w:rsidRPr="00B71E69">
        <w:t>,</w:t>
      </w:r>
    </w:p>
    <w:p w14:paraId="7D740294" w14:textId="428BB072" w:rsidR="00FF5E43" w:rsidRPr="00B71E69" w:rsidRDefault="00FF5E43" w:rsidP="00D50FFB">
      <w:pPr>
        <w:pStyle w:val="Textparagrafu"/>
        <w:tabs>
          <w:tab w:val="left" w:pos="392"/>
          <w:tab w:val="left" w:pos="854"/>
        </w:tabs>
        <w:spacing w:before="0"/>
        <w:ind w:left="850" w:hanging="425"/>
      </w:pPr>
      <w:r w:rsidRPr="00B71E69">
        <w:t>2.</w:t>
      </w:r>
      <w:r w:rsidR="004464E0">
        <w:tab/>
      </w:r>
      <w:r w:rsidRPr="00B71E69">
        <w:t>převodu</w:t>
      </w:r>
      <w:r>
        <w:t xml:space="preserve"> </w:t>
      </w:r>
      <w:r w:rsidRPr="00B71E69">
        <w:t>pozemků</w:t>
      </w:r>
      <w:r>
        <w:t xml:space="preserve"> </w:t>
      </w:r>
      <w:r w:rsidRPr="00B71E69">
        <w:t>včetně</w:t>
      </w:r>
      <w:r>
        <w:t xml:space="preserve"> </w:t>
      </w:r>
      <w:r w:rsidRPr="00B71E69">
        <w:t>související</w:t>
      </w:r>
      <w:r>
        <w:t xml:space="preserve"> </w:t>
      </w:r>
      <w:r w:rsidRPr="00B71E69">
        <w:t>infrastruktury</w:t>
      </w:r>
      <w:r>
        <w:t xml:space="preserve"> </w:t>
      </w:r>
      <w:r w:rsidRPr="00B71E69">
        <w:t>za</w:t>
      </w:r>
      <w:r>
        <w:t xml:space="preserve"> </w:t>
      </w:r>
      <w:r w:rsidRPr="00B71E69">
        <w:t>zvýhodněnou</w:t>
      </w:r>
      <w:r>
        <w:t xml:space="preserve"> </w:t>
      </w:r>
      <w:r w:rsidRPr="00B71E69">
        <w:t>cenu,</w:t>
      </w:r>
    </w:p>
    <w:p w14:paraId="6693D05D" w14:textId="1539075E" w:rsidR="00FF5E43" w:rsidRPr="00B71E69" w:rsidRDefault="00FF5E43" w:rsidP="00D50FFB">
      <w:pPr>
        <w:pStyle w:val="Textparagrafu"/>
        <w:tabs>
          <w:tab w:val="left" w:pos="392"/>
          <w:tab w:val="left" w:pos="854"/>
        </w:tabs>
        <w:spacing w:before="0"/>
        <w:ind w:left="850" w:hanging="425"/>
      </w:pPr>
      <w:r w:rsidRPr="00B71E69">
        <w:t>3.</w:t>
      </w:r>
      <w:r w:rsidR="004464E0">
        <w:tab/>
      </w:r>
      <w:r w:rsidRPr="00B71E69">
        <w:t>hmotné</w:t>
      </w:r>
      <w:r>
        <w:t xml:space="preserve"> </w:t>
      </w:r>
      <w:r w:rsidRPr="00B71E69">
        <w:t>podpory</w:t>
      </w:r>
      <w:r>
        <w:t xml:space="preserve"> </w:t>
      </w:r>
      <w:r w:rsidRPr="00B71E69">
        <w:t>vytváření</w:t>
      </w:r>
      <w:r>
        <w:t xml:space="preserve"> </w:t>
      </w:r>
      <w:r w:rsidRPr="00B71E69">
        <w:t>nových</w:t>
      </w:r>
      <w:r>
        <w:t xml:space="preserve"> </w:t>
      </w:r>
      <w:r w:rsidRPr="00B71E69">
        <w:t>pracovních</w:t>
      </w:r>
      <w:r>
        <w:t xml:space="preserve"> </w:t>
      </w:r>
      <w:r w:rsidRPr="00B71E69">
        <w:t>míst</w:t>
      </w:r>
      <w:r>
        <w:t xml:space="preserve"> </w:t>
      </w:r>
      <w:r w:rsidRPr="00B71E69">
        <w:t>podle</w:t>
      </w:r>
      <w:r>
        <w:t xml:space="preserve"> </w:t>
      </w:r>
      <w:r w:rsidRPr="00B71E69">
        <w:t>zvláštního</w:t>
      </w:r>
      <w:r>
        <w:t xml:space="preserve"> </w:t>
      </w:r>
      <w:r w:rsidRPr="00B71E69">
        <w:t>právního</w:t>
      </w:r>
      <w:r>
        <w:t xml:space="preserve"> </w:t>
      </w:r>
      <w:r w:rsidR="004464E0">
        <w:t>předpisu</w:t>
      </w:r>
      <w:r w:rsidR="004464E0">
        <w:rPr>
          <w:rStyle w:val="Znakapoznpodarou"/>
        </w:rPr>
        <w:footnoteReference w:customMarkFollows="1" w:id="289"/>
        <w:t>13)</w:t>
      </w:r>
      <w:r w:rsidRPr="00B71E69">
        <w:t>,</w:t>
      </w:r>
    </w:p>
    <w:p w14:paraId="4FAD6F81" w14:textId="6D844ED1" w:rsidR="00FF5E43" w:rsidRPr="00B71E69" w:rsidRDefault="00FF5E43" w:rsidP="00D50FFB">
      <w:pPr>
        <w:pStyle w:val="Textparagrafu"/>
        <w:tabs>
          <w:tab w:val="left" w:pos="392"/>
          <w:tab w:val="left" w:pos="854"/>
        </w:tabs>
        <w:spacing w:before="0"/>
        <w:ind w:left="850" w:hanging="425"/>
      </w:pPr>
      <w:r w:rsidRPr="00B71E69">
        <w:t>4.</w:t>
      </w:r>
      <w:r w:rsidR="004464E0">
        <w:tab/>
      </w:r>
      <w:r w:rsidRPr="00B71E69">
        <w:t>hmotné</w:t>
      </w:r>
      <w:r>
        <w:t xml:space="preserve"> </w:t>
      </w:r>
      <w:r w:rsidRPr="00B71E69">
        <w:t>podpory</w:t>
      </w:r>
      <w:r>
        <w:t xml:space="preserve"> </w:t>
      </w:r>
      <w:r w:rsidRPr="00B71E69">
        <w:t>rekvalifikace</w:t>
      </w:r>
      <w:r>
        <w:t xml:space="preserve"> </w:t>
      </w:r>
      <w:r w:rsidRPr="00B71E69">
        <w:t>nebo</w:t>
      </w:r>
      <w:r>
        <w:t xml:space="preserve"> </w:t>
      </w:r>
      <w:r w:rsidRPr="00B71E69">
        <w:t>školení</w:t>
      </w:r>
      <w:r>
        <w:t xml:space="preserve"> </w:t>
      </w:r>
      <w:r w:rsidRPr="00B71E69">
        <w:t>zaměstnanců</w:t>
      </w:r>
      <w:r>
        <w:t xml:space="preserve"> </w:t>
      </w:r>
      <w:r w:rsidRPr="00B71E69">
        <w:t>podle</w:t>
      </w:r>
      <w:r>
        <w:t xml:space="preserve"> </w:t>
      </w:r>
      <w:r w:rsidRPr="00B71E69">
        <w:t>zvláštního</w:t>
      </w:r>
      <w:r>
        <w:t xml:space="preserve"> </w:t>
      </w:r>
      <w:r w:rsidRPr="00B71E69">
        <w:t>právního</w:t>
      </w:r>
      <w:r>
        <w:t xml:space="preserve"> </w:t>
      </w:r>
      <w:r w:rsidRPr="00B71E69">
        <w:t>předpisu</w:t>
      </w:r>
      <w:r w:rsidRPr="004464E0">
        <w:rPr>
          <w:vertAlign w:val="superscript"/>
        </w:rPr>
        <w:t>13)</w:t>
      </w:r>
      <w:r w:rsidRPr="00B71E69">
        <w:t>,</w:t>
      </w:r>
    </w:p>
    <w:p w14:paraId="4B9B7B09" w14:textId="687BC66E" w:rsidR="00FF5E43" w:rsidRPr="00B71E69" w:rsidRDefault="00FF5E43" w:rsidP="00D50FFB">
      <w:pPr>
        <w:pStyle w:val="Textparagrafu"/>
        <w:tabs>
          <w:tab w:val="left" w:pos="392"/>
          <w:tab w:val="left" w:pos="854"/>
        </w:tabs>
        <w:spacing w:before="0"/>
        <w:ind w:left="850" w:hanging="425"/>
      </w:pPr>
      <w:r w:rsidRPr="00B71E69">
        <w:t>5.</w:t>
      </w:r>
      <w:r w:rsidR="004464E0">
        <w:tab/>
      </w:r>
      <w:r w:rsidRPr="00B71E69">
        <w:t>hmotné</w:t>
      </w:r>
      <w:r>
        <w:t xml:space="preserve"> </w:t>
      </w:r>
      <w:r w:rsidRPr="00B71E69">
        <w:t>podpory</w:t>
      </w:r>
      <w:r>
        <w:t xml:space="preserve"> </w:t>
      </w:r>
      <w:r w:rsidRPr="00B71E69">
        <w:t>pořízení</w:t>
      </w:r>
      <w:r>
        <w:t xml:space="preserve"> </w:t>
      </w:r>
      <w:r w:rsidRPr="00567E93">
        <w:rPr>
          <w:strike/>
        </w:rPr>
        <w:t>dlouhodobého hmotného a nehmotného majetku</w:t>
      </w:r>
      <w:r>
        <w:t xml:space="preserve"> </w:t>
      </w:r>
      <w:r w:rsidR="00567E93" w:rsidRPr="002468A8">
        <w:rPr>
          <w:b/>
          <w:bCs/>
        </w:rPr>
        <w:t>stálého hmotného a nehmotného aktiva</w:t>
      </w:r>
      <w:r w:rsidR="00567E93" w:rsidRPr="00B71E69">
        <w:t xml:space="preserve"> </w:t>
      </w:r>
      <w:r w:rsidRPr="00B71E69">
        <w:t>pro</w:t>
      </w:r>
      <w:r>
        <w:t xml:space="preserve"> </w:t>
      </w:r>
      <w:r w:rsidRPr="00B71E69">
        <w:t>strategickou</w:t>
      </w:r>
      <w:r>
        <w:t xml:space="preserve"> </w:t>
      </w:r>
      <w:r w:rsidRPr="00B71E69">
        <w:t>investiční</w:t>
      </w:r>
      <w:r>
        <w:t xml:space="preserve"> </w:t>
      </w:r>
      <w:r w:rsidRPr="00B71E69">
        <w:t>akci,</w:t>
      </w:r>
      <w:r>
        <w:t xml:space="preserve"> </w:t>
      </w:r>
      <w:r w:rsidRPr="00B71E69">
        <w:t>nebo</w:t>
      </w:r>
    </w:p>
    <w:p w14:paraId="26CBD393" w14:textId="75187245" w:rsidR="00FF5E43" w:rsidRDefault="00FF5E43" w:rsidP="00D50FFB">
      <w:pPr>
        <w:pStyle w:val="Textparagrafu"/>
        <w:tabs>
          <w:tab w:val="left" w:pos="392"/>
          <w:tab w:val="left" w:pos="854"/>
        </w:tabs>
        <w:spacing w:before="0"/>
        <w:ind w:left="850" w:hanging="425"/>
      </w:pPr>
      <w:r w:rsidRPr="00B71E69">
        <w:t>6.</w:t>
      </w:r>
      <w:r w:rsidR="004464E0">
        <w:tab/>
      </w:r>
      <w:r w:rsidRPr="00B71E69">
        <w:t>osvobození</w:t>
      </w:r>
      <w:r>
        <w:t xml:space="preserve"> </w:t>
      </w:r>
      <w:r w:rsidRPr="00B71E69">
        <w:t>od</w:t>
      </w:r>
      <w:r>
        <w:t xml:space="preserve"> </w:t>
      </w:r>
      <w:r w:rsidRPr="00B71E69">
        <w:t>daně</w:t>
      </w:r>
      <w:r>
        <w:t xml:space="preserve"> </w:t>
      </w:r>
      <w:r w:rsidRPr="00B71E69">
        <w:t>z</w:t>
      </w:r>
      <w:r>
        <w:t xml:space="preserve"> </w:t>
      </w:r>
      <w:r w:rsidRPr="00B71E69">
        <w:t>nemovitých</w:t>
      </w:r>
      <w:r>
        <w:t xml:space="preserve"> </w:t>
      </w:r>
      <w:r w:rsidRPr="00B71E69">
        <w:t>věcí</w:t>
      </w:r>
      <w:r>
        <w:t xml:space="preserve"> </w:t>
      </w:r>
      <w:r w:rsidRPr="00B71E69">
        <w:t>ve</w:t>
      </w:r>
      <w:r>
        <w:t xml:space="preserve"> </w:t>
      </w:r>
      <w:r w:rsidRPr="00B71E69">
        <w:t>zvýhodněných</w:t>
      </w:r>
      <w:r>
        <w:t xml:space="preserve"> </w:t>
      </w:r>
      <w:r w:rsidRPr="00B71E69">
        <w:t>průmyslových</w:t>
      </w:r>
      <w:r>
        <w:t xml:space="preserve"> </w:t>
      </w:r>
      <w:r w:rsidRPr="00B71E69">
        <w:t>zónách</w:t>
      </w:r>
      <w:r>
        <w:t xml:space="preserve"> </w:t>
      </w:r>
      <w:r w:rsidRPr="00B71E69">
        <w:t>v</w:t>
      </w:r>
      <w:r>
        <w:t xml:space="preserve"> </w:t>
      </w:r>
      <w:r w:rsidRPr="00B71E69">
        <w:t>rozsahu</w:t>
      </w:r>
      <w:r>
        <w:t xml:space="preserve"> </w:t>
      </w:r>
      <w:r w:rsidRPr="00B71E69">
        <w:t>stanoveném</w:t>
      </w:r>
      <w:r>
        <w:t xml:space="preserve"> </w:t>
      </w:r>
      <w:r w:rsidRPr="00B71E69">
        <w:t>zvláštním</w:t>
      </w:r>
      <w:r>
        <w:t xml:space="preserve"> </w:t>
      </w:r>
      <w:r w:rsidRPr="00B71E69">
        <w:t>právním</w:t>
      </w:r>
      <w:r>
        <w:t xml:space="preserve"> </w:t>
      </w:r>
      <w:r w:rsidRPr="00B71E69">
        <w:t>předpisem</w:t>
      </w:r>
      <w:r w:rsidR="00415981">
        <w:rPr>
          <w:rStyle w:val="Znakapoznpodarou"/>
        </w:rPr>
        <w:footnoteReference w:customMarkFollows="1" w:id="290"/>
        <w:t>23)</w:t>
      </w:r>
      <w:r w:rsidRPr="00B71E69">
        <w:t>,</w:t>
      </w:r>
    </w:p>
    <w:p w14:paraId="748076EE" w14:textId="1521378F" w:rsidR="00FF5E43" w:rsidRDefault="00FF5E43" w:rsidP="00562201">
      <w:pPr>
        <w:pStyle w:val="Textparagrafu"/>
        <w:tabs>
          <w:tab w:val="left" w:pos="392"/>
          <w:tab w:val="left" w:pos="854"/>
        </w:tabs>
        <w:spacing w:before="0"/>
        <w:ind w:left="426" w:hanging="426"/>
      </w:pPr>
      <w:r w:rsidRPr="00B71E69">
        <w:t>b)</w:t>
      </w:r>
      <w:r w:rsidR="004464E0">
        <w:tab/>
      </w:r>
      <w:r w:rsidRPr="00B71E69">
        <w:t>investiční</w:t>
      </w:r>
      <w:r>
        <w:t xml:space="preserve"> </w:t>
      </w:r>
      <w:r w:rsidRPr="00B71E69">
        <w:t>akcí</w:t>
      </w:r>
      <w:r>
        <w:t xml:space="preserve"> </w:t>
      </w:r>
      <w:r w:rsidRPr="00B71E69">
        <w:t>investice</w:t>
      </w:r>
      <w:r>
        <w:t xml:space="preserve"> </w:t>
      </w:r>
      <w:r w:rsidRPr="00B71E69">
        <w:t>do</w:t>
      </w:r>
      <w:r>
        <w:t xml:space="preserve"> </w:t>
      </w:r>
      <w:r w:rsidRPr="00567E93">
        <w:rPr>
          <w:strike/>
        </w:rPr>
        <w:t>dlouhodobého hmotného a nehmotného majetku</w:t>
      </w:r>
      <w:r>
        <w:t xml:space="preserve"> </w:t>
      </w:r>
      <w:bookmarkStart w:id="28" w:name="_Hlk160011303"/>
      <w:r w:rsidR="00567E93" w:rsidRPr="002468A8">
        <w:rPr>
          <w:b/>
        </w:rPr>
        <w:t>stálého hmotného a nehmotného aktiva</w:t>
      </w:r>
      <w:bookmarkEnd w:id="28"/>
      <w:r w:rsidR="00567E93" w:rsidRPr="00B71E69">
        <w:t xml:space="preserve"> </w:t>
      </w:r>
      <w:r w:rsidRPr="00B71E69">
        <w:t>uskutečněná</w:t>
      </w:r>
      <w:r>
        <w:t xml:space="preserve"> </w:t>
      </w:r>
      <w:r w:rsidRPr="00B71E69">
        <w:t>na</w:t>
      </w:r>
      <w:r>
        <w:t xml:space="preserve"> </w:t>
      </w:r>
      <w:r w:rsidRPr="00B71E69">
        <w:t>území</w:t>
      </w:r>
      <w:r>
        <w:t xml:space="preserve"> </w:t>
      </w:r>
      <w:r w:rsidRPr="00B71E69">
        <w:t>České</w:t>
      </w:r>
      <w:r>
        <w:t xml:space="preserve"> </w:t>
      </w:r>
      <w:r w:rsidRPr="00B71E69">
        <w:t>republiky</w:t>
      </w:r>
      <w:r>
        <w:t xml:space="preserve"> </w:t>
      </w:r>
      <w:r w:rsidRPr="00B71E69">
        <w:t>v</w:t>
      </w:r>
      <w:r>
        <w:t xml:space="preserve"> </w:t>
      </w:r>
      <w:r w:rsidRPr="00B71E69">
        <w:t>rámci</w:t>
      </w:r>
      <w:r>
        <w:t xml:space="preserve"> </w:t>
      </w:r>
      <w:r w:rsidRPr="00B71E69">
        <w:t>podnikání</w:t>
      </w:r>
      <w:r>
        <w:t xml:space="preserve"> </w:t>
      </w:r>
      <w:r w:rsidRPr="00B71E69">
        <w:t>příjemce</w:t>
      </w:r>
      <w:r>
        <w:t xml:space="preserve"> </w:t>
      </w:r>
      <w:r w:rsidRPr="00B71E69">
        <w:t>investiční</w:t>
      </w:r>
      <w:r>
        <w:t xml:space="preserve"> </w:t>
      </w:r>
      <w:r w:rsidRPr="00B71E69">
        <w:t>pobídky,</w:t>
      </w:r>
    </w:p>
    <w:p w14:paraId="7F5F8211" w14:textId="05751386" w:rsidR="00FF5E43" w:rsidRPr="00B71E69" w:rsidRDefault="00FF5E43" w:rsidP="00562201">
      <w:pPr>
        <w:pStyle w:val="Textparagrafu"/>
        <w:tabs>
          <w:tab w:val="left" w:pos="392"/>
          <w:tab w:val="left" w:pos="854"/>
        </w:tabs>
        <w:spacing w:before="0"/>
        <w:ind w:left="426" w:hanging="426"/>
      </w:pPr>
      <w:r w:rsidRPr="00B71E69">
        <w:t>c)</w:t>
      </w:r>
      <w:r w:rsidR="004464E0">
        <w:tab/>
      </w:r>
      <w:r w:rsidRPr="00B71E69">
        <w:t>zahájením</w:t>
      </w:r>
      <w:r>
        <w:t xml:space="preserve"> </w:t>
      </w:r>
      <w:r w:rsidRPr="00B71E69">
        <w:t>prací</w:t>
      </w:r>
      <w:r>
        <w:t xml:space="preserve"> </w:t>
      </w:r>
      <w:r w:rsidRPr="00B71E69">
        <w:t>souvisejících</w:t>
      </w:r>
      <w:r>
        <w:t xml:space="preserve"> </w:t>
      </w:r>
      <w:r w:rsidRPr="00B71E69">
        <w:t>s</w:t>
      </w:r>
      <w:r>
        <w:t xml:space="preserve"> </w:t>
      </w:r>
      <w:r w:rsidRPr="00B71E69">
        <w:t>realizací</w:t>
      </w:r>
      <w:r>
        <w:t xml:space="preserve"> </w:t>
      </w:r>
      <w:r w:rsidRPr="00B71E69">
        <w:t>investiční</w:t>
      </w:r>
      <w:r>
        <w:t xml:space="preserve"> </w:t>
      </w:r>
      <w:r w:rsidRPr="00B71E69">
        <w:t>akce</w:t>
      </w:r>
    </w:p>
    <w:p w14:paraId="0E0DBEE3" w14:textId="0A5B286B" w:rsidR="00FF5E43" w:rsidRPr="00B71E69" w:rsidRDefault="00FF5E43" w:rsidP="00D50FFB">
      <w:pPr>
        <w:pStyle w:val="Textparagrafu"/>
        <w:tabs>
          <w:tab w:val="left" w:pos="392"/>
          <w:tab w:val="left" w:pos="854"/>
        </w:tabs>
        <w:spacing w:before="0"/>
        <w:ind w:left="850" w:hanging="425"/>
      </w:pPr>
      <w:r w:rsidRPr="00B71E69">
        <w:t>1.</w:t>
      </w:r>
      <w:r w:rsidR="00415981">
        <w:tab/>
      </w:r>
      <w:r w:rsidRPr="00B71E69">
        <w:t>zahájení</w:t>
      </w:r>
      <w:r>
        <w:t xml:space="preserve"> </w:t>
      </w:r>
      <w:r w:rsidRPr="00B71E69">
        <w:t>stavebních</w:t>
      </w:r>
      <w:r>
        <w:t xml:space="preserve"> </w:t>
      </w:r>
      <w:r w:rsidRPr="00B71E69">
        <w:t>prací,</w:t>
      </w:r>
    </w:p>
    <w:p w14:paraId="4060D5EB" w14:textId="01727AA4" w:rsidR="00FF5E43" w:rsidRPr="00B71E69" w:rsidRDefault="00FF5E43" w:rsidP="00D50FFB">
      <w:pPr>
        <w:pStyle w:val="Textparagrafu"/>
        <w:tabs>
          <w:tab w:val="left" w:pos="392"/>
          <w:tab w:val="left" w:pos="854"/>
        </w:tabs>
        <w:spacing w:before="0"/>
        <w:ind w:left="850" w:hanging="425"/>
      </w:pPr>
      <w:r w:rsidRPr="00B71E69">
        <w:t>2.</w:t>
      </w:r>
      <w:r w:rsidR="00415981">
        <w:tab/>
      </w:r>
      <w:r w:rsidRPr="00B71E69">
        <w:t>zahájení</w:t>
      </w:r>
      <w:r>
        <w:t xml:space="preserve"> </w:t>
      </w:r>
      <w:r w:rsidRPr="00B71E69">
        <w:t>pořizování</w:t>
      </w:r>
      <w:r>
        <w:t xml:space="preserve"> </w:t>
      </w:r>
      <w:r w:rsidRPr="00567E93">
        <w:rPr>
          <w:strike/>
        </w:rPr>
        <w:t>dlouhodobého hmotného a nehmotného majetku</w:t>
      </w:r>
      <w:r w:rsidR="00567E93" w:rsidRPr="00567E93">
        <w:rPr>
          <w:b/>
        </w:rPr>
        <w:t xml:space="preserve"> </w:t>
      </w:r>
      <w:r w:rsidR="00567E93" w:rsidRPr="002468A8">
        <w:rPr>
          <w:b/>
        </w:rPr>
        <w:t>stálého hmotného a nehmotného aktiva</w:t>
      </w:r>
      <w:r w:rsidRPr="00B71E69">
        <w:t>,</w:t>
      </w:r>
      <w:r>
        <w:t xml:space="preserve"> </w:t>
      </w:r>
      <w:r w:rsidRPr="00B71E69">
        <w:t>s</w:t>
      </w:r>
      <w:r>
        <w:t xml:space="preserve"> </w:t>
      </w:r>
      <w:r w:rsidRPr="00B71E69">
        <w:t>výjimkou</w:t>
      </w:r>
      <w:r>
        <w:t xml:space="preserve"> </w:t>
      </w:r>
      <w:r w:rsidRPr="00B71E69">
        <w:t>pořizování</w:t>
      </w:r>
      <w:r>
        <w:t xml:space="preserve"> </w:t>
      </w:r>
      <w:r w:rsidRPr="00B71E69">
        <w:t>pozemků</w:t>
      </w:r>
      <w:r>
        <w:t xml:space="preserve"> </w:t>
      </w:r>
      <w:r w:rsidRPr="00B71E69">
        <w:t>a</w:t>
      </w:r>
      <w:r>
        <w:t xml:space="preserve"> </w:t>
      </w:r>
      <w:r w:rsidRPr="00B71E69">
        <w:t>s</w:t>
      </w:r>
      <w:r>
        <w:t xml:space="preserve"> </w:t>
      </w:r>
      <w:r w:rsidRPr="00B71E69">
        <w:t>výjimkou</w:t>
      </w:r>
      <w:r>
        <w:t xml:space="preserve"> </w:t>
      </w:r>
      <w:r w:rsidRPr="00B71E69">
        <w:t>pořizování</w:t>
      </w:r>
      <w:r>
        <w:t xml:space="preserve"> </w:t>
      </w:r>
      <w:r w:rsidRPr="00B71E69">
        <w:t>dokumentace</w:t>
      </w:r>
      <w:r>
        <w:t xml:space="preserve"> </w:t>
      </w:r>
      <w:r w:rsidRPr="00B71E69">
        <w:t>potřebné</w:t>
      </w:r>
      <w:r>
        <w:t xml:space="preserve"> </w:t>
      </w:r>
      <w:r w:rsidRPr="00B71E69">
        <w:t>pro</w:t>
      </w:r>
      <w:r>
        <w:t xml:space="preserve"> </w:t>
      </w:r>
      <w:r w:rsidRPr="00B71E69">
        <w:t>realizaci</w:t>
      </w:r>
      <w:r>
        <w:t xml:space="preserve"> </w:t>
      </w:r>
      <w:r w:rsidRPr="00B71E69">
        <w:t>investiční</w:t>
      </w:r>
      <w:r>
        <w:t xml:space="preserve"> </w:t>
      </w:r>
      <w:r w:rsidRPr="00B71E69">
        <w:t>akce,</w:t>
      </w:r>
      <w:r>
        <w:t xml:space="preserve"> </w:t>
      </w:r>
      <w:r w:rsidRPr="00B71E69">
        <w:t>nebo</w:t>
      </w:r>
    </w:p>
    <w:p w14:paraId="5DFB6ED6" w14:textId="2EA9EDA8" w:rsidR="00FF5E43" w:rsidRDefault="00FF5E43" w:rsidP="00D50FFB">
      <w:pPr>
        <w:pStyle w:val="Textparagrafu"/>
        <w:tabs>
          <w:tab w:val="left" w:pos="392"/>
          <w:tab w:val="left" w:pos="854"/>
        </w:tabs>
        <w:spacing w:before="0"/>
        <w:ind w:left="850" w:hanging="425"/>
      </w:pPr>
      <w:r w:rsidRPr="00B71E69">
        <w:t>3.</w:t>
      </w:r>
      <w:r w:rsidR="00415981">
        <w:tab/>
      </w:r>
      <w:r w:rsidRPr="00B71E69">
        <w:t>právní</w:t>
      </w:r>
      <w:r>
        <w:t xml:space="preserve"> </w:t>
      </w:r>
      <w:r w:rsidRPr="00B71E69">
        <w:t>jednání</w:t>
      </w:r>
      <w:r>
        <w:t xml:space="preserve"> </w:t>
      </w:r>
      <w:r w:rsidRPr="00B71E69">
        <w:t>zavazující</w:t>
      </w:r>
      <w:r>
        <w:t xml:space="preserve"> </w:t>
      </w:r>
      <w:r w:rsidRPr="00B71E69">
        <w:t>k</w:t>
      </w:r>
      <w:r>
        <w:t xml:space="preserve"> </w:t>
      </w:r>
      <w:r w:rsidRPr="00B71E69">
        <w:t>pořízení</w:t>
      </w:r>
      <w:r>
        <w:t xml:space="preserve"> </w:t>
      </w:r>
      <w:r w:rsidRPr="00B71E69">
        <w:t>strojního</w:t>
      </w:r>
      <w:r>
        <w:t xml:space="preserve"> </w:t>
      </w:r>
      <w:r w:rsidRPr="00B71E69">
        <w:t>zařízení,</w:t>
      </w:r>
    </w:p>
    <w:p w14:paraId="11D7F91D" w14:textId="03CAB0A7" w:rsidR="00FF5E43" w:rsidRDefault="00FF5E43" w:rsidP="00562201">
      <w:pPr>
        <w:pStyle w:val="Textparagrafu"/>
        <w:tabs>
          <w:tab w:val="left" w:pos="392"/>
          <w:tab w:val="left" w:pos="854"/>
        </w:tabs>
        <w:spacing w:before="0"/>
        <w:ind w:left="426" w:hanging="426"/>
      </w:pPr>
      <w:r w:rsidRPr="00B71E69">
        <w:t>d)</w:t>
      </w:r>
      <w:r w:rsidR="00415981">
        <w:tab/>
      </w:r>
      <w:r w:rsidRPr="00B71E69">
        <w:t>příjemcem</w:t>
      </w:r>
      <w:r>
        <w:t xml:space="preserve"> </w:t>
      </w:r>
      <w:r w:rsidRPr="00B71E69">
        <w:t>investiční</w:t>
      </w:r>
      <w:r>
        <w:t xml:space="preserve"> </w:t>
      </w:r>
      <w:r w:rsidRPr="00B71E69">
        <w:t>pobídky</w:t>
      </w:r>
      <w:r>
        <w:t xml:space="preserve"> </w:t>
      </w:r>
      <w:r w:rsidRPr="00B71E69">
        <w:t>podnikající</w:t>
      </w:r>
      <w:r>
        <w:t xml:space="preserve"> </w:t>
      </w:r>
      <w:r w:rsidRPr="00B71E69">
        <w:t>právnická</w:t>
      </w:r>
      <w:r>
        <w:t xml:space="preserve"> </w:t>
      </w:r>
      <w:r w:rsidRPr="00B71E69">
        <w:t>nebo</w:t>
      </w:r>
      <w:r>
        <w:t xml:space="preserve"> </w:t>
      </w:r>
      <w:r w:rsidRPr="00B71E69">
        <w:t>fyzická</w:t>
      </w:r>
      <w:r>
        <w:t xml:space="preserve"> </w:t>
      </w:r>
      <w:r w:rsidRPr="00B71E69">
        <w:t>osoba,</w:t>
      </w:r>
      <w:r>
        <w:t xml:space="preserve"> </w:t>
      </w:r>
      <w:r w:rsidRPr="00B71E69">
        <w:t>které</w:t>
      </w:r>
      <w:r>
        <w:t xml:space="preserve"> </w:t>
      </w:r>
      <w:r w:rsidRPr="00B71E69">
        <w:t>bylo</w:t>
      </w:r>
      <w:r>
        <w:t xml:space="preserve"> </w:t>
      </w:r>
      <w:r w:rsidRPr="00B71E69">
        <w:t>vydáno</w:t>
      </w:r>
      <w:r>
        <w:t xml:space="preserve"> </w:t>
      </w:r>
      <w:r w:rsidRPr="00B71E69">
        <w:t>rozhodnutí</w:t>
      </w:r>
      <w:r>
        <w:t xml:space="preserve"> </w:t>
      </w:r>
      <w:r w:rsidRPr="00B71E69">
        <w:t>o</w:t>
      </w:r>
      <w:r>
        <w:t xml:space="preserve"> </w:t>
      </w:r>
      <w:r w:rsidRPr="00B71E69">
        <w:t>příslibu</w:t>
      </w:r>
      <w:r>
        <w:t xml:space="preserve"> </w:t>
      </w:r>
      <w:r w:rsidRPr="00B71E69">
        <w:t>investiční</w:t>
      </w:r>
      <w:r>
        <w:t xml:space="preserve"> </w:t>
      </w:r>
      <w:r w:rsidRPr="00B71E69">
        <w:t>pobídky</w:t>
      </w:r>
      <w:r>
        <w:t xml:space="preserve"> </w:t>
      </w:r>
      <w:r w:rsidRPr="00B71E69">
        <w:t>(dále</w:t>
      </w:r>
      <w:r>
        <w:t xml:space="preserve"> </w:t>
      </w:r>
      <w:r w:rsidRPr="00B71E69">
        <w:t>jen</w:t>
      </w:r>
      <w:r>
        <w:t xml:space="preserve"> </w:t>
      </w:r>
      <w:r w:rsidRPr="00B71E69">
        <w:t>"rozhodnutí</w:t>
      </w:r>
      <w:r>
        <w:t xml:space="preserve"> </w:t>
      </w:r>
      <w:r w:rsidRPr="00B71E69">
        <w:t>o</w:t>
      </w:r>
      <w:r>
        <w:t xml:space="preserve"> </w:t>
      </w:r>
      <w:r w:rsidRPr="00B71E69">
        <w:t>příslibu"),</w:t>
      </w:r>
    </w:p>
    <w:p w14:paraId="257C7A32" w14:textId="0A0F1DBA" w:rsidR="00FF5E43" w:rsidRDefault="00FF5E43" w:rsidP="00562201">
      <w:pPr>
        <w:pStyle w:val="Textparagrafu"/>
        <w:tabs>
          <w:tab w:val="left" w:pos="392"/>
          <w:tab w:val="left" w:pos="854"/>
        </w:tabs>
        <w:spacing w:before="0"/>
        <w:ind w:left="426" w:hanging="426"/>
      </w:pPr>
      <w:r w:rsidRPr="00B71E69">
        <w:t>e)</w:t>
      </w:r>
      <w:r w:rsidR="00415981">
        <w:tab/>
      </w:r>
      <w:r w:rsidRPr="00B71E69">
        <w:t>strojním</w:t>
      </w:r>
      <w:r>
        <w:t xml:space="preserve"> </w:t>
      </w:r>
      <w:r w:rsidRPr="00B71E69">
        <w:t>zařízením</w:t>
      </w:r>
      <w:r>
        <w:t xml:space="preserve"> </w:t>
      </w:r>
      <w:r w:rsidRPr="00567E93">
        <w:rPr>
          <w:strike/>
        </w:rPr>
        <w:t>dlouhodobý hmotný majetek, který</w:t>
      </w:r>
      <w:r>
        <w:t xml:space="preserve"> </w:t>
      </w:r>
      <w:r w:rsidR="00567E93" w:rsidRPr="002468A8">
        <w:rPr>
          <w:b/>
        </w:rPr>
        <w:t xml:space="preserve">stálé hmotné aktivum, které </w:t>
      </w:r>
      <w:r w:rsidRPr="00B71E69">
        <w:t>spadá</w:t>
      </w:r>
      <w:r>
        <w:t xml:space="preserve"> </w:t>
      </w:r>
      <w:r w:rsidRPr="00B71E69">
        <w:t>do</w:t>
      </w:r>
      <w:r>
        <w:t xml:space="preserve"> </w:t>
      </w:r>
      <w:r w:rsidRPr="00B71E69">
        <w:t>kapitol</w:t>
      </w:r>
      <w:r>
        <w:t xml:space="preserve"> </w:t>
      </w:r>
      <w:r w:rsidRPr="00B71E69">
        <w:t>84,</w:t>
      </w:r>
      <w:r>
        <w:t xml:space="preserve"> </w:t>
      </w:r>
      <w:r w:rsidRPr="00B71E69">
        <w:t>85</w:t>
      </w:r>
      <w:r>
        <w:t xml:space="preserve"> </w:t>
      </w:r>
      <w:r w:rsidRPr="00B71E69">
        <w:t>nebo</w:t>
      </w:r>
      <w:r>
        <w:t xml:space="preserve"> </w:t>
      </w:r>
      <w:r w:rsidRPr="00B71E69">
        <w:t>90</w:t>
      </w:r>
      <w:r>
        <w:t xml:space="preserve"> </w:t>
      </w:r>
      <w:r w:rsidRPr="00B71E69">
        <w:t>celního</w:t>
      </w:r>
      <w:r>
        <w:t xml:space="preserve"> </w:t>
      </w:r>
      <w:r w:rsidR="00415981">
        <w:t>sazebníku</w:t>
      </w:r>
      <w:r w:rsidR="00415981">
        <w:rPr>
          <w:rStyle w:val="Znakapoznpodarou"/>
        </w:rPr>
        <w:footnoteReference w:customMarkFollows="1" w:id="291"/>
        <w:t>26)</w:t>
      </w:r>
      <w:r w:rsidRPr="00B71E69">
        <w:t>,</w:t>
      </w:r>
      <w:r>
        <w:t xml:space="preserve"> </w:t>
      </w:r>
      <w:r w:rsidRPr="00B71E69">
        <w:t>nebo</w:t>
      </w:r>
      <w:r>
        <w:t xml:space="preserve"> </w:t>
      </w:r>
      <w:r w:rsidRPr="00567E93">
        <w:rPr>
          <w:strike/>
        </w:rPr>
        <w:t>technické zhodnocení dlouhodobého hmotného majetku, který</w:t>
      </w:r>
      <w:r>
        <w:t xml:space="preserve"> </w:t>
      </w:r>
      <w:r w:rsidR="00567E93" w:rsidRPr="002468A8">
        <w:rPr>
          <w:b/>
        </w:rPr>
        <w:t>následný po</w:t>
      </w:r>
      <w:r w:rsidR="00567E93" w:rsidRPr="00092E39">
        <w:rPr>
          <w:b/>
        </w:rPr>
        <w:t>řizovací výdaj stálého</w:t>
      </w:r>
      <w:r w:rsidR="00567E93" w:rsidRPr="002468A8">
        <w:rPr>
          <w:b/>
        </w:rPr>
        <w:t xml:space="preserve"> hmotného aktiva, které</w:t>
      </w:r>
      <w:r w:rsidR="00567E93" w:rsidRPr="00B71E69">
        <w:t xml:space="preserve"> </w:t>
      </w:r>
      <w:r w:rsidRPr="00B71E69">
        <w:t>spadá</w:t>
      </w:r>
      <w:r>
        <w:t xml:space="preserve"> </w:t>
      </w:r>
      <w:r w:rsidRPr="00B71E69">
        <w:t>do</w:t>
      </w:r>
      <w:r>
        <w:t xml:space="preserve"> </w:t>
      </w:r>
      <w:r w:rsidRPr="00B71E69">
        <w:t>kapitol</w:t>
      </w:r>
      <w:r>
        <w:t xml:space="preserve"> </w:t>
      </w:r>
      <w:r w:rsidRPr="00B71E69">
        <w:t>84,</w:t>
      </w:r>
      <w:r>
        <w:t xml:space="preserve"> </w:t>
      </w:r>
      <w:r w:rsidRPr="00B71E69">
        <w:t>85</w:t>
      </w:r>
      <w:r>
        <w:t xml:space="preserve"> </w:t>
      </w:r>
      <w:r w:rsidRPr="00B71E69">
        <w:t>nebo</w:t>
      </w:r>
      <w:r>
        <w:t xml:space="preserve"> </w:t>
      </w:r>
      <w:r w:rsidRPr="00B71E69">
        <w:t>90</w:t>
      </w:r>
      <w:r>
        <w:t xml:space="preserve"> </w:t>
      </w:r>
      <w:r w:rsidRPr="00B71E69">
        <w:t>celního</w:t>
      </w:r>
      <w:r>
        <w:t xml:space="preserve"> </w:t>
      </w:r>
      <w:r w:rsidRPr="00B71E69">
        <w:t>sazebníku</w:t>
      </w:r>
      <w:r w:rsidRPr="00415981">
        <w:rPr>
          <w:vertAlign w:val="superscript"/>
        </w:rPr>
        <w:t>26)</w:t>
      </w:r>
      <w:r w:rsidRPr="00B71E69">
        <w:t>,</w:t>
      </w:r>
    </w:p>
    <w:p w14:paraId="33688D88" w14:textId="5FC76B6C" w:rsidR="00FF5E43" w:rsidRDefault="00FF5E43" w:rsidP="00562201">
      <w:pPr>
        <w:pStyle w:val="Textparagrafu"/>
        <w:tabs>
          <w:tab w:val="left" w:pos="392"/>
          <w:tab w:val="left" w:pos="854"/>
        </w:tabs>
        <w:spacing w:before="0"/>
        <w:ind w:left="426" w:hanging="426"/>
      </w:pPr>
      <w:r w:rsidRPr="00B71E69">
        <w:t>f)</w:t>
      </w:r>
      <w:r w:rsidR="00415981">
        <w:tab/>
      </w:r>
      <w:r w:rsidRPr="00FC59D7">
        <w:rPr>
          <w:strike/>
        </w:rPr>
        <w:t>dlouhodobým hmotným a nehmotným majetkem dlouhodobý hmotný a nehmotný majetek</w:t>
      </w:r>
      <w:r w:rsidR="00FC59D7" w:rsidRPr="00FC59D7">
        <w:rPr>
          <w:b/>
          <w:bCs/>
        </w:rPr>
        <w:t xml:space="preserve"> </w:t>
      </w:r>
      <w:r w:rsidR="00FC59D7" w:rsidRPr="002468A8">
        <w:rPr>
          <w:b/>
          <w:bCs/>
        </w:rPr>
        <w:t>stálým hmotným a nehmotným aktivem stálé hmotné a nehmotné aktivum</w:t>
      </w:r>
      <w:r>
        <w:t xml:space="preserve"> </w:t>
      </w:r>
      <w:r w:rsidRPr="00B71E69">
        <w:t>podle</w:t>
      </w:r>
      <w:r>
        <w:t xml:space="preserve"> </w:t>
      </w:r>
      <w:r w:rsidRPr="00B71E69">
        <w:t>právních</w:t>
      </w:r>
      <w:r>
        <w:t xml:space="preserve"> </w:t>
      </w:r>
      <w:r w:rsidRPr="00B71E69">
        <w:t>předpisů</w:t>
      </w:r>
      <w:r>
        <w:t xml:space="preserve"> </w:t>
      </w:r>
      <w:r w:rsidRPr="00B71E69">
        <w:t>upravujících</w:t>
      </w:r>
      <w:r>
        <w:t xml:space="preserve"> </w:t>
      </w:r>
      <w:r w:rsidRPr="00B71E69">
        <w:t>účetnictví,</w:t>
      </w:r>
    </w:p>
    <w:p w14:paraId="4D0A6B2E" w14:textId="236A3391" w:rsidR="00FF5E43" w:rsidRDefault="00FF5E43" w:rsidP="00562201">
      <w:pPr>
        <w:pStyle w:val="Textparagrafu"/>
        <w:tabs>
          <w:tab w:val="left" w:pos="392"/>
          <w:tab w:val="left" w:pos="854"/>
        </w:tabs>
        <w:spacing w:before="0"/>
        <w:ind w:left="426" w:hanging="426"/>
      </w:pPr>
      <w:r w:rsidRPr="00B71E69">
        <w:lastRenderedPageBreak/>
        <w:t>g)</w:t>
      </w:r>
      <w:r w:rsidR="00415981">
        <w:tab/>
      </w:r>
      <w:r w:rsidRPr="00B71E69">
        <w:t>novým</w:t>
      </w:r>
      <w:r>
        <w:t xml:space="preserve"> </w:t>
      </w:r>
      <w:r w:rsidRPr="00B71E69">
        <w:t>pracovním</w:t>
      </w:r>
      <w:r>
        <w:t xml:space="preserve"> </w:t>
      </w:r>
      <w:r w:rsidRPr="00B71E69">
        <w:t>místem</w:t>
      </w:r>
      <w:r>
        <w:t xml:space="preserve"> </w:t>
      </w:r>
      <w:r w:rsidRPr="00B71E69">
        <w:t>pracovní</w:t>
      </w:r>
      <w:r>
        <w:t xml:space="preserve"> </w:t>
      </w:r>
      <w:r w:rsidRPr="00B71E69">
        <w:t>místo,</w:t>
      </w:r>
      <w:r>
        <w:t xml:space="preserve"> </w:t>
      </w:r>
      <w:r w:rsidRPr="00B71E69">
        <w:t>které</w:t>
      </w:r>
      <w:r>
        <w:t xml:space="preserve"> </w:t>
      </w:r>
      <w:r w:rsidRPr="00B71E69">
        <w:t>je</w:t>
      </w:r>
      <w:r>
        <w:t xml:space="preserve"> </w:t>
      </w:r>
      <w:r w:rsidRPr="00B71E69">
        <w:t>vytvořené</w:t>
      </w:r>
      <w:r>
        <w:t xml:space="preserve"> </w:t>
      </w:r>
      <w:r w:rsidRPr="00B71E69">
        <w:t>v</w:t>
      </w:r>
      <w:r>
        <w:t xml:space="preserve"> </w:t>
      </w:r>
      <w:r w:rsidRPr="00B71E69">
        <w:t>přímé</w:t>
      </w:r>
      <w:r>
        <w:t xml:space="preserve"> </w:t>
      </w:r>
      <w:r w:rsidRPr="00B71E69">
        <w:t>souvislosti</w:t>
      </w:r>
      <w:r>
        <w:t xml:space="preserve"> </w:t>
      </w:r>
      <w:r w:rsidRPr="00B71E69">
        <w:t>s</w:t>
      </w:r>
      <w:r>
        <w:t xml:space="preserve"> </w:t>
      </w:r>
      <w:r w:rsidRPr="00B71E69">
        <w:t>investiční</w:t>
      </w:r>
      <w:r>
        <w:t xml:space="preserve"> </w:t>
      </w:r>
      <w:r w:rsidRPr="00B71E69">
        <w:t>akcí,</w:t>
      </w:r>
      <w:r>
        <w:t xml:space="preserve"> </w:t>
      </w:r>
      <w:r w:rsidRPr="00B71E69">
        <w:t>a</w:t>
      </w:r>
      <w:r>
        <w:t xml:space="preserve"> </w:t>
      </w:r>
      <w:r w:rsidRPr="00B71E69">
        <w:t>které</w:t>
      </w:r>
      <w:r>
        <w:t xml:space="preserve"> </w:t>
      </w:r>
      <w:r w:rsidRPr="00B71E69">
        <w:t>znamená</w:t>
      </w:r>
      <w:r>
        <w:t xml:space="preserve"> </w:t>
      </w:r>
      <w:r w:rsidRPr="00B71E69">
        <w:t>nárůst</w:t>
      </w:r>
      <w:r>
        <w:t xml:space="preserve"> </w:t>
      </w:r>
      <w:r w:rsidRPr="00B71E69">
        <w:t>počtu</w:t>
      </w:r>
      <w:r>
        <w:t xml:space="preserve"> </w:t>
      </w:r>
      <w:r w:rsidRPr="00B71E69">
        <w:t>zaměstnanců</w:t>
      </w:r>
      <w:r>
        <w:t xml:space="preserve"> </w:t>
      </w:r>
      <w:r w:rsidRPr="00B71E69">
        <w:t>v</w:t>
      </w:r>
      <w:r>
        <w:t xml:space="preserve"> </w:t>
      </w:r>
      <w:r w:rsidRPr="00B71E69">
        <w:t>místě</w:t>
      </w:r>
      <w:r>
        <w:t xml:space="preserve"> </w:t>
      </w:r>
      <w:r w:rsidRPr="00B71E69">
        <w:t>realizace</w:t>
      </w:r>
      <w:r>
        <w:t xml:space="preserve"> </w:t>
      </w:r>
      <w:r w:rsidRPr="00B71E69">
        <w:t>investiční</w:t>
      </w:r>
      <w:r>
        <w:t xml:space="preserve"> </w:t>
      </w:r>
      <w:r w:rsidRPr="00B71E69">
        <w:t>akce</w:t>
      </w:r>
      <w:r>
        <w:t xml:space="preserve"> </w:t>
      </w:r>
      <w:r w:rsidRPr="00B71E69">
        <w:t>ve</w:t>
      </w:r>
      <w:r>
        <w:t xml:space="preserve"> </w:t>
      </w:r>
      <w:r w:rsidRPr="00B71E69">
        <w:t>srovnání</w:t>
      </w:r>
      <w:r>
        <w:t xml:space="preserve"> </w:t>
      </w:r>
      <w:r w:rsidRPr="00B71E69">
        <w:t>s</w:t>
      </w:r>
      <w:r>
        <w:t xml:space="preserve"> </w:t>
      </w:r>
      <w:r w:rsidRPr="00B71E69">
        <w:t>průměrným</w:t>
      </w:r>
      <w:r>
        <w:t xml:space="preserve"> </w:t>
      </w:r>
      <w:r w:rsidRPr="00B71E69">
        <w:t>počtem</w:t>
      </w:r>
      <w:r>
        <w:t xml:space="preserve"> </w:t>
      </w:r>
      <w:r w:rsidRPr="00B71E69">
        <w:t>zaměstnanců</w:t>
      </w:r>
      <w:r>
        <w:t xml:space="preserve"> </w:t>
      </w:r>
      <w:r w:rsidRPr="00B71E69">
        <w:t>v</w:t>
      </w:r>
      <w:r>
        <w:t xml:space="preserve"> </w:t>
      </w:r>
      <w:r w:rsidRPr="00B71E69">
        <w:t>místě</w:t>
      </w:r>
      <w:r>
        <w:t xml:space="preserve"> </w:t>
      </w:r>
      <w:r w:rsidRPr="00B71E69">
        <w:t>realizace</w:t>
      </w:r>
      <w:r>
        <w:t xml:space="preserve"> </w:t>
      </w:r>
      <w:r w:rsidRPr="00B71E69">
        <w:t>investiční</w:t>
      </w:r>
      <w:r>
        <w:t xml:space="preserve"> </w:t>
      </w:r>
      <w:r w:rsidRPr="00B71E69">
        <w:t>akce</w:t>
      </w:r>
      <w:r>
        <w:t xml:space="preserve"> </w:t>
      </w:r>
      <w:r w:rsidRPr="00B71E69">
        <w:t>za</w:t>
      </w:r>
      <w:r>
        <w:t xml:space="preserve"> </w:t>
      </w:r>
      <w:r w:rsidRPr="00B71E69">
        <w:t>posledních</w:t>
      </w:r>
      <w:r>
        <w:t xml:space="preserve"> </w:t>
      </w:r>
      <w:r w:rsidRPr="00B71E69">
        <w:t>12</w:t>
      </w:r>
      <w:r>
        <w:t xml:space="preserve"> </w:t>
      </w:r>
      <w:r w:rsidRPr="00B71E69">
        <w:t>měsíců</w:t>
      </w:r>
      <w:r>
        <w:t xml:space="preserve"> </w:t>
      </w:r>
      <w:r w:rsidRPr="00B71E69">
        <w:t>bezprostředně</w:t>
      </w:r>
      <w:r>
        <w:t xml:space="preserve"> </w:t>
      </w:r>
      <w:r w:rsidRPr="00B71E69">
        <w:t>předcházejících</w:t>
      </w:r>
      <w:r>
        <w:t xml:space="preserve"> </w:t>
      </w:r>
      <w:r w:rsidRPr="00B71E69">
        <w:t>kalendářnímu</w:t>
      </w:r>
      <w:r>
        <w:t xml:space="preserve"> </w:t>
      </w:r>
      <w:r w:rsidRPr="00B71E69">
        <w:t>měsíci,</w:t>
      </w:r>
      <w:r>
        <w:t xml:space="preserve"> </w:t>
      </w:r>
      <w:r w:rsidRPr="00B71E69">
        <w:t>ve</w:t>
      </w:r>
      <w:r>
        <w:t xml:space="preserve"> </w:t>
      </w:r>
      <w:r w:rsidRPr="00B71E69">
        <w:t>kterém</w:t>
      </w:r>
      <w:r>
        <w:t xml:space="preserve"> </w:t>
      </w:r>
      <w:r w:rsidRPr="00B71E69">
        <w:t>byl</w:t>
      </w:r>
      <w:r>
        <w:t xml:space="preserve"> </w:t>
      </w:r>
      <w:r w:rsidRPr="00B71E69">
        <w:t>předložen</w:t>
      </w:r>
      <w:r>
        <w:t xml:space="preserve"> </w:t>
      </w:r>
      <w:r w:rsidRPr="00B71E69">
        <w:t>záměr</w:t>
      </w:r>
      <w:r>
        <w:t xml:space="preserve"> </w:t>
      </w:r>
      <w:r w:rsidRPr="00B71E69">
        <w:t>získat</w:t>
      </w:r>
      <w:r>
        <w:t xml:space="preserve"> </w:t>
      </w:r>
      <w:r w:rsidRPr="00B71E69">
        <w:t>investiční</w:t>
      </w:r>
      <w:r>
        <w:t xml:space="preserve"> </w:t>
      </w:r>
      <w:r w:rsidRPr="00B71E69">
        <w:t>pobídku</w:t>
      </w:r>
      <w:r>
        <w:t xml:space="preserve"> </w:t>
      </w:r>
      <w:r w:rsidRPr="00B71E69">
        <w:t>podle</w:t>
      </w:r>
      <w:r>
        <w:t xml:space="preserve"> </w:t>
      </w:r>
      <w:r w:rsidRPr="00B71E69">
        <w:t>§</w:t>
      </w:r>
      <w:r>
        <w:t xml:space="preserve"> </w:t>
      </w:r>
      <w:r w:rsidRPr="00B71E69">
        <w:t>3</w:t>
      </w:r>
      <w:r>
        <w:t xml:space="preserve"> </w:t>
      </w:r>
      <w:r w:rsidRPr="00B71E69">
        <w:t>odst.</w:t>
      </w:r>
      <w:r>
        <w:t xml:space="preserve"> </w:t>
      </w:r>
      <w:r w:rsidRPr="00B71E69">
        <w:t>1,</w:t>
      </w:r>
      <w:r>
        <w:t xml:space="preserve"> </w:t>
      </w:r>
      <w:r w:rsidRPr="00B71E69">
        <w:t>a</w:t>
      </w:r>
      <w:r>
        <w:t xml:space="preserve"> </w:t>
      </w:r>
      <w:r w:rsidRPr="00B71E69">
        <w:t>které</w:t>
      </w:r>
      <w:r>
        <w:t xml:space="preserve"> </w:t>
      </w:r>
      <w:r w:rsidRPr="00B71E69">
        <w:t>je</w:t>
      </w:r>
      <w:r>
        <w:t xml:space="preserve"> </w:t>
      </w:r>
      <w:r w:rsidRPr="00B71E69">
        <w:t>obsazené</w:t>
      </w:r>
      <w:r>
        <w:t xml:space="preserve"> </w:t>
      </w:r>
      <w:r w:rsidRPr="00B71E69">
        <w:t>zaměstnancem,</w:t>
      </w:r>
      <w:r>
        <w:t xml:space="preserve"> </w:t>
      </w:r>
      <w:r w:rsidRPr="00B71E69">
        <w:t>který</w:t>
      </w:r>
      <w:r>
        <w:t xml:space="preserve"> </w:t>
      </w:r>
      <w:r w:rsidRPr="00B71E69">
        <w:t>má</w:t>
      </w:r>
      <w:r>
        <w:t xml:space="preserve"> </w:t>
      </w:r>
      <w:r w:rsidRPr="00B71E69">
        <w:t>sjednán</w:t>
      </w:r>
      <w:r>
        <w:t xml:space="preserve"> </w:t>
      </w:r>
      <w:r w:rsidRPr="00B71E69">
        <w:t>pracovní</w:t>
      </w:r>
      <w:r>
        <w:t xml:space="preserve"> </w:t>
      </w:r>
      <w:r w:rsidRPr="00B71E69">
        <w:t>poměr</w:t>
      </w:r>
      <w:r>
        <w:t xml:space="preserve"> </w:t>
      </w:r>
      <w:r w:rsidRPr="00B71E69">
        <w:t>na</w:t>
      </w:r>
      <w:r>
        <w:t xml:space="preserve"> </w:t>
      </w:r>
      <w:r w:rsidRPr="00B71E69">
        <w:t>dobu</w:t>
      </w:r>
      <w:r>
        <w:t xml:space="preserve"> </w:t>
      </w:r>
      <w:r w:rsidRPr="00B71E69">
        <w:t>neurčitou</w:t>
      </w:r>
      <w:r>
        <w:t xml:space="preserve"> </w:t>
      </w:r>
      <w:r w:rsidRPr="00B71E69">
        <w:t>a</w:t>
      </w:r>
      <w:r>
        <w:t xml:space="preserve"> </w:t>
      </w:r>
      <w:r w:rsidRPr="00B71E69">
        <w:t>je</w:t>
      </w:r>
      <w:r>
        <w:t xml:space="preserve"> </w:t>
      </w:r>
      <w:r w:rsidRPr="00B71E69">
        <w:t>občanem</w:t>
      </w:r>
      <w:r>
        <w:t xml:space="preserve"> </w:t>
      </w:r>
      <w:r w:rsidRPr="00B71E69">
        <w:t>České</w:t>
      </w:r>
      <w:r>
        <w:t xml:space="preserve"> </w:t>
      </w:r>
      <w:r w:rsidRPr="00B71E69">
        <w:t>republiky,</w:t>
      </w:r>
      <w:r>
        <w:t xml:space="preserve"> </w:t>
      </w:r>
      <w:r w:rsidRPr="00B71E69">
        <w:t>státním</w:t>
      </w:r>
      <w:r>
        <w:t xml:space="preserve"> </w:t>
      </w:r>
      <w:r w:rsidRPr="00B71E69">
        <w:t>příslušníkem</w:t>
      </w:r>
      <w:r>
        <w:t xml:space="preserve"> </w:t>
      </w:r>
      <w:r w:rsidRPr="00B71E69">
        <w:t>jiného</w:t>
      </w:r>
      <w:r>
        <w:t xml:space="preserve"> </w:t>
      </w:r>
      <w:r w:rsidRPr="00B71E69">
        <w:t>členského</w:t>
      </w:r>
      <w:r>
        <w:t xml:space="preserve"> </w:t>
      </w:r>
      <w:r w:rsidRPr="00B71E69">
        <w:t>státu</w:t>
      </w:r>
      <w:r>
        <w:t xml:space="preserve"> </w:t>
      </w:r>
      <w:r w:rsidRPr="00B71E69">
        <w:t>Evropské</w:t>
      </w:r>
      <w:r>
        <w:t xml:space="preserve"> </w:t>
      </w:r>
      <w:r w:rsidRPr="00B71E69">
        <w:t>unie</w:t>
      </w:r>
      <w:r>
        <w:t xml:space="preserve"> </w:t>
      </w:r>
      <w:r w:rsidRPr="00B71E69">
        <w:t>nebo</w:t>
      </w:r>
      <w:r>
        <w:t xml:space="preserve"> </w:t>
      </w:r>
      <w:r w:rsidRPr="00B71E69">
        <w:t>jeho</w:t>
      </w:r>
      <w:r>
        <w:t xml:space="preserve"> </w:t>
      </w:r>
      <w:r w:rsidRPr="00B71E69">
        <w:t>rodinným</w:t>
      </w:r>
      <w:r>
        <w:t xml:space="preserve"> </w:t>
      </w:r>
      <w:r w:rsidRPr="00B71E69">
        <w:t>příslušníkem</w:t>
      </w:r>
      <w:r>
        <w:t xml:space="preserve"> </w:t>
      </w:r>
      <w:r w:rsidRPr="00B71E69">
        <w:t>nebo</w:t>
      </w:r>
      <w:r>
        <w:t xml:space="preserve"> </w:t>
      </w:r>
      <w:r w:rsidRPr="00B71E69">
        <w:t>dlouhodobě</w:t>
      </w:r>
      <w:r>
        <w:t xml:space="preserve"> </w:t>
      </w:r>
      <w:r w:rsidRPr="00B71E69">
        <w:t>pobývajícím</w:t>
      </w:r>
      <w:r>
        <w:t xml:space="preserve"> </w:t>
      </w:r>
      <w:r w:rsidRPr="00B71E69">
        <w:t>rezidentem</w:t>
      </w:r>
      <w:r>
        <w:t xml:space="preserve"> </w:t>
      </w:r>
      <w:r w:rsidRPr="00B71E69">
        <w:t>v</w:t>
      </w:r>
      <w:r>
        <w:t xml:space="preserve"> </w:t>
      </w:r>
      <w:r w:rsidRPr="00B71E69">
        <w:t>Evropské</w:t>
      </w:r>
      <w:r>
        <w:t xml:space="preserve"> </w:t>
      </w:r>
      <w:r w:rsidRPr="00B71E69">
        <w:t>unii</w:t>
      </w:r>
      <w:r>
        <w:t xml:space="preserve"> </w:t>
      </w:r>
      <w:r w:rsidRPr="00B71E69">
        <w:t>na</w:t>
      </w:r>
      <w:r>
        <w:t xml:space="preserve"> </w:t>
      </w:r>
      <w:r w:rsidRPr="00B71E69">
        <w:t>území</w:t>
      </w:r>
      <w:r>
        <w:t xml:space="preserve"> </w:t>
      </w:r>
      <w:r w:rsidRPr="00B71E69">
        <w:t>České</w:t>
      </w:r>
      <w:r>
        <w:t xml:space="preserve"> </w:t>
      </w:r>
      <w:r w:rsidRPr="00B71E69">
        <w:t>republiky</w:t>
      </w:r>
      <w:r>
        <w:t xml:space="preserve"> </w:t>
      </w:r>
      <w:r w:rsidRPr="00B71E69">
        <w:t>podle</w:t>
      </w:r>
      <w:r>
        <w:t xml:space="preserve"> </w:t>
      </w:r>
      <w:r w:rsidRPr="00B71E69">
        <w:t>zvláštního</w:t>
      </w:r>
      <w:r>
        <w:t xml:space="preserve"> </w:t>
      </w:r>
      <w:r w:rsidRPr="00B71E69">
        <w:t>právního</w:t>
      </w:r>
      <w:r>
        <w:t xml:space="preserve"> </w:t>
      </w:r>
      <w:r w:rsidRPr="00B71E69">
        <w:t>předpisu</w:t>
      </w:r>
      <w:r>
        <w:t xml:space="preserve"> </w:t>
      </w:r>
      <w:r w:rsidR="00415981">
        <w:rPr>
          <w:rStyle w:val="Znakapoznpodarou"/>
        </w:rPr>
        <w:footnoteReference w:customMarkFollows="1" w:id="292"/>
        <w:t>18)</w:t>
      </w:r>
      <w:r w:rsidRPr="00B71E69">
        <w:t>,</w:t>
      </w:r>
    </w:p>
    <w:p w14:paraId="23BE9636" w14:textId="30A2CC80" w:rsidR="00FF5E43" w:rsidRDefault="00FF5E43" w:rsidP="00562201">
      <w:pPr>
        <w:pStyle w:val="Textparagrafu"/>
        <w:tabs>
          <w:tab w:val="left" w:pos="392"/>
          <w:tab w:val="left" w:pos="854"/>
        </w:tabs>
        <w:spacing w:before="0"/>
        <w:ind w:left="426" w:hanging="426"/>
      </w:pPr>
      <w:r w:rsidRPr="00B71E69">
        <w:t>h)</w:t>
      </w:r>
      <w:r w:rsidR="00562201">
        <w:tab/>
      </w:r>
      <w:r w:rsidRPr="00B71E69">
        <w:t>počtem</w:t>
      </w:r>
      <w:r>
        <w:t xml:space="preserve"> </w:t>
      </w:r>
      <w:r w:rsidRPr="00B71E69">
        <w:t>zaměstnanců</w:t>
      </w:r>
      <w:r>
        <w:t xml:space="preserve"> </w:t>
      </w:r>
      <w:r w:rsidRPr="00B71E69">
        <w:t>v</w:t>
      </w:r>
      <w:r>
        <w:t xml:space="preserve"> </w:t>
      </w:r>
      <w:r w:rsidRPr="00B71E69">
        <w:t>místě</w:t>
      </w:r>
      <w:r>
        <w:t xml:space="preserve"> </w:t>
      </w:r>
      <w:r w:rsidRPr="00B71E69">
        <w:t>realizace</w:t>
      </w:r>
      <w:r>
        <w:t xml:space="preserve"> </w:t>
      </w:r>
      <w:r w:rsidRPr="00B71E69">
        <w:t>investiční</w:t>
      </w:r>
      <w:r>
        <w:t xml:space="preserve"> </w:t>
      </w:r>
      <w:r w:rsidRPr="00B71E69">
        <w:t>akce</w:t>
      </w:r>
      <w:r>
        <w:t xml:space="preserve"> </w:t>
      </w:r>
      <w:r w:rsidRPr="00B71E69">
        <w:t>evidenční</w:t>
      </w:r>
      <w:r>
        <w:t xml:space="preserve"> </w:t>
      </w:r>
      <w:r w:rsidRPr="00B71E69">
        <w:t>počet</w:t>
      </w:r>
      <w:r>
        <w:t xml:space="preserve"> </w:t>
      </w:r>
      <w:r w:rsidRPr="00B71E69">
        <w:t>zaměstnanců</w:t>
      </w:r>
      <w:r>
        <w:t xml:space="preserve"> </w:t>
      </w:r>
      <w:r w:rsidRPr="00B71E69">
        <w:t>příjemce</w:t>
      </w:r>
      <w:r>
        <w:t xml:space="preserve"> </w:t>
      </w:r>
      <w:r w:rsidRPr="00B71E69">
        <w:t>investiční</w:t>
      </w:r>
      <w:r>
        <w:t xml:space="preserve"> </w:t>
      </w:r>
      <w:r w:rsidRPr="00B71E69">
        <w:t>pobídky</w:t>
      </w:r>
      <w:r>
        <w:t xml:space="preserve"> </w:t>
      </w:r>
      <w:r w:rsidRPr="00B71E69">
        <w:t>s</w:t>
      </w:r>
      <w:r>
        <w:t xml:space="preserve"> </w:t>
      </w:r>
      <w:r w:rsidRPr="00B71E69">
        <w:t>místem</w:t>
      </w:r>
      <w:r>
        <w:t xml:space="preserve"> </w:t>
      </w:r>
      <w:r w:rsidRPr="00B71E69">
        <w:t>výkonu</w:t>
      </w:r>
      <w:r>
        <w:t xml:space="preserve"> </w:t>
      </w:r>
      <w:r w:rsidRPr="00B71E69">
        <w:t>práce</w:t>
      </w:r>
      <w:r>
        <w:t xml:space="preserve"> </w:t>
      </w:r>
      <w:r w:rsidRPr="00B71E69">
        <w:t>v</w:t>
      </w:r>
      <w:r>
        <w:t xml:space="preserve"> </w:t>
      </w:r>
      <w:r w:rsidRPr="00B71E69">
        <w:t>místě</w:t>
      </w:r>
      <w:r>
        <w:t xml:space="preserve"> </w:t>
      </w:r>
      <w:r w:rsidRPr="00B71E69">
        <w:t>realizace</w:t>
      </w:r>
      <w:r>
        <w:t xml:space="preserve"> </w:t>
      </w:r>
      <w:r w:rsidRPr="00B71E69">
        <w:t>investiční</w:t>
      </w:r>
      <w:r>
        <w:t xml:space="preserve"> </w:t>
      </w:r>
      <w:r w:rsidRPr="00B71E69">
        <w:t>akce</w:t>
      </w:r>
      <w:r>
        <w:t xml:space="preserve"> </w:t>
      </w:r>
      <w:r w:rsidRPr="00B71E69">
        <w:t>přepočtený</w:t>
      </w:r>
      <w:r>
        <w:t xml:space="preserve"> </w:t>
      </w:r>
      <w:r w:rsidRPr="00B71E69">
        <w:t>na</w:t>
      </w:r>
      <w:r>
        <w:t xml:space="preserve"> </w:t>
      </w:r>
      <w:r w:rsidRPr="00B71E69">
        <w:t>stanovenou</w:t>
      </w:r>
      <w:r>
        <w:t xml:space="preserve"> </w:t>
      </w:r>
      <w:r w:rsidRPr="00B71E69">
        <w:t>týdenní</w:t>
      </w:r>
      <w:r>
        <w:t xml:space="preserve"> </w:t>
      </w:r>
      <w:r w:rsidRPr="00B71E69">
        <w:t>pracovní</w:t>
      </w:r>
      <w:r>
        <w:t xml:space="preserve"> </w:t>
      </w:r>
      <w:r w:rsidR="00415981">
        <w:t>dobu</w:t>
      </w:r>
      <w:r w:rsidR="00415981">
        <w:rPr>
          <w:rStyle w:val="Znakapoznpodarou"/>
        </w:rPr>
        <w:footnoteReference w:customMarkFollows="1" w:id="293"/>
        <w:t>8a)</w:t>
      </w:r>
      <w:r w:rsidRPr="00B71E69">
        <w:t>.</w:t>
      </w:r>
    </w:p>
    <w:p w14:paraId="61954891" w14:textId="1F85C8B8" w:rsidR="00FF5E43" w:rsidRDefault="00FF5E43" w:rsidP="00D50FFB">
      <w:pPr>
        <w:pStyle w:val="Textparagrafu"/>
        <w:tabs>
          <w:tab w:val="left" w:pos="392"/>
          <w:tab w:val="left" w:pos="854"/>
        </w:tabs>
        <w:spacing w:before="120" w:after="120"/>
      </w:pPr>
      <w:r w:rsidRPr="00B71E69">
        <w:t>(2)</w:t>
      </w:r>
      <w:r>
        <w:t xml:space="preserve"> </w:t>
      </w:r>
      <w:r w:rsidRPr="00B71E69">
        <w:t>Tento</w:t>
      </w:r>
      <w:r>
        <w:t xml:space="preserve"> </w:t>
      </w:r>
      <w:r w:rsidRPr="00B71E69">
        <w:t>zákon</w:t>
      </w:r>
      <w:r>
        <w:t xml:space="preserve"> </w:t>
      </w:r>
      <w:r w:rsidRPr="00B71E69">
        <w:t>se</w:t>
      </w:r>
      <w:r>
        <w:t xml:space="preserve"> </w:t>
      </w:r>
      <w:r w:rsidRPr="00B71E69">
        <w:t>nevztahuje</w:t>
      </w:r>
      <w:r>
        <w:t xml:space="preserve"> </w:t>
      </w:r>
      <w:r w:rsidRPr="00B71E69">
        <w:t>na</w:t>
      </w:r>
      <w:r>
        <w:t xml:space="preserve"> </w:t>
      </w:r>
      <w:r w:rsidRPr="00B71E69">
        <w:t>služby</w:t>
      </w:r>
      <w:r>
        <w:t xml:space="preserve"> </w:t>
      </w:r>
      <w:r w:rsidRPr="00B71E69">
        <w:t>cestovního</w:t>
      </w:r>
      <w:r>
        <w:t xml:space="preserve"> </w:t>
      </w:r>
      <w:r w:rsidRPr="00B71E69">
        <w:t>ruchu,</w:t>
      </w:r>
      <w:r>
        <w:t xml:space="preserve"> </w:t>
      </w:r>
      <w:r w:rsidRPr="00B71E69">
        <w:t>rekreační,</w:t>
      </w:r>
      <w:r>
        <w:t xml:space="preserve"> </w:t>
      </w:r>
      <w:r w:rsidRPr="00B71E69">
        <w:t>kulturní</w:t>
      </w:r>
      <w:r>
        <w:t xml:space="preserve"> </w:t>
      </w:r>
      <w:r w:rsidRPr="00B71E69">
        <w:t>a</w:t>
      </w:r>
      <w:r>
        <w:t xml:space="preserve"> </w:t>
      </w:r>
      <w:r w:rsidRPr="00B71E69">
        <w:t>sportovní</w:t>
      </w:r>
      <w:r>
        <w:t xml:space="preserve"> </w:t>
      </w:r>
      <w:r w:rsidRPr="00B71E69">
        <w:t>služby,</w:t>
      </w:r>
      <w:r>
        <w:t xml:space="preserve"> </w:t>
      </w:r>
      <w:r w:rsidRPr="00B71E69">
        <w:t>dále</w:t>
      </w:r>
      <w:r>
        <w:t xml:space="preserve"> </w:t>
      </w:r>
      <w:r w:rsidRPr="00B71E69">
        <w:t>služby</w:t>
      </w:r>
      <w:r>
        <w:t xml:space="preserve"> </w:t>
      </w:r>
      <w:r w:rsidRPr="00B71E69">
        <w:t>zdravotní</w:t>
      </w:r>
      <w:r>
        <w:t xml:space="preserve"> </w:t>
      </w:r>
      <w:r w:rsidRPr="00B71E69">
        <w:t>a</w:t>
      </w:r>
      <w:r>
        <w:t xml:space="preserve"> </w:t>
      </w:r>
      <w:r w:rsidRPr="00B71E69">
        <w:t>sociální,</w:t>
      </w:r>
      <w:r>
        <w:t xml:space="preserve"> </w:t>
      </w:r>
      <w:r w:rsidRPr="00B71E69">
        <w:t>služby</w:t>
      </w:r>
      <w:r>
        <w:t xml:space="preserve"> </w:t>
      </w:r>
      <w:r w:rsidRPr="00B71E69">
        <w:t>dopravní</w:t>
      </w:r>
      <w:r>
        <w:t xml:space="preserve"> </w:t>
      </w:r>
      <w:r w:rsidRPr="00B71E69">
        <w:t>a</w:t>
      </w:r>
      <w:r>
        <w:t xml:space="preserve"> </w:t>
      </w:r>
      <w:r w:rsidRPr="00B71E69">
        <w:t>přepravní,</w:t>
      </w:r>
      <w:r>
        <w:t xml:space="preserve"> </w:t>
      </w:r>
      <w:r w:rsidRPr="00B71E69">
        <w:t>distribuční,</w:t>
      </w:r>
      <w:r>
        <w:t xml:space="preserve"> </w:t>
      </w:r>
      <w:r w:rsidRPr="00B71E69">
        <w:t>logistické,</w:t>
      </w:r>
      <w:r>
        <w:t xml:space="preserve"> </w:t>
      </w:r>
      <w:r w:rsidRPr="00B71E69">
        <w:t>poštovní</w:t>
      </w:r>
      <w:r>
        <w:t xml:space="preserve"> </w:t>
      </w:r>
      <w:r w:rsidRPr="00B71E69">
        <w:t>a</w:t>
      </w:r>
      <w:r>
        <w:t xml:space="preserve"> </w:t>
      </w:r>
      <w:r w:rsidRPr="00B71E69">
        <w:t>kurýrní</w:t>
      </w:r>
      <w:r>
        <w:t xml:space="preserve"> </w:t>
      </w:r>
      <w:r w:rsidRPr="00B71E69">
        <w:t>služby,</w:t>
      </w:r>
      <w:r>
        <w:t xml:space="preserve"> </w:t>
      </w:r>
      <w:r w:rsidRPr="00B71E69">
        <w:t>konzultační</w:t>
      </w:r>
      <w:r>
        <w:t xml:space="preserve"> </w:t>
      </w:r>
      <w:r w:rsidRPr="00B71E69">
        <w:t>a</w:t>
      </w:r>
      <w:r>
        <w:t xml:space="preserve"> </w:t>
      </w:r>
      <w:r w:rsidRPr="00B71E69">
        <w:t>poradenské</w:t>
      </w:r>
      <w:r>
        <w:t xml:space="preserve"> </w:t>
      </w:r>
      <w:r w:rsidRPr="00B71E69">
        <w:t>služby,</w:t>
      </w:r>
      <w:r>
        <w:t xml:space="preserve"> </w:t>
      </w:r>
      <w:r w:rsidRPr="00B71E69">
        <w:t>bankovní,</w:t>
      </w:r>
      <w:r>
        <w:t xml:space="preserve"> </w:t>
      </w:r>
      <w:r w:rsidRPr="00B71E69">
        <w:t>realitní,</w:t>
      </w:r>
      <w:r>
        <w:t xml:space="preserve"> </w:t>
      </w:r>
      <w:r w:rsidRPr="00B71E69">
        <w:t>leasingové</w:t>
      </w:r>
      <w:r>
        <w:t xml:space="preserve"> </w:t>
      </w:r>
      <w:r w:rsidRPr="00B71E69">
        <w:t>služby,</w:t>
      </w:r>
      <w:r>
        <w:t xml:space="preserve"> </w:t>
      </w:r>
      <w:r w:rsidRPr="00B71E69">
        <w:t>služby</w:t>
      </w:r>
      <w:r>
        <w:t xml:space="preserve"> </w:t>
      </w:r>
      <w:r w:rsidR="00415981">
        <w:t>audiovizuální</w:t>
      </w:r>
      <w:r w:rsidR="00415981">
        <w:rPr>
          <w:rStyle w:val="Znakapoznpodarou"/>
        </w:rPr>
        <w:footnoteReference w:customMarkFollows="1" w:id="294"/>
        <w:t>19)</w:t>
      </w:r>
      <w:r w:rsidRPr="00B71E69">
        <w:t>,</w:t>
      </w:r>
      <w:r>
        <w:t xml:space="preserve"> </w:t>
      </w:r>
      <w:r w:rsidRPr="00B71E69">
        <w:t>přímý</w:t>
      </w:r>
      <w:r>
        <w:t xml:space="preserve"> </w:t>
      </w:r>
      <w:r w:rsidRPr="00B71E69">
        <w:t>marketing,</w:t>
      </w:r>
      <w:r>
        <w:t xml:space="preserve"> </w:t>
      </w:r>
      <w:r w:rsidRPr="00B71E69">
        <w:t>služby</w:t>
      </w:r>
      <w:r>
        <w:t xml:space="preserve"> </w:t>
      </w:r>
      <w:r w:rsidRPr="00B71E69">
        <w:t>spojené</w:t>
      </w:r>
      <w:r>
        <w:t xml:space="preserve"> </w:t>
      </w:r>
      <w:r w:rsidRPr="00B71E69">
        <w:t>s</w:t>
      </w:r>
      <w:r>
        <w:t xml:space="preserve"> </w:t>
      </w:r>
      <w:r w:rsidRPr="00B71E69">
        <w:t>ochranou</w:t>
      </w:r>
      <w:r>
        <w:t xml:space="preserve"> </w:t>
      </w:r>
      <w:r w:rsidRPr="00B71E69">
        <w:t>životního</w:t>
      </w:r>
      <w:r>
        <w:t xml:space="preserve"> </w:t>
      </w:r>
      <w:r w:rsidRPr="00B71E69">
        <w:t>prostředí,</w:t>
      </w:r>
      <w:r>
        <w:t xml:space="preserve"> </w:t>
      </w:r>
      <w:r w:rsidRPr="00B71E69">
        <w:t>služby</w:t>
      </w:r>
      <w:r>
        <w:t xml:space="preserve"> </w:t>
      </w:r>
      <w:r w:rsidRPr="00B71E69">
        <w:t>agentur</w:t>
      </w:r>
      <w:r>
        <w:t xml:space="preserve"> </w:t>
      </w:r>
      <w:r w:rsidRPr="00B71E69">
        <w:t>práce</w:t>
      </w:r>
      <w:r>
        <w:t xml:space="preserve"> </w:t>
      </w:r>
      <w:r w:rsidRPr="00B71E69">
        <w:t>a</w:t>
      </w:r>
      <w:r>
        <w:t xml:space="preserve"> </w:t>
      </w:r>
      <w:r w:rsidRPr="00B71E69">
        <w:t>na</w:t>
      </w:r>
      <w:r>
        <w:t xml:space="preserve"> </w:t>
      </w:r>
      <w:r w:rsidRPr="00B71E69">
        <w:t>oblasti,</w:t>
      </w:r>
      <w:r>
        <w:t xml:space="preserve"> </w:t>
      </w:r>
      <w:r w:rsidRPr="00B71E69">
        <w:t>ve</w:t>
      </w:r>
      <w:r>
        <w:t xml:space="preserve"> </w:t>
      </w:r>
      <w:r w:rsidRPr="00B71E69">
        <w:t>kterých</w:t>
      </w:r>
      <w:r>
        <w:t xml:space="preserve"> </w:t>
      </w:r>
      <w:r w:rsidRPr="00B71E69">
        <w:t>nelze</w:t>
      </w:r>
      <w:r>
        <w:t xml:space="preserve"> </w:t>
      </w:r>
      <w:r w:rsidRPr="00B71E69">
        <w:t>poskytnout</w:t>
      </w:r>
      <w:r>
        <w:t xml:space="preserve"> </w:t>
      </w:r>
      <w:r w:rsidRPr="00B71E69">
        <w:t>regionální</w:t>
      </w:r>
      <w:r>
        <w:t xml:space="preserve"> </w:t>
      </w:r>
      <w:r w:rsidRPr="00B71E69">
        <w:t>investiční</w:t>
      </w:r>
      <w:r>
        <w:t xml:space="preserve"> </w:t>
      </w:r>
      <w:r w:rsidRPr="00B71E69">
        <w:t>podporu</w:t>
      </w:r>
      <w:r>
        <w:t xml:space="preserve"> </w:t>
      </w:r>
      <w:r w:rsidRPr="00B71E69">
        <w:t>nebo</w:t>
      </w:r>
      <w:r>
        <w:t xml:space="preserve"> </w:t>
      </w:r>
      <w:r w:rsidRPr="00B71E69">
        <w:t>podporu</w:t>
      </w:r>
      <w:r>
        <w:t xml:space="preserve"> </w:t>
      </w:r>
      <w:r w:rsidRPr="00B71E69">
        <w:t>na</w:t>
      </w:r>
      <w:r>
        <w:t xml:space="preserve"> </w:t>
      </w:r>
      <w:r w:rsidRPr="00B71E69">
        <w:t>vzdělávání</w:t>
      </w:r>
      <w:r>
        <w:t xml:space="preserve"> </w:t>
      </w:r>
      <w:r w:rsidRPr="00B71E69">
        <w:t>podle</w:t>
      </w:r>
      <w:r>
        <w:t xml:space="preserve"> </w:t>
      </w:r>
      <w:r w:rsidRPr="00B71E69">
        <w:t>přímo</w:t>
      </w:r>
      <w:r>
        <w:t xml:space="preserve"> </w:t>
      </w:r>
      <w:r w:rsidRPr="00B71E69">
        <w:t>použitelného</w:t>
      </w:r>
      <w:r>
        <w:t xml:space="preserve"> </w:t>
      </w:r>
      <w:r w:rsidRPr="00B71E69">
        <w:t>předpisu</w:t>
      </w:r>
      <w:r>
        <w:t xml:space="preserve"> </w:t>
      </w:r>
      <w:r w:rsidRPr="00B71E69">
        <w:t>Evropské</w:t>
      </w:r>
      <w:r>
        <w:t xml:space="preserve"> </w:t>
      </w:r>
      <w:r w:rsidR="00415981">
        <w:t>unie</w:t>
      </w:r>
      <w:r w:rsidR="00415981">
        <w:rPr>
          <w:rStyle w:val="Znakapoznpodarou"/>
        </w:rPr>
        <w:footnoteReference w:customMarkFollows="1" w:id="295"/>
        <w:t>25)</w:t>
      </w:r>
      <w:r w:rsidRPr="00B71E69">
        <w:t>.</w:t>
      </w:r>
    </w:p>
    <w:p w14:paraId="27FCC37C" w14:textId="6B50DD4D" w:rsidR="00FF5E43" w:rsidRDefault="00FF5E43" w:rsidP="00FE10F6">
      <w:pPr>
        <w:pStyle w:val="Textparagrafu"/>
        <w:tabs>
          <w:tab w:val="left" w:pos="392"/>
          <w:tab w:val="left" w:pos="854"/>
        </w:tabs>
        <w:spacing w:after="120"/>
        <w:ind w:firstLine="0"/>
        <w:jc w:val="center"/>
      </w:pPr>
      <w:r>
        <w:t>***</w:t>
      </w:r>
    </w:p>
    <w:p w14:paraId="2FD14094" w14:textId="6731F4CF" w:rsidR="00FF5E43" w:rsidRDefault="00FF5E43" w:rsidP="00FE10F6">
      <w:pPr>
        <w:pStyle w:val="Textparagrafu"/>
        <w:tabs>
          <w:tab w:val="left" w:pos="392"/>
          <w:tab w:val="left" w:pos="854"/>
        </w:tabs>
        <w:spacing w:after="120"/>
        <w:ind w:firstLine="0"/>
        <w:jc w:val="center"/>
      </w:pPr>
      <w:r>
        <w:t>§ 2</w:t>
      </w:r>
    </w:p>
    <w:p w14:paraId="6F988C51" w14:textId="68BC5C09" w:rsidR="00FF5E43" w:rsidRDefault="00FF5E43" w:rsidP="00D50FFB">
      <w:pPr>
        <w:pStyle w:val="Textparagrafu"/>
        <w:tabs>
          <w:tab w:val="left" w:pos="392"/>
          <w:tab w:val="left" w:pos="854"/>
        </w:tabs>
        <w:spacing w:before="120" w:after="120"/>
      </w:pPr>
      <w:r>
        <w:t xml:space="preserve">(1) Podnikající právnické nebo fyzické osobě lze investiční pobídku poskytnout, pokud prokáže, že může splnit všeobecné podmínky stanovené tímto zákonem, zvláštní podmínky stanovené zvláštními právními </w:t>
      </w:r>
      <w:proofErr w:type="gramStart"/>
      <w:r>
        <w:t>předpisy</w:t>
      </w:r>
      <w:r w:rsidRPr="004475B8">
        <w:rPr>
          <w:vertAlign w:val="superscript"/>
        </w:rPr>
        <w:t>12),13</w:t>
      </w:r>
      <w:proofErr w:type="gramEnd"/>
      <w:r w:rsidRPr="004475B8">
        <w:rPr>
          <w:vertAlign w:val="superscript"/>
        </w:rPr>
        <w:t>),23)</w:t>
      </w:r>
      <w:r w:rsidRPr="004475B8">
        <w:t xml:space="preserve"> </w:t>
      </w:r>
      <w:r>
        <w:t>a podmínky stanovené přímo použitelným předpisem Evropské uni</w:t>
      </w:r>
      <w:r w:rsidR="004475B8">
        <w:t>e</w:t>
      </w:r>
      <w:r w:rsidR="004475B8">
        <w:rPr>
          <w:rStyle w:val="Znakapoznpodarou"/>
        </w:rPr>
        <w:footnoteReference w:customMarkFollows="1" w:id="296"/>
        <w:t>1)</w:t>
      </w:r>
      <w:r>
        <w:t>. Podmínky stanovené přímo použitelným předpisem Evropské unie1) se nepoužijí, pokud byla na investiční akci udělena individuální výjimka ze zákazu veřejné podpory Komisí.</w:t>
      </w:r>
    </w:p>
    <w:p w14:paraId="5EF4082B" w14:textId="76A3F82F" w:rsidR="00FF5E43" w:rsidRDefault="00FF5E43" w:rsidP="00D50FFB">
      <w:pPr>
        <w:pStyle w:val="Textparagrafu"/>
        <w:tabs>
          <w:tab w:val="left" w:pos="392"/>
          <w:tab w:val="left" w:pos="854"/>
        </w:tabs>
        <w:spacing w:before="120" w:after="120"/>
      </w:pPr>
      <w:r>
        <w:t>(2) Všeobecnými podmínkami jsou</w:t>
      </w:r>
    </w:p>
    <w:p w14:paraId="023FF3F1" w14:textId="3A618CF1" w:rsidR="00FF5E43" w:rsidRDefault="00562201" w:rsidP="00562201">
      <w:pPr>
        <w:pStyle w:val="Textparagrafu"/>
        <w:tabs>
          <w:tab w:val="left" w:pos="392"/>
          <w:tab w:val="left" w:pos="854"/>
        </w:tabs>
        <w:spacing w:before="0"/>
        <w:ind w:left="426" w:hanging="426"/>
      </w:pPr>
      <w:r>
        <w:t>a)</w:t>
      </w:r>
      <w:r>
        <w:tab/>
      </w:r>
      <w:r w:rsidR="00FF5E43">
        <w:t>realizace investiční akce na území České republiky,</w:t>
      </w:r>
    </w:p>
    <w:p w14:paraId="03276DD1" w14:textId="5276EFA7" w:rsidR="00FF5E43" w:rsidRDefault="00562201" w:rsidP="00562201">
      <w:pPr>
        <w:pStyle w:val="Textparagrafu"/>
        <w:tabs>
          <w:tab w:val="left" w:pos="392"/>
          <w:tab w:val="left" w:pos="854"/>
        </w:tabs>
        <w:spacing w:before="0"/>
        <w:ind w:left="426" w:hanging="426"/>
      </w:pPr>
      <w:r>
        <w:t>b)</w:t>
      </w:r>
      <w:r>
        <w:tab/>
      </w:r>
      <w:r w:rsidR="00FF5E43">
        <w:t xml:space="preserve">šetrnost činností, stavby nebo </w:t>
      </w:r>
      <w:r w:rsidR="004475B8">
        <w:t>zařízení k životnímu prostředí</w:t>
      </w:r>
      <w:r w:rsidR="004475B8">
        <w:rPr>
          <w:rStyle w:val="Znakapoznpodarou"/>
        </w:rPr>
        <w:footnoteReference w:customMarkFollows="1" w:id="297"/>
        <w:t>4)</w:t>
      </w:r>
      <w:r w:rsidR="00FF5E43">
        <w:t>,</w:t>
      </w:r>
    </w:p>
    <w:p w14:paraId="69010137" w14:textId="3C4C4719" w:rsidR="00FF5E43" w:rsidRDefault="00562201" w:rsidP="00562201">
      <w:pPr>
        <w:pStyle w:val="Textparagrafu"/>
        <w:tabs>
          <w:tab w:val="left" w:pos="392"/>
          <w:tab w:val="left" w:pos="854"/>
        </w:tabs>
        <w:spacing w:before="0"/>
        <w:ind w:left="426" w:hanging="426"/>
      </w:pPr>
      <w:r>
        <w:t>c)</w:t>
      </w:r>
      <w:r>
        <w:tab/>
      </w:r>
      <w:r w:rsidR="00FF5E43">
        <w:t>zahájení prací souvisejících s realizací investiční akce až po dni předložení záměru získat investiční pobídku podle § 3 odst. 1.</w:t>
      </w:r>
    </w:p>
    <w:p w14:paraId="036CFAF4" w14:textId="1D6E3B9C" w:rsidR="00FF5E43" w:rsidRDefault="00FF5E43" w:rsidP="00D50FFB">
      <w:pPr>
        <w:pStyle w:val="Textparagrafu"/>
        <w:tabs>
          <w:tab w:val="left" w:pos="392"/>
          <w:tab w:val="left" w:pos="854"/>
        </w:tabs>
        <w:spacing w:before="120" w:after="120"/>
      </w:pPr>
      <w:r>
        <w:lastRenderedPageBreak/>
        <w:t>(3) Dalšími všeobecnými podmínkami, stanoví-li tak vláda nařízením, jsou</w:t>
      </w:r>
    </w:p>
    <w:p w14:paraId="7853A181" w14:textId="78415C0D" w:rsidR="00FF5E43" w:rsidRDefault="00562201" w:rsidP="00562201">
      <w:pPr>
        <w:pStyle w:val="Textparagrafu"/>
        <w:tabs>
          <w:tab w:val="left" w:pos="392"/>
          <w:tab w:val="left" w:pos="854"/>
        </w:tabs>
        <w:spacing w:before="0"/>
        <w:ind w:left="426" w:hanging="426"/>
      </w:pPr>
      <w:r>
        <w:t>a)</w:t>
      </w:r>
      <w:r>
        <w:tab/>
      </w:r>
      <w:r w:rsidR="00FF5E43">
        <w:t xml:space="preserve">pořízení </w:t>
      </w:r>
      <w:r w:rsidR="00FF5E43" w:rsidRPr="00FC59D7">
        <w:rPr>
          <w:strike/>
        </w:rPr>
        <w:t>dlouhodobého hmotného a nehmotného majetku</w:t>
      </w:r>
      <w:r w:rsidR="00FF5E43">
        <w:t xml:space="preserve"> </w:t>
      </w:r>
      <w:r w:rsidR="00FC59D7" w:rsidRPr="002468A8">
        <w:rPr>
          <w:b/>
        </w:rPr>
        <w:t>stálého hmotného a nehmotného aktiva</w:t>
      </w:r>
      <w:r w:rsidR="00FC59D7">
        <w:t xml:space="preserve"> </w:t>
      </w:r>
      <w:r w:rsidR="00FF5E43">
        <w:t>podle § 6a odst. 1 písm. a) nejméně v hodnotě stanovené nařízením vlády, a to do 3 let od vydání rozhodnutí o příslibu,</w:t>
      </w:r>
    </w:p>
    <w:p w14:paraId="19BEBED1" w14:textId="2172AA6F" w:rsidR="00FF5E43" w:rsidRDefault="00562201" w:rsidP="00562201">
      <w:pPr>
        <w:pStyle w:val="Textparagrafu"/>
        <w:tabs>
          <w:tab w:val="left" w:pos="392"/>
          <w:tab w:val="left" w:pos="854"/>
        </w:tabs>
        <w:spacing w:before="0"/>
        <w:ind w:left="426" w:hanging="426"/>
      </w:pPr>
      <w:r>
        <w:t>b)</w:t>
      </w:r>
      <w:r>
        <w:tab/>
      </w:r>
      <w:r w:rsidR="00FF5E43">
        <w:t>vytvoření nových pracovních míst nejméně v počtu stanoveném nařízením vlády, a to do 3 let od vydání rozhodnutí o příslibu, nebo</w:t>
      </w:r>
    </w:p>
    <w:p w14:paraId="520BB01C" w14:textId="3CDC112D" w:rsidR="00FF5E43" w:rsidRDefault="00562201" w:rsidP="00562201">
      <w:pPr>
        <w:pStyle w:val="Textparagrafu"/>
        <w:tabs>
          <w:tab w:val="left" w:pos="392"/>
          <w:tab w:val="left" w:pos="854"/>
        </w:tabs>
        <w:spacing w:before="0"/>
        <w:ind w:left="426" w:hanging="426"/>
      </w:pPr>
      <w:r>
        <w:t>c)</w:t>
      </w:r>
      <w:r>
        <w:tab/>
      </w:r>
      <w:r w:rsidR="00FF5E43">
        <w:t>realizace investiční akce v rámci činnosti, která zvyšuje hodnotu prováděné činnosti prostřednictvím využití kvalifikované pracovní síly nebo pokročilých technologií a kterou stanoví vláda nařízením (dále jen "činnost s vyšší přidanou hodnotou"), a to do 3 let od vydání rozhodnutí o příslibu.</w:t>
      </w:r>
    </w:p>
    <w:p w14:paraId="54EA27D6" w14:textId="12059167" w:rsidR="00FF5E43" w:rsidRDefault="00FF5E43" w:rsidP="00D50FFB">
      <w:pPr>
        <w:pStyle w:val="Textparagrafu"/>
        <w:tabs>
          <w:tab w:val="left" w:pos="392"/>
          <w:tab w:val="left" w:pos="854"/>
        </w:tabs>
        <w:spacing w:before="120" w:after="120"/>
      </w:pPr>
      <w:r>
        <w:t xml:space="preserve">(4) Vláda nařízením stanoví pro každý typ investiční akce, která z dalších všeobecných podmínek podle odstavce 3 se použije a ve kterých regionech České republiky. Minimální hodnotu </w:t>
      </w:r>
      <w:r w:rsidRPr="00FC59D7">
        <w:rPr>
          <w:strike/>
        </w:rPr>
        <w:t>dlouhodobého hmotného a nehmotného majetku</w:t>
      </w:r>
      <w:r w:rsidR="00FC59D7" w:rsidRPr="00FC59D7">
        <w:rPr>
          <w:b/>
        </w:rPr>
        <w:t xml:space="preserve"> </w:t>
      </w:r>
      <w:r w:rsidR="00FC59D7" w:rsidRPr="002468A8">
        <w:rPr>
          <w:b/>
        </w:rPr>
        <w:t>stálého hmotného a nehmotného aktiva</w:t>
      </w:r>
      <w:r>
        <w:t>, minimální počet nových pracovních míst a činnosti s vyšší přidanou hodnotou, v závislosti na typu investiční akce, regionu, v němž má být investiční akce realizována, a velikosti příjemce investiční pobídky stanoví vláda nařízením na základě analýzy ekonomického a průmyslového vývoje České republiky, vývoje míry nezaměstnanosti v České republice a zhodnocení dosud podpořených investičních akcí.</w:t>
      </w:r>
    </w:p>
    <w:p w14:paraId="4C4A1DA6" w14:textId="277B5F57" w:rsidR="00FF5E43" w:rsidRDefault="00FF5E43" w:rsidP="00D50FFB">
      <w:pPr>
        <w:pStyle w:val="Textparagrafu"/>
        <w:tabs>
          <w:tab w:val="left" w:pos="392"/>
          <w:tab w:val="left" w:pos="854"/>
        </w:tabs>
        <w:spacing w:before="120" w:after="120"/>
      </w:pPr>
      <w:r>
        <w:t>(5) Do částek podle odstavce 3 písm. a) se nezahrnují platby na základě smlouvy umožňující užívání věci před nabytím vlastnického práva.</w:t>
      </w:r>
    </w:p>
    <w:p w14:paraId="53B48053" w14:textId="37DA8528" w:rsidR="00FF5E43" w:rsidRDefault="00FF5E43" w:rsidP="00D50FFB">
      <w:pPr>
        <w:pStyle w:val="Textparagrafu"/>
        <w:tabs>
          <w:tab w:val="left" w:pos="392"/>
          <w:tab w:val="left" w:pos="854"/>
        </w:tabs>
        <w:spacing w:before="120" w:after="120"/>
      </w:pPr>
      <w:r>
        <w:t>(6) Jsou-li z investiční pobídky podle § 1a odst. 1 písm. a) bodu 1 až 3, 5 a 6 hrazeny náklady, které se současně uhrazují z investiční pobídky podle § 1a odst. 1 písm. a) bodu 4, lze tyto náklady hradit do výše maximální míry veřejné podpory podle § 6 odst. 1.</w:t>
      </w:r>
    </w:p>
    <w:p w14:paraId="329E6259" w14:textId="24B04B3D" w:rsidR="00FF5E43" w:rsidRDefault="00FF5E43" w:rsidP="00D50FFB">
      <w:pPr>
        <w:pStyle w:val="Textparagrafu"/>
        <w:tabs>
          <w:tab w:val="left" w:pos="392"/>
          <w:tab w:val="left" w:pos="854"/>
        </w:tabs>
        <w:spacing w:before="120" w:after="120"/>
      </w:pPr>
      <w:r>
        <w:t>(7) Na žádost příjemce investiční pobídky, který prokáže, že v důsledku šíření onemocnění COVID-19 nemůže splnit všeobecné podmínky ve lhůtách stanovených v odstavci 3 písm. a), b) nebo c), může ministerstvo lhůtu podle odstavce 3 prodloužit nejdéle o 2 roky. Žádost musí být podána nejméně 30 dnů před uplynutím lhůty podle odstavce 3.</w:t>
      </w:r>
    </w:p>
    <w:p w14:paraId="1F0D46F2" w14:textId="5E4EFD36" w:rsidR="00FF5E43" w:rsidRDefault="00FF5E43" w:rsidP="00FE10F6">
      <w:pPr>
        <w:pStyle w:val="Textparagrafu"/>
        <w:tabs>
          <w:tab w:val="left" w:pos="392"/>
          <w:tab w:val="left" w:pos="854"/>
        </w:tabs>
        <w:spacing w:after="120"/>
        <w:ind w:firstLine="0"/>
        <w:jc w:val="center"/>
      </w:pPr>
      <w:r>
        <w:t>§ 3</w:t>
      </w:r>
    </w:p>
    <w:p w14:paraId="2C6C7F2E" w14:textId="0AD6E502" w:rsidR="00FF5E43" w:rsidRDefault="00FF5E43" w:rsidP="00D50FFB">
      <w:pPr>
        <w:pStyle w:val="Textparagrafu"/>
        <w:tabs>
          <w:tab w:val="left" w:pos="392"/>
          <w:tab w:val="left" w:pos="854"/>
        </w:tabs>
        <w:spacing w:before="120" w:after="120"/>
      </w:pPr>
      <w:r>
        <w:t>(1) Žadatelem o investiční pobídku (dále jen „žadatel“) může být podnikající právnická nebo fyzická osoba, která má v rámci svého podnikání alespoň 2 skončená účetní nebo zdaňovací období. Žadatel předloží na tiskopisu záměr získat investiční pobídku a dokumenty podle odstavců 3 až 6 (dále jen „podklady pro poskytnutí investiční pobídky“). Podklady pro poskytnutí investiční pobídky předloží žadatel buď v listinné podobě a současně v elektronické podobě na předepsaném technickém nosiči dat, anebo v elektronické podobě organizaci zřízené ministerstvem (dále jen „určená organizace“). Vzor tiskopisu pro uplatnění záměru získat investiční pobídku stanoví vláda nařízením.</w:t>
      </w:r>
    </w:p>
    <w:p w14:paraId="17EB38A3" w14:textId="626FFFDC" w:rsidR="00FF5E43" w:rsidRDefault="00FF5E43" w:rsidP="00D50FFB">
      <w:pPr>
        <w:pStyle w:val="Textparagrafu"/>
        <w:tabs>
          <w:tab w:val="left" w:pos="392"/>
          <w:tab w:val="left" w:pos="854"/>
        </w:tabs>
        <w:spacing w:before="120" w:after="120"/>
      </w:pPr>
      <w:r>
        <w:t>(2) Žadatel v záměru uvede</w:t>
      </w:r>
    </w:p>
    <w:p w14:paraId="316B1B7C" w14:textId="437C9493" w:rsidR="00FF5E43" w:rsidRDefault="00FF5E43" w:rsidP="00562201">
      <w:pPr>
        <w:pStyle w:val="Textparagrafu"/>
        <w:tabs>
          <w:tab w:val="left" w:pos="392"/>
          <w:tab w:val="left" w:pos="854"/>
        </w:tabs>
        <w:spacing w:before="0"/>
        <w:ind w:left="426" w:hanging="426"/>
      </w:pPr>
      <w:r>
        <w:t>a)</w:t>
      </w:r>
      <w:r w:rsidR="00FE10F6">
        <w:tab/>
      </w:r>
      <w:r>
        <w:t>jde-li o právnickou osobu, identifikační údaje osob, které jsou statutárním orgánem nebo členem statutárního orgánu právnické osoby, s uvedením způsobu, v jakém mohou jednat jejím jménem, identifikační údaje osob, které disponují 20 % nebo více hlasovacími právy nebo mají obchodní podíl ve výši 20 % nebo více základního kapitálu nebo v případě, jde-li o ovládanou osobu, identifikaci obchodní firmy nebo název anebo jméno a příjmení ovládající osoby a stát, ve kterém je umístěno její sídlo,</w:t>
      </w:r>
    </w:p>
    <w:p w14:paraId="225CFD03" w14:textId="74A0369C" w:rsidR="00FF5E43" w:rsidRDefault="00FF5E43" w:rsidP="00562201">
      <w:pPr>
        <w:pStyle w:val="Textparagrafu"/>
        <w:tabs>
          <w:tab w:val="left" w:pos="392"/>
          <w:tab w:val="left" w:pos="854"/>
        </w:tabs>
        <w:spacing w:before="0"/>
        <w:ind w:left="426" w:hanging="426"/>
      </w:pPr>
      <w:r>
        <w:lastRenderedPageBreak/>
        <w:t>b)</w:t>
      </w:r>
      <w:r w:rsidR="00FE10F6">
        <w:tab/>
      </w:r>
      <w:r>
        <w:t>hlavní předmět podnikání, velikost žadatele20), údaje o kontaktní osobě zmocněné k jednání za žadatele v řízeních podle tohoto zákona, vybrané ekonomické údaje o žadat</w:t>
      </w:r>
      <w:r w:rsidR="00FE10F6">
        <w:t>eli a údaje o počtu zaměstnanců,</w:t>
      </w:r>
    </w:p>
    <w:p w14:paraId="4BF94A11" w14:textId="52525787" w:rsidR="00FF5E43" w:rsidRDefault="00FF5E43" w:rsidP="00562201">
      <w:pPr>
        <w:pStyle w:val="Textparagrafu"/>
        <w:tabs>
          <w:tab w:val="left" w:pos="392"/>
          <w:tab w:val="left" w:pos="854"/>
        </w:tabs>
        <w:spacing w:before="0"/>
        <w:ind w:left="426" w:hanging="426"/>
      </w:pPr>
      <w:r>
        <w:t>c)</w:t>
      </w:r>
      <w:r w:rsidR="00FE10F6">
        <w:tab/>
      </w:r>
      <w:r>
        <w:t>údaje o investiční akci, jejím umístění, termínu jejího zahájení a ukončení a o způsobu jejího finančního, personálního a materiálního zajištění,</w:t>
      </w:r>
    </w:p>
    <w:p w14:paraId="1F99E4F9" w14:textId="74F52167" w:rsidR="00FF5E43" w:rsidRDefault="00FF5E43" w:rsidP="00562201">
      <w:pPr>
        <w:pStyle w:val="Textparagrafu"/>
        <w:tabs>
          <w:tab w:val="left" w:pos="392"/>
          <w:tab w:val="left" w:pos="854"/>
        </w:tabs>
        <w:spacing w:before="0"/>
        <w:ind w:left="426" w:hanging="426"/>
      </w:pPr>
      <w:r>
        <w:t>d)</w:t>
      </w:r>
      <w:r w:rsidR="00FE10F6">
        <w:tab/>
      </w:r>
      <w:r>
        <w:t>údaje o vlivu investiční akce na životní prostředí a spotřebu energie energetického hospodářství podle zákona upravujícího hospodaření s energií v místě realizace investiční akce,</w:t>
      </w:r>
    </w:p>
    <w:p w14:paraId="76A187B2" w14:textId="37C3153F" w:rsidR="00FF5E43" w:rsidRDefault="00FF5E43" w:rsidP="00562201">
      <w:pPr>
        <w:pStyle w:val="Textparagrafu"/>
        <w:tabs>
          <w:tab w:val="left" w:pos="392"/>
          <w:tab w:val="left" w:pos="854"/>
        </w:tabs>
        <w:spacing w:before="0"/>
        <w:ind w:left="426" w:hanging="426"/>
      </w:pPr>
      <w:r>
        <w:t>e)</w:t>
      </w:r>
      <w:r w:rsidR="00FE10F6">
        <w:tab/>
      </w:r>
      <w:r>
        <w:t>údaje k požadovaným formám investiční pobídky,</w:t>
      </w:r>
    </w:p>
    <w:p w14:paraId="769E3F6F" w14:textId="304B5C3A" w:rsidR="00FF5E43" w:rsidRDefault="00FF5E43" w:rsidP="00562201">
      <w:pPr>
        <w:pStyle w:val="Textparagrafu"/>
        <w:tabs>
          <w:tab w:val="left" w:pos="392"/>
          <w:tab w:val="left" w:pos="854"/>
        </w:tabs>
        <w:spacing w:before="0"/>
        <w:ind w:left="426" w:hanging="426"/>
      </w:pPr>
      <w:r>
        <w:t>f)</w:t>
      </w:r>
      <w:r w:rsidR="00FE10F6">
        <w:tab/>
      </w:r>
      <w:r>
        <w:t>údaje o dalších požadovaných nebo poskytnutých podporách pro investiční akci,</w:t>
      </w:r>
    </w:p>
    <w:p w14:paraId="4F5224CB" w14:textId="2F3B8102" w:rsidR="00FF5E43" w:rsidRDefault="00FF5E43" w:rsidP="00562201">
      <w:pPr>
        <w:pStyle w:val="Textparagrafu"/>
        <w:tabs>
          <w:tab w:val="left" w:pos="392"/>
          <w:tab w:val="left" w:pos="854"/>
        </w:tabs>
        <w:spacing w:before="0"/>
        <w:ind w:left="426" w:hanging="426"/>
      </w:pPr>
      <w:r>
        <w:t>g)</w:t>
      </w:r>
      <w:r w:rsidR="00FE10F6">
        <w:tab/>
      </w:r>
      <w:r>
        <w:t>údaje ke způsobilým nákladům a volbu způsobilých nákladů podle § 6a odst. 1,</w:t>
      </w:r>
    </w:p>
    <w:p w14:paraId="2C5CD5FD" w14:textId="0F22692B" w:rsidR="00FF5E43" w:rsidRDefault="00FF5E43" w:rsidP="00562201">
      <w:pPr>
        <w:pStyle w:val="Textparagrafu"/>
        <w:tabs>
          <w:tab w:val="left" w:pos="392"/>
          <w:tab w:val="left" w:pos="854"/>
        </w:tabs>
        <w:spacing w:before="0"/>
        <w:ind w:left="426" w:hanging="426"/>
      </w:pPr>
      <w:r>
        <w:t>h)</w:t>
      </w:r>
      <w:r w:rsidR="00FE10F6">
        <w:tab/>
      </w:r>
      <w:r>
        <w:t>údaje o dalších investicích žadatele nebo osob považovaných za podniky propojené s žadatelem podle přímo použit</w:t>
      </w:r>
      <w:r w:rsidR="00FE10F6">
        <w:t>elného předpisu Evropské unie</w:t>
      </w:r>
      <w:r w:rsidR="00FE10F6">
        <w:rPr>
          <w:rStyle w:val="Znakapoznpodarou"/>
        </w:rPr>
        <w:footnoteReference w:customMarkFollows="1" w:id="298"/>
        <w:t>20)</w:t>
      </w:r>
      <w:r>
        <w:t xml:space="preserve"> zahájených v předcházejících 3 letech přede dnem podání záměru získat investiční pobídku na území kraje, ve kterém má být investiční akce realizována, a na něž byla poskytnuta nebo je žádána veřejná podpora, která je regionální investiční podporou podle přímo použitelného předpisu Evropské unie</w:t>
      </w:r>
      <w:r w:rsidRPr="00FE10F6">
        <w:rPr>
          <w:vertAlign w:val="superscript"/>
        </w:rPr>
        <w:t>1)</w:t>
      </w:r>
      <w:r>
        <w:t>,</w:t>
      </w:r>
    </w:p>
    <w:p w14:paraId="4A91BAE2" w14:textId="3FDF19F0" w:rsidR="00FF5E43" w:rsidRDefault="00FE10F6" w:rsidP="00562201">
      <w:pPr>
        <w:pStyle w:val="Textparagrafu"/>
        <w:tabs>
          <w:tab w:val="left" w:pos="392"/>
          <w:tab w:val="left" w:pos="854"/>
        </w:tabs>
        <w:spacing w:before="0"/>
        <w:ind w:left="426" w:hanging="426"/>
      </w:pPr>
      <w:r>
        <w:t>i)</w:t>
      </w:r>
      <w:r>
        <w:tab/>
      </w:r>
      <w:r w:rsidR="00FF5E43">
        <w:t>požadovanou výši veřejné podpory, a</w:t>
      </w:r>
    </w:p>
    <w:p w14:paraId="556F0466" w14:textId="27B8136F" w:rsidR="00FF5E43" w:rsidRDefault="00FE10F6" w:rsidP="00562201">
      <w:pPr>
        <w:pStyle w:val="Textparagrafu"/>
        <w:tabs>
          <w:tab w:val="left" w:pos="392"/>
          <w:tab w:val="left" w:pos="854"/>
        </w:tabs>
        <w:spacing w:before="0"/>
        <w:ind w:left="426" w:hanging="426"/>
      </w:pPr>
      <w:r>
        <w:t>j)</w:t>
      </w:r>
      <w:r>
        <w:tab/>
      </w:r>
      <w:r w:rsidR="00FF5E43">
        <w:t>vyčíslení a zdůvodnění předpokládaného přínosu investiční akce pro region a stát.</w:t>
      </w:r>
    </w:p>
    <w:p w14:paraId="2838595D" w14:textId="6244C76A" w:rsidR="00FF5E43" w:rsidRDefault="00FF5E43" w:rsidP="00D50FFB">
      <w:pPr>
        <w:pStyle w:val="Textparagrafu"/>
        <w:tabs>
          <w:tab w:val="left" w:pos="392"/>
          <w:tab w:val="left" w:pos="854"/>
        </w:tabs>
        <w:spacing w:before="120" w:after="120"/>
      </w:pPr>
      <w:r>
        <w:t>(3) Žadatel k záměru připojí,</w:t>
      </w:r>
    </w:p>
    <w:p w14:paraId="014441D6" w14:textId="746CD13D" w:rsidR="00FF5E43" w:rsidRDefault="00FF5E43" w:rsidP="00562201">
      <w:pPr>
        <w:pStyle w:val="Textparagrafu"/>
        <w:tabs>
          <w:tab w:val="left" w:pos="392"/>
          <w:tab w:val="left" w:pos="854"/>
        </w:tabs>
        <w:spacing w:before="0"/>
        <w:ind w:left="426" w:hanging="426"/>
      </w:pPr>
      <w:r>
        <w:t>a)</w:t>
      </w:r>
      <w:r w:rsidR="00FE10F6">
        <w:tab/>
      </w:r>
      <w:r>
        <w:t xml:space="preserve">jde-li o právnickou </w:t>
      </w:r>
      <w:r w:rsidRPr="00FC59D7">
        <w:rPr>
          <w:strike/>
        </w:rPr>
        <w:t>osobu, výroční zprávy,</w:t>
      </w:r>
      <w:r w:rsidR="00FC59D7" w:rsidRPr="00FC59D7">
        <w:rPr>
          <w:b/>
          <w:bCs/>
        </w:rPr>
        <w:t xml:space="preserve"> </w:t>
      </w:r>
      <w:r w:rsidR="00FC59D7" w:rsidRPr="002468A8">
        <w:rPr>
          <w:b/>
          <w:bCs/>
        </w:rPr>
        <w:t xml:space="preserve">osobu, </w:t>
      </w:r>
      <w:r w:rsidR="00FC59D7" w:rsidRPr="002468A8">
        <w:rPr>
          <w:b/>
        </w:rPr>
        <w:t>zprávy vedení a</w:t>
      </w:r>
      <w:r w:rsidR="00FC59D7" w:rsidRPr="002468A8">
        <w:t xml:space="preserve"> </w:t>
      </w:r>
      <w:r w:rsidR="00FC59D7" w:rsidRPr="002468A8">
        <w:rPr>
          <w:b/>
        </w:rPr>
        <w:t>řádné</w:t>
      </w:r>
      <w:r>
        <w:t xml:space="preserve"> účetní závěrky nebo </w:t>
      </w:r>
      <w:r w:rsidRPr="00FC59D7">
        <w:rPr>
          <w:strike/>
        </w:rPr>
        <w:t>konsolidované účetní závěrky</w:t>
      </w:r>
      <w:r>
        <w:t xml:space="preserve"> za poslední 2 skončená účetní období, pokud je žadatel povinen je sestavovat podle právních předpisů upravujících účetnictví; pokud jsou ke dni předložení záměru </w:t>
      </w:r>
      <w:r w:rsidRPr="00FC59D7">
        <w:rPr>
          <w:strike/>
        </w:rPr>
        <w:t>uveřejněny výroční zprávy,</w:t>
      </w:r>
      <w:r w:rsidR="00FC59D7" w:rsidRPr="00FC59D7">
        <w:rPr>
          <w:b/>
        </w:rPr>
        <w:t xml:space="preserve"> </w:t>
      </w:r>
      <w:r w:rsidR="00FC59D7" w:rsidRPr="002468A8">
        <w:rPr>
          <w:b/>
        </w:rPr>
        <w:t>zveřejněny zprávy vedení a řádné</w:t>
      </w:r>
      <w:r>
        <w:t xml:space="preserve"> účetní závěrky nebo konsolidované účetní závěrky ve sbírce listin veřejného rejstříku, žadatel je nepředkládá; zahraniční osoba připojí výpis z veřejného rejstříku a </w:t>
      </w:r>
      <w:r w:rsidR="00EB7F03" w:rsidRPr="00EB7F03">
        <w:rPr>
          <w:b/>
        </w:rPr>
        <w:t>řádné</w:t>
      </w:r>
      <w:r w:rsidR="00EB7F03">
        <w:t xml:space="preserve"> </w:t>
      </w:r>
      <w:r>
        <w:t>účetní závěrky za poslední 2 skončená účetní období, má-li povinnost je zpracovávat podle právního řádu státu, ve kterém má sídlo, a dále připojí zakladatelské právní jednání nebo jeho úředně ověřenou kopii a stanovy, nejsou-li zakladatelským právním jednáním,</w:t>
      </w:r>
    </w:p>
    <w:p w14:paraId="02F0FB96" w14:textId="7910B09C" w:rsidR="00FF5E43" w:rsidRDefault="00FF5E43" w:rsidP="00562201">
      <w:pPr>
        <w:pStyle w:val="Textparagrafu"/>
        <w:tabs>
          <w:tab w:val="left" w:pos="392"/>
          <w:tab w:val="left" w:pos="854"/>
        </w:tabs>
        <w:spacing w:before="0"/>
        <w:ind w:left="426" w:hanging="426"/>
      </w:pPr>
      <w:r>
        <w:t>b)</w:t>
      </w:r>
      <w:r w:rsidR="00FE10F6">
        <w:tab/>
      </w:r>
      <w:r>
        <w:t xml:space="preserve">jde-li o podnikající fyzickou osobu, doklad o oprávnění k </w:t>
      </w:r>
      <w:r w:rsidRPr="00EB7F03">
        <w:rPr>
          <w:strike/>
        </w:rPr>
        <w:t>podnikání, účetní závěrky, daňovou evidenci nebo kopie daňových přiznání k dani z příjmů</w:t>
      </w:r>
      <w:r>
        <w:t xml:space="preserve"> </w:t>
      </w:r>
      <w:r w:rsidR="00EB7F03" w:rsidRPr="002468A8">
        <w:rPr>
          <w:b/>
          <w:bCs/>
        </w:rPr>
        <w:t xml:space="preserve">podnikání, </w:t>
      </w:r>
      <w:r w:rsidR="00EB7F03" w:rsidRPr="002468A8">
        <w:rPr>
          <w:b/>
        </w:rPr>
        <w:t>řádné účetní závěrky, je-li účetní jednotkou, daňovou evidenci nebo kopie daňových přiznání k dani z příjmů, není-li účetní jednotkou, a to</w:t>
      </w:r>
      <w:r w:rsidR="00EB7F03">
        <w:t xml:space="preserve"> </w:t>
      </w:r>
      <w:r>
        <w:t xml:space="preserve">za poslední 2 skončená účetní nebo zdaňovací období; pokud jsou ke dni předložení záměru </w:t>
      </w:r>
      <w:r w:rsidRPr="00EB7F03">
        <w:rPr>
          <w:strike/>
        </w:rPr>
        <w:t>uveřejněny účetní závěrky</w:t>
      </w:r>
      <w:r>
        <w:t xml:space="preserve"> </w:t>
      </w:r>
      <w:r w:rsidR="00EB7F03" w:rsidRPr="002468A8">
        <w:rPr>
          <w:b/>
        </w:rPr>
        <w:t>zveřejněny řádné</w:t>
      </w:r>
      <w:r w:rsidR="00EB7F03" w:rsidRPr="002468A8">
        <w:t xml:space="preserve"> </w:t>
      </w:r>
      <w:r w:rsidR="00EB7F03" w:rsidRPr="002468A8">
        <w:rPr>
          <w:b/>
          <w:bCs/>
        </w:rPr>
        <w:t>účetní závěrky</w:t>
      </w:r>
      <w:r w:rsidR="00EB7F03">
        <w:t xml:space="preserve"> </w:t>
      </w:r>
      <w:r>
        <w:t>ve sbírce listin veřejného rejstříku, žadatel je nepředkládá; zahraniční osoba připojí výpis z veřejného rejstříku a</w:t>
      </w:r>
      <w:r w:rsidR="00EB7F03">
        <w:rPr>
          <w:b/>
        </w:rPr>
        <w:t xml:space="preserve"> řádné</w:t>
      </w:r>
      <w:r>
        <w:t xml:space="preserve"> účetní závěrky, daňovou evidenci nebo kopie daňových přiznání k dani z příjmů za 2 poslední skončená účetní nebo zdaňovací období, má-li povinnost je zpracovávat, vést nebo předkládat podle právního řádu státu, ve kterém má sídlo.</w:t>
      </w:r>
    </w:p>
    <w:p w14:paraId="2EFBA2E2" w14:textId="1CC6C9C1" w:rsidR="00FF5E43" w:rsidRDefault="00FF5E43" w:rsidP="00D50FFB">
      <w:pPr>
        <w:pStyle w:val="Textparagrafu"/>
        <w:tabs>
          <w:tab w:val="left" w:pos="392"/>
          <w:tab w:val="left" w:pos="854"/>
        </w:tabs>
        <w:spacing w:before="120" w:after="120"/>
      </w:pPr>
      <w:r>
        <w:t>(4) Žadatel k záměru dále připojí</w:t>
      </w:r>
    </w:p>
    <w:p w14:paraId="06A4880E" w14:textId="69C73C77" w:rsidR="00FF5E43" w:rsidRDefault="00FF5E43" w:rsidP="00562201">
      <w:pPr>
        <w:pStyle w:val="Textparagrafu"/>
        <w:tabs>
          <w:tab w:val="left" w:pos="426"/>
          <w:tab w:val="left" w:pos="854"/>
        </w:tabs>
        <w:spacing w:before="0"/>
        <w:ind w:left="426" w:hanging="426"/>
      </w:pPr>
      <w:r>
        <w:t>a)</w:t>
      </w:r>
      <w:r w:rsidR="00FE10F6">
        <w:tab/>
      </w:r>
      <w:r>
        <w:t>čestné prohlášení, že</w:t>
      </w:r>
    </w:p>
    <w:p w14:paraId="71042D4A" w14:textId="7999A39A" w:rsidR="00FF5E43" w:rsidRDefault="00FE10F6" w:rsidP="00D50FFB">
      <w:pPr>
        <w:pStyle w:val="Textparagrafu"/>
        <w:tabs>
          <w:tab w:val="left" w:pos="426"/>
          <w:tab w:val="left" w:pos="854"/>
        </w:tabs>
        <w:spacing w:before="0"/>
        <w:ind w:left="850" w:hanging="425"/>
      </w:pPr>
      <w:r>
        <w:tab/>
      </w:r>
      <w:r w:rsidR="00FF5E43">
        <w:t>1.</w:t>
      </w:r>
      <w:r>
        <w:tab/>
      </w:r>
      <w:r w:rsidR="00FF5E43">
        <w:t>zahájí práce související s realizací investiční akce až po dni předložení záměru získat investiční pobídku podle § 3 odst. 1,</w:t>
      </w:r>
    </w:p>
    <w:p w14:paraId="484A7687" w14:textId="62346EAF" w:rsidR="00FF5E43" w:rsidRDefault="00FE10F6" w:rsidP="00D50FFB">
      <w:pPr>
        <w:pStyle w:val="Textparagrafu"/>
        <w:tabs>
          <w:tab w:val="left" w:pos="426"/>
          <w:tab w:val="left" w:pos="854"/>
        </w:tabs>
        <w:spacing w:before="0"/>
        <w:ind w:left="850" w:hanging="425"/>
      </w:pPr>
      <w:r>
        <w:tab/>
      </w:r>
      <w:r w:rsidR="00FF5E43">
        <w:t>2.</w:t>
      </w:r>
      <w:r>
        <w:tab/>
      </w:r>
      <w:r w:rsidR="00FF5E43">
        <w:t>je nebo není malým nebo středním podnikatelem</w:t>
      </w:r>
      <w:r w:rsidR="00D52414" w:rsidRPr="00D52414">
        <w:rPr>
          <w:vertAlign w:val="superscript"/>
        </w:rPr>
        <w:t>20)</w:t>
      </w:r>
      <w:r w:rsidR="00FF5E43">
        <w:t>,</w:t>
      </w:r>
    </w:p>
    <w:p w14:paraId="6BB2029D" w14:textId="54BF1254" w:rsidR="00FF5E43" w:rsidRDefault="00FE10F6" w:rsidP="00D50FFB">
      <w:pPr>
        <w:pStyle w:val="Textparagrafu"/>
        <w:tabs>
          <w:tab w:val="left" w:pos="426"/>
          <w:tab w:val="left" w:pos="854"/>
        </w:tabs>
        <w:spacing w:before="0"/>
        <w:ind w:left="850" w:hanging="425"/>
      </w:pPr>
      <w:r>
        <w:lastRenderedPageBreak/>
        <w:tab/>
      </w:r>
      <w:r w:rsidR="00FF5E43">
        <w:t>3.</w:t>
      </w:r>
      <w:r>
        <w:tab/>
      </w:r>
      <w:r w:rsidR="00FF5E43">
        <w:t>vůči němu nebylo vydáno rozhodnutí o úpadku, nebo obdobné rozhodnutí u zahraniční osoby, nebo že mu úpadek nehrozí,</w:t>
      </w:r>
    </w:p>
    <w:p w14:paraId="271B3E9E" w14:textId="412F04EB" w:rsidR="00FF5E43" w:rsidRDefault="00FE10F6" w:rsidP="00D50FFB">
      <w:pPr>
        <w:pStyle w:val="Textparagrafu"/>
        <w:tabs>
          <w:tab w:val="left" w:pos="426"/>
          <w:tab w:val="left" w:pos="854"/>
        </w:tabs>
        <w:spacing w:before="0"/>
        <w:ind w:left="850" w:hanging="425"/>
      </w:pPr>
      <w:r>
        <w:tab/>
      </w:r>
      <w:r w:rsidR="00FF5E43">
        <w:t>4.</w:t>
      </w:r>
      <w:r>
        <w:tab/>
      </w:r>
      <w:r w:rsidR="00FF5E43">
        <w:t>podklady pro poskytnutí investiční pobídky předložené v elektronické podobě na technickém nosiči dat jsou shodné s podklady pro poskytnutí investiční pobídky předloženými v listinné podobě v případě, že žadatel tyto podklady předkládá v listinné podobě,</w:t>
      </w:r>
    </w:p>
    <w:p w14:paraId="5B3DF75B" w14:textId="43DC947F" w:rsidR="00FF5E43" w:rsidRDefault="00FE10F6" w:rsidP="00D50FFB">
      <w:pPr>
        <w:pStyle w:val="Textparagrafu"/>
        <w:tabs>
          <w:tab w:val="left" w:pos="426"/>
          <w:tab w:val="left" w:pos="854"/>
        </w:tabs>
        <w:spacing w:before="0"/>
        <w:ind w:left="850" w:hanging="425"/>
      </w:pPr>
      <w:r>
        <w:tab/>
      </w:r>
      <w:r w:rsidR="00FF5E43">
        <w:t>5.</w:t>
      </w:r>
      <w:r>
        <w:tab/>
      </w:r>
      <w:r w:rsidR="00FF5E43">
        <w:t>se nenachází v obtížích podle přímo použitelného předpisu Evropské unie</w:t>
      </w:r>
      <w:r w:rsidR="00FF5E43" w:rsidRPr="00FE10F6">
        <w:rPr>
          <w:vertAlign w:val="superscript"/>
        </w:rPr>
        <w:t>1)</w:t>
      </w:r>
      <w:r w:rsidR="00FF5E43">
        <w:t xml:space="preserve"> a nejedná se o žadatele, vůči němuž byl v návaznosti na rozhodnutí Komise, jímž byla podpora obdržená od poskytovatele z České republiky prohlášena za protiprávní a neslučitelnou s vnitřním trhem, vystaven inkasní příkaz, který dosud nebyl splacen,</w:t>
      </w:r>
    </w:p>
    <w:p w14:paraId="73475498" w14:textId="75430E0C" w:rsidR="00FF5E43" w:rsidRDefault="00923C24" w:rsidP="00D50FFB">
      <w:pPr>
        <w:pStyle w:val="Textparagrafu"/>
        <w:tabs>
          <w:tab w:val="left" w:pos="426"/>
          <w:tab w:val="left" w:pos="854"/>
        </w:tabs>
        <w:spacing w:before="0"/>
        <w:ind w:left="850" w:hanging="425"/>
      </w:pPr>
      <w:r>
        <w:tab/>
      </w:r>
      <w:r w:rsidR="00FF5E43">
        <w:t>6.</w:t>
      </w:r>
      <w:r>
        <w:tab/>
      </w:r>
      <w:r w:rsidR="00FF5E43">
        <w:t>neprovedl v předcházejících 2 letech přede dnem předložení záměru získat investiční pobídku přemístění podle přímo použitelného předpisu Evropské unie</w:t>
      </w:r>
      <w:r w:rsidR="00FF5E43" w:rsidRPr="00923C24">
        <w:rPr>
          <w:vertAlign w:val="superscript"/>
        </w:rPr>
        <w:t>1)</w:t>
      </w:r>
      <w:r w:rsidR="00FF5E43">
        <w:t xml:space="preserve"> do místa realizace investiční akce, na kterou je investiční pobídka žádána, a zaváže se, že tak neučiní do 2 let po dokončení investiční akce, na kterou je investiční pobídka žádána,</w:t>
      </w:r>
    </w:p>
    <w:p w14:paraId="1AF6AAA9" w14:textId="76991F3E" w:rsidR="00FF5E43" w:rsidRDefault="00923C24" w:rsidP="00D50FFB">
      <w:pPr>
        <w:pStyle w:val="Textparagrafu"/>
        <w:tabs>
          <w:tab w:val="left" w:pos="426"/>
          <w:tab w:val="left" w:pos="854"/>
        </w:tabs>
        <w:spacing w:before="0"/>
        <w:ind w:left="850" w:hanging="425"/>
      </w:pPr>
      <w:r>
        <w:tab/>
      </w:r>
      <w:r w:rsidR="00FF5E43">
        <w:t>7.</w:t>
      </w:r>
      <w:r>
        <w:tab/>
      </w:r>
      <w:r w:rsidR="00FF5E43">
        <w:t>není obchodní společností, které je zakázáno poskytnout investiční pobídku podle zákona upravujícího střet zájmů,</w:t>
      </w:r>
    </w:p>
    <w:p w14:paraId="3D9F1BB0" w14:textId="02947938" w:rsidR="00FF5E43" w:rsidRDefault="00FF5E43" w:rsidP="00562201">
      <w:pPr>
        <w:pStyle w:val="Textparagrafu"/>
        <w:tabs>
          <w:tab w:val="left" w:pos="426"/>
          <w:tab w:val="left" w:pos="854"/>
        </w:tabs>
        <w:spacing w:before="0"/>
        <w:ind w:left="426" w:hanging="426"/>
      </w:pPr>
      <w:r>
        <w:t xml:space="preserve">b) </w:t>
      </w:r>
      <w:r w:rsidR="00D50FFB">
        <w:tab/>
      </w:r>
      <w:r>
        <w:t>potvrzení příslušného orgánu, že nemá v evidenci daní evidován nedoplatek, nemá nedoplatek na pojistném na sociální zabezpečení a příspěvku na státní politiku zaměstnanosti, včetně penále, nemá nedoplatek na pojistném na veřejné zdravotní pojištění, včetně penále; potvrzení nesmí být starší 2 měsíců a musí odpovídat skutečnému stavu ke dni podání žádosti,</w:t>
      </w:r>
    </w:p>
    <w:p w14:paraId="485CB03B" w14:textId="722B7BF9" w:rsidR="00FF5E43" w:rsidRDefault="00FF5E43" w:rsidP="00562201">
      <w:pPr>
        <w:pStyle w:val="Textparagrafu"/>
        <w:tabs>
          <w:tab w:val="left" w:pos="426"/>
          <w:tab w:val="left" w:pos="854"/>
        </w:tabs>
        <w:spacing w:before="0"/>
        <w:ind w:left="426" w:hanging="426"/>
      </w:pPr>
      <w:r>
        <w:t>c)</w:t>
      </w:r>
      <w:r w:rsidR="00923C24">
        <w:tab/>
      </w:r>
      <w:r>
        <w:t>popis způsobu financování investiční akce,</w:t>
      </w:r>
    </w:p>
    <w:p w14:paraId="3C0588CC" w14:textId="78119E9F" w:rsidR="00FF5E43" w:rsidRDefault="00FF5E43" w:rsidP="00562201">
      <w:pPr>
        <w:pStyle w:val="Textparagrafu"/>
        <w:tabs>
          <w:tab w:val="left" w:pos="426"/>
          <w:tab w:val="left" w:pos="854"/>
        </w:tabs>
        <w:spacing w:before="0"/>
        <w:ind w:left="426" w:hanging="426"/>
      </w:pPr>
      <w:r>
        <w:t>d)</w:t>
      </w:r>
      <w:r w:rsidR="00923C24">
        <w:tab/>
      </w:r>
      <w:r>
        <w:t>popis investiční akce,</w:t>
      </w:r>
    </w:p>
    <w:p w14:paraId="17A79953" w14:textId="193720DB" w:rsidR="00FF5E43" w:rsidRDefault="00FF5E43" w:rsidP="00562201">
      <w:pPr>
        <w:pStyle w:val="Textparagrafu"/>
        <w:tabs>
          <w:tab w:val="left" w:pos="426"/>
          <w:tab w:val="left" w:pos="854"/>
        </w:tabs>
        <w:spacing w:before="0"/>
        <w:ind w:left="426" w:hanging="426"/>
      </w:pPr>
      <w:r>
        <w:t>e)</w:t>
      </w:r>
      <w:r w:rsidR="00923C24">
        <w:tab/>
      </w:r>
      <w:r>
        <w:t>organizační uspořádání podnikatelského seskupení, pokud je žadatel jeho součástí,</w:t>
      </w:r>
    </w:p>
    <w:p w14:paraId="274F0445" w14:textId="67DACD80" w:rsidR="00FF5E43" w:rsidRDefault="00FF5E43" w:rsidP="00562201">
      <w:pPr>
        <w:pStyle w:val="Textparagrafu"/>
        <w:tabs>
          <w:tab w:val="left" w:pos="426"/>
          <w:tab w:val="left" w:pos="854"/>
        </w:tabs>
        <w:spacing w:before="0"/>
        <w:ind w:left="426" w:hanging="426"/>
      </w:pPr>
      <w:r>
        <w:t>f)</w:t>
      </w:r>
      <w:r w:rsidR="00923C24">
        <w:tab/>
      </w:r>
      <w:r>
        <w:t>další údaje a podklady nezbytné pro posouzení individuální výjimky ze zákazu veřejné podpory Komisí v případě investiční akce vyžadující udělení individuální výjimky ze zákazu veřejné podpory Komisí.</w:t>
      </w:r>
    </w:p>
    <w:p w14:paraId="0FEE6A29" w14:textId="65EC6C40" w:rsidR="00FF5E43" w:rsidRDefault="00FF5E43" w:rsidP="00D50FFB">
      <w:pPr>
        <w:pStyle w:val="Textparagrafu"/>
        <w:tabs>
          <w:tab w:val="left" w:pos="392"/>
          <w:tab w:val="left" w:pos="854"/>
        </w:tabs>
        <w:spacing w:before="120" w:after="120"/>
      </w:pPr>
      <w:r>
        <w:t>(5) Má-li být žadatel současně příjemcem investiční pobídky, připojí dále k záměru doklad o zproštění povinnosti zachovávat mlčenlivost podle daňového řádu pro zaměstnance v orgánu Finanční správy České republiky a zaměstnance v Ministerstvu financí vůči ministerstvu pro účely kontroly podle § 7 odst. 1 a zvláštního právního předpisu</w:t>
      </w:r>
      <w:r w:rsidR="00923C24">
        <w:rPr>
          <w:rStyle w:val="Znakapoznpodarou"/>
        </w:rPr>
        <w:footnoteReference w:customMarkFollows="1" w:id="299"/>
        <w:t>22)</w:t>
      </w:r>
      <w:r>
        <w:t>, a to v rozsahu údajů dokládajících stav plnění všeobecných podmínek podle § 2 odst. 2 písm. c) a § 2 odst. 3 písm. a), povinností podle § 6a odst. 2, 3 a 6, jakož i údajů o výši uplatněné investiční pobídky podle § 1a odst. 1 písm. a) bodu 1 a 6.</w:t>
      </w:r>
    </w:p>
    <w:p w14:paraId="1846D2BA" w14:textId="5A8A31B5" w:rsidR="00FF5E43" w:rsidRDefault="00FF5E43" w:rsidP="00D50FFB">
      <w:pPr>
        <w:pStyle w:val="Textparagrafu"/>
        <w:tabs>
          <w:tab w:val="left" w:pos="392"/>
          <w:tab w:val="left" w:pos="854"/>
        </w:tabs>
        <w:spacing w:before="120" w:after="120"/>
      </w:pPr>
      <w:r>
        <w:t xml:space="preserve">(6) Zahraniční osoba může předložit zakladatelské právní jednání a stanovy, nejsou-li zakladatelským právním jednáním, a </w:t>
      </w:r>
      <w:r w:rsidR="008240CF">
        <w:rPr>
          <w:b/>
        </w:rPr>
        <w:t xml:space="preserve">řádné </w:t>
      </w:r>
      <w:r>
        <w:t>účetní závěrky, daňovou evidenci nebo kopie daňových přiznání k dani z příjmů v anglickém jazyce.</w:t>
      </w:r>
    </w:p>
    <w:p w14:paraId="19E7CA0B" w14:textId="5E6B9BF6" w:rsidR="00FF5E43" w:rsidRDefault="009278CF" w:rsidP="00923C24">
      <w:pPr>
        <w:pStyle w:val="Textparagrafu"/>
        <w:tabs>
          <w:tab w:val="left" w:pos="392"/>
          <w:tab w:val="left" w:pos="854"/>
        </w:tabs>
        <w:spacing w:after="120"/>
        <w:ind w:firstLine="0"/>
        <w:jc w:val="center"/>
      </w:pPr>
      <w:r>
        <w:t>***</w:t>
      </w:r>
    </w:p>
    <w:p w14:paraId="1FD0E68D" w14:textId="493E1B27" w:rsidR="009278CF" w:rsidRDefault="009278CF" w:rsidP="00923C24">
      <w:pPr>
        <w:pStyle w:val="Textparagrafu"/>
        <w:tabs>
          <w:tab w:val="left" w:pos="392"/>
          <w:tab w:val="left" w:pos="854"/>
        </w:tabs>
        <w:spacing w:after="120"/>
        <w:ind w:firstLine="0"/>
        <w:jc w:val="center"/>
      </w:pPr>
      <w:r>
        <w:t>§ 6a</w:t>
      </w:r>
    </w:p>
    <w:p w14:paraId="4EA1B1D3" w14:textId="32BA19C3" w:rsidR="009278CF" w:rsidRDefault="009278CF" w:rsidP="00D50FFB">
      <w:pPr>
        <w:pStyle w:val="Textparagrafu"/>
        <w:tabs>
          <w:tab w:val="left" w:pos="392"/>
          <w:tab w:val="left" w:pos="854"/>
        </w:tabs>
        <w:spacing w:before="120" w:after="120"/>
      </w:pPr>
      <w:r>
        <w:t xml:space="preserve">(1) Způsobilými náklady jsou náklady vynaložené po dni předložení záměru získat investiční pobídku podle § 3 odst. 1, které se vztahují k investiční akci, jsou určeny k činnosti, </w:t>
      </w:r>
      <w:r>
        <w:lastRenderedPageBreak/>
        <w:t>jež je vykonávána v důsledku realizace investiční akce, a pro které příjemce vede oddělenou evidenci; způsobilé náklady jsou tvořeny</w:t>
      </w:r>
    </w:p>
    <w:p w14:paraId="2C2FBA7A" w14:textId="3484F675" w:rsidR="009278CF" w:rsidRDefault="009278CF" w:rsidP="00562201">
      <w:pPr>
        <w:pStyle w:val="Textparagrafu"/>
        <w:tabs>
          <w:tab w:val="left" w:pos="426"/>
          <w:tab w:val="left" w:pos="854"/>
        </w:tabs>
        <w:spacing w:before="0"/>
        <w:ind w:left="426" w:hanging="426"/>
      </w:pPr>
      <w:r>
        <w:t>a)</w:t>
      </w:r>
      <w:r w:rsidR="00923C24">
        <w:tab/>
      </w:r>
      <w:r>
        <w:t xml:space="preserve">hodnotou strojního zařízení, které bylo pořízeno za tržní </w:t>
      </w:r>
      <w:r w:rsidRPr="00334709">
        <w:rPr>
          <w:strike/>
        </w:rPr>
        <w:t>cenu</w:t>
      </w:r>
      <w:r>
        <w:t xml:space="preserve"> </w:t>
      </w:r>
      <w:r w:rsidR="00334709">
        <w:rPr>
          <w:b/>
        </w:rPr>
        <w:t xml:space="preserve">hodnotu </w:t>
      </w:r>
      <w:r>
        <w:t xml:space="preserve">a nebylo vyrobeno více než 2 roky před zahájením jeho pořizování, a dále hodnotou nebo částí hodnoty </w:t>
      </w:r>
      <w:r w:rsidRPr="00334709">
        <w:rPr>
          <w:strike/>
        </w:rPr>
        <w:t>dlouhodobého hmotného majetku</w:t>
      </w:r>
      <w:r>
        <w:t xml:space="preserve"> </w:t>
      </w:r>
      <w:r w:rsidR="00B004F3" w:rsidRPr="002468A8">
        <w:rPr>
          <w:b/>
        </w:rPr>
        <w:t>stálého hmotného aktiva</w:t>
      </w:r>
      <w:r w:rsidR="00B004F3">
        <w:t xml:space="preserve"> </w:t>
      </w:r>
      <w:r>
        <w:t xml:space="preserve">ve formě pozemků nebo staveb nebo </w:t>
      </w:r>
      <w:r w:rsidRPr="00B004F3">
        <w:rPr>
          <w:strike/>
        </w:rPr>
        <w:t>dlouhodobého nehmotného majetku</w:t>
      </w:r>
      <w:r w:rsidR="00B004F3" w:rsidRPr="00B004F3">
        <w:rPr>
          <w:b/>
        </w:rPr>
        <w:t xml:space="preserve"> </w:t>
      </w:r>
      <w:r w:rsidR="00B004F3" w:rsidRPr="002468A8">
        <w:rPr>
          <w:b/>
        </w:rPr>
        <w:t xml:space="preserve">stálého </w:t>
      </w:r>
      <w:r w:rsidR="00B004F3">
        <w:rPr>
          <w:b/>
        </w:rPr>
        <w:t>ne</w:t>
      </w:r>
      <w:r w:rsidR="00B004F3" w:rsidRPr="002468A8">
        <w:rPr>
          <w:b/>
        </w:rPr>
        <w:t>hmotného aktiva</w:t>
      </w:r>
      <w:r>
        <w:t xml:space="preserve">, a to až do výše hodnoty strojního zařízení zahrnuté do způsobilých nákladů. </w:t>
      </w:r>
      <w:r w:rsidRPr="00585190">
        <w:rPr>
          <w:strike/>
        </w:rPr>
        <w:t>Dlouhodobý nehmotný majetek</w:t>
      </w:r>
      <w:r>
        <w:t xml:space="preserve"> </w:t>
      </w:r>
      <w:r w:rsidR="00585190" w:rsidRPr="002468A8">
        <w:rPr>
          <w:b/>
        </w:rPr>
        <w:t>Stálé nehmotné aktivum</w:t>
      </w:r>
      <w:r w:rsidR="00585190">
        <w:t xml:space="preserve"> </w:t>
      </w:r>
      <w:r>
        <w:t xml:space="preserve">lze do způsobilých nákladů zahrnout pouze za podmínky, že </w:t>
      </w:r>
      <w:r w:rsidRPr="00585190">
        <w:rPr>
          <w:strike/>
        </w:rPr>
        <w:t>byl pořízen</w:t>
      </w:r>
      <w:r>
        <w:t xml:space="preserve"> </w:t>
      </w:r>
      <w:r w:rsidR="00585190">
        <w:rPr>
          <w:b/>
        </w:rPr>
        <w:t xml:space="preserve">bylo pořízeno </w:t>
      </w:r>
      <w:r>
        <w:t xml:space="preserve">za tržní </w:t>
      </w:r>
      <w:r w:rsidRPr="00585190">
        <w:rPr>
          <w:strike/>
        </w:rPr>
        <w:t>cenu</w:t>
      </w:r>
      <w:r>
        <w:t xml:space="preserve"> </w:t>
      </w:r>
      <w:r w:rsidR="00585190">
        <w:rPr>
          <w:b/>
        </w:rPr>
        <w:t xml:space="preserve">hodnotu </w:t>
      </w:r>
      <w:r>
        <w:t>od jiných než spojených osob</w:t>
      </w:r>
      <w:r w:rsidR="00923C24">
        <w:rPr>
          <w:rStyle w:val="Znakapoznpodarou"/>
        </w:rPr>
        <w:footnoteReference w:customMarkFollows="1" w:id="300"/>
        <w:t>21)</w:t>
      </w:r>
      <w:r>
        <w:t xml:space="preserve"> a </w:t>
      </w:r>
      <w:proofErr w:type="gramStart"/>
      <w:r w:rsidRPr="00585190">
        <w:rPr>
          <w:strike/>
        </w:rPr>
        <w:t>bude</w:t>
      </w:r>
      <w:proofErr w:type="gramEnd"/>
      <w:r w:rsidRPr="00585190">
        <w:rPr>
          <w:strike/>
        </w:rPr>
        <w:t xml:space="preserve"> využíván</w:t>
      </w:r>
      <w:r>
        <w:t xml:space="preserve"> </w:t>
      </w:r>
      <w:proofErr w:type="gramStart"/>
      <w:r w:rsidR="00585190">
        <w:rPr>
          <w:b/>
        </w:rPr>
        <w:t>bude</w:t>
      </w:r>
      <w:proofErr w:type="gramEnd"/>
      <w:r w:rsidR="00585190">
        <w:rPr>
          <w:b/>
        </w:rPr>
        <w:t xml:space="preserve"> využíváno </w:t>
      </w:r>
      <w:r>
        <w:t xml:space="preserve">příjemcem investiční pobídky výhradně v místě realizace investiční akce. Do způsobilých nákladů lze zahrnout pouze </w:t>
      </w:r>
      <w:r w:rsidRPr="00585190">
        <w:rPr>
          <w:strike/>
        </w:rPr>
        <w:t>majetek pořízený</w:t>
      </w:r>
      <w:r>
        <w:t xml:space="preserve"> </w:t>
      </w:r>
      <w:r w:rsidR="00585190">
        <w:rPr>
          <w:b/>
        </w:rPr>
        <w:t xml:space="preserve">aktivum pořízené </w:t>
      </w:r>
      <w:r>
        <w:t>do uplynutí 5 let od vydání rozhodnutí o příslibu nebo v případě strategické investiční akce do uplynutí 7 let od vydání rozhodnutí o příslibu. Do způsobilých nákladů nelze zahrnout</w:t>
      </w:r>
    </w:p>
    <w:p w14:paraId="3E11B775" w14:textId="5BE1889A" w:rsidR="009278CF" w:rsidRDefault="00923C24" w:rsidP="00562201">
      <w:pPr>
        <w:pStyle w:val="Textparagrafu"/>
        <w:tabs>
          <w:tab w:val="left" w:pos="426"/>
          <w:tab w:val="left" w:pos="854"/>
        </w:tabs>
        <w:spacing w:before="0"/>
        <w:ind w:left="426" w:hanging="426"/>
      </w:pPr>
      <w:r>
        <w:tab/>
      </w:r>
      <w:r w:rsidR="009278CF">
        <w:t>1.</w:t>
      </w:r>
      <w:r>
        <w:tab/>
      </w:r>
      <w:r w:rsidR="009278CF" w:rsidRPr="00585190">
        <w:rPr>
          <w:strike/>
        </w:rPr>
        <w:t>majetek</w:t>
      </w:r>
      <w:r w:rsidR="00585190">
        <w:t xml:space="preserve"> </w:t>
      </w:r>
      <w:r w:rsidR="00585190" w:rsidRPr="00585190">
        <w:rPr>
          <w:b/>
        </w:rPr>
        <w:t>aktivum</w:t>
      </w:r>
      <w:r w:rsidR="009278CF">
        <w:t xml:space="preserve">, nebo jeho část, pokud již byly předmětem účetních odpisů, s výjimkou </w:t>
      </w:r>
      <w:r w:rsidR="009278CF" w:rsidRPr="00585190">
        <w:rPr>
          <w:strike/>
        </w:rPr>
        <w:t>dlouhodobého hmotného majetku ve formě staveb, který byl nabyt</w:t>
      </w:r>
      <w:r w:rsidR="00585190" w:rsidRPr="00585190">
        <w:rPr>
          <w:b/>
        </w:rPr>
        <w:t xml:space="preserve"> </w:t>
      </w:r>
      <w:r w:rsidR="00585190" w:rsidRPr="002468A8">
        <w:rPr>
          <w:b/>
        </w:rPr>
        <w:t>stálého hmotného aktiva, které je stavbou, bylo nabyto</w:t>
      </w:r>
      <w:r w:rsidR="009278CF">
        <w:t xml:space="preserve"> za tržních podmínek od jiných než spojených osob a u kterého příjemce doloží při kontrole podle § 7 písemné prohlášení předchozího vlastníka, že na </w:t>
      </w:r>
      <w:r w:rsidR="009278CF" w:rsidRPr="00585190">
        <w:rPr>
          <w:strike/>
        </w:rPr>
        <w:t>majetek</w:t>
      </w:r>
      <w:r w:rsidR="00585190">
        <w:rPr>
          <w:b/>
        </w:rPr>
        <w:t xml:space="preserve"> aktivum</w:t>
      </w:r>
      <w:r w:rsidR="009278CF">
        <w:t xml:space="preserve"> neuplatňoval veřejnou podporu a že </w:t>
      </w:r>
      <w:r w:rsidR="009278CF" w:rsidRPr="00585190">
        <w:rPr>
          <w:strike/>
        </w:rPr>
        <w:t>majetek</w:t>
      </w:r>
      <w:r w:rsidR="009278CF">
        <w:t xml:space="preserve"> </w:t>
      </w:r>
      <w:r w:rsidR="00585190">
        <w:rPr>
          <w:b/>
        </w:rPr>
        <w:t xml:space="preserve">aktivum </w:t>
      </w:r>
      <w:proofErr w:type="gramStart"/>
      <w:r w:rsidR="009278CF" w:rsidRPr="00585190">
        <w:rPr>
          <w:strike/>
        </w:rPr>
        <w:t>byl</w:t>
      </w:r>
      <w:proofErr w:type="gramEnd"/>
      <w:r w:rsidR="009278CF" w:rsidRPr="00585190">
        <w:rPr>
          <w:strike/>
        </w:rPr>
        <w:t xml:space="preserve"> součástí</w:t>
      </w:r>
      <w:r w:rsidR="009278CF">
        <w:t xml:space="preserve"> </w:t>
      </w:r>
      <w:proofErr w:type="gramStart"/>
      <w:r w:rsidR="00585190">
        <w:rPr>
          <w:b/>
        </w:rPr>
        <w:t>bylo</w:t>
      </w:r>
      <w:proofErr w:type="gramEnd"/>
      <w:r w:rsidR="00585190">
        <w:rPr>
          <w:b/>
        </w:rPr>
        <w:t xml:space="preserve"> součástí </w:t>
      </w:r>
      <w:r w:rsidR="009278CF">
        <w:t>obchodního závodu nebo jeho části, jejichž provoz byl přede dnem převodu vlastnických práv ukončen,</w:t>
      </w:r>
    </w:p>
    <w:p w14:paraId="48B7D4E0" w14:textId="6F1AAE3A" w:rsidR="009278CF" w:rsidRDefault="00923C24" w:rsidP="00562201">
      <w:pPr>
        <w:pStyle w:val="Textparagrafu"/>
        <w:tabs>
          <w:tab w:val="left" w:pos="426"/>
          <w:tab w:val="left" w:pos="854"/>
        </w:tabs>
        <w:spacing w:before="0"/>
        <w:ind w:left="426" w:hanging="426"/>
      </w:pPr>
      <w:r>
        <w:tab/>
      </w:r>
      <w:r w:rsidR="009278CF">
        <w:t>2.</w:t>
      </w:r>
      <w:r>
        <w:tab/>
      </w:r>
      <w:r w:rsidR="009278CF" w:rsidRPr="002F5B9E">
        <w:rPr>
          <w:strike/>
        </w:rPr>
        <w:t>majetek, který není využíván</w:t>
      </w:r>
      <w:r w:rsidR="009278CF">
        <w:t xml:space="preserve"> </w:t>
      </w:r>
      <w:r w:rsidR="002F5B9E" w:rsidRPr="002468A8">
        <w:rPr>
          <w:b/>
        </w:rPr>
        <w:t>aktivum, které není využíváno</w:t>
      </w:r>
      <w:r w:rsidR="002F5B9E">
        <w:t xml:space="preserve"> </w:t>
      </w:r>
      <w:r w:rsidR="009278CF">
        <w:t>příjemcem v místě realizace investiční akce, nebo</w:t>
      </w:r>
    </w:p>
    <w:p w14:paraId="5C2E9152" w14:textId="00F74439" w:rsidR="009278CF" w:rsidRDefault="00923C24" w:rsidP="00562201">
      <w:pPr>
        <w:pStyle w:val="Textparagrafu"/>
        <w:tabs>
          <w:tab w:val="left" w:pos="426"/>
          <w:tab w:val="left" w:pos="854"/>
        </w:tabs>
        <w:spacing w:before="0"/>
        <w:ind w:left="426" w:hanging="426"/>
      </w:pPr>
      <w:r>
        <w:tab/>
      </w:r>
      <w:r w:rsidR="009278CF">
        <w:t>3.</w:t>
      </w:r>
      <w:r>
        <w:tab/>
      </w:r>
      <w:r w:rsidR="009278CF" w:rsidRPr="002F5B9E">
        <w:rPr>
          <w:strike/>
        </w:rPr>
        <w:t>majetek pořízený</w:t>
      </w:r>
      <w:r w:rsidR="009278CF">
        <w:t xml:space="preserve"> </w:t>
      </w:r>
      <w:r w:rsidR="002F5B9E" w:rsidRPr="002468A8">
        <w:rPr>
          <w:b/>
        </w:rPr>
        <w:t xml:space="preserve">aktivum pořízené </w:t>
      </w:r>
      <w:r w:rsidR="009278CF">
        <w:t>po dokončení investiční akce, nebo</w:t>
      </w:r>
    </w:p>
    <w:p w14:paraId="227F5AD9" w14:textId="4F6BF183" w:rsidR="009278CF" w:rsidRDefault="009278CF" w:rsidP="00562201">
      <w:pPr>
        <w:pStyle w:val="Textparagrafu"/>
        <w:tabs>
          <w:tab w:val="left" w:pos="426"/>
          <w:tab w:val="left" w:pos="854"/>
        </w:tabs>
        <w:spacing w:before="0"/>
        <w:ind w:left="426" w:hanging="426"/>
      </w:pPr>
      <w:r>
        <w:t>b)</w:t>
      </w:r>
      <w:r w:rsidR="00923C24">
        <w:tab/>
      </w:r>
      <w:r>
        <w:t>hodnotou mzdových nákladů vynaložených na nová pracovní místa v průběhu 24 měsíců bezprostředně následujících po měsíci, ve kterém bylo místo obsazeno. Do těchto nových pracovních míst lze zahrnout pouze nová pracovní místa obsazená zaměstnancem v období po dni předložení záměru získat investiční pobídku podle § 3 odst. 1 do 3 let od vydání rozhodnutí o příslibu nebo od dokončení investiční akce, pokud byla dokončena před vydáním rozhodnutí o příslibu. Do hodnoty měsíčních mzdových nákladů lze měsíčně zahrnout hrubou mzdu zaměstnanců a příslušné odvody pojistného na sociální zabezpečení, příspěvku na státní politiku zaměstnanosti a pojistného na veřejné zdravotní pojištění hrazeného zaměstnavatelem za zaměstnance, maximálně však do výše trojnásobku průměrné mzdy v národním hospodářství za 1. až 3. čtvrtletí kalendářního roku předcházejícího kalendářnímu roku, ve kterém žadatel předložil záměr.</w:t>
      </w:r>
    </w:p>
    <w:p w14:paraId="742E5FE2" w14:textId="520E19D7" w:rsidR="009278CF" w:rsidRDefault="009278CF" w:rsidP="00D50FFB">
      <w:pPr>
        <w:pStyle w:val="Textparagrafu"/>
        <w:tabs>
          <w:tab w:val="left" w:pos="392"/>
          <w:tab w:val="left" w:pos="854"/>
        </w:tabs>
        <w:spacing w:before="120" w:after="120"/>
      </w:pPr>
      <w:r>
        <w:t>(2) Příjemce investiční pobídky, u něhož jsou způsobilé náklady tvořeny náklady podle odstavce 1 písm. a), je povinen</w:t>
      </w:r>
    </w:p>
    <w:p w14:paraId="463E47F1" w14:textId="4F6EE374" w:rsidR="009278CF" w:rsidRDefault="009278CF" w:rsidP="00562201">
      <w:pPr>
        <w:pStyle w:val="Textparagrafu"/>
        <w:tabs>
          <w:tab w:val="left" w:pos="392"/>
          <w:tab w:val="left" w:pos="854"/>
        </w:tabs>
        <w:spacing w:before="0"/>
        <w:ind w:left="426" w:hanging="426"/>
      </w:pPr>
      <w:r>
        <w:t>a)</w:t>
      </w:r>
      <w:r w:rsidR="00C6706E">
        <w:tab/>
      </w:r>
      <w:r>
        <w:t xml:space="preserve">využívat a zachovat ve svém majetku a v místě realizace investiční akce </w:t>
      </w:r>
      <w:r w:rsidRPr="002F5B9E">
        <w:rPr>
          <w:strike/>
        </w:rPr>
        <w:t>dlouhodobý hmotný a nehmotný majetek, na který</w:t>
      </w:r>
      <w:r w:rsidR="002F5B9E">
        <w:rPr>
          <w:strike/>
        </w:rPr>
        <w:t xml:space="preserve"> </w:t>
      </w:r>
      <w:r w:rsidR="002F5B9E" w:rsidRPr="002468A8">
        <w:rPr>
          <w:b/>
        </w:rPr>
        <w:t>stálé hmotné a nehmotné aktivum, na které</w:t>
      </w:r>
      <w:r>
        <w:t xml:space="preserve"> byla poskytnuta investiční pobídka, v rozsahu odpovídajícím skutečné výši dosud čerpané podpory, nejméně však ve výši a skladbě, které odpovídají splnění všeobecné podmínky podle § 2 odst. 3 písm. a), a to po dobu uplatňování investiční pobídky podle § 1a odst. 1 písm. a) bodu 1 nebo 6, nejméně však po dobu 5 let od dokončení investiční akce,</w:t>
      </w:r>
    </w:p>
    <w:p w14:paraId="5C981436" w14:textId="09CB020B" w:rsidR="009278CF" w:rsidRDefault="009278CF" w:rsidP="00562201">
      <w:pPr>
        <w:pStyle w:val="Textparagrafu"/>
        <w:tabs>
          <w:tab w:val="left" w:pos="392"/>
          <w:tab w:val="left" w:pos="854"/>
        </w:tabs>
        <w:spacing w:before="0"/>
        <w:ind w:left="426" w:hanging="426"/>
      </w:pPr>
      <w:r>
        <w:lastRenderedPageBreak/>
        <w:t>b)</w:t>
      </w:r>
      <w:r w:rsidR="00C6706E">
        <w:tab/>
      </w:r>
      <w:r>
        <w:t>zachovat nová pracovní místa podle § 2 odst. 3 písm. b) nejméně po dobu 5 let ode dne vzniku prvního pracovního poměru na každém novém pracovním místě a</w:t>
      </w:r>
    </w:p>
    <w:p w14:paraId="514C4AA9" w14:textId="1D3673FB" w:rsidR="009278CF" w:rsidRDefault="009278CF" w:rsidP="00562201">
      <w:pPr>
        <w:pStyle w:val="Textparagrafu"/>
        <w:tabs>
          <w:tab w:val="left" w:pos="392"/>
          <w:tab w:val="left" w:pos="854"/>
        </w:tabs>
        <w:spacing w:before="0"/>
        <w:ind w:left="426" w:hanging="426"/>
      </w:pPr>
      <w:r>
        <w:t>c)</w:t>
      </w:r>
      <w:r w:rsidR="00C6706E">
        <w:tab/>
      </w:r>
      <w:r>
        <w:t>zachovat činnost s vyšší přidanou hodnotou podle § 2 odst. 3 písm. c) nejméně po dobu 5 let ode dne splnění všeobecných podmínek podle § 2 odst. 2 a 3.</w:t>
      </w:r>
    </w:p>
    <w:p w14:paraId="0143F5CD" w14:textId="2D313A9B" w:rsidR="009278CF" w:rsidRDefault="009278CF" w:rsidP="00D50FFB">
      <w:pPr>
        <w:pStyle w:val="Textparagrafu"/>
        <w:tabs>
          <w:tab w:val="left" w:pos="392"/>
          <w:tab w:val="left" w:pos="854"/>
        </w:tabs>
        <w:spacing w:before="120" w:after="120"/>
      </w:pPr>
      <w:r>
        <w:t>Pokud příjemce investiční pobídky zašle ministerstvu oznámení o tom, kdy byla investiční akce dokončena a v jakém rozsahu, považuje se investiční akce za dokončenou ke dni uvedenému v tomto oznámení. Investiční akce se považuje za dokončenou, pokud příjemce investiční pobídky nezašle toto oznámení do 5 let ode dne vydání rozhodnutí o příslibu nebo v případě strategické investiční akce do 7 let ode dne vydání rozhodnutí o příslibu.</w:t>
      </w:r>
    </w:p>
    <w:p w14:paraId="5DFC1BA5" w14:textId="6433BD38" w:rsidR="009278CF" w:rsidRDefault="009278CF" w:rsidP="00D50FFB">
      <w:pPr>
        <w:pStyle w:val="Textparagrafu"/>
        <w:tabs>
          <w:tab w:val="left" w:pos="392"/>
          <w:tab w:val="left" w:pos="854"/>
        </w:tabs>
        <w:spacing w:before="120" w:after="120"/>
      </w:pPr>
      <w:r>
        <w:t>(3) Příjemce investiční pobídky, u něhož jsou způsobilé náklady tvořeny hodnotou mzdových nákladů podle odstavce 1 písm. b), je povinen</w:t>
      </w:r>
    </w:p>
    <w:p w14:paraId="1B25F892" w14:textId="691E0313" w:rsidR="009278CF" w:rsidRDefault="009278CF" w:rsidP="00562201">
      <w:pPr>
        <w:pStyle w:val="Textparagrafu"/>
        <w:tabs>
          <w:tab w:val="left" w:pos="392"/>
          <w:tab w:val="left" w:pos="854"/>
        </w:tabs>
        <w:spacing w:before="0"/>
        <w:ind w:left="426" w:hanging="426"/>
      </w:pPr>
      <w:r>
        <w:t>a)</w:t>
      </w:r>
      <w:r w:rsidR="00D22E5A">
        <w:tab/>
      </w:r>
      <w:r>
        <w:t>zachovat nová pracovní místa, na která byla poskytnuta investiční pobídka, v počtu odpovídajícím skutečné výši dosud čerpané podpory, nejméně však v počtu, který odpovídá splnění všeobecné podmínky podle § 2 odst. 3 písm. b), a to po dobu uplatňování investiční pobídky podle § 1a odst. 1 písm. a) bodu 1 nebo 6, nejméně však 5 let ode dne vzniku prvního pracovního poměru na každém novém pracovním místě,</w:t>
      </w:r>
    </w:p>
    <w:p w14:paraId="7CD76FDC" w14:textId="334101FD" w:rsidR="009278CF" w:rsidRDefault="009278CF" w:rsidP="00562201">
      <w:pPr>
        <w:pStyle w:val="Textparagrafu"/>
        <w:tabs>
          <w:tab w:val="left" w:pos="392"/>
          <w:tab w:val="left" w:pos="854"/>
        </w:tabs>
        <w:spacing w:before="0"/>
        <w:ind w:left="426" w:hanging="426"/>
      </w:pPr>
      <w:r>
        <w:t>b)</w:t>
      </w:r>
      <w:r w:rsidR="00D22E5A">
        <w:tab/>
      </w:r>
      <w:r>
        <w:t xml:space="preserve">využívat a zachovat ve svém majetku a v místě realizace investiční akce </w:t>
      </w:r>
      <w:r w:rsidRPr="002F5B9E">
        <w:rPr>
          <w:strike/>
        </w:rPr>
        <w:t>dlouhodobý hmotný a nehmotný majetek</w:t>
      </w:r>
      <w:r>
        <w:t xml:space="preserve"> </w:t>
      </w:r>
      <w:r w:rsidR="002F5B9E" w:rsidRPr="002468A8">
        <w:rPr>
          <w:b/>
        </w:rPr>
        <w:t>stálé hmotné a nehmotné aktivum</w:t>
      </w:r>
      <w:r w:rsidR="002F5B9E">
        <w:t xml:space="preserve"> </w:t>
      </w:r>
      <w:r>
        <w:t>podle § 2 odst. 3 písm. a) nejméně po dobu 5 let od dokončení investiční akce a</w:t>
      </w:r>
    </w:p>
    <w:p w14:paraId="6FEB3C96" w14:textId="7E08D1CD" w:rsidR="009278CF" w:rsidRDefault="009278CF" w:rsidP="00562201">
      <w:pPr>
        <w:pStyle w:val="Textparagrafu"/>
        <w:tabs>
          <w:tab w:val="left" w:pos="392"/>
          <w:tab w:val="left" w:pos="854"/>
        </w:tabs>
        <w:spacing w:before="0"/>
        <w:ind w:left="426" w:hanging="426"/>
      </w:pPr>
      <w:r>
        <w:t>c)</w:t>
      </w:r>
      <w:r w:rsidR="00D22E5A">
        <w:tab/>
      </w:r>
      <w:r>
        <w:t>zachovat činnost s vyšší přidanou hodnotou podle § 2 odst. 3 písm. c) nejméně po dobu 5 let ode dne splnění všeobecných podmínek podle § 2 odst. 2 a 3.</w:t>
      </w:r>
    </w:p>
    <w:p w14:paraId="078FCA29" w14:textId="7EBF9E5C" w:rsidR="009278CF" w:rsidRDefault="009278CF" w:rsidP="00D50FFB">
      <w:pPr>
        <w:pStyle w:val="Textparagrafu"/>
        <w:tabs>
          <w:tab w:val="left" w:pos="392"/>
          <w:tab w:val="left" w:pos="854"/>
        </w:tabs>
        <w:spacing w:before="120" w:after="120"/>
      </w:pPr>
      <w:r>
        <w:t>Pokud příjemce investiční pobídky zašle ministerstvu oznámení o tom, kdy byla investiční akce dokončena a v jakém rozsahu, považuje se investiční akce za dokončenou ke dni uvedenému v tomto oznámení. Investiční akce se považuje za dokončenou, pokud příjemce investiční pobídky nezašle toto oznámení do 5 let ode dne vydání rozhodnutí o příslibu.</w:t>
      </w:r>
    </w:p>
    <w:p w14:paraId="0A560856" w14:textId="4995B87A" w:rsidR="009278CF" w:rsidRDefault="009278CF" w:rsidP="00D50FFB">
      <w:pPr>
        <w:pStyle w:val="Textparagrafu"/>
        <w:tabs>
          <w:tab w:val="left" w:pos="392"/>
          <w:tab w:val="left" w:pos="854"/>
        </w:tabs>
        <w:spacing w:before="120" w:after="120"/>
      </w:pPr>
      <w:r>
        <w:t xml:space="preserve">(4) Za splnění povinnosti zachování </w:t>
      </w:r>
      <w:r w:rsidRPr="002F5B9E">
        <w:rPr>
          <w:strike/>
        </w:rPr>
        <w:t>dlouhodobého hmotného a nehmotného majetku</w:t>
      </w:r>
      <w:r>
        <w:t xml:space="preserve"> </w:t>
      </w:r>
      <w:r w:rsidR="002F5B9E" w:rsidRPr="002468A8">
        <w:rPr>
          <w:b/>
        </w:rPr>
        <w:t>stálého hmotného a nehmotného aktiva</w:t>
      </w:r>
      <w:r w:rsidR="002F5B9E">
        <w:t xml:space="preserve"> </w:t>
      </w:r>
      <w:r>
        <w:t xml:space="preserve">podle odstavce 2 písm. a) a odstavce 3 písm. b) se považuje také nahrazení </w:t>
      </w:r>
      <w:r w:rsidRPr="00B14535">
        <w:rPr>
          <w:strike/>
        </w:rPr>
        <w:t>majetku</w:t>
      </w:r>
      <w:r>
        <w:t xml:space="preserve"> </w:t>
      </w:r>
      <w:r w:rsidR="00B14535">
        <w:rPr>
          <w:b/>
        </w:rPr>
        <w:t xml:space="preserve">aktiva </w:t>
      </w:r>
      <w:r>
        <w:t xml:space="preserve">z důvodu jeho zničení, poruchy nebo zastarání </w:t>
      </w:r>
      <w:r w:rsidRPr="00B14535">
        <w:rPr>
          <w:strike/>
        </w:rPr>
        <w:t>majetkem, který</w:t>
      </w:r>
      <w:r>
        <w:t xml:space="preserve"> </w:t>
      </w:r>
      <w:r w:rsidR="00B14535" w:rsidRPr="002468A8">
        <w:rPr>
          <w:b/>
        </w:rPr>
        <w:t>aktivem, které</w:t>
      </w:r>
      <w:r w:rsidR="00B14535">
        <w:t xml:space="preserve"> </w:t>
      </w:r>
      <w:r>
        <w:t>je ve stejné nebo vyšší hodnotě, slouží ke stejnému účelu a je způsobilým nákladem podle odstavce 1.</w:t>
      </w:r>
    </w:p>
    <w:p w14:paraId="57C4DAAE" w14:textId="72B807A2" w:rsidR="009278CF" w:rsidRDefault="009278CF" w:rsidP="00D50FFB">
      <w:pPr>
        <w:pStyle w:val="Textparagrafu"/>
        <w:tabs>
          <w:tab w:val="left" w:pos="392"/>
          <w:tab w:val="left" w:pos="854"/>
        </w:tabs>
        <w:spacing w:before="120" w:after="120"/>
      </w:pPr>
      <w:r>
        <w:t>(5) Příjemce investiční pobídky podle § 1a odst. 1 písm. a) bodu 3 je povinen zachovat nová pracovní místa, na která byla čerpána investiční pobídka podle § 1a odst. 1 písm. a) bodu 3, po dobu nejméně 5 let ode dne vzniku prvního pracovního poměru na každém novém pracovním místě.</w:t>
      </w:r>
    </w:p>
    <w:p w14:paraId="26464BDA" w14:textId="2470E703" w:rsidR="009278CF" w:rsidRDefault="009278CF" w:rsidP="00D50FFB">
      <w:pPr>
        <w:pStyle w:val="Textparagrafu"/>
        <w:tabs>
          <w:tab w:val="left" w:pos="392"/>
          <w:tab w:val="left" w:pos="854"/>
        </w:tabs>
        <w:spacing w:before="120" w:after="120"/>
      </w:pPr>
      <w:r>
        <w:t>(6) Investiční akce posuzovaná pro účely poskytnutí veřejné podpory musí být provedena tak, že alespoň 25 % celkové hodnoty investice musí být financováno prostředky, v nichž není obsažen žádný prvek veřejné podpory.</w:t>
      </w:r>
    </w:p>
    <w:p w14:paraId="1EC3BA0C" w14:textId="33424E80" w:rsidR="009278CF" w:rsidRDefault="009278CF" w:rsidP="00D50FFB">
      <w:pPr>
        <w:pStyle w:val="Textparagrafu"/>
        <w:tabs>
          <w:tab w:val="left" w:pos="392"/>
          <w:tab w:val="left" w:pos="854"/>
        </w:tabs>
        <w:spacing w:before="120" w:after="120"/>
      </w:pPr>
      <w:r>
        <w:t>(7) Příjemce investiční pobídky podle § 1a odst. 1 písm. a) bodu 5</w:t>
      </w:r>
    </w:p>
    <w:p w14:paraId="04C2CAFC" w14:textId="5A5D1BA6" w:rsidR="009278CF" w:rsidRDefault="009278CF" w:rsidP="00562201">
      <w:pPr>
        <w:pStyle w:val="Textparagrafu"/>
        <w:tabs>
          <w:tab w:val="left" w:pos="392"/>
          <w:tab w:val="left" w:pos="854"/>
        </w:tabs>
        <w:spacing w:before="0"/>
        <w:ind w:left="426" w:hanging="426"/>
      </w:pPr>
      <w:r>
        <w:t>a)</w:t>
      </w:r>
      <w:r w:rsidR="00D22E5A">
        <w:tab/>
      </w:r>
      <w:r w:rsidR="00C6706E" w:rsidRPr="002468A8">
        <w:t>je do 5 let od vydání rozhodnutí o příslibu povinen pořídit</w:t>
      </w:r>
      <w:r w:rsidR="00C6706E" w:rsidRPr="002468A8">
        <w:rPr>
          <w:strike/>
        </w:rPr>
        <w:t xml:space="preserve"> dlouhodobý hmotný a nehmotný majetek</w:t>
      </w:r>
      <w:r w:rsidR="00C6706E" w:rsidRPr="002468A8">
        <w:t xml:space="preserve"> </w:t>
      </w:r>
      <w:r w:rsidR="00C6706E" w:rsidRPr="002468A8">
        <w:rPr>
          <w:b/>
        </w:rPr>
        <w:t xml:space="preserve">stálé hmotné a nehmotné aktivum </w:t>
      </w:r>
      <w:r w:rsidR="00C6706E" w:rsidRPr="002468A8">
        <w:t xml:space="preserve">podle odstavce 1 písm. a) nejméně v hodnotě stanovené nařízením vlády a vytvořit nová pracovní místa nejméně v počtu stanoveném nařízením vlády; vláda nařízením stanoví minimální hodnoty </w:t>
      </w:r>
      <w:r w:rsidR="00C6706E" w:rsidRPr="002468A8">
        <w:rPr>
          <w:strike/>
        </w:rPr>
        <w:t>dlouhodobého hmotného a nehmotného majetku</w:t>
      </w:r>
      <w:r w:rsidR="00C6706E" w:rsidRPr="002468A8">
        <w:t xml:space="preserve"> </w:t>
      </w:r>
      <w:r w:rsidR="00C6706E" w:rsidRPr="002468A8">
        <w:rPr>
          <w:b/>
        </w:rPr>
        <w:t>stálého hmotného a nehmotného aktiva</w:t>
      </w:r>
      <w:r w:rsidR="00C6706E" w:rsidRPr="002468A8">
        <w:t xml:space="preserve"> a minimální počty nových pracovních míst na základě analýzy ekonomického a průmyslového vývoje České </w:t>
      </w:r>
      <w:r w:rsidR="00C6706E" w:rsidRPr="002468A8">
        <w:lastRenderedPageBreak/>
        <w:t>republiky, vývoje míry nezaměstnanosti v České republice a zhodnocení dosud podpořených investičních akcí,</w:t>
      </w:r>
    </w:p>
    <w:p w14:paraId="3EDCED4C" w14:textId="631A2E18" w:rsidR="009278CF" w:rsidRDefault="009278CF" w:rsidP="00562201">
      <w:pPr>
        <w:pStyle w:val="Textparagrafu"/>
        <w:tabs>
          <w:tab w:val="left" w:pos="392"/>
          <w:tab w:val="left" w:pos="854"/>
        </w:tabs>
        <w:spacing w:before="0"/>
        <w:ind w:left="426" w:hanging="426"/>
      </w:pPr>
      <w:r>
        <w:t>b)</w:t>
      </w:r>
      <w:r w:rsidR="00D22E5A">
        <w:tab/>
      </w:r>
      <w:r>
        <w:t>nesmí evidovat ke dni dokončení investiční akce podle odstavce 2 nižší hodnotu způsobilých nákladů o více než 15 % oproti předpokládané hodnotě způsobilých nákladů uvedené v záměru získat investiční pobídku a vytvořit nižší počet nových pracovních míst o více než 10 % oproti předpokládanému počtu nových pracovních míst uvedenému v záměru získat investiční pobídku a</w:t>
      </w:r>
    </w:p>
    <w:p w14:paraId="54219A31" w14:textId="55F0402A" w:rsidR="009278CF" w:rsidRDefault="009278CF" w:rsidP="00562201">
      <w:pPr>
        <w:pStyle w:val="Textparagrafu"/>
        <w:tabs>
          <w:tab w:val="left" w:pos="392"/>
          <w:tab w:val="left" w:pos="854"/>
        </w:tabs>
        <w:spacing w:before="0"/>
        <w:ind w:left="426" w:hanging="426"/>
      </w:pPr>
      <w:r>
        <w:t>c)</w:t>
      </w:r>
      <w:r w:rsidR="00D22E5A">
        <w:tab/>
      </w:r>
      <w:r w:rsidR="00C6706E" w:rsidRPr="002468A8">
        <w:t xml:space="preserve">je povinen využívat a zachovat ve svém majetku a v místě realizace investiční akce </w:t>
      </w:r>
      <w:r w:rsidR="00C6706E" w:rsidRPr="002468A8">
        <w:rPr>
          <w:strike/>
        </w:rPr>
        <w:t>dlouhodobý hmotný a nehmotný majetek</w:t>
      </w:r>
      <w:r w:rsidR="00C6706E" w:rsidRPr="002468A8">
        <w:t xml:space="preserve"> </w:t>
      </w:r>
      <w:r w:rsidR="00C6706E" w:rsidRPr="002468A8">
        <w:rPr>
          <w:b/>
        </w:rPr>
        <w:t>stálé hmotné a nehmotné aktivum</w:t>
      </w:r>
      <w:r w:rsidR="00C6706E" w:rsidRPr="002468A8">
        <w:t xml:space="preserve"> ve výši a skladbě uvedené v dohodě o poskytnutí hmotné podpory pořízení </w:t>
      </w:r>
      <w:r w:rsidR="00C6706E" w:rsidRPr="002468A8">
        <w:rPr>
          <w:strike/>
        </w:rPr>
        <w:t>dlouhodobého hmotného a nehmotného majetku</w:t>
      </w:r>
      <w:r w:rsidR="00C6706E" w:rsidRPr="002468A8">
        <w:t xml:space="preserve"> </w:t>
      </w:r>
      <w:r w:rsidR="00C6706E" w:rsidRPr="002468A8">
        <w:rPr>
          <w:b/>
        </w:rPr>
        <w:t>stálého hmotného a nehmotného aktiva</w:t>
      </w:r>
      <w:r w:rsidR="00C6706E" w:rsidRPr="002468A8">
        <w:t xml:space="preserve"> podle § 11a nejméně po dobu 5 let od dokončení investiční akce a zachovat nová pracovní místa v počtu uvedeném v dohodě o poskytnutí hmotné podpory pořízení </w:t>
      </w:r>
      <w:r w:rsidR="00C6706E" w:rsidRPr="002468A8">
        <w:rPr>
          <w:strike/>
        </w:rPr>
        <w:t>dlouhodobého hmotného a nehmotného majetku</w:t>
      </w:r>
      <w:r w:rsidR="00C6706E" w:rsidRPr="002468A8">
        <w:t xml:space="preserve"> </w:t>
      </w:r>
      <w:r w:rsidR="00C6706E" w:rsidRPr="002468A8">
        <w:rPr>
          <w:b/>
        </w:rPr>
        <w:t>stálého hmotného a nehmotného aktiva</w:t>
      </w:r>
      <w:r w:rsidR="00C6706E" w:rsidRPr="002468A8">
        <w:t xml:space="preserve"> podle § 11a nejméně po dobu 5 let ode dne vzniku prvního pracovního poměru na každém novém pracovním místě.</w:t>
      </w:r>
    </w:p>
    <w:p w14:paraId="352E0CBB" w14:textId="7EAE326C" w:rsidR="009278CF" w:rsidRDefault="009278CF" w:rsidP="00D50FFB">
      <w:pPr>
        <w:pStyle w:val="Textparagrafu"/>
        <w:tabs>
          <w:tab w:val="left" w:pos="392"/>
          <w:tab w:val="left" w:pos="854"/>
        </w:tabs>
        <w:spacing w:before="120" w:after="120"/>
      </w:pPr>
      <w:r>
        <w:t>(8) Maximální výši veřejné podpory na investiční akci určenou podle § 6 odst. 2 nesmí překročit příjemce podpory ani její poskytovatel nebo poskytovatelé. Pokud příjemce získá veřejnou podporu nad maximální výši veřejné podpory, je povinen vrátit tu část veřejné podpory, o kterou byla překročena maximální výše veřejné podpory pro danou investiční akci, a zaplatit penále ve výši stanovené rozpočtovými pravidly, nejméně však ve výši úroků8b) stanovených Komisí v době vydání rozhodnutí o příslibu. Ministerstvo provádí kontrolu nepřekročení maximální míry a výše veřejné podpory průběžně po dobu čerpání investiční pobídky. Ministerstvo předkládá Komisi zprávu o hodnocení poskytování investičních pobídek podle přímo použitelného předpisu Evropské unie1); k tomu je příjemce investiční pobídky povinen poskytnout na žádost ministerstva údaje o stavu realizace investiční akce a skutečné výši čerpané podpory.</w:t>
      </w:r>
    </w:p>
    <w:p w14:paraId="3EB0A623" w14:textId="24955287" w:rsidR="009278CF" w:rsidRDefault="009278CF" w:rsidP="00D50FFB">
      <w:pPr>
        <w:pStyle w:val="Textparagrafu"/>
        <w:tabs>
          <w:tab w:val="left" w:pos="392"/>
          <w:tab w:val="left" w:pos="854"/>
        </w:tabs>
        <w:spacing w:before="120" w:after="120"/>
      </w:pPr>
      <w:r>
        <w:t>(9) Nesplnění povinnosti uvedené v odstavci 5 příjemcem investiční pobídky podle § 1a odst. 1 písm. a) bodu 3 je porušením rozpočtové kázně podle rozpočtových pravidel s tím, že odvod za porušení rozpočtové kázně se uloží ve výši poměrné části takto získané investiční pobídky, která odpovídá počtu nezachovaných nových pracovních míst.</w:t>
      </w:r>
    </w:p>
    <w:p w14:paraId="1B51C09C" w14:textId="4340D756" w:rsidR="009278CF" w:rsidRDefault="009278CF" w:rsidP="00D50FFB">
      <w:pPr>
        <w:pStyle w:val="Textparagrafu"/>
        <w:tabs>
          <w:tab w:val="left" w:pos="392"/>
          <w:tab w:val="left" w:pos="854"/>
        </w:tabs>
        <w:spacing w:before="120" w:after="120"/>
      </w:pPr>
      <w:r>
        <w:t>(10) Rozhodnutí o příslibu pozbývá platnosti při nesplnění</w:t>
      </w:r>
    </w:p>
    <w:p w14:paraId="6054C4A1" w14:textId="12F04C16" w:rsidR="009278CF" w:rsidRDefault="009278CF" w:rsidP="00562201">
      <w:pPr>
        <w:pStyle w:val="Textparagrafu"/>
        <w:tabs>
          <w:tab w:val="left" w:pos="392"/>
          <w:tab w:val="left" w:pos="854"/>
        </w:tabs>
        <w:spacing w:before="0"/>
        <w:ind w:left="426" w:hanging="426"/>
      </w:pPr>
      <w:r>
        <w:t>a)</w:t>
      </w:r>
      <w:r w:rsidR="00D22E5A">
        <w:tab/>
      </w:r>
      <w:r>
        <w:t>všeobecných podmínek uvedených v § 2 odst. 2 a 3,</w:t>
      </w:r>
    </w:p>
    <w:p w14:paraId="6B7DF4CD" w14:textId="49960784" w:rsidR="009278CF" w:rsidRDefault="009278CF" w:rsidP="00562201">
      <w:pPr>
        <w:pStyle w:val="Textparagrafu"/>
        <w:tabs>
          <w:tab w:val="left" w:pos="392"/>
          <w:tab w:val="left" w:pos="854"/>
        </w:tabs>
        <w:spacing w:before="0"/>
        <w:ind w:left="426" w:hanging="426"/>
      </w:pPr>
      <w:r>
        <w:t>b)</w:t>
      </w:r>
      <w:r w:rsidR="00D22E5A">
        <w:tab/>
      </w:r>
      <w:r w:rsidR="00C6706E" w:rsidRPr="002468A8">
        <w:t xml:space="preserve">povinnosti zachovat </w:t>
      </w:r>
      <w:r w:rsidR="00C6706E" w:rsidRPr="002468A8">
        <w:rPr>
          <w:strike/>
        </w:rPr>
        <w:t>dlouhodobý hmotný a nehmotný majetek</w:t>
      </w:r>
      <w:r w:rsidR="00C6706E" w:rsidRPr="002468A8">
        <w:t xml:space="preserve"> </w:t>
      </w:r>
      <w:r w:rsidR="00C6706E" w:rsidRPr="002468A8">
        <w:rPr>
          <w:b/>
        </w:rPr>
        <w:t>stálé hmotné a nehmotné aktivum</w:t>
      </w:r>
      <w:r w:rsidR="00C6706E" w:rsidRPr="002468A8">
        <w:t xml:space="preserve"> podle odstavce 2 písm. a) a odstavce 3 písm. b) nejméně ve výši a skladbě stanovené v § 2 odst. 3 písm. a),</w:t>
      </w:r>
    </w:p>
    <w:p w14:paraId="64280433" w14:textId="12CDC34E" w:rsidR="009278CF" w:rsidRDefault="009278CF" w:rsidP="00562201">
      <w:pPr>
        <w:pStyle w:val="Textparagrafu"/>
        <w:tabs>
          <w:tab w:val="left" w:pos="392"/>
          <w:tab w:val="left" w:pos="854"/>
        </w:tabs>
        <w:spacing w:before="0"/>
        <w:ind w:left="426" w:hanging="426"/>
      </w:pPr>
      <w:r>
        <w:t>c)</w:t>
      </w:r>
      <w:r w:rsidR="00D22E5A">
        <w:tab/>
      </w:r>
      <w:r>
        <w:t>povinnosti zachovat nová pracovní místa a jejich obsazení zaměstnancem podle odstavce 2 písm. b) a odstavce 3 písm. a) nejméně v počtu stanoveném v § 2 odst. 3 písm. b),</w:t>
      </w:r>
    </w:p>
    <w:p w14:paraId="292694B9" w14:textId="0A69699B" w:rsidR="009278CF" w:rsidRDefault="00D22E5A" w:rsidP="00562201">
      <w:pPr>
        <w:pStyle w:val="Textparagrafu"/>
        <w:tabs>
          <w:tab w:val="left" w:pos="392"/>
          <w:tab w:val="left" w:pos="854"/>
        </w:tabs>
        <w:spacing w:before="0"/>
        <w:ind w:left="426" w:hanging="426"/>
      </w:pPr>
      <w:r>
        <w:t>d)</w:t>
      </w:r>
      <w:r>
        <w:tab/>
      </w:r>
      <w:r w:rsidR="009278CF">
        <w:t>povinnosti zachovat činnost s vyšší přidanou hodnotou podle odstavce 2 písm. c) a odstavce 3 písm. c),</w:t>
      </w:r>
    </w:p>
    <w:p w14:paraId="3423C4EE" w14:textId="22891C60" w:rsidR="009278CF" w:rsidRDefault="009278CF" w:rsidP="00562201">
      <w:pPr>
        <w:pStyle w:val="Textparagrafu"/>
        <w:tabs>
          <w:tab w:val="left" w:pos="392"/>
          <w:tab w:val="left" w:pos="854"/>
        </w:tabs>
        <w:spacing w:before="0"/>
        <w:ind w:left="426" w:hanging="426"/>
      </w:pPr>
      <w:r>
        <w:t>e)</w:t>
      </w:r>
      <w:r w:rsidR="00D22E5A">
        <w:tab/>
      </w:r>
      <w:r>
        <w:t>povinnosti uvedené v odstavci 6,</w:t>
      </w:r>
    </w:p>
    <w:p w14:paraId="425B7C2E" w14:textId="36BE8EE4" w:rsidR="009278CF" w:rsidRDefault="009278CF" w:rsidP="00562201">
      <w:pPr>
        <w:pStyle w:val="Textparagrafu"/>
        <w:tabs>
          <w:tab w:val="left" w:pos="392"/>
          <w:tab w:val="left" w:pos="854"/>
        </w:tabs>
        <w:spacing w:before="0"/>
        <w:ind w:left="426" w:hanging="426"/>
      </w:pPr>
      <w:r>
        <w:t>f)</w:t>
      </w:r>
      <w:r w:rsidR="00D22E5A">
        <w:tab/>
      </w:r>
      <w:r>
        <w:t>povinnosti poskytnout na žádost údaje o stavu realizace investiční akce a skutečné výši čerpané podpory uvedené v odstavci 8, nebo</w:t>
      </w:r>
    </w:p>
    <w:p w14:paraId="08554FBA" w14:textId="11469AC5" w:rsidR="009278CF" w:rsidRDefault="009278CF" w:rsidP="00562201">
      <w:pPr>
        <w:pStyle w:val="Textparagrafu"/>
        <w:tabs>
          <w:tab w:val="left" w:pos="392"/>
          <w:tab w:val="left" w:pos="854"/>
        </w:tabs>
        <w:spacing w:before="0"/>
        <w:ind w:left="426" w:hanging="426"/>
      </w:pPr>
      <w:r>
        <w:t>g)</w:t>
      </w:r>
      <w:r w:rsidR="00D22E5A">
        <w:tab/>
      </w:r>
      <w:r>
        <w:t>podmínek pro poskytnutí podpory stanovených přímo použitelným předpisem Evropské unie1) nebo podmínek pro poskytnutí podpory stanovených rozhodnutím Komise, kterým byla na investiční akci udělena individuální výjimka ze zákazu veřejné podpory, v případě investiční pobídky podle § 1d.</w:t>
      </w:r>
    </w:p>
    <w:p w14:paraId="7425E076" w14:textId="7A99A405" w:rsidR="009278CF" w:rsidRDefault="009278CF" w:rsidP="006C0837">
      <w:pPr>
        <w:pStyle w:val="Textparagrafu"/>
        <w:tabs>
          <w:tab w:val="left" w:pos="392"/>
          <w:tab w:val="left" w:pos="854"/>
        </w:tabs>
        <w:spacing w:after="120"/>
      </w:pPr>
      <w:r>
        <w:lastRenderedPageBreak/>
        <w:t>(11) Pozbyde-li rozhodnutí o příslibu platnosti podle odstavce 10, musí být vše, co bylo formou investiční pobídky získáno, vráceno nebo odvedeno podle zvláštních právních předpisů28) včetně příslušných sankcí. Sankce podle zvláštních právních předpisů 28) musí činit nejméně výši úroků8b) stanovených Komisí v době vydání rozhodnutí o příslibu.</w:t>
      </w:r>
    </w:p>
    <w:p w14:paraId="4B1279DF" w14:textId="2D9C5D12" w:rsidR="009278CF" w:rsidRDefault="009278CF" w:rsidP="006C0837">
      <w:pPr>
        <w:pStyle w:val="Textparagrafu"/>
        <w:tabs>
          <w:tab w:val="left" w:pos="392"/>
          <w:tab w:val="left" w:pos="854"/>
        </w:tabs>
        <w:spacing w:after="120"/>
      </w:pPr>
      <w:r>
        <w:t xml:space="preserve">(12) V případě nesplnění povinnosti zachovat dlouhodobý </w:t>
      </w:r>
      <w:r w:rsidRPr="00D22E5A">
        <w:rPr>
          <w:strike/>
        </w:rPr>
        <w:t>hmotný a nehmotný majetek, na který</w:t>
      </w:r>
      <w:r>
        <w:t xml:space="preserve"> </w:t>
      </w:r>
      <w:r w:rsidR="00D22E5A" w:rsidRPr="002468A8">
        <w:rPr>
          <w:b/>
        </w:rPr>
        <w:t>stálé hmotné a nehmotné aktivum, na které</w:t>
      </w:r>
      <w:r w:rsidR="00D22E5A">
        <w:t xml:space="preserve"> </w:t>
      </w:r>
      <w:r>
        <w:t xml:space="preserve">byla poskytnuta investiční pobídka, v rozsahu odpovídajícím skutečné výši dosud čerpané podpory podle odstavce 2 písm. a) nebo v případě nesplnění povinnosti zachovat nová pracovní místa, na která byla poskytnuta investiční pobídka, v počtu odpovídajícím skutečné výši dosud čerpané podpory podle odstavce 3 písm. a), vrací příjemce investiční pobídky poměrnou část poskytnuté investiční pobídky, která odpovídá výši nezachovaného </w:t>
      </w:r>
      <w:r w:rsidRPr="00D22E5A">
        <w:rPr>
          <w:strike/>
        </w:rPr>
        <w:t>dlouhodobého hmotného a nehmotného majetku</w:t>
      </w:r>
      <w:r>
        <w:t xml:space="preserve"> </w:t>
      </w:r>
      <w:r w:rsidR="00D22E5A" w:rsidRPr="002468A8">
        <w:rPr>
          <w:b/>
        </w:rPr>
        <w:t>stálého hmotného a nehmotného aktiva</w:t>
      </w:r>
      <w:r w:rsidR="00D22E5A">
        <w:t xml:space="preserve"> </w:t>
      </w:r>
      <w:r>
        <w:t>podle odstavce 2 písm. a) nebo počtu nezachovaných nových pracovních míst podle odstavce 3 písm. a), a to včetně příslušných sankcí podle zvláštních právních předpisů 28), nejméně však ve výši úroků</w:t>
      </w:r>
      <w:r w:rsidR="00D22E5A">
        <w:rPr>
          <w:rStyle w:val="Znakapoznpodarou"/>
        </w:rPr>
        <w:footnoteReference w:customMarkFollows="1" w:id="301"/>
        <w:t>8b)</w:t>
      </w:r>
      <w:r>
        <w:t>stanovených Komisí v době vydání rozhodnutí o příslibu.</w:t>
      </w:r>
    </w:p>
    <w:p w14:paraId="36C19CA9" w14:textId="5FBB3556" w:rsidR="009278CF" w:rsidRDefault="009278CF" w:rsidP="006C0837">
      <w:pPr>
        <w:pStyle w:val="Textparagrafu"/>
        <w:tabs>
          <w:tab w:val="left" w:pos="392"/>
          <w:tab w:val="left" w:pos="854"/>
        </w:tabs>
        <w:spacing w:after="120"/>
      </w:pPr>
      <w:r>
        <w:t>(13) Nesplnění povinností uvedených v odstavci 7 příjemcem investiční pobídky podle § 1a odst. 1 písm. a) bodu 5 je porušením rozpočtové kázně podle rozpočtových pravidel s tím, že odvod za porušení rozpočtové kázně se uloží ve výši poskytnuté hmotné podpory.</w:t>
      </w:r>
    </w:p>
    <w:p w14:paraId="71340E1C" w14:textId="4831BEF8" w:rsidR="009278CF" w:rsidRDefault="009278CF" w:rsidP="006C0837">
      <w:pPr>
        <w:pStyle w:val="Textparagrafu"/>
        <w:tabs>
          <w:tab w:val="left" w:pos="392"/>
          <w:tab w:val="left" w:pos="854"/>
        </w:tabs>
        <w:spacing w:after="120"/>
      </w:pPr>
      <w:r>
        <w:t>(14) Pokud se chce příjemce investiční pobídky zúčastnit fúze, rozdělení nebo převodu jmění na společníka jako zanikající obchodní korporace a má zájem, aby na právního nástupce přešly práva a povinnosti z rozhodnutí o příslibu, je povinen před zveřejněním projektu fúze, rozdělení nebo převodu jmění na společníka požádat ministerstvo o souhlas s přechodem práv a povinností z rozhodnutí o příslibu a v žádosti uvést právního nástupce, na něhož mají práva a povinnosti z rozhodnutí o příslibu přejít. Ministerstvo ve spolupráci s dotčenými orgány posoudí, zda bude zachován účel, pro který byla investiční pobídka přiznána, a zda je zajištěno plnění podmínek pro poskytnutí investiční pobídky. V případě kladného posouzení vydá rozhodnutí, kterým udělí souhlas s přechodem práv a povinností z rozhodnutí o příslibu a určí osobu, na kterou práva a povinnosti z rozhodnutí o příslibu mají přejít. Bez tohoto souhlasu nelze práva a povinnosti z rozhodnutí o příslibu převést a zanikající obchodní korporace je povinna postupovat podle odstavců 9 až 13.</w:t>
      </w:r>
    </w:p>
    <w:p w14:paraId="3D8E788E" w14:textId="3B5FF342" w:rsidR="009278CF" w:rsidRDefault="009278CF" w:rsidP="00904F98">
      <w:pPr>
        <w:pStyle w:val="Textparagrafu"/>
        <w:tabs>
          <w:tab w:val="left" w:pos="392"/>
          <w:tab w:val="left" w:pos="854"/>
        </w:tabs>
        <w:spacing w:after="120"/>
        <w:ind w:firstLine="0"/>
        <w:jc w:val="center"/>
      </w:pPr>
      <w:r>
        <w:t>§ 7</w:t>
      </w:r>
    </w:p>
    <w:p w14:paraId="15054371" w14:textId="031136E4" w:rsidR="009278CF" w:rsidRDefault="009278CF" w:rsidP="006C0837">
      <w:pPr>
        <w:pStyle w:val="Textparagrafu"/>
        <w:tabs>
          <w:tab w:val="left" w:pos="392"/>
          <w:tab w:val="left" w:pos="854"/>
        </w:tabs>
        <w:spacing w:after="120"/>
      </w:pPr>
      <w:r>
        <w:t>(1) Pro kontrolu uplatňování investiční pobídky a pro vyvozování důsledků za porušení podmínek, za kterých byla investiční pobídka poskytnuta, platí zvláštní právní předpisy. Příslušné správní orgány při kontrole spolupracují a navzájem si poskytují údaje potřebné k provádění kontroly; přitom dbají předpisů upravujících povinnost mlčenlivosti.</w:t>
      </w:r>
    </w:p>
    <w:p w14:paraId="3DA029A9" w14:textId="1850528F" w:rsidR="009278CF" w:rsidRDefault="009278CF" w:rsidP="006C0837">
      <w:pPr>
        <w:pStyle w:val="Textparagrafu"/>
        <w:tabs>
          <w:tab w:val="left" w:pos="392"/>
          <w:tab w:val="left" w:pos="854"/>
        </w:tabs>
        <w:spacing w:after="120"/>
      </w:pPr>
      <w:r>
        <w:t>(2) Výkon kontroly přísluší</w:t>
      </w:r>
    </w:p>
    <w:p w14:paraId="5AB2D8F3" w14:textId="26FCD54B" w:rsidR="009278CF" w:rsidRDefault="009278CF" w:rsidP="00562201">
      <w:pPr>
        <w:pStyle w:val="Textparagrafu"/>
        <w:tabs>
          <w:tab w:val="left" w:pos="392"/>
          <w:tab w:val="left" w:pos="854"/>
        </w:tabs>
        <w:spacing w:before="0"/>
        <w:ind w:left="426" w:hanging="426"/>
      </w:pPr>
      <w:r>
        <w:t>a)</w:t>
      </w:r>
      <w:r w:rsidR="00D22E5A">
        <w:tab/>
      </w:r>
      <w:r>
        <w:t xml:space="preserve">ministerstvu u investiční pobídky uvedené v § 1a odst. 1 písm. a) bodech 2 a 5, u všeobecných podmínek uvedených v § 2 odst. 2 písm. a) a v § 2 odst. 3 písm. b) a c), u povinnosti zachovat nová pracovní místa podle § 6a odst. 2 písm. b) a § 6a odst. 3 písm. </w:t>
      </w:r>
      <w:r>
        <w:lastRenderedPageBreak/>
        <w:t>a), u povinnosti zachovat činnost s vyšší přidanou hodnotou podle § 6a odst. 2 písm. c) a § 6a odst. 3 písm. c) a u povinností uvedených v § 6a odst. 7,</w:t>
      </w:r>
    </w:p>
    <w:p w14:paraId="3728B795" w14:textId="32DCE542" w:rsidR="009278CF" w:rsidRDefault="009278CF" w:rsidP="00562201">
      <w:pPr>
        <w:pStyle w:val="Textparagrafu"/>
        <w:tabs>
          <w:tab w:val="left" w:pos="392"/>
          <w:tab w:val="left" w:pos="854"/>
        </w:tabs>
        <w:spacing w:before="0"/>
        <w:ind w:left="426" w:hanging="426"/>
      </w:pPr>
      <w:r>
        <w:t>b)</w:t>
      </w:r>
      <w:r w:rsidR="00D22E5A">
        <w:tab/>
      </w:r>
      <w:r>
        <w:t>Ministerstvu životního prostředí u všeobecné podmínky uvedené v § 2 odst. 2 písm. b),</w:t>
      </w:r>
    </w:p>
    <w:p w14:paraId="1840F22E" w14:textId="2F3A796A" w:rsidR="009278CF" w:rsidRDefault="009278CF" w:rsidP="00562201">
      <w:pPr>
        <w:pStyle w:val="Textparagrafu"/>
        <w:tabs>
          <w:tab w:val="left" w:pos="392"/>
          <w:tab w:val="left" w:pos="854"/>
        </w:tabs>
        <w:spacing w:before="0"/>
        <w:ind w:left="426" w:hanging="426"/>
      </w:pPr>
      <w:r>
        <w:t>c)</w:t>
      </w:r>
      <w:r w:rsidR="00D22E5A">
        <w:tab/>
      </w:r>
      <w:r>
        <w:t>Úřadu práce České republiky - generálnímu ředitelství u investiční pobídky uvedené v § 1a odst. 1 písm. a) bodech 3 a 4 a u povinnosti uvedené v § 6a odst. 5,</w:t>
      </w:r>
    </w:p>
    <w:p w14:paraId="6797E405" w14:textId="3C521BCD" w:rsidR="009278CF" w:rsidRDefault="009278CF" w:rsidP="00562201">
      <w:pPr>
        <w:pStyle w:val="Textparagrafu"/>
        <w:tabs>
          <w:tab w:val="left" w:pos="392"/>
          <w:tab w:val="left" w:pos="854"/>
        </w:tabs>
        <w:spacing w:before="0"/>
        <w:ind w:left="426" w:hanging="426"/>
      </w:pPr>
      <w:r>
        <w:t>d)</w:t>
      </w:r>
      <w:r w:rsidR="00D22E5A">
        <w:tab/>
      </w:r>
      <w:r>
        <w:t xml:space="preserve">Ministerstvu financí a finančnímu úřadu u investiční pobídky uvedené v § 1a odst. 1 písm. a) bodech 1 a 6 a u všeobecných podmínek uvedených v § 2 odst. 2 písm. c) a § 2 odst. 3 písm. a), u povinnosti zachovat </w:t>
      </w:r>
      <w:r w:rsidRPr="00D22E5A">
        <w:rPr>
          <w:strike/>
        </w:rPr>
        <w:t>dlouhodobý hmotný a nehmotný majetek</w:t>
      </w:r>
      <w:r>
        <w:t xml:space="preserve"> </w:t>
      </w:r>
      <w:r w:rsidR="00D22E5A" w:rsidRPr="002468A8">
        <w:rPr>
          <w:b/>
        </w:rPr>
        <w:t>stálé hmotné a nehmotné aktivum</w:t>
      </w:r>
      <w:r w:rsidR="00D22E5A">
        <w:t xml:space="preserve"> </w:t>
      </w:r>
      <w:r>
        <w:t>podle § 6a odst. 2 písm. a) a § 6a odst. 3 písm. b) a u povinnosti uvedené v § 6a odst. 6.</w:t>
      </w:r>
    </w:p>
    <w:p w14:paraId="0A3D0DE1" w14:textId="57ABBD38" w:rsidR="009278CF" w:rsidRDefault="009278CF" w:rsidP="006C0837">
      <w:pPr>
        <w:pStyle w:val="Textparagrafu"/>
        <w:tabs>
          <w:tab w:val="left" w:pos="392"/>
          <w:tab w:val="left" w:pos="854"/>
        </w:tabs>
        <w:spacing w:after="120"/>
      </w:pPr>
      <w:r>
        <w:t>(3) Kontrolu podle odstavce 2 písm. a) a d) jsou příslušné orgány povinny provést nejpozději k datu uplynutí 3 let od vydání rozhodnutí o příslibu nebo k datu uplynutí 5 let od vydání rozhodnutí o příslibu, byla-li lhůta podle § 2 odst. 7 prodloužena, s výjimkou kontroly splnění povinností uvedených v § 6a odst. 2, 3 a 7 a investiční pobídky podle § 1a odst. 1 písm. a) bodu 5.</w:t>
      </w:r>
    </w:p>
    <w:p w14:paraId="2D596F4B" w14:textId="4EAEB9F6" w:rsidR="009278CF" w:rsidRDefault="009278CF" w:rsidP="006C0837">
      <w:pPr>
        <w:pStyle w:val="Textparagrafu"/>
        <w:tabs>
          <w:tab w:val="left" w:pos="392"/>
          <w:tab w:val="left" w:pos="854"/>
        </w:tabs>
        <w:spacing w:after="120"/>
      </w:pPr>
      <w:r>
        <w:t xml:space="preserve">(4) Kontrola splnění podmínky zachovat </w:t>
      </w:r>
      <w:r w:rsidRPr="00D22E5A">
        <w:rPr>
          <w:strike/>
        </w:rPr>
        <w:t>dlouhodobý hmotný a nehmotný majetek</w:t>
      </w:r>
      <w:r>
        <w:t xml:space="preserve"> </w:t>
      </w:r>
      <w:r w:rsidR="00D22E5A" w:rsidRPr="002468A8">
        <w:rPr>
          <w:b/>
        </w:rPr>
        <w:t>stálé hmotné a nehmotné aktivum</w:t>
      </w:r>
      <w:r w:rsidR="00D22E5A">
        <w:t xml:space="preserve"> </w:t>
      </w:r>
      <w:r>
        <w:t xml:space="preserve">podle § 6a odst. 2 písm. a) a § 6a odst. 3 písm. b) a povinnosti podle § 6a odst. 7 písm. c) se provede po uplynutí pětileté lhůty pro </w:t>
      </w:r>
      <w:r w:rsidRPr="007E116D">
        <w:rPr>
          <w:strike/>
        </w:rPr>
        <w:t>zachování dlouhodobého hmotného a nehmotného majetku</w:t>
      </w:r>
      <w:r>
        <w:t xml:space="preserve"> </w:t>
      </w:r>
      <w:r w:rsidR="007E116D" w:rsidRPr="002468A8">
        <w:rPr>
          <w:b/>
        </w:rPr>
        <w:t>stálého hmotného a nehmotného aktiva</w:t>
      </w:r>
      <w:r w:rsidR="007E116D" w:rsidRPr="002468A8">
        <w:t xml:space="preserve"> </w:t>
      </w:r>
      <w:r>
        <w:t>podle § 6a odst. písm. a)2 a § 6a odst. 3 písm. b) nebo, pokud je investiční pobídka podle § 1a odst. 1 písm. a) bodu 1 nebo 6 i po této době uplatňována, v roce následujícím po uplynutí posledního zdaňovacího období, v němž bylo možno naposledy uplatnit investiční pobídku podle § 1a odst. 1 písm. a) bodu 1 nebo 6. Kontrola splnění podmínky zachovat nová pracovní místa podle § 6a odst. 2 písm. b) a § 6a odst. 3 písm. a) a zachovat činnost s vyšší přidanou hodnotou podle § 6a odst. 2 písm. c) a § 6a odst. 3 písm. c) se provede po 8 letech ode dne vydání rozhodnutí o příslibu nebo, byla-li lhůta podle § 2 odst. 7 prodloužena, po 10 letech ode dne vydání rozhodnutí o příslibu nebo, pokud je investiční pobídka podle § 1a odst. 1 písm. a) bodu 1 nebo 6 i po této době uplatňována, v roce následujícím po uplynutí posledního zdaňovacího období, v němž bylo možno naposledy uplatnit investiční pobídku podle § 1a odst. 1 písm. a) bodu 1 nebo 6.</w:t>
      </w:r>
    </w:p>
    <w:p w14:paraId="776BB66C" w14:textId="4A6301A8" w:rsidR="009278CF" w:rsidRDefault="009278CF" w:rsidP="00904F98">
      <w:pPr>
        <w:pStyle w:val="Textparagrafu"/>
        <w:tabs>
          <w:tab w:val="left" w:pos="392"/>
          <w:tab w:val="left" w:pos="854"/>
        </w:tabs>
        <w:spacing w:before="120" w:after="120"/>
      </w:pPr>
      <w:r>
        <w:t>(5) Kontrola podle odstavce 2 písm. b) se provádí podle zvláštních právních předpisů upravujících ochranu životního prostředí.</w:t>
      </w:r>
      <w:r w:rsidR="00C83025">
        <w:rPr>
          <w:rStyle w:val="Znakapoznpodarou"/>
        </w:rPr>
        <w:footnoteReference w:customMarkFollows="1" w:id="302"/>
        <w:t>9)</w:t>
      </w:r>
    </w:p>
    <w:p w14:paraId="5C065A6B" w14:textId="47577C95" w:rsidR="009278CF" w:rsidRDefault="009278CF" w:rsidP="00904F98">
      <w:pPr>
        <w:pStyle w:val="Textparagrafu"/>
        <w:tabs>
          <w:tab w:val="left" w:pos="392"/>
          <w:tab w:val="left" w:pos="854"/>
        </w:tabs>
        <w:spacing w:before="120" w:after="120"/>
      </w:pPr>
      <w:r>
        <w:t>(6) Kontrola investiční pobídky podle § 1a odst. 1 písm. a) bodů 3 až 5 se provádí po uplynutí lhůty uvedené v písemné dohodě uzavřené podle § 11a nebo</w:t>
      </w:r>
      <w:r w:rsidR="004464E0">
        <w:t xml:space="preserve"> zvláštního právního předpisu </w:t>
      </w:r>
      <w:r w:rsidR="004464E0">
        <w:rPr>
          <w:rStyle w:val="Znakapoznpodarou"/>
        </w:rPr>
        <w:footnoteReference w:customMarkFollows="1" w:id="303"/>
        <w:t>10))</w:t>
      </w:r>
      <w:r>
        <w:t xml:space="preserve"> a kontrola splnění podmínky uvedené v § 6a odst. 5 se provede po uplynutí pětileté lhůty pro zachování nových pracovních míst podle § 6a odst. 5.</w:t>
      </w:r>
    </w:p>
    <w:p w14:paraId="614B1005" w14:textId="1115E0CC" w:rsidR="009278CF" w:rsidRDefault="009278CF" w:rsidP="00904F98">
      <w:pPr>
        <w:pStyle w:val="Textparagrafu"/>
        <w:tabs>
          <w:tab w:val="left" w:pos="392"/>
          <w:tab w:val="left" w:pos="854"/>
        </w:tabs>
        <w:spacing w:before="120" w:after="120"/>
      </w:pPr>
      <w:r>
        <w:t>(7) Kontrola splnění povinnosti podle § 6a odst. 7 písm. a) a b) se provádí po dokončení investiční akce, nejpozději k datu uplynutí 7 let ode dne vydání rozhodnutí o příslibu.</w:t>
      </w:r>
    </w:p>
    <w:p w14:paraId="20A81916" w14:textId="4DDE674A" w:rsidR="009278CF" w:rsidRDefault="009278CF" w:rsidP="006C0837">
      <w:pPr>
        <w:pStyle w:val="Textparagrafu"/>
        <w:tabs>
          <w:tab w:val="left" w:pos="392"/>
          <w:tab w:val="left" w:pos="854"/>
        </w:tabs>
        <w:spacing w:after="120"/>
        <w:jc w:val="center"/>
      </w:pPr>
      <w:r>
        <w:t>***</w:t>
      </w:r>
    </w:p>
    <w:p w14:paraId="2AF08C04" w14:textId="489F1E59" w:rsidR="009278CF" w:rsidRDefault="009278CF" w:rsidP="00A86E93">
      <w:pPr>
        <w:pStyle w:val="Textparagrafu"/>
        <w:tabs>
          <w:tab w:val="left" w:pos="392"/>
          <w:tab w:val="left" w:pos="854"/>
        </w:tabs>
        <w:spacing w:after="120"/>
        <w:ind w:firstLine="0"/>
        <w:jc w:val="center"/>
      </w:pPr>
      <w:r>
        <w:lastRenderedPageBreak/>
        <w:t>§ 11a</w:t>
      </w:r>
    </w:p>
    <w:p w14:paraId="63A4333E" w14:textId="6F8336D1" w:rsidR="00A86E93" w:rsidRDefault="009278CF" w:rsidP="00A86E93">
      <w:pPr>
        <w:pStyle w:val="Textparagrafu"/>
        <w:tabs>
          <w:tab w:val="left" w:pos="392"/>
          <w:tab w:val="left" w:pos="854"/>
        </w:tabs>
        <w:spacing w:after="120"/>
        <w:ind w:firstLine="0"/>
        <w:jc w:val="center"/>
        <w:rPr>
          <w:b/>
        </w:rPr>
      </w:pPr>
      <w:r w:rsidRPr="000F3B35">
        <w:rPr>
          <w:b/>
          <w:strike/>
        </w:rPr>
        <w:t>Postup při poskytování investiční pobídky ve formě hmotné podpory pořízení</w:t>
      </w:r>
      <w:r w:rsidRPr="007E116D">
        <w:rPr>
          <w:b/>
          <w:strike/>
        </w:rPr>
        <w:t xml:space="preserve"> dlouhodobého hmotného a nehmotného majetku</w:t>
      </w:r>
      <w:r w:rsidR="00A86E93">
        <w:rPr>
          <w:b/>
          <w:strike/>
        </w:rPr>
        <w:t xml:space="preserve"> </w:t>
      </w:r>
    </w:p>
    <w:p w14:paraId="763B28AA" w14:textId="327C8EE8" w:rsidR="000F3B35" w:rsidRPr="007E116D" w:rsidRDefault="000F3B35" w:rsidP="00A86E93">
      <w:pPr>
        <w:pStyle w:val="Textparagrafu"/>
        <w:tabs>
          <w:tab w:val="left" w:pos="392"/>
          <w:tab w:val="left" w:pos="854"/>
        </w:tabs>
        <w:spacing w:after="120"/>
        <w:ind w:firstLine="0"/>
        <w:jc w:val="center"/>
        <w:rPr>
          <w:b/>
        </w:rPr>
      </w:pPr>
      <w:r w:rsidRPr="00A86E93">
        <w:rPr>
          <w:b/>
        </w:rPr>
        <w:t>Postup při poskytování investiční pobídky ve formě hmotné podpory pořízení</w:t>
      </w:r>
      <w:r>
        <w:rPr>
          <w:b/>
        </w:rPr>
        <w:t xml:space="preserve"> </w:t>
      </w:r>
      <w:r w:rsidRPr="007E116D">
        <w:rPr>
          <w:b/>
        </w:rPr>
        <w:t>stálého hmotného a nehmotného aktiva</w:t>
      </w:r>
    </w:p>
    <w:p w14:paraId="28DEF77F" w14:textId="2D4ECC68" w:rsidR="009278CF" w:rsidRDefault="009278CF" w:rsidP="00904F98">
      <w:pPr>
        <w:pStyle w:val="Textparagrafu"/>
        <w:tabs>
          <w:tab w:val="left" w:pos="392"/>
          <w:tab w:val="left" w:pos="854"/>
        </w:tabs>
        <w:spacing w:before="120" w:after="120"/>
      </w:pPr>
      <w:r>
        <w:t xml:space="preserve">(1) Hmotnou podporu pořízení </w:t>
      </w:r>
      <w:r w:rsidRPr="007E116D">
        <w:rPr>
          <w:strike/>
        </w:rPr>
        <w:t>dlouhodobého hmotného a nehmotného majetku</w:t>
      </w:r>
      <w:r w:rsidR="007E116D" w:rsidRPr="007E116D">
        <w:rPr>
          <w:b/>
        </w:rPr>
        <w:t xml:space="preserve"> </w:t>
      </w:r>
      <w:r w:rsidR="007E116D" w:rsidRPr="002468A8">
        <w:rPr>
          <w:b/>
        </w:rPr>
        <w:t>stálého hmotného a nehmotného aktiva</w:t>
      </w:r>
      <w:r>
        <w:t xml:space="preserve"> pro strategickou investiční akci podle § 1a odst. 1 písm. a) bodu 5 poskytuje ministerstvo na základě dohody uzavřené mezi ministerstvem a příjemcem investiční pobídky.</w:t>
      </w:r>
    </w:p>
    <w:p w14:paraId="2942666A" w14:textId="2CFB273F" w:rsidR="009278CF" w:rsidRDefault="009278CF" w:rsidP="00904F98">
      <w:pPr>
        <w:pStyle w:val="Textparagrafu"/>
        <w:tabs>
          <w:tab w:val="left" w:pos="392"/>
          <w:tab w:val="left" w:pos="854"/>
        </w:tabs>
        <w:spacing w:before="120" w:after="120"/>
      </w:pPr>
      <w:r>
        <w:t xml:space="preserve">(2) Dohoda o poskytnutí hmotné podpory pořízení </w:t>
      </w:r>
      <w:r w:rsidRPr="007E116D">
        <w:rPr>
          <w:strike/>
        </w:rPr>
        <w:t>dlouhodobého hmotného a nehmotného majetku</w:t>
      </w:r>
      <w:r>
        <w:t xml:space="preserve"> </w:t>
      </w:r>
      <w:r w:rsidR="007E116D" w:rsidRPr="002468A8">
        <w:rPr>
          <w:b/>
        </w:rPr>
        <w:t>stálého hmotného a nehmotného aktiva</w:t>
      </w:r>
      <w:r w:rsidR="007E116D" w:rsidRPr="002468A8">
        <w:t xml:space="preserve"> </w:t>
      </w:r>
      <w:r>
        <w:t>se uzavírá vždy na kalendářní rok, ve kterém má být hmotná podpora vyplacena, a musí obsahovat</w:t>
      </w:r>
    </w:p>
    <w:p w14:paraId="39BDAE37" w14:textId="73CA44DA" w:rsidR="009278CF" w:rsidRDefault="009278CF" w:rsidP="00562201">
      <w:pPr>
        <w:pStyle w:val="Textparagrafu"/>
        <w:tabs>
          <w:tab w:val="left" w:pos="392"/>
          <w:tab w:val="left" w:pos="854"/>
        </w:tabs>
        <w:spacing w:before="0"/>
        <w:ind w:left="426" w:hanging="426"/>
      </w:pPr>
      <w:r>
        <w:t>a)</w:t>
      </w:r>
      <w:r w:rsidR="006C0837">
        <w:tab/>
      </w:r>
      <w:r>
        <w:t>identifikační údaje účastníků dohody,</w:t>
      </w:r>
    </w:p>
    <w:p w14:paraId="450ABE4E" w14:textId="3B77A50B" w:rsidR="009278CF" w:rsidRDefault="009278CF" w:rsidP="00562201">
      <w:pPr>
        <w:pStyle w:val="Textparagrafu"/>
        <w:tabs>
          <w:tab w:val="left" w:pos="392"/>
          <w:tab w:val="left" w:pos="854"/>
        </w:tabs>
        <w:spacing w:before="0"/>
        <w:ind w:left="426" w:hanging="426"/>
      </w:pPr>
      <w:r>
        <w:t>b)</w:t>
      </w:r>
      <w:r w:rsidR="006C0837">
        <w:tab/>
      </w:r>
      <w:r>
        <w:t>počet nových pracovních míst a hodnotu způsobilých nákladů,</w:t>
      </w:r>
    </w:p>
    <w:p w14:paraId="7DE117FF" w14:textId="381DA721" w:rsidR="009278CF" w:rsidRDefault="009278CF" w:rsidP="00562201">
      <w:pPr>
        <w:pStyle w:val="Textparagrafu"/>
        <w:tabs>
          <w:tab w:val="left" w:pos="392"/>
          <w:tab w:val="left" w:pos="854"/>
        </w:tabs>
        <w:spacing w:before="0"/>
        <w:ind w:left="426" w:hanging="426"/>
      </w:pPr>
      <w:r>
        <w:t>c)</w:t>
      </w:r>
      <w:r w:rsidR="006C0837">
        <w:tab/>
      </w:r>
      <w:r>
        <w:t>vymezení nákladů, na něž se hmotná podpora poskytuje,</w:t>
      </w:r>
    </w:p>
    <w:p w14:paraId="4564A120" w14:textId="201C42EA" w:rsidR="009278CF" w:rsidRDefault="009278CF" w:rsidP="00562201">
      <w:pPr>
        <w:pStyle w:val="Textparagrafu"/>
        <w:tabs>
          <w:tab w:val="left" w:pos="392"/>
          <w:tab w:val="left" w:pos="854"/>
        </w:tabs>
        <w:spacing w:before="0"/>
        <w:ind w:left="426" w:hanging="426"/>
      </w:pPr>
      <w:r>
        <w:t>d)</w:t>
      </w:r>
      <w:r w:rsidR="006C0837">
        <w:tab/>
      </w:r>
      <w:r>
        <w:t>výši hmotné podpory,</w:t>
      </w:r>
    </w:p>
    <w:p w14:paraId="759A18C0" w14:textId="681BB76F" w:rsidR="009278CF" w:rsidRDefault="009278CF" w:rsidP="00562201">
      <w:pPr>
        <w:pStyle w:val="Textparagrafu"/>
        <w:tabs>
          <w:tab w:val="left" w:pos="392"/>
          <w:tab w:val="left" w:pos="854"/>
        </w:tabs>
        <w:spacing w:before="0"/>
        <w:ind w:left="426" w:hanging="426"/>
      </w:pPr>
      <w:r>
        <w:t>e)</w:t>
      </w:r>
      <w:r w:rsidR="006C0837">
        <w:tab/>
      </w:r>
      <w:r>
        <w:t>způsob a termín poskytnutí hmotné podpory,</w:t>
      </w:r>
    </w:p>
    <w:p w14:paraId="2F959CB3" w14:textId="1647A74E" w:rsidR="009278CF" w:rsidRDefault="009278CF" w:rsidP="00562201">
      <w:pPr>
        <w:pStyle w:val="Textparagrafu"/>
        <w:tabs>
          <w:tab w:val="left" w:pos="392"/>
          <w:tab w:val="left" w:pos="854"/>
        </w:tabs>
        <w:spacing w:before="0"/>
        <w:ind w:left="426" w:hanging="426"/>
      </w:pPr>
      <w:r>
        <w:t>f)</w:t>
      </w:r>
      <w:r w:rsidR="006C0837">
        <w:tab/>
      </w:r>
      <w:r>
        <w:t>způsob a termín zúčtování hmotné podpory,</w:t>
      </w:r>
    </w:p>
    <w:p w14:paraId="0FE5B848" w14:textId="12B6ABAA" w:rsidR="009278CF" w:rsidRDefault="009278CF" w:rsidP="00562201">
      <w:pPr>
        <w:pStyle w:val="Textparagrafu"/>
        <w:tabs>
          <w:tab w:val="left" w:pos="392"/>
          <w:tab w:val="left" w:pos="854"/>
        </w:tabs>
        <w:spacing w:before="0"/>
        <w:ind w:left="426" w:hanging="426"/>
      </w:pPr>
      <w:r>
        <w:t>g)</w:t>
      </w:r>
      <w:r w:rsidR="006C0837">
        <w:tab/>
      </w:r>
      <w:r>
        <w:t>způsob kontroly plnění sjednaných podmínek,</w:t>
      </w:r>
    </w:p>
    <w:p w14:paraId="4CEF4853" w14:textId="45F9E3B6" w:rsidR="009278CF" w:rsidRDefault="009278CF" w:rsidP="00562201">
      <w:pPr>
        <w:pStyle w:val="Textparagrafu"/>
        <w:tabs>
          <w:tab w:val="left" w:pos="392"/>
          <w:tab w:val="left" w:pos="854"/>
        </w:tabs>
        <w:spacing w:before="0"/>
        <w:ind w:left="426" w:hanging="426"/>
      </w:pPr>
      <w:r>
        <w:t>h)</w:t>
      </w:r>
      <w:r w:rsidR="006C0837">
        <w:tab/>
      </w:r>
      <w:r>
        <w:t>lhůtu a podmínky vrácení hmotné podpory nebo její poměrné části, pokud byla příjemcem čerpána nebo použita v rozporu s dohodou,</w:t>
      </w:r>
    </w:p>
    <w:p w14:paraId="7A8B0299" w14:textId="2DCBD938" w:rsidR="009278CF" w:rsidRDefault="009278CF" w:rsidP="00562201">
      <w:pPr>
        <w:pStyle w:val="Textparagrafu"/>
        <w:tabs>
          <w:tab w:val="left" w:pos="392"/>
          <w:tab w:val="left" w:pos="854"/>
        </w:tabs>
        <w:spacing w:before="0"/>
        <w:ind w:left="426" w:hanging="426"/>
      </w:pPr>
      <w:r>
        <w:t>i)</w:t>
      </w:r>
      <w:r w:rsidR="00C83025">
        <w:tab/>
      </w:r>
      <w:r>
        <w:t>ujednání o vypovězení dohody, včetně lhůty pro její vypovězení.</w:t>
      </w:r>
    </w:p>
    <w:p w14:paraId="23D646D1" w14:textId="227EF533" w:rsidR="009278CF" w:rsidRDefault="009278CF" w:rsidP="00904F98">
      <w:pPr>
        <w:pStyle w:val="Textparagrafu"/>
        <w:tabs>
          <w:tab w:val="left" w:pos="392"/>
          <w:tab w:val="left" w:pos="854"/>
        </w:tabs>
        <w:spacing w:before="120" w:after="120"/>
      </w:pPr>
      <w:r>
        <w:t>(3) Příjemce má právo dohodu vypovědět, pokud je ministerstvo v prodlení s výplatou hmotné podpory déle než 60 dnů. Ministerstvo má právo dohodu vypovědět, pokud příjemce přestal splňovat všeobecné podmínky podle § 2 odst. 2 a 3 nebo neplní povinnosti vyplývající z dohody.</w:t>
      </w:r>
    </w:p>
    <w:p w14:paraId="162CB545" w14:textId="685E78EA" w:rsidR="009278CF" w:rsidRDefault="009278CF" w:rsidP="00904F98">
      <w:pPr>
        <w:pStyle w:val="Textparagrafu"/>
        <w:tabs>
          <w:tab w:val="left" w:pos="392"/>
          <w:tab w:val="left" w:pos="854"/>
        </w:tabs>
        <w:spacing w:before="120" w:after="120"/>
      </w:pPr>
      <w:r>
        <w:t xml:space="preserve">(4) Hmotná podpora pořízení </w:t>
      </w:r>
      <w:r w:rsidR="00F71C54" w:rsidRPr="002468A8">
        <w:rPr>
          <w:b/>
        </w:rPr>
        <w:t>stálého hmotného a nehmotného aktiva</w:t>
      </w:r>
      <w:r>
        <w:t xml:space="preserve"> je účelově určena a nemůže být použita na jiný účel, než je uvedený v dohodě.</w:t>
      </w:r>
    </w:p>
    <w:p w14:paraId="5269F42B" w14:textId="004C8C6E" w:rsidR="009278CF" w:rsidRDefault="009278CF" w:rsidP="00904F98">
      <w:pPr>
        <w:pStyle w:val="Textparagrafu"/>
        <w:tabs>
          <w:tab w:val="left" w:pos="392"/>
          <w:tab w:val="left" w:pos="854"/>
        </w:tabs>
        <w:spacing w:before="120" w:after="120"/>
      </w:pPr>
      <w:r>
        <w:t xml:space="preserve">(5) </w:t>
      </w:r>
      <w:r w:rsidR="00F71C54" w:rsidRPr="002468A8">
        <w:t xml:space="preserve">Výše hmotné podpory pořízení </w:t>
      </w:r>
      <w:r w:rsidR="00F71C54" w:rsidRPr="002468A8">
        <w:rPr>
          <w:strike/>
        </w:rPr>
        <w:t>dlouhodobého hmotného a nehmotného majetku</w:t>
      </w:r>
      <w:r w:rsidR="00F71C54" w:rsidRPr="002468A8">
        <w:t xml:space="preserve"> </w:t>
      </w:r>
      <w:r w:rsidR="00F71C54" w:rsidRPr="002468A8">
        <w:rPr>
          <w:b/>
        </w:rPr>
        <w:t>stálého hmotného a nehmotného aktiva</w:t>
      </w:r>
      <w:r w:rsidR="00F71C54" w:rsidRPr="002468A8">
        <w:t xml:space="preserve"> nesnižuje hodnotu způsobilých nákladů. Způsobilými náklady pro poskytnutí hmotné podpory pořízení </w:t>
      </w:r>
      <w:r w:rsidR="00F71C54" w:rsidRPr="002468A8">
        <w:rPr>
          <w:strike/>
        </w:rPr>
        <w:t xml:space="preserve">dlouhodobého hmotného a nehmotného majetku </w:t>
      </w:r>
      <w:r w:rsidR="00F71C54" w:rsidRPr="002468A8">
        <w:rPr>
          <w:b/>
        </w:rPr>
        <w:t>stálého hmotného a nehmotného aktiva</w:t>
      </w:r>
      <w:r w:rsidR="00F71C54" w:rsidRPr="002468A8">
        <w:t xml:space="preserve"> jsou náklady podle § 6a odst. 1 písm. a). Maximální výši hmotné podpory pořízení </w:t>
      </w:r>
      <w:r w:rsidR="00F71C54" w:rsidRPr="002468A8">
        <w:rPr>
          <w:strike/>
        </w:rPr>
        <w:t>dlouhodobého hmotného a nehmotného majetku</w:t>
      </w:r>
      <w:r w:rsidR="00F71C54" w:rsidRPr="002468A8">
        <w:t xml:space="preserve"> </w:t>
      </w:r>
      <w:r w:rsidR="00F71C54" w:rsidRPr="002468A8">
        <w:rPr>
          <w:b/>
        </w:rPr>
        <w:t>stálého hmotného a nehmotného aktiva</w:t>
      </w:r>
      <w:r w:rsidR="00F71C54" w:rsidRPr="002468A8">
        <w:t xml:space="preserve"> stanoví vláda nařízením, a to maximálně do výše přípustné míry veřejné podpory v regionech České republiky. Tato maximální výše hmotné podpory pořízení </w:t>
      </w:r>
      <w:r w:rsidR="00F71C54" w:rsidRPr="002468A8">
        <w:rPr>
          <w:strike/>
        </w:rPr>
        <w:t>dlouhodobého hmotného a nehmotného majetku</w:t>
      </w:r>
      <w:r w:rsidR="00F71C54" w:rsidRPr="002468A8">
        <w:t xml:space="preserve"> </w:t>
      </w:r>
      <w:r w:rsidR="00F71C54" w:rsidRPr="002468A8">
        <w:rPr>
          <w:b/>
        </w:rPr>
        <w:t>stálého hmotného a nehmotného aktiva</w:t>
      </w:r>
      <w:r w:rsidR="00F71C54" w:rsidRPr="002468A8">
        <w:t xml:space="preserve"> se nepoužije v případě investiční pobídky podle § 1d.</w:t>
      </w:r>
    </w:p>
    <w:p w14:paraId="682D64C9" w14:textId="67349705" w:rsidR="009278CF" w:rsidRPr="00B71E69" w:rsidRDefault="009278CF" w:rsidP="00904F98">
      <w:pPr>
        <w:pStyle w:val="Textparagrafu"/>
        <w:tabs>
          <w:tab w:val="left" w:pos="392"/>
          <w:tab w:val="left" w:pos="854"/>
        </w:tabs>
        <w:spacing w:before="120" w:after="120"/>
      </w:pPr>
      <w:r>
        <w:t>(6) Nedodržení podmínek sjednaných v dohodě podle odstavce 2 nebo nevrácení hmotné podpory ve stanoveném termínu je porušením rozpočtové kázně a bude postihováno odvodem za porušení rozpočtové kázně podle rozpočtových pravidel.</w:t>
      </w:r>
    </w:p>
    <w:p w14:paraId="3A147898" w14:textId="77777777" w:rsidR="00FF5E43" w:rsidRDefault="00FF5E43" w:rsidP="00145672">
      <w:pPr>
        <w:pStyle w:val="Textparagrafu"/>
        <w:tabs>
          <w:tab w:val="left" w:pos="392"/>
          <w:tab w:val="left" w:pos="854"/>
        </w:tabs>
        <w:spacing w:after="120"/>
        <w:ind w:firstLine="0"/>
      </w:pPr>
    </w:p>
    <w:p w14:paraId="05124788" w14:textId="77777777" w:rsidR="00642A7B" w:rsidRDefault="00642A7B" w:rsidP="00CB5381">
      <w:pPr>
        <w:pStyle w:val="Textparagrafu"/>
        <w:tabs>
          <w:tab w:val="left" w:pos="406"/>
          <w:tab w:val="left" w:pos="840"/>
          <w:tab w:val="left" w:pos="868"/>
        </w:tabs>
        <w:spacing w:after="120"/>
        <w:ind w:firstLine="0"/>
        <w:sectPr w:rsidR="00642A7B" w:rsidSect="00145672">
          <w:footnotePr>
            <w:numStart w:val="3"/>
          </w:footnotePr>
          <w:endnotePr>
            <w:numFmt w:val="decimal"/>
          </w:endnotePr>
          <w:pgSz w:w="11906" w:h="16838"/>
          <w:pgMar w:top="1418" w:right="1418" w:bottom="1418" w:left="1418" w:header="709" w:footer="709" w:gutter="0"/>
          <w:cols w:space="708"/>
          <w:docGrid w:linePitch="360"/>
        </w:sectPr>
      </w:pPr>
    </w:p>
    <w:p w14:paraId="54111052" w14:textId="027E8F44" w:rsidR="00642A7B" w:rsidRPr="00527C79" w:rsidRDefault="00642A7B" w:rsidP="00904F98">
      <w:pPr>
        <w:tabs>
          <w:tab w:val="left" w:pos="851"/>
        </w:tabs>
        <w:spacing w:before="120" w:after="120"/>
        <w:ind w:firstLine="0"/>
        <w:jc w:val="center"/>
        <w:outlineLvl w:val="0"/>
        <w:rPr>
          <w:szCs w:val="24"/>
        </w:rPr>
      </w:pPr>
      <w:r w:rsidRPr="00527C79">
        <w:rPr>
          <w:b/>
          <w:szCs w:val="24"/>
        </w:rPr>
        <w:lastRenderedPageBreak/>
        <w:t xml:space="preserve">K části </w:t>
      </w:r>
      <w:r>
        <w:rPr>
          <w:b/>
          <w:szCs w:val="24"/>
        </w:rPr>
        <w:t>čtyřicáté</w:t>
      </w:r>
      <w:r w:rsidRPr="00527C79">
        <w:rPr>
          <w:b/>
          <w:szCs w:val="24"/>
        </w:rPr>
        <w:t xml:space="preserve"> </w:t>
      </w:r>
      <w:r w:rsidR="00562201">
        <w:rPr>
          <w:b/>
          <w:szCs w:val="24"/>
        </w:rPr>
        <w:t>třetí</w:t>
      </w:r>
      <w:r>
        <w:rPr>
          <w:b/>
          <w:szCs w:val="24"/>
        </w:rPr>
        <w:t xml:space="preserve"> </w:t>
      </w:r>
      <w:r w:rsidRPr="00527C79">
        <w:rPr>
          <w:b/>
          <w:szCs w:val="24"/>
        </w:rPr>
        <w:t xml:space="preserve">návrhu zákona – </w:t>
      </w:r>
      <w:r w:rsidRPr="00527C79">
        <w:rPr>
          <w:szCs w:val="24"/>
        </w:rPr>
        <w:t>změna zákona</w:t>
      </w:r>
      <w:r w:rsidRPr="00642A7B">
        <w:t xml:space="preserve"> </w:t>
      </w:r>
      <w:r w:rsidRPr="00642A7B">
        <w:rPr>
          <w:szCs w:val="24"/>
        </w:rPr>
        <w:t>o Státním fondu dopravní infrastruktury</w:t>
      </w:r>
    </w:p>
    <w:p w14:paraId="2DAC0C81" w14:textId="70419BA1" w:rsidR="00642A7B" w:rsidRDefault="00642A7B" w:rsidP="00642A7B">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642A7B">
        <w:rPr>
          <w:b/>
          <w:szCs w:val="24"/>
        </w:rPr>
        <w:t>Platné znění</w:t>
      </w:r>
      <w:r w:rsidRPr="00642A7B">
        <w:rPr>
          <w:szCs w:val="24"/>
        </w:rPr>
        <w:t xml:space="preserve"> zákona </w:t>
      </w:r>
      <w:r w:rsidRPr="00642A7B">
        <w:rPr>
          <w:color w:val="000000"/>
          <w:szCs w:val="24"/>
        </w:rPr>
        <w:t>č.</w:t>
      </w:r>
      <w:r>
        <w:rPr>
          <w:color w:val="000000"/>
          <w:szCs w:val="24"/>
        </w:rPr>
        <w:t>104</w:t>
      </w:r>
      <w:r w:rsidRPr="00642A7B">
        <w:rPr>
          <w:color w:val="000000"/>
          <w:szCs w:val="24"/>
        </w:rPr>
        <w:t>/</w:t>
      </w:r>
      <w:r w:rsidRPr="00642A7B">
        <w:rPr>
          <w:szCs w:val="24"/>
        </w:rPr>
        <w:t>2000 Sb., o Státním fondu dopravní infrastruktury</w:t>
      </w:r>
    </w:p>
    <w:p w14:paraId="3C688E39" w14:textId="6215D472" w:rsidR="00642A7B" w:rsidRPr="00642A7B" w:rsidRDefault="00904F98" w:rsidP="00642A7B">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AE4818">
        <w:rPr>
          <w:b/>
          <w:szCs w:val="24"/>
          <w:lang w:eastAsia="en-US"/>
        </w:rPr>
        <w:t>s vyznačením navrhovaných změn a doplnění k 1. lednu 2025</w:t>
      </w:r>
    </w:p>
    <w:p w14:paraId="3189C910" w14:textId="77777777" w:rsidR="00642A7B" w:rsidRDefault="00642A7B" w:rsidP="00642A7B">
      <w:pPr>
        <w:pStyle w:val="Textparagrafu"/>
        <w:tabs>
          <w:tab w:val="left" w:pos="406"/>
          <w:tab w:val="left" w:pos="840"/>
          <w:tab w:val="left" w:pos="868"/>
        </w:tabs>
        <w:spacing w:after="120"/>
        <w:ind w:firstLine="0"/>
        <w:jc w:val="center"/>
      </w:pPr>
      <w:r w:rsidRPr="00527C79">
        <w:t>***</w:t>
      </w:r>
    </w:p>
    <w:p w14:paraId="4E9ABA86" w14:textId="75A7840F" w:rsidR="003B112C" w:rsidRDefault="003B112C" w:rsidP="003B112C">
      <w:pPr>
        <w:pStyle w:val="Paragraf"/>
      </w:pPr>
      <w:r w:rsidRPr="00EF5D79">
        <w:t>§</w:t>
      </w:r>
      <w:r>
        <w:t xml:space="preserve"> </w:t>
      </w:r>
      <w:r w:rsidRPr="00EF5D79">
        <w:t>5</w:t>
      </w:r>
      <w:r>
        <w:t xml:space="preserve"> </w:t>
      </w:r>
    </w:p>
    <w:p w14:paraId="20F298A6" w14:textId="77777777" w:rsidR="003B112C" w:rsidRDefault="003B112C" w:rsidP="003B112C">
      <w:pPr>
        <w:pStyle w:val="Nadpisparagrafu"/>
      </w:pPr>
      <w:r>
        <w:t>Rozpočet a účetnictví Fondu</w:t>
      </w:r>
    </w:p>
    <w:p w14:paraId="15D6D659" w14:textId="4102E0D0" w:rsidR="003B112C" w:rsidRDefault="003B112C" w:rsidP="00904F98">
      <w:pPr>
        <w:pStyle w:val="Textparagrafu"/>
        <w:tabs>
          <w:tab w:val="left" w:pos="392"/>
          <w:tab w:val="left" w:pos="854"/>
        </w:tabs>
        <w:spacing w:before="120" w:after="120"/>
      </w:pPr>
      <w:r w:rsidRPr="00EF5D79">
        <w:t>(1</w:t>
      </w:r>
      <w:r>
        <w:t xml:space="preserve">) </w:t>
      </w:r>
      <w:r w:rsidRPr="00EF5D79">
        <w:t>Fond</w:t>
      </w:r>
      <w:r>
        <w:t xml:space="preserve"> </w:t>
      </w:r>
      <w:r w:rsidRPr="00EF5D79">
        <w:t>sestavuje</w:t>
      </w:r>
      <w:r>
        <w:t xml:space="preserve"> </w:t>
      </w:r>
      <w:r w:rsidRPr="00EF5D79">
        <w:t>pro</w:t>
      </w:r>
      <w:r>
        <w:t xml:space="preserve"> </w:t>
      </w:r>
      <w:r w:rsidRPr="00EF5D79">
        <w:t>každý</w:t>
      </w:r>
      <w:r>
        <w:t xml:space="preserve"> </w:t>
      </w:r>
      <w:r w:rsidRPr="00EF5D79">
        <w:t>rozpočtový</w:t>
      </w:r>
      <w:r>
        <w:t xml:space="preserve"> </w:t>
      </w:r>
      <w:r w:rsidRPr="00EF5D79">
        <w:t>rok</w:t>
      </w:r>
      <w:r>
        <w:t xml:space="preserve"> </w:t>
      </w:r>
      <w:r w:rsidRPr="00EF5D79">
        <w:t>návrh</w:t>
      </w:r>
      <w:r>
        <w:t xml:space="preserve"> </w:t>
      </w:r>
      <w:r w:rsidRPr="00EF5D79">
        <w:t>rozpočtu</w:t>
      </w:r>
      <w:r>
        <w:t xml:space="preserve"> </w:t>
      </w:r>
      <w:r w:rsidRPr="00EF5D79">
        <w:t>Fondu,</w:t>
      </w:r>
      <w:r>
        <w:t xml:space="preserve"> </w:t>
      </w:r>
      <w:r w:rsidRPr="00EF5D79">
        <w:t>který</w:t>
      </w:r>
      <w:r>
        <w:t xml:space="preserve"> </w:t>
      </w:r>
      <w:r w:rsidRPr="00EF5D79">
        <w:t>předkládá</w:t>
      </w:r>
      <w:r>
        <w:t xml:space="preserve"> </w:t>
      </w:r>
      <w:r w:rsidRPr="00EF5D79">
        <w:t>prostřednictvím</w:t>
      </w:r>
      <w:r>
        <w:t xml:space="preserve"> </w:t>
      </w:r>
      <w:r w:rsidRPr="00EF5D79">
        <w:t>ministra</w:t>
      </w:r>
      <w:r>
        <w:t xml:space="preserve"> </w:t>
      </w:r>
      <w:r w:rsidRPr="00EF5D79">
        <w:t>vládě</w:t>
      </w:r>
      <w:r>
        <w:t xml:space="preserve"> </w:t>
      </w:r>
      <w:r w:rsidRPr="00EF5D79">
        <w:t>vždy</w:t>
      </w:r>
      <w:r>
        <w:t xml:space="preserve"> </w:t>
      </w:r>
      <w:r w:rsidRPr="00EF5D79">
        <w:t>do</w:t>
      </w:r>
      <w:r>
        <w:t xml:space="preserve"> </w:t>
      </w:r>
      <w:r w:rsidRPr="00EF5D79">
        <w:t>30.</w:t>
      </w:r>
      <w:r>
        <w:t xml:space="preserve"> </w:t>
      </w:r>
      <w:r w:rsidRPr="00EF5D79">
        <w:t>září.</w:t>
      </w:r>
      <w:r>
        <w:t xml:space="preserve"> </w:t>
      </w:r>
      <w:r w:rsidRPr="00EF5D79">
        <w:t>Vláda</w:t>
      </w:r>
      <w:r>
        <w:t xml:space="preserve"> </w:t>
      </w:r>
      <w:r w:rsidRPr="00EF5D79">
        <w:t>předkládá</w:t>
      </w:r>
      <w:r>
        <w:t xml:space="preserve"> </w:t>
      </w:r>
      <w:r w:rsidRPr="00EF5D79">
        <w:t>návrh</w:t>
      </w:r>
      <w:r>
        <w:t xml:space="preserve"> </w:t>
      </w:r>
      <w:r w:rsidRPr="00EF5D79">
        <w:t>rozpočtu</w:t>
      </w:r>
      <w:r>
        <w:t xml:space="preserve"> </w:t>
      </w:r>
      <w:r w:rsidRPr="00EF5D79">
        <w:t>Fondu</w:t>
      </w:r>
      <w:r>
        <w:t xml:space="preserve"> </w:t>
      </w:r>
      <w:r w:rsidRPr="00EF5D79">
        <w:t>po</w:t>
      </w:r>
      <w:r>
        <w:t xml:space="preserve"> </w:t>
      </w:r>
      <w:r w:rsidRPr="00EF5D79">
        <w:t>případných</w:t>
      </w:r>
      <w:r>
        <w:t xml:space="preserve"> </w:t>
      </w:r>
      <w:r w:rsidRPr="00EF5D79">
        <w:t>změnách,</w:t>
      </w:r>
      <w:r>
        <w:t xml:space="preserve"> </w:t>
      </w:r>
      <w:r w:rsidRPr="00EF5D79">
        <w:t>které</w:t>
      </w:r>
      <w:r>
        <w:t xml:space="preserve"> </w:t>
      </w:r>
      <w:r w:rsidRPr="00EF5D79">
        <w:t>v</w:t>
      </w:r>
      <w:r>
        <w:t xml:space="preserve"> </w:t>
      </w:r>
      <w:r w:rsidRPr="00EF5D79">
        <w:t>něm</w:t>
      </w:r>
      <w:r>
        <w:t xml:space="preserve"> </w:t>
      </w:r>
      <w:r w:rsidRPr="00EF5D79">
        <w:t>provede,</w:t>
      </w:r>
      <w:r>
        <w:t xml:space="preserve"> </w:t>
      </w:r>
      <w:r w:rsidRPr="00EF5D79">
        <w:t>ke</w:t>
      </w:r>
      <w:r>
        <w:t xml:space="preserve"> </w:t>
      </w:r>
      <w:r w:rsidRPr="00EF5D79">
        <w:t>schválení</w:t>
      </w:r>
      <w:r>
        <w:t xml:space="preserve"> </w:t>
      </w:r>
      <w:r w:rsidRPr="00EF5D79">
        <w:t>Poslanecké</w:t>
      </w:r>
      <w:r>
        <w:t xml:space="preserve"> </w:t>
      </w:r>
      <w:r w:rsidRPr="00EF5D79">
        <w:t>sněmovně</w:t>
      </w:r>
      <w:r>
        <w:t xml:space="preserve"> </w:t>
      </w:r>
      <w:r w:rsidRPr="00EF5D79">
        <w:t>Parlamentu</w:t>
      </w:r>
      <w:r>
        <w:t xml:space="preserve"> </w:t>
      </w:r>
      <w:r w:rsidRPr="00EF5D79">
        <w:t>České</w:t>
      </w:r>
      <w:r>
        <w:t xml:space="preserve"> </w:t>
      </w:r>
      <w:r w:rsidRPr="00EF5D79">
        <w:t>republiky</w:t>
      </w:r>
      <w:r>
        <w:t xml:space="preserve"> </w:t>
      </w:r>
      <w:r w:rsidRPr="00EF5D79">
        <w:t>současně</w:t>
      </w:r>
      <w:r>
        <w:t xml:space="preserve"> </w:t>
      </w:r>
      <w:r w:rsidRPr="00EF5D79">
        <w:t>s</w:t>
      </w:r>
      <w:r>
        <w:t xml:space="preserve"> </w:t>
      </w:r>
      <w:r w:rsidRPr="00EF5D79">
        <w:t>návrhem</w:t>
      </w:r>
      <w:r>
        <w:t xml:space="preserve"> </w:t>
      </w:r>
      <w:r w:rsidRPr="00EF5D79">
        <w:t>státního</w:t>
      </w:r>
      <w:r>
        <w:t xml:space="preserve"> </w:t>
      </w:r>
      <w:r w:rsidRPr="00EF5D79">
        <w:t>rozpočtu</w:t>
      </w:r>
      <w:r>
        <w:t xml:space="preserve"> </w:t>
      </w:r>
      <w:r w:rsidRPr="00EF5D79">
        <w:t>České</w:t>
      </w:r>
      <w:r>
        <w:t xml:space="preserve"> </w:t>
      </w:r>
      <w:r w:rsidRPr="00EF5D79">
        <w:t>republiky.</w:t>
      </w:r>
      <w:r>
        <w:t xml:space="preserve"> </w:t>
      </w:r>
      <w:r w:rsidRPr="00EF5D79">
        <w:t>Součástí</w:t>
      </w:r>
      <w:r>
        <w:t xml:space="preserve"> </w:t>
      </w:r>
      <w:r w:rsidRPr="00EF5D79">
        <w:t>rozpočtu</w:t>
      </w:r>
      <w:r>
        <w:t xml:space="preserve"> </w:t>
      </w:r>
      <w:r w:rsidRPr="00EF5D79">
        <w:t>Fondu</w:t>
      </w:r>
      <w:r>
        <w:t xml:space="preserve"> </w:t>
      </w:r>
      <w:r w:rsidRPr="00EF5D79">
        <w:t>je</w:t>
      </w:r>
    </w:p>
    <w:p w14:paraId="6DE9D717" w14:textId="77777777" w:rsidR="003B112C" w:rsidRDefault="003B112C" w:rsidP="003B112C">
      <w:pPr>
        <w:pStyle w:val="PZTextpsmene"/>
        <w:tabs>
          <w:tab w:val="left" w:pos="426"/>
        </w:tabs>
        <w:spacing w:before="0"/>
      </w:pPr>
      <w:r w:rsidRPr="00EF5D79">
        <w:t>a</w:t>
      </w:r>
      <w:r>
        <w:t>)</w:t>
      </w:r>
      <w:r>
        <w:tab/>
      </w:r>
      <w:r w:rsidRPr="00EF5D79">
        <w:t>jmenovitý</w:t>
      </w:r>
      <w:r>
        <w:t xml:space="preserve"> </w:t>
      </w:r>
      <w:r w:rsidRPr="00EF5D79">
        <w:t>seznam</w:t>
      </w:r>
      <w:r>
        <w:t xml:space="preserve"> </w:t>
      </w:r>
      <w:r w:rsidRPr="00EF5D79">
        <w:t>akcí</w:t>
      </w:r>
      <w:r>
        <w:t xml:space="preserve"> </w:t>
      </w:r>
      <w:r w:rsidRPr="00EF5D79">
        <w:t>financovaných</w:t>
      </w:r>
      <w:r>
        <w:t xml:space="preserve"> </w:t>
      </w:r>
      <w:r w:rsidRPr="00EF5D79">
        <w:t>z</w:t>
      </w:r>
      <w:r>
        <w:t xml:space="preserve"> </w:t>
      </w:r>
      <w:r w:rsidRPr="00EF5D79">
        <w:t>Fondu</w:t>
      </w:r>
      <w:r>
        <w:t xml:space="preserve"> </w:t>
      </w:r>
      <w:r w:rsidRPr="00EF5D79">
        <w:t>včetně</w:t>
      </w:r>
      <w:r>
        <w:t xml:space="preserve"> </w:t>
      </w:r>
      <w:r w:rsidRPr="00EF5D79">
        <w:t>celkových</w:t>
      </w:r>
      <w:r>
        <w:t xml:space="preserve"> </w:t>
      </w:r>
      <w:r w:rsidRPr="00EF5D79">
        <w:t>nákladů</w:t>
      </w:r>
      <w:r>
        <w:t xml:space="preserve"> </w:t>
      </w:r>
      <w:r w:rsidRPr="00EF5D79">
        <w:t>akce,</w:t>
      </w:r>
      <w:r>
        <w:t xml:space="preserve"> </w:t>
      </w:r>
      <w:r w:rsidRPr="00EF5D79">
        <w:t>částky</w:t>
      </w:r>
      <w:r>
        <w:t xml:space="preserve"> </w:t>
      </w:r>
      <w:r w:rsidRPr="00EF5D79">
        <w:t>rozpočtované</w:t>
      </w:r>
      <w:r>
        <w:t xml:space="preserve"> </w:t>
      </w:r>
      <w:r w:rsidRPr="00EF5D79">
        <w:t>pro</w:t>
      </w:r>
      <w:r>
        <w:t xml:space="preserve"> </w:t>
      </w:r>
      <w:r w:rsidRPr="00EF5D79">
        <w:t>běžný</w:t>
      </w:r>
      <w:r>
        <w:t xml:space="preserve"> </w:t>
      </w:r>
      <w:r w:rsidRPr="00EF5D79">
        <w:t>rok</w:t>
      </w:r>
      <w:r>
        <w:t xml:space="preserve"> </w:t>
      </w:r>
      <w:r w:rsidRPr="00EF5D79">
        <w:t>a</w:t>
      </w:r>
      <w:r>
        <w:t xml:space="preserve"> </w:t>
      </w:r>
      <w:r w:rsidRPr="00EF5D79">
        <w:t>lhůty</w:t>
      </w:r>
      <w:r>
        <w:t xml:space="preserve"> </w:t>
      </w:r>
      <w:r w:rsidRPr="00EF5D79">
        <w:t>realizace</w:t>
      </w:r>
      <w:r>
        <w:t xml:space="preserve"> </w:t>
      </w:r>
      <w:r w:rsidRPr="00EF5D79">
        <w:t>akce,</w:t>
      </w:r>
    </w:p>
    <w:p w14:paraId="3EED877D" w14:textId="12C7C45A" w:rsidR="003B112C" w:rsidRDefault="003B112C" w:rsidP="003B112C">
      <w:pPr>
        <w:pStyle w:val="PZTextpsmene"/>
        <w:tabs>
          <w:tab w:val="left" w:pos="426"/>
        </w:tabs>
        <w:spacing w:before="0"/>
      </w:pPr>
      <w:r w:rsidRPr="00EF5D79">
        <w:t>b</w:t>
      </w:r>
      <w:r>
        <w:t>)</w:t>
      </w:r>
      <w:r>
        <w:tab/>
      </w:r>
      <w:r w:rsidRPr="00EF5D79">
        <w:t>přehled</w:t>
      </w:r>
      <w:r>
        <w:t xml:space="preserve"> </w:t>
      </w:r>
      <w:r w:rsidRPr="00EF5D79">
        <w:t>pohledávek</w:t>
      </w:r>
      <w:r>
        <w:t xml:space="preserve"> </w:t>
      </w:r>
      <w:r w:rsidRPr="00EF5D79">
        <w:t>a</w:t>
      </w:r>
      <w:r>
        <w:t xml:space="preserve"> </w:t>
      </w:r>
      <w:r w:rsidRPr="008D4B03">
        <w:rPr>
          <w:strike/>
        </w:rPr>
        <w:t>závazků</w:t>
      </w:r>
      <w:r w:rsidR="008D4B03">
        <w:t xml:space="preserve"> </w:t>
      </w:r>
      <w:r w:rsidR="008D4B03">
        <w:rPr>
          <w:b/>
        </w:rPr>
        <w:t>dluhů</w:t>
      </w:r>
      <w:r w:rsidRPr="00EF5D79">
        <w:t>,</w:t>
      </w:r>
    </w:p>
    <w:p w14:paraId="3973A33F" w14:textId="77777777" w:rsidR="003B112C" w:rsidRDefault="003B112C" w:rsidP="003B112C">
      <w:pPr>
        <w:pStyle w:val="PZTextpsmene"/>
        <w:tabs>
          <w:tab w:val="left" w:pos="426"/>
        </w:tabs>
        <w:spacing w:before="0"/>
      </w:pPr>
      <w:r w:rsidRPr="00EF5D79">
        <w:t>c</w:t>
      </w:r>
      <w:r>
        <w:t>)</w:t>
      </w:r>
      <w:r>
        <w:tab/>
      </w:r>
      <w:r w:rsidRPr="00EF5D79">
        <w:t>návrh</w:t>
      </w:r>
      <w:r>
        <w:t xml:space="preserve"> </w:t>
      </w:r>
      <w:r w:rsidRPr="00EF5D79">
        <w:t>struktury</w:t>
      </w:r>
      <w:r>
        <w:t xml:space="preserve"> </w:t>
      </w:r>
      <w:r w:rsidRPr="00EF5D79">
        <w:t>úvěrů,</w:t>
      </w:r>
      <w:r>
        <w:t xml:space="preserve"> </w:t>
      </w:r>
      <w:r w:rsidRPr="00EF5D79">
        <w:t>které</w:t>
      </w:r>
      <w:r>
        <w:t xml:space="preserve"> </w:t>
      </w:r>
      <w:r w:rsidRPr="00EF5D79">
        <w:t>hodlá</w:t>
      </w:r>
      <w:r>
        <w:t xml:space="preserve"> </w:t>
      </w:r>
      <w:r w:rsidRPr="00EF5D79">
        <w:t>Fond</w:t>
      </w:r>
      <w:r>
        <w:t xml:space="preserve"> </w:t>
      </w:r>
      <w:r w:rsidRPr="00EF5D79">
        <w:t>v</w:t>
      </w:r>
      <w:r>
        <w:t xml:space="preserve"> </w:t>
      </w:r>
      <w:r w:rsidRPr="00EF5D79">
        <w:t>rozpočtovém</w:t>
      </w:r>
      <w:r>
        <w:t xml:space="preserve"> </w:t>
      </w:r>
      <w:r w:rsidRPr="00EF5D79">
        <w:t>roce</w:t>
      </w:r>
      <w:r>
        <w:t xml:space="preserve"> </w:t>
      </w:r>
      <w:r w:rsidRPr="00EF5D79">
        <w:t>přijmout,</w:t>
      </w:r>
      <w:r>
        <w:t xml:space="preserve"> </w:t>
      </w:r>
      <w:r w:rsidRPr="00EF5D79">
        <w:t>včetně</w:t>
      </w:r>
      <w:r>
        <w:t xml:space="preserve"> </w:t>
      </w:r>
      <w:r w:rsidRPr="00EF5D79">
        <w:t>lhůt</w:t>
      </w:r>
      <w:r>
        <w:t xml:space="preserve"> </w:t>
      </w:r>
      <w:r w:rsidRPr="00EF5D79">
        <w:t>splatnosti</w:t>
      </w:r>
      <w:r>
        <w:t xml:space="preserve"> </w:t>
      </w:r>
      <w:r w:rsidRPr="00EF5D79">
        <w:t>a</w:t>
      </w:r>
      <w:r>
        <w:t xml:space="preserve"> </w:t>
      </w:r>
      <w:r w:rsidRPr="00EF5D79">
        <w:t>limitů</w:t>
      </w:r>
      <w:r>
        <w:t xml:space="preserve"> </w:t>
      </w:r>
      <w:r w:rsidRPr="00EF5D79">
        <w:t>úrokové</w:t>
      </w:r>
      <w:r>
        <w:t xml:space="preserve"> </w:t>
      </w:r>
      <w:r w:rsidRPr="00EF5D79">
        <w:t>míry,</w:t>
      </w:r>
    </w:p>
    <w:p w14:paraId="244A83C0" w14:textId="77777777" w:rsidR="003B112C" w:rsidRDefault="003B112C" w:rsidP="003B112C">
      <w:pPr>
        <w:pStyle w:val="PZTextpsmene"/>
        <w:tabs>
          <w:tab w:val="left" w:pos="426"/>
        </w:tabs>
        <w:spacing w:before="0"/>
      </w:pPr>
      <w:r w:rsidRPr="00EF5D79">
        <w:t>d</w:t>
      </w:r>
      <w:r>
        <w:t>)</w:t>
      </w:r>
      <w:r>
        <w:tab/>
      </w:r>
      <w:r w:rsidRPr="00EF5D79">
        <w:t>návrh</w:t>
      </w:r>
      <w:r>
        <w:t xml:space="preserve"> </w:t>
      </w:r>
      <w:r w:rsidRPr="00EF5D79">
        <w:t>kalendáře</w:t>
      </w:r>
      <w:r>
        <w:t xml:space="preserve"> </w:t>
      </w:r>
      <w:r w:rsidRPr="00EF5D79">
        <w:t>splátek</w:t>
      </w:r>
      <w:r>
        <w:t xml:space="preserve"> </w:t>
      </w:r>
      <w:r w:rsidRPr="00EF5D79">
        <w:t>jistiny</w:t>
      </w:r>
      <w:r>
        <w:t xml:space="preserve"> </w:t>
      </w:r>
      <w:r w:rsidRPr="00EF5D79">
        <w:t>a</w:t>
      </w:r>
      <w:r>
        <w:t xml:space="preserve"> </w:t>
      </w:r>
      <w:r w:rsidRPr="00EF5D79">
        <w:t>úroků</w:t>
      </w:r>
      <w:r>
        <w:t xml:space="preserve"> </w:t>
      </w:r>
      <w:r w:rsidRPr="00EF5D79">
        <w:t>Fondem</w:t>
      </w:r>
      <w:r>
        <w:t xml:space="preserve"> </w:t>
      </w:r>
      <w:r w:rsidRPr="00EF5D79">
        <w:t>přijatých</w:t>
      </w:r>
      <w:r>
        <w:t xml:space="preserve"> </w:t>
      </w:r>
      <w:r w:rsidRPr="00EF5D79">
        <w:t>úvěrů.</w:t>
      </w:r>
    </w:p>
    <w:p w14:paraId="59AD2AC0" w14:textId="0DAE311F" w:rsidR="003B112C" w:rsidRDefault="003B112C" w:rsidP="00904F98">
      <w:pPr>
        <w:pStyle w:val="Textparagrafu"/>
        <w:tabs>
          <w:tab w:val="left" w:pos="392"/>
          <w:tab w:val="left" w:pos="854"/>
        </w:tabs>
        <w:spacing w:before="120" w:after="120"/>
      </w:pPr>
      <w:r w:rsidRPr="00EF5D79">
        <w:t>(2</w:t>
      </w:r>
      <w:r>
        <w:t xml:space="preserve">) </w:t>
      </w:r>
      <w:r w:rsidRPr="00EF5D79">
        <w:t>Fond</w:t>
      </w:r>
      <w:r>
        <w:t xml:space="preserve"> </w:t>
      </w:r>
      <w:r w:rsidRPr="00EF5D79">
        <w:t>v</w:t>
      </w:r>
      <w:r>
        <w:t xml:space="preserve"> </w:t>
      </w:r>
      <w:r w:rsidRPr="00EF5D79">
        <w:t>návrhu</w:t>
      </w:r>
      <w:r>
        <w:t xml:space="preserve"> </w:t>
      </w:r>
      <w:r w:rsidRPr="00EF5D79">
        <w:t>svého</w:t>
      </w:r>
      <w:r>
        <w:t xml:space="preserve"> </w:t>
      </w:r>
      <w:r w:rsidRPr="00EF5D79">
        <w:t>rozpočtu</w:t>
      </w:r>
      <w:r>
        <w:t xml:space="preserve"> </w:t>
      </w:r>
      <w:r w:rsidRPr="00EF5D79">
        <w:t>stanoví</w:t>
      </w:r>
      <w:r>
        <w:t xml:space="preserve"> </w:t>
      </w:r>
      <w:r w:rsidRPr="00EF5D79">
        <w:t>své</w:t>
      </w:r>
      <w:r>
        <w:t xml:space="preserve"> </w:t>
      </w:r>
      <w:r w:rsidRPr="00EF5D79">
        <w:t>celkové</w:t>
      </w:r>
      <w:r>
        <w:t xml:space="preserve"> </w:t>
      </w:r>
      <w:r w:rsidRPr="00EF5D79">
        <w:t>výdaje</w:t>
      </w:r>
      <w:r>
        <w:t xml:space="preserve"> </w:t>
      </w:r>
      <w:r w:rsidRPr="00EF5D79">
        <w:t>jako</w:t>
      </w:r>
      <w:r>
        <w:t xml:space="preserve"> </w:t>
      </w:r>
      <w:r w:rsidRPr="00EF5D79">
        <w:t>částku,</w:t>
      </w:r>
      <w:r>
        <w:t xml:space="preserve"> </w:t>
      </w:r>
      <w:r w:rsidRPr="00EF5D79">
        <w:t>kterou</w:t>
      </w:r>
      <w:r>
        <w:t xml:space="preserve"> </w:t>
      </w:r>
      <w:r w:rsidRPr="00EF5D79">
        <w:t>mu</w:t>
      </w:r>
      <w:r>
        <w:t xml:space="preserve"> </w:t>
      </w:r>
      <w:r w:rsidRPr="00EF5D79">
        <w:t>oznámil</w:t>
      </w:r>
      <w:r>
        <w:t xml:space="preserve"> </w:t>
      </w:r>
      <w:r w:rsidRPr="00EF5D79">
        <w:t>příslušný</w:t>
      </w:r>
      <w:r>
        <w:t xml:space="preserve"> </w:t>
      </w:r>
      <w:r w:rsidRPr="00EF5D79">
        <w:t>správce</w:t>
      </w:r>
      <w:r>
        <w:t xml:space="preserve"> </w:t>
      </w:r>
      <w:r w:rsidRPr="00EF5D79">
        <w:t>kapitoly</w:t>
      </w:r>
      <w:r>
        <w:t xml:space="preserve"> </w:t>
      </w:r>
      <w:r w:rsidRPr="00EF5D79">
        <w:t>podle</w:t>
      </w:r>
      <w:r>
        <w:t xml:space="preserve"> </w:t>
      </w:r>
      <w:r w:rsidRPr="00EF5D79">
        <w:t>zvláštního</w:t>
      </w:r>
      <w:r>
        <w:t xml:space="preserve"> </w:t>
      </w:r>
      <w:r w:rsidRPr="00EF5D79">
        <w:t>zákona.</w:t>
      </w:r>
      <w:r w:rsidRPr="00904F98">
        <w:rPr>
          <w:vertAlign w:val="superscript"/>
        </w:rPr>
        <w:footnoteReference w:customMarkFollows="1" w:id="304"/>
        <w:t>5a)</w:t>
      </w:r>
      <w:r>
        <w:t xml:space="preserve"> </w:t>
      </w:r>
      <w:r w:rsidRPr="00EF5D79">
        <w:t>V</w:t>
      </w:r>
      <w:r>
        <w:t xml:space="preserve"> </w:t>
      </w:r>
      <w:r w:rsidRPr="00EF5D79">
        <w:t>rámci</w:t>
      </w:r>
      <w:r>
        <w:t xml:space="preserve"> </w:t>
      </w:r>
      <w:r w:rsidRPr="00EF5D79">
        <w:t>této</w:t>
      </w:r>
      <w:r>
        <w:t xml:space="preserve"> </w:t>
      </w:r>
      <w:r w:rsidRPr="00EF5D79">
        <w:t>částky</w:t>
      </w:r>
      <w:r>
        <w:t xml:space="preserve"> </w:t>
      </w:r>
      <w:r w:rsidRPr="00EF5D79">
        <w:t>v</w:t>
      </w:r>
      <w:r>
        <w:t xml:space="preserve"> </w:t>
      </w:r>
      <w:r w:rsidRPr="00EF5D79">
        <w:t>něm</w:t>
      </w:r>
      <w:r>
        <w:t xml:space="preserve"> </w:t>
      </w:r>
      <w:r w:rsidRPr="00EF5D79">
        <w:t>stanoví</w:t>
      </w:r>
      <w:r>
        <w:t xml:space="preserve"> </w:t>
      </w:r>
      <w:r w:rsidRPr="00EF5D79">
        <w:t>též</w:t>
      </w:r>
      <w:r>
        <w:t xml:space="preserve"> </w:t>
      </w:r>
      <w:r w:rsidRPr="00EF5D79">
        <w:t>částku,</w:t>
      </w:r>
      <w:r>
        <w:t xml:space="preserve"> </w:t>
      </w:r>
      <w:r w:rsidRPr="00EF5D79">
        <w:t>kterou</w:t>
      </w:r>
      <w:r>
        <w:t xml:space="preserve"> </w:t>
      </w:r>
      <w:r w:rsidRPr="00EF5D79">
        <w:t>se</w:t>
      </w:r>
      <w:r>
        <w:t xml:space="preserve"> </w:t>
      </w:r>
      <w:r w:rsidRPr="00EF5D79">
        <w:t>bude</w:t>
      </w:r>
      <w:r>
        <w:t xml:space="preserve"> </w:t>
      </w:r>
      <w:r w:rsidRPr="00EF5D79">
        <w:t>podílet</w:t>
      </w:r>
      <w:r>
        <w:t xml:space="preserve"> </w:t>
      </w:r>
      <w:r w:rsidRPr="00EF5D79">
        <w:t>na</w:t>
      </w:r>
      <w:r>
        <w:t xml:space="preserve"> </w:t>
      </w:r>
      <w:r w:rsidRPr="00EF5D79">
        <w:t>financování</w:t>
      </w:r>
      <w:r>
        <w:t xml:space="preserve"> </w:t>
      </w:r>
      <w:r w:rsidRPr="00EF5D79">
        <w:t>národního</w:t>
      </w:r>
      <w:r>
        <w:t xml:space="preserve"> </w:t>
      </w:r>
      <w:r w:rsidRPr="00EF5D79">
        <w:t>podílu</w:t>
      </w:r>
      <w:r>
        <w:t xml:space="preserve"> </w:t>
      </w:r>
      <w:r w:rsidRPr="00EF5D79">
        <w:t>programů</w:t>
      </w:r>
      <w:r>
        <w:t xml:space="preserve"> </w:t>
      </w:r>
      <w:r w:rsidRPr="00EF5D79">
        <w:t>nebo</w:t>
      </w:r>
      <w:r>
        <w:t xml:space="preserve"> </w:t>
      </w:r>
      <w:r w:rsidRPr="00EF5D79">
        <w:t>projektů</w:t>
      </w:r>
      <w:r>
        <w:t xml:space="preserve"> </w:t>
      </w:r>
      <w:r w:rsidRPr="00EF5D79">
        <w:t>spolufinancovaných</w:t>
      </w:r>
      <w:r>
        <w:t xml:space="preserve"> </w:t>
      </w:r>
      <w:r w:rsidRPr="00EF5D79">
        <w:t>z</w:t>
      </w:r>
      <w:r>
        <w:t xml:space="preserve"> </w:t>
      </w:r>
      <w:r w:rsidRPr="00EF5D79">
        <w:t>rozpočtu</w:t>
      </w:r>
      <w:r>
        <w:t xml:space="preserve"> </w:t>
      </w:r>
      <w:r w:rsidRPr="00EF5D79">
        <w:t>Evropské</w:t>
      </w:r>
      <w:r>
        <w:t xml:space="preserve"> </w:t>
      </w:r>
      <w:r w:rsidRPr="00EF5D79">
        <w:t>unie.</w:t>
      </w:r>
    </w:p>
    <w:p w14:paraId="634DE4F5" w14:textId="51D34B2A" w:rsidR="003B112C" w:rsidRDefault="003B112C" w:rsidP="00904F98">
      <w:pPr>
        <w:pStyle w:val="Textparagrafu"/>
        <w:tabs>
          <w:tab w:val="left" w:pos="392"/>
          <w:tab w:val="left" w:pos="854"/>
        </w:tabs>
        <w:spacing w:before="120" w:after="120"/>
      </w:pPr>
      <w:r w:rsidRPr="00EF5D79">
        <w:t>(3</w:t>
      </w:r>
      <w:r>
        <w:t xml:space="preserve">) </w:t>
      </w:r>
      <w:r w:rsidRPr="00EF5D79">
        <w:t>Finanční</w:t>
      </w:r>
      <w:r>
        <w:t xml:space="preserve"> </w:t>
      </w:r>
      <w:r w:rsidRPr="00EF5D79">
        <w:t>prostředky</w:t>
      </w:r>
      <w:r>
        <w:t xml:space="preserve"> </w:t>
      </w:r>
      <w:r w:rsidRPr="00EF5D79">
        <w:t>Fondu</w:t>
      </w:r>
      <w:r>
        <w:t xml:space="preserve"> </w:t>
      </w:r>
      <w:r w:rsidRPr="00EF5D79">
        <w:t>jsou</w:t>
      </w:r>
      <w:r>
        <w:t xml:space="preserve"> </w:t>
      </w:r>
      <w:r w:rsidRPr="00EF5D79">
        <w:t>vedeny</w:t>
      </w:r>
      <w:r>
        <w:t xml:space="preserve"> </w:t>
      </w:r>
      <w:r w:rsidRPr="00EF5D79">
        <w:t>na</w:t>
      </w:r>
      <w:r>
        <w:t xml:space="preserve"> </w:t>
      </w:r>
      <w:r w:rsidRPr="00EF5D79">
        <w:t>účtech</w:t>
      </w:r>
      <w:r>
        <w:t xml:space="preserve"> </w:t>
      </w:r>
      <w:r w:rsidRPr="00EF5D79">
        <w:t>u</w:t>
      </w:r>
      <w:r>
        <w:t xml:space="preserve"> </w:t>
      </w:r>
      <w:r w:rsidRPr="00EF5D79">
        <w:t>České</w:t>
      </w:r>
      <w:r>
        <w:t xml:space="preserve"> </w:t>
      </w:r>
      <w:r w:rsidRPr="00EF5D79">
        <w:t>národní</w:t>
      </w:r>
      <w:r>
        <w:t xml:space="preserve"> </w:t>
      </w:r>
      <w:r w:rsidRPr="00EF5D79">
        <w:t>banky.</w:t>
      </w:r>
      <w:r>
        <w:t xml:space="preserve"> </w:t>
      </w:r>
      <w:r w:rsidRPr="00EF5D79">
        <w:t>Fond</w:t>
      </w:r>
      <w:r>
        <w:t xml:space="preserve"> </w:t>
      </w:r>
      <w:r w:rsidRPr="00EF5D79">
        <w:t>může</w:t>
      </w:r>
      <w:r>
        <w:t xml:space="preserve"> </w:t>
      </w:r>
      <w:r w:rsidRPr="00EF5D79">
        <w:t>zřizovat</w:t>
      </w:r>
      <w:r>
        <w:t xml:space="preserve"> </w:t>
      </w:r>
      <w:r w:rsidRPr="00EF5D79">
        <w:t>u</w:t>
      </w:r>
      <w:r>
        <w:t xml:space="preserve"> </w:t>
      </w:r>
      <w:r w:rsidRPr="00EF5D79">
        <w:t>jiných</w:t>
      </w:r>
      <w:r>
        <w:t xml:space="preserve"> </w:t>
      </w:r>
      <w:r w:rsidRPr="00EF5D79">
        <w:t>bank</w:t>
      </w:r>
      <w:r>
        <w:t xml:space="preserve"> </w:t>
      </w:r>
      <w:r w:rsidRPr="00EF5D79">
        <w:t>účty,</w:t>
      </w:r>
      <w:r>
        <w:t xml:space="preserve"> </w:t>
      </w:r>
      <w:r w:rsidRPr="00EF5D79">
        <w:t>ze</w:t>
      </w:r>
      <w:r>
        <w:t xml:space="preserve"> </w:t>
      </w:r>
      <w:r w:rsidRPr="00EF5D79">
        <w:t>kterých</w:t>
      </w:r>
      <w:r>
        <w:t xml:space="preserve"> </w:t>
      </w:r>
      <w:r w:rsidRPr="00EF5D79">
        <w:t>lze</w:t>
      </w:r>
      <w:r>
        <w:t xml:space="preserve"> </w:t>
      </w:r>
      <w:r w:rsidRPr="00EF5D79">
        <w:t>uskutečňovat</w:t>
      </w:r>
      <w:r>
        <w:t xml:space="preserve"> </w:t>
      </w:r>
      <w:r w:rsidRPr="00EF5D79">
        <w:t>výdaje</w:t>
      </w:r>
      <w:r>
        <w:t xml:space="preserve"> </w:t>
      </w:r>
      <w:r w:rsidRPr="00EF5D79">
        <w:t>související</w:t>
      </w:r>
      <w:r>
        <w:t xml:space="preserve"> </w:t>
      </w:r>
      <w:r w:rsidRPr="00EF5D79">
        <w:t>s</w:t>
      </w:r>
      <w:r>
        <w:t xml:space="preserve"> </w:t>
      </w:r>
      <w:r w:rsidRPr="00EF5D79">
        <w:t>pracovní</w:t>
      </w:r>
      <w:r>
        <w:t xml:space="preserve"> </w:t>
      </w:r>
      <w:r w:rsidRPr="00EF5D79">
        <w:t>cestou</w:t>
      </w:r>
      <w:r>
        <w:t xml:space="preserve"> </w:t>
      </w:r>
      <w:r w:rsidRPr="00EF5D79">
        <w:t>prostřednictvím</w:t>
      </w:r>
      <w:r>
        <w:t xml:space="preserve"> </w:t>
      </w:r>
      <w:r w:rsidRPr="00EF5D79">
        <w:t>platebních</w:t>
      </w:r>
      <w:r>
        <w:t xml:space="preserve"> </w:t>
      </w:r>
      <w:r w:rsidRPr="00EF5D79">
        <w:t>karet.</w:t>
      </w:r>
      <w:r>
        <w:t xml:space="preserve"> </w:t>
      </w:r>
      <w:r w:rsidRPr="00EF5D79">
        <w:t>Prostřednictvím</w:t>
      </w:r>
      <w:r>
        <w:t xml:space="preserve"> </w:t>
      </w:r>
      <w:r w:rsidRPr="00EF5D79">
        <w:t>platebních</w:t>
      </w:r>
      <w:r>
        <w:t xml:space="preserve"> </w:t>
      </w:r>
      <w:r w:rsidRPr="00EF5D79">
        <w:t>karet</w:t>
      </w:r>
      <w:r>
        <w:t xml:space="preserve"> </w:t>
      </w:r>
      <w:r w:rsidRPr="00EF5D79">
        <w:t>lze</w:t>
      </w:r>
      <w:r>
        <w:t xml:space="preserve"> </w:t>
      </w:r>
      <w:r w:rsidRPr="00EF5D79">
        <w:t>z</w:t>
      </w:r>
      <w:r>
        <w:t xml:space="preserve"> </w:t>
      </w:r>
      <w:r w:rsidRPr="00EF5D79">
        <w:t>těchto</w:t>
      </w:r>
      <w:r>
        <w:t xml:space="preserve"> </w:t>
      </w:r>
      <w:r w:rsidRPr="00EF5D79">
        <w:t>účtů</w:t>
      </w:r>
      <w:r>
        <w:t xml:space="preserve"> </w:t>
      </w:r>
      <w:r w:rsidRPr="00EF5D79">
        <w:t>uskutečňovat</w:t>
      </w:r>
      <w:r>
        <w:t xml:space="preserve"> </w:t>
      </w:r>
      <w:r w:rsidRPr="00EF5D79">
        <w:t>další</w:t>
      </w:r>
      <w:r>
        <w:t xml:space="preserve"> </w:t>
      </w:r>
      <w:r w:rsidRPr="00EF5D79">
        <w:t>výdaje</w:t>
      </w:r>
      <w:r>
        <w:t xml:space="preserve"> </w:t>
      </w:r>
      <w:r w:rsidRPr="00EF5D79">
        <w:t>na</w:t>
      </w:r>
      <w:r>
        <w:t xml:space="preserve"> </w:t>
      </w:r>
      <w:r w:rsidRPr="00EF5D79">
        <w:t>činnost</w:t>
      </w:r>
      <w:r>
        <w:t xml:space="preserve"> </w:t>
      </w:r>
      <w:r w:rsidRPr="00EF5D79">
        <w:t>fondu,</w:t>
      </w:r>
      <w:r>
        <w:t xml:space="preserve"> </w:t>
      </w:r>
      <w:r w:rsidRPr="00EF5D79">
        <w:t>jejichž</w:t>
      </w:r>
      <w:r>
        <w:t xml:space="preserve"> </w:t>
      </w:r>
      <w:r w:rsidRPr="00EF5D79">
        <w:t>úhradu</w:t>
      </w:r>
      <w:r>
        <w:t xml:space="preserve"> </w:t>
      </w:r>
      <w:r w:rsidRPr="00EF5D79">
        <w:t>není</w:t>
      </w:r>
      <w:r>
        <w:t xml:space="preserve"> </w:t>
      </w:r>
      <w:r w:rsidRPr="00EF5D79">
        <w:t>možné</w:t>
      </w:r>
      <w:r>
        <w:t xml:space="preserve"> </w:t>
      </w:r>
      <w:r w:rsidRPr="00EF5D79">
        <w:t>provést</w:t>
      </w:r>
      <w:r>
        <w:t xml:space="preserve"> </w:t>
      </w:r>
      <w:r w:rsidRPr="00EF5D79">
        <w:t>jiným</w:t>
      </w:r>
      <w:r>
        <w:t xml:space="preserve"> </w:t>
      </w:r>
      <w:r w:rsidRPr="00EF5D79">
        <w:t>způsobem.</w:t>
      </w:r>
    </w:p>
    <w:p w14:paraId="3E5589B5" w14:textId="340E676E" w:rsidR="003B112C" w:rsidRDefault="003B112C" w:rsidP="00904F98">
      <w:pPr>
        <w:pStyle w:val="Textparagrafu"/>
        <w:tabs>
          <w:tab w:val="left" w:pos="392"/>
          <w:tab w:val="left" w:pos="854"/>
        </w:tabs>
        <w:spacing w:before="120" w:after="120"/>
      </w:pPr>
      <w:r w:rsidRPr="00EF5D79">
        <w:t>(4</w:t>
      </w:r>
      <w:r>
        <w:t xml:space="preserve">) </w:t>
      </w:r>
      <w:r w:rsidRPr="00EF5D79">
        <w:t>V</w:t>
      </w:r>
      <w:r>
        <w:t xml:space="preserve"> </w:t>
      </w:r>
      <w:r w:rsidRPr="00EF5D79">
        <w:t>průběhu</w:t>
      </w:r>
      <w:r>
        <w:t xml:space="preserve"> </w:t>
      </w:r>
      <w:r w:rsidRPr="00EF5D79">
        <w:t>rozpočtového</w:t>
      </w:r>
      <w:r>
        <w:t xml:space="preserve"> </w:t>
      </w:r>
      <w:r w:rsidRPr="00EF5D79">
        <w:t>roku</w:t>
      </w:r>
      <w:r>
        <w:t xml:space="preserve"> </w:t>
      </w:r>
      <w:r w:rsidRPr="00EF5D79">
        <w:t>mohou</w:t>
      </w:r>
      <w:r>
        <w:t xml:space="preserve"> </w:t>
      </w:r>
      <w:r w:rsidRPr="00EF5D79">
        <w:t>být</w:t>
      </w:r>
      <w:r>
        <w:t xml:space="preserve"> </w:t>
      </w:r>
      <w:r w:rsidRPr="00EF5D79">
        <w:t>prováděny</w:t>
      </w:r>
      <w:r>
        <w:t xml:space="preserve"> </w:t>
      </w:r>
      <w:r w:rsidRPr="00EF5D79">
        <w:t>změny</w:t>
      </w:r>
      <w:r>
        <w:t xml:space="preserve"> </w:t>
      </w:r>
      <w:r w:rsidRPr="00EF5D79">
        <w:t>ve</w:t>
      </w:r>
      <w:r>
        <w:t xml:space="preserve"> </w:t>
      </w:r>
      <w:r w:rsidRPr="00EF5D79">
        <w:t>schváleném</w:t>
      </w:r>
      <w:r>
        <w:t xml:space="preserve"> </w:t>
      </w:r>
      <w:r w:rsidRPr="00EF5D79">
        <w:t>rozpočtu</w:t>
      </w:r>
      <w:r>
        <w:t xml:space="preserve"> </w:t>
      </w:r>
      <w:r w:rsidRPr="00EF5D79">
        <w:t>Fondu</w:t>
      </w:r>
    </w:p>
    <w:p w14:paraId="7290C482" w14:textId="77777777" w:rsidR="003B112C" w:rsidRDefault="003B112C" w:rsidP="003B112C">
      <w:pPr>
        <w:pStyle w:val="PZTextpsmene"/>
        <w:tabs>
          <w:tab w:val="left" w:pos="426"/>
        </w:tabs>
        <w:spacing w:before="0"/>
      </w:pPr>
      <w:r w:rsidRPr="00EF5D79">
        <w:t>a</w:t>
      </w:r>
      <w:r>
        <w:t>)</w:t>
      </w:r>
      <w:r>
        <w:tab/>
      </w:r>
      <w:r w:rsidRPr="00EF5D79">
        <w:t>výborem</w:t>
      </w:r>
      <w:r>
        <w:t xml:space="preserve"> </w:t>
      </w:r>
      <w:r w:rsidRPr="00EF5D79">
        <w:t>Fondu</w:t>
      </w:r>
      <w:r>
        <w:t xml:space="preserve"> </w:t>
      </w:r>
      <w:r w:rsidRPr="00EF5D79">
        <w:t>v</w:t>
      </w:r>
      <w:r>
        <w:t xml:space="preserve"> </w:t>
      </w:r>
      <w:r w:rsidRPr="00EF5D79">
        <w:t>rámci</w:t>
      </w:r>
      <w:r>
        <w:t xml:space="preserve"> </w:t>
      </w:r>
      <w:r w:rsidRPr="00EF5D79">
        <w:t>limitu</w:t>
      </w:r>
      <w:r>
        <w:t xml:space="preserve"> </w:t>
      </w:r>
      <w:r w:rsidRPr="00EF5D79">
        <w:t>a</w:t>
      </w:r>
      <w:r>
        <w:t xml:space="preserve"> </w:t>
      </w:r>
      <w:r w:rsidRPr="00EF5D79">
        <w:t>podle</w:t>
      </w:r>
      <w:r>
        <w:t xml:space="preserve"> </w:t>
      </w:r>
      <w:r w:rsidRPr="00EF5D79">
        <w:t>podmínek</w:t>
      </w:r>
      <w:r>
        <w:t xml:space="preserve"> </w:t>
      </w:r>
      <w:r w:rsidRPr="00EF5D79">
        <w:t>stanovených</w:t>
      </w:r>
      <w:r>
        <w:t xml:space="preserve"> </w:t>
      </w:r>
      <w:r w:rsidRPr="00EF5D79">
        <w:t>Poslaneckou</w:t>
      </w:r>
      <w:r>
        <w:t xml:space="preserve"> </w:t>
      </w:r>
      <w:r w:rsidRPr="00EF5D79">
        <w:t>sněmovnou</w:t>
      </w:r>
      <w:r>
        <w:t xml:space="preserve"> </w:t>
      </w:r>
      <w:r w:rsidRPr="00EF5D79">
        <w:t>Parlamentu</w:t>
      </w:r>
      <w:r>
        <w:t xml:space="preserve"> </w:t>
      </w:r>
      <w:r w:rsidRPr="00EF5D79">
        <w:t>České</w:t>
      </w:r>
      <w:r>
        <w:t xml:space="preserve"> </w:t>
      </w:r>
      <w:r w:rsidRPr="00EF5D79">
        <w:t>republiky</w:t>
      </w:r>
      <w:r>
        <w:t xml:space="preserve"> </w:t>
      </w:r>
      <w:r w:rsidRPr="00EF5D79">
        <w:t>při</w:t>
      </w:r>
      <w:r>
        <w:t xml:space="preserve"> </w:t>
      </w:r>
      <w:r w:rsidRPr="00EF5D79">
        <w:t>schvalování</w:t>
      </w:r>
      <w:r>
        <w:t xml:space="preserve"> </w:t>
      </w:r>
      <w:r w:rsidRPr="00EF5D79">
        <w:t>rozpočtu,</w:t>
      </w:r>
      <w:r>
        <w:t xml:space="preserve"> </w:t>
      </w:r>
      <w:r w:rsidRPr="00EF5D79">
        <w:t>nebo</w:t>
      </w:r>
    </w:p>
    <w:p w14:paraId="36CFB4AD" w14:textId="768B98A1" w:rsidR="003B112C" w:rsidRDefault="003B112C" w:rsidP="003B112C">
      <w:pPr>
        <w:pStyle w:val="PZTextpsmene"/>
        <w:tabs>
          <w:tab w:val="left" w:pos="426"/>
        </w:tabs>
        <w:spacing w:before="0"/>
      </w:pPr>
      <w:r w:rsidRPr="00EF5D79">
        <w:t>b</w:t>
      </w:r>
      <w:r>
        <w:t>)</w:t>
      </w:r>
      <w:r>
        <w:tab/>
      </w:r>
      <w:r w:rsidRPr="00EF5D79">
        <w:t>nad</w:t>
      </w:r>
      <w:r>
        <w:t xml:space="preserve"> </w:t>
      </w:r>
      <w:r w:rsidRPr="00EF5D79">
        <w:t>rámec</w:t>
      </w:r>
      <w:r>
        <w:t xml:space="preserve"> </w:t>
      </w:r>
      <w:r w:rsidRPr="00EF5D79">
        <w:t>limitu</w:t>
      </w:r>
      <w:r>
        <w:t xml:space="preserve"> </w:t>
      </w:r>
      <w:r w:rsidRPr="00EF5D79">
        <w:t>podle</w:t>
      </w:r>
      <w:r>
        <w:t xml:space="preserve"> </w:t>
      </w:r>
      <w:r w:rsidRPr="00EF5D79">
        <w:t>písmene</w:t>
      </w:r>
      <w:r>
        <w:t xml:space="preserve"> </w:t>
      </w:r>
      <w:r w:rsidRPr="00EF5D79">
        <w:t>a)</w:t>
      </w:r>
      <w:r>
        <w:t xml:space="preserve"> </w:t>
      </w:r>
      <w:r w:rsidRPr="00EF5D79">
        <w:t>hospodářským</w:t>
      </w:r>
      <w:r>
        <w:t xml:space="preserve"> </w:t>
      </w:r>
      <w:r w:rsidRPr="00EF5D79">
        <w:t>výborem</w:t>
      </w:r>
      <w:r>
        <w:t xml:space="preserve"> </w:t>
      </w:r>
      <w:r w:rsidRPr="00EF5D79">
        <w:t>Poslanecké</w:t>
      </w:r>
      <w:r>
        <w:t xml:space="preserve"> </w:t>
      </w:r>
      <w:r w:rsidRPr="00EF5D79">
        <w:t>sněmovny</w:t>
      </w:r>
      <w:r>
        <w:t xml:space="preserve"> </w:t>
      </w:r>
      <w:r w:rsidRPr="00EF5D79">
        <w:t>Parlamentu</w:t>
      </w:r>
      <w:r>
        <w:t xml:space="preserve"> </w:t>
      </w:r>
      <w:r w:rsidRPr="00EF5D79">
        <w:t>České</w:t>
      </w:r>
      <w:r>
        <w:t xml:space="preserve"> </w:t>
      </w:r>
      <w:r w:rsidRPr="00EF5D79">
        <w:t>republiky.</w:t>
      </w:r>
    </w:p>
    <w:p w14:paraId="646B44E8" w14:textId="1706F36C" w:rsidR="003B112C" w:rsidRDefault="003B112C" w:rsidP="003B112C">
      <w:pPr>
        <w:pStyle w:val="PZTextpsmene"/>
        <w:tabs>
          <w:tab w:val="left" w:pos="426"/>
        </w:tabs>
        <w:ind w:left="0" w:firstLine="0"/>
        <w:jc w:val="center"/>
      </w:pPr>
      <w:r>
        <w:t>***</w:t>
      </w:r>
    </w:p>
    <w:p w14:paraId="595317A7" w14:textId="77777777" w:rsidR="003B112C" w:rsidRDefault="003B112C" w:rsidP="003B112C">
      <w:pPr>
        <w:pStyle w:val="Paragraf"/>
        <w:tabs>
          <w:tab w:val="left" w:pos="426"/>
        </w:tabs>
        <w:spacing w:after="120"/>
      </w:pPr>
      <w:r w:rsidRPr="00EF5D79">
        <w:lastRenderedPageBreak/>
        <w:t>§</w:t>
      </w:r>
      <w:r>
        <w:t xml:space="preserve"> </w:t>
      </w:r>
      <w:r w:rsidRPr="00EF5D79">
        <w:t>5b</w:t>
      </w:r>
    </w:p>
    <w:p w14:paraId="63BF5475" w14:textId="76493D0E" w:rsidR="003B112C" w:rsidRDefault="003B112C" w:rsidP="00904F98">
      <w:pPr>
        <w:pStyle w:val="Textparagrafu"/>
        <w:tabs>
          <w:tab w:val="left" w:pos="392"/>
          <w:tab w:val="left" w:pos="854"/>
        </w:tabs>
        <w:spacing w:before="120" w:after="120"/>
      </w:pPr>
      <w:r w:rsidRPr="00EF5D79">
        <w:t>(1</w:t>
      </w:r>
      <w:r>
        <w:t xml:space="preserve">) </w:t>
      </w:r>
      <w:r w:rsidR="00804BD2" w:rsidRPr="00A37334">
        <w:rPr>
          <w:color w:val="000000"/>
          <w:szCs w:val="24"/>
        </w:rPr>
        <w:t xml:space="preserve">Po skončení rozpočtového roku </w:t>
      </w:r>
      <w:proofErr w:type="gramStart"/>
      <w:r w:rsidR="00804BD2" w:rsidRPr="00A27B5B">
        <w:rPr>
          <w:strike/>
          <w:color w:val="000000"/>
          <w:szCs w:val="24"/>
        </w:rPr>
        <w:t>sestavuje</w:t>
      </w:r>
      <w:r w:rsidR="00804BD2" w:rsidRPr="00A27B5B">
        <w:rPr>
          <w:color w:val="000000"/>
          <w:szCs w:val="24"/>
        </w:rPr>
        <w:t xml:space="preserve"> </w:t>
      </w:r>
      <w:r w:rsidR="00804BD2" w:rsidRPr="00A27B5B">
        <w:rPr>
          <w:b/>
          <w:bCs/>
          <w:color w:val="000000"/>
          <w:szCs w:val="24"/>
        </w:rPr>
        <w:t>vyhotovuje</w:t>
      </w:r>
      <w:proofErr w:type="gramEnd"/>
      <w:r w:rsidR="00804BD2" w:rsidRPr="00A37334">
        <w:rPr>
          <w:b/>
          <w:bCs/>
          <w:color w:val="000000"/>
          <w:szCs w:val="24"/>
        </w:rPr>
        <w:t xml:space="preserve"> </w:t>
      </w:r>
      <w:r w:rsidR="00804BD2" w:rsidRPr="00A37334">
        <w:rPr>
          <w:color w:val="000000"/>
          <w:szCs w:val="24"/>
        </w:rPr>
        <w:t xml:space="preserve">Fond </w:t>
      </w:r>
      <w:r w:rsidR="00804BD2" w:rsidRPr="00A37334">
        <w:rPr>
          <w:strike/>
          <w:color w:val="000000"/>
          <w:szCs w:val="24"/>
        </w:rPr>
        <w:t>roční účetní závěrku a</w:t>
      </w:r>
      <w:r w:rsidR="00804BD2" w:rsidRPr="00A37334">
        <w:rPr>
          <w:color w:val="000000"/>
          <w:szCs w:val="24"/>
        </w:rPr>
        <w:t xml:space="preserve"> výroční zprávu o </w:t>
      </w:r>
      <w:r w:rsidR="00804BD2" w:rsidRPr="00A37334">
        <w:rPr>
          <w:color w:val="000000"/>
          <w:szCs w:val="24"/>
          <w:bdr w:val="none" w:sz="0" w:space="0" w:color="auto" w:frame="1"/>
        </w:rPr>
        <w:t>činnosti</w:t>
      </w:r>
      <w:r w:rsidR="00804BD2" w:rsidRPr="00A37334">
        <w:rPr>
          <w:color w:val="000000"/>
          <w:szCs w:val="24"/>
        </w:rPr>
        <w:t> Fondu (dále jen „výroční </w:t>
      </w:r>
      <w:r w:rsidR="00804BD2" w:rsidRPr="00A37334">
        <w:rPr>
          <w:color w:val="000000"/>
          <w:szCs w:val="24"/>
          <w:bdr w:val="none" w:sz="0" w:space="0" w:color="auto" w:frame="1"/>
        </w:rPr>
        <w:t>zpráva</w:t>
      </w:r>
      <w:r w:rsidR="00804BD2" w:rsidRPr="00A37334">
        <w:rPr>
          <w:color w:val="000000"/>
          <w:szCs w:val="24"/>
        </w:rPr>
        <w:t xml:space="preserve">“) a předkládá ji </w:t>
      </w:r>
      <w:r w:rsidR="00804BD2" w:rsidRPr="00A37334">
        <w:rPr>
          <w:b/>
          <w:color w:val="000000"/>
          <w:szCs w:val="24"/>
        </w:rPr>
        <w:t>společně s řádnou individuální účetní závěrkou</w:t>
      </w:r>
      <w:r w:rsidR="00804BD2" w:rsidRPr="00A37334">
        <w:rPr>
          <w:color w:val="000000"/>
          <w:szCs w:val="24"/>
        </w:rPr>
        <w:t xml:space="preserve"> </w:t>
      </w:r>
      <w:r w:rsidR="00804BD2" w:rsidRPr="00A37334">
        <w:rPr>
          <w:szCs w:val="24"/>
        </w:rPr>
        <w:t>prostřednictvím ministra k </w:t>
      </w:r>
      <w:r w:rsidR="00804BD2" w:rsidRPr="00A37334">
        <w:rPr>
          <w:szCs w:val="24"/>
          <w:bdr w:val="none" w:sz="0" w:space="0" w:color="auto" w:frame="1"/>
        </w:rPr>
        <w:t>projednání</w:t>
      </w:r>
      <w:r w:rsidR="00804BD2" w:rsidRPr="00A37334">
        <w:rPr>
          <w:szCs w:val="24"/>
        </w:rPr>
        <w:t> </w:t>
      </w:r>
      <w:r w:rsidR="00804BD2" w:rsidRPr="00A37334">
        <w:rPr>
          <w:szCs w:val="24"/>
          <w:bdr w:val="none" w:sz="0" w:space="0" w:color="auto" w:frame="1"/>
        </w:rPr>
        <w:t>vládě</w:t>
      </w:r>
      <w:r w:rsidR="00804BD2" w:rsidRPr="00A37334">
        <w:rPr>
          <w:szCs w:val="24"/>
        </w:rPr>
        <w:t> a ke schválení Poslanecké sněmovně do šesti </w:t>
      </w:r>
      <w:r w:rsidR="00804BD2" w:rsidRPr="00A37334">
        <w:rPr>
          <w:szCs w:val="24"/>
          <w:bdr w:val="none" w:sz="0" w:space="0" w:color="auto" w:frame="1"/>
        </w:rPr>
        <w:t>měsíců</w:t>
      </w:r>
      <w:r w:rsidR="00804BD2" w:rsidRPr="00A37334">
        <w:rPr>
          <w:szCs w:val="24"/>
        </w:rPr>
        <w:t xml:space="preserve"> po skončení rozpočtového roku. </w:t>
      </w:r>
      <w:r w:rsidR="00804BD2" w:rsidRPr="00A37334">
        <w:rPr>
          <w:strike/>
          <w:szCs w:val="24"/>
        </w:rPr>
        <w:t>Roční účetní závěrka Fondu musí být před jejím předložením Poslanecké sněmovně ověřena </w:t>
      </w:r>
      <w:r w:rsidR="00804BD2" w:rsidRPr="00A37334">
        <w:rPr>
          <w:strike/>
          <w:szCs w:val="24"/>
          <w:bdr w:val="none" w:sz="0" w:space="0" w:color="auto" w:frame="1"/>
        </w:rPr>
        <w:t>auditorem</w:t>
      </w:r>
      <w:r w:rsidR="00804BD2" w:rsidRPr="00A37334">
        <w:rPr>
          <w:szCs w:val="24"/>
        </w:rPr>
        <w:t xml:space="preserve">. </w:t>
      </w:r>
      <w:r w:rsidR="00804BD2" w:rsidRPr="00A37334">
        <w:rPr>
          <w:b/>
          <w:szCs w:val="24"/>
        </w:rPr>
        <w:t>Fond má povinnost auditu účetní závěrky před jejím předložením Poslanecké sněmovně.</w:t>
      </w:r>
    </w:p>
    <w:p w14:paraId="3E17F0D5" w14:textId="47FA8054" w:rsidR="003B112C" w:rsidRDefault="003B112C" w:rsidP="00904F98">
      <w:pPr>
        <w:pStyle w:val="PZTextodstavce"/>
        <w:tabs>
          <w:tab w:val="clear" w:pos="782"/>
          <w:tab w:val="left" w:pos="426"/>
        </w:tabs>
      </w:pPr>
      <w:r w:rsidRPr="00EF5D79">
        <w:t>(2</w:t>
      </w:r>
      <w:r>
        <w:t xml:space="preserve">) </w:t>
      </w:r>
      <w:r w:rsidRPr="00EF5D79">
        <w:t>Výdajová</w:t>
      </w:r>
      <w:r>
        <w:t xml:space="preserve"> </w:t>
      </w:r>
      <w:r w:rsidRPr="00EF5D79">
        <w:t>stránka</w:t>
      </w:r>
      <w:r>
        <w:t xml:space="preserve"> </w:t>
      </w:r>
      <w:r w:rsidRPr="00EF5D79">
        <w:t>rozpočtu</w:t>
      </w:r>
      <w:r>
        <w:t xml:space="preserve"> </w:t>
      </w:r>
      <w:r w:rsidRPr="00EF5D79">
        <w:t>Fondu</w:t>
      </w:r>
      <w:r>
        <w:t xml:space="preserve"> </w:t>
      </w:r>
      <w:r w:rsidRPr="00EF5D79">
        <w:t>je</w:t>
      </w:r>
      <w:r>
        <w:t xml:space="preserve"> </w:t>
      </w:r>
      <w:r w:rsidRPr="00EF5D79">
        <w:t>členěna</w:t>
      </w:r>
      <w:r>
        <w:t xml:space="preserve"> </w:t>
      </w:r>
      <w:r w:rsidRPr="00EF5D79">
        <w:t>ve</w:t>
      </w:r>
      <w:r>
        <w:t xml:space="preserve"> </w:t>
      </w:r>
      <w:r w:rsidRPr="00EF5D79">
        <w:t>shodě</w:t>
      </w:r>
      <w:r>
        <w:t xml:space="preserve"> </w:t>
      </w:r>
      <w:r w:rsidRPr="00EF5D79">
        <w:t>s</w:t>
      </w:r>
      <w:r>
        <w:t xml:space="preserve"> </w:t>
      </w:r>
      <w:r w:rsidRPr="00EF5D79">
        <w:t>účelem</w:t>
      </w:r>
      <w:r>
        <w:t xml:space="preserve"> </w:t>
      </w:r>
      <w:r w:rsidRPr="00EF5D79">
        <w:t>Fondu</w:t>
      </w:r>
      <w:r>
        <w:t xml:space="preserve"> </w:t>
      </w:r>
      <w:r w:rsidRPr="00EF5D79">
        <w:t>podle</w:t>
      </w:r>
      <w:r>
        <w:t xml:space="preserve"> </w:t>
      </w:r>
      <w:r w:rsidRPr="00EF5D79">
        <w:t>§</w:t>
      </w:r>
      <w:r>
        <w:t xml:space="preserve"> </w:t>
      </w:r>
      <w:r w:rsidRPr="00EF5D79">
        <w:t>2</w:t>
      </w:r>
      <w:r>
        <w:t xml:space="preserve"> </w:t>
      </w:r>
      <w:r w:rsidRPr="00EF5D79">
        <w:t>odst.</w:t>
      </w:r>
      <w:r>
        <w:t xml:space="preserve"> </w:t>
      </w:r>
      <w:r w:rsidRPr="00EF5D79">
        <w:t>1</w:t>
      </w:r>
      <w:r>
        <w:t xml:space="preserve"> </w:t>
      </w:r>
      <w:r w:rsidRPr="00EF5D79">
        <w:t>a</w:t>
      </w:r>
      <w:r>
        <w:t xml:space="preserve"> </w:t>
      </w:r>
      <w:r w:rsidRPr="00EF5D79">
        <w:t>2</w:t>
      </w:r>
      <w:r>
        <w:t xml:space="preserve"> </w:t>
      </w:r>
      <w:r w:rsidRPr="00EF5D79">
        <w:t>a</w:t>
      </w:r>
      <w:r>
        <w:t xml:space="preserve"> </w:t>
      </w:r>
      <w:r w:rsidRPr="00EF5D79">
        <w:t>podle</w:t>
      </w:r>
      <w:r>
        <w:t xml:space="preserve"> </w:t>
      </w:r>
      <w:r w:rsidRPr="00EF5D79">
        <w:t>jednotlivých</w:t>
      </w:r>
      <w:r>
        <w:t xml:space="preserve"> </w:t>
      </w:r>
      <w:r w:rsidRPr="00EF5D79">
        <w:t>akcí.</w:t>
      </w:r>
    </w:p>
    <w:p w14:paraId="377EFD89" w14:textId="3D87CE24" w:rsidR="003B112C" w:rsidRDefault="003B112C" w:rsidP="00904F98">
      <w:pPr>
        <w:pStyle w:val="PZTextodstavce"/>
        <w:tabs>
          <w:tab w:val="clear" w:pos="782"/>
          <w:tab w:val="left" w:pos="426"/>
        </w:tabs>
      </w:pPr>
      <w:r w:rsidRPr="00EF5D79">
        <w:t>(3</w:t>
      </w:r>
      <w:r>
        <w:t xml:space="preserve">) </w:t>
      </w:r>
      <w:r w:rsidRPr="00EF5D79">
        <w:t>Dodatečné</w:t>
      </w:r>
      <w:r>
        <w:t xml:space="preserve"> </w:t>
      </w:r>
      <w:r w:rsidRPr="00EF5D79">
        <w:t>přijímání</w:t>
      </w:r>
      <w:r>
        <w:t xml:space="preserve"> </w:t>
      </w:r>
      <w:r w:rsidRPr="00EF5D79">
        <w:t>úvěrů</w:t>
      </w:r>
      <w:r>
        <w:t xml:space="preserve"> </w:t>
      </w:r>
      <w:r w:rsidRPr="00EF5D79">
        <w:t>v</w:t>
      </w:r>
      <w:r>
        <w:t xml:space="preserve"> </w:t>
      </w:r>
      <w:r w:rsidRPr="00EF5D79">
        <w:t>rozpočtovém</w:t>
      </w:r>
      <w:r>
        <w:t xml:space="preserve"> </w:t>
      </w:r>
      <w:r w:rsidRPr="00EF5D79">
        <w:t>roce</w:t>
      </w:r>
      <w:r>
        <w:t xml:space="preserve"> </w:t>
      </w:r>
      <w:r w:rsidRPr="00EF5D79">
        <w:t>schvaluje</w:t>
      </w:r>
      <w:r>
        <w:t xml:space="preserve"> </w:t>
      </w:r>
      <w:r w:rsidRPr="00EF5D79">
        <w:t>vláda</w:t>
      </w:r>
      <w:r>
        <w:t xml:space="preserve"> </w:t>
      </w:r>
      <w:r w:rsidRPr="00EF5D79">
        <w:t>na</w:t>
      </w:r>
      <w:r>
        <w:t xml:space="preserve"> </w:t>
      </w:r>
      <w:r w:rsidRPr="00EF5D79">
        <w:t>základě</w:t>
      </w:r>
      <w:r>
        <w:t xml:space="preserve"> </w:t>
      </w:r>
      <w:r w:rsidRPr="00EF5D79">
        <w:t>návrhu</w:t>
      </w:r>
      <w:r>
        <w:t xml:space="preserve"> </w:t>
      </w:r>
      <w:r w:rsidRPr="00EF5D79">
        <w:t>Fondu</w:t>
      </w:r>
      <w:r>
        <w:t xml:space="preserve"> </w:t>
      </w:r>
      <w:r w:rsidRPr="00EF5D79">
        <w:t>předloženého</w:t>
      </w:r>
      <w:r>
        <w:t xml:space="preserve"> </w:t>
      </w:r>
      <w:r w:rsidRPr="00EF5D79">
        <w:t>prostřednictvím</w:t>
      </w:r>
      <w:r>
        <w:t xml:space="preserve"> </w:t>
      </w:r>
      <w:r w:rsidRPr="00EF5D79">
        <w:t>ministra.</w:t>
      </w:r>
      <w:r>
        <w:t xml:space="preserve"> </w:t>
      </w:r>
      <w:r w:rsidRPr="00EF5D79">
        <w:t>Ustanovení</w:t>
      </w:r>
      <w:r>
        <w:t xml:space="preserve"> </w:t>
      </w:r>
      <w:r w:rsidRPr="00EF5D79">
        <w:t>§</w:t>
      </w:r>
      <w:r>
        <w:t xml:space="preserve"> </w:t>
      </w:r>
      <w:r w:rsidRPr="00EF5D79">
        <w:t>5</w:t>
      </w:r>
      <w:r>
        <w:t xml:space="preserve"> </w:t>
      </w:r>
      <w:r w:rsidRPr="00EF5D79">
        <w:t>odst.</w:t>
      </w:r>
      <w:r>
        <w:t xml:space="preserve"> </w:t>
      </w:r>
      <w:r w:rsidRPr="00EF5D79">
        <w:t>1</w:t>
      </w:r>
      <w:r>
        <w:t xml:space="preserve"> </w:t>
      </w:r>
      <w:r w:rsidRPr="00EF5D79">
        <w:t>se</w:t>
      </w:r>
      <w:r>
        <w:t xml:space="preserve"> </w:t>
      </w:r>
      <w:r w:rsidRPr="00EF5D79">
        <w:t>použije</w:t>
      </w:r>
      <w:r>
        <w:t xml:space="preserve"> </w:t>
      </w:r>
      <w:r w:rsidRPr="00EF5D79">
        <w:t>obdobně.</w:t>
      </w:r>
    </w:p>
    <w:p w14:paraId="1DD148AA" w14:textId="5821A57E" w:rsidR="003B112C" w:rsidRPr="00804BD2" w:rsidRDefault="003B112C" w:rsidP="00904F98">
      <w:pPr>
        <w:pStyle w:val="PZTextodstavce"/>
        <w:tabs>
          <w:tab w:val="clear" w:pos="782"/>
          <w:tab w:val="left" w:pos="426"/>
        </w:tabs>
        <w:rPr>
          <w:strike/>
        </w:rPr>
      </w:pPr>
      <w:r w:rsidRPr="00804BD2">
        <w:rPr>
          <w:strike/>
        </w:rPr>
        <w:t>(4) Fond vede účetnictví podle zákona o účetnictví.</w:t>
      </w:r>
    </w:p>
    <w:p w14:paraId="160D94FD" w14:textId="2ED8C30F" w:rsidR="00804BD2" w:rsidRDefault="00804BD2" w:rsidP="00904F98">
      <w:pPr>
        <w:pStyle w:val="PZTextodstavce"/>
        <w:tabs>
          <w:tab w:val="clear" w:pos="782"/>
          <w:tab w:val="left" w:pos="426"/>
        </w:tabs>
        <w:rPr>
          <w:strike/>
        </w:rPr>
      </w:pPr>
      <w:r w:rsidRPr="00804BD2">
        <w:rPr>
          <w:strike/>
        </w:rPr>
        <w:t>(5) Fond hospodaří ve dvou účetně oddělených okruzích tak, aby byly samostatně sledovány náklady na vlastní činnost od ostatních činností Fondu.</w:t>
      </w:r>
    </w:p>
    <w:p w14:paraId="7B3E2F5F" w14:textId="77777777" w:rsidR="00804BD2" w:rsidRPr="00DD1F51" w:rsidRDefault="00804BD2" w:rsidP="00904F98">
      <w:pPr>
        <w:shd w:val="clear" w:color="auto" w:fill="FFFFFF"/>
        <w:spacing w:before="120" w:after="120"/>
        <w:textAlignment w:val="baseline"/>
        <w:rPr>
          <w:b/>
          <w:bCs/>
          <w:szCs w:val="24"/>
        </w:rPr>
      </w:pPr>
      <w:r w:rsidRPr="00DD1F51">
        <w:rPr>
          <w:b/>
          <w:bCs/>
          <w:szCs w:val="24"/>
        </w:rPr>
        <w:t xml:space="preserve">(4) Výroční zpráva obsahuje zejména souhrnné údaje o </w:t>
      </w:r>
    </w:p>
    <w:p w14:paraId="1BAC3737" w14:textId="77777777" w:rsidR="00804BD2" w:rsidRPr="00DD1F51" w:rsidRDefault="00804BD2" w:rsidP="00804BD2">
      <w:pPr>
        <w:shd w:val="clear" w:color="auto" w:fill="FFFFFF"/>
        <w:spacing w:before="0"/>
        <w:ind w:firstLine="0"/>
        <w:textAlignment w:val="baseline"/>
        <w:rPr>
          <w:b/>
          <w:bCs/>
          <w:szCs w:val="24"/>
        </w:rPr>
      </w:pPr>
      <w:r w:rsidRPr="00DD1F51">
        <w:rPr>
          <w:b/>
          <w:bCs/>
          <w:szCs w:val="24"/>
        </w:rPr>
        <w:t xml:space="preserve">a) hospodaření Fondu v uplynulém rozpočtovém roce, </w:t>
      </w:r>
    </w:p>
    <w:p w14:paraId="38CEFB71" w14:textId="77777777" w:rsidR="00804BD2" w:rsidRPr="00DD1F51" w:rsidRDefault="00804BD2" w:rsidP="00804BD2">
      <w:pPr>
        <w:shd w:val="clear" w:color="auto" w:fill="FFFFFF"/>
        <w:spacing w:before="0"/>
        <w:ind w:firstLine="0"/>
        <w:textAlignment w:val="baseline"/>
        <w:rPr>
          <w:b/>
          <w:bCs/>
          <w:szCs w:val="24"/>
        </w:rPr>
      </w:pPr>
      <w:r w:rsidRPr="00DD1F51">
        <w:rPr>
          <w:b/>
          <w:bCs/>
          <w:szCs w:val="24"/>
        </w:rPr>
        <w:t xml:space="preserve">b) plnění účelu Fondu, </w:t>
      </w:r>
    </w:p>
    <w:p w14:paraId="7790FC4F" w14:textId="77777777" w:rsidR="00804BD2" w:rsidRPr="00DD1F51" w:rsidRDefault="00804BD2" w:rsidP="00804BD2">
      <w:pPr>
        <w:shd w:val="clear" w:color="auto" w:fill="FFFFFF"/>
        <w:spacing w:before="0"/>
        <w:ind w:firstLine="0"/>
        <w:textAlignment w:val="baseline"/>
        <w:rPr>
          <w:b/>
          <w:bCs/>
          <w:szCs w:val="24"/>
        </w:rPr>
      </w:pPr>
      <w:r w:rsidRPr="00DD1F51">
        <w:rPr>
          <w:b/>
          <w:bCs/>
          <w:szCs w:val="24"/>
        </w:rPr>
        <w:t xml:space="preserve">c) finančním vypořádání s příjemci finančních prostředků, </w:t>
      </w:r>
    </w:p>
    <w:p w14:paraId="102C4FDF" w14:textId="77777777" w:rsidR="00804BD2" w:rsidRPr="00DD1F51" w:rsidRDefault="00804BD2" w:rsidP="00804BD2">
      <w:pPr>
        <w:shd w:val="clear" w:color="auto" w:fill="FFFFFF"/>
        <w:spacing w:before="0"/>
        <w:ind w:firstLine="0"/>
        <w:textAlignment w:val="baseline"/>
        <w:rPr>
          <w:b/>
          <w:bCs/>
          <w:szCs w:val="24"/>
        </w:rPr>
      </w:pPr>
      <w:r w:rsidRPr="00DD1F51">
        <w:rPr>
          <w:b/>
          <w:bCs/>
          <w:szCs w:val="24"/>
        </w:rPr>
        <w:t xml:space="preserve">d) činnosti Fondu v oblasti výběru časového poplatku a </w:t>
      </w:r>
    </w:p>
    <w:p w14:paraId="0F00EA84" w14:textId="77777777" w:rsidR="00804BD2" w:rsidRPr="00DD1F51" w:rsidRDefault="00804BD2" w:rsidP="00804BD2">
      <w:pPr>
        <w:shd w:val="clear" w:color="auto" w:fill="FFFFFF"/>
        <w:spacing w:before="0"/>
        <w:ind w:firstLine="0"/>
        <w:textAlignment w:val="baseline"/>
        <w:rPr>
          <w:b/>
          <w:bCs/>
          <w:szCs w:val="24"/>
        </w:rPr>
      </w:pPr>
      <w:r w:rsidRPr="00DD1F51">
        <w:rPr>
          <w:b/>
          <w:bCs/>
          <w:szCs w:val="24"/>
        </w:rPr>
        <w:t>e) vyhodnocení kontrolní činnosti Fondu.</w:t>
      </w:r>
    </w:p>
    <w:p w14:paraId="4CBFF59C" w14:textId="39F46A08" w:rsidR="00804BD2" w:rsidRPr="00804BD2" w:rsidRDefault="00804BD2" w:rsidP="00904F98">
      <w:pPr>
        <w:shd w:val="clear" w:color="auto" w:fill="FFFFFF"/>
        <w:spacing w:before="120" w:after="120"/>
        <w:textAlignment w:val="baseline"/>
        <w:rPr>
          <w:b/>
          <w:bCs/>
          <w:szCs w:val="24"/>
        </w:rPr>
      </w:pPr>
      <w:r w:rsidRPr="00DD1F51">
        <w:rPr>
          <w:b/>
          <w:bCs/>
          <w:szCs w:val="24"/>
        </w:rPr>
        <w:t>(5) Fond sleduje v účetním systému odděleně výdaje na vlastní činnost Fondu od výdajů na účel podle § 2 odst.</w:t>
      </w:r>
      <w:r>
        <w:rPr>
          <w:b/>
          <w:bCs/>
          <w:szCs w:val="24"/>
        </w:rPr>
        <w:t xml:space="preserve"> </w:t>
      </w:r>
      <w:r w:rsidRPr="00DD1F51">
        <w:rPr>
          <w:b/>
          <w:bCs/>
          <w:szCs w:val="24"/>
        </w:rPr>
        <w:t>1.</w:t>
      </w:r>
    </w:p>
    <w:p w14:paraId="1DD6C737" w14:textId="22197578" w:rsidR="00804BD2" w:rsidRDefault="00804BD2" w:rsidP="00904F98">
      <w:pPr>
        <w:pStyle w:val="PZTextodstavce"/>
        <w:tabs>
          <w:tab w:val="clear" w:pos="782"/>
          <w:tab w:val="left" w:pos="426"/>
        </w:tabs>
      </w:pPr>
      <w:r>
        <w:tab/>
        <w:t>(6) Příjemce finančních prostředků je povinen provést s Fondem finanční vypořádání finančních prostředků poskytnutých Fondem a užitých příjemcem v běžném rozpočtovém roce podle stavu k 31. prosinci běžného rozpočtového roku ve lhůtách a způsobem stanovených Fondem, s výjimkou finančního vypořádání prostředků poskytnutých na víceleté akce spolufinancované z rozpočtu Evropské unie, u kterých se finanční vypořádání poskytnutých prostředků provede podle stavu k 31. prosinci rozpočtového roku, v němž bylo financování akce ukončeno.</w:t>
      </w:r>
    </w:p>
    <w:p w14:paraId="7D01074C" w14:textId="118FE470" w:rsidR="003B112C" w:rsidRDefault="003B112C" w:rsidP="003B112C">
      <w:pPr>
        <w:pStyle w:val="PZTextodstavce"/>
        <w:tabs>
          <w:tab w:val="clear" w:pos="782"/>
          <w:tab w:val="left" w:pos="426"/>
        </w:tabs>
        <w:spacing w:before="240"/>
        <w:ind w:firstLine="0"/>
        <w:jc w:val="center"/>
      </w:pPr>
      <w:r>
        <w:t>***</w:t>
      </w:r>
    </w:p>
    <w:p w14:paraId="00DD57B6" w14:textId="77777777" w:rsidR="003B112C" w:rsidRDefault="003B112C" w:rsidP="003B112C">
      <w:pPr>
        <w:pStyle w:val="Textparagrafu"/>
        <w:tabs>
          <w:tab w:val="left" w:pos="426"/>
        </w:tabs>
        <w:spacing w:after="120"/>
        <w:ind w:firstLine="0"/>
        <w:jc w:val="center"/>
      </w:pPr>
      <w:r w:rsidRPr="00EF5D79">
        <w:t>§</w:t>
      </w:r>
      <w:r>
        <w:t xml:space="preserve"> </w:t>
      </w:r>
      <w:r w:rsidRPr="00EF5D79">
        <w:t>8</w:t>
      </w:r>
    </w:p>
    <w:p w14:paraId="467A8C33" w14:textId="77777777" w:rsidR="003B112C" w:rsidRDefault="003B112C" w:rsidP="00904F98">
      <w:pPr>
        <w:pStyle w:val="Textparagrafu"/>
        <w:tabs>
          <w:tab w:val="left" w:pos="426"/>
        </w:tabs>
        <w:spacing w:before="120" w:after="120"/>
      </w:pPr>
      <w:r w:rsidRPr="00EF5D79">
        <w:t>(1)</w:t>
      </w:r>
      <w:r>
        <w:t xml:space="preserve"> </w:t>
      </w:r>
      <w:r w:rsidRPr="00EF5D79">
        <w:t>Výbor</w:t>
      </w:r>
      <w:r>
        <w:t xml:space="preserve"> </w:t>
      </w:r>
      <w:r w:rsidRPr="00EF5D79">
        <w:t>jedná</w:t>
      </w:r>
      <w:r>
        <w:t xml:space="preserve"> </w:t>
      </w:r>
      <w:r w:rsidRPr="00EF5D79">
        <w:t>o</w:t>
      </w:r>
      <w:r>
        <w:t xml:space="preserve"> </w:t>
      </w:r>
      <w:r w:rsidRPr="00EF5D79">
        <w:t>věcech,</w:t>
      </w:r>
      <w:r>
        <w:t xml:space="preserve"> </w:t>
      </w:r>
      <w:r w:rsidRPr="00EF5D79">
        <w:t>které</w:t>
      </w:r>
      <w:r>
        <w:t xml:space="preserve"> </w:t>
      </w:r>
      <w:r w:rsidRPr="00EF5D79">
        <w:t>jsou</w:t>
      </w:r>
      <w:r>
        <w:t xml:space="preserve"> </w:t>
      </w:r>
      <w:r w:rsidRPr="00EF5D79">
        <w:t>účelem</w:t>
      </w:r>
      <w:r>
        <w:t xml:space="preserve"> </w:t>
      </w:r>
      <w:r w:rsidRPr="00EF5D79">
        <w:t>Fondu</w:t>
      </w:r>
      <w:r>
        <w:t xml:space="preserve"> </w:t>
      </w:r>
      <w:r w:rsidRPr="00EF5D79">
        <w:t>nebo</w:t>
      </w:r>
      <w:r>
        <w:t xml:space="preserve"> </w:t>
      </w:r>
      <w:r w:rsidRPr="00EF5D79">
        <w:t>předmětem</w:t>
      </w:r>
      <w:r>
        <w:t xml:space="preserve"> </w:t>
      </w:r>
      <w:r w:rsidRPr="00EF5D79">
        <w:t>činnosti</w:t>
      </w:r>
      <w:r>
        <w:t xml:space="preserve"> </w:t>
      </w:r>
      <w:r w:rsidRPr="00EF5D79">
        <w:t>Fondu.</w:t>
      </w:r>
    </w:p>
    <w:p w14:paraId="66616B60" w14:textId="77777777" w:rsidR="003B112C" w:rsidRDefault="003B112C" w:rsidP="00904F98">
      <w:pPr>
        <w:pStyle w:val="Textparagrafu"/>
        <w:tabs>
          <w:tab w:val="left" w:pos="426"/>
        </w:tabs>
        <w:spacing w:before="120" w:after="120"/>
      </w:pPr>
      <w:r w:rsidRPr="00EF5D79">
        <w:t>(2)</w:t>
      </w:r>
      <w:r>
        <w:t xml:space="preserve"> </w:t>
      </w:r>
      <w:r w:rsidRPr="00EF5D79">
        <w:t>Výbor</w:t>
      </w:r>
      <w:r>
        <w:t xml:space="preserve"> </w:t>
      </w:r>
      <w:r w:rsidRPr="00EF5D79">
        <w:t>schvaluje</w:t>
      </w:r>
    </w:p>
    <w:p w14:paraId="426127ED" w14:textId="0DF26F50" w:rsidR="003B112C" w:rsidRDefault="003B112C" w:rsidP="003B112C">
      <w:pPr>
        <w:pStyle w:val="Textparagrafu"/>
        <w:tabs>
          <w:tab w:val="left" w:pos="426"/>
        </w:tabs>
        <w:spacing w:before="0"/>
        <w:ind w:firstLine="0"/>
      </w:pPr>
      <w:r w:rsidRPr="00EF5D79">
        <w:t>a)</w:t>
      </w:r>
      <w:r>
        <w:tab/>
      </w:r>
      <w:r w:rsidRPr="00EF5D79">
        <w:t>návrh</w:t>
      </w:r>
      <w:r>
        <w:t xml:space="preserve"> </w:t>
      </w:r>
      <w:r w:rsidRPr="00EF5D79">
        <w:t>rozpočtu</w:t>
      </w:r>
      <w:r>
        <w:t xml:space="preserve"> </w:t>
      </w:r>
      <w:r w:rsidRPr="00EF5D79">
        <w:t>Fondu</w:t>
      </w:r>
      <w:r>
        <w:t xml:space="preserve"> </w:t>
      </w:r>
      <w:r w:rsidRPr="00EF5D79">
        <w:t>a</w:t>
      </w:r>
      <w:r>
        <w:t xml:space="preserve"> </w:t>
      </w:r>
      <w:r w:rsidRPr="00EF5D79">
        <w:t>změny</w:t>
      </w:r>
      <w:r>
        <w:t xml:space="preserve"> </w:t>
      </w:r>
      <w:r w:rsidRPr="00EF5D79">
        <w:t>schváleného</w:t>
      </w:r>
      <w:r>
        <w:t xml:space="preserve"> </w:t>
      </w:r>
      <w:r w:rsidRPr="00EF5D79">
        <w:t>rozpočtu</w:t>
      </w:r>
      <w:r>
        <w:t xml:space="preserve"> </w:t>
      </w:r>
      <w:r w:rsidRPr="00EF5D79">
        <w:t>Fondu</w:t>
      </w:r>
      <w:r>
        <w:t xml:space="preserve"> </w:t>
      </w:r>
      <w:r w:rsidRPr="00EF5D79">
        <w:t>podle</w:t>
      </w:r>
      <w:r>
        <w:t xml:space="preserve"> </w:t>
      </w:r>
      <w:r w:rsidRPr="00EF5D79">
        <w:t>§</w:t>
      </w:r>
      <w:r>
        <w:t xml:space="preserve"> </w:t>
      </w:r>
      <w:r w:rsidRPr="00EF5D79">
        <w:t>5</w:t>
      </w:r>
      <w:r>
        <w:t xml:space="preserve"> </w:t>
      </w:r>
      <w:r w:rsidRPr="00EF5D79">
        <w:t>odst.</w:t>
      </w:r>
      <w:r>
        <w:t xml:space="preserve"> </w:t>
      </w:r>
      <w:r w:rsidRPr="00EF5D79">
        <w:t>4</w:t>
      </w:r>
      <w:r>
        <w:t xml:space="preserve"> </w:t>
      </w:r>
      <w:r w:rsidRPr="00EF5D79">
        <w:t>písm.</w:t>
      </w:r>
      <w:r>
        <w:t xml:space="preserve"> </w:t>
      </w:r>
      <w:r w:rsidRPr="00EF5D79">
        <w:t>a),</w:t>
      </w:r>
    </w:p>
    <w:p w14:paraId="24459813" w14:textId="5F1AE491" w:rsidR="003B112C" w:rsidRDefault="003B112C" w:rsidP="003B112C">
      <w:pPr>
        <w:pStyle w:val="Textparagrafu"/>
        <w:tabs>
          <w:tab w:val="left" w:pos="426"/>
        </w:tabs>
        <w:spacing w:before="0"/>
        <w:ind w:firstLine="0"/>
      </w:pPr>
      <w:r w:rsidRPr="00EF5D79">
        <w:t>b)</w:t>
      </w:r>
      <w:r>
        <w:tab/>
      </w:r>
      <w:r w:rsidRPr="00EF5D79">
        <w:t>návrh</w:t>
      </w:r>
      <w:r>
        <w:t xml:space="preserve"> </w:t>
      </w:r>
      <w:r w:rsidRPr="00EF5D79">
        <w:t>střednědobého</w:t>
      </w:r>
      <w:r>
        <w:t xml:space="preserve"> </w:t>
      </w:r>
      <w:r w:rsidRPr="00EF5D79">
        <w:t>výhledu</w:t>
      </w:r>
      <w:r>
        <w:t xml:space="preserve"> </w:t>
      </w:r>
      <w:r w:rsidRPr="00EF5D79">
        <w:t>Fondu,</w:t>
      </w:r>
    </w:p>
    <w:p w14:paraId="1CE7D6BD" w14:textId="64032F73" w:rsidR="003B112C" w:rsidRDefault="003B112C" w:rsidP="003B112C">
      <w:pPr>
        <w:pStyle w:val="Textparagrafu"/>
        <w:tabs>
          <w:tab w:val="left" w:pos="426"/>
        </w:tabs>
        <w:spacing w:before="0"/>
        <w:ind w:firstLine="0"/>
      </w:pPr>
      <w:r w:rsidRPr="00EF5D79">
        <w:t>c)</w:t>
      </w:r>
      <w:r>
        <w:tab/>
      </w:r>
      <w:r w:rsidRPr="00804BD2">
        <w:rPr>
          <w:strike/>
        </w:rPr>
        <w:t>roční</w:t>
      </w:r>
      <w:r>
        <w:t xml:space="preserve"> </w:t>
      </w:r>
      <w:r w:rsidR="00804BD2">
        <w:rPr>
          <w:b/>
        </w:rPr>
        <w:t xml:space="preserve">řádnou individuální </w:t>
      </w:r>
      <w:r w:rsidRPr="00EF5D79">
        <w:t>účetní</w:t>
      </w:r>
      <w:r>
        <w:t xml:space="preserve"> </w:t>
      </w:r>
      <w:r w:rsidRPr="00EF5D79">
        <w:t>závěrku</w:t>
      </w:r>
      <w:r>
        <w:t xml:space="preserve"> </w:t>
      </w:r>
      <w:r w:rsidRPr="00EF5D79">
        <w:t>Fondu,</w:t>
      </w:r>
    </w:p>
    <w:p w14:paraId="0525CF3B" w14:textId="7ED86D91" w:rsidR="003B112C" w:rsidRDefault="003B112C" w:rsidP="003B112C">
      <w:pPr>
        <w:pStyle w:val="Textparagrafu"/>
        <w:tabs>
          <w:tab w:val="left" w:pos="426"/>
        </w:tabs>
        <w:spacing w:before="0"/>
        <w:ind w:firstLine="0"/>
      </w:pPr>
      <w:r w:rsidRPr="00EF5D79">
        <w:t>d)</w:t>
      </w:r>
      <w:r>
        <w:tab/>
      </w:r>
      <w:r w:rsidRPr="00EF5D79">
        <w:t>návrh</w:t>
      </w:r>
      <w:r>
        <w:t xml:space="preserve"> </w:t>
      </w:r>
      <w:r w:rsidRPr="00EF5D79">
        <w:t>výroční</w:t>
      </w:r>
      <w:r>
        <w:t xml:space="preserve"> </w:t>
      </w:r>
      <w:r w:rsidRPr="00EF5D79">
        <w:t>zprávy</w:t>
      </w:r>
      <w:r>
        <w:t xml:space="preserve"> </w:t>
      </w:r>
      <w:r w:rsidRPr="00EF5D79">
        <w:t>Fondu,</w:t>
      </w:r>
    </w:p>
    <w:p w14:paraId="168BB140" w14:textId="52335A45" w:rsidR="003B112C" w:rsidRDefault="003B112C" w:rsidP="003B112C">
      <w:pPr>
        <w:pStyle w:val="Textparagrafu"/>
        <w:tabs>
          <w:tab w:val="left" w:pos="426"/>
        </w:tabs>
        <w:spacing w:before="0"/>
        <w:ind w:firstLine="0"/>
      </w:pPr>
      <w:r w:rsidRPr="00EF5D79">
        <w:t>e)</w:t>
      </w:r>
      <w:r>
        <w:tab/>
      </w:r>
      <w:r w:rsidRPr="00EF5D79">
        <w:t>časový</w:t>
      </w:r>
      <w:r>
        <w:t xml:space="preserve"> </w:t>
      </w:r>
      <w:r w:rsidRPr="00EF5D79">
        <w:t>plán</w:t>
      </w:r>
      <w:r>
        <w:t xml:space="preserve"> </w:t>
      </w:r>
      <w:r w:rsidRPr="00EF5D79">
        <w:t>příjmů</w:t>
      </w:r>
      <w:r>
        <w:t xml:space="preserve"> </w:t>
      </w:r>
      <w:r w:rsidRPr="00EF5D79">
        <w:t>a</w:t>
      </w:r>
      <w:r>
        <w:t xml:space="preserve"> </w:t>
      </w:r>
      <w:r w:rsidRPr="00EF5D79">
        <w:t>výdajů</w:t>
      </w:r>
      <w:r>
        <w:t xml:space="preserve"> </w:t>
      </w:r>
      <w:r w:rsidRPr="00EF5D79">
        <w:t>Fondu,</w:t>
      </w:r>
    </w:p>
    <w:p w14:paraId="081B9B2D" w14:textId="7E180918" w:rsidR="003B112C" w:rsidRDefault="003B112C" w:rsidP="003B112C">
      <w:pPr>
        <w:pStyle w:val="Textparagrafu"/>
        <w:tabs>
          <w:tab w:val="left" w:pos="426"/>
        </w:tabs>
        <w:spacing w:before="0"/>
        <w:ind w:firstLine="0"/>
      </w:pPr>
      <w:r w:rsidRPr="00EF5D79">
        <w:t>f)</w:t>
      </w:r>
      <w:r>
        <w:tab/>
      </w:r>
      <w:r w:rsidRPr="00EF5D79">
        <w:t>pravidla</w:t>
      </w:r>
      <w:r>
        <w:t xml:space="preserve"> </w:t>
      </w:r>
      <w:r w:rsidRPr="00EF5D79">
        <w:t>pro</w:t>
      </w:r>
      <w:r>
        <w:t xml:space="preserve"> </w:t>
      </w:r>
      <w:r w:rsidRPr="00EF5D79">
        <w:t>financování</w:t>
      </w:r>
      <w:r>
        <w:t xml:space="preserve"> </w:t>
      </w:r>
      <w:r w:rsidRPr="00EF5D79">
        <w:t>z</w:t>
      </w:r>
      <w:r>
        <w:t xml:space="preserve"> </w:t>
      </w:r>
      <w:r w:rsidRPr="00EF5D79">
        <w:t>Fondu,</w:t>
      </w:r>
    </w:p>
    <w:p w14:paraId="261CC64C" w14:textId="5EFD8507" w:rsidR="003B112C" w:rsidRDefault="003B112C" w:rsidP="003B112C">
      <w:pPr>
        <w:pStyle w:val="Textparagrafu"/>
        <w:tabs>
          <w:tab w:val="left" w:pos="426"/>
        </w:tabs>
        <w:spacing w:before="0"/>
        <w:ind w:firstLine="0"/>
      </w:pPr>
      <w:r w:rsidRPr="00EF5D79">
        <w:t>g)</w:t>
      </w:r>
      <w:r>
        <w:tab/>
      </w:r>
      <w:r w:rsidRPr="00EF5D79">
        <w:t>roční</w:t>
      </w:r>
      <w:r>
        <w:t xml:space="preserve"> </w:t>
      </w:r>
      <w:r w:rsidRPr="00EF5D79">
        <w:t>plán</w:t>
      </w:r>
      <w:r>
        <w:t xml:space="preserve"> </w:t>
      </w:r>
      <w:r w:rsidRPr="00EF5D79">
        <w:t>kontrolních</w:t>
      </w:r>
      <w:r>
        <w:t xml:space="preserve"> </w:t>
      </w:r>
      <w:r w:rsidRPr="00EF5D79">
        <w:t>akcí</w:t>
      </w:r>
      <w:r>
        <w:t xml:space="preserve"> </w:t>
      </w:r>
      <w:r w:rsidRPr="00EF5D79">
        <w:t>a</w:t>
      </w:r>
    </w:p>
    <w:p w14:paraId="38F006E2" w14:textId="7B4DF37A" w:rsidR="003B112C" w:rsidRDefault="003B112C" w:rsidP="003B112C">
      <w:pPr>
        <w:pStyle w:val="Textparagrafu"/>
        <w:tabs>
          <w:tab w:val="left" w:pos="426"/>
        </w:tabs>
        <w:spacing w:before="0"/>
        <w:ind w:firstLine="0"/>
      </w:pPr>
      <w:r w:rsidRPr="00EF5D79">
        <w:t>h)</w:t>
      </w:r>
      <w:r>
        <w:tab/>
      </w:r>
      <w:r w:rsidRPr="00EF5D79">
        <w:t>vyhodnocení</w:t>
      </w:r>
      <w:r>
        <w:t xml:space="preserve"> </w:t>
      </w:r>
      <w:r w:rsidRPr="00EF5D79">
        <w:t>kontrolních</w:t>
      </w:r>
      <w:r>
        <w:t xml:space="preserve"> </w:t>
      </w:r>
      <w:r w:rsidRPr="00EF5D79">
        <w:t>akcí,</w:t>
      </w:r>
    </w:p>
    <w:p w14:paraId="6B44EB8F" w14:textId="41F72E61" w:rsidR="003B112C" w:rsidRDefault="003B112C" w:rsidP="003B112C">
      <w:pPr>
        <w:pStyle w:val="Textparagrafu"/>
        <w:tabs>
          <w:tab w:val="left" w:pos="426"/>
        </w:tabs>
        <w:spacing w:before="0"/>
        <w:ind w:firstLine="0"/>
      </w:pPr>
      <w:r w:rsidRPr="00EF5D79">
        <w:t>i)</w:t>
      </w:r>
      <w:r>
        <w:tab/>
      </w:r>
      <w:r w:rsidRPr="00EF5D79">
        <w:t>úvěry</w:t>
      </w:r>
      <w:r>
        <w:t xml:space="preserve"> </w:t>
      </w:r>
      <w:r w:rsidRPr="00EF5D79">
        <w:t>poskytované</w:t>
      </w:r>
      <w:r>
        <w:t xml:space="preserve"> </w:t>
      </w:r>
      <w:r w:rsidRPr="00EF5D79">
        <w:t>Fondem</w:t>
      </w:r>
      <w:r>
        <w:t xml:space="preserve"> </w:t>
      </w:r>
      <w:r w:rsidRPr="00EF5D79">
        <w:t>a</w:t>
      </w:r>
      <w:r>
        <w:t xml:space="preserve"> </w:t>
      </w:r>
      <w:r w:rsidRPr="00EF5D79">
        <w:t>podmínky</w:t>
      </w:r>
      <w:r>
        <w:t xml:space="preserve"> </w:t>
      </w:r>
      <w:r w:rsidRPr="00EF5D79">
        <w:t>pro</w:t>
      </w:r>
      <w:r>
        <w:t xml:space="preserve"> </w:t>
      </w:r>
      <w:r w:rsidRPr="00EF5D79">
        <w:t>poskytnutí</w:t>
      </w:r>
      <w:r>
        <w:t xml:space="preserve"> </w:t>
      </w:r>
      <w:r w:rsidRPr="00EF5D79">
        <w:t>úvěrů.</w:t>
      </w:r>
    </w:p>
    <w:p w14:paraId="4E0DB686" w14:textId="77777777" w:rsidR="003B112C" w:rsidRDefault="003B112C" w:rsidP="00904F98">
      <w:pPr>
        <w:pStyle w:val="Textparagrafu"/>
        <w:tabs>
          <w:tab w:val="left" w:pos="426"/>
        </w:tabs>
        <w:spacing w:before="120" w:after="120"/>
      </w:pPr>
      <w:r w:rsidRPr="00EF5D79">
        <w:lastRenderedPageBreak/>
        <w:t>(3)</w:t>
      </w:r>
      <w:r>
        <w:t xml:space="preserve"> </w:t>
      </w:r>
      <w:r w:rsidRPr="00EF5D79">
        <w:t>Rozhodnutí</w:t>
      </w:r>
      <w:r>
        <w:t xml:space="preserve"> </w:t>
      </w:r>
      <w:r w:rsidRPr="00EF5D79">
        <w:t>výboru</w:t>
      </w:r>
      <w:r>
        <w:t xml:space="preserve"> </w:t>
      </w:r>
      <w:r w:rsidRPr="00EF5D79">
        <w:t>zveřejní</w:t>
      </w:r>
      <w:r>
        <w:t xml:space="preserve"> </w:t>
      </w:r>
      <w:r w:rsidRPr="00EF5D79">
        <w:t>Fond</w:t>
      </w:r>
      <w:r>
        <w:t xml:space="preserve"> </w:t>
      </w:r>
      <w:r w:rsidRPr="00EF5D79">
        <w:t>způsobem</w:t>
      </w:r>
      <w:r>
        <w:t xml:space="preserve"> </w:t>
      </w:r>
      <w:r w:rsidRPr="00EF5D79">
        <w:t>umožňujícím</w:t>
      </w:r>
      <w:r>
        <w:t xml:space="preserve"> </w:t>
      </w:r>
      <w:r w:rsidRPr="00EF5D79">
        <w:t>dálkový</w:t>
      </w:r>
      <w:r>
        <w:t xml:space="preserve"> </w:t>
      </w:r>
      <w:r w:rsidRPr="00EF5D79">
        <w:t>přístup.</w:t>
      </w:r>
    </w:p>
    <w:p w14:paraId="7911BB4D" w14:textId="42BB08BE" w:rsidR="003B112C" w:rsidRDefault="003B112C" w:rsidP="003B112C">
      <w:pPr>
        <w:pStyle w:val="Paragraf"/>
        <w:tabs>
          <w:tab w:val="left" w:pos="426"/>
        </w:tabs>
        <w:spacing w:after="120"/>
      </w:pPr>
      <w:r w:rsidRPr="00EF5D79">
        <w:t>§</w:t>
      </w:r>
      <w:r>
        <w:t xml:space="preserve"> </w:t>
      </w:r>
      <w:r w:rsidRPr="00EF5D79">
        <w:t>9</w:t>
      </w:r>
      <w:r>
        <w:t xml:space="preserve"> </w:t>
      </w:r>
    </w:p>
    <w:p w14:paraId="384B6FBC" w14:textId="77777777" w:rsidR="003B112C" w:rsidRDefault="003B112C" w:rsidP="003B112C">
      <w:pPr>
        <w:pStyle w:val="Nadpisparagrafu"/>
        <w:tabs>
          <w:tab w:val="left" w:pos="426"/>
        </w:tabs>
        <w:spacing w:after="120"/>
      </w:pPr>
      <w:r>
        <w:t>Dozorčí rada</w:t>
      </w:r>
    </w:p>
    <w:p w14:paraId="410A5564" w14:textId="6E5A5B6C" w:rsidR="003B112C" w:rsidRDefault="003B112C" w:rsidP="00904F98">
      <w:pPr>
        <w:pStyle w:val="PZTextodstavce"/>
        <w:tabs>
          <w:tab w:val="clear" w:pos="782"/>
          <w:tab w:val="left" w:pos="426"/>
        </w:tabs>
      </w:pPr>
      <w:r w:rsidRPr="00EF5D79">
        <w:t>(1</w:t>
      </w:r>
      <w:r>
        <w:t xml:space="preserve">) </w:t>
      </w:r>
      <w:r w:rsidRPr="00EF5D79">
        <w:t>Dozorčí</w:t>
      </w:r>
      <w:r>
        <w:t xml:space="preserve"> </w:t>
      </w:r>
      <w:r w:rsidRPr="00EF5D79">
        <w:t>rada</w:t>
      </w:r>
      <w:r>
        <w:t xml:space="preserve"> </w:t>
      </w:r>
      <w:r w:rsidRPr="00EF5D79">
        <w:t>je</w:t>
      </w:r>
      <w:r>
        <w:t xml:space="preserve"> </w:t>
      </w:r>
      <w:r w:rsidRPr="00EF5D79">
        <w:t>kontrolním</w:t>
      </w:r>
      <w:r>
        <w:t xml:space="preserve"> </w:t>
      </w:r>
      <w:r w:rsidRPr="00EF5D79">
        <w:t>orgánem</w:t>
      </w:r>
      <w:r>
        <w:t xml:space="preserve"> </w:t>
      </w:r>
      <w:r w:rsidRPr="00EF5D79">
        <w:t>Fondu.</w:t>
      </w:r>
      <w:r>
        <w:t xml:space="preserve"> </w:t>
      </w:r>
      <w:r w:rsidRPr="00EF5D79">
        <w:t>Dozírá</w:t>
      </w:r>
      <w:r>
        <w:t xml:space="preserve"> </w:t>
      </w:r>
      <w:r w:rsidRPr="00EF5D79">
        <w:t>na</w:t>
      </w:r>
      <w:r>
        <w:t xml:space="preserve"> </w:t>
      </w:r>
      <w:r w:rsidRPr="00EF5D79">
        <w:t>činnost</w:t>
      </w:r>
      <w:r>
        <w:t xml:space="preserve"> </w:t>
      </w:r>
      <w:r w:rsidRPr="00EF5D79">
        <w:t>a</w:t>
      </w:r>
      <w:r>
        <w:t xml:space="preserve"> </w:t>
      </w:r>
      <w:r w:rsidRPr="00EF5D79">
        <w:t>hospodaření</w:t>
      </w:r>
      <w:r>
        <w:t xml:space="preserve"> </w:t>
      </w:r>
      <w:r w:rsidRPr="00EF5D79">
        <w:t>Fondu</w:t>
      </w:r>
      <w:r>
        <w:t xml:space="preserve"> </w:t>
      </w:r>
      <w:r w:rsidRPr="00EF5D79">
        <w:t>a</w:t>
      </w:r>
      <w:r>
        <w:t xml:space="preserve"> </w:t>
      </w:r>
      <w:r w:rsidRPr="00EF5D79">
        <w:t>projednává</w:t>
      </w:r>
      <w:r>
        <w:t xml:space="preserve"> </w:t>
      </w:r>
      <w:r w:rsidRPr="00EF5D79">
        <w:t>návrh</w:t>
      </w:r>
      <w:r>
        <w:t xml:space="preserve"> </w:t>
      </w:r>
      <w:r w:rsidRPr="00EF5D79">
        <w:t>výroční</w:t>
      </w:r>
      <w:r>
        <w:t xml:space="preserve"> </w:t>
      </w:r>
      <w:r w:rsidRPr="00EF5D79">
        <w:t>zprávy</w:t>
      </w:r>
      <w:r>
        <w:t xml:space="preserve"> </w:t>
      </w:r>
      <w:r w:rsidRPr="00EF5D79">
        <w:t>a</w:t>
      </w:r>
      <w:r>
        <w:t xml:space="preserve"> </w:t>
      </w:r>
      <w:r w:rsidRPr="00804BD2">
        <w:rPr>
          <w:strike/>
        </w:rPr>
        <w:t>roční</w:t>
      </w:r>
      <w:r>
        <w:t xml:space="preserve"> </w:t>
      </w:r>
      <w:r w:rsidR="00804BD2">
        <w:rPr>
          <w:b/>
        </w:rPr>
        <w:t xml:space="preserve">řádnou individuální </w:t>
      </w:r>
      <w:r w:rsidRPr="00EF5D79">
        <w:t>účetní</w:t>
      </w:r>
      <w:r>
        <w:t xml:space="preserve"> </w:t>
      </w:r>
      <w:r w:rsidRPr="00EF5D79">
        <w:t>závěrku</w:t>
      </w:r>
      <w:r>
        <w:t xml:space="preserve"> </w:t>
      </w:r>
      <w:r w:rsidRPr="00EF5D79">
        <w:t>Fondu</w:t>
      </w:r>
      <w:r>
        <w:t xml:space="preserve"> </w:t>
      </w:r>
      <w:r w:rsidRPr="00EF5D79">
        <w:t>před</w:t>
      </w:r>
      <w:r>
        <w:t xml:space="preserve"> </w:t>
      </w:r>
      <w:r w:rsidRPr="00EF5D79">
        <w:t>jejich</w:t>
      </w:r>
      <w:r>
        <w:t xml:space="preserve"> </w:t>
      </w:r>
      <w:r w:rsidRPr="00EF5D79">
        <w:t>předložením</w:t>
      </w:r>
      <w:r>
        <w:t xml:space="preserve"> </w:t>
      </w:r>
      <w:r w:rsidRPr="00EF5D79">
        <w:t>vládě.</w:t>
      </w:r>
      <w:r>
        <w:t xml:space="preserve"> </w:t>
      </w:r>
      <w:r w:rsidRPr="00EF5D79">
        <w:t>Dozorčí</w:t>
      </w:r>
      <w:r>
        <w:t xml:space="preserve"> </w:t>
      </w:r>
      <w:r w:rsidRPr="00EF5D79">
        <w:t>rada</w:t>
      </w:r>
      <w:r>
        <w:t xml:space="preserve"> </w:t>
      </w:r>
      <w:r w:rsidRPr="00EF5D79">
        <w:t>má</w:t>
      </w:r>
      <w:r>
        <w:t xml:space="preserve"> </w:t>
      </w:r>
      <w:r w:rsidRPr="00EF5D79">
        <w:t>pět</w:t>
      </w:r>
      <w:r>
        <w:t xml:space="preserve"> </w:t>
      </w:r>
      <w:r w:rsidRPr="00EF5D79">
        <w:t>členů.</w:t>
      </w:r>
      <w:r>
        <w:t xml:space="preserve"> </w:t>
      </w:r>
      <w:r w:rsidRPr="00EF5D79">
        <w:t>Členy</w:t>
      </w:r>
      <w:r>
        <w:t xml:space="preserve"> </w:t>
      </w:r>
      <w:r w:rsidRPr="00EF5D79">
        <w:t>dozorčí</w:t>
      </w:r>
      <w:r>
        <w:t xml:space="preserve"> </w:t>
      </w:r>
      <w:r w:rsidRPr="00EF5D79">
        <w:t>rady</w:t>
      </w:r>
      <w:r>
        <w:t xml:space="preserve"> </w:t>
      </w:r>
      <w:r w:rsidRPr="00EF5D79">
        <w:t>volí</w:t>
      </w:r>
      <w:r>
        <w:t xml:space="preserve"> </w:t>
      </w:r>
      <w:r w:rsidRPr="00EF5D79">
        <w:t>a</w:t>
      </w:r>
      <w:r>
        <w:t xml:space="preserve"> </w:t>
      </w:r>
      <w:r w:rsidRPr="00EF5D79">
        <w:t>odvolává</w:t>
      </w:r>
      <w:r>
        <w:t xml:space="preserve"> </w:t>
      </w:r>
      <w:r w:rsidRPr="00EF5D79">
        <w:t>Poslanecká</w:t>
      </w:r>
      <w:r>
        <w:t xml:space="preserve"> </w:t>
      </w:r>
      <w:r w:rsidRPr="00EF5D79">
        <w:t>sněmovna</w:t>
      </w:r>
      <w:r>
        <w:t xml:space="preserve"> </w:t>
      </w:r>
      <w:r w:rsidRPr="00EF5D79">
        <w:t>Parlamentu</w:t>
      </w:r>
      <w:r>
        <w:t xml:space="preserve"> </w:t>
      </w:r>
      <w:r w:rsidRPr="00EF5D79">
        <w:t>České</w:t>
      </w:r>
      <w:r>
        <w:t xml:space="preserve"> </w:t>
      </w:r>
      <w:r w:rsidRPr="00EF5D79">
        <w:t>republiky</w:t>
      </w:r>
      <w:r>
        <w:t xml:space="preserve"> </w:t>
      </w:r>
      <w:r w:rsidRPr="00EF5D79">
        <w:t>na</w:t>
      </w:r>
      <w:r>
        <w:t xml:space="preserve"> </w:t>
      </w:r>
      <w:r w:rsidRPr="00EF5D79">
        <w:t>funkční</w:t>
      </w:r>
      <w:r>
        <w:t xml:space="preserve"> </w:t>
      </w:r>
      <w:r w:rsidRPr="00EF5D79">
        <w:t>období</w:t>
      </w:r>
      <w:r>
        <w:t xml:space="preserve"> </w:t>
      </w:r>
      <w:r w:rsidRPr="00EF5D79">
        <w:t>čtyř</w:t>
      </w:r>
      <w:r>
        <w:t xml:space="preserve"> </w:t>
      </w:r>
      <w:r w:rsidRPr="00EF5D79">
        <w:t>let.</w:t>
      </w:r>
    </w:p>
    <w:p w14:paraId="447AABDA" w14:textId="287A19F1" w:rsidR="003B112C" w:rsidRDefault="003B112C" w:rsidP="00904F98">
      <w:pPr>
        <w:pStyle w:val="PZTextodstavce"/>
        <w:tabs>
          <w:tab w:val="clear" w:pos="782"/>
          <w:tab w:val="left" w:pos="426"/>
        </w:tabs>
      </w:pPr>
      <w:r w:rsidRPr="00EF5D79">
        <w:t>(2</w:t>
      </w:r>
      <w:r>
        <w:t xml:space="preserve">) </w:t>
      </w:r>
      <w:r w:rsidRPr="00EF5D79">
        <w:t>Dozorčí</w:t>
      </w:r>
      <w:r>
        <w:t xml:space="preserve"> </w:t>
      </w:r>
      <w:r w:rsidRPr="00EF5D79">
        <w:t>rada</w:t>
      </w:r>
      <w:r>
        <w:t xml:space="preserve"> </w:t>
      </w:r>
      <w:r w:rsidRPr="00EF5D79">
        <w:t>zvolí</w:t>
      </w:r>
      <w:r>
        <w:t xml:space="preserve"> </w:t>
      </w:r>
      <w:r w:rsidRPr="00EF5D79">
        <w:t>ze</w:t>
      </w:r>
      <w:r>
        <w:t xml:space="preserve"> </w:t>
      </w:r>
      <w:r w:rsidRPr="00EF5D79">
        <w:t>svých</w:t>
      </w:r>
      <w:r>
        <w:t xml:space="preserve"> </w:t>
      </w:r>
      <w:r w:rsidRPr="00EF5D79">
        <w:t>členů</w:t>
      </w:r>
      <w:r>
        <w:t xml:space="preserve"> </w:t>
      </w:r>
      <w:r w:rsidRPr="00EF5D79">
        <w:t>předsedu</w:t>
      </w:r>
      <w:r>
        <w:t xml:space="preserve"> </w:t>
      </w:r>
      <w:r w:rsidRPr="00EF5D79">
        <w:t>a</w:t>
      </w:r>
      <w:r>
        <w:t xml:space="preserve"> </w:t>
      </w:r>
      <w:r w:rsidRPr="00EF5D79">
        <w:t>místopředsedu.</w:t>
      </w:r>
      <w:r>
        <w:t xml:space="preserve"> </w:t>
      </w:r>
      <w:r w:rsidRPr="00EF5D79">
        <w:t>Dozorčí</w:t>
      </w:r>
      <w:r>
        <w:t xml:space="preserve"> </w:t>
      </w:r>
      <w:r w:rsidRPr="00EF5D79">
        <w:t>rada</w:t>
      </w:r>
      <w:r>
        <w:t xml:space="preserve"> </w:t>
      </w:r>
      <w:r w:rsidRPr="00EF5D79">
        <w:t>se</w:t>
      </w:r>
      <w:r>
        <w:t xml:space="preserve"> </w:t>
      </w:r>
      <w:r w:rsidRPr="00EF5D79">
        <w:t>usnáší</w:t>
      </w:r>
      <w:r>
        <w:t xml:space="preserve"> </w:t>
      </w:r>
      <w:r w:rsidRPr="00EF5D79">
        <w:t>hlasováním.</w:t>
      </w:r>
    </w:p>
    <w:p w14:paraId="311FB1D3" w14:textId="580F4FE1" w:rsidR="003B112C" w:rsidRDefault="003B112C" w:rsidP="00904F98">
      <w:pPr>
        <w:pStyle w:val="PZTextodstavce"/>
        <w:tabs>
          <w:tab w:val="clear" w:pos="782"/>
          <w:tab w:val="left" w:pos="426"/>
        </w:tabs>
      </w:pPr>
      <w:r w:rsidRPr="00EF5D79">
        <w:t>(3</w:t>
      </w:r>
      <w:r>
        <w:t xml:space="preserve">) </w:t>
      </w:r>
      <w:r w:rsidRPr="00EF5D79">
        <w:t>Jednání</w:t>
      </w:r>
      <w:r>
        <w:t xml:space="preserve"> </w:t>
      </w:r>
      <w:r w:rsidRPr="00EF5D79">
        <w:t>dozorčí</w:t>
      </w:r>
      <w:r>
        <w:t xml:space="preserve"> </w:t>
      </w:r>
      <w:r w:rsidRPr="00EF5D79">
        <w:t>rady</w:t>
      </w:r>
      <w:r>
        <w:t xml:space="preserve"> </w:t>
      </w:r>
      <w:r w:rsidRPr="00EF5D79">
        <w:t>se</w:t>
      </w:r>
      <w:r>
        <w:t xml:space="preserve"> </w:t>
      </w:r>
      <w:r w:rsidRPr="00EF5D79">
        <w:t>řídí</w:t>
      </w:r>
      <w:r>
        <w:t xml:space="preserve"> </w:t>
      </w:r>
      <w:r w:rsidRPr="00EF5D79">
        <w:t>jednacím</w:t>
      </w:r>
      <w:r>
        <w:t xml:space="preserve"> </w:t>
      </w:r>
      <w:r w:rsidRPr="00EF5D79">
        <w:t>řádem,</w:t>
      </w:r>
      <w:r>
        <w:t xml:space="preserve"> </w:t>
      </w:r>
      <w:r w:rsidRPr="00EF5D79">
        <w:t>který</w:t>
      </w:r>
      <w:r>
        <w:t xml:space="preserve"> </w:t>
      </w:r>
      <w:r w:rsidRPr="00EF5D79">
        <w:t>schvaluje</w:t>
      </w:r>
      <w:r>
        <w:t xml:space="preserve"> </w:t>
      </w:r>
      <w:r w:rsidRPr="00EF5D79">
        <w:t>dozorčí</w:t>
      </w:r>
      <w:r>
        <w:t xml:space="preserve"> </w:t>
      </w:r>
      <w:r w:rsidRPr="00EF5D79">
        <w:t>rada</w:t>
      </w:r>
      <w:r>
        <w:t xml:space="preserve"> </w:t>
      </w:r>
      <w:r w:rsidRPr="00EF5D79">
        <w:t>usnesením.</w:t>
      </w:r>
    </w:p>
    <w:p w14:paraId="27F5A726" w14:textId="37FB99F7" w:rsidR="003B112C" w:rsidRDefault="003B112C" w:rsidP="00904F98">
      <w:pPr>
        <w:pStyle w:val="PZTextodstavce"/>
        <w:tabs>
          <w:tab w:val="clear" w:pos="782"/>
          <w:tab w:val="left" w:pos="426"/>
        </w:tabs>
      </w:pPr>
      <w:r w:rsidRPr="00EF5D79">
        <w:t>(4</w:t>
      </w:r>
      <w:r>
        <w:t xml:space="preserve">) </w:t>
      </w:r>
      <w:r w:rsidRPr="00EF5D79">
        <w:t>Dozorčí</w:t>
      </w:r>
      <w:r>
        <w:t xml:space="preserve"> </w:t>
      </w:r>
      <w:r w:rsidRPr="00EF5D79">
        <w:t>rada</w:t>
      </w:r>
      <w:r>
        <w:t xml:space="preserve"> </w:t>
      </w:r>
      <w:r w:rsidRPr="00EF5D79">
        <w:t>informuje</w:t>
      </w:r>
      <w:r>
        <w:t xml:space="preserve"> </w:t>
      </w:r>
      <w:r w:rsidRPr="00EF5D79">
        <w:t>neprodleně</w:t>
      </w:r>
      <w:r>
        <w:t xml:space="preserve"> </w:t>
      </w:r>
      <w:r w:rsidRPr="00EF5D79">
        <w:t>o</w:t>
      </w:r>
      <w:r>
        <w:t xml:space="preserve"> </w:t>
      </w:r>
      <w:r w:rsidRPr="00EF5D79">
        <w:t>nedostatcích</w:t>
      </w:r>
      <w:r>
        <w:t xml:space="preserve"> </w:t>
      </w:r>
      <w:r w:rsidRPr="00EF5D79">
        <w:t>zjištěných</w:t>
      </w:r>
      <w:r>
        <w:t xml:space="preserve"> </w:t>
      </w:r>
      <w:r w:rsidRPr="00EF5D79">
        <w:t>v</w:t>
      </w:r>
      <w:r>
        <w:t xml:space="preserve"> </w:t>
      </w:r>
      <w:r w:rsidRPr="00EF5D79">
        <w:t>činnosti</w:t>
      </w:r>
      <w:r>
        <w:t xml:space="preserve"> </w:t>
      </w:r>
      <w:r w:rsidRPr="00EF5D79">
        <w:t>a</w:t>
      </w:r>
      <w:r>
        <w:t xml:space="preserve"> </w:t>
      </w:r>
      <w:r w:rsidRPr="00EF5D79">
        <w:t>hospodaření</w:t>
      </w:r>
      <w:r>
        <w:t xml:space="preserve"> </w:t>
      </w:r>
      <w:r w:rsidRPr="00EF5D79">
        <w:t>Fondu</w:t>
      </w:r>
      <w:r>
        <w:t xml:space="preserve"> </w:t>
      </w:r>
      <w:r w:rsidRPr="00EF5D79">
        <w:t>ministerstvo,</w:t>
      </w:r>
      <w:r>
        <w:t xml:space="preserve"> </w:t>
      </w:r>
      <w:r w:rsidRPr="00EF5D79">
        <w:t>vládu</w:t>
      </w:r>
      <w:r>
        <w:t xml:space="preserve"> </w:t>
      </w:r>
      <w:r w:rsidRPr="00EF5D79">
        <w:t>a</w:t>
      </w:r>
      <w:r>
        <w:t xml:space="preserve"> </w:t>
      </w:r>
      <w:r w:rsidRPr="00EF5D79">
        <w:t>Poslaneckou</w:t>
      </w:r>
      <w:r>
        <w:t xml:space="preserve"> </w:t>
      </w:r>
      <w:r w:rsidRPr="00EF5D79">
        <w:t>sněmovnu</w:t>
      </w:r>
      <w:r>
        <w:t xml:space="preserve"> </w:t>
      </w:r>
      <w:r w:rsidRPr="00EF5D79">
        <w:t>Parlamentu</w:t>
      </w:r>
      <w:r>
        <w:t xml:space="preserve"> </w:t>
      </w:r>
      <w:r w:rsidRPr="00EF5D79">
        <w:t>České</w:t>
      </w:r>
      <w:r>
        <w:t xml:space="preserve"> </w:t>
      </w:r>
      <w:r w:rsidRPr="00EF5D79">
        <w:t>republiky.</w:t>
      </w:r>
    </w:p>
    <w:p w14:paraId="161A18D3" w14:textId="047DAAEB" w:rsidR="003B112C" w:rsidRDefault="003B112C" w:rsidP="00904F98">
      <w:pPr>
        <w:pStyle w:val="PZTextodstavce"/>
        <w:tabs>
          <w:tab w:val="clear" w:pos="782"/>
          <w:tab w:val="left" w:pos="426"/>
        </w:tabs>
      </w:pPr>
      <w:r w:rsidRPr="00EF5D79">
        <w:t>(5</w:t>
      </w:r>
      <w:r>
        <w:t xml:space="preserve">) </w:t>
      </w:r>
      <w:r w:rsidRPr="00EF5D79">
        <w:t>Členům</w:t>
      </w:r>
      <w:r>
        <w:t xml:space="preserve"> </w:t>
      </w:r>
      <w:r w:rsidRPr="00EF5D79">
        <w:t>dozorčí</w:t>
      </w:r>
      <w:r>
        <w:t xml:space="preserve"> </w:t>
      </w:r>
      <w:r w:rsidRPr="00EF5D79">
        <w:t>rady</w:t>
      </w:r>
      <w:r>
        <w:t xml:space="preserve"> </w:t>
      </w:r>
      <w:r w:rsidRPr="00EF5D79">
        <w:t>přísluší</w:t>
      </w:r>
      <w:r>
        <w:t xml:space="preserve"> </w:t>
      </w:r>
      <w:r w:rsidRPr="00EF5D79">
        <w:t>odměna,</w:t>
      </w:r>
      <w:r>
        <w:t xml:space="preserve"> </w:t>
      </w:r>
      <w:r w:rsidRPr="00EF5D79">
        <w:t>kterou</w:t>
      </w:r>
      <w:r>
        <w:t xml:space="preserve"> </w:t>
      </w:r>
      <w:r w:rsidRPr="00EF5D79">
        <w:t>vláda</w:t>
      </w:r>
      <w:r>
        <w:t xml:space="preserve"> </w:t>
      </w:r>
      <w:r w:rsidRPr="00EF5D79">
        <w:t>stanoví</w:t>
      </w:r>
      <w:r>
        <w:t xml:space="preserve"> </w:t>
      </w:r>
      <w:r w:rsidRPr="00EF5D79">
        <w:t>usnesením.</w:t>
      </w:r>
      <w:r>
        <w:t xml:space="preserve"> </w:t>
      </w:r>
      <w:r w:rsidRPr="00EF5D79">
        <w:t>Odměna</w:t>
      </w:r>
      <w:r>
        <w:t xml:space="preserve"> </w:t>
      </w:r>
      <w:r w:rsidRPr="00EF5D79">
        <w:t>a</w:t>
      </w:r>
      <w:r>
        <w:t xml:space="preserve"> </w:t>
      </w:r>
      <w:r w:rsidRPr="00EF5D79">
        <w:t>refundace</w:t>
      </w:r>
      <w:r>
        <w:t xml:space="preserve"> </w:t>
      </w:r>
      <w:r w:rsidRPr="00EF5D79">
        <w:t>mzdy</w:t>
      </w:r>
      <w:r>
        <w:t xml:space="preserve"> </w:t>
      </w:r>
      <w:r w:rsidRPr="00EF5D79">
        <w:t>zaměstnavateli</w:t>
      </w:r>
      <w:r>
        <w:t xml:space="preserve"> </w:t>
      </w:r>
      <w:r w:rsidRPr="00EF5D79">
        <w:t>členů</w:t>
      </w:r>
      <w:r>
        <w:t xml:space="preserve"> </w:t>
      </w:r>
      <w:r w:rsidRPr="00EF5D79">
        <w:t>dozorčí</w:t>
      </w:r>
      <w:r>
        <w:t xml:space="preserve"> </w:t>
      </w:r>
      <w:r w:rsidRPr="00EF5D79">
        <w:t>rady</w:t>
      </w:r>
      <w:r>
        <w:t xml:space="preserve"> </w:t>
      </w:r>
      <w:r w:rsidRPr="00EF5D79">
        <w:t>je</w:t>
      </w:r>
      <w:r>
        <w:t xml:space="preserve"> </w:t>
      </w:r>
      <w:r w:rsidRPr="00EF5D79">
        <w:t>nákladem</w:t>
      </w:r>
      <w:r>
        <w:t xml:space="preserve"> </w:t>
      </w:r>
      <w:r w:rsidRPr="00EF5D79">
        <w:t>na</w:t>
      </w:r>
      <w:r>
        <w:t xml:space="preserve"> </w:t>
      </w:r>
      <w:r w:rsidRPr="00EF5D79">
        <w:t>činnost</w:t>
      </w:r>
      <w:r>
        <w:t xml:space="preserve"> </w:t>
      </w:r>
      <w:r w:rsidRPr="00EF5D79">
        <w:t>Fondu.</w:t>
      </w:r>
    </w:p>
    <w:p w14:paraId="02371D17" w14:textId="7EE42BB9" w:rsidR="003B112C" w:rsidRDefault="003B112C" w:rsidP="00904F98">
      <w:pPr>
        <w:pStyle w:val="PZTextodstavce"/>
        <w:tabs>
          <w:tab w:val="clear" w:pos="782"/>
          <w:tab w:val="left" w:pos="426"/>
        </w:tabs>
      </w:pPr>
      <w:r w:rsidRPr="00EF5D79">
        <w:t>(6</w:t>
      </w:r>
      <w:r>
        <w:t xml:space="preserve">) </w:t>
      </w:r>
      <w:r w:rsidRPr="00EF5D79">
        <w:t>Členství</w:t>
      </w:r>
      <w:r>
        <w:t xml:space="preserve"> </w:t>
      </w:r>
      <w:r w:rsidRPr="00EF5D79">
        <w:t>v</w:t>
      </w:r>
      <w:r>
        <w:t xml:space="preserve"> </w:t>
      </w:r>
      <w:r w:rsidRPr="00EF5D79">
        <w:t>dozorčí</w:t>
      </w:r>
      <w:r>
        <w:t xml:space="preserve"> </w:t>
      </w:r>
      <w:r w:rsidRPr="00EF5D79">
        <w:t>radě</w:t>
      </w:r>
      <w:r>
        <w:t xml:space="preserve"> </w:t>
      </w:r>
      <w:r w:rsidRPr="00EF5D79">
        <w:t>je</w:t>
      </w:r>
      <w:r>
        <w:t xml:space="preserve"> </w:t>
      </w:r>
      <w:r w:rsidRPr="00EF5D79">
        <w:t>překážkou</w:t>
      </w:r>
      <w:r>
        <w:t xml:space="preserve"> </w:t>
      </w:r>
      <w:r w:rsidRPr="00EF5D79">
        <w:t>v</w:t>
      </w:r>
      <w:r>
        <w:t xml:space="preserve"> </w:t>
      </w:r>
      <w:r w:rsidRPr="00EF5D79">
        <w:t>práci</w:t>
      </w:r>
      <w:r>
        <w:t xml:space="preserve"> </w:t>
      </w:r>
      <w:r w:rsidRPr="00EF5D79">
        <w:t>z</w:t>
      </w:r>
      <w:r>
        <w:t xml:space="preserve"> </w:t>
      </w:r>
      <w:r w:rsidRPr="00EF5D79">
        <w:t>důvodu</w:t>
      </w:r>
      <w:r>
        <w:t xml:space="preserve"> </w:t>
      </w:r>
      <w:r w:rsidRPr="00EF5D79">
        <w:t>obecného</w:t>
      </w:r>
      <w:r>
        <w:t xml:space="preserve"> </w:t>
      </w:r>
      <w:r w:rsidRPr="00EF5D79">
        <w:t>zájmu</w:t>
      </w:r>
      <w:r>
        <w:t xml:space="preserve"> </w:t>
      </w:r>
      <w:r w:rsidRPr="00EF5D79">
        <w:t>podle</w:t>
      </w:r>
      <w:r>
        <w:t xml:space="preserve"> </w:t>
      </w:r>
      <w:r w:rsidRPr="00EF5D79">
        <w:t>zvláštního</w:t>
      </w:r>
      <w:r>
        <w:t xml:space="preserve"> </w:t>
      </w:r>
      <w:r w:rsidRPr="00EF5D79">
        <w:t>právního</w:t>
      </w:r>
      <w:r>
        <w:t xml:space="preserve"> </w:t>
      </w:r>
      <w:r w:rsidRPr="00EF5D79">
        <w:t>předpisu.</w:t>
      </w:r>
      <w:r>
        <w:rPr>
          <w:rStyle w:val="Znakapoznpodarou"/>
        </w:rPr>
        <w:footnoteReference w:customMarkFollows="1" w:id="305"/>
        <w:t>7)</w:t>
      </w:r>
    </w:p>
    <w:p w14:paraId="1763A4F2" w14:textId="372980C8" w:rsidR="003B112C" w:rsidRDefault="003B112C" w:rsidP="00904F98">
      <w:pPr>
        <w:pStyle w:val="PZTextodstavce"/>
        <w:tabs>
          <w:tab w:val="clear" w:pos="782"/>
          <w:tab w:val="left" w:pos="426"/>
        </w:tabs>
      </w:pPr>
      <w:r w:rsidRPr="00EF5D79">
        <w:t>(7</w:t>
      </w:r>
      <w:r>
        <w:t xml:space="preserve">) </w:t>
      </w:r>
      <w:r w:rsidRPr="00EF5D79">
        <w:t>Členové</w:t>
      </w:r>
      <w:r>
        <w:t xml:space="preserve"> </w:t>
      </w:r>
      <w:r w:rsidRPr="00EF5D79">
        <w:t>dozorčí</w:t>
      </w:r>
      <w:r>
        <w:t xml:space="preserve"> </w:t>
      </w:r>
      <w:r w:rsidRPr="00EF5D79">
        <w:t>rady</w:t>
      </w:r>
      <w:r>
        <w:t xml:space="preserve"> </w:t>
      </w:r>
      <w:r w:rsidRPr="00EF5D79">
        <w:t>mohou</w:t>
      </w:r>
      <w:r>
        <w:t xml:space="preserve"> </w:t>
      </w:r>
      <w:r w:rsidRPr="00EF5D79">
        <w:t>být</w:t>
      </w:r>
      <w:r>
        <w:t xml:space="preserve"> </w:t>
      </w:r>
      <w:r w:rsidRPr="00EF5D79">
        <w:t>přítomni</w:t>
      </w:r>
      <w:r>
        <w:t xml:space="preserve"> </w:t>
      </w:r>
      <w:r w:rsidRPr="00EF5D79">
        <w:t>na</w:t>
      </w:r>
      <w:r>
        <w:t xml:space="preserve"> </w:t>
      </w:r>
      <w:r w:rsidRPr="00EF5D79">
        <w:t>všech</w:t>
      </w:r>
      <w:r>
        <w:t xml:space="preserve"> </w:t>
      </w:r>
      <w:r w:rsidRPr="00EF5D79">
        <w:t>jednáních</w:t>
      </w:r>
      <w:r>
        <w:t xml:space="preserve"> </w:t>
      </w:r>
      <w:r w:rsidRPr="00EF5D79">
        <w:t>Výboru.</w:t>
      </w:r>
    </w:p>
    <w:p w14:paraId="071BBA5C" w14:textId="77777777" w:rsidR="00642A7B" w:rsidRDefault="00642A7B" w:rsidP="00CB5381">
      <w:pPr>
        <w:pStyle w:val="Textparagrafu"/>
        <w:tabs>
          <w:tab w:val="left" w:pos="406"/>
          <w:tab w:val="left" w:pos="840"/>
          <w:tab w:val="left" w:pos="868"/>
        </w:tabs>
        <w:spacing w:after="120"/>
        <w:ind w:firstLine="0"/>
        <w:sectPr w:rsidR="00642A7B" w:rsidSect="003B112C">
          <w:footnotePr>
            <w:numStart w:val="3"/>
          </w:footnotePr>
          <w:endnotePr>
            <w:numFmt w:val="decimal"/>
          </w:endnotePr>
          <w:pgSz w:w="11906" w:h="16838"/>
          <w:pgMar w:top="1418" w:right="1418" w:bottom="1418" w:left="1418" w:header="709" w:footer="709" w:gutter="0"/>
          <w:cols w:space="708"/>
          <w:docGrid w:linePitch="360"/>
        </w:sectPr>
      </w:pPr>
    </w:p>
    <w:p w14:paraId="5789C300" w14:textId="2491741B" w:rsidR="00642A7B" w:rsidRPr="00527C79" w:rsidRDefault="00642A7B" w:rsidP="00904F98">
      <w:pPr>
        <w:tabs>
          <w:tab w:val="left" w:pos="851"/>
        </w:tabs>
        <w:spacing w:before="120" w:after="120"/>
        <w:ind w:firstLine="0"/>
        <w:jc w:val="center"/>
        <w:outlineLvl w:val="0"/>
        <w:rPr>
          <w:szCs w:val="24"/>
        </w:rPr>
      </w:pPr>
      <w:r w:rsidRPr="00527C79">
        <w:rPr>
          <w:b/>
          <w:szCs w:val="24"/>
        </w:rPr>
        <w:lastRenderedPageBreak/>
        <w:t xml:space="preserve">K části </w:t>
      </w:r>
      <w:r>
        <w:rPr>
          <w:b/>
          <w:szCs w:val="24"/>
        </w:rPr>
        <w:t>čtyřicáté</w:t>
      </w:r>
      <w:r w:rsidRPr="00527C79">
        <w:rPr>
          <w:b/>
          <w:szCs w:val="24"/>
        </w:rPr>
        <w:t xml:space="preserve"> </w:t>
      </w:r>
      <w:r w:rsidR="004A6BCE">
        <w:rPr>
          <w:b/>
          <w:szCs w:val="24"/>
        </w:rPr>
        <w:t>čtvrté</w:t>
      </w:r>
      <w:r>
        <w:rPr>
          <w:b/>
          <w:szCs w:val="24"/>
        </w:rPr>
        <w:t xml:space="preserve"> </w:t>
      </w:r>
      <w:r w:rsidRPr="00527C79">
        <w:rPr>
          <w:b/>
          <w:szCs w:val="24"/>
        </w:rPr>
        <w:t xml:space="preserve">návrhu zákona – </w:t>
      </w:r>
      <w:r w:rsidRPr="00527C79">
        <w:rPr>
          <w:szCs w:val="24"/>
        </w:rPr>
        <w:t xml:space="preserve">změna </w:t>
      </w:r>
      <w:r w:rsidR="008964B3">
        <w:rPr>
          <w:szCs w:val="24"/>
        </w:rPr>
        <w:t>autorského zákona</w:t>
      </w:r>
    </w:p>
    <w:p w14:paraId="5B0ABC60" w14:textId="09E0BC10" w:rsidR="00642A7B" w:rsidRPr="00642A7B" w:rsidRDefault="00642A7B" w:rsidP="00642A7B">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642A7B">
        <w:rPr>
          <w:b/>
          <w:szCs w:val="24"/>
        </w:rPr>
        <w:t>Platné znění</w:t>
      </w:r>
      <w:r w:rsidRPr="00642A7B">
        <w:rPr>
          <w:szCs w:val="24"/>
        </w:rPr>
        <w:t xml:space="preserve"> zákona </w:t>
      </w:r>
      <w:r w:rsidRPr="00642A7B">
        <w:rPr>
          <w:color w:val="000000"/>
          <w:szCs w:val="24"/>
        </w:rPr>
        <w:t>č.</w:t>
      </w:r>
      <w:r>
        <w:rPr>
          <w:color w:val="000000"/>
          <w:szCs w:val="24"/>
        </w:rPr>
        <w:t>121</w:t>
      </w:r>
      <w:r w:rsidRPr="00642A7B">
        <w:rPr>
          <w:color w:val="000000"/>
          <w:szCs w:val="24"/>
        </w:rPr>
        <w:t>/</w:t>
      </w:r>
      <w:r w:rsidRPr="00642A7B">
        <w:rPr>
          <w:szCs w:val="24"/>
        </w:rPr>
        <w:t>2000 Sb., o právu autorském, o právech souvisejících s právem autorským a o změně některých zákonů</w:t>
      </w:r>
      <w:r>
        <w:rPr>
          <w:szCs w:val="24"/>
        </w:rPr>
        <w:t xml:space="preserve"> </w:t>
      </w:r>
      <w:r w:rsidRPr="00642A7B">
        <w:rPr>
          <w:szCs w:val="24"/>
        </w:rPr>
        <w:t>(autorský zákon)</w:t>
      </w:r>
    </w:p>
    <w:p w14:paraId="45E9A5DC" w14:textId="70AC1844" w:rsidR="00642A7B" w:rsidRPr="00642A7B" w:rsidRDefault="00904F98" w:rsidP="00642A7B">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AE4818">
        <w:rPr>
          <w:b/>
          <w:szCs w:val="24"/>
          <w:lang w:eastAsia="en-US"/>
        </w:rPr>
        <w:t>s vyznačením navrhovaných změn a doplnění k 1. lednu 2025</w:t>
      </w:r>
    </w:p>
    <w:p w14:paraId="48A7E706" w14:textId="77777777" w:rsidR="00642A7B" w:rsidRDefault="00642A7B" w:rsidP="00642A7B">
      <w:pPr>
        <w:pStyle w:val="Textparagrafu"/>
        <w:tabs>
          <w:tab w:val="left" w:pos="406"/>
          <w:tab w:val="left" w:pos="840"/>
          <w:tab w:val="left" w:pos="868"/>
        </w:tabs>
        <w:spacing w:after="120"/>
        <w:ind w:firstLine="0"/>
        <w:jc w:val="center"/>
      </w:pPr>
      <w:r w:rsidRPr="00527C79">
        <w:t>***</w:t>
      </w:r>
    </w:p>
    <w:p w14:paraId="120AA1AE" w14:textId="274B6DA6" w:rsidR="00704C9A" w:rsidRDefault="00704C9A" w:rsidP="00E90B00">
      <w:pPr>
        <w:pStyle w:val="Textparagrafu"/>
        <w:spacing w:after="120"/>
        <w:ind w:firstLine="0"/>
        <w:jc w:val="center"/>
      </w:pPr>
      <w:r w:rsidRPr="00A24EB4">
        <w:t>§</w:t>
      </w:r>
      <w:r>
        <w:t xml:space="preserve"> </w:t>
      </w:r>
      <w:r w:rsidRPr="00A24EB4">
        <w:t>96</w:t>
      </w:r>
      <w:r w:rsidR="00B97C7B">
        <w:t>f</w:t>
      </w:r>
    </w:p>
    <w:p w14:paraId="13BA4AE8" w14:textId="77777777" w:rsidR="00B97C7B" w:rsidRPr="008C7B4D" w:rsidRDefault="00B97C7B" w:rsidP="008C7B4D">
      <w:pPr>
        <w:pStyle w:val="Textparagrafu"/>
        <w:ind w:firstLine="0"/>
        <w:jc w:val="center"/>
        <w:rPr>
          <w:b/>
        </w:rPr>
      </w:pPr>
      <w:r w:rsidRPr="008C7B4D">
        <w:rPr>
          <w:b/>
        </w:rPr>
        <w:t>Nejvyšší orgán</w:t>
      </w:r>
    </w:p>
    <w:p w14:paraId="6CD85256" w14:textId="77777777" w:rsidR="00B97C7B" w:rsidRDefault="00B97C7B" w:rsidP="00904F98">
      <w:pPr>
        <w:pStyle w:val="Textparagrafu"/>
        <w:tabs>
          <w:tab w:val="left" w:pos="406"/>
          <w:tab w:val="left" w:pos="840"/>
        </w:tabs>
        <w:spacing w:before="120" w:after="120"/>
      </w:pPr>
      <w:r w:rsidRPr="00F5732F">
        <w:t>(1)</w:t>
      </w:r>
      <w:r>
        <w:t xml:space="preserve"> </w:t>
      </w:r>
      <w:r w:rsidRPr="00F5732F">
        <w:t>Nejvyšším</w:t>
      </w:r>
      <w:r>
        <w:t xml:space="preserve"> </w:t>
      </w:r>
      <w:r w:rsidRPr="00F5732F">
        <w:t>orgánem</w:t>
      </w:r>
      <w:r>
        <w:t xml:space="preserve"> </w:t>
      </w:r>
      <w:r w:rsidRPr="00F5732F">
        <w:t>kolektivního</w:t>
      </w:r>
      <w:r>
        <w:t xml:space="preserve"> </w:t>
      </w:r>
      <w:r w:rsidRPr="00F5732F">
        <w:t>správce</w:t>
      </w:r>
      <w:r>
        <w:t xml:space="preserve"> </w:t>
      </w:r>
      <w:r w:rsidRPr="00F5732F">
        <w:t>je</w:t>
      </w:r>
      <w:r>
        <w:t xml:space="preserve"> </w:t>
      </w:r>
      <w:r w:rsidRPr="00F5732F">
        <w:t>orgán,</w:t>
      </w:r>
      <w:r>
        <w:t xml:space="preserve"> </w:t>
      </w:r>
      <w:r w:rsidRPr="00F5732F">
        <w:t>v</w:t>
      </w:r>
      <w:r>
        <w:t xml:space="preserve"> </w:t>
      </w:r>
      <w:r w:rsidRPr="00F5732F">
        <w:t>němž</w:t>
      </w:r>
      <w:r>
        <w:t xml:space="preserve"> </w:t>
      </w:r>
      <w:r w:rsidRPr="00F5732F">
        <w:t>se</w:t>
      </w:r>
      <w:r>
        <w:t xml:space="preserve"> </w:t>
      </w:r>
      <w:r w:rsidRPr="00F5732F">
        <w:t>účastní</w:t>
      </w:r>
      <w:r>
        <w:t xml:space="preserve"> </w:t>
      </w:r>
      <w:r w:rsidRPr="00F5732F">
        <w:t>všichni</w:t>
      </w:r>
      <w:r>
        <w:t xml:space="preserve"> </w:t>
      </w:r>
      <w:r w:rsidRPr="00F5732F">
        <w:t>členové</w:t>
      </w:r>
      <w:r>
        <w:t xml:space="preserve"> </w:t>
      </w:r>
      <w:r w:rsidRPr="00F5732F">
        <w:t>kolektivního</w:t>
      </w:r>
      <w:r>
        <w:t xml:space="preserve"> </w:t>
      </w:r>
      <w:r w:rsidRPr="00F5732F">
        <w:t>správce</w:t>
      </w:r>
      <w:r>
        <w:t xml:space="preserve"> </w:t>
      </w:r>
      <w:r w:rsidRPr="00F5732F">
        <w:t>a</w:t>
      </w:r>
      <w:r>
        <w:t xml:space="preserve"> </w:t>
      </w:r>
      <w:r w:rsidRPr="00F5732F">
        <w:t>v</w:t>
      </w:r>
      <w:r>
        <w:t xml:space="preserve"> </w:t>
      </w:r>
      <w:r w:rsidRPr="00F5732F">
        <w:t>němž</w:t>
      </w:r>
      <w:r>
        <w:t xml:space="preserve"> </w:t>
      </w:r>
      <w:r w:rsidRPr="00F5732F">
        <w:t>vykonávají</w:t>
      </w:r>
      <w:r>
        <w:t xml:space="preserve"> </w:t>
      </w:r>
      <w:r w:rsidRPr="00F5732F">
        <w:t>svá</w:t>
      </w:r>
      <w:r>
        <w:t xml:space="preserve"> </w:t>
      </w:r>
      <w:r w:rsidRPr="00F5732F">
        <w:t>hlasovací</w:t>
      </w:r>
      <w:r>
        <w:t xml:space="preserve"> </w:t>
      </w:r>
      <w:r w:rsidRPr="00F5732F">
        <w:t>práva,</w:t>
      </w:r>
      <w:r>
        <w:t xml:space="preserve"> </w:t>
      </w:r>
      <w:r w:rsidRPr="00F5732F">
        <w:t>není-li</w:t>
      </w:r>
      <w:r>
        <w:t xml:space="preserve"> </w:t>
      </w:r>
      <w:r w:rsidRPr="00F5732F">
        <w:t>dále</w:t>
      </w:r>
      <w:r>
        <w:t xml:space="preserve"> </w:t>
      </w:r>
      <w:r w:rsidRPr="00F5732F">
        <w:t>stanoveno</w:t>
      </w:r>
      <w:r>
        <w:t xml:space="preserve"> </w:t>
      </w:r>
      <w:r w:rsidRPr="00F5732F">
        <w:t>jinak.</w:t>
      </w:r>
      <w:r>
        <w:t xml:space="preserve"> </w:t>
      </w:r>
      <w:r w:rsidRPr="00F5732F">
        <w:t>Zasedání</w:t>
      </w:r>
      <w:r>
        <w:t xml:space="preserve"> </w:t>
      </w:r>
      <w:r w:rsidRPr="00F5732F">
        <w:t>nejvyššího</w:t>
      </w:r>
      <w:r>
        <w:t xml:space="preserve"> </w:t>
      </w:r>
      <w:r w:rsidRPr="00F5732F">
        <w:t>orgánu</w:t>
      </w:r>
      <w:r>
        <w:t xml:space="preserve"> </w:t>
      </w:r>
      <w:r w:rsidRPr="00F5732F">
        <w:t>se</w:t>
      </w:r>
      <w:r>
        <w:t xml:space="preserve"> </w:t>
      </w:r>
      <w:r w:rsidRPr="00F5732F">
        <w:t>nesmí</w:t>
      </w:r>
      <w:r>
        <w:t xml:space="preserve"> </w:t>
      </w:r>
      <w:r w:rsidRPr="00F5732F">
        <w:t>konat</w:t>
      </w:r>
      <w:r>
        <w:t xml:space="preserve"> </w:t>
      </w:r>
      <w:r w:rsidRPr="00F5732F">
        <w:t>formou</w:t>
      </w:r>
      <w:r>
        <w:t xml:space="preserve"> </w:t>
      </w:r>
      <w:r w:rsidRPr="00F5732F">
        <w:t>jeho</w:t>
      </w:r>
      <w:r>
        <w:t xml:space="preserve"> </w:t>
      </w:r>
      <w:r w:rsidRPr="00F5732F">
        <w:t>dílčích</w:t>
      </w:r>
      <w:r>
        <w:t xml:space="preserve"> </w:t>
      </w:r>
      <w:r w:rsidRPr="00F5732F">
        <w:t>zasedání</w:t>
      </w:r>
      <w:r>
        <w:t xml:space="preserve"> </w:t>
      </w:r>
      <w:r w:rsidRPr="00F5732F">
        <w:t>a</w:t>
      </w:r>
      <w:r>
        <w:t xml:space="preserve"> </w:t>
      </w:r>
      <w:r w:rsidRPr="00F5732F">
        <w:t>působnost</w:t>
      </w:r>
      <w:r>
        <w:t xml:space="preserve"> </w:t>
      </w:r>
      <w:r w:rsidRPr="00F5732F">
        <w:t>nejvyššího</w:t>
      </w:r>
      <w:r>
        <w:t xml:space="preserve"> </w:t>
      </w:r>
      <w:r w:rsidRPr="00F5732F">
        <w:t>orgánu</w:t>
      </w:r>
      <w:r>
        <w:t xml:space="preserve"> </w:t>
      </w:r>
      <w:r w:rsidRPr="00F5732F">
        <w:t>nesmí</w:t>
      </w:r>
      <w:r>
        <w:t xml:space="preserve"> </w:t>
      </w:r>
      <w:r w:rsidRPr="00F5732F">
        <w:t>plnit</w:t>
      </w:r>
      <w:r>
        <w:t xml:space="preserve"> </w:t>
      </w:r>
      <w:r w:rsidRPr="00F5732F">
        <w:t>shromáždění</w:t>
      </w:r>
      <w:r>
        <w:t xml:space="preserve"> </w:t>
      </w:r>
      <w:r w:rsidRPr="00F5732F">
        <w:t>delegátů.</w:t>
      </w:r>
    </w:p>
    <w:p w14:paraId="41DBA5F4" w14:textId="77777777" w:rsidR="00B97C7B" w:rsidRDefault="00B97C7B" w:rsidP="00904F98">
      <w:pPr>
        <w:pStyle w:val="Textparagrafu"/>
        <w:tabs>
          <w:tab w:val="left" w:pos="406"/>
          <w:tab w:val="left" w:pos="840"/>
        </w:tabs>
        <w:spacing w:before="120" w:after="120"/>
      </w:pPr>
      <w:r w:rsidRPr="00F5732F">
        <w:t>(2)</w:t>
      </w:r>
      <w:r>
        <w:t xml:space="preserve"> </w:t>
      </w:r>
      <w:r w:rsidRPr="00F5732F">
        <w:t>Nejvyšší</w:t>
      </w:r>
      <w:r>
        <w:t xml:space="preserve"> </w:t>
      </w:r>
      <w:r w:rsidRPr="00F5732F">
        <w:t>orgán</w:t>
      </w:r>
      <w:r>
        <w:t xml:space="preserve"> </w:t>
      </w:r>
      <w:r w:rsidRPr="00F5732F">
        <w:t>rozhoduje</w:t>
      </w:r>
      <w:r>
        <w:t xml:space="preserve"> </w:t>
      </w:r>
      <w:r w:rsidRPr="00F5732F">
        <w:t>o</w:t>
      </w:r>
      <w:r>
        <w:t xml:space="preserve"> </w:t>
      </w:r>
      <w:r w:rsidRPr="00F5732F">
        <w:t>změnách</w:t>
      </w:r>
      <w:r>
        <w:t xml:space="preserve"> </w:t>
      </w:r>
      <w:r w:rsidRPr="00F5732F">
        <w:t>stanov</w:t>
      </w:r>
      <w:r>
        <w:t xml:space="preserve"> </w:t>
      </w:r>
      <w:r w:rsidRPr="00F5732F">
        <w:t>kolektivního</w:t>
      </w:r>
      <w:r>
        <w:t xml:space="preserve"> </w:t>
      </w:r>
      <w:r w:rsidRPr="00F5732F">
        <w:t>správce.</w:t>
      </w:r>
    </w:p>
    <w:p w14:paraId="227A4D18" w14:textId="77777777" w:rsidR="00B97C7B" w:rsidRDefault="00B97C7B" w:rsidP="00904F98">
      <w:pPr>
        <w:pStyle w:val="Textparagrafu"/>
        <w:tabs>
          <w:tab w:val="left" w:pos="406"/>
          <w:tab w:val="left" w:pos="840"/>
        </w:tabs>
        <w:spacing w:before="120" w:after="120"/>
      </w:pPr>
      <w:r w:rsidRPr="00F5732F">
        <w:t>(3)</w:t>
      </w:r>
      <w:r>
        <w:t xml:space="preserve"> </w:t>
      </w:r>
      <w:r w:rsidRPr="00F5732F">
        <w:t>Nejvyšší</w:t>
      </w:r>
      <w:r>
        <w:t xml:space="preserve"> </w:t>
      </w:r>
      <w:r w:rsidRPr="00F5732F">
        <w:t>orgán</w:t>
      </w:r>
      <w:r>
        <w:t xml:space="preserve"> </w:t>
      </w:r>
      <w:r w:rsidRPr="00F5732F">
        <w:t>rozhoduje</w:t>
      </w:r>
      <w:r>
        <w:t xml:space="preserve"> </w:t>
      </w:r>
      <w:r w:rsidRPr="00F5732F">
        <w:t>o</w:t>
      </w:r>
      <w:r>
        <w:t xml:space="preserve"> </w:t>
      </w:r>
      <w:r w:rsidRPr="00F5732F">
        <w:t>jmenování</w:t>
      </w:r>
      <w:r>
        <w:t xml:space="preserve"> </w:t>
      </w:r>
      <w:r w:rsidRPr="00F5732F">
        <w:t>nebo</w:t>
      </w:r>
      <w:r>
        <w:t xml:space="preserve"> </w:t>
      </w:r>
      <w:r w:rsidRPr="00F5732F">
        <w:t>odvolání</w:t>
      </w:r>
      <w:r>
        <w:t xml:space="preserve"> </w:t>
      </w:r>
      <w:r w:rsidRPr="00F5732F">
        <w:t>člena</w:t>
      </w:r>
      <w:r>
        <w:t xml:space="preserve"> </w:t>
      </w:r>
      <w:r w:rsidRPr="00F5732F">
        <w:t>nebo</w:t>
      </w:r>
      <w:r>
        <w:t xml:space="preserve"> </w:t>
      </w:r>
      <w:r w:rsidRPr="00F5732F">
        <w:t>členů</w:t>
      </w:r>
      <w:r>
        <w:t xml:space="preserve"> </w:t>
      </w:r>
      <w:r w:rsidRPr="00F5732F">
        <w:t>vedení</w:t>
      </w:r>
      <w:r>
        <w:t xml:space="preserve"> </w:t>
      </w:r>
      <w:r w:rsidRPr="00F5732F">
        <w:t>kolektivního</w:t>
      </w:r>
      <w:r>
        <w:t xml:space="preserve"> </w:t>
      </w:r>
      <w:r w:rsidRPr="00F5732F">
        <w:t>správce,</w:t>
      </w:r>
      <w:r>
        <w:t xml:space="preserve"> </w:t>
      </w:r>
      <w:r w:rsidRPr="00F5732F">
        <w:t>sleduje</w:t>
      </w:r>
      <w:r>
        <w:t xml:space="preserve"> </w:t>
      </w:r>
      <w:r w:rsidRPr="00F5732F">
        <w:t>plnění</w:t>
      </w:r>
      <w:r>
        <w:t xml:space="preserve"> </w:t>
      </w:r>
      <w:r w:rsidRPr="00F5732F">
        <w:t>jejich</w:t>
      </w:r>
      <w:r>
        <w:t xml:space="preserve"> </w:t>
      </w:r>
      <w:r w:rsidRPr="00F5732F">
        <w:t>povinností</w:t>
      </w:r>
      <w:r>
        <w:t xml:space="preserve"> </w:t>
      </w:r>
      <w:r w:rsidRPr="00F5732F">
        <w:t>při</w:t>
      </w:r>
      <w:r>
        <w:t xml:space="preserve"> </w:t>
      </w:r>
      <w:r w:rsidRPr="00F5732F">
        <w:t>výkonu</w:t>
      </w:r>
      <w:r>
        <w:t xml:space="preserve"> </w:t>
      </w:r>
      <w:r w:rsidRPr="00F5732F">
        <w:t>funkce</w:t>
      </w:r>
      <w:r>
        <w:t xml:space="preserve"> </w:t>
      </w:r>
      <w:r w:rsidRPr="00F5732F">
        <w:t>a</w:t>
      </w:r>
      <w:r>
        <w:t xml:space="preserve"> </w:t>
      </w:r>
      <w:r w:rsidRPr="00F5732F">
        <w:t>schvaluje</w:t>
      </w:r>
      <w:r>
        <w:t xml:space="preserve"> </w:t>
      </w:r>
      <w:r w:rsidRPr="00F5732F">
        <w:t>jejich</w:t>
      </w:r>
      <w:r>
        <w:t xml:space="preserve"> </w:t>
      </w:r>
      <w:r w:rsidRPr="00F5732F">
        <w:t>odměnu</w:t>
      </w:r>
      <w:r>
        <w:t xml:space="preserve"> </w:t>
      </w:r>
      <w:r w:rsidRPr="00F5732F">
        <w:t>a</w:t>
      </w:r>
      <w:r>
        <w:t xml:space="preserve"> </w:t>
      </w:r>
      <w:r w:rsidRPr="00F5732F">
        <w:t>jiné</w:t>
      </w:r>
      <w:r>
        <w:t xml:space="preserve"> </w:t>
      </w:r>
      <w:r w:rsidRPr="00F5732F">
        <w:t>výhody,</w:t>
      </w:r>
      <w:r>
        <w:t xml:space="preserve"> </w:t>
      </w:r>
      <w:r w:rsidRPr="00F5732F">
        <w:t>jako</w:t>
      </w:r>
      <w:r>
        <w:t xml:space="preserve"> </w:t>
      </w:r>
      <w:r w:rsidRPr="00F5732F">
        <w:t>například</w:t>
      </w:r>
      <w:r>
        <w:t xml:space="preserve"> </w:t>
      </w:r>
      <w:r w:rsidRPr="00F5732F">
        <w:t>peněžní</w:t>
      </w:r>
      <w:r>
        <w:t xml:space="preserve"> </w:t>
      </w:r>
      <w:r w:rsidRPr="00F5732F">
        <w:t>a</w:t>
      </w:r>
      <w:r>
        <w:t xml:space="preserve"> </w:t>
      </w:r>
      <w:r w:rsidRPr="00F5732F">
        <w:t>nepeněžní</w:t>
      </w:r>
      <w:r>
        <w:t xml:space="preserve"> </w:t>
      </w:r>
      <w:r w:rsidRPr="00F5732F">
        <w:t>výhody,</w:t>
      </w:r>
      <w:r>
        <w:t xml:space="preserve"> </w:t>
      </w:r>
      <w:r w:rsidRPr="00F5732F">
        <w:t>práva</w:t>
      </w:r>
      <w:r>
        <w:t xml:space="preserve"> </w:t>
      </w:r>
      <w:r w:rsidRPr="00F5732F">
        <w:t>na</w:t>
      </w:r>
      <w:r>
        <w:t xml:space="preserve"> </w:t>
      </w:r>
      <w:r w:rsidRPr="00F5732F">
        <w:t>další</w:t>
      </w:r>
      <w:r>
        <w:t xml:space="preserve"> </w:t>
      </w:r>
      <w:r w:rsidRPr="00F5732F">
        <w:t>dávky</w:t>
      </w:r>
      <w:r>
        <w:t xml:space="preserve"> </w:t>
      </w:r>
      <w:r w:rsidRPr="00F5732F">
        <w:t>a</w:t>
      </w:r>
      <w:r>
        <w:t xml:space="preserve"> </w:t>
      </w:r>
      <w:r w:rsidRPr="00F5732F">
        <w:t>práva</w:t>
      </w:r>
      <w:r>
        <w:t xml:space="preserve"> </w:t>
      </w:r>
      <w:r w:rsidRPr="00F5732F">
        <w:t>na</w:t>
      </w:r>
      <w:r>
        <w:t xml:space="preserve"> </w:t>
      </w:r>
      <w:r w:rsidRPr="00F5732F">
        <w:t>odstupné.</w:t>
      </w:r>
      <w:r>
        <w:t xml:space="preserve"> </w:t>
      </w:r>
      <w:r w:rsidRPr="00F5732F">
        <w:t>Stanovy</w:t>
      </w:r>
      <w:r>
        <w:t xml:space="preserve"> </w:t>
      </w:r>
      <w:r w:rsidRPr="00F5732F">
        <w:t>mohou</w:t>
      </w:r>
      <w:r>
        <w:t xml:space="preserve"> </w:t>
      </w:r>
      <w:r w:rsidRPr="00F5732F">
        <w:t>určit,</w:t>
      </w:r>
      <w:r>
        <w:t xml:space="preserve"> </w:t>
      </w:r>
      <w:r w:rsidRPr="00F5732F">
        <w:t>že</w:t>
      </w:r>
      <w:r>
        <w:t xml:space="preserve"> </w:t>
      </w:r>
      <w:r w:rsidRPr="00F5732F">
        <w:t>působnost</w:t>
      </w:r>
      <w:r>
        <w:t xml:space="preserve"> </w:t>
      </w:r>
      <w:r w:rsidRPr="00F5732F">
        <w:t>přijímat</w:t>
      </w:r>
      <w:r>
        <w:t xml:space="preserve"> </w:t>
      </w:r>
      <w:r w:rsidRPr="00F5732F">
        <w:t>rozhodnutí</w:t>
      </w:r>
      <w:r>
        <w:t xml:space="preserve"> </w:t>
      </w:r>
      <w:r w:rsidRPr="00F5732F">
        <w:t>týkající</w:t>
      </w:r>
      <w:r>
        <w:t xml:space="preserve"> </w:t>
      </w:r>
      <w:r w:rsidRPr="00F5732F">
        <w:t>se</w:t>
      </w:r>
      <w:r>
        <w:t xml:space="preserve"> </w:t>
      </w:r>
      <w:r w:rsidRPr="00F5732F">
        <w:t>členů</w:t>
      </w:r>
      <w:r>
        <w:t xml:space="preserve"> </w:t>
      </w:r>
      <w:r w:rsidRPr="00F5732F">
        <w:t>vedení</w:t>
      </w:r>
      <w:r>
        <w:t xml:space="preserve"> </w:t>
      </w:r>
      <w:r w:rsidRPr="00F5732F">
        <w:t>kolektivního</w:t>
      </w:r>
      <w:r>
        <w:t xml:space="preserve"> </w:t>
      </w:r>
      <w:r w:rsidRPr="00F5732F">
        <w:t>správce</w:t>
      </w:r>
      <w:r>
        <w:t xml:space="preserve"> </w:t>
      </w:r>
      <w:r w:rsidRPr="00F5732F">
        <w:t>podle</w:t>
      </w:r>
      <w:r>
        <w:t xml:space="preserve"> </w:t>
      </w:r>
      <w:r w:rsidRPr="00F5732F">
        <w:t>§</w:t>
      </w:r>
      <w:r>
        <w:t xml:space="preserve"> </w:t>
      </w:r>
      <w:r w:rsidRPr="00F5732F">
        <w:t>96g</w:t>
      </w:r>
      <w:r>
        <w:t xml:space="preserve"> </w:t>
      </w:r>
      <w:r w:rsidRPr="00F5732F">
        <w:t>odst.</w:t>
      </w:r>
      <w:r>
        <w:t xml:space="preserve"> </w:t>
      </w:r>
      <w:r w:rsidRPr="00F5732F">
        <w:t>1</w:t>
      </w:r>
      <w:r>
        <w:t xml:space="preserve"> </w:t>
      </w:r>
      <w:r w:rsidRPr="00F5732F">
        <w:t>je</w:t>
      </w:r>
      <w:r>
        <w:t xml:space="preserve"> </w:t>
      </w:r>
      <w:r w:rsidRPr="00F5732F">
        <w:t>svěřena</w:t>
      </w:r>
      <w:r>
        <w:t xml:space="preserve"> </w:t>
      </w:r>
      <w:r w:rsidRPr="00F5732F">
        <w:t>do</w:t>
      </w:r>
      <w:r>
        <w:t xml:space="preserve"> </w:t>
      </w:r>
      <w:r w:rsidRPr="00F5732F">
        <w:t>působnosti</w:t>
      </w:r>
      <w:r>
        <w:t xml:space="preserve"> </w:t>
      </w:r>
      <w:r w:rsidRPr="00F5732F">
        <w:t>kontrolní</w:t>
      </w:r>
      <w:r>
        <w:t xml:space="preserve"> </w:t>
      </w:r>
      <w:r w:rsidRPr="00F5732F">
        <w:t>komise.</w:t>
      </w:r>
    </w:p>
    <w:p w14:paraId="48EC6830" w14:textId="77777777" w:rsidR="00B97C7B" w:rsidRDefault="00B97C7B" w:rsidP="00904F98">
      <w:pPr>
        <w:pStyle w:val="Textparagrafu"/>
        <w:tabs>
          <w:tab w:val="left" w:pos="406"/>
          <w:tab w:val="left" w:pos="840"/>
        </w:tabs>
        <w:spacing w:before="120" w:after="120"/>
      </w:pPr>
      <w:r w:rsidRPr="00F5732F">
        <w:t>(4)</w:t>
      </w:r>
      <w:r>
        <w:t xml:space="preserve"> </w:t>
      </w:r>
      <w:r w:rsidRPr="00F5732F">
        <w:t>Nejvyšší</w:t>
      </w:r>
      <w:r>
        <w:t xml:space="preserve"> </w:t>
      </w:r>
      <w:r w:rsidRPr="00F5732F">
        <w:t>orgán</w:t>
      </w:r>
      <w:r>
        <w:t xml:space="preserve"> </w:t>
      </w:r>
      <w:r w:rsidRPr="00F5732F">
        <w:t>dále</w:t>
      </w:r>
      <w:r>
        <w:t xml:space="preserve"> </w:t>
      </w:r>
      <w:r w:rsidRPr="00F5732F">
        <w:t>rozhoduje</w:t>
      </w:r>
      <w:r>
        <w:t xml:space="preserve"> </w:t>
      </w:r>
      <w:r w:rsidRPr="00F5732F">
        <w:t>zejména</w:t>
      </w:r>
      <w:r>
        <w:t xml:space="preserve"> </w:t>
      </w:r>
      <w:r w:rsidRPr="00F5732F">
        <w:t>o</w:t>
      </w:r>
    </w:p>
    <w:p w14:paraId="3065C471" w14:textId="79A7E8A6" w:rsidR="00B97C7B" w:rsidRPr="00F5732F" w:rsidRDefault="00B97C7B" w:rsidP="001657B7">
      <w:pPr>
        <w:pStyle w:val="Textparagrafu"/>
        <w:tabs>
          <w:tab w:val="left" w:pos="406"/>
          <w:tab w:val="left" w:pos="840"/>
        </w:tabs>
        <w:spacing w:before="0"/>
        <w:ind w:firstLine="0"/>
      </w:pPr>
      <w:r w:rsidRPr="00F5732F">
        <w:t>a)</w:t>
      </w:r>
      <w:r w:rsidR="001657B7">
        <w:tab/>
      </w:r>
      <w:r w:rsidRPr="00F5732F">
        <w:t>pravidlech</w:t>
      </w:r>
      <w:r>
        <w:t xml:space="preserve"> </w:t>
      </w:r>
      <w:r w:rsidRPr="00F5732F">
        <w:t>rozdělení</w:t>
      </w:r>
    </w:p>
    <w:p w14:paraId="4B2DF612" w14:textId="0FFABA3B" w:rsidR="00B97C7B" w:rsidRPr="00F5732F" w:rsidRDefault="001657B7" w:rsidP="001657B7">
      <w:pPr>
        <w:pStyle w:val="Textparagrafu"/>
        <w:tabs>
          <w:tab w:val="left" w:pos="406"/>
          <w:tab w:val="left" w:pos="840"/>
        </w:tabs>
        <w:spacing w:before="0"/>
        <w:ind w:left="840" w:hanging="840"/>
      </w:pPr>
      <w:r>
        <w:tab/>
      </w:r>
      <w:r w:rsidR="00B97C7B" w:rsidRPr="00F5732F">
        <w:t>1.</w:t>
      </w:r>
      <w:r>
        <w:tab/>
      </w:r>
      <w:r w:rsidR="00B97C7B" w:rsidRPr="00F5732F">
        <w:t>příjmů</w:t>
      </w:r>
      <w:r w:rsidR="00B97C7B">
        <w:t xml:space="preserve"> </w:t>
      </w:r>
      <w:r w:rsidR="00B97C7B" w:rsidRPr="00F5732F">
        <w:t>vybraných</w:t>
      </w:r>
      <w:r w:rsidR="00B97C7B">
        <w:t xml:space="preserve"> </w:t>
      </w:r>
      <w:r w:rsidR="00B97C7B" w:rsidRPr="00F5732F">
        <w:t>kolektivním</w:t>
      </w:r>
      <w:r w:rsidR="00B97C7B">
        <w:t xml:space="preserve"> </w:t>
      </w:r>
      <w:r w:rsidR="00B97C7B" w:rsidRPr="00F5732F">
        <w:t>správcem</w:t>
      </w:r>
      <w:r w:rsidR="00B97C7B">
        <w:t xml:space="preserve"> </w:t>
      </w:r>
      <w:r w:rsidR="00B97C7B" w:rsidRPr="00F5732F">
        <w:t>pro</w:t>
      </w:r>
      <w:r w:rsidR="00B97C7B">
        <w:t xml:space="preserve"> </w:t>
      </w:r>
      <w:r w:rsidR="00B97C7B" w:rsidRPr="00F5732F">
        <w:t>nositele</w:t>
      </w:r>
      <w:r w:rsidR="00B97C7B">
        <w:t xml:space="preserve"> </w:t>
      </w:r>
      <w:r w:rsidR="00B97C7B" w:rsidRPr="00F5732F">
        <w:t>práv</w:t>
      </w:r>
      <w:r w:rsidR="00B97C7B">
        <w:t xml:space="preserve"> </w:t>
      </w:r>
      <w:r w:rsidR="00B97C7B" w:rsidRPr="00F5732F">
        <w:t>na</w:t>
      </w:r>
      <w:r w:rsidR="00B97C7B">
        <w:t xml:space="preserve"> </w:t>
      </w:r>
      <w:r w:rsidR="00B97C7B" w:rsidRPr="00F5732F">
        <w:t>základě</w:t>
      </w:r>
      <w:r w:rsidR="00B97C7B">
        <w:t xml:space="preserve"> </w:t>
      </w:r>
      <w:r w:rsidR="00B97C7B" w:rsidRPr="00F5732F">
        <w:t>výlučného</w:t>
      </w:r>
      <w:r w:rsidR="00B97C7B">
        <w:t xml:space="preserve"> </w:t>
      </w:r>
      <w:r w:rsidR="00B97C7B" w:rsidRPr="00F5732F">
        <w:t>práva</w:t>
      </w:r>
      <w:r w:rsidR="00B97C7B">
        <w:t xml:space="preserve"> </w:t>
      </w:r>
      <w:r w:rsidR="00B97C7B" w:rsidRPr="00F5732F">
        <w:t>nebo</w:t>
      </w:r>
      <w:r w:rsidR="00B97C7B">
        <w:t xml:space="preserve"> </w:t>
      </w:r>
      <w:r w:rsidR="00B97C7B" w:rsidRPr="00F5732F">
        <w:t>práva</w:t>
      </w:r>
      <w:r w:rsidR="00B97C7B">
        <w:t xml:space="preserve"> </w:t>
      </w:r>
      <w:r w:rsidR="00B97C7B" w:rsidRPr="00F5732F">
        <w:t>na</w:t>
      </w:r>
      <w:r w:rsidR="00B97C7B">
        <w:t xml:space="preserve"> </w:t>
      </w:r>
      <w:r w:rsidR="00B97C7B" w:rsidRPr="00F5732F">
        <w:t>odměnu</w:t>
      </w:r>
      <w:r w:rsidR="00B97C7B">
        <w:t xml:space="preserve"> </w:t>
      </w:r>
      <w:r w:rsidR="00B97C7B" w:rsidRPr="00F5732F">
        <w:t>podle</w:t>
      </w:r>
      <w:r w:rsidR="00B97C7B">
        <w:t xml:space="preserve"> </w:t>
      </w:r>
      <w:r w:rsidR="00B97C7B" w:rsidRPr="00F5732F">
        <w:t>tohoto</w:t>
      </w:r>
      <w:r w:rsidR="00B97C7B">
        <w:t xml:space="preserve"> </w:t>
      </w:r>
      <w:r w:rsidR="00B97C7B" w:rsidRPr="00F5732F">
        <w:t>zákona,</w:t>
      </w:r>
      <w:r w:rsidR="00B97C7B">
        <w:t xml:space="preserve"> </w:t>
      </w:r>
      <w:r w:rsidR="00B97C7B" w:rsidRPr="00F5732F">
        <w:t>včetně</w:t>
      </w:r>
      <w:r w:rsidR="00B97C7B">
        <w:t xml:space="preserve"> </w:t>
      </w:r>
      <w:r w:rsidR="00B97C7B" w:rsidRPr="00F5732F">
        <w:t>příjmů</w:t>
      </w:r>
      <w:r w:rsidR="00B97C7B">
        <w:t xml:space="preserve"> </w:t>
      </w:r>
      <w:r w:rsidR="00B97C7B" w:rsidRPr="00F5732F">
        <w:t>z</w:t>
      </w:r>
      <w:r w:rsidR="00B97C7B">
        <w:t xml:space="preserve"> </w:t>
      </w:r>
      <w:r w:rsidR="00B97C7B" w:rsidRPr="00F5732F">
        <w:t>vydání</w:t>
      </w:r>
      <w:r w:rsidR="00B97C7B">
        <w:t xml:space="preserve"> </w:t>
      </w:r>
      <w:r w:rsidR="00B97C7B" w:rsidRPr="00F5732F">
        <w:t>náhrady</w:t>
      </w:r>
      <w:r w:rsidR="00B97C7B">
        <w:t xml:space="preserve"> </w:t>
      </w:r>
      <w:r w:rsidR="00B97C7B" w:rsidRPr="00F5732F">
        <w:t>škody</w:t>
      </w:r>
      <w:r w:rsidR="00B97C7B">
        <w:t xml:space="preserve"> </w:t>
      </w:r>
      <w:r w:rsidR="00B97C7B" w:rsidRPr="00F5732F">
        <w:t>a</w:t>
      </w:r>
      <w:r w:rsidR="00B97C7B">
        <w:t xml:space="preserve"> </w:t>
      </w:r>
      <w:r w:rsidR="00B97C7B" w:rsidRPr="00F5732F">
        <w:t>bezdůvodného</w:t>
      </w:r>
      <w:r w:rsidR="00B97C7B">
        <w:t xml:space="preserve"> </w:t>
      </w:r>
      <w:r w:rsidR="00B97C7B" w:rsidRPr="00F5732F">
        <w:t>obohacení</w:t>
      </w:r>
      <w:r w:rsidR="00B97C7B">
        <w:t xml:space="preserve"> </w:t>
      </w:r>
      <w:r w:rsidR="00B97C7B" w:rsidRPr="00F5732F">
        <w:t>(dále</w:t>
      </w:r>
      <w:r w:rsidR="00B97C7B">
        <w:t xml:space="preserve"> </w:t>
      </w:r>
      <w:r w:rsidR="00B97C7B" w:rsidRPr="00F5732F">
        <w:t>jen</w:t>
      </w:r>
      <w:r w:rsidR="00B97C7B">
        <w:t xml:space="preserve"> </w:t>
      </w:r>
      <w:r w:rsidR="00B97C7B" w:rsidRPr="00F5732F">
        <w:t>"příjmy</w:t>
      </w:r>
      <w:r w:rsidR="00B97C7B">
        <w:t xml:space="preserve"> </w:t>
      </w:r>
      <w:r w:rsidR="00B97C7B" w:rsidRPr="00F5732F">
        <w:t>z</w:t>
      </w:r>
      <w:r w:rsidR="00B97C7B">
        <w:t xml:space="preserve"> </w:t>
      </w:r>
      <w:r w:rsidR="00B97C7B" w:rsidRPr="00F5732F">
        <w:t>výkonu</w:t>
      </w:r>
      <w:r w:rsidR="00B97C7B">
        <w:t xml:space="preserve"> </w:t>
      </w:r>
      <w:r w:rsidR="00B97C7B" w:rsidRPr="00F5732F">
        <w:t>práv"),</w:t>
      </w:r>
      <w:r w:rsidR="00B97C7B">
        <w:t xml:space="preserve"> </w:t>
      </w:r>
      <w:r w:rsidR="00B97C7B" w:rsidRPr="00F5732F">
        <w:t>a</w:t>
      </w:r>
    </w:p>
    <w:p w14:paraId="3D45F445" w14:textId="4C1A811D" w:rsidR="00B97C7B" w:rsidRDefault="001657B7" w:rsidP="001657B7">
      <w:pPr>
        <w:pStyle w:val="Textparagrafu"/>
        <w:tabs>
          <w:tab w:val="left" w:pos="406"/>
          <w:tab w:val="left" w:pos="840"/>
        </w:tabs>
        <w:spacing w:before="0"/>
        <w:ind w:firstLine="0"/>
      </w:pPr>
      <w:r>
        <w:tab/>
      </w:r>
      <w:r w:rsidR="00B97C7B" w:rsidRPr="00F5732F">
        <w:t>2.</w:t>
      </w:r>
      <w:r>
        <w:tab/>
      </w:r>
      <w:r w:rsidR="00B97C7B" w:rsidRPr="00F5732F">
        <w:t>příjmů</w:t>
      </w:r>
      <w:r w:rsidR="00B97C7B">
        <w:t xml:space="preserve"> </w:t>
      </w:r>
      <w:r w:rsidR="00B97C7B" w:rsidRPr="00F5732F">
        <w:t>z</w:t>
      </w:r>
      <w:r w:rsidR="00B97C7B">
        <w:t xml:space="preserve"> </w:t>
      </w:r>
      <w:r w:rsidR="00B97C7B" w:rsidRPr="00F5732F">
        <w:t>investování</w:t>
      </w:r>
      <w:r w:rsidR="00B97C7B">
        <w:t xml:space="preserve"> </w:t>
      </w:r>
      <w:r w:rsidR="00B97C7B" w:rsidRPr="00F5732F">
        <w:t>příjmů</w:t>
      </w:r>
      <w:r w:rsidR="00B97C7B">
        <w:t xml:space="preserve"> </w:t>
      </w:r>
      <w:r w:rsidR="00B97C7B" w:rsidRPr="00F5732F">
        <w:t>z</w:t>
      </w:r>
      <w:r w:rsidR="00B97C7B">
        <w:t xml:space="preserve"> </w:t>
      </w:r>
      <w:r w:rsidR="00B97C7B" w:rsidRPr="00F5732F">
        <w:t>výkonu</w:t>
      </w:r>
      <w:r w:rsidR="00B97C7B">
        <w:t xml:space="preserve"> </w:t>
      </w:r>
      <w:r w:rsidR="00B97C7B" w:rsidRPr="00F5732F">
        <w:t>práv,</w:t>
      </w:r>
    </w:p>
    <w:p w14:paraId="3FB8CBD7" w14:textId="231EEF06" w:rsidR="00B97C7B" w:rsidRDefault="00B97C7B" w:rsidP="00904F98">
      <w:pPr>
        <w:pStyle w:val="Textparagrafu"/>
        <w:tabs>
          <w:tab w:val="left" w:pos="406"/>
          <w:tab w:val="left" w:pos="840"/>
        </w:tabs>
        <w:spacing w:before="0"/>
        <w:ind w:left="425" w:hanging="425"/>
      </w:pPr>
      <w:r w:rsidRPr="00F5732F">
        <w:t>b)</w:t>
      </w:r>
      <w:r w:rsidR="001657B7">
        <w:tab/>
      </w:r>
      <w:r w:rsidRPr="00F5732F">
        <w:t>pravidlech</w:t>
      </w:r>
      <w:r>
        <w:t xml:space="preserve"> </w:t>
      </w:r>
      <w:r w:rsidRPr="00F5732F">
        <w:t>pro</w:t>
      </w:r>
      <w:r>
        <w:t xml:space="preserve"> </w:t>
      </w:r>
      <w:r w:rsidRPr="00F5732F">
        <w:t>nakládání</w:t>
      </w:r>
      <w:r>
        <w:t xml:space="preserve"> </w:t>
      </w:r>
      <w:r w:rsidRPr="00F5732F">
        <w:t>s</w:t>
      </w:r>
      <w:r>
        <w:t xml:space="preserve"> </w:t>
      </w:r>
      <w:r w:rsidRPr="00F5732F">
        <w:t>příjmy</w:t>
      </w:r>
      <w:r>
        <w:t xml:space="preserve"> </w:t>
      </w:r>
      <w:r w:rsidRPr="00F5732F">
        <w:t>uvedenými</w:t>
      </w:r>
      <w:r>
        <w:t xml:space="preserve"> </w:t>
      </w:r>
      <w:r w:rsidRPr="00F5732F">
        <w:t>v</w:t>
      </w:r>
      <w:r>
        <w:t xml:space="preserve"> </w:t>
      </w:r>
      <w:r w:rsidRPr="00F5732F">
        <w:t>§</w:t>
      </w:r>
      <w:r>
        <w:t xml:space="preserve"> </w:t>
      </w:r>
      <w:r w:rsidRPr="00F5732F">
        <w:t>99c</w:t>
      </w:r>
      <w:r>
        <w:t xml:space="preserve"> </w:t>
      </w:r>
      <w:r w:rsidRPr="00F5732F">
        <w:t>odst.</w:t>
      </w:r>
      <w:r>
        <w:t xml:space="preserve"> </w:t>
      </w:r>
      <w:r w:rsidRPr="00F5732F">
        <w:t>3,</w:t>
      </w:r>
    </w:p>
    <w:p w14:paraId="2F70C99A" w14:textId="2E893AB4" w:rsidR="00B97C7B" w:rsidRDefault="00B97C7B" w:rsidP="00904F98">
      <w:pPr>
        <w:pStyle w:val="Textparagrafu"/>
        <w:tabs>
          <w:tab w:val="left" w:pos="406"/>
          <w:tab w:val="left" w:pos="840"/>
        </w:tabs>
        <w:spacing w:before="0"/>
        <w:ind w:left="425" w:hanging="425"/>
      </w:pPr>
      <w:r w:rsidRPr="00F5732F">
        <w:t>c)</w:t>
      </w:r>
      <w:r w:rsidR="001657B7">
        <w:tab/>
      </w:r>
      <w:r w:rsidRPr="00F5732F">
        <w:t>návrhu</w:t>
      </w:r>
      <w:r>
        <w:t xml:space="preserve"> </w:t>
      </w:r>
      <w:r w:rsidRPr="00F5732F">
        <w:t>investiční</w:t>
      </w:r>
      <w:r>
        <w:t xml:space="preserve"> </w:t>
      </w:r>
      <w:r w:rsidRPr="00F5732F">
        <w:t>strategie,</w:t>
      </w:r>
      <w:r>
        <w:t xml:space="preserve"> </w:t>
      </w:r>
      <w:r w:rsidRPr="00F5732F">
        <w:t>pokud</w:t>
      </w:r>
      <w:r>
        <w:t xml:space="preserve"> </w:t>
      </w:r>
      <w:r w:rsidRPr="00F5732F">
        <w:t>jde</w:t>
      </w:r>
      <w:r>
        <w:t xml:space="preserve"> </w:t>
      </w:r>
      <w:r w:rsidRPr="00F5732F">
        <w:t>o</w:t>
      </w:r>
      <w:r>
        <w:t xml:space="preserve"> </w:t>
      </w:r>
      <w:r w:rsidRPr="00F5732F">
        <w:t>příjmy</w:t>
      </w:r>
      <w:r>
        <w:t xml:space="preserve"> </w:t>
      </w:r>
      <w:r w:rsidRPr="00F5732F">
        <w:t>z</w:t>
      </w:r>
      <w:r>
        <w:t xml:space="preserve"> </w:t>
      </w:r>
      <w:r w:rsidRPr="00F5732F">
        <w:t>výkonu</w:t>
      </w:r>
      <w:r>
        <w:t xml:space="preserve"> </w:t>
      </w:r>
      <w:r w:rsidRPr="00F5732F">
        <w:t>práv</w:t>
      </w:r>
      <w:r>
        <w:t xml:space="preserve"> </w:t>
      </w:r>
      <w:r w:rsidRPr="00F5732F">
        <w:t>a</w:t>
      </w:r>
      <w:r>
        <w:t xml:space="preserve"> </w:t>
      </w:r>
      <w:r w:rsidRPr="00F5732F">
        <w:t>o</w:t>
      </w:r>
      <w:r>
        <w:t xml:space="preserve"> </w:t>
      </w:r>
      <w:r w:rsidRPr="00F5732F">
        <w:t>veškeré</w:t>
      </w:r>
      <w:r>
        <w:t xml:space="preserve"> </w:t>
      </w:r>
      <w:r w:rsidRPr="00F5732F">
        <w:t>příjmy</w:t>
      </w:r>
      <w:r>
        <w:t xml:space="preserve"> </w:t>
      </w:r>
      <w:r w:rsidRPr="00F5732F">
        <w:t>z</w:t>
      </w:r>
      <w:r>
        <w:t xml:space="preserve"> </w:t>
      </w:r>
      <w:r w:rsidRPr="00F5732F">
        <w:t>investování</w:t>
      </w:r>
      <w:r>
        <w:t xml:space="preserve"> </w:t>
      </w:r>
      <w:r w:rsidRPr="00F5732F">
        <w:t>příjmů</w:t>
      </w:r>
      <w:r>
        <w:t xml:space="preserve"> </w:t>
      </w:r>
      <w:r w:rsidRPr="00F5732F">
        <w:t>z</w:t>
      </w:r>
      <w:r>
        <w:t xml:space="preserve"> </w:t>
      </w:r>
      <w:r w:rsidRPr="00F5732F">
        <w:t>výkonu</w:t>
      </w:r>
      <w:r>
        <w:t xml:space="preserve"> </w:t>
      </w:r>
      <w:r w:rsidRPr="00F5732F">
        <w:t>práv,</w:t>
      </w:r>
    </w:p>
    <w:p w14:paraId="14F2F243" w14:textId="01645AA0" w:rsidR="00B97C7B" w:rsidRDefault="00B97C7B" w:rsidP="00904F98">
      <w:pPr>
        <w:pStyle w:val="Textparagrafu"/>
        <w:tabs>
          <w:tab w:val="left" w:pos="406"/>
          <w:tab w:val="left" w:pos="840"/>
        </w:tabs>
        <w:spacing w:before="0"/>
        <w:ind w:left="425" w:hanging="425"/>
      </w:pPr>
      <w:r w:rsidRPr="00F5732F">
        <w:t>d)</w:t>
      </w:r>
      <w:r w:rsidR="001657B7">
        <w:tab/>
      </w:r>
      <w:r w:rsidRPr="00F5732F">
        <w:t>strategii</w:t>
      </w:r>
      <w:r>
        <w:t xml:space="preserve"> </w:t>
      </w:r>
      <w:r w:rsidRPr="00F5732F">
        <w:t>týkající</w:t>
      </w:r>
      <w:r>
        <w:t xml:space="preserve"> </w:t>
      </w:r>
      <w:r w:rsidRPr="00F5732F">
        <w:t>se</w:t>
      </w:r>
      <w:r>
        <w:t xml:space="preserve"> </w:t>
      </w:r>
      <w:r w:rsidRPr="00F5732F">
        <w:t>srážek</w:t>
      </w:r>
      <w:r>
        <w:t xml:space="preserve"> </w:t>
      </w:r>
      <w:r w:rsidRPr="00F5732F">
        <w:t>z</w:t>
      </w:r>
      <w:r>
        <w:t xml:space="preserve"> </w:t>
      </w:r>
      <w:r w:rsidRPr="00F5732F">
        <w:t>příjmů</w:t>
      </w:r>
      <w:r>
        <w:t xml:space="preserve"> </w:t>
      </w:r>
      <w:r w:rsidRPr="00F5732F">
        <w:t>z</w:t>
      </w:r>
      <w:r>
        <w:t xml:space="preserve"> </w:t>
      </w:r>
      <w:r w:rsidRPr="00F5732F">
        <w:t>výkonu</w:t>
      </w:r>
      <w:r>
        <w:t xml:space="preserve"> </w:t>
      </w:r>
      <w:r w:rsidRPr="00F5732F">
        <w:t>práv</w:t>
      </w:r>
      <w:r>
        <w:t xml:space="preserve"> </w:t>
      </w:r>
      <w:r w:rsidRPr="00F5732F">
        <w:t>a</w:t>
      </w:r>
      <w:r>
        <w:t xml:space="preserve"> </w:t>
      </w:r>
      <w:r w:rsidRPr="00F5732F">
        <w:t>z</w:t>
      </w:r>
      <w:r>
        <w:t xml:space="preserve"> </w:t>
      </w:r>
      <w:r w:rsidRPr="00F5732F">
        <w:t>příjmů</w:t>
      </w:r>
      <w:r>
        <w:t xml:space="preserve"> </w:t>
      </w:r>
      <w:r w:rsidRPr="00F5732F">
        <w:t>z</w:t>
      </w:r>
      <w:r>
        <w:t xml:space="preserve"> </w:t>
      </w:r>
      <w:r w:rsidRPr="00F5732F">
        <w:t>investování</w:t>
      </w:r>
      <w:r>
        <w:t xml:space="preserve"> </w:t>
      </w:r>
      <w:r w:rsidRPr="00F5732F">
        <w:t>příjmů</w:t>
      </w:r>
      <w:r>
        <w:t xml:space="preserve"> </w:t>
      </w:r>
      <w:r w:rsidRPr="00F5732F">
        <w:t>z</w:t>
      </w:r>
      <w:r>
        <w:t xml:space="preserve"> </w:t>
      </w:r>
      <w:r w:rsidRPr="00F5732F">
        <w:t>výkonu</w:t>
      </w:r>
      <w:r>
        <w:t xml:space="preserve"> </w:t>
      </w:r>
      <w:r w:rsidRPr="00F5732F">
        <w:t>práv,</w:t>
      </w:r>
    </w:p>
    <w:p w14:paraId="4744BB99" w14:textId="3FC88CF1" w:rsidR="00B97C7B" w:rsidRDefault="00B97C7B" w:rsidP="00904F98">
      <w:pPr>
        <w:pStyle w:val="Textparagrafu"/>
        <w:tabs>
          <w:tab w:val="left" w:pos="406"/>
          <w:tab w:val="left" w:pos="840"/>
        </w:tabs>
        <w:spacing w:before="0"/>
        <w:ind w:left="425" w:hanging="425"/>
      </w:pPr>
      <w:r w:rsidRPr="00F5732F">
        <w:t>e)</w:t>
      </w:r>
      <w:r w:rsidR="001657B7">
        <w:tab/>
      </w:r>
      <w:r w:rsidRPr="00F5732F">
        <w:t>použití</w:t>
      </w:r>
      <w:r>
        <w:t xml:space="preserve"> </w:t>
      </w:r>
      <w:r w:rsidRPr="00F5732F">
        <w:t>příjmů</w:t>
      </w:r>
      <w:r>
        <w:t xml:space="preserve"> </w:t>
      </w:r>
      <w:r w:rsidRPr="00F5732F">
        <w:t>uvedených</w:t>
      </w:r>
      <w:r>
        <w:t xml:space="preserve"> </w:t>
      </w:r>
      <w:r w:rsidRPr="00F5732F">
        <w:t>v</w:t>
      </w:r>
      <w:r>
        <w:t xml:space="preserve"> </w:t>
      </w:r>
      <w:r w:rsidRPr="00F5732F">
        <w:t>§</w:t>
      </w:r>
      <w:r>
        <w:t xml:space="preserve"> </w:t>
      </w:r>
      <w:r w:rsidRPr="00F5732F">
        <w:t>99c</w:t>
      </w:r>
      <w:r>
        <w:t xml:space="preserve"> </w:t>
      </w:r>
      <w:r w:rsidRPr="00F5732F">
        <w:t>odst.</w:t>
      </w:r>
      <w:r>
        <w:t xml:space="preserve"> </w:t>
      </w:r>
      <w:r w:rsidRPr="00F5732F">
        <w:t>7,</w:t>
      </w:r>
    </w:p>
    <w:p w14:paraId="32DDAC75" w14:textId="5A1A9A2F" w:rsidR="00B97C7B" w:rsidRDefault="00B97C7B" w:rsidP="00904F98">
      <w:pPr>
        <w:pStyle w:val="Textparagrafu"/>
        <w:tabs>
          <w:tab w:val="left" w:pos="406"/>
          <w:tab w:val="left" w:pos="840"/>
        </w:tabs>
        <w:spacing w:before="0"/>
        <w:ind w:left="425" w:hanging="425"/>
      </w:pPr>
      <w:r w:rsidRPr="00F5732F">
        <w:t>f)</w:t>
      </w:r>
      <w:r w:rsidR="001657B7">
        <w:tab/>
      </w:r>
      <w:r w:rsidRPr="00F5732F">
        <w:t>postupech</w:t>
      </w:r>
      <w:r>
        <w:t xml:space="preserve"> </w:t>
      </w:r>
      <w:r w:rsidRPr="00F5732F">
        <w:t>pro</w:t>
      </w:r>
      <w:r>
        <w:t xml:space="preserve"> </w:t>
      </w:r>
      <w:r w:rsidRPr="00F5732F">
        <w:t>rozvrh</w:t>
      </w:r>
      <w:r>
        <w:t xml:space="preserve"> </w:t>
      </w:r>
      <w:r w:rsidRPr="00F5732F">
        <w:t>investičních</w:t>
      </w:r>
      <w:r>
        <w:t xml:space="preserve"> </w:t>
      </w:r>
      <w:r w:rsidRPr="00F5732F">
        <w:t>rizik,</w:t>
      </w:r>
    </w:p>
    <w:p w14:paraId="7D2DD01A" w14:textId="2CD6CC31" w:rsidR="00B97C7B" w:rsidRDefault="00B97C7B" w:rsidP="00904F98">
      <w:pPr>
        <w:pStyle w:val="Textparagrafu"/>
        <w:tabs>
          <w:tab w:val="left" w:pos="406"/>
          <w:tab w:val="left" w:pos="840"/>
        </w:tabs>
        <w:spacing w:before="0"/>
        <w:ind w:left="425" w:hanging="425"/>
      </w:pPr>
      <w:r w:rsidRPr="00F5732F">
        <w:t>g)</w:t>
      </w:r>
      <w:r w:rsidR="001657B7">
        <w:tab/>
      </w:r>
      <w:r w:rsidRPr="00F5732F">
        <w:t>schvalování</w:t>
      </w:r>
      <w:r>
        <w:t xml:space="preserve"> </w:t>
      </w:r>
      <w:r w:rsidRPr="00F5732F">
        <w:t>každého</w:t>
      </w:r>
      <w:r>
        <w:t xml:space="preserve"> </w:t>
      </w:r>
      <w:r w:rsidRPr="00F5732F">
        <w:t>nabytí,</w:t>
      </w:r>
      <w:r>
        <w:t xml:space="preserve"> </w:t>
      </w:r>
      <w:r w:rsidRPr="00F5732F">
        <w:t>převodu</w:t>
      </w:r>
      <w:r>
        <w:t xml:space="preserve"> </w:t>
      </w:r>
      <w:r w:rsidRPr="00F5732F">
        <w:t>nebo</w:t>
      </w:r>
      <w:r>
        <w:t xml:space="preserve"> </w:t>
      </w:r>
      <w:r w:rsidRPr="00F5732F">
        <w:t>zastavení</w:t>
      </w:r>
      <w:r>
        <w:t xml:space="preserve"> </w:t>
      </w:r>
      <w:r w:rsidRPr="00F5732F">
        <w:t>nemovitého</w:t>
      </w:r>
      <w:r>
        <w:t xml:space="preserve"> </w:t>
      </w:r>
      <w:r w:rsidRPr="00F5732F">
        <w:t>majetku,</w:t>
      </w:r>
    </w:p>
    <w:p w14:paraId="61958036" w14:textId="6B6B5C1F" w:rsidR="00B97C7B" w:rsidRDefault="00B97C7B" w:rsidP="00904F98">
      <w:pPr>
        <w:pStyle w:val="Textparagrafu"/>
        <w:tabs>
          <w:tab w:val="left" w:pos="406"/>
          <w:tab w:val="left" w:pos="840"/>
        </w:tabs>
        <w:spacing w:before="0"/>
        <w:ind w:left="425" w:hanging="425"/>
      </w:pPr>
      <w:r w:rsidRPr="00F5732F">
        <w:t>h)</w:t>
      </w:r>
      <w:r w:rsidR="001657B7">
        <w:tab/>
      </w:r>
      <w:r w:rsidRPr="00F5732F">
        <w:t>schvalování</w:t>
      </w:r>
      <w:r>
        <w:t xml:space="preserve"> </w:t>
      </w:r>
      <w:r w:rsidRPr="00F5732F">
        <w:t>fúze,</w:t>
      </w:r>
      <w:r>
        <w:t xml:space="preserve"> </w:t>
      </w:r>
      <w:r w:rsidRPr="00F5732F">
        <w:t>zakládání</w:t>
      </w:r>
      <w:r>
        <w:t xml:space="preserve"> </w:t>
      </w:r>
      <w:r w:rsidRPr="00F5732F">
        <w:t>osoby,</w:t>
      </w:r>
      <w:r>
        <w:t xml:space="preserve"> </w:t>
      </w:r>
      <w:r w:rsidRPr="00F5732F">
        <w:t>ve</w:t>
      </w:r>
      <w:r>
        <w:t xml:space="preserve"> </w:t>
      </w:r>
      <w:r w:rsidRPr="00F5732F">
        <w:t>které</w:t>
      </w:r>
      <w:r>
        <w:t xml:space="preserve"> </w:t>
      </w:r>
      <w:r w:rsidRPr="00F5732F">
        <w:t>má</w:t>
      </w:r>
      <w:r>
        <w:t xml:space="preserve"> </w:t>
      </w:r>
      <w:r w:rsidRPr="00F5732F">
        <w:t>kolektivní</w:t>
      </w:r>
      <w:r>
        <w:t xml:space="preserve"> </w:t>
      </w:r>
      <w:r w:rsidRPr="00F5732F">
        <w:t>správce</w:t>
      </w:r>
      <w:r>
        <w:t xml:space="preserve"> </w:t>
      </w:r>
      <w:r w:rsidRPr="00F5732F">
        <w:t>většinovou</w:t>
      </w:r>
      <w:r>
        <w:t xml:space="preserve"> </w:t>
      </w:r>
      <w:r w:rsidRPr="00F5732F">
        <w:t>majetkovou</w:t>
      </w:r>
      <w:r>
        <w:t xml:space="preserve"> </w:t>
      </w:r>
      <w:r w:rsidRPr="00F5732F">
        <w:t>účast</w:t>
      </w:r>
      <w:r>
        <w:t xml:space="preserve"> </w:t>
      </w:r>
      <w:r w:rsidRPr="00F5732F">
        <w:t>nebo</w:t>
      </w:r>
      <w:r>
        <w:t xml:space="preserve"> </w:t>
      </w:r>
      <w:r w:rsidRPr="00F5732F">
        <w:t>ji</w:t>
      </w:r>
      <w:r>
        <w:t xml:space="preserve"> </w:t>
      </w:r>
      <w:r w:rsidRPr="00F5732F">
        <w:t>přímo</w:t>
      </w:r>
      <w:r>
        <w:t xml:space="preserve"> </w:t>
      </w:r>
      <w:r w:rsidRPr="00F5732F">
        <w:t>nebo</w:t>
      </w:r>
      <w:r>
        <w:t xml:space="preserve"> </w:t>
      </w:r>
      <w:r w:rsidRPr="00F5732F">
        <w:t>nepřímo,</w:t>
      </w:r>
      <w:r>
        <w:t xml:space="preserve"> </w:t>
      </w:r>
      <w:r w:rsidRPr="00F5732F">
        <w:t>v</w:t>
      </w:r>
      <w:r>
        <w:t xml:space="preserve"> </w:t>
      </w:r>
      <w:r w:rsidRPr="00F5732F">
        <w:t>celém</w:t>
      </w:r>
      <w:r>
        <w:t xml:space="preserve"> </w:t>
      </w:r>
      <w:r w:rsidRPr="00F5732F">
        <w:t>rozsahu</w:t>
      </w:r>
      <w:r>
        <w:t xml:space="preserve"> </w:t>
      </w:r>
      <w:r w:rsidRPr="00F5732F">
        <w:t>nebo</w:t>
      </w:r>
      <w:r>
        <w:t xml:space="preserve"> </w:t>
      </w:r>
      <w:r w:rsidRPr="00F5732F">
        <w:t>zčásti</w:t>
      </w:r>
      <w:r>
        <w:t xml:space="preserve"> </w:t>
      </w:r>
      <w:r w:rsidRPr="00F5732F">
        <w:t>ovládá,</w:t>
      </w:r>
      <w:r>
        <w:t xml:space="preserve"> </w:t>
      </w:r>
      <w:r w:rsidRPr="00F5732F">
        <w:t>zakládání</w:t>
      </w:r>
      <w:r>
        <w:t xml:space="preserve"> </w:t>
      </w:r>
      <w:r w:rsidRPr="00F5732F">
        <w:t>jiného</w:t>
      </w:r>
      <w:r>
        <w:t xml:space="preserve"> </w:t>
      </w:r>
      <w:r w:rsidRPr="00F5732F">
        <w:t>subjektu</w:t>
      </w:r>
      <w:r>
        <w:t xml:space="preserve"> </w:t>
      </w:r>
      <w:r w:rsidRPr="00F5732F">
        <w:t>a</w:t>
      </w:r>
      <w:r>
        <w:t xml:space="preserve"> </w:t>
      </w:r>
      <w:r w:rsidRPr="00F5732F">
        <w:t>nabývání</w:t>
      </w:r>
      <w:r>
        <w:t xml:space="preserve"> </w:t>
      </w:r>
      <w:r w:rsidRPr="00F5732F">
        <w:t>podílů</w:t>
      </w:r>
      <w:r>
        <w:t xml:space="preserve"> </w:t>
      </w:r>
      <w:r w:rsidRPr="00F5732F">
        <w:t>nebo</w:t>
      </w:r>
      <w:r>
        <w:t xml:space="preserve"> </w:t>
      </w:r>
      <w:r w:rsidRPr="00F5732F">
        <w:t>práv</w:t>
      </w:r>
      <w:r>
        <w:t xml:space="preserve"> </w:t>
      </w:r>
      <w:r w:rsidRPr="00F5732F">
        <w:t>v</w:t>
      </w:r>
      <w:r>
        <w:t xml:space="preserve"> </w:t>
      </w:r>
      <w:r w:rsidRPr="00F5732F">
        <w:t>jiných</w:t>
      </w:r>
      <w:r>
        <w:t xml:space="preserve"> </w:t>
      </w:r>
      <w:r w:rsidRPr="00F5732F">
        <w:t>subjektech,</w:t>
      </w:r>
    </w:p>
    <w:p w14:paraId="3F6480BE" w14:textId="559D2498" w:rsidR="00B97C7B" w:rsidRDefault="00B97C7B" w:rsidP="00904F98">
      <w:pPr>
        <w:pStyle w:val="Textparagrafu"/>
        <w:tabs>
          <w:tab w:val="left" w:pos="406"/>
          <w:tab w:val="left" w:pos="840"/>
        </w:tabs>
        <w:spacing w:before="0"/>
        <w:ind w:left="425" w:hanging="425"/>
      </w:pPr>
      <w:r w:rsidRPr="00F5732F">
        <w:t>i)</w:t>
      </w:r>
      <w:r w:rsidR="001657B7">
        <w:tab/>
      </w:r>
      <w:r w:rsidRPr="00F5732F">
        <w:t>schvalování</w:t>
      </w:r>
      <w:r>
        <w:t xml:space="preserve"> </w:t>
      </w:r>
      <w:r w:rsidRPr="00F5732F">
        <w:t>návrhů</w:t>
      </w:r>
      <w:r>
        <w:t xml:space="preserve"> </w:t>
      </w:r>
      <w:r w:rsidRPr="00F5732F">
        <w:t>na</w:t>
      </w:r>
      <w:r>
        <w:t xml:space="preserve"> </w:t>
      </w:r>
      <w:r w:rsidRPr="00F5732F">
        <w:t>přijetí</w:t>
      </w:r>
      <w:r>
        <w:t xml:space="preserve"> </w:t>
      </w:r>
      <w:r w:rsidRPr="00F5732F">
        <w:t>nebo</w:t>
      </w:r>
      <w:r>
        <w:t xml:space="preserve"> </w:t>
      </w:r>
      <w:r w:rsidRPr="00F5732F">
        <w:t>poskytnutí</w:t>
      </w:r>
      <w:r>
        <w:t xml:space="preserve"> </w:t>
      </w:r>
      <w:r w:rsidRPr="00F5732F">
        <w:t>úvěru</w:t>
      </w:r>
      <w:r>
        <w:t xml:space="preserve"> </w:t>
      </w:r>
      <w:r w:rsidRPr="00F5732F">
        <w:t>nebo</w:t>
      </w:r>
      <w:r>
        <w:t xml:space="preserve"> </w:t>
      </w:r>
      <w:r w:rsidRPr="00F5732F">
        <w:t>zápůjčky</w:t>
      </w:r>
      <w:r>
        <w:t xml:space="preserve"> </w:t>
      </w:r>
      <w:r w:rsidRPr="00F5732F">
        <w:t>anebo</w:t>
      </w:r>
      <w:r>
        <w:t xml:space="preserve"> </w:t>
      </w:r>
      <w:r w:rsidRPr="00F5732F">
        <w:t>na</w:t>
      </w:r>
      <w:r>
        <w:t xml:space="preserve"> </w:t>
      </w:r>
      <w:r w:rsidRPr="00F5732F">
        <w:t>poskytnutí</w:t>
      </w:r>
      <w:r>
        <w:t xml:space="preserve"> </w:t>
      </w:r>
      <w:r w:rsidRPr="00F5732F">
        <w:t>záruky</w:t>
      </w:r>
      <w:r>
        <w:t xml:space="preserve"> </w:t>
      </w:r>
      <w:r w:rsidRPr="00F5732F">
        <w:t>za</w:t>
      </w:r>
      <w:r>
        <w:t xml:space="preserve"> </w:t>
      </w:r>
      <w:r w:rsidRPr="00F5732F">
        <w:t>úvěr</w:t>
      </w:r>
      <w:r>
        <w:t xml:space="preserve"> </w:t>
      </w:r>
      <w:r w:rsidRPr="00F5732F">
        <w:t>nebo</w:t>
      </w:r>
      <w:r>
        <w:t xml:space="preserve"> </w:t>
      </w:r>
      <w:r w:rsidRPr="00F5732F">
        <w:t>zápůjčku.</w:t>
      </w:r>
    </w:p>
    <w:p w14:paraId="0DABCCCC" w14:textId="57B0EDA6" w:rsidR="00B97C7B" w:rsidRDefault="00B97C7B" w:rsidP="00904F98">
      <w:pPr>
        <w:pStyle w:val="Textparagrafu"/>
        <w:tabs>
          <w:tab w:val="left" w:pos="406"/>
          <w:tab w:val="left" w:pos="840"/>
        </w:tabs>
        <w:spacing w:before="120" w:after="120"/>
      </w:pPr>
      <w:r w:rsidRPr="00F5732F">
        <w:lastRenderedPageBreak/>
        <w:t>(5)</w:t>
      </w:r>
      <w:r>
        <w:t xml:space="preserve"> </w:t>
      </w:r>
      <w:r w:rsidRPr="00F5732F">
        <w:t>Nejvyšší</w:t>
      </w:r>
      <w:r>
        <w:t xml:space="preserve"> </w:t>
      </w:r>
      <w:r w:rsidRPr="00F5732F">
        <w:t>orgán</w:t>
      </w:r>
      <w:r>
        <w:t xml:space="preserve"> </w:t>
      </w:r>
      <w:r w:rsidRPr="001657B7">
        <w:rPr>
          <w:strike/>
        </w:rPr>
        <w:t>určuje a odvolává auditora podle zákona o auditorech</w:t>
      </w:r>
      <w:r w:rsidRPr="001657B7">
        <w:rPr>
          <w:rStyle w:val="Znakapoznpodarou"/>
          <w:strike/>
        </w:rPr>
        <w:footnoteReference w:customMarkFollows="1" w:id="306"/>
        <w:t>17)</w:t>
      </w:r>
      <w:r w:rsidRPr="001657B7">
        <w:rPr>
          <w:strike/>
        </w:rPr>
        <w:t xml:space="preserve"> a </w:t>
      </w:r>
      <w:proofErr w:type="gramStart"/>
      <w:r w:rsidRPr="001657B7">
        <w:rPr>
          <w:strike/>
        </w:rPr>
        <w:t>schvaluje</w:t>
      </w:r>
      <w:proofErr w:type="gramEnd"/>
      <w:r w:rsidRPr="001657B7">
        <w:rPr>
          <w:strike/>
        </w:rPr>
        <w:t xml:space="preserve"> výroční zprávu</w:t>
      </w:r>
      <w:r w:rsidR="001657B7" w:rsidRPr="001657B7">
        <w:rPr>
          <w:b/>
        </w:rPr>
        <w:t xml:space="preserve"> </w:t>
      </w:r>
      <w:proofErr w:type="gramStart"/>
      <w:r w:rsidR="001657B7">
        <w:rPr>
          <w:b/>
        </w:rPr>
        <w:t>schvaluje</w:t>
      </w:r>
      <w:proofErr w:type="gramEnd"/>
      <w:r w:rsidR="001657B7">
        <w:rPr>
          <w:b/>
        </w:rPr>
        <w:t xml:space="preserve"> </w:t>
      </w:r>
      <w:r w:rsidR="001657B7" w:rsidRPr="00033190">
        <w:rPr>
          <w:b/>
        </w:rPr>
        <w:t>řádnou individuální účetní závěrku a individuální zprávu vedení</w:t>
      </w:r>
      <w:r w:rsidRPr="00F5732F">
        <w:t>.</w:t>
      </w:r>
    </w:p>
    <w:p w14:paraId="12DC646F" w14:textId="77777777" w:rsidR="00B97C7B" w:rsidRDefault="00B97C7B" w:rsidP="00904F98">
      <w:pPr>
        <w:pStyle w:val="Textparagrafu"/>
        <w:tabs>
          <w:tab w:val="left" w:pos="406"/>
          <w:tab w:val="left" w:pos="840"/>
        </w:tabs>
        <w:spacing w:before="120" w:after="120"/>
      </w:pPr>
      <w:r w:rsidRPr="00F5732F">
        <w:t>(6)</w:t>
      </w:r>
      <w:r>
        <w:t xml:space="preserve"> </w:t>
      </w:r>
      <w:r w:rsidRPr="00F5732F">
        <w:t>Nejvyšší</w:t>
      </w:r>
      <w:r>
        <w:t xml:space="preserve"> </w:t>
      </w:r>
      <w:r w:rsidRPr="00F5732F">
        <w:t>orgán</w:t>
      </w:r>
      <w:r>
        <w:t xml:space="preserve"> </w:t>
      </w:r>
      <w:r w:rsidRPr="00F5732F">
        <w:t>může</w:t>
      </w:r>
      <w:r>
        <w:t xml:space="preserve"> </w:t>
      </w:r>
      <w:r w:rsidRPr="00F5732F">
        <w:t>svým</w:t>
      </w:r>
      <w:r>
        <w:t xml:space="preserve"> </w:t>
      </w:r>
      <w:r w:rsidRPr="00F5732F">
        <w:t>rozhodnutím</w:t>
      </w:r>
      <w:r>
        <w:t xml:space="preserve"> </w:t>
      </w:r>
      <w:r w:rsidRPr="00F5732F">
        <w:t>nebo</w:t>
      </w:r>
      <w:r>
        <w:t xml:space="preserve"> </w:t>
      </w:r>
      <w:r w:rsidRPr="00F5732F">
        <w:t>změnou</w:t>
      </w:r>
      <w:r>
        <w:t xml:space="preserve"> </w:t>
      </w:r>
      <w:r w:rsidRPr="00F5732F">
        <w:t>stanov</w:t>
      </w:r>
      <w:r>
        <w:t xml:space="preserve"> </w:t>
      </w:r>
      <w:r w:rsidRPr="00F5732F">
        <w:t>svěřit</w:t>
      </w:r>
      <w:r>
        <w:t xml:space="preserve"> </w:t>
      </w:r>
      <w:r w:rsidRPr="00F5732F">
        <w:t>do</w:t>
      </w:r>
      <w:r>
        <w:t xml:space="preserve"> </w:t>
      </w:r>
      <w:r w:rsidRPr="00F5732F">
        <w:t>působnosti</w:t>
      </w:r>
      <w:r>
        <w:t xml:space="preserve"> </w:t>
      </w:r>
      <w:r w:rsidRPr="00F5732F">
        <w:t>kontrolní</w:t>
      </w:r>
      <w:r>
        <w:t xml:space="preserve"> </w:t>
      </w:r>
      <w:r w:rsidRPr="00F5732F">
        <w:t>komise</w:t>
      </w:r>
      <w:r>
        <w:t xml:space="preserve"> </w:t>
      </w:r>
      <w:r w:rsidRPr="00F5732F">
        <w:t>rozhodování</w:t>
      </w:r>
      <w:r>
        <w:t xml:space="preserve"> </w:t>
      </w:r>
      <w:r w:rsidRPr="00F5732F">
        <w:t>podle</w:t>
      </w:r>
      <w:r>
        <w:t xml:space="preserve"> </w:t>
      </w:r>
      <w:r w:rsidRPr="00F5732F">
        <w:t>odstavce</w:t>
      </w:r>
      <w:r>
        <w:t xml:space="preserve"> </w:t>
      </w:r>
      <w:r w:rsidRPr="00F5732F">
        <w:t>4</w:t>
      </w:r>
      <w:r>
        <w:t xml:space="preserve"> </w:t>
      </w:r>
      <w:r w:rsidRPr="00F5732F">
        <w:t>písm.</w:t>
      </w:r>
      <w:r>
        <w:t xml:space="preserve"> </w:t>
      </w:r>
      <w:r w:rsidRPr="00F5732F">
        <w:t>f)</w:t>
      </w:r>
      <w:r>
        <w:t xml:space="preserve"> </w:t>
      </w:r>
      <w:r w:rsidRPr="00F5732F">
        <w:t>až</w:t>
      </w:r>
      <w:r>
        <w:t xml:space="preserve"> </w:t>
      </w:r>
      <w:r w:rsidRPr="00F5732F">
        <w:t>i).</w:t>
      </w:r>
    </w:p>
    <w:p w14:paraId="2C05C440" w14:textId="77777777" w:rsidR="00B97C7B" w:rsidRDefault="00B97C7B" w:rsidP="00904F98">
      <w:pPr>
        <w:pStyle w:val="Textparagrafu"/>
        <w:tabs>
          <w:tab w:val="left" w:pos="406"/>
          <w:tab w:val="left" w:pos="840"/>
        </w:tabs>
        <w:spacing w:before="120" w:after="120"/>
      </w:pPr>
      <w:r w:rsidRPr="00F5732F">
        <w:t>(7)</w:t>
      </w:r>
      <w:r>
        <w:t xml:space="preserve"> </w:t>
      </w:r>
      <w:r w:rsidRPr="00F5732F">
        <w:t>Stanovy</w:t>
      </w:r>
      <w:r>
        <w:t xml:space="preserve"> </w:t>
      </w:r>
      <w:r w:rsidRPr="00F5732F">
        <w:t>mohou</w:t>
      </w:r>
      <w:r>
        <w:t xml:space="preserve"> </w:t>
      </w:r>
      <w:r w:rsidRPr="00F5732F">
        <w:t>omezit</w:t>
      </w:r>
      <w:r>
        <w:t xml:space="preserve"> </w:t>
      </w:r>
      <w:r w:rsidRPr="00F5732F">
        <w:t>práva</w:t>
      </w:r>
      <w:r>
        <w:t xml:space="preserve"> </w:t>
      </w:r>
      <w:r w:rsidRPr="00F5732F">
        <w:t>členů</w:t>
      </w:r>
      <w:r>
        <w:t xml:space="preserve"> </w:t>
      </w:r>
      <w:r w:rsidRPr="00F5732F">
        <w:t>kolektivního</w:t>
      </w:r>
      <w:r>
        <w:t xml:space="preserve"> </w:t>
      </w:r>
      <w:r w:rsidRPr="00F5732F">
        <w:t>správce</w:t>
      </w:r>
      <w:r>
        <w:t xml:space="preserve"> </w:t>
      </w:r>
      <w:r w:rsidRPr="00F5732F">
        <w:t>na</w:t>
      </w:r>
      <w:r>
        <w:t xml:space="preserve"> </w:t>
      </w:r>
      <w:r w:rsidRPr="00F5732F">
        <w:t>účast</w:t>
      </w:r>
      <w:r>
        <w:t xml:space="preserve"> </w:t>
      </w:r>
      <w:r w:rsidRPr="00F5732F">
        <w:t>a</w:t>
      </w:r>
      <w:r>
        <w:t xml:space="preserve"> </w:t>
      </w:r>
      <w:r w:rsidRPr="00F5732F">
        <w:t>výkon</w:t>
      </w:r>
      <w:r>
        <w:t xml:space="preserve"> </w:t>
      </w:r>
      <w:r w:rsidRPr="00F5732F">
        <w:t>hlasovacích</w:t>
      </w:r>
      <w:r>
        <w:t xml:space="preserve"> </w:t>
      </w:r>
      <w:r w:rsidRPr="00F5732F">
        <w:t>práv</w:t>
      </w:r>
      <w:r>
        <w:t xml:space="preserve"> </w:t>
      </w:r>
      <w:r w:rsidRPr="00F5732F">
        <w:t>na</w:t>
      </w:r>
      <w:r>
        <w:t xml:space="preserve"> </w:t>
      </w:r>
      <w:r w:rsidRPr="00F5732F">
        <w:t>zasedání</w:t>
      </w:r>
      <w:r>
        <w:t xml:space="preserve"> </w:t>
      </w:r>
      <w:r w:rsidRPr="00F5732F">
        <w:t>nejvyššího</w:t>
      </w:r>
      <w:r>
        <w:t xml:space="preserve"> </w:t>
      </w:r>
      <w:r w:rsidRPr="00F5732F">
        <w:t>orgánu</w:t>
      </w:r>
      <w:r>
        <w:t xml:space="preserve"> </w:t>
      </w:r>
      <w:r w:rsidRPr="00F5732F">
        <w:t>na</w:t>
      </w:r>
      <w:r>
        <w:t xml:space="preserve"> </w:t>
      </w:r>
      <w:r w:rsidRPr="00F5732F">
        <w:t>základě</w:t>
      </w:r>
      <w:r>
        <w:t xml:space="preserve"> </w:t>
      </w:r>
      <w:r w:rsidRPr="00F5732F">
        <w:t>doby</w:t>
      </w:r>
      <w:r>
        <w:t xml:space="preserve"> </w:t>
      </w:r>
      <w:r w:rsidRPr="00F5732F">
        <w:t>trvání</w:t>
      </w:r>
      <w:r>
        <w:t xml:space="preserve"> </w:t>
      </w:r>
      <w:r w:rsidRPr="00F5732F">
        <w:t>členství</w:t>
      </w:r>
      <w:r>
        <w:t xml:space="preserve"> </w:t>
      </w:r>
      <w:r w:rsidRPr="00F5732F">
        <w:t>nebo</w:t>
      </w:r>
      <w:r>
        <w:t xml:space="preserve"> </w:t>
      </w:r>
      <w:r w:rsidRPr="00F5732F">
        <w:t>objemu</w:t>
      </w:r>
      <w:r>
        <w:t xml:space="preserve"> </w:t>
      </w:r>
      <w:r w:rsidRPr="00F5732F">
        <w:t>odměn</w:t>
      </w:r>
      <w:r>
        <w:t xml:space="preserve"> </w:t>
      </w:r>
      <w:r w:rsidRPr="00F5732F">
        <w:t>za</w:t>
      </w:r>
      <w:r>
        <w:t xml:space="preserve"> </w:t>
      </w:r>
      <w:r w:rsidRPr="00F5732F">
        <w:t>určité</w:t>
      </w:r>
      <w:r>
        <w:t xml:space="preserve"> </w:t>
      </w:r>
      <w:r w:rsidRPr="00F5732F">
        <w:t>účetní</w:t>
      </w:r>
      <w:r>
        <w:t xml:space="preserve"> </w:t>
      </w:r>
      <w:r w:rsidRPr="00F5732F">
        <w:t>období,</w:t>
      </w:r>
      <w:r>
        <w:t xml:space="preserve"> </w:t>
      </w:r>
      <w:r w:rsidRPr="00F5732F">
        <w:t>které</w:t>
      </w:r>
      <w:r>
        <w:t xml:space="preserve"> </w:t>
      </w:r>
      <w:r w:rsidRPr="00F5732F">
        <w:t>členovi</w:t>
      </w:r>
      <w:r>
        <w:t xml:space="preserve"> </w:t>
      </w:r>
      <w:r w:rsidRPr="00F5732F">
        <w:t>byly</w:t>
      </w:r>
      <w:r>
        <w:t xml:space="preserve"> </w:t>
      </w:r>
      <w:r w:rsidRPr="00F5732F">
        <w:t>vyplaceny</w:t>
      </w:r>
      <w:r>
        <w:t xml:space="preserve"> </w:t>
      </w:r>
      <w:r w:rsidRPr="00F5732F">
        <w:t>nebo</w:t>
      </w:r>
      <w:r>
        <w:t xml:space="preserve"> </w:t>
      </w:r>
      <w:r w:rsidRPr="00F5732F">
        <w:t>vyúčtovány,</w:t>
      </w:r>
      <w:r>
        <w:t xml:space="preserve"> </w:t>
      </w:r>
      <w:r w:rsidRPr="00F5732F">
        <w:t>za</w:t>
      </w:r>
      <w:r>
        <w:t xml:space="preserve"> </w:t>
      </w:r>
      <w:r w:rsidRPr="00F5732F">
        <w:t>předpokladu,</w:t>
      </w:r>
      <w:r>
        <w:t xml:space="preserve"> </w:t>
      </w:r>
      <w:r w:rsidRPr="00F5732F">
        <w:t>že</w:t>
      </w:r>
      <w:r>
        <w:t xml:space="preserve"> </w:t>
      </w:r>
      <w:r w:rsidRPr="00F5732F">
        <w:t>tato</w:t>
      </w:r>
      <w:r>
        <w:t xml:space="preserve"> </w:t>
      </w:r>
      <w:r w:rsidRPr="00F5732F">
        <w:t>kritéria</w:t>
      </w:r>
      <w:r>
        <w:t xml:space="preserve"> </w:t>
      </w:r>
      <w:r w:rsidRPr="00F5732F">
        <w:t>budou</w:t>
      </w:r>
      <w:r>
        <w:t xml:space="preserve"> </w:t>
      </w:r>
      <w:r w:rsidRPr="00F5732F">
        <w:t>určena</w:t>
      </w:r>
      <w:r>
        <w:t xml:space="preserve"> </w:t>
      </w:r>
      <w:r w:rsidRPr="00F5732F">
        <w:t>a</w:t>
      </w:r>
      <w:r>
        <w:t xml:space="preserve"> </w:t>
      </w:r>
      <w:r w:rsidRPr="00F5732F">
        <w:t>uplatňována</w:t>
      </w:r>
      <w:r>
        <w:t xml:space="preserve"> </w:t>
      </w:r>
      <w:r w:rsidRPr="00F5732F">
        <w:t>spravedlivým</w:t>
      </w:r>
      <w:r>
        <w:t xml:space="preserve"> </w:t>
      </w:r>
      <w:r w:rsidRPr="00F5732F">
        <w:t>a</w:t>
      </w:r>
      <w:r>
        <w:t xml:space="preserve"> </w:t>
      </w:r>
      <w:r w:rsidRPr="00F5732F">
        <w:t>přiměřeným</w:t>
      </w:r>
      <w:r>
        <w:t xml:space="preserve"> </w:t>
      </w:r>
      <w:r w:rsidRPr="00F5732F">
        <w:t>způsobem.</w:t>
      </w:r>
    </w:p>
    <w:p w14:paraId="7446A17D" w14:textId="77777777" w:rsidR="00B97C7B" w:rsidRPr="00F5732F" w:rsidRDefault="00B97C7B" w:rsidP="00904F98">
      <w:pPr>
        <w:pStyle w:val="Textparagrafu"/>
        <w:tabs>
          <w:tab w:val="left" w:pos="406"/>
          <w:tab w:val="left" w:pos="840"/>
        </w:tabs>
        <w:spacing w:before="120" w:after="120"/>
      </w:pPr>
      <w:r w:rsidRPr="00F5732F">
        <w:t>(8)</w:t>
      </w:r>
      <w:r>
        <w:t xml:space="preserve"> </w:t>
      </w:r>
      <w:r w:rsidRPr="00F5732F">
        <w:t>Stanovy</w:t>
      </w:r>
      <w:r>
        <w:t xml:space="preserve"> </w:t>
      </w:r>
      <w:r w:rsidRPr="00F5732F">
        <w:t>mohou</w:t>
      </w:r>
      <w:r>
        <w:t xml:space="preserve"> </w:t>
      </w:r>
      <w:r w:rsidRPr="00F5732F">
        <w:t>omezit</w:t>
      </w:r>
      <w:r>
        <w:t xml:space="preserve"> </w:t>
      </w:r>
      <w:r w:rsidRPr="00F5732F">
        <w:t>počet</w:t>
      </w:r>
      <w:r>
        <w:t xml:space="preserve"> </w:t>
      </w:r>
      <w:r w:rsidRPr="00F5732F">
        <w:t>členů,</w:t>
      </w:r>
      <w:r>
        <w:t xml:space="preserve"> </w:t>
      </w:r>
      <w:r w:rsidRPr="00F5732F">
        <w:t>které</w:t>
      </w:r>
      <w:r>
        <w:t xml:space="preserve"> </w:t>
      </w:r>
      <w:r w:rsidRPr="00F5732F">
        <w:t>může</w:t>
      </w:r>
      <w:r>
        <w:t xml:space="preserve"> </w:t>
      </w:r>
      <w:r w:rsidRPr="00F5732F">
        <w:t>na</w:t>
      </w:r>
      <w:r>
        <w:t xml:space="preserve"> </w:t>
      </w:r>
      <w:r w:rsidRPr="00F5732F">
        <w:t>základě</w:t>
      </w:r>
      <w:r>
        <w:t xml:space="preserve"> </w:t>
      </w:r>
      <w:r w:rsidRPr="00F5732F">
        <w:t>zmocnění</w:t>
      </w:r>
      <w:r>
        <w:t xml:space="preserve"> </w:t>
      </w:r>
      <w:r w:rsidRPr="00F5732F">
        <w:t>na</w:t>
      </w:r>
      <w:r>
        <w:t xml:space="preserve"> </w:t>
      </w:r>
      <w:r w:rsidRPr="00F5732F">
        <w:t>zasedání</w:t>
      </w:r>
      <w:r>
        <w:t xml:space="preserve"> </w:t>
      </w:r>
      <w:r w:rsidRPr="00F5732F">
        <w:t>nejvyššího</w:t>
      </w:r>
      <w:r>
        <w:t xml:space="preserve"> </w:t>
      </w:r>
      <w:r w:rsidRPr="00F5732F">
        <w:t>orgánu</w:t>
      </w:r>
      <w:r>
        <w:t xml:space="preserve"> </w:t>
      </w:r>
      <w:r w:rsidRPr="00F5732F">
        <w:t>a</w:t>
      </w:r>
      <w:r>
        <w:t xml:space="preserve"> </w:t>
      </w:r>
      <w:r w:rsidRPr="00F5732F">
        <w:t>při</w:t>
      </w:r>
      <w:r>
        <w:t xml:space="preserve"> </w:t>
      </w:r>
      <w:r w:rsidRPr="00F5732F">
        <w:t>hlasování</w:t>
      </w:r>
      <w:r>
        <w:t xml:space="preserve"> </w:t>
      </w:r>
      <w:r w:rsidRPr="00F5732F">
        <w:t>na</w:t>
      </w:r>
      <w:r>
        <w:t xml:space="preserve"> </w:t>
      </w:r>
      <w:r w:rsidRPr="00F5732F">
        <w:t>něm</w:t>
      </w:r>
      <w:r>
        <w:t xml:space="preserve"> </w:t>
      </w:r>
      <w:r w:rsidRPr="00F5732F">
        <w:t>zastupovat</w:t>
      </w:r>
      <w:r>
        <w:t xml:space="preserve"> </w:t>
      </w:r>
      <w:r w:rsidRPr="00F5732F">
        <w:t>jedna</w:t>
      </w:r>
      <w:r>
        <w:t xml:space="preserve"> </w:t>
      </w:r>
      <w:r w:rsidRPr="00F5732F">
        <w:t>osoba.</w:t>
      </w:r>
      <w:r>
        <w:t xml:space="preserve"> </w:t>
      </w:r>
      <w:r w:rsidRPr="00F5732F">
        <w:t>Každé</w:t>
      </w:r>
      <w:r>
        <w:t xml:space="preserve"> </w:t>
      </w:r>
      <w:r w:rsidRPr="00F5732F">
        <w:t>zmocnění</w:t>
      </w:r>
      <w:r>
        <w:t xml:space="preserve"> </w:t>
      </w:r>
      <w:r w:rsidRPr="00F5732F">
        <w:t>platí</w:t>
      </w:r>
      <w:r>
        <w:t xml:space="preserve"> </w:t>
      </w:r>
      <w:r w:rsidRPr="00F5732F">
        <w:t>pro</w:t>
      </w:r>
      <w:r>
        <w:t xml:space="preserve"> </w:t>
      </w:r>
      <w:r w:rsidRPr="00F5732F">
        <w:t>jedno</w:t>
      </w:r>
      <w:r>
        <w:t xml:space="preserve"> </w:t>
      </w:r>
      <w:r w:rsidRPr="00F5732F">
        <w:t>zasedání</w:t>
      </w:r>
      <w:r>
        <w:t xml:space="preserve"> </w:t>
      </w:r>
      <w:r w:rsidRPr="00F5732F">
        <w:t>nejvyššího</w:t>
      </w:r>
      <w:r>
        <w:t xml:space="preserve"> </w:t>
      </w:r>
      <w:r w:rsidRPr="00F5732F">
        <w:t>orgánu</w:t>
      </w:r>
    </w:p>
    <w:p w14:paraId="37B697B7" w14:textId="7C6A878B" w:rsidR="00704C9A" w:rsidRDefault="00704C9A" w:rsidP="00E90B00">
      <w:pPr>
        <w:pStyle w:val="Textparagrafu"/>
        <w:tabs>
          <w:tab w:val="left" w:pos="406"/>
          <w:tab w:val="left" w:pos="840"/>
          <w:tab w:val="left" w:pos="868"/>
        </w:tabs>
        <w:spacing w:after="120"/>
        <w:ind w:firstLine="0"/>
        <w:jc w:val="center"/>
      </w:pPr>
      <w:r>
        <w:t>***</w:t>
      </w:r>
    </w:p>
    <w:p w14:paraId="76ED5536" w14:textId="0FE39963" w:rsidR="00704C9A" w:rsidRPr="001657B7" w:rsidRDefault="00704C9A" w:rsidP="003776AE">
      <w:pPr>
        <w:pStyle w:val="Textparagrafu"/>
        <w:spacing w:after="120"/>
        <w:ind w:firstLine="0"/>
        <w:jc w:val="center"/>
        <w:rPr>
          <w:strike/>
        </w:rPr>
      </w:pPr>
      <w:r w:rsidRPr="001657B7">
        <w:rPr>
          <w:strike/>
        </w:rPr>
        <w:t>§ 99g</w:t>
      </w:r>
    </w:p>
    <w:p w14:paraId="09EAE976" w14:textId="77777777" w:rsidR="00704C9A" w:rsidRPr="001657B7" w:rsidRDefault="00704C9A" w:rsidP="003776AE">
      <w:pPr>
        <w:pStyle w:val="Textparagrafu"/>
        <w:spacing w:after="120"/>
        <w:ind w:firstLine="0"/>
        <w:jc w:val="center"/>
        <w:rPr>
          <w:b/>
          <w:strike/>
        </w:rPr>
      </w:pPr>
      <w:r w:rsidRPr="001657B7">
        <w:rPr>
          <w:b/>
          <w:strike/>
        </w:rPr>
        <w:t>Výroční zpráva</w:t>
      </w:r>
    </w:p>
    <w:p w14:paraId="140B1CA0" w14:textId="53970989" w:rsidR="00704C9A" w:rsidRPr="001657B7" w:rsidRDefault="00704C9A" w:rsidP="00904F98">
      <w:pPr>
        <w:pStyle w:val="Textparagrafu"/>
        <w:spacing w:before="120" w:after="120"/>
        <w:rPr>
          <w:strike/>
        </w:rPr>
      </w:pPr>
      <w:r w:rsidRPr="001657B7">
        <w:rPr>
          <w:strike/>
        </w:rPr>
        <w:t xml:space="preserve">(1) Kolektivní správce je povinen vyhotovit do 30. června každého roku za předchozí kalendářní rok výroční zprávu podle zákona o </w:t>
      </w:r>
      <w:r w:rsidR="003776AE" w:rsidRPr="001657B7">
        <w:rPr>
          <w:strike/>
        </w:rPr>
        <w:t>účetnictví</w:t>
      </w:r>
      <w:r w:rsidR="003776AE" w:rsidRPr="001657B7">
        <w:rPr>
          <w:rStyle w:val="Znakapoznpodarou"/>
          <w:strike/>
        </w:rPr>
        <w:footnoteReference w:customMarkFollows="1" w:id="307"/>
        <w:t>22)</w:t>
      </w:r>
      <w:r w:rsidRPr="001657B7">
        <w:rPr>
          <w:strike/>
        </w:rPr>
        <w:t>.</w:t>
      </w:r>
    </w:p>
    <w:p w14:paraId="0955E7EA" w14:textId="77777777" w:rsidR="00704C9A" w:rsidRPr="001657B7" w:rsidRDefault="00704C9A" w:rsidP="00904F98">
      <w:pPr>
        <w:pStyle w:val="Textparagrafu"/>
        <w:spacing w:before="120" w:after="120"/>
        <w:rPr>
          <w:strike/>
        </w:rPr>
      </w:pPr>
      <w:r w:rsidRPr="001657B7">
        <w:rPr>
          <w:strike/>
        </w:rPr>
        <w:t>(2) Výroční zpráva musí dále obsahovat informace uvedené v příloze č. 3 k tomuto zákonu.</w:t>
      </w:r>
    </w:p>
    <w:p w14:paraId="3FAEC1EB" w14:textId="2D268AF7" w:rsidR="00704C9A" w:rsidRPr="001657B7" w:rsidRDefault="00704C9A" w:rsidP="00904F98">
      <w:pPr>
        <w:pStyle w:val="Textparagrafu"/>
        <w:spacing w:before="120" w:after="120"/>
        <w:rPr>
          <w:strike/>
        </w:rPr>
      </w:pPr>
      <w:r w:rsidRPr="001657B7">
        <w:rPr>
          <w:strike/>
        </w:rPr>
        <w:t xml:space="preserve">(3) Kolektivní správce je povinen mít účetní závěrku a výroční zprávu ověřenu auditorem podle zákona o </w:t>
      </w:r>
      <w:r w:rsidR="003776AE" w:rsidRPr="001657B7">
        <w:rPr>
          <w:strike/>
        </w:rPr>
        <w:t>auditorech</w:t>
      </w:r>
      <w:r w:rsidR="008C7B4D" w:rsidRPr="001657B7">
        <w:rPr>
          <w:strike/>
          <w:vertAlign w:val="superscript"/>
        </w:rPr>
        <w:t>17)</w:t>
      </w:r>
      <w:r w:rsidRPr="001657B7">
        <w:rPr>
          <w:strike/>
        </w:rPr>
        <w:t>.</w:t>
      </w:r>
    </w:p>
    <w:p w14:paraId="2E5219E8" w14:textId="4F6676F3" w:rsidR="00704C9A" w:rsidRDefault="00704C9A" w:rsidP="00904F98">
      <w:pPr>
        <w:pStyle w:val="Textparagrafu"/>
        <w:spacing w:before="120" w:after="120"/>
        <w:rPr>
          <w:strike/>
        </w:rPr>
      </w:pPr>
      <w:r w:rsidRPr="001657B7">
        <w:rPr>
          <w:strike/>
        </w:rPr>
        <w:t>(4) Kolektivní správce je povinen výroční zprávu bez zbytečného odkladu po jejím ověření a schválení nejvyšším orgánem, nejpozději do 31. srpna daného roku, uveřejnit na svých internetových stránkách a ponechat ji tam po dobu 5 let.</w:t>
      </w:r>
    </w:p>
    <w:p w14:paraId="54ECF00F" w14:textId="77777777" w:rsidR="001657B7" w:rsidRPr="00033190" w:rsidRDefault="001657B7" w:rsidP="001657B7">
      <w:pPr>
        <w:pStyle w:val="Paragraf"/>
        <w:rPr>
          <w:b/>
        </w:rPr>
      </w:pPr>
      <w:r w:rsidRPr="00033190">
        <w:rPr>
          <w:b/>
        </w:rPr>
        <w:t>§ 99g</w:t>
      </w:r>
    </w:p>
    <w:p w14:paraId="20C24804" w14:textId="77777777" w:rsidR="001657B7" w:rsidRPr="00033190" w:rsidRDefault="001657B7" w:rsidP="001657B7">
      <w:pPr>
        <w:pStyle w:val="Paragraf"/>
        <w:rPr>
          <w:b/>
        </w:rPr>
      </w:pPr>
      <w:r w:rsidRPr="00033190">
        <w:rPr>
          <w:b/>
        </w:rPr>
        <w:t>Účetnictví a povinný audit</w:t>
      </w:r>
    </w:p>
    <w:p w14:paraId="58518FC1" w14:textId="77777777" w:rsidR="001657B7" w:rsidRPr="001657B7" w:rsidRDefault="001657B7" w:rsidP="00904F98">
      <w:pPr>
        <w:pStyle w:val="Textparagrafu"/>
        <w:spacing w:before="120" w:after="120"/>
        <w:rPr>
          <w:b/>
        </w:rPr>
      </w:pPr>
      <w:r w:rsidRPr="001657B7">
        <w:rPr>
          <w:b/>
        </w:rPr>
        <w:t>(1) Individuálním účetním obdobím kolektivního správce je kalendářní rok.</w:t>
      </w:r>
    </w:p>
    <w:p w14:paraId="4C04B1D5" w14:textId="77777777" w:rsidR="001657B7" w:rsidRPr="001657B7" w:rsidRDefault="001657B7" w:rsidP="00904F98">
      <w:pPr>
        <w:pStyle w:val="Textparagrafu"/>
        <w:spacing w:before="120" w:after="120"/>
        <w:rPr>
          <w:b/>
        </w:rPr>
      </w:pPr>
      <w:r w:rsidRPr="001657B7">
        <w:rPr>
          <w:b/>
        </w:rPr>
        <w:t>(2) Řádnou individuální účetní závěrku kolektivního správce tvoří také výkaz peněžních toků.</w:t>
      </w:r>
    </w:p>
    <w:p w14:paraId="6B272699" w14:textId="77777777" w:rsidR="001657B7" w:rsidRPr="001657B7" w:rsidRDefault="001657B7" w:rsidP="00904F98">
      <w:pPr>
        <w:pStyle w:val="Textparagrafu"/>
        <w:spacing w:before="120" w:after="120"/>
        <w:rPr>
          <w:b/>
        </w:rPr>
      </w:pPr>
      <w:r w:rsidRPr="001657B7">
        <w:rPr>
          <w:b/>
        </w:rPr>
        <w:t xml:space="preserve">(3) Kolektivní správce vyhotovuje individuální zprávu vedení, která obsahuje také informace uvedené v příloze č. 3 k tomuto zákonu. </w:t>
      </w:r>
    </w:p>
    <w:p w14:paraId="58009CD6" w14:textId="77777777" w:rsidR="001657B7" w:rsidRPr="001657B7" w:rsidRDefault="001657B7" w:rsidP="00904F98">
      <w:pPr>
        <w:pStyle w:val="Textparagrafu"/>
        <w:spacing w:before="120" w:after="120"/>
        <w:rPr>
          <w:b/>
        </w:rPr>
      </w:pPr>
      <w:r w:rsidRPr="001657B7">
        <w:rPr>
          <w:b/>
        </w:rPr>
        <w:t>(4) Kolektivní správce sestavuje řádnou individuální účetní závěrku a vyhotovuje individuální zprávu vedení do 30. června bezprostředně následujícího individuálního účetního období a předloží je ke schválení nejvyššímu orgánu.</w:t>
      </w:r>
    </w:p>
    <w:p w14:paraId="2A8DB541" w14:textId="77777777" w:rsidR="001657B7" w:rsidRPr="001657B7" w:rsidRDefault="001657B7" w:rsidP="00904F98">
      <w:pPr>
        <w:pStyle w:val="Textparagrafu"/>
        <w:spacing w:before="120" w:after="120"/>
        <w:rPr>
          <w:b/>
        </w:rPr>
      </w:pPr>
      <w:r w:rsidRPr="001657B7">
        <w:rPr>
          <w:b/>
        </w:rPr>
        <w:t>(5) Kolektivní správce má povinnost auditu účetní závěrky.</w:t>
      </w:r>
    </w:p>
    <w:p w14:paraId="28EE317A" w14:textId="183834E6" w:rsidR="001657B7" w:rsidRPr="001657B7" w:rsidRDefault="001657B7" w:rsidP="00904F98">
      <w:pPr>
        <w:pStyle w:val="Textparagrafu"/>
        <w:spacing w:before="120" w:after="120"/>
        <w:rPr>
          <w:b/>
        </w:rPr>
      </w:pPr>
      <w:r w:rsidRPr="001657B7">
        <w:rPr>
          <w:b/>
        </w:rPr>
        <w:lastRenderedPageBreak/>
        <w:t>(6) Kolektivní správce bez zbytečného odkladu, nejpozději však do 31. srpna bezprostředně následujícího individuálního účetního období, uveřejní schválenou řádnou individuální účetní závěrku a individuální zprávu vedení na svých internetových stránkách po dobu alespoň 5 let.</w:t>
      </w:r>
    </w:p>
    <w:p w14:paraId="1DDEE685" w14:textId="4465794A" w:rsidR="00704C9A" w:rsidRDefault="00704C9A" w:rsidP="00E90B00">
      <w:pPr>
        <w:pStyle w:val="Textparagrafu"/>
        <w:tabs>
          <w:tab w:val="left" w:pos="406"/>
          <w:tab w:val="left" w:pos="840"/>
          <w:tab w:val="left" w:pos="868"/>
        </w:tabs>
        <w:spacing w:after="120"/>
        <w:ind w:firstLine="0"/>
        <w:jc w:val="center"/>
      </w:pPr>
      <w:r>
        <w:t>***</w:t>
      </w:r>
    </w:p>
    <w:p w14:paraId="5D6DD4D1" w14:textId="1806A4EE" w:rsidR="00704C9A" w:rsidRDefault="00704C9A" w:rsidP="003776AE">
      <w:pPr>
        <w:pStyle w:val="Textparagrafu"/>
        <w:spacing w:after="120"/>
        <w:ind w:firstLine="0"/>
        <w:jc w:val="center"/>
      </w:pPr>
      <w:r w:rsidRPr="00A24EB4">
        <w:t>§</w:t>
      </w:r>
      <w:r>
        <w:t xml:space="preserve"> </w:t>
      </w:r>
      <w:r w:rsidRPr="00A24EB4">
        <w:t>105ba</w:t>
      </w:r>
    </w:p>
    <w:p w14:paraId="598A2B45" w14:textId="77777777" w:rsidR="00704C9A" w:rsidRPr="003776AE" w:rsidRDefault="00704C9A" w:rsidP="003776AE">
      <w:pPr>
        <w:pStyle w:val="Textparagrafu"/>
        <w:spacing w:after="120"/>
        <w:ind w:firstLine="0"/>
        <w:jc w:val="center"/>
        <w:rPr>
          <w:b/>
        </w:rPr>
      </w:pPr>
      <w:r w:rsidRPr="003776AE">
        <w:rPr>
          <w:b/>
        </w:rPr>
        <w:t>Přestupky kolektivních správců</w:t>
      </w:r>
    </w:p>
    <w:p w14:paraId="24AACBA3" w14:textId="77777777" w:rsidR="00704C9A" w:rsidRDefault="00704C9A" w:rsidP="00904F98">
      <w:pPr>
        <w:pStyle w:val="Textparagrafu"/>
        <w:spacing w:before="120" w:after="120"/>
      </w:pPr>
      <w:r w:rsidRPr="00A24EB4">
        <w:t>(1)</w:t>
      </w:r>
      <w:r>
        <w:t xml:space="preserve"> </w:t>
      </w:r>
      <w:r w:rsidRPr="00A24EB4">
        <w:t>Kolektivní</w:t>
      </w:r>
      <w:r>
        <w:t xml:space="preserve"> </w:t>
      </w:r>
      <w:r w:rsidRPr="00A24EB4">
        <w:t>správce</w:t>
      </w:r>
      <w:r>
        <w:t xml:space="preserve"> </w:t>
      </w:r>
      <w:r w:rsidRPr="00A24EB4">
        <w:t>se</w:t>
      </w:r>
      <w:r>
        <w:t xml:space="preserve"> </w:t>
      </w:r>
      <w:r w:rsidRPr="00A24EB4">
        <w:t>dopustí</w:t>
      </w:r>
      <w:r>
        <w:t xml:space="preserve"> </w:t>
      </w:r>
      <w:r w:rsidRPr="00A24EB4">
        <w:t>přestupku</w:t>
      </w:r>
      <w:r>
        <w:t xml:space="preserve"> </w:t>
      </w:r>
      <w:r w:rsidRPr="00A24EB4">
        <w:t>tím,</w:t>
      </w:r>
      <w:r>
        <w:t xml:space="preserve"> </w:t>
      </w:r>
      <w:r w:rsidRPr="00A24EB4">
        <w:t>že</w:t>
      </w:r>
    </w:p>
    <w:p w14:paraId="4752F053" w14:textId="5CFC090A" w:rsidR="00704C9A" w:rsidRDefault="00704C9A" w:rsidP="00850A92">
      <w:pPr>
        <w:pStyle w:val="Textparagrafu"/>
        <w:tabs>
          <w:tab w:val="left" w:pos="392"/>
        </w:tabs>
        <w:spacing w:before="0"/>
        <w:ind w:left="426" w:hanging="426"/>
      </w:pPr>
      <w:r w:rsidRPr="00A24EB4">
        <w:t>a)</w:t>
      </w:r>
      <w:r w:rsidR="003776AE">
        <w:tab/>
      </w:r>
      <w:r w:rsidRPr="00A24EB4">
        <w:t>nesplní</w:t>
      </w:r>
      <w:r>
        <w:t xml:space="preserve"> </w:t>
      </w:r>
      <w:r w:rsidRPr="00A24EB4">
        <w:t>některou</w:t>
      </w:r>
      <w:r>
        <w:t xml:space="preserve"> </w:t>
      </w:r>
      <w:r w:rsidRPr="00A24EB4">
        <w:t>z</w:t>
      </w:r>
      <w:r>
        <w:t xml:space="preserve"> </w:t>
      </w:r>
      <w:r w:rsidRPr="00A24EB4">
        <w:t>povinností</w:t>
      </w:r>
      <w:r>
        <w:t xml:space="preserve"> </w:t>
      </w:r>
      <w:r w:rsidRPr="00A24EB4">
        <w:t>vůči</w:t>
      </w:r>
      <w:r>
        <w:t xml:space="preserve"> </w:t>
      </w:r>
      <w:r w:rsidRPr="00A24EB4">
        <w:t>nositelům</w:t>
      </w:r>
      <w:r>
        <w:t xml:space="preserve"> </w:t>
      </w:r>
      <w:r w:rsidRPr="00A24EB4">
        <w:t>práv</w:t>
      </w:r>
      <w:r>
        <w:t xml:space="preserve"> </w:t>
      </w:r>
      <w:r w:rsidRPr="00A24EB4">
        <w:t>podle</w:t>
      </w:r>
      <w:r>
        <w:t xml:space="preserve"> </w:t>
      </w:r>
      <w:r w:rsidRPr="00A24EB4">
        <w:t>§</w:t>
      </w:r>
      <w:r>
        <w:t xml:space="preserve"> </w:t>
      </w:r>
      <w:r w:rsidRPr="00A24EB4">
        <w:t>97a,</w:t>
      </w:r>
    </w:p>
    <w:p w14:paraId="53DA7E43" w14:textId="2FC0308C" w:rsidR="00704C9A" w:rsidRDefault="00704C9A" w:rsidP="00850A92">
      <w:pPr>
        <w:pStyle w:val="Textparagrafu"/>
        <w:tabs>
          <w:tab w:val="left" w:pos="392"/>
        </w:tabs>
        <w:spacing w:before="0"/>
        <w:ind w:left="426" w:hanging="426"/>
      </w:pPr>
      <w:r w:rsidRPr="00A24EB4">
        <w:t>b)</w:t>
      </w:r>
      <w:r w:rsidR="003776AE">
        <w:tab/>
      </w:r>
      <w:r w:rsidRPr="00A24EB4">
        <w:t>nesplní</w:t>
      </w:r>
      <w:r>
        <w:t xml:space="preserve"> </w:t>
      </w:r>
      <w:r w:rsidRPr="00A24EB4">
        <w:t>informační</w:t>
      </w:r>
      <w:r>
        <w:t xml:space="preserve"> </w:t>
      </w:r>
      <w:r w:rsidRPr="00A24EB4">
        <w:t>povinnost</w:t>
      </w:r>
      <w:r>
        <w:t xml:space="preserve"> </w:t>
      </w:r>
      <w:r w:rsidRPr="00A24EB4">
        <w:t>podle</w:t>
      </w:r>
      <w:r>
        <w:t xml:space="preserve"> </w:t>
      </w:r>
      <w:r w:rsidRPr="00A24EB4">
        <w:t>§</w:t>
      </w:r>
      <w:r>
        <w:t xml:space="preserve"> </w:t>
      </w:r>
      <w:r w:rsidRPr="00A24EB4">
        <w:t>97b,</w:t>
      </w:r>
      <w:r>
        <w:t xml:space="preserve"> </w:t>
      </w:r>
      <w:r w:rsidRPr="00A24EB4">
        <w:t>99f,</w:t>
      </w:r>
      <w:r>
        <w:t xml:space="preserve"> </w:t>
      </w:r>
      <w:r w:rsidRPr="00A24EB4">
        <w:t>99h,</w:t>
      </w:r>
      <w:r>
        <w:t xml:space="preserve"> </w:t>
      </w:r>
      <w:r w:rsidRPr="00A24EB4">
        <w:t>99i,</w:t>
      </w:r>
      <w:r>
        <w:t xml:space="preserve"> </w:t>
      </w:r>
      <w:r w:rsidRPr="00A24EB4">
        <w:t>99j</w:t>
      </w:r>
      <w:r>
        <w:t xml:space="preserve"> </w:t>
      </w:r>
      <w:r w:rsidRPr="00A24EB4">
        <w:t>nebo</w:t>
      </w:r>
      <w:r>
        <w:t xml:space="preserve"> </w:t>
      </w:r>
      <w:r w:rsidRPr="00A24EB4">
        <w:t>§</w:t>
      </w:r>
      <w:r>
        <w:t xml:space="preserve"> </w:t>
      </w:r>
      <w:r w:rsidRPr="00A24EB4">
        <w:t>100d,</w:t>
      </w:r>
    </w:p>
    <w:p w14:paraId="002AAF94" w14:textId="52F297B8" w:rsidR="00704C9A" w:rsidRDefault="00704C9A" w:rsidP="00850A92">
      <w:pPr>
        <w:pStyle w:val="Textparagrafu"/>
        <w:tabs>
          <w:tab w:val="left" w:pos="392"/>
        </w:tabs>
        <w:spacing w:before="0"/>
        <w:ind w:left="426" w:hanging="426"/>
      </w:pPr>
      <w:r w:rsidRPr="00A24EB4">
        <w:t>c)</w:t>
      </w:r>
      <w:r w:rsidR="003776AE">
        <w:tab/>
      </w:r>
      <w:r w:rsidRPr="00A24EB4">
        <w:t>nepověří</w:t>
      </w:r>
      <w:r>
        <w:t xml:space="preserve"> </w:t>
      </w:r>
      <w:r w:rsidRPr="00A24EB4">
        <w:t>společného</w:t>
      </w:r>
      <w:r>
        <w:t xml:space="preserve"> </w:t>
      </w:r>
      <w:r w:rsidRPr="00A24EB4">
        <w:t>zástupce</w:t>
      </w:r>
      <w:r>
        <w:t xml:space="preserve"> </w:t>
      </w:r>
      <w:r w:rsidRPr="00A24EB4">
        <w:t>podle</w:t>
      </w:r>
      <w:r>
        <w:t xml:space="preserve"> </w:t>
      </w:r>
      <w:r w:rsidRPr="00A24EB4">
        <w:t>§</w:t>
      </w:r>
      <w:r>
        <w:t xml:space="preserve"> </w:t>
      </w:r>
      <w:r w:rsidRPr="00A24EB4">
        <w:t>97h</w:t>
      </w:r>
      <w:r>
        <w:t xml:space="preserve"> </w:t>
      </w:r>
      <w:r w:rsidRPr="00A24EB4">
        <w:t>odst.</w:t>
      </w:r>
      <w:r>
        <w:t xml:space="preserve"> </w:t>
      </w:r>
      <w:r w:rsidRPr="00A24EB4">
        <w:t>2,</w:t>
      </w:r>
    </w:p>
    <w:p w14:paraId="009E6F13" w14:textId="6446B33E" w:rsidR="00704C9A" w:rsidRDefault="00704C9A" w:rsidP="00850A92">
      <w:pPr>
        <w:pStyle w:val="Textparagrafu"/>
        <w:tabs>
          <w:tab w:val="left" w:pos="392"/>
        </w:tabs>
        <w:spacing w:before="0"/>
        <w:ind w:left="426" w:hanging="426"/>
      </w:pPr>
      <w:r w:rsidRPr="00A24EB4">
        <w:t>d)</w:t>
      </w:r>
      <w:r w:rsidR="003776AE">
        <w:tab/>
      </w:r>
      <w:r w:rsidRPr="00A24EB4">
        <w:t>nedodrží</w:t>
      </w:r>
      <w:r>
        <w:t xml:space="preserve"> </w:t>
      </w:r>
      <w:r w:rsidRPr="00A24EB4">
        <w:t>postup</w:t>
      </w:r>
      <w:r>
        <w:t xml:space="preserve"> </w:t>
      </w:r>
      <w:r w:rsidRPr="00A24EB4">
        <w:t>při</w:t>
      </w:r>
      <w:r>
        <w:t xml:space="preserve"> </w:t>
      </w:r>
      <w:r w:rsidRPr="00A24EB4">
        <w:t>uzavírání</w:t>
      </w:r>
      <w:r>
        <w:t xml:space="preserve"> </w:t>
      </w:r>
      <w:r w:rsidRPr="00A24EB4">
        <w:t>smlouvy</w:t>
      </w:r>
      <w:r>
        <w:t xml:space="preserve"> </w:t>
      </w:r>
      <w:r w:rsidRPr="00A24EB4">
        <w:t>s</w:t>
      </w:r>
      <w:r>
        <w:t xml:space="preserve"> </w:t>
      </w:r>
      <w:r w:rsidRPr="00A24EB4">
        <w:t>uživatelem</w:t>
      </w:r>
      <w:r>
        <w:t xml:space="preserve"> </w:t>
      </w:r>
      <w:r w:rsidRPr="00A24EB4">
        <w:t>podle</w:t>
      </w:r>
      <w:r>
        <w:t xml:space="preserve"> </w:t>
      </w:r>
      <w:r w:rsidRPr="00A24EB4">
        <w:t>§</w:t>
      </w:r>
      <w:r>
        <w:t xml:space="preserve"> </w:t>
      </w:r>
      <w:r w:rsidRPr="00A24EB4">
        <w:t>98,</w:t>
      </w:r>
    </w:p>
    <w:p w14:paraId="5917E91E" w14:textId="1D87239E" w:rsidR="00704C9A" w:rsidRDefault="00704C9A" w:rsidP="00850A92">
      <w:pPr>
        <w:pStyle w:val="Textparagrafu"/>
        <w:tabs>
          <w:tab w:val="left" w:pos="392"/>
        </w:tabs>
        <w:spacing w:before="0"/>
        <w:ind w:left="426" w:hanging="426"/>
      </w:pPr>
      <w:r w:rsidRPr="00A24EB4">
        <w:t>e)</w:t>
      </w:r>
      <w:r w:rsidR="003776AE">
        <w:tab/>
      </w:r>
      <w:r w:rsidRPr="00A24EB4">
        <w:t>nedodrží</w:t>
      </w:r>
      <w:r>
        <w:t xml:space="preserve"> </w:t>
      </w:r>
      <w:r w:rsidRPr="00A24EB4">
        <w:t>postup</w:t>
      </w:r>
      <w:r>
        <w:t xml:space="preserve"> </w:t>
      </w:r>
      <w:r w:rsidRPr="00A24EB4">
        <w:t>pro</w:t>
      </w:r>
      <w:r>
        <w:t xml:space="preserve"> </w:t>
      </w:r>
      <w:r w:rsidRPr="00A24EB4">
        <w:t>sjednávání</w:t>
      </w:r>
      <w:r>
        <w:t xml:space="preserve"> </w:t>
      </w:r>
      <w:r w:rsidRPr="00A24EB4">
        <w:t>sazebníku</w:t>
      </w:r>
      <w:r>
        <w:t xml:space="preserve"> </w:t>
      </w:r>
      <w:r w:rsidRPr="00A24EB4">
        <w:t>podle</w:t>
      </w:r>
      <w:r>
        <w:t xml:space="preserve"> </w:t>
      </w:r>
      <w:r w:rsidRPr="00A24EB4">
        <w:t>§</w:t>
      </w:r>
      <w:r>
        <w:t xml:space="preserve"> </w:t>
      </w:r>
      <w:r w:rsidRPr="00A24EB4">
        <w:t>98f,</w:t>
      </w:r>
    </w:p>
    <w:p w14:paraId="05571B7A" w14:textId="58A9F74E" w:rsidR="00704C9A" w:rsidRDefault="00704C9A" w:rsidP="00850A92">
      <w:pPr>
        <w:pStyle w:val="Textparagrafu"/>
        <w:tabs>
          <w:tab w:val="left" w:pos="392"/>
        </w:tabs>
        <w:spacing w:before="0"/>
        <w:ind w:left="426" w:hanging="426"/>
      </w:pPr>
      <w:r w:rsidRPr="00A24EB4">
        <w:t>f)</w:t>
      </w:r>
      <w:r w:rsidR="003776AE">
        <w:tab/>
      </w:r>
      <w:r w:rsidRPr="00A24EB4">
        <w:t>nesplní</w:t>
      </w:r>
      <w:r>
        <w:t xml:space="preserve"> </w:t>
      </w:r>
      <w:r w:rsidRPr="00A24EB4">
        <w:t>některou</w:t>
      </w:r>
      <w:r>
        <w:t xml:space="preserve"> </w:t>
      </w:r>
      <w:r w:rsidRPr="00A24EB4">
        <w:t>z</w:t>
      </w:r>
      <w:r>
        <w:t xml:space="preserve"> </w:t>
      </w:r>
      <w:r w:rsidRPr="00A24EB4">
        <w:t>povinností</w:t>
      </w:r>
      <w:r>
        <w:t xml:space="preserve"> </w:t>
      </w:r>
      <w:r w:rsidRPr="00A24EB4">
        <w:t>při</w:t>
      </w:r>
      <w:r>
        <w:t xml:space="preserve"> </w:t>
      </w:r>
      <w:r w:rsidRPr="00A24EB4">
        <w:t>správě</w:t>
      </w:r>
      <w:r>
        <w:t xml:space="preserve"> </w:t>
      </w:r>
      <w:r w:rsidRPr="00A24EB4">
        <w:t>příjmů</w:t>
      </w:r>
      <w:r>
        <w:t xml:space="preserve"> </w:t>
      </w:r>
      <w:r w:rsidRPr="00A24EB4">
        <w:t>z</w:t>
      </w:r>
      <w:r>
        <w:t xml:space="preserve"> </w:t>
      </w:r>
      <w:r w:rsidRPr="00A24EB4">
        <w:t>výkonu</w:t>
      </w:r>
      <w:r>
        <w:t xml:space="preserve"> </w:t>
      </w:r>
      <w:r w:rsidRPr="00A24EB4">
        <w:t>práv</w:t>
      </w:r>
      <w:r>
        <w:t xml:space="preserve"> </w:t>
      </w:r>
      <w:r w:rsidRPr="00A24EB4">
        <w:t>nebo</w:t>
      </w:r>
      <w:r>
        <w:t xml:space="preserve"> </w:t>
      </w:r>
      <w:r w:rsidRPr="00A24EB4">
        <w:t>příjmů</w:t>
      </w:r>
      <w:r>
        <w:t xml:space="preserve"> </w:t>
      </w:r>
      <w:r w:rsidRPr="00A24EB4">
        <w:t>z</w:t>
      </w:r>
      <w:r>
        <w:t xml:space="preserve"> </w:t>
      </w:r>
      <w:r w:rsidRPr="00A24EB4">
        <w:t>investování</w:t>
      </w:r>
      <w:r>
        <w:t xml:space="preserve"> </w:t>
      </w:r>
      <w:r w:rsidRPr="00A24EB4">
        <w:t>příjmů</w:t>
      </w:r>
      <w:r>
        <w:t xml:space="preserve"> </w:t>
      </w:r>
      <w:r w:rsidRPr="00A24EB4">
        <w:t>z</w:t>
      </w:r>
      <w:r>
        <w:t xml:space="preserve"> </w:t>
      </w:r>
      <w:r w:rsidRPr="00A24EB4">
        <w:t>výkonu</w:t>
      </w:r>
      <w:r>
        <w:t xml:space="preserve"> </w:t>
      </w:r>
      <w:r w:rsidRPr="00A24EB4">
        <w:t>práv</w:t>
      </w:r>
      <w:r>
        <w:t xml:space="preserve"> </w:t>
      </w:r>
      <w:r w:rsidRPr="00A24EB4">
        <w:t>podle</w:t>
      </w:r>
      <w:r>
        <w:t xml:space="preserve"> </w:t>
      </w:r>
      <w:r w:rsidRPr="00A24EB4">
        <w:t>§</w:t>
      </w:r>
      <w:r>
        <w:t xml:space="preserve"> </w:t>
      </w:r>
      <w:r w:rsidRPr="00A24EB4">
        <w:t>99</w:t>
      </w:r>
      <w:r>
        <w:t xml:space="preserve"> </w:t>
      </w:r>
      <w:r w:rsidRPr="00A24EB4">
        <w:t>až</w:t>
      </w:r>
      <w:r>
        <w:t xml:space="preserve"> </w:t>
      </w:r>
      <w:r w:rsidRPr="00A24EB4">
        <w:t>99e,</w:t>
      </w:r>
    </w:p>
    <w:p w14:paraId="79C5BB82" w14:textId="47D6E20B" w:rsidR="00704C9A" w:rsidRDefault="00704C9A" w:rsidP="00850A92">
      <w:pPr>
        <w:pStyle w:val="Textparagrafu"/>
        <w:tabs>
          <w:tab w:val="left" w:pos="392"/>
        </w:tabs>
        <w:spacing w:before="0"/>
        <w:ind w:left="426" w:hanging="426"/>
        <w:rPr>
          <w:strike/>
        </w:rPr>
      </w:pPr>
      <w:r w:rsidRPr="001657B7">
        <w:rPr>
          <w:strike/>
        </w:rPr>
        <w:t>g)</w:t>
      </w:r>
      <w:r w:rsidR="003776AE" w:rsidRPr="001657B7">
        <w:rPr>
          <w:strike/>
        </w:rPr>
        <w:tab/>
      </w:r>
      <w:r w:rsidRPr="001657B7">
        <w:rPr>
          <w:strike/>
        </w:rPr>
        <w:t>nevyhotoví výroční zprávu podle § 99g odst. 1,</w:t>
      </w:r>
    </w:p>
    <w:p w14:paraId="19AA88C1" w14:textId="57D317D5" w:rsidR="001657B7" w:rsidRPr="001657B7" w:rsidRDefault="001657B7" w:rsidP="00850A92">
      <w:pPr>
        <w:pStyle w:val="Textparagrafu"/>
        <w:tabs>
          <w:tab w:val="left" w:pos="392"/>
        </w:tabs>
        <w:spacing w:before="0"/>
        <w:ind w:left="426" w:hanging="426"/>
        <w:rPr>
          <w:strike/>
        </w:rPr>
      </w:pPr>
      <w:r>
        <w:rPr>
          <w:strike/>
        </w:rPr>
        <w:t xml:space="preserve">g) </w:t>
      </w:r>
      <w:r w:rsidR="00904F98">
        <w:rPr>
          <w:strike/>
        </w:rPr>
        <w:tab/>
      </w:r>
      <w:r w:rsidRPr="00033190">
        <w:rPr>
          <w:b/>
        </w:rPr>
        <w:t>nesestaví řádnou individuální účetní závěrku nebo nevyhotoví individuální zprávu vedení podle § 99g odst. 4</w:t>
      </w:r>
      <w:r>
        <w:rPr>
          <w:b/>
        </w:rPr>
        <w:t>,</w:t>
      </w:r>
    </w:p>
    <w:p w14:paraId="31B7602A" w14:textId="2F72A271" w:rsidR="00704C9A" w:rsidRDefault="00704C9A" w:rsidP="00850A92">
      <w:pPr>
        <w:pStyle w:val="Textparagrafu"/>
        <w:tabs>
          <w:tab w:val="left" w:pos="392"/>
        </w:tabs>
        <w:spacing w:before="0"/>
        <w:ind w:left="426" w:hanging="426"/>
      </w:pPr>
      <w:r w:rsidRPr="00A24EB4">
        <w:t>h)</w:t>
      </w:r>
      <w:r w:rsidR="003776AE">
        <w:tab/>
      </w:r>
      <w:r w:rsidRPr="00A24EB4">
        <w:t>v</w:t>
      </w:r>
      <w:r>
        <w:t xml:space="preserve"> </w:t>
      </w:r>
      <w:r w:rsidRPr="00A24EB4">
        <w:t>rozporu</w:t>
      </w:r>
      <w:r>
        <w:t xml:space="preserve"> </w:t>
      </w:r>
      <w:r w:rsidRPr="00A24EB4">
        <w:t>s</w:t>
      </w:r>
      <w:r>
        <w:t xml:space="preserve"> </w:t>
      </w:r>
      <w:r w:rsidRPr="00A24EB4">
        <w:t>§</w:t>
      </w:r>
      <w:r>
        <w:t xml:space="preserve"> </w:t>
      </w:r>
      <w:r w:rsidRPr="00A24EB4">
        <w:t>99g</w:t>
      </w:r>
      <w:r>
        <w:t xml:space="preserve"> </w:t>
      </w:r>
      <w:r w:rsidRPr="00A24EB4">
        <w:t>odst.</w:t>
      </w:r>
      <w:r>
        <w:t xml:space="preserve"> </w:t>
      </w:r>
      <w:r w:rsidRPr="001657B7">
        <w:rPr>
          <w:strike/>
        </w:rPr>
        <w:t>2</w:t>
      </w:r>
      <w:r w:rsidR="001657B7">
        <w:rPr>
          <w:b/>
        </w:rPr>
        <w:t>3</w:t>
      </w:r>
      <w:r>
        <w:t xml:space="preserve"> </w:t>
      </w:r>
      <w:r w:rsidRPr="00A24EB4">
        <w:t>nezajistí,</w:t>
      </w:r>
      <w:r>
        <w:t xml:space="preserve"> </w:t>
      </w:r>
      <w:r w:rsidRPr="00A24EB4">
        <w:t>aby</w:t>
      </w:r>
      <w:r>
        <w:t xml:space="preserve"> </w:t>
      </w:r>
      <w:r w:rsidRPr="001657B7">
        <w:rPr>
          <w:strike/>
        </w:rPr>
        <w:t>výroční zpráva</w:t>
      </w:r>
      <w:r>
        <w:t xml:space="preserve"> </w:t>
      </w:r>
      <w:r w:rsidR="001657B7" w:rsidRPr="00033190">
        <w:rPr>
          <w:b/>
        </w:rPr>
        <w:t xml:space="preserve">individuální zpráva vedení </w:t>
      </w:r>
      <w:r w:rsidRPr="00A24EB4">
        <w:t>obsahovala</w:t>
      </w:r>
      <w:r>
        <w:t xml:space="preserve"> </w:t>
      </w:r>
      <w:r w:rsidRPr="00A24EB4">
        <w:t>požadované</w:t>
      </w:r>
      <w:r>
        <w:t xml:space="preserve"> </w:t>
      </w:r>
      <w:r w:rsidRPr="00A24EB4">
        <w:t>informace,</w:t>
      </w:r>
    </w:p>
    <w:p w14:paraId="62F10180" w14:textId="0E03A29C" w:rsidR="00704C9A" w:rsidRDefault="00704C9A" w:rsidP="00850A92">
      <w:pPr>
        <w:pStyle w:val="Textparagrafu"/>
        <w:tabs>
          <w:tab w:val="left" w:pos="392"/>
        </w:tabs>
        <w:spacing w:before="0"/>
        <w:ind w:left="426" w:hanging="426"/>
      </w:pPr>
      <w:r w:rsidRPr="00A24EB4">
        <w:t>i)</w:t>
      </w:r>
      <w:r w:rsidR="003776AE">
        <w:tab/>
      </w:r>
      <w:r w:rsidRPr="00A24EB4">
        <w:t>v</w:t>
      </w:r>
      <w:r>
        <w:t xml:space="preserve"> </w:t>
      </w:r>
      <w:r w:rsidRPr="00A24EB4">
        <w:t>rozporu</w:t>
      </w:r>
      <w:r>
        <w:t xml:space="preserve"> </w:t>
      </w:r>
      <w:r w:rsidRPr="00A24EB4">
        <w:t>s</w:t>
      </w:r>
      <w:r>
        <w:t xml:space="preserve"> </w:t>
      </w:r>
      <w:r w:rsidRPr="00A24EB4">
        <w:t>§</w:t>
      </w:r>
      <w:r>
        <w:t xml:space="preserve"> </w:t>
      </w:r>
      <w:r w:rsidRPr="00A24EB4">
        <w:t>99g</w:t>
      </w:r>
      <w:r>
        <w:t xml:space="preserve"> </w:t>
      </w:r>
      <w:r w:rsidRPr="00197D8F">
        <w:rPr>
          <w:strike/>
        </w:rPr>
        <w:t xml:space="preserve">odst. 3 nezajistí, aby výroční zpráva </w:t>
      </w:r>
      <w:proofErr w:type="gramStart"/>
      <w:r w:rsidRPr="00197D8F">
        <w:rPr>
          <w:strike/>
        </w:rPr>
        <w:t>byla</w:t>
      </w:r>
      <w:proofErr w:type="gramEnd"/>
      <w:r w:rsidRPr="00197D8F">
        <w:rPr>
          <w:strike/>
        </w:rPr>
        <w:t xml:space="preserve"> ověřena auditorem</w:t>
      </w:r>
      <w:r w:rsidR="00197D8F" w:rsidRPr="00197D8F">
        <w:rPr>
          <w:b/>
        </w:rPr>
        <w:t xml:space="preserve"> </w:t>
      </w:r>
      <w:r w:rsidR="00197D8F">
        <w:rPr>
          <w:b/>
        </w:rPr>
        <w:t xml:space="preserve">odst. </w:t>
      </w:r>
      <w:r w:rsidR="00197D8F" w:rsidRPr="00033190">
        <w:rPr>
          <w:b/>
        </w:rPr>
        <w:t>5</w:t>
      </w:r>
      <w:r w:rsidR="00197D8F" w:rsidRPr="00033190">
        <w:t xml:space="preserve"> </w:t>
      </w:r>
      <w:proofErr w:type="gramStart"/>
      <w:r w:rsidR="00197D8F" w:rsidRPr="00033190">
        <w:rPr>
          <w:b/>
        </w:rPr>
        <w:t>nesplní</w:t>
      </w:r>
      <w:proofErr w:type="gramEnd"/>
      <w:r w:rsidR="00197D8F" w:rsidRPr="00033190">
        <w:rPr>
          <w:b/>
        </w:rPr>
        <w:t xml:space="preserve"> povinnost auditu účetní závěrky</w:t>
      </w:r>
      <w:r w:rsidRPr="00A24EB4">
        <w:t>,</w:t>
      </w:r>
    </w:p>
    <w:p w14:paraId="52D367F6" w14:textId="5861F89B" w:rsidR="00704C9A" w:rsidRDefault="00704C9A" w:rsidP="00850A92">
      <w:pPr>
        <w:pStyle w:val="Textparagrafu"/>
        <w:tabs>
          <w:tab w:val="left" w:pos="392"/>
        </w:tabs>
        <w:spacing w:before="0"/>
        <w:ind w:left="426" w:hanging="426"/>
      </w:pPr>
      <w:r w:rsidRPr="00A24EB4">
        <w:t>j)</w:t>
      </w:r>
      <w:r w:rsidR="003776AE">
        <w:tab/>
      </w:r>
      <w:r w:rsidRPr="00A24EB4">
        <w:t>v</w:t>
      </w:r>
      <w:r>
        <w:t xml:space="preserve"> </w:t>
      </w:r>
      <w:r w:rsidRPr="00A24EB4">
        <w:t>rozporu</w:t>
      </w:r>
      <w:r>
        <w:t xml:space="preserve"> </w:t>
      </w:r>
      <w:r w:rsidRPr="00A24EB4">
        <w:t>s</w:t>
      </w:r>
      <w:r>
        <w:t xml:space="preserve"> </w:t>
      </w:r>
      <w:r w:rsidRPr="00A24EB4">
        <w:t>§</w:t>
      </w:r>
      <w:r>
        <w:t xml:space="preserve"> </w:t>
      </w:r>
      <w:r w:rsidRPr="00A24EB4">
        <w:t>99g</w:t>
      </w:r>
      <w:r>
        <w:t xml:space="preserve"> </w:t>
      </w:r>
      <w:r w:rsidRPr="00A24EB4">
        <w:t>odst.</w:t>
      </w:r>
      <w:r>
        <w:t xml:space="preserve"> </w:t>
      </w:r>
      <w:r w:rsidRPr="00197D8F">
        <w:rPr>
          <w:strike/>
        </w:rPr>
        <w:t>4</w:t>
      </w:r>
      <w:r w:rsidR="00197D8F" w:rsidRPr="00197D8F">
        <w:rPr>
          <w:b/>
        </w:rPr>
        <w:t>6</w:t>
      </w:r>
      <w:r>
        <w:t xml:space="preserve"> </w:t>
      </w:r>
      <w:r w:rsidRPr="00A24EB4">
        <w:t>nezajistí</w:t>
      </w:r>
      <w:r>
        <w:t xml:space="preserve"> </w:t>
      </w:r>
      <w:r w:rsidRPr="00A24EB4">
        <w:t>uveřejnění</w:t>
      </w:r>
      <w:r>
        <w:t xml:space="preserve"> </w:t>
      </w:r>
      <w:r w:rsidRPr="00197D8F">
        <w:rPr>
          <w:strike/>
        </w:rPr>
        <w:t>výroční zprávy</w:t>
      </w:r>
      <w:r>
        <w:t xml:space="preserve"> </w:t>
      </w:r>
      <w:r w:rsidR="00197D8F" w:rsidRPr="00033190">
        <w:rPr>
          <w:b/>
        </w:rPr>
        <w:t>řádné individuální účetní závěrky a individuální zprávy vedení</w:t>
      </w:r>
      <w:r w:rsidR="00197D8F" w:rsidRPr="00A24EB4">
        <w:t xml:space="preserve"> </w:t>
      </w:r>
      <w:r w:rsidRPr="00A24EB4">
        <w:t>stanoveným</w:t>
      </w:r>
      <w:r>
        <w:t xml:space="preserve"> </w:t>
      </w:r>
      <w:r w:rsidRPr="00A24EB4">
        <w:t>způsobem</w:t>
      </w:r>
      <w:r>
        <w:t xml:space="preserve"> </w:t>
      </w:r>
      <w:r w:rsidRPr="00A24EB4">
        <w:t>po</w:t>
      </w:r>
      <w:r>
        <w:t xml:space="preserve"> </w:t>
      </w:r>
      <w:r w:rsidRPr="00A24EB4">
        <w:t>stanovenou</w:t>
      </w:r>
      <w:r>
        <w:t xml:space="preserve"> </w:t>
      </w:r>
      <w:r w:rsidRPr="00A24EB4">
        <w:t>dobu,</w:t>
      </w:r>
    </w:p>
    <w:p w14:paraId="134827C1" w14:textId="0918B49B" w:rsidR="00704C9A" w:rsidRDefault="00704C9A" w:rsidP="00850A92">
      <w:pPr>
        <w:pStyle w:val="Textparagrafu"/>
        <w:tabs>
          <w:tab w:val="left" w:pos="392"/>
        </w:tabs>
        <w:spacing w:before="0"/>
        <w:ind w:left="426" w:hanging="426"/>
      </w:pPr>
      <w:r w:rsidRPr="00A24EB4">
        <w:t>k)</w:t>
      </w:r>
      <w:r w:rsidR="003776AE">
        <w:tab/>
      </w:r>
      <w:r w:rsidRPr="00A24EB4">
        <w:t>v</w:t>
      </w:r>
      <w:r>
        <w:t xml:space="preserve"> </w:t>
      </w:r>
      <w:r w:rsidRPr="00A24EB4">
        <w:t>rozporu</w:t>
      </w:r>
      <w:r>
        <w:t xml:space="preserve"> </w:t>
      </w:r>
      <w:r w:rsidRPr="00A24EB4">
        <w:t>s</w:t>
      </w:r>
      <w:r>
        <w:t xml:space="preserve"> </w:t>
      </w:r>
      <w:r w:rsidRPr="00A24EB4">
        <w:t>§</w:t>
      </w:r>
      <w:r>
        <w:t xml:space="preserve"> </w:t>
      </w:r>
      <w:r w:rsidRPr="00A24EB4">
        <w:t>100c</w:t>
      </w:r>
      <w:r>
        <w:t xml:space="preserve"> </w:t>
      </w:r>
      <w:r w:rsidRPr="00A24EB4">
        <w:t>odst.</w:t>
      </w:r>
      <w:r>
        <w:t xml:space="preserve"> </w:t>
      </w:r>
      <w:r w:rsidRPr="00A24EB4">
        <w:t>1</w:t>
      </w:r>
      <w:r>
        <w:t xml:space="preserve"> </w:t>
      </w:r>
      <w:r w:rsidRPr="00A24EB4">
        <w:t>odmítne</w:t>
      </w:r>
      <w:r>
        <w:t xml:space="preserve"> </w:t>
      </w:r>
      <w:r w:rsidRPr="00A24EB4">
        <w:t>uzavřít</w:t>
      </w:r>
      <w:r>
        <w:t xml:space="preserve"> </w:t>
      </w:r>
      <w:r w:rsidRPr="00A24EB4">
        <w:t>smlouvu</w:t>
      </w:r>
      <w:r>
        <w:t xml:space="preserve"> </w:t>
      </w:r>
      <w:r w:rsidRPr="00A24EB4">
        <w:t>o</w:t>
      </w:r>
      <w:r>
        <w:t xml:space="preserve"> </w:t>
      </w:r>
      <w:r w:rsidRPr="00A24EB4">
        <w:t>poskytování</w:t>
      </w:r>
      <w:r>
        <w:t xml:space="preserve"> </w:t>
      </w:r>
      <w:r w:rsidRPr="00A24EB4">
        <w:t>licencí,</w:t>
      </w:r>
    </w:p>
    <w:p w14:paraId="5229D35B" w14:textId="77777777" w:rsidR="00704C9A" w:rsidRDefault="00704C9A" w:rsidP="00850A92">
      <w:pPr>
        <w:pStyle w:val="Textparagrafu"/>
        <w:tabs>
          <w:tab w:val="left" w:pos="392"/>
        </w:tabs>
        <w:spacing w:before="0"/>
        <w:ind w:left="426" w:hanging="426"/>
      </w:pPr>
      <w:r w:rsidRPr="00A24EB4">
        <w:t>l)</w:t>
      </w:r>
      <w:r>
        <w:t xml:space="preserve"> </w:t>
      </w:r>
      <w:r w:rsidRPr="00A24EB4">
        <w:t>nesplní</w:t>
      </w:r>
      <w:r>
        <w:t xml:space="preserve"> </w:t>
      </w:r>
      <w:r w:rsidRPr="00A24EB4">
        <w:t>některou</w:t>
      </w:r>
      <w:r>
        <w:t xml:space="preserve"> </w:t>
      </w:r>
      <w:r w:rsidRPr="00A24EB4">
        <w:t>z</w:t>
      </w:r>
      <w:r>
        <w:t xml:space="preserve"> </w:t>
      </w:r>
      <w:r w:rsidRPr="00A24EB4">
        <w:t>povinností</w:t>
      </w:r>
      <w:r>
        <w:t xml:space="preserve"> </w:t>
      </w:r>
      <w:r w:rsidRPr="00A24EB4">
        <w:t>při</w:t>
      </w:r>
      <w:r>
        <w:t xml:space="preserve"> </w:t>
      </w:r>
      <w:r w:rsidRPr="00A24EB4">
        <w:t>poskytování</w:t>
      </w:r>
      <w:r>
        <w:t xml:space="preserve"> </w:t>
      </w:r>
      <w:r w:rsidRPr="00A24EB4">
        <w:t>informací</w:t>
      </w:r>
      <w:r>
        <w:t xml:space="preserve"> </w:t>
      </w:r>
      <w:r w:rsidRPr="00A24EB4">
        <w:t>o</w:t>
      </w:r>
      <w:r>
        <w:t xml:space="preserve"> </w:t>
      </w:r>
      <w:r w:rsidRPr="00A24EB4">
        <w:t>užití</w:t>
      </w:r>
      <w:r>
        <w:t xml:space="preserve"> </w:t>
      </w:r>
      <w:r w:rsidRPr="00A24EB4">
        <w:t>a</w:t>
      </w:r>
      <w:r>
        <w:t xml:space="preserve"> </w:t>
      </w:r>
      <w:r w:rsidRPr="00A24EB4">
        <w:t>fakturaci</w:t>
      </w:r>
      <w:r>
        <w:t xml:space="preserve"> </w:t>
      </w:r>
      <w:r w:rsidRPr="00A24EB4">
        <w:t>podle</w:t>
      </w:r>
      <w:r>
        <w:t xml:space="preserve"> </w:t>
      </w:r>
      <w:r w:rsidRPr="00A24EB4">
        <w:t>§</w:t>
      </w:r>
      <w:r>
        <w:t xml:space="preserve"> </w:t>
      </w:r>
      <w:r w:rsidRPr="00A24EB4">
        <w:t>100e,</w:t>
      </w:r>
    </w:p>
    <w:p w14:paraId="299E2566" w14:textId="328E529F" w:rsidR="00704C9A" w:rsidRDefault="00704C9A" w:rsidP="00850A92">
      <w:pPr>
        <w:pStyle w:val="Textparagrafu"/>
        <w:tabs>
          <w:tab w:val="left" w:pos="392"/>
        </w:tabs>
        <w:spacing w:before="0"/>
        <w:ind w:left="426" w:hanging="426"/>
      </w:pPr>
      <w:r w:rsidRPr="00A24EB4">
        <w:t>m)</w:t>
      </w:r>
      <w:r w:rsidR="003776AE">
        <w:tab/>
      </w:r>
      <w:r w:rsidRPr="00A24EB4">
        <w:t>nerozdělí</w:t>
      </w:r>
      <w:r>
        <w:t xml:space="preserve"> </w:t>
      </w:r>
      <w:r w:rsidRPr="00A24EB4">
        <w:t>příjmy</w:t>
      </w:r>
      <w:r>
        <w:t xml:space="preserve"> </w:t>
      </w:r>
      <w:r w:rsidRPr="00A24EB4">
        <w:t>z</w:t>
      </w:r>
      <w:r>
        <w:t xml:space="preserve"> </w:t>
      </w:r>
      <w:r w:rsidRPr="00A24EB4">
        <w:t>výkonu</w:t>
      </w:r>
      <w:r>
        <w:t xml:space="preserve"> </w:t>
      </w:r>
      <w:r w:rsidRPr="00A24EB4">
        <w:t>práv</w:t>
      </w:r>
      <w:r>
        <w:t xml:space="preserve"> </w:t>
      </w:r>
      <w:r w:rsidRPr="00A24EB4">
        <w:t>podle</w:t>
      </w:r>
      <w:r>
        <w:t xml:space="preserve"> </w:t>
      </w:r>
      <w:r w:rsidRPr="00A24EB4">
        <w:t>§</w:t>
      </w:r>
      <w:r>
        <w:t xml:space="preserve"> </w:t>
      </w:r>
      <w:r w:rsidRPr="00A24EB4">
        <w:t>100f</w:t>
      </w:r>
      <w:r>
        <w:t xml:space="preserve"> </w:t>
      </w:r>
      <w:r w:rsidRPr="00A24EB4">
        <w:t>odst.</w:t>
      </w:r>
      <w:r>
        <w:t xml:space="preserve"> </w:t>
      </w:r>
      <w:r w:rsidRPr="00A24EB4">
        <w:t>1,</w:t>
      </w:r>
    </w:p>
    <w:p w14:paraId="330D7DA4" w14:textId="0E49D553" w:rsidR="00704C9A" w:rsidRDefault="00704C9A" w:rsidP="00850A92">
      <w:pPr>
        <w:pStyle w:val="Textparagrafu"/>
        <w:tabs>
          <w:tab w:val="left" w:pos="392"/>
        </w:tabs>
        <w:spacing w:before="0"/>
        <w:ind w:left="426" w:hanging="426"/>
      </w:pPr>
      <w:r w:rsidRPr="00A24EB4">
        <w:t>n)</w:t>
      </w:r>
      <w:r w:rsidR="003776AE">
        <w:tab/>
      </w:r>
      <w:r w:rsidRPr="00A24EB4">
        <w:t>nesplní</w:t>
      </w:r>
      <w:r>
        <w:t xml:space="preserve"> </w:t>
      </w:r>
      <w:r w:rsidRPr="00A24EB4">
        <w:t>ve</w:t>
      </w:r>
      <w:r>
        <w:t xml:space="preserve"> </w:t>
      </w:r>
      <w:r w:rsidRPr="00A24EB4">
        <w:t>stanovené</w:t>
      </w:r>
      <w:r>
        <w:t xml:space="preserve"> </w:t>
      </w:r>
      <w:r w:rsidRPr="00A24EB4">
        <w:t>lhůtě</w:t>
      </w:r>
      <w:r>
        <w:t xml:space="preserve"> </w:t>
      </w:r>
      <w:r w:rsidRPr="00A24EB4">
        <w:t>povinnost</w:t>
      </w:r>
      <w:r>
        <w:t xml:space="preserve"> </w:t>
      </w:r>
      <w:r w:rsidRPr="00A24EB4">
        <w:t>uloženou</w:t>
      </w:r>
      <w:r>
        <w:t xml:space="preserve"> </w:t>
      </w:r>
      <w:r w:rsidRPr="00A24EB4">
        <w:t>rozhodnutím</w:t>
      </w:r>
      <w:r>
        <w:t xml:space="preserve"> </w:t>
      </w:r>
      <w:r w:rsidRPr="00A24EB4">
        <w:t>o</w:t>
      </w:r>
      <w:r>
        <w:t xml:space="preserve"> </w:t>
      </w:r>
      <w:r w:rsidRPr="00A24EB4">
        <w:t>opatření</w:t>
      </w:r>
      <w:r>
        <w:t xml:space="preserve"> </w:t>
      </w:r>
      <w:r w:rsidRPr="00A24EB4">
        <w:t>k</w:t>
      </w:r>
      <w:r>
        <w:t xml:space="preserve"> </w:t>
      </w:r>
      <w:r w:rsidRPr="00A24EB4">
        <w:t>nápravě</w:t>
      </w:r>
      <w:r>
        <w:t xml:space="preserve"> </w:t>
      </w:r>
      <w:r w:rsidRPr="00A24EB4">
        <w:t>vydaným</w:t>
      </w:r>
      <w:r>
        <w:t xml:space="preserve"> </w:t>
      </w:r>
      <w:r w:rsidRPr="00A24EB4">
        <w:t>podle</w:t>
      </w:r>
      <w:r>
        <w:t xml:space="preserve"> </w:t>
      </w:r>
      <w:r w:rsidRPr="00A24EB4">
        <w:t>§</w:t>
      </w:r>
      <w:r>
        <w:t xml:space="preserve"> </w:t>
      </w:r>
      <w:r w:rsidRPr="00A24EB4">
        <w:t>102</w:t>
      </w:r>
      <w:r>
        <w:t xml:space="preserve"> </w:t>
      </w:r>
      <w:r w:rsidRPr="00A24EB4">
        <w:t>odst.</w:t>
      </w:r>
      <w:r>
        <w:t xml:space="preserve"> </w:t>
      </w:r>
      <w:r w:rsidRPr="00A24EB4">
        <w:t>2</w:t>
      </w:r>
      <w:r>
        <w:t xml:space="preserve"> </w:t>
      </w:r>
      <w:r w:rsidRPr="00A24EB4">
        <w:t>písm.</w:t>
      </w:r>
      <w:r>
        <w:t xml:space="preserve"> </w:t>
      </w:r>
      <w:r w:rsidRPr="00A24EB4">
        <w:t>b),</w:t>
      </w:r>
      <w:r>
        <w:t xml:space="preserve"> </w:t>
      </w:r>
      <w:r w:rsidRPr="00A24EB4">
        <w:t>nebo</w:t>
      </w:r>
    </w:p>
    <w:p w14:paraId="2799D046" w14:textId="56F8D7E5" w:rsidR="00704C9A" w:rsidRDefault="00704C9A" w:rsidP="00850A92">
      <w:pPr>
        <w:pStyle w:val="Textparagrafu"/>
        <w:tabs>
          <w:tab w:val="left" w:pos="392"/>
        </w:tabs>
        <w:spacing w:before="0"/>
        <w:ind w:left="426" w:hanging="426"/>
      </w:pPr>
      <w:r w:rsidRPr="00A24EB4">
        <w:t>o)</w:t>
      </w:r>
      <w:r w:rsidR="003776AE">
        <w:tab/>
      </w:r>
      <w:r w:rsidRPr="00A24EB4">
        <w:t>vykonává</w:t>
      </w:r>
      <w:r>
        <w:t xml:space="preserve"> </w:t>
      </w:r>
      <w:r w:rsidRPr="00A24EB4">
        <w:t>kolektivní</w:t>
      </w:r>
      <w:r>
        <w:t xml:space="preserve"> </w:t>
      </w:r>
      <w:r w:rsidRPr="00A24EB4">
        <w:t>správu</w:t>
      </w:r>
      <w:r>
        <w:t xml:space="preserve"> </w:t>
      </w:r>
      <w:r w:rsidRPr="00A24EB4">
        <w:t>v</w:t>
      </w:r>
      <w:r>
        <w:t xml:space="preserve"> </w:t>
      </w:r>
      <w:r w:rsidRPr="00A24EB4">
        <w:t>rozporu</w:t>
      </w:r>
      <w:r>
        <w:t xml:space="preserve"> </w:t>
      </w:r>
      <w:r w:rsidRPr="00A24EB4">
        <w:t>s</w:t>
      </w:r>
      <w:r>
        <w:t xml:space="preserve"> </w:t>
      </w:r>
      <w:r w:rsidRPr="00A24EB4">
        <w:t>uděleným</w:t>
      </w:r>
      <w:r>
        <w:t xml:space="preserve"> </w:t>
      </w:r>
      <w:r w:rsidRPr="00A24EB4">
        <w:t>oprávněním.</w:t>
      </w:r>
    </w:p>
    <w:p w14:paraId="52D7E326" w14:textId="77777777" w:rsidR="00704C9A" w:rsidRDefault="00704C9A" w:rsidP="00904F98">
      <w:pPr>
        <w:pStyle w:val="Textparagrafu"/>
        <w:spacing w:before="120" w:after="120"/>
      </w:pPr>
      <w:r w:rsidRPr="00A24EB4">
        <w:t>(2)</w:t>
      </w:r>
      <w:r>
        <w:t xml:space="preserve"> </w:t>
      </w:r>
      <w:r w:rsidRPr="00A24EB4">
        <w:t>Za</w:t>
      </w:r>
      <w:r>
        <w:t xml:space="preserve"> </w:t>
      </w:r>
      <w:r w:rsidRPr="00A24EB4">
        <w:t>přestupek</w:t>
      </w:r>
      <w:r>
        <w:t xml:space="preserve"> </w:t>
      </w:r>
      <w:r w:rsidRPr="00A24EB4">
        <w:t>podle</w:t>
      </w:r>
      <w:r>
        <w:t xml:space="preserve"> </w:t>
      </w:r>
      <w:r w:rsidRPr="00A24EB4">
        <w:t>odstavce</w:t>
      </w:r>
      <w:r>
        <w:t xml:space="preserve"> </w:t>
      </w:r>
      <w:r w:rsidRPr="00A24EB4">
        <w:t>1</w:t>
      </w:r>
      <w:r>
        <w:t xml:space="preserve"> </w:t>
      </w:r>
      <w:r w:rsidRPr="00A24EB4">
        <w:t>lze</w:t>
      </w:r>
      <w:r>
        <w:t xml:space="preserve"> </w:t>
      </w:r>
      <w:r w:rsidRPr="00A24EB4">
        <w:t>uložit</w:t>
      </w:r>
      <w:r>
        <w:t xml:space="preserve"> </w:t>
      </w:r>
      <w:r w:rsidRPr="00A24EB4">
        <w:t>pokutu</w:t>
      </w:r>
      <w:r>
        <w:t xml:space="preserve"> </w:t>
      </w:r>
      <w:r w:rsidRPr="00A24EB4">
        <w:t>do</w:t>
      </w:r>
    </w:p>
    <w:p w14:paraId="3F31FADA" w14:textId="6B72CE2A" w:rsidR="00704C9A" w:rsidRDefault="00704C9A" w:rsidP="003776AE">
      <w:pPr>
        <w:pStyle w:val="Textparagrafu"/>
        <w:tabs>
          <w:tab w:val="left" w:pos="434"/>
        </w:tabs>
        <w:spacing w:before="0"/>
        <w:ind w:firstLine="0"/>
      </w:pPr>
      <w:r w:rsidRPr="00A24EB4">
        <w:t>a)</w:t>
      </w:r>
      <w:r w:rsidR="003776AE">
        <w:tab/>
      </w:r>
      <w:r w:rsidRPr="00A24EB4">
        <w:t>100</w:t>
      </w:r>
      <w:r>
        <w:t xml:space="preserve"> </w:t>
      </w:r>
      <w:r w:rsidRPr="00A24EB4">
        <w:t>000</w:t>
      </w:r>
      <w:r>
        <w:t xml:space="preserve"> </w:t>
      </w:r>
      <w:r w:rsidRPr="00A24EB4">
        <w:t>Kč,</w:t>
      </w:r>
      <w:r>
        <w:t xml:space="preserve"> </w:t>
      </w:r>
      <w:r w:rsidRPr="00A24EB4">
        <w:t>jde-li</w:t>
      </w:r>
      <w:r>
        <w:t xml:space="preserve"> </w:t>
      </w:r>
      <w:r w:rsidRPr="00A24EB4">
        <w:t>o</w:t>
      </w:r>
      <w:r>
        <w:t xml:space="preserve"> </w:t>
      </w:r>
      <w:r w:rsidRPr="00A24EB4">
        <w:t>přestupek</w:t>
      </w:r>
      <w:r>
        <w:t xml:space="preserve"> </w:t>
      </w:r>
      <w:r w:rsidRPr="00A24EB4">
        <w:t>podle</w:t>
      </w:r>
      <w:r>
        <w:t xml:space="preserve"> </w:t>
      </w:r>
      <w:r w:rsidRPr="00A24EB4">
        <w:t>písmene</w:t>
      </w:r>
      <w:r>
        <w:t xml:space="preserve"> </w:t>
      </w:r>
      <w:r w:rsidRPr="00A24EB4">
        <w:t>b)</w:t>
      </w:r>
      <w:r>
        <w:t xml:space="preserve"> </w:t>
      </w:r>
      <w:r w:rsidRPr="00A24EB4">
        <w:t>nebo</w:t>
      </w:r>
      <w:r>
        <w:t xml:space="preserve"> </w:t>
      </w:r>
      <w:r w:rsidRPr="00A24EB4">
        <w:t>g)</w:t>
      </w:r>
      <w:r>
        <w:t xml:space="preserve"> </w:t>
      </w:r>
      <w:r w:rsidRPr="00A24EB4">
        <w:t>až</w:t>
      </w:r>
      <w:r>
        <w:t xml:space="preserve"> </w:t>
      </w:r>
      <w:r w:rsidRPr="00A24EB4">
        <w:t>j),</w:t>
      </w:r>
    </w:p>
    <w:p w14:paraId="7B71530F" w14:textId="52E14C79" w:rsidR="00704C9A" w:rsidRDefault="00704C9A" w:rsidP="003776AE">
      <w:pPr>
        <w:pStyle w:val="Textparagrafu"/>
        <w:tabs>
          <w:tab w:val="left" w:pos="434"/>
        </w:tabs>
        <w:spacing w:before="0"/>
        <w:ind w:firstLine="0"/>
      </w:pPr>
      <w:r w:rsidRPr="00A24EB4">
        <w:t>b)</w:t>
      </w:r>
      <w:r w:rsidR="003776AE">
        <w:tab/>
      </w:r>
      <w:r w:rsidRPr="00A24EB4">
        <w:t>250</w:t>
      </w:r>
      <w:r>
        <w:t xml:space="preserve"> </w:t>
      </w:r>
      <w:r w:rsidRPr="00A24EB4">
        <w:t>000</w:t>
      </w:r>
      <w:r>
        <w:t xml:space="preserve"> </w:t>
      </w:r>
      <w:r w:rsidRPr="00A24EB4">
        <w:t>Kč,</w:t>
      </w:r>
      <w:r>
        <w:t xml:space="preserve"> </w:t>
      </w:r>
      <w:r w:rsidRPr="00A24EB4">
        <w:t>jde-li</w:t>
      </w:r>
      <w:r>
        <w:t xml:space="preserve"> </w:t>
      </w:r>
      <w:r w:rsidRPr="00A24EB4">
        <w:t>o</w:t>
      </w:r>
      <w:r>
        <w:t xml:space="preserve"> </w:t>
      </w:r>
      <w:r w:rsidRPr="00A24EB4">
        <w:t>přestupek</w:t>
      </w:r>
      <w:r>
        <w:t xml:space="preserve"> </w:t>
      </w:r>
      <w:r w:rsidRPr="00A24EB4">
        <w:t>podle</w:t>
      </w:r>
      <w:r>
        <w:t xml:space="preserve"> </w:t>
      </w:r>
      <w:r w:rsidRPr="00A24EB4">
        <w:t>písmene</w:t>
      </w:r>
      <w:r>
        <w:t xml:space="preserve"> </w:t>
      </w:r>
      <w:r w:rsidRPr="00A24EB4">
        <w:t>c)</w:t>
      </w:r>
      <w:r>
        <w:t xml:space="preserve"> </w:t>
      </w:r>
      <w:r w:rsidRPr="00A24EB4">
        <w:t>až</w:t>
      </w:r>
      <w:r>
        <w:t xml:space="preserve"> </w:t>
      </w:r>
      <w:r w:rsidRPr="00A24EB4">
        <w:t>e),</w:t>
      </w:r>
      <w:r>
        <w:t xml:space="preserve"> </w:t>
      </w:r>
      <w:r w:rsidRPr="00A24EB4">
        <w:t>k)</w:t>
      </w:r>
      <w:r>
        <w:t xml:space="preserve"> </w:t>
      </w:r>
      <w:r w:rsidRPr="00A24EB4">
        <w:t>až</w:t>
      </w:r>
      <w:r>
        <w:t xml:space="preserve"> </w:t>
      </w:r>
      <w:r w:rsidRPr="00A24EB4">
        <w:t>m)</w:t>
      </w:r>
      <w:r>
        <w:t xml:space="preserve"> </w:t>
      </w:r>
      <w:r w:rsidRPr="00A24EB4">
        <w:t>nebo</w:t>
      </w:r>
      <w:r>
        <w:t xml:space="preserve"> </w:t>
      </w:r>
      <w:r w:rsidRPr="00A24EB4">
        <w:t>o),</w:t>
      </w:r>
    </w:p>
    <w:p w14:paraId="458C6CCC" w14:textId="6913CEC2" w:rsidR="00704C9A" w:rsidRPr="00A24EB4" w:rsidRDefault="00704C9A" w:rsidP="003776AE">
      <w:pPr>
        <w:pStyle w:val="Textparagrafu"/>
        <w:tabs>
          <w:tab w:val="left" w:pos="434"/>
        </w:tabs>
        <w:spacing w:before="0"/>
        <w:ind w:firstLine="0"/>
      </w:pPr>
      <w:r w:rsidRPr="00A24EB4">
        <w:t>c)</w:t>
      </w:r>
      <w:r w:rsidR="003776AE">
        <w:tab/>
      </w:r>
      <w:r w:rsidRPr="00A24EB4">
        <w:t>500</w:t>
      </w:r>
      <w:r>
        <w:t xml:space="preserve"> </w:t>
      </w:r>
      <w:r w:rsidRPr="00A24EB4">
        <w:t>000</w:t>
      </w:r>
      <w:r>
        <w:t xml:space="preserve"> </w:t>
      </w:r>
      <w:r w:rsidRPr="00A24EB4">
        <w:t>Kč,</w:t>
      </w:r>
      <w:r>
        <w:t xml:space="preserve"> </w:t>
      </w:r>
      <w:r w:rsidRPr="00A24EB4">
        <w:t>jde-li</w:t>
      </w:r>
      <w:r>
        <w:t xml:space="preserve"> </w:t>
      </w:r>
      <w:r w:rsidRPr="00A24EB4">
        <w:t>o</w:t>
      </w:r>
      <w:r>
        <w:t xml:space="preserve"> </w:t>
      </w:r>
      <w:r w:rsidRPr="00A24EB4">
        <w:t>přestupek</w:t>
      </w:r>
      <w:r>
        <w:t xml:space="preserve"> </w:t>
      </w:r>
      <w:r w:rsidRPr="00A24EB4">
        <w:t>podle</w:t>
      </w:r>
      <w:r>
        <w:t xml:space="preserve"> </w:t>
      </w:r>
      <w:r w:rsidRPr="00A24EB4">
        <w:t>písmene</w:t>
      </w:r>
      <w:r>
        <w:t xml:space="preserve"> </w:t>
      </w:r>
      <w:r w:rsidRPr="00A24EB4">
        <w:t>a),</w:t>
      </w:r>
      <w:r>
        <w:t xml:space="preserve"> </w:t>
      </w:r>
      <w:r w:rsidRPr="00A24EB4">
        <w:t>f)</w:t>
      </w:r>
      <w:r>
        <w:t xml:space="preserve"> </w:t>
      </w:r>
      <w:r w:rsidRPr="00A24EB4">
        <w:t>nebo</w:t>
      </w:r>
      <w:r>
        <w:t xml:space="preserve"> </w:t>
      </w:r>
      <w:r w:rsidRPr="00A24EB4">
        <w:t>n).</w:t>
      </w:r>
    </w:p>
    <w:p w14:paraId="03EAF769" w14:textId="58729A7F" w:rsidR="00704C9A" w:rsidRDefault="00704C9A" w:rsidP="00704C9A">
      <w:pPr>
        <w:pStyle w:val="Textparagrafu"/>
        <w:tabs>
          <w:tab w:val="left" w:pos="406"/>
          <w:tab w:val="left" w:pos="840"/>
          <w:tab w:val="left" w:pos="868"/>
        </w:tabs>
        <w:spacing w:after="120"/>
        <w:ind w:firstLine="0"/>
        <w:jc w:val="center"/>
      </w:pPr>
      <w:r>
        <w:t>***</w:t>
      </w:r>
    </w:p>
    <w:p w14:paraId="64288E14" w14:textId="77777777" w:rsidR="004863C4" w:rsidRPr="004863C4" w:rsidRDefault="004863C4" w:rsidP="004863C4">
      <w:pPr>
        <w:pStyle w:val="Textparagrafu"/>
        <w:ind w:firstLine="0"/>
        <w:jc w:val="center"/>
        <w:rPr>
          <w:b/>
        </w:rPr>
      </w:pPr>
      <w:r w:rsidRPr="004863C4">
        <w:rPr>
          <w:b/>
        </w:rPr>
        <w:t>Příloha 3</w:t>
      </w:r>
    </w:p>
    <w:p w14:paraId="02DF80DE" w14:textId="76E3E135" w:rsidR="004863C4" w:rsidRDefault="004863C4" w:rsidP="004863C4">
      <w:pPr>
        <w:pStyle w:val="Textparagrafu"/>
        <w:ind w:firstLine="0"/>
        <w:jc w:val="center"/>
        <w:rPr>
          <w:b/>
          <w:strike/>
        </w:rPr>
      </w:pPr>
      <w:r w:rsidRPr="00197D8F">
        <w:rPr>
          <w:b/>
          <w:strike/>
        </w:rPr>
        <w:t>Informace povinně uváděné ve výroční zprávě podle § 99g odst. 2</w:t>
      </w:r>
    </w:p>
    <w:p w14:paraId="1F43A624" w14:textId="5D4D5A2D" w:rsidR="00197D8F" w:rsidRPr="00904F98" w:rsidRDefault="00197D8F" w:rsidP="00904F98">
      <w:pPr>
        <w:pStyle w:val="Nadpisparagrafu"/>
        <w:numPr>
          <w:ilvl w:val="0"/>
          <w:numId w:val="29"/>
        </w:numPr>
      </w:pPr>
      <w:r>
        <w:t xml:space="preserve">Informace povinně </w:t>
      </w:r>
      <w:r w:rsidRPr="00A64420">
        <w:t>uváděné</w:t>
      </w:r>
      <w:r>
        <w:t xml:space="preserve"> </w:t>
      </w:r>
      <w:r w:rsidRPr="00033190">
        <w:t>v individuální zprávě vedení podle § 99g odst. 3</w:t>
      </w:r>
    </w:p>
    <w:p w14:paraId="535F71D4" w14:textId="77777777" w:rsidR="004863C4" w:rsidRPr="00197D8F" w:rsidRDefault="004863C4" w:rsidP="003A49B1">
      <w:pPr>
        <w:pStyle w:val="Textparagrafu"/>
        <w:tabs>
          <w:tab w:val="left" w:pos="392"/>
          <w:tab w:val="left" w:pos="826"/>
        </w:tabs>
        <w:spacing w:after="120"/>
        <w:rPr>
          <w:b/>
        </w:rPr>
      </w:pPr>
      <w:r w:rsidRPr="00197D8F">
        <w:rPr>
          <w:b/>
        </w:rPr>
        <w:t>1. Základní informace:</w:t>
      </w:r>
    </w:p>
    <w:p w14:paraId="0F9EC02A" w14:textId="36A33675" w:rsidR="004863C4" w:rsidRPr="00197D8F" w:rsidRDefault="004863C4" w:rsidP="00850A92">
      <w:pPr>
        <w:pStyle w:val="Textparagrafu"/>
        <w:tabs>
          <w:tab w:val="left" w:pos="392"/>
          <w:tab w:val="left" w:pos="826"/>
        </w:tabs>
        <w:spacing w:before="0"/>
        <w:ind w:left="426" w:hanging="426"/>
        <w:rPr>
          <w:strike/>
        </w:rPr>
      </w:pPr>
      <w:r w:rsidRPr="00197D8F">
        <w:rPr>
          <w:strike/>
        </w:rPr>
        <w:t>a)</w:t>
      </w:r>
      <w:r w:rsidR="003A49B1" w:rsidRPr="00197D8F">
        <w:rPr>
          <w:strike/>
        </w:rPr>
        <w:tab/>
      </w:r>
      <w:r w:rsidR="00197D8F">
        <w:rPr>
          <w:strike/>
        </w:rPr>
        <w:tab/>
      </w:r>
      <w:r w:rsidRPr="00197D8F">
        <w:rPr>
          <w:strike/>
        </w:rPr>
        <w:t>účetní závěrka podle zákona o účetnictví a přehled o peněžních tocích,</w:t>
      </w:r>
    </w:p>
    <w:p w14:paraId="583ED62F" w14:textId="6964F137" w:rsidR="004863C4" w:rsidRDefault="004863C4" w:rsidP="00850A92">
      <w:pPr>
        <w:pStyle w:val="Textparagrafu"/>
        <w:tabs>
          <w:tab w:val="left" w:pos="392"/>
          <w:tab w:val="left" w:pos="826"/>
        </w:tabs>
        <w:spacing w:before="0"/>
        <w:ind w:left="426" w:hanging="426"/>
      </w:pPr>
      <w:r w:rsidRPr="00197D8F">
        <w:rPr>
          <w:strike/>
        </w:rPr>
        <w:lastRenderedPageBreak/>
        <w:t>b)</w:t>
      </w:r>
      <w:r w:rsidR="00197D8F">
        <w:rPr>
          <w:b/>
        </w:rPr>
        <w:t>a)</w:t>
      </w:r>
      <w:r w:rsidR="003A49B1">
        <w:tab/>
      </w:r>
      <w:r w:rsidRPr="00A24EB4">
        <w:t>zpráva</w:t>
      </w:r>
      <w:r>
        <w:t xml:space="preserve"> </w:t>
      </w:r>
      <w:r w:rsidRPr="00A24EB4">
        <w:t>o</w:t>
      </w:r>
      <w:r>
        <w:t xml:space="preserve"> </w:t>
      </w:r>
      <w:r w:rsidRPr="00A24EB4">
        <w:t>činnosti</w:t>
      </w:r>
      <w:r>
        <w:t xml:space="preserve"> </w:t>
      </w:r>
      <w:r w:rsidRPr="00A24EB4">
        <w:t>v</w:t>
      </w:r>
      <w:r>
        <w:t xml:space="preserve"> </w:t>
      </w:r>
      <w:r w:rsidRPr="00A24EB4">
        <w:t>účetním</w:t>
      </w:r>
      <w:r>
        <w:t xml:space="preserve"> </w:t>
      </w:r>
      <w:r w:rsidRPr="00A24EB4">
        <w:t>období,</w:t>
      </w:r>
    </w:p>
    <w:p w14:paraId="7DABBB7C" w14:textId="29EF0CA2" w:rsidR="004863C4" w:rsidRDefault="004863C4" w:rsidP="00850A92">
      <w:pPr>
        <w:pStyle w:val="Textparagrafu"/>
        <w:tabs>
          <w:tab w:val="left" w:pos="392"/>
          <w:tab w:val="left" w:pos="826"/>
        </w:tabs>
        <w:spacing w:before="0"/>
        <w:ind w:left="426" w:hanging="426"/>
      </w:pPr>
      <w:r w:rsidRPr="00197D8F">
        <w:rPr>
          <w:strike/>
        </w:rPr>
        <w:t>c)</w:t>
      </w:r>
      <w:r w:rsidR="00197D8F">
        <w:rPr>
          <w:b/>
        </w:rPr>
        <w:t>b)</w:t>
      </w:r>
      <w:r w:rsidR="003A49B1">
        <w:tab/>
      </w:r>
      <w:r w:rsidRPr="00A24EB4">
        <w:t>informace</w:t>
      </w:r>
      <w:r>
        <w:t xml:space="preserve"> </w:t>
      </w:r>
      <w:r w:rsidRPr="00A24EB4">
        <w:t>o</w:t>
      </w:r>
      <w:r>
        <w:t xml:space="preserve"> </w:t>
      </w:r>
      <w:r w:rsidRPr="00A24EB4">
        <w:t>případech</w:t>
      </w:r>
      <w:r>
        <w:t xml:space="preserve"> </w:t>
      </w:r>
      <w:r w:rsidRPr="00A24EB4">
        <w:t>odmítnutí</w:t>
      </w:r>
      <w:r>
        <w:t xml:space="preserve"> </w:t>
      </w:r>
      <w:r w:rsidRPr="00A24EB4">
        <w:t>udělit</w:t>
      </w:r>
      <w:r>
        <w:t xml:space="preserve"> </w:t>
      </w:r>
      <w:r w:rsidRPr="00A24EB4">
        <w:t>licenci</w:t>
      </w:r>
      <w:r>
        <w:t xml:space="preserve"> </w:t>
      </w:r>
      <w:r w:rsidRPr="00A24EB4">
        <w:t>podle</w:t>
      </w:r>
      <w:r>
        <w:t xml:space="preserve"> </w:t>
      </w:r>
      <w:r w:rsidRPr="00A24EB4">
        <w:t>§</w:t>
      </w:r>
      <w:r>
        <w:t xml:space="preserve"> </w:t>
      </w:r>
      <w:r w:rsidRPr="00A24EB4">
        <w:t>98</w:t>
      </w:r>
      <w:r>
        <w:t xml:space="preserve"> </w:t>
      </w:r>
      <w:r w:rsidRPr="00A24EB4">
        <w:t>odst.</w:t>
      </w:r>
      <w:r>
        <w:t xml:space="preserve"> </w:t>
      </w:r>
      <w:r w:rsidRPr="00A24EB4">
        <w:t>1,</w:t>
      </w:r>
    </w:p>
    <w:p w14:paraId="40449243" w14:textId="46021797" w:rsidR="004863C4" w:rsidRDefault="004863C4" w:rsidP="00850A92">
      <w:pPr>
        <w:pStyle w:val="Textparagrafu"/>
        <w:tabs>
          <w:tab w:val="left" w:pos="392"/>
          <w:tab w:val="left" w:pos="826"/>
        </w:tabs>
        <w:spacing w:before="0"/>
        <w:ind w:left="426" w:hanging="426"/>
      </w:pPr>
      <w:r w:rsidRPr="00197D8F">
        <w:rPr>
          <w:strike/>
        </w:rPr>
        <w:t>d</w:t>
      </w:r>
      <w:r w:rsidR="00197D8F" w:rsidRPr="00197D8F">
        <w:rPr>
          <w:strike/>
        </w:rPr>
        <w:t>)</w:t>
      </w:r>
      <w:r w:rsidR="00197D8F">
        <w:rPr>
          <w:b/>
        </w:rPr>
        <w:t>c)</w:t>
      </w:r>
      <w:r w:rsidR="00197D8F">
        <w:rPr>
          <w:b/>
        </w:rPr>
        <w:tab/>
      </w:r>
      <w:r w:rsidR="003A49B1">
        <w:tab/>
      </w:r>
      <w:r w:rsidRPr="00A24EB4">
        <w:t>popis</w:t>
      </w:r>
      <w:r>
        <w:t xml:space="preserve"> </w:t>
      </w:r>
      <w:r w:rsidRPr="00A24EB4">
        <w:t>právní</w:t>
      </w:r>
      <w:r>
        <w:t xml:space="preserve"> </w:t>
      </w:r>
      <w:r w:rsidRPr="00A24EB4">
        <w:t>formy</w:t>
      </w:r>
      <w:r>
        <w:t xml:space="preserve"> </w:t>
      </w:r>
      <w:r w:rsidRPr="00A24EB4">
        <w:t>a</w:t>
      </w:r>
      <w:r>
        <w:t xml:space="preserve"> </w:t>
      </w:r>
      <w:r w:rsidRPr="00A24EB4">
        <w:t>systému</w:t>
      </w:r>
      <w:r>
        <w:t xml:space="preserve"> </w:t>
      </w:r>
      <w:r w:rsidRPr="00A24EB4">
        <w:t>řízení</w:t>
      </w:r>
      <w:r>
        <w:t xml:space="preserve"> </w:t>
      </w:r>
      <w:r w:rsidRPr="00A24EB4">
        <w:t>kolektivního</w:t>
      </w:r>
      <w:r>
        <w:t xml:space="preserve"> </w:t>
      </w:r>
      <w:r w:rsidRPr="00A24EB4">
        <w:t>správce,</w:t>
      </w:r>
    </w:p>
    <w:p w14:paraId="21ABE4E4" w14:textId="64DA5573" w:rsidR="004863C4" w:rsidRDefault="004863C4" w:rsidP="00850A92">
      <w:pPr>
        <w:pStyle w:val="Textparagrafu"/>
        <w:tabs>
          <w:tab w:val="left" w:pos="392"/>
          <w:tab w:val="left" w:pos="826"/>
        </w:tabs>
        <w:spacing w:before="0"/>
        <w:ind w:left="426" w:hanging="426"/>
      </w:pPr>
      <w:r w:rsidRPr="00197D8F">
        <w:rPr>
          <w:strike/>
        </w:rPr>
        <w:t>e)</w:t>
      </w:r>
      <w:r w:rsidR="00197D8F">
        <w:rPr>
          <w:b/>
        </w:rPr>
        <w:t>d)</w:t>
      </w:r>
      <w:r w:rsidR="003A49B1">
        <w:tab/>
      </w:r>
      <w:r w:rsidRPr="00A24EB4">
        <w:t>informace</w:t>
      </w:r>
      <w:r>
        <w:t xml:space="preserve"> </w:t>
      </w:r>
      <w:r w:rsidRPr="00A24EB4">
        <w:t>o</w:t>
      </w:r>
      <w:r>
        <w:t xml:space="preserve"> </w:t>
      </w:r>
      <w:r w:rsidRPr="00A24EB4">
        <w:t>všech</w:t>
      </w:r>
      <w:r>
        <w:t xml:space="preserve"> </w:t>
      </w:r>
      <w:r w:rsidRPr="00A24EB4">
        <w:t>osobách,</w:t>
      </w:r>
      <w:r>
        <w:t xml:space="preserve"> </w:t>
      </w:r>
      <w:r w:rsidRPr="00A24EB4">
        <w:t>ve</w:t>
      </w:r>
      <w:r>
        <w:t xml:space="preserve"> </w:t>
      </w:r>
      <w:r w:rsidRPr="00A24EB4">
        <w:t>kterých</w:t>
      </w:r>
      <w:r>
        <w:t xml:space="preserve"> </w:t>
      </w:r>
      <w:r w:rsidRPr="00A24EB4">
        <w:t>má</w:t>
      </w:r>
      <w:r>
        <w:t xml:space="preserve"> </w:t>
      </w:r>
      <w:r w:rsidRPr="00A24EB4">
        <w:t>kolektivní</w:t>
      </w:r>
      <w:r>
        <w:t xml:space="preserve"> </w:t>
      </w:r>
      <w:r w:rsidRPr="00A24EB4">
        <w:t>správce</w:t>
      </w:r>
      <w:r>
        <w:t xml:space="preserve"> </w:t>
      </w:r>
      <w:r w:rsidRPr="00A24EB4">
        <w:t>majetkovou</w:t>
      </w:r>
      <w:r>
        <w:t xml:space="preserve"> </w:t>
      </w:r>
      <w:r w:rsidRPr="00A24EB4">
        <w:t>účast</w:t>
      </w:r>
      <w:r>
        <w:t xml:space="preserve"> </w:t>
      </w:r>
      <w:r w:rsidRPr="00A24EB4">
        <w:t>nebo</w:t>
      </w:r>
      <w:r>
        <w:t xml:space="preserve"> </w:t>
      </w:r>
      <w:r w:rsidRPr="00A24EB4">
        <w:t>je</w:t>
      </w:r>
      <w:r>
        <w:t xml:space="preserve"> </w:t>
      </w:r>
      <w:r w:rsidRPr="00A24EB4">
        <w:t>přímo</w:t>
      </w:r>
      <w:r>
        <w:t xml:space="preserve"> </w:t>
      </w:r>
      <w:r w:rsidRPr="00A24EB4">
        <w:t>nebo</w:t>
      </w:r>
      <w:r>
        <w:t xml:space="preserve"> </w:t>
      </w:r>
      <w:r w:rsidRPr="00A24EB4">
        <w:t>nepřímo,</w:t>
      </w:r>
      <w:r>
        <w:t xml:space="preserve"> </w:t>
      </w:r>
      <w:r w:rsidRPr="00A24EB4">
        <w:t>v</w:t>
      </w:r>
      <w:r>
        <w:t xml:space="preserve"> </w:t>
      </w:r>
      <w:r w:rsidRPr="00A24EB4">
        <w:t>celém</w:t>
      </w:r>
      <w:r>
        <w:t xml:space="preserve"> </w:t>
      </w:r>
      <w:r w:rsidRPr="00A24EB4">
        <w:t>rozsahu</w:t>
      </w:r>
      <w:r>
        <w:t xml:space="preserve"> </w:t>
      </w:r>
      <w:r w:rsidRPr="00A24EB4">
        <w:t>nebo</w:t>
      </w:r>
      <w:r>
        <w:t xml:space="preserve"> </w:t>
      </w:r>
      <w:r w:rsidRPr="00A24EB4">
        <w:t>zčásti</w:t>
      </w:r>
      <w:r>
        <w:t xml:space="preserve"> </w:t>
      </w:r>
      <w:r w:rsidRPr="00A24EB4">
        <w:t>ovládá,</w:t>
      </w:r>
    </w:p>
    <w:p w14:paraId="5A78BC6B" w14:textId="68DD2C4A" w:rsidR="004863C4" w:rsidRDefault="004863C4" w:rsidP="00850A92">
      <w:pPr>
        <w:pStyle w:val="Textparagrafu"/>
        <w:tabs>
          <w:tab w:val="left" w:pos="392"/>
          <w:tab w:val="left" w:pos="826"/>
        </w:tabs>
        <w:spacing w:before="0"/>
        <w:ind w:left="426" w:hanging="426"/>
      </w:pPr>
      <w:r w:rsidRPr="00197D8F">
        <w:rPr>
          <w:strike/>
        </w:rPr>
        <w:t>f)</w:t>
      </w:r>
      <w:r w:rsidR="00197D8F">
        <w:rPr>
          <w:b/>
        </w:rPr>
        <w:t>e)</w:t>
      </w:r>
      <w:r w:rsidR="00197D8F">
        <w:tab/>
      </w:r>
      <w:r w:rsidR="00197D8F">
        <w:tab/>
      </w:r>
      <w:r w:rsidRPr="00A24EB4">
        <w:t>informace</w:t>
      </w:r>
      <w:r>
        <w:t xml:space="preserve"> </w:t>
      </w:r>
      <w:r w:rsidRPr="00A24EB4">
        <w:t>o</w:t>
      </w:r>
      <w:r>
        <w:t xml:space="preserve"> </w:t>
      </w:r>
      <w:r w:rsidRPr="00A24EB4">
        <w:t>celkové</w:t>
      </w:r>
      <w:r>
        <w:t xml:space="preserve"> </w:t>
      </w:r>
      <w:r w:rsidRPr="00A24EB4">
        <w:t>výši</w:t>
      </w:r>
      <w:r>
        <w:t xml:space="preserve"> </w:t>
      </w:r>
      <w:r w:rsidRPr="00A24EB4">
        <w:t>odměn</w:t>
      </w:r>
      <w:r>
        <w:t xml:space="preserve"> </w:t>
      </w:r>
      <w:r w:rsidRPr="00A24EB4">
        <w:t>vyplacených</w:t>
      </w:r>
      <w:r>
        <w:t xml:space="preserve"> </w:t>
      </w:r>
      <w:r w:rsidRPr="00A24EB4">
        <w:t>osobám</w:t>
      </w:r>
      <w:r>
        <w:t xml:space="preserve"> </w:t>
      </w:r>
      <w:r w:rsidRPr="00A24EB4">
        <w:t>vykonávajícím</w:t>
      </w:r>
      <w:r>
        <w:t xml:space="preserve"> </w:t>
      </w:r>
      <w:r w:rsidRPr="00A24EB4">
        <w:t>kontrolní</w:t>
      </w:r>
      <w:r>
        <w:t xml:space="preserve"> </w:t>
      </w:r>
      <w:r w:rsidRPr="00A24EB4">
        <w:t>funkci</w:t>
      </w:r>
      <w:r>
        <w:t xml:space="preserve"> </w:t>
      </w:r>
      <w:r w:rsidRPr="00A24EB4">
        <w:t>a</w:t>
      </w:r>
      <w:r>
        <w:t xml:space="preserve"> </w:t>
      </w:r>
      <w:r w:rsidRPr="00A24EB4">
        <w:t>osobám,</w:t>
      </w:r>
      <w:r>
        <w:t xml:space="preserve"> </w:t>
      </w:r>
      <w:r w:rsidRPr="00A24EB4">
        <w:t>které</w:t>
      </w:r>
      <w:r>
        <w:t xml:space="preserve"> </w:t>
      </w:r>
      <w:r w:rsidRPr="00A24EB4">
        <w:t>řídí</w:t>
      </w:r>
      <w:r>
        <w:t xml:space="preserve"> </w:t>
      </w:r>
      <w:r w:rsidRPr="00A24EB4">
        <w:t>kolektivního</w:t>
      </w:r>
      <w:r>
        <w:t xml:space="preserve"> </w:t>
      </w:r>
      <w:r w:rsidRPr="00A24EB4">
        <w:t>správce,</w:t>
      </w:r>
      <w:r>
        <w:t xml:space="preserve"> </w:t>
      </w:r>
      <w:r w:rsidRPr="00A24EB4">
        <w:t>a</w:t>
      </w:r>
      <w:r>
        <w:t xml:space="preserve"> </w:t>
      </w:r>
      <w:r w:rsidRPr="00A24EB4">
        <w:t>o</w:t>
      </w:r>
      <w:r>
        <w:t xml:space="preserve"> </w:t>
      </w:r>
      <w:r w:rsidRPr="00A24EB4">
        <w:t>jakýchkoli</w:t>
      </w:r>
      <w:r>
        <w:t xml:space="preserve"> </w:t>
      </w:r>
      <w:r w:rsidRPr="00A24EB4">
        <w:t>jiných</w:t>
      </w:r>
      <w:r>
        <w:t xml:space="preserve"> </w:t>
      </w:r>
      <w:r w:rsidRPr="00A24EB4">
        <w:t>výhodách,</w:t>
      </w:r>
      <w:r>
        <w:t xml:space="preserve"> </w:t>
      </w:r>
      <w:r w:rsidRPr="00A24EB4">
        <w:t>které</w:t>
      </w:r>
      <w:r>
        <w:t xml:space="preserve"> </w:t>
      </w:r>
      <w:r w:rsidRPr="00A24EB4">
        <w:t>jim</w:t>
      </w:r>
      <w:r>
        <w:t xml:space="preserve"> </w:t>
      </w:r>
      <w:r w:rsidRPr="00A24EB4">
        <w:t>byly</w:t>
      </w:r>
      <w:r>
        <w:t xml:space="preserve"> </w:t>
      </w:r>
      <w:r w:rsidRPr="00A24EB4">
        <w:t>poskytnuty</w:t>
      </w:r>
      <w:r>
        <w:t xml:space="preserve"> </w:t>
      </w:r>
      <w:r w:rsidRPr="00A24EB4">
        <w:t>v</w:t>
      </w:r>
      <w:r>
        <w:t xml:space="preserve"> </w:t>
      </w:r>
      <w:r w:rsidRPr="00A24EB4">
        <w:t>předchozím</w:t>
      </w:r>
      <w:r>
        <w:t xml:space="preserve"> </w:t>
      </w:r>
      <w:r w:rsidRPr="00A24EB4">
        <w:t>roce,</w:t>
      </w:r>
    </w:p>
    <w:p w14:paraId="64E13A8C" w14:textId="569C177F" w:rsidR="004863C4" w:rsidRDefault="004863C4" w:rsidP="00850A92">
      <w:pPr>
        <w:pStyle w:val="Textparagrafu"/>
        <w:tabs>
          <w:tab w:val="left" w:pos="392"/>
          <w:tab w:val="left" w:pos="826"/>
        </w:tabs>
        <w:spacing w:before="0"/>
        <w:ind w:left="426" w:hanging="426"/>
      </w:pPr>
      <w:r w:rsidRPr="00197D8F">
        <w:rPr>
          <w:strike/>
        </w:rPr>
        <w:t>g</w:t>
      </w:r>
      <w:r w:rsidR="00197D8F" w:rsidRPr="00197D8F">
        <w:rPr>
          <w:strike/>
        </w:rPr>
        <w:t>)</w:t>
      </w:r>
      <w:r w:rsidR="00197D8F">
        <w:rPr>
          <w:b/>
        </w:rPr>
        <w:t>f)</w:t>
      </w:r>
      <w:r w:rsidR="00197D8F">
        <w:rPr>
          <w:b/>
        </w:rPr>
        <w:tab/>
      </w:r>
      <w:r w:rsidR="003A49B1">
        <w:tab/>
      </w:r>
      <w:r w:rsidRPr="00A24EB4">
        <w:t>informace</w:t>
      </w:r>
      <w:r>
        <w:t xml:space="preserve"> </w:t>
      </w:r>
      <w:r w:rsidRPr="00A24EB4">
        <w:t>uvedené</w:t>
      </w:r>
      <w:r>
        <w:t xml:space="preserve"> </w:t>
      </w:r>
      <w:r w:rsidRPr="00A24EB4">
        <w:t>v</w:t>
      </w:r>
      <w:r>
        <w:t xml:space="preserve"> </w:t>
      </w:r>
      <w:r w:rsidRPr="00A24EB4">
        <w:t>bodě</w:t>
      </w:r>
      <w:r>
        <w:t xml:space="preserve"> </w:t>
      </w:r>
      <w:r w:rsidRPr="00A24EB4">
        <w:t>2</w:t>
      </w:r>
      <w:r>
        <w:t xml:space="preserve"> </w:t>
      </w:r>
      <w:r w:rsidRPr="00A24EB4">
        <w:t>této</w:t>
      </w:r>
      <w:r>
        <w:t xml:space="preserve"> </w:t>
      </w:r>
      <w:r w:rsidRPr="00A24EB4">
        <w:t>přílohy,</w:t>
      </w:r>
    </w:p>
    <w:p w14:paraId="2F8FF95B" w14:textId="3C9837D8" w:rsidR="004863C4" w:rsidRDefault="004863C4" w:rsidP="00850A92">
      <w:pPr>
        <w:pStyle w:val="Textparagrafu"/>
        <w:tabs>
          <w:tab w:val="left" w:pos="392"/>
          <w:tab w:val="left" w:pos="826"/>
        </w:tabs>
        <w:spacing w:before="0"/>
        <w:ind w:left="426" w:hanging="426"/>
      </w:pPr>
      <w:r w:rsidRPr="00197D8F">
        <w:rPr>
          <w:strike/>
        </w:rPr>
        <w:t>h)</w:t>
      </w:r>
      <w:r w:rsidR="00197D8F">
        <w:rPr>
          <w:b/>
        </w:rPr>
        <w:t>g)</w:t>
      </w:r>
      <w:r w:rsidR="00197D8F">
        <w:tab/>
      </w:r>
      <w:r w:rsidRPr="00A24EB4">
        <w:t>zvláštní</w:t>
      </w:r>
      <w:r>
        <w:t xml:space="preserve"> </w:t>
      </w:r>
      <w:r w:rsidRPr="00A24EB4">
        <w:t>zpráva</w:t>
      </w:r>
      <w:r>
        <w:t xml:space="preserve"> </w:t>
      </w:r>
      <w:r w:rsidRPr="00A24EB4">
        <w:t>o</w:t>
      </w:r>
      <w:r>
        <w:t xml:space="preserve"> </w:t>
      </w:r>
      <w:r w:rsidRPr="00A24EB4">
        <w:t>využití</w:t>
      </w:r>
      <w:r>
        <w:t xml:space="preserve"> </w:t>
      </w:r>
      <w:r w:rsidRPr="00A24EB4">
        <w:t>částek</w:t>
      </w:r>
      <w:r>
        <w:t xml:space="preserve"> </w:t>
      </w:r>
      <w:r w:rsidRPr="00A24EB4">
        <w:t>sražených</w:t>
      </w:r>
      <w:r>
        <w:t xml:space="preserve"> </w:t>
      </w:r>
      <w:r w:rsidRPr="00A24EB4">
        <w:t>na</w:t>
      </w:r>
      <w:r>
        <w:t xml:space="preserve"> </w:t>
      </w:r>
      <w:r w:rsidRPr="00A24EB4">
        <w:t>poskytování</w:t>
      </w:r>
      <w:r>
        <w:t xml:space="preserve"> </w:t>
      </w:r>
      <w:r w:rsidRPr="00A24EB4">
        <w:t>sociálních,</w:t>
      </w:r>
      <w:r>
        <w:t xml:space="preserve"> </w:t>
      </w:r>
      <w:r w:rsidRPr="00A24EB4">
        <w:t>kulturních</w:t>
      </w:r>
      <w:r>
        <w:t xml:space="preserve"> </w:t>
      </w:r>
      <w:r w:rsidRPr="00A24EB4">
        <w:t>a</w:t>
      </w:r>
      <w:r>
        <w:t xml:space="preserve"> </w:t>
      </w:r>
      <w:r w:rsidRPr="00A24EB4">
        <w:t>vzdělávacích</w:t>
      </w:r>
      <w:r>
        <w:t xml:space="preserve"> </w:t>
      </w:r>
      <w:r w:rsidRPr="00A24EB4">
        <w:t>služeb,</w:t>
      </w:r>
      <w:r>
        <w:t xml:space="preserve"> </w:t>
      </w:r>
      <w:r w:rsidRPr="00A24EB4">
        <w:t>obsahující</w:t>
      </w:r>
      <w:r>
        <w:t xml:space="preserve"> </w:t>
      </w:r>
      <w:r w:rsidRPr="00A24EB4">
        <w:t>informace</w:t>
      </w:r>
      <w:r>
        <w:t xml:space="preserve"> </w:t>
      </w:r>
      <w:r w:rsidRPr="00A24EB4">
        <w:t>uvedené</w:t>
      </w:r>
      <w:r>
        <w:t xml:space="preserve"> </w:t>
      </w:r>
      <w:r w:rsidRPr="00A24EB4">
        <w:t>v</w:t>
      </w:r>
      <w:r>
        <w:t xml:space="preserve"> </w:t>
      </w:r>
      <w:r w:rsidRPr="00A24EB4">
        <w:t>bodě</w:t>
      </w:r>
      <w:r>
        <w:t xml:space="preserve"> </w:t>
      </w:r>
      <w:r w:rsidRPr="00A24EB4">
        <w:t>3</w:t>
      </w:r>
      <w:r>
        <w:t xml:space="preserve"> </w:t>
      </w:r>
      <w:r w:rsidRPr="00A24EB4">
        <w:t>této</w:t>
      </w:r>
      <w:r>
        <w:t xml:space="preserve"> </w:t>
      </w:r>
      <w:r w:rsidRPr="00A24EB4">
        <w:t>přílohy.</w:t>
      </w:r>
    </w:p>
    <w:p w14:paraId="415DF27F" w14:textId="77777777" w:rsidR="004863C4" w:rsidRPr="00197D8F" w:rsidRDefault="004863C4" w:rsidP="00197D8F">
      <w:pPr>
        <w:pStyle w:val="Textparagrafu"/>
        <w:tabs>
          <w:tab w:val="left" w:pos="392"/>
          <w:tab w:val="left" w:pos="826"/>
        </w:tabs>
        <w:spacing w:after="120"/>
        <w:rPr>
          <w:b/>
        </w:rPr>
      </w:pPr>
      <w:r w:rsidRPr="00197D8F">
        <w:rPr>
          <w:b/>
        </w:rPr>
        <w:t>2. Finanční informace:</w:t>
      </w:r>
    </w:p>
    <w:p w14:paraId="4C2CD531" w14:textId="429CA50C" w:rsidR="004863C4" w:rsidRDefault="004863C4" w:rsidP="00850A92">
      <w:pPr>
        <w:pStyle w:val="Textparagrafu"/>
        <w:tabs>
          <w:tab w:val="left" w:pos="392"/>
          <w:tab w:val="left" w:pos="826"/>
        </w:tabs>
        <w:spacing w:before="0"/>
        <w:ind w:left="426" w:hanging="426"/>
      </w:pPr>
      <w:r w:rsidRPr="00A24EB4">
        <w:t>a)</w:t>
      </w:r>
      <w:r w:rsidR="003A49B1">
        <w:tab/>
      </w:r>
      <w:r w:rsidRPr="00A24EB4">
        <w:t>informace</w:t>
      </w:r>
      <w:r>
        <w:t xml:space="preserve"> </w:t>
      </w:r>
      <w:r w:rsidRPr="00A24EB4">
        <w:t>o</w:t>
      </w:r>
      <w:r>
        <w:t xml:space="preserve"> </w:t>
      </w:r>
      <w:r w:rsidRPr="00A24EB4">
        <w:t>celkové</w:t>
      </w:r>
      <w:r>
        <w:t xml:space="preserve"> </w:t>
      </w:r>
      <w:r w:rsidRPr="00A24EB4">
        <w:t>výši</w:t>
      </w:r>
      <w:r>
        <w:t xml:space="preserve"> </w:t>
      </w:r>
      <w:r w:rsidRPr="00A24EB4">
        <w:t>příjmů</w:t>
      </w:r>
      <w:r>
        <w:t xml:space="preserve"> </w:t>
      </w:r>
      <w:r w:rsidRPr="00A24EB4">
        <w:t>z</w:t>
      </w:r>
      <w:r>
        <w:t xml:space="preserve"> </w:t>
      </w:r>
      <w:r w:rsidRPr="00A24EB4">
        <w:t>výkonu</w:t>
      </w:r>
      <w:r>
        <w:t xml:space="preserve"> </w:t>
      </w:r>
      <w:r w:rsidRPr="00A24EB4">
        <w:t>práv</w:t>
      </w:r>
      <w:r>
        <w:t xml:space="preserve"> </w:t>
      </w:r>
      <w:r w:rsidRPr="00A24EB4">
        <w:t>podle</w:t>
      </w:r>
      <w:r>
        <w:t xml:space="preserve"> </w:t>
      </w:r>
      <w:r w:rsidRPr="00A24EB4">
        <w:t>kategorií</w:t>
      </w:r>
      <w:r>
        <w:t xml:space="preserve"> </w:t>
      </w:r>
      <w:r w:rsidRPr="00A24EB4">
        <w:t>spravovaných</w:t>
      </w:r>
      <w:r>
        <w:t xml:space="preserve"> </w:t>
      </w:r>
      <w:r w:rsidRPr="00A24EB4">
        <w:t>práv</w:t>
      </w:r>
      <w:r>
        <w:t xml:space="preserve"> </w:t>
      </w:r>
      <w:r w:rsidRPr="00A24EB4">
        <w:t>a</w:t>
      </w:r>
      <w:r>
        <w:t xml:space="preserve"> </w:t>
      </w:r>
      <w:r w:rsidRPr="00A24EB4">
        <w:t>způsobu</w:t>
      </w:r>
      <w:r>
        <w:t xml:space="preserve"> </w:t>
      </w:r>
      <w:r w:rsidRPr="00A24EB4">
        <w:t>užití,</w:t>
      </w:r>
      <w:r>
        <w:t xml:space="preserve"> </w:t>
      </w:r>
      <w:r w:rsidRPr="00A24EB4">
        <w:t>včetně</w:t>
      </w:r>
      <w:r>
        <w:t xml:space="preserve"> </w:t>
      </w:r>
      <w:r w:rsidRPr="00A24EB4">
        <w:t>informací</w:t>
      </w:r>
      <w:r>
        <w:t xml:space="preserve"> </w:t>
      </w:r>
      <w:r w:rsidRPr="00A24EB4">
        <w:t>o</w:t>
      </w:r>
      <w:r>
        <w:t xml:space="preserve"> </w:t>
      </w:r>
      <w:r w:rsidRPr="00A24EB4">
        <w:t>příjmech</w:t>
      </w:r>
      <w:r>
        <w:t xml:space="preserve"> </w:t>
      </w:r>
      <w:r w:rsidRPr="00A24EB4">
        <w:t>z</w:t>
      </w:r>
      <w:r>
        <w:t xml:space="preserve"> </w:t>
      </w:r>
      <w:r w:rsidRPr="00A24EB4">
        <w:t>investování</w:t>
      </w:r>
      <w:r>
        <w:t xml:space="preserve"> </w:t>
      </w:r>
      <w:r w:rsidRPr="00A24EB4">
        <w:t>příjmů</w:t>
      </w:r>
      <w:r>
        <w:t xml:space="preserve"> </w:t>
      </w:r>
      <w:r w:rsidRPr="00A24EB4">
        <w:t>z</w:t>
      </w:r>
      <w:r>
        <w:t xml:space="preserve"> </w:t>
      </w:r>
      <w:r w:rsidRPr="00A24EB4">
        <w:t>výkonu</w:t>
      </w:r>
      <w:r>
        <w:t xml:space="preserve"> </w:t>
      </w:r>
      <w:r w:rsidRPr="00A24EB4">
        <w:t>práv,</w:t>
      </w:r>
      <w:r>
        <w:t xml:space="preserve"> </w:t>
      </w:r>
      <w:r w:rsidRPr="00A24EB4">
        <w:t>a</w:t>
      </w:r>
      <w:r>
        <w:t xml:space="preserve"> </w:t>
      </w:r>
      <w:r w:rsidRPr="00A24EB4">
        <w:t>o</w:t>
      </w:r>
      <w:r>
        <w:t xml:space="preserve"> </w:t>
      </w:r>
      <w:r w:rsidRPr="00A24EB4">
        <w:t>použití</w:t>
      </w:r>
      <w:r>
        <w:t xml:space="preserve"> </w:t>
      </w:r>
      <w:r w:rsidRPr="00A24EB4">
        <w:t>těchto</w:t>
      </w:r>
      <w:r>
        <w:t xml:space="preserve"> </w:t>
      </w:r>
      <w:r w:rsidRPr="00A24EB4">
        <w:t>příjmů;</w:t>
      </w:r>
    </w:p>
    <w:p w14:paraId="6EFB9795" w14:textId="2A2CAD73" w:rsidR="004863C4" w:rsidRPr="00A24EB4" w:rsidRDefault="004863C4" w:rsidP="00850A92">
      <w:pPr>
        <w:pStyle w:val="Textparagrafu"/>
        <w:tabs>
          <w:tab w:val="left" w:pos="392"/>
          <w:tab w:val="left" w:pos="826"/>
        </w:tabs>
        <w:spacing w:before="0"/>
        <w:ind w:left="426" w:hanging="426"/>
      </w:pPr>
      <w:r w:rsidRPr="00A24EB4">
        <w:t>b)</w:t>
      </w:r>
      <w:r w:rsidR="003A49B1">
        <w:tab/>
      </w:r>
      <w:r w:rsidRPr="00A24EB4">
        <w:t>informace</w:t>
      </w:r>
      <w:r>
        <w:t xml:space="preserve"> </w:t>
      </w:r>
      <w:r w:rsidRPr="00A24EB4">
        <w:t>o</w:t>
      </w:r>
      <w:r>
        <w:t xml:space="preserve"> </w:t>
      </w:r>
      <w:r w:rsidRPr="00A24EB4">
        <w:t>výši</w:t>
      </w:r>
      <w:r>
        <w:t xml:space="preserve"> </w:t>
      </w:r>
      <w:r w:rsidRPr="00A24EB4">
        <w:t>nákladů</w:t>
      </w:r>
      <w:r>
        <w:t xml:space="preserve"> </w:t>
      </w:r>
      <w:r w:rsidRPr="00A24EB4">
        <w:t>na</w:t>
      </w:r>
      <w:r>
        <w:t xml:space="preserve"> </w:t>
      </w:r>
      <w:r w:rsidRPr="00A24EB4">
        <w:t>správu</w:t>
      </w:r>
      <w:r>
        <w:t xml:space="preserve"> </w:t>
      </w:r>
      <w:r w:rsidRPr="00A24EB4">
        <w:t>práv</w:t>
      </w:r>
      <w:r>
        <w:t xml:space="preserve"> </w:t>
      </w:r>
      <w:r w:rsidRPr="00A24EB4">
        <w:t>a</w:t>
      </w:r>
      <w:r>
        <w:t xml:space="preserve"> </w:t>
      </w:r>
      <w:r w:rsidRPr="00A24EB4">
        <w:t>jiné</w:t>
      </w:r>
      <w:r>
        <w:t xml:space="preserve"> </w:t>
      </w:r>
      <w:r w:rsidRPr="00A24EB4">
        <w:t>služby</w:t>
      </w:r>
      <w:r>
        <w:t xml:space="preserve"> </w:t>
      </w:r>
      <w:r w:rsidRPr="00A24EB4">
        <w:t>poskytované</w:t>
      </w:r>
      <w:r>
        <w:t xml:space="preserve"> </w:t>
      </w:r>
      <w:r w:rsidRPr="00A24EB4">
        <w:t>kolektivním</w:t>
      </w:r>
      <w:r>
        <w:t xml:space="preserve"> </w:t>
      </w:r>
      <w:r w:rsidRPr="00A24EB4">
        <w:t>správcem</w:t>
      </w:r>
      <w:r>
        <w:t xml:space="preserve"> </w:t>
      </w:r>
      <w:r w:rsidRPr="00A24EB4">
        <w:t>nositelům</w:t>
      </w:r>
      <w:r>
        <w:t xml:space="preserve"> </w:t>
      </w:r>
      <w:r w:rsidRPr="00A24EB4">
        <w:t>práv</w:t>
      </w:r>
      <w:r>
        <w:t xml:space="preserve"> </w:t>
      </w:r>
      <w:r w:rsidRPr="00A24EB4">
        <w:t>s</w:t>
      </w:r>
      <w:r>
        <w:t xml:space="preserve"> </w:t>
      </w:r>
      <w:r w:rsidRPr="00A24EB4">
        <w:t>popisem</w:t>
      </w:r>
      <w:r>
        <w:t xml:space="preserve"> </w:t>
      </w:r>
      <w:r w:rsidRPr="00A24EB4">
        <w:t>alespoň</w:t>
      </w:r>
      <w:r>
        <w:t xml:space="preserve"> </w:t>
      </w:r>
      <w:r w:rsidRPr="00A24EB4">
        <w:t>těchto</w:t>
      </w:r>
      <w:r>
        <w:t xml:space="preserve"> </w:t>
      </w:r>
      <w:r w:rsidRPr="00A24EB4">
        <w:t>bodů:</w:t>
      </w:r>
    </w:p>
    <w:p w14:paraId="44F326B7" w14:textId="1DAFC7D2" w:rsidR="004863C4" w:rsidRPr="00A24EB4" w:rsidRDefault="004863C4" w:rsidP="00904F98">
      <w:pPr>
        <w:pStyle w:val="Textparagrafu"/>
        <w:tabs>
          <w:tab w:val="left" w:pos="392"/>
          <w:tab w:val="left" w:pos="826"/>
        </w:tabs>
        <w:spacing w:before="0"/>
        <w:ind w:left="850" w:hanging="425"/>
      </w:pPr>
      <w:r w:rsidRPr="00A24EB4">
        <w:t>1.</w:t>
      </w:r>
      <w:r w:rsidR="003A49B1">
        <w:tab/>
      </w:r>
      <w:r w:rsidRPr="00A24EB4">
        <w:t>provozní</w:t>
      </w:r>
      <w:r>
        <w:t xml:space="preserve"> </w:t>
      </w:r>
      <w:r w:rsidRPr="00A24EB4">
        <w:t>a</w:t>
      </w:r>
      <w:r>
        <w:t xml:space="preserve"> </w:t>
      </w:r>
      <w:r w:rsidRPr="00A24EB4">
        <w:t>finanční</w:t>
      </w:r>
      <w:r>
        <w:t xml:space="preserve"> </w:t>
      </w:r>
      <w:r w:rsidRPr="00A24EB4">
        <w:t>náklady</w:t>
      </w:r>
      <w:r>
        <w:t xml:space="preserve"> </w:t>
      </w:r>
      <w:r w:rsidRPr="00A24EB4">
        <w:t>s</w:t>
      </w:r>
      <w:r>
        <w:t xml:space="preserve"> </w:t>
      </w:r>
      <w:r w:rsidRPr="00A24EB4">
        <w:t>rozdělením</w:t>
      </w:r>
      <w:r>
        <w:t xml:space="preserve"> </w:t>
      </w:r>
      <w:r w:rsidRPr="00A24EB4">
        <w:t>podle</w:t>
      </w:r>
      <w:r>
        <w:t xml:space="preserve"> </w:t>
      </w:r>
      <w:r w:rsidRPr="00A24EB4">
        <w:t>kategorií</w:t>
      </w:r>
      <w:r>
        <w:t xml:space="preserve"> </w:t>
      </w:r>
      <w:r w:rsidRPr="00A24EB4">
        <w:t>spravovaných</w:t>
      </w:r>
      <w:r>
        <w:t xml:space="preserve"> </w:t>
      </w:r>
      <w:r w:rsidRPr="00A24EB4">
        <w:t>práv</w:t>
      </w:r>
      <w:r>
        <w:t xml:space="preserve"> </w:t>
      </w:r>
      <w:r w:rsidRPr="00A24EB4">
        <w:t>a</w:t>
      </w:r>
      <w:r>
        <w:t xml:space="preserve"> </w:t>
      </w:r>
      <w:r w:rsidRPr="00A24EB4">
        <w:t>v</w:t>
      </w:r>
      <w:r>
        <w:t xml:space="preserve"> </w:t>
      </w:r>
      <w:r w:rsidRPr="00A24EB4">
        <w:t>případě,</w:t>
      </w:r>
      <w:r>
        <w:t xml:space="preserve"> </w:t>
      </w:r>
      <w:r w:rsidRPr="00A24EB4">
        <w:t>kdy</w:t>
      </w:r>
      <w:r>
        <w:t xml:space="preserve"> </w:t>
      </w:r>
      <w:r w:rsidRPr="00A24EB4">
        <w:t>se</w:t>
      </w:r>
      <w:r>
        <w:t xml:space="preserve"> </w:t>
      </w:r>
      <w:r w:rsidRPr="00A24EB4">
        <w:t>jedná</w:t>
      </w:r>
      <w:r>
        <w:t xml:space="preserve"> </w:t>
      </w:r>
      <w:r w:rsidRPr="00A24EB4">
        <w:t>o</w:t>
      </w:r>
      <w:r>
        <w:t xml:space="preserve"> </w:t>
      </w:r>
      <w:r w:rsidRPr="00A24EB4">
        <w:t>náklady</w:t>
      </w:r>
      <w:r>
        <w:t xml:space="preserve"> </w:t>
      </w:r>
      <w:r w:rsidRPr="00A24EB4">
        <w:t>nepřímé,</w:t>
      </w:r>
      <w:r>
        <w:t xml:space="preserve"> </w:t>
      </w:r>
      <w:r w:rsidRPr="00A24EB4">
        <w:t>které</w:t>
      </w:r>
      <w:r>
        <w:t xml:space="preserve"> </w:t>
      </w:r>
      <w:r w:rsidRPr="00A24EB4">
        <w:t>nelze</w:t>
      </w:r>
      <w:r>
        <w:t xml:space="preserve"> </w:t>
      </w:r>
      <w:r w:rsidRPr="00A24EB4">
        <w:t>přiřadit</w:t>
      </w:r>
      <w:r>
        <w:t xml:space="preserve"> </w:t>
      </w:r>
      <w:r w:rsidRPr="00A24EB4">
        <w:t>do</w:t>
      </w:r>
      <w:r>
        <w:t xml:space="preserve"> </w:t>
      </w:r>
      <w:r w:rsidRPr="00A24EB4">
        <w:t>jedné</w:t>
      </w:r>
      <w:r>
        <w:t xml:space="preserve"> </w:t>
      </w:r>
      <w:r w:rsidRPr="00A24EB4">
        <w:t>nebo</w:t>
      </w:r>
      <w:r>
        <w:t xml:space="preserve"> </w:t>
      </w:r>
      <w:r w:rsidRPr="00A24EB4">
        <w:t>více</w:t>
      </w:r>
      <w:r>
        <w:t xml:space="preserve"> </w:t>
      </w:r>
      <w:r w:rsidRPr="00A24EB4">
        <w:t>kategorií,</w:t>
      </w:r>
      <w:r>
        <w:t xml:space="preserve"> </w:t>
      </w:r>
      <w:r w:rsidRPr="00A24EB4">
        <w:t>vysvětlení</w:t>
      </w:r>
      <w:r>
        <w:t xml:space="preserve"> </w:t>
      </w:r>
      <w:r w:rsidRPr="00A24EB4">
        <w:t>metody</w:t>
      </w:r>
      <w:r>
        <w:t xml:space="preserve"> </w:t>
      </w:r>
      <w:r w:rsidRPr="00A24EB4">
        <w:t>použité</w:t>
      </w:r>
      <w:r>
        <w:t xml:space="preserve"> </w:t>
      </w:r>
      <w:r w:rsidRPr="00A24EB4">
        <w:t>k</w:t>
      </w:r>
      <w:r>
        <w:t xml:space="preserve"> </w:t>
      </w:r>
      <w:r w:rsidRPr="00A24EB4">
        <w:t>přidělení</w:t>
      </w:r>
      <w:r>
        <w:t xml:space="preserve"> </w:t>
      </w:r>
      <w:r w:rsidRPr="00A24EB4">
        <w:t>těchto</w:t>
      </w:r>
      <w:r>
        <w:t xml:space="preserve"> </w:t>
      </w:r>
      <w:r w:rsidRPr="00A24EB4">
        <w:t>nepřímých</w:t>
      </w:r>
      <w:r>
        <w:t xml:space="preserve"> </w:t>
      </w:r>
      <w:r w:rsidRPr="00A24EB4">
        <w:t>nákladů,</w:t>
      </w:r>
    </w:p>
    <w:p w14:paraId="3F21106C" w14:textId="1B48D80B" w:rsidR="004863C4" w:rsidRPr="00A24EB4" w:rsidRDefault="004863C4" w:rsidP="00904F98">
      <w:pPr>
        <w:pStyle w:val="Textparagrafu"/>
        <w:tabs>
          <w:tab w:val="left" w:pos="392"/>
          <w:tab w:val="left" w:pos="826"/>
        </w:tabs>
        <w:spacing w:before="0"/>
        <w:ind w:left="850" w:hanging="425"/>
      </w:pPr>
      <w:r w:rsidRPr="00A24EB4">
        <w:t>2.</w:t>
      </w:r>
      <w:r w:rsidR="003A49B1">
        <w:tab/>
      </w:r>
      <w:r w:rsidRPr="00A24EB4">
        <w:t>provozní</w:t>
      </w:r>
      <w:r>
        <w:t xml:space="preserve"> </w:t>
      </w:r>
      <w:r w:rsidRPr="00A24EB4">
        <w:t>a</w:t>
      </w:r>
      <w:r>
        <w:t xml:space="preserve"> </w:t>
      </w:r>
      <w:r w:rsidRPr="00A24EB4">
        <w:t>finanční</w:t>
      </w:r>
      <w:r>
        <w:t xml:space="preserve"> </w:t>
      </w:r>
      <w:r w:rsidRPr="00A24EB4">
        <w:t>náklady</w:t>
      </w:r>
      <w:r>
        <w:t xml:space="preserve"> </w:t>
      </w:r>
      <w:r w:rsidRPr="00A24EB4">
        <w:t>s</w:t>
      </w:r>
      <w:r>
        <w:t xml:space="preserve"> </w:t>
      </w:r>
      <w:r w:rsidRPr="00A24EB4">
        <w:t>rozdělením</w:t>
      </w:r>
      <w:r>
        <w:t xml:space="preserve"> </w:t>
      </w:r>
      <w:r w:rsidRPr="00A24EB4">
        <w:t>podle</w:t>
      </w:r>
      <w:r>
        <w:t xml:space="preserve"> </w:t>
      </w:r>
      <w:r w:rsidRPr="00A24EB4">
        <w:t>kategorií</w:t>
      </w:r>
      <w:r>
        <w:t xml:space="preserve"> </w:t>
      </w:r>
      <w:r w:rsidRPr="00A24EB4">
        <w:t>spravovaných</w:t>
      </w:r>
      <w:r>
        <w:t xml:space="preserve"> </w:t>
      </w:r>
      <w:r w:rsidRPr="00A24EB4">
        <w:t>práv</w:t>
      </w:r>
      <w:r>
        <w:t xml:space="preserve"> </w:t>
      </w:r>
      <w:r w:rsidRPr="00A24EB4">
        <w:t>a</w:t>
      </w:r>
      <w:r>
        <w:t xml:space="preserve"> </w:t>
      </w:r>
      <w:r w:rsidRPr="00A24EB4">
        <w:t>v</w:t>
      </w:r>
      <w:r>
        <w:t xml:space="preserve"> </w:t>
      </w:r>
      <w:r w:rsidRPr="00A24EB4">
        <w:t>případě,</w:t>
      </w:r>
      <w:r>
        <w:t xml:space="preserve"> </w:t>
      </w:r>
      <w:r w:rsidRPr="00A24EB4">
        <w:t>kdy</w:t>
      </w:r>
      <w:r>
        <w:t xml:space="preserve"> </w:t>
      </w:r>
      <w:r w:rsidRPr="00A24EB4">
        <w:t>se</w:t>
      </w:r>
      <w:r>
        <w:t xml:space="preserve"> </w:t>
      </w:r>
      <w:r w:rsidRPr="00A24EB4">
        <w:t>jedná</w:t>
      </w:r>
      <w:r>
        <w:t xml:space="preserve"> </w:t>
      </w:r>
      <w:r w:rsidRPr="00A24EB4">
        <w:t>o</w:t>
      </w:r>
      <w:r>
        <w:t xml:space="preserve"> </w:t>
      </w:r>
      <w:r w:rsidRPr="00A24EB4">
        <w:t>náklady</w:t>
      </w:r>
      <w:r>
        <w:t xml:space="preserve"> </w:t>
      </w:r>
      <w:r w:rsidRPr="00A24EB4">
        <w:t>nepřímé,</w:t>
      </w:r>
      <w:r>
        <w:t xml:space="preserve"> </w:t>
      </w:r>
      <w:r w:rsidRPr="00A24EB4">
        <w:t>které</w:t>
      </w:r>
      <w:r>
        <w:t xml:space="preserve"> </w:t>
      </w:r>
      <w:r w:rsidRPr="00A24EB4">
        <w:t>nelze</w:t>
      </w:r>
      <w:r>
        <w:t xml:space="preserve"> </w:t>
      </w:r>
      <w:r w:rsidRPr="00A24EB4">
        <w:t>přiřadit</w:t>
      </w:r>
      <w:r>
        <w:t xml:space="preserve"> </w:t>
      </w:r>
      <w:r w:rsidRPr="00A24EB4">
        <w:t>do</w:t>
      </w:r>
      <w:r>
        <w:t xml:space="preserve"> </w:t>
      </w:r>
      <w:r w:rsidRPr="00A24EB4">
        <w:t>jedné</w:t>
      </w:r>
      <w:r>
        <w:t xml:space="preserve"> </w:t>
      </w:r>
      <w:r w:rsidRPr="00A24EB4">
        <w:t>nebo</w:t>
      </w:r>
      <w:r>
        <w:t xml:space="preserve"> </w:t>
      </w:r>
      <w:r w:rsidRPr="00A24EB4">
        <w:t>více</w:t>
      </w:r>
      <w:r>
        <w:t xml:space="preserve"> </w:t>
      </w:r>
      <w:r w:rsidRPr="00A24EB4">
        <w:t>kategorií,</w:t>
      </w:r>
      <w:r>
        <w:t xml:space="preserve"> </w:t>
      </w:r>
      <w:r w:rsidRPr="00A24EB4">
        <w:t>vysvětlení</w:t>
      </w:r>
      <w:r>
        <w:t xml:space="preserve"> </w:t>
      </w:r>
      <w:r w:rsidRPr="00A24EB4">
        <w:t>metody</w:t>
      </w:r>
      <w:r>
        <w:t xml:space="preserve"> </w:t>
      </w:r>
      <w:r w:rsidRPr="00A24EB4">
        <w:t>použité</w:t>
      </w:r>
      <w:r>
        <w:t xml:space="preserve"> </w:t>
      </w:r>
      <w:r w:rsidRPr="00A24EB4">
        <w:t>k</w:t>
      </w:r>
      <w:r>
        <w:t xml:space="preserve"> </w:t>
      </w:r>
      <w:r w:rsidRPr="00A24EB4">
        <w:t>přidělení</w:t>
      </w:r>
      <w:r>
        <w:t xml:space="preserve"> </w:t>
      </w:r>
      <w:r w:rsidRPr="00A24EB4">
        <w:t>těchto</w:t>
      </w:r>
      <w:r>
        <w:t xml:space="preserve"> </w:t>
      </w:r>
      <w:r w:rsidRPr="00A24EB4">
        <w:t>nepřímých</w:t>
      </w:r>
      <w:r>
        <w:t xml:space="preserve"> </w:t>
      </w:r>
      <w:r w:rsidRPr="00A24EB4">
        <w:t>nákladů,</w:t>
      </w:r>
      <w:r>
        <w:t xml:space="preserve"> </w:t>
      </w:r>
      <w:r w:rsidRPr="00A24EB4">
        <w:t>týkají-li</w:t>
      </w:r>
      <w:r>
        <w:t xml:space="preserve"> </w:t>
      </w:r>
      <w:r w:rsidRPr="00A24EB4">
        <w:t>se</w:t>
      </w:r>
      <w:r>
        <w:t xml:space="preserve"> </w:t>
      </w:r>
      <w:r w:rsidRPr="00A24EB4">
        <w:t>pouze</w:t>
      </w:r>
      <w:r>
        <w:t xml:space="preserve"> </w:t>
      </w:r>
      <w:r w:rsidRPr="00A24EB4">
        <w:t>správy</w:t>
      </w:r>
      <w:r>
        <w:t xml:space="preserve"> </w:t>
      </w:r>
      <w:r w:rsidRPr="00A24EB4">
        <w:t>práv,</w:t>
      </w:r>
      <w:r>
        <w:t xml:space="preserve"> </w:t>
      </w:r>
      <w:r w:rsidRPr="00A24EB4">
        <w:t>včetně</w:t>
      </w:r>
      <w:r>
        <w:t xml:space="preserve"> </w:t>
      </w:r>
      <w:r w:rsidRPr="00A24EB4">
        <w:t>úhrady</w:t>
      </w:r>
      <w:r>
        <w:t xml:space="preserve"> </w:t>
      </w:r>
      <w:r w:rsidRPr="00A24EB4">
        <w:t>nákladů</w:t>
      </w:r>
      <w:r>
        <w:t xml:space="preserve"> </w:t>
      </w:r>
      <w:r w:rsidRPr="00A24EB4">
        <w:t>na</w:t>
      </w:r>
      <w:r>
        <w:t xml:space="preserve"> </w:t>
      </w:r>
      <w:r w:rsidRPr="00A24EB4">
        <w:t>správu</w:t>
      </w:r>
      <w:r>
        <w:t xml:space="preserve"> </w:t>
      </w:r>
      <w:r w:rsidRPr="00A24EB4">
        <w:t>práv,</w:t>
      </w:r>
      <w:r>
        <w:t xml:space="preserve"> </w:t>
      </w:r>
      <w:r w:rsidRPr="00A24EB4">
        <w:t>která</w:t>
      </w:r>
      <w:r>
        <w:t xml:space="preserve"> </w:t>
      </w:r>
      <w:r w:rsidRPr="00A24EB4">
        <w:t>je</w:t>
      </w:r>
      <w:r>
        <w:t xml:space="preserve"> </w:t>
      </w:r>
      <w:r w:rsidRPr="00A24EB4">
        <w:t>odečtena</w:t>
      </w:r>
      <w:r>
        <w:t xml:space="preserve"> </w:t>
      </w:r>
      <w:r w:rsidRPr="00A24EB4">
        <w:t>nebo</w:t>
      </w:r>
      <w:r>
        <w:t xml:space="preserve"> </w:t>
      </w:r>
      <w:r w:rsidRPr="00A24EB4">
        <w:t>vyrovnána</w:t>
      </w:r>
      <w:r>
        <w:t xml:space="preserve"> </w:t>
      </w:r>
      <w:r w:rsidRPr="00A24EB4">
        <w:t>z</w:t>
      </w:r>
      <w:r>
        <w:t xml:space="preserve"> </w:t>
      </w:r>
      <w:r w:rsidRPr="00A24EB4">
        <w:t>příjmů</w:t>
      </w:r>
      <w:r>
        <w:t xml:space="preserve"> </w:t>
      </w:r>
      <w:r w:rsidRPr="00A24EB4">
        <w:t>z</w:t>
      </w:r>
      <w:r>
        <w:t xml:space="preserve"> </w:t>
      </w:r>
      <w:r w:rsidRPr="00A24EB4">
        <w:t>výkonu</w:t>
      </w:r>
      <w:r>
        <w:t xml:space="preserve"> </w:t>
      </w:r>
      <w:r w:rsidRPr="00A24EB4">
        <w:t>práv</w:t>
      </w:r>
      <w:r>
        <w:t xml:space="preserve"> </w:t>
      </w:r>
      <w:r w:rsidRPr="00A24EB4">
        <w:t>nebo</w:t>
      </w:r>
      <w:r>
        <w:t xml:space="preserve"> </w:t>
      </w:r>
      <w:r w:rsidRPr="00A24EB4">
        <w:t>z</w:t>
      </w:r>
      <w:r>
        <w:t xml:space="preserve"> </w:t>
      </w:r>
      <w:r w:rsidRPr="00A24EB4">
        <w:t>příjmů</w:t>
      </w:r>
      <w:r>
        <w:t xml:space="preserve"> </w:t>
      </w:r>
      <w:r w:rsidRPr="00A24EB4">
        <w:t>z</w:t>
      </w:r>
      <w:r>
        <w:t xml:space="preserve"> </w:t>
      </w:r>
      <w:r w:rsidRPr="00A24EB4">
        <w:t>investování</w:t>
      </w:r>
      <w:r>
        <w:t xml:space="preserve"> </w:t>
      </w:r>
      <w:r w:rsidRPr="00A24EB4">
        <w:t>příjmů</w:t>
      </w:r>
      <w:r>
        <w:t xml:space="preserve"> </w:t>
      </w:r>
      <w:r w:rsidRPr="00A24EB4">
        <w:t>z</w:t>
      </w:r>
      <w:r>
        <w:t xml:space="preserve"> </w:t>
      </w:r>
      <w:r w:rsidRPr="00A24EB4">
        <w:t>výkonu</w:t>
      </w:r>
      <w:r>
        <w:t xml:space="preserve"> </w:t>
      </w:r>
      <w:r w:rsidRPr="00A24EB4">
        <w:t>práv,</w:t>
      </w:r>
    </w:p>
    <w:p w14:paraId="727FE62F" w14:textId="6EC44324" w:rsidR="004863C4" w:rsidRPr="00A24EB4" w:rsidRDefault="004863C4" w:rsidP="00904F98">
      <w:pPr>
        <w:pStyle w:val="Textparagrafu"/>
        <w:tabs>
          <w:tab w:val="left" w:pos="392"/>
          <w:tab w:val="left" w:pos="826"/>
        </w:tabs>
        <w:spacing w:before="0"/>
        <w:ind w:left="850" w:hanging="425"/>
      </w:pPr>
      <w:r w:rsidRPr="00A24EB4">
        <w:t>3.</w:t>
      </w:r>
      <w:r w:rsidR="003A49B1">
        <w:tab/>
      </w:r>
      <w:r w:rsidRPr="00A24EB4">
        <w:t>provozní</w:t>
      </w:r>
      <w:r>
        <w:t xml:space="preserve"> </w:t>
      </w:r>
      <w:r w:rsidRPr="00A24EB4">
        <w:t>a</w:t>
      </w:r>
      <w:r>
        <w:t xml:space="preserve"> </w:t>
      </w:r>
      <w:r w:rsidRPr="00A24EB4">
        <w:t>finanční</w:t>
      </w:r>
      <w:r>
        <w:t xml:space="preserve"> </w:t>
      </w:r>
      <w:r w:rsidRPr="00A24EB4">
        <w:t>náklady</w:t>
      </w:r>
      <w:r>
        <w:t xml:space="preserve"> </w:t>
      </w:r>
      <w:r w:rsidRPr="00A24EB4">
        <w:t>týkající</w:t>
      </w:r>
      <w:r>
        <w:t xml:space="preserve"> </w:t>
      </w:r>
      <w:r w:rsidRPr="00A24EB4">
        <w:t>se</w:t>
      </w:r>
      <w:r>
        <w:t xml:space="preserve"> </w:t>
      </w:r>
      <w:r w:rsidRPr="00A24EB4">
        <w:t>jiných</w:t>
      </w:r>
      <w:r>
        <w:t xml:space="preserve"> </w:t>
      </w:r>
      <w:r w:rsidRPr="00A24EB4">
        <w:t>služeb</w:t>
      </w:r>
      <w:r>
        <w:t xml:space="preserve"> </w:t>
      </w:r>
      <w:r w:rsidRPr="00A24EB4">
        <w:t>než</w:t>
      </w:r>
      <w:r>
        <w:t xml:space="preserve"> </w:t>
      </w:r>
      <w:r w:rsidRPr="00A24EB4">
        <w:t>správy</w:t>
      </w:r>
      <w:r>
        <w:t xml:space="preserve"> </w:t>
      </w:r>
      <w:r w:rsidRPr="00A24EB4">
        <w:t>práv,</w:t>
      </w:r>
      <w:r>
        <w:t xml:space="preserve"> </w:t>
      </w:r>
      <w:r w:rsidRPr="00A24EB4">
        <w:t>avšak</w:t>
      </w:r>
      <w:r>
        <w:t xml:space="preserve"> </w:t>
      </w:r>
      <w:r w:rsidRPr="00A24EB4">
        <w:t>včetně</w:t>
      </w:r>
      <w:r>
        <w:t xml:space="preserve"> </w:t>
      </w:r>
      <w:r w:rsidRPr="00A24EB4">
        <w:t>srážek</w:t>
      </w:r>
      <w:r>
        <w:t xml:space="preserve"> </w:t>
      </w:r>
      <w:r w:rsidRPr="00A24EB4">
        <w:t>na</w:t>
      </w:r>
      <w:r>
        <w:t xml:space="preserve"> </w:t>
      </w:r>
      <w:r w:rsidRPr="00A24EB4">
        <w:t>úhradu</w:t>
      </w:r>
      <w:r>
        <w:t xml:space="preserve"> </w:t>
      </w:r>
      <w:r w:rsidRPr="00A24EB4">
        <w:t>nákladů</w:t>
      </w:r>
      <w:r>
        <w:t xml:space="preserve"> </w:t>
      </w:r>
      <w:r w:rsidRPr="00A24EB4">
        <w:t>na</w:t>
      </w:r>
      <w:r>
        <w:t xml:space="preserve"> </w:t>
      </w:r>
      <w:r w:rsidRPr="00A24EB4">
        <w:t>poskytování</w:t>
      </w:r>
      <w:r>
        <w:t xml:space="preserve"> </w:t>
      </w:r>
      <w:r w:rsidRPr="00A24EB4">
        <w:t>sociálních,</w:t>
      </w:r>
      <w:r>
        <w:t xml:space="preserve"> </w:t>
      </w:r>
      <w:r w:rsidRPr="00A24EB4">
        <w:t>kulturních</w:t>
      </w:r>
      <w:r>
        <w:t xml:space="preserve"> </w:t>
      </w:r>
      <w:r w:rsidRPr="00A24EB4">
        <w:t>a</w:t>
      </w:r>
      <w:r>
        <w:t xml:space="preserve"> </w:t>
      </w:r>
      <w:r w:rsidRPr="00A24EB4">
        <w:t>vzdělávacích</w:t>
      </w:r>
      <w:r>
        <w:t xml:space="preserve"> </w:t>
      </w:r>
      <w:r w:rsidRPr="00A24EB4">
        <w:t>služeb,</w:t>
      </w:r>
    </w:p>
    <w:p w14:paraId="2FAE88F2" w14:textId="036E4946" w:rsidR="004863C4" w:rsidRPr="00A24EB4" w:rsidRDefault="004863C4" w:rsidP="00904F98">
      <w:pPr>
        <w:pStyle w:val="Textparagrafu"/>
        <w:tabs>
          <w:tab w:val="left" w:pos="392"/>
          <w:tab w:val="left" w:pos="826"/>
        </w:tabs>
        <w:spacing w:before="0"/>
        <w:ind w:left="850" w:hanging="425"/>
      </w:pPr>
      <w:r w:rsidRPr="00A24EB4">
        <w:t>4.</w:t>
      </w:r>
      <w:r w:rsidR="003A49B1">
        <w:tab/>
      </w:r>
      <w:r w:rsidRPr="00A24EB4">
        <w:t>zdroje</w:t>
      </w:r>
      <w:r>
        <w:t xml:space="preserve"> </w:t>
      </w:r>
      <w:r w:rsidRPr="00A24EB4">
        <w:t>použité</w:t>
      </w:r>
      <w:r>
        <w:t xml:space="preserve"> </w:t>
      </w:r>
      <w:r w:rsidRPr="00A24EB4">
        <w:t>k</w:t>
      </w:r>
      <w:r>
        <w:t xml:space="preserve"> </w:t>
      </w:r>
      <w:r w:rsidRPr="00A24EB4">
        <w:t>úhradě</w:t>
      </w:r>
      <w:r>
        <w:t xml:space="preserve"> </w:t>
      </w:r>
      <w:r w:rsidRPr="00A24EB4">
        <w:t>nákladů</w:t>
      </w:r>
      <w:r>
        <w:t xml:space="preserve"> </w:t>
      </w:r>
      <w:r w:rsidRPr="00A24EB4">
        <w:t>na</w:t>
      </w:r>
      <w:r>
        <w:t xml:space="preserve"> </w:t>
      </w:r>
      <w:r w:rsidRPr="00A24EB4">
        <w:t>správu</w:t>
      </w:r>
      <w:r>
        <w:t xml:space="preserve"> </w:t>
      </w:r>
      <w:r w:rsidRPr="00A24EB4">
        <w:t>práv,</w:t>
      </w:r>
    </w:p>
    <w:p w14:paraId="55C866BB" w14:textId="77919E73" w:rsidR="004863C4" w:rsidRPr="00A24EB4" w:rsidRDefault="004863C4" w:rsidP="00904F98">
      <w:pPr>
        <w:pStyle w:val="Textparagrafu"/>
        <w:tabs>
          <w:tab w:val="left" w:pos="392"/>
          <w:tab w:val="left" w:pos="826"/>
        </w:tabs>
        <w:spacing w:before="0"/>
        <w:ind w:left="850" w:hanging="425"/>
      </w:pPr>
      <w:r w:rsidRPr="00A24EB4">
        <w:t>5.</w:t>
      </w:r>
      <w:r w:rsidR="003A49B1">
        <w:tab/>
      </w:r>
      <w:r w:rsidRPr="00A24EB4">
        <w:t>srážky</w:t>
      </w:r>
      <w:r>
        <w:t xml:space="preserve"> </w:t>
      </w:r>
      <w:r w:rsidRPr="00A24EB4">
        <w:t>z</w:t>
      </w:r>
      <w:r>
        <w:t xml:space="preserve"> </w:t>
      </w:r>
      <w:r w:rsidRPr="00A24EB4">
        <w:t>příjmů</w:t>
      </w:r>
      <w:r>
        <w:t xml:space="preserve"> </w:t>
      </w:r>
      <w:r w:rsidRPr="00A24EB4">
        <w:t>z</w:t>
      </w:r>
      <w:r>
        <w:t xml:space="preserve"> </w:t>
      </w:r>
      <w:r w:rsidRPr="00A24EB4">
        <w:t>výkonu</w:t>
      </w:r>
      <w:r>
        <w:t xml:space="preserve"> </w:t>
      </w:r>
      <w:r w:rsidRPr="00A24EB4">
        <w:t>práv</w:t>
      </w:r>
      <w:r>
        <w:t xml:space="preserve"> </w:t>
      </w:r>
      <w:r w:rsidRPr="00A24EB4">
        <w:t>s</w:t>
      </w:r>
      <w:r>
        <w:t xml:space="preserve"> </w:t>
      </w:r>
      <w:r w:rsidRPr="00A24EB4">
        <w:t>rozdělením</w:t>
      </w:r>
      <w:r>
        <w:t xml:space="preserve"> </w:t>
      </w:r>
      <w:r w:rsidRPr="00A24EB4">
        <w:t>podle</w:t>
      </w:r>
      <w:r>
        <w:t xml:space="preserve"> </w:t>
      </w:r>
      <w:r w:rsidRPr="00A24EB4">
        <w:t>kategorií</w:t>
      </w:r>
      <w:r>
        <w:t xml:space="preserve"> </w:t>
      </w:r>
      <w:r w:rsidRPr="00A24EB4">
        <w:t>spravovaných</w:t>
      </w:r>
      <w:r>
        <w:t xml:space="preserve"> </w:t>
      </w:r>
      <w:r w:rsidRPr="00A24EB4">
        <w:t>práv,</w:t>
      </w:r>
      <w:r>
        <w:t xml:space="preserve"> </w:t>
      </w:r>
      <w:r w:rsidRPr="00A24EB4">
        <w:t>způsobu</w:t>
      </w:r>
      <w:r>
        <w:t xml:space="preserve"> </w:t>
      </w:r>
      <w:r w:rsidRPr="00A24EB4">
        <w:t>užití</w:t>
      </w:r>
      <w:r>
        <w:t xml:space="preserve"> </w:t>
      </w:r>
      <w:r w:rsidRPr="00A24EB4">
        <w:t>a</w:t>
      </w:r>
      <w:r>
        <w:t xml:space="preserve"> </w:t>
      </w:r>
      <w:r w:rsidRPr="00A24EB4">
        <w:t>účelu</w:t>
      </w:r>
      <w:r>
        <w:t xml:space="preserve"> </w:t>
      </w:r>
      <w:r w:rsidRPr="00A24EB4">
        <w:t>srážky,</w:t>
      </w:r>
    </w:p>
    <w:p w14:paraId="041A0454" w14:textId="382CDD72" w:rsidR="004863C4" w:rsidRDefault="004863C4" w:rsidP="00904F98">
      <w:pPr>
        <w:pStyle w:val="Textparagrafu"/>
        <w:tabs>
          <w:tab w:val="left" w:pos="392"/>
          <w:tab w:val="left" w:pos="826"/>
        </w:tabs>
        <w:spacing w:before="0"/>
        <w:ind w:left="850" w:hanging="425"/>
      </w:pPr>
      <w:r w:rsidRPr="00A24EB4">
        <w:t>6.</w:t>
      </w:r>
      <w:r w:rsidR="003A49B1">
        <w:tab/>
      </w:r>
      <w:r w:rsidRPr="00A24EB4">
        <w:t>procentní</w:t>
      </w:r>
      <w:r>
        <w:t xml:space="preserve"> </w:t>
      </w:r>
      <w:r w:rsidRPr="00A24EB4">
        <w:t>výši</w:t>
      </w:r>
      <w:r>
        <w:t xml:space="preserve"> </w:t>
      </w:r>
      <w:r w:rsidRPr="00A24EB4">
        <w:t>nákladů</w:t>
      </w:r>
      <w:r>
        <w:t xml:space="preserve"> </w:t>
      </w:r>
      <w:r w:rsidRPr="00A24EB4">
        <w:t>na</w:t>
      </w:r>
      <w:r>
        <w:t xml:space="preserve"> </w:t>
      </w:r>
      <w:r w:rsidRPr="00A24EB4">
        <w:t>správu</w:t>
      </w:r>
      <w:r>
        <w:t xml:space="preserve"> </w:t>
      </w:r>
      <w:r w:rsidRPr="00A24EB4">
        <w:t>práv</w:t>
      </w:r>
      <w:r>
        <w:t xml:space="preserve"> </w:t>
      </w:r>
      <w:r w:rsidRPr="00A24EB4">
        <w:t>a</w:t>
      </w:r>
      <w:r>
        <w:t xml:space="preserve"> </w:t>
      </w:r>
      <w:r w:rsidRPr="00A24EB4">
        <w:t>jiné</w:t>
      </w:r>
      <w:r>
        <w:t xml:space="preserve"> </w:t>
      </w:r>
      <w:r w:rsidRPr="00A24EB4">
        <w:t>služby</w:t>
      </w:r>
      <w:r>
        <w:t xml:space="preserve"> </w:t>
      </w:r>
      <w:r w:rsidRPr="00A24EB4">
        <w:t>poskytované</w:t>
      </w:r>
      <w:r>
        <w:t xml:space="preserve"> </w:t>
      </w:r>
      <w:r w:rsidRPr="00A24EB4">
        <w:t>kolektivním</w:t>
      </w:r>
      <w:r>
        <w:t xml:space="preserve"> </w:t>
      </w:r>
      <w:r w:rsidRPr="00A24EB4">
        <w:t>správcem</w:t>
      </w:r>
      <w:r>
        <w:t xml:space="preserve"> </w:t>
      </w:r>
      <w:r w:rsidRPr="00A24EB4">
        <w:t>nositelům</w:t>
      </w:r>
      <w:r>
        <w:t xml:space="preserve"> </w:t>
      </w:r>
      <w:r w:rsidRPr="00A24EB4">
        <w:t>práv</w:t>
      </w:r>
      <w:r>
        <w:t xml:space="preserve"> </w:t>
      </w:r>
      <w:r w:rsidRPr="00A24EB4">
        <w:t>v</w:t>
      </w:r>
      <w:r>
        <w:t xml:space="preserve"> </w:t>
      </w:r>
      <w:r w:rsidRPr="00A24EB4">
        <w:t>porovnání</w:t>
      </w:r>
      <w:r>
        <w:t xml:space="preserve"> </w:t>
      </w:r>
      <w:r w:rsidRPr="00A24EB4">
        <w:t>s</w:t>
      </w:r>
      <w:r>
        <w:t xml:space="preserve"> </w:t>
      </w:r>
      <w:r w:rsidRPr="00A24EB4">
        <w:t>procentní</w:t>
      </w:r>
      <w:r>
        <w:t xml:space="preserve"> </w:t>
      </w:r>
      <w:r w:rsidRPr="00A24EB4">
        <w:t>výší</w:t>
      </w:r>
      <w:r>
        <w:t xml:space="preserve"> </w:t>
      </w:r>
      <w:r w:rsidRPr="00A24EB4">
        <w:t>příjmů</w:t>
      </w:r>
      <w:r>
        <w:t xml:space="preserve"> </w:t>
      </w:r>
      <w:r w:rsidRPr="00A24EB4">
        <w:t>z</w:t>
      </w:r>
      <w:r>
        <w:t xml:space="preserve"> </w:t>
      </w:r>
      <w:r w:rsidRPr="00A24EB4">
        <w:t>výkonu</w:t>
      </w:r>
      <w:r>
        <w:t xml:space="preserve"> </w:t>
      </w:r>
      <w:r w:rsidRPr="00A24EB4">
        <w:t>práv</w:t>
      </w:r>
      <w:r>
        <w:t xml:space="preserve"> </w:t>
      </w:r>
      <w:r w:rsidRPr="00A24EB4">
        <w:t>v</w:t>
      </w:r>
      <w:r>
        <w:t xml:space="preserve"> </w:t>
      </w:r>
      <w:r w:rsidRPr="00A24EB4">
        <w:t>příslušném</w:t>
      </w:r>
      <w:r>
        <w:t xml:space="preserve"> </w:t>
      </w:r>
      <w:r w:rsidRPr="00A24EB4">
        <w:t>účetním</w:t>
      </w:r>
      <w:r>
        <w:t xml:space="preserve"> </w:t>
      </w:r>
      <w:r w:rsidRPr="00A24EB4">
        <w:t>období</w:t>
      </w:r>
      <w:r>
        <w:t xml:space="preserve"> </w:t>
      </w:r>
      <w:r w:rsidRPr="00A24EB4">
        <w:t>podle</w:t>
      </w:r>
      <w:r>
        <w:t xml:space="preserve"> </w:t>
      </w:r>
      <w:r w:rsidRPr="00A24EB4">
        <w:t>kategorií</w:t>
      </w:r>
      <w:r>
        <w:t xml:space="preserve"> </w:t>
      </w:r>
      <w:r w:rsidRPr="00A24EB4">
        <w:t>spravovaných</w:t>
      </w:r>
      <w:r>
        <w:t xml:space="preserve"> </w:t>
      </w:r>
      <w:r w:rsidRPr="00A24EB4">
        <w:t>práv</w:t>
      </w:r>
      <w:r>
        <w:t xml:space="preserve"> </w:t>
      </w:r>
      <w:r w:rsidRPr="00A24EB4">
        <w:t>a</w:t>
      </w:r>
      <w:r>
        <w:t xml:space="preserve"> </w:t>
      </w:r>
      <w:r w:rsidRPr="00A24EB4">
        <w:t>v</w:t>
      </w:r>
      <w:r>
        <w:t xml:space="preserve"> </w:t>
      </w:r>
      <w:r w:rsidRPr="00A24EB4">
        <w:t>případě,</w:t>
      </w:r>
      <w:r>
        <w:t xml:space="preserve"> </w:t>
      </w:r>
      <w:r w:rsidRPr="00A24EB4">
        <w:t>kdy</w:t>
      </w:r>
      <w:r>
        <w:t xml:space="preserve"> </w:t>
      </w:r>
      <w:r w:rsidRPr="00A24EB4">
        <w:t>se</w:t>
      </w:r>
      <w:r>
        <w:t xml:space="preserve"> </w:t>
      </w:r>
      <w:r w:rsidRPr="00A24EB4">
        <w:t>jedná</w:t>
      </w:r>
      <w:r>
        <w:t xml:space="preserve"> </w:t>
      </w:r>
      <w:r w:rsidRPr="00A24EB4">
        <w:t>o</w:t>
      </w:r>
      <w:r>
        <w:t xml:space="preserve"> </w:t>
      </w:r>
      <w:r w:rsidRPr="00A24EB4">
        <w:t>náklady</w:t>
      </w:r>
      <w:r>
        <w:t xml:space="preserve"> </w:t>
      </w:r>
      <w:r w:rsidRPr="00A24EB4">
        <w:t>nepřímé,</w:t>
      </w:r>
      <w:r>
        <w:t xml:space="preserve"> </w:t>
      </w:r>
      <w:r w:rsidRPr="00A24EB4">
        <w:t>které</w:t>
      </w:r>
      <w:r>
        <w:t xml:space="preserve"> </w:t>
      </w:r>
      <w:r w:rsidRPr="00A24EB4">
        <w:t>nelze</w:t>
      </w:r>
      <w:r>
        <w:t xml:space="preserve"> </w:t>
      </w:r>
      <w:r w:rsidRPr="00A24EB4">
        <w:t>přiřadit</w:t>
      </w:r>
      <w:r>
        <w:t xml:space="preserve"> </w:t>
      </w:r>
      <w:r w:rsidRPr="00A24EB4">
        <w:t>do</w:t>
      </w:r>
      <w:r>
        <w:t xml:space="preserve"> </w:t>
      </w:r>
      <w:r w:rsidRPr="00A24EB4">
        <w:t>jedné</w:t>
      </w:r>
      <w:r>
        <w:t xml:space="preserve"> </w:t>
      </w:r>
      <w:r w:rsidRPr="00A24EB4">
        <w:t>nebo</w:t>
      </w:r>
      <w:r>
        <w:t xml:space="preserve"> </w:t>
      </w:r>
      <w:r w:rsidRPr="00A24EB4">
        <w:t>více</w:t>
      </w:r>
      <w:r>
        <w:t xml:space="preserve"> </w:t>
      </w:r>
      <w:r w:rsidRPr="00A24EB4">
        <w:t>kategorií,</w:t>
      </w:r>
      <w:r>
        <w:t xml:space="preserve"> </w:t>
      </w:r>
      <w:r w:rsidRPr="00A24EB4">
        <w:t>vysvětlení</w:t>
      </w:r>
      <w:r>
        <w:t xml:space="preserve"> </w:t>
      </w:r>
      <w:r w:rsidRPr="00A24EB4">
        <w:t>metody</w:t>
      </w:r>
      <w:r>
        <w:t xml:space="preserve"> </w:t>
      </w:r>
      <w:r w:rsidRPr="00A24EB4">
        <w:t>použité</w:t>
      </w:r>
      <w:r>
        <w:t xml:space="preserve"> </w:t>
      </w:r>
      <w:r w:rsidRPr="00A24EB4">
        <w:t>k</w:t>
      </w:r>
      <w:r>
        <w:t xml:space="preserve"> </w:t>
      </w:r>
      <w:r w:rsidRPr="00A24EB4">
        <w:t>přidělení</w:t>
      </w:r>
      <w:r>
        <w:t xml:space="preserve"> </w:t>
      </w:r>
      <w:r w:rsidRPr="00A24EB4">
        <w:t>těchto</w:t>
      </w:r>
      <w:r>
        <w:t xml:space="preserve"> </w:t>
      </w:r>
      <w:r w:rsidRPr="00A24EB4">
        <w:t>nepřímých</w:t>
      </w:r>
      <w:r>
        <w:t xml:space="preserve"> </w:t>
      </w:r>
      <w:r w:rsidRPr="00A24EB4">
        <w:t>nákladů;</w:t>
      </w:r>
    </w:p>
    <w:p w14:paraId="7524CFAC" w14:textId="28BE0F30" w:rsidR="004863C4" w:rsidRPr="00A24EB4" w:rsidRDefault="004863C4" w:rsidP="00850A92">
      <w:pPr>
        <w:pStyle w:val="Textparagrafu"/>
        <w:tabs>
          <w:tab w:val="left" w:pos="392"/>
          <w:tab w:val="left" w:pos="826"/>
        </w:tabs>
        <w:spacing w:before="0"/>
        <w:ind w:left="426" w:hanging="426"/>
      </w:pPr>
      <w:r w:rsidRPr="00A24EB4">
        <w:t>c)</w:t>
      </w:r>
      <w:r w:rsidR="003A49B1">
        <w:tab/>
      </w:r>
      <w:r w:rsidRPr="00A24EB4">
        <w:t>finanční</w:t>
      </w:r>
      <w:r>
        <w:t xml:space="preserve"> </w:t>
      </w:r>
      <w:r w:rsidRPr="00A24EB4">
        <w:t>informace</w:t>
      </w:r>
      <w:r>
        <w:t xml:space="preserve"> </w:t>
      </w:r>
      <w:r w:rsidRPr="00A24EB4">
        <w:t>o</w:t>
      </w:r>
      <w:r>
        <w:t xml:space="preserve"> </w:t>
      </w:r>
      <w:r w:rsidRPr="00A24EB4">
        <w:t>částkách</w:t>
      </w:r>
      <w:r>
        <w:t xml:space="preserve"> </w:t>
      </w:r>
      <w:r w:rsidRPr="00A24EB4">
        <w:t>příslušejících</w:t>
      </w:r>
      <w:r>
        <w:t xml:space="preserve"> </w:t>
      </w:r>
      <w:r w:rsidRPr="00A24EB4">
        <w:t>nositelům</w:t>
      </w:r>
      <w:r>
        <w:t xml:space="preserve"> </w:t>
      </w:r>
      <w:r w:rsidRPr="00A24EB4">
        <w:t>práv</w:t>
      </w:r>
      <w:r>
        <w:t xml:space="preserve"> </w:t>
      </w:r>
      <w:r w:rsidRPr="00A24EB4">
        <w:t>s</w:t>
      </w:r>
      <w:r>
        <w:t xml:space="preserve"> </w:t>
      </w:r>
      <w:r w:rsidRPr="00A24EB4">
        <w:t>úplným</w:t>
      </w:r>
      <w:r>
        <w:t xml:space="preserve"> </w:t>
      </w:r>
      <w:r w:rsidRPr="00A24EB4">
        <w:t>popisem</w:t>
      </w:r>
      <w:r>
        <w:t xml:space="preserve"> </w:t>
      </w:r>
      <w:r w:rsidRPr="00A24EB4">
        <w:t>alespoň</w:t>
      </w:r>
      <w:r>
        <w:t xml:space="preserve"> </w:t>
      </w:r>
      <w:r w:rsidRPr="00A24EB4">
        <w:t>těchto</w:t>
      </w:r>
      <w:r>
        <w:t xml:space="preserve"> </w:t>
      </w:r>
      <w:r w:rsidRPr="00A24EB4">
        <w:t>bodů:</w:t>
      </w:r>
    </w:p>
    <w:p w14:paraId="203FEC6D" w14:textId="588235CB" w:rsidR="004863C4" w:rsidRPr="00A24EB4" w:rsidRDefault="004863C4" w:rsidP="00904F98">
      <w:pPr>
        <w:pStyle w:val="Textparagrafu"/>
        <w:tabs>
          <w:tab w:val="left" w:pos="392"/>
          <w:tab w:val="left" w:pos="826"/>
        </w:tabs>
        <w:spacing w:before="0"/>
        <w:ind w:left="850" w:hanging="425"/>
      </w:pPr>
      <w:r w:rsidRPr="00A24EB4">
        <w:t>1.</w:t>
      </w:r>
      <w:r w:rsidR="003A49B1">
        <w:tab/>
      </w:r>
      <w:r w:rsidRPr="00A24EB4">
        <w:t>celková</w:t>
      </w:r>
      <w:r>
        <w:t xml:space="preserve"> </w:t>
      </w:r>
      <w:r w:rsidRPr="00A24EB4">
        <w:t>částka</w:t>
      </w:r>
      <w:r>
        <w:t xml:space="preserve"> </w:t>
      </w:r>
      <w:r w:rsidRPr="00A24EB4">
        <w:t>přidělená</w:t>
      </w:r>
      <w:r>
        <w:t xml:space="preserve"> </w:t>
      </w:r>
      <w:r w:rsidRPr="00A24EB4">
        <w:t>nositelům</w:t>
      </w:r>
      <w:r>
        <w:t xml:space="preserve"> </w:t>
      </w:r>
      <w:r w:rsidRPr="00A24EB4">
        <w:t>práv</w:t>
      </w:r>
      <w:r>
        <w:t xml:space="preserve"> </w:t>
      </w:r>
      <w:r w:rsidRPr="00A24EB4">
        <w:t>s</w:t>
      </w:r>
      <w:r>
        <w:t xml:space="preserve"> </w:t>
      </w:r>
      <w:r w:rsidRPr="00A24EB4">
        <w:t>rozdělením</w:t>
      </w:r>
      <w:r>
        <w:t xml:space="preserve"> </w:t>
      </w:r>
      <w:r w:rsidRPr="00A24EB4">
        <w:t>podle</w:t>
      </w:r>
      <w:r>
        <w:t xml:space="preserve"> </w:t>
      </w:r>
      <w:r w:rsidRPr="00A24EB4">
        <w:t>kategorií</w:t>
      </w:r>
      <w:r>
        <w:t xml:space="preserve"> </w:t>
      </w:r>
      <w:r w:rsidRPr="00A24EB4">
        <w:t>spravovaných</w:t>
      </w:r>
      <w:r>
        <w:t xml:space="preserve"> </w:t>
      </w:r>
      <w:r w:rsidRPr="00A24EB4">
        <w:t>práv</w:t>
      </w:r>
      <w:r>
        <w:t xml:space="preserve"> </w:t>
      </w:r>
      <w:r w:rsidRPr="00A24EB4">
        <w:t>a</w:t>
      </w:r>
      <w:r>
        <w:t xml:space="preserve"> </w:t>
      </w:r>
      <w:r w:rsidRPr="00A24EB4">
        <w:t>způsobů</w:t>
      </w:r>
      <w:r>
        <w:t xml:space="preserve"> </w:t>
      </w:r>
      <w:r w:rsidRPr="00A24EB4">
        <w:t>užití,</w:t>
      </w:r>
    </w:p>
    <w:p w14:paraId="4F5DDDA6" w14:textId="1116F2ED" w:rsidR="004863C4" w:rsidRPr="00A24EB4" w:rsidRDefault="004863C4" w:rsidP="00904F98">
      <w:pPr>
        <w:pStyle w:val="Textparagrafu"/>
        <w:tabs>
          <w:tab w:val="left" w:pos="392"/>
          <w:tab w:val="left" w:pos="826"/>
        </w:tabs>
        <w:spacing w:before="0"/>
        <w:ind w:left="850" w:hanging="425"/>
      </w:pPr>
      <w:r w:rsidRPr="00A24EB4">
        <w:t>2.</w:t>
      </w:r>
      <w:r w:rsidR="003A49B1">
        <w:tab/>
      </w:r>
      <w:r w:rsidRPr="00A24EB4">
        <w:t>celková</w:t>
      </w:r>
      <w:r>
        <w:t xml:space="preserve"> </w:t>
      </w:r>
      <w:r w:rsidRPr="00A24EB4">
        <w:t>částka</w:t>
      </w:r>
      <w:r>
        <w:t xml:space="preserve"> </w:t>
      </w:r>
      <w:r w:rsidRPr="00A24EB4">
        <w:t>vyplacená</w:t>
      </w:r>
      <w:r>
        <w:t xml:space="preserve"> </w:t>
      </w:r>
      <w:r w:rsidRPr="00A24EB4">
        <w:t>nositelům</w:t>
      </w:r>
      <w:r>
        <w:t xml:space="preserve"> </w:t>
      </w:r>
      <w:r w:rsidRPr="00A24EB4">
        <w:t>práv</w:t>
      </w:r>
      <w:r>
        <w:t xml:space="preserve"> </w:t>
      </w:r>
      <w:r w:rsidRPr="00A24EB4">
        <w:t>s</w:t>
      </w:r>
      <w:r>
        <w:t xml:space="preserve"> </w:t>
      </w:r>
      <w:r w:rsidRPr="00A24EB4">
        <w:t>rozdělením</w:t>
      </w:r>
      <w:r>
        <w:t xml:space="preserve"> </w:t>
      </w:r>
      <w:r w:rsidRPr="00A24EB4">
        <w:t>podle</w:t>
      </w:r>
      <w:r>
        <w:t xml:space="preserve"> </w:t>
      </w:r>
      <w:r w:rsidRPr="00A24EB4">
        <w:t>kategorií</w:t>
      </w:r>
      <w:r>
        <w:t xml:space="preserve"> </w:t>
      </w:r>
      <w:r w:rsidRPr="00A24EB4">
        <w:t>spravovaných</w:t>
      </w:r>
      <w:r>
        <w:t xml:space="preserve"> </w:t>
      </w:r>
      <w:r w:rsidRPr="00A24EB4">
        <w:t>práv</w:t>
      </w:r>
      <w:r>
        <w:t xml:space="preserve"> </w:t>
      </w:r>
      <w:r w:rsidRPr="00A24EB4">
        <w:t>a</w:t>
      </w:r>
      <w:r>
        <w:t xml:space="preserve"> </w:t>
      </w:r>
      <w:r w:rsidRPr="00A24EB4">
        <w:t>způsobů</w:t>
      </w:r>
      <w:r>
        <w:t xml:space="preserve"> </w:t>
      </w:r>
      <w:r w:rsidRPr="00A24EB4">
        <w:t>užití,</w:t>
      </w:r>
    </w:p>
    <w:p w14:paraId="5F0D1127" w14:textId="0D5697E3" w:rsidR="004863C4" w:rsidRPr="00A24EB4" w:rsidRDefault="004863C4" w:rsidP="00904F98">
      <w:pPr>
        <w:pStyle w:val="Textparagrafu"/>
        <w:tabs>
          <w:tab w:val="left" w:pos="392"/>
          <w:tab w:val="left" w:pos="826"/>
        </w:tabs>
        <w:spacing w:before="0"/>
        <w:ind w:left="850" w:hanging="425"/>
      </w:pPr>
      <w:r w:rsidRPr="00A24EB4">
        <w:t>3.</w:t>
      </w:r>
      <w:r w:rsidR="003A49B1">
        <w:tab/>
      </w:r>
      <w:r w:rsidRPr="00A24EB4">
        <w:t>četnost</w:t>
      </w:r>
      <w:r>
        <w:t xml:space="preserve"> </w:t>
      </w:r>
      <w:r w:rsidRPr="00A24EB4">
        <w:t>plateb</w:t>
      </w:r>
      <w:r>
        <w:t xml:space="preserve"> </w:t>
      </w:r>
      <w:r w:rsidRPr="00A24EB4">
        <w:t>s</w:t>
      </w:r>
      <w:r>
        <w:t xml:space="preserve"> </w:t>
      </w:r>
      <w:r w:rsidRPr="00A24EB4">
        <w:t>rozdělením</w:t>
      </w:r>
      <w:r>
        <w:t xml:space="preserve"> </w:t>
      </w:r>
      <w:r w:rsidRPr="00A24EB4">
        <w:t>podle</w:t>
      </w:r>
      <w:r>
        <w:t xml:space="preserve"> </w:t>
      </w:r>
      <w:r w:rsidRPr="00A24EB4">
        <w:t>kategorií</w:t>
      </w:r>
      <w:r>
        <w:t xml:space="preserve"> </w:t>
      </w:r>
      <w:r w:rsidRPr="00A24EB4">
        <w:t>spravovaných</w:t>
      </w:r>
      <w:r>
        <w:t xml:space="preserve"> </w:t>
      </w:r>
      <w:r w:rsidRPr="00A24EB4">
        <w:t>práv</w:t>
      </w:r>
      <w:r>
        <w:t xml:space="preserve"> </w:t>
      </w:r>
      <w:r w:rsidRPr="00A24EB4">
        <w:t>a</w:t>
      </w:r>
      <w:r>
        <w:t xml:space="preserve"> </w:t>
      </w:r>
      <w:r w:rsidRPr="00A24EB4">
        <w:t>způsobů</w:t>
      </w:r>
      <w:r>
        <w:t xml:space="preserve"> </w:t>
      </w:r>
      <w:r w:rsidRPr="00A24EB4">
        <w:t>užití,</w:t>
      </w:r>
    </w:p>
    <w:p w14:paraId="1357FBEF" w14:textId="7C9F58A1" w:rsidR="004863C4" w:rsidRPr="00A24EB4" w:rsidRDefault="004863C4" w:rsidP="00904F98">
      <w:pPr>
        <w:pStyle w:val="Textparagrafu"/>
        <w:tabs>
          <w:tab w:val="left" w:pos="392"/>
          <w:tab w:val="left" w:pos="826"/>
        </w:tabs>
        <w:spacing w:before="0"/>
        <w:ind w:left="850" w:hanging="425"/>
      </w:pPr>
      <w:r w:rsidRPr="00A24EB4">
        <w:t>4.</w:t>
      </w:r>
      <w:r w:rsidR="003A49B1">
        <w:tab/>
      </w:r>
      <w:r w:rsidRPr="00A24EB4">
        <w:t>celková</w:t>
      </w:r>
      <w:r>
        <w:t xml:space="preserve"> </w:t>
      </w:r>
      <w:r w:rsidRPr="00A24EB4">
        <w:t>výše</w:t>
      </w:r>
      <w:r>
        <w:t xml:space="preserve"> </w:t>
      </w:r>
      <w:r w:rsidRPr="00A24EB4">
        <w:t>příjmů</w:t>
      </w:r>
      <w:r>
        <w:t xml:space="preserve"> </w:t>
      </w:r>
      <w:r w:rsidRPr="00A24EB4">
        <w:t>z</w:t>
      </w:r>
      <w:r>
        <w:t xml:space="preserve"> </w:t>
      </w:r>
      <w:r w:rsidRPr="00A24EB4">
        <w:t>výkonu</w:t>
      </w:r>
      <w:r>
        <w:t xml:space="preserve"> </w:t>
      </w:r>
      <w:r w:rsidRPr="00A24EB4">
        <w:t>práv</w:t>
      </w:r>
      <w:r>
        <w:t xml:space="preserve"> </w:t>
      </w:r>
      <w:r w:rsidRPr="00A24EB4">
        <w:t>před</w:t>
      </w:r>
      <w:r>
        <w:t xml:space="preserve"> </w:t>
      </w:r>
      <w:r w:rsidRPr="00A24EB4">
        <w:t>rozdělením</w:t>
      </w:r>
      <w:r>
        <w:t xml:space="preserve"> </w:t>
      </w:r>
      <w:r w:rsidRPr="00A24EB4">
        <w:t>mezi</w:t>
      </w:r>
      <w:r>
        <w:t xml:space="preserve"> </w:t>
      </w:r>
      <w:r w:rsidRPr="00A24EB4">
        <w:t>příslušné</w:t>
      </w:r>
      <w:r>
        <w:t xml:space="preserve"> </w:t>
      </w:r>
      <w:r w:rsidRPr="00A24EB4">
        <w:t>nositele</w:t>
      </w:r>
      <w:r>
        <w:t xml:space="preserve"> </w:t>
      </w:r>
      <w:r w:rsidRPr="00A24EB4">
        <w:t>práv,</w:t>
      </w:r>
      <w:r>
        <w:t xml:space="preserve"> </w:t>
      </w:r>
      <w:r w:rsidRPr="00A24EB4">
        <w:t>s</w:t>
      </w:r>
      <w:r>
        <w:t xml:space="preserve"> </w:t>
      </w:r>
      <w:r w:rsidRPr="00A24EB4">
        <w:t>rozdělením</w:t>
      </w:r>
      <w:r>
        <w:t xml:space="preserve"> </w:t>
      </w:r>
      <w:r w:rsidRPr="00A24EB4">
        <w:t>podle</w:t>
      </w:r>
      <w:r>
        <w:t xml:space="preserve"> </w:t>
      </w:r>
      <w:r w:rsidRPr="00A24EB4">
        <w:t>kategorie</w:t>
      </w:r>
      <w:r>
        <w:t xml:space="preserve"> </w:t>
      </w:r>
      <w:r w:rsidRPr="00A24EB4">
        <w:t>spravovaných</w:t>
      </w:r>
      <w:r>
        <w:t xml:space="preserve"> </w:t>
      </w:r>
      <w:r w:rsidRPr="00A24EB4">
        <w:t>práv</w:t>
      </w:r>
      <w:r>
        <w:t xml:space="preserve"> </w:t>
      </w:r>
      <w:r w:rsidRPr="00A24EB4">
        <w:t>a</w:t>
      </w:r>
      <w:r>
        <w:t xml:space="preserve"> </w:t>
      </w:r>
      <w:r w:rsidRPr="00A24EB4">
        <w:t>způsobu</w:t>
      </w:r>
      <w:r>
        <w:t xml:space="preserve"> </w:t>
      </w:r>
      <w:r w:rsidRPr="00A24EB4">
        <w:t>užití</w:t>
      </w:r>
      <w:r>
        <w:t xml:space="preserve"> </w:t>
      </w:r>
      <w:r w:rsidRPr="00A24EB4">
        <w:t>a</w:t>
      </w:r>
      <w:r>
        <w:t xml:space="preserve"> </w:t>
      </w:r>
      <w:r w:rsidRPr="00A24EB4">
        <w:t>uvedením</w:t>
      </w:r>
      <w:r>
        <w:t xml:space="preserve"> </w:t>
      </w:r>
      <w:r w:rsidRPr="00A24EB4">
        <w:t>účetního</w:t>
      </w:r>
      <w:r>
        <w:t xml:space="preserve"> </w:t>
      </w:r>
      <w:r w:rsidRPr="00A24EB4">
        <w:t>období,</w:t>
      </w:r>
      <w:r>
        <w:t xml:space="preserve"> </w:t>
      </w:r>
      <w:r w:rsidRPr="00A24EB4">
        <w:t>v</w:t>
      </w:r>
      <w:r>
        <w:t xml:space="preserve"> </w:t>
      </w:r>
      <w:r w:rsidRPr="00A24EB4">
        <w:t>němž</w:t>
      </w:r>
      <w:r>
        <w:t xml:space="preserve"> </w:t>
      </w:r>
      <w:r w:rsidRPr="00A24EB4">
        <w:t>byly</w:t>
      </w:r>
      <w:r>
        <w:t xml:space="preserve"> </w:t>
      </w:r>
      <w:r w:rsidRPr="00A24EB4">
        <w:t>tyto</w:t>
      </w:r>
      <w:r>
        <w:t xml:space="preserve"> </w:t>
      </w:r>
      <w:r w:rsidRPr="00A24EB4">
        <w:t>částky</w:t>
      </w:r>
      <w:r>
        <w:t xml:space="preserve"> </w:t>
      </w:r>
      <w:r w:rsidRPr="00A24EB4">
        <w:t>vybrány,</w:t>
      </w:r>
    </w:p>
    <w:p w14:paraId="3168AF7B" w14:textId="1EFF557B" w:rsidR="004863C4" w:rsidRPr="00A24EB4" w:rsidRDefault="004863C4" w:rsidP="00904F98">
      <w:pPr>
        <w:pStyle w:val="Textparagrafu"/>
        <w:tabs>
          <w:tab w:val="left" w:pos="392"/>
          <w:tab w:val="left" w:pos="826"/>
        </w:tabs>
        <w:spacing w:before="0"/>
        <w:ind w:left="850" w:hanging="425"/>
      </w:pPr>
      <w:r w:rsidRPr="00A24EB4">
        <w:t>5.</w:t>
      </w:r>
      <w:r w:rsidR="003A49B1">
        <w:tab/>
      </w:r>
      <w:r w:rsidRPr="00A24EB4">
        <w:t>celková</w:t>
      </w:r>
      <w:r>
        <w:t xml:space="preserve"> </w:t>
      </w:r>
      <w:r w:rsidRPr="00A24EB4">
        <w:t>přidělená</w:t>
      </w:r>
      <w:r>
        <w:t xml:space="preserve"> </w:t>
      </w:r>
      <w:r w:rsidRPr="00A24EB4">
        <w:t>částka,</w:t>
      </w:r>
      <w:r>
        <w:t xml:space="preserve"> </w:t>
      </w:r>
      <w:r w:rsidRPr="00A24EB4">
        <w:t>která</w:t>
      </w:r>
      <w:r>
        <w:t xml:space="preserve"> </w:t>
      </w:r>
      <w:r w:rsidRPr="00A24EB4">
        <w:t>však</w:t>
      </w:r>
      <w:r>
        <w:t xml:space="preserve"> </w:t>
      </w:r>
      <w:r w:rsidRPr="00A24EB4">
        <w:t>ještě</w:t>
      </w:r>
      <w:r>
        <w:t xml:space="preserve"> </w:t>
      </w:r>
      <w:r w:rsidRPr="00A24EB4">
        <w:t>nebyla</w:t>
      </w:r>
      <w:r>
        <w:t xml:space="preserve"> </w:t>
      </w:r>
      <w:r w:rsidRPr="00A24EB4">
        <w:t>nositelům</w:t>
      </w:r>
      <w:r>
        <w:t xml:space="preserve"> </w:t>
      </w:r>
      <w:r w:rsidRPr="00A24EB4">
        <w:t>práv</w:t>
      </w:r>
      <w:r>
        <w:t xml:space="preserve"> </w:t>
      </w:r>
      <w:r w:rsidRPr="00A24EB4">
        <w:t>rozdělena,</w:t>
      </w:r>
      <w:r>
        <w:t xml:space="preserve"> </w:t>
      </w:r>
      <w:r w:rsidRPr="00A24EB4">
        <w:t>s</w:t>
      </w:r>
      <w:r>
        <w:t xml:space="preserve"> </w:t>
      </w:r>
      <w:r w:rsidRPr="00A24EB4">
        <w:t>rozdělením</w:t>
      </w:r>
      <w:r>
        <w:t xml:space="preserve"> </w:t>
      </w:r>
      <w:r w:rsidRPr="00A24EB4">
        <w:t>podle</w:t>
      </w:r>
      <w:r>
        <w:t xml:space="preserve"> </w:t>
      </w:r>
      <w:r w:rsidRPr="00A24EB4">
        <w:t>kategorie</w:t>
      </w:r>
      <w:r>
        <w:t xml:space="preserve"> </w:t>
      </w:r>
      <w:r w:rsidRPr="00A24EB4">
        <w:t>spravovaných</w:t>
      </w:r>
      <w:r>
        <w:t xml:space="preserve"> </w:t>
      </w:r>
      <w:r w:rsidRPr="00A24EB4">
        <w:t>práv</w:t>
      </w:r>
      <w:r>
        <w:t xml:space="preserve"> </w:t>
      </w:r>
      <w:r w:rsidRPr="00A24EB4">
        <w:t>a</w:t>
      </w:r>
      <w:r>
        <w:t xml:space="preserve"> </w:t>
      </w:r>
      <w:r w:rsidRPr="00A24EB4">
        <w:t>způsobu</w:t>
      </w:r>
      <w:r>
        <w:t xml:space="preserve"> </w:t>
      </w:r>
      <w:r w:rsidRPr="00A24EB4">
        <w:t>užití</w:t>
      </w:r>
      <w:r>
        <w:t xml:space="preserve"> </w:t>
      </w:r>
      <w:r w:rsidRPr="00A24EB4">
        <w:t>a</w:t>
      </w:r>
      <w:r>
        <w:t xml:space="preserve"> </w:t>
      </w:r>
      <w:r w:rsidRPr="00A24EB4">
        <w:t>uvedením</w:t>
      </w:r>
      <w:r>
        <w:t xml:space="preserve"> </w:t>
      </w:r>
      <w:r w:rsidRPr="00A24EB4">
        <w:t>účetního</w:t>
      </w:r>
      <w:r>
        <w:t xml:space="preserve"> </w:t>
      </w:r>
      <w:r w:rsidRPr="00A24EB4">
        <w:t>období,</w:t>
      </w:r>
      <w:r>
        <w:t xml:space="preserve"> </w:t>
      </w:r>
      <w:r w:rsidRPr="00A24EB4">
        <w:t>v</w:t>
      </w:r>
      <w:r>
        <w:t xml:space="preserve"> </w:t>
      </w:r>
      <w:r w:rsidRPr="00A24EB4">
        <w:t>němž</w:t>
      </w:r>
      <w:r>
        <w:t xml:space="preserve"> </w:t>
      </w:r>
      <w:r w:rsidRPr="00A24EB4">
        <w:t>byly</w:t>
      </w:r>
      <w:r>
        <w:t xml:space="preserve"> </w:t>
      </w:r>
      <w:r w:rsidRPr="00A24EB4">
        <w:t>tyto</w:t>
      </w:r>
      <w:r>
        <w:t xml:space="preserve"> </w:t>
      </w:r>
      <w:r w:rsidRPr="00A24EB4">
        <w:t>částky</w:t>
      </w:r>
      <w:r>
        <w:t xml:space="preserve"> </w:t>
      </w:r>
      <w:r w:rsidRPr="00A24EB4">
        <w:t>vybrány,</w:t>
      </w:r>
    </w:p>
    <w:p w14:paraId="1820C93E" w14:textId="5B94406E" w:rsidR="004863C4" w:rsidRPr="00A24EB4" w:rsidRDefault="004863C4" w:rsidP="00904F98">
      <w:pPr>
        <w:pStyle w:val="Textparagrafu"/>
        <w:tabs>
          <w:tab w:val="left" w:pos="392"/>
          <w:tab w:val="left" w:pos="826"/>
        </w:tabs>
        <w:spacing w:before="0"/>
        <w:ind w:left="850" w:hanging="425"/>
      </w:pPr>
      <w:r w:rsidRPr="00A24EB4">
        <w:lastRenderedPageBreak/>
        <w:t>6.</w:t>
      </w:r>
      <w:r w:rsidR="003A49B1">
        <w:tab/>
      </w:r>
      <w:r w:rsidRPr="00A24EB4">
        <w:t>důvody</w:t>
      </w:r>
      <w:r>
        <w:t xml:space="preserve"> </w:t>
      </w:r>
      <w:r w:rsidRPr="00A24EB4">
        <w:t>prodlení,</w:t>
      </w:r>
      <w:r>
        <w:t xml:space="preserve"> </w:t>
      </w:r>
      <w:r w:rsidRPr="00A24EB4">
        <w:t>pokud</w:t>
      </w:r>
      <w:r>
        <w:t xml:space="preserve"> </w:t>
      </w:r>
      <w:r w:rsidRPr="00A24EB4">
        <w:t>kolektivní</w:t>
      </w:r>
      <w:r>
        <w:t xml:space="preserve"> </w:t>
      </w:r>
      <w:r w:rsidRPr="00A24EB4">
        <w:t>správce</w:t>
      </w:r>
      <w:r>
        <w:t xml:space="preserve"> </w:t>
      </w:r>
      <w:r w:rsidRPr="00A24EB4">
        <w:t>neprovedl</w:t>
      </w:r>
      <w:r>
        <w:t xml:space="preserve"> </w:t>
      </w:r>
      <w:r w:rsidRPr="00A24EB4">
        <w:t>rozdělení</w:t>
      </w:r>
      <w:r>
        <w:t xml:space="preserve"> </w:t>
      </w:r>
      <w:r w:rsidRPr="00A24EB4">
        <w:t>a</w:t>
      </w:r>
      <w:r>
        <w:t xml:space="preserve"> </w:t>
      </w:r>
      <w:r w:rsidRPr="00A24EB4">
        <w:t>platby</w:t>
      </w:r>
      <w:r>
        <w:t xml:space="preserve"> </w:t>
      </w:r>
      <w:r w:rsidRPr="00A24EB4">
        <w:t>ve</w:t>
      </w:r>
      <w:r>
        <w:t xml:space="preserve"> </w:t>
      </w:r>
      <w:r w:rsidRPr="00A24EB4">
        <w:t>lhůtě</w:t>
      </w:r>
      <w:r>
        <w:t xml:space="preserve"> </w:t>
      </w:r>
      <w:r w:rsidRPr="00A24EB4">
        <w:t>stanovené</w:t>
      </w:r>
      <w:r>
        <w:t xml:space="preserve"> </w:t>
      </w:r>
      <w:r w:rsidRPr="00A24EB4">
        <w:t>v</w:t>
      </w:r>
      <w:r>
        <w:t xml:space="preserve"> </w:t>
      </w:r>
      <w:r w:rsidRPr="00A24EB4">
        <w:t>§</w:t>
      </w:r>
      <w:r>
        <w:t xml:space="preserve"> </w:t>
      </w:r>
      <w:r w:rsidRPr="00A24EB4">
        <w:t>99c</w:t>
      </w:r>
      <w:r>
        <w:t xml:space="preserve"> </w:t>
      </w:r>
      <w:r w:rsidRPr="00A24EB4">
        <w:t>odst.</w:t>
      </w:r>
      <w:r>
        <w:t xml:space="preserve"> </w:t>
      </w:r>
      <w:r w:rsidRPr="00A24EB4">
        <w:t>2,</w:t>
      </w:r>
    </w:p>
    <w:p w14:paraId="3CD514E8" w14:textId="6CF4AA2A" w:rsidR="004863C4" w:rsidRDefault="004863C4" w:rsidP="00904F98">
      <w:pPr>
        <w:pStyle w:val="Textparagrafu"/>
        <w:tabs>
          <w:tab w:val="left" w:pos="392"/>
          <w:tab w:val="left" w:pos="826"/>
        </w:tabs>
        <w:spacing w:before="0"/>
        <w:ind w:left="850" w:hanging="425"/>
      </w:pPr>
      <w:r w:rsidRPr="00A24EB4">
        <w:t>7.</w:t>
      </w:r>
      <w:r w:rsidR="003A49B1">
        <w:tab/>
      </w:r>
      <w:r w:rsidRPr="00A24EB4">
        <w:t>celková</w:t>
      </w:r>
      <w:r>
        <w:t xml:space="preserve"> </w:t>
      </w:r>
      <w:r w:rsidRPr="00A24EB4">
        <w:t>výše</w:t>
      </w:r>
      <w:r>
        <w:t xml:space="preserve"> </w:t>
      </w:r>
      <w:r w:rsidRPr="00A24EB4">
        <w:t>nerozdělitelných</w:t>
      </w:r>
      <w:r>
        <w:t xml:space="preserve"> </w:t>
      </w:r>
      <w:r w:rsidRPr="00A24EB4">
        <w:t>částek</w:t>
      </w:r>
      <w:r>
        <w:t xml:space="preserve"> </w:t>
      </w:r>
      <w:r w:rsidRPr="00A24EB4">
        <w:t>společně</w:t>
      </w:r>
      <w:r>
        <w:t xml:space="preserve"> </w:t>
      </w:r>
      <w:r w:rsidRPr="00A24EB4">
        <w:t>s</w:t>
      </w:r>
      <w:r>
        <w:t xml:space="preserve"> </w:t>
      </w:r>
      <w:r w:rsidRPr="00A24EB4">
        <w:t>vysvětlením</w:t>
      </w:r>
      <w:r>
        <w:t xml:space="preserve"> </w:t>
      </w:r>
      <w:r w:rsidRPr="00A24EB4">
        <w:t>užití</w:t>
      </w:r>
      <w:r>
        <w:t xml:space="preserve"> </w:t>
      </w:r>
      <w:r w:rsidRPr="00A24EB4">
        <w:t>těchto</w:t>
      </w:r>
      <w:r>
        <w:t xml:space="preserve"> </w:t>
      </w:r>
      <w:r w:rsidRPr="00A24EB4">
        <w:t>částek;</w:t>
      </w:r>
    </w:p>
    <w:p w14:paraId="558FE9C3" w14:textId="2A629D28" w:rsidR="004863C4" w:rsidRPr="00A24EB4" w:rsidRDefault="004863C4" w:rsidP="00904F98">
      <w:pPr>
        <w:pStyle w:val="Textparagrafu"/>
        <w:tabs>
          <w:tab w:val="left" w:pos="392"/>
          <w:tab w:val="left" w:pos="826"/>
        </w:tabs>
        <w:spacing w:before="0"/>
        <w:ind w:left="426" w:hanging="426"/>
      </w:pPr>
      <w:r w:rsidRPr="00A24EB4">
        <w:t>d)</w:t>
      </w:r>
      <w:r w:rsidR="00904F98">
        <w:tab/>
      </w:r>
      <w:r w:rsidRPr="00A24EB4">
        <w:t>informace</w:t>
      </w:r>
      <w:r>
        <w:t xml:space="preserve"> </w:t>
      </w:r>
      <w:r w:rsidRPr="00A24EB4">
        <w:t>o</w:t>
      </w:r>
      <w:r>
        <w:t xml:space="preserve"> </w:t>
      </w:r>
      <w:r w:rsidRPr="00A24EB4">
        <w:t>vztazích</w:t>
      </w:r>
      <w:r>
        <w:t xml:space="preserve"> </w:t>
      </w:r>
      <w:r w:rsidRPr="00A24EB4">
        <w:t>s</w:t>
      </w:r>
      <w:r>
        <w:t xml:space="preserve"> </w:t>
      </w:r>
      <w:r w:rsidRPr="00A24EB4">
        <w:t>jinými</w:t>
      </w:r>
      <w:r>
        <w:t xml:space="preserve"> </w:t>
      </w:r>
      <w:r w:rsidRPr="00A24EB4">
        <w:t>kolektivními</w:t>
      </w:r>
      <w:r>
        <w:t xml:space="preserve"> </w:t>
      </w:r>
      <w:r w:rsidRPr="00A24EB4">
        <w:t>správci</w:t>
      </w:r>
      <w:r>
        <w:t xml:space="preserve"> </w:t>
      </w:r>
      <w:r w:rsidRPr="00A24EB4">
        <w:t>s</w:t>
      </w:r>
      <w:r>
        <w:t xml:space="preserve"> </w:t>
      </w:r>
      <w:r w:rsidRPr="00A24EB4">
        <w:t>popisem</w:t>
      </w:r>
      <w:r>
        <w:t xml:space="preserve"> </w:t>
      </w:r>
      <w:r w:rsidRPr="00A24EB4">
        <w:t>alespoň</w:t>
      </w:r>
      <w:r>
        <w:t xml:space="preserve"> </w:t>
      </w:r>
      <w:r w:rsidRPr="00A24EB4">
        <w:t>těchto</w:t>
      </w:r>
      <w:r>
        <w:t xml:space="preserve"> </w:t>
      </w:r>
      <w:r w:rsidRPr="00A24EB4">
        <w:t>bodů:</w:t>
      </w:r>
    </w:p>
    <w:p w14:paraId="0D07C3BF" w14:textId="72F65B43" w:rsidR="004863C4" w:rsidRPr="00A24EB4" w:rsidRDefault="004863C4" w:rsidP="00904F98">
      <w:pPr>
        <w:pStyle w:val="Textparagrafu"/>
        <w:tabs>
          <w:tab w:val="left" w:pos="392"/>
          <w:tab w:val="left" w:pos="826"/>
        </w:tabs>
        <w:spacing w:before="0"/>
        <w:ind w:left="850" w:hanging="425"/>
      </w:pPr>
      <w:r w:rsidRPr="00A24EB4">
        <w:t>1.</w:t>
      </w:r>
      <w:r w:rsidR="003A49B1">
        <w:tab/>
      </w:r>
      <w:r w:rsidRPr="00A24EB4">
        <w:t>částky</w:t>
      </w:r>
      <w:r>
        <w:t xml:space="preserve"> </w:t>
      </w:r>
      <w:r w:rsidRPr="00A24EB4">
        <w:t>obdržené</w:t>
      </w:r>
      <w:r>
        <w:t xml:space="preserve"> </w:t>
      </w:r>
      <w:r w:rsidRPr="00A24EB4">
        <w:t>od</w:t>
      </w:r>
      <w:r>
        <w:t xml:space="preserve"> </w:t>
      </w:r>
      <w:r w:rsidRPr="00A24EB4">
        <w:t>jiných</w:t>
      </w:r>
      <w:r>
        <w:t xml:space="preserve"> </w:t>
      </w:r>
      <w:r w:rsidRPr="00A24EB4">
        <w:t>kolektivních</w:t>
      </w:r>
      <w:r>
        <w:t xml:space="preserve"> </w:t>
      </w:r>
      <w:r w:rsidRPr="00A24EB4">
        <w:t>správců</w:t>
      </w:r>
      <w:r>
        <w:t xml:space="preserve"> </w:t>
      </w:r>
      <w:r w:rsidRPr="00A24EB4">
        <w:t>a</w:t>
      </w:r>
      <w:r>
        <w:t xml:space="preserve"> </w:t>
      </w:r>
      <w:r w:rsidRPr="00A24EB4">
        <w:t>částky</w:t>
      </w:r>
      <w:r>
        <w:t xml:space="preserve"> </w:t>
      </w:r>
      <w:r w:rsidRPr="00A24EB4">
        <w:t>vyplacené</w:t>
      </w:r>
      <w:r>
        <w:t xml:space="preserve"> </w:t>
      </w:r>
      <w:r w:rsidRPr="00A24EB4">
        <w:t>jiným</w:t>
      </w:r>
      <w:r>
        <w:t xml:space="preserve"> </w:t>
      </w:r>
      <w:r w:rsidRPr="00A24EB4">
        <w:t>kolektivním</w:t>
      </w:r>
      <w:r>
        <w:t xml:space="preserve"> </w:t>
      </w:r>
      <w:r w:rsidRPr="00A24EB4">
        <w:t>správcům</w:t>
      </w:r>
      <w:r>
        <w:t xml:space="preserve"> </w:t>
      </w:r>
      <w:r w:rsidRPr="00A24EB4">
        <w:t>s</w:t>
      </w:r>
      <w:r>
        <w:t xml:space="preserve"> </w:t>
      </w:r>
      <w:r w:rsidRPr="00A24EB4">
        <w:t>rozdělením</w:t>
      </w:r>
      <w:r>
        <w:t xml:space="preserve"> </w:t>
      </w:r>
      <w:r w:rsidRPr="00A24EB4">
        <w:t>podle</w:t>
      </w:r>
      <w:r>
        <w:t xml:space="preserve"> </w:t>
      </w:r>
      <w:r w:rsidRPr="00A24EB4">
        <w:t>kategorií</w:t>
      </w:r>
      <w:r>
        <w:t xml:space="preserve"> </w:t>
      </w:r>
      <w:r w:rsidRPr="00A24EB4">
        <w:t>práv</w:t>
      </w:r>
      <w:r>
        <w:t xml:space="preserve"> </w:t>
      </w:r>
      <w:r w:rsidRPr="00A24EB4">
        <w:t>a</w:t>
      </w:r>
      <w:r>
        <w:t xml:space="preserve"> </w:t>
      </w:r>
      <w:r w:rsidRPr="00A24EB4">
        <w:t>kolektivních</w:t>
      </w:r>
      <w:r>
        <w:t xml:space="preserve"> </w:t>
      </w:r>
      <w:r w:rsidRPr="00A24EB4">
        <w:t>správců,</w:t>
      </w:r>
    </w:p>
    <w:p w14:paraId="7DED2B0F" w14:textId="684253AF" w:rsidR="004863C4" w:rsidRPr="00A24EB4" w:rsidRDefault="004863C4" w:rsidP="00904F98">
      <w:pPr>
        <w:pStyle w:val="Textparagrafu"/>
        <w:tabs>
          <w:tab w:val="left" w:pos="392"/>
          <w:tab w:val="left" w:pos="826"/>
        </w:tabs>
        <w:spacing w:before="0"/>
        <w:ind w:left="850" w:hanging="425"/>
      </w:pPr>
      <w:r w:rsidRPr="00A24EB4">
        <w:t>2.</w:t>
      </w:r>
      <w:r w:rsidR="003A49B1">
        <w:tab/>
      </w:r>
      <w:r w:rsidRPr="00A24EB4">
        <w:t>úhrada</w:t>
      </w:r>
      <w:r>
        <w:t xml:space="preserve"> </w:t>
      </w:r>
      <w:r w:rsidRPr="00A24EB4">
        <w:t>nákladů</w:t>
      </w:r>
      <w:r>
        <w:t xml:space="preserve"> </w:t>
      </w:r>
      <w:r w:rsidRPr="00A24EB4">
        <w:t>na</w:t>
      </w:r>
      <w:r>
        <w:t xml:space="preserve"> </w:t>
      </w:r>
      <w:r w:rsidRPr="00A24EB4">
        <w:t>správu</w:t>
      </w:r>
      <w:r>
        <w:t xml:space="preserve"> </w:t>
      </w:r>
      <w:r w:rsidRPr="00A24EB4">
        <w:t>práv</w:t>
      </w:r>
      <w:r>
        <w:t xml:space="preserve"> </w:t>
      </w:r>
      <w:r w:rsidRPr="00A24EB4">
        <w:t>a</w:t>
      </w:r>
      <w:r>
        <w:t xml:space="preserve"> </w:t>
      </w:r>
      <w:r w:rsidRPr="00A24EB4">
        <w:t>jiné</w:t>
      </w:r>
      <w:r>
        <w:t xml:space="preserve"> </w:t>
      </w:r>
      <w:r w:rsidRPr="00A24EB4">
        <w:t>srážky</w:t>
      </w:r>
      <w:r>
        <w:t xml:space="preserve"> </w:t>
      </w:r>
      <w:r w:rsidRPr="00A24EB4">
        <w:t>z</w:t>
      </w:r>
      <w:r>
        <w:t xml:space="preserve"> </w:t>
      </w:r>
      <w:r w:rsidRPr="00A24EB4">
        <w:t>příjmů</w:t>
      </w:r>
      <w:r>
        <w:t xml:space="preserve"> </w:t>
      </w:r>
      <w:r w:rsidRPr="00A24EB4">
        <w:t>z</w:t>
      </w:r>
      <w:r>
        <w:t xml:space="preserve"> </w:t>
      </w:r>
      <w:r w:rsidRPr="00A24EB4">
        <w:t>výkonu</w:t>
      </w:r>
      <w:r>
        <w:t xml:space="preserve"> </w:t>
      </w:r>
      <w:r w:rsidRPr="00A24EB4">
        <w:t>práv</w:t>
      </w:r>
      <w:r>
        <w:t xml:space="preserve"> </w:t>
      </w:r>
      <w:r w:rsidRPr="00A24EB4">
        <w:t>splatných</w:t>
      </w:r>
      <w:r>
        <w:t xml:space="preserve"> </w:t>
      </w:r>
      <w:r w:rsidRPr="00A24EB4">
        <w:t>jiným</w:t>
      </w:r>
      <w:r>
        <w:t xml:space="preserve"> </w:t>
      </w:r>
      <w:r w:rsidRPr="00A24EB4">
        <w:t>kolektivním</w:t>
      </w:r>
      <w:r>
        <w:t xml:space="preserve"> </w:t>
      </w:r>
      <w:r w:rsidRPr="00A24EB4">
        <w:t>správcům</w:t>
      </w:r>
      <w:r>
        <w:t xml:space="preserve"> </w:t>
      </w:r>
      <w:r w:rsidRPr="00A24EB4">
        <w:t>s</w:t>
      </w:r>
      <w:r>
        <w:t xml:space="preserve"> </w:t>
      </w:r>
      <w:r w:rsidRPr="00A24EB4">
        <w:t>rozdělením</w:t>
      </w:r>
      <w:r>
        <w:t xml:space="preserve"> </w:t>
      </w:r>
      <w:r w:rsidRPr="00A24EB4">
        <w:t>podle</w:t>
      </w:r>
      <w:r>
        <w:t xml:space="preserve"> </w:t>
      </w:r>
      <w:r w:rsidRPr="00A24EB4">
        <w:t>kategorií</w:t>
      </w:r>
      <w:r>
        <w:t xml:space="preserve"> </w:t>
      </w:r>
      <w:r w:rsidRPr="00A24EB4">
        <w:t>práv</w:t>
      </w:r>
      <w:r>
        <w:t xml:space="preserve"> </w:t>
      </w:r>
      <w:r w:rsidRPr="00A24EB4">
        <w:t>a</w:t>
      </w:r>
      <w:r>
        <w:t xml:space="preserve"> </w:t>
      </w:r>
      <w:r w:rsidRPr="00A24EB4">
        <w:t>kolektivních</w:t>
      </w:r>
      <w:r>
        <w:t xml:space="preserve"> </w:t>
      </w:r>
      <w:r w:rsidRPr="00A24EB4">
        <w:t>správců,</w:t>
      </w:r>
    </w:p>
    <w:p w14:paraId="0E99D2E4" w14:textId="0B5182EF" w:rsidR="004863C4" w:rsidRPr="00A24EB4" w:rsidRDefault="004863C4" w:rsidP="00904F98">
      <w:pPr>
        <w:pStyle w:val="Textparagrafu"/>
        <w:tabs>
          <w:tab w:val="left" w:pos="392"/>
          <w:tab w:val="left" w:pos="826"/>
        </w:tabs>
        <w:spacing w:before="0"/>
        <w:ind w:left="850" w:hanging="425"/>
      </w:pPr>
      <w:r w:rsidRPr="00A24EB4">
        <w:t>3.</w:t>
      </w:r>
      <w:r w:rsidR="003A49B1">
        <w:tab/>
      </w:r>
      <w:r w:rsidRPr="00A24EB4">
        <w:t>úhrada</w:t>
      </w:r>
      <w:r>
        <w:t xml:space="preserve"> </w:t>
      </w:r>
      <w:r w:rsidRPr="00A24EB4">
        <w:t>nákladů</w:t>
      </w:r>
      <w:r>
        <w:t xml:space="preserve"> </w:t>
      </w:r>
      <w:r w:rsidRPr="00A24EB4">
        <w:t>na</w:t>
      </w:r>
      <w:r>
        <w:t xml:space="preserve"> </w:t>
      </w:r>
      <w:r w:rsidRPr="00A24EB4">
        <w:t>správu</w:t>
      </w:r>
      <w:r>
        <w:t xml:space="preserve"> </w:t>
      </w:r>
      <w:r w:rsidRPr="00A24EB4">
        <w:t>práv</w:t>
      </w:r>
      <w:r>
        <w:t xml:space="preserve"> </w:t>
      </w:r>
      <w:r w:rsidRPr="00A24EB4">
        <w:t>a</w:t>
      </w:r>
      <w:r>
        <w:t xml:space="preserve"> </w:t>
      </w:r>
      <w:r w:rsidRPr="00A24EB4">
        <w:t>jiné</w:t>
      </w:r>
      <w:r>
        <w:t xml:space="preserve"> </w:t>
      </w:r>
      <w:r w:rsidRPr="00A24EB4">
        <w:t>srážky</w:t>
      </w:r>
      <w:r>
        <w:t xml:space="preserve"> </w:t>
      </w:r>
      <w:r w:rsidRPr="00A24EB4">
        <w:t>z</w:t>
      </w:r>
      <w:r>
        <w:t xml:space="preserve"> </w:t>
      </w:r>
      <w:r w:rsidRPr="00A24EB4">
        <w:t>částek</w:t>
      </w:r>
      <w:r>
        <w:t xml:space="preserve"> </w:t>
      </w:r>
      <w:r w:rsidRPr="00A24EB4">
        <w:t>vyplacených</w:t>
      </w:r>
      <w:r>
        <w:t xml:space="preserve"> </w:t>
      </w:r>
      <w:r w:rsidRPr="00A24EB4">
        <w:t>jinými</w:t>
      </w:r>
      <w:r>
        <w:t xml:space="preserve"> </w:t>
      </w:r>
      <w:r w:rsidRPr="00A24EB4">
        <w:t>kolektivními</w:t>
      </w:r>
      <w:r>
        <w:t xml:space="preserve"> </w:t>
      </w:r>
      <w:r w:rsidRPr="00A24EB4">
        <w:t>správci</w:t>
      </w:r>
      <w:r>
        <w:t xml:space="preserve"> </w:t>
      </w:r>
      <w:r w:rsidRPr="00A24EB4">
        <w:t>s</w:t>
      </w:r>
      <w:r>
        <w:t xml:space="preserve"> </w:t>
      </w:r>
      <w:r w:rsidRPr="00A24EB4">
        <w:t>rozdělením</w:t>
      </w:r>
      <w:r>
        <w:t xml:space="preserve"> </w:t>
      </w:r>
      <w:r w:rsidRPr="00A24EB4">
        <w:t>podle</w:t>
      </w:r>
      <w:r>
        <w:t xml:space="preserve"> </w:t>
      </w:r>
      <w:r w:rsidRPr="00A24EB4">
        <w:t>kategorií</w:t>
      </w:r>
      <w:r>
        <w:t xml:space="preserve"> </w:t>
      </w:r>
      <w:r w:rsidRPr="00A24EB4">
        <w:t>práv</w:t>
      </w:r>
      <w:r>
        <w:t xml:space="preserve"> </w:t>
      </w:r>
      <w:r w:rsidRPr="00A24EB4">
        <w:t>a</w:t>
      </w:r>
      <w:r>
        <w:t xml:space="preserve"> </w:t>
      </w:r>
      <w:r w:rsidRPr="00A24EB4">
        <w:t>kolektivních</w:t>
      </w:r>
      <w:r>
        <w:t xml:space="preserve"> </w:t>
      </w:r>
      <w:r w:rsidRPr="00A24EB4">
        <w:t>správců,</w:t>
      </w:r>
    </w:p>
    <w:p w14:paraId="3E3C32CB" w14:textId="2736B7F6" w:rsidR="004863C4" w:rsidRDefault="004863C4" w:rsidP="00904F98">
      <w:pPr>
        <w:pStyle w:val="Textparagrafu"/>
        <w:tabs>
          <w:tab w:val="left" w:pos="392"/>
          <w:tab w:val="left" w:pos="826"/>
        </w:tabs>
        <w:spacing w:before="0"/>
        <w:ind w:left="850" w:hanging="425"/>
      </w:pPr>
      <w:r w:rsidRPr="00A24EB4">
        <w:t>4.</w:t>
      </w:r>
      <w:r w:rsidR="003A49B1">
        <w:tab/>
      </w:r>
      <w:r w:rsidRPr="00A24EB4">
        <w:t>částky</w:t>
      </w:r>
      <w:r>
        <w:t xml:space="preserve"> </w:t>
      </w:r>
      <w:r w:rsidRPr="00A24EB4">
        <w:t>rozdělené</w:t>
      </w:r>
      <w:r>
        <w:t xml:space="preserve"> </w:t>
      </w:r>
      <w:r w:rsidRPr="00A24EB4">
        <w:t>přímo</w:t>
      </w:r>
      <w:r>
        <w:t xml:space="preserve"> </w:t>
      </w:r>
      <w:r w:rsidRPr="00A24EB4">
        <w:t>nositelům</w:t>
      </w:r>
      <w:r>
        <w:t xml:space="preserve"> </w:t>
      </w:r>
      <w:r w:rsidRPr="00A24EB4">
        <w:t>práv</w:t>
      </w:r>
      <w:r>
        <w:t xml:space="preserve"> </w:t>
      </w:r>
      <w:r w:rsidRPr="00A24EB4">
        <w:t>pocházející</w:t>
      </w:r>
      <w:r>
        <w:t xml:space="preserve"> </w:t>
      </w:r>
      <w:r w:rsidRPr="00A24EB4">
        <w:t>od</w:t>
      </w:r>
      <w:r>
        <w:t xml:space="preserve"> </w:t>
      </w:r>
      <w:r w:rsidRPr="00A24EB4">
        <w:t>jiných</w:t>
      </w:r>
      <w:r>
        <w:t xml:space="preserve"> </w:t>
      </w:r>
      <w:r w:rsidRPr="00A24EB4">
        <w:t>kolektivních</w:t>
      </w:r>
      <w:r>
        <w:t xml:space="preserve"> </w:t>
      </w:r>
      <w:r w:rsidRPr="00A24EB4">
        <w:t>správců</w:t>
      </w:r>
      <w:r>
        <w:t xml:space="preserve"> </w:t>
      </w:r>
      <w:r w:rsidRPr="00A24EB4">
        <w:t>s</w:t>
      </w:r>
      <w:r>
        <w:t xml:space="preserve"> </w:t>
      </w:r>
      <w:r w:rsidRPr="00A24EB4">
        <w:t>rozdělením</w:t>
      </w:r>
      <w:r>
        <w:t xml:space="preserve"> </w:t>
      </w:r>
      <w:r w:rsidRPr="00A24EB4">
        <w:t>podle</w:t>
      </w:r>
      <w:r>
        <w:t xml:space="preserve"> </w:t>
      </w:r>
      <w:r w:rsidRPr="00A24EB4">
        <w:t>kategorií</w:t>
      </w:r>
      <w:r>
        <w:t xml:space="preserve"> </w:t>
      </w:r>
      <w:r w:rsidRPr="00A24EB4">
        <w:t>práv</w:t>
      </w:r>
      <w:r>
        <w:t xml:space="preserve"> </w:t>
      </w:r>
      <w:r w:rsidRPr="00A24EB4">
        <w:t>a</w:t>
      </w:r>
      <w:r>
        <w:t xml:space="preserve"> </w:t>
      </w:r>
      <w:r w:rsidRPr="00A24EB4">
        <w:t>kolektivních</w:t>
      </w:r>
      <w:r>
        <w:t xml:space="preserve"> </w:t>
      </w:r>
      <w:r w:rsidRPr="00A24EB4">
        <w:t>správců.</w:t>
      </w:r>
    </w:p>
    <w:p w14:paraId="267577E7" w14:textId="77777777" w:rsidR="004863C4" w:rsidRPr="00197D8F" w:rsidRDefault="004863C4" w:rsidP="00197D8F">
      <w:pPr>
        <w:pStyle w:val="Textparagrafu"/>
        <w:tabs>
          <w:tab w:val="left" w:pos="392"/>
          <w:tab w:val="left" w:pos="826"/>
        </w:tabs>
        <w:spacing w:after="120"/>
        <w:rPr>
          <w:b/>
        </w:rPr>
      </w:pPr>
      <w:r w:rsidRPr="00197D8F">
        <w:rPr>
          <w:b/>
        </w:rPr>
        <w:t>3. Další informace:</w:t>
      </w:r>
    </w:p>
    <w:p w14:paraId="0385B0D0" w14:textId="7420C5A0" w:rsidR="004863C4" w:rsidRDefault="004863C4" w:rsidP="00850A92">
      <w:pPr>
        <w:pStyle w:val="Textparagrafu"/>
        <w:tabs>
          <w:tab w:val="left" w:pos="392"/>
          <w:tab w:val="left" w:pos="826"/>
        </w:tabs>
        <w:spacing w:before="0"/>
        <w:ind w:left="426" w:hanging="426"/>
      </w:pPr>
      <w:r w:rsidRPr="00A24EB4">
        <w:t>a)</w:t>
      </w:r>
      <w:r w:rsidR="003A49B1">
        <w:tab/>
      </w:r>
      <w:r w:rsidRPr="00A24EB4">
        <w:t>výše</w:t>
      </w:r>
      <w:r>
        <w:t xml:space="preserve"> </w:t>
      </w:r>
      <w:r w:rsidRPr="00A24EB4">
        <w:t>částek</w:t>
      </w:r>
      <w:r>
        <w:t xml:space="preserve"> </w:t>
      </w:r>
      <w:r w:rsidRPr="00A24EB4">
        <w:t>sražených</w:t>
      </w:r>
      <w:r>
        <w:t xml:space="preserve"> </w:t>
      </w:r>
      <w:r w:rsidRPr="00A24EB4">
        <w:t>na</w:t>
      </w:r>
      <w:r>
        <w:t xml:space="preserve"> </w:t>
      </w:r>
      <w:r w:rsidRPr="00A24EB4">
        <w:t>úhradu</w:t>
      </w:r>
      <w:r>
        <w:t xml:space="preserve"> </w:t>
      </w:r>
      <w:r w:rsidRPr="00A24EB4">
        <w:t>nákladů</w:t>
      </w:r>
      <w:r>
        <w:t xml:space="preserve"> </w:t>
      </w:r>
      <w:r w:rsidRPr="00A24EB4">
        <w:t>na</w:t>
      </w:r>
      <w:r>
        <w:t xml:space="preserve"> </w:t>
      </w:r>
      <w:r w:rsidRPr="00A24EB4">
        <w:t>poskytování</w:t>
      </w:r>
      <w:r>
        <w:t xml:space="preserve"> </w:t>
      </w:r>
      <w:r w:rsidRPr="00A24EB4">
        <w:t>sociálních,</w:t>
      </w:r>
      <w:r>
        <w:t xml:space="preserve"> </w:t>
      </w:r>
      <w:r w:rsidRPr="00A24EB4">
        <w:t>kulturních</w:t>
      </w:r>
      <w:r>
        <w:t xml:space="preserve"> </w:t>
      </w:r>
      <w:r w:rsidRPr="00A24EB4">
        <w:t>a</w:t>
      </w:r>
      <w:r>
        <w:t xml:space="preserve"> </w:t>
      </w:r>
      <w:r w:rsidRPr="00A24EB4">
        <w:t>vzdělávacích</w:t>
      </w:r>
      <w:r>
        <w:t xml:space="preserve"> </w:t>
      </w:r>
      <w:r w:rsidRPr="00A24EB4">
        <w:t>služeb</w:t>
      </w:r>
      <w:r>
        <w:t xml:space="preserve"> </w:t>
      </w:r>
      <w:r w:rsidRPr="00A24EB4">
        <w:t>v</w:t>
      </w:r>
      <w:r>
        <w:t xml:space="preserve"> </w:t>
      </w:r>
      <w:r w:rsidRPr="00A24EB4">
        <w:t>daném</w:t>
      </w:r>
      <w:r>
        <w:t xml:space="preserve"> </w:t>
      </w:r>
      <w:r w:rsidRPr="00A24EB4">
        <w:t>účetním</w:t>
      </w:r>
      <w:r>
        <w:t xml:space="preserve"> </w:t>
      </w:r>
      <w:r w:rsidRPr="00A24EB4">
        <w:t>období</w:t>
      </w:r>
      <w:r>
        <w:t xml:space="preserve"> </w:t>
      </w:r>
      <w:r w:rsidRPr="00A24EB4">
        <w:t>s</w:t>
      </w:r>
      <w:r>
        <w:t xml:space="preserve"> </w:t>
      </w:r>
      <w:r w:rsidRPr="00A24EB4">
        <w:t>rozdělením</w:t>
      </w:r>
      <w:r>
        <w:t xml:space="preserve"> </w:t>
      </w:r>
      <w:r w:rsidRPr="00A24EB4">
        <w:t>podle</w:t>
      </w:r>
      <w:r>
        <w:t xml:space="preserve"> </w:t>
      </w:r>
      <w:r w:rsidRPr="00A24EB4">
        <w:t>účelu,</w:t>
      </w:r>
      <w:r>
        <w:t xml:space="preserve"> </w:t>
      </w:r>
      <w:r w:rsidRPr="00A24EB4">
        <w:t>a</w:t>
      </w:r>
      <w:r>
        <w:t xml:space="preserve"> </w:t>
      </w:r>
      <w:r w:rsidRPr="00A24EB4">
        <w:t>u</w:t>
      </w:r>
      <w:r>
        <w:t xml:space="preserve"> </w:t>
      </w:r>
      <w:r w:rsidRPr="00A24EB4">
        <w:t>každého</w:t>
      </w:r>
      <w:r>
        <w:t xml:space="preserve"> </w:t>
      </w:r>
      <w:r w:rsidRPr="00A24EB4">
        <w:t>účelu</w:t>
      </w:r>
      <w:r>
        <w:t xml:space="preserve"> </w:t>
      </w:r>
      <w:r w:rsidRPr="00A24EB4">
        <w:t>s</w:t>
      </w:r>
      <w:r>
        <w:t xml:space="preserve"> </w:t>
      </w:r>
      <w:r w:rsidRPr="00A24EB4">
        <w:t>rozdělením</w:t>
      </w:r>
      <w:r>
        <w:t xml:space="preserve"> </w:t>
      </w:r>
      <w:r w:rsidRPr="00A24EB4">
        <w:t>podle</w:t>
      </w:r>
      <w:r>
        <w:t xml:space="preserve"> </w:t>
      </w:r>
      <w:r w:rsidRPr="00A24EB4">
        <w:t>kategorií</w:t>
      </w:r>
      <w:r>
        <w:t xml:space="preserve"> </w:t>
      </w:r>
      <w:r w:rsidRPr="00A24EB4">
        <w:t>spravovaných</w:t>
      </w:r>
      <w:r>
        <w:t xml:space="preserve"> </w:t>
      </w:r>
      <w:r w:rsidRPr="00A24EB4">
        <w:t>práv,</w:t>
      </w:r>
    </w:p>
    <w:p w14:paraId="3ADCD183" w14:textId="4BB3AB29" w:rsidR="004863C4" w:rsidRPr="00A24EB4" w:rsidRDefault="004863C4" w:rsidP="00850A92">
      <w:pPr>
        <w:pStyle w:val="Textparagrafu"/>
        <w:tabs>
          <w:tab w:val="left" w:pos="392"/>
          <w:tab w:val="left" w:pos="826"/>
        </w:tabs>
        <w:spacing w:before="0"/>
        <w:ind w:left="426" w:hanging="426"/>
      </w:pPr>
      <w:r w:rsidRPr="00A24EB4">
        <w:t>b)</w:t>
      </w:r>
      <w:r w:rsidR="003A49B1">
        <w:tab/>
      </w:r>
      <w:r w:rsidRPr="00A24EB4">
        <w:t>informace</w:t>
      </w:r>
      <w:r>
        <w:t xml:space="preserve"> </w:t>
      </w:r>
      <w:r w:rsidRPr="00A24EB4">
        <w:t>o</w:t>
      </w:r>
      <w:r>
        <w:t xml:space="preserve"> </w:t>
      </w:r>
      <w:r w:rsidRPr="00A24EB4">
        <w:t>použití</w:t>
      </w:r>
      <w:r>
        <w:t xml:space="preserve"> </w:t>
      </w:r>
      <w:r w:rsidRPr="00A24EB4">
        <w:t>částek</w:t>
      </w:r>
      <w:r>
        <w:t xml:space="preserve"> </w:t>
      </w:r>
      <w:r w:rsidRPr="00A24EB4">
        <w:t>uvedených</w:t>
      </w:r>
      <w:r>
        <w:t xml:space="preserve"> </w:t>
      </w:r>
      <w:r w:rsidRPr="00A24EB4">
        <w:t>v</w:t>
      </w:r>
      <w:r>
        <w:t xml:space="preserve"> </w:t>
      </w:r>
      <w:r w:rsidRPr="00A24EB4">
        <w:t>písmenu</w:t>
      </w:r>
      <w:r>
        <w:t xml:space="preserve"> </w:t>
      </w:r>
      <w:r w:rsidRPr="00A24EB4">
        <w:t>a)</w:t>
      </w:r>
      <w:r>
        <w:t xml:space="preserve"> </w:t>
      </w:r>
      <w:r w:rsidRPr="00A24EB4">
        <w:t>s</w:t>
      </w:r>
      <w:r>
        <w:t xml:space="preserve"> </w:t>
      </w:r>
      <w:r w:rsidRPr="00A24EB4">
        <w:t>rozdělením</w:t>
      </w:r>
      <w:r>
        <w:t xml:space="preserve"> </w:t>
      </w:r>
      <w:r w:rsidRPr="00A24EB4">
        <w:t>podle</w:t>
      </w:r>
      <w:r>
        <w:t xml:space="preserve"> </w:t>
      </w:r>
      <w:r w:rsidRPr="00A24EB4">
        <w:t>účelu,</w:t>
      </w:r>
      <w:r>
        <w:t xml:space="preserve"> </w:t>
      </w:r>
      <w:r w:rsidRPr="00A24EB4">
        <w:t>pro</w:t>
      </w:r>
      <w:r>
        <w:t xml:space="preserve"> </w:t>
      </w:r>
      <w:r w:rsidRPr="00A24EB4">
        <w:t>který</w:t>
      </w:r>
      <w:r>
        <w:t xml:space="preserve"> </w:t>
      </w:r>
      <w:r w:rsidRPr="00A24EB4">
        <w:t>byly</w:t>
      </w:r>
      <w:r>
        <w:t xml:space="preserve"> </w:t>
      </w:r>
      <w:r w:rsidRPr="00A24EB4">
        <w:t>použity.</w:t>
      </w:r>
    </w:p>
    <w:p w14:paraId="3F9DE74F" w14:textId="77777777" w:rsidR="00704C9A" w:rsidRDefault="00704C9A" w:rsidP="00704C9A">
      <w:pPr>
        <w:pStyle w:val="Textparagrafu"/>
        <w:tabs>
          <w:tab w:val="left" w:pos="406"/>
          <w:tab w:val="left" w:pos="840"/>
          <w:tab w:val="left" w:pos="868"/>
        </w:tabs>
        <w:spacing w:after="120"/>
        <w:ind w:firstLine="0"/>
        <w:jc w:val="center"/>
      </w:pPr>
    </w:p>
    <w:p w14:paraId="6D93BB35" w14:textId="77777777" w:rsidR="00704C9A" w:rsidRDefault="00704C9A" w:rsidP="00704C9A">
      <w:pPr>
        <w:pStyle w:val="Textparagrafu"/>
        <w:tabs>
          <w:tab w:val="left" w:pos="406"/>
          <w:tab w:val="left" w:pos="840"/>
          <w:tab w:val="left" w:pos="868"/>
        </w:tabs>
        <w:spacing w:after="120"/>
        <w:ind w:firstLine="0"/>
        <w:sectPr w:rsidR="00704C9A" w:rsidSect="003A49B1">
          <w:footnotePr>
            <w:numStart w:val="3"/>
          </w:footnotePr>
          <w:endnotePr>
            <w:numFmt w:val="decimal"/>
          </w:endnotePr>
          <w:pgSz w:w="11906" w:h="16838"/>
          <w:pgMar w:top="1418" w:right="1418" w:bottom="1418" w:left="1418" w:header="709" w:footer="709" w:gutter="0"/>
          <w:cols w:space="708"/>
          <w:docGrid w:linePitch="360"/>
        </w:sectPr>
      </w:pPr>
    </w:p>
    <w:p w14:paraId="30C293BF" w14:textId="74F4839D" w:rsidR="00A81761" w:rsidRPr="00191EBA" w:rsidRDefault="00A81761" w:rsidP="00152046">
      <w:pPr>
        <w:tabs>
          <w:tab w:val="left" w:pos="851"/>
        </w:tabs>
        <w:spacing w:before="120" w:after="120"/>
        <w:ind w:firstLine="0"/>
        <w:jc w:val="center"/>
        <w:outlineLvl w:val="0"/>
        <w:rPr>
          <w:szCs w:val="24"/>
        </w:rPr>
      </w:pPr>
      <w:r w:rsidRPr="00191EBA">
        <w:rPr>
          <w:b/>
          <w:szCs w:val="24"/>
        </w:rPr>
        <w:lastRenderedPageBreak/>
        <w:t xml:space="preserve">K části čtyřicáté </w:t>
      </w:r>
      <w:r w:rsidR="00850A92">
        <w:rPr>
          <w:b/>
          <w:szCs w:val="24"/>
        </w:rPr>
        <w:t>páté</w:t>
      </w:r>
      <w:r w:rsidRPr="00191EBA">
        <w:rPr>
          <w:b/>
          <w:szCs w:val="24"/>
        </w:rPr>
        <w:t xml:space="preserve"> návrhu zákona – </w:t>
      </w:r>
      <w:r w:rsidRPr="00191EBA">
        <w:rPr>
          <w:szCs w:val="24"/>
        </w:rPr>
        <w:t>změna zákona</w:t>
      </w:r>
      <w:r w:rsidRPr="00191EBA">
        <w:t xml:space="preserve"> </w:t>
      </w:r>
      <w:r w:rsidRPr="00191EBA">
        <w:rPr>
          <w:szCs w:val="24"/>
        </w:rPr>
        <w:t>o obcích (obecní zřízení)</w:t>
      </w:r>
    </w:p>
    <w:p w14:paraId="33AAC361" w14:textId="2A6ADCA2" w:rsidR="00A81761" w:rsidRPr="00191EBA" w:rsidRDefault="00A81761" w:rsidP="00A81761">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191EBA">
        <w:rPr>
          <w:b/>
          <w:szCs w:val="24"/>
        </w:rPr>
        <w:t>Platné znění</w:t>
      </w:r>
      <w:r w:rsidRPr="00191EBA">
        <w:rPr>
          <w:szCs w:val="24"/>
        </w:rPr>
        <w:t xml:space="preserve"> zákona </w:t>
      </w:r>
      <w:r w:rsidRPr="00191EBA">
        <w:rPr>
          <w:color w:val="000000"/>
          <w:szCs w:val="24"/>
        </w:rPr>
        <w:t>č.128/</w:t>
      </w:r>
      <w:r w:rsidRPr="00191EBA">
        <w:rPr>
          <w:szCs w:val="24"/>
        </w:rPr>
        <w:t>2000 Sb., o obcích (obecní zřízení)</w:t>
      </w:r>
    </w:p>
    <w:p w14:paraId="39163489" w14:textId="53803CB6" w:rsidR="00A81761" w:rsidRPr="00152046" w:rsidRDefault="00152046" w:rsidP="00152046">
      <w:pPr>
        <w:pStyle w:val="Odstavecseseznamem"/>
        <w:numPr>
          <w:ilvl w:val="0"/>
          <w:numId w:val="27"/>
        </w:numPr>
        <w:pBdr>
          <w:top w:val="single" w:sz="12" w:space="6" w:color="auto"/>
          <w:left w:val="single" w:sz="12" w:space="0" w:color="auto"/>
          <w:bottom w:val="single" w:sz="12" w:space="6" w:color="auto"/>
          <w:right w:val="single" w:sz="12" w:space="0" w:color="auto"/>
        </w:pBdr>
        <w:spacing w:after="120"/>
        <w:jc w:val="center"/>
        <w:rPr>
          <w:b/>
          <w:szCs w:val="24"/>
          <w:lang w:eastAsia="en-US"/>
        </w:rPr>
      </w:pPr>
      <w:r w:rsidRPr="00152046">
        <w:rPr>
          <w:b/>
          <w:szCs w:val="24"/>
          <w:lang w:eastAsia="en-US"/>
        </w:rPr>
        <w:t>s vyznačením navrhovaných změn a doplnění k 1. lednu 2025</w:t>
      </w:r>
    </w:p>
    <w:p w14:paraId="69BA4EAA" w14:textId="77777777" w:rsidR="00A81761" w:rsidRPr="00191EBA" w:rsidRDefault="00A81761" w:rsidP="00361150">
      <w:pPr>
        <w:pStyle w:val="Textparagrafu"/>
        <w:tabs>
          <w:tab w:val="left" w:pos="406"/>
          <w:tab w:val="left" w:pos="840"/>
          <w:tab w:val="left" w:pos="868"/>
        </w:tabs>
        <w:spacing w:after="120"/>
        <w:ind w:firstLine="0"/>
        <w:jc w:val="center"/>
      </w:pPr>
      <w:r w:rsidRPr="00191EBA">
        <w:t>***</w:t>
      </w:r>
    </w:p>
    <w:p w14:paraId="7EBE8E0C" w14:textId="77777777" w:rsidR="00912010" w:rsidRPr="00F82BD9" w:rsidRDefault="00912010" w:rsidP="00361150">
      <w:pPr>
        <w:pStyle w:val="Default"/>
        <w:tabs>
          <w:tab w:val="left" w:pos="406"/>
          <w:tab w:val="left" w:pos="826"/>
        </w:tabs>
        <w:spacing w:before="240" w:after="120"/>
        <w:jc w:val="center"/>
        <w:rPr>
          <w:color w:val="auto"/>
        </w:rPr>
      </w:pPr>
      <w:r w:rsidRPr="00F82BD9">
        <w:rPr>
          <w:color w:val="auto"/>
        </w:rPr>
        <w:t xml:space="preserve">§ 38 </w:t>
      </w:r>
    </w:p>
    <w:p w14:paraId="6F5C6B8D" w14:textId="77777777" w:rsidR="00912010" w:rsidRPr="00B5002B" w:rsidRDefault="00912010" w:rsidP="00361150">
      <w:pPr>
        <w:pStyle w:val="Default"/>
        <w:tabs>
          <w:tab w:val="left" w:pos="406"/>
          <w:tab w:val="left" w:pos="826"/>
        </w:tabs>
        <w:spacing w:before="240" w:after="120"/>
        <w:jc w:val="center"/>
        <w:rPr>
          <w:b/>
          <w:color w:val="auto"/>
        </w:rPr>
      </w:pPr>
      <w:r w:rsidRPr="00B5002B">
        <w:rPr>
          <w:b/>
          <w:color w:val="auto"/>
        </w:rPr>
        <w:t xml:space="preserve">Hospodaření obce </w:t>
      </w:r>
    </w:p>
    <w:p w14:paraId="4796F08A" w14:textId="77777777" w:rsidR="00912010" w:rsidRPr="00B5002B" w:rsidRDefault="00912010" w:rsidP="00267005">
      <w:pPr>
        <w:pStyle w:val="PZTextodstavce"/>
        <w:tabs>
          <w:tab w:val="clear" w:pos="851"/>
          <w:tab w:val="left" w:pos="406"/>
          <w:tab w:val="left" w:pos="826"/>
        </w:tabs>
        <w:rPr>
          <w:strike/>
        </w:rPr>
      </w:pPr>
      <w:r w:rsidRPr="00F82BD9">
        <w:t xml:space="preserve">(1) Majetek obce musí být využíván účelně a hospodárně v souladu s jejími zájmy a úkoly vyplývajícími ze zákonem vymezené působnosti. Obec je povinna pečovat o zachování a rozvoj svého majetku. Porušením povinností stanovených ve větě první a druhé není takové nakládání s majetkem obce, které sleduje jiný důležitý zájem obce, který je řádně odůvodněn. </w:t>
      </w:r>
      <w:r w:rsidRPr="00B5002B">
        <w:rPr>
          <w:strike/>
        </w:rPr>
        <w:t xml:space="preserve">Obec vede účetnictví podle zákona o účetnictví. </w:t>
      </w:r>
    </w:p>
    <w:p w14:paraId="0496C2C4" w14:textId="6EAE1EAB" w:rsidR="00912010" w:rsidRPr="00F82BD9" w:rsidRDefault="00912010" w:rsidP="00267005">
      <w:pPr>
        <w:pStyle w:val="PZTextodstavce"/>
        <w:tabs>
          <w:tab w:val="clear" w:pos="851"/>
          <w:tab w:val="left" w:pos="406"/>
          <w:tab w:val="left" w:pos="826"/>
        </w:tabs>
      </w:pPr>
      <w:r w:rsidRPr="00F82BD9">
        <w:t>(2) Majetek obce musí být chráněn před zničením, poškozením, odcizením nebo zneužitím. S nepotřebným majetkem obec naloží způsoby a za podmínek stanovených zvláštními předpisy,</w:t>
      </w:r>
      <w:r w:rsidR="00361150">
        <w:rPr>
          <w:rStyle w:val="Znakapoznpodarou"/>
        </w:rPr>
        <w:footnoteReference w:customMarkFollows="1" w:id="308"/>
        <w:t>15)</w:t>
      </w:r>
      <w:r w:rsidRPr="00F82BD9">
        <w:t xml:space="preserve"> pokud tento zákon nestanoví jinak. </w:t>
      </w:r>
    </w:p>
    <w:p w14:paraId="26BA8A82" w14:textId="77777777" w:rsidR="00912010" w:rsidRPr="00F82BD9" w:rsidRDefault="00912010" w:rsidP="00267005">
      <w:pPr>
        <w:pStyle w:val="PZTextodstavce"/>
        <w:tabs>
          <w:tab w:val="clear" w:pos="851"/>
          <w:tab w:val="left" w:pos="406"/>
          <w:tab w:val="left" w:pos="826"/>
        </w:tabs>
      </w:pPr>
      <w:r w:rsidRPr="00F82BD9">
        <w:t xml:space="preserve">(3) Obec nesmí ručit za závazky fyzických osob a právnických osob vyjma </w:t>
      </w:r>
    </w:p>
    <w:p w14:paraId="5D6064A2" w14:textId="77777777" w:rsidR="00912010" w:rsidRPr="00F82BD9" w:rsidRDefault="00912010" w:rsidP="00361150">
      <w:pPr>
        <w:pStyle w:val="PZTextpsmene"/>
        <w:tabs>
          <w:tab w:val="left" w:pos="406"/>
          <w:tab w:val="left" w:pos="826"/>
        </w:tabs>
        <w:spacing w:before="0"/>
      </w:pPr>
      <w:r w:rsidRPr="00F82BD9">
        <w:t xml:space="preserve">a) </w:t>
      </w:r>
      <w:r>
        <w:tab/>
      </w:r>
      <w:r w:rsidRPr="00F82BD9">
        <w:t xml:space="preserve">závazků vyplývajících ze smlouvy o úvěru, jsou-li peněžní prostředky určeny pro investici uskutečňovanou s finanční podporou ze státního rozpočtu, státních fondů nebo národního fondu, </w:t>
      </w:r>
    </w:p>
    <w:p w14:paraId="560178A9" w14:textId="77777777" w:rsidR="00912010" w:rsidRPr="00F82BD9" w:rsidRDefault="00912010" w:rsidP="00361150">
      <w:pPr>
        <w:pStyle w:val="PZTextpsmene"/>
        <w:tabs>
          <w:tab w:val="left" w:pos="406"/>
          <w:tab w:val="left" w:pos="826"/>
        </w:tabs>
        <w:spacing w:before="0"/>
      </w:pPr>
      <w:r w:rsidRPr="00F82BD9">
        <w:t xml:space="preserve">b) </w:t>
      </w:r>
      <w:r>
        <w:tab/>
      </w:r>
      <w:r w:rsidRPr="00F82BD9">
        <w:t xml:space="preserve">závazků vyplývajících ze smlouvy o úvěru, jsou-li peněžní prostředky určeny pro investici do obcí vlastněných nemovitostí, </w:t>
      </w:r>
    </w:p>
    <w:p w14:paraId="117ED51F" w14:textId="77777777" w:rsidR="00912010" w:rsidRPr="00F82BD9" w:rsidRDefault="00912010" w:rsidP="00361150">
      <w:pPr>
        <w:pStyle w:val="PZTextpsmene"/>
        <w:tabs>
          <w:tab w:val="left" w:pos="406"/>
          <w:tab w:val="left" w:pos="826"/>
        </w:tabs>
        <w:spacing w:before="0"/>
      </w:pPr>
      <w:r w:rsidRPr="00F82BD9">
        <w:t xml:space="preserve">c) </w:t>
      </w:r>
      <w:r>
        <w:tab/>
      </w:r>
      <w:r w:rsidRPr="00F82BD9">
        <w:t xml:space="preserve">těch, jejichž zřizovatelem je obec, kraj nebo stát, </w:t>
      </w:r>
    </w:p>
    <w:p w14:paraId="49C2C50D" w14:textId="77777777" w:rsidR="00912010" w:rsidRPr="00F82BD9" w:rsidRDefault="00912010" w:rsidP="00361150">
      <w:pPr>
        <w:pStyle w:val="PZTextpsmene"/>
        <w:tabs>
          <w:tab w:val="left" w:pos="406"/>
          <w:tab w:val="left" w:pos="826"/>
        </w:tabs>
        <w:spacing w:before="0"/>
      </w:pPr>
      <w:r w:rsidRPr="00F82BD9">
        <w:t xml:space="preserve">d) </w:t>
      </w:r>
      <w:r>
        <w:tab/>
      </w:r>
      <w:r w:rsidRPr="00F82BD9">
        <w:t xml:space="preserve">těch, v nichž míra účasti jí samé nebo spolu s jinou obcí nebo obcemi, krajem nebo kraji nebo státem přesahuje 50 %, </w:t>
      </w:r>
    </w:p>
    <w:p w14:paraId="500E65CE" w14:textId="77777777" w:rsidR="00912010" w:rsidRPr="00F82BD9" w:rsidRDefault="00912010" w:rsidP="00361150">
      <w:pPr>
        <w:pStyle w:val="PZTextpsmene"/>
        <w:tabs>
          <w:tab w:val="left" w:pos="406"/>
          <w:tab w:val="left" w:pos="826"/>
        </w:tabs>
        <w:spacing w:before="0"/>
      </w:pPr>
      <w:r w:rsidRPr="00F82BD9">
        <w:t xml:space="preserve">e) </w:t>
      </w:r>
      <w:r>
        <w:tab/>
      </w:r>
      <w:r w:rsidRPr="00F82BD9">
        <w:t xml:space="preserve">bytových družstev, </w:t>
      </w:r>
    </w:p>
    <w:p w14:paraId="536460C2" w14:textId="77777777" w:rsidR="00912010" w:rsidRPr="00F82BD9" w:rsidRDefault="00912010" w:rsidP="00361150">
      <w:pPr>
        <w:pStyle w:val="PZTextpsmene"/>
        <w:tabs>
          <w:tab w:val="left" w:pos="406"/>
          <w:tab w:val="left" w:pos="826"/>
        </w:tabs>
        <w:spacing w:before="0"/>
      </w:pPr>
      <w:r w:rsidRPr="00F82BD9">
        <w:t xml:space="preserve">f) </w:t>
      </w:r>
      <w:r>
        <w:tab/>
      </w:r>
      <w:r w:rsidRPr="00F82BD9">
        <w:t xml:space="preserve">honebních společenstev. </w:t>
      </w:r>
    </w:p>
    <w:p w14:paraId="4CE0D2E9" w14:textId="77777777" w:rsidR="00912010" w:rsidRPr="00F82BD9" w:rsidRDefault="00912010" w:rsidP="00267005">
      <w:pPr>
        <w:pStyle w:val="PZTextodstavce"/>
        <w:tabs>
          <w:tab w:val="clear" w:pos="851"/>
          <w:tab w:val="left" w:pos="406"/>
          <w:tab w:val="left" w:pos="826"/>
        </w:tabs>
      </w:pPr>
      <w:r w:rsidRPr="00F82BD9">
        <w:t xml:space="preserve">(4) Právní jednání učiněná v rozporu s ustanovením odstavce 3 jsou neplatná. </w:t>
      </w:r>
    </w:p>
    <w:p w14:paraId="680805B7" w14:textId="77777777" w:rsidR="00912010" w:rsidRPr="00F82BD9" w:rsidRDefault="00912010" w:rsidP="00267005">
      <w:pPr>
        <w:pStyle w:val="PZTextodstavce"/>
        <w:tabs>
          <w:tab w:val="clear" w:pos="851"/>
          <w:tab w:val="left" w:pos="406"/>
          <w:tab w:val="left" w:pos="826"/>
        </w:tabs>
      </w:pPr>
      <w:r w:rsidRPr="00F82BD9">
        <w:t xml:space="preserve">(5) Stát neručí za hospodaření a závazky obce, pokud tento závazek nepřevezme stát smluvně. </w:t>
      </w:r>
    </w:p>
    <w:p w14:paraId="16D02BDA" w14:textId="77777777" w:rsidR="00912010" w:rsidRPr="00F82BD9" w:rsidRDefault="00912010" w:rsidP="00267005">
      <w:pPr>
        <w:pStyle w:val="PZTextodstavce"/>
        <w:tabs>
          <w:tab w:val="clear" w:pos="851"/>
          <w:tab w:val="left" w:pos="406"/>
          <w:tab w:val="left" w:pos="826"/>
        </w:tabs>
      </w:pPr>
      <w:r w:rsidRPr="00F82BD9">
        <w:t xml:space="preserve">(6) Obec je povinna chránit svůj majetek před neoprávněnými zásahy a včas uplatňovat právo na náhradu škody a právo na vydání bezdůvodného obohacení. </w:t>
      </w:r>
    </w:p>
    <w:p w14:paraId="4B2F1306" w14:textId="77777777" w:rsidR="00912010" w:rsidRPr="00F82BD9" w:rsidRDefault="00912010" w:rsidP="00267005">
      <w:pPr>
        <w:pStyle w:val="PZTextodstavce"/>
        <w:tabs>
          <w:tab w:val="clear" w:pos="851"/>
          <w:tab w:val="left" w:pos="406"/>
          <w:tab w:val="left" w:pos="826"/>
        </w:tabs>
      </w:pPr>
      <w:r w:rsidRPr="00F82BD9">
        <w:t xml:space="preserve">(7) Obec je povinna trvale sledovat, zda dlužníci včas a řádně plní své závazky, a zabezpečit, aby nedošlo k promlčení nebo zániku z nich vyplývajících práv. </w:t>
      </w:r>
    </w:p>
    <w:p w14:paraId="2479A940" w14:textId="77777777" w:rsidR="00267005" w:rsidRDefault="00267005" w:rsidP="00361150">
      <w:pPr>
        <w:pStyle w:val="Default"/>
        <w:tabs>
          <w:tab w:val="left" w:pos="406"/>
          <w:tab w:val="left" w:pos="826"/>
        </w:tabs>
        <w:spacing w:before="240" w:after="120"/>
        <w:jc w:val="center"/>
        <w:rPr>
          <w:color w:val="auto"/>
        </w:rPr>
      </w:pPr>
    </w:p>
    <w:p w14:paraId="1EEB5039" w14:textId="77777777" w:rsidR="00267005" w:rsidRDefault="00267005" w:rsidP="00361150">
      <w:pPr>
        <w:pStyle w:val="Default"/>
        <w:tabs>
          <w:tab w:val="left" w:pos="406"/>
          <w:tab w:val="left" w:pos="826"/>
        </w:tabs>
        <w:spacing w:before="240" w:after="120"/>
        <w:jc w:val="center"/>
        <w:rPr>
          <w:color w:val="auto"/>
        </w:rPr>
      </w:pPr>
    </w:p>
    <w:p w14:paraId="4D91478D" w14:textId="77777777" w:rsidR="00267005" w:rsidRDefault="00267005" w:rsidP="00361150">
      <w:pPr>
        <w:pStyle w:val="Default"/>
        <w:tabs>
          <w:tab w:val="left" w:pos="406"/>
          <w:tab w:val="left" w:pos="826"/>
        </w:tabs>
        <w:spacing w:before="240" w:after="120"/>
        <w:jc w:val="center"/>
        <w:rPr>
          <w:color w:val="auto"/>
        </w:rPr>
      </w:pPr>
    </w:p>
    <w:p w14:paraId="72B997C2" w14:textId="44716735" w:rsidR="00912010" w:rsidRDefault="00912010" w:rsidP="00361150">
      <w:pPr>
        <w:pStyle w:val="Default"/>
        <w:tabs>
          <w:tab w:val="left" w:pos="406"/>
          <w:tab w:val="left" w:pos="826"/>
        </w:tabs>
        <w:spacing w:before="240" w:after="120"/>
        <w:jc w:val="center"/>
        <w:rPr>
          <w:color w:val="auto"/>
        </w:rPr>
      </w:pPr>
      <w:r w:rsidRPr="00F82BD9">
        <w:rPr>
          <w:color w:val="auto"/>
        </w:rPr>
        <w:t>***</w:t>
      </w:r>
    </w:p>
    <w:p w14:paraId="6A5EB9EA" w14:textId="77777777" w:rsidR="00267005" w:rsidRDefault="00267005" w:rsidP="00267005">
      <w:pPr>
        <w:pStyle w:val="Paragraf"/>
        <w:numPr>
          <w:ilvl w:val="0"/>
          <w:numId w:val="39"/>
        </w:numPr>
      </w:pPr>
      <w:r>
        <w:t>§ 39</w:t>
      </w:r>
    </w:p>
    <w:p w14:paraId="4F0F32A7" w14:textId="77777777" w:rsidR="00267005" w:rsidRDefault="00267005" w:rsidP="00267005">
      <w:pPr>
        <w:pStyle w:val="Odstavec"/>
      </w:pPr>
      <w:r>
        <w:t xml:space="preserve">(1) </w:t>
      </w:r>
      <w:r w:rsidRPr="00816755">
        <w:t>Záměr obce prodat, směnit, darovat, pronajmout, propachtovat nebo vypůjčit hmotnou nemovitou věc nebo právo stavby anebo je přenechat jako výprosu a záměr obce smluvně zřídit právo stavby k pozemku ve vlastnictví obce obec zveřejní po dobu nejméně 15 dnů před rozhodnutím v příslušném orgánu obce vyvěšením na úřední desce</w:t>
      </w:r>
      <w:r>
        <w:rPr>
          <w:rStyle w:val="Znakapoznpodarou"/>
          <w:rFonts w:eastAsiaTheme="majorEastAsia"/>
        </w:rPr>
        <w:footnoteReference w:customMarkFollows="1" w:id="309"/>
        <w:t>3b)</w:t>
      </w:r>
      <w:r w:rsidRPr="00816755">
        <w:t xml:space="preserve"> obecního úřadu, aby se k němu mohli zájemci vyjádřit a předložit své nabídky. Záměr může obec též zveřejnit způsobem v místě obvyklým. Pokud obec záměr nezveřejní, je právní jednání neplatné. Nemovitá věc se v záměru označí údaji podle zvláštního zákona</w:t>
      </w:r>
      <w:r>
        <w:rPr>
          <w:rStyle w:val="Znakapoznpodarou"/>
          <w:rFonts w:eastAsiaTheme="majorEastAsia"/>
        </w:rPr>
        <w:footnoteReference w:customMarkFollows="1" w:id="310"/>
        <w:t>15a)</w:t>
      </w:r>
      <w:r w:rsidRPr="00816755">
        <w:t xml:space="preserve"> platnými ke dni zveřejnění záměru.</w:t>
      </w:r>
    </w:p>
    <w:p w14:paraId="1517190C" w14:textId="77777777" w:rsidR="00267005" w:rsidRPr="00267005" w:rsidRDefault="00267005" w:rsidP="00267005">
      <w:pPr>
        <w:pStyle w:val="Odstavec"/>
        <w:rPr>
          <w:strike/>
        </w:rPr>
      </w:pPr>
      <w:r w:rsidRPr="00267005">
        <w:rPr>
          <w:strike/>
        </w:rPr>
        <w:t>(2) Při úplatném převodu majetku se cena sjednává zpravidla ve výši, která je v daném místě a čase obvyklá, nejde-li o cenu regulovanou státem. Odchylka od ceny obvyklé musí být zdůvodněna, jde-li o cenu nižší než obvyklou. Není-li odchylka od ceny obvyklé zdůvodněna, je právní jednání neplatné.</w:t>
      </w:r>
    </w:p>
    <w:p w14:paraId="322895CF" w14:textId="77777777" w:rsidR="00267005" w:rsidRPr="00267005" w:rsidRDefault="00267005" w:rsidP="00267005">
      <w:pPr>
        <w:pStyle w:val="Textodstavce"/>
        <w:tabs>
          <w:tab w:val="clear" w:pos="851"/>
        </w:tabs>
        <w:ind w:firstLine="425"/>
        <w:rPr>
          <w:b/>
        </w:rPr>
      </w:pPr>
      <w:r w:rsidRPr="00267005">
        <w:rPr>
          <w:b/>
        </w:rPr>
        <w:t>(2) Při úplatném převodu majetku se sjednává cena zpravidla ve výši hodnoty obvyklé. Odchylka od obvyklé hodnoty musí být zdůvodněna, jde-li o cenu nižší než obvyklou hodnotu. Není-li odchylka ceny od obvyklé hodnoty zdůvodněna, je právní jednání neplatné.</w:t>
      </w:r>
    </w:p>
    <w:p w14:paraId="5A0805BB" w14:textId="41452D40" w:rsidR="00267005" w:rsidRDefault="00267005" w:rsidP="00267005">
      <w:pPr>
        <w:pStyle w:val="Odstavec"/>
      </w:pPr>
      <w:r>
        <w:t xml:space="preserve">(3) </w:t>
      </w:r>
      <w:r w:rsidRPr="00816755">
        <w:t>Ustanovení odstavce 1 se nepoužije, jde-li o pronájem bytů nebo hrobových míst anebo o pronájem, pacht nebo výpůjčku majetku obce na dobu kratší než 30 dnů nebo jde-li o pronájem, pacht, výprosu nebo výpůjčku právnické osobě zřízené nebo založené obcí nebo právnické osobě, kterou obec ovládá</w:t>
      </w:r>
      <w:r>
        <w:rPr>
          <w:rStyle w:val="Znakapoznpodarou"/>
          <w:rFonts w:eastAsiaTheme="majorEastAsia"/>
        </w:rPr>
        <w:footnoteReference w:customMarkFollows="1" w:id="311"/>
        <w:t>49)</w:t>
      </w:r>
      <w:r w:rsidRPr="00816755">
        <w:t>.</w:t>
      </w:r>
    </w:p>
    <w:p w14:paraId="15A54B75" w14:textId="78092544" w:rsidR="00267005" w:rsidRPr="00912010" w:rsidRDefault="00267005" w:rsidP="00267005">
      <w:pPr>
        <w:pStyle w:val="Default"/>
        <w:tabs>
          <w:tab w:val="left" w:pos="406"/>
          <w:tab w:val="left" w:pos="826"/>
        </w:tabs>
        <w:spacing w:before="240" w:after="120"/>
        <w:jc w:val="center"/>
        <w:rPr>
          <w:color w:val="auto"/>
        </w:rPr>
      </w:pPr>
      <w:r w:rsidRPr="00F82BD9">
        <w:rPr>
          <w:color w:val="auto"/>
        </w:rPr>
        <w:t>***</w:t>
      </w:r>
    </w:p>
    <w:p w14:paraId="54FFD9BF" w14:textId="77777777" w:rsidR="00912010" w:rsidRPr="00F82BD9" w:rsidRDefault="00912010" w:rsidP="00267005">
      <w:pPr>
        <w:pStyle w:val="Default"/>
        <w:tabs>
          <w:tab w:val="left" w:pos="406"/>
          <w:tab w:val="left" w:pos="826"/>
        </w:tabs>
        <w:spacing w:before="120" w:after="120"/>
        <w:jc w:val="center"/>
        <w:rPr>
          <w:color w:val="auto"/>
        </w:rPr>
      </w:pPr>
      <w:r w:rsidRPr="00F82BD9">
        <w:rPr>
          <w:color w:val="auto"/>
        </w:rPr>
        <w:t>§ 49</w:t>
      </w:r>
    </w:p>
    <w:p w14:paraId="7651605B" w14:textId="77777777" w:rsidR="00912010" w:rsidRPr="00F82BD9" w:rsidRDefault="00912010" w:rsidP="00267005">
      <w:pPr>
        <w:pStyle w:val="PZTextodstavce"/>
        <w:tabs>
          <w:tab w:val="clear" w:pos="851"/>
          <w:tab w:val="left" w:pos="406"/>
          <w:tab w:val="left" w:pos="826"/>
        </w:tabs>
      </w:pPr>
      <w:r w:rsidRPr="00F82BD9">
        <w:t xml:space="preserve">(1) Obce mají právo být členy svazku obcí za účelem ochrany a prosazování svých společných zájmů. </w:t>
      </w:r>
    </w:p>
    <w:p w14:paraId="2AEA7972" w14:textId="77777777" w:rsidR="00912010" w:rsidRPr="00F82BD9" w:rsidRDefault="00912010" w:rsidP="00267005">
      <w:pPr>
        <w:pStyle w:val="PZTextodstavce"/>
        <w:tabs>
          <w:tab w:val="clear" w:pos="851"/>
          <w:tab w:val="left" w:pos="406"/>
          <w:tab w:val="left" w:pos="826"/>
        </w:tabs>
      </w:pPr>
      <w:r w:rsidRPr="00F82BD9">
        <w:t>(2) Obce mohou vytvářet svazky obcí, jakož i vstupovat do svazků obcí již vytvořených. Členy sva</w:t>
      </w:r>
      <w:r>
        <w:t>zku obcí mohou být jen obce.</w:t>
      </w:r>
    </w:p>
    <w:p w14:paraId="0041E3F5" w14:textId="77777777" w:rsidR="00912010" w:rsidRPr="00F82BD9" w:rsidRDefault="00912010" w:rsidP="00267005">
      <w:pPr>
        <w:pStyle w:val="PZTextodstavce"/>
        <w:tabs>
          <w:tab w:val="clear" w:pos="851"/>
          <w:tab w:val="left" w:pos="406"/>
          <w:tab w:val="left" w:pos="826"/>
        </w:tabs>
      </w:pPr>
      <w:r w:rsidRPr="00F82BD9">
        <w:t>(3) Svazek obcí je právnickou osobou</w:t>
      </w:r>
      <w:r w:rsidRPr="00B5002B">
        <w:rPr>
          <w:strike/>
        </w:rPr>
        <w:t>, která vede účetnictví podle zákona o účetnictví</w:t>
      </w:r>
      <w:r w:rsidRPr="00F82BD9">
        <w:t xml:space="preserve">. </w:t>
      </w:r>
    </w:p>
    <w:p w14:paraId="7AD2E3CD" w14:textId="77777777" w:rsidR="00912010" w:rsidRPr="00F82BD9" w:rsidRDefault="00912010" w:rsidP="00267005">
      <w:pPr>
        <w:pStyle w:val="PZTextodstavce"/>
        <w:tabs>
          <w:tab w:val="clear" w:pos="851"/>
          <w:tab w:val="left" w:pos="406"/>
          <w:tab w:val="left" w:pos="826"/>
        </w:tabs>
      </w:pPr>
      <w:r w:rsidRPr="00F82BD9">
        <w:t xml:space="preserve">(4) Svazek obcí nabývá právní osobnosti zápisem do rejstříku svazků obcí vedeného u krajského úřadu příslušného podle sídla svazku obcí. Do rejstříku svazků obcí se zapisuje den vzniku svazku obcí, den jeho zrušení s uvedením právního důvodu, den jeho zániku, název a sídlo svazku obcí, identifikační číslo osoby svazku obcí poskytnuté správcem základního registru právnických osob, podnikajících fyzických osob a orgánů veřejné moci, předmět činnosti svazku obcí, orgány, kterými svazek obcí jedná, a jméno, příjmení a adresa bydliště osob vykonávajících jejich působnost spolu s uvedením způsobu, jakým tento orgán svazek obcí zastupuje, údaje o dni vzniku nebo zániku jejich funkce a údaje o členských obcích svazku obcí v rozsahu název obce a její identifikační číslo osoby, včetně údaje o dni vzniku a zániku </w:t>
      </w:r>
      <w:r w:rsidRPr="00F82BD9">
        <w:lastRenderedPageBreak/>
        <w:t xml:space="preserve">jejich členství. Rejstřík svazků obcí je veřejný rejstřík; jeho součástí je sbírka listin, v níž jsou uloženy smlouva o vytvoření svazku obcí spolu se stanovami a změny těchto dokumentů. Krajský úřad vede rejstřík svazků obcí v přenesené působnosti. </w:t>
      </w:r>
    </w:p>
    <w:p w14:paraId="077A195A" w14:textId="77777777" w:rsidR="00912010" w:rsidRPr="00F82BD9" w:rsidRDefault="00912010" w:rsidP="00267005">
      <w:pPr>
        <w:pStyle w:val="PZTextodstavce"/>
        <w:tabs>
          <w:tab w:val="clear" w:pos="851"/>
          <w:tab w:val="left" w:pos="406"/>
          <w:tab w:val="left" w:pos="826"/>
        </w:tabs>
      </w:pPr>
      <w:r w:rsidRPr="00F82BD9">
        <w:t xml:space="preserve">(5) K návrhu na zápis do rejstříku svazků obcí se přikládá smlouva o vytvoření svazku obcí spolu se stanovami; součástí této smlouvy nebo stanov je také určení, kdo jsou první členové statutárního orgánu. Návrh podává osoba zmocněná obcemi, které jsou členy svazku obcí. Návrh změn údajů zapisovaných do rejstříku svazků obcí podává svazek obcí do jednoho měsíce ode dne, kdy změna nastala. </w:t>
      </w:r>
    </w:p>
    <w:p w14:paraId="722B4684" w14:textId="77777777" w:rsidR="00912010" w:rsidRPr="00F82BD9" w:rsidRDefault="00912010" w:rsidP="00361150">
      <w:pPr>
        <w:pStyle w:val="Default"/>
        <w:tabs>
          <w:tab w:val="left" w:pos="406"/>
          <w:tab w:val="left" w:pos="826"/>
        </w:tabs>
        <w:spacing w:before="240" w:after="120"/>
        <w:jc w:val="center"/>
        <w:rPr>
          <w:color w:val="auto"/>
        </w:rPr>
      </w:pPr>
      <w:r w:rsidRPr="00F82BD9">
        <w:rPr>
          <w:color w:val="auto"/>
        </w:rPr>
        <w:t xml:space="preserve">§ 50 </w:t>
      </w:r>
    </w:p>
    <w:p w14:paraId="013D3855" w14:textId="77777777" w:rsidR="00912010" w:rsidRPr="00F82BD9" w:rsidRDefault="00912010" w:rsidP="007C0A53">
      <w:pPr>
        <w:pStyle w:val="PZTextodstavce"/>
        <w:tabs>
          <w:tab w:val="clear" w:pos="851"/>
          <w:tab w:val="left" w:pos="406"/>
          <w:tab w:val="left" w:pos="826"/>
        </w:tabs>
        <w:spacing w:before="240"/>
      </w:pPr>
      <w:r w:rsidRPr="00F82BD9">
        <w:t xml:space="preserve">(1) Předmětem činnosti svazku obcí mohou být zejména </w:t>
      </w:r>
    </w:p>
    <w:p w14:paraId="24A6CA74" w14:textId="69C22C76" w:rsidR="00912010" w:rsidRPr="00F82BD9" w:rsidRDefault="00361150" w:rsidP="00850A92">
      <w:pPr>
        <w:pStyle w:val="PZTextpsmene"/>
        <w:tabs>
          <w:tab w:val="left" w:pos="426"/>
          <w:tab w:val="left" w:pos="826"/>
        </w:tabs>
        <w:spacing w:before="0"/>
        <w:ind w:left="426" w:hanging="426"/>
      </w:pPr>
      <w:r>
        <w:t>a)</w:t>
      </w:r>
      <w:r w:rsidR="00912010">
        <w:tab/>
      </w:r>
      <w:r w:rsidR="00912010" w:rsidRPr="00F82BD9">
        <w:t xml:space="preserve">úkoly v oblasti školství, sociální péče, zdravotnictví, kultury, požární ochrany, veřejného pořádku, ochrany životního prostředí, cestovního ruchu a péče o zvířata, </w:t>
      </w:r>
    </w:p>
    <w:p w14:paraId="2DB1991D" w14:textId="3B2842D3" w:rsidR="00912010" w:rsidRPr="00F82BD9" w:rsidRDefault="00361150" w:rsidP="00850A92">
      <w:pPr>
        <w:pStyle w:val="PZTextpsmene"/>
        <w:tabs>
          <w:tab w:val="left" w:pos="426"/>
          <w:tab w:val="left" w:pos="826"/>
        </w:tabs>
        <w:spacing w:before="0"/>
        <w:ind w:left="426" w:hanging="426"/>
      </w:pPr>
      <w:r>
        <w:t>b)</w:t>
      </w:r>
      <w:r w:rsidR="00912010">
        <w:tab/>
      </w:r>
      <w:r w:rsidR="00912010" w:rsidRPr="00F82BD9">
        <w:t xml:space="preserve">zabezpečování čistoty obce, správy veřejné zeleně a veřejného osvětlení, shromažďování a odvozu komunálních odpadů a jejich nezávadného zpracování, využití nebo zneškodnění, zásobování vodou, odvádění a čištění odpadních vod, </w:t>
      </w:r>
    </w:p>
    <w:p w14:paraId="114BABC4" w14:textId="7B81938F" w:rsidR="00912010" w:rsidRPr="00F82BD9" w:rsidRDefault="00361150" w:rsidP="00850A92">
      <w:pPr>
        <w:pStyle w:val="PZTextpsmene"/>
        <w:tabs>
          <w:tab w:val="left" w:pos="426"/>
          <w:tab w:val="left" w:pos="826"/>
        </w:tabs>
        <w:spacing w:before="0"/>
        <w:ind w:left="426" w:hanging="426"/>
      </w:pPr>
      <w:r>
        <w:t>c)</w:t>
      </w:r>
      <w:r w:rsidR="00912010">
        <w:tab/>
      </w:r>
      <w:r w:rsidR="00912010" w:rsidRPr="00F82BD9">
        <w:t xml:space="preserve">zavádění, rozšiřování a zdokonalování sítí technického vybavení a systémů veřejné osobní dopravy k zajištění dopravní obslužnosti daného území, </w:t>
      </w:r>
    </w:p>
    <w:p w14:paraId="1F093F35" w14:textId="5E7A5589" w:rsidR="00912010" w:rsidRPr="00F82BD9" w:rsidRDefault="00361150" w:rsidP="00850A92">
      <w:pPr>
        <w:pStyle w:val="PZTextpsmene"/>
        <w:tabs>
          <w:tab w:val="left" w:pos="426"/>
          <w:tab w:val="left" w:pos="826"/>
        </w:tabs>
        <w:spacing w:before="0"/>
        <w:ind w:left="426" w:hanging="426"/>
      </w:pPr>
      <w:r>
        <w:t>d)</w:t>
      </w:r>
      <w:r w:rsidR="00912010">
        <w:tab/>
      </w:r>
      <w:r w:rsidR="00912010" w:rsidRPr="00F82BD9">
        <w:t xml:space="preserve">úkoly v oblasti ochrany ovzduší, úkoly související se zabezpečováním přestavby vytápění nebo ohřevu vody tuhými palivy na využití ekologicky vhodnějších zdrojů tepelné energie v obytných a jiných objektech ve vlastnictví obcí, </w:t>
      </w:r>
    </w:p>
    <w:p w14:paraId="40CA8A8A" w14:textId="58749E6F" w:rsidR="00912010" w:rsidRPr="00F82BD9" w:rsidRDefault="00361150" w:rsidP="00850A92">
      <w:pPr>
        <w:pStyle w:val="PZTextpsmene"/>
        <w:tabs>
          <w:tab w:val="left" w:pos="426"/>
          <w:tab w:val="left" w:pos="826"/>
        </w:tabs>
        <w:spacing w:before="0"/>
        <w:ind w:left="426" w:hanging="426"/>
      </w:pPr>
      <w:r>
        <w:t>e)</w:t>
      </w:r>
      <w:r w:rsidR="00912010">
        <w:tab/>
      </w:r>
      <w:r w:rsidR="00912010" w:rsidRPr="00F82BD9">
        <w:t xml:space="preserve">provoz lomů, pískoven a zařízení sloužících k těžbě a úpravě nerostných surovin, </w:t>
      </w:r>
    </w:p>
    <w:p w14:paraId="3531ADC2" w14:textId="428FA0A1" w:rsidR="00912010" w:rsidRPr="00F82BD9" w:rsidRDefault="00361150" w:rsidP="00850A92">
      <w:pPr>
        <w:pStyle w:val="PZTextpsmene"/>
        <w:tabs>
          <w:tab w:val="left" w:pos="426"/>
          <w:tab w:val="left" w:pos="826"/>
        </w:tabs>
        <w:spacing w:before="0"/>
        <w:ind w:left="426" w:hanging="426"/>
      </w:pPr>
      <w:r>
        <w:t>f)</w:t>
      </w:r>
      <w:r w:rsidR="00912010">
        <w:tab/>
      </w:r>
      <w:r w:rsidR="00912010" w:rsidRPr="00F82BD9">
        <w:t xml:space="preserve">správa majetku obcí, zejména místních komunikací, lesů, domovního a bytového fondu, sportovních, kulturních zařízení a dalších zařízení spravovaných obcemi. </w:t>
      </w:r>
    </w:p>
    <w:p w14:paraId="4DE3B08F" w14:textId="77777777" w:rsidR="00912010" w:rsidRPr="00F82BD9" w:rsidRDefault="00912010" w:rsidP="007C0A53">
      <w:pPr>
        <w:pStyle w:val="PZTextodstavce"/>
        <w:tabs>
          <w:tab w:val="clear" w:pos="851"/>
          <w:tab w:val="left" w:pos="406"/>
          <w:tab w:val="left" w:pos="826"/>
        </w:tabs>
        <w:spacing w:before="240"/>
      </w:pPr>
      <w:r w:rsidRPr="00F82BD9">
        <w:t xml:space="preserve">(2) Přílohou smlouvy o vytvoření svazku obcí jsou jeho stanovy, v nichž musí být uvedeno </w:t>
      </w:r>
    </w:p>
    <w:p w14:paraId="32F949EC" w14:textId="69EAF307" w:rsidR="00912010" w:rsidRPr="00F82BD9" w:rsidRDefault="00361150" w:rsidP="00850A92">
      <w:pPr>
        <w:pStyle w:val="PZTextpsmene"/>
        <w:tabs>
          <w:tab w:val="left" w:pos="426"/>
          <w:tab w:val="left" w:pos="851"/>
        </w:tabs>
        <w:spacing w:before="0"/>
        <w:ind w:left="426" w:hanging="426"/>
      </w:pPr>
      <w:r>
        <w:t>a)</w:t>
      </w:r>
      <w:r w:rsidR="00912010">
        <w:tab/>
      </w:r>
      <w:r w:rsidR="00912010" w:rsidRPr="00F82BD9">
        <w:t xml:space="preserve">název a sídlo členů svazku obcí, </w:t>
      </w:r>
    </w:p>
    <w:p w14:paraId="2095B2C3" w14:textId="2460D5E4" w:rsidR="00912010" w:rsidRPr="00F82BD9" w:rsidRDefault="00361150" w:rsidP="00850A92">
      <w:pPr>
        <w:pStyle w:val="PZTextpsmene"/>
        <w:tabs>
          <w:tab w:val="left" w:pos="426"/>
          <w:tab w:val="left" w:pos="851"/>
        </w:tabs>
        <w:spacing w:before="0"/>
        <w:ind w:left="426" w:hanging="426"/>
      </w:pPr>
      <w:r>
        <w:t>b)</w:t>
      </w:r>
      <w:r w:rsidR="00912010">
        <w:tab/>
      </w:r>
      <w:r w:rsidR="00912010" w:rsidRPr="00F82BD9">
        <w:t xml:space="preserve">název a sídlo svazku obcí a předmět jeho činnosti, </w:t>
      </w:r>
    </w:p>
    <w:p w14:paraId="29F79604" w14:textId="353FBC35" w:rsidR="00912010" w:rsidRPr="00F82BD9" w:rsidRDefault="00361150" w:rsidP="00850A92">
      <w:pPr>
        <w:pStyle w:val="PZTextpsmene"/>
        <w:tabs>
          <w:tab w:val="left" w:pos="426"/>
          <w:tab w:val="left" w:pos="851"/>
        </w:tabs>
        <w:spacing w:before="0"/>
        <w:ind w:left="426" w:hanging="426"/>
      </w:pPr>
      <w:r>
        <w:t>c)</w:t>
      </w:r>
      <w:r w:rsidR="00912010">
        <w:tab/>
      </w:r>
      <w:r w:rsidR="00912010" w:rsidRPr="00F82BD9">
        <w:t xml:space="preserve">orgány svazku obcí, způsob jejich ustavování, jejich působnost a způsob jejich rozhodování včetně určení nejméně tříčlenného orgánu svazku obcí, který schvaluje </w:t>
      </w:r>
      <w:r w:rsidR="00912010" w:rsidRPr="00F82BD9">
        <w:rPr>
          <w:b/>
          <w:bCs/>
        </w:rPr>
        <w:t xml:space="preserve">řádnou individuální </w:t>
      </w:r>
      <w:r w:rsidR="00912010" w:rsidRPr="00F82BD9">
        <w:t xml:space="preserve">účetní závěrku svazku obcí </w:t>
      </w:r>
      <w:r w:rsidR="00912010" w:rsidRPr="00070A7F">
        <w:rPr>
          <w:strike/>
        </w:rPr>
        <w:t>sestavenou k rozvahovému dni podle zákona o účetnictví</w:t>
      </w:r>
      <w:r w:rsidR="00912010" w:rsidRPr="00F82BD9">
        <w:t xml:space="preserve">, </w:t>
      </w:r>
    </w:p>
    <w:p w14:paraId="1A42F39E" w14:textId="55602991" w:rsidR="00912010" w:rsidRPr="00F82BD9" w:rsidRDefault="00361150" w:rsidP="00850A92">
      <w:pPr>
        <w:pStyle w:val="PZTextpsmene"/>
        <w:tabs>
          <w:tab w:val="left" w:pos="426"/>
          <w:tab w:val="left" w:pos="851"/>
        </w:tabs>
        <w:spacing w:before="0"/>
        <w:ind w:left="426" w:hanging="426"/>
      </w:pPr>
      <w:r>
        <w:t>d)</w:t>
      </w:r>
      <w:r w:rsidR="00912010">
        <w:tab/>
      </w:r>
      <w:r w:rsidR="00912010" w:rsidRPr="00F82BD9">
        <w:t xml:space="preserve">majetek členů svazku obcí, který vkládají do svazku obcí, </w:t>
      </w:r>
    </w:p>
    <w:p w14:paraId="1588B7E9" w14:textId="7B87FAE2" w:rsidR="00912010" w:rsidRPr="00F82BD9" w:rsidRDefault="00361150" w:rsidP="00850A92">
      <w:pPr>
        <w:pStyle w:val="PZTextpsmene"/>
        <w:tabs>
          <w:tab w:val="left" w:pos="426"/>
          <w:tab w:val="left" w:pos="851"/>
        </w:tabs>
        <w:spacing w:before="0"/>
        <w:ind w:left="426" w:hanging="426"/>
      </w:pPr>
      <w:r>
        <w:t>e)</w:t>
      </w:r>
      <w:r w:rsidR="00912010">
        <w:tab/>
      </w:r>
      <w:r w:rsidR="00912010" w:rsidRPr="00F82BD9">
        <w:t xml:space="preserve">zdroje příjmů svazku obcí, </w:t>
      </w:r>
    </w:p>
    <w:p w14:paraId="3904325F" w14:textId="426B6569" w:rsidR="00912010" w:rsidRPr="00F82BD9" w:rsidRDefault="00361150" w:rsidP="00850A92">
      <w:pPr>
        <w:pStyle w:val="PZTextpsmene"/>
        <w:tabs>
          <w:tab w:val="left" w:pos="426"/>
          <w:tab w:val="left" w:pos="851"/>
        </w:tabs>
        <w:spacing w:before="0"/>
        <w:ind w:left="426" w:hanging="426"/>
      </w:pPr>
      <w:r>
        <w:t>f)</w:t>
      </w:r>
      <w:r w:rsidR="00912010">
        <w:tab/>
      </w:r>
      <w:r w:rsidR="00912010" w:rsidRPr="00F82BD9">
        <w:t xml:space="preserve">práva a povinnosti členů svazku obcí, </w:t>
      </w:r>
    </w:p>
    <w:p w14:paraId="710D4059" w14:textId="77777777" w:rsidR="00912010" w:rsidRPr="00F82BD9" w:rsidRDefault="00912010" w:rsidP="00850A92">
      <w:pPr>
        <w:pStyle w:val="PZTextpsmene"/>
        <w:tabs>
          <w:tab w:val="left" w:pos="426"/>
          <w:tab w:val="left" w:pos="851"/>
        </w:tabs>
        <w:spacing w:before="0"/>
        <w:ind w:left="426" w:hanging="426"/>
      </w:pPr>
      <w:r w:rsidRPr="00F82BD9">
        <w:t>g)</w:t>
      </w:r>
      <w:r>
        <w:tab/>
      </w:r>
      <w:r w:rsidRPr="00F82BD9">
        <w:t xml:space="preserve">způsob rozdělení zisku a podíl členů na úhradě ztráty svazku obcí, </w:t>
      </w:r>
    </w:p>
    <w:p w14:paraId="246A8E5F" w14:textId="34F12BD2" w:rsidR="00912010" w:rsidRPr="00F82BD9" w:rsidRDefault="00361150" w:rsidP="00850A92">
      <w:pPr>
        <w:pStyle w:val="PZTextpsmene"/>
        <w:tabs>
          <w:tab w:val="left" w:pos="426"/>
          <w:tab w:val="left" w:pos="851"/>
        </w:tabs>
        <w:spacing w:before="0"/>
        <w:ind w:left="426" w:hanging="426"/>
      </w:pPr>
      <w:r>
        <w:t>h)</w:t>
      </w:r>
      <w:r w:rsidR="00912010">
        <w:tab/>
      </w:r>
      <w:r w:rsidR="00912010" w:rsidRPr="00F82BD9">
        <w:t xml:space="preserve">podmínky přistoupení ke svazku obcí a vystoupení z něj, včetně vypořádání majetkového podílu, </w:t>
      </w:r>
    </w:p>
    <w:p w14:paraId="26E485B1" w14:textId="27BDF227" w:rsidR="00912010" w:rsidRPr="00F82BD9" w:rsidRDefault="00361150" w:rsidP="00850A92">
      <w:pPr>
        <w:pStyle w:val="PZTextpsmene"/>
        <w:tabs>
          <w:tab w:val="left" w:pos="426"/>
          <w:tab w:val="left" w:pos="851"/>
        </w:tabs>
        <w:spacing w:before="0"/>
        <w:ind w:left="426" w:hanging="426"/>
      </w:pPr>
      <w:r>
        <w:t>i)</w:t>
      </w:r>
      <w:r w:rsidR="00912010">
        <w:tab/>
      </w:r>
      <w:r w:rsidR="00912010" w:rsidRPr="00F82BD9">
        <w:t xml:space="preserve">obsah a rozsah kontroly svazku obcí obcemi, které svazek obcí vytvořily. </w:t>
      </w:r>
    </w:p>
    <w:p w14:paraId="27E98D1A" w14:textId="77777777" w:rsidR="00912010" w:rsidRPr="00F82BD9" w:rsidRDefault="00912010" w:rsidP="007C0A53">
      <w:pPr>
        <w:pStyle w:val="PZTextodstavce"/>
        <w:tabs>
          <w:tab w:val="clear" w:pos="851"/>
          <w:tab w:val="left" w:pos="406"/>
          <w:tab w:val="left" w:pos="826"/>
        </w:tabs>
        <w:spacing w:before="240"/>
      </w:pPr>
      <w:r w:rsidRPr="00F82BD9">
        <w:t xml:space="preserve">(3) Stanovy mohou určit, že o jejich změně rozhoduje orgán svazku složený ze zástupců všech obcí; v takovém případě současně vymezí počet hlasů členských obcí nutných ke schválení této změny, nejméně však dvoutřetinovou většinu všech hlasů členských obcí. </w:t>
      </w:r>
    </w:p>
    <w:p w14:paraId="45D6E1F5" w14:textId="77777777" w:rsidR="00912010" w:rsidRPr="00F82BD9" w:rsidRDefault="00912010" w:rsidP="00361150">
      <w:pPr>
        <w:pStyle w:val="Default"/>
        <w:tabs>
          <w:tab w:val="left" w:pos="406"/>
          <w:tab w:val="left" w:pos="826"/>
        </w:tabs>
        <w:spacing w:before="240" w:after="120"/>
        <w:jc w:val="center"/>
        <w:rPr>
          <w:color w:val="auto"/>
        </w:rPr>
      </w:pPr>
      <w:r w:rsidRPr="00F82BD9">
        <w:rPr>
          <w:color w:val="auto"/>
        </w:rPr>
        <w:t xml:space="preserve">*** </w:t>
      </w:r>
    </w:p>
    <w:p w14:paraId="5FA740BB" w14:textId="77777777" w:rsidR="00912010" w:rsidRPr="00070A7F" w:rsidRDefault="00912010" w:rsidP="00361150">
      <w:pPr>
        <w:pStyle w:val="Default"/>
        <w:tabs>
          <w:tab w:val="left" w:pos="406"/>
          <w:tab w:val="left" w:pos="826"/>
        </w:tabs>
        <w:spacing w:before="240" w:after="120"/>
        <w:jc w:val="center"/>
        <w:rPr>
          <w:b/>
          <w:color w:val="auto"/>
        </w:rPr>
      </w:pPr>
      <w:r w:rsidRPr="00070A7F">
        <w:rPr>
          <w:b/>
          <w:color w:val="auto"/>
        </w:rPr>
        <w:t xml:space="preserve">Společenství obcí </w:t>
      </w:r>
    </w:p>
    <w:p w14:paraId="2E6B1FC6" w14:textId="77777777" w:rsidR="00912010" w:rsidRPr="00F82BD9" w:rsidRDefault="00912010" w:rsidP="00361150">
      <w:pPr>
        <w:pStyle w:val="Default"/>
        <w:tabs>
          <w:tab w:val="left" w:pos="406"/>
          <w:tab w:val="left" w:pos="826"/>
        </w:tabs>
        <w:spacing w:before="240" w:after="120"/>
        <w:jc w:val="center"/>
        <w:rPr>
          <w:color w:val="auto"/>
        </w:rPr>
      </w:pPr>
      <w:r w:rsidRPr="00F82BD9">
        <w:rPr>
          <w:color w:val="auto"/>
        </w:rPr>
        <w:lastRenderedPageBreak/>
        <w:t xml:space="preserve">§ 53d </w:t>
      </w:r>
    </w:p>
    <w:p w14:paraId="5EAEC09A" w14:textId="77777777" w:rsidR="00912010" w:rsidRPr="00F82BD9" w:rsidRDefault="00912010" w:rsidP="007C0A53">
      <w:pPr>
        <w:pStyle w:val="PZTextodstavce"/>
        <w:tabs>
          <w:tab w:val="clear" w:pos="851"/>
          <w:tab w:val="left" w:pos="406"/>
          <w:tab w:val="left" w:pos="826"/>
        </w:tabs>
        <w:spacing w:before="240"/>
      </w:pPr>
      <w:r w:rsidRPr="00F82BD9">
        <w:t xml:space="preserve">(1) Nejvyšším orgánem společenství obcí je shromáždění starostů složené ze starostů členských obcí; starostu obce zastupuje místostarosta obce, případně starostou určený zástupce z řad členů zastupitelstva obce. Shromáždění starostů rozhoduje o všech záležitostech společenství obcí, pokud stanovy nesvěřují rozhodování jinému orgánu společenství obcí. Shromáždění starostů je vyhrazeno </w:t>
      </w:r>
    </w:p>
    <w:p w14:paraId="711FAD55" w14:textId="77777777" w:rsidR="00912010" w:rsidRPr="00F82BD9" w:rsidRDefault="00912010" w:rsidP="00361150">
      <w:pPr>
        <w:pStyle w:val="PZTextpsmene"/>
        <w:tabs>
          <w:tab w:val="left" w:pos="567"/>
          <w:tab w:val="left" w:pos="826"/>
        </w:tabs>
        <w:spacing w:before="0"/>
      </w:pPr>
      <w:r w:rsidRPr="00F82BD9">
        <w:t xml:space="preserve">a) </w:t>
      </w:r>
      <w:r>
        <w:tab/>
      </w:r>
      <w:r w:rsidRPr="00F82BD9">
        <w:t xml:space="preserve">schvalovat strategii rozvoje společenství obcí, </w:t>
      </w:r>
    </w:p>
    <w:p w14:paraId="67498A77" w14:textId="77777777" w:rsidR="00912010" w:rsidRPr="00F82BD9" w:rsidRDefault="00912010" w:rsidP="00361150">
      <w:pPr>
        <w:pStyle w:val="PZTextpsmene"/>
        <w:tabs>
          <w:tab w:val="left" w:pos="567"/>
          <w:tab w:val="left" w:pos="826"/>
        </w:tabs>
        <w:spacing w:before="0"/>
      </w:pPr>
      <w:r w:rsidRPr="00F82BD9">
        <w:t xml:space="preserve">b) </w:t>
      </w:r>
      <w:r>
        <w:tab/>
      </w:r>
      <w:r w:rsidRPr="00F82BD9">
        <w:t xml:space="preserve">schvalovat rozpočet společenství obcí, střednědobý výhled rozpočtu společenství obcí, závěrečný účet společenství obcí a </w:t>
      </w:r>
      <w:r w:rsidRPr="00F82BD9">
        <w:rPr>
          <w:b/>
          <w:bCs/>
        </w:rPr>
        <w:t xml:space="preserve">řádnou individuální </w:t>
      </w:r>
      <w:r w:rsidRPr="00F82BD9">
        <w:t xml:space="preserve">účetní závěrku společenství obcí </w:t>
      </w:r>
      <w:r w:rsidRPr="00070A7F">
        <w:rPr>
          <w:strike/>
        </w:rPr>
        <w:t>sestavenou k rozvahovému dni</w:t>
      </w:r>
      <w:r w:rsidRPr="00F82BD9">
        <w:t xml:space="preserve">, </w:t>
      </w:r>
    </w:p>
    <w:p w14:paraId="0B51E95A" w14:textId="77777777" w:rsidR="00912010" w:rsidRPr="00F82BD9" w:rsidRDefault="00912010" w:rsidP="00361150">
      <w:pPr>
        <w:pStyle w:val="PZTextpsmene"/>
        <w:tabs>
          <w:tab w:val="left" w:pos="567"/>
          <w:tab w:val="left" w:pos="826"/>
        </w:tabs>
        <w:spacing w:before="0"/>
      </w:pPr>
      <w:r w:rsidRPr="00F82BD9">
        <w:t xml:space="preserve">c) </w:t>
      </w:r>
      <w:r>
        <w:tab/>
      </w:r>
      <w:r w:rsidRPr="00F82BD9">
        <w:t xml:space="preserve">zřizovat trvalé a dočasné peněžní fondy společenství obcí, </w:t>
      </w:r>
    </w:p>
    <w:p w14:paraId="6071C74F" w14:textId="77777777" w:rsidR="00912010" w:rsidRPr="00F82BD9" w:rsidRDefault="00912010" w:rsidP="00361150">
      <w:pPr>
        <w:pStyle w:val="PZTextpsmene"/>
        <w:tabs>
          <w:tab w:val="left" w:pos="567"/>
          <w:tab w:val="left" w:pos="826"/>
        </w:tabs>
        <w:spacing w:before="0"/>
      </w:pPr>
      <w:r w:rsidRPr="00F82BD9">
        <w:t xml:space="preserve">d) </w:t>
      </w:r>
      <w:r>
        <w:tab/>
      </w:r>
      <w:r w:rsidRPr="00F82BD9">
        <w:t xml:space="preserve">rozhodovat o přistoupení další obce do společenství obcí, </w:t>
      </w:r>
    </w:p>
    <w:p w14:paraId="07F80296" w14:textId="77777777" w:rsidR="00912010" w:rsidRPr="00F82BD9" w:rsidRDefault="00912010" w:rsidP="00361150">
      <w:pPr>
        <w:pStyle w:val="PZTextpsmene"/>
        <w:tabs>
          <w:tab w:val="left" w:pos="567"/>
          <w:tab w:val="left" w:pos="826"/>
        </w:tabs>
        <w:spacing w:before="0"/>
      </w:pPr>
      <w:r w:rsidRPr="00F82BD9">
        <w:t xml:space="preserve">e) </w:t>
      </w:r>
      <w:r>
        <w:tab/>
      </w:r>
      <w:r w:rsidRPr="00F82BD9">
        <w:t xml:space="preserve">rozhodovat o vyloučení obce ze společenství obcí, </w:t>
      </w:r>
    </w:p>
    <w:p w14:paraId="5087E2A6" w14:textId="77777777" w:rsidR="00912010" w:rsidRPr="00F82BD9" w:rsidRDefault="00912010" w:rsidP="00361150">
      <w:pPr>
        <w:pStyle w:val="PZTextpsmene"/>
        <w:tabs>
          <w:tab w:val="left" w:pos="567"/>
          <w:tab w:val="left" w:pos="826"/>
        </w:tabs>
        <w:spacing w:before="0"/>
      </w:pPr>
      <w:r w:rsidRPr="00F82BD9">
        <w:t xml:space="preserve">f) </w:t>
      </w:r>
      <w:r>
        <w:tab/>
      </w:r>
      <w:r w:rsidRPr="00F82BD9">
        <w:t xml:space="preserve">rozhodovat o zrušení a zániku společenství obcí, </w:t>
      </w:r>
    </w:p>
    <w:p w14:paraId="080ECFF4" w14:textId="77777777" w:rsidR="00912010" w:rsidRPr="00F82BD9" w:rsidRDefault="00912010" w:rsidP="00361150">
      <w:pPr>
        <w:pStyle w:val="PZTextpsmene"/>
        <w:tabs>
          <w:tab w:val="left" w:pos="567"/>
          <w:tab w:val="left" w:pos="826"/>
        </w:tabs>
        <w:spacing w:before="0"/>
      </w:pPr>
      <w:r w:rsidRPr="00F82BD9">
        <w:t xml:space="preserve">g) </w:t>
      </w:r>
      <w:r>
        <w:tab/>
      </w:r>
      <w:r w:rsidRPr="00F82BD9">
        <w:t xml:space="preserve">rozhodovat v záležitostech stanovených zvláštním právním předpisem. </w:t>
      </w:r>
    </w:p>
    <w:p w14:paraId="3B4C685B" w14:textId="77777777" w:rsidR="00912010" w:rsidRPr="00F82BD9" w:rsidRDefault="00912010" w:rsidP="007C0A53">
      <w:pPr>
        <w:pStyle w:val="PZTextodstavce"/>
        <w:tabs>
          <w:tab w:val="clear" w:pos="851"/>
          <w:tab w:val="left" w:pos="406"/>
          <w:tab w:val="left" w:pos="826"/>
        </w:tabs>
        <w:spacing w:before="240"/>
      </w:pPr>
      <w:r w:rsidRPr="00F82BD9">
        <w:t xml:space="preserve">(2) V čele shromáždění starostů stojí předseda, který je statutárním orgánem společenství obcí. Předsedu zastupuje místopředseda, případně více místopředsedů. Předseda a místopředseda jsou voleni shromážděním starostů z řad jeho členů. Je-li zvoleno více místopředsedů, určí shromáždění starostů, v jakém pořadí zastupují předsedu. </w:t>
      </w:r>
    </w:p>
    <w:p w14:paraId="7D4C450B" w14:textId="77777777" w:rsidR="00912010" w:rsidRPr="00F82BD9" w:rsidRDefault="00912010" w:rsidP="008B310A">
      <w:pPr>
        <w:pStyle w:val="Default"/>
        <w:tabs>
          <w:tab w:val="left" w:pos="406"/>
          <w:tab w:val="left" w:pos="826"/>
        </w:tabs>
        <w:spacing w:before="240" w:after="120"/>
        <w:jc w:val="center"/>
        <w:rPr>
          <w:color w:val="auto"/>
        </w:rPr>
      </w:pPr>
      <w:r w:rsidRPr="00F82BD9">
        <w:rPr>
          <w:color w:val="auto"/>
        </w:rPr>
        <w:t xml:space="preserve">*** </w:t>
      </w:r>
    </w:p>
    <w:p w14:paraId="7201BCF7" w14:textId="77777777" w:rsidR="00912010" w:rsidRPr="00070A7F" w:rsidRDefault="00912010" w:rsidP="008B310A">
      <w:pPr>
        <w:pStyle w:val="Default"/>
        <w:tabs>
          <w:tab w:val="left" w:pos="406"/>
          <w:tab w:val="left" w:pos="826"/>
        </w:tabs>
        <w:spacing w:before="240" w:after="120"/>
        <w:jc w:val="center"/>
        <w:rPr>
          <w:b/>
          <w:color w:val="auto"/>
        </w:rPr>
      </w:pPr>
      <w:r w:rsidRPr="00070A7F">
        <w:rPr>
          <w:b/>
          <w:color w:val="auto"/>
        </w:rPr>
        <w:t xml:space="preserve">Pravomoc zastupitelstva obce </w:t>
      </w:r>
    </w:p>
    <w:p w14:paraId="47BB473E" w14:textId="77777777" w:rsidR="00912010" w:rsidRPr="00F82BD9" w:rsidRDefault="00912010" w:rsidP="008B310A">
      <w:pPr>
        <w:pStyle w:val="Default"/>
        <w:tabs>
          <w:tab w:val="left" w:pos="406"/>
          <w:tab w:val="left" w:pos="826"/>
        </w:tabs>
        <w:spacing w:before="240" w:after="120"/>
        <w:jc w:val="center"/>
        <w:rPr>
          <w:color w:val="auto"/>
        </w:rPr>
      </w:pPr>
      <w:r w:rsidRPr="00F82BD9">
        <w:rPr>
          <w:color w:val="auto"/>
        </w:rPr>
        <w:t xml:space="preserve">§ 84 </w:t>
      </w:r>
    </w:p>
    <w:p w14:paraId="76A8E492" w14:textId="77777777" w:rsidR="00912010" w:rsidRPr="00F82BD9" w:rsidRDefault="00912010" w:rsidP="007C0A53">
      <w:pPr>
        <w:pStyle w:val="PZTextodstavce"/>
        <w:tabs>
          <w:tab w:val="clear" w:pos="851"/>
          <w:tab w:val="left" w:pos="406"/>
          <w:tab w:val="left" w:pos="826"/>
        </w:tabs>
        <w:spacing w:before="240"/>
      </w:pPr>
      <w:r w:rsidRPr="00F82BD9">
        <w:t xml:space="preserve">(1) Zastupitelstvo obce rozhoduje ve věcech patřících do samostatné působnosti obce </w:t>
      </w:r>
    </w:p>
    <w:p w14:paraId="4855A714" w14:textId="77777777" w:rsidR="00912010" w:rsidRPr="00F82BD9" w:rsidRDefault="00912010" w:rsidP="007C0A53">
      <w:pPr>
        <w:pStyle w:val="PZTextodstavce"/>
        <w:tabs>
          <w:tab w:val="clear" w:pos="851"/>
          <w:tab w:val="left" w:pos="406"/>
          <w:tab w:val="left" w:pos="826"/>
        </w:tabs>
        <w:spacing w:before="240"/>
      </w:pPr>
      <w:r w:rsidRPr="00F82BD9">
        <w:t xml:space="preserve">(2) Zastupitelstvu obce je vyhrazeno </w:t>
      </w:r>
    </w:p>
    <w:p w14:paraId="18F795CA" w14:textId="68B678A4" w:rsidR="00912010" w:rsidRPr="00F82BD9" w:rsidRDefault="0025730C" w:rsidP="00850A92">
      <w:pPr>
        <w:pStyle w:val="PZTextpsmene"/>
        <w:tabs>
          <w:tab w:val="left" w:pos="406"/>
          <w:tab w:val="left" w:pos="826"/>
        </w:tabs>
        <w:spacing w:before="0"/>
        <w:ind w:left="426" w:hanging="426"/>
      </w:pPr>
      <w:r>
        <w:t>a)</w:t>
      </w:r>
      <w:r w:rsidR="00912010">
        <w:tab/>
      </w:r>
      <w:r w:rsidR="00912010" w:rsidRPr="00F82BD9">
        <w:t xml:space="preserve">schvalovat program rozvoje obce, </w:t>
      </w:r>
    </w:p>
    <w:p w14:paraId="6D3A32F5" w14:textId="7F1E04BE" w:rsidR="00912010" w:rsidRPr="00F82BD9" w:rsidRDefault="0025730C" w:rsidP="00850A92">
      <w:pPr>
        <w:pStyle w:val="PZTextpsmene"/>
        <w:tabs>
          <w:tab w:val="left" w:pos="406"/>
          <w:tab w:val="left" w:pos="826"/>
        </w:tabs>
        <w:spacing w:before="0"/>
        <w:ind w:left="426" w:hanging="426"/>
      </w:pPr>
      <w:r>
        <w:t>b)</w:t>
      </w:r>
      <w:r w:rsidR="00912010">
        <w:tab/>
      </w:r>
      <w:r w:rsidR="00912010" w:rsidRPr="00F82BD9">
        <w:t xml:space="preserve">schvalovat střednědobý výhled rozpočtu obce, rozpočet obce, závěrečný účet obce a </w:t>
      </w:r>
      <w:r w:rsidR="00912010" w:rsidRPr="00F82BD9">
        <w:rPr>
          <w:b/>
          <w:bCs/>
        </w:rPr>
        <w:t xml:space="preserve">řádnou individuální </w:t>
      </w:r>
      <w:r w:rsidR="00912010" w:rsidRPr="00F82BD9">
        <w:t xml:space="preserve">účetní závěrku obce </w:t>
      </w:r>
      <w:r w:rsidR="00912010" w:rsidRPr="00070A7F">
        <w:rPr>
          <w:strike/>
        </w:rPr>
        <w:t>sestavenou k rozvahovému dni</w:t>
      </w:r>
      <w:r w:rsidR="00912010" w:rsidRPr="00F82BD9">
        <w:t xml:space="preserve">, </w:t>
      </w:r>
    </w:p>
    <w:p w14:paraId="6CC1D344" w14:textId="1342EB99" w:rsidR="00912010" w:rsidRPr="00F82BD9" w:rsidRDefault="0025730C" w:rsidP="00850A92">
      <w:pPr>
        <w:pStyle w:val="PZTextpsmene"/>
        <w:tabs>
          <w:tab w:val="left" w:pos="406"/>
          <w:tab w:val="left" w:pos="826"/>
        </w:tabs>
        <w:spacing w:before="0"/>
        <w:ind w:left="426" w:hanging="426"/>
      </w:pPr>
      <w:r>
        <w:t>c)</w:t>
      </w:r>
      <w:r w:rsidR="00912010">
        <w:tab/>
      </w:r>
      <w:r w:rsidR="00912010" w:rsidRPr="00F82BD9">
        <w:t xml:space="preserve">zřizovat trvalé a dočasné peněžní fondy obce, </w:t>
      </w:r>
    </w:p>
    <w:p w14:paraId="62D2D80E" w14:textId="77777777" w:rsidR="00912010" w:rsidRPr="00F82BD9" w:rsidRDefault="00912010" w:rsidP="00850A92">
      <w:pPr>
        <w:pStyle w:val="PZTextpsmene"/>
        <w:tabs>
          <w:tab w:val="left" w:pos="406"/>
          <w:tab w:val="left" w:pos="826"/>
        </w:tabs>
        <w:spacing w:before="0"/>
        <w:ind w:left="426" w:hanging="426"/>
      </w:pPr>
      <w:r w:rsidRPr="00F82BD9">
        <w:t>d)</w:t>
      </w:r>
      <w:r>
        <w:tab/>
      </w:r>
      <w:r w:rsidRPr="00F82BD9">
        <w:t xml:space="preserve">zřizovat a rušit příspěvkové organizace a organizační složky obce, schvalovat jejich zřizovací listiny, </w:t>
      </w:r>
    </w:p>
    <w:p w14:paraId="4DB770C5" w14:textId="1E855EE3" w:rsidR="00912010" w:rsidRPr="00F82BD9" w:rsidRDefault="0025730C" w:rsidP="00850A92">
      <w:pPr>
        <w:pStyle w:val="PZTextpsmene"/>
        <w:tabs>
          <w:tab w:val="left" w:pos="406"/>
          <w:tab w:val="left" w:pos="826"/>
        </w:tabs>
        <w:spacing w:before="0"/>
        <w:ind w:left="426" w:hanging="426"/>
      </w:pPr>
      <w:r>
        <w:t>e)</w:t>
      </w:r>
      <w:r w:rsidR="00912010">
        <w:tab/>
      </w:r>
      <w:r w:rsidR="00912010" w:rsidRPr="00F82BD9">
        <w:t>rozhodovat o založení nebo rušení právnických osob, schvalovat jejich zakladatelské listiny, společenské smlouvy, zakládací smlouvy a stanovy, včetně jejich změn, a rozhodovat o účasti v již založených právnických osobách,</w:t>
      </w:r>
      <w:r w:rsidR="00912010">
        <w:rPr>
          <w:rStyle w:val="Znakapoznpodarou"/>
        </w:rPr>
        <w:footnoteReference w:customMarkFollows="1" w:id="312"/>
        <w:t>29)</w:t>
      </w:r>
      <w:r w:rsidR="00912010" w:rsidRPr="00F82BD9">
        <w:t xml:space="preserve"> </w:t>
      </w:r>
    </w:p>
    <w:p w14:paraId="116E0DAF" w14:textId="7E47207B" w:rsidR="00912010" w:rsidRDefault="0025730C" w:rsidP="00850A92">
      <w:pPr>
        <w:pStyle w:val="PZTextpsmene"/>
        <w:tabs>
          <w:tab w:val="left" w:pos="406"/>
          <w:tab w:val="left" w:pos="826"/>
        </w:tabs>
        <w:spacing w:before="0"/>
        <w:ind w:left="426" w:hanging="426"/>
      </w:pPr>
      <w:r>
        <w:t>f)</w:t>
      </w:r>
      <w:r w:rsidR="00912010">
        <w:tab/>
      </w:r>
      <w:r w:rsidR="00912010" w:rsidRPr="00F82BD9">
        <w:t>delegovat zástupce obce, s výjimkou § 102 odst. 2 písm. c), na valnou hromadu obchodních společností, v nic</w:t>
      </w:r>
      <w:r w:rsidR="00912010">
        <w:t>hž má obec majetkovou účast,</w:t>
      </w:r>
    </w:p>
    <w:p w14:paraId="460FBD6D" w14:textId="269FC0A6" w:rsidR="00912010" w:rsidRPr="00F82BD9" w:rsidRDefault="0025730C" w:rsidP="00850A92">
      <w:pPr>
        <w:pStyle w:val="PZTextpsmene"/>
        <w:tabs>
          <w:tab w:val="left" w:pos="406"/>
          <w:tab w:val="left" w:pos="826"/>
        </w:tabs>
        <w:spacing w:before="0"/>
        <w:ind w:left="426" w:hanging="426"/>
      </w:pPr>
      <w:r>
        <w:t>g)</w:t>
      </w:r>
      <w:r w:rsidR="00912010">
        <w:tab/>
      </w:r>
      <w:r w:rsidR="00912010" w:rsidRPr="00F82BD9">
        <w:t xml:space="preserve">navrhovat zástupce obce do ostatních orgánů obchodních společností, v nichž má obec majetkovou účast, a navrhovat jejich odvolání; to neplatí, rozhoduje-li rada obce ve věcech jediného společníka obchodní společnosti podle § 102 odst. 2 písm. c), </w:t>
      </w:r>
    </w:p>
    <w:p w14:paraId="64E2EA0B" w14:textId="77777777" w:rsidR="00912010" w:rsidRPr="00F82BD9" w:rsidRDefault="00912010" w:rsidP="00850A92">
      <w:pPr>
        <w:pStyle w:val="PZTextpsmene"/>
        <w:tabs>
          <w:tab w:val="left" w:pos="406"/>
          <w:tab w:val="left" w:pos="826"/>
        </w:tabs>
        <w:spacing w:before="0"/>
        <w:ind w:left="426" w:hanging="426"/>
      </w:pPr>
      <w:r w:rsidRPr="00F82BD9">
        <w:lastRenderedPageBreak/>
        <w:t>h)</w:t>
      </w:r>
      <w:r>
        <w:tab/>
      </w:r>
      <w:r w:rsidRPr="00F82BD9">
        <w:t xml:space="preserve">vydávat obecně závazné vyhlášky obce, </w:t>
      </w:r>
    </w:p>
    <w:p w14:paraId="703993F7" w14:textId="10A2C7E4" w:rsidR="00912010" w:rsidRPr="00F82BD9" w:rsidRDefault="00912010" w:rsidP="00850A92">
      <w:pPr>
        <w:pStyle w:val="PZTextpsmene"/>
        <w:tabs>
          <w:tab w:val="left" w:pos="406"/>
          <w:tab w:val="left" w:pos="826"/>
        </w:tabs>
        <w:spacing w:before="0"/>
        <w:ind w:left="426" w:hanging="426"/>
      </w:pPr>
      <w:r w:rsidRPr="00F82BD9">
        <w:t>i</w:t>
      </w:r>
      <w:r w:rsidR="0025730C">
        <w:t>)</w:t>
      </w:r>
      <w:r>
        <w:tab/>
      </w:r>
      <w:r w:rsidRPr="00F82BD9">
        <w:t xml:space="preserve">rozhodovat o vyhlášení místního referenda, </w:t>
      </w:r>
    </w:p>
    <w:p w14:paraId="6BEE611D" w14:textId="26A3FD4F" w:rsidR="00912010" w:rsidRPr="00F82BD9" w:rsidRDefault="0025730C" w:rsidP="00850A92">
      <w:pPr>
        <w:pStyle w:val="PZTextpsmene"/>
        <w:tabs>
          <w:tab w:val="left" w:pos="406"/>
          <w:tab w:val="left" w:pos="826"/>
        </w:tabs>
        <w:spacing w:before="0"/>
        <w:ind w:left="426" w:hanging="426"/>
      </w:pPr>
      <w:r>
        <w:t>j)</w:t>
      </w:r>
      <w:r w:rsidR="00912010">
        <w:tab/>
      </w:r>
      <w:r w:rsidR="00912010" w:rsidRPr="00F82BD9">
        <w:t xml:space="preserve">navrhovat změny katastrálních území uvnitř obce, schvalovat dohody o změně hranic obce a o slučování obcí, </w:t>
      </w:r>
    </w:p>
    <w:p w14:paraId="33109570" w14:textId="485F7955" w:rsidR="00912010" w:rsidRPr="00F82BD9" w:rsidRDefault="0025730C" w:rsidP="00850A92">
      <w:pPr>
        <w:pStyle w:val="PZTextpsmene"/>
        <w:tabs>
          <w:tab w:val="left" w:pos="406"/>
          <w:tab w:val="left" w:pos="826"/>
        </w:tabs>
        <w:spacing w:before="0"/>
        <w:ind w:left="426" w:hanging="426"/>
      </w:pPr>
      <w:r>
        <w:t>k)</w:t>
      </w:r>
      <w:r w:rsidR="00912010">
        <w:tab/>
      </w:r>
      <w:r w:rsidR="00912010" w:rsidRPr="00F82BD9">
        <w:t xml:space="preserve">určovat funkce, pro které budou členové zastupitelstva obce uvolněni, </w:t>
      </w:r>
    </w:p>
    <w:p w14:paraId="1E41C5ED" w14:textId="5492F412" w:rsidR="00912010" w:rsidRPr="00F82BD9" w:rsidRDefault="0025730C" w:rsidP="00850A92">
      <w:pPr>
        <w:pStyle w:val="PZTextpsmene"/>
        <w:tabs>
          <w:tab w:val="left" w:pos="406"/>
          <w:tab w:val="left" w:pos="826"/>
        </w:tabs>
        <w:spacing w:before="0"/>
        <w:ind w:left="426" w:hanging="426"/>
      </w:pPr>
      <w:r>
        <w:t>l)</w:t>
      </w:r>
      <w:r w:rsidR="00912010">
        <w:tab/>
      </w:r>
      <w:r w:rsidR="00912010" w:rsidRPr="00F82BD9">
        <w:t xml:space="preserve">zřizovat a rušit výbory, volit jejich předsedy a další členy a odvolávat je z funkce, </w:t>
      </w:r>
    </w:p>
    <w:p w14:paraId="5C52DF93" w14:textId="2E8D9C3E" w:rsidR="00912010" w:rsidRPr="00F82BD9" w:rsidRDefault="0025730C" w:rsidP="00850A92">
      <w:pPr>
        <w:pStyle w:val="PZTextpsmene"/>
        <w:tabs>
          <w:tab w:val="left" w:pos="406"/>
          <w:tab w:val="left" w:pos="826"/>
        </w:tabs>
        <w:spacing w:before="0"/>
        <w:ind w:left="426" w:hanging="426"/>
      </w:pPr>
      <w:r>
        <w:t>m)</w:t>
      </w:r>
      <w:r w:rsidR="00912010">
        <w:tab/>
      </w:r>
      <w:r w:rsidR="00912010" w:rsidRPr="00F82BD9">
        <w:t xml:space="preserve">volit z řad členů zastupitelstva obce starostu, místostarosty a další členy rady obce (radní) a odvolávat je z funkce, stanovit počet členů rady obce, </w:t>
      </w:r>
    </w:p>
    <w:p w14:paraId="7257F95E" w14:textId="354CFA53" w:rsidR="00912010" w:rsidRPr="00F82BD9" w:rsidRDefault="0025730C" w:rsidP="00850A92">
      <w:pPr>
        <w:pStyle w:val="PZTextpsmene"/>
        <w:tabs>
          <w:tab w:val="left" w:pos="406"/>
          <w:tab w:val="left" w:pos="826"/>
        </w:tabs>
        <w:spacing w:before="0"/>
        <w:ind w:left="426" w:hanging="426"/>
      </w:pPr>
      <w:r>
        <w:t>n)</w:t>
      </w:r>
      <w:r w:rsidR="00912010">
        <w:tab/>
      </w:r>
      <w:r w:rsidR="00912010" w:rsidRPr="00F82BD9">
        <w:t xml:space="preserve">stanovit výši odměn neuvolněným členům zastupitelstva obce, </w:t>
      </w:r>
    </w:p>
    <w:p w14:paraId="34068BBA" w14:textId="67D8F557" w:rsidR="00912010" w:rsidRPr="00F82BD9" w:rsidRDefault="0025730C" w:rsidP="00850A92">
      <w:pPr>
        <w:pStyle w:val="PZTextpsmene"/>
        <w:tabs>
          <w:tab w:val="left" w:pos="406"/>
          <w:tab w:val="left" w:pos="826"/>
        </w:tabs>
        <w:spacing w:before="0"/>
        <w:ind w:left="426" w:hanging="426"/>
      </w:pPr>
      <w:r>
        <w:t>o)</w:t>
      </w:r>
      <w:r w:rsidR="00912010">
        <w:tab/>
      </w:r>
      <w:r w:rsidR="00912010" w:rsidRPr="00F82BD9">
        <w:t xml:space="preserve">stanovit paušální částku náhrady výdělku ušlého v souvislosti s výkonem funkce podle § 71 odst. 3, rozhodovat o mimořádných odměnách podle § 76 a o plněních pro členy zastupitelstva obce podle § 80, </w:t>
      </w:r>
    </w:p>
    <w:p w14:paraId="7A2B2CB8" w14:textId="501F90AB" w:rsidR="00912010" w:rsidRPr="00F82BD9" w:rsidRDefault="0025730C" w:rsidP="00850A92">
      <w:pPr>
        <w:pStyle w:val="PZTextpsmene"/>
        <w:tabs>
          <w:tab w:val="left" w:pos="406"/>
          <w:tab w:val="left" w:pos="826"/>
        </w:tabs>
        <w:spacing w:before="0"/>
        <w:ind w:left="426" w:hanging="426"/>
      </w:pPr>
      <w:r>
        <w:t>p)</w:t>
      </w:r>
      <w:r w:rsidR="00912010">
        <w:tab/>
      </w:r>
      <w:r w:rsidR="00912010" w:rsidRPr="00F82BD9">
        <w:t xml:space="preserve">vyslovovat souhlas se vznikem pracovněprávního vztahu mezi obcí a členem zastupitelstva obce, </w:t>
      </w:r>
    </w:p>
    <w:p w14:paraId="655F79FD" w14:textId="52CF8455" w:rsidR="00912010" w:rsidRPr="00F82BD9" w:rsidRDefault="0025730C" w:rsidP="00850A92">
      <w:pPr>
        <w:pStyle w:val="PZTextpsmene"/>
        <w:tabs>
          <w:tab w:val="left" w:pos="406"/>
          <w:tab w:val="left" w:pos="826"/>
        </w:tabs>
        <w:spacing w:before="0"/>
        <w:ind w:left="426" w:hanging="426"/>
      </w:pPr>
      <w:r>
        <w:t>q)</w:t>
      </w:r>
      <w:r w:rsidR="00912010">
        <w:tab/>
      </w:r>
      <w:r w:rsidR="00912010" w:rsidRPr="00F82BD9">
        <w:t xml:space="preserve">zřizovat a zrušovat obecní policii, </w:t>
      </w:r>
    </w:p>
    <w:p w14:paraId="1AD7D586" w14:textId="781CE3DA" w:rsidR="00912010" w:rsidRPr="00F82BD9" w:rsidRDefault="0025730C" w:rsidP="00850A92">
      <w:pPr>
        <w:pStyle w:val="PZTextpsmene"/>
        <w:tabs>
          <w:tab w:val="left" w:pos="406"/>
          <w:tab w:val="left" w:pos="826"/>
        </w:tabs>
        <w:spacing w:before="0"/>
        <w:ind w:left="426" w:hanging="426"/>
      </w:pPr>
      <w:r>
        <w:t>r)</w:t>
      </w:r>
      <w:r w:rsidR="00912010">
        <w:tab/>
      </w:r>
      <w:r w:rsidR="00912010" w:rsidRPr="00F82BD9">
        <w:t xml:space="preserve">rozhodovat o spolupráci obce s jinými obcemi a o formě této spolupráce, </w:t>
      </w:r>
    </w:p>
    <w:p w14:paraId="65273DC2" w14:textId="4285675A" w:rsidR="00912010" w:rsidRPr="00F82BD9" w:rsidRDefault="0025730C" w:rsidP="00850A92">
      <w:pPr>
        <w:pStyle w:val="PZTextpsmene"/>
        <w:tabs>
          <w:tab w:val="left" w:pos="406"/>
          <w:tab w:val="left" w:pos="826"/>
        </w:tabs>
        <w:spacing w:before="0"/>
        <w:ind w:left="426" w:hanging="426"/>
      </w:pPr>
      <w:r>
        <w:t>s)</w:t>
      </w:r>
      <w:r w:rsidR="00912010">
        <w:tab/>
      </w:r>
      <w:r w:rsidR="00912010" w:rsidRPr="00F82BD9">
        <w:t xml:space="preserve">rozhodovat o zřízení a názvech částí obce, o názvech ulic a dalších veřejných prostranství, </w:t>
      </w:r>
    </w:p>
    <w:p w14:paraId="2D7931A4" w14:textId="6D3C9691" w:rsidR="00912010" w:rsidRPr="00F82BD9" w:rsidRDefault="0025730C" w:rsidP="00850A92">
      <w:pPr>
        <w:pStyle w:val="PZTextpsmene"/>
        <w:tabs>
          <w:tab w:val="left" w:pos="406"/>
          <w:tab w:val="left" w:pos="826"/>
        </w:tabs>
        <w:spacing w:before="0"/>
        <w:ind w:left="426" w:hanging="426"/>
      </w:pPr>
      <w:r>
        <w:t>t)</w:t>
      </w:r>
      <w:r w:rsidR="00912010">
        <w:tab/>
      </w:r>
      <w:r w:rsidR="00912010" w:rsidRPr="00F82BD9">
        <w:t xml:space="preserve">udělovat a odnímat čestné občanství obce a ceny obce, </w:t>
      </w:r>
    </w:p>
    <w:p w14:paraId="1D722537" w14:textId="0844BB14" w:rsidR="00912010" w:rsidRPr="00F82BD9" w:rsidRDefault="0025730C" w:rsidP="00850A92">
      <w:pPr>
        <w:pStyle w:val="PZTextpsmene"/>
        <w:tabs>
          <w:tab w:val="left" w:pos="406"/>
          <w:tab w:val="left" w:pos="826"/>
        </w:tabs>
        <w:spacing w:before="0"/>
        <w:ind w:left="426" w:hanging="426"/>
      </w:pPr>
      <w:r>
        <w:t>u)</w:t>
      </w:r>
      <w:r w:rsidR="00912010">
        <w:tab/>
      </w:r>
      <w:r w:rsidR="00912010" w:rsidRPr="00F82BD9">
        <w:t xml:space="preserve">stanovit pravidla pro poskytování cestovních náhrad členům zastupitelstva obce, </w:t>
      </w:r>
    </w:p>
    <w:p w14:paraId="3F0A7124" w14:textId="03B979EF" w:rsidR="00912010" w:rsidRPr="00F82BD9" w:rsidRDefault="0025730C" w:rsidP="00850A92">
      <w:pPr>
        <w:pStyle w:val="PZTextpsmene"/>
        <w:tabs>
          <w:tab w:val="left" w:pos="406"/>
          <w:tab w:val="left" w:pos="826"/>
        </w:tabs>
        <w:spacing w:before="0"/>
        <w:ind w:left="426" w:hanging="426"/>
      </w:pPr>
      <w:r>
        <w:t>v)</w:t>
      </w:r>
      <w:r w:rsidR="00912010">
        <w:tab/>
      </w:r>
      <w:r w:rsidR="00912010" w:rsidRPr="00F82BD9">
        <w:t xml:space="preserve">rozhodovat o peněžitých plněních poskytovaných fyzickým osobám, které nejsou členy zastupitelstva obce, za výkon funkce členů výborů, komisí a zvláštních orgánů obce, </w:t>
      </w:r>
    </w:p>
    <w:p w14:paraId="0EA35AD5" w14:textId="520BA7B8" w:rsidR="00912010" w:rsidRPr="00F82BD9" w:rsidRDefault="0025730C" w:rsidP="00850A92">
      <w:pPr>
        <w:pStyle w:val="PZTextpsmene"/>
        <w:tabs>
          <w:tab w:val="left" w:pos="406"/>
          <w:tab w:val="left" w:pos="826"/>
        </w:tabs>
        <w:spacing w:before="0"/>
        <w:ind w:left="426" w:hanging="426"/>
      </w:pPr>
      <w:r>
        <w:t>x)</w:t>
      </w:r>
      <w:r w:rsidR="00912010">
        <w:tab/>
      </w:r>
      <w:r w:rsidR="00912010" w:rsidRPr="00F82BD9">
        <w:t>rozhodovat o zřízení, sloučení, splynutí, rozdělení a zrušení veřejného neziskového ústavního zdravotnického zařízení, navrhovat zástupce do jeho dozorčí rady a rozhodovat o převodu vlastnického práva k majetku, s nímž hospodaří veřejné neziskové ústavní zdravotnické zařízení nebo o jeho pronájmu v případech, kdy to stanoví zvláštní právní předpis</w:t>
      </w:r>
      <w:r w:rsidR="00912010">
        <w:rPr>
          <w:rStyle w:val="Znakapoznpodarou"/>
        </w:rPr>
        <w:footnoteReference w:customMarkFollows="1" w:id="313"/>
        <w:t>29a)</w:t>
      </w:r>
      <w:r w:rsidR="00912010" w:rsidRPr="00F82BD9">
        <w:t xml:space="preserve">, </w:t>
      </w:r>
    </w:p>
    <w:p w14:paraId="2BE04E4F" w14:textId="1AA23FF8" w:rsidR="00912010" w:rsidRPr="00F82BD9" w:rsidRDefault="0025730C" w:rsidP="00850A92">
      <w:pPr>
        <w:pStyle w:val="PZTextpsmene"/>
        <w:tabs>
          <w:tab w:val="left" w:pos="406"/>
          <w:tab w:val="left" w:pos="826"/>
        </w:tabs>
        <w:spacing w:before="0"/>
        <w:ind w:left="426" w:hanging="426"/>
      </w:pPr>
      <w:r>
        <w:t>y)</w:t>
      </w:r>
      <w:r w:rsidR="00912010">
        <w:tab/>
      </w:r>
      <w:r w:rsidR="00912010" w:rsidRPr="00F82BD9">
        <w:t xml:space="preserve">plnit úkoly stanovené zvláštním právním předpisem. </w:t>
      </w:r>
    </w:p>
    <w:p w14:paraId="5728F7A0" w14:textId="77777777" w:rsidR="00912010" w:rsidRPr="00F82BD9" w:rsidRDefault="00912010" w:rsidP="007C0A53">
      <w:pPr>
        <w:pStyle w:val="PZTextodstavce"/>
        <w:tabs>
          <w:tab w:val="clear" w:pos="851"/>
          <w:tab w:val="left" w:pos="406"/>
          <w:tab w:val="left" w:pos="826"/>
        </w:tabs>
        <w:spacing w:before="240"/>
      </w:pPr>
      <w:r w:rsidRPr="00F82BD9">
        <w:t xml:space="preserve">(3) Není-li zřízena rada obce, vydává nařízení obce zastupitelstvo obce. </w:t>
      </w:r>
    </w:p>
    <w:p w14:paraId="59B0A78A" w14:textId="77777777" w:rsidR="00912010" w:rsidRPr="00F82BD9" w:rsidRDefault="00912010" w:rsidP="007C0A53">
      <w:pPr>
        <w:pStyle w:val="PZTextodstavce"/>
        <w:tabs>
          <w:tab w:val="clear" w:pos="851"/>
          <w:tab w:val="left" w:pos="406"/>
          <w:tab w:val="left" w:pos="826"/>
        </w:tabs>
        <w:spacing w:before="240"/>
      </w:pPr>
      <w:r w:rsidRPr="00F82BD9">
        <w:t xml:space="preserve">(4) Zastupitelstvo obce si může vyhradit další pravomoc v samostatné působnosti obce mimo </w:t>
      </w:r>
      <w:proofErr w:type="spellStart"/>
      <w:r w:rsidRPr="00F82BD9">
        <w:t>pravomoce</w:t>
      </w:r>
      <w:proofErr w:type="spellEnd"/>
      <w:r w:rsidRPr="00F82BD9">
        <w:t xml:space="preserve"> vyhrazené radě obce podle § 102 odst. 2. </w:t>
      </w:r>
    </w:p>
    <w:p w14:paraId="6281D3F1" w14:textId="5DEFE1EC" w:rsidR="00912010" w:rsidRDefault="00912010" w:rsidP="008B310A">
      <w:pPr>
        <w:pStyle w:val="PZTextodstavce"/>
        <w:tabs>
          <w:tab w:val="clear" w:pos="851"/>
          <w:tab w:val="left" w:pos="406"/>
          <w:tab w:val="left" w:pos="826"/>
        </w:tabs>
        <w:spacing w:before="240"/>
      </w:pPr>
      <w:r w:rsidRPr="00F82BD9">
        <w:t xml:space="preserve">(5) Zastupitelstvo obce rozhoduje o zrušení usnesení rady obce, jsou-li mu předložena k rozhodnutí podle § 105 odst. 1. </w:t>
      </w:r>
    </w:p>
    <w:p w14:paraId="29ACC0EF" w14:textId="77777777" w:rsidR="00912010" w:rsidRPr="00F82BD9" w:rsidRDefault="00912010" w:rsidP="008B310A">
      <w:pPr>
        <w:pStyle w:val="Default"/>
        <w:tabs>
          <w:tab w:val="left" w:pos="406"/>
          <w:tab w:val="left" w:pos="826"/>
        </w:tabs>
        <w:spacing w:before="240" w:after="120"/>
        <w:jc w:val="center"/>
        <w:rPr>
          <w:color w:val="auto"/>
        </w:rPr>
      </w:pPr>
      <w:r w:rsidRPr="00F82BD9">
        <w:rPr>
          <w:color w:val="auto"/>
        </w:rPr>
        <w:t>***</w:t>
      </w:r>
    </w:p>
    <w:p w14:paraId="63725861" w14:textId="77777777" w:rsidR="00912010" w:rsidRPr="00F82BD9" w:rsidRDefault="00912010" w:rsidP="008B310A">
      <w:pPr>
        <w:pStyle w:val="Default"/>
        <w:tabs>
          <w:tab w:val="left" w:pos="406"/>
          <w:tab w:val="left" w:pos="826"/>
        </w:tabs>
        <w:spacing w:before="240" w:after="120"/>
        <w:jc w:val="center"/>
        <w:rPr>
          <w:color w:val="auto"/>
        </w:rPr>
      </w:pPr>
      <w:r w:rsidRPr="00F82BD9">
        <w:rPr>
          <w:color w:val="auto"/>
        </w:rPr>
        <w:t>§ 102</w:t>
      </w:r>
    </w:p>
    <w:p w14:paraId="34B56CFC" w14:textId="77777777" w:rsidR="00912010" w:rsidRPr="00F82BD9" w:rsidRDefault="00912010" w:rsidP="007C0A53">
      <w:pPr>
        <w:pStyle w:val="PZTextodstavce"/>
        <w:tabs>
          <w:tab w:val="clear" w:pos="851"/>
          <w:tab w:val="left" w:pos="406"/>
          <w:tab w:val="left" w:pos="826"/>
        </w:tabs>
        <w:spacing w:before="240"/>
      </w:pPr>
      <w:r w:rsidRPr="00F82BD9">
        <w:t xml:space="preserve">(1) Rada obce připravuje návrhy pro jednání zastupitelstva obce a zabezpečuje plnění jím přijatých usnesení. </w:t>
      </w:r>
    </w:p>
    <w:p w14:paraId="2F22E108" w14:textId="77777777" w:rsidR="00912010" w:rsidRPr="00F82BD9" w:rsidRDefault="00912010" w:rsidP="007C0A53">
      <w:pPr>
        <w:pStyle w:val="PZTextodstavce"/>
        <w:tabs>
          <w:tab w:val="clear" w:pos="851"/>
          <w:tab w:val="left" w:pos="406"/>
          <w:tab w:val="left" w:pos="826"/>
        </w:tabs>
        <w:spacing w:before="240"/>
      </w:pPr>
      <w:r w:rsidRPr="00F82BD9">
        <w:t xml:space="preserve">(2) Radě obce je vyhrazeno </w:t>
      </w:r>
    </w:p>
    <w:p w14:paraId="681FAF71" w14:textId="6282AEA6" w:rsidR="00912010" w:rsidRPr="00F82BD9" w:rsidRDefault="007C0A53" w:rsidP="00850A92">
      <w:pPr>
        <w:pStyle w:val="PZTextpsmene"/>
        <w:tabs>
          <w:tab w:val="left" w:pos="426"/>
          <w:tab w:val="left" w:pos="826"/>
        </w:tabs>
        <w:spacing w:before="0"/>
      </w:pPr>
      <w:r>
        <w:t>a)</w:t>
      </w:r>
      <w:r w:rsidR="00912010">
        <w:tab/>
      </w:r>
      <w:r w:rsidR="00912010" w:rsidRPr="00F82BD9">
        <w:t xml:space="preserve">zabezpečovat hospodaření obce podle schváleného rozpočtu, provádět rozpočtová opatření v rozsahu stanoveném zastupitelstvem obce, </w:t>
      </w:r>
    </w:p>
    <w:p w14:paraId="229A8374" w14:textId="6896D9B8" w:rsidR="00912010" w:rsidRPr="00F82BD9" w:rsidRDefault="007C0A53" w:rsidP="00850A92">
      <w:pPr>
        <w:pStyle w:val="PZTextpsmene"/>
        <w:tabs>
          <w:tab w:val="left" w:pos="426"/>
          <w:tab w:val="left" w:pos="826"/>
        </w:tabs>
        <w:spacing w:before="0"/>
      </w:pPr>
      <w:r>
        <w:lastRenderedPageBreak/>
        <w:t>b)</w:t>
      </w:r>
      <w:r w:rsidR="00912010">
        <w:tab/>
      </w:r>
      <w:r w:rsidR="00912010" w:rsidRPr="00F82BD9">
        <w:t xml:space="preserve">plnit vůči právnickým osobám a organizačním složkám založeným nebo zřízeným zastupitelstvem obce, s výjimkou obecní policie, úkoly zakladatele nebo zřizovatele podle zvláštních předpisů, nejsou-li vyhrazeny zastupitelstvu obce (§ 84 odst. 2), </w:t>
      </w:r>
    </w:p>
    <w:p w14:paraId="1CB1C738" w14:textId="568D2D50" w:rsidR="00912010" w:rsidRPr="00F82BD9" w:rsidRDefault="007C0A53" w:rsidP="00850A92">
      <w:pPr>
        <w:pStyle w:val="PZTextpsmene"/>
        <w:tabs>
          <w:tab w:val="left" w:pos="426"/>
          <w:tab w:val="left" w:pos="826"/>
        </w:tabs>
        <w:spacing w:before="0"/>
      </w:pPr>
      <w:r>
        <w:t>c)</w:t>
      </w:r>
      <w:r w:rsidR="00912010">
        <w:tab/>
      </w:r>
      <w:r w:rsidR="00912010" w:rsidRPr="00F82BD9">
        <w:t>rozhodovat ve věcech obce jako jediného spol</w:t>
      </w:r>
      <w:r w:rsidR="00912010">
        <w:t xml:space="preserve">ečníka obchodní společnosti, </w:t>
      </w:r>
    </w:p>
    <w:p w14:paraId="6B346D28" w14:textId="14ED3E8D" w:rsidR="00912010" w:rsidRPr="00F82BD9" w:rsidRDefault="007C0A53" w:rsidP="00850A92">
      <w:pPr>
        <w:pStyle w:val="PZTextpsmene"/>
        <w:tabs>
          <w:tab w:val="left" w:pos="426"/>
          <w:tab w:val="left" w:pos="826"/>
        </w:tabs>
        <w:spacing w:before="0"/>
      </w:pPr>
      <w:r>
        <w:t>d)</w:t>
      </w:r>
      <w:r w:rsidR="00912010">
        <w:tab/>
      </w:r>
      <w:r w:rsidR="00912010" w:rsidRPr="00F82BD9">
        <w:t xml:space="preserve">vydávat nařízení obce, </w:t>
      </w:r>
    </w:p>
    <w:p w14:paraId="554C921D" w14:textId="16A604AF" w:rsidR="00912010" w:rsidRPr="00F82BD9" w:rsidRDefault="007C0A53" w:rsidP="00850A92">
      <w:pPr>
        <w:pStyle w:val="PZTextpsmene"/>
        <w:tabs>
          <w:tab w:val="left" w:pos="426"/>
          <w:tab w:val="left" w:pos="826"/>
        </w:tabs>
        <w:spacing w:before="0"/>
      </w:pPr>
      <w:r>
        <w:t>e)</w:t>
      </w:r>
      <w:r w:rsidR="00912010">
        <w:tab/>
      </w:r>
      <w:r w:rsidR="00912010" w:rsidRPr="00F82BD9">
        <w:t xml:space="preserve">projednávat a řešit návrhy, připomínky a podněty předložené jí členy zastupitelstva obce nebo komisemi rady obce, </w:t>
      </w:r>
    </w:p>
    <w:p w14:paraId="758E42AA" w14:textId="6734571D" w:rsidR="00912010" w:rsidRPr="00F82BD9" w:rsidRDefault="007C0A53" w:rsidP="00850A92">
      <w:pPr>
        <w:pStyle w:val="PZTextpsmene"/>
        <w:tabs>
          <w:tab w:val="left" w:pos="426"/>
          <w:tab w:val="left" w:pos="826"/>
        </w:tabs>
        <w:spacing w:before="0"/>
      </w:pPr>
      <w:r>
        <w:t>f)</w:t>
      </w:r>
      <w:r w:rsidR="00912010">
        <w:tab/>
      </w:r>
      <w:r w:rsidR="00912010" w:rsidRPr="00F82BD9">
        <w:t xml:space="preserve">stanovit rozdělení pravomocí v obecním úřadu, zřizovat a zrušovat odbory a oddělení obecního úřadu (§ 109 odst. 2), </w:t>
      </w:r>
    </w:p>
    <w:p w14:paraId="6DA075AE" w14:textId="49C7FE13" w:rsidR="00912010" w:rsidRPr="00F82BD9" w:rsidRDefault="007C0A53" w:rsidP="00850A92">
      <w:pPr>
        <w:pStyle w:val="PZTextpsmene"/>
        <w:tabs>
          <w:tab w:val="left" w:pos="426"/>
          <w:tab w:val="left" w:pos="826"/>
        </w:tabs>
        <w:spacing w:before="0"/>
      </w:pPr>
      <w:r>
        <w:t>g)</w:t>
      </w:r>
      <w:r w:rsidR="00912010">
        <w:tab/>
      </w:r>
      <w:r w:rsidR="00912010" w:rsidRPr="00F82BD9">
        <w:t>na návrh tajemníka obecního úřadu jmenovat a odvolávat vedoucí odborů obecního úřadu v s</w:t>
      </w:r>
      <w:r>
        <w:t xml:space="preserve">ouladu se zvláštním </w:t>
      </w:r>
      <w:proofErr w:type="gramStart"/>
      <w:r>
        <w:t>zákonem,</w:t>
      </w:r>
      <w:r>
        <w:rPr>
          <w:rStyle w:val="Znakapoznpodarou"/>
        </w:rPr>
        <w:footnoteReference w:customMarkFollows="1" w:id="314"/>
        <w:t>32b)</w:t>
      </w:r>
      <w:r w:rsidR="00912010" w:rsidRPr="00F82BD9">
        <w:t>; bez</w:t>
      </w:r>
      <w:proofErr w:type="gramEnd"/>
      <w:r w:rsidR="00912010" w:rsidRPr="00F82BD9">
        <w:t xml:space="preserve"> tohoto návrhu je jmenování nebo odvolání vedoucího odboru obecního úřadu neplatné, </w:t>
      </w:r>
    </w:p>
    <w:p w14:paraId="3FCF9337" w14:textId="35E357C6" w:rsidR="00912010" w:rsidRPr="00F82BD9" w:rsidRDefault="007C0A53" w:rsidP="00850A92">
      <w:pPr>
        <w:pStyle w:val="PZTextpsmene"/>
        <w:tabs>
          <w:tab w:val="left" w:pos="426"/>
          <w:tab w:val="left" w:pos="826"/>
        </w:tabs>
        <w:spacing w:before="0"/>
      </w:pPr>
      <w:r>
        <w:t>h)</w:t>
      </w:r>
      <w:r w:rsidR="00912010">
        <w:tab/>
      </w:r>
      <w:r w:rsidR="00912010" w:rsidRPr="00F82BD9">
        <w:t xml:space="preserve">zřizovat a zrušovat podle potřeby, komise rady obce (dále jen "komise"), jmenovat a odvolávat z funkce jejich předsedy a členy, </w:t>
      </w:r>
    </w:p>
    <w:p w14:paraId="194F7A54" w14:textId="77777777" w:rsidR="00912010" w:rsidRPr="00F82BD9" w:rsidRDefault="00912010" w:rsidP="00850A92">
      <w:pPr>
        <w:pStyle w:val="PZTextpsmene"/>
        <w:tabs>
          <w:tab w:val="left" w:pos="426"/>
          <w:tab w:val="left" w:pos="826"/>
        </w:tabs>
        <w:spacing w:before="0"/>
      </w:pPr>
      <w:r w:rsidRPr="00F82BD9">
        <w:t>i)</w:t>
      </w:r>
      <w:r>
        <w:tab/>
      </w:r>
      <w:r w:rsidRPr="00F82BD9">
        <w:t xml:space="preserve">kontrolovat plnění úkolů obecním úřadem a komisemi v oblasti samostatné působnosti obce, </w:t>
      </w:r>
    </w:p>
    <w:p w14:paraId="191497B9" w14:textId="1B4907D7" w:rsidR="00912010" w:rsidRPr="00F82BD9" w:rsidRDefault="007C0A53" w:rsidP="00850A92">
      <w:pPr>
        <w:pStyle w:val="PZTextpsmene"/>
        <w:tabs>
          <w:tab w:val="left" w:pos="426"/>
          <w:tab w:val="left" w:pos="826"/>
        </w:tabs>
        <w:spacing w:before="0"/>
      </w:pPr>
      <w:r>
        <w:t>j)</w:t>
      </w:r>
      <w:r w:rsidR="00912010">
        <w:tab/>
      </w:r>
      <w:r w:rsidR="00912010" w:rsidRPr="00F82BD9">
        <w:t xml:space="preserve">stanovit celkový počet zaměstnanců obce v obecním úřadu a v organizačních složkách obce, </w:t>
      </w:r>
    </w:p>
    <w:p w14:paraId="460D5851" w14:textId="0CD5F0D1" w:rsidR="00912010" w:rsidRPr="00F82BD9" w:rsidRDefault="007C0A53" w:rsidP="00850A92">
      <w:pPr>
        <w:pStyle w:val="PZTextpsmene"/>
        <w:tabs>
          <w:tab w:val="left" w:pos="426"/>
          <w:tab w:val="left" w:pos="826"/>
        </w:tabs>
        <w:spacing w:before="0"/>
      </w:pPr>
      <w:r>
        <w:t>k)</w:t>
      </w:r>
      <w:r w:rsidR="00912010">
        <w:tab/>
      </w:r>
      <w:r w:rsidR="00912010" w:rsidRPr="00F82BD9">
        <w:t xml:space="preserve">přezkoumávat na základě podnětů opatření přijatá obecním úřadem v samostatné působnosti a komisemi, </w:t>
      </w:r>
    </w:p>
    <w:p w14:paraId="0901F98A" w14:textId="26CEE0E1" w:rsidR="00912010" w:rsidRPr="00F82BD9" w:rsidRDefault="007C0A53" w:rsidP="00850A92">
      <w:pPr>
        <w:pStyle w:val="PZTextpsmene"/>
        <w:tabs>
          <w:tab w:val="left" w:pos="426"/>
          <w:tab w:val="left" w:pos="826"/>
        </w:tabs>
        <w:spacing w:before="0"/>
      </w:pPr>
      <w:r>
        <w:t>l)</w:t>
      </w:r>
      <w:r w:rsidR="00912010">
        <w:tab/>
      </w:r>
      <w:r w:rsidR="00912010" w:rsidRPr="00F82BD9">
        <w:t xml:space="preserve">stanovit pravidla pro přijímání a vyřizování petic a stížností, </w:t>
      </w:r>
    </w:p>
    <w:p w14:paraId="2BCEDC01" w14:textId="6E08370E" w:rsidR="00912010" w:rsidRPr="00F82BD9" w:rsidRDefault="007C0A53" w:rsidP="00850A92">
      <w:pPr>
        <w:pStyle w:val="PZTextpsmene"/>
        <w:tabs>
          <w:tab w:val="left" w:pos="426"/>
          <w:tab w:val="left" w:pos="826"/>
        </w:tabs>
        <w:spacing w:before="0"/>
      </w:pPr>
      <w:r>
        <w:t>m)</w:t>
      </w:r>
      <w:r w:rsidR="00912010">
        <w:tab/>
      </w:r>
      <w:r w:rsidR="00912010" w:rsidRPr="00F82BD9">
        <w:t xml:space="preserve">schvalovat organizační řád obecního úřadu, </w:t>
      </w:r>
    </w:p>
    <w:p w14:paraId="39DAE708" w14:textId="2A402C36" w:rsidR="00912010" w:rsidRPr="00F82BD9" w:rsidRDefault="007C0A53" w:rsidP="00850A92">
      <w:pPr>
        <w:pStyle w:val="PZTextpsmene"/>
        <w:tabs>
          <w:tab w:val="left" w:pos="426"/>
          <w:tab w:val="left" w:pos="826"/>
        </w:tabs>
        <w:spacing w:before="0"/>
        <w:ind w:left="0" w:firstLine="0"/>
      </w:pPr>
      <w:r>
        <w:t>n)</w:t>
      </w:r>
      <w:r w:rsidR="00912010">
        <w:tab/>
      </w:r>
      <w:r w:rsidR="00912010" w:rsidRPr="00F82BD9">
        <w:t xml:space="preserve">plnit úkoly stanovené zvláštním zákonem, </w:t>
      </w:r>
    </w:p>
    <w:p w14:paraId="1DDE017D" w14:textId="0F19AA62" w:rsidR="00912010" w:rsidRPr="00F82BD9" w:rsidRDefault="007C0A53" w:rsidP="00850A92">
      <w:pPr>
        <w:pStyle w:val="PZTextpsmene"/>
        <w:tabs>
          <w:tab w:val="left" w:pos="426"/>
          <w:tab w:val="left" w:pos="826"/>
        </w:tabs>
        <w:spacing w:before="0"/>
      </w:pPr>
      <w:r>
        <w:t>o)</w:t>
      </w:r>
      <w:r w:rsidR="00912010">
        <w:tab/>
      </w:r>
      <w:r w:rsidR="00912010" w:rsidRPr="00F82BD9">
        <w:t xml:space="preserve">schvalovat </w:t>
      </w:r>
      <w:r w:rsidR="00912010" w:rsidRPr="00F82BD9">
        <w:rPr>
          <w:b/>
          <w:bCs/>
        </w:rPr>
        <w:t xml:space="preserve">řádnou individuální </w:t>
      </w:r>
      <w:r w:rsidR="00912010" w:rsidRPr="00F82BD9">
        <w:t xml:space="preserve">účetní závěrku obcí zřízené příspěvkové organizace </w:t>
      </w:r>
      <w:r w:rsidR="00912010" w:rsidRPr="00746B65">
        <w:rPr>
          <w:strike/>
        </w:rPr>
        <w:t>sestavenou k rozvahovému dni</w:t>
      </w:r>
      <w:r w:rsidR="00912010" w:rsidRPr="00F82BD9">
        <w:t xml:space="preserve">. </w:t>
      </w:r>
    </w:p>
    <w:p w14:paraId="68EBDB3E" w14:textId="77777777" w:rsidR="00912010" w:rsidRPr="00F82BD9" w:rsidRDefault="00912010" w:rsidP="007C0A53">
      <w:pPr>
        <w:pStyle w:val="PZTextodstavce"/>
        <w:tabs>
          <w:tab w:val="clear" w:pos="851"/>
          <w:tab w:val="left" w:pos="406"/>
          <w:tab w:val="left" w:pos="826"/>
        </w:tabs>
        <w:spacing w:before="240"/>
      </w:pPr>
      <w:r w:rsidRPr="00F82BD9">
        <w:t xml:space="preserve">(3) Rada obce zabezpečuje rozhodování ostatních záležitostí patřících do samostatné působnosti obce, pokud nejsou vyhrazeny zastupitelstvu obce nebo pokud si je zastupitelstvo obce nevyhradilo; rada obce může tyto pravomoci zcela nebo zčásti svěřit starostovi nebo obecnímu úřadu; rada obce může svěřit obecní policii zcela nebo zčásti rozhodování o právních jednáních souvisejících s činností obecní policie. </w:t>
      </w:r>
    </w:p>
    <w:p w14:paraId="3B46DAA0" w14:textId="77777777" w:rsidR="00912010" w:rsidRPr="00F82BD9" w:rsidRDefault="00912010" w:rsidP="007C0A53">
      <w:pPr>
        <w:pStyle w:val="PZTextodstavce"/>
        <w:tabs>
          <w:tab w:val="clear" w:pos="851"/>
          <w:tab w:val="left" w:pos="406"/>
          <w:tab w:val="left" w:pos="826"/>
        </w:tabs>
        <w:spacing w:before="240"/>
      </w:pPr>
      <w:r w:rsidRPr="00F82BD9">
        <w:t xml:space="preserve">(4) V obcích, kde starosta vykonává pravomoc rady obce (§ 99 odst. 2), je zastupitelstvu obce vyhrazeno též rozhodování ve věcech uvedených v odstavci 2 písm. c), d), f), j), k) a o). </w:t>
      </w:r>
    </w:p>
    <w:p w14:paraId="283E04B1" w14:textId="77777777" w:rsidR="00912010" w:rsidRPr="00F82BD9" w:rsidRDefault="00912010" w:rsidP="007C0A53">
      <w:pPr>
        <w:pStyle w:val="PZTextodstavce"/>
        <w:tabs>
          <w:tab w:val="clear" w:pos="851"/>
          <w:tab w:val="left" w:pos="406"/>
          <w:tab w:val="left" w:pos="826"/>
        </w:tabs>
        <w:spacing w:before="240"/>
      </w:pPr>
      <w:r w:rsidRPr="00F82BD9">
        <w:t>(5) Je-li rada obce odvolána jako celek a není-li současně s tím zvolena nová rada obce, vykonává dosavadní rada obce svou pravomoc a</w:t>
      </w:r>
      <w:r>
        <w:t>ž do zvolení nové rady obce.</w:t>
      </w:r>
    </w:p>
    <w:p w14:paraId="183C1A3C" w14:textId="77777777" w:rsidR="00A81761" w:rsidRDefault="00A81761" w:rsidP="00CB5381">
      <w:pPr>
        <w:pStyle w:val="Textparagrafu"/>
        <w:tabs>
          <w:tab w:val="left" w:pos="406"/>
          <w:tab w:val="left" w:pos="840"/>
          <w:tab w:val="left" w:pos="868"/>
        </w:tabs>
        <w:spacing w:after="120"/>
        <w:ind w:firstLine="0"/>
        <w:sectPr w:rsidR="00A81761" w:rsidSect="00554E2B">
          <w:footnotePr>
            <w:numStart w:val="3"/>
          </w:footnotePr>
          <w:endnotePr>
            <w:numFmt w:val="decimal"/>
          </w:endnotePr>
          <w:pgSz w:w="11906" w:h="16838"/>
          <w:pgMar w:top="1418" w:right="1418" w:bottom="1418" w:left="1418" w:header="709" w:footer="709" w:gutter="0"/>
          <w:cols w:space="708"/>
          <w:docGrid w:linePitch="360"/>
        </w:sectPr>
      </w:pPr>
    </w:p>
    <w:p w14:paraId="46E91AFF" w14:textId="16925270" w:rsidR="00A81761" w:rsidRPr="00295A35" w:rsidRDefault="00A81761" w:rsidP="00152046">
      <w:pPr>
        <w:tabs>
          <w:tab w:val="left" w:pos="851"/>
        </w:tabs>
        <w:spacing w:before="120" w:after="120"/>
        <w:ind w:firstLine="0"/>
        <w:jc w:val="center"/>
        <w:outlineLvl w:val="0"/>
        <w:rPr>
          <w:szCs w:val="24"/>
        </w:rPr>
      </w:pPr>
      <w:r w:rsidRPr="00295A35">
        <w:rPr>
          <w:b/>
          <w:szCs w:val="24"/>
        </w:rPr>
        <w:lastRenderedPageBreak/>
        <w:t xml:space="preserve">K části čtyřicáté </w:t>
      </w:r>
      <w:r w:rsidR="00850A92">
        <w:rPr>
          <w:b/>
          <w:szCs w:val="24"/>
        </w:rPr>
        <w:t>šesté</w:t>
      </w:r>
      <w:r w:rsidRPr="00295A35">
        <w:rPr>
          <w:b/>
          <w:szCs w:val="24"/>
        </w:rPr>
        <w:t xml:space="preserve"> návrhu zákona – </w:t>
      </w:r>
      <w:r w:rsidRPr="00295A35">
        <w:rPr>
          <w:szCs w:val="24"/>
        </w:rPr>
        <w:t>změna zákona</w:t>
      </w:r>
      <w:r w:rsidRPr="00295A35">
        <w:t xml:space="preserve"> </w:t>
      </w:r>
      <w:r w:rsidRPr="00295A35">
        <w:rPr>
          <w:szCs w:val="24"/>
        </w:rPr>
        <w:t>o krajích (krajské zřízení)</w:t>
      </w:r>
    </w:p>
    <w:p w14:paraId="77BD8AA4" w14:textId="153A785E" w:rsidR="00A81761" w:rsidRPr="00295A35" w:rsidRDefault="00A81761" w:rsidP="00A81761">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295A35">
        <w:rPr>
          <w:b/>
          <w:szCs w:val="24"/>
        </w:rPr>
        <w:t>Platné znění</w:t>
      </w:r>
      <w:r w:rsidRPr="00295A35">
        <w:rPr>
          <w:szCs w:val="24"/>
        </w:rPr>
        <w:t xml:space="preserve"> zákona </w:t>
      </w:r>
      <w:r w:rsidRPr="00295A35">
        <w:rPr>
          <w:color w:val="000000"/>
          <w:szCs w:val="24"/>
        </w:rPr>
        <w:t>č.129/</w:t>
      </w:r>
      <w:r w:rsidRPr="00295A35">
        <w:rPr>
          <w:szCs w:val="24"/>
        </w:rPr>
        <w:t>2000 Sb., o krajích (krajské zřízení)</w:t>
      </w:r>
    </w:p>
    <w:p w14:paraId="3D7CA5E5" w14:textId="7ADC8020" w:rsidR="00A81761" w:rsidRPr="00152046" w:rsidRDefault="00152046" w:rsidP="00152046">
      <w:pPr>
        <w:pStyle w:val="Odstavecseseznamem"/>
        <w:numPr>
          <w:ilvl w:val="0"/>
          <w:numId w:val="27"/>
        </w:numPr>
        <w:pBdr>
          <w:top w:val="single" w:sz="12" w:space="6" w:color="auto"/>
          <w:left w:val="single" w:sz="12" w:space="0" w:color="auto"/>
          <w:bottom w:val="single" w:sz="12" w:space="6" w:color="auto"/>
          <w:right w:val="single" w:sz="12" w:space="0" w:color="auto"/>
        </w:pBdr>
        <w:spacing w:after="120"/>
        <w:jc w:val="center"/>
        <w:rPr>
          <w:b/>
          <w:szCs w:val="24"/>
          <w:lang w:eastAsia="en-US"/>
        </w:rPr>
      </w:pPr>
      <w:r w:rsidRPr="00152046">
        <w:rPr>
          <w:b/>
          <w:szCs w:val="24"/>
          <w:lang w:eastAsia="en-US"/>
        </w:rPr>
        <w:t>s vyznačením navrhovaných změn a doplnění k 1. lednu 2025</w:t>
      </w:r>
    </w:p>
    <w:p w14:paraId="7A542BBC" w14:textId="77777777" w:rsidR="00295A35" w:rsidRPr="00F82BD9" w:rsidRDefault="00295A35" w:rsidP="00295A35">
      <w:pPr>
        <w:pStyle w:val="Default"/>
        <w:numPr>
          <w:ilvl w:val="0"/>
          <w:numId w:val="27"/>
        </w:numPr>
        <w:spacing w:before="240" w:after="240"/>
        <w:jc w:val="center"/>
        <w:rPr>
          <w:color w:val="auto"/>
        </w:rPr>
      </w:pPr>
      <w:r w:rsidRPr="00F82BD9">
        <w:rPr>
          <w:color w:val="auto"/>
        </w:rPr>
        <w:t xml:space="preserve">*** </w:t>
      </w:r>
    </w:p>
    <w:p w14:paraId="0A1EB46D" w14:textId="77777777" w:rsidR="00295A35" w:rsidRPr="00746B65" w:rsidRDefault="00295A35" w:rsidP="00295A35">
      <w:pPr>
        <w:pStyle w:val="Default"/>
        <w:numPr>
          <w:ilvl w:val="0"/>
          <w:numId w:val="27"/>
        </w:numPr>
        <w:spacing w:before="240" w:after="240"/>
        <w:jc w:val="center"/>
        <w:rPr>
          <w:b/>
          <w:color w:val="auto"/>
        </w:rPr>
      </w:pPr>
      <w:r w:rsidRPr="00746B65">
        <w:rPr>
          <w:b/>
          <w:color w:val="auto"/>
        </w:rPr>
        <w:t xml:space="preserve">Hospodaření kraje </w:t>
      </w:r>
    </w:p>
    <w:p w14:paraId="56FC6714" w14:textId="77777777" w:rsidR="00295A35" w:rsidRPr="00F82BD9" w:rsidRDefault="00295A35" w:rsidP="00295A35">
      <w:pPr>
        <w:pStyle w:val="Default"/>
        <w:numPr>
          <w:ilvl w:val="0"/>
          <w:numId w:val="27"/>
        </w:numPr>
        <w:spacing w:before="240" w:after="240"/>
        <w:jc w:val="center"/>
        <w:rPr>
          <w:color w:val="auto"/>
        </w:rPr>
      </w:pPr>
      <w:r w:rsidRPr="00F82BD9">
        <w:rPr>
          <w:color w:val="auto"/>
        </w:rPr>
        <w:t xml:space="preserve">§ 17 </w:t>
      </w:r>
    </w:p>
    <w:p w14:paraId="2C0B4DEC" w14:textId="77777777" w:rsidR="00295A35" w:rsidRPr="0078244F" w:rsidRDefault="00295A35" w:rsidP="00152046">
      <w:pPr>
        <w:pStyle w:val="PZTextodstavce"/>
        <w:numPr>
          <w:ilvl w:val="0"/>
          <w:numId w:val="27"/>
        </w:numPr>
        <w:ind w:firstLine="425"/>
        <w:rPr>
          <w:strike/>
        </w:rPr>
      </w:pPr>
      <w:r w:rsidRPr="00F82BD9">
        <w:t xml:space="preserve">(1) Majetek kraje musí být využíván účelně a hospodárně v souladu s jeho zájmy a úkoly vyplývajícími ze zákonem vymezené působnosti. Kraj je povinen pečovat o zachování a rozvoj svého majetku. Porušením povinností stanovených ve větě první a druhé není takové nakládání s majetkem kraje, které sleduje jiný důležitý zájem kraje, který je řádně odůvodněn. </w:t>
      </w:r>
      <w:r w:rsidRPr="0078244F">
        <w:rPr>
          <w:strike/>
        </w:rPr>
        <w:t xml:space="preserve">Kraj vede účetnictví podle zákona o účetnictví. </w:t>
      </w:r>
    </w:p>
    <w:p w14:paraId="48B9208A" w14:textId="77777777" w:rsidR="00295A35" w:rsidRPr="00F82BD9" w:rsidRDefault="00295A35" w:rsidP="00152046">
      <w:pPr>
        <w:pStyle w:val="PZTextodstavce"/>
        <w:numPr>
          <w:ilvl w:val="0"/>
          <w:numId w:val="27"/>
        </w:numPr>
        <w:ind w:firstLine="425"/>
      </w:pPr>
      <w:r w:rsidRPr="00F82BD9">
        <w:t>(2) Majetek musí být chráněn před zničením, poškozením, odcizením nebo zneužitím. S nepotřebným majetkem kraj naloží způsoby a za podmínek stanovených zvláštními předpisy,</w:t>
      </w:r>
      <w:r>
        <w:rPr>
          <w:rStyle w:val="Znakapoznpodarou"/>
        </w:rPr>
        <w:footnoteReference w:customMarkFollows="1" w:id="315"/>
        <w:t>9)</w:t>
      </w:r>
      <w:r>
        <w:t xml:space="preserve"> </w:t>
      </w:r>
      <w:r w:rsidRPr="00F82BD9">
        <w:t xml:space="preserve">pokud tento zákon nestanoví jinak. </w:t>
      </w:r>
    </w:p>
    <w:p w14:paraId="012224C1" w14:textId="77777777" w:rsidR="00295A35" w:rsidRPr="00F82BD9" w:rsidRDefault="00295A35" w:rsidP="00152046">
      <w:pPr>
        <w:pStyle w:val="PZTextodstavce"/>
        <w:numPr>
          <w:ilvl w:val="0"/>
          <w:numId w:val="27"/>
        </w:numPr>
        <w:ind w:firstLine="425"/>
      </w:pPr>
      <w:r w:rsidRPr="00F82BD9">
        <w:t xml:space="preserve">(3) Kraj nesmí ručit za závazky fyzických a právnických osob vyjma </w:t>
      </w:r>
    </w:p>
    <w:p w14:paraId="15E8B2B1" w14:textId="1332193C" w:rsidR="00295A35" w:rsidRPr="00F82BD9" w:rsidRDefault="00295A35" w:rsidP="00850A92">
      <w:pPr>
        <w:pStyle w:val="PZTextpsmene"/>
        <w:numPr>
          <w:ilvl w:val="0"/>
          <w:numId w:val="27"/>
        </w:numPr>
        <w:tabs>
          <w:tab w:val="left" w:pos="434"/>
        </w:tabs>
        <w:spacing w:before="0"/>
        <w:ind w:left="426" w:hanging="426"/>
      </w:pPr>
      <w:r>
        <w:t>a)</w:t>
      </w:r>
      <w:r>
        <w:tab/>
      </w:r>
      <w:r w:rsidRPr="00F82BD9">
        <w:t xml:space="preserve">závazků vyplývajících ze smlouvy o úvěru, jsou-li peněžní prostředky určeny pro investici uskutečňovanou s finanční podporou ze státního rozpočtu, státních fondů, nebo národního fondu, </w:t>
      </w:r>
    </w:p>
    <w:p w14:paraId="1B1BFB15" w14:textId="63D1F184" w:rsidR="00295A35" w:rsidRPr="00F82BD9" w:rsidRDefault="00295A35" w:rsidP="00850A92">
      <w:pPr>
        <w:pStyle w:val="PZTextpsmene"/>
        <w:numPr>
          <w:ilvl w:val="0"/>
          <w:numId w:val="27"/>
        </w:numPr>
        <w:tabs>
          <w:tab w:val="left" w:pos="434"/>
        </w:tabs>
        <w:spacing w:before="0"/>
        <w:ind w:left="426" w:hanging="426"/>
      </w:pPr>
      <w:r>
        <w:t>b)</w:t>
      </w:r>
      <w:r>
        <w:tab/>
      </w:r>
      <w:r w:rsidRPr="00F82BD9">
        <w:t xml:space="preserve">závazků vyplývajících ze smlouvy o úvěru, jsou-li peněžní prostředky určeny pro investici do krajem nebo obcí vlastněné nemovitosti, </w:t>
      </w:r>
    </w:p>
    <w:p w14:paraId="1B7C1E40" w14:textId="00355F4E" w:rsidR="00295A35" w:rsidRPr="00F82BD9" w:rsidRDefault="00295A35" w:rsidP="00850A92">
      <w:pPr>
        <w:pStyle w:val="PZTextpsmene"/>
        <w:numPr>
          <w:ilvl w:val="0"/>
          <w:numId w:val="27"/>
        </w:numPr>
        <w:tabs>
          <w:tab w:val="left" w:pos="434"/>
        </w:tabs>
        <w:spacing w:before="0"/>
        <w:ind w:left="426" w:hanging="426"/>
      </w:pPr>
      <w:r>
        <w:t>c)</w:t>
      </w:r>
      <w:r>
        <w:tab/>
      </w:r>
      <w:r w:rsidRPr="00F82BD9">
        <w:t xml:space="preserve">těch, jejichž zřizovatelem je kraj, stát nebo obec, </w:t>
      </w:r>
    </w:p>
    <w:p w14:paraId="03A12F45" w14:textId="0206FF49" w:rsidR="00295A35" w:rsidRPr="00F82BD9" w:rsidRDefault="00295A35" w:rsidP="00850A92">
      <w:pPr>
        <w:pStyle w:val="PZTextpsmene"/>
        <w:numPr>
          <w:ilvl w:val="0"/>
          <w:numId w:val="27"/>
        </w:numPr>
        <w:tabs>
          <w:tab w:val="left" w:pos="434"/>
        </w:tabs>
        <w:spacing w:before="0"/>
        <w:ind w:left="426" w:hanging="426"/>
      </w:pPr>
      <w:r>
        <w:t>d)</w:t>
      </w:r>
      <w:r>
        <w:tab/>
      </w:r>
      <w:r w:rsidRPr="00F82BD9">
        <w:t xml:space="preserve">těch, v nichž míra účasti kraje nebo spolu s jiným krajem (kraji), obcí (obcemi) nebo státem přesahuje 50 %. </w:t>
      </w:r>
    </w:p>
    <w:p w14:paraId="599F13C3" w14:textId="77777777" w:rsidR="00295A35" w:rsidRPr="00F82BD9" w:rsidRDefault="00295A35" w:rsidP="00152046">
      <w:pPr>
        <w:pStyle w:val="PZTextodstavce"/>
        <w:numPr>
          <w:ilvl w:val="0"/>
          <w:numId w:val="27"/>
        </w:numPr>
        <w:ind w:firstLine="425"/>
      </w:pPr>
      <w:r w:rsidRPr="00F82BD9">
        <w:t xml:space="preserve">(4) Právní jednání učiněná v rozporu s ustanovením odstavce 3 jsou neplatná. </w:t>
      </w:r>
    </w:p>
    <w:p w14:paraId="46C6100B" w14:textId="77777777" w:rsidR="00295A35" w:rsidRPr="00F82BD9" w:rsidRDefault="00295A35" w:rsidP="00152046">
      <w:pPr>
        <w:pStyle w:val="PZTextodstavce"/>
        <w:numPr>
          <w:ilvl w:val="0"/>
          <w:numId w:val="27"/>
        </w:numPr>
        <w:ind w:firstLine="425"/>
      </w:pPr>
      <w:r w:rsidRPr="00F82BD9">
        <w:t xml:space="preserve">(5) Stát neručí za hospodaření a závazky kraje, pokud tento závazek nepřevezme stát smluvně. </w:t>
      </w:r>
    </w:p>
    <w:p w14:paraId="3762633E" w14:textId="77777777" w:rsidR="00295A35" w:rsidRPr="00F82BD9" w:rsidRDefault="00295A35" w:rsidP="00152046">
      <w:pPr>
        <w:pStyle w:val="PZTextodstavce"/>
        <w:numPr>
          <w:ilvl w:val="0"/>
          <w:numId w:val="27"/>
        </w:numPr>
        <w:ind w:firstLine="425"/>
      </w:pPr>
      <w:r w:rsidRPr="00F82BD9">
        <w:t xml:space="preserve">(6) Kraj je povinen chránit svůj majetek před neoprávněnými zásahy a včas uplatňovat právo na náhradu škody a právo na vydání bezdůvodného obohacení. </w:t>
      </w:r>
    </w:p>
    <w:p w14:paraId="548614EB" w14:textId="669BFB2C" w:rsidR="00295A35" w:rsidRDefault="00295A35" w:rsidP="00152046">
      <w:pPr>
        <w:pStyle w:val="PZTextodstavce"/>
        <w:numPr>
          <w:ilvl w:val="0"/>
          <w:numId w:val="27"/>
        </w:numPr>
        <w:ind w:firstLine="425"/>
      </w:pPr>
      <w:r w:rsidRPr="00F82BD9">
        <w:t xml:space="preserve">(7) Kraj je povinen trvale sledovat, zda dlužníci včas a řádně plní své závazky a zabezpečit, aby nedošlo k promlčení nebo zániku práv z těchto závazků vyplývajících. </w:t>
      </w:r>
    </w:p>
    <w:p w14:paraId="5BFAA650" w14:textId="77777777" w:rsidR="00152046" w:rsidRDefault="00152046" w:rsidP="00152046">
      <w:pPr>
        <w:pStyle w:val="Paragraf"/>
        <w:numPr>
          <w:ilvl w:val="0"/>
          <w:numId w:val="27"/>
        </w:numPr>
      </w:pPr>
      <w:r>
        <w:t>§ 18</w:t>
      </w:r>
    </w:p>
    <w:p w14:paraId="39CB2042" w14:textId="77777777" w:rsidR="00152046" w:rsidRDefault="00152046" w:rsidP="00152046">
      <w:pPr>
        <w:pStyle w:val="Odstavec"/>
      </w:pPr>
      <w:r>
        <w:t xml:space="preserve">(1) </w:t>
      </w:r>
      <w:r w:rsidRPr="001D567F">
        <w:t>Záměr kraje prodat, směnit, darovat, pronajmout, propachtovat nebo vypůjčit hmotnou nemovitou věc nebo právo stavby anebo je přenechat jako výprosu a záměr kraje smluvně zřídit právo stavby k pozemku ve vlastnictví kraje kraj zveřejní po dobu nejméně 30 dnů před rozhodnutím v příslušném orgánu kraje vyvěšením na úřední desce</w:t>
      </w:r>
      <w:r w:rsidRPr="000B4E23">
        <w:rPr>
          <w:vertAlign w:val="superscript"/>
        </w:rPr>
        <w:t>2)</w:t>
      </w:r>
      <w:r w:rsidRPr="001D567F">
        <w:t xml:space="preserve"> krajského úřadu (dále jen "úřední deska"), aby se k němu mohli zájemci vyjádřit a předložit své nabídky. Nemovitá věc </w:t>
      </w:r>
      <w:r w:rsidRPr="001D567F">
        <w:lastRenderedPageBreak/>
        <w:t>se v záměru označí údaji podle zvláštního zákona</w:t>
      </w:r>
      <w:r>
        <w:rPr>
          <w:rStyle w:val="Znakapoznpodarou"/>
          <w:rFonts w:eastAsiaTheme="majorEastAsia"/>
        </w:rPr>
        <w:footnoteReference w:customMarkFollows="1" w:id="316"/>
        <w:t>9a)</w:t>
      </w:r>
      <w:r>
        <w:t xml:space="preserve"> </w:t>
      </w:r>
      <w:r w:rsidRPr="001D567F">
        <w:t>platnými ke dni zveřejnění záměru. Pokud kraj záměr po uvedenou dobu nezveřejní, je právní jednání neplatné.</w:t>
      </w:r>
    </w:p>
    <w:p w14:paraId="40A14B9C" w14:textId="77777777" w:rsidR="00152046" w:rsidRPr="00152046" w:rsidRDefault="00152046" w:rsidP="00152046">
      <w:pPr>
        <w:pStyle w:val="Odstavec"/>
        <w:rPr>
          <w:strike/>
        </w:rPr>
      </w:pPr>
      <w:r w:rsidRPr="00152046">
        <w:rPr>
          <w:strike/>
        </w:rPr>
        <w:t>(2) Při úplatném převodu majetku se cena sjednává zpravidla ve výši, která je v daném místě a čase obvyklá, nejde-li o cenu regulovanou státem. Odchylka od ceny obvyklé musí být zdůvodněna, jde-li o cenu nižší než obvyklou. Není-li odchylka od ceny obvyklé zdůvodněna, je právní jednání neplatné.</w:t>
      </w:r>
    </w:p>
    <w:p w14:paraId="06DE6C07" w14:textId="77777777" w:rsidR="00152046" w:rsidRPr="00152046" w:rsidRDefault="00152046" w:rsidP="00152046">
      <w:pPr>
        <w:pStyle w:val="Textodstavce"/>
        <w:ind w:firstLine="425"/>
        <w:rPr>
          <w:b/>
        </w:rPr>
      </w:pPr>
      <w:r w:rsidRPr="00152046">
        <w:rPr>
          <w:b/>
        </w:rPr>
        <w:t>(2) Při úplatném převodu majetku se sjednává cena zpravidla ve výši hodnoty obvyklé. Odchylka od obvyklé hodnoty musí být zdůvodněna, jde-li o cenu nižší než obvyklou hodnotu. Není-li odchylka ceny od obvyklé hodnoty zdůvodněna, je právní jednání neplatné.</w:t>
      </w:r>
    </w:p>
    <w:p w14:paraId="1DE2FF8B" w14:textId="77777777" w:rsidR="00152046" w:rsidRDefault="00152046" w:rsidP="00152046">
      <w:pPr>
        <w:pStyle w:val="Odstavec"/>
      </w:pPr>
      <w:r>
        <w:t xml:space="preserve">(3) </w:t>
      </w:r>
      <w:r w:rsidRPr="001D567F">
        <w:t>Ustanovení odstavce 1 se nepoužije, jde-li o pronájem bytů, dále jde-li o pronájem, pacht anebo výpůjčku majetku kraje na dobu kratší než 90 dnů nebo jde-li o pronájem, pacht, výprosu nebo výpůjčku právnické osobě, jejímž zřizovatelem nebo zakladatelem je kraj anebo kterou kraj ovládá</w:t>
      </w:r>
      <w:r>
        <w:rPr>
          <w:rStyle w:val="Znakapoznpodarou"/>
          <w:rFonts w:eastAsiaTheme="majorEastAsia"/>
        </w:rPr>
        <w:footnoteReference w:customMarkFollows="1" w:id="317"/>
        <w:t>30)</w:t>
      </w:r>
      <w:r w:rsidRPr="001D567F">
        <w:t>, nebo jde-li o pronájem silničního nebo silničního pomocného pozemku v souvislosti se zvláštním užíváním silnic podle zvláštního zákona</w:t>
      </w:r>
      <w:r>
        <w:rPr>
          <w:rStyle w:val="Znakapoznpodarou"/>
          <w:rFonts w:eastAsiaTheme="majorEastAsia"/>
        </w:rPr>
        <w:footnoteReference w:customMarkFollows="1" w:id="318"/>
        <w:t>9b)</w:t>
      </w:r>
      <w:r w:rsidRPr="001D567F">
        <w:t>.</w:t>
      </w:r>
    </w:p>
    <w:p w14:paraId="08FFA9E5" w14:textId="28723769" w:rsidR="00152046" w:rsidRPr="00F82BD9" w:rsidRDefault="00152046" w:rsidP="00152046">
      <w:pPr>
        <w:pStyle w:val="PZTextodstavce"/>
        <w:numPr>
          <w:ilvl w:val="0"/>
          <w:numId w:val="27"/>
        </w:numPr>
      </w:pPr>
      <w:r>
        <w:t xml:space="preserve">(4) </w:t>
      </w:r>
      <w:r w:rsidRPr="001D567F">
        <w:t>Ustanovení odstavců 1 a 2 se nevztahují na výpůjčku, výprosu, pacht nebo pronájem majetku svěřeného příspěvkovým organizacím zřízeným krajem, nestanoví-li zvláštní předpis nebo zastupitelstvo ve zřizovací listině jinak.</w:t>
      </w:r>
    </w:p>
    <w:p w14:paraId="36DD5B94" w14:textId="77777777" w:rsidR="00295A35" w:rsidRPr="00F82BD9" w:rsidRDefault="00295A35" w:rsidP="00152046">
      <w:pPr>
        <w:pStyle w:val="Default"/>
        <w:keepNext/>
        <w:keepLines/>
        <w:numPr>
          <w:ilvl w:val="0"/>
          <w:numId w:val="27"/>
        </w:numPr>
        <w:spacing w:before="240" w:after="240"/>
        <w:jc w:val="center"/>
        <w:rPr>
          <w:color w:val="auto"/>
        </w:rPr>
      </w:pPr>
      <w:r w:rsidRPr="00F82BD9">
        <w:rPr>
          <w:color w:val="auto"/>
        </w:rPr>
        <w:t xml:space="preserve">*** </w:t>
      </w:r>
    </w:p>
    <w:p w14:paraId="650F1F4B" w14:textId="77777777" w:rsidR="00295A35" w:rsidRPr="0078244F" w:rsidRDefault="00295A35" w:rsidP="00152046">
      <w:pPr>
        <w:pStyle w:val="Default"/>
        <w:keepNext/>
        <w:keepLines/>
        <w:numPr>
          <w:ilvl w:val="0"/>
          <w:numId w:val="27"/>
        </w:numPr>
        <w:spacing w:before="240" w:after="240"/>
        <w:jc w:val="center"/>
        <w:rPr>
          <w:b/>
          <w:color w:val="auto"/>
        </w:rPr>
      </w:pPr>
      <w:r w:rsidRPr="0078244F">
        <w:rPr>
          <w:b/>
          <w:color w:val="auto"/>
        </w:rPr>
        <w:t xml:space="preserve">Pravomoc zastupitelstva </w:t>
      </w:r>
    </w:p>
    <w:p w14:paraId="10307AFB" w14:textId="77777777" w:rsidR="00295A35" w:rsidRPr="00F82BD9" w:rsidRDefault="00295A35" w:rsidP="00152046">
      <w:pPr>
        <w:pStyle w:val="Default"/>
        <w:keepNext/>
        <w:keepLines/>
        <w:numPr>
          <w:ilvl w:val="0"/>
          <w:numId w:val="27"/>
        </w:numPr>
        <w:spacing w:before="240" w:after="240"/>
        <w:jc w:val="center"/>
        <w:rPr>
          <w:color w:val="auto"/>
        </w:rPr>
      </w:pPr>
      <w:r w:rsidRPr="00F82BD9">
        <w:rPr>
          <w:color w:val="auto"/>
        </w:rPr>
        <w:t xml:space="preserve">§ 35 </w:t>
      </w:r>
    </w:p>
    <w:p w14:paraId="2EEAB6E4" w14:textId="77777777" w:rsidR="00295A35" w:rsidRPr="00F82BD9" w:rsidRDefault="00295A35" w:rsidP="00152046">
      <w:pPr>
        <w:pStyle w:val="PZTextodstavce"/>
        <w:keepNext/>
        <w:keepLines/>
        <w:numPr>
          <w:ilvl w:val="0"/>
          <w:numId w:val="27"/>
        </w:numPr>
        <w:ind w:firstLine="425"/>
      </w:pPr>
      <w:r w:rsidRPr="00F82BD9">
        <w:t xml:space="preserve">(1) Zastupitelstvo rozhoduje ve věcech patřících do samostatné působnosti. Ve věcech přenesené působnosti zastupitelstvo rozhoduje, jen stanoví-li tak zákon. </w:t>
      </w:r>
    </w:p>
    <w:p w14:paraId="7D771C25" w14:textId="77777777" w:rsidR="00295A35" w:rsidRPr="00F82BD9" w:rsidRDefault="00295A35" w:rsidP="00152046">
      <w:pPr>
        <w:pStyle w:val="PZTextodstavce"/>
        <w:numPr>
          <w:ilvl w:val="0"/>
          <w:numId w:val="27"/>
        </w:numPr>
        <w:ind w:firstLine="425"/>
      </w:pPr>
      <w:r w:rsidRPr="00F82BD9">
        <w:t xml:space="preserve">(2) Zastupitelstvu je vyhrazeno </w:t>
      </w:r>
    </w:p>
    <w:p w14:paraId="5D7FB70B" w14:textId="6A9DD8BE" w:rsidR="00295A35" w:rsidRPr="00F82BD9" w:rsidRDefault="003205F8" w:rsidP="00850A92">
      <w:pPr>
        <w:pStyle w:val="PZTextpsmene"/>
        <w:numPr>
          <w:ilvl w:val="0"/>
          <w:numId w:val="27"/>
        </w:numPr>
        <w:tabs>
          <w:tab w:val="left" w:pos="406"/>
        </w:tabs>
        <w:spacing w:before="0"/>
        <w:ind w:left="426" w:hanging="426"/>
      </w:pPr>
      <w:r>
        <w:t>a)</w:t>
      </w:r>
      <w:r w:rsidR="00295A35">
        <w:tab/>
      </w:r>
      <w:r w:rsidR="00295A35" w:rsidRPr="00F82BD9">
        <w:t xml:space="preserve">předkládat návrhy zákonů Poslanecké sněmovně, </w:t>
      </w:r>
    </w:p>
    <w:p w14:paraId="079E07BA" w14:textId="0604C0F2" w:rsidR="00295A35" w:rsidRPr="00F82BD9" w:rsidRDefault="003205F8" w:rsidP="00850A92">
      <w:pPr>
        <w:pStyle w:val="PZTextpsmene"/>
        <w:numPr>
          <w:ilvl w:val="0"/>
          <w:numId w:val="27"/>
        </w:numPr>
        <w:tabs>
          <w:tab w:val="left" w:pos="406"/>
        </w:tabs>
        <w:spacing w:before="0"/>
        <w:ind w:left="426" w:hanging="426"/>
      </w:pPr>
      <w:r>
        <w:t>b)</w:t>
      </w:r>
      <w:r w:rsidR="00295A35">
        <w:tab/>
      </w:r>
      <w:r w:rsidR="00295A35" w:rsidRPr="00F82BD9">
        <w:t>předkládat návrhy Ústavnímu soudu na zrušení právních předpisů,</w:t>
      </w:r>
      <w:r w:rsidR="00295A35">
        <w:rPr>
          <w:rStyle w:val="Znakapoznpodarou"/>
        </w:rPr>
        <w:footnoteReference w:customMarkFollows="1" w:id="319"/>
        <w:t>15)</w:t>
      </w:r>
      <w:r w:rsidR="00295A35" w:rsidRPr="00F82BD9">
        <w:t xml:space="preserve"> má-li za to, že jsou v rozporu se zákonem, </w:t>
      </w:r>
    </w:p>
    <w:p w14:paraId="549B1F2B" w14:textId="3D9F96C4" w:rsidR="00295A35" w:rsidRPr="00F82BD9" w:rsidRDefault="003205F8" w:rsidP="00850A92">
      <w:pPr>
        <w:pStyle w:val="PZTextpsmene"/>
        <w:numPr>
          <w:ilvl w:val="0"/>
          <w:numId w:val="27"/>
        </w:numPr>
        <w:tabs>
          <w:tab w:val="left" w:pos="406"/>
        </w:tabs>
        <w:spacing w:before="0"/>
        <w:ind w:left="426" w:hanging="426"/>
      </w:pPr>
      <w:r>
        <w:t>c)</w:t>
      </w:r>
      <w:r w:rsidR="00295A35">
        <w:tab/>
      </w:r>
      <w:r w:rsidR="00295A35" w:rsidRPr="00F82BD9">
        <w:t>vydávat ob</w:t>
      </w:r>
      <w:r w:rsidR="00295A35">
        <w:t xml:space="preserve">ecně závazné vyhlášky kraje, </w:t>
      </w:r>
    </w:p>
    <w:p w14:paraId="5E07A217" w14:textId="5AFFFD03" w:rsidR="00295A35" w:rsidRPr="00F82BD9" w:rsidRDefault="003205F8" w:rsidP="00850A92">
      <w:pPr>
        <w:pStyle w:val="PZTextpsmene"/>
        <w:numPr>
          <w:ilvl w:val="0"/>
          <w:numId w:val="27"/>
        </w:numPr>
        <w:tabs>
          <w:tab w:val="left" w:pos="406"/>
        </w:tabs>
        <w:spacing w:before="0"/>
        <w:ind w:left="426" w:hanging="426"/>
      </w:pPr>
      <w:r>
        <w:t>d)</w:t>
      </w:r>
      <w:r w:rsidR="00295A35">
        <w:tab/>
      </w:r>
      <w:r w:rsidR="00295A35" w:rsidRPr="00F82BD9">
        <w:t xml:space="preserve">koordinovat rozvoj územního obvodu, schvalovat strategie rozvoje územního obvodu kraje podle zvláštních zákonů, zajišťovat jejich realizaci a kontrolovat jejich plnění, </w:t>
      </w:r>
    </w:p>
    <w:p w14:paraId="65E234A7" w14:textId="125195AD" w:rsidR="00295A35" w:rsidRPr="00F82BD9" w:rsidRDefault="003205F8" w:rsidP="00850A92">
      <w:pPr>
        <w:pStyle w:val="PZTextpsmene"/>
        <w:numPr>
          <w:ilvl w:val="0"/>
          <w:numId w:val="27"/>
        </w:numPr>
        <w:tabs>
          <w:tab w:val="left" w:pos="406"/>
        </w:tabs>
        <w:spacing w:before="0"/>
        <w:ind w:left="426" w:hanging="426"/>
      </w:pPr>
      <w:r>
        <w:t>e)</w:t>
      </w:r>
      <w:r w:rsidR="00295A35">
        <w:tab/>
      </w:r>
      <w:r w:rsidR="00295A35" w:rsidRPr="00F82BD9">
        <w:t xml:space="preserve">schvalovat koncepce rozvoje cestovního ruchu na území kraje, zajišťovat jejich realizaci a kontrolovat jejich plnění, </w:t>
      </w:r>
    </w:p>
    <w:p w14:paraId="320AE4E1" w14:textId="1F6C5699" w:rsidR="00295A35" w:rsidRPr="00F82BD9" w:rsidRDefault="003205F8" w:rsidP="00850A92">
      <w:pPr>
        <w:pStyle w:val="PZTextpsmene"/>
        <w:numPr>
          <w:ilvl w:val="0"/>
          <w:numId w:val="27"/>
        </w:numPr>
        <w:tabs>
          <w:tab w:val="left" w:pos="406"/>
        </w:tabs>
        <w:spacing w:before="0"/>
        <w:ind w:left="426" w:hanging="426"/>
      </w:pPr>
      <w:r>
        <w:t>f)</w:t>
      </w:r>
      <w:r w:rsidR="00295A35">
        <w:tab/>
      </w:r>
      <w:r w:rsidR="00295A35" w:rsidRPr="00F82BD9">
        <w:t xml:space="preserve">stanovit rozsah základní dopravní obslužnosti pro území kraje, </w:t>
      </w:r>
    </w:p>
    <w:p w14:paraId="66FB4907" w14:textId="7D888C75" w:rsidR="00295A35" w:rsidRPr="00F82BD9" w:rsidRDefault="003205F8" w:rsidP="00850A92">
      <w:pPr>
        <w:pStyle w:val="PZTextpsmene"/>
        <w:numPr>
          <w:ilvl w:val="0"/>
          <w:numId w:val="27"/>
        </w:numPr>
        <w:tabs>
          <w:tab w:val="left" w:pos="406"/>
        </w:tabs>
        <w:spacing w:before="0"/>
        <w:ind w:left="426" w:hanging="426"/>
      </w:pPr>
      <w:r>
        <w:t>g)</w:t>
      </w:r>
      <w:r w:rsidR="00295A35">
        <w:tab/>
      </w:r>
      <w:r w:rsidR="00295A35" w:rsidRPr="00F82BD9">
        <w:t xml:space="preserve">rozhodovat o spolupráci kraje s jinými kraji a o mezinárodní spolupráci, </w:t>
      </w:r>
    </w:p>
    <w:p w14:paraId="512D81B6" w14:textId="4F7A5717" w:rsidR="00295A35" w:rsidRPr="00F82BD9" w:rsidRDefault="003205F8" w:rsidP="00850A92">
      <w:pPr>
        <w:pStyle w:val="PZTextpsmene"/>
        <w:numPr>
          <w:ilvl w:val="0"/>
          <w:numId w:val="27"/>
        </w:numPr>
        <w:tabs>
          <w:tab w:val="left" w:pos="406"/>
        </w:tabs>
        <w:spacing w:before="0"/>
        <w:ind w:left="426" w:hanging="426"/>
      </w:pPr>
      <w:r>
        <w:t>h)</w:t>
      </w:r>
      <w:r w:rsidR="00295A35">
        <w:tab/>
      </w:r>
      <w:r w:rsidR="00295A35" w:rsidRPr="00F82BD9">
        <w:t xml:space="preserve">schvalovat střednědobý výhled rozpočtu kraje, rozpočet kraje, schvalovat závěrečný účet kraje a schvalovat </w:t>
      </w:r>
      <w:r w:rsidR="00295A35" w:rsidRPr="00F82BD9">
        <w:rPr>
          <w:b/>
          <w:bCs/>
        </w:rPr>
        <w:t xml:space="preserve">řádnou individuální </w:t>
      </w:r>
      <w:r w:rsidR="00295A35" w:rsidRPr="00F82BD9">
        <w:t xml:space="preserve">účetní závěrku kraje </w:t>
      </w:r>
      <w:r w:rsidR="00295A35" w:rsidRPr="0078244F">
        <w:rPr>
          <w:strike/>
        </w:rPr>
        <w:t>sestavenou k rozvahovému dni</w:t>
      </w:r>
      <w:r w:rsidR="00295A35" w:rsidRPr="00F82BD9">
        <w:t xml:space="preserve">, </w:t>
      </w:r>
    </w:p>
    <w:p w14:paraId="59D5F9BC" w14:textId="7C4F4951" w:rsidR="00295A35" w:rsidRPr="00F82BD9" w:rsidRDefault="003205F8" w:rsidP="00850A92">
      <w:pPr>
        <w:pStyle w:val="PZTextpsmene"/>
        <w:numPr>
          <w:ilvl w:val="0"/>
          <w:numId w:val="27"/>
        </w:numPr>
        <w:tabs>
          <w:tab w:val="left" w:pos="406"/>
        </w:tabs>
        <w:spacing w:before="0"/>
        <w:ind w:left="426" w:hanging="426"/>
      </w:pPr>
      <w:r>
        <w:lastRenderedPageBreak/>
        <w:t>i)</w:t>
      </w:r>
      <w:r w:rsidR="00295A35">
        <w:tab/>
      </w:r>
      <w:r w:rsidR="00295A35" w:rsidRPr="00F82BD9">
        <w:t xml:space="preserve">zřizovat a rušit příspěvkové organizace a organizační složky kraje; k tomu schvalovat jejich zřizovací listiny, </w:t>
      </w:r>
    </w:p>
    <w:p w14:paraId="00DA7A3E" w14:textId="48BAB8F1" w:rsidR="00295A35" w:rsidRPr="00F82BD9" w:rsidRDefault="003205F8" w:rsidP="00850A92">
      <w:pPr>
        <w:pStyle w:val="PZTextpsmene"/>
        <w:numPr>
          <w:ilvl w:val="0"/>
          <w:numId w:val="27"/>
        </w:numPr>
        <w:tabs>
          <w:tab w:val="left" w:pos="406"/>
        </w:tabs>
        <w:spacing w:before="0"/>
        <w:ind w:left="426" w:hanging="426"/>
      </w:pPr>
      <w:r>
        <w:t>j)</w:t>
      </w:r>
      <w:r w:rsidR="00295A35">
        <w:tab/>
      </w:r>
      <w:r w:rsidR="00295A35" w:rsidRPr="00F82BD9">
        <w:t xml:space="preserve">rozhodovat o založení a rušení právnických osob, schvalovat jejich zakladatelské listiny, společenské smlouvy, zakládací smlouvy a stanovy, včetně jejich změn, a rozhodovat o účasti v již založených právnických osobách, </w:t>
      </w:r>
    </w:p>
    <w:p w14:paraId="589040F0" w14:textId="7D8EDAA9" w:rsidR="00295A35" w:rsidRPr="00F82BD9" w:rsidRDefault="003205F8" w:rsidP="00850A92">
      <w:pPr>
        <w:pStyle w:val="PZTextpsmene"/>
        <w:numPr>
          <w:ilvl w:val="0"/>
          <w:numId w:val="27"/>
        </w:numPr>
        <w:tabs>
          <w:tab w:val="left" w:pos="406"/>
        </w:tabs>
        <w:spacing w:before="0"/>
        <w:ind w:left="426" w:hanging="426"/>
      </w:pPr>
      <w:r>
        <w:t>k)</w:t>
      </w:r>
      <w:r w:rsidR="00295A35">
        <w:tab/>
      </w:r>
      <w:r w:rsidR="00295A35" w:rsidRPr="00F82BD9">
        <w:t xml:space="preserve">delegovat zástupce kraje, s výjimkou § 59 odst. 1 písm. j), na valnou hromadu obchodních společností, v nichž má kraj majetkovou účast, </w:t>
      </w:r>
    </w:p>
    <w:p w14:paraId="31181BAB" w14:textId="58E7C2A3" w:rsidR="00295A35" w:rsidRPr="00F82BD9" w:rsidRDefault="003205F8" w:rsidP="00850A92">
      <w:pPr>
        <w:pStyle w:val="PZTextpsmene"/>
        <w:numPr>
          <w:ilvl w:val="0"/>
          <w:numId w:val="27"/>
        </w:numPr>
        <w:tabs>
          <w:tab w:val="left" w:pos="406"/>
        </w:tabs>
        <w:spacing w:before="0"/>
        <w:ind w:left="426" w:hanging="426"/>
      </w:pPr>
      <w:r>
        <w:t>l)</w:t>
      </w:r>
      <w:r w:rsidR="00295A35">
        <w:tab/>
      </w:r>
      <w:r w:rsidR="00295A35" w:rsidRPr="00F82BD9">
        <w:t xml:space="preserve">navrhovat zástupce kraje do ostatních orgánů obchodních společností, v nichž má kraj majetkovou účast, a navrhovat jejich odvolání; to neplatí, rozhoduje-li rada ve věcech jediného společníka obchodní společnosti podle § 59 odst. 1 písm. j), </w:t>
      </w:r>
    </w:p>
    <w:p w14:paraId="04EA4452" w14:textId="2934E6A7" w:rsidR="00295A35" w:rsidRPr="00F82BD9" w:rsidRDefault="003205F8" w:rsidP="00850A92">
      <w:pPr>
        <w:pStyle w:val="PZTextpsmene"/>
        <w:numPr>
          <w:ilvl w:val="0"/>
          <w:numId w:val="27"/>
        </w:numPr>
        <w:tabs>
          <w:tab w:val="left" w:pos="406"/>
        </w:tabs>
        <w:spacing w:before="0"/>
        <w:ind w:left="426" w:hanging="426"/>
      </w:pPr>
      <w:r>
        <w:t>m)</w:t>
      </w:r>
      <w:r w:rsidR="00295A35">
        <w:tab/>
      </w:r>
      <w:r w:rsidR="00295A35" w:rsidRPr="00F82BD9">
        <w:t xml:space="preserve">volit a odvolávat hejtmana, náměstka (náměstky) hejtmana a další členy rady z řad svých členů a odvolávat je z funkce, </w:t>
      </w:r>
    </w:p>
    <w:p w14:paraId="2A4B9F0F" w14:textId="168824C9" w:rsidR="00295A35" w:rsidRPr="00F82BD9" w:rsidRDefault="003205F8" w:rsidP="00850A92">
      <w:pPr>
        <w:pStyle w:val="PZTextpsmene"/>
        <w:numPr>
          <w:ilvl w:val="0"/>
          <w:numId w:val="27"/>
        </w:numPr>
        <w:tabs>
          <w:tab w:val="left" w:pos="406"/>
        </w:tabs>
        <w:spacing w:before="0"/>
        <w:ind w:left="426" w:hanging="426"/>
      </w:pPr>
      <w:r>
        <w:t>n)</w:t>
      </w:r>
      <w:r w:rsidR="00295A35">
        <w:tab/>
      </w:r>
      <w:r w:rsidR="00295A35" w:rsidRPr="00F82BD9">
        <w:t xml:space="preserve">stanovit funkce, pro které budou členové zastupitelstva uvolněni a od kterého dne, </w:t>
      </w:r>
    </w:p>
    <w:p w14:paraId="3221CECD" w14:textId="6515DF03" w:rsidR="00295A35" w:rsidRPr="00F82BD9" w:rsidRDefault="003205F8" w:rsidP="00850A92">
      <w:pPr>
        <w:pStyle w:val="PZTextpsmene"/>
        <w:numPr>
          <w:ilvl w:val="0"/>
          <w:numId w:val="27"/>
        </w:numPr>
        <w:tabs>
          <w:tab w:val="left" w:pos="406"/>
        </w:tabs>
        <w:spacing w:before="0"/>
        <w:ind w:left="426" w:hanging="426"/>
      </w:pPr>
      <w:r>
        <w:t>o)</w:t>
      </w:r>
      <w:r w:rsidR="00295A35">
        <w:tab/>
      </w:r>
      <w:r w:rsidR="00295A35" w:rsidRPr="00F82BD9">
        <w:t xml:space="preserve">zřizovat a zrušovat výbory, volit a odvolávat jejich předsedy a členy, </w:t>
      </w:r>
    </w:p>
    <w:p w14:paraId="56076BD5" w14:textId="5110019C" w:rsidR="00295A35" w:rsidRPr="00F82BD9" w:rsidRDefault="003205F8" w:rsidP="00850A92">
      <w:pPr>
        <w:pStyle w:val="PZTextpsmene"/>
        <w:numPr>
          <w:ilvl w:val="0"/>
          <w:numId w:val="27"/>
        </w:numPr>
        <w:tabs>
          <w:tab w:val="left" w:pos="406"/>
        </w:tabs>
        <w:spacing w:before="0"/>
        <w:ind w:left="426" w:hanging="426"/>
      </w:pPr>
      <w:r>
        <w:t>p)</w:t>
      </w:r>
      <w:r w:rsidR="00295A35">
        <w:tab/>
      </w:r>
      <w:r w:rsidR="00295A35" w:rsidRPr="00F82BD9">
        <w:t xml:space="preserve">stanovit výši odměn neuvolněným členům zastupitelstva za měsíc, </w:t>
      </w:r>
    </w:p>
    <w:p w14:paraId="75C0B0A7" w14:textId="0E3602A0" w:rsidR="00295A35" w:rsidRPr="00F82BD9" w:rsidRDefault="003205F8" w:rsidP="00850A92">
      <w:pPr>
        <w:pStyle w:val="PZTextpsmene"/>
        <w:numPr>
          <w:ilvl w:val="0"/>
          <w:numId w:val="27"/>
        </w:numPr>
        <w:tabs>
          <w:tab w:val="left" w:pos="406"/>
        </w:tabs>
        <w:spacing w:before="0"/>
        <w:ind w:left="426" w:hanging="426"/>
      </w:pPr>
      <w:r>
        <w:t>q)</w:t>
      </w:r>
      <w:r w:rsidR="00295A35">
        <w:tab/>
      </w:r>
      <w:r w:rsidR="00295A35" w:rsidRPr="00F82BD9">
        <w:t xml:space="preserve">stanovit paušální částku náhrady výdělku ušlého v souvislosti s výkonem funkce podle § 46 odst. 3, rozhodovat o mimořádných odměnách podle § 51 a o plněních pro členy zastupitelstva podle § 55, </w:t>
      </w:r>
    </w:p>
    <w:p w14:paraId="7C45F48B" w14:textId="70DDBB68" w:rsidR="00295A35" w:rsidRPr="00F82BD9" w:rsidRDefault="003205F8" w:rsidP="00850A92">
      <w:pPr>
        <w:pStyle w:val="PZTextpsmene"/>
        <w:numPr>
          <w:ilvl w:val="0"/>
          <w:numId w:val="27"/>
        </w:numPr>
        <w:tabs>
          <w:tab w:val="left" w:pos="406"/>
        </w:tabs>
        <w:spacing w:before="0"/>
        <w:ind w:left="426" w:hanging="426"/>
      </w:pPr>
      <w:r>
        <w:t>r)</w:t>
      </w:r>
      <w:r w:rsidR="00295A35">
        <w:tab/>
      </w:r>
      <w:r w:rsidR="00295A35" w:rsidRPr="00F82BD9">
        <w:t xml:space="preserve">vyslovovat souhlas se vznikem pracovněprávního vztahu mezi krajem a členem zastupitelstva, </w:t>
      </w:r>
    </w:p>
    <w:p w14:paraId="22C37EB2" w14:textId="053BF2F1" w:rsidR="00295A35" w:rsidRPr="00F82BD9" w:rsidRDefault="003205F8" w:rsidP="00850A92">
      <w:pPr>
        <w:pStyle w:val="PZTextpsmene"/>
        <w:numPr>
          <w:ilvl w:val="0"/>
          <w:numId w:val="27"/>
        </w:numPr>
        <w:tabs>
          <w:tab w:val="left" w:pos="406"/>
        </w:tabs>
        <w:spacing w:before="0"/>
        <w:ind w:left="426" w:hanging="426"/>
      </w:pPr>
      <w:r>
        <w:t>s)</w:t>
      </w:r>
      <w:r w:rsidR="00295A35">
        <w:tab/>
      </w:r>
      <w:r w:rsidR="00295A35" w:rsidRPr="00F82BD9">
        <w:t xml:space="preserve">stanovit pravidla pro poskytování cestovních náhrad členům zastupitelstva (§ 56), </w:t>
      </w:r>
    </w:p>
    <w:p w14:paraId="40E0326E" w14:textId="25293D20" w:rsidR="00295A35" w:rsidRPr="00F82BD9" w:rsidRDefault="003205F8" w:rsidP="00850A92">
      <w:pPr>
        <w:pStyle w:val="PZTextpsmene"/>
        <w:numPr>
          <w:ilvl w:val="0"/>
          <w:numId w:val="27"/>
        </w:numPr>
        <w:tabs>
          <w:tab w:val="left" w:pos="406"/>
        </w:tabs>
        <w:spacing w:before="0"/>
        <w:ind w:left="426" w:hanging="426"/>
      </w:pPr>
      <w:r>
        <w:t>t)</w:t>
      </w:r>
      <w:r w:rsidR="00295A35">
        <w:tab/>
      </w:r>
      <w:r w:rsidR="00295A35" w:rsidRPr="00F82BD9">
        <w:t xml:space="preserve">rozhodovat o peněžitých plněních spojených s výkonem funkce členů výborů, komisí a zvláštních orgánů fyzickým osobám, které nejsou členy zastupitelstva, </w:t>
      </w:r>
    </w:p>
    <w:p w14:paraId="73FB6F8A" w14:textId="2CD7D1CC" w:rsidR="00295A35" w:rsidRPr="00F82BD9" w:rsidRDefault="003205F8" w:rsidP="00850A92">
      <w:pPr>
        <w:pStyle w:val="PZTextpsmene"/>
        <w:numPr>
          <w:ilvl w:val="0"/>
          <w:numId w:val="27"/>
        </w:numPr>
        <w:tabs>
          <w:tab w:val="left" w:pos="406"/>
        </w:tabs>
        <w:spacing w:before="0"/>
        <w:ind w:left="426" w:hanging="426"/>
      </w:pPr>
      <w:r>
        <w:t>u)</w:t>
      </w:r>
      <w:r w:rsidR="00295A35">
        <w:tab/>
      </w:r>
      <w:r w:rsidR="00295A35" w:rsidRPr="00F82BD9">
        <w:t xml:space="preserve">udělovat ceny kraje, </w:t>
      </w:r>
    </w:p>
    <w:p w14:paraId="0FF2E936" w14:textId="652918FE" w:rsidR="00295A35" w:rsidRPr="00F82BD9" w:rsidRDefault="003205F8" w:rsidP="00850A92">
      <w:pPr>
        <w:pStyle w:val="PZTextpsmene"/>
        <w:numPr>
          <w:ilvl w:val="0"/>
          <w:numId w:val="27"/>
        </w:numPr>
        <w:tabs>
          <w:tab w:val="left" w:pos="406"/>
        </w:tabs>
        <w:spacing w:before="0"/>
        <w:ind w:left="426" w:hanging="426"/>
      </w:pPr>
      <w:r>
        <w:t>v)</w:t>
      </w:r>
      <w:r w:rsidR="00295A35">
        <w:tab/>
      </w:r>
      <w:r w:rsidR="00295A35" w:rsidRPr="00F82BD9">
        <w:t xml:space="preserve">rozhodovat o vyhlášení krajského referenda, </w:t>
      </w:r>
    </w:p>
    <w:p w14:paraId="74E97BA1" w14:textId="3850784F" w:rsidR="00295A35" w:rsidRPr="00F82BD9" w:rsidRDefault="003205F8" w:rsidP="00850A92">
      <w:pPr>
        <w:pStyle w:val="PZTextpsmene"/>
        <w:numPr>
          <w:ilvl w:val="0"/>
          <w:numId w:val="27"/>
        </w:numPr>
        <w:tabs>
          <w:tab w:val="left" w:pos="406"/>
        </w:tabs>
        <w:spacing w:before="0"/>
        <w:ind w:left="426" w:hanging="426"/>
      </w:pPr>
      <w:r>
        <w:t>w)</w:t>
      </w:r>
      <w:r w:rsidR="00295A35">
        <w:tab/>
      </w:r>
      <w:r w:rsidR="00295A35" w:rsidRPr="00F82BD9">
        <w:t xml:space="preserve">plnit další úkoly stanovené zákonem. </w:t>
      </w:r>
    </w:p>
    <w:p w14:paraId="3C38C67A" w14:textId="77777777" w:rsidR="00295A35" w:rsidRPr="00F82BD9" w:rsidRDefault="00295A35" w:rsidP="00152046">
      <w:pPr>
        <w:pStyle w:val="PZTextodstavce"/>
        <w:numPr>
          <w:ilvl w:val="0"/>
          <w:numId w:val="27"/>
        </w:numPr>
        <w:ind w:firstLine="425"/>
      </w:pPr>
      <w:r>
        <w:t>(3</w:t>
      </w:r>
      <w:r w:rsidRPr="00F82BD9">
        <w:t xml:space="preserve">) Zastupitelstvo rozhoduje o zrušení usnesení rady, jsou-li mu předložena k rozhodnutí podle § 62. </w:t>
      </w:r>
    </w:p>
    <w:p w14:paraId="6922FAE1" w14:textId="77777777" w:rsidR="00295A35" w:rsidRPr="00F82BD9" w:rsidRDefault="00295A35" w:rsidP="00295A35">
      <w:pPr>
        <w:pStyle w:val="Default"/>
        <w:numPr>
          <w:ilvl w:val="0"/>
          <w:numId w:val="27"/>
        </w:numPr>
        <w:spacing w:before="240" w:after="240"/>
        <w:jc w:val="center"/>
        <w:rPr>
          <w:color w:val="auto"/>
        </w:rPr>
      </w:pPr>
      <w:r w:rsidRPr="00F82BD9">
        <w:rPr>
          <w:color w:val="auto"/>
        </w:rPr>
        <w:t xml:space="preserve">*** </w:t>
      </w:r>
    </w:p>
    <w:p w14:paraId="7DFF6B4B" w14:textId="77777777" w:rsidR="00295A35" w:rsidRPr="00F82BD9" w:rsidRDefault="00295A35" w:rsidP="00295A35">
      <w:pPr>
        <w:pStyle w:val="Default"/>
        <w:numPr>
          <w:ilvl w:val="0"/>
          <w:numId w:val="27"/>
        </w:numPr>
        <w:spacing w:before="240" w:after="240"/>
        <w:jc w:val="center"/>
        <w:rPr>
          <w:color w:val="auto"/>
        </w:rPr>
      </w:pPr>
      <w:r w:rsidRPr="00F82BD9">
        <w:rPr>
          <w:color w:val="auto"/>
        </w:rPr>
        <w:t xml:space="preserve">§ 59 </w:t>
      </w:r>
    </w:p>
    <w:p w14:paraId="4AC4091E" w14:textId="77777777" w:rsidR="00295A35" w:rsidRPr="00F82BD9" w:rsidRDefault="00295A35" w:rsidP="00152046">
      <w:pPr>
        <w:pStyle w:val="PZTextodstavce"/>
        <w:numPr>
          <w:ilvl w:val="0"/>
          <w:numId w:val="27"/>
        </w:numPr>
        <w:ind w:firstLine="425"/>
      </w:pPr>
      <w:r w:rsidRPr="00F82BD9">
        <w:t xml:space="preserve">(1) Rada připravuje návrhy a podklady pro jednání zastupitelstva a zabezpečuje plnění jím přijatých usnesení. Radě je vyhrazeno </w:t>
      </w:r>
    </w:p>
    <w:p w14:paraId="5D9E9AE4" w14:textId="467D3EAF" w:rsidR="00295A35" w:rsidRPr="00F82BD9" w:rsidRDefault="003205F8" w:rsidP="00850A92">
      <w:pPr>
        <w:pStyle w:val="PZTextpsmene"/>
        <w:numPr>
          <w:ilvl w:val="0"/>
          <w:numId w:val="27"/>
        </w:numPr>
        <w:tabs>
          <w:tab w:val="left" w:pos="406"/>
        </w:tabs>
        <w:spacing w:before="0"/>
        <w:ind w:left="426" w:hanging="426"/>
      </w:pPr>
      <w:r>
        <w:t>a)</w:t>
      </w:r>
      <w:r w:rsidR="00295A35">
        <w:tab/>
      </w:r>
      <w:r w:rsidR="00295A35" w:rsidRPr="00F82BD9">
        <w:t xml:space="preserve">zabezpečovat hospodaření podle schváleného rozpočtu, provádět rozpočtová opatření v rozsahu svěřeném zastupitelstvem, </w:t>
      </w:r>
    </w:p>
    <w:p w14:paraId="28A8F240" w14:textId="53E38435" w:rsidR="00295A35" w:rsidRPr="00F82BD9" w:rsidRDefault="003205F8" w:rsidP="00850A92">
      <w:pPr>
        <w:pStyle w:val="PZTextpsmene"/>
        <w:numPr>
          <w:ilvl w:val="0"/>
          <w:numId w:val="27"/>
        </w:numPr>
        <w:tabs>
          <w:tab w:val="left" w:pos="406"/>
        </w:tabs>
        <w:spacing w:before="0"/>
        <w:ind w:left="426" w:hanging="426"/>
      </w:pPr>
      <w:r>
        <w:t>b)</w:t>
      </w:r>
      <w:r w:rsidR="00295A35">
        <w:tab/>
      </w:r>
      <w:r w:rsidR="00295A35" w:rsidRPr="00F82BD9">
        <w:t xml:space="preserve">stanovit počet zaměstnanců kraje zařazených do krajského úřadu, do zvláštních orgánů kraje a do organizačních složek a objem prostředků na platy těchto zaměstnanců, </w:t>
      </w:r>
    </w:p>
    <w:p w14:paraId="7462376C" w14:textId="5C5D904A" w:rsidR="00295A35" w:rsidRPr="00F82BD9" w:rsidRDefault="003205F8" w:rsidP="00850A92">
      <w:pPr>
        <w:pStyle w:val="PZTextpsmene"/>
        <w:numPr>
          <w:ilvl w:val="0"/>
          <w:numId w:val="27"/>
        </w:numPr>
        <w:tabs>
          <w:tab w:val="left" w:pos="406"/>
        </w:tabs>
        <w:spacing w:before="0"/>
        <w:ind w:left="426" w:hanging="426"/>
      </w:pPr>
      <w:r>
        <w:t>c)</w:t>
      </w:r>
      <w:r w:rsidR="00295A35">
        <w:tab/>
      </w:r>
      <w:r w:rsidR="00295A35" w:rsidRPr="00F82BD9">
        <w:t xml:space="preserve">na návrh ředitele krajského úřadu (dále jen „ředitel“) jmenovat a odvolávat vedoucí odborů krajského úřadu v souladu se zvláštním zákonem; jmenování nebo odvolání vedoucích odborů bez </w:t>
      </w:r>
      <w:r w:rsidR="00295A35">
        <w:t xml:space="preserve">návrhu ředitele je neplatné, </w:t>
      </w:r>
    </w:p>
    <w:p w14:paraId="76F51095" w14:textId="0DF534B2" w:rsidR="00295A35" w:rsidRPr="00F82BD9" w:rsidRDefault="003205F8" w:rsidP="00850A92">
      <w:pPr>
        <w:pStyle w:val="PZTextpsmene"/>
        <w:numPr>
          <w:ilvl w:val="0"/>
          <w:numId w:val="27"/>
        </w:numPr>
        <w:tabs>
          <w:tab w:val="left" w:pos="406"/>
        </w:tabs>
        <w:spacing w:before="0"/>
        <w:ind w:left="426" w:hanging="426"/>
      </w:pPr>
      <w:r>
        <w:t>d)</w:t>
      </w:r>
      <w:r w:rsidR="00295A35">
        <w:tab/>
      </w:r>
      <w:r w:rsidR="00295A35" w:rsidRPr="00F82BD9">
        <w:t xml:space="preserve">zřizovat a zrušovat podle potřeby komise rady (dále jen „komise“), jmenovat a odvolávat z funkce jejich předsedy a členy, </w:t>
      </w:r>
    </w:p>
    <w:p w14:paraId="328A2921" w14:textId="196A4C2D" w:rsidR="00295A35" w:rsidRPr="00F82BD9" w:rsidRDefault="003205F8" w:rsidP="00850A92">
      <w:pPr>
        <w:pStyle w:val="PZTextpsmene"/>
        <w:numPr>
          <w:ilvl w:val="0"/>
          <w:numId w:val="27"/>
        </w:numPr>
        <w:tabs>
          <w:tab w:val="left" w:pos="406"/>
        </w:tabs>
        <w:spacing w:before="0"/>
        <w:ind w:left="426" w:hanging="426"/>
      </w:pPr>
      <w:r>
        <w:t>e)</w:t>
      </w:r>
      <w:r w:rsidR="00295A35">
        <w:tab/>
      </w:r>
      <w:r w:rsidR="00295A35" w:rsidRPr="00F82BD9">
        <w:t xml:space="preserve">ukládat krajskému úřadu úkoly v oblasti samostatné působnosti a kontrolovat jejich plnění, </w:t>
      </w:r>
    </w:p>
    <w:p w14:paraId="79589A58" w14:textId="778E3E12" w:rsidR="00295A35" w:rsidRPr="00F82BD9" w:rsidRDefault="003205F8" w:rsidP="00850A92">
      <w:pPr>
        <w:pStyle w:val="PZTextpsmene"/>
        <w:numPr>
          <w:ilvl w:val="0"/>
          <w:numId w:val="27"/>
        </w:numPr>
        <w:tabs>
          <w:tab w:val="left" w:pos="406"/>
        </w:tabs>
        <w:spacing w:before="0"/>
        <w:ind w:left="426" w:hanging="426"/>
      </w:pPr>
      <w:r>
        <w:t>f)</w:t>
      </w:r>
      <w:r w:rsidR="00295A35">
        <w:tab/>
      </w:r>
      <w:r w:rsidR="00295A35" w:rsidRPr="00F82BD9">
        <w:t xml:space="preserve">přezkoumávat opatření přijatá krajským úřadem v samostatné působnosti, </w:t>
      </w:r>
    </w:p>
    <w:p w14:paraId="57262D7C" w14:textId="66AF9A5C" w:rsidR="00295A35" w:rsidRPr="00F82BD9" w:rsidRDefault="003205F8" w:rsidP="00850A92">
      <w:pPr>
        <w:pStyle w:val="PZTextpsmene"/>
        <w:numPr>
          <w:ilvl w:val="0"/>
          <w:numId w:val="27"/>
        </w:numPr>
        <w:tabs>
          <w:tab w:val="left" w:pos="406"/>
        </w:tabs>
        <w:spacing w:before="0"/>
        <w:ind w:left="426" w:hanging="426"/>
      </w:pPr>
      <w:r>
        <w:t>g)</w:t>
      </w:r>
      <w:r w:rsidR="00295A35">
        <w:tab/>
      </w:r>
      <w:r w:rsidR="00295A35" w:rsidRPr="00F82BD9">
        <w:t xml:space="preserve">vyřizovat návrhy, připomínky a podněty obcí a právnických osob z územního obvodu kraje, </w:t>
      </w:r>
    </w:p>
    <w:p w14:paraId="6EABD046" w14:textId="163F7235" w:rsidR="00295A35" w:rsidRPr="00F82BD9" w:rsidRDefault="003205F8" w:rsidP="00850A92">
      <w:pPr>
        <w:pStyle w:val="PZTextpsmene"/>
        <w:numPr>
          <w:ilvl w:val="0"/>
          <w:numId w:val="27"/>
        </w:numPr>
        <w:tabs>
          <w:tab w:val="left" w:pos="406"/>
        </w:tabs>
        <w:spacing w:before="0"/>
        <w:ind w:left="426" w:hanging="426"/>
      </w:pPr>
      <w:r>
        <w:t>h)</w:t>
      </w:r>
      <w:r w:rsidR="00295A35">
        <w:tab/>
      </w:r>
      <w:r w:rsidR="00295A35" w:rsidRPr="00F82BD9">
        <w:t xml:space="preserve">stanovit pravidla pro přijímání a vyřizování petic a stížností, </w:t>
      </w:r>
    </w:p>
    <w:p w14:paraId="506212A7" w14:textId="617910E5" w:rsidR="00295A35" w:rsidRPr="00F82BD9" w:rsidRDefault="003205F8" w:rsidP="00850A92">
      <w:pPr>
        <w:pStyle w:val="PZTextpsmene"/>
        <w:numPr>
          <w:ilvl w:val="0"/>
          <w:numId w:val="27"/>
        </w:numPr>
        <w:tabs>
          <w:tab w:val="left" w:pos="406"/>
        </w:tabs>
        <w:spacing w:before="0"/>
        <w:ind w:left="426" w:hanging="426"/>
      </w:pPr>
      <w:r>
        <w:lastRenderedPageBreak/>
        <w:t>i)</w:t>
      </w:r>
      <w:r w:rsidR="00295A35">
        <w:tab/>
      </w:r>
      <w:r w:rsidR="00295A35" w:rsidRPr="00F82BD9">
        <w:t xml:space="preserve">vykonávat zakladatelské a zřizovatelské funkce ve vztahu k právnickým osobám, organizačním složkám, které byly zřízeny nebo založeny krajem nebo které byly na kraj převedeny zvláštním zákonem, včetně jmenování a odvolávání jejich ředitelů a stanovení jejich platu a odměn a rozhodování o poskytování návratných finančních výpomocí příspěvkovým organizacím zřízeným krajem; k tomu pravidelně jedenkrát ročně projednávat zprávu o jejich činnosti, o plnění jejich úkolů, pro které byly založeny nebo zřízeny, a přijímat příslušná opatření k nápravě, </w:t>
      </w:r>
    </w:p>
    <w:p w14:paraId="5D726902" w14:textId="553F2A44" w:rsidR="00295A35" w:rsidRPr="00F82BD9" w:rsidRDefault="003205F8" w:rsidP="00850A92">
      <w:pPr>
        <w:pStyle w:val="PZTextpsmene"/>
        <w:numPr>
          <w:ilvl w:val="0"/>
          <w:numId w:val="27"/>
        </w:numPr>
        <w:tabs>
          <w:tab w:val="left" w:pos="406"/>
        </w:tabs>
        <w:spacing w:before="0"/>
        <w:ind w:left="426" w:hanging="426"/>
      </w:pPr>
      <w:r>
        <w:t>j)</w:t>
      </w:r>
      <w:r w:rsidR="00295A35">
        <w:tab/>
      </w:r>
      <w:r w:rsidR="00295A35" w:rsidRPr="00F82BD9">
        <w:t xml:space="preserve">rozhodovat ve věcech kraje jako jediného společníka obchodní společnosti, </w:t>
      </w:r>
    </w:p>
    <w:p w14:paraId="0933517D" w14:textId="4611B119" w:rsidR="00295A35" w:rsidRPr="00F82BD9" w:rsidRDefault="003205F8" w:rsidP="00850A92">
      <w:pPr>
        <w:pStyle w:val="PZTextpsmene"/>
        <w:numPr>
          <w:ilvl w:val="0"/>
          <w:numId w:val="27"/>
        </w:numPr>
        <w:tabs>
          <w:tab w:val="left" w:pos="406"/>
        </w:tabs>
        <w:spacing w:before="0"/>
        <w:ind w:left="426" w:hanging="426"/>
      </w:pPr>
      <w:r>
        <w:t>k)</w:t>
      </w:r>
      <w:r w:rsidR="00295A35">
        <w:tab/>
      </w:r>
      <w:r w:rsidR="00295A35" w:rsidRPr="00F82BD9">
        <w:t xml:space="preserve">vydávat nařízení kraje, </w:t>
      </w:r>
    </w:p>
    <w:p w14:paraId="10C9E122" w14:textId="08446CD3" w:rsidR="00295A35" w:rsidRPr="00F82BD9" w:rsidRDefault="003205F8" w:rsidP="00850A92">
      <w:pPr>
        <w:pStyle w:val="PZTextpsmene"/>
        <w:numPr>
          <w:ilvl w:val="0"/>
          <w:numId w:val="27"/>
        </w:numPr>
        <w:tabs>
          <w:tab w:val="left" w:pos="406"/>
        </w:tabs>
        <w:spacing w:before="0"/>
        <w:ind w:left="426" w:hanging="426"/>
      </w:pPr>
      <w:r>
        <w:t>l)</w:t>
      </w:r>
      <w:r w:rsidR="00295A35">
        <w:tab/>
      </w:r>
      <w:r w:rsidR="00295A35" w:rsidRPr="00F82BD9">
        <w:t xml:space="preserve">projednávat a řešit návrhy, připomínky a podněty předložené jí členy zastupitelstva nebo komisemi rady, </w:t>
      </w:r>
    </w:p>
    <w:p w14:paraId="2BCE9C16" w14:textId="258705BF" w:rsidR="00295A35" w:rsidRPr="00F82BD9" w:rsidRDefault="003205F8" w:rsidP="00850A92">
      <w:pPr>
        <w:pStyle w:val="PZTextpsmene"/>
        <w:numPr>
          <w:ilvl w:val="0"/>
          <w:numId w:val="27"/>
        </w:numPr>
        <w:tabs>
          <w:tab w:val="left" w:pos="406"/>
        </w:tabs>
        <w:spacing w:before="0"/>
        <w:ind w:left="426" w:hanging="426"/>
      </w:pPr>
      <w:r>
        <w:t>m)</w:t>
      </w:r>
      <w:r w:rsidR="00295A35">
        <w:tab/>
      </w:r>
      <w:r w:rsidR="00295A35" w:rsidRPr="00F82BD9">
        <w:t xml:space="preserve">plnit úkoly stanovené zvláštním právním předpisem, </w:t>
      </w:r>
    </w:p>
    <w:p w14:paraId="3046BD74" w14:textId="7EA00978" w:rsidR="00295A35" w:rsidRPr="00F82BD9" w:rsidRDefault="003205F8" w:rsidP="00850A92">
      <w:pPr>
        <w:pStyle w:val="PZTextpsmene"/>
        <w:numPr>
          <w:ilvl w:val="0"/>
          <w:numId w:val="27"/>
        </w:numPr>
        <w:tabs>
          <w:tab w:val="left" w:pos="406"/>
        </w:tabs>
        <w:spacing w:before="0"/>
        <w:ind w:left="426" w:hanging="426"/>
      </w:pPr>
      <w:r>
        <w:t>n)</w:t>
      </w:r>
      <w:r w:rsidR="00295A35">
        <w:tab/>
      </w:r>
      <w:r w:rsidR="00295A35" w:rsidRPr="00F82BD9">
        <w:t xml:space="preserve">schvalovat </w:t>
      </w:r>
      <w:r w:rsidR="00295A35" w:rsidRPr="00F82BD9">
        <w:rPr>
          <w:b/>
          <w:bCs/>
        </w:rPr>
        <w:t xml:space="preserve">řádnou individuální </w:t>
      </w:r>
      <w:r w:rsidR="00295A35" w:rsidRPr="00F82BD9">
        <w:t xml:space="preserve">účetní závěrku krajem zřízené příspěvkové organizace </w:t>
      </w:r>
      <w:r w:rsidR="00295A35" w:rsidRPr="0078244F">
        <w:rPr>
          <w:strike/>
        </w:rPr>
        <w:t>sestavenou k rozvahovému dni</w:t>
      </w:r>
      <w:r w:rsidR="00295A35" w:rsidRPr="00F82BD9">
        <w:t xml:space="preserve">. </w:t>
      </w:r>
    </w:p>
    <w:p w14:paraId="24DECD3B" w14:textId="77777777" w:rsidR="00295A35" w:rsidRPr="00F82BD9" w:rsidRDefault="00295A35" w:rsidP="00152046">
      <w:pPr>
        <w:pStyle w:val="PZTextodstavce"/>
        <w:numPr>
          <w:ilvl w:val="0"/>
          <w:numId w:val="27"/>
        </w:numPr>
        <w:ind w:firstLine="425"/>
      </w:pPr>
      <w:r w:rsidRPr="00F82BD9">
        <w:t xml:space="preserve">(2) Rada rozhoduje o těchto právních jednáních kraje: </w:t>
      </w:r>
    </w:p>
    <w:p w14:paraId="12740BDB" w14:textId="1DA6E2E9" w:rsidR="00295A35" w:rsidRPr="00F82BD9" w:rsidRDefault="003205F8" w:rsidP="00850A92">
      <w:pPr>
        <w:pStyle w:val="PZTextpsmene"/>
        <w:numPr>
          <w:ilvl w:val="0"/>
          <w:numId w:val="27"/>
        </w:numPr>
        <w:tabs>
          <w:tab w:val="left" w:pos="420"/>
        </w:tabs>
        <w:spacing w:before="0"/>
        <w:ind w:left="426" w:hanging="426"/>
      </w:pPr>
      <w:r>
        <w:t>a)</w:t>
      </w:r>
      <w:r w:rsidR="00295A35">
        <w:tab/>
      </w:r>
      <w:r w:rsidR="00295A35" w:rsidRPr="00F82BD9">
        <w:t>o poskytování dotací a návratných finančních výpomocí do 1 000 000 Kč v jednotlivém případě fyzickým nebo právnickým osobám a uzavření veřejnoprávních smluv o jejich poskytnutí, nejedná-li se o dotace z prostředků státního rozpočtu, o návratné finanční výpomoci příspěvkovým organizacím zřízeným krajem nebo o dotace nebo návratné finanční výpomoci poskytované v době trvání krizového stavu</w:t>
      </w:r>
      <w:r w:rsidR="00295A35">
        <w:rPr>
          <w:rStyle w:val="Znakapoznpodarou"/>
        </w:rPr>
        <w:footnoteReference w:customMarkFollows="1" w:id="320"/>
        <w:t>28)</w:t>
      </w:r>
      <w:r w:rsidR="00295A35" w:rsidRPr="00F82BD9">
        <w:t xml:space="preserve">, mimořádného opatření při epidemii nebo nebezpečí jejího vzniku nebo mimořádného veterinárního opatření a v souvislosti s nimi, </w:t>
      </w:r>
    </w:p>
    <w:p w14:paraId="08F7859D" w14:textId="2B5F44A5" w:rsidR="00295A35" w:rsidRPr="00F82BD9" w:rsidRDefault="003205F8" w:rsidP="00850A92">
      <w:pPr>
        <w:pStyle w:val="PZTextpsmene"/>
        <w:numPr>
          <w:ilvl w:val="0"/>
          <w:numId w:val="27"/>
        </w:numPr>
        <w:tabs>
          <w:tab w:val="left" w:pos="420"/>
        </w:tabs>
        <w:spacing w:before="0"/>
        <w:ind w:left="426" w:hanging="426"/>
      </w:pPr>
      <w:r>
        <w:t>b)</w:t>
      </w:r>
      <w:r w:rsidR="00295A35">
        <w:tab/>
      </w:r>
      <w:r w:rsidR="00295A35" w:rsidRPr="00F82BD9">
        <w:t xml:space="preserve">o vzdání se práva a prominutí dluhu nepřevyšující 1 000 000 Kč, </w:t>
      </w:r>
    </w:p>
    <w:p w14:paraId="1ACD7C3A" w14:textId="29D77E83" w:rsidR="00295A35" w:rsidRPr="00F82BD9" w:rsidRDefault="003205F8" w:rsidP="00850A92">
      <w:pPr>
        <w:pStyle w:val="PZTextpsmene"/>
        <w:numPr>
          <w:ilvl w:val="0"/>
          <w:numId w:val="27"/>
        </w:numPr>
        <w:tabs>
          <w:tab w:val="left" w:pos="420"/>
        </w:tabs>
        <w:spacing w:before="0"/>
        <w:ind w:left="426" w:hanging="426"/>
      </w:pPr>
      <w:r>
        <w:t>c)</w:t>
      </w:r>
      <w:r w:rsidR="00295A35">
        <w:tab/>
      </w:r>
      <w:r w:rsidR="00295A35" w:rsidRPr="00F82BD9">
        <w:t xml:space="preserve">o zastavení movitých věcí nebo práv v hodnotě nepřevyšující 1 000 000 Kč, </w:t>
      </w:r>
    </w:p>
    <w:p w14:paraId="58238CA5" w14:textId="3A2DAF9D" w:rsidR="00295A35" w:rsidRPr="00F82BD9" w:rsidRDefault="003205F8" w:rsidP="00850A92">
      <w:pPr>
        <w:pStyle w:val="PZTextpsmene"/>
        <w:numPr>
          <w:ilvl w:val="0"/>
          <w:numId w:val="27"/>
        </w:numPr>
        <w:tabs>
          <w:tab w:val="left" w:pos="420"/>
        </w:tabs>
        <w:spacing w:before="0"/>
        <w:ind w:left="426" w:hanging="426"/>
      </w:pPr>
      <w:r>
        <w:t>d)</w:t>
      </w:r>
      <w:r w:rsidR="00295A35">
        <w:tab/>
      </w:r>
      <w:r w:rsidR="00295A35" w:rsidRPr="00F82BD9">
        <w:t xml:space="preserve">o uzavírání dohod o splátkách s lhůtou splatnosti nepřevyšující 18 měsíců, </w:t>
      </w:r>
    </w:p>
    <w:p w14:paraId="66D76C08" w14:textId="5407A8F4" w:rsidR="00295A35" w:rsidRPr="00F82BD9" w:rsidRDefault="003205F8" w:rsidP="00850A92">
      <w:pPr>
        <w:pStyle w:val="PZTextpsmene"/>
        <w:numPr>
          <w:ilvl w:val="0"/>
          <w:numId w:val="27"/>
        </w:numPr>
        <w:tabs>
          <w:tab w:val="left" w:pos="420"/>
        </w:tabs>
        <w:spacing w:before="0"/>
        <w:ind w:left="426" w:hanging="426"/>
      </w:pPr>
      <w:r>
        <w:t>e)</w:t>
      </w:r>
      <w:r w:rsidR="00295A35">
        <w:tab/>
      </w:r>
      <w:r w:rsidR="00295A35" w:rsidRPr="00F82BD9">
        <w:t xml:space="preserve">o nabytí a převodu movitých věcí na kraj včetně peněz, </w:t>
      </w:r>
    </w:p>
    <w:p w14:paraId="715863CB" w14:textId="4EA81E83" w:rsidR="00295A35" w:rsidRPr="00F82BD9" w:rsidRDefault="003205F8" w:rsidP="00850A92">
      <w:pPr>
        <w:pStyle w:val="PZTextpsmene"/>
        <w:numPr>
          <w:ilvl w:val="0"/>
          <w:numId w:val="27"/>
        </w:numPr>
        <w:tabs>
          <w:tab w:val="left" w:pos="420"/>
        </w:tabs>
        <w:spacing w:before="0"/>
        <w:ind w:left="426" w:hanging="426"/>
      </w:pPr>
      <w:r>
        <w:t>f)</w:t>
      </w:r>
      <w:r w:rsidR="00295A35">
        <w:tab/>
      </w:r>
      <w:r w:rsidR="00295A35" w:rsidRPr="00F82BD9">
        <w:t xml:space="preserve">o poskytování věcných a finančních darů do 500 000 Kč fyzické nebo právnické osobě v jednom kalendářním roce. </w:t>
      </w:r>
    </w:p>
    <w:p w14:paraId="66F94A5F" w14:textId="77777777" w:rsidR="00295A35" w:rsidRPr="00F82BD9" w:rsidRDefault="00295A35" w:rsidP="00152046">
      <w:pPr>
        <w:pStyle w:val="PZTextodstavce"/>
        <w:numPr>
          <w:ilvl w:val="0"/>
          <w:numId w:val="27"/>
        </w:numPr>
        <w:ind w:firstLine="425"/>
      </w:pPr>
      <w:r w:rsidRPr="00F82BD9">
        <w:t xml:space="preserve">(3) Rada zabezpečuje rozhodování v ostatních záležitostech patřících do samostatné působnosti kraje, pokud nejsou vyhrazeny zastupitelstvu nebo pokud si je zastupitelstvo nevyhradilo. </w:t>
      </w:r>
    </w:p>
    <w:p w14:paraId="04A70072" w14:textId="1505E4FC" w:rsidR="00295A35" w:rsidRPr="00F82BD9" w:rsidRDefault="00295A35" w:rsidP="00152046">
      <w:pPr>
        <w:pStyle w:val="PZTextodstavce"/>
        <w:numPr>
          <w:ilvl w:val="0"/>
          <w:numId w:val="27"/>
        </w:numPr>
        <w:ind w:firstLine="425"/>
      </w:pPr>
      <w:r w:rsidRPr="00F82BD9">
        <w:t xml:space="preserve">(4) Rada může svěřit hejtmanovi, popřípadě krajskému úřadu zcela nebo zčásti rozhodování podle odstavce 2 písm. e) a f). Dále může svěřit hejtmanovi nebo krajskému úřadu zcela nebo zčásti </w:t>
      </w:r>
      <w:r w:rsidR="003205F8">
        <w:t>rozhodování podle odstavce 3.</w:t>
      </w:r>
      <w:r w:rsidRPr="00F82BD9">
        <w:t xml:space="preserve"> </w:t>
      </w:r>
    </w:p>
    <w:p w14:paraId="098EC754" w14:textId="77777777" w:rsidR="00A81761" w:rsidRDefault="00A81761" w:rsidP="00CB5381">
      <w:pPr>
        <w:pStyle w:val="Textparagrafu"/>
        <w:tabs>
          <w:tab w:val="left" w:pos="406"/>
          <w:tab w:val="left" w:pos="840"/>
          <w:tab w:val="left" w:pos="868"/>
        </w:tabs>
        <w:spacing w:after="120"/>
        <w:ind w:firstLine="0"/>
        <w:sectPr w:rsidR="00A81761" w:rsidSect="00554E2B">
          <w:footnotePr>
            <w:numStart w:val="3"/>
          </w:footnotePr>
          <w:endnotePr>
            <w:numFmt w:val="decimal"/>
          </w:endnotePr>
          <w:pgSz w:w="11906" w:h="16838"/>
          <w:pgMar w:top="1418" w:right="1418" w:bottom="1418" w:left="1418" w:header="709" w:footer="709" w:gutter="0"/>
          <w:cols w:space="708"/>
          <w:docGrid w:linePitch="360"/>
        </w:sectPr>
      </w:pPr>
    </w:p>
    <w:p w14:paraId="45819478" w14:textId="4318BFCA" w:rsidR="00A81761" w:rsidRPr="002445A0" w:rsidRDefault="00A81761" w:rsidP="00152046">
      <w:pPr>
        <w:tabs>
          <w:tab w:val="left" w:pos="851"/>
        </w:tabs>
        <w:spacing w:before="120" w:after="120"/>
        <w:ind w:firstLine="0"/>
        <w:jc w:val="center"/>
        <w:outlineLvl w:val="0"/>
        <w:rPr>
          <w:szCs w:val="24"/>
        </w:rPr>
      </w:pPr>
      <w:r w:rsidRPr="002445A0">
        <w:rPr>
          <w:b/>
          <w:szCs w:val="24"/>
        </w:rPr>
        <w:lastRenderedPageBreak/>
        <w:t xml:space="preserve">K části čtyřicáté </w:t>
      </w:r>
      <w:r w:rsidR="00850A92">
        <w:rPr>
          <w:b/>
          <w:szCs w:val="24"/>
        </w:rPr>
        <w:t>sedmé</w:t>
      </w:r>
      <w:r w:rsidRPr="002445A0">
        <w:rPr>
          <w:b/>
          <w:szCs w:val="24"/>
        </w:rPr>
        <w:t xml:space="preserve"> návrhu zákona – </w:t>
      </w:r>
      <w:r w:rsidRPr="002445A0">
        <w:rPr>
          <w:szCs w:val="24"/>
        </w:rPr>
        <w:t>změna zákona</w:t>
      </w:r>
      <w:r w:rsidRPr="002445A0">
        <w:t xml:space="preserve"> </w:t>
      </w:r>
      <w:r w:rsidRPr="002445A0">
        <w:rPr>
          <w:szCs w:val="24"/>
        </w:rPr>
        <w:t>o hlavním městě Praze</w:t>
      </w:r>
    </w:p>
    <w:p w14:paraId="172986DA" w14:textId="4FE0B9F8" w:rsidR="00A81761" w:rsidRPr="002445A0" w:rsidRDefault="00A81761" w:rsidP="00A81761">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2445A0">
        <w:rPr>
          <w:b/>
          <w:szCs w:val="24"/>
        </w:rPr>
        <w:t>Platné znění</w:t>
      </w:r>
      <w:r w:rsidRPr="002445A0">
        <w:rPr>
          <w:szCs w:val="24"/>
        </w:rPr>
        <w:t xml:space="preserve"> zákona </w:t>
      </w:r>
      <w:r w:rsidRPr="002445A0">
        <w:rPr>
          <w:color w:val="000000"/>
          <w:szCs w:val="24"/>
        </w:rPr>
        <w:t>č.131/</w:t>
      </w:r>
      <w:r w:rsidRPr="002445A0">
        <w:rPr>
          <w:szCs w:val="24"/>
        </w:rPr>
        <w:t>2000 Sb., o hlavním městě Praze</w:t>
      </w:r>
    </w:p>
    <w:p w14:paraId="2F272912" w14:textId="512FFEC2" w:rsidR="00A81761" w:rsidRPr="00152046" w:rsidRDefault="00152046" w:rsidP="00152046">
      <w:pPr>
        <w:pStyle w:val="Odstavecseseznamem"/>
        <w:numPr>
          <w:ilvl w:val="0"/>
          <w:numId w:val="27"/>
        </w:numPr>
        <w:pBdr>
          <w:top w:val="single" w:sz="12" w:space="6" w:color="auto"/>
          <w:left w:val="single" w:sz="12" w:space="0" w:color="auto"/>
          <w:bottom w:val="single" w:sz="12" w:space="6" w:color="auto"/>
          <w:right w:val="single" w:sz="12" w:space="0" w:color="auto"/>
        </w:pBdr>
        <w:spacing w:after="120"/>
        <w:jc w:val="center"/>
        <w:rPr>
          <w:b/>
          <w:szCs w:val="24"/>
          <w:lang w:eastAsia="en-US"/>
        </w:rPr>
      </w:pPr>
      <w:r w:rsidRPr="00152046">
        <w:rPr>
          <w:b/>
          <w:szCs w:val="24"/>
          <w:lang w:eastAsia="en-US"/>
        </w:rPr>
        <w:t>s vyznačením navrhovaných změn a doplnění k 1. lednu 2025</w:t>
      </w:r>
    </w:p>
    <w:p w14:paraId="426B407B" w14:textId="77777777" w:rsidR="00A81761" w:rsidRPr="002445A0" w:rsidRDefault="00A81761" w:rsidP="002445A0">
      <w:pPr>
        <w:pStyle w:val="Textparagrafu"/>
        <w:tabs>
          <w:tab w:val="left" w:pos="406"/>
          <w:tab w:val="left" w:pos="840"/>
          <w:tab w:val="left" w:pos="868"/>
        </w:tabs>
        <w:spacing w:after="120"/>
        <w:ind w:firstLine="0"/>
        <w:jc w:val="center"/>
      </w:pPr>
      <w:r w:rsidRPr="002445A0">
        <w:t>***</w:t>
      </w:r>
    </w:p>
    <w:p w14:paraId="3FF5E6EA" w14:textId="615EBA85" w:rsidR="002445A0" w:rsidRPr="00F82BD9" w:rsidRDefault="00A81761" w:rsidP="002445A0">
      <w:pPr>
        <w:pStyle w:val="Default"/>
        <w:spacing w:before="240" w:after="120"/>
        <w:jc w:val="center"/>
        <w:rPr>
          <w:color w:val="auto"/>
        </w:rPr>
      </w:pPr>
      <w:r w:rsidRPr="002445A0">
        <w:t>§</w:t>
      </w:r>
      <w:r w:rsidR="002445A0" w:rsidRPr="00F82BD9">
        <w:rPr>
          <w:color w:val="auto"/>
        </w:rPr>
        <w:t xml:space="preserve"> 35 </w:t>
      </w:r>
    </w:p>
    <w:p w14:paraId="57A87E04" w14:textId="77777777" w:rsidR="002445A0" w:rsidRPr="00F82BD9" w:rsidRDefault="002445A0" w:rsidP="00152046">
      <w:pPr>
        <w:pStyle w:val="PZTextodstavce"/>
      </w:pPr>
      <w:r w:rsidRPr="00F82BD9">
        <w:t>(1) Majetek hlavního města Prahy musí být využíván účelně a hospodárně v souladu s jeho zájmy a úkoly vyplývajícími ze zákonem vymezené působnosti. Porušením povinností stanovených ve větě první není takové nakládání s majetkem hlavního města Prahy, které sleduje jiný důležitý zájem hlavního města Prahy, který je řádně odůvodněn. Hlavní město Praha je povinno pečovat o svůj majetek</w:t>
      </w:r>
      <w:r w:rsidRPr="00540F90">
        <w:rPr>
          <w:strike/>
        </w:rPr>
        <w:t>,</w:t>
      </w:r>
      <w:r w:rsidRPr="00F82BD9">
        <w:t xml:space="preserve"> </w:t>
      </w:r>
      <w:r w:rsidRPr="00F82BD9">
        <w:rPr>
          <w:b/>
          <w:bCs/>
        </w:rPr>
        <w:t xml:space="preserve">a </w:t>
      </w:r>
      <w:r w:rsidRPr="00F82BD9">
        <w:t xml:space="preserve">kontrolovat hospodaření s tímto majetkem </w:t>
      </w:r>
      <w:r w:rsidRPr="00540F90">
        <w:rPr>
          <w:strike/>
        </w:rPr>
        <w:t>a vést účetnictví podle zákona o účetnictví</w:t>
      </w:r>
      <w:r w:rsidRPr="00F82BD9">
        <w:t xml:space="preserve">. </w:t>
      </w:r>
    </w:p>
    <w:p w14:paraId="75F74594" w14:textId="77777777" w:rsidR="002445A0" w:rsidRPr="00F82BD9" w:rsidRDefault="002445A0" w:rsidP="00152046">
      <w:pPr>
        <w:pStyle w:val="PZTextodstavce"/>
      </w:pPr>
      <w:r w:rsidRPr="00F82BD9">
        <w:t xml:space="preserve">(2) Majetek hlavního města Prahy musí být chráněn před zničením, poškozením, odcizením nebo zneužitím. S nepotřebným majetkem hlavní město Praha naloží způsoby a za podmínek stanovených zvláštními právními </w:t>
      </w:r>
      <w:proofErr w:type="gramStart"/>
      <w:r w:rsidRPr="00F82BD9">
        <w:t>předpisy,</w:t>
      </w:r>
      <w:r w:rsidRPr="001C454C">
        <w:rPr>
          <w:vertAlign w:val="superscript"/>
        </w:rPr>
        <w:footnoteReference w:customMarkFollows="1" w:id="321"/>
        <w:t>11</w:t>
      </w:r>
      <w:proofErr w:type="gramEnd"/>
      <w:r w:rsidRPr="001C454C">
        <w:rPr>
          <w:vertAlign w:val="superscript"/>
        </w:rPr>
        <w:t>)</w:t>
      </w:r>
      <w:r w:rsidRPr="00F82BD9">
        <w:t xml:space="preserve"> pokud tento zákon nestanoví jinak. </w:t>
      </w:r>
    </w:p>
    <w:p w14:paraId="2A352EB6" w14:textId="77777777" w:rsidR="002445A0" w:rsidRPr="00F82BD9" w:rsidRDefault="002445A0" w:rsidP="00152046">
      <w:pPr>
        <w:pStyle w:val="PZTextodstavce"/>
      </w:pPr>
      <w:r w:rsidRPr="00F82BD9">
        <w:t xml:space="preserve">(3) Hlavní město Praha a městské části jsou povinny chránit majetek hlavního města Prahy před neoprávněnými zásahy a včas uplatňovat právo na náhradu škody a právo na vydání bezdůvodného obohacení. </w:t>
      </w:r>
    </w:p>
    <w:p w14:paraId="554DBDFA" w14:textId="77777777" w:rsidR="002445A0" w:rsidRPr="00F82BD9" w:rsidRDefault="002445A0" w:rsidP="00152046">
      <w:pPr>
        <w:pStyle w:val="PZTextodstavce"/>
      </w:pPr>
      <w:r w:rsidRPr="00F82BD9">
        <w:t xml:space="preserve">(4) Hlavní město Praha a městské části jsou povinny trvale sledovat, zda dlužníci včas a řádně plní své závazky, a zabezpečit, aby nedošlo k promlčení nebo zániku práv z těchto závazků vyplývajících. </w:t>
      </w:r>
    </w:p>
    <w:p w14:paraId="227E1310" w14:textId="77777777" w:rsidR="002445A0" w:rsidRPr="00F82BD9" w:rsidRDefault="002445A0" w:rsidP="00152046">
      <w:pPr>
        <w:pStyle w:val="PZTextodstavce"/>
      </w:pPr>
      <w:r w:rsidRPr="00F82BD9">
        <w:t xml:space="preserve">(5) Doklady o poskytnutí finančních prostředků státem na pořízení majetku uvedeného v § 37 odst. 1 jsou hlavní město Praha a městské části povinny uchovat po celou dobu, po kterou je tento majetek ve vlastnictví hlavního město Prahy. </w:t>
      </w:r>
    </w:p>
    <w:p w14:paraId="59AE0E39" w14:textId="77777777" w:rsidR="002445A0" w:rsidRPr="00F82BD9" w:rsidRDefault="002445A0" w:rsidP="00152046">
      <w:pPr>
        <w:pStyle w:val="PZTextodstavce"/>
      </w:pPr>
      <w:r w:rsidRPr="00F82BD9">
        <w:t xml:space="preserve">(6) Hlavní město Praha a městské části nesmí ručit za závazky fyzických a právnických osob vyjma </w:t>
      </w:r>
    </w:p>
    <w:p w14:paraId="05649081" w14:textId="5D8AD11A" w:rsidR="002445A0" w:rsidRPr="00F82BD9" w:rsidRDefault="00577E63" w:rsidP="00850A92">
      <w:pPr>
        <w:pStyle w:val="PZTextpsmene"/>
        <w:tabs>
          <w:tab w:val="left" w:pos="420"/>
        </w:tabs>
        <w:spacing w:before="0"/>
        <w:ind w:left="426" w:hanging="426"/>
      </w:pPr>
      <w:r>
        <w:t>a)</w:t>
      </w:r>
      <w:r w:rsidR="002445A0">
        <w:tab/>
      </w:r>
      <w:r w:rsidR="002445A0" w:rsidRPr="00F82BD9">
        <w:t xml:space="preserve">závazků vyplývajících ze smlouvy o úvěru, jsou-li peněžní prostředky určeny pro investici uskutečňovanou s finanční podporou ze státního rozpočtu, státních fondů nebo Národního fondu, </w:t>
      </w:r>
    </w:p>
    <w:p w14:paraId="7E0858A3" w14:textId="4BB24898" w:rsidR="002445A0" w:rsidRPr="00F82BD9" w:rsidRDefault="00577E63" w:rsidP="00850A92">
      <w:pPr>
        <w:pStyle w:val="PZTextpsmene"/>
        <w:tabs>
          <w:tab w:val="left" w:pos="420"/>
        </w:tabs>
        <w:spacing w:before="0"/>
        <w:ind w:left="426" w:hanging="426"/>
      </w:pPr>
      <w:r>
        <w:t>b)</w:t>
      </w:r>
      <w:r w:rsidR="002445A0">
        <w:tab/>
      </w:r>
      <w:r w:rsidR="002445A0" w:rsidRPr="00F82BD9">
        <w:t xml:space="preserve">závazků vyplývajících ze smlouvy o úvěru, jsou-li peněžní prostředky určeny pro investici do nemovitosti vlastněné hlavním městem Prahou, </w:t>
      </w:r>
    </w:p>
    <w:p w14:paraId="213D52C3" w14:textId="0750F2E4" w:rsidR="002445A0" w:rsidRPr="00F82BD9" w:rsidRDefault="00577E63" w:rsidP="00850A92">
      <w:pPr>
        <w:pStyle w:val="PZTextpsmene"/>
        <w:tabs>
          <w:tab w:val="left" w:pos="420"/>
        </w:tabs>
        <w:spacing w:before="0"/>
        <w:ind w:left="426" w:hanging="426"/>
      </w:pPr>
      <w:r>
        <w:t>c)</w:t>
      </w:r>
      <w:r w:rsidR="002445A0">
        <w:tab/>
      </w:r>
      <w:r w:rsidR="002445A0" w:rsidRPr="00F82BD9">
        <w:t xml:space="preserve">těch, jejichž zřizovatelem je hlavní město Praha, městská část nebo stát, </w:t>
      </w:r>
    </w:p>
    <w:p w14:paraId="489CCBE5" w14:textId="0108B5F7" w:rsidR="002445A0" w:rsidRPr="00F82BD9" w:rsidRDefault="00577E63" w:rsidP="00850A92">
      <w:pPr>
        <w:pStyle w:val="PZTextpsmene"/>
        <w:tabs>
          <w:tab w:val="left" w:pos="420"/>
        </w:tabs>
        <w:spacing w:before="0"/>
        <w:ind w:left="426" w:hanging="426"/>
      </w:pPr>
      <w:r>
        <w:t>d)</w:t>
      </w:r>
      <w:r w:rsidR="002445A0">
        <w:tab/>
      </w:r>
      <w:r w:rsidR="002445A0" w:rsidRPr="00F82BD9">
        <w:t xml:space="preserve">těch, v nichž míra účasti jí samé, nebo spolu s jinou obcí (obcemi), krajem (kraji) nebo státem přesahuje 50 %, </w:t>
      </w:r>
    </w:p>
    <w:p w14:paraId="4246EDDA" w14:textId="23944FE9" w:rsidR="002445A0" w:rsidRPr="00F82BD9" w:rsidRDefault="00577E63" w:rsidP="00850A92">
      <w:pPr>
        <w:pStyle w:val="PZTextpsmene"/>
        <w:tabs>
          <w:tab w:val="left" w:pos="420"/>
        </w:tabs>
        <w:spacing w:before="0"/>
        <w:ind w:left="426" w:hanging="426"/>
      </w:pPr>
      <w:r>
        <w:t>e)</w:t>
      </w:r>
      <w:r w:rsidR="002445A0">
        <w:tab/>
      </w:r>
      <w:r w:rsidR="002445A0" w:rsidRPr="00F82BD9">
        <w:t xml:space="preserve">bytových družstev, </w:t>
      </w:r>
    </w:p>
    <w:p w14:paraId="361F9FFC" w14:textId="6EF53D22" w:rsidR="002445A0" w:rsidRPr="00F82BD9" w:rsidRDefault="00577E63" w:rsidP="00850A92">
      <w:pPr>
        <w:pStyle w:val="PZTextpsmene"/>
        <w:tabs>
          <w:tab w:val="left" w:pos="420"/>
        </w:tabs>
        <w:spacing w:before="0"/>
        <w:ind w:left="426" w:hanging="426"/>
      </w:pPr>
      <w:r>
        <w:t>f)</w:t>
      </w:r>
      <w:r w:rsidR="002445A0">
        <w:tab/>
      </w:r>
      <w:r w:rsidR="002445A0" w:rsidRPr="00F82BD9">
        <w:t xml:space="preserve">honebních společenstev. </w:t>
      </w:r>
    </w:p>
    <w:p w14:paraId="76494D93" w14:textId="77777777" w:rsidR="002445A0" w:rsidRPr="00F82BD9" w:rsidRDefault="002445A0" w:rsidP="00152046">
      <w:pPr>
        <w:pStyle w:val="PZTextodstavce"/>
      </w:pPr>
      <w:r w:rsidRPr="00F82BD9">
        <w:t xml:space="preserve">(7) Právní jednání učiněná v rozporu s ustanovením odstavce 6 jsou neplatná. </w:t>
      </w:r>
    </w:p>
    <w:p w14:paraId="1B6D7F20" w14:textId="4E7C061C" w:rsidR="002445A0" w:rsidRPr="00F82BD9" w:rsidRDefault="002445A0" w:rsidP="00152046">
      <w:pPr>
        <w:pStyle w:val="PZTextodstavce"/>
      </w:pPr>
      <w:r w:rsidRPr="00F82BD9">
        <w:lastRenderedPageBreak/>
        <w:t>(8) Stát neručí za hospodaření a závazky hlavního města Prahy, pokud tento záva</w:t>
      </w:r>
      <w:r>
        <w:t xml:space="preserve">zek nepřevezme stát smluvně. </w:t>
      </w:r>
    </w:p>
    <w:p w14:paraId="5E3BBE1A" w14:textId="77777777" w:rsidR="00152046" w:rsidRDefault="00152046" w:rsidP="00152046">
      <w:pPr>
        <w:pStyle w:val="Paragraf"/>
        <w:numPr>
          <w:ilvl w:val="0"/>
          <w:numId w:val="39"/>
        </w:numPr>
      </w:pPr>
      <w:r>
        <w:t>§ 36</w:t>
      </w:r>
    </w:p>
    <w:p w14:paraId="34F8E6DA" w14:textId="77777777" w:rsidR="00152046" w:rsidRDefault="00152046" w:rsidP="00152046">
      <w:pPr>
        <w:pStyle w:val="Odstavec"/>
      </w:pPr>
      <w:r>
        <w:t xml:space="preserve">(1) </w:t>
      </w:r>
      <w:r w:rsidRPr="00C831C2">
        <w:t>Záměry hlavního města Prahy nebo městských částí prodat, směnit, darovat, pronajmout, propachtovat nebo vypůjčit hmotnou nemovitou věc nebo právo stavby anebo je přenechat jako výprosu a záměry hlavního města Prahy nebo městských částí smluvně zřídit právo stavby k pozemku ve vlastnictví hlavního města Prahy hlavní město Praha nebo městská část zveřejní po dobu nejméně 15 dnů před schválením v orgánech hlavního města Prahy nebo v orgánech městských částí vyvěšením na úřední desce</w:t>
      </w:r>
      <w:r>
        <w:rPr>
          <w:rStyle w:val="Znakapoznpodarou"/>
          <w:rFonts w:eastAsiaTheme="majorEastAsia"/>
        </w:rPr>
        <w:footnoteReference w:customMarkFollows="1" w:id="322"/>
        <w:t>11a)</w:t>
      </w:r>
      <w:r>
        <w:t xml:space="preserve"> </w:t>
      </w:r>
      <w:r w:rsidRPr="00C831C2">
        <w:t>Magistrátu hlavního města Prahy nebo na úřední desce úřadu městské části, aby se k nim mohli zájemci vyjádřit a předložit své nabídky. Záměr může hlavní město Praha nebo městská část zveřejnit způsobem v místě obvyklým. Pokud hlavní město Praha nebo městská část záměr nezveřejní, je právní jednání neplatné. Nemovitá věc se v záměru označí údaji podl</w:t>
      </w:r>
      <w:r>
        <w:t>e zvláštního zákona</w:t>
      </w:r>
      <w:r>
        <w:rPr>
          <w:rStyle w:val="Znakapoznpodarou"/>
          <w:rFonts w:eastAsiaTheme="majorEastAsia"/>
        </w:rPr>
        <w:footnoteReference w:customMarkFollows="1" w:id="323"/>
        <w:t>30)</w:t>
      </w:r>
      <w:r>
        <w:t xml:space="preserve"> </w:t>
      </w:r>
      <w:r w:rsidRPr="00C831C2">
        <w:t>platnými ke dni zveřejnění záměru.</w:t>
      </w:r>
    </w:p>
    <w:p w14:paraId="4BBD1941" w14:textId="77777777" w:rsidR="00152046" w:rsidRPr="002278F7" w:rsidRDefault="00152046" w:rsidP="00152046">
      <w:pPr>
        <w:pStyle w:val="Odstavec"/>
        <w:rPr>
          <w:strike/>
        </w:rPr>
      </w:pPr>
      <w:r w:rsidRPr="002278F7">
        <w:rPr>
          <w:strike/>
        </w:rPr>
        <w:t>(2) Při úplatném převodu majetku se cena sjednává zpravidla ve výši, která je v daném místě a čase obvyklá, nejde-li o cenu regulovanou státem. Odchylka od ceny obvyklé musí být zdůvodněna, jde-li o cenu nižší než obvyklou. Není-li odchylka od ceny obvyklé zdůvodněna, je právní jednání neplatné.</w:t>
      </w:r>
    </w:p>
    <w:p w14:paraId="307EA735" w14:textId="77777777" w:rsidR="00152046" w:rsidRPr="002278F7" w:rsidRDefault="00152046" w:rsidP="00152046">
      <w:pPr>
        <w:pStyle w:val="Textodstavce"/>
        <w:ind w:firstLine="425"/>
        <w:rPr>
          <w:b/>
        </w:rPr>
      </w:pPr>
      <w:r w:rsidRPr="002278F7">
        <w:rPr>
          <w:b/>
        </w:rPr>
        <w:t>(2) Při úplatném převodu majetku se sjednává cena zpravidla ve výši hodnoty obvyklé. Odchylka od obvyklé hodnoty musí být zdůvodněna, jde-li o cenu nižší než obvyklou hodnotu. Není-li odchylka ceny od obvyklé hodnoty zdůvodněna, je právní jednání neplatné.</w:t>
      </w:r>
    </w:p>
    <w:p w14:paraId="05E178DF" w14:textId="77777777" w:rsidR="00152046" w:rsidRDefault="00152046" w:rsidP="00152046">
      <w:pPr>
        <w:pStyle w:val="Odstavec"/>
      </w:pPr>
      <w:r>
        <w:t xml:space="preserve">(3) </w:t>
      </w:r>
      <w:r w:rsidRPr="00C831C2">
        <w:t>Ustanovení odstavce 1 se nepoužije, jde-li o pronájem bytů nebo hrobových míst anebo o pronájem, pacht nebo výpůjčku majetku hlavního města Prahy na dobu kratší než 30 dnů nebo jde-li o pronájem, pacht, výprosu nebo výpůjčku právnické osobě, jejímž zřizovatelem nebo zakladatelem je hlavní město Praha nebo městská část anebo kterou hlavní město Praha nebo městská část ovládá</w:t>
      </w:r>
      <w:r>
        <w:rPr>
          <w:rStyle w:val="Znakapoznpodarou"/>
          <w:rFonts w:eastAsiaTheme="majorEastAsia"/>
        </w:rPr>
        <w:footnoteReference w:customMarkFollows="1" w:id="324"/>
        <w:t>31)</w:t>
      </w:r>
      <w:r w:rsidRPr="00C831C2">
        <w:t>.</w:t>
      </w:r>
    </w:p>
    <w:p w14:paraId="2C79F4AB" w14:textId="77777777" w:rsidR="002445A0" w:rsidRPr="00F82BD9" w:rsidRDefault="002445A0" w:rsidP="00577E63">
      <w:pPr>
        <w:pStyle w:val="Default"/>
        <w:spacing w:before="240" w:after="120"/>
        <w:jc w:val="center"/>
        <w:rPr>
          <w:color w:val="auto"/>
        </w:rPr>
      </w:pPr>
      <w:r w:rsidRPr="00F82BD9">
        <w:rPr>
          <w:color w:val="auto"/>
        </w:rPr>
        <w:t xml:space="preserve">§ 37 </w:t>
      </w:r>
    </w:p>
    <w:p w14:paraId="5DAC053B" w14:textId="77777777" w:rsidR="002445A0" w:rsidRPr="00F82BD9" w:rsidRDefault="002445A0" w:rsidP="00152046">
      <w:pPr>
        <w:pStyle w:val="PZTextodstavce"/>
      </w:pPr>
      <w:r w:rsidRPr="00F82BD9">
        <w:t xml:space="preserve">(1) Stát má právo při bezúplatném převodu či přechodu movitých věcí, práv a nemovitostí na hlavní město Prahu a při finanční spoluúčasti na pořízení takového majetku hlavním městem Prahou vyhradit si stanovení podmínek pro další hospodaření a nakládání s tímto majetkem. </w:t>
      </w:r>
    </w:p>
    <w:p w14:paraId="2B51A2B8" w14:textId="77777777" w:rsidR="002445A0" w:rsidRPr="00F82BD9" w:rsidRDefault="002445A0" w:rsidP="00152046">
      <w:pPr>
        <w:pStyle w:val="PZTextodstavce"/>
      </w:pPr>
      <w:r w:rsidRPr="00F82BD9">
        <w:t xml:space="preserve">(2) Za porušení povinnosti uložené hlavnímu městu Praze podle odstavce 1 může Ministerstvo financí hlavnímu městu Praze uložit pokutu až do výše 1 000 000 Kč v řízení podle zvláštního právního předpisu. Výnos pokut je příjmem státního rozpočtu. </w:t>
      </w:r>
    </w:p>
    <w:p w14:paraId="75DC311A" w14:textId="77777777" w:rsidR="002445A0" w:rsidRPr="00F82BD9" w:rsidRDefault="002445A0" w:rsidP="00152046">
      <w:pPr>
        <w:pStyle w:val="PZTextodstavce"/>
      </w:pPr>
      <w:r w:rsidRPr="00F82BD9">
        <w:t xml:space="preserve">(3) Učiní-li hlavní město Praha právní jednání s majetkem uvedeným v odstavci 1 v rozporu se stanovenými podmínkami a majetek nelze vrátit původnímu účelu, je hlavní město Praha povinno odvést do státního rozpočtu peněžní částku odpovídající obvyklé </w:t>
      </w:r>
      <w:r w:rsidRPr="00540F90">
        <w:rPr>
          <w:strike/>
        </w:rPr>
        <w:t>ceně</w:t>
      </w:r>
      <w:r w:rsidRPr="00F82BD9">
        <w:t xml:space="preserve"> </w:t>
      </w:r>
      <w:r w:rsidRPr="00F82BD9">
        <w:rPr>
          <w:b/>
          <w:bCs/>
        </w:rPr>
        <w:t xml:space="preserve">hodnotě </w:t>
      </w:r>
      <w:r w:rsidRPr="00F82BD9">
        <w:t xml:space="preserve">dotčeného majetku. </w:t>
      </w:r>
    </w:p>
    <w:p w14:paraId="1B549E7F" w14:textId="77777777" w:rsidR="002445A0" w:rsidRPr="00F82BD9" w:rsidRDefault="002445A0" w:rsidP="00152046">
      <w:pPr>
        <w:pStyle w:val="Default"/>
        <w:keepNext/>
        <w:keepLines/>
        <w:spacing w:before="240" w:after="120"/>
        <w:jc w:val="center"/>
        <w:rPr>
          <w:color w:val="auto"/>
        </w:rPr>
      </w:pPr>
      <w:r w:rsidRPr="00F82BD9">
        <w:rPr>
          <w:color w:val="auto"/>
        </w:rPr>
        <w:lastRenderedPageBreak/>
        <w:t xml:space="preserve">*** </w:t>
      </w:r>
    </w:p>
    <w:p w14:paraId="18511EEB" w14:textId="77777777" w:rsidR="002445A0" w:rsidRPr="00F82BD9" w:rsidRDefault="002445A0" w:rsidP="00152046">
      <w:pPr>
        <w:pStyle w:val="Default"/>
        <w:keepNext/>
        <w:keepLines/>
        <w:spacing w:before="240" w:after="120"/>
        <w:jc w:val="center"/>
        <w:rPr>
          <w:color w:val="auto"/>
        </w:rPr>
      </w:pPr>
      <w:r w:rsidRPr="00F82BD9">
        <w:rPr>
          <w:color w:val="auto"/>
        </w:rPr>
        <w:t xml:space="preserve">§ 59 </w:t>
      </w:r>
    </w:p>
    <w:p w14:paraId="7B1BDA5C" w14:textId="77777777" w:rsidR="002445A0" w:rsidRPr="00F82BD9" w:rsidRDefault="002445A0" w:rsidP="00152046">
      <w:pPr>
        <w:pStyle w:val="PZTextodstavce"/>
        <w:keepNext/>
        <w:keepLines/>
      </w:pPr>
      <w:r w:rsidRPr="00F82BD9">
        <w:t xml:space="preserve">(1) Zastupitelstvo hlavního města Prahy rozhoduje ve věcech patřících do samostatné působnosti hlavního města Prahy. </w:t>
      </w:r>
    </w:p>
    <w:p w14:paraId="7694F614" w14:textId="77777777" w:rsidR="002445A0" w:rsidRPr="00F82BD9" w:rsidRDefault="002445A0" w:rsidP="00152046">
      <w:pPr>
        <w:pStyle w:val="PZTextodstavce"/>
      </w:pPr>
      <w:r w:rsidRPr="00F82BD9">
        <w:t xml:space="preserve">(2) Zastupitelstvu hlavního města Prahy je vyhrazeno </w:t>
      </w:r>
    </w:p>
    <w:p w14:paraId="4BB14471" w14:textId="4E64401F" w:rsidR="002445A0" w:rsidRPr="00F82BD9" w:rsidRDefault="00577E63" w:rsidP="00850A92">
      <w:pPr>
        <w:pStyle w:val="PZTextpsmene"/>
        <w:tabs>
          <w:tab w:val="left" w:pos="426"/>
        </w:tabs>
        <w:spacing w:before="0"/>
        <w:ind w:left="426" w:hanging="426"/>
      </w:pPr>
      <w:r>
        <w:t>a)</w:t>
      </w:r>
      <w:r w:rsidR="002445A0">
        <w:tab/>
      </w:r>
      <w:r w:rsidR="002445A0" w:rsidRPr="00F82BD9">
        <w:t xml:space="preserve">předkládat návrhy zákonů Poslanecké sněmovně, </w:t>
      </w:r>
    </w:p>
    <w:p w14:paraId="6A9B8188" w14:textId="574AD07D" w:rsidR="002445A0" w:rsidRPr="00F82BD9" w:rsidRDefault="00577E63" w:rsidP="00850A92">
      <w:pPr>
        <w:pStyle w:val="PZTextpsmene"/>
        <w:tabs>
          <w:tab w:val="left" w:pos="426"/>
        </w:tabs>
        <w:spacing w:before="0"/>
        <w:ind w:left="426" w:hanging="426"/>
      </w:pPr>
      <w:r>
        <w:t>b)</w:t>
      </w:r>
      <w:r w:rsidR="002445A0">
        <w:tab/>
      </w:r>
      <w:r w:rsidR="002445A0" w:rsidRPr="00F82BD9">
        <w:t xml:space="preserve">předkládat návrhy na zrušení jiných právních předpisů Ústavnímu soudu, jsou-li v rozporu se zákonem, </w:t>
      </w:r>
    </w:p>
    <w:p w14:paraId="6AC5407B" w14:textId="1E47F3E7" w:rsidR="002445A0" w:rsidRPr="00F82BD9" w:rsidRDefault="00577E63" w:rsidP="00850A92">
      <w:pPr>
        <w:pStyle w:val="PZTextpsmene"/>
        <w:tabs>
          <w:tab w:val="left" w:pos="426"/>
        </w:tabs>
        <w:spacing w:before="0"/>
        <w:ind w:left="426" w:hanging="426"/>
      </w:pPr>
      <w:r>
        <w:t>c)</w:t>
      </w:r>
      <w:r w:rsidR="002445A0">
        <w:tab/>
      </w:r>
      <w:r w:rsidR="002445A0" w:rsidRPr="00F82BD9">
        <w:t xml:space="preserve">vydávat územně plánovací dokumentaci pro celé území hlavního města Prahy, </w:t>
      </w:r>
    </w:p>
    <w:p w14:paraId="2C47951D" w14:textId="77777777" w:rsidR="002445A0" w:rsidRPr="00F82BD9" w:rsidRDefault="002445A0" w:rsidP="00850A92">
      <w:pPr>
        <w:pStyle w:val="PZTextpsmene"/>
        <w:tabs>
          <w:tab w:val="left" w:pos="426"/>
        </w:tabs>
        <w:spacing w:before="0"/>
        <w:ind w:left="426" w:hanging="426"/>
      </w:pPr>
      <w:r w:rsidRPr="00F82BD9">
        <w:t>d)</w:t>
      </w:r>
      <w:r>
        <w:tab/>
      </w:r>
      <w:r w:rsidRPr="00F82BD9">
        <w:t xml:space="preserve"> schvalovat po projednání s městskými částmi a uskutečňovat strategii rozvoje hlavního města Prahy podle zvláštních právních předpisů; zastupitelstvem hlavního města Prahy musí být vždy projednány připomínky městských částí k návrhu strategie rozvoje hlavního města Prahy, které se dotýkají jejich území, </w:t>
      </w:r>
    </w:p>
    <w:p w14:paraId="513038B3" w14:textId="358D1177" w:rsidR="002445A0" w:rsidRPr="00F82BD9" w:rsidRDefault="00577E63" w:rsidP="00850A92">
      <w:pPr>
        <w:pStyle w:val="PZTextpsmene"/>
        <w:tabs>
          <w:tab w:val="left" w:pos="426"/>
        </w:tabs>
        <w:spacing w:before="0"/>
        <w:ind w:left="426" w:hanging="426"/>
      </w:pPr>
      <w:r>
        <w:t>e)</w:t>
      </w:r>
      <w:r w:rsidR="002445A0">
        <w:tab/>
      </w:r>
      <w:r w:rsidR="002445A0" w:rsidRPr="00F82BD9">
        <w:t xml:space="preserve">schvalovat po projednání s městskými částmi střednědobý výhled rozpočtu hlavního města Prahy, rozpočet hlavního města Prahy, závěrečný účet hlavního města Prahy a </w:t>
      </w:r>
      <w:r w:rsidR="002445A0" w:rsidRPr="00F82BD9">
        <w:rPr>
          <w:b/>
          <w:bCs/>
        </w:rPr>
        <w:t xml:space="preserve">řádnou individuální </w:t>
      </w:r>
      <w:r w:rsidR="002445A0" w:rsidRPr="00F82BD9">
        <w:t xml:space="preserve">účetní závěrku hlavního města Prahy </w:t>
      </w:r>
      <w:r w:rsidR="002445A0" w:rsidRPr="00540F90">
        <w:rPr>
          <w:strike/>
        </w:rPr>
        <w:t>sestavenou k rozvahovému dni</w:t>
      </w:r>
      <w:r w:rsidR="002445A0" w:rsidRPr="00F82BD9">
        <w:t xml:space="preserve">, </w:t>
      </w:r>
    </w:p>
    <w:p w14:paraId="41FC0996" w14:textId="77777777" w:rsidR="002445A0" w:rsidRPr="00F82BD9" w:rsidRDefault="002445A0" w:rsidP="00850A92">
      <w:pPr>
        <w:pStyle w:val="PZTextpsmene"/>
        <w:tabs>
          <w:tab w:val="left" w:pos="426"/>
        </w:tabs>
        <w:spacing w:before="0"/>
        <w:ind w:left="426" w:hanging="426"/>
      </w:pPr>
      <w:r w:rsidRPr="00F82BD9">
        <w:t>f)</w:t>
      </w:r>
      <w:r>
        <w:tab/>
      </w:r>
      <w:r w:rsidRPr="00F82BD9">
        <w:t xml:space="preserve">vydávat obecně závazné vyhlášky ve věcech patřících do samostatné působnosti hlavního města Prahy, </w:t>
      </w:r>
    </w:p>
    <w:p w14:paraId="7D08A22B" w14:textId="617347BF" w:rsidR="002445A0" w:rsidRPr="00F82BD9" w:rsidRDefault="00577E63" w:rsidP="00850A92">
      <w:pPr>
        <w:pStyle w:val="PZTextpsmene"/>
        <w:tabs>
          <w:tab w:val="left" w:pos="426"/>
        </w:tabs>
        <w:spacing w:before="0"/>
        <w:ind w:left="426" w:hanging="426"/>
      </w:pPr>
      <w:r>
        <w:t>g)</w:t>
      </w:r>
      <w:r w:rsidR="002445A0">
        <w:tab/>
      </w:r>
      <w:r w:rsidR="002445A0" w:rsidRPr="00F82BD9">
        <w:t xml:space="preserve">volit primátora hlavního města Prahy a náměstky primátora hlavního města Prahy, jakož i další členy rady hlavního města Prahy (radní) a odvolávat je z funkce, </w:t>
      </w:r>
    </w:p>
    <w:p w14:paraId="4F42544A" w14:textId="3C23930C" w:rsidR="002445A0" w:rsidRPr="00F82BD9" w:rsidRDefault="00577E63" w:rsidP="00850A92">
      <w:pPr>
        <w:pStyle w:val="PZTextpsmene"/>
        <w:tabs>
          <w:tab w:val="left" w:pos="426"/>
        </w:tabs>
        <w:spacing w:before="0"/>
        <w:ind w:left="426" w:hanging="426"/>
      </w:pPr>
      <w:r>
        <w:t>h)</w:t>
      </w:r>
      <w:r w:rsidR="002445A0">
        <w:tab/>
      </w:r>
      <w:r w:rsidR="002445A0" w:rsidRPr="00F82BD9">
        <w:t xml:space="preserve">určovat funkce, pro které budou členové zastupitelstva hlavního města Prahy uvolněni, </w:t>
      </w:r>
    </w:p>
    <w:p w14:paraId="3EA880B6" w14:textId="467458B2" w:rsidR="002445A0" w:rsidRPr="00F82BD9" w:rsidRDefault="00577E63" w:rsidP="00850A92">
      <w:pPr>
        <w:pStyle w:val="PZTextpsmene"/>
        <w:tabs>
          <w:tab w:val="left" w:pos="426"/>
        </w:tabs>
        <w:spacing w:before="0"/>
        <w:ind w:left="426" w:hanging="426"/>
      </w:pPr>
      <w:r>
        <w:t>i)</w:t>
      </w:r>
      <w:r w:rsidR="002445A0">
        <w:tab/>
      </w:r>
      <w:r w:rsidR="002445A0" w:rsidRPr="00F82BD9">
        <w:t xml:space="preserve">rozhodovat o účasti v mezinárodním sdružení s územními samosprávnými celky jiných států a o spolupráci s jinými kraji a obcemi, zakládat, zřizovat, kontrolovat a rušit právnické osoby a organizační složky jako zařízení bez právní subjektivity a schvalovat jejich zakladatelské listiny, společenské smlouvy, zakládací smlouvy, zakládací listiny, stanovy a zřizovací listiny, včetně jejich změn, a rozhodovat o účasti hlavního města Prahy v již založených nebo zřízených právnických osobách, </w:t>
      </w:r>
    </w:p>
    <w:p w14:paraId="615E9A2F" w14:textId="3665D8E1" w:rsidR="002445A0" w:rsidRPr="00F82BD9" w:rsidRDefault="00577E63" w:rsidP="00850A92">
      <w:pPr>
        <w:pStyle w:val="PZTextpsmene"/>
        <w:tabs>
          <w:tab w:val="left" w:pos="426"/>
        </w:tabs>
        <w:spacing w:before="0"/>
        <w:ind w:left="426" w:hanging="426"/>
      </w:pPr>
      <w:r>
        <w:t>j)</w:t>
      </w:r>
      <w:r w:rsidR="002445A0">
        <w:tab/>
      </w:r>
      <w:r w:rsidR="002445A0" w:rsidRPr="00F82BD9">
        <w:t xml:space="preserve">schvalovat po projednání s městskými částmi program rozvoje územního obvodu hlavního města Prahy včetně stanovení rozsahu dopravní obslužnosti území hlavního města Prahy, </w:t>
      </w:r>
    </w:p>
    <w:p w14:paraId="054DF5A3" w14:textId="7113DAAE" w:rsidR="002445A0" w:rsidRPr="00F82BD9" w:rsidRDefault="00577E63" w:rsidP="00850A92">
      <w:pPr>
        <w:pStyle w:val="PZTextpsmene"/>
        <w:tabs>
          <w:tab w:val="left" w:pos="426"/>
        </w:tabs>
        <w:spacing w:before="0"/>
        <w:ind w:left="426" w:hanging="426"/>
      </w:pPr>
      <w:r>
        <w:t>k)</w:t>
      </w:r>
      <w:r w:rsidR="002445A0">
        <w:tab/>
      </w:r>
      <w:r w:rsidR="002445A0" w:rsidRPr="00F82BD9">
        <w:t xml:space="preserve">schvalovat po projednání s městskými částmi koncepci rozvoje informačních systémů pro potřeby hlavního města Prahy a městských částí, </w:t>
      </w:r>
    </w:p>
    <w:p w14:paraId="1AD52BA9" w14:textId="589AE86E" w:rsidR="002445A0" w:rsidRPr="00F82BD9" w:rsidRDefault="00577E63" w:rsidP="00850A92">
      <w:pPr>
        <w:pStyle w:val="PZTextpsmene"/>
        <w:tabs>
          <w:tab w:val="left" w:pos="426"/>
        </w:tabs>
        <w:spacing w:before="0"/>
        <w:ind w:left="426" w:hanging="426"/>
      </w:pPr>
      <w:r>
        <w:t>l)</w:t>
      </w:r>
      <w:r w:rsidR="002445A0">
        <w:tab/>
      </w:r>
      <w:r w:rsidR="002445A0" w:rsidRPr="00F82BD9">
        <w:t xml:space="preserve">zřizovat a rušit trvalé a dočasné peněžní fondy hlavního města Prahy, </w:t>
      </w:r>
    </w:p>
    <w:p w14:paraId="7EF8A3C5" w14:textId="58959968" w:rsidR="002445A0" w:rsidRPr="00F82BD9" w:rsidRDefault="00577E63" w:rsidP="00850A92">
      <w:pPr>
        <w:pStyle w:val="PZTextpsmene"/>
        <w:tabs>
          <w:tab w:val="left" w:pos="426"/>
        </w:tabs>
        <w:spacing w:before="0"/>
        <w:ind w:left="426" w:hanging="426"/>
      </w:pPr>
      <w:r>
        <w:t>m)</w:t>
      </w:r>
      <w:r w:rsidR="002445A0">
        <w:tab/>
      </w:r>
      <w:r w:rsidR="002445A0" w:rsidRPr="00F82BD9">
        <w:t>rozhodovat o vyhlášení místního referenda na celém</w:t>
      </w:r>
      <w:r w:rsidR="002445A0">
        <w:t xml:space="preserve"> území hlavního města Prahy,</w:t>
      </w:r>
    </w:p>
    <w:p w14:paraId="23AFB14F" w14:textId="56E0D0F4" w:rsidR="002445A0" w:rsidRPr="00F82BD9" w:rsidRDefault="00577E63" w:rsidP="00850A92">
      <w:pPr>
        <w:pStyle w:val="PZTextpsmene"/>
        <w:tabs>
          <w:tab w:val="left" w:pos="426"/>
        </w:tabs>
        <w:spacing w:before="0"/>
        <w:ind w:left="426" w:hanging="426"/>
      </w:pPr>
      <w:r>
        <w:t>n)</w:t>
      </w:r>
      <w:r w:rsidR="002445A0">
        <w:tab/>
      </w:r>
      <w:r w:rsidR="002445A0" w:rsidRPr="00F82BD9">
        <w:t xml:space="preserve">navrhovat změny katastrálních území uvnitř hlavního města Prahy, </w:t>
      </w:r>
    </w:p>
    <w:p w14:paraId="2631D72D" w14:textId="33FE7A0B" w:rsidR="002445A0" w:rsidRPr="00F82BD9" w:rsidRDefault="00577E63" w:rsidP="00850A92">
      <w:pPr>
        <w:pStyle w:val="PZTextpsmene"/>
        <w:tabs>
          <w:tab w:val="left" w:pos="426"/>
        </w:tabs>
        <w:spacing w:before="0"/>
        <w:ind w:left="426" w:hanging="426"/>
      </w:pPr>
      <w:r>
        <w:t>o)</w:t>
      </w:r>
      <w:r w:rsidR="002445A0">
        <w:tab/>
      </w:r>
      <w:r w:rsidR="002445A0" w:rsidRPr="00F82BD9">
        <w:t xml:space="preserve">zřizovat a rušit výbory zastupitelstva hlavního města Prahy a volit jejich členy, </w:t>
      </w:r>
    </w:p>
    <w:p w14:paraId="6118AB05" w14:textId="4DFA1E1F" w:rsidR="002445A0" w:rsidRPr="00F82BD9" w:rsidRDefault="00577E63" w:rsidP="00850A92">
      <w:pPr>
        <w:pStyle w:val="PZTextpsmene"/>
        <w:tabs>
          <w:tab w:val="left" w:pos="426"/>
        </w:tabs>
        <w:spacing w:before="0"/>
        <w:ind w:left="426" w:hanging="426"/>
      </w:pPr>
      <w:r>
        <w:t>p)</w:t>
      </w:r>
      <w:r w:rsidR="002445A0">
        <w:tab/>
      </w:r>
      <w:r w:rsidR="002445A0" w:rsidRPr="00F82BD9">
        <w:t xml:space="preserve">zřizovat a rušit městskou policii hlavního města Prahy, </w:t>
      </w:r>
    </w:p>
    <w:p w14:paraId="0A65B836" w14:textId="4EF54F49" w:rsidR="002445A0" w:rsidRPr="00F82BD9" w:rsidRDefault="00577E63" w:rsidP="00850A92">
      <w:pPr>
        <w:pStyle w:val="PZTextpsmene"/>
        <w:tabs>
          <w:tab w:val="left" w:pos="426"/>
        </w:tabs>
        <w:spacing w:before="0"/>
        <w:ind w:left="426" w:hanging="426"/>
      </w:pPr>
      <w:r>
        <w:t>q)</w:t>
      </w:r>
      <w:r w:rsidR="002445A0">
        <w:tab/>
      </w:r>
      <w:r w:rsidR="002445A0" w:rsidRPr="00F82BD9">
        <w:t xml:space="preserve">rozhodovat o spolupráci hlavního města Prahy s jinými územními samosprávnými celky a o formách této spolupráce, </w:t>
      </w:r>
    </w:p>
    <w:p w14:paraId="7B58977A" w14:textId="07BFAC0B" w:rsidR="002445A0" w:rsidRPr="00F82BD9" w:rsidRDefault="00577E63" w:rsidP="00850A92">
      <w:pPr>
        <w:pStyle w:val="PZTextpsmene"/>
        <w:tabs>
          <w:tab w:val="left" w:pos="426"/>
        </w:tabs>
        <w:spacing w:before="0"/>
        <w:ind w:left="426" w:hanging="426"/>
      </w:pPr>
      <w:r>
        <w:t>r)</w:t>
      </w:r>
      <w:r w:rsidR="002445A0">
        <w:tab/>
      </w:r>
      <w:r w:rsidR="002445A0" w:rsidRPr="00F82BD9">
        <w:t xml:space="preserve">rozhodovat o zrušení usnesení rady hlavního města Prahy, jehož výkon primátor pozastavil podle § 73, </w:t>
      </w:r>
    </w:p>
    <w:p w14:paraId="10B81570" w14:textId="7C10D41C" w:rsidR="002445A0" w:rsidRPr="00F82BD9" w:rsidRDefault="00577E63" w:rsidP="00850A92">
      <w:pPr>
        <w:pStyle w:val="PZTextpsmene"/>
        <w:tabs>
          <w:tab w:val="left" w:pos="426"/>
        </w:tabs>
        <w:spacing w:before="0"/>
        <w:ind w:left="426" w:hanging="426"/>
      </w:pPr>
      <w:r>
        <w:t>s)</w:t>
      </w:r>
      <w:r w:rsidR="002445A0">
        <w:tab/>
      </w:r>
      <w:r w:rsidR="002445A0" w:rsidRPr="00F82BD9">
        <w:t xml:space="preserve">udělovat a odnímat čestné občanství a ceny hlavního města Prahy, </w:t>
      </w:r>
    </w:p>
    <w:p w14:paraId="011B35BE" w14:textId="7CF72FD9" w:rsidR="002445A0" w:rsidRPr="00F82BD9" w:rsidRDefault="00577E63" w:rsidP="00850A92">
      <w:pPr>
        <w:pStyle w:val="PZTextpsmene"/>
        <w:tabs>
          <w:tab w:val="left" w:pos="426"/>
        </w:tabs>
        <w:spacing w:before="0"/>
        <w:ind w:left="426" w:hanging="426"/>
      </w:pPr>
      <w:r>
        <w:t>t)</w:t>
      </w:r>
      <w:r w:rsidR="002445A0">
        <w:tab/>
      </w:r>
      <w:r w:rsidR="002445A0" w:rsidRPr="00F82BD9">
        <w:t xml:space="preserve">delegovat zástupce hlavního města Prahy, s výjimkou § 68 odst. 2 písm. h), na valnou hromadu obchodních společností, v nichž má hlavní město Praha majetkovou účast, </w:t>
      </w:r>
    </w:p>
    <w:p w14:paraId="0BE97B84" w14:textId="65EEE78A" w:rsidR="002445A0" w:rsidRPr="00F82BD9" w:rsidRDefault="00577E63" w:rsidP="00850A92">
      <w:pPr>
        <w:pStyle w:val="PZTextpsmene"/>
        <w:tabs>
          <w:tab w:val="left" w:pos="426"/>
        </w:tabs>
        <w:spacing w:before="0"/>
        <w:ind w:left="426" w:hanging="426"/>
      </w:pPr>
      <w:r>
        <w:t>u)</w:t>
      </w:r>
      <w:r w:rsidR="002445A0">
        <w:tab/>
      </w:r>
      <w:r w:rsidR="002445A0" w:rsidRPr="00F82BD9">
        <w:t xml:space="preserve">stanovit výši odměn neuvolněným členům zastupitelstva hlavního města Prahy za měsíc, </w:t>
      </w:r>
    </w:p>
    <w:p w14:paraId="173420FE" w14:textId="34C49265" w:rsidR="002445A0" w:rsidRPr="00F82BD9" w:rsidRDefault="00577E63" w:rsidP="00850A92">
      <w:pPr>
        <w:pStyle w:val="PZTextpsmene"/>
        <w:tabs>
          <w:tab w:val="left" w:pos="426"/>
        </w:tabs>
        <w:spacing w:before="0"/>
        <w:ind w:left="426" w:hanging="426"/>
      </w:pPr>
      <w:r>
        <w:t>v)</w:t>
      </w:r>
      <w:r w:rsidR="002445A0">
        <w:tab/>
      </w:r>
      <w:r w:rsidR="002445A0" w:rsidRPr="00F82BD9">
        <w:t xml:space="preserve">stanovit paušální částku náhrady výdělku ušlého v souvislosti s výkonem funkce podle § 52 odst. 5, rozhodovat o mimořádných odměnách podle § 57 a o plněních pro členy zastupitelstva hlavního města Prahy podle § 58c, </w:t>
      </w:r>
    </w:p>
    <w:p w14:paraId="45E26B6E" w14:textId="15985AD1" w:rsidR="002445A0" w:rsidRPr="00F82BD9" w:rsidRDefault="00577E63" w:rsidP="00850A92">
      <w:pPr>
        <w:pStyle w:val="PZTextpsmene"/>
        <w:tabs>
          <w:tab w:val="left" w:pos="426"/>
        </w:tabs>
        <w:spacing w:before="0"/>
        <w:ind w:left="426" w:hanging="426"/>
      </w:pPr>
      <w:r>
        <w:lastRenderedPageBreak/>
        <w:t>w)</w:t>
      </w:r>
      <w:r w:rsidR="002445A0">
        <w:tab/>
      </w:r>
      <w:r w:rsidR="002445A0" w:rsidRPr="00F82BD9">
        <w:t xml:space="preserve">stanovit pravidla pro poskytování cestovních náhrad členům zastupitelstva hlavního města Prahy, </w:t>
      </w:r>
    </w:p>
    <w:p w14:paraId="1A40312B" w14:textId="22B479D9" w:rsidR="002445A0" w:rsidRPr="00F82BD9" w:rsidRDefault="00577E63" w:rsidP="00850A92">
      <w:pPr>
        <w:pStyle w:val="PZTextpsmene"/>
        <w:tabs>
          <w:tab w:val="left" w:pos="426"/>
        </w:tabs>
        <w:spacing w:before="0"/>
        <w:ind w:left="426" w:hanging="426"/>
      </w:pPr>
      <w:r>
        <w:t>x)</w:t>
      </w:r>
      <w:r>
        <w:tab/>
      </w:r>
      <w:r w:rsidR="002445A0" w:rsidRPr="00F82BD9">
        <w:t xml:space="preserve">rozhodovat o peněžitých plněních poskytovaných fyzickým osobám, které nejsou členy zastupitelstva hlavního města Prahy, za výkon funkce členů výborů zastupitelstva hlavního města Prahy, komisí rady hlavního města Prahy a zvláštních orgánů hlavního města Prahy, </w:t>
      </w:r>
    </w:p>
    <w:p w14:paraId="2BAB0475" w14:textId="6700BF36" w:rsidR="002445A0" w:rsidRPr="00F82BD9" w:rsidRDefault="00577E63" w:rsidP="00850A92">
      <w:pPr>
        <w:pStyle w:val="PZTextpsmene"/>
        <w:tabs>
          <w:tab w:val="left" w:pos="426"/>
        </w:tabs>
        <w:spacing w:before="0"/>
        <w:ind w:left="426" w:hanging="426"/>
      </w:pPr>
      <w:r>
        <w:t>y)</w:t>
      </w:r>
      <w:r>
        <w:tab/>
      </w:r>
      <w:r w:rsidR="002445A0" w:rsidRPr="00F82BD9">
        <w:t xml:space="preserve">vyslovovat souhlas se vznikem pracovněprávního vztahu mezi hlavním městem Prahou a členem zastupitelstva hlavního města Prahy, </w:t>
      </w:r>
    </w:p>
    <w:p w14:paraId="5AD6BB11" w14:textId="2688BE7E" w:rsidR="002445A0" w:rsidRPr="00F82BD9" w:rsidRDefault="00577E63" w:rsidP="00850A92">
      <w:pPr>
        <w:pStyle w:val="PZTextpsmene"/>
        <w:tabs>
          <w:tab w:val="left" w:pos="426"/>
        </w:tabs>
        <w:spacing w:before="0"/>
        <w:ind w:left="426" w:hanging="426"/>
      </w:pPr>
      <w:r>
        <w:t>z)</w:t>
      </w:r>
      <w:r>
        <w:tab/>
      </w:r>
      <w:r w:rsidR="002445A0" w:rsidRPr="00F82BD9">
        <w:t xml:space="preserve">další záležitosti, které zastupitelstvu hlavního města Prahy svěří zákon. </w:t>
      </w:r>
    </w:p>
    <w:p w14:paraId="7AD36EB6" w14:textId="77777777" w:rsidR="002445A0" w:rsidRPr="00F82BD9" w:rsidRDefault="002445A0" w:rsidP="00152046">
      <w:pPr>
        <w:pStyle w:val="PZTextodstavce"/>
      </w:pPr>
      <w:r w:rsidRPr="00F82BD9">
        <w:t xml:space="preserve">(3) Zastupitelstvu hlavního města Prahy je vyhrazeno rozhodování o těchto právních jednáních: </w:t>
      </w:r>
    </w:p>
    <w:p w14:paraId="1C4B3FC5" w14:textId="32CB9588" w:rsidR="002445A0" w:rsidRPr="00F82BD9" w:rsidRDefault="00EB5EEE" w:rsidP="00850A92">
      <w:pPr>
        <w:pStyle w:val="PZTextpsmene"/>
        <w:tabs>
          <w:tab w:val="left" w:pos="420"/>
        </w:tabs>
        <w:spacing w:before="0"/>
        <w:ind w:left="426" w:hanging="426"/>
      </w:pPr>
      <w:r>
        <w:t>a)</w:t>
      </w:r>
      <w:r w:rsidR="002445A0">
        <w:tab/>
      </w:r>
      <w:r w:rsidR="002445A0" w:rsidRPr="00F82BD9">
        <w:t xml:space="preserve">o vydání komunálních dluhopisů, </w:t>
      </w:r>
    </w:p>
    <w:p w14:paraId="0DDA2197" w14:textId="6994CDE5" w:rsidR="002445A0" w:rsidRPr="00F82BD9" w:rsidRDefault="00EB5EEE" w:rsidP="00850A92">
      <w:pPr>
        <w:pStyle w:val="PZTextpsmene"/>
        <w:tabs>
          <w:tab w:val="left" w:pos="420"/>
        </w:tabs>
        <w:spacing w:before="0"/>
        <w:ind w:left="426" w:hanging="426"/>
      </w:pPr>
      <w:r>
        <w:t>b)</w:t>
      </w:r>
      <w:r w:rsidR="002445A0">
        <w:tab/>
      </w:r>
      <w:r w:rsidR="002445A0" w:rsidRPr="00F82BD9">
        <w:t xml:space="preserve">o majetkové účasti hlavního města Prahy na podnikání jiných osob s výjimkou právnických osob založených nebo zřízených hlavním městem Prahou o hodnotě vyšší než 25 000 000 Kč, </w:t>
      </w:r>
    </w:p>
    <w:p w14:paraId="04475A1A" w14:textId="62141EE1" w:rsidR="002445A0" w:rsidRPr="00F82BD9" w:rsidRDefault="00EB5EEE" w:rsidP="00850A92">
      <w:pPr>
        <w:pStyle w:val="PZTextpsmene"/>
        <w:tabs>
          <w:tab w:val="left" w:pos="420"/>
        </w:tabs>
        <w:spacing w:before="0"/>
        <w:ind w:left="426" w:hanging="426"/>
      </w:pPr>
      <w:r>
        <w:t>c)</w:t>
      </w:r>
      <w:r w:rsidR="002445A0">
        <w:tab/>
      </w:r>
      <w:r w:rsidR="002445A0" w:rsidRPr="00F82BD9">
        <w:t>o přijetí a poskytnutí úvěru nebo zápůjčky a uzavření smlouvy o společnosti</w:t>
      </w:r>
      <w:r w:rsidR="002445A0" w:rsidRPr="001C454C">
        <w:rPr>
          <w:vertAlign w:val="superscript"/>
        </w:rPr>
        <w:footnoteReference w:customMarkFollows="1" w:id="325"/>
        <w:t>26)</w:t>
      </w:r>
      <w:r w:rsidR="002445A0" w:rsidRPr="00F82BD9">
        <w:t xml:space="preserve">, jde-li o závazek větší než 50 000 000 Kč, </w:t>
      </w:r>
    </w:p>
    <w:p w14:paraId="40584C6C" w14:textId="24FABE1E" w:rsidR="002445A0" w:rsidRPr="00F82BD9" w:rsidRDefault="00EB5EEE" w:rsidP="00850A92">
      <w:pPr>
        <w:pStyle w:val="PZTextpsmene"/>
        <w:tabs>
          <w:tab w:val="left" w:pos="420"/>
        </w:tabs>
        <w:spacing w:before="0"/>
        <w:ind w:left="426" w:hanging="426"/>
      </w:pPr>
      <w:r>
        <w:t>d)</w:t>
      </w:r>
      <w:r w:rsidR="002445A0">
        <w:tab/>
      </w:r>
      <w:r w:rsidR="002445A0" w:rsidRPr="00F82BD9">
        <w:t xml:space="preserve">o převzetí dluhu, ručení za závazky jiných osob, převzetí ručitelského závazku a přistoupení k závazku, jde-li o závazek větší než 25 000 000 Kč, </w:t>
      </w:r>
    </w:p>
    <w:p w14:paraId="16788ED3" w14:textId="71967859" w:rsidR="002445A0" w:rsidRPr="00F82BD9" w:rsidRDefault="00EB5EEE" w:rsidP="00850A92">
      <w:pPr>
        <w:pStyle w:val="PZTextpsmene"/>
        <w:tabs>
          <w:tab w:val="left" w:pos="420"/>
        </w:tabs>
        <w:spacing w:before="0"/>
        <w:ind w:left="426" w:hanging="426"/>
      </w:pPr>
      <w:r>
        <w:t>e)</w:t>
      </w:r>
      <w:r w:rsidR="002445A0">
        <w:tab/>
      </w:r>
      <w:r w:rsidR="002445A0" w:rsidRPr="00F82BD9">
        <w:t>o poskytování dotací a půjček městským částem z rozpočtu hlavního města Prahy, s výjimkou dotací poskytovaných ze státního rozpočtu nebo rozpočtu státního fondu a s výjimkou poskytování dotací v době trvání krizového stavu</w:t>
      </w:r>
      <w:r w:rsidR="002445A0">
        <w:rPr>
          <w:rStyle w:val="Znakapoznpodarou"/>
        </w:rPr>
        <w:footnoteReference w:customMarkFollows="1" w:id="326"/>
        <w:t>25)</w:t>
      </w:r>
      <w:r w:rsidR="002445A0" w:rsidRPr="00F82BD9">
        <w:t xml:space="preserve">, mimořádného opatření při epidemii nebo nebezpečí jejího vzniku nebo mimořádného veterinárního opatření a v souvislosti s nimi, </w:t>
      </w:r>
    </w:p>
    <w:p w14:paraId="2A0BE1FC" w14:textId="27F10996" w:rsidR="002445A0" w:rsidRPr="00F82BD9" w:rsidRDefault="00EB5EEE" w:rsidP="00850A92">
      <w:pPr>
        <w:pStyle w:val="PZTextpsmene"/>
        <w:tabs>
          <w:tab w:val="left" w:pos="420"/>
        </w:tabs>
        <w:spacing w:before="0"/>
        <w:ind w:left="426" w:hanging="426"/>
      </w:pPr>
      <w:r>
        <w:t>f)</w:t>
      </w:r>
      <w:r w:rsidR="002445A0">
        <w:tab/>
      </w:r>
      <w:r w:rsidR="002445A0" w:rsidRPr="00F82BD9">
        <w:t>o poskytování dotací a návratných finančních výpomocí nad 1 000 000 Kč v jednotlivých případech fyzickým nebo právnickým osobám a o uzavření veřejnoprávní smlouvy o jejich poskytnutí, nejedná-li se o dotace z prostředků státního rozpočtu, o návratné finanční výpomoci příspěvkovým organizacím zřízeným hlavním městem Prahou nebo o dotace nebo návratné finanční výpomoci poskytované v době trvání krizového stavu</w:t>
      </w:r>
      <w:r w:rsidR="002445A0" w:rsidRPr="001C454C">
        <w:rPr>
          <w:vertAlign w:val="superscript"/>
        </w:rPr>
        <w:t>25)</w:t>
      </w:r>
      <w:r w:rsidR="002445A0" w:rsidRPr="00F82BD9">
        <w:t xml:space="preserve">, mimořádného opatření při epidemii nebo nebezpečí jejího vzniku nebo mimořádného veterinárního opatření a v souvislosti s nimi, </w:t>
      </w:r>
    </w:p>
    <w:p w14:paraId="24E95644" w14:textId="3BF8C74D" w:rsidR="002445A0" w:rsidRPr="00F82BD9" w:rsidRDefault="00EB5EEE" w:rsidP="00850A92">
      <w:pPr>
        <w:pStyle w:val="PZTextpsmene"/>
        <w:tabs>
          <w:tab w:val="left" w:pos="420"/>
        </w:tabs>
        <w:spacing w:before="0"/>
        <w:ind w:left="426" w:hanging="426"/>
      </w:pPr>
      <w:r>
        <w:t>g)</w:t>
      </w:r>
      <w:r w:rsidR="002445A0">
        <w:tab/>
      </w:r>
      <w:r w:rsidR="002445A0" w:rsidRPr="00F82BD9">
        <w:t xml:space="preserve">o bezúplatném postoupení pohledávek vyšších než 50 000 000 Kč, </w:t>
      </w:r>
    </w:p>
    <w:p w14:paraId="269F40C0" w14:textId="4C918C61" w:rsidR="002445A0" w:rsidRPr="00F82BD9" w:rsidRDefault="00EB5EEE" w:rsidP="00850A92">
      <w:pPr>
        <w:pStyle w:val="PZTextpsmene"/>
        <w:tabs>
          <w:tab w:val="left" w:pos="420"/>
        </w:tabs>
        <w:spacing w:before="0"/>
        <w:ind w:left="426" w:hanging="426"/>
      </w:pPr>
      <w:r>
        <w:t>h)</w:t>
      </w:r>
      <w:r w:rsidR="002445A0">
        <w:tab/>
      </w:r>
      <w:r w:rsidR="002445A0" w:rsidRPr="00F82BD9">
        <w:t xml:space="preserve">o zastavení nemovitých věcí, </w:t>
      </w:r>
    </w:p>
    <w:p w14:paraId="4B8D1C62" w14:textId="60C4659B" w:rsidR="002445A0" w:rsidRPr="00F82BD9" w:rsidRDefault="00EB5EEE" w:rsidP="00850A92">
      <w:pPr>
        <w:pStyle w:val="PZTextpsmene"/>
        <w:tabs>
          <w:tab w:val="left" w:pos="420"/>
        </w:tabs>
        <w:spacing w:before="0"/>
        <w:ind w:left="426" w:hanging="426"/>
      </w:pPr>
      <w:r>
        <w:t>i)</w:t>
      </w:r>
      <w:r w:rsidR="002445A0">
        <w:tab/>
      </w:r>
      <w:r w:rsidR="002445A0" w:rsidRPr="00F82BD9">
        <w:t xml:space="preserve">o nabytí a převodu hmotných nemovitých věcí, s výjimkou inženýrských </w:t>
      </w:r>
      <w:r w:rsidR="002445A0">
        <w:t xml:space="preserve">sítí a pozemních komunikací, </w:t>
      </w:r>
    </w:p>
    <w:p w14:paraId="7F86A939" w14:textId="46C5C886" w:rsidR="002445A0" w:rsidRPr="00F82BD9" w:rsidRDefault="00EB5EEE" w:rsidP="00850A92">
      <w:pPr>
        <w:pStyle w:val="PZTextpsmene"/>
        <w:tabs>
          <w:tab w:val="left" w:pos="420"/>
        </w:tabs>
        <w:spacing w:before="0"/>
        <w:ind w:left="426" w:hanging="426"/>
      </w:pPr>
      <w:r>
        <w:t>j)</w:t>
      </w:r>
      <w:r>
        <w:tab/>
      </w:r>
      <w:r w:rsidR="002445A0" w:rsidRPr="00F82BD9">
        <w:t xml:space="preserve">o peněžitých i nepeněžitých vkladech do obchodních společností, nadací a obecně prospěšných společností a svazků obcí v hodnotě vyšší než 25 000 000 Kč, </w:t>
      </w:r>
    </w:p>
    <w:p w14:paraId="6C16F6CD" w14:textId="4F7DAF39" w:rsidR="002445A0" w:rsidRPr="00F82BD9" w:rsidRDefault="00EB5EEE" w:rsidP="00850A92">
      <w:pPr>
        <w:pStyle w:val="PZTextpsmene"/>
        <w:tabs>
          <w:tab w:val="left" w:pos="420"/>
        </w:tabs>
        <w:spacing w:before="0"/>
        <w:ind w:left="426" w:hanging="426"/>
      </w:pPr>
      <w:r>
        <w:t>k)</w:t>
      </w:r>
      <w:r>
        <w:tab/>
      </w:r>
      <w:r w:rsidR="002445A0" w:rsidRPr="00F82BD9">
        <w:t xml:space="preserve">o darování movitých věcí včetně peněz v celkové hodnotě vyšší než 10 000 000 Kč ročně jedné fyzické nebo právnické osobě v jednom kalendářním roce, s výjimkou poskytování jednorázových sociálních výpomocí občanům a s výjimkou darování ztracených a opuštěných zvířat fyzickým a právnickým osobám, </w:t>
      </w:r>
    </w:p>
    <w:p w14:paraId="4807037E" w14:textId="50AFC032" w:rsidR="002445A0" w:rsidRPr="00F82BD9" w:rsidRDefault="0049569D" w:rsidP="00850A92">
      <w:pPr>
        <w:pStyle w:val="PZTextpsmene"/>
        <w:tabs>
          <w:tab w:val="left" w:pos="420"/>
        </w:tabs>
        <w:spacing w:before="0"/>
        <w:ind w:left="426" w:hanging="426"/>
      </w:pPr>
      <w:r>
        <w:t>l)</w:t>
      </w:r>
      <w:r w:rsidR="002445A0">
        <w:tab/>
      </w:r>
      <w:r w:rsidR="002445A0" w:rsidRPr="00F82BD9">
        <w:t xml:space="preserve">o vzdání se práva a prominutí dluhu vyšší než 25 000 000 Kč, </w:t>
      </w:r>
    </w:p>
    <w:p w14:paraId="501DDDB4" w14:textId="544C8CDC" w:rsidR="002445A0" w:rsidRPr="00F82BD9" w:rsidRDefault="0049569D" w:rsidP="00850A92">
      <w:pPr>
        <w:pStyle w:val="PZTextpsmene"/>
        <w:tabs>
          <w:tab w:val="left" w:pos="420"/>
        </w:tabs>
        <w:spacing w:before="0"/>
        <w:ind w:left="426" w:hanging="426"/>
      </w:pPr>
      <w:r>
        <w:t>m)</w:t>
      </w:r>
      <w:r w:rsidR="002445A0">
        <w:tab/>
      </w:r>
      <w:r w:rsidR="002445A0" w:rsidRPr="00F82BD9">
        <w:t xml:space="preserve">o zastavení movitých věcí nebo práv v hodnotě vyšší než 25 000 000 Kč, </w:t>
      </w:r>
    </w:p>
    <w:p w14:paraId="24CF0F92" w14:textId="474BCDF9" w:rsidR="002445A0" w:rsidRPr="00F82BD9" w:rsidRDefault="0049569D" w:rsidP="00850A92">
      <w:pPr>
        <w:pStyle w:val="PZTextpsmene"/>
        <w:tabs>
          <w:tab w:val="left" w:pos="420"/>
        </w:tabs>
        <w:spacing w:before="0"/>
        <w:ind w:left="426" w:hanging="426"/>
      </w:pPr>
      <w:r>
        <w:lastRenderedPageBreak/>
        <w:t>n)</w:t>
      </w:r>
      <w:r w:rsidR="002445A0">
        <w:tab/>
      </w:r>
      <w:r w:rsidR="002445A0" w:rsidRPr="00F82BD9">
        <w:t xml:space="preserve">o dohodách o splátkách s lhůtou splatnosti delší než 18 měsíců, </w:t>
      </w:r>
    </w:p>
    <w:p w14:paraId="36950AF6" w14:textId="1CEAD0D1" w:rsidR="002445A0" w:rsidRPr="00F82BD9" w:rsidRDefault="0049569D" w:rsidP="00850A92">
      <w:pPr>
        <w:pStyle w:val="PZTextpsmene"/>
        <w:tabs>
          <w:tab w:val="left" w:pos="420"/>
        </w:tabs>
        <w:spacing w:before="0"/>
        <w:ind w:left="426" w:hanging="426"/>
      </w:pPr>
      <w:r>
        <w:t>o)</w:t>
      </w:r>
      <w:r w:rsidR="002445A0">
        <w:tab/>
      </w:r>
      <w:r w:rsidR="002445A0" w:rsidRPr="00F82BD9">
        <w:t xml:space="preserve">nabytí a převod práva stavby a smluvní zřízení práva stavby k pozemku ve vlastnictví hlavního města Prahy, </w:t>
      </w:r>
    </w:p>
    <w:p w14:paraId="0ED25EAE" w14:textId="7931D249" w:rsidR="002445A0" w:rsidRPr="00F82BD9" w:rsidRDefault="0049569D" w:rsidP="00850A92">
      <w:pPr>
        <w:pStyle w:val="PZTextpsmene"/>
        <w:tabs>
          <w:tab w:val="left" w:pos="420"/>
        </w:tabs>
        <w:spacing w:before="0"/>
        <w:ind w:left="426" w:hanging="426"/>
      </w:pPr>
      <w:r>
        <w:t>p)</w:t>
      </w:r>
      <w:r w:rsidR="002445A0">
        <w:tab/>
      </w:r>
      <w:r w:rsidR="002445A0" w:rsidRPr="00F82BD9">
        <w:t xml:space="preserve">zpeněžení hmotné nemovité věci ve vlastnictví hlavního města Prahy nebo práva stavby ve veřejné dražbě a nabytí hmotné nemovité věci nebo práva stavby hlavním městem Prahou v dražbě, ve veřejné soutěži o nejvhodnější nabídku nebo jiným obdobným způsobem; tuto pravomoc může zastupitelstvo hlavního města Prahy zcela nebo zčásti svěřit radě hlavního města Prahy nebo primátorovi hlavního města Prahy. </w:t>
      </w:r>
    </w:p>
    <w:p w14:paraId="3786EE7C" w14:textId="77777777" w:rsidR="002445A0" w:rsidRPr="00F82BD9" w:rsidRDefault="002445A0" w:rsidP="00152046">
      <w:pPr>
        <w:pStyle w:val="PZTextodstavce"/>
      </w:pPr>
      <w:r w:rsidRPr="00F82BD9">
        <w:t xml:space="preserve">(4) Zastupitelstvo hlavního města Prahy si může vyhradit další pravomoci v samostatné působnosti hlavního města Prahy mimo pravomoci vyhrazené radě hlavního města Prahy dle § 68 odst. 2. </w:t>
      </w:r>
    </w:p>
    <w:p w14:paraId="4E77EA81" w14:textId="77777777" w:rsidR="002445A0" w:rsidRPr="00F82BD9" w:rsidRDefault="002445A0" w:rsidP="00152046">
      <w:pPr>
        <w:pStyle w:val="PZTextodstavce"/>
      </w:pPr>
      <w:r w:rsidRPr="00F82BD9">
        <w:t xml:space="preserve">(5) Ve věcech přenesené působnosti rozhoduje zastupitelstvo hlavního města Prahy, jen stanoví-li tak zákon. </w:t>
      </w:r>
    </w:p>
    <w:p w14:paraId="696C406F" w14:textId="77777777" w:rsidR="002445A0" w:rsidRPr="00F82BD9" w:rsidRDefault="002445A0" w:rsidP="0049569D">
      <w:pPr>
        <w:pStyle w:val="Default"/>
        <w:spacing w:before="240" w:after="120"/>
        <w:jc w:val="center"/>
        <w:rPr>
          <w:color w:val="auto"/>
        </w:rPr>
      </w:pPr>
      <w:r w:rsidRPr="00F82BD9">
        <w:rPr>
          <w:color w:val="auto"/>
        </w:rPr>
        <w:t xml:space="preserve">*** </w:t>
      </w:r>
    </w:p>
    <w:p w14:paraId="78F0DFE7" w14:textId="77777777" w:rsidR="002445A0" w:rsidRPr="001C454C" w:rsidRDefault="002445A0" w:rsidP="0049569D">
      <w:pPr>
        <w:pStyle w:val="Default"/>
        <w:spacing w:before="240" w:after="120"/>
        <w:jc w:val="center"/>
        <w:rPr>
          <w:b/>
          <w:color w:val="auto"/>
        </w:rPr>
      </w:pPr>
      <w:r w:rsidRPr="001C454C">
        <w:rPr>
          <w:b/>
          <w:color w:val="auto"/>
        </w:rPr>
        <w:t xml:space="preserve">Rada hlavního města Prahy </w:t>
      </w:r>
    </w:p>
    <w:p w14:paraId="4BCA8B3E" w14:textId="77777777" w:rsidR="002445A0" w:rsidRPr="00F82BD9" w:rsidRDefault="002445A0" w:rsidP="0049569D">
      <w:pPr>
        <w:pStyle w:val="Default"/>
        <w:spacing w:before="240" w:after="120"/>
        <w:jc w:val="center"/>
        <w:rPr>
          <w:color w:val="auto"/>
        </w:rPr>
      </w:pPr>
      <w:r w:rsidRPr="00F82BD9">
        <w:rPr>
          <w:color w:val="auto"/>
        </w:rPr>
        <w:t xml:space="preserve">§ 68 </w:t>
      </w:r>
    </w:p>
    <w:p w14:paraId="344C99C6" w14:textId="77777777" w:rsidR="002445A0" w:rsidRPr="00F82BD9" w:rsidRDefault="002445A0" w:rsidP="00152046">
      <w:pPr>
        <w:pStyle w:val="PZTextodstavce"/>
      </w:pPr>
      <w:r w:rsidRPr="00F82BD9">
        <w:t xml:space="preserve">(1) Rada hlavního města Prahy je výkonným orgánem hlavního města Prahy v oblasti samostatné působnosti odpovědným ze své činnosti zastupitelstvu hlavního města Prahy. Rada hlavního města Prahy připravuje návrhy pro jednání zastupitelstva hlavního města Prahy a zabezpečuje plnění jím přijatých usnesení. </w:t>
      </w:r>
    </w:p>
    <w:p w14:paraId="79B40902" w14:textId="77777777" w:rsidR="002445A0" w:rsidRPr="00F82BD9" w:rsidRDefault="002445A0" w:rsidP="00152046">
      <w:pPr>
        <w:pStyle w:val="PZTextodstavce"/>
      </w:pPr>
      <w:r w:rsidRPr="00F82BD9">
        <w:t xml:space="preserve">(2) Radě hlavního města Prahy je vyhrazeno </w:t>
      </w:r>
    </w:p>
    <w:p w14:paraId="0ACA87E4" w14:textId="26E05FC2" w:rsidR="002445A0" w:rsidRPr="00F82BD9" w:rsidRDefault="0049569D" w:rsidP="00850A92">
      <w:pPr>
        <w:pStyle w:val="PZTextpsmene"/>
        <w:tabs>
          <w:tab w:val="left" w:pos="406"/>
        </w:tabs>
        <w:spacing w:before="0"/>
        <w:ind w:left="426" w:hanging="426"/>
      </w:pPr>
      <w:r>
        <w:t>a)</w:t>
      </w:r>
      <w:r w:rsidR="002445A0">
        <w:tab/>
      </w:r>
      <w:r w:rsidR="002445A0" w:rsidRPr="00F82BD9">
        <w:t xml:space="preserve">zabezpečovat hospodaření hlavního města Prahy podle schváleného rozpočtu a kontrolovat hospodaření podle něj, </w:t>
      </w:r>
    </w:p>
    <w:p w14:paraId="16CBFA8A" w14:textId="1C817F1A" w:rsidR="002445A0" w:rsidRPr="00F82BD9" w:rsidRDefault="0049569D" w:rsidP="00850A92">
      <w:pPr>
        <w:pStyle w:val="PZTextpsmene"/>
        <w:tabs>
          <w:tab w:val="left" w:pos="406"/>
        </w:tabs>
        <w:spacing w:before="0"/>
        <w:ind w:left="426" w:hanging="426"/>
      </w:pPr>
      <w:r>
        <w:t>b)</w:t>
      </w:r>
      <w:r w:rsidR="002445A0">
        <w:tab/>
      </w:r>
      <w:r w:rsidR="002445A0" w:rsidRPr="00F82BD9">
        <w:t xml:space="preserve">provádět rozpočtová opatření v rozsahu stanoveném zastupitelstvem hlavního města Prahy, </w:t>
      </w:r>
    </w:p>
    <w:p w14:paraId="2A574944" w14:textId="751BB50E" w:rsidR="002445A0" w:rsidRPr="00F82BD9" w:rsidRDefault="0049569D" w:rsidP="00850A92">
      <w:pPr>
        <w:pStyle w:val="PZTextpsmene"/>
        <w:tabs>
          <w:tab w:val="left" w:pos="406"/>
        </w:tabs>
        <w:spacing w:before="0"/>
        <w:ind w:left="426" w:hanging="426"/>
      </w:pPr>
      <w:r>
        <w:t>c)</w:t>
      </w:r>
      <w:r w:rsidR="002445A0">
        <w:tab/>
      </w:r>
      <w:r w:rsidR="002445A0" w:rsidRPr="00F82BD9">
        <w:t xml:space="preserve">ukládat Magistrátu hlavního města Prahy úkoly v oblasti samostatné působnosti hlavního města Prahy a kontrolovat jejich plnění, </w:t>
      </w:r>
    </w:p>
    <w:p w14:paraId="71A273F7" w14:textId="6610248E" w:rsidR="002445A0" w:rsidRPr="00F82BD9" w:rsidRDefault="0049569D" w:rsidP="00850A92">
      <w:pPr>
        <w:pStyle w:val="PZTextpsmene"/>
        <w:tabs>
          <w:tab w:val="left" w:pos="406"/>
        </w:tabs>
        <w:spacing w:before="0"/>
        <w:ind w:left="426" w:hanging="426"/>
      </w:pPr>
      <w:r>
        <w:t>d)</w:t>
      </w:r>
      <w:r w:rsidR="002445A0">
        <w:tab/>
      </w:r>
      <w:r w:rsidR="002445A0" w:rsidRPr="00F82BD9">
        <w:t xml:space="preserve">projednávat a řešit návrhy, připomínky a podněty předložené jí členy zastupitelstva hlavního města Prahy, komisemi rady hlavního města Prahy nebo městskými částmi, </w:t>
      </w:r>
    </w:p>
    <w:p w14:paraId="0047C8C4" w14:textId="0C0F8BC6" w:rsidR="002445A0" w:rsidRPr="00F82BD9" w:rsidRDefault="0049569D" w:rsidP="00850A92">
      <w:pPr>
        <w:pStyle w:val="PZTextpsmene"/>
        <w:tabs>
          <w:tab w:val="left" w:pos="406"/>
        </w:tabs>
        <w:spacing w:before="0"/>
        <w:ind w:left="426" w:hanging="426"/>
      </w:pPr>
      <w:r>
        <w:t>e)</w:t>
      </w:r>
      <w:r w:rsidR="002445A0">
        <w:tab/>
      </w:r>
      <w:r w:rsidR="002445A0" w:rsidRPr="00F82BD9">
        <w:t xml:space="preserve">stanovit pravidla pro přijímání a vyřizování petic a stížností, </w:t>
      </w:r>
    </w:p>
    <w:p w14:paraId="5CEDA865" w14:textId="2B2CA5D4" w:rsidR="002445A0" w:rsidRPr="00F82BD9" w:rsidRDefault="0049569D" w:rsidP="00850A92">
      <w:pPr>
        <w:pStyle w:val="PZTextpsmene"/>
        <w:tabs>
          <w:tab w:val="left" w:pos="406"/>
        </w:tabs>
        <w:spacing w:before="0"/>
        <w:ind w:left="426" w:hanging="426"/>
      </w:pPr>
      <w:r>
        <w:t>f)</w:t>
      </w:r>
      <w:r w:rsidR="002445A0">
        <w:tab/>
      </w:r>
      <w:r w:rsidR="002445A0" w:rsidRPr="00F82BD9">
        <w:t xml:space="preserve">na návrh ředitele Magistrátu hlavního města Prahy zřizovat a rušit odbory Magistrátu hlavního města Prahy a vydávat organizační řád Magistrátu hlavního města Prahy, </w:t>
      </w:r>
    </w:p>
    <w:p w14:paraId="24621671" w14:textId="6A68AE1E" w:rsidR="002445A0" w:rsidRPr="00F82BD9" w:rsidRDefault="0049569D" w:rsidP="00850A92">
      <w:pPr>
        <w:pStyle w:val="PZTextpsmene"/>
        <w:tabs>
          <w:tab w:val="left" w:pos="406"/>
        </w:tabs>
        <w:spacing w:before="0"/>
        <w:ind w:left="426" w:hanging="426"/>
      </w:pPr>
      <w:r>
        <w:t>g)</w:t>
      </w:r>
      <w:r w:rsidR="002445A0">
        <w:tab/>
      </w:r>
      <w:r w:rsidR="002445A0" w:rsidRPr="00F82BD9">
        <w:t xml:space="preserve">plnit vůči právnickým osobám a zařízením zřízeným nebo založeným zastupitelstvem hlavního města Prahy úkoly zakladatele nebo zřizovatele podle zvláštních právních předpisů, nejsou-li vyhrazeny zastupitelstvu hlavního města Prahy, a schvalovat </w:t>
      </w:r>
      <w:r w:rsidR="002445A0" w:rsidRPr="00F82BD9">
        <w:rPr>
          <w:b/>
          <w:bCs/>
        </w:rPr>
        <w:t xml:space="preserve">řádnou individuální </w:t>
      </w:r>
      <w:r w:rsidR="002445A0" w:rsidRPr="00F82BD9">
        <w:t>účetní závěrku příspěvkové organizace zřízené hlavním městem Prahou</w:t>
      </w:r>
      <w:r w:rsidR="002445A0" w:rsidRPr="001C454C">
        <w:rPr>
          <w:strike/>
        </w:rPr>
        <w:t>, sestavenou k rozvahovému dni</w:t>
      </w:r>
      <w:r w:rsidR="002445A0" w:rsidRPr="00F82BD9">
        <w:t xml:space="preserve">, </w:t>
      </w:r>
    </w:p>
    <w:p w14:paraId="6203B68E" w14:textId="76ADC210" w:rsidR="002445A0" w:rsidRPr="00F82BD9" w:rsidRDefault="0049569D" w:rsidP="00850A92">
      <w:pPr>
        <w:pStyle w:val="PZTextpsmene"/>
        <w:tabs>
          <w:tab w:val="left" w:pos="406"/>
        </w:tabs>
        <w:spacing w:before="0"/>
        <w:ind w:left="426" w:hanging="426"/>
      </w:pPr>
      <w:r>
        <w:t>h)</w:t>
      </w:r>
      <w:r w:rsidR="002445A0">
        <w:tab/>
      </w:r>
      <w:r w:rsidR="002445A0" w:rsidRPr="00F82BD9">
        <w:t>plnit funkci valné hromady, je-li hlavní město Praha jediným akcionář</w:t>
      </w:r>
      <w:r w:rsidR="002445A0">
        <w:t xml:space="preserve">em nebo jediným společníkem, </w:t>
      </w:r>
    </w:p>
    <w:p w14:paraId="437F46B1" w14:textId="3B5FCB94" w:rsidR="002445A0" w:rsidRPr="00F82BD9" w:rsidRDefault="0049569D" w:rsidP="00850A92">
      <w:pPr>
        <w:pStyle w:val="PZTextpsmene"/>
        <w:tabs>
          <w:tab w:val="left" w:pos="406"/>
        </w:tabs>
        <w:spacing w:before="0"/>
        <w:ind w:left="426" w:hanging="426"/>
      </w:pPr>
      <w:r>
        <w:t>i)</w:t>
      </w:r>
      <w:r w:rsidR="002445A0">
        <w:tab/>
      </w:r>
      <w:r w:rsidR="002445A0" w:rsidRPr="00F82BD9">
        <w:t xml:space="preserve">zřizovat a zrušovat podle potřeby komise rady hlavního města Prahy, jmenovat a odvolávat z funkce jejich předsedy a členy, </w:t>
      </w:r>
    </w:p>
    <w:p w14:paraId="04C7DDBB" w14:textId="0717B593" w:rsidR="002445A0" w:rsidRPr="00F82BD9" w:rsidRDefault="0049569D" w:rsidP="00850A92">
      <w:pPr>
        <w:pStyle w:val="PZTextpsmene"/>
        <w:tabs>
          <w:tab w:val="left" w:pos="406"/>
        </w:tabs>
        <w:spacing w:before="0"/>
        <w:ind w:left="426" w:hanging="426"/>
      </w:pPr>
      <w:r>
        <w:t>j)</w:t>
      </w:r>
      <w:r w:rsidR="002445A0">
        <w:tab/>
      </w:r>
      <w:r w:rsidR="002445A0" w:rsidRPr="00F82BD9">
        <w:t xml:space="preserve">přezkoumávat na základě podnětů opatření přijatá Magistrátem hlavního města Prahy a komisemi rady hlavního města Prahy v samostatné působnosti, </w:t>
      </w:r>
    </w:p>
    <w:p w14:paraId="0291F1DB" w14:textId="01649E83" w:rsidR="002445A0" w:rsidRPr="00F82BD9" w:rsidRDefault="0049569D" w:rsidP="00850A92">
      <w:pPr>
        <w:pStyle w:val="PZTextpsmene"/>
        <w:tabs>
          <w:tab w:val="left" w:pos="406"/>
        </w:tabs>
        <w:spacing w:before="0"/>
        <w:ind w:left="426" w:hanging="426"/>
      </w:pPr>
      <w:r>
        <w:t>k)</w:t>
      </w:r>
      <w:r w:rsidR="002445A0">
        <w:tab/>
      </w:r>
      <w:r w:rsidR="002445A0" w:rsidRPr="00F82BD9">
        <w:t xml:space="preserve">plnit úkoly stanovené zvláštním zákonem, </w:t>
      </w:r>
    </w:p>
    <w:p w14:paraId="33F80466" w14:textId="594CB05E" w:rsidR="002445A0" w:rsidRPr="00F82BD9" w:rsidRDefault="0049569D" w:rsidP="00850A92">
      <w:pPr>
        <w:pStyle w:val="PZTextpsmene"/>
        <w:tabs>
          <w:tab w:val="left" w:pos="406"/>
        </w:tabs>
        <w:spacing w:before="0"/>
        <w:ind w:left="426" w:hanging="426"/>
      </w:pPr>
      <w:r>
        <w:lastRenderedPageBreak/>
        <w:t>l)</w:t>
      </w:r>
      <w:r w:rsidR="002445A0">
        <w:tab/>
      </w:r>
      <w:r w:rsidR="002445A0" w:rsidRPr="00F82BD9">
        <w:t>rozhodovat o poskytování dotací a návratných finančních výpomocí nepřesahujících 1 000 000 Kč v jednotlivých případech fyzickým nebo právnickým osobám a o uzavření veřejnoprávní smlouvy o jejich poskytnutí, nejedná-li se o dotace z prostředků státního rozpočtu, o návratné finanční výpomoci příspěvkovým organizacím zřízeným hlavním městem Prahou nebo o dotace nebo návratné finanční výpomoci poskytované v době trvání krizového stavu</w:t>
      </w:r>
      <w:r w:rsidR="002445A0" w:rsidRPr="001C454C">
        <w:rPr>
          <w:vertAlign w:val="superscript"/>
        </w:rPr>
        <w:t>25)</w:t>
      </w:r>
      <w:r w:rsidR="002445A0" w:rsidRPr="00F82BD9">
        <w:t xml:space="preserve">, mimořádného opatření při epidemii nebo nebezpečí jejího vzniku nebo mimořádného veterinárního opatření a v souvislosti s nimi, </w:t>
      </w:r>
    </w:p>
    <w:p w14:paraId="4CCD8C7B" w14:textId="56049FAF" w:rsidR="002445A0" w:rsidRPr="00F82BD9" w:rsidRDefault="0049569D" w:rsidP="00850A92">
      <w:pPr>
        <w:pStyle w:val="PZTextpsmene"/>
        <w:tabs>
          <w:tab w:val="left" w:pos="406"/>
        </w:tabs>
        <w:spacing w:before="0"/>
        <w:ind w:left="426" w:hanging="426"/>
      </w:pPr>
      <w:r>
        <w:t>m)</w:t>
      </w:r>
      <w:r w:rsidR="002445A0">
        <w:tab/>
      </w:r>
      <w:r w:rsidR="002445A0" w:rsidRPr="00F82BD9">
        <w:t xml:space="preserve">rozhodovat o majetkové účasti hlavního města Prahy na podnikání jiných osob s výjimkou právnických osob založených nebo zřízených hlavním městem Prahou o hodnotě nižší než 25 000 000 Kč, </w:t>
      </w:r>
    </w:p>
    <w:p w14:paraId="049329D9" w14:textId="53CE1AE5" w:rsidR="002445A0" w:rsidRPr="00F82BD9" w:rsidRDefault="0049569D" w:rsidP="00850A92">
      <w:pPr>
        <w:pStyle w:val="PZTextpsmene"/>
        <w:tabs>
          <w:tab w:val="left" w:pos="406"/>
        </w:tabs>
        <w:spacing w:before="0"/>
        <w:ind w:left="426" w:hanging="426"/>
      </w:pPr>
      <w:r>
        <w:t>n)</w:t>
      </w:r>
      <w:r w:rsidR="002445A0">
        <w:tab/>
      </w:r>
      <w:r w:rsidR="002445A0" w:rsidRPr="00F82BD9">
        <w:t>rozhodovat o přijetí a poskytnutí úvěru nebo zápůjčky a uzavření smlouvy o společnosti</w:t>
      </w:r>
      <w:r w:rsidR="002445A0" w:rsidRPr="001C454C">
        <w:rPr>
          <w:vertAlign w:val="superscript"/>
        </w:rPr>
        <w:t>26)</w:t>
      </w:r>
      <w:r w:rsidR="002445A0" w:rsidRPr="00F82BD9">
        <w:t xml:space="preserve">, nejde-li o závazek vyšší než 50 000 000 Kč, </w:t>
      </w:r>
    </w:p>
    <w:p w14:paraId="1CB9112C" w14:textId="7D6E3F9C" w:rsidR="002445A0" w:rsidRPr="00F82BD9" w:rsidRDefault="0049569D" w:rsidP="00850A92">
      <w:pPr>
        <w:pStyle w:val="PZTextpsmene"/>
        <w:tabs>
          <w:tab w:val="left" w:pos="406"/>
        </w:tabs>
        <w:spacing w:before="0"/>
        <w:ind w:left="426" w:hanging="426"/>
      </w:pPr>
      <w:r>
        <w:t>o)</w:t>
      </w:r>
      <w:r w:rsidR="002445A0">
        <w:tab/>
      </w:r>
      <w:r w:rsidR="002445A0" w:rsidRPr="00F82BD9">
        <w:t xml:space="preserve">rozhodovat o převzetí dluhu, ručení za závazky jiných osob, převzetí ručitelského závazku a přistoupení k závazku, nejde-li o závazek vyšší než 25 000 000 Kč, </w:t>
      </w:r>
    </w:p>
    <w:p w14:paraId="02D48653" w14:textId="32C7E48A" w:rsidR="002445A0" w:rsidRPr="00F82BD9" w:rsidRDefault="0049569D" w:rsidP="00850A92">
      <w:pPr>
        <w:pStyle w:val="PZTextpsmene"/>
        <w:tabs>
          <w:tab w:val="left" w:pos="406"/>
        </w:tabs>
        <w:spacing w:before="0"/>
        <w:ind w:left="426" w:hanging="426"/>
      </w:pPr>
      <w:r>
        <w:t>p)</w:t>
      </w:r>
      <w:r w:rsidR="002445A0">
        <w:tab/>
      </w:r>
      <w:r w:rsidR="002445A0" w:rsidRPr="00F82BD9">
        <w:t xml:space="preserve">rozhodovat o bezúplatném postoupení pohledávek v hodnotě nepřevyšující 50 000 000 Kč, </w:t>
      </w:r>
    </w:p>
    <w:p w14:paraId="2E31E09D" w14:textId="390ACF4A" w:rsidR="002445A0" w:rsidRPr="00F82BD9" w:rsidRDefault="0049569D" w:rsidP="00850A92">
      <w:pPr>
        <w:pStyle w:val="PZTextpsmene"/>
        <w:tabs>
          <w:tab w:val="left" w:pos="406"/>
        </w:tabs>
        <w:spacing w:before="0"/>
        <w:ind w:left="426" w:hanging="426"/>
      </w:pPr>
      <w:r>
        <w:t>q)</w:t>
      </w:r>
      <w:r w:rsidR="002445A0">
        <w:tab/>
      </w:r>
      <w:r w:rsidR="002445A0" w:rsidRPr="00F82BD9">
        <w:t xml:space="preserve">rozhodovat o peněžitých i nepeněžitých vkladech do obchodních společností, nadací, obecně prospěšných společností a svazků obcí v hodnotě nepřevyšující 25 000 000 Kč, </w:t>
      </w:r>
    </w:p>
    <w:p w14:paraId="4A82C54C" w14:textId="4AB1AAE9" w:rsidR="002445A0" w:rsidRPr="00F82BD9" w:rsidRDefault="0049569D" w:rsidP="00850A92">
      <w:pPr>
        <w:pStyle w:val="PZTextpsmene"/>
        <w:tabs>
          <w:tab w:val="left" w:pos="406"/>
        </w:tabs>
        <w:spacing w:before="0"/>
        <w:ind w:left="426" w:hanging="426"/>
      </w:pPr>
      <w:r>
        <w:t>r)</w:t>
      </w:r>
      <w:r w:rsidR="002445A0">
        <w:tab/>
      </w:r>
      <w:r w:rsidR="002445A0" w:rsidRPr="00F82BD9">
        <w:t xml:space="preserve">rozhodovat o vzdání se práva a prominutí dluhu nepřevyšující 25 000 000 Kč, </w:t>
      </w:r>
    </w:p>
    <w:p w14:paraId="15D7D26C" w14:textId="26A0B4D5" w:rsidR="002445A0" w:rsidRPr="00F82BD9" w:rsidRDefault="0049569D" w:rsidP="00850A92">
      <w:pPr>
        <w:pStyle w:val="PZTextpsmene"/>
        <w:tabs>
          <w:tab w:val="left" w:pos="406"/>
        </w:tabs>
        <w:spacing w:before="0"/>
        <w:ind w:left="426" w:hanging="426"/>
      </w:pPr>
      <w:r>
        <w:t>s)</w:t>
      </w:r>
      <w:r w:rsidR="002445A0">
        <w:tab/>
      </w:r>
      <w:r w:rsidR="002445A0" w:rsidRPr="00F82BD9">
        <w:t xml:space="preserve">rozhodovat o zastavení movitých věcí nebo práv v hodnotě nepřevyšující 25 000 000 Kč, </w:t>
      </w:r>
    </w:p>
    <w:p w14:paraId="13B03C99" w14:textId="64B95A3D" w:rsidR="002445A0" w:rsidRPr="00F82BD9" w:rsidRDefault="0049569D" w:rsidP="00850A92">
      <w:pPr>
        <w:pStyle w:val="PZTextpsmene"/>
        <w:tabs>
          <w:tab w:val="left" w:pos="406"/>
        </w:tabs>
        <w:spacing w:before="0"/>
        <w:ind w:left="426" w:hanging="426"/>
      </w:pPr>
      <w:r>
        <w:t>t)</w:t>
      </w:r>
      <w:r w:rsidR="002445A0">
        <w:tab/>
      </w:r>
      <w:r w:rsidR="002445A0" w:rsidRPr="00F82BD9">
        <w:t xml:space="preserve">rozhodovat o dohodách o splátkách s lhůtou splatnosti nepřevyšující 18 měsíců, </w:t>
      </w:r>
    </w:p>
    <w:p w14:paraId="6B11785F" w14:textId="3DD2B629" w:rsidR="002445A0" w:rsidRPr="00F82BD9" w:rsidRDefault="002445A0" w:rsidP="00850A92">
      <w:pPr>
        <w:pStyle w:val="PZTextpsmene"/>
        <w:tabs>
          <w:tab w:val="left" w:pos="406"/>
        </w:tabs>
        <w:spacing w:before="0"/>
        <w:ind w:left="426" w:hanging="426"/>
      </w:pPr>
      <w:r w:rsidRPr="00F82BD9">
        <w:t>u)</w:t>
      </w:r>
      <w:r>
        <w:tab/>
      </w:r>
      <w:r w:rsidRPr="00F82BD9">
        <w:t xml:space="preserve">rozhodovat o stanovení počtu zaměstnanců hlavního města Prahy zařazených do Magistrátu hlavního města Prahy, do zařízení hlavního města Prahy bez právní subjektivity, do organizačních složek a do městské policie a o objemu prostředků na platy těchto zaměstnanců, </w:t>
      </w:r>
    </w:p>
    <w:p w14:paraId="1843B698" w14:textId="3ED478D4" w:rsidR="002445A0" w:rsidRPr="00F82BD9" w:rsidRDefault="0049569D" w:rsidP="00850A92">
      <w:pPr>
        <w:pStyle w:val="PZTextpsmene"/>
        <w:tabs>
          <w:tab w:val="left" w:pos="406"/>
        </w:tabs>
        <w:spacing w:before="0"/>
        <w:ind w:left="426" w:hanging="426"/>
      </w:pPr>
      <w:r>
        <w:t>v)</w:t>
      </w:r>
      <w:r w:rsidR="002445A0">
        <w:tab/>
      </w:r>
      <w:r w:rsidR="002445A0" w:rsidRPr="00F82BD9">
        <w:t xml:space="preserve">rozhodovat o jmenování a odvolání ředitelů odborů Magistrátu hlavního města Prahy na návrh ředitele Magistrátu hlavního města Prahy; jmenování nebo odvolání ředitelů odborů bez návrhu ředitele Magistrátu hlavního města Prahy je neplatné. </w:t>
      </w:r>
    </w:p>
    <w:p w14:paraId="78C0B637" w14:textId="77777777" w:rsidR="002445A0" w:rsidRPr="00F82BD9" w:rsidRDefault="002445A0" w:rsidP="00152046">
      <w:pPr>
        <w:pStyle w:val="PZTextodstavce"/>
      </w:pPr>
      <w:r w:rsidRPr="00F82BD9">
        <w:t xml:space="preserve">(3) Rada hlavního města Prahy rozhoduje v záležitostech samostatné působnosti hlavního města Prahy, pokud nejsou zákonem vyhrazeny zastupitelstvu hlavního města Prahy nebo pokud si je zastupitelstvo hlavního města Prahy nevyhradí; rada hlavního města Prahy může tyto pravomoci zcela nebo zčásti svěřit primátorovi hlavního města Prahy nebo Magistrátu hlavního města Prahy; rada hlavního města Prahy může svěřit městské policii hlavního města Prahy zcela nebo zčásti rozhodování o právních jednáních souvisejících s činností městské policie hlavního města Prahy. </w:t>
      </w:r>
    </w:p>
    <w:p w14:paraId="141B4362" w14:textId="77777777" w:rsidR="002445A0" w:rsidRDefault="002445A0" w:rsidP="00152046">
      <w:pPr>
        <w:pStyle w:val="PZTextodstavce"/>
      </w:pPr>
      <w:r w:rsidRPr="00F82BD9">
        <w:t>(4) Rada hlavního města Prahy vydává v přenesené působnosti hlavního města Prahy nařízení. O ostatních otázkách přenesené působnosti hlavního města Prahy může rozhodova</w:t>
      </w:r>
      <w:r>
        <w:t xml:space="preserve">t, jen stanoví-li tak zákon. </w:t>
      </w:r>
    </w:p>
    <w:p w14:paraId="279597CF" w14:textId="77777777" w:rsidR="00A81761" w:rsidRDefault="00A81761" w:rsidP="002445A0">
      <w:pPr>
        <w:pStyle w:val="Textparagrafu"/>
        <w:ind w:firstLine="0"/>
      </w:pPr>
    </w:p>
    <w:p w14:paraId="28BDF44C" w14:textId="77777777" w:rsidR="000B32D9" w:rsidRDefault="000B32D9" w:rsidP="00CB5381">
      <w:pPr>
        <w:pStyle w:val="Textparagrafu"/>
        <w:tabs>
          <w:tab w:val="left" w:pos="406"/>
          <w:tab w:val="left" w:pos="840"/>
          <w:tab w:val="left" w:pos="868"/>
        </w:tabs>
        <w:spacing w:after="120"/>
        <w:ind w:firstLine="0"/>
        <w:sectPr w:rsidR="000B32D9" w:rsidSect="00EB5EEE">
          <w:footnotePr>
            <w:numStart w:val="3"/>
          </w:footnotePr>
          <w:endnotePr>
            <w:numFmt w:val="decimal"/>
          </w:endnotePr>
          <w:pgSz w:w="11906" w:h="16838"/>
          <w:pgMar w:top="1418" w:right="1418" w:bottom="1418" w:left="1418" w:header="709" w:footer="709" w:gutter="0"/>
          <w:cols w:space="708"/>
          <w:docGrid w:linePitch="360"/>
        </w:sectPr>
      </w:pPr>
    </w:p>
    <w:p w14:paraId="18483453" w14:textId="775B05A0" w:rsidR="000B32D9" w:rsidRPr="00395CC6" w:rsidRDefault="000B32D9" w:rsidP="000B32D9">
      <w:pPr>
        <w:tabs>
          <w:tab w:val="left" w:pos="851"/>
        </w:tabs>
        <w:spacing w:before="120" w:after="120"/>
        <w:ind w:firstLine="0"/>
        <w:outlineLvl w:val="0"/>
        <w:rPr>
          <w:szCs w:val="24"/>
        </w:rPr>
      </w:pPr>
      <w:r w:rsidRPr="00395CC6">
        <w:rPr>
          <w:b/>
          <w:szCs w:val="24"/>
        </w:rPr>
        <w:lastRenderedPageBreak/>
        <w:t xml:space="preserve">K části čtyřicáté </w:t>
      </w:r>
      <w:r w:rsidR="00850A92">
        <w:rPr>
          <w:b/>
          <w:szCs w:val="24"/>
        </w:rPr>
        <w:t>osmé</w:t>
      </w:r>
      <w:r w:rsidRPr="00395CC6">
        <w:rPr>
          <w:b/>
          <w:szCs w:val="24"/>
        </w:rPr>
        <w:t xml:space="preserve"> návrhu zákona – </w:t>
      </w:r>
      <w:r w:rsidRPr="00395CC6">
        <w:rPr>
          <w:szCs w:val="24"/>
        </w:rPr>
        <w:t>změna zákona</w:t>
      </w:r>
      <w:r w:rsidRPr="00395CC6">
        <w:t xml:space="preserve"> </w:t>
      </w:r>
      <w:r w:rsidR="00F3373B" w:rsidRPr="00395CC6">
        <w:rPr>
          <w:szCs w:val="24"/>
        </w:rPr>
        <w:t>o Státním fondu podpory investic</w:t>
      </w:r>
    </w:p>
    <w:p w14:paraId="250C05D5" w14:textId="77985E3A" w:rsidR="000B32D9" w:rsidRPr="00395CC6" w:rsidRDefault="000B32D9" w:rsidP="00F3373B">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395CC6">
        <w:rPr>
          <w:b/>
          <w:szCs w:val="24"/>
        </w:rPr>
        <w:t>Platné znění</w:t>
      </w:r>
      <w:r w:rsidRPr="00395CC6">
        <w:rPr>
          <w:szCs w:val="24"/>
        </w:rPr>
        <w:t xml:space="preserve"> zákona </w:t>
      </w:r>
      <w:r w:rsidRPr="00395CC6">
        <w:rPr>
          <w:color w:val="000000"/>
          <w:szCs w:val="24"/>
        </w:rPr>
        <w:t>č.</w:t>
      </w:r>
      <w:r w:rsidR="00F3373B" w:rsidRPr="00395CC6">
        <w:rPr>
          <w:color w:val="000000"/>
          <w:szCs w:val="24"/>
        </w:rPr>
        <w:t>211/</w:t>
      </w:r>
      <w:r w:rsidRPr="00395CC6">
        <w:rPr>
          <w:szCs w:val="24"/>
        </w:rPr>
        <w:t xml:space="preserve">2000 Sb., </w:t>
      </w:r>
      <w:r w:rsidR="00F3373B" w:rsidRPr="00395CC6">
        <w:rPr>
          <w:szCs w:val="24"/>
        </w:rPr>
        <w:t>o Státním fondu podpory investic</w:t>
      </w:r>
    </w:p>
    <w:p w14:paraId="59488043" w14:textId="02BEF4A9" w:rsidR="000B32D9" w:rsidRPr="00395CC6" w:rsidRDefault="003866FF" w:rsidP="000B32D9">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AE4818">
        <w:rPr>
          <w:b/>
          <w:szCs w:val="24"/>
          <w:lang w:eastAsia="en-US"/>
        </w:rPr>
        <w:t>s vyznačením navrhovaných změn a doplnění k 1. lednu 2025</w:t>
      </w:r>
    </w:p>
    <w:p w14:paraId="7BEAA4E0" w14:textId="77777777" w:rsidR="000B32D9" w:rsidRPr="00395CC6" w:rsidRDefault="000B32D9" w:rsidP="00395CC6">
      <w:pPr>
        <w:pStyle w:val="Textparagrafu"/>
        <w:tabs>
          <w:tab w:val="left" w:pos="406"/>
          <w:tab w:val="left" w:pos="840"/>
          <w:tab w:val="left" w:pos="868"/>
        </w:tabs>
        <w:spacing w:after="120"/>
        <w:ind w:firstLine="0"/>
        <w:jc w:val="center"/>
      </w:pPr>
      <w:r w:rsidRPr="00395CC6">
        <w:t>***</w:t>
      </w:r>
    </w:p>
    <w:p w14:paraId="6611484D" w14:textId="77777777" w:rsidR="00395CC6" w:rsidRDefault="00395CC6" w:rsidP="000467BB">
      <w:pPr>
        <w:pStyle w:val="Paragraf"/>
        <w:numPr>
          <w:ilvl w:val="0"/>
          <w:numId w:val="29"/>
        </w:numPr>
        <w:tabs>
          <w:tab w:val="left" w:pos="406"/>
          <w:tab w:val="left" w:pos="826"/>
        </w:tabs>
        <w:spacing w:after="120"/>
      </w:pPr>
      <w:r>
        <w:t xml:space="preserve">§ 5 </w:t>
      </w:r>
    </w:p>
    <w:p w14:paraId="400FA7C3" w14:textId="77777777" w:rsidR="00395CC6" w:rsidRPr="00E43266" w:rsidRDefault="00395CC6" w:rsidP="000467BB">
      <w:pPr>
        <w:pStyle w:val="Nadpisparagrafu"/>
        <w:numPr>
          <w:ilvl w:val="0"/>
          <w:numId w:val="29"/>
        </w:numPr>
        <w:tabs>
          <w:tab w:val="left" w:pos="406"/>
          <w:tab w:val="left" w:pos="826"/>
        </w:tabs>
        <w:spacing w:after="120"/>
      </w:pPr>
      <w:r>
        <w:t>Rozpočet a účetnictví Fondu</w:t>
      </w:r>
    </w:p>
    <w:p w14:paraId="33A3ABFF" w14:textId="77777777" w:rsidR="00395CC6" w:rsidRDefault="00395CC6" w:rsidP="003866FF">
      <w:pPr>
        <w:pStyle w:val="Odstavec"/>
        <w:tabs>
          <w:tab w:val="clear" w:pos="851"/>
          <w:tab w:val="left" w:pos="406"/>
          <w:tab w:val="left" w:pos="826"/>
        </w:tabs>
      </w:pPr>
      <w:r>
        <w:t xml:space="preserve">(1) </w:t>
      </w:r>
      <w:r w:rsidRPr="00E43266">
        <w:t>Fond sestavuje pro každý kalendářní rok návrh svého rozpočtu, který předkládá vládě ministr vždy do 31. srpna. Vláda předkládá návrh rozpočtu Fondu po případných změnách, které v něm provede, spolu s návrhem státního rozpočtu na tentýž rok ke schválení Poslanecké sněmovně. Fond v návrhu svého rozpočtu stanoví své celkové výdaje jako částku, kterou mu oznámil příslušný správce kapitoly podle zvláštního zákona.</w:t>
      </w:r>
      <w:r>
        <w:rPr>
          <w:rStyle w:val="Znakapoznpodarou"/>
        </w:rPr>
        <w:footnoteReference w:customMarkFollows="1" w:id="327"/>
        <w:t>2a)</w:t>
      </w:r>
    </w:p>
    <w:p w14:paraId="290A2C68" w14:textId="77777777" w:rsidR="00395CC6" w:rsidRDefault="00395CC6" w:rsidP="003866FF">
      <w:pPr>
        <w:pStyle w:val="Odstavec"/>
        <w:tabs>
          <w:tab w:val="clear" w:pos="851"/>
          <w:tab w:val="left" w:pos="406"/>
          <w:tab w:val="left" w:pos="826"/>
        </w:tabs>
      </w:pPr>
      <w:r>
        <w:t xml:space="preserve">(2) </w:t>
      </w:r>
      <w:r w:rsidRPr="00E43266">
        <w:t>Není-li Poslaneckou sněmovnou Parlamentu schválen rozpočet Fondu na příslušný kalendářní rok před prvním dnem tohoto kalendářního roku, řídí se jeho rozpočtové hospodaření v době od prvního dne tohoto kalendářního roku do schválení rozpočtu na tento rok objemem a členěním příjmů a výdajů rozpočtu Fondu v předchozím roce. Výdaje v tomto období se uvolňují v jednotlivých položkách rozpočtu Fondu ve výši jedné dvanáctiny celkové roční částky v každém měsíci tohoto období.</w:t>
      </w:r>
    </w:p>
    <w:p w14:paraId="0656524C" w14:textId="77777777" w:rsidR="00395CC6" w:rsidRPr="00220E55" w:rsidRDefault="00395CC6" w:rsidP="003866FF">
      <w:pPr>
        <w:pStyle w:val="Odstavec"/>
        <w:tabs>
          <w:tab w:val="clear" w:pos="851"/>
          <w:tab w:val="left" w:pos="406"/>
          <w:tab w:val="left" w:pos="826"/>
        </w:tabs>
      </w:pPr>
      <w:r>
        <w:t xml:space="preserve">(3) </w:t>
      </w:r>
      <w:r w:rsidRPr="00220E55">
        <w:t xml:space="preserve">Po skončení kalendářního roku sestavuje Fond </w:t>
      </w:r>
      <w:r w:rsidRPr="00220E55">
        <w:rPr>
          <w:strike/>
        </w:rPr>
        <w:t>k rozvahovému dni účetní závěrku, kterou spolu s výroční zprávou o činnosti Fondu předkládá ministr vládě a vláda je předkládá do 31. března běžného kalendářního roku ke schválení Poslanecké sněmovně Parlamentu</w:t>
      </w:r>
      <w:r w:rsidRPr="00220E55">
        <w:rPr>
          <w:b/>
          <w:highlight w:val="yellow"/>
        </w:rPr>
        <w:t xml:space="preserve"> </w:t>
      </w:r>
      <w:r>
        <w:rPr>
          <w:b/>
        </w:rPr>
        <w:t xml:space="preserve">řádnou individuální účetní závěrku a </w:t>
      </w:r>
      <w:r w:rsidRPr="00220E55">
        <w:rPr>
          <w:b/>
        </w:rPr>
        <w:t>výroční zprávu o činnosti Fondu</w:t>
      </w:r>
      <w:r w:rsidRPr="00220E55">
        <w:t xml:space="preserve">. </w:t>
      </w:r>
      <w:r w:rsidRPr="00220E55">
        <w:rPr>
          <w:strike/>
        </w:rPr>
        <w:t>Účetní závěrka Fondu sestavená k rozvahovému dni musí být před jejím předložením vládě ověřena auditorem</w:t>
      </w:r>
      <w:r w:rsidRPr="00220E55">
        <w:t xml:space="preserve">. </w:t>
      </w:r>
      <w:r w:rsidRPr="00220E55">
        <w:rPr>
          <w:b/>
        </w:rPr>
        <w:t xml:space="preserve">Ministr předkládá řádnou individuální účetní závěrku společně s výroční zprávou o činnosti Fondu vládě a vláda je do 31. března následujícího kalendářního roku předkládá Poslanecké sněmovně ke schválení. Fond má povinnost auditu </w:t>
      </w:r>
      <w:r>
        <w:rPr>
          <w:b/>
        </w:rPr>
        <w:t xml:space="preserve">řádné individuální </w:t>
      </w:r>
      <w:r w:rsidRPr="00220E55">
        <w:rPr>
          <w:b/>
        </w:rPr>
        <w:t>účetní závěrky před jejím předložením vládě.</w:t>
      </w:r>
    </w:p>
    <w:p w14:paraId="389FF025" w14:textId="77777777" w:rsidR="00395CC6" w:rsidRPr="00220E55" w:rsidRDefault="00395CC6" w:rsidP="003866FF">
      <w:pPr>
        <w:pStyle w:val="Textodstavce"/>
        <w:tabs>
          <w:tab w:val="clear" w:pos="851"/>
          <w:tab w:val="left" w:pos="406"/>
          <w:tab w:val="left" w:pos="826"/>
        </w:tabs>
        <w:ind w:firstLine="425"/>
        <w:rPr>
          <w:strike/>
        </w:rPr>
      </w:pPr>
      <w:r w:rsidRPr="00220E55">
        <w:rPr>
          <w:strike/>
        </w:rPr>
        <w:t>(4) Fond vede účetnictví podle zákona o účetnictví.</w:t>
      </w:r>
      <w:r w:rsidRPr="00220E55">
        <w:rPr>
          <w:b/>
          <w:highlight w:val="cyan"/>
          <w:shd w:val="clear" w:color="auto" w:fill="00B0F0"/>
        </w:rPr>
        <w:t xml:space="preserve"> </w:t>
      </w:r>
    </w:p>
    <w:p w14:paraId="6ACCA0AB" w14:textId="77777777" w:rsidR="00395CC6" w:rsidRPr="00220E55" w:rsidRDefault="00395CC6" w:rsidP="003866FF">
      <w:pPr>
        <w:pStyle w:val="Textodstavce"/>
        <w:tabs>
          <w:tab w:val="clear" w:pos="851"/>
          <w:tab w:val="left" w:pos="406"/>
          <w:tab w:val="left" w:pos="826"/>
        </w:tabs>
        <w:ind w:firstLine="425"/>
      </w:pPr>
      <w:proofErr w:type="gramStart"/>
      <w:r w:rsidRPr="00220E55">
        <w:rPr>
          <w:strike/>
        </w:rPr>
        <w:t>(5)</w:t>
      </w:r>
      <w:r w:rsidRPr="00220E55">
        <w:rPr>
          <w:b/>
        </w:rPr>
        <w:t>(4)</w:t>
      </w:r>
      <w:r w:rsidRPr="00220E55">
        <w:t xml:space="preserve"> Fond</w:t>
      </w:r>
      <w:proofErr w:type="gramEnd"/>
      <w:r w:rsidRPr="00220E55">
        <w:t xml:space="preserve"> ve svém účetnictví vede odděleně náklady spojené se správou Fondu a v tom samostatně odměny členů výboru a dozorčí rady Fondu. Takto jsou tyto výdaje jako samostatné položky uvedeny i v rámci rozpočtu Fondu na příslušný rok.</w:t>
      </w:r>
    </w:p>
    <w:p w14:paraId="7D32C9EF" w14:textId="13734827" w:rsidR="00395CC6" w:rsidRPr="00220E55" w:rsidRDefault="00395CC6" w:rsidP="003866FF">
      <w:pPr>
        <w:pStyle w:val="Textodstavce"/>
        <w:tabs>
          <w:tab w:val="clear" w:pos="851"/>
          <w:tab w:val="left" w:pos="406"/>
          <w:tab w:val="left" w:pos="826"/>
        </w:tabs>
        <w:ind w:firstLine="425"/>
      </w:pPr>
      <w:proofErr w:type="gramStart"/>
      <w:r w:rsidRPr="00220E55">
        <w:rPr>
          <w:strike/>
        </w:rPr>
        <w:t>(6)</w:t>
      </w:r>
      <w:r w:rsidRPr="00220E55">
        <w:rPr>
          <w:b/>
        </w:rPr>
        <w:t>(5)</w:t>
      </w:r>
      <w:r w:rsidRPr="00220E55">
        <w:t xml:space="preserve"> Výbor</w:t>
      </w:r>
      <w:proofErr w:type="gramEnd"/>
      <w:r w:rsidRPr="00220E55">
        <w:t xml:space="preserve"> Fondu může na návrh ředitele Fondu schválit v průběhu kalendářního roku nezbytné přesuny mezi jednotlivými položkami rozpočtu Fondu, nepřesáhnou-li tyto přesuny v souhrnu za daný kalendářní rok 5 % celkových výdajů stanovených schváleným rozpočtem Fondu na příslušný kalendářní rok. Další nebo vyšší přesuny schvaluje v případě naléhavé potřeby na návrh ministra výbor Poslanecké sněmovny, do jehož působnosti patří regionální rozvoj.</w:t>
      </w:r>
    </w:p>
    <w:p w14:paraId="2079C492" w14:textId="77777777" w:rsidR="00395CC6" w:rsidRPr="00220E55" w:rsidRDefault="00395CC6" w:rsidP="000467BB">
      <w:pPr>
        <w:pStyle w:val="Paragraf"/>
        <w:numPr>
          <w:ilvl w:val="0"/>
          <w:numId w:val="29"/>
        </w:numPr>
        <w:tabs>
          <w:tab w:val="left" w:pos="406"/>
          <w:tab w:val="left" w:pos="826"/>
        </w:tabs>
        <w:spacing w:after="120"/>
      </w:pPr>
      <w:r w:rsidRPr="00220E55">
        <w:lastRenderedPageBreak/>
        <w:t>§ 6</w:t>
      </w:r>
    </w:p>
    <w:p w14:paraId="7A76DA7F" w14:textId="77777777" w:rsidR="00395CC6" w:rsidRPr="00220E55" w:rsidRDefault="00395CC6" w:rsidP="000467BB">
      <w:pPr>
        <w:pStyle w:val="Nadpisparagrafu"/>
        <w:numPr>
          <w:ilvl w:val="0"/>
          <w:numId w:val="29"/>
        </w:numPr>
        <w:tabs>
          <w:tab w:val="left" w:pos="406"/>
          <w:tab w:val="left" w:pos="826"/>
        </w:tabs>
        <w:spacing w:after="120"/>
      </w:pPr>
      <w:r w:rsidRPr="00220E55">
        <w:t>Orgány Fondu</w:t>
      </w:r>
    </w:p>
    <w:p w14:paraId="3CA92296" w14:textId="77777777" w:rsidR="00395CC6" w:rsidRPr="00220E55" w:rsidRDefault="00395CC6" w:rsidP="003866FF">
      <w:pPr>
        <w:pStyle w:val="Odstavec"/>
        <w:tabs>
          <w:tab w:val="clear" w:pos="851"/>
          <w:tab w:val="left" w:pos="406"/>
          <w:tab w:val="left" w:pos="826"/>
        </w:tabs>
      </w:pPr>
      <w:r w:rsidRPr="00220E55">
        <w:t>(1)</w:t>
      </w:r>
      <w:r w:rsidRPr="00220E55">
        <w:tab/>
        <w:t>Orgány Fondu jsou výbor Fondu (dále jen „výbor“), dozorčí rada Fondu (dále jen „dozorčí rada") a ředitel Fondu (dále jen „ředitel“).</w:t>
      </w:r>
    </w:p>
    <w:p w14:paraId="3FA0B66C" w14:textId="77777777" w:rsidR="00395CC6" w:rsidRPr="00220E55" w:rsidRDefault="00395CC6" w:rsidP="003866FF">
      <w:pPr>
        <w:pStyle w:val="Odstavec"/>
        <w:tabs>
          <w:tab w:val="clear" w:pos="851"/>
          <w:tab w:val="left" w:pos="406"/>
          <w:tab w:val="left" w:pos="826"/>
        </w:tabs>
      </w:pPr>
      <w:r w:rsidRPr="00220E55">
        <w:t>(2)</w:t>
      </w:r>
      <w:r w:rsidRPr="00220E55">
        <w:tab/>
        <w:t>Výbor má 7 členů a skládá se ze 4 zástupců ministerstva, zástupce Ministerstva financí, zástupce Ministerstva průmyslu a obchodu a zástupce územně samosprávných celků. Předsedou výboru je ministr. Místopředsedu a dalších 5 členů výboru jmenuje a odvolává vláda na návrh ministra. Jejich funkční období je čtyřleté. Člen výboru může být odvolán</w:t>
      </w:r>
    </w:p>
    <w:p w14:paraId="13833696" w14:textId="77777777" w:rsidR="00395CC6" w:rsidRPr="00220E55" w:rsidRDefault="00395CC6" w:rsidP="00395CC6">
      <w:pPr>
        <w:pStyle w:val="Psmeno"/>
        <w:tabs>
          <w:tab w:val="left" w:pos="426"/>
          <w:tab w:val="left" w:pos="826"/>
        </w:tabs>
        <w:spacing w:before="0"/>
        <w:ind w:left="0" w:firstLine="0"/>
      </w:pPr>
      <w:r w:rsidRPr="00220E55">
        <w:t>a)</w:t>
      </w:r>
      <w:r w:rsidRPr="00220E55">
        <w:tab/>
        <w:t>porušil-li závažným způsobem povinnosti vyplývající z jeho funkce,</w:t>
      </w:r>
    </w:p>
    <w:p w14:paraId="2BD1DACE" w14:textId="77777777" w:rsidR="00395CC6" w:rsidRPr="00220E55" w:rsidRDefault="00395CC6" w:rsidP="00395CC6">
      <w:pPr>
        <w:pStyle w:val="Psmeno"/>
        <w:tabs>
          <w:tab w:val="left" w:pos="426"/>
          <w:tab w:val="left" w:pos="826"/>
        </w:tabs>
        <w:spacing w:before="0"/>
        <w:ind w:left="0" w:firstLine="0"/>
      </w:pPr>
      <w:r w:rsidRPr="00220E55">
        <w:t>b)</w:t>
      </w:r>
      <w:r w:rsidRPr="00220E55">
        <w:tab/>
        <w:t>byl-li pravomocně odsouzen pro úmyslný trestný čin,</w:t>
      </w:r>
    </w:p>
    <w:p w14:paraId="2CC3E129" w14:textId="77777777" w:rsidR="00395CC6" w:rsidRPr="00220E55" w:rsidRDefault="00395CC6" w:rsidP="00395CC6">
      <w:pPr>
        <w:pStyle w:val="Psmeno"/>
        <w:tabs>
          <w:tab w:val="left" w:pos="426"/>
          <w:tab w:val="left" w:pos="826"/>
        </w:tabs>
        <w:spacing w:before="0"/>
        <w:ind w:left="0" w:firstLine="0"/>
      </w:pPr>
      <w:r w:rsidRPr="00220E55">
        <w:t>c)</w:t>
      </w:r>
      <w:r w:rsidRPr="00220E55">
        <w:tab/>
        <w:t>nemůže-li z důvodů na své straně vykonávat svou funkci po dobu delší šesti měsíců,</w:t>
      </w:r>
    </w:p>
    <w:p w14:paraId="71A1B0F1" w14:textId="77777777" w:rsidR="00395CC6" w:rsidRPr="00220E55" w:rsidRDefault="00395CC6" w:rsidP="00395CC6">
      <w:pPr>
        <w:pStyle w:val="Psmeno"/>
        <w:tabs>
          <w:tab w:val="left" w:pos="426"/>
          <w:tab w:val="left" w:pos="826"/>
        </w:tabs>
        <w:spacing w:before="0"/>
        <w:ind w:left="0" w:firstLine="0"/>
      </w:pPr>
      <w:r w:rsidRPr="00220E55">
        <w:t>d)</w:t>
      </w:r>
      <w:r w:rsidRPr="00220E55">
        <w:tab/>
        <w:t>v dalších odůvodněných případech.</w:t>
      </w:r>
    </w:p>
    <w:p w14:paraId="630DFF97" w14:textId="77777777" w:rsidR="00395CC6" w:rsidRPr="00220E55" w:rsidRDefault="00395CC6" w:rsidP="003866FF">
      <w:pPr>
        <w:pStyle w:val="Odstavec"/>
        <w:tabs>
          <w:tab w:val="clear" w:pos="851"/>
          <w:tab w:val="left" w:pos="406"/>
          <w:tab w:val="left" w:pos="826"/>
        </w:tabs>
      </w:pPr>
      <w:r w:rsidRPr="00220E55">
        <w:t>(3)</w:t>
      </w:r>
      <w:r w:rsidRPr="00220E55">
        <w:tab/>
        <w:t>Předseda výboru řídí činnost výboru. Jednání výboru se řídí jednacím řádem, který schvaluje výbor usnesením.</w:t>
      </w:r>
    </w:p>
    <w:p w14:paraId="2B132F61" w14:textId="77777777" w:rsidR="00395CC6" w:rsidRPr="00220E55" w:rsidRDefault="00395CC6" w:rsidP="003866FF">
      <w:pPr>
        <w:pStyle w:val="Odstavec"/>
        <w:tabs>
          <w:tab w:val="clear" w:pos="851"/>
          <w:tab w:val="left" w:pos="406"/>
          <w:tab w:val="left" w:pos="826"/>
        </w:tabs>
      </w:pPr>
      <w:r w:rsidRPr="00220E55">
        <w:t>(4)</w:t>
      </w:r>
      <w:r w:rsidRPr="00220E55">
        <w:tab/>
        <w:t>Výbor jedná o věcech, které jsou předmětem činnosti Fondu, a předkládá ministrovi</w:t>
      </w:r>
    </w:p>
    <w:p w14:paraId="1A0D68D1" w14:textId="77777777" w:rsidR="00395CC6" w:rsidRPr="00220E55" w:rsidRDefault="00395CC6" w:rsidP="00850A92">
      <w:pPr>
        <w:pStyle w:val="Psmeno"/>
        <w:tabs>
          <w:tab w:val="left" w:pos="426"/>
          <w:tab w:val="left" w:pos="826"/>
        </w:tabs>
        <w:spacing w:before="0"/>
        <w:ind w:left="426" w:hanging="426"/>
      </w:pPr>
      <w:r w:rsidRPr="00220E55">
        <w:t>a)</w:t>
      </w:r>
      <w:r w:rsidRPr="00220E55">
        <w:tab/>
        <w:t>návrh rozpočtu Fondu,</w:t>
      </w:r>
    </w:p>
    <w:p w14:paraId="0F7AE5D5" w14:textId="77777777" w:rsidR="00395CC6" w:rsidRPr="00220E55" w:rsidRDefault="00395CC6" w:rsidP="00850A92">
      <w:pPr>
        <w:pStyle w:val="Psmeno"/>
        <w:tabs>
          <w:tab w:val="left" w:pos="426"/>
          <w:tab w:val="left" w:pos="826"/>
        </w:tabs>
        <w:spacing w:before="0"/>
        <w:ind w:left="426" w:hanging="426"/>
      </w:pPr>
      <w:r w:rsidRPr="00220E55">
        <w:t>b)</w:t>
      </w:r>
      <w:r w:rsidRPr="00220E55">
        <w:tab/>
      </w:r>
      <w:r w:rsidRPr="00220E55">
        <w:rPr>
          <w:b/>
        </w:rPr>
        <w:t xml:space="preserve">řádnou individuální </w:t>
      </w:r>
      <w:r w:rsidRPr="00220E55">
        <w:t xml:space="preserve">účetní závěrku Fondu </w:t>
      </w:r>
      <w:r w:rsidRPr="00220E55">
        <w:rPr>
          <w:strike/>
        </w:rPr>
        <w:t>sestavenou k rozvahovému dni</w:t>
      </w:r>
      <w:r w:rsidRPr="00220E55">
        <w:t xml:space="preserve"> a výroční zprávu o činnosti Fondu za příslušný kalendářní rok,</w:t>
      </w:r>
    </w:p>
    <w:p w14:paraId="78CFCFED" w14:textId="77777777" w:rsidR="00395CC6" w:rsidRPr="00220E55" w:rsidRDefault="00395CC6" w:rsidP="00850A92">
      <w:pPr>
        <w:pStyle w:val="Psmeno"/>
        <w:tabs>
          <w:tab w:val="left" w:pos="426"/>
          <w:tab w:val="left" w:pos="826"/>
        </w:tabs>
        <w:spacing w:before="0"/>
        <w:ind w:left="426" w:hanging="426"/>
      </w:pPr>
      <w:r w:rsidRPr="00220E55">
        <w:t>c)</w:t>
      </w:r>
      <w:r w:rsidRPr="00220E55">
        <w:tab/>
        <w:t>návrh statutu Fondu a návrh změn tohoto statutu.</w:t>
      </w:r>
    </w:p>
    <w:p w14:paraId="5768B61A" w14:textId="77777777" w:rsidR="00395CC6" w:rsidRPr="00220E55" w:rsidRDefault="00395CC6" w:rsidP="003866FF">
      <w:pPr>
        <w:pStyle w:val="Odstavec"/>
        <w:tabs>
          <w:tab w:val="clear" w:pos="851"/>
          <w:tab w:val="left" w:pos="406"/>
          <w:tab w:val="left" w:pos="826"/>
        </w:tabs>
      </w:pPr>
      <w:r w:rsidRPr="00220E55">
        <w:t>(5)</w:t>
      </w:r>
      <w:r w:rsidRPr="00220E55">
        <w:tab/>
        <w:t>Ředitel je statutárním orgánem Fondu a jeho zaměstnancem. Ředitel je jmenován ministrem. Ředitel zejména</w:t>
      </w:r>
    </w:p>
    <w:p w14:paraId="671ED8C9" w14:textId="77777777" w:rsidR="00395CC6" w:rsidRPr="00220E55" w:rsidRDefault="00395CC6" w:rsidP="00395CC6">
      <w:pPr>
        <w:pStyle w:val="Psmeno"/>
        <w:tabs>
          <w:tab w:val="left" w:pos="426"/>
          <w:tab w:val="left" w:pos="826"/>
        </w:tabs>
        <w:spacing w:before="0"/>
        <w:ind w:left="0" w:firstLine="0"/>
      </w:pPr>
      <w:r w:rsidRPr="00220E55">
        <w:t>a)</w:t>
      </w:r>
      <w:r w:rsidRPr="00220E55">
        <w:tab/>
        <w:t>provádí rozhodnutí a další opatření schválená a projednaná výborem,</w:t>
      </w:r>
    </w:p>
    <w:p w14:paraId="256F92F4" w14:textId="77777777" w:rsidR="00395CC6" w:rsidRPr="00220E55" w:rsidRDefault="00395CC6" w:rsidP="00395CC6">
      <w:pPr>
        <w:pStyle w:val="Psmeno"/>
        <w:tabs>
          <w:tab w:val="left" w:pos="426"/>
          <w:tab w:val="left" w:pos="826"/>
        </w:tabs>
        <w:spacing w:before="0"/>
        <w:ind w:left="0" w:firstLine="0"/>
      </w:pPr>
      <w:r w:rsidRPr="00220E55">
        <w:t>b)</w:t>
      </w:r>
      <w:r w:rsidRPr="00220E55">
        <w:tab/>
        <w:t>řídí činnost Fondu a práci zaměstnanců Fondu.</w:t>
      </w:r>
    </w:p>
    <w:p w14:paraId="44655EC0" w14:textId="77777777" w:rsidR="00395CC6" w:rsidRPr="00220E55" w:rsidRDefault="00395CC6" w:rsidP="003866FF">
      <w:pPr>
        <w:pStyle w:val="Odstavec"/>
        <w:tabs>
          <w:tab w:val="clear" w:pos="851"/>
          <w:tab w:val="left" w:pos="406"/>
          <w:tab w:val="left" w:pos="826"/>
        </w:tabs>
      </w:pPr>
      <w:r w:rsidRPr="00220E55">
        <w:t>(6)</w:t>
      </w:r>
      <w:r w:rsidRPr="00220E55">
        <w:tab/>
        <w:t>Dozorčí rada je kontrolním orgánem Fondu. Dozorčí rada kontroluje činnost a hospodaření Fondu a jeho orgánů a schvaluje účetní závěrku Fondu. Dozorčí rada má 5 členů. Členy dozorčí rady volí a odvolává Poslanecká sněmovna Parlamentu České republiky. Funkční období členů dozorčí rady je čtyřleté. Člen dozorčí rady může být odvolán</w:t>
      </w:r>
    </w:p>
    <w:p w14:paraId="7FF0C9DB" w14:textId="77777777" w:rsidR="00395CC6" w:rsidRDefault="00395CC6" w:rsidP="00813DC2">
      <w:pPr>
        <w:pStyle w:val="Psmeno"/>
        <w:tabs>
          <w:tab w:val="left" w:pos="426"/>
          <w:tab w:val="left" w:pos="826"/>
        </w:tabs>
        <w:spacing w:before="0"/>
        <w:ind w:left="0" w:firstLine="0"/>
      </w:pPr>
      <w:r w:rsidRPr="00220E55">
        <w:t>a)</w:t>
      </w:r>
      <w:r w:rsidRPr="00220E55">
        <w:tab/>
        <w:t xml:space="preserve">porušil-li závažným způsobem povinnosti vyplývající z jeho </w:t>
      </w:r>
      <w:r>
        <w:t>funkce,</w:t>
      </w:r>
    </w:p>
    <w:p w14:paraId="537CDC28" w14:textId="77777777" w:rsidR="00395CC6" w:rsidRDefault="00395CC6" w:rsidP="00813DC2">
      <w:pPr>
        <w:pStyle w:val="Psmeno"/>
        <w:tabs>
          <w:tab w:val="left" w:pos="426"/>
          <w:tab w:val="left" w:pos="826"/>
        </w:tabs>
        <w:spacing w:before="0"/>
        <w:ind w:left="0" w:firstLine="0"/>
      </w:pPr>
      <w:r>
        <w:t>b)</w:t>
      </w:r>
      <w:r>
        <w:tab/>
        <w:t>byl-li pravomocně odsouzen pro úmyslný trestný čin,</w:t>
      </w:r>
    </w:p>
    <w:p w14:paraId="7816BF46" w14:textId="77777777" w:rsidR="00395CC6" w:rsidRDefault="00395CC6" w:rsidP="00813DC2">
      <w:pPr>
        <w:pStyle w:val="Psmeno"/>
        <w:tabs>
          <w:tab w:val="left" w:pos="426"/>
          <w:tab w:val="left" w:pos="826"/>
        </w:tabs>
        <w:spacing w:before="0"/>
        <w:ind w:left="0" w:firstLine="0"/>
      </w:pPr>
      <w:r>
        <w:t>c)</w:t>
      </w:r>
      <w:r>
        <w:tab/>
        <w:t>nemůže-li z důvodů na své straně vykonávat svou funkci po dobu delší šesti měsíců,</w:t>
      </w:r>
    </w:p>
    <w:p w14:paraId="1BB4CAFB" w14:textId="77777777" w:rsidR="00395CC6" w:rsidRDefault="00395CC6" w:rsidP="00813DC2">
      <w:pPr>
        <w:pStyle w:val="Psmeno"/>
        <w:tabs>
          <w:tab w:val="left" w:pos="426"/>
          <w:tab w:val="left" w:pos="826"/>
        </w:tabs>
        <w:spacing w:before="0"/>
        <w:ind w:left="0" w:firstLine="0"/>
      </w:pPr>
      <w:r>
        <w:t>d)</w:t>
      </w:r>
      <w:r>
        <w:tab/>
        <w:t>v dalších odůvodněných případech.</w:t>
      </w:r>
    </w:p>
    <w:p w14:paraId="01DBBE0D" w14:textId="77777777" w:rsidR="00395CC6" w:rsidRDefault="00395CC6" w:rsidP="003866FF">
      <w:pPr>
        <w:pStyle w:val="Odstavec"/>
        <w:tabs>
          <w:tab w:val="clear" w:pos="851"/>
          <w:tab w:val="left" w:pos="406"/>
          <w:tab w:val="left" w:pos="826"/>
        </w:tabs>
      </w:pPr>
      <w:r>
        <w:t>(7)</w:t>
      </w:r>
      <w:r>
        <w:tab/>
        <w:t>Dozorčí rada zvolí ze svých členů předsedu a místopředsedu. Dozorčí rada se usnáší hlasováním. Volba je provedena nebo usnesení je přijato, pokud pro ně hlasují nejméně 3 členové dozorčí rady. Jednání dozorčí rady se řídí jednacím řádem, který schvaluje dozorčí rada usnesením.</w:t>
      </w:r>
    </w:p>
    <w:p w14:paraId="6616BB68" w14:textId="77777777" w:rsidR="00395CC6" w:rsidRDefault="00395CC6" w:rsidP="003866FF">
      <w:pPr>
        <w:pStyle w:val="Odstavec"/>
        <w:tabs>
          <w:tab w:val="clear" w:pos="851"/>
          <w:tab w:val="left" w:pos="406"/>
          <w:tab w:val="left" w:pos="826"/>
        </w:tabs>
      </w:pPr>
      <w:r>
        <w:t>(8) O závažných nedostatcích zjištěných v činnosti a hospodaření Fondu dozorčí rada neprodleně informuje ministra.</w:t>
      </w:r>
    </w:p>
    <w:p w14:paraId="308E46DF" w14:textId="77777777" w:rsidR="00F3373B" w:rsidRDefault="00F3373B" w:rsidP="00CB5381">
      <w:pPr>
        <w:pStyle w:val="Textparagrafu"/>
        <w:tabs>
          <w:tab w:val="left" w:pos="406"/>
          <w:tab w:val="left" w:pos="840"/>
          <w:tab w:val="left" w:pos="868"/>
        </w:tabs>
        <w:spacing w:after="120"/>
        <w:ind w:firstLine="0"/>
        <w:sectPr w:rsidR="00F3373B" w:rsidSect="00554E2B">
          <w:footnotePr>
            <w:numStart w:val="3"/>
          </w:footnotePr>
          <w:endnotePr>
            <w:numFmt w:val="decimal"/>
          </w:endnotePr>
          <w:pgSz w:w="11906" w:h="16838"/>
          <w:pgMar w:top="1418" w:right="1418" w:bottom="1418" w:left="1418" w:header="709" w:footer="709" w:gutter="0"/>
          <w:cols w:space="708"/>
          <w:docGrid w:linePitch="360"/>
        </w:sectPr>
      </w:pPr>
    </w:p>
    <w:p w14:paraId="73F549F1" w14:textId="6A7AE538" w:rsidR="00F3373B" w:rsidRPr="00681D7E" w:rsidRDefault="00F3373B" w:rsidP="003866FF">
      <w:pPr>
        <w:tabs>
          <w:tab w:val="left" w:pos="851"/>
        </w:tabs>
        <w:spacing w:before="120" w:after="120"/>
        <w:ind w:firstLine="0"/>
        <w:jc w:val="center"/>
        <w:outlineLvl w:val="0"/>
        <w:rPr>
          <w:szCs w:val="24"/>
        </w:rPr>
      </w:pPr>
      <w:r w:rsidRPr="00681D7E">
        <w:rPr>
          <w:b/>
          <w:szCs w:val="24"/>
        </w:rPr>
        <w:lastRenderedPageBreak/>
        <w:t>K části</w:t>
      </w:r>
      <w:r w:rsidR="00850A92" w:rsidRPr="00681D7E">
        <w:rPr>
          <w:b/>
          <w:szCs w:val="24"/>
        </w:rPr>
        <w:t xml:space="preserve"> čtyřicáté deváté </w:t>
      </w:r>
      <w:r w:rsidRPr="00681D7E">
        <w:rPr>
          <w:b/>
          <w:szCs w:val="24"/>
        </w:rPr>
        <w:t xml:space="preserve">návrhu zákona – </w:t>
      </w:r>
      <w:r w:rsidRPr="00681D7E">
        <w:rPr>
          <w:szCs w:val="24"/>
        </w:rPr>
        <w:t xml:space="preserve">změna </w:t>
      </w:r>
      <w:r w:rsidR="00411BFE">
        <w:rPr>
          <w:szCs w:val="24"/>
        </w:rPr>
        <w:t>rozpočtových pravidel</w:t>
      </w:r>
    </w:p>
    <w:p w14:paraId="24229112" w14:textId="07C447FE" w:rsidR="00F3373B" w:rsidRPr="00681D7E" w:rsidRDefault="00F3373B" w:rsidP="00F3373B">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681D7E">
        <w:rPr>
          <w:b/>
          <w:szCs w:val="24"/>
        </w:rPr>
        <w:t>Platné znění</w:t>
      </w:r>
      <w:r w:rsidRPr="00681D7E">
        <w:rPr>
          <w:szCs w:val="24"/>
        </w:rPr>
        <w:t xml:space="preserve"> zákona č.</w:t>
      </w:r>
      <w:r w:rsidR="003866FF">
        <w:rPr>
          <w:szCs w:val="24"/>
        </w:rPr>
        <w:t xml:space="preserve"> </w:t>
      </w:r>
      <w:r w:rsidRPr="00681D7E">
        <w:rPr>
          <w:szCs w:val="24"/>
        </w:rPr>
        <w:t>218/2000 Sb., o rozpočtových pravidlech a o změně některých souvisejících zákonů (rozpočtová pravidla)</w:t>
      </w:r>
    </w:p>
    <w:p w14:paraId="5D243661" w14:textId="6DB9B0E6" w:rsidR="00F3373B" w:rsidRPr="00681D7E" w:rsidRDefault="003866FF" w:rsidP="00F3373B">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AE4818">
        <w:rPr>
          <w:b/>
          <w:szCs w:val="24"/>
          <w:lang w:eastAsia="en-US"/>
        </w:rPr>
        <w:t>s vyznačením navrhovaných změn a doplnění k 1. lednu 2025</w:t>
      </w:r>
    </w:p>
    <w:p w14:paraId="2F00AB69" w14:textId="77777777" w:rsidR="00F3373B" w:rsidRPr="00681D7E" w:rsidRDefault="00F3373B" w:rsidP="00F3373B">
      <w:pPr>
        <w:pStyle w:val="Textparagrafu"/>
        <w:tabs>
          <w:tab w:val="left" w:pos="406"/>
          <w:tab w:val="left" w:pos="840"/>
          <w:tab w:val="left" w:pos="868"/>
        </w:tabs>
        <w:spacing w:after="120"/>
        <w:ind w:firstLine="0"/>
        <w:jc w:val="center"/>
      </w:pPr>
      <w:r w:rsidRPr="00681D7E">
        <w:t>***</w:t>
      </w:r>
    </w:p>
    <w:p w14:paraId="004AA69B" w14:textId="77777777" w:rsidR="00681D7E" w:rsidRPr="009B1ABF" w:rsidRDefault="00681D7E" w:rsidP="00992796">
      <w:pPr>
        <w:keepNext/>
        <w:keepLines/>
        <w:numPr>
          <w:ilvl w:val="0"/>
          <w:numId w:val="60"/>
        </w:numPr>
        <w:spacing w:after="160"/>
        <w:jc w:val="center"/>
        <w:outlineLvl w:val="5"/>
      </w:pPr>
      <w:r w:rsidRPr="009B1ABF">
        <w:t>§ 3</w:t>
      </w:r>
    </w:p>
    <w:p w14:paraId="4AE649A5" w14:textId="77777777" w:rsidR="00681D7E" w:rsidRPr="009B1ABF" w:rsidRDefault="00681D7E" w:rsidP="00992796">
      <w:pPr>
        <w:keepNext/>
        <w:keepLines/>
        <w:numPr>
          <w:ilvl w:val="0"/>
          <w:numId w:val="60"/>
        </w:numPr>
        <w:spacing w:after="160"/>
        <w:jc w:val="center"/>
        <w:outlineLvl w:val="5"/>
        <w:rPr>
          <w:b/>
        </w:rPr>
      </w:pPr>
      <w:r w:rsidRPr="009B1ABF">
        <w:rPr>
          <w:b/>
        </w:rPr>
        <w:t>Pojmy</w:t>
      </w:r>
    </w:p>
    <w:p w14:paraId="7FA427C4" w14:textId="77777777" w:rsidR="00681D7E" w:rsidRPr="009B1ABF" w:rsidRDefault="00681D7E" w:rsidP="003866FF">
      <w:pPr>
        <w:tabs>
          <w:tab w:val="left" w:pos="851"/>
        </w:tabs>
        <w:spacing w:before="120" w:after="120"/>
        <w:outlineLvl w:val="6"/>
      </w:pPr>
      <w:r w:rsidRPr="009B1ABF">
        <w:t>Pro účely tohoto zákona se rozumí</w:t>
      </w:r>
    </w:p>
    <w:p w14:paraId="579676D9" w14:textId="77777777" w:rsidR="00681D7E" w:rsidRPr="009B1ABF" w:rsidRDefault="00681D7E" w:rsidP="00CC338F">
      <w:pPr>
        <w:tabs>
          <w:tab w:val="left" w:pos="708"/>
        </w:tabs>
        <w:spacing w:before="0"/>
        <w:ind w:left="425" w:hanging="425"/>
        <w:outlineLvl w:val="7"/>
      </w:pPr>
      <w:r w:rsidRPr="009B1ABF">
        <w:t>a)</w:t>
      </w:r>
      <w:r w:rsidRPr="009B1ABF">
        <w:tab/>
        <w:t>dotací peněžní prostředky státního rozpočtu, státních finančních aktiv nebo Národního fondu poskytnuté právnickým nebo fyzickým osobám na stanovený účel,</w:t>
      </w:r>
    </w:p>
    <w:p w14:paraId="425A4B5B" w14:textId="77777777" w:rsidR="00681D7E" w:rsidRPr="009B1ABF" w:rsidRDefault="00681D7E" w:rsidP="00CC338F">
      <w:pPr>
        <w:tabs>
          <w:tab w:val="left" w:pos="708"/>
        </w:tabs>
        <w:spacing w:before="0"/>
        <w:ind w:left="425" w:hanging="425"/>
        <w:outlineLvl w:val="7"/>
      </w:pPr>
      <w:r w:rsidRPr="009B1ABF">
        <w:t>b)</w:t>
      </w:r>
      <w:r w:rsidRPr="009B1ABF">
        <w:tab/>
        <w:t>návratnou finanční výpomocí prostředky státního rozpočtu, státních finančních aktiv nebo Národního fondu poskytnuté, nestanoví-li zvláštní zákon jinak, bezúročně právnickým nebo fyzickým osobám na stanovený účel, které je povinen jejich příjemce vrátit do státního rozpočtu, státních finančních aktiv nebo Národního fondu,</w:t>
      </w:r>
    </w:p>
    <w:p w14:paraId="1D09CAD0" w14:textId="77777777" w:rsidR="00681D7E" w:rsidRPr="009B1ABF" w:rsidRDefault="00681D7E" w:rsidP="00CC338F">
      <w:pPr>
        <w:tabs>
          <w:tab w:val="left" w:pos="708"/>
        </w:tabs>
        <w:spacing w:before="0"/>
        <w:ind w:left="425" w:hanging="425"/>
        <w:outlineLvl w:val="7"/>
      </w:pPr>
      <w:r w:rsidRPr="009B1ABF">
        <w:t>c)</w:t>
      </w:r>
      <w:r w:rsidRPr="009B1ABF">
        <w:tab/>
        <w:t>jinými peněžními prostředky státu peněžní prostředky státních finančních aktiv, příspěvkových organizací, státních fondů a fondů organizačních složek státu,</w:t>
      </w:r>
    </w:p>
    <w:p w14:paraId="1BB63E7E" w14:textId="77777777" w:rsidR="00681D7E" w:rsidRPr="009B1ABF" w:rsidRDefault="00681D7E" w:rsidP="00CC338F">
      <w:pPr>
        <w:tabs>
          <w:tab w:val="left" w:pos="708"/>
        </w:tabs>
        <w:spacing w:before="0"/>
        <w:ind w:left="425" w:hanging="425"/>
        <w:outlineLvl w:val="7"/>
      </w:pPr>
      <w:r w:rsidRPr="009B1ABF">
        <w:t>d)</w:t>
      </w:r>
      <w:r w:rsidRPr="009B1ABF">
        <w:tab/>
        <w:t>finančním vypořádáním dotace nebo návratné finanční výpomoci, přehled o čerpání a použití prostředků a vrácení nepoužitých prostředků,</w:t>
      </w:r>
    </w:p>
    <w:p w14:paraId="398832B4" w14:textId="77777777" w:rsidR="00681D7E" w:rsidRPr="009B1ABF" w:rsidRDefault="00681D7E" w:rsidP="00CC338F">
      <w:pPr>
        <w:tabs>
          <w:tab w:val="left" w:pos="708"/>
        </w:tabs>
        <w:spacing w:before="0"/>
        <w:ind w:left="425" w:hanging="425"/>
        <w:outlineLvl w:val="7"/>
      </w:pPr>
      <w:r w:rsidRPr="009B1ABF">
        <w:t>e)</w:t>
      </w:r>
      <w:r w:rsidRPr="009B1ABF">
        <w:tab/>
        <w:t>neoprávněným použitím peněžních prostředků státního rozpočtu, jiných peněžních prostředků státu, prostředků poskytnutých ze státního rozpočtu, státních finančních aktiv, státního fondu nebo Národního fondu, jejich výdej, jehož provedením byla porušena povinnost stanovená právním předpisem, rozhodnutím, případně dohodou o poskytnutí těchto prostředků, nebo porušení podmínek, za kterých byly příslušné peněžní prostředky poskytnuty, porušení účelu nebo podmínek, za kterých byly prostředky zařazeny do státního rozpočtu nebo přesunuty rozpočtovým opatřením a v rozporu se stanoveným účelem nebo podmínkami vydány; dále se jím rozumí i to, nelze-li prokázat, jak byly tyto peněžní prostředky použity,</w:t>
      </w:r>
    </w:p>
    <w:p w14:paraId="390DEF72" w14:textId="77777777" w:rsidR="00681D7E" w:rsidRPr="009B1ABF" w:rsidRDefault="00681D7E" w:rsidP="00CC338F">
      <w:pPr>
        <w:tabs>
          <w:tab w:val="left" w:pos="708"/>
        </w:tabs>
        <w:spacing w:before="0"/>
        <w:ind w:left="425" w:hanging="425"/>
        <w:outlineLvl w:val="7"/>
      </w:pPr>
      <w:r w:rsidRPr="009B1ABF">
        <w:t>f)</w:t>
      </w:r>
      <w:r w:rsidRPr="009B1ABF">
        <w:tab/>
        <w:t>zadržením peněžních prostředků poskytnutých ze státního rozpočtu, státního fondu, státních finančních aktiv nebo Národního fondu porušení povinnosti vrácení prostředků poskytnutých ze státního rozpočtu, státního fondu, státních finančních aktiv nebo Národního fondu ve stanoveném termínu,</w:t>
      </w:r>
    </w:p>
    <w:p w14:paraId="66A7A9E6" w14:textId="77777777" w:rsidR="00681D7E" w:rsidRPr="009B1ABF" w:rsidRDefault="00681D7E" w:rsidP="00CC338F">
      <w:pPr>
        <w:tabs>
          <w:tab w:val="left" w:pos="708"/>
        </w:tabs>
        <w:spacing w:before="0"/>
        <w:ind w:left="425" w:hanging="425"/>
        <w:outlineLvl w:val="7"/>
      </w:pPr>
      <w:r w:rsidRPr="009B1ABF">
        <w:t>g)</w:t>
      </w:r>
      <w:r w:rsidRPr="009B1ABF">
        <w:tab/>
        <w:t>správci kapitol státního rozpočtu (dále jen "správci kapitol") ústřední orgány státní správy a další organizační složky státu, stanoví-li zvláštní zákon, že tyto organizační složky státu mají samostatnou kapitolu ve státním rozpočtu nebo že mají postavení ústředního orgánu státní správy nebo že mají postavení ústředního orgánu státní správy pro rozpočtové účely,</w:t>
      </w:r>
    </w:p>
    <w:p w14:paraId="492DD351" w14:textId="77777777" w:rsidR="00681D7E" w:rsidRPr="009B1ABF" w:rsidRDefault="00681D7E" w:rsidP="00CC338F">
      <w:pPr>
        <w:tabs>
          <w:tab w:val="left" w:pos="708"/>
        </w:tabs>
        <w:spacing w:before="0"/>
        <w:ind w:left="425" w:hanging="425"/>
        <w:outlineLvl w:val="7"/>
      </w:pPr>
      <w:r w:rsidRPr="009B1ABF">
        <w:t>h)</w:t>
      </w:r>
      <w:r w:rsidRPr="009B1ABF">
        <w:tab/>
        <w:t>peněžními prostředky státní pokladny souhrn peněžních prostředků na</w:t>
      </w:r>
    </w:p>
    <w:p w14:paraId="7E10A071" w14:textId="77777777" w:rsidR="00681D7E" w:rsidRPr="009B1ABF" w:rsidRDefault="00681D7E" w:rsidP="00CC338F">
      <w:pPr>
        <w:spacing w:before="0"/>
        <w:ind w:left="850" w:hanging="425"/>
        <w:outlineLvl w:val="7"/>
      </w:pPr>
      <w:r>
        <w:t xml:space="preserve">1. </w:t>
      </w:r>
      <w:r>
        <w:tab/>
      </w:r>
      <w:r w:rsidRPr="009B1ABF">
        <w:t>příjmových a výdajových účtech státního rozpočtu,</w:t>
      </w:r>
    </w:p>
    <w:p w14:paraId="5EE7FCF8" w14:textId="77777777" w:rsidR="00681D7E" w:rsidRPr="009B1ABF" w:rsidRDefault="00681D7E" w:rsidP="00CC338F">
      <w:pPr>
        <w:spacing w:before="0"/>
        <w:ind w:left="850" w:hanging="425"/>
        <w:outlineLvl w:val="7"/>
      </w:pPr>
      <w:r>
        <w:t>2.</w:t>
      </w:r>
      <w:r>
        <w:tab/>
      </w:r>
      <w:r w:rsidRPr="009B1ABF">
        <w:t>účtech státních finančních aktiv,</w:t>
      </w:r>
    </w:p>
    <w:p w14:paraId="04E0A1EB" w14:textId="77777777" w:rsidR="00681D7E" w:rsidRPr="009B1ABF" w:rsidRDefault="00681D7E" w:rsidP="00CC338F">
      <w:pPr>
        <w:spacing w:before="0"/>
        <w:ind w:left="850" w:hanging="425"/>
        <w:outlineLvl w:val="7"/>
      </w:pPr>
      <w:r>
        <w:t>3.</w:t>
      </w:r>
      <w:r>
        <w:tab/>
      </w:r>
      <w:r w:rsidRPr="009B1ABF">
        <w:t xml:space="preserve">účtech ministerstva pro řízení likvidity státní pokladny a pro řízení státního dluhu, s výjimkou účtů, které ministerstvo za tímto účelem zřizuje v bankách a pobočkách zahraničních </w:t>
      </w:r>
      <w:proofErr w:type="gramStart"/>
      <w:r w:rsidRPr="009B1ABF">
        <w:t>bank</w:t>
      </w:r>
      <w:r w:rsidRPr="009B1ABF">
        <w:rPr>
          <w:vertAlign w:val="superscript"/>
        </w:rPr>
        <w:footnoteReference w:customMarkFollows="1" w:id="328"/>
        <w:t>4)</w:t>
      </w:r>
      <w:r w:rsidRPr="009B1ABF">
        <w:t xml:space="preserve"> (dále</w:t>
      </w:r>
      <w:proofErr w:type="gramEnd"/>
      <w:r w:rsidRPr="009B1ABF">
        <w:t xml:space="preserve"> jen „banka“) nebo v bankách v zahraničí,</w:t>
      </w:r>
    </w:p>
    <w:p w14:paraId="38B07675" w14:textId="77777777" w:rsidR="00681D7E" w:rsidRPr="009B1ABF" w:rsidRDefault="00681D7E" w:rsidP="00CC338F">
      <w:pPr>
        <w:spacing w:before="0"/>
        <w:ind w:left="850" w:hanging="425"/>
        <w:outlineLvl w:val="7"/>
      </w:pPr>
      <w:r>
        <w:lastRenderedPageBreak/>
        <w:t>4.</w:t>
      </w:r>
      <w:r>
        <w:tab/>
      </w:r>
      <w:r w:rsidRPr="009B1ABF">
        <w:t>účtech správců daní, poplatků nebo jiných obdobných peněžitých plnění, na kterých jsou spravovány daňové příjmy, které jsou následně určeny rozpočtům územních samosprávných celků</w:t>
      </w:r>
      <w:r w:rsidRPr="009B1ABF">
        <w:rPr>
          <w:vertAlign w:val="superscript"/>
        </w:rPr>
        <w:footnoteReference w:customMarkFollows="1" w:id="329"/>
        <w:t>3)</w:t>
      </w:r>
      <w:r w:rsidRPr="009B1ABF">
        <w:t>, státním fondům, Národnímu fondu, rezervním fondům organizačních složek státu, do státních finančních aktiv a na účtech určených ke správě peněžních prostředků z vybraných cel určených k odvodům do vlastních zdrojů Evropské unie</w:t>
      </w:r>
      <w:r w:rsidRPr="009B1ABF">
        <w:rPr>
          <w:vertAlign w:val="superscript"/>
        </w:rPr>
        <w:footnoteReference w:customMarkFollows="1" w:id="330"/>
        <w:t>3a)</w:t>
      </w:r>
      <w:r w:rsidRPr="009B1ABF">
        <w:t>,</w:t>
      </w:r>
    </w:p>
    <w:p w14:paraId="64BD4849" w14:textId="77777777" w:rsidR="00681D7E" w:rsidRPr="009B1ABF" w:rsidRDefault="00681D7E" w:rsidP="00CC338F">
      <w:pPr>
        <w:spacing w:before="0"/>
        <w:ind w:left="850" w:hanging="425"/>
        <w:outlineLvl w:val="7"/>
      </w:pPr>
      <w:r>
        <w:t>5.</w:t>
      </w:r>
      <w:r>
        <w:tab/>
      </w:r>
      <w:r w:rsidRPr="009B1ABF">
        <w:t>účtech rezervních fondů organizačních složek státu a účtech fondů kulturních a sociálních potřeb organizačních složek státu,</w:t>
      </w:r>
    </w:p>
    <w:p w14:paraId="4C8AF3EE" w14:textId="77777777" w:rsidR="00681D7E" w:rsidRPr="009B1ABF" w:rsidRDefault="00681D7E" w:rsidP="00CC338F">
      <w:pPr>
        <w:spacing w:before="0"/>
        <w:ind w:left="850" w:hanging="425"/>
        <w:outlineLvl w:val="7"/>
      </w:pPr>
      <w:r>
        <w:t>6.</w:t>
      </w:r>
      <w:r>
        <w:tab/>
      </w:r>
      <w:r w:rsidRPr="009B1ABF">
        <w:t>účtech cizích prostředků, účtech, u kterých z povahy příjmů a výdajů dané právním předpisem vyplývá, že nejsou součástí příjmů nebo výdajů státního rozpočtu, zvláštním účtu Ministerstva spravedlnosti podle zákona o použití peněžních prostředků z majetkových trestních sankcí, samostatných běžných účtech stravování, účtech sdružených prostředků (§ 72),</w:t>
      </w:r>
    </w:p>
    <w:p w14:paraId="09BCE262" w14:textId="77777777" w:rsidR="00681D7E" w:rsidRPr="009B1ABF" w:rsidRDefault="00681D7E" w:rsidP="00CC338F">
      <w:pPr>
        <w:spacing w:before="0"/>
        <w:ind w:left="850" w:hanging="425"/>
        <w:outlineLvl w:val="7"/>
      </w:pPr>
      <w:r>
        <w:t>7.</w:t>
      </w:r>
      <w:r>
        <w:tab/>
      </w:r>
      <w:r w:rsidRPr="009B1ABF">
        <w:t>účtech příspěvkových organizací,</w:t>
      </w:r>
    </w:p>
    <w:p w14:paraId="2E4572D0" w14:textId="77777777" w:rsidR="00681D7E" w:rsidRPr="009B1ABF" w:rsidRDefault="00681D7E" w:rsidP="00CC338F">
      <w:pPr>
        <w:spacing w:before="0"/>
        <w:ind w:left="850" w:hanging="425"/>
        <w:outlineLvl w:val="7"/>
      </w:pPr>
      <w:r>
        <w:t>8.</w:t>
      </w:r>
      <w:r>
        <w:tab/>
      </w:r>
      <w:r w:rsidRPr="009B1ABF">
        <w:t>účtech státních fondů a Národního fondu,</w:t>
      </w:r>
    </w:p>
    <w:p w14:paraId="39526BA8" w14:textId="77777777" w:rsidR="00681D7E" w:rsidRPr="009B1ABF" w:rsidRDefault="00681D7E" w:rsidP="00CC338F">
      <w:pPr>
        <w:spacing w:before="0"/>
        <w:ind w:left="850" w:hanging="425"/>
        <w:outlineLvl w:val="7"/>
      </w:pPr>
      <w:r>
        <w:t>9.</w:t>
      </w:r>
      <w:r>
        <w:tab/>
      </w:r>
      <w:r w:rsidRPr="009B1ABF">
        <w:t>zvláštních účtech ministerstva podle zákona, kterým se ruší Fond národního majetku České republiky,</w:t>
      </w:r>
    </w:p>
    <w:p w14:paraId="29F8DA8F" w14:textId="77777777" w:rsidR="00681D7E" w:rsidRPr="009B1ABF" w:rsidRDefault="00681D7E" w:rsidP="00CC338F">
      <w:pPr>
        <w:spacing w:before="0"/>
        <w:ind w:left="850" w:hanging="425"/>
        <w:outlineLvl w:val="7"/>
      </w:pPr>
      <w:r>
        <w:t>10.</w:t>
      </w:r>
      <w:r>
        <w:tab/>
      </w:r>
      <w:r w:rsidRPr="009B1ABF">
        <w:t>účtech státní organizace Správa železnic,</w:t>
      </w:r>
    </w:p>
    <w:p w14:paraId="4AE56136" w14:textId="77777777" w:rsidR="00681D7E" w:rsidRPr="009B1ABF" w:rsidRDefault="00681D7E" w:rsidP="00CC338F">
      <w:pPr>
        <w:spacing w:before="0"/>
        <w:ind w:left="850" w:hanging="425"/>
        <w:outlineLvl w:val="7"/>
      </w:pPr>
      <w:r>
        <w:t>11.</w:t>
      </w:r>
      <w:r>
        <w:tab/>
      </w:r>
      <w:r w:rsidRPr="009B1ABF">
        <w:t>účtech územních samosprávných celků a dobrovolných svazků obcí určených k příjmu prostředků poskytovaných ze státního rozpočtu, státních fondů, Národního fondu a dalších prostředků, které si na ně územní samosprávné celky nebo dobrovolné svazky obcí převedou nebo je na ně přijmou; tyto účty územních samosprávných celků jsou určeny též k příjmu výnosů daní nebo podílu na nich, převáděných těmto příjemcům podle zákona upravujícího rozpočtové určení daní, pokud územní samosprávný celek tuto možnost nevyloučí písemným oznámením ministerstvu a správci daně,</w:t>
      </w:r>
    </w:p>
    <w:p w14:paraId="5CCF3679" w14:textId="77777777" w:rsidR="00681D7E" w:rsidRPr="009B1ABF" w:rsidRDefault="00681D7E" w:rsidP="00CC338F">
      <w:pPr>
        <w:spacing w:before="0"/>
        <w:ind w:left="850" w:hanging="425"/>
        <w:outlineLvl w:val="7"/>
      </w:pPr>
      <w:r>
        <w:t>12.</w:t>
      </w:r>
      <w:r>
        <w:tab/>
      </w:r>
      <w:r w:rsidRPr="009B1ABF">
        <w:t>účtech veřejných výzkumných institucí určených k příjmu prostředků poskytovaných ze státního rozpočtu a Národního fondu a dalších prostředků, které si na ně veřejné výzkumné instituce převedou nebo je na ně přijmou,</w:t>
      </w:r>
    </w:p>
    <w:p w14:paraId="1469A257" w14:textId="77777777" w:rsidR="00681D7E" w:rsidRPr="009B1ABF" w:rsidRDefault="00681D7E" w:rsidP="00CC338F">
      <w:pPr>
        <w:spacing w:before="0"/>
        <w:ind w:left="850" w:hanging="425"/>
        <w:outlineLvl w:val="7"/>
      </w:pPr>
      <w:r>
        <w:t>13.</w:t>
      </w:r>
      <w:r>
        <w:tab/>
      </w:r>
      <w:r w:rsidRPr="009B1ABF">
        <w:t>účtech veřejných vysokých škol určených k příjmu prostředků poskytovaných ze státního rozpočtu, státních fondů a Národního fondu a dalších prostředků, které si na ně veřejné vysoké školy převedou nebo je na ně přijmou,</w:t>
      </w:r>
    </w:p>
    <w:p w14:paraId="3385AA0A" w14:textId="77777777" w:rsidR="00681D7E" w:rsidRPr="009B1ABF" w:rsidRDefault="00681D7E" w:rsidP="00CC338F">
      <w:pPr>
        <w:spacing w:before="0"/>
        <w:ind w:left="850" w:hanging="425"/>
        <w:outlineLvl w:val="7"/>
      </w:pPr>
      <w:r>
        <w:t>14.</w:t>
      </w:r>
      <w:r>
        <w:tab/>
      </w:r>
      <w:r w:rsidRPr="009B1ABF">
        <w:t>účtech Všeobecné zdravotní pojišťovny České republiky, včetně zvláštního účtu veřejného zdravotního pojištění</w:t>
      </w:r>
      <w:r w:rsidRPr="009B1ABF">
        <w:rPr>
          <w:vertAlign w:val="superscript"/>
        </w:rPr>
        <w:footnoteReference w:customMarkFollows="1" w:id="331"/>
        <w:t>47)</w:t>
      </w:r>
      <w:r w:rsidRPr="009B1ABF">
        <w:t>, účtech resortních, oborových, podnikových a dalších zdravotních pojišťoven a svazů zdravotních pojišťoven; to se netýká účtů vytvořených pro příjmy a výdaje ze zdaňovaných činností</w:t>
      </w:r>
      <w:r w:rsidRPr="009B1ABF">
        <w:rPr>
          <w:vertAlign w:val="superscript"/>
        </w:rPr>
        <w:footnoteReference w:customMarkFollows="1" w:id="332"/>
        <w:t>51)</w:t>
      </w:r>
      <w:r w:rsidRPr="009B1ABF">
        <w:t>,</w:t>
      </w:r>
    </w:p>
    <w:p w14:paraId="29D91195" w14:textId="77777777" w:rsidR="00681D7E" w:rsidRPr="009B1ABF" w:rsidRDefault="00681D7E" w:rsidP="00CC338F">
      <w:pPr>
        <w:spacing w:before="0"/>
        <w:ind w:left="850" w:hanging="425"/>
        <w:outlineLvl w:val="7"/>
      </w:pPr>
      <w:r>
        <w:t>15.</w:t>
      </w:r>
      <w:r>
        <w:tab/>
      </w:r>
      <w:r w:rsidRPr="009B1ABF">
        <w:t>účtech dalších právnických osob vedených se souhlasem ministerstva u České národní banky,</w:t>
      </w:r>
    </w:p>
    <w:p w14:paraId="078453B4" w14:textId="77777777" w:rsidR="00681D7E" w:rsidRPr="009B1ABF" w:rsidRDefault="00681D7E" w:rsidP="00CC338F">
      <w:pPr>
        <w:spacing w:before="0"/>
        <w:ind w:left="850" w:hanging="425"/>
        <w:outlineLvl w:val="7"/>
      </w:pPr>
      <w:r>
        <w:lastRenderedPageBreak/>
        <w:t>16.</w:t>
      </w:r>
      <w:r>
        <w:tab/>
      </w:r>
      <w:r w:rsidRPr="009B1ABF">
        <w:t>účtech Exportní garanční a pojišťovací společnosti, a.s., nebo účtech jiných právnických osob založených podle zákona upravujícího pojišťování a financování vývozu se státní podporou, které nemají bankovní licenci,</w:t>
      </w:r>
    </w:p>
    <w:p w14:paraId="7A8BDA4F" w14:textId="77777777" w:rsidR="00681D7E" w:rsidRPr="009B1ABF" w:rsidRDefault="00681D7E" w:rsidP="00CC338F">
      <w:pPr>
        <w:spacing w:before="0"/>
        <w:ind w:left="850" w:hanging="425"/>
        <w:outlineLvl w:val="7"/>
      </w:pPr>
      <w:r>
        <w:t>17.</w:t>
      </w:r>
      <w:r>
        <w:tab/>
      </w:r>
      <w:r w:rsidRPr="009B1ABF">
        <w:t>účtech České exportní banky, a.s., určených k příjmu prostředků poskytovaných ze státního rozpočtu nebo od Exportní garanční a pojišťovací společnosti, a.s., a dalších prostředků, které si na ně Česká exportní banka, a.s., převede nebo je na ně přijme,</w:t>
      </w:r>
    </w:p>
    <w:p w14:paraId="6242F232" w14:textId="77777777" w:rsidR="00681D7E" w:rsidRPr="009B1ABF" w:rsidRDefault="00681D7E" w:rsidP="00CC338F">
      <w:pPr>
        <w:tabs>
          <w:tab w:val="left" w:pos="708"/>
        </w:tabs>
        <w:spacing w:before="0"/>
        <w:ind w:left="425" w:hanging="425"/>
        <w:outlineLvl w:val="7"/>
      </w:pPr>
      <w:r w:rsidRPr="009B1ABF">
        <w:t>i)</w:t>
      </w:r>
      <w:r w:rsidRPr="009B1ABF">
        <w:tab/>
        <w:t>financujícími položkami peněžní operace spojené s řízením státního dluhu s výjimkou peněžních operací na účtech řízení likvidity státní pokladny; jsou jimi zejména výnosy z prodeje státních dluhopisů, úvěry přijaté k překonání pokladního schodku státního rozpočtu, krátkodobé i dlouhodobé přijaté úvěry, změna stavu na bankovních účtech, které nejsou vkladovými účty, umořování jistiny státního dluhu, a za účelem řízení likvidity nákup a prodej cenných papírů nebo vklady, které nejsou vázány na určitou lhůtu,</w:t>
      </w:r>
    </w:p>
    <w:p w14:paraId="3D525EC7" w14:textId="77777777" w:rsidR="00681D7E" w:rsidRPr="009B1ABF" w:rsidRDefault="00681D7E" w:rsidP="00CC338F">
      <w:pPr>
        <w:tabs>
          <w:tab w:val="left" w:pos="708"/>
        </w:tabs>
        <w:spacing w:before="0"/>
        <w:ind w:left="425" w:hanging="425"/>
        <w:outlineLvl w:val="7"/>
      </w:pPr>
      <w:r w:rsidRPr="009B1ABF">
        <w:t>j)</w:t>
      </w:r>
      <w:r w:rsidRPr="009B1ABF">
        <w:tab/>
        <w:t>programem nebo projektem spolufinancovaným z rozpočtu Evropské unie soubor věcných, časových a finančních podmínek pro činnosti k dosažení stanovených cílů Evropské unie, a to prostřednictvím orgánů, subjektů a fondů uvedených v článku 175 nařízení Evropského parlamentu a Rady (EU, Euratom) č. 966/2012 nebo Fondu evropské pomoci nejchudším osobám</w:t>
      </w:r>
      <w:r w:rsidRPr="009B1ABF">
        <w:rPr>
          <w:vertAlign w:val="superscript"/>
        </w:rPr>
        <w:footnoteReference w:customMarkFollows="1" w:id="333"/>
        <w:t>4a)</w:t>
      </w:r>
      <w:r w:rsidRPr="009B1ABF">
        <w:t>,</w:t>
      </w:r>
    </w:p>
    <w:p w14:paraId="1C0AC060" w14:textId="77777777" w:rsidR="00681D7E" w:rsidRPr="009B1ABF" w:rsidRDefault="00681D7E" w:rsidP="00CC338F">
      <w:pPr>
        <w:tabs>
          <w:tab w:val="left" w:pos="708"/>
        </w:tabs>
        <w:spacing w:before="0"/>
        <w:ind w:left="425" w:hanging="425"/>
        <w:outlineLvl w:val="7"/>
      </w:pPr>
      <w:r w:rsidRPr="009B1ABF">
        <w:t>k)</w:t>
      </w:r>
      <w:r w:rsidRPr="009B1ABF">
        <w:tab/>
        <w:t>peněžními prostředky státního rozpočtu i peněžní prostředky přijaté organizační složkou státu ze zahraničí a vydané prostřednictvím státního rozpočtu,</w:t>
      </w:r>
    </w:p>
    <w:p w14:paraId="6382F2AC" w14:textId="77777777" w:rsidR="00681D7E" w:rsidRPr="009B1ABF" w:rsidRDefault="00681D7E" w:rsidP="00CC338F">
      <w:pPr>
        <w:tabs>
          <w:tab w:val="left" w:pos="708"/>
        </w:tabs>
        <w:spacing w:before="0"/>
        <w:ind w:left="425" w:hanging="425"/>
        <w:outlineLvl w:val="7"/>
      </w:pPr>
      <w:r w:rsidRPr="009B1ABF">
        <w:t>l)</w:t>
      </w:r>
      <w:r w:rsidRPr="009B1ABF">
        <w:tab/>
        <w:t>realizací státní záruky zaplacení zaručené částky státem za dlužníka, jehož ručitelem stát byl, věřiteli dlužníka na základě ručitelské smlouvy, kterou stát s věřitelem ve prospěch dlužníka uzavřel, ručitelského prohlášení nebo záruční listiny, které stát věřiteli ve prospěch dlužníka vystavil, nebo zákona, který státu ručitelskou povinnost ukládá,</w:t>
      </w:r>
    </w:p>
    <w:p w14:paraId="31A49B7C" w14:textId="77777777" w:rsidR="00681D7E" w:rsidRPr="009B1ABF" w:rsidRDefault="00681D7E" w:rsidP="00CC338F">
      <w:pPr>
        <w:tabs>
          <w:tab w:val="left" w:pos="708"/>
        </w:tabs>
        <w:spacing w:before="0"/>
        <w:ind w:left="425" w:hanging="425"/>
        <w:outlineLvl w:val="7"/>
      </w:pPr>
      <w:r w:rsidRPr="009B1ABF">
        <w:t>m)</w:t>
      </w:r>
      <w:r w:rsidRPr="009B1ABF">
        <w:tab/>
        <w:t>výdaji na vládní úvěry platby vývozcům na základě smluv o částečné úhradě vyváženého zboží a služeb, které s nimi uzavřela Česká republika, a smluv České republiky o vládních úvěrech s cizími státy; vývozcem se pro účely tohoto ustanovení rozumí fyzická osoba s trvalým pobytem nebo právnická osoba se sídlem na území České republiky, která je podnikatelem</w:t>
      </w:r>
      <w:r w:rsidRPr="009B1ABF">
        <w:rPr>
          <w:vertAlign w:val="superscript"/>
        </w:rPr>
        <w:footnoteReference w:customMarkFollows="1" w:id="334"/>
        <w:t>4d)</w:t>
      </w:r>
      <w:r w:rsidRPr="009B1ABF">
        <w:t xml:space="preserve"> a uskutečňuje vývoz do států, s nimiž má Česká republika smlouvy o vládních úvěrech; smlouvou o vládním úvěru se pro účely tohoto ustanovení rozumí smlouva České republiky s cizím státem, podle níž je tento stát povinen jí finanční prostředky, které na částečné úhrady vydala, splácet,</w:t>
      </w:r>
    </w:p>
    <w:p w14:paraId="12EDA636" w14:textId="77777777" w:rsidR="00681D7E" w:rsidRPr="009B1ABF" w:rsidRDefault="00681D7E" w:rsidP="00CC338F">
      <w:pPr>
        <w:tabs>
          <w:tab w:val="left" w:pos="708"/>
        </w:tabs>
        <w:spacing w:before="0"/>
        <w:ind w:left="425" w:hanging="425"/>
        <w:outlineLvl w:val="7"/>
      </w:pPr>
      <w:r w:rsidRPr="009B1ABF">
        <w:lastRenderedPageBreak/>
        <w:t>n)</w:t>
      </w:r>
      <w:r w:rsidRPr="009B1ABF">
        <w:tab/>
        <w:t>výdaji na provozní potřeby výdaje organizační složky státu kromě výdajů na dotační investiční akce podle písmene p) a výdajové investiční akce podle písmene r),</w:t>
      </w:r>
    </w:p>
    <w:p w14:paraId="420E2801" w14:textId="77777777" w:rsidR="00681D7E" w:rsidRPr="009B1ABF" w:rsidRDefault="00681D7E" w:rsidP="00CC338F">
      <w:pPr>
        <w:tabs>
          <w:tab w:val="left" w:pos="708"/>
        </w:tabs>
        <w:spacing w:before="0"/>
        <w:ind w:left="425" w:hanging="425"/>
        <w:outlineLvl w:val="7"/>
      </w:pPr>
      <w:proofErr w:type="gramStart"/>
      <w:r w:rsidRPr="009B1ABF">
        <w:t>o)</w:t>
      </w:r>
      <w:r w:rsidRPr="009B1ABF">
        <w:tab/>
        <w:t>rozpočtovým</w:t>
      </w:r>
      <w:proofErr w:type="gramEnd"/>
      <w:r w:rsidRPr="009B1ABF">
        <w:t xml:space="preserve"> systémem informační systém veřejné správy spravovaný ministerstvem, v němž </w:t>
      </w:r>
      <w:proofErr w:type="gramStart"/>
      <w:r w:rsidRPr="009B1ABF">
        <w:t>se</w:t>
      </w:r>
      <w:proofErr w:type="gramEnd"/>
    </w:p>
    <w:p w14:paraId="342185A8" w14:textId="77777777" w:rsidR="00681D7E" w:rsidRPr="009B1ABF" w:rsidRDefault="00681D7E" w:rsidP="00CC338F">
      <w:pPr>
        <w:spacing w:before="0"/>
        <w:ind w:left="850" w:hanging="425"/>
        <w:outlineLvl w:val="7"/>
      </w:pPr>
      <w:r>
        <w:t>1.</w:t>
      </w:r>
      <w:r>
        <w:tab/>
      </w:r>
      <w:r w:rsidRPr="009B1ABF">
        <w:t>soustřeďují údaje potřebné pro sestavení státního rozpočtu, střednědobého výhledu za oblast státního rozpočtu a rozpočtového provizoria, pro hodnocení plnění státního rozpočtu a pro hospodaření v rozpočtovém provizoriu,</w:t>
      </w:r>
    </w:p>
    <w:p w14:paraId="051148F7" w14:textId="77777777" w:rsidR="00681D7E" w:rsidRPr="009B1ABF" w:rsidRDefault="00681D7E" w:rsidP="00CC338F">
      <w:pPr>
        <w:spacing w:before="0"/>
        <w:ind w:left="850" w:hanging="425"/>
        <w:outlineLvl w:val="7"/>
      </w:pPr>
      <w:r>
        <w:t>2.</w:t>
      </w:r>
      <w:r>
        <w:tab/>
      </w:r>
      <w:r w:rsidRPr="009B1ABF">
        <w:t>sestavuje státní rozpočet, střednědobý výhled za oblast státního rozpočtu a rozpočtové provizorium,</w:t>
      </w:r>
    </w:p>
    <w:p w14:paraId="0328D16C" w14:textId="77777777" w:rsidR="00681D7E" w:rsidRPr="009B1ABF" w:rsidRDefault="00681D7E" w:rsidP="00CC338F">
      <w:pPr>
        <w:spacing w:before="0"/>
        <w:ind w:left="850" w:hanging="425"/>
        <w:outlineLvl w:val="7"/>
      </w:pPr>
      <w:r>
        <w:t>3.</w:t>
      </w:r>
      <w:r>
        <w:tab/>
      </w:r>
      <w:r w:rsidRPr="009B1ABF">
        <w:t>mění údaje na základě změny zákona o státním rozpočtu,</w:t>
      </w:r>
    </w:p>
    <w:p w14:paraId="4FF6DDB9" w14:textId="77777777" w:rsidR="00681D7E" w:rsidRPr="009B1ABF" w:rsidRDefault="00681D7E" w:rsidP="00CC338F">
      <w:pPr>
        <w:spacing w:before="0"/>
        <w:ind w:left="850" w:hanging="425"/>
        <w:outlineLvl w:val="7"/>
      </w:pPr>
      <w:r>
        <w:t>4.</w:t>
      </w:r>
      <w:r>
        <w:tab/>
      </w:r>
      <w:r w:rsidRPr="009B1ABF">
        <w:t>provádějí rozpočtová opatření,</w:t>
      </w:r>
    </w:p>
    <w:p w14:paraId="4CA4D29B" w14:textId="77777777" w:rsidR="00681D7E" w:rsidRPr="009B1ABF" w:rsidRDefault="00681D7E" w:rsidP="00CC338F">
      <w:pPr>
        <w:spacing w:before="0"/>
        <w:ind w:left="850" w:hanging="425"/>
        <w:outlineLvl w:val="7"/>
      </w:pPr>
      <w:r>
        <w:t>5.</w:t>
      </w:r>
      <w:r>
        <w:tab/>
      </w:r>
      <w:r w:rsidRPr="009B1ABF">
        <w:t>stanoví výše finančních prostředků, které je možno vynaložit na úhradu závazků (dále jen „rezervace“),</w:t>
      </w:r>
    </w:p>
    <w:p w14:paraId="6A307154" w14:textId="77777777" w:rsidR="00681D7E" w:rsidRPr="009B1ABF" w:rsidRDefault="00681D7E" w:rsidP="00CC338F">
      <w:pPr>
        <w:spacing w:before="0"/>
        <w:ind w:left="850" w:hanging="425"/>
        <w:outlineLvl w:val="7"/>
      </w:pPr>
      <w:r>
        <w:t>6.</w:t>
      </w:r>
      <w:r>
        <w:tab/>
      </w:r>
      <w:r w:rsidRPr="009B1ABF">
        <w:t>vedou rozpočty organizačních složek státu a chronologické evidence rozpočtových opatření,</w:t>
      </w:r>
    </w:p>
    <w:p w14:paraId="5F78885E" w14:textId="77777777" w:rsidR="00681D7E" w:rsidRPr="009B1ABF" w:rsidRDefault="00681D7E" w:rsidP="00CC338F">
      <w:pPr>
        <w:spacing w:before="0"/>
        <w:ind w:left="850" w:hanging="425"/>
        <w:outlineLvl w:val="7"/>
      </w:pPr>
      <w:r>
        <w:t>7.</w:t>
      </w:r>
      <w:r>
        <w:tab/>
      </w:r>
      <w:r w:rsidRPr="009B1ABF">
        <w:t>zpracovávají údaje předané Českou národní bankou o provedených operacích za státní rozpočet,</w:t>
      </w:r>
    </w:p>
    <w:p w14:paraId="2E146AB9" w14:textId="77777777" w:rsidR="00681D7E" w:rsidRPr="009B1ABF" w:rsidRDefault="00681D7E" w:rsidP="00CC338F">
      <w:pPr>
        <w:spacing w:before="0"/>
        <w:ind w:left="850" w:hanging="425"/>
        <w:outlineLvl w:val="7"/>
      </w:pPr>
      <w:r>
        <w:t>8.</w:t>
      </w:r>
      <w:r>
        <w:tab/>
      </w:r>
      <w:r w:rsidRPr="009B1ABF">
        <w:t>zobrazuje plnění státního rozpočtu dle rozpočtové skladby a vznik, evidence a snižování nároků z nespotřebovaných výdajů,</w:t>
      </w:r>
    </w:p>
    <w:p w14:paraId="604EF640" w14:textId="77777777" w:rsidR="00681D7E" w:rsidRPr="009B1ABF" w:rsidRDefault="00681D7E" w:rsidP="00CC338F">
      <w:pPr>
        <w:spacing w:before="0"/>
        <w:ind w:left="850" w:hanging="425"/>
        <w:outlineLvl w:val="7"/>
      </w:pPr>
      <w:r w:rsidRPr="009B1ABF">
        <w:t>vedou věcné, časové a finanční ukazatele programového financování,</w:t>
      </w:r>
    </w:p>
    <w:p w14:paraId="5049D42F" w14:textId="77777777" w:rsidR="00681D7E" w:rsidRPr="009B1ABF" w:rsidRDefault="00681D7E" w:rsidP="00CC338F">
      <w:pPr>
        <w:tabs>
          <w:tab w:val="left" w:pos="708"/>
        </w:tabs>
        <w:spacing w:before="0"/>
        <w:ind w:left="425" w:hanging="425"/>
        <w:outlineLvl w:val="7"/>
      </w:pPr>
      <w:r w:rsidRPr="009B1ABF">
        <w:t>p)</w:t>
      </w:r>
      <w:r w:rsidRPr="009B1ABF">
        <w:tab/>
        <w:t xml:space="preserve">dotační investiční akcí soubor věcných, časových a finančních podmínek pro činnosti k dosažení stanoveného cíle realizovaný prostřednictvím výdajů na pořízení nebo </w:t>
      </w:r>
      <w:r w:rsidRPr="009B1ABF">
        <w:rPr>
          <w:strike/>
        </w:rPr>
        <w:t>technické</w:t>
      </w:r>
      <w:r w:rsidRPr="009B1ABF">
        <w:rPr>
          <w:strike/>
          <w:highlight w:val="yellow"/>
        </w:rPr>
        <w:t xml:space="preserve"> </w:t>
      </w:r>
      <w:r w:rsidRPr="009B1ABF">
        <w:t xml:space="preserve">zhodnocení dlouhodobého hmotného nebo nehmotného majetku </w:t>
      </w:r>
      <w:r w:rsidRPr="009B1ABF">
        <w:rPr>
          <w:strike/>
        </w:rPr>
        <w:t>podle právních předpisů upravujících účetnictví</w:t>
      </w:r>
      <w:r w:rsidRPr="009B1ABF">
        <w:t>, případně souvisejících výdajů poskytovaných jako dotace nebo návratné finanční výpomoci,</w:t>
      </w:r>
    </w:p>
    <w:p w14:paraId="3B5DEE3C" w14:textId="77777777" w:rsidR="00681D7E" w:rsidRPr="009B1ABF" w:rsidRDefault="00681D7E" w:rsidP="00CC338F">
      <w:pPr>
        <w:tabs>
          <w:tab w:val="left" w:pos="708"/>
        </w:tabs>
        <w:spacing w:before="0"/>
        <w:ind w:left="425" w:hanging="425"/>
        <w:outlineLvl w:val="7"/>
      </w:pPr>
      <w:r w:rsidRPr="009B1ABF">
        <w:t xml:space="preserve">q) </w:t>
      </w:r>
      <w:r w:rsidRPr="009B1ABF">
        <w:tab/>
        <w:t>dotační neinvestiční akcí soubor věcných, časových a finančních podmínek pro činnosti k dosažení stanoveného cíle realizovaný výhradně prostřednictvím dotací nebo návratných finančních výpomocí jiných než podle písmene p),</w:t>
      </w:r>
    </w:p>
    <w:p w14:paraId="1D894180" w14:textId="77777777" w:rsidR="00681D7E" w:rsidRPr="009B1ABF" w:rsidRDefault="00681D7E" w:rsidP="00CC338F">
      <w:pPr>
        <w:tabs>
          <w:tab w:val="left" w:pos="708"/>
        </w:tabs>
        <w:spacing w:before="0"/>
        <w:ind w:left="425" w:hanging="425"/>
        <w:outlineLvl w:val="7"/>
        <w:rPr>
          <w:b/>
        </w:rPr>
      </w:pPr>
      <w:r w:rsidRPr="009B1ABF">
        <w:t xml:space="preserve">r) </w:t>
      </w:r>
      <w:r w:rsidRPr="009B1ABF">
        <w:tab/>
        <w:t xml:space="preserve">výdajovou investiční akcí soubor věcných, časových a finančních podmínek pro činnosti k dosažení stanoveného cíle realizovaný prostřednictvím výdajů na pořízení nebo </w:t>
      </w:r>
      <w:r w:rsidRPr="009B1ABF">
        <w:rPr>
          <w:strike/>
        </w:rPr>
        <w:t xml:space="preserve">technické </w:t>
      </w:r>
      <w:r w:rsidRPr="009B1ABF">
        <w:t xml:space="preserve">zhodnocení dlouhodobého hmotného nebo nehmotného majetku </w:t>
      </w:r>
      <w:r w:rsidRPr="009B1ABF">
        <w:rPr>
          <w:strike/>
        </w:rPr>
        <w:t>podle právních předpisů upravujících účetnictví</w:t>
      </w:r>
      <w:r w:rsidRPr="009B1ABF">
        <w:t>, se kterým hospodaří organizační složka státu, popřípadě souvisejících výdajů</w:t>
      </w:r>
      <w:r w:rsidRPr="009B1ABF">
        <w:rPr>
          <w:strike/>
        </w:rPr>
        <w:t>.</w:t>
      </w:r>
      <w:r w:rsidRPr="009B1ABF">
        <w:rPr>
          <w:b/>
        </w:rPr>
        <w:t>,</w:t>
      </w:r>
    </w:p>
    <w:p w14:paraId="35A28CD7" w14:textId="77777777" w:rsidR="00681D7E" w:rsidRPr="005C5AEC" w:rsidRDefault="00681D7E" w:rsidP="00CC338F">
      <w:pPr>
        <w:tabs>
          <w:tab w:val="left" w:pos="708"/>
        </w:tabs>
        <w:spacing w:before="0"/>
        <w:ind w:left="425" w:hanging="425"/>
        <w:outlineLvl w:val="7"/>
        <w:rPr>
          <w:b/>
        </w:rPr>
      </w:pPr>
      <w:r w:rsidRPr="009B1ABF">
        <w:rPr>
          <w:b/>
        </w:rPr>
        <w:t>s)</w:t>
      </w:r>
      <w:r w:rsidRPr="009B1ABF">
        <w:rPr>
          <w:b/>
        </w:rPr>
        <w:tab/>
        <w:t>dlouhodobým hmotným nebo nehmotným majetkem věc, která je podle právních předpisů upravujících účetnictví vykazována jako hmotné nebo nehmotné aktivum s dobou použitelnosti delší než 1 rok.</w:t>
      </w:r>
    </w:p>
    <w:p w14:paraId="3801D691" w14:textId="77777777" w:rsidR="00681D7E" w:rsidRPr="009B1ABF" w:rsidRDefault="00681D7E" w:rsidP="00992796">
      <w:pPr>
        <w:numPr>
          <w:ilvl w:val="0"/>
          <w:numId w:val="60"/>
        </w:numPr>
        <w:spacing w:before="120" w:after="160" w:line="259" w:lineRule="auto"/>
        <w:jc w:val="center"/>
        <w:outlineLvl w:val="5"/>
      </w:pPr>
      <w:r w:rsidRPr="009B1ABF">
        <w:t>***</w:t>
      </w:r>
    </w:p>
    <w:p w14:paraId="399156F0" w14:textId="77777777" w:rsidR="00681D7E" w:rsidRPr="009B1ABF" w:rsidRDefault="00681D7E" w:rsidP="00992796">
      <w:pPr>
        <w:numPr>
          <w:ilvl w:val="0"/>
          <w:numId w:val="60"/>
        </w:numPr>
        <w:spacing w:after="120"/>
        <w:jc w:val="center"/>
        <w:outlineLvl w:val="5"/>
      </w:pPr>
      <w:r w:rsidRPr="009B1ABF">
        <w:t>§ 10</w:t>
      </w:r>
    </w:p>
    <w:p w14:paraId="17C0FBFF" w14:textId="77777777" w:rsidR="00681D7E" w:rsidRPr="005C5AEC" w:rsidRDefault="00681D7E" w:rsidP="00992796">
      <w:pPr>
        <w:numPr>
          <w:ilvl w:val="0"/>
          <w:numId w:val="60"/>
        </w:numPr>
        <w:spacing w:after="120"/>
        <w:jc w:val="center"/>
        <w:outlineLvl w:val="5"/>
        <w:rPr>
          <w:b/>
        </w:rPr>
      </w:pPr>
      <w:r w:rsidRPr="009B1ABF">
        <w:rPr>
          <w:b/>
        </w:rPr>
        <w:t>Kapitoly</w:t>
      </w:r>
    </w:p>
    <w:p w14:paraId="61903210" w14:textId="77777777" w:rsidR="00681D7E" w:rsidRPr="009B1ABF" w:rsidRDefault="00681D7E" w:rsidP="003866FF">
      <w:pPr>
        <w:numPr>
          <w:ilvl w:val="0"/>
          <w:numId w:val="60"/>
        </w:numPr>
        <w:spacing w:before="120" w:after="120"/>
        <w:ind w:firstLine="425"/>
        <w:outlineLvl w:val="5"/>
      </w:pPr>
      <w:r w:rsidRPr="009B1ABF">
        <w:t>(1) Příjmy a výdaje státního rozpočtu se člení na kapitoly, které vyjadřují okruh působnosti a odpovědnosti ústředních orgánů státní správy</w:t>
      </w:r>
      <w:r>
        <w:rPr>
          <w:rStyle w:val="Znakapoznpodarou"/>
        </w:rPr>
        <w:footnoteReference w:customMarkFollows="1" w:id="335"/>
        <w:t>12)</w:t>
      </w:r>
      <w:r w:rsidRPr="009B1ABF">
        <w:t xml:space="preserve"> a dalších organizačních složek státu, stanoví-li zvláštní zákon že tyto organizační složky státu mají samostatnou kapitolu ve státním rozpočtu </w:t>
      </w:r>
      <w:r w:rsidRPr="009B1ABF">
        <w:lastRenderedPageBreak/>
        <w:t>nebo že mají postavení ústředního orgánu státní správy, popřípadě že mají postavení ústředního orgánu státní správy pro rozpočtové účely.</w:t>
      </w:r>
    </w:p>
    <w:p w14:paraId="73DD7423" w14:textId="77777777" w:rsidR="00681D7E" w:rsidRPr="009B1ABF" w:rsidRDefault="00681D7E" w:rsidP="003866FF">
      <w:pPr>
        <w:numPr>
          <w:ilvl w:val="0"/>
          <w:numId w:val="60"/>
        </w:numPr>
        <w:spacing w:before="120" w:after="120"/>
        <w:ind w:firstLine="425"/>
        <w:outlineLvl w:val="5"/>
      </w:pPr>
      <w:r>
        <w:t xml:space="preserve"> </w:t>
      </w:r>
      <w:r w:rsidRPr="009B1ABF">
        <w:t>(2) Rozpočet kapitoly obsahuje rozpočtové příjmy a výdaje správce kapitoly, příjmy a výdaje organizačních složek státu v jeho působnosti, výdaje na činnost příspěvkových organizací, uvedené v § 7 odst. 1 písm. a) a odvody příspěvkových organizací v jeho působnosti. Rozpočet kapitoly obsahuje též dotace a návratné finanční výpomoci ze státního rozpočtu pro fyzické a další právnické osoby na úkoly a činnosti, které jsou v působnosti správce kapitoly. V rámci závazných ukazatelů stanovených zákonem o státním rozpočtu mohou správci kapitol tvořit rozpisové rezervy.</w:t>
      </w:r>
    </w:p>
    <w:p w14:paraId="11BD6B3D" w14:textId="77777777" w:rsidR="00681D7E" w:rsidRPr="009B1ABF" w:rsidRDefault="00681D7E" w:rsidP="003866FF">
      <w:pPr>
        <w:numPr>
          <w:ilvl w:val="0"/>
          <w:numId w:val="60"/>
        </w:numPr>
        <w:spacing w:before="120" w:after="120"/>
        <w:ind w:firstLine="425"/>
        <w:outlineLvl w:val="5"/>
      </w:pPr>
      <w:r w:rsidRPr="009B1ABF">
        <w:t>(</w:t>
      </w:r>
      <w:r>
        <w:t xml:space="preserve">3) </w:t>
      </w:r>
      <w:r w:rsidRPr="009B1ABF">
        <w:t>Příjmy a výdaje státního rozpočtu, které mají všeobecný charakter, a nepatří tak do okruhu působnosti určitého správce kapitoly, nebo výdaje státního rozpočtu, jejichž výše pro jednotlivé kapitoly není v době schvalování zákona o státním rozpočtu na příslušný rozpočtový rok známa, tvoří kapitolu Všeobecná pokladní správa. Součástí kapitoly Všeobecná pokladní správa je i vládní rozpočtová rezerva. Správcem kapitoly Všeobecná pokladní správa je ministerstvo.</w:t>
      </w:r>
    </w:p>
    <w:p w14:paraId="2AC7B4D7" w14:textId="77777777" w:rsidR="00681D7E" w:rsidRPr="009B1ABF" w:rsidRDefault="00681D7E" w:rsidP="003866FF">
      <w:pPr>
        <w:numPr>
          <w:ilvl w:val="0"/>
          <w:numId w:val="60"/>
        </w:numPr>
        <w:spacing w:before="120" w:after="120"/>
        <w:ind w:firstLine="425"/>
        <w:outlineLvl w:val="5"/>
      </w:pPr>
      <w:r w:rsidRPr="009B1ABF">
        <w:t xml:space="preserve"> (4) Příjmy a výdaje státního rozpočtu spojené s řízením likvidity státní pokladny a řízením státního dluhu tvoří kapitolu Státní dluh. Správcem kapitoly Státní dluh je ministerstvo.</w:t>
      </w:r>
    </w:p>
    <w:p w14:paraId="4A715FFD" w14:textId="77777777" w:rsidR="00681D7E" w:rsidRPr="009B1ABF" w:rsidRDefault="00681D7E" w:rsidP="003866FF">
      <w:pPr>
        <w:numPr>
          <w:ilvl w:val="0"/>
          <w:numId w:val="60"/>
        </w:numPr>
        <w:spacing w:before="120" w:after="120"/>
        <w:ind w:firstLine="425"/>
        <w:outlineLvl w:val="5"/>
      </w:pPr>
      <w:r w:rsidRPr="009B1ABF">
        <w:t xml:space="preserve">(5) Příjmy a výdaje na účtech státních finančních aktiv, s výjimkou operací spojených s řízením likvidity státní pokladny a řízením státního dluhu, s výjimkou výdajů financovaných ze státních finančních aktiv podle zákona o státním rozpočtu a s výjimkou výdajů financovaných z prostředků jaderného účtu podle atomového zákona, tvoří kapitolu Operace státních finančních aktiv. Příjmy ani výdaji státního rozpočtu nejsou převody mezi dvěma účty státních finančních aktiv a operace investování peněžních prostředků jaderného účtu </w:t>
      </w:r>
      <w:r w:rsidRPr="009B1ABF">
        <w:rPr>
          <w:strike/>
        </w:rPr>
        <w:t>a zvláštního účtu rezervy důchodového pojištění</w:t>
      </w:r>
      <w:r w:rsidRPr="009B1ABF">
        <w:t>, případně dalších účtů, pokud tak dále stanoví tento zákon, s výjimkou realizovaných výnosů z tohoto investování. Správcem kapitoly Operace státních finančních aktiv je ministerstvo.</w:t>
      </w:r>
    </w:p>
    <w:p w14:paraId="7A7C5C7A" w14:textId="77777777" w:rsidR="00681D7E" w:rsidRPr="009B1ABF" w:rsidRDefault="00681D7E" w:rsidP="00992796">
      <w:pPr>
        <w:numPr>
          <w:ilvl w:val="0"/>
          <w:numId w:val="60"/>
        </w:numPr>
        <w:spacing w:before="120" w:after="160" w:line="259" w:lineRule="auto"/>
        <w:jc w:val="center"/>
        <w:outlineLvl w:val="5"/>
      </w:pPr>
      <w:r w:rsidRPr="009B1ABF">
        <w:t>***</w:t>
      </w:r>
    </w:p>
    <w:p w14:paraId="0FF49FEC" w14:textId="77777777" w:rsidR="00681D7E" w:rsidRPr="009B1ABF" w:rsidRDefault="00681D7E" w:rsidP="00992796">
      <w:pPr>
        <w:numPr>
          <w:ilvl w:val="0"/>
          <w:numId w:val="60"/>
        </w:numPr>
        <w:spacing w:after="120"/>
        <w:jc w:val="center"/>
        <w:outlineLvl w:val="5"/>
      </w:pPr>
      <w:r w:rsidRPr="009B1ABF">
        <w:t>§ 12</w:t>
      </w:r>
    </w:p>
    <w:p w14:paraId="36A7CDEB" w14:textId="77777777" w:rsidR="00681D7E" w:rsidRPr="009B1ABF" w:rsidRDefault="00681D7E" w:rsidP="00992796">
      <w:pPr>
        <w:numPr>
          <w:ilvl w:val="0"/>
          <w:numId w:val="60"/>
        </w:numPr>
        <w:spacing w:after="120"/>
        <w:jc w:val="center"/>
        <w:outlineLvl w:val="5"/>
        <w:rPr>
          <w:b/>
        </w:rPr>
      </w:pPr>
      <w:r w:rsidRPr="009B1ABF">
        <w:rPr>
          <w:b/>
        </w:rPr>
        <w:t>Programy</w:t>
      </w:r>
    </w:p>
    <w:p w14:paraId="5E937827" w14:textId="77777777" w:rsidR="00681D7E" w:rsidRPr="009B1ABF" w:rsidRDefault="00681D7E" w:rsidP="003866FF">
      <w:pPr>
        <w:numPr>
          <w:ilvl w:val="0"/>
          <w:numId w:val="60"/>
        </w:numPr>
        <w:spacing w:before="120" w:after="120"/>
        <w:ind w:firstLine="425"/>
        <w:outlineLvl w:val="5"/>
      </w:pPr>
      <w:r w:rsidRPr="009B1ABF">
        <w:t>(1) Programem se rozumí soubor věcných, časových a finančních podmínek pro konkrétní činnosti směřující k dosažení stanoveného cíle; program může být realizován prostřednictvím</w:t>
      </w:r>
    </w:p>
    <w:p w14:paraId="5A754A75" w14:textId="77777777" w:rsidR="00681D7E" w:rsidRPr="009B1ABF" w:rsidRDefault="00681D7E" w:rsidP="00CC338F">
      <w:pPr>
        <w:tabs>
          <w:tab w:val="left" w:pos="708"/>
        </w:tabs>
        <w:spacing w:before="0"/>
        <w:ind w:left="425" w:hanging="425"/>
        <w:outlineLvl w:val="7"/>
      </w:pPr>
      <w:r w:rsidRPr="009B1ABF">
        <w:t>a)</w:t>
      </w:r>
      <w:r w:rsidRPr="009B1ABF">
        <w:tab/>
        <w:t>dotací nebo návratných finančních výpomocí,</w:t>
      </w:r>
    </w:p>
    <w:p w14:paraId="60B63F9F" w14:textId="77777777" w:rsidR="00681D7E" w:rsidRPr="009B1ABF" w:rsidRDefault="00681D7E" w:rsidP="00CC338F">
      <w:pPr>
        <w:tabs>
          <w:tab w:val="left" w:pos="708"/>
        </w:tabs>
        <w:spacing w:before="0"/>
        <w:ind w:left="425" w:hanging="425"/>
        <w:outlineLvl w:val="7"/>
        <w:rPr>
          <w:strike/>
        </w:rPr>
      </w:pPr>
      <w:r w:rsidRPr="009B1ABF">
        <w:t xml:space="preserve">b) </w:t>
      </w:r>
      <w:r w:rsidRPr="009B1ABF">
        <w:tab/>
        <w:t xml:space="preserve">výdajů na pořízení nebo </w:t>
      </w:r>
      <w:r w:rsidRPr="009B1ABF">
        <w:rPr>
          <w:strike/>
        </w:rPr>
        <w:t xml:space="preserve">technické </w:t>
      </w:r>
      <w:r w:rsidRPr="009B1ABF">
        <w:t xml:space="preserve">zhodnocení hmotného a nehmotného dlouhodobého majetku </w:t>
      </w:r>
      <w:r w:rsidRPr="009B1ABF">
        <w:rPr>
          <w:strike/>
        </w:rPr>
        <w:t>podle právních předpisů upravujících účetnictví</w:t>
      </w:r>
      <w:r w:rsidRPr="009B1ABF">
        <w:t>,</w:t>
      </w:r>
      <w:r w:rsidRPr="009B1ABF">
        <w:rPr>
          <w:strike/>
        </w:rPr>
        <w:t xml:space="preserve"> s výjimkou drobného hmotného a nehmotného dlouhodobého majetku podle právních předpisů upravujících účetnictví</w:t>
      </w:r>
      <w:r w:rsidRPr="009B1ABF">
        <w:rPr>
          <w:b/>
        </w:rPr>
        <w:t>, se kterým hospodaří organizační složka státu, s výjimkou majetku, který je podle právních předpisů upravujících účetnictví vykazován jako drobné hmotné nebo nehmotné aktivum</w:t>
      </w:r>
      <w:r w:rsidRPr="009B1ABF">
        <w:t xml:space="preserve"> v případě, že se nejedná o dotace nebo návratné finanční výpomoci podle písmene a), </w:t>
      </w:r>
      <w:r w:rsidRPr="009B1ABF">
        <w:rPr>
          <w:strike/>
        </w:rPr>
        <w:t>nebo</w:t>
      </w:r>
    </w:p>
    <w:p w14:paraId="4AB39DCA" w14:textId="77777777" w:rsidR="00681D7E" w:rsidRPr="009B1ABF" w:rsidRDefault="00681D7E" w:rsidP="00CC338F">
      <w:pPr>
        <w:tabs>
          <w:tab w:val="left" w:pos="708"/>
        </w:tabs>
        <w:spacing w:before="0"/>
        <w:ind w:left="425" w:hanging="425"/>
        <w:outlineLvl w:val="7"/>
        <w:rPr>
          <w:b/>
        </w:rPr>
      </w:pPr>
      <w:r w:rsidRPr="009B1ABF">
        <w:t xml:space="preserve">c) </w:t>
      </w:r>
      <w:r w:rsidRPr="009B1ABF">
        <w:tab/>
        <w:t>dalších souvisejících neinvestičních výdajů na základě rozhodnutí správce kapitoly</w:t>
      </w:r>
      <w:r w:rsidRPr="009B1ABF">
        <w:rPr>
          <w:strike/>
        </w:rPr>
        <w:t>.</w:t>
      </w:r>
      <w:r w:rsidRPr="009B1ABF">
        <w:rPr>
          <w:b/>
        </w:rPr>
        <w:t>, nebo</w:t>
      </w:r>
    </w:p>
    <w:p w14:paraId="67B91EDB" w14:textId="77777777" w:rsidR="00681D7E" w:rsidRPr="005C5AEC" w:rsidRDefault="00681D7E" w:rsidP="00CC338F">
      <w:pPr>
        <w:tabs>
          <w:tab w:val="left" w:pos="708"/>
        </w:tabs>
        <w:spacing w:before="0"/>
        <w:ind w:left="425" w:hanging="425"/>
        <w:outlineLvl w:val="7"/>
        <w:rPr>
          <w:b/>
        </w:rPr>
      </w:pPr>
      <w:r w:rsidRPr="009B1ABF">
        <w:rPr>
          <w:b/>
          <w:szCs w:val="24"/>
        </w:rPr>
        <w:t xml:space="preserve">d) </w:t>
      </w:r>
      <w:r>
        <w:rPr>
          <w:b/>
          <w:szCs w:val="24"/>
        </w:rPr>
        <w:tab/>
      </w:r>
      <w:r w:rsidRPr="009B1ABF">
        <w:rPr>
          <w:b/>
          <w:szCs w:val="24"/>
        </w:rPr>
        <w:t xml:space="preserve">výdajů písemně odsouhlasených ministerstvem na základě žádosti správce kapitoly. </w:t>
      </w:r>
    </w:p>
    <w:p w14:paraId="43E1948B" w14:textId="77777777" w:rsidR="00681D7E" w:rsidRPr="009B1ABF" w:rsidRDefault="00681D7E" w:rsidP="003866FF">
      <w:pPr>
        <w:numPr>
          <w:ilvl w:val="0"/>
          <w:numId w:val="60"/>
        </w:numPr>
        <w:spacing w:before="120" w:after="120"/>
        <w:ind w:firstLine="425"/>
        <w:outlineLvl w:val="5"/>
      </w:pPr>
      <w:r w:rsidRPr="009B1ABF">
        <w:t>(2) Programy se mohou skládat z</w:t>
      </w:r>
    </w:p>
    <w:p w14:paraId="400C824C" w14:textId="77777777" w:rsidR="00681D7E" w:rsidRPr="009B1ABF" w:rsidRDefault="00681D7E" w:rsidP="00CC338F">
      <w:pPr>
        <w:tabs>
          <w:tab w:val="left" w:pos="708"/>
        </w:tabs>
        <w:spacing w:before="0"/>
        <w:ind w:left="425" w:hanging="425"/>
        <w:outlineLvl w:val="7"/>
      </w:pPr>
      <w:r>
        <w:t>a)</w:t>
      </w:r>
      <w:r>
        <w:tab/>
      </w:r>
      <w:r w:rsidRPr="009B1ABF">
        <w:t>dotační investiční akce,</w:t>
      </w:r>
    </w:p>
    <w:p w14:paraId="3AEF635E" w14:textId="77777777" w:rsidR="00681D7E" w:rsidRPr="009B1ABF" w:rsidRDefault="00681D7E" w:rsidP="00CC338F">
      <w:pPr>
        <w:tabs>
          <w:tab w:val="left" w:pos="708"/>
        </w:tabs>
        <w:spacing w:before="0"/>
        <w:ind w:left="425" w:hanging="425"/>
        <w:outlineLvl w:val="7"/>
        <w:rPr>
          <w:strike/>
        </w:rPr>
      </w:pPr>
      <w:r>
        <w:lastRenderedPageBreak/>
        <w:t>b)</w:t>
      </w:r>
      <w:r>
        <w:tab/>
      </w:r>
      <w:r w:rsidRPr="009B1ABF">
        <w:t xml:space="preserve">dotační neinvestiční akce, </w:t>
      </w:r>
      <w:r w:rsidRPr="009B1ABF">
        <w:rPr>
          <w:strike/>
        </w:rPr>
        <w:t>nebo</w:t>
      </w:r>
    </w:p>
    <w:p w14:paraId="0CC3EB1D" w14:textId="77777777" w:rsidR="00681D7E" w:rsidRPr="009B1ABF" w:rsidRDefault="00681D7E" w:rsidP="00CC338F">
      <w:pPr>
        <w:tabs>
          <w:tab w:val="left" w:pos="708"/>
        </w:tabs>
        <w:spacing w:before="0"/>
        <w:ind w:left="425" w:hanging="425"/>
        <w:outlineLvl w:val="7"/>
      </w:pPr>
      <w:r>
        <w:t>c)</w:t>
      </w:r>
      <w:r>
        <w:tab/>
      </w:r>
      <w:r w:rsidRPr="009B1ABF">
        <w:t>výdajové investiční akce</w:t>
      </w:r>
      <w:r w:rsidRPr="009B1ABF">
        <w:rPr>
          <w:strike/>
        </w:rPr>
        <w:t>.</w:t>
      </w:r>
      <w:r w:rsidRPr="009B1ABF">
        <w:rPr>
          <w:b/>
        </w:rPr>
        <w:t>, nebo</w:t>
      </w:r>
    </w:p>
    <w:p w14:paraId="531F6278" w14:textId="77777777" w:rsidR="00681D7E" w:rsidRPr="009B1ABF" w:rsidRDefault="00681D7E" w:rsidP="00CC338F">
      <w:pPr>
        <w:tabs>
          <w:tab w:val="left" w:pos="708"/>
        </w:tabs>
        <w:spacing w:before="0"/>
        <w:ind w:left="425" w:hanging="425"/>
        <w:outlineLvl w:val="7"/>
        <w:rPr>
          <w:b/>
        </w:rPr>
      </w:pPr>
      <w:r>
        <w:rPr>
          <w:b/>
          <w:szCs w:val="24"/>
        </w:rPr>
        <w:t>d)</w:t>
      </w:r>
      <w:r>
        <w:rPr>
          <w:b/>
          <w:szCs w:val="24"/>
        </w:rPr>
        <w:tab/>
      </w:r>
      <w:r w:rsidRPr="009B1ABF">
        <w:rPr>
          <w:b/>
          <w:szCs w:val="24"/>
        </w:rPr>
        <w:t>výdajové akce jiné než výdajové investiční akce.</w:t>
      </w:r>
    </w:p>
    <w:p w14:paraId="76117280" w14:textId="77777777" w:rsidR="00681D7E" w:rsidRPr="009B1ABF" w:rsidRDefault="00681D7E" w:rsidP="003866FF">
      <w:pPr>
        <w:numPr>
          <w:ilvl w:val="0"/>
          <w:numId w:val="60"/>
        </w:numPr>
        <w:spacing w:before="120" w:after="120"/>
        <w:ind w:firstLine="425"/>
        <w:outlineLvl w:val="5"/>
      </w:pPr>
      <w:r w:rsidRPr="009B1ABF">
        <w:t>(3) Dokumentace programu obsahuje</w:t>
      </w:r>
    </w:p>
    <w:p w14:paraId="1662A1B2" w14:textId="77777777" w:rsidR="00681D7E" w:rsidRPr="009B1ABF" w:rsidRDefault="00681D7E" w:rsidP="00CC338F">
      <w:pPr>
        <w:tabs>
          <w:tab w:val="left" w:pos="708"/>
        </w:tabs>
        <w:spacing w:before="0"/>
        <w:ind w:left="425" w:hanging="425"/>
        <w:outlineLvl w:val="7"/>
      </w:pPr>
      <w:r>
        <w:t>a)</w:t>
      </w:r>
      <w:r>
        <w:tab/>
      </w:r>
      <w:r w:rsidRPr="009B1ABF">
        <w:t>identifikační údaje programu, jeho případné členění na podprogramy a harmonogram jeho přípravy a realizace,</w:t>
      </w:r>
    </w:p>
    <w:p w14:paraId="60E1F39E" w14:textId="77777777" w:rsidR="00681D7E" w:rsidRPr="009B1ABF" w:rsidRDefault="00681D7E" w:rsidP="00CC338F">
      <w:pPr>
        <w:tabs>
          <w:tab w:val="left" w:pos="708"/>
        </w:tabs>
        <w:spacing w:before="0"/>
        <w:ind w:left="425" w:hanging="425"/>
        <w:outlineLvl w:val="7"/>
      </w:pPr>
      <w:r>
        <w:t>b)</w:t>
      </w:r>
      <w:r>
        <w:tab/>
      </w:r>
      <w:r w:rsidRPr="009B1ABF">
        <w:t>bilanci potřeb a zdrojů financování programu a jeho jednotlivých podprogramů a</w:t>
      </w:r>
    </w:p>
    <w:p w14:paraId="574BD8F3" w14:textId="77777777" w:rsidR="00681D7E" w:rsidRPr="009B1ABF" w:rsidRDefault="00681D7E" w:rsidP="00CC338F">
      <w:pPr>
        <w:tabs>
          <w:tab w:val="left" w:pos="708"/>
        </w:tabs>
        <w:spacing w:before="0"/>
        <w:ind w:left="425" w:hanging="425"/>
        <w:outlineLvl w:val="7"/>
      </w:pPr>
      <w:r>
        <w:t>c)</w:t>
      </w:r>
      <w:r>
        <w:tab/>
      </w:r>
      <w:r w:rsidRPr="009B1ABF">
        <w:t xml:space="preserve">specifikaci cílů programu a podprogramu spolu s jejich </w:t>
      </w:r>
      <w:proofErr w:type="spellStart"/>
      <w:r w:rsidRPr="009B1ABF">
        <w:t>technicko-ekonomickým</w:t>
      </w:r>
      <w:proofErr w:type="spellEnd"/>
      <w:r w:rsidRPr="009B1ABF">
        <w:t xml:space="preserve"> zdůvodněním a kritéria vyhodnocení efektivnosti vynaložených peněžních prostředků.</w:t>
      </w:r>
    </w:p>
    <w:p w14:paraId="13CED957" w14:textId="77777777" w:rsidR="00681D7E" w:rsidRPr="009B1ABF" w:rsidRDefault="00681D7E" w:rsidP="003866FF">
      <w:pPr>
        <w:tabs>
          <w:tab w:val="left" w:pos="851"/>
        </w:tabs>
        <w:spacing w:before="120" w:after="120"/>
        <w:outlineLvl w:val="6"/>
      </w:pPr>
      <w:r w:rsidRPr="009B1ABF">
        <w:t>(4) Dokumentace programu nemusí být vypracována, obsahuje-li program výhradně dotační neinvestiční akce.</w:t>
      </w:r>
    </w:p>
    <w:p w14:paraId="0174AA23" w14:textId="77777777" w:rsidR="00681D7E" w:rsidRPr="009B1ABF" w:rsidRDefault="00681D7E" w:rsidP="003866FF">
      <w:pPr>
        <w:tabs>
          <w:tab w:val="left" w:pos="851"/>
        </w:tabs>
        <w:spacing w:before="120" w:after="120"/>
        <w:outlineLvl w:val="6"/>
      </w:pPr>
      <w:r w:rsidRPr="009B1ABF">
        <w:t>(5) Věcné, časové a finanční ukazatele konkrétních akcí se evidují v rozpočtovém systému.</w:t>
      </w:r>
    </w:p>
    <w:p w14:paraId="73AFB7C9" w14:textId="77777777" w:rsidR="00681D7E" w:rsidRPr="009B1ABF" w:rsidRDefault="00681D7E" w:rsidP="003866FF">
      <w:pPr>
        <w:tabs>
          <w:tab w:val="left" w:pos="851"/>
        </w:tabs>
        <w:spacing w:before="120" w:after="120"/>
        <w:outlineLvl w:val="6"/>
      </w:pPr>
      <w:r w:rsidRPr="009B1ABF">
        <w:t>(6) Z rozpočtového systému jsou předávány údaje do centrální evidence dotací podle § 75b odst. 1.</w:t>
      </w:r>
    </w:p>
    <w:p w14:paraId="372A8744" w14:textId="77777777" w:rsidR="00681D7E" w:rsidRPr="009B1ABF" w:rsidRDefault="00681D7E" w:rsidP="003866FF">
      <w:pPr>
        <w:tabs>
          <w:tab w:val="left" w:pos="851"/>
        </w:tabs>
        <w:spacing w:before="120" w:after="120"/>
        <w:outlineLvl w:val="6"/>
      </w:pPr>
      <w:r w:rsidRPr="009B1ABF">
        <w:t xml:space="preserve">(7) Registraci dotační investiční akce a výdajové investiční akce v rozpočtovém systému provádí příslušný správce rozpočtové kapitoly na základě investičního záměru obsahujícího věcné, časové a finanční určení akce, její </w:t>
      </w:r>
      <w:proofErr w:type="spellStart"/>
      <w:r w:rsidRPr="009B1ABF">
        <w:t>technicko-ekonomické</w:t>
      </w:r>
      <w:proofErr w:type="spellEnd"/>
      <w:r w:rsidRPr="009B1ABF">
        <w:t xml:space="preserve"> zdůvodnění a vyjádření efektivnosti vložených prostředků spolu se specifikací požadavků na zabezpečení provozu budované nebo obnovované kapacity.</w:t>
      </w:r>
    </w:p>
    <w:p w14:paraId="75941AA2" w14:textId="77777777" w:rsidR="00681D7E" w:rsidRPr="009B1ABF" w:rsidRDefault="00681D7E" w:rsidP="003866FF">
      <w:pPr>
        <w:tabs>
          <w:tab w:val="left" w:pos="851"/>
        </w:tabs>
        <w:spacing w:before="120" w:after="120"/>
        <w:outlineLvl w:val="6"/>
      </w:pPr>
      <w:r w:rsidRPr="009B1ABF">
        <w:t>(8) Registraci akce podle odstavce 7 financované účelově určenými prostředky státního rozpočtu podle § 13 odst. 3 písm. a) nebo c) a změnu závazně určených ukazatelů akce lze provést jen se souhlasem ministerstva.</w:t>
      </w:r>
    </w:p>
    <w:p w14:paraId="4DCEBE60" w14:textId="77777777" w:rsidR="00681D7E" w:rsidRPr="009B1ABF" w:rsidRDefault="00681D7E" w:rsidP="003866FF">
      <w:pPr>
        <w:tabs>
          <w:tab w:val="left" w:pos="851"/>
        </w:tabs>
        <w:spacing w:before="120" w:after="120"/>
        <w:outlineLvl w:val="6"/>
      </w:pPr>
      <w:r w:rsidRPr="009B1ABF">
        <w:t>(9) Evidence dotačních neinvestičních akcí v programech, které obsahují výhradně dotační neinvestiční akce, obsahuje identifikaci programu, do něhož je akce zařazena, údaje podle § 14 odst. 4 písm. a) až e) a stejnopis rozhodnutí o poskytnutí dotace nebo návratné finanční výpomoci nebo stejnopis dohody o poskytnutí dotace nebo návratné finanční výpomoci.</w:t>
      </w:r>
    </w:p>
    <w:p w14:paraId="0F6A36BB" w14:textId="77777777" w:rsidR="00681D7E" w:rsidRPr="009B1ABF" w:rsidRDefault="00681D7E" w:rsidP="00992796">
      <w:pPr>
        <w:numPr>
          <w:ilvl w:val="0"/>
          <w:numId w:val="39"/>
        </w:numPr>
        <w:spacing w:before="120" w:after="160" w:line="259" w:lineRule="auto"/>
        <w:jc w:val="center"/>
        <w:outlineLvl w:val="5"/>
      </w:pPr>
      <w:r w:rsidRPr="009B1ABF">
        <w:t>***</w:t>
      </w:r>
    </w:p>
    <w:p w14:paraId="78C24CD7" w14:textId="77777777" w:rsidR="00681D7E" w:rsidRPr="009B1ABF" w:rsidRDefault="00681D7E" w:rsidP="00992796">
      <w:pPr>
        <w:numPr>
          <w:ilvl w:val="0"/>
          <w:numId w:val="39"/>
        </w:numPr>
        <w:spacing w:before="120" w:after="160" w:line="259" w:lineRule="auto"/>
        <w:jc w:val="center"/>
        <w:outlineLvl w:val="5"/>
      </w:pPr>
      <w:r w:rsidRPr="009B1ABF">
        <w:t>§ 14e</w:t>
      </w:r>
    </w:p>
    <w:p w14:paraId="510ADB0D" w14:textId="77777777" w:rsidR="00681D7E" w:rsidRPr="009B1ABF" w:rsidRDefault="00681D7E" w:rsidP="003866FF">
      <w:pPr>
        <w:tabs>
          <w:tab w:val="left" w:pos="851"/>
        </w:tabs>
        <w:spacing w:before="120" w:after="120"/>
        <w:outlineLvl w:val="6"/>
      </w:pPr>
      <w:r w:rsidRPr="009B1ABF">
        <w:t>(1) Poskytovatel nemusí vyplatit dotaci nebo její část, domnívá-li se důvodně, že její příjemce v přímé souvislosti s ní porušil povinnosti stanovené právním předpisem nebo nedodržel účel dotace nebo podmínky, za kterých byla dotace poskytnuta; je-li stanoven nižší odvod za porušení rozpočtové kázně podle § 14 odst. 5, výše nevyplacené části dotace musí být stanovena v rámci částek vypočítaných podle § 14 odst. 5. Přitom v rámci procentního rozmezí přihlédne poskytovatel k závažnosti porušení a jeho vlivu na dodržení účelu dotace. Nevyplatit dotaci nebo její část nelze při nedodržení povinnosti podle § 14 odst. 4 písm. i).</w:t>
      </w:r>
    </w:p>
    <w:p w14:paraId="288260CF" w14:textId="0DE90D40" w:rsidR="00681D7E" w:rsidRPr="009B1ABF" w:rsidRDefault="00681D7E" w:rsidP="003866FF">
      <w:pPr>
        <w:tabs>
          <w:tab w:val="left" w:pos="851"/>
        </w:tabs>
        <w:spacing w:before="120" w:after="120"/>
        <w:outlineLvl w:val="6"/>
        <w:rPr>
          <w:b/>
        </w:rPr>
      </w:pPr>
      <w:r w:rsidRPr="009B1ABF">
        <w:t xml:space="preserve">(2) Poskytovatel o opatření podle odstavce 1 bez zbytečného odkladu vhodným způsobem informuje příjemce. Příjemce může do 15 dnů ode dne, kdy tuto informaci obdržel, podat poskytovateli proti tomuto opatření námitky. </w:t>
      </w:r>
      <w:r w:rsidRPr="009B1ABF">
        <w:rPr>
          <w:strike/>
        </w:rPr>
        <w:t>O námitkách rozhoduje ten, kdo stojí v čele poskytovatele.</w:t>
      </w:r>
      <w:r w:rsidRPr="009B1ABF">
        <w:t xml:space="preserve"> </w:t>
      </w:r>
      <w:r w:rsidRPr="009B1ABF">
        <w:rPr>
          <w:b/>
        </w:rPr>
        <w:t>O námitkách rozhoduje poskytovatel.</w:t>
      </w:r>
    </w:p>
    <w:p w14:paraId="2CC8ABEF" w14:textId="5E8301F6" w:rsidR="00681D7E" w:rsidRPr="009B1ABF" w:rsidRDefault="00681D7E" w:rsidP="003866FF">
      <w:pPr>
        <w:tabs>
          <w:tab w:val="left" w:pos="851"/>
        </w:tabs>
        <w:spacing w:before="120" w:after="120"/>
        <w:outlineLvl w:val="6"/>
      </w:pPr>
      <w:r w:rsidRPr="009B1ABF">
        <w:t>(3) V rozhodnutí o námitkách se rozhodne o tom, zda opatření poskytovatele bylo plně oprávněné, částečně oprávněné nebo zda oprávněné nebylo. Proti rozhodnutí o námitkách se nelze odvolat.</w:t>
      </w:r>
    </w:p>
    <w:p w14:paraId="2978B549" w14:textId="72CB3B94" w:rsidR="00681D7E" w:rsidRPr="009B1ABF" w:rsidRDefault="00681D7E" w:rsidP="003866FF">
      <w:pPr>
        <w:tabs>
          <w:tab w:val="left" w:pos="851"/>
        </w:tabs>
        <w:spacing w:before="120" w:after="120"/>
        <w:outlineLvl w:val="6"/>
      </w:pPr>
      <w:r w:rsidRPr="009B1ABF">
        <w:lastRenderedPageBreak/>
        <w:t>(4) Bylo-li opatření poskytovatele v rozhodnutí o námitkách posouzeno jako plně oprávněné, poskytovatel dotaci nebo její část příjemci nevyplatí. Bylo-li posouzeno jako částečně oprávněné, poskytovatel vyplatí příjemci část dotace, kterou mu neoprávněně nevyplatil. Bylo-li posouzeno jako neoprávněné, poskytovatel příjemci vyplatí nevyplacenou dotaci nebo její část. Poskytovatel vyplatí příjemci dotaci nebo její část, kterou mu neoprávněně nevyplatil, do pěti pracovních dnů ode dne právní moci rozhodnutí o námitkách.</w:t>
      </w:r>
    </w:p>
    <w:p w14:paraId="16CF739C" w14:textId="10C276D9" w:rsidR="00681D7E" w:rsidRPr="009B1ABF" w:rsidRDefault="00681D7E" w:rsidP="003866FF">
      <w:pPr>
        <w:tabs>
          <w:tab w:val="left" w:pos="851"/>
        </w:tabs>
        <w:spacing w:before="120" w:after="120"/>
        <w:outlineLvl w:val="6"/>
      </w:pPr>
      <w:r w:rsidRPr="009B1ABF">
        <w:t>(5) Poskytovatel informuje o opatření podle odstavce 1 a o rozhodnutí o námitkách podle odstavce 3 vhodným způsobem bez zbytečného odkladu finanční úřad.</w:t>
      </w:r>
    </w:p>
    <w:p w14:paraId="2F92E317" w14:textId="6F44C311" w:rsidR="00681D7E" w:rsidRPr="009B1ABF" w:rsidRDefault="00681D7E" w:rsidP="003866FF">
      <w:pPr>
        <w:tabs>
          <w:tab w:val="left" w:pos="851"/>
        </w:tabs>
        <w:spacing w:before="120" w:after="120"/>
        <w:outlineLvl w:val="6"/>
      </w:pPr>
      <w:r w:rsidRPr="009B1ABF">
        <w:t>(6) Provede-li poskytovatel opatření podle odstavce 1, může pokračovat v proplácení zbývající části dotace.</w:t>
      </w:r>
    </w:p>
    <w:p w14:paraId="311EC4C5" w14:textId="77777777" w:rsidR="00681D7E" w:rsidRPr="009B1ABF" w:rsidRDefault="00681D7E" w:rsidP="00681D7E">
      <w:pPr>
        <w:spacing w:before="120"/>
        <w:jc w:val="center"/>
        <w:outlineLvl w:val="5"/>
      </w:pPr>
      <w:r w:rsidRPr="009B1ABF">
        <w:t>***</w:t>
      </w:r>
    </w:p>
    <w:p w14:paraId="046F8420" w14:textId="77777777" w:rsidR="00681D7E" w:rsidRPr="009B1ABF" w:rsidRDefault="00681D7E" w:rsidP="00681D7E">
      <w:pPr>
        <w:spacing w:after="160" w:line="259" w:lineRule="auto"/>
        <w:jc w:val="center"/>
        <w:outlineLvl w:val="5"/>
      </w:pPr>
      <w:r w:rsidRPr="009B1ABF">
        <w:t>§ 15</w:t>
      </w:r>
    </w:p>
    <w:p w14:paraId="452C68D6" w14:textId="77777777" w:rsidR="00681D7E" w:rsidRPr="009B1ABF" w:rsidRDefault="00681D7E" w:rsidP="003866FF">
      <w:pPr>
        <w:tabs>
          <w:tab w:val="left" w:pos="851"/>
        </w:tabs>
        <w:spacing w:before="120" w:after="120"/>
        <w:outlineLvl w:val="6"/>
      </w:pPr>
      <w:r w:rsidRPr="009B1ABF">
        <w:t>(1) Řízení o odnětí dotace nebo návratné finanční výpomoci může poskytovatel zahájit, došlo-li po vydání rozhodnutí o poskytnutí dotace nebo návratné finanční výpomoci</w:t>
      </w:r>
    </w:p>
    <w:p w14:paraId="53BEAFD5" w14:textId="77777777" w:rsidR="00681D7E" w:rsidRPr="009B1ABF" w:rsidRDefault="00681D7E" w:rsidP="00CC338F">
      <w:pPr>
        <w:tabs>
          <w:tab w:val="left" w:pos="708"/>
        </w:tabs>
        <w:spacing w:before="0"/>
        <w:ind w:left="425" w:hanging="425"/>
        <w:outlineLvl w:val="7"/>
      </w:pPr>
      <w:r w:rsidRPr="009B1ABF">
        <w:t xml:space="preserve">a) </w:t>
      </w:r>
      <w:r>
        <w:tab/>
      </w:r>
      <w:r w:rsidRPr="009B1ABF">
        <w:t>k vázání prostředků státního rozpočtu,</w:t>
      </w:r>
    </w:p>
    <w:p w14:paraId="556C7344" w14:textId="77777777" w:rsidR="00681D7E" w:rsidRPr="009B1ABF" w:rsidRDefault="00681D7E" w:rsidP="00CC338F">
      <w:pPr>
        <w:tabs>
          <w:tab w:val="left" w:pos="708"/>
        </w:tabs>
        <w:spacing w:before="0"/>
        <w:ind w:left="425" w:hanging="425"/>
        <w:outlineLvl w:val="7"/>
      </w:pPr>
      <w:r w:rsidRPr="009B1ABF">
        <w:t xml:space="preserve">b) </w:t>
      </w:r>
      <w:r>
        <w:tab/>
      </w:r>
      <w:r w:rsidRPr="009B1ABF">
        <w:t>ke zjištění, že údaje, na jejichž základě byla dotace nebo návratná finanční výpomoc poskytnuta, byly neúplné nebo nepravdivé,</w:t>
      </w:r>
    </w:p>
    <w:p w14:paraId="3C8EDF54" w14:textId="77777777" w:rsidR="00681D7E" w:rsidRPr="009B1ABF" w:rsidRDefault="00681D7E" w:rsidP="00CC338F">
      <w:pPr>
        <w:tabs>
          <w:tab w:val="left" w:pos="708"/>
        </w:tabs>
        <w:spacing w:before="0"/>
        <w:ind w:left="425" w:hanging="425"/>
        <w:outlineLvl w:val="7"/>
      </w:pPr>
      <w:r w:rsidRPr="009B1ABF">
        <w:t xml:space="preserve">c) </w:t>
      </w:r>
      <w:r>
        <w:tab/>
      </w:r>
      <w:r w:rsidRPr="009B1ABF">
        <w:t>ke zjištění, že rozhodnutí o poskytnutí dotace nebo návratné finanční výpomoci bylo vydáno v rozporu se zákonem nebo právem Evropské unie, nebo</w:t>
      </w:r>
    </w:p>
    <w:p w14:paraId="501A7B5F" w14:textId="77777777" w:rsidR="00681D7E" w:rsidRPr="009B1ABF" w:rsidRDefault="00681D7E" w:rsidP="00CC338F">
      <w:pPr>
        <w:tabs>
          <w:tab w:val="left" w:pos="708"/>
        </w:tabs>
        <w:spacing w:before="0"/>
        <w:ind w:left="425" w:hanging="425"/>
        <w:outlineLvl w:val="7"/>
      </w:pPr>
      <w:r w:rsidRPr="009B1ABF">
        <w:t xml:space="preserve">d) </w:t>
      </w:r>
      <w:r>
        <w:tab/>
      </w:r>
      <w:r w:rsidRPr="009B1ABF">
        <w:t>ke zjištění, že nemůže být splněn řádně nebo včas účel, na který byla dotace poskytnuta, pokud již nedošlo k zahájení daňové kontroly, jejímž předmětem je zjištění, zda došlo k porušení rozpočtové kázně,</w:t>
      </w:r>
    </w:p>
    <w:p w14:paraId="22FBCDE5" w14:textId="77777777" w:rsidR="00681D7E" w:rsidRPr="009B1ABF" w:rsidRDefault="00681D7E" w:rsidP="00CC338F">
      <w:pPr>
        <w:tabs>
          <w:tab w:val="left" w:pos="708"/>
        </w:tabs>
        <w:spacing w:before="0"/>
        <w:ind w:left="425" w:hanging="425"/>
        <w:outlineLvl w:val="7"/>
      </w:pPr>
      <w:r w:rsidRPr="009B1ABF">
        <w:t xml:space="preserve">e) </w:t>
      </w:r>
      <w:r>
        <w:tab/>
      </w:r>
      <w:r w:rsidRPr="009B1ABF">
        <w:t>k vydání rozhodnutí Evropské komise o navrácení</w:t>
      </w:r>
      <w:r>
        <w:rPr>
          <w:rStyle w:val="Znakapoznpodarou"/>
        </w:rPr>
        <w:footnoteReference w:customMarkFollows="1" w:id="336"/>
        <w:t>16a)</w:t>
      </w:r>
      <w:r w:rsidRPr="009B1ABF">
        <w:t xml:space="preserve"> nebo o prozatímním navrácení</w:t>
      </w:r>
      <w:r>
        <w:rPr>
          <w:rStyle w:val="Znakapoznpodarou"/>
        </w:rPr>
        <w:footnoteReference w:customMarkFollows="1" w:id="337"/>
        <w:t>16b)</w:t>
      </w:r>
      <w:r w:rsidRPr="009B1ABF">
        <w:t xml:space="preserve"> veřejné podpory,</w:t>
      </w:r>
    </w:p>
    <w:p w14:paraId="311690A0" w14:textId="77777777" w:rsidR="00681D7E" w:rsidRPr="009B1ABF" w:rsidRDefault="00681D7E" w:rsidP="00CC338F">
      <w:pPr>
        <w:tabs>
          <w:tab w:val="left" w:pos="708"/>
        </w:tabs>
        <w:spacing w:before="0"/>
        <w:ind w:left="425" w:hanging="425"/>
        <w:outlineLvl w:val="7"/>
      </w:pPr>
      <w:r w:rsidRPr="009B1ABF">
        <w:t xml:space="preserve">f) </w:t>
      </w:r>
      <w:r>
        <w:tab/>
      </w:r>
      <w:r w:rsidRPr="009B1ABF">
        <w:t>ke zjištění, že byl umožněn výkon nelegální práce</w:t>
      </w:r>
      <w:r w:rsidRPr="00A13892">
        <w:rPr>
          <w:vertAlign w:val="superscript"/>
        </w:rPr>
        <w:t>34)</w:t>
      </w:r>
      <w:r w:rsidRPr="009B1ABF">
        <w:t>; odejmout je možné prostředky poskytnuté v období až 12 měsíců před zjištěním,</w:t>
      </w:r>
    </w:p>
    <w:p w14:paraId="49B71A13" w14:textId="77777777" w:rsidR="00681D7E" w:rsidRPr="009B1ABF" w:rsidRDefault="00681D7E" w:rsidP="00CC338F">
      <w:pPr>
        <w:tabs>
          <w:tab w:val="left" w:pos="708"/>
        </w:tabs>
        <w:spacing w:before="0"/>
        <w:ind w:left="425" w:hanging="425"/>
        <w:outlineLvl w:val="7"/>
      </w:pPr>
      <w:r w:rsidRPr="009B1ABF">
        <w:t xml:space="preserve">g) </w:t>
      </w:r>
      <w:r>
        <w:tab/>
      </w:r>
      <w:r w:rsidRPr="009B1ABF">
        <w:t>ke zjištění, že existuje pravomocný rozsudek, že v souvislosti s podáním žádosti o poskytnutí dotace nebo návratné finanční výpomoci byl spáchán trestný čin, nebo</w:t>
      </w:r>
    </w:p>
    <w:p w14:paraId="10701D7A" w14:textId="77777777" w:rsidR="00681D7E" w:rsidRPr="009B1ABF" w:rsidRDefault="00681D7E" w:rsidP="00CC338F">
      <w:pPr>
        <w:tabs>
          <w:tab w:val="left" w:pos="708"/>
        </w:tabs>
        <w:spacing w:before="0"/>
        <w:ind w:left="425" w:hanging="425"/>
        <w:outlineLvl w:val="7"/>
      </w:pPr>
      <w:r w:rsidRPr="009B1ABF">
        <w:t xml:space="preserve">h) </w:t>
      </w:r>
      <w:r>
        <w:tab/>
      </w:r>
      <w:r w:rsidRPr="009B1ABF">
        <w:t>ke zjištění, že existuje pravomocný rozsudek, že v souvislosti s použitím peněžních prostředků získaných dotací nebo návratnou finanční výpomocí byl spáchán trestný čin.</w:t>
      </w:r>
    </w:p>
    <w:p w14:paraId="38278B3E" w14:textId="77777777" w:rsidR="00681D7E" w:rsidRPr="009B1ABF" w:rsidRDefault="00681D7E" w:rsidP="003866FF">
      <w:pPr>
        <w:tabs>
          <w:tab w:val="left" w:pos="851"/>
        </w:tabs>
        <w:spacing w:before="120" w:after="120"/>
        <w:outlineLvl w:val="6"/>
        <w:rPr>
          <w:b/>
        </w:rPr>
      </w:pPr>
      <w:r w:rsidRPr="009B1ABF">
        <w:t xml:space="preserve">(2) Na řízení podle odstavce 1 se vztahují obecné předpisy o správním řízení. </w:t>
      </w:r>
      <w:r w:rsidRPr="009B1ABF">
        <w:rPr>
          <w:b/>
        </w:rPr>
        <w:t xml:space="preserve">Řízení o </w:t>
      </w:r>
      <w:r w:rsidRPr="00A13892">
        <w:rPr>
          <w:b/>
        </w:rPr>
        <w:t>odnětí</w:t>
      </w:r>
      <w:r w:rsidRPr="009B1ABF">
        <w:rPr>
          <w:b/>
        </w:rPr>
        <w:t xml:space="preserve"> dotace nebo návratné finanční výpomoci lze zahájit nejpozději 6 let ode dne nabytí právní moci rozhodnutí o poskytnutí dotace nebo návratné finanční výpomoci. Řízení o odnětí dotace nebo návratné finanční výpomoci musí být pravomocně ukončeno nejpozději 12 let ode dne nabytí právní moci rozhodnutí o poskytnutí dotace.</w:t>
      </w:r>
    </w:p>
    <w:p w14:paraId="60158CA8" w14:textId="77777777" w:rsidR="00681D7E" w:rsidRPr="009B1ABF" w:rsidRDefault="00681D7E" w:rsidP="003866FF">
      <w:pPr>
        <w:tabs>
          <w:tab w:val="left" w:pos="851"/>
        </w:tabs>
        <w:spacing w:before="120" w:after="120"/>
        <w:outlineLvl w:val="6"/>
      </w:pPr>
      <w:r w:rsidRPr="009B1ABF">
        <w:t xml:space="preserve">(3) Bylo-li poskytovatelem rozhodnuto o odnětí dotace nebo návratné finanční výpomoci z důvodu uvedeného v odstavci 1 písm. a), není možné uložit příjemci vrácení dotace nebo její </w:t>
      </w:r>
      <w:r w:rsidRPr="009B1ABF">
        <w:lastRenderedPageBreak/>
        <w:t>části nebo předčasné vrácení návratné finanční výpomoci nebo její části, která již byla příjemci z účtu státního rozpočtu odeslána.</w:t>
      </w:r>
    </w:p>
    <w:p w14:paraId="35C1FFA5" w14:textId="1E0910C7" w:rsidR="00681D7E" w:rsidRPr="009B1ABF" w:rsidRDefault="00681D7E" w:rsidP="003866FF">
      <w:pPr>
        <w:tabs>
          <w:tab w:val="left" w:pos="851"/>
        </w:tabs>
        <w:spacing w:before="120" w:after="120"/>
        <w:outlineLvl w:val="6"/>
      </w:pPr>
      <w:r w:rsidRPr="009B1ABF">
        <w:t>(4) Nabytím právní moci rozhodnutí o odnětí dotace nebo návratné finanční výpomoci zaniká příjemci nárok na jejich výplatu.</w:t>
      </w:r>
    </w:p>
    <w:p w14:paraId="6E792505" w14:textId="5CD56E92" w:rsidR="00681D7E" w:rsidRPr="009B1ABF" w:rsidRDefault="00681D7E" w:rsidP="003866FF">
      <w:pPr>
        <w:tabs>
          <w:tab w:val="left" w:pos="851"/>
        </w:tabs>
        <w:spacing w:before="120" w:after="120"/>
        <w:outlineLvl w:val="6"/>
      </w:pPr>
      <w:r w:rsidRPr="009B1ABF">
        <w:t>(5) Při odnětí dotace nebo návratné finanční výpomoci z důvodů podle odstavce 1 písm. b) až h) vzniká příjemci povinnost vrátit poskytovateli z jeho účtu již odeslanou část dotace nebo návratné finanční výpomoci.</w:t>
      </w:r>
    </w:p>
    <w:p w14:paraId="388E26FB" w14:textId="77777777" w:rsidR="00681D7E" w:rsidRPr="009B1ABF" w:rsidRDefault="00681D7E" w:rsidP="00992796">
      <w:pPr>
        <w:keepNext/>
        <w:keepLines/>
        <w:numPr>
          <w:ilvl w:val="0"/>
          <w:numId w:val="39"/>
        </w:numPr>
        <w:spacing w:before="120" w:after="160" w:line="259" w:lineRule="auto"/>
        <w:jc w:val="center"/>
        <w:outlineLvl w:val="5"/>
      </w:pPr>
      <w:r w:rsidRPr="009B1ABF">
        <w:t>***</w:t>
      </w:r>
    </w:p>
    <w:p w14:paraId="407A2FE5" w14:textId="77777777" w:rsidR="00681D7E" w:rsidRPr="009B1ABF" w:rsidRDefault="00681D7E" w:rsidP="00992796">
      <w:pPr>
        <w:keepNext/>
        <w:keepLines/>
        <w:numPr>
          <w:ilvl w:val="0"/>
          <w:numId w:val="39"/>
        </w:numPr>
        <w:spacing w:after="120"/>
        <w:jc w:val="center"/>
        <w:outlineLvl w:val="5"/>
      </w:pPr>
      <w:r w:rsidRPr="009B1ABF">
        <w:t>§ 20</w:t>
      </w:r>
    </w:p>
    <w:p w14:paraId="2A8C2D53" w14:textId="77777777" w:rsidR="00681D7E" w:rsidRPr="00A13892" w:rsidRDefault="00681D7E" w:rsidP="00992796">
      <w:pPr>
        <w:keepNext/>
        <w:keepLines/>
        <w:numPr>
          <w:ilvl w:val="0"/>
          <w:numId w:val="39"/>
        </w:numPr>
        <w:spacing w:after="120"/>
        <w:jc w:val="center"/>
        <w:outlineLvl w:val="5"/>
        <w:rPr>
          <w:b/>
        </w:rPr>
      </w:pPr>
      <w:r w:rsidRPr="009B1ABF">
        <w:rPr>
          <w:b/>
        </w:rPr>
        <w:t>Hodnocení plnění státního rozpočtu, rozpočtů státních fondů, rozpočtů územních samosprávných celků a dobrovolných svazků obcí</w:t>
      </w:r>
    </w:p>
    <w:p w14:paraId="5EB3876B" w14:textId="77777777" w:rsidR="00681D7E" w:rsidRPr="009B1ABF" w:rsidRDefault="00681D7E" w:rsidP="003866FF">
      <w:pPr>
        <w:tabs>
          <w:tab w:val="left" w:pos="851"/>
        </w:tabs>
        <w:spacing w:before="120" w:after="120"/>
        <w:outlineLvl w:val="6"/>
      </w:pPr>
      <w:r w:rsidRPr="009B1ABF">
        <w:t xml:space="preserve">(1) Za plnění státního rozpočtu odpovídá vláda Poslanecké sněmovně. Vláda předkládá </w:t>
      </w:r>
      <w:r w:rsidRPr="009B1ABF">
        <w:rPr>
          <w:strike/>
        </w:rPr>
        <w:t>Poslanecké sněmovně</w:t>
      </w:r>
      <w:r w:rsidRPr="009B1ABF">
        <w:t xml:space="preserve"> </w:t>
      </w:r>
      <w:r w:rsidRPr="009B1ABF">
        <w:rPr>
          <w:b/>
        </w:rPr>
        <w:t>rozpočtovému výboru Poslanecké sněmovny</w:t>
      </w:r>
      <w:r w:rsidRPr="009B1ABF">
        <w:t xml:space="preserve"> po skončení pololetí zprávu, v níž hodnotí vývoj ekonomiky a plnění státního rozpočtu; zpráva obsahuje rovněž hodnocení plnění rozpočtů územních samosprávných celků, dobrovolných svazků obcí a vývoje státních finančních aktiv, stavu státních záruk, vývoje státního dluhu, jejich podrobnou analýzu, výhled plnění do konce roku a v případě odchýlení od schváleného státního rozpočtu informaci o krocích k zajištění stability rozpočtového hospodaření.</w:t>
      </w:r>
    </w:p>
    <w:p w14:paraId="285EEB8A" w14:textId="22710862" w:rsidR="00681D7E" w:rsidRPr="009B1ABF" w:rsidRDefault="00681D7E" w:rsidP="003866FF">
      <w:pPr>
        <w:tabs>
          <w:tab w:val="left" w:pos="851"/>
        </w:tabs>
        <w:spacing w:before="120" w:after="120"/>
        <w:outlineLvl w:val="6"/>
        <w:rPr>
          <w:strike/>
        </w:rPr>
      </w:pPr>
      <w:r w:rsidRPr="009B1ABF">
        <w:rPr>
          <w:strike/>
        </w:rPr>
        <w:t>(2) Ministerstvo dále průběžně hodnotí pokladní plnění státního rozpočtu a podává o něm po uplynutí prvního a třetího kalendářního čtvrtletí informaci vládě tak, aby ji vláda předložila do konce měsíce následujícího po uplynutí kalendářního čtvrtletí rozpočtovému výboru Poslanecké sněmovny.</w:t>
      </w:r>
    </w:p>
    <w:p w14:paraId="5C7ED48A" w14:textId="5A5B7B87" w:rsidR="00681D7E" w:rsidRPr="009B1ABF" w:rsidRDefault="00681D7E" w:rsidP="003866FF">
      <w:pPr>
        <w:tabs>
          <w:tab w:val="left" w:pos="851"/>
        </w:tabs>
        <w:spacing w:before="120" w:after="120"/>
        <w:outlineLvl w:val="6"/>
        <w:rPr>
          <w:strike/>
        </w:rPr>
      </w:pPr>
      <w:proofErr w:type="gramStart"/>
      <w:r>
        <w:rPr>
          <w:strike/>
        </w:rPr>
        <w:t>(3)</w:t>
      </w:r>
      <w:r w:rsidRPr="009B1ABF">
        <w:rPr>
          <w:b/>
          <w:strike/>
        </w:rPr>
        <w:t>(2)</w:t>
      </w:r>
      <w:r w:rsidRPr="009B1ABF">
        <w:rPr>
          <w:strike/>
        </w:rPr>
        <w:t>Zprávu</w:t>
      </w:r>
      <w:proofErr w:type="gramEnd"/>
      <w:r w:rsidRPr="009B1ABF">
        <w:rPr>
          <w:strike/>
        </w:rPr>
        <w:t xml:space="preserve"> podle odstavce 1 poté, kdy ji Poslanecká sněmovna vezme na vědomí, a informaci podle odstavce 2 poté, co ji vezme na vědomí rozpočtový výbor Poslanecké sněmovny, ministerstvo uveřejní v elektronické podobě způsobem umožňujícím dálkový a nepřetržitý přístup.</w:t>
      </w:r>
    </w:p>
    <w:p w14:paraId="08AC8FF2" w14:textId="77146130" w:rsidR="00681D7E" w:rsidRPr="009B1ABF" w:rsidRDefault="00681D7E" w:rsidP="003866FF">
      <w:pPr>
        <w:tabs>
          <w:tab w:val="left" w:pos="851"/>
        </w:tabs>
        <w:spacing w:before="120" w:after="120"/>
        <w:outlineLvl w:val="6"/>
        <w:rPr>
          <w:b/>
        </w:rPr>
      </w:pPr>
      <w:r w:rsidRPr="009B1ABF">
        <w:rPr>
          <w:b/>
        </w:rPr>
        <w:t xml:space="preserve">(2) Zprávu podle odstavce 1 poté, kdy ji rozpočtový výbor Poslanecké sněmovny vezme na vědomí, ministerstvo uveřejní v elektronické podobě způsobem umožňujícím dálkový a nepřetržitý přístup. </w:t>
      </w:r>
    </w:p>
    <w:p w14:paraId="5F1AFA46" w14:textId="77777777" w:rsidR="00681D7E" w:rsidRPr="009B1ABF" w:rsidRDefault="00681D7E" w:rsidP="003866FF">
      <w:pPr>
        <w:tabs>
          <w:tab w:val="left" w:pos="851"/>
        </w:tabs>
        <w:spacing w:before="120" w:after="120"/>
        <w:outlineLvl w:val="6"/>
      </w:pPr>
      <w:proofErr w:type="gramStart"/>
      <w:r w:rsidRPr="009B1ABF">
        <w:rPr>
          <w:strike/>
        </w:rPr>
        <w:t>(4)</w:t>
      </w:r>
      <w:r w:rsidRPr="009B1ABF">
        <w:rPr>
          <w:b/>
        </w:rPr>
        <w:t>(3)</w:t>
      </w:r>
      <w:r>
        <w:t xml:space="preserve"> </w:t>
      </w:r>
      <w:r w:rsidRPr="009B1ABF">
        <w:t>Správci</w:t>
      </w:r>
      <w:proofErr w:type="gramEnd"/>
      <w:r w:rsidRPr="009B1ABF">
        <w:t xml:space="preserve"> kapitol, organizační složky státu, příspěvkové organizace, územní samosprávné celky, dobrovolné svazky obcí, státní fondy a ostatní příjemci prostředků poskytnutých ze státního rozpočtu jsou povinni předkládat údaje potřebné pro průběžné hodnocení plnění státního rozpočtu. Povinnost předkládat údaje potřebné pro průběžné hodnocení plnění státního rozpočtu se vztahuje i na právnické a fyzické osoby, za které byla poskytnuta státní záruka k zajištění splátek úvěrů. Územní samosprávné celky, státní fondy a dobrovolné svazky obcí jsou povinny předkládat údaje potřebné pro průběžné hodnocení svých rozpočtů. Obce a dobrovolné svazky obcí předkládají údaje prostřednictvím krajů s tím, že dobrovolné svazky obcí tak činí prostřednictvím kraje, kde mají své sídlo. Kraje a hlavní město Praha předkládají údaje ministerstvu. Údaje týkající se financování programů předkládají obce a dobrovolné svazky obcí přímo příslušnému správci kapitoly. Činnost krajů podle věty čtvrté je přenesenou působností.</w:t>
      </w:r>
    </w:p>
    <w:p w14:paraId="29003496" w14:textId="5BF58EA6" w:rsidR="00681D7E" w:rsidRPr="009B1ABF" w:rsidRDefault="00681D7E" w:rsidP="003866FF">
      <w:pPr>
        <w:tabs>
          <w:tab w:val="left" w:pos="851"/>
        </w:tabs>
        <w:spacing w:before="120" w:after="120"/>
        <w:outlineLvl w:val="6"/>
      </w:pPr>
      <w:proofErr w:type="gramStart"/>
      <w:r w:rsidRPr="009B1ABF">
        <w:rPr>
          <w:strike/>
        </w:rPr>
        <w:lastRenderedPageBreak/>
        <w:t>(5)</w:t>
      </w:r>
      <w:r w:rsidRPr="009B1ABF">
        <w:rPr>
          <w:b/>
        </w:rPr>
        <w:t xml:space="preserve">(4) </w:t>
      </w:r>
      <w:r w:rsidRPr="009B1ABF">
        <w:t>Nesplnění</w:t>
      </w:r>
      <w:proofErr w:type="gramEnd"/>
      <w:r w:rsidRPr="009B1ABF">
        <w:t xml:space="preserve"> povinnosti předložit údaje je důvodem, aby další poskytování rozpočtových prostředků bylo pozastaveno, a to až do splnění uvedené povinnosti. Odpovědnost podle zvláštního předpisu tím není dotčena.</w:t>
      </w:r>
      <w:r w:rsidRPr="008C00E2">
        <w:rPr>
          <w:rStyle w:val="Znakapoznpodarou"/>
          <w:strike/>
        </w:rPr>
        <w:footnoteReference w:customMarkFollows="1" w:id="338"/>
        <w:t>16)</w:t>
      </w:r>
    </w:p>
    <w:p w14:paraId="07EE1A37" w14:textId="02A07AA0" w:rsidR="00681D7E" w:rsidRPr="009B1ABF" w:rsidRDefault="00681D7E" w:rsidP="003866FF">
      <w:pPr>
        <w:tabs>
          <w:tab w:val="left" w:pos="851"/>
        </w:tabs>
        <w:spacing w:before="120" w:after="120"/>
        <w:outlineLvl w:val="6"/>
      </w:pPr>
      <w:proofErr w:type="gramStart"/>
      <w:r w:rsidRPr="009B1ABF">
        <w:rPr>
          <w:strike/>
        </w:rPr>
        <w:t>(6)</w:t>
      </w:r>
      <w:r w:rsidRPr="009B1ABF">
        <w:rPr>
          <w:b/>
        </w:rPr>
        <w:t>(5)</w:t>
      </w:r>
      <w:r>
        <w:t xml:space="preserve"> </w:t>
      </w:r>
      <w:r w:rsidRPr="009B1ABF">
        <w:t>Způsob</w:t>
      </w:r>
      <w:proofErr w:type="gramEnd"/>
      <w:r w:rsidRPr="009B1ABF">
        <w:t>, termíny předkládání údajů a jejich rozsah stanoví ministerstvo vyhláškou.</w:t>
      </w:r>
    </w:p>
    <w:p w14:paraId="54705A8A" w14:textId="77777777" w:rsidR="00681D7E" w:rsidRPr="009B1ABF" w:rsidRDefault="00681D7E" w:rsidP="00992796">
      <w:pPr>
        <w:keepNext/>
        <w:keepLines/>
        <w:numPr>
          <w:ilvl w:val="0"/>
          <w:numId w:val="39"/>
        </w:numPr>
        <w:spacing w:before="120" w:after="160" w:line="259" w:lineRule="auto"/>
        <w:jc w:val="center"/>
        <w:outlineLvl w:val="5"/>
      </w:pPr>
      <w:r w:rsidRPr="009B1ABF">
        <w:t>***</w:t>
      </w:r>
    </w:p>
    <w:p w14:paraId="754E4090" w14:textId="77777777" w:rsidR="00681D7E" w:rsidRPr="009B1ABF" w:rsidRDefault="00681D7E" w:rsidP="00992796">
      <w:pPr>
        <w:keepNext/>
        <w:keepLines/>
        <w:numPr>
          <w:ilvl w:val="0"/>
          <w:numId w:val="39"/>
        </w:numPr>
        <w:spacing w:after="120" w:line="259" w:lineRule="auto"/>
        <w:jc w:val="center"/>
        <w:outlineLvl w:val="5"/>
      </w:pPr>
      <w:r w:rsidRPr="009B1ABF">
        <w:t>§ 29</w:t>
      </w:r>
    </w:p>
    <w:p w14:paraId="560FCBBF" w14:textId="77777777" w:rsidR="00681D7E" w:rsidRPr="009B1ABF" w:rsidRDefault="00681D7E" w:rsidP="00992796">
      <w:pPr>
        <w:keepNext/>
        <w:keepLines/>
        <w:numPr>
          <w:ilvl w:val="0"/>
          <w:numId w:val="39"/>
        </w:numPr>
        <w:spacing w:after="120" w:line="259" w:lineRule="auto"/>
        <w:jc w:val="center"/>
        <w:outlineLvl w:val="5"/>
        <w:rPr>
          <w:b/>
        </w:rPr>
      </w:pPr>
      <w:r w:rsidRPr="009B1ABF">
        <w:rPr>
          <w:b/>
        </w:rPr>
        <w:t>Státní závěrečný účet</w:t>
      </w:r>
    </w:p>
    <w:p w14:paraId="37084CE8" w14:textId="77777777" w:rsidR="00681D7E" w:rsidRPr="009B1ABF" w:rsidRDefault="00681D7E" w:rsidP="003866FF">
      <w:pPr>
        <w:tabs>
          <w:tab w:val="left" w:pos="851"/>
        </w:tabs>
        <w:spacing w:before="120" w:after="120"/>
        <w:outlineLvl w:val="6"/>
      </w:pPr>
      <w:r w:rsidRPr="009B1ABF">
        <w:t>(1) Státní závěrečný účet obsahuje údaje o výsledcích rozpočtového hospodaření minulého roku.</w:t>
      </w:r>
    </w:p>
    <w:p w14:paraId="547B370C" w14:textId="1C1DACC1" w:rsidR="00681D7E" w:rsidRPr="009B1ABF" w:rsidRDefault="00681D7E" w:rsidP="003866FF">
      <w:pPr>
        <w:tabs>
          <w:tab w:val="left" w:pos="851"/>
        </w:tabs>
        <w:spacing w:before="120" w:after="120"/>
        <w:outlineLvl w:val="6"/>
      </w:pPr>
      <w:r w:rsidRPr="009B1ABF">
        <w:t>(2) Součástí státního závěrečného účtu jsou závěrečné účty kapitol zpracovávané a předkládané Poslanecké sněmovně samostatně jejich správci.</w:t>
      </w:r>
    </w:p>
    <w:p w14:paraId="15FBAE3D" w14:textId="7AF56A0B" w:rsidR="00681D7E" w:rsidRPr="009B1ABF" w:rsidRDefault="00681D7E" w:rsidP="003866FF">
      <w:pPr>
        <w:tabs>
          <w:tab w:val="left" w:pos="851"/>
        </w:tabs>
        <w:spacing w:before="120" w:after="120"/>
        <w:outlineLvl w:val="6"/>
      </w:pPr>
      <w:r w:rsidRPr="009B1ABF">
        <w:t xml:space="preserve">(3) Přílohu státního závěrečného účtu tvoří souhrnné údaje o výsledcích rozpočtového hospodaření územních samosprávných celků, dobrovolných svazků obcí, informace o hlavních výsledcích hospodaření státních fondů, </w:t>
      </w:r>
      <w:r w:rsidRPr="009B1ABF">
        <w:rPr>
          <w:strike/>
        </w:rPr>
        <w:t>přehled o státních finančních aktivech a pasivech</w:t>
      </w:r>
      <w:r w:rsidRPr="009B1ABF">
        <w:t>, přehled o státních zárukách a přehled o stavech fondů organizačních složek státu.</w:t>
      </w:r>
    </w:p>
    <w:p w14:paraId="73581CB2" w14:textId="7EA355AA" w:rsidR="00681D7E" w:rsidRPr="009B1ABF" w:rsidRDefault="00681D7E" w:rsidP="003866FF">
      <w:pPr>
        <w:tabs>
          <w:tab w:val="left" w:pos="851"/>
        </w:tabs>
        <w:spacing w:before="120" w:after="120"/>
        <w:outlineLvl w:val="6"/>
      </w:pPr>
      <w:r>
        <w:t xml:space="preserve">(4) </w:t>
      </w:r>
      <w:r w:rsidRPr="009B1ABF">
        <w:t>Státní závěrečný účet po projednání v Poslanecké sněmovně uveřejní ministerstvo spolu se stanoviskem Poslanecké sněmovny v elektronické podobě způsobem umožňujícím dálkový a nepřetržitý přístup.</w:t>
      </w:r>
    </w:p>
    <w:p w14:paraId="1651BDE5" w14:textId="77777777" w:rsidR="00681D7E" w:rsidRPr="009B1ABF" w:rsidRDefault="00681D7E" w:rsidP="00992796">
      <w:pPr>
        <w:numPr>
          <w:ilvl w:val="0"/>
          <w:numId w:val="39"/>
        </w:numPr>
        <w:spacing w:after="120"/>
        <w:jc w:val="center"/>
        <w:outlineLvl w:val="5"/>
      </w:pPr>
      <w:r w:rsidRPr="009B1ABF">
        <w:t>***</w:t>
      </w:r>
    </w:p>
    <w:p w14:paraId="58EEBCF4" w14:textId="77777777" w:rsidR="00681D7E" w:rsidRPr="009B1ABF" w:rsidRDefault="00681D7E" w:rsidP="00992796">
      <w:pPr>
        <w:numPr>
          <w:ilvl w:val="0"/>
          <w:numId w:val="39"/>
        </w:numPr>
        <w:spacing w:after="120"/>
        <w:jc w:val="center"/>
        <w:outlineLvl w:val="5"/>
      </w:pPr>
      <w:r w:rsidRPr="009B1ABF">
        <w:t>§ 30</w:t>
      </w:r>
    </w:p>
    <w:p w14:paraId="59D3B069" w14:textId="77777777" w:rsidR="00681D7E" w:rsidRPr="009B1ABF" w:rsidRDefault="00681D7E" w:rsidP="00992796">
      <w:pPr>
        <w:numPr>
          <w:ilvl w:val="0"/>
          <w:numId w:val="39"/>
        </w:numPr>
        <w:spacing w:after="120"/>
        <w:jc w:val="center"/>
        <w:outlineLvl w:val="5"/>
        <w:rPr>
          <w:b/>
        </w:rPr>
      </w:pPr>
      <w:r w:rsidRPr="009B1ABF">
        <w:rPr>
          <w:b/>
        </w:rPr>
        <w:t>Návrh státního závěrečného účtu</w:t>
      </w:r>
    </w:p>
    <w:p w14:paraId="292388D5" w14:textId="77777777" w:rsidR="00681D7E" w:rsidRPr="009B1ABF" w:rsidRDefault="00681D7E" w:rsidP="003866FF">
      <w:pPr>
        <w:tabs>
          <w:tab w:val="left" w:pos="851"/>
        </w:tabs>
        <w:spacing w:before="120" w:after="120"/>
        <w:outlineLvl w:val="6"/>
      </w:pPr>
      <w:r w:rsidRPr="009B1ABF">
        <w:t>(1) Návrh státního závěrečného účtu vypracovává ministerstvo v součinnosti se správci kapitol, územními samosprávnými celky, dobrovolnými svazky obcí a státními fondy a předkládá jej vládě. Současně předkládá návrh na použití přebytku rozpočtového hospodaření nebo na úhradu jeho schodku.</w:t>
      </w:r>
    </w:p>
    <w:p w14:paraId="5345214E" w14:textId="6B7024AF" w:rsidR="00681D7E" w:rsidRPr="009B1ABF" w:rsidRDefault="00681D7E" w:rsidP="003866FF">
      <w:pPr>
        <w:tabs>
          <w:tab w:val="left" w:pos="851"/>
        </w:tabs>
        <w:spacing w:before="120" w:after="120"/>
        <w:outlineLvl w:val="6"/>
      </w:pPr>
      <w:r w:rsidRPr="009B1ABF">
        <w:t>(2) Správci kapitol, územní samosprávné celky, dobrovolné svazky obcí a státní fondy jsou povinni předložit ministerstvu údaje potřebné pro vypracování návrhu státního závěrečného účtu. Obce a dobrovolné svazky obcí předkládají údaje prostřednictvím krajů s tím, že dobrovolné svazky obcí tak činí prostřednictvím kraje, kde mají své sídlo. Kraje a hlavní město Praha předkládají údaje ministerstvu. Údaje týkající se financování dotačních investičních akcí předkládají obce a dobrovolné svazky obcí vždy přímo příslušnému správci kapitoly. Strukturu, termíny a rozsah předkládaných údajů potřebných pro vypracování návrhu státního závěrečného účtu stanoví ministerstvo vyhláškou. Činnost krajů podle věty druhé je přenesenou působností.</w:t>
      </w:r>
    </w:p>
    <w:p w14:paraId="1E1B8395" w14:textId="4A4A5697" w:rsidR="00681D7E" w:rsidRPr="009B1ABF" w:rsidRDefault="00681D7E" w:rsidP="003866FF">
      <w:pPr>
        <w:tabs>
          <w:tab w:val="left" w:pos="851"/>
        </w:tabs>
        <w:spacing w:before="120" w:after="120"/>
        <w:outlineLvl w:val="6"/>
      </w:pPr>
      <w:r w:rsidRPr="009B1ABF">
        <w:t>(3) Ministerstvo řídí práce na vypracování návrhů státního závěrečného účtu a závěrečných účtů kapitol, územních samosprávných celků, dobrovolných svazků obcí a státních fondů.</w:t>
      </w:r>
    </w:p>
    <w:p w14:paraId="2093A13B" w14:textId="1DF65453" w:rsidR="00681D7E" w:rsidRPr="009B1ABF" w:rsidRDefault="00681D7E" w:rsidP="003866FF">
      <w:pPr>
        <w:tabs>
          <w:tab w:val="left" w:pos="851"/>
        </w:tabs>
        <w:spacing w:before="120" w:after="120"/>
        <w:outlineLvl w:val="6"/>
      </w:pPr>
      <w:r w:rsidRPr="009B1ABF">
        <w:lastRenderedPageBreak/>
        <w:t>(4) Správci kapitol sestavují o výsledcích rozpočtového hospodaření minulého roku návrh závěrečného účtu své kapitoly v rozsahu a termínech, které stanoví ministerstvo vyhláškou ve shodném členění, v jakém byl sestaven státní rozpočet. Správce kapitoly jej projednává v příslušných výborech Poslanecké sněmovny před projednáváním návrhu státního závěrečného účtu Poslaneckou sněmovnou. Po tomto projednání jej uveřejní v elektronické podobě způsobem umožňujícím dálkový a nepřetržitý přístup.</w:t>
      </w:r>
    </w:p>
    <w:p w14:paraId="5A9D0D74" w14:textId="41204C68" w:rsidR="00681D7E" w:rsidRPr="009B1ABF" w:rsidRDefault="00681D7E" w:rsidP="003866FF">
      <w:pPr>
        <w:tabs>
          <w:tab w:val="left" w:pos="851"/>
        </w:tabs>
        <w:spacing w:before="120" w:after="120"/>
        <w:outlineLvl w:val="6"/>
      </w:pPr>
      <w:r>
        <w:t xml:space="preserve">(5) </w:t>
      </w:r>
      <w:r w:rsidRPr="009B1ABF">
        <w:t xml:space="preserve">Návrh státního závěrečného účtu podává vláda Poslanecké sněmovně nejpozději do </w:t>
      </w:r>
      <w:r w:rsidRPr="009B1ABF">
        <w:rPr>
          <w:strike/>
        </w:rPr>
        <w:t>30. dubna</w:t>
      </w:r>
      <w:r w:rsidRPr="009B1ABF">
        <w:t xml:space="preserve"> </w:t>
      </w:r>
      <w:r w:rsidRPr="009B1ABF">
        <w:rPr>
          <w:b/>
        </w:rPr>
        <w:t>31. května</w:t>
      </w:r>
      <w:r w:rsidRPr="009B1ABF">
        <w:t xml:space="preserve"> roku následujícího po hodnoceném rozpočtovém roce.</w:t>
      </w:r>
    </w:p>
    <w:p w14:paraId="5619FDBF" w14:textId="77777777" w:rsidR="00681D7E" w:rsidRPr="009B1ABF" w:rsidRDefault="00681D7E" w:rsidP="00992796">
      <w:pPr>
        <w:keepNext/>
        <w:keepLines/>
        <w:numPr>
          <w:ilvl w:val="0"/>
          <w:numId w:val="39"/>
        </w:numPr>
        <w:spacing w:before="120" w:after="160" w:line="259" w:lineRule="auto"/>
        <w:jc w:val="center"/>
        <w:outlineLvl w:val="5"/>
      </w:pPr>
      <w:r w:rsidRPr="009B1ABF">
        <w:t>***</w:t>
      </w:r>
    </w:p>
    <w:p w14:paraId="3E2863BA" w14:textId="77777777" w:rsidR="00681D7E" w:rsidRPr="009B1ABF" w:rsidRDefault="00681D7E" w:rsidP="00992796">
      <w:pPr>
        <w:keepNext/>
        <w:keepLines/>
        <w:numPr>
          <w:ilvl w:val="0"/>
          <w:numId w:val="39"/>
        </w:numPr>
        <w:spacing w:after="120" w:line="259" w:lineRule="auto"/>
        <w:jc w:val="center"/>
        <w:outlineLvl w:val="5"/>
      </w:pPr>
      <w:r w:rsidRPr="009B1ABF">
        <w:t>§ 34</w:t>
      </w:r>
    </w:p>
    <w:p w14:paraId="2E869A28" w14:textId="77777777" w:rsidR="00681D7E" w:rsidRPr="00A13892" w:rsidRDefault="00681D7E" w:rsidP="00992796">
      <w:pPr>
        <w:keepNext/>
        <w:keepLines/>
        <w:numPr>
          <w:ilvl w:val="0"/>
          <w:numId w:val="39"/>
        </w:numPr>
        <w:spacing w:after="120" w:line="259" w:lineRule="auto"/>
        <w:jc w:val="center"/>
        <w:outlineLvl w:val="5"/>
        <w:rPr>
          <w:b/>
        </w:rPr>
      </w:pPr>
      <w:r w:rsidRPr="009B1ABF">
        <w:rPr>
          <w:b/>
        </w:rPr>
        <w:t>Řízení likvidity státní pokladny</w:t>
      </w:r>
    </w:p>
    <w:p w14:paraId="7CD4C439" w14:textId="77777777" w:rsidR="00681D7E" w:rsidRPr="009B1ABF" w:rsidRDefault="00681D7E" w:rsidP="003866FF">
      <w:pPr>
        <w:tabs>
          <w:tab w:val="left" w:pos="851"/>
        </w:tabs>
        <w:spacing w:before="120" w:after="120"/>
        <w:outlineLvl w:val="6"/>
      </w:pPr>
      <w:r w:rsidRPr="009B1ABF">
        <w:t>(1) Ministerstvo provádí opatření potřebná k překonání pokladního nesouladu mezi příjmy a výdaji státního rozpočtu až do výše 15 % celkových výdajů státního rozpočtu, schválených zákonem o státním rozpočtu, nebo rozpočtového provizoria, přijetím zápůjčky, úvěru nebo vydáním a prodejem státních dluhopisů. Oprávnění k překonání pokladního nesouladu mezi příjmy a výdaji státního rozpočtu se zvyšuje v případě zákonem schváleného schodku státního rozpočtu, a to o výši tohoto schodku, a dále v případě časového nesouladu mezi výdaji peněžních prostředků rozpočtovaných jako vlastní zdroje Evropské unie vycházející z daně z přidané hodnoty a založené na hrubém národním důchodu</w:t>
      </w:r>
      <w:r>
        <w:rPr>
          <w:rStyle w:val="Znakapoznpodarou"/>
        </w:rPr>
        <w:footnoteReference w:customMarkFollows="1" w:id="339"/>
        <w:t>11f)</w:t>
      </w:r>
      <w:r w:rsidRPr="009B1ABF">
        <w:t xml:space="preserve"> a požadavky na tyto vlastní zdroje stanovenými rozpočtem Evropské unie</w:t>
      </w:r>
      <w:r>
        <w:t>, a to do výše tohoto nesouladu</w:t>
      </w:r>
      <w:r w:rsidRPr="009B1ABF">
        <w:t>.</w:t>
      </w:r>
    </w:p>
    <w:p w14:paraId="0978BACB" w14:textId="77777777" w:rsidR="00681D7E" w:rsidRPr="009B1ABF" w:rsidRDefault="00681D7E" w:rsidP="003866FF">
      <w:pPr>
        <w:tabs>
          <w:tab w:val="left" w:pos="851"/>
        </w:tabs>
        <w:spacing w:before="120" w:after="120"/>
        <w:outlineLvl w:val="6"/>
      </w:pPr>
      <w:r w:rsidRPr="009B1ABF">
        <w:t>(2) Ministerstvo je oprávněno řešit krytí schodku státního rozpočtu předchozího roku vydáním státních dluhopisů až do doby konečného rozhodnutí Poslanecké sněmovny o způsobu řešení tohoto schodku.</w:t>
      </w:r>
    </w:p>
    <w:p w14:paraId="77A2A96D" w14:textId="77777777" w:rsidR="00681D7E" w:rsidRPr="009B1ABF" w:rsidRDefault="00681D7E" w:rsidP="003866FF">
      <w:pPr>
        <w:tabs>
          <w:tab w:val="left" w:pos="851"/>
        </w:tabs>
        <w:spacing w:before="120" w:after="120"/>
        <w:outlineLvl w:val="6"/>
      </w:pPr>
      <w:r w:rsidRPr="009B1ABF">
        <w:t xml:space="preserve">(3) Přebytky prostředků na jednotlivých souhrnných účtech státní pokladny může ministerstvo krátkodobě ukládat nebo investovat na finančním trhu nebo z nich poskytovat krátkodobé zápůjčky a úvěry právnickým osobám podle § 35 odst. 5 a jiným státům; disponibilní zůstatky peněžních prostředků na jednotlivých účtech podřízených souhrnným účtům státní pokladny se těmito operacemi nemění. Ustanovení § 36 odst. </w:t>
      </w:r>
      <w:r w:rsidRPr="009B1ABF">
        <w:rPr>
          <w:strike/>
        </w:rPr>
        <w:t>6</w:t>
      </w:r>
      <w:r w:rsidRPr="009B1ABF">
        <w:t xml:space="preserve"> </w:t>
      </w:r>
      <w:r w:rsidRPr="009B1ABF">
        <w:rPr>
          <w:b/>
        </w:rPr>
        <w:t>5</w:t>
      </w:r>
      <w:r w:rsidRPr="009B1ABF">
        <w:t xml:space="preserve"> tím není dotčeno.</w:t>
      </w:r>
    </w:p>
    <w:p w14:paraId="364AB6D4" w14:textId="77777777" w:rsidR="00681D7E" w:rsidRPr="009B1ABF" w:rsidRDefault="00681D7E" w:rsidP="003866FF">
      <w:pPr>
        <w:tabs>
          <w:tab w:val="left" w:pos="851"/>
        </w:tabs>
        <w:spacing w:before="120" w:after="120"/>
        <w:outlineLvl w:val="6"/>
      </w:pPr>
      <w:r w:rsidRPr="009B1ABF">
        <w:t>(4) Před vydáním peněžních prostředků státního rozpočtu rezervuje organizační složka státu příslušná k platbě předpokládanou výši těchto prostředků ve svém rozpočtu, a to v rozsahu třídění daného rozpočtovou skladbou. Takto stanovenou výši rezervovaných peněžních prostředků může organizační složka státu měnit nebo může rezervaci zrušit.</w:t>
      </w:r>
    </w:p>
    <w:p w14:paraId="6B54C325" w14:textId="77777777" w:rsidR="00681D7E" w:rsidRPr="009B1ABF" w:rsidRDefault="00681D7E" w:rsidP="003866FF">
      <w:pPr>
        <w:tabs>
          <w:tab w:val="left" w:pos="851"/>
        </w:tabs>
        <w:spacing w:before="120" w:after="120"/>
        <w:outlineLvl w:val="6"/>
      </w:pPr>
      <w:r w:rsidRPr="009B1ABF">
        <w:t>(5) Česká národní banka ověřuje provedení rezervace peněžních prostředků v rozpočtovém systému podle odstavce 4 po předání platebního příkazu na vrub účtu organizační složky státu. Nejsou-li v rozpočtu organizační složky státu odpovídající peněžní prostředky rezervovány, Česká národní banka platební příkaz odmítne. Česká národní banka neověřuje rezervaci, jde-li o výběry hotovostí, transakce provedené prostřednictvím platební karty a při účtování cen za poskytnuté platební služby Českou národní bankou. V případech, kdy rozpočtový systém není v provozu, provádí Česká národní banka platby na pokyn ministerstva.</w:t>
      </w:r>
    </w:p>
    <w:p w14:paraId="2DCF645E" w14:textId="587C6630" w:rsidR="00681D7E" w:rsidRPr="009B1ABF" w:rsidRDefault="00681D7E" w:rsidP="003866FF">
      <w:pPr>
        <w:tabs>
          <w:tab w:val="left" w:pos="851"/>
        </w:tabs>
        <w:spacing w:before="120" w:after="120"/>
        <w:outlineLvl w:val="6"/>
      </w:pPr>
      <w:r w:rsidRPr="009B1ABF">
        <w:lastRenderedPageBreak/>
        <w:t>(6) Ministerstvo je oprávněno stanovovat majitelům účtů podle § 3 písm. h) termíny a rozsah režimu realizace plateb a povolovat jeho výjimky pro provádění platebních operací na účtech podle § 3 písm. h); ustanovení § 33 odst. 8 věty první ani ustanovení zvláštních právních předpisů tím nejsou dotčena.</w:t>
      </w:r>
    </w:p>
    <w:p w14:paraId="084A42CB" w14:textId="5620E8C8" w:rsidR="00681D7E" w:rsidRPr="009B1ABF" w:rsidRDefault="00681D7E" w:rsidP="003866FF">
      <w:pPr>
        <w:tabs>
          <w:tab w:val="left" w:pos="851"/>
        </w:tabs>
        <w:spacing w:before="120" w:after="120"/>
        <w:outlineLvl w:val="6"/>
      </w:pPr>
      <w:r w:rsidRPr="009B1ABF">
        <w:t>(7) Činnosti uvedené v odstavci 3 může na základě dohody ministerstvo vykonávat také prostřednictvím České národní banky.</w:t>
      </w:r>
    </w:p>
    <w:p w14:paraId="23F114A7" w14:textId="5B5F449F" w:rsidR="00681D7E" w:rsidRPr="009B1ABF" w:rsidRDefault="00681D7E" w:rsidP="003866FF">
      <w:pPr>
        <w:tabs>
          <w:tab w:val="left" w:pos="851"/>
        </w:tabs>
        <w:spacing w:before="120" w:after="120"/>
        <w:outlineLvl w:val="6"/>
      </w:pPr>
      <w:r w:rsidRPr="009B1ABF">
        <w:t xml:space="preserve">(8) Na účty ministerstva pro řízení likvidity státní pokladny a pro řízení státního dluhu včetně účtů zřízených v bankách nebo v bankách v zahraničí mohou plynout příjmy podle § 6 odst. 1 a mohou se z nich hradit výdaje podle § 7 odst. 1, jestliže souvisejí s řízením likvidity státní pokladny nebo řízením státního dluhu. Tyto příjmy a výdaje se za určitou dobu, v rámci rozpočtového roku mohou sečíst a vzájemně započíst; v tom případě se jejich saldo do tří pracovních dnů po posledním dni této doby vypořádá se státním rozpočtem, kapitolou Státní dluh. Účty ministerstva pro řízení likvidity státní pokladny a pro řízení státního dluhu včetně účtů zřízených v bankách nebo v bankách v zahraničí vedené v jednotné evropské měně, případně v dalších měnách mohou dále zprostředkovávat </w:t>
      </w:r>
      <w:proofErr w:type="spellStart"/>
      <w:r w:rsidRPr="009B1ABF">
        <w:t>cizoměnové</w:t>
      </w:r>
      <w:proofErr w:type="spellEnd"/>
      <w:r w:rsidRPr="009B1ABF">
        <w:t xml:space="preserve"> platby ze státního rozpočtu a do něj.</w:t>
      </w:r>
    </w:p>
    <w:p w14:paraId="72B21944" w14:textId="77777777" w:rsidR="00681D7E" w:rsidRPr="009B1ABF" w:rsidRDefault="00681D7E" w:rsidP="00992796">
      <w:pPr>
        <w:numPr>
          <w:ilvl w:val="0"/>
          <w:numId w:val="39"/>
        </w:numPr>
        <w:spacing w:after="120"/>
        <w:jc w:val="center"/>
        <w:outlineLvl w:val="5"/>
      </w:pPr>
      <w:r w:rsidRPr="009B1ABF">
        <w:t>***</w:t>
      </w:r>
    </w:p>
    <w:p w14:paraId="3580344C" w14:textId="77777777" w:rsidR="00681D7E" w:rsidRPr="009B1ABF" w:rsidRDefault="00681D7E" w:rsidP="00992796">
      <w:pPr>
        <w:numPr>
          <w:ilvl w:val="0"/>
          <w:numId w:val="39"/>
        </w:numPr>
        <w:spacing w:after="120"/>
        <w:jc w:val="center"/>
        <w:outlineLvl w:val="5"/>
      </w:pPr>
      <w:r w:rsidRPr="009B1ABF">
        <w:t>§ 36</w:t>
      </w:r>
    </w:p>
    <w:p w14:paraId="12632559" w14:textId="77777777" w:rsidR="00681D7E" w:rsidRPr="009B1ABF" w:rsidRDefault="00681D7E" w:rsidP="003866FF">
      <w:pPr>
        <w:tabs>
          <w:tab w:val="left" w:pos="851"/>
        </w:tabs>
        <w:spacing w:before="120" w:after="120"/>
        <w:outlineLvl w:val="6"/>
      </w:pPr>
      <w:r w:rsidRPr="009B1ABF">
        <w:t>(1) Ministerstvo vykonává správu státních finančních aktiv a pasiv.</w:t>
      </w:r>
    </w:p>
    <w:p w14:paraId="009C83BA" w14:textId="77777777" w:rsidR="00681D7E" w:rsidRPr="009B1ABF" w:rsidRDefault="00681D7E" w:rsidP="003866FF">
      <w:pPr>
        <w:tabs>
          <w:tab w:val="left" w:pos="851"/>
        </w:tabs>
        <w:spacing w:before="120" w:after="120"/>
        <w:outlineLvl w:val="6"/>
      </w:pPr>
      <w:r w:rsidRPr="009B1ABF">
        <w:t>(2) Státními finančními aktivy jsou</w:t>
      </w:r>
    </w:p>
    <w:p w14:paraId="0F76397C" w14:textId="77777777" w:rsidR="00681D7E" w:rsidRPr="009B1ABF" w:rsidRDefault="00681D7E" w:rsidP="00C50555">
      <w:pPr>
        <w:tabs>
          <w:tab w:val="left" w:pos="708"/>
        </w:tabs>
        <w:spacing w:before="0"/>
        <w:ind w:left="425" w:hanging="425"/>
        <w:outlineLvl w:val="7"/>
      </w:pPr>
      <w:r w:rsidRPr="009B1ABF">
        <w:t xml:space="preserve">a) </w:t>
      </w:r>
      <w:r>
        <w:tab/>
      </w:r>
      <w:r w:rsidRPr="009B1ABF">
        <w:t>peněžní prostředky převedené z výsledků rozpočtového hospodaření minulých let na základě rozhodnutí Poslanecké sněmovny a další peněžní prostředky, o kterých tak rozhodla vláda nebo Poslanecká sněmovna, nebo peněžní prostředky stanovené zvláštním právním předpisem</w:t>
      </w:r>
      <w:r>
        <w:rPr>
          <w:rStyle w:val="Znakapoznpodarou"/>
        </w:rPr>
        <w:footnoteReference w:customMarkFollows="1" w:id="340"/>
        <w:t>21)</w:t>
      </w:r>
      <w:r w:rsidRPr="009B1ABF">
        <w:t>,</w:t>
      </w:r>
    </w:p>
    <w:p w14:paraId="45880564" w14:textId="77777777" w:rsidR="00681D7E" w:rsidRPr="009B1ABF" w:rsidRDefault="00681D7E" w:rsidP="00C50555">
      <w:pPr>
        <w:tabs>
          <w:tab w:val="left" w:pos="708"/>
        </w:tabs>
        <w:spacing w:before="0"/>
        <w:ind w:left="425" w:hanging="425"/>
        <w:outlineLvl w:val="7"/>
      </w:pPr>
      <w:r w:rsidRPr="009B1ABF">
        <w:t xml:space="preserve">b) </w:t>
      </w:r>
      <w:r>
        <w:tab/>
      </w:r>
      <w:r w:rsidRPr="009B1ABF">
        <w:t>majetkové účasti státu v obchodních společnostech a cenné papíry, jejichž majitelem je stát a se kterými není příslušný hospodařit některý správce kapitoly,</w:t>
      </w:r>
    </w:p>
    <w:p w14:paraId="0E43AD47" w14:textId="77777777" w:rsidR="00681D7E" w:rsidRPr="009B1ABF" w:rsidRDefault="00681D7E" w:rsidP="00C50555">
      <w:pPr>
        <w:tabs>
          <w:tab w:val="left" w:pos="708"/>
        </w:tabs>
        <w:spacing w:before="0"/>
        <w:ind w:left="425" w:hanging="425"/>
        <w:outlineLvl w:val="7"/>
      </w:pPr>
      <w:r w:rsidRPr="009B1ABF">
        <w:t xml:space="preserve">c) </w:t>
      </w:r>
      <w:r>
        <w:tab/>
      </w:r>
      <w:r w:rsidRPr="009B1ABF">
        <w:t>pohledávky státu z úvěrů a návratných finančních výpomocí poskytnutých ze státních finančních aktiv, jakož i pohledávky ze státních záruk realizovaných ze státních finančních aktiv a pohledávky státu, které mu postoupily jiné subjekty,</w:t>
      </w:r>
    </w:p>
    <w:p w14:paraId="555B33CA" w14:textId="77777777" w:rsidR="00681D7E" w:rsidRPr="009B1ABF" w:rsidRDefault="00681D7E" w:rsidP="00C50555">
      <w:pPr>
        <w:tabs>
          <w:tab w:val="left" w:pos="708"/>
        </w:tabs>
        <w:spacing w:before="0"/>
        <w:ind w:left="425" w:hanging="425"/>
        <w:outlineLvl w:val="7"/>
      </w:pPr>
      <w:r w:rsidRPr="009B1ABF">
        <w:t xml:space="preserve">d) </w:t>
      </w:r>
      <w:r>
        <w:tab/>
      </w:r>
      <w:r w:rsidRPr="009B1ABF">
        <w:t>jiné pohledávky ministerstva mimo běžné hospodaření.</w:t>
      </w:r>
    </w:p>
    <w:p w14:paraId="26DEB2A9" w14:textId="77777777" w:rsidR="00681D7E" w:rsidRPr="009B1ABF" w:rsidRDefault="00681D7E" w:rsidP="003866FF">
      <w:pPr>
        <w:tabs>
          <w:tab w:val="left" w:pos="851"/>
        </w:tabs>
        <w:spacing w:before="120" w:after="120"/>
        <w:outlineLvl w:val="6"/>
        <w:rPr>
          <w:strike/>
        </w:rPr>
      </w:pPr>
      <w:r w:rsidRPr="009B1ABF">
        <w:rPr>
          <w:strike/>
        </w:rPr>
        <w:t xml:space="preserve">(3) Součástí státních finančních aktiv je zvláštní účet rezervy důchodového pojištění, na který </w:t>
      </w:r>
      <w:r w:rsidRPr="00814221">
        <w:t>ministerstvo</w:t>
      </w:r>
      <w:r w:rsidRPr="009B1ABF">
        <w:rPr>
          <w:strike/>
        </w:rPr>
        <w:t xml:space="preserve"> za každý rok, ve kterém byly příjmy pojistného na důchodové pojištění včetně příjmů z penále a pokut připadajících na důchodové pojištění vyšší než výdaje na dávky důchodového pojištění včetně výdajů spojených s výběrem pojistného na důchodové pojištění a výplatou dávek důchodového pojištění, převádí ze státního rozpočtu částku ve výši rozdílu těchto příjmů a výdajů. Ministerstvo stanoví způsob výpočtu rozdílu těchto příjmů a výdajů vyhláškou. Příjmy tohoto účtu tvoří i peněžní prostředky poukázané na něj na návrh vlády po schválení Poslaneckou sněmovnou nebo podle zvláštních právních předpisů. Prostředky tohoto účtu lze použít pouze na výdaje na dávky důchodového pojištění a na převody zpět do státního rozpočtu na úhradu záporného rozdílu těchto příjmů a výdajů. Ministerstvo je oprávněno dočasně volné prostředky vedené na tomto účtu ukládat do bank nebo investovat do státních </w:t>
      </w:r>
      <w:r w:rsidRPr="009B1ABF">
        <w:rPr>
          <w:strike/>
        </w:rPr>
        <w:lastRenderedPageBreak/>
        <w:t>dluhopisů a do dluhopisů České národní banky, jakož i do dluhopisů vydaných členskými státy Organizace pro hospodářskou spolupráci a rozvoj, a dluhopisů vydaných centrálními bankami těchto států nebo Evropskou centrální bankou. Pro investování prostředků účtu se použije ustanovení § 35 odst. 1 a § 35 odst. 2 obdobně. Výnosy z investování jsou příjmem tohoto účtu. Zprávy o hospodaření s peněžními prostředky účtu jsou součástí státního závěrečného účtu.</w:t>
      </w:r>
    </w:p>
    <w:p w14:paraId="4878D4E9" w14:textId="77777777" w:rsidR="00681D7E" w:rsidRPr="009B1ABF" w:rsidRDefault="00681D7E" w:rsidP="003866FF">
      <w:pPr>
        <w:tabs>
          <w:tab w:val="left" w:pos="851"/>
        </w:tabs>
        <w:spacing w:before="120" w:after="120"/>
        <w:outlineLvl w:val="6"/>
      </w:pPr>
      <w:proofErr w:type="gramStart"/>
      <w:r w:rsidRPr="009B1ABF">
        <w:rPr>
          <w:strike/>
        </w:rPr>
        <w:t>(4)</w:t>
      </w:r>
      <w:r w:rsidRPr="009B1ABF">
        <w:rPr>
          <w:b/>
        </w:rPr>
        <w:t>(3)</w:t>
      </w:r>
      <w:r w:rsidRPr="009B1ABF">
        <w:t xml:space="preserve"> Pohledávky</w:t>
      </w:r>
      <w:proofErr w:type="gramEnd"/>
      <w:r w:rsidRPr="009B1ABF">
        <w:t xml:space="preserve"> z poskytnutých návratných finančních výpomocí, majetkové účasti státu v obchodních společnostech a cenné papíry, jejichž majitelem je stát a se kterými jsou příslušní hospodařit správci kapitol, nejsou součástí státních finančních aktiv a ministerstvo má povinnost je evidovat mimo státní finanční aktiva. Termíny pro předání údajů o stavu tohoto finančního majetku, jejich rozsah a strukturu stanoví ministerstvo vyhláškou.</w:t>
      </w:r>
    </w:p>
    <w:p w14:paraId="5E8CCE7A" w14:textId="77777777" w:rsidR="00681D7E" w:rsidRPr="009B1ABF" w:rsidRDefault="00681D7E" w:rsidP="003866FF">
      <w:pPr>
        <w:tabs>
          <w:tab w:val="left" w:pos="851"/>
        </w:tabs>
        <w:spacing w:before="120" w:after="120"/>
        <w:outlineLvl w:val="6"/>
      </w:pPr>
      <w:proofErr w:type="gramStart"/>
      <w:r w:rsidRPr="009B1ABF">
        <w:rPr>
          <w:strike/>
        </w:rPr>
        <w:t>(5)</w:t>
      </w:r>
      <w:r w:rsidRPr="009B1ABF">
        <w:rPr>
          <w:b/>
        </w:rPr>
        <w:t>(4)</w:t>
      </w:r>
      <w:r w:rsidRPr="009B1ABF">
        <w:t xml:space="preserve"> O použití</w:t>
      </w:r>
      <w:proofErr w:type="gramEnd"/>
      <w:r w:rsidRPr="009B1ABF">
        <w:t xml:space="preserve"> státních finančních aktiv rozhoduje vláda nebo na základě jejího zmocnění ministr financí. To platí i pro poskytnutí dotace nebo návratné finanční výpomoci ze státních finančních aktiv. Na poskytnutí dotace a návratné finanční výpomoci ze státních finančních aktiv a jejich odnětí se § 14 až 15 s výjimkou § 14j použijí obdobně.</w:t>
      </w:r>
    </w:p>
    <w:p w14:paraId="5ADA045F" w14:textId="77777777" w:rsidR="00681D7E" w:rsidRPr="009B1ABF" w:rsidRDefault="00681D7E" w:rsidP="003866FF">
      <w:pPr>
        <w:tabs>
          <w:tab w:val="left" w:pos="851"/>
        </w:tabs>
        <w:spacing w:before="120" w:after="120"/>
        <w:outlineLvl w:val="6"/>
      </w:pPr>
      <w:proofErr w:type="gramStart"/>
      <w:r w:rsidRPr="009B1ABF">
        <w:rPr>
          <w:strike/>
        </w:rPr>
        <w:t>(6)</w:t>
      </w:r>
      <w:r w:rsidRPr="009B1ABF">
        <w:rPr>
          <w:b/>
        </w:rPr>
        <w:t>(5)</w:t>
      </w:r>
      <w:r w:rsidRPr="009B1ABF">
        <w:t xml:space="preserve"> Ministerstvo</w:t>
      </w:r>
      <w:proofErr w:type="gramEnd"/>
      <w:r w:rsidRPr="009B1ABF">
        <w:t xml:space="preserve"> je v rámci výkonu řízení státních finančních aktiv a v rámci výkonu řízení účtů vedených na základě zvláštního právního předpisu mimo státní rozpočet a státní finanční aktiva21a) oprávněno nabývat, zcizovat a právně zatěžovat státní dluhopisy a nabývat a zcizovat dluhopisy vydávané Českou národní bankou. Ministerstvo je v rámci výkonu řízení státních finančních aktiv a v rámci výkonu řízení účtů vedených na základě zvláštního právního předpisu mimo státní rozpočet a státní finanční aktiva21a) dále oprávněno sjednávat obchody s ostatními investičními nástroji včetně derivátů k omezení úrokových a měnových či jiných rizik. Tyto obchody je ministerstvo oprávněno sjednávat s tuzemskými či zahraničními osobami, a to samostatně nebo na smluvním základě s využitím služeb obchodníků s cennými papíry, zahraničních obchodníků s cennými papíry nebo České národní banky.</w:t>
      </w:r>
    </w:p>
    <w:p w14:paraId="78E6997C" w14:textId="77777777" w:rsidR="00681D7E" w:rsidRPr="009B1ABF" w:rsidRDefault="00681D7E" w:rsidP="003866FF">
      <w:pPr>
        <w:tabs>
          <w:tab w:val="left" w:pos="851"/>
        </w:tabs>
        <w:spacing w:before="120" w:after="120"/>
        <w:outlineLvl w:val="6"/>
      </w:pPr>
      <w:r>
        <w:t xml:space="preserve"> </w:t>
      </w:r>
      <w:proofErr w:type="gramStart"/>
      <w:r w:rsidRPr="009B1ABF">
        <w:rPr>
          <w:strike/>
        </w:rPr>
        <w:t>(7)</w:t>
      </w:r>
      <w:r w:rsidRPr="009B1ABF">
        <w:rPr>
          <w:b/>
        </w:rPr>
        <w:t>(6)</w:t>
      </w:r>
      <w:r w:rsidRPr="009B1ABF">
        <w:t xml:space="preserve"> Státními</w:t>
      </w:r>
      <w:proofErr w:type="gramEnd"/>
      <w:r w:rsidRPr="009B1ABF">
        <w:t xml:space="preserve"> finančními pasivy jsou</w:t>
      </w:r>
    </w:p>
    <w:p w14:paraId="75B12D73" w14:textId="0F5632E2" w:rsidR="00681D7E" w:rsidRPr="009B1ABF" w:rsidRDefault="00681D7E" w:rsidP="00C50555">
      <w:pPr>
        <w:tabs>
          <w:tab w:val="left" w:pos="708"/>
        </w:tabs>
        <w:spacing w:before="0"/>
        <w:ind w:left="425" w:hanging="425"/>
        <w:outlineLvl w:val="7"/>
      </w:pPr>
      <w:r w:rsidRPr="009B1ABF">
        <w:t xml:space="preserve">a) </w:t>
      </w:r>
      <w:r>
        <w:tab/>
      </w:r>
      <w:r w:rsidRPr="009B1ABF">
        <w:t>dluhy státu odpovídající jmenovitým hodnotám jím vydaných dluhopisů; do státních finančních pasiv však nevstupují dluhy státu z dluhopisů, které byly při jejich vydání zapsány nejprve na majetkový účet státu jako jejich emitenta v příslušné evidenci, po dobu, co jsou na tomto účtu zapsány, jakož i vlastní dluhopisy nabyté státem jako jejich emitentem před datem jejich splatnosti, vlastní dluhopisy poskytnuté státem jako jejich emitentem v rámci zápůjček poskytnutých v cenných papírech a vlastní dluhopisy, které jsou předmětem finančního zajištění nebo srovnatelného zajištění podle práva cizího státu,</w:t>
      </w:r>
    </w:p>
    <w:p w14:paraId="29298852" w14:textId="77777777" w:rsidR="00681D7E" w:rsidRPr="009B1ABF" w:rsidRDefault="00681D7E" w:rsidP="00C50555">
      <w:pPr>
        <w:tabs>
          <w:tab w:val="left" w:pos="708"/>
        </w:tabs>
        <w:spacing w:before="0"/>
        <w:ind w:left="425" w:hanging="425"/>
        <w:outlineLvl w:val="7"/>
      </w:pPr>
      <w:r w:rsidRPr="009B1ABF">
        <w:t xml:space="preserve">b) </w:t>
      </w:r>
      <w:r>
        <w:tab/>
      </w:r>
      <w:r w:rsidRPr="009B1ABF">
        <w:t>dluhy státu odpovídající původní výši jmenovité hodnoty dříve vydaných státních dluhopisů po datu jejich splatnosti nebo po datu, ke kterému vlastník státních dluhopisů požádal o jejich splacení před stanoveným datem splatnosti v souladu s příslušnými emisními podmínkami a způsobem těmto emisním podmínkám odpovídajícím, a to maximálně po dobu, než dojde k promlčení práva spojeného s dluhopisy ve lhůtě stanovené zvláštními právními předpisy platnými v době, kdy mohlo být právo uplatněno poprvé,</w:t>
      </w:r>
    </w:p>
    <w:p w14:paraId="395F68DD" w14:textId="77777777" w:rsidR="00681D7E" w:rsidRPr="009B1ABF" w:rsidRDefault="00681D7E" w:rsidP="00C50555">
      <w:pPr>
        <w:tabs>
          <w:tab w:val="left" w:pos="708"/>
        </w:tabs>
        <w:spacing w:before="0"/>
        <w:ind w:left="425" w:hanging="425"/>
        <w:outlineLvl w:val="7"/>
      </w:pPr>
      <w:r w:rsidRPr="009B1ABF">
        <w:t xml:space="preserve">c) </w:t>
      </w:r>
      <w:r>
        <w:tab/>
      </w:r>
      <w:r w:rsidRPr="009B1ABF">
        <w:t>dluhy ze státem přijatých zápůjček a úvěrů,</w:t>
      </w:r>
    </w:p>
    <w:p w14:paraId="1C46AD2B" w14:textId="77777777" w:rsidR="00681D7E" w:rsidRPr="009B1ABF" w:rsidRDefault="00681D7E" w:rsidP="00C50555">
      <w:pPr>
        <w:tabs>
          <w:tab w:val="left" w:pos="708"/>
        </w:tabs>
        <w:spacing w:before="0"/>
        <w:ind w:left="425" w:hanging="425"/>
        <w:outlineLvl w:val="7"/>
      </w:pPr>
      <w:r w:rsidRPr="009B1ABF">
        <w:t xml:space="preserve">d) </w:t>
      </w:r>
      <w:r>
        <w:tab/>
      </w:r>
      <w:r w:rsidRPr="009B1ABF">
        <w:t>dluhy ze státem vystavených směnek,</w:t>
      </w:r>
    </w:p>
    <w:p w14:paraId="5E6E1E04" w14:textId="77777777" w:rsidR="00681D7E" w:rsidRPr="009B1ABF" w:rsidRDefault="00681D7E" w:rsidP="00C50555">
      <w:pPr>
        <w:tabs>
          <w:tab w:val="left" w:pos="708"/>
        </w:tabs>
        <w:spacing w:before="0"/>
        <w:ind w:left="425" w:hanging="425"/>
        <w:outlineLvl w:val="7"/>
      </w:pPr>
      <w:r w:rsidRPr="009B1ABF">
        <w:t xml:space="preserve">e) </w:t>
      </w:r>
      <w:r>
        <w:tab/>
      </w:r>
      <w:r w:rsidRPr="009B1ABF">
        <w:t>dluhy z nesplacené části upsaného kapitálu majetkových účastí evidovaných ve státních finančních aktivech.</w:t>
      </w:r>
    </w:p>
    <w:p w14:paraId="41825FA9" w14:textId="77777777" w:rsidR="00681D7E" w:rsidRPr="009B1ABF" w:rsidRDefault="00681D7E" w:rsidP="003866FF">
      <w:pPr>
        <w:tabs>
          <w:tab w:val="left" w:pos="851"/>
        </w:tabs>
        <w:spacing w:before="120" w:after="120"/>
        <w:outlineLvl w:val="6"/>
      </w:pPr>
      <w:proofErr w:type="gramStart"/>
      <w:r w:rsidRPr="009B1ABF">
        <w:rPr>
          <w:strike/>
        </w:rPr>
        <w:t>(8)</w:t>
      </w:r>
      <w:r w:rsidRPr="009B1ABF">
        <w:rPr>
          <w:b/>
        </w:rPr>
        <w:t>(7)</w:t>
      </w:r>
      <w:r w:rsidRPr="009B1ABF">
        <w:t xml:space="preserve"> Státní</w:t>
      </w:r>
      <w:proofErr w:type="gramEnd"/>
      <w:r w:rsidRPr="009B1ABF">
        <w:t xml:space="preserve"> dluh tvoří státní finanční pasiva uvedená v odstavci 7 písm. a) až d) zohledňující jmenovité hodnoty nebo jistiny derivátů. Státní dluh v cizí měně se oceňuje kurzem vyhlášeným Českou národní bankou pro daný výkazní den, avšak s výjimkou státního dluhu, s </w:t>
      </w:r>
      <w:r w:rsidRPr="009B1ABF">
        <w:lastRenderedPageBreak/>
        <w:t>nímž souvisí úhrada jmenovité hodnoty nebo jistiny finančních derivátů, kdy korunová hodnota tohoto dluhu musí odpovídat smluvnímu měnovému kurzu.</w:t>
      </w:r>
    </w:p>
    <w:p w14:paraId="419CB8ED" w14:textId="5ED017F0" w:rsidR="00681D7E" w:rsidRPr="009B1ABF" w:rsidRDefault="00681D7E" w:rsidP="003866FF">
      <w:pPr>
        <w:tabs>
          <w:tab w:val="left" w:pos="851"/>
        </w:tabs>
        <w:spacing w:before="120" w:after="120"/>
        <w:outlineLvl w:val="6"/>
      </w:pPr>
      <w:proofErr w:type="gramStart"/>
      <w:r w:rsidRPr="009B1ABF">
        <w:rPr>
          <w:strike/>
        </w:rPr>
        <w:t>(9)</w:t>
      </w:r>
      <w:r w:rsidRPr="009B1ABF">
        <w:rPr>
          <w:b/>
        </w:rPr>
        <w:t>(8)</w:t>
      </w:r>
      <w:r w:rsidRPr="009B1ABF">
        <w:t xml:space="preserve"> Ministerstvo</w:t>
      </w:r>
      <w:proofErr w:type="gramEnd"/>
      <w:r w:rsidRPr="009B1ABF">
        <w:t xml:space="preserve"> sděluje Národní rozpočtové radě výši rezervy peněžních prostředků při financování státního dluhu, která se vyjádřená jako procentní podíl na hrubém domácím produktu odečítá od výše dluhu sektoru veřejných institucí.</w:t>
      </w:r>
    </w:p>
    <w:p w14:paraId="346F3078" w14:textId="75C55EDE" w:rsidR="00681D7E" w:rsidRPr="009B1ABF" w:rsidRDefault="00681D7E" w:rsidP="003866FF">
      <w:pPr>
        <w:tabs>
          <w:tab w:val="left" w:pos="851"/>
        </w:tabs>
        <w:spacing w:before="120" w:after="120"/>
        <w:outlineLvl w:val="6"/>
        <w:rPr>
          <w:strike/>
        </w:rPr>
      </w:pPr>
      <w:r w:rsidRPr="009B1ABF">
        <w:rPr>
          <w:strike/>
        </w:rPr>
        <w:t>(</w:t>
      </w:r>
      <w:proofErr w:type="gramStart"/>
      <w:r w:rsidRPr="009B1ABF">
        <w:rPr>
          <w:strike/>
        </w:rPr>
        <w:t>10)</w:t>
      </w:r>
      <w:r w:rsidRPr="009B1ABF">
        <w:rPr>
          <w:b/>
          <w:strike/>
        </w:rPr>
        <w:t>(9)</w:t>
      </w:r>
      <w:r w:rsidRPr="009B1ABF">
        <w:rPr>
          <w:strike/>
        </w:rPr>
        <w:t xml:space="preserve"> Vláda</w:t>
      </w:r>
      <w:proofErr w:type="gramEnd"/>
      <w:r w:rsidRPr="009B1ABF">
        <w:rPr>
          <w:strike/>
        </w:rPr>
        <w:t xml:space="preserve"> předkládá Poslanecké sněmovně zprávu o očekávaném vývoji státních finančních aktiv a pasiv spolu s návrhem zákona o státním rozpočtu.</w:t>
      </w:r>
    </w:p>
    <w:p w14:paraId="28A3334D" w14:textId="77777777" w:rsidR="00681D7E" w:rsidRPr="009B1ABF" w:rsidRDefault="00681D7E" w:rsidP="003866FF">
      <w:pPr>
        <w:keepNext/>
        <w:keepLines/>
        <w:numPr>
          <w:ilvl w:val="0"/>
          <w:numId w:val="39"/>
        </w:numPr>
        <w:spacing w:after="120"/>
        <w:jc w:val="center"/>
        <w:outlineLvl w:val="5"/>
      </w:pPr>
      <w:r w:rsidRPr="009B1ABF">
        <w:t>***</w:t>
      </w:r>
    </w:p>
    <w:p w14:paraId="17F3E44C" w14:textId="77777777" w:rsidR="00681D7E" w:rsidRPr="009B1ABF" w:rsidRDefault="00681D7E" w:rsidP="003866FF">
      <w:pPr>
        <w:keepNext/>
        <w:keepLines/>
        <w:numPr>
          <w:ilvl w:val="0"/>
          <w:numId w:val="60"/>
        </w:numPr>
        <w:spacing w:after="120"/>
        <w:jc w:val="center"/>
        <w:outlineLvl w:val="5"/>
        <w:rPr>
          <w:b/>
        </w:rPr>
      </w:pPr>
      <w:r w:rsidRPr="009B1ABF">
        <w:rPr>
          <w:b/>
        </w:rPr>
        <w:t>Hospodaření organizačních složek státu</w:t>
      </w:r>
    </w:p>
    <w:p w14:paraId="0289EA7D" w14:textId="77777777" w:rsidR="00681D7E" w:rsidRPr="009B1ABF" w:rsidRDefault="00681D7E" w:rsidP="003866FF">
      <w:pPr>
        <w:keepNext/>
        <w:keepLines/>
        <w:numPr>
          <w:ilvl w:val="0"/>
          <w:numId w:val="39"/>
        </w:numPr>
        <w:spacing w:after="120"/>
        <w:jc w:val="center"/>
        <w:outlineLvl w:val="5"/>
      </w:pPr>
      <w:r w:rsidRPr="009B1ABF">
        <w:t>§ 45</w:t>
      </w:r>
    </w:p>
    <w:p w14:paraId="7FF57DB2" w14:textId="77777777" w:rsidR="00681D7E" w:rsidRPr="009B1ABF" w:rsidRDefault="00681D7E" w:rsidP="003866FF">
      <w:pPr>
        <w:keepNext/>
        <w:keepLines/>
        <w:tabs>
          <w:tab w:val="left" w:pos="851"/>
        </w:tabs>
        <w:spacing w:before="120" w:after="120"/>
        <w:outlineLvl w:val="6"/>
      </w:pPr>
      <w:r w:rsidRPr="009B1ABF">
        <w:t>(1) Organizační složka státu hospodaří s prostředky státního rozpočtu, které jí stanoví správce kapitoly v rámci rozpočtu kapitoly, pokud zvláštní právní předpis nestanoví jinak, minimálně v rozsahu členění závazných ukazatelů daných zákonem o státním rozpočtu. Její příjmy jsou příjmy státního rozpočtu a výdaje jsou výdaji státního rozpočtu, nestanoví-li tento zákon nebo zákon o použití peněžních prostředků z majetkových trestních sankcí jinak. Rozpočet organizační složky státu může zahrnovat pouze příjmy a výdaje související s činnostmi vymezenými ve zřizovací listině nebo příjmy a výdaje související s činnostmi stanovenými jí zákonem.</w:t>
      </w:r>
    </w:p>
    <w:p w14:paraId="07E41007" w14:textId="77777777" w:rsidR="00681D7E" w:rsidRPr="009B1ABF" w:rsidRDefault="00681D7E" w:rsidP="003866FF">
      <w:pPr>
        <w:tabs>
          <w:tab w:val="left" w:pos="851"/>
        </w:tabs>
        <w:spacing w:before="120" w:after="120"/>
        <w:outlineLvl w:val="6"/>
      </w:pPr>
      <w:r w:rsidRPr="009B1ABF">
        <w:t>(2) Organizační složka státu je povinna dbát, aby dosahovala příjmů stanovených rozpočtem a plnila určené úkoly nejhospodárnějším způsobem. Prostředky, kterými disponuje, může používat na krytí nezbytných potřeb a na opatření zakládající se na právních předpisech. Prostředky může čerpat jen do výše závazných ukazatelů stanovených jí zákonem o státním rozpočtu nebo správcem kapitoly v rámci rozpočtu kapitoly a v souladu s věcným plněním, nestanoví-li tento zákon jinak (§ 24, 25 a 47).</w:t>
      </w:r>
    </w:p>
    <w:p w14:paraId="53479869" w14:textId="77777777" w:rsidR="00681D7E" w:rsidRPr="009B1ABF" w:rsidRDefault="00681D7E" w:rsidP="003866FF">
      <w:pPr>
        <w:tabs>
          <w:tab w:val="left" w:pos="851"/>
        </w:tabs>
        <w:spacing w:before="120" w:after="120"/>
        <w:outlineLvl w:val="6"/>
      </w:pPr>
      <w:r w:rsidRPr="009B1ABF">
        <w:t>(3) Organizační složka státu dále hospodaří s mimorozpočtovými zdroji, kterými jsou prostředky fondů organizační složky státu, zisk získaný hospodářskou činností vykonávanou na základě zvláštního zákona, peněžité dary a prostředky poskytnuté ze zahraničí podle jejich vymezení na základě právního aktu, kterým byly poskytnuty a prostředky zvláštních účtů k financování obměn a záměn státních hmotných rezerv podle zvláštního předpisu</w:t>
      </w:r>
      <w:r w:rsidRPr="009B1ABF">
        <w:rPr>
          <w:vertAlign w:val="superscript"/>
        </w:rPr>
        <w:footnoteReference w:customMarkFollows="1" w:id="341"/>
        <w:t>24b)</w:t>
      </w:r>
      <w:r w:rsidRPr="009B1ABF">
        <w:t>. Mimorozpočtové zdroje, s výjimkou prostředků fondu kulturních a sociálních potřeb určených na jiné účely než na financování reprodukce dlouhodobého hmotného majetku,</w:t>
      </w:r>
      <w:r w:rsidRPr="009B1ABF">
        <w:rPr>
          <w:b/>
        </w:rPr>
        <w:t xml:space="preserve"> se kterým hospodaří organizační složka státu,</w:t>
      </w:r>
      <w:r w:rsidRPr="009B1ABF">
        <w:t xml:space="preserve"> se používají prostřednictvím rozpočtu. Prostředky fondu kulturních a sociálních potřeb určené na jiné účely než na financování reprodukce dlouhodobého hmotného majetku</w:t>
      </w:r>
      <w:r w:rsidRPr="009B1ABF">
        <w:rPr>
          <w:b/>
        </w:rPr>
        <w:t>, se kterým hospodaří organizační složka státu,</w:t>
      </w:r>
      <w:r w:rsidRPr="009B1ABF">
        <w:rPr>
          <w:color w:val="FF0000"/>
        </w:rPr>
        <w:t xml:space="preserve"> </w:t>
      </w:r>
      <w:r w:rsidRPr="009B1ABF">
        <w:t>se používají přímo; přímo se používají i prostředky zvláštních účtů k účelům stanoveným zákonem upravujícím činnost Správy státních hmotných rezerv.</w:t>
      </w:r>
    </w:p>
    <w:p w14:paraId="7CAED300" w14:textId="77777777" w:rsidR="00681D7E" w:rsidRPr="009B1ABF" w:rsidRDefault="00681D7E" w:rsidP="003866FF">
      <w:pPr>
        <w:tabs>
          <w:tab w:val="left" w:pos="851"/>
        </w:tabs>
        <w:spacing w:before="120" w:after="120"/>
        <w:outlineLvl w:val="6"/>
      </w:pPr>
      <w:r w:rsidRPr="009B1ABF">
        <w:t>(4) Organizační složka státu sestavuje rozpočet příjmů a výdajů v členění podle rozpočtové skladby. Veškeré rozpočtové příjmy dosažené v rámci svého hospodaření soustřeďuje na svém příjmovém účtu státního rozpočtu a uhrazuje všechny rozpočtové výdaje ze svého výdajového účtu státního rozpočtu. Zůstatky těchto účtů Česká národní banka uspořádá vždy ke dni 31. prosince tak, aby výsledný zůstatek těchto účtů byl nulový.</w:t>
      </w:r>
    </w:p>
    <w:p w14:paraId="59E1A58D" w14:textId="77777777" w:rsidR="00681D7E" w:rsidRPr="009B1ABF" w:rsidRDefault="00681D7E" w:rsidP="003866FF">
      <w:pPr>
        <w:tabs>
          <w:tab w:val="left" w:pos="851"/>
        </w:tabs>
        <w:spacing w:before="120" w:after="120"/>
        <w:outlineLvl w:val="6"/>
      </w:pPr>
      <w:r w:rsidRPr="009B1ABF">
        <w:lastRenderedPageBreak/>
        <w:t>(5) Každá organizační složka státu zřídí u České národní banky jeden příjmový a jeden výdajový účet státního rozpočtu. Výjimku z důvodu složité vnitřní organizační struktury organizační složky státu může povolit ministerstvo. Ministerstvo může zřídit jeden příjmový a jeden výdajový účet státního rozpočtu pro každou kapitolu, jejímž je správcem.</w:t>
      </w:r>
    </w:p>
    <w:p w14:paraId="40990A7C" w14:textId="77777777" w:rsidR="00681D7E" w:rsidRPr="009B1ABF" w:rsidRDefault="00681D7E" w:rsidP="003866FF">
      <w:pPr>
        <w:tabs>
          <w:tab w:val="left" w:pos="851"/>
        </w:tabs>
        <w:spacing w:before="120" w:after="120"/>
        <w:outlineLvl w:val="6"/>
      </w:pPr>
      <w:r w:rsidRPr="009B1ABF">
        <w:t xml:space="preserve">(6) Organizační složka státu zřizuje účty fondů tvořených podle tohoto zákona, účet cizích prostředků, účet sdružených prostředků, a účty, o kterých to stanoví zvláštní právní předpis nebo z povahy příjmů a výdajů dané právním předpisem vyplývá, že nejsou součástí příjmů nebo výdajů státního </w:t>
      </w:r>
      <w:proofErr w:type="gramStart"/>
      <w:r w:rsidRPr="009B1ABF">
        <w:t>rozpočtu.</w:t>
      </w:r>
      <w:r w:rsidRPr="009B1ABF">
        <w:rPr>
          <w:vertAlign w:val="superscript"/>
        </w:rPr>
        <w:footnoteReference w:customMarkFollows="1" w:id="342"/>
        <w:t>25</w:t>
      </w:r>
      <w:proofErr w:type="gramEnd"/>
      <w:r w:rsidRPr="009B1ABF">
        <w:rPr>
          <w:vertAlign w:val="superscript"/>
        </w:rPr>
        <w:t>)</w:t>
      </w:r>
      <w:r w:rsidRPr="009B1ABF">
        <w:t xml:space="preserve"> Ministerstvo zahraničních věcí zřizuje zvláštní účet pro vedení zálohy k zajištění financování vnitřních organizačních jednotek, které jsou zastupitelskými úřady České republiky v zahraničí.</w:t>
      </w:r>
    </w:p>
    <w:p w14:paraId="4A33FEFA" w14:textId="77777777" w:rsidR="00681D7E" w:rsidRPr="009B1ABF" w:rsidRDefault="00681D7E" w:rsidP="003866FF">
      <w:pPr>
        <w:tabs>
          <w:tab w:val="left" w:pos="851"/>
        </w:tabs>
        <w:spacing w:before="120" w:after="120"/>
        <w:outlineLvl w:val="6"/>
      </w:pPr>
      <w:r w:rsidRPr="009B1ABF">
        <w:t>(7) Organizační složka státu může po předchozím souhlasu ministerstva uděleném na základě odůvodněné žádosti zřizovat účty u bank nebo ostatních poskytovatelů platebních služeb a je povinna informovat ministerstvo do desátého dne každého měsíce o zůstatku k poslednímu dni předcházejícího měsíce a o průměrné výši prostředků za předcházející měsíc na každém z těchto účtů.</w:t>
      </w:r>
    </w:p>
    <w:p w14:paraId="47C9A50C" w14:textId="77777777" w:rsidR="00681D7E" w:rsidRPr="009B1ABF" w:rsidRDefault="00681D7E" w:rsidP="003866FF">
      <w:pPr>
        <w:tabs>
          <w:tab w:val="left" w:pos="851"/>
        </w:tabs>
        <w:spacing w:before="120" w:after="120"/>
        <w:outlineLvl w:val="6"/>
      </w:pPr>
      <w:r w:rsidRPr="009B1ABF">
        <w:t>(8) Pomine-li důvod, pro který byly účty podle odstavce 7 zřízeny, převede organizační složka státu neprodleně veškeré peněžní prostředky na svůj příjmový účet a účty neprodleně zruší. Ustanovení § 49 odst. 7 není dotčeno.</w:t>
      </w:r>
    </w:p>
    <w:p w14:paraId="1DCD8A3D" w14:textId="77777777" w:rsidR="00681D7E" w:rsidRPr="009B1ABF" w:rsidRDefault="00681D7E" w:rsidP="003866FF">
      <w:pPr>
        <w:tabs>
          <w:tab w:val="left" w:pos="851"/>
        </w:tabs>
        <w:spacing w:before="120" w:after="120"/>
        <w:outlineLvl w:val="6"/>
      </w:pPr>
      <w:r w:rsidRPr="009B1ABF">
        <w:t>(9) Zůstatky na účtech podle odstavce 6 koncem roku nepropadají.</w:t>
      </w:r>
    </w:p>
    <w:p w14:paraId="713D0792" w14:textId="77777777" w:rsidR="00681D7E" w:rsidRPr="009B1ABF" w:rsidRDefault="00681D7E" w:rsidP="003866FF">
      <w:pPr>
        <w:tabs>
          <w:tab w:val="left" w:pos="851"/>
        </w:tabs>
        <w:spacing w:before="120" w:after="120"/>
        <w:outlineLvl w:val="6"/>
      </w:pPr>
      <w:r w:rsidRPr="009B1ABF">
        <w:t>(10) Účet cizích prostředků se zřizuje pro oddělené uložení cizích peněžních prostředků, zejména pro omylem došlé peněžní prostředky, platy zaměstnanců a státních zaměstnanců organizační složky státu a s nimi související výdaje, prostředky, které správci kapitol soustřeďují v rámci finančního vypořádání od příjemců prostředků poskytnutých ze státního rozpočtu, peněžní částky pacientů a chovanců v léčebných a jiných ústavech a pro prostředky kulturních fondů obyvatel ústavů sociální péče.</w:t>
      </w:r>
    </w:p>
    <w:p w14:paraId="4D585BD5" w14:textId="77777777" w:rsidR="00681D7E" w:rsidRPr="009B1ABF" w:rsidRDefault="00681D7E" w:rsidP="003866FF">
      <w:pPr>
        <w:tabs>
          <w:tab w:val="left" w:pos="851"/>
        </w:tabs>
        <w:spacing w:before="120" w:after="120"/>
        <w:outlineLvl w:val="6"/>
      </w:pPr>
      <w:r w:rsidRPr="009B1ABF">
        <w:t>(11) Soustřeďovat příjmy na jiných účtech a uhrazovat výdaje z jiných účtů může organizační složka státu jen v případech stanovených tímto zákonem. Příjmy státního rozpočtu soustředěné na jiných než příjmových účtech je organizační složka státu povinna do 30 pracovních dnů po připsání částky na její účet, případně do 5 pracovních dnů od okamžiku, kdy je nepochybné, že prostředky mají být příjmem státního rozpočtu nebo je nepochybné, příjmem které organizační složky státu mají být, odvést do státního rozpočtu, pokud tento zákon nestanoví jinak.</w:t>
      </w:r>
    </w:p>
    <w:p w14:paraId="51C7D484" w14:textId="77777777" w:rsidR="00681D7E" w:rsidRPr="009B1ABF" w:rsidRDefault="00681D7E" w:rsidP="003866FF">
      <w:pPr>
        <w:tabs>
          <w:tab w:val="left" w:pos="851"/>
        </w:tabs>
        <w:spacing w:before="120" w:after="120"/>
        <w:outlineLvl w:val="6"/>
      </w:pPr>
      <w:r w:rsidRPr="009B1ABF">
        <w:t>(12) Organizační složka státu je oprávněna překročit závazné ukazatele výdajů státního rozpočtu podle jejich vymezení o příjmy podle zákona č. 133/1985 Sb., ve znění pozdějších předpisů, s výjimkou vybraných pokut, o prostředky přijaté z rozpočtu územního samosprávného celku, od jiné právnické osoby nebo od fyzické osoby pro účely požární ochrany, integrovaného záchranného systému a ochrany obyvatel prováděné organizačními složkami státu zřízenými zákonem o Hasičském záchranném sboru České republiky na základě právního aktu, kterým byly poskytnuty, a o prostředky přijaté ze zvláštního účtu Ministerstva spravedlnosti podle zákona o použití peněžních prostředků z majetkových trestních sankcí.</w:t>
      </w:r>
    </w:p>
    <w:p w14:paraId="7A30B97F" w14:textId="77777777" w:rsidR="00681D7E" w:rsidRPr="009B1ABF" w:rsidRDefault="00681D7E" w:rsidP="003866FF">
      <w:pPr>
        <w:tabs>
          <w:tab w:val="left" w:pos="851"/>
        </w:tabs>
        <w:spacing w:before="120" w:after="120"/>
        <w:outlineLvl w:val="6"/>
      </w:pPr>
      <w:r w:rsidRPr="009B1ABF">
        <w:t>(13) Ministerstvo zřídí účet u České národní banky, na který budou převáděny peněžní prostředky určené jako vlastní zdroje Evropské unie.</w:t>
      </w:r>
      <w:r w:rsidRPr="009B1ABF">
        <w:rPr>
          <w:vertAlign w:val="superscript"/>
        </w:rPr>
        <w:footnoteReference w:customMarkFollows="1" w:id="343"/>
        <w:t>25a)</w:t>
      </w:r>
    </w:p>
    <w:p w14:paraId="3A492C68" w14:textId="77777777" w:rsidR="00681D7E" w:rsidRPr="009B1ABF" w:rsidRDefault="00681D7E" w:rsidP="00992796">
      <w:pPr>
        <w:numPr>
          <w:ilvl w:val="0"/>
          <w:numId w:val="39"/>
        </w:numPr>
        <w:spacing w:after="120"/>
        <w:jc w:val="center"/>
        <w:outlineLvl w:val="5"/>
      </w:pPr>
      <w:r w:rsidRPr="009B1ABF">
        <w:lastRenderedPageBreak/>
        <w:t>***</w:t>
      </w:r>
    </w:p>
    <w:p w14:paraId="24396195" w14:textId="77777777" w:rsidR="00681D7E" w:rsidRPr="009B1ABF" w:rsidRDefault="00681D7E" w:rsidP="00992796">
      <w:pPr>
        <w:numPr>
          <w:ilvl w:val="0"/>
          <w:numId w:val="40"/>
        </w:numPr>
        <w:spacing w:after="120"/>
        <w:jc w:val="center"/>
        <w:outlineLvl w:val="5"/>
      </w:pPr>
      <w:r w:rsidRPr="009B1ABF">
        <w:t>§ 48</w:t>
      </w:r>
    </w:p>
    <w:p w14:paraId="486155C3" w14:textId="32E1CFF4" w:rsidR="00681D7E" w:rsidRPr="009B1ABF" w:rsidRDefault="00CC338F" w:rsidP="003866FF">
      <w:pPr>
        <w:tabs>
          <w:tab w:val="left" w:pos="851"/>
        </w:tabs>
        <w:spacing w:before="120" w:after="120"/>
        <w:outlineLvl w:val="6"/>
      </w:pPr>
      <w:r>
        <w:t xml:space="preserve">(1) </w:t>
      </w:r>
      <w:r w:rsidR="00681D7E" w:rsidRPr="009B1ABF">
        <w:t>Organizační složka státu tvoří tyto peněžní fondy:</w:t>
      </w:r>
    </w:p>
    <w:p w14:paraId="5924025D" w14:textId="77777777" w:rsidR="00681D7E" w:rsidRPr="009B1ABF" w:rsidRDefault="00681D7E" w:rsidP="00C50555">
      <w:pPr>
        <w:spacing w:before="0"/>
        <w:ind w:left="425" w:hanging="425"/>
        <w:outlineLvl w:val="7"/>
      </w:pPr>
      <w:r w:rsidRPr="009B1ABF">
        <w:t>a)</w:t>
      </w:r>
      <w:r w:rsidRPr="009B1ABF">
        <w:tab/>
        <w:t>rezervní fond,</w:t>
      </w:r>
    </w:p>
    <w:p w14:paraId="557B9289" w14:textId="77777777" w:rsidR="00681D7E" w:rsidRPr="009B1ABF" w:rsidRDefault="00681D7E" w:rsidP="00C50555">
      <w:pPr>
        <w:spacing w:before="0"/>
        <w:ind w:left="425" w:hanging="425"/>
        <w:outlineLvl w:val="7"/>
      </w:pPr>
      <w:r w:rsidRPr="009B1ABF">
        <w:t>b)</w:t>
      </w:r>
      <w:r w:rsidRPr="009B1ABF">
        <w:tab/>
        <w:t>fond kulturních a sociálních potřeb.</w:t>
      </w:r>
    </w:p>
    <w:p w14:paraId="00B16911" w14:textId="1568620F" w:rsidR="00681D7E" w:rsidRPr="009B1ABF" w:rsidRDefault="00CC338F" w:rsidP="003866FF">
      <w:pPr>
        <w:tabs>
          <w:tab w:val="left" w:pos="851"/>
        </w:tabs>
        <w:spacing w:before="120" w:after="120"/>
        <w:outlineLvl w:val="6"/>
      </w:pPr>
      <w:r>
        <w:t xml:space="preserve">(2) </w:t>
      </w:r>
      <w:r w:rsidR="00681D7E" w:rsidRPr="009B1ABF">
        <w:t>Zdrojem rezervního fondu jsou</w:t>
      </w:r>
    </w:p>
    <w:p w14:paraId="311855BE" w14:textId="77777777" w:rsidR="00681D7E" w:rsidRPr="009B1ABF" w:rsidRDefault="00681D7E" w:rsidP="00C50555">
      <w:pPr>
        <w:spacing w:before="0"/>
        <w:ind w:left="425" w:hanging="425"/>
        <w:outlineLvl w:val="7"/>
      </w:pPr>
      <w:r w:rsidRPr="009B1ABF">
        <w:t>a)</w:t>
      </w:r>
      <w:r w:rsidRPr="009B1ABF">
        <w:tab/>
        <w:t>prostředky poskytnuté ze zahraničí, prostředky poskytnuté územními samosprávnými celky a peněžní dary,</w:t>
      </w:r>
    </w:p>
    <w:p w14:paraId="0D9E2615" w14:textId="77777777" w:rsidR="00681D7E" w:rsidRPr="009B1ABF" w:rsidRDefault="00681D7E" w:rsidP="00C50555">
      <w:pPr>
        <w:spacing w:before="0"/>
        <w:ind w:left="425" w:hanging="425"/>
        <w:outlineLvl w:val="7"/>
      </w:pPr>
      <w:r w:rsidRPr="009B1ABF">
        <w:t>b)</w:t>
      </w:r>
      <w:r w:rsidRPr="009B1ABF">
        <w:tab/>
        <w:t>odvody neoprávněně použitých nebo zadržených peněžních prostředků podle § 44 odst. 2 písm. a), b), g) a h) a penále za prodlení s nimi,</w:t>
      </w:r>
    </w:p>
    <w:p w14:paraId="07279A42" w14:textId="77777777" w:rsidR="00681D7E" w:rsidRPr="009B1ABF" w:rsidRDefault="00681D7E" w:rsidP="00C50555">
      <w:pPr>
        <w:spacing w:before="0"/>
        <w:ind w:left="425" w:hanging="425"/>
        <w:outlineLvl w:val="7"/>
      </w:pPr>
      <w:r w:rsidRPr="009B1ABF">
        <w:t>c)</w:t>
      </w:r>
      <w:r w:rsidRPr="009B1ABF">
        <w:tab/>
        <w:t>příjmy z prodeje majetku, který organizační složka státu nabyla darem nebo děděním s výjimkou majetku nabytého z odúmrti,</w:t>
      </w:r>
    </w:p>
    <w:p w14:paraId="15558EAA" w14:textId="77777777" w:rsidR="00681D7E" w:rsidRPr="009B1ABF" w:rsidRDefault="00681D7E" w:rsidP="00C50555">
      <w:pPr>
        <w:spacing w:before="0"/>
        <w:ind w:left="425" w:hanging="425"/>
        <w:outlineLvl w:val="7"/>
      </w:pPr>
      <w:r w:rsidRPr="009B1ABF">
        <w:t>d)</w:t>
      </w:r>
      <w:r w:rsidRPr="009B1ABF">
        <w:tab/>
        <w:t>prostředky poskytnuté z fondu zábrany škod podle zvláštního zákona</w:t>
      </w:r>
      <w:r w:rsidRPr="009B1ABF">
        <w:rPr>
          <w:vertAlign w:val="superscript"/>
        </w:rPr>
        <w:footnoteReference w:customMarkFollows="1" w:id="344"/>
        <w:t>45)</w:t>
      </w:r>
      <w:r w:rsidRPr="009B1ABF">
        <w:t>.</w:t>
      </w:r>
    </w:p>
    <w:p w14:paraId="0E4EBFD4" w14:textId="566CB431" w:rsidR="00681D7E" w:rsidRPr="009B1ABF" w:rsidRDefault="00CC338F" w:rsidP="003866FF">
      <w:pPr>
        <w:tabs>
          <w:tab w:val="left" w:pos="851"/>
        </w:tabs>
        <w:spacing w:before="120" w:after="120"/>
        <w:outlineLvl w:val="6"/>
      </w:pPr>
      <w:r>
        <w:t xml:space="preserve">(3) </w:t>
      </w:r>
      <w:r w:rsidR="00681D7E" w:rsidRPr="009B1ABF">
        <w:t>Organizační složka státu člení prostředky v rezervním fondu podle původu, a to na</w:t>
      </w:r>
    </w:p>
    <w:p w14:paraId="7E21DC59" w14:textId="77777777" w:rsidR="00681D7E" w:rsidRPr="009B1ABF" w:rsidRDefault="00681D7E" w:rsidP="00C50555">
      <w:pPr>
        <w:spacing w:before="0"/>
        <w:ind w:left="425" w:hanging="425"/>
        <w:outlineLvl w:val="7"/>
      </w:pPr>
      <w:r w:rsidRPr="009B1ABF">
        <w:t>a)</w:t>
      </w:r>
      <w:r w:rsidRPr="009B1ABF">
        <w:tab/>
        <w:t>prostředky poskytnuté ze zahraničí, prostředky poskytnuté územními samosprávnými celky a peněžní dary, a to dále na</w:t>
      </w:r>
    </w:p>
    <w:p w14:paraId="740F50F5" w14:textId="77777777" w:rsidR="00681D7E" w:rsidRPr="009B1ABF" w:rsidRDefault="00681D7E" w:rsidP="00C50555">
      <w:pPr>
        <w:tabs>
          <w:tab w:val="left" w:pos="851"/>
        </w:tabs>
        <w:spacing w:before="0"/>
        <w:ind w:left="850" w:hanging="425"/>
        <w:outlineLvl w:val="8"/>
      </w:pPr>
      <w:r w:rsidRPr="009B1ABF">
        <w:t>1.</w:t>
      </w:r>
      <w:r w:rsidRPr="009B1ABF">
        <w:tab/>
        <w:t>prostředky, které jí byly poskytnuty na určitý účel, a to podle těchto účelů,</w:t>
      </w:r>
    </w:p>
    <w:p w14:paraId="0AA1AA96" w14:textId="77777777" w:rsidR="00681D7E" w:rsidRPr="009B1ABF" w:rsidRDefault="00681D7E" w:rsidP="00C50555">
      <w:pPr>
        <w:tabs>
          <w:tab w:val="left" w:pos="851"/>
        </w:tabs>
        <w:spacing w:before="0"/>
        <w:ind w:left="850" w:hanging="425"/>
        <w:outlineLvl w:val="8"/>
      </w:pPr>
      <w:r w:rsidRPr="009B1ABF">
        <w:t>2.</w:t>
      </w:r>
      <w:r w:rsidRPr="009B1ABF">
        <w:tab/>
        <w:t>prostředky, které jí byly poskytnuty bez uvedení účelu,</w:t>
      </w:r>
    </w:p>
    <w:p w14:paraId="7719FF66" w14:textId="77777777" w:rsidR="00681D7E" w:rsidRPr="009B1ABF" w:rsidRDefault="00681D7E" w:rsidP="00C50555">
      <w:pPr>
        <w:spacing w:before="0"/>
        <w:ind w:left="425" w:hanging="425"/>
        <w:outlineLvl w:val="7"/>
      </w:pPr>
      <w:r w:rsidRPr="009B1ABF">
        <w:t>b)</w:t>
      </w:r>
      <w:r w:rsidRPr="009B1ABF">
        <w:tab/>
        <w:t>odvody neoprávněně použitých nebo zadržených peněžních prostředků podle § 44 odst. 2 písm. a), b), g) a h) a penále za prodlení s nimi; tyto odvody a penále dále člení podle původních účelů; původním účelem se rozumí účel, na který organizační složka státu určila dotace nebo návratné finanční výpomoci, při jejichž používání jejich příjemci porušili rozpočtovou kázeň a za to do jejího rezervního fondu tyto odvody provedli a tato penále zaplatili,</w:t>
      </w:r>
    </w:p>
    <w:p w14:paraId="3B67F420" w14:textId="77777777" w:rsidR="00681D7E" w:rsidRPr="009B1ABF" w:rsidRDefault="00681D7E" w:rsidP="00C50555">
      <w:pPr>
        <w:spacing w:before="0"/>
        <w:ind w:left="425" w:hanging="425"/>
        <w:outlineLvl w:val="7"/>
      </w:pPr>
      <w:r w:rsidRPr="009B1ABF">
        <w:t>c)</w:t>
      </w:r>
      <w:r w:rsidRPr="009B1ABF">
        <w:tab/>
        <w:t>příjmy z prodeje majetku, který pro Českou republiku nabyla organizační složka státu darem nebo děděním,</w:t>
      </w:r>
    </w:p>
    <w:p w14:paraId="1E0D4412" w14:textId="77777777" w:rsidR="00681D7E" w:rsidRPr="009B1ABF" w:rsidRDefault="00681D7E" w:rsidP="00C50555">
      <w:pPr>
        <w:spacing w:before="0"/>
        <w:ind w:left="425" w:hanging="425"/>
        <w:outlineLvl w:val="7"/>
      </w:pPr>
      <w:r w:rsidRPr="009B1ABF">
        <w:t>d)</w:t>
      </w:r>
      <w:r w:rsidRPr="009B1ABF">
        <w:tab/>
        <w:t>prostředky poskytnuté z fondu zábrany škod podle zvláštního zákona</w:t>
      </w:r>
      <w:r w:rsidRPr="009B1ABF">
        <w:rPr>
          <w:vertAlign w:val="superscript"/>
        </w:rPr>
        <w:t>45)</w:t>
      </w:r>
      <w:r w:rsidRPr="009B1ABF">
        <w:t>.</w:t>
      </w:r>
    </w:p>
    <w:p w14:paraId="7DF93536" w14:textId="77777777" w:rsidR="00681D7E" w:rsidRPr="009B1ABF" w:rsidRDefault="00681D7E" w:rsidP="003866FF">
      <w:pPr>
        <w:tabs>
          <w:tab w:val="left" w:pos="851"/>
        </w:tabs>
        <w:spacing w:before="120" w:after="120"/>
        <w:outlineLvl w:val="6"/>
      </w:pPr>
      <w:r w:rsidRPr="009B1ABF">
        <w:t>(4)</w:t>
      </w:r>
      <w:r w:rsidRPr="009B1ABF">
        <w:tab/>
        <w:t>Prostředky rezervního fondu používá organizační složka státu tak, že</w:t>
      </w:r>
    </w:p>
    <w:p w14:paraId="5C7B4E2E" w14:textId="77777777" w:rsidR="00681D7E" w:rsidRPr="009B1ABF" w:rsidRDefault="00681D7E" w:rsidP="00C50555">
      <w:pPr>
        <w:spacing w:before="0"/>
        <w:ind w:left="425" w:hanging="425"/>
        <w:outlineLvl w:val="7"/>
      </w:pPr>
      <w:r w:rsidRPr="009B1ABF">
        <w:t>a)</w:t>
      </w:r>
      <w:r w:rsidRPr="009B1ABF">
        <w:tab/>
        <w:t>prostředky podle odstavce 3 písm. a), které jí byly poskytnuty na určitý účel, používá na tento účel a prostředky, které jí byly poskytnuty bez uvedení účelu, používá na výdaje na rozpočtem nezajištěné provozní potřeby a na výdaje, které v mimořádných případech povolí vláda,</w:t>
      </w:r>
    </w:p>
    <w:p w14:paraId="01731467" w14:textId="77777777" w:rsidR="00681D7E" w:rsidRPr="009B1ABF" w:rsidRDefault="00681D7E" w:rsidP="00C50555">
      <w:pPr>
        <w:spacing w:before="0"/>
        <w:ind w:left="425" w:hanging="425"/>
        <w:outlineLvl w:val="7"/>
      </w:pPr>
      <w:r w:rsidRPr="009B1ABF">
        <w:t>b)</w:t>
      </w:r>
      <w:r w:rsidRPr="009B1ABF">
        <w:tab/>
        <w:t>prostředky podle odstavce 3 písm. b) používá na dotace a návratné finanční výpomoci na původní účely,</w:t>
      </w:r>
    </w:p>
    <w:p w14:paraId="36E27727" w14:textId="77777777" w:rsidR="00681D7E" w:rsidRPr="009B1ABF" w:rsidRDefault="00681D7E" w:rsidP="00C50555">
      <w:pPr>
        <w:spacing w:before="0"/>
        <w:ind w:left="425" w:hanging="425"/>
        <w:outlineLvl w:val="7"/>
      </w:pPr>
      <w:r w:rsidRPr="009B1ABF">
        <w:t>c)</w:t>
      </w:r>
      <w:r w:rsidRPr="009B1ABF">
        <w:tab/>
        <w:t xml:space="preserve">prostředky podle odstavce 3 písm. c) používá na výdaje na reprodukci </w:t>
      </w:r>
      <w:r w:rsidRPr="009B1ABF">
        <w:rPr>
          <w:strike/>
        </w:rPr>
        <w:t>majetku</w:t>
      </w:r>
      <w:r w:rsidRPr="009B1ABF">
        <w:rPr>
          <w:b/>
        </w:rPr>
        <w:t xml:space="preserve"> dlouhodobého hmotného nebo nehmotného majetku, se kterým hospodaří</w:t>
      </w:r>
      <w:r w:rsidRPr="009B1ABF">
        <w:t>,</w:t>
      </w:r>
    </w:p>
    <w:p w14:paraId="2901F4CD" w14:textId="77777777" w:rsidR="00681D7E" w:rsidRPr="009B1ABF" w:rsidRDefault="00681D7E" w:rsidP="00C50555">
      <w:pPr>
        <w:spacing w:before="0"/>
        <w:ind w:left="425" w:hanging="425"/>
        <w:outlineLvl w:val="7"/>
      </w:pPr>
      <w:r w:rsidRPr="009B1ABF">
        <w:t>d)</w:t>
      </w:r>
      <w:r w:rsidRPr="009B1ABF">
        <w:tab/>
        <w:t>prostředky poskytnuté z fondu zábrany škod používá na úhradu stanovenou zákonem upravujícím pojištění odpovědnosti z provozu vozidla</w:t>
      </w:r>
      <w:r w:rsidRPr="009B1ABF">
        <w:rPr>
          <w:vertAlign w:val="superscript"/>
        </w:rPr>
        <w:footnoteReference w:customMarkFollows="1" w:id="345"/>
        <w:t>46)</w:t>
      </w:r>
      <w:r w:rsidRPr="009B1ABF">
        <w:t>.</w:t>
      </w:r>
    </w:p>
    <w:p w14:paraId="4B19356A" w14:textId="77777777" w:rsidR="00681D7E" w:rsidRPr="009B1ABF" w:rsidRDefault="00681D7E" w:rsidP="003866FF">
      <w:pPr>
        <w:tabs>
          <w:tab w:val="left" w:pos="851"/>
        </w:tabs>
        <w:spacing w:before="120" w:after="120"/>
        <w:outlineLvl w:val="6"/>
      </w:pPr>
      <w:r w:rsidRPr="009B1ABF">
        <w:lastRenderedPageBreak/>
        <w:t>(5)</w:t>
      </w:r>
      <w:r w:rsidRPr="009B1ABF">
        <w:tab/>
        <w:t>Organizační složka státu, která přijala přímo do rezervního fondu peněžní prostředky, které má povinnost po jejich použití na stanovený účel vyúčtovat a nespotřebovaný zbytek vrátit, vrátí tento jejich nespotřebovaný zbytek poskytovateli přímo z rezervního fondu. § 45 odst. 3 věta druhá se zde nepoužije.</w:t>
      </w:r>
    </w:p>
    <w:p w14:paraId="2122EE4A" w14:textId="77777777" w:rsidR="00681D7E" w:rsidRPr="009B1ABF" w:rsidRDefault="00681D7E" w:rsidP="003866FF">
      <w:pPr>
        <w:tabs>
          <w:tab w:val="left" w:pos="851"/>
        </w:tabs>
        <w:spacing w:before="120" w:after="120"/>
        <w:outlineLvl w:val="6"/>
      </w:pPr>
      <w:r w:rsidRPr="009B1ABF">
        <w:t>(6)</w:t>
      </w:r>
      <w:r w:rsidRPr="009B1ABF">
        <w:tab/>
        <w:t>Prostředky rezervního fondu, které do něj byly převedeny podle § 44a odst. 1 písm. e) a odst. 3 písm. e) a které není možné použít na příslušné programy a projekty [odstavec 4 písm. b)], protože už skončily, organizační složka státu vrátí nejpozději ve lhůtách finančního vypořádání se státním rozpočtem za rok, v kterém byl program nebo projekt ukončen.</w:t>
      </w:r>
    </w:p>
    <w:p w14:paraId="541C4AFF" w14:textId="77777777" w:rsidR="00681D7E" w:rsidRPr="009B1ABF" w:rsidRDefault="00681D7E" w:rsidP="003866FF">
      <w:pPr>
        <w:tabs>
          <w:tab w:val="left" w:pos="851"/>
        </w:tabs>
        <w:spacing w:before="120" w:after="120"/>
        <w:outlineLvl w:val="6"/>
      </w:pPr>
      <w:r w:rsidRPr="009B1ABF">
        <w:t>(7)</w:t>
      </w:r>
      <w:r w:rsidRPr="009B1ABF">
        <w:tab/>
        <w:t xml:space="preserve">O prostředcích převedených do rezervních fondů podle § 47 ve znění účinném ode dne 7. září 2004 do dne 29. února 2008 může vláda rozhodnout, že budou převedeny do příjmů státního rozpočtu kapitoly Všeobecná pokladní správa a použity buď na snížení schodku státního </w:t>
      </w:r>
      <w:proofErr w:type="gramStart"/>
      <w:r w:rsidRPr="009B1ABF">
        <w:t>rozpočtu nebo</w:t>
      </w:r>
      <w:proofErr w:type="gramEnd"/>
      <w:r w:rsidRPr="009B1ABF">
        <w:t xml:space="preserve"> podle § 24 odst. 1 písm. d).</w:t>
      </w:r>
    </w:p>
    <w:p w14:paraId="5C7608BA" w14:textId="77777777" w:rsidR="00681D7E" w:rsidRPr="009B1ABF" w:rsidRDefault="00681D7E" w:rsidP="003866FF">
      <w:pPr>
        <w:tabs>
          <w:tab w:val="left" w:pos="851"/>
        </w:tabs>
        <w:spacing w:before="120" w:after="120"/>
        <w:outlineLvl w:val="6"/>
      </w:pPr>
      <w:r w:rsidRPr="009B1ABF">
        <w:t>(8) Fond kulturních a sociálních potřeb je tvořen základním přídělem z rozpočtu organizační složky státu ve výši 1 % z ročního objemu nákladů zúčtovaných na platy a náhrady platů, popřípadě na mzdy a náhrady mzdy a odměny za pracovní pohotovost</w:t>
      </w:r>
      <w:r w:rsidRPr="009B1ABF">
        <w:rPr>
          <w:strike/>
        </w:rPr>
        <w:t>, na odměny a ostatní plnění za práci vykonávanou v rámci odborného výcviku na produktivních činnostech žákům učilišť a na stipendia zaměstnancům na studijních pobytech</w:t>
      </w:r>
      <w:r w:rsidRPr="009B1ABF">
        <w:t xml:space="preserve">. Nejméně 50 % z rozpočtovaného základního přídělu k 1. lednu rozpočtového roku podle věty první se použije na příspěvky na produkty spoření na stáří zaměstnanců, které jsou osvobozeny od daně z příjmů fyzických osob. Fond kulturních a sociálních potřeb je naplňován zálohově z roční plánované výše v souladu s jeho schváleným rozpočtem. Vyúčtování skutečného základního přídělu se provede v rámci účetní závěrky. Je tvořen k zabezpečování kulturních, sociálních a dalších potřeb a je určen zaměstnancům v pracovním poměru k zaměstnavateli, státním zaměstnancům podle zákona o státní službě, příslušníkům ve služebním poměru, soudcům, </w:t>
      </w:r>
      <w:r w:rsidRPr="009B1ABF">
        <w:rPr>
          <w:strike/>
        </w:rPr>
        <w:t>žákům středních odborných učilišť a učilišť,</w:t>
      </w:r>
      <w:r w:rsidRPr="009B1ABF">
        <w:t xml:space="preserve"> důchodcům, kteří při prvém odchodu do starobního důchodu nebo invalidního důchodu pro invaliditu třetího stupně pracovali u zaměstnavatele, případně rodinným příslušníkům zaměstnanců a jiným právnickým nebo fyzickým osobám.</w:t>
      </w:r>
    </w:p>
    <w:p w14:paraId="3739BD95" w14:textId="77777777" w:rsidR="00681D7E" w:rsidRPr="009B1ABF" w:rsidRDefault="00681D7E" w:rsidP="00992796">
      <w:pPr>
        <w:numPr>
          <w:ilvl w:val="0"/>
          <w:numId w:val="39"/>
        </w:numPr>
        <w:spacing w:after="120"/>
        <w:jc w:val="center"/>
        <w:outlineLvl w:val="5"/>
      </w:pPr>
      <w:r w:rsidRPr="009B1ABF">
        <w:t>***</w:t>
      </w:r>
    </w:p>
    <w:p w14:paraId="3D2ADA31" w14:textId="77777777" w:rsidR="00681D7E" w:rsidRPr="009B1ABF" w:rsidRDefault="00681D7E" w:rsidP="00992796">
      <w:pPr>
        <w:numPr>
          <w:ilvl w:val="0"/>
          <w:numId w:val="39"/>
        </w:numPr>
        <w:spacing w:after="120"/>
        <w:jc w:val="center"/>
        <w:outlineLvl w:val="5"/>
      </w:pPr>
      <w:r w:rsidRPr="009B1ABF">
        <w:t>§ 49</w:t>
      </w:r>
    </w:p>
    <w:p w14:paraId="30015435" w14:textId="77777777" w:rsidR="00681D7E" w:rsidRPr="009B1ABF" w:rsidRDefault="00681D7E" w:rsidP="003866FF">
      <w:pPr>
        <w:tabs>
          <w:tab w:val="left" w:pos="851"/>
        </w:tabs>
        <w:spacing w:before="120" w:after="120"/>
        <w:outlineLvl w:val="6"/>
      </w:pPr>
      <w:r w:rsidRPr="009B1ABF">
        <w:t>(1)</w:t>
      </w:r>
      <w:r w:rsidRPr="009B1ABF">
        <w:tab/>
        <w:t xml:space="preserve">Organizační složka státu není, pokud tento zákon nestanoví jinak, oprávněna přijímat ani poskytovat úvěry, přijímat zápůjčky, vystavovat směnky ani je přijímat. Zápůjčky může poskytovat pouze z fondu kulturních a sociálních potřeb nebo na základě zvláštního právního </w:t>
      </w:r>
      <w:proofErr w:type="gramStart"/>
      <w:r w:rsidRPr="009B1ABF">
        <w:t>předpisu.</w:t>
      </w:r>
      <w:r w:rsidRPr="009B1ABF">
        <w:rPr>
          <w:vertAlign w:val="superscript"/>
        </w:rPr>
        <w:footnoteReference w:customMarkFollows="1" w:id="346"/>
        <w:t>26</w:t>
      </w:r>
      <w:proofErr w:type="gramEnd"/>
      <w:r w:rsidRPr="009B1ABF">
        <w:rPr>
          <w:vertAlign w:val="superscript"/>
        </w:rPr>
        <w:t>)</w:t>
      </w:r>
      <w:r w:rsidRPr="009B1ABF">
        <w:t xml:space="preserve"> Ministerstvo vystavuje jménem České republiky směnky nebo šeky k vypořádání restitučních nároků oprávněných osob, kterým byla přiznána náhrada podle zákona č. 87/1991 Sb., o mimosoudních rehabilitacích, ve znění pozdějších předpisů, nebo podle zákona č. 229/1991 Sb., o úpravě vlastnických vztahů k půdě a jinému zemědělskému majetku, ve znění pozdějších předpisů</w:t>
      </w:r>
      <w:r w:rsidRPr="009B1ABF">
        <w:rPr>
          <w:vertAlign w:val="superscript"/>
        </w:rPr>
        <w:footnoteReference w:customMarkFollows="1" w:id="347"/>
        <w:t>35)</w:t>
      </w:r>
      <w:r w:rsidRPr="009B1ABF">
        <w:t>.</w:t>
      </w:r>
    </w:p>
    <w:p w14:paraId="3E0836E4" w14:textId="77777777" w:rsidR="00681D7E" w:rsidRPr="009B1ABF" w:rsidRDefault="00681D7E" w:rsidP="003866FF">
      <w:pPr>
        <w:tabs>
          <w:tab w:val="left" w:pos="782"/>
          <w:tab w:val="left" w:pos="851"/>
        </w:tabs>
        <w:spacing w:before="120" w:after="120"/>
        <w:outlineLvl w:val="6"/>
      </w:pPr>
      <w:r w:rsidRPr="009B1ABF">
        <w:t>(2)</w:t>
      </w:r>
      <w:r w:rsidRPr="009B1ABF">
        <w:tab/>
        <w:t xml:space="preserve">Organizační složka státu může poskytovat dodavatelům zálohy nejvýše na období jednoho čtvrtletí, a to v závislosti na věcném plnění dodávek výrobků a služeb. Ke konci </w:t>
      </w:r>
      <w:r w:rsidRPr="009B1ABF">
        <w:lastRenderedPageBreak/>
        <w:t>běžného rozpočtového roku musí být zálohy vyúčtovány, a pokud výše zálohy přesahují výši měsíčního plnění, musí být vráceny do rozpočtu. Podle věty první a druhé nemusí organizační složka státu postupovat u záloh za dodávky elektřiny, plynu, vody, tepla, u záloh mobilním operátorům, u záloh na pohonné hmoty poskytovaných prostřednictvím platebních karet, u záloh poskytovaných ke splnění povinnosti uložené zvláštním právním předpisem a u předplatného novin a časopisů; záloha však v těchto případech nesmí být poskytnuta na dobu delší než 12 měsíců</w:t>
      </w:r>
      <w:r w:rsidRPr="009B1ABF">
        <w:rPr>
          <w:b/>
        </w:rPr>
        <w:t xml:space="preserve">, </w:t>
      </w:r>
      <w:r w:rsidRPr="009B1ABF">
        <w:t>pokud ze zvláštního právního předpisu nevyplývá jiná doba.</w:t>
      </w:r>
      <w:r w:rsidRPr="009B1ABF">
        <w:rPr>
          <w:b/>
        </w:rPr>
        <w:t xml:space="preserve"> </w:t>
      </w:r>
      <w:r w:rsidRPr="009B1ABF">
        <w:t>Při financování potřeb výdajových investičních akcí je výše záloh a období, na které se zálohy poskytují, stanovena správcem rozpočtové kapitoly.</w:t>
      </w:r>
    </w:p>
    <w:p w14:paraId="5C2EA729" w14:textId="77777777" w:rsidR="00681D7E" w:rsidRPr="009B1ABF" w:rsidRDefault="00681D7E" w:rsidP="003866FF">
      <w:pPr>
        <w:tabs>
          <w:tab w:val="left" w:pos="782"/>
          <w:tab w:val="left" w:pos="851"/>
        </w:tabs>
        <w:spacing w:before="120" w:after="120"/>
        <w:outlineLvl w:val="6"/>
      </w:pPr>
      <w:r w:rsidRPr="009B1ABF">
        <w:t>(3)</w:t>
      </w:r>
      <w:r w:rsidRPr="009B1ABF">
        <w:tab/>
        <w:t>Z rozpočtu běžného roku kapitoly Ministerstvo práce a sociálních věcí lze poskytnout České poště zálohu na výplatu důchodů v prvních lednových dnech roku následujícího.</w:t>
      </w:r>
    </w:p>
    <w:p w14:paraId="04CFC40A" w14:textId="77777777" w:rsidR="00681D7E" w:rsidRPr="009B1ABF" w:rsidRDefault="00681D7E" w:rsidP="003866FF">
      <w:pPr>
        <w:tabs>
          <w:tab w:val="left" w:pos="782"/>
          <w:tab w:val="left" w:pos="851"/>
        </w:tabs>
        <w:spacing w:before="120" w:after="120"/>
        <w:outlineLvl w:val="6"/>
      </w:pPr>
      <w:r w:rsidRPr="009B1ABF">
        <w:t>(4)</w:t>
      </w:r>
      <w:r w:rsidRPr="009B1ABF">
        <w:tab/>
        <w:t>Organizační složka státu hradí odvod za porušení rozpočtové kázně a penále ze svého rozpočtu, a pokud jde o porušení pravidel hospodaření s fondem kulturních a sociálních potřeb, z tohoto fondu.</w:t>
      </w:r>
    </w:p>
    <w:p w14:paraId="31A05594" w14:textId="77777777" w:rsidR="00681D7E" w:rsidRPr="009B1ABF" w:rsidRDefault="00681D7E" w:rsidP="003866FF">
      <w:pPr>
        <w:tabs>
          <w:tab w:val="left" w:pos="782"/>
          <w:tab w:val="left" w:pos="851"/>
        </w:tabs>
        <w:spacing w:before="120" w:after="120"/>
        <w:outlineLvl w:val="6"/>
      </w:pPr>
      <w:r w:rsidRPr="009B1ABF">
        <w:t>(5)</w:t>
      </w:r>
      <w:r w:rsidRPr="009B1ABF">
        <w:tab/>
        <w:t>Organizační složka státu poskytuje peněžní dary pouze z fondu kulturních a sociálních potřeb, pokud tento zákon nestanoví jinak.</w:t>
      </w:r>
    </w:p>
    <w:p w14:paraId="6EFFCD1A" w14:textId="77777777" w:rsidR="00681D7E" w:rsidRPr="009B1ABF" w:rsidRDefault="00681D7E" w:rsidP="003866FF">
      <w:pPr>
        <w:tabs>
          <w:tab w:val="left" w:pos="782"/>
          <w:tab w:val="left" w:pos="851"/>
        </w:tabs>
        <w:spacing w:before="120" w:after="120"/>
        <w:outlineLvl w:val="6"/>
      </w:pPr>
      <w:r w:rsidRPr="009B1ABF">
        <w:t>(6)</w:t>
      </w:r>
      <w:r w:rsidRPr="009B1ABF">
        <w:tab/>
        <w:t>Organizační složka státu může vynakládat peněžní prostředky na peněžní a věcná ocenění pouze v případě, stanoví-li tak právní předpis. Jde-li o ocenění udělované orgány moci výkonné, stanoví vláda nařízením druhy ocenění, podmínky, za kterých jsou udělována, a orgány, které je udělují.</w:t>
      </w:r>
    </w:p>
    <w:p w14:paraId="666C6371" w14:textId="77777777" w:rsidR="00681D7E" w:rsidRPr="009B1ABF" w:rsidRDefault="00681D7E" w:rsidP="003866FF">
      <w:pPr>
        <w:tabs>
          <w:tab w:val="left" w:pos="782"/>
          <w:tab w:val="left" w:pos="851"/>
        </w:tabs>
        <w:spacing w:before="120" w:after="120"/>
        <w:outlineLvl w:val="6"/>
      </w:pPr>
      <w:r w:rsidRPr="009B1ABF">
        <w:t>(7)</w:t>
      </w:r>
      <w:r w:rsidRPr="009B1ABF">
        <w:tab/>
        <w:t>Organizační složka státu může kompenzovat výdaje přijatými příjmy, jen jde-li o</w:t>
      </w:r>
    </w:p>
    <w:p w14:paraId="672FCFC6" w14:textId="77777777" w:rsidR="00681D7E" w:rsidRPr="009B1ABF" w:rsidRDefault="00681D7E" w:rsidP="00F8201B">
      <w:pPr>
        <w:spacing w:before="0"/>
        <w:ind w:left="425" w:hanging="425"/>
        <w:outlineLvl w:val="7"/>
      </w:pPr>
      <w:r w:rsidRPr="009B1ABF">
        <w:t>a)</w:t>
      </w:r>
      <w:r w:rsidRPr="009B1ABF">
        <w:tab/>
        <w:t>prostředky vydané z rozpočtu a v tomtéž rozpočtovém roce do rozpočtu vrácené,</w:t>
      </w:r>
    </w:p>
    <w:p w14:paraId="3042C416" w14:textId="77777777" w:rsidR="00681D7E" w:rsidRPr="009B1ABF" w:rsidRDefault="00681D7E" w:rsidP="00F8201B">
      <w:pPr>
        <w:spacing w:before="0"/>
        <w:ind w:left="425" w:hanging="425"/>
        <w:outlineLvl w:val="7"/>
      </w:pPr>
      <w:r w:rsidRPr="009B1ABF">
        <w:t>b)</w:t>
      </w:r>
      <w:r w:rsidRPr="009B1ABF">
        <w:tab/>
        <w:t>dodatečnou náhradu dříve vynaložených výdajů v tomtéž rozpočtovém roce, kterou jsou nahrazeny organizační složce státu výdaje, které organizační složka státu zaplatila z provozně technických důvodů, zejména úhradu telefonních poplatků, elektřiny, vodného a stočného,</w:t>
      </w:r>
    </w:p>
    <w:p w14:paraId="0C693BB7" w14:textId="77777777" w:rsidR="00681D7E" w:rsidRPr="009B1ABF" w:rsidRDefault="00681D7E" w:rsidP="00F8201B">
      <w:pPr>
        <w:spacing w:before="0"/>
        <w:ind w:left="425" w:hanging="425"/>
        <w:outlineLvl w:val="7"/>
      </w:pPr>
      <w:r w:rsidRPr="009B1ABF">
        <w:t>c)</w:t>
      </w:r>
      <w:r w:rsidRPr="009B1ABF">
        <w:tab/>
        <w:t xml:space="preserve">náhradu </w:t>
      </w:r>
      <w:r w:rsidRPr="009B1ABF">
        <w:rPr>
          <w:b/>
        </w:rPr>
        <w:t xml:space="preserve">platů nebo </w:t>
      </w:r>
      <w:r w:rsidRPr="009B1ABF">
        <w:t>mezd za práci prováděnou zaměstnanci organizační složky pro jinou organizační složku nebo jiný subjekt.</w:t>
      </w:r>
    </w:p>
    <w:p w14:paraId="3C24860A" w14:textId="77777777" w:rsidR="00681D7E" w:rsidRPr="009B1ABF" w:rsidRDefault="00681D7E" w:rsidP="003866FF">
      <w:pPr>
        <w:tabs>
          <w:tab w:val="left" w:pos="782"/>
          <w:tab w:val="left" w:pos="851"/>
        </w:tabs>
        <w:spacing w:before="120" w:after="120"/>
        <w:outlineLvl w:val="6"/>
      </w:pPr>
      <w:r w:rsidRPr="009B1ABF">
        <w:t>(8)</w:t>
      </w:r>
      <w:r w:rsidRPr="009B1ABF">
        <w:tab/>
        <w:t>Kompenzovat lze jen konkrétní podle rozpočtové skladby přesně identifikovaný výdaj, jehož úhrada vyplývá ze smluvních vztahů.</w:t>
      </w:r>
    </w:p>
    <w:p w14:paraId="60370E10" w14:textId="77777777" w:rsidR="00681D7E" w:rsidRPr="009B1ABF" w:rsidRDefault="00681D7E" w:rsidP="003866FF">
      <w:pPr>
        <w:tabs>
          <w:tab w:val="left" w:pos="782"/>
          <w:tab w:val="left" w:pos="851"/>
        </w:tabs>
        <w:spacing w:before="120" w:after="120"/>
        <w:outlineLvl w:val="6"/>
      </w:pPr>
      <w:r w:rsidRPr="009B1ABF">
        <w:t>(9)</w:t>
      </w:r>
      <w:r w:rsidRPr="009B1ABF">
        <w:tab/>
        <w:t>Kompenzovat nelze výdaje, které organizační složka státu vynaložila při poskytování služeb, které jsou předmětem činnosti, pro kterou byla zřízena, pokud zvláštní právní předpis nestanoví jinak.</w:t>
      </w:r>
    </w:p>
    <w:p w14:paraId="3B237340" w14:textId="3BC9CE04" w:rsidR="00681D7E" w:rsidRPr="009B1ABF" w:rsidRDefault="00681D7E" w:rsidP="003866FF">
      <w:pPr>
        <w:tabs>
          <w:tab w:val="left" w:pos="782"/>
          <w:tab w:val="left" w:pos="851"/>
        </w:tabs>
        <w:spacing w:before="120" w:after="120"/>
        <w:outlineLvl w:val="6"/>
      </w:pPr>
      <w:r w:rsidRPr="009B1ABF">
        <w:t>(10)</w:t>
      </w:r>
      <w:r w:rsidRPr="009B1ABF">
        <w:tab/>
      </w:r>
      <w:r w:rsidR="003866FF">
        <w:t xml:space="preserve"> </w:t>
      </w:r>
      <w:r w:rsidRPr="009B1ABF">
        <w:t>Z příjmových účtů státního rozpočtu je možné vracet daně, odvody, poplatky, podíl na clech podle § 6 odst. 1 písm. c), zálohy na tyto příjmy, odvody za porušení rozpočtové kázně a pokuty, peněžité tresty a kauce, nebo jejich části, a to včetně jejich příslušenství, existuje-li k vracení právní důvod. Takto je možné vracet tyto příjmy nebo jejich části i v letech, která následují po rozpočtovém roce, ve kterém došlo k jejich přijetí do státního rozpočtu. Z příjmových účtů státního rozpočtu je také možné v běžném rozpočtovém roce vracet na účty Národního fondu prostředky, které byly v běžném rozpočtovém roce z Národního fondu vynaloženy na projekty spolufinancované z rozpočtu Evropské unie, a o kterých správce kapitoly dodatečně rozhodl, že budou financovány pouze ze státního rozpočtu.</w:t>
      </w:r>
    </w:p>
    <w:p w14:paraId="5A092641" w14:textId="77777777" w:rsidR="00681D7E" w:rsidRPr="009B1ABF" w:rsidRDefault="00681D7E" w:rsidP="00992796">
      <w:pPr>
        <w:numPr>
          <w:ilvl w:val="0"/>
          <w:numId w:val="39"/>
        </w:numPr>
        <w:spacing w:after="120"/>
        <w:jc w:val="center"/>
        <w:outlineLvl w:val="5"/>
      </w:pPr>
      <w:r w:rsidRPr="009B1ABF">
        <w:t>***</w:t>
      </w:r>
    </w:p>
    <w:p w14:paraId="2C0D7ACF" w14:textId="77777777" w:rsidR="00681D7E" w:rsidRPr="009B1ABF" w:rsidRDefault="00681D7E" w:rsidP="00992796">
      <w:pPr>
        <w:numPr>
          <w:ilvl w:val="0"/>
          <w:numId w:val="39"/>
        </w:numPr>
        <w:spacing w:after="120"/>
        <w:jc w:val="center"/>
        <w:outlineLvl w:val="5"/>
      </w:pPr>
      <w:r w:rsidRPr="009B1ABF">
        <w:lastRenderedPageBreak/>
        <w:t>§ 50</w:t>
      </w:r>
    </w:p>
    <w:p w14:paraId="1C2D1FF5" w14:textId="6B9C02FF" w:rsidR="00681D7E" w:rsidRPr="009B1ABF" w:rsidRDefault="00F8201B" w:rsidP="003866FF">
      <w:pPr>
        <w:tabs>
          <w:tab w:val="left" w:pos="782"/>
          <w:tab w:val="left" w:pos="851"/>
        </w:tabs>
        <w:spacing w:before="120" w:after="120"/>
        <w:outlineLvl w:val="6"/>
      </w:pPr>
      <w:r>
        <w:t xml:space="preserve">(1) </w:t>
      </w:r>
      <w:r w:rsidR="00681D7E" w:rsidRPr="009B1ABF">
        <w:t>Organizační složka státu financuje výdajové investiční akce ze svého rozpočtu v rámci závazných ukazatelů stanovených zákonem o státním rozpočtu.</w:t>
      </w:r>
    </w:p>
    <w:p w14:paraId="0A2FBBCB" w14:textId="022549F2" w:rsidR="00681D7E" w:rsidRPr="009B1ABF" w:rsidRDefault="00F8201B" w:rsidP="003866FF">
      <w:pPr>
        <w:tabs>
          <w:tab w:val="left" w:pos="782"/>
          <w:tab w:val="left" w:pos="851"/>
        </w:tabs>
        <w:spacing w:before="120" w:after="120"/>
        <w:outlineLvl w:val="6"/>
      </w:pPr>
      <w:r>
        <w:t xml:space="preserve">(2) </w:t>
      </w:r>
      <w:r w:rsidR="00681D7E" w:rsidRPr="009B1ABF">
        <w:t xml:space="preserve">Organizační složka státu může k posílení prostředků podle odstavce 1 použít prostředky fondu kulturních a sociálních potřeb, prostředky rezervního fondu, prostředky získané hospodářskou činností vykonávanou na základě zvláštního zákona, prostředky přijaté ze zvláštních účtů vedených ministerstvem, na kterých jsou soustředěny finanční prostředky, které přešly na stát ze zrušeného Fondu národního majetku spolu s finančními prostředky z výnosu prodeje privatizovaného majetku a ze zisku z účasti státu v obchodních společnostech a prostředky přijaté od právnických a fyzických osob, pokud jsou poskytnuté na </w:t>
      </w:r>
      <w:r w:rsidR="00681D7E" w:rsidRPr="009B1ABF">
        <w:rPr>
          <w:strike/>
        </w:rPr>
        <w:t>reprodukci</w:t>
      </w:r>
      <w:r w:rsidR="00681D7E" w:rsidRPr="009B1ABF">
        <w:t xml:space="preserve"> </w:t>
      </w:r>
      <w:r w:rsidR="00681D7E" w:rsidRPr="009B1ABF">
        <w:rPr>
          <w:strike/>
        </w:rPr>
        <w:t>majetku</w:t>
      </w:r>
      <w:r w:rsidR="00681D7E" w:rsidRPr="009B1ABF">
        <w:rPr>
          <w:b/>
        </w:rPr>
        <w:t xml:space="preserve"> reprodukci dlouhodobého hmotného nebo nehmotného majetku, se kterým organizační složka státu hospodaří</w:t>
      </w:r>
      <w:r w:rsidR="00681D7E" w:rsidRPr="009B1ABF">
        <w:t>.</w:t>
      </w:r>
      <w:r w:rsidR="00681D7E" w:rsidRPr="009B1ABF">
        <w:rPr>
          <w:b/>
          <w:color w:val="0070C0"/>
        </w:rPr>
        <w:t xml:space="preserve"> </w:t>
      </w:r>
      <w:r w:rsidR="00681D7E" w:rsidRPr="009B1ABF">
        <w:t xml:space="preserve">O tyto prostředky, převedené na příjmový účet státního rozpočtu zřízený pro organizační složku státu, může organizační složka státu překročit rozpočet výdajů na financování reprodukce majetku. Nepoužitý zůstatek těchto prostředků převede organizační složka státu z příjmového nebo výdajového účtu státního rozpočtu nejpozději do 31. prosince běžného rozpočtového roku na účet, ze kterého byly tyto prostředky převedeny </w:t>
      </w:r>
      <w:r w:rsidR="00681D7E" w:rsidRPr="009B1ABF">
        <w:rPr>
          <w:b/>
          <w:szCs w:val="24"/>
        </w:rPr>
        <w:t>s výjimkou nepoužitých prostředků přijatých do rezervního fondu z rozpočtu Evropské unie, u nichž se postupuje podle § 47</w:t>
      </w:r>
      <w:r w:rsidR="00681D7E" w:rsidRPr="009B1ABF">
        <w:t>.</w:t>
      </w:r>
    </w:p>
    <w:p w14:paraId="644420A7" w14:textId="77777777" w:rsidR="00681D7E" w:rsidRPr="009B1ABF" w:rsidRDefault="00681D7E" w:rsidP="00992796">
      <w:pPr>
        <w:numPr>
          <w:ilvl w:val="0"/>
          <w:numId w:val="39"/>
        </w:numPr>
        <w:spacing w:after="120"/>
        <w:jc w:val="center"/>
        <w:outlineLvl w:val="5"/>
      </w:pPr>
      <w:r w:rsidRPr="009B1ABF">
        <w:t>***</w:t>
      </w:r>
    </w:p>
    <w:p w14:paraId="24A59291" w14:textId="77777777" w:rsidR="00681D7E" w:rsidRPr="009B1ABF" w:rsidRDefault="00681D7E" w:rsidP="00992796">
      <w:pPr>
        <w:numPr>
          <w:ilvl w:val="0"/>
          <w:numId w:val="39"/>
        </w:numPr>
        <w:spacing w:after="120"/>
        <w:jc w:val="center"/>
        <w:outlineLvl w:val="5"/>
        <w:rPr>
          <w:strike/>
        </w:rPr>
      </w:pPr>
      <w:r w:rsidRPr="009B1ABF">
        <w:rPr>
          <w:strike/>
        </w:rPr>
        <w:t>§ 53</w:t>
      </w:r>
    </w:p>
    <w:p w14:paraId="7EF48DBA" w14:textId="77777777" w:rsidR="00681D7E" w:rsidRPr="009B1ABF" w:rsidRDefault="00681D7E" w:rsidP="003866FF">
      <w:pPr>
        <w:tabs>
          <w:tab w:val="left" w:pos="782"/>
          <w:tab w:val="left" w:pos="851"/>
        </w:tabs>
        <w:spacing w:before="120" w:after="120"/>
        <w:outlineLvl w:val="6"/>
        <w:rPr>
          <w:strike/>
        </w:rPr>
      </w:pPr>
      <w:r w:rsidRPr="009B1ABF">
        <w:rPr>
          <w:strike/>
        </w:rPr>
        <w:t>(1) Příspěvková organizace hospodaří s peněžními prostředky získanými hlavní činností a s peněžními prostředky přijatými ze státního rozpočtu pouze v rámci finančních vztahů stanovených zřizovatelem. Dále příspěvková organizace hospodaří s prostředky svých fondů, s prostředky získanými jinou činností, s peněžitými dary od fyzických a právnických osob, s peněžními prostředky poskytnutými ze zahraničí a s peněžními prostředky poskytnutými z rozpočtů územních samosprávných celků a státních fondů, včetně prostředků poskytnutých České republice z rozpočtu Evropské unie, z finančních mechanismů a přijatých příspěvkovými organizacemi z Národního fondu. Hlavní činností je činnost vymezená zřizovateli příspěvkové organizace zvláštním zákonem28) a vykonávaná příspěvkovou organizací. V případě příspěvkové organizace zřízené zvláštním zákonem je hlavní činností činnost vymezená zvláštním zákonem.</w:t>
      </w:r>
    </w:p>
    <w:p w14:paraId="06EE1C99" w14:textId="77777777" w:rsidR="00681D7E" w:rsidRPr="009B1ABF" w:rsidRDefault="00681D7E" w:rsidP="003866FF">
      <w:pPr>
        <w:tabs>
          <w:tab w:val="left" w:pos="782"/>
          <w:tab w:val="left" w:pos="851"/>
        </w:tabs>
        <w:spacing w:before="120" w:after="120"/>
        <w:outlineLvl w:val="6"/>
        <w:rPr>
          <w:strike/>
        </w:rPr>
      </w:pPr>
      <w:r w:rsidRPr="009B1ABF">
        <w:rPr>
          <w:strike/>
        </w:rPr>
        <w:t>(2) Hospodaření příspěvkové organizace se řídí jejím rozpočtem, který po zahrnutí příspěvku ze státního rozpočtu nebo stanovení odvodu do státního rozpočtu musí být sestaven jako vyrovnaný. Rozpočet příspěvkové organizace může zahrnovat pouze náklady a výnosy související jen s jí poskytovanými službami, které jsou předmětem její hlavní činnosti.</w:t>
      </w:r>
    </w:p>
    <w:p w14:paraId="77CBCF27" w14:textId="77777777" w:rsidR="00681D7E" w:rsidRPr="009B1ABF" w:rsidRDefault="00681D7E" w:rsidP="003866FF">
      <w:pPr>
        <w:tabs>
          <w:tab w:val="left" w:pos="782"/>
          <w:tab w:val="left" w:pos="851"/>
        </w:tabs>
        <w:spacing w:before="120" w:after="120"/>
        <w:outlineLvl w:val="6"/>
        <w:rPr>
          <w:strike/>
        </w:rPr>
      </w:pPr>
      <w:r w:rsidRPr="009B1ABF">
        <w:rPr>
          <w:strike/>
        </w:rPr>
        <w:t>(3) Při sestavení rozpočtu nákladů a výnosů se použití prostředků rezervního fondu a peněžních prostředků poskytnutých ze zahraničí v průběhu roku vždy rozpočtuje. Tento postup nemusí být uplatněn při použití prostředků z dotací poskytnutých podle § 54 odst. 1 písm. b), e) a f) a převedených do rezervního fondu podle § 54 odst. 7.</w:t>
      </w:r>
    </w:p>
    <w:p w14:paraId="60D70680" w14:textId="77777777" w:rsidR="00681D7E" w:rsidRPr="009B1ABF" w:rsidRDefault="00681D7E" w:rsidP="003866FF">
      <w:pPr>
        <w:tabs>
          <w:tab w:val="left" w:pos="782"/>
          <w:tab w:val="left" w:pos="851"/>
        </w:tabs>
        <w:spacing w:before="120" w:after="120"/>
        <w:outlineLvl w:val="6"/>
        <w:rPr>
          <w:strike/>
        </w:rPr>
      </w:pPr>
      <w:r w:rsidRPr="009B1ABF">
        <w:rPr>
          <w:strike/>
        </w:rPr>
        <w:t>(4) Příspěvková organizace je povinna dbát, aby plnila určené úkoly nejhospodárnějším způsobem a dodržela stanovené finanční vztahy ke státnímu rozpočtu. Peněžní prostředky, kterými disponuje, může používat jen k účelům, na které jsou určeny, a to na krytí nezbytných potřeb, na opatření zakládající se na právních předpisech a na krytí opatření nutných k zabezpečení nerušeného chodu organizace. Úhrady, ke kterým se příspěvková organizace zaváže v běžném roce, nesmí překračovat její rozpočet na tento rok.</w:t>
      </w:r>
    </w:p>
    <w:p w14:paraId="342135BE" w14:textId="77777777" w:rsidR="00681D7E" w:rsidRPr="009B1ABF" w:rsidRDefault="00681D7E" w:rsidP="003866FF">
      <w:pPr>
        <w:tabs>
          <w:tab w:val="left" w:pos="782"/>
          <w:tab w:val="left" w:pos="851"/>
        </w:tabs>
        <w:spacing w:before="120" w:after="120"/>
        <w:outlineLvl w:val="6"/>
        <w:rPr>
          <w:strike/>
        </w:rPr>
      </w:pPr>
      <w:r w:rsidRPr="009B1ABF">
        <w:rPr>
          <w:strike/>
        </w:rPr>
        <w:lastRenderedPageBreak/>
        <w:t>(5) Jestliže skutečná výše nákladů a výnosů v průběhu rozpočtového roku neodpovídá jejich rozpočtované výši a je předpoklad, že může být zhoršen rozpočtovaný hospodářský výsledek, je příspěvková organizace povinna učinit opatření, která zajistí jeho vyrovnání.</w:t>
      </w:r>
    </w:p>
    <w:p w14:paraId="79177A4F" w14:textId="77777777" w:rsidR="00681D7E" w:rsidRPr="009B1ABF" w:rsidRDefault="00681D7E" w:rsidP="003866FF">
      <w:pPr>
        <w:tabs>
          <w:tab w:val="left" w:pos="782"/>
          <w:tab w:val="left" w:pos="851"/>
        </w:tabs>
        <w:spacing w:before="120" w:after="120"/>
        <w:outlineLvl w:val="6"/>
        <w:rPr>
          <w:strike/>
        </w:rPr>
      </w:pPr>
      <w:r w:rsidRPr="009B1ABF">
        <w:rPr>
          <w:strike/>
        </w:rPr>
        <w:t>(6) Příspěvková organizace je povinna do 15 pracovních dnů po připsání částky na její účet odvést do státního rozpočtu příjmy z prodeje nemovitého majetku České republiky, se kterým hospodaří, s výjimkou příjmů z prodeje nemovitého majetku, který příspěvková organizace nabyla darem nebo děděním.</w:t>
      </w:r>
    </w:p>
    <w:p w14:paraId="14BC230F" w14:textId="77777777" w:rsidR="00681D7E" w:rsidRPr="009B1ABF" w:rsidRDefault="00681D7E" w:rsidP="003866FF">
      <w:pPr>
        <w:tabs>
          <w:tab w:val="left" w:pos="782"/>
          <w:tab w:val="left" w:pos="851"/>
        </w:tabs>
        <w:spacing w:before="120" w:after="120"/>
        <w:outlineLvl w:val="6"/>
        <w:rPr>
          <w:strike/>
        </w:rPr>
      </w:pPr>
      <w:r w:rsidRPr="009B1ABF">
        <w:rPr>
          <w:strike/>
        </w:rPr>
        <w:t>(7) Příspěvková organizace může po předchozím souhlasu ministerstva uděleném na základě odůvodněné žádosti zřizovat účty u bank nebo ostatních poskytovatelů platebních služeb a je povinna informovat ministerstvo do desátého dne každého měsíce o zůstatku k poslednímu dni předcházejícího měsíce a o průměrné výši prostředků za předcházející měsíc na každém z těchto účtů. Stejně postupuje také příspěvková organizace mající zastoupení v zahraničí, pokud jde o účty u zahraničních bank nebo ostatních zahraničních poskytovatelů platebních služeb.</w:t>
      </w:r>
    </w:p>
    <w:p w14:paraId="1099C1C1" w14:textId="77777777" w:rsidR="00681D7E" w:rsidRPr="005C3854" w:rsidRDefault="00681D7E" w:rsidP="003866FF">
      <w:pPr>
        <w:tabs>
          <w:tab w:val="left" w:pos="782"/>
          <w:tab w:val="left" w:pos="851"/>
        </w:tabs>
        <w:spacing w:before="120" w:after="120"/>
        <w:outlineLvl w:val="6"/>
        <w:rPr>
          <w:strike/>
        </w:rPr>
      </w:pPr>
      <w:r w:rsidRPr="009B1ABF">
        <w:rPr>
          <w:strike/>
        </w:rPr>
        <w:t>(8) Pomine-li důvod, pro který byly účty podle odstavce 7 zřízeny, převede příspěvková organizace neprodleně veškeré peněžní prostředky do České národní banky na účet, na který přijímá peněžní prostředky plynoucí z její hlavní činnosti, a účty zruší.</w:t>
      </w:r>
    </w:p>
    <w:p w14:paraId="75AAD1A4" w14:textId="77777777" w:rsidR="00681D7E" w:rsidRPr="009B1ABF" w:rsidRDefault="00681D7E" w:rsidP="00992796">
      <w:pPr>
        <w:numPr>
          <w:ilvl w:val="0"/>
          <w:numId w:val="39"/>
        </w:numPr>
        <w:spacing w:after="120"/>
        <w:jc w:val="center"/>
        <w:outlineLvl w:val="5"/>
        <w:rPr>
          <w:b/>
        </w:rPr>
      </w:pPr>
      <w:r w:rsidRPr="009B1ABF">
        <w:rPr>
          <w:b/>
        </w:rPr>
        <w:t>§ 53</w:t>
      </w:r>
    </w:p>
    <w:p w14:paraId="35397A30" w14:textId="77777777" w:rsidR="00681D7E" w:rsidRPr="009B1ABF" w:rsidRDefault="00681D7E" w:rsidP="003866FF">
      <w:pPr>
        <w:tabs>
          <w:tab w:val="left" w:pos="782"/>
          <w:tab w:val="left" w:pos="851"/>
        </w:tabs>
        <w:spacing w:before="120" w:after="120"/>
        <w:outlineLvl w:val="6"/>
        <w:rPr>
          <w:b/>
        </w:rPr>
      </w:pPr>
      <w:r w:rsidRPr="009B1ABF">
        <w:rPr>
          <w:b/>
        </w:rPr>
        <w:t>(1)</w:t>
      </w:r>
      <w:r w:rsidRPr="009B1ABF">
        <w:rPr>
          <w:b/>
        </w:rPr>
        <w:tab/>
        <w:t>Příspěvková organizace hospodaří s peněžními prostředky získanými hlavní činností a s peněžními prostředky přijatými ze státního rozpočtu pouze v rámci finančních vztahů stanovených zřizovatelem. Dále příspěvková organizace hospodaří s peněžními prostředky svých fondů, s peněžními prostředky</w:t>
      </w:r>
      <w:r w:rsidRPr="009B1ABF">
        <w:rPr>
          <w:b/>
          <w:color w:val="FF0000"/>
        </w:rPr>
        <w:t xml:space="preserve"> </w:t>
      </w:r>
      <w:r w:rsidRPr="009B1ABF">
        <w:rPr>
          <w:b/>
        </w:rPr>
        <w:t>získanými jinou činností, s peněžitými dary od fyzických a právnických osob, s peněžními prostředky poskytnutými ze zahraničí a s peněžními prostředky poskytnutými z rozpočtů územních samosprávných celků a státních fondů, včetně prostředků poskytnutých České republice z rozpočtu Evropské unie, z finančních mechanismů a přijatých příspěvkovými organizacemi z Národního fondu. Pro potřeby nakládání s cizími prostředky zřizuje příspěvková organizace účet cizích prostředků; pro nakládání s prostředky na tomto účtu platí obdobně úprava pro organizační složky státu</w:t>
      </w:r>
      <w:r w:rsidRPr="009B1ABF">
        <w:t>.</w:t>
      </w:r>
      <w:r w:rsidRPr="009B1ABF">
        <w:rPr>
          <w:b/>
        </w:rPr>
        <w:t xml:space="preserve"> Hlavní činností je činnost vymezená zřizovateli příspěvkové organizace zvláštním zákonem</w:t>
      </w:r>
      <w:r w:rsidRPr="009B1ABF">
        <w:rPr>
          <w:b/>
          <w:vertAlign w:val="superscript"/>
        </w:rPr>
        <w:footnoteReference w:customMarkFollows="1" w:id="348"/>
        <w:t>28)</w:t>
      </w:r>
      <w:r w:rsidRPr="009B1ABF">
        <w:rPr>
          <w:b/>
        </w:rPr>
        <w:t xml:space="preserve"> a vykonávaná příspěvkovou organizací. V případě příspěvkové organizace zřízené zvláštním zákonem je hlavní činností činnost vymezená zvláštním zákonem.</w:t>
      </w:r>
    </w:p>
    <w:p w14:paraId="791155C8" w14:textId="77777777" w:rsidR="00681D7E" w:rsidRPr="009B1ABF" w:rsidRDefault="00681D7E" w:rsidP="003866FF">
      <w:pPr>
        <w:numPr>
          <w:ilvl w:val="0"/>
          <w:numId w:val="39"/>
        </w:numPr>
        <w:tabs>
          <w:tab w:val="left" w:pos="782"/>
          <w:tab w:val="left" w:pos="851"/>
        </w:tabs>
        <w:spacing w:before="120" w:after="120"/>
        <w:ind w:firstLine="425"/>
        <w:outlineLvl w:val="6"/>
        <w:rPr>
          <w:b/>
        </w:rPr>
      </w:pPr>
      <w:r w:rsidRPr="009B1ABF">
        <w:rPr>
          <w:b/>
        </w:rPr>
        <w:t>(2) Hospodaření příspěvkové organizace se řídí jejím rozpočtem příjmů a výdajů tříděným podle rozpočtové skladby v rozsahu stanoveném vyhláškou vydanou podle § 4 odst. 4 a 8 odst. 3 a vyhláškou vydanou podle § 20 odst. 6, který se po zahrnutí příspěvku ze státního rozpočtu nebo odvodu do státního rozpočtu zpravidla sestavuje jako vyrovnaný. Na rozpočet příspěvkové organizace se vztahuje ustanovení § 2 odst. 2. Příspěvková organizace používá pro úhradu výdajů přednostně vlastní zdroje.</w:t>
      </w:r>
    </w:p>
    <w:p w14:paraId="2914CB66" w14:textId="77777777" w:rsidR="00681D7E" w:rsidRPr="009B1ABF" w:rsidRDefault="00681D7E" w:rsidP="003866FF">
      <w:pPr>
        <w:tabs>
          <w:tab w:val="left" w:pos="782"/>
          <w:tab w:val="left" w:pos="851"/>
        </w:tabs>
        <w:spacing w:before="120" w:after="120"/>
        <w:outlineLvl w:val="6"/>
        <w:rPr>
          <w:b/>
        </w:rPr>
      </w:pPr>
      <w:r w:rsidRPr="009B1ABF">
        <w:rPr>
          <w:b/>
        </w:rPr>
        <w:t>(3) Rozpočet po změnách stanoví příspěvkové organizaci zřizovatel</w:t>
      </w:r>
    </w:p>
    <w:p w14:paraId="1DCBD7B5" w14:textId="1F861D88" w:rsidR="00681D7E" w:rsidRPr="005C3854" w:rsidRDefault="00F8201B" w:rsidP="00F8201B">
      <w:pPr>
        <w:spacing w:before="0"/>
        <w:ind w:left="425" w:hanging="425"/>
        <w:outlineLvl w:val="7"/>
        <w:rPr>
          <w:b/>
        </w:rPr>
      </w:pPr>
      <w:r>
        <w:rPr>
          <w:b/>
        </w:rPr>
        <w:t>a)</w:t>
      </w:r>
      <w:r>
        <w:rPr>
          <w:b/>
        </w:rPr>
        <w:tab/>
      </w:r>
      <w:r w:rsidR="00681D7E" w:rsidRPr="005C3854">
        <w:rPr>
          <w:b/>
        </w:rPr>
        <w:t>před použitím fondů podle § 56 odst. 1 písm. a) až c),</w:t>
      </w:r>
    </w:p>
    <w:p w14:paraId="301EF174" w14:textId="5A68AFEC" w:rsidR="00681D7E" w:rsidRPr="005C3854" w:rsidRDefault="00F8201B" w:rsidP="00F8201B">
      <w:pPr>
        <w:spacing w:before="0"/>
        <w:ind w:left="425" w:hanging="425"/>
        <w:outlineLvl w:val="7"/>
        <w:rPr>
          <w:b/>
        </w:rPr>
      </w:pPr>
      <w:r>
        <w:rPr>
          <w:b/>
        </w:rPr>
        <w:t>b)</w:t>
      </w:r>
      <w:r>
        <w:rPr>
          <w:b/>
        </w:rPr>
        <w:tab/>
      </w:r>
      <w:r w:rsidR="00681D7E" w:rsidRPr="005C3854">
        <w:rPr>
          <w:b/>
        </w:rPr>
        <w:t>před použitím příjmů z jiné činnosti podle § 63 odst. 3,</w:t>
      </w:r>
    </w:p>
    <w:p w14:paraId="2E21B98C" w14:textId="1217C0BD" w:rsidR="00681D7E" w:rsidRPr="005C3854" w:rsidRDefault="00F8201B" w:rsidP="00F8201B">
      <w:pPr>
        <w:spacing w:before="0"/>
        <w:ind w:left="425" w:hanging="425"/>
        <w:outlineLvl w:val="7"/>
        <w:rPr>
          <w:b/>
        </w:rPr>
      </w:pPr>
      <w:r>
        <w:rPr>
          <w:b/>
        </w:rPr>
        <w:t>c)</w:t>
      </w:r>
      <w:r>
        <w:rPr>
          <w:b/>
        </w:rPr>
        <w:tab/>
      </w:r>
      <w:r w:rsidR="00681D7E" w:rsidRPr="005C3854">
        <w:rPr>
          <w:b/>
        </w:rPr>
        <w:t>před tím, než nastanou změny v plánovaných příjmech a předpokládaných výdajích.</w:t>
      </w:r>
    </w:p>
    <w:p w14:paraId="5ED7F17F" w14:textId="2B785F59" w:rsidR="00681D7E" w:rsidRPr="009B1ABF" w:rsidRDefault="00681D7E" w:rsidP="003866FF">
      <w:pPr>
        <w:tabs>
          <w:tab w:val="left" w:pos="782"/>
          <w:tab w:val="left" w:pos="851"/>
        </w:tabs>
        <w:spacing w:before="120" w:after="120"/>
        <w:outlineLvl w:val="6"/>
        <w:rPr>
          <w:b/>
        </w:rPr>
      </w:pPr>
      <w:r w:rsidRPr="009B1ABF">
        <w:rPr>
          <w:b/>
        </w:rPr>
        <w:lastRenderedPageBreak/>
        <w:t xml:space="preserve">(4) Příspěvková organizace je povinna dbát, aby plnila určené úkoly nejhospodárnějším způsobem a dodržela stanovené finanční vztahy ke státnímu rozpočtu. Peněžní prostředky, kterými disponuje, může používat jen k účelům, na které jsou určeny, a to na krytí nezbytných potřeb, na opatření zakládající se na právních předpisech a na krytí opatření nutných k zabezpečení nerušeného chodu organizace. Peněžní prostředky na účtech, ze kterých hradí příspěvková organizace výdaje na hlavní činnost, může použít také na úhradu pořízení a zhodnocení dlouhodobého hmotného a nehmotného majetku, se kterým hospodaří. </w:t>
      </w:r>
    </w:p>
    <w:p w14:paraId="1D587379" w14:textId="77777777" w:rsidR="00681D7E" w:rsidRPr="009B1ABF" w:rsidRDefault="00681D7E" w:rsidP="003866FF">
      <w:pPr>
        <w:tabs>
          <w:tab w:val="left" w:pos="851"/>
        </w:tabs>
        <w:spacing w:before="120" w:after="120"/>
        <w:rPr>
          <w:b/>
        </w:rPr>
      </w:pPr>
      <w:r w:rsidRPr="009B1ABF">
        <w:rPr>
          <w:b/>
        </w:rPr>
        <w:t>(5) Jestliže je v průběhu rozpočtového roku ohrožena schopnost příspěvkové organizace plnit její splatné dluhy z hlavní činnosti, je příspěvková organizace povinna učinit opatření k odstranění tohoto ohrožení.</w:t>
      </w:r>
    </w:p>
    <w:p w14:paraId="6552B6BB" w14:textId="77777777" w:rsidR="00681D7E" w:rsidRPr="009B1ABF" w:rsidRDefault="00681D7E" w:rsidP="003866FF">
      <w:pPr>
        <w:numPr>
          <w:ilvl w:val="0"/>
          <w:numId w:val="39"/>
        </w:numPr>
        <w:tabs>
          <w:tab w:val="left" w:pos="851"/>
        </w:tabs>
        <w:spacing w:before="120" w:after="120"/>
        <w:ind w:firstLine="425"/>
        <w:rPr>
          <w:b/>
        </w:rPr>
      </w:pPr>
      <w:r w:rsidRPr="009B1ABF">
        <w:rPr>
          <w:b/>
        </w:rPr>
        <w:t xml:space="preserve"> (6) Příspěvková organizace je povinna do 15 pracovních dnů po připsání částky na její účet odvést do státního rozpočtu příjmy z prodeje nemovitého majetku České republiky, se kterým hospodaří, s výjimkou příjmů z prodeje nemovitého majetku, který příspěvková organizace nabyla darem nebo děděním.</w:t>
      </w:r>
    </w:p>
    <w:p w14:paraId="3139129B" w14:textId="77777777" w:rsidR="00681D7E" w:rsidRPr="009B1ABF" w:rsidRDefault="00681D7E" w:rsidP="003866FF">
      <w:pPr>
        <w:numPr>
          <w:ilvl w:val="0"/>
          <w:numId w:val="39"/>
        </w:numPr>
        <w:tabs>
          <w:tab w:val="left" w:pos="782"/>
          <w:tab w:val="left" w:pos="851"/>
        </w:tabs>
        <w:spacing w:before="120" w:after="120"/>
        <w:ind w:firstLine="425"/>
        <w:outlineLvl w:val="6"/>
        <w:rPr>
          <w:b/>
        </w:rPr>
      </w:pPr>
      <w:r w:rsidRPr="009B1ABF">
        <w:rPr>
          <w:b/>
        </w:rPr>
        <w:t>(7) Příspěvková organizace může po předchozím souhlasu ministerstva uděleném na základě odůvodněné žádosti zřizovat účty u bank nebo ostatních poskytovatelů platebních služeb a je povinna informovat ministerstvo do desátého dne každého měsíce o zůstatku k poslednímu dni předcházejícího měsíce a o průměrné výši prostředků za předcházející měsíc na každém z těchto účtů. Stejně postupuje také příspěvková organizace mající zastoupení v zahraničí, pokud jde o účty u zahraničních bank nebo ostatních zahraničních poskytovatelů platebních služeb.</w:t>
      </w:r>
    </w:p>
    <w:p w14:paraId="758B82A5" w14:textId="77777777" w:rsidR="00681D7E" w:rsidRPr="009B1ABF" w:rsidRDefault="00681D7E" w:rsidP="003866FF">
      <w:pPr>
        <w:numPr>
          <w:ilvl w:val="0"/>
          <w:numId w:val="39"/>
        </w:numPr>
        <w:tabs>
          <w:tab w:val="left" w:pos="782"/>
          <w:tab w:val="left" w:pos="851"/>
        </w:tabs>
        <w:spacing w:before="120" w:after="120"/>
        <w:ind w:firstLine="425"/>
        <w:outlineLvl w:val="6"/>
        <w:rPr>
          <w:b/>
        </w:rPr>
      </w:pPr>
      <w:r w:rsidRPr="009B1ABF">
        <w:rPr>
          <w:b/>
        </w:rPr>
        <w:t>(8) Pomine-li důvod, pro který byly účty podle odstavce 7 zřízeny, převede příspěvková organizace neprodleně veškeré peněžní prostředky do České národní banky na účet, na který přijímá peněžní prostředky plynoucí z její hlavní činnosti, a účty zruší.</w:t>
      </w:r>
    </w:p>
    <w:p w14:paraId="041FF8F1" w14:textId="77777777" w:rsidR="00681D7E" w:rsidRPr="009B1ABF" w:rsidRDefault="00681D7E" w:rsidP="003866FF">
      <w:pPr>
        <w:numPr>
          <w:ilvl w:val="0"/>
          <w:numId w:val="39"/>
        </w:numPr>
        <w:tabs>
          <w:tab w:val="left" w:pos="782"/>
          <w:tab w:val="left" w:pos="851"/>
        </w:tabs>
        <w:spacing w:before="120" w:after="120"/>
        <w:ind w:firstLine="425"/>
        <w:outlineLvl w:val="6"/>
        <w:rPr>
          <w:b/>
        </w:rPr>
      </w:pPr>
      <w:r w:rsidRPr="009B1ABF">
        <w:rPr>
          <w:b/>
        </w:rPr>
        <w:t xml:space="preserve">(9) Příspěvková organizace převede prostředky na výplatu platů, náhrad platů, mezd, náhrad mezd, a ostatních plateb za provedenou práci za měsíc prosinec včetně výdajů s nimi souvisejících a včetně cestovného a ostatních náhrad vyplácených současně s platem nebo mzdou do 31. prosince běžného roku na účet cizích prostředků. Případně nevyčerpané prostředky převede státní příspěvková organizace z účtu cizích prostředků na účet, na který přijímá peněžní prostředky plynoucí z její hlavní činnosti v den výplatního termínu platů nebo mezd za měsíc prosinec. Výdaji souvisejícími s výplatou platů nebo mezd jsou pojistné na sociální zabezpečení, pojistné na veřejné zdravotní pojištění a příděl do fondu kulturních a sociálních potřeb. </w:t>
      </w:r>
    </w:p>
    <w:p w14:paraId="599DF8E9" w14:textId="77777777" w:rsidR="00681D7E" w:rsidRPr="009B1ABF" w:rsidRDefault="00681D7E" w:rsidP="00992796">
      <w:pPr>
        <w:numPr>
          <w:ilvl w:val="0"/>
          <w:numId w:val="39"/>
        </w:numPr>
        <w:spacing w:after="120"/>
        <w:jc w:val="center"/>
        <w:outlineLvl w:val="5"/>
      </w:pPr>
      <w:r w:rsidRPr="009B1ABF">
        <w:t>***</w:t>
      </w:r>
    </w:p>
    <w:p w14:paraId="1C62E7CD" w14:textId="77777777" w:rsidR="00681D7E" w:rsidRPr="009B1ABF" w:rsidRDefault="00681D7E" w:rsidP="00992796">
      <w:pPr>
        <w:numPr>
          <w:ilvl w:val="0"/>
          <w:numId w:val="39"/>
        </w:numPr>
        <w:spacing w:after="120"/>
        <w:jc w:val="center"/>
        <w:outlineLvl w:val="5"/>
      </w:pPr>
      <w:r w:rsidRPr="009B1ABF">
        <w:t>§ 54</w:t>
      </w:r>
    </w:p>
    <w:p w14:paraId="19635F31" w14:textId="77777777" w:rsidR="00681D7E" w:rsidRPr="009B1ABF" w:rsidRDefault="00681D7E" w:rsidP="003866FF">
      <w:pPr>
        <w:numPr>
          <w:ilvl w:val="0"/>
          <w:numId w:val="39"/>
        </w:numPr>
        <w:tabs>
          <w:tab w:val="left" w:pos="782"/>
          <w:tab w:val="left" w:pos="851"/>
        </w:tabs>
        <w:spacing w:before="120" w:after="120"/>
        <w:ind w:firstLine="425"/>
        <w:outlineLvl w:val="6"/>
      </w:pPr>
      <w:r w:rsidRPr="009B1ABF">
        <w:t>(1) Finanční vztahy stanovené zřizovatelem jsou</w:t>
      </w:r>
    </w:p>
    <w:p w14:paraId="1447ABBA" w14:textId="77777777" w:rsidR="00681D7E" w:rsidRPr="009B1ABF" w:rsidRDefault="00681D7E" w:rsidP="00F8201B">
      <w:pPr>
        <w:tabs>
          <w:tab w:val="left" w:pos="708"/>
        </w:tabs>
        <w:spacing w:before="0"/>
        <w:ind w:left="425" w:hanging="425"/>
        <w:outlineLvl w:val="7"/>
      </w:pPr>
      <w:r w:rsidRPr="009B1ABF">
        <w:t xml:space="preserve">a) </w:t>
      </w:r>
      <w:r w:rsidRPr="009B1ABF">
        <w:tab/>
        <w:t>příspěvek na provoz ze státního rozpočtu nebo odvod z provozu do státního rozpočtu,</w:t>
      </w:r>
    </w:p>
    <w:p w14:paraId="1C93B8A4" w14:textId="77777777" w:rsidR="00681D7E" w:rsidRPr="009B1ABF" w:rsidRDefault="00681D7E" w:rsidP="00F8201B">
      <w:pPr>
        <w:tabs>
          <w:tab w:val="left" w:pos="708"/>
        </w:tabs>
        <w:spacing w:before="0"/>
        <w:ind w:left="425" w:hanging="425"/>
        <w:outlineLvl w:val="7"/>
      </w:pPr>
      <w:r w:rsidRPr="009B1ABF">
        <w:t xml:space="preserve">b) </w:t>
      </w:r>
      <w:r w:rsidRPr="009B1ABF">
        <w:tab/>
        <w:t>individuální a systémové dotace na financování dotačních investičních akcí,</w:t>
      </w:r>
    </w:p>
    <w:p w14:paraId="6A1F3CA6" w14:textId="77777777" w:rsidR="00681D7E" w:rsidRPr="009B1ABF" w:rsidRDefault="00681D7E" w:rsidP="00F8201B">
      <w:pPr>
        <w:tabs>
          <w:tab w:val="left" w:pos="708"/>
        </w:tabs>
        <w:spacing w:before="0"/>
        <w:ind w:left="425" w:hanging="425"/>
        <w:outlineLvl w:val="7"/>
      </w:pPr>
      <w:r w:rsidRPr="009B1ABF">
        <w:t xml:space="preserve">c) </w:t>
      </w:r>
      <w:r w:rsidRPr="009B1ABF">
        <w:tab/>
        <w:t>návratná finanční výpomoc,</w:t>
      </w:r>
    </w:p>
    <w:p w14:paraId="4B669AAC" w14:textId="77777777" w:rsidR="00681D7E" w:rsidRPr="009B1ABF" w:rsidRDefault="00681D7E" w:rsidP="00F8201B">
      <w:pPr>
        <w:tabs>
          <w:tab w:val="left" w:pos="708"/>
        </w:tabs>
        <w:spacing w:before="0"/>
        <w:ind w:left="425" w:hanging="425"/>
        <w:outlineLvl w:val="7"/>
        <w:rPr>
          <w:strike/>
        </w:rPr>
      </w:pPr>
      <w:r w:rsidRPr="009B1ABF">
        <w:rPr>
          <w:strike/>
        </w:rPr>
        <w:t xml:space="preserve">d) </w:t>
      </w:r>
      <w:r w:rsidRPr="009B1ABF">
        <w:rPr>
          <w:strike/>
        </w:rPr>
        <w:tab/>
        <w:t>odvod z odpisů,</w:t>
      </w:r>
    </w:p>
    <w:p w14:paraId="3A48A7AE" w14:textId="77777777" w:rsidR="00681D7E" w:rsidRPr="009B1ABF" w:rsidRDefault="00681D7E" w:rsidP="00F8201B">
      <w:pPr>
        <w:tabs>
          <w:tab w:val="left" w:pos="708"/>
        </w:tabs>
        <w:spacing w:before="0"/>
        <w:ind w:left="425" w:hanging="425"/>
        <w:outlineLvl w:val="7"/>
        <w:rPr>
          <w:b/>
        </w:rPr>
      </w:pPr>
      <w:r w:rsidRPr="009B1ABF">
        <w:rPr>
          <w:b/>
        </w:rPr>
        <w:t xml:space="preserve">d) </w:t>
      </w:r>
      <w:r w:rsidRPr="009B1ABF">
        <w:rPr>
          <w:b/>
        </w:rPr>
        <w:tab/>
        <w:t xml:space="preserve">odvod disponibilních peněžních prostředků nebo jeho části, který příspěvková organizace nevyužije k pořízení nebo zhodnocení dlouhodobého hmotného nebo nehmotného majetku, se kterým hospodaří nebo odvod disponibilních peněžních </w:t>
      </w:r>
      <w:r w:rsidRPr="009B1ABF">
        <w:rPr>
          <w:b/>
        </w:rPr>
        <w:lastRenderedPageBreak/>
        <w:t>prostředků nebo jejich části z peněžních fondů podle § 56 odst. 1 písm. a) až c), které příspěvková organizace nevyužije,</w:t>
      </w:r>
    </w:p>
    <w:p w14:paraId="105586F8" w14:textId="77777777" w:rsidR="00681D7E" w:rsidRPr="009B1ABF" w:rsidRDefault="00681D7E" w:rsidP="00F8201B">
      <w:pPr>
        <w:tabs>
          <w:tab w:val="left" w:pos="708"/>
        </w:tabs>
        <w:spacing w:before="0"/>
        <w:ind w:left="425" w:hanging="425"/>
        <w:outlineLvl w:val="7"/>
      </w:pPr>
      <w:r w:rsidRPr="009B1ABF">
        <w:t xml:space="preserve">e) </w:t>
      </w:r>
      <w:r w:rsidRPr="009B1ABF">
        <w:tab/>
        <w:t>dotace na úhradu výdajů, které jsou nebo mají být kryty z rozpočtu Evropské unie včetně stanoveného podílu státního rozpočtu na financování těchto výdajů,</w:t>
      </w:r>
    </w:p>
    <w:p w14:paraId="3C2799E2" w14:textId="77777777" w:rsidR="00681D7E" w:rsidRPr="009B1ABF" w:rsidRDefault="00681D7E" w:rsidP="00F8201B">
      <w:pPr>
        <w:tabs>
          <w:tab w:val="left" w:pos="708"/>
        </w:tabs>
        <w:spacing w:before="0"/>
        <w:ind w:left="425" w:hanging="425"/>
        <w:outlineLvl w:val="7"/>
      </w:pPr>
      <w:r w:rsidRPr="009B1ABF">
        <w:t xml:space="preserve">f) </w:t>
      </w:r>
      <w:r w:rsidRPr="009B1ABF">
        <w:tab/>
        <w:t>dotace na úhradu výdajů podle mezinárodních smluv, na základě kterých jsou České republice svěřeny peněžní prostředky z finančních mechanismů včetně stanoveného podílu státního rozpočtu na financování těchto výdajů.</w:t>
      </w:r>
    </w:p>
    <w:p w14:paraId="56473902" w14:textId="77777777" w:rsidR="00681D7E" w:rsidRPr="009B1ABF" w:rsidRDefault="00681D7E" w:rsidP="003866FF">
      <w:pPr>
        <w:tabs>
          <w:tab w:val="left" w:pos="851"/>
        </w:tabs>
        <w:spacing w:before="120" w:after="120"/>
        <w:outlineLvl w:val="6"/>
      </w:pPr>
      <w:r w:rsidRPr="009B1ABF">
        <w:t xml:space="preserve">(2) </w:t>
      </w:r>
      <w:r w:rsidRPr="009B1ABF">
        <w:rPr>
          <w:strike/>
        </w:rPr>
        <w:t>Příspěvek na provoz se stanoví v případě, že rozpočtované náklady bez příspěvku ze státního rozpočtu překračují rozpočtované výnosy. Odvod z provozu stanoví zřizovatel příspěvkové organizaci v případě, že její rozpočtované výnosy překračují rozpočtované náklady. Výše příspěvku na provoz nebo výše odvodu z provozu se stanoví jako rozdíl objemu rozpočtovaných nákladů a výnosů hlavní činnosti.</w:t>
      </w:r>
      <w:r w:rsidRPr="009B1ABF">
        <w:t xml:space="preserve"> </w:t>
      </w:r>
      <w:r w:rsidRPr="009B1ABF">
        <w:rPr>
          <w:b/>
        </w:rPr>
        <w:t xml:space="preserve">Příspěvek na provoz zřizovatel příspěvkové organizaci může stanovit, překračují-li rozpočtované výdaje bez příspěvku ze státního rozpočtu rozpočtované příjmy. Odvod z provozu zřizovatel příspěvkové organizaci může stanovit, překračují-li rozpočtované příjmy rozpočtované výdaje. Výši příspěvku na provoz, nebo výši odvodu z provozu zřizovatel stanoví až do výše rozdílu rozpočtovaných příjmů a výdajů v hlavní činnosti příspěvkové organizace. </w:t>
      </w:r>
      <w:r w:rsidRPr="009B1ABF">
        <w:t xml:space="preserve">Výši příspěvku na provoz a jeho čerpání během roku může zřizovatel vázat na předem stanovené ukazatele, a to zpravidla na jednotku výkonů zabezpečovaných příspěvkovou organizací. Pokud není příspěvek vázán na jednotku výkonů, je organizace oprávněna </w:t>
      </w:r>
      <w:r w:rsidRPr="009B1ABF">
        <w:rPr>
          <w:strike/>
        </w:rPr>
        <w:t xml:space="preserve">čerpat příspěvek na </w:t>
      </w:r>
      <w:proofErr w:type="gramStart"/>
      <w:r w:rsidRPr="009B1ABF">
        <w:rPr>
          <w:strike/>
        </w:rPr>
        <w:t>činnost</w:t>
      </w:r>
      <w:r w:rsidRPr="009B1ABF">
        <w:t xml:space="preserve">  </w:t>
      </w:r>
      <w:r w:rsidRPr="009B1ABF">
        <w:rPr>
          <w:b/>
        </w:rPr>
        <w:t>využít</w:t>
      </w:r>
      <w:proofErr w:type="gramEnd"/>
      <w:r w:rsidRPr="009B1ABF">
        <w:rPr>
          <w:b/>
        </w:rPr>
        <w:t xml:space="preserve"> příspěvek na provoz </w:t>
      </w:r>
      <w:r w:rsidRPr="009B1ABF">
        <w:t>do výše závazně stanovené zřizovatelem.</w:t>
      </w:r>
    </w:p>
    <w:p w14:paraId="0562EDA1" w14:textId="77777777" w:rsidR="00681D7E" w:rsidRPr="009B1ABF" w:rsidRDefault="00681D7E" w:rsidP="003866FF">
      <w:pPr>
        <w:tabs>
          <w:tab w:val="left" w:pos="851"/>
        </w:tabs>
        <w:spacing w:before="120" w:after="120"/>
        <w:outlineLvl w:val="6"/>
      </w:pPr>
      <w:r w:rsidRPr="009B1ABF">
        <w:t>(3) Při významné změně podmínek, za nichž byl stanoven finanční vztah ke státnímu rozpočtu, krátí zřizovatel příspěvkové organizaci stanovený příspěvek nebo uloží nerozpočtovaný odvod z provozu nebo může zvýšit stanovený příspěvek. Příspěvková organizace je povinna takovouto změnu podmínek zřizovateli neprodleně oznámit. V případě stanovení nerozpočtovaného odvodu z provozu stanoví zřizovatel termín splatnosti odvodu.</w:t>
      </w:r>
    </w:p>
    <w:p w14:paraId="3F42DC2E" w14:textId="77777777" w:rsidR="00681D7E" w:rsidRPr="009B1ABF" w:rsidRDefault="00681D7E" w:rsidP="003866FF">
      <w:pPr>
        <w:tabs>
          <w:tab w:val="left" w:pos="851"/>
        </w:tabs>
        <w:spacing w:before="120" w:after="120"/>
        <w:outlineLvl w:val="6"/>
        <w:rPr>
          <w:strike/>
        </w:rPr>
      </w:pPr>
      <w:r w:rsidRPr="009B1ABF">
        <w:rPr>
          <w:strike/>
        </w:rPr>
        <w:t>(4) Návratnou finanční výpomoc lze poskytnout v případě, že zřizovatel rozhodne o úhradě zhoršeného hospodářského výsledku podle § 55 odst. 2 písm. c). Návratná finanční výpomoc poskytnutá v případě, že zřizovatel rozhodne o úhradě zhoršeného hospodářského výsledku podle § 55 odst. 2 písm. c), musí být vrácena do konce rozpočtového roku, v němž měl být zhoršený hospodářský výsledek uhrazen.</w:t>
      </w:r>
    </w:p>
    <w:p w14:paraId="0305AE60" w14:textId="77777777" w:rsidR="00681D7E" w:rsidRPr="009B1ABF" w:rsidRDefault="00681D7E" w:rsidP="003866FF">
      <w:pPr>
        <w:tabs>
          <w:tab w:val="left" w:pos="851"/>
        </w:tabs>
        <w:spacing w:before="120" w:after="120"/>
        <w:outlineLvl w:val="6"/>
        <w:rPr>
          <w:b/>
          <w:color w:val="FF0000"/>
        </w:rPr>
      </w:pPr>
      <w:r w:rsidRPr="009B1ABF">
        <w:rPr>
          <w:b/>
        </w:rPr>
        <w:t>(4) Návratnou finanční výpomoc může zřizovatel příspěvkové organizaci poskytnout, není-li příspěvková organizace schopna bez této návratné finanční výpomoci hradit splatné dluhy z její hlavní činnosti.</w:t>
      </w:r>
    </w:p>
    <w:p w14:paraId="0BFF4E4D" w14:textId="77777777" w:rsidR="00681D7E" w:rsidRPr="009B1ABF" w:rsidRDefault="00681D7E" w:rsidP="003866FF">
      <w:pPr>
        <w:tabs>
          <w:tab w:val="left" w:pos="851"/>
        </w:tabs>
        <w:spacing w:before="120" w:after="120"/>
        <w:outlineLvl w:val="6"/>
      </w:pPr>
      <w:r w:rsidRPr="009B1ABF">
        <w:t xml:space="preserve">(5) Odvod </w:t>
      </w:r>
      <w:r w:rsidRPr="009B1ABF">
        <w:rPr>
          <w:strike/>
        </w:rPr>
        <w:t>odpisů</w:t>
      </w:r>
      <w:r w:rsidRPr="009B1ABF">
        <w:t xml:space="preserve"> </w:t>
      </w:r>
      <w:r w:rsidRPr="009B1ABF">
        <w:rPr>
          <w:b/>
        </w:rPr>
        <w:t xml:space="preserve">podle odstavce 1 písm. d) </w:t>
      </w:r>
      <w:r w:rsidRPr="009B1ABF">
        <w:t>může zřizovatel stanovit</w:t>
      </w:r>
    </w:p>
    <w:p w14:paraId="5C6BA701" w14:textId="77777777" w:rsidR="00681D7E" w:rsidRPr="009B1ABF" w:rsidRDefault="00681D7E" w:rsidP="00F8201B">
      <w:pPr>
        <w:tabs>
          <w:tab w:val="left" w:pos="708"/>
        </w:tabs>
        <w:spacing w:before="0"/>
        <w:ind w:left="425" w:hanging="425"/>
        <w:outlineLvl w:val="7"/>
      </w:pPr>
      <w:r w:rsidRPr="009B1ABF">
        <w:t>a)</w:t>
      </w:r>
      <w:r w:rsidRPr="009B1ABF">
        <w:tab/>
        <w:t>jestliže nepočítá s dalším rozvojem činnosti příspěvkové organizace a postupně omezuje její činnost,</w:t>
      </w:r>
    </w:p>
    <w:p w14:paraId="28F2C9B1" w14:textId="77777777" w:rsidR="00681D7E" w:rsidRPr="009B1ABF" w:rsidRDefault="00681D7E" w:rsidP="00F8201B">
      <w:pPr>
        <w:tabs>
          <w:tab w:val="left" w:pos="708"/>
        </w:tabs>
        <w:spacing w:before="0"/>
        <w:ind w:left="425" w:hanging="425"/>
        <w:outlineLvl w:val="7"/>
      </w:pPr>
      <w:r w:rsidRPr="009B1ABF">
        <w:t>b)</w:t>
      </w:r>
      <w:r w:rsidRPr="009B1ABF">
        <w:tab/>
        <w:t>jestliže uvažuje o jejím zrušení,</w:t>
      </w:r>
    </w:p>
    <w:p w14:paraId="05304AEB" w14:textId="77777777" w:rsidR="00681D7E" w:rsidRPr="009B1ABF" w:rsidRDefault="00681D7E" w:rsidP="00F8201B">
      <w:pPr>
        <w:tabs>
          <w:tab w:val="left" w:pos="708"/>
        </w:tabs>
        <w:spacing w:before="0"/>
        <w:ind w:left="425" w:hanging="425"/>
        <w:outlineLvl w:val="7"/>
        <w:rPr>
          <w:strike/>
        </w:rPr>
      </w:pPr>
      <w:r w:rsidRPr="009B1ABF">
        <w:rPr>
          <w:strike/>
        </w:rPr>
        <w:t>c)</w:t>
      </w:r>
      <w:r w:rsidRPr="009B1ABF">
        <w:rPr>
          <w:strike/>
        </w:rPr>
        <w:tab/>
        <w:t>v případě, kdy objem odpisů výrazně převyšuje reálné potřeby příspěvkové organizace v oblasti reprodukce dlouhodobého majetku; v tomto případě nesmí celkový odvod odpisů převyšovat objem odpisů z nemovitého.</w:t>
      </w:r>
    </w:p>
    <w:p w14:paraId="28B6D504" w14:textId="77777777" w:rsidR="00681D7E" w:rsidRPr="009B1ABF" w:rsidRDefault="00681D7E" w:rsidP="00F8201B">
      <w:pPr>
        <w:tabs>
          <w:tab w:val="left" w:pos="708"/>
        </w:tabs>
        <w:spacing w:before="0"/>
        <w:ind w:left="425" w:hanging="425"/>
        <w:outlineLvl w:val="7"/>
        <w:rPr>
          <w:b/>
        </w:rPr>
      </w:pPr>
      <w:r w:rsidRPr="009B1ABF">
        <w:rPr>
          <w:b/>
        </w:rPr>
        <w:t>c)</w:t>
      </w:r>
      <w:r w:rsidRPr="009B1ABF">
        <w:rPr>
          <w:b/>
        </w:rPr>
        <w:tab/>
        <w:t>v případě, kdy peněžní prostředky účelově určené na pořízení nebo zhodnocení dlouhodobého hmotného nebo nehmotného majetku, se kterým příspěvková organizace hospodaří, jsou vyšší než jejich skutečná potřeba v této příspěvkové organizaci.</w:t>
      </w:r>
    </w:p>
    <w:p w14:paraId="0916C469" w14:textId="77777777" w:rsidR="00681D7E" w:rsidRPr="009B1ABF" w:rsidRDefault="00681D7E" w:rsidP="003866FF">
      <w:pPr>
        <w:tabs>
          <w:tab w:val="left" w:pos="851"/>
        </w:tabs>
        <w:spacing w:before="120" w:after="120"/>
        <w:outlineLvl w:val="6"/>
        <w:rPr>
          <w:strike/>
        </w:rPr>
      </w:pPr>
      <w:r w:rsidRPr="009B1ABF">
        <w:rPr>
          <w:strike/>
        </w:rPr>
        <w:lastRenderedPageBreak/>
        <w:t>(6) Odvody odpisů lze nařídit vždy pouze v běžném roce, a to do výše zdrojů v tomto roce vytvořených.</w:t>
      </w:r>
    </w:p>
    <w:p w14:paraId="4979AE56" w14:textId="77777777" w:rsidR="00681D7E" w:rsidRPr="009B1ABF" w:rsidRDefault="00681D7E" w:rsidP="003866FF">
      <w:pPr>
        <w:tabs>
          <w:tab w:val="left" w:pos="851"/>
        </w:tabs>
        <w:spacing w:before="120" w:after="120"/>
        <w:outlineLvl w:val="6"/>
        <w:rPr>
          <w:strike/>
        </w:rPr>
      </w:pPr>
      <w:proofErr w:type="gramStart"/>
      <w:r w:rsidRPr="009B1ABF">
        <w:rPr>
          <w:strike/>
        </w:rPr>
        <w:t xml:space="preserve">(7) </w:t>
      </w:r>
      <w:r w:rsidRPr="009B1ABF">
        <w:rPr>
          <w:b/>
          <w:strike/>
        </w:rPr>
        <w:t>(6)</w:t>
      </w:r>
      <w:r w:rsidRPr="009B1ABF">
        <w:rPr>
          <w:strike/>
        </w:rPr>
        <w:t xml:space="preserve"> Pokud</w:t>
      </w:r>
      <w:proofErr w:type="gramEnd"/>
      <w:r w:rsidRPr="009B1ABF">
        <w:rPr>
          <w:strike/>
        </w:rPr>
        <w:t xml:space="preserve"> se prostředky poskytnuté podle odstavce 1 písm. b), e) a f) nespotřebují do konce kalendářního roku, převádějí se do rezervního fondu jako zdroj financování v následujících letech a mohou se použít pouze na stanovený účel. V rezervním fondu se tyto zdroje sledují odděleně. Prostředky, které na stanovený účel nebyly použity, podléhají finančnímu vypořádání se státním rozpočtem za rok, ve kterém byl splněn účel, na který byla dotace poskytnuta.</w:t>
      </w:r>
    </w:p>
    <w:p w14:paraId="5C21E9F0" w14:textId="77777777" w:rsidR="00681D7E" w:rsidRPr="009B1ABF" w:rsidRDefault="00681D7E" w:rsidP="003866FF">
      <w:pPr>
        <w:tabs>
          <w:tab w:val="left" w:pos="851"/>
        </w:tabs>
        <w:spacing w:before="120" w:after="120"/>
        <w:outlineLvl w:val="6"/>
        <w:rPr>
          <w:b/>
        </w:rPr>
      </w:pPr>
      <w:r w:rsidRPr="009B1ABF">
        <w:rPr>
          <w:b/>
        </w:rPr>
        <w:t>(6) Pokud se peněžní prostředky poskytnuté podle odstavce 1 písm. b), e) a f) nespotřebují do konce kalendářního roku, převádějí se, do příslušného peněžního fondu podle § 56 odst. 1 písm. a) a b) na stanovený účel jako zdroj financování v následujících letech. V příslušných fondech se tyto zdroje sledují odděleně. Peněžní prostředky, které na stanovený účel nebyly použity, podléhají finančnímu vypořádání se státním rozpočtem za rok, ve kterém byl splněn účel, na který byla dotace poskytnuta.</w:t>
      </w:r>
    </w:p>
    <w:p w14:paraId="1C188E15" w14:textId="77777777" w:rsidR="00681D7E" w:rsidRPr="009B1ABF" w:rsidRDefault="00681D7E" w:rsidP="00F8201B">
      <w:pPr>
        <w:tabs>
          <w:tab w:val="left" w:pos="851"/>
        </w:tabs>
        <w:spacing w:after="120"/>
        <w:ind w:firstLine="0"/>
        <w:jc w:val="center"/>
        <w:outlineLvl w:val="6"/>
      </w:pPr>
      <w:r w:rsidRPr="009B1ABF">
        <w:t>***</w:t>
      </w:r>
    </w:p>
    <w:p w14:paraId="750F72B3" w14:textId="77777777" w:rsidR="00681D7E" w:rsidRPr="009B1ABF" w:rsidRDefault="00681D7E" w:rsidP="00F8201B">
      <w:pPr>
        <w:tabs>
          <w:tab w:val="left" w:pos="851"/>
        </w:tabs>
        <w:spacing w:after="120"/>
        <w:ind w:firstLine="0"/>
        <w:jc w:val="center"/>
        <w:outlineLvl w:val="6"/>
        <w:rPr>
          <w:strike/>
        </w:rPr>
      </w:pPr>
      <w:r w:rsidRPr="009B1ABF">
        <w:rPr>
          <w:strike/>
        </w:rPr>
        <w:t>§ 55</w:t>
      </w:r>
    </w:p>
    <w:p w14:paraId="6CB02A45" w14:textId="77777777" w:rsidR="00681D7E" w:rsidRPr="009B1ABF" w:rsidRDefault="00681D7E" w:rsidP="003866FF">
      <w:pPr>
        <w:tabs>
          <w:tab w:val="left" w:pos="782"/>
          <w:tab w:val="left" w:pos="851"/>
        </w:tabs>
        <w:spacing w:before="120" w:after="120"/>
        <w:outlineLvl w:val="6"/>
        <w:rPr>
          <w:strike/>
        </w:rPr>
      </w:pPr>
      <w:r w:rsidRPr="009B1ABF">
        <w:rPr>
          <w:strike/>
        </w:rPr>
        <w:t>(1)</w:t>
      </w:r>
      <w:r w:rsidRPr="009B1ABF">
        <w:rPr>
          <w:strike/>
        </w:rPr>
        <w:tab/>
        <w:t>Hospodářský výsledek příspěvkové organizace je tvořen výsledkem hospodaření z hlavní činnosti a ziskem vytvořeným v jiné činnosti po zdanění.</w:t>
      </w:r>
    </w:p>
    <w:p w14:paraId="3D5292FA" w14:textId="77777777" w:rsidR="00681D7E" w:rsidRPr="009B1ABF" w:rsidRDefault="00681D7E" w:rsidP="003866FF">
      <w:pPr>
        <w:tabs>
          <w:tab w:val="left" w:pos="782"/>
          <w:tab w:val="left" w:pos="851"/>
        </w:tabs>
        <w:spacing w:before="120" w:after="120"/>
        <w:outlineLvl w:val="6"/>
        <w:rPr>
          <w:strike/>
        </w:rPr>
      </w:pPr>
      <w:r w:rsidRPr="009B1ABF">
        <w:rPr>
          <w:strike/>
        </w:rPr>
        <w:t>(2)</w:t>
      </w:r>
      <w:r w:rsidRPr="009B1ABF">
        <w:rPr>
          <w:strike/>
        </w:rPr>
        <w:tab/>
        <w:t>Jestliže hospodaření příspěvkové organizace za běžný rok skončí ztrátou po zahrnutí příspěvku (dále jen "zhoršený hospodářský výsledek"), je zřizovatel povinen projednat s příspěvkovou organizací zabezpečení jeho úhrady do konce následujícího rozpočtového roku. Úhrada zhoršeného hospodářského výsledku se zajistí</w:t>
      </w:r>
    </w:p>
    <w:p w14:paraId="23DD48AE" w14:textId="77777777" w:rsidR="00681D7E" w:rsidRPr="009B1ABF" w:rsidRDefault="00681D7E" w:rsidP="00F8201B">
      <w:pPr>
        <w:spacing w:before="0"/>
        <w:ind w:left="425" w:hanging="425"/>
        <w:outlineLvl w:val="7"/>
        <w:rPr>
          <w:strike/>
        </w:rPr>
      </w:pPr>
      <w:r w:rsidRPr="009B1ABF">
        <w:rPr>
          <w:strike/>
        </w:rPr>
        <w:t>a)</w:t>
      </w:r>
      <w:r w:rsidRPr="009B1ABF">
        <w:rPr>
          <w:strike/>
        </w:rPr>
        <w:tab/>
        <w:t>z rezervního fondu příspěvkové organizace,</w:t>
      </w:r>
    </w:p>
    <w:p w14:paraId="7B39F61A" w14:textId="77777777" w:rsidR="00681D7E" w:rsidRPr="009B1ABF" w:rsidRDefault="00681D7E" w:rsidP="00F8201B">
      <w:pPr>
        <w:spacing w:before="0"/>
        <w:ind w:left="425" w:hanging="425"/>
        <w:outlineLvl w:val="7"/>
        <w:rPr>
          <w:strike/>
        </w:rPr>
      </w:pPr>
      <w:r w:rsidRPr="009B1ABF">
        <w:rPr>
          <w:strike/>
        </w:rPr>
        <w:t>b)</w:t>
      </w:r>
      <w:r w:rsidRPr="009B1ABF">
        <w:rPr>
          <w:strike/>
        </w:rPr>
        <w:tab/>
        <w:t>z rozpočtu kapitoly zřizovatele, není-li dostatek prostředků v rezervním fondu příspěvkové organizace,</w:t>
      </w:r>
    </w:p>
    <w:p w14:paraId="79A33ACE" w14:textId="77777777" w:rsidR="00681D7E" w:rsidRPr="009B1ABF" w:rsidRDefault="00681D7E" w:rsidP="00F8201B">
      <w:pPr>
        <w:spacing w:before="0"/>
        <w:ind w:left="425" w:hanging="425"/>
        <w:outlineLvl w:val="7"/>
        <w:rPr>
          <w:strike/>
        </w:rPr>
      </w:pPr>
      <w:r w:rsidRPr="009B1ABF">
        <w:rPr>
          <w:strike/>
        </w:rPr>
        <w:t>c)</w:t>
      </w:r>
      <w:r w:rsidRPr="009B1ABF">
        <w:rPr>
          <w:strike/>
        </w:rPr>
        <w:tab/>
        <w:t>ze zisku po zahrnutí příspěvku na provoz nebo odvodu z provozu (dále jen "zlepšený hospodářský výsledek") příspěvkové organizace v následujícím rozpočtovém roce, není-li dostatek prostředků ani v rozpočtu kapitoly.</w:t>
      </w:r>
    </w:p>
    <w:p w14:paraId="0613D851" w14:textId="77777777" w:rsidR="00681D7E" w:rsidRPr="009B1ABF" w:rsidRDefault="00681D7E" w:rsidP="003866FF">
      <w:pPr>
        <w:tabs>
          <w:tab w:val="left" w:pos="782"/>
          <w:tab w:val="left" w:pos="851"/>
        </w:tabs>
        <w:spacing w:before="120" w:after="120"/>
        <w:outlineLvl w:val="6"/>
        <w:rPr>
          <w:strike/>
        </w:rPr>
      </w:pPr>
      <w:r w:rsidRPr="009B1ABF">
        <w:rPr>
          <w:strike/>
        </w:rPr>
        <w:t>(3)</w:t>
      </w:r>
      <w:r w:rsidRPr="009B1ABF">
        <w:rPr>
          <w:strike/>
        </w:rPr>
        <w:tab/>
        <w:t xml:space="preserve">Není-li zhoršený hospodářský výsledek uhrazen ani ze zlepšeného hospodářského výsledku příspěvkové organizace podle odstavce 2 písm. c), zruší zřizovatel příspěvkovou organizaci do konce roku následujícího po roce, z jehož výsledku hospodaření měl být uhrazen zhoršený hospodářský výsledek, pokud jej neuhradí z rozpočtu kapitoly. Je-li to nezbytné, zajistí činnost doposud zajišťovanou příspěvkovou organizací organizační složkou státu. K tomu není zapotřebí souhlasu </w:t>
      </w:r>
      <w:proofErr w:type="gramStart"/>
      <w:r w:rsidRPr="009B1ABF">
        <w:rPr>
          <w:strike/>
        </w:rPr>
        <w:t>ministerstva.</w:t>
      </w:r>
      <w:r w:rsidRPr="009B1ABF">
        <w:rPr>
          <w:strike/>
          <w:vertAlign w:val="superscript"/>
        </w:rPr>
        <w:footnoteReference w:customMarkFollows="1" w:id="349"/>
        <w:t>1)</w:t>
      </w:r>
      <w:proofErr w:type="gramEnd"/>
    </w:p>
    <w:p w14:paraId="425E490F" w14:textId="77777777" w:rsidR="00681D7E" w:rsidRPr="009B1ABF" w:rsidRDefault="00681D7E" w:rsidP="003866FF">
      <w:pPr>
        <w:tabs>
          <w:tab w:val="left" w:pos="782"/>
          <w:tab w:val="left" w:pos="851"/>
        </w:tabs>
        <w:spacing w:before="120" w:after="120"/>
        <w:outlineLvl w:val="6"/>
        <w:rPr>
          <w:strike/>
        </w:rPr>
      </w:pPr>
      <w:r w:rsidRPr="009B1ABF">
        <w:rPr>
          <w:strike/>
        </w:rPr>
        <w:t>(4)</w:t>
      </w:r>
      <w:r w:rsidRPr="009B1ABF">
        <w:rPr>
          <w:strike/>
        </w:rPr>
        <w:tab/>
        <w:t>V případě, že hospodaření příspěvkové organizace skončí zlepšeným hospodářským výsledkem, použije se přednostně k úhradě jejího zhoršeného hospodářského výsledku podle odstavce 2 písm. c) a dále k úhradě zhoršeného hospodářského výsledku vzniklého před nabytím účinnosti tohoto zákona.</w:t>
      </w:r>
    </w:p>
    <w:p w14:paraId="36258FAE" w14:textId="77777777" w:rsidR="00681D7E" w:rsidRPr="005C3854" w:rsidRDefault="00681D7E" w:rsidP="003866FF">
      <w:pPr>
        <w:tabs>
          <w:tab w:val="left" w:pos="782"/>
          <w:tab w:val="left" w:pos="851"/>
        </w:tabs>
        <w:spacing w:before="120" w:after="120"/>
        <w:outlineLvl w:val="6"/>
        <w:rPr>
          <w:strike/>
          <w:color w:val="FF0000"/>
        </w:rPr>
      </w:pPr>
      <w:r w:rsidRPr="009B1ABF">
        <w:rPr>
          <w:strike/>
        </w:rPr>
        <w:t>(5)</w:t>
      </w:r>
      <w:r w:rsidRPr="009B1ABF">
        <w:rPr>
          <w:strike/>
        </w:rPr>
        <w:tab/>
        <w:t xml:space="preserve">Ustanovení odstavců 2 a 3 se nevztahují na příspěvkové organizace, které jsou financovány z veřejného zdravotního pojištění, a na příspěvkové organizace zabezpečující </w:t>
      </w:r>
      <w:r w:rsidRPr="009B1ABF">
        <w:rPr>
          <w:strike/>
        </w:rPr>
        <w:lastRenderedPageBreak/>
        <w:t>specializované úkony hygienické a protiepidemické, které jsou podkladem pro výkon státní kontroly v ochraně veřejného zdraví. Ustanovení odstavců 2 a 3 se dále nevztahují na příspěvkové organizace, u nichž byl zhoršený hospodářský výsledek způsoben bezúplatným převodem majetku z důvodu plnění povinností podle zákona o majetkovém vyrovnání s církvemi</w:t>
      </w:r>
      <w:r w:rsidRPr="009B1ABF">
        <w:rPr>
          <w:strike/>
          <w:vertAlign w:val="superscript"/>
        </w:rPr>
        <w:footnoteReference w:customMarkFollows="1" w:id="350"/>
        <w:t>52)</w:t>
      </w:r>
      <w:r w:rsidRPr="009B1ABF">
        <w:rPr>
          <w:strike/>
        </w:rPr>
        <w:t>.</w:t>
      </w:r>
    </w:p>
    <w:p w14:paraId="5A05C7C6" w14:textId="77777777" w:rsidR="00681D7E" w:rsidRPr="009B1ABF" w:rsidRDefault="00681D7E" w:rsidP="00992796">
      <w:pPr>
        <w:numPr>
          <w:ilvl w:val="0"/>
          <w:numId w:val="60"/>
        </w:numPr>
        <w:tabs>
          <w:tab w:val="left" w:pos="851"/>
        </w:tabs>
        <w:spacing w:after="120"/>
        <w:jc w:val="center"/>
        <w:outlineLvl w:val="6"/>
        <w:rPr>
          <w:b/>
        </w:rPr>
      </w:pPr>
      <w:r w:rsidRPr="009B1ABF">
        <w:rPr>
          <w:b/>
        </w:rPr>
        <w:t>§ 55</w:t>
      </w:r>
    </w:p>
    <w:p w14:paraId="2ACDCE4C" w14:textId="77777777" w:rsidR="00681D7E" w:rsidRPr="009B1ABF" w:rsidRDefault="00681D7E" w:rsidP="003866FF">
      <w:pPr>
        <w:numPr>
          <w:ilvl w:val="0"/>
          <w:numId w:val="60"/>
        </w:numPr>
        <w:tabs>
          <w:tab w:val="left" w:pos="851"/>
        </w:tabs>
        <w:spacing w:before="120" w:after="120"/>
        <w:ind w:firstLine="425"/>
        <w:outlineLvl w:val="6"/>
        <w:rPr>
          <w:b/>
        </w:rPr>
      </w:pPr>
      <w:r w:rsidRPr="009B1ABF">
        <w:rPr>
          <w:b/>
        </w:rPr>
        <w:t>(1) Není-li příspěvková organizace schopna plnit svoje splatné dluhy z hlavní činnosti, zajistí jejich plnění</w:t>
      </w:r>
    </w:p>
    <w:p w14:paraId="34700B82" w14:textId="77777777" w:rsidR="00681D7E" w:rsidRPr="009B1ABF" w:rsidRDefault="00681D7E" w:rsidP="00F8201B">
      <w:pPr>
        <w:tabs>
          <w:tab w:val="left" w:pos="708"/>
        </w:tabs>
        <w:spacing w:before="0"/>
        <w:ind w:left="425" w:hanging="425"/>
        <w:outlineLvl w:val="7"/>
        <w:rPr>
          <w:b/>
        </w:rPr>
      </w:pPr>
      <w:r>
        <w:rPr>
          <w:b/>
        </w:rPr>
        <w:t>a)</w:t>
      </w:r>
      <w:r>
        <w:rPr>
          <w:b/>
        </w:rPr>
        <w:tab/>
      </w:r>
      <w:r w:rsidRPr="009B1ABF">
        <w:rPr>
          <w:b/>
        </w:rPr>
        <w:t xml:space="preserve">z jejího rezervního fondu, </w:t>
      </w:r>
    </w:p>
    <w:p w14:paraId="49764228" w14:textId="77777777" w:rsidR="00681D7E" w:rsidRPr="009B1ABF" w:rsidRDefault="00681D7E" w:rsidP="00F8201B">
      <w:pPr>
        <w:tabs>
          <w:tab w:val="left" w:pos="708"/>
        </w:tabs>
        <w:spacing w:before="0"/>
        <w:ind w:left="425" w:hanging="425"/>
        <w:outlineLvl w:val="7"/>
        <w:rPr>
          <w:b/>
        </w:rPr>
      </w:pPr>
      <w:r>
        <w:rPr>
          <w:b/>
        </w:rPr>
        <w:t>b)</w:t>
      </w:r>
      <w:r>
        <w:rPr>
          <w:b/>
        </w:rPr>
        <w:tab/>
      </w:r>
      <w:r w:rsidRPr="009B1ABF">
        <w:rPr>
          <w:b/>
        </w:rPr>
        <w:t>zvýšením příspěvku na provoz z rozpočtu zřizovatele nebo</w:t>
      </w:r>
    </w:p>
    <w:p w14:paraId="58D4E0C1" w14:textId="77777777" w:rsidR="00681D7E" w:rsidRPr="009B1ABF" w:rsidRDefault="00681D7E" w:rsidP="00F8201B">
      <w:pPr>
        <w:tabs>
          <w:tab w:val="left" w:pos="708"/>
        </w:tabs>
        <w:spacing w:before="0"/>
        <w:ind w:left="425" w:hanging="425"/>
        <w:outlineLvl w:val="7"/>
        <w:rPr>
          <w:b/>
        </w:rPr>
      </w:pPr>
      <w:r>
        <w:rPr>
          <w:b/>
        </w:rPr>
        <w:t>c)</w:t>
      </w:r>
      <w:r>
        <w:rPr>
          <w:b/>
        </w:rPr>
        <w:tab/>
      </w:r>
      <w:r w:rsidRPr="009B1ABF">
        <w:rPr>
          <w:b/>
        </w:rPr>
        <w:t>návratnou finanční výpomocí podle § 54 odst. 1 písm. c) a 54 odst. 4.</w:t>
      </w:r>
    </w:p>
    <w:p w14:paraId="79BF3F5A" w14:textId="77777777" w:rsidR="00681D7E" w:rsidRPr="009B1ABF" w:rsidRDefault="00681D7E" w:rsidP="003866FF">
      <w:pPr>
        <w:numPr>
          <w:ilvl w:val="0"/>
          <w:numId w:val="60"/>
        </w:numPr>
        <w:tabs>
          <w:tab w:val="left" w:pos="851"/>
        </w:tabs>
        <w:spacing w:before="120" w:after="120"/>
        <w:ind w:firstLine="425"/>
        <w:outlineLvl w:val="6"/>
        <w:rPr>
          <w:b/>
        </w:rPr>
      </w:pPr>
      <w:r w:rsidRPr="009B1ABF">
        <w:rPr>
          <w:b/>
        </w:rPr>
        <w:t>(2) Není-li zajištěno plnění splatných dluhů ani podle odstavce 1, zřizovatel bez zbytečného odkladu rozhodne, zda příspěvkovou organizaci zruší. V případě zrušení příspěvkové organizace, zajistí zřizovatel výkon činností doposud zajišťovaný v hlavní činnosti zrušované příspěvkové organizace jejím výkonem organizační složkou státu, je-li to nezbytné.</w:t>
      </w:r>
      <w:r>
        <w:t xml:space="preserve"> </w:t>
      </w:r>
      <w:r w:rsidRPr="009B1ABF">
        <w:rPr>
          <w:b/>
        </w:rPr>
        <w:t>K případnému zřízení organizační složky státu podle věty druhé není třeba souhlasu ministerstva</w:t>
      </w:r>
      <w:r w:rsidRPr="009B1ABF">
        <w:rPr>
          <w:b/>
          <w:vertAlign w:val="superscript"/>
        </w:rPr>
        <w:t>1)</w:t>
      </w:r>
      <w:r w:rsidRPr="009B1ABF">
        <w:rPr>
          <w:b/>
        </w:rPr>
        <w:t>.</w:t>
      </w:r>
    </w:p>
    <w:p w14:paraId="38EE4779" w14:textId="77777777" w:rsidR="00681D7E" w:rsidRPr="009B1ABF" w:rsidRDefault="00681D7E" w:rsidP="00992796">
      <w:pPr>
        <w:numPr>
          <w:ilvl w:val="0"/>
          <w:numId w:val="40"/>
        </w:numPr>
        <w:spacing w:after="120"/>
        <w:jc w:val="center"/>
        <w:outlineLvl w:val="5"/>
      </w:pPr>
      <w:r w:rsidRPr="009B1ABF">
        <w:t>***</w:t>
      </w:r>
    </w:p>
    <w:p w14:paraId="2838B677" w14:textId="77777777" w:rsidR="00681D7E" w:rsidRPr="009B1ABF" w:rsidRDefault="00681D7E" w:rsidP="00992796">
      <w:pPr>
        <w:numPr>
          <w:ilvl w:val="0"/>
          <w:numId w:val="40"/>
        </w:numPr>
        <w:spacing w:after="120"/>
        <w:jc w:val="center"/>
        <w:outlineLvl w:val="5"/>
      </w:pPr>
      <w:r w:rsidRPr="009B1ABF">
        <w:t>§ 56</w:t>
      </w:r>
    </w:p>
    <w:p w14:paraId="22BCADFA" w14:textId="77777777" w:rsidR="00681D7E" w:rsidRPr="009B1ABF" w:rsidRDefault="00681D7E" w:rsidP="003866FF">
      <w:pPr>
        <w:numPr>
          <w:ilvl w:val="0"/>
          <w:numId w:val="60"/>
        </w:numPr>
        <w:tabs>
          <w:tab w:val="left" w:pos="851"/>
        </w:tabs>
        <w:spacing w:before="120" w:after="120"/>
        <w:ind w:firstLine="425"/>
        <w:outlineLvl w:val="6"/>
      </w:pPr>
      <w:r w:rsidRPr="009B1ABF">
        <w:t>(1)</w:t>
      </w:r>
      <w:r w:rsidRPr="009B1ABF">
        <w:tab/>
        <w:t>Příspěvková organizace tvoří tyto peněžní fondy:</w:t>
      </w:r>
    </w:p>
    <w:p w14:paraId="3B6B12E2" w14:textId="77777777" w:rsidR="00681D7E" w:rsidRPr="009B1ABF" w:rsidRDefault="00681D7E" w:rsidP="00F8201B">
      <w:pPr>
        <w:spacing w:before="0"/>
        <w:ind w:left="425" w:hanging="425"/>
        <w:outlineLvl w:val="7"/>
      </w:pPr>
      <w:r w:rsidRPr="009B1ABF">
        <w:t>a)</w:t>
      </w:r>
      <w:r w:rsidRPr="009B1ABF">
        <w:tab/>
        <w:t>rezervní fond,</w:t>
      </w:r>
    </w:p>
    <w:p w14:paraId="15C03162" w14:textId="77777777" w:rsidR="00681D7E" w:rsidRPr="009B1ABF" w:rsidRDefault="00681D7E" w:rsidP="00F8201B">
      <w:pPr>
        <w:spacing w:before="0"/>
        <w:ind w:left="425" w:hanging="425"/>
        <w:outlineLvl w:val="7"/>
      </w:pPr>
      <w:r w:rsidRPr="009B1ABF">
        <w:t>b)</w:t>
      </w:r>
      <w:r w:rsidRPr="009B1ABF">
        <w:tab/>
        <w:t>fond reprodukce majetku,</w:t>
      </w:r>
    </w:p>
    <w:p w14:paraId="093348CF" w14:textId="77777777" w:rsidR="00681D7E" w:rsidRPr="009B1ABF" w:rsidRDefault="00681D7E" w:rsidP="00F8201B">
      <w:pPr>
        <w:spacing w:before="0"/>
        <w:ind w:left="425" w:hanging="425"/>
        <w:outlineLvl w:val="7"/>
      </w:pPr>
      <w:r w:rsidRPr="009B1ABF">
        <w:t>c)</w:t>
      </w:r>
      <w:r w:rsidRPr="009B1ABF">
        <w:tab/>
        <w:t>fond odměn,</w:t>
      </w:r>
    </w:p>
    <w:p w14:paraId="0F7CD643" w14:textId="77777777" w:rsidR="00681D7E" w:rsidRPr="009B1ABF" w:rsidRDefault="00681D7E" w:rsidP="00F8201B">
      <w:pPr>
        <w:spacing w:before="0"/>
        <w:ind w:left="425" w:hanging="425"/>
        <w:outlineLvl w:val="7"/>
      </w:pPr>
      <w:r w:rsidRPr="009B1ABF">
        <w:t>d)</w:t>
      </w:r>
      <w:r w:rsidRPr="009B1ABF">
        <w:tab/>
        <w:t>fond kulturních a sociálních potřeb.</w:t>
      </w:r>
    </w:p>
    <w:p w14:paraId="4334907F" w14:textId="77777777" w:rsidR="00681D7E" w:rsidRPr="009B1ABF" w:rsidRDefault="00681D7E" w:rsidP="003866FF">
      <w:pPr>
        <w:numPr>
          <w:ilvl w:val="0"/>
          <w:numId w:val="60"/>
        </w:numPr>
        <w:tabs>
          <w:tab w:val="left" w:pos="851"/>
        </w:tabs>
        <w:spacing w:before="120" w:after="120"/>
        <w:ind w:firstLine="425"/>
        <w:outlineLvl w:val="6"/>
        <w:rPr>
          <w:strike/>
        </w:rPr>
      </w:pPr>
      <w:r w:rsidRPr="009B1ABF">
        <w:rPr>
          <w:strike/>
        </w:rPr>
        <w:t>(2) Příspěvková organizace může rozdělovat do fondů zlepšený hospodářský výsledek, jen pokud byl uhrazen případný zhoršený hospodářský výsledek předchozího roku, popřípadě let, a to takto:</w:t>
      </w:r>
    </w:p>
    <w:p w14:paraId="52982EE7" w14:textId="77777777" w:rsidR="00681D7E" w:rsidRPr="009B1ABF" w:rsidRDefault="00681D7E" w:rsidP="00F8201B">
      <w:pPr>
        <w:spacing w:before="0"/>
        <w:ind w:left="425" w:hanging="425"/>
        <w:outlineLvl w:val="7"/>
        <w:rPr>
          <w:strike/>
        </w:rPr>
      </w:pPr>
      <w:r w:rsidRPr="009B1ABF">
        <w:rPr>
          <w:strike/>
        </w:rPr>
        <w:t xml:space="preserve">a) </w:t>
      </w:r>
      <w:r>
        <w:rPr>
          <w:strike/>
        </w:rPr>
        <w:tab/>
      </w:r>
      <w:r w:rsidRPr="009B1ABF">
        <w:rPr>
          <w:strike/>
        </w:rPr>
        <w:t>do fondu odměn do výše 20 % zlepšeného hospodářského výsledku příspěvkové organizace, nejvýše však do výše 10 % limitu prostředků na platy nebo přípustného objemu prostředků na platy,</w:t>
      </w:r>
    </w:p>
    <w:p w14:paraId="334C3ACC" w14:textId="77777777" w:rsidR="00681D7E" w:rsidRPr="009B1ABF" w:rsidRDefault="00681D7E" w:rsidP="00F8201B">
      <w:pPr>
        <w:spacing w:before="0"/>
        <w:ind w:left="425" w:hanging="425"/>
        <w:outlineLvl w:val="7"/>
        <w:rPr>
          <w:strike/>
        </w:rPr>
      </w:pPr>
      <w:r w:rsidRPr="009B1ABF">
        <w:rPr>
          <w:strike/>
        </w:rPr>
        <w:t xml:space="preserve">b) </w:t>
      </w:r>
      <w:r>
        <w:rPr>
          <w:strike/>
        </w:rPr>
        <w:tab/>
      </w:r>
      <w:r w:rsidRPr="009B1ABF">
        <w:rPr>
          <w:strike/>
        </w:rPr>
        <w:t>do fondu reprodukce majetku do výše 80 % zlepšeného hospodářského výsledku příspěvkové organizace,</w:t>
      </w:r>
    </w:p>
    <w:p w14:paraId="0E7866A6" w14:textId="77777777" w:rsidR="00681D7E" w:rsidRPr="009B1ABF" w:rsidRDefault="00681D7E" w:rsidP="00F8201B">
      <w:pPr>
        <w:spacing w:before="0"/>
        <w:ind w:left="425" w:hanging="425"/>
        <w:outlineLvl w:val="7"/>
        <w:rPr>
          <w:strike/>
        </w:rPr>
      </w:pPr>
      <w:r w:rsidRPr="009B1ABF">
        <w:rPr>
          <w:strike/>
        </w:rPr>
        <w:t xml:space="preserve">c) </w:t>
      </w:r>
      <w:r>
        <w:rPr>
          <w:strike/>
        </w:rPr>
        <w:tab/>
      </w:r>
      <w:r w:rsidRPr="009B1ABF">
        <w:rPr>
          <w:strike/>
        </w:rPr>
        <w:t xml:space="preserve">do rezervního fondu bez omezení. </w:t>
      </w:r>
    </w:p>
    <w:p w14:paraId="3C06AD2C" w14:textId="77777777" w:rsidR="00681D7E" w:rsidRPr="009B1ABF" w:rsidRDefault="00681D7E" w:rsidP="003866FF">
      <w:pPr>
        <w:tabs>
          <w:tab w:val="left" w:pos="851"/>
        </w:tabs>
        <w:spacing w:before="120" w:after="120"/>
        <w:outlineLvl w:val="6"/>
        <w:rPr>
          <w:strike/>
        </w:rPr>
      </w:pPr>
      <w:r w:rsidRPr="009B1ABF">
        <w:rPr>
          <w:strike/>
        </w:rPr>
        <w:t>(3)</w:t>
      </w:r>
      <w:r w:rsidRPr="009B1ABF">
        <w:rPr>
          <w:strike/>
        </w:rPr>
        <w:tab/>
        <w:t>Tvorbu jednotlivých fondů podle odstavce 2 provede příspěvková organizace na základě schválení výše zlepšeného hospodářského výsledku zřizovatelem v roce následujícím po roce, kdy byl zlepšený hospodářský výsledek vytvořen.</w:t>
      </w:r>
    </w:p>
    <w:p w14:paraId="672E33AB" w14:textId="77777777" w:rsidR="00681D7E" w:rsidRPr="009B1ABF" w:rsidRDefault="00681D7E" w:rsidP="003866FF">
      <w:pPr>
        <w:tabs>
          <w:tab w:val="left" w:pos="851"/>
        </w:tabs>
        <w:spacing w:before="120" w:after="120"/>
        <w:outlineLvl w:val="6"/>
        <w:rPr>
          <w:b/>
        </w:rPr>
      </w:pPr>
      <w:r w:rsidRPr="009B1ABF">
        <w:rPr>
          <w:b/>
        </w:rPr>
        <w:lastRenderedPageBreak/>
        <w:t>(2) Příspěvková organizace může rozdělovat do fondů podle odstavce 1 písm. a) až c) kladné saldo příjmů a výdajů vzniklé v rozpočtovém roce podle stavu k 31. prosinci, pouze neohrozí-li tím uhrazení splatných dluhů z hlavní činnosti, a to tak, že</w:t>
      </w:r>
    </w:p>
    <w:p w14:paraId="72811A48" w14:textId="77777777" w:rsidR="00681D7E" w:rsidRPr="009B1ABF" w:rsidRDefault="00681D7E" w:rsidP="00F8201B">
      <w:pPr>
        <w:spacing w:before="0"/>
        <w:ind w:left="425" w:hanging="425"/>
        <w:outlineLvl w:val="7"/>
        <w:rPr>
          <w:b/>
        </w:rPr>
      </w:pPr>
      <w:r w:rsidRPr="009B1ABF">
        <w:rPr>
          <w:b/>
        </w:rPr>
        <w:t>a)</w:t>
      </w:r>
      <w:r w:rsidRPr="009B1ABF">
        <w:rPr>
          <w:b/>
        </w:rPr>
        <w:tab/>
        <w:t xml:space="preserve">do rezervního fondu bez omezení, </w:t>
      </w:r>
    </w:p>
    <w:p w14:paraId="5DDA4353" w14:textId="77777777" w:rsidR="00681D7E" w:rsidRPr="009B1ABF" w:rsidRDefault="00681D7E" w:rsidP="00F8201B">
      <w:pPr>
        <w:spacing w:before="0"/>
        <w:ind w:left="425" w:hanging="425"/>
        <w:outlineLvl w:val="7"/>
        <w:rPr>
          <w:b/>
        </w:rPr>
      </w:pPr>
      <w:r w:rsidRPr="009B1ABF">
        <w:rPr>
          <w:b/>
        </w:rPr>
        <w:t>b)</w:t>
      </w:r>
      <w:r w:rsidRPr="009B1ABF">
        <w:rPr>
          <w:b/>
        </w:rPr>
        <w:tab/>
        <w:t xml:space="preserve">do fondu reprodukce majetku nejvýše 80 % kladného salda příjmů a výdajů, </w:t>
      </w:r>
    </w:p>
    <w:p w14:paraId="1955BB12" w14:textId="77777777" w:rsidR="00681D7E" w:rsidRPr="009B1ABF" w:rsidRDefault="00681D7E" w:rsidP="00F8201B">
      <w:pPr>
        <w:spacing w:before="0"/>
        <w:ind w:left="425" w:hanging="425"/>
        <w:outlineLvl w:val="7"/>
        <w:rPr>
          <w:b/>
        </w:rPr>
      </w:pPr>
      <w:r w:rsidRPr="009B1ABF">
        <w:rPr>
          <w:b/>
        </w:rPr>
        <w:t>c)</w:t>
      </w:r>
      <w:r w:rsidRPr="009B1ABF">
        <w:rPr>
          <w:b/>
        </w:rPr>
        <w:tab/>
        <w:t>do fondu odměn nejvýše 20 % kladného salda příjmů a výdajů, nejvýše však do výše 10% stanoveného limitu objemu prostředků na platy.</w:t>
      </w:r>
    </w:p>
    <w:p w14:paraId="08F654F2" w14:textId="77777777" w:rsidR="00681D7E" w:rsidRPr="009B1ABF" w:rsidRDefault="00681D7E" w:rsidP="003866FF">
      <w:pPr>
        <w:tabs>
          <w:tab w:val="left" w:pos="782"/>
          <w:tab w:val="left" w:pos="851"/>
        </w:tabs>
        <w:spacing w:before="120" w:after="120"/>
        <w:outlineLvl w:val="6"/>
      </w:pPr>
      <w:r w:rsidRPr="009B1ABF">
        <w:rPr>
          <w:b/>
        </w:rPr>
        <w:t>(3) Kladné saldo příjmů a výdajů nebo jeho část, která má být použita podle odstavce 2, převede příspěvková organizace na účet cizích prostředků a jeho rozdělení provede na základě rozhodnutí zřizovatele.</w:t>
      </w:r>
      <w:r w:rsidRPr="009B1ABF">
        <w:t xml:space="preserve"> </w:t>
      </w:r>
    </w:p>
    <w:p w14:paraId="6D256C40" w14:textId="77777777" w:rsidR="00681D7E" w:rsidRPr="009B1ABF" w:rsidRDefault="00681D7E" w:rsidP="003866FF">
      <w:pPr>
        <w:tabs>
          <w:tab w:val="left" w:pos="782"/>
          <w:tab w:val="left" w:pos="851"/>
        </w:tabs>
        <w:spacing w:before="120" w:after="120"/>
        <w:outlineLvl w:val="6"/>
        <w:rPr>
          <w:b/>
        </w:rPr>
      </w:pPr>
      <w:r w:rsidRPr="009B1ABF">
        <w:rPr>
          <w:b/>
        </w:rPr>
        <w:t>(4) Peněžní fondy podle odstavce 1 písm. a) až c) používá příspěvková organizace prostřednictvím účtu, ze kterého se uskutečňují výdaje na příslušnou hlavní činnost. Peněžní prostředky, které příspěvková organizace přijala do některého fondu podle věty první a které je povinna vyúčtovat a případný zůstatek vrátit, se vrací přímo z příslušného fondu. Přímo z příslušného fondu se provádí i odvod podle § 54 odst. 1 písm. d) a 54 odst. 5. Výdaje z peněžního fondu podle odstavce 1 písm. d) se provádějí přímo.</w:t>
      </w:r>
    </w:p>
    <w:p w14:paraId="4FB6D720" w14:textId="77777777" w:rsidR="00681D7E" w:rsidRPr="009B1ABF" w:rsidRDefault="00681D7E" w:rsidP="003866FF">
      <w:pPr>
        <w:tabs>
          <w:tab w:val="left" w:pos="782"/>
          <w:tab w:val="left" w:pos="851"/>
        </w:tabs>
        <w:spacing w:before="120" w:after="120"/>
        <w:outlineLvl w:val="6"/>
      </w:pPr>
      <w:proofErr w:type="gramStart"/>
      <w:r w:rsidRPr="009B1ABF">
        <w:rPr>
          <w:strike/>
        </w:rPr>
        <w:t>(4)</w:t>
      </w:r>
      <w:r w:rsidRPr="009B1ABF">
        <w:rPr>
          <w:b/>
        </w:rPr>
        <w:t>(5)</w:t>
      </w:r>
      <w:r w:rsidRPr="009B1ABF">
        <w:t xml:space="preserve"> Zůstatky</w:t>
      </w:r>
      <w:proofErr w:type="gramEnd"/>
      <w:r w:rsidRPr="009B1ABF">
        <w:t xml:space="preserve"> fondů k 31. prosinci se převádějí do následujícího rozpočtového roku.</w:t>
      </w:r>
    </w:p>
    <w:p w14:paraId="3467B47A" w14:textId="77777777" w:rsidR="00681D7E" w:rsidRPr="009B1ABF" w:rsidRDefault="00681D7E" w:rsidP="003866FF">
      <w:pPr>
        <w:keepNext/>
        <w:keepLines/>
        <w:numPr>
          <w:ilvl w:val="0"/>
          <w:numId w:val="60"/>
        </w:numPr>
        <w:spacing w:after="120"/>
        <w:jc w:val="center"/>
        <w:outlineLvl w:val="5"/>
      </w:pPr>
      <w:r w:rsidRPr="009B1ABF">
        <w:t>***</w:t>
      </w:r>
    </w:p>
    <w:p w14:paraId="09837B99" w14:textId="77777777" w:rsidR="00681D7E" w:rsidRPr="009B1ABF" w:rsidRDefault="00681D7E" w:rsidP="003866FF">
      <w:pPr>
        <w:keepNext/>
        <w:keepLines/>
        <w:numPr>
          <w:ilvl w:val="0"/>
          <w:numId w:val="60"/>
        </w:numPr>
        <w:spacing w:after="120"/>
        <w:jc w:val="center"/>
        <w:outlineLvl w:val="5"/>
      </w:pPr>
      <w:r w:rsidRPr="009B1ABF">
        <w:t>§ 57</w:t>
      </w:r>
    </w:p>
    <w:p w14:paraId="142956CE" w14:textId="77777777" w:rsidR="00681D7E" w:rsidRPr="009B1ABF" w:rsidRDefault="00681D7E" w:rsidP="003866FF">
      <w:pPr>
        <w:keepNext/>
        <w:keepLines/>
        <w:tabs>
          <w:tab w:val="left" w:pos="782"/>
          <w:tab w:val="left" w:pos="851"/>
        </w:tabs>
        <w:spacing w:before="120" w:after="120"/>
        <w:outlineLvl w:val="6"/>
      </w:pPr>
      <w:r w:rsidRPr="009B1ABF">
        <w:t xml:space="preserve">(1) Rezervní fond se tvoří </w:t>
      </w:r>
      <w:r w:rsidRPr="009B1ABF">
        <w:rPr>
          <w:strike/>
        </w:rPr>
        <w:t>se zlepšeného hospodářského výsledku podle § 56 odst. 2 písm. c)</w:t>
      </w:r>
      <w:r w:rsidRPr="009B1ABF">
        <w:t xml:space="preserve"> </w:t>
      </w:r>
      <w:r w:rsidRPr="009B1ABF">
        <w:rPr>
          <w:b/>
        </w:rPr>
        <w:t>z části kladného salda příjmů a výdajů podle § 56 odst. 2 písm. a) a odstavce 3</w:t>
      </w:r>
      <w:r w:rsidRPr="009B1ABF">
        <w:t xml:space="preserve">, z přijatých peněžních darů, z prostředků převedených podle § 54 odst. </w:t>
      </w:r>
      <w:r w:rsidRPr="009B1ABF">
        <w:rPr>
          <w:strike/>
        </w:rPr>
        <w:t>7</w:t>
      </w:r>
      <w:r w:rsidRPr="009B1ABF">
        <w:t xml:space="preserve"> </w:t>
      </w:r>
      <w:r w:rsidRPr="009B1ABF">
        <w:rPr>
          <w:b/>
        </w:rPr>
        <w:t>6, které nejsou zdrojem fondu reprodukce majetku,</w:t>
      </w:r>
      <w:r w:rsidRPr="009B1ABF">
        <w:t xml:space="preserve"> a z peněžních prostředků poskytnutých ze zahraničí, pokud tento zákon nestanoví jinak.</w:t>
      </w:r>
    </w:p>
    <w:p w14:paraId="10F3D57C" w14:textId="77777777" w:rsidR="00681D7E" w:rsidRPr="009B1ABF" w:rsidRDefault="00681D7E" w:rsidP="003866FF">
      <w:pPr>
        <w:keepNext/>
        <w:keepLines/>
        <w:tabs>
          <w:tab w:val="left" w:pos="782"/>
          <w:tab w:val="left" w:pos="851"/>
        </w:tabs>
        <w:spacing w:before="120" w:after="120"/>
        <w:outlineLvl w:val="6"/>
        <w:rPr>
          <w:strike/>
        </w:rPr>
      </w:pPr>
      <w:r w:rsidRPr="009B1ABF">
        <w:rPr>
          <w:strike/>
        </w:rPr>
        <w:t xml:space="preserve">(2) </w:t>
      </w:r>
      <w:r w:rsidRPr="003866FF">
        <w:rPr>
          <w:strike/>
        </w:rPr>
        <w:t>Prostředků</w:t>
      </w:r>
      <w:r w:rsidRPr="009B1ABF">
        <w:rPr>
          <w:strike/>
        </w:rPr>
        <w:t xml:space="preserve"> rezervního fondu lze použít</w:t>
      </w:r>
    </w:p>
    <w:p w14:paraId="7551B5CF" w14:textId="77777777" w:rsidR="00681D7E" w:rsidRPr="009B1ABF" w:rsidRDefault="00681D7E" w:rsidP="00F8201B">
      <w:pPr>
        <w:tabs>
          <w:tab w:val="left" w:pos="708"/>
        </w:tabs>
        <w:spacing w:before="0"/>
        <w:ind w:left="425" w:hanging="425"/>
        <w:outlineLvl w:val="7"/>
        <w:rPr>
          <w:strike/>
        </w:rPr>
      </w:pPr>
      <w:r w:rsidRPr="009B1ABF">
        <w:rPr>
          <w:strike/>
        </w:rPr>
        <w:t>a)</w:t>
      </w:r>
      <w:r w:rsidRPr="009B1ABF">
        <w:rPr>
          <w:strike/>
        </w:rPr>
        <w:tab/>
        <w:t>k úhradě zhoršeného hospodářského výsledku,</w:t>
      </w:r>
    </w:p>
    <w:p w14:paraId="5AB8B624" w14:textId="77777777" w:rsidR="00681D7E" w:rsidRPr="009B1ABF" w:rsidRDefault="00681D7E" w:rsidP="00F8201B">
      <w:pPr>
        <w:tabs>
          <w:tab w:val="left" w:pos="708"/>
        </w:tabs>
        <w:spacing w:before="0"/>
        <w:ind w:left="425" w:hanging="425"/>
        <w:outlineLvl w:val="7"/>
        <w:rPr>
          <w:strike/>
        </w:rPr>
      </w:pPr>
      <w:r w:rsidRPr="009B1ABF">
        <w:rPr>
          <w:strike/>
        </w:rPr>
        <w:t>b)</w:t>
      </w:r>
      <w:r w:rsidRPr="009B1ABF">
        <w:rPr>
          <w:strike/>
        </w:rPr>
        <w:tab/>
        <w:t>k úhradě sankcí,</w:t>
      </w:r>
    </w:p>
    <w:p w14:paraId="7B306B4D" w14:textId="77777777" w:rsidR="00681D7E" w:rsidRPr="009B1ABF" w:rsidRDefault="00681D7E" w:rsidP="00F8201B">
      <w:pPr>
        <w:tabs>
          <w:tab w:val="left" w:pos="708"/>
        </w:tabs>
        <w:spacing w:before="0"/>
        <w:ind w:left="425" w:hanging="425"/>
        <w:outlineLvl w:val="7"/>
        <w:rPr>
          <w:strike/>
        </w:rPr>
      </w:pPr>
      <w:r w:rsidRPr="009B1ABF">
        <w:rPr>
          <w:strike/>
        </w:rPr>
        <w:t>c)</w:t>
      </w:r>
      <w:r w:rsidRPr="009B1ABF">
        <w:rPr>
          <w:strike/>
        </w:rPr>
        <w:tab/>
        <w:t>k úhradě zhoršených hospodářských výsledků vzniklých před nabytím účinnosti tohoto zákona podle § 55 odst. 2,</w:t>
      </w:r>
    </w:p>
    <w:p w14:paraId="0B915C37" w14:textId="77777777" w:rsidR="00681D7E" w:rsidRPr="009B1ABF" w:rsidRDefault="00681D7E" w:rsidP="00F8201B">
      <w:pPr>
        <w:tabs>
          <w:tab w:val="left" w:pos="708"/>
        </w:tabs>
        <w:spacing w:before="0"/>
        <w:ind w:left="425" w:hanging="425"/>
        <w:outlineLvl w:val="7"/>
        <w:rPr>
          <w:strike/>
        </w:rPr>
      </w:pPr>
      <w:r w:rsidRPr="009B1ABF">
        <w:rPr>
          <w:strike/>
        </w:rPr>
        <w:t>d)</w:t>
      </w:r>
      <w:r w:rsidRPr="009B1ABF">
        <w:rPr>
          <w:strike/>
        </w:rPr>
        <w:tab/>
        <w:t>k doplnění fondu reprodukce majetku se souhlasem zřizovatele,</w:t>
      </w:r>
    </w:p>
    <w:p w14:paraId="628B6B8A" w14:textId="77777777" w:rsidR="00681D7E" w:rsidRPr="009B1ABF" w:rsidRDefault="00681D7E" w:rsidP="00F8201B">
      <w:pPr>
        <w:tabs>
          <w:tab w:val="left" w:pos="708"/>
        </w:tabs>
        <w:spacing w:before="0"/>
        <w:ind w:left="425" w:hanging="425"/>
        <w:outlineLvl w:val="7"/>
        <w:rPr>
          <w:strike/>
        </w:rPr>
      </w:pPr>
      <w:r w:rsidRPr="009B1ABF">
        <w:rPr>
          <w:strike/>
        </w:rPr>
        <w:t>e)</w:t>
      </w:r>
      <w:r w:rsidRPr="009B1ABF">
        <w:rPr>
          <w:strike/>
        </w:rPr>
        <w:tab/>
        <w:t>k překlenutí časového nesouladu mezi výnosy a náklady.</w:t>
      </w:r>
    </w:p>
    <w:p w14:paraId="19A98ADD" w14:textId="77777777" w:rsidR="00681D7E" w:rsidRPr="009B1ABF" w:rsidRDefault="00681D7E" w:rsidP="003866FF">
      <w:pPr>
        <w:tabs>
          <w:tab w:val="left" w:pos="782"/>
          <w:tab w:val="left" w:pos="851"/>
        </w:tabs>
        <w:spacing w:before="120" w:after="120"/>
        <w:outlineLvl w:val="6"/>
        <w:rPr>
          <w:strike/>
        </w:rPr>
      </w:pPr>
      <w:r w:rsidRPr="009B1ABF">
        <w:rPr>
          <w:strike/>
        </w:rPr>
        <w:t>(3) K úhradě potřeb nezajištěných výnosy příspěvkové organizace nebo příspěvkem zřizovatele na provoz lze rezervní fond použít v průběhu roku pouze v případě, že jeho použití bylo rozpočtováno. V tomto případě se jeho použití účtuje do výnosů příspěvkové organizace. Nespotřebovaná část rozpočtovaná na krytí potřeb a převedená do výnosů příspěvkové organizace se vrátí před zpracováním roční účetní závěrky do rezervního fondu. Prostředky převedené do rezervního fondu podle § 54 odst. 7 lze v průběhu roku použít, i když jejich použití rozpočtováno nebylo.</w:t>
      </w:r>
    </w:p>
    <w:p w14:paraId="1841122F" w14:textId="77777777" w:rsidR="00681D7E" w:rsidRPr="009B1ABF" w:rsidRDefault="00681D7E" w:rsidP="003866FF">
      <w:pPr>
        <w:tabs>
          <w:tab w:val="left" w:pos="851"/>
        </w:tabs>
        <w:spacing w:before="120" w:after="120"/>
        <w:outlineLvl w:val="6"/>
        <w:rPr>
          <w:b/>
        </w:rPr>
      </w:pPr>
      <w:r w:rsidRPr="009B1ABF">
        <w:rPr>
          <w:b/>
        </w:rPr>
        <w:t>(2) Peněžní prostředky rezervního fondu lze použít k</w:t>
      </w:r>
    </w:p>
    <w:p w14:paraId="13635D02" w14:textId="77777777" w:rsidR="00681D7E" w:rsidRPr="009B1ABF" w:rsidRDefault="00681D7E" w:rsidP="00F8201B">
      <w:pPr>
        <w:spacing w:before="0"/>
        <w:ind w:left="425" w:hanging="425"/>
        <w:outlineLvl w:val="7"/>
        <w:rPr>
          <w:b/>
        </w:rPr>
      </w:pPr>
      <w:r w:rsidRPr="009B1ABF">
        <w:rPr>
          <w:b/>
        </w:rPr>
        <w:t>a)</w:t>
      </w:r>
      <w:r w:rsidRPr="009B1ABF">
        <w:rPr>
          <w:b/>
        </w:rPr>
        <w:tab/>
        <w:t>úhradě odvodů za porušení rozpočtové kázně a k úhradě sankcí,</w:t>
      </w:r>
    </w:p>
    <w:p w14:paraId="65F3D796" w14:textId="77777777" w:rsidR="00681D7E" w:rsidRPr="009B1ABF" w:rsidRDefault="00681D7E" w:rsidP="00F8201B">
      <w:pPr>
        <w:spacing w:before="0"/>
        <w:ind w:left="425" w:hanging="425"/>
        <w:outlineLvl w:val="7"/>
        <w:rPr>
          <w:b/>
        </w:rPr>
      </w:pPr>
      <w:r w:rsidRPr="009B1ABF">
        <w:rPr>
          <w:b/>
        </w:rPr>
        <w:t xml:space="preserve">b) </w:t>
      </w:r>
      <w:r w:rsidRPr="009B1ABF">
        <w:rPr>
          <w:b/>
        </w:rPr>
        <w:tab/>
        <w:t>pořízení nebo zhodnocení dlouhodobého hmotného a nehmotného majetku, se kterým příspěvková organizace hospodaří, s předchozím písemným souhlasem zřizovatele,</w:t>
      </w:r>
    </w:p>
    <w:p w14:paraId="56A288BB" w14:textId="77777777" w:rsidR="00681D7E" w:rsidRPr="009B1ABF" w:rsidRDefault="00681D7E" w:rsidP="00F8201B">
      <w:pPr>
        <w:spacing w:before="0"/>
        <w:ind w:left="425" w:hanging="425"/>
        <w:outlineLvl w:val="7"/>
        <w:rPr>
          <w:b/>
        </w:rPr>
      </w:pPr>
      <w:r w:rsidRPr="009B1ABF">
        <w:rPr>
          <w:b/>
        </w:rPr>
        <w:t>c)</w:t>
      </w:r>
      <w:r w:rsidRPr="009B1ABF">
        <w:rPr>
          <w:b/>
        </w:rPr>
        <w:tab/>
        <w:t>účelům podle § 55 odst. 1 písm. a),</w:t>
      </w:r>
    </w:p>
    <w:p w14:paraId="346455B6" w14:textId="5B9AC912" w:rsidR="00681D7E" w:rsidRPr="009B1ABF" w:rsidRDefault="00F8201B" w:rsidP="00F8201B">
      <w:pPr>
        <w:spacing w:before="0"/>
        <w:ind w:left="425" w:hanging="425"/>
        <w:outlineLvl w:val="7"/>
        <w:rPr>
          <w:b/>
        </w:rPr>
      </w:pPr>
      <w:r>
        <w:rPr>
          <w:b/>
        </w:rPr>
        <w:lastRenderedPageBreak/>
        <w:t>d)</w:t>
      </w:r>
      <w:r>
        <w:rPr>
          <w:b/>
        </w:rPr>
        <w:tab/>
      </w:r>
      <w:r w:rsidR="00681D7E" w:rsidRPr="009B1ABF">
        <w:rPr>
          <w:b/>
        </w:rPr>
        <w:t xml:space="preserve">účelům a za podmínek podle odstavce 3. </w:t>
      </w:r>
    </w:p>
    <w:p w14:paraId="0838F08D" w14:textId="77777777" w:rsidR="00681D7E" w:rsidRPr="009B1ABF" w:rsidRDefault="00681D7E" w:rsidP="003866FF">
      <w:pPr>
        <w:tabs>
          <w:tab w:val="left" w:pos="782"/>
          <w:tab w:val="left" w:pos="851"/>
        </w:tabs>
        <w:spacing w:before="120" w:after="120"/>
        <w:outlineLvl w:val="6"/>
      </w:pPr>
      <w:r w:rsidRPr="009B1ABF">
        <w:rPr>
          <w:b/>
        </w:rPr>
        <w:t>(3) K úhradě nezajištěných provozních výdajů lze rezervní fond v průběhu roku použít, jen bylo-li jeho použití písemně schváleno zřizovatelem s výjimkou postupu podle § 54 odst. 6. Nespotřebovaná část peněžních prostředků rezervního fondu se do konce rozpočtového roku vrátí do rezervního fondu.</w:t>
      </w:r>
      <w:r w:rsidRPr="009B1ABF">
        <w:t xml:space="preserve"> </w:t>
      </w:r>
    </w:p>
    <w:p w14:paraId="0B710500" w14:textId="77777777" w:rsidR="00681D7E" w:rsidRPr="009B1ABF" w:rsidRDefault="00681D7E" w:rsidP="003866FF">
      <w:pPr>
        <w:tabs>
          <w:tab w:val="left" w:pos="782"/>
          <w:tab w:val="left" w:pos="851"/>
        </w:tabs>
        <w:spacing w:before="120" w:after="120"/>
        <w:outlineLvl w:val="6"/>
      </w:pPr>
      <w:r w:rsidRPr="009B1ABF">
        <w:t>(4) Účelově určené peněžní dary a peněžní prostředky poskytnuté ze zahraničí se použijí v souladu s jejich určením.</w:t>
      </w:r>
    </w:p>
    <w:p w14:paraId="09D9982F" w14:textId="77777777" w:rsidR="00681D7E" w:rsidRPr="009B1ABF" w:rsidRDefault="00681D7E" w:rsidP="00992796">
      <w:pPr>
        <w:numPr>
          <w:ilvl w:val="0"/>
          <w:numId w:val="39"/>
        </w:numPr>
        <w:spacing w:after="120"/>
        <w:jc w:val="center"/>
        <w:outlineLvl w:val="5"/>
      </w:pPr>
      <w:r w:rsidRPr="009B1ABF">
        <w:t>***</w:t>
      </w:r>
    </w:p>
    <w:p w14:paraId="7BB00BFA" w14:textId="77777777" w:rsidR="00681D7E" w:rsidRPr="009B1ABF" w:rsidRDefault="00681D7E" w:rsidP="00992796">
      <w:pPr>
        <w:numPr>
          <w:ilvl w:val="0"/>
          <w:numId w:val="39"/>
        </w:numPr>
        <w:spacing w:after="120"/>
        <w:jc w:val="center"/>
        <w:outlineLvl w:val="5"/>
        <w:rPr>
          <w:strike/>
        </w:rPr>
      </w:pPr>
      <w:r w:rsidRPr="009B1ABF">
        <w:rPr>
          <w:strike/>
        </w:rPr>
        <w:t>§ 58</w:t>
      </w:r>
    </w:p>
    <w:p w14:paraId="2BC86BE9" w14:textId="77777777" w:rsidR="00681D7E" w:rsidRPr="009B1ABF" w:rsidRDefault="00681D7E" w:rsidP="003866FF">
      <w:pPr>
        <w:tabs>
          <w:tab w:val="left" w:pos="782"/>
          <w:tab w:val="left" w:pos="851"/>
        </w:tabs>
        <w:spacing w:before="120" w:after="120"/>
        <w:outlineLvl w:val="6"/>
        <w:rPr>
          <w:strike/>
        </w:rPr>
      </w:pPr>
      <w:r w:rsidRPr="009B1ABF">
        <w:rPr>
          <w:strike/>
        </w:rPr>
        <w:t>(1) Fond reprodukce majetku se tvoří</w:t>
      </w:r>
    </w:p>
    <w:p w14:paraId="42E08750" w14:textId="77777777" w:rsidR="00681D7E" w:rsidRPr="009B1ABF" w:rsidRDefault="00681D7E" w:rsidP="00F8201B">
      <w:pPr>
        <w:tabs>
          <w:tab w:val="left" w:pos="708"/>
        </w:tabs>
        <w:spacing w:before="0"/>
        <w:ind w:left="425" w:hanging="425"/>
        <w:outlineLvl w:val="7"/>
        <w:rPr>
          <w:strike/>
        </w:rPr>
      </w:pPr>
      <w:r w:rsidRPr="009B1ABF">
        <w:rPr>
          <w:strike/>
        </w:rPr>
        <w:t>a)</w:t>
      </w:r>
      <w:r w:rsidRPr="009B1ABF">
        <w:rPr>
          <w:strike/>
        </w:rPr>
        <w:tab/>
        <w:t xml:space="preserve">z odpisů hmotného a nehmotného dlouhodobého </w:t>
      </w:r>
      <w:proofErr w:type="gramStart"/>
      <w:r w:rsidRPr="009B1ABF">
        <w:rPr>
          <w:strike/>
        </w:rPr>
        <w:t>majetku,</w:t>
      </w:r>
      <w:r w:rsidRPr="009B1ABF">
        <w:rPr>
          <w:strike/>
          <w:vertAlign w:val="superscript"/>
        </w:rPr>
        <w:footnoteReference w:customMarkFollows="1" w:id="351"/>
        <w:t>16</w:t>
      </w:r>
      <w:proofErr w:type="gramEnd"/>
      <w:r w:rsidRPr="009B1ABF">
        <w:rPr>
          <w:strike/>
          <w:vertAlign w:val="superscript"/>
        </w:rPr>
        <w:t>)</w:t>
      </w:r>
    </w:p>
    <w:p w14:paraId="3AB3CE59" w14:textId="77777777" w:rsidR="00681D7E" w:rsidRPr="009B1ABF" w:rsidRDefault="00681D7E" w:rsidP="00F8201B">
      <w:pPr>
        <w:tabs>
          <w:tab w:val="left" w:pos="708"/>
        </w:tabs>
        <w:spacing w:before="0"/>
        <w:ind w:left="425" w:hanging="425"/>
        <w:outlineLvl w:val="7"/>
        <w:rPr>
          <w:strike/>
        </w:rPr>
      </w:pPr>
      <w:r w:rsidRPr="009B1ABF">
        <w:rPr>
          <w:strike/>
        </w:rPr>
        <w:t>b)</w:t>
      </w:r>
      <w:r w:rsidRPr="009B1ABF">
        <w:rPr>
          <w:strike/>
        </w:rPr>
        <w:tab/>
        <w:t>z přídělu ze zlepšeného hospodářského výsledku,</w:t>
      </w:r>
    </w:p>
    <w:p w14:paraId="1EFFEE59" w14:textId="77777777" w:rsidR="00681D7E" w:rsidRPr="009B1ABF" w:rsidRDefault="00681D7E" w:rsidP="00F8201B">
      <w:pPr>
        <w:tabs>
          <w:tab w:val="left" w:pos="708"/>
        </w:tabs>
        <w:spacing w:before="0"/>
        <w:ind w:left="425" w:hanging="425"/>
        <w:outlineLvl w:val="7"/>
        <w:rPr>
          <w:strike/>
        </w:rPr>
      </w:pPr>
      <w:r w:rsidRPr="009B1ABF">
        <w:rPr>
          <w:strike/>
        </w:rPr>
        <w:t>c)</w:t>
      </w:r>
      <w:r w:rsidRPr="009B1ABF">
        <w:rPr>
          <w:strike/>
        </w:rPr>
        <w:tab/>
        <w:t>výnosy z prodeje dlouhodobého movitého hmotného a nehmotného majetku,</w:t>
      </w:r>
    </w:p>
    <w:p w14:paraId="5B6780C8" w14:textId="77777777" w:rsidR="00681D7E" w:rsidRPr="009B1ABF" w:rsidRDefault="00681D7E" w:rsidP="00F8201B">
      <w:pPr>
        <w:tabs>
          <w:tab w:val="left" w:pos="708"/>
        </w:tabs>
        <w:spacing w:before="0"/>
        <w:ind w:left="425" w:hanging="425"/>
        <w:outlineLvl w:val="7"/>
        <w:rPr>
          <w:strike/>
        </w:rPr>
      </w:pPr>
      <w:r w:rsidRPr="009B1ABF">
        <w:rPr>
          <w:strike/>
        </w:rPr>
        <w:t>d)</w:t>
      </w:r>
      <w:r w:rsidRPr="009B1ABF">
        <w:rPr>
          <w:strike/>
        </w:rPr>
        <w:tab/>
        <w:t>z darů a z výnosů povolených veřejných sbírek určených na pořízení a technické zhodnocení hmotného a nehmotného dlouhodobého majetku,</w:t>
      </w:r>
    </w:p>
    <w:p w14:paraId="2CC45831" w14:textId="77777777" w:rsidR="00681D7E" w:rsidRPr="009B1ABF" w:rsidRDefault="00681D7E" w:rsidP="00F8201B">
      <w:pPr>
        <w:tabs>
          <w:tab w:val="left" w:pos="708"/>
        </w:tabs>
        <w:spacing w:before="0"/>
        <w:ind w:left="425" w:hanging="425"/>
        <w:outlineLvl w:val="7"/>
        <w:rPr>
          <w:strike/>
        </w:rPr>
      </w:pPr>
      <w:r w:rsidRPr="009B1ABF">
        <w:rPr>
          <w:strike/>
        </w:rPr>
        <w:t>e)</w:t>
      </w:r>
      <w:r w:rsidRPr="009B1ABF">
        <w:rPr>
          <w:strike/>
        </w:rPr>
        <w:tab/>
        <w:t>výnosy z prodeje nemovitého majetku, který příspěvková organizace nabyla ve prospěch státu darem nebo děděním,</w:t>
      </w:r>
    </w:p>
    <w:p w14:paraId="037819FC" w14:textId="77777777" w:rsidR="00681D7E" w:rsidRPr="009B1ABF" w:rsidRDefault="00681D7E" w:rsidP="00F8201B">
      <w:pPr>
        <w:tabs>
          <w:tab w:val="left" w:pos="708"/>
        </w:tabs>
        <w:spacing w:before="0"/>
        <w:ind w:left="425" w:hanging="425"/>
        <w:outlineLvl w:val="7"/>
        <w:rPr>
          <w:strike/>
        </w:rPr>
      </w:pPr>
      <w:r w:rsidRPr="009B1ABF">
        <w:rPr>
          <w:strike/>
        </w:rPr>
        <w:t>f)</w:t>
      </w:r>
      <w:r w:rsidRPr="009B1ABF">
        <w:rPr>
          <w:strike/>
        </w:rPr>
        <w:tab/>
        <w:t>prostředky poskytnutými ze zahraničí určenými účelově na pořízení a technické zhodnocení hmotného a nehmotného dlouhodobého majetku.</w:t>
      </w:r>
    </w:p>
    <w:p w14:paraId="31898548" w14:textId="77777777" w:rsidR="00681D7E" w:rsidRPr="009B1ABF" w:rsidRDefault="00681D7E" w:rsidP="00F8201B">
      <w:pPr>
        <w:tabs>
          <w:tab w:val="left" w:pos="782"/>
          <w:tab w:val="left" w:pos="851"/>
        </w:tabs>
        <w:spacing w:after="120"/>
        <w:outlineLvl w:val="6"/>
        <w:rPr>
          <w:strike/>
        </w:rPr>
      </w:pPr>
      <w:r w:rsidRPr="009B1ABF">
        <w:rPr>
          <w:strike/>
        </w:rPr>
        <w:t>(2) Prostředků fondu reprodukce majetku se používá</w:t>
      </w:r>
    </w:p>
    <w:p w14:paraId="03CADF7F" w14:textId="77777777" w:rsidR="00681D7E" w:rsidRPr="009B1ABF" w:rsidRDefault="00681D7E" w:rsidP="00F8201B">
      <w:pPr>
        <w:tabs>
          <w:tab w:val="left" w:pos="708"/>
        </w:tabs>
        <w:spacing w:before="0"/>
        <w:ind w:left="425" w:hanging="425"/>
        <w:outlineLvl w:val="7"/>
        <w:rPr>
          <w:strike/>
        </w:rPr>
      </w:pPr>
      <w:r w:rsidRPr="009B1ABF">
        <w:rPr>
          <w:strike/>
        </w:rPr>
        <w:t>a)</w:t>
      </w:r>
      <w:r w:rsidRPr="009B1ABF">
        <w:rPr>
          <w:strike/>
        </w:rPr>
        <w:tab/>
        <w:t>na financování pořízení a technického zhodnocení hmotného a nehmotného dlouhodobého majetku,</w:t>
      </w:r>
    </w:p>
    <w:p w14:paraId="18ECB16E" w14:textId="77777777" w:rsidR="00681D7E" w:rsidRPr="009B1ABF" w:rsidRDefault="00681D7E" w:rsidP="00F8201B">
      <w:pPr>
        <w:tabs>
          <w:tab w:val="left" w:pos="708"/>
        </w:tabs>
        <w:spacing w:before="0"/>
        <w:ind w:left="425" w:hanging="425"/>
        <w:outlineLvl w:val="7"/>
        <w:rPr>
          <w:strike/>
        </w:rPr>
      </w:pPr>
      <w:r w:rsidRPr="009B1ABF">
        <w:rPr>
          <w:strike/>
        </w:rPr>
        <w:t>b)</w:t>
      </w:r>
      <w:r w:rsidRPr="009B1ABF">
        <w:rPr>
          <w:strike/>
        </w:rPr>
        <w:tab/>
        <w:t>jako doplňkového zdroje financování oprav a udržování hmotného a nehmotného dlouhodobého i krátkodobého majetku a na pořízení hmotného a nehmotného krátkodobého majetku,</w:t>
      </w:r>
    </w:p>
    <w:p w14:paraId="4B5F7578" w14:textId="77777777" w:rsidR="00681D7E" w:rsidRPr="009B1ABF" w:rsidRDefault="00681D7E" w:rsidP="00F8201B">
      <w:pPr>
        <w:tabs>
          <w:tab w:val="left" w:pos="708"/>
        </w:tabs>
        <w:spacing w:before="0"/>
        <w:ind w:left="425" w:hanging="425"/>
        <w:outlineLvl w:val="7"/>
        <w:rPr>
          <w:strike/>
        </w:rPr>
      </w:pPr>
      <w:r w:rsidRPr="009B1ABF">
        <w:rPr>
          <w:strike/>
        </w:rPr>
        <w:t>c)</w:t>
      </w:r>
      <w:r w:rsidRPr="009B1ABF">
        <w:rPr>
          <w:strike/>
        </w:rPr>
        <w:tab/>
        <w:t>k úhradě úvěrů přijatých podle § 62 odst. 3.</w:t>
      </w:r>
    </w:p>
    <w:p w14:paraId="282A5263" w14:textId="77777777" w:rsidR="00681D7E" w:rsidRPr="009B1ABF" w:rsidRDefault="00681D7E" w:rsidP="00096616">
      <w:pPr>
        <w:tabs>
          <w:tab w:val="left" w:pos="782"/>
          <w:tab w:val="left" w:pos="851"/>
        </w:tabs>
        <w:spacing w:before="120" w:after="120"/>
        <w:outlineLvl w:val="6"/>
        <w:rPr>
          <w:strike/>
        </w:rPr>
      </w:pPr>
      <w:r w:rsidRPr="009B1ABF">
        <w:rPr>
          <w:strike/>
        </w:rPr>
        <w:t>(3) Prostředky fondu reprodukce majetku použité pro financování oprav a údržby majetku podle odstavce 2 písm. b) se účtují do výnosů příspěvkové organizace.</w:t>
      </w:r>
    </w:p>
    <w:p w14:paraId="7AA778FA" w14:textId="77777777" w:rsidR="00681D7E" w:rsidRPr="009B1ABF" w:rsidRDefault="00681D7E" w:rsidP="00096616">
      <w:pPr>
        <w:tabs>
          <w:tab w:val="left" w:pos="782"/>
          <w:tab w:val="left" w:pos="851"/>
        </w:tabs>
        <w:spacing w:before="120" w:after="120"/>
        <w:outlineLvl w:val="6"/>
        <w:rPr>
          <w:strike/>
        </w:rPr>
      </w:pPr>
      <w:r w:rsidRPr="009B1ABF">
        <w:rPr>
          <w:strike/>
        </w:rPr>
        <w:t>(4) Příspěvková organizace může při bezúplatném převodu nemovitého majetku na organizační složku státu nebo příspěvkovou organizaci převést současně z fondu reprodukce majetku prostředky ve výši oprávek vytvořených k tomuto majetku.</w:t>
      </w:r>
    </w:p>
    <w:p w14:paraId="05D906EF" w14:textId="4ECDBF52" w:rsidR="00681D7E" w:rsidRPr="009B1ABF" w:rsidRDefault="00681D7E" w:rsidP="00096616">
      <w:pPr>
        <w:tabs>
          <w:tab w:val="left" w:pos="782"/>
          <w:tab w:val="left" w:pos="851"/>
        </w:tabs>
        <w:spacing w:before="120" w:after="120"/>
        <w:outlineLvl w:val="6"/>
        <w:rPr>
          <w:strike/>
        </w:rPr>
      </w:pPr>
      <w:r w:rsidRPr="009B1ABF">
        <w:rPr>
          <w:strike/>
        </w:rPr>
        <w:t xml:space="preserve">(5) Příspěvková organizace může s předchozím písemným souhlasem zřizovatele posílit fond reprodukce majetku z prostředků na provoz hlavní činnosti. Při postupu podle věty první se nepoužije ustanovení § 54 odst. 2 věty druhé.    </w:t>
      </w:r>
    </w:p>
    <w:p w14:paraId="71EBB8E4" w14:textId="77777777" w:rsidR="00681D7E" w:rsidRPr="009B1ABF" w:rsidRDefault="00681D7E" w:rsidP="00F8201B">
      <w:pPr>
        <w:spacing w:after="120"/>
        <w:jc w:val="center"/>
        <w:outlineLvl w:val="5"/>
        <w:rPr>
          <w:b/>
        </w:rPr>
      </w:pPr>
      <w:r w:rsidRPr="009B1ABF">
        <w:rPr>
          <w:b/>
        </w:rPr>
        <w:t>§ 58</w:t>
      </w:r>
    </w:p>
    <w:p w14:paraId="7B20FA43" w14:textId="77777777" w:rsidR="00681D7E" w:rsidRPr="009B1ABF" w:rsidRDefault="00681D7E" w:rsidP="00096616">
      <w:pPr>
        <w:tabs>
          <w:tab w:val="left" w:pos="782"/>
          <w:tab w:val="left" w:pos="851"/>
        </w:tabs>
        <w:spacing w:before="120" w:after="120"/>
        <w:outlineLvl w:val="6"/>
        <w:rPr>
          <w:b/>
        </w:rPr>
      </w:pPr>
      <w:r w:rsidRPr="009B1ABF">
        <w:rPr>
          <w:b/>
        </w:rPr>
        <w:t>(1) Fond reprodukce majetku se tvoří z</w:t>
      </w:r>
    </w:p>
    <w:p w14:paraId="3B2DCADC" w14:textId="77777777" w:rsidR="00681D7E" w:rsidRPr="009B1ABF" w:rsidRDefault="00681D7E" w:rsidP="00F8201B">
      <w:pPr>
        <w:spacing w:before="0"/>
        <w:ind w:left="425" w:hanging="425"/>
        <w:outlineLvl w:val="7"/>
        <w:rPr>
          <w:b/>
        </w:rPr>
      </w:pPr>
      <w:r w:rsidRPr="009B1ABF">
        <w:rPr>
          <w:b/>
        </w:rPr>
        <w:lastRenderedPageBreak/>
        <w:t>a)</w:t>
      </w:r>
      <w:r w:rsidRPr="009B1ABF">
        <w:rPr>
          <w:b/>
        </w:rPr>
        <w:tab/>
        <w:t>v rozpočtovém roce nepoužitých peněžních prostředků na pořízení nebo zhodnocení dlouhodobého hmotného nebo nehmotného majetku, se kterým příspěvková organizace hospodaří,</w:t>
      </w:r>
    </w:p>
    <w:p w14:paraId="66CC30C3" w14:textId="77777777" w:rsidR="00681D7E" w:rsidRPr="009B1ABF" w:rsidRDefault="00681D7E" w:rsidP="00F8201B">
      <w:pPr>
        <w:spacing w:before="0"/>
        <w:ind w:left="425" w:hanging="425"/>
        <w:outlineLvl w:val="7"/>
        <w:rPr>
          <w:b/>
        </w:rPr>
      </w:pPr>
      <w:r w:rsidRPr="009B1ABF">
        <w:rPr>
          <w:b/>
        </w:rPr>
        <w:t>b)</w:t>
      </w:r>
      <w:r w:rsidRPr="009B1ABF">
        <w:rPr>
          <w:b/>
        </w:rPr>
        <w:tab/>
        <w:t>v rozpočtovém roce nepoužitých peněžních prostředků podle § 54 odst. 1 písm. b),</w:t>
      </w:r>
    </w:p>
    <w:p w14:paraId="427796AF" w14:textId="77777777" w:rsidR="00681D7E" w:rsidRPr="009B1ABF" w:rsidRDefault="00681D7E" w:rsidP="00F8201B">
      <w:pPr>
        <w:spacing w:before="0"/>
        <w:ind w:left="425" w:hanging="425"/>
        <w:outlineLvl w:val="7"/>
        <w:rPr>
          <w:b/>
        </w:rPr>
      </w:pPr>
      <w:r w:rsidRPr="009B1ABF">
        <w:rPr>
          <w:b/>
        </w:rPr>
        <w:t>c)</w:t>
      </w:r>
      <w:r w:rsidRPr="009B1ABF">
        <w:rPr>
          <w:b/>
        </w:rPr>
        <w:tab/>
        <w:t>v rozpočtovém roce nepoužitých peněžních prostředků podle § 54 odst. 1 písm. e) a f) určených na pořízení nebo zhodnocení dlouhodobého hmotného nebo nehmotného majetku, se kterým příspěvková organizace hospodaří,</w:t>
      </w:r>
    </w:p>
    <w:p w14:paraId="00DC9C5B" w14:textId="77777777" w:rsidR="00681D7E" w:rsidRPr="009B1ABF" w:rsidRDefault="00681D7E" w:rsidP="00F8201B">
      <w:pPr>
        <w:spacing w:before="0"/>
        <w:ind w:left="425" w:hanging="425"/>
        <w:outlineLvl w:val="7"/>
        <w:rPr>
          <w:b/>
        </w:rPr>
      </w:pPr>
      <w:r w:rsidRPr="009B1ABF">
        <w:rPr>
          <w:b/>
        </w:rPr>
        <w:t>d)</w:t>
      </w:r>
      <w:r w:rsidRPr="009B1ABF">
        <w:rPr>
          <w:b/>
        </w:rPr>
        <w:tab/>
        <w:t xml:space="preserve">v rozpočtovém roce nepoužitých peněžních prostředků podle § 56 odst. 2 písm. b), </w:t>
      </w:r>
    </w:p>
    <w:p w14:paraId="2A670E4D" w14:textId="481A2D49" w:rsidR="00681D7E" w:rsidRPr="009B1ABF" w:rsidRDefault="00F8201B" w:rsidP="00F8201B">
      <w:pPr>
        <w:spacing w:before="0"/>
        <w:ind w:left="425" w:hanging="425"/>
        <w:outlineLvl w:val="7"/>
        <w:rPr>
          <w:b/>
        </w:rPr>
      </w:pPr>
      <w:r>
        <w:rPr>
          <w:b/>
        </w:rPr>
        <w:t>e)</w:t>
      </w:r>
      <w:r>
        <w:rPr>
          <w:b/>
        </w:rPr>
        <w:tab/>
      </w:r>
      <w:r w:rsidR="00681D7E" w:rsidRPr="009B1ABF">
        <w:rPr>
          <w:b/>
        </w:rPr>
        <w:t>v rozpočtovém roce nepoužitých peněžních prostředků poskytnutých ze zahraničí určených účelově na pořízení nebo zhodnocení dlouhodobého hmotného nebo nehmotného majetku, se kterým příspěvková organizace hospodaří</w:t>
      </w:r>
    </w:p>
    <w:p w14:paraId="4E9C5F23" w14:textId="77777777" w:rsidR="00681D7E" w:rsidRPr="009B1ABF" w:rsidRDefault="00681D7E" w:rsidP="00F8201B">
      <w:pPr>
        <w:spacing w:before="0"/>
        <w:ind w:left="425" w:hanging="425"/>
        <w:outlineLvl w:val="7"/>
        <w:rPr>
          <w:b/>
        </w:rPr>
      </w:pPr>
      <w:r w:rsidRPr="009B1ABF">
        <w:rPr>
          <w:b/>
        </w:rPr>
        <w:t>f)</w:t>
      </w:r>
      <w:r w:rsidRPr="009B1ABF">
        <w:rPr>
          <w:b/>
        </w:rPr>
        <w:tab/>
        <w:t>příjmů z prodeje movitého dlouhodobého hmotného majetku a dlouhodobého nehmotného majetku, se kterým příspěvková organizace hospodaří,</w:t>
      </w:r>
    </w:p>
    <w:p w14:paraId="5FFAABC6" w14:textId="77777777" w:rsidR="00681D7E" w:rsidRPr="009B1ABF" w:rsidRDefault="00681D7E" w:rsidP="00F8201B">
      <w:pPr>
        <w:spacing w:before="0"/>
        <w:ind w:left="425" w:hanging="425"/>
        <w:outlineLvl w:val="7"/>
        <w:rPr>
          <w:b/>
        </w:rPr>
      </w:pPr>
      <w:r w:rsidRPr="009B1ABF">
        <w:rPr>
          <w:b/>
        </w:rPr>
        <w:t>g)</w:t>
      </w:r>
      <w:r w:rsidRPr="009B1ABF">
        <w:rPr>
          <w:b/>
        </w:rPr>
        <w:tab/>
        <w:t xml:space="preserve">darů a z výtěžku povolených veřejných sbírek určeného na pořízení a zhodnocení dlouhodobého hmotného nebo nehmotného majetku, se kterým příspěvková organizace hospodaří, </w:t>
      </w:r>
    </w:p>
    <w:p w14:paraId="2E9CBC39" w14:textId="77777777" w:rsidR="00681D7E" w:rsidRPr="009B1ABF" w:rsidRDefault="00681D7E" w:rsidP="00F8201B">
      <w:pPr>
        <w:spacing w:before="0"/>
        <w:ind w:left="425" w:hanging="425"/>
        <w:outlineLvl w:val="7"/>
        <w:rPr>
          <w:b/>
        </w:rPr>
      </w:pPr>
      <w:r w:rsidRPr="009B1ABF">
        <w:rPr>
          <w:b/>
        </w:rPr>
        <w:t>h)</w:t>
      </w:r>
      <w:r w:rsidRPr="009B1ABF">
        <w:rPr>
          <w:b/>
        </w:rPr>
        <w:tab/>
        <w:t>příjmů z prodeje nemovitého majetku, který příspěvková organizace nabyla ve prospěch státu darem nebo děděním.</w:t>
      </w:r>
    </w:p>
    <w:p w14:paraId="4DEDA2C2" w14:textId="77777777" w:rsidR="00681D7E" w:rsidRPr="009B1ABF" w:rsidRDefault="00681D7E" w:rsidP="00096616">
      <w:pPr>
        <w:tabs>
          <w:tab w:val="left" w:pos="782"/>
          <w:tab w:val="left" w:pos="851"/>
        </w:tabs>
        <w:spacing w:before="120" w:after="120"/>
        <w:outlineLvl w:val="6"/>
        <w:rPr>
          <w:b/>
        </w:rPr>
      </w:pPr>
      <w:r w:rsidRPr="009B1ABF">
        <w:rPr>
          <w:b/>
        </w:rPr>
        <w:t>(2) Peněžních prostředků fondu reprodukce majetku se používá</w:t>
      </w:r>
    </w:p>
    <w:p w14:paraId="3089D454" w14:textId="77777777" w:rsidR="00681D7E" w:rsidRPr="009B1ABF" w:rsidRDefault="00681D7E" w:rsidP="00F8201B">
      <w:pPr>
        <w:spacing w:before="0"/>
        <w:ind w:left="425" w:hanging="425"/>
        <w:outlineLvl w:val="7"/>
        <w:rPr>
          <w:b/>
        </w:rPr>
      </w:pPr>
      <w:r w:rsidRPr="009B1ABF">
        <w:rPr>
          <w:b/>
        </w:rPr>
        <w:t>a)</w:t>
      </w:r>
      <w:r w:rsidRPr="009B1ABF">
        <w:rPr>
          <w:b/>
        </w:rPr>
        <w:tab/>
        <w:t>k pořízení a zhodnocení dlouhodobého hmotného nebo nehmotného majetku, se kterým příspěvková organizace hospodaří,</w:t>
      </w:r>
    </w:p>
    <w:p w14:paraId="32A36AEA" w14:textId="77777777" w:rsidR="00681D7E" w:rsidRPr="009B1ABF" w:rsidRDefault="00681D7E" w:rsidP="00F8201B">
      <w:pPr>
        <w:spacing w:before="0"/>
        <w:ind w:left="425" w:hanging="425"/>
        <w:outlineLvl w:val="7"/>
        <w:rPr>
          <w:b/>
        </w:rPr>
      </w:pPr>
      <w:r w:rsidRPr="009B1ABF">
        <w:rPr>
          <w:b/>
        </w:rPr>
        <w:t>b)</w:t>
      </w:r>
      <w:r w:rsidRPr="009B1ABF">
        <w:rPr>
          <w:b/>
        </w:rPr>
        <w:tab/>
        <w:t>jako doplňkového zdroje financování oprav a udržování dlouhodobého hmotného nebo nehmotného majetku, se kterým příspěvková organizace hospodaří,</w:t>
      </w:r>
    </w:p>
    <w:p w14:paraId="42496907" w14:textId="77777777" w:rsidR="00681D7E" w:rsidRPr="009B1ABF" w:rsidRDefault="00681D7E" w:rsidP="00F8201B">
      <w:pPr>
        <w:spacing w:before="0"/>
        <w:ind w:left="425" w:hanging="425"/>
        <w:outlineLvl w:val="7"/>
        <w:rPr>
          <w:b/>
        </w:rPr>
      </w:pPr>
      <w:r w:rsidRPr="009B1ABF">
        <w:rPr>
          <w:b/>
        </w:rPr>
        <w:t xml:space="preserve">c) </w:t>
      </w:r>
      <w:r w:rsidRPr="009B1ABF">
        <w:rPr>
          <w:b/>
        </w:rPr>
        <w:tab/>
        <w:t>k úhradě financování pořízení a zhodnocení dlouhodobého hmotného nebo nehmotného majetku, se kterým příspěvková organizace hospodaří.</w:t>
      </w:r>
    </w:p>
    <w:p w14:paraId="154EF91A" w14:textId="77777777" w:rsidR="00681D7E" w:rsidRPr="009B1ABF" w:rsidRDefault="00681D7E" w:rsidP="00992796">
      <w:pPr>
        <w:numPr>
          <w:ilvl w:val="0"/>
          <w:numId w:val="40"/>
        </w:numPr>
        <w:spacing w:after="120"/>
        <w:jc w:val="center"/>
        <w:outlineLvl w:val="5"/>
      </w:pPr>
      <w:r w:rsidRPr="009B1ABF">
        <w:t>***</w:t>
      </w:r>
    </w:p>
    <w:p w14:paraId="11B71FD5" w14:textId="77777777" w:rsidR="00681D7E" w:rsidRPr="009B1ABF" w:rsidRDefault="00681D7E" w:rsidP="00992796">
      <w:pPr>
        <w:numPr>
          <w:ilvl w:val="0"/>
          <w:numId w:val="40"/>
        </w:numPr>
        <w:spacing w:after="120"/>
        <w:jc w:val="center"/>
        <w:outlineLvl w:val="5"/>
        <w:rPr>
          <w:strike/>
        </w:rPr>
      </w:pPr>
      <w:r w:rsidRPr="009B1ABF">
        <w:rPr>
          <w:strike/>
        </w:rPr>
        <w:t>§ 59</w:t>
      </w:r>
    </w:p>
    <w:p w14:paraId="394CE980" w14:textId="77777777" w:rsidR="00681D7E" w:rsidRPr="009B1ABF" w:rsidRDefault="00681D7E" w:rsidP="00096616">
      <w:pPr>
        <w:tabs>
          <w:tab w:val="left" w:pos="782"/>
          <w:tab w:val="left" w:pos="851"/>
        </w:tabs>
        <w:spacing w:before="120" w:after="120"/>
        <w:outlineLvl w:val="6"/>
        <w:rPr>
          <w:strike/>
        </w:rPr>
      </w:pPr>
      <w:r w:rsidRPr="009B1ABF">
        <w:rPr>
          <w:strike/>
        </w:rPr>
        <w:t>(1)</w:t>
      </w:r>
      <w:r w:rsidRPr="009B1ABF">
        <w:rPr>
          <w:strike/>
        </w:rPr>
        <w:tab/>
        <w:t>Fond odměn je tvořen přídělem ze zlepšeného hospodářského výsledku.</w:t>
      </w:r>
    </w:p>
    <w:p w14:paraId="56A6930A" w14:textId="77777777" w:rsidR="00681D7E" w:rsidRPr="009B1ABF" w:rsidRDefault="00681D7E" w:rsidP="00096616">
      <w:pPr>
        <w:tabs>
          <w:tab w:val="left" w:pos="782"/>
          <w:tab w:val="left" w:pos="851"/>
        </w:tabs>
        <w:spacing w:before="120" w:after="120"/>
        <w:outlineLvl w:val="6"/>
        <w:rPr>
          <w:strike/>
        </w:rPr>
      </w:pPr>
      <w:r w:rsidRPr="009B1ABF">
        <w:rPr>
          <w:strike/>
        </w:rPr>
        <w:t>(2)</w:t>
      </w:r>
      <w:r w:rsidRPr="009B1ABF">
        <w:rPr>
          <w:strike/>
        </w:rPr>
        <w:tab/>
        <w:t xml:space="preserve">Z fondu odměn se hradí přednostně případné překročení prostředků na platy, jehož výše se zjišťuje podle zvláštního právního </w:t>
      </w:r>
      <w:proofErr w:type="gramStart"/>
      <w:r w:rsidRPr="009B1ABF">
        <w:rPr>
          <w:strike/>
        </w:rPr>
        <w:t>předpisu.</w:t>
      </w:r>
      <w:r w:rsidRPr="009B1ABF">
        <w:rPr>
          <w:strike/>
          <w:vertAlign w:val="superscript"/>
        </w:rPr>
        <w:footnoteReference w:customMarkFollows="1" w:id="352"/>
        <w:t>29</w:t>
      </w:r>
      <w:proofErr w:type="gramEnd"/>
      <w:r w:rsidRPr="009B1ABF">
        <w:rPr>
          <w:strike/>
          <w:vertAlign w:val="superscript"/>
        </w:rPr>
        <w:t>)</w:t>
      </w:r>
    </w:p>
    <w:p w14:paraId="4F63C1AC" w14:textId="77777777" w:rsidR="00681D7E" w:rsidRPr="009B1ABF" w:rsidRDefault="00681D7E" w:rsidP="00992796">
      <w:pPr>
        <w:keepNext/>
        <w:keepLines/>
        <w:numPr>
          <w:ilvl w:val="0"/>
          <w:numId w:val="40"/>
        </w:numPr>
        <w:spacing w:after="120"/>
        <w:jc w:val="center"/>
        <w:outlineLvl w:val="5"/>
        <w:rPr>
          <w:b/>
        </w:rPr>
      </w:pPr>
      <w:r w:rsidRPr="009B1ABF">
        <w:rPr>
          <w:b/>
        </w:rPr>
        <w:t>§ 59</w:t>
      </w:r>
    </w:p>
    <w:p w14:paraId="4109B18F" w14:textId="77777777" w:rsidR="00681D7E" w:rsidRPr="009B1ABF" w:rsidRDefault="00681D7E" w:rsidP="00096616">
      <w:pPr>
        <w:keepNext/>
        <w:keepLines/>
        <w:tabs>
          <w:tab w:val="left" w:pos="782"/>
          <w:tab w:val="left" w:pos="851"/>
        </w:tabs>
        <w:spacing w:before="120" w:after="120"/>
        <w:outlineLvl w:val="6"/>
        <w:rPr>
          <w:b/>
        </w:rPr>
      </w:pPr>
      <w:r w:rsidRPr="009B1ABF">
        <w:rPr>
          <w:b/>
        </w:rPr>
        <w:t>(1)</w:t>
      </w:r>
      <w:r w:rsidRPr="009B1ABF">
        <w:rPr>
          <w:b/>
        </w:rPr>
        <w:tab/>
        <w:t>Fond odměn se tvoří z peněžních prostředků podle § 56 odst. 2 písm. c).</w:t>
      </w:r>
    </w:p>
    <w:p w14:paraId="2BED9F21" w14:textId="77777777" w:rsidR="00681D7E" w:rsidRPr="009B1ABF" w:rsidRDefault="00681D7E" w:rsidP="00096616">
      <w:pPr>
        <w:tabs>
          <w:tab w:val="left" w:pos="782"/>
          <w:tab w:val="left" w:pos="851"/>
        </w:tabs>
        <w:spacing w:before="120" w:after="120"/>
        <w:outlineLvl w:val="6"/>
        <w:rPr>
          <w:b/>
        </w:rPr>
      </w:pPr>
      <w:r w:rsidRPr="009B1ABF">
        <w:rPr>
          <w:b/>
        </w:rPr>
        <w:t xml:space="preserve">(2) Z fondu odměn se hradí </w:t>
      </w:r>
    </w:p>
    <w:p w14:paraId="55FE8935" w14:textId="77777777" w:rsidR="00681D7E" w:rsidRPr="009B1ABF" w:rsidRDefault="00681D7E" w:rsidP="00F8201B">
      <w:pPr>
        <w:spacing w:before="0"/>
        <w:ind w:left="425" w:hanging="425"/>
        <w:outlineLvl w:val="7"/>
        <w:rPr>
          <w:b/>
        </w:rPr>
      </w:pPr>
      <w:r w:rsidRPr="009B1ABF">
        <w:rPr>
          <w:b/>
        </w:rPr>
        <w:t>a)</w:t>
      </w:r>
      <w:r w:rsidRPr="009B1ABF">
        <w:rPr>
          <w:b/>
        </w:rPr>
        <w:tab/>
        <w:t>případné překročení limitu peněžních prostředků na platy nebo</w:t>
      </w:r>
    </w:p>
    <w:p w14:paraId="20E29664" w14:textId="77777777" w:rsidR="00681D7E" w:rsidRPr="009B1ABF" w:rsidRDefault="00681D7E" w:rsidP="00F8201B">
      <w:pPr>
        <w:spacing w:before="0"/>
        <w:ind w:left="425" w:hanging="425"/>
        <w:outlineLvl w:val="7"/>
        <w:rPr>
          <w:b/>
        </w:rPr>
      </w:pPr>
      <w:r w:rsidRPr="009B1ABF">
        <w:rPr>
          <w:b/>
        </w:rPr>
        <w:t>b)</w:t>
      </w:r>
      <w:r w:rsidRPr="009B1ABF">
        <w:rPr>
          <w:b/>
        </w:rPr>
        <w:tab/>
        <w:t>případné mimořádné odměny.</w:t>
      </w:r>
    </w:p>
    <w:p w14:paraId="2FB02F87" w14:textId="77777777" w:rsidR="00681D7E" w:rsidRPr="009B1ABF" w:rsidRDefault="00681D7E" w:rsidP="00992796">
      <w:pPr>
        <w:numPr>
          <w:ilvl w:val="0"/>
          <w:numId w:val="40"/>
        </w:numPr>
        <w:spacing w:after="120"/>
        <w:jc w:val="center"/>
        <w:outlineLvl w:val="5"/>
      </w:pPr>
      <w:r w:rsidRPr="009B1ABF">
        <w:t>***</w:t>
      </w:r>
    </w:p>
    <w:p w14:paraId="151C2689" w14:textId="77777777" w:rsidR="00681D7E" w:rsidRPr="009B1ABF" w:rsidRDefault="00681D7E" w:rsidP="00992796">
      <w:pPr>
        <w:numPr>
          <w:ilvl w:val="0"/>
          <w:numId w:val="40"/>
        </w:numPr>
        <w:spacing w:after="120"/>
        <w:jc w:val="center"/>
        <w:outlineLvl w:val="5"/>
        <w:rPr>
          <w:strike/>
        </w:rPr>
      </w:pPr>
      <w:r w:rsidRPr="009B1ABF">
        <w:rPr>
          <w:strike/>
        </w:rPr>
        <w:t>§ 60</w:t>
      </w:r>
    </w:p>
    <w:p w14:paraId="73FF1D19" w14:textId="77777777" w:rsidR="00681D7E" w:rsidRPr="009B1ABF" w:rsidRDefault="00681D7E" w:rsidP="00F8201B">
      <w:pPr>
        <w:keepNext/>
        <w:keepLines/>
        <w:tabs>
          <w:tab w:val="left" w:pos="782"/>
          <w:tab w:val="left" w:pos="851"/>
        </w:tabs>
        <w:spacing w:after="120"/>
        <w:outlineLvl w:val="6"/>
        <w:rPr>
          <w:strike/>
        </w:rPr>
      </w:pPr>
      <w:r w:rsidRPr="009B1ABF">
        <w:rPr>
          <w:strike/>
        </w:rPr>
        <w:lastRenderedPageBreak/>
        <w:t>Fond kulturních a sociálních potřeb je tvořen základním přídělem na vrub nákladů příspěvkové organizace ve výši 1 % z ročního objemu nákladů zúčtovaných na platy a náhrady platů, popřípadě na mzdy a náhrady mzdy a odměny za pracovní pohotovost, na odměny a ostatní plnění za práci vykonávanou v rámci odborného výcviku na produktivních činnostech žákům učilišť a na stipendia zaměstnancům na studijních pobytech. Nejméně 50 % z rozpočtovaného základního přídělu k 1. lednu rozpočtového roku podle věty první se použije na příspěvky na produkty spoření na stáří zaměstnanců, které jsou osvobozeny od daně z příjmů fyzických osob. Fond kulturních a sociálních potřeb je naplňován zálohově z roční plánované výše v souladu s jeho schváleným rozpočtem. Vyúčtování skutečného základního přídělu se provede v rámci účetní závěrky. Je tvořen k zabezpečování kulturních, sociálních a dalších potřeb a je určen zaměstnancům v pracovním poměru k zaměstnavateli, státním zaměstnancům podle zákona o státní službě, příslušníkům ve služebním poměru, soudcům, žákům středních odborných učilišť a učilišť, důchodcům, kteří při prvém odchodu do starobního důchodu nebo invalidního důchodu pro invaliditu třetího stupně pracovali u zaměstnavatele, případně rodinným příslušníkům zaměstnanců a jiným právnickým nebo fyzickým osobám.</w:t>
      </w:r>
    </w:p>
    <w:p w14:paraId="1D0C454A" w14:textId="77777777" w:rsidR="00681D7E" w:rsidRPr="009B1ABF" w:rsidRDefault="00681D7E" w:rsidP="00F8201B">
      <w:pPr>
        <w:tabs>
          <w:tab w:val="left" w:pos="851"/>
        </w:tabs>
        <w:spacing w:after="120"/>
        <w:ind w:firstLine="0"/>
        <w:jc w:val="center"/>
        <w:rPr>
          <w:b/>
        </w:rPr>
      </w:pPr>
      <w:r w:rsidRPr="009B1ABF">
        <w:rPr>
          <w:b/>
        </w:rPr>
        <w:t>§ 60</w:t>
      </w:r>
    </w:p>
    <w:p w14:paraId="7ACAEF70" w14:textId="77777777" w:rsidR="00681D7E" w:rsidRPr="009B1ABF" w:rsidRDefault="00681D7E" w:rsidP="00F8201B">
      <w:pPr>
        <w:tabs>
          <w:tab w:val="left" w:pos="782"/>
          <w:tab w:val="left" w:pos="851"/>
        </w:tabs>
        <w:spacing w:after="120"/>
        <w:outlineLvl w:val="6"/>
        <w:rPr>
          <w:b/>
        </w:rPr>
      </w:pPr>
      <w:r w:rsidRPr="008C00E2">
        <w:rPr>
          <w:b/>
        </w:rPr>
        <w:t>Fond</w:t>
      </w:r>
      <w:r w:rsidRPr="009B1ABF">
        <w:rPr>
          <w:b/>
        </w:rPr>
        <w:t xml:space="preserve"> kulturních a sociálních potřeb je tvořen základním přídělem z peněžních prostředků příspěvkové organizace ve výši 1 % z ročního objemu výdajů na platy a náhrady platů, popřípadě mzdy a náhrady mzdy a odměny za pracovní pohotovost. Nejméně 50 % z rozpočtovaného základního přídělu k 1. lednu rozpočtového roku podle věty první se použije na příspěvky na produkty spoření na stáří zaměstnanců, které jsou osvobozeny od daně z příjmů fyzických osob. Fond kulturních a sociálních potřeb je naplňován zálohově z roční plánované výše v souladu s jeho schváleným rozpočtem. Vyúčtování skutečného základního přídělu se provede ke dni, k jehož konci se sestavuje řádná individuální účetní závěrka. Je tvořen k zabezpečování kulturních, sociálních a dalších potřeb a je určen zaměstnancům v pracovním poměru k zaměstnavateli, státním zaměstnancům podle zákona o státní službě, příslušníkům ve služebním poměru, soudcům, důchodcům, kteří při prvém odchodu do starobního důchodu nebo invalidního důchodu pro invaliditu třetího stupně pracovali u zaměstnavatele, případně rodinným příslušníkům zaměstnanců a jiným právnickým nebo fyzickým osobám.</w:t>
      </w:r>
    </w:p>
    <w:p w14:paraId="5650876F" w14:textId="77777777" w:rsidR="00681D7E" w:rsidRPr="009B1ABF" w:rsidRDefault="00681D7E" w:rsidP="00992796">
      <w:pPr>
        <w:keepNext/>
        <w:keepLines/>
        <w:numPr>
          <w:ilvl w:val="0"/>
          <w:numId w:val="40"/>
        </w:numPr>
        <w:spacing w:after="120"/>
        <w:jc w:val="center"/>
        <w:outlineLvl w:val="5"/>
      </w:pPr>
      <w:r w:rsidRPr="009B1ABF">
        <w:t>***</w:t>
      </w:r>
    </w:p>
    <w:p w14:paraId="6A688EF4" w14:textId="77777777" w:rsidR="00681D7E" w:rsidRPr="009B1ABF" w:rsidRDefault="00681D7E" w:rsidP="00992796">
      <w:pPr>
        <w:keepNext/>
        <w:keepLines/>
        <w:numPr>
          <w:ilvl w:val="0"/>
          <w:numId w:val="40"/>
        </w:numPr>
        <w:spacing w:after="120"/>
        <w:jc w:val="center"/>
        <w:outlineLvl w:val="5"/>
      </w:pPr>
      <w:r w:rsidRPr="009B1ABF">
        <w:t>§ 61</w:t>
      </w:r>
    </w:p>
    <w:p w14:paraId="48411A7B" w14:textId="77777777" w:rsidR="00681D7E" w:rsidRPr="009B1ABF" w:rsidRDefault="00681D7E" w:rsidP="00096616">
      <w:pPr>
        <w:keepNext/>
        <w:keepLines/>
        <w:tabs>
          <w:tab w:val="left" w:pos="782"/>
          <w:tab w:val="left" w:pos="851"/>
        </w:tabs>
        <w:spacing w:before="120" w:after="120"/>
        <w:outlineLvl w:val="6"/>
      </w:pPr>
      <w:r w:rsidRPr="009B1ABF">
        <w:t>Příspěvkové organizace hradí odvod za porušení rozpočtové kázně a penále</w:t>
      </w:r>
    </w:p>
    <w:p w14:paraId="04A1B37C" w14:textId="77777777" w:rsidR="00681D7E" w:rsidRPr="009B1ABF" w:rsidRDefault="00681D7E" w:rsidP="00F8201B">
      <w:pPr>
        <w:spacing w:before="0"/>
        <w:ind w:left="425" w:hanging="425"/>
        <w:outlineLvl w:val="7"/>
      </w:pPr>
      <w:r w:rsidRPr="009B1ABF">
        <w:t>a)</w:t>
      </w:r>
      <w:r w:rsidRPr="009B1ABF">
        <w:tab/>
        <w:t xml:space="preserve">z rezervního fondu; není-li v rezervním fondu dostatek prostředků, mohou být odvod a penále uhrazeny </w:t>
      </w:r>
      <w:r w:rsidRPr="009B1ABF">
        <w:rPr>
          <w:strike/>
        </w:rPr>
        <w:t>na vrub nákladů</w:t>
      </w:r>
      <w:r w:rsidRPr="009B1ABF">
        <w:rPr>
          <w:b/>
        </w:rPr>
        <w:t xml:space="preserve"> z peněžních prostředků </w:t>
      </w:r>
      <w:r w:rsidRPr="009B1ABF">
        <w:t>hlavní činnosti,</w:t>
      </w:r>
    </w:p>
    <w:p w14:paraId="4A6F4482" w14:textId="77777777" w:rsidR="00681D7E" w:rsidRPr="00CD3A3F" w:rsidRDefault="00681D7E" w:rsidP="00F8201B">
      <w:pPr>
        <w:spacing w:before="0"/>
        <w:ind w:left="425" w:hanging="425"/>
        <w:outlineLvl w:val="7"/>
      </w:pPr>
      <w:r w:rsidRPr="009B1ABF">
        <w:t>b)</w:t>
      </w:r>
      <w:r w:rsidRPr="009B1ABF">
        <w:tab/>
        <w:t xml:space="preserve">z příslušného fondu, jde-li o porušení pravidel hospodaření s tímto fondem; není-li v příslušném fondu dostatek prostředků, mohou být odvod a penále uhrazeny </w:t>
      </w:r>
      <w:r w:rsidRPr="009B1ABF">
        <w:rPr>
          <w:strike/>
        </w:rPr>
        <w:t>na vrub nákladů</w:t>
      </w:r>
      <w:r w:rsidRPr="009B1ABF">
        <w:rPr>
          <w:b/>
        </w:rPr>
        <w:t xml:space="preserve"> z peněžních prostředků</w:t>
      </w:r>
      <w:r w:rsidRPr="009B1ABF">
        <w:t xml:space="preserve"> hlavní činnosti.</w:t>
      </w:r>
    </w:p>
    <w:p w14:paraId="29A40C5D" w14:textId="77777777" w:rsidR="00681D7E" w:rsidRPr="009B1ABF" w:rsidRDefault="00681D7E" w:rsidP="00992796">
      <w:pPr>
        <w:numPr>
          <w:ilvl w:val="0"/>
          <w:numId w:val="40"/>
        </w:numPr>
        <w:spacing w:after="120"/>
        <w:jc w:val="center"/>
        <w:outlineLvl w:val="5"/>
      </w:pPr>
      <w:r w:rsidRPr="009B1ABF">
        <w:t>***</w:t>
      </w:r>
    </w:p>
    <w:p w14:paraId="157B1D29" w14:textId="77777777" w:rsidR="00681D7E" w:rsidRPr="009B1ABF" w:rsidRDefault="00681D7E" w:rsidP="00992796">
      <w:pPr>
        <w:numPr>
          <w:ilvl w:val="0"/>
          <w:numId w:val="40"/>
        </w:numPr>
        <w:spacing w:after="120"/>
        <w:jc w:val="center"/>
        <w:outlineLvl w:val="5"/>
      </w:pPr>
      <w:r w:rsidRPr="009B1ABF">
        <w:t>§ 63</w:t>
      </w:r>
    </w:p>
    <w:p w14:paraId="2F1A6B69" w14:textId="77777777" w:rsidR="00681D7E" w:rsidRPr="009B1ABF" w:rsidRDefault="00681D7E" w:rsidP="00096616">
      <w:pPr>
        <w:tabs>
          <w:tab w:val="left" w:pos="782"/>
          <w:tab w:val="left" w:pos="851"/>
        </w:tabs>
        <w:spacing w:before="120" w:after="120"/>
        <w:outlineLvl w:val="6"/>
      </w:pPr>
      <w:r w:rsidRPr="009B1ABF">
        <w:t>(1)</w:t>
      </w:r>
      <w:r w:rsidRPr="009B1ABF">
        <w:tab/>
        <w:t>Jiná činnost musí být sledována odděleně od hlavní činnosti. Pokud příspěvková organizace vykonává jinou činnost, musí být její předmět a rozsah doplněn do zřizovací listiny před jejím započetím.</w:t>
      </w:r>
    </w:p>
    <w:p w14:paraId="239779DB" w14:textId="77777777" w:rsidR="00681D7E" w:rsidRPr="009B1ABF" w:rsidRDefault="00681D7E" w:rsidP="00096616">
      <w:pPr>
        <w:tabs>
          <w:tab w:val="left" w:pos="782"/>
          <w:tab w:val="left" w:pos="851"/>
        </w:tabs>
        <w:spacing w:before="120" w:after="120"/>
        <w:outlineLvl w:val="6"/>
        <w:rPr>
          <w:strike/>
        </w:rPr>
      </w:pPr>
      <w:r w:rsidRPr="009B1ABF">
        <w:rPr>
          <w:strike/>
        </w:rPr>
        <w:lastRenderedPageBreak/>
        <w:t>(2)</w:t>
      </w:r>
      <w:r w:rsidRPr="009B1ABF">
        <w:rPr>
          <w:strike/>
        </w:rPr>
        <w:tab/>
        <w:t>Jestliže je hospodářským výsledkem jiné činnosti k 30. září ztráta, je statutární orgán příspěvkové organizace povinen zajistit, aby byla do konce rozpočtového roku vyrovnána, nebo učinit opatření k ukončení jiné činnosti tak, aby v této činnosti nebylo pokračováno po skončení rozpočtového roku.</w:t>
      </w:r>
    </w:p>
    <w:p w14:paraId="052A90D1" w14:textId="77777777" w:rsidR="00681D7E" w:rsidRPr="009B1ABF" w:rsidRDefault="00681D7E" w:rsidP="00096616">
      <w:pPr>
        <w:tabs>
          <w:tab w:val="left" w:pos="782"/>
          <w:tab w:val="left" w:pos="851"/>
        </w:tabs>
        <w:spacing w:before="120" w:after="120"/>
        <w:outlineLvl w:val="6"/>
        <w:rPr>
          <w:b/>
        </w:rPr>
      </w:pPr>
      <w:r w:rsidRPr="009B1ABF">
        <w:rPr>
          <w:b/>
        </w:rPr>
        <w:t>(2)</w:t>
      </w:r>
      <w:r w:rsidRPr="009B1ABF">
        <w:rPr>
          <w:b/>
        </w:rPr>
        <w:tab/>
        <w:t>Příspěvková organizace nesmí provozovat jinou činnost, není-li schopna uhrazovat splatné dluhy z jiné činnosti příjmy z jiné činnosti. Příspěvková organizace nesmí použít peněžní prostředky určené na provozování hlavní činnosti na financování jiné činnosti.</w:t>
      </w:r>
    </w:p>
    <w:p w14:paraId="4D0255A0" w14:textId="77777777" w:rsidR="00681D7E" w:rsidRPr="009B1ABF" w:rsidRDefault="00681D7E" w:rsidP="00096616">
      <w:pPr>
        <w:tabs>
          <w:tab w:val="left" w:pos="782"/>
          <w:tab w:val="left" w:pos="851"/>
        </w:tabs>
        <w:spacing w:before="120" w:after="120"/>
        <w:outlineLvl w:val="6"/>
        <w:rPr>
          <w:b/>
        </w:rPr>
      </w:pPr>
      <w:r w:rsidRPr="009B1ABF">
        <w:rPr>
          <w:b/>
        </w:rPr>
        <w:t>(3) Příjmy z jiné činnosti ve výši přesahující výdaje na jinou činnost lze použít na výdaje hlavní činnosti prostřednictvím účtu, ze kterého se výdaje na příslušnou hlavní činnost uskutečňují.</w:t>
      </w:r>
    </w:p>
    <w:p w14:paraId="6D9BC1B3" w14:textId="77777777" w:rsidR="00681D7E" w:rsidRPr="009B1ABF" w:rsidRDefault="00681D7E" w:rsidP="00992796">
      <w:pPr>
        <w:numPr>
          <w:ilvl w:val="0"/>
          <w:numId w:val="60"/>
        </w:numPr>
        <w:spacing w:after="120"/>
        <w:jc w:val="center"/>
        <w:outlineLvl w:val="5"/>
      </w:pPr>
      <w:r w:rsidRPr="009B1ABF">
        <w:t>***</w:t>
      </w:r>
    </w:p>
    <w:p w14:paraId="0B62E36C" w14:textId="77777777" w:rsidR="00681D7E" w:rsidRPr="009B1ABF" w:rsidRDefault="00681D7E" w:rsidP="00992796">
      <w:pPr>
        <w:numPr>
          <w:ilvl w:val="0"/>
          <w:numId w:val="60"/>
        </w:numPr>
        <w:spacing w:after="120"/>
        <w:jc w:val="center"/>
        <w:outlineLvl w:val="5"/>
      </w:pPr>
      <w:r w:rsidRPr="009B1ABF">
        <w:t>§ 69</w:t>
      </w:r>
    </w:p>
    <w:p w14:paraId="6BBB4F38" w14:textId="77777777" w:rsidR="00681D7E" w:rsidRPr="009B1ABF" w:rsidRDefault="00681D7E" w:rsidP="00F8201B">
      <w:pPr>
        <w:spacing w:after="120"/>
        <w:ind w:firstLine="0"/>
        <w:jc w:val="center"/>
        <w:outlineLvl w:val="5"/>
        <w:rPr>
          <w:b/>
        </w:rPr>
      </w:pPr>
      <w:r w:rsidRPr="009B1ABF">
        <w:rPr>
          <w:b/>
        </w:rPr>
        <w:t>Stravování a stravovací služby</w:t>
      </w:r>
    </w:p>
    <w:p w14:paraId="0BDAFEE6" w14:textId="77777777" w:rsidR="00681D7E" w:rsidRPr="009B1ABF" w:rsidRDefault="00681D7E" w:rsidP="00096616">
      <w:pPr>
        <w:tabs>
          <w:tab w:val="left" w:pos="782"/>
          <w:tab w:val="left" w:pos="851"/>
        </w:tabs>
        <w:spacing w:before="120" w:after="120"/>
        <w:outlineLvl w:val="6"/>
      </w:pPr>
      <w:r w:rsidRPr="009B1ABF">
        <w:t>(1) Zabezpečuje-li organizační složka státu nebo příspěvková organizace stravování, zabezpečuje je ve vlastním stravovacím zařízení nebo prostřednictvím jiné organizační složky státu, právnické osoby nebo fyzické osoby pro</w:t>
      </w:r>
    </w:p>
    <w:p w14:paraId="6B71723A" w14:textId="77777777" w:rsidR="00681D7E" w:rsidRPr="009B1ABF" w:rsidRDefault="00681D7E" w:rsidP="00F8201B">
      <w:pPr>
        <w:spacing w:before="0"/>
        <w:ind w:left="425" w:hanging="425"/>
        <w:outlineLvl w:val="7"/>
      </w:pPr>
      <w:r w:rsidRPr="009B1ABF">
        <w:t xml:space="preserve">a) </w:t>
      </w:r>
      <w:r>
        <w:tab/>
      </w:r>
      <w:r w:rsidRPr="009B1ABF">
        <w:t>zaměstnance v pracovním poměru,</w:t>
      </w:r>
    </w:p>
    <w:p w14:paraId="7A380F81" w14:textId="77777777" w:rsidR="00681D7E" w:rsidRPr="009B1ABF" w:rsidRDefault="00681D7E" w:rsidP="00F8201B">
      <w:pPr>
        <w:spacing w:before="0"/>
        <w:ind w:left="425" w:hanging="425"/>
        <w:outlineLvl w:val="7"/>
      </w:pPr>
      <w:r w:rsidRPr="009B1ABF">
        <w:t xml:space="preserve">b) </w:t>
      </w:r>
      <w:r>
        <w:tab/>
      </w:r>
      <w:r w:rsidRPr="009B1ABF">
        <w:t>státní zaměstnance podle zákona o státní službě,</w:t>
      </w:r>
    </w:p>
    <w:p w14:paraId="53B7D28E" w14:textId="77777777" w:rsidR="00681D7E" w:rsidRPr="009B1ABF" w:rsidRDefault="00681D7E" w:rsidP="00F8201B">
      <w:pPr>
        <w:spacing w:before="0"/>
        <w:ind w:left="425" w:hanging="425"/>
        <w:outlineLvl w:val="7"/>
      </w:pPr>
      <w:r w:rsidRPr="009B1ABF">
        <w:t xml:space="preserve">c) </w:t>
      </w:r>
      <w:r>
        <w:tab/>
      </w:r>
      <w:r w:rsidRPr="009B1ABF">
        <w:t>příslušníky bezpečnostních sborů ve služebním poměru,</w:t>
      </w:r>
    </w:p>
    <w:p w14:paraId="4E1573D1" w14:textId="77777777" w:rsidR="00681D7E" w:rsidRPr="009B1ABF" w:rsidRDefault="00681D7E" w:rsidP="00F8201B">
      <w:pPr>
        <w:spacing w:before="0"/>
        <w:ind w:left="425" w:hanging="425"/>
        <w:outlineLvl w:val="7"/>
      </w:pPr>
      <w:r w:rsidRPr="009B1ABF">
        <w:t xml:space="preserve">d) </w:t>
      </w:r>
      <w:r>
        <w:tab/>
      </w:r>
      <w:r w:rsidRPr="009B1ABF">
        <w:t>vojáky z povolání,</w:t>
      </w:r>
    </w:p>
    <w:p w14:paraId="2808F7C9" w14:textId="77777777" w:rsidR="00681D7E" w:rsidRPr="009B1ABF" w:rsidRDefault="00681D7E" w:rsidP="00F8201B">
      <w:pPr>
        <w:spacing w:before="0"/>
        <w:ind w:left="425" w:hanging="425"/>
        <w:outlineLvl w:val="7"/>
      </w:pPr>
      <w:r w:rsidRPr="009B1ABF">
        <w:t xml:space="preserve">e) </w:t>
      </w:r>
      <w:r>
        <w:tab/>
      </w:r>
      <w:r w:rsidRPr="009B1ABF">
        <w:t>soudce,</w:t>
      </w:r>
    </w:p>
    <w:p w14:paraId="7B16B235" w14:textId="77777777" w:rsidR="00681D7E" w:rsidRPr="009B1ABF" w:rsidRDefault="00681D7E" w:rsidP="00F8201B">
      <w:pPr>
        <w:spacing w:before="0"/>
        <w:ind w:left="425" w:hanging="425"/>
        <w:outlineLvl w:val="7"/>
      </w:pPr>
      <w:r w:rsidRPr="009B1ABF">
        <w:t xml:space="preserve">f) </w:t>
      </w:r>
      <w:r>
        <w:tab/>
      </w:r>
      <w:r w:rsidRPr="009B1ABF">
        <w:t>žáky a studenty po dobu jejich činnosti v organizační složce státu nebo příspěvkové organizaci, pokud není jejich stravování zajištěno podle zvláštního právního předpisu.</w:t>
      </w:r>
    </w:p>
    <w:p w14:paraId="30BF9371" w14:textId="0D03130D" w:rsidR="00681D7E" w:rsidRPr="009B1ABF" w:rsidRDefault="00681D7E" w:rsidP="00096616">
      <w:pPr>
        <w:tabs>
          <w:tab w:val="left" w:pos="782"/>
          <w:tab w:val="left" w:pos="851"/>
        </w:tabs>
        <w:spacing w:before="120" w:after="120"/>
        <w:outlineLvl w:val="6"/>
      </w:pPr>
      <w:r w:rsidRPr="009B1ABF">
        <w:t>(2) Organizační složka státu nebo příspěvková organizace může v souladu s kolektivní smlouvou, kolektivní dohodou nebo vnitřním předpisem zabezpečovat stravování ve vlastním stravovacím zařízení též</w:t>
      </w:r>
    </w:p>
    <w:p w14:paraId="40881704" w14:textId="2E14B200" w:rsidR="00681D7E" w:rsidRPr="009B1ABF" w:rsidRDefault="00681D7E" w:rsidP="00F8201B">
      <w:pPr>
        <w:spacing w:before="0"/>
        <w:ind w:left="425" w:hanging="425"/>
        <w:outlineLvl w:val="7"/>
      </w:pPr>
      <w:r w:rsidRPr="009B1ABF">
        <w:t xml:space="preserve">a) </w:t>
      </w:r>
      <w:r>
        <w:tab/>
      </w:r>
      <w:r w:rsidRPr="009B1ABF">
        <w:t>bývalým zaměstnancům, kteří u ní pracovali do odchodu do starobního důchodu, nebo invalidního důchodu pro invaliditu třetího stupně,</w:t>
      </w:r>
    </w:p>
    <w:p w14:paraId="3FE7BA70" w14:textId="18563C32" w:rsidR="00681D7E" w:rsidRPr="009B1ABF" w:rsidRDefault="00681D7E" w:rsidP="00F8201B">
      <w:pPr>
        <w:spacing w:before="0"/>
        <w:ind w:left="425" w:hanging="425"/>
        <w:outlineLvl w:val="7"/>
      </w:pPr>
      <w:r w:rsidRPr="009B1ABF">
        <w:t xml:space="preserve">b) </w:t>
      </w:r>
      <w:r>
        <w:tab/>
      </w:r>
      <w:r w:rsidRPr="009B1ABF">
        <w:t>zaměstnancům činným u organizační složky státu nebo příspěvkové organizace na základě dohod o pracích konaných mimo pracovní poměr.</w:t>
      </w:r>
    </w:p>
    <w:p w14:paraId="37E82731" w14:textId="42DAB827" w:rsidR="00681D7E" w:rsidRPr="009B1ABF" w:rsidRDefault="00681D7E" w:rsidP="00096616">
      <w:pPr>
        <w:tabs>
          <w:tab w:val="left" w:pos="782"/>
          <w:tab w:val="left" w:pos="851"/>
        </w:tabs>
        <w:spacing w:before="120" w:after="120"/>
        <w:outlineLvl w:val="6"/>
      </w:pPr>
      <w:r w:rsidRPr="009B1ABF">
        <w:t>(3) Organizační složka státu nebo příspěvková organizace může poskytnout stravování ve vlastním stravovacím zařízení též</w:t>
      </w:r>
    </w:p>
    <w:p w14:paraId="603447BC" w14:textId="7F291B8D" w:rsidR="00681D7E" w:rsidRPr="009B1ABF" w:rsidRDefault="00681D7E" w:rsidP="00F8201B">
      <w:pPr>
        <w:spacing w:before="0"/>
        <w:ind w:left="425" w:hanging="425"/>
        <w:outlineLvl w:val="7"/>
      </w:pPr>
      <w:r w:rsidRPr="009B1ABF">
        <w:t xml:space="preserve">a) </w:t>
      </w:r>
      <w:r>
        <w:tab/>
      </w:r>
      <w:r w:rsidRPr="009B1ABF">
        <w:t>fyzickým osobám, k jejichž stravování se zavázala smlouvou o stravování s jinou organizační složkou státu, právnickou osobou nebo fyzickou osobou,</w:t>
      </w:r>
    </w:p>
    <w:p w14:paraId="50B0D555" w14:textId="5BEC1F5C" w:rsidR="00681D7E" w:rsidRPr="009B1ABF" w:rsidRDefault="00681D7E" w:rsidP="00F8201B">
      <w:pPr>
        <w:spacing w:before="0"/>
        <w:ind w:left="425" w:hanging="425"/>
        <w:outlineLvl w:val="7"/>
      </w:pPr>
      <w:r w:rsidRPr="009B1ABF">
        <w:t xml:space="preserve">b) </w:t>
      </w:r>
      <w:r>
        <w:tab/>
      </w:r>
      <w:r w:rsidRPr="009B1ABF">
        <w:t>zaměstnancům jiných zaměstnavatelů, kteří jsou u ní na pracovní cestě nebo pro ni jinak činní.</w:t>
      </w:r>
    </w:p>
    <w:p w14:paraId="2AF4F625" w14:textId="77777777" w:rsidR="00681D7E" w:rsidRPr="009B1ABF" w:rsidRDefault="00681D7E" w:rsidP="00096616">
      <w:pPr>
        <w:tabs>
          <w:tab w:val="left" w:pos="782"/>
          <w:tab w:val="left" w:pos="851"/>
        </w:tabs>
        <w:spacing w:before="120" w:after="120"/>
        <w:outlineLvl w:val="6"/>
      </w:pPr>
      <w:r w:rsidRPr="009B1ABF">
        <w:t xml:space="preserve">(4) Odstavec 1 se nepoužije, poskytuje-li organizační složka státu ze svého rozpočtu nebo příspěvková organizace </w:t>
      </w:r>
      <w:r w:rsidRPr="009B1ABF">
        <w:rPr>
          <w:strike/>
        </w:rPr>
        <w:t>na vrub nákladů</w:t>
      </w:r>
      <w:r w:rsidRPr="009B1ABF">
        <w:t xml:space="preserve"> </w:t>
      </w:r>
      <w:r w:rsidRPr="009B1ABF">
        <w:rPr>
          <w:b/>
        </w:rPr>
        <w:t>z peněžních prostředků</w:t>
      </w:r>
      <w:r w:rsidRPr="009B1ABF">
        <w:t xml:space="preserve"> své hlavní činnosti zaměstnanci v pracovním poměru, státnímu zaměstnanci podle zákona o státní službě, příslušníkovi bezpečnostního sboru ve služebním poměru, vojákovi z povolání nebo soudci v pracovním vztahu peněžitý příspěvek na stravování. Jeden peněžitý příspěvek na stravování za den náleží zaměstnanci v pracovním poměru, státnímu zaměstnanci podle zákona o státní </w:t>
      </w:r>
      <w:r w:rsidRPr="009B1ABF">
        <w:lastRenderedPageBreak/>
        <w:t>službě, příslušníkovi bezpečnostního sboru ve služebním poměru, vojákovi z povolání nebo soudci, odpracoval-li alespoň 3 hodiny v tomto dni v místě výkonu práce sjednaném v pracovní smlouvě, v místě služebního působiště nebo v místě výkonu funkce soudce. Peněžitý příspěvek na stravování za den se poskytuje do výše 70 % horní hranice stravného, které lze poskytnout zaměstnancům odměňovaným platem při pracovní cestě trvající 5 až 12 hodin. Nejvýše 45 % peněžitého příspěvku na stravování může být hrazeno příspěvkem z fondu kulturních a sociálních potřeb. Při výplatě peněžitého příspěvku na stravování nebo jeho části z rozpočtu organizační složky státu se postupuje podle § 46 obdobně.</w:t>
      </w:r>
    </w:p>
    <w:p w14:paraId="1293C23C" w14:textId="3C060FC8" w:rsidR="00681D7E" w:rsidRPr="009B1ABF" w:rsidRDefault="00681D7E" w:rsidP="00096616">
      <w:pPr>
        <w:tabs>
          <w:tab w:val="left" w:pos="782"/>
          <w:tab w:val="left" w:pos="851"/>
        </w:tabs>
        <w:spacing w:before="120" w:after="120"/>
        <w:outlineLvl w:val="6"/>
      </w:pPr>
      <w:r w:rsidRPr="009B1ABF">
        <w:t>(5) Umožňuje-li to kolektivní smlouva, kolektivní dohoda nebo vnitřní předpis, může organizační složka státu nebo příspěvková organizace poskytnout za podmínek podle odstavce 4 v daném dni další peněžitý příspěvek na stravování, odpracoval-li zaměstnanec v pracovním poměru, státní zaměstnanec podle zákona o státní službě, příslušník bezpečnostního sboru ve služebním poměru, voják z povolání nebo soudce déle než 11 hodin v daném dni. Do odpracované doby se započítává přestávka v práci, kterou je organizační složka státu nebo příspěvková organizace povinna poskytnout podle jiného právního předpisu osobám podle věty první.</w:t>
      </w:r>
    </w:p>
    <w:p w14:paraId="498F34A3" w14:textId="77777777" w:rsidR="00681D7E" w:rsidRPr="00CD3A3F" w:rsidRDefault="00681D7E" w:rsidP="00096616">
      <w:pPr>
        <w:tabs>
          <w:tab w:val="left" w:pos="782"/>
          <w:tab w:val="left" w:pos="851"/>
        </w:tabs>
        <w:spacing w:before="120" w:after="120"/>
        <w:outlineLvl w:val="6"/>
      </w:pPr>
      <w:r w:rsidRPr="00CD3A3F">
        <w:t>(6) Organizační složka státu nebo příspěvková organizace může zabezpečovat stravování odlišně u místně odděleného pracoviště.</w:t>
      </w:r>
    </w:p>
    <w:p w14:paraId="15E33DF0" w14:textId="77777777" w:rsidR="00681D7E" w:rsidRPr="00CD3A3F" w:rsidRDefault="00681D7E" w:rsidP="00096616">
      <w:pPr>
        <w:tabs>
          <w:tab w:val="left" w:pos="782"/>
          <w:tab w:val="left" w:pos="851"/>
        </w:tabs>
        <w:spacing w:before="120" w:after="120"/>
        <w:outlineLvl w:val="6"/>
      </w:pPr>
      <w:r w:rsidRPr="00CD3A3F">
        <w:t>(7) Náklady na stravování a jejich úhradu stanoví ministerstvo vyhláškou.</w:t>
      </w:r>
    </w:p>
    <w:p w14:paraId="49CBE92B" w14:textId="77777777" w:rsidR="00681D7E" w:rsidRPr="00CD3A3F" w:rsidRDefault="00681D7E" w:rsidP="00096616">
      <w:pPr>
        <w:tabs>
          <w:tab w:val="left" w:pos="782"/>
          <w:tab w:val="left" w:pos="851"/>
        </w:tabs>
        <w:spacing w:before="120" w:after="120"/>
        <w:outlineLvl w:val="6"/>
      </w:pPr>
      <w:r w:rsidRPr="00CD3A3F">
        <w:t>(8) Za dobu, za níž vzniklo zaměstnanci v příslušném dni právo na poskytnutí stravného podle právních předpisů upravujících cestovní náhrady, nelze postupovat podle odstavců 1 až 6 ani podle vyhlášky vydané na základě zmocnění obsaženého v odstavci 7.</w:t>
      </w:r>
    </w:p>
    <w:p w14:paraId="2EBCED51" w14:textId="77777777" w:rsidR="00681D7E" w:rsidRPr="009B1ABF" w:rsidRDefault="00681D7E" w:rsidP="00992796">
      <w:pPr>
        <w:keepNext/>
        <w:keepLines/>
        <w:numPr>
          <w:ilvl w:val="0"/>
          <w:numId w:val="40"/>
        </w:numPr>
        <w:spacing w:after="120"/>
        <w:jc w:val="center"/>
        <w:outlineLvl w:val="5"/>
        <w:rPr>
          <w:szCs w:val="24"/>
        </w:rPr>
      </w:pPr>
      <w:r w:rsidRPr="009B1ABF">
        <w:rPr>
          <w:szCs w:val="24"/>
        </w:rPr>
        <w:t>***</w:t>
      </w:r>
    </w:p>
    <w:p w14:paraId="20E8F5F9" w14:textId="77777777" w:rsidR="00681D7E" w:rsidRPr="009B1ABF" w:rsidRDefault="00681D7E" w:rsidP="00992796">
      <w:pPr>
        <w:keepNext/>
        <w:keepLines/>
        <w:numPr>
          <w:ilvl w:val="0"/>
          <w:numId w:val="40"/>
        </w:numPr>
        <w:spacing w:after="120"/>
        <w:jc w:val="center"/>
        <w:outlineLvl w:val="5"/>
        <w:rPr>
          <w:szCs w:val="24"/>
        </w:rPr>
      </w:pPr>
      <w:r w:rsidRPr="009B1ABF">
        <w:rPr>
          <w:szCs w:val="24"/>
        </w:rPr>
        <w:t>§ 70</w:t>
      </w:r>
    </w:p>
    <w:p w14:paraId="0A76F564" w14:textId="4355E7A4" w:rsidR="00681D7E" w:rsidRPr="00681D7E" w:rsidRDefault="00681D7E" w:rsidP="00F8201B">
      <w:pPr>
        <w:keepNext/>
        <w:keepLines/>
        <w:spacing w:after="120"/>
        <w:ind w:firstLine="0"/>
        <w:jc w:val="center"/>
        <w:outlineLvl w:val="5"/>
        <w:rPr>
          <w:b/>
          <w:szCs w:val="24"/>
        </w:rPr>
      </w:pPr>
      <w:r w:rsidRPr="009B1ABF">
        <w:rPr>
          <w:b/>
          <w:szCs w:val="24"/>
        </w:rPr>
        <w:t>Pojištění</w:t>
      </w:r>
    </w:p>
    <w:p w14:paraId="10B0C38A" w14:textId="77777777" w:rsidR="00681D7E" w:rsidRPr="009B1ABF" w:rsidRDefault="00681D7E" w:rsidP="00096616">
      <w:pPr>
        <w:tabs>
          <w:tab w:val="left" w:pos="782"/>
          <w:tab w:val="left" w:pos="851"/>
        </w:tabs>
        <w:spacing w:before="120" w:after="120"/>
        <w:outlineLvl w:val="6"/>
        <w:rPr>
          <w:rFonts w:eastAsiaTheme="minorEastAsia" w:cstheme="minorBidi"/>
          <w:strike/>
          <w:szCs w:val="24"/>
        </w:rPr>
      </w:pPr>
      <w:r w:rsidRPr="009B1ABF">
        <w:rPr>
          <w:rFonts w:eastAsiaTheme="minorEastAsia" w:cstheme="minorBidi"/>
          <w:strike/>
          <w:szCs w:val="24"/>
        </w:rPr>
        <w:t>(1) Organizační složka státu může pojistit pouze majetek České republiky, se kterým hospodaří a to se souhlasem zřizovatele.</w:t>
      </w:r>
    </w:p>
    <w:p w14:paraId="684A402D" w14:textId="77777777" w:rsidR="00681D7E" w:rsidRPr="009B1ABF" w:rsidRDefault="00681D7E" w:rsidP="00096616">
      <w:pPr>
        <w:spacing w:before="120" w:after="120"/>
        <w:rPr>
          <w:rFonts w:eastAsiaTheme="minorEastAsia"/>
          <w:b/>
          <w:szCs w:val="24"/>
        </w:rPr>
      </w:pPr>
      <w:r w:rsidRPr="009B1ABF">
        <w:rPr>
          <w:rFonts w:eastAsiaTheme="minorEastAsia"/>
          <w:b/>
          <w:szCs w:val="24"/>
        </w:rPr>
        <w:t xml:space="preserve">(1) Organizační složka státu a příspěvková organizace může pojistit pouze majetek České republiky, se kterým hospodaří. </w:t>
      </w:r>
    </w:p>
    <w:p w14:paraId="038CDD49" w14:textId="77777777" w:rsidR="00681D7E" w:rsidRPr="009B1ABF" w:rsidRDefault="00681D7E" w:rsidP="00096616">
      <w:pPr>
        <w:spacing w:before="120" w:after="120"/>
        <w:rPr>
          <w:rFonts w:eastAsiaTheme="minorEastAsia" w:cstheme="minorBidi"/>
          <w:strike/>
          <w:szCs w:val="24"/>
        </w:rPr>
      </w:pPr>
      <w:r w:rsidRPr="009B1ABF">
        <w:rPr>
          <w:rFonts w:eastAsiaTheme="minorEastAsia" w:cstheme="minorBidi"/>
          <w:strike/>
          <w:szCs w:val="24"/>
        </w:rPr>
        <w:t>(2) Příspěvková organizace může pojistit pouze majetek České republiky, se kterým hospodaří.</w:t>
      </w:r>
    </w:p>
    <w:p w14:paraId="4E11F251" w14:textId="2840760A" w:rsidR="00681D7E" w:rsidRPr="009B1ABF" w:rsidRDefault="00681D7E" w:rsidP="00096616">
      <w:pPr>
        <w:spacing w:before="120" w:after="120"/>
        <w:rPr>
          <w:rFonts w:eastAsiaTheme="minorEastAsia" w:cstheme="minorBidi"/>
          <w:szCs w:val="24"/>
        </w:rPr>
      </w:pPr>
      <w:proofErr w:type="gramStart"/>
      <w:r w:rsidRPr="009B1ABF">
        <w:rPr>
          <w:rFonts w:eastAsiaTheme="minorEastAsia" w:cstheme="minorBidi"/>
          <w:strike/>
          <w:szCs w:val="24"/>
        </w:rPr>
        <w:t>(3)</w:t>
      </w:r>
      <w:r w:rsidRPr="009B1ABF">
        <w:rPr>
          <w:rFonts w:eastAsiaTheme="minorEastAsia" w:cstheme="minorBidi"/>
          <w:b/>
          <w:szCs w:val="24"/>
        </w:rPr>
        <w:t>(2)</w:t>
      </w:r>
      <w:r w:rsidRPr="009B1ABF">
        <w:rPr>
          <w:rFonts w:eastAsiaTheme="minorEastAsia" w:cstheme="minorBidi"/>
          <w:szCs w:val="24"/>
        </w:rPr>
        <w:t xml:space="preserve"> Peněžní</w:t>
      </w:r>
      <w:proofErr w:type="gramEnd"/>
      <w:r w:rsidRPr="009B1ABF">
        <w:rPr>
          <w:rFonts w:eastAsiaTheme="minorEastAsia" w:cstheme="minorBidi"/>
          <w:szCs w:val="24"/>
        </w:rPr>
        <w:t xml:space="preserve"> prostředky z pojistného plnění za každou pojistnou událost30a) může organizační složka státu, která v době jejich přijetí škody způsobené touto pojistnou událostí dosud neuhradila, použít [§ 25 odst. 1 písm. b)] pouze na jejich úhradu. Jestli v době jejich přijetí tyto škody uhradila dosud jen zčásti, použije je na úhradu zbylé části škody a jejich zbytek na výdaje, které kvůli úhradě části škody nemohla uskutečnit. Jestli v době jejich přijetí tyto škody uhradila již zcela, použije je na výdaje, které kvůli úhradě škody nemohla uskutečnit, v plné výši. To platí i pro výdaje, ke kterým získala organizační složka státu oprávnění použitím částek z nároků z nespotřebovaných výdajů.</w:t>
      </w:r>
    </w:p>
    <w:p w14:paraId="2189DB21" w14:textId="4C23702E" w:rsidR="00681D7E" w:rsidRPr="009B1ABF" w:rsidRDefault="00681D7E" w:rsidP="00096616">
      <w:pPr>
        <w:spacing w:before="120" w:after="120"/>
        <w:rPr>
          <w:rFonts w:eastAsiaTheme="minorEastAsia" w:cstheme="minorBidi"/>
          <w:szCs w:val="24"/>
        </w:rPr>
      </w:pPr>
      <w:proofErr w:type="gramStart"/>
      <w:r w:rsidRPr="009B1ABF">
        <w:rPr>
          <w:rFonts w:eastAsiaTheme="minorEastAsia" w:cstheme="minorBidi"/>
          <w:strike/>
          <w:szCs w:val="24"/>
        </w:rPr>
        <w:t>(4)</w:t>
      </w:r>
      <w:r w:rsidRPr="009B1ABF">
        <w:rPr>
          <w:rFonts w:eastAsiaTheme="minorEastAsia" w:cstheme="minorBidi"/>
          <w:b/>
          <w:szCs w:val="24"/>
        </w:rPr>
        <w:t>(3)</w:t>
      </w:r>
      <w:r w:rsidRPr="009B1ABF">
        <w:rPr>
          <w:rFonts w:eastAsiaTheme="minorEastAsia" w:cstheme="minorBidi"/>
          <w:szCs w:val="24"/>
        </w:rPr>
        <w:t xml:space="preserve"> Jiné</w:t>
      </w:r>
      <w:proofErr w:type="gramEnd"/>
      <w:r w:rsidRPr="009B1ABF">
        <w:rPr>
          <w:rFonts w:eastAsiaTheme="minorEastAsia" w:cstheme="minorBidi"/>
          <w:szCs w:val="24"/>
        </w:rPr>
        <w:t xml:space="preserve"> pojištění než podle </w:t>
      </w:r>
      <w:r w:rsidRPr="009B1ABF">
        <w:rPr>
          <w:rFonts w:eastAsiaTheme="minorEastAsia" w:cstheme="minorBidi"/>
          <w:strike/>
          <w:szCs w:val="24"/>
        </w:rPr>
        <w:t>odstavců 1 a 2</w:t>
      </w:r>
      <w:r w:rsidRPr="009B1ABF">
        <w:rPr>
          <w:rFonts w:eastAsiaTheme="minorEastAsia" w:cstheme="minorBidi"/>
          <w:szCs w:val="24"/>
        </w:rPr>
        <w:t xml:space="preserve"> </w:t>
      </w:r>
      <w:r w:rsidRPr="009B1ABF">
        <w:rPr>
          <w:rFonts w:eastAsiaTheme="minorEastAsia" w:cstheme="minorBidi"/>
          <w:b/>
          <w:szCs w:val="24"/>
        </w:rPr>
        <w:t>odstavce 1</w:t>
      </w:r>
      <w:r w:rsidRPr="009B1ABF">
        <w:rPr>
          <w:rFonts w:eastAsiaTheme="minorEastAsia" w:cstheme="minorBidi"/>
          <w:szCs w:val="24"/>
        </w:rPr>
        <w:t xml:space="preserve"> může organizační složka státu a příspěvková organizace uzavřít, jen stanoví-li tak zvláštní zákon31) nebo prováděcí právní předpis ke zvláštnímu zákonu.</w:t>
      </w:r>
    </w:p>
    <w:p w14:paraId="39FD5AE8" w14:textId="77777777" w:rsidR="00F3373B" w:rsidRDefault="00F3373B" w:rsidP="00CB5381">
      <w:pPr>
        <w:pStyle w:val="Textparagrafu"/>
        <w:tabs>
          <w:tab w:val="left" w:pos="406"/>
          <w:tab w:val="left" w:pos="840"/>
          <w:tab w:val="left" w:pos="868"/>
        </w:tabs>
        <w:spacing w:after="120"/>
        <w:ind w:firstLine="0"/>
        <w:sectPr w:rsidR="00F3373B" w:rsidSect="00554E2B">
          <w:footnotePr>
            <w:numStart w:val="3"/>
          </w:footnotePr>
          <w:endnotePr>
            <w:numFmt w:val="decimal"/>
          </w:endnotePr>
          <w:pgSz w:w="11906" w:h="16838"/>
          <w:pgMar w:top="1418" w:right="1418" w:bottom="1418" w:left="1418" w:header="709" w:footer="709" w:gutter="0"/>
          <w:cols w:space="708"/>
          <w:docGrid w:linePitch="360"/>
        </w:sectPr>
      </w:pPr>
    </w:p>
    <w:p w14:paraId="47955777" w14:textId="0A6D9C89" w:rsidR="00F3373B" w:rsidRPr="006E3F35" w:rsidRDefault="00F3373B" w:rsidP="00096616">
      <w:pPr>
        <w:tabs>
          <w:tab w:val="left" w:pos="851"/>
        </w:tabs>
        <w:spacing w:before="120" w:after="120"/>
        <w:ind w:firstLine="0"/>
        <w:jc w:val="center"/>
        <w:outlineLvl w:val="0"/>
        <w:rPr>
          <w:szCs w:val="24"/>
        </w:rPr>
      </w:pPr>
      <w:r w:rsidRPr="006E3F35">
        <w:rPr>
          <w:b/>
          <w:szCs w:val="24"/>
        </w:rPr>
        <w:lastRenderedPageBreak/>
        <w:t xml:space="preserve">K části </w:t>
      </w:r>
      <w:r w:rsidR="00C50555" w:rsidRPr="006E3F35">
        <w:rPr>
          <w:b/>
          <w:szCs w:val="24"/>
        </w:rPr>
        <w:t>padesáté</w:t>
      </w:r>
      <w:r w:rsidRPr="006E3F35">
        <w:rPr>
          <w:b/>
          <w:szCs w:val="24"/>
        </w:rPr>
        <w:t xml:space="preserve"> návrhu zákona – </w:t>
      </w:r>
      <w:r w:rsidRPr="006E3F35">
        <w:rPr>
          <w:szCs w:val="24"/>
        </w:rPr>
        <w:t>změna zákona</w:t>
      </w:r>
      <w:r w:rsidRPr="006E3F35">
        <w:t xml:space="preserve"> </w:t>
      </w:r>
      <w:r w:rsidR="00820A5B" w:rsidRPr="006E3F35">
        <w:rPr>
          <w:szCs w:val="24"/>
        </w:rPr>
        <w:t>o majetku České republiky a jejím vystupování v právních vztazích</w:t>
      </w:r>
    </w:p>
    <w:p w14:paraId="47493A42" w14:textId="160C8B37" w:rsidR="00F3373B" w:rsidRPr="006E3F35" w:rsidRDefault="00F3373B" w:rsidP="00820A5B">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6E3F35">
        <w:rPr>
          <w:b/>
          <w:szCs w:val="24"/>
        </w:rPr>
        <w:t>Platné znění</w:t>
      </w:r>
      <w:r w:rsidRPr="006E3F35">
        <w:rPr>
          <w:szCs w:val="24"/>
        </w:rPr>
        <w:t xml:space="preserve"> zákona č.</w:t>
      </w:r>
      <w:r w:rsidR="00820A5B" w:rsidRPr="006E3F35">
        <w:rPr>
          <w:szCs w:val="24"/>
        </w:rPr>
        <w:t>219</w:t>
      </w:r>
      <w:r w:rsidRPr="006E3F35">
        <w:rPr>
          <w:szCs w:val="24"/>
        </w:rPr>
        <w:t xml:space="preserve">/2000 Sb., </w:t>
      </w:r>
      <w:r w:rsidR="00820A5B" w:rsidRPr="006E3F35">
        <w:rPr>
          <w:szCs w:val="24"/>
        </w:rPr>
        <w:t>o majetku České republiky a jejím vystupování v právních vztazích</w:t>
      </w:r>
    </w:p>
    <w:p w14:paraId="5F4CE17F" w14:textId="4EC2E84D" w:rsidR="00F3373B" w:rsidRPr="006E3F35" w:rsidRDefault="00096616" w:rsidP="00F3373B">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AE4818">
        <w:rPr>
          <w:b/>
          <w:szCs w:val="24"/>
          <w:lang w:eastAsia="en-US"/>
        </w:rPr>
        <w:t>s vyznačením navrhovaných změn a doplnění k 1. lednu 2025</w:t>
      </w:r>
    </w:p>
    <w:p w14:paraId="2969A32B" w14:textId="77777777" w:rsidR="00F3373B" w:rsidRPr="006E3F35" w:rsidRDefault="00F3373B" w:rsidP="00F3373B">
      <w:pPr>
        <w:pStyle w:val="Textparagrafu"/>
        <w:tabs>
          <w:tab w:val="left" w:pos="406"/>
          <w:tab w:val="left" w:pos="840"/>
          <w:tab w:val="left" w:pos="868"/>
        </w:tabs>
        <w:spacing w:after="120"/>
        <w:ind w:firstLine="0"/>
        <w:jc w:val="center"/>
      </w:pPr>
      <w:r w:rsidRPr="006E3F35">
        <w:t>***</w:t>
      </w:r>
    </w:p>
    <w:p w14:paraId="00E12AC5" w14:textId="77777777" w:rsidR="005814F1" w:rsidRPr="005814F1" w:rsidRDefault="005814F1" w:rsidP="005814F1">
      <w:pPr>
        <w:pStyle w:val="Paragraf"/>
        <w:numPr>
          <w:ilvl w:val="0"/>
          <w:numId w:val="29"/>
        </w:numPr>
        <w:spacing w:after="120"/>
        <w:rPr>
          <w:szCs w:val="24"/>
        </w:rPr>
      </w:pPr>
      <w:r w:rsidRPr="005814F1">
        <w:rPr>
          <w:szCs w:val="24"/>
        </w:rPr>
        <w:t xml:space="preserve">§ 3 </w:t>
      </w:r>
    </w:p>
    <w:p w14:paraId="59326EFA" w14:textId="77777777" w:rsidR="005814F1" w:rsidRPr="005814F1" w:rsidRDefault="005814F1" w:rsidP="00096616">
      <w:pPr>
        <w:keepNext/>
        <w:keepLines/>
        <w:spacing w:before="120" w:after="120"/>
        <w:rPr>
          <w:szCs w:val="24"/>
        </w:rPr>
      </w:pPr>
      <w:r w:rsidRPr="005814F1">
        <w:rPr>
          <w:szCs w:val="24"/>
        </w:rPr>
        <w:t>(1) Organizačními složkami státu (dále jen "organizační složka") jsou ministerstva a jiné správní úřady</w:t>
      </w:r>
      <w:r w:rsidRPr="005814F1">
        <w:rPr>
          <w:rStyle w:val="Znakapoznpodarou"/>
          <w:szCs w:val="24"/>
        </w:rPr>
        <w:footnoteReference w:customMarkFollows="1" w:id="353"/>
        <w:t>5)</w:t>
      </w:r>
      <w:r w:rsidRPr="005814F1">
        <w:rPr>
          <w:szCs w:val="24"/>
        </w:rPr>
        <w:t xml:space="preserve"> státu, Ústavní soud, soudy, státní zastupitelství, Nejvyšší kontrolní úřad, Kancelář prezidenta republiky, </w:t>
      </w:r>
      <w:r w:rsidRPr="005814F1">
        <w:rPr>
          <w:b/>
          <w:szCs w:val="24"/>
        </w:rPr>
        <w:t>Kancelář Poslanecké sněmovny, Kancelář Senátu,</w:t>
      </w:r>
      <w:r w:rsidRPr="005814F1">
        <w:rPr>
          <w:szCs w:val="24"/>
        </w:rPr>
        <w:t xml:space="preserve"> Úřad vlády České republiky, Kancelář Veřejného ochránce práv, Akademie věd České republiky, Grantová agentura České republiky a jiná zařízení, o kterých to stanoví zvláštní právní předpis anebo tento zákon (§ 51); </w:t>
      </w:r>
      <w:r w:rsidRPr="005814F1">
        <w:rPr>
          <w:strike/>
          <w:szCs w:val="24"/>
        </w:rPr>
        <w:t>obdobné postavení jako organizační složka státu má Kancelář Poslanecké sněmovny a Kancelář Senátu</w:t>
      </w:r>
      <w:r w:rsidRPr="005814F1">
        <w:rPr>
          <w:szCs w:val="24"/>
        </w:rPr>
        <w:t>.</w:t>
      </w:r>
    </w:p>
    <w:p w14:paraId="7ED85B7D" w14:textId="77777777" w:rsidR="005814F1" w:rsidRPr="005814F1" w:rsidRDefault="005814F1" w:rsidP="00096616">
      <w:pPr>
        <w:keepNext/>
        <w:keepLines/>
        <w:spacing w:before="120" w:after="120"/>
        <w:rPr>
          <w:szCs w:val="24"/>
        </w:rPr>
      </w:pPr>
      <w:r w:rsidRPr="005814F1">
        <w:rPr>
          <w:szCs w:val="24"/>
        </w:rPr>
        <w:t>(2) Organizační složka není právnickou osobou. Tím není dotčena její působnost nebo výkon předmětu činnosti podle zvláštních právních předpisů a její jednání v těchto případech je jednáním státu.</w:t>
      </w:r>
    </w:p>
    <w:p w14:paraId="4D3ABA94" w14:textId="77777777" w:rsidR="005814F1" w:rsidRPr="005814F1" w:rsidRDefault="005814F1" w:rsidP="00096616">
      <w:pPr>
        <w:keepNext/>
        <w:keepLines/>
        <w:spacing w:before="120" w:after="120"/>
        <w:rPr>
          <w:strike/>
          <w:szCs w:val="24"/>
        </w:rPr>
      </w:pPr>
      <w:r w:rsidRPr="005814F1">
        <w:rPr>
          <w:strike/>
          <w:szCs w:val="24"/>
        </w:rPr>
        <w:t>(3) Organizační složka je účetní jednotkou, pokud tak stanoví zvláštní právní předpis anebo tento zákon (§ 4 a 51).</w:t>
      </w:r>
    </w:p>
    <w:p w14:paraId="6DDCE669" w14:textId="6DF8F738" w:rsidR="005814F1" w:rsidRPr="005814F1" w:rsidRDefault="005814F1" w:rsidP="00096616">
      <w:pPr>
        <w:pStyle w:val="Textodstavce"/>
        <w:ind w:firstLine="425"/>
        <w:rPr>
          <w:szCs w:val="24"/>
        </w:rPr>
      </w:pPr>
      <w:proofErr w:type="gramStart"/>
      <w:r w:rsidRPr="005814F1">
        <w:rPr>
          <w:strike/>
          <w:szCs w:val="24"/>
        </w:rPr>
        <w:t>(4)</w:t>
      </w:r>
      <w:r w:rsidRPr="005814F1">
        <w:rPr>
          <w:b/>
          <w:szCs w:val="24"/>
        </w:rPr>
        <w:t xml:space="preserve">(3) </w:t>
      </w:r>
      <w:r w:rsidRPr="005814F1">
        <w:rPr>
          <w:szCs w:val="24"/>
        </w:rPr>
        <w:t>Pravidla</w:t>
      </w:r>
      <w:proofErr w:type="gramEnd"/>
      <w:r w:rsidRPr="005814F1">
        <w:rPr>
          <w:szCs w:val="24"/>
        </w:rPr>
        <w:t xml:space="preserve"> financování organizačních složek upravují zvláštní právní předpisy.</w:t>
      </w:r>
    </w:p>
    <w:p w14:paraId="4E80372A" w14:textId="77777777" w:rsidR="005814F1" w:rsidRPr="005814F1" w:rsidRDefault="005814F1" w:rsidP="005814F1">
      <w:pPr>
        <w:pStyle w:val="Paragraf"/>
        <w:numPr>
          <w:ilvl w:val="0"/>
          <w:numId w:val="29"/>
        </w:numPr>
        <w:spacing w:after="120"/>
        <w:rPr>
          <w:szCs w:val="24"/>
        </w:rPr>
      </w:pPr>
      <w:r w:rsidRPr="005814F1">
        <w:rPr>
          <w:szCs w:val="24"/>
        </w:rPr>
        <w:t>§ 4</w:t>
      </w:r>
    </w:p>
    <w:p w14:paraId="27D12B30" w14:textId="77777777" w:rsidR="005814F1" w:rsidRPr="005814F1" w:rsidRDefault="005814F1" w:rsidP="00096616">
      <w:pPr>
        <w:keepNext/>
        <w:keepLines/>
        <w:spacing w:before="120" w:after="120"/>
        <w:rPr>
          <w:szCs w:val="24"/>
        </w:rPr>
      </w:pPr>
      <w:r w:rsidRPr="005814F1">
        <w:rPr>
          <w:szCs w:val="24"/>
        </w:rPr>
        <w:t xml:space="preserve">(1) K plnění úkolů v rámci své působnosti může organizační složku podle tohoto zákona za stát zřídit i ministerstvo (dále jen "zřizovatel"). Pro tyto účely zřizovatel použije majetek státu, se kterým je příslušný hospodařit (§ 9) on sám anebo jiná organizační složka jím zřízená. Ke zřízení organizační složky je třeba předchozího souhlasu Ministerstva financí. O zřízení rozhoduje zřizovatel opatřením (§ 20), jehož součástí je zřizovací listina. </w:t>
      </w:r>
      <w:r w:rsidRPr="005814F1">
        <w:rPr>
          <w:strike/>
          <w:szCs w:val="24"/>
        </w:rPr>
        <w:t>Takto zřízená organizační složka je vždy účetní jednotkou.</w:t>
      </w:r>
    </w:p>
    <w:p w14:paraId="2E156D53" w14:textId="0CAE458A" w:rsidR="005814F1" w:rsidRPr="005814F1" w:rsidRDefault="005814F1" w:rsidP="00096616">
      <w:pPr>
        <w:keepNext/>
        <w:keepLines/>
        <w:spacing w:before="120" w:after="120"/>
        <w:rPr>
          <w:szCs w:val="24"/>
        </w:rPr>
      </w:pPr>
      <w:r w:rsidRPr="005814F1">
        <w:rPr>
          <w:szCs w:val="24"/>
        </w:rPr>
        <w:t>(2) Podmínky pro podání žádosti o předchozí souhlas podle odstavce 1 a náležitosti zřizovací listiny organizační složky upraví prováděcí právní předpis.</w:t>
      </w:r>
    </w:p>
    <w:p w14:paraId="070FC21A" w14:textId="77777777" w:rsidR="005814F1" w:rsidRPr="005814F1" w:rsidRDefault="005814F1" w:rsidP="00992796">
      <w:pPr>
        <w:pStyle w:val="Paragraf"/>
        <w:numPr>
          <w:ilvl w:val="0"/>
          <w:numId w:val="39"/>
        </w:numPr>
        <w:spacing w:after="120"/>
        <w:rPr>
          <w:szCs w:val="24"/>
        </w:rPr>
      </w:pPr>
      <w:r w:rsidRPr="005814F1">
        <w:rPr>
          <w:szCs w:val="24"/>
        </w:rPr>
        <w:t>***</w:t>
      </w:r>
    </w:p>
    <w:p w14:paraId="029614B9" w14:textId="77777777" w:rsidR="005814F1" w:rsidRPr="005814F1" w:rsidRDefault="005814F1" w:rsidP="00992796">
      <w:pPr>
        <w:pStyle w:val="Paragraf"/>
        <w:numPr>
          <w:ilvl w:val="0"/>
          <w:numId w:val="39"/>
        </w:numPr>
        <w:spacing w:after="120"/>
        <w:rPr>
          <w:szCs w:val="24"/>
        </w:rPr>
      </w:pPr>
      <w:r w:rsidRPr="005814F1">
        <w:rPr>
          <w:szCs w:val="24"/>
        </w:rPr>
        <w:t xml:space="preserve">§ 5a </w:t>
      </w:r>
    </w:p>
    <w:p w14:paraId="52A5B64D" w14:textId="77777777" w:rsidR="005814F1" w:rsidRPr="005814F1" w:rsidRDefault="005814F1" w:rsidP="00096616">
      <w:pPr>
        <w:pStyle w:val="Textodstavce"/>
        <w:tabs>
          <w:tab w:val="clear" w:pos="851"/>
        </w:tabs>
        <w:ind w:firstLine="425"/>
        <w:rPr>
          <w:szCs w:val="24"/>
        </w:rPr>
      </w:pPr>
      <w:r w:rsidRPr="005814F1">
        <w:rPr>
          <w:szCs w:val="24"/>
        </w:rPr>
        <w:t xml:space="preserve">(1) Zřizovatel organizační složky nebo organizační složka, která vykonává zřizovatelskou funkci vůči organizační složce, schvaluje její </w:t>
      </w:r>
      <w:r w:rsidRPr="005814F1">
        <w:rPr>
          <w:b/>
          <w:szCs w:val="24"/>
        </w:rPr>
        <w:t xml:space="preserve">řádnou individuální </w:t>
      </w:r>
      <w:r w:rsidRPr="005814F1">
        <w:rPr>
          <w:szCs w:val="24"/>
        </w:rPr>
        <w:t xml:space="preserve">účetní závěrku </w:t>
      </w:r>
      <w:r w:rsidRPr="005814F1">
        <w:rPr>
          <w:strike/>
          <w:szCs w:val="24"/>
        </w:rPr>
        <w:t>sestavenou k rozvahovému dni</w:t>
      </w:r>
      <w:r w:rsidRPr="005814F1">
        <w:rPr>
          <w:szCs w:val="24"/>
        </w:rPr>
        <w:t>.</w:t>
      </w:r>
    </w:p>
    <w:p w14:paraId="198F9615" w14:textId="065831D9" w:rsidR="005814F1" w:rsidRPr="005814F1" w:rsidRDefault="005814F1" w:rsidP="00096616">
      <w:pPr>
        <w:pStyle w:val="Textodstavce"/>
        <w:tabs>
          <w:tab w:val="clear" w:pos="851"/>
        </w:tabs>
        <w:ind w:firstLine="425"/>
        <w:rPr>
          <w:szCs w:val="24"/>
        </w:rPr>
      </w:pPr>
      <w:r w:rsidRPr="005814F1">
        <w:rPr>
          <w:szCs w:val="24"/>
        </w:rPr>
        <w:lastRenderedPageBreak/>
        <w:t xml:space="preserve">(2) Pokud organizační složka nemá zřizovatele a zřizovatelskou funkci nevykonává ani jiná organizační složka, pověří vedoucí organizační složky nejméně 3 osoby schválením </w:t>
      </w:r>
      <w:r w:rsidRPr="005814F1">
        <w:rPr>
          <w:b/>
          <w:szCs w:val="24"/>
        </w:rPr>
        <w:t xml:space="preserve">řádné individuální </w:t>
      </w:r>
      <w:r w:rsidRPr="005814F1">
        <w:rPr>
          <w:szCs w:val="24"/>
        </w:rPr>
        <w:t xml:space="preserve">účetní závěrky </w:t>
      </w:r>
      <w:r w:rsidRPr="005814F1">
        <w:rPr>
          <w:strike/>
          <w:szCs w:val="24"/>
        </w:rPr>
        <w:t>sestavené k rozvahovému dni</w:t>
      </w:r>
      <w:r w:rsidRPr="005814F1">
        <w:rPr>
          <w:szCs w:val="24"/>
        </w:rPr>
        <w:t>.</w:t>
      </w:r>
    </w:p>
    <w:p w14:paraId="347D5E86" w14:textId="77777777" w:rsidR="005814F1" w:rsidRPr="005814F1" w:rsidRDefault="005814F1" w:rsidP="00992796">
      <w:pPr>
        <w:pStyle w:val="Paragraf"/>
        <w:numPr>
          <w:ilvl w:val="0"/>
          <w:numId w:val="39"/>
        </w:numPr>
        <w:spacing w:after="120"/>
        <w:rPr>
          <w:szCs w:val="24"/>
        </w:rPr>
      </w:pPr>
      <w:r w:rsidRPr="005814F1">
        <w:rPr>
          <w:szCs w:val="24"/>
        </w:rPr>
        <w:t>***</w:t>
      </w:r>
    </w:p>
    <w:p w14:paraId="48A00BAD" w14:textId="77777777" w:rsidR="005814F1" w:rsidRPr="005814F1" w:rsidRDefault="005814F1" w:rsidP="00992796">
      <w:pPr>
        <w:pStyle w:val="Paragraf"/>
        <w:numPr>
          <w:ilvl w:val="0"/>
          <w:numId w:val="39"/>
        </w:numPr>
        <w:spacing w:after="120"/>
        <w:rPr>
          <w:szCs w:val="24"/>
        </w:rPr>
      </w:pPr>
      <w:r w:rsidRPr="005814F1">
        <w:rPr>
          <w:szCs w:val="24"/>
        </w:rPr>
        <w:t xml:space="preserve">§ 7 </w:t>
      </w:r>
    </w:p>
    <w:p w14:paraId="3EECD340" w14:textId="77777777" w:rsidR="005814F1" w:rsidRPr="005814F1" w:rsidRDefault="005814F1" w:rsidP="00096616">
      <w:pPr>
        <w:pStyle w:val="Textodstavce"/>
        <w:tabs>
          <w:tab w:val="clear" w:pos="851"/>
        </w:tabs>
        <w:ind w:firstLine="425"/>
        <w:rPr>
          <w:szCs w:val="24"/>
        </w:rPr>
      </w:pPr>
      <w:r w:rsidRPr="005814F1">
        <w:rPr>
          <w:szCs w:val="24"/>
        </w:rPr>
        <w:t>(1) Za stát právně jedná vedoucí organizační složky, jíž se toto právní jednání týká, pokud zvláštní právní předpis nebo tento zákon (§ 28 odst. 2) nestanoví jinak. Vedoucí Kanceláře Poslanecké sněmovny a vedoucí Kanceláře Senátu mohou právně jednat za stát se souhlasem příslušného orgánu Poslanecké sněmovny nebo příslušného orgánu Senátu.</w:t>
      </w:r>
    </w:p>
    <w:p w14:paraId="1E710B34" w14:textId="77777777" w:rsidR="005814F1" w:rsidRPr="005814F1" w:rsidRDefault="005814F1" w:rsidP="00096616">
      <w:pPr>
        <w:pStyle w:val="Textodstavce"/>
        <w:tabs>
          <w:tab w:val="clear" w:pos="851"/>
        </w:tabs>
        <w:ind w:firstLine="425"/>
        <w:rPr>
          <w:szCs w:val="24"/>
        </w:rPr>
      </w:pPr>
      <w:r w:rsidRPr="005814F1">
        <w:rPr>
          <w:szCs w:val="24"/>
        </w:rPr>
        <w:t>(2) Vedoucí organizační složky může pro určité právní jednání písemně pověřit jiného vedoucího zaměstnance této organizační složky. Další zaměstnanci organizační složky mohou za stát právně jednat pouze v rozsahu stanoveném vnitřním předpisem organizační složky. Obdobně postupuje vedoucí Kanceláře Poslanecké sněmovny a vedoucí Kanceláře Senátu.</w:t>
      </w:r>
    </w:p>
    <w:p w14:paraId="71C79245" w14:textId="77777777" w:rsidR="005814F1" w:rsidRPr="005814F1" w:rsidRDefault="005814F1" w:rsidP="00992796">
      <w:pPr>
        <w:pStyle w:val="Paragraf"/>
        <w:numPr>
          <w:ilvl w:val="0"/>
          <w:numId w:val="39"/>
        </w:numPr>
        <w:spacing w:after="120"/>
        <w:rPr>
          <w:szCs w:val="24"/>
        </w:rPr>
      </w:pPr>
      <w:r w:rsidRPr="005814F1">
        <w:rPr>
          <w:szCs w:val="24"/>
        </w:rPr>
        <w:t>***</w:t>
      </w:r>
    </w:p>
    <w:p w14:paraId="10434CBE" w14:textId="77777777" w:rsidR="005814F1" w:rsidRPr="005814F1" w:rsidRDefault="005814F1" w:rsidP="00992796">
      <w:pPr>
        <w:pStyle w:val="Paragraf"/>
        <w:numPr>
          <w:ilvl w:val="0"/>
          <w:numId w:val="39"/>
        </w:numPr>
        <w:spacing w:after="120"/>
        <w:rPr>
          <w:szCs w:val="24"/>
        </w:rPr>
      </w:pPr>
      <w:r w:rsidRPr="005814F1">
        <w:rPr>
          <w:b/>
          <w:szCs w:val="24"/>
        </w:rPr>
        <w:t>Nabývání majetku</w:t>
      </w:r>
    </w:p>
    <w:p w14:paraId="00E3C941" w14:textId="77777777" w:rsidR="005814F1" w:rsidRPr="005814F1" w:rsidRDefault="005814F1" w:rsidP="00992796">
      <w:pPr>
        <w:pStyle w:val="Paragraf"/>
        <w:numPr>
          <w:ilvl w:val="0"/>
          <w:numId w:val="39"/>
        </w:numPr>
        <w:spacing w:after="120"/>
        <w:rPr>
          <w:szCs w:val="24"/>
        </w:rPr>
      </w:pPr>
      <w:r w:rsidRPr="005814F1">
        <w:rPr>
          <w:szCs w:val="24"/>
        </w:rPr>
        <w:t xml:space="preserve">§ 12 </w:t>
      </w:r>
    </w:p>
    <w:p w14:paraId="3DAC66E1" w14:textId="77777777" w:rsidR="005814F1" w:rsidRPr="005814F1" w:rsidRDefault="005814F1" w:rsidP="00096616">
      <w:pPr>
        <w:pStyle w:val="Textodstavce"/>
        <w:tabs>
          <w:tab w:val="clear" w:pos="851"/>
        </w:tabs>
        <w:ind w:firstLine="425"/>
        <w:rPr>
          <w:szCs w:val="24"/>
        </w:rPr>
      </w:pPr>
      <w:r w:rsidRPr="005814F1">
        <w:rPr>
          <w:szCs w:val="24"/>
        </w:rPr>
        <w:t>(1) Je-li majetek nabýván smlouvou, musí být smlouva písemná a s projevy vůle na jedné písemnosti i v případě, že to právní předpisy nevyžadují, pokud použití písemné formy, popřípadě projevy vůle na jedné písemnosti, nevylučuje zákon anebo povaha právního jednání, popřípadě okolnosti, za kterých k němu dochází. Darovací nebo jinou smlouvu, jíž se bezúplatně převádí ve prospěch státu majetek bez určení příslušné organizační složky (§ 9), uzavírá za stát organizační složka, jejíž příslušnost se určí podle ustanovení § 11.</w:t>
      </w:r>
    </w:p>
    <w:p w14:paraId="19F39C49" w14:textId="77777777" w:rsidR="005814F1" w:rsidRPr="005814F1" w:rsidRDefault="005814F1" w:rsidP="00096616">
      <w:pPr>
        <w:pStyle w:val="Textodstavce"/>
        <w:tabs>
          <w:tab w:val="clear" w:pos="851"/>
        </w:tabs>
        <w:ind w:firstLine="425"/>
        <w:rPr>
          <w:szCs w:val="24"/>
        </w:rPr>
      </w:pPr>
      <w:r w:rsidRPr="005814F1">
        <w:rPr>
          <w:szCs w:val="24"/>
        </w:rPr>
        <w:t>(2) Bezúplatný převod hmotné nemovité věci, která se eviduje v katastru nemovitostí, s výjimkou silničního pozemku nabývaného z důvodu změny kategorie nebo třídy pozemní komunikace, jakož i bezúplatný převod práva stavby anebo majetkové účasti v jiné obchodní společnosti než akciové ve prospěch státu vyžadují schválení Ministerstvem financí.</w:t>
      </w:r>
    </w:p>
    <w:p w14:paraId="31BF5398" w14:textId="77777777" w:rsidR="005814F1" w:rsidRPr="005814F1" w:rsidRDefault="005814F1" w:rsidP="00096616">
      <w:pPr>
        <w:pStyle w:val="Textodstavce"/>
        <w:tabs>
          <w:tab w:val="clear" w:pos="851"/>
        </w:tabs>
        <w:ind w:firstLine="425"/>
        <w:rPr>
          <w:szCs w:val="24"/>
        </w:rPr>
      </w:pPr>
      <w:r w:rsidRPr="005814F1">
        <w:rPr>
          <w:szCs w:val="24"/>
        </w:rPr>
        <w:t>(3) Za úplatu lze nabývat pouze majetek, který splňuje předpoklady stanovené v ustanovení § 8 odst. 1 písm. a) a b) a příslušné organizační složce (§ 9) bude sloužit pro zabezpečení výkonu její působnosti anebo její činnosti, pokud nejde o nabytí ve veřejném zájmu, anebo majetek, který je nabýván k zajištění jeho účelného a efektivního využívání pro potřeby ostatních organizačních složek podle ustanovení § 19a a § 19b odst. 2 věty první, anebo směnou podle ustanovení § 19c odst. 2 věty druhé.</w:t>
      </w:r>
    </w:p>
    <w:p w14:paraId="13F6B51B" w14:textId="77777777" w:rsidR="005814F1" w:rsidRPr="005814F1" w:rsidRDefault="005814F1" w:rsidP="00096616">
      <w:pPr>
        <w:pStyle w:val="Textodstavce"/>
        <w:tabs>
          <w:tab w:val="clear" w:pos="851"/>
        </w:tabs>
        <w:ind w:firstLine="425"/>
        <w:rPr>
          <w:strike/>
          <w:szCs w:val="24"/>
        </w:rPr>
      </w:pPr>
      <w:r w:rsidRPr="005814F1">
        <w:rPr>
          <w:strike/>
          <w:szCs w:val="24"/>
        </w:rPr>
        <w:t>(4) Při úplatném nabývání majetku lze cenu</w:t>
      </w:r>
      <w:r w:rsidRPr="005814F1">
        <w:rPr>
          <w:rStyle w:val="Znakapoznpodarou"/>
          <w:strike/>
          <w:szCs w:val="24"/>
        </w:rPr>
        <w:footnoteReference w:customMarkFollows="1" w:id="354"/>
        <w:t>16)</w:t>
      </w:r>
      <w:r w:rsidRPr="005814F1">
        <w:rPr>
          <w:strike/>
          <w:szCs w:val="24"/>
        </w:rPr>
        <w:t xml:space="preserve"> sjednat pouze do výše rovnající se ocenění tohoto majetku podle zvláštního právního předpisu</w:t>
      </w:r>
      <w:r w:rsidRPr="005814F1">
        <w:rPr>
          <w:rStyle w:val="Znakapoznpodarou"/>
          <w:strike/>
          <w:szCs w:val="24"/>
        </w:rPr>
        <w:footnoteReference w:customMarkFollows="1" w:id="355"/>
        <w:t>17)</w:t>
      </w:r>
      <w:r w:rsidRPr="005814F1">
        <w:rPr>
          <w:strike/>
          <w:szCs w:val="24"/>
        </w:rPr>
        <w:t xml:space="preserve">a jde-li o majetek nabývaný v zahraničí, pouze do výše, která je v daném místě a čase obvyklá. Ve veřejném zájmu může Ministerstvo </w:t>
      </w:r>
      <w:r w:rsidRPr="005814F1">
        <w:rPr>
          <w:strike/>
          <w:szCs w:val="24"/>
        </w:rPr>
        <w:lastRenderedPageBreak/>
        <w:t>financí dát předchozí souhlas ke sjednání ceny vyšší. To platí obdobně, je-li majetek nabýván v dražbě.</w:t>
      </w:r>
      <w:r w:rsidRPr="005814F1">
        <w:rPr>
          <w:rStyle w:val="Znakapoznpodarou"/>
          <w:strike/>
          <w:szCs w:val="24"/>
        </w:rPr>
        <w:footnoteReference w:customMarkFollows="1" w:id="356"/>
        <w:t>17a)</w:t>
      </w:r>
      <w:r w:rsidRPr="005814F1">
        <w:rPr>
          <w:b/>
          <w:strike/>
          <w:szCs w:val="24"/>
        </w:rPr>
        <w:t xml:space="preserve"> </w:t>
      </w:r>
    </w:p>
    <w:p w14:paraId="7A8E79D6" w14:textId="77777777" w:rsidR="005814F1" w:rsidRPr="005814F1" w:rsidRDefault="005814F1" w:rsidP="00096616">
      <w:pPr>
        <w:pStyle w:val="Textodstavce"/>
        <w:ind w:firstLine="425"/>
        <w:rPr>
          <w:szCs w:val="24"/>
          <w:vertAlign w:val="superscript"/>
        </w:rPr>
      </w:pPr>
      <w:r w:rsidRPr="005814F1">
        <w:rPr>
          <w:b/>
          <w:szCs w:val="24"/>
        </w:rPr>
        <w:t>(4) Při úplatném nabývání nemovité věci lze cenu</w:t>
      </w:r>
      <w:r w:rsidRPr="005814F1">
        <w:rPr>
          <w:b/>
          <w:szCs w:val="24"/>
          <w:vertAlign w:val="superscript"/>
        </w:rPr>
        <w:t>16)</w:t>
      </w:r>
      <w:r w:rsidRPr="005814F1">
        <w:rPr>
          <w:b/>
          <w:szCs w:val="24"/>
        </w:rPr>
        <w:t xml:space="preserve"> podle zákona o cenách sjednat pouze do výše rovnající se zjištěné hodnotě tohoto majetku určené podle zákona upravujícího oceňování věcí, služeb a dluhů</w:t>
      </w:r>
      <w:r w:rsidRPr="005814F1">
        <w:rPr>
          <w:b/>
          <w:szCs w:val="24"/>
          <w:vertAlign w:val="superscript"/>
        </w:rPr>
        <w:t>17)</w:t>
      </w:r>
      <w:r w:rsidRPr="005814F1">
        <w:rPr>
          <w:b/>
          <w:szCs w:val="24"/>
        </w:rPr>
        <w:t>. Při úplatném nabývání movité věci lze takovou cenu sjednat pouze do výše rovnající se zjištěné hodnotě této věci určené podle zákona upravujícího oceňování věcí, služeb a dluhů</w:t>
      </w:r>
      <w:r w:rsidRPr="005814F1">
        <w:rPr>
          <w:b/>
          <w:szCs w:val="24"/>
          <w:vertAlign w:val="superscript"/>
        </w:rPr>
        <w:t xml:space="preserve"> 17)</w:t>
      </w:r>
      <w:r w:rsidRPr="005814F1">
        <w:rPr>
          <w:b/>
          <w:szCs w:val="24"/>
        </w:rPr>
        <w:t>. Jde-li o úplatné nabývání majetku v zahraničí, lze takovou cenu sjednat pouze do výše, která je v daném místě a čase obvyklá. Ve veřejném zájmu může Ministerstvo financí dát předchozí souhlas ke sjednání ceny vyšší. To platí obdobně, je-li majetek nabýván v dražbě.</w:t>
      </w:r>
      <w:r w:rsidRPr="005814F1">
        <w:rPr>
          <w:b/>
          <w:szCs w:val="24"/>
          <w:vertAlign w:val="superscript"/>
        </w:rPr>
        <w:t>17a)</w:t>
      </w:r>
    </w:p>
    <w:p w14:paraId="46E50D50" w14:textId="77777777" w:rsidR="005814F1" w:rsidRPr="005814F1" w:rsidRDefault="005814F1" w:rsidP="00096616">
      <w:pPr>
        <w:pStyle w:val="Textodstavce"/>
        <w:ind w:firstLine="425"/>
        <w:rPr>
          <w:szCs w:val="24"/>
        </w:rPr>
      </w:pPr>
      <w:r w:rsidRPr="005814F1">
        <w:rPr>
          <w:szCs w:val="24"/>
        </w:rPr>
        <w:t>(5) Pokud sjednaná cena překročí výši přípustnou podle odstavce 4 a nejde přitom o nabytí majetku v dražbě</w:t>
      </w:r>
      <w:r w:rsidRPr="005814F1">
        <w:rPr>
          <w:szCs w:val="24"/>
          <w:vertAlign w:val="superscript"/>
        </w:rPr>
        <w:t xml:space="preserve">17a) </w:t>
      </w:r>
      <w:r w:rsidRPr="005814F1">
        <w:rPr>
          <w:szCs w:val="24"/>
        </w:rPr>
        <w:t xml:space="preserve">anebo v zahraničí, je dohoda o ceně neplatná v rozsahu rozdílu, o který sjednaná cena přípustnou výši překročila. </w:t>
      </w:r>
      <w:proofErr w:type="gramStart"/>
      <w:r w:rsidRPr="005814F1">
        <w:rPr>
          <w:szCs w:val="24"/>
        </w:rPr>
        <w:t>Je-li</w:t>
      </w:r>
      <w:proofErr w:type="gramEnd"/>
      <w:r w:rsidRPr="005814F1">
        <w:rPr>
          <w:szCs w:val="24"/>
        </w:rPr>
        <w:t xml:space="preserve"> úplatné nabytí majetku předmětem veřejné zakázky zadané podle zákona upravujícího zadávání veřejných zakázek </w:t>
      </w:r>
      <w:proofErr w:type="gramStart"/>
      <w:r w:rsidRPr="005814F1">
        <w:rPr>
          <w:szCs w:val="24"/>
        </w:rPr>
        <w:t>platí</w:t>
      </w:r>
      <w:proofErr w:type="gramEnd"/>
      <w:r w:rsidRPr="005814F1">
        <w:rPr>
          <w:szCs w:val="24"/>
        </w:rPr>
        <w:t xml:space="preserve"> odstavec 4 pouze v případě, má-li být smlouva uzavřena na základě výsledku jednacího řízení bez uveřejnění.</w:t>
      </w:r>
    </w:p>
    <w:p w14:paraId="5C3C9898" w14:textId="77777777" w:rsidR="005814F1" w:rsidRPr="005814F1" w:rsidRDefault="005814F1" w:rsidP="00096616">
      <w:pPr>
        <w:pStyle w:val="Textodstavce"/>
        <w:ind w:firstLine="425"/>
        <w:rPr>
          <w:szCs w:val="24"/>
        </w:rPr>
      </w:pPr>
      <w:r w:rsidRPr="005814F1">
        <w:rPr>
          <w:szCs w:val="24"/>
        </w:rPr>
        <w:t>(6) Zřizovatel si v případě jím zřízené organizační složky může zcela nebo zčásti vyhradit schvalování při úplatném převodu hmotné nemovité věci nebo práva stavby ve prospěch státu. Nemá-li příslušná organizační složka zřizovatele, může si takové schvalování vyhradit věcně příslušný ústřední správní úřad, a není-li ho, Ministerstvo financí.</w:t>
      </w:r>
    </w:p>
    <w:p w14:paraId="1BB6D397" w14:textId="77777777" w:rsidR="005814F1" w:rsidRPr="005814F1" w:rsidRDefault="005814F1" w:rsidP="00096616">
      <w:pPr>
        <w:pStyle w:val="Textodstavce"/>
        <w:ind w:firstLine="425"/>
        <w:rPr>
          <w:szCs w:val="24"/>
        </w:rPr>
      </w:pPr>
      <w:r w:rsidRPr="005814F1">
        <w:rPr>
          <w:szCs w:val="24"/>
        </w:rPr>
        <w:t>(7) Ministerstva mohou s předchozím souhlasem vlády ve prospěch státu nabývat za úplatu cenné papíry. Ostatní organizační složky nemohou ve prospěch státu nabývat za úplatu ani cenné papíry, ani majetkové účasti v jiných obchodních společnostech než akciových.</w:t>
      </w:r>
    </w:p>
    <w:p w14:paraId="4FE00F90" w14:textId="77777777" w:rsidR="005814F1" w:rsidRPr="005814F1" w:rsidRDefault="005814F1" w:rsidP="00096616">
      <w:pPr>
        <w:pStyle w:val="Textodstavce"/>
        <w:ind w:firstLine="425"/>
        <w:rPr>
          <w:szCs w:val="24"/>
        </w:rPr>
      </w:pPr>
      <w:r w:rsidRPr="005814F1">
        <w:rPr>
          <w:szCs w:val="24"/>
        </w:rPr>
        <w:t xml:space="preserve">(8) Organizační složky nemohou uzavírat smlouvu o poskytnutí věci do užívání spojenou se smlouvou o následném převodu této věci do vlastnictví státu. Za účelem nákupu hmotné nemovité věci v zahraničí pro potřebu zastupitelských úřadů tak lze učinit pouze s předchozím souhlasem Ministerstva financí. Při zadávání koncese podle zákona upravujícího zadávání veřejných zakázek se věta první a věta druhá nepoužijí. </w:t>
      </w:r>
    </w:p>
    <w:p w14:paraId="61C1DAA2" w14:textId="77777777" w:rsidR="005814F1" w:rsidRPr="005814F1" w:rsidRDefault="005814F1" w:rsidP="00992796">
      <w:pPr>
        <w:pStyle w:val="Paragraf"/>
        <w:numPr>
          <w:ilvl w:val="0"/>
          <w:numId w:val="39"/>
        </w:numPr>
        <w:spacing w:after="120"/>
        <w:rPr>
          <w:szCs w:val="24"/>
        </w:rPr>
      </w:pPr>
      <w:r w:rsidRPr="005814F1">
        <w:rPr>
          <w:szCs w:val="24"/>
        </w:rPr>
        <w:t>***</w:t>
      </w:r>
    </w:p>
    <w:p w14:paraId="64ED5217" w14:textId="77777777" w:rsidR="005814F1" w:rsidRPr="005814F1" w:rsidRDefault="005814F1" w:rsidP="00992796">
      <w:pPr>
        <w:pStyle w:val="Paragraf"/>
        <w:numPr>
          <w:ilvl w:val="0"/>
          <w:numId w:val="39"/>
        </w:numPr>
        <w:spacing w:after="120"/>
        <w:rPr>
          <w:szCs w:val="24"/>
        </w:rPr>
      </w:pPr>
      <w:r w:rsidRPr="005814F1">
        <w:rPr>
          <w:b/>
          <w:szCs w:val="24"/>
        </w:rPr>
        <w:t>Základní povinnosti při hospodaření s majetkem</w:t>
      </w:r>
    </w:p>
    <w:p w14:paraId="7F732301" w14:textId="77777777" w:rsidR="005814F1" w:rsidRPr="005814F1" w:rsidRDefault="005814F1" w:rsidP="00992796">
      <w:pPr>
        <w:pStyle w:val="Paragraf"/>
        <w:numPr>
          <w:ilvl w:val="0"/>
          <w:numId w:val="39"/>
        </w:numPr>
        <w:spacing w:after="120"/>
        <w:rPr>
          <w:szCs w:val="24"/>
        </w:rPr>
      </w:pPr>
      <w:r w:rsidRPr="005814F1">
        <w:rPr>
          <w:szCs w:val="24"/>
        </w:rPr>
        <w:t>§ 14</w:t>
      </w:r>
    </w:p>
    <w:p w14:paraId="7F12D7B8" w14:textId="77777777" w:rsidR="005814F1" w:rsidRPr="005814F1" w:rsidRDefault="005814F1" w:rsidP="00096616">
      <w:pPr>
        <w:pStyle w:val="Textodstavce"/>
        <w:ind w:firstLine="425"/>
        <w:rPr>
          <w:szCs w:val="24"/>
        </w:rPr>
      </w:pPr>
      <w:r w:rsidRPr="005814F1">
        <w:rPr>
          <w:szCs w:val="24"/>
        </w:rPr>
        <w:t>(1) Majetek musí být využíván účelně a hospodárně k plnění funkcí státu a k výkonu stanovených činností; jiným způsobem lze majetek použít nebo s ním naložit pouze za podmínek stanovených zvláštním právním předpisem anebo tímto zákonem. Organizační složka si počíná tak, aby svým jednáním majetek nepoškozovala a neodůvodněně nesnižovala jeho rozsah a hodnotu anebo výnos z tohoto majetku.</w:t>
      </w:r>
    </w:p>
    <w:p w14:paraId="10EA9F83" w14:textId="77777777" w:rsidR="005814F1" w:rsidRPr="005814F1" w:rsidRDefault="005814F1" w:rsidP="00096616">
      <w:pPr>
        <w:pStyle w:val="Textodstavce"/>
        <w:ind w:firstLine="425"/>
        <w:rPr>
          <w:strike/>
          <w:szCs w:val="24"/>
        </w:rPr>
      </w:pPr>
      <w:r w:rsidRPr="005814F1">
        <w:rPr>
          <w:strike/>
          <w:szCs w:val="24"/>
        </w:rPr>
        <w:t>(2) Příslušná organizační složka vede majetek v účetnictví a provádí jeho inventarizace podle zvláštních právních předpisů,</w:t>
      </w:r>
      <w:r w:rsidRPr="005814F1">
        <w:rPr>
          <w:rStyle w:val="Znakapoznpodarou"/>
          <w:strike/>
          <w:szCs w:val="24"/>
        </w:rPr>
        <w:footnoteReference w:customMarkFollows="1" w:id="357"/>
        <w:t>25)</w:t>
      </w:r>
      <w:r w:rsidRPr="005814F1">
        <w:rPr>
          <w:strike/>
          <w:szCs w:val="24"/>
        </w:rPr>
        <w:t xml:space="preserve"> pokud tento zákon (§ 15) anebo jiný zvláštní právní předpis nestanoví jinak.</w:t>
      </w:r>
    </w:p>
    <w:p w14:paraId="13F62D33" w14:textId="77777777" w:rsidR="005814F1" w:rsidRPr="005814F1" w:rsidRDefault="005814F1" w:rsidP="00096616">
      <w:pPr>
        <w:pStyle w:val="Textodstavce"/>
        <w:ind w:firstLine="425"/>
        <w:rPr>
          <w:szCs w:val="24"/>
        </w:rPr>
      </w:pPr>
      <w:proofErr w:type="gramStart"/>
      <w:r w:rsidRPr="005814F1">
        <w:rPr>
          <w:strike/>
          <w:szCs w:val="24"/>
        </w:rPr>
        <w:lastRenderedPageBreak/>
        <w:t>(3)</w:t>
      </w:r>
      <w:r w:rsidRPr="005814F1">
        <w:rPr>
          <w:b/>
          <w:szCs w:val="24"/>
        </w:rPr>
        <w:t xml:space="preserve">(2) </w:t>
      </w:r>
      <w:r w:rsidRPr="005814F1">
        <w:rPr>
          <w:szCs w:val="24"/>
        </w:rPr>
        <w:t>Příslušná</w:t>
      </w:r>
      <w:proofErr w:type="gramEnd"/>
      <w:r w:rsidRPr="005814F1">
        <w:rPr>
          <w:szCs w:val="24"/>
        </w:rPr>
        <w:t xml:space="preserve"> organizační složka pečuje o zachování majetku a jeho údržbu, a pokud to připouští jeho povaha, i o jeho zlepšení nebo rozmnožení. Chrání jej před poškozením, zničením, ztrátou, odcizením nebo zneužitím.</w:t>
      </w:r>
    </w:p>
    <w:p w14:paraId="6630B160" w14:textId="77777777" w:rsidR="005814F1" w:rsidRPr="005814F1" w:rsidRDefault="005814F1" w:rsidP="00096616">
      <w:pPr>
        <w:pStyle w:val="Textodstavce"/>
        <w:ind w:firstLine="425"/>
        <w:rPr>
          <w:szCs w:val="24"/>
        </w:rPr>
      </w:pPr>
      <w:proofErr w:type="gramStart"/>
      <w:r w:rsidRPr="005814F1">
        <w:rPr>
          <w:strike/>
          <w:szCs w:val="24"/>
        </w:rPr>
        <w:t>(4)</w:t>
      </w:r>
      <w:r w:rsidRPr="005814F1">
        <w:rPr>
          <w:b/>
          <w:szCs w:val="24"/>
        </w:rPr>
        <w:t xml:space="preserve">(3) </w:t>
      </w:r>
      <w:r w:rsidRPr="005814F1">
        <w:rPr>
          <w:szCs w:val="24"/>
        </w:rPr>
        <w:t>Příslušná</w:t>
      </w:r>
      <w:proofErr w:type="gramEnd"/>
      <w:r w:rsidRPr="005814F1">
        <w:rPr>
          <w:szCs w:val="24"/>
        </w:rPr>
        <w:t xml:space="preserve"> organizační složka důsledně využívá všechny právní prostředky při uplatňování a hájení práv státu jako vlastníka a při ochraně majetku před neoprávněnými zásahy a včas uplatňuje zejména právo na náhradu škody, právo na vydání bezdůvodného obohacení a výhradu soupisu pozůstalosti, je-li stát povolán za dědice. Zvláštní právní předpis může stanovit, ve kterých případech a za jakých podmínek v řízení před soudy a jinými orgány ve věcech týkajících se majetku vystupuje za stát jiná než příslušná organizační složka.</w:t>
      </w:r>
    </w:p>
    <w:p w14:paraId="7511A463" w14:textId="77777777" w:rsidR="005814F1" w:rsidRPr="005814F1" w:rsidRDefault="005814F1" w:rsidP="00096616">
      <w:pPr>
        <w:pStyle w:val="Textodstavce"/>
        <w:ind w:firstLine="425"/>
        <w:rPr>
          <w:szCs w:val="24"/>
        </w:rPr>
      </w:pPr>
      <w:proofErr w:type="gramStart"/>
      <w:r w:rsidRPr="005814F1">
        <w:rPr>
          <w:strike/>
          <w:szCs w:val="24"/>
        </w:rPr>
        <w:t>(5)</w:t>
      </w:r>
      <w:r w:rsidRPr="005814F1">
        <w:rPr>
          <w:b/>
          <w:szCs w:val="24"/>
        </w:rPr>
        <w:t>(4)</w:t>
      </w:r>
      <w:r w:rsidRPr="005814F1">
        <w:rPr>
          <w:szCs w:val="24"/>
        </w:rPr>
        <w:t xml:space="preserve"> Příslušná</w:t>
      </w:r>
      <w:proofErr w:type="gramEnd"/>
      <w:r w:rsidRPr="005814F1">
        <w:rPr>
          <w:szCs w:val="24"/>
        </w:rPr>
        <w:t xml:space="preserve"> organizační složka průběžně sleduje, zda dlužníci včas a řádně plní své dluhy, a zejména včasným uplatněním a vymáháním práv státu zajišťuje, aby nedošlo k promlčení nebo zániku těchto práv. Pokud zvláštní právní předpis nestanoví jinak, požaduje od dlužníků úroky z prodlení a sjednané smluvní sankce.</w:t>
      </w:r>
    </w:p>
    <w:p w14:paraId="40DC551D" w14:textId="77777777" w:rsidR="005814F1" w:rsidRPr="005814F1" w:rsidRDefault="005814F1" w:rsidP="00096616">
      <w:pPr>
        <w:pStyle w:val="Textodstavce"/>
        <w:ind w:firstLine="425"/>
        <w:rPr>
          <w:szCs w:val="24"/>
        </w:rPr>
      </w:pPr>
      <w:proofErr w:type="gramStart"/>
      <w:r w:rsidRPr="005814F1">
        <w:rPr>
          <w:strike/>
          <w:szCs w:val="24"/>
        </w:rPr>
        <w:t>(6)</w:t>
      </w:r>
      <w:r w:rsidRPr="005814F1">
        <w:rPr>
          <w:b/>
          <w:szCs w:val="24"/>
        </w:rPr>
        <w:t>(5)</w:t>
      </w:r>
      <w:r w:rsidRPr="005814F1">
        <w:rPr>
          <w:szCs w:val="24"/>
        </w:rPr>
        <w:t xml:space="preserve"> U pohledávek</w:t>
      </w:r>
      <w:proofErr w:type="gramEnd"/>
      <w:r w:rsidRPr="005814F1">
        <w:rPr>
          <w:szCs w:val="24"/>
        </w:rPr>
        <w:t>, kde peněžité plnění ve prospěch státu ukládá dlužníku zvláštní právní předpis anebo je uložil dlužníku příslušný orgán bez návrhu a přitom nesplnění této platební povinnosti nelze postihnout sankcí podle zvláštního právního předpisu, požaduje příslušná organizační složka od dlužníka úrok z prodlení ve výši podle zvláštního právního předpisu, kterým se stanoví výše úroků z prodlení podle občanského zákoníku, pokud úrok z prodlení v úhrnu přesáhne částku 5 000 Kč.</w:t>
      </w:r>
    </w:p>
    <w:p w14:paraId="5FBA09C8" w14:textId="77777777" w:rsidR="005814F1" w:rsidRPr="005814F1" w:rsidRDefault="005814F1" w:rsidP="00096616">
      <w:pPr>
        <w:pStyle w:val="Textodstavce"/>
        <w:ind w:firstLine="425"/>
        <w:rPr>
          <w:szCs w:val="24"/>
        </w:rPr>
      </w:pPr>
      <w:proofErr w:type="gramStart"/>
      <w:r w:rsidRPr="005814F1">
        <w:rPr>
          <w:strike/>
          <w:szCs w:val="24"/>
        </w:rPr>
        <w:t>(7)</w:t>
      </w:r>
      <w:r w:rsidRPr="005814F1">
        <w:rPr>
          <w:b/>
          <w:szCs w:val="24"/>
        </w:rPr>
        <w:t xml:space="preserve">(6) </w:t>
      </w:r>
      <w:r w:rsidRPr="005814F1">
        <w:rPr>
          <w:szCs w:val="24"/>
        </w:rPr>
        <w:t>Stane</w:t>
      </w:r>
      <w:proofErr w:type="gramEnd"/>
      <w:r w:rsidRPr="005814F1">
        <w:rPr>
          <w:szCs w:val="24"/>
        </w:rPr>
        <w:t>-li se majetek pro příslušnou organizační složku dočasně nebo trvale nepotřebným a o nepotřebnosti rozhodl písemně vedoucí příslušné organizační složky, popřípadě jím písemně pověřený jiný vedoucí zaměstnanec této organizační složky, naloží příslušná organizační složka s majetkem způsoby a za podmínek podle tohoto zákona. Za nepotřebný se pro tyto účely považuje zejména majetek, který přesahuje potřeby příslušné organizační složky, majetek, na jehož ponechání státu přestal být veřejný zájem, anebo majetek, který pro ztrátu, popřípadě zastarání svých technických a funkčních vlastností nebo pro nepřiměřenou nákladnost provozu nemůže sloužit svému účelu. Za nepotřebný se nepovažuje majetek, u kterého Úřad zajišťuje jeho účelné a efektivní využívání pro potřeby ostatních organizačních složek podle ustanovení § 19a a § 19b odst. 2 věty první.</w:t>
      </w:r>
    </w:p>
    <w:p w14:paraId="7F162C19" w14:textId="77777777" w:rsidR="005814F1" w:rsidRPr="005814F1" w:rsidRDefault="005814F1" w:rsidP="00992796">
      <w:pPr>
        <w:pStyle w:val="Paragraf"/>
        <w:numPr>
          <w:ilvl w:val="0"/>
          <w:numId w:val="39"/>
        </w:numPr>
        <w:spacing w:after="120"/>
        <w:rPr>
          <w:szCs w:val="24"/>
        </w:rPr>
      </w:pPr>
    </w:p>
    <w:p w14:paraId="10A6B13F" w14:textId="77777777" w:rsidR="005814F1" w:rsidRPr="005814F1" w:rsidRDefault="005814F1" w:rsidP="00992796">
      <w:pPr>
        <w:pStyle w:val="Odstavecseseznamem"/>
        <w:widowControl w:val="0"/>
        <w:numPr>
          <w:ilvl w:val="0"/>
          <w:numId w:val="39"/>
        </w:numPr>
        <w:autoSpaceDE w:val="0"/>
        <w:autoSpaceDN w:val="0"/>
        <w:adjustRightInd w:val="0"/>
        <w:spacing w:after="120"/>
        <w:contextualSpacing w:val="0"/>
        <w:jc w:val="center"/>
        <w:rPr>
          <w:szCs w:val="24"/>
        </w:rPr>
      </w:pPr>
      <w:r w:rsidRPr="005814F1">
        <w:rPr>
          <w:szCs w:val="24"/>
        </w:rPr>
        <w:t xml:space="preserve">§ 15 </w:t>
      </w:r>
    </w:p>
    <w:p w14:paraId="65EA8298" w14:textId="77777777" w:rsidR="005814F1" w:rsidRPr="005814F1" w:rsidRDefault="005814F1" w:rsidP="00096616">
      <w:pPr>
        <w:pStyle w:val="Textodstavce"/>
        <w:ind w:firstLine="425"/>
        <w:rPr>
          <w:szCs w:val="24"/>
        </w:rPr>
      </w:pPr>
      <w:r w:rsidRPr="005814F1">
        <w:rPr>
          <w:szCs w:val="24"/>
        </w:rPr>
        <w:t xml:space="preserve">(1) Majetek uvedený v ustanovení </w:t>
      </w:r>
      <w:hyperlink r:id="rId10" w:history="1">
        <w:r w:rsidRPr="005814F1">
          <w:rPr>
            <w:szCs w:val="24"/>
          </w:rPr>
          <w:t>§ 10</w:t>
        </w:r>
      </w:hyperlink>
      <w:r w:rsidRPr="005814F1">
        <w:rPr>
          <w:szCs w:val="24"/>
        </w:rPr>
        <w:t xml:space="preserve"> příslušná organizační složka (</w:t>
      </w:r>
      <w:hyperlink r:id="rId11" w:history="1">
        <w:r w:rsidRPr="005814F1">
          <w:rPr>
            <w:szCs w:val="24"/>
          </w:rPr>
          <w:t>§ 11</w:t>
        </w:r>
      </w:hyperlink>
      <w:r w:rsidRPr="005814F1">
        <w:rPr>
          <w:szCs w:val="24"/>
        </w:rPr>
        <w:t xml:space="preserve">) určí a sepíše neprodleně poté, kdy se o takovém majetku dozvěděla; v případě věcí, které se evidují v katastru nemovitostí, současně zajistí, aby byl proveden zápis do katastru nemovitostí. Pro účely provedení záznamu do katastru nemovitostí je písemností osvědčující příslušnost organizační složky její prohlášení o vzniku práva. </w:t>
      </w:r>
    </w:p>
    <w:p w14:paraId="70A0F0B6" w14:textId="77777777" w:rsidR="005814F1" w:rsidRPr="005814F1" w:rsidRDefault="005814F1" w:rsidP="00096616">
      <w:pPr>
        <w:pStyle w:val="Textodstavce"/>
        <w:ind w:firstLine="425"/>
        <w:rPr>
          <w:szCs w:val="24"/>
        </w:rPr>
      </w:pPr>
      <w:r w:rsidRPr="005814F1">
        <w:rPr>
          <w:szCs w:val="24"/>
        </w:rPr>
        <w:t xml:space="preserve"> (2) Majetek uvedený v odstavci 1 není předmětem rozhodování podle ustanovení </w:t>
      </w:r>
      <w:hyperlink r:id="rId12" w:history="1">
        <w:r w:rsidRPr="005814F1">
          <w:rPr>
            <w:szCs w:val="24"/>
          </w:rPr>
          <w:t xml:space="preserve">§ 14 odst. </w:t>
        </w:r>
        <w:r w:rsidRPr="005814F1">
          <w:rPr>
            <w:strike/>
            <w:szCs w:val="24"/>
          </w:rPr>
          <w:t>7</w:t>
        </w:r>
      </w:hyperlink>
      <w:r w:rsidRPr="005814F1">
        <w:rPr>
          <w:b/>
          <w:szCs w:val="24"/>
        </w:rPr>
        <w:t>6</w:t>
      </w:r>
      <w:r w:rsidRPr="005814F1">
        <w:rPr>
          <w:szCs w:val="24"/>
        </w:rPr>
        <w:t xml:space="preserve"> a je třeba jej bez zbytečného odkladu rozmístit u organizačních složek, pokud to zvláštní povaha majetku vyžaduje anebo jej tyto potřebují pro zabezpečení výkonu své působnosti nebo stanoveného předmětu činnosti; ustanovení </w:t>
      </w:r>
      <w:hyperlink r:id="rId13" w:history="1">
        <w:r w:rsidRPr="005814F1">
          <w:rPr>
            <w:szCs w:val="24"/>
          </w:rPr>
          <w:t>§ 19</w:t>
        </w:r>
      </w:hyperlink>
      <w:r w:rsidRPr="005814F1">
        <w:rPr>
          <w:szCs w:val="24"/>
        </w:rPr>
        <w:t xml:space="preserve">, </w:t>
      </w:r>
      <w:hyperlink r:id="rId14" w:history="1">
        <w:r w:rsidRPr="005814F1">
          <w:rPr>
            <w:szCs w:val="24"/>
          </w:rPr>
          <w:t>19b</w:t>
        </w:r>
      </w:hyperlink>
      <w:r w:rsidRPr="005814F1">
        <w:rPr>
          <w:szCs w:val="24"/>
        </w:rPr>
        <w:t xml:space="preserve"> a </w:t>
      </w:r>
      <w:hyperlink r:id="rId15" w:history="1">
        <w:r w:rsidRPr="005814F1">
          <w:rPr>
            <w:szCs w:val="24"/>
          </w:rPr>
          <w:t>19c</w:t>
        </w:r>
      </w:hyperlink>
      <w:r w:rsidRPr="005814F1">
        <w:rPr>
          <w:szCs w:val="24"/>
        </w:rPr>
        <w:t xml:space="preserve"> se podle povahy případu použijí přiměřeně. Z týchž důvodů anebo ve veřejném zájmu si může příslušná organizační složka (</w:t>
      </w:r>
      <w:hyperlink r:id="rId16" w:history="1">
        <w:r w:rsidRPr="005814F1">
          <w:rPr>
            <w:szCs w:val="24"/>
          </w:rPr>
          <w:t>§ 11</w:t>
        </w:r>
      </w:hyperlink>
      <w:r w:rsidRPr="005814F1">
        <w:rPr>
          <w:szCs w:val="24"/>
        </w:rPr>
        <w:t xml:space="preserve">) majetek ponechat u sebe. V ostatních případech věci převede do vlastnictví právnických nebo fyzických osob, práva uplatní a další majetek účelně zpeněží v souladu s tímto zákonem. Se zbylým majetkem, o který neprojevily zájem jiné organizační složky ani právnické nebo fyzické osoby, naloží postupem, který upraví prováděcí právní </w:t>
      </w:r>
      <w:r w:rsidRPr="005814F1">
        <w:rPr>
          <w:szCs w:val="24"/>
        </w:rPr>
        <w:lastRenderedPageBreak/>
        <w:t>předpis. Při nakládání s majetkem, který stát nabyl v důsledku rozhodnutí soudu o uznání a výkonu rozhodnutí jiného státu týkajícího se propadlého nebo zabraného majetku nebo věcí</w:t>
      </w:r>
      <w:r w:rsidRPr="005814F1">
        <w:rPr>
          <w:rStyle w:val="Znakapoznpodarou"/>
          <w:szCs w:val="24"/>
        </w:rPr>
        <w:footnoteReference w:customMarkFollows="1" w:id="358"/>
        <w:t>28a)</w:t>
      </w:r>
      <w:r w:rsidRPr="005814F1">
        <w:rPr>
          <w:szCs w:val="24"/>
        </w:rPr>
        <w:t xml:space="preserve"> nebo příkazu ke konfiskaci podle přímo použitelného předpisu Evropské unie upravujícího vzájemné uznávání příkazů k zajištění a příkazů ke konfiskaci</w:t>
      </w:r>
      <w:r w:rsidRPr="005814F1">
        <w:rPr>
          <w:rStyle w:val="Znakapoznpodarou"/>
          <w:szCs w:val="24"/>
        </w:rPr>
        <w:footnoteReference w:customMarkFollows="1" w:id="359"/>
        <w:t>28b)</w:t>
      </w:r>
      <w:r w:rsidRPr="005814F1">
        <w:rPr>
          <w:szCs w:val="24"/>
        </w:rPr>
        <w:t xml:space="preserve">, se příslušná organizační složka řídí postupy pro sdílení majetku podle </w:t>
      </w:r>
      <w:hyperlink r:id="rId17" w:history="1">
        <w:r w:rsidRPr="005814F1">
          <w:rPr>
            <w:szCs w:val="24"/>
          </w:rPr>
          <w:t>zákona o mezinárodní justiční spolupráci ve věcech trestních</w:t>
        </w:r>
      </w:hyperlink>
      <w:r w:rsidRPr="005814F1">
        <w:rPr>
          <w:rStyle w:val="Znakapoznpodarou"/>
          <w:szCs w:val="24"/>
        </w:rPr>
        <w:footnoteReference w:customMarkFollows="1" w:id="360"/>
        <w:t>97)</w:t>
      </w:r>
      <w:r w:rsidRPr="005814F1">
        <w:rPr>
          <w:szCs w:val="24"/>
        </w:rPr>
        <w:t xml:space="preserve"> a přímo použitelného předpisu Evropské unie upravujícího vzájemné uznávání příkazů k zajištění a příkazů ke konfiskaci. Pokud příslušná organizační složka zašle jinému státu peněžní prostředky získané zpeněžením propadlého nebo zabraného majetku nebo věcí, vyrozumí o tom orgán jiného státu příslušný ke sdílení majetku. </w:t>
      </w:r>
    </w:p>
    <w:p w14:paraId="693F5ABE" w14:textId="77777777" w:rsidR="005814F1" w:rsidRPr="005814F1" w:rsidRDefault="005814F1" w:rsidP="00096616">
      <w:pPr>
        <w:pStyle w:val="Textodstavce"/>
        <w:ind w:firstLine="425"/>
        <w:rPr>
          <w:szCs w:val="24"/>
        </w:rPr>
      </w:pPr>
      <w:r w:rsidRPr="005814F1">
        <w:rPr>
          <w:szCs w:val="24"/>
        </w:rPr>
        <w:t xml:space="preserve"> (3) Pozemky, které jsou majetkem podle odstavce 1 a zároveň tvoří zemědělský půdní fond, příslušná organizační složka přednostně nabídne Státnímu pozemkovému úřadu; to neplatí v případě pozemků tvořících jeden funkční celek s obytnými a hospodářskými budovami a jinými stavbami, které neslouží zemědělské a lesní výrobě nebo s ní souvisejícímu vodnímu hospodářství. Nepřijme- </w:t>
      </w:r>
      <w:proofErr w:type="spellStart"/>
      <w:r w:rsidRPr="005814F1">
        <w:rPr>
          <w:szCs w:val="24"/>
        </w:rPr>
        <w:t>li</w:t>
      </w:r>
      <w:proofErr w:type="spellEnd"/>
      <w:r w:rsidRPr="005814F1">
        <w:rPr>
          <w:szCs w:val="24"/>
        </w:rPr>
        <w:t xml:space="preserve"> Státní pozemkový úřad nabídku do 30 dnů od jejího doručení, platí, že nemá o nabízené pozemky zájem a k pozdější akceptaci nabídky se nepřihlíží. Příslušná organizační složka dále postupuje v souladu s odstavcem 2. </w:t>
      </w:r>
    </w:p>
    <w:p w14:paraId="3E892921" w14:textId="77777777" w:rsidR="005814F1" w:rsidRPr="005814F1" w:rsidRDefault="005814F1" w:rsidP="00096616">
      <w:pPr>
        <w:pStyle w:val="Textodstavce"/>
        <w:ind w:firstLine="425"/>
        <w:rPr>
          <w:szCs w:val="24"/>
        </w:rPr>
      </w:pPr>
      <w:r w:rsidRPr="005814F1">
        <w:rPr>
          <w:szCs w:val="24"/>
        </w:rPr>
        <w:t xml:space="preserve"> (4) Majetek podle odstavce 1 vede příslušná organizační složka (</w:t>
      </w:r>
      <w:hyperlink r:id="rId18" w:history="1">
        <w:r w:rsidRPr="005814F1">
          <w:rPr>
            <w:szCs w:val="24"/>
          </w:rPr>
          <w:t>§ 11</w:t>
        </w:r>
      </w:hyperlink>
      <w:r w:rsidRPr="005814F1">
        <w:rPr>
          <w:szCs w:val="24"/>
        </w:rPr>
        <w:t>) v operativní evidenci způsobem a za podmínek, které upraví prováděcí právní předpis, a to až do doby konečného naložení s majetkem; tím není</w:t>
      </w:r>
      <w:r w:rsidRPr="005814F1">
        <w:rPr>
          <w:strike/>
          <w:szCs w:val="24"/>
        </w:rPr>
        <w:t xml:space="preserve"> dotčen postup </w:t>
      </w:r>
      <w:r w:rsidRPr="005814F1">
        <w:rPr>
          <w:b/>
          <w:szCs w:val="24"/>
        </w:rPr>
        <w:t xml:space="preserve">dotčena povinnost postupovat </w:t>
      </w:r>
      <w:r w:rsidRPr="005814F1">
        <w:rPr>
          <w:szCs w:val="24"/>
        </w:rPr>
        <w:t>podle</w:t>
      </w:r>
      <w:r w:rsidRPr="005814F1">
        <w:rPr>
          <w:strike/>
          <w:szCs w:val="24"/>
        </w:rPr>
        <w:t xml:space="preserve"> ustanovení </w:t>
      </w:r>
      <w:hyperlink r:id="rId19" w:history="1">
        <w:r w:rsidRPr="005814F1">
          <w:rPr>
            <w:strike/>
            <w:szCs w:val="24"/>
          </w:rPr>
          <w:t>§ 14 odst. 2</w:t>
        </w:r>
      </w:hyperlink>
      <w:r w:rsidRPr="005814F1">
        <w:rPr>
          <w:strike/>
          <w:szCs w:val="24"/>
        </w:rPr>
        <w:t xml:space="preserve"> </w:t>
      </w:r>
      <w:r w:rsidRPr="005814F1">
        <w:rPr>
          <w:b/>
          <w:szCs w:val="24"/>
        </w:rPr>
        <w:t>právních předpisů upravujících účetnictví</w:t>
      </w:r>
      <w:r w:rsidRPr="005814F1">
        <w:rPr>
          <w:szCs w:val="24"/>
        </w:rPr>
        <w:t>, jde-li o nemovité věci a peněžité pohledávky. Ponechá-li si příslušná organizační složka majetek u sebe podle odstavce 2 věty druhé</w:t>
      </w:r>
      <w:r w:rsidRPr="005814F1">
        <w:rPr>
          <w:color w:val="FF0000"/>
          <w:szCs w:val="24"/>
        </w:rPr>
        <w:t xml:space="preserve"> </w:t>
      </w:r>
      <w:r w:rsidRPr="005814F1">
        <w:rPr>
          <w:szCs w:val="24"/>
        </w:rPr>
        <w:t>anebo nepodaří-li se jí s majetkem naložit konečným způsobem do 2 let poté, kdy začala plnit úkoly podle odstavce 1, operativní evidenci ukončí a postupuje</w:t>
      </w:r>
      <w:r w:rsidRPr="005814F1">
        <w:rPr>
          <w:color w:val="FF0000"/>
          <w:szCs w:val="24"/>
        </w:rPr>
        <w:t xml:space="preserve"> </w:t>
      </w:r>
      <w:r w:rsidRPr="005814F1">
        <w:rPr>
          <w:szCs w:val="24"/>
        </w:rPr>
        <w:t>podle</w:t>
      </w:r>
      <w:r w:rsidRPr="005814F1">
        <w:rPr>
          <w:strike/>
          <w:szCs w:val="24"/>
        </w:rPr>
        <w:t xml:space="preserve"> ustanovení </w:t>
      </w:r>
      <w:hyperlink r:id="rId20" w:history="1">
        <w:r w:rsidRPr="005814F1">
          <w:rPr>
            <w:strike/>
            <w:szCs w:val="24"/>
          </w:rPr>
          <w:t>§ 14 odst. 2</w:t>
        </w:r>
      </w:hyperlink>
      <w:r w:rsidRPr="005814F1">
        <w:rPr>
          <w:b/>
          <w:szCs w:val="24"/>
        </w:rPr>
        <w:t xml:space="preserve"> právních předpisů upravujících účetnictví</w:t>
      </w:r>
      <w:r w:rsidRPr="005814F1">
        <w:rPr>
          <w:szCs w:val="24"/>
        </w:rPr>
        <w:t xml:space="preserve">; její příslušnost se pak nadále řídí podle ustanovení </w:t>
      </w:r>
      <w:hyperlink r:id="rId21" w:history="1">
        <w:r w:rsidRPr="005814F1">
          <w:rPr>
            <w:szCs w:val="24"/>
          </w:rPr>
          <w:t>§ 9</w:t>
        </w:r>
      </w:hyperlink>
      <w:r w:rsidRPr="005814F1">
        <w:rPr>
          <w:szCs w:val="24"/>
        </w:rPr>
        <w:t xml:space="preserve">. </w:t>
      </w:r>
    </w:p>
    <w:p w14:paraId="2EFBA55D" w14:textId="77777777" w:rsidR="005814F1" w:rsidRPr="005814F1" w:rsidRDefault="005814F1" w:rsidP="00992796">
      <w:pPr>
        <w:pStyle w:val="Paragraf"/>
        <w:numPr>
          <w:ilvl w:val="0"/>
          <w:numId w:val="39"/>
        </w:numPr>
        <w:spacing w:after="120"/>
        <w:rPr>
          <w:szCs w:val="24"/>
        </w:rPr>
      </w:pPr>
      <w:r w:rsidRPr="005814F1">
        <w:rPr>
          <w:szCs w:val="24"/>
        </w:rPr>
        <w:t xml:space="preserve"> ***</w:t>
      </w:r>
    </w:p>
    <w:p w14:paraId="0703BA7A" w14:textId="77777777" w:rsidR="005814F1" w:rsidRPr="005814F1" w:rsidRDefault="005814F1" w:rsidP="00992796">
      <w:pPr>
        <w:pStyle w:val="Paragraf"/>
        <w:numPr>
          <w:ilvl w:val="0"/>
          <w:numId w:val="39"/>
        </w:numPr>
        <w:spacing w:after="120"/>
        <w:rPr>
          <w:szCs w:val="24"/>
        </w:rPr>
      </w:pPr>
      <w:r w:rsidRPr="005814F1">
        <w:rPr>
          <w:szCs w:val="24"/>
        </w:rPr>
        <w:t xml:space="preserve">§ 37 </w:t>
      </w:r>
    </w:p>
    <w:p w14:paraId="35159E0E" w14:textId="77777777" w:rsidR="005814F1" w:rsidRPr="005814F1" w:rsidRDefault="005814F1" w:rsidP="00096616">
      <w:pPr>
        <w:pStyle w:val="Textodstavce"/>
        <w:ind w:firstLine="425"/>
        <w:rPr>
          <w:szCs w:val="24"/>
        </w:rPr>
      </w:pPr>
      <w:r w:rsidRPr="005814F1">
        <w:rPr>
          <w:szCs w:val="24"/>
        </w:rPr>
        <w:t>(1) K pohledávce nelze smlouvou zřídit zástavní právo.</w:t>
      </w:r>
    </w:p>
    <w:p w14:paraId="195D60B8" w14:textId="77777777" w:rsidR="005814F1" w:rsidRPr="005814F1" w:rsidRDefault="005814F1" w:rsidP="00096616">
      <w:pPr>
        <w:pStyle w:val="Textodstavce"/>
        <w:ind w:firstLine="425"/>
        <w:rPr>
          <w:szCs w:val="24"/>
        </w:rPr>
      </w:pPr>
      <w:r w:rsidRPr="005814F1">
        <w:rPr>
          <w:szCs w:val="24"/>
        </w:rPr>
        <w:t xml:space="preserve">(2) Pro nakládání s nepeněžitými pohledávkami, jinými právy a ostatními majetkovými hodnotami platí předchozí ustanovení obdobně, pokud to povaha těchto majetkových hodnot připouští anebo zvláštní právní předpis nestanoví jinak. Pro účely postupu podle ustanovení § 32, 35 a 36 se vychází </w:t>
      </w:r>
      <w:r w:rsidRPr="005814F1">
        <w:rPr>
          <w:strike/>
          <w:szCs w:val="24"/>
        </w:rPr>
        <w:t>z ocenění podle zvláštního právního předpisu</w:t>
      </w:r>
      <w:r w:rsidRPr="005814F1">
        <w:rPr>
          <w:szCs w:val="24"/>
        </w:rPr>
        <w:t xml:space="preserve"> </w:t>
      </w:r>
      <w:r w:rsidRPr="005814F1">
        <w:rPr>
          <w:b/>
          <w:szCs w:val="24"/>
        </w:rPr>
        <w:t xml:space="preserve">ze zjištěné hodnoty určené podle zákona upravujícího oceňování věcí, služeb a </w:t>
      </w:r>
      <w:proofErr w:type="gramStart"/>
      <w:r w:rsidRPr="005814F1">
        <w:rPr>
          <w:b/>
          <w:szCs w:val="24"/>
        </w:rPr>
        <w:t>dluhů</w:t>
      </w:r>
      <w:r w:rsidRPr="005814F1">
        <w:rPr>
          <w:szCs w:val="24"/>
        </w:rPr>
        <w:t>.</w:t>
      </w:r>
      <w:r w:rsidRPr="005814F1">
        <w:rPr>
          <w:szCs w:val="24"/>
          <w:vertAlign w:val="superscript"/>
        </w:rPr>
        <w:t>17</w:t>
      </w:r>
      <w:proofErr w:type="gramEnd"/>
      <w:r w:rsidRPr="005814F1">
        <w:rPr>
          <w:szCs w:val="24"/>
          <w:vertAlign w:val="superscript"/>
        </w:rPr>
        <w:t>)</w:t>
      </w:r>
    </w:p>
    <w:p w14:paraId="2E544052" w14:textId="77777777" w:rsidR="005814F1" w:rsidRPr="005814F1" w:rsidRDefault="005814F1" w:rsidP="00096616">
      <w:pPr>
        <w:pStyle w:val="Textodstavce"/>
        <w:ind w:firstLine="425"/>
        <w:rPr>
          <w:szCs w:val="24"/>
        </w:rPr>
      </w:pPr>
      <w:r w:rsidRPr="005814F1">
        <w:rPr>
          <w:szCs w:val="24"/>
        </w:rPr>
        <w:t xml:space="preserve">(3) Pro převody cenných papírů se použije obdobně ustanovení § 21, avšak jeho odkazy na ustanovení § 22 a 23 se uplatní pouze v rozsahu ustanovení § 22 odst. 1 až 3; tím není dotčeno ustanovení § 28 odst. 3 věty první, nejde-li o převod cenných papírů v rámci postupu podle ustanovení § 15 odst. 2. Nelze uzavírat smlouvy o zápůjčce nebo jiném přenechání cenných papírů a o zastavení cenných papírů, jejichž vlastníkem je stát, a nelze postoupit samotná práva </w:t>
      </w:r>
      <w:r w:rsidRPr="005814F1">
        <w:rPr>
          <w:szCs w:val="24"/>
        </w:rPr>
        <w:lastRenderedPageBreak/>
        <w:t>ze smluv o převodu cenných papírů, jejichž vlastníkem se stát stal; tím není dotčeno ustanovení § 37a.</w:t>
      </w:r>
    </w:p>
    <w:p w14:paraId="71345C95" w14:textId="77777777" w:rsidR="005814F1" w:rsidRPr="005814F1" w:rsidRDefault="005814F1" w:rsidP="00992796">
      <w:pPr>
        <w:pStyle w:val="Paragraf"/>
        <w:numPr>
          <w:ilvl w:val="0"/>
          <w:numId w:val="39"/>
        </w:numPr>
        <w:spacing w:after="120"/>
        <w:rPr>
          <w:szCs w:val="24"/>
        </w:rPr>
      </w:pPr>
      <w:r w:rsidRPr="005814F1">
        <w:rPr>
          <w:szCs w:val="24"/>
        </w:rPr>
        <w:t>***</w:t>
      </w:r>
    </w:p>
    <w:p w14:paraId="00D0B552" w14:textId="77777777" w:rsidR="005814F1" w:rsidRPr="005814F1" w:rsidRDefault="005814F1" w:rsidP="00992796">
      <w:pPr>
        <w:pStyle w:val="Paragraf"/>
        <w:numPr>
          <w:ilvl w:val="0"/>
          <w:numId w:val="39"/>
        </w:numPr>
        <w:spacing w:after="120"/>
        <w:rPr>
          <w:szCs w:val="24"/>
        </w:rPr>
      </w:pPr>
      <w:r w:rsidRPr="005814F1">
        <w:rPr>
          <w:szCs w:val="24"/>
        </w:rPr>
        <w:t>§ 55a</w:t>
      </w:r>
    </w:p>
    <w:p w14:paraId="61C8C18F" w14:textId="77777777" w:rsidR="005814F1" w:rsidRPr="005814F1" w:rsidRDefault="005814F1" w:rsidP="005814F1">
      <w:pPr>
        <w:pStyle w:val="Textlnku"/>
        <w:spacing w:after="120"/>
        <w:rPr>
          <w:szCs w:val="24"/>
        </w:rPr>
      </w:pPr>
      <w:r w:rsidRPr="005814F1">
        <w:rPr>
          <w:strike/>
          <w:szCs w:val="24"/>
        </w:rPr>
        <w:t xml:space="preserve">Účetní </w:t>
      </w:r>
      <w:r w:rsidRPr="005814F1">
        <w:rPr>
          <w:b/>
          <w:szCs w:val="24"/>
        </w:rPr>
        <w:t xml:space="preserve">Řádnou účetní </w:t>
      </w:r>
      <w:r w:rsidRPr="005814F1">
        <w:rPr>
          <w:szCs w:val="24"/>
        </w:rPr>
        <w:t xml:space="preserve">závěrku státní příspěvkové organizace </w:t>
      </w:r>
      <w:r w:rsidRPr="005814F1">
        <w:rPr>
          <w:strike/>
          <w:szCs w:val="24"/>
        </w:rPr>
        <w:t>sestavenou k rozvahovému dni</w:t>
      </w:r>
      <w:r w:rsidRPr="005814F1">
        <w:rPr>
          <w:szCs w:val="24"/>
        </w:rPr>
        <w:t xml:space="preserve"> schvaluje její zřizovatel nebo ten, kdo vykonává zřizovatelskou funkci.</w:t>
      </w:r>
    </w:p>
    <w:p w14:paraId="0223A59A" w14:textId="77777777" w:rsidR="00820A5B" w:rsidRDefault="00820A5B" w:rsidP="00CB5381">
      <w:pPr>
        <w:pStyle w:val="Textparagrafu"/>
        <w:tabs>
          <w:tab w:val="left" w:pos="406"/>
          <w:tab w:val="left" w:pos="840"/>
          <w:tab w:val="left" w:pos="868"/>
        </w:tabs>
        <w:spacing w:after="120"/>
        <w:ind w:firstLine="0"/>
        <w:sectPr w:rsidR="00820A5B" w:rsidSect="00554E2B">
          <w:footnotePr>
            <w:numStart w:val="3"/>
          </w:footnotePr>
          <w:endnotePr>
            <w:numFmt w:val="decimal"/>
          </w:endnotePr>
          <w:pgSz w:w="11906" w:h="16838"/>
          <w:pgMar w:top="1418" w:right="1418" w:bottom="1418" w:left="1418" w:header="709" w:footer="709" w:gutter="0"/>
          <w:cols w:space="708"/>
          <w:docGrid w:linePitch="360"/>
        </w:sectPr>
      </w:pPr>
    </w:p>
    <w:p w14:paraId="2C94BDAB" w14:textId="607BB9D3" w:rsidR="00820A5B" w:rsidRPr="00096616" w:rsidRDefault="00820A5B" w:rsidP="00096616">
      <w:pPr>
        <w:tabs>
          <w:tab w:val="left" w:pos="851"/>
        </w:tabs>
        <w:spacing w:before="120" w:after="120"/>
        <w:ind w:firstLine="0"/>
        <w:jc w:val="center"/>
        <w:outlineLvl w:val="0"/>
        <w:rPr>
          <w:szCs w:val="24"/>
        </w:rPr>
      </w:pPr>
      <w:r w:rsidRPr="00096616">
        <w:rPr>
          <w:b/>
          <w:szCs w:val="24"/>
        </w:rPr>
        <w:lastRenderedPageBreak/>
        <w:t>K části padesáté</w:t>
      </w:r>
      <w:r w:rsidR="00696527" w:rsidRPr="00096616">
        <w:rPr>
          <w:b/>
          <w:szCs w:val="24"/>
        </w:rPr>
        <w:t xml:space="preserve"> první </w:t>
      </w:r>
      <w:r w:rsidRPr="00096616">
        <w:rPr>
          <w:b/>
          <w:szCs w:val="24"/>
        </w:rPr>
        <w:t xml:space="preserve">návrhu zákona – </w:t>
      </w:r>
      <w:r w:rsidRPr="00096616">
        <w:rPr>
          <w:szCs w:val="24"/>
        </w:rPr>
        <w:t>změna zákona</w:t>
      </w:r>
      <w:r w:rsidRPr="00096616">
        <w:t xml:space="preserve"> </w:t>
      </w:r>
      <w:r w:rsidR="00096616">
        <w:rPr>
          <w:szCs w:val="24"/>
        </w:rPr>
        <w:t>o rozpočtovém určení daní</w:t>
      </w:r>
    </w:p>
    <w:p w14:paraId="613D0FDB" w14:textId="6BCDE7CD" w:rsidR="00820A5B" w:rsidRPr="00096616" w:rsidRDefault="00820A5B" w:rsidP="00820A5B">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096616">
        <w:rPr>
          <w:b/>
          <w:szCs w:val="24"/>
        </w:rPr>
        <w:t>Platné znění</w:t>
      </w:r>
      <w:r w:rsidRPr="00096616">
        <w:rPr>
          <w:szCs w:val="24"/>
        </w:rPr>
        <w:t xml:space="preserve"> zákona č.</w:t>
      </w:r>
      <w:r w:rsidR="00943806">
        <w:rPr>
          <w:szCs w:val="24"/>
        </w:rPr>
        <w:t xml:space="preserve"> </w:t>
      </w:r>
      <w:r w:rsidRPr="00096616">
        <w:rPr>
          <w:szCs w:val="24"/>
        </w:rPr>
        <w:t>243/2000 Sb., o rozpočtovém určení výnosů některých daní územním samosprávným celkům a některým státním fondům (zákon o rozpočtovém určení daní)</w:t>
      </w:r>
    </w:p>
    <w:p w14:paraId="7E962104" w14:textId="37601797" w:rsidR="00820A5B" w:rsidRPr="00096616" w:rsidRDefault="00096616" w:rsidP="00820A5B">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AE4818">
        <w:rPr>
          <w:b/>
          <w:szCs w:val="24"/>
          <w:lang w:eastAsia="en-US"/>
        </w:rPr>
        <w:t>s vyznačením navrhovaných změn a doplnění k 1. lednu 2025</w:t>
      </w:r>
    </w:p>
    <w:p w14:paraId="4DDE3335" w14:textId="77777777" w:rsidR="00820A5B" w:rsidRPr="00096616" w:rsidRDefault="00820A5B" w:rsidP="00820A5B">
      <w:pPr>
        <w:pStyle w:val="Textparagrafu"/>
        <w:tabs>
          <w:tab w:val="left" w:pos="406"/>
          <w:tab w:val="left" w:pos="840"/>
          <w:tab w:val="left" w:pos="868"/>
        </w:tabs>
        <w:spacing w:after="120"/>
        <w:ind w:firstLine="0"/>
        <w:jc w:val="center"/>
      </w:pPr>
      <w:r w:rsidRPr="00096616">
        <w:t>***</w:t>
      </w:r>
    </w:p>
    <w:p w14:paraId="6EC9FB67" w14:textId="77777777" w:rsidR="00696527" w:rsidRPr="00CC3DC3" w:rsidRDefault="00696527" w:rsidP="00696527">
      <w:pPr>
        <w:pStyle w:val="Paragraf"/>
        <w:numPr>
          <w:ilvl w:val="0"/>
          <w:numId w:val="29"/>
        </w:numPr>
        <w:spacing w:after="120"/>
      </w:pPr>
      <w:r w:rsidRPr="00CC3DC3">
        <w:t>§ 3</w:t>
      </w:r>
    </w:p>
    <w:p w14:paraId="55BE8897" w14:textId="77777777" w:rsidR="00696527" w:rsidRPr="00CC3DC3" w:rsidRDefault="00696527" w:rsidP="00696527">
      <w:pPr>
        <w:pStyle w:val="Nadpisparagrafu"/>
        <w:spacing w:after="120"/>
      </w:pPr>
      <w:r w:rsidRPr="00CC3DC3">
        <w:t>Daňové příjmy rozpočtů krajů</w:t>
      </w:r>
    </w:p>
    <w:p w14:paraId="098AF189" w14:textId="77777777" w:rsidR="00696527" w:rsidRPr="00CC3DC3" w:rsidRDefault="00696527" w:rsidP="00CC5D2E">
      <w:pPr>
        <w:pStyle w:val="Textodstavce"/>
        <w:ind w:firstLine="425"/>
      </w:pPr>
      <w:r>
        <w:t xml:space="preserve">(1) </w:t>
      </w:r>
      <w:r w:rsidRPr="00CC3DC3">
        <w:t>Daňové příjmy rozpočtů jednotlivých krajů tvoří</w:t>
      </w:r>
    </w:p>
    <w:p w14:paraId="3260BEBB" w14:textId="77777777" w:rsidR="00696527" w:rsidRPr="00CC3DC3" w:rsidRDefault="00696527" w:rsidP="00696527">
      <w:pPr>
        <w:spacing w:before="0"/>
        <w:ind w:left="425" w:hanging="425"/>
        <w:outlineLvl w:val="7"/>
      </w:pPr>
      <w:r>
        <w:t>a)</w:t>
      </w:r>
      <w:r>
        <w:tab/>
      </w:r>
      <w:r w:rsidRPr="00CC3DC3">
        <w:t>daň z příjmů právnických osob v případech, kdy poplatníkem je příslušný kraj, s výjimkou daně vybírané srážkou podle zvláštní sazby,</w:t>
      </w:r>
    </w:p>
    <w:p w14:paraId="4481DAFC" w14:textId="77777777" w:rsidR="00696527" w:rsidRPr="00CC3DC3" w:rsidRDefault="00696527" w:rsidP="00696527">
      <w:pPr>
        <w:spacing w:before="0"/>
        <w:ind w:left="425" w:hanging="425"/>
        <w:outlineLvl w:val="7"/>
      </w:pPr>
      <w:r>
        <w:t>b)</w:t>
      </w:r>
      <w:r>
        <w:tab/>
      </w:r>
      <w:r w:rsidRPr="00CC3DC3">
        <w:t>podíl na 9,</w:t>
      </w:r>
      <w:r>
        <w:t>45</w:t>
      </w:r>
      <w:r w:rsidRPr="00CC3DC3">
        <w:t xml:space="preserve"> % z celostátního hrubého výnosu daně z přidané hodnoty,</w:t>
      </w:r>
    </w:p>
    <w:p w14:paraId="44BAC139" w14:textId="77777777" w:rsidR="00696527" w:rsidRPr="00CC3DC3" w:rsidRDefault="00696527" w:rsidP="00696527">
      <w:pPr>
        <w:spacing w:before="0"/>
        <w:ind w:left="425" w:hanging="425"/>
        <w:outlineLvl w:val="7"/>
      </w:pPr>
      <w:r>
        <w:t>c)</w:t>
      </w:r>
      <w:r>
        <w:tab/>
      </w:r>
      <w:r w:rsidRPr="00CC3DC3">
        <w:t>podíl na 9,</w:t>
      </w:r>
      <w:r>
        <w:t xml:space="preserve">45 </w:t>
      </w:r>
      <w:r w:rsidRPr="00CC3DC3">
        <w:t>% z celostátního hrubého výnosu daně z příjmů fyzických osob ze závislé činnosti odváděné plátcem daně, s výjimkou daně z příjmů fyzických osob vybírané srážkou podle zvláštní sazby,</w:t>
      </w:r>
    </w:p>
    <w:p w14:paraId="4B939314" w14:textId="77777777" w:rsidR="00696527" w:rsidRPr="00CC3DC3" w:rsidRDefault="00696527" w:rsidP="00696527">
      <w:pPr>
        <w:spacing w:before="0"/>
        <w:ind w:left="425" w:hanging="425"/>
        <w:outlineLvl w:val="7"/>
      </w:pPr>
      <w:r>
        <w:t>d)</w:t>
      </w:r>
      <w:r>
        <w:tab/>
        <w:t>podíl na 9,45</w:t>
      </w:r>
      <w:r w:rsidRPr="00CC3DC3">
        <w:t xml:space="preserve"> % z celostátního hrubého výnosu daně z příjmů fyzických osob vybírané srážkou podle zvláštní sazby,</w:t>
      </w:r>
    </w:p>
    <w:p w14:paraId="777E4B44" w14:textId="77777777" w:rsidR="00696527" w:rsidRPr="00CC3DC3" w:rsidRDefault="00696527" w:rsidP="00696527">
      <w:pPr>
        <w:spacing w:before="0"/>
        <w:ind w:left="425" w:hanging="425"/>
        <w:outlineLvl w:val="7"/>
      </w:pPr>
      <w:r>
        <w:t>e)</w:t>
      </w:r>
      <w:r>
        <w:tab/>
        <w:t>podíl na 9,45</w:t>
      </w:r>
      <w:r w:rsidRPr="00CC3DC3">
        <w:t xml:space="preserve"> % z celostátního hrubého výnosu daně z příjmů fyzických osob s výjimkou</w:t>
      </w:r>
    </w:p>
    <w:p w14:paraId="431A6A36" w14:textId="77777777" w:rsidR="00696527" w:rsidRPr="00CC3DC3" w:rsidRDefault="00696527" w:rsidP="00696527">
      <w:pPr>
        <w:spacing w:before="0"/>
        <w:ind w:left="850" w:hanging="425"/>
        <w:outlineLvl w:val="7"/>
      </w:pPr>
      <w:r>
        <w:t>1.</w:t>
      </w:r>
      <w:r>
        <w:tab/>
      </w:r>
      <w:r w:rsidRPr="00CC3DC3">
        <w:t>daně z příjmů fyzických osob ze závislé činnosti odváděné plátcem daně,</w:t>
      </w:r>
    </w:p>
    <w:p w14:paraId="676972DB" w14:textId="77777777" w:rsidR="00696527" w:rsidRPr="00CC3DC3" w:rsidRDefault="00696527" w:rsidP="00696527">
      <w:pPr>
        <w:spacing w:before="0"/>
        <w:ind w:left="850" w:hanging="425"/>
        <w:outlineLvl w:val="7"/>
      </w:pPr>
      <w:r>
        <w:t>2.</w:t>
      </w:r>
      <w:r>
        <w:tab/>
      </w:r>
      <w:r w:rsidRPr="00CC3DC3">
        <w:t>daně z příjmů fyzických osob vybírané srážkou podle zvláštní sazby,</w:t>
      </w:r>
    </w:p>
    <w:p w14:paraId="53682236" w14:textId="77777777" w:rsidR="00696527" w:rsidRPr="00CC3DC3" w:rsidRDefault="00696527" w:rsidP="00696527">
      <w:pPr>
        <w:spacing w:before="0"/>
        <w:ind w:left="850" w:hanging="425"/>
        <w:outlineLvl w:val="7"/>
      </w:pPr>
      <w:r>
        <w:t>3.</w:t>
      </w:r>
      <w:r>
        <w:tab/>
      </w:r>
      <w:r w:rsidRPr="00CC3DC3">
        <w:t>záloh poplatníka v paušálním režimu na daň z příjmů fyzických osob a daně z příjmů fyzických osob, která je rovna paušální dani,</w:t>
      </w:r>
    </w:p>
    <w:p w14:paraId="5CF5459C" w14:textId="77777777" w:rsidR="00696527" w:rsidRPr="00F55438" w:rsidRDefault="00696527" w:rsidP="00696527">
      <w:pPr>
        <w:pStyle w:val="Textpsmene"/>
        <w:spacing w:before="0"/>
        <w:ind w:left="425" w:hanging="425"/>
      </w:pPr>
      <w:r w:rsidRPr="00F55438">
        <w:rPr>
          <w:strike/>
        </w:rPr>
        <w:t xml:space="preserve">f) </w:t>
      </w:r>
      <w:r w:rsidRPr="00F55438">
        <w:rPr>
          <w:strike/>
        </w:rPr>
        <w:tab/>
        <w:t>podíl na 9,45 % z celostátního hrubého výnosu daně z příjmů právnických osob, s výjimkou výnosů uvedených v písmenu a) a v § 4 odst. 1 písm. g),</w:t>
      </w:r>
    </w:p>
    <w:p w14:paraId="487C6343" w14:textId="77777777" w:rsidR="00696527" w:rsidRPr="00F55438" w:rsidRDefault="00696527" w:rsidP="00696527">
      <w:pPr>
        <w:pStyle w:val="Textpsmene"/>
        <w:spacing w:before="0"/>
        <w:ind w:left="425" w:hanging="425"/>
        <w:rPr>
          <w:b/>
        </w:rPr>
      </w:pPr>
      <w:r w:rsidRPr="00F55438">
        <w:rPr>
          <w:b/>
        </w:rPr>
        <w:t xml:space="preserve">f) </w:t>
      </w:r>
      <w:r w:rsidRPr="00F55438">
        <w:rPr>
          <w:b/>
        </w:rPr>
        <w:tab/>
        <w:t>podíl na 9,45 % z celostátního hrubého výnosu daně z příjmů právnických osob, s výjimkou</w:t>
      </w:r>
    </w:p>
    <w:p w14:paraId="66F8E943" w14:textId="77777777" w:rsidR="00696527" w:rsidRPr="00F55438" w:rsidRDefault="00696527" w:rsidP="00696527">
      <w:pPr>
        <w:pStyle w:val="Textbodu"/>
        <w:spacing w:before="0"/>
        <w:ind w:left="851" w:hanging="425"/>
        <w:rPr>
          <w:b/>
        </w:rPr>
      </w:pPr>
      <w:r w:rsidRPr="00F55438">
        <w:rPr>
          <w:b/>
        </w:rPr>
        <w:t xml:space="preserve">1. </w:t>
      </w:r>
      <w:r w:rsidRPr="00F55438">
        <w:rPr>
          <w:b/>
        </w:rPr>
        <w:tab/>
        <w:t>výnosů uvedených v písmenu a) a v § 4 odst. 1 písm. g),</w:t>
      </w:r>
    </w:p>
    <w:p w14:paraId="7619AD11" w14:textId="77777777" w:rsidR="00696527" w:rsidRPr="00F55438" w:rsidRDefault="00696527" w:rsidP="00696527">
      <w:pPr>
        <w:pStyle w:val="Textbodu"/>
        <w:spacing w:before="0"/>
        <w:ind w:left="851" w:hanging="426"/>
        <w:rPr>
          <w:b/>
        </w:rPr>
      </w:pPr>
      <w:r w:rsidRPr="00F55438">
        <w:rPr>
          <w:b/>
        </w:rPr>
        <w:t xml:space="preserve">2. </w:t>
      </w:r>
      <w:r w:rsidRPr="00F55438">
        <w:rPr>
          <w:b/>
        </w:rPr>
        <w:tab/>
        <w:t>daně z příjmů právnických osob hrazené v eurech na depozitní bankovní účet vedený v eurech</w:t>
      </w:r>
    </w:p>
    <w:p w14:paraId="52115D6F" w14:textId="77777777" w:rsidR="00696527" w:rsidRPr="00F55438" w:rsidRDefault="00696527" w:rsidP="00696527">
      <w:pPr>
        <w:spacing w:before="0"/>
        <w:ind w:left="425" w:hanging="425"/>
        <w:outlineLvl w:val="7"/>
      </w:pPr>
      <w:r w:rsidRPr="00F55438">
        <w:t xml:space="preserve">g) </w:t>
      </w:r>
      <w:r w:rsidRPr="00F55438">
        <w:tab/>
        <w:t>podíl na 9,45 % výnosu záloh poplatníka v paušálním režimu na daň z příjmů fyzických osob a výnosu daně z příjmů fyzických osob, která je rovna paušální dani</w:t>
      </w:r>
      <w:r w:rsidRPr="00F55438">
        <w:rPr>
          <w:strike/>
        </w:rPr>
        <w:t>.</w:t>
      </w:r>
      <w:r w:rsidRPr="00F55438">
        <w:rPr>
          <w:b/>
        </w:rPr>
        <w:t>,</w:t>
      </w:r>
    </w:p>
    <w:p w14:paraId="7F3A59B1" w14:textId="77777777" w:rsidR="00696527" w:rsidRPr="00F55438" w:rsidRDefault="00696527" w:rsidP="00696527">
      <w:pPr>
        <w:pStyle w:val="Textpsmene"/>
        <w:spacing w:before="0"/>
        <w:ind w:left="425" w:hanging="425"/>
      </w:pPr>
      <w:r w:rsidRPr="00F55438">
        <w:rPr>
          <w:b/>
        </w:rPr>
        <w:t xml:space="preserve">h) </w:t>
      </w:r>
      <w:r w:rsidRPr="00F55438">
        <w:rPr>
          <w:b/>
        </w:rPr>
        <w:tab/>
        <w:t>podíl na 9,45 % z celostátního hrubého výnosu daně z příjmů právnických osob v podobě korunového ekvivalentu úhrady daně v eurech.</w:t>
      </w:r>
    </w:p>
    <w:p w14:paraId="7C8FCA7E" w14:textId="77777777" w:rsidR="00696527" w:rsidRPr="00CC3DC3" w:rsidRDefault="00696527" w:rsidP="00CC5D2E">
      <w:pPr>
        <w:pStyle w:val="Textodstavce"/>
        <w:ind w:firstLine="425"/>
      </w:pPr>
      <w:r>
        <w:t xml:space="preserve">(2) </w:t>
      </w:r>
      <w:r w:rsidRPr="00CC3DC3">
        <w:t>Každý kraj se na části celostátního hrubého výnosu daně podle odstavce 1 písm. b) až f</w:t>
      </w:r>
      <w:r w:rsidRPr="00F55438">
        <w:t xml:space="preserve">) </w:t>
      </w:r>
      <w:r w:rsidRPr="00F55438">
        <w:rPr>
          <w:b/>
        </w:rPr>
        <w:t>a h)</w:t>
      </w:r>
      <w:r w:rsidRPr="00F55438">
        <w:t xml:space="preserve"> a výnosu </w:t>
      </w:r>
      <w:r w:rsidRPr="00CC3DC3">
        <w:t>záloh a daně podle odstavce 1 písm. g) podílí procentem stanoveným v příloze č. 1 k tomuto zákonu.</w:t>
      </w:r>
    </w:p>
    <w:p w14:paraId="335832E5" w14:textId="77777777" w:rsidR="00696527" w:rsidRPr="00CC3DC3" w:rsidRDefault="00696527" w:rsidP="00CC5D2E">
      <w:pPr>
        <w:pStyle w:val="Textodstavce"/>
        <w:ind w:firstLine="425"/>
      </w:pPr>
      <w:r>
        <w:t xml:space="preserve">(3) </w:t>
      </w:r>
      <w:r w:rsidRPr="00CC3DC3">
        <w:t>Součástí daňového příjmu podle odstavce 1 písm. a) není úhrada rozdílu mezi daní vyměřenou nebo dodatečně vyměřenou kraji správcem daně a daní krajem přiznanou nebo dodatečně přiznanou ani příslušenství daně.</w:t>
      </w:r>
      <w:r w:rsidRPr="00CC3DC3">
        <w:rPr>
          <w:rStyle w:val="Znakapoznpodarou"/>
        </w:rPr>
        <w:footnoteReference w:customMarkFollows="1" w:id="361"/>
        <w:t>4a)</w:t>
      </w:r>
    </w:p>
    <w:p w14:paraId="59A53D0D" w14:textId="77777777" w:rsidR="00696527" w:rsidRPr="00CC3DC3" w:rsidRDefault="00696527" w:rsidP="00696527">
      <w:pPr>
        <w:pStyle w:val="Paragraf"/>
        <w:numPr>
          <w:ilvl w:val="0"/>
          <w:numId w:val="29"/>
        </w:numPr>
        <w:spacing w:after="120"/>
      </w:pPr>
      <w:r w:rsidRPr="00CC3DC3">
        <w:lastRenderedPageBreak/>
        <w:t>§ 4</w:t>
      </w:r>
    </w:p>
    <w:p w14:paraId="33240EF7" w14:textId="77777777" w:rsidR="00696527" w:rsidRPr="00CC3DC3" w:rsidRDefault="00696527" w:rsidP="00696527">
      <w:pPr>
        <w:pStyle w:val="Nadpisparagrafu"/>
        <w:spacing w:after="120"/>
      </w:pPr>
      <w:r w:rsidRPr="00CC3DC3">
        <w:t>Daňové příjmy rozpočtů obcí</w:t>
      </w:r>
    </w:p>
    <w:p w14:paraId="095EDB26" w14:textId="77777777" w:rsidR="00696527" w:rsidRPr="00CC3DC3" w:rsidRDefault="00696527" w:rsidP="00CC5D2E">
      <w:pPr>
        <w:pStyle w:val="Textodstavce"/>
        <w:ind w:firstLine="425"/>
      </w:pPr>
      <w:r>
        <w:t xml:space="preserve">(1) </w:t>
      </w:r>
      <w:r w:rsidRPr="00CC3DC3">
        <w:t>Daňové příjmy rozpočtů obcí tvoří</w:t>
      </w:r>
    </w:p>
    <w:p w14:paraId="1709E3E0" w14:textId="77777777" w:rsidR="00696527" w:rsidRPr="00CC3DC3" w:rsidRDefault="00696527" w:rsidP="00696527">
      <w:pPr>
        <w:spacing w:before="0"/>
        <w:ind w:left="425" w:hanging="425"/>
        <w:outlineLvl w:val="7"/>
      </w:pPr>
      <w:r>
        <w:t>a)</w:t>
      </w:r>
      <w:r>
        <w:tab/>
      </w:r>
      <w:r w:rsidRPr="00CC3DC3">
        <w:t>výnos daně z nemovitých věcí; příjemcem je ta obec, na jejímž území se nemovitost nachází,</w:t>
      </w:r>
    </w:p>
    <w:p w14:paraId="7177BC26" w14:textId="77777777" w:rsidR="00696527" w:rsidRPr="00CC3DC3" w:rsidRDefault="00696527" w:rsidP="00696527">
      <w:pPr>
        <w:spacing w:before="0"/>
        <w:ind w:left="425" w:hanging="425"/>
        <w:outlineLvl w:val="7"/>
      </w:pPr>
      <w:r>
        <w:t>b)</w:t>
      </w:r>
      <w:r>
        <w:tab/>
      </w:r>
      <w:r w:rsidRPr="00CC3DC3">
        <w:t>podíl na 2</w:t>
      </w:r>
      <w:r>
        <w:t>4</w:t>
      </w:r>
      <w:r w:rsidRPr="00CC3DC3">
        <w:t>,</w:t>
      </w:r>
      <w:r>
        <w:t>16</w:t>
      </w:r>
      <w:r w:rsidRPr="00CC3DC3">
        <w:t xml:space="preserve"> % z celostátního hrubého výnosu daně z přidané hodnoty,</w:t>
      </w:r>
    </w:p>
    <w:p w14:paraId="1979EB5A" w14:textId="77777777" w:rsidR="00696527" w:rsidRPr="00CC3DC3" w:rsidRDefault="00696527" w:rsidP="00696527">
      <w:pPr>
        <w:spacing w:before="0"/>
        <w:ind w:left="425" w:hanging="425"/>
        <w:outlineLvl w:val="7"/>
      </w:pPr>
      <w:r>
        <w:t>c)</w:t>
      </w:r>
      <w:r>
        <w:tab/>
      </w:r>
      <w:r w:rsidRPr="00CC3DC3">
        <w:t>podíl na 2</w:t>
      </w:r>
      <w:r>
        <w:t>4</w:t>
      </w:r>
      <w:r w:rsidRPr="00CC3DC3">
        <w:t>,</w:t>
      </w:r>
      <w:r>
        <w:t>16</w:t>
      </w:r>
      <w:r w:rsidRPr="00CC3DC3">
        <w:t xml:space="preserve"> % z celostátního hrubého výnosu daně z příjmů fyzických osob ze závislé činnosti odváděné plátcem daně, s výjimkou daně z příjmů fyzických osob vybírané srážkou podle zvláštní sazby,</w:t>
      </w:r>
    </w:p>
    <w:p w14:paraId="7546A4BF" w14:textId="77777777" w:rsidR="00696527" w:rsidRPr="00CC3DC3" w:rsidRDefault="00696527" w:rsidP="00696527">
      <w:pPr>
        <w:spacing w:before="0"/>
        <w:ind w:left="425" w:hanging="425"/>
        <w:outlineLvl w:val="7"/>
      </w:pPr>
      <w:r>
        <w:t>d)</w:t>
      </w:r>
      <w:r>
        <w:tab/>
      </w:r>
      <w:r w:rsidRPr="00CC3DC3">
        <w:t>podíl na 2</w:t>
      </w:r>
      <w:r>
        <w:t>4</w:t>
      </w:r>
      <w:r w:rsidRPr="00CC3DC3">
        <w:t>,</w:t>
      </w:r>
      <w:r>
        <w:t>16</w:t>
      </w:r>
      <w:r w:rsidRPr="00CC3DC3">
        <w:t xml:space="preserve"> % z celostátního hrubého výnosu daně z příjmů fyzických osob vybírané srážkou podle zvláštní sazby,</w:t>
      </w:r>
    </w:p>
    <w:p w14:paraId="322B3769" w14:textId="77777777" w:rsidR="00696527" w:rsidRPr="00CC3DC3" w:rsidRDefault="00696527" w:rsidP="00696527">
      <w:pPr>
        <w:spacing w:before="0"/>
        <w:ind w:left="425" w:hanging="425"/>
        <w:outlineLvl w:val="7"/>
      </w:pPr>
      <w:r>
        <w:t>e)</w:t>
      </w:r>
      <w:r>
        <w:tab/>
      </w:r>
      <w:r w:rsidRPr="00CC3DC3">
        <w:t>podíl na 2</w:t>
      </w:r>
      <w:r>
        <w:t>4</w:t>
      </w:r>
      <w:r w:rsidRPr="00CC3DC3">
        <w:t>,</w:t>
      </w:r>
      <w:r>
        <w:t>16</w:t>
      </w:r>
      <w:r w:rsidRPr="00CC3DC3">
        <w:t xml:space="preserve"> % z celostátního hrubého výnosu daně z příjmů fyzických osob s výjimkou</w:t>
      </w:r>
    </w:p>
    <w:p w14:paraId="3EF99315" w14:textId="77777777" w:rsidR="00696527" w:rsidRPr="00CC3DC3" w:rsidRDefault="00696527" w:rsidP="00696527">
      <w:pPr>
        <w:spacing w:before="0"/>
        <w:ind w:left="850" w:hanging="425"/>
        <w:outlineLvl w:val="7"/>
      </w:pPr>
      <w:r>
        <w:t>1.</w:t>
      </w:r>
      <w:r>
        <w:tab/>
      </w:r>
      <w:r w:rsidRPr="00CC3DC3">
        <w:t>daně z příjmů fyzických osob ze závislé činnosti odváděné plátcem daně,</w:t>
      </w:r>
    </w:p>
    <w:p w14:paraId="078C619A" w14:textId="77777777" w:rsidR="00696527" w:rsidRPr="00CC3DC3" w:rsidRDefault="00696527" w:rsidP="00696527">
      <w:pPr>
        <w:spacing w:before="0"/>
        <w:ind w:left="850" w:hanging="425"/>
        <w:outlineLvl w:val="7"/>
      </w:pPr>
      <w:r>
        <w:t>2.</w:t>
      </w:r>
      <w:r>
        <w:tab/>
      </w:r>
      <w:r w:rsidRPr="00CC3DC3">
        <w:t>daně z příjmů fyzických osob vybírané srážkou podle zvláštní sazby,</w:t>
      </w:r>
    </w:p>
    <w:p w14:paraId="2F8903AC" w14:textId="77777777" w:rsidR="00696527" w:rsidRPr="006D1425" w:rsidRDefault="00696527" w:rsidP="00696527">
      <w:pPr>
        <w:spacing w:before="0"/>
        <w:ind w:left="850" w:hanging="425"/>
        <w:outlineLvl w:val="7"/>
      </w:pPr>
      <w:r>
        <w:t>3.</w:t>
      </w:r>
      <w:r>
        <w:tab/>
      </w:r>
      <w:r w:rsidRPr="00CC3DC3">
        <w:t xml:space="preserve">záloh poplatníka v paušálním režimu na daň z příjmů fyzických osob a daně z příjmů </w:t>
      </w:r>
      <w:r w:rsidRPr="006D1425">
        <w:t>fyzických osob, která je rovna paušální dani,</w:t>
      </w:r>
    </w:p>
    <w:p w14:paraId="365EB633" w14:textId="77777777" w:rsidR="00696527" w:rsidRPr="006D1425" w:rsidRDefault="00696527" w:rsidP="00696527">
      <w:pPr>
        <w:pStyle w:val="Textpsmene"/>
        <w:spacing w:before="0"/>
        <w:ind w:left="425" w:hanging="425"/>
      </w:pPr>
      <w:r w:rsidRPr="006D1425">
        <w:rPr>
          <w:strike/>
        </w:rPr>
        <w:t>f)</w:t>
      </w:r>
      <w:r w:rsidRPr="006D1425">
        <w:rPr>
          <w:strike/>
        </w:rPr>
        <w:tab/>
        <w:t>podíl na 24,16</w:t>
      </w:r>
      <w:r w:rsidRPr="006D1425">
        <w:t xml:space="preserve"> </w:t>
      </w:r>
      <w:r w:rsidRPr="006D1425">
        <w:rPr>
          <w:strike/>
        </w:rPr>
        <w:t>% z celostátního hrubého výnosu daně z příjmů právnických osob, s výjimkou</w:t>
      </w:r>
      <w:r w:rsidRPr="006D1425">
        <w:t xml:space="preserve"> </w:t>
      </w:r>
      <w:r w:rsidRPr="006D1425">
        <w:rPr>
          <w:strike/>
        </w:rPr>
        <w:t>výnosů uvedených v písmenu g) a v § 3 odst. 1 písm. a),</w:t>
      </w:r>
    </w:p>
    <w:p w14:paraId="6A809EC3" w14:textId="77777777" w:rsidR="00696527" w:rsidRPr="006D1425" w:rsidRDefault="00696527" w:rsidP="00696527">
      <w:pPr>
        <w:pStyle w:val="Textpsmene"/>
        <w:spacing w:before="0"/>
        <w:ind w:left="425" w:hanging="425"/>
        <w:rPr>
          <w:b/>
        </w:rPr>
      </w:pPr>
      <w:r w:rsidRPr="006D1425">
        <w:rPr>
          <w:b/>
        </w:rPr>
        <w:t>f)</w:t>
      </w:r>
      <w:r w:rsidRPr="006D1425">
        <w:rPr>
          <w:b/>
        </w:rPr>
        <w:tab/>
        <w:t>podíl na 24,16</w:t>
      </w:r>
      <w:r w:rsidRPr="006D1425">
        <w:t xml:space="preserve"> </w:t>
      </w:r>
      <w:r w:rsidRPr="006D1425">
        <w:rPr>
          <w:b/>
        </w:rPr>
        <w:t>% z celostátního hrubého výnosu daně z příjmů právnických osob, s výjimkou</w:t>
      </w:r>
    </w:p>
    <w:p w14:paraId="63578FAE" w14:textId="77777777" w:rsidR="00696527" w:rsidRPr="006D1425" w:rsidRDefault="00696527" w:rsidP="00696527">
      <w:pPr>
        <w:pStyle w:val="Textbodu"/>
        <w:spacing w:before="0"/>
        <w:ind w:left="851" w:hanging="425"/>
        <w:rPr>
          <w:b/>
        </w:rPr>
      </w:pPr>
      <w:r w:rsidRPr="006D1425">
        <w:rPr>
          <w:b/>
        </w:rPr>
        <w:t xml:space="preserve">1. </w:t>
      </w:r>
      <w:r w:rsidRPr="006D1425">
        <w:rPr>
          <w:b/>
        </w:rPr>
        <w:tab/>
        <w:t>výnosů uvedených v písmenu g) a v § 3 odst. 1 písm. a),</w:t>
      </w:r>
    </w:p>
    <w:p w14:paraId="312FF52E" w14:textId="77777777" w:rsidR="00696527" w:rsidRPr="006D1425" w:rsidRDefault="00696527" w:rsidP="00696527">
      <w:pPr>
        <w:pStyle w:val="Textbodu"/>
        <w:spacing w:before="0"/>
        <w:ind w:left="851" w:hanging="425"/>
        <w:rPr>
          <w:b/>
        </w:rPr>
      </w:pPr>
      <w:r w:rsidRPr="006D1425">
        <w:rPr>
          <w:b/>
        </w:rPr>
        <w:t>2.</w:t>
      </w:r>
      <w:r w:rsidRPr="006D1425">
        <w:rPr>
          <w:b/>
        </w:rPr>
        <w:tab/>
        <w:t>daně z příjmů právnických osob hrazené v eurech na depozitní bankovní účet vedený v eurech,</w:t>
      </w:r>
    </w:p>
    <w:p w14:paraId="17DDBFED" w14:textId="77777777" w:rsidR="00696527" w:rsidRPr="006D1425" w:rsidRDefault="00696527" w:rsidP="00696527">
      <w:pPr>
        <w:spacing w:before="0"/>
        <w:ind w:left="425" w:hanging="425"/>
        <w:outlineLvl w:val="7"/>
      </w:pPr>
      <w:r w:rsidRPr="006D1425">
        <w:t>g)</w:t>
      </w:r>
      <w:r w:rsidRPr="006D1425">
        <w:tab/>
        <w:t>daň z příjmů právnických osob v případech, kdy poplatníkem je příslušná obec, s výjimkou daně vybírané srážkou podle zvláštní sazby,</w:t>
      </w:r>
    </w:p>
    <w:p w14:paraId="3118B540" w14:textId="77777777" w:rsidR="00696527" w:rsidRPr="006D1425" w:rsidRDefault="00696527" w:rsidP="00696527">
      <w:pPr>
        <w:spacing w:before="0"/>
        <w:ind w:left="425" w:hanging="425"/>
        <w:outlineLvl w:val="7"/>
      </w:pPr>
      <w:r w:rsidRPr="006D1425">
        <w:t>h)</w:t>
      </w:r>
      <w:r w:rsidRPr="006D1425">
        <w:tab/>
        <w:t>podíl na 1,5 % z celostátního hrubého výnosu daně z příjmů fyzických osob ze závislé činnosti odváděné plátcem daně, s výjimkou daně z příjmů fyzických osob vybírané srážkou podle zvláštní sazby,</w:t>
      </w:r>
    </w:p>
    <w:p w14:paraId="1BEE1D09" w14:textId="77777777" w:rsidR="00696527" w:rsidRPr="006D1425" w:rsidRDefault="00696527" w:rsidP="00696527">
      <w:pPr>
        <w:spacing w:before="0"/>
        <w:ind w:left="425" w:hanging="425"/>
        <w:outlineLvl w:val="7"/>
      </w:pPr>
      <w:r w:rsidRPr="006D1425">
        <w:t>i)</w:t>
      </w:r>
      <w:r w:rsidRPr="006D1425">
        <w:tab/>
        <w:t>podíl na 24,16 % výnosu záloh poplatníka v paušálním režimu na daň z příjmů fyzických osob a výnosu daně z příjmů fyzických osob, která je rovna paušální dani</w:t>
      </w:r>
      <w:r w:rsidRPr="006D1425">
        <w:rPr>
          <w:strike/>
        </w:rPr>
        <w:t>.</w:t>
      </w:r>
      <w:r w:rsidRPr="006D1425">
        <w:rPr>
          <w:b/>
        </w:rPr>
        <w:t>,</w:t>
      </w:r>
    </w:p>
    <w:p w14:paraId="18DCB25F" w14:textId="77777777" w:rsidR="00696527" w:rsidRPr="006D1425" w:rsidRDefault="00696527" w:rsidP="00696527">
      <w:pPr>
        <w:pStyle w:val="Textpsmene"/>
        <w:spacing w:before="0"/>
        <w:ind w:left="425" w:hanging="425"/>
      </w:pPr>
      <w:r w:rsidRPr="006D1425">
        <w:rPr>
          <w:b/>
        </w:rPr>
        <w:t xml:space="preserve">j) </w:t>
      </w:r>
      <w:r w:rsidRPr="006D1425">
        <w:rPr>
          <w:b/>
        </w:rPr>
        <w:tab/>
        <w:t>podíl na 24,16</w:t>
      </w:r>
      <w:r w:rsidRPr="006D1425">
        <w:t xml:space="preserve"> </w:t>
      </w:r>
      <w:r w:rsidRPr="006D1425">
        <w:rPr>
          <w:b/>
        </w:rPr>
        <w:t>% z celostátního hrubého výnosu daně z příjmů právnických osob v podobě korunového ekvivalentu úhrady daně v eurech.</w:t>
      </w:r>
    </w:p>
    <w:p w14:paraId="65B3A0A7" w14:textId="77777777" w:rsidR="00696527" w:rsidRPr="00CC3DC3" w:rsidRDefault="00696527" w:rsidP="00CC5D2E">
      <w:pPr>
        <w:pStyle w:val="Textodstavce"/>
        <w:ind w:firstLine="425"/>
      </w:pPr>
      <w:r>
        <w:t xml:space="preserve">(2) </w:t>
      </w:r>
      <w:r w:rsidRPr="00CC3DC3">
        <w:t>Procento, kterým se obce s výjimkou hlavního města Prahy, Plzně, Ostravy a Brna (dále jen "ostatní obce") podílejí na části celostátního hrubého výnosu daní podle odstavce 1 písm. b) až f</w:t>
      </w:r>
      <w:r w:rsidRPr="006D1425">
        <w:t xml:space="preserve">) </w:t>
      </w:r>
      <w:r w:rsidRPr="006D1425">
        <w:rPr>
          <w:b/>
        </w:rPr>
        <w:t xml:space="preserve">a j) </w:t>
      </w:r>
      <w:r w:rsidRPr="006D1425">
        <w:t xml:space="preserve">a </w:t>
      </w:r>
      <w:r w:rsidRPr="00CC3DC3">
        <w:t>výnosu záloh a daně podle odstavce 1 písm. i), se vypočte jako součet</w:t>
      </w:r>
    </w:p>
    <w:p w14:paraId="37272513" w14:textId="77777777" w:rsidR="00696527" w:rsidRPr="00CC3DC3" w:rsidRDefault="00696527" w:rsidP="00696527">
      <w:pPr>
        <w:spacing w:before="0"/>
        <w:ind w:left="425" w:hanging="425"/>
        <w:outlineLvl w:val="7"/>
      </w:pPr>
      <w:r>
        <w:t>a)</w:t>
      </w:r>
      <w:r>
        <w:tab/>
      </w:r>
      <w:r w:rsidRPr="00CC3DC3">
        <w:t>poměru započtené výměry katastrálních území obce (odstavec 7) k celkově započtené výměře katastrálních území všech obcí, vyjádřeného v procentech a násobeného koeficientem 0,03,</w:t>
      </w:r>
    </w:p>
    <w:p w14:paraId="73C60DC9" w14:textId="77777777" w:rsidR="00696527" w:rsidRPr="00CC3DC3" w:rsidRDefault="00696527" w:rsidP="00696527">
      <w:pPr>
        <w:spacing w:before="0"/>
        <w:ind w:left="425" w:hanging="425"/>
        <w:outlineLvl w:val="7"/>
      </w:pPr>
      <w:r>
        <w:t>b)</w:t>
      </w:r>
      <w:r>
        <w:tab/>
      </w:r>
      <w:r w:rsidRPr="00CC3DC3">
        <w:t>poměru počtu obyvatel obce k počtu obyvatel všech obcí vyjádřeného v procentech a násobeného koeficientem 0,10,</w:t>
      </w:r>
    </w:p>
    <w:p w14:paraId="100BC797" w14:textId="77777777" w:rsidR="00696527" w:rsidRPr="00CC3DC3" w:rsidRDefault="00696527" w:rsidP="00696527">
      <w:pPr>
        <w:spacing w:before="0"/>
        <w:ind w:left="425" w:hanging="425"/>
        <w:outlineLvl w:val="7"/>
      </w:pPr>
      <w:r>
        <w:t>c)</w:t>
      </w:r>
      <w:r>
        <w:tab/>
      </w:r>
      <w:r w:rsidRPr="00CC3DC3">
        <w:t xml:space="preserve">poměru počtu dětí a žáků navštěvujících školu zřizovanou obcí k počtu těchto dětí a žáků za všechny obce, vyjádřeného v procentech a násobeného koeficientem 0,09, přičemž do počtu dětí a žáků se nezapočítávají individuálně vzdělávané děti, žáci plnící povinnou školní docházku ve škole mimo území České republiky, ve škole zřízené při diplomatické misi nebo konzulárním úřadu České republiky, v zahraniční škole uskutečňující na území České republiky vzdělávání podle zahraničního vzdělávacího programu, v níž ministerstvo </w:t>
      </w:r>
      <w:r w:rsidRPr="00CC3DC3">
        <w:lastRenderedPageBreak/>
        <w:t>povolilo plnění povinné školní docházky, a v evropské škole působící na základě Úm</w:t>
      </w:r>
      <w:r>
        <w:t>luvy o statutu Evropských škol,</w:t>
      </w:r>
    </w:p>
    <w:p w14:paraId="2EF4B12A" w14:textId="77777777" w:rsidR="00696527" w:rsidRPr="00CC3DC3" w:rsidRDefault="00696527" w:rsidP="00696527">
      <w:pPr>
        <w:spacing w:before="0"/>
        <w:ind w:left="425" w:hanging="425"/>
        <w:outlineLvl w:val="7"/>
      </w:pPr>
      <w:r>
        <w:t>d)</w:t>
      </w:r>
      <w:r>
        <w:tab/>
      </w:r>
      <w:r w:rsidRPr="00CC3DC3">
        <w:t>poměru násobku postupných přechodů, vypočteného pro obec pomocí koeficientů postupných přechodů, k součtu násobků postupných přechodů vypočtených za ostatní obce, vyjádřeného v procentech a násobeného koeficientem 0,78 a dále násobeného celkovým procentem, kterým se na části celostátního hrubého výnosu daní podle odstavce 1 písm. b</w:t>
      </w:r>
      <w:r w:rsidRPr="006D1425">
        <w:t xml:space="preserve">) až f) </w:t>
      </w:r>
      <w:r w:rsidRPr="006D1425">
        <w:rPr>
          <w:b/>
        </w:rPr>
        <w:t>a j)</w:t>
      </w:r>
      <w:r w:rsidRPr="006D1425">
        <w:t xml:space="preserve"> a výnosu záloh a daně podle odstavce 1 písm. i) podílejí ostatní obce, toto celkové procento se vypočte </w:t>
      </w:r>
      <w:r w:rsidRPr="00CC3DC3">
        <w:t>způsobem uvedeným v odstavci 4.</w:t>
      </w:r>
    </w:p>
    <w:p w14:paraId="7C3D72C5" w14:textId="77777777" w:rsidR="00696527" w:rsidRPr="00CC3DC3" w:rsidRDefault="00696527" w:rsidP="00CC5D2E">
      <w:pPr>
        <w:pStyle w:val="Textodstavce"/>
        <w:ind w:firstLine="425"/>
      </w:pPr>
      <w:r>
        <w:t xml:space="preserve">(3) </w:t>
      </w:r>
      <w:r w:rsidRPr="00CC3DC3">
        <w:t>Koeficienty postupných přechodů a násobky postupných přechodů [odstavec 2 písm. d)] jsou uvedeny v příloze č. 2 k tomuto zákonu.</w:t>
      </w:r>
    </w:p>
    <w:p w14:paraId="5C68D997" w14:textId="77777777" w:rsidR="00696527" w:rsidRPr="006D1425" w:rsidRDefault="00696527" w:rsidP="00CC5D2E">
      <w:pPr>
        <w:pStyle w:val="Textodstavce"/>
        <w:ind w:firstLine="425"/>
      </w:pPr>
      <w:r>
        <w:t xml:space="preserve">(4) </w:t>
      </w:r>
      <w:r w:rsidRPr="00CC3DC3">
        <w:t xml:space="preserve">Celkové procento, </w:t>
      </w:r>
      <w:r w:rsidRPr="006D1425">
        <w:t xml:space="preserve">kterým se ostatní obce podílejí na části celostátního hrubého výnosu daní podle odstavce 1 písm. b) až f) </w:t>
      </w:r>
      <w:r w:rsidRPr="006D1425">
        <w:rPr>
          <w:b/>
        </w:rPr>
        <w:t>a j)</w:t>
      </w:r>
      <w:r w:rsidRPr="006D1425">
        <w:t xml:space="preserve"> a výnosu záloh a daně podle odstavce 1 písm. i), se stanoví pomocí zlomku, v jehož čitateli se uvede násobek přepočítacího koeficientu pro ostatní obce uvedený v příloze č. 3 k tomuto zákonu a celkového počtu obyvatel ostatních obcí, a ve jmenovateli součet násobků příslušných přepočítacích koeficientů uvedených v příloze č. 3 k tomuto zákonu a počtu obyvatel připadajících na hlavní město Prahu, Plzeň, Ostravu, Brno a na ostatní obce.</w:t>
      </w:r>
    </w:p>
    <w:p w14:paraId="3D705098" w14:textId="77777777" w:rsidR="00696527" w:rsidRPr="006D1425" w:rsidRDefault="00696527" w:rsidP="00CC5D2E">
      <w:pPr>
        <w:pStyle w:val="Textodstavce"/>
        <w:ind w:firstLine="425"/>
      </w:pPr>
      <w:r w:rsidRPr="006D1425">
        <w:t xml:space="preserve">(5) Procento, kterým se hlavní město Praha, Plzeň, Ostrava a Brno podílejí na části celostátního hrubého výnosu daní podle odstavce 1 písm. b) až f) </w:t>
      </w:r>
      <w:r w:rsidRPr="006D1425">
        <w:rPr>
          <w:b/>
        </w:rPr>
        <w:t>a j)</w:t>
      </w:r>
      <w:r w:rsidRPr="006D1425">
        <w:t xml:space="preserve"> a výnosu záloh a daně podle odstavce 1 písm. i), se vypočte jako součet</w:t>
      </w:r>
    </w:p>
    <w:p w14:paraId="18D0AFC9" w14:textId="77777777" w:rsidR="00696527" w:rsidRPr="00CC3DC3" w:rsidRDefault="00696527" w:rsidP="00696527">
      <w:pPr>
        <w:spacing w:before="0"/>
        <w:ind w:left="425" w:hanging="425"/>
        <w:outlineLvl w:val="7"/>
      </w:pPr>
      <w:r>
        <w:t>a)</w:t>
      </w:r>
      <w:r>
        <w:tab/>
      </w:r>
      <w:r w:rsidRPr="00CC3DC3">
        <w:t>poměru započtené výměry katastrálních území obce (odstavec 7) k celkově započtené výměře katastrálních území všech obcí, vyjádřeného v procentech a násobeného koeficientem 0,03,</w:t>
      </w:r>
    </w:p>
    <w:p w14:paraId="18F48053" w14:textId="77777777" w:rsidR="00696527" w:rsidRPr="00CC3DC3" w:rsidRDefault="00696527" w:rsidP="00696527">
      <w:pPr>
        <w:spacing w:before="0"/>
        <w:ind w:left="425" w:hanging="425"/>
        <w:outlineLvl w:val="7"/>
      </w:pPr>
      <w:r>
        <w:t>b)</w:t>
      </w:r>
      <w:r>
        <w:tab/>
      </w:r>
      <w:r w:rsidRPr="00CC3DC3">
        <w:t>poměru počtu obyvatel obce k počtu obyvatel všech obcí, vyjádřeného v procentech a násobeného koeficientem 0,10,</w:t>
      </w:r>
    </w:p>
    <w:p w14:paraId="76EB9C82" w14:textId="77777777" w:rsidR="00696527" w:rsidRPr="00CC3DC3" w:rsidRDefault="00696527" w:rsidP="00696527">
      <w:pPr>
        <w:spacing w:before="0"/>
        <w:ind w:left="425" w:hanging="425"/>
        <w:outlineLvl w:val="7"/>
      </w:pPr>
      <w:r>
        <w:t>c)</w:t>
      </w:r>
      <w:r>
        <w:tab/>
      </w:r>
      <w:r w:rsidRPr="00CC3DC3">
        <w:t>poměru počtu dětí a žáků navštěvujících školu zřizovanou obcí k počtu těchto dětí a žáků za všechny obce, vyjádřeného v procentech a násobeného koeficientem 0,09, přičemž do počtu dětí a žáků se nezapočítávají individuálně vzdělávané děti, žáci plnící povinnou školní docházku ve škole mimo území České republiky, ve škole zřízené při diplomatické misi nebo konzulárním úřadu České republiky, v zahraniční škole uskutečňující na území České republiky vzdělávání podle zahraničního vzdělávacího programu, v níž ministerstvo povolilo plnění povinné školní docházky, a v evropské škole působící na základě Úmluvy o statutu Evropských škol,</w:t>
      </w:r>
    </w:p>
    <w:p w14:paraId="47E01572" w14:textId="77777777" w:rsidR="00696527" w:rsidRPr="00CC3DC3" w:rsidRDefault="00696527" w:rsidP="00696527">
      <w:pPr>
        <w:spacing w:before="0"/>
        <w:ind w:left="425" w:hanging="425"/>
        <w:outlineLvl w:val="7"/>
      </w:pPr>
      <w:r>
        <w:t>d)</w:t>
      </w:r>
      <w:r>
        <w:tab/>
      </w:r>
      <w:r w:rsidRPr="00CC3DC3">
        <w:t>poměru násobku příslušného přepočítacího koeficientu uvedeného v příloze č. 3 k tomuto zákonu a připadajícího na hlavní město Prahu, Plzeň, Ostravu nebo Brno a počtu obyvatel hlavního města Prahy, Plzně, Ostravy nebo Brna k součtu násobků příslušných přepočítacích koeficientů uvedených v příloze č. 3 k tomuto zákonu a počtu obyvatel připadajících na hlavní město Prahu, Plzeň, Ostravu, Brno a na ostatní obce, vyjádřeného v procentech a násobeného koeficientem 0,78.</w:t>
      </w:r>
    </w:p>
    <w:p w14:paraId="7AA397BE" w14:textId="77777777" w:rsidR="00696527" w:rsidRPr="00CC3DC3" w:rsidRDefault="00696527" w:rsidP="00CC5D2E">
      <w:pPr>
        <w:pStyle w:val="Textodstavce"/>
        <w:ind w:firstLine="425"/>
      </w:pPr>
      <w:r>
        <w:t xml:space="preserve">(6) </w:t>
      </w:r>
      <w:r w:rsidRPr="00CC3DC3">
        <w:t>Při stanovení počtu obyvatel obce pro účely propočtů podle odstavců 2 až 5 a odstavce 7 se vychází ze stavu k 1. lednu běžného roku uvedeného v bilanci obyvatel České republiky zpracované Českým statistickým úřadem k 1. lednu běžného roku.</w:t>
      </w:r>
    </w:p>
    <w:p w14:paraId="7101525A" w14:textId="77777777" w:rsidR="00696527" w:rsidRPr="00CC3DC3" w:rsidRDefault="00696527" w:rsidP="00CC5D2E">
      <w:pPr>
        <w:pStyle w:val="Textodstavce"/>
        <w:ind w:firstLine="425"/>
      </w:pPr>
      <w:r>
        <w:t xml:space="preserve">(7) </w:t>
      </w:r>
      <w:r w:rsidRPr="00CC3DC3">
        <w:t>Započtenou výměrou katastrálních území obce pro účely propočtů podle odstavců 2 až 5 se rozumí výměra, která vychází z údajů Českého úřadu zeměměřického a katastrálního k 1. lednu běžného roku, maximálně však výměra 10 ha na každého obyvatele obce.</w:t>
      </w:r>
    </w:p>
    <w:p w14:paraId="5AC12A20" w14:textId="77777777" w:rsidR="00696527" w:rsidRPr="00CC3DC3" w:rsidRDefault="00696527" w:rsidP="00CC5D2E">
      <w:pPr>
        <w:pStyle w:val="Textodstavce"/>
        <w:ind w:firstLine="425"/>
      </w:pPr>
      <w:r>
        <w:lastRenderedPageBreak/>
        <w:t xml:space="preserve">(8) </w:t>
      </w:r>
      <w:r w:rsidRPr="00CC3DC3">
        <w:t>Při stanovení počtu dětí a žáků se pro účely propočtů podle odstavců 2 až 5 vychází z dokumentace škol vedené podle školského zákona, a to ze stavu k 30. září roku, který bezprostředně předchází běžnému roku.</w:t>
      </w:r>
    </w:p>
    <w:p w14:paraId="3F79E8F7" w14:textId="77777777" w:rsidR="00696527" w:rsidRPr="00CC3DC3" w:rsidRDefault="00696527" w:rsidP="00CC5D2E">
      <w:pPr>
        <w:pStyle w:val="Textodstavce"/>
        <w:ind w:firstLine="425"/>
      </w:pPr>
      <w:r>
        <w:t xml:space="preserve">(9) </w:t>
      </w:r>
      <w:r w:rsidRPr="00CC3DC3">
        <w:t>Pro účely propočtu podle odstavců 2 až 5 se počtem dětí rozumí počet dětí účastnících se předškolního vzdělávání a počtem žáků se rozumí počet žáků plnících povinnou školní docházku.</w:t>
      </w:r>
    </w:p>
    <w:p w14:paraId="42EB0F51" w14:textId="77777777" w:rsidR="00696527" w:rsidRPr="00CC3DC3" w:rsidRDefault="00696527" w:rsidP="00CC5D2E">
      <w:pPr>
        <w:pStyle w:val="Textodstavce"/>
        <w:ind w:firstLine="425"/>
      </w:pPr>
      <w:r>
        <w:t xml:space="preserve">(10) </w:t>
      </w:r>
      <w:r w:rsidRPr="00CC3DC3">
        <w:t>Součástí daňového příjmu podle odstavce 1 písm. g) není úhrada rozdílu mezi daní vyměřenou nebo dodatečně vyměřenou obci správcem daně a daní obcí přiznanou nebo dodatečně přiznanou ani příslušenství daně.</w:t>
      </w:r>
    </w:p>
    <w:p w14:paraId="4EB76A1F" w14:textId="77777777" w:rsidR="00696527" w:rsidRPr="00CC3DC3" w:rsidRDefault="00696527" w:rsidP="00CC5D2E">
      <w:pPr>
        <w:pStyle w:val="Textodstavce"/>
        <w:ind w:firstLine="425"/>
      </w:pPr>
      <w:r>
        <w:t xml:space="preserve">(11) </w:t>
      </w:r>
      <w:r w:rsidRPr="00CC3DC3">
        <w:t>Ministerstvo financí stanoví vyhláškou vydanou na základě údajů zpracovaných Českým statistickým úřadem, Českým úřadem zeměměřickým a katastrálním a Ministerstvem školství, mládeže a tělovýchovy, vždy s účinností od 1. září běžného roku</w:t>
      </w:r>
    </w:p>
    <w:p w14:paraId="6D6EFCFA" w14:textId="77777777" w:rsidR="00696527" w:rsidRPr="006D1425" w:rsidRDefault="00696527" w:rsidP="00696527">
      <w:pPr>
        <w:spacing w:before="0"/>
        <w:ind w:left="425" w:hanging="425"/>
        <w:outlineLvl w:val="7"/>
      </w:pPr>
      <w:r>
        <w:t>a)</w:t>
      </w:r>
      <w:r>
        <w:tab/>
      </w:r>
      <w:r w:rsidRPr="00CC3DC3">
        <w:t>celkové procento, kterým se ostatní obce podílejí na části celostátního hrubého výnosu daní podle odstavce 1 písm. b</w:t>
      </w:r>
      <w:r w:rsidRPr="006D1425">
        <w:t xml:space="preserve">) až f) </w:t>
      </w:r>
      <w:r w:rsidRPr="006D1425">
        <w:rPr>
          <w:b/>
        </w:rPr>
        <w:t>a j)</w:t>
      </w:r>
      <w:r w:rsidRPr="006D1425">
        <w:t xml:space="preserve"> a výnosu záloh a daně podle odstavce 1 písm. i),</w:t>
      </w:r>
    </w:p>
    <w:p w14:paraId="55EBFB3B" w14:textId="77777777" w:rsidR="00696527" w:rsidRPr="006D1425" w:rsidRDefault="00696527" w:rsidP="00696527">
      <w:pPr>
        <w:spacing w:before="0"/>
        <w:ind w:left="425" w:hanging="425"/>
        <w:outlineLvl w:val="7"/>
      </w:pPr>
      <w:r w:rsidRPr="006D1425">
        <w:t>b)</w:t>
      </w:r>
      <w:r w:rsidRPr="006D1425">
        <w:tab/>
        <w:t xml:space="preserve">procento, kterým se jednotlivé obce podílejí na části celostátního hrubého výnosu daní podle odstavce 1 písm. b) až f) </w:t>
      </w:r>
      <w:r w:rsidRPr="006D1425">
        <w:rPr>
          <w:b/>
        </w:rPr>
        <w:t>a j)</w:t>
      </w:r>
      <w:r w:rsidRPr="006D1425">
        <w:t xml:space="preserve"> a výnosu záloh a daně podle odstavce 1 písm. i),</w:t>
      </w:r>
    </w:p>
    <w:p w14:paraId="5911DC60" w14:textId="77777777" w:rsidR="00696527" w:rsidRPr="00CC3DC3" w:rsidRDefault="00696527" w:rsidP="00696527">
      <w:pPr>
        <w:spacing w:before="0"/>
        <w:ind w:left="425" w:hanging="425"/>
        <w:outlineLvl w:val="7"/>
      </w:pPr>
      <w:r w:rsidRPr="006D1425">
        <w:t>c)</w:t>
      </w:r>
      <w:r w:rsidRPr="006D1425">
        <w:tab/>
        <w:t xml:space="preserve">procento, kterým se jednotlivé obce podílejí </w:t>
      </w:r>
      <w:r w:rsidRPr="00CC3DC3">
        <w:t>na části celostátního hrubého výnosu daně podle odstavce 1 písm. h), stanovené v závislosti na poměru počtu zaměstnanců v obci, vykázanému v příloze k vyúčtování daně z příjmů ze závislé činnosti, k celkovému počtu zaměstnanců takto vykázaných v České republice, a to podle stavu k 1. prosinci bezprostředně předcházejícího kalendářního roku.</w:t>
      </w:r>
    </w:p>
    <w:p w14:paraId="1D4035D4" w14:textId="77777777" w:rsidR="00696527" w:rsidRPr="00CC3DC3" w:rsidRDefault="00696527" w:rsidP="00696527">
      <w:pPr>
        <w:pStyle w:val="Paragraf"/>
        <w:numPr>
          <w:ilvl w:val="0"/>
          <w:numId w:val="29"/>
        </w:numPr>
      </w:pPr>
      <w:r w:rsidRPr="00CC3DC3">
        <w:t>***</w:t>
      </w:r>
    </w:p>
    <w:p w14:paraId="435DCF85" w14:textId="77777777" w:rsidR="00696527" w:rsidRPr="00CC3DC3" w:rsidRDefault="00696527" w:rsidP="00696527">
      <w:pPr>
        <w:autoSpaceDE w:val="0"/>
        <w:autoSpaceDN w:val="0"/>
        <w:adjustRightInd w:val="0"/>
        <w:spacing w:after="120"/>
        <w:ind w:firstLine="0"/>
        <w:jc w:val="center"/>
        <w:rPr>
          <w:b/>
          <w:bCs/>
          <w:szCs w:val="24"/>
        </w:rPr>
      </w:pPr>
      <w:r w:rsidRPr="00CC3DC3">
        <w:rPr>
          <w:b/>
          <w:bCs/>
          <w:szCs w:val="24"/>
        </w:rPr>
        <w:t xml:space="preserve">Příloha 1 </w:t>
      </w:r>
    </w:p>
    <w:p w14:paraId="00EF026D" w14:textId="77777777" w:rsidR="00696527" w:rsidRDefault="00696527" w:rsidP="00696527">
      <w:pPr>
        <w:pStyle w:val="Nadpislnku"/>
        <w:spacing w:after="120"/>
      </w:pPr>
      <w:r w:rsidRPr="00CC3DC3">
        <w:t xml:space="preserve">Procenta, kterými se jednotlivé kraje podílejí na části celostátního hrubého výnosu daně podle § 3 odst. 1 písm. b) až f) </w:t>
      </w:r>
      <w:r w:rsidRPr="007D0159">
        <w:t xml:space="preserve">a h) </w:t>
      </w:r>
      <w:r w:rsidRPr="00CC3DC3">
        <w:t>a výnosu podle odstavce 1 písm. g)</w:t>
      </w:r>
      <w:r w:rsidRPr="00B37D60">
        <w:t xml:space="preserve"> </w:t>
      </w:r>
    </w:p>
    <w:p w14:paraId="6C3CD2A8" w14:textId="77777777" w:rsidR="00696527" w:rsidRPr="00B37D60" w:rsidRDefault="00696527" w:rsidP="00696527">
      <w:pPr>
        <w:autoSpaceDE w:val="0"/>
        <w:autoSpaceDN w:val="0"/>
        <w:adjustRightInd w:val="0"/>
        <w:jc w:val="center"/>
        <w:rPr>
          <w:bCs/>
          <w:szCs w:val="24"/>
        </w:rPr>
      </w:pPr>
    </w:p>
    <w:tbl>
      <w:tblPr>
        <w:tblW w:w="0" w:type="auto"/>
        <w:jc w:val="center"/>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2413"/>
        <w:gridCol w:w="1660"/>
      </w:tblGrid>
      <w:tr w:rsidR="00696527" w:rsidRPr="00B37D60" w14:paraId="4828B94E" w14:textId="77777777" w:rsidTr="003B6895">
        <w:trPr>
          <w:tblCellSpacing w:w="15" w:type="dxa"/>
          <w:jc w:val="center"/>
        </w:trPr>
        <w:tc>
          <w:tcPr>
            <w:tcW w:w="0" w:type="auto"/>
            <w:vAlign w:val="center"/>
            <w:hideMark/>
          </w:tcPr>
          <w:p w14:paraId="746A66AC" w14:textId="77777777" w:rsidR="00696527" w:rsidRPr="00B37D60" w:rsidRDefault="00696527" w:rsidP="003B6895">
            <w:pPr>
              <w:rPr>
                <w:szCs w:val="24"/>
              </w:rPr>
            </w:pPr>
            <w:r w:rsidRPr="00B37D60">
              <w:rPr>
                <w:szCs w:val="24"/>
              </w:rPr>
              <w:t>Kraj</w:t>
            </w:r>
          </w:p>
        </w:tc>
        <w:tc>
          <w:tcPr>
            <w:tcW w:w="0" w:type="auto"/>
            <w:vAlign w:val="center"/>
            <w:hideMark/>
          </w:tcPr>
          <w:p w14:paraId="30F1D297" w14:textId="77777777" w:rsidR="00696527" w:rsidRPr="00B37D60" w:rsidRDefault="00696527" w:rsidP="003B6895">
            <w:pPr>
              <w:rPr>
                <w:szCs w:val="24"/>
              </w:rPr>
            </w:pPr>
            <w:r w:rsidRPr="00B37D60">
              <w:rPr>
                <w:szCs w:val="24"/>
              </w:rPr>
              <w:t>Procento</w:t>
            </w:r>
          </w:p>
        </w:tc>
      </w:tr>
      <w:tr w:rsidR="00696527" w:rsidRPr="00B37D60" w14:paraId="1A0A8442" w14:textId="77777777" w:rsidTr="003B6895">
        <w:trPr>
          <w:tblCellSpacing w:w="15" w:type="dxa"/>
          <w:jc w:val="center"/>
        </w:trPr>
        <w:tc>
          <w:tcPr>
            <w:tcW w:w="0" w:type="auto"/>
            <w:vAlign w:val="center"/>
            <w:hideMark/>
          </w:tcPr>
          <w:p w14:paraId="5D59C5FE" w14:textId="77777777" w:rsidR="00696527" w:rsidRPr="00B37D60" w:rsidRDefault="00696527" w:rsidP="003B6895">
            <w:pPr>
              <w:rPr>
                <w:szCs w:val="24"/>
              </w:rPr>
            </w:pPr>
            <w:r w:rsidRPr="00B37D60">
              <w:rPr>
                <w:szCs w:val="24"/>
              </w:rPr>
              <w:t>Hlavní město Praha</w:t>
            </w:r>
          </w:p>
        </w:tc>
        <w:tc>
          <w:tcPr>
            <w:tcW w:w="0" w:type="auto"/>
            <w:vAlign w:val="center"/>
            <w:hideMark/>
          </w:tcPr>
          <w:p w14:paraId="580D8740" w14:textId="77777777" w:rsidR="00696527" w:rsidRPr="00B37D60" w:rsidRDefault="00696527" w:rsidP="003B6895">
            <w:pPr>
              <w:rPr>
                <w:szCs w:val="24"/>
              </w:rPr>
            </w:pPr>
            <w:r w:rsidRPr="00B37D60">
              <w:rPr>
                <w:szCs w:val="24"/>
              </w:rPr>
              <w:t>3,183684</w:t>
            </w:r>
          </w:p>
        </w:tc>
      </w:tr>
      <w:tr w:rsidR="00696527" w:rsidRPr="00B37D60" w14:paraId="4BC6C627" w14:textId="77777777" w:rsidTr="003B6895">
        <w:trPr>
          <w:tblCellSpacing w:w="15" w:type="dxa"/>
          <w:jc w:val="center"/>
        </w:trPr>
        <w:tc>
          <w:tcPr>
            <w:tcW w:w="0" w:type="auto"/>
            <w:vAlign w:val="center"/>
            <w:hideMark/>
          </w:tcPr>
          <w:p w14:paraId="2080A1EF" w14:textId="77777777" w:rsidR="00696527" w:rsidRPr="00B37D60" w:rsidRDefault="00696527" w:rsidP="003B6895">
            <w:pPr>
              <w:rPr>
                <w:szCs w:val="24"/>
              </w:rPr>
            </w:pPr>
            <w:r w:rsidRPr="00B37D60">
              <w:rPr>
                <w:szCs w:val="24"/>
              </w:rPr>
              <w:t>Středočeský</w:t>
            </w:r>
          </w:p>
        </w:tc>
        <w:tc>
          <w:tcPr>
            <w:tcW w:w="0" w:type="auto"/>
            <w:vAlign w:val="center"/>
            <w:hideMark/>
          </w:tcPr>
          <w:p w14:paraId="01D10C05" w14:textId="77777777" w:rsidR="00696527" w:rsidRPr="00B37D60" w:rsidRDefault="00696527" w:rsidP="003B6895">
            <w:pPr>
              <w:rPr>
                <w:szCs w:val="24"/>
              </w:rPr>
            </w:pPr>
            <w:r w:rsidRPr="00B37D60">
              <w:rPr>
                <w:szCs w:val="24"/>
              </w:rPr>
              <w:t>13,774311</w:t>
            </w:r>
          </w:p>
        </w:tc>
      </w:tr>
      <w:tr w:rsidR="00696527" w:rsidRPr="00B37D60" w14:paraId="72E71F9F" w14:textId="77777777" w:rsidTr="003B6895">
        <w:trPr>
          <w:tblCellSpacing w:w="15" w:type="dxa"/>
          <w:jc w:val="center"/>
        </w:trPr>
        <w:tc>
          <w:tcPr>
            <w:tcW w:w="0" w:type="auto"/>
            <w:vAlign w:val="center"/>
            <w:hideMark/>
          </w:tcPr>
          <w:p w14:paraId="23AC91B3" w14:textId="77777777" w:rsidR="00696527" w:rsidRPr="00B37D60" w:rsidRDefault="00696527" w:rsidP="003B6895">
            <w:pPr>
              <w:rPr>
                <w:szCs w:val="24"/>
              </w:rPr>
            </w:pPr>
            <w:r w:rsidRPr="00B37D60">
              <w:rPr>
                <w:szCs w:val="24"/>
              </w:rPr>
              <w:t>Jihočeský</w:t>
            </w:r>
          </w:p>
        </w:tc>
        <w:tc>
          <w:tcPr>
            <w:tcW w:w="0" w:type="auto"/>
            <w:vAlign w:val="center"/>
            <w:hideMark/>
          </w:tcPr>
          <w:p w14:paraId="2E5E4E1B" w14:textId="77777777" w:rsidR="00696527" w:rsidRPr="00B37D60" w:rsidRDefault="00696527" w:rsidP="003B6895">
            <w:pPr>
              <w:rPr>
                <w:szCs w:val="24"/>
              </w:rPr>
            </w:pPr>
            <w:r w:rsidRPr="00B37D60">
              <w:rPr>
                <w:szCs w:val="24"/>
              </w:rPr>
              <w:t>8,607201</w:t>
            </w:r>
          </w:p>
        </w:tc>
      </w:tr>
      <w:tr w:rsidR="00696527" w:rsidRPr="00B37D60" w14:paraId="5B9FEA02" w14:textId="77777777" w:rsidTr="003B6895">
        <w:trPr>
          <w:tblCellSpacing w:w="15" w:type="dxa"/>
          <w:jc w:val="center"/>
        </w:trPr>
        <w:tc>
          <w:tcPr>
            <w:tcW w:w="0" w:type="auto"/>
            <w:vAlign w:val="center"/>
            <w:hideMark/>
          </w:tcPr>
          <w:p w14:paraId="27B51159" w14:textId="77777777" w:rsidR="00696527" w:rsidRPr="00B37D60" w:rsidRDefault="00696527" w:rsidP="003B6895">
            <w:pPr>
              <w:rPr>
                <w:szCs w:val="24"/>
              </w:rPr>
            </w:pPr>
            <w:r w:rsidRPr="00B37D60">
              <w:rPr>
                <w:szCs w:val="24"/>
              </w:rPr>
              <w:t>Plzeňský</w:t>
            </w:r>
          </w:p>
        </w:tc>
        <w:tc>
          <w:tcPr>
            <w:tcW w:w="0" w:type="auto"/>
            <w:vAlign w:val="center"/>
            <w:hideMark/>
          </w:tcPr>
          <w:p w14:paraId="68673D19" w14:textId="77777777" w:rsidR="00696527" w:rsidRPr="00B37D60" w:rsidRDefault="00696527" w:rsidP="003B6895">
            <w:pPr>
              <w:rPr>
                <w:szCs w:val="24"/>
              </w:rPr>
            </w:pPr>
            <w:r w:rsidRPr="00B37D60">
              <w:rPr>
                <w:szCs w:val="24"/>
              </w:rPr>
              <w:t>7,248716</w:t>
            </w:r>
          </w:p>
        </w:tc>
      </w:tr>
      <w:tr w:rsidR="00696527" w:rsidRPr="00B37D60" w14:paraId="39CC01B1" w14:textId="77777777" w:rsidTr="003B6895">
        <w:trPr>
          <w:tblCellSpacing w:w="15" w:type="dxa"/>
          <w:jc w:val="center"/>
        </w:trPr>
        <w:tc>
          <w:tcPr>
            <w:tcW w:w="0" w:type="auto"/>
            <w:vAlign w:val="center"/>
            <w:hideMark/>
          </w:tcPr>
          <w:p w14:paraId="20E12738" w14:textId="77777777" w:rsidR="00696527" w:rsidRPr="00B37D60" w:rsidRDefault="00696527" w:rsidP="003B6895">
            <w:pPr>
              <w:rPr>
                <w:szCs w:val="24"/>
              </w:rPr>
            </w:pPr>
            <w:r w:rsidRPr="00B37D60">
              <w:rPr>
                <w:szCs w:val="24"/>
              </w:rPr>
              <w:t>Karlovarský</w:t>
            </w:r>
          </w:p>
        </w:tc>
        <w:tc>
          <w:tcPr>
            <w:tcW w:w="0" w:type="auto"/>
            <w:vAlign w:val="center"/>
            <w:hideMark/>
          </w:tcPr>
          <w:p w14:paraId="78AA56AC" w14:textId="77777777" w:rsidR="00696527" w:rsidRPr="00B37D60" w:rsidRDefault="00696527" w:rsidP="003B6895">
            <w:pPr>
              <w:rPr>
                <w:szCs w:val="24"/>
              </w:rPr>
            </w:pPr>
            <w:r w:rsidRPr="00B37D60">
              <w:rPr>
                <w:szCs w:val="24"/>
              </w:rPr>
              <w:t>3,772990</w:t>
            </w:r>
          </w:p>
        </w:tc>
      </w:tr>
      <w:tr w:rsidR="00696527" w:rsidRPr="00B37D60" w14:paraId="623CB4D1" w14:textId="77777777" w:rsidTr="003B6895">
        <w:trPr>
          <w:tblCellSpacing w:w="15" w:type="dxa"/>
          <w:jc w:val="center"/>
        </w:trPr>
        <w:tc>
          <w:tcPr>
            <w:tcW w:w="0" w:type="auto"/>
            <w:vAlign w:val="center"/>
            <w:hideMark/>
          </w:tcPr>
          <w:p w14:paraId="6269AADB" w14:textId="77777777" w:rsidR="00696527" w:rsidRPr="00B37D60" w:rsidRDefault="00696527" w:rsidP="003B6895">
            <w:pPr>
              <w:rPr>
                <w:szCs w:val="24"/>
              </w:rPr>
            </w:pPr>
            <w:r w:rsidRPr="00B37D60">
              <w:rPr>
                <w:szCs w:val="24"/>
              </w:rPr>
              <w:t>Ústecký</w:t>
            </w:r>
          </w:p>
        </w:tc>
        <w:tc>
          <w:tcPr>
            <w:tcW w:w="0" w:type="auto"/>
            <w:vAlign w:val="center"/>
            <w:hideMark/>
          </w:tcPr>
          <w:p w14:paraId="0ACC7F4F" w14:textId="77777777" w:rsidR="00696527" w:rsidRPr="00B37D60" w:rsidRDefault="00696527" w:rsidP="003B6895">
            <w:pPr>
              <w:rPr>
                <w:szCs w:val="24"/>
              </w:rPr>
            </w:pPr>
            <w:r w:rsidRPr="00B37D60">
              <w:rPr>
                <w:szCs w:val="24"/>
              </w:rPr>
              <w:t>8,242502</w:t>
            </w:r>
          </w:p>
        </w:tc>
      </w:tr>
      <w:tr w:rsidR="00696527" w:rsidRPr="00B37D60" w14:paraId="5126BA29" w14:textId="77777777" w:rsidTr="003B6895">
        <w:trPr>
          <w:tblCellSpacing w:w="15" w:type="dxa"/>
          <w:jc w:val="center"/>
        </w:trPr>
        <w:tc>
          <w:tcPr>
            <w:tcW w:w="0" w:type="auto"/>
            <w:vAlign w:val="center"/>
            <w:hideMark/>
          </w:tcPr>
          <w:p w14:paraId="4DF19BD4" w14:textId="77777777" w:rsidR="00696527" w:rsidRPr="00B37D60" w:rsidRDefault="00696527" w:rsidP="003B6895">
            <w:pPr>
              <w:rPr>
                <w:szCs w:val="24"/>
              </w:rPr>
            </w:pPr>
            <w:r w:rsidRPr="00B37D60">
              <w:rPr>
                <w:szCs w:val="24"/>
              </w:rPr>
              <w:t>Liberecký</w:t>
            </w:r>
          </w:p>
        </w:tc>
        <w:tc>
          <w:tcPr>
            <w:tcW w:w="0" w:type="auto"/>
            <w:vAlign w:val="center"/>
            <w:hideMark/>
          </w:tcPr>
          <w:p w14:paraId="48F3EF0E" w14:textId="77777777" w:rsidR="00696527" w:rsidRPr="00B37D60" w:rsidRDefault="00696527" w:rsidP="003B6895">
            <w:pPr>
              <w:rPr>
                <w:szCs w:val="24"/>
              </w:rPr>
            </w:pPr>
            <w:r w:rsidRPr="00B37D60">
              <w:rPr>
                <w:szCs w:val="24"/>
              </w:rPr>
              <w:t>4,681207</w:t>
            </w:r>
          </w:p>
        </w:tc>
      </w:tr>
      <w:tr w:rsidR="00696527" w:rsidRPr="00B37D60" w14:paraId="6F1A1164" w14:textId="77777777" w:rsidTr="003B6895">
        <w:trPr>
          <w:tblCellSpacing w:w="15" w:type="dxa"/>
          <w:jc w:val="center"/>
        </w:trPr>
        <w:tc>
          <w:tcPr>
            <w:tcW w:w="0" w:type="auto"/>
            <w:vAlign w:val="center"/>
            <w:hideMark/>
          </w:tcPr>
          <w:p w14:paraId="55C09B13" w14:textId="77777777" w:rsidR="00696527" w:rsidRPr="00B37D60" w:rsidRDefault="00696527" w:rsidP="003B6895">
            <w:pPr>
              <w:rPr>
                <w:szCs w:val="24"/>
              </w:rPr>
            </w:pPr>
            <w:r w:rsidRPr="00B37D60">
              <w:rPr>
                <w:szCs w:val="24"/>
              </w:rPr>
              <w:lastRenderedPageBreak/>
              <w:t>Královéhradecký</w:t>
            </w:r>
          </w:p>
        </w:tc>
        <w:tc>
          <w:tcPr>
            <w:tcW w:w="0" w:type="auto"/>
            <w:vAlign w:val="center"/>
            <w:hideMark/>
          </w:tcPr>
          <w:p w14:paraId="5909FC1F" w14:textId="77777777" w:rsidR="00696527" w:rsidRPr="00B37D60" w:rsidRDefault="00696527" w:rsidP="003B6895">
            <w:pPr>
              <w:rPr>
                <w:szCs w:val="24"/>
              </w:rPr>
            </w:pPr>
            <w:r w:rsidRPr="00B37D60">
              <w:rPr>
                <w:szCs w:val="24"/>
              </w:rPr>
              <w:t>6,442233</w:t>
            </w:r>
          </w:p>
        </w:tc>
      </w:tr>
      <w:tr w:rsidR="00696527" w:rsidRPr="00B37D60" w14:paraId="4DD9D3E2" w14:textId="77777777" w:rsidTr="003B6895">
        <w:trPr>
          <w:tblCellSpacing w:w="15" w:type="dxa"/>
          <w:jc w:val="center"/>
        </w:trPr>
        <w:tc>
          <w:tcPr>
            <w:tcW w:w="0" w:type="auto"/>
            <w:vAlign w:val="center"/>
            <w:hideMark/>
          </w:tcPr>
          <w:p w14:paraId="561A2B41" w14:textId="77777777" w:rsidR="00696527" w:rsidRPr="00B37D60" w:rsidRDefault="00696527" w:rsidP="003B6895">
            <w:pPr>
              <w:rPr>
                <w:szCs w:val="24"/>
              </w:rPr>
            </w:pPr>
            <w:r w:rsidRPr="00B37D60">
              <w:rPr>
                <w:szCs w:val="24"/>
              </w:rPr>
              <w:t>Pardubický</w:t>
            </w:r>
          </w:p>
        </w:tc>
        <w:tc>
          <w:tcPr>
            <w:tcW w:w="0" w:type="auto"/>
            <w:vAlign w:val="center"/>
            <w:hideMark/>
          </w:tcPr>
          <w:p w14:paraId="44FA3541" w14:textId="77777777" w:rsidR="00696527" w:rsidRPr="00B37D60" w:rsidRDefault="00696527" w:rsidP="003B6895">
            <w:pPr>
              <w:rPr>
                <w:szCs w:val="24"/>
              </w:rPr>
            </w:pPr>
            <w:r w:rsidRPr="00B37D60">
              <w:rPr>
                <w:szCs w:val="24"/>
              </w:rPr>
              <w:t>5,555168</w:t>
            </w:r>
          </w:p>
        </w:tc>
      </w:tr>
      <w:tr w:rsidR="00696527" w:rsidRPr="00B37D60" w14:paraId="1AF5F980" w14:textId="77777777" w:rsidTr="003B6895">
        <w:trPr>
          <w:tblCellSpacing w:w="15" w:type="dxa"/>
          <w:jc w:val="center"/>
        </w:trPr>
        <w:tc>
          <w:tcPr>
            <w:tcW w:w="0" w:type="auto"/>
            <w:vAlign w:val="center"/>
            <w:hideMark/>
          </w:tcPr>
          <w:p w14:paraId="38A253B4" w14:textId="77777777" w:rsidR="00696527" w:rsidRPr="00B37D60" w:rsidRDefault="00696527" w:rsidP="003B6895">
            <w:pPr>
              <w:rPr>
                <w:szCs w:val="24"/>
              </w:rPr>
            </w:pPr>
            <w:r w:rsidRPr="00B37D60">
              <w:rPr>
                <w:szCs w:val="24"/>
              </w:rPr>
              <w:t>Vysočina</w:t>
            </w:r>
          </w:p>
        </w:tc>
        <w:tc>
          <w:tcPr>
            <w:tcW w:w="0" w:type="auto"/>
            <w:vAlign w:val="center"/>
            <w:hideMark/>
          </w:tcPr>
          <w:p w14:paraId="4671E89F" w14:textId="77777777" w:rsidR="00696527" w:rsidRPr="00B37D60" w:rsidRDefault="00696527" w:rsidP="003B6895">
            <w:pPr>
              <w:rPr>
                <w:szCs w:val="24"/>
              </w:rPr>
            </w:pPr>
            <w:r w:rsidRPr="00B37D60">
              <w:rPr>
                <w:szCs w:val="24"/>
              </w:rPr>
              <w:t>7,338590</w:t>
            </w:r>
          </w:p>
        </w:tc>
      </w:tr>
      <w:tr w:rsidR="00696527" w:rsidRPr="00B37D60" w14:paraId="5649A227" w14:textId="77777777" w:rsidTr="003B6895">
        <w:trPr>
          <w:tblCellSpacing w:w="15" w:type="dxa"/>
          <w:jc w:val="center"/>
        </w:trPr>
        <w:tc>
          <w:tcPr>
            <w:tcW w:w="0" w:type="auto"/>
            <w:vAlign w:val="center"/>
            <w:hideMark/>
          </w:tcPr>
          <w:p w14:paraId="69715FE4" w14:textId="77777777" w:rsidR="00696527" w:rsidRPr="00B37D60" w:rsidRDefault="00696527" w:rsidP="003B6895">
            <w:pPr>
              <w:rPr>
                <w:szCs w:val="24"/>
              </w:rPr>
            </w:pPr>
            <w:r w:rsidRPr="00B37D60">
              <w:rPr>
                <w:szCs w:val="24"/>
              </w:rPr>
              <w:t>Jihomoravský</w:t>
            </w:r>
          </w:p>
        </w:tc>
        <w:tc>
          <w:tcPr>
            <w:tcW w:w="0" w:type="auto"/>
            <w:vAlign w:val="center"/>
            <w:hideMark/>
          </w:tcPr>
          <w:p w14:paraId="3D78971A" w14:textId="77777777" w:rsidR="00696527" w:rsidRPr="00B37D60" w:rsidRDefault="00696527" w:rsidP="003B6895">
            <w:pPr>
              <w:rPr>
                <w:szCs w:val="24"/>
              </w:rPr>
            </w:pPr>
            <w:r w:rsidRPr="00B37D60">
              <w:rPr>
                <w:szCs w:val="24"/>
              </w:rPr>
              <w:t>9,526055</w:t>
            </w:r>
          </w:p>
        </w:tc>
      </w:tr>
      <w:tr w:rsidR="00696527" w:rsidRPr="00B37D60" w14:paraId="769E2C50" w14:textId="77777777" w:rsidTr="003B6895">
        <w:trPr>
          <w:tblCellSpacing w:w="15" w:type="dxa"/>
          <w:jc w:val="center"/>
        </w:trPr>
        <w:tc>
          <w:tcPr>
            <w:tcW w:w="0" w:type="auto"/>
            <w:vAlign w:val="center"/>
            <w:hideMark/>
          </w:tcPr>
          <w:p w14:paraId="61DE869C" w14:textId="77777777" w:rsidR="00696527" w:rsidRPr="00B37D60" w:rsidRDefault="00696527" w:rsidP="003B6895">
            <w:pPr>
              <w:rPr>
                <w:szCs w:val="24"/>
              </w:rPr>
            </w:pPr>
            <w:r w:rsidRPr="00B37D60">
              <w:rPr>
                <w:szCs w:val="24"/>
              </w:rPr>
              <w:t>Olomoucký</w:t>
            </w:r>
          </w:p>
        </w:tc>
        <w:tc>
          <w:tcPr>
            <w:tcW w:w="0" w:type="auto"/>
            <w:vAlign w:val="center"/>
            <w:hideMark/>
          </w:tcPr>
          <w:p w14:paraId="30DF03B6" w14:textId="77777777" w:rsidR="00696527" w:rsidRPr="00B37D60" w:rsidRDefault="00696527" w:rsidP="003B6895">
            <w:pPr>
              <w:rPr>
                <w:szCs w:val="24"/>
              </w:rPr>
            </w:pPr>
            <w:r w:rsidRPr="00B37D60">
              <w:rPr>
                <w:szCs w:val="24"/>
              </w:rPr>
              <w:t>6,751705</w:t>
            </w:r>
          </w:p>
        </w:tc>
      </w:tr>
      <w:tr w:rsidR="00696527" w:rsidRPr="00B37D60" w14:paraId="35CE3998" w14:textId="77777777" w:rsidTr="003B6895">
        <w:trPr>
          <w:tblCellSpacing w:w="15" w:type="dxa"/>
          <w:jc w:val="center"/>
        </w:trPr>
        <w:tc>
          <w:tcPr>
            <w:tcW w:w="0" w:type="auto"/>
            <w:vAlign w:val="center"/>
            <w:hideMark/>
          </w:tcPr>
          <w:p w14:paraId="2D16F90B" w14:textId="77777777" w:rsidR="00696527" w:rsidRPr="00B37D60" w:rsidRDefault="00696527" w:rsidP="003B6895">
            <w:pPr>
              <w:rPr>
                <w:szCs w:val="24"/>
              </w:rPr>
            </w:pPr>
            <w:r w:rsidRPr="00B37D60">
              <w:rPr>
                <w:szCs w:val="24"/>
              </w:rPr>
              <w:t>Zlínský</w:t>
            </w:r>
          </w:p>
        </w:tc>
        <w:tc>
          <w:tcPr>
            <w:tcW w:w="0" w:type="auto"/>
            <w:vAlign w:val="center"/>
            <w:hideMark/>
          </w:tcPr>
          <w:p w14:paraId="655CD7C3" w14:textId="77777777" w:rsidR="00696527" w:rsidRPr="00B37D60" w:rsidRDefault="00696527" w:rsidP="003B6895">
            <w:pPr>
              <w:rPr>
                <w:szCs w:val="24"/>
              </w:rPr>
            </w:pPr>
            <w:r w:rsidRPr="00B37D60">
              <w:rPr>
                <w:szCs w:val="24"/>
              </w:rPr>
              <w:t>5,251503</w:t>
            </w:r>
          </w:p>
        </w:tc>
      </w:tr>
      <w:tr w:rsidR="00696527" w:rsidRPr="00B37D60" w14:paraId="51B3E03D" w14:textId="77777777" w:rsidTr="003B6895">
        <w:trPr>
          <w:tblCellSpacing w:w="15" w:type="dxa"/>
          <w:jc w:val="center"/>
        </w:trPr>
        <w:tc>
          <w:tcPr>
            <w:tcW w:w="0" w:type="auto"/>
            <w:vAlign w:val="center"/>
            <w:hideMark/>
          </w:tcPr>
          <w:p w14:paraId="43844952" w14:textId="77777777" w:rsidR="00696527" w:rsidRPr="00B37D60" w:rsidRDefault="00696527" w:rsidP="003B6895">
            <w:pPr>
              <w:rPr>
                <w:szCs w:val="24"/>
              </w:rPr>
            </w:pPr>
            <w:r w:rsidRPr="00B37D60">
              <w:rPr>
                <w:szCs w:val="24"/>
              </w:rPr>
              <w:t>Moravskoslezský</w:t>
            </w:r>
          </w:p>
        </w:tc>
        <w:tc>
          <w:tcPr>
            <w:tcW w:w="0" w:type="auto"/>
            <w:vAlign w:val="center"/>
            <w:hideMark/>
          </w:tcPr>
          <w:p w14:paraId="44FDA51B" w14:textId="77777777" w:rsidR="00696527" w:rsidRPr="00B37D60" w:rsidRDefault="00696527" w:rsidP="003B6895">
            <w:pPr>
              <w:rPr>
                <w:szCs w:val="24"/>
              </w:rPr>
            </w:pPr>
            <w:r w:rsidRPr="00B37D60">
              <w:rPr>
                <w:szCs w:val="24"/>
              </w:rPr>
              <w:t>9,624135</w:t>
            </w:r>
          </w:p>
        </w:tc>
      </w:tr>
      <w:tr w:rsidR="00696527" w:rsidRPr="00B37D60" w14:paraId="475C36DF" w14:textId="77777777" w:rsidTr="003B6895">
        <w:trPr>
          <w:tblCellSpacing w:w="15" w:type="dxa"/>
          <w:jc w:val="center"/>
        </w:trPr>
        <w:tc>
          <w:tcPr>
            <w:tcW w:w="0" w:type="auto"/>
            <w:vAlign w:val="center"/>
            <w:hideMark/>
          </w:tcPr>
          <w:p w14:paraId="7CAE5F6B" w14:textId="77777777" w:rsidR="00696527" w:rsidRPr="00B37D60" w:rsidRDefault="00696527" w:rsidP="003B6895">
            <w:pPr>
              <w:rPr>
                <w:szCs w:val="24"/>
              </w:rPr>
            </w:pPr>
            <w:r w:rsidRPr="00B37D60">
              <w:rPr>
                <w:szCs w:val="24"/>
              </w:rPr>
              <w:t>Úhrn</w:t>
            </w:r>
          </w:p>
        </w:tc>
        <w:tc>
          <w:tcPr>
            <w:tcW w:w="0" w:type="auto"/>
            <w:vAlign w:val="center"/>
            <w:hideMark/>
          </w:tcPr>
          <w:p w14:paraId="488F9537" w14:textId="77777777" w:rsidR="00696527" w:rsidRPr="00B37D60" w:rsidRDefault="00696527" w:rsidP="003B6895">
            <w:pPr>
              <w:rPr>
                <w:szCs w:val="24"/>
              </w:rPr>
            </w:pPr>
            <w:r w:rsidRPr="00B37D60">
              <w:rPr>
                <w:szCs w:val="24"/>
              </w:rPr>
              <w:t>100,000000</w:t>
            </w:r>
          </w:p>
        </w:tc>
      </w:tr>
    </w:tbl>
    <w:p w14:paraId="70FA307D" w14:textId="77777777" w:rsidR="00820A5B" w:rsidRDefault="00820A5B" w:rsidP="00CB5381">
      <w:pPr>
        <w:pStyle w:val="Textparagrafu"/>
        <w:tabs>
          <w:tab w:val="left" w:pos="406"/>
          <w:tab w:val="left" w:pos="840"/>
          <w:tab w:val="left" w:pos="868"/>
        </w:tabs>
        <w:spacing w:after="120"/>
        <w:ind w:firstLine="0"/>
        <w:sectPr w:rsidR="00820A5B" w:rsidSect="00554E2B">
          <w:footnotePr>
            <w:numStart w:val="3"/>
          </w:footnotePr>
          <w:endnotePr>
            <w:numFmt w:val="decimal"/>
          </w:endnotePr>
          <w:pgSz w:w="11906" w:h="16838"/>
          <w:pgMar w:top="1418" w:right="1418" w:bottom="1418" w:left="1418" w:header="709" w:footer="709" w:gutter="0"/>
          <w:cols w:space="708"/>
          <w:docGrid w:linePitch="360"/>
        </w:sectPr>
      </w:pPr>
    </w:p>
    <w:p w14:paraId="49230DCA" w14:textId="65AC9B22" w:rsidR="00820A5B" w:rsidRPr="00AA4F35" w:rsidRDefault="00820A5B" w:rsidP="00CC5D2E">
      <w:pPr>
        <w:tabs>
          <w:tab w:val="left" w:pos="851"/>
        </w:tabs>
        <w:spacing w:before="120" w:after="120"/>
        <w:ind w:firstLine="0"/>
        <w:jc w:val="center"/>
        <w:outlineLvl w:val="0"/>
        <w:rPr>
          <w:szCs w:val="24"/>
        </w:rPr>
      </w:pPr>
      <w:r w:rsidRPr="00AA4F35">
        <w:rPr>
          <w:b/>
          <w:szCs w:val="24"/>
        </w:rPr>
        <w:lastRenderedPageBreak/>
        <w:t xml:space="preserve">K části padesáté </w:t>
      </w:r>
      <w:r w:rsidR="00696527">
        <w:rPr>
          <w:b/>
          <w:szCs w:val="24"/>
        </w:rPr>
        <w:t>druhé</w:t>
      </w:r>
      <w:r w:rsidRPr="00AA4F35">
        <w:rPr>
          <w:b/>
          <w:szCs w:val="24"/>
        </w:rPr>
        <w:t xml:space="preserve"> návrhu zákona – </w:t>
      </w:r>
      <w:r w:rsidRPr="00AA4F35">
        <w:rPr>
          <w:szCs w:val="24"/>
        </w:rPr>
        <w:t>změna zákona</w:t>
      </w:r>
      <w:r w:rsidRPr="00AA4F35">
        <w:t xml:space="preserve"> </w:t>
      </w:r>
      <w:r w:rsidRPr="00AA4F35">
        <w:rPr>
          <w:szCs w:val="24"/>
        </w:rPr>
        <w:t>o podpoře regionálního rozvoje</w:t>
      </w:r>
    </w:p>
    <w:p w14:paraId="60D4EB40" w14:textId="4E8DC436" w:rsidR="00820A5B" w:rsidRPr="00AA4F35" w:rsidRDefault="00820A5B" w:rsidP="00820A5B">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AA4F35">
        <w:rPr>
          <w:b/>
          <w:szCs w:val="24"/>
        </w:rPr>
        <w:t>Platné znění</w:t>
      </w:r>
      <w:r w:rsidRPr="00AA4F35">
        <w:rPr>
          <w:szCs w:val="24"/>
        </w:rPr>
        <w:t xml:space="preserve"> zákona č.248/2000 Sb., o podpoře regionálního rozvoje</w:t>
      </w:r>
    </w:p>
    <w:p w14:paraId="6351F387" w14:textId="655DB29E" w:rsidR="00820A5B" w:rsidRPr="00AA4F35" w:rsidRDefault="00CC5D2E" w:rsidP="00820A5B">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AE4818">
        <w:rPr>
          <w:b/>
          <w:szCs w:val="24"/>
          <w:lang w:eastAsia="en-US"/>
        </w:rPr>
        <w:t>s vyznačením navrhovaných změn a doplnění k 1. lednu 2025</w:t>
      </w:r>
    </w:p>
    <w:p w14:paraId="2BF49038" w14:textId="77777777" w:rsidR="00820A5B" w:rsidRPr="00AA4F35" w:rsidRDefault="00820A5B" w:rsidP="00AA4F35">
      <w:pPr>
        <w:pStyle w:val="Textparagrafu"/>
        <w:tabs>
          <w:tab w:val="left" w:pos="406"/>
          <w:tab w:val="left" w:pos="840"/>
          <w:tab w:val="left" w:pos="868"/>
        </w:tabs>
        <w:spacing w:after="120"/>
        <w:ind w:firstLine="0"/>
        <w:jc w:val="center"/>
      </w:pPr>
      <w:r w:rsidRPr="00AA4F35">
        <w:t>***</w:t>
      </w:r>
    </w:p>
    <w:p w14:paraId="18ED05C0" w14:textId="77777777" w:rsidR="00AA4F35" w:rsidRPr="00B03BF2" w:rsidRDefault="00AA4F35" w:rsidP="00AA4F35">
      <w:pPr>
        <w:pStyle w:val="Textparagrafu"/>
        <w:tabs>
          <w:tab w:val="left" w:pos="392"/>
          <w:tab w:val="left" w:pos="840"/>
        </w:tabs>
        <w:spacing w:after="120"/>
        <w:ind w:firstLine="0"/>
        <w:jc w:val="center"/>
        <w:rPr>
          <w:strike/>
        </w:rPr>
      </w:pPr>
      <w:r w:rsidRPr="00B03BF2">
        <w:rPr>
          <w:strike/>
        </w:rPr>
        <w:t>§ 18f</w:t>
      </w:r>
    </w:p>
    <w:p w14:paraId="5802619A" w14:textId="77777777" w:rsidR="00AA4F35" w:rsidRPr="00B03BF2" w:rsidRDefault="00AA4F35" w:rsidP="00AA4F35">
      <w:pPr>
        <w:pStyle w:val="Textparagrafu"/>
        <w:tabs>
          <w:tab w:val="left" w:pos="392"/>
          <w:tab w:val="left" w:pos="840"/>
        </w:tabs>
        <w:spacing w:after="120"/>
        <w:ind w:firstLine="0"/>
        <w:jc w:val="center"/>
        <w:rPr>
          <w:b/>
          <w:strike/>
        </w:rPr>
      </w:pPr>
      <w:r w:rsidRPr="00B03BF2">
        <w:rPr>
          <w:b/>
          <w:strike/>
        </w:rPr>
        <w:t>Účetnictví a účetní závěrka</w:t>
      </w:r>
    </w:p>
    <w:p w14:paraId="6E673C64" w14:textId="2D0C03A0" w:rsidR="00AA4F35" w:rsidRPr="00B03BF2" w:rsidRDefault="00AA4F35" w:rsidP="00CC5D2E">
      <w:pPr>
        <w:pStyle w:val="Textparagrafu"/>
        <w:tabs>
          <w:tab w:val="left" w:pos="392"/>
          <w:tab w:val="left" w:pos="840"/>
        </w:tabs>
        <w:spacing w:before="120" w:after="120"/>
        <w:rPr>
          <w:strike/>
        </w:rPr>
      </w:pPr>
      <w:r w:rsidRPr="00B03BF2">
        <w:rPr>
          <w:strike/>
        </w:rPr>
        <w:t>(1) Seskupení je účetní jednotkou a vede účetnictví podle zvláštního právního předpisu</w:t>
      </w:r>
      <w:r w:rsidRPr="00B03BF2">
        <w:rPr>
          <w:rStyle w:val="Znakapoznpodarou"/>
          <w:strike/>
        </w:rPr>
        <w:footnoteReference w:customMarkFollows="1" w:id="362"/>
        <w:t>7c)</w:t>
      </w:r>
      <w:r w:rsidRPr="00B03BF2">
        <w:rPr>
          <w:strike/>
        </w:rPr>
        <w:t>.</w:t>
      </w:r>
    </w:p>
    <w:p w14:paraId="0984B44E" w14:textId="0B919D3E" w:rsidR="00AA4F35" w:rsidRDefault="00AA4F35" w:rsidP="00CC5D2E">
      <w:pPr>
        <w:pStyle w:val="Textparagrafu"/>
        <w:tabs>
          <w:tab w:val="left" w:pos="392"/>
          <w:tab w:val="left" w:pos="840"/>
        </w:tabs>
        <w:spacing w:before="120" w:after="120"/>
        <w:rPr>
          <w:strike/>
        </w:rPr>
      </w:pPr>
      <w:r w:rsidRPr="00B03BF2">
        <w:rPr>
          <w:strike/>
        </w:rPr>
        <w:t>(2) Seskupení zajistí ověření účetní závěrky auditorem</w:t>
      </w:r>
      <w:r w:rsidRPr="00B03BF2">
        <w:rPr>
          <w:rStyle w:val="Znakapoznpodarou"/>
          <w:strike/>
        </w:rPr>
        <w:footnoteReference w:customMarkFollows="1" w:id="363"/>
        <w:t>7d)</w:t>
      </w:r>
      <w:r w:rsidRPr="00B03BF2">
        <w:rPr>
          <w:strike/>
        </w:rPr>
        <w:t>.</w:t>
      </w:r>
    </w:p>
    <w:p w14:paraId="6F6E577F" w14:textId="77777777" w:rsidR="00B03BF2" w:rsidRPr="00B03BF2" w:rsidRDefault="00B03BF2" w:rsidP="00B03BF2">
      <w:pPr>
        <w:pStyle w:val="Textparagrafu"/>
        <w:tabs>
          <w:tab w:val="left" w:pos="392"/>
          <w:tab w:val="left" w:pos="840"/>
        </w:tabs>
        <w:spacing w:after="120"/>
        <w:ind w:firstLine="0"/>
        <w:jc w:val="center"/>
        <w:rPr>
          <w:b/>
        </w:rPr>
      </w:pPr>
      <w:r w:rsidRPr="00B03BF2">
        <w:rPr>
          <w:b/>
        </w:rPr>
        <w:t>§ 18f</w:t>
      </w:r>
    </w:p>
    <w:p w14:paraId="6C4A09FE" w14:textId="17466030" w:rsidR="00B03BF2" w:rsidRPr="00B03BF2" w:rsidRDefault="00B03BF2" w:rsidP="00B03BF2">
      <w:pPr>
        <w:pStyle w:val="Textparagrafu"/>
        <w:tabs>
          <w:tab w:val="left" w:pos="392"/>
          <w:tab w:val="left" w:pos="840"/>
        </w:tabs>
        <w:spacing w:after="120"/>
        <w:ind w:firstLine="0"/>
        <w:jc w:val="center"/>
        <w:rPr>
          <w:b/>
        </w:rPr>
      </w:pPr>
      <w:r w:rsidRPr="00B03BF2">
        <w:rPr>
          <w:b/>
        </w:rPr>
        <w:t>Účetnictví a účetní závěrka</w:t>
      </w:r>
    </w:p>
    <w:p w14:paraId="3097BCC1" w14:textId="77777777" w:rsidR="00B03BF2" w:rsidRPr="00FF3600" w:rsidRDefault="00B03BF2" w:rsidP="00CC5D2E">
      <w:pPr>
        <w:pStyle w:val="Textodstavce"/>
        <w:ind w:firstLine="425"/>
        <w:rPr>
          <w:b/>
        </w:rPr>
      </w:pPr>
      <w:r w:rsidRPr="00FF3600">
        <w:rPr>
          <w:b/>
        </w:rPr>
        <w:t>(1) Individuálním účetním obdobím seskupení je kalendářní rok.</w:t>
      </w:r>
    </w:p>
    <w:p w14:paraId="7330C237" w14:textId="2463EDD0" w:rsidR="00B03BF2" w:rsidRPr="00B03BF2" w:rsidRDefault="00B03BF2" w:rsidP="00CC5D2E">
      <w:pPr>
        <w:pStyle w:val="Textodstavce"/>
        <w:ind w:firstLine="425"/>
        <w:rPr>
          <w:b/>
        </w:rPr>
      </w:pPr>
      <w:r w:rsidRPr="00FF3600">
        <w:rPr>
          <w:b/>
        </w:rPr>
        <w:t xml:space="preserve">(2) Seskupení má povinnost auditu účetní závěrky. </w:t>
      </w:r>
    </w:p>
    <w:p w14:paraId="4305BE12" w14:textId="77777777" w:rsidR="00AA4F35" w:rsidRDefault="00AA4F35" w:rsidP="00AA4F35">
      <w:pPr>
        <w:pStyle w:val="Textparagrafu"/>
        <w:tabs>
          <w:tab w:val="left" w:pos="392"/>
          <w:tab w:val="left" w:pos="840"/>
        </w:tabs>
        <w:spacing w:after="120"/>
        <w:ind w:firstLine="0"/>
        <w:jc w:val="center"/>
      </w:pPr>
      <w:r w:rsidRPr="00620063">
        <w:t>§</w:t>
      </w:r>
      <w:r>
        <w:t xml:space="preserve"> </w:t>
      </w:r>
      <w:r w:rsidRPr="00620063">
        <w:t>18g</w:t>
      </w:r>
    </w:p>
    <w:p w14:paraId="4E59990C" w14:textId="77777777" w:rsidR="00AA4F35" w:rsidRPr="00AA4F35" w:rsidRDefault="00AA4F35" w:rsidP="00AA4F35">
      <w:pPr>
        <w:pStyle w:val="Textparagrafu"/>
        <w:tabs>
          <w:tab w:val="left" w:pos="392"/>
          <w:tab w:val="left" w:pos="840"/>
        </w:tabs>
        <w:spacing w:after="120"/>
        <w:ind w:firstLine="0"/>
        <w:jc w:val="center"/>
        <w:rPr>
          <w:b/>
        </w:rPr>
      </w:pPr>
      <w:r w:rsidRPr="00AA4F35">
        <w:rPr>
          <w:b/>
        </w:rPr>
        <w:t>Výroční zpráva</w:t>
      </w:r>
    </w:p>
    <w:p w14:paraId="5E513966" w14:textId="77777777" w:rsidR="00AA4F35" w:rsidRDefault="00AA4F35" w:rsidP="00CC5D2E">
      <w:pPr>
        <w:pStyle w:val="Textparagrafu"/>
        <w:tabs>
          <w:tab w:val="left" w:pos="392"/>
          <w:tab w:val="left" w:pos="840"/>
        </w:tabs>
        <w:spacing w:before="120" w:after="120"/>
      </w:pPr>
      <w:r w:rsidRPr="00620063">
        <w:t>(1)</w:t>
      </w:r>
      <w:r>
        <w:t xml:space="preserve"> </w:t>
      </w:r>
      <w:r w:rsidRPr="00620063">
        <w:t>Seskupení</w:t>
      </w:r>
      <w:r>
        <w:t xml:space="preserve"> </w:t>
      </w:r>
      <w:r w:rsidRPr="00620063">
        <w:t>vypracuje</w:t>
      </w:r>
      <w:r>
        <w:t xml:space="preserve"> </w:t>
      </w:r>
      <w:r w:rsidRPr="00620063">
        <w:t>za</w:t>
      </w:r>
      <w:r>
        <w:t xml:space="preserve"> </w:t>
      </w:r>
      <w:r w:rsidRPr="00620063">
        <w:t>každý</w:t>
      </w:r>
      <w:r>
        <w:t xml:space="preserve"> </w:t>
      </w:r>
      <w:r w:rsidRPr="00620063">
        <w:t>kalendářní</w:t>
      </w:r>
      <w:r>
        <w:t xml:space="preserve"> </w:t>
      </w:r>
      <w:r w:rsidRPr="00620063">
        <w:t>rok</w:t>
      </w:r>
      <w:r>
        <w:t xml:space="preserve"> </w:t>
      </w:r>
      <w:r w:rsidRPr="00620063">
        <w:t>své</w:t>
      </w:r>
      <w:r>
        <w:t xml:space="preserve"> </w:t>
      </w:r>
      <w:r w:rsidRPr="00620063">
        <w:t>činnosti</w:t>
      </w:r>
      <w:r>
        <w:t xml:space="preserve"> </w:t>
      </w:r>
      <w:r w:rsidRPr="00620063">
        <w:t>výroční</w:t>
      </w:r>
      <w:r>
        <w:t xml:space="preserve"> </w:t>
      </w:r>
      <w:r w:rsidRPr="00620063">
        <w:t>zprávu</w:t>
      </w:r>
      <w:r>
        <w:t xml:space="preserve"> </w:t>
      </w:r>
      <w:r w:rsidRPr="00620063">
        <w:t>a</w:t>
      </w:r>
      <w:r>
        <w:t xml:space="preserve"> </w:t>
      </w:r>
      <w:r w:rsidRPr="00620063">
        <w:t>předá</w:t>
      </w:r>
      <w:r>
        <w:t xml:space="preserve"> </w:t>
      </w:r>
      <w:r w:rsidRPr="00620063">
        <w:t>ji</w:t>
      </w:r>
      <w:r>
        <w:t xml:space="preserve"> </w:t>
      </w:r>
      <w:r w:rsidRPr="00620063">
        <w:t>Ministerstvu</w:t>
      </w:r>
      <w:r>
        <w:t xml:space="preserve"> </w:t>
      </w:r>
      <w:r w:rsidRPr="00620063">
        <w:t>nejpozději</w:t>
      </w:r>
      <w:r>
        <w:t xml:space="preserve"> </w:t>
      </w:r>
      <w:r w:rsidRPr="00620063">
        <w:t>do</w:t>
      </w:r>
      <w:r>
        <w:t xml:space="preserve"> </w:t>
      </w:r>
      <w:r w:rsidRPr="00620063">
        <w:t>15.</w:t>
      </w:r>
      <w:r>
        <w:t xml:space="preserve"> </w:t>
      </w:r>
      <w:r w:rsidRPr="00620063">
        <w:t>července</w:t>
      </w:r>
      <w:r>
        <w:t xml:space="preserve"> </w:t>
      </w:r>
      <w:r w:rsidRPr="00620063">
        <w:t>následujícího</w:t>
      </w:r>
      <w:r>
        <w:t xml:space="preserve"> </w:t>
      </w:r>
      <w:r w:rsidRPr="00620063">
        <w:t>roku.</w:t>
      </w:r>
      <w:r>
        <w:t xml:space="preserve"> </w:t>
      </w:r>
      <w:r w:rsidRPr="00620063">
        <w:t>Ministerstvo</w:t>
      </w:r>
      <w:r>
        <w:t xml:space="preserve"> </w:t>
      </w:r>
      <w:r w:rsidRPr="00620063">
        <w:t>zveřejní</w:t>
      </w:r>
      <w:r>
        <w:t xml:space="preserve"> </w:t>
      </w:r>
      <w:r w:rsidRPr="00620063">
        <w:t>výroční</w:t>
      </w:r>
      <w:r>
        <w:t xml:space="preserve"> </w:t>
      </w:r>
      <w:r w:rsidRPr="00620063">
        <w:t>zprávu</w:t>
      </w:r>
      <w:r>
        <w:t xml:space="preserve"> </w:t>
      </w:r>
      <w:r w:rsidRPr="00620063">
        <w:t>způsobem</w:t>
      </w:r>
      <w:r>
        <w:t xml:space="preserve"> </w:t>
      </w:r>
      <w:r w:rsidRPr="00620063">
        <w:t>umožňujícím</w:t>
      </w:r>
      <w:r>
        <w:t xml:space="preserve"> </w:t>
      </w:r>
      <w:r w:rsidRPr="00620063">
        <w:t>dálkový</w:t>
      </w:r>
      <w:r>
        <w:t xml:space="preserve"> </w:t>
      </w:r>
      <w:r w:rsidRPr="00620063">
        <w:t>přístup.</w:t>
      </w:r>
    </w:p>
    <w:p w14:paraId="6D13E84D" w14:textId="77777777" w:rsidR="00AA4F35" w:rsidRDefault="00AA4F35" w:rsidP="00CC5D2E">
      <w:pPr>
        <w:pStyle w:val="Textparagrafu"/>
        <w:tabs>
          <w:tab w:val="left" w:pos="392"/>
          <w:tab w:val="left" w:pos="840"/>
        </w:tabs>
        <w:spacing w:before="120" w:after="120"/>
      </w:pPr>
      <w:r w:rsidRPr="00620063">
        <w:t>(2)</w:t>
      </w:r>
      <w:r>
        <w:t xml:space="preserve"> </w:t>
      </w:r>
      <w:r w:rsidRPr="00620063">
        <w:t>Výroční</w:t>
      </w:r>
      <w:r>
        <w:t xml:space="preserve"> </w:t>
      </w:r>
      <w:r w:rsidRPr="00620063">
        <w:t>zpráva</w:t>
      </w:r>
      <w:r>
        <w:t xml:space="preserve"> </w:t>
      </w:r>
      <w:r w:rsidRPr="00620063">
        <w:t>obsahuje</w:t>
      </w:r>
    </w:p>
    <w:p w14:paraId="2FC3C18B" w14:textId="2816BF12" w:rsidR="00AA4F35" w:rsidRDefault="00AA4F35" w:rsidP="00696527">
      <w:pPr>
        <w:pStyle w:val="Textparagrafu"/>
        <w:tabs>
          <w:tab w:val="left" w:pos="392"/>
          <w:tab w:val="left" w:pos="840"/>
        </w:tabs>
        <w:spacing w:before="0"/>
        <w:ind w:left="426" w:hanging="426"/>
      </w:pPr>
      <w:r w:rsidRPr="00620063">
        <w:t>a)</w:t>
      </w:r>
      <w:r>
        <w:tab/>
      </w:r>
      <w:r w:rsidRPr="00620063">
        <w:t>přehled</w:t>
      </w:r>
      <w:r>
        <w:t xml:space="preserve"> </w:t>
      </w:r>
      <w:r w:rsidRPr="00620063">
        <w:t>činností</w:t>
      </w:r>
      <w:r>
        <w:t xml:space="preserve"> </w:t>
      </w:r>
      <w:r w:rsidRPr="00620063">
        <w:t>vykonávaných</w:t>
      </w:r>
      <w:r>
        <w:t xml:space="preserve"> </w:t>
      </w:r>
      <w:r w:rsidRPr="00620063">
        <w:t>v</w:t>
      </w:r>
      <w:r>
        <w:t xml:space="preserve"> </w:t>
      </w:r>
      <w:r w:rsidRPr="00620063">
        <w:t>kalendářním</w:t>
      </w:r>
      <w:r>
        <w:t xml:space="preserve"> </w:t>
      </w:r>
      <w:r w:rsidRPr="00620063">
        <w:t>roce</w:t>
      </w:r>
      <w:r>
        <w:t xml:space="preserve"> </w:t>
      </w:r>
      <w:r w:rsidRPr="00620063">
        <w:t>s</w:t>
      </w:r>
      <w:r>
        <w:t xml:space="preserve"> </w:t>
      </w:r>
      <w:r w:rsidRPr="00620063">
        <w:t>upřesněním</w:t>
      </w:r>
      <w:r>
        <w:t xml:space="preserve"> </w:t>
      </w:r>
      <w:r w:rsidRPr="00620063">
        <w:t>jejich</w:t>
      </w:r>
      <w:r>
        <w:t xml:space="preserve"> </w:t>
      </w:r>
      <w:r w:rsidRPr="00620063">
        <w:t>vztahu</w:t>
      </w:r>
      <w:r>
        <w:t xml:space="preserve"> </w:t>
      </w:r>
      <w:r w:rsidRPr="00620063">
        <w:t>k</w:t>
      </w:r>
      <w:r>
        <w:t xml:space="preserve"> </w:t>
      </w:r>
      <w:r w:rsidRPr="00620063">
        <w:t>cílům</w:t>
      </w:r>
      <w:r>
        <w:t xml:space="preserve"> </w:t>
      </w:r>
      <w:r w:rsidRPr="00620063">
        <w:t>a</w:t>
      </w:r>
      <w:r>
        <w:t xml:space="preserve"> </w:t>
      </w:r>
      <w:r w:rsidRPr="00620063">
        <w:t>úkolům</w:t>
      </w:r>
      <w:r>
        <w:t xml:space="preserve"> </w:t>
      </w:r>
      <w:r w:rsidRPr="00620063">
        <w:t>seskupení</w:t>
      </w:r>
      <w:r>
        <w:t xml:space="preserve"> </w:t>
      </w:r>
      <w:r w:rsidRPr="00620063">
        <w:t>uvedeným</w:t>
      </w:r>
      <w:r>
        <w:t xml:space="preserve"> </w:t>
      </w:r>
      <w:r w:rsidRPr="00620063">
        <w:t>v</w:t>
      </w:r>
      <w:r>
        <w:t xml:space="preserve"> </w:t>
      </w:r>
      <w:r w:rsidRPr="00620063">
        <w:t>úmluvě,</w:t>
      </w:r>
    </w:p>
    <w:p w14:paraId="03E4B6CF" w14:textId="59858952" w:rsidR="00AA4F35" w:rsidRDefault="00AA4F35" w:rsidP="00696527">
      <w:pPr>
        <w:pStyle w:val="Textparagrafu"/>
        <w:tabs>
          <w:tab w:val="left" w:pos="392"/>
          <w:tab w:val="left" w:pos="840"/>
        </w:tabs>
        <w:spacing w:before="0"/>
        <w:ind w:left="426" w:hanging="426"/>
      </w:pPr>
      <w:r w:rsidRPr="00620063">
        <w:t>b)</w:t>
      </w:r>
      <w:r>
        <w:tab/>
      </w:r>
      <w:r w:rsidRPr="00620063">
        <w:t>účetní</w:t>
      </w:r>
      <w:r>
        <w:t xml:space="preserve"> </w:t>
      </w:r>
      <w:r w:rsidRPr="00620063">
        <w:t>závěrku</w:t>
      </w:r>
      <w:r>
        <w:t xml:space="preserve"> </w:t>
      </w:r>
      <w:r w:rsidRPr="00620063">
        <w:t>a</w:t>
      </w:r>
      <w:r>
        <w:t xml:space="preserve"> </w:t>
      </w:r>
      <w:r w:rsidRPr="00620063">
        <w:t>zhodnocení</w:t>
      </w:r>
      <w:r>
        <w:t xml:space="preserve"> </w:t>
      </w:r>
      <w:r w:rsidRPr="00620063">
        <w:t>základních</w:t>
      </w:r>
      <w:r>
        <w:t xml:space="preserve"> </w:t>
      </w:r>
      <w:r w:rsidRPr="00620063">
        <w:t>údajů</w:t>
      </w:r>
      <w:r>
        <w:t xml:space="preserve"> </w:t>
      </w:r>
      <w:r w:rsidRPr="00620063">
        <w:t>v</w:t>
      </w:r>
      <w:r>
        <w:t xml:space="preserve"> </w:t>
      </w:r>
      <w:r w:rsidRPr="00620063">
        <w:t>ní</w:t>
      </w:r>
      <w:r>
        <w:t xml:space="preserve"> </w:t>
      </w:r>
      <w:r w:rsidRPr="00620063">
        <w:t>obsažených,</w:t>
      </w:r>
    </w:p>
    <w:p w14:paraId="7845D759" w14:textId="37C0FDBA" w:rsidR="00AA4F35" w:rsidRDefault="00AA4F35" w:rsidP="00696527">
      <w:pPr>
        <w:pStyle w:val="Textparagrafu"/>
        <w:tabs>
          <w:tab w:val="left" w:pos="392"/>
          <w:tab w:val="left" w:pos="840"/>
        </w:tabs>
        <w:spacing w:before="0"/>
        <w:ind w:left="426" w:hanging="426"/>
      </w:pPr>
      <w:r w:rsidRPr="00620063">
        <w:t>c)</w:t>
      </w:r>
      <w:r>
        <w:tab/>
      </w:r>
      <w:r w:rsidRPr="008838FC">
        <w:rPr>
          <w:strike/>
        </w:rPr>
        <w:t>změny</w:t>
      </w:r>
      <w:r>
        <w:t xml:space="preserve"> </w:t>
      </w:r>
      <w:r w:rsidR="008838FC">
        <w:rPr>
          <w:b/>
        </w:rPr>
        <w:t xml:space="preserve">přehled změn </w:t>
      </w:r>
      <w:r w:rsidRPr="00620063">
        <w:t>ve</w:t>
      </w:r>
      <w:r>
        <w:t xml:space="preserve"> </w:t>
      </w:r>
      <w:r w:rsidRPr="00620063">
        <w:t>složení</w:t>
      </w:r>
      <w:r>
        <w:t xml:space="preserve"> </w:t>
      </w:r>
      <w:r w:rsidRPr="00620063">
        <w:t>orgánů</w:t>
      </w:r>
      <w:r>
        <w:t xml:space="preserve"> </w:t>
      </w:r>
      <w:r w:rsidRPr="00620063">
        <w:t>seskupení,</w:t>
      </w:r>
      <w:r>
        <w:t xml:space="preserve"> </w:t>
      </w:r>
      <w:r w:rsidRPr="00620063">
        <w:t>ke</w:t>
      </w:r>
      <w:r>
        <w:t xml:space="preserve"> </w:t>
      </w:r>
      <w:r w:rsidRPr="00620063">
        <w:t>kterým</w:t>
      </w:r>
      <w:r>
        <w:t xml:space="preserve"> </w:t>
      </w:r>
      <w:r w:rsidRPr="00620063">
        <w:t>došlo</w:t>
      </w:r>
      <w:r>
        <w:t xml:space="preserve"> </w:t>
      </w:r>
      <w:r w:rsidRPr="00620063">
        <w:t>v</w:t>
      </w:r>
      <w:r>
        <w:t xml:space="preserve"> </w:t>
      </w:r>
      <w:r w:rsidRPr="00620063">
        <w:t>průběhu</w:t>
      </w:r>
      <w:r>
        <w:t xml:space="preserve"> </w:t>
      </w:r>
      <w:r w:rsidRPr="00620063">
        <w:t>roku,</w:t>
      </w:r>
      <w:r>
        <w:t xml:space="preserve"> </w:t>
      </w:r>
      <w:r w:rsidRPr="00620063">
        <w:t>a</w:t>
      </w:r>
    </w:p>
    <w:p w14:paraId="2A635B5B" w14:textId="01D2A76F" w:rsidR="00AA4F35" w:rsidRPr="008838FC" w:rsidRDefault="00AA4F35" w:rsidP="00696527">
      <w:pPr>
        <w:pStyle w:val="Textparagrafu"/>
        <w:tabs>
          <w:tab w:val="left" w:pos="392"/>
          <w:tab w:val="left" w:pos="840"/>
        </w:tabs>
        <w:spacing w:before="0"/>
        <w:ind w:left="426" w:hanging="426"/>
        <w:rPr>
          <w:strike/>
        </w:rPr>
      </w:pPr>
      <w:r w:rsidRPr="008838FC">
        <w:rPr>
          <w:strike/>
        </w:rPr>
        <w:t>d)</w:t>
      </w:r>
      <w:r w:rsidRPr="008838FC">
        <w:rPr>
          <w:strike/>
        </w:rPr>
        <w:tab/>
        <w:t>výrok auditora k účetní závěrce.</w:t>
      </w:r>
    </w:p>
    <w:p w14:paraId="096DFF28" w14:textId="533BDA8D" w:rsidR="008838FC" w:rsidRPr="008838FC" w:rsidRDefault="008838FC" w:rsidP="00696527">
      <w:pPr>
        <w:pStyle w:val="Textparagrafu"/>
        <w:tabs>
          <w:tab w:val="left" w:pos="392"/>
          <w:tab w:val="left" w:pos="840"/>
        </w:tabs>
        <w:spacing w:before="0"/>
        <w:ind w:left="426" w:hanging="426"/>
        <w:rPr>
          <w:b/>
        </w:rPr>
      </w:pPr>
      <w:r w:rsidRPr="008838FC">
        <w:rPr>
          <w:b/>
        </w:rPr>
        <w:t>d)</w:t>
      </w:r>
      <w:r w:rsidRPr="008838FC">
        <w:rPr>
          <w:b/>
        </w:rPr>
        <w:tab/>
        <w:t>zpráva auditora o povinném auditu.</w:t>
      </w:r>
    </w:p>
    <w:p w14:paraId="40B48CCC" w14:textId="77777777" w:rsidR="00AA4F35" w:rsidRPr="00620063" w:rsidRDefault="00AA4F35" w:rsidP="00CC5D2E">
      <w:pPr>
        <w:pStyle w:val="Textparagrafu"/>
        <w:tabs>
          <w:tab w:val="left" w:pos="392"/>
          <w:tab w:val="left" w:pos="840"/>
        </w:tabs>
        <w:spacing w:before="120" w:after="120"/>
      </w:pPr>
      <w:r w:rsidRPr="00620063">
        <w:t>(3)</w:t>
      </w:r>
      <w:r>
        <w:t xml:space="preserve"> </w:t>
      </w:r>
      <w:r w:rsidRPr="00620063">
        <w:t>Neobdrží-li</w:t>
      </w:r>
      <w:r>
        <w:t xml:space="preserve"> </w:t>
      </w:r>
      <w:r w:rsidRPr="00620063">
        <w:t>Ministerstvo</w:t>
      </w:r>
      <w:r>
        <w:t xml:space="preserve"> </w:t>
      </w:r>
      <w:r w:rsidRPr="00620063">
        <w:t>od</w:t>
      </w:r>
      <w:r>
        <w:t xml:space="preserve"> </w:t>
      </w:r>
      <w:r w:rsidRPr="00620063">
        <w:t>seskupení</w:t>
      </w:r>
      <w:r>
        <w:t xml:space="preserve"> </w:t>
      </w:r>
      <w:r w:rsidRPr="00620063">
        <w:t>výroční</w:t>
      </w:r>
      <w:r>
        <w:t xml:space="preserve"> </w:t>
      </w:r>
      <w:r w:rsidRPr="00620063">
        <w:t>zprávu</w:t>
      </w:r>
      <w:r>
        <w:t xml:space="preserve"> </w:t>
      </w:r>
      <w:r w:rsidRPr="00620063">
        <w:t>ve</w:t>
      </w:r>
      <w:r>
        <w:t xml:space="preserve"> </w:t>
      </w:r>
      <w:r w:rsidRPr="00620063">
        <w:t>lhůtě</w:t>
      </w:r>
      <w:r>
        <w:t xml:space="preserve"> </w:t>
      </w:r>
      <w:r w:rsidRPr="00620063">
        <w:t>podle</w:t>
      </w:r>
      <w:r>
        <w:t xml:space="preserve"> </w:t>
      </w:r>
      <w:r w:rsidRPr="00620063">
        <w:t>odstavce</w:t>
      </w:r>
      <w:r>
        <w:t xml:space="preserve"> </w:t>
      </w:r>
      <w:r w:rsidRPr="00620063">
        <w:t>1,</w:t>
      </w:r>
      <w:r>
        <w:t xml:space="preserve"> </w:t>
      </w:r>
      <w:r w:rsidRPr="00620063">
        <w:t>vyzve</w:t>
      </w:r>
      <w:r>
        <w:t xml:space="preserve"> </w:t>
      </w:r>
      <w:r w:rsidRPr="00620063">
        <w:t>seskupení,</w:t>
      </w:r>
      <w:r>
        <w:t xml:space="preserve"> </w:t>
      </w:r>
      <w:r w:rsidRPr="00620063">
        <w:t>aby</w:t>
      </w:r>
      <w:r>
        <w:t xml:space="preserve"> </w:t>
      </w:r>
      <w:r w:rsidRPr="00620063">
        <w:t>tak</w:t>
      </w:r>
      <w:r>
        <w:t xml:space="preserve"> </w:t>
      </w:r>
      <w:r w:rsidRPr="00620063">
        <w:t>učinilo</w:t>
      </w:r>
      <w:r>
        <w:t xml:space="preserve"> </w:t>
      </w:r>
      <w:r w:rsidRPr="00620063">
        <w:t>v</w:t>
      </w:r>
      <w:r>
        <w:t xml:space="preserve"> </w:t>
      </w:r>
      <w:r w:rsidRPr="00620063">
        <w:t>dodatečně</w:t>
      </w:r>
      <w:r>
        <w:t xml:space="preserve"> </w:t>
      </w:r>
      <w:r w:rsidRPr="00620063">
        <w:t>stanovené</w:t>
      </w:r>
      <w:r>
        <w:t xml:space="preserve"> </w:t>
      </w:r>
      <w:r w:rsidRPr="00620063">
        <w:t>lhůtě.</w:t>
      </w:r>
      <w:r>
        <w:t xml:space="preserve"> </w:t>
      </w:r>
      <w:r w:rsidRPr="00620063">
        <w:t>Po</w:t>
      </w:r>
      <w:r>
        <w:t xml:space="preserve"> </w:t>
      </w:r>
      <w:r w:rsidRPr="00620063">
        <w:t>jejím</w:t>
      </w:r>
      <w:r>
        <w:t xml:space="preserve"> </w:t>
      </w:r>
      <w:r w:rsidRPr="00620063">
        <w:t>marném</w:t>
      </w:r>
      <w:r>
        <w:t xml:space="preserve"> </w:t>
      </w:r>
      <w:r w:rsidRPr="00620063">
        <w:t>uplynutí</w:t>
      </w:r>
      <w:r>
        <w:t xml:space="preserve"> </w:t>
      </w:r>
      <w:r w:rsidRPr="00620063">
        <w:t>Ministerstvo</w:t>
      </w:r>
      <w:r>
        <w:t xml:space="preserve"> </w:t>
      </w:r>
      <w:r w:rsidRPr="00620063">
        <w:t>postupuje</w:t>
      </w:r>
      <w:r>
        <w:t xml:space="preserve"> </w:t>
      </w:r>
      <w:r w:rsidRPr="00620063">
        <w:t>podle</w:t>
      </w:r>
      <w:r>
        <w:t xml:space="preserve"> </w:t>
      </w:r>
      <w:r w:rsidRPr="00620063">
        <w:t>čl.</w:t>
      </w:r>
      <w:r>
        <w:t xml:space="preserve"> </w:t>
      </w:r>
      <w:r w:rsidRPr="00620063">
        <w:t>13</w:t>
      </w:r>
      <w:r>
        <w:t xml:space="preserve"> </w:t>
      </w:r>
      <w:r w:rsidRPr="00620063">
        <w:t>nařízení</w:t>
      </w:r>
      <w:r>
        <w:t xml:space="preserve"> </w:t>
      </w:r>
      <w:r w:rsidRPr="00620063">
        <w:t>o</w:t>
      </w:r>
      <w:r>
        <w:t xml:space="preserve"> </w:t>
      </w:r>
      <w:r w:rsidRPr="00620063">
        <w:t>evropském</w:t>
      </w:r>
      <w:r>
        <w:t xml:space="preserve"> </w:t>
      </w:r>
      <w:r w:rsidRPr="00620063">
        <w:t>seskupení.</w:t>
      </w:r>
      <w:r>
        <w:t xml:space="preserve"> </w:t>
      </w:r>
      <w:r w:rsidRPr="00620063">
        <w:t>Obdobně</w:t>
      </w:r>
      <w:r>
        <w:t xml:space="preserve"> </w:t>
      </w:r>
      <w:r w:rsidRPr="00620063">
        <w:t>postupuje</w:t>
      </w:r>
      <w:r>
        <w:t xml:space="preserve"> </w:t>
      </w:r>
      <w:r w:rsidRPr="00620063">
        <w:t>Ministerstvo</w:t>
      </w:r>
      <w:r>
        <w:t xml:space="preserve"> </w:t>
      </w:r>
      <w:r w:rsidRPr="00620063">
        <w:t>v</w:t>
      </w:r>
      <w:r>
        <w:t xml:space="preserve"> </w:t>
      </w:r>
      <w:r w:rsidRPr="00620063">
        <w:t>případě,</w:t>
      </w:r>
      <w:r>
        <w:t xml:space="preserve"> </w:t>
      </w:r>
      <w:r w:rsidRPr="00620063">
        <w:t>opravňují-li</w:t>
      </w:r>
      <w:r>
        <w:t xml:space="preserve"> </w:t>
      </w:r>
      <w:r w:rsidRPr="00620063">
        <w:t>ho</w:t>
      </w:r>
      <w:r>
        <w:t xml:space="preserve"> </w:t>
      </w:r>
      <w:r w:rsidRPr="00620063">
        <w:t>k</w:t>
      </w:r>
      <w:r>
        <w:t xml:space="preserve"> </w:t>
      </w:r>
      <w:r w:rsidRPr="00620063">
        <w:t>tomu</w:t>
      </w:r>
      <w:r>
        <w:t xml:space="preserve"> </w:t>
      </w:r>
      <w:r w:rsidRPr="00620063">
        <w:t>informace</w:t>
      </w:r>
      <w:r>
        <w:t xml:space="preserve"> </w:t>
      </w:r>
      <w:r w:rsidRPr="00620063">
        <w:t>o</w:t>
      </w:r>
      <w:r>
        <w:t xml:space="preserve"> </w:t>
      </w:r>
      <w:r w:rsidRPr="00620063">
        <w:t>činnosti</w:t>
      </w:r>
      <w:r>
        <w:t xml:space="preserve"> </w:t>
      </w:r>
      <w:r w:rsidRPr="00620063">
        <w:t>seskupení</w:t>
      </w:r>
      <w:r>
        <w:t xml:space="preserve"> </w:t>
      </w:r>
      <w:r w:rsidRPr="00620063">
        <w:t>uvedené</w:t>
      </w:r>
      <w:r>
        <w:t xml:space="preserve"> </w:t>
      </w:r>
      <w:r w:rsidRPr="00620063">
        <w:t>ve</w:t>
      </w:r>
      <w:r>
        <w:t xml:space="preserve"> </w:t>
      </w:r>
      <w:r w:rsidRPr="00620063">
        <w:t>výroční</w:t>
      </w:r>
      <w:r>
        <w:t xml:space="preserve"> </w:t>
      </w:r>
      <w:r w:rsidRPr="00620063">
        <w:t>zprávě.</w:t>
      </w:r>
    </w:p>
    <w:p w14:paraId="5A2855AB" w14:textId="77777777" w:rsidR="00820A5B" w:rsidRDefault="00820A5B" w:rsidP="00CB5381">
      <w:pPr>
        <w:pStyle w:val="Textparagrafu"/>
        <w:tabs>
          <w:tab w:val="left" w:pos="406"/>
          <w:tab w:val="left" w:pos="840"/>
          <w:tab w:val="left" w:pos="868"/>
        </w:tabs>
        <w:spacing w:after="120"/>
        <w:ind w:firstLine="0"/>
        <w:sectPr w:rsidR="00820A5B" w:rsidSect="00554E2B">
          <w:footnotePr>
            <w:numStart w:val="3"/>
          </w:footnotePr>
          <w:endnotePr>
            <w:numFmt w:val="decimal"/>
          </w:endnotePr>
          <w:pgSz w:w="11906" w:h="16838"/>
          <w:pgMar w:top="1418" w:right="1418" w:bottom="1418" w:left="1418" w:header="709" w:footer="709" w:gutter="0"/>
          <w:cols w:space="708"/>
          <w:docGrid w:linePitch="360"/>
        </w:sectPr>
      </w:pPr>
    </w:p>
    <w:p w14:paraId="586B5B42" w14:textId="40D9EE76" w:rsidR="00820A5B" w:rsidRPr="00696527" w:rsidRDefault="00820A5B" w:rsidP="00CC5D2E">
      <w:pPr>
        <w:tabs>
          <w:tab w:val="left" w:pos="851"/>
        </w:tabs>
        <w:spacing w:before="120" w:after="120"/>
        <w:ind w:firstLine="0"/>
        <w:jc w:val="center"/>
        <w:outlineLvl w:val="0"/>
        <w:rPr>
          <w:szCs w:val="24"/>
        </w:rPr>
      </w:pPr>
      <w:r w:rsidRPr="00696527">
        <w:rPr>
          <w:b/>
          <w:szCs w:val="24"/>
        </w:rPr>
        <w:lastRenderedPageBreak/>
        <w:t>K části padesáté</w:t>
      </w:r>
      <w:r w:rsidR="00696527" w:rsidRPr="00696527">
        <w:rPr>
          <w:b/>
          <w:szCs w:val="24"/>
        </w:rPr>
        <w:t xml:space="preserve"> třetí</w:t>
      </w:r>
      <w:r w:rsidRPr="00696527">
        <w:rPr>
          <w:b/>
          <w:szCs w:val="24"/>
        </w:rPr>
        <w:t xml:space="preserve"> návrhu zákona – </w:t>
      </w:r>
      <w:r w:rsidRPr="00696527">
        <w:rPr>
          <w:szCs w:val="24"/>
        </w:rPr>
        <w:t>změna zákona</w:t>
      </w:r>
      <w:r w:rsidRPr="00696527">
        <w:t xml:space="preserve"> </w:t>
      </w:r>
      <w:r w:rsidR="00CF7D27" w:rsidRPr="00696527">
        <w:rPr>
          <w:szCs w:val="24"/>
        </w:rPr>
        <w:t>o rozpočtových pravidlech územních rozpočtů</w:t>
      </w:r>
    </w:p>
    <w:p w14:paraId="2998E086" w14:textId="1F282721" w:rsidR="00820A5B" w:rsidRPr="00696527" w:rsidRDefault="00820A5B" w:rsidP="00CF7D27">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696527">
        <w:rPr>
          <w:b/>
          <w:szCs w:val="24"/>
        </w:rPr>
        <w:t>Platné znění</w:t>
      </w:r>
      <w:r w:rsidRPr="00696527">
        <w:rPr>
          <w:szCs w:val="24"/>
        </w:rPr>
        <w:t xml:space="preserve"> zákona č.2</w:t>
      </w:r>
      <w:r w:rsidR="00CF7D27" w:rsidRPr="00696527">
        <w:rPr>
          <w:szCs w:val="24"/>
        </w:rPr>
        <w:t>50</w:t>
      </w:r>
      <w:r w:rsidRPr="00696527">
        <w:rPr>
          <w:szCs w:val="24"/>
        </w:rPr>
        <w:t xml:space="preserve">/2000 Sb., </w:t>
      </w:r>
      <w:r w:rsidR="00CF7D27" w:rsidRPr="00696527">
        <w:rPr>
          <w:szCs w:val="24"/>
        </w:rPr>
        <w:t>o rozpočtových pravidlech územních rozpočtů</w:t>
      </w:r>
    </w:p>
    <w:p w14:paraId="68EA3D95" w14:textId="201BEAC9" w:rsidR="00820A5B" w:rsidRPr="00696527" w:rsidRDefault="00CC5D2E" w:rsidP="00820A5B">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AE4818">
        <w:rPr>
          <w:b/>
          <w:szCs w:val="24"/>
          <w:lang w:eastAsia="en-US"/>
        </w:rPr>
        <w:t>s vyznačením navrhovaných změn a doplnění k 1. lednu 2025</w:t>
      </w:r>
    </w:p>
    <w:p w14:paraId="05D5E903" w14:textId="77777777" w:rsidR="00820A5B" w:rsidRPr="00696527" w:rsidRDefault="00820A5B" w:rsidP="00820A5B">
      <w:pPr>
        <w:pStyle w:val="Textparagrafu"/>
        <w:tabs>
          <w:tab w:val="left" w:pos="406"/>
          <w:tab w:val="left" w:pos="840"/>
          <w:tab w:val="left" w:pos="868"/>
        </w:tabs>
        <w:spacing w:after="120"/>
        <w:ind w:firstLine="0"/>
        <w:jc w:val="center"/>
      </w:pPr>
      <w:r w:rsidRPr="00696527">
        <w:t>***</w:t>
      </w:r>
    </w:p>
    <w:p w14:paraId="6E426E95" w14:textId="77777777" w:rsidR="00696527" w:rsidRPr="001A22C0" w:rsidRDefault="00696527" w:rsidP="003B6895">
      <w:pPr>
        <w:keepNext/>
        <w:keepLines/>
        <w:numPr>
          <w:ilvl w:val="0"/>
          <w:numId w:val="29"/>
        </w:numPr>
        <w:spacing w:after="120"/>
        <w:jc w:val="center"/>
        <w:outlineLvl w:val="5"/>
      </w:pPr>
      <w:r w:rsidRPr="001A22C0">
        <w:t>§ 2</w:t>
      </w:r>
    </w:p>
    <w:p w14:paraId="059935CE" w14:textId="77777777" w:rsidR="00696527" w:rsidRPr="001A22C0" w:rsidRDefault="00696527" w:rsidP="003B6895">
      <w:pPr>
        <w:keepNext/>
        <w:keepLines/>
        <w:numPr>
          <w:ilvl w:val="0"/>
          <w:numId w:val="29"/>
        </w:numPr>
        <w:spacing w:after="120"/>
        <w:jc w:val="center"/>
        <w:outlineLvl w:val="5"/>
        <w:rPr>
          <w:b/>
        </w:rPr>
      </w:pPr>
      <w:r w:rsidRPr="001A22C0">
        <w:rPr>
          <w:b/>
        </w:rPr>
        <w:t>Nástroje finančního hospodaření</w:t>
      </w:r>
    </w:p>
    <w:p w14:paraId="61B1D40F" w14:textId="77777777" w:rsidR="00696527" w:rsidRPr="001A22C0" w:rsidRDefault="00696527" w:rsidP="00CC5D2E">
      <w:pPr>
        <w:tabs>
          <w:tab w:val="left" w:pos="851"/>
        </w:tabs>
        <w:spacing w:before="120" w:after="120"/>
        <w:outlineLvl w:val="6"/>
      </w:pPr>
      <w:r w:rsidRPr="001A22C0">
        <w:t>(1) Finanční hospodaření územních samosprávných celků a svazků obcí se řídí jejich ročním rozpočtem a střednědobým výhledem rozpočtu.</w:t>
      </w:r>
    </w:p>
    <w:p w14:paraId="7E213470" w14:textId="77777777" w:rsidR="00696527" w:rsidRPr="001A22C0" w:rsidRDefault="00696527" w:rsidP="00CC5D2E">
      <w:pPr>
        <w:tabs>
          <w:tab w:val="left" w:pos="851"/>
        </w:tabs>
        <w:spacing w:before="120" w:after="120"/>
        <w:outlineLvl w:val="6"/>
        <w:rPr>
          <w:strike/>
        </w:rPr>
      </w:pPr>
      <w:r w:rsidRPr="001A22C0">
        <w:rPr>
          <w:strike/>
        </w:rPr>
        <w:t xml:space="preserve">(2) Územní samosprávný celek a svazek obcí vede účetnictví podle zvláštního </w:t>
      </w:r>
      <w:proofErr w:type="gramStart"/>
      <w:r w:rsidRPr="001A22C0">
        <w:rPr>
          <w:strike/>
        </w:rPr>
        <w:t>zákona.</w:t>
      </w:r>
      <w:r w:rsidRPr="001A22C0">
        <w:rPr>
          <w:strike/>
          <w:vertAlign w:val="superscript"/>
        </w:rPr>
        <w:footnoteReference w:customMarkFollows="1" w:id="364"/>
        <w:t>4)</w:t>
      </w:r>
      <w:proofErr w:type="gramEnd"/>
    </w:p>
    <w:p w14:paraId="5AE5A997" w14:textId="77777777" w:rsidR="00696527" w:rsidRPr="001A22C0" w:rsidRDefault="00696527" w:rsidP="00CC5D2E">
      <w:pPr>
        <w:tabs>
          <w:tab w:val="left" w:pos="851"/>
        </w:tabs>
        <w:spacing w:before="120" w:after="120"/>
        <w:outlineLvl w:val="6"/>
      </w:pPr>
      <w:proofErr w:type="gramStart"/>
      <w:r w:rsidRPr="001A22C0">
        <w:rPr>
          <w:strike/>
        </w:rPr>
        <w:t>(3)</w:t>
      </w:r>
      <w:r w:rsidRPr="001A22C0">
        <w:rPr>
          <w:b/>
        </w:rPr>
        <w:t xml:space="preserve">(2) </w:t>
      </w:r>
      <w:r w:rsidRPr="001A22C0">
        <w:t>V rozpočtu</w:t>
      </w:r>
      <w:proofErr w:type="gramEnd"/>
      <w:r w:rsidRPr="001A22C0">
        <w:t xml:space="preserve"> územního samosprávného celku a v rozpočtu svazku obcí se uplatňuje jednotné třídění příjmů, výdajů a financujících položek rozpočtu (dále jen "rozpočtová skladba"). Rozpočtová skladba určuje hlediska, podle kterých se tyto příjmy, výdaje a financující položky třídí, a stanoví jednotky třídění u těchto hledisek. Rozpočtovou skladbu stanoví Ministerstvo financí vyhláškou.</w:t>
      </w:r>
    </w:p>
    <w:p w14:paraId="37A7FE44" w14:textId="77777777" w:rsidR="00696527" w:rsidRPr="001A22C0" w:rsidRDefault="00696527" w:rsidP="003B6895">
      <w:pPr>
        <w:keepNext/>
        <w:keepLines/>
        <w:numPr>
          <w:ilvl w:val="0"/>
          <w:numId w:val="29"/>
        </w:numPr>
        <w:spacing w:after="120"/>
        <w:jc w:val="center"/>
        <w:outlineLvl w:val="5"/>
      </w:pPr>
      <w:r w:rsidRPr="001A22C0">
        <w:t>§ 3</w:t>
      </w:r>
    </w:p>
    <w:p w14:paraId="42D24C92" w14:textId="77777777" w:rsidR="00696527" w:rsidRPr="001A22C0" w:rsidRDefault="00696527" w:rsidP="003B6895">
      <w:pPr>
        <w:keepNext/>
        <w:keepLines/>
        <w:numPr>
          <w:ilvl w:val="0"/>
          <w:numId w:val="29"/>
        </w:numPr>
        <w:spacing w:after="120"/>
        <w:jc w:val="center"/>
        <w:outlineLvl w:val="5"/>
        <w:rPr>
          <w:b/>
        </w:rPr>
      </w:pPr>
      <w:r w:rsidRPr="001A22C0">
        <w:rPr>
          <w:b/>
        </w:rPr>
        <w:t>Střednědobý výhled rozpočtu</w:t>
      </w:r>
    </w:p>
    <w:p w14:paraId="18D05D06" w14:textId="77777777" w:rsidR="00696527" w:rsidRPr="001A22C0" w:rsidRDefault="00696527" w:rsidP="00CC5D2E">
      <w:pPr>
        <w:tabs>
          <w:tab w:val="left" w:pos="851"/>
        </w:tabs>
        <w:spacing w:before="120" w:after="120"/>
        <w:outlineLvl w:val="6"/>
      </w:pPr>
      <w:r w:rsidRPr="001A22C0">
        <w:t>(1) Střednědobý výhled rozpočtu je nástrojem územního samosprávného celku a svazku obcí sloužícím pro střednědobé finanční plánování rozvoje jeho hospodářství. Sestavuje se na základě uzavřených smluvních vztahů a přijatých závazků zpravidla na 2 až 5 let následujících po roce, na který se sestavuje roční rozpočet (§ 4).</w:t>
      </w:r>
    </w:p>
    <w:p w14:paraId="0C8D7CCF" w14:textId="77777777" w:rsidR="00696527" w:rsidRPr="001A22C0" w:rsidRDefault="00696527" w:rsidP="00CC5D2E">
      <w:pPr>
        <w:tabs>
          <w:tab w:val="left" w:pos="851"/>
        </w:tabs>
        <w:spacing w:before="120" w:after="120"/>
        <w:outlineLvl w:val="6"/>
      </w:pPr>
      <w:r w:rsidRPr="001A22C0">
        <w:t xml:space="preserve">(2) Střednědobý výhled rozpočtu obsahuje souhrnné základní údaje o </w:t>
      </w:r>
      <w:r w:rsidRPr="001A22C0">
        <w:rPr>
          <w:b/>
        </w:rPr>
        <w:t xml:space="preserve">předpokládaných </w:t>
      </w:r>
      <w:r w:rsidRPr="001A22C0">
        <w:t>příjmech a výdajích, o dlouhodobých závazcích a pohledávkách, o finančních zdrojích a potřebách dlouhodobě realizovaných záměrů. U dlouhodobých závazků se uvedou jejich dopady na hospodaření územního samosprávného celku nebo svazku obcí po celou dobu trvání závazku.</w:t>
      </w:r>
    </w:p>
    <w:p w14:paraId="2AF9CB92" w14:textId="77777777" w:rsidR="00696527" w:rsidRPr="001A22C0" w:rsidRDefault="00696527" w:rsidP="00CC5D2E">
      <w:pPr>
        <w:tabs>
          <w:tab w:val="left" w:pos="851"/>
        </w:tabs>
        <w:spacing w:before="120" w:after="120"/>
        <w:outlineLvl w:val="6"/>
      </w:pPr>
      <w:r w:rsidRPr="001A22C0">
        <w:t xml:space="preserve">(3) Územní samosprávný celek zveřejní návrh střednědobého výhledu rozpočtu na svých internetových stránkách a na úřední desce nejméně 15 dnů přede dnem zahájení jeho projednávání na zasedání zastupitelstva územního samosprávného celku. Na internetových stránkách se zveřejňuje úplné znění návrhu. Na úřední desce může být návrh zveřejněn v užším rozsahu, který obsahuje alespoň údaje o příjmech a výdajích v jednotlivých letech a o dlouhodobých závazcích a pohledávkách. Územní samosprávný celek současně oznámí na úřední desce, kde je návrh střednědobého výhledu rozpočtu zveřejněn a kde je možno nahlédnout do jeho listinné podoby. Zveřejnění musí trvat až do zveřejnění střednědobého výhledu rozpočtu. Připomínky k návrhu střednědobého výhledu rozpočtu mohou občané </w:t>
      </w:r>
      <w:r w:rsidRPr="001A22C0">
        <w:lastRenderedPageBreak/>
        <w:t>územního samosprávného celku uplatnit písemně ve lhůtě stanovené při jeho zveřejnění nebo ústně při jeho projednávání na zasedání zastupitelstva.</w:t>
      </w:r>
    </w:p>
    <w:p w14:paraId="4C03669F" w14:textId="77777777" w:rsidR="00696527" w:rsidRPr="001A22C0" w:rsidRDefault="00696527" w:rsidP="00CC5D2E">
      <w:pPr>
        <w:tabs>
          <w:tab w:val="left" w:pos="851"/>
        </w:tabs>
        <w:spacing w:before="120" w:after="120"/>
        <w:outlineLvl w:val="6"/>
      </w:pPr>
      <w:r w:rsidRPr="001A22C0">
        <w:t>(4) Územní samosprávný celek zveřejní střednědobý výhled rozpočtu na svých internetových stránkách do 30 dnů ode dne jeho schválení a současně oznámí na úřední desce, kde je zveřejněn v elektronické podobě a kde je možno nahlédnout do jeho listinné podoby. Tímto způsobem musí být zveřejněn až do zveřejnění nového střednědobého výhledu rozpočtu.</w:t>
      </w:r>
    </w:p>
    <w:p w14:paraId="3984BFA6" w14:textId="77777777" w:rsidR="00696527" w:rsidRPr="001A22C0" w:rsidRDefault="00696527" w:rsidP="003B6895">
      <w:pPr>
        <w:keepNext/>
        <w:keepLines/>
        <w:spacing w:after="120"/>
        <w:ind w:firstLine="0"/>
        <w:jc w:val="center"/>
        <w:outlineLvl w:val="5"/>
      </w:pPr>
      <w:r w:rsidRPr="001A22C0">
        <w:t>§ 4</w:t>
      </w:r>
    </w:p>
    <w:p w14:paraId="34B90DA2" w14:textId="77777777" w:rsidR="00696527" w:rsidRPr="001A22C0" w:rsidRDefault="00696527" w:rsidP="003B6895">
      <w:pPr>
        <w:keepNext/>
        <w:keepLines/>
        <w:spacing w:after="120"/>
        <w:ind w:firstLine="0"/>
        <w:jc w:val="center"/>
        <w:outlineLvl w:val="5"/>
        <w:rPr>
          <w:b/>
        </w:rPr>
      </w:pPr>
      <w:r w:rsidRPr="001A22C0">
        <w:rPr>
          <w:b/>
        </w:rPr>
        <w:t>Rozpočet</w:t>
      </w:r>
    </w:p>
    <w:p w14:paraId="3A4CE0E2" w14:textId="77777777" w:rsidR="00696527" w:rsidRPr="001A22C0" w:rsidRDefault="00696527" w:rsidP="00CC5D2E">
      <w:pPr>
        <w:tabs>
          <w:tab w:val="left" w:pos="851"/>
        </w:tabs>
        <w:spacing w:before="120" w:after="120"/>
        <w:outlineLvl w:val="6"/>
      </w:pPr>
      <w:r w:rsidRPr="001A22C0">
        <w:t>(1) Rozpočet územního samosprávného celku a svazku obcí je finančním plánem, jímž se řídí financování činnosti územního samosprávného celku a svazku obcí.</w:t>
      </w:r>
    </w:p>
    <w:p w14:paraId="325C208F" w14:textId="77777777" w:rsidR="00696527" w:rsidRPr="001A22C0" w:rsidRDefault="00696527" w:rsidP="00CC5D2E">
      <w:pPr>
        <w:tabs>
          <w:tab w:val="left" w:pos="851"/>
        </w:tabs>
        <w:spacing w:before="120" w:after="120"/>
        <w:outlineLvl w:val="6"/>
      </w:pPr>
      <w:r w:rsidRPr="001A22C0">
        <w:t>(2) Rozpočtový rok je shodný s rokem kalendářním.</w:t>
      </w:r>
    </w:p>
    <w:p w14:paraId="1359DB5A" w14:textId="77777777" w:rsidR="00696527" w:rsidRPr="001A22C0" w:rsidRDefault="00696527" w:rsidP="00CC5D2E">
      <w:pPr>
        <w:tabs>
          <w:tab w:val="left" w:pos="851"/>
        </w:tabs>
        <w:spacing w:before="120" w:after="120"/>
        <w:outlineLvl w:val="6"/>
      </w:pPr>
      <w:r w:rsidRPr="001A22C0">
        <w:t>(3) Při zpracování ročního rozpočtu se vychází ze střednědobého výhledu rozpočtu.</w:t>
      </w:r>
    </w:p>
    <w:p w14:paraId="7940D785" w14:textId="77777777" w:rsidR="00696527" w:rsidRPr="001A22C0" w:rsidRDefault="00696527" w:rsidP="00CC5D2E">
      <w:pPr>
        <w:tabs>
          <w:tab w:val="left" w:pos="851"/>
        </w:tabs>
        <w:spacing w:before="120" w:after="120"/>
        <w:outlineLvl w:val="6"/>
      </w:pPr>
      <w:r w:rsidRPr="001A22C0">
        <w:t>(4) Rozpočet se sestavuje zpravidla jako vyrovnaný. Může být schválen jako přebytkový, jestliže některé příjmy daného roku jsou určeny k využití až v následujících letech nebo jsou-li určeny ke splácení jistiny úvěrů z předchozích let.</w:t>
      </w:r>
    </w:p>
    <w:p w14:paraId="479902A0" w14:textId="77777777" w:rsidR="00696527" w:rsidRPr="001A22C0" w:rsidRDefault="00696527" w:rsidP="00CC5D2E">
      <w:pPr>
        <w:tabs>
          <w:tab w:val="left" w:pos="851"/>
        </w:tabs>
        <w:spacing w:before="120" w:after="120"/>
        <w:outlineLvl w:val="6"/>
      </w:pPr>
      <w:r w:rsidRPr="001A22C0">
        <w:t>(5) Rozpočet může být schválen jako schodkový jen v případě, že schodek bude možné uhradit</w:t>
      </w:r>
    </w:p>
    <w:p w14:paraId="540690F6" w14:textId="77777777" w:rsidR="00696527" w:rsidRPr="001A22C0" w:rsidRDefault="00696527" w:rsidP="003B6895">
      <w:pPr>
        <w:spacing w:before="0"/>
        <w:ind w:left="425" w:hanging="425"/>
        <w:outlineLvl w:val="7"/>
      </w:pPr>
      <w:r w:rsidRPr="001A22C0">
        <w:t>a)</w:t>
      </w:r>
      <w:r w:rsidRPr="001A22C0">
        <w:tab/>
      </w:r>
      <w:r w:rsidRPr="001A22C0">
        <w:rPr>
          <w:strike/>
        </w:rPr>
        <w:t>finančními</w:t>
      </w:r>
      <w:r w:rsidRPr="001A22C0">
        <w:t xml:space="preserve"> </w:t>
      </w:r>
      <w:r w:rsidRPr="001A22C0">
        <w:rPr>
          <w:b/>
        </w:rPr>
        <w:t>peněžními</w:t>
      </w:r>
      <w:r w:rsidRPr="001A22C0">
        <w:t xml:space="preserve"> prostředky z minulých let, nebo</w:t>
      </w:r>
    </w:p>
    <w:p w14:paraId="1AF4093B" w14:textId="77777777" w:rsidR="00696527" w:rsidRPr="001A22C0" w:rsidRDefault="00696527" w:rsidP="003B6895">
      <w:pPr>
        <w:spacing w:before="0"/>
        <w:ind w:left="425" w:hanging="425"/>
        <w:outlineLvl w:val="7"/>
      </w:pPr>
      <w:r w:rsidRPr="001A22C0">
        <w:t>b)</w:t>
      </w:r>
      <w:r w:rsidRPr="001A22C0">
        <w:tab/>
        <w:t xml:space="preserve">smluvně zabezpečenou </w:t>
      </w:r>
      <w:r w:rsidRPr="001A22C0">
        <w:rPr>
          <w:strike/>
        </w:rPr>
        <w:t>půjčkou,</w:t>
      </w:r>
      <w:r w:rsidRPr="001A22C0">
        <w:rPr>
          <w:strike/>
          <w:vertAlign w:val="superscript"/>
        </w:rPr>
        <w:footnoteReference w:customMarkFollows="1" w:id="365"/>
        <w:t>5)</w:t>
      </w:r>
      <w:r w:rsidRPr="001A22C0">
        <w:rPr>
          <w:strike/>
        </w:rPr>
        <w:t xml:space="preserve"> </w:t>
      </w:r>
      <w:proofErr w:type="gramStart"/>
      <w:r w:rsidRPr="001A22C0">
        <w:rPr>
          <w:strike/>
        </w:rPr>
        <w:t>úvěrem,</w:t>
      </w:r>
      <w:r w:rsidRPr="001A22C0">
        <w:rPr>
          <w:strike/>
          <w:vertAlign w:val="superscript"/>
        </w:rPr>
        <w:footnoteReference w:customMarkFollows="1" w:id="366"/>
        <w:t>6)</w:t>
      </w:r>
      <w:r w:rsidRPr="001A22C0">
        <w:t xml:space="preserve"> </w:t>
      </w:r>
      <w:r w:rsidRPr="001A22C0">
        <w:rPr>
          <w:b/>
        </w:rPr>
        <w:t>zápůjčkou</w:t>
      </w:r>
      <w:proofErr w:type="gramEnd"/>
      <w:r w:rsidRPr="001A22C0">
        <w:rPr>
          <w:b/>
        </w:rPr>
        <w:t>, úvěrem,</w:t>
      </w:r>
      <w:r w:rsidRPr="001A22C0">
        <w:rPr>
          <w:color w:val="0070C0"/>
          <w:vertAlign w:val="superscript"/>
        </w:rPr>
        <w:t xml:space="preserve"> </w:t>
      </w:r>
      <w:r w:rsidRPr="001A22C0">
        <w:t>návratnou finanční výpomocí nebo příjmem z prodeje komunálních dluhopisů územního samosprávného celku (dále jen "návratné zdroje").</w:t>
      </w:r>
    </w:p>
    <w:p w14:paraId="1F12EA70" w14:textId="77777777" w:rsidR="00696527" w:rsidRPr="001A22C0" w:rsidRDefault="00696527" w:rsidP="00CC5D2E">
      <w:pPr>
        <w:tabs>
          <w:tab w:val="left" w:pos="782"/>
          <w:tab w:val="left" w:pos="851"/>
        </w:tabs>
        <w:spacing w:before="120" w:after="120"/>
        <w:outlineLvl w:val="6"/>
      </w:pPr>
      <w:r w:rsidRPr="001A22C0">
        <w:t xml:space="preserve">(6) Při uplatnění opatření podle zákona o pravidlech rozpočtové odpovědnosti může být rozpočet územního samosprávného celku schválen jako schodkový jen v případě, že schodek bude možné uhradit </w:t>
      </w:r>
      <w:r w:rsidRPr="001A22C0">
        <w:rPr>
          <w:strike/>
        </w:rPr>
        <w:t>finančními</w:t>
      </w:r>
      <w:r w:rsidRPr="001A22C0">
        <w:t xml:space="preserve"> </w:t>
      </w:r>
      <w:r w:rsidRPr="001A22C0">
        <w:rPr>
          <w:b/>
        </w:rPr>
        <w:t>peněžními</w:t>
      </w:r>
      <w:r w:rsidRPr="001A22C0">
        <w:t xml:space="preserve"> prostředky z minulých let nebo návratnou finanční výpomocí. Smluvně zabezpečenou </w:t>
      </w:r>
      <w:r w:rsidRPr="001A22C0">
        <w:rPr>
          <w:strike/>
        </w:rPr>
        <w:t>půjčkou</w:t>
      </w:r>
      <w:r w:rsidRPr="001A22C0">
        <w:rPr>
          <w:strike/>
          <w:vertAlign w:val="superscript"/>
        </w:rPr>
        <w:t xml:space="preserve"> 5)</w:t>
      </w:r>
      <w:r w:rsidRPr="001A22C0">
        <w:t xml:space="preserve">, </w:t>
      </w:r>
      <w:r w:rsidRPr="001A22C0">
        <w:rPr>
          <w:strike/>
        </w:rPr>
        <w:t>úvěrem</w:t>
      </w:r>
      <w:r w:rsidRPr="001A22C0">
        <w:rPr>
          <w:strike/>
          <w:vertAlign w:val="superscript"/>
        </w:rPr>
        <w:t>6)</w:t>
      </w:r>
      <w:r w:rsidRPr="001A22C0">
        <w:t xml:space="preserve"> </w:t>
      </w:r>
      <w:r w:rsidRPr="001A22C0">
        <w:rPr>
          <w:b/>
        </w:rPr>
        <w:t>zápůjčkou, úvěrem</w:t>
      </w:r>
      <w:r w:rsidRPr="001A22C0">
        <w:rPr>
          <w:color w:val="0070C0"/>
          <w:vertAlign w:val="superscript"/>
        </w:rPr>
        <w:t xml:space="preserve"> </w:t>
      </w:r>
      <w:r w:rsidRPr="001A22C0">
        <w:t>nebo příjmem z prodeje komunálních dluhopisů územního samosprávného celku je možné uhradit pouze schodek vzniklý z důvodu předfinancování projektů spolufinancovaných z rozpočtu Evropské unie.</w:t>
      </w:r>
    </w:p>
    <w:p w14:paraId="33B88189" w14:textId="77777777" w:rsidR="00696527" w:rsidRPr="001A22C0" w:rsidRDefault="00696527" w:rsidP="00CC5D2E">
      <w:pPr>
        <w:tabs>
          <w:tab w:val="left" w:pos="782"/>
          <w:tab w:val="left" w:pos="851"/>
        </w:tabs>
        <w:spacing w:before="120" w:after="120"/>
        <w:outlineLvl w:val="6"/>
      </w:pPr>
      <w:r w:rsidRPr="001A22C0">
        <w:t xml:space="preserve">(7) Kladný zůstatek </w:t>
      </w:r>
      <w:r w:rsidRPr="001A22C0">
        <w:rPr>
          <w:strike/>
        </w:rPr>
        <w:t>finančních</w:t>
      </w:r>
      <w:r w:rsidRPr="001A22C0">
        <w:t xml:space="preserve"> </w:t>
      </w:r>
      <w:r w:rsidRPr="001A22C0">
        <w:rPr>
          <w:b/>
        </w:rPr>
        <w:t xml:space="preserve">peněžních </w:t>
      </w:r>
      <w:r w:rsidRPr="001A22C0">
        <w:t>prostředků rozpočtového hospodaření běžného roku se převádí k použití v dalším roce, a to ke krytí rozpočtových výdajů, anebo se převádí do peněžních fondů (§ 5).</w:t>
      </w:r>
    </w:p>
    <w:p w14:paraId="484E3D1C" w14:textId="77777777" w:rsidR="00696527" w:rsidRPr="001A22C0" w:rsidRDefault="00696527" w:rsidP="00CC5D2E">
      <w:pPr>
        <w:tabs>
          <w:tab w:val="left" w:pos="782"/>
          <w:tab w:val="left" w:pos="851"/>
        </w:tabs>
        <w:spacing w:before="120" w:after="120"/>
        <w:outlineLvl w:val="6"/>
      </w:pPr>
      <w:r w:rsidRPr="001A22C0">
        <w:t xml:space="preserve">(8) Schodek hospodaření se uhrazuje z </w:t>
      </w:r>
      <w:r w:rsidRPr="001A22C0">
        <w:rPr>
          <w:strike/>
        </w:rPr>
        <w:t>finančních</w:t>
      </w:r>
      <w:r w:rsidRPr="001A22C0">
        <w:t xml:space="preserve"> </w:t>
      </w:r>
      <w:r w:rsidRPr="001A22C0">
        <w:rPr>
          <w:b/>
        </w:rPr>
        <w:t xml:space="preserve">peněžních </w:t>
      </w:r>
      <w:r w:rsidRPr="001A22C0">
        <w:t>prostředků z minulých let nebo se kryje z návratných zdrojů splatných z rozpočtu v následujících letech.</w:t>
      </w:r>
    </w:p>
    <w:p w14:paraId="7C8B3AED" w14:textId="77777777" w:rsidR="00696527" w:rsidRPr="001A22C0" w:rsidRDefault="00696527" w:rsidP="003B6895">
      <w:pPr>
        <w:keepNext/>
        <w:keepLines/>
        <w:numPr>
          <w:ilvl w:val="0"/>
          <w:numId w:val="29"/>
        </w:numPr>
        <w:spacing w:after="120"/>
        <w:jc w:val="center"/>
        <w:outlineLvl w:val="5"/>
      </w:pPr>
      <w:r w:rsidRPr="001A22C0">
        <w:lastRenderedPageBreak/>
        <w:t>***</w:t>
      </w:r>
    </w:p>
    <w:p w14:paraId="04609B8D" w14:textId="77777777" w:rsidR="00696527" w:rsidRPr="001A22C0" w:rsidRDefault="00696527" w:rsidP="003B6895">
      <w:pPr>
        <w:keepNext/>
        <w:keepLines/>
        <w:numPr>
          <w:ilvl w:val="0"/>
          <w:numId w:val="29"/>
        </w:numPr>
        <w:spacing w:after="120"/>
        <w:jc w:val="center"/>
        <w:outlineLvl w:val="5"/>
      </w:pPr>
      <w:r w:rsidRPr="001A22C0">
        <w:t xml:space="preserve">§ 6 </w:t>
      </w:r>
    </w:p>
    <w:p w14:paraId="093C10AC" w14:textId="77777777" w:rsidR="00696527" w:rsidRPr="001A22C0" w:rsidRDefault="00696527" w:rsidP="003B6895">
      <w:pPr>
        <w:keepNext/>
        <w:keepLines/>
        <w:spacing w:after="120"/>
        <w:ind w:firstLine="0"/>
        <w:jc w:val="center"/>
        <w:outlineLvl w:val="5"/>
        <w:rPr>
          <w:b/>
        </w:rPr>
      </w:pPr>
      <w:r w:rsidRPr="001A22C0">
        <w:rPr>
          <w:b/>
        </w:rPr>
        <w:t>Obsah rozpočtu</w:t>
      </w:r>
    </w:p>
    <w:p w14:paraId="60583C8C" w14:textId="5F721978" w:rsidR="00696527" w:rsidRPr="001A22C0" w:rsidRDefault="003B6895" w:rsidP="00CC5D2E">
      <w:pPr>
        <w:tabs>
          <w:tab w:val="left" w:pos="782"/>
          <w:tab w:val="left" w:pos="851"/>
        </w:tabs>
        <w:spacing w:before="120" w:after="120"/>
        <w:outlineLvl w:val="6"/>
      </w:pPr>
      <w:r>
        <w:t xml:space="preserve">(1) </w:t>
      </w:r>
      <w:r w:rsidR="00696527" w:rsidRPr="001A22C0">
        <w:t xml:space="preserve">Obsahem rozpočtu jsou </w:t>
      </w:r>
      <w:r w:rsidR="00696527" w:rsidRPr="001A22C0">
        <w:rPr>
          <w:b/>
        </w:rPr>
        <w:t xml:space="preserve">předpokládané </w:t>
      </w:r>
      <w:r w:rsidR="00696527" w:rsidRPr="001A22C0">
        <w:t>příjmy a výdaje a ostatní peněžní operace, včetně tvorby a použití peněžních fondů, pokud není dále uvedeno, že probíhají mimo rozpočet.</w:t>
      </w:r>
    </w:p>
    <w:p w14:paraId="3417AB30" w14:textId="613738EF" w:rsidR="00696527" w:rsidRPr="001A22C0" w:rsidRDefault="003B6895" w:rsidP="00CC5D2E">
      <w:pPr>
        <w:tabs>
          <w:tab w:val="left" w:pos="782"/>
          <w:tab w:val="left" w:pos="851"/>
        </w:tabs>
        <w:spacing w:before="120" w:after="120"/>
        <w:outlineLvl w:val="6"/>
      </w:pPr>
      <w:r>
        <w:t xml:space="preserve">(2) </w:t>
      </w:r>
      <w:r w:rsidR="00696527" w:rsidRPr="001A22C0">
        <w:t>Mimo rozpočet se uskutečňují peněžní operace týkající se</w:t>
      </w:r>
    </w:p>
    <w:p w14:paraId="0B0F3299" w14:textId="77777777" w:rsidR="00696527" w:rsidRPr="001A22C0" w:rsidRDefault="00696527" w:rsidP="003B6895">
      <w:pPr>
        <w:spacing w:before="0"/>
        <w:ind w:left="425" w:hanging="425"/>
        <w:outlineLvl w:val="7"/>
      </w:pPr>
      <w:r w:rsidRPr="001A22C0">
        <w:t>a)</w:t>
      </w:r>
      <w:r w:rsidRPr="001A22C0">
        <w:tab/>
        <w:t>cizích prostředků,</w:t>
      </w:r>
    </w:p>
    <w:p w14:paraId="6114C91C" w14:textId="77777777" w:rsidR="00696527" w:rsidRPr="001A22C0" w:rsidRDefault="00696527" w:rsidP="003B6895">
      <w:pPr>
        <w:spacing w:before="0"/>
        <w:ind w:left="425" w:hanging="425"/>
        <w:outlineLvl w:val="7"/>
      </w:pPr>
      <w:r w:rsidRPr="001A22C0">
        <w:t>b)</w:t>
      </w:r>
      <w:r w:rsidRPr="001A22C0">
        <w:tab/>
        <w:t>sdružených prostředků.</w:t>
      </w:r>
    </w:p>
    <w:p w14:paraId="7574137B" w14:textId="29C183FC" w:rsidR="00696527" w:rsidRPr="001A22C0" w:rsidRDefault="003B6895" w:rsidP="00CC5D2E">
      <w:pPr>
        <w:tabs>
          <w:tab w:val="left" w:pos="782"/>
          <w:tab w:val="left" w:pos="851"/>
        </w:tabs>
        <w:spacing w:before="120" w:after="120"/>
        <w:outlineLvl w:val="6"/>
      </w:pPr>
      <w:r>
        <w:t xml:space="preserve">(3) </w:t>
      </w:r>
      <w:r w:rsidR="00696527" w:rsidRPr="001A22C0">
        <w:t xml:space="preserve">Podnikatelská činnost územního samosprávného celku a svazku obcí se sleduje mimo rozpočtové příjmy a výdaje. </w:t>
      </w:r>
      <w:r w:rsidR="00696527" w:rsidRPr="001A22C0">
        <w:rPr>
          <w:strike/>
        </w:rPr>
        <w:t>Její výsledek se promítne</w:t>
      </w:r>
      <w:r w:rsidR="00696527" w:rsidRPr="001A22C0">
        <w:t xml:space="preserve"> </w:t>
      </w:r>
      <w:r w:rsidR="00696527" w:rsidRPr="001A22C0">
        <w:rPr>
          <w:b/>
        </w:rPr>
        <w:t xml:space="preserve">Nevyužité peněžní prostředky z podnikatelské činnosti lze převést </w:t>
      </w:r>
      <w:r w:rsidR="00696527" w:rsidRPr="001A22C0">
        <w:t>do rozpočtu</w:t>
      </w:r>
      <w:r w:rsidR="00696527" w:rsidRPr="001A22C0">
        <w:rPr>
          <w:strike/>
        </w:rPr>
        <w:t xml:space="preserve"> a je součástí závěrečného účtu</w:t>
      </w:r>
      <w:r w:rsidR="00696527" w:rsidRPr="001A22C0">
        <w:t xml:space="preserve"> územního samosprávného celku a svazku obcí.</w:t>
      </w:r>
    </w:p>
    <w:p w14:paraId="011C4D80" w14:textId="77777777" w:rsidR="00696527" w:rsidRPr="001A22C0" w:rsidRDefault="00696527" w:rsidP="003B6895">
      <w:pPr>
        <w:keepNext/>
        <w:keepLines/>
        <w:numPr>
          <w:ilvl w:val="0"/>
          <w:numId w:val="29"/>
        </w:numPr>
        <w:spacing w:after="120"/>
        <w:jc w:val="center"/>
        <w:outlineLvl w:val="5"/>
      </w:pPr>
      <w:r w:rsidRPr="001A22C0">
        <w:t xml:space="preserve">§ 9 </w:t>
      </w:r>
    </w:p>
    <w:p w14:paraId="35D5C5B2" w14:textId="77777777" w:rsidR="00696527" w:rsidRPr="001A22C0" w:rsidRDefault="00696527" w:rsidP="003B6895">
      <w:pPr>
        <w:keepNext/>
        <w:keepLines/>
        <w:spacing w:after="120"/>
        <w:jc w:val="center"/>
        <w:outlineLvl w:val="5"/>
        <w:rPr>
          <w:b/>
        </w:rPr>
      </w:pPr>
      <w:r w:rsidRPr="001A22C0">
        <w:rPr>
          <w:b/>
        </w:rPr>
        <w:t>Výdaje rozpočtu obce</w:t>
      </w:r>
    </w:p>
    <w:p w14:paraId="650E1F38" w14:textId="670B7872" w:rsidR="00696527" w:rsidRPr="001A22C0" w:rsidRDefault="003B6895" w:rsidP="00CC5D2E">
      <w:pPr>
        <w:tabs>
          <w:tab w:val="left" w:pos="782"/>
          <w:tab w:val="left" w:pos="851"/>
        </w:tabs>
        <w:spacing w:before="120" w:after="120"/>
        <w:outlineLvl w:val="6"/>
      </w:pPr>
      <w:r>
        <w:t xml:space="preserve">(1) </w:t>
      </w:r>
      <w:r w:rsidR="00696527" w:rsidRPr="001A22C0">
        <w:t>Z rozpočtu obce se hradí zejména</w:t>
      </w:r>
    </w:p>
    <w:p w14:paraId="69D09FAD" w14:textId="77777777" w:rsidR="00696527" w:rsidRPr="001A22C0" w:rsidRDefault="00696527" w:rsidP="003B6895">
      <w:pPr>
        <w:spacing w:before="0"/>
        <w:ind w:left="425" w:hanging="425"/>
        <w:outlineLvl w:val="7"/>
      </w:pPr>
      <w:r w:rsidRPr="001A22C0">
        <w:t>a)</w:t>
      </w:r>
      <w:r w:rsidRPr="001A22C0">
        <w:tab/>
        <w:t>závazky vyplývající pro obec z plnění povinností uložených jí zákony,</w:t>
      </w:r>
    </w:p>
    <w:p w14:paraId="038AA51D" w14:textId="77777777" w:rsidR="00696527" w:rsidRPr="001A22C0" w:rsidRDefault="00696527" w:rsidP="003B6895">
      <w:pPr>
        <w:spacing w:before="0"/>
        <w:ind w:left="425" w:hanging="425"/>
        <w:outlineLvl w:val="7"/>
      </w:pPr>
      <w:r w:rsidRPr="001A22C0">
        <w:t>b)</w:t>
      </w:r>
      <w:r w:rsidRPr="001A22C0">
        <w:tab/>
        <w:t>výdaje na vlastní činnost obce v její samostatné působnosti, zejména výdaje spojené s péčí o vlastní majetek a jeho rozvoj,</w:t>
      </w:r>
    </w:p>
    <w:p w14:paraId="78ED0746" w14:textId="77777777" w:rsidR="00696527" w:rsidRPr="001A22C0" w:rsidRDefault="00696527" w:rsidP="003B6895">
      <w:pPr>
        <w:spacing w:before="0"/>
        <w:ind w:left="425" w:hanging="425"/>
        <w:outlineLvl w:val="7"/>
      </w:pPr>
      <w:r w:rsidRPr="001A22C0">
        <w:t>c)</w:t>
      </w:r>
      <w:r w:rsidRPr="001A22C0">
        <w:tab/>
        <w:t>výdaje spojené s výkonem státní správy, ke které je obec pověřena zákonem,</w:t>
      </w:r>
    </w:p>
    <w:p w14:paraId="383CFC0B" w14:textId="77777777" w:rsidR="00696527" w:rsidRPr="001A22C0" w:rsidRDefault="00696527" w:rsidP="003B6895">
      <w:pPr>
        <w:spacing w:before="0"/>
        <w:ind w:left="425" w:hanging="425"/>
        <w:outlineLvl w:val="7"/>
      </w:pPr>
      <w:r w:rsidRPr="001A22C0">
        <w:t>d)</w:t>
      </w:r>
      <w:r w:rsidRPr="001A22C0">
        <w:tab/>
        <w:t>závazky vyplývající pro obec z uzavřených smluvních vztahů v jejím hospodaření a ze smluvních vztahů vlastních organizací, jestliže k nim přistoupila,</w:t>
      </w:r>
    </w:p>
    <w:p w14:paraId="169E1654" w14:textId="77777777" w:rsidR="00696527" w:rsidRPr="001A22C0" w:rsidRDefault="00696527" w:rsidP="003B6895">
      <w:pPr>
        <w:spacing w:before="0"/>
        <w:ind w:left="425" w:hanging="425"/>
        <w:outlineLvl w:val="7"/>
      </w:pPr>
      <w:r w:rsidRPr="001A22C0">
        <w:t>e)</w:t>
      </w:r>
      <w:r w:rsidRPr="001A22C0">
        <w:tab/>
        <w:t>závazky přijaté v rámci spolupráce s jinými obcemi nebo s dalšími subjekty, včetně příspěvků na společnou činnost,</w:t>
      </w:r>
    </w:p>
    <w:p w14:paraId="49CB504F" w14:textId="77777777" w:rsidR="00696527" w:rsidRPr="001A22C0" w:rsidRDefault="00696527" w:rsidP="003B6895">
      <w:pPr>
        <w:spacing w:before="0"/>
        <w:ind w:left="425" w:hanging="425"/>
        <w:outlineLvl w:val="7"/>
      </w:pPr>
      <w:r w:rsidRPr="001A22C0">
        <w:t>f)</w:t>
      </w:r>
      <w:r w:rsidRPr="001A22C0">
        <w:tab/>
        <w:t xml:space="preserve">úhrada úroků z přijatých </w:t>
      </w:r>
      <w:r w:rsidRPr="001A22C0">
        <w:rPr>
          <w:strike/>
        </w:rPr>
        <w:t>půjček</w:t>
      </w:r>
      <w:r w:rsidRPr="001A22C0">
        <w:t xml:space="preserve"> </w:t>
      </w:r>
      <w:r w:rsidRPr="001A22C0">
        <w:rPr>
          <w:b/>
        </w:rPr>
        <w:t>zápůjček</w:t>
      </w:r>
      <w:r w:rsidRPr="001A22C0">
        <w:t xml:space="preserve"> a úvěrů,</w:t>
      </w:r>
    </w:p>
    <w:p w14:paraId="17D4BE98" w14:textId="77777777" w:rsidR="00696527" w:rsidRPr="001A22C0" w:rsidRDefault="00696527" w:rsidP="003B6895">
      <w:pPr>
        <w:spacing w:before="0"/>
        <w:ind w:left="425" w:hanging="425"/>
        <w:outlineLvl w:val="7"/>
      </w:pPr>
      <w:r w:rsidRPr="001A22C0">
        <w:t>g)</w:t>
      </w:r>
      <w:r w:rsidRPr="001A22C0">
        <w:tab/>
        <w:t>výdaje na emise vlastních dluhopisů a na úhradu výnosů z nich náležejících jejich vlastníkům,</w:t>
      </w:r>
    </w:p>
    <w:p w14:paraId="57A0832A" w14:textId="77777777" w:rsidR="00696527" w:rsidRPr="001A22C0" w:rsidRDefault="00696527" w:rsidP="003B6895">
      <w:pPr>
        <w:spacing w:before="0"/>
        <w:ind w:left="425" w:hanging="425"/>
        <w:outlineLvl w:val="7"/>
      </w:pPr>
      <w:r w:rsidRPr="001A22C0">
        <w:t>h)</w:t>
      </w:r>
      <w:r w:rsidRPr="001A22C0">
        <w:tab/>
        <w:t>výdaje na podporu subjektů provádějících veřejně prospěšné činnosti a na podporu soukromého podnikání prospěšného pro obec,</w:t>
      </w:r>
    </w:p>
    <w:p w14:paraId="43D4DA11" w14:textId="77777777" w:rsidR="00696527" w:rsidRPr="001A22C0" w:rsidRDefault="00696527" w:rsidP="003B6895">
      <w:pPr>
        <w:spacing w:before="0"/>
        <w:ind w:left="425" w:hanging="425"/>
        <w:outlineLvl w:val="7"/>
      </w:pPr>
      <w:r w:rsidRPr="001A22C0">
        <w:t>i)</w:t>
      </w:r>
      <w:r w:rsidRPr="001A22C0">
        <w:tab/>
        <w:t>jiné výdaje uskutečněné v rámci působnosti obce, včetně darů a příspěvků na sociální nebo jiné humanitární účely.</w:t>
      </w:r>
    </w:p>
    <w:p w14:paraId="57BEA906" w14:textId="1AB3D865" w:rsidR="00696527" w:rsidRPr="001A22C0" w:rsidRDefault="003B6895" w:rsidP="00CC5D2E">
      <w:pPr>
        <w:tabs>
          <w:tab w:val="left" w:pos="782"/>
          <w:tab w:val="left" w:pos="851"/>
        </w:tabs>
        <w:spacing w:before="120" w:after="120"/>
        <w:outlineLvl w:val="6"/>
      </w:pPr>
      <w:r>
        <w:t xml:space="preserve">(2) </w:t>
      </w:r>
      <w:r w:rsidR="00696527" w:rsidRPr="001A22C0">
        <w:t xml:space="preserve">Vedle výdajů podle odstavce 1 hradí obec ze svého rozpočtu i splátky přijatých </w:t>
      </w:r>
      <w:r w:rsidR="00696527" w:rsidRPr="001A22C0">
        <w:rPr>
          <w:strike/>
        </w:rPr>
        <w:t>půjček</w:t>
      </w:r>
      <w:r w:rsidR="00696527" w:rsidRPr="001A22C0">
        <w:t xml:space="preserve"> </w:t>
      </w:r>
      <w:r w:rsidR="00696527" w:rsidRPr="001A22C0">
        <w:rPr>
          <w:b/>
        </w:rPr>
        <w:t>zápůjček</w:t>
      </w:r>
      <w:r w:rsidR="00696527" w:rsidRPr="001A22C0">
        <w:t xml:space="preserve">, úvěrů a návratných </w:t>
      </w:r>
      <w:r w:rsidR="00696527" w:rsidRPr="001A22C0">
        <w:rPr>
          <w:b/>
        </w:rPr>
        <w:t xml:space="preserve">finančních </w:t>
      </w:r>
      <w:r w:rsidR="00696527" w:rsidRPr="001A22C0">
        <w:t>výpomocí a splátky jistiny vlastních dluhopisů jejich vlastníkům.</w:t>
      </w:r>
    </w:p>
    <w:p w14:paraId="486725C5" w14:textId="77777777" w:rsidR="00696527" w:rsidRPr="001A22C0" w:rsidRDefault="00696527" w:rsidP="003B6895">
      <w:pPr>
        <w:keepNext/>
        <w:keepLines/>
        <w:spacing w:after="120"/>
        <w:ind w:left="360"/>
        <w:jc w:val="center"/>
        <w:outlineLvl w:val="5"/>
      </w:pPr>
      <w:r w:rsidRPr="001A22C0">
        <w:t>§ 10</w:t>
      </w:r>
    </w:p>
    <w:p w14:paraId="3820C132" w14:textId="77777777" w:rsidR="00696527" w:rsidRPr="001A22C0" w:rsidRDefault="00696527" w:rsidP="003B6895">
      <w:pPr>
        <w:keepNext/>
        <w:keepLines/>
        <w:spacing w:after="120"/>
        <w:jc w:val="center"/>
        <w:outlineLvl w:val="5"/>
        <w:rPr>
          <w:b/>
        </w:rPr>
      </w:pPr>
      <w:r w:rsidRPr="001A22C0">
        <w:rPr>
          <w:b/>
        </w:rPr>
        <w:t>Výdaje rozpočtu kraje</w:t>
      </w:r>
    </w:p>
    <w:p w14:paraId="5BA071B4" w14:textId="2D12B51C" w:rsidR="00696527" w:rsidRPr="001A22C0" w:rsidRDefault="003B6895" w:rsidP="00CC5D2E">
      <w:pPr>
        <w:tabs>
          <w:tab w:val="left" w:pos="782"/>
          <w:tab w:val="left" w:pos="851"/>
        </w:tabs>
        <w:spacing w:before="120" w:after="120"/>
        <w:outlineLvl w:val="6"/>
      </w:pPr>
      <w:r>
        <w:t xml:space="preserve">(1) </w:t>
      </w:r>
      <w:r w:rsidR="00696527" w:rsidRPr="001A22C0">
        <w:t>Z rozpočtu kraje se hradí zejména</w:t>
      </w:r>
    </w:p>
    <w:p w14:paraId="3536FEBA" w14:textId="77777777" w:rsidR="00696527" w:rsidRPr="001A22C0" w:rsidRDefault="00696527" w:rsidP="003B6895">
      <w:pPr>
        <w:spacing w:before="0"/>
        <w:ind w:left="425" w:hanging="425"/>
        <w:outlineLvl w:val="7"/>
      </w:pPr>
      <w:r w:rsidRPr="001A22C0">
        <w:t>a)</w:t>
      </w:r>
      <w:r w:rsidRPr="001A22C0">
        <w:tab/>
        <w:t>závazky vyplývající pro kraj z plnění povinností uložených zvláštními právními předpisy,</w:t>
      </w:r>
    </w:p>
    <w:p w14:paraId="19D6F479" w14:textId="77777777" w:rsidR="00696527" w:rsidRPr="001A22C0" w:rsidRDefault="00696527" w:rsidP="003B6895">
      <w:pPr>
        <w:spacing w:before="0"/>
        <w:ind w:left="425" w:hanging="425"/>
        <w:outlineLvl w:val="7"/>
      </w:pPr>
      <w:r w:rsidRPr="001A22C0">
        <w:t>b)</w:t>
      </w:r>
      <w:r w:rsidRPr="001A22C0">
        <w:tab/>
        <w:t>výdaje na činnost orgánů kraje v jeho samostatné působnosti, zejména výdaje spojené s péčí o vlastní majetek a jeho rozvoj,</w:t>
      </w:r>
    </w:p>
    <w:p w14:paraId="666D83B2" w14:textId="77777777" w:rsidR="00696527" w:rsidRPr="001A22C0" w:rsidRDefault="00696527" w:rsidP="003B6895">
      <w:pPr>
        <w:spacing w:before="0"/>
        <w:ind w:left="425" w:hanging="425"/>
        <w:outlineLvl w:val="7"/>
      </w:pPr>
      <w:r w:rsidRPr="001A22C0">
        <w:lastRenderedPageBreak/>
        <w:t>c)</w:t>
      </w:r>
      <w:r w:rsidRPr="001A22C0">
        <w:tab/>
        <w:t>výdaje spojené s výkonem státní správy, ke které je kraj pověřen zvláštními právními předpisy,</w:t>
      </w:r>
    </w:p>
    <w:p w14:paraId="12623748" w14:textId="77777777" w:rsidR="00696527" w:rsidRPr="001A22C0" w:rsidRDefault="00696527" w:rsidP="003B6895">
      <w:pPr>
        <w:spacing w:before="0"/>
        <w:ind w:left="425" w:hanging="425"/>
        <w:outlineLvl w:val="7"/>
      </w:pPr>
      <w:r w:rsidRPr="001A22C0">
        <w:t>d)</w:t>
      </w:r>
      <w:r w:rsidRPr="001A22C0">
        <w:tab/>
        <w:t>závazky vyplývající pro kraj z uzavřených smluvních vztahů v jeho hospodaření a ze smluvních vztahů vlastních organizací, jestliže k nim přistoupil,</w:t>
      </w:r>
    </w:p>
    <w:p w14:paraId="5CEF830C" w14:textId="77777777" w:rsidR="00696527" w:rsidRPr="001A22C0" w:rsidRDefault="00696527" w:rsidP="003B6895">
      <w:pPr>
        <w:spacing w:before="0"/>
        <w:ind w:left="425" w:hanging="425"/>
        <w:outlineLvl w:val="7"/>
      </w:pPr>
      <w:r w:rsidRPr="001A22C0">
        <w:t>e)</w:t>
      </w:r>
      <w:r w:rsidRPr="001A22C0">
        <w:tab/>
        <w:t>dotace do rozpočtů obcí v kraji,</w:t>
      </w:r>
    </w:p>
    <w:p w14:paraId="6B833E8B" w14:textId="77777777" w:rsidR="00696527" w:rsidRPr="001A22C0" w:rsidRDefault="00696527" w:rsidP="003B6895">
      <w:pPr>
        <w:spacing w:before="0"/>
        <w:ind w:left="425" w:hanging="425"/>
        <w:outlineLvl w:val="7"/>
      </w:pPr>
      <w:r w:rsidRPr="001A22C0">
        <w:t>f)</w:t>
      </w:r>
      <w:r w:rsidRPr="001A22C0">
        <w:tab/>
        <w:t>závazky přijaté v rámci spolupráce s jinými územními celky nebo s dalšími subjekty, včetně příspěvků na společnou činnost,</w:t>
      </w:r>
    </w:p>
    <w:p w14:paraId="25035CE0" w14:textId="77777777" w:rsidR="00696527" w:rsidRPr="001A22C0" w:rsidRDefault="00696527" w:rsidP="003B6895">
      <w:pPr>
        <w:spacing w:before="0"/>
        <w:ind w:left="425" w:hanging="425"/>
        <w:outlineLvl w:val="7"/>
      </w:pPr>
      <w:r w:rsidRPr="001A22C0">
        <w:t>g)</w:t>
      </w:r>
      <w:r w:rsidRPr="001A22C0">
        <w:tab/>
        <w:t xml:space="preserve">úhrada úroků z přijatých </w:t>
      </w:r>
      <w:r w:rsidRPr="001A22C0">
        <w:rPr>
          <w:strike/>
        </w:rPr>
        <w:t>půjček</w:t>
      </w:r>
      <w:r w:rsidRPr="001A22C0">
        <w:t xml:space="preserve"> </w:t>
      </w:r>
      <w:r w:rsidRPr="001A22C0">
        <w:rPr>
          <w:b/>
        </w:rPr>
        <w:t>zápůjček</w:t>
      </w:r>
      <w:r w:rsidRPr="001A22C0">
        <w:t xml:space="preserve"> a úvěrů,</w:t>
      </w:r>
    </w:p>
    <w:p w14:paraId="0D0EB2F4" w14:textId="77777777" w:rsidR="00696527" w:rsidRPr="001A22C0" w:rsidRDefault="00696527" w:rsidP="003B6895">
      <w:pPr>
        <w:spacing w:before="0"/>
        <w:ind w:left="425" w:hanging="425"/>
        <w:outlineLvl w:val="7"/>
      </w:pPr>
      <w:r w:rsidRPr="001A22C0">
        <w:t>h)</w:t>
      </w:r>
      <w:r w:rsidRPr="001A22C0">
        <w:tab/>
        <w:t>výdaje na emise vlastních dluhopisů a na úhradu výnosů z nich náležejících jejich vlastníkům,</w:t>
      </w:r>
    </w:p>
    <w:p w14:paraId="07F3E940" w14:textId="77777777" w:rsidR="00696527" w:rsidRPr="001A22C0" w:rsidRDefault="00696527" w:rsidP="003B6895">
      <w:pPr>
        <w:spacing w:before="0"/>
        <w:ind w:left="425" w:hanging="425"/>
        <w:outlineLvl w:val="7"/>
      </w:pPr>
      <w:r w:rsidRPr="001A22C0">
        <w:t>i)</w:t>
      </w:r>
      <w:r w:rsidRPr="001A22C0">
        <w:tab/>
        <w:t>výdaje na podporu subjektů provádějících veřejně prospěšné činnosti a na podporu soukromého podnikání prospěšného pro kraj,</w:t>
      </w:r>
    </w:p>
    <w:p w14:paraId="3347EEFA" w14:textId="77777777" w:rsidR="00696527" w:rsidRPr="001A22C0" w:rsidRDefault="00696527" w:rsidP="003B6895">
      <w:pPr>
        <w:spacing w:before="0"/>
        <w:ind w:left="425" w:hanging="425"/>
        <w:outlineLvl w:val="7"/>
      </w:pPr>
      <w:r w:rsidRPr="001A22C0">
        <w:t>j)</w:t>
      </w:r>
      <w:r w:rsidRPr="001A22C0">
        <w:tab/>
        <w:t>jiné výdaje uskutečněné v rámci působnosti kraje, včetně darů a příspěvků na sociální nebo jiné humanitární účely.</w:t>
      </w:r>
    </w:p>
    <w:p w14:paraId="69A7C588" w14:textId="21915F52" w:rsidR="00696527" w:rsidRPr="001A22C0" w:rsidRDefault="003B6895" w:rsidP="00CC5D2E">
      <w:pPr>
        <w:tabs>
          <w:tab w:val="left" w:pos="782"/>
          <w:tab w:val="left" w:pos="851"/>
        </w:tabs>
        <w:spacing w:before="120" w:after="120"/>
        <w:outlineLvl w:val="6"/>
      </w:pPr>
      <w:r>
        <w:t xml:space="preserve">(2) </w:t>
      </w:r>
      <w:r w:rsidR="00696527" w:rsidRPr="001A22C0">
        <w:t xml:space="preserve">Vedle výdajů podle odstavce 1 hradí kraj ze svého rozpočtu i splátky přijatých </w:t>
      </w:r>
      <w:r w:rsidR="00696527" w:rsidRPr="001A22C0">
        <w:rPr>
          <w:strike/>
        </w:rPr>
        <w:t>půjček</w:t>
      </w:r>
      <w:r w:rsidR="00696527" w:rsidRPr="001A22C0">
        <w:t xml:space="preserve"> </w:t>
      </w:r>
      <w:r w:rsidR="00696527" w:rsidRPr="001A22C0">
        <w:rPr>
          <w:b/>
        </w:rPr>
        <w:t>zápůjček</w:t>
      </w:r>
      <w:r w:rsidR="00696527" w:rsidRPr="001A22C0">
        <w:t>, úvěrů a návratných finančních výpomocí a splátky jistiny vlastních dluhopisů jejich vlastníkům.</w:t>
      </w:r>
    </w:p>
    <w:p w14:paraId="6451F501" w14:textId="77777777" w:rsidR="00696527" w:rsidRPr="001A22C0" w:rsidRDefault="00696527" w:rsidP="003B6895">
      <w:pPr>
        <w:keepNext/>
        <w:keepLines/>
        <w:spacing w:after="120"/>
        <w:jc w:val="center"/>
        <w:outlineLvl w:val="5"/>
        <w:rPr>
          <w:b/>
        </w:rPr>
      </w:pPr>
      <w:r w:rsidRPr="001A22C0">
        <w:rPr>
          <w:b/>
        </w:rPr>
        <w:t>Dotace a návratná finanční výpomoc</w:t>
      </w:r>
    </w:p>
    <w:p w14:paraId="37311835" w14:textId="77777777" w:rsidR="00696527" w:rsidRPr="001A22C0" w:rsidRDefault="00696527" w:rsidP="003B6895">
      <w:pPr>
        <w:keepNext/>
        <w:keepLines/>
        <w:spacing w:after="120"/>
        <w:jc w:val="center"/>
        <w:outlineLvl w:val="5"/>
      </w:pPr>
      <w:r w:rsidRPr="001A22C0">
        <w:t>§ 10a</w:t>
      </w:r>
    </w:p>
    <w:p w14:paraId="717A71DB" w14:textId="6D8693E0" w:rsidR="00696527" w:rsidRPr="001A22C0" w:rsidRDefault="003B6895" w:rsidP="00CC5D2E">
      <w:pPr>
        <w:tabs>
          <w:tab w:val="left" w:pos="782"/>
          <w:tab w:val="left" w:pos="851"/>
        </w:tabs>
        <w:spacing w:before="120" w:after="120"/>
        <w:outlineLvl w:val="6"/>
      </w:pPr>
      <w:r>
        <w:t xml:space="preserve">(1) </w:t>
      </w:r>
      <w:r w:rsidR="00696527" w:rsidRPr="001A22C0">
        <w:t>Pro účely tohoto zákona se rozumí</w:t>
      </w:r>
    </w:p>
    <w:p w14:paraId="016EDF24" w14:textId="77777777" w:rsidR="00696527" w:rsidRPr="001A22C0" w:rsidRDefault="00696527" w:rsidP="003B6895">
      <w:pPr>
        <w:spacing w:before="0"/>
        <w:ind w:left="425" w:hanging="425"/>
        <w:outlineLvl w:val="7"/>
      </w:pPr>
      <w:r w:rsidRPr="001A22C0">
        <w:t>a)</w:t>
      </w:r>
      <w:r w:rsidRPr="001A22C0">
        <w:tab/>
        <w:t>poskytovatelem územní samosprávný celek, městská část hlavního města Prahy</w:t>
      </w:r>
      <w:r w:rsidRPr="001A22C0">
        <w:rPr>
          <w:strike/>
        </w:rPr>
        <w:t>, svazek obcí</w:t>
      </w:r>
      <w:r w:rsidRPr="001A22C0">
        <w:t xml:space="preserve"> </w:t>
      </w:r>
      <w:r w:rsidRPr="001A22C0">
        <w:rPr>
          <w:strike/>
        </w:rPr>
        <w:t>nebo Regionální rada regionu soudržnosti</w:t>
      </w:r>
      <w:r w:rsidRPr="001A22C0">
        <w:rPr>
          <w:b/>
        </w:rPr>
        <w:t xml:space="preserve"> nebo svazek obcí</w:t>
      </w:r>
      <w:r w:rsidRPr="001A22C0">
        <w:t>,</w:t>
      </w:r>
    </w:p>
    <w:p w14:paraId="15730FDE" w14:textId="77777777" w:rsidR="00696527" w:rsidRPr="001A22C0" w:rsidRDefault="00696527" w:rsidP="003B6895">
      <w:pPr>
        <w:spacing w:before="0"/>
        <w:ind w:left="425" w:hanging="425"/>
        <w:outlineLvl w:val="7"/>
      </w:pPr>
      <w:r w:rsidRPr="001A22C0">
        <w:t>b)</w:t>
      </w:r>
      <w:r w:rsidRPr="001A22C0">
        <w:tab/>
        <w:t>dotací peněžní prostředky poskytnuté z rozpočtu územního samosprávného celku, městské části hlavního města Prahy</w:t>
      </w:r>
      <w:r w:rsidRPr="001A22C0">
        <w:rPr>
          <w:strike/>
        </w:rPr>
        <w:t>, svazku obcí</w:t>
      </w:r>
      <w:r w:rsidRPr="001A22C0">
        <w:t xml:space="preserve"> </w:t>
      </w:r>
      <w:r w:rsidRPr="001A22C0">
        <w:rPr>
          <w:strike/>
        </w:rPr>
        <w:t>nebo Regionální rada regionu soudržnosti</w:t>
      </w:r>
      <w:r w:rsidRPr="001A22C0">
        <w:rPr>
          <w:b/>
        </w:rPr>
        <w:t xml:space="preserve"> nebo svazku</w:t>
      </w:r>
      <w:r w:rsidRPr="001A22C0">
        <w:rPr>
          <w:b/>
          <w:color w:val="0070C0"/>
        </w:rPr>
        <w:t xml:space="preserve"> </w:t>
      </w:r>
      <w:r w:rsidRPr="001A22C0">
        <w:rPr>
          <w:b/>
        </w:rPr>
        <w:t>obcí</w:t>
      </w:r>
      <w:r w:rsidRPr="001A22C0">
        <w:t xml:space="preserve"> právnické nebo fyzické osobě na stanovený účel, s výjimkou příspěvku podle § 28 odst. 7 a § 31 odst. 1 písm. b),</w:t>
      </w:r>
    </w:p>
    <w:p w14:paraId="7A347C6E" w14:textId="77777777" w:rsidR="00696527" w:rsidRPr="001A22C0" w:rsidRDefault="00696527" w:rsidP="003B6895">
      <w:pPr>
        <w:spacing w:before="0"/>
        <w:ind w:left="425" w:hanging="425"/>
        <w:outlineLvl w:val="7"/>
      </w:pPr>
      <w:r w:rsidRPr="001A22C0">
        <w:t>c)</w:t>
      </w:r>
      <w:r w:rsidRPr="001A22C0">
        <w:tab/>
        <w:t>návratnou finanční výpomocí peněžní prostředky poskytnuté bezúročně z rozpočtu územního samosprávného celku, městské části hlavního města Prahy</w:t>
      </w:r>
      <w:r w:rsidRPr="001A22C0">
        <w:rPr>
          <w:strike/>
        </w:rPr>
        <w:t>, svazku obcí</w:t>
      </w:r>
      <w:r w:rsidRPr="001A22C0">
        <w:t xml:space="preserve"> </w:t>
      </w:r>
      <w:r w:rsidRPr="001A22C0">
        <w:rPr>
          <w:strike/>
        </w:rPr>
        <w:t>nebo Regionální rada regionu soudržnosti</w:t>
      </w:r>
      <w:r w:rsidRPr="001A22C0">
        <w:rPr>
          <w:b/>
        </w:rPr>
        <w:t xml:space="preserve"> nebo svazku</w:t>
      </w:r>
      <w:r w:rsidRPr="001A22C0">
        <w:rPr>
          <w:b/>
          <w:color w:val="0070C0"/>
        </w:rPr>
        <w:t xml:space="preserve"> </w:t>
      </w:r>
      <w:r w:rsidRPr="001A22C0">
        <w:rPr>
          <w:b/>
        </w:rPr>
        <w:t>obcí</w:t>
      </w:r>
      <w:r w:rsidRPr="001A22C0">
        <w:t xml:space="preserve"> právnické nebo fyzické osobě na stanovený účel, které je jejich příjemce povinen vrátit do rozpočtu poskytovatele ve stanovené lhůtě,</w:t>
      </w:r>
    </w:p>
    <w:p w14:paraId="4A9689EC" w14:textId="77777777" w:rsidR="00696527" w:rsidRPr="001A22C0" w:rsidRDefault="00696527" w:rsidP="003B6895">
      <w:pPr>
        <w:spacing w:before="0"/>
        <w:ind w:left="425" w:hanging="425"/>
        <w:outlineLvl w:val="7"/>
      </w:pPr>
      <w:r w:rsidRPr="001A22C0">
        <w:t>d)</w:t>
      </w:r>
      <w:r w:rsidRPr="001A22C0">
        <w:tab/>
        <w:t>finančním vypořádáním dotace přehled o čerpání a použití poskytnutých peněžních prostředků a o vrácení nepoužitých peněžních prostředků do rozpočtu poskytovatele,</w:t>
      </w:r>
    </w:p>
    <w:p w14:paraId="0C361202" w14:textId="77777777" w:rsidR="00696527" w:rsidRPr="001A22C0" w:rsidRDefault="00696527" w:rsidP="003B6895">
      <w:pPr>
        <w:spacing w:before="0"/>
        <w:ind w:left="425" w:hanging="425"/>
        <w:outlineLvl w:val="7"/>
      </w:pPr>
      <w:r w:rsidRPr="001A22C0">
        <w:t>e)</w:t>
      </w:r>
      <w:r w:rsidRPr="001A22C0">
        <w:tab/>
        <w:t>finančním vypořádáním návratné finanční výpomoci přehled o čerpání a použití poskytnutých peněžních prostředků a o jejich vrácení do rozpočtu poskytovatele,</w:t>
      </w:r>
    </w:p>
    <w:p w14:paraId="115D8017" w14:textId="77777777" w:rsidR="00696527" w:rsidRPr="001A22C0" w:rsidRDefault="00696527" w:rsidP="003B6895">
      <w:pPr>
        <w:spacing w:before="0"/>
        <w:ind w:left="425" w:hanging="425"/>
        <w:outlineLvl w:val="7"/>
      </w:pPr>
      <w:r w:rsidRPr="001A22C0">
        <w:t>f)</w:t>
      </w:r>
      <w:r w:rsidRPr="001A22C0">
        <w:tab/>
        <w:t>programem pro poskytování dotací nebo návratných finančních výpomocí (dále jen „program“) souhrn věcných, časových a finančních podmínek podpory účelu určeného poskytovatelem v programu.</w:t>
      </w:r>
    </w:p>
    <w:p w14:paraId="4B07B005" w14:textId="5EC39E8A" w:rsidR="00696527" w:rsidRPr="001A22C0" w:rsidRDefault="003B6895" w:rsidP="00CC5D2E">
      <w:pPr>
        <w:tabs>
          <w:tab w:val="left" w:pos="782"/>
          <w:tab w:val="left" w:pos="851"/>
        </w:tabs>
        <w:spacing w:before="120" w:after="120"/>
        <w:outlineLvl w:val="6"/>
      </w:pPr>
      <w:r>
        <w:t xml:space="preserve">(2) </w:t>
      </w:r>
      <w:r w:rsidR="00696527" w:rsidRPr="001A22C0">
        <w:t xml:space="preserve">Dotace nebo návratná finanční výpomoc se poskytuje na účel určený poskytovatelem v programu (§ 10c), na jiný účel určený žadatelem v žádosti nebo na účel stanovený zvláštním </w:t>
      </w:r>
      <w:r w:rsidR="00696527" w:rsidRPr="001A22C0">
        <w:lastRenderedPageBreak/>
        <w:t>právním předpisem</w:t>
      </w:r>
      <w:r w:rsidR="00696527" w:rsidRPr="001A22C0">
        <w:rPr>
          <w:vertAlign w:val="superscript"/>
        </w:rPr>
        <w:footnoteReference w:customMarkFollows="1" w:id="367"/>
        <w:t>22)</w:t>
      </w:r>
      <w:r w:rsidR="00696527" w:rsidRPr="001A22C0">
        <w:t>. Na dotaci nebo návratnou finanční výpomoc není právní nárok, nestanoví-li zvláštní právní předpis jinak</w:t>
      </w:r>
      <w:r w:rsidR="00696527" w:rsidRPr="001A22C0">
        <w:rPr>
          <w:vertAlign w:val="superscript"/>
        </w:rPr>
        <w:t>22)</w:t>
      </w:r>
      <w:r w:rsidR="00696527" w:rsidRPr="001A22C0">
        <w:t>.</w:t>
      </w:r>
    </w:p>
    <w:p w14:paraId="00F89C77" w14:textId="13936865" w:rsidR="00696527" w:rsidRPr="001A22C0" w:rsidRDefault="003B6895" w:rsidP="00CC5D2E">
      <w:pPr>
        <w:tabs>
          <w:tab w:val="left" w:pos="782"/>
          <w:tab w:val="left" w:pos="851"/>
        </w:tabs>
        <w:spacing w:before="120" w:after="120"/>
        <w:outlineLvl w:val="6"/>
      </w:pPr>
      <w:r>
        <w:t xml:space="preserve">(3) </w:t>
      </w:r>
      <w:r w:rsidR="00696527" w:rsidRPr="001A22C0">
        <w:t>Dotaci nebo návratnou finanční výpomoc, s výjimkou návratné finanční výpomoci podle § 34 odst. 1, lze poskytnout na základě žádosti o poskytnutí dotace nebo návratné finanční výpomoci prostřednictvím veřejnoprávní smlouvy (dále jen „žádost“), popřípadě na základě povinnosti vyplývající ze zvláštního právního předpisu</w:t>
      </w:r>
      <w:r w:rsidR="00696527" w:rsidRPr="001A22C0">
        <w:rPr>
          <w:vertAlign w:val="superscript"/>
        </w:rPr>
        <w:t>22)</w:t>
      </w:r>
      <w:r w:rsidR="00696527" w:rsidRPr="001A22C0">
        <w:t>; žádost obsahuje alespoň</w:t>
      </w:r>
    </w:p>
    <w:p w14:paraId="5C97433E" w14:textId="77777777" w:rsidR="00696527" w:rsidRPr="001A22C0" w:rsidRDefault="00696527" w:rsidP="003B6895">
      <w:pPr>
        <w:spacing w:before="0"/>
        <w:ind w:left="425" w:hanging="425"/>
        <w:outlineLvl w:val="7"/>
      </w:pPr>
      <w:r w:rsidRPr="001A22C0">
        <w:t>a)</w:t>
      </w:r>
      <w:r w:rsidRPr="001A22C0">
        <w:tab/>
        <w:t>jméno a příjmení, datum narození a adresu bydliště žadatele o dotaci nebo návratnou finanční výpomoc, je-li žadatel fyzickou osobou, a je-li tato fyzická osoba podnikatelem, také identifikační číslo osoby, bylo-li přiděleno, nebo, je-li žadatel právnickou osobou, název, popřípadě obchodní firmu, sídlo a identifikační číslo osoby, bylo-li přiděleno,</w:t>
      </w:r>
    </w:p>
    <w:p w14:paraId="31FB7C57" w14:textId="77777777" w:rsidR="00696527" w:rsidRPr="001A22C0" w:rsidRDefault="00696527" w:rsidP="003B6895">
      <w:pPr>
        <w:spacing w:before="0"/>
        <w:ind w:left="425" w:hanging="425"/>
        <w:outlineLvl w:val="7"/>
      </w:pPr>
      <w:r w:rsidRPr="001A22C0">
        <w:t>b)</w:t>
      </w:r>
      <w:r w:rsidRPr="001A22C0">
        <w:tab/>
        <w:t>požadovanou částku,</w:t>
      </w:r>
    </w:p>
    <w:p w14:paraId="17DDDA3E" w14:textId="77777777" w:rsidR="00696527" w:rsidRPr="001A22C0" w:rsidRDefault="00696527" w:rsidP="003B6895">
      <w:pPr>
        <w:spacing w:before="0"/>
        <w:ind w:left="425" w:hanging="425"/>
        <w:outlineLvl w:val="7"/>
      </w:pPr>
      <w:r w:rsidRPr="001A22C0">
        <w:t>c)</w:t>
      </w:r>
      <w:r w:rsidRPr="001A22C0">
        <w:tab/>
        <w:t>účel, na který žadatel chce dotaci nebo návratnou finanční výpomoc použít,</w:t>
      </w:r>
    </w:p>
    <w:p w14:paraId="350A3EB0" w14:textId="77777777" w:rsidR="00696527" w:rsidRPr="001A22C0" w:rsidRDefault="00696527" w:rsidP="003B6895">
      <w:pPr>
        <w:spacing w:before="0"/>
        <w:ind w:left="425" w:hanging="425"/>
        <w:outlineLvl w:val="7"/>
      </w:pPr>
      <w:r w:rsidRPr="001A22C0">
        <w:t>d)</w:t>
      </w:r>
      <w:r w:rsidRPr="001A22C0">
        <w:tab/>
        <w:t>dobu, v níž má být dosaženo účelu, u návratné finanční výpomoci i lhůty pro navrácení poskytnutých peněžních prostředků a výši jednotlivých splátek,</w:t>
      </w:r>
    </w:p>
    <w:p w14:paraId="6513A852" w14:textId="77777777" w:rsidR="00696527" w:rsidRPr="001A22C0" w:rsidRDefault="00696527" w:rsidP="003B6895">
      <w:pPr>
        <w:spacing w:before="0"/>
        <w:ind w:left="425" w:hanging="425"/>
        <w:outlineLvl w:val="7"/>
      </w:pPr>
      <w:r w:rsidRPr="001A22C0">
        <w:t>e)</w:t>
      </w:r>
      <w:r w:rsidRPr="001A22C0">
        <w:tab/>
        <w:t>odůvodnění žádosti,</w:t>
      </w:r>
    </w:p>
    <w:p w14:paraId="3E2D4F72" w14:textId="77777777" w:rsidR="00696527" w:rsidRPr="001A22C0" w:rsidRDefault="00696527" w:rsidP="003B6895">
      <w:pPr>
        <w:spacing w:before="0"/>
        <w:ind w:left="425" w:hanging="425"/>
        <w:outlineLvl w:val="7"/>
      </w:pPr>
      <w:r w:rsidRPr="001A22C0">
        <w:t>f)</w:t>
      </w:r>
      <w:r w:rsidRPr="001A22C0">
        <w:tab/>
        <w:t>je-li žadatel o dotaci právnickou osobou:</w:t>
      </w:r>
    </w:p>
    <w:p w14:paraId="6B4D9357" w14:textId="77777777" w:rsidR="00696527" w:rsidRPr="001A22C0" w:rsidRDefault="00696527" w:rsidP="003B6895">
      <w:pPr>
        <w:tabs>
          <w:tab w:val="left" w:pos="851"/>
        </w:tabs>
        <w:spacing w:before="0"/>
        <w:ind w:left="850" w:hanging="425"/>
        <w:outlineLvl w:val="8"/>
      </w:pPr>
      <w:r w:rsidRPr="001A22C0">
        <w:t>1.</w:t>
      </w:r>
      <w:r w:rsidRPr="001A22C0">
        <w:tab/>
        <w:t>informace o identifikaci osob jednajících jménem žadatele s uvedením, zda tyto jednají jako jeho statutární orgán nebo zda tyto osoby jednají na základě udělené plné moci,</w:t>
      </w:r>
    </w:p>
    <w:p w14:paraId="1A1A6306" w14:textId="77777777" w:rsidR="00696527" w:rsidRPr="001A22C0" w:rsidRDefault="00696527" w:rsidP="003B6895">
      <w:pPr>
        <w:tabs>
          <w:tab w:val="left" w:pos="851"/>
        </w:tabs>
        <w:spacing w:before="0"/>
        <w:ind w:left="850" w:hanging="425"/>
        <w:outlineLvl w:val="8"/>
      </w:pPr>
      <w:r w:rsidRPr="001A22C0">
        <w:t>2.</w:t>
      </w:r>
      <w:r w:rsidRPr="001A22C0">
        <w:tab/>
        <w:t xml:space="preserve">údaje o skutečném majiteli právnické osoby podle zákona upravujícího evidenci skutečných majitelů ve formě úplného výpisu platných údajů a údajů, které byly vymazány bez náhrady nebo s nahrazením novými údaji, jedná-li se o evidující osobu; v případě, že je žadatel o dotaci zahraniční právnickou osobou, doloží údaje o svém skutečném majiteli buď výpisem ze zahraniční evidence obdobné evidenci skutečných majitelů, </w:t>
      </w:r>
      <w:proofErr w:type="gramStart"/>
      <w:r w:rsidRPr="001A22C0">
        <w:t>nebo, pokud</w:t>
      </w:r>
      <w:proofErr w:type="gramEnd"/>
      <w:r w:rsidRPr="001A22C0">
        <w:t xml:space="preserve"> taková zahraniční evidence neexistuje, sdělí identifikační údaje všech osob, které jsou skutečným majitelem zahraniční právnické osoby, a předloží doklady, z nichž vyplývá vztah všech osob k zahraniční právnické osobě, zejména výpis ze zahraniční evidence obdobné obchodnímu rejstříku, seznam akcionářů, rozhodnutí statutárního orgánu o vyplacení podílu na zisku, společenská smlouva, zakladatelská listina nebo stanovy,</w:t>
      </w:r>
    </w:p>
    <w:p w14:paraId="01559EBF" w14:textId="77777777" w:rsidR="00696527" w:rsidRPr="001A22C0" w:rsidRDefault="00696527" w:rsidP="003B6895">
      <w:pPr>
        <w:tabs>
          <w:tab w:val="left" w:pos="851"/>
        </w:tabs>
        <w:spacing w:before="0"/>
        <w:ind w:left="850" w:hanging="425"/>
        <w:outlineLvl w:val="8"/>
      </w:pPr>
      <w:r w:rsidRPr="001A22C0">
        <w:t>3.</w:t>
      </w:r>
      <w:r w:rsidRPr="001A22C0">
        <w:tab/>
        <w:t>informace o identifikaci osob, v nichž má podíl, a o výši tohoto podílu.</w:t>
      </w:r>
    </w:p>
    <w:p w14:paraId="4CB7B664" w14:textId="77777777" w:rsidR="00696527" w:rsidRPr="001A22C0" w:rsidRDefault="00696527" w:rsidP="003B6895">
      <w:pPr>
        <w:spacing w:before="0"/>
        <w:ind w:left="425" w:hanging="425"/>
        <w:outlineLvl w:val="7"/>
      </w:pPr>
      <w:r w:rsidRPr="001A22C0">
        <w:t>g)</w:t>
      </w:r>
      <w:r w:rsidRPr="001A22C0">
        <w:tab/>
        <w:t>seznam případných příloh žádosti,</w:t>
      </w:r>
    </w:p>
    <w:p w14:paraId="3EDCEC3A" w14:textId="77777777" w:rsidR="00696527" w:rsidRPr="001A22C0" w:rsidRDefault="00696527" w:rsidP="003B6895">
      <w:pPr>
        <w:spacing w:before="0"/>
        <w:ind w:left="425" w:hanging="425"/>
        <w:outlineLvl w:val="7"/>
      </w:pPr>
      <w:r w:rsidRPr="001A22C0">
        <w:t>h)</w:t>
      </w:r>
      <w:r w:rsidRPr="001A22C0">
        <w:tab/>
        <w:t>den vyhotovení žádosti a podpis osoby zastupující žadatele, v případě zastoupení na základě plné moci i plnou moc.</w:t>
      </w:r>
    </w:p>
    <w:p w14:paraId="3C5F4077" w14:textId="463C400F" w:rsidR="00696527" w:rsidRPr="001A22C0" w:rsidRDefault="003B6895" w:rsidP="00CC5D2E">
      <w:pPr>
        <w:tabs>
          <w:tab w:val="left" w:pos="782"/>
          <w:tab w:val="left" w:pos="851"/>
        </w:tabs>
        <w:spacing w:before="120" w:after="120"/>
        <w:outlineLvl w:val="6"/>
      </w:pPr>
      <w:r>
        <w:t xml:space="preserve">(4) </w:t>
      </w:r>
      <w:r w:rsidR="00696527" w:rsidRPr="001A22C0">
        <w:t>Nevyhoví-li poskytovatel žádosti, sdělí bez zbytečného odkladu žadateli, že jeho žádosti nebylo vyhověno a důvod nevyhovění žádosti.</w:t>
      </w:r>
    </w:p>
    <w:p w14:paraId="2D38F571" w14:textId="3E02855C" w:rsidR="00696527" w:rsidRPr="001A22C0" w:rsidRDefault="003B6895" w:rsidP="00CC5D2E">
      <w:pPr>
        <w:tabs>
          <w:tab w:val="left" w:pos="782"/>
          <w:tab w:val="left" w:pos="851"/>
        </w:tabs>
        <w:spacing w:before="120" w:after="120"/>
        <w:outlineLvl w:val="6"/>
      </w:pPr>
      <w:r>
        <w:t xml:space="preserve">(5) </w:t>
      </w:r>
      <w:r w:rsidR="00696527" w:rsidRPr="001A22C0">
        <w:t>Veřejnoprávní smlouva o poskytnutí dotace nebo návratné finanční výpomoci obsahuje alespoň</w:t>
      </w:r>
    </w:p>
    <w:p w14:paraId="7D2CAC37" w14:textId="77777777" w:rsidR="00696527" w:rsidRPr="001A22C0" w:rsidRDefault="00696527" w:rsidP="003B6895">
      <w:pPr>
        <w:spacing w:before="0"/>
        <w:ind w:left="425" w:hanging="425"/>
        <w:outlineLvl w:val="7"/>
      </w:pPr>
      <w:r w:rsidRPr="001A22C0">
        <w:t>a)</w:t>
      </w:r>
      <w:r w:rsidRPr="001A22C0">
        <w:tab/>
        <w:t>název, sídlo, identifikační číslo poskytovatele dotace nebo návratné finanční výpomoci,</w:t>
      </w:r>
    </w:p>
    <w:p w14:paraId="35D7B4B7" w14:textId="77777777" w:rsidR="00696527" w:rsidRPr="001A22C0" w:rsidRDefault="00696527" w:rsidP="003B6895">
      <w:pPr>
        <w:spacing w:before="0"/>
        <w:ind w:left="425" w:hanging="425"/>
        <w:outlineLvl w:val="7"/>
      </w:pPr>
      <w:r w:rsidRPr="001A22C0">
        <w:t>b)</w:t>
      </w:r>
      <w:r w:rsidRPr="001A22C0">
        <w:tab/>
        <w:t xml:space="preserve">jméno a příjmení, datum narození a adresu bydliště, je-li příjemce dotace nebo návratné finanční výpomoci fyzickou osobou, a je-li tato fyzická osoba podnikatelem, také identifikační číslo osoby, bylo-li přiděleno, nebo, je-li příjemce dotace nebo návratné </w:t>
      </w:r>
      <w:r w:rsidRPr="001A22C0">
        <w:lastRenderedPageBreak/>
        <w:t>finanční výpomoci právnickou osobou, název, popřípadě obchodní firmu, sídlo a identifikační číslo osoby, bylo-li přiděleno,</w:t>
      </w:r>
    </w:p>
    <w:p w14:paraId="2F3C9857" w14:textId="77777777" w:rsidR="00696527" w:rsidRPr="001A22C0" w:rsidRDefault="00696527" w:rsidP="003B6895">
      <w:pPr>
        <w:spacing w:before="0"/>
        <w:ind w:left="425" w:hanging="425"/>
        <w:outlineLvl w:val="7"/>
      </w:pPr>
      <w:r w:rsidRPr="001A22C0">
        <w:t>c)</w:t>
      </w:r>
      <w:r w:rsidRPr="001A22C0">
        <w:tab/>
        <w:t>číslo bankovního účtu poskytovatele a příjemce dotace nebo návratné finanční výpomoci, nebo způsob, jakým budou prostředky poskytnuty,</w:t>
      </w:r>
    </w:p>
    <w:p w14:paraId="42ACFC80" w14:textId="77777777" w:rsidR="00696527" w:rsidRPr="001A22C0" w:rsidRDefault="00696527" w:rsidP="003B6895">
      <w:pPr>
        <w:spacing w:before="0"/>
        <w:ind w:left="425" w:hanging="425"/>
        <w:outlineLvl w:val="7"/>
      </w:pPr>
      <w:r w:rsidRPr="001A22C0">
        <w:t>d)</w:t>
      </w:r>
      <w:r w:rsidRPr="001A22C0">
        <w:tab/>
        <w:t>poskytovanou částku nebo částku, do jejíž výše může být dotace nebo návratná finanční výpomoc poskytnuta; u dotace nebo návratné finanční výpomoci, jejíž součástí jsou peněžní prostředky kryté ze státního rozpočtu, z rozpočtu státního fondu nebo z Národního fondu, výši takových peněžních prostředků a zdroj jejich krytí; u dotace, která není poskytována jednorázově, výši jednotlivých částek nebo způsob jejich stanovení a termíny jejich poskytnutí,</w:t>
      </w:r>
    </w:p>
    <w:p w14:paraId="015F8B80" w14:textId="77777777" w:rsidR="00696527" w:rsidRPr="001A22C0" w:rsidRDefault="00696527" w:rsidP="003B6895">
      <w:pPr>
        <w:spacing w:before="0"/>
        <w:ind w:left="425" w:hanging="425"/>
        <w:outlineLvl w:val="7"/>
      </w:pPr>
      <w:r w:rsidRPr="001A22C0">
        <w:t>e)</w:t>
      </w:r>
      <w:r w:rsidRPr="001A22C0">
        <w:tab/>
        <w:t>účel, na který jsou poskytované peněžní prostředky určeny,</w:t>
      </w:r>
    </w:p>
    <w:p w14:paraId="49776E8A" w14:textId="77777777" w:rsidR="00696527" w:rsidRPr="001A22C0" w:rsidRDefault="00696527" w:rsidP="003B6895">
      <w:pPr>
        <w:spacing w:before="0"/>
        <w:ind w:left="425" w:hanging="425"/>
        <w:outlineLvl w:val="7"/>
      </w:pPr>
      <w:r w:rsidRPr="001A22C0">
        <w:t>f)</w:t>
      </w:r>
      <w:r w:rsidRPr="001A22C0">
        <w:tab/>
        <w:t>dobu, v níž má být stanoveného účelu dosaženo,</w:t>
      </w:r>
    </w:p>
    <w:p w14:paraId="05D87117" w14:textId="77777777" w:rsidR="00696527" w:rsidRPr="001A22C0" w:rsidRDefault="00696527" w:rsidP="003B6895">
      <w:pPr>
        <w:spacing w:before="0"/>
        <w:ind w:left="425" w:hanging="425"/>
        <w:outlineLvl w:val="7"/>
      </w:pPr>
      <w:r w:rsidRPr="001A22C0">
        <w:t>g)</w:t>
      </w:r>
      <w:r w:rsidRPr="001A22C0">
        <w:tab/>
        <w:t>u návratné finanční výpomoci lhůty pro navrácení poskytnutých peněžních prostředků a výši jednotlivých splátek,</w:t>
      </w:r>
    </w:p>
    <w:p w14:paraId="5B772CD6" w14:textId="77777777" w:rsidR="00696527" w:rsidRPr="001A22C0" w:rsidRDefault="00696527" w:rsidP="003B6895">
      <w:pPr>
        <w:spacing w:before="0"/>
        <w:ind w:left="425" w:hanging="425"/>
        <w:outlineLvl w:val="7"/>
      </w:pPr>
      <w:r w:rsidRPr="001A22C0">
        <w:t>h)</w:t>
      </w:r>
      <w:r w:rsidRPr="001A22C0">
        <w:tab/>
        <w:t>podmínky, které je příjemce povinen při použití peněžních prostředků splnit,</w:t>
      </w:r>
    </w:p>
    <w:p w14:paraId="05FFF167" w14:textId="77777777" w:rsidR="00696527" w:rsidRPr="001A22C0" w:rsidRDefault="00696527" w:rsidP="003B6895">
      <w:pPr>
        <w:spacing w:before="0"/>
        <w:ind w:left="425" w:hanging="425"/>
        <w:outlineLvl w:val="7"/>
      </w:pPr>
      <w:r w:rsidRPr="001A22C0">
        <w:t>i)</w:t>
      </w:r>
      <w:r w:rsidRPr="001A22C0">
        <w:tab/>
        <w:t>případně další podmínky související s účelem, na nějž byly peněžní prostředky poskytnuty, které je příjemce povinen dodržet,</w:t>
      </w:r>
    </w:p>
    <w:p w14:paraId="46DC9FDC" w14:textId="77777777" w:rsidR="00696527" w:rsidRPr="001A22C0" w:rsidRDefault="00696527" w:rsidP="003B6895">
      <w:pPr>
        <w:spacing w:before="0"/>
        <w:ind w:left="425" w:hanging="425"/>
        <w:outlineLvl w:val="7"/>
      </w:pPr>
      <w:r w:rsidRPr="001A22C0">
        <w:t>j)</w:t>
      </w:r>
      <w:r w:rsidRPr="001A22C0">
        <w:tab/>
        <w:t>dobu pro předložení finančního vypořádání dotace nebo návratné finanční výpomoci a číslo účtu, na který mají být nepoužité peněžní prostředky nebo návratná finanční výpomoc vráceny,</w:t>
      </w:r>
    </w:p>
    <w:p w14:paraId="18ED918B" w14:textId="77777777" w:rsidR="00696527" w:rsidRPr="001A22C0" w:rsidRDefault="00696527" w:rsidP="003B6895">
      <w:pPr>
        <w:spacing w:before="0"/>
        <w:ind w:left="425" w:hanging="425"/>
        <w:outlineLvl w:val="7"/>
      </w:pPr>
      <w:r w:rsidRPr="001A22C0">
        <w:t>k)</w:t>
      </w:r>
      <w:r w:rsidRPr="001A22C0">
        <w:tab/>
        <w:t>je-li příjemcem dotace nebo návratné finanční výpomoci právnická osoba, povinnosti příjemce v případě přeměny nebo zrušení právnické osoby s likvidací,</w:t>
      </w:r>
    </w:p>
    <w:p w14:paraId="6CF53412" w14:textId="77777777" w:rsidR="00696527" w:rsidRPr="001A22C0" w:rsidRDefault="00696527" w:rsidP="003B6895">
      <w:pPr>
        <w:spacing w:before="0"/>
        <w:ind w:left="425" w:hanging="425"/>
        <w:outlineLvl w:val="7"/>
      </w:pPr>
      <w:r w:rsidRPr="001A22C0">
        <w:t>l)</w:t>
      </w:r>
      <w:r w:rsidRPr="001A22C0">
        <w:tab/>
        <w:t>den podpisu smlouvy smluvními stranami a jejich podpisy.</w:t>
      </w:r>
    </w:p>
    <w:p w14:paraId="15DB87AF" w14:textId="41B65D57" w:rsidR="00696527" w:rsidRPr="001A22C0" w:rsidRDefault="003B6895" w:rsidP="00CC5D2E">
      <w:pPr>
        <w:tabs>
          <w:tab w:val="left" w:pos="782"/>
          <w:tab w:val="left" w:pos="851"/>
        </w:tabs>
        <w:spacing w:before="120" w:after="120"/>
        <w:outlineLvl w:val="6"/>
      </w:pPr>
      <w:r>
        <w:t xml:space="preserve">(6) </w:t>
      </w:r>
      <w:r w:rsidR="00696527" w:rsidRPr="001A22C0">
        <w:t>Ve veřejnoprávní smlouvě o poskytnutí dotace lze z podmínek stanovených podle odstavce 5 písm. i) vymezit podmínky, jejichž porušení bude považováno za méně závažné, za které se uloží odvod za porušení rozpočtové kázně nižší, než odpovídá výši neoprávněně použitých nebo zadržených peněžních prostředků. Ve veřejnoprávní smlouvě o poskytnutí dotace se pro stanovení nižšího odvodu uvede pevná částka, procento nebo procentní rozmezí, v jehož rámci bude odvod stanoven. Procento nebo procentní rozmezí se stanoví z poskytnutých prostředků, v souvislosti s jejichž použitím došlo k porušení rozpočtové kázně.</w:t>
      </w:r>
    </w:p>
    <w:p w14:paraId="21F102D7" w14:textId="419EFAA5" w:rsidR="00696527" w:rsidRPr="001A22C0" w:rsidRDefault="003B6895" w:rsidP="00CC5D2E">
      <w:pPr>
        <w:tabs>
          <w:tab w:val="left" w:pos="782"/>
          <w:tab w:val="left" w:pos="851"/>
        </w:tabs>
        <w:spacing w:before="120" w:after="120"/>
        <w:outlineLvl w:val="6"/>
      </w:pPr>
      <w:r>
        <w:t xml:space="preserve">(7) </w:t>
      </w:r>
      <w:r w:rsidR="00696527" w:rsidRPr="001A22C0">
        <w:t>Podmínky poskytnutí dotace nebo návratné finanční výpomoci, jejíž součástí jsou peněžní prostředky, které poskytovatel dotace nebo návratné finanční výpomoci obdržel ze státního rozpočtu, z rozpočtu státního fondu nebo z Národního fondu, musí být v souladu s podmínkami, za kterých byly poskytovateli dotace nebo návratné finanční výpomoci peněžní prostředky poskytnuty.</w:t>
      </w:r>
    </w:p>
    <w:p w14:paraId="3606C9C6" w14:textId="60A22131" w:rsidR="00696527" w:rsidRPr="001A22C0" w:rsidRDefault="00696527" w:rsidP="00CC5D2E">
      <w:pPr>
        <w:tabs>
          <w:tab w:val="left" w:pos="782"/>
          <w:tab w:val="left" w:pos="851"/>
        </w:tabs>
        <w:spacing w:before="120" w:after="120"/>
        <w:outlineLvl w:val="6"/>
      </w:pPr>
      <w:r w:rsidRPr="001A22C0">
        <w:t>(</w:t>
      </w:r>
      <w:r w:rsidR="003B6895">
        <w:t xml:space="preserve">8) </w:t>
      </w:r>
      <w:r w:rsidRPr="001A22C0">
        <w:t>Ve veřejnoprávní smlouvě o poskytnutí dotace může poskytovatel stanovit výdaje nebo náklady, jejichž výše nemusí být prokazována a které budou vyúčtovány paušální částkou; paušální výdaje nebo náklady se stanoví</w:t>
      </w:r>
    </w:p>
    <w:p w14:paraId="3D777856" w14:textId="77777777" w:rsidR="00696527" w:rsidRPr="001A22C0" w:rsidRDefault="00696527" w:rsidP="003B6895">
      <w:pPr>
        <w:spacing w:before="0"/>
        <w:ind w:left="425" w:hanging="425"/>
        <w:outlineLvl w:val="7"/>
      </w:pPr>
      <w:r w:rsidRPr="001A22C0">
        <w:t>a)</w:t>
      </w:r>
      <w:r w:rsidRPr="001A22C0">
        <w:tab/>
        <w:t>procentem ze skutečně vynaložených a prokázaných, poskytovatelem stanovených výdajů nebo nákladů,</w:t>
      </w:r>
    </w:p>
    <w:p w14:paraId="2B50590E" w14:textId="77777777" w:rsidR="00696527" w:rsidRPr="001A22C0" w:rsidRDefault="00696527" w:rsidP="003B6895">
      <w:pPr>
        <w:spacing w:before="0"/>
        <w:ind w:left="425" w:hanging="425"/>
        <w:outlineLvl w:val="7"/>
      </w:pPr>
      <w:r w:rsidRPr="001A22C0">
        <w:t>b)</w:t>
      </w:r>
      <w:r w:rsidRPr="001A22C0">
        <w:tab/>
        <w:t>na základě poskytovatelem stanovených jednotkových nákladů, nebo</w:t>
      </w:r>
    </w:p>
    <w:p w14:paraId="44753172" w14:textId="77777777" w:rsidR="00696527" w:rsidRPr="001A22C0" w:rsidRDefault="00696527" w:rsidP="003B6895">
      <w:pPr>
        <w:spacing w:before="0"/>
        <w:ind w:left="425" w:hanging="425"/>
        <w:outlineLvl w:val="7"/>
      </w:pPr>
      <w:r w:rsidRPr="001A22C0">
        <w:t>c)</w:t>
      </w:r>
      <w:r w:rsidRPr="001A22C0">
        <w:tab/>
        <w:t>jako pevná částka pokrývající veškeré výdaje nebo náklady nebo jejich část.</w:t>
      </w:r>
    </w:p>
    <w:p w14:paraId="5EF6C791" w14:textId="77777777" w:rsidR="00696527" w:rsidRPr="001A22C0" w:rsidRDefault="00696527" w:rsidP="003B6895">
      <w:pPr>
        <w:keepNext/>
        <w:keepLines/>
        <w:numPr>
          <w:ilvl w:val="0"/>
          <w:numId w:val="29"/>
        </w:numPr>
        <w:spacing w:after="120"/>
        <w:jc w:val="center"/>
        <w:outlineLvl w:val="5"/>
      </w:pPr>
      <w:r w:rsidRPr="001A22C0">
        <w:lastRenderedPageBreak/>
        <w:t>***</w:t>
      </w:r>
    </w:p>
    <w:p w14:paraId="3C52E7C2" w14:textId="77777777" w:rsidR="00696527" w:rsidRPr="001A22C0" w:rsidRDefault="00696527" w:rsidP="003B6895">
      <w:pPr>
        <w:keepNext/>
        <w:keepLines/>
        <w:numPr>
          <w:ilvl w:val="0"/>
          <w:numId w:val="29"/>
        </w:numPr>
        <w:spacing w:after="120"/>
        <w:jc w:val="center"/>
        <w:outlineLvl w:val="5"/>
      </w:pPr>
      <w:r w:rsidRPr="001A22C0">
        <w:t>§ 13</w:t>
      </w:r>
    </w:p>
    <w:p w14:paraId="5391CE66" w14:textId="77777777" w:rsidR="00696527" w:rsidRPr="001A22C0" w:rsidRDefault="00696527" w:rsidP="003B6895">
      <w:pPr>
        <w:keepNext/>
        <w:keepLines/>
        <w:spacing w:after="120"/>
        <w:jc w:val="center"/>
        <w:outlineLvl w:val="5"/>
        <w:rPr>
          <w:b/>
        </w:rPr>
      </w:pPr>
      <w:r w:rsidRPr="001A22C0">
        <w:rPr>
          <w:b/>
        </w:rPr>
        <w:t>Rozpočtové provizorium</w:t>
      </w:r>
    </w:p>
    <w:p w14:paraId="1BA7FF7D" w14:textId="77777777" w:rsidR="00696527" w:rsidRPr="001A22C0" w:rsidRDefault="00696527" w:rsidP="00CC5D2E">
      <w:pPr>
        <w:tabs>
          <w:tab w:val="left" w:pos="782"/>
          <w:tab w:val="left" w:pos="851"/>
        </w:tabs>
        <w:spacing w:before="120" w:after="120"/>
        <w:outlineLvl w:val="6"/>
      </w:pPr>
      <w:r w:rsidRPr="001A22C0">
        <w:t>(1)</w:t>
      </w:r>
      <w:r w:rsidRPr="001A22C0">
        <w:tab/>
        <w:t>Nebude-li rozpočet schválen před 1. lednem rozpočtového roku, řídí se rozpočtové hospodaření územního samosprávného celku a svazku obcí v době do schválení rozpočtu pravidly rozpočtového provizoria.</w:t>
      </w:r>
    </w:p>
    <w:p w14:paraId="17012F7C" w14:textId="77777777" w:rsidR="00696527" w:rsidRPr="001A22C0" w:rsidRDefault="00696527" w:rsidP="00CC5D2E">
      <w:pPr>
        <w:tabs>
          <w:tab w:val="left" w:pos="782"/>
          <w:tab w:val="left" w:pos="851"/>
        </w:tabs>
        <w:spacing w:before="120" w:after="120"/>
        <w:outlineLvl w:val="6"/>
      </w:pPr>
      <w:r w:rsidRPr="001A22C0">
        <w:t>(2)</w:t>
      </w:r>
      <w:r w:rsidRPr="001A22C0">
        <w:tab/>
        <w:t>Pravidly rozpočtového provizoria se řídí hospodaření územního samosprávného celku i po dobu pozastavení výkonu usnesení zastupitelstva územního samosprávného celku, kterým byl schválen jeho rozpočet, podle zvláštního zákona</w:t>
      </w:r>
      <w:r w:rsidRPr="001A22C0">
        <w:rPr>
          <w:vertAlign w:val="superscript"/>
        </w:rPr>
        <w:t>26)</w:t>
      </w:r>
      <w:r w:rsidRPr="001A22C0">
        <w:t>.</w:t>
      </w:r>
    </w:p>
    <w:p w14:paraId="2387700E" w14:textId="77777777" w:rsidR="00696527" w:rsidRPr="001A22C0" w:rsidRDefault="00696527" w:rsidP="00CC5D2E">
      <w:pPr>
        <w:tabs>
          <w:tab w:val="left" w:pos="782"/>
          <w:tab w:val="left" w:pos="851"/>
        </w:tabs>
        <w:spacing w:before="120" w:after="120"/>
        <w:outlineLvl w:val="6"/>
      </w:pPr>
      <w:r w:rsidRPr="001A22C0">
        <w:t>(3)</w:t>
      </w:r>
      <w:r w:rsidRPr="001A22C0">
        <w:tab/>
        <w:t>Pravidla rozpočtového provizoria potřebná k zajištění plynulosti hospodaření na vlastní úrovni i na úrovni nižších stupňů rozpočtové soustavy a u právnických osob financovaných z územních rozpočtů stanoví</w:t>
      </w:r>
    </w:p>
    <w:p w14:paraId="1DE291EB" w14:textId="77777777" w:rsidR="00696527" w:rsidRPr="001A22C0" w:rsidRDefault="00696527" w:rsidP="003B6895">
      <w:pPr>
        <w:spacing w:before="0"/>
        <w:ind w:left="425" w:hanging="425"/>
        <w:outlineLvl w:val="7"/>
      </w:pPr>
      <w:r w:rsidRPr="001A22C0">
        <w:t>a)</w:t>
      </w:r>
      <w:r w:rsidRPr="001A22C0">
        <w:tab/>
        <w:t>zastupitelstvo kraje pro hospodaření kraje,</w:t>
      </w:r>
    </w:p>
    <w:p w14:paraId="1804AD21" w14:textId="77777777" w:rsidR="00696527" w:rsidRPr="001A22C0" w:rsidRDefault="00696527" w:rsidP="003B6895">
      <w:pPr>
        <w:spacing w:before="0"/>
        <w:ind w:left="425" w:hanging="425"/>
        <w:outlineLvl w:val="7"/>
      </w:pPr>
      <w:r w:rsidRPr="001A22C0">
        <w:t>b)</w:t>
      </w:r>
      <w:r w:rsidRPr="001A22C0">
        <w:tab/>
        <w:t>zastupitelstvo obce pro hospodaření obce,</w:t>
      </w:r>
    </w:p>
    <w:p w14:paraId="06728CC7" w14:textId="77777777" w:rsidR="00696527" w:rsidRPr="001A22C0" w:rsidRDefault="00696527" w:rsidP="003B6895">
      <w:pPr>
        <w:spacing w:before="0"/>
        <w:ind w:left="425" w:hanging="425"/>
        <w:outlineLvl w:val="7"/>
      </w:pPr>
      <w:r w:rsidRPr="001A22C0">
        <w:t>c)</w:t>
      </w:r>
      <w:r w:rsidRPr="001A22C0">
        <w:tab/>
        <w:t>orgány svazku obcí pro hospodaření svazku obcí.</w:t>
      </w:r>
    </w:p>
    <w:p w14:paraId="738F7433" w14:textId="77777777" w:rsidR="00696527" w:rsidRPr="001A22C0" w:rsidRDefault="00696527" w:rsidP="00CC5D2E">
      <w:pPr>
        <w:tabs>
          <w:tab w:val="left" w:pos="782"/>
          <w:tab w:val="left" w:pos="851"/>
        </w:tabs>
        <w:spacing w:before="120" w:after="120"/>
        <w:outlineLvl w:val="6"/>
      </w:pPr>
      <w:r w:rsidRPr="001A22C0">
        <w:t>(4)</w:t>
      </w:r>
      <w:r w:rsidRPr="001A22C0">
        <w:tab/>
        <w:t>Při uplatnění opatření podle zákona o pravidlech rozpočtové odpovědnosti nesmí měsíční výdaje územního samosprávného celku stanovené v pravidlech rozpočtového provizoria překročit jednu dvanáctinu výdajů rozpočtu schváleného pro předchozí rozpočtový rok. Vyšší výdaje lze stanovit pouze v případě, že jejich zvýšení přímo souvisí se zvýšením financování výdajů stanovených jiným zákonem nebo v případě výdajů z důvodu předfinancování projektů spolufinancovaných z rozpočtu Evropské unie.</w:t>
      </w:r>
    </w:p>
    <w:p w14:paraId="6169B46C" w14:textId="77777777" w:rsidR="00696527" w:rsidRPr="001A22C0" w:rsidRDefault="00696527" w:rsidP="00CC5D2E">
      <w:pPr>
        <w:tabs>
          <w:tab w:val="left" w:pos="782"/>
          <w:tab w:val="left" w:pos="851"/>
        </w:tabs>
        <w:spacing w:before="120" w:after="120"/>
        <w:outlineLvl w:val="6"/>
      </w:pPr>
      <w:r w:rsidRPr="001A22C0">
        <w:t>(5)</w:t>
      </w:r>
      <w:r w:rsidRPr="001A22C0">
        <w:tab/>
        <w:t>Rozpočtové příjmy a výdaje uskutečněné v době rozpočtového provizoria se stávají příjmy a výdaji rozpočtu po jeho schválení.</w:t>
      </w:r>
    </w:p>
    <w:p w14:paraId="2F3B82A7" w14:textId="77777777" w:rsidR="00696527" w:rsidRPr="001A22C0" w:rsidRDefault="00696527" w:rsidP="00CC5D2E">
      <w:pPr>
        <w:tabs>
          <w:tab w:val="left" w:pos="782"/>
          <w:tab w:val="left" w:pos="851"/>
        </w:tabs>
        <w:spacing w:before="120" w:after="120"/>
        <w:outlineLvl w:val="6"/>
      </w:pPr>
      <w:r w:rsidRPr="001A22C0">
        <w:t>(6)</w:t>
      </w:r>
      <w:r w:rsidRPr="001A22C0">
        <w:tab/>
        <w:t xml:space="preserve">Územní samosprávný celek </w:t>
      </w:r>
      <w:r w:rsidRPr="001A22C0">
        <w:rPr>
          <w:strike/>
        </w:rPr>
        <w:t>a regionální rada regionu soudržnosti</w:t>
      </w:r>
      <w:r w:rsidRPr="001A22C0">
        <w:t xml:space="preserve"> zveřejní pravidla rozpočtového provizoria na svých internetových stránkách nejpozději do 31. prosince rozpočtového roku předcházejícího rozpočtovému roku, na který jsou schválena. Současně oznámí na své úřední desce, kde jsou zveřejněna v elektronické podobě a kde je možno nahlédnout do jejich listinné podoby. Tímto způsobem musí být zveřejněna až do zveřejnění rozpočtu na rozpočtový rok, na který jsou schválena. Při pozastavení výkonu usnesení zastupitelstva územního samosprávného celku, kterým byl schválen jeho rozpočet, zveřejní územní samosprávný celek pravidla rozpočtového provizoria v den následující po dni doručení rozhodnutí o pozastavení výkonu usnesení.</w:t>
      </w:r>
    </w:p>
    <w:p w14:paraId="19101E55" w14:textId="77777777" w:rsidR="00696527" w:rsidRPr="001A22C0" w:rsidRDefault="00696527" w:rsidP="00CC5D2E">
      <w:pPr>
        <w:tabs>
          <w:tab w:val="left" w:pos="782"/>
          <w:tab w:val="left" w:pos="851"/>
        </w:tabs>
        <w:spacing w:before="120" w:after="120"/>
        <w:outlineLvl w:val="6"/>
      </w:pPr>
      <w:r w:rsidRPr="001A22C0">
        <w:t>(7)</w:t>
      </w:r>
      <w:r w:rsidRPr="001A22C0">
        <w:tab/>
        <w:t>Svazek obcí zveřejní pravidla rozpočtového provizoria nejpozději do 31. prosince rozpočtového roku předcházejícího roku, na který jsou schválena, na svých internetových stránkách nebo na stránkách členských obcí. Současně na úředních deskách členských obcí oznámí, kde jsou zveřejněna v elektronické podobě a kde je možno nahlédnout do jejich listinné podoby. Tímto způsobem musí být zveřejněna až do zveřejnění rozpočtu na rozpočtový rok, na která jsou schválena.</w:t>
      </w:r>
    </w:p>
    <w:p w14:paraId="1A68584E" w14:textId="77777777" w:rsidR="00696527" w:rsidRPr="001A22C0" w:rsidRDefault="00696527" w:rsidP="003B6895">
      <w:pPr>
        <w:keepNext/>
        <w:keepLines/>
        <w:spacing w:after="120"/>
        <w:jc w:val="center"/>
        <w:outlineLvl w:val="5"/>
      </w:pPr>
      <w:r w:rsidRPr="001A22C0">
        <w:lastRenderedPageBreak/>
        <w:t>***</w:t>
      </w:r>
    </w:p>
    <w:p w14:paraId="30106F5F" w14:textId="77777777" w:rsidR="00696527" w:rsidRPr="001A22C0" w:rsidRDefault="00696527" w:rsidP="003B6895">
      <w:pPr>
        <w:keepNext/>
        <w:keepLines/>
        <w:spacing w:after="120"/>
        <w:jc w:val="center"/>
        <w:outlineLvl w:val="5"/>
      </w:pPr>
      <w:r w:rsidRPr="001A22C0">
        <w:t>§ 16</w:t>
      </w:r>
    </w:p>
    <w:p w14:paraId="018D4A7C" w14:textId="77777777" w:rsidR="00696527" w:rsidRPr="001A22C0" w:rsidRDefault="00696527" w:rsidP="003B6895">
      <w:pPr>
        <w:keepNext/>
        <w:keepLines/>
        <w:spacing w:after="120"/>
        <w:jc w:val="center"/>
        <w:outlineLvl w:val="5"/>
        <w:rPr>
          <w:b/>
        </w:rPr>
      </w:pPr>
      <w:r w:rsidRPr="001A22C0">
        <w:rPr>
          <w:b/>
        </w:rPr>
        <w:t>Změny rozpočtu</w:t>
      </w:r>
    </w:p>
    <w:p w14:paraId="246F28A7" w14:textId="222143CA" w:rsidR="00696527" w:rsidRPr="001A22C0" w:rsidRDefault="003B6895" w:rsidP="00CC5D2E">
      <w:pPr>
        <w:tabs>
          <w:tab w:val="left" w:pos="782"/>
          <w:tab w:val="left" w:pos="851"/>
        </w:tabs>
        <w:spacing w:before="120" w:after="120"/>
        <w:outlineLvl w:val="6"/>
      </w:pPr>
      <w:r>
        <w:t xml:space="preserve">(1) </w:t>
      </w:r>
      <w:r w:rsidR="00696527" w:rsidRPr="001A22C0">
        <w:t>Rozpočet může být po jeho schválení změněn z důvodu</w:t>
      </w:r>
    </w:p>
    <w:p w14:paraId="57774B96" w14:textId="77777777" w:rsidR="00696527" w:rsidRPr="001A22C0" w:rsidRDefault="00696527" w:rsidP="003B6895">
      <w:pPr>
        <w:spacing w:before="0"/>
        <w:ind w:left="425" w:hanging="425"/>
        <w:outlineLvl w:val="7"/>
      </w:pPr>
      <w:r w:rsidRPr="001A22C0">
        <w:t>a)</w:t>
      </w:r>
      <w:r w:rsidRPr="001A22C0">
        <w:tab/>
        <w:t>změny v organizaci hospodářství financovaného rozpočtem (organizační změny),</w:t>
      </w:r>
    </w:p>
    <w:p w14:paraId="169B9253" w14:textId="77777777" w:rsidR="00696527" w:rsidRPr="001A22C0" w:rsidRDefault="00696527" w:rsidP="003B6895">
      <w:pPr>
        <w:spacing w:before="0"/>
        <w:ind w:left="425" w:hanging="425"/>
        <w:outlineLvl w:val="7"/>
      </w:pPr>
      <w:r w:rsidRPr="001A22C0">
        <w:t>b)</w:t>
      </w:r>
      <w:r w:rsidRPr="001A22C0">
        <w:tab/>
        <w:t>změny právních předpisů ovlivňujících výši rozpočtovaných příjmů nebo výdajů (metodické změny); patří mezi ně také cenové změny ovlivněné změnami právní úpravy regulovaných cen, nebo</w:t>
      </w:r>
    </w:p>
    <w:p w14:paraId="69492742" w14:textId="77777777" w:rsidR="00696527" w:rsidRPr="001A22C0" w:rsidRDefault="00696527" w:rsidP="003B6895">
      <w:pPr>
        <w:spacing w:before="0"/>
        <w:ind w:left="425" w:hanging="425"/>
        <w:outlineLvl w:val="7"/>
      </w:pPr>
      <w:r w:rsidRPr="001A22C0">
        <w:t>c)</w:t>
      </w:r>
      <w:r w:rsidRPr="001A22C0">
        <w:tab/>
        <w:t>změny objektivně působících skutečností ovlivňujících plnění rozpočtu příjmů či výdajů (věcné změny).</w:t>
      </w:r>
    </w:p>
    <w:p w14:paraId="3673F627" w14:textId="0C5B0517" w:rsidR="00696527" w:rsidRPr="001A22C0" w:rsidRDefault="003B6895" w:rsidP="00CC5D2E">
      <w:pPr>
        <w:tabs>
          <w:tab w:val="left" w:pos="782"/>
          <w:tab w:val="left" w:pos="851"/>
        </w:tabs>
        <w:spacing w:before="120" w:after="120"/>
        <w:outlineLvl w:val="6"/>
        <w:rPr>
          <w:b/>
        </w:rPr>
      </w:pPr>
      <w:r>
        <w:t xml:space="preserve">(2) </w:t>
      </w:r>
      <w:r w:rsidR="00696527" w:rsidRPr="001A22C0">
        <w:t xml:space="preserve">Změna rozpočtu se provádí rozpočtovým opatřením. Rozpočtová opatření se evidují podle časové posloupnosti. Rozpočtová opatření se uskutečňují povinně, a to i jde-li o změny ve finančních vztazích k jinému rozpočtu, o změny závazných ukazatelů vůči jiným </w:t>
      </w:r>
      <w:proofErr w:type="gramStart"/>
      <w:r w:rsidR="00696527" w:rsidRPr="001A22C0">
        <w:t>osobám nebo</w:t>
      </w:r>
      <w:proofErr w:type="gramEnd"/>
      <w:r w:rsidR="00696527" w:rsidRPr="001A22C0">
        <w:t xml:space="preserve"> jestliže hrozí nebezpečí vzniku rozpočtového schodku. </w:t>
      </w:r>
      <w:r w:rsidR="00696527" w:rsidRPr="001A22C0">
        <w:rPr>
          <w:b/>
        </w:rPr>
        <w:t>V případě změny rozpočtu podle § 28 odst. 15 provádí rozpočtové opatření úřad, který o této změně informuje orgán příslušný k provádění rozpočtových opatření v ostatních případech. U svazku obcí provádí rozpočtové opatření podle § 28 odst. 15 výkonný orgán svazku obcí, který o této změně informuje nejvyšší orgán svazku obcí. Pokud není výkonný orgán svazku obcí vymezen stanovami, provádí změny rozpočtu podle § 28 odst. 15 nejvyšší orgán svazku obcí.</w:t>
      </w:r>
    </w:p>
    <w:p w14:paraId="19B71495" w14:textId="13E0074B" w:rsidR="00696527" w:rsidRPr="001A22C0" w:rsidRDefault="00696527" w:rsidP="00CC5D2E">
      <w:pPr>
        <w:tabs>
          <w:tab w:val="left" w:pos="782"/>
          <w:tab w:val="left" w:pos="851"/>
        </w:tabs>
        <w:spacing w:before="120" w:after="120"/>
        <w:outlineLvl w:val="6"/>
      </w:pPr>
      <w:r w:rsidRPr="001A22C0">
        <w:t>(</w:t>
      </w:r>
      <w:r w:rsidR="003B6895">
        <w:t xml:space="preserve">3) </w:t>
      </w:r>
      <w:r w:rsidRPr="001A22C0">
        <w:t>Rozpočtovým opatřením je</w:t>
      </w:r>
    </w:p>
    <w:p w14:paraId="1F9D4683" w14:textId="77777777" w:rsidR="00696527" w:rsidRPr="001A22C0" w:rsidRDefault="00696527" w:rsidP="003B6895">
      <w:pPr>
        <w:spacing w:before="0"/>
        <w:ind w:left="425" w:hanging="425"/>
        <w:outlineLvl w:val="7"/>
      </w:pPr>
      <w:r w:rsidRPr="001A22C0">
        <w:t>a)</w:t>
      </w:r>
      <w:r w:rsidRPr="001A22C0">
        <w:tab/>
        <w:t>přesun rozpočtových prostředků, při němž se jednotlivé příjmy nebo výdaje navzájem ovlivňují, aniž by se změnil jejich celkový objem nebo schválený rozdíl celkových příjmů a výdajů,</w:t>
      </w:r>
    </w:p>
    <w:p w14:paraId="6FA6D3C6" w14:textId="77777777" w:rsidR="00696527" w:rsidRPr="001A22C0" w:rsidRDefault="00696527" w:rsidP="003B6895">
      <w:pPr>
        <w:spacing w:before="0"/>
        <w:ind w:left="425" w:hanging="425"/>
        <w:outlineLvl w:val="7"/>
      </w:pPr>
      <w:r w:rsidRPr="001A22C0">
        <w:t>b)</w:t>
      </w:r>
      <w:r w:rsidRPr="001A22C0">
        <w:tab/>
        <w:t>použití nových, rozpočtem nepředvídaných příjmů k úhradě nových, rozpočtem nezajištěných výdajů, čímž se zvýší celkový objem rozpočtu,</w:t>
      </w:r>
    </w:p>
    <w:p w14:paraId="6E173801" w14:textId="77777777" w:rsidR="00696527" w:rsidRPr="001A22C0" w:rsidRDefault="00696527" w:rsidP="003B6895">
      <w:pPr>
        <w:spacing w:before="0"/>
        <w:ind w:left="425" w:hanging="425"/>
        <w:outlineLvl w:val="7"/>
      </w:pPr>
      <w:r w:rsidRPr="001A22C0">
        <w:t>c)</w:t>
      </w:r>
      <w:r w:rsidRPr="001A22C0">
        <w:tab/>
        <w:t>vázání rozpočtových výdajů, jestliže je jejich krytí ohroženo neplněním rozpočtových příjmů; tímto opatřením se objem rozpočtu snižuje.</w:t>
      </w:r>
    </w:p>
    <w:p w14:paraId="0BCC7FEB" w14:textId="77777777" w:rsidR="00696527" w:rsidRPr="001A22C0" w:rsidRDefault="00696527" w:rsidP="003B6895">
      <w:pPr>
        <w:spacing w:before="0"/>
        <w:ind w:left="425" w:hanging="425"/>
        <w:outlineLvl w:val="7"/>
        <w:rPr>
          <w:b/>
        </w:rPr>
      </w:pPr>
      <w:r w:rsidRPr="00270C3A">
        <w:rPr>
          <w:b/>
        </w:rPr>
        <w:t>d)</w:t>
      </w:r>
      <w:r w:rsidRPr="001A22C0">
        <w:tab/>
      </w:r>
      <w:r w:rsidRPr="001A22C0">
        <w:rPr>
          <w:b/>
        </w:rPr>
        <w:t>použití kladného zůstatku peněžních prostředků rozpočtového hospodaření nebo přijatých půjčených peněžních prostředků k úhradě nových, rozpočtem nezajištěných výdajů, čímž dojde ke změně schváleného rozdílu celkových příjmů a výdajů,</w:t>
      </w:r>
    </w:p>
    <w:p w14:paraId="3F541018" w14:textId="77777777" w:rsidR="00696527" w:rsidRPr="001A22C0" w:rsidRDefault="00696527" w:rsidP="003B6895">
      <w:pPr>
        <w:spacing w:before="0"/>
        <w:ind w:left="425" w:hanging="425"/>
        <w:outlineLvl w:val="7"/>
        <w:rPr>
          <w:b/>
        </w:rPr>
      </w:pPr>
      <w:r w:rsidRPr="001A22C0">
        <w:rPr>
          <w:b/>
        </w:rPr>
        <w:t>e)</w:t>
      </w:r>
      <w:r w:rsidRPr="001A22C0">
        <w:rPr>
          <w:b/>
        </w:rPr>
        <w:tab/>
        <w:t>použití kladného zůstatku peněžních prostředků rozpočtového hospodaření nebo přijatých půjčených peněžních prostředků k úhradě rozpočtových výdajů, jestliže je krytí rozpočtových výdajů ohroženo neplněním rozpočtových příjmů, čímž dojde ke změně schváleného rozdílu celkových příjmů a výdajů.</w:t>
      </w:r>
    </w:p>
    <w:p w14:paraId="16FA4BA0" w14:textId="1DC685DA" w:rsidR="00696527" w:rsidRPr="001A22C0" w:rsidRDefault="00696527" w:rsidP="00CC5D2E">
      <w:pPr>
        <w:tabs>
          <w:tab w:val="left" w:pos="782"/>
          <w:tab w:val="left" w:pos="851"/>
        </w:tabs>
        <w:spacing w:before="120" w:after="120"/>
        <w:outlineLvl w:val="6"/>
      </w:pPr>
      <w:r w:rsidRPr="001A22C0">
        <w:t>(</w:t>
      </w:r>
      <w:r w:rsidR="003B6895">
        <w:t xml:space="preserve">4) </w:t>
      </w:r>
      <w:r w:rsidRPr="001A22C0">
        <w:t xml:space="preserve">Rozpočtové opatření se provádí před provedením rozpočtově nezajištěného výdaje. Po provedení rozpočtově nezajištěného výdaje lze rozpočtové opatření provést pouze při živelní pohromě nebo havárii ohrožující životy a majetek, při plnění peněžní povinnosti uložené pravomocným rozhodnutím, při obdržení dotace před koncem kalendářního </w:t>
      </w:r>
      <w:proofErr w:type="gramStart"/>
      <w:r w:rsidRPr="001A22C0">
        <w:t>roku nebo</w:t>
      </w:r>
      <w:proofErr w:type="gramEnd"/>
      <w:r w:rsidRPr="001A22C0">
        <w:t xml:space="preserve"> pokud se jedná o peněžní prostředky podle § 28 odst. 15.</w:t>
      </w:r>
    </w:p>
    <w:p w14:paraId="1B3409FA" w14:textId="70CDE30B" w:rsidR="00696527" w:rsidRPr="001A22C0" w:rsidRDefault="003B6895" w:rsidP="00CC5D2E">
      <w:pPr>
        <w:tabs>
          <w:tab w:val="left" w:pos="782"/>
          <w:tab w:val="left" w:pos="851"/>
        </w:tabs>
        <w:spacing w:before="120" w:after="120"/>
        <w:outlineLvl w:val="6"/>
      </w:pPr>
      <w:r>
        <w:t xml:space="preserve">(5) </w:t>
      </w:r>
      <w:r w:rsidR="00696527" w:rsidRPr="001A22C0">
        <w:t xml:space="preserve">Rozpočtové opatření zveřejní územní samosprávný celek </w:t>
      </w:r>
      <w:r w:rsidR="00696527" w:rsidRPr="001A22C0">
        <w:rPr>
          <w:strike/>
        </w:rPr>
        <w:t>a regionální rada regionu soudržnosti</w:t>
      </w:r>
      <w:r w:rsidR="00696527" w:rsidRPr="001A22C0">
        <w:t xml:space="preserve"> na svých internetových stránkách do 30 dnů od jeho schválení, svazek obcí zveřejní rozpočtové opatření ve stejné lhůtě na svých internetových stránkách nebo na stránkách </w:t>
      </w:r>
      <w:r w:rsidR="00696527" w:rsidRPr="001A22C0">
        <w:lastRenderedPageBreak/>
        <w:t xml:space="preserve">členských obcí. Současně územní samosprávný celek </w:t>
      </w:r>
      <w:r w:rsidR="00696527" w:rsidRPr="001A22C0">
        <w:rPr>
          <w:strike/>
        </w:rPr>
        <w:t>a regionální rada regionu soudržnosti</w:t>
      </w:r>
      <w:r w:rsidR="00696527" w:rsidRPr="001A22C0">
        <w:t xml:space="preserve"> oznámí na své úřední desce a svazek obcí na úředních deskách členských obcí, kde je rozpočtové opatření zveřejněno v elektronické podobě a kde je možno nahlédnout do jeho listinné podoby. Tímto způsobem musí být zveřejněno po dobu zveřejnění rozpočtu, který je rozpočtovým opatřením změněn.</w:t>
      </w:r>
    </w:p>
    <w:p w14:paraId="366F6EEC" w14:textId="77777777" w:rsidR="00696527" w:rsidRPr="001A22C0" w:rsidRDefault="00696527" w:rsidP="003B6895">
      <w:pPr>
        <w:keepNext/>
        <w:keepLines/>
        <w:numPr>
          <w:ilvl w:val="0"/>
          <w:numId w:val="29"/>
        </w:numPr>
        <w:spacing w:after="120"/>
        <w:jc w:val="center"/>
        <w:outlineLvl w:val="5"/>
      </w:pPr>
      <w:r w:rsidRPr="001A22C0">
        <w:t>§ 17</w:t>
      </w:r>
    </w:p>
    <w:p w14:paraId="6BFF28ED" w14:textId="77777777" w:rsidR="00696527" w:rsidRPr="001A22C0" w:rsidRDefault="00696527" w:rsidP="003B6895">
      <w:pPr>
        <w:keepNext/>
        <w:keepLines/>
        <w:spacing w:after="120"/>
        <w:jc w:val="center"/>
        <w:outlineLvl w:val="5"/>
        <w:rPr>
          <w:b/>
        </w:rPr>
      </w:pPr>
      <w:r w:rsidRPr="001A22C0">
        <w:rPr>
          <w:b/>
        </w:rPr>
        <w:t>Závěrečný účet</w:t>
      </w:r>
    </w:p>
    <w:p w14:paraId="36D1FA18" w14:textId="7B3EE046" w:rsidR="00696527" w:rsidRPr="001A22C0" w:rsidRDefault="003B6895" w:rsidP="00CC5D2E">
      <w:pPr>
        <w:tabs>
          <w:tab w:val="left" w:pos="782"/>
          <w:tab w:val="left" w:pos="851"/>
        </w:tabs>
        <w:spacing w:before="120" w:after="120"/>
        <w:outlineLvl w:val="6"/>
      </w:pPr>
      <w:r>
        <w:t xml:space="preserve">(1) </w:t>
      </w:r>
      <w:r w:rsidR="00696527" w:rsidRPr="001A22C0">
        <w:t>Po skončení kalendářního roku se údaje o ročním hospodaření územního samosprávného celku a svazku obcí souhrnně zpracovávají do závěrečného účtu.</w:t>
      </w:r>
    </w:p>
    <w:p w14:paraId="30743712" w14:textId="64C6E367" w:rsidR="00696527" w:rsidRPr="001A22C0" w:rsidRDefault="003B6895" w:rsidP="00CC5D2E">
      <w:pPr>
        <w:tabs>
          <w:tab w:val="left" w:pos="782"/>
          <w:tab w:val="left" w:pos="851"/>
        </w:tabs>
        <w:spacing w:before="120" w:after="120"/>
        <w:outlineLvl w:val="6"/>
      </w:pPr>
      <w:r>
        <w:t xml:space="preserve">(2) </w:t>
      </w:r>
      <w:r w:rsidR="00696527" w:rsidRPr="001A22C0">
        <w:t xml:space="preserve">V závěrečném účtu jsou obsaženy údaje o plnění rozpočtu </w:t>
      </w:r>
      <w:r w:rsidR="00696527" w:rsidRPr="001A22C0">
        <w:rPr>
          <w:strike/>
        </w:rPr>
        <w:t>příjmů a výdajů v plném členění podle rozpočtové skladby</w:t>
      </w:r>
      <w:r w:rsidR="00696527" w:rsidRPr="001A22C0">
        <w:rPr>
          <w:b/>
        </w:rPr>
        <w:t xml:space="preserve"> s komentářem, zhodnocení podnikatelské činnosti s komentářem</w:t>
      </w:r>
      <w:r w:rsidR="00696527" w:rsidRPr="001A22C0">
        <w:t>, údaje o hospodaření s majetkem a o dalších finančních operacích, včetně tvorby a použití peněžních fondů v tak podrobném členění a obsahu, aby bylo možné zhodnotit finanční hospodaření územního samosprávného celku nebo svazku obcí a jimi zřízených nebo založených právnických osob.</w:t>
      </w:r>
    </w:p>
    <w:p w14:paraId="75718AE6" w14:textId="00B52805" w:rsidR="00696527" w:rsidRPr="001A22C0" w:rsidRDefault="003B6895" w:rsidP="00CC5D2E">
      <w:pPr>
        <w:tabs>
          <w:tab w:val="left" w:pos="782"/>
          <w:tab w:val="left" w:pos="851"/>
        </w:tabs>
        <w:spacing w:before="120" w:after="120"/>
        <w:outlineLvl w:val="6"/>
      </w:pPr>
      <w:r>
        <w:t xml:space="preserve">(3) </w:t>
      </w:r>
      <w:r w:rsidR="00696527" w:rsidRPr="001A22C0">
        <w:t xml:space="preserve">Součástí závěrečného účtu je </w:t>
      </w:r>
      <w:r w:rsidR="00696527" w:rsidRPr="001A22C0">
        <w:rPr>
          <w:b/>
        </w:rPr>
        <w:t>souhrnné</w:t>
      </w:r>
      <w:r w:rsidR="00696527" w:rsidRPr="001A22C0">
        <w:t xml:space="preserve"> vyúčtování finančních vztahů ke státnímu rozpočtu, rozpočtům krajů, obcí, státním fondům, Národnímu fondu a jiným rozpočtům a k hospodaření dalších osob.</w:t>
      </w:r>
    </w:p>
    <w:p w14:paraId="1FEA7FD6" w14:textId="17CEA4A3" w:rsidR="00696527" w:rsidRPr="001A22C0" w:rsidRDefault="003B6895" w:rsidP="00CC5D2E">
      <w:pPr>
        <w:tabs>
          <w:tab w:val="left" w:pos="782"/>
          <w:tab w:val="left" w:pos="851"/>
        </w:tabs>
        <w:spacing w:before="120" w:after="120"/>
        <w:outlineLvl w:val="6"/>
      </w:pPr>
      <w:r>
        <w:t xml:space="preserve">(4) </w:t>
      </w:r>
      <w:r w:rsidR="00696527" w:rsidRPr="001A22C0">
        <w:t xml:space="preserve">Územní samosprávný celek a svazek obcí jsou povinny dát si přezkoumat své hospodaření za uplynulý kalendářní </w:t>
      </w:r>
      <w:proofErr w:type="gramStart"/>
      <w:r w:rsidR="00696527" w:rsidRPr="001A22C0">
        <w:t>rok.</w:t>
      </w:r>
      <w:r w:rsidR="00696527" w:rsidRPr="001A22C0">
        <w:rPr>
          <w:vertAlign w:val="superscript"/>
        </w:rPr>
        <w:footnoteReference w:customMarkFollows="1" w:id="368"/>
        <w:t>11</w:t>
      </w:r>
      <w:proofErr w:type="gramEnd"/>
      <w:r w:rsidR="00696527" w:rsidRPr="001A22C0">
        <w:rPr>
          <w:vertAlign w:val="superscript"/>
        </w:rPr>
        <w:t>)</w:t>
      </w:r>
      <w:r w:rsidR="00696527" w:rsidRPr="001A22C0">
        <w:t xml:space="preserve"> Přezkoumání hospodaření upravuje zvláštní právní předpis.</w:t>
      </w:r>
      <w:r w:rsidR="00696527" w:rsidRPr="001A22C0">
        <w:rPr>
          <w:vertAlign w:val="superscript"/>
        </w:rPr>
        <w:footnoteReference w:customMarkFollows="1" w:id="369"/>
        <w:t>11b)</w:t>
      </w:r>
    </w:p>
    <w:p w14:paraId="0236E5F9" w14:textId="150896AF" w:rsidR="00696527" w:rsidRPr="001A22C0" w:rsidRDefault="003B6895" w:rsidP="00CC5D2E">
      <w:pPr>
        <w:tabs>
          <w:tab w:val="left" w:pos="782"/>
          <w:tab w:val="left" w:pos="851"/>
        </w:tabs>
        <w:spacing w:before="120" w:after="120"/>
        <w:outlineLvl w:val="6"/>
      </w:pPr>
      <w:r>
        <w:t xml:space="preserve">(5) </w:t>
      </w:r>
      <w:r w:rsidR="00696527" w:rsidRPr="001A22C0">
        <w:t>Zpráva o výsledku přezkoumání hospodaření je součástí závěrečného účtu při jeho projednávání v orgánech územního samosprávného celku a svazku obcí.</w:t>
      </w:r>
    </w:p>
    <w:p w14:paraId="0F2141E6" w14:textId="733B2D53" w:rsidR="00696527" w:rsidRPr="001A22C0" w:rsidRDefault="003B6895" w:rsidP="00CC5D2E">
      <w:pPr>
        <w:tabs>
          <w:tab w:val="left" w:pos="782"/>
          <w:tab w:val="left" w:pos="851"/>
        </w:tabs>
        <w:spacing w:before="120" w:after="120"/>
        <w:outlineLvl w:val="6"/>
      </w:pPr>
      <w:r>
        <w:t xml:space="preserve">(6) </w:t>
      </w:r>
      <w:r w:rsidR="00696527" w:rsidRPr="001A22C0">
        <w:t>Územní samosprávný celek zveřejní návrh závěrečného účtu včetně zprávy o výsledku přezkoumání hospodaření</w:t>
      </w:r>
      <w:r w:rsidR="00696527" w:rsidRPr="001A22C0">
        <w:rPr>
          <w:vertAlign w:val="superscript"/>
        </w:rPr>
        <w:footnoteReference w:customMarkFollows="1" w:id="370"/>
        <w:t>21)</w:t>
      </w:r>
      <w:r w:rsidR="00696527" w:rsidRPr="001A22C0">
        <w:t xml:space="preserve"> na svých internetových stránkách a na úřední desce nejméně 15 dnů přede dnem zahájení jeho projednávání na zasedání zastupitelstva územního samosprávného celku</w:t>
      </w:r>
      <w:r w:rsidR="00121500" w:rsidRPr="00121500">
        <w:rPr>
          <w:vertAlign w:val="superscript"/>
        </w:rPr>
        <w:t>10)</w:t>
      </w:r>
      <w:r w:rsidR="00696527" w:rsidRPr="001A22C0">
        <w:t>. Na internetových stránkách se zveřejňuje úplné znění návrhu včetně zprávy o výsledku přezkoumání hospodaření. Na úřední desce může být návrh zveřejněn v užším rozsahu, který obsahuje alespoň údaje o plnění příjmů a výdajů rozpočtu v třídění podle nejvyšších jednotek druhového třídění rozpočtové skladby a závěr zprávy o výsledku přezkoumání hospodaření. Zveřejnění musí trvat až do zveřejnění závěrečného účtu. Připomínky k návrhu závěrečného účtu mohou občané příslušného územního samosprávného celku uplatnit písemně ve lhůtě stanovené při jeho zveřejnění nebo ústně při jeho projednávání na zasedání zastupitelstva.</w:t>
      </w:r>
    </w:p>
    <w:p w14:paraId="09E9D021" w14:textId="1FEFEF26" w:rsidR="00696527" w:rsidRPr="001A22C0" w:rsidRDefault="00121500" w:rsidP="00CC5D2E">
      <w:pPr>
        <w:tabs>
          <w:tab w:val="left" w:pos="782"/>
          <w:tab w:val="left" w:pos="851"/>
        </w:tabs>
        <w:spacing w:before="120" w:after="120"/>
        <w:outlineLvl w:val="6"/>
      </w:pPr>
      <w:r>
        <w:lastRenderedPageBreak/>
        <w:t xml:space="preserve">(7) </w:t>
      </w:r>
      <w:r w:rsidR="00696527" w:rsidRPr="001A22C0">
        <w:t>Projednání závěrečného účtu se uzavírá vyjádřením</w:t>
      </w:r>
    </w:p>
    <w:p w14:paraId="69E2359D" w14:textId="77777777" w:rsidR="00696527" w:rsidRPr="001A22C0" w:rsidRDefault="00696527" w:rsidP="00121500">
      <w:pPr>
        <w:spacing w:before="0"/>
        <w:ind w:left="425" w:hanging="425"/>
        <w:outlineLvl w:val="7"/>
      </w:pPr>
      <w:r w:rsidRPr="001A22C0">
        <w:t>a)</w:t>
      </w:r>
      <w:r w:rsidRPr="001A22C0">
        <w:tab/>
        <w:t>souhlasu s celoročním hospodařením, a to bez výhrad, nebo</w:t>
      </w:r>
    </w:p>
    <w:p w14:paraId="262FA7A5" w14:textId="77777777" w:rsidR="00696527" w:rsidRPr="001A22C0" w:rsidRDefault="00696527" w:rsidP="00121500">
      <w:pPr>
        <w:spacing w:before="0"/>
        <w:ind w:left="425" w:hanging="425"/>
        <w:outlineLvl w:val="7"/>
      </w:pPr>
      <w:r w:rsidRPr="001A22C0">
        <w:t>b)</w:t>
      </w:r>
      <w:r w:rsidRPr="001A22C0">
        <w:tab/>
        <w:t>souhlasu s výhradami, na základě nichž přijme územní samosprávný celek a svazek obcí opatření potřebná k nápravě zjištěných chyb a nedostatků; přitom vyvodí závěry vůči osobám, které svým jednáním způsobily územnímu samosprávnému celku nebo svazku obcí škodu.</w:t>
      </w:r>
    </w:p>
    <w:p w14:paraId="0D3F3618" w14:textId="7E5282A4" w:rsidR="00696527" w:rsidRPr="001A22C0" w:rsidRDefault="00121500" w:rsidP="00CC5D2E">
      <w:pPr>
        <w:tabs>
          <w:tab w:val="left" w:pos="782"/>
          <w:tab w:val="left" w:pos="851"/>
        </w:tabs>
        <w:spacing w:before="120" w:after="120"/>
        <w:outlineLvl w:val="6"/>
      </w:pPr>
      <w:r>
        <w:t xml:space="preserve">(8) </w:t>
      </w:r>
      <w:r w:rsidR="00696527" w:rsidRPr="001A22C0">
        <w:t>Územní samosprávný celek zveřejní závěrečný účet včetně zprávy o výsledku přezkoumání hospodaření na svých internetových stránkách do 30 dnů ode dne jeho schválení</w:t>
      </w:r>
      <w:r w:rsidR="00696527" w:rsidRPr="001A22C0">
        <w:rPr>
          <w:vertAlign w:val="superscript"/>
        </w:rPr>
        <w:t>10)</w:t>
      </w:r>
      <w:r w:rsidR="00696527" w:rsidRPr="001A22C0">
        <w:t xml:space="preserve"> a současně oznámí na úřední desce, kde je zveřejněn v elektronické podobě a kde je možno nahlédnout do jeho listinné podoby. Tímto způsobem musí být zveřejněn až do zveřejnění závěrečného účtu za následující rozpočtový rok.</w:t>
      </w:r>
    </w:p>
    <w:p w14:paraId="4D0ADF54" w14:textId="77777777" w:rsidR="00696527" w:rsidRPr="001A22C0" w:rsidRDefault="00696527" w:rsidP="0096635B">
      <w:pPr>
        <w:keepNext/>
        <w:keepLines/>
        <w:numPr>
          <w:ilvl w:val="0"/>
          <w:numId w:val="29"/>
        </w:numPr>
        <w:spacing w:after="120"/>
        <w:jc w:val="center"/>
        <w:outlineLvl w:val="5"/>
      </w:pPr>
      <w:r w:rsidRPr="001A22C0">
        <w:t>***</w:t>
      </w:r>
    </w:p>
    <w:p w14:paraId="35268497" w14:textId="77777777" w:rsidR="00696527" w:rsidRPr="001A22C0" w:rsidRDefault="00696527" w:rsidP="0096635B">
      <w:pPr>
        <w:keepNext/>
        <w:keepLines/>
        <w:numPr>
          <w:ilvl w:val="0"/>
          <w:numId w:val="29"/>
        </w:numPr>
        <w:spacing w:after="120"/>
        <w:jc w:val="center"/>
        <w:outlineLvl w:val="5"/>
      </w:pPr>
      <w:r w:rsidRPr="001A22C0">
        <w:t>§ 19</w:t>
      </w:r>
    </w:p>
    <w:p w14:paraId="21B95DFD" w14:textId="77777777" w:rsidR="00696527" w:rsidRPr="001A22C0" w:rsidRDefault="00696527" w:rsidP="0096635B">
      <w:pPr>
        <w:keepNext/>
        <w:keepLines/>
        <w:spacing w:after="120"/>
        <w:ind w:firstLine="0"/>
        <w:jc w:val="center"/>
        <w:outlineLvl w:val="5"/>
        <w:rPr>
          <w:b/>
        </w:rPr>
      </w:pPr>
      <w:r w:rsidRPr="001A22C0">
        <w:rPr>
          <w:b/>
        </w:rPr>
        <w:t>Účelovost rozpočtových prostředků</w:t>
      </w:r>
    </w:p>
    <w:p w14:paraId="5F57712D" w14:textId="3500DD7C" w:rsidR="00696527" w:rsidRPr="001A22C0" w:rsidRDefault="0096635B" w:rsidP="00CC5D2E">
      <w:pPr>
        <w:tabs>
          <w:tab w:val="left" w:pos="782"/>
          <w:tab w:val="left" w:pos="851"/>
        </w:tabs>
        <w:spacing w:before="120" w:after="120"/>
        <w:outlineLvl w:val="6"/>
      </w:pPr>
      <w:r>
        <w:t xml:space="preserve">(1) </w:t>
      </w:r>
      <w:r w:rsidR="00696527" w:rsidRPr="001A22C0">
        <w:t>Účelovost rozpočtových prostředků se určí</w:t>
      </w:r>
    </w:p>
    <w:p w14:paraId="389DA304" w14:textId="77777777" w:rsidR="00696527" w:rsidRPr="001A22C0" w:rsidRDefault="00696527" w:rsidP="0096635B">
      <w:pPr>
        <w:spacing w:before="0"/>
        <w:ind w:left="425" w:hanging="425"/>
        <w:outlineLvl w:val="7"/>
      </w:pPr>
      <w:r w:rsidRPr="001A22C0">
        <w:t>a)</w:t>
      </w:r>
      <w:r w:rsidRPr="001A22C0">
        <w:tab/>
        <w:t>individuálně ve vztahu ke konkrétnímu úkolu,</w:t>
      </w:r>
    </w:p>
    <w:p w14:paraId="128397DD" w14:textId="77777777" w:rsidR="00696527" w:rsidRPr="001A22C0" w:rsidRDefault="00696527" w:rsidP="0096635B">
      <w:pPr>
        <w:spacing w:before="0"/>
        <w:ind w:left="425" w:hanging="425"/>
        <w:outlineLvl w:val="7"/>
      </w:pPr>
      <w:r w:rsidRPr="001A22C0">
        <w:t>b)</w:t>
      </w:r>
      <w:r w:rsidRPr="001A22C0">
        <w:tab/>
        <w:t>odvětvově ve vztahu k potřebám daného odvětví, nebo</w:t>
      </w:r>
    </w:p>
    <w:p w14:paraId="5D65B0BB" w14:textId="77777777" w:rsidR="00696527" w:rsidRPr="001A22C0" w:rsidRDefault="00696527" w:rsidP="0096635B">
      <w:pPr>
        <w:spacing w:before="0"/>
        <w:ind w:left="425" w:hanging="425"/>
        <w:outlineLvl w:val="7"/>
      </w:pPr>
      <w:r w:rsidRPr="001A22C0">
        <w:t>c)</w:t>
      </w:r>
      <w:r w:rsidRPr="001A22C0">
        <w:tab/>
        <w:t>územně ve vztahu k potřebám vymezeného území nebo jeho části anebo místa.</w:t>
      </w:r>
    </w:p>
    <w:p w14:paraId="2139DFA9" w14:textId="1A201B89" w:rsidR="00696527" w:rsidRPr="001A22C0" w:rsidRDefault="0096635B" w:rsidP="00CC5D2E">
      <w:pPr>
        <w:tabs>
          <w:tab w:val="left" w:pos="782"/>
          <w:tab w:val="left" w:pos="851"/>
        </w:tabs>
        <w:spacing w:before="120" w:after="120"/>
        <w:outlineLvl w:val="6"/>
      </w:pPr>
      <w:r>
        <w:t xml:space="preserve">(2) </w:t>
      </w:r>
      <w:r w:rsidR="00696527" w:rsidRPr="001A22C0">
        <w:t>Územní samosprávný celek a svazek obcí je povinen respektovat účel použití rozpočtových prostředků, který vyplývá</w:t>
      </w:r>
    </w:p>
    <w:p w14:paraId="4446152F" w14:textId="77777777" w:rsidR="00696527" w:rsidRPr="001A22C0" w:rsidRDefault="00696527" w:rsidP="00CC5D2E">
      <w:pPr>
        <w:tabs>
          <w:tab w:val="left" w:pos="782"/>
          <w:tab w:val="left" w:pos="851"/>
        </w:tabs>
        <w:spacing w:before="0"/>
        <w:ind w:left="425" w:hanging="425"/>
        <w:outlineLvl w:val="6"/>
      </w:pPr>
      <w:r w:rsidRPr="001A22C0">
        <w:t>a)</w:t>
      </w:r>
      <w:r w:rsidRPr="001A22C0">
        <w:tab/>
        <w:t xml:space="preserve">z účelu </w:t>
      </w:r>
      <w:r w:rsidRPr="001A22C0">
        <w:rPr>
          <w:b/>
        </w:rPr>
        <w:t xml:space="preserve">peněžních prostředků </w:t>
      </w:r>
      <w:r w:rsidRPr="001A22C0">
        <w:t xml:space="preserve">přijatých </w:t>
      </w:r>
      <w:r w:rsidRPr="001A22C0">
        <w:rPr>
          <w:strike/>
        </w:rPr>
        <w:t>dotací</w:t>
      </w:r>
      <w:r w:rsidRPr="001A22C0">
        <w:t xml:space="preserve"> ze státního rozpočtu, ze státních fondů, z Národního fondu anebo z jiného územního rozpočtu, nebo</w:t>
      </w:r>
    </w:p>
    <w:p w14:paraId="4FA78E28" w14:textId="77777777" w:rsidR="00696527" w:rsidRPr="001A22C0" w:rsidRDefault="00696527" w:rsidP="00CC5D2E">
      <w:pPr>
        <w:tabs>
          <w:tab w:val="left" w:pos="782"/>
          <w:tab w:val="left" w:pos="851"/>
        </w:tabs>
        <w:spacing w:before="0"/>
        <w:ind w:left="425" w:hanging="425"/>
        <w:outlineLvl w:val="6"/>
      </w:pPr>
      <w:r w:rsidRPr="001A22C0">
        <w:t>b)</w:t>
      </w:r>
      <w:r w:rsidRPr="001A22C0">
        <w:tab/>
        <w:t xml:space="preserve">z uzavřených smluv, podle nichž přijímá účelové rozpočtové prostředky od jiných osob, včetně účelových darů, příspěvků či </w:t>
      </w:r>
      <w:r w:rsidRPr="001A22C0">
        <w:rPr>
          <w:strike/>
        </w:rPr>
        <w:t>půjček</w:t>
      </w:r>
      <w:r w:rsidRPr="001A22C0">
        <w:rPr>
          <w:b/>
        </w:rPr>
        <w:t xml:space="preserve"> zápůjček</w:t>
      </w:r>
      <w:r w:rsidRPr="001A22C0">
        <w:t>.</w:t>
      </w:r>
    </w:p>
    <w:p w14:paraId="6A056574" w14:textId="77777777" w:rsidR="00696527" w:rsidRPr="001A22C0" w:rsidRDefault="00696527" w:rsidP="0096635B">
      <w:pPr>
        <w:keepNext/>
        <w:keepLines/>
        <w:numPr>
          <w:ilvl w:val="0"/>
          <w:numId w:val="29"/>
        </w:numPr>
        <w:spacing w:after="120"/>
        <w:jc w:val="center"/>
        <w:outlineLvl w:val="5"/>
      </w:pPr>
      <w:r w:rsidRPr="001A22C0">
        <w:t>§ 20</w:t>
      </w:r>
    </w:p>
    <w:p w14:paraId="6C11F392" w14:textId="77777777" w:rsidR="00696527" w:rsidRPr="001A22C0" w:rsidRDefault="00696527" w:rsidP="0096635B">
      <w:pPr>
        <w:keepNext/>
        <w:keepLines/>
        <w:spacing w:after="120"/>
        <w:ind w:firstLine="0"/>
        <w:jc w:val="center"/>
        <w:outlineLvl w:val="5"/>
        <w:rPr>
          <w:b/>
        </w:rPr>
      </w:pPr>
      <w:r w:rsidRPr="001A22C0">
        <w:rPr>
          <w:b/>
        </w:rPr>
        <w:t>Návratnost nepoužitých rozpočtových prostředků</w:t>
      </w:r>
    </w:p>
    <w:p w14:paraId="07BA1F7B" w14:textId="3086ADC6" w:rsidR="00696527" w:rsidRPr="001A22C0" w:rsidRDefault="0096635B" w:rsidP="00CC5D2E">
      <w:pPr>
        <w:tabs>
          <w:tab w:val="left" w:pos="782"/>
          <w:tab w:val="left" w:pos="851"/>
        </w:tabs>
        <w:spacing w:before="120" w:after="120"/>
        <w:outlineLvl w:val="6"/>
      </w:pPr>
      <w:r>
        <w:t xml:space="preserve">(1) </w:t>
      </w:r>
      <w:r w:rsidR="00696527" w:rsidRPr="001A22C0">
        <w:t xml:space="preserve">Rozpočtové prostředky územního samosprávného celku a svazku obcí nevyužité do konce roku </w:t>
      </w:r>
      <w:r w:rsidR="00696527" w:rsidRPr="001A22C0">
        <w:rPr>
          <w:strike/>
        </w:rPr>
        <w:t xml:space="preserve">nepropadají, ale </w:t>
      </w:r>
      <w:proofErr w:type="gramStart"/>
      <w:r w:rsidR="00696527" w:rsidRPr="001A22C0">
        <w:rPr>
          <w:strike/>
        </w:rPr>
        <w:t>převádějí</w:t>
      </w:r>
      <w:proofErr w:type="gramEnd"/>
      <w:r w:rsidR="00696527" w:rsidRPr="001A22C0">
        <w:rPr>
          <w:strike/>
        </w:rPr>
        <w:t xml:space="preserve"> se</w:t>
      </w:r>
      <w:r w:rsidR="00696527" w:rsidRPr="001A22C0">
        <w:t xml:space="preserve"> </w:t>
      </w:r>
      <w:r w:rsidR="00696527" w:rsidRPr="001A22C0">
        <w:rPr>
          <w:b/>
        </w:rPr>
        <w:t xml:space="preserve">se </w:t>
      </w:r>
      <w:proofErr w:type="gramStart"/>
      <w:r w:rsidR="00696527" w:rsidRPr="001A22C0">
        <w:rPr>
          <w:b/>
        </w:rPr>
        <w:t>převádějí</w:t>
      </w:r>
      <w:proofErr w:type="gramEnd"/>
      <w:r w:rsidR="00696527" w:rsidRPr="001A22C0">
        <w:rPr>
          <w:b/>
        </w:rPr>
        <w:t xml:space="preserve"> </w:t>
      </w:r>
      <w:r w:rsidR="00696527" w:rsidRPr="001A22C0">
        <w:t>do dalšího roku. Případná jejich účelovost se přitom zachovává.</w:t>
      </w:r>
    </w:p>
    <w:p w14:paraId="0A56537B" w14:textId="45BCC3AC" w:rsidR="00696527" w:rsidRPr="001A22C0" w:rsidRDefault="0096635B" w:rsidP="00CC5D2E">
      <w:pPr>
        <w:tabs>
          <w:tab w:val="left" w:pos="782"/>
          <w:tab w:val="left" w:pos="851"/>
        </w:tabs>
        <w:spacing w:before="120" w:after="120"/>
        <w:outlineLvl w:val="6"/>
      </w:pPr>
      <w:r>
        <w:t xml:space="preserve">(2) </w:t>
      </w:r>
      <w:r w:rsidR="00696527" w:rsidRPr="001A22C0">
        <w:t>Výjimkou z ustanovení odstavce 1 jsou nevyužité účelově a časově vymezené dotace nebo příspěvky, které poskytovatel požaduje po skončení roku vyúčtovat a nespotřebované peněžní prostředky vrátit. Vrácené rozpočtové prostředky jsou výdajem toho roku, kdy se uskuteční.</w:t>
      </w:r>
    </w:p>
    <w:p w14:paraId="2CCD4617" w14:textId="49A400AF" w:rsidR="00696527" w:rsidRPr="001A22C0" w:rsidRDefault="0096635B" w:rsidP="00CC5D2E">
      <w:pPr>
        <w:tabs>
          <w:tab w:val="left" w:pos="782"/>
          <w:tab w:val="left" w:pos="851"/>
        </w:tabs>
        <w:spacing w:before="120" w:after="120"/>
        <w:outlineLvl w:val="6"/>
      </w:pPr>
      <w:r>
        <w:t xml:space="preserve">(3) </w:t>
      </w:r>
      <w:r w:rsidR="00696527" w:rsidRPr="001A22C0">
        <w:t>Územní samosprávný celek i svazek obcí může při poskytování vlastních rozpočtových prostředků jiným osobám požadovat návratnost nepoužitých rozpočtových prostředků podle odstavce 2. Vrácené rozpočtové prostředky jsou v tom případě příjmem jejich rozpočtu v roce, v němž k jejich vrácení došlo.</w:t>
      </w:r>
    </w:p>
    <w:p w14:paraId="5A06A0DE" w14:textId="77777777" w:rsidR="00696527" w:rsidRPr="001A22C0" w:rsidRDefault="00696527" w:rsidP="0096635B">
      <w:pPr>
        <w:keepNext/>
        <w:keepLines/>
        <w:spacing w:after="120"/>
        <w:ind w:firstLine="0"/>
        <w:jc w:val="center"/>
        <w:outlineLvl w:val="5"/>
      </w:pPr>
      <w:r w:rsidRPr="001A22C0">
        <w:lastRenderedPageBreak/>
        <w:t>§ 21</w:t>
      </w:r>
    </w:p>
    <w:p w14:paraId="4B564D8C" w14:textId="77777777" w:rsidR="00696527" w:rsidRPr="001A22C0" w:rsidRDefault="00696527" w:rsidP="0096635B">
      <w:pPr>
        <w:keepNext/>
        <w:keepLines/>
        <w:spacing w:after="120"/>
        <w:ind w:firstLine="0"/>
        <w:jc w:val="center"/>
        <w:outlineLvl w:val="5"/>
        <w:rPr>
          <w:b/>
        </w:rPr>
      </w:pPr>
      <w:r w:rsidRPr="001A22C0">
        <w:rPr>
          <w:b/>
        </w:rPr>
        <w:t>Kompenzační peněžní operace</w:t>
      </w:r>
    </w:p>
    <w:p w14:paraId="48E9D916" w14:textId="1DE58CA7" w:rsidR="00696527" w:rsidRPr="001A22C0" w:rsidRDefault="0096635B" w:rsidP="00CC5D2E">
      <w:pPr>
        <w:tabs>
          <w:tab w:val="left" w:pos="782"/>
          <w:tab w:val="left" w:pos="851"/>
        </w:tabs>
        <w:spacing w:before="120" w:after="120"/>
        <w:outlineLvl w:val="6"/>
      </w:pPr>
      <w:r>
        <w:t xml:space="preserve">(1) </w:t>
      </w:r>
      <w:r w:rsidR="00696527" w:rsidRPr="001A22C0">
        <w:t>Kompenzační operací se do údajů o plnění rozpočtu zařazují</w:t>
      </w:r>
    </w:p>
    <w:p w14:paraId="4E3A0A0B" w14:textId="77777777" w:rsidR="00696527" w:rsidRPr="001A22C0" w:rsidRDefault="00696527" w:rsidP="0096635B">
      <w:pPr>
        <w:spacing w:before="0"/>
        <w:ind w:left="425" w:hanging="425"/>
        <w:outlineLvl w:val="7"/>
      </w:pPr>
      <w:r w:rsidRPr="001A22C0">
        <w:t>a)</w:t>
      </w:r>
      <w:r w:rsidRPr="001A22C0">
        <w:tab/>
        <w:t>vrácené přijaté zálohy a vrácené neoprávněně přijaté peněžní prostředky, a to ve stejné výši, ale v záporné hodnotě příjmů téhož rozpočtového roku,</w:t>
      </w:r>
    </w:p>
    <w:p w14:paraId="23A014CD" w14:textId="77777777" w:rsidR="00696527" w:rsidRPr="001A22C0" w:rsidRDefault="00696527" w:rsidP="0096635B">
      <w:pPr>
        <w:spacing w:before="0"/>
        <w:ind w:left="425" w:hanging="425"/>
        <w:outlineLvl w:val="7"/>
      </w:pPr>
      <w:r w:rsidRPr="001A22C0">
        <w:t>b)</w:t>
      </w:r>
      <w:r w:rsidRPr="001A22C0">
        <w:tab/>
        <w:t>vrácené poskytnuté zálohy a vrácené neoprávněně vydané peněžní prostředky, a to ve stejné výši, ale v záporné hodnotě výdajů téhož rozpočtového roku.</w:t>
      </w:r>
    </w:p>
    <w:p w14:paraId="4F4AB6EB" w14:textId="03EB2182" w:rsidR="00696527" w:rsidRPr="001A22C0" w:rsidRDefault="0096635B" w:rsidP="00CC5D2E">
      <w:pPr>
        <w:tabs>
          <w:tab w:val="left" w:pos="782"/>
          <w:tab w:val="left" w:pos="851"/>
        </w:tabs>
        <w:spacing w:before="120" w:after="120"/>
        <w:outlineLvl w:val="6"/>
      </w:pPr>
      <w:r>
        <w:t xml:space="preserve">(2) </w:t>
      </w:r>
      <w:r w:rsidR="00696527" w:rsidRPr="001A22C0">
        <w:t>Podle odstavce 1 se postupuje také v případě,</w:t>
      </w:r>
    </w:p>
    <w:p w14:paraId="005822ED" w14:textId="77777777" w:rsidR="00696527" w:rsidRPr="001A22C0" w:rsidRDefault="00696527" w:rsidP="0096635B">
      <w:pPr>
        <w:spacing w:before="0"/>
        <w:ind w:left="425" w:hanging="425"/>
        <w:outlineLvl w:val="7"/>
      </w:pPr>
      <w:r w:rsidRPr="001A22C0">
        <w:t>a)</w:t>
      </w:r>
      <w:r w:rsidRPr="001A22C0">
        <w:tab/>
        <w:t>že v daném rozpočtovém roce dojde ke vzájemné náhradě uskutečněných výdajů mezi osobami řídícími se rozpočtovou skladbou, nebo</w:t>
      </w:r>
    </w:p>
    <w:p w14:paraId="5040917F" w14:textId="77777777" w:rsidR="00696527" w:rsidRPr="001A22C0" w:rsidRDefault="00696527" w:rsidP="0096635B">
      <w:pPr>
        <w:spacing w:before="0"/>
        <w:ind w:left="425" w:hanging="425"/>
        <w:outlineLvl w:val="7"/>
      </w:pPr>
      <w:r w:rsidRPr="001A22C0">
        <w:t>b)</w:t>
      </w:r>
      <w:r w:rsidRPr="001A22C0">
        <w:tab/>
        <w:t xml:space="preserve">jestliže rozpočet zprostředkovává vztahy mezi rozpočtem vyššího stupně a rozpočty nižších stupňů </w:t>
      </w:r>
      <w:r w:rsidRPr="001A22C0">
        <w:rPr>
          <w:b/>
        </w:rPr>
        <w:t>nebo jinými osobami</w:t>
      </w:r>
      <w:r w:rsidRPr="001A22C0">
        <w:t>.</w:t>
      </w:r>
    </w:p>
    <w:p w14:paraId="581AA634" w14:textId="77777777" w:rsidR="00696527" w:rsidRPr="001A22C0" w:rsidRDefault="00696527" w:rsidP="0096635B">
      <w:pPr>
        <w:keepNext/>
        <w:keepLines/>
        <w:numPr>
          <w:ilvl w:val="0"/>
          <w:numId w:val="29"/>
        </w:numPr>
        <w:spacing w:after="120"/>
        <w:jc w:val="center"/>
        <w:outlineLvl w:val="5"/>
      </w:pPr>
      <w:r w:rsidRPr="001A22C0">
        <w:t>§ 22</w:t>
      </w:r>
    </w:p>
    <w:p w14:paraId="116704CA" w14:textId="77777777" w:rsidR="00696527" w:rsidRPr="001A22C0" w:rsidRDefault="00696527" w:rsidP="0096635B">
      <w:pPr>
        <w:keepNext/>
        <w:keepLines/>
        <w:spacing w:after="120"/>
        <w:ind w:firstLine="0"/>
        <w:jc w:val="center"/>
        <w:outlineLvl w:val="5"/>
        <w:rPr>
          <w:b/>
        </w:rPr>
      </w:pPr>
      <w:r w:rsidRPr="001A22C0">
        <w:rPr>
          <w:b/>
        </w:rPr>
        <w:t>Porušení rozpočtové kázně</w:t>
      </w:r>
    </w:p>
    <w:p w14:paraId="382F8270" w14:textId="510B5AF9" w:rsidR="00696527" w:rsidRPr="001A22C0" w:rsidRDefault="0096635B" w:rsidP="00CC5D2E">
      <w:pPr>
        <w:tabs>
          <w:tab w:val="left" w:pos="782"/>
          <w:tab w:val="left" w:pos="851"/>
        </w:tabs>
        <w:spacing w:before="120" w:after="120"/>
        <w:outlineLvl w:val="6"/>
      </w:pPr>
      <w:r>
        <w:t xml:space="preserve">(1) </w:t>
      </w:r>
      <w:r w:rsidR="00696527" w:rsidRPr="001A22C0">
        <w:t>Porušením rozpočtové kázně je každé neoprávněné použití nebo zadržení peněžních prostředků poskytnutých jako dotace nebo návratná finanční výpomoc z rozpočtu poskytovatele.</w:t>
      </w:r>
    </w:p>
    <w:p w14:paraId="11ABE05A" w14:textId="44033B49" w:rsidR="00696527" w:rsidRPr="001A22C0" w:rsidRDefault="0096635B" w:rsidP="00CC5D2E">
      <w:pPr>
        <w:tabs>
          <w:tab w:val="left" w:pos="782"/>
          <w:tab w:val="left" w:pos="851"/>
        </w:tabs>
        <w:spacing w:before="120" w:after="120"/>
        <w:outlineLvl w:val="6"/>
      </w:pPr>
      <w:r>
        <w:t xml:space="preserve">(2) </w:t>
      </w:r>
      <w:r w:rsidR="00696527" w:rsidRPr="001A22C0">
        <w:t>Neoprávněným použitím peněžních prostředků podle odstavce 1 je jejich použití, kterým byla porušena povinnost stanovená právním předpisem, přímo použitelným předpisem Evropské unie, veřejnoprávní smlouvou nebo při poskytnutí peněžních prostředků podle zvláštního právního předpisu</w:t>
      </w:r>
      <w:r w:rsidR="00696527" w:rsidRPr="001A22C0">
        <w:rPr>
          <w:vertAlign w:val="superscript"/>
        </w:rPr>
        <w:t>22)</w:t>
      </w:r>
      <w:r w:rsidR="00696527" w:rsidRPr="001A22C0">
        <w:t>. Dnem porušení rozpočtové kázně je den, kdy byly poskytnuté peněžní prostředky neoprávněně použity nebo den jejich připsání na účet příjemce u dotací poskytovaných zpětně. Za neoprávněné použití peněžních prostředků podle odstavce 1 se považuje také</w:t>
      </w:r>
    </w:p>
    <w:p w14:paraId="09CA921F" w14:textId="77777777" w:rsidR="00696527" w:rsidRPr="001A22C0" w:rsidRDefault="00696527" w:rsidP="0096635B">
      <w:pPr>
        <w:spacing w:before="0"/>
        <w:ind w:left="425" w:hanging="425"/>
        <w:outlineLvl w:val="7"/>
      </w:pPr>
      <w:r w:rsidRPr="001A22C0">
        <w:t>a)</w:t>
      </w:r>
      <w:r w:rsidRPr="001A22C0">
        <w:tab/>
        <w:t>porušení povinnosti, která souvisí s účelem, na který byly peněžní prostředky poskytnuty, stanovené právním předpisem, přímo použitelným předpisem Evropské unie, veřejnoprávní smlouvou nebo při poskytnutí peněžních prostředků podle zvláštního právního předpisu</w:t>
      </w:r>
      <w:r w:rsidRPr="001A22C0">
        <w:rPr>
          <w:vertAlign w:val="superscript"/>
        </w:rPr>
        <w:t>22)</w:t>
      </w:r>
      <w:r w:rsidRPr="001A22C0">
        <w:t>, ke kterému došlo po připsání peněžních prostředků na účet příjemce,</w:t>
      </w:r>
    </w:p>
    <w:p w14:paraId="3B54764B" w14:textId="77777777" w:rsidR="00696527" w:rsidRPr="001A22C0" w:rsidRDefault="00696527" w:rsidP="0096635B">
      <w:pPr>
        <w:spacing w:before="0"/>
        <w:ind w:left="425" w:hanging="425"/>
        <w:outlineLvl w:val="7"/>
      </w:pPr>
      <w:r w:rsidRPr="001A22C0">
        <w:t>b)</w:t>
      </w:r>
      <w:r w:rsidRPr="001A22C0">
        <w:tab/>
        <w:t>porušení povinnosti stanovené v písmeni a), ke kterému došlo před připsáním peněžních prostředků na účet příjemce a které ke dni připsání trvá; den připsání peněžních prostředků na účet příjemce se považuje za den porušení rozpočtové kázně,</w:t>
      </w:r>
    </w:p>
    <w:p w14:paraId="324AFC94" w14:textId="77777777" w:rsidR="00696527" w:rsidRPr="001A22C0" w:rsidRDefault="00696527" w:rsidP="0096635B">
      <w:pPr>
        <w:spacing w:before="0"/>
        <w:ind w:left="425" w:hanging="425"/>
        <w:outlineLvl w:val="7"/>
      </w:pPr>
      <w:r w:rsidRPr="001A22C0">
        <w:t>c)</w:t>
      </w:r>
      <w:r w:rsidRPr="001A22C0">
        <w:tab/>
        <w:t>neprokáže-li příjemce peněžních prostředků, jak byly tyto prostředky použity.</w:t>
      </w:r>
    </w:p>
    <w:p w14:paraId="01C891BC" w14:textId="73E5A2B9" w:rsidR="00696527" w:rsidRPr="001A22C0" w:rsidRDefault="0096635B" w:rsidP="00CC5D2E">
      <w:pPr>
        <w:tabs>
          <w:tab w:val="left" w:pos="782"/>
          <w:tab w:val="left" w:pos="851"/>
        </w:tabs>
        <w:spacing w:before="120" w:after="120"/>
        <w:outlineLvl w:val="6"/>
      </w:pPr>
      <w:r>
        <w:t xml:space="preserve">(3) </w:t>
      </w:r>
      <w:r w:rsidR="00696527" w:rsidRPr="001A22C0">
        <w:t>Zadržením peněžních prostředků podle odstavce 1 je porušení povinnosti vrácení poskytnutých prostředků ve stanoveném termínu; dnem porušení rozpočtové kázně je v tomto případě den následující po dni, v němž marně uplynul termín stanovený pro vrácení poskytnutých prostředků.</w:t>
      </w:r>
    </w:p>
    <w:p w14:paraId="068B9638" w14:textId="36422EBE" w:rsidR="00696527" w:rsidRPr="001A22C0" w:rsidRDefault="0096635B" w:rsidP="00CC5D2E">
      <w:pPr>
        <w:tabs>
          <w:tab w:val="left" w:pos="782"/>
          <w:tab w:val="left" w:pos="851"/>
        </w:tabs>
        <w:spacing w:before="120" w:after="120"/>
        <w:outlineLvl w:val="6"/>
      </w:pPr>
      <w:r>
        <w:t xml:space="preserve">(4) </w:t>
      </w:r>
      <w:r w:rsidR="00696527" w:rsidRPr="001A22C0">
        <w:t>Fyzická nebo právnická osoba, která porušila rozpočtovou kázeň, je povinna provést odvod za porušení rozpočtové kázně do rozpočtu, z něhož jí byly peněžní prostředky poskytnuty.</w:t>
      </w:r>
    </w:p>
    <w:p w14:paraId="340E894F" w14:textId="730F3712" w:rsidR="00696527" w:rsidRPr="001A22C0" w:rsidRDefault="0096635B" w:rsidP="00CC5D2E">
      <w:pPr>
        <w:tabs>
          <w:tab w:val="left" w:pos="782"/>
          <w:tab w:val="left" w:pos="851"/>
        </w:tabs>
        <w:spacing w:before="120" w:after="120"/>
        <w:outlineLvl w:val="6"/>
      </w:pPr>
      <w:r>
        <w:t xml:space="preserve">(5) </w:t>
      </w:r>
      <w:r w:rsidR="00696527" w:rsidRPr="001A22C0">
        <w:t xml:space="preserve">Při neoprávněném použití peněžních prostředků podle odstavce 2 věty první nebo podle odstavce 2 písm. c) anebo při zadržení peněžních prostředků podle odstavce 3 odpovídá odvod za porušení rozpočtové kázně výši neoprávněně použitých nebo zadržených prostředků. </w:t>
      </w:r>
      <w:r w:rsidR="00696527" w:rsidRPr="001A22C0">
        <w:lastRenderedPageBreak/>
        <w:t>Odvody za porušení rozpočtové kázně při použití téže dotace nebo návratné finanční výpomoci se sčítají, s výjimkou odvodů za porušení rozpočtové kázně porušením pravidel pro zadávání veřejných zakázek. Za porušení pravidel pro zadávání veřejných zakázek se uloží odvod ve výši nejzávažnějšího porušení těchto pravidel u stejné zakázky, nestanoví-li veřejnoprávní smlouva o poskytnutí peněžních prostředků jinak. Při neoprávněném použití peněžních prostředků podle odstavce 2 písm. a) nebo b) odpovídá odvod za porušení rozpočtové kázně výši poskytnutých prostředků, ledaže se podle veřejnoprávní smlouvy o poskytnutí peněžních prostředků za porušení méně závažné povinnosti uloží podle § 10a odst. 6 odvod nižší. Při porušení několika méně závažných povinností se odvody za porušení rozpočtové kázně sčítají, nestanoví-li veřejnoprávní smlouva jinak. Odvody za porušení rozpočtové kázně lze uložit pouze do výše peněžních prostředků poskytnutých ke dni porušení rozpočtové kázně. Při stanovení výše odvodu přihlédne orgán příslušný podle odstavce 9 nebo 11 k závažnosti porušení a jeho vlivu na dodržení účelu dotace. Při podezření na porušení rozpočtové kázně může poskytovatel peněžních prostředků pozastavit jejich poskytnutí, a to až do výše předpokládaného odvodu. Pokud orgán příslušný podle odstavce 9 nebo 11 uloží odvod za porušení rozpočtové kázně, v rozhodnutí uvede, že z uloženého odvodu bude odvedena pouze částka ve výši rozdílu mezi uloženým odvodem a peněžními prostředky neposkytnutými z důvodu podezření na porušení rozpočtové kázně. Pokud orgán příslušný podle odstavce 9 nebo 11 odvod neuloží, poskytovatel peněžních prostředků poskytne pozastavené peněžní prostředky příjemci.</w:t>
      </w:r>
    </w:p>
    <w:p w14:paraId="2CB6778E" w14:textId="5A9D6A71" w:rsidR="00696527" w:rsidRPr="001A22C0" w:rsidRDefault="00696527" w:rsidP="00CC5D2E">
      <w:pPr>
        <w:tabs>
          <w:tab w:val="left" w:pos="782"/>
          <w:tab w:val="left" w:pos="851"/>
        </w:tabs>
        <w:spacing w:before="120" w:after="120"/>
        <w:outlineLvl w:val="6"/>
      </w:pPr>
      <w:r w:rsidRPr="001A22C0">
        <w:t>(</w:t>
      </w:r>
      <w:r w:rsidR="0096635B">
        <w:t xml:space="preserve">6) </w:t>
      </w:r>
      <w:r w:rsidRPr="001A22C0">
        <w:t>Poskytovatel písemně vyzve příjemce dotace k provedení opatření k nápravě</w:t>
      </w:r>
      <w:r w:rsidRPr="001A22C0">
        <w:rPr>
          <w:vertAlign w:val="superscript"/>
        </w:rPr>
        <w:footnoteReference w:customMarkFollows="1" w:id="371"/>
        <w:t>10a)</w:t>
      </w:r>
      <w:r w:rsidRPr="001A22C0">
        <w:t xml:space="preserve"> v jím stanovené lhůtě, domnívá-li se na základě kontrolního zjištění</w:t>
      </w:r>
      <w:r w:rsidRPr="001A22C0">
        <w:rPr>
          <w:vertAlign w:val="superscript"/>
        </w:rPr>
        <w:t>10a)</w:t>
      </w:r>
      <w:r w:rsidRPr="001A22C0">
        <w:t>, že příjemce dotace porušil méně závažnou podmínku podle § 10a odst. 6, za níž byla dotace poskytnuta a u níž poskytovatel stanovil, že její nesplnění bude postiženo nižším odvodem, než kolik činí celková částka dotace a jejíž povaha umožňuje nápravu v náhradní lhůtě. V rozsahu, v jakém příjemce dotace provedl opatření k nápravě, platí, že nedošlo k porušení rozpočtové kázně. Poskytovatel písemně vyzve příjemce dotace k vrácení dotace nebo její části ve stanovené lhůtě, zjistí-li na základě kontroly, že příjemce dotace porušil povinnost stanovenou právním předpisem, která souvisí s účelem, na který byly peněžní prostředky poskytnuty, nedodržel účel dotace nebo podmínku, za které byla dotace poskytnuta, u níž nelze vyzvat k provedení opatření k nápravě. V rozsahu, v jakém příjemce dotace vrátil dotaci nebo její část, platí, že nedošlo k porušení rozpočtové kázně. Výzva k provedení opatření k nápravě a výzva k vrácení dotace nebo její části není pro příjemce dotace závazná. Poskytovatel vhodným způsobem bez zbytečného odkladu informuje o vydání výzvy k provedení opatření k nápravě, o vydání výzvy k vrácení dotace a o tom, zda příjemce dotace výzvě vyhověl, orgán příslušný podle odstavce 9 nebo 11 k rozhodnutí o uložení odvodu.</w:t>
      </w:r>
    </w:p>
    <w:p w14:paraId="6F154156" w14:textId="15163BCE" w:rsidR="00696527" w:rsidRPr="001A22C0" w:rsidRDefault="0096635B" w:rsidP="00CC5D2E">
      <w:pPr>
        <w:tabs>
          <w:tab w:val="left" w:pos="782"/>
          <w:tab w:val="left" w:pos="851"/>
        </w:tabs>
        <w:spacing w:before="120" w:after="120"/>
        <w:outlineLvl w:val="6"/>
      </w:pPr>
      <w:r>
        <w:t xml:space="preserve">(7) </w:t>
      </w:r>
      <w:r w:rsidR="00696527" w:rsidRPr="001A22C0">
        <w:t>Odvod za porušení rozpočtové kázně se neuloží, pokud jeho celková výše za všechna porušení rozpočtové kázně při použití téže dotace nebo návratné finanční výpomoci nepřesáhne 1 000 Kč.</w:t>
      </w:r>
    </w:p>
    <w:p w14:paraId="1D787206" w14:textId="420FFC78" w:rsidR="00696527" w:rsidRPr="001A22C0" w:rsidRDefault="0096635B" w:rsidP="00CC5D2E">
      <w:pPr>
        <w:tabs>
          <w:tab w:val="left" w:pos="782"/>
          <w:tab w:val="left" w:pos="851"/>
        </w:tabs>
        <w:spacing w:before="120" w:after="120"/>
        <w:outlineLvl w:val="6"/>
      </w:pPr>
      <w:r>
        <w:t xml:space="preserve">(8) </w:t>
      </w:r>
      <w:r w:rsidR="00696527" w:rsidRPr="001A22C0">
        <w:t xml:space="preserve">Za prodlení s odvodem za porušení rozpočtové kázně je ten, kdo rozpočtovou kázeň porušil, povinen zaplatit penále ve výši 0,4 promile z částky odvodu za každý den prodlení, nejvýše však do výše tohoto odvodu. Penále se počítá ode dne následujícího po dni, kdy došlo k porušení rozpočtové kázně, do dne připsání peněžních prostředků na účet poskytovatele. Pokud poskytovatel rozhodl podle odstavce 5 věty </w:t>
      </w:r>
      <w:r w:rsidR="00696527" w:rsidRPr="001A22C0">
        <w:rPr>
          <w:strike/>
        </w:rPr>
        <w:t xml:space="preserve">sedmé </w:t>
      </w:r>
      <w:r w:rsidR="00696527" w:rsidRPr="001A22C0">
        <w:rPr>
          <w:b/>
        </w:rPr>
        <w:t>deváté</w:t>
      </w:r>
      <w:r w:rsidR="00696527" w:rsidRPr="001A22C0">
        <w:t xml:space="preserve">, penále se počítá z částky, kterou je příjemce povinen odvést. Penále za porušení rozpočtové kázně podle odstavce 2 </w:t>
      </w:r>
      <w:r w:rsidR="00696527" w:rsidRPr="001A22C0">
        <w:lastRenderedPageBreak/>
        <w:t>písm. b) se počítá ode dne následujícího po dni, do kterého měl příjemce odvod na základě platebního výměru uhradit. Penále, které v jednotlivých případech nepřesáhne 1 000 Kč, se neuloží.</w:t>
      </w:r>
    </w:p>
    <w:p w14:paraId="30BB1018" w14:textId="316DF804" w:rsidR="00696527" w:rsidRPr="001A22C0" w:rsidRDefault="0096635B" w:rsidP="00CC5D2E">
      <w:pPr>
        <w:tabs>
          <w:tab w:val="left" w:pos="782"/>
          <w:tab w:val="left" w:pos="851"/>
        </w:tabs>
        <w:spacing w:before="120" w:after="120"/>
        <w:outlineLvl w:val="6"/>
      </w:pPr>
      <w:r>
        <w:t xml:space="preserve">(9) </w:t>
      </w:r>
      <w:r w:rsidR="00696527" w:rsidRPr="001A22C0">
        <w:t>O uložení odvodu a penále podle odstavců 4 až 8 za porušení rozpočtové kázně rozhoduje v samostatné působnosti</w:t>
      </w:r>
    </w:p>
    <w:p w14:paraId="1365403D" w14:textId="77777777" w:rsidR="00696527" w:rsidRPr="001A22C0" w:rsidRDefault="00696527" w:rsidP="0096635B">
      <w:pPr>
        <w:spacing w:before="0"/>
        <w:ind w:left="425" w:hanging="425"/>
        <w:outlineLvl w:val="7"/>
      </w:pPr>
      <w:r w:rsidRPr="001A22C0">
        <w:t>a)</w:t>
      </w:r>
      <w:r w:rsidRPr="001A22C0">
        <w:tab/>
        <w:t>u obce obecní úřad,</w:t>
      </w:r>
    </w:p>
    <w:p w14:paraId="2E5E1DA2" w14:textId="77777777" w:rsidR="00696527" w:rsidRPr="001A22C0" w:rsidRDefault="00696527" w:rsidP="0096635B">
      <w:pPr>
        <w:spacing w:before="0"/>
        <w:ind w:left="425" w:hanging="425"/>
        <w:outlineLvl w:val="7"/>
      </w:pPr>
      <w:r w:rsidRPr="001A22C0">
        <w:t>b)</w:t>
      </w:r>
      <w:r w:rsidRPr="001A22C0">
        <w:tab/>
        <w:t>u městské části hlavního města Prahy úřad městské části,</w:t>
      </w:r>
    </w:p>
    <w:p w14:paraId="6BA38F8A" w14:textId="77777777" w:rsidR="00696527" w:rsidRPr="001A22C0" w:rsidRDefault="00696527" w:rsidP="0096635B">
      <w:pPr>
        <w:spacing w:before="0"/>
        <w:ind w:left="425" w:hanging="425"/>
        <w:outlineLvl w:val="7"/>
      </w:pPr>
      <w:r w:rsidRPr="001A22C0">
        <w:t>c)</w:t>
      </w:r>
      <w:r w:rsidRPr="001A22C0">
        <w:tab/>
        <w:t>u hlavního města Prahy Magistrát hlavního města Prahy,</w:t>
      </w:r>
    </w:p>
    <w:p w14:paraId="7CC68A1B" w14:textId="77777777" w:rsidR="00696527" w:rsidRPr="001A22C0" w:rsidRDefault="00696527" w:rsidP="0096635B">
      <w:pPr>
        <w:spacing w:before="0"/>
        <w:ind w:left="425" w:hanging="425"/>
        <w:outlineLvl w:val="7"/>
      </w:pPr>
      <w:r w:rsidRPr="001A22C0">
        <w:t>d)</w:t>
      </w:r>
      <w:r w:rsidRPr="001A22C0">
        <w:tab/>
        <w:t>u kraje krajský úřad.</w:t>
      </w:r>
    </w:p>
    <w:p w14:paraId="67AD1A14" w14:textId="72FB8AC1" w:rsidR="00696527" w:rsidRPr="001A22C0" w:rsidRDefault="0096635B" w:rsidP="00CC5D2E">
      <w:pPr>
        <w:tabs>
          <w:tab w:val="left" w:pos="782"/>
          <w:tab w:val="left" w:pos="851"/>
        </w:tabs>
        <w:spacing w:before="120" w:after="120"/>
        <w:outlineLvl w:val="6"/>
      </w:pPr>
      <w:r>
        <w:t>(10)</w:t>
      </w:r>
      <w:r w:rsidR="00696527" w:rsidRPr="001A22C0">
        <w:t xml:space="preserve"> Rozhodnutí podle odstavce 9 písm. a) přezkoumává v přenesené působnosti krajský úřad podle zvláštního právního předpisu</w:t>
      </w:r>
      <w:r w:rsidR="00696527" w:rsidRPr="001A22C0">
        <w:rPr>
          <w:vertAlign w:val="superscript"/>
        </w:rPr>
        <w:footnoteReference w:customMarkFollows="1" w:id="372"/>
        <w:t>13)</w:t>
      </w:r>
      <w:r w:rsidR="00696527" w:rsidRPr="001A22C0">
        <w:t>, rozhodnutí podle odstavce 9 písm. b) přezkoumává v přenesené působnosti Magistrát hlavního města Prahy podle zvláštního právního předpisu</w:t>
      </w:r>
      <w:r w:rsidR="00696527" w:rsidRPr="001A22C0">
        <w:rPr>
          <w:vertAlign w:val="superscript"/>
        </w:rPr>
        <w:footnoteReference w:customMarkFollows="1" w:id="373"/>
        <w:t>14)</w:t>
      </w:r>
      <w:r w:rsidR="00696527" w:rsidRPr="001A22C0">
        <w:t>. Rozhodnutí podle odstavce 9 písm. c) a d) přezkoumává Ministerstvo financí. Správní orgán v řízení o odvolání přezkoumává rozhodnutí podle odstavce 9 z hlediska souladu s právními předpisy; rozhodnutí může pouze zrušit a řízení zastavit, nebo zrušit a věc vrátit k novému projednání úřadu, který rozhodnutí vydal, nebo odvolání zamítnout a rozhodnutí potvrdit.</w:t>
      </w:r>
    </w:p>
    <w:p w14:paraId="76CE5D3C" w14:textId="2321CC73" w:rsidR="00696527" w:rsidRPr="001A22C0" w:rsidRDefault="0096635B" w:rsidP="00CC5D2E">
      <w:pPr>
        <w:tabs>
          <w:tab w:val="left" w:pos="782"/>
          <w:tab w:val="left" w:pos="851"/>
        </w:tabs>
        <w:spacing w:before="120" w:after="120"/>
        <w:outlineLvl w:val="6"/>
      </w:pPr>
      <w:r>
        <w:t>(11)</w:t>
      </w:r>
      <w:r w:rsidR="00696527" w:rsidRPr="001A22C0">
        <w:t xml:space="preserve"> O uložení odvodu a penále podle odstavců 4 až 8 za porušení rozpočtové kázně rozhoduje</w:t>
      </w:r>
    </w:p>
    <w:p w14:paraId="65DBBD2E" w14:textId="77777777" w:rsidR="00696527" w:rsidRPr="001A22C0" w:rsidRDefault="00696527" w:rsidP="0096635B">
      <w:pPr>
        <w:spacing w:before="0"/>
        <w:ind w:left="425" w:hanging="425"/>
        <w:outlineLvl w:val="7"/>
      </w:pPr>
      <w:r w:rsidRPr="001A22C0">
        <w:t>a)</w:t>
      </w:r>
      <w:r w:rsidRPr="001A22C0">
        <w:tab/>
        <w:t>u svazku obcí orgán určený k tomu stanovami, jinak orgán, který jedná jménem svazku obcí navenek,</w:t>
      </w:r>
    </w:p>
    <w:p w14:paraId="39F58D9D" w14:textId="77777777" w:rsidR="00696527" w:rsidRPr="001A22C0" w:rsidRDefault="00696527" w:rsidP="0096635B">
      <w:pPr>
        <w:spacing w:before="0"/>
        <w:ind w:left="425" w:hanging="425"/>
        <w:outlineLvl w:val="7"/>
      </w:pPr>
      <w:r w:rsidRPr="001A22C0">
        <w:t>b)</w:t>
      </w:r>
      <w:r w:rsidRPr="001A22C0">
        <w:tab/>
        <w:t>v případě peněžních prostředků poskytnutých z rozpočtu Regionální rady regionu soudržnosti finanční úřad.</w:t>
      </w:r>
    </w:p>
    <w:p w14:paraId="1C469C33" w14:textId="5EEC5025" w:rsidR="00696527" w:rsidRPr="001A22C0" w:rsidRDefault="0096635B" w:rsidP="00CC5D2E">
      <w:pPr>
        <w:tabs>
          <w:tab w:val="left" w:pos="782"/>
          <w:tab w:val="left" w:pos="851"/>
        </w:tabs>
        <w:spacing w:before="120" w:after="120"/>
        <w:outlineLvl w:val="6"/>
      </w:pPr>
      <w:r>
        <w:t>(12)</w:t>
      </w:r>
      <w:r w:rsidR="00696527" w:rsidRPr="001A22C0">
        <w:t xml:space="preserve"> Odvolacím orgánem proti rozhodnutí podle odstavce 11 písm. a) je krajský úřad v přenesené působnosti, příslušný podle sídla svazku obcí.</w:t>
      </w:r>
    </w:p>
    <w:p w14:paraId="5BE31409" w14:textId="5D4A7B34" w:rsidR="00696527" w:rsidRPr="001A22C0" w:rsidRDefault="0096635B" w:rsidP="00CC5D2E">
      <w:pPr>
        <w:tabs>
          <w:tab w:val="left" w:pos="782"/>
          <w:tab w:val="left" w:pos="851"/>
        </w:tabs>
        <w:spacing w:before="120" w:after="120"/>
        <w:outlineLvl w:val="6"/>
      </w:pPr>
      <w:r>
        <w:t>(13)</w:t>
      </w:r>
      <w:r w:rsidR="00696527" w:rsidRPr="001A22C0">
        <w:t xml:space="preserve"> Odvod a penále podle odstavců 4 až 8 lze uložit do 10 let počítaných od 1. ledna roku následujícího po roce, v němž došlo k porušení rozpočtové kázně.</w:t>
      </w:r>
    </w:p>
    <w:p w14:paraId="3184905C" w14:textId="03A03ABB" w:rsidR="00696527" w:rsidRPr="001A22C0" w:rsidRDefault="0096635B" w:rsidP="00CC5D2E">
      <w:pPr>
        <w:tabs>
          <w:tab w:val="left" w:pos="782"/>
          <w:tab w:val="left" w:pos="851"/>
        </w:tabs>
        <w:spacing w:before="120" w:after="120"/>
        <w:outlineLvl w:val="6"/>
      </w:pPr>
      <w:r>
        <w:t>(14)</w:t>
      </w:r>
      <w:r w:rsidR="00696527" w:rsidRPr="001A22C0">
        <w:t xml:space="preserve"> Prominutí nebo částečné prominutí povinnosti odvodu a penále může z důvodů hodných zvláštního zřetele povolit na základě písemné žádosti toho, kdo porušil rozpočtovou kázeň, v případě odvodu a penále uloženého</w:t>
      </w:r>
    </w:p>
    <w:p w14:paraId="45A2F343" w14:textId="77777777" w:rsidR="00696527" w:rsidRPr="001A22C0" w:rsidRDefault="00696527" w:rsidP="0096635B">
      <w:pPr>
        <w:spacing w:before="0"/>
        <w:ind w:left="425" w:hanging="425"/>
        <w:outlineLvl w:val="7"/>
      </w:pPr>
      <w:r w:rsidRPr="001A22C0">
        <w:t>a)</w:t>
      </w:r>
      <w:r w:rsidRPr="001A22C0">
        <w:tab/>
        <w:t>podle odstavce 9 a odstavce 11 písm. a) orgán, který o poskytnutí peněžních prostředků rozhodl; o prominutí nebo částečném prominutí rozhoduje poskytovatel stejným postupem, jakým rozhodl o poskytnutí peněžních prostředků</w:t>
      </w:r>
      <w:r w:rsidRPr="001A22C0">
        <w:rPr>
          <w:vertAlign w:val="superscript"/>
        </w:rPr>
        <w:footnoteReference w:customMarkFollows="1" w:id="374"/>
        <w:t>25)</w:t>
      </w:r>
      <w:r w:rsidRPr="001A22C0">
        <w:t>,</w:t>
      </w:r>
    </w:p>
    <w:p w14:paraId="175B2304" w14:textId="77777777" w:rsidR="00696527" w:rsidRPr="001A22C0" w:rsidRDefault="00696527" w:rsidP="0096635B">
      <w:pPr>
        <w:spacing w:before="0"/>
        <w:ind w:left="425" w:hanging="425"/>
        <w:outlineLvl w:val="7"/>
      </w:pPr>
      <w:r w:rsidRPr="001A22C0">
        <w:t>b)</w:t>
      </w:r>
      <w:r w:rsidRPr="001A22C0">
        <w:tab/>
        <w:t>podle odstavce 11 písm. b) Generální finanční ředitelství; žádost o prominutí nebo částečné prominutí odvodu za porušení rozpočtové kázně nebo penále se podává prostřednictvím finančního úřadu, který tento odvod nebo penále uložil.</w:t>
      </w:r>
    </w:p>
    <w:p w14:paraId="1E5B037B" w14:textId="6A43E4B0" w:rsidR="00696527" w:rsidRPr="001A22C0" w:rsidRDefault="0096635B" w:rsidP="00CC5D2E">
      <w:pPr>
        <w:tabs>
          <w:tab w:val="left" w:pos="782"/>
          <w:tab w:val="left" w:pos="851"/>
        </w:tabs>
        <w:spacing w:before="120" w:after="120"/>
        <w:outlineLvl w:val="6"/>
      </w:pPr>
      <w:r>
        <w:t>(15)</w:t>
      </w:r>
      <w:r w:rsidR="00696527" w:rsidRPr="001A22C0">
        <w:t xml:space="preserve"> Žádost o prominutí nebo částečné prominutí povinnosti odvodu a penále lze podat nejpozději do 1 roku ode dne nabytí právní moci platebního výměru, kterým byl odvod nebo penále, o jehož prominutí je žádáno, vyměřen. Lhůta 1 roku neběží ode dne</w:t>
      </w:r>
    </w:p>
    <w:p w14:paraId="24A153E9" w14:textId="77777777" w:rsidR="00696527" w:rsidRPr="001A22C0" w:rsidRDefault="00696527" w:rsidP="0096635B">
      <w:pPr>
        <w:spacing w:before="0"/>
        <w:ind w:left="425" w:hanging="425"/>
        <w:outlineLvl w:val="7"/>
      </w:pPr>
      <w:r w:rsidRPr="001A22C0">
        <w:lastRenderedPageBreak/>
        <w:t>a)</w:t>
      </w:r>
      <w:r w:rsidRPr="001A22C0">
        <w:tab/>
        <w:t>podání návrhu na povolení obnovy řízení podle daňového řádu nebo ode dne zahájení obnoveného řízení do dne pravomocného zamítnutí návrhu na povolení obnovy řízení nebo pravomocného skončení obnoveného řízení,</w:t>
      </w:r>
    </w:p>
    <w:p w14:paraId="5C1CDD65" w14:textId="77777777" w:rsidR="00696527" w:rsidRPr="001A22C0" w:rsidRDefault="00696527" w:rsidP="0096635B">
      <w:pPr>
        <w:spacing w:before="0"/>
        <w:ind w:left="425" w:hanging="425"/>
        <w:outlineLvl w:val="7"/>
      </w:pPr>
      <w:r w:rsidRPr="001A22C0">
        <w:t>b)</w:t>
      </w:r>
      <w:r w:rsidRPr="001A22C0">
        <w:tab/>
        <w:t>zahájení přezkumného řízení podle daňového řádu do dne pravomocného skončení tohoto řízení,</w:t>
      </w:r>
    </w:p>
    <w:p w14:paraId="5A665E08" w14:textId="77777777" w:rsidR="00696527" w:rsidRPr="001A22C0" w:rsidRDefault="00696527" w:rsidP="0096635B">
      <w:pPr>
        <w:spacing w:before="0"/>
        <w:ind w:left="425" w:hanging="425"/>
        <w:outlineLvl w:val="7"/>
      </w:pPr>
      <w:r w:rsidRPr="001A22C0">
        <w:t>c)</w:t>
      </w:r>
      <w:r w:rsidRPr="001A22C0">
        <w:tab/>
        <w:t>zahájení řízení podle soudního řádu správního o žalobě proti rozhodnutí správce daně do dne pravomocného skončení tohoto řízení nebo do dne pravomocného skončení řízení o kasační stížnosti.</w:t>
      </w:r>
    </w:p>
    <w:p w14:paraId="243239CA" w14:textId="7B1CBC6E" w:rsidR="00696527" w:rsidRPr="001A22C0" w:rsidRDefault="0096635B" w:rsidP="00CC5D2E">
      <w:pPr>
        <w:tabs>
          <w:tab w:val="left" w:pos="782"/>
          <w:tab w:val="left" w:pos="851"/>
        </w:tabs>
        <w:spacing w:before="120" w:after="120"/>
        <w:outlineLvl w:val="6"/>
      </w:pPr>
      <w:r>
        <w:t>(16)</w:t>
      </w:r>
      <w:r w:rsidR="00696527" w:rsidRPr="001A22C0">
        <w:t xml:space="preserve"> Při správě odvodů a penále podle odstavců 9 a 11 se postupuje podle daňového řádu. Porušitel rozpočtové kázně má při správě odvodů za porušení rozpočtové kázně postavení daňového subjektu.</w:t>
      </w:r>
    </w:p>
    <w:p w14:paraId="35DFCEE7" w14:textId="76034DAA" w:rsidR="00696527" w:rsidRPr="001A22C0" w:rsidRDefault="0096635B" w:rsidP="00CC5D2E">
      <w:pPr>
        <w:tabs>
          <w:tab w:val="left" w:pos="782"/>
          <w:tab w:val="left" w:pos="851"/>
        </w:tabs>
        <w:spacing w:before="120" w:after="120"/>
        <w:outlineLvl w:val="6"/>
      </w:pPr>
      <w:r>
        <w:t>(17)</w:t>
      </w:r>
      <w:r w:rsidR="00696527" w:rsidRPr="001A22C0">
        <w:t xml:space="preserve"> Územní samosprávný celek poskytuje na vyžádání informace získané při správě odvodů za porušení rozpočtové kázně orgánu oprávněnému ke kontrole těchto poskytnutých prostředků.</w:t>
      </w:r>
    </w:p>
    <w:p w14:paraId="6611498F" w14:textId="389244B3" w:rsidR="00696527" w:rsidRPr="001A22C0" w:rsidRDefault="0096635B" w:rsidP="00CC5D2E">
      <w:pPr>
        <w:tabs>
          <w:tab w:val="left" w:pos="782"/>
          <w:tab w:val="left" w:pos="851"/>
        </w:tabs>
        <w:spacing w:before="120" w:after="120"/>
        <w:outlineLvl w:val="6"/>
      </w:pPr>
      <w:r>
        <w:t>(18)</w:t>
      </w:r>
      <w:r w:rsidR="00696527" w:rsidRPr="001A22C0">
        <w:t xml:space="preserve"> Orgán Finanční správy České republiky poskytuje na vyžádání informace získané při správě odvodů za porušení rozpočtové kázně správnímu orgánu, který rozhodl o poskytnutí prostředků z rozpočtu Regionální rady regionu soudržnosti.</w:t>
      </w:r>
    </w:p>
    <w:p w14:paraId="403FE464" w14:textId="77777777" w:rsidR="00696527" w:rsidRPr="001A22C0" w:rsidRDefault="00696527" w:rsidP="003B6895">
      <w:pPr>
        <w:keepNext/>
        <w:keepLines/>
        <w:numPr>
          <w:ilvl w:val="0"/>
          <w:numId w:val="29"/>
        </w:numPr>
        <w:spacing w:after="120"/>
        <w:jc w:val="center"/>
        <w:outlineLvl w:val="5"/>
      </w:pPr>
      <w:r w:rsidRPr="001A22C0">
        <w:t>***</w:t>
      </w:r>
    </w:p>
    <w:p w14:paraId="6E29AA51" w14:textId="77777777" w:rsidR="00696527" w:rsidRPr="001A22C0" w:rsidRDefault="00696527" w:rsidP="003B6895">
      <w:pPr>
        <w:keepNext/>
        <w:keepLines/>
        <w:numPr>
          <w:ilvl w:val="0"/>
          <w:numId w:val="29"/>
        </w:numPr>
        <w:spacing w:after="120"/>
        <w:jc w:val="center"/>
        <w:outlineLvl w:val="5"/>
      </w:pPr>
      <w:r w:rsidRPr="001A22C0">
        <w:t>§ 24</w:t>
      </w:r>
    </w:p>
    <w:p w14:paraId="4F77C509" w14:textId="77777777" w:rsidR="00696527" w:rsidRPr="001A22C0" w:rsidRDefault="00696527" w:rsidP="003B6895">
      <w:pPr>
        <w:keepNext/>
        <w:keepLines/>
        <w:numPr>
          <w:ilvl w:val="0"/>
          <w:numId w:val="29"/>
        </w:numPr>
        <w:spacing w:after="120"/>
        <w:jc w:val="center"/>
        <w:outlineLvl w:val="5"/>
        <w:rPr>
          <w:b/>
        </w:rPr>
      </w:pPr>
      <w:r w:rsidRPr="001A22C0">
        <w:rPr>
          <w:b/>
        </w:rPr>
        <w:t>Vznik organizačních složek územního samosprávného celku</w:t>
      </w:r>
    </w:p>
    <w:p w14:paraId="40CEBB6B" w14:textId="77777777" w:rsidR="00696527" w:rsidRPr="001A22C0" w:rsidRDefault="00696527" w:rsidP="00CC5D2E">
      <w:pPr>
        <w:tabs>
          <w:tab w:val="left" w:pos="782"/>
          <w:tab w:val="left" w:pos="851"/>
        </w:tabs>
        <w:spacing w:before="120" w:after="120"/>
        <w:outlineLvl w:val="6"/>
      </w:pPr>
      <w:r w:rsidRPr="001A22C0">
        <w:t xml:space="preserve">(1) Organizační složka územního samosprávného celku (dále jen "organizační složka") vzniká rozhodnutím zastupitelstva územního samosprávného celku. Organizační složka hospodaří jménem svého zřizovatele </w:t>
      </w:r>
      <w:r w:rsidRPr="001A22C0">
        <w:rPr>
          <w:strike/>
        </w:rPr>
        <w:t>a není účetní jednotkou</w:t>
      </w:r>
      <w:r w:rsidRPr="001A22C0">
        <w:t xml:space="preserve">. </w:t>
      </w:r>
      <w:proofErr w:type="gramStart"/>
      <w:r w:rsidRPr="001A22C0">
        <w:t>Tuto</w:t>
      </w:r>
      <w:proofErr w:type="gramEnd"/>
      <w:r w:rsidRPr="001A22C0">
        <w:t xml:space="preserve"> formu svého hospodaření volí územní samosprávný celek pro takové činnosti, </w:t>
      </w:r>
      <w:proofErr w:type="gramStart"/>
      <w:r w:rsidRPr="001A22C0">
        <w:t>které</w:t>
      </w:r>
      <w:proofErr w:type="gramEnd"/>
    </w:p>
    <w:p w14:paraId="55F8C6D8" w14:textId="77777777" w:rsidR="00696527" w:rsidRPr="001A22C0" w:rsidRDefault="00696527" w:rsidP="0096635B">
      <w:pPr>
        <w:spacing w:before="0"/>
        <w:ind w:left="425" w:hanging="425"/>
        <w:outlineLvl w:val="7"/>
      </w:pPr>
      <w:r>
        <w:t>a)</w:t>
      </w:r>
      <w:r>
        <w:tab/>
      </w:r>
      <w:r w:rsidRPr="001A22C0">
        <w:t>nevyžadují velký počet zaměstnanců,</w:t>
      </w:r>
    </w:p>
    <w:p w14:paraId="43F1378B" w14:textId="77777777" w:rsidR="00696527" w:rsidRPr="001A22C0" w:rsidRDefault="00696527" w:rsidP="0096635B">
      <w:pPr>
        <w:spacing w:before="0"/>
        <w:ind w:left="425" w:hanging="425"/>
        <w:outlineLvl w:val="7"/>
      </w:pPr>
      <w:r>
        <w:t>b)</w:t>
      </w:r>
      <w:r>
        <w:tab/>
      </w:r>
      <w:r w:rsidRPr="001A22C0">
        <w:t>nepotřebují složité a rozsáhlé strojní nebo jiné technické vybavení,</w:t>
      </w:r>
    </w:p>
    <w:p w14:paraId="17EC98A1" w14:textId="77777777" w:rsidR="00696527" w:rsidRPr="001A22C0" w:rsidRDefault="00696527" w:rsidP="0096635B">
      <w:pPr>
        <w:spacing w:before="0"/>
        <w:ind w:left="425" w:hanging="425"/>
        <w:outlineLvl w:val="7"/>
      </w:pPr>
      <w:r>
        <w:t>c)</w:t>
      </w:r>
      <w:r>
        <w:tab/>
      </w:r>
      <w:r w:rsidRPr="001A22C0">
        <w:t>nejsou vnitřně odvětvově či jinak organizačně členěné,</w:t>
      </w:r>
    </w:p>
    <w:p w14:paraId="6AA816C0" w14:textId="77777777" w:rsidR="00696527" w:rsidRPr="001A22C0" w:rsidRDefault="00696527" w:rsidP="0096635B">
      <w:pPr>
        <w:spacing w:before="0"/>
        <w:ind w:left="425" w:hanging="425"/>
        <w:outlineLvl w:val="7"/>
      </w:pPr>
      <w:r>
        <w:t>d)</w:t>
      </w:r>
      <w:r>
        <w:tab/>
      </w:r>
      <w:r w:rsidRPr="001A22C0">
        <w:t>nevstupují do složitých ekonomických nebo právních vztahů.</w:t>
      </w:r>
    </w:p>
    <w:p w14:paraId="4D7DC1C7" w14:textId="77777777" w:rsidR="00696527" w:rsidRPr="001A22C0" w:rsidRDefault="00696527" w:rsidP="00CC5D2E">
      <w:pPr>
        <w:tabs>
          <w:tab w:val="left" w:pos="782"/>
          <w:tab w:val="left" w:pos="851"/>
        </w:tabs>
        <w:spacing w:before="120" w:after="120"/>
        <w:outlineLvl w:val="6"/>
      </w:pPr>
      <w:r w:rsidRPr="001A22C0">
        <w:t>(2) Pracovníci organizační složky jsou zaměstnanci zřizovatele, pokud zvláštní zákon nestanoví jinak.</w:t>
      </w:r>
    </w:p>
    <w:p w14:paraId="6C7FDD0F" w14:textId="77777777" w:rsidR="00696527" w:rsidRPr="001A22C0" w:rsidRDefault="00696527" w:rsidP="00CC5D2E">
      <w:pPr>
        <w:tabs>
          <w:tab w:val="left" w:pos="782"/>
          <w:tab w:val="left" w:pos="851"/>
        </w:tabs>
        <w:spacing w:before="120" w:after="120"/>
        <w:outlineLvl w:val="6"/>
      </w:pPr>
      <w:r w:rsidRPr="001A22C0">
        <w:t>(3) Zřizovatel jmenuje vedoucího organizační složky a určí jeho práva a povinnosti.</w:t>
      </w:r>
    </w:p>
    <w:p w14:paraId="00508CA0" w14:textId="77777777" w:rsidR="00696527" w:rsidRPr="001A22C0" w:rsidRDefault="00696527" w:rsidP="00992796">
      <w:pPr>
        <w:keepNext/>
        <w:keepLines/>
        <w:numPr>
          <w:ilvl w:val="0"/>
          <w:numId w:val="61"/>
        </w:numPr>
        <w:spacing w:after="120"/>
        <w:jc w:val="center"/>
        <w:outlineLvl w:val="5"/>
      </w:pPr>
      <w:r w:rsidRPr="001A22C0">
        <w:t>§ 25</w:t>
      </w:r>
    </w:p>
    <w:p w14:paraId="2D2F997D" w14:textId="77777777" w:rsidR="00696527" w:rsidRPr="001A22C0" w:rsidRDefault="00696527" w:rsidP="0096635B">
      <w:pPr>
        <w:keepNext/>
        <w:keepLines/>
        <w:spacing w:after="120"/>
        <w:ind w:firstLine="0"/>
        <w:jc w:val="center"/>
        <w:outlineLvl w:val="5"/>
        <w:rPr>
          <w:b/>
        </w:rPr>
      </w:pPr>
      <w:r w:rsidRPr="001A22C0">
        <w:rPr>
          <w:b/>
        </w:rPr>
        <w:t>Hospodaření organizačních složek</w:t>
      </w:r>
    </w:p>
    <w:p w14:paraId="16200F34" w14:textId="34777830" w:rsidR="00696527" w:rsidRPr="001A22C0" w:rsidRDefault="0096635B" w:rsidP="00CC5D2E">
      <w:pPr>
        <w:tabs>
          <w:tab w:val="left" w:pos="782"/>
          <w:tab w:val="left" w:pos="851"/>
        </w:tabs>
        <w:spacing w:before="120" w:after="120"/>
        <w:outlineLvl w:val="6"/>
      </w:pPr>
      <w:r>
        <w:t xml:space="preserve">(1) </w:t>
      </w:r>
      <w:r w:rsidR="00696527" w:rsidRPr="001A22C0">
        <w:t>Územní samosprávný celek má ve svém rozpočtu obsaženy veškeré příjmy a výdaje svých organizačních složek. Rozpočet organizační složky je součástí rozpočtu jejího zřizovatele. Organizační složka je povinna dbát, aby dosahovala příjmů stanovených rozpočtem a plnila určené úkoly nejhospodárnějším způsobem.</w:t>
      </w:r>
    </w:p>
    <w:p w14:paraId="66F407FE" w14:textId="6E387D41" w:rsidR="00696527" w:rsidRPr="001A22C0" w:rsidRDefault="0096635B" w:rsidP="00CC5D2E">
      <w:pPr>
        <w:tabs>
          <w:tab w:val="left" w:pos="782"/>
          <w:tab w:val="left" w:pos="851"/>
        </w:tabs>
        <w:spacing w:before="120" w:after="120"/>
        <w:outlineLvl w:val="6"/>
      </w:pPr>
      <w:r>
        <w:t xml:space="preserve">(2) </w:t>
      </w:r>
      <w:r w:rsidR="00696527" w:rsidRPr="001A22C0">
        <w:t>Územní samosprávný celek dává oprávnění k dispozicím s rozpočtem organizační složky jednak svému úřadu, jednak také podle potřeby odpovědnému vedoucímu organizační složky. Při dělbě těchto oprávnění vychází z místních podmínek činnosti organizační složky, s přihlédnutím k povaze úkolů, které prostřednictvím své organizační složky zabezpečuje.</w:t>
      </w:r>
    </w:p>
    <w:p w14:paraId="3AE38DC4" w14:textId="0A137C00" w:rsidR="00696527" w:rsidRPr="001A22C0" w:rsidRDefault="0096635B" w:rsidP="00CC5D2E">
      <w:pPr>
        <w:tabs>
          <w:tab w:val="left" w:pos="782"/>
          <w:tab w:val="left" w:pos="851"/>
        </w:tabs>
        <w:spacing w:before="120" w:after="120"/>
        <w:outlineLvl w:val="6"/>
      </w:pPr>
      <w:r>
        <w:lastRenderedPageBreak/>
        <w:t xml:space="preserve">(3) </w:t>
      </w:r>
      <w:r w:rsidR="00696527" w:rsidRPr="001A22C0">
        <w:t>Na organizační složku přenáší zřizovatel oprávnění disponovat jen s takovými peněžními prostředky, které souvisejí s její běžnou, pravidelnou činností, již je nutné zabezpečovat operativně. Tyto prostředky poskytuje zřizovatel organizační složce formou provozní zálohy v hotovosti nebo zřízením běžného účtu u banky.</w:t>
      </w:r>
    </w:p>
    <w:p w14:paraId="46C260A9" w14:textId="1B64496B" w:rsidR="00696527" w:rsidRPr="001A22C0" w:rsidRDefault="0096635B" w:rsidP="00CC5D2E">
      <w:pPr>
        <w:tabs>
          <w:tab w:val="left" w:pos="782"/>
          <w:tab w:val="left" w:pos="851"/>
        </w:tabs>
        <w:spacing w:before="120" w:after="120"/>
        <w:outlineLvl w:val="6"/>
      </w:pPr>
      <w:r>
        <w:t xml:space="preserve">(4) </w:t>
      </w:r>
      <w:r w:rsidR="00696527" w:rsidRPr="001A22C0">
        <w:t>Pokud zřizovatel přenesl na organizační složku oprávnění disponovat s peněžními prostředky, vedoucí této organizační složky odpovídá za hospodaření, vedení pokladní služby a úplnost podkladů pro účetní záznamy zřizovatele.</w:t>
      </w:r>
    </w:p>
    <w:p w14:paraId="2A02FFAC" w14:textId="1C3C168C" w:rsidR="00696527" w:rsidRPr="001A22C0" w:rsidRDefault="0096635B" w:rsidP="00CC5D2E">
      <w:pPr>
        <w:tabs>
          <w:tab w:val="left" w:pos="782"/>
          <w:tab w:val="left" w:pos="851"/>
        </w:tabs>
        <w:spacing w:before="120" w:after="120"/>
        <w:outlineLvl w:val="6"/>
      </w:pPr>
      <w:r>
        <w:t xml:space="preserve">(5) </w:t>
      </w:r>
      <w:r w:rsidR="00696527" w:rsidRPr="001A22C0">
        <w:t>Organizační složka je povinna vyúčtovat provozní zálohu po ukončení období, na něž byla poskytnuta, nejpozději však do 31. prosince rozpočtového roku.</w:t>
      </w:r>
    </w:p>
    <w:p w14:paraId="50173FE0" w14:textId="50F4F9B6" w:rsidR="00696527" w:rsidRPr="001A22C0" w:rsidRDefault="0096635B" w:rsidP="00CC5D2E">
      <w:pPr>
        <w:tabs>
          <w:tab w:val="left" w:pos="782"/>
          <w:tab w:val="left" w:pos="851"/>
        </w:tabs>
        <w:spacing w:before="120" w:after="120"/>
        <w:outlineLvl w:val="6"/>
      </w:pPr>
      <w:r>
        <w:t xml:space="preserve">(6) </w:t>
      </w:r>
      <w:r w:rsidR="00696527" w:rsidRPr="001A22C0">
        <w:t xml:space="preserve">Zřizovatel může pověřit svou organizační složku vybíráním některých rozpočtových příjmů z její činnosti. Organizační složka tyto příjmy vybírá buď v </w:t>
      </w:r>
      <w:proofErr w:type="gramStart"/>
      <w:r w:rsidR="00696527" w:rsidRPr="001A22C0">
        <w:t>hotovosti nebo</w:t>
      </w:r>
      <w:proofErr w:type="gramEnd"/>
      <w:r w:rsidR="00696527" w:rsidRPr="001A22C0">
        <w:t xml:space="preserve"> pomocí svého běžného účtu. Z vybraných příjmů nesmí organizační složka hradit výdaje.</w:t>
      </w:r>
    </w:p>
    <w:p w14:paraId="26FA5EC6" w14:textId="505541AC" w:rsidR="00696527" w:rsidRPr="001A22C0" w:rsidRDefault="0096635B" w:rsidP="00CC5D2E">
      <w:pPr>
        <w:tabs>
          <w:tab w:val="left" w:pos="782"/>
          <w:tab w:val="left" w:pos="851"/>
        </w:tabs>
        <w:spacing w:before="120" w:after="120"/>
        <w:outlineLvl w:val="6"/>
      </w:pPr>
      <w:r>
        <w:t xml:space="preserve">(7) </w:t>
      </w:r>
      <w:r w:rsidR="00696527" w:rsidRPr="001A22C0">
        <w:t>Rozpočtové příjmy je organizační složka povinna odvést na účet svého zřizovatele nejpozději koncem každého měsíce.</w:t>
      </w:r>
    </w:p>
    <w:p w14:paraId="6E12A912" w14:textId="7A920241" w:rsidR="00696527" w:rsidRPr="001A22C0" w:rsidRDefault="0096635B" w:rsidP="00CC5D2E">
      <w:pPr>
        <w:tabs>
          <w:tab w:val="left" w:pos="782"/>
          <w:tab w:val="left" w:pos="851"/>
        </w:tabs>
        <w:spacing w:before="120" w:after="120"/>
        <w:outlineLvl w:val="6"/>
      </w:pPr>
      <w:r>
        <w:t xml:space="preserve">(8) </w:t>
      </w:r>
      <w:r w:rsidR="00696527" w:rsidRPr="001A22C0">
        <w:t xml:space="preserve">Peněžní průběh svého hospodaření vede organizační složka </w:t>
      </w:r>
      <w:r w:rsidR="00696527" w:rsidRPr="001A22C0">
        <w:rPr>
          <w:strike/>
        </w:rPr>
        <w:t>v peněžním deníku</w:t>
      </w:r>
      <w:r w:rsidR="00696527" w:rsidRPr="001A22C0">
        <w:t xml:space="preserve"> v plném členění podle rozpočtové skladby. Údaje </w:t>
      </w:r>
      <w:r w:rsidR="00696527" w:rsidRPr="001A22C0">
        <w:rPr>
          <w:strike/>
        </w:rPr>
        <w:t>z peněžního deníku</w:t>
      </w:r>
      <w:r w:rsidR="00696527" w:rsidRPr="001A22C0">
        <w:t xml:space="preserve"> se převádějí do rozpočtu příjmů a výdajů zřizovatele, a to v jím stanoveném termínu, nejméně však měsíčně a nejpozději před koncem roku.</w:t>
      </w:r>
    </w:p>
    <w:p w14:paraId="5CECFAE4" w14:textId="1D853033" w:rsidR="00696527" w:rsidRPr="001A22C0" w:rsidRDefault="0096635B" w:rsidP="00CC5D2E">
      <w:pPr>
        <w:tabs>
          <w:tab w:val="left" w:pos="782"/>
          <w:tab w:val="left" w:pos="851"/>
        </w:tabs>
        <w:spacing w:before="120" w:after="120"/>
        <w:outlineLvl w:val="6"/>
      </w:pPr>
      <w:r>
        <w:t xml:space="preserve">(9) </w:t>
      </w:r>
      <w:r w:rsidR="00696527" w:rsidRPr="001A22C0">
        <w:t>Nevyčerpanou zálohu je organizační složka povinna vrátit zřizovateli v jím stanoveném termínu, nejpozději před koncem roku.</w:t>
      </w:r>
    </w:p>
    <w:p w14:paraId="0A61F7A4" w14:textId="6C310F14" w:rsidR="00696527" w:rsidRPr="001A22C0" w:rsidRDefault="0096635B" w:rsidP="00CC5D2E">
      <w:pPr>
        <w:tabs>
          <w:tab w:val="left" w:pos="782"/>
          <w:tab w:val="left" w:pos="851"/>
        </w:tabs>
        <w:spacing w:before="120" w:after="120"/>
        <w:outlineLvl w:val="6"/>
      </w:pPr>
      <w:r>
        <w:t>(</w:t>
      </w:r>
      <w:proofErr w:type="gramStart"/>
      <w:r>
        <w:t xml:space="preserve">10) </w:t>
      </w:r>
      <w:r w:rsidR="00696527" w:rsidRPr="001A22C0">
        <w:t xml:space="preserve"> Zřizovatel</w:t>
      </w:r>
      <w:proofErr w:type="gramEnd"/>
      <w:r w:rsidR="00696527" w:rsidRPr="001A22C0">
        <w:t xml:space="preserve"> kontroluje hospodaření se svěřeným majetkem a s peněžními prostředky organizační složky.</w:t>
      </w:r>
    </w:p>
    <w:p w14:paraId="6B65F6E3" w14:textId="77777777" w:rsidR="00696527" w:rsidRPr="001A22C0" w:rsidRDefault="00696527" w:rsidP="0096635B">
      <w:pPr>
        <w:keepNext/>
        <w:keepLines/>
        <w:numPr>
          <w:ilvl w:val="0"/>
          <w:numId w:val="29"/>
        </w:numPr>
        <w:spacing w:after="120"/>
        <w:jc w:val="center"/>
        <w:outlineLvl w:val="5"/>
      </w:pPr>
      <w:r w:rsidRPr="001A22C0">
        <w:t>§ 26</w:t>
      </w:r>
    </w:p>
    <w:p w14:paraId="41BD5807" w14:textId="77777777" w:rsidR="00696527" w:rsidRPr="001A22C0" w:rsidRDefault="00696527" w:rsidP="0096635B">
      <w:pPr>
        <w:keepNext/>
        <w:keepLines/>
        <w:spacing w:after="120"/>
        <w:ind w:firstLine="0"/>
        <w:jc w:val="center"/>
        <w:outlineLvl w:val="5"/>
        <w:rPr>
          <w:b/>
        </w:rPr>
      </w:pPr>
      <w:r w:rsidRPr="001A22C0">
        <w:rPr>
          <w:b/>
        </w:rPr>
        <w:t>Zřizovací listina organizačních složek</w:t>
      </w:r>
    </w:p>
    <w:p w14:paraId="17E6DE3C" w14:textId="77777777" w:rsidR="00696527" w:rsidRPr="001A22C0" w:rsidRDefault="00696527" w:rsidP="00CC5D2E">
      <w:pPr>
        <w:tabs>
          <w:tab w:val="left" w:pos="782"/>
          <w:tab w:val="left" w:pos="851"/>
        </w:tabs>
        <w:spacing w:before="120" w:after="120"/>
        <w:outlineLvl w:val="6"/>
      </w:pPr>
      <w:r w:rsidRPr="001A22C0">
        <w:t>O vzniku organizační složky vydá zřizovatel zřizovací listinu, která musí obsahovat</w:t>
      </w:r>
    </w:p>
    <w:p w14:paraId="0EE86789" w14:textId="77777777" w:rsidR="00696527" w:rsidRPr="001A22C0" w:rsidRDefault="00696527" w:rsidP="0096635B">
      <w:pPr>
        <w:spacing w:before="0"/>
        <w:ind w:left="425" w:hanging="425"/>
        <w:outlineLvl w:val="7"/>
      </w:pPr>
      <w:r w:rsidRPr="001A22C0">
        <w:t>a)</w:t>
      </w:r>
      <w:r w:rsidRPr="001A22C0">
        <w:tab/>
        <w:t>úplný název zřizovatele; je-li jím obec, uvede se také její zařazení do okresu,</w:t>
      </w:r>
    </w:p>
    <w:p w14:paraId="04D8AE0B" w14:textId="77777777" w:rsidR="00696527" w:rsidRPr="001A22C0" w:rsidRDefault="00696527" w:rsidP="0096635B">
      <w:pPr>
        <w:spacing w:before="0"/>
        <w:ind w:left="425" w:hanging="425"/>
        <w:outlineLvl w:val="7"/>
      </w:pPr>
      <w:r w:rsidRPr="001A22C0">
        <w:t>b)</w:t>
      </w:r>
      <w:r w:rsidRPr="001A22C0">
        <w:tab/>
        <w:t>název a sídlo organizační složky; název musí vylučovat možnost záměny s názvy jiných organizačních složek zřizovatele,</w:t>
      </w:r>
    </w:p>
    <w:p w14:paraId="0799831D" w14:textId="77777777" w:rsidR="00696527" w:rsidRPr="001A22C0" w:rsidRDefault="00696527" w:rsidP="0096635B">
      <w:pPr>
        <w:spacing w:before="0"/>
        <w:ind w:left="425" w:hanging="425"/>
        <w:outlineLvl w:val="7"/>
      </w:pPr>
      <w:r w:rsidRPr="001A22C0">
        <w:t>c)</w:t>
      </w:r>
      <w:r w:rsidRPr="001A22C0">
        <w:tab/>
        <w:t>vymezení účelu a tomu odpovídajícího předmětu činnosti,</w:t>
      </w:r>
    </w:p>
    <w:p w14:paraId="27479BF8" w14:textId="77777777" w:rsidR="00696527" w:rsidRPr="001A22C0" w:rsidRDefault="00696527" w:rsidP="0096635B">
      <w:pPr>
        <w:spacing w:before="0"/>
        <w:ind w:left="425" w:hanging="425"/>
        <w:outlineLvl w:val="7"/>
      </w:pPr>
      <w:r w:rsidRPr="001A22C0">
        <w:t>d)</w:t>
      </w:r>
      <w:r w:rsidRPr="001A22C0">
        <w:tab/>
        <w:t>označení osob oprávněných jednat za organizační složku,</w:t>
      </w:r>
    </w:p>
    <w:p w14:paraId="013747EC" w14:textId="77777777" w:rsidR="00696527" w:rsidRPr="001A22C0" w:rsidRDefault="00696527" w:rsidP="0096635B">
      <w:pPr>
        <w:spacing w:before="0"/>
        <w:ind w:left="425" w:hanging="425"/>
        <w:outlineLvl w:val="7"/>
      </w:pPr>
      <w:r w:rsidRPr="001A22C0">
        <w:t>e)</w:t>
      </w:r>
      <w:r w:rsidRPr="001A22C0">
        <w:tab/>
        <w:t>vymezení majetku ve vlastnictví zřizovatele, pokud se organizační složce předává do správy k jejímu vlastnímu hospodářskému využití,</w:t>
      </w:r>
    </w:p>
    <w:p w14:paraId="40CEDF82" w14:textId="77777777" w:rsidR="00696527" w:rsidRPr="001A22C0" w:rsidRDefault="00696527" w:rsidP="0096635B">
      <w:pPr>
        <w:spacing w:before="0"/>
        <w:ind w:left="425" w:hanging="425"/>
        <w:outlineLvl w:val="7"/>
      </w:pPr>
      <w:r w:rsidRPr="001A22C0">
        <w:t>f)</w:t>
      </w:r>
      <w:r w:rsidRPr="001A22C0">
        <w:tab/>
        <w:t>vymezení takových majetkových práv, které organizační složce umožní, aby majetek svěřený podle písmena e) mohla řádně využívat pro účely, pro něž byla zřízena, a v rámci vymezené pravomoci o něj pečovat,</w:t>
      </w:r>
    </w:p>
    <w:p w14:paraId="5B614F99" w14:textId="77777777" w:rsidR="00696527" w:rsidRPr="001A22C0" w:rsidRDefault="00696527" w:rsidP="0096635B">
      <w:pPr>
        <w:spacing w:before="0"/>
        <w:ind w:left="425" w:hanging="425"/>
        <w:outlineLvl w:val="7"/>
      </w:pPr>
      <w:r w:rsidRPr="001A22C0">
        <w:t>g)</w:t>
      </w:r>
      <w:r w:rsidRPr="001A22C0">
        <w:tab/>
        <w:t>okruh příjmů a výdajů rozpočtu zřizovatele souvisejících s její činností, které zřizovatel svěřuje do její působnosti, a způsob jejich použití, a to na rozdíl od zbývajících příjmů a výdajů organizační složky, které zřizovatel o jejím hospodaření sleduje podle rozpočtové skladby a zabezpečuje je ve svém rozpočtu,</w:t>
      </w:r>
    </w:p>
    <w:p w14:paraId="3F378FED" w14:textId="77777777" w:rsidR="00696527" w:rsidRPr="001A22C0" w:rsidRDefault="00696527" w:rsidP="0096635B">
      <w:pPr>
        <w:spacing w:before="0"/>
        <w:ind w:left="425" w:hanging="425"/>
        <w:outlineLvl w:val="7"/>
      </w:pPr>
      <w:r w:rsidRPr="001A22C0">
        <w:t>h)</w:t>
      </w:r>
      <w:r w:rsidRPr="001A22C0">
        <w:tab/>
        <w:t xml:space="preserve">způsob vedení </w:t>
      </w:r>
      <w:r w:rsidRPr="001A22C0">
        <w:rPr>
          <w:strike/>
        </w:rPr>
        <w:t>odděleného</w:t>
      </w:r>
      <w:r w:rsidRPr="001A22C0">
        <w:t xml:space="preserve"> účetnictví o příjmech a výdajích organizační složky svěřených jí do její působnosti podle písmena g), včetně případného zřízení a využívání samostatného bankovního účtu, a způsob vyúčtování prostředků sledovaných na tomto účtu a popř. také </w:t>
      </w:r>
      <w:r w:rsidRPr="001A22C0">
        <w:lastRenderedPageBreak/>
        <w:t>způsob stanovení a vyúčtování zúčtovatelných záloh poskytovaných na její provozní výdaje,</w:t>
      </w:r>
    </w:p>
    <w:p w14:paraId="51994DCA" w14:textId="77777777" w:rsidR="00696527" w:rsidRPr="001A22C0" w:rsidRDefault="00696527" w:rsidP="0096635B">
      <w:pPr>
        <w:spacing w:before="0"/>
        <w:ind w:left="425" w:hanging="425"/>
        <w:outlineLvl w:val="7"/>
      </w:pPr>
      <w:r w:rsidRPr="001A22C0">
        <w:t>i)</w:t>
      </w:r>
      <w:r w:rsidRPr="001A22C0">
        <w:tab/>
        <w:t>vymezení doby, na kterou je organizační složka zřízena.</w:t>
      </w:r>
    </w:p>
    <w:p w14:paraId="014A1E4C" w14:textId="77777777" w:rsidR="00696527" w:rsidRPr="001A22C0" w:rsidRDefault="00696527" w:rsidP="0096635B">
      <w:pPr>
        <w:keepNext/>
        <w:keepLines/>
        <w:numPr>
          <w:ilvl w:val="0"/>
          <w:numId w:val="29"/>
        </w:numPr>
        <w:spacing w:after="120"/>
        <w:jc w:val="center"/>
        <w:outlineLvl w:val="5"/>
      </w:pPr>
      <w:r w:rsidRPr="001A22C0">
        <w:t>***</w:t>
      </w:r>
    </w:p>
    <w:p w14:paraId="1378E9E8" w14:textId="77777777" w:rsidR="00696527" w:rsidRPr="001A22C0" w:rsidRDefault="00696527" w:rsidP="0096635B">
      <w:pPr>
        <w:keepNext/>
        <w:keepLines/>
        <w:numPr>
          <w:ilvl w:val="0"/>
          <w:numId w:val="29"/>
        </w:numPr>
        <w:spacing w:after="120"/>
        <w:jc w:val="center"/>
        <w:outlineLvl w:val="5"/>
      </w:pPr>
      <w:r w:rsidRPr="001A22C0">
        <w:t xml:space="preserve">§ 28 </w:t>
      </w:r>
    </w:p>
    <w:p w14:paraId="20B227C6" w14:textId="77777777" w:rsidR="00696527" w:rsidRPr="001A22C0" w:rsidRDefault="00696527" w:rsidP="0096635B">
      <w:pPr>
        <w:keepNext/>
        <w:keepLines/>
        <w:spacing w:after="120"/>
        <w:ind w:firstLine="0"/>
        <w:jc w:val="center"/>
        <w:outlineLvl w:val="5"/>
        <w:rPr>
          <w:b/>
        </w:rPr>
      </w:pPr>
      <w:r w:rsidRPr="001A22C0">
        <w:rPr>
          <w:b/>
        </w:rPr>
        <w:t>Finanční hospodaření příspěvkových organizací</w:t>
      </w:r>
    </w:p>
    <w:p w14:paraId="6DACA8A3" w14:textId="7FF56D63" w:rsidR="00696527" w:rsidRPr="001A22C0" w:rsidRDefault="0096635B" w:rsidP="00CC5D2E">
      <w:pPr>
        <w:tabs>
          <w:tab w:val="left" w:pos="782"/>
          <w:tab w:val="left" w:pos="851"/>
        </w:tabs>
        <w:spacing w:before="120" w:after="120"/>
        <w:outlineLvl w:val="6"/>
      </w:pPr>
      <w:r>
        <w:t xml:space="preserve">(1) </w:t>
      </w:r>
      <w:r w:rsidR="00696527" w:rsidRPr="001A22C0">
        <w:t>Příspěvková organizace sestavuje rozpočet a střednědobý výhled rozpočtu, které schvaluje její zřizovatel.</w:t>
      </w:r>
    </w:p>
    <w:p w14:paraId="13CE6546" w14:textId="3BDE9B6A" w:rsidR="00696527" w:rsidRPr="001A22C0" w:rsidRDefault="0096635B" w:rsidP="00CC5D2E">
      <w:pPr>
        <w:tabs>
          <w:tab w:val="left" w:pos="782"/>
          <w:tab w:val="left" w:pos="851"/>
        </w:tabs>
        <w:spacing w:before="120" w:after="120"/>
        <w:outlineLvl w:val="6"/>
        <w:rPr>
          <w:b/>
        </w:rPr>
      </w:pPr>
      <w:r>
        <w:t xml:space="preserve">(2) </w:t>
      </w:r>
      <w:r w:rsidR="00696527" w:rsidRPr="001A22C0">
        <w:t xml:space="preserve">Rozpočet příspěvkové organizace je plán </w:t>
      </w:r>
      <w:r w:rsidR="00696527" w:rsidRPr="001A22C0">
        <w:rPr>
          <w:strike/>
        </w:rPr>
        <w:t>výnosů a nákladů</w:t>
      </w:r>
      <w:r w:rsidR="00696527" w:rsidRPr="001A22C0">
        <w:t xml:space="preserve"> </w:t>
      </w:r>
      <w:r w:rsidR="00696527" w:rsidRPr="001A22C0">
        <w:rPr>
          <w:b/>
        </w:rPr>
        <w:t xml:space="preserve">příjmů a výdajů </w:t>
      </w:r>
      <w:r w:rsidR="00696527" w:rsidRPr="001A22C0">
        <w:t xml:space="preserve">na rozpočtový rok, jímž se řídí financování činnosti příspěvkové organizace. Rozpočtový rok je shodný s kalendářním rokem. </w:t>
      </w:r>
      <w:r w:rsidR="00696527" w:rsidRPr="001A22C0">
        <w:rPr>
          <w:b/>
        </w:rPr>
        <w:t>Rozpočet příspěvkové organizace se po zahrnutí příspěvku od zřizovatele sestavuje zpravidla jako vyrovnaný.</w:t>
      </w:r>
    </w:p>
    <w:p w14:paraId="700FE773" w14:textId="35F248FA" w:rsidR="00696527" w:rsidRPr="001A22C0" w:rsidRDefault="0096635B" w:rsidP="00CC5D2E">
      <w:pPr>
        <w:tabs>
          <w:tab w:val="left" w:pos="782"/>
          <w:tab w:val="left" w:pos="851"/>
        </w:tabs>
        <w:spacing w:before="120" w:after="120"/>
        <w:outlineLvl w:val="6"/>
      </w:pPr>
      <w:r>
        <w:t xml:space="preserve">(3) </w:t>
      </w:r>
      <w:r w:rsidR="00696527" w:rsidRPr="001A22C0">
        <w:t xml:space="preserve">Střednědobý výhled rozpočtu příspěvkové organizace je plán </w:t>
      </w:r>
      <w:r w:rsidR="00696527" w:rsidRPr="001A22C0">
        <w:rPr>
          <w:strike/>
        </w:rPr>
        <w:t>výnosů a nákladů</w:t>
      </w:r>
      <w:r w:rsidR="00696527" w:rsidRPr="001A22C0">
        <w:t xml:space="preserve"> </w:t>
      </w:r>
      <w:r w:rsidR="00696527" w:rsidRPr="001A22C0">
        <w:rPr>
          <w:b/>
        </w:rPr>
        <w:t>příjmů a výdajů</w:t>
      </w:r>
      <w:r w:rsidR="00696527" w:rsidRPr="001A22C0">
        <w:t xml:space="preserve"> na nejméně 2 roky následující po roce, na který je sestavován rozpočet. Obsahuje předpokládané </w:t>
      </w:r>
      <w:r w:rsidR="00696527" w:rsidRPr="001A22C0">
        <w:rPr>
          <w:strike/>
        </w:rPr>
        <w:t>náklady a výnosy</w:t>
      </w:r>
      <w:r w:rsidR="00696527" w:rsidRPr="001A22C0">
        <w:t xml:space="preserve"> </w:t>
      </w:r>
      <w:r w:rsidR="00696527" w:rsidRPr="001A22C0">
        <w:rPr>
          <w:b/>
        </w:rPr>
        <w:t xml:space="preserve">výdaje a příjmy </w:t>
      </w:r>
      <w:r w:rsidR="00696527" w:rsidRPr="001A22C0">
        <w:t>v jednotlivých letech.</w:t>
      </w:r>
    </w:p>
    <w:p w14:paraId="2D2F0962" w14:textId="0EC7C09D" w:rsidR="00696527" w:rsidRPr="001A22C0" w:rsidRDefault="0096635B" w:rsidP="00CC5D2E">
      <w:pPr>
        <w:tabs>
          <w:tab w:val="left" w:pos="782"/>
          <w:tab w:val="left" w:pos="851"/>
        </w:tabs>
        <w:spacing w:before="120" w:after="120"/>
        <w:outlineLvl w:val="6"/>
      </w:pPr>
      <w:r>
        <w:t xml:space="preserve">(4) </w:t>
      </w:r>
      <w:r w:rsidR="00696527" w:rsidRPr="001A22C0">
        <w:t>Příspěvková organizace hospodaří s peněžními prostředky získanými vlastní činností a s peněžními prostředky přijatými z rozpočtu svého zřizovatele. Dále hospodaří s prostředky svých fondů, s peněžitými dary od fyzických a právnických osob, včetně peněžních prostředků poskytnutých z Národního fondu a ze zahraničí.</w:t>
      </w:r>
    </w:p>
    <w:p w14:paraId="0087CFF1" w14:textId="4A6C19EC" w:rsidR="00696527" w:rsidRPr="001A22C0" w:rsidRDefault="0096635B" w:rsidP="00CC5D2E">
      <w:pPr>
        <w:tabs>
          <w:tab w:val="left" w:pos="782"/>
          <w:tab w:val="left" w:pos="851"/>
        </w:tabs>
        <w:spacing w:before="120" w:after="120"/>
        <w:outlineLvl w:val="6"/>
      </w:pPr>
      <w:r>
        <w:t xml:space="preserve">(5) </w:t>
      </w:r>
      <w:r w:rsidR="00696527" w:rsidRPr="001A22C0">
        <w:t>Příspěvková organizace dále hospodaří</w:t>
      </w:r>
    </w:p>
    <w:p w14:paraId="75411422" w14:textId="77777777" w:rsidR="00696527" w:rsidRPr="001A22C0" w:rsidRDefault="00696527" w:rsidP="0096635B">
      <w:pPr>
        <w:spacing w:before="0"/>
        <w:ind w:left="425" w:hanging="425"/>
        <w:outlineLvl w:val="7"/>
      </w:pPr>
      <w:r w:rsidRPr="001A22C0">
        <w:t>a)</w:t>
      </w:r>
      <w:r w:rsidRPr="001A22C0">
        <w:tab/>
        <w:t>s dotací na úhradu provozních výdajů, které jsou nebo mají být kryty z rozpočtu Evropské unie, včetně stanoveného podílu státního rozpočtu na financování těchto výdajů,</w:t>
      </w:r>
    </w:p>
    <w:p w14:paraId="5CAE5669" w14:textId="77777777" w:rsidR="00696527" w:rsidRPr="001A22C0" w:rsidRDefault="00696527" w:rsidP="0096635B">
      <w:pPr>
        <w:spacing w:before="0"/>
        <w:ind w:left="425" w:hanging="425"/>
        <w:outlineLvl w:val="7"/>
      </w:pPr>
      <w:r w:rsidRPr="001A22C0">
        <w:t>b)</w:t>
      </w:r>
      <w:r w:rsidRPr="001A22C0">
        <w:tab/>
        <w:t>s dotací na úhradu provozních výdajů podle mezinárodních smluv, na základě kterých jsou České republice svěřeny peněžní prostředky z finančního mechanismu Evropského hospodářského prostoru, z finančního mechanismu Norska a programu švýcarsko-české spolupráce.</w:t>
      </w:r>
    </w:p>
    <w:p w14:paraId="2735DB7A" w14:textId="7D2A5321" w:rsidR="00696527" w:rsidRPr="001A22C0" w:rsidRDefault="0096635B" w:rsidP="00CC5D2E">
      <w:pPr>
        <w:tabs>
          <w:tab w:val="left" w:pos="782"/>
          <w:tab w:val="left" w:pos="851"/>
        </w:tabs>
        <w:spacing w:before="120" w:after="120"/>
        <w:outlineLvl w:val="6"/>
      </w:pPr>
      <w:r>
        <w:t xml:space="preserve">(6) </w:t>
      </w:r>
      <w:r w:rsidR="00696527" w:rsidRPr="001A22C0">
        <w:t>Pokud se prostředky poskytnuté podle odstavce 5 nespotřebují do konce kalendářního roku, převádějí se do rezervního fondu jako zdroj financování v následujících letech a mohou se použít pouze na stanovený účel. V rezervním fondu se tyto zdroje sledují odděleně. Prostředky, které na stanovený účel nebyly použity, podléhají finančnímu vypořádání se státním rozpočtem za rok, ve kterém byl splněn účel, na který byla dotace poskytnuta.</w:t>
      </w:r>
    </w:p>
    <w:p w14:paraId="5831AF49" w14:textId="5AB7884B" w:rsidR="00696527" w:rsidRPr="001A22C0" w:rsidRDefault="0096635B" w:rsidP="00CC5D2E">
      <w:pPr>
        <w:tabs>
          <w:tab w:val="left" w:pos="782"/>
          <w:tab w:val="left" w:pos="851"/>
        </w:tabs>
        <w:spacing w:before="120" w:after="120"/>
        <w:outlineLvl w:val="6"/>
      </w:pPr>
      <w:r>
        <w:t xml:space="preserve">(7) </w:t>
      </w:r>
      <w:r w:rsidR="00696527" w:rsidRPr="001A22C0">
        <w:t>Zřizovatel poskytuje příspěvek na provoz své příspěvkové organizaci zpravidla v návaznosti na výkony nebo jiná kritéria jejích potřeb.</w:t>
      </w:r>
    </w:p>
    <w:p w14:paraId="051E66CE" w14:textId="237124A5" w:rsidR="00696527" w:rsidRPr="001A22C0" w:rsidRDefault="0096635B" w:rsidP="00CC5D2E">
      <w:pPr>
        <w:tabs>
          <w:tab w:val="left" w:pos="782"/>
          <w:tab w:val="left" w:pos="851"/>
        </w:tabs>
        <w:spacing w:before="120" w:after="120"/>
        <w:outlineLvl w:val="6"/>
      </w:pPr>
      <w:r>
        <w:t xml:space="preserve">(8) </w:t>
      </w:r>
      <w:r w:rsidR="00696527" w:rsidRPr="001A22C0">
        <w:t xml:space="preserve">Pokud příspěvková organizace </w:t>
      </w:r>
      <w:proofErr w:type="gramStart"/>
      <w:r w:rsidR="00696527" w:rsidRPr="001A22C0">
        <w:rPr>
          <w:strike/>
        </w:rPr>
        <w:t>vytváří</w:t>
      </w:r>
      <w:proofErr w:type="gramEnd"/>
      <w:r w:rsidR="00696527" w:rsidRPr="001A22C0">
        <w:rPr>
          <w:strike/>
        </w:rPr>
        <w:t xml:space="preserve"> ve své doplňkové činnosti zisk</w:t>
      </w:r>
      <w:r w:rsidR="00696527" w:rsidRPr="001A22C0">
        <w:rPr>
          <w:b/>
        </w:rPr>
        <w:t xml:space="preserve"> </w:t>
      </w:r>
      <w:proofErr w:type="gramStart"/>
      <w:r w:rsidR="00696527" w:rsidRPr="001A22C0">
        <w:rPr>
          <w:b/>
        </w:rPr>
        <w:t>dosáhne</w:t>
      </w:r>
      <w:proofErr w:type="gramEnd"/>
      <w:r w:rsidR="00696527" w:rsidRPr="001A22C0">
        <w:rPr>
          <w:b/>
        </w:rPr>
        <w:t xml:space="preserve"> ve své doplňkové činnosti kladného rozdílu příjmů a výdajů</w:t>
      </w:r>
      <w:r w:rsidR="00696527" w:rsidRPr="001A22C0">
        <w:t>, může jej použít jen ve prospěch své hlavní činnosti; zřizovatel může organizaci povolit jiné využití tohoto zdroje.</w:t>
      </w:r>
    </w:p>
    <w:p w14:paraId="7A5A93CC" w14:textId="4548D06A" w:rsidR="00696527" w:rsidRPr="001A22C0" w:rsidRDefault="0096635B" w:rsidP="00CC5D2E">
      <w:pPr>
        <w:tabs>
          <w:tab w:val="left" w:pos="782"/>
          <w:tab w:val="left" w:pos="851"/>
        </w:tabs>
        <w:spacing w:before="120" w:after="120"/>
        <w:outlineLvl w:val="6"/>
      </w:pPr>
      <w:r>
        <w:t xml:space="preserve">(9) </w:t>
      </w:r>
      <w:r w:rsidR="00696527" w:rsidRPr="001A22C0">
        <w:t>Příspěvkové organizaci může její zřizovatel uložit odvod do svého rozpočtu, jestliže</w:t>
      </w:r>
    </w:p>
    <w:p w14:paraId="7FE4E454" w14:textId="77777777" w:rsidR="00696527" w:rsidRPr="001A22C0" w:rsidRDefault="00696527" w:rsidP="00CC5D2E">
      <w:pPr>
        <w:spacing w:before="120" w:after="120"/>
        <w:ind w:left="425" w:hanging="425"/>
        <w:outlineLvl w:val="7"/>
      </w:pPr>
      <w:r w:rsidRPr="001A22C0">
        <w:t>a)</w:t>
      </w:r>
      <w:r w:rsidRPr="001A22C0">
        <w:tab/>
        <w:t xml:space="preserve">její plánované </w:t>
      </w:r>
      <w:r w:rsidRPr="001A22C0">
        <w:rPr>
          <w:strike/>
        </w:rPr>
        <w:t>výnosy</w:t>
      </w:r>
      <w:r w:rsidRPr="001A22C0">
        <w:rPr>
          <w:b/>
        </w:rPr>
        <w:t xml:space="preserve"> příjmy</w:t>
      </w:r>
      <w:r w:rsidRPr="001A22C0">
        <w:t xml:space="preserve"> překračují její plánované </w:t>
      </w:r>
      <w:r w:rsidRPr="001A22C0">
        <w:rPr>
          <w:strike/>
        </w:rPr>
        <w:t>náklady</w:t>
      </w:r>
      <w:r w:rsidRPr="001A22C0">
        <w:t xml:space="preserve"> </w:t>
      </w:r>
      <w:r w:rsidRPr="001A22C0">
        <w:rPr>
          <w:b/>
        </w:rPr>
        <w:t>výdaje</w:t>
      </w:r>
      <w:r w:rsidRPr="001A22C0">
        <w:t>, a to jako závazný ukazatel rozpočtu, nebo</w:t>
      </w:r>
    </w:p>
    <w:p w14:paraId="0B186806" w14:textId="77777777" w:rsidR="00696527" w:rsidRPr="001A22C0" w:rsidRDefault="00696527" w:rsidP="00CC5D2E">
      <w:pPr>
        <w:spacing w:before="120" w:after="120"/>
        <w:ind w:left="425" w:hanging="425"/>
        <w:outlineLvl w:val="7"/>
      </w:pPr>
      <w:r w:rsidRPr="001A22C0">
        <w:t>b)</w:t>
      </w:r>
      <w:r w:rsidRPr="001A22C0">
        <w:tab/>
        <w:t>její investiční zdroje jsou větší, než je jejich potřeba užití podle rozhodnutí zřizovatele.</w:t>
      </w:r>
    </w:p>
    <w:p w14:paraId="425B6B3F" w14:textId="77777777" w:rsidR="00696527" w:rsidRPr="001A22C0" w:rsidRDefault="00696527" w:rsidP="00CC5D2E">
      <w:pPr>
        <w:tabs>
          <w:tab w:val="left" w:pos="782"/>
          <w:tab w:val="left" w:pos="851"/>
        </w:tabs>
        <w:spacing w:before="120" w:after="120"/>
        <w:outlineLvl w:val="6"/>
      </w:pPr>
      <w:r w:rsidRPr="001A22C0">
        <w:t>(10)</w:t>
      </w:r>
      <w:r w:rsidRPr="001A22C0">
        <w:tab/>
        <w:t>Příspěvková organizace se dopustí porušení rozpočtové kázně tím, že</w:t>
      </w:r>
    </w:p>
    <w:p w14:paraId="482E2B26" w14:textId="77777777" w:rsidR="00696527" w:rsidRPr="001A22C0" w:rsidRDefault="00696527" w:rsidP="0096635B">
      <w:pPr>
        <w:spacing w:before="0"/>
        <w:ind w:left="425" w:hanging="425"/>
        <w:outlineLvl w:val="7"/>
      </w:pPr>
      <w:r w:rsidRPr="001A22C0">
        <w:lastRenderedPageBreak/>
        <w:t>a)</w:t>
      </w:r>
      <w:r w:rsidRPr="001A22C0">
        <w:tab/>
        <w:t xml:space="preserve">použije </w:t>
      </w:r>
      <w:r w:rsidRPr="001A22C0">
        <w:rPr>
          <w:strike/>
        </w:rPr>
        <w:t>finanční</w:t>
      </w:r>
      <w:r w:rsidRPr="001A22C0">
        <w:t xml:space="preserve"> </w:t>
      </w:r>
      <w:r w:rsidRPr="001A22C0">
        <w:rPr>
          <w:b/>
        </w:rPr>
        <w:t xml:space="preserve">peněžní </w:t>
      </w:r>
      <w:r w:rsidRPr="001A22C0">
        <w:t>prostředky, které obdrží z rozpočtu svého zřizovatele, v rozporu se stanoveným účelem,</w:t>
      </w:r>
    </w:p>
    <w:p w14:paraId="2E3A33C9" w14:textId="77777777" w:rsidR="00696527" w:rsidRPr="001A22C0" w:rsidRDefault="00696527" w:rsidP="0096635B">
      <w:pPr>
        <w:spacing w:before="0"/>
        <w:ind w:left="425" w:hanging="425"/>
        <w:outlineLvl w:val="7"/>
      </w:pPr>
      <w:r w:rsidRPr="001A22C0">
        <w:t>b)</w:t>
      </w:r>
      <w:r w:rsidRPr="001A22C0">
        <w:tab/>
        <w:t xml:space="preserve">převede do svého peněžního fondu více </w:t>
      </w:r>
      <w:r w:rsidRPr="001A22C0">
        <w:rPr>
          <w:strike/>
        </w:rPr>
        <w:t>finančních</w:t>
      </w:r>
      <w:r w:rsidRPr="001A22C0">
        <w:t xml:space="preserve"> </w:t>
      </w:r>
      <w:r w:rsidRPr="001A22C0">
        <w:rPr>
          <w:b/>
        </w:rPr>
        <w:t xml:space="preserve">peněžních </w:t>
      </w:r>
      <w:r w:rsidRPr="001A22C0">
        <w:t>prostředků, než stanoví tento zákon nebo než rozhodl zřizovatel,</w:t>
      </w:r>
    </w:p>
    <w:p w14:paraId="09E17DD7" w14:textId="77777777" w:rsidR="00696527" w:rsidRPr="001A22C0" w:rsidRDefault="00696527" w:rsidP="0096635B">
      <w:pPr>
        <w:spacing w:before="0"/>
        <w:ind w:left="425" w:hanging="425"/>
        <w:outlineLvl w:val="7"/>
      </w:pPr>
      <w:r w:rsidRPr="001A22C0">
        <w:t>c)</w:t>
      </w:r>
      <w:r w:rsidRPr="001A22C0">
        <w:tab/>
        <w:t>použije prostředky svého peněžního fondu na jiný účel nebo v jiné výši, než stanoví tento zákon nebo jiný právní předpis,</w:t>
      </w:r>
    </w:p>
    <w:p w14:paraId="2AA55016" w14:textId="77777777" w:rsidR="00696527" w:rsidRPr="001A22C0" w:rsidRDefault="00696527" w:rsidP="0096635B">
      <w:pPr>
        <w:spacing w:before="0"/>
        <w:ind w:left="425" w:hanging="425"/>
        <w:outlineLvl w:val="7"/>
      </w:pPr>
      <w:r w:rsidRPr="001A22C0">
        <w:t>d)</w:t>
      </w:r>
      <w:r w:rsidRPr="001A22C0">
        <w:tab/>
        <w:t>použije své provozní prostředky na účel, na který měly být použity prostředky jejího peněžního fondu podle tohoto zákona,</w:t>
      </w:r>
    </w:p>
    <w:p w14:paraId="22FE3190" w14:textId="77777777" w:rsidR="00696527" w:rsidRPr="001A22C0" w:rsidRDefault="00696527" w:rsidP="0096635B">
      <w:pPr>
        <w:spacing w:before="0"/>
        <w:ind w:left="425" w:hanging="425"/>
        <w:outlineLvl w:val="7"/>
      </w:pPr>
      <w:r w:rsidRPr="001A22C0">
        <w:t>e)</w:t>
      </w:r>
      <w:r w:rsidRPr="001A22C0">
        <w:tab/>
        <w:t>překročí stanovený nebo přípustný objem prostředků na platy, pokud toto překročení do 31. prosince nekryla ze svého fondu odměn, nebo</w:t>
      </w:r>
    </w:p>
    <w:p w14:paraId="0CC0256D" w14:textId="77777777" w:rsidR="00696527" w:rsidRPr="001A22C0" w:rsidRDefault="00696527" w:rsidP="0096635B">
      <w:pPr>
        <w:spacing w:before="0"/>
        <w:ind w:left="425" w:hanging="425"/>
        <w:outlineLvl w:val="7"/>
      </w:pPr>
      <w:r w:rsidRPr="001A22C0">
        <w:t>f)</w:t>
      </w:r>
      <w:r w:rsidRPr="001A22C0">
        <w:tab/>
        <w:t>neprovede odvod podle odstavce 9 ve lhůtě stanovené zřizovatelem.</w:t>
      </w:r>
    </w:p>
    <w:p w14:paraId="42687E58" w14:textId="2400B3A6" w:rsidR="00696527" w:rsidRPr="001A22C0" w:rsidRDefault="0096635B" w:rsidP="00CC5D2E">
      <w:pPr>
        <w:tabs>
          <w:tab w:val="left" w:pos="782"/>
          <w:tab w:val="left" w:pos="851"/>
        </w:tabs>
        <w:spacing w:before="120" w:after="120"/>
        <w:outlineLvl w:val="6"/>
      </w:pPr>
      <w:r>
        <w:t xml:space="preserve">(11) </w:t>
      </w:r>
      <w:r w:rsidR="00696527" w:rsidRPr="001A22C0">
        <w:t>Za porušení rozpočtové kázně uloží zřizovatel příspěvkové organizaci odvod do svého rozpočtu ve výši neoprávněně použitých prostředků, a to nejpozději do 1 roku ode dne, kdy porušení rozpočtové kázně zjistil, nejdéle však do 3 let ode dne, kdy k porušení rozpočtové kázně došlo.</w:t>
      </w:r>
    </w:p>
    <w:p w14:paraId="3DC3D534" w14:textId="553F8085" w:rsidR="00696527" w:rsidRPr="001A22C0" w:rsidRDefault="0096635B" w:rsidP="00CC5D2E">
      <w:pPr>
        <w:tabs>
          <w:tab w:val="left" w:pos="782"/>
          <w:tab w:val="left" w:pos="851"/>
        </w:tabs>
        <w:spacing w:before="120" w:after="120"/>
        <w:outlineLvl w:val="6"/>
      </w:pPr>
      <w:r>
        <w:t xml:space="preserve">(12) </w:t>
      </w:r>
      <w:r w:rsidR="00696527" w:rsidRPr="001A22C0">
        <w:t>Zřizovatel může z důvodu zamezení tvrdosti snížit nebo prominout odvod za porušení rozpočtové kázně na základě písemné žádosti příspěvkové organizace podané do 1 roku od uložení odvodu.</w:t>
      </w:r>
    </w:p>
    <w:p w14:paraId="1CD70090" w14:textId="5DA1AE49" w:rsidR="00696527" w:rsidRPr="001A22C0" w:rsidRDefault="0096635B" w:rsidP="00CC5D2E">
      <w:pPr>
        <w:tabs>
          <w:tab w:val="left" w:pos="782"/>
          <w:tab w:val="left" w:pos="851"/>
        </w:tabs>
        <w:spacing w:before="120" w:after="120"/>
        <w:outlineLvl w:val="6"/>
      </w:pPr>
      <w:r>
        <w:t xml:space="preserve">(13) </w:t>
      </w:r>
      <w:r w:rsidR="00696527" w:rsidRPr="001A22C0">
        <w:t>Ustanovení odstavců 10 až 12 se nevztahují na porušení rozpočtové kázně při nakládání s prostředky poskytnutými příspěvkové organizaci z rozpočtu zřizovatele, které zřizovatel obdržel ze státního rozpočtu, z rozpočtu státního fondu nebo z Národního fondu za účelem, aby je na základě svého rozhodnutí poskytnul právnické nebo fyzické osobě. V takovém případě se postupuje podle § 22.</w:t>
      </w:r>
    </w:p>
    <w:p w14:paraId="7F3D5186" w14:textId="14070112" w:rsidR="00696527" w:rsidRPr="001A22C0" w:rsidRDefault="0096635B" w:rsidP="00CC5D2E">
      <w:pPr>
        <w:tabs>
          <w:tab w:val="left" w:pos="782"/>
          <w:tab w:val="left" w:pos="851"/>
        </w:tabs>
        <w:spacing w:before="120" w:after="120"/>
        <w:outlineLvl w:val="6"/>
      </w:pPr>
      <w:r>
        <w:t xml:space="preserve">(14) </w:t>
      </w:r>
      <w:r w:rsidR="00696527" w:rsidRPr="001A22C0">
        <w:t>Vztah rozpočtu příspěvkové organizace k rozpočtu zřizovatele lze během roku změnit v neprospěch příspěvkové organizace jen ze závažných, objektivně působících příčin.</w:t>
      </w:r>
    </w:p>
    <w:p w14:paraId="6E6D913D" w14:textId="6398F9BD" w:rsidR="00696527" w:rsidRPr="001A22C0" w:rsidRDefault="0096635B" w:rsidP="00CC5D2E">
      <w:pPr>
        <w:tabs>
          <w:tab w:val="left" w:pos="782"/>
          <w:tab w:val="left" w:pos="851"/>
        </w:tabs>
        <w:spacing w:before="120" w:after="120"/>
        <w:outlineLvl w:val="6"/>
      </w:pPr>
      <w:r>
        <w:t xml:space="preserve">(15) </w:t>
      </w:r>
      <w:r w:rsidR="00696527" w:rsidRPr="001A22C0">
        <w:t xml:space="preserve">Nestanoví-li zvláštní zákon jinak, rozpočet zřizovatele zprostředkovává vztah příspěvkové organizace ke státnímu rozpočtu </w:t>
      </w:r>
      <w:r w:rsidR="00696527" w:rsidRPr="001A22C0">
        <w:rPr>
          <w:strike/>
        </w:rPr>
        <w:t>a k Národnímu fondu; jde-li o příspěvkovou organizaci zřízenou obcí, též k rozpočtu kraje</w:t>
      </w:r>
      <w:r w:rsidR="00696527" w:rsidRPr="001A22C0">
        <w:rPr>
          <w:b/>
        </w:rPr>
        <w:t>, k rozpočtu státního fondu, k Národnímu fondu a k jiným územním rozpočtům</w:t>
      </w:r>
      <w:r w:rsidR="00696527" w:rsidRPr="001A22C0">
        <w:t>.</w:t>
      </w:r>
    </w:p>
    <w:p w14:paraId="7C69D242" w14:textId="77777777" w:rsidR="00696527" w:rsidRPr="001A22C0" w:rsidRDefault="00696527" w:rsidP="0096635B">
      <w:pPr>
        <w:keepNext/>
        <w:keepLines/>
        <w:spacing w:after="120"/>
        <w:ind w:firstLine="0"/>
        <w:jc w:val="center"/>
        <w:outlineLvl w:val="5"/>
        <w:rPr>
          <w:strike/>
        </w:rPr>
      </w:pPr>
      <w:r w:rsidRPr="001A22C0">
        <w:rPr>
          <w:strike/>
        </w:rPr>
        <w:t>§ 29</w:t>
      </w:r>
    </w:p>
    <w:p w14:paraId="02B42CFC" w14:textId="77777777" w:rsidR="00696527" w:rsidRPr="001A22C0" w:rsidRDefault="00696527" w:rsidP="0096635B">
      <w:pPr>
        <w:keepNext/>
        <w:keepLines/>
        <w:spacing w:after="120"/>
        <w:ind w:firstLine="0"/>
        <w:jc w:val="center"/>
        <w:outlineLvl w:val="5"/>
        <w:rPr>
          <w:b/>
          <w:strike/>
        </w:rPr>
      </w:pPr>
      <w:r w:rsidRPr="001A22C0">
        <w:rPr>
          <w:b/>
          <w:strike/>
        </w:rPr>
        <w:t>Peněžní fondy příspěvkových organizací</w:t>
      </w:r>
    </w:p>
    <w:p w14:paraId="552E6E87" w14:textId="1BC3F30F" w:rsidR="00696527" w:rsidRPr="001A22C0" w:rsidRDefault="0096635B" w:rsidP="00CC5D2E">
      <w:pPr>
        <w:tabs>
          <w:tab w:val="left" w:pos="782"/>
          <w:tab w:val="left" w:pos="851"/>
        </w:tabs>
        <w:spacing w:before="120" w:after="120"/>
        <w:outlineLvl w:val="6"/>
        <w:rPr>
          <w:strike/>
        </w:rPr>
      </w:pPr>
      <w:r>
        <w:rPr>
          <w:strike/>
        </w:rPr>
        <w:t xml:space="preserve">(1) </w:t>
      </w:r>
      <w:r w:rsidR="00696527" w:rsidRPr="00CC5D2E">
        <w:rPr>
          <w:strike/>
        </w:rPr>
        <w:t>Příspěvková</w:t>
      </w:r>
      <w:r w:rsidR="00696527" w:rsidRPr="001A22C0">
        <w:rPr>
          <w:strike/>
        </w:rPr>
        <w:t xml:space="preserve"> organizace tvoří tyto peněžní fondy:</w:t>
      </w:r>
    </w:p>
    <w:p w14:paraId="7153069C" w14:textId="77777777" w:rsidR="00696527" w:rsidRPr="001A22C0" w:rsidRDefault="00696527" w:rsidP="0096635B">
      <w:pPr>
        <w:spacing w:before="0"/>
        <w:ind w:left="425" w:hanging="425"/>
        <w:outlineLvl w:val="7"/>
        <w:rPr>
          <w:strike/>
        </w:rPr>
      </w:pPr>
      <w:r w:rsidRPr="001A22C0">
        <w:rPr>
          <w:strike/>
        </w:rPr>
        <w:t>a)</w:t>
      </w:r>
      <w:r w:rsidRPr="001A22C0">
        <w:rPr>
          <w:strike/>
        </w:rPr>
        <w:tab/>
        <w:t>rezervní fond,</w:t>
      </w:r>
    </w:p>
    <w:p w14:paraId="19319027" w14:textId="77777777" w:rsidR="00696527" w:rsidRPr="001A22C0" w:rsidRDefault="00696527" w:rsidP="0096635B">
      <w:pPr>
        <w:spacing w:before="0"/>
        <w:ind w:left="425" w:hanging="425"/>
        <w:outlineLvl w:val="7"/>
        <w:rPr>
          <w:strike/>
        </w:rPr>
      </w:pPr>
      <w:r w:rsidRPr="001A22C0">
        <w:rPr>
          <w:strike/>
        </w:rPr>
        <w:t>b)</w:t>
      </w:r>
      <w:r w:rsidRPr="001A22C0">
        <w:rPr>
          <w:strike/>
        </w:rPr>
        <w:tab/>
        <w:t>fond investic,</w:t>
      </w:r>
    </w:p>
    <w:p w14:paraId="1D73D6DA" w14:textId="77777777" w:rsidR="00696527" w:rsidRPr="001A22C0" w:rsidRDefault="00696527" w:rsidP="0096635B">
      <w:pPr>
        <w:spacing w:before="0"/>
        <w:ind w:left="425" w:hanging="425"/>
        <w:outlineLvl w:val="7"/>
        <w:rPr>
          <w:strike/>
        </w:rPr>
      </w:pPr>
      <w:r w:rsidRPr="001A22C0">
        <w:rPr>
          <w:strike/>
        </w:rPr>
        <w:t>c)</w:t>
      </w:r>
      <w:r w:rsidRPr="001A22C0">
        <w:rPr>
          <w:strike/>
        </w:rPr>
        <w:tab/>
        <w:t>fond odměn,</w:t>
      </w:r>
    </w:p>
    <w:p w14:paraId="000622E5" w14:textId="77777777" w:rsidR="00696527" w:rsidRPr="001A22C0" w:rsidRDefault="00696527" w:rsidP="0096635B">
      <w:pPr>
        <w:spacing w:before="0"/>
        <w:ind w:left="425" w:hanging="425"/>
        <w:outlineLvl w:val="7"/>
        <w:rPr>
          <w:strike/>
        </w:rPr>
      </w:pPr>
      <w:r w:rsidRPr="001A22C0">
        <w:rPr>
          <w:strike/>
        </w:rPr>
        <w:t>d)</w:t>
      </w:r>
      <w:r w:rsidRPr="001A22C0">
        <w:rPr>
          <w:strike/>
        </w:rPr>
        <w:tab/>
        <w:t>fond kulturních a sociálních potřeb.</w:t>
      </w:r>
    </w:p>
    <w:p w14:paraId="0675596D" w14:textId="3F2F85DC" w:rsidR="00696527" w:rsidRPr="001A22C0" w:rsidRDefault="0096635B" w:rsidP="00CC5D2E">
      <w:pPr>
        <w:tabs>
          <w:tab w:val="left" w:pos="782"/>
          <w:tab w:val="left" w:pos="851"/>
        </w:tabs>
        <w:spacing w:before="120" w:after="120"/>
        <w:outlineLvl w:val="6"/>
        <w:rPr>
          <w:strike/>
        </w:rPr>
      </w:pPr>
      <w:r>
        <w:rPr>
          <w:strike/>
        </w:rPr>
        <w:t xml:space="preserve">(2) </w:t>
      </w:r>
      <w:r w:rsidR="00696527" w:rsidRPr="001A22C0">
        <w:rPr>
          <w:strike/>
        </w:rPr>
        <w:t>Zůstatky peněžních fondů se po skončení roku převádějí do následujícího roku.</w:t>
      </w:r>
    </w:p>
    <w:p w14:paraId="5EF460D8" w14:textId="77777777" w:rsidR="00696527" w:rsidRPr="001A22C0" w:rsidRDefault="00696527" w:rsidP="0096635B">
      <w:pPr>
        <w:keepNext/>
        <w:keepLines/>
        <w:spacing w:after="120"/>
        <w:ind w:firstLine="0"/>
        <w:jc w:val="center"/>
        <w:outlineLvl w:val="5"/>
        <w:rPr>
          <w:b/>
          <w:shd w:val="clear" w:color="auto" w:fill="FBE4D5" w:themeFill="accent2" w:themeFillTint="33"/>
        </w:rPr>
      </w:pPr>
      <w:r w:rsidRPr="001A22C0">
        <w:rPr>
          <w:b/>
        </w:rPr>
        <w:t>§ 29</w:t>
      </w:r>
    </w:p>
    <w:p w14:paraId="60343971" w14:textId="77777777" w:rsidR="00696527" w:rsidRPr="001A22C0" w:rsidRDefault="00696527" w:rsidP="0096635B">
      <w:pPr>
        <w:keepNext/>
        <w:keepLines/>
        <w:spacing w:after="120"/>
        <w:ind w:firstLine="0"/>
        <w:jc w:val="center"/>
        <w:outlineLvl w:val="5"/>
        <w:rPr>
          <w:shd w:val="clear" w:color="auto" w:fill="FBE4D5" w:themeFill="accent2" w:themeFillTint="33"/>
        </w:rPr>
      </w:pPr>
      <w:r w:rsidRPr="001A22C0">
        <w:rPr>
          <w:b/>
        </w:rPr>
        <w:t>Peněžní fondy příspěvkových organizací</w:t>
      </w:r>
    </w:p>
    <w:p w14:paraId="4E8C9F28" w14:textId="2EDA1DF6" w:rsidR="00696527" w:rsidRPr="001A22C0" w:rsidRDefault="0096635B" w:rsidP="00CC5D2E">
      <w:pPr>
        <w:tabs>
          <w:tab w:val="left" w:pos="782"/>
          <w:tab w:val="left" w:pos="851"/>
        </w:tabs>
        <w:spacing w:before="120" w:after="120"/>
        <w:outlineLvl w:val="6"/>
        <w:rPr>
          <w:b/>
          <w:shd w:val="clear" w:color="auto" w:fill="FBE4D5" w:themeFill="accent2" w:themeFillTint="33"/>
        </w:rPr>
      </w:pPr>
      <w:r>
        <w:rPr>
          <w:b/>
        </w:rPr>
        <w:t xml:space="preserve">(1) </w:t>
      </w:r>
      <w:r w:rsidR="00696527" w:rsidRPr="001A22C0">
        <w:rPr>
          <w:b/>
        </w:rPr>
        <w:t>Příspěvková organizace tvoří fond kulturních a sociálních potřeb.</w:t>
      </w:r>
    </w:p>
    <w:p w14:paraId="03C2AC15" w14:textId="20FE3BCC" w:rsidR="00696527" w:rsidRPr="001A22C0" w:rsidRDefault="0096635B" w:rsidP="00CC5D2E">
      <w:pPr>
        <w:tabs>
          <w:tab w:val="left" w:pos="782"/>
          <w:tab w:val="left" w:pos="851"/>
        </w:tabs>
        <w:spacing w:before="120" w:after="120"/>
        <w:outlineLvl w:val="6"/>
        <w:rPr>
          <w:b/>
          <w:shd w:val="clear" w:color="auto" w:fill="FBE4D5" w:themeFill="accent2" w:themeFillTint="33"/>
        </w:rPr>
      </w:pPr>
      <w:r>
        <w:rPr>
          <w:b/>
        </w:rPr>
        <w:t xml:space="preserve">(2) </w:t>
      </w:r>
      <w:r w:rsidR="00696527" w:rsidRPr="001A22C0">
        <w:rPr>
          <w:b/>
        </w:rPr>
        <w:t xml:space="preserve">Zřizovatel může příspěvkové organizaci uložit zřízení nebo zrušení </w:t>
      </w:r>
    </w:p>
    <w:p w14:paraId="5E506058" w14:textId="77777777" w:rsidR="00696527" w:rsidRPr="001A22C0" w:rsidRDefault="00696527" w:rsidP="0096635B">
      <w:pPr>
        <w:spacing w:before="0"/>
        <w:ind w:left="425" w:hanging="425"/>
        <w:outlineLvl w:val="7"/>
        <w:rPr>
          <w:b/>
          <w:shd w:val="clear" w:color="auto" w:fill="FBE4D5" w:themeFill="accent2" w:themeFillTint="33"/>
        </w:rPr>
      </w:pPr>
      <w:r w:rsidRPr="001A22C0">
        <w:rPr>
          <w:b/>
        </w:rPr>
        <w:lastRenderedPageBreak/>
        <w:t>a)</w:t>
      </w:r>
      <w:r w:rsidRPr="001A22C0">
        <w:rPr>
          <w:b/>
        </w:rPr>
        <w:tab/>
        <w:t>rezervního fondu,</w:t>
      </w:r>
    </w:p>
    <w:p w14:paraId="4C8CEB15" w14:textId="77777777" w:rsidR="00696527" w:rsidRPr="001A22C0" w:rsidRDefault="00696527" w:rsidP="0096635B">
      <w:pPr>
        <w:spacing w:before="0"/>
        <w:ind w:left="425" w:hanging="425"/>
        <w:outlineLvl w:val="7"/>
        <w:rPr>
          <w:b/>
          <w:shd w:val="clear" w:color="auto" w:fill="FBE4D5" w:themeFill="accent2" w:themeFillTint="33"/>
        </w:rPr>
      </w:pPr>
      <w:r w:rsidRPr="001A22C0">
        <w:rPr>
          <w:b/>
        </w:rPr>
        <w:t>b)</w:t>
      </w:r>
      <w:r w:rsidRPr="001A22C0">
        <w:rPr>
          <w:b/>
        </w:rPr>
        <w:tab/>
        <w:t>fondu investic,</w:t>
      </w:r>
    </w:p>
    <w:p w14:paraId="552359AC" w14:textId="77777777" w:rsidR="00696527" w:rsidRPr="001A22C0" w:rsidRDefault="00696527" w:rsidP="0096635B">
      <w:pPr>
        <w:spacing w:before="0"/>
        <w:ind w:left="425" w:hanging="425"/>
        <w:outlineLvl w:val="7"/>
        <w:rPr>
          <w:b/>
          <w:shd w:val="clear" w:color="auto" w:fill="FBE4D5" w:themeFill="accent2" w:themeFillTint="33"/>
        </w:rPr>
      </w:pPr>
      <w:r w:rsidRPr="001A22C0">
        <w:rPr>
          <w:b/>
        </w:rPr>
        <w:t>c)</w:t>
      </w:r>
      <w:r w:rsidRPr="001A22C0">
        <w:rPr>
          <w:b/>
        </w:rPr>
        <w:tab/>
        <w:t>fondu odměn.</w:t>
      </w:r>
    </w:p>
    <w:p w14:paraId="4833FB8B" w14:textId="00BC301A" w:rsidR="00696527" w:rsidRPr="00CC5D2E" w:rsidRDefault="0096635B" w:rsidP="00CC5D2E">
      <w:pPr>
        <w:tabs>
          <w:tab w:val="left" w:pos="782"/>
          <w:tab w:val="left" w:pos="851"/>
        </w:tabs>
        <w:spacing w:before="120" w:after="120"/>
        <w:outlineLvl w:val="6"/>
        <w:rPr>
          <w:b/>
        </w:rPr>
      </w:pPr>
      <w:r>
        <w:rPr>
          <w:b/>
        </w:rPr>
        <w:t xml:space="preserve">(3) </w:t>
      </w:r>
      <w:r w:rsidR="00696527" w:rsidRPr="001A22C0">
        <w:rPr>
          <w:b/>
        </w:rPr>
        <w:t>Zůstatek peněžních fondů se po skončení roku převádí do následujícího roku.</w:t>
      </w:r>
    </w:p>
    <w:p w14:paraId="0D45D818" w14:textId="7CDBC893" w:rsidR="00696527" w:rsidRPr="00CC5D2E" w:rsidRDefault="0096635B" w:rsidP="00CC5D2E">
      <w:pPr>
        <w:tabs>
          <w:tab w:val="left" w:pos="782"/>
          <w:tab w:val="left" w:pos="851"/>
        </w:tabs>
        <w:spacing w:before="120" w:after="120"/>
        <w:outlineLvl w:val="6"/>
        <w:rPr>
          <w:b/>
        </w:rPr>
      </w:pPr>
      <w:r>
        <w:rPr>
          <w:b/>
        </w:rPr>
        <w:t xml:space="preserve">(4) </w:t>
      </w:r>
      <w:r w:rsidR="00696527" w:rsidRPr="001A22C0">
        <w:rPr>
          <w:b/>
        </w:rPr>
        <w:t>Zůstatek zrušeného peněžního fondu převede příspěvková organizace na základě rozhodnutí zřizovatele do jiného peněžního fondu nebo do provozních prostředků.</w:t>
      </w:r>
    </w:p>
    <w:p w14:paraId="4B7FC6F7" w14:textId="77777777" w:rsidR="00696527" w:rsidRPr="001A22C0" w:rsidRDefault="00696527" w:rsidP="0096635B">
      <w:pPr>
        <w:keepNext/>
        <w:keepLines/>
        <w:spacing w:after="120"/>
        <w:ind w:firstLine="0"/>
        <w:jc w:val="center"/>
        <w:outlineLvl w:val="5"/>
      </w:pPr>
      <w:r w:rsidRPr="001A22C0">
        <w:t>§ 30</w:t>
      </w:r>
    </w:p>
    <w:p w14:paraId="0000DF0E" w14:textId="77777777" w:rsidR="00696527" w:rsidRPr="001A22C0" w:rsidRDefault="00696527" w:rsidP="0096635B">
      <w:pPr>
        <w:keepNext/>
        <w:keepLines/>
        <w:spacing w:after="120"/>
        <w:ind w:firstLine="0"/>
        <w:jc w:val="center"/>
        <w:outlineLvl w:val="5"/>
        <w:rPr>
          <w:b/>
        </w:rPr>
      </w:pPr>
      <w:r w:rsidRPr="001A22C0">
        <w:rPr>
          <w:b/>
        </w:rPr>
        <w:t>Rezervní fond</w:t>
      </w:r>
    </w:p>
    <w:p w14:paraId="3C79D016" w14:textId="77777777" w:rsidR="00696527" w:rsidRPr="001A22C0" w:rsidRDefault="00696527" w:rsidP="00CC5D2E">
      <w:pPr>
        <w:tabs>
          <w:tab w:val="left" w:pos="782"/>
          <w:tab w:val="left" w:pos="851"/>
        </w:tabs>
        <w:spacing w:before="120" w:after="120"/>
        <w:outlineLvl w:val="6"/>
      </w:pPr>
      <w:r w:rsidRPr="001A22C0">
        <w:rPr>
          <w:strike/>
        </w:rPr>
        <w:t>(1) Rezervní fond se tvoří ze zlepšeného výsledku hospodaření příspěvkové organizace na základě schválení jeho výše zřizovatelem po skončení roku, sníženého o případné převody do fondu odměn. Zlepšený výsledek hospodaření příspěvkové organizace je vytvořen tehdy, jestliže skutečné výnosy jejího hospodaření jsou spolu s přijatým provozním příspěvkem větší než její provozní náklady. Rozdělení zlepšeného výsledku hospodaření do rezervního fondu a do fondu odměn schvaluje zřizovatel. Zdrojem rezervního fondu mohou být též peněžní dary a prostředky převedené podle § 28 odst. 6.</w:t>
      </w:r>
    </w:p>
    <w:p w14:paraId="2830B815" w14:textId="77777777" w:rsidR="00696527" w:rsidRPr="001A22C0" w:rsidRDefault="00696527" w:rsidP="00CC5D2E">
      <w:pPr>
        <w:tabs>
          <w:tab w:val="left" w:pos="782"/>
          <w:tab w:val="left" w:pos="851"/>
        </w:tabs>
        <w:spacing w:before="120" w:after="120"/>
        <w:outlineLvl w:val="6"/>
        <w:rPr>
          <w:b/>
          <w:color w:val="FF0000"/>
          <w:shd w:val="clear" w:color="auto" w:fill="FBE4D5" w:themeFill="accent2" w:themeFillTint="33"/>
        </w:rPr>
      </w:pPr>
      <w:r w:rsidRPr="001A22C0">
        <w:rPr>
          <w:b/>
        </w:rPr>
        <w:t>(1) Rezervní fond se tvoří z kladného rozdílu příjmů a výdajů příspěvkové organizace na základě schválení jeho výše zřizovatelem po skončení roku, sníženého o případné převody do fondu odměn. Součástí příjmů je i příspěvek zřizovatele na provoz.</w:t>
      </w:r>
      <w:r w:rsidRPr="001A22C0">
        <w:rPr>
          <w:b/>
          <w:color w:val="FF0000"/>
        </w:rPr>
        <w:t xml:space="preserve"> </w:t>
      </w:r>
      <w:r w:rsidRPr="001A22C0">
        <w:rPr>
          <w:b/>
        </w:rPr>
        <w:t>Rozdělení kladného rozdílu příjmů a výdajů do rezervního fondu a do fondu odměn schvaluje zřizovatel. Zdrojem rezervního fondu mohou být též peněžní dary a prostředky převedené podle § 28 odst. 6.</w:t>
      </w:r>
    </w:p>
    <w:p w14:paraId="7012C7F5" w14:textId="2E8D71F5" w:rsidR="00696527" w:rsidRPr="001A22C0" w:rsidRDefault="0096635B" w:rsidP="00CC5D2E">
      <w:pPr>
        <w:tabs>
          <w:tab w:val="left" w:pos="782"/>
          <w:tab w:val="left" w:pos="851"/>
        </w:tabs>
        <w:spacing w:before="120" w:after="120"/>
        <w:outlineLvl w:val="6"/>
      </w:pPr>
      <w:r>
        <w:t xml:space="preserve">(2) </w:t>
      </w:r>
      <w:r w:rsidR="00696527" w:rsidRPr="001A22C0">
        <w:t>Rezervní fond, s výjimkou účelově určených peněžních darů a prostředků převedených podle § 28 odst. 6, používá příspěvková organizace</w:t>
      </w:r>
    </w:p>
    <w:p w14:paraId="1B8DE30A" w14:textId="77777777" w:rsidR="00696527" w:rsidRPr="001A22C0" w:rsidRDefault="00696527" w:rsidP="0096635B">
      <w:pPr>
        <w:spacing w:before="0"/>
        <w:ind w:left="425" w:hanging="425"/>
        <w:outlineLvl w:val="7"/>
      </w:pPr>
      <w:r w:rsidRPr="001A22C0">
        <w:t>a)</w:t>
      </w:r>
      <w:r w:rsidRPr="001A22C0">
        <w:tab/>
        <w:t>k dalšímu rozvoji své činnosti,</w:t>
      </w:r>
    </w:p>
    <w:p w14:paraId="2D4BB2CD" w14:textId="77777777" w:rsidR="00696527" w:rsidRPr="001A22C0" w:rsidRDefault="00696527" w:rsidP="0096635B">
      <w:pPr>
        <w:spacing w:before="0"/>
        <w:ind w:left="425" w:hanging="425"/>
        <w:outlineLvl w:val="7"/>
      </w:pPr>
      <w:r w:rsidRPr="001A22C0">
        <w:t>b)</w:t>
      </w:r>
      <w:r w:rsidRPr="001A22C0">
        <w:tab/>
        <w:t xml:space="preserve">k časovému překlenutí dočasného </w:t>
      </w:r>
      <w:r w:rsidRPr="001A22C0">
        <w:rPr>
          <w:strike/>
        </w:rPr>
        <w:t>nesouladu mezi výnosy a náklady</w:t>
      </w:r>
      <w:r w:rsidRPr="001A22C0">
        <w:t xml:space="preserve"> </w:t>
      </w:r>
      <w:r w:rsidRPr="001A22C0">
        <w:rPr>
          <w:b/>
        </w:rPr>
        <w:t>nedostatku peněžních prostředků</w:t>
      </w:r>
      <w:r w:rsidRPr="001A22C0">
        <w:t>,</w:t>
      </w:r>
    </w:p>
    <w:p w14:paraId="4C1736D7" w14:textId="77777777" w:rsidR="00696527" w:rsidRPr="001A22C0" w:rsidRDefault="00696527" w:rsidP="0096635B">
      <w:pPr>
        <w:spacing w:before="0"/>
        <w:ind w:left="425" w:hanging="425"/>
        <w:outlineLvl w:val="7"/>
      </w:pPr>
      <w:r w:rsidRPr="001A22C0">
        <w:t>c)</w:t>
      </w:r>
      <w:r w:rsidRPr="001A22C0">
        <w:tab/>
        <w:t>k úhradě případných odvodů a penále uložených jí za porušení rozpočtové kázně,</w:t>
      </w:r>
    </w:p>
    <w:p w14:paraId="319FC42D" w14:textId="77777777" w:rsidR="00696527" w:rsidRPr="001A22C0" w:rsidRDefault="00696527" w:rsidP="0096635B">
      <w:pPr>
        <w:spacing w:before="0"/>
        <w:ind w:left="425" w:hanging="425"/>
        <w:outlineLvl w:val="7"/>
      </w:pPr>
      <w:r w:rsidRPr="001A22C0">
        <w:t>d)</w:t>
      </w:r>
      <w:r w:rsidRPr="001A22C0">
        <w:tab/>
        <w:t xml:space="preserve">k úhradě </w:t>
      </w:r>
      <w:r w:rsidRPr="001A22C0">
        <w:rPr>
          <w:strike/>
        </w:rPr>
        <w:t>své ztráty za předchozí léta</w:t>
      </w:r>
      <w:r w:rsidRPr="001A22C0">
        <w:t xml:space="preserve"> </w:t>
      </w:r>
      <w:r w:rsidRPr="001A22C0">
        <w:rPr>
          <w:b/>
        </w:rPr>
        <w:t>svého dluhu z předchozích let</w:t>
      </w:r>
      <w:r w:rsidRPr="001A22C0">
        <w:t>.</w:t>
      </w:r>
    </w:p>
    <w:p w14:paraId="5935C5AB" w14:textId="2B6952FC" w:rsidR="00696527" w:rsidRPr="001A22C0" w:rsidRDefault="0096635B" w:rsidP="00CC5D2E">
      <w:pPr>
        <w:tabs>
          <w:tab w:val="left" w:pos="782"/>
          <w:tab w:val="left" w:pos="851"/>
        </w:tabs>
        <w:spacing w:before="120" w:after="120"/>
        <w:outlineLvl w:val="6"/>
      </w:pPr>
      <w:r>
        <w:t xml:space="preserve">(3) </w:t>
      </w:r>
      <w:r w:rsidR="00696527" w:rsidRPr="001A22C0">
        <w:t>Účelově určené peněžní dary se použijí v souladu s jejich určením.</w:t>
      </w:r>
    </w:p>
    <w:p w14:paraId="7EED0A5B" w14:textId="5911B136" w:rsidR="00696527" w:rsidRPr="001A22C0" w:rsidRDefault="0096635B" w:rsidP="00CC5D2E">
      <w:pPr>
        <w:tabs>
          <w:tab w:val="left" w:pos="782"/>
          <w:tab w:val="left" w:pos="851"/>
        </w:tabs>
        <w:spacing w:before="120" w:after="120"/>
        <w:outlineLvl w:val="6"/>
      </w:pPr>
      <w:r>
        <w:t xml:space="preserve">(4) </w:t>
      </w:r>
      <w:r w:rsidR="00696527" w:rsidRPr="001A22C0">
        <w:t>Zřizovatel může dát příspěvkové organizaci souhlas k tomu, aby část svého rezervního fondu, s výjimkou účelově určených peněžních darů a prostředků převedených podle § 28 odst. 6, použila k posílení svého fondu investic.</w:t>
      </w:r>
    </w:p>
    <w:p w14:paraId="66B35212" w14:textId="77777777" w:rsidR="00696527" w:rsidRPr="001A22C0" w:rsidRDefault="00696527" w:rsidP="003B6895">
      <w:pPr>
        <w:keepNext/>
        <w:keepLines/>
        <w:numPr>
          <w:ilvl w:val="0"/>
          <w:numId w:val="29"/>
        </w:numPr>
        <w:spacing w:after="120"/>
        <w:jc w:val="center"/>
        <w:outlineLvl w:val="5"/>
      </w:pPr>
      <w:r w:rsidRPr="001A22C0">
        <w:t>§ 31</w:t>
      </w:r>
    </w:p>
    <w:p w14:paraId="0860770D" w14:textId="77777777" w:rsidR="00696527" w:rsidRPr="001A22C0" w:rsidRDefault="00696527" w:rsidP="003B6895">
      <w:pPr>
        <w:keepNext/>
        <w:keepLines/>
        <w:numPr>
          <w:ilvl w:val="0"/>
          <w:numId w:val="29"/>
        </w:numPr>
        <w:spacing w:after="120"/>
        <w:jc w:val="center"/>
        <w:outlineLvl w:val="5"/>
        <w:rPr>
          <w:b/>
        </w:rPr>
      </w:pPr>
      <w:r w:rsidRPr="001A22C0">
        <w:rPr>
          <w:b/>
        </w:rPr>
        <w:t>Fond investic</w:t>
      </w:r>
    </w:p>
    <w:p w14:paraId="77C3E085" w14:textId="77777777" w:rsidR="00696527" w:rsidRPr="001A22C0" w:rsidRDefault="00696527" w:rsidP="00CC5D2E">
      <w:pPr>
        <w:tabs>
          <w:tab w:val="left" w:pos="782"/>
          <w:tab w:val="left" w:pos="851"/>
        </w:tabs>
        <w:spacing w:before="120" w:after="120"/>
        <w:outlineLvl w:val="6"/>
      </w:pPr>
      <w:r w:rsidRPr="001A22C0">
        <w:t>(1) Fond investic vytváří příspěvková organizace k financování svých investičních potřeb. Jeho zdrojem jsou</w:t>
      </w:r>
    </w:p>
    <w:p w14:paraId="3089545D" w14:textId="77777777" w:rsidR="00696527" w:rsidRPr="001A22C0" w:rsidRDefault="00696527" w:rsidP="0096635B">
      <w:pPr>
        <w:spacing w:before="0"/>
        <w:ind w:left="425" w:hanging="425"/>
        <w:outlineLvl w:val="7"/>
      </w:pPr>
      <w:r w:rsidRPr="001A22C0">
        <w:rPr>
          <w:strike/>
        </w:rPr>
        <w:t>a)</w:t>
      </w:r>
      <w:r w:rsidRPr="001A22C0">
        <w:rPr>
          <w:strike/>
        </w:rPr>
        <w:tab/>
        <w:t>peněžní prostředky ve výši odpisů</w:t>
      </w:r>
      <w:r w:rsidRPr="001A22C0">
        <w:rPr>
          <w:strike/>
          <w:color w:val="0070C0"/>
        </w:rPr>
        <w:t xml:space="preserve"> </w:t>
      </w:r>
      <w:r w:rsidRPr="001A22C0">
        <w:rPr>
          <w:strike/>
        </w:rPr>
        <w:t>hmotného a nehmotného dlouhodobého majetku</w:t>
      </w:r>
      <w:r w:rsidRPr="001A22C0">
        <w:rPr>
          <w:strike/>
          <w:vertAlign w:val="superscript"/>
        </w:rPr>
        <w:t>4)</w:t>
      </w:r>
      <w:r w:rsidRPr="001A22C0">
        <w:rPr>
          <w:b/>
        </w:rPr>
        <w:t xml:space="preserve"> </w:t>
      </w:r>
      <w:r w:rsidRPr="001A22C0">
        <w:rPr>
          <w:strike/>
        </w:rPr>
        <w:t>prováděné podle zřizovatelem schváleného odpisového plánu,</w:t>
      </w:r>
      <w:r w:rsidRPr="001A22C0">
        <w:rPr>
          <w:b/>
        </w:rPr>
        <w:t xml:space="preserve"> </w:t>
      </w:r>
    </w:p>
    <w:p w14:paraId="1F764BFA" w14:textId="77777777" w:rsidR="00696527" w:rsidRPr="001A22C0" w:rsidRDefault="00696527" w:rsidP="0096635B">
      <w:pPr>
        <w:spacing w:before="0"/>
        <w:ind w:left="425" w:hanging="425"/>
        <w:outlineLvl w:val="7"/>
      </w:pPr>
      <w:r w:rsidRPr="001A22C0">
        <w:rPr>
          <w:b/>
        </w:rPr>
        <w:t>a)</w:t>
      </w:r>
      <w:r w:rsidRPr="001A22C0">
        <w:rPr>
          <w:b/>
        </w:rPr>
        <w:tab/>
        <w:t>peněžní prostředky až do výše odpisů hmotného nebo nehmotného majetku s dobou použitelnosti delší než 1 rok schválené zřizovatelem,</w:t>
      </w:r>
    </w:p>
    <w:p w14:paraId="184D87A5" w14:textId="77777777" w:rsidR="00696527" w:rsidRPr="001A22C0" w:rsidRDefault="00696527" w:rsidP="0096635B">
      <w:pPr>
        <w:spacing w:before="0"/>
        <w:ind w:left="425" w:hanging="425"/>
        <w:outlineLvl w:val="7"/>
      </w:pPr>
      <w:r w:rsidRPr="001A22C0">
        <w:t>b)</w:t>
      </w:r>
      <w:r w:rsidRPr="001A22C0">
        <w:tab/>
        <w:t>investiční příspěvek z rozpočtu zřizovatele,</w:t>
      </w:r>
    </w:p>
    <w:p w14:paraId="715985E7" w14:textId="77777777" w:rsidR="00696527" w:rsidRPr="001A22C0" w:rsidRDefault="00696527" w:rsidP="0096635B">
      <w:pPr>
        <w:spacing w:before="0"/>
        <w:ind w:left="425" w:hanging="425"/>
        <w:outlineLvl w:val="7"/>
      </w:pPr>
      <w:r w:rsidRPr="001A22C0">
        <w:lastRenderedPageBreak/>
        <w:t>c)</w:t>
      </w:r>
      <w:r w:rsidRPr="001A22C0">
        <w:tab/>
        <w:t>investiční dotace ze státních fondů a jiných veřejných rozpočtů,</w:t>
      </w:r>
    </w:p>
    <w:p w14:paraId="1272DB44" w14:textId="77777777" w:rsidR="00696527" w:rsidRPr="001A22C0" w:rsidRDefault="00696527" w:rsidP="0096635B">
      <w:pPr>
        <w:spacing w:before="0"/>
        <w:ind w:left="425" w:hanging="425"/>
        <w:outlineLvl w:val="7"/>
        <w:rPr>
          <w:strike/>
        </w:rPr>
      </w:pPr>
      <w:r w:rsidRPr="001A22C0">
        <w:rPr>
          <w:strike/>
        </w:rPr>
        <w:t>d)</w:t>
      </w:r>
      <w:r w:rsidRPr="001A22C0">
        <w:rPr>
          <w:strike/>
        </w:rPr>
        <w:tab/>
        <w:t>příjmy z prodeje svěřeného dlouhodobého hmotného majetku, jestliže to zřizovatel podle svého rozhodnutí připustí,</w:t>
      </w:r>
    </w:p>
    <w:p w14:paraId="5B528C5A" w14:textId="77777777" w:rsidR="00696527" w:rsidRPr="001A22C0" w:rsidRDefault="00696527" w:rsidP="0096635B">
      <w:pPr>
        <w:spacing w:before="0"/>
        <w:ind w:left="425" w:hanging="425"/>
        <w:outlineLvl w:val="7"/>
      </w:pPr>
      <w:r w:rsidRPr="001A22C0">
        <w:rPr>
          <w:b/>
        </w:rPr>
        <w:t>d)</w:t>
      </w:r>
      <w:r w:rsidRPr="001A22C0">
        <w:rPr>
          <w:b/>
        </w:rPr>
        <w:tab/>
        <w:t>příjmy z prodeje svěřeného</w:t>
      </w:r>
      <w:r w:rsidRPr="001A22C0">
        <w:t xml:space="preserve"> </w:t>
      </w:r>
      <w:r w:rsidRPr="001A22C0">
        <w:rPr>
          <w:b/>
        </w:rPr>
        <w:t>hmotného majetku s dobou použitelnosti delší než 1 rok, s výjimkou drobného hmotného majetku, jestliže</w:t>
      </w:r>
      <w:r w:rsidRPr="001A22C0">
        <w:t xml:space="preserve"> </w:t>
      </w:r>
      <w:r w:rsidRPr="001A22C0">
        <w:rPr>
          <w:b/>
        </w:rPr>
        <w:t>takový prodej</w:t>
      </w:r>
      <w:r w:rsidRPr="001A22C0">
        <w:t xml:space="preserve"> </w:t>
      </w:r>
      <w:r w:rsidRPr="001A22C0">
        <w:rPr>
          <w:b/>
        </w:rPr>
        <w:t>zřizovatel podle svého rozhodnutí připustí,</w:t>
      </w:r>
    </w:p>
    <w:p w14:paraId="08DF51EF" w14:textId="77777777" w:rsidR="00696527" w:rsidRPr="001A22C0" w:rsidRDefault="00696527" w:rsidP="0096635B">
      <w:pPr>
        <w:spacing w:before="0"/>
        <w:ind w:left="425" w:hanging="425"/>
        <w:outlineLvl w:val="7"/>
      </w:pPr>
      <w:r w:rsidRPr="001A22C0">
        <w:t>e)</w:t>
      </w:r>
      <w:r w:rsidRPr="001A22C0">
        <w:tab/>
        <w:t>peněžní dary a příspěvky od jiných subjektů, jsou-li určené nebo použitelné k investičním účelům,</w:t>
      </w:r>
    </w:p>
    <w:p w14:paraId="7A56ED40" w14:textId="77777777" w:rsidR="00696527" w:rsidRPr="001A22C0" w:rsidRDefault="00696527" w:rsidP="0096635B">
      <w:pPr>
        <w:spacing w:before="0"/>
        <w:ind w:left="425" w:hanging="425"/>
        <w:outlineLvl w:val="7"/>
      </w:pPr>
      <w:r w:rsidRPr="001A22C0">
        <w:t>f)</w:t>
      </w:r>
      <w:r w:rsidRPr="001A22C0">
        <w:tab/>
        <w:t xml:space="preserve">příjmy z prodeje </w:t>
      </w:r>
      <w:r w:rsidRPr="001A22C0">
        <w:rPr>
          <w:strike/>
        </w:rPr>
        <w:t>dlouhodobého</w:t>
      </w:r>
      <w:r w:rsidRPr="001A22C0">
        <w:t xml:space="preserve"> hmotného majetku ve vlastnictví příspěvkové organizace </w:t>
      </w:r>
      <w:r w:rsidRPr="001A22C0">
        <w:rPr>
          <w:b/>
        </w:rPr>
        <w:t>s dobou použitelnosti delší než 1 rok, s výjimkou drobného hmotného majetku</w:t>
      </w:r>
      <w:r w:rsidRPr="001A22C0">
        <w:t>,</w:t>
      </w:r>
    </w:p>
    <w:p w14:paraId="73D8AFA0" w14:textId="77777777" w:rsidR="00696527" w:rsidRPr="001A22C0" w:rsidRDefault="00696527" w:rsidP="0096635B">
      <w:pPr>
        <w:spacing w:before="0"/>
        <w:ind w:left="425" w:hanging="425"/>
        <w:outlineLvl w:val="7"/>
      </w:pPr>
      <w:r w:rsidRPr="001A22C0">
        <w:t>g)</w:t>
      </w:r>
      <w:r w:rsidRPr="001A22C0">
        <w:tab/>
        <w:t>převody z rezervního fondu ve výši povolené zřizovatelem.</w:t>
      </w:r>
    </w:p>
    <w:p w14:paraId="5AD6853C" w14:textId="77777777" w:rsidR="00696527" w:rsidRPr="001A22C0" w:rsidRDefault="00696527" w:rsidP="00CC5D2E">
      <w:pPr>
        <w:tabs>
          <w:tab w:val="left" w:pos="782"/>
          <w:tab w:val="left" w:pos="851"/>
        </w:tabs>
        <w:spacing w:before="120" w:after="120"/>
        <w:outlineLvl w:val="6"/>
      </w:pPr>
      <w:r w:rsidRPr="001A22C0">
        <w:t>(2) Fond investic příspěvkové organizace se používá</w:t>
      </w:r>
    </w:p>
    <w:p w14:paraId="72C22F3A" w14:textId="77777777" w:rsidR="00696527" w:rsidRPr="001A22C0" w:rsidRDefault="00696527" w:rsidP="0096635B">
      <w:pPr>
        <w:spacing w:before="0"/>
        <w:ind w:left="425" w:hanging="425"/>
        <w:outlineLvl w:val="7"/>
        <w:rPr>
          <w:strike/>
        </w:rPr>
      </w:pPr>
      <w:r w:rsidRPr="001A22C0">
        <w:rPr>
          <w:strike/>
        </w:rPr>
        <w:t>a)</w:t>
      </w:r>
      <w:r w:rsidRPr="001A22C0">
        <w:rPr>
          <w:strike/>
        </w:rPr>
        <w:tab/>
        <w:t>na pořízení a technické zhodnocení hmotného a nehmotného dlouhodobého majetku, s výjimkou drobného hmotného a nehmotného dlouhodobého majetku,</w:t>
      </w:r>
    </w:p>
    <w:p w14:paraId="1E9ABB82" w14:textId="77777777" w:rsidR="00696527" w:rsidRPr="001A22C0" w:rsidRDefault="00696527" w:rsidP="0096635B">
      <w:pPr>
        <w:spacing w:before="0"/>
        <w:ind w:left="425" w:hanging="425"/>
        <w:outlineLvl w:val="7"/>
      </w:pPr>
      <w:r w:rsidRPr="001A22C0">
        <w:rPr>
          <w:b/>
        </w:rPr>
        <w:t>a)</w:t>
      </w:r>
      <w:r w:rsidRPr="001A22C0">
        <w:rPr>
          <w:b/>
        </w:rPr>
        <w:tab/>
        <w:t>na pořízení a zhodnocení hmotného a nehmotného majetku s dobou použitelnosti delší než 1 rok, s výjimkou drobného hmotného a nehmotného majetku s dobou použitelnosti delší než 1 rok,</w:t>
      </w:r>
    </w:p>
    <w:p w14:paraId="31183262" w14:textId="77777777" w:rsidR="00696527" w:rsidRPr="001A22C0" w:rsidRDefault="00696527" w:rsidP="0096635B">
      <w:pPr>
        <w:spacing w:before="0"/>
        <w:ind w:left="425" w:hanging="425"/>
        <w:outlineLvl w:val="7"/>
      </w:pPr>
      <w:r w:rsidRPr="001A22C0">
        <w:t>b)</w:t>
      </w:r>
      <w:r w:rsidRPr="001A22C0">
        <w:tab/>
        <w:t xml:space="preserve">k úhradě investičních úvěrů nebo </w:t>
      </w:r>
      <w:r w:rsidRPr="001A22C0">
        <w:rPr>
          <w:strike/>
        </w:rPr>
        <w:t>půjček</w:t>
      </w:r>
      <w:r w:rsidRPr="001A22C0">
        <w:t xml:space="preserve"> </w:t>
      </w:r>
      <w:r w:rsidRPr="001A22C0">
        <w:rPr>
          <w:b/>
        </w:rPr>
        <w:t>zápůjček</w:t>
      </w:r>
      <w:r w:rsidRPr="001A22C0">
        <w:t xml:space="preserve">, </w:t>
      </w:r>
    </w:p>
    <w:p w14:paraId="0851B05F" w14:textId="77777777" w:rsidR="00696527" w:rsidRPr="001A22C0" w:rsidRDefault="00696527" w:rsidP="0096635B">
      <w:pPr>
        <w:spacing w:before="0"/>
        <w:ind w:left="425" w:hanging="425"/>
        <w:outlineLvl w:val="7"/>
      </w:pPr>
      <w:r w:rsidRPr="001A22C0">
        <w:t>c)</w:t>
      </w:r>
      <w:r w:rsidRPr="001A22C0">
        <w:tab/>
        <w:t>k odvodu do rozpočtu zřizovatele, pokud takový odvod uložil,</w:t>
      </w:r>
    </w:p>
    <w:p w14:paraId="40E7ED06" w14:textId="77777777" w:rsidR="00696527" w:rsidRPr="001A22C0" w:rsidRDefault="00696527" w:rsidP="0096635B">
      <w:pPr>
        <w:spacing w:before="0"/>
        <w:ind w:left="425" w:hanging="425"/>
        <w:outlineLvl w:val="7"/>
      </w:pPr>
      <w:r w:rsidRPr="001A22C0">
        <w:t>d)</w:t>
      </w:r>
      <w:r w:rsidRPr="001A22C0">
        <w:tab/>
        <w:t>k navýšení peněžních prostředků určených na financování údržby a oprav majetku, který příspěvková organizace používá pro svou činnost.</w:t>
      </w:r>
    </w:p>
    <w:p w14:paraId="1C7CE815" w14:textId="77777777" w:rsidR="00696527" w:rsidRPr="001A22C0" w:rsidRDefault="00696527" w:rsidP="00CC5D2E">
      <w:pPr>
        <w:tabs>
          <w:tab w:val="left" w:pos="782"/>
          <w:tab w:val="left" w:pos="851"/>
        </w:tabs>
        <w:spacing w:before="120" w:after="120"/>
        <w:outlineLvl w:val="6"/>
      </w:pPr>
      <w:r w:rsidRPr="001A22C0">
        <w:t xml:space="preserve">(3) Ke krytí investičních potřeb lze se souhlasem zřizovatele použít též investičních úvěrů nebo </w:t>
      </w:r>
      <w:r w:rsidRPr="001A22C0">
        <w:rPr>
          <w:strike/>
        </w:rPr>
        <w:t>půjček</w:t>
      </w:r>
      <w:r w:rsidRPr="001A22C0">
        <w:t xml:space="preserve"> </w:t>
      </w:r>
      <w:r w:rsidRPr="001A22C0">
        <w:rPr>
          <w:b/>
        </w:rPr>
        <w:t>zápůjček</w:t>
      </w:r>
      <w:r w:rsidRPr="001A22C0">
        <w:t>.</w:t>
      </w:r>
    </w:p>
    <w:p w14:paraId="7EE02C7D" w14:textId="77777777" w:rsidR="00696527" w:rsidRPr="001A22C0" w:rsidRDefault="00696527" w:rsidP="0096635B">
      <w:pPr>
        <w:keepNext/>
        <w:keepLines/>
        <w:numPr>
          <w:ilvl w:val="0"/>
          <w:numId w:val="29"/>
        </w:numPr>
        <w:spacing w:after="120"/>
        <w:jc w:val="center"/>
        <w:outlineLvl w:val="5"/>
      </w:pPr>
      <w:r w:rsidRPr="001A22C0">
        <w:t>§ 32</w:t>
      </w:r>
    </w:p>
    <w:p w14:paraId="7917C6D2" w14:textId="77777777" w:rsidR="00696527" w:rsidRPr="001A22C0" w:rsidRDefault="00696527" w:rsidP="0096635B">
      <w:pPr>
        <w:keepNext/>
        <w:keepLines/>
        <w:spacing w:after="120"/>
        <w:ind w:firstLine="0"/>
        <w:jc w:val="center"/>
        <w:outlineLvl w:val="5"/>
        <w:rPr>
          <w:b/>
        </w:rPr>
      </w:pPr>
      <w:r w:rsidRPr="001A22C0">
        <w:rPr>
          <w:b/>
        </w:rPr>
        <w:t>Fond odměn</w:t>
      </w:r>
    </w:p>
    <w:p w14:paraId="2033599B" w14:textId="3FBA4848" w:rsidR="00696527" w:rsidRPr="001A22C0" w:rsidRDefault="0096635B" w:rsidP="00CC5D2E">
      <w:pPr>
        <w:tabs>
          <w:tab w:val="left" w:pos="782"/>
          <w:tab w:val="left" w:pos="851"/>
        </w:tabs>
        <w:spacing w:before="120" w:after="120"/>
        <w:outlineLvl w:val="6"/>
        <w:rPr>
          <w:b/>
        </w:rPr>
      </w:pPr>
      <w:r>
        <w:t xml:space="preserve">(1) </w:t>
      </w:r>
      <w:r w:rsidR="00696527" w:rsidRPr="001A22C0">
        <w:t xml:space="preserve">Fond odměn je tvořen </w:t>
      </w:r>
      <w:r w:rsidR="00696527" w:rsidRPr="001A22C0">
        <w:rPr>
          <w:strike/>
        </w:rPr>
        <w:t>ze zlepšeného výsledku hospodaření</w:t>
      </w:r>
      <w:r w:rsidR="00696527" w:rsidRPr="001A22C0">
        <w:t xml:space="preserve"> </w:t>
      </w:r>
      <w:r w:rsidR="00696527" w:rsidRPr="001A22C0">
        <w:rPr>
          <w:b/>
        </w:rPr>
        <w:t>z kladného rozdílu příjmů a výdajů</w:t>
      </w:r>
      <w:r w:rsidR="00696527" w:rsidRPr="001A22C0">
        <w:t xml:space="preserve"> příspěvkové organizace, a to do výše jeho 20 %, nejvýše však do výše 10 % objemu prostředků na platy stanoveného zřizovatelem nebo zvláštním právním předpisem, a peněžními dary účelově určenými na platy. </w:t>
      </w:r>
      <w:r w:rsidR="00696527" w:rsidRPr="001A22C0">
        <w:rPr>
          <w:b/>
        </w:rPr>
        <w:t>Součástí příjmů je i příspěvek</w:t>
      </w:r>
      <w:r w:rsidR="00696527" w:rsidRPr="001A22C0">
        <w:rPr>
          <w:b/>
          <w:color w:val="FF0000"/>
        </w:rPr>
        <w:t xml:space="preserve"> </w:t>
      </w:r>
      <w:r w:rsidR="00696527" w:rsidRPr="001A22C0">
        <w:rPr>
          <w:b/>
        </w:rPr>
        <w:t>zřizovatele na provoz.</w:t>
      </w:r>
    </w:p>
    <w:p w14:paraId="6D0157C3" w14:textId="473816F8" w:rsidR="00696527" w:rsidRPr="001A22C0" w:rsidRDefault="0096635B" w:rsidP="00CC5D2E">
      <w:pPr>
        <w:tabs>
          <w:tab w:val="left" w:pos="782"/>
          <w:tab w:val="left" w:pos="851"/>
        </w:tabs>
        <w:spacing w:before="120" w:after="120"/>
        <w:outlineLvl w:val="6"/>
      </w:pPr>
      <w:r>
        <w:t xml:space="preserve">(2) </w:t>
      </w:r>
      <w:r w:rsidR="00696527" w:rsidRPr="001A22C0">
        <w:t>Převod peněžních prostředků do fondu odměn schvaluje zřizovatel.</w:t>
      </w:r>
    </w:p>
    <w:p w14:paraId="6790C67A" w14:textId="0A312ADE" w:rsidR="00696527" w:rsidRPr="001A22C0" w:rsidRDefault="0096635B" w:rsidP="00CC5D2E">
      <w:pPr>
        <w:tabs>
          <w:tab w:val="left" w:pos="782"/>
          <w:tab w:val="left" w:pos="851"/>
        </w:tabs>
        <w:spacing w:before="120" w:after="120"/>
        <w:outlineLvl w:val="6"/>
      </w:pPr>
      <w:r>
        <w:t xml:space="preserve">(3) </w:t>
      </w:r>
      <w:r w:rsidR="00696527" w:rsidRPr="001A22C0">
        <w:t>Z fondu odměn se hradí odměny zaměstnancům. Přednostně se z fondu odměn hradí případné překročení stanoveného objemu prostředků na platy.</w:t>
      </w:r>
    </w:p>
    <w:p w14:paraId="381B333A" w14:textId="77777777" w:rsidR="00696527" w:rsidRPr="001A22C0" w:rsidRDefault="00696527" w:rsidP="0096635B">
      <w:pPr>
        <w:keepNext/>
        <w:keepLines/>
        <w:numPr>
          <w:ilvl w:val="0"/>
          <w:numId w:val="29"/>
        </w:numPr>
        <w:spacing w:after="120"/>
        <w:jc w:val="center"/>
        <w:outlineLvl w:val="5"/>
      </w:pPr>
      <w:r w:rsidRPr="001A22C0">
        <w:t xml:space="preserve">§ 33 </w:t>
      </w:r>
    </w:p>
    <w:p w14:paraId="06890A0C" w14:textId="77777777" w:rsidR="00696527" w:rsidRPr="001A22C0" w:rsidRDefault="00696527" w:rsidP="0096635B">
      <w:pPr>
        <w:keepNext/>
        <w:keepLines/>
        <w:spacing w:after="120"/>
        <w:ind w:firstLine="0"/>
        <w:jc w:val="center"/>
        <w:outlineLvl w:val="5"/>
        <w:rPr>
          <w:b/>
        </w:rPr>
      </w:pPr>
      <w:r w:rsidRPr="001A22C0">
        <w:rPr>
          <w:b/>
        </w:rPr>
        <w:t>Fond kulturních a sociálních potřeb</w:t>
      </w:r>
    </w:p>
    <w:p w14:paraId="525316E5" w14:textId="28E53D88" w:rsidR="00696527" w:rsidRPr="001A22C0" w:rsidRDefault="0096635B" w:rsidP="00CC5D2E">
      <w:pPr>
        <w:tabs>
          <w:tab w:val="left" w:pos="782"/>
          <w:tab w:val="left" w:pos="851"/>
        </w:tabs>
        <w:spacing w:before="120" w:after="120"/>
        <w:outlineLvl w:val="6"/>
      </w:pPr>
      <w:r>
        <w:t xml:space="preserve">(1) </w:t>
      </w:r>
      <w:r w:rsidR="00696527" w:rsidRPr="001A22C0">
        <w:t xml:space="preserve">Fond kulturních a sociálních potřeb je tvořen základním přídělem </w:t>
      </w:r>
      <w:r w:rsidR="00696527" w:rsidRPr="001A22C0">
        <w:rPr>
          <w:strike/>
        </w:rPr>
        <w:t>na vrub nákladů příspěvkové organizace</w:t>
      </w:r>
      <w:r w:rsidR="00696527" w:rsidRPr="001A22C0">
        <w:t xml:space="preserve"> z ročního objemu nákladů zúčtovaných na platy a náhrady platů, popřípadě na mzdy a náhrady mzdy a odměny za pracovní pohotovost</w:t>
      </w:r>
      <w:r w:rsidR="00696527" w:rsidRPr="001A22C0">
        <w:rPr>
          <w:strike/>
        </w:rPr>
        <w:t>, na odměny a ostatní plnění za vykonávanou práci</w:t>
      </w:r>
      <w:r w:rsidR="00696527" w:rsidRPr="001A22C0">
        <w:t>. Nejméně 50 % z rozpočtovaného základního přídělu k 1. lednu rozpočtového roku podle věty první se použije na příspěvky na produkty spoření na stáří zaměstnanců, které jsou osvobozeny od daně z příjmů fyzických osob.</w:t>
      </w:r>
    </w:p>
    <w:p w14:paraId="58A2334B" w14:textId="2B0D2F6A" w:rsidR="00696527" w:rsidRPr="001A22C0" w:rsidRDefault="0096635B" w:rsidP="00CC5D2E">
      <w:pPr>
        <w:tabs>
          <w:tab w:val="left" w:pos="782"/>
          <w:tab w:val="left" w:pos="851"/>
        </w:tabs>
        <w:spacing w:before="120" w:after="120"/>
        <w:outlineLvl w:val="6"/>
      </w:pPr>
      <w:r>
        <w:lastRenderedPageBreak/>
        <w:t xml:space="preserve">(2) </w:t>
      </w:r>
      <w:r w:rsidR="00696527" w:rsidRPr="001A22C0">
        <w:t xml:space="preserve">Fond kulturních a sociálních potřeb je naplňován zálohově z roční plánované výše v souladu s jeho schváleným rozpočtem. Vyúčtování skutečného základního přídělu se provede </w:t>
      </w:r>
      <w:r w:rsidR="00696527" w:rsidRPr="001A22C0">
        <w:rPr>
          <w:strike/>
        </w:rPr>
        <w:t xml:space="preserve">v rámci účetní závěrky </w:t>
      </w:r>
      <w:r w:rsidR="00696527" w:rsidRPr="001A22C0">
        <w:rPr>
          <w:b/>
        </w:rPr>
        <w:t>ke dni, k jehož konci je sestavena řádná individuální účetní závěrka</w:t>
      </w:r>
      <w:r w:rsidR="00696527" w:rsidRPr="001A22C0">
        <w:t>.</w:t>
      </w:r>
    </w:p>
    <w:p w14:paraId="6196B7DC" w14:textId="73569B9A" w:rsidR="00696527" w:rsidRPr="001A22C0" w:rsidRDefault="0096635B" w:rsidP="00CC5D2E">
      <w:pPr>
        <w:tabs>
          <w:tab w:val="left" w:pos="782"/>
          <w:tab w:val="left" w:pos="851"/>
        </w:tabs>
        <w:spacing w:before="120" w:after="120"/>
        <w:outlineLvl w:val="6"/>
      </w:pPr>
      <w:r>
        <w:t xml:space="preserve">(3) </w:t>
      </w:r>
      <w:r w:rsidR="00696527" w:rsidRPr="001A22C0">
        <w:t>Fond kulturních a sociálních potřeb je tvořen k zabezpečování kulturních, sociálních a dalších potřeb a je určen zaměstnancům v pracovním poměru k příspěvkové organizaci</w:t>
      </w:r>
      <w:r w:rsidR="00696527" w:rsidRPr="001A22C0">
        <w:rPr>
          <w:strike/>
        </w:rPr>
        <w:t>, žákům středních odborných učilišť a učilišť, interním vědeckým aspirantům</w:t>
      </w:r>
      <w:r w:rsidR="00696527" w:rsidRPr="001A22C0">
        <w:t>, důchodcům, kteří při prvém odchodu do starobního důchodu nebo invalidního důchodu pro invaliditu třetího stupně pracovali u příspěvkové organizace, případně rodinným příslušníkům zaměstnanců a jiným fyzickým nebo i právnickým osobám.</w:t>
      </w:r>
    </w:p>
    <w:p w14:paraId="6E18572C" w14:textId="68C586D2" w:rsidR="00696527" w:rsidRPr="001A22C0" w:rsidRDefault="0096635B" w:rsidP="00CC5D2E">
      <w:pPr>
        <w:tabs>
          <w:tab w:val="left" w:pos="782"/>
          <w:tab w:val="left" w:pos="851"/>
        </w:tabs>
        <w:spacing w:before="120" w:after="120"/>
        <w:outlineLvl w:val="6"/>
      </w:pPr>
      <w:r>
        <w:t xml:space="preserve">(4) </w:t>
      </w:r>
      <w:r w:rsidR="00696527" w:rsidRPr="001A22C0">
        <w:t>Zdrojem fondu kulturních a sociálních potřeb jsou i splátky zápůjček poskytnutých z fondu kulturních a sociálních potřeb, náhrada škod a pojistná plnění od pojišťovny vztahující se k majetku pořízenému z fondu, příjmy z pronájmu rekreačních a sportovních zařízení, na jejichž provoz příspěvková organizace přispívá z fondu, a peněžní dary poskytnuté do fondu kulturních a sociálních potřeb.</w:t>
      </w:r>
    </w:p>
    <w:p w14:paraId="36D53489" w14:textId="19A752F4" w:rsidR="00696527" w:rsidRPr="001A22C0" w:rsidRDefault="0096635B" w:rsidP="00CC5D2E">
      <w:pPr>
        <w:tabs>
          <w:tab w:val="left" w:pos="782"/>
          <w:tab w:val="left" w:pos="851"/>
        </w:tabs>
        <w:spacing w:before="120" w:after="120"/>
        <w:outlineLvl w:val="6"/>
      </w:pPr>
      <w:r>
        <w:t xml:space="preserve">(5) </w:t>
      </w:r>
      <w:r w:rsidR="00696527" w:rsidRPr="001A22C0">
        <w:t>Použití fondu kulturních a sociálních potřeb stanoví právní předpis, kolektivní smlouva, kolektivní dohoda nebo vnitřní předpis.</w:t>
      </w:r>
    </w:p>
    <w:p w14:paraId="2C4D47DC" w14:textId="54DA060C" w:rsidR="00696527" w:rsidRPr="001A22C0" w:rsidRDefault="0096635B" w:rsidP="00CC5D2E">
      <w:pPr>
        <w:tabs>
          <w:tab w:val="left" w:pos="782"/>
          <w:tab w:val="left" w:pos="851"/>
        </w:tabs>
        <w:spacing w:before="120" w:after="120"/>
        <w:outlineLvl w:val="6"/>
      </w:pPr>
      <w:r>
        <w:t xml:space="preserve">(6) </w:t>
      </w:r>
      <w:r w:rsidR="00696527" w:rsidRPr="001A22C0">
        <w:t>Na plnění z fondu kulturních a sociálních potřeb není právní nárok.</w:t>
      </w:r>
    </w:p>
    <w:p w14:paraId="2BCA7F77" w14:textId="77777777" w:rsidR="00696527" w:rsidRPr="001A22C0" w:rsidRDefault="00696527" w:rsidP="0096635B">
      <w:pPr>
        <w:keepNext/>
        <w:keepLines/>
        <w:numPr>
          <w:ilvl w:val="0"/>
          <w:numId w:val="29"/>
        </w:numPr>
        <w:spacing w:after="120"/>
        <w:jc w:val="center"/>
        <w:outlineLvl w:val="5"/>
      </w:pPr>
      <w:r w:rsidRPr="001A22C0">
        <w:t>***</w:t>
      </w:r>
    </w:p>
    <w:p w14:paraId="1288C915" w14:textId="77777777" w:rsidR="00696527" w:rsidRPr="001A22C0" w:rsidRDefault="00696527" w:rsidP="0096635B">
      <w:pPr>
        <w:keepNext/>
        <w:keepLines/>
        <w:numPr>
          <w:ilvl w:val="0"/>
          <w:numId w:val="29"/>
        </w:numPr>
        <w:spacing w:after="120"/>
        <w:jc w:val="center"/>
        <w:outlineLvl w:val="5"/>
      </w:pPr>
      <w:r w:rsidRPr="001A22C0">
        <w:t xml:space="preserve">§ 33b </w:t>
      </w:r>
    </w:p>
    <w:p w14:paraId="2496DDBB" w14:textId="77777777" w:rsidR="00696527" w:rsidRPr="001A22C0" w:rsidRDefault="00696527" w:rsidP="0096635B">
      <w:pPr>
        <w:keepNext/>
        <w:keepLines/>
        <w:spacing w:after="120"/>
        <w:ind w:firstLine="0"/>
        <w:jc w:val="center"/>
        <w:outlineLvl w:val="5"/>
        <w:rPr>
          <w:b/>
        </w:rPr>
      </w:pPr>
      <w:r w:rsidRPr="001A22C0">
        <w:rPr>
          <w:b/>
        </w:rPr>
        <w:t>Stravování a stravovací služby</w:t>
      </w:r>
    </w:p>
    <w:p w14:paraId="4AC52420" w14:textId="0516173C" w:rsidR="00696527" w:rsidRPr="001A22C0" w:rsidRDefault="0096635B" w:rsidP="00CC5D2E">
      <w:pPr>
        <w:tabs>
          <w:tab w:val="left" w:pos="782"/>
          <w:tab w:val="left" w:pos="851"/>
        </w:tabs>
        <w:spacing w:before="120" w:after="120"/>
        <w:outlineLvl w:val="6"/>
      </w:pPr>
      <w:r>
        <w:t xml:space="preserve">(1) </w:t>
      </w:r>
      <w:r w:rsidR="00696527" w:rsidRPr="001A22C0">
        <w:t>Zabezpečuje-li příspěvková organizace stravování, zabezpečuje je ve vlastním stravovacím zařízení nebo prostřednictvím organizační složky státu, právnické osoby nebo fyzické osoby pro</w:t>
      </w:r>
    </w:p>
    <w:p w14:paraId="0807CDA0" w14:textId="77777777" w:rsidR="00696527" w:rsidRPr="001A22C0" w:rsidRDefault="00696527" w:rsidP="0096635B">
      <w:pPr>
        <w:spacing w:before="0"/>
        <w:ind w:left="425" w:hanging="425"/>
        <w:outlineLvl w:val="7"/>
      </w:pPr>
      <w:r w:rsidRPr="001A22C0">
        <w:t>a)</w:t>
      </w:r>
      <w:r w:rsidRPr="001A22C0">
        <w:tab/>
        <w:t>zaměstnance v pracovním poměru,</w:t>
      </w:r>
    </w:p>
    <w:p w14:paraId="2E68191D" w14:textId="77777777" w:rsidR="00696527" w:rsidRPr="001A22C0" w:rsidRDefault="00696527" w:rsidP="0096635B">
      <w:pPr>
        <w:spacing w:before="0"/>
        <w:ind w:left="425" w:hanging="425"/>
        <w:outlineLvl w:val="7"/>
      </w:pPr>
      <w:r w:rsidRPr="001A22C0">
        <w:t>b)</w:t>
      </w:r>
      <w:r w:rsidRPr="001A22C0">
        <w:tab/>
        <w:t>žáky a studenty po dobu jejich činnosti v příspěvkové organizaci, pokud není jejich stravování zajištěno podle zvláštního právního předpisu.</w:t>
      </w:r>
    </w:p>
    <w:p w14:paraId="6A984AE5" w14:textId="2AF73F96" w:rsidR="00696527" w:rsidRPr="001A22C0" w:rsidRDefault="0096635B" w:rsidP="00CC5D2E">
      <w:pPr>
        <w:tabs>
          <w:tab w:val="left" w:pos="782"/>
          <w:tab w:val="left" w:pos="851"/>
        </w:tabs>
        <w:spacing w:before="120" w:after="120"/>
        <w:outlineLvl w:val="6"/>
      </w:pPr>
      <w:r>
        <w:t xml:space="preserve">(2) </w:t>
      </w:r>
      <w:r w:rsidR="00696527" w:rsidRPr="001A22C0">
        <w:t>Příspěvková organizace může v souladu s kolektivní smlouvou nebo vnitřním předpisem zabezpečovat stravování ve vlastním stravovacím zařízení též</w:t>
      </w:r>
    </w:p>
    <w:p w14:paraId="6F7E1977" w14:textId="77777777" w:rsidR="00696527" w:rsidRPr="001A22C0" w:rsidRDefault="00696527" w:rsidP="0096635B">
      <w:pPr>
        <w:spacing w:before="0"/>
        <w:ind w:left="425" w:hanging="425"/>
        <w:outlineLvl w:val="7"/>
      </w:pPr>
      <w:r w:rsidRPr="001A22C0">
        <w:t>a)</w:t>
      </w:r>
      <w:r w:rsidRPr="001A22C0">
        <w:tab/>
        <w:t>bývalým zaměstnancům, kteří u ní pracovali do odchodu do starobního důchodu, nebo invalidního důchodu pro invaliditu třetího stupně,</w:t>
      </w:r>
    </w:p>
    <w:p w14:paraId="53A3E81C" w14:textId="77777777" w:rsidR="00696527" w:rsidRPr="001A22C0" w:rsidRDefault="00696527" w:rsidP="0096635B">
      <w:pPr>
        <w:spacing w:before="0"/>
        <w:ind w:left="425" w:hanging="425"/>
        <w:outlineLvl w:val="7"/>
      </w:pPr>
      <w:r w:rsidRPr="001A22C0">
        <w:t>b)</w:t>
      </w:r>
      <w:r w:rsidRPr="001A22C0">
        <w:tab/>
        <w:t>zaměstnancům činným u příspěvkové organizace na základě dohod o pracích konaných mimo pracovní poměr.</w:t>
      </w:r>
    </w:p>
    <w:p w14:paraId="520C5A01" w14:textId="17C93226" w:rsidR="00696527" w:rsidRPr="001A22C0" w:rsidRDefault="003B6895" w:rsidP="00CC5D2E">
      <w:pPr>
        <w:tabs>
          <w:tab w:val="left" w:pos="782"/>
          <w:tab w:val="left" w:pos="851"/>
        </w:tabs>
        <w:spacing w:before="120" w:after="120"/>
        <w:outlineLvl w:val="6"/>
      </w:pPr>
      <w:r>
        <w:t xml:space="preserve">(3) </w:t>
      </w:r>
      <w:r w:rsidR="00696527" w:rsidRPr="001A22C0">
        <w:t>Příspěvková organizace může poskytnout stravování ve vlastním stravovacím zařízení též</w:t>
      </w:r>
    </w:p>
    <w:p w14:paraId="3EE5BE6A" w14:textId="77777777" w:rsidR="00696527" w:rsidRPr="001A22C0" w:rsidRDefault="00696527" w:rsidP="003B6895">
      <w:pPr>
        <w:spacing w:before="0"/>
        <w:ind w:left="425" w:hanging="425"/>
        <w:outlineLvl w:val="7"/>
      </w:pPr>
      <w:r w:rsidRPr="001A22C0">
        <w:t>a)</w:t>
      </w:r>
      <w:r w:rsidRPr="001A22C0">
        <w:tab/>
        <w:t>fyzickým osobám, k jejichž stravování se zavázala smlouvou o stravování s organizační složkou státu, právnickou osobou nebo fyzickou osobou,</w:t>
      </w:r>
    </w:p>
    <w:p w14:paraId="0EC6D17C" w14:textId="77777777" w:rsidR="00696527" w:rsidRPr="001A22C0" w:rsidRDefault="00696527" w:rsidP="003B6895">
      <w:pPr>
        <w:spacing w:before="0"/>
        <w:ind w:left="425" w:hanging="425"/>
        <w:outlineLvl w:val="7"/>
      </w:pPr>
      <w:r w:rsidRPr="001A22C0">
        <w:t>b)</w:t>
      </w:r>
      <w:r w:rsidRPr="001A22C0">
        <w:tab/>
        <w:t>zaměstnancům jiných zaměstnavatelů, kteří jsou u ní na pracovní cestě nebo pro ni jinak činní.</w:t>
      </w:r>
    </w:p>
    <w:p w14:paraId="7C5F47E0" w14:textId="2ADABC81" w:rsidR="00696527" w:rsidRPr="001A22C0" w:rsidRDefault="003B6895" w:rsidP="00CC5D2E">
      <w:pPr>
        <w:tabs>
          <w:tab w:val="left" w:pos="782"/>
          <w:tab w:val="left" w:pos="851"/>
        </w:tabs>
        <w:spacing w:before="120" w:after="120"/>
        <w:outlineLvl w:val="6"/>
      </w:pPr>
      <w:r>
        <w:t xml:space="preserve">(4) </w:t>
      </w:r>
      <w:r w:rsidR="00696527" w:rsidRPr="001A22C0">
        <w:t xml:space="preserve">Odstavec 1 se nepoužije, poskytuje-li příspěvková organizace ze svého rozpočtu </w:t>
      </w:r>
      <w:r w:rsidR="00696527" w:rsidRPr="001A22C0">
        <w:rPr>
          <w:strike/>
        </w:rPr>
        <w:t>na vrub nákladů své hlavní činnosti</w:t>
      </w:r>
      <w:r w:rsidR="00696527" w:rsidRPr="001A22C0">
        <w:t xml:space="preserve"> zaměstnancům v pracovním poměru peněžitý příspěvek na stravování. Peněžitý příspěvek na stravování za den náleží zaměstnanci v pracovním poměru, odpracoval-li alespoň 3 hodiny v tomto dni v místě výkonu práce sjednaném v pracovní </w:t>
      </w:r>
      <w:r w:rsidR="00696527" w:rsidRPr="001A22C0">
        <w:lastRenderedPageBreak/>
        <w:t>smlouvě. Peněžitý příspěvek na stravování za den se poskytuje do výše 70 % horní hranice stravného, které lze poskytnout zaměstnancům odměňovaným platem při pracovní cestě trvající 5 až 12 hodin. Peněžitý příspěvek na stravování může být částečně hrazen příspěvkem z fondu kulturních a sociálních potřeb.</w:t>
      </w:r>
    </w:p>
    <w:p w14:paraId="6E5567AA" w14:textId="24721991" w:rsidR="00696527" w:rsidRPr="001A22C0" w:rsidRDefault="003B6895" w:rsidP="00CC5D2E">
      <w:pPr>
        <w:tabs>
          <w:tab w:val="left" w:pos="782"/>
          <w:tab w:val="left" w:pos="851"/>
        </w:tabs>
        <w:spacing w:before="120" w:after="120"/>
        <w:outlineLvl w:val="6"/>
      </w:pPr>
      <w:r>
        <w:t xml:space="preserve">(5) </w:t>
      </w:r>
      <w:r w:rsidR="00696527" w:rsidRPr="001A22C0">
        <w:t>Příspěvková organizace může zabezpečovat stravování odlišně u místně odděleného pracoviště.</w:t>
      </w:r>
    </w:p>
    <w:p w14:paraId="5D76D85F" w14:textId="74DAF51E" w:rsidR="00696527" w:rsidRPr="001A22C0" w:rsidRDefault="003B6895" w:rsidP="00CC5D2E">
      <w:pPr>
        <w:tabs>
          <w:tab w:val="left" w:pos="782"/>
          <w:tab w:val="left" w:pos="851"/>
        </w:tabs>
        <w:spacing w:before="120" w:after="120"/>
        <w:outlineLvl w:val="6"/>
      </w:pPr>
      <w:r>
        <w:t xml:space="preserve">(6) </w:t>
      </w:r>
      <w:r w:rsidR="00696527" w:rsidRPr="001A22C0">
        <w:t>Náklady na stravování a jejich úhradu stanoví Ministerstvo financí vyhláškou.</w:t>
      </w:r>
    </w:p>
    <w:p w14:paraId="335798D8" w14:textId="77777777" w:rsidR="00696527" w:rsidRPr="001A22C0" w:rsidRDefault="00696527" w:rsidP="003B6895">
      <w:pPr>
        <w:keepNext/>
        <w:keepLines/>
        <w:spacing w:after="120"/>
        <w:ind w:firstLine="0"/>
        <w:jc w:val="center"/>
        <w:outlineLvl w:val="5"/>
      </w:pPr>
      <w:r w:rsidRPr="001A22C0">
        <w:t>§ 34</w:t>
      </w:r>
    </w:p>
    <w:p w14:paraId="428F5243" w14:textId="77777777" w:rsidR="00696527" w:rsidRPr="001A22C0" w:rsidRDefault="00696527" w:rsidP="003B6895">
      <w:pPr>
        <w:keepNext/>
        <w:keepLines/>
        <w:spacing w:after="120"/>
        <w:jc w:val="center"/>
        <w:outlineLvl w:val="5"/>
        <w:rPr>
          <w:b/>
        </w:rPr>
      </w:pPr>
      <w:r w:rsidRPr="001A22C0">
        <w:rPr>
          <w:b/>
        </w:rPr>
        <w:t xml:space="preserve">Úvěry, </w:t>
      </w:r>
      <w:r w:rsidRPr="00CC5D2E">
        <w:rPr>
          <w:b/>
          <w:strike/>
        </w:rPr>
        <w:t>půjčky</w:t>
      </w:r>
      <w:r w:rsidRPr="001A22C0">
        <w:rPr>
          <w:strike/>
        </w:rPr>
        <w:t xml:space="preserve"> </w:t>
      </w:r>
      <w:r w:rsidRPr="001A22C0">
        <w:rPr>
          <w:b/>
        </w:rPr>
        <w:t>zápůjčky a ručení příspěvkové organizace</w:t>
      </w:r>
    </w:p>
    <w:p w14:paraId="0F53AC3C" w14:textId="1E308F4A" w:rsidR="00696527" w:rsidRPr="001A22C0" w:rsidRDefault="003B6895" w:rsidP="00CC5D2E">
      <w:pPr>
        <w:tabs>
          <w:tab w:val="left" w:pos="782"/>
          <w:tab w:val="left" w:pos="851"/>
        </w:tabs>
        <w:spacing w:before="120" w:after="120"/>
        <w:outlineLvl w:val="6"/>
      </w:pPr>
      <w:r>
        <w:t xml:space="preserve">(1) </w:t>
      </w:r>
      <w:r w:rsidR="00696527" w:rsidRPr="001A22C0">
        <w:t xml:space="preserve">Příspěvková organizace je oprávněna uzavírat smlouvy o </w:t>
      </w:r>
      <w:r w:rsidR="00696527" w:rsidRPr="001A22C0">
        <w:rPr>
          <w:strike/>
        </w:rPr>
        <w:t>půjčce</w:t>
      </w:r>
      <w:r w:rsidR="00696527" w:rsidRPr="001A22C0">
        <w:t xml:space="preserve"> </w:t>
      </w:r>
      <w:r w:rsidR="00696527" w:rsidRPr="001A22C0">
        <w:rPr>
          <w:b/>
        </w:rPr>
        <w:t>zápůjčce</w:t>
      </w:r>
      <w:r w:rsidR="00696527" w:rsidRPr="001A22C0">
        <w:rPr>
          <w:strike/>
          <w:vertAlign w:val="superscript"/>
        </w:rPr>
        <w:t>5)</w:t>
      </w:r>
      <w:r w:rsidR="00696527" w:rsidRPr="001A22C0">
        <w:t xml:space="preserve"> nebo o úvěru</w:t>
      </w:r>
      <w:r w:rsidR="00696527" w:rsidRPr="001A22C0">
        <w:rPr>
          <w:strike/>
          <w:vertAlign w:val="superscript"/>
        </w:rPr>
        <w:t>6)</w:t>
      </w:r>
      <w:r w:rsidR="00696527" w:rsidRPr="001A22C0">
        <w:t xml:space="preserve"> jen po předchozím písemném souhlasu zřizovatele. Tento souhlas se nevyžaduje v případě </w:t>
      </w:r>
      <w:r w:rsidR="00696527" w:rsidRPr="001A22C0">
        <w:rPr>
          <w:strike/>
        </w:rPr>
        <w:t>půjček</w:t>
      </w:r>
      <w:r w:rsidR="00696527" w:rsidRPr="001A22C0">
        <w:t xml:space="preserve"> </w:t>
      </w:r>
      <w:r w:rsidR="00696527" w:rsidRPr="001A22C0">
        <w:rPr>
          <w:b/>
        </w:rPr>
        <w:t>zápůjček</w:t>
      </w:r>
      <w:r w:rsidR="00696527" w:rsidRPr="001A22C0">
        <w:t xml:space="preserve"> zaměstnancům z fondu kulturních a sociálních potřeb. K dočasnému krytí svých potřeb může získat od svého zřizovatele návratnou finanční výpomoc, jestliže je její vrácení zabezpečeno jejími </w:t>
      </w:r>
      <w:r w:rsidR="00696527" w:rsidRPr="001A22C0">
        <w:rPr>
          <w:strike/>
        </w:rPr>
        <w:t>výnosy</w:t>
      </w:r>
      <w:r w:rsidR="00696527" w:rsidRPr="001A22C0">
        <w:t xml:space="preserve"> </w:t>
      </w:r>
      <w:r w:rsidR="00696527" w:rsidRPr="001A22C0">
        <w:rPr>
          <w:b/>
        </w:rPr>
        <w:t>příjmy</w:t>
      </w:r>
      <w:r w:rsidR="00696527" w:rsidRPr="001A22C0">
        <w:t xml:space="preserve"> běžného roku, nejpozději však do 31. března následujícího roku, nestanoví-li zřizovatel lhůtu delší.</w:t>
      </w:r>
    </w:p>
    <w:p w14:paraId="18032FBF" w14:textId="2255B650" w:rsidR="00696527" w:rsidRPr="001A22C0" w:rsidRDefault="003B6895" w:rsidP="00CC5D2E">
      <w:pPr>
        <w:tabs>
          <w:tab w:val="left" w:pos="782"/>
          <w:tab w:val="left" w:pos="851"/>
        </w:tabs>
        <w:spacing w:before="120" w:after="120"/>
        <w:outlineLvl w:val="6"/>
      </w:pPr>
      <w:r>
        <w:t xml:space="preserve">(2) </w:t>
      </w:r>
      <w:r w:rsidR="00696527" w:rsidRPr="001A22C0">
        <w:t>Příspěvková organizace není oprávněna ručit za závazky třetích osob, ani jinak je zajišťovat.</w:t>
      </w:r>
    </w:p>
    <w:p w14:paraId="6A6C2599" w14:textId="77777777" w:rsidR="00CF7D27" w:rsidRDefault="00CF7D27" w:rsidP="00CB5381">
      <w:pPr>
        <w:pStyle w:val="Textparagrafu"/>
        <w:tabs>
          <w:tab w:val="left" w:pos="406"/>
          <w:tab w:val="left" w:pos="840"/>
          <w:tab w:val="left" w:pos="868"/>
        </w:tabs>
        <w:spacing w:after="120"/>
        <w:ind w:firstLine="0"/>
        <w:sectPr w:rsidR="00CF7D27" w:rsidSect="00554E2B">
          <w:footnotePr>
            <w:numStart w:val="3"/>
          </w:footnotePr>
          <w:endnotePr>
            <w:numFmt w:val="decimal"/>
          </w:endnotePr>
          <w:pgSz w:w="11906" w:h="16838"/>
          <w:pgMar w:top="1418" w:right="1418" w:bottom="1418" w:left="1418" w:header="709" w:footer="709" w:gutter="0"/>
          <w:cols w:space="708"/>
          <w:docGrid w:linePitch="360"/>
        </w:sectPr>
      </w:pPr>
    </w:p>
    <w:p w14:paraId="51EB5857" w14:textId="461AE47D" w:rsidR="00CF7D27" w:rsidRPr="00CF7D27" w:rsidRDefault="00CF7D27" w:rsidP="00CC5D2E">
      <w:pPr>
        <w:tabs>
          <w:tab w:val="left" w:pos="851"/>
        </w:tabs>
        <w:spacing w:before="120" w:after="120"/>
        <w:ind w:firstLine="0"/>
        <w:jc w:val="center"/>
        <w:outlineLvl w:val="0"/>
        <w:rPr>
          <w:szCs w:val="24"/>
        </w:rPr>
      </w:pPr>
      <w:r w:rsidRPr="00CF7D27">
        <w:rPr>
          <w:b/>
          <w:szCs w:val="24"/>
        </w:rPr>
        <w:lastRenderedPageBreak/>
        <w:t xml:space="preserve">K části padesáté </w:t>
      </w:r>
      <w:r w:rsidR="0096635B">
        <w:rPr>
          <w:b/>
          <w:szCs w:val="24"/>
        </w:rPr>
        <w:t>čtvrté</w:t>
      </w:r>
      <w:r w:rsidRPr="00CF7D27">
        <w:rPr>
          <w:b/>
          <w:szCs w:val="24"/>
        </w:rPr>
        <w:t xml:space="preserve"> návrhu zákona – </w:t>
      </w:r>
      <w:r w:rsidRPr="00CF7D27">
        <w:rPr>
          <w:szCs w:val="24"/>
        </w:rPr>
        <w:t>změna zákona</w:t>
      </w:r>
      <w:r w:rsidRPr="00CF7D27">
        <w:t xml:space="preserve"> </w:t>
      </w:r>
      <w:r w:rsidRPr="00CF7D27">
        <w:rPr>
          <w:szCs w:val="24"/>
        </w:rPr>
        <w:t>o Státním</w:t>
      </w:r>
      <w:r w:rsidR="000C6693">
        <w:rPr>
          <w:szCs w:val="24"/>
        </w:rPr>
        <w:t xml:space="preserve"> zemědělském intervenčním fondu</w:t>
      </w:r>
    </w:p>
    <w:p w14:paraId="4CA8E1D0" w14:textId="59EBA88C" w:rsidR="00CF7D27" w:rsidRPr="00CF7D27" w:rsidRDefault="00CF7D27" w:rsidP="00CF7D27">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CF7D27">
        <w:rPr>
          <w:b/>
          <w:szCs w:val="24"/>
        </w:rPr>
        <w:t>Platné znění</w:t>
      </w:r>
      <w:r w:rsidRPr="00CF7D27">
        <w:rPr>
          <w:szCs w:val="24"/>
        </w:rPr>
        <w:t xml:space="preserve"> zákona č.2</w:t>
      </w:r>
      <w:r>
        <w:rPr>
          <w:szCs w:val="24"/>
        </w:rPr>
        <w:t>56</w:t>
      </w:r>
      <w:r w:rsidRPr="00CF7D27">
        <w:rPr>
          <w:szCs w:val="24"/>
        </w:rPr>
        <w:t>/2000 Sb., o Státním zemědělském intervenčním fondu a o změně některých dalších zákonů</w:t>
      </w:r>
      <w:r>
        <w:rPr>
          <w:szCs w:val="24"/>
        </w:rPr>
        <w:t xml:space="preserve"> </w:t>
      </w:r>
      <w:r w:rsidRPr="00CF7D27">
        <w:rPr>
          <w:szCs w:val="24"/>
        </w:rPr>
        <w:t>(zákon o Státním zemědělském intervenčním fondu)</w:t>
      </w:r>
    </w:p>
    <w:p w14:paraId="05EBCB19" w14:textId="054A32DB" w:rsidR="00CF7D27" w:rsidRPr="00CF7D27" w:rsidRDefault="00CC5D2E" w:rsidP="00CF7D27">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AE4818">
        <w:rPr>
          <w:b/>
          <w:szCs w:val="24"/>
          <w:lang w:eastAsia="en-US"/>
        </w:rPr>
        <w:t>s vyznačením navrhovaných změn a doplnění k 1. lednu 2025</w:t>
      </w:r>
    </w:p>
    <w:p w14:paraId="10373611" w14:textId="77777777" w:rsidR="00CF7D27" w:rsidRPr="00CF7D27" w:rsidRDefault="00CF7D27" w:rsidP="00CF7D27">
      <w:pPr>
        <w:pStyle w:val="Textparagrafu"/>
        <w:tabs>
          <w:tab w:val="left" w:pos="406"/>
          <w:tab w:val="left" w:pos="840"/>
          <w:tab w:val="left" w:pos="868"/>
        </w:tabs>
        <w:spacing w:after="120"/>
        <w:ind w:firstLine="0"/>
        <w:jc w:val="center"/>
      </w:pPr>
      <w:r w:rsidRPr="00CF7D27">
        <w:t>***</w:t>
      </w:r>
    </w:p>
    <w:p w14:paraId="1317F93B" w14:textId="74FFDCFC" w:rsidR="009874CA" w:rsidRDefault="009874CA" w:rsidP="009874CA">
      <w:pPr>
        <w:pStyle w:val="Textparagrafu"/>
        <w:ind w:firstLine="0"/>
        <w:jc w:val="center"/>
      </w:pPr>
      <w:r w:rsidRPr="006B4B1A">
        <w:t>§</w:t>
      </w:r>
      <w:r>
        <w:t xml:space="preserve"> </w:t>
      </w:r>
      <w:r w:rsidRPr="006B4B1A">
        <w:t>4</w:t>
      </w:r>
    </w:p>
    <w:p w14:paraId="19C111F8" w14:textId="77777777" w:rsidR="009874CA" w:rsidRPr="009874CA" w:rsidRDefault="009874CA" w:rsidP="009874CA">
      <w:pPr>
        <w:pStyle w:val="Textparagrafu"/>
        <w:ind w:firstLine="0"/>
        <w:jc w:val="center"/>
        <w:rPr>
          <w:b/>
        </w:rPr>
      </w:pPr>
      <w:r w:rsidRPr="009874CA">
        <w:rPr>
          <w:b/>
        </w:rPr>
        <w:t>Povinnosti Fondu</w:t>
      </w:r>
    </w:p>
    <w:p w14:paraId="1EDB2027" w14:textId="77777777" w:rsidR="009874CA" w:rsidRDefault="009874CA" w:rsidP="00CC48B5">
      <w:pPr>
        <w:pStyle w:val="Textparagrafu"/>
        <w:spacing w:before="120" w:after="120"/>
      </w:pPr>
      <w:r w:rsidRPr="006B4B1A">
        <w:t>(1)</w:t>
      </w:r>
      <w:r>
        <w:t xml:space="preserve"> </w:t>
      </w:r>
      <w:r w:rsidRPr="006B4B1A">
        <w:t>Fond</w:t>
      </w:r>
      <w:r>
        <w:t xml:space="preserve"> </w:t>
      </w:r>
      <w:r w:rsidRPr="006B4B1A">
        <w:t>je</w:t>
      </w:r>
      <w:r>
        <w:t xml:space="preserve"> </w:t>
      </w:r>
      <w:r w:rsidRPr="006B4B1A">
        <w:t>povinen</w:t>
      </w:r>
    </w:p>
    <w:p w14:paraId="576D2F77" w14:textId="01EA3A98" w:rsidR="009874CA" w:rsidRDefault="009874CA" w:rsidP="0096635B">
      <w:pPr>
        <w:pStyle w:val="Textparagrafu"/>
        <w:spacing w:before="0"/>
        <w:ind w:left="426" w:hanging="426"/>
      </w:pPr>
      <w:r w:rsidRPr="006B4B1A">
        <w:t>a)</w:t>
      </w:r>
      <w:r w:rsidR="0096635B">
        <w:tab/>
      </w:r>
      <w:r w:rsidRPr="006B4B1A">
        <w:t>předkládat</w:t>
      </w:r>
      <w:r>
        <w:t xml:space="preserve"> </w:t>
      </w:r>
      <w:r w:rsidRPr="006B4B1A">
        <w:t>prostřednictvím</w:t>
      </w:r>
      <w:r>
        <w:t xml:space="preserve"> </w:t>
      </w:r>
      <w:r w:rsidRPr="006B4B1A">
        <w:t>ministerstva</w:t>
      </w:r>
      <w:r>
        <w:t xml:space="preserve"> </w:t>
      </w:r>
      <w:r w:rsidRPr="006B4B1A">
        <w:t>vládě</w:t>
      </w:r>
      <w:r>
        <w:t xml:space="preserve"> </w:t>
      </w:r>
      <w:r w:rsidRPr="006B4B1A">
        <w:t>ve</w:t>
      </w:r>
      <w:r>
        <w:t xml:space="preserve"> </w:t>
      </w:r>
      <w:r w:rsidRPr="006B4B1A">
        <w:t>stanovených</w:t>
      </w:r>
      <w:r>
        <w:t xml:space="preserve"> </w:t>
      </w:r>
      <w:r w:rsidRPr="006B4B1A">
        <w:t>termínech</w:t>
      </w:r>
      <w:r>
        <w:t xml:space="preserve"> </w:t>
      </w:r>
      <w:r w:rsidRPr="006B4B1A">
        <w:t>rozpočet</w:t>
      </w:r>
      <w:r>
        <w:t xml:space="preserve"> </w:t>
      </w:r>
      <w:r w:rsidRPr="006B4B1A">
        <w:t>Fondu</w:t>
      </w:r>
      <w:r>
        <w:t xml:space="preserve"> </w:t>
      </w:r>
      <w:r w:rsidRPr="006B4B1A">
        <w:t>na</w:t>
      </w:r>
      <w:r>
        <w:t xml:space="preserve"> </w:t>
      </w:r>
      <w:r w:rsidRPr="006B4B1A">
        <w:t>příslušný</w:t>
      </w:r>
      <w:r>
        <w:t xml:space="preserve"> </w:t>
      </w:r>
      <w:r w:rsidRPr="006B4B1A">
        <w:t>kalendářní</w:t>
      </w:r>
      <w:r>
        <w:t xml:space="preserve"> </w:t>
      </w:r>
      <w:r w:rsidRPr="006B4B1A">
        <w:t>rok,</w:t>
      </w:r>
    </w:p>
    <w:p w14:paraId="12C2C405" w14:textId="4DB505A9" w:rsidR="009874CA" w:rsidRDefault="009874CA" w:rsidP="0096635B">
      <w:pPr>
        <w:pStyle w:val="Textparagrafu"/>
        <w:spacing w:before="0"/>
        <w:ind w:left="426" w:hanging="426"/>
      </w:pPr>
      <w:r w:rsidRPr="006B4B1A">
        <w:t>b)</w:t>
      </w:r>
      <w:r w:rsidR="0096635B">
        <w:tab/>
      </w:r>
      <w:r w:rsidRPr="006B4B1A">
        <w:t>předkládat</w:t>
      </w:r>
      <w:r>
        <w:t xml:space="preserve"> </w:t>
      </w:r>
      <w:r w:rsidRPr="006B4B1A">
        <w:t>prostřednictvím</w:t>
      </w:r>
      <w:r>
        <w:t xml:space="preserve"> </w:t>
      </w:r>
      <w:r w:rsidRPr="006B4B1A">
        <w:t>ministerstva</w:t>
      </w:r>
      <w:r>
        <w:t xml:space="preserve"> </w:t>
      </w:r>
      <w:r w:rsidRPr="006B4B1A">
        <w:t>vládě</w:t>
      </w:r>
      <w:r>
        <w:t xml:space="preserve"> </w:t>
      </w:r>
      <w:r w:rsidRPr="006B4B1A">
        <w:t>výroční</w:t>
      </w:r>
      <w:r>
        <w:t xml:space="preserve"> </w:t>
      </w:r>
      <w:r w:rsidRPr="008325C2">
        <w:rPr>
          <w:strike/>
        </w:rPr>
        <w:t>zprávy</w:t>
      </w:r>
      <w:r>
        <w:t xml:space="preserve"> </w:t>
      </w:r>
      <w:r w:rsidR="008325C2">
        <w:rPr>
          <w:b/>
        </w:rPr>
        <w:t xml:space="preserve">zprávu </w:t>
      </w:r>
      <w:r w:rsidRPr="006B4B1A">
        <w:t>o</w:t>
      </w:r>
      <w:r>
        <w:t xml:space="preserve"> </w:t>
      </w:r>
      <w:r w:rsidRPr="006B4B1A">
        <w:t>činnosti</w:t>
      </w:r>
      <w:r>
        <w:t xml:space="preserve"> </w:t>
      </w:r>
      <w:r w:rsidRPr="006B4B1A">
        <w:t>Fondu</w:t>
      </w:r>
      <w:r>
        <w:t xml:space="preserve"> </w:t>
      </w:r>
      <w:r w:rsidRPr="008325C2">
        <w:rPr>
          <w:strike/>
        </w:rPr>
        <w:t>a účetní závěrku sestavenou k rozvahovému dni</w:t>
      </w:r>
      <w:r w:rsidR="008325C2" w:rsidRPr="008325C2">
        <w:rPr>
          <w:b/>
        </w:rPr>
        <w:t xml:space="preserve"> </w:t>
      </w:r>
      <w:r w:rsidR="008325C2" w:rsidRPr="00166AF2">
        <w:rPr>
          <w:b/>
        </w:rPr>
        <w:t xml:space="preserve">společně s </w:t>
      </w:r>
      <w:r w:rsidR="008325C2" w:rsidRPr="00166AF2">
        <w:rPr>
          <w:b/>
          <w:bCs/>
        </w:rPr>
        <w:t>řádnou individuální účetní závěrkou</w:t>
      </w:r>
      <w:r w:rsidRPr="006B4B1A">
        <w:t>,</w:t>
      </w:r>
      <w:r>
        <w:t xml:space="preserve"> </w:t>
      </w:r>
      <w:r w:rsidRPr="006B4B1A">
        <w:t>včetně</w:t>
      </w:r>
      <w:r>
        <w:t xml:space="preserve"> </w:t>
      </w:r>
      <w:r w:rsidRPr="006B4B1A">
        <w:t>přehledu</w:t>
      </w:r>
      <w:r>
        <w:t xml:space="preserve"> </w:t>
      </w:r>
      <w:r w:rsidRPr="006B4B1A">
        <w:t>pohledávek</w:t>
      </w:r>
      <w:r>
        <w:t xml:space="preserve"> </w:t>
      </w:r>
      <w:r w:rsidRPr="006B4B1A">
        <w:t>a</w:t>
      </w:r>
      <w:r>
        <w:t xml:space="preserve"> </w:t>
      </w:r>
      <w:r w:rsidRPr="006B4B1A">
        <w:t>závazků</w:t>
      </w:r>
      <w:r w:rsidRPr="008325C2">
        <w:rPr>
          <w:strike/>
        </w:rPr>
        <w:t>, ověřenou auditorem</w:t>
      </w:r>
      <w:r w:rsidRPr="006B4B1A">
        <w:t>,</w:t>
      </w:r>
    </w:p>
    <w:p w14:paraId="54E6BAD9" w14:textId="786B301D" w:rsidR="009874CA" w:rsidRDefault="009874CA" w:rsidP="0096635B">
      <w:pPr>
        <w:pStyle w:val="Textparagrafu"/>
        <w:spacing w:before="0"/>
        <w:ind w:left="426" w:hanging="426"/>
      </w:pPr>
      <w:r w:rsidRPr="006B4B1A">
        <w:t>c)</w:t>
      </w:r>
      <w:r w:rsidR="0096635B">
        <w:tab/>
      </w:r>
      <w:r w:rsidRPr="006B4B1A">
        <w:t>na</w:t>
      </w:r>
      <w:r>
        <w:t xml:space="preserve"> </w:t>
      </w:r>
      <w:r w:rsidRPr="006B4B1A">
        <w:t>požádání</w:t>
      </w:r>
      <w:r>
        <w:t xml:space="preserve"> </w:t>
      </w:r>
      <w:r w:rsidRPr="006B4B1A">
        <w:t>ministerstva</w:t>
      </w:r>
      <w:r>
        <w:t xml:space="preserve"> </w:t>
      </w:r>
      <w:r w:rsidRPr="006B4B1A">
        <w:t>nebo</w:t>
      </w:r>
      <w:r>
        <w:t xml:space="preserve"> </w:t>
      </w:r>
      <w:r w:rsidRPr="006B4B1A">
        <w:t>vlády</w:t>
      </w:r>
      <w:r>
        <w:t xml:space="preserve"> </w:t>
      </w:r>
      <w:r w:rsidRPr="006B4B1A">
        <w:t>předkládat</w:t>
      </w:r>
      <w:r>
        <w:t xml:space="preserve"> </w:t>
      </w:r>
      <w:r w:rsidRPr="006B4B1A">
        <w:t>dílčí</w:t>
      </w:r>
      <w:r>
        <w:t xml:space="preserve"> </w:t>
      </w:r>
      <w:r w:rsidRPr="006B4B1A">
        <w:t>zprávu</w:t>
      </w:r>
      <w:r>
        <w:t xml:space="preserve"> </w:t>
      </w:r>
      <w:r w:rsidRPr="006B4B1A">
        <w:t>o</w:t>
      </w:r>
      <w:r>
        <w:t xml:space="preserve"> </w:t>
      </w:r>
      <w:r w:rsidRPr="006B4B1A">
        <w:t>činnosti</w:t>
      </w:r>
      <w:r>
        <w:t xml:space="preserve"> </w:t>
      </w:r>
      <w:r w:rsidRPr="006B4B1A">
        <w:t>Fondu</w:t>
      </w:r>
      <w:r>
        <w:t xml:space="preserve"> </w:t>
      </w:r>
      <w:r w:rsidRPr="006B4B1A">
        <w:t>a</w:t>
      </w:r>
      <w:r>
        <w:t xml:space="preserve"> </w:t>
      </w:r>
      <w:r w:rsidRPr="006B4B1A">
        <w:t>předkládat</w:t>
      </w:r>
      <w:r>
        <w:t xml:space="preserve"> </w:t>
      </w:r>
      <w:r w:rsidRPr="006B4B1A">
        <w:t>ministerstvu</w:t>
      </w:r>
      <w:r>
        <w:t xml:space="preserve"> </w:t>
      </w:r>
      <w:r w:rsidRPr="006B4B1A">
        <w:t>soupisy</w:t>
      </w:r>
      <w:r>
        <w:t xml:space="preserve"> </w:t>
      </w:r>
      <w:r w:rsidRPr="006B4B1A">
        <w:t>osob,</w:t>
      </w:r>
      <w:r>
        <w:t xml:space="preserve"> </w:t>
      </w:r>
      <w:r w:rsidRPr="006B4B1A">
        <w:t>které</w:t>
      </w:r>
      <w:r>
        <w:t xml:space="preserve"> </w:t>
      </w:r>
      <w:r w:rsidRPr="006B4B1A">
        <w:t>nemají</w:t>
      </w:r>
      <w:r>
        <w:t xml:space="preserve"> </w:t>
      </w:r>
      <w:r w:rsidRPr="006B4B1A">
        <w:t>řádně</w:t>
      </w:r>
      <w:r>
        <w:t xml:space="preserve"> </w:t>
      </w:r>
      <w:r w:rsidRPr="006B4B1A">
        <w:t>vyrovnány</w:t>
      </w:r>
      <w:r>
        <w:t xml:space="preserve"> </w:t>
      </w:r>
      <w:r w:rsidRPr="006B4B1A">
        <w:t>závazky</w:t>
      </w:r>
      <w:r>
        <w:t xml:space="preserve"> </w:t>
      </w:r>
      <w:r w:rsidRPr="006B4B1A">
        <w:t>vůči</w:t>
      </w:r>
      <w:r>
        <w:t xml:space="preserve"> </w:t>
      </w:r>
      <w:r w:rsidRPr="006B4B1A">
        <w:t>Fondu,</w:t>
      </w:r>
      <w:r>
        <w:t xml:space="preserve"> </w:t>
      </w:r>
      <w:r w:rsidRPr="006B4B1A">
        <w:t>včetně</w:t>
      </w:r>
      <w:r>
        <w:t xml:space="preserve"> </w:t>
      </w:r>
      <w:r w:rsidRPr="006B4B1A">
        <w:t>druhu</w:t>
      </w:r>
      <w:r>
        <w:t xml:space="preserve"> </w:t>
      </w:r>
      <w:r w:rsidRPr="006B4B1A">
        <w:t>a</w:t>
      </w:r>
      <w:r>
        <w:t xml:space="preserve"> </w:t>
      </w:r>
      <w:r w:rsidRPr="006B4B1A">
        <w:t>výše</w:t>
      </w:r>
      <w:r>
        <w:t xml:space="preserve"> </w:t>
      </w:r>
      <w:r w:rsidRPr="006B4B1A">
        <w:t>jejich</w:t>
      </w:r>
      <w:r>
        <w:t xml:space="preserve"> </w:t>
      </w:r>
      <w:r w:rsidRPr="006B4B1A">
        <w:t>závazku.</w:t>
      </w:r>
    </w:p>
    <w:p w14:paraId="329AF82A" w14:textId="77777777" w:rsidR="009874CA" w:rsidRDefault="009874CA" w:rsidP="00CC48B5">
      <w:pPr>
        <w:pStyle w:val="Textparagrafu"/>
        <w:spacing w:before="120" w:after="120"/>
      </w:pPr>
      <w:r w:rsidRPr="006B4B1A">
        <w:t>(2)</w:t>
      </w:r>
      <w:r>
        <w:t xml:space="preserve"> </w:t>
      </w:r>
      <w:r w:rsidRPr="006B4B1A">
        <w:t>Fond</w:t>
      </w:r>
      <w:r>
        <w:t xml:space="preserve"> </w:t>
      </w:r>
      <w:r w:rsidRPr="006B4B1A">
        <w:t>je</w:t>
      </w:r>
      <w:r>
        <w:t xml:space="preserve"> </w:t>
      </w:r>
      <w:r w:rsidRPr="006B4B1A">
        <w:t>povinen</w:t>
      </w:r>
      <w:r>
        <w:t xml:space="preserve"> </w:t>
      </w:r>
      <w:r w:rsidRPr="006B4B1A">
        <w:t>v</w:t>
      </w:r>
      <w:r>
        <w:t xml:space="preserve"> </w:t>
      </w:r>
      <w:r w:rsidRPr="006B4B1A">
        <w:t>rámci</w:t>
      </w:r>
      <w:r>
        <w:t xml:space="preserve"> </w:t>
      </w:r>
      <w:r w:rsidRPr="006B4B1A">
        <w:t>provádění</w:t>
      </w:r>
      <w:r>
        <w:t xml:space="preserve"> </w:t>
      </w:r>
      <w:r w:rsidRPr="006B4B1A">
        <w:t>činností</w:t>
      </w:r>
      <w:r>
        <w:t xml:space="preserve"> </w:t>
      </w:r>
      <w:r w:rsidRPr="006B4B1A">
        <w:t>podle</w:t>
      </w:r>
      <w:r>
        <w:t xml:space="preserve"> </w:t>
      </w:r>
      <w:r w:rsidRPr="006B4B1A">
        <w:t>§</w:t>
      </w:r>
      <w:r>
        <w:t xml:space="preserve"> </w:t>
      </w:r>
      <w:r w:rsidRPr="006B4B1A">
        <w:t>1</w:t>
      </w:r>
      <w:r>
        <w:t xml:space="preserve"> </w:t>
      </w:r>
      <w:r w:rsidRPr="006B4B1A">
        <w:t>odst.</w:t>
      </w:r>
      <w:r>
        <w:t xml:space="preserve"> </w:t>
      </w:r>
      <w:r w:rsidRPr="006B4B1A">
        <w:t>2</w:t>
      </w:r>
      <w:r>
        <w:t xml:space="preserve"> </w:t>
      </w:r>
      <w:r w:rsidRPr="006B4B1A">
        <w:t>předkládat</w:t>
      </w:r>
      <w:r>
        <w:t xml:space="preserve"> </w:t>
      </w:r>
      <w:r w:rsidRPr="006B4B1A">
        <w:t>příslušným</w:t>
      </w:r>
      <w:r>
        <w:t xml:space="preserve"> </w:t>
      </w:r>
      <w:r w:rsidRPr="006B4B1A">
        <w:t>orgánům</w:t>
      </w:r>
      <w:r>
        <w:t xml:space="preserve"> </w:t>
      </w:r>
      <w:r w:rsidRPr="006B4B1A">
        <w:t>Evropské</w:t>
      </w:r>
      <w:r>
        <w:t xml:space="preserve"> </w:t>
      </w:r>
      <w:r w:rsidRPr="006B4B1A">
        <w:t>unie</w:t>
      </w:r>
      <w:r>
        <w:t xml:space="preserve"> </w:t>
      </w:r>
      <w:r w:rsidRPr="006B4B1A">
        <w:t>ve</w:t>
      </w:r>
      <w:r>
        <w:t xml:space="preserve"> </w:t>
      </w:r>
      <w:r w:rsidRPr="006B4B1A">
        <w:t>stanovených</w:t>
      </w:r>
      <w:r>
        <w:t xml:space="preserve"> </w:t>
      </w:r>
      <w:r w:rsidRPr="006B4B1A">
        <w:t>termínech</w:t>
      </w:r>
      <w:r>
        <w:t xml:space="preserve"> </w:t>
      </w:r>
      <w:r w:rsidRPr="006B4B1A">
        <w:t>zprávy</w:t>
      </w:r>
      <w:r>
        <w:t xml:space="preserve"> </w:t>
      </w:r>
      <w:r w:rsidRPr="006B4B1A">
        <w:t>a</w:t>
      </w:r>
      <w:r>
        <w:t xml:space="preserve"> </w:t>
      </w:r>
      <w:r w:rsidRPr="006B4B1A">
        <w:t>finanční</w:t>
      </w:r>
      <w:r>
        <w:t xml:space="preserve"> </w:t>
      </w:r>
      <w:r w:rsidRPr="006B4B1A">
        <w:t>výkazy</w:t>
      </w:r>
      <w:r>
        <w:t xml:space="preserve"> </w:t>
      </w:r>
      <w:r w:rsidRPr="006B4B1A">
        <w:t>stanovené</w:t>
      </w:r>
      <w:r>
        <w:t xml:space="preserve"> </w:t>
      </w:r>
      <w:r w:rsidRPr="006B4B1A">
        <w:t>příslušnými</w:t>
      </w:r>
      <w:r>
        <w:t xml:space="preserve"> </w:t>
      </w:r>
      <w:r w:rsidRPr="006B4B1A">
        <w:t>právními</w:t>
      </w:r>
      <w:r>
        <w:t xml:space="preserve"> </w:t>
      </w:r>
      <w:r w:rsidRPr="006B4B1A">
        <w:t>předpisy</w:t>
      </w:r>
      <w:r>
        <w:t xml:space="preserve"> </w:t>
      </w:r>
      <w:r w:rsidRPr="006B4B1A">
        <w:t>Evropské</w:t>
      </w:r>
      <w:r>
        <w:t xml:space="preserve"> </w:t>
      </w:r>
      <w:r w:rsidRPr="006B4B1A">
        <w:t>unie.</w:t>
      </w:r>
    </w:p>
    <w:p w14:paraId="7E2F3B38" w14:textId="31F638F2" w:rsidR="009874CA" w:rsidRDefault="009874CA" w:rsidP="00CC48B5">
      <w:pPr>
        <w:pStyle w:val="Textparagrafu"/>
        <w:spacing w:before="120" w:after="120"/>
        <w:rPr>
          <w:strike/>
        </w:rPr>
      </w:pPr>
      <w:r w:rsidRPr="008325C2">
        <w:rPr>
          <w:strike/>
        </w:rPr>
        <w:t>(3) Fond vede účetnictví podle zákona o účetnictví.</w:t>
      </w:r>
    </w:p>
    <w:p w14:paraId="4DF360C6" w14:textId="0E889799" w:rsidR="008325C2" w:rsidRPr="008325C2" w:rsidRDefault="008325C2" w:rsidP="00CC48B5">
      <w:pPr>
        <w:pStyle w:val="Textodstavce"/>
        <w:ind w:firstLine="425"/>
        <w:rPr>
          <w:b/>
        </w:rPr>
      </w:pPr>
      <w:bookmarkStart w:id="29" w:name="_Hlk164948325"/>
      <w:r w:rsidRPr="00166AF2">
        <w:rPr>
          <w:b/>
        </w:rPr>
        <w:t>(3) Fond má povinnost auditu řádné individuální účetní závěrky před jejím předložením vládě.</w:t>
      </w:r>
      <w:bookmarkEnd w:id="29"/>
    </w:p>
    <w:p w14:paraId="6DFA7BF8" w14:textId="2C431311" w:rsidR="00531938" w:rsidRDefault="00531938" w:rsidP="00531938">
      <w:pPr>
        <w:pStyle w:val="Textparagrafu"/>
        <w:spacing w:after="120"/>
        <w:ind w:firstLine="0"/>
        <w:jc w:val="center"/>
      </w:pPr>
      <w:r>
        <w:t>***</w:t>
      </w:r>
    </w:p>
    <w:p w14:paraId="48C415A0" w14:textId="67D2EF3E" w:rsidR="006900EE" w:rsidRDefault="006900EE" w:rsidP="002559B5">
      <w:pPr>
        <w:pStyle w:val="Textparagrafu"/>
        <w:ind w:firstLine="0"/>
        <w:jc w:val="center"/>
      </w:pPr>
      <w:r w:rsidRPr="006B4B1A">
        <w:t>§</w:t>
      </w:r>
      <w:r>
        <w:t xml:space="preserve"> </w:t>
      </w:r>
      <w:r w:rsidRPr="006B4B1A">
        <w:t>10</w:t>
      </w:r>
    </w:p>
    <w:p w14:paraId="257E817B" w14:textId="77777777" w:rsidR="006900EE" w:rsidRPr="006900EE" w:rsidRDefault="006900EE" w:rsidP="002559B5">
      <w:pPr>
        <w:pStyle w:val="Textparagrafu"/>
        <w:ind w:firstLine="0"/>
        <w:jc w:val="center"/>
        <w:rPr>
          <w:b/>
        </w:rPr>
      </w:pPr>
      <w:r w:rsidRPr="006900EE">
        <w:rPr>
          <w:b/>
        </w:rPr>
        <w:t>Dozorčí rada</w:t>
      </w:r>
    </w:p>
    <w:p w14:paraId="013A03CF" w14:textId="77777777" w:rsidR="006900EE" w:rsidRDefault="006900EE" w:rsidP="00CC48B5">
      <w:pPr>
        <w:pStyle w:val="Textparagrafu"/>
        <w:spacing w:before="120" w:after="120"/>
      </w:pPr>
      <w:r w:rsidRPr="006B4B1A">
        <w:t>(1)</w:t>
      </w:r>
      <w:r>
        <w:t xml:space="preserve"> </w:t>
      </w:r>
      <w:r w:rsidRPr="006B4B1A">
        <w:t>Dozorčí</w:t>
      </w:r>
      <w:r>
        <w:t xml:space="preserve"> </w:t>
      </w:r>
      <w:r w:rsidRPr="006B4B1A">
        <w:t>rada</w:t>
      </w:r>
      <w:r>
        <w:t xml:space="preserve"> </w:t>
      </w:r>
      <w:r w:rsidRPr="006B4B1A">
        <w:t>je</w:t>
      </w:r>
      <w:r>
        <w:t xml:space="preserve"> </w:t>
      </w:r>
      <w:r w:rsidRPr="006B4B1A">
        <w:t>kontrolním</w:t>
      </w:r>
      <w:r>
        <w:t xml:space="preserve"> </w:t>
      </w:r>
      <w:r w:rsidRPr="006B4B1A">
        <w:t>orgánem</w:t>
      </w:r>
      <w:r>
        <w:t xml:space="preserve"> </w:t>
      </w:r>
      <w:r w:rsidRPr="006B4B1A">
        <w:t>Fondu.</w:t>
      </w:r>
      <w:r>
        <w:t xml:space="preserve"> </w:t>
      </w:r>
      <w:r w:rsidRPr="006B4B1A">
        <w:t>Dozorčí</w:t>
      </w:r>
      <w:r>
        <w:t xml:space="preserve"> </w:t>
      </w:r>
      <w:r w:rsidRPr="006B4B1A">
        <w:t>rada</w:t>
      </w:r>
      <w:r>
        <w:t xml:space="preserve"> </w:t>
      </w:r>
      <w:r w:rsidRPr="006B4B1A">
        <w:t>kontroluje</w:t>
      </w:r>
      <w:r>
        <w:t xml:space="preserve"> </w:t>
      </w:r>
      <w:r w:rsidRPr="006B4B1A">
        <w:t>činnost</w:t>
      </w:r>
      <w:r>
        <w:t xml:space="preserve"> </w:t>
      </w:r>
      <w:r w:rsidRPr="006B4B1A">
        <w:t>a</w:t>
      </w:r>
      <w:r>
        <w:t xml:space="preserve"> </w:t>
      </w:r>
      <w:r w:rsidRPr="006B4B1A">
        <w:t>hospodaření</w:t>
      </w:r>
      <w:r>
        <w:t xml:space="preserve"> </w:t>
      </w:r>
      <w:r w:rsidRPr="006B4B1A">
        <w:t>Fondu</w:t>
      </w:r>
      <w:r>
        <w:t xml:space="preserve"> </w:t>
      </w:r>
      <w:r w:rsidRPr="006B4B1A">
        <w:t>a</w:t>
      </w:r>
      <w:r>
        <w:t xml:space="preserve"> </w:t>
      </w:r>
      <w:r w:rsidRPr="006B4B1A">
        <w:t>jeho</w:t>
      </w:r>
      <w:r>
        <w:t xml:space="preserve"> </w:t>
      </w:r>
      <w:r w:rsidRPr="006B4B1A">
        <w:t>orgánů.</w:t>
      </w:r>
      <w:r>
        <w:t xml:space="preserve"> </w:t>
      </w:r>
      <w:r w:rsidRPr="006B4B1A">
        <w:t>Dozorčí</w:t>
      </w:r>
      <w:r>
        <w:t xml:space="preserve"> </w:t>
      </w:r>
      <w:r w:rsidRPr="006B4B1A">
        <w:t>rada</w:t>
      </w:r>
      <w:r>
        <w:t xml:space="preserve"> </w:t>
      </w:r>
      <w:r w:rsidRPr="006B4B1A">
        <w:t>při</w:t>
      </w:r>
      <w:r>
        <w:t xml:space="preserve"> </w:t>
      </w:r>
      <w:r w:rsidRPr="006B4B1A">
        <w:t>své</w:t>
      </w:r>
      <w:r>
        <w:t xml:space="preserve"> </w:t>
      </w:r>
      <w:r w:rsidRPr="006B4B1A">
        <w:t>činnosti</w:t>
      </w:r>
    </w:p>
    <w:p w14:paraId="29B0D18D" w14:textId="6587EB47" w:rsidR="006900EE" w:rsidRDefault="006900EE" w:rsidP="0096635B">
      <w:pPr>
        <w:pStyle w:val="Textparagrafu"/>
        <w:spacing w:before="0"/>
        <w:ind w:left="426" w:hanging="426"/>
      </w:pPr>
      <w:r w:rsidRPr="006B4B1A">
        <w:t>a)</w:t>
      </w:r>
      <w:r w:rsidR="0096635B">
        <w:tab/>
      </w:r>
      <w:r w:rsidRPr="006B4B1A">
        <w:t>kontroluje</w:t>
      </w:r>
      <w:r>
        <w:t xml:space="preserve"> </w:t>
      </w:r>
      <w:r w:rsidRPr="006B4B1A">
        <w:t>naplňování</w:t>
      </w:r>
      <w:r>
        <w:t xml:space="preserve"> </w:t>
      </w:r>
      <w:r w:rsidRPr="006B4B1A">
        <w:t>poslání</w:t>
      </w:r>
      <w:r>
        <w:t xml:space="preserve"> </w:t>
      </w:r>
      <w:r w:rsidRPr="006B4B1A">
        <w:t>Fondu</w:t>
      </w:r>
      <w:r>
        <w:t xml:space="preserve"> </w:t>
      </w:r>
      <w:r w:rsidRPr="006B4B1A">
        <w:t>a</w:t>
      </w:r>
      <w:r>
        <w:t xml:space="preserve"> </w:t>
      </w:r>
      <w:r w:rsidRPr="006B4B1A">
        <w:t>dohlíží</w:t>
      </w:r>
      <w:r>
        <w:t xml:space="preserve"> </w:t>
      </w:r>
      <w:r w:rsidRPr="006B4B1A">
        <w:t>na</w:t>
      </w:r>
      <w:r>
        <w:t xml:space="preserve"> </w:t>
      </w:r>
      <w:r w:rsidRPr="006B4B1A">
        <w:t>hospodaření</w:t>
      </w:r>
      <w:r>
        <w:t xml:space="preserve"> </w:t>
      </w:r>
      <w:r w:rsidRPr="006B4B1A">
        <w:t>Fondu,</w:t>
      </w:r>
    </w:p>
    <w:p w14:paraId="7F63CE49" w14:textId="42B2D8BB" w:rsidR="006900EE" w:rsidRDefault="006900EE" w:rsidP="0096635B">
      <w:pPr>
        <w:pStyle w:val="Textparagrafu"/>
        <w:spacing w:before="0"/>
        <w:ind w:left="426" w:hanging="426"/>
      </w:pPr>
      <w:r w:rsidRPr="006B4B1A">
        <w:t>b)</w:t>
      </w:r>
      <w:r w:rsidR="0096635B">
        <w:tab/>
      </w:r>
      <w:r w:rsidRPr="006B4B1A">
        <w:t>schvaluje</w:t>
      </w:r>
      <w:r>
        <w:t xml:space="preserve"> </w:t>
      </w:r>
      <w:r w:rsidR="002559B5">
        <w:rPr>
          <w:b/>
        </w:rPr>
        <w:t xml:space="preserve">řádnou individuální </w:t>
      </w:r>
      <w:r w:rsidRPr="006B4B1A">
        <w:t>účetní</w:t>
      </w:r>
      <w:r>
        <w:t xml:space="preserve"> </w:t>
      </w:r>
      <w:r w:rsidRPr="006B4B1A">
        <w:t>závěrku</w:t>
      </w:r>
      <w:r>
        <w:t xml:space="preserve"> </w:t>
      </w:r>
      <w:r w:rsidRPr="002559B5">
        <w:rPr>
          <w:strike/>
        </w:rPr>
        <w:t>sestavenou k rozvahovému dni</w:t>
      </w:r>
      <w:r>
        <w:t xml:space="preserve"> </w:t>
      </w:r>
      <w:r w:rsidRPr="006B4B1A">
        <w:t>a</w:t>
      </w:r>
      <w:r>
        <w:t xml:space="preserve"> </w:t>
      </w:r>
      <w:r w:rsidRPr="006B4B1A">
        <w:t>vyjadřuje</w:t>
      </w:r>
      <w:r>
        <w:t xml:space="preserve"> </w:t>
      </w:r>
      <w:r w:rsidRPr="006B4B1A">
        <w:t>se</w:t>
      </w:r>
      <w:r>
        <w:t xml:space="preserve"> </w:t>
      </w:r>
      <w:r w:rsidRPr="006B4B1A">
        <w:t>k</w:t>
      </w:r>
      <w:r>
        <w:t xml:space="preserve"> </w:t>
      </w:r>
      <w:r w:rsidRPr="006B4B1A">
        <w:t>návrhu</w:t>
      </w:r>
      <w:r>
        <w:t xml:space="preserve"> </w:t>
      </w:r>
      <w:r w:rsidRPr="006B4B1A">
        <w:t>rozpočtu</w:t>
      </w:r>
      <w:r>
        <w:t xml:space="preserve"> </w:t>
      </w:r>
      <w:r w:rsidRPr="006B4B1A">
        <w:t>Fondu</w:t>
      </w:r>
      <w:r>
        <w:t xml:space="preserve"> </w:t>
      </w:r>
      <w:r w:rsidRPr="006B4B1A">
        <w:t>a</w:t>
      </w:r>
      <w:r>
        <w:t xml:space="preserve"> </w:t>
      </w:r>
      <w:r w:rsidRPr="006B4B1A">
        <w:t>k</w:t>
      </w:r>
      <w:r>
        <w:t xml:space="preserve"> </w:t>
      </w:r>
      <w:r w:rsidRPr="006B4B1A">
        <w:t>výroční</w:t>
      </w:r>
      <w:r>
        <w:t xml:space="preserve"> </w:t>
      </w:r>
      <w:r w:rsidRPr="006B4B1A">
        <w:t>zprávě</w:t>
      </w:r>
      <w:r>
        <w:t xml:space="preserve"> </w:t>
      </w:r>
      <w:r w:rsidR="002559B5">
        <w:rPr>
          <w:b/>
        </w:rPr>
        <w:t xml:space="preserve">o činnosti </w:t>
      </w:r>
      <w:r w:rsidRPr="006B4B1A">
        <w:t>Fondu.</w:t>
      </w:r>
    </w:p>
    <w:p w14:paraId="32EDB77A" w14:textId="77777777" w:rsidR="006900EE" w:rsidRDefault="006900EE" w:rsidP="00CC48B5">
      <w:pPr>
        <w:pStyle w:val="Textparagrafu"/>
        <w:spacing w:before="120" w:after="120"/>
      </w:pPr>
      <w:r w:rsidRPr="006B4B1A">
        <w:t>(2)</w:t>
      </w:r>
      <w:r>
        <w:t xml:space="preserve"> </w:t>
      </w:r>
      <w:r w:rsidRPr="006B4B1A">
        <w:t>Dozorčí</w:t>
      </w:r>
      <w:r>
        <w:t xml:space="preserve"> </w:t>
      </w:r>
      <w:r w:rsidRPr="006B4B1A">
        <w:t>rada</w:t>
      </w:r>
      <w:r>
        <w:t xml:space="preserve"> </w:t>
      </w:r>
      <w:r w:rsidRPr="006B4B1A">
        <w:t>je</w:t>
      </w:r>
      <w:r>
        <w:t xml:space="preserve"> </w:t>
      </w:r>
      <w:r w:rsidRPr="006B4B1A">
        <w:t>pětičlenná.</w:t>
      </w:r>
      <w:r>
        <w:t xml:space="preserve"> </w:t>
      </w:r>
      <w:r w:rsidRPr="006B4B1A">
        <w:t>Předsedou</w:t>
      </w:r>
      <w:r>
        <w:t xml:space="preserve"> </w:t>
      </w:r>
      <w:r w:rsidRPr="006B4B1A">
        <w:t>dozorčí</w:t>
      </w:r>
      <w:r>
        <w:t xml:space="preserve"> </w:t>
      </w:r>
      <w:r w:rsidRPr="006B4B1A">
        <w:t>rady</w:t>
      </w:r>
      <w:r>
        <w:t xml:space="preserve"> </w:t>
      </w:r>
      <w:r w:rsidRPr="006B4B1A">
        <w:t>je</w:t>
      </w:r>
      <w:r>
        <w:t xml:space="preserve"> </w:t>
      </w:r>
      <w:r w:rsidRPr="006B4B1A">
        <w:t>poslanec,</w:t>
      </w:r>
      <w:r>
        <w:t xml:space="preserve"> </w:t>
      </w:r>
      <w:r w:rsidRPr="006B4B1A">
        <w:t>místopředsedou</w:t>
      </w:r>
      <w:r>
        <w:t xml:space="preserve"> </w:t>
      </w:r>
      <w:r w:rsidRPr="006B4B1A">
        <w:t>dozorčí</w:t>
      </w:r>
      <w:r>
        <w:t xml:space="preserve"> </w:t>
      </w:r>
      <w:r w:rsidRPr="006B4B1A">
        <w:t>rady</w:t>
      </w:r>
      <w:r>
        <w:t xml:space="preserve"> </w:t>
      </w:r>
      <w:r w:rsidRPr="006B4B1A">
        <w:t>je</w:t>
      </w:r>
      <w:r>
        <w:t xml:space="preserve"> </w:t>
      </w:r>
      <w:r w:rsidRPr="006B4B1A">
        <w:t>senátor.</w:t>
      </w:r>
      <w:r>
        <w:t xml:space="preserve"> </w:t>
      </w:r>
      <w:r w:rsidRPr="006B4B1A">
        <w:t>Předsedu</w:t>
      </w:r>
      <w:r>
        <w:t xml:space="preserve"> </w:t>
      </w:r>
      <w:r w:rsidRPr="006B4B1A">
        <w:t>dozorčí</w:t>
      </w:r>
      <w:r>
        <w:t xml:space="preserve"> </w:t>
      </w:r>
      <w:r w:rsidRPr="006B4B1A">
        <w:t>rady</w:t>
      </w:r>
      <w:r>
        <w:t xml:space="preserve"> </w:t>
      </w:r>
      <w:r w:rsidRPr="006B4B1A">
        <w:t>a</w:t>
      </w:r>
      <w:r>
        <w:t xml:space="preserve"> </w:t>
      </w:r>
      <w:r w:rsidRPr="006B4B1A">
        <w:t>další</w:t>
      </w:r>
      <w:r>
        <w:t xml:space="preserve"> </w:t>
      </w:r>
      <w:r w:rsidRPr="006B4B1A">
        <w:t>3</w:t>
      </w:r>
      <w:r>
        <w:t xml:space="preserve"> </w:t>
      </w:r>
      <w:r w:rsidRPr="006B4B1A">
        <w:t>členy</w:t>
      </w:r>
      <w:r>
        <w:t xml:space="preserve"> </w:t>
      </w:r>
      <w:r w:rsidRPr="006B4B1A">
        <w:t>dozorčí</w:t>
      </w:r>
      <w:r>
        <w:t xml:space="preserve"> </w:t>
      </w:r>
      <w:r w:rsidRPr="006B4B1A">
        <w:t>rady</w:t>
      </w:r>
      <w:r>
        <w:t xml:space="preserve"> </w:t>
      </w:r>
      <w:r w:rsidRPr="006B4B1A">
        <w:t>volí</w:t>
      </w:r>
      <w:r>
        <w:t xml:space="preserve"> </w:t>
      </w:r>
      <w:r w:rsidRPr="006B4B1A">
        <w:t>a</w:t>
      </w:r>
      <w:r>
        <w:t xml:space="preserve"> </w:t>
      </w:r>
      <w:r w:rsidRPr="006B4B1A">
        <w:t>odvolává</w:t>
      </w:r>
      <w:r>
        <w:t xml:space="preserve"> </w:t>
      </w:r>
      <w:r w:rsidRPr="006B4B1A">
        <w:t>Poslanecká</w:t>
      </w:r>
      <w:r>
        <w:t xml:space="preserve"> </w:t>
      </w:r>
      <w:r w:rsidRPr="006B4B1A">
        <w:t>sněmovna</w:t>
      </w:r>
      <w:r>
        <w:t xml:space="preserve"> </w:t>
      </w:r>
      <w:r w:rsidRPr="006B4B1A">
        <w:t>Parlamentu</w:t>
      </w:r>
      <w:r>
        <w:t xml:space="preserve"> </w:t>
      </w:r>
      <w:r w:rsidRPr="006B4B1A">
        <w:t>České</w:t>
      </w:r>
      <w:r>
        <w:t xml:space="preserve"> </w:t>
      </w:r>
      <w:r w:rsidRPr="006B4B1A">
        <w:t>republiky.</w:t>
      </w:r>
      <w:r>
        <w:t xml:space="preserve"> </w:t>
      </w:r>
      <w:r w:rsidRPr="006B4B1A">
        <w:t>Místopředsedu</w:t>
      </w:r>
      <w:r>
        <w:t xml:space="preserve"> </w:t>
      </w:r>
      <w:r w:rsidRPr="006B4B1A">
        <w:t>dozorčí</w:t>
      </w:r>
      <w:r>
        <w:t xml:space="preserve"> </w:t>
      </w:r>
      <w:r w:rsidRPr="006B4B1A">
        <w:t>rady</w:t>
      </w:r>
      <w:r>
        <w:t xml:space="preserve"> </w:t>
      </w:r>
      <w:r w:rsidRPr="006B4B1A">
        <w:t>volí</w:t>
      </w:r>
      <w:r>
        <w:t xml:space="preserve"> </w:t>
      </w:r>
      <w:r w:rsidRPr="006B4B1A">
        <w:t>a</w:t>
      </w:r>
      <w:r>
        <w:t xml:space="preserve"> </w:t>
      </w:r>
      <w:r w:rsidRPr="006B4B1A">
        <w:t>odvolává</w:t>
      </w:r>
      <w:r>
        <w:t xml:space="preserve"> </w:t>
      </w:r>
      <w:r w:rsidRPr="006B4B1A">
        <w:t>Senát</w:t>
      </w:r>
      <w:r>
        <w:t xml:space="preserve"> </w:t>
      </w:r>
      <w:r w:rsidRPr="006B4B1A">
        <w:t>Parlamentu</w:t>
      </w:r>
      <w:r>
        <w:t xml:space="preserve"> </w:t>
      </w:r>
      <w:r w:rsidRPr="006B4B1A">
        <w:t>České</w:t>
      </w:r>
      <w:r>
        <w:t xml:space="preserve"> </w:t>
      </w:r>
      <w:r w:rsidRPr="006B4B1A">
        <w:t>republiky.</w:t>
      </w:r>
      <w:r>
        <w:t xml:space="preserve"> </w:t>
      </w:r>
      <w:r w:rsidRPr="006B4B1A">
        <w:t>Výši</w:t>
      </w:r>
      <w:r>
        <w:t xml:space="preserve"> </w:t>
      </w:r>
      <w:r w:rsidRPr="006B4B1A">
        <w:t>odměny</w:t>
      </w:r>
      <w:r>
        <w:t xml:space="preserve"> </w:t>
      </w:r>
      <w:r w:rsidRPr="006B4B1A">
        <w:t>spojené</w:t>
      </w:r>
      <w:r>
        <w:t xml:space="preserve"> </w:t>
      </w:r>
      <w:r w:rsidRPr="006B4B1A">
        <w:t>s</w:t>
      </w:r>
      <w:r>
        <w:t xml:space="preserve"> </w:t>
      </w:r>
      <w:r w:rsidRPr="006B4B1A">
        <w:t>výkonem</w:t>
      </w:r>
      <w:r>
        <w:t xml:space="preserve"> </w:t>
      </w:r>
      <w:r w:rsidRPr="006B4B1A">
        <w:t>funkce</w:t>
      </w:r>
      <w:r>
        <w:t xml:space="preserve"> </w:t>
      </w:r>
      <w:r w:rsidRPr="006B4B1A">
        <w:t>člena</w:t>
      </w:r>
      <w:r>
        <w:t xml:space="preserve"> </w:t>
      </w:r>
      <w:r w:rsidRPr="006B4B1A">
        <w:t>dozorčí</w:t>
      </w:r>
      <w:r>
        <w:t xml:space="preserve"> </w:t>
      </w:r>
      <w:r w:rsidRPr="006B4B1A">
        <w:t>rady</w:t>
      </w:r>
      <w:r>
        <w:t xml:space="preserve"> </w:t>
      </w:r>
      <w:r w:rsidRPr="006B4B1A">
        <w:t>stanoví</w:t>
      </w:r>
      <w:r>
        <w:t xml:space="preserve"> </w:t>
      </w:r>
      <w:r w:rsidRPr="006B4B1A">
        <w:t>statut</w:t>
      </w:r>
      <w:r>
        <w:t xml:space="preserve"> </w:t>
      </w:r>
      <w:r w:rsidRPr="006B4B1A">
        <w:t>Fondu.</w:t>
      </w:r>
    </w:p>
    <w:p w14:paraId="64A4833B" w14:textId="77777777" w:rsidR="006900EE" w:rsidRDefault="006900EE" w:rsidP="00CC48B5">
      <w:pPr>
        <w:pStyle w:val="Textparagrafu"/>
        <w:spacing w:before="120" w:after="120"/>
      </w:pPr>
      <w:r w:rsidRPr="006B4B1A">
        <w:t>(3)</w:t>
      </w:r>
      <w:r>
        <w:t xml:space="preserve"> </w:t>
      </w:r>
      <w:r w:rsidRPr="006B4B1A">
        <w:t>Funkční</w:t>
      </w:r>
      <w:r>
        <w:t xml:space="preserve"> </w:t>
      </w:r>
      <w:r w:rsidRPr="006B4B1A">
        <w:t>období</w:t>
      </w:r>
      <w:r>
        <w:t xml:space="preserve"> </w:t>
      </w:r>
      <w:r w:rsidRPr="006B4B1A">
        <w:t>členů</w:t>
      </w:r>
      <w:r>
        <w:t xml:space="preserve"> </w:t>
      </w:r>
      <w:r w:rsidRPr="006B4B1A">
        <w:t>dozorčí</w:t>
      </w:r>
      <w:r>
        <w:t xml:space="preserve"> </w:t>
      </w:r>
      <w:r w:rsidRPr="006B4B1A">
        <w:t>rady</w:t>
      </w:r>
      <w:r>
        <w:t xml:space="preserve"> </w:t>
      </w:r>
      <w:r w:rsidRPr="006B4B1A">
        <w:t>je</w:t>
      </w:r>
      <w:r>
        <w:t xml:space="preserve"> </w:t>
      </w:r>
      <w:r w:rsidRPr="006B4B1A">
        <w:t>čtyřleté.</w:t>
      </w:r>
      <w:r>
        <w:t xml:space="preserve"> </w:t>
      </w:r>
      <w:r w:rsidRPr="006B4B1A">
        <w:t>Po</w:t>
      </w:r>
      <w:r>
        <w:t xml:space="preserve"> </w:t>
      </w:r>
      <w:r w:rsidRPr="006B4B1A">
        <w:t>uplynutí</w:t>
      </w:r>
      <w:r>
        <w:t xml:space="preserve"> </w:t>
      </w:r>
      <w:r w:rsidRPr="006B4B1A">
        <w:t>funkčního</w:t>
      </w:r>
      <w:r>
        <w:t xml:space="preserve"> </w:t>
      </w:r>
      <w:r w:rsidRPr="006B4B1A">
        <w:t>období</w:t>
      </w:r>
      <w:r>
        <w:t xml:space="preserve"> </w:t>
      </w:r>
      <w:r w:rsidRPr="006B4B1A">
        <w:t>vykonávají</w:t>
      </w:r>
      <w:r>
        <w:t xml:space="preserve"> </w:t>
      </w:r>
      <w:r w:rsidRPr="006B4B1A">
        <w:t>členové</w:t>
      </w:r>
      <w:r>
        <w:t xml:space="preserve"> </w:t>
      </w:r>
      <w:r w:rsidRPr="006B4B1A">
        <w:t>dozorčí</w:t>
      </w:r>
      <w:r>
        <w:t xml:space="preserve"> </w:t>
      </w:r>
      <w:r w:rsidRPr="006B4B1A">
        <w:t>rady</w:t>
      </w:r>
      <w:r>
        <w:t xml:space="preserve"> </w:t>
      </w:r>
      <w:r w:rsidRPr="006B4B1A">
        <w:t>funkci</w:t>
      </w:r>
      <w:r>
        <w:t xml:space="preserve"> </w:t>
      </w:r>
      <w:r w:rsidRPr="006B4B1A">
        <w:t>v</w:t>
      </w:r>
      <w:r>
        <w:t xml:space="preserve"> </w:t>
      </w:r>
      <w:r w:rsidRPr="006B4B1A">
        <w:t>dozorčí</w:t>
      </w:r>
      <w:r>
        <w:t xml:space="preserve"> </w:t>
      </w:r>
      <w:r w:rsidRPr="006B4B1A">
        <w:t>radě</w:t>
      </w:r>
      <w:r>
        <w:t xml:space="preserve"> </w:t>
      </w:r>
      <w:r w:rsidRPr="006B4B1A">
        <w:t>do</w:t>
      </w:r>
      <w:r>
        <w:t xml:space="preserve"> </w:t>
      </w:r>
      <w:r w:rsidRPr="006B4B1A">
        <w:t>zvolení</w:t>
      </w:r>
      <w:r>
        <w:t xml:space="preserve"> </w:t>
      </w:r>
      <w:r w:rsidRPr="006B4B1A">
        <w:t>svého</w:t>
      </w:r>
      <w:r>
        <w:t xml:space="preserve"> </w:t>
      </w:r>
      <w:r w:rsidRPr="006B4B1A">
        <w:t>nástupce</w:t>
      </w:r>
      <w:r>
        <w:t xml:space="preserve"> </w:t>
      </w:r>
      <w:r w:rsidRPr="006B4B1A">
        <w:t>ve</w:t>
      </w:r>
      <w:r>
        <w:t xml:space="preserve"> </w:t>
      </w:r>
      <w:r w:rsidRPr="006B4B1A">
        <w:t>funkci.</w:t>
      </w:r>
      <w:r>
        <w:t xml:space="preserve"> </w:t>
      </w:r>
      <w:r w:rsidRPr="006B4B1A">
        <w:t>V</w:t>
      </w:r>
      <w:r>
        <w:t xml:space="preserve"> </w:t>
      </w:r>
      <w:r w:rsidRPr="006B4B1A">
        <w:lastRenderedPageBreak/>
        <w:t>případě,</w:t>
      </w:r>
      <w:r>
        <w:t xml:space="preserve"> </w:t>
      </w:r>
      <w:r w:rsidRPr="006B4B1A">
        <w:t>že</w:t>
      </w:r>
      <w:r>
        <w:t xml:space="preserve"> </w:t>
      </w:r>
      <w:r w:rsidRPr="006B4B1A">
        <w:t>v</w:t>
      </w:r>
      <w:r>
        <w:t xml:space="preserve"> </w:t>
      </w:r>
      <w:r w:rsidRPr="006B4B1A">
        <w:t>průběhu</w:t>
      </w:r>
      <w:r>
        <w:t xml:space="preserve"> </w:t>
      </w:r>
      <w:r w:rsidRPr="006B4B1A">
        <w:t>funkčního</w:t>
      </w:r>
      <w:r>
        <w:t xml:space="preserve"> </w:t>
      </w:r>
      <w:r w:rsidRPr="006B4B1A">
        <w:t>období</w:t>
      </w:r>
      <w:r>
        <w:t xml:space="preserve"> </w:t>
      </w:r>
      <w:r w:rsidRPr="006B4B1A">
        <w:t>v</w:t>
      </w:r>
      <w:r>
        <w:t xml:space="preserve"> </w:t>
      </w:r>
      <w:r w:rsidRPr="006B4B1A">
        <w:t>dozorčí</w:t>
      </w:r>
      <w:r>
        <w:t xml:space="preserve"> </w:t>
      </w:r>
      <w:r w:rsidRPr="006B4B1A">
        <w:t>radě</w:t>
      </w:r>
      <w:r>
        <w:t xml:space="preserve"> </w:t>
      </w:r>
      <w:r w:rsidRPr="006B4B1A">
        <w:t>předsedovi</w:t>
      </w:r>
      <w:r>
        <w:t xml:space="preserve"> </w:t>
      </w:r>
      <w:r w:rsidRPr="006B4B1A">
        <w:t>dozorčí</w:t>
      </w:r>
      <w:r>
        <w:t xml:space="preserve"> </w:t>
      </w:r>
      <w:r w:rsidRPr="006B4B1A">
        <w:t>rady</w:t>
      </w:r>
      <w:r>
        <w:t xml:space="preserve"> </w:t>
      </w:r>
      <w:r w:rsidRPr="006B4B1A">
        <w:t>zanikne</w:t>
      </w:r>
      <w:r>
        <w:t xml:space="preserve"> </w:t>
      </w:r>
      <w:r w:rsidRPr="006B4B1A">
        <w:t>mandát</w:t>
      </w:r>
      <w:r>
        <w:t xml:space="preserve"> </w:t>
      </w:r>
      <w:r w:rsidRPr="006B4B1A">
        <w:t>poslance</w:t>
      </w:r>
      <w:r>
        <w:t xml:space="preserve"> </w:t>
      </w:r>
      <w:r w:rsidRPr="006B4B1A">
        <w:t>nebo</w:t>
      </w:r>
      <w:r>
        <w:t xml:space="preserve"> </w:t>
      </w:r>
      <w:r w:rsidRPr="006B4B1A">
        <w:t>místopředsedovi</w:t>
      </w:r>
      <w:r>
        <w:t xml:space="preserve"> </w:t>
      </w:r>
      <w:r w:rsidRPr="006B4B1A">
        <w:t>dozorčí</w:t>
      </w:r>
      <w:r>
        <w:t xml:space="preserve"> </w:t>
      </w:r>
      <w:r w:rsidRPr="006B4B1A">
        <w:t>rady</w:t>
      </w:r>
      <w:r>
        <w:t xml:space="preserve"> </w:t>
      </w:r>
      <w:r w:rsidRPr="006B4B1A">
        <w:t>mandát</w:t>
      </w:r>
      <w:r>
        <w:t xml:space="preserve"> </w:t>
      </w:r>
      <w:r w:rsidRPr="006B4B1A">
        <w:t>senátora,</w:t>
      </w:r>
      <w:r>
        <w:t xml:space="preserve"> </w:t>
      </w:r>
      <w:r w:rsidRPr="006B4B1A">
        <w:t>vykonávají</w:t>
      </w:r>
      <w:r>
        <w:t xml:space="preserve"> </w:t>
      </w:r>
      <w:r w:rsidRPr="006B4B1A">
        <w:t>funkci</w:t>
      </w:r>
      <w:r>
        <w:t xml:space="preserve"> </w:t>
      </w:r>
      <w:r w:rsidRPr="006B4B1A">
        <w:t>v</w:t>
      </w:r>
      <w:r>
        <w:t xml:space="preserve"> </w:t>
      </w:r>
      <w:r w:rsidRPr="006B4B1A">
        <w:t>dozorčí</w:t>
      </w:r>
      <w:r>
        <w:t xml:space="preserve"> </w:t>
      </w:r>
      <w:r w:rsidRPr="006B4B1A">
        <w:t>radě</w:t>
      </w:r>
      <w:r>
        <w:t xml:space="preserve"> </w:t>
      </w:r>
      <w:r w:rsidRPr="006B4B1A">
        <w:t>do</w:t>
      </w:r>
      <w:r>
        <w:t xml:space="preserve"> </w:t>
      </w:r>
      <w:r w:rsidRPr="006B4B1A">
        <w:t>zvolení</w:t>
      </w:r>
      <w:r>
        <w:t xml:space="preserve"> </w:t>
      </w:r>
      <w:r w:rsidRPr="006B4B1A">
        <w:t>svého</w:t>
      </w:r>
      <w:r>
        <w:t xml:space="preserve"> </w:t>
      </w:r>
      <w:r w:rsidRPr="006B4B1A">
        <w:t>nástupce</w:t>
      </w:r>
      <w:r>
        <w:t xml:space="preserve"> </w:t>
      </w:r>
      <w:r w:rsidRPr="006B4B1A">
        <w:t>ve</w:t>
      </w:r>
      <w:r>
        <w:t xml:space="preserve"> </w:t>
      </w:r>
      <w:r w:rsidRPr="006B4B1A">
        <w:t>funkci.</w:t>
      </w:r>
    </w:p>
    <w:p w14:paraId="164B6C51" w14:textId="77777777" w:rsidR="006900EE" w:rsidRDefault="006900EE" w:rsidP="00CC48B5">
      <w:pPr>
        <w:pStyle w:val="Textparagrafu"/>
        <w:spacing w:before="120" w:after="120"/>
      </w:pPr>
      <w:r w:rsidRPr="006B4B1A">
        <w:t>(4)</w:t>
      </w:r>
      <w:r>
        <w:t xml:space="preserve"> </w:t>
      </w:r>
      <w:r w:rsidRPr="006B4B1A">
        <w:t>Členy</w:t>
      </w:r>
      <w:r>
        <w:t xml:space="preserve"> </w:t>
      </w:r>
      <w:r w:rsidRPr="006B4B1A">
        <w:t>dozorčí</w:t>
      </w:r>
      <w:r>
        <w:t xml:space="preserve"> </w:t>
      </w:r>
      <w:r w:rsidRPr="006B4B1A">
        <w:t>rady</w:t>
      </w:r>
      <w:r>
        <w:t xml:space="preserve"> </w:t>
      </w:r>
      <w:r w:rsidRPr="006B4B1A">
        <w:t>nemohou</w:t>
      </w:r>
      <w:r>
        <w:t xml:space="preserve"> </w:t>
      </w:r>
      <w:r w:rsidRPr="006B4B1A">
        <w:t>být</w:t>
      </w:r>
      <w:r>
        <w:t xml:space="preserve"> </w:t>
      </w:r>
      <w:r w:rsidRPr="006B4B1A">
        <w:t>zaměstnanci</w:t>
      </w:r>
      <w:r>
        <w:t xml:space="preserve"> </w:t>
      </w:r>
      <w:r w:rsidRPr="006B4B1A">
        <w:t>Fondu.</w:t>
      </w:r>
    </w:p>
    <w:p w14:paraId="668718E5" w14:textId="77777777" w:rsidR="006900EE" w:rsidRPr="006B4B1A" w:rsidRDefault="006900EE" w:rsidP="00CC48B5">
      <w:pPr>
        <w:pStyle w:val="Textparagrafu"/>
        <w:spacing w:before="120" w:after="120"/>
      </w:pPr>
      <w:r w:rsidRPr="006B4B1A">
        <w:t>(5)</w:t>
      </w:r>
      <w:r>
        <w:t xml:space="preserve"> </w:t>
      </w:r>
      <w:r w:rsidRPr="006B4B1A">
        <w:t>Jednání</w:t>
      </w:r>
      <w:r>
        <w:t xml:space="preserve"> </w:t>
      </w:r>
      <w:r w:rsidRPr="006B4B1A">
        <w:t>dozorčí</w:t>
      </w:r>
      <w:r>
        <w:t xml:space="preserve"> </w:t>
      </w:r>
      <w:r w:rsidRPr="006B4B1A">
        <w:t>rady</w:t>
      </w:r>
      <w:r>
        <w:t xml:space="preserve"> </w:t>
      </w:r>
      <w:r w:rsidRPr="006B4B1A">
        <w:t>svolává</w:t>
      </w:r>
      <w:r>
        <w:t xml:space="preserve"> </w:t>
      </w:r>
      <w:r w:rsidRPr="006B4B1A">
        <w:t>a</w:t>
      </w:r>
      <w:r>
        <w:t xml:space="preserve"> </w:t>
      </w:r>
      <w:r w:rsidRPr="006B4B1A">
        <w:t>řídí</w:t>
      </w:r>
      <w:r>
        <w:t xml:space="preserve"> </w:t>
      </w:r>
      <w:r w:rsidRPr="006B4B1A">
        <w:t>její</w:t>
      </w:r>
      <w:r>
        <w:t xml:space="preserve"> </w:t>
      </w:r>
      <w:r w:rsidRPr="006B4B1A">
        <w:t>předseda</w:t>
      </w:r>
      <w:r>
        <w:t xml:space="preserve"> </w:t>
      </w:r>
      <w:r w:rsidRPr="006B4B1A">
        <w:t>nebo</w:t>
      </w:r>
      <w:r>
        <w:t xml:space="preserve"> </w:t>
      </w:r>
      <w:r w:rsidRPr="006B4B1A">
        <w:t>místopředseda.</w:t>
      </w:r>
      <w:r>
        <w:t xml:space="preserve"> </w:t>
      </w:r>
      <w:r w:rsidRPr="006B4B1A">
        <w:t>Dozorčí</w:t>
      </w:r>
      <w:r>
        <w:t xml:space="preserve"> </w:t>
      </w:r>
      <w:r w:rsidRPr="006B4B1A">
        <w:t>rada</w:t>
      </w:r>
      <w:r>
        <w:t xml:space="preserve"> </w:t>
      </w:r>
      <w:r w:rsidRPr="006B4B1A">
        <w:t>je</w:t>
      </w:r>
      <w:r>
        <w:t xml:space="preserve"> </w:t>
      </w:r>
      <w:r w:rsidRPr="006B4B1A">
        <w:t>způsobilá</w:t>
      </w:r>
      <w:r>
        <w:t xml:space="preserve"> </w:t>
      </w:r>
      <w:r w:rsidRPr="006B4B1A">
        <w:t>se</w:t>
      </w:r>
      <w:r>
        <w:t xml:space="preserve"> </w:t>
      </w:r>
      <w:r w:rsidRPr="006B4B1A">
        <w:t>usnášet,</w:t>
      </w:r>
      <w:r>
        <w:t xml:space="preserve"> </w:t>
      </w:r>
      <w:r w:rsidRPr="006B4B1A">
        <w:t>jestliže</w:t>
      </w:r>
      <w:r>
        <w:t xml:space="preserve"> </w:t>
      </w:r>
      <w:r w:rsidRPr="006B4B1A">
        <w:t>se</w:t>
      </w:r>
      <w:r>
        <w:t xml:space="preserve"> </w:t>
      </w:r>
      <w:r w:rsidRPr="006B4B1A">
        <w:t>jejího</w:t>
      </w:r>
      <w:r>
        <w:t xml:space="preserve"> </w:t>
      </w:r>
      <w:r w:rsidRPr="006B4B1A">
        <w:t>jednání</w:t>
      </w:r>
      <w:r>
        <w:t xml:space="preserve"> </w:t>
      </w:r>
      <w:r w:rsidRPr="006B4B1A">
        <w:t>zúčastní</w:t>
      </w:r>
      <w:r>
        <w:t xml:space="preserve"> </w:t>
      </w:r>
      <w:r w:rsidRPr="006B4B1A">
        <w:t>osobně</w:t>
      </w:r>
      <w:r>
        <w:t xml:space="preserve"> </w:t>
      </w:r>
      <w:r w:rsidRPr="006B4B1A">
        <w:t>nadpoloviční</w:t>
      </w:r>
      <w:r>
        <w:t xml:space="preserve"> </w:t>
      </w:r>
      <w:r w:rsidRPr="006B4B1A">
        <w:t>většina</w:t>
      </w:r>
      <w:r>
        <w:t xml:space="preserve"> </w:t>
      </w:r>
      <w:r w:rsidRPr="006B4B1A">
        <w:t>členů</w:t>
      </w:r>
      <w:r>
        <w:t xml:space="preserve"> </w:t>
      </w:r>
      <w:r w:rsidRPr="006B4B1A">
        <w:t>včetně</w:t>
      </w:r>
      <w:r>
        <w:t xml:space="preserve"> </w:t>
      </w:r>
      <w:r w:rsidRPr="006B4B1A">
        <w:t>předsedy</w:t>
      </w:r>
      <w:r>
        <w:t xml:space="preserve"> </w:t>
      </w:r>
      <w:r w:rsidRPr="006B4B1A">
        <w:t>nebo</w:t>
      </w:r>
      <w:r>
        <w:t xml:space="preserve"> </w:t>
      </w:r>
      <w:r w:rsidRPr="006B4B1A">
        <w:t>místopředsedy</w:t>
      </w:r>
      <w:r>
        <w:t xml:space="preserve"> </w:t>
      </w:r>
      <w:r w:rsidRPr="006B4B1A">
        <w:t>dozorčí</w:t>
      </w:r>
      <w:r>
        <w:t xml:space="preserve"> </w:t>
      </w:r>
      <w:r w:rsidRPr="006B4B1A">
        <w:t>rady.</w:t>
      </w:r>
      <w:r>
        <w:t xml:space="preserve"> </w:t>
      </w:r>
      <w:r w:rsidRPr="006B4B1A">
        <w:t>K</w:t>
      </w:r>
      <w:r>
        <w:t xml:space="preserve"> </w:t>
      </w:r>
      <w:r w:rsidRPr="006B4B1A">
        <w:t>rozhodnutí</w:t>
      </w:r>
      <w:r>
        <w:t xml:space="preserve"> </w:t>
      </w:r>
      <w:r w:rsidRPr="006B4B1A">
        <w:t>dozorčí</w:t>
      </w:r>
      <w:r>
        <w:t xml:space="preserve"> </w:t>
      </w:r>
      <w:r w:rsidRPr="006B4B1A">
        <w:t>rady</w:t>
      </w:r>
      <w:r>
        <w:t xml:space="preserve"> </w:t>
      </w:r>
      <w:r w:rsidRPr="006B4B1A">
        <w:t>je</w:t>
      </w:r>
      <w:r>
        <w:t xml:space="preserve"> </w:t>
      </w:r>
      <w:r w:rsidRPr="006B4B1A">
        <w:t>třeba</w:t>
      </w:r>
      <w:r>
        <w:t xml:space="preserve"> </w:t>
      </w:r>
      <w:r w:rsidRPr="006B4B1A">
        <w:t>souhlasu</w:t>
      </w:r>
      <w:r>
        <w:t xml:space="preserve"> </w:t>
      </w:r>
      <w:r w:rsidRPr="006B4B1A">
        <w:t>nadpoloviční</w:t>
      </w:r>
      <w:r>
        <w:t xml:space="preserve"> </w:t>
      </w:r>
      <w:r w:rsidRPr="006B4B1A">
        <w:t>většiny</w:t>
      </w:r>
      <w:r>
        <w:t xml:space="preserve"> </w:t>
      </w:r>
      <w:r w:rsidRPr="006B4B1A">
        <w:t>hlasů</w:t>
      </w:r>
      <w:r>
        <w:t xml:space="preserve"> </w:t>
      </w:r>
      <w:r w:rsidRPr="006B4B1A">
        <w:t>všech</w:t>
      </w:r>
      <w:r>
        <w:t xml:space="preserve"> </w:t>
      </w:r>
      <w:r w:rsidRPr="006B4B1A">
        <w:t>členů.</w:t>
      </w:r>
      <w:r>
        <w:t xml:space="preserve"> </w:t>
      </w:r>
      <w:r w:rsidRPr="006B4B1A">
        <w:t>Předseda</w:t>
      </w:r>
      <w:r>
        <w:t xml:space="preserve"> </w:t>
      </w:r>
      <w:r w:rsidRPr="006B4B1A">
        <w:t>nebo</w:t>
      </w:r>
      <w:r>
        <w:t xml:space="preserve"> </w:t>
      </w:r>
      <w:r w:rsidRPr="006B4B1A">
        <w:t>místopředseda</w:t>
      </w:r>
      <w:r>
        <w:t xml:space="preserve"> </w:t>
      </w:r>
      <w:r w:rsidRPr="006B4B1A">
        <w:t>dozorčí</w:t>
      </w:r>
      <w:r>
        <w:t xml:space="preserve"> </w:t>
      </w:r>
      <w:r w:rsidRPr="006B4B1A">
        <w:t>rady</w:t>
      </w:r>
      <w:r>
        <w:t xml:space="preserve"> </w:t>
      </w:r>
      <w:r w:rsidRPr="006B4B1A">
        <w:t>je</w:t>
      </w:r>
      <w:r>
        <w:t xml:space="preserve"> </w:t>
      </w:r>
      <w:r w:rsidRPr="006B4B1A">
        <w:t>povinen</w:t>
      </w:r>
      <w:r>
        <w:t xml:space="preserve"> </w:t>
      </w:r>
      <w:r w:rsidRPr="006B4B1A">
        <w:t>ve</w:t>
      </w:r>
      <w:r>
        <w:t xml:space="preserve"> </w:t>
      </w:r>
      <w:r w:rsidRPr="006B4B1A">
        <w:t>lhůtě</w:t>
      </w:r>
      <w:r>
        <w:t xml:space="preserve"> </w:t>
      </w:r>
      <w:r w:rsidRPr="006B4B1A">
        <w:t>do</w:t>
      </w:r>
      <w:r>
        <w:t xml:space="preserve"> </w:t>
      </w:r>
      <w:r w:rsidRPr="006B4B1A">
        <w:t>14</w:t>
      </w:r>
      <w:r>
        <w:t xml:space="preserve"> </w:t>
      </w:r>
      <w:r w:rsidRPr="006B4B1A">
        <w:t>dnů</w:t>
      </w:r>
      <w:r>
        <w:t xml:space="preserve"> </w:t>
      </w:r>
      <w:r w:rsidRPr="006B4B1A">
        <w:t>ode</w:t>
      </w:r>
      <w:r>
        <w:t xml:space="preserve"> </w:t>
      </w:r>
      <w:r w:rsidRPr="006B4B1A">
        <w:t>dne</w:t>
      </w:r>
      <w:r>
        <w:t xml:space="preserve"> </w:t>
      </w:r>
      <w:r w:rsidRPr="006B4B1A">
        <w:t>doručení</w:t>
      </w:r>
      <w:r>
        <w:t xml:space="preserve"> </w:t>
      </w:r>
      <w:r w:rsidRPr="006B4B1A">
        <w:t>žádosti</w:t>
      </w:r>
      <w:r>
        <w:t xml:space="preserve"> </w:t>
      </w:r>
      <w:r w:rsidRPr="006B4B1A">
        <w:t>svolat</w:t>
      </w:r>
      <w:r>
        <w:t xml:space="preserve"> </w:t>
      </w:r>
      <w:r w:rsidRPr="006B4B1A">
        <w:t>dozorčí</w:t>
      </w:r>
      <w:r>
        <w:t xml:space="preserve"> </w:t>
      </w:r>
      <w:r w:rsidRPr="006B4B1A">
        <w:t>radu,</w:t>
      </w:r>
      <w:r>
        <w:t xml:space="preserve"> </w:t>
      </w:r>
      <w:r w:rsidRPr="006B4B1A">
        <w:t>jestliže</w:t>
      </w:r>
      <w:r>
        <w:t xml:space="preserve"> </w:t>
      </w:r>
      <w:r w:rsidRPr="006B4B1A">
        <w:t>o</w:t>
      </w:r>
      <w:r>
        <w:t xml:space="preserve"> </w:t>
      </w:r>
      <w:r w:rsidRPr="006B4B1A">
        <w:t>její</w:t>
      </w:r>
      <w:r>
        <w:t xml:space="preserve"> </w:t>
      </w:r>
      <w:r w:rsidRPr="006B4B1A">
        <w:t>svolání</w:t>
      </w:r>
      <w:r>
        <w:t xml:space="preserve"> </w:t>
      </w:r>
      <w:r w:rsidRPr="006B4B1A">
        <w:t>požádají</w:t>
      </w:r>
      <w:r>
        <w:t xml:space="preserve"> </w:t>
      </w:r>
      <w:r w:rsidRPr="006B4B1A">
        <w:t>nejméně</w:t>
      </w:r>
      <w:r>
        <w:t xml:space="preserve"> </w:t>
      </w:r>
      <w:r w:rsidRPr="006B4B1A">
        <w:t>3</w:t>
      </w:r>
      <w:r>
        <w:t xml:space="preserve"> </w:t>
      </w:r>
      <w:r w:rsidRPr="006B4B1A">
        <w:t>členové</w:t>
      </w:r>
      <w:r>
        <w:t xml:space="preserve"> </w:t>
      </w:r>
      <w:r w:rsidRPr="006B4B1A">
        <w:t>dozorčí</w:t>
      </w:r>
      <w:r>
        <w:t xml:space="preserve"> </w:t>
      </w:r>
      <w:r w:rsidRPr="006B4B1A">
        <w:t>rady.</w:t>
      </w:r>
    </w:p>
    <w:p w14:paraId="243F430D" w14:textId="77777777" w:rsidR="00531938" w:rsidRPr="006B4B1A" w:rsidRDefault="00531938" w:rsidP="00531938">
      <w:pPr>
        <w:pStyle w:val="Textparagrafu"/>
        <w:spacing w:after="120"/>
        <w:ind w:firstLine="0"/>
      </w:pPr>
    </w:p>
    <w:p w14:paraId="5A313F6F" w14:textId="77777777" w:rsidR="00CF7D27" w:rsidRDefault="00CF7D27" w:rsidP="00CB5381">
      <w:pPr>
        <w:pStyle w:val="Textparagrafu"/>
        <w:tabs>
          <w:tab w:val="left" w:pos="406"/>
          <w:tab w:val="left" w:pos="840"/>
          <w:tab w:val="left" w:pos="868"/>
        </w:tabs>
        <w:spacing w:after="120"/>
        <w:ind w:firstLine="0"/>
        <w:sectPr w:rsidR="00CF7D27" w:rsidSect="00554E2B">
          <w:footnotePr>
            <w:numStart w:val="3"/>
          </w:footnotePr>
          <w:endnotePr>
            <w:numFmt w:val="decimal"/>
          </w:endnotePr>
          <w:pgSz w:w="11906" w:h="16838"/>
          <w:pgMar w:top="1418" w:right="1418" w:bottom="1418" w:left="1418" w:header="709" w:footer="709" w:gutter="0"/>
          <w:cols w:space="708"/>
          <w:docGrid w:linePitch="360"/>
        </w:sectPr>
      </w:pPr>
    </w:p>
    <w:p w14:paraId="2E5B6FCC" w14:textId="220E1997" w:rsidR="00CF7D27" w:rsidRPr="003E34D6" w:rsidRDefault="00CF7D27" w:rsidP="00CC48B5">
      <w:pPr>
        <w:tabs>
          <w:tab w:val="left" w:pos="851"/>
        </w:tabs>
        <w:spacing w:before="120" w:after="120"/>
        <w:ind w:firstLine="0"/>
        <w:jc w:val="center"/>
        <w:outlineLvl w:val="0"/>
        <w:rPr>
          <w:szCs w:val="24"/>
        </w:rPr>
      </w:pPr>
      <w:r w:rsidRPr="003E34D6">
        <w:rPr>
          <w:b/>
          <w:szCs w:val="24"/>
        </w:rPr>
        <w:lastRenderedPageBreak/>
        <w:t xml:space="preserve">K části padesáté </w:t>
      </w:r>
      <w:r w:rsidR="0096635B">
        <w:rPr>
          <w:b/>
          <w:szCs w:val="24"/>
        </w:rPr>
        <w:t>páté</w:t>
      </w:r>
      <w:r w:rsidRPr="003E34D6">
        <w:rPr>
          <w:b/>
          <w:szCs w:val="24"/>
        </w:rPr>
        <w:t xml:space="preserve"> návrhu zákona – </w:t>
      </w:r>
      <w:r w:rsidRPr="003E34D6">
        <w:rPr>
          <w:szCs w:val="24"/>
        </w:rPr>
        <w:t>změna zákona</w:t>
      </w:r>
      <w:r w:rsidRPr="003E34D6">
        <w:t xml:space="preserve"> </w:t>
      </w:r>
      <w:r w:rsidRPr="003E34D6">
        <w:rPr>
          <w:szCs w:val="24"/>
        </w:rPr>
        <w:t xml:space="preserve">o Probační a mediační službě </w:t>
      </w:r>
    </w:p>
    <w:p w14:paraId="04DCC339" w14:textId="08C5820C" w:rsidR="00CF7D27" w:rsidRPr="003E34D6" w:rsidRDefault="00CF7D27" w:rsidP="00CF7D27">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3E34D6">
        <w:rPr>
          <w:b/>
          <w:szCs w:val="24"/>
        </w:rPr>
        <w:t>Platné znění</w:t>
      </w:r>
      <w:r w:rsidRPr="003E34D6">
        <w:rPr>
          <w:szCs w:val="24"/>
        </w:rPr>
        <w:t xml:space="preserve"> zákona č.257/2000 Sb., o Probační a mediační službě a o změně zákona č. 2/1969 Sb., o zřízení ministerstev a jiných ústředních orgánů státní správy České republiky, ve znění pozdějších předpisů, zákona č. 65/1965 Sb., zákoník práce, ve znění pozdějších předpisů a zákona č. 359/1999 Sb., o sociálně-právní ochraně dětí (zákon o Probační a mediační službě)</w:t>
      </w:r>
    </w:p>
    <w:p w14:paraId="243A1A94" w14:textId="11F88C53" w:rsidR="00CF7D27" w:rsidRPr="003E34D6" w:rsidRDefault="00CC48B5" w:rsidP="00CF7D27">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AE4818">
        <w:rPr>
          <w:b/>
          <w:szCs w:val="24"/>
          <w:lang w:eastAsia="en-US"/>
        </w:rPr>
        <w:t>s vyznačením navrhovaných změn a doplnění k 1. lednu 2025</w:t>
      </w:r>
    </w:p>
    <w:p w14:paraId="4E3440FE" w14:textId="3A38220C" w:rsidR="003E34D6" w:rsidRDefault="00CF7D27" w:rsidP="003E34D6">
      <w:pPr>
        <w:pStyle w:val="Textparagrafu"/>
        <w:ind w:firstLine="0"/>
        <w:jc w:val="center"/>
      </w:pPr>
      <w:r w:rsidRPr="003E34D6">
        <w:t>§</w:t>
      </w:r>
      <w:r w:rsidR="003E34D6">
        <w:t xml:space="preserve"> 1</w:t>
      </w:r>
    </w:p>
    <w:p w14:paraId="44507AB1" w14:textId="3FC3F4E1" w:rsidR="003E34D6" w:rsidRDefault="003E34D6" w:rsidP="00CC48B5">
      <w:pPr>
        <w:pStyle w:val="Textparagrafu"/>
        <w:spacing w:before="120" w:after="120"/>
      </w:pPr>
      <w:r>
        <w:t>(1) Zřizuje se Probační a mediační služba, která provádí v rozsahu stanoveném tímto nebo zvláštním zákonem1) úkony probace a mediace ve věcech projednávaných v trestním řízení nebo v řízení ve věcech dětí mladších patnácti let podle hlavy III zákona o soudnictví ve věcech mládeže.</w:t>
      </w:r>
    </w:p>
    <w:p w14:paraId="6A439ED4" w14:textId="6471CC50" w:rsidR="003E34D6" w:rsidRPr="00F3373B" w:rsidRDefault="003E34D6" w:rsidP="00CC48B5">
      <w:pPr>
        <w:pStyle w:val="Textparagrafu"/>
        <w:spacing w:before="120" w:after="120"/>
      </w:pPr>
      <w:r>
        <w:t xml:space="preserve">(2) Probační a mediační služba je organizační složkou státu </w:t>
      </w:r>
      <w:r w:rsidRPr="003E34D6">
        <w:rPr>
          <w:strike/>
        </w:rPr>
        <w:t>a účetní jednotkou</w:t>
      </w:r>
      <w:r>
        <w:t>.</w:t>
      </w:r>
    </w:p>
    <w:p w14:paraId="08838044" w14:textId="77777777" w:rsidR="00CF7D27" w:rsidRDefault="00CF7D27" w:rsidP="00CB5381">
      <w:pPr>
        <w:pStyle w:val="Textparagrafu"/>
        <w:tabs>
          <w:tab w:val="left" w:pos="406"/>
          <w:tab w:val="left" w:pos="840"/>
          <w:tab w:val="left" w:pos="868"/>
        </w:tabs>
        <w:spacing w:after="120"/>
        <w:ind w:firstLine="0"/>
        <w:sectPr w:rsidR="00CF7D27" w:rsidSect="00554E2B">
          <w:footnotePr>
            <w:numStart w:val="3"/>
          </w:footnotePr>
          <w:endnotePr>
            <w:numFmt w:val="decimal"/>
          </w:endnotePr>
          <w:pgSz w:w="11906" w:h="16838"/>
          <w:pgMar w:top="1418" w:right="1418" w:bottom="1418" w:left="1418" w:header="709" w:footer="709" w:gutter="0"/>
          <w:cols w:space="708"/>
          <w:docGrid w:linePitch="360"/>
        </w:sectPr>
      </w:pPr>
    </w:p>
    <w:p w14:paraId="37DC5E1C" w14:textId="225D80D2" w:rsidR="00CF7D27" w:rsidRPr="00CF7D27" w:rsidRDefault="00CF7D27" w:rsidP="00CC48B5">
      <w:pPr>
        <w:tabs>
          <w:tab w:val="left" w:pos="851"/>
        </w:tabs>
        <w:spacing w:before="120" w:after="120"/>
        <w:ind w:firstLine="0"/>
        <w:jc w:val="center"/>
        <w:outlineLvl w:val="0"/>
        <w:rPr>
          <w:szCs w:val="24"/>
        </w:rPr>
      </w:pPr>
      <w:r w:rsidRPr="00CF7D27">
        <w:rPr>
          <w:b/>
          <w:szCs w:val="24"/>
        </w:rPr>
        <w:lastRenderedPageBreak/>
        <w:t xml:space="preserve">K části padesáté </w:t>
      </w:r>
      <w:r w:rsidR="0096635B">
        <w:rPr>
          <w:b/>
          <w:szCs w:val="24"/>
        </w:rPr>
        <w:t>šesté</w:t>
      </w:r>
      <w:r w:rsidRPr="00CF7D27">
        <w:rPr>
          <w:b/>
          <w:szCs w:val="24"/>
        </w:rPr>
        <w:t xml:space="preserve"> návrhu zákona – </w:t>
      </w:r>
      <w:r w:rsidRPr="00CF7D27">
        <w:rPr>
          <w:szCs w:val="24"/>
        </w:rPr>
        <w:t>změna zákona</w:t>
      </w:r>
      <w:r w:rsidRPr="00CF7D27">
        <w:t xml:space="preserve"> </w:t>
      </w:r>
      <w:r w:rsidR="0060548E" w:rsidRPr="0060548E">
        <w:rPr>
          <w:szCs w:val="24"/>
        </w:rPr>
        <w:t>o ochraně veřejného zdraví a o změně některých souvisejících zákonů</w:t>
      </w:r>
    </w:p>
    <w:p w14:paraId="1C1334DC" w14:textId="71003F67" w:rsidR="00CF7D27" w:rsidRPr="00CF7D27" w:rsidRDefault="00CF7D27" w:rsidP="0060548E">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CF7D27">
        <w:rPr>
          <w:b/>
          <w:szCs w:val="24"/>
        </w:rPr>
        <w:t>Platné znění</w:t>
      </w:r>
      <w:r w:rsidRPr="00CF7D27">
        <w:rPr>
          <w:szCs w:val="24"/>
        </w:rPr>
        <w:t xml:space="preserve"> zákona č.2</w:t>
      </w:r>
      <w:r w:rsidR="0060548E">
        <w:rPr>
          <w:szCs w:val="24"/>
        </w:rPr>
        <w:t>58</w:t>
      </w:r>
      <w:r w:rsidRPr="00CF7D27">
        <w:rPr>
          <w:szCs w:val="24"/>
        </w:rPr>
        <w:t xml:space="preserve">/2000 Sb., </w:t>
      </w:r>
      <w:r w:rsidR="00EF3D3A" w:rsidRPr="0060548E">
        <w:rPr>
          <w:szCs w:val="24"/>
        </w:rPr>
        <w:t>o ochraně veřejného zdraví a o změně některých souvisejících zákonů</w:t>
      </w:r>
    </w:p>
    <w:p w14:paraId="27DFA9D9" w14:textId="2D01F201" w:rsidR="00CF7D27" w:rsidRPr="00CF7D27" w:rsidRDefault="00CC48B5" w:rsidP="00CF7D27">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AE4818">
        <w:rPr>
          <w:b/>
          <w:szCs w:val="24"/>
          <w:lang w:eastAsia="en-US"/>
        </w:rPr>
        <w:t>s vyznačením navrhovaných změn a doplnění k 1. lednu 2025</w:t>
      </w:r>
    </w:p>
    <w:p w14:paraId="3B6C755D" w14:textId="77777777" w:rsidR="00CF7D27" w:rsidRPr="00CF7D27" w:rsidRDefault="00CF7D27" w:rsidP="00CF7D27">
      <w:pPr>
        <w:pStyle w:val="Textparagrafu"/>
        <w:tabs>
          <w:tab w:val="left" w:pos="406"/>
          <w:tab w:val="left" w:pos="840"/>
          <w:tab w:val="left" w:pos="868"/>
        </w:tabs>
        <w:spacing w:after="120"/>
        <w:ind w:firstLine="0"/>
        <w:jc w:val="center"/>
      </w:pPr>
      <w:r w:rsidRPr="00CF7D27">
        <w:t>***</w:t>
      </w:r>
    </w:p>
    <w:p w14:paraId="682BA89D" w14:textId="1F88C762" w:rsidR="00965B9F" w:rsidRDefault="00965B9F" w:rsidP="00965B9F">
      <w:pPr>
        <w:pStyle w:val="Textparagrafu"/>
        <w:ind w:firstLine="0"/>
        <w:jc w:val="center"/>
      </w:pPr>
      <w:r w:rsidRPr="00EF2A90">
        <w:t>§</w:t>
      </w:r>
      <w:r>
        <w:t xml:space="preserve"> </w:t>
      </w:r>
      <w:r w:rsidRPr="00EF2A90">
        <w:t>82</w:t>
      </w:r>
    </w:p>
    <w:p w14:paraId="6DF082F2" w14:textId="77777777" w:rsidR="00965B9F" w:rsidRPr="00965B9F" w:rsidRDefault="00965B9F" w:rsidP="00965B9F">
      <w:pPr>
        <w:pStyle w:val="Textparagrafu"/>
        <w:ind w:firstLine="0"/>
        <w:jc w:val="center"/>
        <w:rPr>
          <w:b/>
        </w:rPr>
      </w:pPr>
      <w:r w:rsidRPr="00965B9F">
        <w:rPr>
          <w:b/>
        </w:rPr>
        <w:t>Krajské hygienické stanice</w:t>
      </w:r>
    </w:p>
    <w:p w14:paraId="3EDC7E0B" w14:textId="77777777" w:rsidR="00965B9F" w:rsidRDefault="00965B9F" w:rsidP="00CC48B5">
      <w:pPr>
        <w:pStyle w:val="Textparagrafu"/>
        <w:spacing w:before="120" w:after="120"/>
      </w:pPr>
      <w:r w:rsidRPr="00EF2A90">
        <w:t>(1)</w:t>
      </w:r>
      <w:r>
        <w:t xml:space="preserve"> </w:t>
      </w:r>
      <w:r w:rsidRPr="00EF2A90">
        <w:t>Zřizují</w:t>
      </w:r>
      <w:r>
        <w:t xml:space="preserve"> </w:t>
      </w:r>
      <w:r w:rsidRPr="00EF2A90">
        <w:t>se</w:t>
      </w:r>
      <w:r>
        <w:t xml:space="preserve"> </w:t>
      </w:r>
      <w:r w:rsidRPr="00EF2A90">
        <w:t>krajské</w:t>
      </w:r>
      <w:r>
        <w:t xml:space="preserve"> </w:t>
      </w:r>
      <w:r w:rsidRPr="00EF2A90">
        <w:t>hygienické</w:t>
      </w:r>
      <w:r>
        <w:t xml:space="preserve"> </w:t>
      </w:r>
      <w:r w:rsidRPr="00EF2A90">
        <w:t>stanice,</w:t>
      </w:r>
      <w:r>
        <w:t xml:space="preserve"> </w:t>
      </w:r>
      <w:r w:rsidRPr="00EF2A90">
        <w:t>jejichž</w:t>
      </w:r>
      <w:r>
        <w:t xml:space="preserve"> </w:t>
      </w:r>
      <w:r w:rsidRPr="00EF2A90">
        <w:t>správní</w:t>
      </w:r>
      <w:r>
        <w:t xml:space="preserve"> </w:t>
      </w:r>
      <w:r w:rsidRPr="00EF2A90">
        <w:t>obvody</w:t>
      </w:r>
      <w:r>
        <w:t xml:space="preserve"> </w:t>
      </w:r>
      <w:r w:rsidRPr="00EF2A90">
        <w:t>a</w:t>
      </w:r>
      <w:r>
        <w:t xml:space="preserve"> </w:t>
      </w:r>
      <w:r w:rsidRPr="00EF2A90">
        <w:t>sídla</w:t>
      </w:r>
      <w:r>
        <w:t xml:space="preserve"> </w:t>
      </w:r>
      <w:r w:rsidRPr="00EF2A90">
        <w:t>stanoví</w:t>
      </w:r>
      <w:r>
        <w:t xml:space="preserve"> </w:t>
      </w:r>
      <w:r w:rsidRPr="00EF2A90">
        <w:t>příloha</w:t>
      </w:r>
      <w:r>
        <w:t xml:space="preserve"> </w:t>
      </w:r>
      <w:r w:rsidRPr="00EF2A90">
        <w:t>č.</w:t>
      </w:r>
      <w:r>
        <w:t xml:space="preserve"> </w:t>
      </w:r>
      <w:r w:rsidRPr="00EF2A90">
        <w:t>2</w:t>
      </w:r>
      <w:r>
        <w:t xml:space="preserve"> </w:t>
      </w:r>
      <w:r w:rsidRPr="00EF2A90">
        <w:t>k</w:t>
      </w:r>
      <w:r>
        <w:t xml:space="preserve"> </w:t>
      </w:r>
      <w:r w:rsidRPr="00EF2A90">
        <w:t>tomuto</w:t>
      </w:r>
      <w:r>
        <w:t xml:space="preserve"> </w:t>
      </w:r>
      <w:r w:rsidRPr="00EF2A90">
        <w:t>zákonu.</w:t>
      </w:r>
      <w:r>
        <w:t xml:space="preserve"> </w:t>
      </w:r>
      <w:r w:rsidRPr="00EF2A90">
        <w:t>Krajské</w:t>
      </w:r>
      <w:r>
        <w:t xml:space="preserve"> </w:t>
      </w:r>
      <w:r w:rsidRPr="00EF2A90">
        <w:t>hygienické</w:t>
      </w:r>
      <w:r>
        <w:t xml:space="preserve"> </w:t>
      </w:r>
      <w:r w:rsidRPr="00EF2A90">
        <w:t>stanice</w:t>
      </w:r>
      <w:r>
        <w:t xml:space="preserve"> </w:t>
      </w:r>
      <w:r w:rsidRPr="00EF2A90">
        <w:t>mohou</w:t>
      </w:r>
      <w:r>
        <w:t xml:space="preserve"> </w:t>
      </w:r>
      <w:r w:rsidRPr="00EF2A90">
        <w:t>po</w:t>
      </w:r>
      <w:r>
        <w:t xml:space="preserve"> </w:t>
      </w:r>
      <w:r w:rsidRPr="00EF2A90">
        <w:t>předchozím</w:t>
      </w:r>
      <w:r>
        <w:t xml:space="preserve"> </w:t>
      </w:r>
      <w:r w:rsidRPr="00EF2A90">
        <w:t>souhlasu</w:t>
      </w:r>
      <w:r>
        <w:t xml:space="preserve"> </w:t>
      </w:r>
      <w:r w:rsidRPr="00EF2A90">
        <w:t>Ministerstva</w:t>
      </w:r>
      <w:r>
        <w:t xml:space="preserve"> </w:t>
      </w:r>
      <w:r w:rsidRPr="00EF2A90">
        <w:t>zdravotnictví</w:t>
      </w:r>
      <w:r>
        <w:t xml:space="preserve"> </w:t>
      </w:r>
      <w:r w:rsidRPr="00EF2A90">
        <w:t>zřizovat</w:t>
      </w:r>
      <w:r>
        <w:t xml:space="preserve"> </w:t>
      </w:r>
      <w:r w:rsidRPr="00EF2A90">
        <w:t>nebo</w:t>
      </w:r>
      <w:r>
        <w:t xml:space="preserve"> </w:t>
      </w:r>
      <w:r w:rsidRPr="00EF2A90">
        <w:t>rušit</w:t>
      </w:r>
      <w:r>
        <w:t xml:space="preserve"> </w:t>
      </w:r>
      <w:r w:rsidRPr="00EF2A90">
        <w:t>územní</w:t>
      </w:r>
      <w:r>
        <w:t xml:space="preserve"> </w:t>
      </w:r>
      <w:r w:rsidRPr="00EF2A90">
        <w:t>pracoviště.</w:t>
      </w:r>
      <w:r>
        <w:t xml:space="preserve"> </w:t>
      </w:r>
      <w:r w:rsidRPr="00EF2A90">
        <w:t>Krajské</w:t>
      </w:r>
      <w:r>
        <w:t xml:space="preserve"> </w:t>
      </w:r>
      <w:r w:rsidRPr="00EF2A90">
        <w:t>hygienické</w:t>
      </w:r>
      <w:r>
        <w:t xml:space="preserve"> </w:t>
      </w:r>
      <w:r w:rsidRPr="00EF2A90">
        <w:t>stanice</w:t>
      </w:r>
      <w:r>
        <w:t xml:space="preserve"> </w:t>
      </w:r>
      <w:r w:rsidRPr="00EF2A90">
        <w:t>jsou</w:t>
      </w:r>
      <w:r>
        <w:t xml:space="preserve"> </w:t>
      </w:r>
      <w:r w:rsidRPr="00EF2A90">
        <w:t>správními</w:t>
      </w:r>
      <w:r>
        <w:t xml:space="preserve"> </w:t>
      </w:r>
      <w:r w:rsidRPr="00EF2A90">
        <w:t>úřady.</w:t>
      </w:r>
      <w:r>
        <w:t xml:space="preserve"> </w:t>
      </w:r>
      <w:r w:rsidRPr="00EF2A90">
        <w:t>Krajská</w:t>
      </w:r>
      <w:r>
        <w:t xml:space="preserve"> </w:t>
      </w:r>
      <w:r w:rsidRPr="00EF2A90">
        <w:t>hygienická</w:t>
      </w:r>
      <w:r>
        <w:t xml:space="preserve"> </w:t>
      </w:r>
      <w:r w:rsidRPr="00EF2A90">
        <w:t>stanice,</w:t>
      </w:r>
      <w:r>
        <w:t xml:space="preserve"> </w:t>
      </w:r>
      <w:r w:rsidRPr="00EF2A90">
        <w:t>která</w:t>
      </w:r>
      <w:r>
        <w:t xml:space="preserve"> </w:t>
      </w:r>
      <w:r w:rsidRPr="00EF2A90">
        <w:t>působí</w:t>
      </w:r>
      <w:r>
        <w:t xml:space="preserve"> </w:t>
      </w:r>
      <w:r w:rsidRPr="00EF2A90">
        <w:t>ve</w:t>
      </w:r>
      <w:r>
        <w:t xml:space="preserve"> </w:t>
      </w:r>
      <w:r w:rsidRPr="00EF2A90">
        <w:t>správním</w:t>
      </w:r>
      <w:r>
        <w:t xml:space="preserve"> </w:t>
      </w:r>
      <w:r w:rsidRPr="00EF2A90">
        <w:t>obvodu</w:t>
      </w:r>
      <w:r>
        <w:t xml:space="preserve"> </w:t>
      </w:r>
      <w:r w:rsidRPr="00EF2A90">
        <w:t>hlavního</w:t>
      </w:r>
      <w:r>
        <w:t xml:space="preserve"> </w:t>
      </w:r>
      <w:r w:rsidRPr="00EF2A90">
        <w:t>města</w:t>
      </w:r>
      <w:r>
        <w:t xml:space="preserve"> </w:t>
      </w:r>
      <w:r w:rsidRPr="00EF2A90">
        <w:t>Prahy,</w:t>
      </w:r>
      <w:r>
        <w:t xml:space="preserve"> </w:t>
      </w:r>
      <w:r w:rsidRPr="00EF2A90">
        <w:t>se</w:t>
      </w:r>
      <w:r>
        <w:t xml:space="preserve"> </w:t>
      </w:r>
      <w:r w:rsidRPr="00EF2A90">
        <w:t>označuje</w:t>
      </w:r>
      <w:r>
        <w:t xml:space="preserve"> </w:t>
      </w:r>
      <w:r w:rsidRPr="00EF2A90">
        <w:t>jako</w:t>
      </w:r>
      <w:r>
        <w:t xml:space="preserve"> </w:t>
      </w:r>
      <w:r w:rsidRPr="00EF2A90">
        <w:t>Hygienická</w:t>
      </w:r>
      <w:r>
        <w:t xml:space="preserve"> </w:t>
      </w:r>
      <w:r w:rsidRPr="00EF2A90">
        <w:t>stanice</w:t>
      </w:r>
      <w:r>
        <w:t xml:space="preserve"> </w:t>
      </w:r>
      <w:r w:rsidRPr="00EF2A90">
        <w:t>hlavního</w:t>
      </w:r>
      <w:r>
        <w:t xml:space="preserve"> </w:t>
      </w:r>
      <w:r w:rsidRPr="00EF2A90">
        <w:t>města</w:t>
      </w:r>
      <w:r>
        <w:t xml:space="preserve"> </w:t>
      </w:r>
      <w:r w:rsidRPr="00EF2A90">
        <w:t>Prahy.</w:t>
      </w:r>
      <w:r>
        <w:t xml:space="preserve"> </w:t>
      </w:r>
      <w:r w:rsidRPr="00EF2A90">
        <w:t>V</w:t>
      </w:r>
      <w:r>
        <w:t xml:space="preserve"> </w:t>
      </w:r>
      <w:r w:rsidRPr="00EF2A90">
        <w:t>čele</w:t>
      </w:r>
      <w:r>
        <w:t xml:space="preserve"> </w:t>
      </w:r>
      <w:r w:rsidRPr="00EF2A90">
        <w:t>krajské</w:t>
      </w:r>
      <w:r>
        <w:t xml:space="preserve"> </w:t>
      </w:r>
      <w:r w:rsidRPr="00EF2A90">
        <w:t>hygienické</w:t>
      </w:r>
      <w:r>
        <w:t xml:space="preserve"> </w:t>
      </w:r>
      <w:r w:rsidRPr="00EF2A90">
        <w:t>stanice</w:t>
      </w:r>
      <w:r>
        <w:t xml:space="preserve"> </w:t>
      </w:r>
      <w:r w:rsidRPr="00EF2A90">
        <w:t>je</w:t>
      </w:r>
      <w:r>
        <w:t xml:space="preserve"> </w:t>
      </w:r>
      <w:r w:rsidRPr="00EF2A90">
        <w:t>ředitel.</w:t>
      </w:r>
      <w:r>
        <w:t xml:space="preserve"> </w:t>
      </w:r>
      <w:r w:rsidRPr="00EF2A90">
        <w:t>Výběr,</w:t>
      </w:r>
      <w:r>
        <w:t xml:space="preserve"> </w:t>
      </w:r>
      <w:r w:rsidRPr="00EF2A90">
        <w:t>jmenování</w:t>
      </w:r>
      <w:r>
        <w:t xml:space="preserve"> </w:t>
      </w:r>
      <w:r w:rsidRPr="00EF2A90">
        <w:t>a</w:t>
      </w:r>
      <w:r>
        <w:t xml:space="preserve"> </w:t>
      </w:r>
      <w:r w:rsidRPr="00EF2A90">
        <w:t>odvolání</w:t>
      </w:r>
      <w:r>
        <w:t xml:space="preserve"> </w:t>
      </w:r>
      <w:r w:rsidRPr="00EF2A90">
        <w:t>ředitele</w:t>
      </w:r>
      <w:r>
        <w:t xml:space="preserve"> </w:t>
      </w:r>
      <w:r w:rsidRPr="00EF2A90">
        <w:t>krajské</w:t>
      </w:r>
      <w:r>
        <w:t xml:space="preserve"> </w:t>
      </w:r>
      <w:r w:rsidRPr="00EF2A90">
        <w:t>hygienické</w:t>
      </w:r>
      <w:r>
        <w:t xml:space="preserve"> </w:t>
      </w:r>
      <w:r w:rsidRPr="00EF2A90">
        <w:t>stanice</w:t>
      </w:r>
      <w:r>
        <w:t xml:space="preserve"> </w:t>
      </w:r>
      <w:r w:rsidRPr="00EF2A90">
        <w:t>se</w:t>
      </w:r>
      <w:r>
        <w:t xml:space="preserve"> </w:t>
      </w:r>
      <w:r w:rsidRPr="00EF2A90">
        <w:t>řídí</w:t>
      </w:r>
      <w:r>
        <w:t xml:space="preserve"> </w:t>
      </w:r>
      <w:r w:rsidRPr="00EF2A90">
        <w:t>zákonem</w:t>
      </w:r>
      <w:r>
        <w:t xml:space="preserve"> </w:t>
      </w:r>
      <w:r w:rsidRPr="00EF2A90">
        <w:t>o</w:t>
      </w:r>
      <w:r>
        <w:t xml:space="preserve"> </w:t>
      </w:r>
      <w:r w:rsidRPr="00EF2A90">
        <w:t>státní</w:t>
      </w:r>
      <w:r>
        <w:t xml:space="preserve"> </w:t>
      </w:r>
      <w:r w:rsidRPr="00EF2A90">
        <w:t>službě.</w:t>
      </w:r>
      <w:r>
        <w:t xml:space="preserve"> </w:t>
      </w:r>
      <w:r w:rsidRPr="003A733B">
        <w:rPr>
          <w:strike/>
        </w:rPr>
        <w:t>Krajské hygienické stanice jsou účetními jednotkami.</w:t>
      </w:r>
    </w:p>
    <w:p w14:paraId="2BDC36DA" w14:textId="77777777" w:rsidR="00965B9F" w:rsidRDefault="00965B9F" w:rsidP="00CC48B5">
      <w:pPr>
        <w:pStyle w:val="Textparagrafu"/>
        <w:spacing w:before="120" w:after="120"/>
      </w:pPr>
      <w:r w:rsidRPr="00EF2A90">
        <w:t>(2)</w:t>
      </w:r>
      <w:r>
        <w:t xml:space="preserve"> </w:t>
      </w:r>
      <w:r w:rsidRPr="00EF2A90">
        <w:t>Krajské</w:t>
      </w:r>
      <w:r>
        <w:t xml:space="preserve"> </w:t>
      </w:r>
      <w:r w:rsidRPr="00EF2A90">
        <w:t>hygienické</w:t>
      </w:r>
      <w:r>
        <w:t xml:space="preserve"> </w:t>
      </w:r>
      <w:r w:rsidRPr="00EF2A90">
        <w:t>stanici</w:t>
      </w:r>
      <w:r>
        <w:t xml:space="preserve"> </w:t>
      </w:r>
      <w:r w:rsidRPr="00EF2A90">
        <w:t>náleží</w:t>
      </w:r>
    </w:p>
    <w:p w14:paraId="3A310E48" w14:textId="4CC83E6A" w:rsidR="00965B9F" w:rsidRDefault="00965B9F" w:rsidP="0096635B">
      <w:pPr>
        <w:pStyle w:val="Textparagrafu"/>
        <w:tabs>
          <w:tab w:val="left" w:pos="406"/>
        </w:tabs>
        <w:spacing w:before="0"/>
        <w:ind w:left="426" w:hanging="426"/>
      </w:pPr>
      <w:r w:rsidRPr="00EF2A90">
        <w:t>a)</w:t>
      </w:r>
      <w:r w:rsidR="005C1713">
        <w:tab/>
      </w:r>
      <w:r w:rsidRPr="00EF2A90">
        <w:t>vydávat</w:t>
      </w:r>
      <w:r>
        <w:t xml:space="preserve"> </w:t>
      </w:r>
      <w:r w:rsidRPr="00EF2A90">
        <w:t>rozhodnutí,</w:t>
      </w:r>
      <w:r>
        <w:t xml:space="preserve"> </w:t>
      </w:r>
      <w:r w:rsidRPr="00EF2A90">
        <w:t>povolení,</w:t>
      </w:r>
      <w:r>
        <w:t xml:space="preserve"> </w:t>
      </w:r>
      <w:r w:rsidRPr="00EF2A90">
        <w:t>osvědčení</w:t>
      </w:r>
      <w:r>
        <w:t xml:space="preserve"> </w:t>
      </w:r>
      <w:r w:rsidRPr="00EF2A90">
        <w:t>a</w:t>
      </w:r>
      <w:r>
        <w:t xml:space="preserve"> </w:t>
      </w:r>
      <w:r w:rsidRPr="00EF2A90">
        <w:t>plnit</w:t>
      </w:r>
      <w:r>
        <w:t xml:space="preserve"> </w:t>
      </w:r>
      <w:r w:rsidRPr="00EF2A90">
        <w:t>další</w:t>
      </w:r>
      <w:r>
        <w:t xml:space="preserve"> </w:t>
      </w:r>
      <w:r w:rsidRPr="00EF2A90">
        <w:t>úkoly</w:t>
      </w:r>
      <w:r>
        <w:t xml:space="preserve"> </w:t>
      </w:r>
      <w:r w:rsidRPr="00EF2A90">
        <w:t>státní</w:t>
      </w:r>
      <w:r>
        <w:t xml:space="preserve"> </w:t>
      </w:r>
      <w:r w:rsidRPr="00EF2A90">
        <w:t>správy</w:t>
      </w:r>
      <w:r>
        <w:t xml:space="preserve"> </w:t>
      </w:r>
      <w:r w:rsidRPr="00EF2A90">
        <w:t>v</w:t>
      </w:r>
      <w:r>
        <w:t xml:space="preserve"> </w:t>
      </w:r>
      <w:r w:rsidRPr="00EF2A90">
        <w:t>ochraně</w:t>
      </w:r>
      <w:r>
        <w:t xml:space="preserve"> </w:t>
      </w:r>
      <w:r w:rsidRPr="00EF2A90">
        <w:t>a</w:t>
      </w:r>
      <w:r>
        <w:t xml:space="preserve"> </w:t>
      </w:r>
      <w:r w:rsidRPr="00EF2A90">
        <w:t>podpoře</w:t>
      </w:r>
      <w:r>
        <w:t xml:space="preserve"> </w:t>
      </w:r>
      <w:r w:rsidRPr="00EF2A90">
        <w:t>veřejného</w:t>
      </w:r>
      <w:r>
        <w:t xml:space="preserve"> </w:t>
      </w:r>
      <w:r w:rsidRPr="00EF2A90">
        <w:t>zdraví</w:t>
      </w:r>
      <w:r>
        <w:t xml:space="preserve"> </w:t>
      </w:r>
      <w:r w:rsidRPr="00EF2A90">
        <w:t>včetně</w:t>
      </w:r>
      <w:r>
        <w:t xml:space="preserve"> </w:t>
      </w:r>
      <w:r w:rsidRPr="00EF2A90">
        <w:t>státního</w:t>
      </w:r>
      <w:r>
        <w:t xml:space="preserve"> </w:t>
      </w:r>
      <w:r w:rsidRPr="00EF2A90">
        <w:t>zdravotního</w:t>
      </w:r>
      <w:r>
        <w:t xml:space="preserve"> </w:t>
      </w:r>
      <w:r w:rsidRPr="00EF2A90">
        <w:t>dozoru,</w:t>
      </w:r>
      <w:r>
        <w:t xml:space="preserve"> </w:t>
      </w:r>
      <w:r w:rsidRPr="00EF2A90">
        <w:t>pokud</w:t>
      </w:r>
      <w:r>
        <w:t xml:space="preserve"> </w:t>
      </w:r>
      <w:r w:rsidRPr="00EF2A90">
        <w:t>není</w:t>
      </w:r>
      <w:r>
        <w:t xml:space="preserve"> </w:t>
      </w:r>
      <w:r w:rsidRPr="00EF2A90">
        <w:t>příslušné</w:t>
      </w:r>
      <w:r>
        <w:t xml:space="preserve"> </w:t>
      </w:r>
      <w:r w:rsidRPr="00EF2A90">
        <w:t>Ministerstvo</w:t>
      </w:r>
      <w:r>
        <w:t xml:space="preserve"> </w:t>
      </w:r>
      <w:r w:rsidRPr="00EF2A90">
        <w:t>zdravotnictví,</w:t>
      </w:r>
    </w:p>
    <w:p w14:paraId="06FDA5C5" w14:textId="1AC452BF" w:rsidR="00965B9F" w:rsidRDefault="00965B9F" w:rsidP="0096635B">
      <w:pPr>
        <w:pStyle w:val="Textparagrafu"/>
        <w:tabs>
          <w:tab w:val="left" w:pos="406"/>
        </w:tabs>
        <w:spacing w:before="0"/>
        <w:ind w:left="426" w:hanging="426"/>
      </w:pPr>
      <w:r w:rsidRPr="00EF2A90">
        <w:t>b)</w:t>
      </w:r>
      <w:r w:rsidR="005C1713">
        <w:tab/>
      </w:r>
      <w:r w:rsidRPr="00EF2A90">
        <w:t>vykonávat</w:t>
      </w:r>
      <w:r>
        <w:t xml:space="preserve"> </w:t>
      </w:r>
      <w:r w:rsidRPr="00EF2A90">
        <w:t>státní</w:t>
      </w:r>
      <w:r>
        <w:t xml:space="preserve"> </w:t>
      </w:r>
      <w:r w:rsidRPr="00EF2A90">
        <w:t>zdravotní</w:t>
      </w:r>
      <w:r>
        <w:t xml:space="preserve"> </w:t>
      </w:r>
      <w:r w:rsidRPr="00EF2A90">
        <w:t>dozor</w:t>
      </w:r>
      <w:r>
        <w:t xml:space="preserve"> </w:t>
      </w:r>
      <w:r w:rsidRPr="00EF2A90">
        <w:t>nad</w:t>
      </w:r>
      <w:r>
        <w:t xml:space="preserve"> </w:t>
      </w:r>
      <w:r w:rsidRPr="00EF2A90">
        <w:t>dodržováním</w:t>
      </w:r>
      <w:r>
        <w:t xml:space="preserve"> </w:t>
      </w:r>
      <w:r w:rsidRPr="00EF2A90">
        <w:t>zákazů</w:t>
      </w:r>
      <w:r>
        <w:t xml:space="preserve"> </w:t>
      </w:r>
      <w:r w:rsidRPr="00EF2A90">
        <w:t>a</w:t>
      </w:r>
      <w:r>
        <w:t xml:space="preserve"> </w:t>
      </w:r>
      <w:r w:rsidRPr="00EF2A90">
        <w:t>plněním</w:t>
      </w:r>
      <w:r>
        <w:t xml:space="preserve"> </w:t>
      </w:r>
      <w:r w:rsidRPr="00EF2A90">
        <w:t>dalších</w:t>
      </w:r>
      <w:r>
        <w:t xml:space="preserve"> </w:t>
      </w:r>
      <w:r w:rsidRPr="00EF2A90">
        <w:t>povinností</w:t>
      </w:r>
      <w:r>
        <w:t xml:space="preserve"> </w:t>
      </w:r>
      <w:r w:rsidRPr="00EF2A90">
        <w:t>stanovených</w:t>
      </w:r>
      <w:r>
        <w:t xml:space="preserve"> </w:t>
      </w:r>
      <w:r w:rsidRPr="00EF2A90">
        <w:t>přímo</w:t>
      </w:r>
      <w:r>
        <w:t xml:space="preserve"> </w:t>
      </w:r>
      <w:r w:rsidRPr="00EF2A90">
        <w:t>použitelnými</w:t>
      </w:r>
      <w:r>
        <w:t xml:space="preserve"> </w:t>
      </w:r>
      <w:r w:rsidRPr="00EF2A90">
        <w:t>předpisy</w:t>
      </w:r>
      <w:r>
        <w:t xml:space="preserve"> </w:t>
      </w:r>
      <w:r w:rsidRPr="00EF2A90">
        <w:t>Evropské</w:t>
      </w:r>
      <w:r>
        <w:t xml:space="preserve"> </w:t>
      </w:r>
      <w:r w:rsidRPr="00EF2A90">
        <w:t>unie,</w:t>
      </w:r>
      <w:r>
        <w:t xml:space="preserve"> </w:t>
      </w:r>
      <w:r w:rsidRPr="00EF2A90">
        <w:t>tímto</w:t>
      </w:r>
      <w:r>
        <w:t xml:space="preserve"> </w:t>
      </w:r>
      <w:r w:rsidRPr="00EF2A90">
        <w:t>zákonem</w:t>
      </w:r>
      <w:r>
        <w:t xml:space="preserve"> </w:t>
      </w:r>
      <w:r w:rsidRPr="00EF2A90">
        <w:t>a</w:t>
      </w:r>
      <w:r>
        <w:t xml:space="preserve"> </w:t>
      </w:r>
      <w:r w:rsidRPr="00EF2A90">
        <w:t>zvláštními</w:t>
      </w:r>
      <w:r>
        <w:t xml:space="preserve"> </w:t>
      </w:r>
      <w:r w:rsidRPr="00EF2A90">
        <w:t>právními</w:t>
      </w:r>
      <w:r>
        <w:t xml:space="preserve"> </w:t>
      </w:r>
      <w:r w:rsidRPr="00EF2A90">
        <w:t>předpisy</w:t>
      </w:r>
      <w:r>
        <w:t xml:space="preserve"> </w:t>
      </w:r>
      <w:r w:rsidRPr="00EF2A90">
        <w:t>k</w:t>
      </w:r>
      <w:r>
        <w:t xml:space="preserve"> </w:t>
      </w:r>
      <w:r w:rsidRPr="00EF2A90">
        <w:t>ochraně</w:t>
      </w:r>
      <w:r>
        <w:t xml:space="preserve"> </w:t>
      </w:r>
      <w:r w:rsidRPr="00EF2A90">
        <w:t>veřejného</w:t>
      </w:r>
      <w:r>
        <w:t xml:space="preserve"> </w:t>
      </w:r>
      <w:r w:rsidRPr="00EF2A90">
        <w:t>zdraví</w:t>
      </w:r>
      <w:r>
        <w:t xml:space="preserve"> </w:t>
      </w:r>
      <w:r w:rsidRPr="00EF2A90">
        <w:t>včetně</w:t>
      </w:r>
      <w:r>
        <w:t xml:space="preserve"> </w:t>
      </w:r>
      <w:r w:rsidRPr="00EF2A90">
        <w:t>dodržování</w:t>
      </w:r>
      <w:r>
        <w:t xml:space="preserve"> </w:t>
      </w:r>
      <w:r w:rsidRPr="00EF2A90">
        <w:t>zásad</w:t>
      </w:r>
      <w:r>
        <w:t xml:space="preserve"> </w:t>
      </w:r>
      <w:r w:rsidRPr="00EF2A90">
        <w:t>správné</w:t>
      </w:r>
      <w:r>
        <w:t xml:space="preserve"> </w:t>
      </w:r>
      <w:r w:rsidRPr="00EF2A90">
        <w:t>výrobní</w:t>
      </w:r>
      <w:r>
        <w:t xml:space="preserve"> </w:t>
      </w:r>
      <w:r w:rsidRPr="00EF2A90">
        <w:t>praxe</w:t>
      </w:r>
      <w:r>
        <w:t xml:space="preserve"> </w:t>
      </w:r>
      <w:r w:rsidRPr="00EF2A90">
        <w:t>a</w:t>
      </w:r>
      <w:r>
        <w:t xml:space="preserve"> </w:t>
      </w:r>
      <w:r w:rsidRPr="00EF2A90">
        <w:t>ochrany</w:t>
      </w:r>
      <w:r>
        <w:t xml:space="preserve"> </w:t>
      </w:r>
      <w:r w:rsidRPr="00EF2A90">
        <w:t>zdraví</w:t>
      </w:r>
      <w:r>
        <w:t xml:space="preserve"> </w:t>
      </w:r>
      <w:r w:rsidRPr="00EF2A90">
        <w:t>při</w:t>
      </w:r>
      <w:r>
        <w:t xml:space="preserve"> </w:t>
      </w:r>
      <w:r w:rsidRPr="00EF2A90">
        <w:t>práci</w:t>
      </w:r>
      <w:r>
        <w:t xml:space="preserve"> </w:t>
      </w:r>
      <w:r w:rsidRPr="00EF2A90">
        <w:t>před</w:t>
      </w:r>
      <w:r>
        <w:t xml:space="preserve"> </w:t>
      </w:r>
      <w:r w:rsidRPr="00EF2A90">
        <w:t>riziky</w:t>
      </w:r>
      <w:r>
        <w:t xml:space="preserve"> </w:t>
      </w:r>
      <w:r w:rsidRPr="00EF2A90">
        <w:t>plynoucími</w:t>
      </w:r>
      <w:r>
        <w:t xml:space="preserve"> </w:t>
      </w:r>
      <w:r w:rsidRPr="00EF2A90">
        <w:t>z</w:t>
      </w:r>
      <w:r>
        <w:t xml:space="preserve"> </w:t>
      </w:r>
      <w:r w:rsidRPr="00EF2A90">
        <w:t>fyzikálních,</w:t>
      </w:r>
      <w:r>
        <w:t xml:space="preserve"> </w:t>
      </w:r>
      <w:r w:rsidRPr="00EF2A90">
        <w:t>chemických</w:t>
      </w:r>
      <w:r>
        <w:t xml:space="preserve"> </w:t>
      </w:r>
      <w:r w:rsidRPr="00EF2A90">
        <w:t>a</w:t>
      </w:r>
      <w:r>
        <w:t xml:space="preserve"> </w:t>
      </w:r>
      <w:r w:rsidRPr="00EF2A90">
        <w:t>biologických</w:t>
      </w:r>
      <w:r>
        <w:t xml:space="preserve"> </w:t>
      </w:r>
      <w:r w:rsidRPr="00EF2A90">
        <w:t>faktorů</w:t>
      </w:r>
      <w:r>
        <w:t xml:space="preserve"> </w:t>
      </w:r>
      <w:r w:rsidRPr="00EF2A90">
        <w:t>pracovních</w:t>
      </w:r>
      <w:r>
        <w:t xml:space="preserve"> </w:t>
      </w:r>
      <w:r w:rsidRPr="00EF2A90">
        <w:t>podmínek,</w:t>
      </w:r>
      <w:r>
        <w:t xml:space="preserve"> </w:t>
      </w:r>
      <w:r w:rsidRPr="00EF2A90">
        <w:t>z</w:t>
      </w:r>
      <w:r>
        <w:t xml:space="preserve"> </w:t>
      </w:r>
      <w:r w:rsidRPr="00EF2A90">
        <w:t>nepříznivých</w:t>
      </w:r>
      <w:r>
        <w:t xml:space="preserve"> </w:t>
      </w:r>
      <w:r w:rsidRPr="00EF2A90">
        <w:t>mikroklimatických</w:t>
      </w:r>
      <w:r>
        <w:t xml:space="preserve"> </w:t>
      </w:r>
      <w:r w:rsidRPr="00EF2A90">
        <w:t>podmínek</w:t>
      </w:r>
      <w:r>
        <w:t xml:space="preserve"> </w:t>
      </w:r>
      <w:r w:rsidRPr="00EF2A90">
        <w:t>a</w:t>
      </w:r>
      <w:r>
        <w:t xml:space="preserve"> </w:t>
      </w:r>
      <w:r w:rsidRPr="00EF2A90">
        <w:t>z</w:t>
      </w:r>
      <w:r>
        <w:t xml:space="preserve"> </w:t>
      </w:r>
      <w:r w:rsidRPr="00EF2A90">
        <w:t>fyzické</w:t>
      </w:r>
      <w:r>
        <w:t xml:space="preserve"> </w:t>
      </w:r>
      <w:r w:rsidRPr="00EF2A90">
        <w:t>a</w:t>
      </w:r>
      <w:r>
        <w:t xml:space="preserve"> </w:t>
      </w:r>
      <w:r w:rsidRPr="00EF2A90">
        <w:t>duševní</w:t>
      </w:r>
      <w:r>
        <w:t xml:space="preserve"> </w:t>
      </w:r>
      <w:r w:rsidRPr="00EF2A90">
        <w:t>zátěže</w:t>
      </w:r>
      <w:r>
        <w:t xml:space="preserve"> </w:t>
      </w:r>
      <w:r w:rsidRPr="00EF2A90">
        <w:t>a</w:t>
      </w:r>
      <w:r>
        <w:t xml:space="preserve"> </w:t>
      </w:r>
      <w:r w:rsidRPr="00EF2A90">
        <w:t>nad</w:t>
      </w:r>
      <w:r>
        <w:t xml:space="preserve"> </w:t>
      </w:r>
      <w:r w:rsidRPr="00EF2A90">
        <w:t>souvisejícími</w:t>
      </w:r>
      <w:r>
        <w:t xml:space="preserve"> </w:t>
      </w:r>
      <w:r w:rsidRPr="00EF2A90">
        <w:t>pracovními</w:t>
      </w:r>
      <w:r>
        <w:t xml:space="preserve"> </w:t>
      </w:r>
      <w:r w:rsidRPr="00EF2A90">
        <w:t>podmínkami</w:t>
      </w:r>
      <w:r>
        <w:t xml:space="preserve"> </w:t>
      </w:r>
      <w:r w:rsidRPr="00EF2A90">
        <w:t>včetně</w:t>
      </w:r>
      <w:r>
        <w:t xml:space="preserve"> </w:t>
      </w:r>
      <w:r w:rsidRPr="00EF2A90">
        <w:t>vybavení</w:t>
      </w:r>
      <w:r>
        <w:t xml:space="preserve"> </w:t>
      </w:r>
      <w:r w:rsidRPr="00EF2A90">
        <w:t>pracovišť,</w:t>
      </w:r>
      <w:r>
        <w:t xml:space="preserve"> </w:t>
      </w:r>
      <w:r w:rsidRPr="00EF2A90">
        <w:t>a</w:t>
      </w:r>
      <w:r>
        <w:t xml:space="preserve"> </w:t>
      </w:r>
      <w:r w:rsidRPr="00EF2A90">
        <w:t>rozhodnutím</w:t>
      </w:r>
      <w:r>
        <w:t xml:space="preserve"> </w:t>
      </w:r>
      <w:r w:rsidRPr="00EF2A90">
        <w:t>nebo</w:t>
      </w:r>
      <w:r>
        <w:t xml:space="preserve"> </w:t>
      </w:r>
      <w:r w:rsidRPr="00EF2A90">
        <w:t>opatřením</w:t>
      </w:r>
      <w:r>
        <w:t xml:space="preserve"> </w:t>
      </w:r>
      <w:r w:rsidRPr="00EF2A90">
        <w:t>orgánu</w:t>
      </w:r>
      <w:r>
        <w:t xml:space="preserve"> </w:t>
      </w:r>
      <w:r w:rsidRPr="00EF2A90">
        <w:t>ochrany</w:t>
      </w:r>
      <w:r>
        <w:t xml:space="preserve"> </w:t>
      </w:r>
      <w:r w:rsidRPr="00EF2A90">
        <w:t>veřejného</w:t>
      </w:r>
      <w:r>
        <w:t xml:space="preserve"> </w:t>
      </w:r>
      <w:r w:rsidRPr="00EF2A90">
        <w:t>zdraví</w:t>
      </w:r>
      <w:r>
        <w:t xml:space="preserve"> </w:t>
      </w:r>
      <w:r w:rsidRPr="00EF2A90">
        <w:t>vydaným</w:t>
      </w:r>
      <w:r>
        <w:t xml:space="preserve"> </w:t>
      </w:r>
      <w:r w:rsidRPr="00EF2A90">
        <w:t>na</w:t>
      </w:r>
      <w:r>
        <w:t xml:space="preserve"> </w:t>
      </w:r>
      <w:r w:rsidRPr="00EF2A90">
        <w:t>základě</w:t>
      </w:r>
      <w:r>
        <w:t xml:space="preserve"> </w:t>
      </w:r>
      <w:r w:rsidRPr="00EF2A90">
        <w:t>těchto</w:t>
      </w:r>
      <w:r>
        <w:t xml:space="preserve"> </w:t>
      </w:r>
      <w:r w:rsidRPr="00EF2A90">
        <w:t>právních</w:t>
      </w:r>
      <w:r>
        <w:t xml:space="preserve"> </w:t>
      </w:r>
      <w:r w:rsidRPr="00EF2A90">
        <w:t>předpisů,</w:t>
      </w:r>
    </w:p>
    <w:p w14:paraId="4BCD203A" w14:textId="3FD70744" w:rsidR="00965B9F" w:rsidRDefault="00965B9F" w:rsidP="0096635B">
      <w:pPr>
        <w:pStyle w:val="Textparagrafu"/>
        <w:tabs>
          <w:tab w:val="left" w:pos="406"/>
        </w:tabs>
        <w:spacing w:before="0"/>
        <w:ind w:left="426" w:hanging="426"/>
      </w:pPr>
      <w:r w:rsidRPr="00EF2A90">
        <w:t>c)</w:t>
      </w:r>
      <w:r w:rsidR="005C1713">
        <w:tab/>
      </w:r>
      <w:r w:rsidRPr="00EF2A90">
        <w:t>rozhodovat</w:t>
      </w:r>
      <w:r>
        <w:t xml:space="preserve"> </w:t>
      </w:r>
      <w:r w:rsidRPr="00EF2A90">
        <w:t>na</w:t>
      </w:r>
      <w:r>
        <w:t xml:space="preserve"> </w:t>
      </w:r>
      <w:r w:rsidRPr="00EF2A90">
        <w:t>žádost</w:t>
      </w:r>
      <w:r>
        <w:t xml:space="preserve"> </w:t>
      </w:r>
      <w:r w:rsidRPr="00EF2A90">
        <w:t>zaměstnavatele</w:t>
      </w:r>
      <w:r>
        <w:t xml:space="preserve"> </w:t>
      </w:r>
      <w:r w:rsidRPr="00EF2A90">
        <w:t>nebo</w:t>
      </w:r>
      <w:r>
        <w:t xml:space="preserve"> </w:t>
      </w:r>
      <w:r w:rsidRPr="00EF2A90">
        <w:t>z</w:t>
      </w:r>
      <w:r>
        <w:t xml:space="preserve"> </w:t>
      </w:r>
      <w:r w:rsidRPr="00EF2A90">
        <w:t>moci</w:t>
      </w:r>
      <w:r>
        <w:t xml:space="preserve"> </w:t>
      </w:r>
      <w:r w:rsidRPr="00EF2A90">
        <w:t>úřední</w:t>
      </w:r>
      <w:r>
        <w:t xml:space="preserve"> </w:t>
      </w:r>
      <w:r w:rsidRPr="00EF2A90">
        <w:t>ve</w:t>
      </w:r>
      <w:r>
        <w:t xml:space="preserve"> </w:t>
      </w:r>
      <w:r w:rsidRPr="00EF2A90">
        <w:t>věcech</w:t>
      </w:r>
      <w:r>
        <w:t xml:space="preserve"> </w:t>
      </w:r>
      <w:r w:rsidRPr="00EF2A90">
        <w:t>kategorizace</w:t>
      </w:r>
      <w:r>
        <w:t xml:space="preserve"> </w:t>
      </w:r>
      <w:r w:rsidRPr="00EF2A90">
        <w:t>prací,</w:t>
      </w:r>
    </w:p>
    <w:p w14:paraId="175A2A9D" w14:textId="75DC5419" w:rsidR="00965B9F" w:rsidRDefault="00965B9F" w:rsidP="0096635B">
      <w:pPr>
        <w:pStyle w:val="Textparagrafu"/>
        <w:tabs>
          <w:tab w:val="left" w:pos="406"/>
        </w:tabs>
        <w:spacing w:before="0"/>
        <w:ind w:left="426" w:hanging="426"/>
      </w:pPr>
      <w:r w:rsidRPr="00EF2A90">
        <w:t>d)</w:t>
      </w:r>
      <w:r w:rsidR="005C1713">
        <w:tab/>
      </w:r>
      <w:r w:rsidRPr="00EF2A90">
        <w:t>stanovit</w:t>
      </w:r>
      <w:r>
        <w:t xml:space="preserve"> </w:t>
      </w:r>
      <w:r w:rsidRPr="00EF2A90">
        <w:t>za</w:t>
      </w:r>
      <w:r>
        <w:t xml:space="preserve"> </w:t>
      </w:r>
      <w:r w:rsidRPr="00EF2A90">
        <w:t>podmínek</w:t>
      </w:r>
      <w:r>
        <w:t xml:space="preserve"> </w:t>
      </w:r>
      <w:r w:rsidRPr="00EF2A90">
        <w:t>§</w:t>
      </w:r>
      <w:r>
        <w:t xml:space="preserve"> </w:t>
      </w:r>
      <w:r w:rsidRPr="00EF2A90">
        <w:t>37</w:t>
      </w:r>
      <w:r>
        <w:t xml:space="preserve"> </w:t>
      </w:r>
      <w:r w:rsidRPr="00EF2A90">
        <w:t>a</w:t>
      </w:r>
      <w:r>
        <w:t xml:space="preserve"> </w:t>
      </w:r>
      <w:r w:rsidRPr="00EF2A90">
        <w:t>§</w:t>
      </w:r>
      <w:r>
        <w:t xml:space="preserve"> </w:t>
      </w:r>
      <w:r w:rsidRPr="00EF2A90">
        <w:t>39</w:t>
      </w:r>
      <w:r>
        <w:t xml:space="preserve"> </w:t>
      </w:r>
      <w:r w:rsidRPr="00EF2A90">
        <w:t>rizikové</w:t>
      </w:r>
      <w:r>
        <w:t xml:space="preserve"> </w:t>
      </w:r>
      <w:r w:rsidRPr="00EF2A90">
        <w:t>práce</w:t>
      </w:r>
      <w:r>
        <w:t xml:space="preserve"> </w:t>
      </w:r>
      <w:r w:rsidRPr="00EF2A90">
        <w:t>a</w:t>
      </w:r>
      <w:r>
        <w:t xml:space="preserve"> </w:t>
      </w:r>
      <w:r w:rsidRPr="00EF2A90">
        <w:t>plnit</w:t>
      </w:r>
      <w:r>
        <w:t xml:space="preserve"> </w:t>
      </w:r>
      <w:r w:rsidRPr="00EF2A90">
        <w:t>úkoly</w:t>
      </w:r>
      <w:r>
        <w:t xml:space="preserve"> </w:t>
      </w:r>
      <w:r w:rsidRPr="00EF2A90">
        <w:t>podle</w:t>
      </w:r>
      <w:r>
        <w:t xml:space="preserve"> </w:t>
      </w:r>
      <w:r w:rsidRPr="00EF2A90">
        <w:t>§</w:t>
      </w:r>
      <w:r>
        <w:t xml:space="preserve"> </w:t>
      </w:r>
      <w:r w:rsidRPr="00EF2A90">
        <w:t>40</w:t>
      </w:r>
      <w:r>
        <w:t xml:space="preserve"> </w:t>
      </w:r>
      <w:r w:rsidRPr="00EF2A90">
        <w:t>písm.</w:t>
      </w:r>
      <w:r>
        <w:t xml:space="preserve"> </w:t>
      </w:r>
      <w:r w:rsidRPr="00EF2A90">
        <w:t>c)</w:t>
      </w:r>
      <w:r>
        <w:t xml:space="preserve"> </w:t>
      </w:r>
      <w:r w:rsidRPr="00EF2A90">
        <w:t>a</w:t>
      </w:r>
      <w:r>
        <w:t xml:space="preserve"> </w:t>
      </w:r>
      <w:r w:rsidRPr="00EF2A90">
        <w:t>d),</w:t>
      </w:r>
    </w:p>
    <w:p w14:paraId="79217ED5" w14:textId="4AFC6B1D" w:rsidR="00965B9F" w:rsidRDefault="00965B9F" w:rsidP="0096635B">
      <w:pPr>
        <w:pStyle w:val="Textparagrafu"/>
        <w:tabs>
          <w:tab w:val="left" w:pos="406"/>
        </w:tabs>
        <w:spacing w:before="0"/>
        <w:ind w:left="426" w:hanging="426"/>
      </w:pPr>
      <w:r w:rsidRPr="00EF2A90">
        <w:t>e)</w:t>
      </w:r>
      <w:r w:rsidR="005C1713">
        <w:tab/>
      </w:r>
      <w:r w:rsidRPr="00EF2A90">
        <w:t>stanovit</w:t>
      </w:r>
      <w:r>
        <w:t xml:space="preserve"> </w:t>
      </w:r>
      <w:r w:rsidRPr="00EF2A90">
        <w:t>zaměstnavateli</w:t>
      </w:r>
      <w:r>
        <w:t xml:space="preserve"> </w:t>
      </w:r>
      <w:r w:rsidRPr="00EF2A90">
        <w:t>lékařské</w:t>
      </w:r>
      <w:r>
        <w:t xml:space="preserve"> </w:t>
      </w:r>
      <w:r w:rsidRPr="00EF2A90">
        <w:t>prohlídky</w:t>
      </w:r>
      <w:r>
        <w:t xml:space="preserve"> </w:t>
      </w:r>
      <w:r w:rsidRPr="00EF2A90">
        <w:t>po</w:t>
      </w:r>
      <w:r>
        <w:t xml:space="preserve"> </w:t>
      </w:r>
      <w:r w:rsidRPr="00EF2A90">
        <w:t>skončení</w:t>
      </w:r>
      <w:r>
        <w:t xml:space="preserve"> </w:t>
      </w:r>
      <w:r w:rsidRPr="00EF2A90">
        <w:t>rizikové</w:t>
      </w:r>
      <w:r>
        <w:t xml:space="preserve"> </w:t>
      </w:r>
      <w:r w:rsidRPr="00EF2A90">
        <w:t>práce</w:t>
      </w:r>
      <w:r>
        <w:t xml:space="preserve"> </w:t>
      </w:r>
      <w:r w:rsidRPr="00EF2A90">
        <w:t>vykonávané</w:t>
      </w:r>
      <w:r>
        <w:t xml:space="preserve"> </w:t>
      </w:r>
      <w:r w:rsidRPr="00EF2A90">
        <w:t>na</w:t>
      </w:r>
      <w:r>
        <w:t xml:space="preserve"> </w:t>
      </w:r>
      <w:r w:rsidRPr="00EF2A90">
        <w:t>jeho</w:t>
      </w:r>
      <w:r>
        <w:t xml:space="preserve"> </w:t>
      </w:r>
      <w:r w:rsidRPr="00EF2A90">
        <w:t>pracovišti,</w:t>
      </w:r>
      <w:r>
        <w:t xml:space="preserve"> </w:t>
      </w:r>
      <w:r w:rsidRPr="00EF2A90">
        <w:t>jde-li</w:t>
      </w:r>
      <w:r>
        <w:t xml:space="preserve"> </w:t>
      </w:r>
      <w:r w:rsidRPr="00EF2A90">
        <w:t>o</w:t>
      </w:r>
      <w:r>
        <w:t xml:space="preserve"> </w:t>
      </w:r>
      <w:r w:rsidRPr="00EF2A90">
        <w:t>takové</w:t>
      </w:r>
      <w:r>
        <w:t xml:space="preserve"> </w:t>
      </w:r>
      <w:r w:rsidRPr="00EF2A90">
        <w:t>vlivy</w:t>
      </w:r>
      <w:r>
        <w:t xml:space="preserve"> </w:t>
      </w:r>
      <w:r w:rsidRPr="00EF2A90">
        <w:t>pracovních</w:t>
      </w:r>
      <w:r>
        <w:t xml:space="preserve"> </w:t>
      </w:r>
      <w:r w:rsidRPr="00EF2A90">
        <w:t>podmínek,</w:t>
      </w:r>
      <w:r>
        <w:t xml:space="preserve"> </w:t>
      </w:r>
      <w:r w:rsidRPr="00EF2A90">
        <w:t>které</w:t>
      </w:r>
      <w:r>
        <w:t xml:space="preserve"> </w:t>
      </w:r>
      <w:r w:rsidRPr="00EF2A90">
        <w:t>se</w:t>
      </w:r>
      <w:r>
        <w:t xml:space="preserve"> </w:t>
      </w:r>
      <w:r w:rsidRPr="00EF2A90">
        <w:t>mohou</w:t>
      </w:r>
      <w:r>
        <w:t xml:space="preserve"> </w:t>
      </w:r>
      <w:r w:rsidRPr="00EF2A90">
        <w:t>nepříznivě</w:t>
      </w:r>
      <w:r>
        <w:t xml:space="preserve"> </w:t>
      </w:r>
      <w:r w:rsidRPr="00EF2A90">
        <w:t>projevit</w:t>
      </w:r>
      <w:r>
        <w:t xml:space="preserve"> </w:t>
      </w:r>
      <w:r w:rsidRPr="00EF2A90">
        <w:t>i</w:t>
      </w:r>
      <w:r>
        <w:t xml:space="preserve"> </w:t>
      </w:r>
      <w:r w:rsidRPr="00EF2A90">
        <w:t>po</w:t>
      </w:r>
      <w:r>
        <w:t xml:space="preserve"> </w:t>
      </w:r>
      <w:r w:rsidRPr="00EF2A90">
        <w:t>delší</w:t>
      </w:r>
      <w:r>
        <w:t xml:space="preserve"> </w:t>
      </w:r>
      <w:r w:rsidRPr="00EF2A90">
        <w:t>době</w:t>
      </w:r>
      <w:r>
        <w:t xml:space="preserve"> </w:t>
      </w:r>
      <w:r w:rsidRPr="00EF2A90">
        <w:t>(dále</w:t>
      </w:r>
      <w:r>
        <w:t xml:space="preserve"> </w:t>
      </w:r>
      <w:r w:rsidRPr="00EF2A90">
        <w:t>jen</w:t>
      </w:r>
      <w:r>
        <w:t xml:space="preserve"> </w:t>
      </w:r>
      <w:r w:rsidRPr="00EF2A90">
        <w:t>„následné</w:t>
      </w:r>
      <w:r>
        <w:t xml:space="preserve"> </w:t>
      </w:r>
      <w:r w:rsidRPr="00EF2A90">
        <w:t>lékařské</w:t>
      </w:r>
      <w:r>
        <w:t xml:space="preserve"> </w:t>
      </w:r>
      <w:r w:rsidRPr="00EF2A90">
        <w:t>prohlídky“);</w:t>
      </w:r>
      <w:r>
        <w:t xml:space="preserve"> </w:t>
      </w:r>
      <w:r w:rsidRPr="00EF2A90">
        <w:t>následné</w:t>
      </w:r>
      <w:r>
        <w:t xml:space="preserve"> </w:t>
      </w:r>
      <w:r w:rsidRPr="00EF2A90">
        <w:t>lékařské</w:t>
      </w:r>
      <w:r>
        <w:t xml:space="preserve"> </w:t>
      </w:r>
      <w:r w:rsidRPr="00EF2A90">
        <w:t>prohlídky</w:t>
      </w:r>
      <w:r>
        <w:t xml:space="preserve"> </w:t>
      </w:r>
      <w:r w:rsidRPr="00EF2A90">
        <w:t>pracovníků</w:t>
      </w:r>
      <w:r>
        <w:t xml:space="preserve"> </w:t>
      </w:r>
      <w:r w:rsidRPr="00EF2A90">
        <w:t>se</w:t>
      </w:r>
      <w:r>
        <w:t xml:space="preserve"> </w:t>
      </w:r>
      <w:r w:rsidRPr="00EF2A90">
        <w:t>zdroji</w:t>
      </w:r>
      <w:r>
        <w:t xml:space="preserve"> </w:t>
      </w:r>
      <w:r w:rsidRPr="00EF2A90">
        <w:t>ionizujícího</w:t>
      </w:r>
      <w:r>
        <w:t xml:space="preserve"> </w:t>
      </w:r>
      <w:r w:rsidRPr="00EF2A90">
        <w:t>záření</w:t>
      </w:r>
      <w:r>
        <w:t xml:space="preserve"> </w:t>
      </w:r>
      <w:r w:rsidRPr="00EF2A90">
        <w:t>kategorie</w:t>
      </w:r>
      <w:r>
        <w:t xml:space="preserve"> </w:t>
      </w:r>
      <w:r w:rsidRPr="00EF2A90">
        <w:t>A</w:t>
      </w:r>
      <w:r>
        <w:t xml:space="preserve"> </w:t>
      </w:r>
      <w:r w:rsidRPr="00EF2A90">
        <w:t>stanoví</w:t>
      </w:r>
      <w:r>
        <w:t xml:space="preserve"> </w:t>
      </w:r>
      <w:r w:rsidRPr="00EF2A90">
        <w:t>za</w:t>
      </w:r>
      <w:r>
        <w:t xml:space="preserve"> </w:t>
      </w:r>
      <w:r w:rsidRPr="00EF2A90">
        <w:t>podmínek</w:t>
      </w:r>
      <w:r>
        <w:t xml:space="preserve"> </w:t>
      </w:r>
      <w:r w:rsidRPr="00EF2A90">
        <w:t>stanovených</w:t>
      </w:r>
      <w:r>
        <w:t xml:space="preserve"> </w:t>
      </w:r>
      <w:r w:rsidRPr="00EF2A90">
        <w:t>zvláštním</w:t>
      </w:r>
      <w:r>
        <w:t xml:space="preserve"> </w:t>
      </w:r>
      <w:r w:rsidRPr="00EF2A90">
        <w:t>právním</w:t>
      </w:r>
      <w:r>
        <w:t xml:space="preserve"> </w:t>
      </w:r>
      <w:r w:rsidRPr="00EF2A90">
        <w:t>předpisem</w:t>
      </w:r>
      <w:r w:rsidR="00185222">
        <w:rPr>
          <w:rStyle w:val="Znakapoznpodarou"/>
        </w:rPr>
        <w:footnoteReference w:customMarkFollows="1" w:id="375"/>
        <w:t>33a)</w:t>
      </w:r>
      <w:r w:rsidRPr="00EF2A90">
        <w:t>,</w:t>
      </w:r>
    </w:p>
    <w:p w14:paraId="150B9B41" w14:textId="0DECC1F0" w:rsidR="00965B9F" w:rsidRDefault="00965B9F" w:rsidP="0096635B">
      <w:pPr>
        <w:pStyle w:val="Textparagrafu"/>
        <w:tabs>
          <w:tab w:val="left" w:pos="406"/>
        </w:tabs>
        <w:spacing w:before="0"/>
        <w:ind w:left="426" w:hanging="426"/>
      </w:pPr>
      <w:r w:rsidRPr="00EF2A90">
        <w:t>f)</w:t>
      </w:r>
      <w:r w:rsidR="005C1713">
        <w:tab/>
      </w:r>
      <w:r w:rsidRPr="00EF2A90">
        <w:t>stanovit</w:t>
      </w:r>
      <w:r>
        <w:t xml:space="preserve"> </w:t>
      </w:r>
      <w:r w:rsidRPr="00EF2A90">
        <w:t>zaměstnavateli</w:t>
      </w:r>
      <w:r>
        <w:t xml:space="preserve"> </w:t>
      </w:r>
      <w:r w:rsidRPr="00EF2A90">
        <w:t>nebo</w:t>
      </w:r>
      <w:r>
        <w:t xml:space="preserve"> </w:t>
      </w:r>
      <w:r w:rsidRPr="00EF2A90">
        <w:t>fyzické</w:t>
      </w:r>
      <w:r>
        <w:t xml:space="preserve"> </w:t>
      </w:r>
      <w:r w:rsidRPr="00EF2A90">
        <w:t>osobě</w:t>
      </w:r>
      <w:r>
        <w:t xml:space="preserve"> </w:t>
      </w:r>
      <w:r w:rsidRPr="00EF2A90">
        <w:t>provádějící</w:t>
      </w:r>
      <w:r>
        <w:t xml:space="preserve"> </w:t>
      </w:r>
      <w:r w:rsidRPr="00EF2A90">
        <w:t>činnost</w:t>
      </w:r>
      <w:r>
        <w:t xml:space="preserve"> </w:t>
      </w:r>
      <w:r w:rsidRPr="00EF2A90">
        <w:t>nebo</w:t>
      </w:r>
      <w:r>
        <w:t xml:space="preserve"> </w:t>
      </w:r>
      <w:r w:rsidRPr="00EF2A90">
        <w:t>poskytující</w:t>
      </w:r>
      <w:r>
        <w:t xml:space="preserve"> </w:t>
      </w:r>
      <w:r w:rsidRPr="00EF2A90">
        <w:t>služby</w:t>
      </w:r>
      <w:r>
        <w:t xml:space="preserve"> </w:t>
      </w:r>
      <w:r w:rsidRPr="00EF2A90">
        <w:t>mimo</w:t>
      </w:r>
      <w:r>
        <w:t xml:space="preserve"> </w:t>
      </w:r>
      <w:r w:rsidRPr="00EF2A90">
        <w:t>pracovněprávní</w:t>
      </w:r>
      <w:r>
        <w:t xml:space="preserve"> </w:t>
      </w:r>
      <w:r w:rsidR="00185222">
        <w:t>vztahy</w:t>
      </w:r>
      <w:r w:rsidR="00185222">
        <w:rPr>
          <w:rStyle w:val="Znakapoznpodarou"/>
        </w:rPr>
        <w:footnoteReference w:customMarkFollows="1" w:id="376"/>
        <w:t>84)</w:t>
      </w:r>
      <w:r>
        <w:t xml:space="preserve"> </w:t>
      </w:r>
      <w:r w:rsidRPr="00EF2A90">
        <w:t>způsob</w:t>
      </w:r>
      <w:r>
        <w:t xml:space="preserve"> </w:t>
      </w:r>
      <w:r w:rsidRPr="00EF2A90">
        <w:t>a</w:t>
      </w:r>
      <w:r>
        <w:t xml:space="preserve"> </w:t>
      </w:r>
      <w:r w:rsidRPr="00EF2A90">
        <w:t>minimální</w:t>
      </w:r>
      <w:r>
        <w:t xml:space="preserve"> </w:t>
      </w:r>
      <w:r w:rsidRPr="00EF2A90">
        <w:t>četnost</w:t>
      </w:r>
      <w:r>
        <w:t xml:space="preserve"> </w:t>
      </w:r>
      <w:r w:rsidRPr="00EF2A90">
        <w:t>sledování</w:t>
      </w:r>
      <w:r>
        <w:t xml:space="preserve"> </w:t>
      </w:r>
      <w:r w:rsidRPr="00EF2A90">
        <w:t>zátěže</w:t>
      </w:r>
      <w:r>
        <w:t xml:space="preserve"> </w:t>
      </w:r>
      <w:r w:rsidRPr="00EF2A90">
        <w:t>organismu</w:t>
      </w:r>
      <w:r>
        <w:t xml:space="preserve"> </w:t>
      </w:r>
      <w:r w:rsidRPr="00EF2A90">
        <w:t>faktory</w:t>
      </w:r>
      <w:r>
        <w:t xml:space="preserve"> </w:t>
      </w:r>
      <w:r w:rsidRPr="00EF2A90">
        <w:t>pracovních</w:t>
      </w:r>
      <w:r>
        <w:t xml:space="preserve"> </w:t>
      </w:r>
      <w:r w:rsidRPr="00EF2A90">
        <w:t>podmínek,</w:t>
      </w:r>
      <w:r>
        <w:t xml:space="preserve"> </w:t>
      </w:r>
      <w:r w:rsidRPr="00EF2A90">
        <w:t>pokud</w:t>
      </w:r>
      <w:r>
        <w:t xml:space="preserve"> </w:t>
      </w:r>
      <w:r w:rsidRPr="00EF2A90">
        <w:t>je</w:t>
      </w:r>
      <w:r>
        <w:t xml:space="preserve"> </w:t>
      </w:r>
      <w:r w:rsidRPr="00EF2A90">
        <w:t>nestanoví</w:t>
      </w:r>
      <w:r>
        <w:t xml:space="preserve"> </w:t>
      </w:r>
      <w:r w:rsidRPr="00EF2A90">
        <w:t>zvláštní</w:t>
      </w:r>
      <w:r>
        <w:t xml:space="preserve"> </w:t>
      </w:r>
      <w:r w:rsidRPr="00EF2A90">
        <w:t>právní</w:t>
      </w:r>
      <w:r>
        <w:t xml:space="preserve"> </w:t>
      </w:r>
      <w:r w:rsidRPr="00EF2A90">
        <w:t>předpis,</w:t>
      </w:r>
    </w:p>
    <w:p w14:paraId="794FD969" w14:textId="6F39A1DD" w:rsidR="00965B9F" w:rsidRDefault="00965B9F" w:rsidP="0096635B">
      <w:pPr>
        <w:pStyle w:val="Textparagrafu"/>
        <w:tabs>
          <w:tab w:val="left" w:pos="406"/>
        </w:tabs>
        <w:spacing w:before="0"/>
        <w:ind w:left="426" w:hanging="426"/>
      </w:pPr>
      <w:r w:rsidRPr="00EF2A90">
        <w:lastRenderedPageBreak/>
        <w:t>g)</w:t>
      </w:r>
      <w:r w:rsidR="005C1713">
        <w:tab/>
      </w:r>
      <w:r w:rsidRPr="00EF2A90">
        <w:t>provádět</w:t>
      </w:r>
      <w:r>
        <w:t xml:space="preserve"> </w:t>
      </w:r>
      <w:r w:rsidRPr="00EF2A90">
        <w:t>ověření</w:t>
      </w:r>
      <w:r>
        <w:t xml:space="preserve"> </w:t>
      </w:r>
      <w:r w:rsidRPr="00EF2A90">
        <w:t>podmínek</w:t>
      </w:r>
      <w:r>
        <w:t xml:space="preserve"> </w:t>
      </w:r>
      <w:r w:rsidRPr="00EF2A90">
        <w:t>vzniku</w:t>
      </w:r>
      <w:r>
        <w:t xml:space="preserve"> </w:t>
      </w:r>
      <w:r w:rsidRPr="00EF2A90">
        <w:t>onemocnění</w:t>
      </w:r>
      <w:r>
        <w:t xml:space="preserve"> </w:t>
      </w:r>
      <w:r w:rsidRPr="00EF2A90">
        <w:t>pro</w:t>
      </w:r>
      <w:r>
        <w:t xml:space="preserve"> </w:t>
      </w:r>
      <w:r w:rsidRPr="00EF2A90">
        <w:t>účely</w:t>
      </w:r>
      <w:r>
        <w:t xml:space="preserve"> </w:t>
      </w:r>
      <w:r w:rsidRPr="00EF2A90">
        <w:t>posuzování</w:t>
      </w:r>
      <w:r>
        <w:t xml:space="preserve"> </w:t>
      </w:r>
      <w:r w:rsidRPr="00EF2A90">
        <w:t>nemocí</w:t>
      </w:r>
      <w:r>
        <w:t xml:space="preserve"> </w:t>
      </w:r>
      <w:r w:rsidRPr="00EF2A90">
        <w:t>z</w:t>
      </w:r>
      <w:r>
        <w:t xml:space="preserve"> </w:t>
      </w:r>
      <w:r w:rsidRPr="00EF2A90">
        <w:t>povolání,</w:t>
      </w:r>
      <w:r w:rsidR="00185222">
        <w:rPr>
          <w:rStyle w:val="Znakapoznpodarou"/>
        </w:rPr>
        <w:footnoteReference w:customMarkFollows="1" w:id="377"/>
        <w:t>45)</w:t>
      </w:r>
      <w:r>
        <w:t xml:space="preserve"> </w:t>
      </w:r>
      <w:r w:rsidRPr="00EF2A90">
        <w:t>nebo</w:t>
      </w:r>
      <w:r>
        <w:t xml:space="preserve"> </w:t>
      </w:r>
      <w:r w:rsidRPr="00EF2A90">
        <w:t>změn</w:t>
      </w:r>
      <w:r>
        <w:t xml:space="preserve"> </w:t>
      </w:r>
      <w:r w:rsidRPr="00EF2A90">
        <w:t>zdravotního</w:t>
      </w:r>
      <w:r>
        <w:t xml:space="preserve"> </w:t>
      </w:r>
      <w:r w:rsidRPr="00EF2A90">
        <w:t>stavu</w:t>
      </w:r>
      <w:r>
        <w:t xml:space="preserve"> </w:t>
      </w:r>
      <w:r w:rsidRPr="00EF2A90">
        <w:t>pro</w:t>
      </w:r>
      <w:r>
        <w:t xml:space="preserve"> </w:t>
      </w:r>
      <w:r w:rsidRPr="00EF2A90">
        <w:t>účely</w:t>
      </w:r>
      <w:r>
        <w:t xml:space="preserve"> </w:t>
      </w:r>
      <w:r w:rsidRPr="00EF2A90">
        <w:t>posuzování</w:t>
      </w:r>
      <w:r>
        <w:t xml:space="preserve"> </w:t>
      </w:r>
      <w:r w:rsidRPr="00EF2A90">
        <w:t>ohrožení</w:t>
      </w:r>
      <w:r>
        <w:t xml:space="preserve"> </w:t>
      </w:r>
      <w:r w:rsidRPr="00EF2A90">
        <w:t>nemocí</w:t>
      </w:r>
      <w:r>
        <w:t xml:space="preserve"> </w:t>
      </w:r>
      <w:r w:rsidRPr="00EF2A90">
        <w:t>z</w:t>
      </w:r>
      <w:r>
        <w:t xml:space="preserve"> </w:t>
      </w:r>
      <w:r w:rsidRPr="00EF2A90">
        <w:t>povolání</w:t>
      </w:r>
    </w:p>
    <w:p w14:paraId="07549852" w14:textId="51E9C229" w:rsidR="00965B9F" w:rsidRDefault="00965B9F" w:rsidP="0096635B">
      <w:pPr>
        <w:pStyle w:val="Textparagrafu"/>
        <w:tabs>
          <w:tab w:val="left" w:pos="406"/>
        </w:tabs>
        <w:spacing w:before="0"/>
        <w:ind w:left="426" w:hanging="426"/>
      </w:pPr>
      <w:r w:rsidRPr="00EF2A90">
        <w:t>h)</w:t>
      </w:r>
      <w:r w:rsidR="005C1713">
        <w:tab/>
      </w:r>
      <w:r w:rsidRPr="00EF2A90">
        <w:t>zřizovat</w:t>
      </w:r>
      <w:r>
        <w:t xml:space="preserve"> </w:t>
      </w:r>
      <w:r w:rsidRPr="00EF2A90">
        <w:t>v</w:t>
      </w:r>
      <w:r>
        <w:t xml:space="preserve"> </w:t>
      </w:r>
      <w:r w:rsidRPr="00EF2A90">
        <w:t>případech</w:t>
      </w:r>
      <w:r>
        <w:t xml:space="preserve"> </w:t>
      </w:r>
      <w:r w:rsidRPr="00EF2A90">
        <w:t>stanovených</w:t>
      </w:r>
      <w:r>
        <w:t xml:space="preserve"> </w:t>
      </w:r>
      <w:r w:rsidRPr="00EF2A90">
        <w:t>tímto</w:t>
      </w:r>
      <w:r>
        <w:t xml:space="preserve"> </w:t>
      </w:r>
      <w:r w:rsidRPr="00EF2A90">
        <w:t>zákonem</w:t>
      </w:r>
      <w:r>
        <w:t xml:space="preserve"> </w:t>
      </w:r>
      <w:r w:rsidRPr="00EF2A90">
        <w:t>komise,</w:t>
      </w:r>
    </w:p>
    <w:p w14:paraId="536428FA" w14:textId="65BD3382" w:rsidR="00965B9F" w:rsidRDefault="00965B9F" w:rsidP="0096635B">
      <w:pPr>
        <w:pStyle w:val="Textparagrafu"/>
        <w:tabs>
          <w:tab w:val="left" w:pos="406"/>
        </w:tabs>
        <w:spacing w:before="0"/>
        <w:ind w:left="426" w:hanging="426"/>
      </w:pPr>
      <w:r w:rsidRPr="00EF2A90">
        <w:t>i)</w:t>
      </w:r>
      <w:r w:rsidR="005C1713">
        <w:tab/>
      </w:r>
      <w:r w:rsidRPr="00EF2A90">
        <w:t>plnit</w:t>
      </w:r>
      <w:r>
        <w:t xml:space="preserve"> </w:t>
      </w:r>
      <w:r w:rsidRPr="00EF2A90">
        <w:t>úkoly</w:t>
      </w:r>
      <w:r>
        <w:t xml:space="preserve"> </w:t>
      </w:r>
      <w:r w:rsidRPr="00EF2A90">
        <w:t>dotčeného</w:t>
      </w:r>
      <w:r>
        <w:t xml:space="preserve"> </w:t>
      </w:r>
      <w:r w:rsidRPr="00EF2A90">
        <w:t>správního</w:t>
      </w:r>
      <w:r>
        <w:t xml:space="preserve"> </w:t>
      </w:r>
      <w:r w:rsidRPr="00EF2A90">
        <w:t>úřadu</w:t>
      </w:r>
      <w:r>
        <w:t xml:space="preserve"> </w:t>
      </w:r>
      <w:r w:rsidRPr="00EF2A90">
        <w:t>podle</w:t>
      </w:r>
      <w:r>
        <w:t xml:space="preserve"> </w:t>
      </w:r>
      <w:r w:rsidRPr="00EF2A90">
        <w:t>§</w:t>
      </w:r>
      <w:r>
        <w:t xml:space="preserve"> </w:t>
      </w:r>
      <w:r w:rsidRPr="00EF2A90">
        <w:t>77,</w:t>
      </w:r>
    </w:p>
    <w:p w14:paraId="4484D896" w14:textId="65126B1F" w:rsidR="00965B9F" w:rsidRDefault="00965B9F" w:rsidP="0096635B">
      <w:pPr>
        <w:pStyle w:val="Textparagrafu"/>
        <w:tabs>
          <w:tab w:val="left" w:pos="406"/>
        </w:tabs>
        <w:spacing w:before="0"/>
        <w:ind w:left="426" w:hanging="426"/>
      </w:pPr>
      <w:r w:rsidRPr="00EF2A90">
        <w:t>j)</w:t>
      </w:r>
      <w:r w:rsidR="005C1713">
        <w:tab/>
      </w:r>
      <w:r w:rsidRPr="00EF2A90">
        <w:t>uplatňovat</w:t>
      </w:r>
      <w:r>
        <w:t xml:space="preserve"> </w:t>
      </w:r>
      <w:r w:rsidRPr="00EF2A90">
        <w:t>stanoviska</w:t>
      </w:r>
      <w:r>
        <w:t xml:space="preserve"> </w:t>
      </w:r>
      <w:r w:rsidRPr="00EF2A90">
        <w:t>k</w:t>
      </w:r>
      <w:r>
        <w:t xml:space="preserve"> </w:t>
      </w:r>
      <w:r w:rsidRPr="00EF2A90">
        <w:t>územně</w:t>
      </w:r>
      <w:r>
        <w:t xml:space="preserve"> </w:t>
      </w:r>
      <w:r w:rsidRPr="00EF2A90">
        <w:t>plánovací</w:t>
      </w:r>
      <w:r>
        <w:t xml:space="preserve"> </w:t>
      </w:r>
      <w:r w:rsidRPr="00EF2A90">
        <w:t>dokumentaci</w:t>
      </w:r>
      <w:r>
        <w:t xml:space="preserve"> </w:t>
      </w:r>
      <w:r w:rsidRPr="00EF2A90">
        <w:t>z</w:t>
      </w:r>
      <w:r>
        <w:t xml:space="preserve"> </w:t>
      </w:r>
      <w:r w:rsidRPr="00EF2A90">
        <w:t>hlediska</w:t>
      </w:r>
      <w:r>
        <w:t xml:space="preserve"> </w:t>
      </w:r>
      <w:r w:rsidRPr="00EF2A90">
        <w:t>ochrany</w:t>
      </w:r>
      <w:r>
        <w:t xml:space="preserve"> </w:t>
      </w:r>
      <w:r w:rsidRPr="00EF2A90">
        <w:t>veřejného</w:t>
      </w:r>
      <w:r>
        <w:t xml:space="preserve"> </w:t>
      </w:r>
      <w:r w:rsidRPr="00EF2A90">
        <w:t>zdraví</w:t>
      </w:r>
      <w:r>
        <w:t xml:space="preserve"> </w:t>
      </w:r>
      <w:r w:rsidRPr="00EF2A90">
        <w:t>včetně</w:t>
      </w:r>
      <w:r>
        <w:t xml:space="preserve"> </w:t>
      </w:r>
      <w:r w:rsidRPr="00EF2A90">
        <w:t>hodnocení</w:t>
      </w:r>
      <w:r>
        <w:t xml:space="preserve"> </w:t>
      </w:r>
      <w:r w:rsidRPr="00EF2A90">
        <w:t>a</w:t>
      </w:r>
      <w:r>
        <w:t xml:space="preserve"> </w:t>
      </w:r>
      <w:r w:rsidRPr="00EF2A90">
        <w:t>řízení</w:t>
      </w:r>
      <w:r>
        <w:t xml:space="preserve"> </w:t>
      </w:r>
      <w:r w:rsidRPr="00EF2A90">
        <w:t>zdravotních</w:t>
      </w:r>
      <w:r>
        <w:t xml:space="preserve"> </w:t>
      </w:r>
      <w:r w:rsidRPr="00EF2A90">
        <w:t>rizik,</w:t>
      </w:r>
    </w:p>
    <w:p w14:paraId="3775BD32" w14:textId="57D6C246" w:rsidR="00965B9F" w:rsidRDefault="00965B9F" w:rsidP="0096635B">
      <w:pPr>
        <w:pStyle w:val="Textparagrafu"/>
        <w:tabs>
          <w:tab w:val="left" w:pos="406"/>
        </w:tabs>
        <w:spacing w:before="0"/>
        <w:ind w:left="426" w:hanging="426"/>
      </w:pPr>
      <w:r w:rsidRPr="00EF2A90">
        <w:t>k)</w:t>
      </w:r>
      <w:r w:rsidR="005C1713">
        <w:tab/>
      </w:r>
      <w:r w:rsidRPr="00EF2A90">
        <w:t>projednávat</w:t>
      </w:r>
      <w:r>
        <w:t xml:space="preserve"> </w:t>
      </w:r>
      <w:r w:rsidRPr="00EF2A90">
        <w:t>přestupky</w:t>
      </w:r>
      <w:r>
        <w:t xml:space="preserve"> </w:t>
      </w:r>
      <w:r w:rsidRPr="00EF2A90">
        <w:t>na</w:t>
      </w:r>
      <w:r>
        <w:t xml:space="preserve"> </w:t>
      </w:r>
      <w:r w:rsidRPr="00EF2A90">
        <w:t>úseku</w:t>
      </w:r>
      <w:r>
        <w:t xml:space="preserve"> </w:t>
      </w:r>
      <w:r w:rsidRPr="00EF2A90">
        <w:t>ochrany</w:t>
      </w:r>
      <w:r>
        <w:t xml:space="preserve"> </w:t>
      </w:r>
      <w:r w:rsidRPr="00EF2A90">
        <w:t>veřejného</w:t>
      </w:r>
      <w:r>
        <w:t xml:space="preserve"> </w:t>
      </w:r>
      <w:r w:rsidRPr="00EF2A90">
        <w:t>zdraví</w:t>
      </w:r>
      <w:r>
        <w:t xml:space="preserve"> </w:t>
      </w:r>
      <w:r w:rsidRPr="00EF2A90">
        <w:t>podle</w:t>
      </w:r>
      <w:r>
        <w:t xml:space="preserve"> </w:t>
      </w:r>
      <w:r w:rsidRPr="00EF2A90">
        <w:t>tohoto</w:t>
      </w:r>
      <w:r>
        <w:t xml:space="preserve"> </w:t>
      </w:r>
      <w:r w:rsidRPr="00EF2A90">
        <w:t>zákona,</w:t>
      </w:r>
    </w:p>
    <w:p w14:paraId="3AE804AD" w14:textId="2CF7EE5E" w:rsidR="00965B9F" w:rsidRDefault="00965B9F" w:rsidP="0096635B">
      <w:pPr>
        <w:pStyle w:val="Textparagrafu"/>
        <w:tabs>
          <w:tab w:val="left" w:pos="406"/>
        </w:tabs>
        <w:spacing w:before="0"/>
        <w:ind w:left="426" w:hanging="426"/>
      </w:pPr>
      <w:r w:rsidRPr="00EF2A90">
        <w:t>l)</w:t>
      </w:r>
      <w:r w:rsidR="005C1713">
        <w:tab/>
      </w:r>
      <w:r w:rsidRPr="00EF2A90">
        <w:t>rozhodovat</w:t>
      </w:r>
      <w:r>
        <w:t xml:space="preserve"> </w:t>
      </w:r>
      <w:r w:rsidRPr="00EF2A90">
        <w:t>o</w:t>
      </w:r>
      <w:r>
        <w:t xml:space="preserve"> </w:t>
      </w:r>
      <w:r w:rsidRPr="00EF2A90">
        <w:t>opatřeních</w:t>
      </w:r>
      <w:r>
        <w:t xml:space="preserve"> </w:t>
      </w:r>
      <w:r w:rsidRPr="00EF2A90">
        <w:t>k</w:t>
      </w:r>
      <w:r>
        <w:t xml:space="preserve"> </w:t>
      </w:r>
      <w:r w:rsidRPr="00EF2A90">
        <w:t>předcházení</w:t>
      </w:r>
      <w:r>
        <w:t xml:space="preserve"> </w:t>
      </w:r>
      <w:r w:rsidRPr="00EF2A90">
        <w:t>vzniku</w:t>
      </w:r>
      <w:r>
        <w:t xml:space="preserve"> </w:t>
      </w:r>
      <w:r w:rsidRPr="00EF2A90">
        <w:t>a</w:t>
      </w:r>
      <w:r>
        <w:t xml:space="preserve"> </w:t>
      </w:r>
      <w:r w:rsidRPr="00EF2A90">
        <w:t>šíření</w:t>
      </w:r>
      <w:r>
        <w:t xml:space="preserve"> </w:t>
      </w:r>
      <w:r w:rsidRPr="00EF2A90">
        <w:t>infekčních</w:t>
      </w:r>
      <w:r>
        <w:t xml:space="preserve"> </w:t>
      </w:r>
      <w:r w:rsidRPr="00EF2A90">
        <w:t>onemocnění</w:t>
      </w:r>
      <w:r>
        <w:t xml:space="preserve"> </w:t>
      </w:r>
      <w:r w:rsidRPr="00EF2A90">
        <w:t>a</w:t>
      </w:r>
      <w:r>
        <w:t xml:space="preserve"> </w:t>
      </w:r>
      <w:r w:rsidRPr="00EF2A90">
        <w:t>jejich</w:t>
      </w:r>
      <w:r>
        <w:t xml:space="preserve"> </w:t>
      </w:r>
      <w:r w:rsidRPr="00EF2A90">
        <w:t>ukončení;</w:t>
      </w:r>
      <w:r>
        <w:t xml:space="preserve"> </w:t>
      </w:r>
      <w:r w:rsidRPr="00EF2A90">
        <w:t>organizovat,</w:t>
      </w:r>
      <w:r>
        <w:t xml:space="preserve"> </w:t>
      </w:r>
      <w:r w:rsidRPr="00EF2A90">
        <w:t>řídit</w:t>
      </w:r>
      <w:r>
        <w:t xml:space="preserve"> </w:t>
      </w:r>
      <w:r w:rsidRPr="00EF2A90">
        <w:t>a</w:t>
      </w:r>
      <w:r>
        <w:t xml:space="preserve"> </w:t>
      </w:r>
      <w:r w:rsidRPr="00EF2A90">
        <w:t>popřípadě</w:t>
      </w:r>
      <w:r>
        <w:t xml:space="preserve"> </w:t>
      </w:r>
      <w:r w:rsidRPr="00EF2A90">
        <w:t>i</w:t>
      </w:r>
      <w:r>
        <w:t xml:space="preserve"> </w:t>
      </w:r>
      <w:r w:rsidRPr="00EF2A90">
        <w:t>provádět</w:t>
      </w:r>
      <w:r>
        <w:t xml:space="preserve"> </w:t>
      </w:r>
      <w:r w:rsidRPr="00EF2A90">
        <w:t>opatření</w:t>
      </w:r>
      <w:r>
        <w:t xml:space="preserve"> </w:t>
      </w:r>
      <w:r w:rsidRPr="00EF2A90">
        <w:t>k</w:t>
      </w:r>
      <w:r>
        <w:t xml:space="preserve"> </w:t>
      </w:r>
      <w:r w:rsidRPr="00EF2A90">
        <w:t>předcházení</w:t>
      </w:r>
      <w:r>
        <w:t xml:space="preserve"> </w:t>
      </w:r>
      <w:r w:rsidRPr="00EF2A90">
        <w:t>vzniku</w:t>
      </w:r>
      <w:r>
        <w:t xml:space="preserve"> </w:t>
      </w:r>
      <w:r w:rsidRPr="00EF2A90">
        <w:t>a</w:t>
      </w:r>
      <w:r>
        <w:t xml:space="preserve"> </w:t>
      </w:r>
      <w:r w:rsidRPr="00EF2A90">
        <w:t>zamezení</w:t>
      </w:r>
      <w:r>
        <w:t xml:space="preserve"> </w:t>
      </w:r>
      <w:r w:rsidRPr="00EF2A90">
        <w:t>šíření</w:t>
      </w:r>
      <w:r>
        <w:t xml:space="preserve"> </w:t>
      </w:r>
      <w:r w:rsidRPr="00EF2A90">
        <w:t>infekčních</w:t>
      </w:r>
      <w:r>
        <w:t xml:space="preserve"> </w:t>
      </w:r>
      <w:r w:rsidRPr="00EF2A90">
        <w:t>onemocnění</w:t>
      </w:r>
      <w:r>
        <w:t xml:space="preserve"> </w:t>
      </w:r>
      <w:r w:rsidRPr="00EF2A90">
        <w:t>a</w:t>
      </w:r>
      <w:r>
        <w:t xml:space="preserve"> </w:t>
      </w:r>
      <w:r w:rsidRPr="00EF2A90">
        <w:t>v</w:t>
      </w:r>
      <w:r>
        <w:t xml:space="preserve"> </w:t>
      </w:r>
      <w:r w:rsidRPr="00EF2A90">
        <w:t>tomto</w:t>
      </w:r>
      <w:r>
        <w:t xml:space="preserve"> </w:t>
      </w:r>
      <w:r w:rsidRPr="00EF2A90">
        <w:t>rozsahu</w:t>
      </w:r>
      <w:r>
        <w:t xml:space="preserve"> </w:t>
      </w:r>
      <w:r w:rsidRPr="00EF2A90">
        <w:t>též</w:t>
      </w:r>
      <w:r>
        <w:t xml:space="preserve"> </w:t>
      </w:r>
      <w:r w:rsidRPr="00EF2A90">
        <w:t>usměrňovat</w:t>
      </w:r>
      <w:r>
        <w:t xml:space="preserve"> </w:t>
      </w:r>
      <w:r w:rsidRPr="00EF2A90">
        <w:t>činnost</w:t>
      </w:r>
      <w:r>
        <w:t xml:space="preserve"> </w:t>
      </w:r>
      <w:r w:rsidRPr="00EF2A90">
        <w:t>poskytovatelů</w:t>
      </w:r>
      <w:r>
        <w:t xml:space="preserve"> </w:t>
      </w:r>
      <w:r w:rsidRPr="00EF2A90">
        <w:t>zdravotních</w:t>
      </w:r>
      <w:r>
        <w:t xml:space="preserve"> </w:t>
      </w:r>
      <w:r w:rsidRPr="00EF2A90">
        <w:t>služeb</w:t>
      </w:r>
      <w:r>
        <w:t xml:space="preserve"> </w:t>
      </w:r>
      <w:r w:rsidRPr="00EF2A90">
        <w:t>a</w:t>
      </w:r>
      <w:r>
        <w:t xml:space="preserve"> </w:t>
      </w:r>
      <w:r w:rsidRPr="00EF2A90">
        <w:t>kontrolovat</w:t>
      </w:r>
      <w:r>
        <w:t xml:space="preserve"> </w:t>
      </w:r>
      <w:r w:rsidRPr="00EF2A90">
        <w:t>ji,</w:t>
      </w:r>
    </w:p>
    <w:p w14:paraId="72082EB2" w14:textId="5E0F1581" w:rsidR="00965B9F" w:rsidRDefault="00965B9F" w:rsidP="0096635B">
      <w:pPr>
        <w:pStyle w:val="Textparagrafu"/>
        <w:tabs>
          <w:tab w:val="left" w:pos="406"/>
        </w:tabs>
        <w:spacing w:before="0"/>
        <w:ind w:left="426" w:hanging="426"/>
      </w:pPr>
      <w:r w:rsidRPr="00EF2A90">
        <w:t>m)</w:t>
      </w:r>
      <w:r w:rsidR="005C1713">
        <w:tab/>
      </w:r>
      <w:r w:rsidRPr="00EF2A90">
        <w:t>nařizovat</w:t>
      </w:r>
      <w:r>
        <w:t xml:space="preserve"> </w:t>
      </w:r>
      <w:r w:rsidRPr="00EF2A90">
        <w:t>mimořádná</w:t>
      </w:r>
      <w:r>
        <w:t xml:space="preserve"> </w:t>
      </w:r>
      <w:r w:rsidRPr="00EF2A90">
        <w:t>opatření</w:t>
      </w:r>
      <w:r>
        <w:t xml:space="preserve"> </w:t>
      </w:r>
      <w:r w:rsidRPr="00EF2A90">
        <w:t>při</w:t>
      </w:r>
      <w:r>
        <w:t xml:space="preserve"> </w:t>
      </w:r>
      <w:r w:rsidRPr="00EF2A90">
        <w:t>epidemii</w:t>
      </w:r>
      <w:r>
        <w:t xml:space="preserve"> </w:t>
      </w:r>
      <w:r w:rsidRPr="00EF2A90">
        <w:t>a</w:t>
      </w:r>
      <w:r>
        <w:t xml:space="preserve"> </w:t>
      </w:r>
      <w:r w:rsidRPr="00EF2A90">
        <w:t>nebezpečí</w:t>
      </w:r>
      <w:r>
        <w:t xml:space="preserve"> </w:t>
      </w:r>
      <w:r w:rsidRPr="00EF2A90">
        <w:t>jejího</w:t>
      </w:r>
      <w:r>
        <w:t xml:space="preserve"> </w:t>
      </w:r>
      <w:r w:rsidRPr="00EF2A90">
        <w:t>vzniku</w:t>
      </w:r>
      <w:r>
        <w:t xml:space="preserve"> </w:t>
      </w:r>
      <w:r w:rsidRPr="00EF2A90">
        <w:t>a</w:t>
      </w:r>
      <w:r>
        <w:t xml:space="preserve"> </w:t>
      </w:r>
      <w:r w:rsidRPr="00EF2A90">
        <w:t>mimořádná</w:t>
      </w:r>
      <w:r>
        <w:t xml:space="preserve"> </w:t>
      </w:r>
      <w:r w:rsidRPr="00EF2A90">
        <w:t>opatření</w:t>
      </w:r>
      <w:r>
        <w:t xml:space="preserve"> </w:t>
      </w:r>
      <w:r w:rsidRPr="00EF2A90">
        <w:t>k</w:t>
      </w:r>
      <w:r>
        <w:t xml:space="preserve"> </w:t>
      </w:r>
      <w:r w:rsidRPr="00EF2A90">
        <w:t>ochraně</w:t>
      </w:r>
      <w:r>
        <w:t xml:space="preserve"> </w:t>
      </w:r>
      <w:r w:rsidRPr="00EF2A90">
        <w:t>zdraví</w:t>
      </w:r>
      <w:r>
        <w:t xml:space="preserve"> </w:t>
      </w:r>
      <w:r w:rsidRPr="00EF2A90">
        <w:t>fyzických</w:t>
      </w:r>
      <w:r>
        <w:t xml:space="preserve"> </w:t>
      </w:r>
      <w:r w:rsidRPr="00EF2A90">
        <w:t>osob</w:t>
      </w:r>
      <w:r>
        <w:t xml:space="preserve"> </w:t>
      </w:r>
      <w:r w:rsidRPr="00EF2A90">
        <w:t>při</w:t>
      </w:r>
      <w:r>
        <w:t xml:space="preserve"> </w:t>
      </w:r>
      <w:r w:rsidRPr="00EF2A90">
        <w:t>výskytu</w:t>
      </w:r>
      <w:r>
        <w:t xml:space="preserve"> </w:t>
      </w:r>
      <w:r w:rsidR="00185222">
        <w:t>nebezpečných</w:t>
      </w:r>
      <w:r w:rsidR="00185222">
        <w:rPr>
          <w:rStyle w:val="Znakapoznpodarou"/>
        </w:rPr>
        <w:footnoteReference w:customMarkFollows="1" w:id="378"/>
        <w:t>26a)</w:t>
      </w:r>
      <w:r>
        <w:t xml:space="preserve"> </w:t>
      </w:r>
      <w:r w:rsidRPr="00EF2A90">
        <w:t>a</w:t>
      </w:r>
      <w:r>
        <w:t xml:space="preserve"> </w:t>
      </w:r>
      <w:r w:rsidRPr="00EF2A90">
        <w:t>z</w:t>
      </w:r>
      <w:r>
        <w:t xml:space="preserve"> </w:t>
      </w:r>
      <w:r w:rsidRPr="00EF2A90">
        <w:t>nebezpečnosti</w:t>
      </w:r>
      <w:r>
        <w:t xml:space="preserve"> </w:t>
      </w:r>
      <w:r w:rsidRPr="00EF2A90">
        <w:t>podezřelých</w:t>
      </w:r>
      <w:r>
        <w:t xml:space="preserve"> </w:t>
      </w:r>
      <w:r w:rsidRPr="00EF2A90">
        <w:t>výrobků</w:t>
      </w:r>
      <w:r>
        <w:t xml:space="preserve"> </w:t>
      </w:r>
      <w:r w:rsidRPr="00EF2A90">
        <w:t>a</w:t>
      </w:r>
      <w:r>
        <w:t xml:space="preserve"> </w:t>
      </w:r>
      <w:r w:rsidRPr="00EF2A90">
        <w:t>nejakostních</w:t>
      </w:r>
      <w:r>
        <w:t xml:space="preserve"> </w:t>
      </w:r>
      <w:r w:rsidRPr="00EF2A90">
        <w:t>či</w:t>
      </w:r>
      <w:r>
        <w:t xml:space="preserve"> </w:t>
      </w:r>
      <w:r w:rsidRPr="00EF2A90">
        <w:t>z</w:t>
      </w:r>
      <w:r>
        <w:t xml:space="preserve"> </w:t>
      </w:r>
      <w:r w:rsidRPr="00EF2A90">
        <w:t>porušení</w:t>
      </w:r>
      <w:r>
        <w:t xml:space="preserve"> </w:t>
      </w:r>
      <w:r w:rsidRPr="00EF2A90">
        <w:t>jakosti</w:t>
      </w:r>
      <w:r>
        <w:t xml:space="preserve"> </w:t>
      </w:r>
      <w:r w:rsidRPr="00EF2A90">
        <w:t>podezřelých</w:t>
      </w:r>
      <w:r>
        <w:t xml:space="preserve"> </w:t>
      </w:r>
      <w:r w:rsidRPr="00EF2A90">
        <w:t>vod,</w:t>
      </w:r>
      <w:r>
        <w:t xml:space="preserve"> </w:t>
      </w:r>
      <w:r w:rsidRPr="00EF2A90">
        <w:t>při</w:t>
      </w:r>
      <w:r>
        <w:t xml:space="preserve"> </w:t>
      </w:r>
      <w:r w:rsidRPr="00EF2A90">
        <w:t>živelních</w:t>
      </w:r>
      <w:r>
        <w:t xml:space="preserve"> </w:t>
      </w:r>
      <w:r w:rsidRPr="00EF2A90">
        <w:t>pohromách</w:t>
      </w:r>
      <w:r>
        <w:t xml:space="preserve"> </w:t>
      </w:r>
      <w:r w:rsidRPr="00EF2A90">
        <w:t>a</w:t>
      </w:r>
      <w:r>
        <w:t xml:space="preserve"> </w:t>
      </w:r>
      <w:r w:rsidRPr="00EF2A90">
        <w:t>jiných</w:t>
      </w:r>
      <w:r>
        <w:t xml:space="preserve"> </w:t>
      </w:r>
      <w:r w:rsidRPr="00EF2A90">
        <w:t>mimořádných</w:t>
      </w:r>
      <w:r>
        <w:t xml:space="preserve"> </w:t>
      </w:r>
      <w:r w:rsidRPr="00EF2A90">
        <w:t>událostech,</w:t>
      </w:r>
      <w:r>
        <w:t xml:space="preserve"> </w:t>
      </w:r>
      <w:r w:rsidRPr="00EF2A90">
        <w:t>pokud</w:t>
      </w:r>
      <w:r>
        <w:t xml:space="preserve"> </w:t>
      </w:r>
      <w:r w:rsidRPr="00EF2A90">
        <w:t>není</w:t>
      </w:r>
      <w:r>
        <w:t xml:space="preserve"> </w:t>
      </w:r>
      <w:r w:rsidRPr="00EF2A90">
        <w:t>příslušné</w:t>
      </w:r>
      <w:r>
        <w:t xml:space="preserve"> </w:t>
      </w:r>
      <w:r w:rsidRPr="00EF2A90">
        <w:t>Ministerstvo</w:t>
      </w:r>
      <w:r>
        <w:t xml:space="preserve"> </w:t>
      </w:r>
      <w:r w:rsidRPr="00EF2A90">
        <w:t>zdravotnictví,</w:t>
      </w:r>
      <w:r>
        <w:t xml:space="preserve"> </w:t>
      </w:r>
      <w:r w:rsidRPr="00EF2A90">
        <w:t>a</w:t>
      </w:r>
      <w:r>
        <w:t xml:space="preserve"> </w:t>
      </w:r>
      <w:r w:rsidRPr="00EF2A90">
        <w:t>rozhodovat</w:t>
      </w:r>
      <w:r>
        <w:t xml:space="preserve"> </w:t>
      </w:r>
      <w:r w:rsidRPr="00EF2A90">
        <w:t>o</w:t>
      </w:r>
      <w:r>
        <w:t xml:space="preserve"> </w:t>
      </w:r>
      <w:r w:rsidRPr="00EF2A90">
        <w:t>jejich</w:t>
      </w:r>
      <w:r>
        <w:t xml:space="preserve"> </w:t>
      </w:r>
      <w:r w:rsidRPr="00EF2A90">
        <w:t>ukončení</w:t>
      </w:r>
      <w:r>
        <w:t xml:space="preserve"> </w:t>
      </w:r>
      <w:r w:rsidRPr="00EF2A90">
        <w:t>včetně</w:t>
      </w:r>
      <w:r>
        <w:t xml:space="preserve"> </w:t>
      </w:r>
      <w:r w:rsidRPr="00EF2A90">
        <w:t>uvolnění</w:t>
      </w:r>
      <w:r>
        <w:t xml:space="preserve"> </w:t>
      </w:r>
      <w:r w:rsidRPr="00EF2A90">
        <w:t>výrobků</w:t>
      </w:r>
      <w:r>
        <w:t xml:space="preserve"> </w:t>
      </w:r>
      <w:r w:rsidRPr="00EF2A90">
        <w:t>na</w:t>
      </w:r>
      <w:r>
        <w:t xml:space="preserve"> </w:t>
      </w:r>
      <w:r w:rsidRPr="00EF2A90">
        <w:t>trh</w:t>
      </w:r>
      <w:r>
        <w:t xml:space="preserve"> </w:t>
      </w:r>
      <w:r w:rsidRPr="00EF2A90">
        <w:t>nebo</w:t>
      </w:r>
      <w:r>
        <w:t xml:space="preserve"> </w:t>
      </w:r>
      <w:r w:rsidRPr="00EF2A90">
        <w:t>do</w:t>
      </w:r>
      <w:r>
        <w:t xml:space="preserve"> </w:t>
      </w:r>
      <w:r w:rsidRPr="00EF2A90">
        <w:t>oběhu.</w:t>
      </w:r>
      <w:r>
        <w:t xml:space="preserve"> </w:t>
      </w:r>
      <w:r w:rsidRPr="00EF2A90">
        <w:t>Mimořádné</w:t>
      </w:r>
      <w:r>
        <w:t xml:space="preserve"> </w:t>
      </w:r>
      <w:r w:rsidRPr="00EF2A90">
        <w:t>očkování</w:t>
      </w:r>
      <w:r>
        <w:t xml:space="preserve"> </w:t>
      </w:r>
      <w:r w:rsidRPr="00EF2A90">
        <w:t>podle</w:t>
      </w:r>
      <w:r>
        <w:t xml:space="preserve"> </w:t>
      </w:r>
      <w:r w:rsidRPr="00EF2A90">
        <w:t>§</w:t>
      </w:r>
      <w:r>
        <w:t xml:space="preserve"> </w:t>
      </w:r>
      <w:r w:rsidRPr="00EF2A90">
        <w:t>69</w:t>
      </w:r>
      <w:r>
        <w:t xml:space="preserve"> </w:t>
      </w:r>
      <w:r w:rsidRPr="00EF2A90">
        <w:t>odst.</w:t>
      </w:r>
      <w:r>
        <w:t xml:space="preserve"> </w:t>
      </w:r>
      <w:r w:rsidRPr="00EF2A90">
        <w:t>1</w:t>
      </w:r>
      <w:r>
        <w:t xml:space="preserve"> </w:t>
      </w:r>
      <w:r w:rsidRPr="00EF2A90">
        <w:t>písm.</w:t>
      </w:r>
      <w:r>
        <w:t xml:space="preserve"> </w:t>
      </w:r>
      <w:r w:rsidRPr="00EF2A90">
        <w:t>g)</w:t>
      </w:r>
      <w:r>
        <w:t xml:space="preserve"> </w:t>
      </w:r>
      <w:r w:rsidRPr="00EF2A90">
        <w:t>stanoví</w:t>
      </w:r>
      <w:r>
        <w:t xml:space="preserve"> </w:t>
      </w:r>
      <w:r w:rsidRPr="00EF2A90">
        <w:t>jen</w:t>
      </w:r>
      <w:r>
        <w:t xml:space="preserve"> </w:t>
      </w:r>
      <w:r w:rsidRPr="00EF2A90">
        <w:t>s</w:t>
      </w:r>
      <w:r>
        <w:t xml:space="preserve"> </w:t>
      </w:r>
      <w:r w:rsidRPr="00EF2A90">
        <w:t>předchozím</w:t>
      </w:r>
      <w:r>
        <w:t xml:space="preserve"> </w:t>
      </w:r>
      <w:r w:rsidRPr="00EF2A90">
        <w:t>povolením</w:t>
      </w:r>
      <w:r>
        <w:t xml:space="preserve"> </w:t>
      </w:r>
      <w:r w:rsidRPr="00EF2A90">
        <w:t>Ministerstva</w:t>
      </w:r>
      <w:r>
        <w:t xml:space="preserve"> </w:t>
      </w:r>
      <w:r w:rsidRPr="00EF2A90">
        <w:t>zdravotnictví,</w:t>
      </w:r>
    </w:p>
    <w:p w14:paraId="3EF4584D" w14:textId="6652438C" w:rsidR="00965B9F" w:rsidRDefault="00965B9F" w:rsidP="0096635B">
      <w:pPr>
        <w:pStyle w:val="Textparagrafu"/>
        <w:tabs>
          <w:tab w:val="left" w:pos="406"/>
        </w:tabs>
        <w:spacing w:before="0"/>
        <w:ind w:left="426" w:hanging="426"/>
      </w:pPr>
      <w:r w:rsidRPr="00EF2A90">
        <w:t>n)</w:t>
      </w:r>
      <w:r w:rsidR="005C1713">
        <w:tab/>
      </w:r>
      <w:r w:rsidRPr="00EF2A90">
        <w:t>stanovit</w:t>
      </w:r>
      <w:r>
        <w:t xml:space="preserve"> </w:t>
      </w:r>
      <w:r w:rsidRPr="00EF2A90">
        <w:t>hygienický</w:t>
      </w:r>
      <w:r>
        <w:t xml:space="preserve"> </w:t>
      </w:r>
      <w:r w:rsidRPr="00EF2A90">
        <w:t>limit</w:t>
      </w:r>
      <w:r>
        <w:t xml:space="preserve"> </w:t>
      </w:r>
      <w:r w:rsidRPr="00EF2A90">
        <w:t>faktoru</w:t>
      </w:r>
      <w:r>
        <w:t xml:space="preserve"> </w:t>
      </w:r>
      <w:r w:rsidRPr="00EF2A90">
        <w:t>pracovních</w:t>
      </w:r>
      <w:r>
        <w:t xml:space="preserve"> </w:t>
      </w:r>
      <w:r w:rsidRPr="00EF2A90">
        <w:t>podmínek,</w:t>
      </w:r>
      <w:r>
        <w:t xml:space="preserve"> </w:t>
      </w:r>
      <w:r w:rsidRPr="00EF2A90">
        <w:t>neupraveného</w:t>
      </w:r>
      <w:r>
        <w:t xml:space="preserve"> </w:t>
      </w:r>
      <w:r w:rsidRPr="00EF2A90">
        <w:t>právním</w:t>
      </w:r>
      <w:r>
        <w:t xml:space="preserve"> </w:t>
      </w:r>
      <w:r w:rsidRPr="00EF2A90">
        <w:t>předpisem,</w:t>
      </w:r>
      <w:r>
        <w:t xml:space="preserve"> </w:t>
      </w:r>
      <w:r w:rsidRPr="00EF2A90">
        <w:t>a</w:t>
      </w:r>
      <w:r>
        <w:t xml:space="preserve"> </w:t>
      </w:r>
      <w:r w:rsidRPr="00EF2A90">
        <w:t>metodu</w:t>
      </w:r>
      <w:r>
        <w:t xml:space="preserve"> </w:t>
      </w:r>
      <w:r w:rsidRPr="00EF2A90">
        <w:t>jeho</w:t>
      </w:r>
      <w:r>
        <w:t xml:space="preserve"> </w:t>
      </w:r>
      <w:r w:rsidRPr="00EF2A90">
        <w:t>stanovení</w:t>
      </w:r>
      <w:r>
        <w:t xml:space="preserve"> </w:t>
      </w:r>
      <w:r w:rsidRPr="00EF2A90">
        <w:t>v</w:t>
      </w:r>
      <w:r>
        <w:t xml:space="preserve"> </w:t>
      </w:r>
      <w:r w:rsidRPr="00EF2A90">
        <w:t>pracovních</w:t>
      </w:r>
      <w:r>
        <w:t xml:space="preserve"> </w:t>
      </w:r>
      <w:r w:rsidRPr="00EF2A90">
        <w:t>podmínkách;</w:t>
      </w:r>
      <w:r>
        <w:t xml:space="preserve"> </w:t>
      </w:r>
      <w:r w:rsidRPr="00EF2A90">
        <w:t>stanovit</w:t>
      </w:r>
      <w:r>
        <w:t xml:space="preserve"> </w:t>
      </w:r>
      <w:r w:rsidRPr="00EF2A90">
        <w:t>způsob,</w:t>
      </w:r>
      <w:r>
        <w:t xml:space="preserve"> </w:t>
      </w:r>
      <w:r w:rsidRPr="00EF2A90">
        <w:t>minimální</w:t>
      </w:r>
      <w:r>
        <w:t xml:space="preserve"> </w:t>
      </w:r>
      <w:r w:rsidRPr="00EF2A90">
        <w:t>rozsah</w:t>
      </w:r>
      <w:r>
        <w:t xml:space="preserve"> </w:t>
      </w:r>
      <w:r w:rsidRPr="00EF2A90">
        <w:t>a</w:t>
      </w:r>
      <w:r>
        <w:t xml:space="preserve"> </w:t>
      </w:r>
      <w:r w:rsidRPr="00EF2A90">
        <w:t>četnost</w:t>
      </w:r>
      <w:r>
        <w:t xml:space="preserve"> </w:t>
      </w:r>
      <w:r w:rsidRPr="00EF2A90">
        <w:t>jeho</w:t>
      </w:r>
      <w:r>
        <w:t xml:space="preserve"> </w:t>
      </w:r>
      <w:r w:rsidRPr="00EF2A90">
        <w:t>sledování</w:t>
      </w:r>
      <w:r>
        <w:t xml:space="preserve"> </w:t>
      </w:r>
      <w:r w:rsidRPr="00EF2A90">
        <w:t>a</w:t>
      </w:r>
      <w:r>
        <w:t xml:space="preserve"> </w:t>
      </w:r>
      <w:r w:rsidRPr="00EF2A90">
        <w:t>opatření</w:t>
      </w:r>
      <w:r>
        <w:t xml:space="preserve"> </w:t>
      </w:r>
      <w:r w:rsidRPr="00EF2A90">
        <w:t>k</w:t>
      </w:r>
      <w:r>
        <w:t xml:space="preserve"> </w:t>
      </w:r>
      <w:r w:rsidRPr="00EF2A90">
        <w:t>ochraně</w:t>
      </w:r>
      <w:r>
        <w:t xml:space="preserve"> </w:t>
      </w:r>
      <w:r w:rsidRPr="00EF2A90">
        <w:t>zdraví</w:t>
      </w:r>
      <w:r>
        <w:t xml:space="preserve"> </w:t>
      </w:r>
      <w:r w:rsidRPr="00EF2A90">
        <w:t>zaměstnanců;</w:t>
      </w:r>
      <w:r>
        <w:t xml:space="preserve"> </w:t>
      </w:r>
      <w:r w:rsidRPr="00EF2A90">
        <w:t>zařadit</w:t>
      </w:r>
      <w:r>
        <w:t xml:space="preserve"> </w:t>
      </w:r>
      <w:r w:rsidRPr="00EF2A90">
        <w:t>práci</w:t>
      </w:r>
      <w:r>
        <w:t xml:space="preserve"> </w:t>
      </w:r>
      <w:r w:rsidRPr="00EF2A90">
        <w:t>s</w:t>
      </w:r>
      <w:r>
        <w:t xml:space="preserve"> </w:t>
      </w:r>
      <w:r w:rsidRPr="00EF2A90">
        <w:t>tímto</w:t>
      </w:r>
      <w:r>
        <w:t xml:space="preserve"> </w:t>
      </w:r>
      <w:r w:rsidRPr="00EF2A90">
        <w:t>faktorem</w:t>
      </w:r>
      <w:r>
        <w:t xml:space="preserve"> </w:t>
      </w:r>
      <w:r w:rsidRPr="00EF2A90">
        <w:t>z</w:t>
      </w:r>
      <w:r>
        <w:t xml:space="preserve"> </w:t>
      </w:r>
      <w:r w:rsidRPr="00EF2A90">
        <w:t>moci</w:t>
      </w:r>
      <w:r>
        <w:t xml:space="preserve"> </w:t>
      </w:r>
      <w:r w:rsidRPr="00EF2A90">
        <w:t>úřední</w:t>
      </w:r>
      <w:r>
        <w:t xml:space="preserve"> </w:t>
      </w:r>
      <w:r w:rsidRPr="00EF2A90">
        <w:t>do</w:t>
      </w:r>
      <w:r>
        <w:t xml:space="preserve"> </w:t>
      </w:r>
      <w:r w:rsidRPr="00EF2A90">
        <w:t>kategorie,</w:t>
      </w:r>
      <w:r>
        <w:t xml:space="preserve"> </w:t>
      </w:r>
      <w:r w:rsidRPr="00EF2A90">
        <w:t>nestanoví-li</w:t>
      </w:r>
      <w:r>
        <w:t xml:space="preserve"> </w:t>
      </w:r>
      <w:r w:rsidRPr="00EF2A90">
        <w:t>zvláštní</w:t>
      </w:r>
      <w:r>
        <w:t xml:space="preserve"> </w:t>
      </w:r>
      <w:r w:rsidRPr="00EF2A90">
        <w:t>právní</w:t>
      </w:r>
      <w:r>
        <w:t xml:space="preserve"> </w:t>
      </w:r>
      <w:r w:rsidRPr="00EF2A90">
        <w:t>předpis</w:t>
      </w:r>
      <w:r>
        <w:t xml:space="preserve"> </w:t>
      </w:r>
      <w:r w:rsidRPr="00EF2A90">
        <w:t>jinak,</w:t>
      </w:r>
    </w:p>
    <w:p w14:paraId="3EEC62B5" w14:textId="108623B0" w:rsidR="00965B9F" w:rsidRDefault="00965B9F" w:rsidP="0096635B">
      <w:pPr>
        <w:pStyle w:val="Textparagrafu"/>
        <w:tabs>
          <w:tab w:val="left" w:pos="406"/>
        </w:tabs>
        <w:spacing w:before="0"/>
        <w:ind w:left="426" w:hanging="426"/>
      </w:pPr>
      <w:r w:rsidRPr="00EF2A90">
        <w:t>o)</w:t>
      </w:r>
      <w:r w:rsidR="005C1713">
        <w:tab/>
      </w:r>
      <w:r w:rsidRPr="00EF2A90">
        <w:t>vykonávat</w:t>
      </w:r>
      <w:r>
        <w:t xml:space="preserve"> </w:t>
      </w:r>
      <w:r w:rsidRPr="00EF2A90">
        <w:t>státní</w:t>
      </w:r>
      <w:r>
        <w:t xml:space="preserve"> </w:t>
      </w:r>
      <w:r w:rsidRPr="00EF2A90">
        <w:t>zdravotní</w:t>
      </w:r>
      <w:r>
        <w:t xml:space="preserve"> </w:t>
      </w:r>
      <w:r w:rsidRPr="00EF2A90">
        <w:t>dozor</w:t>
      </w:r>
      <w:r>
        <w:t xml:space="preserve"> </w:t>
      </w:r>
      <w:r w:rsidRPr="00EF2A90">
        <w:t>nad</w:t>
      </w:r>
      <w:r>
        <w:t xml:space="preserve"> </w:t>
      </w:r>
      <w:r w:rsidRPr="00EF2A90">
        <w:t>plněním</w:t>
      </w:r>
      <w:r>
        <w:t xml:space="preserve"> </w:t>
      </w:r>
      <w:r w:rsidRPr="00EF2A90">
        <w:t>povinnosti</w:t>
      </w:r>
      <w:r>
        <w:t xml:space="preserve"> </w:t>
      </w:r>
      <w:r w:rsidRPr="00EF2A90">
        <w:t>zaměstnavatele</w:t>
      </w:r>
      <w:r>
        <w:t xml:space="preserve"> </w:t>
      </w:r>
      <w:r w:rsidRPr="00EF2A90">
        <w:t>zajistit</w:t>
      </w:r>
      <w:r>
        <w:t xml:space="preserve"> </w:t>
      </w:r>
      <w:proofErr w:type="spellStart"/>
      <w:r w:rsidRPr="00EF2A90">
        <w:t>pracovnělékařské</w:t>
      </w:r>
      <w:proofErr w:type="spellEnd"/>
      <w:r>
        <w:t xml:space="preserve"> </w:t>
      </w:r>
      <w:r w:rsidRPr="00EF2A90">
        <w:t>služby</w:t>
      </w:r>
      <w:r>
        <w:t xml:space="preserve"> </w:t>
      </w:r>
      <w:r w:rsidRPr="00EF2A90">
        <w:t>a</w:t>
      </w:r>
      <w:r>
        <w:t xml:space="preserve"> </w:t>
      </w:r>
      <w:r w:rsidRPr="00EF2A90">
        <w:t>povinnosti</w:t>
      </w:r>
      <w:r>
        <w:t xml:space="preserve"> </w:t>
      </w:r>
      <w:r w:rsidRPr="00EF2A90">
        <w:t>poskytovatele</w:t>
      </w:r>
      <w:r>
        <w:t xml:space="preserve"> </w:t>
      </w:r>
      <w:proofErr w:type="spellStart"/>
      <w:r w:rsidRPr="00EF2A90">
        <w:t>pracovnělékařských</w:t>
      </w:r>
      <w:proofErr w:type="spellEnd"/>
      <w:r>
        <w:t xml:space="preserve"> </w:t>
      </w:r>
      <w:r w:rsidRPr="00EF2A90">
        <w:t>služeb</w:t>
      </w:r>
      <w:r>
        <w:t xml:space="preserve"> </w:t>
      </w:r>
      <w:r w:rsidRPr="00EF2A90">
        <w:t>provádět</w:t>
      </w:r>
      <w:r>
        <w:t xml:space="preserve"> </w:t>
      </w:r>
      <w:proofErr w:type="spellStart"/>
      <w:r w:rsidRPr="00EF2A90">
        <w:t>pracovnělékařské</w:t>
      </w:r>
      <w:proofErr w:type="spellEnd"/>
      <w:r>
        <w:t xml:space="preserve"> </w:t>
      </w:r>
      <w:r w:rsidRPr="00EF2A90">
        <w:t>prohlídky</w:t>
      </w:r>
      <w:r>
        <w:t xml:space="preserve"> </w:t>
      </w:r>
      <w:r w:rsidRPr="00EF2A90">
        <w:t>uložené</w:t>
      </w:r>
      <w:r>
        <w:t xml:space="preserve"> </w:t>
      </w:r>
      <w:r w:rsidRPr="00EF2A90">
        <w:t>zvláštním</w:t>
      </w:r>
      <w:r>
        <w:t xml:space="preserve"> </w:t>
      </w:r>
      <w:r w:rsidRPr="00EF2A90">
        <w:t>právním</w:t>
      </w:r>
      <w:r>
        <w:t xml:space="preserve"> </w:t>
      </w:r>
      <w:r w:rsidR="003A733B">
        <w:t>předpisem</w:t>
      </w:r>
      <w:r w:rsidR="003A733B">
        <w:rPr>
          <w:rStyle w:val="Znakapoznpodarou"/>
        </w:rPr>
        <w:footnoteReference w:customMarkFollows="1" w:id="379"/>
        <w:t>61)</w:t>
      </w:r>
      <w:r w:rsidRPr="00EF2A90">
        <w:t>.</w:t>
      </w:r>
    </w:p>
    <w:p w14:paraId="0D938057" w14:textId="623AE256" w:rsidR="00965B9F" w:rsidRDefault="00965B9F" w:rsidP="0096635B">
      <w:pPr>
        <w:pStyle w:val="Textparagrafu"/>
        <w:tabs>
          <w:tab w:val="left" w:pos="406"/>
        </w:tabs>
        <w:spacing w:before="0"/>
        <w:ind w:left="426" w:hanging="426"/>
      </w:pPr>
      <w:r w:rsidRPr="00EF2A90">
        <w:t>p)</w:t>
      </w:r>
      <w:r w:rsidR="005C1713">
        <w:tab/>
      </w:r>
      <w:r w:rsidRPr="00EF2A90">
        <w:t>stanovit</w:t>
      </w:r>
      <w:r>
        <w:t xml:space="preserve"> </w:t>
      </w:r>
      <w:r w:rsidRPr="00EF2A90">
        <w:t>protiepidemická</w:t>
      </w:r>
      <w:r>
        <w:t xml:space="preserve"> </w:t>
      </w:r>
      <w:r w:rsidRPr="00EF2A90">
        <w:t>opatření</w:t>
      </w:r>
      <w:r>
        <w:t xml:space="preserve"> </w:t>
      </w:r>
      <w:r w:rsidRPr="00EF2A90">
        <w:t>podle</w:t>
      </w:r>
      <w:r>
        <w:t xml:space="preserve"> </w:t>
      </w:r>
      <w:r w:rsidRPr="00EF2A90">
        <w:t>§</w:t>
      </w:r>
      <w:r>
        <w:t xml:space="preserve"> </w:t>
      </w:r>
      <w:r w:rsidRPr="00EF2A90">
        <w:t>68</w:t>
      </w:r>
      <w:r>
        <w:t xml:space="preserve"> </w:t>
      </w:r>
      <w:r w:rsidRPr="00EF2A90">
        <w:t>odst.</w:t>
      </w:r>
      <w:r>
        <w:t xml:space="preserve"> </w:t>
      </w:r>
      <w:r w:rsidRPr="00EF2A90">
        <w:t>1,</w:t>
      </w:r>
    </w:p>
    <w:p w14:paraId="6EAF4120" w14:textId="7D0B8C9B" w:rsidR="00965B9F" w:rsidRDefault="00965B9F" w:rsidP="0096635B">
      <w:pPr>
        <w:pStyle w:val="Textparagrafu"/>
        <w:tabs>
          <w:tab w:val="left" w:pos="406"/>
        </w:tabs>
        <w:spacing w:before="0"/>
        <w:ind w:left="426" w:hanging="426"/>
      </w:pPr>
      <w:r w:rsidRPr="00EF2A90">
        <w:t>q)</w:t>
      </w:r>
      <w:r w:rsidR="005C1713">
        <w:tab/>
      </w:r>
      <w:r w:rsidRPr="00EF2A90">
        <w:t>nařídit</w:t>
      </w:r>
      <w:r>
        <w:t xml:space="preserve"> </w:t>
      </w:r>
      <w:r w:rsidRPr="00EF2A90">
        <w:t>provozovateli</w:t>
      </w:r>
      <w:r>
        <w:t xml:space="preserve"> </w:t>
      </w:r>
      <w:r w:rsidRPr="00EF2A90">
        <w:t>potravinářského</w:t>
      </w:r>
      <w:r>
        <w:t xml:space="preserve"> </w:t>
      </w:r>
      <w:r w:rsidRPr="00EF2A90">
        <w:t>podniku</w:t>
      </w:r>
      <w:r>
        <w:t xml:space="preserve"> </w:t>
      </w:r>
      <w:r w:rsidRPr="00EF2A90">
        <w:t>provozujícímu</w:t>
      </w:r>
      <w:r>
        <w:t xml:space="preserve"> </w:t>
      </w:r>
      <w:r w:rsidRPr="00EF2A90">
        <w:t>stravovací</w:t>
      </w:r>
      <w:r>
        <w:t xml:space="preserve"> </w:t>
      </w:r>
      <w:r w:rsidRPr="00EF2A90">
        <w:t>službu</w:t>
      </w:r>
      <w:r>
        <w:t xml:space="preserve"> </w:t>
      </w:r>
      <w:r w:rsidRPr="00EF2A90">
        <w:t>odběr</w:t>
      </w:r>
      <w:r>
        <w:t xml:space="preserve"> </w:t>
      </w:r>
      <w:r w:rsidRPr="00EF2A90">
        <w:t>a</w:t>
      </w:r>
      <w:r>
        <w:t xml:space="preserve"> </w:t>
      </w:r>
      <w:r w:rsidRPr="00EF2A90">
        <w:t>uchovávání</w:t>
      </w:r>
      <w:r>
        <w:t xml:space="preserve"> </w:t>
      </w:r>
      <w:r w:rsidRPr="00EF2A90">
        <w:t>vzorků</w:t>
      </w:r>
      <w:r>
        <w:t xml:space="preserve"> </w:t>
      </w:r>
      <w:r w:rsidRPr="00EF2A90">
        <w:t>podávaných</w:t>
      </w:r>
      <w:r>
        <w:t xml:space="preserve"> </w:t>
      </w:r>
      <w:r w:rsidRPr="00EF2A90">
        <w:t>pokrmů,</w:t>
      </w:r>
      <w:r>
        <w:t xml:space="preserve"> </w:t>
      </w:r>
      <w:r w:rsidRPr="00EF2A90">
        <w:t>je-li</w:t>
      </w:r>
      <w:r>
        <w:t xml:space="preserve"> </w:t>
      </w:r>
      <w:r w:rsidRPr="00EF2A90">
        <w:t>to</w:t>
      </w:r>
      <w:r>
        <w:t xml:space="preserve"> </w:t>
      </w:r>
      <w:r w:rsidRPr="00EF2A90">
        <w:t>potřebné</w:t>
      </w:r>
      <w:r>
        <w:t xml:space="preserve"> </w:t>
      </w:r>
      <w:r w:rsidRPr="00EF2A90">
        <w:t>pro</w:t>
      </w:r>
      <w:r>
        <w:t xml:space="preserve"> </w:t>
      </w:r>
      <w:r w:rsidRPr="00EF2A90">
        <w:t>zajištění</w:t>
      </w:r>
      <w:r>
        <w:t xml:space="preserve"> </w:t>
      </w:r>
      <w:r w:rsidRPr="00EF2A90">
        <w:t>bezpečnosti</w:t>
      </w:r>
      <w:r>
        <w:t xml:space="preserve"> </w:t>
      </w:r>
      <w:r w:rsidRPr="00EF2A90">
        <w:t>podávaných</w:t>
      </w:r>
      <w:r>
        <w:t xml:space="preserve"> </w:t>
      </w:r>
      <w:r w:rsidRPr="00EF2A90">
        <w:t>pokrmů</w:t>
      </w:r>
      <w:r>
        <w:t xml:space="preserve"> </w:t>
      </w:r>
      <w:r w:rsidRPr="00EF2A90">
        <w:t>nebo</w:t>
      </w:r>
      <w:r>
        <w:t xml:space="preserve"> </w:t>
      </w:r>
      <w:r w:rsidRPr="00EF2A90">
        <w:t>z</w:t>
      </w:r>
      <w:r>
        <w:t xml:space="preserve"> </w:t>
      </w:r>
      <w:r w:rsidRPr="00EF2A90">
        <w:t>důvodů</w:t>
      </w:r>
      <w:r>
        <w:t xml:space="preserve"> </w:t>
      </w:r>
      <w:r w:rsidRPr="00EF2A90">
        <w:t>podezření</w:t>
      </w:r>
      <w:r>
        <w:t xml:space="preserve"> </w:t>
      </w:r>
      <w:r w:rsidRPr="00EF2A90">
        <w:t>na</w:t>
      </w:r>
      <w:r>
        <w:t xml:space="preserve"> </w:t>
      </w:r>
      <w:r w:rsidRPr="00EF2A90">
        <w:t>vznik</w:t>
      </w:r>
      <w:r>
        <w:t xml:space="preserve"> </w:t>
      </w:r>
      <w:r w:rsidRPr="00EF2A90">
        <w:t>infekčního</w:t>
      </w:r>
      <w:r>
        <w:t xml:space="preserve"> </w:t>
      </w:r>
      <w:r w:rsidRPr="00EF2A90">
        <w:t>onemocnění</w:t>
      </w:r>
      <w:r>
        <w:t xml:space="preserve"> </w:t>
      </w:r>
      <w:r w:rsidRPr="00EF2A90">
        <w:t>z</w:t>
      </w:r>
      <w:r>
        <w:t xml:space="preserve"> </w:t>
      </w:r>
      <w:r w:rsidRPr="00EF2A90">
        <w:t>pokrmů,</w:t>
      </w:r>
      <w:r>
        <w:t xml:space="preserve"> </w:t>
      </w:r>
      <w:r w:rsidRPr="00EF2A90">
        <w:t>a</w:t>
      </w:r>
      <w:r>
        <w:t xml:space="preserve"> </w:t>
      </w:r>
      <w:r w:rsidRPr="00EF2A90">
        <w:t>určit</w:t>
      </w:r>
      <w:r>
        <w:t xml:space="preserve"> </w:t>
      </w:r>
      <w:r w:rsidRPr="00EF2A90">
        <w:t>rozsah</w:t>
      </w:r>
      <w:r>
        <w:t xml:space="preserve"> </w:t>
      </w:r>
      <w:r w:rsidRPr="00EF2A90">
        <w:t>a</w:t>
      </w:r>
      <w:r>
        <w:t xml:space="preserve"> </w:t>
      </w:r>
      <w:r w:rsidRPr="00EF2A90">
        <w:t>dobu</w:t>
      </w:r>
      <w:r>
        <w:t xml:space="preserve"> </w:t>
      </w:r>
      <w:r w:rsidRPr="00EF2A90">
        <w:t>plnění</w:t>
      </w:r>
      <w:r>
        <w:t xml:space="preserve"> </w:t>
      </w:r>
      <w:r w:rsidRPr="00EF2A90">
        <w:t>této</w:t>
      </w:r>
      <w:r>
        <w:t xml:space="preserve"> </w:t>
      </w:r>
      <w:r w:rsidRPr="00EF2A90">
        <w:t>povinnosti;</w:t>
      </w:r>
      <w:r>
        <w:t xml:space="preserve"> </w:t>
      </w:r>
      <w:r w:rsidRPr="00EF2A90">
        <w:t>postup</w:t>
      </w:r>
      <w:r>
        <w:t xml:space="preserve"> </w:t>
      </w:r>
      <w:r w:rsidRPr="00EF2A90">
        <w:t>při</w:t>
      </w:r>
      <w:r>
        <w:t xml:space="preserve"> </w:t>
      </w:r>
      <w:r w:rsidRPr="00EF2A90">
        <w:t>odběru</w:t>
      </w:r>
      <w:r>
        <w:t xml:space="preserve"> </w:t>
      </w:r>
      <w:r w:rsidRPr="00EF2A90">
        <w:t>a</w:t>
      </w:r>
      <w:r>
        <w:t xml:space="preserve"> </w:t>
      </w:r>
      <w:r w:rsidRPr="00EF2A90">
        <w:t>uchovávání</w:t>
      </w:r>
      <w:r>
        <w:t xml:space="preserve"> </w:t>
      </w:r>
      <w:r w:rsidRPr="00EF2A90">
        <w:t>vzorků</w:t>
      </w:r>
      <w:r>
        <w:t xml:space="preserve"> </w:t>
      </w:r>
      <w:r w:rsidRPr="00EF2A90">
        <w:t>pokrmů</w:t>
      </w:r>
      <w:r>
        <w:t xml:space="preserve"> </w:t>
      </w:r>
      <w:r w:rsidRPr="00EF2A90">
        <w:t>upraví</w:t>
      </w:r>
      <w:r>
        <w:t xml:space="preserve"> </w:t>
      </w:r>
      <w:r w:rsidRPr="00EF2A90">
        <w:t>prováděcí</w:t>
      </w:r>
      <w:r>
        <w:t xml:space="preserve"> </w:t>
      </w:r>
      <w:r w:rsidRPr="00EF2A90">
        <w:t>právní</w:t>
      </w:r>
      <w:r>
        <w:t xml:space="preserve"> </w:t>
      </w:r>
      <w:r w:rsidRPr="00EF2A90">
        <w:t>předpis,</w:t>
      </w:r>
    </w:p>
    <w:p w14:paraId="54625951" w14:textId="01D3A003" w:rsidR="00965B9F" w:rsidRDefault="00965B9F" w:rsidP="0096635B">
      <w:pPr>
        <w:pStyle w:val="Textparagrafu"/>
        <w:tabs>
          <w:tab w:val="left" w:pos="406"/>
        </w:tabs>
        <w:spacing w:before="0"/>
        <w:ind w:left="426" w:hanging="426"/>
      </w:pPr>
      <w:r w:rsidRPr="00EF2A90">
        <w:t>r)</w:t>
      </w:r>
      <w:r w:rsidR="005C1713">
        <w:tab/>
      </w:r>
      <w:r w:rsidRPr="00EF2A90">
        <w:t>provádět</w:t>
      </w:r>
      <w:r>
        <w:t xml:space="preserve"> </w:t>
      </w:r>
      <w:r w:rsidRPr="00EF2A90">
        <w:t>epidemiologické</w:t>
      </w:r>
      <w:r>
        <w:t xml:space="preserve"> </w:t>
      </w:r>
      <w:r w:rsidRPr="00EF2A90">
        <w:t>šetření</w:t>
      </w:r>
      <w:r>
        <w:t xml:space="preserve"> </w:t>
      </w:r>
      <w:r w:rsidRPr="00EF2A90">
        <w:t>podle</w:t>
      </w:r>
      <w:r>
        <w:t xml:space="preserve"> </w:t>
      </w:r>
      <w:r w:rsidRPr="00EF2A90">
        <w:t>§</w:t>
      </w:r>
      <w:r>
        <w:t xml:space="preserve"> </w:t>
      </w:r>
      <w:r w:rsidRPr="00EF2A90">
        <w:t>62a,</w:t>
      </w:r>
    </w:p>
    <w:p w14:paraId="5C095975" w14:textId="6D8B6938" w:rsidR="00965B9F" w:rsidRDefault="00965B9F" w:rsidP="0096635B">
      <w:pPr>
        <w:pStyle w:val="Textparagrafu"/>
        <w:tabs>
          <w:tab w:val="left" w:pos="406"/>
        </w:tabs>
        <w:spacing w:before="0"/>
        <w:ind w:left="426" w:hanging="426"/>
      </w:pPr>
      <w:r w:rsidRPr="00EF2A90">
        <w:t>s)</w:t>
      </w:r>
      <w:r w:rsidR="005C1713">
        <w:tab/>
      </w:r>
      <w:r w:rsidRPr="00EF2A90">
        <w:t>usměrňovat</w:t>
      </w:r>
      <w:r>
        <w:t xml:space="preserve"> </w:t>
      </w:r>
      <w:r w:rsidRPr="00EF2A90">
        <w:t>činnost</w:t>
      </w:r>
      <w:r>
        <w:t xml:space="preserve"> </w:t>
      </w:r>
      <w:r w:rsidRPr="00EF2A90">
        <w:t>osob</w:t>
      </w:r>
      <w:r>
        <w:t xml:space="preserve"> </w:t>
      </w:r>
      <w:r w:rsidRPr="00EF2A90">
        <w:t>poskytujících</w:t>
      </w:r>
      <w:r>
        <w:t xml:space="preserve"> </w:t>
      </w:r>
      <w:r w:rsidRPr="00EF2A90">
        <w:t>péči</w:t>
      </w:r>
      <w:r>
        <w:t xml:space="preserve"> </w:t>
      </w:r>
      <w:r w:rsidRPr="00EF2A90">
        <w:t>(§</w:t>
      </w:r>
      <w:r>
        <w:t xml:space="preserve"> </w:t>
      </w:r>
      <w:r w:rsidRPr="00EF2A90">
        <w:t>15</w:t>
      </w:r>
      <w:r>
        <w:t xml:space="preserve"> </w:t>
      </w:r>
      <w:r w:rsidRPr="00EF2A90">
        <w:t>odst.</w:t>
      </w:r>
      <w:r>
        <w:t xml:space="preserve"> </w:t>
      </w:r>
      <w:r w:rsidRPr="00EF2A90">
        <w:t>1)</w:t>
      </w:r>
      <w:r>
        <w:t xml:space="preserve"> </w:t>
      </w:r>
      <w:r w:rsidRPr="00EF2A90">
        <w:t>v</w:t>
      </w:r>
      <w:r>
        <w:t xml:space="preserve"> </w:t>
      </w:r>
      <w:r w:rsidRPr="00EF2A90">
        <w:t>oblasti</w:t>
      </w:r>
      <w:r>
        <w:t xml:space="preserve"> </w:t>
      </w:r>
      <w:r w:rsidRPr="00EF2A90">
        <w:t>hygieny</w:t>
      </w:r>
      <w:r>
        <w:t xml:space="preserve"> </w:t>
      </w:r>
      <w:r w:rsidRPr="00EF2A90">
        <w:t>provozu</w:t>
      </w:r>
      <w:r>
        <w:t xml:space="preserve"> </w:t>
      </w:r>
      <w:r w:rsidRPr="00EF2A90">
        <w:t>a</w:t>
      </w:r>
      <w:r>
        <w:t xml:space="preserve"> </w:t>
      </w:r>
      <w:r w:rsidRPr="00EF2A90">
        <w:t>předcházení</w:t>
      </w:r>
      <w:r>
        <w:t xml:space="preserve"> </w:t>
      </w:r>
      <w:r w:rsidRPr="00EF2A90">
        <w:t>infekcím</w:t>
      </w:r>
      <w:r>
        <w:t xml:space="preserve"> </w:t>
      </w:r>
      <w:r w:rsidRPr="00EF2A90">
        <w:t>spojeným</w:t>
      </w:r>
      <w:r>
        <w:t xml:space="preserve"> </w:t>
      </w:r>
      <w:r w:rsidRPr="00EF2A90">
        <w:t>se</w:t>
      </w:r>
      <w:r>
        <w:t xml:space="preserve"> </w:t>
      </w:r>
      <w:r w:rsidRPr="00EF2A90">
        <w:t>zdravotní</w:t>
      </w:r>
      <w:r>
        <w:t xml:space="preserve"> </w:t>
      </w:r>
      <w:r w:rsidRPr="00EF2A90">
        <w:t>péčí</w:t>
      </w:r>
      <w:r>
        <w:t xml:space="preserve"> </w:t>
      </w:r>
      <w:r w:rsidRPr="00EF2A90">
        <w:t>a</w:t>
      </w:r>
      <w:r>
        <w:t xml:space="preserve"> </w:t>
      </w:r>
      <w:r w:rsidRPr="00EF2A90">
        <w:t>kontrolovat</w:t>
      </w:r>
      <w:r>
        <w:t xml:space="preserve"> </w:t>
      </w:r>
      <w:r w:rsidRPr="00EF2A90">
        <w:t>ji,</w:t>
      </w:r>
      <w:r>
        <w:t xml:space="preserve"> </w:t>
      </w:r>
      <w:r w:rsidRPr="00EF2A90">
        <w:t>provádět</w:t>
      </w:r>
      <w:r>
        <w:t xml:space="preserve"> </w:t>
      </w:r>
      <w:r w:rsidRPr="00EF2A90">
        <w:t>u</w:t>
      </w:r>
      <w:r>
        <w:t xml:space="preserve"> </w:t>
      </w:r>
      <w:r w:rsidRPr="00EF2A90">
        <w:t>poskytovatele</w:t>
      </w:r>
      <w:r>
        <w:t xml:space="preserve"> </w:t>
      </w:r>
      <w:r w:rsidRPr="00EF2A90">
        <w:t>poskytujícího</w:t>
      </w:r>
      <w:r>
        <w:t xml:space="preserve"> </w:t>
      </w:r>
      <w:r w:rsidRPr="00EF2A90">
        <w:t>akutní,</w:t>
      </w:r>
      <w:r>
        <w:t xml:space="preserve"> </w:t>
      </w:r>
      <w:r w:rsidRPr="00EF2A90">
        <w:t>následnou</w:t>
      </w:r>
      <w:r>
        <w:t xml:space="preserve"> </w:t>
      </w:r>
      <w:r w:rsidRPr="00EF2A90">
        <w:t>nebo</w:t>
      </w:r>
      <w:r>
        <w:t xml:space="preserve"> </w:t>
      </w:r>
      <w:r w:rsidRPr="00EF2A90">
        <w:t>dlouhodobou</w:t>
      </w:r>
      <w:r>
        <w:t xml:space="preserve"> </w:t>
      </w:r>
      <w:r w:rsidRPr="00EF2A90">
        <w:t>lůžkovou</w:t>
      </w:r>
      <w:r>
        <w:t xml:space="preserve"> </w:t>
      </w:r>
      <w:r w:rsidRPr="00EF2A90">
        <w:t>péči</w:t>
      </w:r>
      <w:r>
        <w:t xml:space="preserve"> </w:t>
      </w:r>
      <w:r w:rsidRPr="00EF2A90">
        <w:t>prevalenční</w:t>
      </w:r>
      <w:r>
        <w:t xml:space="preserve"> </w:t>
      </w:r>
      <w:r w:rsidRPr="00EF2A90">
        <w:t>studie</w:t>
      </w:r>
      <w:r>
        <w:t xml:space="preserve"> </w:t>
      </w:r>
      <w:r w:rsidRPr="00EF2A90">
        <w:t>infekcí</w:t>
      </w:r>
      <w:r>
        <w:t xml:space="preserve"> </w:t>
      </w:r>
      <w:r w:rsidRPr="00EF2A90">
        <w:t>spojených</w:t>
      </w:r>
      <w:r>
        <w:t xml:space="preserve"> </w:t>
      </w:r>
      <w:r w:rsidRPr="00EF2A90">
        <w:t>se</w:t>
      </w:r>
      <w:r>
        <w:t xml:space="preserve"> </w:t>
      </w:r>
      <w:r w:rsidRPr="00EF2A90">
        <w:t>zdravotní</w:t>
      </w:r>
      <w:r>
        <w:t xml:space="preserve"> </w:t>
      </w:r>
      <w:r w:rsidRPr="00EF2A90">
        <w:t>péčí,</w:t>
      </w:r>
    </w:p>
    <w:p w14:paraId="6DB9BFF5" w14:textId="6463557C" w:rsidR="00965B9F" w:rsidRDefault="00965B9F" w:rsidP="0096635B">
      <w:pPr>
        <w:pStyle w:val="Textparagrafu"/>
        <w:tabs>
          <w:tab w:val="left" w:pos="406"/>
        </w:tabs>
        <w:spacing w:before="0"/>
        <w:ind w:left="426" w:hanging="426"/>
      </w:pPr>
      <w:r w:rsidRPr="00EF2A90">
        <w:t>t)</w:t>
      </w:r>
      <w:r w:rsidR="005C1713">
        <w:tab/>
      </w:r>
      <w:r w:rsidRPr="00EF2A90">
        <w:t>provádět</w:t>
      </w:r>
      <w:r>
        <w:t xml:space="preserve"> </w:t>
      </w:r>
      <w:r w:rsidRPr="00EF2A90">
        <w:t>hodnocení</w:t>
      </w:r>
      <w:r>
        <w:t xml:space="preserve"> </w:t>
      </w:r>
      <w:r w:rsidRPr="00EF2A90">
        <w:t>a</w:t>
      </w:r>
      <w:r>
        <w:t xml:space="preserve"> </w:t>
      </w:r>
      <w:r w:rsidRPr="00EF2A90">
        <w:t>řízení</w:t>
      </w:r>
      <w:r>
        <w:t xml:space="preserve"> </w:t>
      </w:r>
      <w:r w:rsidRPr="00EF2A90">
        <w:t>zdravotních</w:t>
      </w:r>
      <w:r>
        <w:t xml:space="preserve"> </w:t>
      </w:r>
      <w:r w:rsidRPr="00EF2A90">
        <w:t>rizik</w:t>
      </w:r>
      <w:r>
        <w:t xml:space="preserve"> </w:t>
      </w:r>
      <w:r w:rsidRPr="00EF2A90">
        <w:t>z</w:t>
      </w:r>
      <w:r>
        <w:t xml:space="preserve"> </w:t>
      </w:r>
      <w:r w:rsidRPr="00EF2A90">
        <w:t>hlediska</w:t>
      </w:r>
      <w:r>
        <w:t xml:space="preserve"> </w:t>
      </w:r>
      <w:r w:rsidRPr="00EF2A90">
        <w:t>prevence</w:t>
      </w:r>
      <w:r>
        <w:t xml:space="preserve"> </w:t>
      </w:r>
      <w:r w:rsidRPr="00EF2A90">
        <w:t>negativního</w:t>
      </w:r>
      <w:r>
        <w:t xml:space="preserve"> </w:t>
      </w:r>
      <w:r w:rsidRPr="00EF2A90">
        <w:t>ovlivnění</w:t>
      </w:r>
      <w:r>
        <w:t xml:space="preserve"> </w:t>
      </w:r>
      <w:r w:rsidRPr="00EF2A90">
        <w:t>zdravotního</w:t>
      </w:r>
      <w:r>
        <w:t xml:space="preserve"> </w:t>
      </w:r>
      <w:r w:rsidRPr="00EF2A90">
        <w:t>stavu</w:t>
      </w:r>
      <w:r>
        <w:t xml:space="preserve"> </w:t>
      </w:r>
      <w:r w:rsidRPr="00EF2A90">
        <w:t>obyvatelstva</w:t>
      </w:r>
      <w:r>
        <w:t xml:space="preserve"> </w:t>
      </w:r>
      <w:r w:rsidRPr="00EF2A90">
        <w:t>a</w:t>
      </w:r>
      <w:r>
        <w:t xml:space="preserve"> </w:t>
      </w:r>
      <w:r w:rsidRPr="00EF2A90">
        <w:t>podílet</w:t>
      </w:r>
      <w:r>
        <w:t xml:space="preserve"> </w:t>
      </w:r>
      <w:r w:rsidRPr="00EF2A90">
        <w:t>se</w:t>
      </w:r>
      <w:r>
        <w:t xml:space="preserve"> </w:t>
      </w:r>
      <w:r w:rsidRPr="00EF2A90">
        <w:t>na</w:t>
      </w:r>
      <w:r>
        <w:t xml:space="preserve"> </w:t>
      </w:r>
      <w:r w:rsidRPr="00EF2A90">
        <w:t>monitorování</w:t>
      </w:r>
      <w:r>
        <w:t xml:space="preserve"> </w:t>
      </w:r>
      <w:r w:rsidRPr="00EF2A90">
        <w:t>vztahů</w:t>
      </w:r>
      <w:r>
        <w:t xml:space="preserve"> </w:t>
      </w:r>
      <w:r w:rsidRPr="00EF2A90">
        <w:t>zdravotního</w:t>
      </w:r>
      <w:r>
        <w:t xml:space="preserve"> </w:t>
      </w:r>
      <w:r w:rsidRPr="00EF2A90">
        <w:t>stavu</w:t>
      </w:r>
      <w:r>
        <w:t xml:space="preserve"> </w:t>
      </w:r>
      <w:r w:rsidRPr="00EF2A90">
        <w:t>obyvatelstva</w:t>
      </w:r>
      <w:r>
        <w:t xml:space="preserve"> </w:t>
      </w:r>
      <w:r w:rsidRPr="00EF2A90">
        <w:t>a</w:t>
      </w:r>
      <w:r>
        <w:t xml:space="preserve"> </w:t>
      </w:r>
      <w:r w:rsidRPr="00EF2A90">
        <w:t>faktorů</w:t>
      </w:r>
      <w:r>
        <w:t xml:space="preserve"> </w:t>
      </w:r>
      <w:r w:rsidRPr="00EF2A90">
        <w:t>životního</w:t>
      </w:r>
      <w:r>
        <w:t xml:space="preserve"> </w:t>
      </w:r>
      <w:r w:rsidRPr="00EF2A90">
        <w:t>prostředí</w:t>
      </w:r>
      <w:r>
        <w:t xml:space="preserve"> </w:t>
      </w:r>
      <w:r w:rsidRPr="00EF2A90">
        <w:t>a</w:t>
      </w:r>
      <w:r>
        <w:t xml:space="preserve"> </w:t>
      </w:r>
      <w:r w:rsidRPr="00EF2A90">
        <w:t>životních</w:t>
      </w:r>
      <w:r>
        <w:t xml:space="preserve"> </w:t>
      </w:r>
      <w:r w:rsidRPr="00EF2A90">
        <w:t>a</w:t>
      </w:r>
      <w:r>
        <w:t xml:space="preserve"> </w:t>
      </w:r>
      <w:r w:rsidRPr="00EF2A90">
        <w:t>pracovních</w:t>
      </w:r>
      <w:r>
        <w:t xml:space="preserve"> </w:t>
      </w:r>
      <w:r w:rsidRPr="00EF2A90">
        <w:t>podmínek;</w:t>
      </w:r>
      <w:r>
        <w:t xml:space="preserve"> </w:t>
      </w:r>
      <w:r w:rsidRPr="00EF2A90">
        <w:t>iniciovat</w:t>
      </w:r>
      <w:r>
        <w:t xml:space="preserve"> </w:t>
      </w:r>
      <w:r w:rsidRPr="00EF2A90">
        <w:t>a</w:t>
      </w:r>
      <w:r>
        <w:t xml:space="preserve"> </w:t>
      </w:r>
      <w:r w:rsidRPr="00EF2A90">
        <w:t>podílet</w:t>
      </w:r>
      <w:r>
        <w:t xml:space="preserve"> </w:t>
      </w:r>
      <w:r w:rsidRPr="00EF2A90">
        <w:t>se</w:t>
      </w:r>
      <w:r>
        <w:t xml:space="preserve"> </w:t>
      </w:r>
      <w:r w:rsidRPr="00EF2A90">
        <w:t>na</w:t>
      </w:r>
      <w:r>
        <w:t xml:space="preserve"> </w:t>
      </w:r>
      <w:r w:rsidRPr="00EF2A90">
        <w:t>tvorbě,</w:t>
      </w:r>
      <w:r>
        <w:t xml:space="preserve"> </w:t>
      </w:r>
      <w:r w:rsidRPr="00EF2A90">
        <w:t>řízení</w:t>
      </w:r>
      <w:r>
        <w:t xml:space="preserve"> </w:t>
      </w:r>
      <w:r w:rsidRPr="00EF2A90">
        <w:t>a</w:t>
      </w:r>
      <w:r>
        <w:t xml:space="preserve"> </w:t>
      </w:r>
      <w:r w:rsidRPr="00EF2A90">
        <w:t>kontrole</w:t>
      </w:r>
      <w:r>
        <w:t xml:space="preserve"> </w:t>
      </w:r>
      <w:r w:rsidRPr="00EF2A90">
        <w:t>programů</w:t>
      </w:r>
      <w:r>
        <w:t xml:space="preserve"> </w:t>
      </w:r>
      <w:r w:rsidRPr="00EF2A90">
        <w:t>ochrany</w:t>
      </w:r>
      <w:r>
        <w:t xml:space="preserve"> </w:t>
      </w:r>
      <w:r w:rsidRPr="00EF2A90">
        <w:t>a</w:t>
      </w:r>
      <w:r>
        <w:t xml:space="preserve"> </w:t>
      </w:r>
      <w:r w:rsidRPr="00EF2A90">
        <w:t>podpory</w:t>
      </w:r>
      <w:r>
        <w:t xml:space="preserve"> </w:t>
      </w:r>
      <w:r w:rsidRPr="00EF2A90">
        <w:t>veřejného</w:t>
      </w:r>
      <w:r>
        <w:t xml:space="preserve"> </w:t>
      </w:r>
      <w:r w:rsidRPr="00EF2A90">
        <w:t>zdraví</w:t>
      </w:r>
      <w:r>
        <w:t xml:space="preserve"> </w:t>
      </w:r>
      <w:r w:rsidRPr="00EF2A90">
        <w:t>včetně</w:t>
      </w:r>
      <w:r>
        <w:t xml:space="preserve"> </w:t>
      </w:r>
      <w:r w:rsidRPr="00EF2A90">
        <w:t>prevence</w:t>
      </w:r>
      <w:r>
        <w:t xml:space="preserve"> </w:t>
      </w:r>
      <w:r w:rsidRPr="00EF2A90">
        <w:t>nemocí</w:t>
      </w:r>
      <w:r>
        <w:t xml:space="preserve"> </w:t>
      </w:r>
      <w:r w:rsidRPr="00EF2A90">
        <w:t>a</w:t>
      </w:r>
      <w:r>
        <w:t xml:space="preserve"> </w:t>
      </w:r>
      <w:r w:rsidRPr="00EF2A90">
        <w:t>zdravotních</w:t>
      </w:r>
      <w:r>
        <w:t xml:space="preserve"> </w:t>
      </w:r>
      <w:r w:rsidRPr="00EF2A90">
        <w:t>rizik,</w:t>
      </w:r>
    </w:p>
    <w:p w14:paraId="0A060DC6" w14:textId="34EE4F25" w:rsidR="00965B9F" w:rsidRDefault="00965B9F" w:rsidP="0096635B">
      <w:pPr>
        <w:pStyle w:val="Textparagrafu"/>
        <w:tabs>
          <w:tab w:val="left" w:pos="406"/>
        </w:tabs>
        <w:spacing w:before="0"/>
        <w:ind w:left="426" w:hanging="426"/>
      </w:pPr>
      <w:r w:rsidRPr="00EF2A90">
        <w:lastRenderedPageBreak/>
        <w:t>u)</w:t>
      </w:r>
      <w:r w:rsidR="005C1713">
        <w:tab/>
      </w:r>
      <w:r w:rsidRPr="00EF2A90">
        <w:t>spolupracovat</w:t>
      </w:r>
      <w:r>
        <w:t xml:space="preserve"> </w:t>
      </w:r>
      <w:r w:rsidRPr="00EF2A90">
        <w:t>se</w:t>
      </w:r>
      <w:r>
        <w:t xml:space="preserve"> </w:t>
      </w:r>
      <w:r w:rsidRPr="00EF2A90">
        <w:t>správními</w:t>
      </w:r>
      <w:r>
        <w:t xml:space="preserve"> </w:t>
      </w:r>
      <w:r w:rsidRPr="00EF2A90">
        <w:t>úřady</w:t>
      </w:r>
      <w:r>
        <w:t xml:space="preserve"> </w:t>
      </w:r>
      <w:r w:rsidRPr="00EF2A90">
        <w:t>a</w:t>
      </w:r>
      <w:r>
        <w:t xml:space="preserve"> </w:t>
      </w:r>
      <w:r w:rsidRPr="00EF2A90">
        <w:t>s</w:t>
      </w:r>
      <w:r>
        <w:t xml:space="preserve"> </w:t>
      </w:r>
      <w:r w:rsidRPr="00EF2A90">
        <w:t>orgány</w:t>
      </w:r>
      <w:r>
        <w:t xml:space="preserve"> </w:t>
      </w:r>
      <w:r w:rsidRPr="00EF2A90">
        <w:t>samosprávy</w:t>
      </w:r>
      <w:r>
        <w:t xml:space="preserve"> </w:t>
      </w:r>
      <w:r w:rsidRPr="00EF2A90">
        <w:t>při</w:t>
      </w:r>
      <w:r>
        <w:t xml:space="preserve"> </w:t>
      </w:r>
      <w:r w:rsidRPr="00EF2A90">
        <w:t>tvorbě</w:t>
      </w:r>
      <w:r>
        <w:t xml:space="preserve"> </w:t>
      </w:r>
      <w:r w:rsidRPr="00EF2A90">
        <w:t>regionální</w:t>
      </w:r>
      <w:r>
        <w:t xml:space="preserve"> </w:t>
      </w:r>
      <w:r w:rsidRPr="00EF2A90">
        <w:t>zdravotní</w:t>
      </w:r>
      <w:r>
        <w:t xml:space="preserve"> </w:t>
      </w:r>
      <w:r w:rsidRPr="00EF2A90">
        <w:t>politiky</w:t>
      </w:r>
      <w:r>
        <w:t xml:space="preserve"> </w:t>
      </w:r>
      <w:r w:rsidRPr="00EF2A90">
        <w:t>ochrany</w:t>
      </w:r>
      <w:r>
        <w:t xml:space="preserve"> </w:t>
      </w:r>
      <w:r w:rsidRPr="00EF2A90">
        <w:t>a</w:t>
      </w:r>
      <w:r>
        <w:t xml:space="preserve"> </w:t>
      </w:r>
      <w:r w:rsidRPr="00EF2A90">
        <w:t>podpory</w:t>
      </w:r>
      <w:r>
        <w:t xml:space="preserve"> </w:t>
      </w:r>
      <w:r w:rsidRPr="00EF2A90">
        <w:t>veřejného</w:t>
      </w:r>
      <w:r>
        <w:t xml:space="preserve"> </w:t>
      </w:r>
      <w:r w:rsidRPr="00EF2A90">
        <w:t>zdraví</w:t>
      </w:r>
      <w:r>
        <w:t xml:space="preserve"> </w:t>
      </w:r>
      <w:r w:rsidRPr="00EF2A90">
        <w:t>a</w:t>
      </w:r>
      <w:r>
        <w:t xml:space="preserve"> </w:t>
      </w:r>
      <w:r w:rsidRPr="00EF2A90">
        <w:t>při</w:t>
      </w:r>
      <w:r>
        <w:t xml:space="preserve"> </w:t>
      </w:r>
      <w:r w:rsidRPr="00EF2A90">
        <w:t>rozvoji</w:t>
      </w:r>
      <w:r>
        <w:t xml:space="preserve"> </w:t>
      </w:r>
      <w:r w:rsidRPr="00EF2A90">
        <w:t>a</w:t>
      </w:r>
      <w:r>
        <w:t xml:space="preserve"> </w:t>
      </w:r>
      <w:r w:rsidRPr="00EF2A90">
        <w:t>realizaci</w:t>
      </w:r>
      <w:r>
        <w:t xml:space="preserve"> </w:t>
      </w:r>
      <w:r w:rsidRPr="00EF2A90">
        <w:t>opatření</w:t>
      </w:r>
      <w:r>
        <w:t xml:space="preserve"> </w:t>
      </w:r>
      <w:r w:rsidRPr="00EF2A90">
        <w:t>vedoucích</w:t>
      </w:r>
      <w:r>
        <w:t xml:space="preserve"> </w:t>
      </w:r>
      <w:r w:rsidRPr="00EF2A90">
        <w:t>ke</w:t>
      </w:r>
      <w:r>
        <w:t xml:space="preserve"> </w:t>
      </w:r>
      <w:r w:rsidRPr="00EF2A90">
        <w:t>zlepšování</w:t>
      </w:r>
      <w:r>
        <w:t xml:space="preserve"> </w:t>
      </w:r>
      <w:r w:rsidRPr="00EF2A90">
        <w:t>zdravotního</w:t>
      </w:r>
      <w:r>
        <w:t xml:space="preserve"> </w:t>
      </w:r>
      <w:r w:rsidRPr="00EF2A90">
        <w:t>stavu</w:t>
      </w:r>
      <w:r>
        <w:t xml:space="preserve"> </w:t>
      </w:r>
      <w:r w:rsidRPr="00EF2A90">
        <w:t>a</w:t>
      </w:r>
      <w:r>
        <w:t xml:space="preserve"> </w:t>
      </w:r>
      <w:r w:rsidRPr="00EF2A90">
        <w:t>kvality</w:t>
      </w:r>
      <w:r>
        <w:t xml:space="preserve"> </w:t>
      </w:r>
      <w:r w:rsidRPr="00EF2A90">
        <w:t>života</w:t>
      </w:r>
      <w:r>
        <w:t xml:space="preserve"> </w:t>
      </w:r>
      <w:r w:rsidRPr="00EF2A90">
        <w:t>obyvatelstva</w:t>
      </w:r>
      <w:r>
        <w:t xml:space="preserve"> </w:t>
      </w:r>
      <w:r w:rsidRPr="00EF2A90">
        <w:t>příslušného</w:t>
      </w:r>
      <w:r>
        <w:t xml:space="preserve"> </w:t>
      </w:r>
      <w:r w:rsidRPr="00EF2A90">
        <w:t>regionu;</w:t>
      </w:r>
      <w:r>
        <w:t xml:space="preserve"> </w:t>
      </w:r>
      <w:r w:rsidRPr="00EF2A90">
        <w:t>zajišťovat</w:t>
      </w:r>
      <w:r>
        <w:t xml:space="preserve"> </w:t>
      </w:r>
      <w:r w:rsidRPr="00EF2A90">
        <w:t>vyhodnocování</w:t>
      </w:r>
      <w:r>
        <w:t xml:space="preserve"> </w:t>
      </w:r>
      <w:r w:rsidRPr="00EF2A90">
        <w:t>efektivity</w:t>
      </w:r>
      <w:r>
        <w:t xml:space="preserve"> </w:t>
      </w:r>
      <w:r w:rsidRPr="00EF2A90">
        <w:t>realizovaných</w:t>
      </w:r>
      <w:r>
        <w:t xml:space="preserve"> </w:t>
      </w:r>
      <w:r w:rsidRPr="00EF2A90">
        <w:t>opatření</w:t>
      </w:r>
      <w:r>
        <w:t xml:space="preserve"> </w:t>
      </w:r>
      <w:r w:rsidRPr="00EF2A90">
        <w:t>a</w:t>
      </w:r>
      <w:r>
        <w:t xml:space="preserve"> </w:t>
      </w:r>
      <w:r w:rsidRPr="00EF2A90">
        <w:t>programů</w:t>
      </w:r>
      <w:r>
        <w:t xml:space="preserve"> </w:t>
      </w:r>
      <w:r w:rsidRPr="00EF2A90">
        <w:t>v</w:t>
      </w:r>
      <w:r>
        <w:t xml:space="preserve"> </w:t>
      </w:r>
      <w:r w:rsidRPr="00EF2A90">
        <w:t>oblasti</w:t>
      </w:r>
      <w:r>
        <w:t xml:space="preserve"> </w:t>
      </w:r>
      <w:r w:rsidRPr="00EF2A90">
        <w:t>ochrany</w:t>
      </w:r>
      <w:r>
        <w:t xml:space="preserve"> </w:t>
      </w:r>
      <w:r w:rsidRPr="00EF2A90">
        <w:t>a</w:t>
      </w:r>
      <w:r>
        <w:t xml:space="preserve"> </w:t>
      </w:r>
      <w:r w:rsidRPr="00EF2A90">
        <w:t>podpory</w:t>
      </w:r>
      <w:r>
        <w:t xml:space="preserve"> </w:t>
      </w:r>
      <w:r w:rsidRPr="00EF2A90">
        <w:t>veřejného</w:t>
      </w:r>
      <w:r>
        <w:t xml:space="preserve"> </w:t>
      </w:r>
      <w:r w:rsidRPr="00EF2A90">
        <w:t>zdraví</w:t>
      </w:r>
      <w:r>
        <w:t xml:space="preserve"> </w:t>
      </w:r>
      <w:r w:rsidRPr="00EF2A90">
        <w:t>včetně</w:t>
      </w:r>
      <w:r>
        <w:t xml:space="preserve"> </w:t>
      </w:r>
      <w:r w:rsidRPr="00EF2A90">
        <w:t>prevence</w:t>
      </w:r>
      <w:r>
        <w:t xml:space="preserve"> </w:t>
      </w:r>
      <w:r w:rsidRPr="00EF2A90">
        <w:t>nemocí</w:t>
      </w:r>
      <w:r>
        <w:t xml:space="preserve"> </w:t>
      </w:r>
      <w:r w:rsidRPr="00EF2A90">
        <w:t>a</w:t>
      </w:r>
      <w:r>
        <w:t xml:space="preserve"> </w:t>
      </w:r>
      <w:r w:rsidRPr="00EF2A90">
        <w:t>zdravotních</w:t>
      </w:r>
      <w:r>
        <w:t xml:space="preserve"> </w:t>
      </w:r>
      <w:r w:rsidRPr="00EF2A90">
        <w:t>rizik,</w:t>
      </w:r>
      <w:r>
        <w:t xml:space="preserve"> </w:t>
      </w:r>
      <w:r w:rsidRPr="00EF2A90">
        <w:t>zajišťovat</w:t>
      </w:r>
      <w:r>
        <w:t xml:space="preserve"> </w:t>
      </w:r>
      <w:r w:rsidRPr="00EF2A90">
        <w:t>minimálně</w:t>
      </w:r>
      <w:r>
        <w:t xml:space="preserve"> </w:t>
      </w:r>
      <w:r w:rsidRPr="00EF2A90">
        <w:t>jednou</w:t>
      </w:r>
      <w:r>
        <w:t xml:space="preserve"> </w:t>
      </w:r>
      <w:r w:rsidRPr="00EF2A90">
        <w:t>za</w:t>
      </w:r>
      <w:r>
        <w:t xml:space="preserve"> </w:t>
      </w:r>
      <w:r w:rsidRPr="00EF2A90">
        <w:t>5</w:t>
      </w:r>
      <w:r>
        <w:t xml:space="preserve"> </w:t>
      </w:r>
      <w:r w:rsidRPr="00EF2A90">
        <w:t>let</w:t>
      </w:r>
      <w:r>
        <w:t xml:space="preserve"> </w:t>
      </w:r>
      <w:r w:rsidRPr="00EF2A90">
        <w:t>hodnocení</w:t>
      </w:r>
      <w:r>
        <w:t xml:space="preserve"> </w:t>
      </w:r>
      <w:r w:rsidRPr="00EF2A90">
        <w:t>zdravotního</w:t>
      </w:r>
      <w:r>
        <w:t xml:space="preserve"> </w:t>
      </w:r>
      <w:r w:rsidRPr="00EF2A90">
        <w:t>stavu</w:t>
      </w:r>
      <w:r>
        <w:t xml:space="preserve"> </w:t>
      </w:r>
      <w:r w:rsidRPr="00EF2A90">
        <w:t>obyvatelstva</w:t>
      </w:r>
      <w:r>
        <w:t xml:space="preserve"> </w:t>
      </w:r>
      <w:r w:rsidRPr="00EF2A90">
        <w:t>příslušného</w:t>
      </w:r>
      <w:r>
        <w:t xml:space="preserve"> </w:t>
      </w:r>
      <w:r w:rsidRPr="00EF2A90">
        <w:t>regionu</w:t>
      </w:r>
      <w:r>
        <w:t xml:space="preserve"> </w:t>
      </w:r>
      <w:r w:rsidRPr="00EF2A90">
        <w:t>z</w:t>
      </w:r>
      <w:r>
        <w:t xml:space="preserve"> </w:t>
      </w:r>
      <w:r w:rsidRPr="00EF2A90">
        <w:t>hlediska</w:t>
      </w:r>
      <w:r>
        <w:t xml:space="preserve"> </w:t>
      </w:r>
      <w:r w:rsidRPr="00EF2A90">
        <w:t>všech</w:t>
      </w:r>
      <w:r>
        <w:t xml:space="preserve"> </w:t>
      </w:r>
      <w:r w:rsidRPr="00EF2A90">
        <w:t>aspektů</w:t>
      </w:r>
      <w:r>
        <w:t xml:space="preserve"> </w:t>
      </w:r>
      <w:r w:rsidRPr="00EF2A90">
        <w:t>ovlivňujících</w:t>
      </w:r>
      <w:r>
        <w:t xml:space="preserve"> </w:t>
      </w:r>
      <w:r w:rsidRPr="00EF2A90">
        <w:t>zdravotní</w:t>
      </w:r>
      <w:r>
        <w:t xml:space="preserve"> </w:t>
      </w:r>
      <w:r w:rsidRPr="00EF2A90">
        <w:t>stav</w:t>
      </w:r>
      <w:r>
        <w:t xml:space="preserve"> </w:t>
      </w:r>
      <w:r w:rsidRPr="00EF2A90">
        <w:t>obyvatelstva</w:t>
      </w:r>
      <w:r>
        <w:t xml:space="preserve"> </w:t>
      </w:r>
      <w:r w:rsidRPr="00EF2A90">
        <w:t>a</w:t>
      </w:r>
      <w:r>
        <w:t xml:space="preserve"> </w:t>
      </w:r>
      <w:r w:rsidRPr="00EF2A90">
        <w:t>navrhnout</w:t>
      </w:r>
      <w:r>
        <w:t xml:space="preserve"> </w:t>
      </w:r>
      <w:r w:rsidRPr="00EF2A90">
        <w:t>k</w:t>
      </w:r>
      <w:r>
        <w:t xml:space="preserve"> </w:t>
      </w:r>
      <w:r w:rsidRPr="00EF2A90">
        <w:t>tomu</w:t>
      </w:r>
      <w:r>
        <w:t xml:space="preserve"> </w:t>
      </w:r>
      <w:r w:rsidRPr="00EF2A90">
        <w:t>priority</w:t>
      </w:r>
      <w:r>
        <w:t xml:space="preserve"> </w:t>
      </w:r>
      <w:r w:rsidRPr="00EF2A90">
        <w:t>k</w:t>
      </w:r>
      <w:r>
        <w:t xml:space="preserve"> </w:t>
      </w:r>
      <w:r w:rsidRPr="00EF2A90">
        <w:t>řešení</w:t>
      </w:r>
      <w:r>
        <w:t xml:space="preserve"> </w:t>
      </w:r>
      <w:r w:rsidRPr="00EF2A90">
        <w:t>problémů</w:t>
      </w:r>
      <w:r>
        <w:t xml:space="preserve"> </w:t>
      </w:r>
      <w:r w:rsidRPr="00EF2A90">
        <w:t>a</w:t>
      </w:r>
      <w:r>
        <w:t xml:space="preserve"> </w:t>
      </w:r>
      <w:r w:rsidRPr="00EF2A90">
        <w:t>zlepšení</w:t>
      </w:r>
      <w:r>
        <w:t xml:space="preserve"> </w:t>
      </w:r>
      <w:r w:rsidRPr="00EF2A90">
        <w:t>zdravotního</w:t>
      </w:r>
      <w:r>
        <w:t xml:space="preserve"> </w:t>
      </w:r>
      <w:r w:rsidRPr="00EF2A90">
        <w:t>stavu</w:t>
      </w:r>
      <w:r>
        <w:t xml:space="preserve"> </w:t>
      </w:r>
      <w:r w:rsidRPr="00EF2A90">
        <w:t>obyvatelstva</w:t>
      </w:r>
      <w:r>
        <w:t xml:space="preserve"> </w:t>
      </w:r>
      <w:r w:rsidRPr="00EF2A90">
        <w:t>příslušného</w:t>
      </w:r>
      <w:r>
        <w:t xml:space="preserve"> </w:t>
      </w:r>
      <w:r w:rsidRPr="00EF2A90">
        <w:t>regionu,</w:t>
      </w:r>
    </w:p>
    <w:p w14:paraId="254B0A79" w14:textId="18BB1BCB" w:rsidR="00965B9F" w:rsidRDefault="00965B9F" w:rsidP="0096635B">
      <w:pPr>
        <w:pStyle w:val="Textparagrafu"/>
        <w:tabs>
          <w:tab w:val="left" w:pos="406"/>
        </w:tabs>
        <w:spacing w:before="0"/>
        <w:ind w:left="426" w:hanging="426"/>
      </w:pPr>
      <w:r w:rsidRPr="00EF2A90">
        <w:t>v)</w:t>
      </w:r>
      <w:r w:rsidR="005C1713">
        <w:tab/>
      </w:r>
      <w:r w:rsidRPr="00EF2A90">
        <w:t>podílet</w:t>
      </w:r>
      <w:r>
        <w:t xml:space="preserve"> </w:t>
      </w:r>
      <w:r w:rsidRPr="00EF2A90">
        <w:t>se</w:t>
      </w:r>
      <w:r>
        <w:t xml:space="preserve"> </w:t>
      </w:r>
      <w:r w:rsidRPr="00EF2A90">
        <w:t>na</w:t>
      </w:r>
      <w:r>
        <w:t xml:space="preserve"> </w:t>
      </w:r>
      <w:r w:rsidRPr="00EF2A90">
        <w:t>úkolech</w:t>
      </w:r>
      <w:r>
        <w:t xml:space="preserve"> </w:t>
      </w:r>
      <w:r w:rsidRPr="00EF2A90">
        <w:t>integrovaného</w:t>
      </w:r>
      <w:r>
        <w:t xml:space="preserve"> </w:t>
      </w:r>
      <w:r w:rsidRPr="00EF2A90">
        <w:t>záchranného</w:t>
      </w:r>
      <w:r>
        <w:t xml:space="preserve"> </w:t>
      </w:r>
      <w:r w:rsidRPr="00EF2A90">
        <w:t>systému;</w:t>
      </w:r>
      <w:r>
        <w:t xml:space="preserve"> </w:t>
      </w:r>
      <w:r w:rsidRPr="00EF2A90">
        <w:t>zpracovávat</w:t>
      </w:r>
      <w:r>
        <w:t xml:space="preserve"> </w:t>
      </w:r>
      <w:r w:rsidRPr="00EF2A90">
        <w:t>ve</w:t>
      </w:r>
      <w:r>
        <w:t xml:space="preserve"> </w:t>
      </w:r>
      <w:r w:rsidRPr="00EF2A90">
        <w:t>spolupráci</w:t>
      </w:r>
      <w:r>
        <w:t xml:space="preserve"> </w:t>
      </w:r>
      <w:r w:rsidRPr="00EF2A90">
        <w:t>s</w:t>
      </w:r>
      <w:r>
        <w:t xml:space="preserve"> </w:t>
      </w:r>
      <w:r w:rsidRPr="00EF2A90">
        <w:t>krajem</w:t>
      </w:r>
      <w:r>
        <w:t xml:space="preserve"> </w:t>
      </w:r>
      <w:r w:rsidRPr="00EF2A90">
        <w:t>a</w:t>
      </w:r>
      <w:r>
        <w:t xml:space="preserve"> </w:t>
      </w:r>
      <w:r w:rsidRPr="00EF2A90">
        <w:t>složkami</w:t>
      </w:r>
      <w:r>
        <w:t xml:space="preserve"> </w:t>
      </w:r>
      <w:r w:rsidRPr="00EF2A90">
        <w:t>integrovaného</w:t>
      </w:r>
      <w:r>
        <w:t xml:space="preserve"> </w:t>
      </w:r>
      <w:r w:rsidRPr="00EF2A90">
        <w:t>záchranného</w:t>
      </w:r>
      <w:r>
        <w:t xml:space="preserve"> </w:t>
      </w:r>
      <w:r w:rsidRPr="00EF2A90">
        <w:t>systému</w:t>
      </w:r>
      <w:r>
        <w:t xml:space="preserve"> </w:t>
      </w:r>
      <w:r w:rsidRPr="00EF2A90">
        <w:t>pandemický</w:t>
      </w:r>
      <w:r>
        <w:t xml:space="preserve"> </w:t>
      </w:r>
      <w:r w:rsidRPr="00EF2A90">
        <w:t>plán</w:t>
      </w:r>
      <w:r>
        <w:t xml:space="preserve"> </w:t>
      </w:r>
      <w:r w:rsidRPr="00EF2A90">
        <w:t>kraje,</w:t>
      </w:r>
      <w:r>
        <w:t xml:space="preserve"> </w:t>
      </w:r>
      <w:r w:rsidRPr="00EF2A90">
        <w:t>který</w:t>
      </w:r>
      <w:r>
        <w:t xml:space="preserve"> </w:t>
      </w:r>
      <w:r w:rsidRPr="00EF2A90">
        <w:t>stanoví</w:t>
      </w:r>
      <w:r>
        <w:t xml:space="preserve"> </w:t>
      </w:r>
      <w:r w:rsidRPr="00EF2A90">
        <w:t>opatření</w:t>
      </w:r>
      <w:r>
        <w:t xml:space="preserve"> </w:t>
      </w:r>
      <w:r w:rsidRPr="00EF2A90">
        <w:t>směřující</w:t>
      </w:r>
      <w:r>
        <w:t xml:space="preserve"> </w:t>
      </w:r>
      <w:r w:rsidRPr="00EF2A90">
        <w:t>k</w:t>
      </w:r>
      <w:r>
        <w:t xml:space="preserve"> </w:t>
      </w:r>
      <w:r w:rsidRPr="00EF2A90">
        <w:t>redukci</w:t>
      </w:r>
      <w:r>
        <w:t xml:space="preserve"> </w:t>
      </w:r>
      <w:r w:rsidRPr="00EF2A90">
        <w:t>dopadů</w:t>
      </w:r>
      <w:r>
        <w:t xml:space="preserve"> </w:t>
      </w:r>
      <w:r w:rsidRPr="00EF2A90">
        <w:t>pandemie</w:t>
      </w:r>
      <w:r>
        <w:t xml:space="preserve"> </w:t>
      </w:r>
      <w:r w:rsidRPr="00EF2A90">
        <w:t>infekčního</w:t>
      </w:r>
      <w:r>
        <w:t xml:space="preserve"> </w:t>
      </w:r>
      <w:r w:rsidRPr="00EF2A90">
        <w:t>onemocnění</w:t>
      </w:r>
      <w:r>
        <w:t xml:space="preserve"> </w:t>
      </w:r>
      <w:r w:rsidRPr="00EF2A90">
        <w:t>pro</w:t>
      </w:r>
      <w:r>
        <w:t xml:space="preserve"> </w:t>
      </w:r>
      <w:r w:rsidRPr="00EF2A90">
        <w:t>obyvatelstvo</w:t>
      </w:r>
      <w:r>
        <w:t xml:space="preserve"> </w:t>
      </w:r>
      <w:r w:rsidRPr="00EF2A90">
        <w:t>kraje,</w:t>
      </w:r>
    </w:p>
    <w:p w14:paraId="4ADD7782" w14:textId="143C265B" w:rsidR="00965B9F" w:rsidRDefault="00965B9F" w:rsidP="0096635B">
      <w:pPr>
        <w:pStyle w:val="Textparagrafu"/>
        <w:tabs>
          <w:tab w:val="left" w:pos="406"/>
        </w:tabs>
        <w:spacing w:before="0"/>
        <w:ind w:left="426" w:hanging="426"/>
      </w:pPr>
      <w:r w:rsidRPr="00EF2A90">
        <w:t>w)</w:t>
      </w:r>
      <w:r w:rsidR="005C1713">
        <w:tab/>
      </w:r>
      <w:r w:rsidRPr="00EF2A90">
        <w:t>potvrzovat</w:t>
      </w:r>
      <w:r>
        <w:t xml:space="preserve"> </w:t>
      </w:r>
      <w:r w:rsidRPr="00EF2A90">
        <w:t>na</w:t>
      </w:r>
      <w:r>
        <w:t xml:space="preserve"> </w:t>
      </w:r>
      <w:r w:rsidRPr="00EF2A90">
        <w:t>tiskopisech</w:t>
      </w:r>
      <w:r>
        <w:t xml:space="preserve"> </w:t>
      </w:r>
      <w:r w:rsidRPr="00EF2A90">
        <w:t>vydaných</w:t>
      </w:r>
      <w:r>
        <w:t xml:space="preserve"> </w:t>
      </w:r>
      <w:r w:rsidRPr="00EF2A90">
        <w:t>orgány</w:t>
      </w:r>
      <w:r>
        <w:t xml:space="preserve"> </w:t>
      </w:r>
      <w:r w:rsidRPr="00EF2A90">
        <w:t>nemocenského</w:t>
      </w:r>
      <w:r>
        <w:t xml:space="preserve"> </w:t>
      </w:r>
      <w:r w:rsidRPr="00EF2A90">
        <w:t>pojištění</w:t>
      </w:r>
      <w:r>
        <w:t xml:space="preserve"> </w:t>
      </w:r>
      <w:r w:rsidRPr="00EF2A90">
        <w:t>pro</w:t>
      </w:r>
      <w:r>
        <w:t xml:space="preserve"> </w:t>
      </w:r>
      <w:r w:rsidRPr="00EF2A90">
        <w:t>účely</w:t>
      </w:r>
      <w:r>
        <w:t xml:space="preserve"> </w:t>
      </w:r>
      <w:r w:rsidRPr="00EF2A90">
        <w:t>nemocenského</w:t>
      </w:r>
      <w:r>
        <w:t xml:space="preserve"> </w:t>
      </w:r>
      <w:r w:rsidRPr="00EF2A90">
        <w:t>pojištění</w:t>
      </w:r>
      <w:r w:rsidR="003A733B">
        <w:rPr>
          <w:rStyle w:val="Znakapoznpodarou"/>
        </w:rPr>
        <w:footnoteReference w:customMarkFollows="1" w:id="380"/>
        <w:t>47a</w:t>
      </w:r>
      <w:r w:rsidRPr="00EF2A90">
        <w:t>,</w:t>
      </w:r>
      <w:r>
        <w:t xml:space="preserve"> </w:t>
      </w:r>
      <w:r w:rsidRPr="00EF2A90">
        <w:t>že</w:t>
      </w:r>
      <w:r>
        <w:t xml:space="preserve"> </w:t>
      </w:r>
      <w:r w:rsidRPr="00EF2A90">
        <w:t>byla</w:t>
      </w:r>
      <w:r>
        <w:t xml:space="preserve"> </w:t>
      </w:r>
      <w:r w:rsidRPr="00EF2A90">
        <w:t>nařízena</w:t>
      </w:r>
      <w:r>
        <w:t xml:space="preserve"> </w:t>
      </w:r>
      <w:r w:rsidRPr="00EF2A90">
        <w:t>karanténa</w:t>
      </w:r>
      <w:r>
        <w:t xml:space="preserve"> </w:t>
      </w:r>
      <w:r w:rsidRPr="00EF2A90">
        <w:t>nebo</w:t>
      </w:r>
      <w:r>
        <w:t xml:space="preserve"> </w:t>
      </w:r>
      <w:r w:rsidRPr="00EF2A90">
        <w:t>mimořádná</w:t>
      </w:r>
      <w:r>
        <w:t xml:space="preserve"> </w:t>
      </w:r>
      <w:r w:rsidRPr="00EF2A90">
        <w:t>opatření</w:t>
      </w:r>
      <w:r>
        <w:t xml:space="preserve"> </w:t>
      </w:r>
      <w:r w:rsidRPr="00EF2A90">
        <w:t>při</w:t>
      </w:r>
      <w:r>
        <w:t xml:space="preserve"> </w:t>
      </w:r>
      <w:r w:rsidRPr="00EF2A90">
        <w:t>epidemii</w:t>
      </w:r>
      <w:r>
        <w:t xml:space="preserve"> </w:t>
      </w:r>
      <w:r w:rsidRPr="00EF2A90">
        <w:t>nebo</w:t>
      </w:r>
      <w:r>
        <w:t xml:space="preserve"> </w:t>
      </w:r>
      <w:r w:rsidRPr="00EF2A90">
        <w:t>nebezpečí</w:t>
      </w:r>
      <w:r>
        <w:t xml:space="preserve"> </w:t>
      </w:r>
      <w:r w:rsidRPr="00EF2A90">
        <w:t>jejího</w:t>
      </w:r>
      <w:r>
        <w:t xml:space="preserve"> </w:t>
      </w:r>
      <w:r w:rsidRPr="00EF2A90">
        <w:t>vzniku</w:t>
      </w:r>
      <w:r>
        <w:t xml:space="preserve"> </w:t>
      </w:r>
      <w:r w:rsidRPr="00EF2A90">
        <w:t>uvedená</w:t>
      </w:r>
      <w:r>
        <w:t xml:space="preserve"> </w:t>
      </w:r>
      <w:r w:rsidRPr="00EF2A90">
        <w:t>v</w:t>
      </w:r>
      <w:r>
        <w:t xml:space="preserve"> </w:t>
      </w:r>
      <w:r w:rsidRPr="00EF2A90">
        <w:t>§</w:t>
      </w:r>
      <w:r>
        <w:t xml:space="preserve"> </w:t>
      </w:r>
      <w:r w:rsidRPr="00EF2A90">
        <w:t>69</w:t>
      </w:r>
      <w:r>
        <w:t xml:space="preserve"> </w:t>
      </w:r>
      <w:r w:rsidRPr="00EF2A90">
        <w:t>odst.</w:t>
      </w:r>
      <w:r>
        <w:t xml:space="preserve"> </w:t>
      </w:r>
      <w:r w:rsidRPr="00EF2A90">
        <w:t>1</w:t>
      </w:r>
      <w:r>
        <w:t xml:space="preserve"> </w:t>
      </w:r>
      <w:r w:rsidRPr="00EF2A90">
        <w:t>písm.</w:t>
      </w:r>
      <w:r>
        <w:t xml:space="preserve"> </w:t>
      </w:r>
      <w:r w:rsidRPr="00EF2A90">
        <w:t>b)</w:t>
      </w:r>
      <w:r>
        <w:t xml:space="preserve"> </w:t>
      </w:r>
      <w:r w:rsidRPr="00EF2A90">
        <w:t>a</w:t>
      </w:r>
      <w:r>
        <w:t xml:space="preserve"> </w:t>
      </w:r>
      <w:r w:rsidRPr="00EF2A90">
        <w:t>i)</w:t>
      </w:r>
      <w:r>
        <w:t xml:space="preserve"> </w:t>
      </w:r>
      <w:r w:rsidRPr="00EF2A90">
        <w:t>a</w:t>
      </w:r>
      <w:r>
        <w:t xml:space="preserve"> </w:t>
      </w:r>
      <w:r w:rsidRPr="00EF2A90">
        <w:t>ukončení</w:t>
      </w:r>
      <w:r>
        <w:t xml:space="preserve"> </w:t>
      </w:r>
      <w:r w:rsidRPr="00EF2A90">
        <w:t>karantény</w:t>
      </w:r>
      <w:r>
        <w:t xml:space="preserve"> </w:t>
      </w:r>
      <w:r w:rsidRPr="00EF2A90">
        <w:t>nebo</w:t>
      </w:r>
      <w:r>
        <w:t xml:space="preserve"> </w:t>
      </w:r>
      <w:r w:rsidRPr="00EF2A90">
        <w:t>mimořádných</w:t>
      </w:r>
      <w:r>
        <w:t xml:space="preserve"> </w:t>
      </w:r>
      <w:r w:rsidRPr="00EF2A90">
        <w:t>opatření,</w:t>
      </w:r>
      <w:r>
        <w:t xml:space="preserve"> </w:t>
      </w:r>
      <w:r w:rsidRPr="00EF2A90">
        <w:t>popřípadě</w:t>
      </w:r>
      <w:r>
        <w:t xml:space="preserve"> </w:t>
      </w:r>
      <w:r w:rsidRPr="00EF2A90">
        <w:t>trvání</w:t>
      </w:r>
      <w:r>
        <w:t xml:space="preserve"> </w:t>
      </w:r>
      <w:r w:rsidRPr="00EF2A90">
        <w:t>karantény</w:t>
      </w:r>
      <w:r>
        <w:t xml:space="preserve"> </w:t>
      </w:r>
      <w:r w:rsidRPr="00EF2A90">
        <w:t>nebo</w:t>
      </w:r>
      <w:r>
        <w:t xml:space="preserve"> </w:t>
      </w:r>
      <w:r w:rsidRPr="00EF2A90">
        <w:t>mimořádných</w:t>
      </w:r>
      <w:r>
        <w:t xml:space="preserve"> </w:t>
      </w:r>
      <w:r w:rsidRPr="00EF2A90">
        <w:t>opatření,</w:t>
      </w:r>
      <w:r>
        <w:t xml:space="preserve"> </w:t>
      </w:r>
      <w:r w:rsidRPr="00EF2A90">
        <w:t>a</w:t>
      </w:r>
      <w:r>
        <w:t xml:space="preserve"> </w:t>
      </w:r>
      <w:r w:rsidRPr="00EF2A90">
        <w:t>to</w:t>
      </w:r>
      <w:r>
        <w:t xml:space="preserve"> </w:t>
      </w:r>
      <w:r w:rsidRPr="00EF2A90">
        <w:t>na</w:t>
      </w:r>
      <w:r>
        <w:t xml:space="preserve"> </w:t>
      </w:r>
      <w:r w:rsidRPr="00EF2A90">
        <w:t>základě</w:t>
      </w:r>
      <w:r>
        <w:t xml:space="preserve"> </w:t>
      </w:r>
      <w:r w:rsidRPr="00EF2A90">
        <w:t>žádosti</w:t>
      </w:r>
      <w:r>
        <w:t xml:space="preserve"> </w:t>
      </w:r>
      <w:r w:rsidRPr="00EF2A90">
        <w:t>osob,</w:t>
      </w:r>
      <w:r>
        <w:t xml:space="preserve"> </w:t>
      </w:r>
      <w:r w:rsidRPr="00EF2A90">
        <w:t>kterých</w:t>
      </w:r>
      <w:r>
        <w:t xml:space="preserve"> </w:t>
      </w:r>
      <w:r w:rsidRPr="00EF2A90">
        <w:t>se</w:t>
      </w:r>
      <w:r>
        <w:t xml:space="preserve"> </w:t>
      </w:r>
      <w:r w:rsidRPr="00EF2A90">
        <w:t>karanténa</w:t>
      </w:r>
      <w:r>
        <w:t xml:space="preserve"> </w:t>
      </w:r>
      <w:r w:rsidRPr="00EF2A90">
        <w:t>nebo</w:t>
      </w:r>
      <w:r>
        <w:t xml:space="preserve"> </w:t>
      </w:r>
      <w:r w:rsidRPr="00EF2A90">
        <w:t>mimořádné</w:t>
      </w:r>
      <w:r>
        <w:t xml:space="preserve"> </w:t>
      </w:r>
      <w:r w:rsidRPr="00EF2A90">
        <w:t>opatření</w:t>
      </w:r>
      <w:r>
        <w:t xml:space="preserve"> </w:t>
      </w:r>
      <w:r w:rsidRPr="00EF2A90">
        <w:t>týkají,</w:t>
      </w:r>
    </w:p>
    <w:p w14:paraId="2D3E8EDE" w14:textId="01BB8D93" w:rsidR="00965B9F" w:rsidRDefault="00965B9F" w:rsidP="0096635B">
      <w:pPr>
        <w:pStyle w:val="Textparagrafu"/>
        <w:tabs>
          <w:tab w:val="left" w:pos="406"/>
        </w:tabs>
        <w:spacing w:before="0"/>
        <w:ind w:left="426" w:hanging="426"/>
      </w:pPr>
      <w:r w:rsidRPr="00EF2A90">
        <w:t>x)</w:t>
      </w:r>
      <w:r w:rsidR="005C1713">
        <w:tab/>
      </w:r>
      <w:r w:rsidRPr="00EF2A90">
        <w:t>provádět</w:t>
      </w:r>
      <w:r>
        <w:t xml:space="preserve"> </w:t>
      </w:r>
      <w:r w:rsidRPr="00EF2A90">
        <w:t>audity</w:t>
      </w:r>
      <w:r>
        <w:t xml:space="preserve"> </w:t>
      </w:r>
      <w:r w:rsidRPr="00EF2A90">
        <w:t>analýz</w:t>
      </w:r>
      <w:r>
        <w:t xml:space="preserve"> </w:t>
      </w:r>
      <w:r w:rsidRPr="00EF2A90">
        <w:t>rizik</w:t>
      </w:r>
      <w:r>
        <w:t xml:space="preserve"> </w:t>
      </w:r>
      <w:r w:rsidRPr="00EF2A90">
        <w:t>a</w:t>
      </w:r>
      <w:r>
        <w:t xml:space="preserve"> </w:t>
      </w:r>
      <w:r w:rsidRPr="00EF2A90">
        <w:t>systémů</w:t>
      </w:r>
      <w:r>
        <w:t xml:space="preserve"> </w:t>
      </w:r>
      <w:r w:rsidRPr="00EF2A90">
        <w:t>kritických</w:t>
      </w:r>
      <w:r>
        <w:t xml:space="preserve"> </w:t>
      </w:r>
      <w:r w:rsidRPr="00EF2A90">
        <w:t>kontrolních</w:t>
      </w:r>
      <w:r>
        <w:t xml:space="preserve"> </w:t>
      </w:r>
      <w:r w:rsidRPr="00EF2A90">
        <w:t>bodů</w:t>
      </w:r>
      <w:r>
        <w:t xml:space="preserve"> </w:t>
      </w:r>
      <w:r w:rsidRPr="00EF2A90">
        <w:t>podle</w:t>
      </w:r>
      <w:r>
        <w:t xml:space="preserve"> </w:t>
      </w:r>
      <w:r w:rsidRPr="00EF2A90">
        <w:t>přímo</w:t>
      </w:r>
      <w:r>
        <w:t xml:space="preserve"> </w:t>
      </w:r>
      <w:r w:rsidRPr="00EF2A90">
        <w:t>použitelného</w:t>
      </w:r>
      <w:r>
        <w:t xml:space="preserve"> </w:t>
      </w:r>
      <w:r w:rsidRPr="00EF2A90">
        <w:t>předpisu</w:t>
      </w:r>
      <w:r>
        <w:t xml:space="preserve"> </w:t>
      </w:r>
      <w:r w:rsidRPr="00EF2A90">
        <w:t>Evropské</w:t>
      </w:r>
      <w:r>
        <w:t xml:space="preserve"> </w:t>
      </w:r>
      <w:r w:rsidRPr="00EF2A90">
        <w:t>unie</w:t>
      </w:r>
      <w:r>
        <w:t xml:space="preserve"> </w:t>
      </w:r>
      <w:r w:rsidRPr="00EF2A90">
        <w:t>o</w:t>
      </w:r>
      <w:r>
        <w:t xml:space="preserve"> </w:t>
      </w:r>
      <w:r w:rsidRPr="00EF2A90">
        <w:t>úředních</w:t>
      </w:r>
      <w:r>
        <w:t xml:space="preserve"> </w:t>
      </w:r>
      <w:r w:rsidR="003A733B">
        <w:t>kontrolách</w:t>
      </w:r>
      <w:r>
        <w:t xml:space="preserve"> </w:t>
      </w:r>
      <w:r w:rsidRPr="00EF2A90">
        <w:t>v</w:t>
      </w:r>
      <w:r>
        <w:t xml:space="preserve"> </w:t>
      </w:r>
      <w:r w:rsidRPr="00EF2A90">
        <w:t>provozovnách</w:t>
      </w:r>
      <w:r>
        <w:t xml:space="preserve"> </w:t>
      </w:r>
      <w:r w:rsidRPr="00EF2A90">
        <w:t>stravovacích</w:t>
      </w:r>
      <w:r>
        <w:t xml:space="preserve"> </w:t>
      </w:r>
      <w:r w:rsidRPr="00EF2A90">
        <w:t>služeb,</w:t>
      </w:r>
    </w:p>
    <w:p w14:paraId="53FBAFEA" w14:textId="254FAA14" w:rsidR="00965B9F" w:rsidRDefault="00965B9F" w:rsidP="0096635B">
      <w:pPr>
        <w:pStyle w:val="Textparagrafu"/>
        <w:tabs>
          <w:tab w:val="left" w:pos="406"/>
        </w:tabs>
        <w:spacing w:before="0"/>
        <w:ind w:left="426" w:hanging="426"/>
      </w:pPr>
      <w:r w:rsidRPr="00EF2A90">
        <w:t>y)</w:t>
      </w:r>
      <w:r w:rsidR="005C1713">
        <w:tab/>
      </w:r>
      <w:r w:rsidRPr="00EF2A90">
        <w:t>podílet</w:t>
      </w:r>
      <w:r>
        <w:t xml:space="preserve"> </w:t>
      </w:r>
      <w:r w:rsidRPr="00EF2A90">
        <w:t>se</w:t>
      </w:r>
      <w:r>
        <w:t xml:space="preserve"> </w:t>
      </w:r>
      <w:r w:rsidRPr="00EF2A90">
        <w:t>na</w:t>
      </w:r>
      <w:r>
        <w:t xml:space="preserve"> </w:t>
      </w:r>
      <w:r w:rsidRPr="00EF2A90">
        <w:t>vzdělávání</w:t>
      </w:r>
      <w:r>
        <w:t xml:space="preserve"> </w:t>
      </w:r>
      <w:r w:rsidRPr="00EF2A90">
        <w:t>lékařů</w:t>
      </w:r>
      <w:r>
        <w:t xml:space="preserve"> </w:t>
      </w:r>
      <w:r w:rsidRPr="00EF2A90">
        <w:t>a</w:t>
      </w:r>
      <w:r>
        <w:t xml:space="preserve"> </w:t>
      </w:r>
      <w:r w:rsidRPr="00EF2A90">
        <w:t>zdravotnických</w:t>
      </w:r>
      <w:r>
        <w:t xml:space="preserve"> </w:t>
      </w:r>
      <w:r w:rsidRPr="00EF2A90">
        <w:t>pracovníků,</w:t>
      </w:r>
      <w:r>
        <w:t xml:space="preserve"> </w:t>
      </w:r>
      <w:r w:rsidRPr="00EF2A90">
        <w:t>uskutečňovaném</w:t>
      </w:r>
      <w:r>
        <w:t xml:space="preserve"> </w:t>
      </w:r>
      <w:r w:rsidRPr="00EF2A90">
        <w:t>v</w:t>
      </w:r>
      <w:r>
        <w:t xml:space="preserve"> </w:t>
      </w:r>
      <w:r w:rsidRPr="00EF2A90">
        <w:t>souladu</w:t>
      </w:r>
      <w:r>
        <w:t xml:space="preserve"> </w:t>
      </w:r>
      <w:r w:rsidRPr="00EF2A90">
        <w:t>se</w:t>
      </w:r>
      <w:r>
        <w:t xml:space="preserve"> </w:t>
      </w:r>
      <w:r w:rsidRPr="00EF2A90">
        <w:t>zákonem</w:t>
      </w:r>
      <w:r>
        <w:t xml:space="preserve"> </w:t>
      </w:r>
      <w:r w:rsidRPr="00EF2A90">
        <w:t>č.</w:t>
      </w:r>
      <w:r>
        <w:t xml:space="preserve"> </w:t>
      </w:r>
      <w:r w:rsidRPr="00EF2A90">
        <w:t>95/2004</w:t>
      </w:r>
      <w:r>
        <w:t xml:space="preserve"> </w:t>
      </w:r>
      <w:r w:rsidRPr="00EF2A90">
        <w:t>Sb.,</w:t>
      </w:r>
      <w:r>
        <w:t xml:space="preserve"> </w:t>
      </w:r>
      <w:r w:rsidRPr="00EF2A90">
        <w:t>o</w:t>
      </w:r>
      <w:r>
        <w:t xml:space="preserve"> </w:t>
      </w:r>
      <w:r w:rsidRPr="00EF2A90">
        <w:t>podmínkách</w:t>
      </w:r>
      <w:r>
        <w:t xml:space="preserve"> </w:t>
      </w:r>
      <w:r w:rsidRPr="00EF2A90">
        <w:t>získávání</w:t>
      </w:r>
      <w:r>
        <w:t xml:space="preserve"> </w:t>
      </w:r>
      <w:r w:rsidRPr="00EF2A90">
        <w:t>a</w:t>
      </w:r>
      <w:r>
        <w:t xml:space="preserve"> </w:t>
      </w:r>
      <w:r w:rsidRPr="00EF2A90">
        <w:t>uznávání</w:t>
      </w:r>
      <w:r>
        <w:t xml:space="preserve"> </w:t>
      </w:r>
      <w:r w:rsidRPr="00EF2A90">
        <w:t>odborné</w:t>
      </w:r>
      <w:r>
        <w:t xml:space="preserve"> </w:t>
      </w:r>
      <w:r w:rsidRPr="00EF2A90">
        <w:t>způsobilosti</w:t>
      </w:r>
      <w:r>
        <w:t xml:space="preserve"> </w:t>
      </w:r>
      <w:r w:rsidRPr="00EF2A90">
        <w:t>a</w:t>
      </w:r>
      <w:r>
        <w:t xml:space="preserve"> </w:t>
      </w:r>
      <w:r w:rsidRPr="00EF2A90">
        <w:t>specializované</w:t>
      </w:r>
      <w:r>
        <w:t xml:space="preserve"> </w:t>
      </w:r>
      <w:r w:rsidRPr="00EF2A90">
        <w:t>způsobilosti</w:t>
      </w:r>
      <w:r>
        <w:t xml:space="preserve"> </w:t>
      </w:r>
      <w:r w:rsidRPr="00EF2A90">
        <w:t>k</w:t>
      </w:r>
      <w:r>
        <w:t xml:space="preserve"> </w:t>
      </w:r>
      <w:r w:rsidRPr="00EF2A90">
        <w:t>výkonu</w:t>
      </w:r>
      <w:r>
        <w:t xml:space="preserve"> </w:t>
      </w:r>
      <w:r w:rsidRPr="00EF2A90">
        <w:t>zdravotnického</w:t>
      </w:r>
      <w:r>
        <w:t xml:space="preserve"> </w:t>
      </w:r>
      <w:r w:rsidRPr="00EF2A90">
        <w:t>povolání</w:t>
      </w:r>
      <w:r>
        <w:t xml:space="preserve"> </w:t>
      </w:r>
      <w:r w:rsidRPr="00EF2A90">
        <w:t>lékaře,</w:t>
      </w:r>
      <w:r>
        <w:t xml:space="preserve"> </w:t>
      </w:r>
      <w:r w:rsidRPr="00EF2A90">
        <w:t>zubního</w:t>
      </w:r>
      <w:r>
        <w:t xml:space="preserve"> </w:t>
      </w:r>
      <w:r w:rsidRPr="00EF2A90">
        <w:t>lékaře</w:t>
      </w:r>
      <w:r>
        <w:t xml:space="preserve"> </w:t>
      </w:r>
      <w:r w:rsidRPr="00EF2A90">
        <w:t>a</w:t>
      </w:r>
      <w:r>
        <w:t xml:space="preserve"> </w:t>
      </w:r>
      <w:r w:rsidRPr="00EF2A90">
        <w:t>farmaceuta,</w:t>
      </w:r>
      <w:r>
        <w:t xml:space="preserve"> </w:t>
      </w:r>
      <w:r w:rsidRPr="00EF2A90">
        <w:t>a</w:t>
      </w:r>
      <w:r>
        <w:t xml:space="preserve"> </w:t>
      </w:r>
      <w:r w:rsidRPr="00EF2A90">
        <w:t>zákonem</w:t>
      </w:r>
      <w:r>
        <w:t xml:space="preserve"> </w:t>
      </w:r>
      <w:r w:rsidRPr="00EF2A90">
        <w:t>č.</w:t>
      </w:r>
      <w:r>
        <w:t xml:space="preserve"> </w:t>
      </w:r>
      <w:r w:rsidRPr="00EF2A90">
        <w:t>96/2004</w:t>
      </w:r>
      <w:r>
        <w:t xml:space="preserve"> </w:t>
      </w:r>
      <w:r w:rsidRPr="00EF2A90">
        <w:t>Sb.,</w:t>
      </w:r>
      <w:r>
        <w:t xml:space="preserve"> </w:t>
      </w:r>
      <w:r w:rsidRPr="00EF2A90">
        <w:t>o</w:t>
      </w:r>
      <w:r>
        <w:t xml:space="preserve"> </w:t>
      </w:r>
      <w:r w:rsidRPr="00EF2A90">
        <w:t>podmínkách</w:t>
      </w:r>
      <w:r>
        <w:t xml:space="preserve"> </w:t>
      </w:r>
      <w:r w:rsidRPr="00EF2A90">
        <w:t>získávání</w:t>
      </w:r>
      <w:r>
        <w:t xml:space="preserve"> </w:t>
      </w:r>
      <w:r w:rsidRPr="00EF2A90">
        <w:t>a</w:t>
      </w:r>
      <w:r>
        <w:t xml:space="preserve"> </w:t>
      </w:r>
      <w:r w:rsidRPr="00EF2A90">
        <w:t>uznávání</w:t>
      </w:r>
      <w:r>
        <w:t xml:space="preserve"> </w:t>
      </w:r>
      <w:r w:rsidRPr="00EF2A90">
        <w:t>způsobilosti</w:t>
      </w:r>
      <w:r>
        <w:t xml:space="preserve"> </w:t>
      </w:r>
      <w:r w:rsidRPr="00EF2A90">
        <w:t>k</w:t>
      </w:r>
      <w:r>
        <w:t xml:space="preserve"> </w:t>
      </w:r>
      <w:r w:rsidRPr="00EF2A90">
        <w:t>výkonu</w:t>
      </w:r>
      <w:r>
        <w:t xml:space="preserve"> </w:t>
      </w:r>
      <w:r w:rsidRPr="00EF2A90">
        <w:t>nelékařských</w:t>
      </w:r>
      <w:r>
        <w:t xml:space="preserve"> </w:t>
      </w:r>
      <w:r w:rsidRPr="00EF2A90">
        <w:t>zdravotnických</w:t>
      </w:r>
      <w:r>
        <w:t xml:space="preserve"> </w:t>
      </w:r>
      <w:r w:rsidRPr="00EF2A90">
        <w:t>povolání</w:t>
      </w:r>
      <w:r>
        <w:t xml:space="preserve"> </w:t>
      </w:r>
      <w:r w:rsidRPr="00EF2A90">
        <w:t>a</w:t>
      </w:r>
      <w:r>
        <w:t xml:space="preserve"> </w:t>
      </w:r>
      <w:r w:rsidRPr="00EF2A90">
        <w:t>k</w:t>
      </w:r>
      <w:r>
        <w:t xml:space="preserve"> </w:t>
      </w:r>
      <w:r w:rsidRPr="00EF2A90">
        <w:t>výkonu</w:t>
      </w:r>
      <w:r>
        <w:t xml:space="preserve"> </w:t>
      </w:r>
      <w:r w:rsidRPr="00EF2A90">
        <w:t>činností</w:t>
      </w:r>
      <w:r>
        <w:t xml:space="preserve"> </w:t>
      </w:r>
      <w:r w:rsidRPr="00EF2A90">
        <w:t>souvisejících</w:t>
      </w:r>
      <w:r>
        <w:t xml:space="preserve"> </w:t>
      </w:r>
      <w:r w:rsidRPr="00EF2A90">
        <w:t>s</w:t>
      </w:r>
      <w:r>
        <w:t xml:space="preserve"> </w:t>
      </w:r>
      <w:r w:rsidRPr="00EF2A90">
        <w:t>poskytováním</w:t>
      </w:r>
      <w:r>
        <w:t xml:space="preserve"> </w:t>
      </w:r>
      <w:r w:rsidRPr="00EF2A90">
        <w:t>zdravotní</w:t>
      </w:r>
      <w:r>
        <w:t xml:space="preserve"> </w:t>
      </w:r>
      <w:r w:rsidRPr="00EF2A90">
        <w:t>péče</w:t>
      </w:r>
      <w:r>
        <w:t xml:space="preserve"> </w:t>
      </w:r>
      <w:r w:rsidRPr="00EF2A90">
        <w:t>a</w:t>
      </w:r>
      <w:r>
        <w:t xml:space="preserve"> </w:t>
      </w:r>
      <w:r w:rsidRPr="00EF2A90">
        <w:t>o</w:t>
      </w:r>
      <w:r>
        <w:t xml:space="preserve"> </w:t>
      </w:r>
      <w:r w:rsidRPr="00EF2A90">
        <w:t>změně</w:t>
      </w:r>
      <w:r>
        <w:t xml:space="preserve"> </w:t>
      </w:r>
      <w:r w:rsidRPr="00EF2A90">
        <w:t>některých</w:t>
      </w:r>
      <w:r>
        <w:t xml:space="preserve"> </w:t>
      </w:r>
      <w:r w:rsidRPr="00EF2A90">
        <w:t>souvisejících</w:t>
      </w:r>
      <w:r>
        <w:t xml:space="preserve"> </w:t>
      </w:r>
      <w:r w:rsidRPr="00EF2A90">
        <w:t>zákonů,</w:t>
      </w:r>
      <w:r>
        <w:t xml:space="preserve"> </w:t>
      </w:r>
      <w:r w:rsidRPr="00EF2A90">
        <w:t>spolupracovat</w:t>
      </w:r>
      <w:r>
        <w:t xml:space="preserve"> </w:t>
      </w:r>
      <w:r w:rsidRPr="00EF2A90">
        <w:t>s</w:t>
      </w:r>
      <w:r>
        <w:t xml:space="preserve"> </w:t>
      </w:r>
      <w:r w:rsidRPr="00EF2A90">
        <w:t>vysokou</w:t>
      </w:r>
      <w:r>
        <w:t xml:space="preserve"> </w:t>
      </w:r>
      <w:r w:rsidRPr="00EF2A90">
        <w:t>školou</w:t>
      </w:r>
      <w:r>
        <w:t xml:space="preserve"> </w:t>
      </w:r>
      <w:r w:rsidRPr="00EF2A90">
        <w:t>uskutečňující</w:t>
      </w:r>
      <w:r>
        <w:t xml:space="preserve"> </w:t>
      </w:r>
      <w:r w:rsidRPr="00EF2A90">
        <w:t>akreditovaný</w:t>
      </w:r>
      <w:r>
        <w:t xml:space="preserve"> </w:t>
      </w:r>
      <w:r w:rsidRPr="00EF2A90">
        <w:t>studijní</w:t>
      </w:r>
      <w:r>
        <w:t xml:space="preserve"> </w:t>
      </w:r>
      <w:r w:rsidRPr="00EF2A90">
        <w:t>program</w:t>
      </w:r>
      <w:r>
        <w:t xml:space="preserve"> </w:t>
      </w:r>
      <w:r w:rsidRPr="00EF2A90">
        <w:t>v</w:t>
      </w:r>
      <w:r>
        <w:t xml:space="preserve"> </w:t>
      </w:r>
      <w:r w:rsidRPr="00EF2A90">
        <w:t>oblasti</w:t>
      </w:r>
      <w:r>
        <w:t xml:space="preserve"> </w:t>
      </w:r>
      <w:r w:rsidRPr="00EF2A90">
        <w:t>vzdělávání</w:t>
      </w:r>
      <w:r>
        <w:t xml:space="preserve"> </w:t>
      </w:r>
      <w:r w:rsidRPr="00EF2A90">
        <w:t>Všeobecné</w:t>
      </w:r>
      <w:r>
        <w:t xml:space="preserve"> </w:t>
      </w:r>
      <w:r w:rsidRPr="00EF2A90">
        <w:t>lékařství</w:t>
      </w:r>
      <w:r>
        <w:t xml:space="preserve"> </w:t>
      </w:r>
      <w:r w:rsidRPr="00EF2A90">
        <w:t>a</w:t>
      </w:r>
      <w:r>
        <w:t xml:space="preserve"> </w:t>
      </w:r>
      <w:r w:rsidRPr="00EF2A90">
        <w:t>zubní</w:t>
      </w:r>
      <w:r>
        <w:t xml:space="preserve"> </w:t>
      </w:r>
      <w:r w:rsidRPr="00EF2A90">
        <w:t>lékařství</w:t>
      </w:r>
      <w:r>
        <w:t xml:space="preserve"> </w:t>
      </w:r>
      <w:r w:rsidRPr="00EF2A90">
        <w:t>a</w:t>
      </w:r>
      <w:r>
        <w:t xml:space="preserve"> </w:t>
      </w:r>
      <w:r w:rsidRPr="00EF2A90">
        <w:t>Zdravotnické</w:t>
      </w:r>
      <w:r>
        <w:t xml:space="preserve"> </w:t>
      </w:r>
      <w:r w:rsidR="003A733B">
        <w:t>obory</w:t>
      </w:r>
      <w:r w:rsidR="003A733B">
        <w:rPr>
          <w:rStyle w:val="Znakapoznpodarou"/>
        </w:rPr>
        <w:footnoteReference w:customMarkFollows="1" w:id="381"/>
        <w:t>101)</w:t>
      </w:r>
      <w:r w:rsidRPr="00EF2A90">
        <w:t>,</w:t>
      </w:r>
    </w:p>
    <w:p w14:paraId="799898F8" w14:textId="3834993A" w:rsidR="00965B9F" w:rsidRDefault="00965B9F" w:rsidP="0096635B">
      <w:pPr>
        <w:pStyle w:val="Textparagrafu"/>
        <w:tabs>
          <w:tab w:val="left" w:pos="406"/>
        </w:tabs>
        <w:spacing w:before="0"/>
        <w:ind w:left="426" w:hanging="426"/>
      </w:pPr>
      <w:r w:rsidRPr="00EF2A90">
        <w:t>z)</w:t>
      </w:r>
      <w:r w:rsidR="005C1713">
        <w:tab/>
      </w:r>
      <w:r w:rsidRPr="00EF2A90">
        <w:t>posuzovat</w:t>
      </w:r>
      <w:r>
        <w:t xml:space="preserve"> </w:t>
      </w:r>
      <w:r w:rsidRPr="00EF2A90">
        <w:t>nové</w:t>
      </w:r>
      <w:r>
        <w:t xml:space="preserve"> </w:t>
      </w:r>
      <w:r w:rsidRPr="00EF2A90">
        <w:t>recyklační</w:t>
      </w:r>
      <w:r>
        <w:t xml:space="preserve"> </w:t>
      </w:r>
      <w:r w:rsidRPr="00EF2A90">
        <w:t>technologie</w:t>
      </w:r>
      <w:r>
        <w:t xml:space="preserve"> </w:t>
      </w:r>
      <w:r w:rsidRPr="00EF2A90">
        <w:t>produkující</w:t>
      </w:r>
      <w:r>
        <w:t xml:space="preserve"> </w:t>
      </w:r>
      <w:r w:rsidRPr="00EF2A90">
        <w:t>materiály</w:t>
      </w:r>
      <w:r>
        <w:t xml:space="preserve"> </w:t>
      </w:r>
      <w:r w:rsidRPr="00EF2A90">
        <w:t>a</w:t>
      </w:r>
      <w:r>
        <w:t xml:space="preserve"> </w:t>
      </w:r>
      <w:r w:rsidRPr="00EF2A90">
        <w:t>předměty</w:t>
      </w:r>
      <w:r>
        <w:t xml:space="preserve"> </w:t>
      </w:r>
      <w:r w:rsidRPr="00EF2A90">
        <w:t>z</w:t>
      </w:r>
      <w:r>
        <w:t xml:space="preserve"> </w:t>
      </w:r>
      <w:r w:rsidRPr="00EF2A90">
        <w:t>recyklovaných</w:t>
      </w:r>
      <w:r>
        <w:t xml:space="preserve"> </w:t>
      </w:r>
      <w:r w:rsidRPr="00EF2A90">
        <w:t>plastů</w:t>
      </w:r>
      <w:r>
        <w:t xml:space="preserve"> </w:t>
      </w:r>
      <w:r w:rsidRPr="00EF2A90">
        <w:t>a</w:t>
      </w:r>
      <w:r>
        <w:t xml:space="preserve"> </w:t>
      </w:r>
      <w:r w:rsidRPr="00EF2A90">
        <w:t>plnit</w:t>
      </w:r>
      <w:r>
        <w:t xml:space="preserve"> </w:t>
      </w:r>
      <w:r w:rsidRPr="00EF2A90">
        <w:t>povinnosti</w:t>
      </w:r>
      <w:r>
        <w:t xml:space="preserve"> </w:t>
      </w:r>
      <w:r w:rsidRPr="00EF2A90">
        <w:t>podle</w:t>
      </w:r>
      <w:r>
        <w:t xml:space="preserve"> </w:t>
      </w:r>
      <w:r w:rsidRPr="00EF2A90">
        <w:t>přímo</w:t>
      </w:r>
      <w:r>
        <w:t xml:space="preserve"> </w:t>
      </w:r>
      <w:r w:rsidRPr="00EF2A90">
        <w:t>použitelného</w:t>
      </w:r>
      <w:r>
        <w:t xml:space="preserve"> </w:t>
      </w:r>
      <w:r w:rsidRPr="00EF2A90">
        <w:t>předpisu</w:t>
      </w:r>
      <w:r>
        <w:t xml:space="preserve"> </w:t>
      </w:r>
      <w:r w:rsidRPr="00EF2A90">
        <w:t>Evropské</w:t>
      </w:r>
      <w:r>
        <w:t xml:space="preserve"> </w:t>
      </w:r>
      <w:r w:rsidRPr="00EF2A90">
        <w:t>unie</w:t>
      </w:r>
      <w:r>
        <w:t xml:space="preserve"> </w:t>
      </w:r>
      <w:r w:rsidRPr="00EF2A90">
        <w:t>na</w:t>
      </w:r>
      <w:r>
        <w:t xml:space="preserve"> </w:t>
      </w:r>
      <w:r w:rsidRPr="00EF2A90">
        <w:t>úseku</w:t>
      </w:r>
      <w:r>
        <w:t xml:space="preserve"> </w:t>
      </w:r>
      <w:r w:rsidRPr="00EF2A90">
        <w:t>materiálů</w:t>
      </w:r>
      <w:r>
        <w:t xml:space="preserve"> </w:t>
      </w:r>
      <w:r w:rsidRPr="00EF2A90">
        <w:t>a</w:t>
      </w:r>
      <w:r>
        <w:t xml:space="preserve"> </w:t>
      </w:r>
      <w:r w:rsidRPr="00EF2A90">
        <w:t>předmětů</w:t>
      </w:r>
      <w:r>
        <w:t xml:space="preserve"> </w:t>
      </w:r>
      <w:r w:rsidRPr="00EF2A90">
        <w:t>z</w:t>
      </w:r>
      <w:r>
        <w:t xml:space="preserve"> </w:t>
      </w:r>
      <w:r w:rsidRPr="00EF2A90">
        <w:t>recyklovaných</w:t>
      </w:r>
      <w:r>
        <w:t xml:space="preserve"> </w:t>
      </w:r>
      <w:r w:rsidRPr="00EF2A90">
        <w:t>plastů</w:t>
      </w:r>
      <w:r>
        <w:t xml:space="preserve"> </w:t>
      </w:r>
      <w:r w:rsidRPr="00EF2A90">
        <w:t>určených</w:t>
      </w:r>
      <w:r>
        <w:t xml:space="preserve"> </w:t>
      </w:r>
      <w:r w:rsidRPr="00EF2A90">
        <w:t>pro</w:t>
      </w:r>
      <w:r>
        <w:t xml:space="preserve"> </w:t>
      </w:r>
      <w:r w:rsidRPr="00EF2A90">
        <w:t>styk</w:t>
      </w:r>
      <w:r>
        <w:t xml:space="preserve"> </w:t>
      </w:r>
      <w:r w:rsidRPr="00EF2A90">
        <w:t>s</w:t>
      </w:r>
      <w:r>
        <w:t xml:space="preserve"> </w:t>
      </w:r>
      <w:r w:rsidRPr="00EF2A90">
        <w:t>potravinami</w:t>
      </w:r>
      <w:r>
        <w:t xml:space="preserve"> </w:t>
      </w:r>
      <w:r w:rsidR="003A733B">
        <w:rPr>
          <w:rStyle w:val="Znakapoznpodarou"/>
        </w:rPr>
        <w:footnoteReference w:customMarkFollows="1" w:id="382"/>
        <w:t>108)</w:t>
      </w:r>
      <w:r w:rsidRPr="00EF2A90">
        <w:t>.</w:t>
      </w:r>
    </w:p>
    <w:p w14:paraId="6E3150AF" w14:textId="77777777" w:rsidR="00965B9F" w:rsidRDefault="00965B9F" w:rsidP="00CC48B5">
      <w:pPr>
        <w:pStyle w:val="Textparagrafu"/>
        <w:spacing w:before="120" w:after="120"/>
      </w:pPr>
      <w:r w:rsidRPr="00EF2A90">
        <w:t>(3)</w:t>
      </w:r>
      <w:r>
        <w:t xml:space="preserve"> </w:t>
      </w:r>
      <w:r w:rsidRPr="00EF2A90">
        <w:t>Krajská</w:t>
      </w:r>
      <w:r>
        <w:t xml:space="preserve"> </w:t>
      </w:r>
      <w:r w:rsidRPr="00EF2A90">
        <w:t>hygienická</w:t>
      </w:r>
      <w:r>
        <w:t xml:space="preserve"> </w:t>
      </w:r>
      <w:r w:rsidRPr="00EF2A90">
        <w:t>stanice</w:t>
      </w:r>
      <w:r>
        <w:t xml:space="preserve"> </w:t>
      </w:r>
      <w:r w:rsidRPr="00EF2A90">
        <w:t>je</w:t>
      </w:r>
      <w:r>
        <w:t xml:space="preserve"> </w:t>
      </w:r>
      <w:r w:rsidRPr="00EF2A90">
        <w:t>povinna</w:t>
      </w:r>
      <w:r>
        <w:t xml:space="preserve"> </w:t>
      </w:r>
      <w:r w:rsidRPr="00EF2A90">
        <w:t>o</w:t>
      </w:r>
      <w:r>
        <w:t xml:space="preserve"> </w:t>
      </w:r>
      <w:r w:rsidRPr="00EF2A90">
        <w:t>hromadném</w:t>
      </w:r>
      <w:r>
        <w:t xml:space="preserve"> </w:t>
      </w:r>
      <w:r w:rsidRPr="00EF2A90">
        <w:t>výskytu</w:t>
      </w:r>
      <w:r>
        <w:t xml:space="preserve"> </w:t>
      </w:r>
      <w:r w:rsidRPr="00EF2A90">
        <w:t>infekčních</w:t>
      </w:r>
      <w:r>
        <w:t xml:space="preserve"> </w:t>
      </w:r>
      <w:r w:rsidRPr="00EF2A90">
        <w:t>onemocnění</w:t>
      </w:r>
      <w:r>
        <w:t xml:space="preserve"> </w:t>
      </w:r>
      <w:r w:rsidRPr="00EF2A90">
        <w:t>a</w:t>
      </w:r>
      <w:r>
        <w:t xml:space="preserve"> </w:t>
      </w:r>
      <w:r w:rsidRPr="00EF2A90">
        <w:t>o</w:t>
      </w:r>
      <w:r>
        <w:t xml:space="preserve"> </w:t>
      </w:r>
      <w:r w:rsidRPr="00EF2A90">
        <w:t>výskytu</w:t>
      </w:r>
      <w:r>
        <w:t xml:space="preserve"> </w:t>
      </w:r>
      <w:r w:rsidRPr="00EF2A90">
        <w:t>nebezpečných</w:t>
      </w:r>
      <w:r w:rsidRPr="003A733B">
        <w:rPr>
          <w:vertAlign w:val="superscript"/>
        </w:rPr>
        <w:t>26a)</w:t>
      </w:r>
      <w:r>
        <w:t xml:space="preserve"> </w:t>
      </w:r>
      <w:r w:rsidRPr="00EF2A90">
        <w:t>a</w:t>
      </w:r>
      <w:r>
        <w:t xml:space="preserve"> </w:t>
      </w:r>
      <w:r w:rsidRPr="00EF2A90">
        <w:t>z</w:t>
      </w:r>
      <w:r>
        <w:t xml:space="preserve"> </w:t>
      </w:r>
      <w:r w:rsidRPr="00EF2A90">
        <w:t>nebezpečnosti</w:t>
      </w:r>
      <w:r>
        <w:t xml:space="preserve"> </w:t>
      </w:r>
      <w:r w:rsidRPr="00EF2A90">
        <w:t>podezřelých</w:t>
      </w:r>
      <w:r>
        <w:t xml:space="preserve"> </w:t>
      </w:r>
      <w:r w:rsidRPr="00EF2A90">
        <w:t>výrobků,</w:t>
      </w:r>
      <w:r>
        <w:t xml:space="preserve"> </w:t>
      </w:r>
      <w:r w:rsidRPr="00EF2A90">
        <w:t>které</w:t>
      </w:r>
      <w:r>
        <w:t xml:space="preserve"> </w:t>
      </w:r>
      <w:r w:rsidRPr="00EF2A90">
        <w:t>poškodily</w:t>
      </w:r>
      <w:r>
        <w:t xml:space="preserve"> </w:t>
      </w:r>
      <w:r w:rsidRPr="00EF2A90">
        <w:t>nebo</w:t>
      </w:r>
      <w:r>
        <w:t xml:space="preserve"> </w:t>
      </w:r>
      <w:r w:rsidRPr="00EF2A90">
        <w:t>mohou</w:t>
      </w:r>
      <w:r>
        <w:t xml:space="preserve"> </w:t>
      </w:r>
      <w:r w:rsidRPr="00EF2A90">
        <w:t>poškodit</w:t>
      </w:r>
      <w:r>
        <w:t xml:space="preserve"> </w:t>
      </w:r>
      <w:r w:rsidRPr="00EF2A90">
        <w:t>zdraví</w:t>
      </w:r>
      <w:r>
        <w:t xml:space="preserve"> </w:t>
      </w:r>
      <w:r w:rsidRPr="00EF2A90">
        <w:t>fyzických</w:t>
      </w:r>
      <w:r>
        <w:t xml:space="preserve"> </w:t>
      </w:r>
      <w:r w:rsidRPr="00EF2A90">
        <w:t>osob</w:t>
      </w:r>
      <w:r>
        <w:t xml:space="preserve"> </w:t>
      </w:r>
      <w:r w:rsidRPr="00EF2A90">
        <w:t>a</w:t>
      </w:r>
      <w:r>
        <w:t xml:space="preserve"> </w:t>
      </w:r>
      <w:r w:rsidRPr="00EF2A90">
        <w:t>nevyskytují</w:t>
      </w:r>
      <w:r>
        <w:t xml:space="preserve"> </w:t>
      </w:r>
      <w:r w:rsidRPr="00EF2A90">
        <w:t>se</w:t>
      </w:r>
      <w:r>
        <w:t xml:space="preserve"> </w:t>
      </w:r>
      <w:r w:rsidRPr="00EF2A90">
        <w:t>v</w:t>
      </w:r>
      <w:r>
        <w:t xml:space="preserve"> </w:t>
      </w:r>
      <w:r w:rsidRPr="00EF2A90">
        <w:t>tržní</w:t>
      </w:r>
      <w:r>
        <w:t xml:space="preserve"> </w:t>
      </w:r>
      <w:r w:rsidRPr="00EF2A90">
        <w:t>síti</w:t>
      </w:r>
      <w:r>
        <w:t xml:space="preserve"> </w:t>
      </w:r>
      <w:r w:rsidRPr="00EF2A90">
        <w:t>pouze</w:t>
      </w:r>
      <w:r>
        <w:t xml:space="preserve"> </w:t>
      </w:r>
      <w:r w:rsidRPr="00EF2A90">
        <w:t>ojediněle,</w:t>
      </w:r>
      <w:r>
        <w:t xml:space="preserve"> </w:t>
      </w:r>
      <w:r w:rsidRPr="00EF2A90">
        <w:t>informovat</w:t>
      </w:r>
      <w:r>
        <w:t xml:space="preserve"> </w:t>
      </w:r>
      <w:r w:rsidRPr="00EF2A90">
        <w:t>okamžitě</w:t>
      </w:r>
      <w:r>
        <w:t xml:space="preserve"> </w:t>
      </w:r>
      <w:r w:rsidRPr="00EF2A90">
        <w:t>Ministerstvo</w:t>
      </w:r>
      <w:r>
        <w:t xml:space="preserve"> </w:t>
      </w:r>
      <w:r w:rsidRPr="00EF2A90">
        <w:t>zdravotnictví.</w:t>
      </w:r>
    </w:p>
    <w:p w14:paraId="74F14DAB" w14:textId="77777777" w:rsidR="00965B9F" w:rsidRDefault="00965B9F" w:rsidP="00CC48B5">
      <w:pPr>
        <w:pStyle w:val="Textparagrafu"/>
        <w:spacing w:before="120" w:after="120"/>
      </w:pPr>
      <w:r w:rsidRPr="00EF2A90">
        <w:t>(4)</w:t>
      </w:r>
      <w:r>
        <w:t xml:space="preserve"> </w:t>
      </w:r>
      <w:r w:rsidRPr="00EF2A90">
        <w:t>Zaměstnavatel</w:t>
      </w:r>
      <w:r>
        <w:t xml:space="preserve"> </w:t>
      </w:r>
      <w:r w:rsidRPr="00EF2A90">
        <w:t>je</w:t>
      </w:r>
      <w:r>
        <w:t xml:space="preserve"> </w:t>
      </w:r>
      <w:r w:rsidRPr="00EF2A90">
        <w:t>povinen</w:t>
      </w:r>
      <w:r>
        <w:t xml:space="preserve"> </w:t>
      </w:r>
      <w:r w:rsidRPr="00EF2A90">
        <w:t>zaslat</w:t>
      </w:r>
      <w:r>
        <w:t xml:space="preserve"> </w:t>
      </w:r>
      <w:r w:rsidRPr="00EF2A90">
        <w:t>kopii</w:t>
      </w:r>
      <w:r>
        <w:t xml:space="preserve"> </w:t>
      </w:r>
      <w:r w:rsidRPr="00EF2A90">
        <w:t>písemného</w:t>
      </w:r>
      <w:r>
        <w:t xml:space="preserve"> </w:t>
      </w:r>
      <w:r w:rsidRPr="00EF2A90">
        <w:t>vyhotovení</w:t>
      </w:r>
      <w:r>
        <w:t xml:space="preserve"> </w:t>
      </w:r>
      <w:r w:rsidRPr="00EF2A90">
        <w:t>pravomocného</w:t>
      </w:r>
      <w:r>
        <w:t xml:space="preserve"> </w:t>
      </w:r>
      <w:r w:rsidRPr="00EF2A90">
        <w:t>rozhodnutí</w:t>
      </w:r>
      <w:r>
        <w:t xml:space="preserve"> </w:t>
      </w:r>
      <w:r w:rsidRPr="00EF2A90">
        <w:t>vydaného</w:t>
      </w:r>
      <w:r>
        <w:t xml:space="preserve"> </w:t>
      </w:r>
      <w:r w:rsidRPr="00EF2A90">
        <w:t>orgánem</w:t>
      </w:r>
      <w:r>
        <w:t xml:space="preserve"> </w:t>
      </w:r>
      <w:r w:rsidRPr="00EF2A90">
        <w:t>ochrany</w:t>
      </w:r>
      <w:r>
        <w:t xml:space="preserve"> </w:t>
      </w:r>
      <w:r w:rsidRPr="00EF2A90">
        <w:t>veřejného</w:t>
      </w:r>
      <w:r>
        <w:t xml:space="preserve"> </w:t>
      </w:r>
      <w:r w:rsidRPr="00EF2A90">
        <w:t>zdraví</w:t>
      </w:r>
      <w:r>
        <w:t xml:space="preserve"> </w:t>
      </w:r>
      <w:r w:rsidRPr="00EF2A90">
        <w:t>podle</w:t>
      </w:r>
      <w:r>
        <w:t xml:space="preserve"> </w:t>
      </w:r>
      <w:r w:rsidRPr="00EF2A90">
        <w:t>odstavce</w:t>
      </w:r>
      <w:r>
        <w:t xml:space="preserve"> </w:t>
      </w:r>
      <w:r w:rsidRPr="00EF2A90">
        <w:t>2</w:t>
      </w:r>
      <w:r>
        <w:t xml:space="preserve"> </w:t>
      </w:r>
      <w:r w:rsidRPr="00EF2A90">
        <w:t>písm.</w:t>
      </w:r>
      <w:r>
        <w:t xml:space="preserve"> </w:t>
      </w:r>
      <w:r w:rsidRPr="00EF2A90">
        <w:t>e)</w:t>
      </w:r>
      <w:r>
        <w:t xml:space="preserve"> </w:t>
      </w:r>
      <w:r w:rsidRPr="00EF2A90">
        <w:t>a</w:t>
      </w:r>
      <w:r>
        <w:t xml:space="preserve"> </w:t>
      </w:r>
      <w:r w:rsidRPr="00EF2A90">
        <w:t>§</w:t>
      </w:r>
      <w:r>
        <w:t xml:space="preserve"> </w:t>
      </w:r>
      <w:r w:rsidRPr="00EF2A90">
        <w:t>84</w:t>
      </w:r>
      <w:r>
        <w:t xml:space="preserve"> </w:t>
      </w:r>
      <w:r w:rsidRPr="00EF2A90">
        <w:t>odst.</w:t>
      </w:r>
      <w:r>
        <w:t xml:space="preserve"> </w:t>
      </w:r>
      <w:r w:rsidRPr="00EF2A90">
        <w:t>1</w:t>
      </w:r>
      <w:r>
        <w:t xml:space="preserve"> </w:t>
      </w:r>
      <w:r w:rsidRPr="00EF2A90">
        <w:t>písm.</w:t>
      </w:r>
      <w:r>
        <w:t xml:space="preserve"> </w:t>
      </w:r>
      <w:r w:rsidRPr="00EF2A90">
        <w:t>w)</w:t>
      </w:r>
      <w:r>
        <w:t xml:space="preserve"> </w:t>
      </w:r>
      <w:r w:rsidRPr="00EF2A90">
        <w:t>poskytovateli</w:t>
      </w:r>
      <w:r>
        <w:t xml:space="preserve"> </w:t>
      </w:r>
      <w:proofErr w:type="spellStart"/>
      <w:r w:rsidRPr="00EF2A90">
        <w:t>pracovnělékařských</w:t>
      </w:r>
      <w:proofErr w:type="spellEnd"/>
      <w:r>
        <w:t xml:space="preserve"> </w:t>
      </w:r>
      <w:r w:rsidRPr="00EF2A90">
        <w:t>služeb.</w:t>
      </w:r>
      <w:r>
        <w:t xml:space="preserve"> </w:t>
      </w:r>
      <w:r w:rsidRPr="00EF2A90">
        <w:t>Zaměstnavatel</w:t>
      </w:r>
      <w:r>
        <w:t xml:space="preserve"> </w:t>
      </w:r>
      <w:r w:rsidRPr="00EF2A90">
        <w:t>dále</w:t>
      </w:r>
      <w:r>
        <w:t xml:space="preserve"> </w:t>
      </w:r>
      <w:r w:rsidRPr="00EF2A90">
        <w:t>informuje</w:t>
      </w:r>
      <w:r>
        <w:t xml:space="preserve"> </w:t>
      </w:r>
      <w:r w:rsidRPr="00EF2A90">
        <w:t>o</w:t>
      </w:r>
      <w:r>
        <w:t xml:space="preserve"> </w:t>
      </w:r>
      <w:r w:rsidRPr="00EF2A90">
        <w:t>uložení</w:t>
      </w:r>
      <w:r>
        <w:t xml:space="preserve"> </w:t>
      </w:r>
      <w:r w:rsidRPr="00EF2A90">
        <w:t>následné</w:t>
      </w:r>
      <w:r>
        <w:t xml:space="preserve"> </w:t>
      </w:r>
      <w:r w:rsidRPr="00EF2A90">
        <w:t>lékařské</w:t>
      </w:r>
      <w:r>
        <w:t xml:space="preserve"> </w:t>
      </w:r>
      <w:r w:rsidRPr="00EF2A90">
        <w:t>prohlídky</w:t>
      </w:r>
      <w:r>
        <w:t xml:space="preserve"> </w:t>
      </w:r>
      <w:r w:rsidRPr="00EF2A90">
        <w:t>fyzickou</w:t>
      </w:r>
      <w:r>
        <w:t xml:space="preserve"> </w:t>
      </w:r>
      <w:r w:rsidRPr="00EF2A90">
        <w:t>osobu,</w:t>
      </w:r>
      <w:r>
        <w:t xml:space="preserve"> </w:t>
      </w:r>
      <w:r w:rsidRPr="00EF2A90">
        <w:t>pro</w:t>
      </w:r>
      <w:r>
        <w:t xml:space="preserve"> </w:t>
      </w:r>
      <w:r w:rsidRPr="00EF2A90">
        <w:t>kterou</w:t>
      </w:r>
      <w:r>
        <w:t xml:space="preserve"> </w:t>
      </w:r>
      <w:r w:rsidRPr="00EF2A90">
        <w:t>byla</w:t>
      </w:r>
      <w:r>
        <w:t xml:space="preserve"> </w:t>
      </w:r>
      <w:r w:rsidRPr="00EF2A90">
        <w:t>nařízena,</w:t>
      </w:r>
      <w:r>
        <w:t xml:space="preserve"> </w:t>
      </w:r>
      <w:r w:rsidRPr="00EF2A90">
        <w:t>a</w:t>
      </w:r>
      <w:r>
        <w:t xml:space="preserve"> </w:t>
      </w:r>
      <w:r w:rsidRPr="00EF2A90">
        <w:t>to</w:t>
      </w:r>
      <w:r>
        <w:t xml:space="preserve"> </w:t>
      </w:r>
      <w:r w:rsidRPr="00EF2A90">
        <w:t>i</w:t>
      </w:r>
      <w:r>
        <w:t xml:space="preserve"> </w:t>
      </w:r>
      <w:r w:rsidRPr="00EF2A90">
        <w:t>v</w:t>
      </w:r>
      <w:r>
        <w:t xml:space="preserve"> </w:t>
      </w:r>
      <w:r w:rsidRPr="00EF2A90">
        <w:t>případě,</w:t>
      </w:r>
      <w:r>
        <w:t xml:space="preserve"> </w:t>
      </w:r>
      <w:r w:rsidRPr="00EF2A90">
        <w:t>že</w:t>
      </w:r>
      <w:r>
        <w:t xml:space="preserve"> </w:t>
      </w:r>
      <w:r w:rsidRPr="00EF2A90">
        <w:t>již</w:t>
      </w:r>
      <w:r>
        <w:t xml:space="preserve"> </w:t>
      </w:r>
      <w:r w:rsidRPr="00EF2A90">
        <w:t>není</w:t>
      </w:r>
      <w:r>
        <w:t xml:space="preserve"> </w:t>
      </w:r>
      <w:r w:rsidRPr="00EF2A90">
        <w:t>jeho</w:t>
      </w:r>
      <w:r>
        <w:t xml:space="preserve"> </w:t>
      </w:r>
      <w:r w:rsidRPr="00EF2A90">
        <w:t>zaměstnancem;</w:t>
      </w:r>
      <w:r>
        <w:t xml:space="preserve"> </w:t>
      </w:r>
      <w:r w:rsidRPr="00EF2A90">
        <w:t>informaci</w:t>
      </w:r>
      <w:r>
        <w:t xml:space="preserve"> </w:t>
      </w:r>
      <w:r w:rsidRPr="00EF2A90">
        <w:t>v</w:t>
      </w:r>
      <w:r>
        <w:t xml:space="preserve"> </w:t>
      </w:r>
      <w:r w:rsidRPr="00EF2A90">
        <w:t>tomto</w:t>
      </w:r>
      <w:r>
        <w:t xml:space="preserve"> </w:t>
      </w:r>
      <w:r w:rsidRPr="00EF2A90">
        <w:t>případě</w:t>
      </w:r>
      <w:r>
        <w:t xml:space="preserve"> </w:t>
      </w:r>
      <w:r w:rsidRPr="00EF2A90">
        <w:t>zašle</w:t>
      </w:r>
      <w:r>
        <w:t xml:space="preserve"> </w:t>
      </w:r>
      <w:r w:rsidRPr="00EF2A90">
        <w:t>na</w:t>
      </w:r>
      <w:r>
        <w:t xml:space="preserve"> </w:t>
      </w:r>
      <w:r w:rsidRPr="00EF2A90">
        <w:t>poslední</w:t>
      </w:r>
      <w:r>
        <w:t xml:space="preserve"> </w:t>
      </w:r>
      <w:r w:rsidRPr="00EF2A90">
        <w:t>místo</w:t>
      </w:r>
      <w:r>
        <w:t xml:space="preserve"> </w:t>
      </w:r>
      <w:r w:rsidRPr="00EF2A90">
        <w:t>jejího</w:t>
      </w:r>
      <w:r>
        <w:t xml:space="preserve"> </w:t>
      </w:r>
      <w:r w:rsidRPr="00EF2A90">
        <w:t>trvalého</w:t>
      </w:r>
      <w:r>
        <w:t xml:space="preserve"> </w:t>
      </w:r>
      <w:r w:rsidRPr="00EF2A90">
        <w:t>pobytu,</w:t>
      </w:r>
      <w:r>
        <w:t xml:space="preserve"> </w:t>
      </w:r>
      <w:r w:rsidRPr="00EF2A90">
        <w:t>které</w:t>
      </w:r>
      <w:r>
        <w:t xml:space="preserve"> </w:t>
      </w:r>
      <w:r w:rsidRPr="00EF2A90">
        <w:t>je</w:t>
      </w:r>
      <w:r>
        <w:t xml:space="preserve"> </w:t>
      </w:r>
      <w:r w:rsidRPr="00EF2A90">
        <w:t>mu</w:t>
      </w:r>
      <w:r>
        <w:t xml:space="preserve"> </w:t>
      </w:r>
      <w:r w:rsidRPr="00EF2A90">
        <w:t>známo,</w:t>
      </w:r>
      <w:r>
        <w:t xml:space="preserve"> </w:t>
      </w:r>
      <w:r w:rsidRPr="00EF2A90">
        <w:t>popřípadě</w:t>
      </w:r>
      <w:r>
        <w:t xml:space="preserve"> </w:t>
      </w:r>
      <w:r w:rsidRPr="00EF2A90">
        <w:t>místo</w:t>
      </w:r>
      <w:r>
        <w:t xml:space="preserve"> </w:t>
      </w:r>
      <w:r w:rsidRPr="00EF2A90">
        <w:t>bydliště,</w:t>
      </w:r>
      <w:r>
        <w:t xml:space="preserve"> </w:t>
      </w:r>
      <w:r w:rsidRPr="00EF2A90">
        <w:t>neměla-li</w:t>
      </w:r>
      <w:r>
        <w:t xml:space="preserve"> </w:t>
      </w:r>
      <w:r w:rsidRPr="00EF2A90">
        <w:t>tato</w:t>
      </w:r>
      <w:r>
        <w:t xml:space="preserve"> </w:t>
      </w:r>
      <w:r w:rsidRPr="00EF2A90">
        <w:t>fyzická</w:t>
      </w:r>
      <w:r>
        <w:t xml:space="preserve"> </w:t>
      </w:r>
      <w:r w:rsidRPr="00EF2A90">
        <w:t>osoba</w:t>
      </w:r>
      <w:r>
        <w:t xml:space="preserve"> </w:t>
      </w:r>
      <w:r w:rsidRPr="00EF2A90">
        <w:t>trvalý</w:t>
      </w:r>
      <w:r>
        <w:t xml:space="preserve"> </w:t>
      </w:r>
      <w:r w:rsidRPr="00EF2A90">
        <w:t>pobyt</w:t>
      </w:r>
      <w:r>
        <w:t xml:space="preserve"> </w:t>
      </w:r>
      <w:r w:rsidRPr="00EF2A90">
        <w:t>na</w:t>
      </w:r>
      <w:r>
        <w:t xml:space="preserve"> </w:t>
      </w:r>
      <w:r w:rsidRPr="00EF2A90">
        <w:t>území</w:t>
      </w:r>
      <w:r>
        <w:t xml:space="preserve"> </w:t>
      </w:r>
      <w:r w:rsidRPr="00EF2A90">
        <w:t>České</w:t>
      </w:r>
      <w:r>
        <w:t xml:space="preserve"> </w:t>
      </w:r>
      <w:r w:rsidRPr="00EF2A90">
        <w:t>republiky.</w:t>
      </w:r>
      <w:r>
        <w:t xml:space="preserve"> </w:t>
      </w:r>
      <w:r w:rsidRPr="00EF2A90">
        <w:t>Toto</w:t>
      </w:r>
      <w:r>
        <w:t xml:space="preserve"> </w:t>
      </w:r>
      <w:r w:rsidRPr="00EF2A90">
        <w:t>místo</w:t>
      </w:r>
      <w:r>
        <w:t xml:space="preserve"> </w:t>
      </w:r>
      <w:r w:rsidRPr="00EF2A90">
        <w:t>sdělí</w:t>
      </w:r>
      <w:r>
        <w:t xml:space="preserve"> </w:t>
      </w:r>
      <w:r w:rsidRPr="00EF2A90">
        <w:t>též</w:t>
      </w:r>
      <w:r>
        <w:t xml:space="preserve"> </w:t>
      </w:r>
      <w:r w:rsidRPr="00EF2A90">
        <w:t>poskytovateli</w:t>
      </w:r>
      <w:r>
        <w:t xml:space="preserve"> </w:t>
      </w:r>
      <w:proofErr w:type="spellStart"/>
      <w:r w:rsidRPr="00EF2A90">
        <w:t>pracovnělékařských</w:t>
      </w:r>
      <w:proofErr w:type="spellEnd"/>
      <w:r>
        <w:t xml:space="preserve"> </w:t>
      </w:r>
      <w:r w:rsidRPr="00EF2A90">
        <w:t>služeb.</w:t>
      </w:r>
    </w:p>
    <w:p w14:paraId="683DA250" w14:textId="7FC20366" w:rsidR="00965B9F" w:rsidRPr="00EF2A90" w:rsidRDefault="00965B9F" w:rsidP="00CC48B5">
      <w:pPr>
        <w:pStyle w:val="Textparagrafu"/>
        <w:spacing w:before="120" w:after="120"/>
      </w:pPr>
      <w:r w:rsidRPr="00EF2A90">
        <w:lastRenderedPageBreak/>
        <w:t>(5)</w:t>
      </w:r>
      <w:r>
        <w:t xml:space="preserve"> </w:t>
      </w:r>
      <w:r w:rsidRPr="00EF2A90">
        <w:t>O</w:t>
      </w:r>
      <w:r>
        <w:t xml:space="preserve"> </w:t>
      </w:r>
      <w:r w:rsidRPr="00EF2A90">
        <w:t>provedeném</w:t>
      </w:r>
      <w:r>
        <w:t xml:space="preserve"> </w:t>
      </w:r>
      <w:r w:rsidRPr="00EF2A90">
        <w:t>auditu</w:t>
      </w:r>
      <w:r>
        <w:t xml:space="preserve"> </w:t>
      </w:r>
      <w:r w:rsidRPr="00EF2A90">
        <w:t>podle</w:t>
      </w:r>
      <w:r>
        <w:t xml:space="preserve"> </w:t>
      </w:r>
      <w:r w:rsidRPr="00EF2A90">
        <w:t>odstavce</w:t>
      </w:r>
      <w:r>
        <w:t xml:space="preserve"> </w:t>
      </w:r>
      <w:r w:rsidRPr="00EF2A90">
        <w:t>2</w:t>
      </w:r>
      <w:r>
        <w:t xml:space="preserve"> </w:t>
      </w:r>
      <w:r w:rsidRPr="00EF2A90">
        <w:t>písm.</w:t>
      </w:r>
      <w:r>
        <w:t xml:space="preserve"> </w:t>
      </w:r>
      <w:r w:rsidRPr="00EF2A90">
        <w:t>y)</w:t>
      </w:r>
      <w:r>
        <w:t xml:space="preserve"> </w:t>
      </w:r>
      <w:r w:rsidRPr="00EF2A90">
        <w:t>sepíše</w:t>
      </w:r>
      <w:r>
        <w:t xml:space="preserve"> </w:t>
      </w:r>
      <w:r w:rsidRPr="00EF2A90">
        <w:t>pověřený</w:t>
      </w:r>
      <w:r>
        <w:t xml:space="preserve"> </w:t>
      </w:r>
      <w:r w:rsidRPr="00EF2A90">
        <w:t>zaměstnanec</w:t>
      </w:r>
      <w:r>
        <w:t xml:space="preserve"> </w:t>
      </w:r>
      <w:r w:rsidRPr="00EF2A90">
        <w:t>příslušné</w:t>
      </w:r>
      <w:r>
        <w:t xml:space="preserve"> </w:t>
      </w:r>
      <w:r w:rsidRPr="00EF2A90">
        <w:t>krajské</w:t>
      </w:r>
      <w:r>
        <w:t xml:space="preserve"> </w:t>
      </w:r>
      <w:r w:rsidRPr="00EF2A90">
        <w:t>hygienické</w:t>
      </w:r>
      <w:r>
        <w:t xml:space="preserve"> </w:t>
      </w:r>
      <w:r w:rsidRPr="00EF2A90">
        <w:t>stanice</w:t>
      </w:r>
      <w:r>
        <w:t xml:space="preserve"> </w:t>
      </w:r>
      <w:r w:rsidRPr="00EF2A90">
        <w:t>protokol;</w:t>
      </w:r>
      <w:r>
        <w:t xml:space="preserve"> </w:t>
      </w:r>
      <w:r w:rsidRPr="00EF2A90">
        <w:t>při</w:t>
      </w:r>
      <w:r>
        <w:t xml:space="preserve"> </w:t>
      </w:r>
      <w:r w:rsidRPr="00EF2A90">
        <w:t>jeho</w:t>
      </w:r>
      <w:r>
        <w:t xml:space="preserve"> </w:t>
      </w:r>
      <w:r w:rsidRPr="00EF2A90">
        <w:t>pořízení</w:t>
      </w:r>
      <w:r>
        <w:t xml:space="preserve"> </w:t>
      </w:r>
      <w:r w:rsidRPr="00EF2A90">
        <w:t>postupuje</w:t>
      </w:r>
      <w:r>
        <w:t xml:space="preserve"> </w:t>
      </w:r>
      <w:r w:rsidRPr="00EF2A90">
        <w:t>podle</w:t>
      </w:r>
      <w:r>
        <w:t xml:space="preserve"> </w:t>
      </w:r>
      <w:r w:rsidRPr="00EF2A90">
        <w:t>technické</w:t>
      </w:r>
      <w:r>
        <w:t xml:space="preserve"> </w:t>
      </w:r>
      <w:r w:rsidRPr="00EF2A90">
        <w:t>normy</w:t>
      </w:r>
      <w:r>
        <w:t xml:space="preserve"> </w:t>
      </w:r>
      <w:r w:rsidRPr="00EF2A90">
        <w:t>pro</w:t>
      </w:r>
      <w:r>
        <w:t xml:space="preserve"> </w:t>
      </w:r>
      <w:proofErr w:type="spellStart"/>
      <w:r w:rsidRPr="00EF2A90">
        <w:t>auditování</w:t>
      </w:r>
      <w:proofErr w:type="spellEnd"/>
      <w:r>
        <w:t xml:space="preserve"> </w:t>
      </w:r>
      <w:r w:rsidRPr="00EF2A90">
        <w:t>systému</w:t>
      </w:r>
      <w:r>
        <w:t xml:space="preserve"> </w:t>
      </w:r>
      <w:r w:rsidR="003A733B">
        <w:t>managementu</w:t>
      </w:r>
      <w:r w:rsidR="003A733B">
        <w:rPr>
          <w:rStyle w:val="Znakapoznpodarou"/>
        </w:rPr>
        <w:footnoteReference w:customMarkFollows="1" w:id="383"/>
        <w:t>68)</w:t>
      </w:r>
      <w:r w:rsidRPr="00EF2A90">
        <w:t>.</w:t>
      </w:r>
    </w:p>
    <w:p w14:paraId="4632B21E" w14:textId="77777777" w:rsidR="0060548E" w:rsidRDefault="0060548E" w:rsidP="00CB5381">
      <w:pPr>
        <w:pStyle w:val="Textparagrafu"/>
        <w:tabs>
          <w:tab w:val="left" w:pos="406"/>
          <w:tab w:val="left" w:pos="840"/>
          <w:tab w:val="left" w:pos="868"/>
        </w:tabs>
        <w:spacing w:after="120"/>
        <w:ind w:firstLine="0"/>
        <w:sectPr w:rsidR="0060548E" w:rsidSect="00554E2B">
          <w:footnotePr>
            <w:numStart w:val="3"/>
          </w:footnotePr>
          <w:endnotePr>
            <w:numFmt w:val="decimal"/>
          </w:endnotePr>
          <w:pgSz w:w="11906" w:h="16838"/>
          <w:pgMar w:top="1418" w:right="1418" w:bottom="1418" w:left="1418" w:header="709" w:footer="709" w:gutter="0"/>
          <w:cols w:space="708"/>
          <w:docGrid w:linePitch="360"/>
        </w:sectPr>
      </w:pPr>
    </w:p>
    <w:p w14:paraId="21E800F1" w14:textId="42BEC846" w:rsidR="0060548E" w:rsidRPr="00CF7D27" w:rsidRDefault="0060548E" w:rsidP="00CC48B5">
      <w:pPr>
        <w:tabs>
          <w:tab w:val="left" w:pos="851"/>
        </w:tabs>
        <w:spacing w:before="120" w:after="120"/>
        <w:ind w:firstLine="0"/>
        <w:jc w:val="center"/>
        <w:outlineLvl w:val="0"/>
        <w:rPr>
          <w:szCs w:val="24"/>
        </w:rPr>
      </w:pPr>
      <w:r w:rsidRPr="00CF7D27">
        <w:rPr>
          <w:b/>
          <w:szCs w:val="24"/>
        </w:rPr>
        <w:lastRenderedPageBreak/>
        <w:t xml:space="preserve">K části padesáté </w:t>
      </w:r>
      <w:r w:rsidR="002E6AEA">
        <w:rPr>
          <w:b/>
          <w:szCs w:val="24"/>
        </w:rPr>
        <w:t>sedmé</w:t>
      </w:r>
      <w:r w:rsidRPr="00CF7D27">
        <w:rPr>
          <w:b/>
          <w:szCs w:val="24"/>
        </w:rPr>
        <w:t xml:space="preserve"> návrhu zákona – </w:t>
      </w:r>
      <w:r w:rsidRPr="00CF7D27">
        <w:rPr>
          <w:szCs w:val="24"/>
        </w:rPr>
        <w:t>změna zákona</w:t>
      </w:r>
      <w:r w:rsidRPr="00CF7D27">
        <w:t xml:space="preserve"> </w:t>
      </w:r>
      <w:r w:rsidRPr="0060548E">
        <w:rPr>
          <w:szCs w:val="24"/>
        </w:rPr>
        <w:t>o hospodaření energií</w:t>
      </w:r>
    </w:p>
    <w:p w14:paraId="5C78E16F" w14:textId="29D023CF" w:rsidR="0060548E" w:rsidRPr="00CF7D27" w:rsidRDefault="0060548E" w:rsidP="0060548E">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CF7D27">
        <w:rPr>
          <w:b/>
          <w:szCs w:val="24"/>
        </w:rPr>
        <w:t>Platné znění</w:t>
      </w:r>
      <w:r w:rsidRPr="00CF7D27">
        <w:rPr>
          <w:szCs w:val="24"/>
        </w:rPr>
        <w:t xml:space="preserve"> zákona č.</w:t>
      </w:r>
      <w:r>
        <w:rPr>
          <w:szCs w:val="24"/>
        </w:rPr>
        <w:t>406</w:t>
      </w:r>
      <w:r w:rsidRPr="00CF7D27">
        <w:rPr>
          <w:szCs w:val="24"/>
        </w:rPr>
        <w:t xml:space="preserve">/2000 Sb., </w:t>
      </w:r>
      <w:r w:rsidRPr="0060548E">
        <w:rPr>
          <w:szCs w:val="24"/>
        </w:rPr>
        <w:t>o hospodaření energií</w:t>
      </w:r>
    </w:p>
    <w:p w14:paraId="246D4EE5" w14:textId="4FC0471F" w:rsidR="0060548E" w:rsidRPr="00CF7D27" w:rsidRDefault="00CC48B5" w:rsidP="0060548E">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AE4818">
        <w:rPr>
          <w:b/>
          <w:szCs w:val="24"/>
          <w:lang w:eastAsia="en-US"/>
        </w:rPr>
        <w:t>s vyznačením navrhovaných změn a doplnění k 1. lednu 2025</w:t>
      </w:r>
    </w:p>
    <w:p w14:paraId="76E46524" w14:textId="77777777" w:rsidR="0060548E" w:rsidRPr="00CF7D27" w:rsidRDefault="0060548E" w:rsidP="0060548E">
      <w:pPr>
        <w:pStyle w:val="Textparagrafu"/>
        <w:tabs>
          <w:tab w:val="left" w:pos="406"/>
          <w:tab w:val="left" w:pos="840"/>
          <w:tab w:val="left" w:pos="868"/>
        </w:tabs>
        <w:spacing w:after="120"/>
        <w:ind w:firstLine="0"/>
        <w:jc w:val="center"/>
      </w:pPr>
      <w:r w:rsidRPr="00CF7D27">
        <w:t>***</w:t>
      </w:r>
    </w:p>
    <w:p w14:paraId="0EB4F60C" w14:textId="77777777" w:rsidR="009C36CD" w:rsidRDefault="009C36CD" w:rsidP="009C36CD">
      <w:pPr>
        <w:pStyle w:val="Textparagrafu"/>
        <w:ind w:firstLine="0"/>
        <w:jc w:val="center"/>
      </w:pPr>
      <w:r w:rsidRPr="00EF7D21">
        <w:t>§</w:t>
      </w:r>
      <w:r>
        <w:t xml:space="preserve"> </w:t>
      </w:r>
      <w:r w:rsidRPr="00EF7D21">
        <w:t>13b</w:t>
      </w:r>
    </w:p>
    <w:p w14:paraId="4F4FDD29" w14:textId="77777777" w:rsidR="009C36CD" w:rsidRDefault="009C36CD" w:rsidP="00CC48B5">
      <w:pPr>
        <w:pStyle w:val="Textparagrafu"/>
        <w:tabs>
          <w:tab w:val="left" w:pos="406"/>
        </w:tabs>
        <w:spacing w:before="120" w:after="120"/>
      </w:pPr>
      <w:r w:rsidRPr="00EF7D21">
        <w:t>(1)</w:t>
      </w:r>
      <w:r>
        <w:t xml:space="preserve"> </w:t>
      </w:r>
      <w:r w:rsidRPr="00EF7D21">
        <w:t>Státní</w:t>
      </w:r>
      <w:r>
        <w:t xml:space="preserve"> </w:t>
      </w:r>
      <w:r w:rsidRPr="00EF7D21">
        <w:t>energetická</w:t>
      </w:r>
      <w:r>
        <w:t xml:space="preserve"> </w:t>
      </w:r>
      <w:r w:rsidRPr="00EF7D21">
        <w:t>inspekce</w:t>
      </w:r>
      <w:r>
        <w:t xml:space="preserve"> </w:t>
      </w:r>
      <w:r w:rsidRPr="00EF7D21">
        <w:t>je</w:t>
      </w:r>
      <w:r>
        <w:t xml:space="preserve"> </w:t>
      </w:r>
      <w:r w:rsidRPr="00EF7D21">
        <w:t>správním</w:t>
      </w:r>
      <w:r>
        <w:t xml:space="preserve"> </w:t>
      </w:r>
      <w:r w:rsidRPr="00EF7D21">
        <w:t>úřadem</w:t>
      </w:r>
      <w:r>
        <w:t xml:space="preserve"> </w:t>
      </w:r>
      <w:r w:rsidRPr="00EF7D21">
        <w:t>se</w:t>
      </w:r>
      <w:r>
        <w:t xml:space="preserve"> </w:t>
      </w:r>
      <w:r w:rsidRPr="00EF7D21">
        <w:t>sídlem</w:t>
      </w:r>
      <w:r>
        <w:t xml:space="preserve"> </w:t>
      </w:r>
      <w:r w:rsidRPr="00EF7D21">
        <w:t>v</w:t>
      </w:r>
      <w:r>
        <w:t xml:space="preserve"> </w:t>
      </w:r>
      <w:r w:rsidRPr="00EF7D21">
        <w:t>Praze.</w:t>
      </w:r>
    </w:p>
    <w:p w14:paraId="45E44D94" w14:textId="77777777" w:rsidR="009C36CD" w:rsidRDefault="009C36CD" w:rsidP="00CC48B5">
      <w:pPr>
        <w:pStyle w:val="Textparagrafu"/>
        <w:tabs>
          <w:tab w:val="left" w:pos="406"/>
        </w:tabs>
        <w:spacing w:before="120" w:after="120"/>
      </w:pPr>
      <w:r w:rsidRPr="00EF7D21">
        <w:t>(2)</w:t>
      </w:r>
      <w:r>
        <w:t xml:space="preserve"> </w:t>
      </w:r>
      <w:r w:rsidRPr="00EF7D21">
        <w:t>Státní</w:t>
      </w:r>
      <w:r>
        <w:t xml:space="preserve"> </w:t>
      </w:r>
      <w:r w:rsidRPr="00EF7D21">
        <w:t>energetická</w:t>
      </w:r>
      <w:r>
        <w:t xml:space="preserve"> </w:t>
      </w:r>
      <w:r w:rsidRPr="00EF7D21">
        <w:t>inspekce</w:t>
      </w:r>
      <w:r>
        <w:t xml:space="preserve"> </w:t>
      </w:r>
      <w:r w:rsidRPr="00EF7D21">
        <w:t>je</w:t>
      </w:r>
      <w:r>
        <w:t xml:space="preserve"> </w:t>
      </w:r>
      <w:r w:rsidRPr="00EF7D21">
        <w:t>podřízena</w:t>
      </w:r>
      <w:r>
        <w:t xml:space="preserve"> </w:t>
      </w:r>
      <w:r w:rsidRPr="00EF7D21">
        <w:t>ministerstvu</w:t>
      </w:r>
      <w:r>
        <w:t xml:space="preserve"> </w:t>
      </w:r>
      <w:r w:rsidRPr="00EF7D21">
        <w:t>a</w:t>
      </w:r>
      <w:r>
        <w:t xml:space="preserve"> </w:t>
      </w:r>
      <w:r w:rsidRPr="00EF7D21">
        <w:t>člení</w:t>
      </w:r>
      <w:r>
        <w:t xml:space="preserve"> </w:t>
      </w:r>
      <w:r w:rsidRPr="00EF7D21">
        <w:t>se</w:t>
      </w:r>
      <w:r>
        <w:t xml:space="preserve"> </w:t>
      </w:r>
      <w:r w:rsidRPr="00EF7D21">
        <w:t>na</w:t>
      </w:r>
      <w:r>
        <w:t xml:space="preserve"> </w:t>
      </w:r>
      <w:r w:rsidRPr="00EF7D21">
        <w:t>ústřední</w:t>
      </w:r>
      <w:r>
        <w:t xml:space="preserve"> </w:t>
      </w:r>
      <w:r w:rsidRPr="00EF7D21">
        <w:t>inspektorát</w:t>
      </w:r>
      <w:r>
        <w:t xml:space="preserve"> </w:t>
      </w:r>
      <w:r w:rsidRPr="00EF7D21">
        <w:t>a</w:t>
      </w:r>
      <w:r>
        <w:t xml:space="preserve"> </w:t>
      </w:r>
      <w:r w:rsidRPr="00EF7D21">
        <w:t>územní</w:t>
      </w:r>
      <w:r>
        <w:t xml:space="preserve"> </w:t>
      </w:r>
      <w:r w:rsidRPr="00EF7D21">
        <w:t>inspektoráty.</w:t>
      </w:r>
      <w:r>
        <w:t xml:space="preserve"> </w:t>
      </w:r>
      <w:r w:rsidRPr="00EF7D21">
        <w:t>Územní</w:t>
      </w:r>
      <w:r>
        <w:t xml:space="preserve"> </w:t>
      </w:r>
      <w:r w:rsidRPr="00EF7D21">
        <w:t>inspektoráty</w:t>
      </w:r>
      <w:r>
        <w:t xml:space="preserve"> </w:t>
      </w:r>
      <w:r w:rsidRPr="00EF7D21">
        <w:t>mají</w:t>
      </w:r>
      <w:r>
        <w:t xml:space="preserve"> </w:t>
      </w:r>
      <w:r w:rsidRPr="00EF7D21">
        <w:t>tato</w:t>
      </w:r>
      <w:r>
        <w:t xml:space="preserve"> </w:t>
      </w:r>
      <w:r w:rsidRPr="00EF7D21">
        <w:t>sídla</w:t>
      </w:r>
    </w:p>
    <w:p w14:paraId="6280FEE1" w14:textId="77777777" w:rsidR="009C36CD" w:rsidRDefault="009C36CD" w:rsidP="009C36CD">
      <w:pPr>
        <w:pStyle w:val="Textparagrafu"/>
        <w:tabs>
          <w:tab w:val="left" w:pos="406"/>
        </w:tabs>
        <w:spacing w:before="0"/>
        <w:ind w:firstLine="0"/>
      </w:pPr>
      <w:r w:rsidRPr="00EF7D21">
        <w:t>a)</w:t>
      </w:r>
      <w:r>
        <w:t xml:space="preserve"> </w:t>
      </w:r>
      <w:r w:rsidRPr="00EF7D21">
        <w:t>v</w:t>
      </w:r>
      <w:r>
        <w:t xml:space="preserve"> </w:t>
      </w:r>
      <w:r w:rsidRPr="00EF7D21">
        <w:t>Praze</w:t>
      </w:r>
      <w:r>
        <w:t xml:space="preserve"> </w:t>
      </w:r>
      <w:r w:rsidRPr="00EF7D21">
        <w:t>s</w:t>
      </w:r>
      <w:r>
        <w:t xml:space="preserve"> </w:t>
      </w:r>
      <w:r w:rsidRPr="00EF7D21">
        <w:t>působností</w:t>
      </w:r>
      <w:r>
        <w:t xml:space="preserve"> </w:t>
      </w:r>
      <w:r w:rsidRPr="00EF7D21">
        <w:t>pro</w:t>
      </w:r>
      <w:r>
        <w:t xml:space="preserve"> </w:t>
      </w:r>
      <w:r w:rsidRPr="00EF7D21">
        <w:t>hlavní</w:t>
      </w:r>
      <w:r>
        <w:t xml:space="preserve"> </w:t>
      </w:r>
      <w:r w:rsidRPr="00EF7D21">
        <w:t>město</w:t>
      </w:r>
      <w:r>
        <w:t xml:space="preserve"> </w:t>
      </w:r>
      <w:r w:rsidRPr="00EF7D21">
        <w:t>Prahu</w:t>
      </w:r>
      <w:r>
        <w:t xml:space="preserve"> </w:t>
      </w:r>
      <w:r w:rsidRPr="00EF7D21">
        <w:t>a</w:t>
      </w:r>
      <w:r>
        <w:t xml:space="preserve"> </w:t>
      </w:r>
      <w:r w:rsidRPr="00EF7D21">
        <w:t>Středočeský</w:t>
      </w:r>
      <w:r>
        <w:t xml:space="preserve"> </w:t>
      </w:r>
      <w:r w:rsidRPr="00EF7D21">
        <w:t>kraj,</w:t>
      </w:r>
    </w:p>
    <w:p w14:paraId="09BEEEF5" w14:textId="77777777" w:rsidR="009C36CD" w:rsidRDefault="009C36CD" w:rsidP="009C36CD">
      <w:pPr>
        <w:pStyle w:val="Textparagrafu"/>
        <w:tabs>
          <w:tab w:val="left" w:pos="406"/>
        </w:tabs>
        <w:spacing w:before="0"/>
        <w:ind w:firstLine="0"/>
      </w:pPr>
      <w:r w:rsidRPr="00EF7D21">
        <w:t>b)</w:t>
      </w:r>
      <w:r>
        <w:t xml:space="preserve"> </w:t>
      </w:r>
      <w:r w:rsidRPr="00EF7D21">
        <w:t>v</w:t>
      </w:r>
      <w:r>
        <w:t xml:space="preserve"> </w:t>
      </w:r>
      <w:r w:rsidRPr="00EF7D21">
        <w:t>Českých</w:t>
      </w:r>
      <w:r>
        <w:t xml:space="preserve"> </w:t>
      </w:r>
      <w:r w:rsidRPr="00EF7D21">
        <w:t>Budějovicích</w:t>
      </w:r>
      <w:r>
        <w:t xml:space="preserve"> </w:t>
      </w:r>
      <w:r w:rsidRPr="00EF7D21">
        <w:t>s</w:t>
      </w:r>
      <w:r>
        <w:t xml:space="preserve"> </w:t>
      </w:r>
      <w:r w:rsidRPr="00EF7D21">
        <w:t>působností</w:t>
      </w:r>
      <w:r>
        <w:t xml:space="preserve"> </w:t>
      </w:r>
      <w:r w:rsidRPr="00EF7D21">
        <w:t>pro</w:t>
      </w:r>
      <w:r>
        <w:t xml:space="preserve"> </w:t>
      </w:r>
      <w:r w:rsidRPr="00EF7D21">
        <w:t>Jihočeský</w:t>
      </w:r>
      <w:r>
        <w:t xml:space="preserve"> </w:t>
      </w:r>
      <w:r w:rsidRPr="00EF7D21">
        <w:t>kraj</w:t>
      </w:r>
      <w:r>
        <w:t xml:space="preserve"> </w:t>
      </w:r>
      <w:r w:rsidRPr="00EF7D21">
        <w:t>a</w:t>
      </w:r>
      <w:r>
        <w:t xml:space="preserve"> </w:t>
      </w:r>
      <w:r w:rsidRPr="00EF7D21">
        <w:t>Kraj</w:t>
      </w:r>
      <w:r>
        <w:t xml:space="preserve"> </w:t>
      </w:r>
      <w:r w:rsidRPr="00EF7D21">
        <w:t>Vysočina,</w:t>
      </w:r>
    </w:p>
    <w:p w14:paraId="7CE1F216" w14:textId="77777777" w:rsidR="009C36CD" w:rsidRDefault="009C36CD" w:rsidP="009C36CD">
      <w:pPr>
        <w:pStyle w:val="Textparagrafu"/>
        <w:tabs>
          <w:tab w:val="left" w:pos="406"/>
        </w:tabs>
        <w:spacing w:before="0"/>
        <w:ind w:firstLine="0"/>
      </w:pPr>
      <w:r w:rsidRPr="00EF7D21">
        <w:t>c)</w:t>
      </w:r>
      <w:r>
        <w:t xml:space="preserve"> </w:t>
      </w:r>
      <w:r w:rsidRPr="00EF7D21">
        <w:t>v</w:t>
      </w:r>
      <w:r>
        <w:t xml:space="preserve"> </w:t>
      </w:r>
      <w:r w:rsidRPr="00EF7D21">
        <w:t>Plzni</w:t>
      </w:r>
      <w:r>
        <w:t xml:space="preserve"> </w:t>
      </w:r>
      <w:r w:rsidRPr="00EF7D21">
        <w:t>s</w:t>
      </w:r>
      <w:r>
        <w:t xml:space="preserve"> </w:t>
      </w:r>
      <w:r w:rsidRPr="00EF7D21">
        <w:t>působností</w:t>
      </w:r>
      <w:r>
        <w:t xml:space="preserve"> </w:t>
      </w:r>
      <w:r w:rsidRPr="00EF7D21">
        <w:t>pro</w:t>
      </w:r>
      <w:r>
        <w:t xml:space="preserve"> </w:t>
      </w:r>
      <w:r w:rsidRPr="00EF7D21">
        <w:t>Plzeňský</w:t>
      </w:r>
      <w:r>
        <w:t xml:space="preserve"> </w:t>
      </w:r>
      <w:r w:rsidRPr="00EF7D21">
        <w:t>a</w:t>
      </w:r>
      <w:r>
        <w:t xml:space="preserve"> </w:t>
      </w:r>
      <w:r w:rsidRPr="00EF7D21">
        <w:t>Karlovarský</w:t>
      </w:r>
      <w:r>
        <w:t xml:space="preserve"> </w:t>
      </w:r>
      <w:r w:rsidRPr="00EF7D21">
        <w:t>kraj,</w:t>
      </w:r>
    </w:p>
    <w:p w14:paraId="031121F8" w14:textId="77777777" w:rsidR="009C36CD" w:rsidRDefault="009C36CD" w:rsidP="009C36CD">
      <w:pPr>
        <w:pStyle w:val="Textparagrafu"/>
        <w:tabs>
          <w:tab w:val="left" w:pos="406"/>
        </w:tabs>
        <w:spacing w:before="0"/>
        <w:ind w:firstLine="0"/>
      </w:pPr>
      <w:r w:rsidRPr="00EF7D21">
        <w:t>d)</w:t>
      </w:r>
      <w:r>
        <w:t xml:space="preserve"> </w:t>
      </w:r>
      <w:r w:rsidRPr="00EF7D21">
        <w:t>v</w:t>
      </w:r>
      <w:r>
        <w:t xml:space="preserve"> </w:t>
      </w:r>
      <w:r w:rsidRPr="00EF7D21">
        <w:t>Liberci</w:t>
      </w:r>
      <w:r>
        <w:t xml:space="preserve"> </w:t>
      </w:r>
      <w:r w:rsidRPr="00EF7D21">
        <w:t>s</w:t>
      </w:r>
      <w:r>
        <w:t xml:space="preserve"> </w:t>
      </w:r>
      <w:r w:rsidRPr="00EF7D21">
        <w:t>působností</w:t>
      </w:r>
      <w:r>
        <w:t xml:space="preserve"> </w:t>
      </w:r>
      <w:r w:rsidRPr="00EF7D21">
        <w:t>pro</w:t>
      </w:r>
      <w:r>
        <w:t xml:space="preserve"> </w:t>
      </w:r>
      <w:r w:rsidRPr="00EF7D21">
        <w:t>Liberecký</w:t>
      </w:r>
      <w:r>
        <w:t xml:space="preserve"> </w:t>
      </w:r>
      <w:r w:rsidRPr="00EF7D21">
        <w:t>a</w:t>
      </w:r>
      <w:r>
        <w:t xml:space="preserve"> </w:t>
      </w:r>
      <w:r w:rsidRPr="00EF7D21">
        <w:t>Ústecký</w:t>
      </w:r>
      <w:r>
        <w:t xml:space="preserve"> </w:t>
      </w:r>
      <w:r w:rsidRPr="00EF7D21">
        <w:t>kraj,</w:t>
      </w:r>
    </w:p>
    <w:p w14:paraId="4350D0D4" w14:textId="77777777" w:rsidR="009C36CD" w:rsidRDefault="009C36CD" w:rsidP="009C36CD">
      <w:pPr>
        <w:pStyle w:val="Textparagrafu"/>
        <w:tabs>
          <w:tab w:val="left" w:pos="406"/>
        </w:tabs>
        <w:spacing w:before="0"/>
        <w:ind w:firstLine="0"/>
      </w:pPr>
      <w:r w:rsidRPr="00EF7D21">
        <w:t>e)</w:t>
      </w:r>
      <w:r>
        <w:t xml:space="preserve"> </w:t>
      </w:r>
      <w:r w:rsidRPr="00EF7D21">
        <w:t>v</w:t>
      </w:r>
      <w:r>
        <w:t xml:space="preserve"> </w:t>
      </w:r>
      <w:r w:rsidRPr="00EF7D21">
        <w:t>Hradci</w:t>
      </w:r>
      <w:r>
        <w:t xml:space="preserve"> </w:t>
      </w:r>
      <w:r w:rsidRPr="00EF7D21">
        <w:t>Králové</w:t>
      </w:r>
      <w:r>
        <w:t xml:space="preserve"> </w:t>
      </w:r>
      <w:r w:rsidRPr="00EF7D21">
        <w:t>s</w:t>
      </w:r>
      <w:r>
        <w:t xml:space="preserve"> </w:t>
      </w:r>
      <w:r w:rsidRPr="00EF7D21">
        <w:t>působností</w:t>
      </w:r>
      <w:r>
        <w:t xml:space="preserve"> </w:t>
      </w:r>
      <w:r w:rsidRPr="00EF7D21">
        <w:t>pro</w:t>
      </w:r>
      <w:r>
        <w:t xml:space="preserve"> </w:t>
      </w:r>
      <w:r w:rsidRPr="00EF7D21">
        <w:t>Královéhradecký</w:t>
      </w:r>
      <w:r>
        <w:t xml:space="preserve"> </w:t>
      </w:r>
      <w:r w:rsidRPr="00EF7D21">
        <w:t>a</w:t>
      </w:r>
      <w:r>
        <w:t xml:space="preserve"> </w:t>
      </w:r>
      <w:r w:rsidRPr="00EF7D21">
        <w:t>Pardubický</w:t>
      </w:r>
      <w:r>
        <w:t xml:space="preserve"> </w:t>
      </w:r>
      <w:r w:rsidRPr="00EF7D21">
        <w:t>kraj,</w:t>
      </w:r>
    </w:p>
    <w:p w14:paraId="0E683587" w14:textId="77777777" w:rsidR="009C36CD" w:rsidRDefault="009C36CD" w:rsidP="009C36CD">
      <w:pPr>
        <w:pStyle w:val="Textparagrafu"/>
        <w:tabs>
          <w:tab w:val="left" w:pos="406"/>
        </w:tabs>
        <w:spacing w:before="0"/>
        <w:ind w:firstLine="0"/>
      </w:pPr>
      <w:r w:rsidRPr="00EF7D21">
        <w:t>f)</w:t>
      </w:r>
      <w:r>
        <w:t xml:space="preserve"> </w:t>
      </w:r>
      <w:r w:rsidRPr="00EF7D21">
        <w:t>v</w:t>
      </w:r>
      <w:r>
        <w:t xml:space="preserve"> </w:t>
      </w:r>
      <w:r w:rsidRPr="00EF7D21">
        <w:t>Brně</w:t>
      </w:r>
      <w:r>
        <w:t xml:space="preserve"> </w:t>
      </w:r>
      <w:r w:rsidRPr="00EF7D21">
        <w:t>s</w:t>
      </w:r>
      <w:r>
        <w:t xml:space="preserve"> </w:t>
      </w:r>
      <w:r w:rsidRPr="00EF7D21">
        <w:t>působností</w:t>
      </w:r>
      <w:r>
        <w:t xml:space="preserve"> </w:t>
      </w:r>
      <w:r w:rsidRPr="00EF7D21">
        <w:t>pro</w:t>
      </w:r>
      <w:r>
        <w:t xml:space="preserve"> </w:t>
      </w:r>
      <w:r w:rsidRPr="00EF7D21">
        <w:t>Jihomoravský</w:t>
      </w:r>
      <w:r>
        <w:t xml:space="preserve"> </w:t>
      </w:r>
      <w:r w:rsidRPr="00EF7D21">
        <w:t>a</w:t>
      </w:r>
      <w:r>
        <w:t xml:space="preserve"> </w:t>
      </w:r>
      <w:r w:rsidRPr="00EF7D21">
        <w:t>Zlínský</w:t>
      </w:r>
      <w:r>
        <w:t xml:space="preserve"> </w:t>
      </w:r>
      <w:r w:rsidRPr="00EF7D21">
        <w:t>kraj,</w:t>
      </w:r>
    </w:p>
    <w:p w14:paraId="4EDA44B9" w14:textId="77777777" w:rsidR="009C36CD" w:rsidRDefault="009C36CD" w:rsidP="009C36CD">
      <w:pPr>
        <w:pStyle w:val="Textparagrafu"/>
        <w:tabs>
          <w:tab w:val="left" w:pos="406"/>
        </w:tabs>
        <w:spacing w:before="0"/>
        <w:ind w:firstLine="0"/>
      </w:pPr>
      <w:r w:rsidRPr="00EF7D21">
        <w:t>g)</w:t>
      </w:r>
      <w:r>
        <w:t xml:space="preserve"> </w:t>
      </w:r>
      <w:r w:rsidRPr="00EF7D21">
        <w:t>v</w:t>
      </w:r>
      <w:r>
        <w:t xml:space="preserve"> </w:t>
      </w:r>
      <w:r w:rsidRPr="00EF7D21">
        <w:t>Ostravě</w:t>
      </w:r>
      <w:r>
        <w:t xml:space="preserve"> </w:t>
      </w:r>
      <w:r w:rsidRPr="00EF7D21">
        <w:t>s</w:t>
      </w:r>
      <w:r>
        <w:t xml:space="preserve"> </w:t>
      </w:r>
      <w:r w:rsidRPr="00EF7D21">
        <w:t>působností</w:t>
      </w:r>
      <w:r>
        <w:t xml:space="preserve"> </w:t>
      </w:r>
      <w:r w:rsidRPr="00EF7D21">
        <w:t>pro</w:t>
      </w:r>
      <w:r>
        <w:t xml:space="preserve"> </w:t>
      </w:r>
      <w:r w:rsidRPr="00EF7D21">
        <w:t>Moravskoslezský</w:t>
      </w:r>
      <w:r>
        <w:t xml:space="preserve"> </w:t>
      </w:r>
      <w:r w:rsidRPr="00EF7D21">
        <w:t>a</w:t>
      </w:r>
      <w:r>
        <w:t xml:space="preserve"> </w:t>
      </w:r>
      <w:r w:rsidRPr="00EF7D21">
        <w:t>Olomoucký</w:t>
      </w:r>
      <w:r>
        <w:t xml:space="preserve"> </w:t>
      </w:r>
      <w:r w:rsidRPr="00EF7D21">
        <w:t>kraj.</w:t>
      </w:r>
    </w:p>
    <w:p w14:paraId="268B4E64" w14:textId="6D309EF6" w:rsidR="009C36CD" w:rsidRDefault="009C36CD" w:rsidP="00CC48B5">
      <w:pPr>
        <w:pStyle w:val="Textparagrafu"/>
        <w:tabs>
          <w:tab w:val="left" w:pos="406"/>
        </w:tabs>
        <w:spacing w:before="120" w:after="120"/>
      </w:pPr>
      <w:r w:rsidRPr="00EF7D21">
        <w:t>(3)</w:t>
      </w:r>
      <w:r>
        <w:t xml:space="preserve"> </w:t>
      </w:r>
      <w:r w:rsidRPr="00090B6F">
        <w:rPr>
          <w:strike/>
        </w:rPr>
        <w:t>Státní energetická inspekce je účetní jednotkou.</w:t>
      </w:r>
      <w:r>
        <w:t xml:space="preserve"> </w:t>
      </w:r>
      <w:bookmarkStart w:id="30" w:name="_Hlk159933896"/>
      <w:r w:rsidR="00090B6F" w:rsidRPr="0067746F">
        <w:rPr>
          <w:b/>
        </w:rPr>
        <w:t>Územní inspektoráty nejsou účetními jednotkami.</w:t>
      </w:r>
      <w:bookmarkEnd w:id="30"/>
      <w:r w:rsidR="00090B6F">
        <w:rPr>
          <w:b/>
        </w:rPr>
        <w:t xml:space="preserve"> </w:t>
      </w:r>
      <w:r w:rsidRPr="00EF7D21">
        <w:t>Pro</w:t>
      </w:r>
      <w:r>
        <w:t xml:space="preserve"> </w:t>
      </w:r>
      <w:r w:rsidRPr="00EF7D21">
        <w:t>účely</w:t>
      </w:r>
      <w:r>
        <w:t xml:space="preserve"> </w:t>
      </w:r>
      <w:r w:rsidRPr="00EF7D21">
        <w:t>hospodaření</w:t>
      </w:r>
      <w:r>
        <w:t xml:space="preserve"> </w:t>
      </w:r>
      <w:r w:rsidRPr="00EF7D21">
        <w:t>s</w:t>
      </w:r>
      <w:r>
        <w:t xml:space="preserve"> </w:t>
      </w:r>
      <w:r w:rsidRPr="00EF7D21">
        <w:t>majetkem</w:t>
      </w:r>
      <w:r>
        <w:t xml:space="preserve"> </w:t>
      </w:r>
      <w:r w:rsidRPr="00EF7D21">
        <w:t>státu</w:t>
      </w:r>
      <w:r>
        <w:t xml:space="preserve"> </w:t>
      </w:r>
      <w:r w:rsidRPr="00EF7D21">
        <w:t>včetně</w:t>
      </w:r>
      <w:r>
        <w:t xml:space="preserve"> </w:t>
      </w:r>
      <w:r w:rsidRPr="00EF7D21">
        <w:t>prostředků</w:t>
      </w:r>
      <w:r>
        <w:t xml:space="preserve"> </w:t>
      </w:r>
      <w:r w:rsidRPr="00EF7D21">
        <w:t>státního</w:t>
      </w:r>
      <w:r>
        <w:t xml:space="preserve"> </w:t>
      </w:r>
      <w:r w:rsidRPr="00EF7D21">
        <w:t>rozpočtu</w:t>
      </w:r>
      <w:r>
        <w:t xml:space="preserve"> </w:t>
      </w:r>
      <w:r w:rsidRPr="00EF7D21">
        <w:t>mají</w:t>
      </w:r>
      <w:r>
        <w:t xml:space="preserve"> </w:t>
      </w:r>
      <w:r w:rsidRPr="00EF7D21">
        <w:t>územní</w:t>
      </w:r>
      <w:r>
        <w:t xml:space="preserve"> </w:t>
      </w:r>
      <w:r w:rsidRPr="00EF7D21">
        <w:t>inspektoráty</w:t>
      </w:r>
      <w:r>
        <w:t xml:space="preserve"> </w:t>
      </w:r>
      <w:r w:rsidRPr="00EF7D21">
        <w:t>postavení</w:t>
      </w:r>
      <w:r>
        <w:t xml:space="preserve"> </w:t>
      </w:r>
      <w:r w:rsidRPr="00EF7D21">
        <w:t>vnitřních</w:t>
      </w:r>
      <w:r>
        <w:t xml:space="preserve"> </w:t>
      </w:r>
      <w:r w:rsidRPr="00EF7D21">
        <w:t>organizačních</w:t>
      </w:r>
      <w:r>
        <w:t xml:space="preserve"> </w:t>
      </w:r>
      <w:r w:rsidRPr="00EF7D21">
        <w:t>jednotek</w:t>
      </w:r>
      <w:r>
        <w:t xml:space="preserve"> </w:t>
      </w:r>
      <w:r w:rsidRPr="00EF7D21">
        <w:t>Státní</w:t>
      </w:r>
      <w:r>
        <w:t xml:space="preserve"> </w:t>
      </w:r>
      <w:r w:rsidRPr="00EF7D21">
        <w:t>energetické</w:t>
      </w:r>
      <w:r>
        <w:t xml:space="preserve"> </w:t>
      </w:r>
      <w:r w:rsidRPr="00EF7D21">
        <w:t>inspekce.</w:t>
      </w:r>
    </w:p>
    <w:p w14:paraId="494B1C5B" w14:textId="77777777" w:rsidR="009C36CD" w:rsidRPr="00EF7D21" w:rsidRDefault="009C36CD" w:rsidP="00CC48B5">
      <w:pPr>
        <w:pStyle w:val="Textparagrafu"/>
        <w:tabs>
          <w:tab w:val="left" w:pos="406"/>
        </w:tabs>
        <w:spacing w:before="120" w:after="120"/>
      </w:pPr>
      <w:r w:rsidRPr="00EF7D21">
        <w:t>(4)</w:t>
      </w:r>
      <w:r>
        <w:t xml:space="preserve"> </w:t>
      </w:r>
      <w:r w:rsidRPr="00EF7D21">
        <w:t>V</w:t>
      </w:r>
      <w:r>
        <w:t xml:space="preserve"> </w:t>
      </w:r>
      <w:r w:rsidRPr="00EF7D21">
        <w:t>čele</w:t>
      </w:r>
      <w:r>
        <w:t xml:space="preserve"> </w:t>
      </w:r>
      <w:r w:rsidRPr="00EF7D21">
        <w:t>ústředního</w:t>
      </w:r>
      <w:r>
        <w:t xml:space="preserve"> </w:t>
      </w:r>
      <w:r w:rsidRPr="00EF7D21">
        <w:t>inspektorátu</w:t>
      </w:r>
      <w:r>
        <w:t xml:space="preserve"> </w:t>
      </w:r>
      <w:r w:rsidRPr="00EF7D21">
        <w:t>je</w:t>
      </w:r>
      <w:r>
        <w:t xml:space="preserve"> </w:t>
      </w:r>
      <w:r w:rsidRPr="00EF7D21">
        <w:t>ústřední</w:t>
      </w:r>
      <w:r>
        <w:t xml:space="preserve"> </w:t>
      </w:r>
      <w:r w:rsidRPr="00EF7D21">
        <w:t>ředitel.</w:t>
      </w:r>
      <w:r>
        <w:t xml:space="preserve"> </w:t>
      </w:r>
      <w:r w:rsidRPr="00EF7D21">
        <w:t>V</w:t>
      </w:r>
      <w:r>
        <w:t xml:space="preserve"> </w:t>
      </w:r>
      <w:r w:rsidRPr="00EF7D21">
        <w:t>čele</w:t>
      </w:r>
      <w:r>
        <w:t xml:space="preserve"> </w:t>
      </w:r>
      <w:r w:rsidRPr="00EF7D21">
        <w:t>územního</w:t>
      </w:r>
      <w:r>
        <w:t xml:space="preserve"> </w:t>
      </w:r>
      <w:r w:rsidRPr="00EF7D21">
        <w:t>inspektorátu</w:t>
      </w:r>
      <w:r>
        <w:t xml:space="preserve"> </w:t>
      </w:r>
      <w:r w:rsidRPr="00EF7D21">
        <w:t>je</w:t>
      </w:r>
      <w:r>
        <w:t xml:space="preserve"> </w:t>
      </w:r>
      <w:r w:rsidRPr="00EF7D21">
        <w:t>ředitel.</w:t>
      </w:r>
      <w:r>
        <w:t xml:space="preserve"> </w:t>
      </w:r>
      <w:r w:rsidRPr="00EF7D21">
        <w:t>Výběr,</w:t>
      </w:r>
      <w:r>
        <w:t xml:space="preserve"> </w:t>
      </w:r>
      <w:r w:rsidRPr="00EF7D21">
        <w:t>jmenování</w:t>
      </w:r>
      <w:r>
        <w:t xml:space="preserve"> </w:t>
      </w:r>
      <w:r w:rsidRPr="00EF7D21">
        <w:t>a</w:t>
      </w:r>
      <w:r>
        <w:t xml:space="preserve"> </w:t>
      </w:r>
      <w:r w:rsidRPr="00EF7D21">
        <w:t>odvolání</w:t>
      </w:r>
      <w:r>
        <w:t xml:space="preserve"> </w:t>
      </w:r>
      <w:r w:rsidRPr="00EF7D21">
        <w:t>ústředního</w:t>
      </w:r>
      <w:r>
        <w:t xml:space="preserve"> </w:t>
      </w:r>
      <w:r w:rsidRPr="00EF7D21">
        <w:t>ředitele</w:t>
      </w:r>
      <w:r>
        <w:t xml:space="preserve"> </w:t>
      </w:r>
      <w:r w:rsidRPr="00EF7D21">
        <w:t>a</w:t>
      </w:r>
      <w:r>
        <w:t xml:space="preserve"> </w:t>
      </w:r>
      <w:r w:rsidRPr="00EF7D21">
        <w:t>ředitele</w:t>
      </w:r>
      <w:r>
        <w:t xml:space="preserve"> </w:t>
      </w:r>
      <w:r w:rsidRPr="00EF7D21">
        <w:t>se</w:t>
      </w:r>
      <w:r>
        <w:t xml:space="preserve"> </w:t>
      </w:r>
      <w:r w:rsidRPr="00EF7D21">
        <w:t>řídí</w:t>
      </w:r>
      <w:r>
        <w:t xml:space="preserve"> </w:t>
      </w:r>
      <w:r w:rsidRPr="00EF7D21">
        <w:t>zákonem</w:t>
      </w:r>
      <w:r>
        <w:t xml:space="preserve"> </w:t>
      </w:r>
      <w:r w:rsidRPr="00EF7D21">
        <w:t>o</w:t>
      </w:r>
      <w:r>
        <w:t xml:space="preserve"> </w:t>
      </w:r>
      <w:r w:rsidRPr="00EF7D21">
        <w:t>státní</w:t>
      </w:r>
      <w:r>
        <w:t xml:space="preserve"> </w:t>
      </w:r>
      <w:r w:rsidRPr="00EF7D21">
        <w:t>službě.</w:t>
      </w:r>
    </w:p>
    <w:p w14:paraId="14A947B8" w14:textId="77777777" w:rsidR="0060548E" w:rsidRDefault="0060548E" w:rsidP="00CB5381">
      <w:pPr>
        <w:pStyle w:val="Textparagrafu"/>
        <w:tabs>
          <w:tab w:val="left" w:pos="406"/>
          <w:tab w:val="left" w:pos="840"/>
          <w:tab w:val="left" w:pos="868"/>
        </w:tabs>
        <w:spacing w:after="120"/>
        <w:ind w:firstLine="0"/>
        <w:sectPr w:rsidR="0060548E" w:rsidSect="00554E2B">
          <w:footnotePr>
            <w:numStart w:val="3"/>
          </w:footnotePr>
          <w:endnotePr>
            <w:numFmt w:val="decimal"/>
          </w:endnotePr>
          <w:pgSz w:w="11906" w:h="16838"/>
          <w:pgMar w:top="1418" w:right="1418" w:bottom="1418" w:left="1418" w:header="709" w:footer="709" w:gutter="0"/>
          <w:cols w:space="708"/>
          <w:docGrid w:linePitch="360"/>
        </w:sectPr>
      </w:pPr>
    </w:p>
    <w:p w14:paraId="3D3119B6" w14:textId="1E20192B" w:rsidR="0060548E" w:rsidRPr="00CF7D27" w:rsidRDefault="0060548E" w:rsidP="00CC48B5">
      <w:pPr>
        <w:tabs>
          <w:tab w:val="left" w:pos="851"/>
        </w:tabs>
        <w:spacing w:before="120" w:after="120"/>
        <w:ind w:firstLine="0"/>
        <w:jc w:val="center"/>
        <w:outlineLvl w:val="0"/>
        <w:rPr>
          <w:szCs w:val="24"/>
        </w:rPr>
      </w:pPr>
      <w:r w:rsidRPr="00CF7D27">
        <w:rPr>
          <w:b/>
          <w:szCs w:val="24"/>
        </w:rPr>
        <w:lastRenderedPageBreak/>
        <w:t xml:space="preserve">K části padesáté </w:t>
      </w:r>
      <w:r w:rsidR="002E6AEA">
        <w:rPr>
          <w:b/>
          <w:szCs w:val="24"/>
        </w:rPr>
        <w:t>osmé</w:t>
      </w:r>
      <w:r w:rsidRPr="00CF7D27">
        <w:rPr>
          <w:b/>
          <w:szCs w:val="24"/>
        </w:rPr>
        <w:t xml:space="preserve"> návrhu zákona – </w:t>
      </w:r>
      <w:r w:rsidRPr="00CF7D27">
        <w:rPr>
          <w:szCs w:val="24"/>
        </w:rPr>
        <w:t xml:space="preserve">změna </w:t>
      </w:r>
      <w:r w:rsidR="00CC48B5">
        <w:rPr>
          <w:szCs w:val="24"/>
        </w:rPr>
        <w:t>energetického zákona</w:t>
      </w:r>
    </w:p>
    <w:p w14:paraId="1FB439FB" w14:textId="5E7C6CFB" w:rsidR="0060548E" w:rsidRPr="0060548E" w:rsidRDefault="0060548E" w:rsidP="0060548E">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CF7D27">
        <w:rPr>
          <w:b/>
          <w:szCs w:val="24"/>
        </w:rPr>
        <w:t>Platné znění</w:t>
      </w:r>
      <w:r w:rsidRPr="00CF7D27">
        <w:rPr>
          <w:szCs w:val="24"/>
        </w:rPr>
        <w:t xml:space="preserve"> zákona č.</w:t>
      </w:r>
      <w:r>
        <w:rPr>
          <w:szCs w:val="24"/>
        </w:rPr>
        <w:t>458</w:t>
      </w:r>
      <w:r w:rsidRPr="00CF7D27">
        <w:rPr>
          <w:szCs w:val="24"/>
        </w:rPr>
        <w:t xml:space="preserve">/2000 Sb., </w:t>
      </w:r>
      <w:r w:rsidRPr="0060548E">
        <w:rPr>
          <w:szCs w:val="24"/>
        </w:rPr>
        <w:t>o podmínkách podnikání a o výkonu státní správy v energetických odvětvích a o změně některých zákonů</w:t>
      </w:r>
      <w:r>
        <w:rPr>
          <w:szCs w:val="24"/>
        </w:rPr>
        <w:t xml:space="preserve"> </w:t>
      </w:r>
      <w:r w:rsidRPr="0060548E">
        <w:rPr>
          <w:szCs w:val="24"/>
        </w:rPr>
        <w:t>(energetický zákon)</w:t>
      </w:r>
    </w:p>
    <w:p w14:paraId="60210402" w14:textId="0038BBD2" w:rsidR="0060548E" w:rsidRPr="00CF7D27" w:rsidRDefault="00CC48B5" w:rsidP="0060548E">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AE4818">
        <w:rPr>
          <w:b/>
          <w:szCs w:val="24"/>
          <w:lang w:eastAsia="en-US"/>
        </w:rPr>
        <w:t>s vyznačením navrhovaných změn a doplnění k 1. lednu 2025</w:t>
      </w:r>
    </w:p>
    <w:p w14:paraId="3CF9A9F9" w14:textId="77777777" w:rsidR="0060548E" w:rsidRPr="00CF7D27" w:rsidRDefault="0060548E" w:rsidP="0060548E">
      <w:pPr>
        <w:pStyle w:val="Textparagrafu"/>
        <w:tabs>
          <w:tab w:val="left" w:pos="406"/>
          <w:tab w:val="left" w:pos="840"/>
          <w:tab w:val="left" w:pos="868"/>
        </w:tabs>
        <w:spacing w:after="120"/>
        <w:ind w:firstLine="0"/>
        <w:jc w:val="center"/>
      </w:pPr>
      <w:r w:rsidRPr="00CF7D27">
        <w:t>***</w:t>
      </w:r>
    </w:p>
    <w:p w14:paraId="360EC131" w14:textId="77777777" w:rsidR="00EE616D" w:rsidRDefault="00EE616D" w:rsidP="00EE616D">
      <w:pPr>
        <w:pStyle w:val="Textparagrafu"/>
        <w:ind w:firstLine="0"/>
        <w:jc w:val="center"/>
      </w:pPr>
      <w:r w:rsidRPr="00816651">
        <w:t>§</w:t>
      </w:r>
      <w:r>
        <w:t xml:space="preserve"> </w:t>
      </w:r>
      <w:r w:rsidRPr="00816651">
        <w:t>14</w:t>
      </w:r>
    </w:p>
    <w:p w14:paraId="6F16536F" w14:textId="77777777" w:rsidR="00EE616D" w:rsidRPr="00816651" w:rsidRDefault="00EE616D" w:rsidP="00EE616D">
      <w:pPr>
        <w:pStyle w:val="Textparagrafu"/>
        <w:ind w:firstLine="0"/>
        <w:jc w:val="center"/>
        <w:rPr>
          <w:b/>
        </w:rPr>
      </w:pPr>
      <w:r w:rsidRPr="00816651">
        <w:rPr>
          <w:b/>
        </w:rPr>
        <w:t>Fond</w:t>
      </w:r>
    </w:p>
    <w:p w14:paraId="468BB2F9" w14:textId="77777777" w:rsidR="00EE616D" w:rsidRDefault="00EE616D" w:rsidP="00CC48B5">
      <w:pPr>
        <w:pStyle w:val="Textparagrafu"/>
        <w:spacing w:before="120" w:after="120"/>
      </w:pPr>
      <w:r w:rsidRPr="00816651">
        <w:t>(1)</w:t>
      </w:r>
      <w:r>
        <w:t xml:space="preserve"> </w:t>
      </w:r>
      <w:r w:rsidRPr="00816651">
        <w:t>Prostředky</w:t>
      </w:r>
      <w:r>
        <w:t xml:space="preserve"> </w:t>
      </w:r>
      <w:r w:rsidRPr="00816651">
        <w:t>určené</w:t>
      </w:r>
      <w:r>
        <w:t xml:space="preserve"> </w:t>
      </w:r>
      <w:r w:rsidRPr="00816651">
        <w:t>k</w:t>
      </w:r>
      <w:r>
        <w:t xml:space="preserve"> </w:t>
      </w:r>
      <w:r w:rsidRPr="00816651">
        <w:t>úhradě</w:t>
      </w:r>
      <w:r>
        <w:t xml:space="preserve"> </w:t>
      </w:r>
      <w:r w:rsidRPr="00816651">
        <w:t>prokazatelných</w:t>
      </w:r>
      <w:r>
        <w:t xml:space="preserve"> </w:t>
      </w:r>
      <w:r w:rsidRPr="00816651">
        <w:t>ztrát</w:t>
      </w:r>
      <w:r>
        <w:t xml:space="preserve"> </w:t>
      </w:r>
      <w:r w:rsidRPr="00816651">
        <w:t>držitelů</w:t>
      </w:r>
      <w:r>
        <w:t xml:space="preserve"> </w:t>
      </w:r>
      <w:r w:rsidRPr="00816651">
        <w:t>licence,</w:t>
      </w:r>
      <w:r>
        <w:t xml:space="preserve"> </w:t>
      </w:r>
      <w:r w:rsidRPr="00816651">
        <w:t>kteří</w:t>
      </w:r>
      <w:r>
        <w:t xml:space="preserve"> </w:t>
      </w:r>
      <w:r w:rsidRPr="00816651">
        <w:t>plní</w:t>
      </w:r>
      <w:r>
        <w:t xml:space="preserve"> </w:t>
      </w:r>
      <w:r w:rsidRPr="00816651">
        <w:t>povinnost</w:t>
      </w:r>
      <w:r>
        <w:t xml:space="preserve"> </w:t>
      </w:r>
      <w:r w:rsidRPr="00816651">
        <w:t>dodávky</w:t>
      </w:r>
      <w:r>
        <w:t xml:space="preserve"> </w:t>
      </w:r>
      <w:r w:rsidRPr="00816651">
        <w:t>tepelné</w:t>
      </w:r>
      <w:r>
        <w:t xml:space="preserve"> </w:t>
      </w:r>
      <w:r w:rsidRPr="00816651">
        <w:t>energie</w:t>
      </w:r>
      <w:r>
        <w:t xml:space="preserve"> </w:t>
      </w:r>
      <w:r w:rsidRPr="00816651">
        <w:t>nad</w:t>
      </w:r>
      <w:r>
        <w:t xml:space="preserve"> </w:t>
      </w:r>
      <w:r w:rsidRPr="00816651">
        <w:t>rámec</w:t>
      </w:r>
      <w:r>
        <w:t xml:space="preserve"> </w:t>
      </w:r>
      <w:r w:rsidRPr="00816651">
        <w:t>licence,</w:t>
      </w:r>
      <w:r>
        <w:t xml:space="preserve"> </w:t>
      </w:r>
      <w:r w:rsidRPr="00816651">
        <w:t>vede</w:t>
      </w:r>
      <w:r>
        <w:t xml:space="preserve"> </w:t>
      </w:r>
      <w:r w:rsidRPr="00816651">
        <w:t>Energetický</w:t>
      </w:r>
      <w:r>
        <w:t xml:space="preserve"> </w:t>
      </w:r>
      <w:r w:rsidRPr="00816651">
        <w:t>regulační</w:t>
      </w:r>
      <w:r>
        <w:t xml:space="preserve"> </w:t>
      </w:r>
      <w:r w:rsidRPr="00816651">
        <w:t>úřad</w:t>
      </w:r>
      <w:r>
        <w:t xml:space="preserve"> </w:t>
      </w:r>
      <w:r w:rsidRPr="00816651">
        <w:t>na</w:t>
      </w:r>
      <w:r>
        <w:t xml:space="preserve"> </w:t>
      </w:r>
      <w:r w:rsidRPr="00816651">
        <w:t>zvláštním</w:t>
      </w:r>
      <w:r>
        <w:t xml:space="preserve"> </w:t>
      </w:r>
      <w:r w:rsidRPr="00816651">
        <w:t>běžném</w:t>
      </w:r>
      <w:r>
        <w:t xml:space="preserve"> </w:t>
      </w:r>
      <w:r w:rsidRPr="00816651">
        <w:t>účtu.</w:t>
      </w:r>
      <w:r>
        <w:t xml:space="preserve"> </w:t>
      </w:r>
      <w:r w:rsidRPr="00816651">
        <w:t>Příjmy</w:t>
      </w:r>
      <w:r>
        <w:t xml:space="preserve"> </w:t>
      </w:r>
      <w:r w:rsidRPr="00816651">
        <w:t>účtu</w:t>
      </w:r>
      <w:r>
        <w:t xml:space="preserve"> </w:t>
      </w:r>
      <w:r w:rsidRPr="00816651">
        <w:t>tvoří</w:t>
      </w:r>
      <w:r>
        <w:t xml:space="preserve"> </w:t>
      </w:r>
      <w:r w:rsidRPr="00816651">
        <w:t>platby</w:t>
      </w:r>
      <w:r>
        <w:t xml:space="preserve"> </w:t>
      </w:r>
      <w:r w:rsidRPr="00816651">
        <w:t>povinného</w:t>
      </w:r>
      <w:r>
        <w:t xml:space="preserve"> </w:t>
      </w:r>
      <w:r w:rsidRPr="00816651">
        <w:t>subjektu,</w:t>
      </w:r>
      <w:r>
        <w:t xml:space="preserve"> </w:t>
      </w:r>
      <w:r w:rsidRPr="00816651">
        <w:t>úroky</w:t>
      </w:r>
      <w:r>
        <w:t xml:space="preserve"> </w:t>
      </w:r>
      <w:r w:rsidRPr="00816651">
        <w:t>a</w:t>
      </w:r>
      <w:r>
        <w:t xml:space="preserve"> </w:t>
      </w:r>
      <w:r w:rsidRPr="00816651">
        <w:t>úrok</w:t>
      </w:r>
      <w:r>
        <w:t xml:space="preserve"> </w:t>
      </w:r>
      <w:r w:rsidRPr="00816651">
        <w:t>z</w:t>
      </w:r>
      <w:r>
        <w:t xml:space="preserve"> </w:t>
      </w:r>
      <w:r w:rsidRPr="00816651">
        <w:t>prodlení.</w:t>
      </w:r>
    </w:p>
    <w:p w14:paraId="785DD8CA" w14:textId="77777777" w:rsidR="00EE616D" w:rsidRDefault="00EE616D" w:rsidP="00CC48B5">
      <w:pPr>
        <w:pStyle w:val="Textparagrafu"/>
        <w:spacing w:before="120" w:after="120"/>
      </w:pPr>
      <w:r w:rsidRPr="00816651">
        <w:t>(2)</w:t>
      </w:r>
      <w:r>
        <w:t xml:space="preserve"> </w:t>
      </w:r>
      <w:r w:rsidRPr="00816651">
        <w:t>Držitelé</w:t>
      </w:r>
      <w:r>
        <w:t xml:space="preserve"> </w:t>
      </w:r>
      <w:r w:rsidRPr="00816651">
        <w:t>licencí</w:t>
      </w:r>
      <w:r>
        <w:t xml:space="preserve"> </w:t>
      </w:r>
      <w:r w:rsidRPr="00816651">
        <w:t>podle</w:t>
      </w:r>
      <w:r>
        <w:t xml:space="preserve"> </w:t>
      </w:r>
      <w:r w:rsidRPr="00816651">
        <w:t>§</w:t>
      </w:r>
      <w:r>
        <w:t xml:space="preserve"> </w:t>
      </w:r>
      <w:r w:rsidRPr="00816651">
        <w:t>4</w:t>
      </w:r>
      <w:r>
        <w:t xml:space="preserve"> </w:t>
      </w:r>
      <w:r w:rsidRPr="00816651">
        <w:t>odst.</w:t>
      </w:r>
      <w:r>
        <w:t xml:space="preserve"> </w:t>
      </w:r>
      <w:r w:rsidRPr="00816651">
        <w:t>1</w:t>
      </w:r>
      <w:r>
        <w:t xml:space="preserve"> </w:t>
      </w:r>
      <w:r w:rsidRPr="00816651">
        <w:t>písm.</w:t>
      </w:r>
      <w:r>
        <w:t xml:space="preserve"> </w:t>
      </w:r>
      <w:r w:rsidRPr="00816651">
        <w:t>a)</w:t>
      </w:r>
      <w:r>
        <w:t xml:space="preserve"> </w:t>
      </w:r>
      <w:r w:rsidRPr="00816651">
        <w:t>bodu</w:t>
      </w:r>
      <w:r>
        <w:t xml:space="preserve"> </w:t>
      </w:r>
      <w:r w:rsidRPr="00816651">
        <w:t>3</w:t>
      </w:r>
      <w:r>
        <w:t xml:space="preserve"> </w:t>
      </w:r>
      <w:r w:rsidRPr="00816651">
        <w:t>a</w:t>
      </w:r>
      <w:r>
        <w:t xml:space="preserve"> </w:t>
      </w:r>
      <w:r w:rsidRPr="00816651">
        <w:t>§</w:t>
      </w:r>
      <w:r>
        <w:t xml:space="preserve"> </w:t>
      </w:r>
      <w:r w:rsidRPr="00816651">
        <w:t>4</w:t>
      </w:r>
      <w:r>
        <w:t xml:space="preserve"> </w:t>
      </w:r>
      <w:r w:rsidRPr="00816651">
        <w:t>odst.</w:t>
      </w:r>
      <w:r>
        <w:t xml:space="preserve"> </w:t>
      </w:r>
      <w:r w:rsidRPr="00816651">
        <w:t>1</w:t>
      </w:r>
      <w:r>
        <w:t xml:space="preserve"> </w:t>
      </w:r>
      <w:r w:rsidRPr="00816651">
        <w:t>písm.</w:t>
      </w:r>
      <w:r>
        <w:t xml:space="preserve"> </w:t>
      </w:r>
      <w:r w:rsidRPr="00816651">
        <w:t>b)</w:t>
      </w:r>
      <w:r>
        <w:t xml:space="preserve"> </w:t>
      </w:r>
      <w:r w:rsidRPr="00816651">
        <w:t>bodu</w:t>
      </w:r>
      <w:r>
        <w:t xml:space="preserve"> </w:t>
      </w:r>
      <w:r w:rsidRPr="00816651">
        <w:t>6</w:t>
      </w:r>
      <w:r>
        <w:t xml:space="preserve"> </w:t>
      </w:r>
      <w:r w:rsidRPr="00816651">
        <w:t>jsou</w:t>
      </w:r>
      <w:r>
        <w:t xml:space="preserve"> </w:t>
      </w:r>
      <w:r w:rsidRPr="00816651">
        <w:t>povinni</w:t>
      </w:r>
      <w:r>
        <w:t xml:space="preserve"> </w:t>
      </w:r>
      <w:r w:rsidRPr="00816651">
        <w:t>finančně</w:t>
      </w:r>
      <w:r>
        <w:t xml:space="preserve"> </w:t>
      </w:r>
      <w:r w:rsidRPr="00816651">
        <w:t>přispívat</w:t>
      </w:r>
      <w:r>
        <w:t xml:space="preserve"> </w:t>
      </w:r>
      <w:r w:rsidRPr="00816651">
        <w:t>do</w:t>
      </w:r>
      <w:r>
        <w:t xml:space="preserve"> </w:t>
      </w:r>
      <w:r w:rsidRPr="00816651">
        <w:t>fondu.</w:t>
      </w:r>
      <w:r>
        <w:t xml:space="preserve"> </w:t>
      </w:r>
      <w:r w:rsidRPr="00816651">
        <w:t>Prostředky</w:t>
      </w:r>
      <w:r>
        <w:t xml:space="preserve"> </w:t>
      </w:r>
      <w:r w:rsidRPr="00816651">
        <w:t>fondu</w:t>
      </w:r>
      <w:r>
        <w:t xml:space="preserve"> </w:t>
      </w:r>
      <w:r w:rsidRPr="00816651">
        <w:t>jsou</w:t>
      </w:r>
      <w:r>
        <w:t xml:space="preserve"> </w:t>
      </w:r>
      <w:r w:rsidRPr="00816651">
        <w:t>jinými</w:t>
      </w:r>
      <w:r>
        <w:t xml:space="preserve"> </w:t>
      </w:r>
      <w:r w:rsidRPr="00816651">
        <w:t>peněžními</w:t>
      </w:r>
      <w:r>
        <w:t xml:space="preserve"> </w:t>
      </w:r>
      <w:r w:rsidRPr="00816651">
        <w:t>prostředky</w:t>
      </w:r>
      <w:r>
        <w:t xml:space="preserve"> </w:t>
      </w:r>
      <w:r w:rsidRPr="00816651">
        <w:t>státu</w:t>
      </w:r>
      <w:r>
        <w:t xml:space="preserve"> </w:t>
      </w:r>
      <w:r w:rsidRPr="00816651">
        <w:t>a</w:t>
      </w:r>
      <w:r>
        <w:t xml:space="preserve"> </w:t>
      </w:r>
      <w:r w:rsidRPr="00816651">
        <w:t>jsou</w:t>
      </w:r>
      <w:r>
        <w:t xml:space="preserve"> </w:t>
      </w:r>
      <w:r w:rsidRPr="00816651">
        <w:t>účelově</w:t>
      </w:r>
      <w:r>
        <w:t xml:space="preserve"> </w:t>
      </w:r>
      <w:r w:rsidRPr="00816651">
        <w:t>vázány</w:t>
      </w:r>
      <w:r>
        <w:t xml:space="preserve"> </w:t>
      </w:r>
      <w:r w:rsidRPr="00816651">
        <w:t>k</w:t>
      </w:r>
      <w:r>
        <w:t xml:space="preserve"> </w:t>
      </w:r>
      <w:r w:rsidRPr="00816651">
        <w:t>úhradě</w:t>
      </w:r>
      <w:r>
        <w:t xml:space="preserve"> </w:t>
      </w:r>
      <w:r w:rsidRPr="00816651">
        <w:t>prokazatelné</w:t>
      </w:r>
      <w:r>
        <w:t xml:space="preserve"> </w:t>
      </w:r>
      <w:r w:rsidRPr="00816651">
        <w:t>ztráty</w:t>
      </w:r>
      <w:r>
        <w:t xml:space="preserve"> </w:t>
      </w:r>
      <w:r w:rsidRPr="00816651">
        <w:t>držitele</w:t>
      </w:r>
      <w:r>
        <w:t xml:space="preserve"> </w:t>
      </w:r>
      <w:r w:rsidRPr="00816651">
        <w:t>licence</w:t>
      </w:r>
      <w:r>
        <w:t xml:space="preserve"> </w:t>
      </w:r>
      <w:r w:rsidRPr="00816651">
        <w:t>plnícího</w:t>
      </w:r>
      <w:r>
        <w:t xml:space="preserve"> </w:t>
      </w:r>
      <w:r w:rsidRPr="00816651">
        <w:t>povinnost</w:t>
      </w:r>
      <w:r>
        <w:t xml:space="preserve"> </w:t>
      </w:r>
      <w:r w:rsidRPr="00816651">
        <w:t>dodávky</w:t>
      </w:r>
      <w:r>
        <w:t xml:space="preserve"> </w:t>
      </w:r>
      <w:r w:rsidRPr="00816651">
        <w:t>tepelné</w:t>
      </w:r>
      <w:r>
        <w:t xml:space="preserve"> </w:t>
      </w:r>
      <w:r w:rsidRPr="00816651">
        <w:t>energie</w:t>
      </w:r>
      <w:r>
        <w:t xml:space="preserve"> </w:t>
      </w:r>
      <w:r w:rsidRPr="00816651">
        <w:t>nad</w:t>
      </w:r>
      <w:r>
        <w:t xml:space="preserve"> </w:t>
      </w:r>
      <w:r w:rsidRPr="00816651">
        <w:t>rámec</w:t>
      </w:r>
      <w:r>
        <w:t xml:space="preserve"> </w:t>
      </w:r>
      <w:r w:rsidRPr="00816651">
        <w:t>licence.</w:t>
      </w:r>
    </w:p>
    <w:p w14:paraId="4352B186" w14:textId="77777777" w:rsidR="00EE616D" w:rsidRDefault="00EE616D" w:rsidP="00CC48B5">
      <w:pPr>
        <w:pStyle w:val="Textparagrafu"/>
        <w:spacing w:before="120" w:after="120"/>
      </w:pPr>
      <w:r w:rsidRPr="00816651">
        <w:t>(3)</w:t>
      </w:r>
      <w:r>
        <w:t xml:space="preserve"> </w:t>
      </w:r>
      <w:r w:rsidRPr="00816651">
        <w:t>Povinnost</w:t>
      </w:r>
      <w:r>
        <w:t xml:space="preserve"> </w:t>
      </w:r>
      <w:r w:rsidRPr="00816651">
        <w:t>držitelů</w:t>
      </w:r>
      <w:r>
        <w:t xml:space="preserve"> </w:t>
      </w:r>
      <w:r w:rsidRPr="00816651">
        <w:t>licencí</w:t>
      </w:r>
      <w:r>
        <w:t xml:space="preserve"> </w:t>
      </w:r>
      <w:r w:rsidRPr="00816651">
        <w:t>k</w:t>
      </w:r>
      <w:r>
        <w:t xml:space="preserve"> </w:t>
      </w:r>
      <w:r w:rsidRPr="00816651">
        <w:t>příspěvkům</w:t>
      </w:r>
      <w:r>
        <w:t xml:space="preserve"> </w:t>
      </w:r>
      <w:r w:rsidRPr="00816651">
        <w:t>do</w:t>
      </w:r>
      <w:r>
        <w:t xml:space="preserve"> </w:t>
      </w:r>
      <w:r w:rsidRPr="00816651">
        <w:t>fondu</w:t>
      </w:r>
      <w:r>
        <w:t xml:space="preserve"> </w:t>
      </w:r>
      <w:r w:rsidRPr="00816651">
        <w:t>vznikne,</w:t>
      </w:r>
      <w:r>
        <w:t xml:space="preserve"> </w:t>
      </w:r>
      <w:r w:rsidRPr="00816651">
        <w:t>nedosahuje-li</w:t>
      </w:r>
      <w:r>
        <w:t xml:space="preserve"> </w:t>
      </w:r>
      <w:r w:rsidRPr="00816651">
        <w:t>výše</w:t>
      </w:r>
      <w:r>
        <w:t xml:space="preserve"> </w:t>
      </w:r>
      <w:r w:rsidRPr="00816651">
        <w:t>příspěvků</w:t>
      </w:r>
      <w:r>
        <w:t xml:space="preserve"> </w:t>
      </w:r>
      <w:r w:rsidRPr="00816651">
        <w:t>na</w:t>
      </w:r>
      <w:r>
        <w:t xml:space="preserve"> </w:t>
      </w:r>
      <w:r w:rsidRPr="00816651">
        <w:t>účtu</w:t>
      </w:r>
      <w:r>
        <w:t xml:space="preserve"> </w:t>
      </w:r>
      <w:r w:rsidRPr="00816651">
        <w:t>ke</w:t>
      </w:r>
      <w:r>
        <w:t xml:space="preserve"> </w:t>
      </w:r>
      <w:r w:rsidRPr="00816651">
        <w:t>konci</w:t>
      </w:r>
      <w:r>
        <w:t xml:space="preserve"> </w:t>
      </w:r>
      <w:r w:rsidRPr="00816651">
        <w:t>zúčtovacího</w:t>
      </w:r>
      <w:r>
        <w:t xml:space="preserve"> </w:t>
      </w:r>
      <w:r w:rsidRPr="00816651">
        <w:t>období</w:t>
      </w:r>
      <w:r>
        <w:t xml:space="preserve"> </w:t>
      </w:r>
      <w:r w:rsidRPr="00816651">
        <w:t>výše</w:t>
      </w:r>
      <w:r>
        <w:t xml:space="preserve"> </w:t>
      </w:r>
      <w:r w:rsidRPr="00816651">
        <w:t>50</w:t>
      </w:r>
      <w:r>
        <w:t xml:space="preserve"> </w:t>
      </w:r>
      <w:r w:rsidRPr="00816651">
        <w:t>000</w:t>
      </w:r>
      <w:r>
        <w:t xml:space="preserve"> </w:t>
      </w:r>
      <w:r w:rsidRPr="00816651">
        <w:t>000</w:t>
      </w:r>
      <w:r>
        <w:t xml:space="preserve"> </w:t>
      </w:r>
      <w:r w:rsidRPr="00816651">
        <w:t>Kč.</w:t>
      </w:r>
      <w:r>
        <w:t xml:space="preserve"> </w:t>
      </w:r>
      <w:r w:rsidRPr="00816651">
        <w:t>Při</w:t>
      </w:r>
      <w:r>
        <w:t xml:space="preserve"> </w:t>
      </w:r>
      <w:r w:rsidRPr="00816651">
        <w:t>správě</w:t>
      </w:r>
      <w:r>
        <w:t xml:space="preserve"> </w:t>
      </w:r>
      <w:r w:rsidRPr="00816651">
        <w:t>příspěvků</w:t>
      </w:r>
      <w:r>
        <w:t xml:space="preserve"> </w:t>
      </w:r>
      <w:r w:rsidRPr="00816651">
        <w:t>Energetický</w:t>
      </w:r>
      <w:r>
        <w:t xml:space="preserve"> </w:t>
      </w:r>
      <w:r w:rsidRPr="00816651">
        <w:t>regulační</w:t>
      </w:r>
      <w:r>
        <w:t xml:space="preserve"> </w:t>
      </w:r>
      <w:r w:rsidRPr="00816651">
        <w:t>úřad</w:t>
      </w:r>
      <w:r>
        <w:t xml:space="preserve"> </w:t>
      </w:r>
      <w:r w:rsidRPr="00816651">
        <w:t>postupuje</w:t>
      </w:r>
      <w:r>
        <w:t xml:space="preserve"> </w:t>
      </w:r>
      <w:r w:rsidRPr="00816651">
        <w:t>podle</w:t>
      </w:r>
      <w:r>
        <w:t xml:space="preserve"> </w:t>
      </w:r>
      <w:r w:rsidRPr="00816651">
        <w:t>daňového</w:t>
      </w:r>
      <w:r>
        <w:t xml:space="preserve"> </w:t>
      </w:r>
      <w:r w:rsidRPr="00816651">
        <w:t>řádu.</w:t>
      </w:r>
      <w:r>
        <w:t xml:space="preserve"> </w:t>
      </w:r>
      <w:r w:rsidRPr="00816651">
        <w:t>Vypořádáním</w:t>
      </w:r>
      <w:r>
        <w:t xml:space="preserve"> </w:t>
      </w:r>
      <w:r w:rsidRPr="00816651">
        <w:t>přeplatků</w:t>
      </w:r>
      <w:r>
        <w:t xml:space="preserve"> </w:t>
      </w:r>
      <w:r w:rsidRPr="00816651">
        <w:t>a</w:t>
      </w:r>
      <w:r>
        <w:t xml:space="preserve"> </w:t>
      </w:r>
      <w:r w:rsidRPr="00816651">
        <w:t>nedoplatků,</w:t>
      </w:r>
      <w:r>
        <w:t xml:space="preserve"> </w:t>
      </w:r>
      <w:r w:rsidRPr="00816651">
        <w:t>včetně</w:t>
      </w:r>
      <w:r>
        <w:t xml:space="preserve"> </w:t>
      </w:r>
      <w:r w:rsidRPr="00816651">
        <w:t>dodatečně</w:t>
      </w:r>
      <w:r>
        <w:t xml:space="preserve"> </w:t>
      </w:r>
      <w:r w:rsidRPr="00816651">
        <w:t>vyměřeného</w:t>
      </w:r>
      <w:r>
        <w:t xml:space="preserve"> </w:t>
      </w:r>
      <w:r w:rsidRPr="00816651">
        <w:t>příspěvku</w:t>
      </w:r>
      <w:r>
        <w:t xml:space="preserve"> </w:t>
      </w:r>
      <w:r w:rsidRPr="00816651">
        <w:t>není</w:t>
      </w:r>
      <w:r>
        <w:t xml:space="preserve"> </w:t>
      </w:r>
      <w:r w:rsidRPr="00816651">
        <w:t>dotčena</w:t>
      </w:r>
      <w:r>
        <w:t xml:space="preserve"> </w:t>
      </w:r>
      <w:r w:rsidRPr="00816651">
        <w:t>již</w:t>
      </w:r>
      <w:r>
        <w:t xml:space="preserve"> </w:t>
      </w:r>
      <w:r w:rsidRPr="00816651">
        <w:t>stanovená</w:t>
      </w:r>
      <w:r>
        <w:t xml:space="preserve"> </w:t>
      </w:r>
      <w:r w:rsidRPr="00816651">
        <w:t>výše</w:t>
      </w:r>
      <w:r>
        <w:t xml:space="preserve"> </w:t>
      </w:r>
      <w:r w:rsidRPr="00816651">
        <w:t>příspěvků</w:t>
      </w:r>
      <w:r>
        <w:t xml:space="preserve"> </w:t>
      </w:r>
      <w:r w:rsidRPr="00816651">
        <w:t>držitelů</w:t>
      </w:r>
      <w:r>
        <w:t xml:space="preserve"> </w:t>
      </w:r>
      <w:r w:rsidRPr="00816651">
        <w:t>licencí.</w:t>
      </w:r>
      <w:r>
        <w:t xml:space="preserve"> </w:t>
      </w:r>
      <w:r w:rsidRPr="00816651">
        <w:t>Příspěvky</w:t>
      </w:r>
      <w:r>
        <w:t xml:space="preserve"> </w:t>
      </w:r>
      <w:r w:rsidRPr="00816651">
        <w:t>do</w:t>
      </w:r>
      <w:r>
        <w:t xml:space="preserve"> </w:t>
      </w:r>
      <w:r w:rsidRPr="00816651">
        <w:t>fondu</w:t>
      </w:r>
      <w:r>
        <w:t xml:space="preserve"> </w:t>
      </w:r>
      <w:r w:rsidRPr="00816651">
        <w:t>se</w:t>
      </w:r>
      <w:r>
        <w:t xml:space="preserve"> </w:t>
      </w:r>
      <w:r w:rsidRPr="00816651">
        <w:t>vyměří</w:t>
      </w:r>
      <w:r>
        <w:t xml:space="preserve"> </w:t>
      </w:r>
      <w:r w:rsidRPr="00816651">
        <w:t>za</w:t>
      </w:r>
      <w:r>
        <w:t xml:space="preserve"> </w:t>
      </w:r>
      <w:r w:rsidRPr="00816651">
        <w:t>účetní</w:t>
      </w:r>
      <w:r>
        <w:t xml:space="preserve"> </w:t>
      </w:r>
      <w:r w:rsidRPr="00816651">
        <w:t>období</w:t>
      </w:r>
      <w:r>
        <w:t xml:space="preserve"> </w:t>
      </w:r>
      <w:r w:rsidRPr="00816651">
        <w:t>fondu,</w:t>
      </w:r>
      <w:r>
        <w:t xml:space="preserve"> </w:t>
      </w:r>
      <w:r w:rsidRPr="00816651">
        <w:t>ve</w:t>
      </w:r>
      <w:r>
        <w:t xml:space="preserve"> </w:t>
      </w:r>
      <w:r w:rsidRPr="00816651">
        <w:t>kterém</w:t>
      </w:r>
      <w:r>
        <w:t xml:space="preserve"> </w:t>
      </w:r>
      <w:r w:rsidRPr="00816651">
        <w:t>klesne</w:t>
      </w:r>
      <w:r>
        <w:t xml:space="preserve"> </w:t>
      </w:r>
      <w:r w:rsidRPr="00816651">
        <w:t>zůstatek</w:t>
      </w:r>
      <w:r>
        <w:t xml:space="preserve"> </w:t>
      </w:r>
      <w:r w:rsidRPr="00816651">
        <w:t>fondu</w:t>
      </w:r>
      <w:r>
        <w:t xml:space="preserve"> </w:t>
      </w:r>
      <w:r w:rsidRPr="00816651">
        <w:t>nejméně</w:t>
      </w:r>
      <w:r>
        <w:t xml:space="preserve"> </w:t>
      </w:r>
      <w:r w:rsidRPr="00816651">
        <w:t>o</w:t>
      </w:r>
      <w:r>
        <w:t xml:space="preserve"> </w:t>
      </w:r>
      <w:r w:rsidRPr="00816651">
        <w:t>5</w:t>
      </w:r>
      <w:r>
        <w:t xml:space="preserve"> </w:t>
      </w:r>
      <w:r w:rsidRPr="00816651">
        <w:t>000</w:t>
      </w:r>
      <w:r>
        <w:t xml:space="preserve"> </w:t>
      </w:r>
      <w:r w:rsidRPr="00816651">
        <w:t>000</w:t>
      </w:r>
      <w:r>
        <w:t xml:space="preserve"> </w:t>
      </w:r>
      <w:r w:rsidRPr="00816651">
        <w:t>Kč.</w:t>
      </w:r>
      <w:r>
        <w:t xml:space="preserve"> </w:t>
      </w:r>
      <w:r w:rsidRPr="00816651">
        <w:t>Přeplatky</w:t>
      </w:r>
      <w:r>
        <w:t xml:space="preserve"> </w:t>
      </w:r>
      <w:r w:rsidRPr="00816651">
        <w:t>do</w:t>
      </w:r>
      <w:r>
        <w:t xml:space="preserve"> </w:t>
      </w:r>
      <w:r w:rsidRPr="00816651">
        <w:t>výše</w:t>
      </w:r>
      <w:r>
        <w:t xml:space="preserve"> </w:t>
      </w:r>
      <w:r w:rsidRPr="00816651">
        <w:t>100</w:t>
      </w:r>
      <w:r>
        <w:t xml:space="preserve"> </w:t>
      </w:r>
      <w:r w:rsidRPr="00816651">
        <w:t>Kč</w:t>
      </w:r>
      <w:r>
        <w:t xml:space="preserve"> </w:t>
      </w:r>
      <w:r w:rsidRPr="00816651">
        <w:t>Energetický</w:t>
      </w:r>
      <w:r>
        <w:t xml:space="preserve"> </w:t>
      </w:r>
      <w:r w:rsidRPr="00816651">
        <w:t>regulační</w:t>
      </w:r>
      <w:r>
        <w:t xml:space="preserve"> </w:t>
      </w:r>
      <w:r w:rsidRPr="00816651">
        <w:t>úřad</w:t>
      </w:r>
      <w:r>
        <w:t xml:space="preserve"> </w:t>
      </w:r>
      <w:r w:rsidRPr="00816651">
        <w:t>nevrací.</w:t>
      </w:r>
    </w:p>
    <w:p w14:paraId="56712A22" w14:textId="77777777" w:rsidR="00EE616D" w:rsidRDefault="00EE616D" w:rsidP="00CC48B5">
      <w:pPr>
        <w:pStyle w:val="Textparagrafu"/>
        <w:spacing w:before="120" w:after="120"/>
      </w:pPr>
      <w:r w:rsidRPr="00816651">
        <w:t>(4)</w:t>
      </w:r>
      <w:r>
        <w:t xml:space="preserve"> </w:t>
      </w:r>
      <w:r w:rsidRPr="00816651">
        <w:t>Postup</w:t>
      </w:r>
      <w:r>
        <w:t xml:space="preserve"> </w:t>
      </w:r>
      <w:r w:rsidRPr="00816651">
        <w:t>pro</w:t>
      </w:r>
      <w:r>
        <w:t xml:space="preserve"> </w:t>
      </w:r>
      <w:r w:rsidRPr="00816651">
        <w:t>stanovení</w:t>
      </w:r>
      <w:r>
        <w:t xml:space="preserve"> </w:t>
      </w:r>
      <w:r w:rsidRPr="00816651">
        <w:t>výše</w:t>
      </w:r>
      <w:r>
        <w:t xml:space="preserve"> </w:t>
      </w:r>
      <w:r w:rsidRPr="00816651">
        <w:t>příspěvku</w:t>
      </w:r>
      <w:r>
        <w:t xml:space="preserve"> </w:t>
      </w:r>
      <w:r w:rsidRPr="00816651">
        <w:t>jednotlivých</w:t>
      </w:r>
      <w:r>
        <w:t xml:space="preserve"> </w:t>
      </w:r>
      <w:r w:rsidRPr="00816651">
        <w:t>držitelů</w:t>
      </w:r>
      <w:r>
        <w:t xml:space="preserve"> </w:t>
      </w:r>
      <w:r w:rsidRPr="00816651">
        <w:t>licence</w:t>
      </w:r>
      <w:r>
        <w:t xml:space="preserve"> </w:t>
      </w:r>
      <w:r w:rsidRPr="00816651">
        <w:t>je</w:t>
      </w:r>
      <w:r>
        <w:t xml:space="preserve"> </w:t>
      </w:r>
      <w:r w:rsidRPr="00816651">
        <w:t>určen</w:t>
      </w:r>
      <w:r>
        <w:t xml:space="preserve"> </w:t>
      </w:r>
      <w:r w:rsidRPr="00816651">
        <w:t>součinem</w:t>
      </w:r>
      <w:r>
        <w:t xml:space="preserve"> </w:t>
      </w:r>
      <w:r w:rsidRPr="00816651">
        <w:t>jejich</w:t>
      </w:r>
      <w:r>
        <w:t xml:space="preserve"> </w:t>
      </w:r>
      <w:r w:rsidRPr="00816651">
        <w:t>podílu</w:t>
      </w:r>
      <w:r>
        <w:t xml:space="preserve"> </w:t>
      </w:r>
      <w:r w:rsidRPr="00816651">
        <w:t>na</w:t>
      </w:r>
      <w:r>
        <w:t xml:space="preserve"> </w:t>
      </w:r>
      <w:r w:rsidRPr="00816651">
        <w:t>celkovém</w:t>
      </w:r>
      <w:r>
        <w:t xml:space="preserve"> </w:t>
      </w:r>
      <w:r w:rsidRPr="00816651">
        <w:t>ročním</w:t>
      </w:r>
      <w:r>
        <w:t xml:space="preserve"> </w:t>
      </w:r>
      <w:r w:rsidRPr="00816651">
        <w:t>objemu</w:t>
      </w:r>
      <w:r>
        <w:t xml:space="preserve"> </w:t>
      </w:r>
      <w:r w:rsidRPr="00816651">
        <w:t>dosažených</w:t>
      </w:r>
      <w:r>
        <w:t xml:space="preserve"> </w:t>
      </w:r>
      <w:r w:rsidRPr="00816651">
        <w:t>tržeb</w:t>
      </w:r>
      <w:r>
        <w:t xml:space="preserve"> </w:t>
      </w:r>
      <w:r w:rsidRPr="00816651">
        <w:t>jimi</w:t>
      </w:r>
      <w:r>
        <w:t xml:space="preserve"> </w:t>
      </w:r>
      <w:r w:rsidRPr="00816651">
        <w:t>provozovaných</w:t>
      </w:r>
      <w:r>
        <w:t xml:space="preserve"> </w:t>
      </w:r>
      <w:r w:rsidRPr="00816651">
        <w:t>licencovaných</w:t>
      </w:r>
      <w:r>
        <w:t xml:space="preserve"> </w:t>
      </w:r>
      <w:r w:rsidRPr="00816651">
        <w:t>činností</w:t>
      </w:r>
      <w:r>
        <w:t xml:space="preserve"> </w:t>
      </w:r>
      <w:r w:rsidRPr="00816651">
        <w:t>za</w:t>
      </w:r>
      <w:r>
        <w:t xml:space="preserve"> </w:t>
      </w:r>
      <w:r w:rsidRPr="00816651">
        <w:t>uplynulý</w:t>
      </w:r>
      <w:r>
        <w:t xml:space="preserve"> </w:t>
      </w:r>
      <w:r w:rsidRPr="00816651">
        <w:t>kalendářní</w:t>
      </w:r>
      <w:r>
        <w:t xml:space="preserve"> </w:t>
      </w:r>
      <w:r w:rsidRPr="00816651">
        <w:t>rok</w:t>
      </w:r>
      <w:r>
        <w:t xml:space="preserve"> </w:t>
      </w:r>
      <w:r w:rsidRPr="00816651">
        <w:t>a</w:t>
      </w:r>
      <w:r>
        <w:t xml:space="preserve"> </w:t>
      </w:r>
      <w:r w:rsidRPr="00816651">
        <w:t>částky</w:t>
      </w:r>
      <w:r>
        <w:t xml:space="preserve"> </w:t>
      </w:r>
      <w:r w:rsidRPr="00816651">
        <w:t>vyplývající</w:t>
      </w:r>
      <w:r>
        <w:t xml:space="preserve"> </w:t>
      </w:r>
      <w:r w:rsidRPr="00816651">
        <w:t>z</w:t>
      </w:r>
      <w:r>
        <w:t xml:space="preserve"> </w:t>
      </w:r>
      <w:r w:rsidRPr="00816651">
        <w:t>odstavce</w:t>
      </w:r>
      <w:r>
        <w:t xml:space="preserve"> </w:t>
      </w:r>
      <w:r w:rsidRPr="00816651">
        <w:t>3</w:t>
      </w:r>
      <w:r>
        <w:t xml:space="preserve"> </w:t>
      </w:r>
      <w:r w:rsidRPr="00816651">
        <w:t>pro</w:t>
      </w:r>
      <w:r>
        <w:t xml:space="preserve"> </w:t>
      </w:r>
      <w:r w:rsidRPr="00816651">
        <w:t>příslušný</w:t>
      </w:r>
      <w:r>
        <w:t xml:space="preserve"> </w:t>
      </w:r>
      <w:r w:rsidRPr="00816651">
        <w:t>rok.</w:t>
      </w:r>
      <w:r>
        <w:t xml:space="preserve"> </w:t>
      </w:r>
      <w:r w:rsidRPr="00816651">
        <w:t>Osvobozeni</w:t>
      </w:r>
      <w:r>
        <w:t xml:space="preserve"> </w:t>
      </w:r>
      <w:r w:rsidRPr="00816651">
        <w:t>od</w:t>
      </w:r>
      <w:r>
        <w:t xml:space="preserve"> </w:t>
      </w:r>
      <w:r w:rsidRPr="00816651">
        <w:t>povinnosti</w:t>
      </w:r>
      <w:r>
        <w:t xml:space="preserve"> </w:t>
      </w:r>
      <w:r w:rsidRPr="00816651">
        <w:t>placení</w:t>
      </w:r>
      <w:r>
        <w:t xml:space="preserve"> </w:t>
      </w:r>
      <w:r w:rsidRPr="00816651">
        <w:t>příspěvku</w:t>
      </w:r>
      <w:r>
        <w:t xml:space="preserve"> </w:t>
      </w:r>
      <w:r w:rsidRPr="00816651">
        <w:t>jsou</w:t>
      </w:r>
      <w:r>
        <w:t xml:space="preserve"> </w:t>
      </w:r>
      <w:r w:rsidRPr="00816651">
        <w:t>ti</w:t>
      </w:r>
      <w:r>
        <w:t xml:space="preserve"> </w:t>
      </w:r>
      <w:r w:rsidRPr="00816651">
        <w:t>držitelé</w:t>
      </w:r>
      <w:r>
        <w:t xml:space="preserve"> </w:t>
      </w:r>
      <w:r w:rsidRPr="00816651">
        <w:t>licencí,</w:t>
      </w:r>
      <w:r>
        <w:t xml:space="preserve"> </w:t>
      </w:r>
      <w:r w:rsidRPr="00816651">
        <w:t>jejichž</w:t>
      </w:r>
      <w:r>
        <w:t xml:space="preserve"> </w:t>
      </w:r>
      <w:r w:rsidRPr="00816651">
        <w:t>výše</w:t>
      </w:r>
      <w:r>
        <w:t xml:space="preserve"> </w:t>
      </w:r>
      <w:r w:rsidRPr="00816651">
        <w:t>příspěvků</w:t>
      </w:r>
      <w:r>
        <w:t xml:space="preserve"> </w:t>
      </w:r>
      <w:r w:rsidRPr="00816651">
        <w:t>nedosahuje</w:t>
      </w:r>
      <w:r>
        <w:t xml:space="preserve"> </w:t>
      </w:r>
      <w:r w:rsidRPr="00816651">
        <w:t>100</w:t>
      </w:r>
      <w:r>
        <w:t xml:space="preserve"> </w:t>
      </w:r>
      <w:r w:rsidRPr="00816651">
        <w:t>Kč.</w:t>
      </w:r>
      <w:r>
        <w:t xml:space="preserve"> </w:t>
      </w:r>
      <w:r w:rsidRPr="00816651">
        <w:t>Celková</w:t>
      </w:r>
      <w:r>
        <w:t xml:space="preserve"> </w:t>
      </w:r>
      <w:r w:rsidRPr="00816651">
        <w:t>částka,</w:t>
      </w:r>
      <w:r>
        <w:t xml:space="preserve"> </w:t>
      </w:r>
      <w:r w:rsidRPr="00816651">
        <w:t>o</w:t>
      </w:r>
      <w:r>
        <w:t xml:space="preserve"> </w:t>
      </w:r>
      <w:r w:rsidRPr="00816651">
        <w:t>kterou</w:t>
      </w:r>
      <w:r>
        <w:t xml:space="preserve"> </w:t>
      </w:r>
      <w:r w:rsidRPr="00816651">
        <w:t>se</w:t>
      </w:r>
      <w:r>
        <w:t xml:space="preserve"> </w:t>
      </w:r>
      <w:r w:rsidRPr="00816651">
        <w:t>tak</w:t>
      </w:r>
      <w:r>
        <w:t xml:space="preserve"> </w:t>
      </w:r>
      <w:r w:rsidRPr="00816651">
        <w:t>snížila</w:t>
      </w:r>
      <w:r>
        <w:t xml:space="preserve"> </w:t>
      </w:r>
      <w:r w:rsidRPr="00816651">
        <w:t>celková</w:t>
      </w:r>
      <w:r>
        <w:t xml:space="preserve"> </w:t>
      </w:r>
      <w:r w:rsidRPr="00816651">
        <w:t>výše</w:t>
      </w:r>
      <w:r>
        <w:t xml:space="preserve"> </w:t>
      </w:r>
      <w:r w:rsidRPr="00816651">
        <w:t>tržeb</w:t>
      </w:r>
      <w:r>
        <w:t xml:space="preserve"> </w:t>
      </w:r>
      <w:r w:rsidRPr="00816651">
        <w:t>oznámená</w:t>
      </w:r>
      <w:r>
        <w:t xml:space="preserve"> </w:t>
      </w:r>
      <w:r w:rsidRPr="00816651">
        <w:t>držiteli</w:t>
      </w:r>
      <w:r>
        <w:t xml:space="preserve"> </w:t>
      </w:r>
      <w:r w:rsidRPr="00816651">
        <w:t>licencí,</w:t>
      </w:r>
      <w:r>
        <w:t xml:space="preserve"> </w:t>
      </w:r>
      <w:r w:rsidRPr="00816651">
        <w:t>se</w:t>
      </w:r>
      <w:r>
        <w:t xml:space="preserve"> </w:t>
      </w:r>
      <w:r w:rsidRPr="00816651">
        <w:t>rozpočítá</w:t>
      </w:r>
      <w:r>
        <w:t xml:space="preserve"> </w:t>
      </w:r>
      <w:r w:rsidRPr="00816651">
        <w:t>na</w:t>
      </w:r>
      <w:r>
        <w:t xml:space="preserve"> </w:t>
      </w:r>
      <w:r w:rsidRPr="00816651">
        <w:t>držitele</w:t>
      </w:r>
      <w:r>
        <w:t xml:space="preserve"> </w:t>
      </w:r>
      <w:r w:rsidRPr="00816651">
        <w:t>licencí,</w:t>
      </w:r>
      <w:r>
        <w:t xml:space="preserve"> </w:t>
      </w:r>
      <w:r w:rsidRPr="00816651">
        <w:t>na</w:t>
      </w:r>
      <w:r>
        <w:t xml:space="preserve"> </w:t>
      </w:r>
      <w:r w:rsidRPr="00816651">
        <w:t>které</w:t>
      </w:r>
      <w:r>
        <w:t xml:space="preserve"> </w:t>
      </w:r>
      <w:r w:rsidRPr="00816651">
        <w:t>se</w:t>
      </w:r>
      <w:r>
        <w:t xml:space="preserve"> </w:t>
      </w:r>
      <w:r w:rsidRPr="00816651">
        <w:t>osvobození</w:t>
      </w:r>
      <w:r>
        <w:t xml:space="preserve"> </w:t>
      </w:r>
      <w:r w:rsidRPr="00816651">
        <w:t>nevztahuje,</w:t>
      </w:r>
      <w:r>
        <w:t xml:space="preserve"> </w:t>
      </w:r>
      <w:r w:rsidRPr="00816651">
        <w:t>a</w:t>
      </w:r>
      <w:r>
        <w:t xml:space="preserve"> </w:t>
      </w:r>
      <w:r w:rsidRPr="00816651">
        <w:t>o</w:t>
      </w:r>
      <w:r>
        <w:t xml:space="preserve"> </w:t>
      </w:r>
      <w:r w:rsidRPr="00816651">
        <w:t>tento</w:t>
      </w:r>
      <w:r>
        <w:t xml:space="preserve"> </w:t>
      </w:r>
      <w:r w:rsidRPr="00816651">
        <w:t>podíl</w:t>
      </w:r>
      <w:r>
        <w:t xml:space="preserve"> </w:t>
      </w:r>
      <w:r w:rsidRPr="00816651">
        <w:t>se</w:t>
      </w:r>
      <w:r>
        <w:t xml:space="preserve"> </w:t>
      </w:r>
      <w:r w:rsidRPr="00816651">
        <w:t>zvýší</w:t>
      </w:r>
      <w:r>
        <w:t xml:space="preserve"> </w:t>
      </w:r>
      <w:r w:rsidRPr="00816651">
        <w:t>vyměřovaný</w:t>
      </w:r>
      <w:r>
        <w:t xml:space="preserve"> </w:t>
      </w:r>
      <w:r w:rsidRPr="00816651">
        <w:t>příspěvek,</w:t>
      </w:r>
      <w:r>
        <w:t xml:space="preserve"> </w:t>
      </w:r>
      <w:r w:rsidRPr="00816651">
        <w:t>který</w:t>
      </w:r>
      <w:r>
        <w:t xml:space="preserve"> </w:t>
      </w:r>
      <w:r w:rsidRPr="00816651">
        <w:t>jsou</w:t>
      </w:r>
      <w:r>
        <w:t xml:space="preserve"> </w:t>
      </w:r>
      <w:r w:rsidRPr="00816651">
        <w:t>povinni</w:t>
      </w:r>
      <w:r>
        <w:t xml:space="preserve"> </w:t>
      </w:r>
      <w:r w:rsidRPr="00816651">
        <w:t>přispět</w:t>
      </w:r>
      <w:r>
        <w:t xml:space="preserve"> </w:t>
      </w:r>
      <w:r w:rsidRPr="00816651">
        <w:t>do</w:t>
      </w:r>
      <w:r>
        <w:t xml:space="preserve"> </w:t>
      </w:r>
      <w:r w:rsidRPr="00816651">
        <w:t>fondu.</w:t>
      </w:r>
    </w:p>
    <w:p w14:paraId="4E6A4CFE" w14:textId="77777777" w:rsidR="00EE616D" w:rsidRDefault="00EE616D" w:rsidP="00CC48B5">
      <w:pPr>
        <w:pStyle w:val="Textparagrafu"/>
        <w:spacing w:before="120" w:after="120"/>
      </w:pPr>
      <w:r w:rsidRPr="00816651">
        <w:t>(5)</w:t>
      </w:r>
      <w:r>
        <w:t xml:space="preserve"> </w:t>
      </w:r>
      <w:r w:rsidRPr="00816651">
        <w:t>Podle</w:t>
      </w:r>
      <w:r>
        <w:t xml:space="preserve"> </w:t>
      </w:r>
      <w:r w:rsidRPr="00816651">
        <w:t>výsledků</w:t>
      </w:r>
      <w:r>
        <w:t xml:space="preserve"> </w:t>
      </w:r>
      <w:r w:rsidRPr="00816651">
        <w:t>vyměřovacích</w:t>
      </w:r>
      <w:r>
        <w:t xml:space="preserve"> </w:t>
      </w:r>
      <w:r w:rsidRPr="00816651">
        <w:t>řízení</w:t>
      </w:r>
      <w:r>
        <w:t xml:space="preserve"> </w:t>
      </w:r>
      <w:r w:rsidRPr="00816651">
        <w:t>stanoví</w:t>
      </w:r>
      <w:r>
        <w:t xml:space="preserve"> </w:t>
      </w:r>
      <w:r w:rsidRPr="00816651">
        <w:t>Energetický</w:t>
      </w:r>
      <w:r>
        <w:t xml:space="preserve"> </w:t>
      </w:r>
      <w:r w:rsidRPr="00816651">
        <w:t>regulační</w:t>
      </w:r>
      <w:r>
        <w:t xml:space="preserve"> </w:t>
      </w:r>
      <w:r w:rsidRPr="00816651">
        <w:t>úřad</w:t>
      </w:r>
      <w:r>
        <w:t xml:space="preserve"> </w:t>
      </w:r>
      <w:r w:rsidRPr="00816651">
        <w:t>výši</w:t>
      </w:r>
      <w:r>
        <w:t xml:space="preserve"> </w:t>
      </w:r>
      <w:r w:rsidRPr="00816651">
        <w:t>příspěvku</w:t>
      </w:r>
      <w:r>
        <w:t xml:space="preserve"> </w:t>
      </w:r>
      <w:r w:rsidRPr="00816651">
        <w:t>pro</w:t>
      </w:r>
      <w:r>
        <w:t xml:space="preserve"> </w:t>
      </w:r>
      <w:r w:rsidRPr="00816651">
        <w:t>jednotlivé</w:t>
      </w:r>
      <w:r>
        <w:t xml:space="preserve"> </w:t>
      </w:r>
      <w:r w:rsidRPr="00816651">
        <w:t>držitele</w:t>
      </w:r>
      <w:r>
        <w:t xml:space="preserve"> </w:t>
      </w:r>
      <w:r w:rsidRPr="00816651">
        <w:t>licencí</w:t>
      </w:r>
      <w:r>
        <w:t xml:space="preserve"> </w:t>
      </w:r>
      <w:r w:rsidRPr="00816651">
        <w:t>a</w:t>
      </w:r>
      <w:r>
        <w:t xml:space="preserve"> </w:t>
      </w:r>
      <w:r w:rsidRPr="00816651">
        <w:t>vyrozumí</w:t>
      </w:r>
      <w:r>
        <w:t xml:space="preserve"> </w:t>
      </w:r>
      <w:r w:rsidRPr="00816651">
        <w:t>o</w:t>
      </w:r>
      <w:r>
        <w:t xml:space="preserve"> </w:t>
      </w:r>
      <w:r w:rsidRPr="00816651">
        <w:t>tom</w:t>
      </w:r>
      <w:r>
        <w:t xml:space="preserve"> </w:t>
      </w:r>
      <w:r w:rsidRPr="00816651">
        <w:t>příslušného</w:t>
      </w:r>
      <w:r>
        <w:t xml:space="preserve"> </w:t>
      </w:r>
      <w:r w:rsidRPr="00816651">
        <w:t>držitele</w:t>
      </w:r>
      <w:r>
        <w:t xml:space="preserve"> </w:t>
      </w:r>
      <w:r w:rsidRPr="00816651">
        <w:t>licence.</w:t>
      </w:r>
      <w:r>
        <w:t xml:space="preserve"> </w:t>
      </w:r>
      <w:r w:rsidRPr="00816651">
        <w:t>Držitelé</w:t>
      </w:r>
      <w:r>
        <w:t xml:space="preserve"> </w:t>
      </w:r>
      <w:r w:rsidRPr="00816651">
        <w:t>licencí</w:t>
      </w:r>
      <w:r>
        <w:t xml:space="preserve"> </w:t>
      </w:r>
      <w:r w:rsidRPr="00816651">
        <w:t>jsou</w:t>
      </w:r>
      <w:r>
        <w:t xml:space="preserve"> </w:t>
      </w:r>
      <w:r w:rsidRPr="00816651">
        <w:t>povinni</w:t>
      </w:r>
      <w:r>
        <w:t xml:space="preserve"> </w:t>
      </w:r>
      <w:r w:rsidRPr="00816651">
        <w:t>příspěvek</w:t>
      </w:r>
      <w:r>
        <w:t xml:space="preserve"> </w:t>
      </w:r>
      <w:r w:rsidRPr="00816651">
        <w:t>do</w:t>
      </w:r>
      <w:r>
        <w:t xml:space="preserve"> </w:t>
      </w:r>
      <w:r w:rsidRPr="00816651">
        <w:t>fondu</w:t>
      </w:r>
      <w:r>
        <w:t xml:space="preserve"> </w:t>
      </w:r>
      <w:r w:rsidRPr="00816651">
        <w:t>odvést</w:t>
      </w:r>
      <w:r>
        <w:t xml:space="preserve"> </w:t>
      </w:r>
      <w:r w:rsidRPr="00816651">
        <w:t>nejpozději</w:t>
      </w:r>
      <w:r>
        <w:t xml:space="preserve"> </w:t>
      </w:r>
      <w:r w:rsidRPr="00816651">
        <w:t>do</w:t>
      </w:r>
      <w:r>
        <w:t xml:space="preserve"> </w:t>
      </w:r>
      <w:r w:rsidRPr="00816651">
        <w:t>31.</w:t>
      </w:r>
      <w:r>
        <w:t xml:space="preserve"> </w:t>
      </w:r>
      <w:r w:rsidRPr="00816651">
        <w:t>října</w:t>
      </w:r>
      <w:r>
        <w:t xml:space="preserve"> </w:t>
      </w:r>
      <w:r w:rsidRPr="00816651">
        <w:t>příslušného</w:t>
      </w:r>
      <w:r>
        <w:t xml:space="preserve"> </w:t>
      </w:r>
      <w:r w:rsidRPr="00816651">
        <w:t>kalendářního</w:t>
      </w:r>
      <w:r>
        <w:t xml:space="preserve"> </w:t>
      </w:r>
      <w:r w:rsidRPr="00816651">
        <w:t>roku.</w:t>
      </w:r>
      <w:r>
        <w:t xml:space="preserve"> </w:t>
      </w:r>
      <w:r w:rsidRPr="00816651">
        <w:t>Zjistí-li</w:t>
      </w:r>
      <w:r>
        <w:t xml:space="preserve"> </w:t>
      </w:r>
      <w:r w:rsidRPr="00816651">
        <w:t>Energetický</w:t>
      </w:r>
      <w:r>
        <w:t xml:space="preserve"> </w:t>
      </w:r>
      <w:r w:rsidRPr="00816651">
        <w:t>regulační</w:t>
      </w:r>
      <w:r>
        <w:t xml:space="preserve"> </w:t>
      </w:r>
      <w:r w:rsidRPr="00816651">
        <w:t>úřad</w:t>
      </w:r>
      <w:r>
        <w:t xml:space="preserve"> </w:t>
      </w:r>
      <w:r w:rsidRPr="00816651">
        <w:t>po</w:t>
      </w:r>
      <w:r>
        <w:t xml:space="preserve"> </w:t>
      </w:r>
      <w:r w:rsidRPr="00816651">
        <w:t>vyměření</w:t>
      </w:r>
      <w:r>
        <w:t xml:space="preserve"> </w:t>
      </w:r>
      <w:r w:rsidRPr="00816651">
        <w:t>příspěvku,</w:t>
      </w:r>
      <w:r>
        <w:t xml:space="preserve"> </w:t>
      </w:r>
      <w:r w:rsidRPr="00816651">
        <w:t>že</w:t>
      </w:r>
      <w:r>
        <w:t xml:space="preserve"> </w:t>
      </w:r>
      <w:r w:rsidRPr="00816651">
        <w:t>takto</w:t>
      </w:r>
      <w:r>
        <w:t xml:space="preserve"> </w:t>
      </w:r>
      <w:r w:rsidRPr="00816651">
        <w:t>stanovený</w:t>
      </w:r>
      <w:r>
        <w:t xml:space="preserve"> </w:t>
      </w:r>
      <w:r w:rsidRPr="00816651">
        <w:t>příspěvek</w:t>
      </w:r>
      <w:r>
        <w:t xml:space="preserve"> </w:t>
      </w:r>
      <w:r w:rsidRPr="00816651">
        <w:t>je</w:t>
      </w:r>
      <w:r>
        <w:t xml:space="preserve"> </w:t>
      </w:r>
      <w:r w:rsidRPr="00816651">
        <w:t>nižší</w:t>
      </w:r>
      <w:r>
        <w:t xml:space="preserve"> </w:t>
      </w:r>
      <w:r w:rsidRPr="00816651">
        <w:t>oproti</w:t>
      </w:r>
      <w:r>
        <w:t xml:space="preserve"> </w:t>
      </w:r>
      <w:r w:rsidRPr="00816651">
        <w:t>zákonné</w:t>
      </w:r>
      <w:r>
        <w:t xml:space="preserve"> </w:t>
      </w:r>
      <w:r w:rsidRPr="00816651">
        <w:t>povinnosti,</w:t>
      </w:r>
      <w:r>
        <w:t xml:space="preserve"> </w:t>
      </w:r>
      <w:r w:rsidRPr="00816651">
        <w:t>dodatečně</w:t>
      </w:r>
      <w:r>
        <w:t xml:space="preserve"> </w:t>
      </w:r>
      <w:r w:rsidRPr="00816651">
        <w:t>příspěvek</w:t>
      </w:r>
      <w:r>
        <w:t xml:space="preserve"> </w:t>
      </w:r>
      <w:r w:rsidRPr="00816651">
        <w:t>vyměří</w:t>
      </w:r>
      <w:r>
        <w:t xml:space="preserve"> </w:t>
      </w:r>
      <w:r w:rsidRPr="00816651">
        <w:t>ve</w:t>
      </w:r>
      <w:r>
        <w:t xml:space="preserve"> </w:t>
      </w:r>
      <w:r w:rsidRPr="00816651">
        <w:t>výši</w:t>
      </w:r>
      <w:r>
        <w:t xml:space="preserve"> </w:t>
      </w:r>
      <w:r w:rsidRPr="00816651">
        <w:t>rozdílu</w:t>
      </w:r>
      <w:r>
        <w:t xml:space="preserve"> </w:t>
      </w:r>
      <w:r w:rsidRPr="00816651">
        <w:t>mezi</w:t>
      </w:r>
      <w:r>
        <w:t xml:space="preserve"> </w:t>
      </w:r>
      <w:r w:rsidRPr="00816651">
        <w:t>příspěvkem</w:t>
      </w:r>
      <w:r>
        <w:t xml:space="preserve"> </w:t>
      </w:r>
      <w:r w:rsidRPr="00816651">
        <w:t>původně</w:t>
      </w:r>
      <w:r>
        <w:t xml:space="preserve"> </w:t>
      </w:r>
      <w:r w:rsidRPr="00816651">
        <w:t>vyměřeným</w:t>
      </w:r>
      <w:r>
        <w:t xml:space="preserve"> </w:t>
      </w:r>
      <w:r w:rsidRPr="00816651">
        <w:t>a</w:t>
      </w:r>
      <w:r>
        <w:t xml:space="preserve"> </w:t>
      </w:r>
      <w:r w:rsidRPr="00816651">
        <w:t>příspěvkem</w:t>
      </w:r>
      <w:r>
        <w:t xml:space="preserve"> </w:t>
      </w:r>
      <w:r w:rsidRPr="00816651">
        <w:t>nově</w:t>
      </w:r>
      <w:r>
        <w:t xml:space="preserve"> </w:t>
      </w:r>
      <w:r w:rsidRPr="00816651">
        <w:t>stanoveným.</w:t>
      </w:r>
      <w:r>
        <w:t xml:space="preserve"> </w:t>
      </w:r>
      <w:r w:rsidRPr="00816651">
        <w:t>Dodatečně</w:t>
      </w:r>
      <w:r>
        <w:t xml:space="preserve"> </w:t>
      </w:r>
      <w:r w:rsidRPr="00816651">
        <w:t>vyměřený</w:t>
      </w:r>
      <w:r>
        <w:t xml:space="preserve"> </w:t>
      </w:r>
      <w:r w:rsidRPr="00816651">
        <w:t>příspěvek</w:t>
      </w:r>
      <w:r>
        <w:t xml:space="preserve"> </w:t>
      </w:r>
      <w:r w:rsidRPr="00816651">
        <w:t>je</w:t>
      </w:r>
      <w:r>
        <w:t xml:space="preserve"> </w:t>
      </w:r>
      <w:r w:rsidRPr="00816651">
        <w:t>splatný</w:t>
      </w:r>
      <w:r>
        <w:t xml:space="preserve"> </w:t>
      </w:r>
      <w:r w:rsidRPr="00816651">
        <w:t>do</w:t>
      </w:r>
      <w:r>
        <w:t xml:space="preserve"> </w:t>
      </w:r>
      <w:r w:rsidRPr="00816651">
        <w:t>30</w:t>
      </w:r>
      <w:r>
        <w:t xml:space="preserve"> </w:t>
      </w:r>
      <w:r w:rsidRPr="00816651">
        <w:t>dnů</w:t>
      </w:r>
      <w:r>
        <w:t xml:space="preserve"> </w:t>
      </w:r>
      <w:r w:rsidRPr="00816651">
        <w:t>ode</w:t>
      </w:r>
      <w:r>
        <w:t xml:space="preserve"> </w:t>
      </w:r>
      <w:r w:rsidRPr="00816651">
        <w:t>dne</w:t>
      </w:r>
      <w:r>
        <w:t xml:space="preserve"> </w:t>
      </w:r>
      <w:r w:rsidRPr="00816651">
        <w:t>doručení</w:t>
      </w:r>
      <w:r>
        <w:t xml:space="preserve"> </w:t>
      </w:r>
      <w:r w:rsidRPr="00816651">
        <w:t>platebního</w:t>
      </w:r>
      <w:r>
        <w:t xml:space="preserve"> </w:t>
      </w:r>
      <w:r w:rsidRPr="00816651">
        <w:t>výměru.</w:t>
      </w:r>
    </w:p>
    <w:p w14:paraId="5F1882AA" w14:textId="77777777" w:rsidR="00EE616D" w:rsidRDefault="00EE616D" w:rsidP="00CC48B5">
      <w:pPr>
        <w:pStyle w:val="Textparagrafu"/>
        <w:spacing w:before="120" w:after="120"/>
      </w:pPr>
      <w:r w:rsidRPr="00816651">
        <w:t>(6)</w:t>
      </w:r>
      <w:r>
        <w:t xml:space="preserve"> </w:t>
      </w:r>
      <w:r w:rsidRPr="00816651">
        <w:t>Držitel</w:t>
      </w:r>
      <w:r>
        <w:t xml:space="preserve"> </w:t>
      </w:r>
      <w:r w:rsidRPr="00816651">
        <w:t>licence,</w:t>
      </w:r>
      <w:r>
        <w:t xml:space="preserve"> </w:t>
      </w:r>
      <w:r w:rsidRPr="00816651">
        <w:t>kterému</w:t>
      </w:r>
      <w:r>
        <w:t xml:space="preserve"> </w:t>
      </w:r>
      <w:r w:rsidRPr="00816651">
        <w:t>byla</w:t>
      </w:r>
      <w:r>
        <w:t xml:space="preserve"> </w:t>
      </w:r>
      <w:r w:rsidRPr="00816651">
        <w:t>uložena</w:t>
      </w:r>
      <w:r>
        <w:t xml:space="preserve"> </w:t>
      </w:r>
      <w:r w:rsidRPr="00816651">
        <w:t>povinnost</w:t>
      </w:r>
      <w:r>
        <w:t xml:space="preserve"> </w:t>
      </w:r>
      <w:r w:rsidRPr="00816651">
        <w:t>dodávek</w:t>
      </w:r>
      <w:r>
        <w:t xml:space="preserve"> </w:t>
      </w:r>
      <w:r w:rsidRPr="00816651">
        <w:t>tepelné</w:t>
      </w:r>
      <w:r>
        <w:t xml:space="preserve"> </w:t>
      </w:r>
      <w:r w:rsidRPr="00816651">
        <w:t>energie</w:t>
      </w:r>
      <w:r>
        <w:t xml:space="preserve"> </w:t>
      </w:r>
      <w:r w:rsidRPr="00816651">
        <w:t>nad</w:t>
      </w:r>
      <w:r>
        <w:t xml:space="preserve"> </w:t>
      </w:r>
      <w:r w:rsidRPr="00816651">
        <w:t>rámec</w:t>
      </w:r>
      <w:r>
        <w:t xml:space="preserve"> </w:t>
      </w:r>
      <w:r w:rsidRPr="00816651">
        <w:t>licence,</w:t>
      </w:r>
      <w:r>
        <w:t xml:space="preserve"> </w:t>
      </w:r>
      <w:r w:rsidRPr="00816651">
        <w:t>je</w:t>
      </w:r>
      <w:r>
        <w:t xml:space="preserve"> </w:t>
      </w:r>
      <w:r w:rsidRPr="00816651">
        <w:t>povinen</w:t>
      </w:r>
      <w:r>
        <w:t xml:space="preserve"> </w:t>
      </w:r>
      <w:r w:rsidRPr="00816651">
        <w:t>předložit</w:t>
      </w:r>
      <w:r>
        <w:t xml:space="preserve"> </w:t>
      </w:r>
      <w:r w:rsidRPr="00816651">
        <w:t>Energetickému</w:t>
      </w:r>
      <w:r>
        <w:t xml:space="preserve"> </w:t>
      </w:r>
      <w:r w:rsidRPr="00816651">
        <w:t>regulačnímu</w:t>
      </w:r>
      <w:r>
        <w:t xml:space="preserve"> </w:t>
      </w:r>
      <w:r w:rsidRPr="00816651">
        <w:t>úřadu</w:t>
      </w:r>
      <w:r>
        <w:t xml:space="preserve"> </w:t>
      </w:r>
      <w:r w:rsidRPr="00816651">
        <w:t>nejpozději</w:t>
      </w:r>
      <w:r>
        <w:t xml:space="preserve"> </w:t>
      </w:r>
      <w:r w:rsidRPr="00816651">
        <w:t>do</w:t>
      </w:r>
      <w:r>
        <w:t xml:space="preserve"> </w:t>
      </w:r>
      <w:r w:rsidRPr="00816651">
        <w:t>30.</w:t>
      </w:r>
      <w:r>
        <w:t xml:space="preserve"> </w:t>
      </w:r>
      <w:r w:rsidRPr="00816651">
        <w:t>června</w:t>
      </w:r>
      <w:r>
        <w:t xml:space="preserve"> </w:t>
      </w:r>
      <w:r w:rsidRPr="00816651">
        <w:t>kalendářního</w:t>
      </w:r>
      <w:r>
        <w:t xml:space="preserve"> </w:t>
      </w:r>
      <w:r w:rsidRPr="00816651">
        <w:t>roku</w:t>
      </w:r>
      <w:r>
        <w:t xml:space="preserve"> </w:t>
      </w:r>
      <w:r w:rsidRPr="00816651">
        <w:t>vyúčtování</w:t>
      </w:r>
      <w:r>
        <w:t xml:space="preserve"> </w:t>
      </w:r>
      <w:r w:rsidRPr="00816651">
        <w:t>prokazatelné</w:t>
      </w:r>
      <w:r>
        <w:t xml:space="preserve"> </w:t>
      </w:r>
      <w:r w:rsidRPr="00816651">
        <w:t>ztráty</w:t>
      </w:r>
      <w:r>
        <w:t xml:space="preserve"> </w:t>
      </w:r>
      <w:r w:rsidRPr="00816651">
        <w:t>vzniklé</w:t>
      </w:r>
      <w:r>
        <w:t xml:space="preserve"> </w:t>
      </w:r>
      <w:r w:rsidRPr="00816651">
        <w:t>plněním</w:t>
      </w:r>
      <w:r>
        <w:t xml:space="preserve"> </w:t>
      </w:r>
      <w:r w:rsidRPr="00816651">
        <w:t>povinnosti</w:t>
      </w:r>
      <w:r>
        <w:t xml:space="preserve"> </w:t>
      </w:r>
      <w:r w:rsidRPr="00816651">
        <w:t>nad</w:t>
      </w:r>
      <w:r>
        <w:t xml:space="preserve"> </w:t>
      </w:r>
      <w:r w:rsidRPr="00816651">
        <w:t>rámec</w:t>
      </w:r>
      <w:r>
        <w:t xml:space="preserve"> </w:t>
      </w:r>
      <w:r w:rsidRPr="00816651">
        <w:t>licence</w:t>
      </w:r>
      <w:r>
        <w:t xml:space="preserve"> </w:t>
      </w:r>
      <w:r w:rsidRPr="00816651">
        <w:t>v</w:t>
      </w:r>
      <w:r>
        <w:t xml:space="preserve"> </w:t>
      </w:r>
      <w:r w:rsidRPr="00816651">
        <w:t>uplynulém</w:t>
      </w:r>
      <w:r>
        <w:t xml:space="preserve"> </w:t>
      </w:r>
      <w:r w:rsidRPr="00816651">
        <w:t>kalendářním</w:t>
      </w:r>
      <w:r>
        <w:t xml:space="preserve"> </w:t>
      </w:r>
      <w:r w:rsidRPr="00816651">
        <w:t>roce.</w:t>
      </w:r>
      <w:r>
        <w:t xml:space="preserve"> </w:t>
      </w:r>
      <w:r w:rsidRPr="00816651">
        <w:t>Energetický</w:t>
      </w:r>
      <w:r>
        <w:t xml:space="preserve"> </w:t>
      </w:r>
      <w:r w:rsidRPr="00816651">
        <w:t>regulační</w:t>
      </w:r>
      <w:r>
        <w:t xml:space="preserve"> </w:t>
      </w:r>
      <w:r w:rsidRPr="00816651">
        <w:t>úřad</w:t>
      </w:r>
      <w:r>
        <w:t xml:space="preserve"> </w:t>
      </w:r>
      <w:r w:rsidRPr="00816651">
        <w:t>ověří</w:t>
      </w:r>
      <w:r>
        <w:t xml:space="preserve"> </w:t>
      </w:r>
      <w:r w:rsidRPr="00816651">
        <w:t>vyúčtování</w:t>
      </w:r>
      <w:r>
        <w:t xml:space="preserve"> </w:t>
      </w:r>
      <w:r w:rsidRPr="00816651">
        <w:t>prokazatelné</w:t>
      </w:r>
      <w:r>
        <w:t xml:space="preserve"> </w:t>
      </w:r>
      <w:r w:rsidRPr="00816651">
        <w:t>ztráty</w:t>
      </w:r>
      <w:r>
        <w:t xml:space="preserve"> </w:t>
      </w:r>
      <w:r w:rsidRPr="00816651">
        <w:t>a</w:t>
      </w:r>
      <w:r>
        <w:t xml:space="preserve"> </w:t>
      </w:r>
      <w:r w:rsidRPr="00816651">
        <w:t>stanoví</w:t>
      </w:r>
      <w:r>
        <w:t xml:space="preserve"> </w:t>
      </w:r>
      <w:r w:rsidRPr="00816651">
        <w:t>pro</w:t>
      </w:r>
      <w:r>
        <w:t xml:space="preserve"> </w:t>
      </w:r>
      <w:r w:rsidRPr="00816651">
        <w:t>držitele</w:t>
      </w:r>
      <w:r>
        <w:t xml:space="preserve"> </w:t>
      </w:r>
      <w:r w:rsidRPr="00816651">
        <w:t>licence</w:t>
      </w:r>
      <w:r>
        <w:t xml:space="preserve"> </w:t>
      </w:r>
      <w:r w:rsidRPr="00816651">
        <w:t>výši</w:t>
      </w:r>
      <w:r>
        <w:t xml:space="preserve"> </w:t>
      </w:r>
      <w:r w:rsidRPr="00816651">
        <w:t>úhrady</w:t>
      </w:r>
      <w:r>
        <w:t xml:space="preserve"> </w:t>
      </w:r>
      <w:r w:rsidRPr="00816651">
        <w:t>této</w:t>
      </w:r>
      <w:r>
        <w:t xml:space="preserve"> </w:t>
      </w:r>
      <w:r w:rsidRPr="00816651">
        <w:t>ztráty</w:t>
      </w:r>
      <w:r>
        <w:t xml:space="preserve"> </w:t>
      </w:r>
      <w:r w:rsidRPr="00816651">
        <w:t>z</w:t>
      </w:r>
      <w:r>
        <w:t xml:space="preserve"> </w:t>
      </w:r>
      <w:r w:rsidRPr="00816651">
        <w:t>finančních</w:t>
      </w:r>
      <w:r>
        <w:t xml:space="preserve"> </w:t>
      </w:r>
      <w:r w:rsidRPr="00816651">
        <w:t>prostředků</w:t>
      </w:r>
      <w:r>
        <w:t xml:space="preserve"> </w:t>
      </w:r>
      <w:r w:rsidRPr="00816651">
        <w:t>fondu.</w:t>
      </w:r>
    </w:p>
    <w:p w14:paraId="4A599E28" w14:textId="77777777" w:rsidR="00EE616D" w:rsidRDefault="00EE616D" w:rsidP="00CC48B5">
      <w:pPr>
        <w:pStyle w:val="Textparagrafu"/>
        <w:spacing w:before="120" w:after="120"/>
      </w:pPr>
      <w:r w:rsidRPr="00816651">
        <w:lastRenderedPageBreak/>
        <w:t>(7)</w:t>
      </w:r>
      <w:r>
        <w:t xml:space="preserve"> </w:t>
      </w:r>
      <w:r w:rsidRPr="00816651">
        <w:t>Přesáhne-li</w:t>
      </w:r>
      <w:r>
        <w:t xml:space="preserve"> </w:t>
      </w:r>
      <w:r w:rsidRPr="00816651">
        <w:t>prokazatelná</w:t>
      </w:r>
      <w:r>
        <w:t xml:space="preserve"> </w:t>
      </w:r>
      <w:r w:rsidRPr="00816651">
        <w:t>ztráta</w:t>
      </w:r>
      <w:r>
        <w:t xml:space="preserve"> </w:t>
      </w:r>
      <w:r w:rsidRPr="00816651">
        <w:t>držitelů</w:t>
      </w:r>
      <w:r>
        <w:t xml:space="preserve"> </w:t>
      </w:r>
      <w:r w:rsidRPr="00816651">
        <w:t>licencí</w:t>
      </w:r>
      <w:r>
        <w:t xml:space="preserve"> </w:t>
      </w:r>
      <w:r w:rsidRPr="00816651">
        <w:t>prostředky</w:t>
      </w:r>
      <w:r>
        <w:t xml:space="preserve"> </w:t>
      </w:r>
      <w:r w:rsidRPr="00816651">
        <w:t>fondu,</w:t>
      </w:r>
      <w:r>
        <w:t xml:space="preserve"> </w:t>
      </w:r>
      <w:r w:rsidRPr="00816651">
        <w:t>může</w:t>
      </w:r>
      <w:r>
        <w:t xml:space="preserve"> </w:t>
      </w:r>
      <w:r w:rsidRPr="00816651">
        <w:t>být</w:t>
      </w:r>
      <w:r>
        <w:t xml:space="preserve"> </w:t>
      </w:r>
      <w:r w:rsidRPr="00816651">
        <w:t>tento</w:t>
      </w:r>
      <w:r>
        <w:t xml:space="preserve"> </w:t>
      </w:r>
      <w:r w:rsidRPr="00816651">
        <w:t>rozdíl</w:t>
      </w:r>
      <w:r>
        <w:t xml:space="preserve"> </w:t>
      </w:r>
      <w:r w:rsidRPr="00816651">
        <w:t>hrazen</w:t>
      </w:r>
      <w:r>
        <w:t xml:space="preserve"> </w:t>
      </w:r>
      <w:r w:rsidRPr="00816651">
        <w:t>formou</w:t>
      </w:r>
      <w:r>
        <w:t xml:space="preserve"> </w:t>
      </w:r>
      <w:r w:rsidRPr="00816651">
        <w:t>návratné</w:t>
      </w:r>
      <w:r>
        <w:t xml:space="preserve"> </w:t>
      </w:r>
      <w:r w:rsidRPr="00816651">
        <w:t>finanční</w:t>
      </w:r>
      <w:r>
        <w:t xml:space="preserve"> </w:t>
      </w:r>
      <w:r w:rsidRPr="00816651">
        <w:t>výpomoci</w:t>
      </w:r>
      <w:r>
        <w:t xml:space="preserve"> </w:t>
      </w:r>
      <w:r w:rsidRPr="00816651">
        <w:t>ze</w:t>
      </w:r>
      <w:r>
        <w:t xml:space="preserve"> </w:t>
      </w:r>
      <w:r w:rsidRPr="00816651">
        <w:t>státního</w:t>
      </w:r>
      <w:r>
        <w:t xml:space="preserve"> </w:t>
      </w:r>
      <w:r w:rsidRPr="00816651">
        <w:t>rozpočtu</w:t>
      </w:r>
      <w:r>
        <w:t xml:space="preserve"> </w:t>
      </w:r>
      <w:r w:rsidRPr="00816651">
        <w:t>splatné</w:t>
      </w:r>
      <w:r>
        <w:t xml:space="preserve"> </w:t>
      </w:r>
      <w:r w:rsidRPr="00816651">
        <w:t>nejpozději</w:t>
      </w:r>
      <w:r>
        <w:t xml:space="preserve"> </w:t>
      </w:r>
      <w:r w:rsidRPr="00816651">
        <w:t>do</w:t>
      </w:r>
      <w:r>
        <w:t xml:space="preserve"> </w:t>
      </w:r>
      <w:r w:rsidRPr="00816651">
        <w:t>konce</w:t>
      </w:r>
      <w:r>
        <w:t xml:space="preserve"> </w:t>
      </w:r>
      <w:r w:rsidRPr="00816651">
        <w:t>následujícího</w:t>
      </w:r>
      <w:r>
        <w:t xml:space="preserve"> </w:t>
      </w:r>
      <w:r w:rsidRPr="00816651">
        <w:t>kalendářního</w:t>
      </w:r>
      <w:r>
        <w:t xml:space="preserve"> </w:t>
      </w:r>
      <w:r w:rsidRPr="00816651">
        <w:t>roku.</w:t>
      </w:r>
    </w:p>
    <w:p w14:paraId="6B153BAC" w14:textId="77777777" w:rsidR="00EE616D" w:rsidRDefault="00EE616D" w:rsidP="00CC48B5">
      <w:pPr>
        <w:pStyle w:val="Textparagrafu"/>
        <w:spacing w:before="120" w:after="120"/>
      </w:pPr>
      <w:r w:rsidRPr="00816651">
        <w:t>(8)</w:t>
      </w:r>
      <w:r>
        <w:t xml:space="preserve"> </w:t>
      </w:r>
      <w:r w:rsidRPr="00816651">
        <w:t>Nevyčerpané</w:t>
      </w:r>
      <w:r>
        <w:t xml:space="preserve"> </w:t>
      </w:r>
      <w:r w:rsidRPr="00816651">
        <w:t>prostředky</w:t>
      </w:r>
      <w:r>
        <w:t xml:space="preserve"> </w:t>
      </w:r>
      <w:r w:rsidRPr="00816651">
        <w:t>fondu</w:t>
      </w:r>
      <w:r>
        <w:t xml:space="preserve"> </w:t>
      </w:r>
      <w:r w:rsidRPr="00816651">
        <w:t>se</w:t>
      </w:r>
      <w:r>
        <w:t xml:space="preserve"> </w:t>
      </w:r>
      <w:r w:rsidRPr="00816651">
        <w:t>na</w:t>
      </w:r>
      <w:r>
        <w:t xml:space="preserve"> </w:t>
      </w:r>
      <w:r w:rsidRPr="00816651">
        <w:t>konci</w:t>
      </w:r>
      <w:r>
        <w:t xml:space="preserve"> </w:t>
      </w:r>
      <w:r w:rsidRPr="00816651">
        <w:t>kalendářního</w:t>
      </w:r>
      <w:r>
        <w:t xml:space="preserve"> </w:t>
      </w:r>
      <w:r w:rsidRPr="00816651">
        <w:t>roku</w:t>
      </w:r>
      <w:r>
        <w:t xml:space="preserve"> </w:t>
      </w:r>
      <w:r w:rsidRPr="00816651">
        <w:t>převádějí</w:t>
      </w:r>
      <w:r>
        <w:t xml:space="preserve"> </w:t>
      </w:r>
      <w:r w:rsidRPr="00816651">
        <w:t>do</w:t>
      </w:r>
      <w:r>
        <w:t xml:space="preserve"> </w:t>
      </w:r>
      <w:r w:rsidRPr="00816651">
        <w:t>následujícího</w:t>
      </w:r>
      <w:r>
        <w:t xml:space="preserve"> </w:t>
      </w:r>
      <w:r w:rsidRPr="00816651">
        <w:t>kalendářního</w:t>
      </w:r>
      <w:r>
        <w:t xml:space="preserve"> </w:t>
      </w:r>
      <w:r w:rsidRPr="00816651">
        <w:t>roku.</w:t>
      </w:r>
    </w:p>
    <w:p w14:paraId="289F18D7" w14:textId="77777777" w:rsidR="00EE616D" w:rsidRDefault="00EE616D" w:rsidP="00CC48B5">
      <w:pPr>
        <w:pStyle w:val="Textparagrafu"/>
        <w:spacing w:before="120" w:after="120"/>
      </w:pPr>
      <w:r w:rsidRPr="00816651">
        <w:t>(9)</w:t>
      </w:r>
      <w:r>
        <w:t xml:space="preserve"> </w:t>
      </w:r>
      <w:r w:rsidRPr="00816651">
        <w:t>Držitel</w:t>
      </w:r>
      <w:r>
        <w:t xml:space="preserve"> </w:t>
      </w:r>
      <w:r w:rsidRPr="00816651">
        <w:t>licence,</w:t>
      </w:r>
      <w:r>
        <w:t xml:space="preserve"> </w:t>
      </w:r>
      <w:r w:rsidRPr="00816651">
        <w:t>kterému</w:t>
      </w:r>
      <w:r>
        <w:t xml:space="preserve"> </w:t>
      </w:r>
      <w:r w:rsidRPr="00816651">
        <w:t>byla</w:t>
      </w:r>
      <w:r>
        <w:t xml:space="preserve"> </w:t>
      </w:r>
      <w:r w:rsidRPr="00816651">
        <w:t>uložena</w:t>
      </w:r>
      <w:r>
        <w:t xml:space="preserve"> </w:t>
      </w:r>
      <w:r w:rsidRPr="00816651">
        <w:t>povinnost</w:t>
      </w:r>
      <w:r>
        <w:t xml:space="preserve"> </w:t>
      </w:r>
      <w:r w:rsidRPr="00816651">
        <w:t>dodávek</w:t>
      </w:r>
      <w:r>
        <w:t xml:space="preserve"> </w:t>
      </w:r>
      <w:r w:rsidRPr="00816651">
        <w:t>tepelné</w:t>
      </w:r>
      <w:r>
        <w:t xml:space="preserve"> </w:t>
      </w:r>
      <w:r w:rsidRPr="00816651">
        <w:t>energie</w:t>
      </w:r>
      <w:r>
        <w:t xml:space="preserve"> </w:t>
      </w:r>
      <w:r w:rsidRPr="00816651">
        <w:t>nad</w:t>
      </w:r>
      <w:r>
        <w:t xml:space="preserve"> </w:t>
      </w:r>
      <w:r w:rsidRPr="00816651">
        <w:t>rámec</w:t>
      </w:r>
      <w:r>
        <w:t xml:space="preserve"> </w:t>
      </w:r>
      <w:r w:rsidRPr="00816651">
        <w:t>licence,</w:t>
      </w:r>
      <w:r>
        <w:t xml:space="preserve"> </w:t>
      </w:r>
      <w:r w:rsidRPr="00816651">
        <w:t>odpovídá</w:t>
      </w:r>
      <w:r>
        <w:t xml:space="preserve"> </w:t>
      </w:r>
      <w:r w:rsidRPr="00816651">
        <w:t>za</w:t>
      </w:r>
      <w:r>
        <w:t xml:space="preserve"> </w:t>
      </w:r>
      <w:r w:rsidRPr="00816651">
        <w:t>použití</w:t>
      </w:r>
      <w:r>
        <w:t xml:space="preserve"> </w:t>
      </w:r>
      <w:r w:rsidRPr="00816651">
        <w:t>finančních</w:t>
      </w:r>
      <w:r>
        <w:t xml:space="preserve"> </w:t>
      </w:r>
      <w:r w:rsidRPr="00816651">
        <w:t>prostředků</w:t>
      </w:r>
      <w:r>
        <w:t xml:space="preserve"> </w:t>
      </w:r>
      <w:r w:rsidRPr="00816651">
        <w:t>fondu</w:t>
      </w:r>
      <w:r>
        <w:t xml:space="preserve"> </w:t>
      </w:r>
      <w:r w:rsidRPr="00816651">
        <w:t>na</w:t>
      </w:r>
      <w:r>
        <w:t xml:space="preserve"> </w:t>
      </w:r>
      <w:r w:rsidRPr="00816651">
        <w:t>hrazení</w:t>
      </w:r>
      <w:r>
        <w:t xml:space="preserve"> </w:t>
      </w:r>
      <w:r w:rsidRPr="00816651">
        <w:t>prokazatelné</w:t>
      </w:r>
      <w:r>
        <w:t xml:space="preserve"> </w:t>
      </w:r>
      <w:r w:rsidRPr="00816651">
        <w:t>ztráty</w:t>
      </w:r>
      <w:r>
        <w:t xml:space="preserve"> </w:t>
      </w:r>
      <w:r w:rsidRPr="00816651">
        <w:t>a</w:t>
      </w:r>
      <w:r>
        <w:t xml:space="preserve"> </w:t>
      </w:r>
      <w:r w:rsidRPr="00816651">
        <w:t>za</w:t>
      </w:r>
      <w:r>
        <w:t xml:space="preserve"> </w:t>
      </w:r>
      <w:r w:rsidRPr="00816651">
        <w:t>správnost</w:t>
      </w:r>
      <w:r>
        <w:t xml:space="preserve"> </w:t>
      </w:r>
      <w:r w:rsidRPr="00816651">
        <w:t>vyúčtování</w:t>
      </w:r>
      <w:r>
        <w:t xml:space="preserve"> </w:t>
      </w:r>
      <w:r w:rsidRPr="00816651">
        <w:t>prokazatelné</w:t>
      </w:r>
      <w:r>
        <w:t xml:space="preserve"> </w:t>
      </w:r>
      <w:r w:rsidRPr="00816651">
        <w:t>ztráty</w:t>
      </w:r>
      <w:r>
        <w:t xml:space="preserve"> </w:t>
      </w:r>
      <w:r w:rsidRPr="00816651">
        <w:t>za</w:t>
      </w:r>
      <w:r>
        <w:t xml:space="preserve"> </w:t>
      </w:r>
      <w:r w:rsidRPr="00816651">
        <w:t>příslušný</w:t>
      </w:r>
      <w:r>
        <w:t xml:space="preserve"> </w:t>
      </w:r>
      <w:r w:rsidRPr="00816651">
        <w:t>kalendářní</w:t>
      </w:r>
      <w:r>
        <w:t xml:space="preserve"> </w:t>
      </w:r>
      <w:r w:rsidRPr="00816651">
        <w:t>rok.</w:t>
      </w:r>
    </w:p>
    <w:p w14:paraId="7A88C48C" w14:textId="77777777" w:rsidR="00EE616D" w:rsidRDefault="00EE616D" w:rsidP="00CC48B5">
      <w:pPr>
        <w:pStyle w:val="Textparagrafu"/>
        <w:spacing w:before="120" w:after="120"/>
      </w:pPr>
      <w:r w:rsidRPr="00816651">
        <w:t>(10)</w:t>
      </w:r>
      <w:r>
        <w:t xml:space="preserve"> </w:t>
      </w:r>
      <w:r w:rsidRPr="00816651">
        <w:t>Došlo-li</w:t>
      </w:r>
      <w:r>
        <w:t xml:space="preserve"> </w:t>
      </w:r>
      <w:r w:rsidRPr="00816651">
        <w:t>k</w:t>
      </w:r>
      <w:r>
        <w:t xml:space="preserve"> </w:t>
      </w:r>
      <w:r w:rsidRPr="00816651">
        <w:t>čerpání</w:t>
      </w:r>
      <w:r>
        <w:t xml:space="preserve"> </w:t>
      </w:r>
      <w:r w:rsidRPr="00816651">
        <w:t>finančních</w:t>
      </w:r>
      <w:r>
        <w:t xml:space="preserve"> </w:t>
      </w:r>
      <w:r w:rsidRPr="00816651">
        <w:t>prostředků</w:t>
      </w:r>
      <w:r>
        <w:t xml:space="preserve"> </w:t>
      </w:r>
      <w:r w:rsidRPr="00816651">
        <w:t>z</w:t>
      </w:r>
      <w:r>
        <w:t xml:space="preserve"> </w:t>
      </w:r>
      <w:r w:rsidRPr="00816651">
        <w:t>fondu</w:t>
      </w:r>
      <w:r>
        <w:t xml:space="preserve"> </w:t>
      </w:r>
      <w:r w:rsidRPr="00816651">
        <w:t>na</w:t>
      </w:r>
      <w:r>
        <w:t xml:space="preserve"> </w:t>
      </w:r>
      <w:r w:rsidRPr="00816651">
        <w:t>základě</w:t>
      </w:r>
      <w:r>
        <w:t xml:space="preserve"> </w:t>
      </w:r>
      <w:r w:rsidRPr="00816651">
        <w:t>nesprávných</w:t>
      </w:r>
      <w:r>
        <w:t xml:space="preserve"> </w:t>
      </w:r>
      <w:r w:rsidRPr="00816651">
        <w:t>nebo</w:t>
      </w:r>
      <w:r>
        <w:t xml:space="preserve"> </w:t>
      </w:r>
      <w:r w:rsidRPr="00816651">
        <w:t>neúplných</w:t>
      </w:r>
      <w:r>
        <w:t xml:space="preserve"> </w:t>
      </w:r>
      <w:r w:rsidRPr="00816651">
        <w:t>údajů</w:t>
      </w:r>
      <w:r>
        <w:t xml:space="preserve"> </w:t>
      </w:r>
      <w:r w:rsidRPr="00816651">
        <w:t>držitele</w:t>
      </w:r>
      <w:r>
        <w:t xml:space="preserve"> </w:t>
      </w:r>
      <w:r w:rsidRPr="00816651">
        <w:t>licence,</w:t>
      </w:r>
      <w:r>
        <w:t xml:space="preserve"> </w:t>
      </w:r>
      <w:r w:rsidRPr="00816651">
        <w:t>je</w:t>
      </w:r>
      <w:r>
        <w:t xml:space="preserve"> </w:t>
      </w:r>
      <w:r w:rsidRPr="00816651">
        <w:t>tento</w:t>
      </w:r>
      <w:r>
        <w:t xml:space="preserve"> </w:t>
      </w:r>
      <w:r w:rsidRPr="00816651">
        <w:t>držitel</w:t>
      </w:r>
      <w:r>
        <w:t xml:space="preserve"> </w:t>
      </w:r>
      <w:r w:rsidRPr="00816651">
        <w:t>licence</w:t>
      </w:r>
      <w:r>
        <w:t xml:space="preserve"> </w:t>
      </w:r>
      <w:r w:rsidRPr="00816651">
        <w:t>povinen</w:t>
      </w:r>
      <w:r>
        <w:t xml:space="preserve"> </w:t>
      </w:r>
      <w:r w:rsidRPr="00816651">
        <w:t>neoprávněně</w:t>
      </w:r>
      <w:r>
        <w:t xml:space="preserve"> </w:t>
      </w:r>
      <w:r w:rsidRPr="00816651">
        <w:t>čerpané</w:t>
      </w:r>
      <w:r>
        <w:t xml:space="preserve"> </w:t>
      </w:r>
      <w:r w:rsidRPr="00816651">
        <w:t>nebo</w:t>
      </w:r>
      <w:r>
        <w:t xml:space="preserve"> </w:t>
      </w:r>
      <w:r w:rsidRPr="00816651">
        <w:t>zadržené</w:t>
      </w:r>
      <w:r>
        <w:t xml:space="preserve"> </w:t>
      </w:r>
      <w:r w:rsidRPr="00816651">
        <w:t>finanční</w:t>
      </w:r>
      <w:r>
        <w:t xml:space="preserve"> </w:t>
      </w:r>
      <w:r w:rsidRPr="00816651">
        <w:t>prostředky</w:t>
      </w:r>
      <w:r>
        <w:t xml:space="preserve"> </w:t>
      </w:r>
      <w:r w:rsidRPr="00816651">
        <w:t>vrátit</w:t>
      </w:r>
      <w:r>
        <w:t xml:space="preserve"> </w:t>
      </w:r>
      <w:r w:rsidRPr="00816651">
        <w:t>nejpozději</w:t>
      </w:r>
      <w:r>
        <w:t xml:space="preserve"> </w:t>
      </w:r>
      <w:r w:rsidRPr="00816651">
        <w:t>do</w:t>
      </w:r>
      <w:r>
        <w:t xml:space="preserve"> </w:t>
      </w:r>
      <w:r w:rsidRPr="00816651">
        <w:t>15</w:t>
      </w:r>
      <w:r>
        <w:t xml:space="preserve"> </w:t>
      </w:r>
      <w:r w:rsidRPr="00816651">
        <w:t>dnů</w:t>
      </w:r>
      <w:r>
        <w:t xml:space="preserve"> </w:t>
      </w:r>
      <w:r w:rsidRPr="00816651">
        <w:t>ode</w:t>
      </w:r>
      <w:r>
        <w:t xml:space="preserve"> </w:t>
      </w:r>
      <w:r w:rsidRPr="00816651">
        <w:t>dne</w:t>
      </w:r>
      <w:r>
        <w:t xml:space="preserve"> </w:t>
      </w:r>
      <w:r w:rsidRPr="00816651">
        <w:t>výzvy</w:t>
      </w:r>
      <w:r>
        <w:t xml:space="preserve"> </w:t>
      </w:r>
      <w:r w:rsidRPr="00816651">
        <w:t>učiněné</w:t>
      </w:r>
      <w:r>
        <w:t xml:space="preserve"> </w:t>
      </w:r>
      <w:r w:rsidRPr="00816651">
        <w:t>Energetickým</w:t>
      </w:r>
      <w:r>
        <w:t xml:space="preserve"> </w:t>
      </w:r>
      <w:r w:rsidRPr="00816651">
        <w:t>regulačním</w:t>
      </w:r>
      <w:r>
        <w:t xml:space="preserve"> </w:t>
      </w:r>
      <w:r w:rsidRPr="00816651">
        <w:t>úřadem</w:t>
      </w:r>
      <w:r>
        <w:t xml:space="preserve"> </w:t>
      </w:r>
      <w:r w:rsidRPr="00816651">
        <w:t>nebo</w:t>
      </w:r>
      <w:r>
        <w:t xml:space="preserve"> </w:t>
      </w:r>
      <w:r w:rsidRPr="00816651">
        <w:t>ode</w:t>
      </w:r>
      <w:r>
        <w:t xml:space="preserve"> </w:t>
      </w:r>
      <w:r w:rsidRPr="00816651">
        <w:t>dne</w:t>
      </w:r>
      <w:r>
        <w:t xml:space="preserve"> </w:t>
      </w:r>
      <w:r w:rsidRPr="00816651">
        <w:t>zjištění</w:t>
      </w:r>
      <w:r>
        <w:t xml:space="preserve"> </w:t>
      </w:r>
      <w:r w:rsidRPr="00816651">
        <w:t>příjemcem</w:t>
      </w:r>
      <w:r>
        <w:t xml:space="preserve"> </w:t>
      </w:r>
      <w:r w:rsidRPr="00816651">
        <w:t>do</w:t>
      </w:r>
      <w:r>
        <w:t xml:space="preserve"> </w:t>
      </w:r>
      <w:r w:rsidRPr="00816651">
        <w:t>fondu.</w:t>
      </w:r>
      <w:r>
        <w:t xml:space="preserve"> </w:t>
      </w:r>
      <w:r w:rsidRPr="00816651">
        <w:t>Zároveň</w:t>
      </w:r>
      <w:r>
        <w:t xml:space="preserve"> </w:t>
      </w:r>
      <w:r w:rsidRPr="00816651">
        <w:t>je</w:t>
      </w:r>
      <w:r>
        <w:t xml:space="preserve"> </w:t>
      </w:r>
      <w:r w:rsidRPr="00816651">
        <w:t>držitel</w:t>
      </w:r>
      <w:r>
        <w:t xml:space="preserve"> </w:t>
      </w:r>
      <w:r w:rsidRPr="00816651">
        <w:t>licence</w:t>
      </w:r>
      <w:r>
        <w:t xml:space="preserve"> </w:t>
      </w:r>
      <w:r w:rsidRPr="00816651">
        <w:t>povinen</w:t>
      </w:r>
      <w:r>
        <w:t xml:space="preserve"> </w:t>
      </w:r>
      <w:r w:rsidRPr="00816651">
        <w:t>zaplatit</w:t>
      </w:r>
      <w:r>
        <w:t xml:space="preserve"> </w:t>
      </w:r>
      <w:r w:rsidRPr="00816651">
        <w:t>úrok</w:t>
      </w:r>
      <w:r>
        <w:t xml:space="preserve"> </w:t>
      </w:r>
      <w:r w:rsidRPr="00816651">
        <w:t>z</w:t>
      </w:r>
      <w:r>
        <w:t xml:space="preserve"> </w:t>
      </w:r>
      <w:r w:rsidRPr="00816651">
        <w:t>prodlení</w:t>
      </w:r>
      <w:r>
        <w:t xml:space="preserve"> </w:t>
      </w:r>
      <w:r w:rsidRPr="00816651">
        <w:t>ve</w:t>
      </w:r>
      <w:r>
        <w:t xml:space="preserve"> </w:t>
      </w:r>
      <w:r w:rsidRPr="00816651">
        <w:t>výši</w:t>
      </w:r>
      <w:r>
        <w:t xml:space="preserve"> </w:t>
      </w:r>
      <w:r w:rsidRPr="00816651">
        <w:t>1</w:t>
      </w:r>
      <w:r>
        <w:t xml:space="preserve"> </w:t>
      </w:r>
      <w:r w:rsidRPr="00816651">
        <w:t>promile</w:t>
      </w:r>
      <w:r>
        <w:t xml:space="preserve"> </w:t>
      </w:r>
      <w:r w:rsidRPr="00816651">
        <w:t>denně</w:t>
      </w:r>
      <w:r>
        <w:t xml:space="preserve"> </w:t>
      </w:r>
      <w:r w:rsidRPr="00816651">
        <w:t>z</w:t>
      </w:r>
      <w:r>
        <w:t xml:space="preserve"> </w:t>
      </w:r>
      <w:r w:rsidRPr="00816651">
        <w:t>neoprávněně</w:t>
      </w:r>
      <w:r>
        <w:t xml:space="preserve"> </w:t>
      </w:r>
      <w:r w:rsidRPr="00816651">
        <w:t>čerpaných</w:t>
      </w:r>
      <w:r>
        <w:t xml:space="preserve"> </w:t>
      </w:r>
      <w:r w:rsidRPr="00816651">
        <w:t>nebo</w:t>
      </w:r>
      <w:r>
        <w:t xml:space="preserve"> </w:t>
      </w:r>
      <w:r w:rsidRPr="00816651">
        <w:t>zadržených</w:t>
      </w:r>
      <w:r>
        <w:t xml:space="preserve"> </w:t>
      </w:r>
      <w:r w:rsidRPr="00816651">
        <w:t>prostředků,</w:t>
      </w:r>
      <w:r>
        <w:t xml:space="preserve"> </w:t>
      </w:r>
      <w:r w:rsidRPr="00816651">
        <w:t>nejvýše</w:t>
      </w:r>
      <w:r>
        <w:t xml:space="preserve"> </w:t>
      </w:r>
      <w:r w:rsidRPr="00816651">
        <w:t>však</w:t>
      </w:r>
      <w:r>
        <w:t xml:space="preserve"> </w:t>
      </w:r>
      <w:r w:rsidRPr="00816651">
        <w:t>do</w:t>
      </w:r>
      <w:r>
        <w:t xml:space="preserve"> </w:t>
      </w:r>
      <w:r w:rsidRPr="00816651">
        <w:t>výše</w:t>
      </w:r>
      <w:r>
        <w:t xml:space="preserve"> </w:t>
      </w:r>
      <w:r w:rsidRPr="00816651">
        <w:t>této</w:t>
      </w:r>
      <w:r>
        <w:t xml:space="preserve"> </w:t>
      </w:r>
      <w:r w:rsidRPr="00816651">
        <w:t>částky.</w:t>
      </w:r>
      <w:r>
        <w:t xml:space="preserve"> </w:t>
      </w:r>
      <w:r w:rsidRPr="00816651">
        <w:t>Úrok</w:t>
      </w:r>
      <w:r>
        <w:t xml:space="preserve"> </w:t>
      </w:r>
      <w:r w:rsidRPr="00816651">
        <w:t>z</w:t>
      </w:r>
      <w:r>
        <w:t xml:space="preserve"> </w:t>
      </w:r>
      <w:r w:rsidRPr="00816651">
        <w:t>prodlení</w:t>
      </w:r>
      <w:r>
        <w:t xml:space="preserve"> </w:t>
      </w:r>
      <w:r w:rsidRPr="00816651">
        <w:t>je</w:t>
      </w:r>
      <w:r>
        <w:t xml:space="preserve"> </w:t>
      </w:r>
      <w:r w:rsidRPr="00816651">
        <w:t>příjmem</w:t>
      </w:r>
      <w:r>
        <w:t xml:space="preserve"> </w:t>
      </w:r>
      <w:r w:rsidRPr="00816651">
        <w:t>fondu.</w:t>
      </w:r>
      <w:r>
        <w:t xml:space="preserve"> </w:t>
      </w:r>
      <w:r w:rsidRPr="00816651">
        <w:t>Energetický</w:t>
      </w:r>
      <w:r>
        <w:t xml:space="preserve"> </w:t>
      </w:r>
      <w:r w:rsidRPr="00816651">
        <w:t>regulační</w:t>
      </w:r>
      <w:r>
        <w:t xml:space="preserve"> </w:t>
      </w:r>
      <w:r w:rsidRPr="00816651">
        <w:t>úřad</w:t>
      </w:r>
      <w:r>
        <w:t xml:space="preserve"> </w:t>
      </w:r>
      <w:r w:rsidRPr="00816651">
        <w:t>může</w:t>
      </w:r>
      <w:r>
        <w:t xml:space="preserve"> </w:t>
      </w:r>
      <w:r w:rsidRPr="00816651">
        <w:t>z</w:t>
      </w:r>
      <w:r>
        <w:t xml:space="preserve"> </w:t>
      </w:r>
      <w:r w:rsidRPr="00816651">
        <w:t>důvodu</w:t>
      </w:r>
      <w:r>
        <w:t xml:space="preserve"> </w:t>
      </w:r>
      <w:r w:rsidRPr="00816651">
        <w:t>zamezení</w:t>
      </w:r>
      <w:r>
        <w:t xml:space="preserve"> </w:t>
      </w:r>
      <w:r w:rsidRPr="00816651">
        <w:t>tvrdosti</w:t>
      </w:r>
      <w:r>
        <w:t xml:space="preserve"> </w:t>
      </w:r>
      <w:r w:rsidRPr="00816651">
        <w:t>úrok</w:t>
      </w:r>
      <w:r>
        <w:t xml:space="preserve"> </w:t>
      </w:r>
      <w:r w:rsidRPr="00816651">
        <w:t>z</w:t>
      </w:r>
      <w:r>
        <w:t xml:space="preserve"> </w:t>
      </w:r>
      <w:r w:rsidRPr="00816651">
        <w:t>prodlení</w:t>
      </w:r>
      <w:r>
        <w:t xml:space="preserve"> </w:t>
      </w:r>
      <w:r w:rsidRPr="00816651">
        <w:t>snížit</w:t>
      </w:r>
      <w:r>
        <w:t xml:space="preserve"> </w:t>
      </w:r>
      <w:r w:rsidRPr="00816651">
        <w:t>nebo</w:t>
      </w:r>
      <w:r>
        <w:t xml:space="preserve"> </w:t>
      </w:r>
      <w:r w:rsidRPr="00816651">
        <w:t>prominout.</w:t>
      </w:r>
      <w:r>
        <w:t xml:space="preserve"> </w:t>
      </w:r>
      <w:r w:rsidRPr="00816651">
        <w:t>Neoprávněně</w:t>
      </w:r>
      <w:r>
        <w:t xml:space="preserve"> </w:t>
      </w:r>
      <w:r w:rsidRPr="00816651">
        <w:t>čerpané</w:t>
      </w:r>
      <w:r>
        <w:t xml:space="preserve"> </w:t>
      </w:r>
      <w:r w:rsidRPr="00816651">
        <w:t>nebo</w:t>
      </w:r>
      <w:r>
        <w:t xml:space="preserve"> </w:t>
      </w:r>
      <w:r w:rsidRPr="00816651">
        <w:t>zadržené</w:t>
      </w:r>
      <w:r>
        <w:t xml:space="preserve"> </w:t>
      </w:r>
      <w:r w:rsidRPr="00816651">
        <w:t>prostředky</w:t>
      </w:r>
      <w:r>
        <w:t xml:space="preserve"> </w:t>
      </w:r>
      <w:r w:rsidRPr="00816651">
        <w:t>včetně</w:t>
      </w:r>
      <w:r>
        <w:t xml:space="preserve"> </w:t>
      </w:r>
      <w:r w:rsidRPr="00816651">
        <w:t>úroku</w:t>
      </w:r>
      <w:r>
        <w:t xml:space="preserve"> </w:t>
      </w:r>
      <w:r w:rsidRPr="00816651">
        <w:t>z</w:t>
      </w:r>
      <w:r>
        <w:t xml:space="preserve"> </w:t>
      </w:r>
      <w:r w:rsidRPr="00816651">
        <w:t>prodlení</w:t>
      </w:r>
      <w:r>
        <w:t xml:space="preserve"> </w:t>
      </w:r>
      <w:r w:rsidRPr="00816651">
        <w:t>vybírá</w:t>
      </w:r>
      <w:r>
        <w:t xml:space="preserve"> </w:t>
      </w:r>
      <w:r w:rsidRPr="00816651">
        <w:t>a</w:t>
      </w:r>
      <w:r>
        <w:t xml:space="preserve"> </w:t>
      </w:r>
      <w:r w:rsidRPr="00816651">
        <w:t>vymáhá</w:t>
      </w:r>
      <w:r>
        <w:t xml:space="preserve"> </w:t>
      </w:r>
      <w:r w:rsidRPr="00816651">
        <w:t>Energetický</w:t>
      </w:r>
      <w:r>
        <w:t xml:space="preserve"> </w:t>
      </w:r>
      <w:r w:rsidRPr="00816651">
        <w:t>regulační</w:t>
      </w:r>
      <w:r>
        <w:t xml:space="preserve"> </w:t>
      </w:r>
      <w:r w:rsidRPr="00816651">
        <w:t>úřad.</w:t>
      </w:r>
    </w:p>
    <w:p w14:paraId="43195275" w14:textId="0D6B2FD0" w:rsidR="0060548E" w:rsidRDefault="00EE616D" w:rsidP="00CC48B5">
      <w:pPr>
        <w:pStyle w:val="Textparagrafu"/>
        <w:spacing w:before="120" w:after="120"/>
      </w:pPr>
      <w:r w:rsidRPr="00816651">
        <w:t>(11)</w:t>
      </w:r>
      <w:r>
        <w:t xml:space="preserve"> </w:t>
      </w:r>
      <w:r w:rsidRPr="00816651">
        <w:t>Energetický</w:t>
      </w:r>
      <w:r>
        <w:t xml:space="preserve"> </w:t>
      </w:r>
      <w:r w:rsidRPr="00816651">
        <w:t>regulační</w:t>
      </w:r>
      <w:r>
        <w:t xml:space="preserve"> </w:t>
      </w:r>
      <w:r w:rsidRPr="00816651">
        <w:t>úřad</w:t>
      </w:r>
      <w:r>
        <w:t xml:space="preserve"> </w:t>
      </w:r>
      <w:r w:rsidRPr="00816651">
        <w:t>je</w:t>
      </w:r>
      <w:r>
        <w:t xml:space="preserve"> </w:t>
      </w:r>
      <w:r w:rsidRPr="00816651">
        <w:t>povinen</w:t>
      </w:r>
      <w:r>
        <w:t xml:space="preserve"> </w:t>
      </w:r>
      <w:r w:rsidRPr="00816651">
        <w:t>předložit</w:t>
      </w:r>
      <w:r>
        <w:t xml:space="preserve"> </w:t>
      </w:r>
      <w:r w:rsidRPr="00816651">
        <w:t>audit</w:t>
      </w:r>
      <w:r>
        <w:t xml:space="preserve"> </w:t>
      </w:r>
      <w:r w:rsidRPr="00816651">
        <w:t>fondu</w:t>
      </w:r>
      <w:r>
        <w:t xml:space="preserve"> </w:t>
      </w:r>
      <w:r w:rsidRPr="00816651">
        <w:t>a</w:t>
      </w:r>
      <w:r>
        <w:t xml:space="preserve"> </w:t>
      </w:r>
      <w:r w:rsidRPr="00816651">
        <w:t>zveřejnit</w:t>
      </w:r>
      <w:r>
        <w:t xml:space="preserve"> </w:t>
      </w:r>
      <w:r w:rsidRPr="00816651">
        <w:t>zprávu</w:t>
      </w:r>
      <w:r>
        <w:t xml:space="preserve"> </w:t>
      </w:r>
      <w:r w:rsidRPr="00816651">
        <w:t>o</w:t>
      </w:r>
      <w:r>
        <w:t xml:space="preserve"> </w:t>
      </w:r>
      <w:r w:rsidRPr="00816651">
        <w:t>hospodaření</w:t>
      </w:r>
      <w:r>
        <w:t xml:space="preserve"> </w:t>
      </w:r>
      <w:r w:rsidRPr="00816651">
        <w:t>s</w:t>
      </w:r>
      <w:r>
        <w:t xml:space="preserve"> </w:t>
      </w:r>
      <w:r w:rsidRPr="00816651">
        <w:t>prostředky</w:t>
      </w:r>
      <w:r>
        <w:t xml:space="preserve"> </w:t>
      </w:r>
      <w:r w:rsidRPr="00816651">
        <w:t>fondu</w:t>
      </w:r>
      <w:r>
        <w:t xml:space="preserve"> </w:t>
      </w:r>
      <w:r w:rsidRPr="00816651">
        <w:t>za</w:t>
      </w:r>
      <w:r>
        <w:t xml:space="preserve"> </w:t>
      </w:r>
      <w:r w:rsidRPr="00816651">
        <w:t>příslušný</w:t>
      </w:r>
      <w:r>
        <w:t xml:space="preserve"> </w:t>
      </w:r>
      <w:r w:rsidRPr="00816651">
        <w:t>kalendářní</w:t>
      </w:r>
      <w:r>
        <w:t xml:space="preserve"> </w:t>
      </w:r>
      <w:r w:rsidRPr="00816651">
        <w:t>rok</w:t>
      </w:r>
      <w:r>
        <w:t xml:space="preserve"> </w:t>
      </w:r>
      <w:r w:rsidRPr="00816651">
        <w:t>v</w:t>
      </w:r>
      <w:r>
        <w:t xml:space="preserve"> </w:t>
      </w:r>
      <w:r w:rsidRPr="00816651">
        <w:t>Energetickém</w:t>
      </w:r>
      <w:r>
        <w:t xml:space="preserve"> </w:t>
      </w:r>
      <w:r w:rsidRPr="00816651">
        <w:t>regulačním</w:t>
      </w:r>
      <w:r>
        <w:t xml:space="preserve"> </w:t>
      </w:r>
      <w:r w:rsidRPr="00816651">
        <w:t>věstníku</w:t>
      </w:r>
      <w:r w:rsidR="00E05C6C">
        <w:t xml:space="preserve"> </w:t>
      </w:r>
      <w:r w:rsidR="00E05C6C" w:rsidRPr="00533343">
        <w:rPr>
          <w:b/>
        </w:rPr>
        <w:t>společně se zprávou auditora o auditu fondu</w:t>
      </w:r>
      <w:r w:rsidRPr="00816651">
        <w:t>.</w:t>
      </w:r>
      <w:r>
        <w:t xml:space="preserve"> </w:t>
      </w:r>
      <w:r w:rsidRPr="00816651">
        <w:t>Zprávu</w:t>
      </w:r>
      <w:r>
        <w:t xml:space="preserve"> </w:t>
      </w:r>
      <w:r w:rsidRPr="00816651">
        <w:t>o</w:t>
      </w:r>
      <w:r>
        <w:t xml:space="preserve"> </w:t>
      </w:r>
      <w:r w:rsidRPr="00816651">
        <w:t>stavu</w:t>
      </w:r>
      <w:r>
        <w:t xml:space="preserve"> </w:t>
      </w:r>
      <w:r w:rsidRPr="00816651">
        <w:t>fondu</w:t>
      </w:r>
      <w:r>
        <w:t xml:space="preserve"> </w:t>
      </w:r>
      <w:r w:rsidRPr="00816651">
        <w:t>předloží</w:t>
      </w:r>
      <w:r>
        <w:t xml:space="preserve"> </w:t>
      </w:r>
      <w:r w:rsidRPr="00816651">
        <w:t>jako</w:t>
      </w:r>
      <w:r>
        <w:t xml:space="preserve"> </w:t>
      </w:r>
      <w:r w:rsidRPr="00816651">
        <w:t>přílohu</w:t>
      </w:r>
      <w:r>
        <w:t xml:space="preserve"> </w:t>
      </w:r>
      <w:r w:rsidRPr="00816651">
        <w:t>zprávy</w:t>
      </w:r>
      <w:r>
        <w:t xml:space="preserve"> </w:t>
      </w:r>
      <w:r w:rsidRPr="00816651">
        <w:t>ke</w:t>
      </w:r>
      <w:r>
        <w:t xml:space="preserve"> </w:t>
      </w:r>
      <w:r w:rsidRPr="00816651">
        <w:t>státnímu</w:t>
      </w:r>
      <w:r>
        <w:t xml:space="preserve"> </w:t>
      </w:r>
      <w:r w:rsidRPr="00816651">
        <w:t>závěrečnému</w:t>
      </w:r>
      <w:r>
        <w:t xml:space="preserve"> </w:t>
      </w:r>
      <w:r w:rsidRPr="00816651">
        <w:t>účtu</w:t>
      </w:r>
      <w:r>
        <w:t xml:space="preserve"> </w:t>
      </w:r>
      <w:r w:rsidRPr="00816651">
        <w:t>kapitoly</w:t>
      </w:r>
      <w:r>
        <w:t xml:space="preserve"> </w:t>
      </w:r>
      <w:r w:rsidRPr="00816651">
        <w:t>Energetický</w:t>
      </w:r>
      <w:r>
        <w:t xml:space="preserve"> </w:t>
      </w:r>
      <w:r w:rsidRPr="00816651">
        <w:t>regulační</w:t>
      </w:r>
      <w:r>
        <w:t xml:space="preserve"> </w:t>
      </w:r>
      <w:r w:rsidRPr="00816651">
        <w:t>úřad</w:t>
      </w:r>
      <w:r>
        <w:t xml:space="preserve"> </w:t>
      </w:r>
      <w:r w:rsidRPr="00816651">
        <w:t>za</w:t>
      </w:r>
      <w:r>
        <w:t xml:space="preserve"> </w:t>
      </w:r>
      <w:r w:rsidRPr="00816651">
        <w:t>příslušný</w:t>
      </w:r>
      <w:r>
        <w:t xml:space="preserve"> </w:t>
      </w:r>
      <w:r w:rsidRPr="00816651">
        <w:t>rok</w:t>
      </w:r>
      <w:r>
        <w:t xml:space="preserve"> </w:t>
      </w:r>
      <w:r w:rsidRPr="00816651">
        <w:t>zároveň</w:t>
      </w:r>
      <w:r>
        <w:t xml:space="preserve"> </w:t>
      </w:r>
      <w:r w:rsidRPr="00816651">
        <w:t>s</w:t>
      </w:r>
      <w:r>
        <w:t xml:space="preserve"> </w:t>
      </w:r>
      <w:r w:rsidRPr="00816651">
        <w:t>návrhem</w:t>
      </w:r>
      <w:r>
        <w:t xml:space="preserve"> </w:t>
      </w:r>
      <w:r w:rsidRPr="00816651">
        <w:t>rozpočtu</w:t>
      </w:r>
      <w:r>
        <w:t xml:space="preserve"> </w:t>
      </w:r>
      <w:r w:rsidRPr="00816651">
        <w:t>fondu</w:t>
      </w:r>
      <w:r>
        <w:t xml:space="preserve"> </w:t>
      </w:r>
      <w:r w:rsidRPr="00816651">
        <w:t>na</w:t>
      </w:r>
      <w:r>
        <w:t xml:space="preserve"> </w:t>
      </w:r>
      <w:r w:rsidRPr="00816651">
        <w:t>další</w:t>
      </w:r>
      <w:r>
        <w:t xml:space="preserve"> </w:t>
      </w:r>
      <w:r w:rsidRPr="00816651">
        <w:t>kalendářní</w:t>
      </w:r>
      <w:r>
        <w:t xml:space="preserve"> </w:t>
      </w:r>
      <w:r w:rsidRPr="00816651">
        <w:t>rok.</w:t>
      </w:r>
    </w:p>
    <w:p w14:paraId="7B0C7AB2" w14:textId="30D096F5" w:rsidR="00EE616D" w:rsidRDefault="00EE616D" w:rsidP="00EE616D">
      <w:pPr>
        <w:pStyle w:val="Textparagrafu"/>
        <w:tabs>
          <w:tab w:val="left" w:pos="406"/>
          <w:tab w:val="left" w:pos="840"/>
          <w:tab w:val="left" w:pos="868"/>
        </w:tabs>
        <w:spacing w:after="120"/>
        <w:ind w:firstLine="0"/>
        <w:jc w:val="center"/>
      </w:pPr>
      <w:r>
        <w:t>***</w:t>
      </w:r>
    </w:p>
    <w:p w14:paraId="569A9C27" w14:textId="77777777" w:rsidR="00EE616D" w:rsidRDefault="00EE616D" w:rsidP="00EE616D">
      <w:pPr>
        <w:pStyle w:val="Textparagrafu"/>
        <w:ind w:firstLine="0"/>
        <w:jc w:val="center"/>
      </w:pPr>
      <w:r w:rsidRPr="00816651">
        <w:t>§</w:t>
      </w:r>
      <w:r>
        <w:t xml:space="preserve"> </w:t>
      </w:r>
      <w:r w:rsidRPr="00816651">
        <w:t>19f</w:t>
      </w:r>
    </w:p>
    <w:p w14:paraId="04656C79" w14:textId="77777777" w:rsidR="00EE616D" w:rsidRPr="00816651" w:rsidRDefault="00EE616D" w:rsidP="00EE616D">
      <w:pPr>
        <w:pStyle w:val="Textparagrafu"/>
        <w:ind w:firstLine="0"/>
        <w:jc w:val="center"/>
        <w:rPr>
          <w:b/>
        </w:rPr>
      </w:pPr>
      <w:r w:rsidRPr="00816651">
        <w:rPr>
          <w:b/>
        </w:rPr>
        <w:t>Úhrada prokazatelné ztráty a přiměřeného zisku v mimořádné tržní situaci</w:t>
      </w:r>
    </w:p>
    <w:p w14:paraId="41FF0B70" w14:textId="77777777" w:rsidR="00EE616D" w:rsidRDefault="00EE616D" w:rsidP="00CC48B5">
      <w:pPr>
        <w:pStyle w:val="Textparagrafu"/>
        <w:spacing w:before="120" w:after="120"/>
      </w:pPr>
      <w:r w:rsidRPr="00816651">
        <w:t>(1)</w:t>
      </w:r>
      <w:r>
        <w:t xml:space="preserve"> </w:t>
      </w:r>
      <w:r w:rsidRPr="00816651">
        <w:t>Nepokrývá-li</w:t>
      </w:r>
      <w:r>
        <w:t xml:space="preserve"> </w:t>
      </w:r>
      <w:r w:rsidRPr="00816651">
        <w:t>stanovená</w:t>
      </w:r>
      <w:r>
        <w:t xml:space="preserve"> </w:t>
      </w:r>
      <w:r w:rsidRPr="00816651">
        <w:t>cena</w:t>
      </w:r>
      <w:r>
        <w:t xml:space="preserve"> </w:t>
      </w:r>
      <w:r w:rsidRPr="00816651">
        <w:t>v</w:t>
      </w:r>
      <w:r>
        <w:t xml:space="preserve"> </w:t>
      </w:r>
      <w:r w:rsidRPr="00816651">
        <w:t>mimořádné</w:t>
      </w:r>
      <w:r>
        <w:t xml:space="preserve"> </w:t>
      </w:r>
      <w:r w:rsidRPr="00816651">
        <w:t>tržní</w:t>
      </w:r>
      <w:r>
        <w:t xml:space="preserve"> </w:t>
      </w:r>
      <w:r w:rsidRPr="00816651">
        <w:t>situaci</w:t>
      </w:r>
      <w:r>
        <w:t xml:space="preserve"> </w:t>
      </w:r>
      <w:r w:rsidRPr="00816651">
        <w:t>oprávněné</w:t>
      </w:r>
      <w:r>
        <w:t xml:space="preserve"> </w:t>
      </w:r>
      <w:r w:rsidRPr="00816651">
        <w:t>náklady</w:t>
      </w:r>
      <w:r>
        <w:t xml:space="preserve"> </w:t>
      </w:r>
      <w:r w:rsidRPr="00816651">
        <w:t>na</w:t>
      </w:r>
      <w:r>
        <w:t xml:space="preserve"> </w:t>
      </w:r>
      <w:r w:rsidRPr="00816651">
        <w:t>zajištění</w:t>
      </w:r>
      <w:r>
        <w:t xml:space="preserve"> </w:t>
      </w:r>
      <w:r w:rsidRPr="00816651">
        <w:t>dodávky</w:t>
      </w:r>
      <w:r>
        <w:t xml:space="preserve"> </w:t>
      </w:r>
      <w:r w:rsidRPr="00816651">
        <w:t>elektřiny</w:t>
      </w:r>
      <w:r>
        <w:t xml:space="preserve"> </w:t>
      </w:r>
      <w:r w:rsidRPr="00816651">
        <w:t>nebo</w:t>
      </w:r>
      <w:r>
        <w:t xml:space="preserve"> </w:t>
      </w:r>
      <w:r w:rsidRPr="00816651">
        <w:t>plynu,</w:t>
      </w:r>
      <w:r>
        <w:t xml:space="preserve"> </w:t>
      </w:r>
      <w:r w:rsidRPr="00816651">
        <w:t>má</w:t>
      </w:r>
      <w:r>
        <w:t xml:space="preserve"> </w:t>
      </w:r>
      <w:r w:rsidRPr="00816651">
        <w:t>účastník</w:t>
      </w:r>
      <w:r>
        <w:t xml:space="preserve"> </w:t>
      </w:r>
      <w:r w:rsidRPr="00816651">
        <w:t>trhu</w:t>
      </w:r>
      <w:r>
        <w:t xml:space="preserve"> </w:t>
      </w:r>
      <w:r w:rsidRPr="00816651">
        <w:t>s</w:t>
      </w:r>
      <w:r>
        <w:t xml:space="preserve"> </w:t>
      </w:r>
      <w:r w:rsidRPr="00816651">
        <w:t>elektřinou</w:t>
      </w:r>
      <w:r>
        <w:t xml:space="preserve"> </w:t>
      </w:r>
      <w:r w:rsidRPr="00816651">
        <w:t>nebo</w:t>
      </w:r>
      <w:r>
        <w:t xml:space="preserve"> </w:t>
      </w:r>
      <w:r w:rsidRPr="00816651">
        <w:t>plynem</w:t>
      </w:r>
      <w:r>
        <w:t xml:space="preserve"> </w:t>
      </w:r>
      <w:r w:rsidRPr="00816651">
        <w:t>dodávající</w:t>
      </w:r>
      <w:r>
        <w:t xml:space="preserve"> </w:t>
      </w:r>
      <w:r w:rsidRPr="00816651">
        <w:t>elektřinu</w:t>
      </w:r>
      <w:r>
        <w:t xml:space="preserve"> </w:t>
      </w:r>
      <w:r w:rsidRPr="00816651">
        <w:t>nebo</w:t>
      </w:r>
      <w:r>
        <w:t xml:space="preserve"> </w:t>
      </w:r>
      <w:r w:rsidRPr="00816651">
        <w:t>plyn</w:t>
      </w:r>
      <w:r>
        <w:t xml:space="preserve"> </w:t>
      </w:r>
      <w:r w:rsidRPr="00816651">
        <w:t>právo</w:t>
      </w:r>
      <w:r>
        <w:t xml:space="preserve"> </w:t>
      </w:r>
      <w:r w:rsidRPr="00816651">
        <w:t>na</w:t>
      </w:r>
      <w:r>
        <w:t xml:space="preserve"> </w:t>
      </w:r>
      <w:r w:rsidRPr="00816651">
        <w:t>úhradu</w:t>
      </w:r>
      <w:r>
        <w:t xml:space="preserve"> </w:t>
      </w:r>
      <w:r w:rsidRPr="00816651">
        <w:t>prokazatelné</w:t>
      </w:r>
      <w:r>
        <w:t xml:space="preserve"> </w:t>
      </w:r>
      <w:r w:rsidRPr="00816651">
        <w:t>ztráty</w:t>
      </w:r>
      <w:r>
        <w:t xml:space="preserve"> </w:t>
      </w:r>
      <w:r w:rsidRPr="00816651">
        <w:t>vzniklé</w:t>
      </w:r>
      <w:r>
        <w:t xml:space="preserve"> </w:t>
      </w:r>
      <w:r w:rsidRPr="00816651">
        <w:t>z</w:t>
      </w:r>
      <w:r>
        <w:t xml:space="preserve"> </w:t>
      </w:r>
      <w:r w:rsidRPr="00816651">
        <w:t>důvodu</w:t>
      </w:r>
      <w:r>
        <w:t xml:space="preserve"> </w:t>
      </w:r>
      <w:r w:rsidRPr="00816651">
        <w:t>dodávky</w:t>
      </w:r>
      <w:r>
        <w:t xml:space="preserve"> </w:t>
      </w:r>
      <w:r w:rsidRPr="00816651">
        <w:t>elektřiny</w:t>
      </w:r>
      <w:r>
        <w:t xml:space="preserve"> </w:t>
      </w:r>
      <w:r w:rsidRPr="00816651">
        <w:t>nebo</w:t>
      </w:r>
      <w:r>
        <w:t xml:space="preserve"> </w:t>
      </w:r>
      <w:r w:rsidRPr="00816651">
        <w:t>plynu</w:t>
      </w:r>
      <w:r>
        <w:t xml:space="preserve"> </w:t>
      </w:r>
      <w:r w:rsidRPr="00816651">
        <w:t>za</w:t>
      </w:r>
      <w:r>
        <w:t xml:space="preserve"> </w:t>
      </w:r>
      <w:r w:rsidRPr="00816651">
        <w:t>stanovenou</w:t>
      </w:r>
      <w:r>
        <w:t xml:space="preserve"> </w:t>
      </w:r>
      <w:r w:rsidRPr="00816651">
        <w:t>cenu</w:t>
      </w:r>
      <w:r>
        <w:t xml:space="preserve"> </w:t>
      </w:r>
      <w:r w:rsidRPr="00816651">
        <w:t>a</w:t>
      </w:r>
      <w:r>
        <w:t xml:space="preserve"> </w:t>
      </w:r>
      <w:r w:rsidRPr="00816651">
        <w:t>přiměřeného</w:t>
      </w:r>
      <w:r>
        <w:t xml:space="preserve"> </w:t>
      </w:r>
      <w:r w:rsidRPr="00816651">
        <w:t>zisku.</w:t>
      </w:r>
    </w:p>
    <w:p w14:paraId="7066AB57" w14:textId="77777777" w:rsidR="00EE616D" w:rsidRDefault="00EE616D" w:rsidP="00CC48B5">
      <w:pPr>
        <w:pStyle w:val="Textparagrafu"/>
        <w:spacing w:before="120" w:after="120"/>
      </w:pPr>
      <w:r w:rsidRPr="00816651">
        <w:t>(2)</w:t>
      </w:r>
      <w:r>
        <w:t xml:space="preserve"> </w:t>
      </w:r>
      <w:r w:rsidRPr="00816651">
        <w:t>Prokazatelnou</w:t>
      </w:r>
      <w:r>
        <w:t xml:space="preserve"> </w:t>
      </w:r>
      <w:r w:rsidRPr="00816651">
        <w:t>ztrátu</w:t>
      </w:r>
      <w:r>
        <w:t xml:space="preserve"> </w:t>
      </w:r>
      <w:r w:rsidRPr="00816651">
        <w:t>a</w:t>
      </w:r>
      <w:r>
        <w:t xml:space="preserve"> </w:t>
      </w:r>
      <w:r w:rsidRPr="00816651">
        <w:t>přiměřený</w:t>
      </w:r>
      <w:r>
        <w:t xml:space="preserve"> </w:t>
      </w:r>
      <w:r w:rsidRPr="00816651">
        <w:t>zisk</w:t>
      </w:r>
      <w:r>
        <w:t xml:space="preserve"> </w:t>
      </w:r>
      <w:r w:rsidRPr="00816651">
        <w:t>hradí</w:t>
      </w:r>
      <w:r>
        <w:t xml:space="preserve"> </w:t>
      </w:r>
      <w:r w:rsidRPr="00816651">
        <w:t>operátor</w:t>
      </w:r>
      <w:r>
        <w:t xml:space="preserve"> </w:t>
      </w:r>
      <w:r w:rsidRPr="00816651">
        <w:t>trhu.</w:t>
      </w:r>
      <w:r>
        <w:t xml:space="preserve"> </w:t>
      </w:r>
      <w:r w:rsidRPr="00816651">
        <w:t>Operátor</w:t>
      </w:r>
      <w:r>
        <w:t xml:space="preserve"> </w:t>
      </w:r>
      <w:r w:rsidRPr="00816651">
        <w:t>trhu</w:t>
      </w:r>
      <w:r>
        <w:t xml:space="preserve"> </w:t>
      </w:r>
      <w:r w:rsidRPr="00816651">
        <w:t>je</w:t>
      </w:r>
      <w:r>
        <w:t xml:space="preserve"> </w:t>
      </w:r>
      <w:r w:rsidRPr="00816651">
        <w:t>povinen</w:t>
      </w:r>
      <w:r>
        <w:t xml:space="preserve"> </w:t>
      </w:r>
      <w:r w:rsidRPr="00816651">
        <w:t>hradit</w:t>
      </w:r>
      <w:r>
        <w:t xml:space="preserve"> </w:t>
      </w:r>
      <w:r w:rsidRPr="00816651">
        <w:t>prokazatelnou</w:t>
      </w:r>
      <w:r>
        <w:t xml:space="preserve"> </w:t>
      </w:r>
      <w:r w:rsidRPr="00816651">
        <w:t>ztrátu</w:t>
      </w:r>
      <w:r>
        <w:t xml:space="preserve"> </w:t>
      </w:r>
      <w:r w:rsidRPr="00816651">
        <w:t>a</w:t>
      </w:r>
      <w:r>
        <w:t xml:space="preserve"> </w:t>
      </w:r>
      <w:r w:rsidRPr="00816651">
        <w:t>přiměřený</w:t>
      </w:r>
      <w:r>
        <w:t xml:space="preserve"> </w:t>
      </w:r>
      <w:r w:rsidRPr="00816651">
        <w:t>zisk</w:t>
      </w:r>
      <w:r>
        <w:t xml:space="preserve"> </w:t>
      </w:r>
      <w:r w:rsidRPr="00816651">
        <w:t>na</w:t>
      </w:r>
      <w:r>
        <w:t xml:space="preserve"> </w:t>
      </w:r>
      <w:r w:rsidRPr="00816651">
        <w:t>základě</w:t>
      </w:r>
      <w:r>
        <w:t xml:space="preserve"> </w:t>
      </w:r>
      <w:r w:rsidRPr="00816651">
        <w:t>žádosti</w:t>
      </w:r>
      <w:r>
        <w:t xml:space="preserve"> </w:t>
      </w:r>
      <w:r w:rsidRPr="00816651">
        <w:t>o</w:t>
      </w:r>
      <w:r>
        <w:t xml:space="preserve"> </w:t>
      </w:r>
      <w:r w:rsidRPr="00816651">
        <w:t>úhradu</w:t>
      </w:r>
      <w:r>
        <w:t xml:space="preserve"> </w:t>
      </w:r>
      <w:r w:rsidRPr="00816651">
        <w:t>prokazatelné</w:t>
      </w:r>
      <w:r>
        <w:t xml:space="preserve"> </w:t>
      </w:r>
      <w:r w:rsidRPr="00816651">
        <w:t>ztráty</w:t>
      </w:r>
      <w:r>
        <w:t xml:space="preserve"> </w:t>
      </w:r>
      <w:r w:rsidRPr="00816651">
        <w:t>a</w:t>
      </w:r>
      <w:r>
        <w:t xml:space="preserve"> </w:t>
      </w:r>
      <w:r w:rsidRPr="00816651">
        <w:t>přiměřeného</w:t>
      </w:r>
      <w:r>
        <w:t xml:space="preserve"> </w:t>
      </w:r>
      <w:r w:rsidRPr="00816651">
        <w:t>zisku</w:t>
      </w:r>
      <w:r>
        <w:t xml:space="preserve"> </w:t>
      </w:r>
      <w:r w:rsidRPr="00816651">
        <w:t>a</w:t>
      </w:r>
      <w:r>
        <w:t xml:space="preserve"> </w:t>
      </w:r>
      <w:r w:rsidRPr="00816651">
        <w:t>poskytnutí</w:t>
      </w:r>
      <w:r>
        <w:t xml:space="preserve"> </w:t>
      </w:r>
      <w:r w:rsidRPr="00816651">
        <w:t>stanovených</w:t>
      </w:r>
      <w:r>
        <w:t xml:space="preserve"> </w:t>
      </w:r>
      <w:r w:rsidRPr="00816651">
        <w:t>podkladů</w:t>
      </w:r>
      <w:r>
        <w:t xml:space="preserve"> </w:t>
      </w:r>
      <w:r w:rsidRPr="00816651">
        <w:t>za</w:t>
      </w:r>
      <w:r>
        <w:t xml:space="preserve"> </w:t>
      </w:r>
      <w:r w:rsidRPr="00816651">
        <w:t>stanovené</w:t>
      </w:r>
      <w:r>
        <w:t xml:space="preserve"> </w:t>
      </w:r>
      <w:r w:rsidRPr="00816651">
        <w:t>období.</w:t>
      </w:r>
      <w:r>
        <w:t xml:space="preserve"> </w:t>
      </w:r>
      <w:r w:rsidRPr="00816651">
        <w:t>Žádost</w:t>
      </w:r>
      <w:r>
        <w:t xml:space="preserve"> </w:t>
      </w:r>
      <w:r w:rsidRPr="00816651">
        <w:t>podle</w:t>
      </w:r>
      <w:r>
        <w:t xml:space="preserve"> </w:t>
      </w:r>
      <w:r w:rsidRPr="00816651">
        <w:t>věty</w:t>
      </w:r>
      <w:r>
        <w:t xml:space="preserve"> </w:t>
      </w:r>
      <w:r w:rsidRPr="00816651">
        <w:t>první</w:t>
      </w:r>
      <w:r>
        <w:t xml:space="preserve"> </w:t>
      </w:r>
      <w:r w:rsidRPr="00816651">
        <w:t>a</w:t>
      </w:r>
      <w:r>
        <w:t xml:space="preserve"> </w:t>
      </w:r>
      <w:r w:rsidRPr="00816651">
        <w:t>poskytnuté</w:t>
      </w:r>
      <w:r>
        <w:t xml:space="preserve"> </w:t>
      </w:r>
      <w:r w:rsidRPr="00816651">
        <w:t>podklady</w:t>
      </w:r>
      <w:r>
        <w:t xml:space="preserve"> </w:t>
      </w:r>
      <w:r w:rsidRPr="00816651">
        <w:t>předá</w:t>
      </w:r>
      <w:r>
        <w:t xml:space="preserve"> </w:t>
      </w:r>
      <w:r w:rsidRPr="00816651">
        <w:t>operátor</w:t>
      </w:r>
      <w:r>
        <w:t xml:space="preserve"> </w:t>
      </w:r>
      <w:r w:rsidRPr="00816651">
        <w:t>trhu</w:t>
      </w:r>
      <w:r>
        <w:t xml:space="preserve"> </w:t>
      </w:r>
      <w:r w:rsidRPr="00816651">
        <w:t>neprodleně</w:t>
      </w:r>
      <w:r>
        <w:t xml:space="preserve"> </w:t>
      </w:r>
      <w:r w:rsidRPr="00816651">
        <w:t>Energetickému</w:t>
      </w:r>
      <w:r>
        <w:t xml:space="preserve"> </w:t>
      </w:r>
      <w:r w:rsidRPr="00816651">
        <w:t>regulačnímu</w:t>
      </w:r>
      <w:r>
        <w:t xml:space="preserve"> </w:t>
      </w:r>
      <w:r w:rsidRPr="00816651">
        <w:t>úřadu</w:t>
      </w:r>
      <w:r>
        <w:t xml:space="preserve"> </w:t>
      </w:r>
      <w:r w:rsidRPr="00816651">
        <w:t>k</w:t>
      </w:r>
      <w:r>
        <w:t xml:space="preserve"> </w:t>
      </w:r>
      <w:r w:rsidRPr="00816651">
        <w:t>vyjádření.</w:t>
      </w:r>
    </w:p>
    <w:p w14:paraId="2DC818C6" w14:textId="77777777" w:rsidR="00EE616D" w:rsidRDefault="00EE616D" w:rsidP="00CC48B5">
      <w:pPr>
        <w:pStyle w:val="Textparagrafu"/>
        <w:spacing w:before="120" w:after="120"/>
      </w:pPr>
      <w:r w:rsidRPr="00816651">
        <w:t>(3)</w:t>
      </w:r>
      <w:r>
        <w:t xml:space="preserve"> </w:t>
      </w:r>
      <w:r w:rsidRPr="00816651">
        <w:t>Stanoví-li</w:t>
      </w:r>
      <w:r>
        <w:t xml:space="preserve"> </w:t>
      </w:r>
      <w:r w:rsidRPr="00816651">
        <w:t>nařízení</w:t>
      </w:r>
      <w:r>
        <w:t xml:space="preserve"> </w:t>
      </w:r>
      <w:r w:rsidRPr="00816651">
        <w:t>vlády</w:t>
      </w:r>
      <w:r>
        <w:t xml:space="preserve"> </w:t>
      </w:r>
      <w:r w:rsidRPr="00816651">
        <w:t>postup</w:t>
      </w:r>
      <w:r>
        <w:t xml:space="preserve"> </w:t>
      </w:r>
      <w:r w:rsidRPr="00816651">
        <w:t>vypořádání</w:t>
      </w:r>
      <w:r>
        <w:t xml:space="preserve"> </w:t>
      </w:r>
      <w:r w:rsidRPr="00816651">
        <w:t>plateb</w:t>
      </w:r>
      <w:r>
        <w:t xml:space="preserve"> </w:t>
      </w:r>
      <w:r w:rsidRPr="00816651">
        <w:t>na</w:t>
      </w:r>
      <w:r>
        <w:t xml:space="preserve"> </w:t>
      </w:r>
      <w:r w:rsidRPr="00816651">
        <w:t>úhradu</w:t>
      </w:r>
      <w:r>
        <w:t xml:space="preserve"> </w:t>
      </w:r>
      <w:r w:rsidRPr="00816651">
        <w:t>prokazatelné</w:t>
      </w:r>
      <w:r>
        <w:t xml:space="preserve"> </w:t>
      </w:r>
      <w:r w:rsidRPr="00816651">
        <w:t>ztráty</w:t>
      </w:r>
      <w:r>
        <w:t xml:space="preserve"> </w:t>
      </w:r>
      <w:r w:rsidRPr="00816651">
        <w:t>a</w:t>
      </w:r>
      <w:r>
        <w:t xml:space="preserve"> </w:t>
      </w:r>
      <w:r w:rsidRPr="00816651">
        <w:t>přiměřeného</w:t>
      </w:r>
      <w:r>
        <w:t xml:space="preserve"> </w:t>
      </w:r>
      <w:r w:rsidRPr="00816651">
        <w:t>zisku</w:t>
      </w:r>
      <w:r>
        <w:t xml:space="preserve"> </w:t>
      </w:r>
      <w:r w:rsidRPr="00816651">
        <w:t>poskytnutých</w:t>
      </w:r>
      <w:r>
        <w:t xml:space="preserve"> </w:t>
      </w:r>
      <w:r w:rsidRPr="00816651">
        <w:t>v</w:t>
      </w:r>
      <w:r>
        <w:t xml:space="preserve"> </w:t>
      </w:r>
      <w:r w:rsidRPr="00816651">
        <w:t>průběhu</w:t>
      </w:r>
      <w:r>
        <w:t xml:space="preserve"> </w:t>
      </w:r>
      <w:r w:rsidRPr="00816651">
        <w:t>stanoveného</w:t>
      </w:r>
      <w:r>
        <w:t xml:space="preserve"> </w:t>
      </w:r>
      <w:r w:rsidRPr="00816651">
        <w:t>období,</w:t>
      </w:r>
      <w:r>
        <w:t xml:space="preserve"> </w:t>
      </w:r>
      <w:r w:rsidRPr="00816651">
        <w:t>považují</w:t>
      </w:r>
      <w:r>
        <w:t xml:space="preserve"> </w:t>
      </w:r>
      <w:r w:rsidRPr="00816651">
        <w:t>se</w:t>
      </w:r>
      <w:r>
        <w:t xml:space="preserve"> </w:t>
      </w:r>
      <w:r w:rsidRPr="00816651">
        <w:t>platby</w:t>
      </w:r>
      <w:r>
        <w:t xml:space="preserve"> </w:t>
      </w:r>
      <w:r w:rsidRPr="00816651">
        <w:t>operátora</w:t>
      </w:r>
      <w:r>
        <w:t xml:space="preserve"> </w:t>
      </w:r>
      <w:r w:rsidRPr="00816651">
        <w:t>trhu</w:t>
      </w:r>
      <w:r>
        <w:t xml:space="preserve"> </w:t>
      </w:r>
      <w:r w:rsidRPr="00816651">
        <w:t>na</w:t>
      </w:r>
      <w:r>
        <w:t xml:space="preserve"> </w:t>
      </w:r>
      <w:r w:rsidRPr="00816651">
        <w:t>úhradu</w:t>
      </w:r>
      <w:r>
        <w:t xml:space="preserve"> </w:t>
      </w:r>
      <w:r w:rsidRPr="00816651">
        <w:t>prokazatelné</w:t>
      </w:r>
      <w:r>
        <w:t xml:space="preserve"> </w:t>
      </w:r>
      <w:r w:rsidRPr="00816651">
        <w:t>ztráty</w:t>
      </w:r>
      <w:r>
        <w:t xml:space="preserve"> </w:t>
      </w:r>
      <w:r w:rsidRPr="00816651">
        <w:t>a</w:t>
      </w:r>
      <w:r>
        <w:t xml:space="preserve"> </w:t>
      </w:r>
      <w:r w:rsidRPr="00816651">
        <w:t>přiměřeného</w:t>
      </w:r>
      <w:r>
        <w:t xml:space="preserve"> </w:t>
      </w:r>
      <w:r w:rsidRPr="00816651">
        <w:t>zisku</w:t>
      </w:r>
      <w:r>
        <w:t xml:space="preserve"> </w:t>
      </w:r>
      <w:r w:rsidRPr="00816651">
        <w:t>poskytnuté</w:t>
      </w:r>
      <w:r>
        <w:t xml:space="preserve"> </w:t>
      </w:r>
      <w:r w:rsidRPr="00816651">
        <w:t>před</w:t>
      </w:r>
      <w:r>
        <w:t xml:space="preserve"> </w:t>
      </w:r>
      <w:r w:rsidRPr="00816651">
        <w:t>vypořádáním</w:t>
      </w:r>
      <w:r>
        <w:t xml:space="preserve"> </w:t>
      </w:r>
      <w:r w:rsidRPr="00816651">
        <w:t>plateb</w:t>
      </w:r>
      <w:r>
        <w:t xml:space="preserve"> </w:t>
      </w:r>
      <w:r w:rsidRPr="00816651">
        <w:t>za</w:t>
      </w:r>
      <w:r>
        <w:t xml:space="preserve"> </w:t>
      </w:r>
      <w:r w:rsidRPr="00816651">
        <w:t>zálohové</w:t>
      </w:r>
      <w:r>
        <w:t xml:space="preserve"> </w:t>
      </w:r>
      <w:r w:rsidRPr="00816651">
        <w:t>platby.</w:t>
      </w:r>
      <w:r>
        <w:t xml:space="preserve"> </w:t>
      </w:r>
      <w:r w:rsidRPr="00816651">
        <w:t>Operátor</w:t>
      </w:r>
      <w:r>
        <w:t xml:space="preserve"> </w:t>
      </w:r>
      <w:r w:rsidRPr="00816651">
        <w:t>trhu</w:t>
      </w:r>
      <w:r>
        <w:t xml:space="preserve"> </w:t>
      </w:r>
      <w:r w:rsidRPr="00816651">
        <w:t>a</w:t>
      </w:r>
      <w:r>
        <w:t xml:space="preserve"> </w:t>
      </w:r>
      <w:r w:rsidRPr="00816651">
        <w:t>účastník</w:t>
      </w:r>
      <w:r>
        <w:t xml:space="preserve"> </w:t>
      </w:r>
      <w:r w:rsidRPr="00816651">
        <w:t>trhu</w:t>
      </w:r>
      <w:r>
        <w:t xml:space="preserve"> </w:t>
      </w:r>
      <w:r w:rsidRPr="00816651">
        <w:t>s</w:t>
      </w:r>
      <w:r>
        <w:t xml:space="preserve"> </w:t>
      </w:r>
      <w:r w:rsidRPr="00816651">
        <w:t>elektřinou</w:t>
      </w:r>
      <w:r>
        <w:t xml:space="preserve"> </w:t>
      </w:r>
      <w:r w:rsidRPr="00816651">
        <w:t>nebo</w:t>
      </w:r>
      <w:r>
        <w:t xml:space="preserve"> </w:t>
      </w:r>
      <w:r w:rsidRPr="00816651">
        <w:t>plynem,</w:t>
      </w:r>
      <w:r>
        <w:t xml:space="preserve"> </w:t>
      </w:r>
      <w:r w:rsidRPr="00816651">
        <w:t>který</w:t>
      </w:r>
      <w:r>
        <w:t xml:space="preserve"> </w:t>
      </w:r>
      <w:r w:rsidRPr="00816651">
        <w:t>žádá</w:t>
      </w:r>
      <w:r>
        <w:t xml:space="preserve"> </w:t>
      </w:r>
      <w:r w:rsidRPr="00816651">
        <w:t>o</w:t>
      </w:r>
      <w:r>
        <w:t xml:space="preserve"> </w:t>
      </w:r>
      <w:r w:rsidRPr="00816651">
        <w:t>úhradu</w:t>
      </w:r>
      <w:r>
        <w:t xml:space="preserve"> </w:t>
      </w:r>
      <w:r w:rsidRPr="00816651">
        <w:t>prokazatelné</w:t>
      </w:r>
      <w:r>
        <w:t xml:space="preserve"> </w:t>
      </w:r>
      <w:r w:rsidRPr="00816651">
        <w:t>ztráty</w:t>
      </w:r>
      <w:r>
        <w:t xml:space="preserve"> </w:t>
      </w:r>
      <w:r w:rsidRPr="00816651">
        <w:t>a</w:t>
      </w:r>
      <w:r>
        <w:t xml:space="preserve"> </w:t>
      </w:r>
      <w:r w:rsidRPr="00816651">
        <w:t>přiměřeného</w:t>
      </w:r>
      <w:r>
        <w:t xml:space="preserve"> </w:t>
      </w:r>
      <w:r w:rsidRPr="00816651">
        <w:t>zisku,</w:t>
      </w:r>
      <w:r>
        <w:t xml:space="preserve"> </w:t>
      </w:r>
      <w:r w:rsidRPr="00816651">
        <w:t>jsou</w:t>
      </w:r>
      <w:r>
        <w:t xml:space="preserve"> </w:t>
      </w:r>
      <w:r w:rsidRPr="00816651">
        <w:t>povinni</w:t>
      </w:r>
      <w:r>
        <w:t xml:space="preserve"> </w:t>
      </w:r>
      <w:r w:rsidRPr="00816651">
        <w:t>po</w:t>
      </w:r>
      <w:r>
        <w:t xml:space="preserve"> </w:t>
      </w:r>
      <w:r w:rsidRPr="00816651">
        <w:t>skončení</w:t>
      </w:r>
      <w:r>
        <w:t xml:space="preserve"> </w:t>
      </w:r>
      <w:r w:rsidRPr="00816651">
        <w:t>stanoveného</w:t>
      </w:r>
      <w:r>
        <w:t xml:space="preserve"> </w:t>
      </w:r>
      <w:r w:rsidRPr="00816651">
        <w:t>období</w:t>
      </w:r>
      <w:r>
        <w:t xml:space="preserve"> </w:t>
      </w:r>
      <w:r w:rsidRPr="00816651">
        <w:t>vypořádat</w:t>
      </w:r>
      <w:r>
        <w:t xml:space="preserve"> </w:t>
      </w:r>
      <w:r w:rsidRPr="00816651">
        <w:t>rozdíly</w:t>
      </w:r>
      <w:r>
        <w:t xml:space="preserve"> </w:t>
      </w:r>
      <w:r w:rsidRPr="00816651">
        <w:t>mezi</w:t>
      </w:r>
      <w:r>
        <w:t xml:space="preserve"> </w:t>
      </w:r>
      <w:r w:rsidRPr="00816651">
        <w:t>zálohovými</w:t>
      </w:r>
      <w:r>
        <w:t xml:space="preserve"> </w:t>
      </w:r>
      <w:r w:rsidRPr="00816651">
        <w:t>platbami</w:t>
      </w:r>
      <w:r>
        <w:t xml:space="preserve"> </w:t>
      </w:r>
      <w:r w:rsidRPr="00816651">
        <w:t>na</w:t>
      </w:r>
      <w:r>
        <w:t xml:space="preserve"> </w:t>
      </w:r>
      <w:r w:rsidRPr="00816651">
        <w:t>úhradu</w:t>
      </w:r>
      <w:r>
        <w:t xml:space="preserve"> </w:t>
      </w:r>
      <w:r w:rsidRPr="00816651">
        <w:t>prokazatelné</w:t>
      </w:r>
      <w:r>
        <w:t xml:space="preserve"> </w:t>
      </w:r>
      <w:r w:rsidRPr="00816651">
        <w:t>ztráty</w:t>
      </w:r>
      <w:r>
        <w:t xml:space="preserve"> </w:t>
      </w:r>
      <w:r w:rsidRPr="00816651">
        <w:t>a</w:t>
      </w:r>
      <w:r>
        <w:t xml:space="preserve"> </w:t>
      </w:r>
      <w:r w:rsidRPr="00816651">
        <w:t>přiměřeného</w:t>
      </w:r>
      <w:r>
        <w:t xml:space="preserve"> </w:t>
      </w:r>
      <w:r w:rsidRPr="00816651">
        <w:t>zisku</w:t>
      </w:r>
      <w:r>
        <w:t xml:space="preserve"> </w:t>
      </w:r>
      <w:r w:rsidRPr="00816651">
        <w:t>a</w:t>
      </w:r>
      <w:r>
        <w:t xml:space="preserve"> </w:t>
      </w:r>
      <w:r w:rsidRPr="00816651">
        <w:t>výší</w:t>
      </w:r>
      <w:r>
        <w:t xml:space="preserve"> </w:t>
      </w:r>
      <w:r w:rsidRPr="00816651">
        <w:t>prokazatelné</w:t>
      </w:r>
      <w:r>
        <w:t xml:space="preserve"> </w:t>
      </w:r>
      <w:r w:rsidRPr="00816651">
        <w:t>ztráty</w:t>
      </w:r>
      <w:r>
        <w:t xml:space="preserve"> </w:t>
      </w:r>
      <w:r w:rsidRPr="00816651">
        <w:t>a</w:t>
      </w:r>
      <w:r>
        <w:t xml:space="preserve"> </w:t>
      </w:r>
      <w:r w:rsidRPr="00816651">
        <w:t>přiměřeného</w:t>
      </w:r>
      <w:r>
        <w:t xml:space="preserve"> </w:t>
      </w:r>
      <w:r w:rsidRPr="00816651">
        <w:t>zisku</w:t>
      </w:r>
      <w:r>
        <w:t xml:space="preserve"> </w:t>
      </w:r>
      <w:r w:rsidRPr="00816651">
        <w:t>za</w:t>
      </w:r>
      <w:r>
        <w:t xml:space="preserve"> </w:t>
      </w:r>
      <w:r w:rsidRPr="00816651">
        <w:t>stanovené</w:t>
      </w:r>
      <w:r>
        <w:t xml:space="preserve"> </w:t>
      </w:r>
      <w:r w:rsidRPr="00816651">
        <w:t>období.</w:t>
      </w:r>
      <w:r>
        <w:t xml:space="preserve"> </w:t>
      </w:r>
      <w:r w:rsidRPr="00816651">
        <w:t>Nepožádá-li</w:t>
      </w:r>
      <w:r>
        <w:t xml:space="preserve"> </w:t>
      </w:r>
      <w:r w:rsidRPr="00816651">
        <w:t>účastník</w:t>
      </w:r>
      <w:r>
        <w:t xml:space="preserve"> </w:t>
      </w:r>
      <w:r w:rsidRPr="00816651">
        <w:t>trhu</w:t>
      </w:r>
      <w:r>
        <w:t xml:space="preserve"> </w:t>
      </w:r>
      <w:r w:rsidRPr="00816651">
        <w:t>s</w:t>
      </w:r>
      <w:r>
        <w:t xml:space="preserve"> </w:t>
      </w:r>
      <w:r w:rsidRPr="00816651">
        <w:t>elektřinou</w:t>
      </w:r>
      <w:r>
        <w:t xml:space="preserve"> </w:t>
      </w:r>
      <w:r w:rsidRPr="00816651">
        <w:t>nebo</w:t>
      </w:r>
      <w:r>
        <w:t xml:space="preserve"> </w:t>
      </w:r>
      <w:r w:rsidRPr="00816651">
        <w:t>plynem</w:t>
      </w:r>
      <w:r>
        <w:t xml:space="preserve"> </w:t>
      </w:r>
      <w:r w:rsidRPr="00816651">
        <w:t>o</w:t>
      </w:r>
      <w:r>
        <w:t xml:space="preserve"> </w:t>
      </w:r>
      <w:r w:rsidRPr="00816651">
        <w:t>úhradu</w:t>
      </w:r>
      <w:r>
        <w:t xml:space="preserve"> </w:t>
      </w:r>
      <w:r w:rsidRPr="00816651">
        <w:t>prokazatelné</w:t>
      </w:r>
      <w:r>
        <w:t xml:space="preserve"> </w:t>
      </w:r>
      <w:r w:rsidRPr="00816651">
        <w:t>ztráty</w:t>
      </w:r>
      <w:r>
        <w:t xml:space="preserve"> </w:t>
      </w:r>
      <w:r w:rsidRPr="00816651">
        <w:t>a</w:t>
      </w:r>
      <w:r>
        <w:t xml:space="preserve"> </w:t>
      </w:r>
      <w:r w:rsidRPr="00816651">
        <w:t>přiměřeného</w:t>
      </w:r>
      <w:r>
        <w:t xml:space="preserve"> </w:t>
      </w:r>
      <w:r w:rsidRPr="00816651">
        <w:t>zisku</w:t>
      </w:r>
      <w:r>
        <w:t xml:space="preserve"> </w:t>
      </w:r>
      <w:r w:rsidRPr="00816651">
        <w:t>za</w:t>
      </w:r>
      <w:r>
        <w:t xml:space="preserve"> </w:t>
      </w:r>
      <w:r w:rsidRPr="00816651">
        <w:t>stanovené</w:t>
      </w:r>
      <w:r>
        <w:t xml:space="preserve"> </w:t>
      </w:r>
      <w:r w:rsidRPr="00816651">
        <w:lastRenderedPageBreak/>
        <w:t>období,</w:t>
      </w:r>
      <w:r>
        <w:t xml:space="preserve"> </w:t>
      </w:r>
      <w:r w:rsidRPr="00816651">
        <w:t>je</w:t>
      </w:r>
      <w:r>
        <w:t xml:space="preserve"> </w:t>
      </w:r>
      <w:r w:rsidRPr="00816651">
        <w:t>povinen</w:t>
      </w:r>
      <w:r>
        <w:t xml:space="preserve"> </w:t>
      </w:r>
      <w:r w:rsidRPr="00816651">
        <w:t>vrátit</w:t>
      </w:r>
      <w:r>
        <w:t xml:space="preserve"> </w:t>
      </w:r>
      <w:r w:rsidRPr="00816651">
        <w:t>operátorovi</w:t>
      </w:r>
      <w:r>
        <w:t xml:space="preserve"> </w:t>
      </w:r>
      <w:r w:rsidRPr="00816651">
        <w:t>trhu</w:t>
      </w:r>
      <w:r>
        <w:t xml:space="preserve"> </w:t>
      </w:r>
      <w:r w:rsidRPr="00816651">
        <w:t>v</w:t>
      </w:r>
      <w:r>
        <w:t xml:space="preserve"> </w:t>
      </w:r>
      <w:r w:rsidRPr="00816651">
        <w:t>termínu</w:t>
      </w:r>
      <w:r>
        <w:t xml:space="preserve"> </w:t>
      </w:r>
      <w:r w:rsidRPr="00816651">
        <w:t>stanoveném</w:t>
      </w:r>
      <w:r>
        <w:t xml:space="preserve"> </w:t>
      </w:r>
      <w:r w:rsidRPr="00816651">
        <w:t>nařízením</w:t>
      </w:r>
      <w:r>
        <w:t xml:space="preserve"> </w:t>
      </w:r>
      <w:r w:rsidRPr="00816651">
        <w:t>vlády</w:t>
      </w:r>
      <w:r>
        <w:t xml:space="preserve"> </w:t>
      </w:r>
      <w:r w:rsidRPr="00816651">
        <w:t>všechny</w:t>
      </w:r>
      <w:r>
        <w:t xml:space="preserve"> </w:t>
      </w:r>
      <w:r w:rsidRPr="00816651">
        <w:t>poskytnuté</w:t>
      </w:r>
      <w:r>
        <w:t xml:space="preserve"> </w:t>
      </w:r>
      <w:r w:rsidRPr="00816651">
        <w:t>zálohové</w:t>
      </w:r>
      <w:r>
        <w:t xml:space="preserve"> </w:t>
      </w:r>
      <w:r w:rsidRPr="00816651">
        <w:t>platby.</w:t>
      </w:r>
    </w:p>
    <w:p w14:paraId="706B3A9E" w14:textId="2D338B4F" w:rsidR="00EE616D" w:rsidRDefault="00EE616D" w:rsidP="00CC48B5">
      <w:pPr>
        <w:pStyle w:val="Textparagrafu"/>
        <w:spacing w:before="120" w:after="120"/>
      </w:pPr>
      <w:r w:rsidRPr="00816651">
        <w:t>(4)</w:t>
      </w:r>
      <w:r>
        <w:t xml:space="preserve"> </w:t>
      </w:r>
      <w:r w:rsidRPr="00816651">
        <w:t>Účastník</w:t>
      </w:r>
      <w:r>
        <w:t xml:space="preserve"> </w:t>
      </w:r>
      <w:r w:rsidRPr="00816651">
        <w:t>trhu</w:t>
      </w:r>
      <w:r>
        <w:t xml:space="preserve"> </w:t>
      </w:r>
      <w:r w:rsidRPr="00816651">
        <w:t>s</w:t>
      </w:r>
      <w:r>
        <w:t xml:space="preserve"> </w:t>
      </w:r>
      <w:r w:rsidRPr="00816651">
        <w:t>elektřinou</w:t>
      </w:r>
      <w:r>
        <w:t xml:space="preserve"> </w:t>
      </w:r>
      <w:r w:rsidRPr="00816651">
        <w:t>nebo</w:t>
      </w:r>
      <w:r>
        <w:t xml:space="preserve"> </w:t>
      </w:r>
      <w:r w:rsidRPr="00816651">
        <w:t>plynem</w:t>
      </w:r>
      <w:r>
        <w:t xml:space="preserve"> </w:t>
      </w:r>
      <w:r w:rsidRPr="00816651">
        <w:t>je</w:t>
      </w:r>
      <w:r>
        <w:t xml:space="preserve"> </w:t>
      </w:r>
      <w:r w:rsidRPr="00816651">
        <w:t>povinen</w:t>
      </w:r>
      <w:r>
        <w:t xml:space="preserve"> </w:t>
      </w:r>
      <w:r w:rsidRPr="00816651">
        <w:t>uvést</w:t>
      </w:r>
      <w:r>
        <w:t xml:space="preserve"> </w:t>
      </w:r>
      <w:r w:rsidRPr="00816651">
        <w:t>v</w:t>
      </w:r>
      <w:r>
        <w:t xml:space="preserve"> </w:t>
      </w:r>
      <w:r w:rsidRPr="00816651">
        <w:t>žádosti</w:t>
      </w:r>
      <w:r>
        <w:t xml:space="preserve"> </w:t>
      </w:r>
      <w:r w:rsidRPr="00816651">
        <w:t>o</w:t>
      </w:r>
      <w:r>
        <w:t xml:space="preserve"> </w:t>
      </w:r>
      <w:r w:rsidRPr="00816651">
        <w:t>úhradu</w:t>
      </w:r>
      <w:r>
        <w:t xml:space="preserve"> </w:t>
      </w:r>
      <w:r w:rsidRPr="00816651">
        <w:t>prokazatelné</w:t>
      </w:r>
      <w:r>
        <w:t xml:space="preserve"> </w:t>
      </w:r>
      <w:r w:rsidRPr="00816651">
        <w:t>ztráty</w:t>
      </w:r>
      <w:r>
        <w:t xml:space="preserve"> </w:t>
      </w:r>
      <w:r w:rsidRPr="00816651">
        <w:t>a</w:t>
      </w:r>
      <w:r>
        <w:t xml:space="preserve"> </w:t>
      </w:r>
      <w:r w:rsidRPr="00816651">
        <w:t>přiměřeného</w:t>
      </w:r>
      <w:r>
        <w:t xml:space="preserve"> </w:t>
      </w:r>
      <w:r w:rsidRPr="00816651">
        <w:t>zisku</w:t>
      </w:r>
      <w:r>
        <w:t xml:space="preserve"> </w:t>
      </w:r>
      <w:r w:rsidRPr="00816651">
        <w:t>a</w:t>
      </w:r>
      <w:r>
        <w:t xml:space="preserve"> </w:t>
      </w:r>
      <w:r w:rsidRPr="00816651">
        <w:t>v</w:t>
      </w:r>
      <w:r>
        <w:t xml:space="preserve"> </w:t>
      </w:r>
      <w:r w:rsidRPr="00816651">
        <w:t>podkladech</w:t>
      </w:r>
      <w:r>
        <w:t xml:space="preserve"> </w:t>
      </w:r>
      <w:r w:rsidRPr="00816651">
        <w:t>poskytnutých</w:t>
      </w:r>
      <w:r>
        <w:t xml:space="preserve"> </w:t>
      </w:r>
      <w:r w:rsidRPr="00816651">
        <w:t>operátorovi</w:t>
      </w:r>
      <w:r>
        <w:t xml:space="preserve"> </w:t>
      </w:r>
      <w:r w:rsidRPr="00816651">
        <w:t>trhu</w:t>
      </w:r>
      <w:r>
        <w:t xml:space="preserve"> </w:t>
      </w:r>
      <w:r w:rsidRPr="00816651">
        <w:t>úplné,</w:t>
      </w:r>
      <w:r>
        <w:t xml:space="preserve"> </w:t>
      </w:r>
      <w:r w:rsidRPr="00816651">
        <w:t>správné</w:t>
      </w:r>
      <w:r>
        <w:t xml:space="preserve"> </w:t>
      </w:r>
      <w:r w:rsidRPr="00816651">
        <w:t>a</w:t>
      </w:r>
      <w:r>
        <w:t xml:space="preserve"> </w:t>
      </w:r>
      <w:r w:rsidRPr="00816651">
        <w:t>pravdivé</w:t>
      </w:r>
      <w:r>
        <w:t xml:space="preserve"> </w:t>
      </w:r>
      <w:r w:rsidRPr="00816651">
        <w:t>údaje.</w:t>
      </w:r>
      <w:r>
        <w:t xml:space="preserve"> </w:t>
      </w:r>
      <w:r w:rsidRPr="00816651">
        <w:t>Stanoví-li</w:t>
      </w:r>
      <w:r>
        <w:t xml:space="preserve"> </w:t>
      </w:r>
      <w:r w:rsidRPr="00816651">
        <w:t>nařízení</w:t>
      </w:r>
      <w:r>
        <w:t xml:space="preserve"> </w:t>
      </w:r>
      <w:r w:rsidRPr="00816651">
        <w:t>vlády</w:t>
      </w:r>
      <w:r>
        <w:t xml:space="preserve"> </w:t>
      </w:r>
      <w:r w:rsidRPr="00816651">
        <w:t>postup</w:t>
      </w:r>
      <w:r>
        <w:t xml:space="preserve"> </w:t>
      </w:r>
      <w:r w:rsidRPr="00816651">
        <w:t>vypořádání</w:t>
      </w:r>
      <w:r>
        <w:t xml:space="preserve"> </w:t>
      </w:r>
      <w:r w:rsidRPr="00816651">
        <w:t>plateb</w:t>
      </w:r>
      <w:r>
        <w:t xml:space="preserve"> </w:t>
      </w:r>
      <w:r w:rsidRPr="00816651">
        <w:t>na</w:t>
      </w:r>
      <w:r>
        <w:t xml:space="preserve"> </w:t>
      </w:r>
      <w:r w:rsidRPr="00816651">
        <w:t>úhradu</w:t>
      </w:r>
      <w:r>
        <w:t xml:space="preserve"> </w:t>
      </w:r>
      <w:r w:rsidRPr="00816651">
        <w:t>prokazatelné</w:t>
      </w:r>
      <w:r>
        <w:t xml:space="preserve"> </w:t>
      </w:r>
      <w:r w:rsidRPr="00816651">
        <w:t>ztráty</w:t>
      </w:r>
      <w:r>
        <w:t xml:space="preserve"> </w:t>
      </w:r>
      <w:r w:rsidRPr="00816651">
        <w:t>a</w:t>
      </w:r>
      <w:r>
        <w:t xml:space="preserve"> </w:t>
      </w:r>
      <w:r w:rsidRPr="00816651">
        <w:t>přiměřeného</w:t>
      </w:r>
      <w:r>
        <w:t xml:space="preserve"> </w:t>
      </w:r>
      <w:r w:rsidRPr="00816651">
        <w:t>zisku</w:t>
      </w:r>
      <w:r>
        <w:t xml:space="preserve"> </w:t>
      </w:r>
      <w:r w:rsidRPr="00816651">
        <w:t>poskytnutých</w:t>
      </w:r>
      <w:r>
        <w:t xml:space="preserve"> </w:t>
      </w:r>
      <w:r w:rsidRPr="00816651">
        <w:t>v</w:t>
      </w:r>
      <w:r>
        <w:t xml:space="preserve"> </w:t>
      </w:r>
      <w:r w:rsidRPr="00816651">
        <w:t>průběhu</w:t>
      </w:r>
      <w:r>
        <w:t xml:space="preserve"> </w:t>
      </w:r>
      <w:r w:rsidRPr="00816651">
        <w:t>stanoveného</w:t>
      </w:r>
      <w:r>
        <w:t xml:space="preserve"> </w:t>
      </w:r>
      <w:r w:rsidRPr="00816651">
        <w:t>období,</w:t>
      </w:r>
      <w:r>
        <w:t xml:space="preserve"> </w:t>
      </w:r>
      <w:r w:rsidRPr="00816651">
        <w:t>je</w:t>
      </w:r>
      <w:r>
        <w:t xml:space="preserve"> </w:t>
      </w:r>
      <w:r w:rsidRPr="00816651">
        <w:t>účastník</w:t>
      </w:r>
      <w:r>
        <w:t xml:space="preserve"> </w:t>
      </w:r>
      <w:r w:rsidRPr="00816651">
        <w:t>trhu</w:t>
      </w:r>
      <w:r>
        <w:t xml:space="preserve"> </w:t>
      </w:r>
      <w:r w:rsidRPr="00816651">
        <w:t>s</w:t>
      </w:r>
      <w:r>
        <w:t xml:space="preserve"> </w:t>
      </w:r>
      <w:r w:rsidRPr="00816651">
        <w:t>elektřinou</w:t>
      </w:r>
      <w:r>
        <w:t xml:space="preserve"> </w:t>
      </w:r>
      <w:r w:rsidRPr="00816651">
        <w:t>nebo</w:t>
      </w:r>
      <w:r>
        <w:t xml:space="preserve"> </w:t>
      </w:r>
      <w:r w:rsidRPr="00816651">
        <w:t>plynem</w:t>
      </w:r>
      <w:r>
        <w:t xml:space="preserve"> </w:t>
      </w:r>
      <w:r w:rsidRPr="00816651">
        <w:t>povinen</w:t>
      </w:r>
      <w:r>
        <w:t xml:space="preserve"> </w:t>
      </w:r>
      <w:r w:rsidRPr="00816651">
        <w:t>se</w:t>
      </w:r>
      <w:r>
        <w:t xml:space="preserve"> </w:t>
      </w:r>
      <w:r w:rsidRPr="00816651">
        <w:t>žádostí</w:t>
      </w:r>
      <w:r>
        <w:t xml:space="preserve"> </w:t>
      </w:r>
      <w:r w:rsidRPr="00816651">
        <w:t>o</w:t>
      </w:r>
      <w:r>
        <w:t xml:space="preserve"> </w:t>
      </w:r>
      <w:r w:rsidRPr="00816651">
        <w:t>úhradu</w:t>
      </w:r>
      <w:r>
        <w:t xml:space="preserve"> </w:t>
      </w:r>
      <w:r w:rsidRPr="00816651">
        <w:t>prokazatelné</w:t>
      </w:r>
      <w:r>
        <w:t xml:space="preserve"> </w:t>
      </w:r>
      <w:r w:rsidRPr="00816651">
        <w:t>ztráty</w:t>
      </w:r>
      <w:r>
        <w:t xml:space="preserve"> </w:t>
      </w:r>
      <w:r w:rsidRPr="00816651">
        <w:t>a</w:t>
      </w:r>
      <w:r>
        <w:t xml:space="preserve"> </w:t>
      </w:r>
      <w:r w:rsidRPr="00816651">
        <w:t>přiměřeného</w:t>
      </w:r>
      <w:r>
        <w:t xml:space="preserve"> </w:t>
      </w:r>
      <w:r w:rsidRPr="00816651">
        <w:t>zisku</w:t>
      </w:r>
      <w:r>
        <w:t xml:space="preserve"> </w:t>
      </w:r>
      <w:r w:rsidRPr="00816651">
        <w:t>za</w:t>
      </w:r>
      <w:r>
        <w:t xml:space="preserve"> </w:t>
      </w:r>
      <w:r w:rsidRPr="00816651">
        <w:t>stanovené</w:t>
      </w:r>
      <w:r>
        <w:t xml:space="preserve"> </w:t>
      </w:r>
      <w:r w:rsidRPr="00816651">
        <w:t>období</w:t>
      </w:r>
      <w:r>
        <w:t xml:space="preserve"> </w:t>
      </w:r>
      <w:r w:rsidRPr="00816651">
        <w:t>současně</w:t>
      </w:r>
      <w:r>
        <w:t xml:space="preserve"> </w:t>
      </w:r>
      <w:r w:rsidRPr="00816651">
        <w:t>doložit</w:t>
      </w:r>
      <w:r>
        <w:t xml:space="preserve"> </w:t>
      </w:r>
      <w:r w:rsidRPr="00816651">
        <w:t>zprávu</w:t>
      </w:r>
      <w:r>
        <w:t xml:space="preserve"> </w:t>
      </w:r>
      <w:r w:rsidRPr="00816651">
        <w:t>auditora</w:t>
      </w:r>
      <w:r>
        <w:t xml:space="preserve"> </w:t>
      </w:r>
      <w:r w:rsidRPr="00816651">
        <w:t>o</w:t>
      </w:r>
      <w:r>
        <w:t xml:space="preserve"> </w:t>
      </w:r>
      <w:r w:rsidRPr="00816651">
        <w:t>ověření</w:t>
      </w:r>
      <w:r>
        <w:t xml:space="preserve"> </w:t>
      </w:r>
      <w:r w:rsidRPr="00816651">
        <w:t>správnosti</w:t>
      </w:r>
      <w:r>
        <w:t xml:space="preserve"> </w:t>
      </w:r>
      <w:r w:rsidRPr="00816651">
        <w:t>vybraných</w:t>
      </w:r>
      <w:r>
        <w:t xml:space="preserve"> </w:t>
      </w:r>
      <w:r w:rsidRPr="00816651">
        <w:t>údajů</w:t>
      </w:r>
      <w:r>
        <w:t xml:space="preserve"> </w:t>
      </w:r>
      <w:r w:rsidRPr="00816651">
        <w:t>uváděných</w:t>
      </w:r>
      <w:r>
        <w:t xml:space="preserve"> </w:t>
      </w:r>
      <w:r w:rsidRPr="00816651">
        <w:t>v</w:t>
      </w:r>
      <w:r>
        <w:t xml:space="preserve"> </w:t>
      </w:r>
      <w:r w:rsidRPr="00816651">
        <w:t>žádosti;</w:t>
      </w:r>
      <w:r>
        <w:t xml:space="preserve"> </w:t>
      </w:r>
      <w:r w:rsidRPr="00816651">
        <w:t>to</w:t>
      </w:r>
      <w:r>
        <w:t xml:space="preserve"> </w:t>
      </w:r>
      <w:r w:rsidRPr="00816651">
        <w:t>neplatí</w:t>
      </w:r>
      <w:r>
        <w:t xml:space="preserve"> </w:t>
      </w:r>
      <w:r w:rsidRPr="00816651">
        <w:t>v</w:t>
      </w:r>
      <w:r>
        <w:t xml:space="preserve"> </w:t>
      </w:r>
      <w:r w:rsidRPr="00816651">
        <w:t>případě</w:t>
      </w:r>
      <w:r>
        <w:t xml:space="preserve"> </w:t>
      </w:r>
      <w:r w:rsidRPr="00816651">
        <w:t>účastníka</w:t>
      </w:r>
      <w:r>
        <w:t xml:space="preserve"> </w:t>
      </w:r>
      <w:r w:rsidRPr="00816651">
        <w:t>trhu</w:t>
      </w:r>
      <w:r>
        <w:t xml:space="preserve"> </w:t>
      </w:r>
      <w:r w:rsidRPr="00816651">
        <w:t>s</w:t>
      </w:r>
      <w:r>
        <w:t xml:space="preserve"> </w:t>
      </w:r>
      <w:r w:rsidRPr="00816651">
        <w:t>elektřinou</w:t>
      </w:r>
      <w:r>
        <w:t xml:space="preserve"> </w:t>
      </w:r>
      <w:r w:rsidRPr="00816651">
        <w:t>nebo</w:t>
      </w:r>
      <w:r>
        <w:t xml:space="preserve"> </w:t>
      </w:r>
      <w:r w:rsidRPr="00816651">
        <w:t>plynem,</w:t>
      </w:r>
      <w:r>
        <w:t xml:space="preserve"> </w:t>
      </w:r>
      <w:r w:rsidRPr="00816651">
        <w:t>který</w:t>
      </w:r>
      <w:r>
        <w:t xml:space="preserve"> </w:t>
      </w:r>
      <w:r w:rsidRPr="00816651">
        <w:t>nemá</w:t>
      </w:r>
      <w:r>
        <w:t xml:space="preserve"> </w:t>
      </w:r>
      <w:r w:rsidRPr="00816651">
        <w:t>za</w:t>
      </w:r>
      <w:r>
        <w:t xml:space="preserve"> </w:t>
      </w:r>
      <w:r w:rsidRPr="00816651">
        <w:t>stanovené</w:t>
      </w:r>
      <w:r>
        <w:t xml:space="preserve"> </w:t>
      </w:r>
      <w:r w:rsidRPr="00816651">
        <w:t>období</w:t>
      </w:r>
      <w:r>
        <w:t xml:space="preserve"> </w:t>
      </w:r>
      <w:r w:rsidRPr="00816651">
        <w:t>zákonem</w:t>
      </w:r>
      <w:r>
        <w:t xml:space="preserve"> </w:t>
      </w:r>
      <w:r w:rsidRPr="00816651">
        <w:t>uloženou</w:t>
      </w:r>
      <w:r>
        <w:t xml:space="preserve"> </w:t>
      </w:r>
      <w:r w:rsidRPr="00816651">
        <w:t>povinnost</w:t>
      </w:r>
      <w:r>
        <w:t xml:space="preserve"> </w:t>
      </w:r>
      <w:r w:rsidRPr="00091B3B">
        <w:rPr>
          <w:strike/>
        </w:rPr>
        <w:t>mít účetní závěrku ověřenou auditorem</w:t>
      </w:r>
      <w:r w:rsidR="00091B3B" w:rsidRPr="00091B3B">
        <w:rPr>
          <w:b/>
          <w:bCs/>
        </w:rPr>
        <w:t xml:space="preserve"> </w:t>
      </w:r>
      <w:r w:rsidR="00091B3B" w:rsidRPr="00533343">
        <w:rPr>
          <w:b/>
          <w:bCs/>
        </w:rPr>
        <w:t>auditu účetní závěrky</w:t>
      </w:r>
      <w:r w:rsidRPr="00816651">
        <w:t>.</w:t>
      </w:r>
      <w:r>
        <w:t xml:space="preserve"> </w:t>
      </w:r>
      <w:r w:rsidRPr="00816651">
        <w:t>Zprávu</w:t>
      </w:r>
      <w:r>
        <w:t xml:space="preserve"> </w:t>
      </w:r>
      <w:r w:rsidRPr="00816651">
        <w:t>auditora</w:t>
      </w:r>
      <w:r>
        <w:t xml:space="preserve"> </w:t>
      </w:r>
      <w:r w:rsidRPr="00816651">
        <w:t>poskytuje</w:t>
      </w:r>
      <w:r>
        <w:t xml:space="preserve"> </w:t>
      </w:r>
      <w:r w:rsidRPr="00816651">
        <w:t>účastník</w:t>
      </w:r>
      <w:r>
        <w:t xml:space="preserve"> </w:t>
      </w:r>
      <w:r w:rsidRPr="00816651">
        <w:t>trhu</w:t>
      </w:r>
      <w:r>
        <w:t xml:space="preserve"> </w:t>
      </w:r>
      <w:r w:rsidRPr="00816651">
        <w:t>s</w:t>
      </w:r>
      <w:r>
        <w:t xml:space="preserve"> </w:t>
      </w:r>
      <w:r w:rsidRPr="00816651">
        <w:t>elektřinou</w:t>
      </w:r>
      <w:r>
        <w:t xml:space="preserve"> </w:t>
      </w:r>
      <w:r w:rsidRPr="00816651">
        <w:t>nebo</w:t>
      </w:r>
      <w:r>
        <w:t xml:space="preserve"> </w:t>
      </w:r>
      <w:r w:rsidRPr="00816651">
        <w:t>plynem</w:t>
      </w:r>
      <w:r>
        <w:t xml:space="preserve"> </w:t>
      </w:r>
      <w:r w:rsidRPr="00816651">
        <w:t>Energetickému</w:t>
      </w:r>
      <w:r>
        <w:t xml:space="preserve"> </w:t>
      </w:r>
      <w:r w:rsidRPr="00816651">
        <w:t>regulačnímu</w:t>
      </w:r>
      <w:r>
        <w:t xml:space="preserve"> </w:t>
      </w:r>
      <w:r w:rsidRPr="00816651">
        <w:t>úřadu.</w:t>
      </w:r>
    </w:p>
    <w:p w14:paraId="5CB4C5AB" w14:textId="77777777" w:rsidR="00EE616D" w:rsidRDefault="00EE616D" w:rsidP="00CC48B5">
      <w:pPr>
        <w:pStyle w:val="Textparagrafu"/>
        <w:spacing w:before="120" w:after="120"/>
      </w:pPr>
      <w:r w:rsidRPr="00816651">
        <w:t>(5)</w:t>
      </w:r>
      <w:r>
        <w:t xml:space="preserve"> </w:t>
      </w:r>
      <w:r w:rsidRPr="00816651">
        <w:t>Má-li</w:t>
      </w:r>
      <w:r>
        <w:t xml:space="preserve"> </w:t>
      </w:r>
      <w:r w:rsidRPr="00816651">
        <w:t>Energetický</w:t>
      </w:r>
      <w:r>
        <w:t xml:space="preserve"> </w:t>
      </w:r>
      <w:r w:rsidRPr="00816651">
        <w:t>regulační</w:t>
      </w:r>
      <w:r>
        <w:t xml:space="preserve"> </w:t>
      </w:r>
      <w:r w:rsidRPr="00816651">
        <w:t>úřad</w:t>
      </w:r>
      <w:r>
        <w:t xml:space="preserve"> </w:t>
      </w:r>
      <w:r w:rsidRPr="00816651">
        <w:t>po</w:t>
      </w:r>
      <w:r>
        <w:t xml:space="preserve"> </w:t>
      </w:r>
      <w:r w:rsidRPr="00816651">
        <w:t>ověření</w:t>
      </w:r>
      <w:r>
        <w:t xml:space="preserve"> </w:t>
      </w:r>
      <w:r w:rsidRPr="00816651">
        <w:t>údajů</w:t>
      </w:r>
      <w:r>
        <w:t xml:space="preserve"> </w:t>
      </w:r>
      <w:r w:rsidRPr="00816651">
        <w:t>z</w:t>
      </w:r>
      <w:r>
        <w:t xml:space="preserve"> </w:t>
      </w:r>
      <w:r w:rsidRPr="00816651">
        <w:t>žádosti</w:t>
      </w:r>
      <w:r>
        <w:t xml:space="preserve"> </w:t>
      </w:r>
      <w:r w:rsidRPr="00816651">
        <w:t>a</w:t>
      </w:r>
      <w:r>
        <w:t xml:space="preserve"> </w:t>
      </w:r>
      <w:r w:rsidRPr="00816651">
        <w:t>poskytnutých</w:t>
      </w:r>
      <w:r>
        <w:t xml:space="preserve"> </w:t>
      </w:r>
      <w:r w:rsidRPr="00816651">
        <w:t>podkladů</w:t>
      </w:r>
      <w:r>
        <w:t xml:space="preserve"> </w:t>
      </w:r>
      <w:r w:rsidRPr="00816651">
        <w:t>pochybnosti</w:t>
      </w:r>
      <w:r>
        <w:t xml:space="preserve"> </w:t>
      </w:r>
      <w:r w:rsidRPr="00816651">
        <w:t>o</w:t>
      </w:r>
      <w:r>
        <w:t xml:space="preserve"> </w:t>
      </w:r>
      <w:r w:rsidRPr="00816651">
        <w:t>správnosti</w:t>
      </w:r>
      <w:r>
        <w:t xml:space="preserve"> </w:t>
      </w:r>
      <w:r w:rsidRPr="00816651">
        <w:t>výpočtu</w:t>
      </w:r>
      <w:r>
        <w:t xml:space="preserve"> </w:t>
      </w:r>
      <w:r w:rsidRPr="00816651">
        <w:t>prokazatelné</w:t>
      </w:r>
      <w:r>
        <w:t xml:space="preserve"> </w:t>
      </w:r>
      <w:r w:rsidRPr="00816651">
        <w:t>ztráty</w:t>
      </w:r>
      <w:r>
        <w:t xml:space="preserve"> </w:t>
      </w:r>
      <w:r w:rsidRPr="00816651">
        <w:t>nebo</w:t>
      </w:r>
      <w:r>
        <w:t xml:space="preserve"> </w:t>
      </w:r>
      <w:r w:rsidRPr="00816651">
        <w:t>přiměřeného</w:t>
      </w:r>
      <w:r>
        <w:t xml:space="preserve"> </w:t>
      </w:r>
      <w:r w:rsidRPr="00816651">
        <w:t>zisku,</w:t>
      </w:r>
      <w:r>
        <w:t xml:space="preserve"> </w:t>
      </w:r>
      <w:r w:rsidRPr="00816651">
        <w:t>sdělí</w:t>
      </w:r>
      <w:r>
        <w:t xml:space="preserve"> </w:t>
      </w:r>
      <w:r w:rsidRPr="00816651">
        <w:t>tuto</w:t>
      </w:r>
      <w:r>
        <w:t xml:space="preserve"> </w:t>
      </w:r>
      <w:r w:rsidRPr="00816651">
        <w:t>skutečnost</w:t>
      </w:r>
      <w:r>
        <w:t xml:space="preserve"> </w:t>
      </w:r>
      <w:r w:rsidRPr="00816651">
        <w:t>ve</w:t>
      </w:r>
      <w:r>
        <w:t xml:space="preserve"> </w:t>
      </w:r>
      <w:r w:rsidRPr="00816651">
        <w:t>stanovené</w:t>
      </w:r>
      <w:r>
        <w:t xml:space="preserve"> </w:t>
      </w:r>
      <w:r w:rsidRPr="00816651">
        <w:t>lhůtě</w:t>
      </w:r>
      <w:r>
        <w:t xml:space="preserve"> </w:t>
      </w:r>
      <w:r w:rsidRPr="00816651">
        <w:t>společně</w:t>
      </w:r>
      <w:r>
        <w:t xml:space="preserve"> </w:t>
      </w:r>
      <w:r w:rsidRPr="00816651">
        <w:t>s</w:t>
      </w:r>
      <w:r>
        <w:t xml:space="preserve"> </w:t>
      </w:r>
      <w:r w:rsidRPr="00816651">
        <w:t>důvody</w:t>
      </w:r>
      <w:r>
        <w:t xml:space="preserve"> </w:t>
      </w:r>
      <w:r w:rsidRPr="00816651">
        <w:t>operátorovi</w:t>
      </w:r>
      <w:r>
        <w:t xml:space="preserve"> </w:t>
      </w:r>
      <w:r w:rsidRPr="00816651">
        <w:t>trhu</w:t>
      </w:r>
      <w:r>
        <w:t xml:space="preserve"> </w:t>
      </w:r>
      <w:r w:rsidRPr="00816651">
        <w:t>a</w:t>
      </w:r>
      <w:r>
        <w:t xml:space="preserve"> </w:t>
      </w:r>
      <w:r w:rsidRPr="00816651">
        <w:t>účastníkovi</w:t>
      </w:r>
      <w:r>
        <w:t xml:space="preserve"> </w:t>
      </w:r>
      <w:r w:rsidRPr="00816651">
        <w:t>trhu</w:t>
      </w:r>
      <w:r>
        <w:t xml:space="preserve"> </w:t>
      </w:r>
      <w:r w:rsidRPr="00816651">
        <w:t>s</w:t>
      </w:r>
      <w:r>
        <w:t xml:space="preserve"> </w:t>
      </w:r>
      <w:r w:rsidRPr="00816651">
        <w:t>elektřinou</w:t>
      </w:r>
      <w:r>
        <w:t xml:space="preserve"> </w:t>
      </w:r>
      <w:r w:rsidRPr="00816651">
        <w:t>nebo</w:t>
      </w:r>
      <w:r>
        <w:t xml:space="preserve"> </w:t>
      </w:r>
      <w:r w:rsidRPr="00816651">
        <w:t>plynem,</w:t>
      </w:r>
      <w:r>
        <w:t xml:space="preserve"> </w:t>
      </w:r>
      <w:r w:rsidRPr="00816651">
        <w:t>který</w:t>
      </w:r>
      <w:r>
        <w:t xml:space="preserve"> </w:t>
      </w:r>
      <w:r w:rsidRPr="00816651">
        <w:t>žádost</w:t>
      </w:r>
      <w:r>
        <w:t xml:space="preserve"> </w:t>
      </w:r>
      <w:r w:rsidRPr="00816651">
        <w:t>operátorovi</w:t>
      </w:r>
      <w:r>
        <w:t xml:space="preserve"> </w:t>
      </w:r>
      <w:r w:rsidRPr="00816651">
        <w:t>trhu</w:t>
      </w:r>
      <w:r>
        <w:t xml:space="preserve"> </w:t>
      </w:r>
      <w:r w:rsidRPr="00816651">
        <w:t>podal.</w:t>
      </w:r>
      <w:r>
        <w:t xml:space="preserve"> </w:t>
      </w:r>
      <w:r w:rsidRPr="00816651">
        <w:t>Operátor</w:t>
      </w:r>
      <w:r>
        <w:t xml:space="preserve"> </w:t>
      </w:r>
      <w:r w:rsidRPr="00816651">
        <w:t>trhu</w:t>
      </w:r>
      <w:r>
        <w:t xml:space="preserve"> </w:t>
      </w:r>
      <w:r w:rsidRPr="00816651">
        <w:t>vyzve</w:t>
      </w:r>
      <w:r>
        <w:t xml:space="preserve"> </w:t>
      </w:r>
      <w:r w:rsidRPr="00816651">
        <w:t>účastníka</w:t>
      </w:r>
      <w:r>
        <w:t xml:space="preserve"> </w:t>
      </w:r>
      <w:r w:rsidRPr="00816651">
        <w:t>trhu</w:t>
      </w:r>
      <w:r>
        <w:t xml:space="preserve"> </w:t>
      </w:r>
      <w:r w:rsidRPr="00816651">
        <w:t>s</w:t>
      </w:r>
      <w:r>
        <w:t xml:space="preserve"> </w:t>
      </w:r>
      <w:r w:rsidRPr="00816651">
        <w:t>elektřinou</w:t>
      </w:r>
      <w:r>
        <w:t xml:space="preserve"> </w:t>
      </w:r>
      <w:r w:rsidRPr="00816651">
        <w:t>nebo</w:t>
      </w:r>
      <w:r>
        <w:t xml:space="preserve"> </w:t>
      </w:r>
      <w:r w:rsidRPr="00816651">
        <w:t>plynem</w:t>
      </w:r>
      <w:r>
        <w:t xml:space="preserve"> </w:t>
      </w:r>
      <w:r w:rsidRPr="00816651">
        <w:t>k</w:t>
      </w:r>
      <w:r>
        <w:t xml:space="preserve"> </w:t>
      </w:r>
      <w:r w:rsidRPr="00816651">
        <w:t>úpravě</w:t>
      </w:r>
      <w:r>
        <w:t xml:space="preserve"> </w:t>
      </w:r>
      <w:r w:rsidRPr="00816651">
        <w:t>výpočtu</w:t>
      </w:r>
      <w:r>
        <w:t xml:space="preserve"> </w:t>
      </w:r>
      <w:r w:rsidRPr="00816651">
        <w:t>prokazatelné</w:t>
      </w:r>
      <w:r>
        <w:t xml:space="preserve"> </w:t>
      </w:r>
      <w:r w:rsidRPr="00816651">
        <w:t>ztráty</w:t>
      </w:r>
      <w:r>
        <w:t xml:space="preserve"> </w:t>
      </w:r>
      <w:r w:rsidRPr="00816651">
        <w:t>a</w:t>
      </w:r>
      <w:r>
        <w:t xml:space="preserve"> </w:t>
      </w:r>
      <w:r w:rsidRPr="00816651">
        <w:t>přiměřeného</w:t>
      </w:r>
      <w:r>
        <w:t xml:space="preserve"> </w:t>
      </w:r>
      <w:r w:rsidRPr="00816651">
        <w:t>zisku</w:t>
      </w:r>
      <w:r>
        <w:t xml:space="preserve"> </w:t>
      </w:r>
      <w:r w:rsidRPr="00816651">
        <w:t>nebo</w:t>
      </w:r>
      <w:r>
        <w:t xml:space="preserve"> </w:t>
      </w:r>
      <w:r w:rsidRPr="00816651">
        <w:t>k</w:t>
      </w:r>
      <w:r>
        <w:t xml:space="preserve"> </w:t>
      </w:r>
      <w:r w:rsidRPr="00816651">
        <w:t>prokázání</w:t>
      </w:r>
      <w:r>
        <w:t xml:space="preserve"> </w:t>
      </w:r>
      <w:r w:rsidRPr="00816651">
        <w:t>správnosti</w:t>
      </w:r>
      <w:r>
        <w:t xml:space="preserve"> </w:t>
      </w:r>
      <w:r w:rsidRPr="00816651">
        <w:t>výpočtu</w:t>
      </w:r>
      <w:r>
        <w:t xml:space="preserve"> </w:t>
      </w:r>
      <w:r w:rsidRPr="00816651">
        <w:t>prokazatelné</w:t>
      </w:r>
      <w:r>
        <w:t xml:space="preserve"> </w:t>
      </w:r>
      <w:r w:rsidRPr="00816651">
        <w:t>ztráty</w:t>
      </w:r>
      <w:r>
        <w:t xml:space="preserve"> </w:t>
      </w:r>
      <w:r w:rsidRPr="00816651">
        <w:t>a</w:t>
      </w:r>
      <w:r>
        <w:t xml:space="preserve"> </w:t>
      </w:r>
      <w:r w:rsidRPr="00816651">
        <w:t>přiměřeného</w:t>
      </w:r>
      <w:r>
        <w:t xml:space="preserve"> </w:t>
      </w:r>
      <w:r w:rsidRPr="00816651">
        <w:t>zisku.</w:t>
      </w:r>
      <w:r>
        <w:t xml:space="preserve"> </w:t>
      </w:r>
      <w:r w:rsidRPr="00816651">
        <w:t>Operátor</w:t>
      </w:r>
      <w:r>
        <w:t xml:space="preserve"> </w:t>
      </w:r>
      <w:r w:rsidRPr="00816651">
        <w:t>trhu</w:t>
      </w:r>
      <w:r>
        <w:t xml:space="preserve"> </w:t>
      </w:r>
      <w:r w:rsidRPr="00816651">
        <w:t>neprodleně</w:t>
      </w:r>
      <w:r>
        <w:t xml:space="preserve"> </w:t>
      </w:r>
      <w:r w:rsidRPr="00816651">
        <w:t>předá</w:t>
      </w:r>
      <w:r>
        <w:t xml:space="preserve"> </w:t>
      </w:r>
      <w:r w:rsidRPr="00816651">
        <w:t>novou</w:t>
      </w:r>
      <w:r>
        <w:t xml:space="preserve"> </w:t>
      </w:r>
      <w:r w:rsidRPr="00816651">
        <w:t>žádost</w:t>
      </w:r>
      <w:r>
        <w:t xml:space="preserve"> </w:t>
      </w:r>
      <w:r w:rsidRPr="00816651">
        <w:t>účastníka</w:t>
      </w:r>
      <w:r>
        <w:t xml:space="preserve"> </w:t>
      </w:r>
      <w:r w:rsidRPr="00816651">
        <w:t>trhu</w:t>
      </w:r>
      <w:r>
        <w:t xml:space="preserve"> </w:t>
      </w:r>
      <w:r w:rsidRPr="00816651">
        <w:t>s</w:t>
      </w:r>
      <w:r>
        <w:t xml:space="preserve"> </w:t>
      </w:r>
      <w:r w:rsidRPr="00816651">
        <w:t>elektřinou</w:t>
      </w:r>
      <w:r>
        <w:t xml:space="preserve"> </w:t>
      </w:r>
      <w:r w:rsidRPr="00816651">
        <w:t>nebo</w:t>
      </w:r>
      <w:r>
        <w:t xml:space="preserve"> </w:t>
      </w:r>
      <w:r w:rsidRPr="00816651">
        <w:t>plynem</w:t>
      </w:r>
      <w:r>
        <w:t xml:space="preserve"> </w:t>
      </w:r>
      <w:r w:rsidRPr="00816651">
        <w:t>s</w:t>
      </w:r>
      <w:r>
        <w:t xml:space="preserve"> </w:t>
      </w:r>
      <w:r w:rsidRPr="00816651">
        <w:t>upraveným</w:t>
      </w:r>
      <w:r>
        <w:t xml:space="preserve"> </w:t>
      </w:r>
      <w:r w:rsidRPr="00816651">
        <w:t>výpočtem</w:t>
      </w:r>
      <w:r>
        <w:t xml:space="preserve"> </w:t>
      </w:r>
      <w:r w:rsidRPr="00816651">
        <w:t>prokazatelné</w:t>
      </w:r>
      <w:r>
        <w:t xml:space="preserve"> </w:t>
      </w:r>
      <w:r w:rsidRPr="00816651">
        <w:t>ztráty</w:t>
      </w:r>
      <w:r>
        <w:t xml:space="preserve"> </w:t>
      </w:r>
      <w:r w:rsidRPr="00816651">
        <w:t>a</w:t>
      </w:r>
      <w:r>
        <w:t xml:space="preserve"> </w:t>
      </w:r>
      <w:r w:rsidRPr="00816651">
        <w:t>přiměřeného</w:t>
      </w:r>
      <w:r>
        <w:t xml:space="preserve"> </w:t>
      </w:r>
      <w:r w:rsidRPr="00816651">
        <w:t>zisku</w:t>
      </w:r>
      <w:r>
        <w:t xml:space="preserve"> </w:t>
      </w:r>
      <w:r w:rsidRPr="00816651">
        <w:t>nebo</w:t>
      </w:r>
      <w:r>
        <w:t xml:space="preserve"> </w:t>
      </w:r>
      <w:r w:rsidRPr="00816651">
        <w:t>podklady</w:t>
      </w:r>
      <w:r>
        <w:t xml:space="preserve"> </w:t>
      </w:r>
      <w:r w:rsidRPr="00816651">
        <w:t>prokazující</w:t>
      </w:r>
      <w:r>
        <w:t xml:space="preserve"> </w:t>
      </w:r>
      <w:r w:rsidRPr="00816651">
        <w:t>správnost</w:t>
      </w:r>
      <w:r>
        <w:t xml:space="preserve"> </w:t>
      </w:r>
      <w:r w:rsidRPr="00816651">
        <w:t>výpočtu</w:t>
      </w:r>
      <w:r>
        <w:t xml:space="preserve"> </w:t>
      </w:r>
      <w:r w:rsidRPr="00816651">
        <w:t>prokazatelné</w:t>
      </w:r>
      <w:r>
        <w:t xml:space="preserve"> </w:t>
      </w:r>
      <w:r w:rsidRPr="00816651">
        <w:t>ztráty</w:t>
      </w:r>
      <w:r>
        <w:t xml:space="preserve"> </w:t>
      </w:r>
      <w:r w:rsidRPr="00816651">
        <w:t>a</w:t>
      </w:r>
      <w:r>
        <w:t xml:space="preserve"> </w:t>
      </w:r>
      <w:r w:rsidRPr="00816651">
        <w:t>přiměřeného</w:t>
      </w:r>
      <w:r>
        <w:t xml:space="preserve"> </w:t>
      </w:r>
      <w:r w:rsidRPr="00816651">
        <w:t>zisku</w:t>
      </w:r>
      <w:r>
        <w:t xml:space="preserve"> </w:t>
      </w:r>
      <w:r w:rsidRPr="00816651">
        <w:t>Energetickému</w:t>
      </w:r>
      <w:r>
        <w:t xml:space="preserve"> </w:t>
      </w:r>
      <w:r w:rsidRPr="00816651">
        <w:t>regulačnímu</w:t>
      </w:r>
      <w:r>
        <w:t xml:space="preserve"> </w:t>
      </w:r>
      <w:r w:rsidRPr="00816651">
        <w:t>úřadu.</w:t>
      </w:r>
      <w:r>
        <w:t xml:space="preserve"> </w:t>
      </w:r>
      <w:r w:rsidRPr="00816651">
        <w:t>Pokud</w:t>
      </w:r>
      <w:r>
        <w:t xml:space="preserve"> </w:t>
      </w:r>
      <w:r w:rsidRPr="00816651">
        <w:t>má</w:t>
      </w:r>
      <w:r>
        <w:t xml:space="preserve"> </w:t>
      </w:r>
      <w:r w:rsidRPr="00816651">
        <w:t>Energetický</w:t>
      </w:r>
      <w:r>
        <w:t xml:space="preserve"> </w:t>
      </w:r>
      <w:r w:rsidRPr="00816651">
        <w:t>regulační</w:t>
      </w:r>
      <w:r>
        <w:t xml:space="preserve"> </w:t>
      </w:r>
      <w:r w:rsidRPr="00816651">
        <w:t>úřad</w:t>
      </w:r>
      <w:r>
        <w:t xml:space="preserve"> </w:t>
      </w:r>
      <w:r w:rsidRPr="00816651">
        <w:t>i</w:t>
      </w:r>
      <w:r>
        <w:t xml:space="preserve"> </w:t>
      </w:r>
      <w:r w:rsidRPr="00816651">
        <w:t>nadále</w:t>
      </w:r>
      <w:r>
        <w:t xml:space="preserve"> </w:t>
      </w:r>
      <w:r w:rsidRPr="00816651">
        <w:t>pochybnosti</w:t>
      </w:r>
      <w:r>
        <w:t xml:space="preserve"> </w:t>
      </w:r>
      <w:r w:rsidRPr="00816651">
        <w:t>o</w:t>
      </w:r>
      <w:r>
        <w:t xml:space="preserve"> </w:t>
      </w:r>
      <w:r w:rsidRPr="00816651">
        <w:t>správnosti</w:t>
      </w:r>
      <w:r>
        <w:t xml:space="preserve"> </w:t>
      </w:r>
      <w:r w:rsidRPr="00816651">
        <w:t>výpočtu</w:t>
      </w:r>
      <w:r>
        <w:t xml:space="preserve"> </w:t>
      </w:r>
      <w:r w:rsidRPr="00816651">
        <w:t>prokazatelné</w:t>
      </w:r>
      <w:r>
        <w:t xml:space="preserve"> </w:t>
      </w:r>
      <w:r w:rsidRPr="00816651">
        <w:t>ztráty</w:t>
      </w:r>
      <w:r>
        <w:t xml:space="preserve"> </w:t>
      </w:r>
      <w:r w:rsidRPr="00816651">
        <w:t>nebo</w:t>
      </w:r>
      <w:r>
        <w:t xml:space="preserve"> </w:t>
      </w:r>
      <w:r w:rsidRPr="00816651">
        <w:t>přiměřeného</w:t>
      </w:r>
      <w:r>
        <w:t xml:space="preserve"> </w:t>
      </w:r>
      <w:r w:rsidRPr="00816651">
        <w:t>zisku,</w:t>
      </w:r>
      <w:r>
        <w:t xml:space="preserve"> </w:t>
      </w:r>
      <w:r w:rsidRPr="00816651">
        <w:t>poskytnutí</w:t>
      </w:r>
      <w:r>
        <w:t xml:space="preserve"> </w:t>
      </w:r>
      <w:r w:rsidRPr="00816651">
        <w:t>úhrady</w:t>
      </w:r>
      <w:r>
        <w:t xml:space="preserve"> </w:t>
      </w:r>
      <w:r w:rsidRPr="00816651">
        <w:t>zcela</w:t>
      </w:r>
      <w:r>
        <w:t xml:space="preserve"> </w:t>
      </w:r>
      <w:r w:rsidRPr="00816651">
        <w:t>nebo</w:t>
      </w:r>
      <w:r>
        <w:t xml:space="preserve"> </w:t>
      </w:r>
      <w:r w:rsidRPr="00816651">
        <w:t>zčásti</w:t>
      </w:r>
      <w:r>
        <w:t xml:space="preserve"> </w:t>
      </w:r>
      <w:r w:rsidRPr="00816651">
        <w:t>zakáže</w:t>
      </w:r>
      <w:r>
        <w:t xml:space="preserve"> </w:t>
      </w:r>
      <w:r w:rsidRPr="00816651">
        <w:t>rozhodnutím,</w:t>
      </w:r>
      <w:r>
        <w:t xml:space="preserve"> </w:t>
      </w:r>
      <w:r w:rsidRPr="00816651">
        <w:t>které</w:t>
      </w:r>
      <w:r>
        <w:t xml:space="preserve"> </w:t>
      </w:r>
      <w:r w:rsidRPr="00816651">
        <w:t>je</w:t>
      </w:r>
      <w:r>
        <w:t xml:space="preserve"> </w:t>
      </w:r>
      <w:r w:rsidRPr="00816651">
        <w:t>prvním</w:t>
      </w:r>
      <w:r>
        <w:t xml:space="preserve"> </w:t>
      </w:r>
      <w:r w:rsidRPr="00816651">
        <w:t>úkonem</w:t>
      </w:r>
      <w:r>
        <w:t xml:space="preserve"> </w:t>
      </w:r>
      <w:r w:rsidRPr="00816651">
        <w:t>v</w:t>
      </w:r>
      <w:r>
        <w:t xml:space="preserve"> </w:t>
      </w:r>
      <w:r w:rsidRPr="00816651">
        <w:t>řízení.</w:t>
      </w:r>
      <w:r>
        <w:t xml:space="preserve"> </w:t>
      </w:r>
      <w:r w:rsidRPr="00816651">
        <w:t>Rozklad</w:t>
      </w:r>
      <w:r>
        <w:t xml:space="preserve"> </w:t>
      </w:r>
      <w:r w:rsidRPr="00816651">
        <w:t>proti</w:t>
      </w:r>
      <w:r>
        <w:t xml:space="preserve"> </w:t>
      </w:r>
      <w:r w:rsidRPr="00816651">
        <w:t>tomuto</w:t>
      </w:r>
      <w:r>
        <w:t xml:space="preserve"> </w:t>
      </w:r>
      <w:r w:rsidRPr="00816651">
        <w:t>rozhodnutí</w:t>
      </w:r>
      <w:r>
        <w:t xml:space="preserve"> </w:t>
      </w:r>
      <w:r w:rsidRPr="00816651">
        <w:t>nemá</w:t>
      </w:r>
      <w:r>
        <w:t xml:space="preserve"> </w:t>
      </w:r>
      <w:r w:rsidRPr="00816651">
        <w:t>odkladný</w:t>
      </w:r>
      <w:r>
        <w:t xml:space="preserve"> </w:t>
      </w:r>
      <w:r w:rsidRPr="00816651">
        <w:t>účinek.</w:t>
      </w:r>
      <w:r>
        <w:t xml:space="preserve"> </w:t>
      </w:r>
      <w:r w:rsidRPr="00816651">
        <w:t>To</w:t>
      </w:r>
      <w:r>
        <w:t xml:space="preserve"> </w:t>
      </w:r>
      <w:r w:rsidRPr="00816651">
        <w:t>nebrání</w:t>
      </w:r>
      <w:r>
        <w:t xml:space="preserve"> </w:t>
      </w:r>
      <w:r w:rsidRPr="00816651">
        <w:t>podání</w:t>
      </w:r>
      <w:r>
        <w:t xml:space="preserve"> </w:t>
      </w:r>
      <w:r w:rsidRPr="00816651">
        <w:t>nové</w:t>
      </w:r>
      <w:r>
        <w:t xml:space="preserve"> </w:t>
      </w:r>
      <w:r w:rsidRPr="00816651">
        <w:t>žádosti</w:t>
      </w:r>
      <w:r>
        <w:t xml:space="preserve"> </w:t>
      </w:r>
      <w:r w:rsidRPr="00816651">
        <w:t>o</w:t>
      </w:r>
      <w:r>
        <w:t xml:space="preserve"> </w:t>
      </w:r>
      <w:r w:rsidRPr="00816651">
        <w:t>úhradu</w:t>
      </w:r>
      <w:r>
        <w:t xml:space="preserve"> </w:t>
      </w:r>
      <w:r w:rsidRPr="00816651">
        <w:t>prokazatelné</w:t>
      </w:r>
      <w:r>
        <w:t xml:space="preserve"> </w:t>
      </w:r>
      <w:r w:rsidRPr="00816651">
        <w:t>ztráty</w:t>
      </w:r>
      <w:r>
        <w:t xml:space="preserve"> </w:t>
      </w:r>
      <w:r w:rsidRPr="00816651">
        <w:t>a</w:t>
      </w:r>
      <w:r>
        <w:t xml:space="preserve"> </w:t>
      </w:r>
      <w:r w:rsidRPr="00816651">
        <w:t>přiměřeného</w:t>
      </w:r>
      <w:r>
        <w:t xml:space="preserve"> </w:t>
      </w:r>
      <w:r w:rsidRPr="00816651">
        <w:t>zisku</w:t>
      </w:r>
      <w:r>
        <w:t xml:space="preserve"> </w:t>
      </w:r>
      <w:r w:rsidRPr="00816651">
        <w:t>za</w:t>
      </w:r>
      <w:r>
        <w:t xml:space="preserve"> </w:t>
      </w:r>
      <w:r w:rsidRPr="00816651">
        <w:t>stanovené</w:t>
      </w:r>
      <w:r>
        <w:t xml:space="preserve"> </w:t>
      </w:r>
      <w:r w:rsidRPr="00816651">
        <w:t>období</w:t>
      </w:r>
      <w:r>
        <w:t xml:space="preserve"> </w:t>
      </w:r>
      <w:r w:rsidRPr="00816651">
        <w:t>i</w:t>
      </w:r>
      <w:r>
        <w:t xml:space="preserve"> </w:t>
      </w:r>
      <w:r w:rsidRPr="00816651">
        <w:t>po</w:t>
      </w:r>
      <w:r>
        <w:t xml:space="preserve"> </w:t>
      </w:r>
      <w:r w:rsidRPr="00816651">
        <w:t>uplynutí</w:t>
      </w:r>
      <w:r>
        <w:t xml:space="preserve"> </w:t>
      </w:r>
      <w:r w:rsidRPr="00816651">
        <w:t>stanoveného</w:t>
      </w:r>
      <w:r>
        <w:t xml:space="preserve"> </w:t>
      </w:r>
      <w:r w:rsidRPr="00816651">
        <w:t>termínu.</w:t>
      </w:r>
    </w:p>
    <w:p w14:paraId="1E101E25" w14:textId="77777777" w:rsidR="00EE616D" w:rsidRDefault="00EE616D" w:rsidP="00CC48B5">
      <w:pPr>
        <w:pStyle w:val="Textparagrafu"/>
        <w:spacing w:before="120" w:after="120"/>
      </w:pPr>
      <w:r w:rsidRPr="00816651">
        <w:t>(6)</w:t>
      </w:r>
      <w:r>
        <w:t xml:space="preserve"> </w:t>
      </w:r>
      <w:r w:rsidRPr="00816651">
        <w:t>Operátor</w:t>
      </w:r>
      <w:r>
        <w:t xml:space="preserve"> </w:t>
      </w:r>
      <w:r w:rsidRPr="00816651">
        <w:t>trhu</w:t>
      </w:r>
      <w:r>
        <w:t xml:space="preserve"> </w:t>
      </w:r>
      <w:r w:rsidRPr="00816651">
        <w:t>má</w:t>
      </w:r>
      <w:r>
        <w:t xml:space="preserve"> </w:t>
      </w:r>
      <w:r w:rsidRPr="00816651">
        <w:t>právo</w:t>
      </w:r>
      <w:r>
        <w:t xml:space="preserve"> </w:t>
      </w:r>
      <w:r w:rsidRPr="00816651">
        <w:t>na</w:t>
      </w:r>
      <w:r>
        <w:t xml:space="preserve"> </w:t>
      </w:r>
      <w:r w:rsidRPr="00816651">
        <w:t>úhradu</w:t>
      </w:r>
      <w:r>
        <w:t xml:space="preserve"> </w:t>
      </w:r>
      <w:r w:rsidRPr="00816651">
        <w:t>finančních</w:t>
      </w:r>
      <w:r>
        <w:t xml:space="preserve"> </w:t>
      </w:r>
      <w:r w:rsidRPr="00816651">
        <w:t>prostředků</w:t>
      </w:r>
      <w:r>
        <w:t xml:space="preserve"> </w:t>
      </w:r>
      <w:r w:rsidRPr="00816651">
        <w:t>poskytovaných</w:t>
      </w:r>
      <w:r>
        <w:t xml:space="preserve"> </w:t>
      </w:r>
      <w:r w:rsidRPr="00816651">
        <w:t>na</w:t>
      </w:r>
      <w:r>
        <w:t xml:space="preserve"> </w:t>
      </w:r>
      <w:r w:rsidRPr="00816651">
        <w:t>úhradu</w:t>
      </w:r>
      <w:r>
        <w:t xml:space="preserve"> </w:t>
      </w:r>
      <w:r w:rsidRPr="00816651">
        <w:t>prokazatelné</w:t>
      </w:r>
      <w:r>
        <w:t xml:space="preserve"> </w:t>
      </w:r>
      <w:r w:rsidRPr="00816651">
        <w:t>ztráty</w:t>
      </w:r>
      <w:r>
        <w:t xml:space="preserve"> </w:t>
      </w:r>
      <w:r w:rsidRPr="00816651">
        <w:t>a</w:t>
      </w:r>
      <w:r>
        <w:t xml:space="preserve"> </w:t>
      </w:r>
      <w:r w:rsidRPr="00816651">
        <w:t>přiměřeného</w:t>
      </w:r>
      <w:r>
        <w:t xml:space="preserve"> </w:t>
      </w:r>
      <w:r w:rsidRPr="00816651">
        <w:t>zisku</w:t>
      </w:r>
      <w:r>
        <w:t xml:space="preserve"> </w:t>
      </w:r>
      <w:r w:rsidRPr="00816651">
        <w:t>podle</w:t>
      </w:r>
      <w:r>
        <w:t xml:space="preserve"> </w:t>
      </w:r>
      <w:r w:rsidRPr="00816651">
        <w:t>odstavce</w:t>
      </w:r>
      <w:r>
        <w:t xml:space="preserve"> </w:t>
      </w:r>
      <w:r w:rsidRPr="00816651">
        <w:t>1</w:t>
      </w:r>
      <w:r>
        <w:t xml:space="preserve"> </w:t>
      </w:r>
      <w:r w:rsidRPr="00816651">
        <w:t>dotací</w:t>
      </w:r>
      <w:r>
        <w:t xml:space="preserve"> </w:t>
      </w:r>
      <w:r w:rsidRPr="00816651">
        <w:t>ze</w:t>
      </w:r>
      <w:r>
        <w:t xml:space="preserve"> </w:t>
      </w:r>
      <w:r w:rsidRPr="00816651">
        <w:t>státního</w:t>
      </w:r>
      <w:r>
        <w:t xml:space="preserve"> </w:t>
      </w:r>
      <w:r w:rsidRPr="00816651">
        <w:t>rozpočtu.</w:t>
      </w:r>
      <w:r>
        <w:t xml:space="preserve"> </w:t>
      </w:r>
      <w:r w:rsidRPr="00816651">
        <w:t>O</w:t>
      </w:r>
      <w:r>
        <w:t xml:space="preserve"> </w:t>
      </w:r>
      <w:r w:rsidRPr="00816651">
        <w:t>poskytnutí</w:t>
      </w:r>
      <w:r>
        <w:t xml:space="preserve"> </w:t>
      </w:r>
      <w:r w:rsidRPr="00816651">
        <w:t>dotace</w:t>
      </w:r>
      <w:r>
        <w:t xml:space="preserve"> </w:t>
      </w:r>
      <w:r w:rsidRPr="00816651">
        <w:t>rozhoduje</w:t>
      </w:r>
      <w:r>
        <w:t xml:space="preserve"> </w:t>
      </w:r>
      <w:r w:rsidRPr="00816651">
        <w:t>ministerstvo</w:t>
      </w:r>
      <w:r>
        <w:t xml:space="preserve"> </w:t>
      </w:r>
      <w:r w:rsidRPr="00816651">
        <w:t>na</w:t>
      </w:r>
      <w:r>
        <w:t xml:space="preserve"> </w:t>
      </w:r>
      <w:r w:rsidRPr="00816651">
        <w:t>základě</w:t>
      </w:r>
      <w:r>
        <w:t xml:space="preserve"> </w:t>
      </w:r>
      <w:r w:rsidRPr="00816651">
        <w:t>žádosti</w:t>
      </w:r>
      <w:r>
        <w:t xml:space="preserve"> </w:t>
      </w:r>
      <w:r w:rsidRPr="00816651">
        <w:t>operátora</w:t>
      </w:r>
      <w:r>
        <w:t xml:space="preserve"> </w:t>
      </w:r>
      <w:r w:rsidRPr="00816651">
        <w:t>trhu.</w:t>
      </w:r>
      <w:r>
        <w:t xml:space="preserve"> </w:t>
      </w:r>
      <w:r w:rsidRPr="00816651">
        <w:t>Ministerstvo</w:t>
      </w:r>
      <w:r>
        <w:t xml:space="preserve"> </w:t>
      </w:r>
      <w:r w:rsidRPr="00816651">
        <w:t>poskytuje</w:t>
      </w:r>
      <w:r>
        <w:t xml:space="preserve"> </w:t>
      </w:r>
      <w:r w:rsidRPr="00816651">
        <w:t>dotaci</w:t>
      </w:r>
      <w:r>
        <w:t xml:space="preserve"> </w:t>
      </w:r>
      <w:r w:rsidRPr="00816651">
        <w:t>v</w:t>
      </w:r>
      <w:r>
        <w:t xml:space="preserve"> </w:t>
      </w:r>
      <w:r w:rsidRPr="00816651">
        <w:t>rozsahu</w:t>
      </w:r>
      <w:r>
        <w:t xml:space="preserve"> </w:t>
      </w:r>
      <w:r w:rsidRPr="00816651">
        <w:t>předpokládaných</w:t>
      </w:r>
      <w:r>
        <w:t xml:space="preserve"> </w:t>
      </w:r>
      <w:r w:rsidRPr="00816651">
        <w:t>finančních</w:t>
      </w:r>
      <w:r>
        <w:t xml:space="preserve"> </w:t>
      </w:r>
      <w:r w:rsidRPr="00816651">
        <w:t>prostředků</w:t>
      </w:r>
      <w:r>
        <w:t xml:space="preserve"> </w:t>
      </w:r>
      <w:r w:rsidRPr="00816651">
        <w:t>na</w:t>
      </w:r>
      <w:r>
        <w:t xml:space="preserve"> </w:t>
      </w:r>
      <w:r w:rsidRPr="00816651">
        <w:t>úhradu</w:t>
      </w:r>
      <w:r>
        <w:t xml:space="preserve"> </w:t>
      </w:r>
      <w:r w:rsidRPr="00816651">
        <w:t>prokazatelné</w:t>
      </w:r>
      <w:r>
        <w:t xml:space="preserve"> </w:t>
      </w:r>
      <w:r w:rsidRPr="00816651">
        <w:t>ztráty</w:t>
      </w:r>
      <w:r>
        <w:t xml:space="preserve"> </w:t>
      </w:r>
      <w:r w:rsidRPr="00816651">
        <w:t>a</w:t>
      </w:r>
      <w:r>
        <w:t xml:space="preserve"> </w:t>
      </w:r>
      <w:r w:rsidRPr="00816651">
        <w:t>přiměřeného</w:t>
      </w:r>
      <w:r>
        <w:t xml:space="preserve"> </w:t>
      </w:r>
      <w:r w:rsidRPr="00816651">
        <w:t>zisku</w:t>
      </w:r>
      <w:r>
        <w:t xml:space="preserve"> </w:t>
      </w:r>
      <w:r w:rsidRPr="00816651">
        <w:t>účastníkům</w:t>
      </w:r>
      <w:r>
        <w:t xml:space="preserve"> </w:t>
      </w:r>
      <w:r w:rsidRPr="00816651">
        <w:t>trhu</w:t>
      </w:r>
      <w:r>
        <w:t xml:space="preserve"> </w:t>
      </w:r>
      <w:r w:rsidRPr="00816651">
        <w:t>s</w:t>
      </w:r>
      <w:r>
        <w:t xml:space="preserve"> </w:t>
      </w:r>
      <w:r w:rsidRPr="00816651">
        <w:t>elektřinou</w:t>
      </w:r>
      <w:r>
        <w:t xml:space="preserve"> </w:t>
      </w:r>
      <w:r w:rsidRPr="00816651">
        <w:t>nebo</w:t>
      </w:r>
      <w:r>
        <w:t xml:space="preserve"> </w:t>
      </w:r>
      <w:r w:rsidRPr="00816651">
        <w:t>plynem</w:t>
      </w:r>
      <w:r>
        <w:t xml:space="preserve"> </w:t>
      </w:r>
      <w:r w:rsidRPr="00816651">
        <w:t>podle</w:t>
      </w:r>
      <w:r>
        <w:t xml:space="preserve"> </w:t>
      </w:r>
      <w:r w:rsidRPr="00816651">
        <w:t>odstavce</w:t>
      </w:r>
      <w:r>
        <w:t xml:space="preserve"> </w:t>
      </w:r>
      <w:r w:rsidRPr="00816651">
        <w:t>1</w:t>
      </w:r>
      <w:r>
        <w:t xml:space="preserve"> </w:t>
      </w:r>
      <w:r w:rsidRPr="00816651">
        <w:t>před</w:t>
      </w:r>
      <w:r>
        <w:t xml:space="preserve"> </w:t>
      </w:r>
      <w:r w:rsidRPr="00816651">
        <w:t>úhradou</w:t>
      </w:r>
      <w:r>
        <w:t xml:space="preserve"> </w:t>
      </w:r>
      <w:r w:rsidRPr="00816651">
        <w:t>plateb</w:t>
      </w:r>
      <w:r>
        <w:t xml:space="preserve"> </w:t>
      </w:r>
      <w:r w:rsidRPr="00816651">
        <w:t>účastníkům</w:t>
      </w:r>
      <w:r>
        <w:t xml:space="preserve"> </w:t>
      </w:r>
      <w:r w:rsidRPr="00816651">
        <w:t>trhu</w:t>
      </w:r>
      <w:r>
        <w:t xml:space="preserve"> </w:t>
      </w:r>
      <w:r w:rsidRPr="00816651">
        <w:t>za</w:t>
      </w:r>
      <w:r>
        <w:t xml:space="preserve"> </w:t>
      </w:r>
      <w:r w:rsidRPr="00816651">
        <w:t>stanovené</w:t>
      </w:r>
      <w:r>
        <w:t xml:space="preserve"> </w:t>
      </w:r>
      <w:r w:rsidRPr="00816651">
        <w:t>období.</w:t>
      </w:r>
    </w:p>
    <w:p w14:paraId="6B612FEE" w14:textId="77777777" w:rsidR="00EE616D" w:rsidRDefault="00EE616D" w:rsidP="00CC48B5">
      <w:pPr>
        <w:pStyle w:val="Textparagrafu"/>
        <w:spacing w:before="120" w:after="120"/>
      </w:pPr>
      <w:r w:rsidRPr="00816651">
        <w:t>(7)</w:t>
      </w:r>
      <w:r>
        <w:t xml:space="preserve"> </w:t>
      </w:r>
      <w:r w:rsidRPr="00816651">
        <w:t>Při</w:t>
      </w:r>
      <w:r>
        <w:t xml:space="preserve"> </w:t>
      </w:r>
      <w:r w:rsidRPr="00816651">
        <w:t>úhradě</w:t>
      </w:r>
      <w:r>
        <w:t xml:space="preserve"> </w:t>
      </w:r>
      <w:r w:rsidRPr="00816651">
        <w:t>prokazatelné</w:t>
      </w:r>
      <w:r>
        <w:t xml:space="preserve"> </w:t>
      </w:r>
      <w:r w:rsidRPr="00816651">
        <w:t>ztráty</w:t>
      </w:r>
      <w:r>
        <w:t xml:space="preserve"> </w:t>
      </w:r>
      <w:r w:rsidRPr="00816651">
        <w:t>a</w:t>
      </w:r>
      <w:r>
        <w:t xml:space="preserve"> </w:t>
      </w:r>
      <w:r w:rsidRPr="00816651">
        <w:t>přiměřeného</w:t>
      </w:r>
      <w:r>
        <w:t xml:space="preserve"> </w:t>
      </w:r>
      <w:r w:rsidRPr="00816651">
        <w:t>zisku</w:t>
      </w:r>
      <w:r>
        <w:t xml:space="preserve"> </w:t>
      </w:r>
      <w:r w:rsidRPr="00816651">
        <w:t>v</w:t>
      </w:r>
      <w:r>
        <w:t xml:space="preserve"> </w:t>
      </w:r>
      <w:r w:rsidRPr="00816651">
        <w:t>nesprávné</w:t>
      </w:r>
      <w:r>
        <w:t xml:space="preserve"> </w:t>
      </w:r>
      <w:r w:rsidRPr="00816651">
        <w:t>výši</w:t>
      </w:r>
      <w:r>
        <w:t xml:space="preserve"> </w:t>
      </w:r>
      <w:r w:rsidRPr="00816651">
        <w:t>se</w:t>
      </w:r>
      <w:r>
        <w:t xml:space="preserve"> </w:t>
      </w:r>
      <w:r w:rsidRPr="00816651">
        <w:t>postupuje</w:t>
      </w:r>
      <w:r>
        <w:t xml:space="preserve"> </w:t>
      </w:r>
      <w:r w:rsidRPr="00816651">
        <w:t>podle</w:t>
      </w:r>
      <w:r>
        <w:t xml:space="preserve"> </w:t>
      </w:r>
      <w:r w:rsidRPr="00816651">
        <w:t>§</w:t>
      </w:r>
      <w:r>
        <w:t xml:space="preserve"> </w:t>
      </w:r>
      <w:r w:rsidRPr="00816651">
        <w:t>97.</w:t>
      </w:r>
    </w:p>
    <w:p w14:paraId="0A78AA09" w14:textId="77777777" w:rsidR="00EE616D" w:rsidRDefault="00EE616D" w:rsidP="00CC48B5">
      <w:pPr>
        <w:pStyle w:val="Textparagrafu"/>
        <w:spacing w:before="120" w:after="120"/>
      </w:pPr>
      <w:r w:rsidRPr="00816651">
        <w:t>(8)</w:t>
      </w:r>
      <w:r>
        <w:t xml:space="preserve"> </w:t>
      </w:r>
      <w:r w:rsidRPr="00816651">
        <w:t>Vláda</w:t>
      </w:r>
      <w:r>
        <w:t xml:space="preserve"> </w:t>
      </w:r>
      <w:r w:rsidRPr="00816651">
        <w:t>nařízením</w:t>
      </w:r>
      <w:r>
        <w:t xml:space="preserve"> </w:t>
      </w:r>
      <w:r w:rsidRPr="00816651">
        <w:t>stanoví</w:t>
      </w:r>
    </w:p>
    <w:p w14:paraId="521FD663" w14:textId="31D1C7FB" w:rsidR="00EE616D" w:rsidRDefault="00EE616D" w:rsidP="002E6AEA">
      <w:pPr>
        <w:pStyle w:val="Textparagrafu"/>
        <w:tabs>
          <w:tab w:val="left" w:pos="714"/>
        </w:tabs>
        <w:spacing w:before="0"/>
        <w:ind w:left="426" w:hanging="426"/>
      </w:pPr>
      <w:r w:rsidRPr="00816651">
        <w:t>a)</w:t>
      </w:r>
      <w:r>
        <w:tab/>
      </w:r>
      <w:r w:rsidRPr="00816651">
        <w:t>rozsah</w:t>
      </w:r>
      <w:r>
        <w:t xml:space="preserve"> </w:t>
      </w:r>
      <w:r w:rsidRPr="00816651">
        <w:t>oprávněných</w:t>
      </w:r>
      <w:r>
        <w:t xml:space="preserve"> </w:t>
      </w:r>
      <w:r w:rsidRPr="00816651">
        <w:t>nákladů</w:t>
      </w:r>
      <w:r>
        <w:t xml:space="preserve"> </w:t>
      </w:r>
      <w:r w:rsidRPr="00816651">
        <w:t>na</w:t>
      </w:r>
      <w:r>
        <w:t xml:space="preserve"> </w:t>
      </w:r>
      <w:r w:rsidRPr="00816651">
        <w:t>zajištění</w:t>
      </w:r>
      <w:r>
        <w:t xml:space="preserve"> </w:t>
      </w:r>
      <w:r w:rsidRPr="00816651">
        <w:t>dodávky</w:t>
      </w:r>
      <w:r>
        <w:t xml:space="preserve"> </w:t>
      </w:r>
      <w:r w:rsidRPr="00816651">
        <w:t>elektřiny</w:t>
      </w:r>
      <w:r>
        <w:t xml:space="preserve"> </w:t>
      </w:r>
      <w:r w:rsidRPr="00816651">
        <w:t>nebo</w:t>
      </w:r>
      <w:r>
        <w:t xml:space="preserve"> </w:t>
      </w:r>
      <w:r w:rsidRPr="00816651">
        <w:t>plynu,</w:t>
      </w:r>
      <w:r>
        <w:t xml:space="preserve"> </w:t>
      </w:r>
      <w:r w:rsidRPr="00816651">
        <w:t>způsob</w:t>
      </w:r>
      <w:r>
        <w:t xml:space="preserve"> </w:t>
      </w:r>
      <w:r w:rsidRPr="00816651">
        <w:t>výpočtu</w:t>
      </w:r>
      <w:r>
        <w:t xml:space="preserve"> </w:t>
      </w:r>
      <w:r w:rsidRPr="00816651">
        <w:t>prokazatelné</w:t>
      </w:r>
      <w:r>
        <w:t xml:space="preserve"> </w:t>
      </w:r>
      <w:r w:rsidRPr="00816651">
        <w:t>ztráty</w:t>
      </w:r>
      <w:r>
        <w:t xml:space="preserve"> </w:t>
      </w:r>
      <w:r w:rsidRPr="00816651">
        <w:t>a</w:t>
      </w:r>
      <w:r>
        <w:t xml:space="preserve"> </w:t>
      </w:r>
      <w:r w:rsidRPr="00816651">
        <w:t>přiměřeného</w:t>
      </w:r>
      <w:r>
        <w:t xml:space="preserve"> </w:t>
      </w:r>
      <w:r w:rsidRPr="00816651">
        <w:t>zisku,</w:t>
      </w:r>
      <w:r>
        <w:t xml:space="preserve"> </w:t>
      </w:r>
      <w:r w:rsidRPr="00816651">
        <w:t>rozhodný</w:t>
      </w:r>
      <w:r>
        <w:t xml:space="preserve"> </w:t>
      </w:r>
      <w:r w:rsidRPr="00816651">
        <w:t>den</w:t>
      </w:r>
      <w:r>
        <w:t xml:space="preserve"> </w:t>
      </w:r>
      <w:r w:rsidRPr="00816651">
        <w:t>pro</w:t>
      </w:r>
      <w:r>
        <w:t xml:space="preserve"> </w:t>
      </w:r>
      <w:r w:rsidRPr="00816651">
        <w:t>výpočet</w:t>
      </w:r>
      <w:r>
        <w:t xml:space="preserve"> </w:t>
      </w:r>
      <w:r w:rsidRPr="00816651">
        <w:t>prokazatelné</w:t>
      </w:r>
      <w:r>
        <w:t xml:space="preserve"> </w:t>
      </w:r>
      <w:r w:rsidRPr="00816651">
        <w:t>ztráty</w:t>
      </w:r>
      <w:r>
        <w:t xml:space="preserve"> </w:t>
      </w:r>
      <w:r w:rsidRPr="00816651">
        <w:t>a</w:t>
      </w:r>
      <w:r>
        <w:t xml:space="preserve"> </w:t>
      </w:r>
      <w:r w:rsidRPr="00816651">
        <w:t>přiměřeného</w:t>
      </w:r>
      <w:r>
        <w:t xml:space="preserve"> </w:t>
      </w:r>
      <w:r w:rsidRPr="00816651">
        <w:t>zisku</w:t>
      </w:r>
      <w:r>
        <w:t xml:space="preserve"> </w:t>
      </w:r>
      <w:r w:rsidRPr="00816651">
        <w:t>a</w:t>
      </w:r>
      <w:r>
        <w:t xml:space="preserve"> </w:t>
      </w:r>
      <w:r w:rsidRPr="00816651">
        <w:t>období,</w:t>
      </w:r>
      <w:r>
        <w:t xml:space="preserve"> </w:t>
      </w:r>
      <w:r w:rsidRPr="00816651">
        <w:t>za</w:t>
      </w:r>
      <w:r>
        <w:t xml:space="preserve"> </w:t>
      </w:r>
      <w:r w:rsidRPr="00816651">
        <w:t>které</w:t>
      </w:r>
      <w:r>
        <w:t xml:space="preserve"> </w:t>
      </w:r>
      <w:r w:rsidRPr="00816651">
        <w:t>se</w:t>
      </w:r>
      <w:r>
        <w:t xml:space="preserve"> </w:t>
      </w:r>
      <w:r w:rsidRPr="00816651">
        <w:t>prokazatelná</w:t>
      </w:r>
      <w:r>
        <w:t xml:space="preserve"> </w:t>
      </w:r>
      <w:r w:rsidRPr="00816651">
        <w:t>ztráta</w:t>
      </w:r>
      <w:r>
        <w:t xml:space="preserve"> </w:t>
      </w:r>
      <w:r w:rsidRPr="00816651">
        <w:t>a</w:t>
      </w:r>
      <w:r>
        <w:t xml:space="preserve"> </w:t>
      </w:r>
      <w:r w:rsidRPr="00816651">
        <w:t>přiměřený</w:t>
      </w:r>
      <w:r>
        <w:t xml:space="preserve"> </w:t>
      </w:r>
      <w:r w:rsidRPr="00816651">
        <w:t>zisk</w:t>
      </w:r>
      <w:r>
        <w:t xml:space="preserve"> </w:t>
      </w:r>
      <w:r w:rsidRPr="00816651">
        <w:t>hradí,</w:t>
      </w:r>
    </w:p>
    <w:p w14:paraId="2A7079DE" w14:textId="6F710013" w:rsidR="00EE616D" w:rsidRDefault="00EE616D" w:rsidP="002E6AEA">
      <w:pPr>
        <w:pStyle w:val="Textparagrafu"/>
        <w:tabs>
          <w:tab w:val="left" w:pos="714"/>
        </w:tabs>
        <w:spacing w:before="0"/>
        <w:ind w:left="426" w:hanging="426"/>
      </w:pPr>
      <w:r w:rsidRPr="00816651">
        <w:t>b)</w:t>
      </w:r>
      <w:r>
        <w:tab/>
      </w:r>
      <w:r w:rsidRPr="00816651">
        <w:t>postup</w:t>
      </w:r>
      <w:r>
        <w:t xml:space="preserve"> </w:t>
      </w:r>
      <w:r w:rsidRPr="00816651">
        <w:t>a</w:t>
      </w:r>
      <w:r>
        <w:t xml:space="preserve"> </w:t>
      </w:r>
      <w:r w:rsidRPr="00816651">
        <w:t>termíny</w:t>
      </w:r>
      <w:r>
        <w:t xml:space="preserve"> </w:t>
      </w:r>
      <w:r w:rsidRPr="00816651">
        <w:t>vypořádání</w:t>
      </w:r>
      <w:r>
        <w:t xml:space="preserve"> </w:t>
      </w:r>
      <w:r w:rsidRPr="00816651">
        <w:t>rozdílu</w:t>
      </w:r>
      <w:r>
        <w:t xml:space="preserve"> </w:t>
      </w:r>
      <w:r w:rsidRPr="00816651">
        <w:t>mezi</w:t>
      </w:r>
      <w:r>
        <w:t xml:space="preserve"> </w:t>
      </w:r>
      <w:r w:rsidRPr="00816651">
        <w:t>zálohovými</w:t>
      </w:r>
      <w:r>
        <w:t xml:space="preserve"> </w:t>
      </w:r>
      <w:r w:rsidRPr="00816651">
        <w:t>platbami</w:t>
      </w:r>
      <w:r>
        <w:t xml:space="preserve"> </w:t>
      </w:r>
      <w:r w:rsidRPr="00816651">
        <w:t>a</w:t>
      </w:r>
      <w:r>
        <w:t xml:space="preserve"> </w:t>
      </w:r>
      <w:r w:rsidRPr="00816651">
        <w:t>výší</w:t>
      </w:r>
      <w:r>
        <w:t xml:space="preserve"> </w:t>
      </w:r>
      <w:r w:rsidRPr="00816651">
        <w:t>prokazatelné</w:t>
      </w:r>
      <w:r>
        <w:t xml:space="preserve"> </w:t>
      </w:r>
      <w:r w:rsidRPr="00816651">
        <w:t>ztráty</w:t>
      </w:r>
      <w:r>
        <w:t xml:space="preserve"> </w:t>
      </w:r>
      <w:r w:rsidRPr="00816651">
        <w:t>a</w:t>
      </w:r>
      <w:r>
        <w:t xml:space="preserve"> </w:t>
      </w:r>
      <w:r w:rsidRPr="00816651">
        <w:t>přiměřeného</w:t>
      </w:r>
      <w:r>
        <w:t xml:space="preserve"> </w:t>
      </w:r>
      <w:r w:rsidRPr="00816651">
        <w:t>zisku</w:t>
      </w:r>
      <w:r>
        <w:t xml:space="preserve"> </w:t>
      </w:r>
      <w:r w:rsidRPr="00816651">
        <w:t>za</w:t>
      </w:r>
      <w:r>
        <w:t xml:space="preserve"> </w:t>
      </w:r>
      <w:r w:rsidRPr="00816651">
        <w:t>stanovené</w:t>
      </w:r>
      <w:r>
        <w:t xml:space="preserve"> </w:t>
      </w:r>
      <w:r w:rsidRPr="00816651">
        <w:t>období,</w:t>
      </w:r>
    </w:p>
    <w:p w14:paraId="380014B0" w14:textId="35A23F7D" w:rsidR="00EE616D" w:rsidRDefault="00EE616D" w:rsidP="002E6AEA">
      <w:pPr>
        <w:pStyle w:val="Textparagrafu"/>
        <w:tabs>
          <w:tab w:val="left" w:pos="714"/>
        </w:tabs>
        <w:spacing w:before="0"/>
        <w:ind w:left="426" w:hanging="426"/>
      </w:pPr>
      <w:r w:rsidRPr="00816651">
        <w:t>c)</w:t>
      </w:r>
      <w:r>
        <w:tab/>
      </w:r>
      <w:r w:rsidRPr="00816651">
        <w:t>termíny</w:t>
      </w:r>
      <w:r>
        <w:t xml:space="preserve"> </w:t>
      </w:r>
      <w:r w:rsidRPr="00816651">
        <w:t>pro</w:t>
      </w:r>
      <w:r>
        <w:t xml:space="preserve"> </w:t>
      </w:r>
      <w:r w:rsidRPr="00816651">
        <w:t>podávání</w:t>
      </w:r>
      <w:r>
        <w:t xml:space="preserve"> </w:t>
      </w:r>
      <w:r w:rsidRPr="00816651">
        <w:t>a</w:t>
      </w:r>
      <w:r>
        <w:t xml:space="preserve"> </w:t>
      </w:r>
      <w:r w:rsidRPr="00816651">
        <w:t>náležitosti</w:t>
      </w:r>
      <w:r>
        <w:t xml:space="preserve"> </w:t>
      </w:r>
      <w:r w:rsidRPr="00816651">
        <w:t>žádosti</w:t>
      </w:r>
      <w:r>
        <w:t xml:space="preserve"> </w:t>
      </w:r>
      <w:r w:rsidRPr="00816651">
        <w:t>o</w:t>
      </w:r>
      <w:r>
        <w:t xml:space="preserve"> </w:t>
      </w:r>
      <w:r w:rsidRPr="00816651">
        <w:t>úhradu</w:t>
      </w:r>
      <w:r>
        <w:t xml:space="preserve"> </w:t>
      </w:r>
      <w:r w:rsidRPr="00816651">
        <w:t>prokazatelné</w:t>
      </w:r>
      <w:r>
        <w:t xml:space="preserve"> </w:t>
      </w:r>
      <w:r w:rsidRPr="00816651">
        <w:t>ztráty</w:t>
      </w:r>
      <w:r>
        <w:t xml:space="preserve"> </w:t>
      </w:r>
      <w:r w:rsidRPr="00816651">
        <w:t>a</w:t>
      </w:r>
      <w:r>
        <w:t xml:space="preserve"> </w:t>
      </w:r>
      <w:r w:rsidRPr="00816651">
        <w:t>přiměřeného</w:t>
      </w:r>
      <w:r>
        <w:t xml:space="preserve"> </w:t>
      </w:r>
      <w:r w:rsidRPr="00816651">
        <w:t>zisku,</w:t>
      </w:r>
      <w:r>
        <w:t xml:space="preserve"> </w:t>
      </w:r>
      <w:r w:rsidRPr="00816651">
        <w:t>rozsah</w:t>
      </w:r>
      <w:r>
        <w:t xml:space="preserve"> </w:t>
      </w:r>
      <w:r w:rsidRPr="00816651">
        <w:t>podkladů</w:t>
      </w:r>
      <w:r>
        <w:t xml:space="preserve"> </w:t>
      </w:r>
      <w:r w:rsidRPr="00816651">
        <w:t>poskytovaných</w:t>
      </w:r>
      <w:r>
        <w:t xml:space="preserve"> </w:t>
      </w:r>
      <w:r w:rsidRPr="00816651">
        <w:t>operátorovi</w:t>
      </w:r>
      <w:r>
        <w:t xml:space="preserve"> </w:t>
      </w:r>
      <w:r w:rsidRPr="00816651">
        <w:t>trhu</w:t>
      </w:r>
      <w:r>
        <w:t xml:space="preserve"> </w:t>
      </w:r>
      <w:r w:rsidRPr="00816651">
        <w:t>a</w:t>
      </w:r>
      <w:r>
        <w:t xml:space="preserve"> </w:t>
      </w:r>
      <w:r w:rsidRPr="00816651">
        <w:t>způsob</w:t>
      </w:r>
      <w:r>
        <w:t xml:space="preserve"> </w:t>
      </w:r>
      <w:r w:rsidRPr="00816651">
        <w:t>podávání</w:t>
      </w:r>
      <w:r>
        <w:t xml:space="preserve"> </w:t>
      </w:r>
      <w:r w:rsidRPr="00816651">
        <w:t>žádosti</w:t>
      </w:r>
      <w:r>
        <w:t xml:space="preserve"> </w:t>
      </w:r>
      <w:r w:rsidRPr="00816651">
        <w:t>o</w:t>
      </w:r>
      <w:r>
        <w:t xml:space="preserve"> </w:t>
      </w:r>
      <w:r w:rsidRPr="00816651">
        <w:t>úhradu</w:t>
      </w:r>
      <w:r>
        <w:t xml:space="preserve"> </w:t>
      </w:r>
      <w:r w:rsidRPr="00816651">
        <w:t>prokazatelné</w:t>
      </w:r>
      <w:r>
        <w:t xml:space="preserve"> </w:t>
      </w:r>
      <w:r w:rsidRPr="00816651">
        <w:t>ztráty</w:t>
      </w:r>
      <w:r>
        <w:t xml:space="preserve"> </w:t>
      </w:r>
      <w:r w:rsidRPr="00816651">
        <w:t>a</w:t>
      </w:r>
      <w:r>
        <w:t xml:space="preserve"> </w:t>
      </w:r>
      <w:r w:rsidRPr="00816651">
        <w:t>přiměřeného</w:t>
      </w:r>
      <w:r>
        <w:t xml:space="preserve"> </w:t>
      </w:r>
      <w:r w:rsidRPr="00816651">
        <w:t>zisku</w:t>
      </w:r>
      <w:r>
        <w:t xml:space="preserve"> </w:t>
      </w:r>
      <w:r w:rsidRPr="00816651">
        <w:t>operátorovi</w:t>
      </w:r>
      <w:r>
        <w:t xml:space="preserve"> </w:t>
      </w:r>
      <w:r w:rsidRPr="00816651">
        <w:t>trhu,</w:t>
      </w:r>
    </w:p>
    <w:p w14:paraId="76267203" w14:textId="0B12A6BF" w:rsidR="00EE616D" w:rsidRDefault="00EE616D" w:rsidP="002E6AEA">
      <w:pPr>
        <w:pStyle w:val="Textparagrafu"/>
        <w:tabs>
          <w:tab w:val="left" w:pos="714"/>
        </w:tabs>
        <w:spacing w:before="0"/>
        <w:ind w:left="426" w:hanging="426"/>
      </w:pPr>
      <w:r w:rsidRPr="00816651">
        <w:t>d)</w:t>
      </w:r>
      <w:r>
        <w:tab/>
      </w:r>
      <w:r w:rsidRPr="00816651">
        <w:t>pravidla</w:t>
      </w:r>
      <w:r>
        <w:t xml:space="preserve"> </w:t>
      </w:r>
      <w:r w:rsidRPr="00816651">
        <w:t>a</w:t>
      </w:r>
      <w:r>
        <w:t xml:space="preserve"> </w:t>
      </w:r>
      <w:r w:rsidRPr="00816651">
        <w:t>termíny</w:t>
      </w:r>
      <w:r>
        <w:t xml:space="preserve"> </w:t>
      </w:r>
      <w:r w:rsidRPr="00816651">
        <w:t>pro</w:t>
      </w:r>
      <w:r>
        <w:t xml:space="preserve"> </w:t>
      </w:r>
      <w:r w:rsidRPr="00816651">
        <w:t>úhradu</w:t>
      </w:r>
      <w:r>
        <w:t xml:space="preserve"> </w:t>
      </w:r>
      <w:r w:rsidRPr="00816651">
        <w:t>prokazatelné</w:t>
      </w:r>
      <w:r>
        <w:t xml:space="preserve"> </w:t>
      </w:r>
      <w:r w:rsidRPr="00816651">
        <w:t>ztráty</w:t>
      </w:r>
      <w:r>
        <w:t xml:space="preserve"> </w:t>
      </w:r>
      <w:r w:rsidRPr="00816651">
        <w:t>a</w:t>
      </w:r>
      <w:r>
        <w:t xml:space="preserve"> </w:t>
      </w:r>
      <w:r w:rsidRPr="00816651">
        <w:t>přiměřeného</w:t>
      </w:r>
      <w:r>
        <w:t xml:space="preserve"> </w:t>
      </w:r>
      <w:r w:rsidRPr="00816651">
        <w:t>zisku,</w:t>
      </w:r>
    </w:p>
    <w:p w14:paraId="3BF0C145" w14:textId="6A897BB9" w:rsidR="00EE616D" w:rsidRDefault="00EE616D" w:rsidP="002E6AEA">
      <w:pPr>
        <w:pStyle w:val="Textparagrafu"/>
        <w:tabs>
          <w:tab w:val="left" w:pos="714"/>
        </w:tabs>
        <w:spacing w:before="0"/>
        <w:ind w:left="426" w:hanging="426"/>
      </w:pPr>
      <w:r w:rsidRPr="00816651">
        <w:t>e)</w:t>
      </w:r>
      <w:r>
        <w:tab/>
      </w:r>
      <w:r w:rsidRPr="00816651">
        <w:t>pravidla</w:t>
      </w:r>
      <w:r>
        <w:t xml:space="preserve"> </w:t>
      </w:r>
      <w:r w:rsidRPr="00816651">
        <w:t>a</w:t>
      </w:r>
      <w:r>
        <w:t xml:space="preserve"> </w:t>
      </w:r>
      <w:r w:rsidRPr="00816651">
        <w:t>termíny</w:t>
      </w:r>
      <w:r>
        <w:t xml:space="preserve"> </w:t>
      </w:r>
      <w:r w:rsidRPr="00816651">
        <w:t>pro</w:t>
      </w:r>
      <w:r>
        <w:t xml:space="preserve"> </w:t>
      </w:r>
      <w:r w:rsidRPr="00816651">
        <w:t>poskytování</w:t>
      </w:r>
      <w:r>
        <w:t xml:space="preserve"> </w:t>
      </w:r>
      <w:r w:rsidRPr="00816651">
        <w:t>dotace</w:t>
      </w:r>
      <w:r>
        <w:t xml:space="preserve"> </w:t>
      </w:r>
      <w:r w:rsidRPr="00816651">
        <w:t>na</w:t>
      </w:r>
      <w:r>
        <w:t xml:space="preserve"> </w:t>
      </w:r>
      <w:r w:rsidRPr="00816651">
        <w:t>úhradu</w:t>
      </w:r>
      <w:r>
        <w:t xml:space="preserve"> </w:t>
      </w:r>
      <w:r w:rsidRPr="00816651">
        <w:t>finančních</w:t>
      </w:r>
      <w:r>
        <w:t xml:space="preserve"> </w:t>
      </w:r>
      <w:r w:rsidRPr="00816651">
        <w:t>prostředků</w:t>
      </w:r>
      <w:r>
        <w:t xml:space="preserve"> </w:t>
      </w:r>
      <w:r w:rsidRPr="00816651">
        <w:t>operátorovi</w:t>
      </w:r>
      <w:r>
        <w:t xml:space="preserve"> </w:t>
      </w:r>
      <w:r w:rsidRPr="00816651">
        <w:t>trhu,</w:t>
      </w:r>
    </w:p>
    <w:p w14:paraId="4D3BF97D" w14:textId="53B6E106" w:rsidR="00EE616D" w:rsidRDefault="00EE616D" w:rsidP="002E6AEA">
      <w:pPr>
        <w:pStyle w:val="Textparagrafu"/>
        <w:tabs>
          <w:tab w:val="left" w:pos="714"/>
        </w:tabs>
        <w:spacing w:before="0"/>
        <w:ind w:left="426" w:hanging="426"/>
      </w:pPr>
      <w:r w:rsidRPr="00816651">
        <w:lastRenderedPageBreak/>
        <w:t>f)</w:t>
      </w:r>
      <w:r>
        <w:tab/>
      </w:r>
      <w:r w:rsidRPr="00816651">
        <w:t>okruh</w:t>
      </w:r>
      <w:r>
        <w:t xml:space="preserve"> </w:t>
      </w:r>
      <w:r w:rsidRPr="00816651">
        <w:t>údajů</w:t>
      </w:r>
      <w:r>
        <w:t xml:space="preserve"> </w:t>
      </w:r>
      <w:r w:rsidRPr="00816651">
        <w:t>ověřovaných</w:t>
      </w:r>
      <w:r>
        <w:t xml:space="preserve"> </w:t>
      </w:r>
      <w:r w:rsidRPr="00816651">
        <w:t>auditorem</w:t>
      </w:r>
      <w:r>
        <w:t xml:space="preserve"> </w:t>
      </w:r>
      <w:r w:rsidRPr="00816651">
        <w:t>a</w:t>
      </w:r>
      <w:r>
        <w:t xml:space="preserve"> </w:t>
      </w:r>
      <w:r w:rsidRPr="00816651">
        <w:t>rozsah</w:t>
      </w:r>
      <w:r>
        <w:t xml:space="preserve"> </w:t>
      </w:r>
      <w:r w:rsidRPr="00816651">
        <w:t>ověření</w:t>
      </w:r>
      <w:r>
        <w:t xml:space="preserve"> </w:t>
      </w:r>
      <w:r w:rsidRPr="00816651">
        <w:t>auditorem.</w:t>
      </w:r>
    </w:p>
    <w:p w14:paraId="5C8856BA" w14:textId="77777777" w:rsidR="00CC48B5" w:rsidRDefault="00CC48B5" w:rsidP="001F50E6">
      <w:pPr>
        <w:pStyle w:val="Textparagrafu"/>
        <w:tabs>
          <w:tab w:val="left" w:pos="406"/>
          <w:tab w:val="left" w:pos="840"/>
          <w:tab w:val="left" w:pos="868"/>
        </w:tabs>
        <w:spacing w:after="120"/>
        <w:ind w:firstLine="0"/>
        <w:jc w:val="center"/>
      </w:pPr>
    </w:p>
    <w:p w14:paraId="57B5C9A1" w14:textId="26927B13" w:rsidR="00EE616D" w:rsidRDefault="001F50E6" w:rsidP="001F50E6">
      <w:pPr>
        <w:pStyle w:val="Textparagrafu"/>
        <w:tabs>
          <w:tab w:val="left" w:pos="406"/>
          <w:tab w:val="left" w:pos="840"/>
          <w:tab w:val="left" w:pos="868"/>
        </w:tabs>
        <w:spacing w:after="120"/>
        <w:ind w:firstLine="0"/>
        <w:jc w:val="center"/>
      </w:pPr>
      <w:r>
        <w:t>***</w:t>
      </w:r>
    </w:p>
    <w:p w14:paraId="665E543F" w14:textId="77777777" w:rsidR="002C4DE2" w:rsidRDefault="002C4DE2" w:rsidP="002C4DE2">
      <w:pPr>
        <w:pStyle w:val="Textparagrafu"/>
        <w:ind w:firstLine="0"/>
        <w:jc w:val="center"/>
      </w:pPr>
      <w:r w:rsidRPr="00860806">
        <w:t>§</w:t>
      </w:r>
      <w:r>
        <w:t xml:space="preserve"> </w:t>
      </w:r>
      <w:r w:rsidRPr="00860806">
        <w:t>20</w:t>
      </w:r>
    </w:p>
    <w:p w14:paraId="4BD2DAF0" w14:textId="77777777" w:rsidR="002C4DE2" w:rsidRPr="00860806" w:rsidRDefault="002C4DE2" w:rsidP="002C4DE2">
      <w:pPr>
        <w:pStyle w:val="Textparagrafu"/>
        <w:ind w:firstLine="0"/>
        <w:jc w:val="center"/>
        <w:rPr>
          <w:b/>
        </w:rPr>
      </w:pPr>
      <w:r w:rsidRPr="00860806">
        <w:rPr>
          <w:b/>
        </w:rPr>
        <w:t>Regulační výkazy</w:t>
      </w:r>
    </w:p>
    <w:p w14:paraId="73261229" w14:textId="77777777" w:rsidR="002C4DE2" w:rsidRDefault="002C4DE2" w:rsidP="0010420C">
      <w:pPr>
        <w:pStyle w:val="Textparagrafu"/>
        <w:spacing w:before="120" w:after="120"/>
      </w:pPr>
      <w:r w:rsidRPr="00860806">
        <w:t>(1)</w:t>
      </w:r>
      <w:r>
        <w:t xml:space="preserve"> </w:t>
      </w:r>
      <w:r w:rsidRPr="00860806">
        <w:t>Držitel</w:t>
      </w:r>
      <w:r>
        <w:t xml:space="preserve"> </w:t>
      </w:r>
      <w:r w:rsidRPr="00860806">
        <w:t>licence</w:t>
      </w:r>
      <w:r>
        <w:t xml:space="preserve"> </w:t>
      </w:r>
      <w:r w:rsidRPr="00860806">
        <w:t>na</w:t>
      </w:r>
      <w:r>
        <w:t xml:space="preserve"> </w:t>
      </w:r>
      <w:r w:rsidRPr="00860806">
        <w:t>přenos</w:t>
      </w:r>
      <w:r>
        <w:t xml:space="preserve"> </w:t>
      </w:r>
      <w:r w:rsidRPr="00860806">
        <w:t>elektřiny,</w:t>
      </w:r>
      <w:r>
        <w:t xml:space="preserve"> </w:t>
      </w:r>
      <w:r w:rsidRPr="00860806">
        <w:t>přepravu</w:t>
      </w:r>
      <w:r>
        <w:t xml:space="preserve"> </w:t>
      </w:r>
      <w:r w:rsidRPr="00860806">
        <w:t>plynu,</w:t>
      </w:r>
      <w:r>
        <w:t xml:space="preserve"> </w:t>
      </w:r>
      <w:r w:rsidRPr="00860806">
        <w:t>uskladňování</w:t>
      </w:r>
      <w:r>
        <w:t xml:space="preserve"> </w:t>
      </w:r>
      <w:r w:rsidRPr="00860806">
        <w:t>plynu</w:t>
      </w:r>
      <w:r>
        <w:t xml:space="preserve"> </w:t>
      </w:r>
      <w:r w:rsidRPr="00860806">
        <w:t>nebo</w:t>
      </w:r>
      <w:r>
        <w:t xml:space="preserve"> </w:t>
      </w:r>
      <w:r w:rsidRPr="00860806">
        <w:t>distribuci</w:t>
      </w:r>
      <w:r>
        <w:t xml:space="preserve"> </w:t>
      </w:r>
      <w:r w:rsidRPr="00860806">
        <w:t>elektřiny</w:t>
      </w:r>
      <w:r>
        <w:t xml:space="preserve"> </w:t>
      </w:r>
      <w:r w:rsidRPr="00860806">
        <w:t>nebo</w:t>
      </w:r>
      <w:r>
        <w:t xml:space="preserve"> </w:t>
      </w:r>
      <w:r w:rsidRPr="00860806">
        <w:t>plynu,</w:t>
      </w:r>
      <w:r>
        <w:t xml:space="preserve"> </w:t>
      </w:r>
      <w:r w:rsidRPr="00860806">
        <w:t>k</w:t>
      </w:r>
      <w:r>
        <w:t xml:space="preserve"> </w:t>
      </w:r>
      <w:r w:rsidRPr="00860806">
        <w:t>jehož</w:t>
      </w:r>
      <w:r>
        <w:t xml:space="preserve"> </w:t>
      </w:r>
      <w:r w:rsidRPr="00860806">
        <w:t>distribuční</w:t>
      </w:r>
      <w:r>
        <w:t xml:space="preserve"> </w:t>
      </w:r>
      <w:r w:rsidRPr="00860806">
        <w:t>soustavě</w:t>
      </w:r>
      <w:r>
        <w:t xml:space="preserve"> </w:t>
      </w:r>
      <w:r w:rsidRPr="00860806">
        <w:t>je</w:t>
      </w:r>
      <w:r>
        <w:t xml:space="preserve"> </w:t>
      </w:r>
      <w:r w:rsidRPr="00860806">
        <w:t>připojeno</w:t>
      </w:r>
      <w:r>
        <w:t xml:space="preserve"> </w:t>
      </w:r>
      <w:r w:rsidRPr="00860806">
        <w:t>více</w:t>
      </w:r>
      <w:r>
        <w:t xml:space="preserve"> </w:t>
      </w:r>
      <w:r w:rsidRPr="00860806">
        <w:t>než</w:t>
      </w:r>
      <w:r>
        <w:t xml:space="preserve"> </w:t>
      </w:r>
      <w:r w:rsidRPr="00860806">
        <w:t>90</w:t>
      </w:r>
      <w:r>
        <w:t xml:space="preserve"> </w:t>
      </w:r>
      <w:r w:rsidRPr="00860806">
        <w:t>000</w:t>
      </w:r>
      <w:r>
        <w:t xml:space="preserve"> </w:t>
      </w:r>
      <w:r w:rsidRPr="00860806">
        <w:t>odběrných</w:t>
      </w:r>
      <w:r>
        <w:t xml:space="preserve"> </w:t>
      </w:r>
      <w:r w:rsidRPr="00860806">
        <w:t>míst</w:t>
      </w:r>
      <w:r>
        <w:t xml:space="preserve"> </w:t>
      </w:r>
      <w:r w:rsidRPr="00860806">
        <w:t>zákazníků</w:t>
      </w:r>
      <w:r>
        <w:t xml:space="preserve"> </w:t>
      </w:r>
      <w:r w:rsidRPr="00860806">
        <w:t>nebo</w:t>
      </w:r>
      <w:r>
        <w:t xml:space="preserve"> </w:t>
      </w:r>
      <w:r w:rsidRPr="00860806">
        <w:t>jehož</w:t>
      </w:r>
      <w:r>
        <w:t xml:space="preserve"> </w:t>
      </w:r>
      <w:r w:rsidRPr="00860806">
        <w:t>distribuční</w:t>
      </w:r>
      <w:r>
        <w:t xml:space="preserve"> </w:t>
      </w:r>
      <w:r w:rsidRPr="00860806">
        <w:t>soustava</w:t>
      </w:r>
      <w:r>
        <w:t xml:space="preserve"> </w:t>
      </w:r>
      <w:r w:rsidRPr="00860806">
        <w:t>je</w:t>
      </w:r>
      <w:r>
        <w:t xml:space="preserve"> </w:t>
      </w:r>
      <w:r w:rsidRPr="00860806">
        <w:t>přímo</w:t>
      </w:r>
      <w:r>
        <w:t xml:space="preserve"> </w:t>
      </w:r>
      <w:r w:rsidRPr="00860806">
        <w:t>připojena</w:t>
      </w:r>
      <w:r>
        <w:t xml:space="preserve"> </w:t>
      </w:r>
      <w:r w:rsidRPr="00860806">
        <w:t>k</w:t>
      </w:r>
      <w:r>
        <w:t xml:space="preserve"> </w:t>
      </w:r>
      <w:r w:rsidRPr="00860806">
        <w:t>přenosové</w:t>
      </w:r>
      <w:r>
        <w:t xml:space="preserve"> </w:t>
      </w:r>
      <w:r w:rsidRPr="00860806">
        <w:t>soustavě</w:t>
      </w:r>
      <w:r>
        <w:t xml:space="preserve"> </w:t>
      </w:r>
      <w:r w:rsidRPr="00860806">
        <w:t>nebo</w:t>
      </w:r>
      <w:r>
        <w:t xml:space="preserve"> </w:t>
      </w:r>
      <w:r w:rsidRPr="00860806">
        <w:t>k</w:t>
      </w:r>
      <w:r>
        <w:t xml:space="preserve"> </w:t>
      </w:r>
      <w:r w:rsidRPr="00860806">
        <w:t>přepravní</w:t>
      </w:r>
      <w:r>
        <w:t xml:space="preserve"> </w:t>
      </w:r>
      <w:r w:rsidRPr="00860806">
        <w:t>soustavě,</w:t>
      </w:r>
      <w:r>
        <w:t xml:space="preserve"> </w:t>
      </w:r>
      <w:r w:rsidRPr="00860806">
        <w:t>držitel</w:t>
      </w:r>
      <w:r>
        <w:t xml:space="preserve"> </w:t>
      </w:r>
      <w:r w:rsidRPr="00860806">
        <w:t>licence</w:t>
      </w:r>
      <w:r>
        <w:t xml:space="preserve"> </w:t>
      </w:r>
      <w:r w:rsidRPr="00860806">
        <w:t>na</w:t>
      </w:r>
      <w:r>
        <w:t xml:space="preserve"> </w:t>
      </w:r>
      <w:r w:rsidRPr="00860806">
        <w:t>činnost</w:t>
      </w:r>
      <w:r>
        <w:t xml:space="preserve"> </w:t>
      </w:r>
      <w:r w:rsidRPr="00860806">
        <w:t>datového</w:t>
      </w:r>
      <w:r>
        <w:t xml:space="preserve"> </w:t>
      </w:r>
      <w:r w:rsidRPr="00860806">
        <w:t>centra</w:t>
      </w:r>
      <w:r>
        <w:t xml:space="preserve"> </w:t>
      </w:r>
      <w:r w:rsidRPr="00860806">
        <w:t>a</w:t>
      </w:r>
      <w:r>
        <w:t xml:space="preserve"> </w:t>
      </w:r>
      <w:r w:rsidRPr="00860806">
        <w:t>držitel</w:t>
      </w:r>
      <w:r>
        <w:t xml:space="preserve"> </w:t>
      </w:r>
      <w:r w:rsidRPr="00860806">
        <w:t>licence</w:t>
      </w:r>
      <w:r>
        <w:t xml:space="preserve"> </w:t>
      </w:r>
      <w:r w:rsidRPr="00860806">
        <w:t>na</w:t>
      </w:r>
      <w:r>
        <w:t xml:space="preserve"> </w:t>
      </w:r>
      <w:r w:rsidRPr="00860806">
        <w:t>činnosti</w:t>
      </w:r>
      <w:r>
        <w:t xml:space="preserve"> </w:t>
      </w:r>
      <w:r w:rsidRPr="00860806">
        <w:t>operátora</w:t>
      </w:r>
      <w:r>
        <w:t xml:space="preserve"> </w:t>
      </w:r>
      <w:r w:rsidRPr="00860806">
        <w:t>trhu,</w:t>
      </w:r>
      <w:r>
        <w:t xml:space="preserve"> </w:t>
      </w:r>
      <w:r w:rsidRPr="00860806">
        <w:t>je</w:t>
      </w:r>
      <w:r>
        <w:t xml:space="preserve"> </w:t>
      </w:r>
      <w:r w:rsidRPr="00860806">
        <w:t>povinen</w:t>
      </w:r>
      <w:r>
        <w:t xml:space="preserve"> </w:t>
      </w:r>
      <w:r w:rsidRPr="00860806">
        <w:t>uvést</w:t>
      </w:r>
      <w:r>
        <w:t xml:space="preserve"> </w:t>
      </w:r>
      <w:r w:rsidRPr="00860806">
        <w:t>v</w:t>
      </w:r>
      <w:r>
        <w:t xml:space="preserve"> </w:t>
      </w:r>
      <w:r w:rsidRPr="00860806">
        <w:t>účtovém</w:t>
      </w:r>
      <w:r>
        <w:t xml:space="preserve"> </w:t>
      </w:r>
      <w:r w:rsidRPr="00860806">
        <w:t>rozvrhu</w:t>
      </w:r>
      <w:r>
        <w:t xml:space="preserve"> </w:t>
      </w:r>
      <w:r w:rsidRPr="00860806">
        <w:t>účty</w:t>
      </w:r>
      <w:r>
        <w:t xml:space="preserve"> </w:t>
      </w:r>
      <w:r w:rsidRPr="00860806">
        <w:t>pro</w:t>
      </w:r>
      <w:r>
        <w:t xml:space="preserve"> </w:t>
      </w:r>
      <w:r w:rsidRPr="00860806">
        <w:t>účtování</w:t>
      </w:r>
      <w:r>
        <w:t xml:space="preserve"> </w:t>
      </w:r>
      <w:r w:rsidRPr="00860806">
        <w:t>o</w:t>
      </w:r>
      <w:r>
        <w:t xml:space="preserve"> </w:t>
      </w:r>
      <w:r w:rsidRPr="00860806">
        <w:t>nákladech</w:t>
      </w:r>
      <w:r>
        <w:t xml:space="preserve"> </w:t>
      </w:r>
      <w:r w:rsidRPr="00860806">
        <w:t>a</w:t>
      </w:r>
      <w:r>
        <w:t xml:space="preserve"> </w:t>
      </w:r>
      <w:r w:rsidRPr="00860806">
        <w:t>výnosech,</w:t>
      </w:r>
      <w:r>
        <w:t xml:space="preserve"> </w:t>
      </w:r>
      <w:r w:rsidRPr="00860806">
        <w:t>výsledku</w:t>
      </w:r>
      <w:r>
        <w:t xml:space="preserve"> </w:t>
      </w:r>
      <w:r w:rsidRPr="00860806">
        <w:t>hospodaření,</w:t>
      </w:r>
      <w:r>
        <w:t xml:space="preserve"> </w:t>
      </w:r>
      <w:r w:rsidRPr="00860806">
        <w:t>aktivech</w:t>
      </w:r>
      <w:r>
        <w:t xml:space="preserve"> </w:t>
      </w:r>
      <w:r w:rsidRPr="00860806">
        <w:t>a</w:t>
      </w:r>
      <w:r>
        <w:t xml:space="preserve"> </w:t>
      </w:r>
      <w:r w:rsidRPr="00860806">
        <w:t>pasivech</w:t>
      </w:r>
      <w:r>
        <w:t xml:space="preserve"> </w:t>
      </w:r>
      <w:r w:rsidRPr="00860806">
        <w:t>odděleně</w:t>
      </w:r>
      <w:r>
        <w:t xml:space="preserve"> </w:t>
      </w:r>
      <w:r w:rsidRPr="00860806">
        <w:t>za</w:t>
      </w:r>
      <w:r>
        <w:t xml:space="preserve"> </w:t>
      </w:r>
      <w:r w:rsidRPr="00860806">
        <w:t>každou</w:t>
      </w:r>
      <w:r>
        <w:t xml:space="preserve"> </w:t>
      </w:r>
      <w:r w:rsidRPr="00860806">
        <w:t>z</w:t>
      </w:r>
      <w:r>
        <w:t xml:space="preserve"> </w:t>
      </w:r>
      <w:r w:rsidRPr="00860806">
        <w:t>těchto</w:t>
      </w:r>
      <w:r>
        <w:t xml:space="preserve"> </w:t>
      </w:r>
      <w:r w:rsidRPr="00860806">
        <w:t>licencovaných</w:t>
      </w:r>
      <w:r>
        <w:t xml:space="preserve"> </w:t>
      </w:r>
      <w:r w:rsidRPr="00860806">
        <w:t>činností.</w:t>
      </w:r>
      <w:r>
        <w:t xml:space="preserve"> </w:t>
      </w:r>
      <w:r w:rsidRPr="00860806">
        <w:t>Držitel</w:t>
      </w:r>
      <w:r>
        <w:t xml:space="preserve"> </w:t>
      </w:r>
      <w:r w:rsidRPr="00860806">
        <w:t>licence</w:t>
      </w:r>
      <w:r>
        <w:t xml:space="preserve"> </w:t>
      </w:r>
      <w:r w:rsidRPr="00860806">
        <w:t>na</w:t>
      </w:r>
      <w:r>
        <w:t xml:space="preserve"> </w:t>
      </w:r>
      <w:r w:rsidRPr="00860806">
        <w:t>obchod</w:t>
      </w:r>
      <w:r>
        <w:t xml:space="preserve"> </w:t>
      </w:r>
      <w:r w:rsidRPr="00860806">
        <w:t>s</w:t>
      </w:r>
      <w:r>
        <w:t xml:space="preserve"> </w:t>
      </w:r>
      <w:r w:rsidRPr="00860806">
        <w:t>elektřinou,</w:t>
      </w:r>
      <w:r>
        <w:t xml:space="preserve"> </w:t>
      </w:r>
      <w:r w:rsidRPr="00860806">
        <w:t>který</w:t>
      </w:r>
      <w:r>
        <w:t xml:space="preserve"> </w:t>
      </w:r>
      <w:r w:rsidRPr="00860806">
        <w:t>je</w:t>
      </w:r>
      <w:r>
        <w:t xml:space="preserve"> </w:t>
      </w:r>
      <w:r w:rsidRPr="00860806">
        <w:t>povinně</w:t>
      </w:r>
      <w:r>
        <w:t xml:space="preserve"> </w:t>
      </w:r>
      <w:r w:rsidRPr="00860806">
        <w:t>vykupujícím</w:t>
      </w:r>
      <w:r>
        <w:t xml:space="preserve"> </w:t>
      </w:r>
      <w:r w:rsidRPr="00860806">
        <w:t>podle</w:t>
      </w:r>
      <w:r>
        <w:t xml:space="preserve"> </w:t>
      </w:r>
      <w:r w:rsidRPr="00860806">
        <w:t>zákona</w:t>
      </w:r>
      <w:r>
        <w:t xml:space="preserve"> </w:t>
      </w:r>
      <w:r w:rsidRPr="00860806">
        <w:t>o</w:t>
      </w:r>
      <w:r>
        <w:t xml:space="preserve"> </w:t>
      </w:r>
      <w:r w:rsidRPr="00860806">
        <w:t>podporovaných</w:t>
      </w:r>
      <w:r>
        <w:t xml:space="preserve"> </w:t>
      </w:r>
      <w:r w:rsidRPr="00860806">
        <w:t>zdrojích</w:t>
      </w:r>
      <w:r>
        <w:t xml:space="preserve"> </w:t>
      </w:r>
      <w:r w:rsidRPr="00860806">
        <w:t>energie,</w:t>
      </w:r>
      <w:r>
        <w:t xml:space="preserve"> </w:t>
      </w:r>
      <w:r w:rsidRPr="00860806">
        <w:t>a</w:t>
      </w:r>
      <w:r>
        <w:t xml:space="preserve"> </w:t>
      </w:r>
      <w:r w:rsidRPr="00860806">
        <w:t>držitel</w:t>
      </w:r>
      <w:r>
        <w:t xml:space="preserve"> </w:t>
      </w:r>
      <w:r w:rsidRPr="00860806">
        <w:t>licence</w:t>
      </w:r>
      <w:r>
        <w:t xml:space="preserve"> </w:t>
      </w:r>
      <w:r w:rsidRPr="00860806">
        <w:t>na</w:t>
      </w:r>
      <w:r>
        <w:t xml:space="preserve"> </w:t>
      </w:r>
      <w:r w:rsidRPr="00860806">
        <w:t>činnosti</w:t>
      </w:r>
      <w:r>
        <w:t xml:space="preserve"> </w:t>
      </w:r>
      <w:r w:rsidRPr="00860806">
        <w:t>operátora</w:t>
      </w:r>
      <w:r>
        <w:t xml:space="preserve"> </w:t>
      </w:r>
      <w:r w:rsidRPr="00860806">
        <w:t>trhu</w:t>
      </w:r>
      <w:r>
        <w:t xml:space="preserve"> </w:t>
      </w:r>
      <w:r w:rsidRPr="00860806">
        <w:t>jsou</w:t>
      </w:r>
      <w:r>
        <w:t xml:space="preserve"> </w:t>
      </w:r>
      <w:r w:rsidRPr="00860806">
        <w:t>povinni</w:t>
      </w:r>
      <w:r>
        <w:t xml:space="preserve"> </w:t>
      </w:r>
      <w:r w:rsidRPr="00860806">
        <w:t>účtovat</w:t>
      </w:r>
      <w:r>
        <w:t xml:space="preserve"> </w:t>
      </w:r>
      <w:r w:rsidRPr="00860806">
        <w:t>o</w:t>
      </w:r>
      <w:r>
        <w:t xml:space="preserve"> </w:t>
      </w:r>
      <w:r w:rsidRPr="00860806">
        <w:t>nákladech</w:t>
      </w:r>
      <w:r>
        <w:t xml:space="preserve"> </w:t>
      </w:r>
      <w:r w:rsidRPr="00860806">
        <w:t>a</w:t>
      </w:r>
      <w:r>
        <w:t xml:space="preserve"> </w:t>
      </w:r>
      <w:r w:rsidRPr="00860806">
        <w:t>výnosech</w:t>
      </w:r>
      <w:r>
        <w:t xml:space="preserve"> </w:t>
      </w:r>
      <w:r w:rsidRPr="00860806">
        <w:t>a</w:t>
      </w:r>
      <w:r>
        <w:t xml:space="preserve"> </w:t>
      </w:r>
      <w:r w:rsidRPr="00860806">
        <w:t>výsledku</w:t>
      </w:r>
      <w:r>
        <w:t xml:space="preserve"> </w:t>
      </w:r>
      <w:r w:rsidRPr="00860806">
        <w:t>hospodaření</w:t>
      </w:r>
      <w:r>
        <w:t xml:space="preserve"> </w:t>
      </w:r>
      <w:r w:rsidRPr="00860806">
        <w:t>odděleně</w:t>
      </w:r>
      <w:r>
        <w:t xml:space="preserve"> </w:t>
      </w:r>
      <w:r w:rsidRPr="00860806">
        <w:t>za</w:t>
      </w:r>
      <w:r>
        <w:t xml:space="preserve"> </w:t>
      </w:r>
      <w:r w:rsidRPr="00860806">
        <w:t>činnosti</w:t>
      </w:r>
      <w:r>
        <w:t xml:space="preserve"> </w:t>
      </w:r>
      <w:r w:rsidRPr="00860806">
        <w:t>související</w:t>
      </w:r>
      <w:r>
        <w:t xml:space="preserve"> </w:t>
      </w:r>
      <w:r w:rsidRPr="00860806">
        <w:t>s</w:t>
      </w:r>
      <w:r>
        <w:t xml:space="preserve"> </w:t>
      </w:r>
      <w:r w:rsidRPr="00860806">
        <w:t>podporou</w:t>
      </w:r>
      <w:r>
        <w:t xml:space="preserve"> </w:t>
      </w:r>
      <w:r w:rsidRPr="00860806">
        <w:t>elektřiny</w:t>
      </w:r>
      <w:r>
        <w:t xml:space="preserve"> </w:t>
      </w:r>
      <w:r w:rsidRPr="00860806">
        <w:t>z</w:t>
      </w:r>
      <w:r>
        <w:t xml:space="preserve"> </w:t>
      </w:r>
      <w:r w:rsidRPr="00860806">
        <w:t>podporovaných</w:t>
      </w:r>
      <w:r>
        <w:t xml:space="preserve"> </w:t>
      </w:r>
      <w:r w:rsidRPr="00860806">
        <w:t>zdrojů</w:t>
      </w:r>
      <w:r>
        <w:t xml:space="preserve"> </w:t>
      </w:r>
      <w:r w:rsidRPr="00860806">
        <w:t>energie.</w:t>
      </w:r>
    </w:p>
    <w:p w14:paraId="16939B18" w14:textId="25F47E59" w:rsidR="002C4DE2" w:rsidRPr="001B4846" w:rsidRDefault="002C4DE2" w:rsidP="0010420C">
      <w:pPr>
        <w:pStyle w:val="Odstavec"/>
        <w:rPr>
          <w:b/>
        </w:rPr>
      </w:pPr>
      <w:r w:rsidRPr="00860806">
        <w:t>(2)</w:t>
      </w:r>
      <w:r>
        <w:t xml:space="preserve"> </w:t>
      </w:r>
      <w:r w:rsidRPr="00860806">
        <w:t>Držitel</w:t>
      </w:r>
      <w:r>
        <w:t xml:space="preserve"> </w:t>
      </w:r>
      <w:r w:rsidRPr="00860806">
        <w:t>licence</w:t>
      </w:r>
      <w:r>
        <w:t xml:space="preserve"> </w:t>
      </w:r>
      <w:r w:rsidRPr="00860806">
        <w:t>na</w:t>
      </w:r>
      <w:r>
        <w:t xml:space="preserve"> </w:t>
      </w:r>
      <w:r w:rsidRPr="00860806">
        <w:t>přepravu</w:t>
      </w:r>
      <w:r>
        <w:t xml:space="preserve"> </w:t>
      </w:r>
      <w:r w:rsidRPr="00860806">
        <w:t>plynu,</w:t>
      </w:r>
      <w:r>
        <w:t xml:space="preserve"> </w:t>
      </w:r>
      <w:r w:rsidRPr="00860806">
        <w:t>uskladňování</w:t>
      </w:r>
      <w:r>
        <w:t xml:space="preserve"> </w:t>
      </w:r>
      <w:r w:rsidRPr="00860806">
        <w:t>plynu</w:t>
      </w:r>
      <w:r>
        <w:t xml:space="preserve"> </w:t>
      </w:r>
      <w:r w:rsidRPr="00860806">
        <w:t>a</w:t>
      </w:r>
      <w:r>
        <w:t xml:space="preserve"> </w:t>
      </w:r>
      <w:r w:rsidRPr="00860806">
        <w:t>distribuci</w:t>
      </w:r>
      <w:r>
        <w:t xml:space="preserve"> </w:t>
      </w:r>
      <w:r w:rsidRPr="00860806">
        <w:t>plynu,</w:t>
      </w:r>
      <w:r>
        <w:t xml:space="preserve"> </w:t>
      </w:r>
      <w:r w:rsidRPr="00860806">
        <w:t>k</w:t>
      </w:r>
      <w:r>
        <w:t xml:space="preserve"> </w:t>
      </w:r>
      <w:r w:rsidRPr="00860806">
        <w:t>jehož</w:t>
      </w:r>
      <w:r>
        <w:t xml:space="preserve"> </w:t>
      </w:r>
      <w:r w:rsidRPr="00860806">
        <w:t>distribuční</w:t>
      </w:r>
      <w:r>
        <w:t xml:space="preserve"> </w:t>
      </w:r>
      <w:r w:rsidRPr="00860806">
        <w:t>soustavě</w:t>
      </w:r>
      <w:r>
        <w:t xml:space="preserve"> </w:t>
      </w:r>
      <w:r w:rsidRPr="00860806">
        <w:t>je</w:t>
      </w:r>
      <w:r>
        <w:t xml:space="preserve"> </w:t>
      </w:r>
      <w:r w:rsidRPr="00860806">
        <w:t>připojeno</w:t>
      </w:r>
      <w:r>
        <w:t xml:space="preserve"> </w:t>
      </w:r>
      <w:r w:rsidRPr="00860806">
        <w:t>více</w:t>
      </w:r>
      <w:r>
        <w:t xml:space="preserve"> </w:t>
      </w:r>
      <w:r w:rsidRPr="00860806">
        <w:t>než</w:t>
      </w:r>
      <w:r>
        <w:t xml:space="preserve"> </w:t>
      </w:r>
      <w:r w:rsidRPr="00860806">
        <w:t>90</w:t>
      </w:r>
      <w:r>
        <w:t xml:space="preserve"> </w:t>
      </w:r>
      <w:r w:rsidRPr="00860806">
        <w:t>000</w:t>
      </w:r>
      <w:r>
        <w:t xml:space="preserve"> </w:t>
      </w:r>
      <w:r w:rsidRPr="00860806">
        <w:t>odběrných</w:t>
      </w:r>
      <w:r>
        <w:t xml:space="preserve"> </w:t>
      </w:r>
      <w:r w:rsidRPr="00860806">
        <w:t>míst</w:t>
      </w:r>
      <w:r>
        <w:t xml:space="preserve"> </w:t>
      </w:r>
      <w:r w:rsidRPr="00860806">
        <w:t>zákazníků,</w:t>
      </w:r>
      <w:r>
        <w:t xml:space="preserve"> </w:t>
      </w:r>
      <w:r w:rsidRPr="00860806">
        <w:t>je</w:t>
      </w:r>
      <w:r>
        <w:t xml:space="preserve"> </w:t>
      </w:r>
      <w:r w:rsidRPr="00860806">
        <w:t>povinen</w:t>
      </w:r>
      <w:r>
        <w:t xml:space="preserve"> </w:t>
      </w:r>
      <w:r w:rsidRPr="00860806">
        <w:t>v</w:t>
      </w:r>
      <w:r>
        <w:t xml:space="preserve"> </w:t>
      </w:r>
      <w:r w:rsidRPr="001B4846">
        <w:rPr>
          <w:strike/>
        </w:rPr>
        <w:t>příloze v účetní závěrce</w:t>
      </w:r>
      <w:r>
        <w:t xml:space="preserve"> </w:t>
      </w:r>
      <w:r w:rsidR="001B4846" w:rsidRPr="00533343">
        <w:rPr>
          <w:b/>
        </w:rPr>
        <w:t>individuální zprávě vedení</w:t>
      </w:r>
      <w:r w:rsidR="001B4846" w:rsidRPr="00533343">
        <w:t xml:space="preserve"> </w:t>
      </w:r>
      <w:r w:rsidRPr="00860806">
        <w:t>uvést</w:t>
      </w:r>
      <w:r>
        <w:t xml:space="preserve"> </w:t>
      </w:r>
      <w:r w:rsidRPr="00860806">
        <w:t>veškeré</w:t>
      </w:r>
      <w:r>
        <w:t xml:space="preserve"> </w:t>
      </w:r>
      <w:r w:rsidRPr="00860806">
        <w:t>smluvní</w:t>
      </w:r>
      <w:r>
        <w:t xml:space="preserve"> </w:t>
      </w:r>
      <w:r w:rsidRPr="00860806">
        <w:t>vztahy,</w:t>
      </w:r>
      <w:r>
        <w:t xml:space="preserve"> </w:t>
      </w:r>
      <w:r w:rsidRPr="00860806">
        <w:t>s</w:t>
      </w:r>
      <w:r>
        <w:t xml:space="preserve"> </w:t>
      </w:r>
      <w:r w:rsidRPr="00860806">
        <w:t>výjimkou</w:t>
      </w:r>
      <w:r>
        <w:t xml:space="preserve"> </w:t>
      </w:r>
      <w:r w:rsidRPr="00860806">
        <w:t>smluvních</w:t>
      </w:r>
      <w:r>
        <w:t xml:space="preserve"> </w:t>
      </w:r>
      <w:r w:rsidRPr="00860806">
        <w:t>vztahů</w:t>
      </w:r>
      <w:r>
        <w:t xml:space="preserve"> </w:t>
      </w:r>
      <w:r w:rsidRPr="00860806">
        <w:t>uzavíraných</w:t>
      </w:r>
      <w:r>
        <w:t xml:space="preserve"> </w:t>
      </w:r>
      <w:r w:rsidRPr="00860806">
        <w:t>podle</w:t>
      </w:r>
      <w:r>
        <w:t xml:space="preserve"> </w:t>
      </w:r>
      <w:r w:rsidRPr="00860806">
        <w:t>tohoto</w:t>
      </w:r>
      <w:r>
        <w:t xml:space="preserve"> </w:t>
      </w:r>
      <w:r w:rsidRPr="00860806">
        <w:t>zákona,</w:t>
      </w:r>
      <w:r>
        <w:t xml:space="preserve"> </w:t>
      </w:r>
      <w:r w:rsidRPr="00860806">
        <w:t>s</w:t>
      </w:r>
      <w:r>
        <w:t xml:space="preserve"> </w:t>
      </w:r>
      <w:r w:rsidRPr="00860806">
        <w:t>vymezením</w:t>
      </w:r>
      <w:r>
        <w:t xml:space="preserve"> </w:t>
      </w:r>
      <w:r w:rsidRPr="00860806">
        <w:t>jejich</w:t>
      </w:r>
      <w:r>
        <w:t xml:space="preserve"> </w:t>
      </w:r>
      <w:r w:rsidRPr="00860806">
        <w:t>předmětu,</w:t>
      </w:r>
      <w:r>
        <w:t xml:space="preserve"> </w:t>
      </w:r>
      <w:r w:rsidRPr="00860806">
        <w:t>uskutečněné</w:t>
      </w:r>
      <w:r>
        <w:t xml:space="preserve"> </w:t>
      </w:r>
      <w:r w:rsidRPr="00860806">
        <w:t>s</w:t>
      </w:r>
      <w:r>
        <w:t xml:space="preserve"> </w:t>
      </w:r>
      <w:r w:rsidRPr="00860806">
        <w:t>osobou,</w:t>
      </w:r>
      <w:r>
        <w:t xml:space="preserve"> </w:t>
      </w:r>
      <w:r w:rsidRPr="00860806">
        <w:t>se</w:t>
      </w:r>
      <w:r>
        <w:t xml:space="preserve"> </w:t>
      </w:r>
      <w:r w:rsidRPr="00860806">
        <w:t>kterou</w:t>
      </w:r>
      <w:r>
        <w:t xml:space="preserve"> </w:t>
      </w:r>
      <w:r w:rsidRPr="00860806">
        <w:t>držitel</w:t>
      </w:r>
      <w:r>
        <w:t xml:space="preserve"> </w:t>
      </w:r>
      <w:r w:rsidRPr="00860806">
        <w:t>licence</w:t>
      </w:r>
      <w:r>
        <w:t xml:space="preserve"> </w:t>
      </w:r>
      <w:r w:rsidRPr="00860806">
        <w:t>tvoří</w:t>
      </w:r>
      <w:r>
        <w:t xml:space="preserve"> </w:t>
      </w:r>
      <w:r w:rsidRPr="00860806">
        <w:t>holding</w:t>
      </w:r>
      <w:r>
        <w:t xml:space="preserve"> </w:t>
      </w:r>
      <w:r w:rsidRPr="00860806">
        <w:t>nebo</w:t>
      </w:r>
      <w:r>
        <w:t xml:space="preserve"> </w:t>
      </w:r>
      <w:r w:rsidRPr="00860806">
        <w:t>je</w:t>
      </w:r>
      <w:r>
        <w:t xml:space="preserve"> </w:t>
      </w:r>
      <w:r w:rsidRPr="00860806">
        <w:t>součástí</w:t>
      </w:r>
      <w:r>
        <w:t xml:space="preserve"> </w:t>
      </w:r>
      <w:r w:rsidRPr="00860806">
        <w:t>téhož</w:t>
      </w:r>
      <w:r>
        <w:t xml:space="preserve"> </w:t>
      </w:r>
      <w:r w:rsidRPr="00860806">
        <w:t>holdingu</w:t>
      </w:r>
      <w:r>
        <w:t xml:space="preserve"> </w:t>
      </w:r>
      <w:r w:rsidRPr="00860806">
        <w:t>nebo</w:t>
      </w:r>
      <w:r>
        <w:t xml:space="preserve"> </w:t>
      </w:r>
      <w:r w:rsidRPr="00860806">
        <w:t>jiného</w:t>
      </w:r>
      <w:r>
        <w:t xml:space="preserve"> </w:t>
      </w:r>
      <w:r w:rsidRPr="00860806">
        <w:t>podnikatelského</w:t>
      </w:r>
      <w:r>
        <w:t xml:space="preserve"> </w:t>
      </w:r>
      <w:r w:rsidRPr="00860806">
        <w:t>seskupení,</w:t>
      </w:r>
      <w:r>
        <w:t xml:space="preserve"> </w:t>
      </w:r>
      <w:r w:rsidRPr="00860806">
        <w:t>a</w:t>
      </w:r>
      <w:r>
        <w:t xml:space="preserve"> </w:t>
      </w:r>
      <w:r w:rsidRPr="00860806">
        <w:t>jejichž</w:t>
      </w:r>
      <w:r>
        <w:t xml:space="preserve"> </w:t>
      </w:r>
      <w:r w:rsidRPr="00860806">
        <w:t>hodnota</w:t>
      </w:r>
      <w:r>
        <w:t xml:space="preserve"> </w:t>
      </w:r>
      <w:r w:rsidRPr="00860806">
        <w:t>převyšuje</w:t>
      </w:r>
      <w:r>
        <w:t xml:space="preserve"> </w:t>
      </w:r>
      <w:r w:rsidRPr="00860806">
        <w:t>hodnotu</w:t>
      </w:r>
      <w:r>
        <w:t xml:space="preserve"> </w:t>
      </w:r>
      <w:r w:rsidRPr="00860806">
        <w:t>nadlimitní</w:t>
      </w:r>
      <w:r>
        <w:t xml:space="preserve"> </w:t>
      </w:r>
      <w:r w:rsidRPr="00860806">
        <w:t>veřejné</w:t>
      </w:r>
      <w:r>
        <w:t xml:space="preserve"> zakázky</w:t>
      </w:r>
      <w:r>
        <w:rPr>
          <w:rStyle w:val="Znakapoznpodarou"/>
        </w:rPr>
        <w:footnoteReference w:customMarkFollows="1" w:id="384"/>
        <w:t>9a)</w:t>
      </w:r>
      <w:r w:rsidRPr="00860806">
        <w:t>.</w:t>
      </w:r>
      <w:r w:rsidR="001B4846" w:rsidRPr="001B4846">
        <w:rPr>
          <w:b/>
        </w:rPr>
        <w:t xml:space="preserve"> </w:t>
      </w:r>
      <w:r w:rsidR="001B4846" w:rsidRPr="00533343">
        <w:rPr>
          <w:b/>
        </w:rPr>
        <w:t>Nevyhotovuje-li držitel licence individuální zprávu vedení, uvede tyto informace v samostatném dokumentu, který zveřejní stejným způsobem jako zprávu vedení.</w:t>
      </w:r>
    </w:p>
    <w:p w14:paraId="37B1A649" w14:textId="57041344" w:rsidR="002C4DE2" w:rsidRDefault="002C4DE2" w:rsidP="0010420C">
      <w:pPr>
        <w:pStyle w:val="Textparagrafu"/>
        <w:spacing w:before="120" w:after="120"/>
      </w:pPr>
      <w:r w:rsidRPr="00860806">
        <w:t>(3)</w:t>
      </w:r>
      <w:r>
        <w:t xml:space="preserve"> </w:t>
      </w:r>
      <w:r w:rsidRPr="00860806">
        <w:t>Držitel</w:t>
      </w:r>
      <w:r>
        <w:t xml:space="preserve"> </w:t>
      </w:r>
      <w:r w:rsidRPr="00860806">
        <w:t>licence</w:t>
      </w:r>
      <w:r>
        <w:t xml:space="preserve"> </w:t>
      </w:r>
      <w:r w:rsidRPr="00860806">
        <w:t>na</w:t>
      </w:r>
      <w:r>
        <w:t xml:space="preserve"> </w:t>
      </w:r>
      <w:r w:rsidRPr="00860806">
        <w:t>distribuci</w:t>
      </w:r>
      <w:r>
        <w:t xml:space="preserve"> </w:t>
      </w:r>
      <w:r w:rsidRPr="00860806">
        <w:t>elektřiny</w:t>
      </w:r>
      <w:r>
        <w:t xml:space="preserve"> </w:t>
      </w:r>
      <w:r w:rsidRPr="00860806">
        <w:t>nebo</w:t>
      </w:r>
      <w:r>
        <w:t xml:space="preserve"> </w:t>
      </w:r>
      <w:r w:rsidRPr="00860806">
        <w:t>plynu,</w:t>
      </w:r>
      <w:r>
        <w:t xml:space="preserve"> </w:t>
      </w:r>
      <w:r w:rsidRPr="00860806">
        <w:t>k</w:t>
      </w:r>
      <w:r>
        <w:t xml:space="preserve"> </w:t>
      </w:r>
      <w:r w:rsidRPr="00860806">
        <w:t>jehož</w:t>
      </w:r>
      <w:r>
        <w:t xml:space="preserve"> </w:t>
      </w:r>
      <w:r w:rsidRPr="00860806">
        <w:t>soustavě</w:t>
      </w:r>
      <w:r>
        <w:t xml:space="preserve"> </w:t>
      </w:r>
      <w:r w:rsidRPr="00860806">
        <w:t>je</w:t>
      </w:r>
      <w:r>
        <w:t xml:space="preserve"> </w:t>
      </w:r>
      <w:r w:rsidRPr="00860806">
        <w:t>připojeno</w:t>
      </w:r>
      <w:r>
        <w:t xml:space="preserve"> </w:t>
      </w:r>
      <w:r w:rsidRPr="00860806">
        <w:t>méně</w:t>
      </w:r>
      <w:r>
        <w:t xml:space="preserve"> </w:t>
      </w:r>
      <w:r w:rsidRPr="00860806">
        <w:t>než</w:t>
      </w:r>
      <w:r>
        <w:t xml:space="preserve"> </w:t>
      </w:r>
      <w:r w:rsidRPr="00860806">
        <w:t>90</w:t>
      </w:r>
      <w:r>
        <w:t xml:space="preserve"> </w:t>
      </w:r>
      <w:r w:rsidRPr="00860806">
        <w:t>000</w:t>
      </w:r>
      <w:r>
        <w:t xml:space="preserve"> </w:t>
      </w:r>
      <w:r w:rsidRPr="00860806">
        <w:t>odběrných</w:t>
      </w:r>
      <w:r>
        <w:t xml:space="preserve"> </w:t>
      </w:r>
      <w:r w:rsidRPr="00860806">
        <w:t>míst</w:t>
      </w:r>
      <w:r>
        <w:t xml:space="preserve"> </w:t>
      </w:r>
      <w:r w:rsidRPr="00860806">
        <w:t>zákazníků</w:t>
      </w:r>
      <w:r>
        <w:t xml:space="preserve"> </w:t>
      </w:r>
      <w:r w:rsidRPr="00860806">
        <w:t>nebo</w:t>
      </w:r>
      <w:r>
        <w:t xml:space="preserve"> </w:t>
      </w:r>
      <w:r w:rsidRPr="00860806">
        <w:t>jehož</w:t>
      </w:r>
      <w:r>
        <w:t xml:space="preserve"> </w:t>
      </w:r>
      <w:r w:rsidRPr="00860806">
        <w:t>distribuční</w:t>
      </w:r>
      <w:r>
        <w:t xml:space="preserve"> </w:t>
      </w:r>
      <w:r w:rsidRPr="00860806">
        <w:t>soustava</w:t>
      </w:r>
      <w:r>
        <w:t xml:space="preserve"> </w:t>
      </w:r>
      <w:r w:rsidRPr="00860806">
        <w:t>je</w:t>
      </w:r>
      <w:r>
        <w:t xml:space="preserve"> </w:t>
      </w:r>
      <w:r w:rsidRPr="00860806">
        <w:t>přímo</w:t>
      </w:r>
      <w:r>
        <w:t xml:space="preserve"> </w:t>
      </w:r>
      <w:r w:rsidRPr="00860806">
        <w:t>připojena</w:t>
      </w:r>
      <w:r>
        <w:t xml:space="preserve"> </w:t>
      </w:r>
      <w:r w:rsidRPr="00860806">
        <w:t>k</w:t>
      </w:r>
      <w:r>
        <w:t xml:space="preserve"> </w:t>
      </w:r>
      <w:r w:rsidRPr="00860806">
        <w:t>přenosové</w:t>
      </w:r>
      <w:r>
        <w:t xml:space="preserve"> </w:t>
      </w:r>
      <w:r w:rsidRPr="00860806">
        <w:t>soustavě</w:t>
      </w:r>
      <w:r>
        <w:t xml:space="preserve"> </w:t>
      </w:r>
      <w:r w:rsidRPr="00860806">
        <w:t>nebo</w:t>
      </w:r>
      <w:r>
        <w:t xml:space="preserve"> </w:t>
      </w:r>
      <w:r w:rsidRPr="00860806">
        <w:t>k</w:t>
      </w:r>
      <w:r>
        <w:t xml:space="preserve"> </w:t>
      </w:r>
      <w:r w:rsidRPr="00860806">
        <w:t>přepravní</w:t>
      </w:r>
      <w:r>
        <w:t xml:space="preserve"> </w:t>
      </w:r>
      <w:r w:rsidRPr="00860806">
        <w:t>soustavě,</w:t>
      </w:r>
      <w:r>
        <w:t xml:space="preserve"> </w:t>
      </w:r>
      <w:r w:rsidRPr="00860806">
        <w:t>a</w:t>
      </w:r>
      <w:r>
        <w:t xml:space="preserve"> </w:t>
      </w:r>
      <w:r w:rsidRPr="00860806">
        <w:t>držitel</w:t>
      </w:r>
      <w:r>
        <w:t xml:space="preserve"> </w:t>
      </w:r>
      <w:r w:rsidRPr="00860806">
        <w:t>licence</w:t>
      </w:r>
      <w:r>
        <w:t xml:space="preserve"> </w:t>
      </w:r>
      <w:r w:rsidRPr="00860806">
        <w:t>na</w:t>
      </w:r>
      <w:r>
        <w:t xml:space="preserve"> </w:t>
      </w:r>
      <w:r w:rsidRPr="00860806">
        <w:t>výrobu</w:t>
      </w:r>
      <w:r>
        <w:t xml:space="preserve"> </w:t>
      </w:r>
      <w:r w:rsidRPr="00860806">
        <w:t>nebo</w:t>
      </w:r>
      <w:r>
        <w:t xml:space="preserve"> </w:t>
      </w:r>
      <w:r w:rsidRPr="00860806">
        <w:t>rozvod</w:t>
      </w:r>
      <w:r>
        <w:t xml:space="preserve"> </w:t>
      </w:r>
      <w:r w:rsidRPr="00860806">
        <w:t>tepelné</w:t>
      </w:r>
      <w:r>
        <w:t xml:space="preserve"> </w:t>
      </w:r>
      <w:r w:rsidRPr="00860806">
        <w:t>energie</w:t>
      </w:r>
      <w:r>
        <w:t xml:space="preserve"> </w:t>
      </w:r>
      <w:r w:rsidRPr="00860806">
        <w:t>účtuje</w:t>
      </w:r>
      <w:r>
        <w:t xml:space="preserve"> </w:t>
      </w:r>
      <w:r w:rsidRPr="00860806">
        <w:t>o</w:t>
      </w:r>
      <w:r>
        <w:t xml:space="preserve"> </w:t>
      </w:r>
      <w:r w:rsidRPr="00860806">
        <w:t>nákladech</w:t>
      </w:r>
      <w:r>
        <w:t xml:space="preserve"> </w:t>
      </w:r>
      <w:r w:rsidRPr="00860806">
        <w:t>a</w:t>
      </w:r>
      <w:r>
        <w:t xml:space="preserve"> </w:t>
      </w:r>
      <w:r w:rsidRPr="00860806">
        <w:t>výnosech</w:t>
      </w:r>
      <w:r>
        <w:t xml:space="preserve"> </w:t>
      </w:r>
      <w:r w:rsidRPr="00860806">
        <w:t>a</w:t>
      </w:r>
      <w:r>
        <w:t xml:space="preserve"> </w:t>
      </w:r>
      <w:r w:rsidRPr="00860806">
        <w:t>výsledku</w:t>
      </w:r>
      <w:r>
        <w:t xml:space="preserve"> </w:t>
      </w:r>
      <w:r w:rsidRPr="00860806">
        <w:t>hospodaření</w:t>
      </w:r>
      <w:r>
        <w:t xml:space="preserve"> </w:t>
      </w:r>
      <w:r w:rsidRPr="00860806">
        <w:t>odděleně</w:t>
      </w:r>
      <w:r>
        <w:t xml:space="preserve"> </w:t>
      </w:r>
      <w:r w:rsidRPr="00860806">
        <w:t>zvlášť</w:t>
      </w:r>
      <w:r>
        <w:t xml:space="preserve"> </w:t>
      </w:r>
      <w:r w:rsidRPr="00860806">
        <w:t>za</w:t>
      </w:r>
      <w:r>
        <w:t xml:space="preserve"> </w:t>
      </w:r>
      <w:r w:rsidRPr="00860806">
        <w:t>každou</w:t>
      </w:r>
      <w:r>
        <w:t xml:space="preserve"> </w:t>
      </w:r>
      <w:r w:rsidRPr="00860806">
        <w:t>z</w:t>
      </w:r>
      <w:r>
        <w:t xml:space="preserve"> </w:t>
      </w:r>
      <w:r w:rsidRPr="00860806">
        <w:t>licencovaných</w:t>
      </w:r>
      <w:r>
        <w:t xml:space="preserve"> </w:t>
      </w:r>
      <w:r w:rsidRPr="00860806">
        <w:t>činností</w:t>
      </w:r>
      <w:r>
        <w:t xml:space="preserve"> </w:t>
      </w:r>
      <w:r w:rsidRPr="00860806">
        <w:t>v</w:t>
      </w:r>
      <w:r>
        <w:t xml:space="preserve"> </w:t>
      </w:r>
      <w:r w:rsidRPr="00860806">
        <w:t>souladu</w:t>
      </w:r>
      <w:r>
        <w:t xml:space="preserve"> </w:t>
      </w:r>
      <w:r w:rsidRPr="00860806">
        <w:t>se</w:t>
      </w:r>
      <w:r>
        <w:t xml:space="preserve"> </w:t>
      </w:r>
      <w:r w:rsidRPr="001B4846">
        <w:rPr>
          <w:strike/>
        </w:rPr>
        <w:t>zvláštním právním předpisem</w:t>
      </w:r>
      <w:r w:rsidRPr="001B4846">
        <w:rPr>
          <w:rStyle w:val="Znakapoznpodarou"/>
          <w:strike/>
        </w:rPr>
        <w:footnoteReference w:customMarkFollows="1" w:id="385"/>
        <w:t>9b)</w:t>
      </w:r>
      <w:r w:rsidR="001B4846">
        <w:rPr>
          <w:rStyle w:val="Znakapoznpodarou"/>
          <w:vertAlign w:val="baseline"/>
        </w:rPr>
        <w:t xml:space="preserve"> </w:t>
      </w:r>
      <w:r w:rsidR="001B4846">
        <w:rPr>
          <w:b/>
        </w:rPr>
        <w:t>zákonem o účetnictví</w:t>
      </w:r>
      <w:r w:rsidRPr="00860806">
        <w:t>.</w:t>
      </w:r>
    </w:p>
    <w:p w14:paraId="35450BB2" w14:textId="22B2C196" w:rsidR="002C4DE2" w:rsidRDefault="002C4DE2" w:rsidP="0010420C">
      <w:pPr>
        <w:pStyle w:val="Textparagrafu"/>
        <w:spacing w:before="120" w:after="120"/>
      </w:pPr>
      <w:r w:rsidRPr="00860806">
        <w:t>(4)</w:t>
      </w:r>
      <w:r>
        <w:t xml:space="preserve"> </w:t>
      </w:r>
      <w:r w:rsidRPr="00860806">
        <w:t>Pokud</w:t>
      </w:r>
      <w:r>
        <w:t xml:space="preserve"> </w:t>
      </w:r>
      <w:r w:rsidRPr="00860806">
        <w:t>auditor</w:t>
      </w:r>
      <w:r>
        <w:t xml:space="preserve"> </w:t>
      </w:r>
      <w:r w:rsidRPr="00860806">
        <w:t>při</w:t>
      </w:r>
      <w:r>
        <w:t xml:space="preserve"> </w:t>
      </w:r>
      <w:r w:rsidRPr="001B4846">
        <w:rPr>
          <w:strike/>
        </w:rPr>
        <w:t>ověřování účetní závěrky</w:t>
      </w:r>
      <w:r w:rsidRPr="001B4846">
        <w:rPr>
          <w:strike/>
          <w:vertAlign w:val="superscript"/>
        </w:rPr>
        <w:t>9b)</w:t>
      </w:r>
      <w:r>
        <w:t xml:space="preserve"> </w:t>
      </w:r>
      <w:r w:rsidR="001B4846" w:rsidRPr="00533343">
        <w:rPr>
          <w:b/>
        </w:rPr>
        <w:t>povinném auditu</w:t>
      </w:r>
      <w:r w:rsidR="001B4846" w:rsidRPr="00860806">
        <w:t xml:space="preserve"> </w:t>
      </w:r>
      <w:r w:rsidRPr="00860806">
        <w:t>držitele</w:t>
      </w:r>
      <w:r>
        <w:t xml:space="preserve"> </w:t>
      </w:r>
      <w:r w:rsidRPr="00860806">
        <w:t>licence</w:t>
      </w:r>
      <w:r>
        <w:t xml:space="preserve"> </w:t>
      </w:r>
      <w:r w:rsidRPr="00860806">
        <w:t>uvedeného</w:t>
      </w:r>
      <w:r>
        <w:t xml:space="preserve"> </w:t>
      </w:r>
      <w:r w:rsidRPr="00860806">
        <w:t>v</w:t>
      </w:r>
      <w:r>
        <w:t xml:space="preserve"> </w:t>
      </w:r>
      <w:r w:rsidRPr="00860806">
        <w:t>odstavci</w:t>
      </w:r>
      <w:r>
        <w:t xml:space="preserve"> </w:t>
      </w:r>
      <w:r w:rsidRPr="00860806">
        <w:t>1</w:t>
      </w:r>
      <w:r>
        <w:t xml:space="preserve"> </w:t>
      </w:r>
      <w:r w:rsidRPr="00860806">
        <w:t>zjistí</w:t>
      </w:r>
      <w:r>
        <w:t xml:space="preserve"> </w:t>
      </w:r>
      <w:r w:rsidRPr="00860806">
        <w:t>křížové</w:t>
      </w:r>
      <w:r>
        <w:t xml:space="preserve"> </w:t>
      </w:r>
      <w:r w:rsidRPr="00860806">
        <w:t>subvence</w:t>
      </w:r>
      <w:r>
        <w:t xml:space="preserve"> </w:t>
      </w:r>
      <w:r w:rsidRPr="00860806">
        <w:t>mezi</w:t>
      </w:r>
      <w:r>
        <w:t xml:space="preserve"> </w:t>
      </w:r>
      <w:r w:rsidRPr="00860806">
        <w:t>jednotlivými</w:t>
      </w:r>
      <w:r>
        <w:t xml:space="preserve"> </w:t>
      </w:r>
      <w:r w:rsidRPr="00860806">
        <w:t>licencovanými</w:t>
      </w:r>
      <w:r>
        <w:t xml:space="preserve"> </w:t>
      </w:r>
      <w:r w:rsidRPr="00860806">
        <w:t>činnostmi</w:t>
      </w:r>
      <w:r>
        <w:t xml:space="preserve"> </w:t>
      </w:r>
      <w:r w:rsidRPr="00860806">
        <w:t>vykonávanými</w:t>
      </w:r>
      <w:r>
        <w:t xml:space="preserve"> </w:t>
      </w:r>
      <w:r w:rsidRPr="00860806">
        <w:t>týmž</w:t>
      </w:r>
      <w:r>
        <w:t xml:space="preserve"> </w:t>
      </w:r>
      <w:r w:rsidRPr="00860806">
        <w:t>držitelem</w:t>
      </w:r>
      <w:r>
        <w:t xml:space="preserve"> </w:t>
      </w:r>
      <w:r w:rsidRPr="00860806">
        <w:t>licence</w:t>
      </w:r>
      <w:r>
        <w:t xml:space="preserve"> </w:t>
      </w:r>
      <w:r w:rsidRPr="00860806">
        <w:t>nebo</w:t>
      </w:r>
      <w:r>
        <w:t xml:space="preserve"> </w:t>
      </w:r>
      <w:r w:rsidRPr="00860806">
        <w:t>mezi</w:t>
      </w:r>
      <w:r>
        <w:t xml:space="preserve"> </w:t>
      </w:r>
      <w:r w:rsidRPr="00860806">
        <w:t>licencovanou</w:t>
      </w:r>
      <w:r>
        <w:t xml:space="preserve"> </w:t>
      </w:r>
      <w:r w:rsidRPr="00860806">
        <w:t>činností</w:t>
      </w:r>
      <w:r>
        <w:t xml:space="preserve"> </w:t>
      </w:r>
      <w:r w:rsidRPr="00860806">
        <w:t>a</w:t>
      </w:r>
      <w:r>
        <w:t xml:space="preserve"> </w:t>
      </w:r>
      <w:r w:rsidRPr="00860806">
        <w:t>jinými</w:t>
      </w:r>
      <w:r>
        <w:t xml:space="preserve"> </w:t>
      </w:r>
      <w:r w:rsidRPr="00860806">
        <w:t>podnikatelskými</w:t>
      </w:r>
      <w:r>
        <w:t xml:space="preserve"> </w:t>
      </w:r>
      <w:r w:rsidRPr="00860806">
        <w:t>činnostmi</w:t>
      </w:r>
      <w:r>
        <w:t xml:space="preserve"> </w:t>
      </w:r>
      <w:r w:rsidRPr="00860806">
        <w:t>vykonávanými</w:t>
      </w:r>
      <w:r>
        <w:t xml:space="preserve"> </w:t>
      </w:r>
      <w:r w:rsidRPr="00860806">
        <w:t>týmž</w:t>
      </w:r>
      <w:r>
        <w:t xml:space="preserve"> </w:t>
      </w:r>
      <w:r w:rsidRPr="00860806">
        <w:t>držitelem</w:t>
      </w:r>
      <w:r>
        <w:t xml:space="preserve"> </w:t>
      </w:r>
      <w:r w:rsidRPr="00860806">
        <w:t>licence,</w:t>
      </w:r>
      <w:r>
        <w:t xml:space="preserve"> </w:t>
      </w:r>
      <w:r w:rsidRPr="00860806">
        <w:t>které</w:t>
      </w:r>
      <w:r>
        <w:t xml:space="preserve"> </w:t>
      </w:r>
      <w:r w:rsidRPr="00860806">
        <w:t>vedou</w:t>
      </w:r>
      <w:r>
        <w:t xml:space="preserve"> </w:t>
      </w:r>
      <w:r w:rsidRPr="00860806">
        <w:t>k</w:t>
      </w:r>
      <w:r>
        <w:t xml:space="preserve"> </w:t>
      </w:r>
      <w:r w:rsidRPr="00860806">
        <w:t>diskriminaci,</w:t>
      </w:r>
      <w:r>
        <w:t xml:space="preserve"> </w:t>
      </w:r>
      <w:r w:rsidRPr="00860806">
        <w:t>uvede</w:t>
      </w:r>
      <w:r>
        <w:t xml:space="preserve"> </w:t>
      </w:r>
      <w:r w:rsidRPr="00860806">
        <w:t>tuto</w:t>
      </w:r>
      <w:r>
        <w:t xml:space="preserve"> </w:t>
      </w:r>
      <w:r w:rsidRPr="00860806">
        <w:t>skutečnost</w:t>
      </w:r>
      <w:r>
        <w:t xml:space="preserve"> </w:t>
      </w:r>
      <w:r w:rsidRPr="00860806">
        <w:t>ve</w:t>
      </w:r>
      <w:r>
        <w:t xml:space="preserve"> </w:t>
      </w:r>
      <w:r w:rsidRPr="00860806">
        <w:t>zprávě</w:t>
      </w:r>
      <w:r>
        <w:t xml:space="preserve"> </w:t>
      </w:r>
      <w:r w:rsidRPr="00860806">
        <w:t>auditora</w:t>
      </w:r>
      <w:r w:rsidR="001B4846" w:rsidRPr="001B4846">
        <w:rPr>
          <w:b/>
        </w:rPr>
        <w:t xml:space="preserve"> </w:t>
      </w:r>
      <w:r w:rsidR="001B4846">
        <w:rPr>
          <w:b/>
        </w:rPr>
        <w:t xml:space="preserve">o </w:t>
      </w:r>
      <w:r w:rsidR="001B4846" w:rsidRPr="00533343">
        <w:rPr>
          <w:b/>
        </w:rPr>
        <w:t>povinném auditu</w:t>
      </w:r>
      <w:r w:rsidRPr="00860806">
        <w:t>.</w:t>
      </w:r>
    </w:p>
    <w:p w14:paraId="34DE88F3" w14:textId="77777777" w:rsidR="002C4DE2" w:rsidRDefault="002C4DE2" w:rsidP="0010420C">
      <w:pPr>
        <w:pStyle w:val="Textparagrafu"/>
        <w:spacing w:before="120" w:after="120"/>
      </w:pPr>
      <w:r w:rsidRPr="00860806">
        <w:t>(5)</w:t>
      </w:r>
      <w:r>
        <w:t xml:space="preserve"> </w:t>
      </w:r>
      <w:r w:rsidRPr="00860806">
        <w:t>Vlastník</w:t>
      </w:r>
      <w:r>
        <w:t xml:space="preserve"> </w:t>
      </w:r>
      <w:r w:rsidRPr="00860806">
        <w:t>nebo</w:t>
      </w:r>
      <w:r>
        <w:t xml:space="preserve"> </w:t>
      </w:r>
      <w:r w:rsidRPr="00860806">
        <w:t>propachtovatel</w:t>
      </w:r>
      <w:r>
        <w:t xml:space="preserve"> </w:t>
      </w:r>
      <w:r w:rsidRPr="00860806">
        <w:t>energetického</w:t>
      </w:r>
      <w:r>
        <w:t xml:space="preserve"> </w:t>
      </w:r>
      <w:r w:rsidRPr="00860806">
        <w:t>zařízení,</w:t>
      </w:r>
      <w:r>
        <w:t xml:space="preserve"> </w:t>
      </w:r>
      <w:r w:rsidRPr="00860806">
        <w:t>který</w:t>
      </w:r>
      <w:r>
        <w:t xml:space="preserve"> </w:t>
      </w:r>
      <w:r w:rsidRPr="00860806">
        <w:t>s</w:t>
      </w:r>
      <w:r>
        <w:t xml:space="preserve"> </w:t>
      </w:r>
      <w:r w:rsidRPr="00860806">
        <w:t>držitelem</w:t>
      </w:r>
      <w:r>
        <w:t xml:space="preserve"> </w:t>
      </w:r>
      <w:r w:rsidRPr="00860806">
        <w:t>licence,</w:t>
      </w:r>
      <w:r>
        <w:t xml:space="preserve"> </w:t>
      </w:r>
      <w:r w:rsidRPr="00860806">
        <w:t>který</w:t>
      </w:r>
      <w:r>
        <w:t xml:space="preserve"> </w:t>
      </w:r>
      <w:r w:rsidRPr="00860806">
        <w:t>používá</w:t>
      </w:r>
      <w:r>
        <w:t xml:space="preserve"> </w:t>
      </w:r>
      <w:r w:rsidRPr="00860806">
        <w:t>k</w:t>
      </w:r>
      <w:r>
        <w:t xml:space="preserve"> </w:t>
      </w:r>
      <w:r w:rsidRPr="00860806">
        <w:t>výkonu</w:t>
      </w:r>
      <w:r>
        <w:t xml:space="preserve"> </w:t>
      </w:r>
      <w:r w:rsidRPr="00860806">
        <w:t>licencované</w:t>
      </w:r>
      <w:r>
        <w:t xml:space="preserve"> </w:t>
      </w:r>
      <w:r w:rsidRPr="00860806">
        <w:t>činnosti</w:t>
      </w:r>
      <w:r>
        <w:t xml:space="preserve"> </w:t>
      </w:r>
      <w:r w:rsidRPr="00860806">
        <w:t>toto</w:t>
      </w:r>
      <w:r>
        <w:t xml:space="preserve"> </w:t>
      </w:r>
      <w:r w:rsidRPr="00860806">
        <w:t>energetické</w:t>
      </w:r>
      <w:r>
        <w:t xml:space="preserve"> </w:t>
      </w:r>
      <w:r w:rsidRPr="00860806">
        <w:t>zařízení,</w:t>
      </w:r>
      <w:r>
        <w:t xml:space="preserve"> </w:t>
      </w:r>
      <w:r w:rsidRPr="00860806">
        <w:t>tvoří</w:t>
      </w:r>
      <w:r>
        <w:t xml:space="preserve"> </w:t>
      </w:r>
      <w:r w:rsidRPr="00860806">
        <w:t>holding</w:t>
      </w:r>
      <w:r>
        <w:t xml:space="preserve"> </w:t>
      </w:r>
      <w:r w:rsidRPr="00860806">
        <w:t>nebo</w:t>
      </w:r>
      <w:r>
        <w:t xml:space="preserve"> </w:t>
      </w:r>
      <w:r w:rsidRPr="00860806">
        <w:t>je</w:t>
      </w:r>
      <w:r>
        <w:t xml:space="preserve"> </w:t>
      </w:r>
      <w:r w:rsidRPr="00860806">
        <w:t>členem</w:t>
      </w:r>
      <w:r>
        <w:t xml:space="preserve"> </w:t>
      </w:r>
      <w:r w:rsidRPr="00860806">
        <w:t>téhož</w:t>
      </w:r>
      <w:r>
        <w:t xml:space="preserve"> </w:t>
      </w:r>
      <w:r w:rsidRPr="00860806">
        <w:t>holdingu</w:t>
      </w:r>
      <w:r>
        <w:t xml:space="preserve"> </w:t>
      </w:r>
      <w:r w:rsidRPr="00860806">
        <w:t>nebo</w:t>
      </w:r>
      <w:r>
        <w:t xml:space="preserve"> </w:t>
      </w:r>
      <w:r w:rsidRPr="00860806">
        <w:t>jiného</w:t>
      </w:r>
      <w:r>
        <w:t xml:space="preserve"> </w:t>
      </w:r>
      <w:r w:rsidRPr="00860806">
        <w:t>podnikatelského</w:t>
      </w:r>
      <w:r>
        <w:t xml:space="preserve"> </w:t>
      </w:r>
      <w:r w:rsidRPr="00860806">
        <w:t>seskupení,</w:t>
      </w:r>
      <w:r>
        <w:t xml:space="preserve"> </w:t>
      </w:r>
      <w:r w:rsidRPr="00860806">
        <w:t>je</w:t>
      </w:r>
      <w:r>
        <w:t xml:space="preserve"> </w:t>
      </w:r>
      <w:r w:rsidRPr="00860806">
        <w:t>povinen</w:t>
      </w:r>
      <w:r>
        <w:t xml:space="preserve"> </w:t>
      </w:r>
      <w:r w:rsidRPr="00860806">
        <w:t>uvést</w:t>
      </w:r>
      <w:r>
        <w:t xml:space="preserve"> </w:t>
      </w:r>
      <w:r w:rsidRPr="00860806">
        <w:t>v</w:t>
      </w:r>
      <w:r>
        <w:t xml:space="preserve"> </w:t>
      </w:r>
      <w:r w:rsidRPr="00860806">
        <w:t>účtovém</w:t>
      </w:r>
      <w:r>
        <w:t xml:space="preserve"> </w:t>
      </w:r>
      <w:r w:rsidRPr="00860806">
        <w:t>rozvrhu</w:t>
      </w:r>
      <w:r>
        <w:t xml:space="preserve"> </w:t>
      </w:r>
      <w:r w:rsidRPr="00860806">
        <w:t>účty</w:t>
      </w:r>
      <w:r>
        <w:t xml:space="preserve"> </w:t>
      </w:r>
      <w:r w:rsidRPr="00860806">
        <w:t>pro</w:t>
      </w:r>
      <w:r>
        <w:t xml:space="preserve"> </w:t>
      </w:r>
      <w:r w:rsidRPr="00860806">
        <w:t>účtování</w:t>
      </w:r>
      <w:r>
        <w:t xml:space="preserve"> </w:t>
      </w:r>
      <w:r w:rsidRPr="00860806">
        <w:t>o</w:t>
      </w:r>
      <w:r>
        <w:t xml:space="preserve"> </w:t>
      </w:r>
      <w:r w:rsidRPr="00860806">
        <w:t>nákladech</w:t>
      </w:r>
      <w:r>
        <w:t xml:space="preserve"> </w:t>
      </w:r>
      <w:r w:rsidRPr="00860806">
        <w:t>a</w:t>
      </w:r>
      <w:r>
        <w:t xml:space="preserve"> </w:t>
      </w:r>
      <w:r w:rsidRPr="00860806">
        <w:t>výnosech</w:t>
      </w:r>
      <w:r>
        <w:t xml:space="preserve"> </w:t>
      </w:r>
      <w:r w:rsidRPr="00860806">
        <w:t>z</w:t>
      </w:r>
      <w:r>
        <w:t xml:space="preserve"> </w:t>
      </w:r>
      <w:r w:rsidRPr="00860806">
        <w:t>vlastnictví</w:t>
      </w:r>
      <w:r>
        <w:t xml:space="preserve"> </w:t>
      </w:r>
      <w:r w:rsidRPr="00860806">
        <w:t>nebo</w:t>
      </w:r>
      <w:r>
        <w:t xml:space="preserve"> </w:t>
      </w:r>
      <w:r w:rsidRPr="00860806">
        <w:t>pachtu</w:t>
      </w:r>
      <w:r>
        <w:t xml:space="preserve"> </w:t>
      </w:r>
      <w:r w:rsidRPr="00860806">
        <w:t>tohoto</w:t>
      </w:r>
      <w:r>
        <w:t xml:space="preserve"> </w:t>
      </w:r>
      <w:r w:rsidRPr="00860806">
        <w:t>energetického</w:t>
      </w:r>
      <w:r>
        <w:t xml:space="preserve"> </w:t>
      </w:r>
      <w:r w:rsidRPr="00860806">
        <w:t>zařízení.</w:t>
      </w:r>
      <w:r>
        <w:t xml:space="preserve"> </w:t>
      </w:r>
      <w:r w:rsidRPr="00860806">
        <w:t>Takový</w:t>
      </w:r>
      <w:r>
        <w:t xml:space="preserve"> </w:t>
      </w:r>
      <w:r w:rsidRPr="00860806">
        <w:t>vlastník</w:t>
      </w:r>
      <w:r>
        <w:t xml:space="preserve"> </w:t>
      </w:r>
      <w:r w:rsidRPr="00860806">
        <w:t>nebo</w:t>
      </w:r>
      <w:r>
        <w:t xml:space="preserve"> </w:t>
      </w:r>
      <w:r w:rsidRPr="00860806">
        <w:t>propachtovatel</w:t>
      </w:r>
      <w:r>
        <w:t xml:space="preserve"> </w:t>
      </w:r>
      <w:r w:rsidRPr="00860806">
        <w:t>energetického</w:t>
      </w:r>
      <w:r>
        <w:t xml:space="preserve"> </w:t>
      </w:r>
      <w:r w:rsidRPr="00860806">
        <w:t>zařízení</w:t>
      </w:r>
      <w:r>
        <w:t xml:space="preserve"> </w:t>
      </w:r>
      <w:r w:rsidRPr="00860806">
        <w:t>je</w:t>
      </w:r>
      <w:r>
        <w:t xml:space="preserve"> </w:t>
      </w:r>
      <w:r w:rsidRPr="00860806">
        <w:t>povinen</w:t>
      </w:r>
      <w:r>
        <w:t xml:space="preserve"> </w:t>
      </w:r>
      <w:r w:rsidRPr="00860806">
        <w:t>poskytovat</w:t>
      </w:r>
      <w:r>
        <w:t xml:space="preserve"> </w:t>
      </w:r>
      <w:r w:rsidRPr="00860806">
        <w:t>Energetickému</w:t>
      </w:r>
      <w:r>
        <w:t xml:space="preserve"> </w:t>
      </w:r>
      <w:r w:rsidRPr="00860806">
        <w:t>regulačnímu</w:t>
      </w:r>
      <w:r>
        <w:t xml:space="preserve"> </w:t>
      </w:r>
      <w:r w:rsidRPr="00860806">
        <w:t>úřadu</w:t>
      </w:r>
      <w:r>
        <w:t xml:space="preserve"> </w:t>
      </w:r>
      <w:r w:rsidRPr="00860806">
        <w:t>na</w:t>
      </w:r>
      <w:r>
        <w:t xml:space="preserve"> </w:t>
      </w:r>
      <w:r w:rsidRPr="00860806">
        <w:t>vyžádání</w:t>
      </w:r>
      <w:r>
        <w:t xml:space="preserve"> </w:t>
      </w:r>
      <w:r w:rsidRPr="00860806">
        <w:t>úplné</w:t>
      </w:r>
      <w:r>
        <w:t xml:space="preserve"> </w:t>
      </w:r>
      <w:r w:rsidRPr="00860806">
        <w:t>a</w:t>
      </w:r>
      <w:r>
        <w:t xml:space="preserve"> </w:t>
      </w:r>
      <w:r w:rsidRPr="00860806">
        <w:t>pravdivé</w:t>
      </w:r>
      <w:r>
        <w:t xml:space="preserve"> </w:t>
      </w:r>
      <w:r w:rsidRPr="00860806">
        <w:t>informace</w:t>
      </w:r>
      <w:r>
        <w:t xml:space="preserve"> </w:t>
      </w:r>
      <w:r w:rsidRPr="00860806">
        <w:t>a</w:t>
      </w:r>
      <w:r>
        <w:t xml:space="preserve"> </w:t>
      </w:r>
      <w:r w:rsidRPr="00860806">
        <w:t>podklady</w:t>
      </w:r>
      <w:r>
        <w:t xml:space="preserve"> </w:t>
      </w:r>
      <w:r w:rsidRPr="00860806">
        <w:lastRenderedPageBreak/>
        <w:t>potřebné</w:t>
      </w:r>
      <w:r>
        <w:t xml:space="preserve"> </w:t>
      </w:r>
      <w:r w:rsidRPr="00860806">
        <w:t>pro</w:t>
      </w:r>
      <w:r>
        <w:t xml:space="preserve"> </w:t>
      </w:r>
      <w:r w:rsidRPr="00860806">
        <w:t>výkon</w:t>
      </w:r>
      <w:r>
        <w:t xml:space="preserve"> </w:t>
      </w:r>
      <w:r w:rsidRPr="00860806">
        <w:t>jejich</w:t>
      </w:r>
      <w:r>
        <w:t xml:space="preserve"> </w:t>
      </w:r>
      <w:r w:rsidRPr="00860806">
        <w:t>zákonem</w:t>
      </w:r>
      <w:r>
        <w:t xml:space="preserve"> </w:t>
      </w:r>
      <w:r w:rsidRPr="00860806">
        <w:t>stanovených</w:t>
      </w:r>
      <w:r>
        <w:t xml:space="preserve"> </w:t>
      </w:r>
      <w:r w:rsidRPr="00860806">
        <w:t>oprávnění,</w:t>
      </w:r>
      <w:r>
        <w:t xml:space="preserve"> </w:t>
      </w:r>
      <w:r w:rsidRPr="00860806">
        <w:t>umožnit</w:t>
      </w:r>
      <w:r>
        <w:t xml:space="preserve"> </w:t>
      </w:r>
      <w:r w:rsidRPr="00860806">
        <w:t>jim</w:t>
      </w:r>
      <w:r>
        <w:t xml:space="preserve"> </w:t>
      </w:r>
      <w:r w:rsidRPr="00860806">
        <w:t>nahlížet</w:t>
      </w:r>
      <w:r>
        <w:t xml:space="preserve"> </w:t>
      </w:r>
      <w:r w:rsidRPr="00860806">
        <w:t>do</w:t>
      </w:r>
      <w:r>
        <w:t xml:space="preserve"> </w:t>
      </w:r>
      <w:r w:rsidRPr="00860806">
        <w:t>účetních</w:t>
      </w:r>
      <w:r>
        <w:t xml:space="preserve"> </w:t>
      </w:r>
      <w:r w:rsidRPr="00860806">
        <w:t>a</w:t>
      </w:r>
      <w:r>
        <w:t xml:space="preserve"> </w:t>
      </w:r>
      <w:r w:rsidRPr="00860806">
        <w:t>jiných</w:t>
      </w:r>
      <w:r>
        <w:t xml:space="preserve"> </w:t>
      </w:r>
      <w:r w:rsidRPr="00860806">
        <w:t>dokladů,</w:t>
      </w:r>
      <w:r>
        <w:t xml:space="preserve"> </w:t>
      </w:r>
      <w:r w:rsidRPr="00860806">
        <w:t>pořídit</w:t>
      </w:r>
      <w:r>
        <w:t xml:space="preserve"> </w:t>
      </w:r>
      <w:r w:rsidRPr="00860806">
        <w:t>z</w:t>
      </w:r>
      <w:r>
        <w:t xml:space="preserve"> </w:t>
      </w:r>
      <w:r w:rsidRPr="00860806">
        <w:t>nich</w:t>
      </w:r>
      <w:r>
        <w:t xml:space="preserve"> </w:t>
      </w:r>
      <w:r w:rsidRPr="00860806">
        <w:t>kopie</w:t>
      </w:r>
      <w:r>
        <w:t xml:space="preserve"> </w:t>
      </w:r>
      <w:r w:rsidRPr="00860806">
        <w:t>nebo</w:t>
      </w:r>
      <w:r>
        <w:t xml:space="preserve"> </w:t>
      </w:r>
      <w:r w:rsidRPr="00860806">
        <w:t>opisy</w:t>
      </w:r>
      <w:r>
        <w:t xml:space="preserve"> </w:t>
      </w:r>
      <w:r w:rsidRPr="00860806">
        <w:t>a</w:t>
      </w:r>
      <w:r>
        <w:t xml:space="preserve"> </w:t>
      </w:r>
      <w:r w:rsidRPr="00860806">
        <w:t>poskytnout</w:t>
      </w:r>
      <w:r>
        <w:t xml:space="preserve"> </w:t>
      </w:r>
      <w:r w:rsidRPr="00860806">
        <w:t>k</w:t>
      </w:r>
      <w:r>
        <w:t xml:space="preserve"> </w:t>
      </w:r>
      <w:r w:rsidRPr="00860806">
        <w:t>nim</w:t>
      </w:r>
      <w:r>
        <w:t xml:space="preserve"> </w:t>
      </w:r>
      <w:r w:rsidRPr="00860806">
        <w:t>vysvětlení.</w:t>
      </w:r>
    </w:p>
    <w:p w14:paraId="5838B196" w14:textId="77777777" w:rsidR="002C4DE2" w:rsidRDefault="002C4DE2" w:rsidP="0010420C">
      <w:pPr>
        <w:pStyle w:val="Textparagrafu"/>
        <w:spacing w:before="120" w:after="120"/>
      </w:pPr>
      <w:r w:rsidRPr="00860806">
        <w:t>(6)</w:t>
      </w:r>
      <w:r>
        <w:t xml:space="preserve"> </w:t>
      </w:r>
      <w:r w:rsidRPr="00860806">
        <w:t>Držitel</w:t>
      </w:r>
      <w:r>
        <w:t xml:space="preserve"> </w:t>
      </w:r>
      <w:r w:rsidRPr="00860806">
        <w:t>licence</w:t>
      </w:r>
      <w:r>
        <w:t xml:space="preserve"> </w:t>
      </w:r>
      <w:r w:rsidRPr="00860806">
        <w:t>na</w:t>
      </w:r>
      <w:r>
        <w:t xml:space="preserve"> </w:t>
      </w:r>
      <w:r w:rsidRPr="00860806">
        <w:t>přenos</w:t>
      </w:r>
      <w:r>
        <w:t xml:space="preserve"> </w:t>
      </w:r>
      <w:r w:rsidRPr="00860806">
        <w:t>elektřiny,</w:t>
      </w:r>
      <w:r>
        <w:t xml:space="preserve"> </w:t>
      </w:r>
      <w:r w:rsidRPr="00860806">
        <w:t>přepravu</w:t>
      </w:r>
      <w:r>
        <w:t xml:space="preserve"> </w:t>
      </w:r>
      <w:r w:rsidRPr="00860806">
        <w:t>plynu,</w:t>
      </w:r>
      <w:r>
        <w:t xml:space="preserve"> </w:t>
      </w:r>
      <w:r w:rsidRPr="00860806">
        <w:t>uskladňování</w:t>
      </w:r>
      <w:r>
        <w:t xml:space="preserve"> </w:t>
      </w:r>
      <w:r w:rsidRPr="00860806">
        <w:t>plynu,</w:t>
      </w:r>
      <w:r>
        <w:t xml:space="preserve"> </w:t>
      </w:r>
      <w:r w:rsidRPr="00860806">
        <w:t>činnosti</w:t>
      </w:r>
      <w:r>
        <w:t xml:space="preserve"> </w:t>
      </w:r>
      <w:r w:rsidRPr="00860806">
        <w:t>operátora</w:t>
      </w:r>
      <w:r>
        <w:t xml:space="preserve"> </w:t>
      </w:r>
      <w:r w:rsidRPr="00860806">
        <w:t>trhu,</w:t>
      </w:r>
      <w:r>
        <w:t xml:space="preserve"> </w:t>
      </w:r>
      <w:r w:rsidRPr="00860806">
        <w:t>činnost</w:t>
      </w:r>
      <w:r>
        <w:t xml:space="preserve"> </w:t>
      </w:r>
      <w:r w:rsidRPr="00860806">
        <w:t>datového</w:t>
      </w:r>
      <w:r>
        <w:t xml:space="preserve"> </w:t>
      </w:r>
      <w:r w:rsidRPr="00860806">
        <w:t>centra,</w:t>
      </w:r>
      <w:r>
        <w:t xml:space="preserve"> </w:t>
      </w:r>
      <w:r w:rsidRPr="00860806">
        <w:t>distribuci</w:t>
      </w:r>
      <w:r>
        <w:t xml:space="preserve"> </w:t>
      </w:r>
      <w:r w:rsidRPr="00860806">
        <w:t>elektřiny,</w:t>
      </w:r>
      <w:r>
        <w:t xml:space="preserve"> </w:t>
      </w:r>
      <w:r w:rsidRPr="00860806">
        <w:t>distribuci</w:t>
      </w:r>
      <w:r>
        <w:t xml:space="preserve"> </w:t>
      </w:r>
      <w:r w:rsidRPr="00860806">
        <w:t>plynu,</w:t>
      </w:r>
      <w:r>
        <w:t xml:space="preserve"> </w:t>
      </w:r>
      <w:r w:rsidRPr="00860806">
        <w:t>na</w:t>
      </w:r>
      <w:r>
        <w:t xml:space="preserve"> </w:t>
      </w:r>
      <w:r w:rsidRPr="00860806">
        <w:t>obchod</w:t>
      </w:r>
      <w:r>
        <w:t xml:space="preserve"> </w:t>
      </w:r>
      <w:r w:rsidRPr="00860806">
        <w:t>s</w:t>
      </w:r>
      <w:r>
        <w:t xml:space="preserve"> </w:t>
      </w:r>
      <w:r w:rsidRPr="00860806">
        <w:t>elektřinou,</w:t>
      </w:r>
      <w:r>
        <w:t xml:space="preserve"> </w:t>
      </w:r>
      <w:r w:rsidRPr="00860806">
        <w:t>který</w:t>
      </w:r>
      <w:r>
        <w:t xml:space="preserve"> </w:t>
      </w:r>
      <w:r w:rsidRPr="00860806">
        <w:t>je</w:t>
      </w:r>
      <w:r>
        <w:t xml:space="preserve"> </w:t>
      </w:r>
      <w:r w:rsidRPr="00860806">
        <w:t>povinně</w:t>
      </w:r>
      <w:r>
        <w:t xml:space="preserve"> </w:t>
      </w:r>
      <w:r w:rsidRPr="00860806">
        <w:t>vykupujícím</w:t>
      </w:r>
      <w:r>
        <w:t xml:space="preserve"> </w:t>
      </w:r>
      <w:r w:rsidRPr="00860806">
        <w:t>podle</w:t>
      </w:r>
      <w:r>
        <w:t xml:space="preserve"> </w:t>
      </w:r>
      <w:r w:rsidRPr="00860806">
        <w:t>zákona</w:t>
      </w:r>
      <w:r>
        <w:t xml:space="preserve"> </w:t>
      </w:r>
      <w:r w:rsidRPr="00860806">
        <w:t>o</w:t>
      </w:r>
      <w:r>
        <w:t xml:space="preserve"> </w:t>
      </w:r>
      <w:r w:rsidRPr="00860806">
        <w:t>podporovaných</w:t>
      </w:r>
      <w:r>
        <w:t xml:space="preserve"> </w:t>
      </w:r>
      <w:r w:rsidRPr="00860806">
        <w:t>zdrojích</w:t>
      </w:r>
      <w:r>
        <w:t xml:space="preserve"> </w:t>
      </w:r>
      <w:r w:rsidRPr="00860806">
        <w:t>energie,</w:t>
      </w:r>
      <w:r>
        <w:t xml:space="preserve"> </w:t>
      </w:r>
      <w:r w:rsidRPr="00860806">
        <w:t>držitel</w:t>
      </w:r>
      <w:r>
        <w:t xml:space="preserve"> </w:t>
      </w:r>
      <w:r w:rsidRPr="00860806">
        <w:t>licence</w:t>
      </w:r>
      <w:r>
        <w:t xml:space="preserve"> </w:t>
      </w:r>
      <w:r w:rsidRPr="00860806">
        <w:t>na</w:t>
      </w:r>
      <w:r>
        <w:t xml:space="preserve"> </w:t>
      </w:r>
      <w:r w:rsidRPr="00860806">
        <w:t>výrobu</w:t>
      </w:r>
      <w:r>
        <w:t xml:space="preserve"> </w:t>
      </w:r>
      <w:r w:rsidRPr="00860806">
        <w:t>tepelné</w:t>
      </w:r>
      <w:r>
        <w:t xml:space="preserve"> </w:t>
      </w:r>
      <w:r w:rsidRPr="00860806">
        <w:t>energie</w:t>
      </w:r>
      <w:r>
        <w:t xml:space="preserve"> </w:t>
      </w:r>
      <w:r w:rsidRPr="00860806">
        <w:t>a</w:t>
      </w:r>
      <w:r>
        <w:t xml:space="preserve"> </w:t>
      </w:r>
      <w:r w:rsidRPr="00860806">
        <w:t>držitel</w:t>
      </w:r>
      <w:r>
        <w:t xml:space="preserve"> </w:t>
      </w:r>
      <w:r w:rsidRPr="00860806">
        <w:t>licence</w:t>
      </w:r>
      <w:r>
        <w:t xml:space="preserve"> </w:t>
      </w:r>
      <w:r w:rsidRPr="00860806">
        <w:t>na</w:t>
      </w:r>
      <w:r>
        <w:t xml:space="preserve"> </w:t>
      </w:r>
      <w:r w:rsidRPr="00860806">
        <w:t>rozvod</w:t>
      </w:r>
      <w:r>
        <w:t xml:space="preserve"> </w:t>
      </w:r>
      <w:r w:rsidRPr="00860806">
        <w:t>tepelné</w:t>
      </w:r>
      <w:r>
        <w:t xml:space="preserve"> </w:t>
      </w:r>
      <w:r w:rsidRPr="00860806">
        <w:t>energie,</w:t>
      </w:r>
      <w:r>
        <w:t xml:space="preserve"> </w:t>
      </w:r>
      <w:r w:rsidRPr="00860806">
        <w:t>jehož</w:t>
      </w:r>
      <w:r>
        <w:t xml:space="preserve"> </w:t>
      </w:r>
      <w:r w:rsidRPr="00860806">
        <w:t>celkový</w:t>
      </w:r>
      <w:r>
        <w:t xml:space="preserve"> </w:t>
      </w:r>
      <w:r w:rsidRPr="00860806">
        <w:t>roční</w:t>
      </w:r>
      <w:r>
        <w:t xml:space="preserve"> </w:t>
      </w:r>
      <w:r w:rsidRPr="00860806">
        <w:t>objem</w:t>
      </w:r>
      <w:r>
        <w:t xml:space="preserve"> </w:t>
      </w:r>
      <w:r w:rsidRPr="00860806">
        <w:t>tržeb</w:t>
      </w:r>
      <w:r>
        <w:t xml:space="preserve"> </w:t>
      </w:r>
      <w:r w:rsidRPr="00860806">
        <w:t>za</w:t>
      </w:r>
      <w:r>
        <w:t xml:space="preserve"> </w:t>
      </w:r>
      <w:r w:rsidRPr="00860806">
        <w:t>všechny</w:t>
      </w:r>
      <w:r>
        <w:t xml:space="preserve"> </w:t>
      </w:r>
      <w:r w:rsidRPr="00860806">
        <w:t>dodávky</w:t>
      </w:r>
      <w:r>
        <w:t xml:space="preserve"> </w:t>
      </w:r>
      <w:r w:rsidRPr="00860806">
        <w:t>tepelné</w:t>
      </w:r>
      <w:r>
        <w:t xml:space="preserve"> </w:t>
      </w:r>
      <w:r w:rsidRPr="00860806">
        <w:t>energie</w:t>
      </w:r>
      <w:r>
        <w:t xml:space="preserve"> </w:t>
      </w:r>
      <w:r w:rsidRPr="00860806">
        <w:t>přesahuje</w:t>
      </w:r>
      <w:r>
        <w:t xml:space="preserve"> </w:t>
      </w:r>
      <w:r w:rsidRPr="00860806">
        <w:t>2</w:t>
      </w:r>
      <w:r>
        <w:t xml:space="preserve"> </w:t>
      </w:r>
      <w:r w:rsidRPr="00860806">
        <w:t>500</w:t>
      </w:r>
      <w:r>
        <w:t xml:space="preserve"> </w:t>
      </w:r>
      <w:r w:rsidRPr="00860806">
        <w:t>000</w:t>
      </w:r>
      <w:r>
        <w:t xml:space="preserve"> </w:t>
      </w:r>
      <w:r w:rsidRPr="00860806">
        <w:t>Kč,</w:t>
      </w:r>
      <w:r>
        <w:t xml:space="preserve"> </w:t>
      </w:r>
      <w:r w:rsidRPr="00860806">
        <w:t>je</w:t>
      </w:r>
      <w:r>
        <w:t xml:space="preserve"> </w:t>
      </w:r>
      <w:r w:rsidRPr="00860806">
        <w:t>povinen</w:t>
      </w:r>
      <w:r>
        <w:t xml:space="preserve"> </w:t>
      </w:r>
      <w:r w:rsidRPr="00860806">
        <w:t>sestavovat</w:t>
      </w:r>
      <w:r>
        <w:t xml:space="preserve"> </w:t>
      </w:r>
      <w:r w:rsidRPr="00860806">
        <w:t>regulační</w:t>
      </w:r>
      <w:r>
        <w:t xml:space="preserve"> </w:t>
      </w:r>
      <w:r w:rsidRPr="00860806">
        <w:t>výkazy</w:t>
      </w:r>
      <w:r>
        <w:t xml:space="preserve"> </w:t>
      </w:r>
      <w:r w:rsidRPr="00860806">
        <w:t>a</w:t>
      </w:r>
      <w:r>
        <w:t xml:space="preserve"> </w:t>
      </w:r>
      <w:r w:rsidRPr="00860806">
        <w:t>předkládat</w:t>
      </w:r>
      <w:r>
        <w:t xml:space="preserve"> </w:t>
      </w:r>
      <w:r w:rsidRPr="00860806">
        <w:t>je</w:t>
      </w:r>
      <w:r>
        <w:t xml:space="preserve"> </w:t>
      </w:r>
      <w:r w:rsidRPr="00860806">
        <w:t>Energetickému</w:t>
      </w:r>
      <w:r>
        <w:t xml:space="preserve"> </w:t>
      </w:r>
      <w:r w:rsidRPr="00860806">
        <w:t>regulačnímu</w:t>
      </w:r>
      <w:r>
        <w:t xml:space="preserve"> </w:t>
      </w:r>
      <w:r w:rsidRPr="00860806">
        <w:t>úřadu.</w:t>
      </w:r>
      <w:r>
        <w:t xml:space="preserve"> </w:t>
      </w:r>
      <w:r w:rsidRPr="00860806">
        <w:t>Na</w:t>
      </w:r>
      <w:r>
        <w:t xml:space="preserve"> </w:t>
      </w:r>
      <w:r w:rsidRPr="00860806">
        <w:t>žádost</w:t>
      </w:r>
      <w:r>
        <w:t xml:space="preserve"> </w:t>
      </w:r>
      <w:r w:rsidRPr="00860806">
        <w:t>Energetického</w:t>
      </w:r>
      <w:r>
        <w:t xml:space="preserve"> </w:t>
      </w:r>
      <w:r w:rsidRPr="00860806">
        <w:t>regulačního</w:t>
      </w:r>
      <w:r>
        <w:t xml:space="preserve"> </w:t>
      </w:r>
      <w:r w:rsidRPr="00860806">
        <w:t>úřadu</w:t>
      </w:r>
      <w:r>
        <w:t xml:space="preserve"> </w:t>
      </w:r>
      <w:r w:rsidRPr="00860806">
        <w:t>je</w:t>
      </w:r>
      <w:r>
        <w:t xml:space="preserve"> </w:t>
      </w:r>
      <w:r w:rsidRPr="00860806">
        <w:t>osoba</w:t>
      </w:r>
      <w:r>
        <w:t xml:space="preserve"> </w:t>
      </w:r>
      <w:r w:rsidRPr="00860806">
        <w:t>předkládající</w:t>
      </w:r>
      <w:r>
        <w:t xml:space="preserve"> </w:t>
      </w:r>
      <w:r w:rsidRPr="00860806">
        <w:t>regulační</w:t>
      </w:r>
      <w:r>
        <w:t xml:space="preserve"> </w:t>
      </w:r>
      <w:r w:rsidRPr="00860806">
        <w:t>výkazy</w:t>
      </w:r>
      <w:r>
        <w:t xml:space="preserve"> </w:t>
      </w:r>
      <w:r w:rsidRPr="00860806">
        <w:t>povinna</w:t>
      </w:r>
      <w:r>
        <w:t xml:space="preserve"> </w:t>
      </w:r>
      <w:r w:rsidRPr="00860806">
        <w:t>předložit</w:t>
      </w:r>
      <w:r>
        <w:t xml:space="preserve"> </w:t>
      </w:r>
      <w:r w:rsidRPr="00860806">
        <w:t>jedno</w:t>
      </w:r>
      <w:r>
        <w:t xml:space="preserve"> </w:t>
      </w:r>
      <w:r w:rsidRPr="00860806">
        <w:t>vyhotovení</w:t>
      </w:r>
      <w:r>
        <w:t xml:space="preserve"> </w:t>
      </w:r>
      <w:r w:rsidRPr="00860806">
        <w:t>regulačních</w:t>
      </w:r>
      <w:r>
        <w:t xml:space="preserve"> </w:t>
      </w:r>
      <w:r w:rsidRPr="00860806">
        <w:t>výkazů,</w:t>
      </w:r>
      <w:r>
        <w:t xml:space="preserve"> </w:t>
      </w:r>
      <w:r w:rsidRPr="00860806">
        <w:t>ze</w:t>
      </w:r>
      <w:r>
        <w:t xml:space="preserve"> </w:t>
      </w:r>
      <w:r w:rsidRPr="00860806">
        <w:t>kterého</w:t>
      </w:r>
      <w:r>
        <w:t xml:space="preserve"> </w:t>
      </w:r>
      <w:r w:rsidRPr="00860806">
        <w:t>byly</w:t>
      </w:r>
      <w:r>
        <w:t xml:space="preserve"> </w:t>
      </w:r>
      <w:r w:rsidRPr="00860806">
        <w:t>odstraněny</w:t>
      </w:r>
      <w:r>
        <w:t xml:space="preserve"> </w:t>
      </w:r>
      <w:r w:rsidRPr="00860806">
        <w:t>údaje</w:t>
      </w:r>
      <w:r>
        <w:t xml:space="preserve"> </w:t>
      </w:r>
      <w:r w:rsidRPr="00860806">
        <w:t>mající</w:t>
      </w:r>
      <w:r>
        <w:t xml:space="preserve"> </w:t>
      </w:r>
      <w:r w:rsidRPr="00860806">
        <w:t>charakter</w:t>
      </w:r>
      <w:r>
        <w:t xml:space="preserve"> </w:t>
      </w:r>
      <w:r w:rsidRPr="00860806">
        <w:t>obchodního</w:t>
      </w:r>
      <w:r>
        <w:t xml:space="preserve"> </w:t>
      </w:r>
      <w:r w:rsidRPr="00860806">
        <w:t>tajemství</w:t>
      </w:r>
      <w:r>
        <w:t xml:space="preserve"> </w:t>
      </w:r>
      <w:r w:rsidRPr="00860806">
        <w:t>nebo</w:t>
      </w:r>
      <w:r>
        <w:t xml:space="preserve"> </w:t>
      </w:r>
      <w:r w:rsidRPr="00860806">
        <w:t>důvěrné</w:t>
      </w:r>
      <w:r>
        <w:t xml:space="preserve"> </w:t>
      </w:r>
      <w:r w:rsidRPr="00860806">
        <w:t>informace.</w:t>
      </w:r>
    </w:p>
    <w:p w14:paraId="1201A322" w14:textId="3D416453" w:rsidR="002C4DE2" w:rsidRPr="00860806" w:rsidRDefault="002C4DE2" w:rsidP="0010420C">
      <w:pPr>
        <w:pStyle w:val="Textparagrafu"/>
        <w:spacing w:before="120" w:after="120"/>
      </w:pPr>
      <w:r w:rsidRPr="00860806">
        <w:t>(7)</w:t>
      </w:r>
      <w:r>
        <w:t xml:space="preserve"> </w:t>
      </w:r>
      <w:r w:rsidR="0066285A" w:rsidRPr="00533343">
        <w:t xml:space="preserve">Držitel licence uvedený v odstavci 1 </w:t>
      </w:r>
      <w:r w:rsidR="0066285A" w:rsidRPr="00533343">
        <w:rPr>
          <w:strike/>
        </w:rPr>
        <w:t>je povinen</w:t>
      </w:r>
      <w:r w:rsidR="0066285A" w:rsidRPr="00533343">
        <w:rPr>
          <w:b/>
        </w:rPr>
        <w:t xml:space="preserve"> má povinnost auditu účetní závěrky a je povinen </w:t>
      </w:r>
      <w:r w:rsidR="0066285A" w:rsidRPr="00533343">
        <w:t xml:space="preserve">každoročně předkládat do 30. června Energetickému regulačnímu úřadu </w:t>
      </w:r>
      <w:r w:rsidR="0066285A" w:rsidRPr="00533343">
        <w:rPr>
          <w:strike/>
        </w:rPr>
        <w:t>ověřenou</w:t>
      </w:r>
      <w:r w:rsidR="0066285A" w:rsidRPr="00533343">
        <w:t xml:space="preserve"> </w:t>
      </w:r>
      <w:r w:rsidR="0066285A" w:rsidRPr="00533343">
        <w:rPr>
          <w:b/>
        </w:rPr>
        <w:t>řádnou individuální</w:t>
      </w:r>
      <w:r w:rsidR="0066285A" w:rsidRPr="00533343">
        <w:t xml:space="preserve"> účetní závěrku a zprávu auditora </w:t>
      </w:r>
      <w:r w:rsidR="0066285A" w:rsidRPr="00533343">
        <w:rPr>
          <w:b/>
        </w:rPr>
        <w:t>o povinném auditu</w:t>
      </w:r>
      <w:r w:rsidR="0066285A" w:rsidRPr="00533343">
        <w:t xml:space="preserve"> za předcházející </w:t>
      </w:r>
      <w:r w:rsidR="0066285A" w:rsidRPr="00533343">
        <w:rPr>
          <w:b/>
        </w:rPr>
        <w:t xml:space="preserve">individuální </w:t>
      </w:r>
      <w:r w:rsidR="0066285A" w:rsidRPr="00533343">
        <w:t xml:space="preserve">účetní období. Držitel licence na distribuci elektřiny nebo plynu, k jehož soustavě je připojeno méně než 90 000 odběrných míst zákazníků, výrobu nebo rozvod tepelné energie </w:t>
      </w:r>
      <w:r w:rsidR="0066285A" w:rsidRPr="00533343">
        <w:rPr>
          <w:strike/>
        </w:rPr>
        <w:t>je povinen</w:t>
      </w:r>
      <w:r w:rsidR="0066285A" w:rsidRPr="00533343">
        <w:t xml:space="preserve"> </w:t>
      </w:r>
      <w:r w:rsidR="0066285A" w:rsidRPr="00533343">
        <w:rPr>
          <w:b/>
        </w:rPr>
        <w:t xml:space="preserve">má povinnost auditu účetní závěrky a je povinen </w:t>
      </w:r>
      <w:r w:rsidR="0066285A" w:rsidRPr="00533343">
        <w:t xml:space="preserve">předkládat Energetickému regulačnímu úřadu </w:t>
      </w:r>
      <w:r w:rsidR="0066285A" w:rsidRPr="00533343">
        <w:rPr>
          <w:strike/>
        </w:rPr>
        <w:t>ověřenou</w:t>
      </w:r>
      <w:r w:rsidR="0066285A" w:rsidRPr="00533343">
        <w:t xml:space="preserve"> </w:t>
      </w:r>
      <w:r w:rsidR="0066285A" w:rsidRPr="00533343">
        <w:rPr>
          <w:b/>
        </w:rPr>
        <w:t>řádnou individuální</w:t>
      </w:r>
      <w:r w:rsidR="0066285A" w:rsidRPr="00533343">
        <w:t xml:space="preserve"> účetní závěrku a zprávu auditora </w:t>
      </w:r>
      <w:r w:rsidR="0066285A" w:rsidRPr="00533343">
        <w:rPr>
          <w:b/>
        </w:rPr>
        <w:t xml:space="preserve">o povinném auditu </w:t>
      </w:r>
      <w:r w:rsidR="0066285A" w:rsidRPr="00533343">
        <w:t xml:space="preserve">za předcházející </w:t>
      </w:r>
      <w:r w:rsidR="0066285A" w:rsidRPr="00533343">
        <w:rPr>
          <w:b/>
        </w:rPr>
        <w:t xml:space="preserve">individuální </w:t>
      </w:r>
      <w:r w:rsidR="0066285A" w:rsidRPr="00533343">
        <w:t>účetní období pouze na vyžádání.</w:t>
      </w:r>
    </w:p>
    <w:p w14:paraId="193703DC" w14:textId="772C41DA" w:rsidR="001F50E6" w:rsidRDefault="001E2C51" w:rsidP="001E2C51">
      <w:pPr>
        <w:pStyle w:val="Textparagrafu"/>
        <w:tabs>
          <w:tab w:val="left" w:pos="406"/>
          <w:tab w:val="left" w:pos="840"/>
          <w:tab w:val="left" w:pos="868"/>
        </w:tabs>
        <w:spacing w:after="120"/>
        <w:ind w:firstLine="0"/>
        <w:jc w:val="center"/>
      </w:pPr>
      <w:r>
        <w:t>***</w:t>
      </w:r>
    </w:p>
    <w:p w14:paraId="3A877B6B" w14:textId="77777777" w:rsidR="001E2C51" w:rsidRDefault="001E2C51" w:rsidP="001E2C51">
      <w:pPr>
        <w:pStyle w:val="Textparagrafu"/>
        <w:spacing w:after="120"/>
        <w:ind w:firstLine="0"/>
        <w:jc w:val="center"/>
      </w:pPr>
      <w:r w:rsidRPr="00860806">
        <w:t>§</w:t>
      </w:r>
      <w:r>
        <w:t xml:space="preserve"> </w:t>
      </w:r>
      <w:r w:rsidRPr="00860806">
        <w:t>23</w:t>
      </w:r>
    </w:p>
    <w:p w14:paraId="7A96947B" w14:textId="77777777" w:rsidR="001E2C51" w:rsidRPr="00860806" w:rsidRDefault="001E2C51" w:rsidP="001E2C51">
      <w:pPr>
        <w:pStyle w:val="Textparagrafu"/>
        <w:spacing w:after="120"/>
        <w:ind w:firstLine="0"/>
        <w:jc w:val="center"/>
        <w:rPr>
          <w:b/>
        </w:rPr>
      </w:pPr>
      <w:r w:rsidRPr="00860806">
        <w:rPr>
          <w:b/>
        </w:rPr>
        <w:t>Výrobce elektřiny</w:t>
      </w:r>
    </w:p>
    <w:p w14:paraId="7DCB2000" w14:textId="77777777" w:rsidR="001E2C51" w:rsidRDefault="001E2C51" w:rsidP="0010420C">
      <w:pPr>
        <w:pStyle w:val="Textparagrafu"/>
        <w:spacing w:before="120" w:after="120"/>
      </w:pPr>
      <w:r w:rsidRPr="00860806">
        <w:t>(1)</w:t>
      </w:r>
      <w:r>
        <w:t xml:space="preserve"> </w:t>
      </w:r>
      <w:r w:rsidRPr="00860806">
        <w:t>Výrobce</w:t>
      </w:r>
      <w:r>
        <w:t xml:space="preserve"> </w:t>
      </w:r>
      <w:r w:rsidRPr="00860806">
        <w:t>elektřiny</w:t>
      </w:r>
      <w:r>
        <w:t xml:space="preserve"> </w:t>
      </w:r>
      <w:r w:rsidRPr="00860806">
        <w:t>má</w:t>
      </w:r>
      <w:r>
        <w:t xml:space="preserve"> </w:t>
      </w:r>
      <w:r w:rsidRPr="00860806">
        <w:t>právo</w:t>
      </w:r>
    </w:p>
    <w:p w14:paraId="7497A0CD" w14:textId="692D3A0E" w:rsidR="001E2C51" w:rsidRDefault="001E2C51" w:rsidP="002E6AEA">
      <w:pPr>
        <w:pStyle w:val="Textparagrafu"/>
        <w:tabs>
          <w:tab w:val="left" w:pos="392"/>
          <w:tab w:val="left" w:pos="840"/>
        </w:tabs>
        <w:spacing w:before="0"/>
        <w:ind w:left="426" w:hanging="426"/>
      </w:pPr>
      <w:r w:rsidRPr="00860806">
        <w:t>a)</w:t>
      </w:r>
      <w:r>
        <w:tab/>
      </w:r>
      <w:r w:rsidRPr="00860806">
        <w:t>připojit</w:t>
      </w:r>
      <w:r>
        <w:t xml:space="preserve"> </w:t>
      </w:r>
      <w:r w:rsidRPr="00860806">
        <w:t>své</w:t>
      </w:r>
      <w:r>
        <w:t xml:space="preserve"> </w:t>
      </w:r>
      <w:r w:rsidRPr="00860806">
        <w:t>zařízení</w:t>
      </w:r>
      <w:r>
        <w:t xml:space="preserve"> </w:t>
      </w:r>
      <w:r w:rsidRPr="00860806">
        <w:t>k</w:t>
      </w:r>
      <w:r>
        <w:t xml:space="preserve"> </w:t>
      </w:r>
      <w:r w:rsidRPr="00860806">
        <w:t>elektrizační</w:t>
      </w:r>
      <w:r>
        <w:t xml:space="preserve"> </w:t>
      </w:r>
      <w:r w:rsidRPr="00860806">
        <w:t>soustavě,</w:t>
      </w:r>
      <w:r>
        <w:t xml:space="preserve"> </w:t>
      </w:r>
      <w:r w:rsidRPr="00860806">
        <w:t>pokud</w:t>
      </w:r>
      <w:r>
        <w:t xml:space="preserve"> </w:t>
      </w:r>
      <w:r w:rsidRPr="00860806">
        <w:t>splňuje</w:t>
      </w:r>
      <w:r>
        <w:t xml:space="preserve"> </w:t>
      </w:r>
      <w:r w:rsidRPr="00860806">
        <w:t>podmínky</w:t>
      </w:r>
      <w:r>
        <w:t xml:space="preserve"> </w:t>
      </w:r>
      <w:r w:rsidRPr="00860806">
        <w:t>připojení</w:t>
      </w:r>
      <w:r>
        <w:t xml:space="preserve"> </w:t>
      </w:r>
      <w:r w:rsidRPr="00860806">
        <w:t>k</w:t>
      </w:r>
      <w:r>
        <w:t xml:space="preserve"> </w:t>
      </w:r>
      <w:r w:rsidRPr="00860806">
        <w:t>přenosové</w:t>
      </w:r>
      <w:r>
        <w:t xml:space="preserve"> </w:t>
      </w:r>
      <w:r w:rsidRPr="00860806">
        <w:t>soustavě</w:t>
      </w:r>
      <w:r>
        <w:t xml:space="preserve"> </w:t>
      </w:r>
      <w:r w:rsidRPr="00860806">
        <w:t>nebo</w:t>
      </w:r>
      <w:r>
        <w:t xml:space="preserve"> </w:t>
      </w:r>
      <w:r w:rsidRPr="00860806">
        <w:t>k</w:t>
      </w:r>
      <w:r>
        <w:t xml:space="preserve"> </w:t>
      </w:r>
      <w:r w:rsidRPr="00860806">
        <w:t>distribučním</w:t>
      </w:r>
      <w:r>
        <w:t xml:space="preserve"> </w:t>
      </w:r>
      <w:r w:rsidRPr="00860806">
        <w:t>soustavám</w:t>
      </w:r>
      <w:r>
        <w:t xml:space="preserve"> </w:t>
      </w:r>
      <w:r w:rsidRPr="00860806">
        <w:t>a</w:t>
      </w:r>
      <w:r>
        <w:t xml:space="preserve"> </w:t>
      </w:r>
      <w:r w:rsidRPr="00860806">
        <w:t>obchodní</w:t>
      </w:r>
      <w:r>
        <w:t xml:space="preserve"> </w:t>
      </w:r>
      <w:r w:rsidRPr="00860806">
        <w:t>podmínky</w:t>
      </w:r>
      <w:r>
        <w:t xml:space="preserve"> </w:t>
      </w:r>
      <w:r w:rsidRPr="00860806">
        <w:t>stanovené</w:t>
      </w:r>
      <w:r>
        <w:t xml:space="preserve"> </w:t>
      </w:r>
      <w:r w:rsidRPr="00860806">
        <w:t>Pravidly</w:t>
      </w:r>
      <w:r>
        <w:t xml:space="preserve"> </w:t>
      </w:r>
      <w:r w:rsidRPr="00860806">
        <w:t>provozování</w:t>
      </w:r>
      <w:r>
        <w:t xml:space="preserve"> </w:t>
      </w:r>
      <w:r w:rsidRPr="00860806">
        <w:t>přenosové</w:t>
      </w:r>
      <w:r>
        <w:t xml:space="preserve"> </w:t>
      </w:r>
      <w:r w:rsidRPr="00860806">
        <w:t>soustavy</w:t>
      </w:r>
      <w:r>
        <w:t xml:space="preserve"> </w:t>
      </w:r>
      <w:r w:rsidRPr="00860806">
        <w:t>nebo</w:t>
      </w:r>
      <w:r>
        <w:t xml:space="preserve"> </w:t>
      </w:r>
      <w:r w:rsidRPr="00860806">
        <w:t>Pravidly</w:t>
      </w:r>
      <w:r>
        <w:t xml:space="preserve"> </w:t>
      </w:r>
      <w:r w:rsidRPr="00860806">
        <w:t>provozování</w:t>
      </w:r>
      <w:r>
        <w:t xml:space="preserve"> </w:t>
      </w:r>
      <w:r w:rsidRPr="00860806">
        <w:t>distribuční</w:t>
      </w:r>
      <w:r>
        <w:t xml:space="preserve"> </w:t>
      </w:r>
      <w:r w:rsidRPr="00860806">
        <w:t>soustavy,</w:t>
      </w:r>
    </w:p>
    <w:p w14:paraId="7800BB9A" w14:textId="6B1D2D5F" w:rsidR="001E2C51" w:rsidRDefault="001E2C51" w:rsidP="002E6AEA">
      <w:pPr>
        <w:pStyle w:val="Textparagrafu"/>
        <w:tabs>
          <w:tab w:val="left" w:pos="392"/>
          <w:tab w:val="left" w:pos="840"/>
        </w:tabs>
        <w:spacing w:before="0"/>
        <w:ind w:left="426" w:hanging="426"/>
      </w:pPr>
      <w:r w:rsidRPr="00860806">
        <w:t>b)</w:t>
      </w:r>
      <w:r>
        <w:tab/>
      </w:r>
      <w:r w:rsidRPr="00860806">
        <w:t>dodávat</w:t>
      </w:r>
      <w:r>
        <w:t xml:space="preserve"> </w:t>
      </w:r>
      <w:r w:rsidRPr="00860806">
        <w:t>elektřinu</w:t>
      </w:r>
      <w:r>
        <w:t xml:space="preserve"> </w:t>
      </w:r>
      <w:r w:rsidRPr="00860806">
        <w:t>vyrobenou</w:t>
      </w:r>
      <w:r>
        <w:t xml:space="preserve"> </w:t>
      </w:r>
      <w:r w:rsidRPr="00860806">
        <w:t>v</w:t>
      </w:r>
      <w:r>
        <w:t xml:space="preserve"> </w:t>
      </w:r>
      <w:r w:rsidRPr="00860806">
        <w:t>jím</w:t>
      </w:r>
      <w:r>
        <w:t xml:space="preserve"> </w:t>
      </w:r>
      <w:r w:rsidRPr="00860806">
        <w:t>provozované</w:t>
      </w:r>
      <w:r>
        <w:t xml:space="preserve"> </w:t>
      </w:r>
      <w:r w:rsidRPr="00860806">
        <w:t>výrobně</w:t>
      </w:r>
      <w:r>
        <w:t xml:space="preserve"> </w:t>
      </w:r>
      <w:r w:rsidRPr="00860806">
        <w:t>elektřiny</w:t>
      </w:r>
      <w:r>
        <w:t xml:space="preserve"> </w:t>
      </w:r>
      <w:r w:rsidRPr="00860806">
        <w:t>ostatním</w:t>
      </w:r>
      <w:r>
        <w:t xml:space="preserve"> </w:t>
      </w:r>
      <w:r w:rsidRPr="00860806">
        <w:t>účastníkům</w:t>
      </w:r>
      <w:r>
        <w:t xml:space="preserve"> </w:t>
      </w:r>
      <w:r w:rsidRPr="00860806">
        <w:t>trhu</w:t>
      </w:r>
      <w:r>
        <w:t xml:space="preserve"> </w:t>
      </w:r>
      <w:r w:rsidRPr="00860806">
        <w:t>s</w:t>
      </w:r>
      <w:r>
        <w:t xml:space="preserve"> </w:t>
      </w:r>
      <w:r w:rsidRPr="00860806">
        <w:t>elektřinou</w:t>
      </w:r>
      <w:r>
        <w:t xml:space="preserve"> </w:t>
      </w:r>
      <w:r w:rsidRPr="00860806">
        <w:t>nebo</w:t>
      </w:r>
      <w:r>
        <w:t xml:space="preserve"> </w:t>
      </w:r>
      <w:r w:rsidRPr="00860806">
        <w:t>do</w:t>
      </w:r>
      <w:r>
        <w:t xml:space="preserve"> </w:t>
      </w:r>
      <w:r w:rsidRPr="00860806">
        <w:t>jiných</w:t>
      </w:r>
      <w:r>
        <w:t xml:space="preserve"> </w:t>
      </w:r>
      <w:r w:rsidRPr="00860806">
        <w:t>států</w:t>
      </w:r>
      <w:r>
        <w:t xml:space="preserve"> </w:t>
      </w:r>
      <w:r w:rsidRPr="00860806">
        <w:t>prostřednictvím</w:t>
      </w:r>
      <w:r>
        <w:t xml:space="preserve"> </w:t>
      </w:r>
      <w:r w:rsidRPr="00860806">
        <w:t>přenosové</w:t>
      </w:r>
      <w:r>
        <w:t xml:space="preserve"> </w:t>
      </w:r>
      <w:r w:rsidRPr="00860806">
        <w:t>soustavy</w:t>
      </w:r>
      <w:r>
        <w:t xml:space="preserve"> </w:t>
      </w:r>
      <w:r w:rsidRPr="00860806">
        <w:t>nebo</w:t>
      </w:r>
      <w:r>
        <w:t xml:space="preserve"> </w:t>
      </w:r>
      <w:r w:rsidRPr="00860806">
        <w:t>distribuční</w:t>
      </w:r>
      <w:r>
        <w:t xml:space="preserve"> </w:t>
      </w:r>
      <w:r w:rsidRPr="00860806">
        <w:t>soustavy,</w:t>
      </w:r>
      <w:r>
        <w:t xml:space="preserve"> </w:t>
      </w:r>
      <w:r w:rsidRPr="00860806">
        <w:t>nebo</w:t>
      </w:r>
      <w:r>
        <w:t xml:space="preserve"> </w:t>
      </w:r>
      <w:r w:rsidRPr="00860806">
        <w:t>přímým</w:t>
      </w:r>
      <w:r>
        <w:t xml:space="preserve"> </w:t>
      </w:r>
      <w:r w:rsidRPr="00860806">
        <w:t>vedením,</w:t>
      </w:r>
    </w:p>
    <w:p w14:paraId="4F29E8C6" w14:textId="3510CAEC" w:rsidR="001E2C51" w:rsidRDefault="001E2C51" w:rsidP="002E6AEA">
      <w:pPr>
        <w:pStyle w:val="Textparagrafu"/>
        <w:tabs>
          <w:tab w:val="left" w:pos="392"/>
          <w:tab w:val="left" w:pos="840"/>
        </w:tabs>
        <w:spacing w:before="0"/>
        <w:ind w:left="426" w:hanging="426"/>
      </w:pPr>
      <w:r w:rsidRPr="00860806">
        <w:t>c)</w:t>
      </w:r>
      <w:r>
        <w:tab/>
      </w:r>
      <w:r w:rsidRPr="00860806">
        <w:t>dodávat</w:t>
      </w:r>
      <w:r>
        <w:t xml:space="preserve"> </w:t>
      </w:r>
      <w:r w:rsidRPr="00860806">
        <w:t>elektřinu</w:t>
      </w:r>
      <w:r>
        <w:t xml:space="preserve"> </w:t>
      </w:r>
      <w:r w:rsidRPr="00860806">
        <w:t>vyrobenou</w:t>
      </w:r>
      <w:r>
        <w:t xml:space="preserve"> </w:t>
      </w:r>
      <w:r w:rsidRPr="00860806">
        <w:t>ve</w:t>
      </w:r>
      <w:r>
        <w:t xml:space="preserve"> </w:t>
      </w:r>
      <w:r w:rsidRPr="00860806">
        <w:t>vlastní</w:t>
      </w:r>
      <w:r>
        <w:t xml:space="preserve"> </w:t>
      </w:r>
      <w:r w:rsidRPr="00860806">
        <w:t>výrobně</w:t>
      </w:r>
      <w:r>
        <w:t xml:space="preserve"> </w:t>
      </w:r>
      <w:r w:rsidRPr="00860806">
        <w:t>elektřiny</w:t>
      </w:r>
      <w:r>
        <w:t xml:space="preserve"> </w:t>
      </w:r>
      <w:r w:rsidRPr="00860806">
        <w:t>pro</w:t>
      </w:r>
      <w:r>
        <w:t xml:space="preserve"> </w:t>
      </w:r>
      <w:r w:rsidRPr="00860806">
        <w:t>vlastní</w:t>
      </w:r>
      <w:r>
        <w:t xml:space="preserve"> </w:t>
      </w:r>
      <w:r w:rsidRPr="00860806">
        <w:t>potřebu,</w:t>
      </w:r>
      <w:r>
        <w:t xml:space="preserve"> </w:t>
      </w:r>
      <w:r w:rsidRPr="00860806">
        <w:t>pokud</w:t>
      </w:r>
      <w:r>
        <w:t xml:space="preserve"> </w:t>
      </w:r>
      <w:r w:rsidRPr="00860806">
        <w:t>mu</w:t>
      </w:r>
      <w:r>
        <w:t xml:space="preserve"> </w:t>
      </w:r>
      <w:r w:rsidRPr="00860806">
        <w:t>to</w:t>
      </w:r>
      <w:r>
        <w:t xml:space="preserve"> </w:t>
      </w:r>
      <w:r w:rsidRPr="00860806">
        <w:t>podmínky</w:t>
      </w:r>
      <w:r>
        <w:t xml:space="preserve"> </w:t>
      </w:r>
      <w:r w:rsidRPr="00860806">
        <w:t>provozování</w:t>
      </w:r>
      <w:r>
        <w:t xml:space="preserve"> </w:t>
      </w:r>
      <w:r w:rsidRPr="00860806">
        <w:t>přenosové</w:t>
      </w:r>
      <w:r>
        <w:t xml:space="preserve"> </w:t>
      </w:r>
      <w:r w:rsidRPr="00860806">
        <w:t>soustavy</w:t>
      </w:r>
      <w:r>
        <w:t xml:space="preserve"> </w:t>
      </w:r>
      <w:r w:rsidRPr="00860806">
        <w:t>a</w:t>
      </w:r>
      <w:r>
        <w:t xml:space="preserve"> </w:t>
      </w:r>
      <w:r w:rsidRPr="00860806">
        <w:t>distribučních</w:t>
      </w:r>
      <w:r>
        <w:t xml:space="preserve"> </w:t>
      </w:r>
      <w:r w:rsidRPr="00860806">
        <w:t>soustav</w:t>
      </w:r>
      <w:r>
        <w:t xml:space="preserve"> </w:t>
      </w:r>
      <w:r w:rsidRPr="00860806">
        <w:t>umožňují,</w:t>
      </w:r>
    </w:p>
    <w:p w14:paraId="15D3C814" w14:textId="67C59DB8" w:rsidR="001E2C51" w:rsidRDefault="001E2C51" w:rsidP="002E6AEA">
      <w:pPr>
        <w:pStyle w:val="Textparagrafu"/>
        <w:tabs>
          <w:tab w:val="left" w:pos="392"/>
          <w:tab w:val="left" w:pos="840"/>
        </w:tabs>
        <w:spacing w:before="0"/>
        <w:ind w:left="426" w:hanging="426"/>
      </w:pPr>
      <w:r w:rsidRPr="00860806">
        <w:t>d)</w:t>
      </w:r>
      <w:r>
        <w:tab/>
      </w:r>
      <w:r w:rsidRPr="00860806">
        <w:t>nabízet</w:t>
      </w:r>
      <w:r>
        <w:t xml:space="preserve"> </w:t>
      </w:r>
      <w:r w:rsidRPr="00860806">
        <w:t>a</w:t>
      </w:r>
      <w:r>
        <w:t xml:space="preserve"> </w:t>
      </w:r>
      <w:r w:rsidRPr="00860806">
        <w:t>poskytovat</w:t>
      </w:r>
      <w:r>
        <w:t xml:space="preserve"> </w:t>
      </w:r>
      <w:r w:rsidRPr="00860806">
        <w:t>podpůrné</w:t>
      </w:r>
      <w:r>
        <w:t xml:space="preserve"> </w:t>
      </w:r>
      <w:r w:rsidRPr="00860806">
        <w:t>služby</w:t>
      </w:r>
      <w:r>
        <w:t xml:space="preserve"> </w:t>
      </w:r>
      <w:r w:rsidRPr="00860806">
        <w:t>k</w:t>
      </w:r>
      <w:r>
        <w:t xml:space="preserve"> </w:t>
      </w:r>
      <w:r w:rsidRPr="00860806">
        <w:t>zajištění</w:t>
      </w:r>
      <w:r>
        <w:t xml:space="preserve"> </w:t>
      </w:r>
      <w:r w:rsidRPr="00860806">
        <w:t>provozu</w:t>
      </w:r>
      <w:r>
        <w:t xml:space="preserve"> </w:t>
      </w:r>
      <w:r w:rsidRPr="00860806">
        <w:t>elektrizační</w:t>
      </w:r>
      <w:r>
        <w:t xml:space="preserve"> </w:t>
      </w:r>
      <w:r w:rsidRPr="00860806">
        <w:t>soustavy</w:t>
      </w:r>
      <w:r>
        <w:t xml:space="preserve"> </w:t>
      </w:r>
      <w:r w:rsidRPr="00860806">
        <w:t>za</w:t>
      </w:r>
      <w:r>
        <w:t xml:space="preserve"> </w:t>
      </w:r>
      <w:r w:rsidRPr="00860806">
        <w:t>podmínek</w:t>
      </w:r>
      <w:r>
        <w:t xml:space="preserve"> </w:t>
      </w:r>
      <w:r w:rsidRPr="00860806">
        <w:t>stanovených</w:t>
      </w:r>
      <w:r>
        <w:t xml:space="preserve"> </w:t>
      </w:r>
      <w:r w:rsidRPr="00860806">
        <w:t>Pravidly</w:t>
      </w:r>
      <w:r>
        <w:t xml:space="preserve"> </w:t>
      </w:r>
      <w:r w:rsidRPr="00860806">
        <w:t>provozování</w:t>
      </w:r>
      <w:r>
        <w:t xml:space="preserve"> </w:t>
      </w:r>
      <w:r w:rsidRPr="00860806">
        <w:t>přenosové</w:t>
      </w:r>
      <w:r>
        <w:t xml:space="preserve"> </w:t>
      </w:r>
      <w:r w:rsidRPr="00860806">
        <w:t>soustavy</w:t>
      </w:r>
      <w:r>
        <w:t xml:space="preserve"> </w:t>
      </w:r>
      <w:r w:rsidRPr="00860806">
        <w:t>nebo</w:t>
      </w:r>
      <w:r>
        <w:t xml:space="preserve"> </w:t>
      </w:r>
      <w:r w:rsidRPr="00860806">
        <w:t>Pravidly</w:t>
      </w:r>
      <w:r>
        <w:t xml:space="preserve"> </w:t>
      </w:r>
      <w:r w:rsidRPr="00860806">
        <w:t>provozování</w:t>
      </w:r>
      <w:r>
        <w:t xml:space="preserve"> </w:t>
      </w:r>
      <w:r w:rsidRPr="00860806">
        <w:t>distribuční</w:t>
      </w:r>
      <w:r>
        <w:t xml:space="preserve"> </w:t>
      </w:r>
      <w:r w:rsidRPr="00860806">
        <w:t>soustavy,</w:t>
      </w:r>
    </w:p>
    <w:p w14:paraId="78AF5A10" w14:textId="009B2AF1" w:rsidR="001E2C51" w:rsidRDefault="001E2C51" w:rsidP="002E6AEA">
      <w:pPr>
        <w:pStyle w:val="Textparagrafu"/>
        <w:tabs>
          <w:tab w:val="left" w:pos="392"/>
          <w:tab w:val="left" w:pos="840"/>
        </w:tabs>
        <w:spacing w:before="0"/>
        <w:ind w:left="426" w:hanging="426"/>
      </w:pPr>
      <w:r w:rsidRPr="00860806">
        <w:t>e)</w:t>
      </w:r>
      <w:r>
        <w:tab/>
      </w:r>
      <w:r w:rsidRPr="00860806">
        <w:t>omezit,</w:t>
      </w:r>
      <w:r>
        <w:t xml:space="preserve"> </w:t>
      </w:r>
      <w:r w:rsidRPr="00860806">
        <w:t>přerušit</w:t>
      </w:r>
      <w:r>
        <w:t xml:space="preserve"> </w:t>
      </w:r>
      <w:r w:rsidRPr="00860806">
        <w:t>nebo</w:t>
      </w:r>
      <w:r>
        <w:t xml:space="preserve"> </w:t>
      </w:r>
      <w:r w:rsidRPr="00860806">
        <w:t>ukončit</w:t>
      </w:r>
      <w:r>
        <w:t xml:space="preserve"> </w:t>
      </w:r>
      <w:r w:rsidRPr="00860806">
        <w:t>dodávku</w:t>
      </w:r>
      <w:r>
        <w:t xml:space="preserve"> </w:t>
      </w:r>
      <w:r w:rsidRPr="00860806">
        <w:t>elektřiny</w:t>
      </w:r>
      <w:r>
        <w:t xml:space="preserve"> </w:t>
      </w:r>
      <w:r w:rsidRPr="00860806">
        <w:t>svým</w:t>
      </w:r>
      <w:r>
        <w:t xml:space="preserve"> </w:t>
      </w:r>
      <w:r w:rsidRPr="00860806">
        <w:t>zákazníkům</w:t>
      </w:r>
      <w:r>
        <w:t xml:space="preserve"> </w:t>
      </w:r>
      <w:r w:rsidRPr="00860806">
        <w:t>při</w:t>
      </w:r>
      <w:r>
        <w:t xml:space="preserve"> </w:t>
      </w:r>
      <w:r w:rsidRPr="00860806">
        <w:t>neoprávněném</w:t>
      </w:r>
      <w:r>
        <w:t xml:space="preserve"> </w:t>
      </w:r>
      <w:r w:rsidRPr="00860806">
        <w:t>odběru</w:t>
      </w:r>
      <w:r>
        <w:t xml:space="preserve"> </w:t>
      </w:r>
      <w:r w:rsidRPr="00860806">
        <w:t>elektřiny,</w:t>
      </w:r>
    </w:p>
    <w:p w14:paraId="7A1F1DDB" w14:textId="1727766B" w:rsidR="001E2C51" w:rsidRDefault="001E2C51" w:rsidP="002E6AEA">
      <w:pPr>
        <w:pStyle w:val="Textparagrafu"/>
        <w:tabs>
          <w:tab w:val="left" w:pos="392"/>
          <w:tab w:val="left" w:pos="840"/>
        </w:tabs>
        <w:spacing w:before="0"/>
        <w:ind w:left="426" w:hanging="426"/>
      </w:pPr>
      <w:r w:rsidRPr="00860806">
        <w:t>f)</w:t>
      </w:r>
      <w:r>
        <w:tab/>
      </w:r>
      <w:r w:rsidRPr="00860806">
        <w:t>nakupovat</w:t>
      </w:r>
      <w:r>
        <w:t xml:space="preserve"> </w:t>
      </w:r>
      <w:r w:rsidRPr="00860806">
        <w:t>elektřinu</w:t>
      </w:r>
      <w:r>
        <w:t xml:space="preserve"> </w:t>
      </w:r>
      <w:r w:rsidRPr="00860806">
        <w:t>pro</w:t>
      </w:r>
      <w:r>
        <w:t xml:space="preserve"> </w:t>
      </w:r>
      <w:r w:rsidRPr="00860806">
        <w:t>technologickou</w:t>
      </w:r>
      <w:r>
        <w:t xml:space="preserve"> </w:t>
      </w:r>
      <w:r w:rsidRPr="00860806">
        <w:t>vlastní</w:t>
      </w:r>
      <w:r>
        <w:t xml:space="preserve"> </w:t>
      </w:r>
      <w:r w:rsidRPr="00860806">
        <w:t>spotřebu</w:t>
      </w:r>
      <w:r>
        <w:t xml:space="preserve"> </w:t>
      </w:r>
      <w:r w:rsidRPr="00860806">
        <w:t>své</w:t>
      </w:r>
      <w:r>
        <w:t xml:space="preserve"> </w:t>
      </w:r>
      <w:r w:rsidRPr="00860806">
        <w:t>výrobny</w:t>
      </w:r>
      <w:r>
        <w:t xml:space="preserve"> </w:t>
      </w:r>
      <w:r w:rsidRPr="00860806">
        <w:t>elektřiny,</w:t>
      </w:r>
    </w:p>
    <w:p w14:paraId="16C9591E" w14:textId="15D933FC" w:rsidR="001E2C51" w:rsidRDefault="001E2C51" w:rsidP="002E6AEA">
      <w:pPr>
        <w:pStyle w:val="Textparagrafu"/>
        <w:tabs>
          <w:tab w:val="left" w:pos="392"/>
          <w:tab w:val="left" w:pos="840"/>
        </w:tabs>
        <w:spacing w:before="0"/>
        <w:ind w:left="426" w:hanging="426"/>
      </w:pPr>
      <w:r w:rsidRPr="00860806">
        <w:t>g)</w:t>
      </w:r>
      <w:r>
        <w:tab/>
      </w:r>
      <w:r w:rsidRPr="00860806">
        <w:t>sdílet</w:t>
      </w:r>
      <w:r>
        <w:t xml:space="preserve"> </w:t>
      </w:r>
      <w:r w:rsidRPr="00860806">
        <w:t>s</w:t>
      </w:r>
      <w:r>
        <w:t xml:space="preserve"> </w:t>
      </w:r>
      <w:r w:rsidRPr="00860806">
        <w:t>využitím</w:t>
      </w:r>
      <w:r>
        <w:t xml:space="preserve"> </w:t>
      </w:r>
      <w:r w:rsidRPr="00860806">
        <w:t>distribuční</w:t>
      </w:r>
      <w:r>
        <w:t xml:space="preserve"> </w:t>
      </w:r>
      <w:r w:rsidRPr="00860806">
        <w:t>nebo</w:t>
      </w:r>
      <w:r>
        <w:t xml:space="preserve"> </w:t>
      </w:r>
      <w:r w:rsidRPr="00860806">
        <w:t>přenosové</w:t>
      </w:r>
      <w:r>
        <w:t xml:space="preserve"> </w:t>
      </w:r>
      <w:r w:rsidRPr="00860806">
        <w:t>soustavy</w:t>
      </w:r>
      <w:r>
        <w:t xml:space="preserve"> </w:t>
      </w:r>
      <w:r w:rsidRPr="00860806">
        <w:t>elektřinu</w:t>
      </w:r>
      <w:r>
        <w:t xml:space="preserve"> </w:t>
      </w:r>
      <w:r w:rsidRPr="00860806">
        <w:t>vyrobenou</w:t>
      </w:r>
      <w:r>
        <w:t xml:space="preserve"> </w:t>
      </w:r>
      <w:r w:rsidRPr="00860806">
        <w:t>v</w:t>
      </w:r>
      <w:r>
        <w:t xml:space="preserve"> </w:t>
      </w:r>
      <w:r w:rsidRPr="00860806">
        <w:t>jím</w:t>
      </w:r>
      <w:r>
        <w:t xml:space="preserve"> </w:t>
      </w:r>
      <w:r w:rsidRPr="00860806">
        <w:t>provozované</w:t>
      </w:r>
      <w:r>
        <w:t xml:space="preserve"> </w:t>
      </w:r>
      <w:r w:rsidRPr="00860806">
        <w:t>výrobně</w:t>
      </w:r>
      <w:r>
        <w:t xml:space="preserve"> </w:t>
      </w:r>
      <w:r w:rsidRPr="00860806">
        <w:t>elektřiny</w:t>
      </w:r>
      <w:r>
        <w:t xml:space="preserve"> </w:t>
      </w:r>
      <w:r w:rsidRPr="00860806">
        <w:t>do</w:t>
      </w:r>
      <w:r>
        <w:t xml:space="preserve"> </w:t>
      </w:r>
      <w:r w:rsidRPr="00860806">
        <w:t>jiného</w:t>
      </w:r>
      <w:r>
        <w:t xml:space="preserve"> </w:t>
      </w:r>
      <w:r w:rsidRPr="00860806">
        <w:t>předávacího</w:t>
      </w:r>
      <w:r>
        <w:t xml:space="preserve"> </w:t>
      </w:r>
      <w:r w:rsidRPr="00860806">
        <w:t>místa</w:t>
      </w:r>
      <w:r>
        <w:t xml:space="preserve"> </w:t>
      </w:r>
      <w:r w:rsidRPr="00860806">
        <w:t>výrobce</w:t>
      </w:r>
      <w:r>
        <w:t xml:space="preserve"> </w:t>
      </w:r>
      <w:r w:rsidRPr="00860806">
        <w:t>elektřiny,</w:t>
      </w:r>
    </w:p>
    <w:p w14:paraId="456C7F6F" w14:textId="0B92E2F5" w:rsidR="001E2C51" w:rsidRDefault="001E2C51" w:rsidP="002E6AEA">
      <w:pPr>
        <w:pStyle w:val="Textparagrafu"/>
        <w:tabs>
          <w:tab w:val="left" w:pos="392"/>
          <w:tab w:val="left" w:pos="840"/>
        </w:tabs>
        <w:spacing w:before="0"/>
        <w:ind w:left="426" w:hanging="426"/>
      </w:pPr>
      <w:r w:rsidRPr="00860806">
        <w:t>h)</w:t>
      </w:r>
      <w:r>
        <w:tab/>
      </w:r>
      <w:r w:rsidRPr="00860806">
        <w:t>sdílet</w:t>
      </w:r>
      <w:r>
        <w:t xml:space="preserve"> </w:t>
      </w:r>
      <w:r w:rsidRPr="00860806">
        <w:t>elektřinu</w:t>
      </w:r>
      <w:r>
        <w:t xml:space="preserve"> </w:t>
      </w:r>
      <w:r w:rsidRPr="00860806">
        <w:t>vyrobenou</w:t>
      </w:r>
      <w:r>
        <w:t xml:space="preserve"> </w:t>
      </w:r>
      <w:r w:rsidRPr="00860806">
        <w:t>v</w:t>
      </w:r>
      <w:r>
        <w:t xml:space="preserve"> </w:t>
      </w:r>
      <w:r w:rsidRPr="00860806">
        <w:t>jím</w:t>
      </w:r>
      <w:r>
        <w:t xml:space="preserve"> </w:t>
      </w:r>
      <w:r w:rsidRPr="00860806">
        <w:t>provozované</w:t>
      </w:r>
      <w:r>
        <w:t xml:space="preserve"> </w:t>
      </w:r>
      <w:r w:rsidRPr="00860806">
        <w:t>výrobně</w:t>
      </w:r>
      <w:r>
        <w:t xml:space="preserve"> </w:t>
      </w:r>
      <w:r w:rsidRPr="00860806">
        <w:t>elektřiny</w:t>
      </w:r>
      <w:r>
        <w:t xml:space="preserve"> </w:t>
      </w:r>
      <w:r w:rsidRPr="00860806">
        <w:t>zákazníkovi,</w:t>
      </w:r>
      <w:r>
        <w:t xml:space="preserve"> </w:t>
      </w:r>
      <w:r w:rsidRPr="00860806">
        <w:t>jestliže</w:t>
      </w:r>
      <w:r>
        <w:t xml:space="preserve"> </w:t>
      </w:r>
      <w:r w:rsidRPr="00860806">
        <w:t>mají</w:t>
      </w:r>
      <w:r>
        <w:t xml:space="preserve"> </w:t>
      </w:r>
      <w:r w:rsidRPr="00860806">
        <w:t>tito</w:t>
      </w:r>
      <w:r>
        <w:t xml:space="preserve"> </w:t>
      </w:r>
      <w:r w:rsidRPr="00860806">
        <w:t>účastníci</w:t>
      </w:r>
      <w:r>
        <w:t xml:space="preserve"> </w:t>
      </w:r>
      <w:r w:rsidRPr="00860806">
        <w:t>trhu</w:t>
      </w:r>
      <w:r>
        <w:t xml:space="preserve"> </w:t>
      </w:r>
      <w:r w:rsidRPr="00860806">
        <w:t>s</w:t>
      </w:r>
      <w:r>
        <w:t xml:space="preserve"> </w:t>
      </w:r>
      <w:r w:rsidRPr="00860806">
        <w:t>elektřinou</w:t>
      </w:r>
      <w:r>
        <w:t xml:space="preserve"> </w:t>
      </w:r>
      <w:r w:rsidRPr="00860806">
        <w:t>předávací</w:t>
      </w:r>
      <w:r>
        <w:t xml:space="preserve"> </w:t>
      </w:r>
      <w:r w:rsidRPr="00860806">
        <w:t>místa</w:t>
      </w:r>
      <w:r>
        <w:t xml:space="preserve"> </w:t>
      </w:r>
      <w:r w:rsidRPr="00860806">
        <w:t>připojená</w:t>
      </w:r>
      <w:r>
        <w:t xml:space="preserve"> </w:t>
      </w:r>
      <w:r w:rsidRPr="00860806">
        <w:t>k</w:t>
      </w:r>
      <w:r>
        <w:t xml:space="preserve"> </w:t>
      </w:r>
      <w:r w:rsidRPr="00860806">
        <w:t>distribuční</w:t>
      </w:r>
      <w:r>
        <w:t xml:space="preserve"> </w:t>
      </w:r>
      <w:r w:rsidRPr="00860806">
        <w:t>soustavě</w:t>
      </w:r>
      <w:r>
        <w:t xml:space="preserve"> </w:t>
      </w:r>
      <w:r w:rsidRPr="00860806">
        <w:t>prostřednictvím</w:t>
      </w:r>
      <w:r>
        <w:t xml:space="preserve"> </w:t>
      </w:r>
      <w:r w:rsidRPr="00860806">
        <w:t>jedné</w:t>
      </w:r>
      <w:r>
        <w:t xml:space="preserve"> </w:t>
      </w:r>
      <w:r w:rsidRPr="00860806">
        <w:t>společné</w:t>
      </w:r>
      <w:r>
        <w:t xml:space="preserve"> </w:t>
      </w:r>
      <w:r w:rsidRPr="00860806">
        <w:t>hlavní</w:t>
      </w:r>
      <w:r>
        <w:t xml:space="preserve"> </w:t>
      </w:r>
      <w:r w:rsidRPr="00860806">
        <w:t>domovní</w:t>
      </w:r>
      <w:r>
        <w:t xml:space="preserve"> </w:t>
      </w:r>
      <w:r w:rsidRPr="00860806">
        <w:t>pojistkové</w:t>
      </w:r>
      <w:r>
        <w:t xml:space="preserve"> </w:t>
      </w:r>
      <w:r w:rsidRPr="00860806">
        <w:t>skříně</w:t>
      </w:r>
      <w:r>
        <w:t xml:space="preserve"> </w:t>
      </w:r>
      <w:r w:rsidRPr="00860806">
        <w:t>nebo</w:t>
      </w:r>
      <w:r>
        <w:t xml:space="preserve"> </w:t>
      </w:r>
      <w:r w:rsidRPr="00860806">
        <w:t>hlavní</w:t>
      </w:r>
      <w:r>
        <w:t xml:space="preserve"> </w:t>
      </w:r>
      <w:r w:rsidRPr="00860806">
        <w:t>domovní</w:t>
      </w:r>
      <w:r>
        <w:t xml:space="preserve"> </w:t>
      </w:r>
      <w:r w:rsidRPr="00860806">
        <w:t>kabelové</w:t>
      </w:r>
      <w:r>
        <w:t xml:space="preserve"> </w:t>
      </w:r>
      <w:r w:rsidRPr="00860806">
        <w:t>skříně,</w:t>
      </w:r>
      <w:r>
        <w:t xml:space="preserve"> </w:t>
      </w:r>
      <w:r w:rsidRPr="00860806">
        <w:t>nebo</w:t>
      </w:r>
      <w:r>
        <w:t xml:space="preserve"> </w:t>
      </w:r>
      <w:r w:rsidRPr="00860806">
        <w:t>sdílet</w:t>
      </w:r>
      <w:r>
        <w:t xml:space="preserve"> </w:t>
      </w:r>
      <w:r w:rsidRPr="00860806">
        <w:t>takto</w:t>
      </w:r>
      <w:r>
        <w:t xml:space="preserve"> </w:t>
      </w:r>
      <w:r w:rsidRPr="00860806">
        <w:t>vyrobenou</w:t>
      </w:r>
      <w:r>
        <w:t xml:space="preserve"> </w:t>
      </w:r>
      <w:r w:rsidRPr="00860806">
        <w:t>elektřinu</w:t>
      </w:r>
      <w:r>
        <w:t xml:space="preserve"> </w:t>
      </w:r>
      <w:r w:rsidRPr="00860806">
        <w:t>s</w:t>
      </w:r>
      <w:r>
        <w:t xml:space="preserve"> </w:t>
      </w:r>
      <w:r w:rsidRPr="00860806">
        <w:t>využitím</w:t>
      </w:r>
      <w:r>
        <w:t xml:space="preserve"> </w:t>
      </w:r>
      <w:r w:rsidRPr="00860806">
        <w:t>distribuční</w:t>
      </w:r>
      <w:r>
        <w:t xml:space="preserve"> </w:t>
      </w:r>
      <w:r w:rsidRPr="00860806">
        <w:t>nebo</w:t>
      </w:r>
      <w:r>
        <w:t xml:space="preserve"> </w:t>
      </w:r>
      <w:r w:rsidRPr="00860806">
        <w:t>přenosové</w:t>
      </w:r>
      <w:r>
        <w:t xml:space="preserve"> </w:t>
      </w:r>
      <w:r w:rsidRPr="00860806">
        <w:t>soustavy</w:t>
      </w:r>
      <w:r>
        <w:t xml:space="preserve"> </w:t>
      </w:r>
      <w:r w:rsidRPr="00860806">
        <w:t>do</w:t>
      </w:r>
      <w:r>
        <w:t xml:space="preserve"> </w:t>
      </w:r>
      <w:r w:rsidRPr="00860806">
        <w:t>předávacích</w:t>
      </w:r>
      <w:r>
        <w:t xml:space="preserve"> </w:t>
      </w:r>
      <w:r w:rsidRPr="00860806">
        <w:t>míst</w:t>
      </w:r>
      <w:r>
        <w:t xml:space="preserve"> </w:t>
      </w:r>
      <w:r w:rsidRPr="00860806">
        <w:t>zákazníků</w:t>
      </w:r>
      <w:r>
        <w:t xml:space="preserve"> </w:t>
      </w:r>
      <w:r w:rsidRPr="00860806">
        <w:t>nebo</w:t>
      </w:r>
      <w:r>
        <w:t xml:space="preserve"> </w:t>
      </w:r>
      <w:r w:rsidRPr="00860806">
        <w:t>do</w:t>
      </w:r>
      <w:r>
        <w:t xml:space="preserve"> </w:t>
      </w:r>
      <w:r w:rsidRPr="00860806">
        <w:t>předávacího</w:t>
      </w:r>
      <w:r>
        <w:t xml:space="preserve"> </w:t>
      </w:r>
      <w:r w:rsidRPr="00860806">
        <w:t>místa</w:t>
      </w:r>
      <w:r>
        <w:t xml:space="preserve"> </w:t>
      </w:r>
      <w:r w:rsidRPr="00860806">
        <w:t>výrobny,</w:t>
      </w:r>
    </w:p>
    <w:p w14:paraId="6E618D41" w14:textId="74F10BE4" w:rsidR="001E2C51" w:rsidRDefault="001E2C51" w:rsidP="002E6AEA">
      <w:pPr>
        <w:pStyle w:val="Textparagrafu"/>
        <w:tabs>
          <w:tab w:val="left" w:pos="392"/>
          <w:tab w:val="left" w:pos="840"/>
        </w:tabs>
        <w:spacing w:before="0"/>
        <w:ind w:left="426" w:hanging="426"/>
      </w:pPr>
      <w:r w:rsidRPr="00860806">
        <w:lastRenderedPageBreak/>
        <w:t>i)</w:t>
      </w:r>
      <w:r>
        <w:tab/>
      </w:r>
      <w:r w:rsidRPr="00860806">
        <w:t>na</w:t>
      </w:r>
      <w:r>
        <w:t xml:space="preserve"> </w:t>
      </w:r>
      <w:r w:rsidRPr="00860806">
        <w:t>poskytnutí</w:t>
      </w:r>
      <w:r>
        <w:t xml:space="preserve"> </w:t>
      </w:r>
      <w:r w:rsidRPr="00860806">
        <w:t>informací</w:t>
      </w:r>
      <w:r>
        <w:t xml:space="preserve"> </w:t>
      </w:r>
      <w:r w:rsidRPr="00860806">
        <w:t>od</w:t>
      </w:r>
      <w:r>
        <w:t xml:space="preserve"> </w:t>
      </w:r>
      <w:r w:rsidRPr="00860806">
        <w:t>operátora</w:t>
      </w:r>
      <w:r>
        <w:t xml:space="preserve"> </w:t>
      </w:r>
      <w:r w:rsidRPr="00860806">
        <w:t>trhu</w:t>
      </w:r>
      <w:r>
        <w:t xml:space="preserve"> </w:t>
      </w:r>
      <w:r w:rsidRPr="00860806">
        <w:t>nezbytných</w:t>
      </w:r>
      <w:r>
        <w:t xml:space="preserve"> </w:t>
      </w:r>
      <w:r w:rsidRPr="00860806">
        <w:t>k</w:t>
      </w:r>
      <w:r>
        <w:t xml:space="preserve"> </w:t>
      </w:r>
      <w:r w:rsidRPr="00860806">
        <w:t>vyúčtování</w:t>
      </w:r>
      <w:r>
        <w:t xml:space="preserve"> </w:t>
      </w:r>
      <w:r w:rsidRPr="00860806">
        <w:t>dodávek</w:t>
      </w:r>
      <w:r>
        <w:t xml:space="preserve"> </w:t>
      </w:r>
      <w:r w:rsidRPr="00860806">
        <w:t>elektřiny</w:t>
      </w:r>
      <w:r>
        <w:t xml:space="preserve"> </w:t>
      </w:r>
      <w:r w:rsidRPr="00860806">
        <w:t>zákazníkům,</w:t>
      </w:r>
      <w:r>
        <w:t xml:space="preserve"> </w:t>
      </w:r>
      <w:r w:rsidRPr="00860806">
        <w:t>jejichž</w:t>
      </w:r>
      <w:r>
        <w:t xml:space="preserve"> </w:t>
      </w:r>
      <w:r w:rsidRPr="00860806">
        <w:t>odběrné</w:t>
      </w:r>
      <w:r>
        <w:t xml:space="preserve"> </w:t>
      </w:r>
      <w:r w:rsidRPr="00860806">
        <w:t>místo</w:t>
      </w:r>
      <w:r>
        <w:t xml:space="preserve"> </w:t>
      </w:r>
      <w:r w:rsidRPr="00860806">
        <w:t>je</w:t>
      </w:r>
      <w:r>
        <w:t xml:space="preserve"> </w:t>
      </w:r>
      <w:r w:rsidRPr="00860806">
        <w:t>registrováno</w:t>
      </w:r>
      <w:r>
        <w:t xml:space="preserve"> </w:t>
      </w:r>
      <w:r w:rsidRPr="00860806">
        <w:t>u</w:t>
      </w:r>
      <w:r>
        <w:t xml:space="preserve"> </w:t>
      </w:r>
      <w:r w:rsidRPr="00860806">
        <w:t>operátora</w:t>
      </w:r>
      <w:r>
        <w:t xml:space="preserve"> </w:t>
      </w:r>
      <w:r w:rsidRPr="00860806">
        <w:t>trhu,</w:t>
      </w:r>
    </w:p>
    <w:p w14:paraId="2F74DED7" w14:textId="744CE52C" w:rsidR="001E2C51" w:rsidRDefault="001E2C51" w:rsidP="002E6AEA">
      <w:pPr>
        <w:pStyle w:val="Textparagrafu"/>
        <w:tabs>
          <w:tab w:val="left" w:pos="392"/>
          <w:tab w:val="left" w:pos="840"/>
        </w:tabs>
        <w:spacing w:before="0"/>
        <w:ind w:left="426" w:hanging="426"/>
      </w:pPr>
      <w:r w:rsidRPr="00860806">
        <w:t>j)</w:t>
      </w:r>
      <w:r>
        <w:tab/>
      </w:r>
      <w:r w:rsidRPr="00860806">
        <w:t>na</w:t>
      </w:r>
      <w:r>
        <w:t xml:space="preserve"> </w:t>
      </w:r>
      <w:r w:rsidRPr="00860806">
        <w:t>informaci</w:t>
      </w:r>
      <w:r>
        <w:t xml:space="preserve"> </w:t>
      </w:r>
      <w:r w:rsidRPr="00860806">
        <w:t>o</w:t>
      </w:r>
      <w:r>
        <w:t xml:space="preserve"> </w:t>
      </w:r>
      <w:r w:rsidRPr="00860806">
        <w:t>způsobu</w:t>
      </w:r>
      <w:r>
        <w:t xml:space="preserve"> </w:t>
      </w:r>
      <w:r w:rsidRPr="00860806">
        <w:t>alokace</w:t>
      </w:r>
      <w:r>
        <w:t xml:space="preserve"> </w:t>
      </w:r>
      <w:r w:rsidRPr="00860806">
        <w:t>sdílené</w:t>
      </w:r>
      <w:r>
        <w:t xml:space="preserve"> </w:t>
      </w:r>
      <w:r w:rsidRPr="00860806">
        <w:t>elektřiny</w:t>
      </w:r>
      <w:r>
        <w:t xml:space="preserve"> </w:t>
      </w:r>
      <w:r w:rsidRPr="00860806">
        <w:t>do</w:t>
      </w:r>
      <w:r>
        <w:t xml:space="preserve"> </w:t>
      </w:r>
      <w:r w:rsidRPr="00860806">
        <w:t>předávacích</w:t>
      </w:r>
      <w:r>
        <w:t xml:space="preserve"> </w:t>
      </w:r>
      <w:r w:rsidRPr="00860806">
        <w:t>míst</w:t>
      </w:r>
      <w:r>
        <w:t xml:space="preserve"> </w:t>
      </w:r>
      <w:r w:rsidRPr="00860806">
        <w:t>přiřazených</w:t>
      </w:r>
      <w:r>
        <w:t xml:space="preserve"> </w:t>
      </w:r>
      <w:r w:rsidRPr="00860806">
        <w:t>do</w:t>
      </w:r>
      <w:r>
        <w:t xml:space="preserve"> </w:t>
      </w:r>
      <w:r w:rsidRPr="00860806">
        <w:t>skupiny</w:t>
      </w:r>
      <w:r>
        <w:t xml:space="preserve"> </w:t>
      </w:r>
      <w:r w:rsidRPr="00860806">
        <w:t>sdílení,</w:t>
      </w:r>
      <w:r>
        <w:t xml:space="preserve"> </w:t>
      </w:r>
      <w:r w:rsidRPr="00860806">
        <w:t>ve</w:t>
      </w:r>
      <w:r>
        <w:t xml:space="preserve"> </w:t>
      </w:r>
      <w:r w:rsidRPr="00860806">
        <w:t>kterých</w:t>
      </w:r>
      <w:r>
        <w:t xml:space="preserve"> </w:t>
      </w:r>
      <w:r w:rsidRPr="00860806">
        <w:t>zajišťuje</w:t>
      </w:r>
      <w:r>
        <w:t xml:space="preserve"> </w:t>
      </w:r>
      <w:r w:rsidRPr="00860806">
        <w:t>dodávku</w:t>
      </w:r>
      <w:r>
        <w:t xml:space="preserve"> </w:t>
      </w:r>
      <w:r w:rsidRPr="00860806">
        <w:t>elektřiny,</w:t>
      </w:r>
      <w:r>
        <w:t xml:space="preserve"> </w:t>
      </w:r>
      <w:r w:rsidRPr="00860806">
        <w:t>souhrnnou</w:t>
      </w:r>
      <w:r>
        <w:t xml:space="preserve"> </w:t>
      </w:r>
      <w:r w:rsidRPr="00860806">
        <w:t>informaci</w:t>
      </w:r>
      <w:r>
        <w:t xml:space="preserve"> </w:t>
      </w:r>
      <w:r w:rsidRPr="00860806">
        <w:t>o</w:t>
      </w:r>
      <w:r>
        <w:t xml:space="preserve"> </w:t>
      </w:r>
      <w:r w:rsidRPr="00860806">
        <w:t>způsobu</w:t>
      </w:r>
      <w:r>
        <w:t xml:space="preserve"> </w:t>
      </w:r>
      <w:r w:rsidRPr="00860806">
        <w:t>alokace</w:t>
      </w:r>
      <w:r>
        <w:t xml:space="preserve"> </w:t>
      </w:r>
      <w:r w:rsidRPr="00860806">
        <w:t>sdílené</w:t>
      </w:r>
      <w:r>
        <w:t xml:space="preserve"> </w:t>
      </w:r>
      <w:r w:rsidRPr="00860806">
        <w:t>elektřiny</w:t>
      </w:r>
      <w:r>
        <w:t xml:space="preserve"> </w:t>
      </w:r>
      <w:r w:rsidRPr="00860806">
        <w:t>a</w:t>
      </w:r>
      <w:r>
        <w:t xml:space="preserve"> </w:t>
      </w:r>
      <w:r w:rsidRPr="00860806">
        <w:t>informaci</w:t>
      </w:r>
      <w:r>
        <w:t xml:space="preserve"> </w:t>
      </w:r>
      <w:r w:rsidRPr="00860806">
        <w:t>o</w:t>
      </w:r>
      <w:r>
        <w:t xml:space="preserve"> </w:t>
      </w:r>
      <w:r w:rsidRPr="00860806">
        <w:t>průběhu</w:t>
      </w:r>
      <w:r>
        <w:t xml:space="preserve"> </w:t>
      </w:r>
      <w:r w:rsidRPr="00860806">
        <w:t>výroby</w:t>
      </w:r>
      <w:r>
        <w:t xml:space="preserve"> </w:t>
      </w:r>
      <w:r w:rsidRPr="00860806">
        <w:t>elektřiny</w:t>
      </w:r>
      <w:r>
        <w:t xml:space="preserve"> </w:t>
      </w:r>
      <w:r w:rsidRPr="00860806">
        <w:t>a</w:t>
      </w:r>
      <w:r>
        <w:t xml:space="preserve"> </w:t>
      </w:r>
      <w:r w:rsidRPr="00860806">
        <w:t>technických</w:t>
      </w:r>
      <w:r>
        <w:t xml:space="preserve"> </w:t>
      </w:r>
      <w:r w:rsidRPr="00860806">
        <w:t>parametrech</w:t>
      </w:r>
      <w:r>
        <w:t xml:space="preserve"> </w:t>
      </w:r>
      <w:r w:rsidRPr="00860806">
        <w:t>výrobny</w:t>
      </w:r>
      <w:r>
        <w:t xml:space="preserve"> </w:t>
      </w:r>
      <w:r w:rsidRPr="00860806">
        <w:t>elektřiny,</w:t>
      </w:r>
      <w:r>
        <w:t xml:space="preserve"> </w:t>
      </w:r>
      <w:r w:rsidRPr="00860806">
        <w:t>z</w:t>
      </w:r>
      <w:r>
        <w:t xml:space="preserve"> </w:t>
      </w:r>
      <w:r w:rsidRPr="00860806">
        <w:t>níž</w:t>
      </w:r>
      <w:r>
        <w:t xml:space="preserve"> </w:t>
      </w:r>
      <w:r w:rsidRPr="00860806">
        <w:t>je</w:t>
      </w:r>
      <w:r>
        <w:t xml:space="preserve"> </w:t>
      </w:r>
      <w:r w:rsidRPr="00860806">
        <w:t>elektřina</w:t>
      </w:r>
      <w:r>
        <w:t xml:space="preserve"> </w:t>
      </w:r>
      <w:r w:rsidRPr="00860806">
        <w:t>sdílena,</w:t>
      </w:r>
      <w:r>
        <w:t xml:space="preserve"> </w:t>
      </w:r>
      <w:r w:rsidRPr="00860806">
        <w:t>od</w:t>
      </w:r>
      <w:r>
        <w:t xml:space="preserve"> </w:t>
      </w:r>
      <w:r w:rsidRPr="00860806">
        <w:t>datového</w:t>
      </w:r>
      <w:r>
        <w:t xml:space="preserve"> </w:t>
      </w:r>
      <w:r w:rsidRPr="00860806">
        <w:t>centra.</w:t>
      </w:r>
    </w:p>
    <w:p w14:paraId="3195AB0F" w14:textId="743DDA74" w:rsidR="001E2C51" w:rsidRDefault="001E2C51" w:rsidP="0010420C">
      <w:pPr>
        <w:pStyle w:val="Textparagrafu"/>
        <w:spacing w:before="120" w:after="120"/>
      </w:pPr>
      <w:r w:rsidRPr="00860806">
        <w:t>(2)</w:t>
      </w:r>
      <w:r>
        <w:t xml:space="preserve"> </w:t>
      </w:r>
      <w:r w:rsidRPr="00860806">
        <w:t>Výrobce</w:t>
      </w:r>
      <w:r>
        <w:t xml:space="preserve"> </w:t>
      </w:r>
      <w:r w:rsidRPr="00860806">
        <w:t>elektřiny</w:t>
      </w:r>
      <w:r>
        <w:t xml:space="preserve"> </w:t>
      </w:r>
      <w:r w:rsidRPr="00860806">
        <w:t>je</w:t>
      </w:r>
      <w:r>
        <w:t xml:space="preserve"> </w:t>
      </w:r>
      <w:r w:rsidRPr="00860806">
        <w:t>povinen</w:t>
      </w:r>
      <w:r>
        <w:t xml:space="preserve"> </w:t>
      </w:r>
      <w:r w:rsidRPr="00860806">
        <w:t>si</w:t>
      </w:r>
      <w:r>
        <w:t xml:space="preserve"> </w:t>
      </w:r>
      <w:r w:rsidRPr="00860806">
        <w:t>zajistit</w:t>
      </w:r>
      <w:r>
        <w:t xml:space="preserve"> </w:t>
      </w:r>
      <w:r w:rsidRPr="00860806">
        <w:t>vlastnické</w:t>
      </w:r>
      <w:r>
        <w:t xml:space="preserve"> </w:t>
      </w:r>
      <w:r w:rsidRPr="00860806">
        <w:t>právo</w:t>
      </w:r>
      <w:r>
        <w:t xml:space="preserve"> </w:t>
      </w:r>
      <w:r w:rsidRPr="00860806">
        <w:t>nebo</w:t>
      </w:r>
      <w:r>
        <w:t xml:space="preserve"> </w:t>
      </w:r>
      <w:r w:rsidRPr="00860806">
        <w:t>zřídit</w:t>
      </w:r>
      <w:r>
        <w:t xml:space="preserve"> </w:t>
      </w:r>
      <w:r w:rsidRPr="00860806">
        <w:t>věcné</w:t>
      </w:r>
      <w:r>
        <w:t xml:space="preserve"> </w:t>
      </w:r>
      <w:r w:rsidRPr="00860806">
        <w:t>břemeno</w:t>
      </w:r>
      <w:r>
        <w:t xml:space="preserve"> </w:t>
      </w:r>
      <w:r w:rsidRPr="00860806">
        <w:t>k</w:t>
      </w:r>
      <w:r>
        <w:t xml:space="preserve"> </w:t>
      </w:r>
      <w:r w:rsidRPr="00860806">
        <w:t>cizí</w:t>
      </w:r>
      <w:r>
        <w:t xml:space="preserve"> </w:t>
      </w:r>
      <w:r w:rsidRPr="00860806">
        <w:t>nemovitosti</w:t>
      </w:r>
      <w:r>
        <w:t xml:space="preserve"> </w:t>
      </w:r>
      <w:r w:rsidRPr="00860806">
        <w:t>nebo</w:t>
      </w:r>
      <w:r>
        <w:t xml:space="preserve"> </w:t>
      </w:r>
      <w:r w:rsidRPr="00860806">
        <w:t>její</w:t>
      </w:r>
      <w:r>
        <w:t xml:space="preserve"> </w:t>
      </w:r>
      <w:r w:rsidRPr="00860806">
        <w:t>části</w:t>
      </w:r>
      <w:r>
        <w:t xml:space="preserve"> </w:t>
      </w:r>
      <w:r w:rsidRPr="00860806">
        <w:t>umožňující</w:t>
      </w:r>
      <w:r>
        <w:t xml:space="preserve"> </w:t>
      </w:r>
      <w:r w:rsidRPr="00860806">
        <w:t>zřízení</w:t>
      </w:r>
      <w:r>
        <w:t xml:space="preserve"> </w:t>
      </w:r>
      <w:r w:rsidRPr="00860806">
        <w:t>nebo</w:t>
      </w:r>
      <w:r>
        <w:t xml:space="preserve"> </w:t>
      </w:r>
      <w:r w:rsidRPr="00860806">
        <w:t>provozování</w:t>
      </w:r>
      <w:r>
        <w:t xml:space="preserve"> </w:t>
      </w:r>
      <w:r w:rsidRPr="00860806">
        <w:t>výrobny</w:t>
      </w:r>
      <w:r>
        <w:t xml:space="preserve"> </w:t>
      </w:r>
      <w:r w:rsidRPr="00860806">
        <w:t>elektřiny</w:t>
      </w:r>
      <w:r>
        <w:t xml:space="preserve"> </w:t>
      </w:r>
      <w:r w:rsidRPr="00860806">
        <w:t>o</w:t>
      </w:r>
      <w:r>
        <w:t xml:space="preserve"> </w:t>
      </w:r>
      <w:r w:rsidRPr="00860806">
        <w:t>celkovém</w:t>
      </w:r>
      <w:r>
        <w:t xml:space="preserve"> </w:t>
      </w:r>
      <w:r w:rsidRPr="00860806">
        <w:t>instalovaném</w:t>
      </w:r>
      <w:r>
        <w:t xml:space="preserve"> </w:t>
      </w:r>
      <w:r w:rsidRPr="00860806">
        <w:t>elektrickém</w:t>
      </w:r>
      <w:r>
        <w:t xml:space="preserve"> </w:t>
      </w:r>
      <w:r w:rsidRPr="00860806">
        <w:t>výkonu</w:t>
      </w:r>
      <w:r>
        <w:t xml:space="preserve"> </w:t>
      </w:r>
      <w:r w:rsidRPr="00860806">
        <w:t>100</w:t>
      </w:r>
      <w:r>
        <w:t xml:space="preserve"> </w:t>
      </w:r>
      <w:r w:rsidRPr="00860806">
        <w:t>MW</w:t>
      </w:r>
      <w:r>
        <w:t xml:space="preserve"> </w:t>
      </w:r>
      <w:r w:rsidRPr="00860806">
        <w:t>a</w:t>
      </w:r>
      <w:r>
        <w:t xml:space="preserve"> </w:t>
      </w:r>
      <w:r w:rsidRPr="00860806">
        <w:t>více</w:t>
      </w:r>
      <w:r>
        <w:t xml:space="preserve"> </w:t>
      </w:r>
      <w:r w:rsidRPr="00860806">
        <w:t>s</w:t>
      </w:r>
      <w:r>
        <w:t xml:space="preserve"> </w:t>
      </w:r>
      <w:r w:rsidRPr="00860806">
        <w:t>možností</w:t>
      </w:r>
      <w:r>
        <w:t xml:space="preserve"> </w:t>
      </w:r>
      <w:r w:rsidRPr="00860806">
        <w:t>poskytovat</w:t>
      </w:r>
      <w:r>
        <w:t xml:space="preserve"> </w:t>
      </w:r>
      <w:r w:rsidRPr="00860806">
        <w:t>podpůrné</w:t>
      </w:r>
      <w:r>
        <w:t xml:space="preserve"> </w:t>
      </w:r>
      <w:r w:rsidRPr="00860806">
        <w:t>služby</w:t>
      </w:r>
      <w:r>
        <w:t xml:space="preserve"> </w:t>
      </w:r>
      <w:r w:rsidRPr="00860806">
        <w:t>k</w:t>
      </w:r>
      <w:r>
        <w:t xml:space="preserve"> </w:t>
      </w:r>
      <w:r w:rsidRPr="00860806">
        <w:t>zajištění</w:t>
      </w:r>
      <w:r>
        <w:t xml:space="preserve"> </w:t>
      </w:r>
      <w:r w:rsidRPr="00860806">
        <w:t>provozu</w:t>
      </w:r>
      <w:r>
        <w:t xml:space="preserve"> </w:t>
      </w:r>
      <w:r w:rsidRPr="00860806">
        <w:t>elektrizační</w:t>
      </w:r>
      <w:r>
        <w:t xml:space="preserve"> </w:t>
      </w:r>
      <w:r w:rsidRPr="00860806">
        <w:t>soustavy,</w:t>
      </w:r>
      <w:r>
        <w:t xml:space="preserve"> </w:t>
      </w:r>
      <w:r w:rsidRPr="00860806">
        <w:t>stavby</w:t>
      </w:r>
      <w:r>
        <w:t xml:space="preserve"> </w:t>
      </w:r>
      <w:r w:rsidRPr="00860806">
        <w:t>pro</w:t>
      </w:r>
      <w:r>
        <w:t xml:space="preserve"> </w:t>
      </w:r>
      <w:r w:rsidRPr="00860806">
        <w:t>energetickou</w:t>
      </w:r>
      <w:r>
        <w:t xml:space="preserve"> </w:t>
      </w:r>
      <w:r w:rsidRPr="00860806">
        <w:t>bezpečnost</w:t>
      </w:r>
      <w:r>
        <w:t xml:space="preserve"> </w:t>
      </w:r>
      <w:r w:rsidRPr="00860806">
        <w:t>podle</w:t>
      </w:r>
      <w:r>
        <w:t xml:space="preserve"> </w:t>
      </w:r>
      <w:r w:rsidRPr="00860806">
        <w:t>zákona</w:t>
      </w:r>
      <w:r>
        <w:t xml:space="preserve"> </w:t>
      </w:r>
      <w:r w:rsidRPr="00860806">
        <w:t>o</w:t>
      </w:r>
      <w:r>
        <w:t xml:space="preserve"> </w:t>
      </w:r>
      <w:r w:rsidRPr="00860806">
        <w:t>urychlení</w:t>
      </w:r>
      <w:r>
        <w:t xml:space="preserve"> </w:t>
      </w:r>
      <w:r w:rsidRPr="00860806">
        <w:t>výstavby</w:t>
      </w:r>
      <w:r>
        <w:t xml:space="preserve"> </w:t>
      </w:r>
      <w:r w:rsidRPr="00860806">
        <w:t>strategicky</w:t>
      </w:r>
      <w:r>
        <w:t xml:space="preserve"> </w:t>
      </w:r>
      <w:r w:rsidRPr="00860806">
        <w:t>významné</w:t>
      </w:r>
      <w:r>
        <w:t xml:space="preserve"> </w:t>
      </w:r>
      <w:r w:rsidRPr="00860806">
        <w:t>infrastruktury</w:t>
      </w:r>
      <w:r>
        <w:t xml:space="preserve"> </w:t>
      </w:r>
      <w:r w:rsidRPr="00860806">
        <w:t>a</w:t>
      </w:r>
      <w:r>
        <w:t xml:space="preserve"> </w:t>
      </w:r>
      <w:r w:rsidRPr="00860806">
        <w:t>stavby</w:t>
      </w:r>
      <w:r>
        <w:t xml:space="preserve"> </w:t>
      </w:r>
      <w:r w:rsidRPr="00860806">
        <w:t>související,</w:t>
      </w:r>
      <w:r>
        <w:t xml:space="preserve"> </w:t>
      </w:r>
      <w:r w:rsidRPr="00860806">
        <w:t>a</w:t>
      </w:r>
      <w:r>
        <w:t xml:space="preserve"> </w:t>
      </w:r>
      <w:r w:rsidRPr="00860806">
        <w:t>to</w:t>
      </w:r>
      <w:r>
        <w:t xml:space="preserve"> </w:t>
      </w:r>
      <w:r w:rsidRPr="00860806">
        <w:t>smluvně</w:t>
      </w:r>
      <w:r>
        <w:t xml:space="preserve"> </w:t>
      </w:r>
      <w:r w:rsidRPr="00860806">
        <w:t>s</w:t>
      </w:r>
      <w:r>
        <w:t xml:space="preserve"> </w:t>
      </w:r>
      <w:r w:rsidRPr="00860806">
        <w:t>vlastníkem</w:t>
      </w:r>
      <w:r>
        <w:t xml:space="preserve"> </w:t>
      </w:r>
      <w:r w:rsidRPr="00860806">
        <w:t>nemovitosti</w:t>
      </w:r>
      <w:r>
        <w:t xml:space="preserve"> </w:t>
      </w:r>
      <w:r w:rsidRPr="00860806">
        <w:t>za</w:t>
      </w:r>
      <w:r>
        <w:t xml:space="preserve"> </w:t>
      </w:r>
      <w:r w:rsidRPr="00860806">
        <w:t>jednorázovou</w:t>
      </w:r>
      <w:r>
        <w:t xml:space="preserve"> </w:t>
      </w:r>
      <w:r w:rsidRPr="00860806">
        <w:t>náhradu</w:t>
      </w:r>
      <w:r>
        <w:t xml:space="preserve"> </w:t>
      </w:r>
      <w:r w:rsidRPr="00860806">
        <w:t>ve</w:t>
      </w:r>
      <w:r>
        <w:t xml:space="preserve"> </w:t>
      </w:r>
      <w:r w:rsidRPr="00860806">
        <w:t>výši</w:t>
      </w:r>
      <w:r>
        <w:t xml:space="preserve"> </w:t>
      </w:r>
      <w:r w:rsidRPr="0066285A">
        <w:rPr>
          <w:strike/>
        </w:rPr>
        <w:t xml:space="preserve">ceny zjištěné podle oceňovacího předpisu </w:t>
      </w:r>
      <w:r w:rsidRPr="0066285A">
        <w:rPr>
          <w:rStyle w:val="Znakapoznpodarou"/>
          <w:strike/>
        </w:rPr>
        <w:footnoteReference w:customMarkFollows="1" w:id="386"/>
        <w:t>47)</w:t>
      </w:r>
      <w:r w:rsidR="0066285A" w:rsidRPr="0066285A">
        <w:rPr>
          <w:b/>
          <w:bCs/>
        </w:rPr>
        <w:t xml:space="preserve"> </w:t>
      </w:r>
      <w:r w:rsidR="0066285A" w:rsidRPr="00533343">
        <w:rPr>
          <w:b/>
          <w:bCs/>
        </w:rPr>
        <w:t>zjištěné hodnoty podle zákona o oceňování</w:t>
      </w:r>
      <w:r w:rsidRPr="00860806">
        <w:t>,</w:t>
      </w:r>
      <w:r>
        <w:t xml:space="preserve"> </w:t>
      </w:r>
      <w:r w:rsidRPr="00860806">
        <w:t>pokud</w:t>
      </w:r>
      <w:r>
        <w:t xml:space="preserve"> </w:t>
      </w:r>
      <w:r w:rsidRPr="00860806">
        <w:t>se</w:t>
      </w:r>
      <w:r>
        <w:t xml:space="preserve"> </w:t>
      </w:r>
      <w:r w:rsidRPr="00860806">
        <w:t>strany</w:t>
      </w:r>
      <w:r>
        <w:t xml:space="preserve"> </w:t>
      </w:r>
      <w:r w:rsidRPr="00860806">
        <w:t>nedohodnou</w:t>
      </w:r>
      <w:r>
        <w:t xml:space="preserve"> </w:t>
      </w:r>
      <w:r w:rsidRPr="00860806">
        <w:t>jinak;</w:t>
      </w:r>
      <w:r>
        <w:t xml:space="preserve"> </w:t>
      </w:r>
      <w:r w:rsidRPr="00860806">
        <w:t>v</w:t>
      </w:r>
      <w:r>
        <w:t xml:space="preserve"> </w:t>
      </w:r>
      <w:r w:rsidRPr="00860806">
        <w:t>případě,</w:t>
      </w:r>
      <w:r>
        <w:t xml:space="preserve"> </w:t>
      </w:r>
      <w:r w:rsidRPr="00860806">
        <w:t>že</w:t>
      </w:r>
      <w:r>
        <w:t xml:space="preserve"> </w:t>
      </w:r>
      <w:r w:rsidRPr="00860806">
        <w:t>vlastník</w:t>
      </w:r>
      <w:r>
        <w:t xml:space="preserve"> </w:t>
      </w:r>
      <w:r w:rsidRPr="00860806">
        <w:t>nemovitosti</w:t>
      </w:r>
      <w:r>
        <w:t xml:space="preserve"> </w:t>
      </w:r>
      <w:r w:rsidRPr="00860806">
        <w:t>není</w:t>
      </w:r>
      <w:r>
        <w:t xml:space="preserve"> </w:t>
      </w:r>
      <w:r w:rsidRPr="00860806">
        <w:t>znám</w:t>
      </w:r>
      <w:r>
        <w:t xml:space="preserve"> </w:t>
      </w:r>
      <w:r w:rsidRPr="00860806">
        <w:t>nebo</w:t>
      </w:r>
      <w:r>
        <w:t xml:space="preserve"> </w:t>
      </w:r>
      <w:r w:rsidRPr="00860806">
        <w:t>určen</w:t>
      </w:r>
      <w:r>
        <w:t xml:space="preserve"> </w:t>
      </w:r>
      <w:r w:rsidRPr="00860806">
        <w:t>nebo</w:t>
      </w:r>
      <w:r>
        <w:t xml:space="preserve"> </w:t>
      </w:r>
      <w:r w:rsidRPr="00860806">
        <w:t>je</w:t>
      </w:r>
      <w:r>
        <w:t xml:space="preserve"> </w:t>
      </w:r>
      <w:r w:rsidRPr="00860806">
        <w:t>prokazatelně</w:t>
      </w:r>
      <w:r>
        <w:t xml:space="preserve"> </w:t>
      </w:r>
      <w:r w:rsidRPr="00860806">
        <w:t>nedosažitelný</w:t>
      </w:r>
      <w:r>
        <w:t xml:space="preserve"> </w:t>
      </w:r>
      <w:r w:rsidRPr="00860806">
        <w:t>nebo</w:t>
      </w:r>
      <w:r>
        <w:t xml:space="preserve"> </w:t>
      </w:r>
      <w:r w:rsidRPr="00860806">
        <w:t>nečinný</w:t>
      </w:r>
      <w:r>
        <w:t xml:space="preserve"> </w:t>
      </w:r>
      <w:r w:rsidRPr="00860806">
        <w:t>nebo</w:t>
      </w:r>
      <w:r>
        <w:t xml:space="preserve"> </w:t>
      </w:r>
      <w:r w:rsidRPr="00860806">
        <w:t>nedošlo</w:t>
      </w:r>
      <w:r>
        <w:t xml:space="preserve"> </w:t>
      </w:r>
      <w:r w:rsidRPr="00860806">
        <w:t>k</w:t>
      </w:r>
      <w:r>
        <w:t xml:space="preserve"> </w:t>
      </w:r>
      <w:r w:rsidRPr="00860806">
        <w:t>dohodě</w:t>
      </w:r>
      <w:r>
        <w:t xml:space="preserve"> </w:t>
      </w:r>
      <w:r w:rsidRPr="00860806">
        <w:t>s</w:t>
      </w:r>
      <w:r>
        <w:t xml:space="preserve"> </w:t>
      </w:r>
      <w:r w:rsidRPr="00860806">
        <w:t>ním</w:t>
      </w:r>
      <w:r>
        <w:t xml:space="preserve"> </w:t>
      </w:r>
      <w:r w:rsidRPr="00860806">
        <w:t>a</w:t>
      </w:r>
      <w:r>
        <w:t xml:space="preserve"> </w:t>
      </w:r>
      <w:r w:rsidRPr="00860806">
        <w:t>jsou-li</w:t>
      </w:r>
      <w:r>
        <w:t xml:space="preserve"> </w:t>
      </w:r>
      <w:r w:rsidRPr="00860806">
        <w:t>dány</w:t>
      </w:r>
      <w:r>
        <w:t xml:space="preserve"> </w:t>
      </w:r>
      <w:r w:rsidRPr="00860806">
        <w:t>podmínky</w:t>
      </w:r>
      <w:r>
        <w:t xml:space="preserve"> </w:t>
      </w:r>
      <w:r w:rsidRPr="00860806">
        <w:t>pro</w:t>
      </w:r>
      <w:r>
        <w:t xml:space="preserve"> </w:t>
      </w:r>
      <w:r w:rsidRPr="00860806">
        <w:t>odejmutí</w:t>
      </w:r>
      <w:r>
        <w:t xml:space="preserve"> </w:t>
      </w:r>
      <w:r w:rsidRPr="00860806">
        <w:t>nebo</w:t>
      </w:r>
      <w:r>
        <w:t xml:space="preserve"> </w:t>
      </w:r>
      <w:r w:rsidRPr="00860806">
        <w:t>omezení</w:t>
      </w:r>
      <w:r>
        <w:t xml:space="preserve"> </w:t>
      </w:r>
      <w:r w:rsidRPr="00860806">
        <w:t>vlastnického</w:t>
      </w:r>
      <w:r>
        <w:t xml:space="preserve"> </w:t>
      </w:r>
      <w:r w:rsidRPr="00860806">
        <w:t>práva</w:t>
      </w:r>
      <w:r>
        <w:t xml:space="preserve"> </w:t>
      </w:r>
      <w:r w:rsidRPr="00860806">
        <w:t>k</w:t>
      </w:r>
      <w:r>
        <w:t xml:space="preserve"> </w:t>
      </w:r>
      <w:r w:rsidRPr="00860806">
        <w:t>pozemku</w:t>
      </w:r>
      <w:r>
        <w:t xml:space="preserve"> </w:t>
      </w:r>
      <w:r w:rsidRPr="00860806">
        <w:t>nebo</w:t>
      </w:r>
      <w:r>
        <w:t xml:space="preserve"> </w:t>
      </w:r>
      <w:r w:rsidRPr="00860806">
        <w:t>ke</w:t>
      </w:r>
      <w:r>
        <w:t xml:space="preserve"> </w:t>
      </w:r>
      <w:r w:rsidRPr="00860806">
        <w:t>stavbě</w:t>
      </w:r>
      <w:r>
        <w:t xml:space="preserve"> </w:t>
      </w:r>
      <w:r w:rsidRPr="00860806">
        <w:t>podle</w:t>
      </w:r>
      <w:r>
        <w:t xml:space="preserve"> </w:t>
      </w:r>
      <w:r w:rsidRPr="00860806">
        <w:t>zvláštního</w:t>
      </w:r>
      <w:r>
        <w:t xml:space="preserve"> </w:t>
      </w:r>
      <w:r w:rsidRPr="00860806">
        <w:t>právního</w:t>
      </w:r>
      <w:r>
        <w:t xml:space="preserve"> </w:t>
      </w:r>
      <w:r w:rsidRPr="00860806">
        <w:t>předpisu</w:t>
      </w:r>
      <w:r>
        <w:rPr>
          <w:rStyle w:val="Znakapoznpodarou"/>
        </w:rPr>
        <w:footnoteReference w:customMarkFollows="1" w:id="387"/>
        <w:t>4e)</w:t>
      </w:r>
      <w:r w:rsidRPr="00860806">
        <w:t>,</w:t>
      </w:r>
      <w:r>
        <w:t xml:space="preserve"> </w:t>
      </w:r>
      <w:r w:rsidRPr="00860806">
        <w:t>rozhodne</w:t>
      </w:r>
      <w:r>
        <w:t xml:space="preserve"> </w:t>
      </w:r>
      <w:r w:rsidRPr="00860806">
        <w:t>příslušný</w:t>
      </w:r>
      <w:r>
        <w:t xml:space="preserve"> </w:t>
      </w:r>
      <w:r w:rsidRPr="00860806">
        <w:t>vyvlastňovací</w:t>
      </w:r>
      <w:r>
        <w:t xml:space="preserve"> </w:t>
      </w:r>
      <w:r w:rsidRPr="00860806">
        <w:t>úřad</w:t>
      </w:r>
      <w:r>
        <w:t xml:space="preserve"> </w:t>
      </w:r>
      <w:r w:rsidRPr="00860806">
        <w:t>na</w:t>
      </w:r>
      <w:r>
        <w:t xml:space="preserve"> </w:t>
      </w:r>
      <w:r w:rsidRPr="00860806">
        <w:t>návrh</w:t>
      </w:r>
      <w:r>
        <w:t xml:space="preserve"> </w:t>
      </w:r>
      <w:r w:rsidRPr="00860806">
        <w:t>příslušného</w:t>
      </w:r>
      <w:r>
        <w:t xml:space="preserve"> </w:t>
      </w:r>
      <w:r w:rsidRPr="00860806">
        <w:t>výrobce</w:t>
      </w:r>
      <w:r>
        <w:t xml:space="preserve"> </w:t>
      </w:r>
      <w:r w:rsidRPr="00860806">
        <w:t>elektřiny</w:t>
      </w:r>
      <w:r>
        <w:t xml:space="preserve"> </w:t>
      </w:r>
      <w:r w:rsidRPr="00860806">
        <w:t>o</w:t>
      </w:r>
      <w:r>
        <w:t xml:space="preserve"> </w:t>
      </w:r>
      <w:r w:rsidRPr="00860806">
        <w:t>odejmutí</w:t>
      </w:r>
      <w:r>
        <w:t xml:space="preserve"> </w:t>
      </w:r>
      <w:r w:rsidRPr="00860806">
        <w:t>nebo</w:t>
      </w:r>
      <w:r>
        <w:t xml:space="preserve"> </w:t>
      </w:r>
      <w:r w:rsidRPr="00860806">
        <w:t>omezení</w:t>
      </w:r>
      <w:r>
        <w:t xml:space="preserve"> </w:t>
      </w:r>
      <w:r w:rsidRPr="00860806">
        <w:t>vlastnického</w:t>
      </w:r>
      <w:r>
        <w:t xml:space="preserve"> </w:t>
      </w:r>
      <w:r w:rsidRPr="00860806">
        <w:t>práva</w:t>
      </w:r>
      <w:r>
        <w:t xml:space="preserve"> </w:t>
      </w:r>
      <w:r w:rsidRPr="00860806">
        <w:t>k</w:t>
      </w:r>
      <w:r>
        <w:t xml:space="preserve"> </w:t>
      </w:r>
      <w:r w:rsidRPr="00860806">
        <w:t>pozemku</w:t>
      </w:r>
      <w:r>
        <w:t xml:space="preserve"> </w:t>
      </w:r>
      <w:r w:rsidRPr="00860806">
        <w:t>nebo</w:t>
      </w:r>
      <w:r>
        <w:t xml:space="preserve"> </w:t>
      </w:r>
      <w:r w:rsidRPr="00860806">
        <w:t>ke</w:t>
      </w:r>
      <w:r>
        <w:t xml:space="preserve"> </w:t>
      </w:r>
      <w:r w:rsidRPr="00860806">
        <w:t>stavbě</w:t>
      </w:r>
      <w:r>
        <w:t xml:space="preserve"> </w:t>
      </w:r>
      <w:r w:rsidRPr="00860806">
        <w:t>podle</w:t>
      </w:r>
      <w:r>
        <w:t xml:space="preserve"> </w:t>
      </w:r>
      <w:r w:rsidRPr="00860806">
        <w:t>jiného</w:t>
      </w:r>
      <w:r>
        <w:t xml:space="preserve"> </w:t>
      </w:r>
      <w:r w:rsidRPr="00860806">
        <w:t>právního</w:t>
      </w:r>
      <w:r>
        <w:t xml:space="preserve"> předpisu</w:t>
      </w:r>
      <w:r w:rsidRPr="001E2C51">
        <w:rPr>
          <w:vertAlign w:val="superscript"/>
        </w:rPr>
        <w:t>4e)</w:t>
      </w:r>
      <w:r w:rsidRPr="00860806">
        <w:t>.</w:t>
      </w:r>
    </w:p>
    <w:p w14:paraId="55D026D4" w14:textId="77777777" w:rsidR="001E2C51" w:rsidRDefault="001E2C51" w:rsidP="0010420C">
      <w:pPr>
        <w:pStyle w:val="Textparagrafu"/>
        <w:spacing w:before="120" w:after="120"/>
      </w:pPr>
      <w:r w:rsidRPr="00860806">
        <w:t>(3)</w:t>
      </w:r>
      <w:r>
        <w:t xml:space="preserve"> </w:t>
      </w:r>
      <w:r w:rsidRPr="00860806">
        <w:t>Výrobce</w:t>
      </w:r>
      <w:r>
        <w:t xml:space="preserve"> </w:t>
      </w:r>
      <w:r w:rsidRPr="00860806">
        <w:t>elektřiny</w:t>
      </w:r>
      <w:r>
        <w:t xml:space="preserve"> </w:t>
      </w:r>
      <w:r w:rsidRPr="00860806">
        <w:t>je</w:t>
      </w:r>
      <w:r>
        <w:t xml:space="preserve"> </w:t>
      </w:r>
      <w:r w:rsidRPr="00860806">
        <w:t>povinen</w:t>
      </w:r>
    </w:p>
    <w:p w14:paraId="2D6E7EB0" w14:textId="64E00F6D" w:rsidR="001E2C51" w:rsidRDefault="001E2C51" w:rsidP="002E6AEA">
      <w:pPr>
        <w:pStyle w:val="Textparagrafu"/>
        <w:tabs>
          <w:tab w:val="left" w:pos="392"/>
          <w:tab w:val="left" w:pos="840"/>
        </w:tabs>
        <w:spacing w:before="0"/>
        <w:ind w:left="426" w:hanging="426"/>
      </w:pPr>
      <w:r w:rsidRPr="00860806">
        <w:t>a)</w:t>
      </w:r>
      <w:r>
        <w:tab/>
      </w:r>
      <w:r w:rsidRPr="00860806">
        <w:t>na</w:t>
      </w:r>
      <w:r>
        <w:t xml:space="preserve"> </w:t>
      </w:r>
      <w:r w:rsidRPr="00860806">
        <w:t>své</w:t>
      </w:r>
      <w:r>
        <w:t xml:space="preserve"> </w:t>
      </w:r>
      <w:r w:rsidRPr="00860806">
        <w:t>náklady</w:t>
      </w:r>
      <w:r>
        <w:t xml:space="preserve"> </w:t>
      </w:r>
      <w:r w:rsidRPr="00860806">
        <w:t>zajistit</w:t>
      </w:r>
      <w:r>
        <w:t xml:space="preserve"> </w:t>
      </w:r>
      <w:r w:rsidRPr="00860806">
        <w:t>připojení</w:t>
      </w:r>
      <w:r>
        <w:t xml:space="preserve"> </w:t>
      </w:r>
      <w:r w:rsidRPr="00860806">
        <w:t>svého</w:t>
      </w:r>
      <w:r>
        <w:t xml:space="preserve"> </w:t>
      </w:r>
      <w:r w:rsidRPr="00860806">
        <w:t>zařízení</w:t>
      </w:r>
      <w:r>
        <w:t xml:space="preserve"> </w:t>
      </w:r>
      <w:r w:rsidRPr="00860806">
        <w:t>k</w:t>
      </w:r>
      <w:r>
        <w:t xml:space="preserve"> </w:t>
      </w:r>
      <w:r w:rsidRPr="00860806">
        <w:t>přenosové</w:t>
      </w:r>
      <w:r>
        <w:t xml:space="preserve"> </w:t>
      </w:r>
      <w:r w:rsidRPr="00860806">
        <w:t>soustavě</w:t>
      </w:r>
      <w:r>
        <w:t xml:space="preserve"> </w:t>
      </w:r>
      <w:r w:rsidRPr="00860806">
        <w:t>nebo</w:t>
      </w:r>
      <w:r>
        <w:t xml:space="preserve"> </w:t>
      </w:r>
      <w:r w:rsidRPr="00860806">
        <w:t>k</w:t>
      </w:r>
      <w:r>
        <w:t xml:space="preserve"> </w:t>
      </w:r>
      <w:r w:rsidRPr="00860806">
        <w:t>distribuční</w:t>
      </w:r>
      <w:r>
        <w:t xml:space="preserve"> </w:t>
      </w:r>
      <w:r w:rsidRPr="00860806">
        <w:t>soustavě,</w:t>
      </w:r>
    </w:p>
    <w:p w14:paraId="02FF0074" w14:textId="19C49375" w:rsidR="001E2C51" w:rsidRDefault="001E2C51" w:rsidP="002E6AEA">
      <w:pPr>
        <w:pStyle w:val="Textparagrafu"/>
        <w:tabs>
          <w:tab w:val="left" w:pos="392"/>
          <w:tab w:val="left" w:pos="840"/>
        </w:tabs>
        <w:spacing w:before="0"/>
        <w:ind w:left="426" w:hanging="426"/>
      </w:pPr>
      <w:r w:rsidRPr="00860806">
        <w:t>b)</w:t>
      </w:r>
      <w:r>
        <w:tab/>
      </w:r>
      <w:r w:rsidRPr="00860806">
        <w:t>umožnit</w:t>
      </w:r>
      <w:r>
        <w:t xml:space="preserve"> </w:t>
      </w:r>
      <w:r w:rsidRPr="00860806">
        <w:t>a</w:t>
      </w:r>
      <w:r>
        <w:t xml:space="preserve"> </w:t>
      </w:r>
      <w:r w:rsidRPr="00860806">
        <w:t>uhradit</w:t>
      </w:r>
      <w:r>
        <w:t xml:space="preserve"> </w:t>
      </w:r>
      <w:r w:rsidRPr="00860806">
        <w:t>instalaci</w:t>
      </w:r>
      <w:r>
        <w:t xml:space="preserve"> </w:t>
      </w:r>
      <w:r w:rsidRPr="00860806">
        <w:t>měřicího</w:t>
      </w:r>
      <w:r>
        <w:t xml:space="preserve"> </w:t>
      </w:r>
      <w:r w:rsidRPr="00860806">
        <w:t>zařízení</w:t>
      </w:r>
      <w:r>
        <w:t xml:space="preserve"> </w:t>
      </w:r>
      <w:r w:rsidRPr="00860806">
        <w:t>provozovateli</w:t>
      </w:r>
      <w:r>
        <w:t xml:space="preserve"> </w:t>
      </w:r>
      <w:r w:rsidRPr="00860806">
        <w:t>přenosové</w:t>
      </w:r>
      <w:r>
        <w:t xml:space="preserve"> </w:t>
      </w:r>
      <w:r w:rsidRPr="00860806">
        <w:t>soustavy</w:t>
      </w:r>
      <w:r>
        <w:t xml:space="preserve"> </w:t>
      </w:r>
      <w:r w:rsidRPr="00860806">
        <w:t>nebo</w:t>
      </w:r>
      <w:r>
        <w:t xml:space="preserve"> </w:t>
      </w:r>
      <w:r w:rsidRPr="00860806">
        <w:t>provozovateli</w:t>
      </w:r>
      <w:r>
        <w:t xml:space="preserve"> </w:t>
      </w:r>
      <w:r w:rsidRPr="00860806">
        <w:t>distribuční</w:t>
      </w:r>
      <w:r>
        <w:t xml:space="preserve"> </w:t>
      </w:r>
      <w:r w:rsidRPr="00860806">
        <w:t>soustavy,</w:t>
      </w:r>
      <w:r>
        <w:t xml:space="preserve"> </w:t>
      </w:r>
      <w:r w:rsidRPr="00860806">
        <w:t>ke</w:t>
      </w:r>
      <w:r>
        <w:t xml:space="preserve"> </w:t>
      </w:r>
      <w:r w:rsidRPr="00860806">
        <w:t>které</w:t>
      </w:r>
      <w:r>
        <w:t xml:space="preserve"> </w:t>
      </w:r>
      <w:r w:rsidRPr="00860806">
        <w:t>je</w:t>
      </w:r>
      <w:r>
        <w:t xml:space="preserve"> </w:t>
      </w:r>
      <w:r w:rsidRPr="00860806">
        <w:t>výrobna</w:t>
      </w:r>
      <w:r>
        <w:t xml:space="preserve"> </w:t>
      </w:r>
      <w:r w:rsidRPr="00860806">
        <w:t>elektřiny</w:t>
      </w:r>
      <w:r>
        <w:t xml:space="preserve"> </w:t>
      </w:r>
      <w:r w:rsidRPr="00860806">
        <w:t>připojena,</w:t>
      </w:r>
    </w:p>
    <w:p w14:paraId="0BC125CE" w14:textId="7C2A3035" w:rsidR="001E2C51" w:rsidRDefault="001E2C51" w:rsidP="002E6AEA">
      <w:pPr>
        <w:pStyle w:val="Textparagrafu"/>
        <w:tabs>
          <w:tab w:val="left" w:pos="392"/>
          <w:tab w:val="left" w:pos="840"/>
        </w:tabs>
        <w:spacing w:before="0"/>
        <w:ind w:left="426" w:hanging="426"/>
      </w:pPr>
      <w:r w:rsidRPr="00860806">
        <w:t>c)</w:t>
      </w:r>
      <w:r>
        <w:tab/>
      </w:r>
      <w:r w:rsidRPr="00860806">
        <w:t>zpřístupnit</w:t>
      </w:r>
      <w:r>
        <w:t xml:space="preserve"> </w:t>
      </w:r>
      <w:r w:rsidRPr="00860806">
        <w:t>měřicí</w:t>
      </w:r>
      <w:r>
        <w:t xml:space="preserve"> </w:t>
      </w:r>
      <w:r w:rsidRPr="00860806">
        <w:t>zařízení</w:t>
      </w:r>
      <w:r>
        <w:t xml:space="preserve"> </w:t>
      </w:r>
      <w:r w:rsidRPr="00860806">
        <w:t>provozovateli</w:t>
      </w:r>
      <w:r>
        <w:t xml:space="preserve"> </w:t>
      </w:r>
      <w:r w:rsidRPr="00860806">
        <w:t>přenosové</w:t>
      </w:r>
      <w:r>
        <w:t xml:space="preserve"> </w:t>
      </w:r>
      <w:r w:rsidRPr="00860806">
        <w:t>soustavy</w:t>
      </w:r>
      <w:r>
        <w:t xml:space="preserve"> </w:t>
      </w:r>
      <w:r w:rsidRPr="00860806">
        <w:t>nebo</w:t>
      </w:r>
      <w:r>
        <w:t xml:space="preserve"> </w:t>
      </w:r>
      <w:r w:rsidRPr="00860806">
        <w:t>provozovateli</w:t>
      </w:r>
      <w:r>
        <w:t xml:space="preserve"> </w:t>
      </w:r>
      <w:r w:rsidRPr="00860806">
        <w:t>distribuční</w:t>
      </w:r>
      <w:r>
        <w:t xml:space="preserve"> </w:t>
      </w:r>
      <w:r w:rsidRPr="00860806">
        <w:t>soustavy,</w:t>
      </w:r>
      <w:r>
        <w:t xml:space="preserve"> </w:t>
      </w:r>
      <w:r w:rsidRPr="00860806">
        <w:t>ke</w:t>
      </w:r>
      <w:r>
        <w:t xml:space="preserve"> </w:t>
      </w:r>
      <w:r w:rsidRPr="00860806">
        <w:t>které</w:t>
      </w:r>
      <w:r>
        <w:t xml:space="preserve"> </w:t>
      </w:r>
      <w:r w:rsidRPr="00860806">
        <w:t>je</w:t>
      </w:r>
      <w:r>
        <w:t xml:space="preserve"> </w:t>
      </w:r>
      <w:r w:rsidRPr="00860806">
        <w:t>výrobna</w:t>
      </w:r>
      <w:r>
        <w:t xml:space="preserve"> </w:t>
      </w:r>
      <w:r w:rsidRPr="00860806">
        <w:t>elektřiny</w:t>
      </w:r>
      <w:r>
        <w:t xml:space="preserve"> </w:t>
      </w:r>
      <w:r w:rsidRPr="00860806">
        <w:t>připojena,</w:t>
      </w:r>
    </w:p>
    <w:p w14:paraId="0BD40424" w14:textId="7EA5678B" w:rsidR="001E2C51" w:rsidRDefault="001E2C51" w:rsidP="002E6AEA">
      <w:pPr>
        <w:pStyle w:val="Textparagrafu"/>
        <w:tabs>
          <w:tab w:val="left" w:pos="392"/>
          <w:tab w:val="left" w:pos="840"/>
        </w:tabs>
        <w:spacing w:before="0"/>
        <w:ind w:left="426" w:hanging="426"/>
      </w:pPr>
      <w:r w:rsidRPr="00860806">
        <w:t>d)</w:t>
      </w:r>
      <w:r>
        <w:tab/>
      </w:r>
      <w:r w:rsidRPr="00860806">
        <w:t>instalovat</w:t>
      </w:r>
      <w:r>
        <w:t xml:space="preserve"> </w:t>
      </w:r>
      <w:r w:rsidRPr="00860806">
        <w:t>u</w:t>
      </w:r>
      <w:r>
        <w:t xml:space="preserve"> </w:t>
      </w:r>
      <w:r w:rsidRPr="00860806">
        <w:t>nově</w:t>
      </w:r>
      <w:r>
        <w:t xml:space="preserve"> </w:t>
      </w:r>
      <w:r w:rsidRPr="00860806">
        <w:t>budovaných</w:t>
      </w:r>
      <w:r>
        <w:t xml:space="preserve"> </w:t>
      </w:r>
      <w:r w:rsidRPr="00860806">
        <w:t>výroben</w:t>
      </w:r>
      <w:r>
        <w:t xml:space="preserve"> </w:t>
      </w:r>
      <w:r w:rsidRPr="00860806">
        <w:t>o</w:t>
      </w:r>
      <w:r>
        <w:t xml:space="preserve"> </w:t>
      </w:r>
      <w:r w:rsidRPr="00860806">
        <w:t>celkovém</w:t>
      </w:r>
      <w:r>
        <w:t xml:space="preserve"> </w:t>
      </w:r>
      <w:r w:rsidRPr="00860806">
        <w:t>instalovaném</w:t>
      </w:r>
      <w:r>
        <w:t xml:space="preserve"> </w:t>
      </w:r>
      <w:r w:rsidRPr="00860806">
        <w:t>elektrickém</w:t>
      </w:r>
      <w:r>
        <w:t xml:space="preserve"> </w:t>
      </w:r>
      <w:r w:rsidRPr="00860806">
        <w:t>výkonu</w:t>
      </w:r>
      <w:r>
        <w:t xml:space="preserve"> </w:t>
      </w:r>
      <w:r w:rsidRPr="00860806">
        <w:t>30</w:t>
      </w:r>
      <w:r>
        <w:t xml:space="preserve"> </w:t>
      </w:r>
      <w:r w:rsidRPr="00860806">
        <w:t>MW</w:t>
      </w:r>
      <w:r>
        <w:t xml:space="preserve"> </w:t>
      </w:r>
      <w:r w:rsidRPr="00860806">
        <w:t>a</w:t>
      </w:r>
      <w:r>
        <w:t xml:space="preserve"> </w:t>
      </w:r>
      <w:r w:rsidRPr="00860806">
        <w:t>více</w:t>
      </w:r>
      <w:r>
        <w:t xml:space="preserve"> </w:t>
      </w:r>
      <w:r w:rsidRPr="00860806">
        <w:t>a</w:t>
      </w:r>
      <w:r>
        <w:t xml:space="preserve"> </w:t>
      </w:r>
      <w:r w:rsidRPr="00860806">
        <w:t>provozovat</w:t>
      </w:r>
      <w:r>
        <w:t xml:space="preserve"> </w:t>
      </w:r>
      <w:r w:rsidRPr="00860806">
        <w:t>zařízení</w:t>
      </w:r>
      <w:r>
        <w:t xml:space="preserve"> </w:t>
      </w:r>
      <w:r w:rsidRPr="00860806">
        <w:t>pro</w:t>
      </w:r>
      <w:r>
        <w:t xml:space="preserve"> </w:t>
      </w:r>
      <w:r w:rsidRPr="00860806">
        <w:t>poskytování</w:t>
      </w:r>
      <w:r>
        <w:t xml:space="preserve"> </w:t>
      </w:r>
      <w:r w:rsidRPr="00860806">
        <w:t>podpůrných</w:t>
      </w:r>
      <w:r>
        <w:t xml:space="preserve"> </w:t>
      </w:r>
      <w:r w:rsidRPr="00860806">
        <w:t>služeb,</w:t>
      </w:r>
    </w:p>
    <w:p w14:paraId="5FAF9B4E" w14:textId="60235B2C" w:rsidR="001E2C51" w:rsidRDefault="001E2C51" w:rsidP="002E6AEA">
      <w:pPr>
        <w:pStyle w:val="Textparagrafu"/>
        <w:tabs>
          <w:tab w:val="left" w:pos="392"/>
          <w:tab w:val="left" w:pos="840"/>
        </w:tabs>
        <w:spacing w:before="0"/>
        <w:ind w:left="426" w:hanging="426"/>
      </w:pPr>
      <w:r w:rsidRPr="00860806">
        <w:t>e)</w:t>
      </w:r>
      <w:r>
        <w:tab/>
      </w:r>
      <w:r w:rsidRPr="00860806">
        <w:t>řídit</w:t>
      </w:r>
      <w:r>
        <w:t xml:space="preserve"> </w:t>
      </w:r>
      <w:r w:rsidRPr="00860806">
        <w:t>se</w:t>
      </w:r>
      <w:r>
        <w:t xml:space="preserve"> </w:t>
      </w:r>
      <w:r w:rsidRPr="00860806">
        <w:t>pokyny</w:t>
      </w:r>
      <w:r>
        <w:t xml:space="preserve"> </w:t>
      </w:r>
      <w:r w:rsidRPr="00860806">
        <w:t>technického</w:t>
      </w:r>
      <w:r>
        <w:t xml:space="preserve"> </w:t>
      </w:r>
      <w:r w:rsidRPr="00860806">
        <w:t>dispečinku</w:t>
      </w:r>
      <w:r>
        <w:t xml:space="preserve"> </w:t>
      </w:r>
      <w:r w:rsidRPr="00860806">
        <w:t>provozovatele</w:t>
      </w:r>
      <w:r>
        <w:t xml:space="preserve"> </w:t>
      </w:r>
      <w:r w:rsidRPr="00860806">
        <w:t>přenosové</w:t>
      </w:r>
      <w:r>
        <w:t xml:space="preserve"> </w:t>
      </w:r>
      <w:r w:rsidRPr="00860806">
        <w:t>soustavy</w:t>
      </w:r>
      <w:r>
        <w:t xml:space="preserve"> </w:t>
      </w:r>
      <w:r w:rsidRPr="00860806">
        <w:t>nebo</w:t>
      </w:r>
      <w:r>
        <w:t xml:space="preserve"> </w:t>
      </w:r>
      <w:r w:rsidRPr="00860806">
        <w:t>provozovatele</w:t>
      </w:r>
      <w:r>
        <w:t xml:space="preserve"> </w:t>
      </w:r>
      <w:r w:rsidRPr="00860806">
        <w:t>distribuční</w:t>
      </w:r>
      <w:r>
        <w:t xml:space="preserve"> </w:t>
      </w:r>
      <w:r w:rsidRPr="00860806">
        <w:t>soustavy,</w:t>
      </w:r>
      <w:r>
        <w:t xml:space="preserve"> </w:t>
      </w:r>
      <w:r w:rsidRPr="00860806">
        <w:t>ke</w:t>
      </w:r>
      <w:r>
        <w:t xml:space="preserve"> </w:t>
      </w:r>
      <w:r w:rsidRPr="00860806">
        <w:t>které</w:t>
      </w:r>
      <w:r>
        <w:t xml:space="preserve"> </w:t>
      </w:r>
      <w:r w:rsidRPr="00860806">
        <w:t>je</w:t>
      </w:r>
      <w:r>
        <w:t xml:space="preserve"> </w:t>
      </w:r>
      <w:r w:rsidRPr="00860806">
        <w:t>výrobna</w:t>
      </w:r>
      <w:r>
        <w:t xml:space="preserve"> </w:t>
      </w:r>
      <w:r w:rsidRPr="00860806">
        <w:t>elektřiny</w:t>
      </w:r>
      <w:r>
        <w:t xml:space="preserve"> </w:t>
      </w:r>
      <w:r w:rsidRPr="00860806">
        <w:t>připojena,</w:t>
      </w:r>
    </w:p>
    <w:p w14:paraId="6EE5DFCB" w14:textId="5094BD92" w:rsidR="001E2C51" w:rsidRDefault="001E2C51" w:rsidP="002E6AEA">
      <w:pPr>
        <w:pStyle w:val="Textparagrafu"/>
        <w:tabs>
          <w:tab w:val="left" w:pos="392"/>
          <w:tab w:val="left" w:pos="840"/>
        </w:tabs>
        <w:spacing w:before="0"/>
        <w:ind w:left="426" w:hanging="426"/>
      </w:pPr>
      <w:r w:rsidRPr="00860806">
        <w:t>f)</w:t>
      </w:r>
      <w:r>
        <w:tab/>
      </w:r>
      <w:r w:rsidRPr="00860806">
        <w:t>předávat</w:t>
      </w:r>
      <w:r>
        <w:t xml:space="preserve"> </w:t>
      </w:r>
      <w:r w:rsidRPr="00860806">
        <w:t>operátorovi</w:t>
      </w:r>
      <w:r>
        <w:t xml:space="preserve"> </w:t>
      </w:r>
      <w:r w:rsidRPr="00860806">
        <w:t>trhu</w:t>
      </w:r>
      <w:r>
        <w:t xml:space="preserve"> </w:t>
      </w:r>
      <w:r w:rsidRPr="00860806">
        <w:t>technické</w:t>
      </w:r>
      <w:r>
        <w:t xml:space="preserve"> </w:t>
      </w:r>
      <w:r w:rsidRPr="00860806">
        <w:t>údaje</w:t>
      </w:r>
      <w:r>
        <w:t xml:space="preserve"> </w:t>
      </w:r>
      <w:r w:rsidRPr="00860806">
        <w:t>vyplývající</w:t>
      </w:r>
      <w:r>
        <w:t xml:space="preserve"> </w:t>
      </w:r>
      <w:r w:rsidRPr="00860806">
        <w:t>ze</w:t>
      </w:r>
      <w:r>
        <w:t xml:space="preserve"> </w:t>
      </w:r>
      <w:r w:rsidRPr="00860806">
        <w:t>smluv</w:t>
      </w:r>
      <w:r>
        <w:t xml:space="preserve"> </w:t>
      </w:r>
      <w:r w:rsidRPr="00860806">
        <w:t>o</w:t>
      </w:r>
      <w:r>
        <w:t xml:space="preserve"> </w:t>
      </w:r>
      <w:r w:rsidRPr="00860806">
        <w:t>dodávce</w:t>
      </w:r>
      <w:r>
        <w:t xml:space="preserve"> </w:t>
      </w:r>
      <w:r w:rsidRPr="00860806">
        <w:t>elektřiny</w:t>
      </w:r>
      <w:r>
        <w:t xml:space="preserve"> </w:t>
      </w:r>
      <w:r w:rsidRPr="00860806">
        <w:t>prostřednictvím</w:t>
      </w:r>
      <w:r>
        <w:t xml:space="preserve"> </w:t>
      </w:r>
      <w:r w:rsidRPr="00860806">
        <w:t>subjektu</w:t>
      </w:r>
      <w:r>
        <w:t xml:space="preserve"> </w:t>
      </w:r>
      <w:r w:rsidRPr="00860806">
        <w:t>zúčtování,</w:t>
      </w:r>
      <w:r>
        <w:t xml:space="preserve"> </w:t>
      </w:r>
      <w:r w:rsidRPr="00860806">
        <w:t>který</w:t>
      </w:r>
      <w:r>
        <w:t xml:space="preserve"> </w:t>
      </w:r>
      <w:r w:rsidRPr="00860806">
        <w:t>převzal</w:t>
      </w:r>
      <w:r>
        <w:t xml:space="preserve"> </w:t>
      </w:r>
      <w:r w:rsidRPr="00860806">
        <w:t>odpovědnost</w:t>
      </w:r>
      <w:r>
        <w:t xml:space="preserve"> </w:t>
      </w:r>
      <w:r w:rsidRPr="00860806">
        <w:t>za</w:t>
      </w:r>
      <w:r>
        <w:t xml:space="preserve"> </w:t>
      </w:r>
      <w:r w:rsidRPr="00860806">
        <w:t>jeho</w:t>
      </w:r>
      <w:r>
        <w:t xml:space="preserve"> </w:t>
      </w:r>
      <w:r w:rsidRPr="00860806">
        <w:t>odchylku,</w:t>
      </w:r>
      <w:r>
        <w:t xml:space="preserve"> </w:t>
      </w:r>
      <w:r w:rsidRPr="00860806">
        <w:t>nebo</w:t>
      </w:r>
      <w:r>
        <w:t xml:space="preserve"> </w:t>
      </w:r>
      <w:r w:rsidRPr="00860806">
        <w:t>přímo,</w:t>
      </w:r>
      <w:r>
        <w:t xml:space="preserve"> </w:t>
      </w:r>
      <w:r w:rsidRPr="00860806">
        <w:t>pokud</w:t>
      </w:r>
      <w:r>
        <w:t xml:space="preserve"> </w:t>
      </w:r>
      <w:r w:rsidRPr="00860806">
        <w:t>je</w:t>
      </w:r>
      <w:r>
        <w:t xml:space="preserve"> </w:t>
      </w:r>
      <w:r w:rsidRPr="00860806">
        <w:t>subjektem</w:t>
      </w:r>
      <w:r>
        <w:t xml:space="preserve"> </w:t>
      </w:r>
      <w:r w:rsidRPr="00860806">
        <w:t>zúčtování,</w:t>
      </w:r>
      <w:r>
        <w:t xml:space="preserve"> </w:t>
      </w:r>
      <w:r w:rsidRPr="00860806">
        <w:t>údaje</w:t>
      </w:r>
      <w:r>
        <w:t xml:space="preserve"> </w:t>
      </w:r>
      <w:r w:rsidRPr="00860806">
        <w:t>k</w:t>
      </w:r>
      <w:r>
        <w:t xml:space="preserve"> </w:t>
      </w:r>
      <w:r w:rsidRPr="00860806">
        <w:t>uplatnění</w:t>
      </w:r>
      <w:r>
        <w:t xml:space="preserve"> </w:t>
      </w:r>
      <w:r w:rsidRPr="00860806">
        <w:t>ceny</w:t>
      </w:r>
      <w:r>
        <w:t xml:space="preserve"> </w:t>
      </w:r>
      <w:r w:rsidRPr="00860806">
        <w:t>za</w:t>
      </w:r>
      <w:r>
        <w:t xml:space="preserve"> </w:t>
      </w:r>
      <w:r w:rsidRPr="00860806">
        <w:t>činnosti</w:t>
      </w:r>
      <w:r>
        <w:t xml:space="preserve"> </w:t>
      </w:r>
      <w:r w:rsidRPr="00860806">
        <w:t>operátora</w:t>
      </w:r>
      <w:r>
        <w:t xml:space="preserve"> </w:t>
      </w:r>
      <w:r w:rsidRPr="00860806">
        <w:t>trhu</w:t>
      </w:r>
      <w:r>
        <w:t xml:space="preserve"> </w:t>
      </w:r>
      <w:r w:rsidRPr="00860806">
        <w:t>podle</w:t>
      </w:r>
      <w:r>
        <w:t xml:space="preserve"> </w:t>
      </w:r>
      <w:r w:rsidRPr="00860806">
        <w:t>Pravidel</w:t>
      </w:r>
      <w:r>
        <w:t xml:space="preserve"> </w:t>
      </w:r>
      <w:r w:rsidRPr="00860806">
        <w:t>trhu</w:t>
      </w:r>
      <w:r>
        <w:t xml:space="preserve"> </w:t>
      </w:r>
      <w:r w:rsidRPr="00860806">
        <w:t>s</w:t>
      </w:r>
      <w:r>
        <w:t xml:space="preserve"> </w:t>
      </w:r>
      <w:r w:rsidRPr="00860806">
        <w:t>elektřinou</w:t>
      </w:r>
      <w:r>
        <w:t xml:space="preserve"> </w:t>
      </w:r>
      <w:r w:rsidRPr="00860806">
        <w:t>a</w:t>
      </w:r>
      <w:r>
        <w:t xml:space="preserve"> </w:t>
      </w:r>
      <w:r w:rsidRPr="00860806">
        <w:t>další</w:t>
      </w:r>
      <w:r>
        <w:t xml:space="preserve"> </w:t>
      </w:r>
      <w:r w:rsidRPr="00860806">
        <w:t>nezbytné</w:t>
      </w:r>
      <w:r>
        <w:t xml:space="preserve"> </w:t>
      </w:r>
      <w:r w:rsidRPr="00860806">
        <w:t>informace</w:t>
      </w:r>
      <w:r>
        <w:t xml:space="preserve"> </w:t>
      </w:r>
      <w:r w:rsidRPr="00860806">
        <w:t>pro</w:t>
      </w:r>
      <w:r>
        <w:t xml:space="preserve"> </w:t>
      </w:r>
      <w:r w:rsidRPr="00860806">
        <w:t>plnění</w:t>
      </w:r>
      <w:r>
        <w:t xml:space="preserve"> </w:t>
      </w:r>
      <w:r w:rsidRPr="00860806">
        <w:t>povinností</w:t>
      </w:r>
      <w:r>
        <w:t xml:space="preserve"> </w:t>
      </w:r>
      <w:r w:rsidRPr="00860806">
        <w:t>operátora</w:t>
      </w:r>
      <w:r>
        <w:t xml:space="preserve"> </w:t>
      </w:r>
      <w:r w:rsidRPr="00860806">
        <w:t>trhu,</w:t>
      </w:r>
    </w:p>
    <w:p w14:paraId="03C76D9B" w14:textId="38180520" w:rsidR="001E2C51" w:rsidRDefault="001E2C51" w:rsidP="002E6AEA">
      <w:pPr>
        <w:pStyle w:val="Textparagrafu"/>
        <w:tabs>
          <w:tab w:val="left" w:pos="392"/>
          <w:tab w:val="left" w:pos="840"/>
        </w:tabs>
        <w:spacing w:before="0"/>
        <w:ind w:left="426" w:hanging="426"/>
      </w:pPr>
      <w:r w:rsidRPr="00860806">
        <w:t>g)</w:t>
      </w:r>
      <w:r>
        <w:tab/>
      </w:r>
      <w:r w:rsidRPr="00860806">
        <w:t>poskytovat</w:t>
      </w:r>
      <w:r>
        <w:t xml:space="preserve"> </w:t>
      </w:r>
      <w:r w:rsidRPr="00860806">
        <w:t>provozovateli</w:t>
      </w:r>
      <w:r>
        <w:t xml:space="preserve"> </w:t>
      </w:r>
      <w:r w:rsidRPr="00860806">
        <w:t>přenosové</w:t>
      </w:r>
      <w:r>
        <w:t xml:space="preserve"> </w:t>
      </w:r>
      <w:r w:rsidRPr="00860806">
        <w:t>soustavy</w:t>
      </w:r>
      <w:r>
        <w:t xml:space="preserve"> </w:t>
      </w:r>
      <w:r w:rsidRPr="00860806">
        <w:t>nebo</w:t>
      </w:r>
      <w:r>
        <w:t xml:space="preserve"> </w:t>
      </w:r>
      <w:r w:rsidRPr="00860806">
        <w:t>provozovateli</w:t>
      </w:r>
      <w:r>
        <w:t xml:space="preserve"> </w:t>
      </w:r>
      <w:r w:rsidRPr="00860806">
        <w:t>distribuční</w:t>
      </w:r>
      <w:r>
        <w:t xml:space="preserve"> </w:t>
      </w:r>
      <w:r w:rsidRPr="00860806">
        <w:t>soustavy,</w:t>
      </w:r>
      <w:r>
        <w:t xml:space="preserve"> </w:t>
      </w:r>
      <w:r w:rsidRPr="00860806">
        <w:t>ke</w:t>
      </w:r>
      <w:r>
        <w:t xml:space="preserve"> </w:t>
      </w:r>
      <w:r w:rsidRPr="00860806">
        <w:t>které</w:t>
      </w:r>
      <w:r>
        <w:t xml:space="preserve"> </w:t>
      </w:r>
      <w:r w:rsidRPr="00860806">
        <w:t>je</w:t>
      </w:r>
      <w:r>
        <w:t xml:space="preserve"> </w:t>
      </w:r>
      <w:r w:rsidRPr="00860806">
        <w:t>výrobna</w:t>
      </w:r>
      <w:r>
        <w:t xml:space="preserve"> </w:t>
      </w:r>
      <w:r w:rsidRPr="00860806">
        <w:t>elektřiny</w:t>
      </w:r>
      <w:r>
        <w:t xml:space="preserve"> </w:t>
      </w:r>
      <w:r w:rsidRPr="00860806">
        <w:t>připojena,</w:t>
      </w:r>
      <w:r>
        <w:t xml:space="preserve"> </w:t>
      </w:r>
      <w:r w:rsidRPr="00860806">
        <w:t>potřebné</w:t>
      </w:r>
      <w:r>
        <w:t xml:space="preserve"> </w:t>
      </w:r>
      <w:r w:rsidRPr="00860806">
        <w:t>údaje</w:t>
      </w:r>
      <w:r>
        <w:t xml:space="preserve"> </w:t>
      </w:r>
      <w:r w:rsidRPr="00860806">
        <w:t>pro</w:t>
      </w:r>
      <w:r>
        <w:t xml:space="preserve"> </w:t>
      </w:r>
      <w:r w:rsidRPr="00860806">
        <w:t>provoz</w:t>
      </w:r>
      <w:r>
        <w:t xml:space="preserve"> </w:t>
      </w:r>
      <w:r w:rsidRPr="00860806">
        <w:t>a</w:t>
      </w:r>
      <w:r>
        <w:t xml:space="preserve"> </w:t>
      </w:r>
      <w:r w:rsidRPr="00860806">
        <w:t>rozvoj</w:t>
      </w:r>
      <w:r>
        <w:t xml:space="preserve"> </w:t>
      </w:r>
      <w:r w:rsidRPr="00860806">
        <w:t>přenosové</w:t>
      </w:r>
      <w:r>
        <w:t xml:space="preserve"> </w:t>
      </w:r>
      <w:r w:rsidRPr="00860806">
        <w:t>soustavy</w:t>
      </w:r>
      <w:r>
        <w:t xml:space="preserve"> </w:t>
      </w:r>
      <w:r w:rsidRPr="00860806">
        <w:t>nebo</w:t>
      </w:r>
      <w:r>
        <w:t xml:space="preserve"> </w:t>
      </w:r>
      <w:r w:rsidRPr="00860806">
        <w:t>distribuční</w:t>
      </w:r>
      <w:r>
        <w:t xml:space="preserve"> </w:t>
      </w:r>
      <w:r w:rsidRPr="00860806">
        <w:t>soustavy,</w:t>
      </w:r>
      <w:r>
        <w:t xml:space="preserve"> </w:t>
      </w:r>
      <w:r w:rsidRPr="00860806">
        <w:t>a</w:t>
      </w:r>
      <w:r>
        <w:t xml:space="preserve"> </w:t>
      </w:r>
      <w:r w:rsidRPr="00860806">
        <w:t>operátorovi</w:t>
      </w:r>
      <w:r>
        <w:t xml:space="preserve"> </w:t>
      </w:r>
      <w:r w:rsidRPr="00860806">
        <w:t>trhu</w:t>
      </w:r>
      <w:r>
        <w:t xml:space="preserve"> </w:t>
      </w:r>
      <w:r w:rsidRPr="00860806">
        <w:t>údaje</w:t>
      </w:r>
      <w:r>
        <w:t xml:space="preserve"> </w:t>
      </w:r>
      <w:r w:rsidRPr="00860806">
        <w:t>potřebné</w:t>
      </w:r>
      <w:r>
        <w:t xml:space="preserve"> </w:t>
      </w:r>
      <w:r w:rsidRPr="00860806">
        <w:t>pro</w:t>
      </w:r>
      <w:r>
        <w:t xml:space="preserve"> </w:t>
      </w:r>
      <w:r w:rsidRPr="00860806">
        <w:t>plnění</w:t>
      </w:r>
      <w:r>
        <w:t xml:space="preserve"> </w:t>
      </w:r>
      <w:r w:rsidRPr="00860806">
        <w:t>jejich</w:t>
      </w:r>
      <w:r>
        <w:t xml:space="preserve"> </w:t>
      </w:r>
      <w:r w:rsidRPr="00860806">
        <w:t>povinností,</w:t>
      </w:r>
    </w:p>
    <w:p w14:paraId="14C4745B" w14:textId="0CAFF1A7" w:rsidR="001E2C51" w:rsidRDefault="001E2C51" w:rsidP="002E6AEA">
      <w:pPr>
        <w:pStyle w:val="Textparagrafu"/>
        <w:tabs>
          <w:tab w:val="left" w:pos="392"/>
          <w:tab w:val="left" w:pos="840"/>
        </w:tabs>
        <w:spacing w:before="0"/>
        <w:ind w:left="426" w:hanging="426"/>
      </w:pPr>
      <w:r w:rsidRPr="00860806">
        <w:t>h)</w:t>
      </w:r>
      <w:r>
        <w:tab/>
      </w:r>
      <w:r w:rsidRPr="00860806">
        <w:t>předávat</w:t>
      </w:r>
      <w:r>
        <w:t xml:space="preserve"> </w:t>
      </w:r>
      <w:r w:rsidRPr="00860806">
        <w:t>provozovateli</w:t>
      </w:r>
      <w:r>
        <w:t xml:space="preserve"> </w:t>
      </w:r>
      <w:r w:rsidRPr="00860806">
        <w:t>soustavy,</w:t>
      </w:r>
      <w:r>
        <w:t xml:space="preserve"> </w:t>
      </w:r>
      <w:r w:rsidRPr="00860806">
        <w:t>ke</w:t>
      </w:r>
      <w:r>
        <w:t xml:space="preserve"> </w:t>
      </w:r>
      <w:r w:rsidRPr="00860806">
        <w:t>které</w:t>
      </w:r>
      <w:r>
        <w:t xml:space="preserve"> </w:t>
      </w:r>
      <w:r w:rsidRPr="00860806">
        <w:t>je</w:t>
      </w:r>
      <w:r>
        <w:t xml:space="preserve"> </w:t>
      </w:r>
      <w:r w:rsidRPr="00860806">
        <w:t>výrobna</w:t>
      </w:r>
      <w:r>
        <w:t xml:space="preserve"> </w:t>
      </w:r>
      <w:r w:rsidRPr="00860806">
        <w:t>elektřiny</w:t>
      </w:r>
      <w:r>
        <w:t xml:space="preserve"> </w:t>
      </w:r>
      <w:r w:rsidRPr="00860806">
        <w:t>připojena,</w:t>
      </w:r>
      <w:r>
        <w:t xml:space="preserve"> </w:t>
      </w:r>
      <w:r w:rsidRPr="00860806">
        <w:t>informace</w:t>
      </w:r>
      <w:r>
        <w:t xml:space="preserve"> </w:t>
      </w:r>
      <w:r w:rsidRPr="00860806">
        <w:t>nezbytné</w:t>
      </w:r>
      <w:r>
        <w:t xml:space="preserve"> </w:t>
      </w:r>
      <w:r w:rsidRPr="00860806">
        <w:t>pro</w:t>
      </w:r>
      <w:r>
        <w:t xml:space="preserve"> </w:t>
      </w:r>
      <w:r w:rsidRPr="00860806">
        <w:t>dispečerské</w:t>
      </w:r>
      <w:r>
        <w:t xml:space="preserve"> </w:t>
      </w:r>
      <w:r w:rsidRPr="00860806">
        <w:t>řízení,</w:t>
      </w:r>
    </w:p>
    <w:p w14:paraId="4FB07E81" w14:textId="3C5A1DC5" w:rsidR="001E2C51" w:rsidRDefault="001E2C51" w:rsidP="002E6AEA">
      <w:pPr>
        <w:pStyle w:val="Textparagrafu"/>
        <w:tabs>
          <w:tab w:val="left" w:pos="392"/>
          <w:tab w:val="left" w:pos="840"/>
        </w:tabs>
        <w:spacing w:before="0"/>
        <w:ind w:left="426" w:hanging="426"/>
      </w:pPr>
      <w:r w:rsidRPr="00860806">
        <w:t>i)</w:t>
      </w:r>
      <w:r>
        <w:tab/>
      </w:r>
      <w:r w:rsidRPr="00860806">
        <w:t>dodržovat</w:t>
      </w:r>
      <w:r>
        <w:t xml:space="preserve"> </w:t>
      </w:r>
      <w:r w:rsidRPr="00860806">
        <w:t>parametry</w:t>
      </w:r>
      <w:r>
        <w:t xml:space="preserve"> </w:t>
      </w:r>
      <w:r w:rsidRPr="00860806">
        <w:t>kvality</w:t>
      </w:r>
      <w:r>
        <w:t xml:space="preserve"> </w:t>
      </w:r>
      <w:r w:rsidRPr="00860806">
        <w:t>dodávané</w:t>
      </w:r>
      <w:r>
        <w:t xml:space="preserve"> </w:t>
      </w:r>
      <w:r w:rsidRPr="00860806">
        <w:t>elektřiny</w:t>
      </w:r>
      <w:r>
        <w:t xml:space="preserve"> </w:t>
      </w:r>
      <w:r w:rsidRPr="00860806">
        <w:t>stanovené</w:t>
      </w:r>
      <w:r>
        <w:t xml:space="preserve"> </w:t>
      </w:r>
      <w:r w:rsidRPr="00860806">
        <w:t>Pravidly</w:t>
      </w:r>
      <w:r>
        <w:t xml:space="preserve"> </w:t>
      </w:r>
      <w:r w:rsidRPr="00860806">
        <w:t>provozování</w:t>
      </w:r>
      <w:r>
        <w:t xml:space="preserve"> </w:t>
      </w:r>
      <w:r w:rsidRPr="00860806">
        <w:t>přenosové</w:t>
      </w:r>
      <w:r>
        <w:t xml:space="preserve"> </w:t>
      </w:r>
      <w:r w:rsidRPr="00860806">
        <w:t>soustavy</w:t>
      </w:r>
      <w:r>
        <w:t xml:space="preserve"> </w:t>
      </w:r>
      <w:r w:rsidRPr="00860806">
        <w:t>nebo</w:t>
      </w:r>
      <w:r>
        <w:t xml:space="preserve"> </w:t>
      </w:r>
      <w:r w:rsidRPr="00860806">
        <w:t>Pravidly</w:t>
      </w:r>
      <w:r>
        <w:t xml:space="preserve"> </w:t>
      </w:r>
      <w:r w:rsidRPr="00860806">
        <w:t>provozování</w:t>
      </w:r>
      <w:r>
        <w:t xml:space="preserve"> </w:t>
      </w:r>
      <w:r w:rsidRPr="00860806">
        <w:t>distribuční</w:t>
      </w:r>
      <w:r>
        <w:t xml:space="preserve"> </w:t>
      </w:r>
      <w:r w:rsidRPr="00860806">
        <w:t>soustavy,</w:t>
      </w:r>
    </w:p>
    <w:p w14:paraId="40F20496" w14:textId="4D49978B" w:rsidR="001E2C51" w:rsidRDefault="001E2C51" w:rsidP="002E6AEA">
      <w:pPr>
        <w:pStyle w:val="Textparagrafu"/>
        <w:tabs>
          <w:tab w:val="left" w:pos="392"/>
          <w:tab w:val="left" w:pos="840"/>
        </w:tabs>
        <w:spacing w:before="0"/>
        <w:ind w:left="426" w:hanging="426"/>
      </w:pPr>
      <w:r w:rsidRPr="00860806">
        <w:lastRenderedPageBreak/>
        <w:t>j)</w:t>
      </w:r>
      <w:r>
        <w:tab/>
      </w:r>
      <w:r w:rsidRPr="00860806">
        <w:t>podílet</w:t>
      </w:r>
      <w:r>
        <w:t xml:space="preserve"> </w:t>
      </w:r>
      <w:r w:rsidRPr="00860806">
        <w:t>se</w:t>
      </w:r>
      <w:r>
        <w:t xml:space="preserve"> </w:t>
      </w:r>
      <w:r w:rsidRPr="00860806">
        <w:t>na</w:t>
      </w:r>
      <w:r>
        <w:t xml:space="preserve"> </w:t>
      </w:r>
      <w:r w:rsidRPr="00860806">
        <w:t>úhradě</w:t>
      </w:r>
      <w:r>
        <w:t xml:space="preserve"> </w:t>
      </w:r>
      <w:r w:rsidRPr="00860806">
        <w:t>oprávněných</w:t>
      </w:r>
      <w:r>
        <w:t xml:space="preserve"> </w:t>
      </w:r>
      <w:r w:rsidRPr="00860806">
        <w:t>nákladů</w:t>
      </w:r>
      <w:r>
        <w:t xml:space="preserve"> </w:t>
      </w:r>
      <w:r w:rsidRPr="00860806">
        <w:t>provozovatele</w:t>
      </w:r>
      <w:r>
        <w:t xml:space="preserve"> </w:t>
      </w:r>
      <w:r w:rsidRPr="00860806">
        <w:t>přenosové</w:t>
      </w:r>
      <w:r>
        <w:t xml:space="preserve"> </w:t>
      </w:r>
      <w:r w:rsidRPr="00860806">
        <w:t>soustavy</w:t>
      </w:r>
      <w:r>
        <w:t xml:space="preserve"> </w:t>
      </w:r>
      <w:r w:rsidRPr="00860806">
        <w:t>nebo</w:t>
      </w:r>
      <w:r>
        <w:t xml:space="preserve"> </w:t>
      </w:r>
      <w:r w:rsidRPr="00860806">
        <w:t>provozovatele</w:t>
      </w:r>
      <w:r>
        <w:t xml:space="preserve"> </w:t>
      </w:r>
      <w:r w:rsidRPr="00860806">
        <w:t>distribuční</w:t>
      </w:r>
      <w:r>
        <w:t xml:space="preserve"> </w:t>
      </w:r>
      <w:r w:rsidRPr="00860806">
        <w:t>soustavy</w:t>
      </w:r>
      <w:r>
        <w:t xml:space="preserve"> </w:t>
      </w:r>
      <w:r w:rsidRPr="00860806">
        <w:t>spojených</w:t>
      </w:r>
      <w:r>
        <w:t xml:space="preserve"> </w:t>
      </w:r>
      <w:r w:rsidRPr="00860806">
        <w:t>s</w:t>
      </w:r>
      <w:r>
        <w:t xml:space="preserve"> </w:t>
      </w:r>
      <w:r w:rsidRPr="00860806">
        <w:t>připojením</w:t>
      </w:r>
      <w:r>
        <w:t xml:space="preserve"> </w:t>
      </w:r>
      <w:r w:rsidRPr="00860806">
        <w:t>výrobny</w:t>
      </w:r>
      <w:r>
        <w:t xml:space="preserve"> </w:t>
      </w:r>
      <w:r w:rsidRPr="00860806">
        <w:t>elektřiny,</w:t>
      </w:r>
    </w:p>
    <w:p w14:paraId="1FA6D3A6" w14:textId="4FD95E68" w:rsidR="001E2C51" w:rsidRPr="00860806" w:rsidRDefault="001E2C51" w:rsidP="002E6AEA">
      <w:pPr>
        <w:pStyle w:val="Textparagrafu"/>
        <w:tabs>
          <w:tab w:val="left" w:pos="392"/>
          <w:tab w:val="left" w:pos="840"/>
        </w:tabs>
        <w:spacing w:before="0"/>
        <w:ind w:left="426" w:hanging="426"/>
      </w:pPr>
      <w:r w:rsidRPr="00860806">
        <w:t>k)</w:t>
      </w:r>
      <w:r>
        <w:t xml:space="preserve"> </w:t>
      </w:r>
      <w:r w:rsidR="0010420C">
        <w:tab/>
      </w:r>
      <w:r w:rsidRPr="00860806">
        <w:t>informovat</w:t>
      </w:r>
      <w:r>
        <w:t xml:space="preserve"> </w:t>
      </w:r>
      <w:r w:rsidRPr="00860806">
        <w:t>účastníky</w:t>
      </w:r>
      <w:r>
        <w:t xml:space="preserve"> </w:t>
      </w:r>
      <w:r w:rsidRPr="00860806">
        <w:t>trhu</w:t>
      </w:r>
      <w:r>
        <w:t xml:space="preserve"> </w:t>
      </w:r>
      <w:r w:rsidRPr="00860806">
        <w:t>s</w:t>
      </w:r>
      <w:r>
        <w:t xml:space="preserve"> </w:t>
      </w:r>
      <w:r w:rsidRPr="00860806">
        <w:t>elektřinou</w:t>
      </w:r>
      <w:r>
        <w:t xml:space="preserve"> </w:t>
      </w:r>
      <w:r w:rsidRPr="00860806">
        <w:t>způsobem</w:t>
      </w:r>
      <w:r>
        <w:t xml:space="preserve"> </w:t>
      </w:r>
      <w:r w:rsidRPr="00860806">
        <w:t>umožňujícím</w:t>
      </w:r>
      <w:r>
        <w:t xml:space="preserve"> </w:t>
      </w:r>
      <w:r w:rsidRPr="00860806">
        <w:t>dálkový</w:t>
      </w:r>
      <w:r>
        <w:t xml:space="preserve"> </w:t>
      </w:r>
      <w:r w:rsidRPr="00860806">
        <w:t>přístup</w:t>
      </w:r>
    </w:p>
    <w:p w14:paraId="5E124305" w14:textId="63DE784A" w:rsidR="001E2C51" w:rsidRPr="00860806" w:rsidRDefault="001E2C51" w:rsidP="002E6AEA">
      <w:pPr>
        <w:pStyle w:val="Textparagrafu"/>
        <w:tabs>
          <w:tab w:val="left" w:pos="392"/>
          <w:tab w:val="left" w:pos="840"/>
        </w:tabs>
        <w:spacing w:before="0"/>
        <w:ind w:left="426" w:hanging="426"/>
      </w:pPr>
      <w:r>
        <w:tab/>
      </w:r>
      <w:r w:rsidRPr="00860806">
        <w:t>1.</w:t>
      </w:r>
      <w:r>
        <w:tab/>
      </w:r>
      <w:r w:rsidRPr="00860806">
        <w:t>o</w:t>
      </w:r>
      <w:r>
        <w:t xml:space="preserve"> </w:t>
      </w:r>
      <w:r w:rsidRPr="00860806">
        <w:t>podílu</w:t>
      </w:r>
      <w:r>
        <w:t xml:space="preserve"> </w:t>
      </w:r>
      <w:r w:rsidRPr="00860806">
        <w:t>zdrojů</w:t>
      </w:r>
      <w:r>
        <w:t xml:space="preserve"> </w:t>
      </w:r>
      <w:r w:rsidRPr="00860806">
        <w:t>elektřiny</w:t>
      </w:r>
      <w:r>
        <w:t xml:space="preserve"> </w:t>
      </w:r>
      <w:r w:rsidRPr="00860806">
        <w:t>použitých</w:t>
      </w:r>
      <w:r>
        <w:t xml:space="preserve"> </w:t>
      </w:r>
      <w:r w:rsidRPr="00860806">
        <w:t>pro</w:t>
      </w:r>
      <w:r>
        <w:t xml:space="preserve"> </w:t>
      </w:r>
      <w:r w:rsidRPr="00860806">
        <w:t>výrobu</w:t>
      </w:r>
      <w:r>
        <w:t xml:space="preserve"> </w:t>
      </w:r>
      <w:r w:rsidRPr="00860806">
        <w:t>elektřiny</w:t>
      </w:r>
      <w:r>
        <w:t xml:space="preserve"> </w:t>
      </w:r>
      <w:r w:rsidRPr="00860806">
        <w:t>v</w:t>
      </w:r>
      <w:r>
        <w:t xml:space="preserve"> </w:t>
      </w:r>
      <w:r w:rsidRPr="00860806">
        <w:t>uplynulém</w:t>
      </w:r>
      <w:r>
        <w:t xml:space="preserve"> </w:t>
      </w:r>
      <w:r w:rsidRPr="00860806">
        <w:t>roce,</w:t>
      </w:r>
    </w:p>
    <w:p w14:paraId="7DA20E19" w14:textId="3103EFC7" w:rsidR="001E2C51" w:rsidRDefault="001E2C51" w:rsidP="002E6AEA">
      <w:pPr>
        <w:pStyle w:val="Textparagrafu"/>
        <w:tabs>
          <w:tab w:val="left" w:pos="392"/>
          <w:tab w:val="left" w:pos="840"/>
        </w:tabs>
        <w:spacing w:before="0"/>
        <w:ind w:left="426" w:hanging="426"/>
      </w:pPr>
      <w:r>
        <w:tab/>
      </w:r>
      <w:r w:rsidRPr="00860806">
        <w:t>2.</w:t>
      </w:r>
      <w:r>
        <w:tab/>
      </w:r>
      <w:r w:rsidRPr="00860806">
        <w:t>o</w:t>
      </w:r>
      <w:r>
        <w:t xml:space="preserve"> </w:t>
      </w:r>
      <w:r w:rsidRPr="00860806">
        <w:t>množství</w:t>
      </w:r>
      <w:r>
        <w:t xml:space="preserve"> </w:t>
      </w:r>
      <w:r w:rsidRPr="00860806">
        <w:t>emisí</w:t>
      </w:r>
      <w:r>
        <w:t xml:space="preserve"> </w:t>
      </w:r>
      <w:r w:rsidRPr="00860806">
        <w:t>CO2</w:t>
      </w:r>
      <w:r>
        <w:t xml:space="preserve"> </w:t>
      </w:r>
      <w:r w:rsidRPr="00860806">
        <w:t>a</w:t>
      </w:r>
      <w:r>
        <w:t xml:space="preserve"> </w:t>
      </w:r>
      <w:r w:rsidRPr="00860806">
        <w:t>o</w:t>
      </w:r>
      <w:r>
        <w:t xml:space="preserve"> </w:t>
      </w:r>
      <w:r w:rsidRPr="00860806">
        <w:t>množství</w:t>
      </w:r>
      <w:r>
        <w:t xml:space="preserve"> </w:t>
      </w:r>
      <w:r w:rsidRPr="00860806">
        <w:t>radioaktivního</w:t>
      </w:r>
      <w:r>
        <w:t xml:space="preserve"> </w:t>
      </w:r>
      <w:r w:rsidRPr="00860806">
        <w:t>odpadu</w:t>
      </w:r>
      <w:r>
        <w:t xml:space="preserve"> </w:t>
      </w:r>
      <w:r w:rsidRPr="00860806">
        <w:t>vyprodukovaného</w:t>
      </w:r>
      <w:r>
        <w:t xml:space="preserve"> </w:t>
      </w:r>
      <w:r w:rsidRPr="00860806">
        <w:t>při</w:t>
      </w:r>
      <w:r>
        <w:t xml:space="preserve"> </w:t>
      </w:r>
      <w:r w:rsidRPr="00860806">
        <w:t>výrobě</w:t>
      </w:r>
      <w:r>
        <w:t xml:space="preserve"> </w:t>
      </w:r>
      <w:r w:rsidRPr="00860806">
        <w:t>elektřiny</w:t>
      </w:r>
      <w:r>
        <w:t xml:space="preserve"> </w:t>
      </w:r>
      <w:r w:rsidRPr="00860806">
        <w:t>v</w:t>
      </w:r>
      <w:r>
        <w:t xml:space="preserve"> </w:t>
      </w:r>
      <w:r w:rsidRPr="00860806">
        <w:t>uplynulém</w:t>
      </w:r>
      <w:r>
        <w:t xml:space="preserve"> </w:t>
      </w:r>
      <w:r w:rsidRPr="00860806">
        <w:t>roce,</w:t>
      </w:r>
    </w:p>
    <w:p w14:paraId="4D03DBE1" w14:textId="3539EC33" w:rsidR="001E2C51" w:rsidRDefault="001E2C51" w:rsidP="002E6AEA">
      <w:pPr>
        <w:pStyle w:val="Textparagrafu"/>
        <w:tabs>
          <w:tab w:val="left" w:pos="392"/>
          <w:tab w:val="left" w:pos="840"/>
        </w:tabs>
        <w:spacing w:before="0"/>
        <w:ind w:left="426" w:hanging="426"/>
      </w:pPr>
      <w:r w:rsidRPr="00860806">
        <w:t>l)</w:t>
      </w:r>
      <w:r>
        <w:tab/>
      </w:r>
      <w:r w:rsidRPr="00860806">
        <w:t>za</w:t>
      </w:r>
      <w:r>
        <w:t xml:space="preserve"> </w:t>
      </w:r>
      <w:r w:rsidRPr="00860806">
        <w:t>účelem</w:t>
      </w:r>
      <w:r>
        <w:t xml:space="preserve"> </w:t>
      </w:r>
      <w:r w:rsidRPr="00860806">
        <w:t>zajištění</w:t>
      </w:r>
      <w:r>
        <w:t xml:space="preserve"> </w:t>
      </w:r>
      <w:r w:rsidRPr="00860806">
        <w:t>bezpečnosti</w:t>
      </w:r>
      <w:r>
        <w:t xml:space="preserve"> </w:t>
      </w:r>
      <w:r w:rsidRPr="00860806">
        <w:t>a</w:t>
      </w:r>
      <w:r>
        <w:t xml:space="preserve"> </w:t>
      </w:r>
      <w:r w:rsidRPr="00860806">
        <w:t>spolehlivosti</w:t>
      </w:r>
      <w:r>
        <w:t xml:space="preserve"> </w:t>
      </w:r>
      <w:r w:rsidRPr="00860806">
        <w:t>provozu</w:t>
      </w:r>
      <w:r>
        <w:t xml:space="preserve"> </w:t>
      </w:r>
      <w:r w:rsidRPr="00860806">
        <w:t>elektrizační</w:t>
      </w:r>
      <w:r>
        <w:t xml:space="preserve"> </w:t>
      </w:r>
      <w:r w:rsidRPr="00860806">
        <w:t>soustavy,</w:t>
      </w:r>
      <w:r>
        <w:t xml:space="preserve"> </w:t>
      </w:r>
      <w:r w:rsidRPr="00860806">
        <w:t>při</w:t>
      </w:r>
      <w:r>
        <w:t xml:space="preserve"> </w:t>
      </w:r>
      <w:r w:rsidRPr="00860806">
        <w:t>předcházení</w:t>
      </w:r>
      <w:r>
        <w:t xml:space="preserve"> </w:t>
      </w:r>
      <w:r w:rsidRPr="00860806">
        <w:t>stavu</w:t>
      </w:r>
      <w:r>
        <w:t xml:space="preserve"> </w:t>
      </w:r>
      <w:r w:rsidRPr="00860806">
        <w:t>nouze</w:t>
      </w:r>
      <w:r>
        <w:t xml:space="preserve"> </w:t>
      </w:r>
      <w:r w:rsidRPr="00860806">
        <w:t>a</w:t>
      </w:r>
      <w:r>
        <w:t xml:space="preserve"> </w:t>
      </w:r>
      <w:r w:rsidRPr="00860806">
        <w:t>při</w:t>
      </w:r>
      <w:r>
        <w:t xml:space="preserve"> </w:t>
      </w:r>
      <w:r w:rsidRPr="00860806">
        <w:t>stavech</w:t>
      </w:r>
      <w:r>
        <w:t xml:space="preserve"> </w:t>
      </w:r>
      <w:r w:rsidRPr="00860806">
        <w:t>nouze</w:t>
      </w:r>
      <w:r>
        <w:t xml:space="preserve"> </w:t>
      </w:r>
      <w:r w:rsidRPr="00860806">
        <w:t>a</w:t>
      </w:r>
      <w:r>
        <w:t xml:space="preserve"> </w:t>
      </w:r>
      <w:r w:rsidRPr="00860806">
        <w:t>za</w:t>
      </w:r>
      <w:r>
        <w:t xml:space="preserve"> </w:t>
      </w:r>
      <w:r w:rsidRPr="00860806">
        <w:t>podmínek</w:t>
      </w:r>
      <w:r>
        <w:t xml:space="preserve"> </w:t>
      </w:r>
      <w:r w:rsidRPr="00860806">
        <w:t>stanovených</w:t>
      </w:r>
      <w:r>
        <w:t xml:space="preserve"> </w:t>
      </w:r>
      <w:r w:rsidRPr="00860806">
        <w:t>Pravidly</w:t>
      </w:r>
      <w:r>
        <w:t xml:space="preserve"> </w:t>
      </w:r>
      <w:r w:rsidRPr="00860806">
        <w:t>provozování</w:t>
      </w:r>
      <w:r>
        <w:t xml:space="preserve"> </w:t>
      </w:r>
      <w:r w:rsidRPr="00860806">
        <w:t>přenosové</w:t>
      </w:r>
      <w:r>
        <w:t xml:space="preserve"> </w:t>
      </w:r>
      <w:r w:rsidRPr="00860806">
        <w:t>soustavy</w:t>
      </w:r>
      <w:r>
        <w:t xml:space="preserve"> </w:t>
      </w:r>
      <w:r w:rsidRPr="00860806">
        <w:t>nebo</w:t>
      </w:r>
      <w:r>
        <w:t xml:space="preserve"> </w:t>
      </w:r>
      <w:r w:rsidRPr="00860806">
        <w:t>Pravidly</w:t>
      </w:r>
      <w:r>
        <w:t xml:space="preserve"> </w:t>
      </w:r>
      <w:r w:rsidRPr="00860806">
        <w:t>provozování</w:t>
      </w:r>
      <w:r>
        <w:t xml:space="preserve"> </w:t>
      </w:r>
      <w:r w:rsidRPr="00860806">
        <w:t>distribuční</w:t>
      </w:r>
      <w:r>
        <w:t xml:space="preserve"> </w:t>
      </w:r>
      <w:r w:rsidRPr="00860806">
        <w:t>soustavy,</w:t>
      </w:r>
      <w:r>
        <w:t xml:space="preserve"> </w:t>
      </w:r>
      <w:r w:rsidRPr="00860806">
        <w:t>na</w:t>
      </w:r>
      <w:r>
        <w:t xml:space="preserve"> </w:t>
      </w:r>
      <w:r w:rsidRPr="00860806">
        <w:t>pokyn</w:t>
      </w:r>
      <w:r>
        <w:t xml:space="preserve"> </w:t>
      </w:r>
      <w:r w:rsidRPr="00860806">
        <w:t>provozovatele</w:t>
      </w:r>
      <w:r>
        <w:t xml:space="preserve"> </w:t>
      </w:r>
      <w:r w:rsidRPr="00860806">
        <w:t>přenosové</w:t>
      </w:r>
      <w:r>
        <w:t xml:space="preserve"> </w:t>
      </w:r>
      <w:r w:rsidRPr="00860806">
        <w:t>soustavy</w:t>
      </w:r>
      <w:r>
        <w:t xml:space="preserve"> </w:t>
      </w:r>
      <w:r w:rsidRPr="00860806">
        <w:t>nebo</w:t>
      </w:r>
      <w:r>
        <w:t xml:space="preserve"> </w:t>
      </w:r>
      <w:r w:rsidRPr="00860806">
        <w:t>provozovatele</w:t>
      </w:r>
      <w:r>
        <w:t xml:space="preserve"> </w:t>
      </w:r>
      <w:r w:rsidRPr="00860806">
        <w:t>distribuční</w:t>
      </w:r>
      <w:r>
        <w:t xml:space="preserve"> </w:t>
      </w:r>
      <w:r w:rsidRPr="00860806">
        <w:t>soustavy,</w:t>
      </w:r>
      <w:r>
        <w:t xml:space="preserve"> </w:t>
      </w:r>
      <w:r w:rsidRPr="00860806">
        <w:t>nabízet</w:t>
      </w:r>
      <w:r>
        <w:t xml:space="preserve"> </w:t>
      </w:r>
      <w:r w:rsidRPr="00860806">
        <w:t>provozně</w:t>
      </w:r>
      <w:r>
        <w:t xml:space="preserve"> </w:t>
      </w:r>
      <w:r w:rsidRPr="00860806">
        <w:t>a</w:t>
      </w:r>
      <w:r>
        <w:t xml:space="preserve"> </w:t>
      </w:r>
      <w:r w:rsidRPr="00860806">
        <w:t>obchodně</w:t>
      </w:r>
      <w:r>
        <w:t xml:space="preserve"> </w:t>
      </w:r>
      <w:r w:rsidRPr="00860806">
        <w:t>nevyužité</w:t>
      </w:r>
      <w:r>
        <w:t xml:space="preserve"> </w:t>
      </w:r>
      <w:r w:rsidRPr="00860806">
        <w:t>výrobní</w:t>
      </w:r>
      <w:r>
        <w:t xml:space="preserve"> </w:t>
      </w:r>
      <w:r w:rsidRPr="00860806">
        <w:t>kapacity,</w:t>
      </w:r>
    </w:p>
    <w:p w14:paraId="281717E3" w14:textId="4371C96D" w:rsidR="001E2C51" w:rsidRDefault="001E2C51" w:rsidP="002E6AEA">
      <w:pPr>
        <w:pStyle w:val="Textparagrafu"/>
        <w:tabs>
          <w:tab w:val="left" w:pos="392"/>
          <w:tab w:val="left" w:pos="840"/>
        </w:tabs>
        <w:spacing w:before="0"/>
        <w:ind w:left="426" w:hanging="426"/>
      </w:pPr>
      <w:r w:rsidRPr="00860806">
        <w:t>m)</w:t>
      </w:r>
      <w:r>
        <w:tab/>
      </w:r>
      <w:r w:rsidRPr="00860806">
        <w:t>zaregistrovat</w:t>
      </w:r>
      <w:r>
        <w:t xml:space="preserve"> </w:t>
      </w:r>
      <w:r w:rsidRPr="00860806">
        <w:t>se</w:t>
      </w:r>
      <w:r>
        <w:t xml:space="preserve"> </w:t>
      </w:r>
      <w:r w:rsidRPr="00860806">
        <w:t>do</w:t>
      </w:r>
      <w:r>
        <w:t xml:space="preserve"> </w:t>
      </w:r>
      <w:r w:rsidRPr="00860806">
        <w:t>30</w:t>
      </w:r>
      <w:r>
        <w:t xml:space="preserve"> </w:t>
      </w:r>
      <w:r w:rsidRPr="00860806">
        <w:t>dnů</w:t>
      </w:r>
      <w:r>
        <w:t xml:space="preserve"> </w:t>
      </w:r>
      <w:r w:rsidRPr="00860806">
        <w:t>od</w:t>
      </w:r>
      <w:r>
        <w:t xml:space="preserve"> </w:t>
      </w:r>
      <w:r w:rsidRPr="00860806">
        <w:t>udělení</w:t>
      </w:r>
      <w:r>
        <w:t xml:space="preserve"> </w:t>
      </w:r>
      <w:r w:rsidRPr="00860806">
        <w:t>licence</w:t>
      </w:r>
      <w:r>
        <w:t xml:space="preserve"> </w:t>
      </w:r>
      <w:r w:rsidRPr="00860806">
        <w:t>na</w:t>
      </w:r>
      <w:r>
        <w:t xml:space="preserve"> </w:t>
      </w:r>
      <w:r w:rsidRPr="00860806">
        <w:t>výrobu</w:t>
      </w:r>
      <w:r>
        <w:t xml:space="preserve"> </w:t>
      </w:r>
      <w:r w:rsidRPr="00860806">
        <w:t>elektřiny</w:t>
      </w:r>
      <w:r>
        <w:t xml:space="preserve"> </w:t>
      </w:r>
      <w:r w:rsidRPr="00860806">
        <w:t>u</w:t>
      </w:r>
      <w:r>
        <w:t xml:space="preserve"> </w:t>
      </w:r>
      <w:r w:rsidRPr="00860806">
        <w:t>operátora</w:t>
      </w:r>
      <w:r>
        <w:t xml:space="preserve"> </w:t>
      </w:r>
      <w:r w:rsidRPr="00860806">
        <w:t>trhu;</w:t>
      </w:r>
      <w:r>
        <w:t xml:space="preserve"> </w:t>
      </w:r>
      <w:r w:rsidRPr="00860806">
        <w:t>zaregistrováním</w:t>
      </w:r>
      <w:r>
        <w:t xml:space="preserve"> </w:t>
      </w:r>
      <w:r w:rsidRPr="00860806">
        <w:t>se</w:t>
      </w:r>
      <w:r>
        <w:t xml:space="preserve"> </w:t>
      </w:r>
      <w:r w:rsidRPr="00860806">
        <w:t>výrobce</w:t>
      </w:r>
      <w:r>
        <w:t xml:space="preserve"> </w:t>
      </w:r>
      <w:r w:rsidRPr="00860806">
        <w:t>elektřiny</w:t>
      </w:r>
      <w:r>
        <w:t xml:space="preserve"> </w:t>
      </w:r>
      <w:r w:rsidRPr="00860806">
        <w:t>stává</w:t>
      </w:r>
      <w:r>
        <w:t xml:space="preserve"> </w:t>
      </w:r>
      <w:r w:rsidRPr="00860806">
        <w:t>registrovaným</w:t>
      </w:r>
      <w:r>
        <w:t xml:space="preserve"> </w:t>
      </w:r>
      <w:r w:rsidRPr="00860806">
        <w:t>účastníkem</w:t>
      </w:r>
      <w:r>
        <w:t xml:space="preserve"> </w:t>
      </w:r>
      <w:r w:rsidRPr="00860806">
        <w:t>trhu,</w:t>
      </w:r>
    </w:p>
    <w:p w14:paraId="18FC2E71" w14:textId="172020D1" w:rsidR="001E2C51" w:rsidRDefault="001E2C51" w:rsidP="002E6AEA">
      <w:pPr>
        <w:pStyle w:val="Textparagrafu"/>
        <w:tabs>
          <w:tab w:val="left" w:pos="392"/>
          <w:tab w:val="left" w:pos="840"/>
        </w:tabs>
        <w:spacing w:before="0"/>
        <w:ind w:left="426" w:hanging="426"/>
      </w:pPr>
      <w:r w:rsidRPr="00860806">
        <w:t>n)</w:t>
      </w:r>
      <w:r>
        <w:tab/>
      </w:r>
      <w:r w:rsidRPr="00860806">
        <w:t>dodržovat</w:t>
      </w:r>
      <w:r>
        <w:t xml:space="preserve"> </w:t>
      </w:r>
      <w:r w:rsidRPr="00860806">
        <w:t>ustanovení</w:t>
      </w:r>
      <w:r>
        <w:t xml:space="preserve"> </w:t>
      </w:r>
      <w:r w:rsidRPr="00860806">
        <w:t>§</w:t>
      </w:r>
      <w:r>
        <w:t xml:space="preserve"> </w:t>
      </w:r>
      <w:r w:rsidRPr="00860806">
        <w:t>30</w:t>
      </w:r>
      <w:r>
        <w:t xml:space="preserve"> </w:t>
      </w:r>
      <w:r w:rsidRPr="00860806">
        <w:t>odst.</w:t>
      </w:r>
      <w:r>
        <w:t xml:space="preserve"> </w:t>
      </w:r>
      <w:r w:rsidRPr="00860806">
        <w:t>2</w:t>
      </w:r>
      <w:r>
        <w:t xml:space="preserve"> </w:t>
      </w:r>
      <w:r w:rsidRPr="00860806">
        <w:t>v</w:t>
      </w:r>
      <w:r>
        <w:t xml:space="preserve"> </w:t>
      </w:r>
      <w:r w:rsidRPr="00860806">
        <w:t>případech,</w:t>
      </w:r>
      <w:r>
        <w:t xml:space="preserve"> </w:t>
      </w:r>
      <w:r w:rsidRPr="00860806">
        <w:t>kdy</w:t>
      </w:r>
      <w:r>
        <w:t xml:space="preserve"> </w:t>
      </w:r>
      <w:r w:rsidRPr="00860806">
        <w:t>dodává</w:t>
      </w:r>
      <w:r>
        <w:t xml:space="preserve"> </w:t>
      </w:r>
      <w:r w:rsidRPr="00860806">
        <w:t>elektřinu</w:t>
      </w:r>
      <w:r>
        <w:t xml:space="preserve"> </w:t>
      </w:r>
      <w:r w:rsidRPr="00860806">
        <w:t>zákazníkům,</w:t>
      </w:r>
    </w:p>
    <w:p w14:paraId="1D8E69C3" w14:textId="45CED8F8" w:rsidR="001E2C51" w:rsidRDefault="001E2C51" w:rsidP="002E6AEA">
      <w:pPr>
        <w:pStyle w:val="Textparagrafu"/>
        <w:tabs>
          <w:tab w:val="left" w:pos="392"/>
          <w:tab w:val="left" w:pos="840"/>
        </w:tabs>
        <w:spacing w:before="0"/>
        <w:ind w:left="426" w:hanging="426"/>
      </w:pPr>
      <w:r w:rsidRPr="00860806">
        <w:t>o)</w:t>
      </w:r>
      <w:r>
        <w:tab/>
      </w:r>
      <w:r w:rsidRPr="00860806">
        <w:t>poskytovat</w:t>
      </w:r>
      <w:r>
        <w:t xml:space="preserve"> </w:t>
      </w:r>
      <w:r w:rsidRPr="00860806">
        <w:t>provozovateli</w:t>
      </w:r>
      <w:r>
        <w:t xml:space="preserve"> </w:t>
      </w:r>
      <w:r w:rsidRPr="00860806">
        <w:t>přenosové</w:t>
      </w:r>
      <w:r>
        <w:t xml:space="preserve"> </w:t>
      </w:r>
      <w:r w:rsidRPr="00860806">
        <w:t>soustavy</w:t>
      </w:r>
      <w:r>
        <w:t xml:space="preserve"> </w:t>
      </w:r>
      <w:r w:rsidRPr="00860806">
        <w:t>nebo</w:t>
      </w:r>
      <w:r>
        <w:t xml:space="preserve"> </w:t>
      </w:r>
      <w:r w:rsidRPr="00860806">
        <w:t>provozovateli</w:t>
      </w:r>
      <w:r>
        <w:t xml:space="preserve"> </w:t>
      </w:r>
      <w:r w:rsidRPr="00860806">
        <w:t>distribuční</w:t>
      </w:r>
      <w:r>
        <w:t xml:space="preserve"> </w:t>
      </w:r>
      <w:r w:rsidRPr="00860806">
        <w:t>soustavy</w:t>
      </w:r>
      <w:r>
        <w:t xml:space="preserve"> </w:t>
      </w:r>
      <w:r w:rsidRPr="00860806">
        <w:t>informace</w:t>
      </w:r>
      <w:r>
        <w:t xml:space="preserve"> </w:t>
      </w:r>
      <w:r w:rsidRPr="00860806">
        <w:t>nezbytné</w:t>
      </w:r>
      <w:r>
        <w:t xml:space="preserve"> </w:t>
      </w:r>
      <w:r w:rsidRPr="00860806">
        <w:t>pro</w:t>
      </w:r>
      <w:r>
        <w:t xml:space="preserve"> </w:t>
      </w:r>
      <w:r w:rsidRPr="00860806">
        <w:t>zajištění</w:t>
      </w:r>
      <w:r>
        <w:t xml:space="preserve"> </w:t>
      </w:r>
      <w:r w:rsidRPr="00860806">
        <w:t>bezpečného</w:t>
      </w:r>
      <w:r>
        <w:t xml:space="preserve"> </w:t>
      </w:r>
      <w:r w:rsidRPr="00860806">
        <w:t>a</w:t>
      </w:r>
      <w:r>
        <w:t xml:space="preserve"> </w:t>
      </w:r>
      <w:r w:rsidRPr="00860806">
        <w:t>spolehlivého</w:t>
      </w:r>
      <w:r>
        <w:t xml:space="preserve"> </w:t>
      </w:r>
      <w:r w:rsidRPr="00860806">
        <w:t>provozu</w:t>
      </w:r>
      <w:r>
        <w:t xml:space="preserve"> </w:t>
      </w:r>
      <w:r w:rsidRPr="00860806">
        <w:t>a</w:t>
      </w:r>
      <w:r>
        <w:t xml:space="preserve"> </w:t>
      </w:r>
      <w:r w:rsidRPr="00860806">
        <w:t>rozvoje</w:t>
      </w:r>
      <w:r>
        <w:t xml:space="preserve"> </w:t>
      </w:r>
      <w:r w:rsidRPr="00860806">
        <w:t>elektrizační</w:t>
      </w:r>
      <w:r>
        <w:t xml:space="preserve"> </w:t>
      </w:r>
      <w:r w:rsidRPr="00860806">
        <w:t>soustavy,</w:t>
      </w:r>
    </w:p>
    <w:p w14:paraId="7B7C26F7" w14:textId="1C550684" w:rsidR="001E2C51" w:rsidRDefault="001E2C51" w:rsidP="002E6AEA">
      <w:pPr>
        <w:pStyle w:val="Textparagrafu"/>
        <w:tabs>
          <w:tab w:val="left" w:pos="392"/>
          <w:tab w:val="left" w:pos="840"/>
        </w:tabs>
        <w:spacing w:before="0"/>
        <w:ind w:left="426" w:hanging="426"/>
      </w:pPr>
      <w:r w:rsidRPr="00860806">
        <w:t>p)</w:t>
      </w:r>
      <w:r>
        <w:tab/>
      </w:r>
      <w:r w:rsidRPr="00860806">
        <w:t>vybavit</w:t>
      </w:r>
      <w:r>
        <w:t xml:space="preserve"> </w:t>
      </w:r>
      <w:r w:rsidRPr="00860806">
        <w:t>výrobnu</w:t>
      </w:r>
      <w:r>
        <w:t xml:space="preserve"> </w:t>
      </w:r>
      <w:r w:rsidRPr="00860806">
        <w:t>elektřiny</w:t>
      </w:r>
      <w:r>
        <w:t xml:space="preserve"> </w:t>
      </w:r>
      <w:r w:rsidRPr="00860806">
        <w:t>s</w:t>
      </w:r>
      <w:r>
        <w:t xml:space="preserve"> </w:t>
      </w:r>
      <w:r w:rsidRPr="00860806">
        <w:t>instalovaným</w:t>
      </w:r>
      <w:r>
        <w:t xml:space="preserve"> </w:t>
      </w:r>
      <w:r w:rsidRPr="00860806">
        <w:t>výkonem</w:t>
      </w:r>
      <w:r>
        <w:t xml:space="preserve"> </w:t>
      </w:r>
      <w:r w:rsidRPr="00860806">
        <w:t>100</w:t>
      </w:r>
      <w:r>
        <w:t xml:space="preserve"> </w:t>
      </w:r>
      <w:r w:rsidRPr="00860806">
        <w:t>kW</w:t>
      </w:r>
      <w:r>
        <w:t xml:space="preserve"> </w:t>
      </w:r>
      <w:r w:rsidRPr="00860806">
        <w:t>a</w:t>
      </w:r>
      <w:r>
        <w:t xml:space="preserve"> </w:t>
      </w:r>
      <w:r w:rsidRPr="00860806">
        <w:t>více</w:t>
      </w:r>
      <w:r>
        <w:t xml:space="preserve"> </w:t>
      </w:r>
      <w:r w:rsidRPr="00860806">
        <w:t>zařízením</w:t>
      </w:r>
      <w:r>
        <w:t xml:space="preserve"> </w:t>
      </w:r>
      <w:r w:rsidRPr="00860806">
        <w:t>umožňujícím</w:t>
      </w:r>
      <w:r>
        <w:t xml:space="preserve"> </w:t>
      </w:r>
      <w:r w:rsidRPr="00860806">
        <w:t>dispečerské</w:t>
      </w:r>
      <w:r>
        <w:t xml:space="preserve"> </w:t>
      </w:r>
      <w:r w:rsidRPr="00860806">
        <w:t>řízení</w:t>
      </w:r>
      <w:r>
        <w:t xml:space="preserve"> </w:t>
      </w:r>
      <w:r w:rsidRPr="00860806">
        <w:t>výrobny</w:t>
      </w:r>
      <w:r>
        <w:t xml:space="preserve"> </w:t>
      </w:r>
      <w:r w:rsidRPr="00860806">
        <w:t>elektřiny</w:t>
      </w:r>
      <w:r>
        <w:t xml:space="preserve"> </w:t>
      </w:r>
      <w:r w:rsidRPr="00860806">
        <w:t>a</w:t>
      </w:r>
      <w:r>
        <w:t xml:space="preserve"> </w:t>
      </w:r>
      <w:r w:rsidRPr="00860806">
        <w:t>udržovat</w:t>
      </w:r>
      <w:r>
        <w:t xml:space="preserve"> </w:t>
      </w:r>
      <w:r w:rsidRPr="00860806">
        <w:t>toto</w:t>
      </w:r>
      <w:r>
        <w:t xml:space="preserve"> </w:t>
      </w:r>
      <w:r w:rsidRPr="00860806">
        <w:t>zařízení</w:t>
      </w:r>
      <w:r>
        <w:t xml:space="preserve"> </w:t>
      </w:r>
      <w:r w:rsidRPr="00860806">
        <w:t>v</w:t>
      </w:r>
      <w:r>
        <w:t xml:space="preserve"> </w:t>
      </w:r>
      <w:r w:rsidRPr="00860806">
        <w:t>provozuschopném</w:t>
      </w:r>
      <w:r>
        <w:t xml:space="preserve"> </w:t>
      </w:r>
      <w:r w:rsidRPr="00860806">
        <w:t>stavu;</w:t>
      </w:r>
      <w:r>
        <w:t xml:space="preserve"> </w:t>
      </w:r>
      <w:r w:rsidRPr="00860806">
        <w:t>tato</w:t>
      </w:r>
      <w:r>
        <w:t xml:space="preserve"> </w:t>
      </w:r>
      <w:r w:rsidRPr="00860806">
        <w:t>povinnost</w:t>
      </w:r>
      <w:r>
        <w:t xml:space="preserve"> </w:t>
      </w:r>
      <w:r w:rsidRPr="00860806">
        <w:t>se</w:t>
      </w:r>
      <w:r>
        <w:t xml:space="preserve"> </w:t>
      </w:r>
      <w:r w:rsidRPr="00860806">
        <w:t>nevztahuje</w:t>
      </w:r>
      <w:r>
        <w:t xml:space="preserve"> </w:t>
      </w:r>
      <w:r w:rsidRPr="00860806">
        <w:t>na</w:t>
      </w:r>
      <w:r>
        <w:t xml:space="preserve"> </w:t>
      </w:r>
      <w:r w:rsidRPr="00860806">
        <w:t>výrobny</w:t>
      </w:r>
      <w:r>
        <w:t xml:space="preserve"> </w:t>
      </w:r>
      <w:r w:rsidRPr="00860806">
        <w:t>elektřiny</w:t>
      </w:r>
      <w:r>
        <w:t xml:space="preserve"> </w:t>
      </w:r>
      <w:r w:rsidRPr="00860806">
        <w:t>využívající</w:t>
      </w:r>
      <w:r>
        <w:t xml:space="preserve"> </w:t>
      </w:r>
      <w:r w:rsidRPr="00860806">
        <w:t>obnovitelné</w:t>
      </w:r>
      <w:r>
        <w:t xml:space="preserve"> </w:t>
      </w:r>
      <w:r w:rsidRPr="00860806">
        <w:t>zdroje</w:t>
      </w:r>
      <w:r>
        <w:t xml:space="preserve"> </w:t>
      </w:r>
      <w:r w:rsidRPr="00860806">
        <w:t>elektřiny</w:t>
      </w:r>
      <w:r>
        <w:t xml:space="preserve"> </w:t>
      </w:r>
      <w:r w:rsidRPr="00860806">
        <w:t>poprvé</w:t>
      </w:r>
      <w:r>
        <w:t xml:space="preserve"> </w:t>
      </w:r>
      <w:r w:rsidRPr="00860806">
        <w:t>uvedené</w:t>
      </w:r>
      <w:r>
        <w:t xml:space="preserve"> </w:t>
      </w:r>
      <w:r w:rsidRPr="00860806">
        <w:t>do</w:t>
      </w:r>
      <w:r>
        <w:t xml:space="preserve"> </w:t>
      </w:r>
      <w:r w:rsidRPr="00860806">
        <w:t>provozu</w:t>
      </w:r>
      <w:r>
        <w:t xml:space="preserve"> </w:t>
      </w:r>
      <w:r w:rsidRPr="00860806">
        <w:t>do</w:t>
      </w:r>
      <w:r>
        <w:t xml:space="preserve"> </w:t>
      </w:r>
      <w:r w:rsidRPr="00860806">
        <w:t>roku</w:t>
      </w:r>
      <w:r>
        <w:t xml:space="preserve"> </w:t>
      </w:r>
      <w:r w:rsidRPr="00860806">
        <w:t>2000</w:t>
      </w:r>
      <w:r>
        <w:t xml:space="preserve"> </w:t>
      </w:r>
      <w:r w:rsidRPr="00860806">
        <w:t>o</w:t>
      </w:r>
      <w:r>
        <w:t xml:space="preserve"> </w:t>
      </w:r>
      <w:r w:rsidRPr="00860806">
        <w:t>instalovaném</w:t>
      </w:r>
      <w:r>
        <w:t xml:space="preserve"> </w:t>
      </w:r>
      <w:r w:rsidRPr="00860806">
        <w:t>výkonu</w:t>
      </w:r>
      <w:r>
        <w:t xml:space="preserve"> </w:t>
      </w:r>
      <w:r w:rsidRPr="00860806">
        <w:t>do</w:t>
      </w:r>
      <w:r>
        <w:t xml:space="preserve"> </w:t>
      </w:r>
      <w:r w:rsidRPr="00860806">
        <w:t>10</w:t>
      </w:r>
      <w:r>
        <w:t xml:space="preserve"> </w:t>
      </w:r>
      <w:r w:rsidRPr="00860806">
        <w:t>MW</w:t>
      </w:r>
      <w:r>
        <w:t xml:space="preserve"> </w:t>
      </w:r>
      <w:r w:rsidRPr="00860806">
        <w:t>včetně</w:t>
      </w:r>
      <w:r>
        <w:t xml:space="preserve"> </w:t>
      </w:r>
      <w:r w:rsidRPr="00860806">
        <w:t>a</w:t>
      </w:r>
      <w:r>
        <w:t xml:space="preserve"> </w:t>
      </w:r>
      <w:r w:rsidRPr="00860806">
        <w:t>na</w:t>
      </w:r>
      <w:r>
        <w:t xml:space="preserve"> </w:t>
      </w:r>
      <w:r w:rsidRPr="00860806">
        <w:t>průtočné</w:t>
      </w:r>
      <w:r>
        <w:t xml:space="preserve"> </w:t>
      </w:r>
      <w:r w:rsidRPr="00860806">
        <w:t>malé</w:t>
      </w:r>
      <w:r>
        <w:t xml:space="preserve"> </w:t>
      </w:r>
      <w:r w:rsidRPr="00860806">
        <w:t>vodní</w:t>
      </w:r>
      <w:r>
        <w:t xml:space="preserve"> </w:t>
      </w:r>
      <w:r w:rsidRPr="00860806">
        <w:t>elektrárny</w:t>
      </w:r>
      <w:r>
        <w:t xml:space="preserve"> </w:t>
      </w:r>
      <w:r w:rsidRPr="00860806">
        <w:t>s</w:t>
      </w:r>
      <w:r>
        <w:t xml:space="preserve"> </w:t>
      </w:r>
      <w:r w:rsidRPr="00860806">
        <w:t>instalovaným</w:t>
      </w:r>
      <w:r>
        <w:t xml:space="preserve"> </w:t>
      </w:r>
      <w:r w:rsidRPr="00860806">
        <w:t>výkonem</w:t>
      </w:r>
      <w:r>
        <w:t xml:space="preserve"> </w:t>
      </w:r>
      <w:r w:rsidRPr="00860806">
        <w:t>do</w:t>
      </w:r>
      <w:r>
        <w:t xml:space="preserve"> </w:t>
      </w:r>
      <w:r w:rsidRPr="00860806">
        <w:t>10</w:t>
      </w:r>
      <w:r>
        <w:t xml:space="preserve"> </w:t>
      </w:r>
      <w:r w:rsidRPr="00860806">
        <w:t>MW</w:t>
      </w:r>
      <w:r>
        <w:t xml:space="preserve"> </w:t>
      </w:r>
      <w:r w:rsidRPr="00860806">
        <w:t>včetně,</w:t>
      </w:r>
    </w:p>
    <w:p w14:paraId="64EFDCB8" w14:textId="6BA254FF" w:rsidR="001E2C51" w:rsidRDefault="001E2C51" w:rsidP="002E6AEA">
      <w:pPr>
        <w:pStyle w:val="Textparagrafu"/>
        <w:tabs>
          <w:tab w:val="left" w:pos="392"/>
          <w:tab w:val="left" w:pos="840"/>
        </w:tabs>
        <w:spacing w:before="0"/>
        <w:ind w:left="426" w:hanging="426"/>
      </w:pPr>
      <w:r w:rsidRPr="00860806">
        <w:t>q)</w:t>
      </w:r>
      <w:r>
        <w:tab/>
      </w:r>
      <w:r w:rsidRPr="00860806">
        <w:t>vypracovat</w:t>
      </w:r>
      <w:r>
        <w:t xml:space="preserve"> </w:t>
      </w:r>
      <w:r w:rsidRPr="00860806">
        <w:t>havarijní</w:t>
      </w:r>
      <w:r>
        <w:t xml:space="preserve"> </w:t>
      </w:r>
      <w:r w:rsidRPr="00860806">
        <w:t>plán</w:t>
      </w:r>
      <w:r>
        <w:t xml:space="preserve"> </w:t>
      </w:r>
      <w:r w:rsidRPr="00860806">
        <w:t>do</w:t>
      </w:r>
      <w:r>
        <w:t xml:space="preserve"> </w:t>
      </w:r>
      <w:r w:rsidRPr="00860806">
        <w:t>6</w:t>
      </w:r>
      <w:r>
        <w:t xml:space="preserve"> </w:t>
      </w:r>
      <w:r w:rsidRPr="00860806">
        <w:t>měsíců</w:t>
      </w:r>
      <w:r>
        <w:t xml:space="preserve"> </w:t>
      </w:r>
      <w:r w:rsidRPr="00860806">
        <w:t>od</w:t>
      </w:r>
      <w:r>
        <w:t xml:space="preserve"> </w:t>
      </w:r>
      <w:r w:rsidRPr="00860806">
        <w:t>udělení</w:t>
      </w:r>
      <w:r>
        <w:t xml:space="preserve"> </w:t>
      </w:r>
      <w:r w:rsidRPr="00860806">
        <w:t>licence</w:t>
      </w:r>
      <w:r>
        <w:t xml:space="preserve"> </w:t>
      </w:r>
      <w:r w:rsidRPr="00860806">
        <w:t>a</w:t>
      </w:r>
      <w:r>
        <w:t xml:space="preserve"> </w:t>
      </w:r>
      <w:r w:rsidRPr="00860806">
        <w:t>dále</w:t>
      </w:r>
      <w:r>
        <w:t xml:space="preserve"> </w:t>
      </w:r>
      <w:r w:rsidRPr="00860806">
        <w:t>jej</w:t>
      </w:r>
      <w:r>
        <w:t xml:space="preserve"> </w:t>
      </w:r>
      <w:r w:rsidRPr="00860806">
        <w:t>každoročně</w:t>
      </w:r>
      <w:r>
        <w:t xml:space="preserve"> </w:t>
      </w:r>
      <w:r w:rsidRPr="00860806">
        <w:t>upřesňovat;</w:t>
      </w:r>
      <w:r>
        <w:t xml:space="preserve"> </w:t>
      </w:r>
      <w:r w:rsidRPr="00860806">
        <w:t>při</w:t>
      </w:r>
      <w:r>
        <w:t xml:space="preserve"> </w:t>
      </w:r>
      <w:r w:rsidRPr="00860806">
        <w:t>jeho</w:t>
      </w:r>
      <w:r>
        <w:t xml:space="preserve"> </w:t>
      </w:r>
      <w:r w:rsidRPr="00860806">
        <w:t>tvorbě</w:t>
      </w:r>
      <w:r>
        <w:t xml:space="preserve"> </w:t>
      </w:r>
      <w:r w:rsidRPr="00860806">
        <w:t>a</w:t>
      </w:r>
      <w:r>
        <w:t xml:space="preserve"> </w:t>
      </w:r>
      <w:r w:rsidRPr="00860806">
        <w:t>upřesňování</w:t>
      </w:r>
      <w:r>
        <w:t xml:space="preserve"> </w:t>
      </w:r>
      <w:r w:rsidRPr="00860806">
        <w:t>spolupracovat</w:t>
      </w:r>
      <w:r>
        <w:t xml:space="preserve"> </w:t>
      </w:r>
      <w:r w:rsidRPr="00860806">
        <w:t>s</w:t>
      </w:r>
      <w:r>
        <w:t xml:space="preserve"> </w:t>
      </w:r>
      <w:r w:rsidRPr="00860806">
        <w:t>provozovatelem</w:t>
      </w:r>
      <w:r>
        <w:t xml:space="preserve"> </w:t>
      </w:r>
      <w:r w:rsidRPr="00860806">
        <w:t>přenosové</w:t>
      </w:r>
      <w:r>
        <w:t xml:space="preserve"> </w:t>
      </w:r>
      <w:r w:rsidRPr="00860806">
        <w:t>soustavy</w:t>
      </w:r>
      <w:r>
        <w:t xml:space="preserve"> </w:t>
      </w:r>
      <w:r w:rsidRPr="00860806">
        <w:t>nebo</w:t>
      </w:r>
      <w:r>
        <w:t xml:space="preserve"> </w:t>
      </w:r>
      <w:r w:rsidRPr="00860806">
        <w:t>s</w:t>
      </w:r>
      <w:r>
        <w:t xml:space="preserve"> </w:t>
      </w:r>
      <w:r w:rsidRPr="00860806">
        <w:t>provozovatelem</w:t>
      </w:r>
      <w:r>
        <w:t xml:space="preserve"> </w:t>
      </w:r>
      <w:r w:rsidRPr="00860806">
        <w:t>distribuční</w:t>
      </w:r>
      <w:r>
        <w:t xml:space="preserve"> </w:t>
      </w:r>
      <w:r w:rsidRPr="00860806">
        <w:t>soustavy,</w:t>
      </w:r>
      <w:r>
        <w:t xml:space="preserve"> </w:t>
      </w:r>
      <w:r w:rsidRPr="00860806">
        <w:t>k</w:t>
      </w:r>
      <w:r>
        <w:t xml:space="preserve"> </w:t>
      </w:r>
      <w:r w:rsidRPr="00860806">
        <w:t>níž</w:t>
      </w:r>
      <w:r>
        <w:t xml:space="preserve"> </w:t>
      </w:r>
      <w:r w:rsidRPr="00860806">
        <w:t>je</w:t>
      </w:r>
      <w:r>
        <w:t xml:space="preserve"> </w:t>
      </w:r>
      <w:r w:rsidRPr="00860806">
        <w:t>výrobna</w:t>
      </w:r>
      <w:r>
        <w:t xml:space="preserve"> </w:t>
      </w:r>
      <w:r w:rsidRPr="00860806">
        <w:t>elektřiny</w:t>
      </w:r>
      <w:r>
        <w:t xml:space="preserve"> </w:t>
      </w:r>
      <w:r w:rsidRPr="00860806">
        <w:t>připojena;</w:t>
      </w:r>
      <w:r>
        <w:t xml:space="preserve"> </w:t>
      </w:r>
      <w:r w:rsidRPr="00860806">
        <w:t>tato</w:t>
      </w:r>
      <w:r>
        <w:t xml:space="preserve"> </w:t>
      </w:r>
      <w:r w:rsidRPr="00860806">
        <w:t>povinnost</w:t>
      </w:r>
      <w:r>
        <w:t xml:space="preserve"> </w:t>
      </w:r>
      <w:r w:rsidRPr="00860806">
        <w:t>se</w:t>
      </w:r>
      <w:r>
        <w:t xml:space="preserve"> </w:t>
      </w:r>
      <w:r w:rsidRPr="00860806">
        <w:t>nevztahuje</w:t>
      </w:r>
      <w:r>
        <w:t xml:space="preserve"> </w:t>
      </w:r>
      <w:r w:rsidRPr="00860806">
        <w:t>na</w:t>
      </w:r>
      <w:r>
        <w:t xml:space="preserve"> </w:t>
      </w:r>
      <w:r w:rsidRPr="00860806">
        <w:t>výrobce</w:t>
      </w:r>
      <w:r>
        <w:t xml:space="preserve"> </w:t>
      </w:r>
      <w:r w:rsidRPr="00860806">
        <w:t>elektřiny,</w:t>
      </w:r>
      <w:r>
        <w:t xml:space="preserve"> </w:t>
      </w:r>
      <w:r w:rsidRPr="00860806">
        <w:t>jehož</w:t>
      </w:r>
      <w:r>
        <w:t xml:space="preserve"> </w:t>
      </w:r>
      <w:r w:rsidRPr="00860806">
        <w:t>výrobna</w:t>
      </w:r>
      <w:r>
        <w:t xml:space="preserve"> </w:t>
      </w:r>
      <w:r w:rsidRPr="00860806">
        <w:t>elektřiny</w:t>
      </w:r>
      <w:r>
        <w:t xml:space="preserve"> </w:t>
      </w:r>
      <w:r w:rsidRPr="00860806">
        <w:t>má</w:t>
      </w:r>
      <w:r>
        <w:t xml:space="preserve"> </w:t>
      </w:r>
      <w:r w:rsidRPr="00860806">
        <w:t>instalovaný</w:t>
      </w:r>
      <w:r>
        <w:t xml:space="preserve"> </w:t>
      </w:r>
      <w:r w:rsidRPr="00860806">
        <w:t>výkon</w:t>
      </w:r>
      <w:r>
        <w:t xml:space="preserve"> </w:t>
      </w:r>
      <w:r w:rsidRPr="00860806">
        <w:t>nižší</w:t>
      </w:r>
      <w:r>
        <w:t xml:space="preserve"> </w:t>
      </w:r>
      <w:r w:rsidRPr="00860806">
        <w:t>než</w:t>
      </w:r>
      <w:r>
        <w:t xml:space="preserve"> </w:t>
      </w:r>
      <w:r w:rsidRPr="00860806">
        <w:t>10</w:t>
      </w:r>
      <w:r>
        <w:t xml:space="preserve"> </w:t>
      </w:r>
      <w:r w:rsidRPr="00860806">
        <w:t>MW,</w:t>
      </w:r>
    </w:p>
    <w:p w14:paraId="60F37CF2" w14:textId="1200E062" w:rsidR="001E2C51" w:rsidRDefault="001E2C51" w:rsidP="002E6AEA">
      <w:pPr>
        <w:pStyle w:val="Textparagrafu"/>
        <w:tabs>
          <w:tab w:val="left" w:pos="392"/>
          <w:tab w:val="left" w:pos="840"/>
        </w:tabs>
        <w:spacing w:before="0"/>
        <w:ind w:left="426" w:hanging="426"/>
      </w:pPr>
      <w:r w:rsidRPr="00860806">
        <w:t>r)</w:t>
      </w:r>
      <w:r>
        <w:tab/>
      </w:r>
      <w:r w:rsidRPr="00860806">
        <w:t>při</w:t>
      </w:r>
      <w:r>
        <w:t xml:space="preserve"> </w:t>
      </w:r>
      <w:r w:rsidRPr="00860806">
        <w:t>změně</w:t>
      </w:r>
      <w:r>
        <w:t xml:space="preserve"> </w:t>
      </w:r>
      <w:r w:rsidRPr="00860806">
        <w:t>parametrů</w:t>
      </w:r>
      <w:r>
        <w:t xml:space="preserve"> </w:t>
      </w:r>
      <w:r w:rsidRPr="00860806">
        <w:t>elektřiny</w:t>
      </w:r>
      <w:r>
        <w:t xml:space="preserve"> </w:t>
      </w:r>
      <w:r w:rsidRPr="00860806">
        <w:t>upravit</w:t>
      </w:r>
      <w:r>
        <w:t xml:space="preserve"> </w:t>
      </w:r>
      <w:r w:rsidRPr="00860806">
        <w:t>na</w:t>
      </w:r>
      <w:r>
        <w:t xml:space="preserve"> </w:t>
      </w:r>
      <w:r w:rsidRPr="00860806">
        <w:t>svůj</w:t>
      </w:r>
      <w:r>
        <w:t xml:space="preserve"> </w:t>
      </w:r>
      <w:r w:rsidRPr="00860806">
        <w:t>náklad</w:t>
      </w:r>
      <w:r>
        <w:t xml:space="preserve"> </w:t>
      </w:r>
      <w:r w:rsidRPr="00860806">
        <w:t>svá</w:t>
      </w:r>
      <w:r>
        <w:t xml:space="preserve"> </w:t>
      </w:r>
      <w:r w:rsidRPr="00860806">
        <w:t>zařízení</w:t>
      </w:r>
      <w:r>
        <w:t xml:space="preserve"> </w:t>
      </w:r>
      <w:r w:rsidRPr="00860806">
        <w:t>tak,</w:t>
      </w:r>
      <w:r>
        <w:t xml:space="preserve"> </w:t>
      </w:r>
      <w:r w:rsidRPr="00860806">
        <w:t>aby</w:t>
      </w:r>
      <w:r>
        <w:t xml:space="preserve"> </w:t>
      </w:r>
      <w:r w:rsidRPr="00860806">
        <w:t>vyhovovala</w:t>
      </w:r>
      <w:r>
        <w:t xml:space="preserve"> </w:t>
      </w:r>
      <w:r w:rsidRPr="00860806">
        <w:t>těmto</w:t>
      </w:r>
      <w:r>
        <w:t xml:space="preserve"> </w:t>
      </w:r>
      <w:r w:rsidRPr="00860806">
        <w:t>změnám,</w:t>
      </w:r>
    </w:p>
    <w:p w14:paraId="780D44A6" w14:textId="35083AEA" w:rsidR="001E2C51" w:rsidRDefault="001E2C51" w:rsidP="002E6AEA">
      <w:pPr>
        <w:pStyle w:val="Textparagrafu"/>
        <w:tabs>
          <w:tab w:val="left" w:pos="392"/>
          <w:tab w:val="left" w:pos="840"/>
        </w:tabs>
        <w:spacing w:before="0"/>
        <w:ind w:left="426" w:hanging="426"/>
      </w:pPr>
      <w:r w:rsidRPr="00860806">
        <w:t>s)</w:t>
      </w:r>
      <w:r>
        <w:tab/>
      </w:r>
      <w:r w:rsidRPr="00860806">
        <w:t>splnit</w:t>
      </w:r>
      <w:r>
        <w:t xml:space="preserve"> </w:t>
      </w:r>
      <w:r w:rsidRPr="00860806">
        <w:t>požadavky</w:t>
      </w:r>
      <w:r>
        <w:t xml:space="preserve"> </w:t>
      </w:r>
      <w:r w:rsidRPr="00860806">
        <w:t>na</w:t>
      </w:r>
      <w:r>
        <w:t xml:space="preserve"> </w:t>
      </w:r>
      <w:r w:rsidRPr="00860806">
        <w:t>bezpečnou</w:t>
      </w:r>
      <w:r>
        <w:t xml:space="preserve"> </w:t>
      </w:r>
      <w:r w:rsidRPr="00860806">
        <w:t>instalaci</w:t>
      </w:r>
      <w:r>
        <w:t xml:space="preserve"> </w:t>
      </w:r>
      <w:r w:rsidRPr="00860806">
        <w:t>v</w:t>
      </w:r>
      <w:r>
        <w:t xml:space="preserve"> </w:t>
      </w:r>
      <w:r w:rsidRPr="00860806">
        <w:t>případě</w:t>
      </w:r>
      <w:r>
        <w:t xml:space="preserve"> </w:t>
      </w:r>
      <w:r w:rsidRPr="00860806">
        <w:t>výroben</w:t>
      </w:r>
      <w:r>
        <w:t xml:space="preserve"> </w:t>
      </w:r>
      <w:r w:rsidRPr="00860806">
        <w:t>elektřiny</w:t>
      </w:r>
      <w:r>
        <w:t xml:space="preserve"> </w:t>
      </w:r>
      <w:r w:rsidRPr="00860806">
        <w:t>z</w:t>
      </w:r>
      <w:r>
        <w:t xml:space="preserve"> </w:t>
      </w:r>
      <w:r w:rsidRPr="00860806">
        <w:t>obnovitelných</w:t>
      </w:r>
      <w:r>
        <w:t xml:space="preserve"> </w:t>
      </w:r>
      <w:r w:rsidRPr="00860806">
        <w:t>zdrojů</w:t>
      </w:r>
      <w:r>
        <w:t xml:space="preserve"> </w:t>
      </w:r>
      <w:r w:rsidRPr="00860806">
        <w:t>energie</w:t>
      </w:r>
      <w:r>
        <w:t xml:space="preserve"> </w:t>
      </w:r>
      <w:r w:rsidRPr="00860806">
        <w:t>s</w:t>
      </w:r>
      <w:r>
        <w:t xml:space="preserve"> </w:t>
      </w:r>
      <w:r w:rsidRPr="00860806">
        <w:t>instalovaným</w:t>
      </w:r>
      <w:r>
        <w:t xml:space="preserve"> </w:t>
      </w:r>
      <w:r w:rsidRPr="00860806">
        <w:t>výkonem</w:t>
      </w:r>
      <w:r>
        <w:t xml:space="preserve"> </w:t>
      </w:r>
      <w:r w:rsidRPr="00860806">
        <w:t>do</w:t>
      </w:r>
      <w:r>
        <w:t xml:space="preserve"> </w:t>
      </w:r>
      <w:r w:rsidRPr="00860806">
        <w:t>50</w:t>
      </w:r>
      <w:r>
        <w:t xml:space="preserve"> </w:t>
      </w:r>
      <w:r w:rsidRPr="00860806">
        <w:t>kW</w:t>
      </w:r>
      <w:r>
        <w:t xml:space="preserve"> </w:t>
      </w:r>
      <w:r w:rsidRPr="00860806">
        <w:t>připojených</w:t>
      </w:r>
      <w:r>
        <w:t xml:space="preserve"> </w:t>
      </w:r>
      <w:r w:rsidRPr="00860806">
        <w:t>k</w:t>
      </w:r>
      <w:r>
        <w:t xml:space="preserve"> </w:t>
      </w:r>
      <w:r w:rsidRPr="00860806">
        <w:t>distribuční</w:t>
      </w:r>
      <w:r>
        <w:t xml:space="preserve"> </w:t>
      </w:r>
      <w:r w:rsidRPr="00860806">
        <w:t>soustavě,</w:t>
      </w:r>
      <w:r>
        <w:t xml:space="preserve"> </w:t>
      </w:r>
      <w:r w:rsidRPr="00860806">
        <w:t>které</w:t>
      </w:r>
      <w:r>
        <w:t xml:space="preserve"> </w:t>
      </w:r>
      <w:r w:rsidRPr="00860806">
        <w:t>nevyžadují</w:t>
      </w:r>
      <w:r>
        <w:t xml:space="preserve"> </w:t>
      </w:r>
      <w:r w:rsidRPr="00860806">
        <w:t>stavební</w:t>
      </w:r>
      <w:r>
        <w:t xml:space="preserve"> </w:t>
      </w:r>
      <w:r w:rsidRPr="00860806">
        <w:t>povolení</w:t>
      </w:r>
      <w:r>
        <w:t xml:space="preserve"> </w:t>
      </w:r>
      <w:r w:rsidRPr="00860806">
        <w:t>ani</w:t>
      </w:r>
      <w:r>
        <w:t xml:space="preserve"> </w:t>
      </w:r>
      <w:r w:rsidRPr="00860806">
        <w:t>ohlášení</w:t>
      </w:r>
      <w:r>
        <w:t xml:space="preserve"> </w:t>
      </w:r>
      <w:r w:rsidRPr="00860806">
        <w:t>podle</w:t>
      </w:r>
      <w:r>
        <w:t xml:space="preserve"> </w:t>
      </w:r>
      <w:r w:rsidRPr="00860806">
        <w:t>stavebního</w:t>
      </w:r>
      <w:r>
        <w:t xml:space="preserve"> </w:t>
      </w:r>
      <w:r w:rsidRPr="00860806">
        <w:t>zákona,</w:t>
      </w:r>
    </w:p>
    <w:p w14:paraId="300F945C" w14:textId="59547BA0" w:rsidR="001E2C51" w:rsidRDefault="001E2C51" w:rsidP="002E6AEA">
      <w:pPr>
        <w:pStyle w:val="Textparagrafu"/>
        <w:tabs>
          <w:tab w:val="left" w:pos="392"/>
          <w:tab w:val="left" w:pos="840"/>
        </w:tabs>
        <w:spacing w:before="0"/>
        <w:ind w:left="426" w:hanging="426"/>
      </w:pPr>
      <w:r w:rsidRPr="00860806">
        <w:t>t)</w:t>
      </w:r>
      <w:r>
        <w:tab/>
      </w:r>
      <w:r w:rsidRPr="00860806">
        <w:t>hradit</w:t>
      </w:r>
      <w:r>
        <w:t xml:space="preserve"> </w:t>
      </w:r>
      <w:r w:rsidRPr="00860806">
        <w:t>provozovateli</w:t>
      </w:r>
      <w:r>
        <w:t xml:space="preserve"> </w:t>
      </w:r>
      <w:r w:rsidRPr="00860806">
        <w:t>přenosové</w:t>
      </w:r>
      <w:r>
        <w:t xml:space="preserve"> </w:t>
      </w:r>
      <w:r w:rsidRPr="00860806">
        <w:t>soustavy</w:t>
      </w:r>
      <w:r>
        <w:t xml:space="preserve"> </w:t>
      </w:r>
      <w:r w:rsidRPr="00860806">
        <w:t>nebo</w:t>
      </w:r>
      <w:r>
        <w:t xml:space="preserve"> </w:t>
      </w:r>
      <w:r w:rsidRPr="00860806">
        <w:t>distribuční</w:t>
      </w:r>
      <w:r>
        <w:t xml:space="preserve"> </w:t>
      </w:r>
      <w:r w:rsidRPr="00860806">
        <w:t>soustavy</w:t>
      </w:r>
      <w:r>
        <w:t xml:space="preserve"> </w:t>
      </w:r>
      <w:r w:rsidRPr="00860806">
        <w:t>cenu</w:t>
      </w:r>
      <w:r>
        <w:t xml:space="preserve"> </w:t>
      </w:r>
      <w:r w:rsidRPr="00860806">
        <w:t>za</w:t>
      </w:r>
      <w:r>
        <w:t xml:space="preserve"> </w:t>
      </w:r>
      <w:r w:rsidRPr="00860806">
        <w:t>provoz</w:t>
      </w:r>
      <w:r>
        <w:t xml:space="preserve"> </w:t>
      </w:r>
      <w:r w:rsidRPr="00860806">
        <w:t>nesíťové</w:t>
      </w:r>
      <w:r>
        <w:t xml:space="preserve"> </w:t>
      </w:r>
      <w:r w:rsidRPr="00860806">
        <w:t>infrastruktury,</w:t>
      </w:r>
      <w:r>
        <w:t xml:space="preserve"> </w:t>
      </w:r>
      <w:r w:rsidRPr="00860806">
        <w:t>zajišťuje-li</w:t>
      </w:r>
      <w:r>
        <w:t xml:space="preserve"> </w:t>
      </w:r>
      <w:r w:rsidRPr="00860806">
        <w:t>dodávku</w:t>
      </w:r>
      <w:r>
        <w:t xml:space="preserve"> </w:t>
      </w:r>
      <w:r w:rsidRPr="00860806">
        <w:t>elektřiny</w:t>
      </w:r>
      <w:r>
        <w:t xml:space="preserve"> </w:t>
      </w:r>
      <w:r w:rsidRPr="00860806">
        <w:t>do</w:t>
      </w:r>
      <w:r>
        <w:t xml:space="preserve"> </w:t>
      </w:r>
      <w:r w:rsidRPr="00860806">
        <w:t>předávacího</w:t>
      </w:r>
      <w:r>
        <w:t xml:space="preserve"> </w:t>
      </w:r>
      <w:r w:rsidRPr="00860806">
        <w:t>místa</w:t>
      </w:r>
      <w:r>
        <w:t xml:space="preserve"> </w:t>
      </w:r>
      <w:r w:rsidRPr="00860806">
        <w:t>zákazníka</w:t>
      </w:r>
      <w:r>
        <w:t xml:space="preserve"> </w:t>
      </w:r>
      <w:r w:rsidRPr="00860806">
        <w:t>podle</w:t>
      </w:r>
      <w:r>
        <w:t xml:space="preserve"> </w:t>
      </w:r>
      <w:r w:rsidRPr="00860806">
        <w:t>smlouvy</w:t>
      </w:r>
      <w:r>
        <w:t xml:space="preserve"> </w:t>
      </w:r>
      <w:r w:rsidRPr="00860806">
        <w:t>o</w:t>
      </w:r>
      <w:r>
        <w:t xml:space="preserve"> </w:t>
      </w:r>
      <w:r w:rsidRPr="00860806">
        <w:t>sdružených</w:t>
      </w:r>
      <w:r>
        <w:t xml:space="preserve"> </w:t>
      </w:r>
      <w:r w:rsidRPr="00860806">
        <w:t>službách</w:t>
      </w:r>
      <w:r>
        <w:t xml:space="preserve"> </w:t>
      </w:r>
      <w:r w:rsidRPr="00860806">
        <w:t>dodávky</w:t>
      </w:r>
      <w:r>
        <w:t xml:space="preserve"> </w:t>
      </w:r>
      <w:r w:rsidRPr="00860806">
        <w:t>elektřiny.</w:t>
      </w:r>
    </w:p>
    <w:p w14:paraId="60BB513B" w14:textId="77777777" w:rsidR="001E2C51" w:rsidRPr="00860806" w:rsidRDefault="001E2C51" w:rsidP="0010420C">
      <w:pPr>
        <w:pStyle w:val="Textparagrafu"/>
        <w:spacing w:before="120" w:after="120"/>
      </w:pPr>
      <w:r w:rsidRPr="00860806">
        <w:t>(4)</w:t>
      </w:r>
      <w:r>
        <w:t xml:space="preserve"> </w:t>
      </w:r>
      <w:r w:rsidRPr="00860806">
        <w:t>Výrobce</w:t>
      </w:r>
      <w:r>
        <w:t xml:space="preserve"> </w:t>
      </w:r>
      <w:r w:rsidRPr="00860806">
        <w:t>neodpovídá</w:t>
      </w:r>
      <w:r>
        <w:t xml:space="preserve"> </w:t>
      </w:r>
      <w:r w:rsidRPr="00860806">
        <w:t>za</w:t>
      </w:r>
      <w:r>
        <w:t xml:space="preserve"> </w:t>
      </w:r>
      <w:r w:rsidRPr="00860806">
        <w:t>odchylku</w:t>
      </w:r>
      <w:r>
        <w:t xml:space="preserve"> </w:t>
      </w:r>
      <w:r w:rsidRPr="00860806">
        <w:t>vzniklou</w:t>
      </w:r>
      <w:r>
        <w:t xml:space="preserve"> </w:t>
      </w:r>
      <w:r w:rsidRPr="00860806">
        <w:t>v</w:t>
      </w:r>
      <w:r>
        <w:t xml:space="preserve"> </w:t>
      </w:r>
      <w:r w:rsidRPr="00860806">
        <w:t>souvislosti</w:t>
      </w:r>
      <w:r>
        <w:t xml:space="preserve"> </w:t>
      </w:r>
      <w:r w:rsidRPr="00860806">
        <w:t>s</w:t>
      </w:r>
      <w:r>
        <w:t xml:space="preserve"> </w:t>
      </w:r>
      <w:r w:rsidRPr="00860806">
        <w:t>dispečerským</w:t>
      </w:r>
      <w:r>
        <w:t xml:space="preserve"> </w:t>
      </w:r>
      <w:r w:rsidRPr="00860806">
        <w:t>řízením</w:t>
      </w:r>
      <w:r>
        <w:t xml:space="preserve"> </w:t>
      </w:r>
      <w:r w:rsidRPr="00860806">
        <w:t>výrobny</w:t>
      </w:r>
      <w:r>
        <w:t xml:space="preserve"> </w:t>
      </w:r>
      <w:r w:rsidRPr="00860806">
        <w:t>elektřiny</w:t>
      </w:r>
      <w:r>
        <w:t xml:space="preserve"> </w:t>
      </w:r>
      <w:r w:rsidRPr="00860806">
        <w:t>podle</w:t>
      </w:r>
      <w:r>
        <w:t xml:space="preserve"> </w:t>
      </w:r>
      <w:r w:rsidRPr="00860806">
        <w:t>§</w:t>
      </w:r>
      <w:r>
        <w:t xml:space="preserve"> </w:t>
      </w:r>
      <w:r w:rsidRPr="00860806">
        <w:t>26</w:t>
      </w:r>
      <w:r>
        <w:t xml:space="preserve"> </w:t>
      </w:r>
      <w:r w:rsidRPr="00860806">
        <w:t>odst.</w:t>
      </w:r>
      <w:r>
        <w:t xml:space="preserve"> </w:t>
      </w:r>
      <w:r w:rsidRPr="00860806">
        <w:t>5.</w:t>
      </w:r>
    </w:p>
    <w:p w14:paraId="77E74EFD" w14:textId="0567E3E1" w:rsidR="001E2C51" w:rsidRDefault="00920C2F" w:rsidP="00920C2F">
      <w:pPr>
        <w:pStyle w:val="Textparagrafu"/>
        <w:tabs>
          <w:tab w:val="left" w:pos="406"/>
          <w:tab w:val="left" w:pos="840"/>
          <w:tab w:val="left" w:pos="868"/>
        </w:tabs>
        <w:spacing w:after="120"/>
        <w:ind w:firstLine="0"/>
        <w:jc w:val="center"/>
      </w:pPr>
      <w:r>
        <w:t>***</w:t>
      </w:r>
    </w:p>
    <w:p w14:paraId="306A712E" w14:textId="77777777" w:rsidR="00920C2F" w:rsidRDefault="00920C2F" w:rsidP="00920C2F">
      <w:pPr>
        <w:pStyle w:val="Textparagrafu"/>
        <w:spacing w:after="120"/>
        <w:ind w:firstLine="0"/>
        <w:jc w:val="center"/>
      </w:pPr>
      <w:r w:rsidRPr="00014AAD">
        <w:t>§</w:t>
      </w:r>
      <w:r>
        <w:t xml:space="preserve"> </w:t>
      </w:r>
      <w:r w:rsidRPr="00014AAD">
        <w:t>24</w:t>
      </w:r>
    </w:p>
    <w:p w14:paraId="7E84BE0F" w14:textId="77777777" w:rsidR="00920C2F" w:rsidRPr="00014AAD" w:rsidRDefault="00920C2F" w:rsidP="00920C2F">
      <w:pPr>
        <w:pStyle w:val="Textparagrafu"/>
        <w:spacing w:after="120"/>
        <w:ind w:firstLine="0"/>
        <w:jc w:val="center"/>
        <w:rPr>
          <w:b/>
        </w:rPr>
      </w:pPr>
      <w:r w:rsidRPr="00014AAD">
        <w:rPr>
          <w:b/>
        </w:rPr>
        <w:t>Provozovatel přenosové soustavy</w:t>
      </w:r>
    </w:p>
    <w:p w14:paraId="457C492C" w14:textId="77777777" w:rsidR="00920C2F" w:rsidRDefault="00920C2F" w:rsidP="0010420C">
      <w:pPr>
        <w:pStyle w:val="Textparagrafu"/>
        <w:spacing w:before="120" w:after="120"/>
      </w:pPr>
      <w:r w:rsidRPr="00014AAD">
        <w:t>(1)</w:t>
      </w:r>
      <w:r>
        <w:t xml:space="preserve"> </w:t>
      </w:r>
      <w:r w:rsidRPr="00014AAD">
        <w:t>Provozovatel</w:t>
      </w:r>
      <w:r>
        <w:t xml:space="preserve"> </w:t>
      </w:r>
      <w:r w:rsidRPr="00014AAD">
        <w:t>přenosové</w:t>
      </w:r>
      <w:r>
        <w:t xml:space="preserve"> </w:t>
      </w:r>
      <w:r w:rsidRPr="00014AAD">
        <w:t>soustavy</w:t>
      </w:r>
    </w:p>
    <w:p w14:paraId="4C100369" w14:textId="238F8F8E" w:rsidR="00920C2F" w:rsidRDefault="00920C2F" w:rsidP="002E6AEA">
      <w:pPr>
        <w:pStyle w:val="Textparagrafu"/>
        <w:tabs>
          <w:tab w:val="left" w:pos="420"/>
        </w:tabs>
        <w:spacing w:before="0"/>
        <w:ind w:left="426" w:hanging="426"/>
      </w:pPr>
      <w:r w:rsidRPr="00014AAD">
        <w:t>a)</w:t>
      </w:r>
      <w:r>
        <w:tab/>
      </w:r>
      <w:r w:rsidRPr="00014AAD">
        <w:t>zajišťuje</w:t>
      </w:r>
      <w:r>
        <w:t xml:space="preserve"> </w:t>
      </w:r>
      <w:r w:rsidRPr="00014AAD">
        <w:t>bezpečný,</w:t>
      </w:r>
      <w:r>
        <w:t xml:space="preserve"> </w:t>
      </w:r>
      <w:r w:rsidRPr="00014AAD">
        <w:t>spolehlivý</w:t>
      </w:r>
      <w:r>
        <w:t xml:space="preserve"> </w:t>
      </w:r>
      <w:r w:rsidRPr="00014AAD">
        <w:t>a</w:t>
      </w:r>
      <w:r>
        <w:t xml:space="preserve"> </w:t>
      </w:r>
      <w:r w:rsidRPr="00014AAD">
        <w:t>efektivní</w:t>
      </w:r>
      <w:r>
        <w:t xml:space="preserve"> </w:t>
      </w:r>
      <w:r w:rsidRPr="00014AAD">
        <w:t>provoz,</w:t>
      </w:r>
      <w:r>
        <w:t xml:space="preserve"> </w:t>
      </w:r>
      <w:r w:rsidRPr="00014AAD">
        <w:t>obnovu</w:t>
      </w:r>
      <w:r>
        <w:t xml:space="preserve"> </w:t>
      </w:r>
      <w:r w:rsidRPr="00014AAD">
        <w:t>a</w:t>
      </w:r>
      <w:r>
        <w:t xml:space="preserve"> </w:t>
      </w:r>
      <w:r w:rsidRPr="00014AAD">
        <w:t>rozvoj</w:t>
      </w:r>
      <w:r>
        <w:t xml:space="preserve"> </w:t>
      </w:r>
      <w:r w:rsidRPr="00014AAD">
        <w:t>přenosové</w:t>
      </w:r>
      <w:r>
        <w:t xml:space="preserve"> </w:t>
      </w:r>
      <w:r w:rsidRPr="00014AAD">
        <w:t>soustavy</w:t>
      </w:r>
      <w:r>
        <w:t xml:space="preserve"> </w:t>
      </w:r>
      <w:r w:rsidRPr="00014AAD">
        <w:t>a</w:t>
      </w:r>
      <w:r>
        <w:t xml:space="preserve"> </w:t>
      </w:r>
      <w:r w:rsidRPr="00014AAD">
        <w:t>zajišťuje</w:t>
      </w:r>
      <w:r>
        <w:t xml:space="preserve"> </w:t>
      </w:r>
      <w:r w:rsidRPr="00014AAD">
        <w:t>propojení</w:t>
      </w:r>
      <w:r>
        <w:t xml:space="preserve"> </w:t>
      </w:r>
      <w:r w:rsidRPr="00014AAD">
        <w:t>přenosové</w:t>
      </w:r>
      <w:r>
        <w:t xml:space="preserve"> </w:t>
      </w:r>
      <w:r w:rsidRPr="00014AAD">
        <w:t>soustavy</w:t>
      </w:r>
      <w:r>
        <w:t xml:space="preserve"> </w:t>
      </w:r>
      <w:r w:rsidRPr="00014AAD">
        <w:t>s</w:t>
      </w:r>
      <w:r>
        <w:t xml:space="preserve"> </w:t>
      </w:r>
      <w:r w:rsidRPr="00014AAD">
        <w:t>jinými</w:t>
      </w:r>
      <w:r>
        <w:t xml:space="preserve"> </w:t>
      </w:r>
      <w:r w:rsidRPr="00014AAD">
        <w:t>soustavami,</w:t>
      </w:r>
      <w:r>
        <w:t xml:space="preserve"> </w:t>
      </w:r>
      <w:r w:rsidRPr="00014AAD">
        <w:t>a</w:t>
      </w:r>
      <w:r>
        <w:t xml:space="preserve"> </w:t>
      </w:r>
      <w:r w:rsidRPr="00014AAD">
        <w:t>za</w:t>
      </w:r>
      <w:r>
        <w:t xml:space="preserve"> </w:t>
      </w:r>
      <w:r w:rsidRPr="00014AAD">
        <w:t>tím</w:t>
      </w:r>
      <w:r>
        <w:t xml:space="preserve"> </w:t>
      </w:r>
      <w:r w:rsidRPr="00014AAD">
        <w:t>účelem</w:t>
      </w:r>
      <w:r>
        <w:t xml:space="preserve"> </w:t>
      </w:r>
      <w:r w:rsidRPr="00014AAD">
        <w:t>zabezpečuje</w:t>
      </w:r>
      <w:r>
        <w:t xml:space="preserve"> </w:t>
      </w:r>
      <w:r w:rsidRPr="00014AAD">
        <w:t>podpůrné</w:t>
      </w:r>
      <w:r>
        <w:t xml:space="preserve"> </w:t>
      </w:r>
      <w:r w:rsidRPr="00014AAD">
        <w:t>služby</w:t>
      </w:r>
      <w:r>
        <w:t xml:space="preserve"> </w:t>
      </w:r>
      <w:r w:rsidRPr="00014AAD">
        <w:t>a</w:t>
      </w:r>
      <w:r>
        <w:t xml:space="preserve"> </w:t>
      </w:r>
      <w:r w:rsidRPr="00014AAD">
        <w:t>dlouhodobou</w:t>
      </w:r>
      <w:r>
        <w:t xml:space="preserve"> </w:t>
      </w:r>
      <w:r w:rsidRPr="00014AAD">
        <w:t>schopnost</w:t>
      </w:r>
      <w:r>
        <w:t xml:space="preserve"> </w:t>
      </w:r>
      <w:r w:rsidRPr="00014AAD">
        <w:t>přenosové</w:t>
      </w:r>
      <w:r>
        <w:t xml:space="preserve"> </w:t>
      </w:r>
      <w:r w:rsidRPr="00014AAD">
        <w:t>soustavy</w:t>
      </w:r>
      <w:r>
        <w:t xml:space="preserve"> </w:t>
      </w:r>
      <w:r w:rsidRPr="00014AAD">
        <w:t>uspokojovat</w:t>
      </w:r>
      <w:r>
        <w:t xml:space="preserve"> </w:t>
      </w:r>
      <w:r w:rsidRPr="00014AAD">
        <w:t>přiměřenou</w:t>
      </w:r>
      <w:r>
        <w:t xml:space="preserve"> </w:t>
      </w:r>
      <w:r w:rsidRPr="00014AAD">
        <w:lastRenderedPageBreak/>
        <w:t>poptávku</w:t>
      </w:r>
      <w:r>
        <w:t xml:space="preserve"> </w:t>
      </w:r>
      <w:r w:rsidRPr="00014AAD">
        <w:t>po</w:t>
      </w:r>
      <w:r>
        <w:t xml:space="preserve"> </w:t>
      </w:r>
      <w:r w:rsidRPr="00014AAD">
        <w:t>přenosu</w:t>
      </w:r>
      <w:r>
        <w:t xml:space="preserve"> </w:t>
      </w:r>
      <w:r w:rsidRPr="00014AAD">
        <w:t>elektřiny,</w:t>
      </w:r>
      <w:r>
        <w:t xml:space="preserve"> </w:t>
      </w:r>
      <w:r w:rsidRPr="00014AAD">
        <w:t>spolupracuje</w:t>
      </w:r>
      <w:r>
        <w:t xml:space="preserve"> </w:t>
      </w:r>
      <w:r w:rsidRPr="00014AAD">
        <w:t>s</w:t>
      </w:r>
      <w:r>
        <w:t xml:space="preserve"> </w:t>
      </w:r>
      <w:r w:rsidRPr="00014AAD">
        <w:t>provozovateli</w:t>
      </w:r>
      <w:r>
        <w:t xml:space="preserve"> </w:t>
      </w:r>
      <w:r w:rsidRPr="00014AAD">
        <w:t>propojených</w:t>
      </w:r>
      <w:r>
        <w:t xml:space="preserve"> </w:t>
      </w:r>
      <w:r w:rsidRPr="00014AAD">
        <w:t>přenosových</w:t>
      </w:r>
      <w:r>
        <w:t xml:space="preserve"> </w:t>
      </w:r>
      <w:r w:rsidRPr="00014AAD">
        <w:t>soustav</w:t>
      </w:r>
      <w:r>
        <w:t xml:space="preserve"> </w:t>
      </w:r>
      <w:r w:rsidRPr="00014AAD">
        <w:t>a</w:t>
      </w:r>
      <w:r>
        <w:t xml:space="preserve"> </w:t>
      </w:r>
      <w:r w:rsidRPr="00014AAD">
        <w:t>spolupracuje</w:t>
      </w:r>
      <w:r>
        <w:t xml:space="preserve"> </w:t>
      </w:r>
      <w:r w:rsidRPr="00014AAD">
        <w:t>na</w:t>
      </w:r>
      <w:r>
        <w:t xml:space="preserve"> </w:t>
      </w:r>
      <w:r w:rsidRPr="00014AAD">
        <w:t>integraci</w:t>
      </w:r>
      <w:r>
        <w:t xml:space="preserve"> </w:t>
      </w:r>
      <w:r w:rsidRPr="00014AAD">
        <w:t>vnitřního</w:t>
      </w:r>
      <w:r>
        <w:t xml:space="preserve"> </w:t>
      </w:r>
      <w:r w:rsidRPr="00014AAD">
        <w:t>evropského</w:t>
      </w:r>
      <w:r>
        <w:t xml:space="preserve"> </w:t>
      </w:r>
      <w:r w:rsidRPr="00014AAD">
        <w:t>trhu</w:t>
      </w:r>
      <w:r>
        <w:t xml:space="preserve"> </w:t>
      </w:r>
      <w:r w:rsidRPr="00014AAD">
        <w:t>s</w:t>
      </w:r>
      <w:r>
        <w:t xml:space="preserve"> </w:t>
      </w:r>
      <w:r w:rsidRPr="00014AAD">
        <w:t>elektřinou,</w:t>
      </w:r>
    </w:p>
    <w:p w14:paraId="1D5FB89A" w14:textId="1AEB0DE0" w:rsidR="00920C2F" w:rsidRDefault="00920C2F" w:rsidP="002E6AEA">
      <w:pPr>
        <w:pStyle w:val="Textparagrafu"/>
        <w:tabs>
          <w:tab w:val="left" w:pos="420"/>
        </w:tabs>
        <w:spacing w:before="0"/>
        <w:ind w:left="426" w:hanging="426"/>
      </w:pPr>
      <w:r w:rsidRPr="00014AAD">
        <w:t>b)</w:t>
      </w:r>
      <w:r>
        <w:tab/>
      </w:r>
      <w:r w:rsidRPr="00014AAD">
        <w:t>poskytuje</w:t>
      </w:r>
      <w:r>
        <w:t xml:space="preserve"> </w:t>
      </w:r>
      <w:r w:rsidRPr="00014AAD">
        <w:t>službu</w:t>
      </w:r>
      <w:r>
        <w:t xml:space="preserve"> </w:t>
      </w:r>
      <w:r w:rsidRPr="00014AAD">
        <w:t>přenosové</w:t>
      </w:r>
      <w:r>
        <w:t xml:space="preserve"> </w:t>
      </w:r>
      <w:r w:rsidRPr="00014AAD">
        <w:t>soustavy,</w:t>
      </w:r>
    </w:p>
    <w:p w14:paraId="7C399D2B" w14:textId="3903714E" w:rsidR="00920C2F" w:rsidRDefault="00920C2F" w:rsidP="002E6AEA">
      <w:pPr>
        <w:pStyle w:val="Textparagrafu"/>
        <w:tabs>
          <w:tab w:val="left" w:pos="420"/>
        </w:tabs>
        <w:spacing w:before="0"/>
        <w:ind w:left="426" w:hanging="426"/>
      </w:pPr>
      <w:r w:rsidRPr="00014AAD">
        <w:t>c)</w:t>
      </w:r>
      <w:r>
        <w:tab/>
      </w:r>
      <w:r w:rsidRPr="00014AAD">
        <w:t>řídí</w:t>
      </w:r>
      <w:r>
        <w:t xml:space="preserve"> </w:t>
      </w:r>
      <w:r w:rsidRPr="00014AAD">
        <w:t>toky</w:t>
      </w:r>
      <w:r>
        <w:t xml:space="preserve"> </w:t>
      </w:r>
      <w:r w:rsidRPr="00014AAD">
        <w:t>elektřiny</w:t>
      </w:r>
      <w:r>
        <w:t xml:space="preserve"> </w:t>
      </w:r>
      <w:r w:rsidRPr="00014AAD">
        <w:t>v</w:t>
      </w:r>
      <w:r>
        <w:t xml:space="preserve"> </w:t>
      </w:r>
      <w:r w:rsidRPr="00014AAD">
        <w:t>přenosové</w:t>
      </w:r>
      <w:r>
        <w:t xml:space="preserve"> </w:t>
      </w:r>
      <w:r w:rsidRPr="00014AAD">
        <w:t>soustavě</w:t>
      </w:r>
      <w:r>
        <w:t xml:space="preserve"> </w:t>
      </w:r>
      <w:r w:rsidRPr="00014AAD">
        <w:t>při</w:t>
      </w:r>
      <w:r>
        <w:t xml:space="preserve"> </w:t>
      </w:r>
      <w:r w:rsidRPr="00014AAD">
        <w:t>respektování</w:t>
      </w:r>
      <w:r>
        <w:t xml:space="preserve"> </w:t>
      </w:r>
      <w:r w:rsidRPr="00014AAD">
        <w:t>přenosů</w:t>
      </w:r>
      <w:r>
        <w:t xml:space="preserve"> </w:t>
      </w:r>
      <w:r w:rsidRPr="00014AAD">
        <w:t>elektřiny</w:t>
      </w:r>
      <w:r>
        <w:t xml:space="preserve"> </w:t>
      </w:r>
      <w:r w:rsidRPr="00014AAD">
        <w:t>mezi</w:t>
      </w:r>
      <w:r>
        <w:t xml:space="preserve"> </w:t>
      </w:r>
      <w:r w:rsidRPr="00014AAD">
        <w:t>propojenými</w:t>
      </w:r>
      <w:r>
        <w:t xml:space="preserve"> </w:t>
      </w:r>
      <w:r w:rsidRPr="00014AAD">
        <w:t>soustavami</w:t>
      </w:r>
      <w:r>
        <w:t xml:space="preserve"> </w:t>
      </w:r>
      <w:r w:rsidRPr="00014AAD">
        <w:t>ostatních</w:t>
      </w:r>
      <w:r>
        <w:t xml:space="preserve"> </w:t>
      </w:r>
      <w:r w:rsidRPr="00014AAD">
        <w:t>států</w:t>
      </w:r>
      <w:r>
        <w:t xml:space="preserve"> </w:t>
      </w:r>
      <w:r w:rsidRPr="00014AAD">
        <w:t>a</w:t>
      </w:r>
      <w:r>
        <w:t xml:space="preserve"> </w:t>
      </w:r>
      <w:r w:rsidRPr="00014AAD">
        <w:t>ve</w:t>
      </w:r>
      <w:r>
        <w:t xml:space="preserve"> </w:t>
      </w:r>
      <w:r w:rsidRPr="00014AAD">
        <w:t>spolupráci</w:t>
      </w:r>
      <w:r>
        <w:t xml:space="preserve"> </w:t>
      </w:r>
      <w:r w:rsidRPr="00014AAD">
        <w:t>s</w:t>
      </w:r>
      <w:r>
        <w:t xml:space="preserve"> </w:t>
      </w:r>
      <w:r w:rsidRPr="00014AAD">
        <w:t>provozovateli</w:t>
      </w:r>
      <w:r>
        <w:t xml:space="preserve"> </w:t>
      </w:r>
      <w:r w:rsidRPr="00014AAD">
        <w:t>distribučních</w:t>
      </w:r>
      <w:r>
        <w:t xml:space="preserve"> </w:t>
      </w:r>
      <w:r w:rsidRPr="00014AAD">
        <w:t>soustav</w:t>
      </w:r>
      <w:r>
        <w:t xml:space="preserve"> </w:t>
      </w:r>
      <w:r w:rsidRPr="00014AAD">
        <w:t>v</w:t>
      </w:r>
      <w:r>
        <w:t xml:space="preserve"> </w:t>
      </w:r>
      <w:r w:rsidRPr="00014AAD">
        <w:t>elektrizační</w:t>
      </w:r>
      <w:r>
        <w:t xml:space="preserve"> </w:t>
      </w:r>
      <w:r w:rsidRPr="00014AAD">
        <w:t>soustavě,</w:t>
      </w:r>
    </w:p>
    <w:p w14:paraId="494F87C9" w14:textId="77777777" w:rsidR="00920C2F" w:rsidRDefault="00920C2F" w:rsidP="002E6AEA">
      <w:pPr>
        <w:pStyle w:val="Textparagrafu"/>
        <w:tabs>
          <w:tab w:val="left" w:pos="420"/>
        </w:tabs>
        <w:spacing w:before="0"/>
        <w:ind w:left="426" w:hanging="426"/>
      </w:pPr>
      <w:r w:rsidRPr="00014AAD">
        <w:t>d)</w:t>
      </w:r>
      <w:r>
        <w:t xml:space="preserve"> </w:t>
      </w:r>
      <w:r w:rsidRPr="00014AAD">
        <w:t>odpovídá</w:t>
      </w:r>
      <w:r>
        <w:t xml:space="preserve"> </w:t>
      </w:r>
      <w:r w:rsidRPr="00014AAD">
        <w:t>za</w:t>
      </w:r>
      <w:r>
        <w:t xml:space="preserve"> </w:t>
      </w:r>
      <w:r w:rsidRPr="00014AAD">
        <w:t>zajištění</w:t>
      </w:r>
      <w:r>
        <w:t xml:space="preserve"> </w:t>
      </w:r>
      <w:r w:rsidRPr="00014AAD">
        <w:t>systémových</w:t>
      </w:r>
      <w:r>
        <w:t xml:space="preserve"> </w:t>
      </w:r>
      <w:r w:rsidRPr="00014AAD">
        <w:t>služeb</w:t>
      </w:r>
      <w:r>
        <w:t xml:space="preserve"> </w:t>
      </w:r>
      <w:r w:rsidRPr="00014AAD">
        <w:t>pro</w:t>
      </w:r>
      <w:r>
        <w:t xml:space="preserve"> </w:t>
      </w:r>
      <w:r w:rsidRPr="00014AAD">
        <w:t>elektrizační</w:t>
      </w:r>
      <w:r>
        <w:t xml:space="preserve"> </w:t>
      </w:r>
      <w:r w:rsidRPr="00014AAD">
        <w:t>soustavu</w:t>
      </w:r>
      <w:r>
        <w:t xml:space="preserve"> </w:t>
      </w:r>
      <w:r w:rsidRPr="00014AAD">
        <w:t>na</w:t>
      </w:r>
      <w:r>
        <w:t xml:space="preserve"> </w:t>
      </w:r>
      <w:r w:rsidRPr="00014AAD">
        <w:t>úrovni</w:t>
      </w:r>
      <w:r>
        <w:t xml:space="preserve"> </w:t>
      </w:r>
      <w:r w:rsidRPr="00014AAD">
        <w:t>přenosové</w:t>
      </w:r>
      <w:r>
        <w:t xml:space="preserve"> </w:t>
      </w:r>
      <w:r w:rsidRPr="00014AAD">
        <w:t>soustavy,</w:t>
      </w:r>
    </w:p>
    <w:p w14:paraId="0B190BF4" w14:textId="34135119" w:rsidR="00920C2F" w:rsidRDefault="00920C2F" w:rsidP="002E6AEA">
      <w:pPr>
        <w:pStyle w:val="Textparagrafu"/>
        <w:tabs>
          <w:tab w:val="left" w:pos="420"/>
        </w:tabs>
        <w:spacing w:before="0"/>
        <w:ind w:left="426" w:hanging="426"/>
      </w:pPr>
      <w:r w:rsidRPr="00014AAD">
        <w:t>e)</w:t>
      </w:r>
      <w:r>
        <w:tab/>
      </w:r>
      <w:r w:rsidRPr="00014AAD">
        <w:t>účastní</w:t>
      </w:r>
      <w:r>
        <w:t xml:space="preserve"> </w:t>
      </w:r>
      <w:r w:rsidRPr="00014AAD">
        <w:t>se</w:t>
      </w:r>
      <w:r>
        <w:t xml:space="preserve"> </w:t>
      </w:r>
      <w:r w:rsidRPr="00014AAD">
        <w:t>vyrovnávacího</w:t>
      </w:r>
      <w:r>
        <w:t xml:space="preserve"> </w:t>
      </w:r>
      <w:r w:rsidRPr="00014AAD">
        <w:t>mechanismu</w:t>
      </w:r>
      <w:r>
        <w:t xml:space="preserve"> </w:t>
      </w:r>
      <w:r w:rsidRPr="00014AAD">
        <w:t>a</w:t>
      </w:r>
      <w:r>
        <w:t xml:space="preserve"> </w:t>
      </w:r>
      <w:r w:rsidRPr="00014AAD">
        <w:t>uskutečňuje</w:t>
      </w:r>
      <w:r>
        <w:t xml:space="preserve"> </w:t>
      </w:r>
      <w:r w:rsidRPr="00014AAD">
        <w:t>platby</w:t>
      </w:r>
      <w:r>
        <w:t xml:space="preserve"> </w:t>
      </w:r>
      <w:r w:rsidRPr="00014AAD">
        <w:t>podle</w:t>
      </w:r>
      <w:r>
        <w:t xml:space="preserve"> </w:t>
      </w:r>
      <w:r w:rsidRPr="00014AAD">
        <w:t>vyrovnávacího</w:t>
      </w:r>
      <w:r>
        <w:t xml:space="preserve"> </w:t>
      </w:r>
      <w:r w:rsidRPr="00014AAD">
        <w:t>mechanismu</w:t>
      </w:r>
      <w:r>
        <w:t xml:space="preserve"> </w:t>
      </w:r>
      <w:r w:rsidRPr="00014AAD">
        <w:t>mezi</w:t>
      </w:r>
      <w:r>
        <w:t xml:space="preserve"> </w:t>
      </w:r>
      <w:r w:rsidRPr="00014AAD">
        <w:t>provozovateli</w:t>
      </w:r>
      <w:r>
        <w:t xml:space="preserve"> </w:t>
      </w:r>
      <w:r w:rsidRPr="00014AAD">
        <w:t>přenosových</w:t>
      </w:r>
      <w:r>
        <w:t xml:space="preserve"> </w:t>
      </w:r>
      <w:r w:rsidRPr="00014AAD">
        <w:t>soustav</w:t>
      </w:r>
      <w:r>
        <w:t xml:space="preserve"> </w:t>
      </w:r>
      <w:r w:rsidRPr="00014AAD">
        <w:t>v</w:t>
      </w:r>
      <w:r>
        <w:t xml:space="preserve"> </w:t>
      </w:r>
      <w:r w:rsidRPr="00014AAD">
        <w:t>souladu</w:t>
      </w:r>
      <w:r>
        <w:t xml:space="preserve"> </w:t>
      </w:r>
      <w:r w:rsidRPr="00014AAD">
        <w:t>s</w:t>
      </w:r>
      <w:r>
        <w:t xml:space="preserve"> </w:t>
      </w:r>
      <w:r w:rsidRPr="00014AAD">
        <w:t>Nařízením</w:t>
      </w:r>
      <w:r>
        <w:t xml:space="preserve"> </w:t>
      </w:r>
      <w:r w:rsidRPr="00014AAD">
        <w:t>o</w:t>
      </w:r>
      <w:r>
        <w:t xml:space="preserve"> </w:t>
      </w:r>
      <w:r w:rsidRPr="00014AAD">
        <w:t>podmínkách</w:t>
      </w:r>
      <w:r>
        <w:t xml:space="preserve"> </w:t>
      </w:r>
      <w:r w:rsidRPr="00014AAD">
        <w:t>přístupu</w:t>
      </w:r>
      <w:r>
        <w:t xml:space="preserve"> </w:t>
      </w:r>
      <w:r w:rsidRPr="00014AAD">
        <w:t>do</w:t>
      </w:r>
      <w:r>
        <w:t xml:space="preserve"> </w:t>
      </w:r>
      <w:r w:rsidRPr="00014AAD">
        <w:t>sítě</w:t>
      </w:r>
      <w:r>
        <w:t xml:space="preserve"> </w:t>
      </w:r>
      <w:r w:rsidRPr="00014AAD">
        <w:t>pro</w:t>
      </w:r>
      <w:r>
        <w:t xml:space="preserve"> </w:t>
      </w:r>
      <w:r w:rsidRPr="00014AAD">
        <w:t>přeshraniční</w:t>
      </w:r>
      <w:r>
        <w:t xml:space="preserve"> </w:t>
      </w:r>
      <w:r w:rsidRPr="00014AAD">
        <w:t>obchod</w:t>
      </w:r>
      <w:r>
        <w:t xml:space="preserve"> </w:t>
      </w:r>
      <w:r w:rsidRPr="00014AAD">
        <w:t>s</w:t>
      </w:r>
      <w:r>
        <w:t xml:space="preserve"> </w:t>
      </w:r>
      <w:r w:rsidRPr="00014AAD">
        <w:t>elektřinou</w:t>
      </w:r>
      <w:r>
        <w:t xml:space="preserve"> </w:t>
      </w:r>
      <w:r w:rsidRPr="00014AAD">
        <w:t>a</w:t>
      </w:r>
      <w:r>
        <w:t xml:space="preserve"> </w:t>
      </w:r>
      <w:r w:rsidRPr="00014AAD">
        <w:t>při</w:t>
      </w:r>
      <w:r>
        <w:t xml:space="preserve"> </w:t>
      </w:r>
      <w:r w:rsidRPr="00014AAD">
        <w:t>zachování</w:t>
      </w:r>
      <w:r>
        <w:t xml:space="preserve"> </w:t>
      </w:r>
      <w:r w:rsidRPr="00014AAD">
        <w:t>bezpečnosti</w:t>
      </w:r>
      <w:r>
        <w:t xml:space="preserve"> </w:t>
      </w:r>
      <w:r w:rsidRPr="00014AAD">
        <w:t>a</w:t>
      </w:r>
      <w:r>
        <w:t xml:space="preserve"> </w:t>
      </w:r>
      <w:r w:rsidRPr="00014AAD">
        <w:t>spolehlivosti</w:t>
      </w:r>
      <w:r>
        <w:t xml:space="preserve"> </w:t>
      </w:r>
      <w:r w:rsidRPr="00014AAD">
        <w:t>přenosové</w:t>
      </w:r>
      <w:r>
        <w:t xml:space="preserve"> </w:t>
      </w:r>
      <w:r w:rsidRPr="00014AAD">
        <w:t>soustavy</w:t>
      </w:r>
      <w:r>
        <w:t xml:space="preserve"> </w:t>
      </w:r>
      <w:r w:rsidRPr="00014AAD">
        <w:t>poskytuje</w:t>
      </w:r>
      <w:r>
        <w:t xml:space="preserve"> </w:t>
      </w:r>
      <w:r w:rsidRPr="00014AAD">
        <w:t>přeshraniční</w:t>
      </w:r>
      <w:r>
        <w:t xml:space="preserve"> </w:t>
      </w:r>
      <w:r w:rsidRPr="00014AAD">
        <w:t>přenos</w:t>
      </w:r>
      <w:r>
        <w:t xml:space="preserve"> </w:t>
      </w:r>
      <w:r w:rsidRPr="00014AAD">
        <w:t>elektřiny</w:t>
      </w:r>
      <w:r>
        <w:t xml:space="preserve"> </w:t>
      </w:r>
      <w:r w:rsidRPr="00014AAD">
        <w:t>účastníkům</w:t>
      </w:r>
      <w:r>
        <w:t xml:space="preserve"> </w:t>
      </w:r>
      <w:r w:rsidRPr="00014AAD">
        <w:t>trhu</w:t>
      </w:r>
      <w:r>
        <w:t xml:space="preserve"> </w:t>
      </w:r>
      <w:r w:rsidRPr="00014AAD">
        <w:t>s</w:t>
      </w:r>
      <w:r>
        <w:t xml:space="preserve"> </w:t>
      </w:r>
      <w:r w:rsidRPr="00014AAD">
        <w:t>elektřinou,</w:t>
      </w:r>
    </w:p>
    <w:p w14:paraId="5AEC52A0" w14:textId="7BF59DF2" w:rsidR="00920C2F" w:rsidRDefault="00920C2F" w:rsidP="002E6AEA">
      <w:pPr>
        <w:pStyle w:val="Textparagrafu"/>
        <w:tabs>
          <w:tab w:val="left" w:pos="420"/>
        </w:tabs>
        <w:spacing w:before="0"/>
        <w:ind w:left="426" w:hanging="426"/>
      </w:pPr>
      <w:r w:rsidRPr="00014AAD">
        <w:t>f)</w:t>
      </w:r>
      <w:r>
        <w:tab/>
      </w:r>
      <w:r w:rsidRPr="00014AAD">
        <w:t>v</w:t>
      </w:r>
      <w:r>
        <w:t xml:space="preserve"> </w:t>
      </w:r>
      <w:r w:rsidRPr="00014AAD">
        <w:t>případě</w:t>
      </w:r>
      <w:r>
        <w:t xml:space="preserve"> </w:t>
      </w:r>
      <w:r w:rsidRPr="00014AAD">
        <w:t>existujícího</w:t>
      </w:r>
      <w:r>
        <w:t xml:space="preserve"> </w:t>
      </w:r>
      <w:r w:rsidRPr="00014AAD">
        <w:t>či</w:t>
      </w:r>
      <w:r>
        <w:t xml:space="preserve"> </w:t>
      </w:r>
      <w:r w:rsidRPr="00014AAD">
        <w:t>hrozícího</w:t>
      </w:r>
      <w:r>
        <w:t xml:space="preserve"> </w:t>
      </w:r>
      <w:r w:rsidRPr="00014AAD">
        <w:t>nedostatku</w:t>
      </w:r>
      <w:r>
        <w:t xml:space="preserve"> </w:t>
      </w:r>
      <w:r w:rsidRPr="00014AAD">
        <w:t>kapacity</w:t>
      </w:r>
      <w:r>
        <w:t xml:space="preserve"> </w:t>
      </w:r>
      <w:r w:rsidRPr="00014AAD">
        <w:t>přenosové</w:t>
      </w:r>
      <w:r>
        <w:t xml:space="preserve"> </w:t>
      </w:r>
      <w:r w:rsidRPr="00014AAD">
        <w:t>soustavy</w:t>
      </w:r>
      <w:r>
        <w:t xml:space="preserve"> </w:t>
      </w:r>
      <w:r w:rsidRPr="00014AAD">
        <w:t>informuje</w:t>
      </w:r>
      <w:r>
        <w:t xml:space="preserve"> </w:t>
      </w:r>
      <w:r w:rsidRPr="00014AAD">
        <w:t>dotčené</w:t>
      </w:r>
      <w:r>
        <w:t xml:space="preserve"> </w:t>
      </w:r>
      <w:r w:rsidRPr="00014AAD">
        <w:t>účastníky</w:t>
      </w:r>
      <w:r>
        <w:t xml:space="preserve"> </w:t>
      </w:r>
      <w:r w:rsidRPr="00014AAD">
        <w:t>trhu</w:t>
      </w:r>
      <w:r>
        <w:t xml:space="preserve"> </w:t>
      </w:r>
      <w:r w:rsidRPr="00014AAD">
        <w:t>s</w:t>
      </w:r>
      <w:r>
        <w:t xml:space="preserve"> </w:t>
      </w:r>
      <w:r w:rsidRPr="00014AAD">
        <w:t>elektřinou</w:t>
      </w:r>
      <w:r>
        <w:t xml:space="preserve"> </w:t>
      </w:r>
      <w:r w:rsidRPr="00014AAD">
        <w:t>na</w:t>
      </w:r>
      <w:r>
        <w:t xml:space="preserve"> </w:t>
      </w:r>
      <w:r w:rsidRPr="00014AAD">
        <w:t>základě</w:t>
      </w:r>
      <w:r>
        <w:t xml:space="preserve"> </w:t>
      </w:r>
      <w:r w:rsidRPr="00014AAD">
        <w:t>jejich</w:t>
      </w:r>
      <w:r>
        <w:t xml:space="preserve"> </w:t>
      </w:r>
      <w:r w:rsidRPr="00014AAD">
        <w:t>žádosti</w:t>
      </w:r>
      <w:r>
        <w:t xml:space="preserve"> </w:t>
      </w:r>
      <w:r w:rsidRPr="00014AAD">
        <w:t>o</w:t>
      </w:r>
      <w:r>
        <w:t xml:space="preserve"> </w:t>
      </w:r>
      <w:r w:rsidRPr="00014AAD">
        <w:t>důvodech,</w:t>
      </w:r>
      <w:r>
        <w:t xml:space="preserve"> </w:t>
      </w:r>
      <w:r w:rsidRPr="00014AAD">
        <w:t>pro</w:t>
      </w:r>
      <w:r>
        <w:t xml:space="preserve"> </w:t>
      </w:r>
      <w:r w:rsidRPr="00014AAD">
        <w:t>které</w:t>
      </w:r>
      <w:r>
        <w:t xml:space="preserve"> </w:t>
      </w:r>
      <w:r w:rsidRPr="00014AAD">
        <w:t>neuskutečnil</w:t>
      </w:r>
      <w:r>
        <w:t xml:space="preserve"> </w:t>
      </w:r>
      <w:r w:rsidRPr="00014AAD">
        <w:t>přenos</w:t>
      </w:r>
      <w:r>
        <w:t xml:space="preserve"> </w:t>
      </w:r>
      <w:r w:rsidRPr="00014AAD">
        <w:t>elektřiny.</w:t>
      </w:r>
    </w:p>
    <w:p w14:paraId="372AACCD" w14:textId="77777777" w:rsidR="00920C2F" w:rsidRDefault="00920C2F" w:rsidP="0010420C">
      <w:pPr>
        <w:pStyle w:val="Textparagrafu"/>
        <w:spacing w:before="120" w:after="120"/>
      </w:pPr>
      <w:r w:rsidRPr="00014AAD">
        <w:t>(2)</w:t>
      </w:r>
      <w:r>
        <w:t xml:space="preserve"> </w:t>
      </w:r>
      <w:r w:rsidRPr="00014AAD">
        <w:t>Provozovatel</w:t>
      </w:r>
      <w:r>
        <w:t xml:space="preserve"> </w:t>
      </w:r>
      <w:r w:rsidRPr="00014AAD">
        <w:t>přenosové</w:t>
      </w:r>
      <w:r>
        <w:t xml:space="preserve"> </w:t>
      </w:r>
      <w:r w:rsidRPr="00014AAD">
        <w:t>soustavy</w:t>
      </w:r>
      <w:r>
        <w:t xml:space="preserve"> </w:t>
      </w:r>
      <w:r w:rsidRPr="00014AAD">
        <w:t>nesmí</w:t>
      </w:r>
      <w:r>
        <w:t xml:space="preserve"> </w:t>
      </w:r>
      <w:r w:rsidRPr="00014AAD">
        <w:t>být</w:t>
      </w:r>
      <w:r>
        <w:t xml:space="preserve"> </w:t>
      </w:r>
      <w:r w:rsidRPr="00014AAD">
        <w:t>držitelem</w:t>
      </w:r>
      <w:r>
        <w:t xml:space="preserve"> </w:t>
      </w:r>
      <w:r w:rsidRPr="00014AAD">
        <w:t>jiné</w:t>
      </w:r>
      <w:r>
        <w:t xml:space="preserve"> </w:t>
      </w:r>
      <w:r w:rsidRPr="00014AAD">
        <w:t>licence</w:t>
      </w:r>
      <w:r>
        <w:t xml:space="preserve"> </w:t>
      </w:r>
      <w:r w:rsidRPr="00014AAD">
        <w:t>udělované</w:t>
      </w:r>
      <w:r>
        <w:t xml:space="preserve"> </w:t>
      </w:r>
      <w:r w:rsidRPr="00014AAD">
        <w:t>podle</w:t>
      </w:r>
      <w:r>
        <w:t xml:space="preserve"> </w:t>
      </w:r>
      <w:r w:rsidRPr="00014AAD">
        <w:t>tohoto</w:t>
      </w:r>
      <w:r>
        <w:t xml:space="preserve"> </w:t>
      </w:r>
      <w:r w:rsidRPr="00014AAD">
        <w:t>zákona</w:t>
      </w:r>
      <w:r>
        <w:t xml:space="preserve"> </w:t>
      </w:r>
      <w:r w:rsidRPr="00014AAD">
        <w:t>než</w:t>
      </w:r>
      <w:r>
        <w:t xml:space="preserve"> </w:t>
      </w:r>
      <w:r w:rsidRPr="00014AAD">
        <w:t>licence</w:t>
      </w:r>
      <w:r>
        <w:t xml:space="preserve"> </w:t>
      </w:r>
      <w:r w:rsidRPr="00014AAD">
        <w:t>na</w:t>
      </w:r>
      <w:r>
        <w:t xml:space="preserve"> </w:t>
      </w:r>
      <w:r w:rsidRPr="00014AAD">
        <w:t>přenos</w:t>
      </w:r>
      <w:r>
        <w:t xml:space="preserve"> </w:t>
      </w:r>
      <w:r w:rsidRPr="00014AAD">
        <w:t>elektřiny.</w:t>
      </w:r>
    </w:p>
    <w:p w14:paraId="7B3404CB" w14:textId="77777777" w:rsidR="00920C2F" w:rsidRDefault="00920C2F" w:rsidP="0010420C">
      <w:pPr>
        <w:pStyle w:val="Textparagrafu"/>
        <w:spacing w:before="120" w:after="120"/>
      </w:pPr>
      <w:r w:rsidRPr="00014AAD">
        <w:t>(3)</w:t>
      </w:r>
      <w:r>
        <w:t xml:space="preserve"> </w:t>
      </w:r>
      <w:r w:rsidRPr="00014AAD">
        <w:t>Provozovatel</w:t>
      </w:r>
      <w:r>
        <w:t xml:space="preserve"> </w:t>
      </w:r>
      <w:r w:rsidRPr="00014AAD">
        <w:t>přenosové</w:t>
      </w:r>
      <w:r>
        <w:t xml:space="preserve"> </w:t>
      </w:r>
      <w:r w:rsidRPr="00014AAD">
        <w:t>soustavy</w:t>
      </w:r>
      <w:r>
        <w:t xml:space="preserve"> </w:t>
      </w:r>
      <w:r w:rsidRPr="00014AAD">
        <w:t>má</w:t>
      </w:r>
      <w:r>
        <w:t xml:space="preserve"> </w:t>
      </w:r>
      <w:r w:rsidRPr="00014AAD">
        <w:t>právo</w:t>
      </w:r>
    </w:p>
    <w:p w14:paraId="15A8D529" w14:textId="3CE07CBD" w:rsidR="00920C2F" w:rsidRDefault="00920C2F" w:rsidP="002E6AEA">
      <w:pPr>
        <w:pStyle w:val="Textparagrafu"/>
        <w:tabs>
          <w:tab w:val="left" w:pos="420"/>
        </w:tabs>
        <w:spacing w:before="0"/>
        <w:ind w:left="426" w:hanging="426"/>
      </w:pPr>
      <w:r w:rsidRPr="00014AAD">
        <w:t>a)</w:t>
      </w:r>
      <w:r>
        <w:tab/>
      </w:r>
      <w:r w:rsidRPr="00014AAD">
        <w:t>zřizovat</w:t>
      </w:r>
      <w:r>
        <w:t xml:space="preserve"> </w:t>
      </w:r>
      <w:r w:rsidRPr="00014AAD">
        <w:t>a</w:t>
      </w:r>
      <w:r>
        <w:t xml:space="preserve"> </w:t>
      </w:r>
      <w:r w:rsidRPr="00014AAD">
        <w:t>provozovat</w:t>
      </w:r>
      <w:r>
        <w:t xml:space="preserve"> </w:t>
      </w:r>
      <w:r w:rsidRPr="00014AAD">
        <w:t>vlastní</w:t>
      </w:r>
      <w:r>
        <w:t xml:space="preserve"> </w:t>
      </w:r>
      <w:r w:rsidRPr="00014AAD">
        <w:t>telekomunikační</w:t>
      </w:r>
      <w:r>
        <w:t xml:space="preserve"> </w:t>
      </w:r>
      <w:r w:rsidRPr="00014AAD">
        <w:t>síť</w:t>
      </w:r>
      <w:r>
        <w:t xml:space="preserve"> </w:t>
      </w:r>
      <w:r w:rsidRPr="00014AAD">
        <w:t>k</w:t>
      </w:r>
      <w:r>
        <w:t xml:space="preserve"> </w:t>
      </w:r>
      <w:r w:rsidRPr="00014AAD">
        <w:t>řízení,</w:t>
      </w:r>
      <w:r>
        <w:t xml:space="preserve"> </w:t>
      </w:r>
      <w:r w:rsidRPr="00014AAD">
        <w:t>měření,</w:t>
      </w:r>
      <w:r>
        <w:t xml:space="preserve"> </w:t>
      </w:r>
      <w:r w:rsidRPr="00014AAD">
        <w:t>zabezpečování</w:t>
      </w:r>
      <w:r>
        <w:t xml:space="preserve"> </w:t>
      </w:r>
      <w:r w:rsidRPr="00014AAD">
        <w:t>a</w:t>
      </w:r>
      <w:r>
        <w:t xml:space="preserve"> </w:t>
      </w:r>
      <w:r w:rsidRPr="00014AAD">
        <w:t>automatizaci</w:t>
      </w:r>
      <w:r>
        <w:t xml:space="preserve"> </w:t>
      </w:r>
      <w:r w:rsidRPr="00014AAD">
        <w:t>provozu</w:t>
      </w:r>
      <w:r>
        <w:t xml:space="preserve"> </w:t>
      </w:r>
      <w:r w:rsidRPr="00014AAD">
        <w:t>přenosové</w:t>
      </w:r>
      <w:r>
        <w:t xml:space="preserve"> </w:t>
      </w:r>
      <w:r w:rsidRPr="00014AAD">
        <w:t>soustavy</w:t>
      </w:r>
      <w:r>
        <w:t xml:space="preserve"> </w:t>
      </w:r>
      <w:r w:rsidRPr="00014AAD">
        <w:t>a</w:t>
      </w:r>
      <w:r>
        <w:t xml:space="preserve"> </w:t>
      </w:r>
      <w:r w:rsidRPr="00014AAD">
        <w:t>k</w:t>
      </w:r>
      <w:r>
        <w:t xml:space="preserve"> </w:t>
      </w:r>
      <w:r w:rsidRPr="00014AAD">
        <w:t>přenosu</w:t>
      </w:r>
      <w:r>
        <w:t xml:space="preserve"> </w:t>
      </w:r>
      <w:r w:rsidRPr="00014AAD">
        <w:t>informací</w:t>
      </w:r>
      <w:r>
        <w:t xml:space="preserve"> </w:t>
      </w:r>
      <w:r w:rsidRPr="00014AAD">
        <w:t>pro</w:t>
      </w:r>
      <w:r>
        <w:t xml:space="preserve"> </w:t>
      </w:r>
      <w:r w:rsidRPr="00014AAD">
        <w:t>činnost</w:t>
      </w:r>
      <w:r>
        <w:t xml:space="preserve"> </w:t>
      </w:r>
      <w:r w:rsidRPr="00014AAD">
        <w:t>výpočetní</w:t>
      </w:r>
      <w:r>
        <w:t xml:space="preserve"> </w:t>
      </w:r>
      <w:r w:rsidRPr="00014AAD">
        <w:t>techniky</w:t>
      </w:r>
      <w:r>
        <w:t xml:space="preserve"> </w:t>
      </w:r>
      <w:r w:rsidRPr="00014AAD">
        <w:t>a</w:t>
      </w:r>
      <w:r>
        <w:t xml:space="preserve"> </w:t>
      </w:r>
      <w:r w:rsidRPr="00014AAD">
        <w:t>informačních</w:t>
      </w:r>
      <w:r>
        <w:t xml:space="preserve"> </w:t>
      </w:r>
      <w:r w:rsidRPr="00014AAD">
        <w:t>systémů,</w:t>
      </w:r>
    </w:p>
    <w:p w14:paraId="090651A7" w14:textId="216A582D" w:rsidR="00920C2F" w:rsidRDefault="00920C2F" w:rsidP="002E6AEA">
      <w:pPr>
        <w:pStyle w:val="Textparagrafu"/>
        <w:tabs>
          <w:tab w:val="left" w:pos="420"/>
        </w:tabs>
        <w:spacing w:before="0"/>
        <w:ind w:left="426" w:hanging="426"/>
      </w:pPr>
      <w:r w:rsidRPr="00014AAD">
        <w:t>b)</w:t>
      </w:r>
      <w:r>
        <w:tab/>
      </w:r>
      <w:r w:rsidRPr="00014AAD">
        <w:t>obstarávat</w:t>
      </w:r>
      <w:r>
        <w:t xml:space="preserve"> </w:t>
      </w:r>
      <w:r w:rsidRPr="00014AAD">
        <w:t>za</w:t>
      </w:r>
      <w:r>
        <w:t xml:space="preserve"> </w:t>
      </w:r>
      <w:r w:rsidRPr="00014AAD">
        <w:t>nejnižší</w:t>
      </w:r>
      <w:r>
        <w:t xml:space="preserve"> </w:t>
      </w:r>
      <w:r w:rsidRPr="00014AAD">
        <w:t>náklady</w:t>
      </w:r>
      <w:r>
        <w:t xml:space="preserve"> </w:t>
      </w:r>
      <w:r w:rsidRPr="00014AAD">
        <w:t>podpůrné</w:t>
      </w:r>
      <w:r>
        <w:t xml:space="preserve"> </w:t>
      </w:r>
      <w:r w:rsidRPr="00014AAD">
        <w:t>služby</w:t>
      </w:r>
      <w:r>
        <w:t xml:space="preserve"> </w:t>
      </w:r>
      <w:r w:rsidRPr="00014AAD">
        <w:t>a</w:t>
      </w:r>
      <w:r>
        <w:t xml:space="preserve"> </w:t>
      </w:r>
      <w:r w:rsidRPr="00014AAD">
        <w:t>elektřinu</w:t>
      </w:r>
      <w:r>
        <w:t xml:space="preserve"> </w:t>
      </w:r>
      <w:r w:rsidRPr="00014AAD">
        <w:t>pro</w:t>
      </w:r>
      <w:r>
        <w:t xml:space="preserve"> </w:t>
      </w:r>
      <w:r w:rsidRPr="00014AAD">
        <w:t>krytí</w:t>
      </w:r>
      <w:r>
        <w:t xml:space="preserve"> </w:t>
      </w:r>
      <w:r w:rsidRPr="00014AAD">
        <w:t>ztrát</w:t>
      </w:r>
      <w:r>
        <w:t xml:space="preserve"> </w:t>
      </w:r>
      <w:r w:rsidRPr="00014AAD">
        <w:t>elektřiny</w:t>
      </w:r>
      <w:r>
        <w:t xml:space="preserve"> </w:t>
      </w:r>
      <w:r w:rsidRPr="00014AAD">
        <w:t>v</w:t>
      </w:r>
      <w:r>
        <w:t xml:space="preserve"> </w:t>
      </w:r>
      <w:r w:rsidRPr="00014AAD">
        <w:t>přenosové</w:t>
      </w:r>
      <w:r>
        <w:t xml:space="preserve"> </w:t>
      </w:r>
      <w:r w:rsidRPr="00014AAD">
        <w:t>soustavě</w:t>
      </w:r>
      <w:r>
        <w:t xml:space="preserve"> </w:t>
      </w:r>
      <w:r w:rsidRPr="00014AAD">
        <w:t>a</w:t>
      </w:r>
      <w:r>
        <w:t xml:space="preserve"> </w:t>
      </w:r>
      <w:r w:rsidRPr="00014AAD">
        <w:t>pro</w:t>
      </w:r>
      <w:r>
        <w:t xml:space="preserve"> </w:t>
      </w:r>
      <w:r w:rsidRPr="00014AAD">
        <w:t>vlastní</w:t>
      </w:r>
      <w:r>
        <w:t xml:space="preserve"> </w:t>
      </w:r>
      <w:r w:rsidRPr="00014AAD">
        <w:t>potřebu;</w:t>
      </w:r>
      <w:r>
        <w:t xml:space="preserve"> </w:t>
      </w:r>
      <w:r w:rsidRPr="00014AAD">
        <w:t>pro</w:t>
      </w:r>
      <w:r>
        <w:t xml:space="preserve"> </w:t>
      </w:r>
      <w:r w:rsidRPr="00014AAD">
        <w:t>řízení</w:t>
      </w:r>
      <w:r>
        <w:t xml:space="preserve"> </w:t>
      </w:r>
      <w:r w:rsidRPr="00014AAD">
        <w:t>rovnováhy</w:t>
      </w:r>
      <w:r>
        <w:t xml:space="preserve"> </w:t>
      </w:r>
      <w:r w:rsidRPr="00014AAD">
        <w:t>mezi</w:t>
      </w:r>
      <w:r>
        <w:t xml:space="preserve"> </w:t>
      </w:r>
      <w:r w:rsidRPr="00014AAD">
        <w:t>výrobou</w:t>
      </w:r>
      <w:r>
        <w:t xml:space="preserve"> </w:t>
      </w:r>
      <w:r w:rsidRPr="00014AAD">
        <w:t>a</w:t>
      </w:r>
      <w:r>
        <w:t xml:space="preserve"> </w:t>
      </w:r>
      <w:r w:rsidRPr="00014AAD">
        <w:t>spotřebou</w:t>
      </w:r>
      <w:r>
        <w:t xml:space="preserve"> </w:t>
      </w:r>
      <w:r w:rsidRPr="00014AAD">
        <w:t>a</w:t>
      </w:r>
      <w:r>
        <w:t xml:space="preserve"> </w:t>
      </w:r>
      <w:r w:rsidRPr="00014AAD">
        <w:t>pro</w:t>
      </w:r>
      <w:r>
        <w:t xml:space="preserve"> </w:t>
      </w:r>
      <w:r w:rsidRPr="00014AAD">
        <w:t>řízení</w:t>
      </w:r>
      <w:r>
        <w:t xml:space="preserve"> </w:t>
      </w:r>
      <w:r w:rsidRPr="00014AAD">
        <w:t>toků</w:t>
      </w:r>
      <w:r>
        <w:t xml:space="preserve"> </w:t>
      </w:r>
      <w:r w:rsidRPr="00014AAD">
        <w:t>elektřiny</w:t>
      </w:r>
      <w:r>
        <w:t xml:space="preserve"> </w:t>
      </w:r>
      <w:r w:rsidRPr="00014AAD">
        <w:t>podle</w:t>
      </w:r>
      <w:r>
        <w:t xml:space="preserve"> </w:t>
      </w:r>
      <w:r w:rsidRPr="00014AAD">
        <w:t>odstavce</w:t>
      </w:r>
      <w:r>
        <w:t xml:space="preserve"> </w:t>
      </w:r>
      <w:r w:rsidRPr="00014AAD">
        <w:t>1</w:t>
      </w:r>
      <w:r>
        <w:t xml:space="preserve"> </w:t>
      </w:r>
      <w:r w:rsidRPr="00014AAD">
        <w:t>písm.</w:t>
      </w:r>
      <w:r>
        <w:t xml:space="preserve"> </w:t>
      </w:r>
      <w:r w:rsidRPr="00014AAD">
        <w:t>c)</w:t>
      </w:r>
      <w:r>
        <w:t xml:space="preserve"> </w:t>
      </w:r>
      <w:r w:rsidRPr="00014AAD">
        <w:t>obstarávat</w:t>
      </w:r>
      <w:r>
        <w:t xml:space="preserve"> </w:t>
      </w:r>
      <w:r w:rsidRPr="00014AAD">
        <w:t>regulační</w:t>
      </w:r>
      <w:r>
        <w:t xml:space="preserve"> </w:t>
      </w:r>
      <w:r w:rsidRPr="00014AAD">
        <w:t>energii,</w:t>
      </w:r>
    </w:p>
    <w:p w14:paraId="52771948" w14:textId="3B68561A" w:rsidR="00920C2F" w:rsidRPr="00014AAD" w:rsidRDefault="00920C2F" w:rsidP="002E6AEA">
      <w:pPr>
        <w:pStyle w:val="Textparagrafu"/>
        <w:tabs>
          <w:tab w:val="left" w:pos="420"/>
        </w:tabs>
        <w:spacing w:before="0"/>
        <w:ind w:left="426" w:hanging="426"/>
      </w:pPr>
      <w:r w:rsidRPr="00014AAD">
        <w:t>c)</w:t>
      </w:r>
      <w:r>
        <w:tab/>
      </w:r>
      <w:r w:rsidRPr="00014AAD">
        <w:t>omezit</w:t>
      </w:r>
      <w:r>
        <w:t xml:space="preserve"> </w:t>
      </w:r>
      <w:r w:rsidRPr="00014AAD">
        <w:t>nebo</w:t>
      </w:r>
      <w:r>
        <w:t xml:space="preserve"> </w:t>
      </w:r>
      <w:r w:rsidRPr="00014AAD">
        <w:t>přerušit</w:t>
      </w:r>
      <w:r>
        <w:t xml:space="preserve"> </w:t>
      </w:r>
      <w:r w:rsidRPr="00014AAD">
        <w:t>v</w:t>
      </w:r>
      <w:r>
        <w:t xml:space="preserve"> </w:t>
      </w:r>
      <w:r w:rsidRPr="00014AAD">
        <w:t>nezbytném</w:t>
      </w:r>
      <w:r>
        <w:t xml:space="preserve"> </w:t>
      </w:r>
      <w:r w:rsidRPr="00014AAD">
        <w:t>rozsahu</w:t>
      </w:r>
      <w:r>
        <w:t xml:space="preserve"> </w:t>
      </w:r>
      <w:r w:rsidRPr="00014AAD">
        <w:t>dodávku</w:t>
      </w:r>
      <w:r>
        <w:t xml:space="preserve"> </w:t>
      </w:r>
      <w:r w:rsidRPr="00014AAD">
        <w:t>elektřiny</w:t>
      </w:r>
      <w:r>
        <w:t xml:space="preserve"> </w:t>
      </w:r>
      <w:r w:rsidRPr="00014AAD">
        <w:t>účastníkům</w:t>
      </w:r>
      <w:r>
        <w:t xml:space="preserve"> </w:t>
      </w:r>
      <w:r w:rsidRPr="00014AAD">
        <w:t>trhu</w:t>
      </w:r>
      <w:r>
        <w:t xml:space="preserve"> </w:t>
      </w:r>
      <w:r w:rsidRPr="00014AAD">
        <w:t>s</w:t>
      </w:r>
      <w:r>
        <w:t xml:space="preserve"> </w:t>
      </w:r>
      <w:r w:rsidRPr="00014AAD">
        <w:t>elektřinou</w:t>
      </w:r>
    </w:p>
    <w:p w14:paraId="3E11C00A" w14:textId="2893C06B" w:rsidR="00920C2F" w:rsidRPr="00014AAD" w:rsidRDefault="00920C2F" w:rsidP="0010420C">
      <w:pPr>
        <w:pStyle w:val="Textparagrafu"/>
        <w:tabs>
          <w:tab w:val="left" w:pos="420"/>
          <w:tab w:val="left" w:pos="854"/>
        </w:tabs>
        <w:spacing w:before="0"/>
        <w:ind w:left="850" w:hanging="425"/>
      </w:pPr>
      <w:r w:rsidRPr="00014AAD">
        <w:t>1.</w:t>
      </w:r>
      <w:r>
        <w:tab/>
      </w:r>
      <w:r w:rsidRPr="00014AAD">
        <w:t>při</w:t>
      </w:r>
      <w:r>
        <w:t xml:space="preserve"> </w:t>
      </w:r>
      <w:r w:rsidRPr="00014AAD">
        <w:t>bezprostředním</w:t>
      </w:r>
      <w:r>
        <w:t xml:space="preserve"> </w:t>
      </w:r>
      <w:r w:rsidRPr="00014AAD">
        <w:t>ohrožení</w:t>
      </w:r>
      <w:r>
        <w:t xml:space="preserve"> </w:t>
      </w:r>
      <w:r w:rsidRPr="00014AAD">
        <w:t>života,</w:t>
      </w:r>
      <w:r>
        <w:t xml:space="preserve"> </w:t>
      </w:r>
      <w:r w:rsidRPr="00014AAD">
        <w:t>zdraví</w:t>
      </w:r>
      <w:r>
        <w:t xml:space="preserve"> </w:t>
      </w:r>
      <w:r w:rsidRPr="00014AAD">
        <w:t>nebo</w:t>
      </w:r>
      <w:r>
        <w:t xml:space="preserve"> </w:t>
      </w:r>
      <w:r w:rsidRPr="00014AAD">
        <w:t>majetku</w:t>
      </w:r>
      <w:r>
        <w:t xml:space="preserve"> </w:t>
      </w:r>
      <w:r w:rsidRPr="00014AAD">
        <w:t>osob</w:t>
      </w:r>
      <w:r>
        <w:t xml:space="preserve"> </w:t>
      </w:r>
      <w:r w:rsidRPr="00014AAD">
        <w:t>a</w:t>
      </w:r>
      <w:r>
        <w:t xml:space="preserve"> </w:t>
      </w:r>
      <w:r w:rsidRPr="00014AAD">
        <w:t>při</w:t>
      </w:r>
      <w:r>
        <w:t xml:space="preserve"> </w:t>
      </w:r>
      <w:r w:rsidRPr="00014AAD">
        <w:t>likvidaci</w:t>
      </w:r>
      <w:r>
        <w:t xml:space="preserve"> </w:t>
      </w:r>
      <w:r w:rsidRPr="00014AAD">
        <w:t>těchto</w:t>
      </w:r>
      <w:r>
        <w:t xml:space="preserve"> </w:t>
      </w:r>
      <w:r w:rsidRPr="00014AAD">
        <w:t>stavů,</w:t>
      </w:r>
    </w:p>
    <w:p w14:paraId="4A011427" w14:textId="6E52F907" w:rsidR="00920C2F" w:rsidRPr="00014AAD" w:rsidRDefault="00920C2F" w:rsidP="0010420C">
      <w:pPr>
        <w:pStyle w:val="Textparagrafu"/>
        <w:tabs>
          <w:tab w:val="left" w:pos="420"/>
          <w:tab w:val="left" w:pos="854"/>
        </w:tabs>
        <w:spacing w:before="0"/>
        <w:ind w:left="850" w:hanging="425"/>
      </w:pPr>
      <w:r w:rsidRPr="00014AAD">
        <w:t>2.</w:t>
      </w:r>
      <w:r>
        <w:tab/>
      </w:r>
      <w:r w:rsidRPr="00014AAD">
        <w:t>při</w:t>
      </w:r>
      <w:r>
        <w:t xml:space="preserve"> </w:t>
      </w:r>
      <w:r w:rsidRPr="00014AAD">
        <w:t>předcházení</w:t>
      </w:r>
      <w:r>
        <w:t xml:space="preserve"> </w:t>
      </w:r>
      <w:r w:rsidRPr="00014AAD">
        <w:t>stavu</w:t>
      </w:r>
      <w:r>
        <w:t xml:space="preserve"> </w:t>
      </w:r>
      <w:r w:rsidRPr="00014AAD">
        <w:t>nouze</w:t>
      </w:r>
      <w:r>
        <w:t xml:space="preserve"> </w:t>
      </w:r>
      <w:r w:rsidRPr="00014AAD">
        <w:t>nebo</w:t>
      </w:r>
      <w:r>
        <w:t xml:space="preserve"> </w:t>
      </w:r>
      <w:r w:rsidRPr="00014AAD">
        <w:t>při</w:t>
      </w:r>
      <w:r>
        <w:t xml:space="preserve"> </w:t>
      </w:r>
      <w:r w:rsidRPr="00014AAD">
        <w:t>stavech</w:t>
      </w:r>
      <w:r>
        <w:t xml:space="preserve"> </w:t>
      </w:r>
      <w:r w:rsidRPr="00014AAD">
        <w:t>nouze,</w:t>
      </w:r>
    </w:p>
    <w:p w14:paraId="266EF1D0" w14:textId="2D0C0DE0" w:rsidR="00920C2F" w:rsidRPr="00014AAD" w:rsidRDefault="00920C2F" w:rsidP="0010420C">
      <w:pPr>
        <w:pStyle w:val="Textparagrafu"/>
        <w:tabs>
          <w:tab w:val="left" w:pos="420"/>
          <w:tab w:val="left" w:pos="854"/>
        </w:tabs>
        <w:spacing w:before="0"/>
        <w:ind w:left="850" w:hanging="425"/>
      </w:pPr>
      <w:r w:rsidRPr="00014AAD">
        <w:t>3.</w:t>
      </w:r>
      <w:r>
        <w:tab/>
      </w:r>
      <w:r w:rsidRPr="00014AAD">
        <w:t>při</w:t>
      </w:r>
      <w:r>
        <w:t xml:space="preserve"> </w:t>
      </w:r>
      <w:r w:rsidRPr="00014AAD">
        <w:t>neoprávněném</w:t>
      </w:r>
      <w:r>
        <w:t xml:space="preserve"> </w:t>
      </w:r>
      <w:r w:rsidRPr="00014AAD">
        <w:t>přenosu</w:t>
      </w:r>
      <w:r>
        <w:t xml:space="preserve"> </w:t>
      </w:r>
      <w:r w:rsidRPr="00014AAD">
        <w:t>elektřiny</w:t>
      </w:r>
      <w:r>
        <w:t xml:space="preserve"> </w:t>
      </w:r>
      <w:r w:rsidRPr="00014AAD">
        <w:t>podle</w:t>
      </w:r>
      <w:r>
        <w:t xml:space="preserve"> </w:t>
      </w:r>
      <w:r w:rsidRPr="00014AAD">
        <w:t>§</w:t>
      </w:r>
      <w:r>
        <w:t xml:space="preserve"> </w:t>
      </w:r>
      <w:r w:rsidRPr="00014AAD">
        <w:t>53,</w:t>
      </w:r>
    </w:p>
    <w:p w14:paraId="093F83A5" w14:textId="55A11503" w:rsidR="00920C2F" w:rsidRPr="00014AAD" w:rsidRDefault="00920C2F" w:rsidP="0010420C">
      <w:pPr>
        <w:pStyle w:val="Textparagrafu"/>
        <w:tabs>
          <w:tab w:val="left" w:pos="420"/>
          <w:tab w:val="left" w:pos="854"/>
        </w:tabs>
        <w:spacing w:before="0"/>
        <w:ind w:left="850" w:hanging="425"/>
      </w:pPr>
      <w:r w:rsidRPr="00014AAD">
        <w:t>4.</w:t>
      </w:r>
      <w:r>
        <w:tab/>
      </w:r>
      <w:r w:rsidRPr="00014AAD">
        <w:t>jestliže</w:t>
      </w:r>
      <w:r>
        <w:t xml:space="preserve"> </w:t>
      </w:r>
      <w:r w:rsidRPr="00014AAD">
        <w:t>mu</w:t>
      </w:r>
      <w:r>
        <w:t xml:space="preserve"> </w:t>
      </w:r>
      <w:r w:rsidRPr="00014AAD">
        <w:t>zákazník</w:t>
      </w:r>
      <w:r>
        <w:t xml:space="preserve"> </w:t>
      </w:r>
      <w:r w:rsidRPr="00014AAD">
        <w:t>neumožní</w:t>
      </w:r>
      <w:r>
        <w:t xml:space="preserve"> </w:t>
      </w:r>
      <w:r w:rsidRPr="00014AAD">
        <w:t>přístup</w:t>
      </w:r>
      <w:r>
        <w:t xml:space="preserve"> </w:t>
      </w:r>
      <w:r w:rsidRPr="00014AAD">
        <w:t>k</w:t>
      </w:r>
      <w:r>
        <w:t xml:space="preserve"> </w:t>
      </w:r>
      <w:r w:rsidRPr="00014AAD">
        <w:t>měřicímu</w:t>
      </w:r>
      <w:r>
        <w:t xml:space="preserve"> </w:t>
      </w:r>
      <w:r w:rsidRPr="00014AAD">
        <w:t>zařízení,</w:t>
      </w:r>
    </w:p>
    <w:p w14:paraId="64AA0491" w14:textId="3D331F05" w:rsidR="00920C2F" w:rsidRPr="00014AAD" w:rsidRDefault="00920C2F" w:rsidP="0010420C">
      <w:pPr>
        <w:pStyle w:val="Textparagrafu"/>
        <w:tabs>
          <w:tab w:val="left" w:pos="420"/>
          <w:tab w:val="left" w:pos="854"/>
        </w:tabs>
        <w:spacing w:before="0"/>
        <w:ind w:left="850" w:hanging="425"/>
      </w:pPr>
      <w:r w:rsidRPr="00014AAD">
        <w:t>5.</w:t>
      </w:r>
      <w:r>
        <w:tab/>
      </w:r>
      <w:r w:rsidRPr="00014AAD">
        <w:t>jestliže</w:t>
      </w:r>
      <w:r>
        <w:t xml:space="preserve"> </w:t>
      </w:r>
      <w:r w:rsidRPr="00014AAD">
        <w:t>se</w:t>
      </w:r>
      <w:r>
        <w:t xml:space="preserve"> </w:t>
      </w:r>
      <w:r w:rsidRPr="00014AAD">
        <w:t>jedná</w:t>
      </w:r>
      <w:r>
        <w:t xml:space="preserve"> </w:t>
      </w:r>
      <w:r w:rsidRPr="00014AAD">
        <w:t>o</w:t>
      </w:r>
      <w:r>
        <w:t xml:space="preserve"> </w:t>
      </w:r>
      <w:r w:rsidRPr="00014AAD">
        <w:t>neoprávněný</w:t>
      </w:r>
      <w:r>
        <w:t xml:space="preserve"> </w:t>
      </w:r>
      <w:r w:rsidRPr="00014AAD">
        <w:t>odběr</w:t>
      </w:r>
      <w:r>
        <w:t xml:space="preserve"> </w:t>
      </w:r>
      <w:r w:rsidRPr="00014AAD">
        <w:t>podle</w:t>
      </w:r>
      <w:r>
        <w:t xml:space="preserve"> </w:t>
      </w:r>
      <w:r w:rsidRPr="00014AAD">
        <w:t>§</w:t>
      </w:r>
      <w:r>
        <w:t xml:space="preserve"> </w:t>
      </w:r>
      <w:r w:rsidRPr="00014AAD">
        <w:t>51,</w:t>
      </w:r>
    </w:p>
    <w:p w14:paraId="697E0E48" w14:textId="5DA263EC" w:rsidR="00920C2F" w:rsidRPr="00014AAD" w:rsidRDefault="00920C2F" w:rsidP="0010420C">
      <w:pPr>
        <w:pStyle w:val="Textparagrafu"/>
        <w:tabs>
          <w:tab w:val="left" w:pos="420"/>
          <w:tab w:val="left" w:pos="854"/>
        </w:tabs>
        <w:spacing w:before="0"/>
        <w:ind w:left="850" w:hanging="425"/>
      </w:pPr>
      <w:r w:rsidRPr="00014AAD">
        <w:t>6.</w:t>
      </w:r>
      <w:r>
        <w:tab/>
      </w:r>
      <w:r w:rsidRPr="00014AAD">
        <w:t>při</w:t>
      </w:r>
      <w:r>
        <w:t xml:space="preserve"> </w:t>
      </w:r>
      <w:r w:rsidRPr="00014AAD">
        <w:t>provádění</w:t>
      </w:r>
      <w:r>
        <w:t xml:space="preserve"> </w:t>
      </w:r>
      <w:r w:rsidRPr="00014AAD">
        <w:t>plánovaných</w:t>
      </w:r>
      <w:r>
        <w:t xml:space="preserve"> </w:t>
      </w:r>
      <w:r w:rsidRPr="00014AAD">
        <w:t>prací</w:t>
      </w:r>
      <w:r>
        <w:t xml:space="preserve"> </w:t>
      </w:r>
      <w:r w:rsidRPr="00014AAD">
        <w:t>na</w:t>
      </w:r>
      <w:r>
        <w:t xml:space="preserve"> </w:t>
      </w:r>
      <w:r w:rsidRPr="00014AAD">
        <w:t>zařízení</w:t>
      </w:r>
      <w:r>
        <w:t xml:space="preserve"> </w:t>
      </w:r>
      <w:r w:rsidRPr="00014AAD">
        <w:t>přenosové</w:t>
      </w:r>
      <w:r>
        <w:t xml:space="preserve"> </w:t>
      </w:r>
      <w:r w:rsidRPr="00014AAD">
        <w:t>soustavy</w:t>
      </w:r>
      <w:r>
        <w:t xml:space="preserve"> </w:t>
      </w:r>
      <w:r w:rsidRPr="00014AAD">
        <w:t>nebo</w:t>
      </w:r>
      <w:r>
        <w:t xml:space="preserve"> </w:t>
      </w:r>
      <w:r w:rsidRPr="00014AAD">
        <w:t>v</w:t>
      </w:r>
      <w:r>
        <w:t xml:space="preserve"> </w:t>
      </w:r>
      <w:r w:rsidRPr="00014AAD">
        <w:t>jeho</w:t>
      </w:r>
      <w:r>
        <w:t xml:space="preserve"> </w:t>
      </w:r>
      <w:r w:rsidRPr="00014AAD">
        <w:t>ochranném</w:t>
      </w:r>
      <w:r>
        <w:t xml:space="preserve"> </w:t>
      </w:r>
      <w:r w:rsidRPr="00014AAD">
        <w:t>pásmu,</w:t>
      </w:r>
      <w:r>
        <w:t xml:space="preserve"> </w:t>
      </w:r>
      <w:r w:rsidRPr="00014AAD">
        <w:t>zejména</w:t>
      </w:r>
      <w:r>
        <w:t xml:space="preserve"> </w:t>
      </w:r>
      <w:r w:rsidRPr="00014AAD">
        <w:t>oprav,</w:t>
      </w:r>
      <w:r>
        <w:t xml:space="preserve"> </w:t>
      </w:r>
      <w:r w:rsidRPr="00014AAD">
        <w:t>rekonstrukcí,</w:t>
      </w:r>
      <w:r>
        <w:t xml:space="preserve"> </w:t>
      </w:r>
      <w:r w:rsidRPr="00014AAD">
        <w:t>údržby</w:t>
      </w:r>
      <w:r>
        <w:t xml:space="preserve"> </w:t>
      </w:r>
      <w:r w:rsidRPr="00014AAD">
        <w:t>a</w:t>
      </w:r>
      <w:r>
        <w:t xml:space="preserve"> </w:t>
      </w:r>
      <w:r w:rsidRPr="00014AAD">
        <w:t>revizí,</w:t>
      </w:r>
    </w:p>
    <w:p w14:paraId="23F6D7AB" w14:textId="680B9336" w:rsidR="00920C2F" w:rsidRPr="00014AAD" w:rsidRDefault="00920C2F" w:rsidP="0010420C">
      <w:pPr>
        <w:pStyle w:val="Textparagrafu"/>
        <w:tabs>
          <w:tab w:val="left" w:pos="420"/>
          <w:tab w:val="left" w:pos="854"/>
        </w:tabs>
        <w:spacing w:before="0"/>
        <w:ind w:left="850" w:hanging="425"/>
      </w:pPr>
      <w:r w:rsidRPr="00014AAD">
        <w:t>7.</w:t>
      </w:r>
      <w:r>
        <w:tab/>
      </w:r>
      <w:r w:rsidRPr="00014AAD">
        <w:t>při</w:t>
      </w:r>
      <w:r>
        <w:t xml:space="preserve"> </w:t>
      </w:r>
      <w:r w:rsidRPr="00014AAD">
        <w:t>vzniku</w:t>
      </w:r>
      <w:r>
        <w:t xml:space="preserve"> </w:t>
      </w:r>
      <w:r w:rsidRPr="00014AAD">
        <w:t>a</w:t>
      </w:r>
      <w:r>
        <w:t xml:space="preserve"> </w:t>
      </w:r>
      <w:r w:rsidRPr="00014AAD">
        <w:t>odstraňování</w:t>
      </w:r>
      <w:r>
        <w:t xml:space="preserve"> </w:t>
      </w:r>
      <w:r w:rsidRPr="00014AAD">
        <w:t>poruch</w:t>
      </w:r>
      <w:r>
        <w:t xml:space="preserve"> </w:t>
      </w:r>
      <w:r w:rsidRPr="00014AAD">
        <w:t>na</w:t>
      </w:r>
      <w:r>
        <w:t xml:space="preserve"> </w:t>
      </w:r>
      <w:r w:rsidRPr="00014AAD">
        <w:t>zařízeních</w:t>
      </w:r>
      <w:r>
        <w:t xml:space="preserve"> </w:t>
      </w:r>
      <w:r w:rsidRPr="00014AAD">
        <w:t>přenosové</w:t>
      </w:r>
      <w:r>
        <w:t xml:space="preserve"> </w:t>
      </w:r>
      <w:r w:rsidRPr="00014AAD">
        <w:t>soustavy</w:t>
      </w:r>
      <w:r>
        <w:t xml:space="preserve"> </w:t>
      </w:r>
      <w:r w:rsidRPr="00014AAD">
        <w:t>nebo</w:t>
      </w:r>
      <w:r>
        <w:t xml:space="preserve"> </w:t>
      </w:r>
      <w:r w:rsidRPr="00014AAD">
        <w:t>distribuční</w:t>
      </w:r>
      <w:r>
        <w:t xml:space="preserve"> </w:t>
      </w:r>
      <w:r w:rsidRPr="00014AAD">
        <w:t>soustavy,</w:t>
      </w:r>
    </w:p>
    <w:p w14:paraId="4FBC8A18" w14:textId="798FF5FB" w:rsidR="00920C2F" w:rsidRPr="00014AAD" w:rsidRDefault="00920C2F" w:rsidP="0010420C">
      <w:pPr>
        <w:pStyle w:val="Textparagrafu"/>
        <w:tabs>
          <w:tab w:val="left" w:pos="420"/>
          <w:tab w:val="left" w:pos="854"/>
        </w:tabs>
        <w:spacing w:before="0"/>
        <w:ind w:left="850" w:hanging="425"/>
      </w:pPr>
      <w:r w:rsidRPr="00014AAD">
        <w:t>8.</w:t>
      </w:r>
      <w:r>
        <w:tab/>
      </w:r>
      <w:r w:rsidRPr="00014AAD">
        <w:t>při</w:t>
      </w:r>
      <w:r>
        <w:t xml:space="preserve"> </w:t>
      </w:r>
      <w:r w:rsidRPr="00014AAD">
        <w:t>odběru</w:t>
      </w:r>
      <w:r>
        <w:t xml:space="preserve"> </w:t>
      </w:r>
      <w:r w:rsidRPr="00014AAD">
        <w:t>elektřiny</w:t>
      </w:r>
      <w:r>
        <w:t xml:space="preserve"> </w:t>
      </w:r>
      <w:r w:rsidRPr="00014AAD">
        <w:t>zařízeními,</w:t>
      </w:r>
      <w:r>
        <w:t xml:space="preserve"> </w:t>
      </w:r>
      <w:r w:rsidRPr="00014AAD">
        <w:t>která</w:t>
      </w:r>
      <w:r>
        <w:t xml:space="preserve"> </w:t>
      </w:r>
      <w:r w:rsidRPr="00014AAD">
        <w:t>ohrožují</w:t>
      </w:r>
      <w:r>
        <w:t xml:space="preserve"> </w:t>
      </w:r>
      <w:r w:rsidRPr="00014AAD">
        <w:t>život,</w:t>
      </w:r>
      <w:r>
        <w:t xml:space="preserve"> </w:t>
      </w:r>
      <w:r w:rsidRPr="00014AAD">
        <w:t>zdraví</w:t>
      </w:r>
      <w:r>
        <w:t xml:space="preserve"> </w:t>
      </w:r>
      <w:r w:rsidRPr="00014AAD">
        <w:t>nebo</w:t>
      </w:r>
      <w:r>
        <w:t xml:space="preserve"> </w:t>
      </w:r>
      <w:r w:rsidRPr="00014AAD">
        <w:t>majetek</w:t>
      </w:r>
      <w:r>
        <w:t xml:space="preserve"> </w:t>
      </w:r>
      <w:r w:rsidRPr="00014AAD">
        <w:t>osob,</w:t>
      </w:r>
    </w:p>
    <w:p w14:paraId="0F0AA5CB" w14:textId="023CAA2B" w:rsidR="00920C2F" w:rsidRPr="00014AAD" w:rsidRDefault="00920C2F" w:rsidP="0010420C">
      <w:pPr>
        <w:pStyle w:val="Textparagrafu"/>
        <w:tabs>
          <w:tab w:val="left" w:pos="420"/>
          <w:tab w:val="left" w:pos="854"/>
        </w:tabs>
        <w:spacing w:before="0"/>
        <w:ind w:left="850" w:hanging="425"/>
      </w:pPr>
      <w:r w:rsidRPr="00014AAD">
        <w:t>9.</w:t>
      </w:r>
      <w:r>
        <w:tab/>
      </w:r>
      <w:r w:rsidRPr="00014AAD">
        <w:t>při</w:t>
      </w:r>
      <w:r>
        <w:t xml:space="preserve"> </w:t>
      </w:r>
      <w:r w:rsidRPr="00014AAD">
        <w:t>odběru</w:t>
      </w:r>
      <w:r>
        <w:t xml:space="preserve"> </w:t>
      </w:r>
      <w:r w:rsidRPr="00014AAD">
        <w:t>elektřiny</w:t>
      </w:r>
      <w:r>
        <w:t xml:space="preserve"> </w:t>
      </w:r>
      <w:r w:rsidRPr="00014AAD">
        <w:t>zařízeními,</w:t>
      </w:r>
      <w:r>
        <w:t xml:space="preserve"> </w:t>
      </w:r>
      <w:r w:rsidRPr="00014AAD">
        <w:t>která</w:t>
      </w:r>
      <w:r>
        <w:t xml:space="preserve"> </w:t>
      </w:r>
      <w:r w:rsidRPr="00014AAD">
        <w:t>ovlivňují</w:t>
      </w:r>
      <w:r>
        <w:t xml:space="preserve"> </w:t>
      </w:r>
      <w:r w:rsidRPr="00014AAD">
        <w:t>kvalitu</w:t>
      </w:r>
      <w:r>
        <w:t xml:space="preserve"> </w:t>
      </w:r>
      <w:r w:rsidRPr="00014AAD">
        <w:t>elektřiny</w:t>
      </w:r>
      <w:r>
        <w:t xml:space="preserve"> </w:t>
      </w:r>
      <w:r w:rsidRPr="00014AAD">
        <w:t>v</w:t>
      </w:r>
      <w:r>
        <w:t xml:space="preserve"> </w:t>
      </w:r>
      <w:r w:rsidRPr="00014AAD">
        <w:t>neprospěch</w:t>
      </w:r>
      <w:r>
        <w:t xml:space="preserve"> </w:t>
      </w:r>
      <w:r w:rsidRPr="00014AAD">
        <w:t>účastníků</w:t>
      </w:r>
      <w:r>
        <w:t xml:space="preserve"> </w:t>
      </w:r>
      <w:r w:rsidRPr="00014AAD">
        <w:t>trhu</w:t>
      </w:r>
      <w:r>
        <w:t xml:space="preserve"> </w:t>
      </w:r>
      <w:r w:rsidRPr="00014AAD">
        <w:t>s</w:t>
      </w:r>
      <w:r>
        <w:t xml:space="preserve"> </w:t>
      </w:r>
      <w:r w:rsidRPr="00014AAD">
        <w:t>elektřinou</w:t>
      </w:r>
      <w:r>
        <w:t xml:space="preserve"> </w:t>
      </w:r>
      <w:r w:rsidRPr="00014AAD">
        <w:t>a</w:t>
      </w:r>
      <w:r>
        <w:t xml:space="preserve"> </w:t>
      </w:r>
      <w:r w:rsidRPr="00014AAD">
        <w:t>zákazník</w:t>
      </w:r>
      <w:r>
        <w:t xml:space="preserve"> </w:t>
      </w:r>
      <w:r w:rsidRPr="00014AAD">
        <w:t>nevybavil</w:t>
      </w:r>
      <w:r>
        <w:t xml:space="preserve"> </w:t>
      </w:r>
      <w:r w:rsidRPr="00014AAD">
        <w:t>tato</w:t>
      </w:r>
      <w:r>
        <w:t xml:space="preserve"> </w:t>
      </w:r>
      <w:r w:rsidRPr="00014AAD">
        <w:t>odběrná</w:t>
      </w:r>
      <w:r>
        <w:t xml:space="preserve"> </w:t>
      </w:r>
      <w:r w:rsidRPr="00014AAD">
        <w:t>zařízení</w:t>
      </w:r>
      <w:r>
        <w:t xml:space="preserve"> </w:t>
      </w:r>
      <w:r w:rsidRPr="00014AAD">
        <w:t>dostupnými</w:t>
      </w:r>
      <w:r>
        <w:t xml:space="preserve"> </w:t>
      </w:r>
      <w:r w:rsidRPr="00014AAD">
        <w:t>technickými</w:t>
      </w:r>
      <w:r>
        <w:t xml:space="preserve"> </w:t>
      </w:r>
      <w:r w:rsidRPr="00014AAD">
        <w:t>prostředky</w:t>
      </w:r>
      <w:r>
        <w:t xml:space="preserve"> </w:t>
      </w:r>
      <w:r w:rsidRPr="00014AAD">
        <w:t>k</w:t>
      </w:r>
      <w:r>
        <w:t xml:space="preserve"> </w:t>
      </w:r>
      <w:r w:rsidRPr="00014AAD">
        <w:t>omezení</w:t>
      </w:r>
      <w:r>
        <w:t xml:space="preserve"> </w:t>
      </w:r>
      <w:r w:rsidRPr="00014AAD">
        <w:t>těchto</w:t>
      </w:r>
      <w:r>
        <w:t xml:space="preserve"> </w:t>
      </w:r>
      <w:r w:rsidRPr="00014AAD">
        <w:t>vlivů,</w:t>
      </w:r>
      <w:r>
        <w:t xml:space="preserve"> </w:t>
      </w:r>
      <w:r w:rsidRPr="00014AAD">
        <w:t>nebo</w:t>
      </w:r>
    </w:p>
    <w:p w14:paraId="268725E1" w14:textId="288428D2" w:rsidR="00920C2F" w:rsidRDefault="00920C2F" w:rsidP="0010420C">
      <w:pPr>
        <w:pStyle w:val="Textparagrafu"/>
        <w:tabs>
          <w:tab w:val="left" w:pos="420"/>
          <w:tab w:val="left" w:pos="854"/>
        </w:tabs>
        <w:spacing w:before="0"/>
        <w:ind w:left="850" w:hanging="425"/>
      </w:pPr>
      <w:r w:rsidRPr="00014AAD">
        <w:t>10.</w:t>
      </w:r>
      <w:r w:rsidR="003569F4">
        <w:tab/>
      </w:r>
      <w:r w:rsidRPr="00014AAD">
        <w:t>v</w:t>
      </w:r>
      <w:r>
        <w:t xml:space="preserve"> </w:t>
      </w:r>
      <w:r w:rsidRPr="00014AAD">
        <w:t>důsledku</w:t>
      </w:r>
      <w:r>
        <w:t xml:space="preserve"> </w:t>
      </w:r>
      <w:r w:rsidRPr="00014AAD">
        <w:t>omezení</w:t>
      </w:r>
      <w:r>
        <w:t xml:space="preserve"> </w:t>
      </w:r>
      <w:r w:rsidRPr="00014AAD">
        <w:t>nebo</w:t>
      </w:r>
      <w:r>
        <w:t xml:space="preserve"> </w:t>
      </w:r>
      <w:r w:rsidRPr="00014AAD">
        <w:t>přerušení</w:t>
      </w:r>
      <w:r>
        <w:t xml:space="preserve"> </w:t>
      </w:r>
      <w:r w:rsidRPr="00014AAD">
        <w:t>přenosu</w:t>
      </w:r>
      <w:r>
        <w:t xml:space="preserve"> </w:t>
      </w:r>
      <w:r w:rsidRPr="00014AAD">
        <w:t>elektřiny</w:t>
      </w:r>
      <w:r>
        <w:t xml:space="preserve"> </w:t>
      </w:r>
      <w:r w:rsidRPr="00014AAD">
        <w:t>provozovateli</w:t>
      </w:r>
      <w:r>
        <w:t xml:space="preserve"> </w:t>
      </w:r>
      <w:r w:rsidRPr="00014AAD">
        <w:t>propojených</w:t>
      </w:r>
      <w:r>
        <w:t xml:space="preserve"> </w:t>
      </w:r>
      <w:r w:rsidRPr="00014AAD">
        <w:t>přenosových</w:t>
      </w:r>
      <w:r>
        <w:t xml:space="preserve"> </w:t>
      </w:r>
      <w:r w:rsidRPr="00014AAD">
        <w:t>soustav,</w:t>
      </w:r>
    </w:p>
    <w:p w14:paraId="29C4E701" w14:textId="5CC28180" w:rsidR="00920C2F" w:rsidRPr="00014AAD" w:rsidRDefault="00920C2F" w:rsidP="002E6AEA">
      <w:pPr>
        <w:pStyle w:val="Textparagrafu"/>
        <w:tabs>
          <w:tab w:val="left" w:pos="426"/>
          <w:tab w:val="left" w:pos="826"/>
        </w:tabs>
        <w:spacing w:before="0"/>
        <w:ind w:left="426" w:hanging="426"/>
      </w:pPr>
      <w:r w:rsidRPr="00014AAD">
        <w:t>d)</w:t>
      </w:r>
      <w:r w:rsidR="003569F4">
        <w:tab/>
      </w:r>
      <w:r w:rsidRPr="00014AAD">
        <w:t>změnit</w:t>
      </w:r>
      <w:r>
        <w:t xml:space="preserve"> </w:t>
      </w:r>
      <w:r w:rsidRPr="00014AAD">
        <w:t>nebo</w:t>
      </w:r>
      <w:r>
        <w:t xml:space="preserve"> </w:t>
      </w:r>
      <w:r w:rsidRPr="00014AAD">
        <w:t>přerušit</w:t>
      </w:r>
      <w:r>
        <w:t xml:space="preserve"> </w:t>
      </w:r>
      <w:r w:rsidRPr="00014AAD">
        <w:t>v</w:t>
      </w:r>
      <w:r>
        <w:t xml:space="preserve"> </w:t>
      </w:r>
      <w:r w:rsidRPr="00014AAD">
        <w:t>nezbytném</w:t>
      </w:r>
      <w:r>
        <w:t xml:space="preserve"> </w:t>
      </w:r>
      <w:r w:rsidRPr="00014AAD">
        <w:t>rozsahu</w:t>
      </w:r>
      <w:r>
        <w:t xml:space="preserve"> </w:t>
      </w:r>
      <w:r w:rsidRPr="00014AAD">
        <w:t>dodávku</w:t>
      </w:r>
      <w:r>
        <w:t xml:space="preserve"> </w:t>
      </w:r>
      <w:r w:rsidRPr="00014AAD">
        <w:t>elektřiny</w:t>
      </w:r>
      <w:r>
        <w:t xml:space="preserve"> </w:t>
      </w:r>
      <w:r w:rsidRPr="00014AAD">
        <w:t>z</w:t>
      </w:r>
      <w:r>
        <w:t xml:space="preserve"> </w:t>
      </w:r>
      <w:r w:rsidRPr="00014AAD">
        <w:t>výroben,</w:t>
      </w:r>
      <w:r>
        <w:t xml:space="preserve"> </w:t>
      </w:r>
      <w:r w:rsidRPr="00014AAD">
        <w:t>přeshraniční</w:t>
      </w:r>
      <w:r>
        <w:t xml:space="preserve"> </w:t>
      </w:r>
      <w:r w:rsidRPr="00014AAD">
        <w:t>výměnu</w:t>
      </w:r>
      <w:r>
        <w:t xml:space="preserve"> </w:t>
      </w:r>
      <w:r w:rsidRPr="00014AAD">
        <w:t>elektřiny</w:t>
      </w:r>
      <w:r>
        <w:t xml:space="preserve"> </w:t>
      </w:r>
      <w:r w:rsidRPr="00014AAD">
        <w:t>a</w:t>
      </w:r>
      <w:r>
        <w:t xml:space="preserve"> </w:t>
      </w:r>
      <w:r w:rsidRPr="00014AAD">
        <w:t>dovoz</w:t>
      </w:r>
      <w:r>
        <w:t xml:space="preserve"> </w:t>
      </w:r>
      <w:r w:rsidRPr="00014AAD">
        <w:t>elektřiny</w:t>
      </w:r>
      <w:r>
        <w:t xml:space="preserve"> </w:t>
      </w:r>
      <w:r w:rsidRPr="00014AAD">
        <w:t>ze</w:t>
      </w:r>
      <w:r>
        <w:t xml:space="preserve"> </w:t>
      </w:r>
      <w:r w:rsidRPr="00014AAD">
        <w:t>zahraničí</w:t>
      </w:r>
      <w:r>
        <w:t xml:space="preserve"> </w:t>
      </w:r>
      <w:r w:rsidRPr="00014AAD">
        <w:t>nebo</w:t>
      </w:r>
      <w:r>
        <w:t xml:space="preserve"> </w:t>
      </w:r>
      <w:r w:rsidRPr="00014AAD">
        <w:t>vývoz</w:t>
      </w:r>
      <w:r>
        <w:t xml:space="preserve"> </w:t>
      </w:r>
      <w:r w:rsidRPr="00014AAD">
        <w:t>elektřiny</w:t>
      </w:r>
      <w:r>
        <w:t xml:space="preserve"> </w:t>
      </w:r>
      <w:r w:rsidRPr="00014AAD">
        <w:t>do</w:t>
      </w:r>
      <w:r>
        <w:t xml:space="preserve"> </w:t>
      </w:r>
      <w:r w:rsidRPr="00014AAD">
        <w:t>zahraničí</w:t>
      </w:r>
      <w:r>
        <w:t xml:space="preserve"> </w:t>
      </w:r>
      <w:r w:rsidRPr="00014AAD">
        <w:t>k</w:t>
      </w:r>
      <w:r>
        <w:t xml:space="preserve"> </w:t>
      </w:r>
      <w:r w:rsidRPr="00014AAD">
        <w:t>zajištění</w:t>
      </w:r>
      <w:r>
        <w:t xml:space="preserve"> </w:t>
      </w:r>
      <w:r w:rsidRPr="00014AAD">
        <w:t>spolehlivého</w:t>
      </w:r>
      <w:r>
        <w:t xml:space="preserve"> </w:t>
      </w:r>
      <w:r w:rsidRPr="00014AAD">
        <w:t>provozu</w:t>
      </w:r>
      <w:r>
        <w:t xml:space="preserve"> </w:t>
      </w:r>
      <w:r w:rsidRPr="00014AAD">
        <w:t>přenosové</w:t>
      </w:r>
      <w:r>
        <w:t xml:space="preserve"> </w:t>
      </w:r>
      <w:r w:rsidRPr="00014AAD">
        <w:t>soustavy</w:t>
      </w:r>
    </w:p>
    <w:p w14:paraId="01DEE909" w14:textId="2CEEE75D" w:rsidR="00920C2F" w:rsidRPr="00014AAD" w:rsidRDefault="003569F4" w:rsidP="0010420C">
      <w:pPr>
        <w:pStyle w:val="Textparagrafu"/>
        <w:tabs>
          <w:tab w:val="left" w:pos="426"/>
          <w:tab w:val="left" w:pos="854"/>
        </w:tabs>
        <w:spacing w:before="0"/>
        <w:ind w:left="850" w:hanging="425"/>
      </w:pPr>
      <w:r>
        <w:tab/>
      </w:r>
      <w:r w:rsidR="00920C2F" w:rsidRPr="00014AAD">
        <w:t>1.</w:t>
      </w:r>
      <w:r>
        <w:tab/>
      </w:r>
      <w:r w:rsidR="00920C2F" w:rsidRPr="00014AAD">
        <w:t>při</w:t>
      </w:r>
      <w:r w:rsidR="00920C2F">
        <w:t xml:space="preserve"> </w:t>
      </w:r>
      <w:r w:rsidR="00920C2F" w:rsidRPr="00014AAD">
        <w:t>bezprostředním</w:t>
      </w:r>
      <w:r w:rsidR="00920C2F">
        <w:t xml:space="preserve"> </w:t>
      </w:r>
      <w:r w:rsidR="00920C2F" w:rsidRPr="00014AAD">
        <w:t>ohrožení</w:t>
      </w:r>
      <w:r w:rsidR="00920C2F">
        <w:t xml:space="preserve"> </w:t>
      </w:r>
      <w:r w:rsidR="00920C2F" w:rsidRPr="00014AAD">
        <w:t>života,</w:t>
      </w:r>
      <w:r w:rsidR="00920C2F">
        <w:t xml:space="preserve"> </w:t>
      </w:r>
      <w:r w:rsidR="00920C2F" w:rsidRPr="00014AAD">
        <w:t>zdraví</w:t>
      </w:r>
      <w:r w:rsidR="00920C2F">
        <w:t xml:space="preserve"> </w:t>
      </w:r>
      <w:r w:rsidR="00920C2F" w:rsidRPr="00014AAD">
        <w:t>nebo</w:t>
      </w:r>
      <w:r w:rsidR="00920C2F">
        <w:t xml:space="preserve"> </w:t>
      </w:r>
      <w:r w:rsidR="00920C2F" w:rsidRPr="00014AAD">
        <w:t>majetku</w:t>
      </w:r>
      <w:r w:rsidR="00920C2F">
        <w:t xml:space="preserve"> </w:t>
      </w:r>
      <w:r w:rsidR="00920C2F" w:rsidRPr="00014AAD">
        <w:t>osob</w:t>
      </w:r>
      <w:r w:rsidR="00920C2F">
        <w:t xml:space="preserve"> </w:t>
      </w:r>
      <w:r w:rsidR="00920C2F" w:rsidRPr="00014AAD">
        <w:t>a</w:t>
      </w:r>
      <w:r w:rsidR="00920C2F">
        <w:t xml:space="preserve"> </w:t>
      </w:r>
      <w:r w:rsidR="00920C2F" w:rsidRPr="00014AAD">
        <w:t>při</w:t>
      </w:r>
      <w:r w:rsidR="00920C2F">
        <w:t xml:space="preserve"> </w:t>
      </w:r>
      <w:r w:rsidR="00920C2F" w:rsidRPr="00014AAD">
        <w:t>likvidaci</w:t>
      </w:r>
      <w:r w:rsidR="00920C2F">
        <w:t xml:space="preserve"> </w:t>
      </w:r>
      <w:r w:rsidR="00920C2F" w:rsidRPr="00014AAD">
        <w:t>těchto</w:t>
      </w:r>
      <w:r w:rsidR="00920C2F">
        <w:t xml:space="preserve"> </w:t>
      </w:r>
      <w:r w:rsidR="00920C2F" w:rsidRPr="00014AAD">
        <w:t>stavů,</w:t>
      </w:r>
    </w:p>
    <w:p w14:paraId="5F9E9F50" w14:textId="642EA8C9" w:rsidR="00920C2F" w:rsidRPr="00014AAD" w:rsidRDefault="003569F4" w:rsidP="0010420C">
      <w:pPr>
        <w:pStyle w:val="Textparagrafu"/>
        <w:tabs>
          <w:tab w:val="left" w:pos="426"/>
          <w:tab w:val="left" w:pos="854"/>
        </w:tabs>
        <w:spacing w:before="0"/>
        <w:ind w:left="850" w:hanging="425"/>
      </w:pPr>
      <w:r>
        <w:tab/>
      </w:r>
      <w:r w:rsidR="00920C2F" w:rsidRPr="00014AAD">
        <w:t>2.</w:t>
      </w:r>
      <w:r>
        <w:tab/>
      </w:r>
      <w:r w:rsidR="00920C2F" w:rsidRPr="00014AAD">
        <w:t>při</w:t>
      </w:r>
      <w:r w:rsidR="00920C2F">
        <w:t xml:space="preserve"> </w:t>
      </w:r>
      <w:r w:rsidR="00920C2F" w:rsidRPr="00014AAD">
        <w:t>předcházení</w:t>
      </w:r>
      <w:r w:rsidR="00920C2F">
        <w:t xml:space="preserve"> </w:t>
      </w:r>
      <w:r w:rsidR="00920C2F" w:rsidRPr="00014AAD">
        <w:t>stavu</w:t>
      </w:r>
      <w:r w:rsidR="00920C2F">
        <w:t xml:space="preserve"> </w:t>
      </w:r>
      <w:r w:rsidR="00920C2F" w:rsidRPr="00014AAD">
        <w:t>nouze</w:t>
      </w:r>
      <w:r w:rsidR="00920C2F">
        <w:t xml:space="preserve"> </w:t>
      </w:r>
      <w:r w:rsidR="00920C2F" w:rsidRPr="00014AAD">
        <w:t>nebo</w:t>
      </w:r>
      <w:r w:rsidR="00920C2F">
        <w:t xml:space="preserve"> </w:t>
      </w:r>
      <w:r w:rsidR="00920C2F" w:rsidRPr="00014AAD">
        <w:t>při</w:t>
      </w:r>
      <w:r w:rsidR="00920C2F">
        <w:t xml:space="preserve"> </w:t>
      </w:r>
      <w:r w:rsidR="00920C2F" w:rsidRPr="00014AAD">
        <w:t>stavech</w:t>
      </w:r>
      <w:r w:rsidR="00920C2F">
        <w:t xml:space="preserve"> </w:t>
      </w:r>
      <w:r w:rsidR="00920C2F" w:rsidRPr="00014AAD">
        <w:t>nouze,</w:t>
      </w:r>
    </w:p>
    <w:p w14:paraId="63529DE0" w14:textId="6D0E043A" w:rsidR="00920C2F" w:rsidRPr="00014AAD" w:rsidRDefault="003569F4" w:rsidP="0010420C">
      <w:pPr>
        <w:pStyle w:val="Textparagrafu"/>
        <w:tabs>
          <w:tab w:val="left" w:pos="426"/>
          <w:tab w:val="left" w:pos="854"/>
        </w:tabs>
        <w:spacing w:before="0"/>
        <w:ind w:left="850" w:hanging="425"/>
      </w:pPr>
      <w:r>
        <w:lastRenderedPageBreak/>
        <w:tab/>
      </w:r>
      <w:r w:rsidR="00920C2F" w:rsidRPr="00014AAD">
        <w:t>3.</w:t>
      </w:r>
      <w:r>
        <w:tab/>
      </w:r>
      <w:r w:rsidR="00920C2F" w:rsidRPr="00014AAD">
        <w:t>při</w:t>
      </w:r>
      <w:r w:rsidR="00920C2F">
        <w:t xml:space="preserve"> </w:t>
      </w:r>
      <w:r w:rsidR="00920C2F" w:rsidRPr="00014AAD">
        <w:t>neoprávněném</w:t>
      </w:r>
      <w:r w:rsidR="00920C2F">
        <w:t xml:space="preserve"> </w:t>
      </w:r>
      <w:r w:rsidR="00920C2F" w:rsidRPr="00014AAD">
        <w:t>přenosu</w:t>
      </w:r>
      <w:r w:rsidR="00920C2F">
        <w:t xml:space="preserve"> </w:t>
      </w:r>
      <w:r w:rsidR="00920C2F" w:rsidRPr="00014AAD">
        <w:t>elektřiny</w:t>
      </w:r>
      <w:r w:rsidR="00920C2F">
        <w:t xml:space="preserve"> </w:t>
      </w:r>
      <w:r w:rsidR="00920C2F" w:rsidRPr="00014AAD">
        <w:t>podle</w:t>
      </w:r>
      <w:r w:rsidR="00920C2F">
        <w:t xml:space="preserve"> </w:t>
      </w:r>
      <w:r w:rsidR="00920C2F" w:rsidRPr="00014AAD">
        <w:t>§</w:t>
      </w:r>
      <w:r w:rsidR="00920C2F">
        <w:t xml:space="preserve"> </w:t>
      </w:r>
      <w:r w:rsidR="00920C2F" w:rsidRPr="00014AAD">
        <w:t>53,</w:t>
      </w:r>
    </w:p>
    <w:p w14:paraId="737F74BC" w14:textId="1E76930C" w:rsidR="00920C2F" w:rsidRPr="00014AAD" w:rsidRDefault="003569F4" w:rsidP="0010420C">
      <w:pPr>
        <w:pStyle w:val="Textparagrafu"/>
        <w:tabs>
          <w:tab w:val="left" w:pos="426"/>
          <w:tab w:val="left" w:pos="854"/>
        </w:tabs>
        <w:spacing w:before="0"/>
        <w:ind w:left="850" w:hanging="425"/>
      </w:pPr>
      <w:r>
        <w:tab/>
      </w:r>
      <w:r w:rsidR="00920C2F" w:rsidRPr="00014AAD">
        <w:t>4.</w:t>
      </w:r>
      <w:r>
        <w:tab/>
      </w:r>
      <w:r w:rsidR="00920C2F" w:rsidRPr="00014AAD">
        <w:t>při</w:t>
      </w:r>
      <w:r w:rsidR="00920C2F">
        <w:t xml:space="preserve"> </w:t>
      </w:r>
      <w:r w:rsidR="00920C2F" w:rsidRPr="00014AAD">
        <w:t>neoprávněné</w:t>
      </w:r>
      <w:r w:rsidR="00920C2F">
        <w:t xml:space="preserve"> </w:t>
      </w:r>
      <w:r w:rsidR="00920C2F" w:rsidRPr="00014AAD">
        <w:t>dodávce</w:t>
      </w:r>
      <w:r w:rsidR="00920C2F">
        <w:t xml:space="preserve"> </w:t>
      </w:r>
      <w:r w:rsidR="00920C2F" w:rsidRPr="00014AAD">
        <w:t>elektřiny</w:t>
      </w:r>
      <w:r w:rsidR="00920C2F">
        <w:t xml:space="preserve"> </w:t>
      </w:r>
      <w:r w:rsidR="00920C2F" w:rsidRPr="00014AAD">
        <w:t>do</w:t>
      </w:r>
      <w:r w:rsidR="00920C2F">
        <w:t xml:space="preserve"> </w:t>
      </w:r>
      <w:r w:rsidR="00920C2F" w:rsidRPr="00014AAD">
        <w:t>přenosové</w:t>
      </w:r>
      <w:r w:rsidR="00920C2F">
        <w:t xml:space="preserve"> </w:t>
      </w:r>
      <w:r w:rsidR="00920C2F" w:rsidRPr="00014AAD">
        <w:t>soustavy</w:t>
      </w:r>
      <w:r w:rsidR="00920C2F">
        <w:t xml:space="preserve"> </w:t>
      </w:r>
      <w:r w:rsidR="00920C2F" w:rsidRPr="00014AAD">
        <w:t>podle</w:t>
      </w:r>
      <w:r w:rsidR="00920C2F">
        <w:t xml:space="preserve"> </w:t>
      </w:r>
      <w:r w:rsidR="00920C2F" w:rsidRPr="00014AAD">
        <w:t>§</w:t>
      </w:r>
      <w:r w:rsidR="00920C2F">
        <w:t xml:space="preserve"> </w:t>
      </w:r>
      <w:r w:rsidR="00920C2F" w:rsidRPr="00014AAD">
        <w:t>52,</w:t>
      </w:r>
    </w:p>
    <w:p w14:paraId="7BAE52BE" w14:textId="45F3E82F" w:rsidR="00920C2F" w:rsidRPr="00014AAD" w:rsidRDefault="003569F4" w:rsidP="0010420C">
      <w:pPr>
        <w:pStyle w:val="Textparagrafu"/>
        <w:tabs>
          <w:tab w:val="left" w:pos="426"/>
          <w:tab w:val="left" w:pos="854"/>
        </w:tabs>
        <w:spacing w:before="0"/>
        <w:ind w:left="850" w:hanging="425"/>
      </w:pPr>
      <w:r>
        <w:tab/>
      </w:r>
      <w:r w:rsidR="00920C2F" w:rsidRPr="00014AAD">
        <w:t>5.</w:t>
      </w:r>
      <w:r>
        <w:tab/>
      </w:r>
      <w:r w:rsidR="00920C2F" w:rsidRPr="00014AAD">
        <w:t>jestliže</w:t>
      </w:r>
      <w:r w:rsidR="00920C2F">
        <w:t xml:space="preserve"> </w:t>
      </w:r>
      <w:r w:rsidR="00920C2F" w:rsidRPr="00014AAD">
        <w:t>mu</w:t>
      </w:r>
      <w:r w:rsidR="00920C2F">
        <w:t xml:space="preserve"> </w:t>
      </w:r>
      <w:r w:rsidR="00920C2F" w:rsidRPr="00014AAD">
        <w:t>výrobce</w:t>
      </w:r>
      <w:r w:rsidR="00920C2F">
        <w:t xml:space="preserve"> </w:t>
      </w:r>
      <w:r w:rsidR="00920C2F" w:rsidRPr="00014AAD">
        <w:t>neumožní</w:t>
      </w:r>
      <w:r w:rsidR="00920C2F">
        <w:t xml:space="preserve"> </w:t>
      </w:r>
      <w:r w:rsidR="00920C2F" w:rsidRPr="00014AAD">
        <w:t>přístup</w:t>
      </w:r>
      <w:r w:rsidR="00920C2F">
        <w:t xml:space="preserve"> </w:t>
      </w:r>
      <w:r w:rsidR="00920C2F" w:rsidRPr="00014AAD">
        <w:t>k</w:t>
      </w:r>
      <w:r w:rsidR="00920C2F">
        <w:t xml:space="preserve"> </w:t>
      </w:r>
      <w:r w:rsidR="00920C2F" w:rsidRPr="00014AAD">
        <w:t>měřicímu</w:t>
      </w:r>
      <w:r w:rsidR="00920C2F">
        <w:t xml:space="preserve"> </w:t>
      </w:r>
      <w:r w:rsidR="00920C2F" w:rsidRPr="00014AAD">
        <w:t>zařízení,</w:t>
      </w:r>
    </w:p>
    <w:p w14:paraId="69A94C5D" w14:textId="391F2F16" w:rsidR="00920C2F" w:rsidRPr="00014AAD" w:rsidRDefault="003569F4" w:rsidP="0010420C">
      <w:pPr>
        <w:pStyle w:val="Textparagrafu"/>
        <w:tabs>
          <w:tab w:val="left" w:pos="426"/>
          <w:tab w:val="left" w:pos="854"/>
        </w:tabs>
        <w:spacing w:before="0"/>
        <w:ind w:left="850" w:hanging="425"/>
      </w:pPr>
      <w:r>
        <w:tab/>
      </w:r>
      <w:r w:rsidR="00920C2F" w:rsidRPr="00014AAD">
        <w:t>6.</w:t>
      </w:r>
      <w:r>
        <w:tab/>
      </w:r>
      <w:r w:rsidR="00920C2F" w:rsidRPr="00014AAD">
        <w:t>při</w:t>
      </w:r>
      <w:r w:rsidR="00920C2F">
        <w:t xml:space="preserve"> </w:t>
      </w:r>
      <w:r w:rsidR="00920C2F" w:rsidRPr="00014AAD">
        <w:t>provádění</w:t>
      </w:r>
      <w:r w:rsidR="00920C2F">
        <w:t xml:space="preserve"> </w:t>
      </w:r>
      <w:r w:rsidR="00920C2F" w:rsidRPr="00014AAD">
        <w:t>plánovaných</w:t>
      </w:r>
      <w:r w:rsidR="00920C2F">
        <w:t xml:space="preserve"> </w:t>
      </w:r>
      <w:r w:rsidR="00920C2F" w:rsidRPr="00014AAD">
        <w:t>prací</w:t>
      </w:r>
      <w:r w:rsidR="00920C2F">
        <w:t xml:space="preserve"> </w:t>
      </w:r>
      <w:r w:rsidR="00920C2F" w:rsidRPr="00014AAD">
        <w:t>na</w:t>
      </w:r>
      <w:r w:rsidR="00920C2F">
        <w:t xml:space="preserve"> </w:t>
      </w:r>
      <w:r w:rsidR="00920C2F" w:rsidRPr="00014AAD">
        <w:t>zařízení</w:t>
      </w:r>
      <w:r w:rsidR="00920C2F">
        <w:t xml:space="preserve"> </w:t>
      </w:r>
      <w:r w:rsidR="00920C2F" w:rsidRPr="00014AAD">
        <w:t>přenosové</w:t>
      </w:r>
      <w:r w:rsidR="00920C2F">
        <w:t xml:space="preserve"> </w:t>
      </w:r>
      <w:r w:rsidR="00920C2F" w:rsidRPr="00014AAD">
        <w:t>soustavy</w:t>
      </w:r>
      <w:r w:rsidR="00920C2F">
        <w:t xml:space="preserve"> </w:t>
      </w:r>
      <w:r w:rsidR="00920C2F" w:rsidRPr="00014AAD">
        <w:t>nebo</w:t>
      </w:r>
      <w:r w:rsidR="00920C2F">
        <w:t xml:space="preserve"> </w:t>
      </w:r>
      <w:r w:rsidR="00920C2F" w:rsidRPr="00014AAD">
        <w:t>v</w:t>
      </w:r>
      <w:r w:rsidR="00920C2F">
        <w:t xml:space="preserve"> </w:t>
      </w:r>
      <w:r w:rsidR="00920C2F" w:rsidRPr="00014AAD">
        <w:t>jeho</w:t>
      </w:r>
      <w:r w:rsidR="00920C2F">
        <w:t xml:space="preserve"> </w:t>
      </w:r>
      <w:r w:rsidR="00920C2F" w:rsidRPr="00014AAD">
        <w:t>ochranném</w:t>
      </w:r>
      <w:r w:rsidR="00920C2F">
        <w:t xml:space="preserve"> </w:t>
      </w:r>
      <w:r w:rsidR="00920C2F" w:rsidRPr="00014AAD">
        <w:t>pásmu,</w:t>
      </w:r>
      <w:r w:rsidR="00920C2F">
        <w:t xml:space="preserve"> </w:t>
      </w:r>
      <w:r w:rsidR="00920C2F" w:rsidRPr="00014AAD">
        <w:t>zejména</w:t>
      </w:r>
      <w:r w:rsidR="00920C2F">
        <w:t xml:space="preserve"> </w:t>
      </w:r>
      <w:r w:rsidR="00920C2F" w:rsidRPr="00014AAD">
        <w:t>oprav,</w:t>
      </w:r>
      <w:r w:rsidR="00920C2F">
        <w:t xml:space="preserve"> </w:t>
      </w:r>
      <w:r w:rsidR="00920C2F" w:rsidRPr="00014AAD">
        <w:t>rekonstrukcí,</w:t>
      </w:r>
      <w:r w:rsidR="00920C2F">
        <w:t xml:space="preserve"> </w:t>
      </w:r>
      <w:r w:rsidR="00920C2F" w:rsidRPr="00014AAD">
        <w:t>údržby</w:t>
      </w:r>
      <w:r w:rsidR="00920C2F">
        <w:t xml:space="preserve"> </w:t>
      </w:r>
      <w:r w:rsidR="00920C2F" w:rsidRPr="00014AAD">
        <w:t>a</w:t>
      </w:r>
      <w:r w:rsidR="00920C2F">
        <w:t xml:space="preserve"> </w:t>
      </w:r>
      <w:r w:rsidR="00920C2F" w:rsidRPr="00014AAD">
        <w:t>revizí,</w:t>
      </w:r>
    </w:p>
    <w:p w14:paraId="1EE38A0B" w14:textId="7C5E3AED" w:rsidR="00920C2F" w:rsidRPr="00014AAD" w:rsidRDefault="003569F4" w:rsidP="0010420C">
      <w:pPr>
        <w:pStyle w:val="Textparagrafu"/>
        <w:tabs>
          <w:tab w:val="left" w:pos="426"/>
          <w:tab w:val="left" w:pos="854"/>
        </w:tabs>
        <w:spacing w:before="0"/>
        <w:ind w:left="850" w:hanging="425"/>
      </w:pPr>
      <w:r>
        <w:tab/>
      </w:r>
      <w:r w:rsidR="00920C2F" w:rsidRPr="00014AAD">
        <w:t>7.</w:t>
      </w:r>
      <w:r>
        <w:tab/>
      </w:r>
      <w:r w:rsidR="00920C2F" w:rsidRPr="00014AAD">
        <w:t>při</w:t>
      </w:r>
      <w:r w:rsidR="00920C2F">
        <w:t xml:space="preserve"> </w:t>
      </w:r>
      <w:r w:rsidR="00920C2F" w:rsidRPr="00014AAD">
        <w:t>vzniku</w:t>
      </w:r>
      <w:r w:rsidR="00920C2F">
        <w:t xml:space="preserve"> </w:t>
      </w:r>
      <w:r w:rsidR="00920C2F" w:rsidRPr="00014AAD">
        <w:t>a</w:t>
      </w:r>
      <w:r w:rsidR="00920C2F">
        <w:t xml:space="preserve"> </w:t>
      </w:r>
      <w:r w:rsidR="00920C2F" w:rsidRPr="00014AAD">
        <w:t>odstraňování</w:t>
      </w:r>
      <w:r w:rsidR="00920C2F">
        <w:t xml:space="preserve"> </w:t>
      </w:r>
      <w:r w:rsidR="00920C2F" w:rsidRPr="00014AAD">
        <w:t>poruch</w:t>
      </w:r>
      <w:r w:rsidR="00920C2F">
        <w:t xml:space="preserve"> </w:t>
      </w:r>
      <w:r w:rsidR="00920C2F" w:rsidRPr="00014AAD">
        <w:t>na</w:t>
      </w:r>
      <w:r w:rsidR="00920C2F">
        <w:t xml:space="preserve"> </w:t>
      </w:r>
      <w:r w:rsidR="00920C2F" w:rsidRPr="00014AAD">
        <w:t>zařízeních</w:t>
      </w:r>
      <w:r w:rsidR="00920C2F">
        <w:t xml:space="preserve"> </w:t>
      </w:r>
      <w:r w:rsidR="00920C2F" w:rsidRPr="00014AAD">
        <w:t>přenosové</w:t>
      </w:r>
      <w:r w:rsidR="00920C2F">
        <w:t xml:space="preserve"> </w:t>
      </w:r>
      <w:r w:rsidR="00920C2F" w:rsidRPr="00014AAD">
        <w:t>soustavy</w:t>
      </w:r>
      <w:r w:rsidR="00920C2F">
        <w:t xml:space="preserve"> </w:t>
      </w:r>
      <w:r w:rsidR="00920C2F" w:rsidRPr="00014AAD">
        <w:t>nebo</w:t>
      </w:r>
      <w:r w:rsidR="00920C2F">
        <w:t xml:space="preserve"> </w:t>
      </w:r>
      <w:r w:rsidR="00920C2F" w:rsidRPr="00014AAD">
        <w:t>distribuční</w:t>
      </w:r>
      <w:r w:rsidR="00920C2F">
        <w:t xml:space="preserve"> </w:t>
      </w:r>
      <w:r w:rsidR="00920C2F" w:rsidRPr="00014AAD">
        <w:t>soustavy,</w:t>
      </w:r>
    </w:p>
    <w:p w14:paraId="1A337DF2" w14:textId="4607916E" w:rsidR="00920C2F" w:rsidRPr="00014AAD" w:rsidRDefault="003569F4" w:rsidP="0010420C">
      <w:pPr>
        <w:pStyle w:val="Textparagrafu"/>
        <w:tabs>
          <w:tab w:val="left" w:pos="426"/>
          <w:tab w:val="left" w:pos="854"/>
        </w:tabs>
        <w:spacing w:before="0"/>
        <w:ind w:left="850" w:hanging="425"/>
      </w:pPr>
      <w:r>
        <w:tab/>
      </w:r>
      <w:r w:rsidR="00920C2F" w:rsidRPr="00014AAD">
        <w:t>8.</w:t>
      </w:r>
      <w:r>
        <w:tab/>
      </w:r>
      <w:r w:rsidR="00920C2F" w:rsidRPr="00014AAD">
        <w:t>při</w:t>
      </w:r>
      <w:r w:rsidR="00920C2F">
        <w:t xml:space="preserve"> </w:t>
      </w:r>
      <w:r w:rsidR="00920C2F" w:rsidRPr="00014AAD">
        <w:t>dodávce</w:t>
      </w:r>
      <w:r w:rsidR="00920C2F">
        <w:t xml:space="preserve"> </w:t>
      </w:r>
      <w:r w:rsidR="00920C2F" w:rsidRPr="00014AAD">
        <w:t>elektřiny</w:t>
      </w:r>
      <w:r w:rsidR="00920C2F">
        <w:t xml:space="preserve"> </w:t>
      </w:r>
      <w:r w:rsidR="00920C2F" w:rsidRPr="00014AAD">
        <w:t>zařízeními,</w:t>
      </w:r>
      <w:r w:rsidR="00920C2F">
        <w:t xml:space="preserve"> </w:t>
      </w:r>
      <w:r w:rsidR="00920C2F" w:rsidRPr="00014AAD">
        <w:t>která</w:t>
      </w:r>
      <w:r w:rsidR="00920C2F">
        <w:t xml:space="preserve"> </w:t>
      </w:r>
      <w:r w:rsidR="00920C2F" w:rsidRPr="00014AAD">
        <w:t>ohrožují</w:t>
      </w:r>
      <w:r w:rsidR="00920C2F">
        <w:t xml:space="preserve"> </w:t>
      </w:r>
      <w:r w:rsidR="00920C2F" w:rsidRPr="00014AAD">
        <w:t>život,</w:t>
      </w:r>
      <w:r w:rsidR="00920C2F">
        <w:t xml:space="preserve"> </w:t>
      </w:r>
      <w:r w:rsidR="00920C2F" w:rsidRPr="00014AAD">
        <w:t>zdraví</w:t>
      </w:r>
      <w:r w:rsidR="00920C2F">
        <w:t xml:space="preserve"> </w:t>
      </w:r>
      <w:r w:rsidR="00920C2F" w:rsidRPr="00014AAD">
        <w:t>nebo</w:t>
      </w:r>
      <w:r w:rsidR="00920C2F">
        <w:t xml:space="preserve"> </w:t>
      </w:r>
      <w:r w:rsidR="00920C2F" w:rsidRPr="00014AAD">
        <w:t>majetek</w:t>
      </w:r>
      <w:r w:rsidR="00920C2F">
        <w:t xml:space="preserve"> </w:t>
      </w:r>
      <w:r w:rsidR="00920C2F" w:rsidRPr="00014AAD">
        <w:t>osob,</w:t>
      </w:r>
    </w:p>
    <w:p w14:paraId="44737E5C" w14:textId="2B630234" w:rsidR="00920C2F" w:rsidRPr="00014AAD" w:rsidRDefault="003569F4" w:rsidP="0010420C">
      <w:pPr>
        <w:pStyle w:val="Textparagrafu"/>
        <w:tabs>
          <w:tab w:val="left" w:pos="426"/>
          <w:tab w:val="left" w:pos="854"/>
        </w:tabs>
        <w:spacing w:before="0"/>
        <w:ind w:left="850" w:hanging="425"/>
      </w:pPr>
      <w:r>
        <w:tab/>
      </w:r>
      <w:r w:rsidR="00920C2F" w:rsidRPr="00014AAD">
        <w:t>9.</w:t>
      </w:r>
      <w:r>
        <w:tab/>
      </w:r>
      <w:r w:rsidR="00920C2F" w:rsidRPr="00014AAD">
        <w:t>při</w:t>
      </w:r>
      <w:r w:rsidR="00920C2F">
        <w:t xml:space="preserve"> </w:t>
      </w:r>
      <w:r w:rsidR="00920C2F" w:rsidRPr="00014AAD">
        <w:t>dodávce</w:t>
      </w:r>
      <w:r w:rsidR="00920C2F">
        <w:t xml:space="preserve"> </w:t>
      </w:r>
      <w:r w:rsidR="00920C2F" w:rsidRPr="00014AAD">
        <w:t>elektřiny</w:t>
      </w:r>
      <w:r w:rsidR="00920C2F">
        <w:t xml:space="preserve"> </w:t>
      </w:r>
      <w:r w:rsidR="00920C2F" w:rsidRPr="00014AAD">
        <w:t>zařízeními,</w:t>
      </w:r>
      <w:r w:rsidR="00920C2F">
        <w:t xml:space="preserve"> </w:t>
      </w:r>
      <w:r w:rsidR="00920C2F" w:rsidRPr="00014AAD">
        <w:t>která</w:t>
      </w:r>
      <w:r w:rsidR="00920C2F">
        <w:t xml:space="preserve"> </w:t>
      </w:r>
      <w:r w:rsidR="00920C2F" w:rsidRPr="00014AAD">
        <w:t>ovlivňují</w:t>
      </w:r>
      <w:r w:rsidR="00920C2F">
        <w:t xml:space="preserve"> </w:t>
      </w:r>
      <w:r w:rsidR="00920C2F" w:rsidRPr="00014AAD">
        <w:t>kvalitu</w:t>
      </w:r>
      <w:r w:rsidR="00920C2F">
        <w:t xml:space="preserve"> </w:t>
      </w:r>
      <w:r w:rsidR="00920C2F" w:rsidRPr="00014AAD">
        <w:t>elektřiny</w:t>
      </w:r>
      <w:r w:rsidR="00920C2F">
        <w:t xml:space="preserve"> </w:t>
      </w:r>
      <w:r w:rsidR="00920C2F" w:rsidRPr="00014AAD">
        <w:t>v</w:t>
      </w:r>
      <w:r w:rsidR="00920C2F">
        <w:t xml:space="preserve"> </w:t>
      </w:r>
      <w:r w:rsidR="00920C2F" w:rsidRPr="00014AAD">
        <w:t>neprospěch</w:t>
      </w:r>
      <w:r w:rsidR="00920C2F">
        <w:t xml:space="preserve"> </w:t>
      </w:r>
      <w:r w:rsidR="00920C2F" w:rsidRPr="00014AAD">
        <w:t>ostatních</w:t>
      </w:r>
      <w:r w:rsidR="00920C2F">
        <w:t xml:space="preserve"> </w:t>
      </w:r>
      <w:r w:rsidR="00920C2F" w:rsidRPr="00014AAD">
        <w:t>účastníků</w:t>
      </w:r>
      <w:r w:rsidR="00920C2F">
        <w:t xml:space="preserve"> </w:t>
      </w:r>
      <w:r w:rsidR="00920C2F" w:rsidRPr="00014AAD">
        <w:t>trhu</w:t>
      </w:r>
      <w:r w:rsidR="00920C2F">
        <w:t xml:space="preserve"> </w:t>
      </w:r>
      <w:r w:rsidR="00920C2F" w:rsidRPr="00014AAD">
        <w:t>s</w:t>
      </w:r>
      <w:r w:rsidR="00920C2F">
        <w:t xml:space="preserve"> </w:t>
      </w:r>
      <w:proofErr w:type="gramStart"/>
      <w:r w:rsidR="00920C2F" w:rsidRPr="00014AAD">
        <w:t>elektřinou</w:t>
      </w:r>
      <w:r w:rsidR="00920C2F">
        <w:t xml:space="preserve"> </w:t>
      </w:r>
      <w:r w:rsidR="00920C2F" w:rsidRPr="00014AAD">
        <w:t>a</w:t>
      </w:r>
      <w:r w:rsidR="00920C2F">
        <w:t xml:space="preserve"> </w:t>
      </w:r>
      <w:r w:rsidR="00920C2F" w:rsidRPr="00014AAD">
        <w:t>výrobce</w:t>
      </w:r>
      <w:proofErr w:type="gramEnd"/>
      <w:r w:rsidR="00920C2F">
        <w:t xml:space="preserve"> </w:t>
      </w:r>
      <w:r w:rsidR="00920C2F" w:rsidRPr="00014AAD">
        <w:t>nevybavil</w:t>
      </w:r>
      <w:r w:rsidR="00920C2F">
        <w:t xml:space="preserve"> </w:t>
      </w:r>
      <w:r w:rsidR="00920C2F" w:rsidRPr="00014AAD">
        <w:t>tato</w:t>
      </w:r>
      <w:r w:rsidR="00920C2F">
        <w:t xml:space="preserve"> </w:t>
      </w:r>
      <w:r w:rsidR="00920C2F" w:rsidRPr="00014AAD">
        <w:t>zařízení</w:t>
      </w:r>
      <w:r w:rsidR="00920C2F">
        <w:t xml:space="preserve"> </w:t>
      </w:r>
      <w:r w:rsidR="00920C2F" w:rsidRPr="00014AAD">
        <w:t>dostupnými</w:t>
      </w:r>
      <w:r w:rsidR="00920C2F">
        <w:t xml:space="preserve"> </w:t>
      </w:r>
      <w:r w:rsidR="00920C2F" w:rsidRPr="00014AAD">
        <w:t>technickými</w:t>
      </w:r>
      <w:r w:rsidR="00920C2F">
        <w:t xml:space="preserve"> </w:t>
      </w:r>
      <w:r w:rsidR="00920C2F" w:rsidRPr="00014AAD">
        <w:t>prostředky</w:t>
      </w:r>
      <w:r w:rsidR="00920C2F">
        <w:t xml:space="preserve"> </w:t>
      </w:r>
      <w:r w:rsidR="00920C2F" w:rsidRPr="00014AAD">
        <w:t>k</w:t>
      </w:r>
      <w:r w:rsidR="00920C2F">
        <w:t xml:space="preserve"> </w:t>
      </w:r>
      <w:r w:rsidR="00920C2F" w:rsidRPr="00014AAD">
        <w:t>omezení</w:t>
      </w:r>
      <w:r w:rsidR="00920C2F">
        <w:t xml:space="preserve"> </w:t>
      </w:r>
      <w:r w:rsidR="00920C2F" w:rsidRPr="00014AAD">
        <w:t>těchto</w:t>
      </w:r>
      <w:r w:rsidR="00920C2F">
        <w:t xml:space="preserve"> </w:t>
      </w:r>
      <w:r w:rsidR="00920C2F" w:rsidRPr="00014AAD">
        <w:t>vlivů,</w:t>
      </w:r>
    </w:p>
    <w:p w14:paraId="1DC37A46" w14:textId="1058452F" w:rsidR="00920C2F" w:rsidRPr="00014AAD" w:rsidRDefault="003569F4" w:rsidP="0010420C">
      <w:pPr>
        <w:pStyle w:val="Textparagrafu"/>
        <w:tabs>
          <w:tab w:val="left" w:pos="426"/>
          <w:tab w:val="left" w:pos="854"/>
        </w:tabs>
        <w:spacing w:before="0"/>
        <w:ind w:left="850" w:hanging="425"/>
      </w:pPr>
      <w:r>
        <w:tab/>
      </w:r>
      <w:r w:rsidR="00920C2F" w:rsidRPr="00014AAD">
        <w:t>10.</w:t>
      </w:r>
      <w:r>
        <w:tab/>
      </w:r>
      <w:r w:rsidR="00920C2F" w:rsidRPr="00014AAD">
        <w:t>v</w:t>
      </w:r>
      <w:r w:rsidR="00920C2F">
        <w:t xml:space="preserve"> </w:t>
      </w:r>
      <w:r w:rsidR="00920C2F" w:rsidRPr="00014AAD">
        <w:t>důsledku</w:t>
      </w:r>
      <w:r w:rsidR="00920C2F">
        <w:t xml:space="preserve"> </w:t>
      </w:r>
      <w:r w:rsidR="00920C2F" w:rsidRPr="00014AAD">
        <w:t>omezení</w:t>
      </w:r>
      <w:r w:rsidR="00920C2F">
        <w:t xml:space="preserve"> </w:t>
      </w:r>
      <w:r w:rsidR="00920C2F" w:rsidRPr="00014AAD">
        <w:t>nebo</w:t>
      </w:r>
      <w:r w:rsidR="00920C2F">
        <w:t xml:space="preserve"> </w:t>
      </w:r>
      <w:r w:rsidR="00920C2F" w:rsidRPr="00014AAD">
        <w:t>přerušení</w:t>
      </w:r>
      <w:r w:rsidR="00920C2F">
        <w:t xml:space="preserve"> </w:t>
      </w:r>
      <w:r w:rsidR="00920C2F" w:rsidRPr="00014AAD">
        <w:t>přenosu</w:t>
      </w:r>
      <w:r w:rsidR="00920C2F">
        <w:t xml:space="preserve"> </w:t>
      </w:r>
      <w:r w:rsidR="00920C2F" w:rsidRPr="00014AAD">
        <w:t>elektřiny</w:t>
      </w:r>
      <w:r w:rsidR="00920C2F">
        <w:t xml:space="preserve"> </w:t>
      </w:r>
      <w:r w:rsidR="00920C2F" w:rsidRPr="00014AAD">
        <w:t>nebo</w:t>
      </w:r>
      <w:r w:rsidR="00920C2F">
        <w:t xml:space="preserve"> </w:t>
      </w:r>
      <w:r w:rsidR="00920C2F" w:rsidRPr="00014AAD">
        <w:t>v</w:t>
      </w:r>
      <w:r w:rsidR="00920C2F">
        <w:t xml:space="preserve"> </w:t>
      </w:r>
      <w:r w:rsidR="00920C2F" w:rsidRPr="00014AAD">
        <w:t>důsledku</w:t>
      </w:r>
      <w:r w:rsidR="00920C2F">
        <w:t xml:space="preserve"> </w:t>
      </w:r>
      <w:r w:rsidR="00920C2F" w:rsidRPr="00014AAD">
        <w:t>jiných</w:t>
      </w:r>
      <w:r w:rsidR="00920C2F">
        <w:t xml:space="preserve"> </w:t>
      </w:r>
      <w:r w:rsidR="00920C2F" w:rsidRPr="00014AAD">
        <w:t>provozních</w:t>
      </w:r>
      <w:r w:rsidR="00920C2F">
        <w:t xml:space="preserve"> </w:t>
      </w:r>
      <w:r w:rsidR="00920C2F" w:rsidRPr="00014AAD">
        <w:t>stavů</w:t>
      </w:r>
      <w:r w:rsidR="00920C2F">
        <w:t xml:space="preserve"> </w:t>
      </w:r>
      <w:r w:rsidR="00920C2F" w:rsidRPr="00014AAD">
        <w:t>způsobených</w:t>
      </w:r>
      <w:r w:rsidR="00920C2F">
        <w:t xml:space="preserve"> </w:t>
      </w:r>
      <w:r w:rsidR="00920C2F" w:rsidRPr="00014AAD">
        <w:t>provozovateli</w:t>
      </w:r>
      <w:r w:rsidR="00920C2F">
        <w:t xml:space="preserve"> </w:t>
      </w:r>
      <w:r w:rsidR="00920C2F" w:rsidRPr="00014AAD">
        <w:t>propojených</w:t>
      </w:r>
      <w:r w:rsidR="00920C2F">
        <w:t xml:space="preserve"> </w:t>
      </w:r>
      <w:r w:rsidR="00920C2F" w:rsidRPr="00014AAD">
        <w:t>přenosových</w:t>
      </w:r>
      <w:r w:rsidR="00920C2F">
        <w:t xml:space="preserve"> </w:t>
      </w:r>
      <w:r w:rsidR="00920C2F" w:rsidRPr="00014AAD">
        <w:t>soustav,</w:t>
      </w:r>
      <w:r w:rsidR="00920C2F">
        <w:t xml:space="preserve"> </w:t>
      </w:r>
      <w:r w:rsidR="00920C2F" w:rsidRPr="00014AAD">
        <w:t>nebo</w:t>
      </w:r>
    </w:p>
    <w:p w14:paraId="6F3683A7" w14:textId="2562C9B5" w:rsidR="00920C2F" w:rsidRDefault="003569F4" w:rsidP="0010420C">
      <w:pPr>
        <w:pStyle w:val="Textparagrafu"/>
        <w:tabs>
          <w:tab w:val="left" w:pos="426"/>
          <w:tab w:val="left" w:pos="854"/>
        </w:tabs>
        <w:spacing w:before="0"/>
        <w:ind w:left="850" w:hanging="425"/>
      </w:pPr>
      <w:r>
        <w:tab/>
      </w:r>
      <w:r w:rsidR="00920C2F" w:rsidRPr="00014AAD">
        <w:t>11.</w:t>
      </w:r>
      <w:r>
        <w:tab/>
      </w:r>
      <w:r w:rsidR="00920C2F" w:rsidRPr="00014AAD">
        <w:t>při</w:t>
      </w:r>
      <w:r w:rsidR="00920C2F">
        <w:t xml:space="preserve"> </w:t>
      </w:r>
      <w:r w:rsidR="00920C2F" w:rsidRPr="00014AAD">
        <w:t>provádění</w:t>
      </w:r>
      <w:r w:rsidR="00920C2F">
        <w:t xml:space="preserve"> </w:t>
      </w:r>
      <w:r w:rsidR="00920C2F" w:rsidRPr="00014AAD">
        <w:t>dispečerského</w:t>
      </w:r>
      <w:r w:rsidR="00920C2F">
        <w:t xml:space="preserve"> </w:t>
      </w:r>
      <w:r w:rsidR="00920C2F" w:rsidRPr="00014AAD">
        <w:t>řízení</w:t>
      </w:r>
      <w:r w:rsidR="00920C2F">
        <w:t xml:space="preserve"> </w:t>
      </w:r>
      <w:r w:rsidR="00920C2F" w:rsidRPr="00014AAD">
        <w:t>podle</w:t>
      </w:r>
      <w:r w:rsidR="00920C2F">
        <w:t xml:space="preserve"> </w:t>
      </w:r>
      <w:r w:rsidR="00920C2F" w:rsidRPr="00014AAD">
        <w:t>§</w:t>
      </w:r>
      <w:r w:rsidR="00920C2F">
        <w:t xml:space="preserve"> </w:t>
      </w:r>
      <w:r w:rsidR="00920C2F" w:rsidRPr="00014AAD">
        <w:t>26</w:t>
      </w:r>
      <w:r w:rsidR="00920C2F">
        <w:t xml:space="preserve"> </w:t>
      </w:r>
      <w:r w:rsidR="00920C2F" w:rsidRPr="00014AAD">
        <w:t>odst.</w:t>
      </w:r>
      <w:r w:rsidR="00920C2F">
        <w:t xml:space="preserve"> </w:t>
      </w:r>
      <w:r w:rsidR="00920C2F" w:rsidRPr="00014AAD">
        <w:t>5,</w:t>
      </w:r>
    </w:p>
    <w:p w14:paraId="19658EAA" w14:textId="0A6229B3" w:rsidR="00920C2F" w:rsidRDefault="00920C2F" w:rsidP="002E6AEA">
      <w:pPr>
        <w:pStyle w:val="Textparagrafu"/>
        <w:tabs>
          <w:tab w:val="left" w:pos="426"/>
          <w:tab w:val="left" w:pos="826"/>
        </w:tabs>
        <w:spacing w:before="0"/>
        <w:ind w:left="426" w:hanging="426"/>
      </w:pPr>
      <w:r w:rsidRPr="00014AAD">
        <w:t>e)</w:t>
      </w:r>
      <w:r w:rsidR="003569F4">
        <w:tab/>
      </w:r>
      <w:r w:rsidRPr="00014AAD">
        <w:t>v</w:t>
      </w:r>
      <w:r>
        <w:t xml:space="preserve"> </w:t>
      </w:r>
      <w:r w:rsidRPr="00014AAD">
        <w:t>souladu</w:t>
      </w:r>
      <w:r>
        <w:t xml:space="preserve"> </w:t>
      </w:r>
      <w:r w:rsidRPr="00014AAD">
        <w:t>se</w:t>
      </w:r>
      <w:r>
        <w:t xml:space="preserve"> </w:t>
      </w:r>
      <w:r w:rsidRPr="00014AAD">
        <w:t>zvláštním</w:t>
      </w:r>
      <w:r>
        <w:t xml:space="preserve"> </w:t>
      </w:r>
      <w:r w:rsidRPr="00014AAD">
        <w:t>právním</w:t>
      </w:r>
      <w:r>
        <w:t xml:space="preserve"> </w:t>
      </w:r>
      <w:r w:rsidR="003569F4">
        <w:t>předpisem</w:t>
      </w:r>
      <w:r w:rsidR="003569F4">
        <w:rPr>
          <w:rStyle w:val="Znakapoznpodarou"/>
        </w:rPr>
        <w:footnoteReference w:customMarkFollows="1" w:id="388"/>
        <w:t>4d)</w:t>
      </w:r>
      <w:r>
        <w:t xml:space="preserve"> </w:t>
      </w:r>
      <w:r w:rsidRPr="00014AAD">
        <w:t>zřizovat</w:t>
      </w:r>
      <w:r>
        <w:t xml:space="preserve"> </w:t>
      </w:r>
      <w:r w:rsidRPr="00014AAD">
        <w:t>a</w:t>
      </w:r>
      <w:r>
        <w:t xml:space="preserve"> </w:t>
      </w:r>
      <w:r w:rsidRPr="00014AAD">
        <w:t>provozovat</w:t>
      </w:r>
      <w:r>
        <w:t xml:space="preserve"> </w:t>
      </w:r>
      <w:r w:rsidRPr="00014AAD">
        <w:t>na</w:t>
      </w:r>
      <w:r>
        <w:t xml:space="preserve"> </w:t>
      </w:r>
      <w:r w:rsidRPr="00014AAD">
        <w:t>cizích</w:t>
      </w:r>
      <w:r>
        <w:t xml:space="preserve"> </w:t>
      </w:r>
      <w:r w:rsidRPr="00014AAD">
        <w:t>nemovitostech</w:t>
      </w:r>
      <w:r>
        <w:t xml:space="preserve"> </w:t>
      </w:r>
      <w:r w:rsidRPr="00014AAD">
        <w:t>zařízení</w:t>
      </w:r>
      <w:r>
        <w:t xml:space="preserve"> </w:t>
      </w:r>
      <w:r w:rsidRPr="00014AAD">
        <w:t>přenosové</w:t>
      </w:r>
      <w:r>
        <w:t xml:space="preserve"> </w:t>
      </w:r>
      <w:r w:rsidRPr="00014AAD">
        <w:t>soustavy,</w:t>
      </w:r>
      <w:r>
        <w:t xml:space="preserve"> </w:t>
      </w:r>
      <w:r w:rsidRPr="00014AAD">
        <w:t>přetínat</w:t>
      </w:r>
      <w:r>
        <w:t xml:space="preserve"> </w:t>
      </w:r>
      <w:r w:rsidRPr="00014AAD">
        <w:t>tyto</w:t>
      </w:r>
      <w:r>
        <w:t xml:space="preserve"> </w:t>
      </w:r>
      <w:r w:rsidRPr="00014AAD">
        <w:t>nemovitosti</w:t>
      </w:r>
      <w:r>
        <w:t xml:space="preserve"> </w:t>
      </w:r>
      <w:r w:rsidRPr="00014AAD">
        <w:t>vodiči</w:t>
      </w:r>
      <w:r>
        <w:t xml:space="preserve"> </w:t>
      </w:r>
      <w:r w:rsidRPr="00014AAD">
        <w:t>a</w:t>
      </w:r>
      <w:r>
        <w:t xml:space="preserve"> </w:t>
      </w:r>
      <w:r w:rsidRPr="00014AAD">
        <w:t>umísťovat</w:t>
      </w:r>
      <w:r>
        <w:t xml:space="preserve"> </w:t>
      </w:r>
      <w:r w:rsidRPr="00014AAD">
        <w:t>v</w:t>
      </w:r>
      <w:r>
        <w:t xml:space="preserve"> </w:t>
      </w:r>
      <w:r w:rsidRPr="00014AAD">
        <w:t>nich</w:t>
      </w:r>
      <w:r>
        <w:t xml:space="preserve"> </w:t>
      </w:r>
      <w:r w:rsidRPr="00014AAD">
        <w:t>vedení,</w:t>
      </w:r>
    </w:p>
    <w:p w14:paraId="681EBFEF" w14:textId="529FDD07" w:rsidR="00920C2F" w:rsidRDefault="00920C2F" w:rsidP="002E6AEA">
      <w:pPr>
        <w:pStyle w:val="Textparagrafu"/>
        <w:tabs>
          <w:tab w:val="left" w:pos="426"/>
          <w:tab w:val="left" w:pos="826"/>
        </w:tabs>
        <w:spacing w:before="0"/>
        <w:ind w:left="426" w:hanging="426"/>
      </w:pPr>
      <w:r w:rsidRPr="00014AAD">
        <w:t>f)</w:t>
      </w:r>
      <w:r w:rsidR="003569F4">
        <w:tab/>
      </w:r>
      <w:r w:rsidRPr="00014AAD">
        <w:t>vstupovat</w:t>
      </w:r>
      <w:r>
        <w:t xml:space="preserve"> </w:t>
      </w:r>
      <w:r w:rsidRPr="00014AAD">
        <w:t>a</w:t>
      </w:r>
      <w:r>
        <w:t xml:space="preserve"> </w:t>
      </w:r>
      <w:r w:rsidRPr="00014AAD">
        <w:t>vjíždět</w:t>
      </w:r>
      <w:r>
        <w:t xml:space="preserve"> </w:t>
      </w:r>
      <w:r w:rsidRPr="00014AAD">
        <w:t>na</w:t>
      </w:r>
      <w:r>
        <w:t xml:space="preserve"> </w:t>
      </w:r>
      <w:r w:rsidRPr="00014AAD">
        <w:t>cizí</w:t>
      </w:r>
      <w:r>
        <w:t xml:space="preserve"> </w:t>
      </w:r>
      <w:r w:rsidRPr="00014AAD">
        <w:t>nemovitosti</w:t>
      </w:r>
      <w:r>
        <w:t xml:space="preserve"> </w:t>
      </w:r>
      <w:r w:rsidRPr="00014AAD">
        <w:t>v</w:t>
      </w:r>
      <w:r>
        <w:t xml:space="preserve"> </w:t>
      </w:r>
      <w:r w:rsidRPr="00014AAD">
        <w:t>souvislosti</w:t>
      </w:r>
      <w:r>
        <w:t xml:space="preserve"> </w:t>
      </w:r>
      <w:r w:rsidRPr="00014AAD">
        <w:t>se</w:t>
      </w:r>
      <w:r>
        <w:t xml:space="preserve"> </w:t>
      </w:r>
      <w:r w:rsidRPr="00014AAD">
        <w:t>zřizováním,</w:t>
      </w:r>
      <w:r>
        <w:t xml:space="preserve"> </w:t>
      </w:r>
      <w:r w:rsidRPr="00014AAD">
        <w:t>obnovou</w:t>
      </w:r>
      <w:r>
        <w:t xml:space="preserve"> </w:t>
      </w:r>
      <w:r w:rsidRPr="00014AAD">
        <w:t>a</w:t>
      </w:r>
      <w:r>
        <w:t xml:space="preserve"> </w:t>
      </w:r>
      <w:r w:rsidRPr="00014AAD">
        <w:t>provozováním</w:t>
      </w:r>
      <w:r>
        <w:t xml:space="preserve"> </w:t>
      </w:r>
      <w:r w:rsidRPr="00014AAD">
        <w:t>přenosové</w:t>
      </w:r>
      <w:r>
        <w:t xml:space="preserve"> </w:t>
      </w:r>
      <w:r w:rsidRPr="00014AAD">
        <w:t>soustavy,</w:t>
      </w:r>
    </w:p>
    <w:p w14:paraId="7EB62C28" w14:textId="4B0D30D6" w:rsidR="00920C2F" w:rsidRDefault="00920C2F" w:rsidP="002E6AEA">
      <w:pPr>
        <w:pStyle w:val="Textparagrafu"/>
        <w:tabs>
          <w:tab w:val="left" w:pos="426"/>
          <w:tab w:val="left" w:pos="826"/>
        </w:tabs>
        <w:spacing w:before="0"/>
        <w:ind w:left="426" w:hanging="426"/>
      </w:pPr>
      <w:r w:rsidRPr="00014AAD">
        <w:t>g)</w:t>
      </w:r>
      <w:r w:rsidR="003569F4">
        <w:tab/>
      </w:r>
      <w:r w:rsidRPr="00014AAD">
        <w:t>odstraňovat</w:t>
      </w:r>
      <w:r>
        <w:t xml:space="preserve"> </w:t>
      </w:r>
      <w:r w:rsidRPr="00014AAD">
        <w:t>a</w:t>
      </w:r>
      <w:r>
        <w:t xml:space="preserve"> </w:t>
      </w:r>
      <w:r w:rsidRPr="00014AAD">
        <w:t>oklešťovat</w:t>
      </w:r>
      <w:r>
        <w:t xml:space="preserve"> </w:t>
      </w:r>
      <w:r w:rsidRPr="00014AAD">
        <w:t>stromoví</w:t>
      </w:r>
      <w:r>
        <w:t xml:space="preserve"> </w:t>
      </w:r>
      <w:r w:rsidRPr="00014AAD">
        <w:t>a</w:t>
      </w:r>
      <w:r>
        <w:t xml:space="preserve"> </w:t>
      </w:r>
      <w:r w:rsidRPr="00014AAD">
        <w:t>jiné</w:t>
      </w:r>
      <w:r>
        <w:t xml:space="preserve"> </w:t>
      </w:r>
      <w:r w:rsidRPr="00014AAD">
        <w:t>porosty,</w:t>
      </w:r>
      <w:r>
        <w:t xml:space="preserve"> </w:t>
      </w:r>
      <w:r w:rsidRPr="00014AAD">
        <w:t>provádět</w:t>
      </w:r>
      <w:r>
        <w:t xml:space="preserve"> </w:t>
      </w:r>
      <w:r w:rsidRPr="00014AAD">
        <w:t>likvidaci</w:t>
      </w:r>
      <w:r>
        <w:t xml:space="preserve"> </w:t>
      </w:r>
      <w:r w:rsidRPr="00014AAD">
        <w:t>odstraněného</w:t>
      </w:r>
      <w:r>
        <w:t xml:space="preserve"> </w:t>
      </w:r>
      <w:r w:rsidRPr="00014AAD">
        <w:t>a</w:t>
      </w:r>
      <w:r>
        <w:t xml:space="preserve"> </w:t>
      </w:r>
      <w:r w:rsidRPr="00014AAD">
        <w:t>okleštěného</w:t>
      </w:r>
      <w:r>
        <w:t xml:space="preserve"> </w:t>
      </w:r>
      <w:r w:rsidRPr="00014AAD">
        <w:t>stromoví</w:t>
      </w:r>
      <w:r>
        <w:t xml:space="preserve"> </w:t>
      </w:r>
      <w:r w:rsidRPr="00014AAD">
        <w:t>a</w:t>
      </w:r>
      <w:r>
        <w:t xml:space="preserve"> </w:t>
      </w:r>
      <w:r w:rsidRPr="00014AAD">
        <w:t>jiných</w:t>
      </w:r>
      <w:r>
        <w:t xml:space="preserve"> </w:t>
      </w:r>
      <w:r w:rsidRPr="00014AAD">
        <w:t>porostů</w:t>
      </w:r>
      <w:r>
        <w:t xml:space="preserve"> </w:t>
      </w:r>
      <w:r w:rsidRPr="00014AAD">
        <w:t>ohrožujících</w:t>
      </w:r>
      <w:r>
        <w:t xml:space="preserve"> </w:t>
      </w:r>
      <w:r w:rsidRPr="00014AAD">
        <w:t>bezpečné</w:t>
      </w:r>
      <w:r>
        <w:t xml:space="preserve"> </w:t>
      </w:r>
      <w:r w:rsidRPr="00014AAD">
        <w:t>a</w:t>
      </w:r>
      <w:r>
        <w:t xml:space="preserve"> </w:t>
      </w:r>
      <w:r w:rsidRPr="00014AAD">
        <w:t>spolehlivé</w:t>
      </w:r>
      <w:r>
        <w:t xml:space="preserve"> </w:t>
      </w:r>
      <w:r w:rsidRPr="00014AAD">
        <w:t>provozování</w:t>
      </w:r>
      <w:r>
        <w:t xml:space="preserve"> </w:t>
      </w:r>
      <w:r w:rsidRPr="00014AAD">
        <w:t>zařízení</w:t>
      </w:r>
      <w:r>
        <w:t xml:space="preserve"> </w:t>
      </w:r>
      <w:r w:rsidRPr="00014AAD">
        <w:t>přenosové</w:t>
      </w:r>
      <w:r>
        <w:t xml:space="preserve"> </w:t>
      </w:r>
      <w:r w:rsidRPr="00014AAD">
        <w:t>soustavy</w:t>
      </w:r>
      <w:r>
        <w:t xml:space="preserve"> </w:t>
      </w:r>
      <w:r w:rsidRPr="00014AAD">
        <w:t>v</w:t>
      </w:r>
      <w:r>
        <w:t xml:space="preserve"> </w:t>
      </w:r>
      <w:r w:rsidRPr="00014AAD">
        <w:t>případech,</w:t>
      </w:r>
      <w:r>
        <w:t xml:space="preserve"> </w:t>
      </w:r>
      <w:r w:rsidRPr="00014AAD">
        <w:t>kdy</w:t>
      </w:r>
      <w:r>
        <w:t xml:space="preserve"> </w:t>
      </w:r>
      <w:r w:rsidRPr="00014AAD">
        <w:t>tak</w:t>
      </w:r>
      <w:r>
        <w:t xml:space="preserve"> </w:t>
      </w:r>
      <w:r w:rsidRPr="00014AAD">
        <w:t>po</w:t>
      </w:r>
      <w:r>
        <w:t xml:space="preserve"> </w:t>
      </w:r>
      <w:r w:rsidRPr="00014AAD">
        <w:t>předchozím</w:t>
      </w:r>
      <w:r>
        <w:t xml:space="preserve"> </w:t>
      </w:r>
      <w:r w:rsidRPr="00014AAD">
        <w:t>upozornění</w:t>
      </w:r>
      <w:r>
        <w:t xml:space="preserve"> </w:t>
      </w:r>
      <w:r w:rsidRPr="00014AAD">
        <w:t>a</w:t>
      </w:r>
      <w:r>
        <w:t xml:space="preserve"> </w:t>
      </w:r>
      <w:r w:rsidRPr="00014AAD">
        <w:t>stanovení</w:t>
      </w:r>
      <w:r>
        <w:t xml:space="preserve"> </w:t>
      </w:r>
      <w:r w:rsidRPr="00014AAD">
        <w:t>rozsahu</w:t>
      </w:r>
      <w:r>
        <w:t xml:space="preserve"> </w:t>
      </w:r>
      <w:r w:rsidRPr="00014AAD">
        <w:t>neučinil</w:t>
      </w:r>
      <w:r>
        <w:t xml:space="preserve"> </w:t>
      </w:r>
      <w:r w:rsidRPr="00014AAD">
        <w:t>sám</w:t>
      </w:r>
      <w:r>
        <w:t xml:space="preserve"> </w:t>
      </w:r>
      <w:r w:rsidRPr="00014AAD">
        <w:t>vlastník</w:t>
      </w:r>
      <w:r>
        <w:t xml:space="preserve"> </w:t>
      </w:r>
      <w:r w:rsidRPr="00014AAD">
        <w:t>či</w:t>
      </w:r>
      <w:r>
        <w:t xml:space="preserve"> </w:t>
      </w:r>
      <w:r w:rsidRPr="00014AAD">
        <w:t>uživatel,</w:t>
      </w:r>
    </w:p>
    <w:p w14:paraId="2DC8EFCC" w14:textId="22519013" w:rsidR="00920C2F" w:rsidRDefault="00920C2F" w:rsidP="002E6AEA">
      <w:pPr>
        <w:pStyle w:val="Textparagrafu"/>
        <w:tabs>
          <w:tab w:val="left" w:pos="426"/>
          <w:tab w:val="left" w:pos="826"/>
        </w:tabs>
        <w:spacing w:before="0"/>
        <w:ind w:left="426" w:hanging="426"/>
      </w:pPr>
      <w:r w:rsidRPr="00014AAD">
        <w:t>h)</w:t>
      </w:r>
      <w:r w:rsidR="003569F4">
        <w:tab/>
      </w:r>
      <w:r w:rsidRPr="00014AAD">
        <w:t>vstupovat</w:t>
      </w:r>
      <w:r>
        <w:t xml:space="preserve"> </w:t>
      </w:r>
      <w:r w:rsidRPr="00014AAD">
        <w:t>a</w:t>
      </w:r>
      <w:r>
        <w:t xml:space="preserve"> </w:t>
      </w:r>
      <w:r w:rsidRPr="00014AAD">
        <w:t>vjíždět</w:t>
      </w:r>
      <w:r>
        <w:t xml:space="preserve"> </w:t>
      </w:r>
      <w:r w:rsidRPr="00014AAD">
        <w:t>v</w:t>
      </w:r>
      <w:r>
        <w:t xml:space="preserve"> </w:t>
      </w:r>
      <w:r w:rsidRPr="00014AAD">
        <w:t>souladu</w:t>
      </w:r>
      <w:r>
        <w:t xml:space="preserve"> </w:t>
      </w:r>
      <w:r w:rsidRPr="00014AAD">
        <w:t>se</w:t>
      </w:r>
      <w:r>
        <w:t xml:space="preserve"> </w:t>
      </w:r>
      <w:r w:rsidRPr="00014AAD">
        <w:t>zvláštními</w:t>
      </w:r>
      <w:r>
        <w:t xml:space="preserve"> </w:t>
      </w:r>
      <w:r w:rsidRPr="00014AAD">
        <w:t>právními</w:t>
      </w:r>
      <w:r>
        <w:t xml:space="preserve"> </w:t>
      </w:r>
      <w:r w:rsidRPr="00014AAD">
        <w:t>předpisy</w:t>
      </w:r>
      <w:r>
        <w:t xml:space="preserve"> </w:t>
      </w:r>
      <w:r w:rsidRPr="00014AAD">
        <w:t>do</w:t>
      </w:r>
      <w:r>
        <w:t xml:space="preserve"> </w:t>
      </w:r>
      <w:r w:rsidRPr="00014AAD">
        <w:t>uzavřených</w:t>
      </w:r>
      <w:r>
        <w:t xml:space="preserve"> </w:t>
      </w:r>
      <w:r w:rsidRPr="00014AAD">
        <w:t>prostor</w:t>
      </w:r>
      <w:r>
        <w:t xml:space="preserve"> </w:t>
      </w:r>
      <w:r w:rsidRPr="00014AAD">
        <w:t>a</w:t>
      </w:r>
      <w:r>
        <w:t xml:space="preserve"> </w:t>
      </w:r>
      <w:r w:rsidRPr="00014AAD">
        <w:t>zařízení</w:t>
      </w:r>
      <w:r>
        <w:t xml:space="preserve"> </w:t>
      </w:r>
      <w:r w:rsidRPr="00014AAD">
        <w:t>sloužících</w:t>
      </w:r>
      <w:r>
        <w:t xml:space="preserve"> </w:t>
      </w:r>
      <w:r w:rsidRPr="00014AAD">
        <w:t>k</w:t>
      </w:r>
      <w:r>
        <w:t xml:space="preserve"> </w:t>
      </w:r>
      <w:r w:rsidRPr="00014AAD">
        <w:t>výkonu</w:t>
      </w:r>
      <w:r>
        <w:t xml:space="preserve"> </w:t>
      </w:r>
      <w:r w:rsidRPr="00014AAD">
        <w:t>činností</w:t>
      </w:r>
      <w:r>
        <w:t xml:space="preserve"> </w:t>
      </w:r>
      <w:r w:rsidRPr="00014AAD">
        <w:t>a</w:t>
      </w:r>
      <w:r>
        <w:t xml:space="preserve"> </w:t>
      </w:r>
      <w:r w:rsidRPr="00014AAD">
        <w:t>služeb</w:t>
      </w:r>
      <w:r>
        <w:t xml:space="preserve"> </w:t>
      </w:r>
      <w:r w:rsidRPr="00014AAD">
        <w:t>orgánů</w:t>
      </w:r>
      <w:r>
        <w:t xml:space="preserve"> </w:t>
      </w:r>
      <w:r w:rsidRPr="00014AAD">
        <w:t>Ministerstva</w:t>
      </w:r>
      <w:r>
        <w:t xml:space="preserve"> </w:t>
      </w:r>
      <w:r w:rsidRPr="00014AAD">
        <w:t>obrany,</w:t>
      </w:r>
      <w:r>
        <w:t xml:space="preserve"> </w:t>
      </w:r>
      <w:r w:rsidRPr="00014AAD">
        <w:t>Ministerstva</w:t>
      </w:r>
      <w:r>
        <w:t xml:space="preserve"> </w:t>
      </w:r>
      <w:r w:rsidRPr="00014AAD">
        <w:t>vnitra,</w:t>
      </w:r>
      <w:r>
        <w:t xml:space="preserve"> </w:t>
      </w:r>
      <w:r w:rsidRPr="00014AAD">
        <w:t>Ministerstva</w:t>
      </w:r>
      <w:r>
        <w:t xml:space="preserve"> </w:t>
      </w:r>
      <w:r w:rsidRPr="00014AAD">
        <w:t>spravedlnosti,</w:t>
      </w:r>
      <w:r>
        <w:t xml:space="preserve"> </w:t>
      </w:r>
      <w:r w:rsidRPr="00014AAD">
        <w:t>Bezpečnostní</w:t>
      </w:r>
      <w:r>
        <w:t xml:space="preserve"> </w:t>
      </w:r>
      <w:r w:rsidRPr="00014AAD">
        <w:t>informační</w:t>
      </w:r>
      <w:r>
        <w:t xml:space="preserve"> </w:t>
      </w:r>
      <w:r w:rsidRPr="00014AAD">
        <w:t>služby</w:t>
      </w:r>
      <w:r>
        <w:t xml:space="preserve"> </w:t>
      </w:r>
      <w:r w:rsidRPr="00014AAD">
        <w:t>a</w:t>
      </w:r>
      <w:r>
        <w:t xml:space="preserve"> </w:t>
      </w:r>
      <w:r w:rsidRPr="00014AAD">
        <w:t>do</w:t>
      </w:r>
      <w:r>
        <w:t xml:space="preserve"> </w:t>
      </w:r>
      <w:r w:rsidRPr="00014AAD">
        <w:t>obvodu</w:t>
      </w:r>
      <w:r>
        <w:t xml:space="preserve"> </w:t>
      </w:r>
      <w:r w:rsidRPr="00014AAD">
        <w:t>dráhy,</w:t>
      </w:r>
      <w:r>
        <w:t xml:space="preserve"> </w:t>
      </w:r>
      <w:r w:rsidRPr="00014AAD">
        <w:t>jakož</w:t>
      </w:r>
      <w:r>
        <w:t xml:space="preserve"> </w:t>
      </w:r>
      <w:r w:rsidRPr="00014AAD">
        <w:t>i</w:t>
      </w:r>
      <w:r>
        <w:t xml:space="preserve"> </w:t>
      </w:r>
      <w:r w:rsidRPr="00014AAD">
        <w:t>vstupovat</w:t>
      </w:r>
      <w:r>
        <w:t xml:space="preserve"> </w:t>
      </w:r>
      <w:r w:rsidRPr="00014AAD">
        <w:t>a</w:t>
      </w:r>
      <w:r>
        <w:t xml:space="preserve"> </w:t>
      </w:r>
      <w:r w:rsidRPr="00014AAD">
        <w:t>vjíždět</w:t>
      </w:r>
      <w:r>
        <w:t xml:space="preserve"> </w:t>
      </w:r>
      <w:r w:rsidRPr="00014AAD">
        <w:t>na</w:t>
      </w:r>
      <w:r>
        <w:t xml:space="preserve"> </w:t>
      </w:r>
      <w:r w:rsidRPr="00014AAD">
        <w:t>nemovitosti,</w:t>
      </w:r>
      <w:r>
        <w:t xml:space="preserve"> </w:t>
      </w:r>
      <w:r w:rsidRPr="00014AAD">
        <w:t>kde</w:t>
      </w:r>
      <w:r>
        <w:t xml:space="preserve"> </w:t>
      </w:r>
      <w:r w:rsidRPr="00014AAD">
        <w:t>jsou</w:t>
      </w:r>
      <w:r>
        <w:t xml:space="preserve"> </w:t>
      </w:r>
      <w:r w:rsidRPr="00014AAD">
        <w:t>umístěna</w:t>
      </w:r>
      <w:r>
        <w:t xml:space="preserve"> </w:t>
      </w:r>
      <w:r w:rsidRPr="00014AAD">
        <w:t>zvláštní</w:t>
      </w:r>
      <w:r>
        <w:t xml:space="preserve"> </w:t>
      </w:r>
      <w:r w:rsidRPr="00014AAD">
        <w:t>zařízení</w:t>
      </w:r>
      <w:r>
        <w:t xml:space="preserve"> </w:t>
      </w:r>
      <w:r w:rsidRPr="00014AAD">
        <w:t>telekomunikací,</w:t>
      </w:r>
      <w:r>
        <w:t xml:space="preserve"> </w:t>
      </w:r>
      <w:r w:rsidRPr="00014AAD">
        <w:t>v</w:t>
      </w:r>
      <w:r>
        <w:t xml:space="preserve"> </w:t>
      </w:r>
      <w:r w:rsidRPr="00014AAD">
        <w:t>rozsahu</w:t>
      </w:r>
      <w:r>
        <w:t xml:space="preserve"> </w:t>
      </w:r>
      <w:r w:rsidRPr="00014AAD">
        <w:t>a</w:t>
      </w:r>
      <w:r>
        <w:t xml:space="preserve"> </w:t>
      </w:r>
      <w:r w:rsidRPr="00014AAD">
        <w:t>způsobem</w:t>
      </w:r>
      <w:r>
        <w:t xml:space="preserve"> </w:t>
      </w:r>
      <w:r w:rsidRPr="00014AAD">
        <w:t>nezbytným</w:t>
      </w:r>
      <w:r>
        <w:t xml:space="preserve"> </w:t>
      </w:r>
      <w:r w:rsidRPr="00014AAD">
        <w:t>pro</w:t>
      </w:r>
      <w:r>
        <w:t xml:space="preserve"> </w:t>
      </w:r>
      <w:r w:rsidRPr="00014AAD">
        <w:t>výkon</w:t>
      </w:r>
      <w:r>
        <w:t xml:space="preserve"> </w:t>
      </w:r>
      <w:r w:rsidRPr="00014AAD">
        <w:t>licencované</w:t>
      </w:r>
      <w:r>
        <w:t xml:space="preserve"> </w:t>
      </w:r>
      <w:r w:rsidRPr="00014AAD">
        <w:t>činnosti,</w:t>
      </w:r>
    </w:p>
    <w:p w14:paraId="10A422EE" w14:textId="5AA66718" w:rsidR="00920C2F" w:rsidRDefault="00920C2F" w:rsidP="002E6AEA">
      <w:pPr>
        <w:pStyle w:val="Textparagrafu"/>
        <w:tabs>
          <w:tab w:val="left" w:pos="426"/>
          <w:tab w:val="left" w:pos="826"/>
        </w:tabs>
        <w:spacing w:before="0"/>
        <w:ind w:left="426" w:hanging="426"/>
      </w:pPr>
      <w:r w:rsidRPr="00014AAD">
        <w:t>i)</w:t>
      </w:r>
      <w:r w:rsidR="003569F4">
        <w:tab/>
      </w:r>
      <w:r w:rsidRPr="00014AAD">
        <w:t>pro</w:t>
      </w:r>
      <w:r>
        <w:t xml:space="preserve"> </w:t>
      </w:r>
      <w:r w:rsidRPr="00014AAD">
        <w:t>zajištění</w:t>
      </w:r>
      <w:r>
        <w:t xml:space="preserve"> </w:t>
      </w:r>
      <w:r w:rsidRPr="00014AAD">
        <w:t>integrace</w:t>
      </w:r>
      <w:r>
        <w:t xml:space="preserve"> </w:t>
      </w:r>
      <w:r w:rsidRPr="00014AAD">
        <w:t>vnitřního</w:t>
      </w:r>
      <w:r>
        <w:t xml:space="preserve"> </w:t>
      </w:r>
      <w:r w:rsidRPr="00014AAD">
        <w:t>evropského</w:t>
      </w:r>
      <w:r>
        <w:t xml:space="preserve"> </w:t>
      </w:r>
      <w:r w:rsidRPr="00014AAD">
        <w:t>trhu</w:t>
      </w:r>
      <w:r>
        <w:t xml:space="preserve"> </w:t>
      </w:r>
      <w:r w:rsidRPr="00014AAD">
        <w:t>s</w:t>
      </w:r>
      <w:r>
        <w:t xml:space="preserve"> </w:t>
      </w:r>
      <w:r w:rsidRPr="00014AAD">
        <w:t>elektřinou</w:t>
      </w:r>
      <w:r>
        <w:t xml:space="preserve"> </w:t>
      </w:r>
      <w:r w:rsidRPr="00014AAD">
        <w:t>nabývat</w:t>
      </w:r>
      <w:r>
        <w:t xml:space="preserve"> </w:t>
      </w:r>
      <w:r w:rsidRPr="00014AAD">
        <w:t>vlastnické</w:t>
      </w:r>
      <w:r>
        <w:t xml:space="preserve"> </w:t>
      </w:r>
      <w:r w:rsidRPr="00014AAD">
        <w:t>právo</w:t>
      </w:r>
      <w:r>
        <w:t xml:space="preserve"> </w:t>
      </w:r>
      <w:r w:rsidRPr="00014AAD">
        <w:t>k</w:t>
      </w:r>
      <w:r>
        <w:t xml:space="preserve"> </w:t>
      </w:r>
      <w:r w:rsidRPr="00014AAD">
        <w:t>elektřině,</w:t>
      </w:r>
    </w:p>
    <w:p w14:paraId="03DCB252" w14:textId="18596B59" w:rsidR="00920C2F" w:rsidRDefault="00920C2F" w:rsidP="0010420C">
      <w:pPr>
        <w:pStyle w:val="Textparagrafu"/>
        <w:tabs>
          <w:tab w:val="left" w:pos="420"/>
        </w:tabs>
        <w:spacing w:before="120" w:after="120"/>
      </w:pPr>
      <w:r w:rsidRPr="00014AAD">
        <w:t>(4)</w:t>
      </w:r>
      <w:r>
        <w:t xml:space="preserve"> </w:t>
      </w:r>
      <w:r w:rsidRPr="00014AAD">
        <w:t>Provozovatel</w:t>
      </w:r>
      <w:r>
        <w:t xml:space="preserve"> </w:t>
      </w:r>
      <w:r w:rsidRPr="00014AAD">
        <w:t>přenosové</w:t>
      </w:r>
      <w:r>
        <w:t xml:space="preserve"> </w:t>
      </w:r>
      <w:r w:rsidRPr="00014AAD">
        <w:t>soustavy</w:t>
      </w:r>
      <w:r>
        <w:t xml:space="preserve"> </w:t>
      </w:r>
      <w:r w:rsidRPr="00014AAD">
        <w:t>je</w:t>
      </w:r>
      <w:r>
        <w:t xml:space="preserve"> </w:t>
      </w:r>
      <w:r w:rsidRPr="00014AAD">
        <w:t>povinen</w:t>
      </w:r>
      <w:r>
        <w:t xml:space="preserve"> </w:t>
      </w:r>
      <w:r w:rsidRPr="00014AAD">
        <w:t>zřídit</w:t>
      </w:r>
      <w:r>
        <w:t xml:space="preserve"> </w:t>
      </w:r>
      <w:r w:rsidRPr="00014AAD">
        <w:t>věcné</w:t>
      </w:r>
      <w:r>
        <w:t xml:space="preserve"> </w:t>
      </w:r>
      <w:r w:rsidRPr="00014AAD">
        <w:t>břemeno</w:t>
      </w:r>
      <w:r>
        <w:t xml:space="preserve"> </w:t>
      </w:r>
      <w:r w:rsidRPr="00014AAD">
        <w:t>umožňující</w:t>
      </w:r>
      <w:r>
        <w:t xml:space="preserve"> </w:t>
      </w:r>
      <w:r w:rsidRPr="00014AAD">
        <w:t>využití</w:t>
      </w:r>
      <w:r>
        <w:t xml:space="preserve"> </w:t>
      </w:r>
      <w:r w:rsidRPr="00014AAD">
        <w:t>cizí</w:t>
      </w:r>
      <w:r>
        <w:t xml:space="preserve"> </w:t>
      </w:r>
      <w:r w:rsidRPr="00014AAD">
        <w:t>nemovitosti</w:t>
      </w:r>
      <w:r>
        <w:t xml:space="preserve"> </w:t>
      </w:r>
      <w:r w:rsidRPr="00014AAD">
        <w:t>nebo</w:t>
      </w:r>
      <w:r>
        <w:t xml:space="preserve"> </w:t>
      </w:r>
      <w:r w:rsidRPr="00014AAD">
        <w:t>její</w:t>
      </w:r>
      <w:r>
        <w:t xml:space="preserve"> </w:t>
      </w:r>
      <w:r w:rsidRPr="00014AAD">
        <w:t>části</w:t>
      </w:r>
      <w:r>
        <w:t xml:space="preserve"> </w:t>
      </w:r>
      <w:r w:rsidRPr="00014AAD">
        <w:t>pro</w:t>
      </w:r>
      <w:r>
        <w:t xml:space="preserve"> </w:t>
      </w:r>
      <w:r w:rsidRPr="00014AAD">
        <w:t>účely</w:t>
      </w:r>
      <w:r>
        <w:t xml:space="preserve"> </w:t>
      </w:r>
      <w:r w:rsidRPr="00014AAD">
        <w:t>uvedené</w:t>
      </w:r>
      <w:r>
        <w:t xml:space="preserve"> </w:t>
      </w:r>
      <w:r w:rsidRPr="00014AAD">
        <w:t>v</w:t>
      </w:r>
      <w:r>
        <w:t xml:space="preserve"> </w:t>
      </w:r>
      <w:r w:rsidRPr="00014AAD">
        <w:t>odstavci</w:t>
      </w:r>
      <w:r>
        <w:t xml:space="preserve"> </w:t>
      </w:r>
      <w:r w:rsidRPr="00014AAD">
        <w:t>3</w:t>
      </w:r>
      <w:r>
        <w:t xml:space="preserve"> </w:t>
      </w:r>
      <w:r w:rsidRPr="00014AAD">
        <w:t>písm.</w:t>
      </w:r>
      <w:r>
        <w:t xml:space="preserve"> </w:t>
      </w:r>
      <w:r w:rsidRPr="00014AAD">
        <w:t>e),</w:t>
      </w:r>
      <w:r>
        <w:t xml:space="preserve"> </w:t>
      </w:r>
      <w:r w:rsidRPr="00014AAD">
        <w:t>a</w:t>
      </w:r>
      <w:r>
        <w:t xml:space="preserve"> </w:t>
      </w:r>
      <w:r w:rsidRPr="00014AAD">
        <w:t>to</w:t>
      </w:r>
      <w:r>
        <w:t xml:space="preserve"> </w:t>
      </w:r>
      <w:r w:rsidRPr="00014AAD">
        <w:t>smluvně</w:t>
      </w:r>
      <w:r>
        <w:t xml:space="preserve"> </w:t>
      </w:r>
      <w:r w:rsidRPr="00014AAD">
        <w:t>s</w:t>
      </w:r>
      <w:r>
        <w:t xml:space="preserve"> </w:t>
      </w:r>
      <w:r w:rsidRPr="00014AAD">
        <w:t>vlastníkem</w:t>
      </w:r>
      <w:r>
        <w:t xml:space="preserve"> </w:t>
      </w:r>
      <w:r w:rsidRPr="00014AAD">
        <w:t>nemovitosti</w:t>
      </w:r>
      <w:r>
        <w:t xml:space="preserve"> </w:t>
      </w:r>
      <w:r w:rsidRPr="00014AAD">
        <w:t>za</w:t>
      </w:r>
      <w:r>
        <w:t xml:space="preserve"> </w:t>
      </w:r>
      <w:r w:rsidRPr="00014AAD">
        <w:t>jednorázovou</w:t>
      </w:r>
      <w:r>
        <w:t xml:space="preserve"> </w:t>
      </w:r>
      <w:r w:rsidRPr="00014AAD">
        <w:t>náhradu</w:t>
      </w:r>
      <w:r>
        <w:t xml:space="preserve"> </w:t>
      </w:r>
      <w:r w:rsidRPr="00014AAD">
        <w:t>ve</w:t>
      </w:r>
      <w:r>
        <w:t xml:space="preserve"> </w:t>
      </w:r>
      <w:r w:rsidRPr="00014AAD">
        <w:t>výši</w:t>
      </w:r>
      <w:r>
        <w:t xml:space="preserve"> </w:t>
      </w:r>
      <w:r w:rsidRPr="00F20977">
        <w:rPr>
          <w:strike/>
        </w:rPr>
        <w:t>ceny zjištěné podle oceňovacího předpisu</w:t>
      </w:r>
      <w:r w:rsidRPr="00F20977">
        <w:rPr>
          <w:strike/>
          <w:vertAlign w:val="superscript"/>
        </w:rPr>
        <w:t>47)</w:t>
      </w:r>
      <w:r w:rsidR="00F20977" w:rsidRPr="00F20977">
        <w:rPr>
          <w:b/>
          <w:bCs/>
        </w:rPr>
        <w:t xml:space="preserve"> </w:t>
      </w:r>
      <w:r w:rsidR="00F20977" w:rsidRPr="00533343">
        <w:rPr>
          <w:b/>
          <w:bCs/>
        </w:rPr>
        <w:t>zjištěné hodnoty podle zákona o oceňování</w:t>
      </w:r>
      <w:r w:rsidRPr="00014AAD">
        <w:t>,</w:t>
      </w:r>
      <w:r>
        <w:t xml:space="preserve"> </w:t>
      </w:r>
      <w:r w:rsidRPr="00014AAD">
        <w:t>pokud</w:t>
      </w:r>
      <w:r>
        <w:t xml:space="preserve"> </w:t>
      </w:r>
      <w:r w:rsidRPr="00014AAD">
        <w:t>se</w:t>
      </w:r>
      <w:r>
        <w:t xml:space="preserve"> </w:t>
      </w:r>
      <w:r w:rsidRPr="00014AAD">
        <w:t>strany</w:t>
      </w:r>
      <w:r>
        <w:t xml:space="preserve"> </w:t>
      </w:r>
      <w:r w:rsidRPr="00014AAD">
        <w:t>nedohodnou</w:t>
      </w:r>
      <w:r>
        <w:t xml:space="preserve"> </w:t>
      </w:r>
      <w:r w:rsidRPr="00014AAD">
        <w:t>jinak;</w:t>
      </w:r>
      <w:r>
        <w:t xml:space="preserve"> </w:t>
      </w:r>
      <w:r w:rsidRPr="00014AAD">
        <w:t>v</w:t>
      </w:r>
      <w:r>
        <w:t xml:space="preserve"> </w:t>
      </w:r>
      <w:r w:rsidRPr="00014AAD">
        <w:t>případě,</w:t>
      </w:r>
      <w:r>
        <w:t xml:space="preserve"> </w:t>
      </w:r>
      <w:r w:rsidRPr="00014AAD">
        <w:t>že</w:t>
      </w:r>
      <w:r>
        <w:t xml:space="preserve"> </w:t>
      </w:r>
      <w:r w:rsidRPr="00014AAD">
        <w:t>vlastník</w:t>
      </w:r>
      <w:r>
        <w:t xml:space="preserve"> </w:t>
      </w:r>
      <w:r w:rsidRPr="00014AAD">
        <w:t>není</w:t>
      </w:r>
      <w:r>
        <w:t xml:space="preserve"> </w:t>
      </w:r>
      <w:r w:rsidRPr="00014AAD">
        <w:t>znám</w:t>
      </w:r>
      <w:r>
        <w:t xml:space="preserve"> </w:t>
      </w:r>
      <w:r w:rsidRPr="00014AAD">
        <w:t>nebo</w:t>
      </w:r>
      <w:r>
        <w:t xml:space="preserve"> </w:t>
      </w:r>
      <w:r w:rsidRPr="00014AAD">
        <w:t>určen</w:t>
      </w:r>
      <w:r>
        <w:t xml:space="preserve"> </w:t>
      </w:r>
      <w:r w:rsidRPr="00014AAD">
        <w:t>nebo</w:t>
      </w:r>
      <w:r>
        <w:t xml:space="preserve"> </w:t>
      </w:r>
      <w:r w:rsidRPr="00014AAD">
        <w:t>proto,</w:t>
      </w:r>
      <w:r>
        <w:t xml:space="preserve"> </w:t>
      </w:r>
      <w:r w:rsidRPr="00014AAD">
        <w:t>že</w:t>
      </w:r>
      <w:r>
        <w:t xml:space="preserve"> </w:t>
      </w:r>
      <w:r w:rsidRPr="00014AAD">
        <w:t>je</w:t>
      </w:r>
      <w:r>
        <w:t xml:space="preserve"> </w:t>
      </w:r>
      <w:r w:rsidRPr="00014AAD">
        <w:t>prokazatelně</w:t>
      </w:r>
      <w:r>
        <w:t xml:space="preserve"> </w:t>
      </w:r>
      <w:r w:rsidRPr="00014AAD">
        <w:t>nedosažitelný</w:t>
      </w:r>
      <w:r>
        <w:t xml:space="preserve"> </w:t>
      </w:r>
      <w:r w:rsidRPr="00014AAD">
        <w:t>nebo</w:t>
      </w:r>
      <w:r>
        <w:t xml:space="preserve"> </w:t>
      </w:r>
      <w:r w:rsidRPr="00014AAD">
        <w:t>nečinný</w:t>
      </w:r>
      <w:r>
        <w:t xml:space="preserve"> </w:t>
      </w:r>
      <w:r w:rsidRPr="00014AAD">
        <w:t>nebo</w:t>
      </w:r>
      <w:r>
        <w:t xml:space="preserve"> </w:t>
      </w:r>
      <w:r w:rsidRPr="00014AAD">
        <w:t>nedošlo</w:t>
      </w:r>
      <w:r>
        <w:t xml:space="preserve"> </w:t>
      </w:r>
      <w:r w:rsidRPr="00014AAD">
        <w:t>k</w:t>
      </w:r>
      <w:r>
        <w:t xml:space="preserve"> </w:t>
      </w:r>
      <w:r w:rsidRPr="00014AAD">
        <w:t>dohodě</w:t>
      </w:r>
      <w:r>
        <w:t xml:space="preserve"> </w:t>
      </w:r>
      <w:r w:rsidRPr="00014AAD">
        <w:t>s</w:t>
      </w:r>
      <w:r>
        <w:t xml:space="preserve"> </w:t>
      </w:r>
      <w:r w:rsidRPr="00014AAD">
        <w:t>ním</w:t>
      </w:r>
      <w:r>
        <w:t xml:space="preserve"> </w:t>
      </w:r>
      <w:r w:rsidRPr="00014AAD">
        <w:t>a</w:t>
      </w:r>
      <w:r>
        <w:t xml:space="preserve"> </w:t>
      </w:r>
      <w:r w:rsidRPr="00014AAD">
        <w:t>jsou-li</w:t>
      </w:r>
      <w:r>
        <w:t xml:space="preserve"> </w:t>
      </w:r>
      <w:r w:rsidRPr="00014AAD">
        <w:t>dány</w:t>
      </w:r>
      <w:r>
        <w:t xml:space="preserve"> </w:t>
      </w:r>
      <w:r w:rsidRPr="00014AAD">
        <w:t>podmínky</w:t>
      </w:r>
      <w:r>
        <w:t xml:space="preserve"> </w:t>
      </w:r>
      <w:r w:rsidRPr="00014AAD">
        <w:t>pro</w:t>
      </w:r>
      <w:r>
        <w:t xml:space="preserve"> </w:t>
      </w:r>
      <w:r w:rsidRPr="00014AAD">
        <w:t>omezení</w:t>
      </w:r>
      <w:r>
        <w:t xml:space="preserve"> </w:t>
      </w:r>
      <w:r w:rsidRPr="00014AAD">
        <w:t>vlastnického</w:t>
      </w:r>
      <w:r>
        <w:t xml:space="preserve"> </w:t>
      </w:r>
      <w:r w:rsidRPr="00014AAD">
        <w:t>práva</w:t>
      </w:r>
      <w:r>
        <w:t xml:space="preserve"> </w:t>
      </w:r>
      <w:r w:rsidRPr="00014AAD">
        <w:t>k</w:t>
      </w:r>
      <w:r>
        <w:t xml:space="preserve"> </w:t>
      </w:r>
      <w:r w:rsidRPr="00014AAD">
        <w:t>pozemku</w:t>
      </w:r>
      <w:r>
        <w:t xml:space="preserve"> </w:t>
      </w:r>
      <w:r w:rsidRPr="00014AAD">
        <w:t>nebo</w:t>
      </w:r>
      <w:r>
        <w:t xml:space="preserve"> </w:t>
      </w:r>
      <w:r w:rsidRPr="00014AAD">
        <w:t>ke</w:t>
      </w:r>
      <w:r>
        <w:t xml:space="preserve"> </w:t>
      </w:r>
      <w:r w:rsidRPr="00014AAD">
        <w:t>stavbě</w:t>
      </w:r>
      <w:r>
        <w:t xml:space="preserve"> </w:t>
      </w:r>
      <w:r w:rsidRPr="00014AAD">
        <w:t>podle</w:t>
      </w:r>
      <w:r>
        <w:t xml:space="preserve"> </w:t>
      </w:r>
      <w:r w:rsidRPr="00014AAD">
        <w:t>zvláštního</w:t>
      </w:r>
      <w:r>
        <w:t xml:space="preserve"> </w:t>
      </w:r>
      <w:r w:rsidRPr="00014AAD">
        <w:t>právního</w:t>
      </w:r>
      <w:r>
        <w:t xml:space="preserve"> </w:t>
      </w:r>
      <w:r w:rsidR="003569F4">
        <w:t>předpisu</w:t>
      </w:r>
      <w:r w:rsidR="003569F4">
        <w:rPr>
          <w:rStyle w:val="Znakapoznpodarou"/>
        </w:rPr>
        <w:footnoteReference w:customMarkFollows="1" w:id="389"/>
        <w:t>4e)</w:t>
      </w:r>
      <w:r w:rsidRPr="00014AAD">
        <w:t>,</w:t>
      </w:r>
      <w:r>
        <w:t xml:space="preserve"> </w:t>
      </w:r>
      <w:r w:rsidRPr="00014AAD">
        <w:t>vydá</w:t>
      </w:r>
      <w:r>
        <w:t xml:space="preserve"> </w:t>
      </w:r>
      <w:r w:rsidRPr="00014AAD">
        <w:t>příslušný</w:t>
      </w:r>
      <w:r>
        <w:t xml:space="preserve"> </w:t>
      </w:r>
      <w:r w:rsidRPr="00014AAD">
        <w:t>vyvlastňovací</w:t>
      </w:r>
      <w:r>
        <w:t xml:space="preserve"> </w:t>
      </w:r>
      <w:r w:rsidRPr="00014AAD">
        <w:t>úřad</w:t>
      </w:r>
      <w:r>
        <w:t xml:space="preserve"> </w:t>
      </w:r>
      <w:r w:rsidRPr="00014AAD">
        <w:t>na</w:t>
      </w:r>
      <w:r>
        <w:t xml:space="preserve"> </w:t>
      </w:r>
      <w:r w:rsidRPr="00014AAD">
        <w:t>návrh</w:t>
      </w:r>
      <w:r>
        <w:t xml:space="preserve"> </w:t>
      </w:r>
      <w:r w:rsidRPr="00014AAD">
        <w:t>provozovatele</w:t>
      </w:r>
      <w:r>
        <w:t xml:space="preserve"> </w:t>
      </w:r>
      <w:r w:rsidRPr="00014AAD">
        <w:t>přenosové</w:t>
      </w:r>
      <w:r>
        <w:t xml:space="preserve"> </w:t>
      </w:r>
      <w:r w:rsidRPr="00014AAD">
        <w:t>soustavy</w:t>
      </w:r>
      <w:r>
        <w:t xml:space="preserve"> </w:t>
      </w:r>
      <w:r w:rsidRPr="00014AAD">
        <w:t>rozhodnutí</w:t>
      </w:r>
      <w:r>
        <w:t xml:space="preserve"> </w:t>
      </w:r>
      <w:r w:rsidRPr="00014AAD">
        <w:t>o</w:t>
      </w:r>
      <w:r>
        <w:t xml:space="preserve"> </w:t>
      </w:r>
      <w:r w:rsidRPr="00014AAD">
        <w:t>zřízení</w:t>
      </w:r>
      <w:r>
        <w:t xml:space="preserve"> </w:t>
      </w:r>
      <w:r w:rsidRPr="00014AAD">
        <w:t>věcného</w:t>
      </w:r>
      <w:r>
        <w:t xml:space="preserve"> </w:t>
      </w:r>
      <w:r w:rsidRPr="00014AAD">
        <w:t>břemene</w:t>
      </w:r>
      <w:r>
        <w:t xml:space="preserve"> </w:t>
      </w:r>
      <w:r w:rsidRPr="00014AAD">
        <w:t>umožňujícího</w:t>
      </w:r>
      <w:r>
        <w:t xml:space="preserve"> </w:t>
      </w:r>
      <w:r w:rsidRPr="00014AAD">
        <w:t>využití</w:t>
      </w:r>
      <w:r>
        <w:t xml:space="preserve"> </w:t>
      </w:r>
      <w:r w:rsidRPr="00014AAD">
        <w:t>této</w:t>
      </w:r>
      <w:r>
        <w:t xml:space="preserve"> </w:t>
      </w:r>
      <w:r w:rsidRPr="00014AAD">
        <w:t>nemovitosti</w:t>
      </w:r>
      <w:r>
        <w:t xml:space="preserve"> </w:t>
      </w:r>
      <w:r w:rsidRPr="00014AAD">
        <w:t>nebo</w:t>
      </w:r>
      <w:r>
        <w:t xml:space="preserve"> </w:t>
      </w:r>
      <w:r w:rsidRPr="00014AAD">
        <w:t>její</w:t>
      </w:r>
      <w:r>
        <w:t xml:space="preserve"> </w:t>
      </w:r>
      <w:r w:rsidRPr="00014AAD">
        <w:t>části.</w:t>
      </w:r>
      <w:r>
        <w:t xml:space="preserve"> </w:t>
      </w:r>
      <w:r w:rsidRPr="00014AAD">
        <w:t>To</w:t>
      </w:r>
      <w:r>
        <w:t xml:space="preserve"> </w:t>
      </w:r>
      <w:r w:rsidRPr="00014AAD">
        <w:t>platí</w:t>
      </w:r>
      <w:r>
        <w:t xml:space="preserve"> </w:t>
      </w:r>
      <w:r w:rsidRPr="00014AAD">
        <w:t>i</w:t>
      </w:r>
      <w:r>
        <w:t xml:space="preserve"> </w:t>
      </w:r>
      <w:r w:rsidRPr="00014AAD">
        <w:t>v</w:t>
      </w:r>
      <w:r>
        <w:t xml:space="preserve"> </w:t>
      </w:r>
      <w:r w:rsidRPr="00014AAD">
        <w:t>případě,</w:t>
      </w:r>
      <w:r>
        <w:t xml:space="preserve"> </w:t>
      </w:r>
      <w:r w:rsidRPr="00014AAD">
        <w:t>kdy</w:t>
      </w:r>
      <w:r>
        <w:t xml:space="preserve"> </w:t>
      </w:r>
      <w:r w:rsidRPr="00014AAD">
        <w:t>je</w:t>
      </w:r>
      <w:r>
        <w:t xml:space="preserve"> </w:t>
      </w:r>
      <w:r w:rsidRPr="00014AAD">
        <w:t>stavba,</w:t>
      </w:r>
      <w:r>
        <w:t xml:space="preserve"> </w:t>
      </w:r>
      <w:r w:rsidRPr="00014AAD">
        <w:t>pro</w:t>
      </w:r>
      <w:r>
        <w:t xml:space="preserve"> </w:t>
      </w:r>
      <w:r w:rsidRPr="00014AAD">
        <w:t>kterou</w:t>
      </w:r>
      <w:r>
        <w:t xml:space="preserve"> </w:t>
      </w:r>
      <w:r w:rsidRPr="00014AAD">
        <w:t>se</w:t>
      </w:r>
      <w:r>
        <w:t xml:space="preserve"> </w:t>
      </w:r>
      <w:r w:rsidRPr="00014AAD">
        <w:t>právo</w:t>
      </w:r>
      <w:r>
        <w:t xml:space="preserve"> </w:t>
      </w:r>
      <w:r w:rsidRPr="00014AAD">
        <w:t>vyvlastňuje,</w:t>
      </w:r>
      <w:r>
        <w:t xml:space="preserve"> </w:t>
      </w:r>
      <w:r w:rsidRPr="00014AAD">
        <w:t>zřizována</w:t>
      </w:r>
      <w:r>
        <w:t xml:space="preserve"> </w:t>
      </w:r>
      <w:r w:rsidRPr="00014AAD">
        <w:t>nebo</w:t>
      </w:r>
      <w:r>
        <w:t xml:space="preserve"> </w:t>
      </w:r>
      <w:r w:rsidRPr="00014AAD">
        <w:t>již</w:t>
      </w:r>
      <w:r>
        <w:t xml:space="preserve"> </w:t>
      </w:r>
      <w:r w:rsidRPr="00014AAD">
        <w:t>byla</w:t>
      </w:r>
      <w:r>
        <w:t xml:space="preserve"> </w:t>
      </w:r>
      <w:r w:rsidRPr="00014AAD">
        <w:t>zřízena</w:t>
      </w:r>
      <w:r>
        <w:t xml:space="preserve"> </w:t>
      </w:r>
      <w:r w:rsidRPr="00014AAD">
        <w:t>a</w:t>
      </w:r>
      <w:r>
        <w:t xml:space="preserve"> </w:t>
      </w:r>
      <w:r w:rsidRPr="00014AAD">
        <w:t>zřízení</w:t>
      </w:r>
      <w:r>
        <w:t xml:space="preserve"> </w:t>
      </w:r>
      <w:r w:rsidRPr="00014AAD">
        <w:t>věcného</w:t>
      </w:r>
      <w:r>
        <w:t xml:space="preserve"> </w:t>
      </w:r>
      <w:r w:rsidRPr="00014AAD">
        <w:t>břemene</w:t>
      </w:r>
      <w:r>
        <w:t xml:space="preserve"> </w:t>
      </w:r>
      <w:r w:rsidRPr="00014AAD">
        <w:t>nezmařil</w:t>
      </w:r>
      <w:r>
        <w:t xml:space="preserve"> </w:t>
      </w:r>
      <w:r w:rsidRPr="00014AAD">
        <w:t>provozovatel</w:t>
      </w:r>
      <w:r>
        <w:t xml:space="preserve"> </w:t>
      </w:r>
      <w:r w:rsidRPr="00014AAD">
        <w:t>přenosové</w:t>
      </w:r>
      <w:r>
        <w:t xml:space="preserve"> </w:t>
      </w:r>
      <w:r w:rsidRPr="00014AAD">
        <w:t>soustavy.</w:t>
      </w:r>
    </w:p>
    <w:p w14:paraId="44B1AD8F" w14:textId="77777777" w:rsidR="00920C2F" w:rsidRDefault="00920C2F" w:rsidP="0010420C">
      <w:pPr>
        <w:pStyle w:val="Textparagrafu"/>
        <w:tabs>
          <w:tab w:val="left" w:pos="420"/>
        </w:tabs>
        <w:spacing w:before="120" w:after="120"/>
      </w:pPr>
      <w:r w:rsidRPr="00014AAD">
        <w:lastRenderedPageBreak/>
        <w:t>(5)</w:t>
      </w:r>
      <w:r>
        <w:t xml:space="preserve"> </w:t>
      </w:r>
      <w:r w:rsidRPr="00014AAD">
        <w:t>V</w:t>
      </w:r>
      <w:r>
        <w:t xml:space="preserve"> </w:t>
      </w:r>
      <w:r w:rsidRPr="00014AAD">
        <w:t>případech</w:t>
      </w:r>
      <w:r>
        <w:t xml:space="preserve"> </w:t>
      </w:r>
      <w:r w:rsidRPr="00014AAD">
        <w:t>uvedených</w:t>
      </w:r>
      <w:r>
        <w:t xml:space="preserve"> </w:t>
      </w:r>
      <w:r w:rsidRPr="00014AAD">
        <w:t>v</w:t>
      </w:r>
      <w:r>
        <w:t xml:space="preserve"> </w:t>
      </w:r>
      <w:r w:rsidRPr="00014AAD">
        <w:t>odstavci</w:t>
      </w:r>
      <w:r>
        <w:t xml:space="preserve"> </w:t>
      </w:r>
      <w:r w:rsidRPr="00014AAD">
        <w:t>3</w:t>
      </w:r>
      <w:r>
        <w:t xml:space="preserve"> </w:t>
      </w:r>
      <w:r w:rsidRPr="00014AAD">
        <w:t>písm.</w:t>
      </w:r>
      <w:r>
        <w:t xml:space="preserve"> </w:t>
      </w:r>
      <w:r w:rsidRPr="00014AAD">
        <w:t>c)</w:t>
      </w:r>
      <w:r>
        <w:t xml:space="preserve"> </w:t>
      </w:r>
      <w:r w:rsidRPr="00014AAD">
        <w:t>bodu</w:t>
      </w:r>
      <w:r>
        <w:t xml:space="preserve"> </w:t>
      </w:r>
      <w:r w:rsidRPr="00014AAD">
        <w:t>6</w:t>
      </w:r>
      <w:r>
        <w:t xml:space="preserve"> </w:t>
      </w:r>
      <w:r w:rsidRPr="00014AAD">
        <w:t>a</w:t>
      </w:r>
      <w:r>
        <w:t xml:space="preserve"> </w:t>
      </w:r>
      <w:r w:rsidRPr="00014AAD">
        <w:t>písmenu</w:t>
      </w:r>
      <w:r>
        <w:t xml:space="preserve"> </w:t>
      </w:r>
      <w:r w:rsidRPr="00014AAD">
        <w:t>d)</w:t>
      </w:r>
      <w:r>
        <w:t xml:space="preserve"> </w:t>
      </w:r>
      <w:r w:rsidRPr="00014AAD">
        <w:t>bodu</w:t>
      </w:r>
      <w:r>
        <w:t xml:space="preserve"> </w:t>
      </w:r>
      <w:r w:rsidRPr="00014AAD">
        <w:t>6</w:t>
      </w:r>
      <w:r>
        <w:t xml:space="preserve"> </w:t>
      </w:r>
      <w:r w:rsidRPr="00014AAD">
        <w:t>je</w:t>
      </w:r>
      <w:r>
        <w:t xml:space="preserve"> </w:t>
      </w:r>
      <w:r w:rsidRPr="00014AAD">
        <w:t>provozovatel</w:t>
      </w:r>
      <w:r>
        <w:t xml:space="preserve"> </w:t>
      </w:r>
      <w:r w:rsidRPr="00014AAD">
        <w:t>přenosové</w:t>
      </w:r>
      <w:r>
        <w:t xml:space="preserve"> </w:t>
      </w:r>
      <w:r w:rsidRPr="00014AAD">
        <w:t>soustavy</w:t>
      </w:r>
      <w:r>
        <w:t xml:space="preserve"> </w:t>
      </w:r>
      <w:r w:rsidRPr="00014AAD">
        <w:t>povinen</w:t>
      </w:r>
      <w:r>
        <w:t xml:space="preserve"> </w:t>
      </w:r>
      <w:r w:rsidRPr="00014AAD">
        <w:t>oznámit</w:t>
      </w:r>
      <w:r>
        <w:t xml:space="preserve"> </w:t>
      </w:r>
      <w:r w:rsidRPr="00014AAD">
        <w:t>započetí</w:t>
      </w:r>
      <w:r>
        <w:t xml:space="preserve"> </w:t>
      </w:r>
      <w:r w:rsidRPr="00014AAD">
        <w:t>a</w:t>
      </w:r>
      <w:r>
        <w:t xml:space="preserve"> </w:t>
      </w:r>
      <w:r w:rsidRPr="00014AAD">
        <w:t>skončení</w:t>
      </w:r>
      <w:r>
        <w:t xml:space="preserve"> </w:t>
      </w:r>
      <w:r w:rsidRPr="00014AAD">
        <w:t>omezení</w:t>
      </w:r>
      <w:r>
        <w:t xml:space="preserve"> </w:t>
      </w:r>
      <w:r w:rsidRPr="00014AAD">
        <w:t>nebo</w:t>
      </w:r>
      <w:r>
        <w:t xml:space="preserve"> </w:t>
      </w:r>
      <w:r w:rsidRPr="00014AAD">
        <w:t>přerušení</w:t>
      </w:r>
      <w:r>
        <w:t xml:space="preserve"> </w:t>
      </w:r>
      <w:r w:rsidRPr="00014AAD">
        <w:t>dodávek</w:t>
      </w:r>
      <w:r>
        <w:t xml:space="preserve"> </w:t>
      </w:r>
      <w:r w:rsidRPr="00014AAD">
        <w:t>elektřiny</w:t>
      </w:r>
      <w:r>
        <w:t xml:space="preserve"> </w:t>
      </w:r>
      <w:r w:rsidRPr="00014AAD">
        <w:t>způsobem</w:t>
      </w:r>
      <w:r>
        <w:t xml:space="preserve"> </w:t>
      </w:r>
      <w:r w:rsidRPr="00014AAD">
        <w:t>v</w:t>
      </w:r>
      <w:r>
        <w:t xml:space="preserve"> </w:t>
      </w:r>
      <w:r w:rsidRPr="00014AAD">
        <w:t>místě</w:t>
      </w:r>
      <w:r>
        <w:t xml:space="preserve"> </w:t>
      </w:r>
      <w:r w:rsidRPr="00014AAD">
        <w:t>obvyklým,</w:t>
      </w:r>
      <w:r>
        <w:t xml:space="preserve"> </w:t>
      </w:r>
      <w:r w:rsidRPr="00014AAD">
        <w:t>nejméně</w:t>
      </w:r>
      <w:r>
        <w:t xml:space="preserve"> </w:t>
      </w:r>
      <w:r w:rsidRPr="00014AAD">
        <w:t>však</w:t>
      </w:r>
      <w:r>
        <w:t xml:space="preserve"> </w:t>
      </w:r>
      <w:r w:rsidRPr="00014AAD">
        <w:t>50</w:t>
      </w:r>
      <w:r>
        <w:t xml:space="preserve"> </w:t>
      </w:r>
      <w:r w:rsidRPr="00014AAD">
        <w:t>dnů</w:t>
      </w:r>
      <w:r>
        <w:t xml:space="preserve"> </w:t>
      </w:r>
      <w:r w:rsidRPr="00014AAD">
        <w:t>předem.</w:t>
      </w:r>
    </w:p>
    <w:p w14:paraId="6F5C2282" w14:textId="77777777" w:rsidR="00920C2F" w:rsidRDefault="00920C2F" w:rsidP="0010420C">
      <w:pPr>
        <w:pStyle w:val="Textparagrafu"/>
        <w:tabs>
          <w:tab w:val="left" w:pos="420"/>
        </w:tabs>
        <w:spacing w:before="120" w:after="120"/>
      </w:pPr>
      <w:r w:rsidRPr="00014AAD">
        <w:t>(6)</w:t>
      </w:r>
      <w:r>
        <w:t xml:space="preserve"> </w:t>
      </w:r>
      <w:r w:rsidRPr="00014AAD">
        <w:t>V</w:t>
      </w:r>
      <w:r>
        <w:t xml:space="preserve"> </w:t>
      </w:r>
      <w:r w:rsidRPr="00014AAD">
        <w:t>případech</w:t>
      </w:r>
      <w:r>
        <w:t xml:space="preserve"> </w:t>
      </w:r>
      <w:r w:rsidRPr="00014AAD">
        <w:t>uvedených</w:t>
      </w:r>
      <w:r>
        <w:t xml:space="preserve"> </w:t>
      </w:r>
      <w:r w:rsidRPr="00014AAD">
        <w:t>v</w:t>
      </w:r>
      <w:r>
        <w:t xml:space="preserve"> </w:t>
      </w:r>
      <w:r w:rsidRPr="00014AAD">
        <w:t>odstavci</w:t>
      </w:r>
      <w:r>
        <w:t xml:space="preserve"> </w:t>
      </w:r>
      <w:r w:rsidRPr="00014AAD">
        <w:t>3</w:t>
      </w:r>
      <w:r>
        <w:t xml:space="preserve"> </w:t>
      </w:r>
      <w:r w:rsidRPr="00014AAD">
        <w:t>písm.</w:t>
      </w:r>
      <w:r>
        <w:t xml:space="preserve"> </w:t>
      </w:r>
      <w:r w:rsidRPr="00014AAD">
        <w:t>c)</w:t>
      </w:r>
      <w:r>
        <w:t xml:space="preserve"> </w:t>
      </w:r>
      <w:r w:rsidRPr="00014AAD">
        <w:t>a</w:t>
      </w:r>
      <w:r>
        <w:t xml:space="preserve"> </w:t>
      </w:r>
      <w:r w:rsidRPr="00014AAD">
        <w:t>d)</w:t>
      </w:r>
      <w:r>
        <w:t xml:space="preserve"> </w:t>
      </w:r>
      <w:r w:rsidRPr="00014AAD">
        <w:t>je</w:t>
      </w:r>
      <w:r>
        <w:t xml:space="preserve"> </w:t>
      </w:r>
      <w:r w:rsidRPr="00014AAD">
        <w:t>provozovatel</w:t>
      </w:r>
      <w:r>
        <w:t xml:space="preserve"> </w:t>
      </w:r>
      <w:r w:rsidRPr="00014AAD">
        <w:t>přenosové</w:t>
      </w:r>
      <w:r>
        <w:t xml:space="preserve"> </w:t>
      </w:r>
      <w:r w:rsidRPr="00014AAD">
        <w:t>soustavy</w:t>
      </w:r>
      <w:r>
        <w:t xml:space="preserve"> </w:t>
      </w:r>
      <w:r w:rsidRPr="00014AAD">
        <w:t>povinen</w:t>
      </w:r>
      <w:r>
        <w:t xml:space="preserve"> </w:t>
      </w:r>
      <w:r w:rsidRPr="00014AAD">
        <w:t>obnovit</w:t>
      </w:r>
      <w:r>
        <w:t xml:space="preserve"> </w:t>
      </w:r>
      <w:r w:rsidRPr="00014AAD">
        <w:t>dodávku</w:t>
      </w:r>
      <w:r>
        <w:t xml:space="preserve"> </w:t>
      </w:r>
      <w:r w:rsidRPr="00014AAD">
        <w:t>elektřiny</w:t>
      </w:r>
      <w:r>
        <w:t xml:space="preserve"> </w:t>
      </w:r>
      <w:r w:rsidRPr="00014AAD">
        <w:t>bezprostředně</w:t>
      </w:r>
      <w:r>
        <w:t xml:space="preserve"> </w:t>
      </w:r>
      <w:r w:rsidRPr="00014AAD">
        <w:t>po</w:t>
      </w:r>
      <w:r>
        <w:t xml:space="preserve"> </w:t>
      </w:r>
      <w:r w:rsidRPr="00014AAD">
        <w:t>odstranění</w:t>
      </w:r>
      <w:r>
        <w:t xml:space="preserve"> </w:t>
      </w:r>
      <w:r w:rsidRPr="00014AAD">
        <w:t>příčin,</w:t>
      </w:r>
      <w:r>
        <w:t xml:space="preserve"> </w:t>
      </w:r>
      <w:r w:rsidRPr="00014AAD">
        <w:t>které</w:t>
      </w:r>
      <w:r>
        <w:t xml:space="preserve"> </w:t>
      </w:r>
      <w:r w:rsidRPr="00014AAD">
        <w:t>vedly</w:t>
      </w:r>
      <w:r>
        <w:t xml:space="preserve"> </w:t>
      </w:r>
      <w:r w:rsidRPr="00014AAD">
        <w:t>k</w:t>
      </w:r>
      <w:r>
        <w:t xml:space="preserve"> </w:t>
      </w:r>
      <w:r w:rsidRPr="00014AAD">
        <w:t>jejímu</w:t>
      </w:r>
      <w:r>
        <w:t xml:space="preserve"> </w:t>
      </w:r>
      <w:r w:rsidRPr="00014AAD">
        <w:t>omezení</w:t>
      </w:r>
      <w:r>
        <w:t xml:space="preserve"> </w:t>
      </w:r>
      <w:r w:rsidRPr="00014AAD">
        <w:t>nebo</w:t>
      </w:r>
      <w:r>
        <w:t xml:space="preserve"> </w:t>
      </w:r>
      <w:r w:rsidRPr="00014AAD">
        <w:t>přerušení.</w:t>
      </w:r>
    </w:p>
    <w:p w14:paraId="3CA4D415" w14:textId="77777777" w:rsidR="00920C2F" w:rsidRDefault="00920C2F" w:rsidP="0010420C">
      <w:pPr>
        <w:pStyle w:val="Textparagrafu"/>
        <w:tabs>
          <w:tab w:val="left" w:pos="420"/>
        </w:tabs>
        <w:spacing w:before="120" w:after="120"/>
      </w:pPr>
      <w:r w:rsidRPr="00014AAD">
        <w:t>(7)</w:t>
      </w:r>
      <w:r>
        <w:t xml:space="preserve"> </w:t>
      </w:r>
      <w:r w:rsidRPr="00014AAD">
        <w:t>V</w:t>
      </w:r>
      <w:r>
        <w:t xml:space="preserve"> </w:t>
      </w:r>
      <w:r w:rsidRPr="00014AAD">
        <w:t>případech</w:t>
      </w:r>
      <w:r>
        <w:t xml:space="preserve"> </w:t>
      </w:r>
      <w:r w:rsidRPr="00014AAD">
        <w:t>uvedených</w:t>
      </w:r>
      <w:r>
        <w:t xml:space="preserve"> </w:t>
      </w:r>
      <w:r w:rsidRPr="00014AAD">
        <w:t>v</w:t>
      </w:r>
      <w:r>
        <w:t xml:space="preserve"> </w:t>
      </w:r>
      <w:r w:rsidRPr="00014AAD">
        <w:t>odstavci</w:t>
      </w:r>
      <w:r>
        <w:t xml:space="preserve"> </w:t>
      </w:r>
      <w:r w:rsidRPr="00014AAD">
        <w:t>3</w:t>
      </w:r>
      <w:r>
        <w:t xml:space="preserve"> </w:t>
      </w:r>
      <w:r w:rsidRPr="00014AAD">
        <w:t>písm.</w:t>
      </w:r>
      <w:r>
        <w:t xml:space="preserve"> </w:t>
      </w:r>
      <w:r w:rsidRPr="00014AAD">
        <w:t>c)</w:t>
      </w:r>
      <w:r>
        <w:t xml:space="preserve"> </w:t>
      </w:r>
      <w:r w:rsidRPr="00014AAD">
        <w:t>a</w:t>
      </w:r>
      <w:r>
        <w:t xml:space="preserve"> </w:t>
      </w:r>
      <w:r w:rsidRPr="00014AAD">
        <w:t>d)</w:t>
      </w:r>
      <w:r>
        <w:t xml:space="preserve"> </w:t>
      </w:r>
      <w:r w:rsidRPr="00014AAD">
        <w:t>je</w:t>
      </w:r>
      <w:r>
        <w:t xml:space="preserve"> </w:t>
      </w:r>
      <w:r w:rsidRPr="00014AAD">
        <w:t>právo</w:t>
      </w:r>
      <w:r>
        <w:t xml:space="preserve"> </w:t>
      </w:r>
      <w:r w:rsidRPr="00014AAD">
        <w:t>na</w:t>
      </w:r>
      <w:r>
        <w:t xml:space="preserve"> </w:t>
      </w:r>
      <w:r w:rsidRPr="00014AAD">
        <w:t>náhradu</w:t>
      </w:r>
      <w:r>
        <w:t xml:space="preserve"> </w:t>
      </w:r>
      <w:r w:rsidRPr="00014AAD">
        <w:t>škody</w:t>
      </w:r>
      <w:r>
        <w:t xml:space="preserve"> </w:t>
      </w:r>
      <w:r w:rsidRPr="00014AAD">
        <w:t>vyloučeno.</w:t>
      </w:r>
      <w:r>
        <w:t xml:space="preserve"> </w:t>
      </w:r>
      <w:r w:rsidRPr="00014AAD">
        <w:t>Toto</w:t>
      </w:r>
      <w:r>
        <w:t xml:space="preserve"> </w:t>
      </w:r>
      <w:r w:rsidRPr="00014AAD">
        <w:t>neplatí,</w:t>
      </w:r>
      <w:r>
        <w:t xml:space="preserve"> </w:t>
      </w:r>
      <w:r w:rsidRPr="00014AAD">
        <w:t>nesplní-li</w:t>
      </w:r>
      <w:r>
        <w:t xml:space="preserve"> </w:t>
      </w:r>
      <w:r w:rsidRPr="00014AAD">
        <w:t>provozovatel</w:t>
      </w:r>
      <w:r>
        <w:t xml:space="preserve"> </w:t>
      </w:r>
      <w:r w:rsidRPr="00014AAD">
        <w:t>přenosové</w:t>
      </w:r>
      <w:r>
        <w:t xml:space="preserve"> </w:t>
      </w:r>
      <w:r w:rsidRPr="00014AAD">
        <w:t>soustavy</w:t>
      </w:r>
      <w:r>
        <w:t xml:space="preserve"> </w:t>
      </w:r>
      <w:r w:rsidRPr="00014AAD">
        <w:t>oznamovací</w:t>
      </w:r>
      <w:r>
        <w:t xml:space="preserve"> </w:t>
      </w:r>
      <w:r w:rsidRPr="00014AAD">
        <w:t>povinnost</w:t>
      </w:r>
      <w:r>
        <w:t xml:space="preserve"> </w:t>
      </w:r>
      <w:r w:rsidRPr="00014AAD">
        <w:t>uloženou</w:t>
      </w:r>
      <w:r>
        <w:t xml:space="preserve"> </w:t>
      </w:r>
      <w:r w:rsidRPr="00014AAD">
        <w:t>podle</w:t>
      </w:r>
      <w:r>
        <w:t xml:space="preserve"> </w:t>
      </w:r>
      <w:r w:rsidRPr="00014AAD">
        <w:t>odstavce</w:t>
      </w:r>
      <w:r>
        <w:t xml:space="preserve"> </w:t>
      </w:r>
      <w:r w:rsidRPr="00014AAD">
        <w:t>5</w:t>
      </w:r>
      <w:r>
        <w:t xml:space="preserve"> </w:t>
      </w:r>
      <w:r w:rsidRPr="00014AAD">
        <w:t>nebo</w:t>
      </w:r>
      <w:r>
        <w:t xml:space="preserve"> </w:t>
      </w:r>
      <w:r w:rsidRPr="00014AAD">
        <w:t>v</w:t>
      </w:r>
      <w:r>
        <w:t xml:space="preserve"> </w:t>
      </w:r>
      <w:r w:rsidRPr="00014AAD">
        <w:t>případech,</w:t>
      </w:r>
      <w:r>
        <w:t xml:space="preserve"> </w:t>
      </w:r>
      <w:r w:rsidRPr="00014AAD">
        <w:t>kdy</w:t>
      </w:r>
      <w:r>
        <w:t xml:space="preserve"> </w:t>
      </w:r>
      <w:r w:rsidRPr="00014AAD">
        <w:t>poruchu</w:t>
      </w:r>
      <w:r>
        <w:t xml:space="preserve"> </w:t>
      </w:r>
      <w:r w:rsidRPr="00014AAD">
        <w:t>prokazatelně</w:t>
      </w:r>
      <w:r>
        <w:t xml:space="preserve"> </w:t>
      </w:r>
      <w:r w:rsidRPr="00014AAD">
        <w:t>zavinil</w:t>
      </w:r>
      <w:r>
        <w:t xml:space="preserve"> </w:t>
      </w:r>
      <w:r w:rsidRPr="00014AAD">
        <w:t>provozovatel</w:t>
      </w:r>
      <w:r>
        <w:t xml:space="preserve"> </w:t>
      </w:r>
      <w:r w:rsidRPr="00014AAD">
        <w:t>přenosové</w:t>
      </w:r>
      <w:r>
        <w:t xml:space="preserve"> </w:t>
      </w:r>
      <w:r w:rsidRPr="00014AAD">
        <w:t>soustavy.</w:t>
      </w:r>
    </w:p>
    <w:p w14:paraId="1A68F10A" w14:textId="77777777" w:rsidR="00920C2F" w:rsidRDefault="00920C2F" w:rsidP="0010420C">
      <w:pPr>
        <w:pStyle w:val="Textparagrafu"/>
        <w:tabs>
          <w:tab w:val="left" w:pos="420"/>
        </w:tabs>
        <w:spacing w:before="120" w:after="120"/>
      </w:pPr>
      <w:r w:rsidRPr="00014AAD">
        <w:t>(8)</w:t>
      </w:r>
      <w:r>
        <w:t xml:space="preserve"> </w:t>
      </w:r>
      <w:r w:rsidRPr="00014AAD">
        <w:t>Provozovatel</w:t>
      </w:r>
      <w:r>
        <w:t xml:space="preserve"> </w:t>
      </w:r>
      <w:r w:rsidRPr="00014AAD">
        <w:t>přenosové</w:t>
      </w:r>
      <w:r>
        <w:t xml:space="preserve"> </w:t>
      </w:r>
      <w:r w:rsidRPr="00014AAD">
        <w:t>soustavy</w:t>
      </w:r>
      <w:r>
        <w:t xml:space="preserve"> </w:t>
      </w:r>
      <w:r w:rsidRPr="00014AAD">
        <w:t>je</w:t>
      </w:r>
      <w:r>
        <w:t xml:space="preserve"> </w:t>
      </w:r>
      <w:r w:rsidRPr="00014AAD">
        <w:t>povinen</w:t>
      </w:r>
      <w:r>
        <w:t xml:space="preserve"> </w:t>
      </w:r>
      <w:r w:rsidRPr="00014AAD">
        <w:t>při</w:t>
      </w:r>
      <w:r>
        <w:t xml:space="preserve"> </w:t>
      </w:r>
      <w:r w:rsidRPr="00014AAD">
        <w:t>výkonu</w:t>
      </w:r>
      <w:r>
        <w:t xml:space="preserve"> </w:t>
      </w:r>
      <w:r w:rsidRPr="00014AAD">
        <w:t>oprávnění</w:t>
      </w:r>
      <w:r>
        <w:t xml:space="preserve"> </w:t>
      </w:r>
      <w:r w:rsidRPr="00014AAD">
        <w:t>podle</w:t>
      </w:r>
      <w:r>
        <w:t xml:space="preserve"> </w:t>
      </w:r>
      <w:r w:rsidRPr="00014AAD">
        <w:t>odstavce</w:t>
      </w:r>
      <w:r>
        <w:t xml:space="preserve"> </w:t>
      </w:r>
      <w:r w:rsidRPr="00014AAD">
        <w:t>3</w:t>
      </w:r>
      <w:r>
        <w:t xml:space="preserve"> </w:t>
      </w:r>
      <w:r w:rsidRPr="00014AAD">
        <w:t>písm.</w:t>
      </w:r>
      <w:r>
        <w:t xml:space="preserve"> </w:t>
      </w:r>
      <w:r w:rsidRPr="00014AAD">
        <w:t>e)</w:t>
      </w:r>
      <w:r>
        <w:t xml:space="preserve"> </w:t>
      </w:r>
      <w:r w:rsidRPr="00014AAD">
        <w:t>až</w:t>
      </w:r>
      <w:r>
        <w:t xml:space="preserve"> </w:t>
      </w:r>
      <w:r w:rsidRPr="00014AAD">
        <w:t>g)</w:t>
      </w:r>
      <w:r>
        <w:t xml:space="preserve"> </w:t>
      </w:r>
      <w:r w:rsidRPr="00014AAD">
        <w:t>co</w:t>
      </w:r>
      <w:r>
        <w:t xml:space="preserve"> </w:t>
      </w:r>
      <w:r w:rsidRPr="00014AAD">
        <w:t>nejvíce</w:t>
      </w:r>
      <w:r>
        <w:t xml:space="preserve"> </w:t>
      </w:r>
      <w:r w:rsidRPr="00014AAD">
        <w:t>šetřit</w:t>
      </w:r>
      <w:r>
        <w:t xml:space="preserve"> </w:t>
      </w:r>
      <w:r w:rsidRPr="00014AAD">
        <w:t>práv</w:t>
      </w:r>
      <w:r>
        <w:t xml:space="preserve"> </w:t>
      </w:r>
      <w:r w:rsidRPr="00014AAD">
        <w:t>vlastníků</w:t>
      </w:r>
      <w:r>
        <w:t xml:space="preserve"> </w:t>
      </w:r>
      <w:r w:rsidRPr="00014AAD">
        <w:t>dotčených</w:t>
      </w:r>
      <w:r>
        <w:t xml:space="preserve"> </w:t>
      </w:r>
      <w:r w:rsidRPr="00014AAD">
        <w:t>nemovitostí</w:t>
      </w:r>
      <w:r>
        <w:t xml:space="preserve"> </w:t>
      </w:r>
      <w:r w:rsidRPr="00014AAD">
        <w:t>a</w:t>
      </w:r>
      <w:r>
        <w:t xml:space="preserve"> </w:t>
      </w:r>
      <w:r w:rsidRPr="00014AAD">
        <w:t>vstup</w:t>
      </w:r>
      <w:r>
        <w:t xml:space="preserve"> </w:t>
      </w:r>
      <w:r w:rsidRPr="00014AAD">
        <w:t>na</w:t>
      </w:r>
      <w:r>
        <w:t xml:space="preserve"> </w:t>
      </w:r>
      <w:r w:rsidRPr="00014AAD">
        <w:t>jejich</w:t>
      </w:r>
      <w:r>
        <w:t xml:space="preserve"> </w:t>
      </w:r>
      <w:r w:rsidRPr="00014AAD">
        <w:t>nemovitosti</w:t>
      </w:r>
      <w:r>
        <w:t xml:space="preserve"> </w:t>
      </w:r>
      <w:r w:rsidRPr="00014AAD">
        <w:t>jim</w:t>
      </w:r>
      <w:r>
        <w:t xml:space="preserve"> </w:t>
      </w:r>
      <w:r w:rsidRPr="00014AAD">
        <w:t>oznámit.</w:t>
      </w:r>
      <w:r>
        <w:t xml:space="preserve"> </w:t>
      </w:r>
      <w:r w:rsidRPr="00014AAD">
        <w:t>Po</w:t>
      </w:r>
      <w:r>
        <w:t xml:space="preserve"> </w:t>
      </w:r>
      <w:r w:rsidRPr="00014AAD">
        <w:t>skončení</w:t>
      </w:r>
      <w:r>
        <w:t xml:space="preserve"> </w:t>
      </w:r>
      <w:r w:rsidRPr="00014AAD">
        <w:t>prací</w:t>
      </w:r>
      <w:r>
        <w:t xml:space="preserve"> </w:t>
      </w:r>
      <w:r w:rsidRPr="00014AAD">
        <w:t>je</w:t>
      </w:r>
      <w:r>
        <w:t xml:space="preserve"> </w:t>
      </w:r>
      <w:r w:rsidRPr="00014AAD">
        <w:t>povinen</w:t>
      </w:r>
      <w:r>
        <w:t xml:space="preserve"> </w:t>
      </w:r>
      <w:r w:rsidRPr="00014AAD">
        <w:t>uvést</w:t>
      </w:r>
      <w:r>
        <w:t xml:space="preserve"> </w:t>
      </w:r>
      <w:r w:rsidRPr="00014AAD">
        <w:t>nemovitosti</w:t>
      </w:r>
      <w:r>
        <w:t xml:space="preserve"> </w:t>
      </w:r>
      <w:r w:rsidRPr="00014AAD">
        <w:t>do</w:t>
      </w:r>
      <w:r>
        <w:t xml:space="preserve"> </w:t>
      </w:r>
      <w:r w:rsidRPr="00014AAD">
        <w:t>předchozího</w:t>
      </w:r>
      <w:r>
        <w:t xml:space="preserve"> </w:t>
      </w:r>
      <w:r w:rsidRPr="00014AAD">
        <w:t>stavu,</w:t>
      </w:r>
      <w:r>
        <w:t xml:space="preserve"> </w:t>
      </w:r>
      <w:r w:rsidRPr="00014AAD">
        <w:t>a</w:t>
      </w:r>
      <w:r>
        <w:t xml:space="preserve"> </w:t>
      </w:r>
      <w:r w:rsidRPr="00014AAD">
        <w:t>není-li</w:t>
      </w:r>
      <w:r>
        <w:t xml:space="preserve"> </w:t>
      </w:r>
      <w:r w:rsidRPr="00014AAD">
        <w:t>to</w:t>
      </w:r>
      <w:r>
        <w:t xml:space="preserve"> </w:t>
      </w:r>
      <w:r w:rsidRPr="00014AAD">
        <w:t>možné</w:t>
      </w:r>
      <w:r>
        <w:t xml:space="preserve"> </w:t>
      </w:r>
      <w:r w:rsidRPr="00014AAD">
        <w:t>s</w:t>
      </w:r>
      <w:r>
        <w:t xml:space="preserve"> </w:t>
      </w:r>
      <w:r w:rsidRPr="00014AAD">
        <w:t>ohledem</w:t>
      </w:r>
      <w:r>
        <w:t xml:space="preserve"> </w:t>
      </w:r>
      <w:r w:rsidRPr="00014AAD">
        <w:t>na</w:t>
      </w:r>
      <w:r>
        <w:t xml:space="preserve"> </w:t>
      </w:r>
      <w:r w:rsidRPr="00014AAD">
        <w:t>povahu</w:t>
      </w:r>
      <w:r>
        <w:t xml:space="preserve"> </w:t>
      </w:r>
      <w:r w:rsidRPr="00014AAD">
        <w:t>provedených</w:t>
      </w:r>
      <w:r>
        <w:t xml:space="preserve"> </w:t>
      </w:r>
      <w:r w:rsidRPr="00014AAD">
        <w:t>prací,</w:t>
      </w:r>
      <w:r>
        <w:t xml:space="preserve"> </w:t>
      </w:r>
      <w:r w:rsidRPr="00014AAD">
        <w:t>do</w:t>
      </w:r>
      <w:r>
        <w:t xml:space="preserve"> </w:t>
      </w:r>
      <w:r w:rsidRPr="00014AAD">
        <w:t>stavu</w:t>
      </w:r>
      <w:r>
        <w:t xml:space="preserve"> </w:t>
      </w:r>
      <w:r w:rsidRPr="00014AAD">
        <w:t>odpovídajícímu</w:t>
      </w:r>
      <w:r>
        <w:t xml:space="preserve"> </w:t>
      </w:r>
      <w:r w:rsidRPr="00014AAD">
        <w:t>předchozímu</w:t>
      </w:r>
      <w:r>
        <w:t xml:space="preserve"> </w:t>
      </w:r>
      <w:r w:rsidRPr="00014AAD">
        <w:t>účelu</w:t>
      </w:r>
      <w:r>
        <w:t xml:space="preserve"> </w:t>
      </w:r>
      <w:r w:rsidRPr="00014AAD">
        <w:t>nebo</w:t>
      </w:r>
      <w:r>
        <w:t xml:space="preserve"> </w:t>
      </w:r>
      <w:r w:rsidRPr="00014AAD">
        <w:t>užívání</w:t>
      </w:r>
      <w:r>
        <w:t xml:space="preserve"> </w:t>
      </w:r>
      <w:r w:rsidRPr="00014AAD">
        <w:t>dotčené</w:t>
      </w:r>
      <w:r>
        <w:t xml:space="preserve"> </w:t>
      </w:r>
      <w:r w:rsidRPr="00014AAD">
        <w:t>nemovitosti</w:t>
      </w:r>
      <w:r>
        <w:t xml:space="preserve"> </w:t>
      </w:r>
      <w:r w:rsidRPr="00014AAD">
        <w:t>a</w:t>
      </w:r>
      <w:r>
        <w:t xml:space="preserve"> </w:t>
      </w:r>
      <w:r w:rsidRPr="00014AAD">
        <w:t>bezprostředně</w:t>
      </w:r>
      <w:r>
        <w:t xml:space="preserve"> </w:t>
      </w:r>
      <w:r w:rsidRPr="00014AAD">
        <w:t>oznámit</w:t>
      </w:r>
      <w:r>
        <w:t xml:space="preserve"> </w:t>
      </w:r>
      <w:r w:rsidRPr="00014AAD">
        <w:t>tuto</w:t>
      </w:r>
      <w:r>
        <w:t xml:space="preserve"> </w:t>
      </w:r>
      <w:r w:rsidRPr="00014AAD">
        <w:t>skutečnost</w:t>
      </w:r>
      <w:r>
        <w:t xml:space="preserve"> </w:t>
      </w:r>
      <w:r w:rsidRPr="00014AAD">
        <w:t>vlastníku</w:t>
      </w:r>
      <w:r>
        <w:t xml:space="preserve"> </w:t>
      </w:r>
      <w:r w:rsidRPr="00014AAD">
        <w:t>nemovitosti.</w:t>
      </w:r>
      <w:r>
        <w:t xml:space="preserve"> </w:t>
      </w:r>
      <w:r w:rsidRPr="00014AAD">
        <w:t>Po</w:t>
      </w:r>
      <w:r>
        <w:t xml:space="preserve"> </w:t>
      </w:r>
      <w:r w:rsidRPr="00014AAD">
        <w:t>provedení</w:t>
      </w:r>
      <w:r>
        <w:t xml:space="preserve"> </w:t>
      </w:r>
      <w:r w:rsidRPr="00014AAD">
        <w:t>odstranění</w:t>
      </w:r>
      <w:r>
        <w:t xml:space="preserve"> </w:t>
      </w:r>
      <w:r w:rsidRPr="00014AAD">
        <w:t>nebo</w:t>
      </w:r>
      <w:r>
        <w:t xml:space="preserve"> </w:t>
      </w:r>
      <w:r w:rsidRPr="00014AAD">
        <w:t>okleštění</w:t>
      </w:r>
      <w:r>
        <w:t xml:space="preserve"> </w:t>
      </w:r>
      <w:r w:rsidRPr="00014AAD">
        <w:t>stromoví</w:t>
      </w:r>
      <w:r>
        <w:t xml:space="preserve"> </w:t>
      </w:r>
      <w:r w:rsidRPr="00014AAD">
        <w:t>je</w:t>
      </w:r>
      <w:r>
        <w:t xml:space="preserve"> </w:t>
      </w:r>
      <w:r w:rsidRPr="00014AAD">
        <w:t>povinen</w:t>
      </w:r>
      <w:r>
        <w:t xml:space="preserve"> </w:t>
      </w:r>
      <w:r w:rsidRPr="00014AAD">
        <w:t>na</w:t>
      </w:r>
      <w:r>
        <w:t xml:space="preserve"> </w:t>
      </w:r>
      <w:r w:rsidRPr="00014AAD">
        <w:t>svůj</w:t>
      </w:r>
      <w:r>
        <w:t xml:space="preserve"> </w:t>
      </w:r>
      <w:r w:rsidRPr="00014AAD">
        <w:t>náklad</w:t>
      </w:r>
      <w:r>
        <w:t xml:space="preserve"> </w:t>
      </w:r>
      <w:r w:rsidRPr="00014AAD">
        <w:t>provést</w:t>
      </w:r>
      <w:r>
        <w:t xml:space="preserve"> </w:t>
      </w:r>
      <w:r w:rsidRPr="00014AAD">
        <w:t>likvidaci</w:t>
      </w:r>
      <w:r>
        <w:t xml:space="preserve"> </w:t>
      </w:r>
      <w:r w:rsidRPr="00014AAD">
        <w:t>vzniklého</w:t>
      </w:r>
      <w:r>
        <w:t xml:space="preserve"> </w:t>
      </w:r>
      <w:r w:rsidRPr="00014AAD">
        <w:t>klestu</w:t>
      </w:r>
      <w:r>
        <w:t xml:space="preserve"> </w:t>
      </w:r>
      <w:r w:rsidRPr="00014AAD">
        <w:t>a</w:t>
      </w:r>
      <w:r>
        <w:t xml:space="preserve"> </w:t>
      </w:r>
      <w:r w:rsidRPr="00014AAD">
        <w:t>zbytků</w:t>
      </w:r>
      <w:r>
        <w:t xml:space="preserve"> </w:t>
      </w:r>
      <w:r w:rsidRPr="00014AAD">
        <w:t>po</w:t>
      </w:r>
      <w:r>
        <w:t xml:space="preserve"> </w:t>
      </w:r>
      <w:r w:rsidRPr="00014AAD">
        <w:t>těžbě.</w:t>
      </w:r>
    </w:p>
    <w:p w14:paraId="46F3C414" w14:textId="010EBC08" w:rsidR="00920C2F" w:rsidRDefault="00920C2F" w:rsidP="0010420C">
      <w:pPr>
        <w:pStyle w:val="Textparagrafu"/>
        <w:tabs>
          <w:tab w:val="left" w:pos="420"/>
        </w:tabs>
        <w:spacing w:before="120" w:after="120"/>
      </w:pPr>
      <w:r w:rsidRPr="00014AAD">
        <w:t>(9)</w:t>
      </w:r>
      <w:r>
        <w:t xml:space="preserve"> </w:t>
      </w:r>
      <w:r w:rsidRPr="00014AAD">
        <w:t>Pokud</w:t>
      </w:r>
      <w:r>
        <w:t xml:space="preserve"> </w:t>
      </w:r>
      <w:r w:rsidRPr="00014AAD">
        <w:t>byl</w:t>
      </w:r>
      <w:r>
        <w:t xml:space="preserve"> </w:t>
      </w:r>
      <w:r w:rsidRPr="00014AAD">
        <w:t>vlastník</w:t>
      </w:r>
      <w:r>
        <w:t xml:space="preserve"> </w:t>
      </w:r>
      <w:r w:rsidRPr="00014AAD">
        <w:t>nebo</w:t>
      </w:r>
      <w:r>
        <w:t xml:space="preserve"> </w:t>
      </w:r>
      <w:r w:rsidRPr="00014AAD">
        <w:t>uživatel</w:t>
      </w:r>
      <w:r>
        <w:t xml:space="preserve"> </w:t>
      </w:r>
      <w:r w:rsidRPr="00014AAD">
        <w:t>nemovitosti</w:t>
      </w:r>
      <w:r>
        <w:t xml:space="preserve"> </w:t>
      </w:r>
      <w:r w:rsidRPr="00014AAD">
        <w:t>v</w:t>
      </w:r>
      <w:r>
        <w:t xml:space="preserve"> </w:t>
      </w:r>
      <w:r w:rsidRPr="00014AAD">
        <w:t>důsledku</w:t>
      </w:r>
      <w:r>
        <w:t xml:space="preserve"> </w:t>
      </w:r>
      <w:r w:rsidRPr="00014AAD">
        <w:t>výkonu</w:t>
      </w:r>
      <w:r>
        <w:t xml:space="preserve"> </w:t>
      </w:r>
      <w:r w:rsidRPr="00014AAD">
        <w:t>práv</w:t>
      </w:r>
      <w:r>
        <w:t xml:space="preserve"> </w:t>
      </w:r>
      <w:r w:rsidRPr="00014AAD">
        <w:t>provozovatele</w:t>
      </w:r>
      <w:r>
        <w:t xml:space="preserve"> </w:t>
      </w:r>
      <w:r w:rsidRPr="00014AAD">
        <w:t>přenosové</w:t>
      </w:r>
      <w:r>
        <w:t xml:space="preserve"> </w:t>
      </w:r>
      <w:r w:rsidRPr="00014AAD">
        <w:t>soustavy</w:t>
      </w:r>
      <w:r>
        <w:t xml:space="preserve"> </w:t>
      </w:r>
      <w:r w:rsidRPr="00014AAD">
        <w:t>podle</w:t>
      </w:r>
      <w:r>
        <w:t xml:space="preserve"> </w:t>
      </w:r>
      <w:r w:rsidRPr="00014AAD">
        <w:t>odstavce</w:t>
      </w:r>
      <w:r>
        <w:t xml:space="preserve"> </w:t>
      </w:r>
      <w:r w:rsidRPr="00014AAD">
        <w:t>3</w:t>
      </w:r>
      <w:r>
        <w:t xml:space="preserve"> </w:t>
      </w:r>
      <w:r w:rsidRPr="00014AAD">
        <w:t>písm.</w:t>
      </w:r>
      <w:r>
        <w:t xml:space="preserve"> </w:t>
      </w:r>
      <w:r w:rsidRPr="00014AAD">
        <w:t>e)</w:t>
      </w:r>
      <w:r>
        <w:t xml:space="preserve"> </w:t>
      </w:r>
      <w:r w:rsidRPr="00014AAD">
        <w:t>a</w:t>
      </w:r>
      <w:r>
        <w:t xml:space="preserve"> </w:t>
      </w:r>
      <w:r w:rsidRPr="00014AAD">
        <w:t>f)</w:t>
      </w:r>
      <w:r>
        <w:t xml:space="preserve"> </w:t>
      </w:r>
      <w:r w:rsidRPr="00014AAD">
        <w:t>omezen</w:t>
      </w:r>
      <w:r>
        <w:t xml:space="preserve"> </w:t>
      </w:r>
      <w:r w:rsidRPr="00014AAD">
        <w:t>v</w:t>
      </w:r>
      <w:r>
        <w:t xml:space="preserve"> </w:t>
      </w:r>
      <w:r w:rsidRPr="00014AAD">
        <w:t>obvyklém</w:t>
      </w:r>
      <w:r>
        <w:t xml:space="preserve"> </w:t>
      </w:r>
      <w:r w:rsidRPr="00014AAD">
        <w:t>užívání</w:t>
      </w:r>
      <w:r>
        <w:t xml:space="preserve"> </w:t>
      </w:r>
      <w:r w:rsidRPr="00014AAD">
        <w:t>nemovitosti</w:t>
      </w:r>
      <w:r>
        <w:t xml:space="preserve"> </w:t>
      </w:r>
      <w:r w:rsidRPr="00014AAD">
        <w:t>nebo</w:t>
      </w:r>
      <w:r>
        <w:t xml:space="preserve"> </w:t>
      </w:r>
      <w:r w:rsidRPr="00014AAD">
        <w:t>mu</w:t>
      </w:r>
      <w:r>
        <w:t xml:space="preserve"> </w:t>
      </w:r>
      <w:r w:rsidRPr="00014AAD">
        <w:t>vznikla</w:t>
      </w:r>
      <w:r>
        <w:t xml:space="preserve"> </w:t>
      </w:r>
      <w:r w:rsidRPr="00014AAD">
        <w:t>újma</w:t>
      </w:r>
      <w:r>
        <w:t xml:space="preserve"> </w:t>
      </w:r>
      <w:r w:rsidRPr="00014AAD">
        <w:t>na</w:t>
      </w:r>
      <w:r>
        <w:t xml:space="preserve"> </w:t>
      </w:r>
      <w:r w:rsidRPr="00014AAD">
        <w:t>majetku,</w:t>
      </w:r>
      <w:r>
        <w:t xml:space="preserve"> </w:t>
      </w:r>
      <w:r w:rsidRPr="00014AAD">
        <w:t>má</w:t>
      </w:r>
      <w:r>
        <w:t xml:space="preserve"> </w:t>
      </w:r>
      <w:r w:rsidRPr="00014AAD">
        <w:t>právo</w:t>
      </w:r>
      <w:r>
        <w:t xml:space="preserve"> </w:t>
      </w:r>
      <w:r w:rsidRPr="00014AAD">
        <w:t>na</w:t>
      </w:r>
      <w:r>
        <w:t xml:space="preserve"> </w:t>
      </w:r>
      <w:r w:rsidRPr="00014AAD">
        <w:t>přiměřenou</w:t>
      </w:r>
      <w:r>
        <w:t xml:space="preserve"> </w:t>
      </w:r>
      <w:r w:rsidRPr="00014AAD">
        <w:t>jednorázovou</w:t>
      </w:r>
      <w:r>
        <w:t xml:space="preserve"> </w:t>
      </w:r>
      <w:r w:rsidR="00E3243D">
        <w:t>náhradu</w:t>
      </w:r>
      <w:r w:rsidR="00E3243D">
        <w:rPr>
          <w:rStyle w:val="Znakapoznpodarou"/>
        </w:rPr>
        <w:footnoteReference w:customMarkFollows="1" w:id="390"/>
        <w:t>5)</w:t>
      </w:r>
      <w:r w:rsidRPr="00014AAD">
        <w:t>.</w:t>
      </w:r>
      <w:r>
        <w:t xml:space="preserve"> </w:t>
      </w:r>
      <w:r w:rsidRPr="00014AAD">
        <w:t>Právo</w:t>
      </w:r>
      <w:r>
        <w:t xml:space="preserve"> </w:t>
      </w:r>
      <w:r w:rsidRPr="00014AAD">
        <w:t>na</w:t>
      </w:r>
      <w:r>
        <w:t xml:space="preserve"> </w:t>
      </w:r>
      <w:r w:rsidRPr="00014AAD">
        <w:t>náhradu</w:t>
      </w:r>
      <w:r>
        <w:t xml:space="preserve"> </w:t>
      </w:r>
      <w:r w:rsidRPr="00014AAD">
        <w:t>podle</w:t>
      </w:r>
      <w:r>
        <w:t xml:space="preserve"> </w:t>
      </w:r>
      <w:r w:rsidRPr="00014AAD">
        <w:t>věty</w:t>
      </w:r>
      <w:r>
        <w:t xml:space="preserve"> </w:t>
      </w:r>
      <w:r w:rsidRPr="00014AAD">
        <w:t>první</w:t>
      </w:r>
      <w:r>
        <w:t xml:space="preserve"> </w:t>
      </w:r>
      <w:r w:rsidRPr="00014AAD">
        <w:t>lze</w:t>
      </w:r>
      <w:r>
        <w:t xml:space="preserve"> </w:t>
      </w:r>
      <w:r w:rsidRPr="00014AAD">
        <w:t>uplatnit</w:t>
      </w:r>
      <w:r>
        <w:t xml:space="preserve"> </w:t>
      </w:r>
      <w:r w:rsidRPr="00014AAD">
        <w:t>u</w:t>
      </w:r>
      <w:r>
        <w:t xml:space="preserve"> </w:t>
      </w:r>
      <w:r w:rsidRPr="00014AAD">
        <w:t>provozovatele</w:t>
      </w:r>
      <w:r>
        <w:t xml:space="preserve"> </w:t>
      </w:r>
      <w:r w:rsidRPr="00014AAD">
        <w:t>přenosové</w:t>
      </w:r>
      <w:r>
        <w:t xml:space="preserve"> </w:t>
      </w:r>
      <w:r w:rsidRPr="00014AAD">
        <w:t>soustavy</w:t>
      </w:r>
      <w:r>
        <w:t xml:space="preserve"> </w:t>
      </w:r>
      <w:r w:rsidRPr="00014AAD">
        <w:t>do</w:t>
      </w:r>
      <w:r>
        <w:t xml:space="preserve"> </w:t>
      </w:r>
      <w:r w:rsidRPr="00014AAD">
        <w:t>2</w:t>
      </w:r>
      <w:r>
        <w:t xml:space="preserve"> </w:t>
      </w:r>
      <w:r w:rsidRPr="00014AAD">
        <w:t>let</w:t>
      </w:r>
      <w:r>
        <w:t xml:space="preserve"> </w:t>
      </w:r>
      <w:r w:rsidRPr="00014AAD">
        <w:t>ode</w:t>
      </w:r>
      <w:r>
        <w:t xml:space="preserve"> </w:t>
      </w:r>
      <w:r w:rsidRPr="00014AAD">
        <w:t>dne,</w:t>
      </w:r>
      <w:r>
        <w:t xml:space="preserve"> </w:t>
      </w:r>
      <w:r w:rsidRPr="00014AAD">
        <w:t>kdy</w:t>
      </w:r>
      <w:r>
        <w:t xml:space="preserve"> </w:t>
      </w:r>
      <w:r w:rsidRPr="00014AAD">
        <w:t>k</w:t>
      </w:r>
      <w:r>
        <w:t xml:space="preserve"> </w:t>
      </w:r>
      <w:r w:rsidRPr="00014AAD">
        <w:t>omezení</w:t>
      </w:r>
      <w:r>
        <w:t xml:space="preserve"> </w:t>
      </w:r>
      <w:r w:rsidRPr="00014AAD">
        <w:t>nebo</w:t>
      </w:r>
      <w:r>
        <w:t xml:space="preserve"> </w:t>
      </w:r>
      <w:r w:rsidRPr="00014AAD">
        <w:t>újmě</w:t>
      </w:r>
      <w:r>
        <w:t xml:space="preserve"> </w:t>
      </w:r>
      <w:r w:rsidRPr="00014AAD">
        <w:t>došlo,</w:t>
      </w:r>
      <w:r>
        <w:t xml:space="preserve"> </w:t>
      </w:r>
      <w:r w:rsidRPr="00014AAD">
        <w:t>jinak</w:t>
      </w:r>
      <w:r>
        <w:t xml:space="preserve"> </w:t>
      </w:r>
      <w:r w:rsidRPr="00014AAD">
        <w:t>právo</w:t>
      </w:r>
      <w:r>
        <w:t xml:space="preserve"> </w:t>
      </w:r>
      <w:r w:rsidRPr="00014AAD">
        <w:t>zaniká.</w:t>
      </w:r>
    </w:p>
    <w:p w14:paraId="10B61CFE" w14:textId="77777777" w:rsidR="00920C2F" w:rsidRDefault="00920C2F" w:rsidP="0010420C">
      <w:pPr>
        <w:pStyle w:val="Textparagrafu"/>
        <w:tabs>
          <w:tab w:val="left" w:pos="420"/>
        </w:tabs>
        <w:spacing w:before="120" w:after="120"/>
      </w:pPr>
      <w:r w:rsidRPr="00014AAD">
        <w:t>(10)</w:t>
      </w:r>
      <w:r>
        <w:t xml:space="preserve"> </w:t>
      </w:r>
      <w:r w:rsidRPr="00014AAD">
        <w:t>Provozovatel</w:t>
      </w:r>
      <w:r>
        <w:t xml:space="preserve"> </w:t>
      </w:r>
      <w:r w:rsidRPr="00014AAD">
        <w:t>přenosové</w:t>
      </w:r>
      <w:r>
        <w:t xml:space="preserve"> </w:t>
      </w:r>
      <w:r w:rsidRPr="00014AAD">
        <w:t>soustavy</w:t>
      </w:r>
      <w:r>
        <w:t xml:space="preserve"> </w:t>
      </w:r>
      <w:r w:rsidRPr="00014AAD">
        <w:t>je</w:t>
      </w:r>
      <w:r>
        <w:t xml:space="preserve"> </w:t>
      </w:r>
      <w:r w:rsidRPr="00014AAD">
        <w:t>dále</w:t>
      </w:r>
      <w:r>
        <w:t xml:space="preserve"> </w:t>
      </w:r>
      <w:r w:rsidRPr="00014AAD">
        <w:t>povinen</w:t>
      </w:r>
    </w:p>
    <w:p w14:paraId="3582FB10" w14:textId="5AED649A" w:rsidR="00920C2F" w:rsidRDefault="00920C2F" w:rsidP="002E6AEA">
      <w:pPr>
        <w:pStyle w:val="Textparagrafu"/>
        <w:tabs>
          <w:tab w:val="left" w:pos="420"/>
        </w:tabs>
        <w:spacing w:before="0"/>
        <w:ind w:left="426" w:hanging="426"/>
      </w:pPr>
      <w:r w:rsidRPr="00014AAD">
        <w:t>a)</w:t>
      </w:r>
      <w:r w:rsidR="003C5B03">
        <w:tab/>
      </w:r>
      <w:r w:rsidRPr="00014AAD">
        <w:t>každému,</w:t>
      </w:r>
      <w:r>
        <w:t xml:space="preserve"> </w:t>
      </w:r>
      <w:r w:rsidRPr="00014AAD">
        <w:t>kdo</w:t>
      </w:r>
      <w:r>
        <w:t xml:space="preserve"> </w:t>
      </w:r>
      <w:r w:rsidRPr="00014AAD">
        <w:t>požádá</w:t>
      </w:r>
      <w:r>
        <w:t xml:space="preserve"> </w:t>
      </w:r>
      <w:r w:rsidRPr="00014AAD">
        <w:t>o</w:t>
      </w:r>
      <w:r>
        <w:t xml:space="preserve"> </w:t>
      </w:r>
      <w:r w:rsidRPr="00014AAD">
        <w:t>připojení</w:t>
      </w:r>
      <w:r>
        <w:t xml:space="preserve"> </w:t>
      </w:r>
      <w:r w:rsidRPr="00014AAD">
        <w:t>k</w:t>
      </w:r>
      <w:r>
        <w:t xml:space="preserve"> </w:t>
      </w:r>
      <w:r w:rsidRPr="00014AAD">
        <w:t>přenosové</w:t>
      </w:r>
      <w:r>
        <w:t xml:space="preserve"> </w:t>
      </w:r>
      <w:r w:rsidRPr="00014AAD">
        <w:t>soustavě,</w:t>
      </w:r>
      <w:r>
        <w:t xml:space="preserve"> </w:t>
      </w:r>
      <w:r w:rsidRPr="00014AAD">
        <w:t>stanovit</w:t>
      </w:r>
      <w:r>
        <w:t xml:space="preserve"> </w:t>
      </w:r>
      <w:r w:rsidRPr="00014AAD">
        <w:t>podmínky</w:t>
      </w:r>
      <w:r>
        <w:t xml:space="preserve"> </w:t>
      </w:r>
      <w:r w:rsidRPr="00014AAD">
        <w:t>a</w:t>
      </w:r>
      <w:r>
        <w:t xml:space="preserve"> </w:t>
      </w:r>
      <w:r w:rsidRPr="00014AAD">
        <w:t>termín</w:t>
      </w:r>
      <w:r>
        <w:t xml:space="preserve"> </w:t>
      </w:r>
      <w:r w:rsidRPr="00014AAD">
        <w:t>připojení</w:t>
      </w:r>
      <w:r>
        <w:t xml:space="preserve"> </w:t>
      </w:r>
      <w:r w:rsidRPr="00014AAD">
        <w:t>a</w:t>
      </w:r>
      <w:r>
        <w:t xml:space="preserve"> </w:t>
      </w:r>
      <w:r w:rsidRPr="00014AAD">
        <w:t>poskytnout</w:t>
      </w:r>
      <w:r>
        <w:t xml:space="preserve"> </w:t>
      </w:r>
      <w:r w:rsidRPr="00014AAD">
        <w:t>přenos</w:t>
      </w:r>
      <w:r>
        <w:t xml:space="preserve"> </w:t>
      </w:r>
      <w:r w:rsidRPr="00014AAD">
        <w:t>každému,</w:t>
      </w:r>
      <w:r>
        <w:t xml:space="preserve"> </w:t>
      </w:r>
      <w:r w:rsidRPr="00014AAD">
        <w:t>kdo</w:t>
      </w:r>
      <w:r>
        <w:t xml:space="preserve"> </w:t>
      </w:r>
      <w:r w:rsidRPr="00014AAD">
        <w:t>o</w:t>
      </w:r>
      <w:r>
        <w:t xml:space="preserve"> </w:t>
      </w:r>
      <w:r w:rsidRPr="00014AAD">
        <w:t>to</w:t>
      </w:r>
      <w:r>
        <w:t xml:space="preserve"> </w:t>
      </w:r>
      <w:r w:rsidRPr="00014AAD">
        <w:t>požádá,</w:t>
      </w:r>
      <w:r>
        <w:t xml:space="preserve"> </w:t>
      </w:r>
      <w:r w:rsidRPr="00014AAD">
        <w:t>je</w:t>
      </w:r>
      <w:r>
        <w:t xml:space="preserve"> </w:t>
      </w:r>
      <w:r w:rsidRPr="00014AAD">
        <w:t>připojen</w:t>
      </w:r>
      <w:r>
        <w:t xml:space="preserve"> </w:t>
      </w:r>
      <w:r w:rsidRPr="00014AAD">
        <w:t>a</w:t>
      </w:r>
      <w:r>
        <w:t xml:space="preserve"> </w:t>
      </w:r>
      <w:r w:rsidRPr="00014AAD">
        <w:t>splňuje</w:t>
      </w:r>
      <w:r>
        <w:t xml:space="preserve"> </w:t>
      </w:r>
      <w:r w:rsidRPr="00014AAD">
        <w:t>podmínky</w:t>
      </w:r>
      <w:r>
        <w:t xml:space="preserve"> </w:t>
      </w:r>
      <w:r w:rsidRPr="00014AAD">
        <w:t>připojení</w:t>
      </w:r>
      <w:r>
        <w:t xml:space="preserve"> </w:t>
      </w:r>
      <w:r w:rsidRPr="00014AAD">
        <w:t>a</w:t>
      </w:r>
      <w:r>
        <w:t xml:space="preserve"> </w:t>
      </w:r>
      <w:r w:rsidRPr="00014AAD">
        <w:t>obchodní</w:t>
      </w:r>
      <w:r>
        <w:t xml:space="preserve"> </w:t>
      </w:r>
      <w:r w:rsidRPr="00014AAD">
        <w:t>podmínky</w:t>
      </w:r>
      <w:r>
        <w:t xml:space="preserve"> </w:t>
      </w:r>
      <w:r w:rsidRPr="00014AAD">
        <w:t>stanovené</w:t>
      </w:r>
      <w:r>
        <w:t xml:space="preserve"> </w:t>
      </w:r>
      <w:r w:rsidRPr="00014AAD">
        <w:t>Pravidly</w:t>
      </w:r>
      <w:r>
        <w:t xml:space="preserve"> </w:t>
      </w:r>
      <w:r w:rsidRPr="00014AAD">
        <w:t>provozování</w:t>
      </w:r>
      <w:r>
        <w:t xml:space="preserve"> </w:t>
      </w:r>
      <w:r w:rsidRPr="00014AAD">
        <w:t>přenosové</w:t>
      </w:r>
      <w:r>
        <w:t xml:space="preserve"> </w:t>
      </w:r>
      <w:r w:rsidRPr="00014AAD">
        <w:t>soustavy,</w:t>
      </w:r>
      <w:r>
        <w:t xml:space="preserve"> </w:t>
      </w:r>
      <w:r w:rsidRPr="00014AAD">
        <w:t>s</w:t>
      </w:r>
      <w:r>
        <w:t xml:space="preserve"> </w:t>
      </w:r>
      <w:r w:rsidRPr="00014AAD">
        <w:t>výjimkou</w:t>
      </w:r>
      <w:r>
        <w:t xml:space="preserve"> </w:t>
      </w:r>
      <w:r w:rsidRPr="00014AAD">
        <w:t>případu</w:t>
      </w:r>
      <w:r>
        <w:t xml:space="preserve"> </w:t>
      </w:r>
      <w:r w:rsidRPr="00014AAD">
        <w:t>prokazatelného</w:t>
      </w:r>
      <w:r>
        <w:t xml:space="preserve"> </w:t>
      </w:r>
      <w:r w:rsidRPr="00014AAD">
        <w:t>nedostatku</w:t>
      </w:r>
      <w:r>
        <w:t xml:space="preserve"> </w:t>
      </w:r>
      <w:r w:rsidRPr="00014AAD">
        <w:t>kapacity</w:t>
      </w:r>
      <w:r>
        <w:t xml:space="preserve"> </w:t>
      </w:r>
      <w:r w:rsidRPr="00014AAD">
        <w:t>zařízení</w:t>
      </w:r>
      <w:r>
        <w:t xml:space="preserve"> </w:t>
      </w:r>
      <w:r w:rsidRPr="00014AAD">
        <w:t>pro</w:t>
      </w:r>
      <w:r>
        <w:t xml:space="preserve"> </w:t>
      </w:r>
      <w:r w:rsidRPr="00014AAD">
        <w:t>přenos</w:t>
      </w:r>
      <w:r>
        <w:t xml:space="preserve"> </w:t>
      </w:r>
      <w:r w:rsidRPr="00014AAD">
        <w:t>nebo</w:t>
      </w:r>
      <w:r>
        <w:t xml:space="preserve"> </w:t>
      </w:r>
      <w:r w:rsidRPr="00014AAD">
        <w:t>při</w:t>
      </w:r>
      <w:r>
        <w:t xml:space="preserve"> </w:t>
      </w:r>
      <w:r w:rsidRPr="00014AAD">
        <w:t>ohrožení</w:t>
      </w:r>
      <w:r>
        <w:t xml:space="preserve"> </w:t>
      </w:r>
      <w:r w:rsidRPr="00014AAD">
        <w:t>bezpečného</w:t>
      </w:r>
      <w:r>
        <w:t xml:space="preserve"> </w:t>
      </w:r>
      <w:r w:rsidRPr="00014AAD">
        <w:t>a</w:t>
      </w:r>
      <w:r>
        <w:t xml:space="preserve"> </w:t>
      </w:r>
      <w:r w:rsidRPr="00014AAD">
        <w:t>spolehlivého</w:t>
      </w:r>
      <w:r>
        <w:t xml:space="preserve"> </w:t>
      </w:r>
      <w:r w:rsidRPr="00014AAD">
        <w:t>provozu</w:t>
      </w:r>
      <w:r>
        <w:t xml:space="preserve"> </w:t>
      </w:r>
      <w:r w:rsidRPr="00014AAD">
        <w:t>přenosové</w:t>
      </w:r>
      <w:r>
        <w:t xml:space="preserve"> </w:t>
      </w:r>
      <w:r w:rsidRPr="00014AAD">
        <w:t>soustavy,</w:t>
      </w:r>
    </w:p>
    <w:p w14:paraId="7CE676E4" w14:textId="0F94EE15" w:rsidR="00920C2F" w:rsidRDefault="00920C2F" w:rsidP="002E6AEA">
      <w:pPr>
        <w:pStyle w:val="Textparagrafu"/>
        <w:tabs>
          <w:tab w:val="left" w:pos="420"/>
        </w:tabs>
        <w:spacing w:before="0"/>
        <w:ind w:left="426" w:hanging="426"/>
      </w:pPr>
      <w:r w:rsidRPr="00014AAD">
        <w:t>b)</w:t>
      </w:r>
      <w:r w:rsidR="003C5B03">
        <w:tab/>
      </w:r>
      <w:r w:rsidRPr="00014AAD">
        <w:t>zajišťovat</w:t>
      </w:r>
      <w:r>
        <w:t xml:space="preserve"> </w:t>
      </w:r>
      <w:r w:rsidRPr="00014AAD">
        <w:t>všem</w:t>
      </w:r>
      <w:r>
        <w:t xml:space="preserve"> </w:t>
      </w:r>
      <w:r w:rsidRPr="00014AAD">
        <w:t>účastníkům</w:t>
      </w:r>
      <w:r>
        <w:t xml:space="preserve"> </w:t>
      </w:r>
      <w:r w:rsidRPr="00014AAD">
        <w:t>trhu</w:t>
      </w:r>
      <w:r>
        <w:t xml:space="preserve"> </w:t>
      </w:r>
      <w:r w:rsidRPr="00014AAD">
        <w:t>s</w:t>
      </w:r>
      <w:r>
        <w:t xml:space="preserve"> </w:t>
      </w:r>
      <w:r w:rsidRPr="00014AAD">
        <w:t>elektřinou</w:t>
      </w:r>
      <w:r>
        <w:t xml:space="preserve"> </w:t>
      </w:r>
      <w:r w:rsidRPr="00014AAD">
        <w:t>neznevýhodňující</w:t>
      </w:r>
      <w:r>
        <w:t xml:space="preserve"> </w:t>
      </w:r>
      <w:r w:rsidRPr="00014AAD">
        <w:t>podmínky</w:t>
      </w:r>
      <w:r>
        <w:t xml:space="preserve"> </w:t>
      </w:r>
      <w:r w:rsidRPr="00014AAD">
        <w:t>pro</w:t>
      </w:r>
      <w:r>
        <w:t xml:space="preserve"> </w:t>
      </w:r>
      <w:r w:rsidRPr="00014AAD">
        <w:t>připojení</w:t>
      </w:r>
      <w:r>
        <w:t xml:space="preserve"> </w:t>
      </w:r>
      <w:r w:rsidRPr="00014AAD">
        <w:t>jejich</w:t>
      </w:r>
      <w:r>
        <w:t xml:space="preserve"> </w:t>
      </w:r>
      <w:r w:rsidRPr="00014AAD">
        <w:t>zařízení</w:t>
      </w:r>
      <w:r>
        <w:t xml:space="preserve"> </w:t>
      </w:r>
      <w:r w:rsidRPr="00014AAD">
        <w:t>k</w:t>
      </w:r>
      <w:r>
        <w:t xml:space="preserve"> </w:t>
      </w:r>
      <w:r w:rsidRPr="00014AAD">
        <w:t>přenosové</w:t>
      </w:r>
      <w:r>
        <w:t xml:space="preserve"> </w:t>
      </w:r>
      <w:r w:rsidRPr="00014AAD">
        <w:t>soustavě,</w:t>
      </w:r>
    </w:p>
    <w:p w14:paraId="306C001E" w14:textId="0D769BEC" w:rsidR="00920C2F" w:rsidRDefault="00920C2F" w:rsidP="002E6AEA">
      <w:pPr>
        <w:pStyle w:val="Textparagrafu"/>
        <w:tabs>
          <w:tab w:val="left" w:pos="420"/>
        </w:tabs>
        <w:spacing w:before="0"/>
        <w:ind w:left="426" w:hanging="426"/>
      </w:pPr>
      <w:r w:rsidRPr="00014AAD">
        <w:t>c)</w:t>
      </w:r>
      <w:r w:rsidR="003C5B03">
        <w:tab/>
      </w:r>
      <w:r w:rsidRPr="00014AAD">
        <w:t>zajišťovat</w:t>
      </w:r>
      <w:r>
        <w:t xml:space="preserve"> </w:t>
      </w:r>
      <w:r w:rsidRPr="00014AAD">
        <w:t>všem</w:t>
      </w:r>
      <w:r>
        <w:t xml:space="preserve"> </w:t>
      </w:r>
      <w:r w:rsidRPr="00014AAD">
        <w:t>účastníkům</w:t>
      </w:r>
      <w:r>
        <w:t xml:space="preserve"> </w:t>
      </w:r>
      <w:r w:rsidRPr="00014AAD">
        <w:t>trhu</w:t>
      </w:r>
      <w:r>
        <w:t xml:space="preserve"> </w:t>
      </w:r>
      <w:r w:rsidRPr="00014AAD">
        <w:t>s</w:t>
      </w:r>
      <w:r>
        <w:t xml:space="preserve"> </w:t>
      </w:r>
      <w:r w:rsidRPr="00014AAD">
        <w:t>elektřinou</w:t>
      </w:r>
      <w:r>
        <w:t xml:space="preserve"> </w:t>
      </w:r>
      <w:r w:rsidRPr="00014AAD">
        <w:t>neznevýhodňující</w:t>
      </w:r>
      <w:r>
        <w:t xml:space="preserve"> </w:t>
      </w:r>
      <w:r w:rsidRPr="00014AAD">
        <w:t>podmínky</w:t>
      </w:r>
      <w:r>
        <w:t xml:space="preserve"> </w:t>
      </w:r>
      <w:r w:rsidRPr="00014AAD">
        <w:t>pro</w:t>
      </w:r>
      <w:r>
        <w:t xml:space="preserve"> </w:t>
      </w:r>
      <w:r w:rsidRPr="00014AAD">
        <w:t>přenos</w:t>
      </w:r>
      <w:r>
        <w:t xml:space="preserve"> </w:t>
      </w:r>
      <w:r w:rsidRPr="00014AAD">
        <w:t>elektřiny</w:t>
      </w:r>
      <w:r>
        <w:t xml:space="preserve"> </w:t>
      </w:r>
      <w:r w:rsidRPr="00014AAD">
        <w:t>přenosovou</w:t>
      </w:r>
      <w:r>
        <w:t xml:space="preserve"> </w:t>
      </w:r>
      <w:r w:rsidRPr="00014AAD">
        <w:t>soustavou,</w:t>
      </w:r>
    </w:p>
    <w:p w14:paraId="3A4D38F8" w14:textId="6518AF5E" w:rsidR="00920C2F" w:rsidRDefault="00920C2F" w:rsidP="002E6AEA">
      <w:pPr>
        <w:pStyle w:val="Textparagrafu"/>
        <w:tabs>
          <w:tab w:val="left" w:pos="420"/>
        </w:tabs>
        <w:spacing w:before="0"/>
        <w:ind w:left="426" w:hanging="426"/>
      </w:pPr>
      <w:r w:rsidRPr="00014AAD">
        <w:t>d)</w:t>
      </w:r>
      <w:r w:rsidR="003C5B03">
        <w:tab/>
      </w:r>
      <w:r w:rsidRPr="00014AAD">
        <w:t>zajistit</w:t>
      </w:r>
      <w:r>
        <w:t xml:space="preserve"> </w:t>
      </w:r>
      <w:r w:rsidRPr="00014AAD">
        <w:t>zřízení</w:t>
      </w:r>
      <w:r>
        <w:t xml:space="preserve"> </w:t>
      </w:r>
      <w:r w:rsidRPr="00014AAD">
        <w:t>technického</w:t>
      </w:r>
      <w:r>
        <w:t xml:space="preserve"> </w:t>
      </w:r>
      <w:r w:rsidRPr="00014AAD">
        <w:t>dispečinku</w:t>
      </w:r>
      <w:r>
        <w:t xml:space="preserve"> </w:t>
      </w:r>
      <w:r w:rsidRPr="00014AAD">
        <w:t>pro</w:t>
      </w:r>
      <w:r>
        <w:t xml:space="preserve"> </w:t>
      </w:r>
      <w:r w:rsidRPr="00014AAD">
        <w:t>výkon</w:t>
      </w:r>
      <w:r>
        <w:t xml:space="preserve"> </w:t>
      </w:r>
      <w:r w:rsidRPr="00014AAD">
        <w:t>činností</w:t>
      </w:r>
      <w:r>
        <w:t xml:space="preserve"> </w:t>
      </w:r>
      <w:r w:rsidRPr="00014AAD">
        <w:t>podle</w:t>
      </w:r>
      <w:r>
        <w:t xml:space="preserve"> </w:t>
      </w:r>
      <w:r w:rsidRPr="00014AAD">
        <w:t>odstavce</w:t>
      </w:r>
      <w:r>
        <w:t xml:space="preserve"> </w:t>
      </w:r>
      <w:r w:rsidRPr="00014AAD">
        <w:t>1</w:t>
      </w:r>
      <w:r>
        <w:t xml:space="preserve"> </w:t>
      </w:r>
      <w:r w:rsidRPr="00014AAD">
        <w:t>písm.</w:t>
      </w:r>
      <w:r>
        <w:t xml:space="preserve"> </w:t>
      </w:r>
      <w:r w:rsidRPr="00014AAD">
        <w:t>c)</w:t>
      </w:r>
      <w:r>
        <w:t xml:space="preserve"> </w:t>
      </w:r>
      <w:r w:rsidRPr="00014AAD">
        <w:t>a</w:t>
      </w:r>
      <w:r>
        <w:t xml:space="preserve"> </w:t>
      </w:r>
      <w:r w:rsidRPr="00014AAD">
        <w:t>d)</w:t>
      </w:r>
      <w:r>
        <w:t xml:space="preserve"> </w:t>
      </w:r>
      <w:r w:rsidRPr="00014AAD">
        <w:t>a</w:t>
      </w:r>
      <w:r>
        <w:t xml:space="preserve"> </w:t>
      </w:r>
      <w:r w:rsidRPr="00014AAD">
        <w:t>zajistit</w:t>
      </w:r>
      <w:r>
        <w:t xml:space="preserve"> </w:t>
      </w:r>
      <w:r w:rsidRPr="00014AAD">
        <w:t>jeho</w:t>
      </w:r>
      <w:r>
        <w:t xml:space="preserve"> </w:t>
      </w:r>
      <w:r w:rsidRPr="00014AAD">
        <w:t>řádnou</w:t>
      </w:r>
      <w:r>
        <w:t xml:space="preserve"> </w:t>
      </w:r>
      <w:r w:rsidRPr="00014AAD">
        <w:t>činnost,</w:t>
      </w:r>
    </w:p>
    <w:p w14:paraId="3F8F532B" w14:textId="1E409321" w:rsidR="00920C2F" w:rsidRDefault="00920C2F" w:rsidP="002E6AEA">
      <w:pPr>
        <w:pStyle w:val="Textparagrafu"/>
        <w:tabs>
          <w:tab w:val="left" w:pos="420"/>
        </w:tabs>
        <w:spacing w:before="0"/>
        <w:ind w:left="426" w:hanging="426"/>
      </w:pPr>
      <w:r w:rsidRPr="00014AAD">
        <w:t>e)</w:t>
      </w:r>
      <w:r w:rsidR="003C5B03">
        <w:tab/>
      </w:r>
      <w:r w:rsidRPr="00014AAD">
        <w:t>zajišťovat</w:t>
      </w:r>
      <w:r>
        <w:t xml:space="preserve"> </w:t>
      </w:r>
      <w:r w:rsidRPr="00014AAD">
        <w:t>měření</w:t>
      </w:r>
      <w:r>
        <w:t xml:space="preserve"> </w:t>
      </w:r>
      <w:r w:rsidRPr="00014AAD">
        <w:t>v</w:t>
      </w:r>
      <w:r>
        <w:t xml:space="preserve"> </w:t>
      </w:r>
      <w:r w:rsidRPr="00014AAD">
        <w:t>přenosové</w:t>
      </w:r>
      <w:r>
        <w:t xml:space="preserve"> </w:t>
      </w:r>
      <w:r w:rsidRPr="00014AAD">
        <w:t>soustavě</w:t>
      </w:r>
      <w:r>
        <w:t xml:space="preserve"> </w:t>
      </w:r>
      <w:r w:rsidRPr="00014AAD">
        <w:t>včetně</w:t>
      </w:r>
      <w:r>
        <w:t xml:space="preserve"> </w:t>
      </w:r>
      <w:r w:rsidRPr="00014AAD">
        <w:t>jejich</w:t>
      </w:r>
      <w:r>
        <w:t xml:space="preserve"> </w:t>
      </w:r>
      <w:r w:rsidRPr="00014AAD">
        <w:t>vyhodnocování</w:t>
      </w:r>
      <w:r>
        <w:t xml:space="preserve"> </w:t>
      </w:r>
      <w:r w:rsidRPr="00014AAD">
        <w:t>a</w:t>
      </w:r>
      <w:r>
        <w:t xml:space="preserve"> </w:t>
      </w:r>
      <w:r w:rsidRPr="00014AAD">
        <w:t>předávat</w:t>
      </w:r>
      <w:r>
        <w:t xml:space="preserve"> </w:t>
      </w:r>
      <w:r w:rsidRPr="00014AAD">
        <w:t>operátorovi</w:t>
      </w:r>
      <w:r>
        <w:t xml:space="preserve"> </w:t>
      </w:r>
      <w:r w:rsidRPr="00014AAD">
        <w:t>trhu</w:t>
      </w:r>
      <w:r>
        <w:t xml:space="preserve"> </w:t>
      </w:r>
      <w:r w:rsidRPr="00014AAD">
        <w:t>naměřené</w:t>
      </w:r>
      <w:r>
        <w:t xml:space="preserve"> </w:t>
      </w:r>
      <w:r w:rsidRPr="00014AAD">
        <w:t>a</w:t>
      </w:r>
      <w:r>
        <w:t xml:space="preserve"> </w:t>
      </w:r>
      <w:r w:rsidRPr="00014AAD">
        <w:t>vyhodnocené</w:t>
      </w:r>
      <w:r>
        <w:t xml:space="preserve"> </w:t>
      </w:r>
      <w:r w:rsidRPr="00014AAD">
        <w:t>údaje</w:t>
      </w:r>
      <w:r>
        <w:t xml:space="preserve"> </w:t>
      </w:r>
      <w:r w:rsidRPr="00014AAD">
        <w:t>a</w:t>
      </w:r>
      <w:r>
        <w:t xml:space="preserve"> </w:t>
      </w:r>
      <w:r w:rsidRPr="00014AAD">
        <w:t>další</w:t>
      </w:r>
      <w:r>
        <w:t xml:space="preserve"> </w:t>
      </w:r>
      <w:r w:rsidRPr="00014AAD">
        <w:t>nezbytné</w:t>
      </w:r>
      <w:r>
        <w:t xml:space="preserve"> </w:t>
      </w:r>
      <w:r w:rsidRPr="00014AAD">
        <w:t>informace</w:t>
      </w:r>
      <w:r>
        <w:t xml:space="preserve"> </w:t>
      </w:r>
      <w:r w:rsidRPr="00014AAD">
        <w:t>pro</w:t>
      </w:r>
      <w:r>
        <w:t xml:space="preserve"> </w:t>
      </w:r>
      <w:r w:rsidRPr="00014AAD">
        <w:t>plnění</w:t>
      </w:r>
      <w:r>
        <w:t xml:space="preserve"> </w:t>
      </w:r>
      <w:r w:rsidRPr="00014AAD">
        <w:t>jeho</w:t>
      </w:r>
      <w:r>
        <w:t xml:space="preserve"> </w:t>
      </w:r>
      <w:r w:rsidRPr="00014AAD">
        <w:t>povinností,</w:t>
      </w:r>
    </w:p>
    <w:p w14:paraId="787660A0" w14:textId="28F54644" w:rsidR="00920C2F" w:rsidRDefault="00920C2F" w:rsidP="002E6AEA">
      <w:pPr>
        <w:pStyle w:val="Textparagrafu"/>
        <w:tabs>
          <w:tab w:val="left" w:pos="420"/>
        </w:tabs>
        <w:spacing w:before="0"/>
        <w:ind w:left="426" w:hanging="426"/>
      </w:pPr>
      <w:r w:rsidRPr="00014AAD">
        <w:t>f)</w:t>
      </w:r>
      <w:r w:rsidR="003C5B03">
        <w:tab/>
      </w:r>
      <w:r w:rsidRPr="00014AAD">
        <w:t>zpracovávat</w:t>
      </w:r>
      <w:r>
        <w:t xml:space="preserve"> </w:t>
      </w:r>
      <w:r w:rsidRPr="00014AAD">
        <w:t>a</w:t>
      </w:r>
      <w:r>
        <w:t xml:space="preserve"> </w:t>
      </w:r>
      <w:r w:rsidRPr="00014AAD">
        <w:t>po</w:t>
      </w:r>
      <w:r>
        <w:t xml:space="preserve"> </w:t>
      </w:r>
      <w:r w:rsidRPr="00014AAD">
        <w:t>schválení</w:t>
      </w:r>
      <w:r>
        <w:t xml:space="preserve"> </w:t>
      </w:r>
      <w:r w:rsidRPr="00014AAD">
        <w:t>Energetickým</w:t>
      </w:r>
      <w:r>
        <w:t xml:space="preserve"> </w:t>
      </w:r>
      <w:r w:rsidRPr="00014AAD">
        <w:t>regulačním</w:t>
      </w:r>
      <w:r>
        <w:t xml:space="preserve"> </w:t>
      </w:r>
      <w:r w:rsidRPr="00014AAD">
        <w:t>úřadem</w:t>
      </w:r>
      <w:r>
        <w:t xml:space="preserve"> </w:t>
      </w:r>
      <w:r w:rsidRPr="00014AAD">
        <w:t>zveřejňovat</w:t>
      </w:r>
      <w:r>
        <w:t xml:space="preserve"> </w:t>
      </w:r>
      <w:r w:rsidRPr="00014AAD">
        <w:t>Pravidla</w:t>
      </w:r>
      <w:r>
        <w:t xml:space="preserve"> </w:t>
      </w:r>
      <w:r w:rsidRPr="00014AAD">
        <w:t>provozování</w:t>
      </w:r>
      <w:r>
        <w:t xml:space="preserve"> </w:t>
      </w:r>
      <w:r w:rsidRPr="00014AAD">
        <w:t>přenosové</w:t>
      </w:r>
      <w:r>
        <w:t xml:space="preserve"> </w:t>
      </w:r>
      <w:r w:rsidRPr="00014AAD">
        <w:t>soustavy</w:t>
      </w:r>
      <w:r>
        <w:t xml:space="preserve"> </w:t>
      </w:r>
      <w:r w:rsidRPr="00014AAD">
        <w:t>a</w:t>
      </w:r>
      <w:r>
        <w:t xml:space="preserve"> </w:t>
      </w:r>
      <w:r w:rsidRPr="00014AAD">
        <w:t>vykonávat</w:t>
      </w:r>
      <w:r>
        <w:t xml:space="preserve"> </w:t>
      </w:r>
      <w:r w:rsidRPr="00014AAD">
        <w:t>licencovanou</w:t>
      </w:r>
      <w:r>
        <w:t xml:space="preserve"> </w:t>
      </w:r>
      <w:r w:rsidRPr="00014AAD">
        <w:t>činnost</w:t>
      </w:r>
      <w:r>
        <w:t xml:space="preserve"> </w:t>
      </w:r>
      <w:r w:rsidRPr="00014AAD">
        <w:t>v</w:t>
      </w:r>
      <w:r>
        <w:t xml:space="preserve"> </w:t>
      </w:r>
      <w:r w:rsidRPr="00014AAD">
        <w:t>souladu</w:t>
      </w:r>
      <w:r>
        <w:t xml:space="preserve"> </w:t>
      </w:r>
      <w:r w:rsidRPr="00014AAD">
        <w:t>s</w:t>
      </w:r>
      <w:r>
        <w:t xml:space="preserve"> </w:t>
      </w:r>
      <w:r w:rsidRPr="00014AAD">
        <w:t>těmito</w:t>
      </w:r>
      <w:r>
        <w:t xml:space="preserve"> </w:t>
      </w:r>
      <w:r w:rsidRPr="00014AAD">
        <w:t>pravidly,</w:t>
      </w:r>
    </w:p>
    <w:p w14:paraId="7065C951" w14:textId="53FC4CA7" w:rsidR="00920C2F" w:rsidRDefault="00920C2F" w:rsidP="002E6AEA">
      <w:pPr>
        <w:pStyle w:val="Textparagrafu"/>
        <w:tabs>
          <w:tab w:val="left" w:pos="420"/>
        </w:tabs>
        <w:spacing w:before="0"/>
        <w:ind w:left="426" w:hanging="426"/>
      </w:pPr>
      <w:r w:rsidRPr="00014AAD">
        <w:lastRenderedPageBreak/>
        <w:t>g)</w:t>
      </w:r>
      <w:r w:rsidR="003C5B03">
        <w:tab/>
      </w:r>
      <w:r w:rsidRPr="00014AAD">
        <w:t>poskytovat</w:t>
      </w:r>
      <w:r>
        <w:t xml:space="preserve"> </w:t>
      </w:r>
      <w:r w:rsidRPr="00014AAD">
        <w:t>provozovatelům</w:t>
      </w:r>
      <w:r>
        <w:t xml:space="preserve"> </w:t>
      </w:r>
      <w:r w:rsidRPr="00014AAD">
        <w:t>jiných</w:t>
      </w:r>
      <w:r>
        <w:t xml:space="preserve"> </w:t>
      </w:r>
      <w:r w:rsidRPr="00014AAD">
        <w:t>přenosových</w:t>
      </w:r>
      <w:r>
        <w:t xml:space="preserve"> </w:t>
      </w:r>
      <w:r w:rsidRPr="00014AAD">
        <w:t>soustav</w:t>
      </w:r>
      <w:r>
        <w:t xml:space="preserve"> </w:t>
      </w:r>
      <w:r w:rsidRPr="00014AAD">
        <w:t>a</w:t>
      </w:r>
      <w:r>
        <w:t xml:space="preserve"> </w:t>
      </w:r>
      <w:r w:rsidRPr="00014AAD">
        <w:t>provozovatelům</w:t>
      </w:r>
      <w:r>
        <w:t xml:space="preserve"> </w:t>
      </w:r>
      <w:r w:rsidRPr="00014AAD">
        <w:t>distribučních</w:t>
      </w:r>
      <w:r>
        <w:t xml:space="preserve"> </w:t>
      </w:r>
      <w:r w:rsidRPr="00014AAD">
        <w:t>soustav,</w:t>
      </w:r>
      <w:r>
        <w:t xml:space="preserve"> </w:t>
      </w:r>
      <w:r w:rsidRPr="00014AAD">
        <w:t>se</w:t>
      </w:r>
      <w:r>
        <w:t xml:space="preserve"> </w:t>
      </w:r>
      <w:r w:rsidRPr="00014AAD">
        <w:t>kterými</w:t>
      </w:r>
      <w:r>
        <w:t xml:space="preserve"> </w:t>
      </w:r>
      <w:r w:rsidRPr="00014AAD">
        <w:t>je</w:t>
      </w:r>
      <w:r>
        <w:t xml:space="preserve"> </w:t>
      </w:r>
      <w:r w:rsidRPr="00014AAD">
        <w:t>jeho</w:t>
      </w:r>
      <w:r>
        <w:t xml:space="preserve"> </w:t>
      </w:r>
      <w:r w:rsidRPr="00014AAD">
        <w:t>soustava</w:t>
      </w:r>
      <w:r>
        <w:t xml:space="preserve"> </w:t>
      </w:r>
      <w:r w:rsidRPr="00014AAD">
        <w:t>propojena,</w:t>
      </w:r>
      <w:r>
        <w:t xml:space="preserve"> </w:t>
      </w:r>
      <w:r w:rsidRPr="00014AAD">
        <w:t>informace</w:t>
      </w:r>
      <w:r>
        <w:t xml:space="preserve"> </w:t>
      </w:r>
      <w:r w:rsidRPr="00014AAD">
        <w:t>nezbytné</w:t>
      </w:r>
      <w:r>
        <w:t xml:space="preserve"> </w:t>
      </w:r>
      <w:r w:rsidRPr="00014AAD">
        <w:t>k</w:t>
      </w:r>
      <w:r>
        <w:t xml:space="preserve"> </w:t>
      </w:r>
      <w:r w:rsidRPr="00014AAD">
        <w:t>zajištění</w:t>
      </w:r>
      <w:r>
        <w:t xml:space="preserve"> </w:t>
      </w:r>
      <w:r w:rsidRPr="00014AAD">
        <w:t>vzájemné</w:t>
      </w:r>
      <w:r>
        <w:t xml:space="preserve"> </w:t>
      </w:r>
      <w:r w:rsidRPr="00014AAD">
        <w:t>spolupráce</w:t>
      </w:r>
      <w:r>
        <w:t xml:space="preserve"> </w:t>
      </w:r>
      <w:r w:rsidRPr="00014AAD">
        <w:t>při</w:t>
      </w:r>
      <w:r>
        <w:t xml:space="preserve"> </w:t>
      </w:r>
      <w:r w:rsidRPr="00014AAD">
        <w:t>provozu</w:t>
      </w:r>
      <w:r>
        <w:t xml:space="preserve"> </w:t>
      </w:r>
      <w:r w:rsidRPr="00014AAD">
        <w:t>a</w:t>
      </w:r>
      <w:r>
        <w:t xml:space="preserve"> </w:t>
      </w:r>
      <w:r w:rsidRPr="00014AAD">
        <w:t>rozvoji</w:t>
      </w:r>
      <w:r>
        <w:t xml:space="preserve"> </w:t>
      </w:r>
      <w:r w:rsidRPr="00014AAD">
        <w:t>sítí,</w:t>
      </w:r>
    </w:p>
    <w:p w14:paraId="0BE9178C" w14:textId="0073179C" w:rsidR="00920C2F" w:rsidRDefault="00920C2F" w:rsidP="002E6AEA">
      <w:pPr>
        <w:pStyle w:val="Textparagrafu"/>
        <w:tabs>
          <w:tab w:val="left" w:pos="420"/>
        </w:tabs>
        <w:spacing w:before="0"/>
        <w:ind w:left="426" w:hanging="426"/>
      </w:pPr>
      <w:r w:rsidRPr="00014AAD">
        <w:t>h)</w:t>
      </w:r>
      <w:r w:rsidR="003C5B03">
        <w:tab/>
      </w:r>
      <w:r w:rsidRPr="00014AAD">
        <w:t>informovat</w:t>
      </w:r>
      <w:r>
        <w:t xml:space="preserve"> </w:t>
      </w:r>
      <w:r w:rsidRPr="00014AAD">
        <w:t>ministerstvo</w:t>
      </w:r>
      <w:r>
        <w:t xml:space="preserve"> </w:t>
      </w:r>
      <w:r w:rsidRPr="00014AAD">
        <w:t>a</w:t>
      </w:r>
      <w:r>
        <w:t xml:space="preserve"> </w:t>
      </w:r>
      <w:r w:rsidRPr="00014AAD">
        <w:t>Energetický</w:t>
      </w:r>
      <w:r>
        <w:t xml:space="preserve"> </w:t>
      </w:r>
      <w:r w:rsidRPr="00014AAD">
        <w:t>regulační</w:t>
      </w:r>
      <w:r>
        <w:t xml:space="preserve"> </w:t>
      </w:r>
      <w:r w:rsidRPr="00014AAD">
        <w:t>úřad</w:t>
      </w:r>
      <w:r>
        <w:t xml:space="preserve"> </w:t>
      </w:r>
      <w:r w:rsidRPr="00014AAD">
        <w:t>o</w:t>
      </w:r>
      <w:r>
        <w:t xml:space="preserve"> </w:t>
      </w:r>
      <w:r w:rsidRPr="00014AAD">
        <w:t>omezení</w:t>
      </w:r>
      <w:r>
        <w:t xml:space="preserve"> </w:t>
      </w:r>
      <w:r w:rsidRPr="00014AAD">
        <w:t>dovozu</w:t>
      </w:r>
      <w:r>
        <w:t xml:space="preserve"> </w:t>
      </w:r>
      <w:r w:rsidRPr="00014AAD">
        <w:t>nebo</w:t>
      </w:r>
      <w:r>
        <w:t xml:space="preserve"> </w:t>
      </w:r>
      <w:r w:rsidRPr="00014AAD">
        <w:t>vývozu</w:t>
      </w:r>
      <w:r>
        <w:t xml:space="preserve"> </w:t>
      </w:r>
      <w:r w:rsidRPr="00014AAD">
        <w:t>elektřiny,</w:t>
      </w:r>
    </w:p>
    <w:p w14:paraId="083917BA" w14:textId="4CFF5C2B" w:rsidR="00920C2F" w:rsidRDefault="00920C2F" w:rsidP="002E6AEA">
      <w:pPr>
        <w:pStyle w:val="Textparagrafu"/>
        <w:tabs>
          <w:tab w:val="left" w:pos="420"/>
        </w:tabs>
        <w:spacing w:before="0"/>
        <w:ind w:left="426" w:hanging="426"/>
      </w:pPr>
      <w:r w:rsidRPr="00014AAD">
        <w:t>i)</w:t>
      </w:r>
      <w:r w:rsidR="003C5B03">
        <w:tab/>
      </w:r>
      <w:r w:rsidRPr="00014AAD">
        <w:t>zpracovávat</w:t>
      </w:r>
      <w:r>
        <w:t xml:space="preserve"> </w:t>
      </w:r>
      <w:r w:rsidRPr="00014AAD">
        <w:t>ve</w:t>
      </w:r>
      <w:r>
        <w:t xml:space="preserve"> </w:t>
      </w:r>
      <w:r w:rsidRPr="00014AAD">
        <w:t>spolupráci</w:t>
      </w:r>
      <w:r>
        <w:t xml:space="preserve"> </w:t>
      </w:r>
      <w:r w:rsidRPr="00014AAD">
        <w:t>s</w:t>
      </w:r>
      <w:r>
        <w:t xml:space="preserve"> </w:t>
      </w:r>
      <w:r w:rsidRPr="00014AAD">
        <w:t>provozovateli</w:t>
      </w:r>
      <w:r>
        <w:t xml:space="preserve"> </w:t>
      </w:r>
      <w:r w:rsidRPr="00014AAD">
        <w:t>distribučních</w:t>
      </w:r>
      <w:r>
        <w:t xml:space="preserve"> </w:t>
      </w:r>
      <w:r w:rsidRPr="00014AAD">
        <w:t>soustav</w:t>
      </w:r>
      <w:r>
        <w:t xml:space="preserve"> </w:t>
      </w:r>
      <w:r w:rsidRPr="00014AAD">
        <w:t>roční</w:t>
      </w:r>
      <w:r>
        <w:t xml:space="preserve"> </w:t>
      </w:r>
      <w:r w:rsidRPr="00014AAD">
        <w:t>přípravu</w:t>
      </w:r>
      <w:r>
        <w:t xml:space="preserve"> </w:t>
      </w:r>
      <w:r w:rsidRPr="00014AAD">
        <w:t>provozu</w:t>
      </w:r>
      <w:r>
        <w:t xml:space="preserve"> </w:t>
      </w:r>
      <w:r w:rsidRPr="00014AAD">
        <w:t>přenosové</w:t>
      </w:r>
      <w:r>
        <w:t xml:space="preserve"> </w:t>
      </w:r>
      <w:r w:rsidRPr="00014AAD">
        <w:t>soustavy,</w:t>
      </w:r>
      <w:r>
        <w:t xml:space="preserve"> </w:t>
      </w:r>
      <w:r w:rsidRPr="00014AAD">
        <w:t>a</w:t>
      </w:r>
      <w:r>
        <w:t xml:space="preserve"> </w:t>
      </w:r>
      <w:r w:rsidRPr="00014AAD">
        <w:t>to</w:t>
      </w:r>
      <w:r>
        <w:t xml:space="preserve"> </w:t>
      </w:r>
      <w:r w:rsidRPr="00014AAD">
        <w:t>zejména</w:t>
      </w:r>
      <w:r>
        <w:t xml:space="preserve"> </w:t>
      </w:r>
      <w:r w:rsidRPr="00014AAD">
        <w:t>rozsah</w:t>
      </w:r>
      <w:r>
        <w:t xml:space="preserve"> </w:t>
      </w:r>
      <w:r w:rsidRPr="00014AAD">
        <w:t>a</w:t>
      </w:r>
      <w:r>
        <w:t xml:space="preserve"> </w:t>
      </w:r>
      <w:r w:rsidRPr="00014AAD">
        <w:t>termíny</w:t>
      </w:r>
      <w:r>
        <w:t xml:space="preserve"> </w:t>
      </w:r>
      <w:r w:rsidRPr="00014AAD">
        <w:t>odstávek</w:t>
      </w:r>
      <w:r>
        <w:t xml:space="preserve"> </w:t>
      </w:r>
      <w:r w:rsidRPr="00014AAD">
        <w:t>zařízení</w:t>
      </w:r>
      <w:r>
        <w:t xml:space="preserve"> </w:t>
      </w:r>
      <w:r w:rsidRPr="00014AAD">
        <w:t>pro</w:t>
      </w:r>
      <w:r>
        <w:t xml:space="preserve"> </w:t>
      </w:r>
      <w:r w:rsidRPr="00014AAD">
        <w:t>přenos</w:t>
      </w:r>
      <w:r>
        <w:t xml:space="preserve"> </w:t>
      </w:r>
      <w:r w:rsidRPr="00014AAD">
        <w:t>a</w:t>
      </w:r>
      <w:r>
        <w:t xml:space="preserve"> </w:t>
      </w:r>
      <w:r w:rsidRPr="00014AAD">
        <w:t>předpokládané</w:t>
      </w:r>
      <w:r>
        <w:t xml:space="preserve"> </w:t>
      </w:r>
      <w:r w:rsidRPr="00014AAD">
        <w:t>omezení</w:t>
      </w:r>
      <w:r>
        <w:t xml:space="preserve"> </w:t>
      </w:r>
      <w:r w:rsidRPr="00014AAD">
        <w:t>přenosu,</w:t>
      </w:r>
      <w:r>
        <w:t xml:space="preserve"> </w:t>
      </w:r>
      <w:r w:rsidRPr="00014AAD">
        <w:t>a</w:t>
      </w:r>
      <w:r>
        <w:t xml:space="preserve"> </w:t>
      </w:r>
      <w:r w:rsidRPr="00014AAD">
        <w:t>zveřejňovat</w:t>
      </w:r>
      <w:r>
        <w:t xml:space="preserve"> </w:t>
      </w:r>
      <w:r w:rsidRPr="00014AAD">
        <w:t>ji,</w:t>
      </w:r>
    </w:p>
    <w:p w14:paraId="114FE116" w14:textId="6DC21AA2" w:rsidR="00920C2F" w:rsidRDefault="00920C2F" w:rsidP="002E6AEA">
      <w:pPr>
        <w:pStyle w:val="Textparagrafu"/>
        <w:tabs>
          <w:tab w:val="left" w:pos="420"/>
        </w:tabs>
        <w:spacing w:before="0"/>
        <w:ind w:left="426" w:hanging="426"/>
      </w:pPr>
      <w:r w:rsidRPr="00014AAD">
        <w:t>j)</w:t>
      </w:r>
      <w:r w:rsidR="003C5B03">
        <w:tab/>
      </w:r>
      <w:r w:rsidRPr="00014AAD">
        <w:t>každý</w:t>
      </w:r>
      <w:r>
        <w:t xml:space="preserve"> </w:t>
      </w:r>
      <w:r w:rsidRPr="00014AAD">
        <w:t>druhý</w:t>
      </w:r>
      <w:r>
        <w:t xml:space="preserve"> </w:t>
      </w:r>
      <w:r w:rsidRPr="00014AAD">
        <w:t>rok</w:t>
      </w:r>
      <w:r>
        <w:t xml:space="preserve"> </w:t>
      </w:r>
      <w:r w:rsidRPr="00014AAD">
        <w:t>zpracovávat</w:t>
      </w:r>
      <w:r>
        <w:t xml:space="preserve"> </w:t>
      </w:r>
      <w:r w:rsidRPr="00014AAD">
        <w:t>desetiletý</w:t>
      </w:r>
      <w:r>
        <w:t xml:space="preserve"> </w:t>
      </w:r>
      <w:r w:rsidRPr="00014AAD">
        <w:t>plán</w:t>
      </w:r>
      <w:r>
        <w:t xml:space="preserve"> </w:t>
      </w:r>
      <w:r w:rsidRPr="00014AAD">
        <w:t>rozvoje</w:t>
      </w:r>
      <w:r>
        <w:t xml:space="preserve"> </w:t>
      </w:r>
      <w:r w:rsidRPr="00014AAD">
        <w:t>přenosové</w:t>
      </w:r>
      <w:r>
        <w:t xml:space="preserve"> </w:t>
      </w:r>
      <w:r w:rsidRPr="00014AAD">
        <w:t>soustavy</w:t>
      </w:r>
      <w:r>
        <w:t xml:space="preserve"> </w:t>
      </w:r>
      <w:r w:rsidRPr="00014AAD">
        <w:t>a</w:t>
      </w:r>
      <w:r>
        <w:t xml:space="preserve"> </w:t>
      </w:r>
      <w:r w:rsidRPr="00014AAD">
        <w:t>po</w:t>
      </w:r>
      <w:r>
        <w:t xml:space="preserve"> </w:t>
      </w:r>
      <w:r w:rsidRPr="00014AAD">
        <w:t>jeho</w:t>
      </w:r>
      <w:r>
        <w:t xml:space="preserve"> </w:t>
      </w:r>
      <w:r w:rsidRPr="00014AAD">
        <w:t>schválení</w:t>
      </w:r>
      <w:r>
        <w:t xml:space="preserve"> </w:t>
      </w:r>
      <w:r w:rsidRPr="00014AAD">
        <w:t>jej</w:t>
      </w:r>
      <w:r>
        <w:t xml:space="preserve"> </w:t>
      </w:r>
      <w:r w:rsidRPr="00014AAD">
        <w:t>zveřejňovat,</w:t>
      </w:r>
    </w:p>
    <w:p w14:paraId="407ACA68" w14:textId="5C5B1245" w:rsidR="00920C2F" w:rsidRDefault="00920C2F" w:rsidP="002E6AEA">
      <w:pPr>
        <w:pStyle w:val="Textparagrafu"/>
        <w:tabs>
          <w:tab w:val="left" w:pos="420"/>
        </w:tabs>
        <w:spacing w:before="0"/>
        <w:ind w:left="426" w:hanging="426"/>
      </w:pPr>
      <w:r w:rsidRPr="00014AAD">
        <w:t>k)</w:t>
      </w:r>
      <w:r w:rsidR="003C5B03">
        <w:tab/>
      </w:r>
      <w:r w:rsidRPr="00014AAD">
        <w:t>průběžně</w:t>
      </w:r>
      <w:r>
        <w:t xml:space="preserve"> </w:t>
      </w:r>
      <w:r w:rsidRPr="00014AAD">
        <w:t>zveřejňovat</w:t>
      </w:r>
      <w:r>
        <w:t xml:space="preserve"> </w:t>
      </w:r>
      <w:r w:rsidRPr="00014AAD">
        <w:t>informace</w:t>
      </w:r>
      <w:r>
        <w:t xml:space="preserve"> </w:t>
      </w:r>
      <w:r w:rsidRPr="00014AAD">
        <w:t>o</w:t>
      </w:r>
      <w:r>
        <w:t xml:space="preserve"> </w:t>
      </w:r>
      <w:r w:rsidRPr="00014AAD">
        <w:t>možnostech</w:t>
      </w:r>
      <w:r>
        <w:t xml:space="preserve"> </w:t>
      </w:r>
      <w:r w:rsidRPr="00014AAD">
        <w:t>přenosu</w:t>
      </w:r>
      <w:r>
        <w:t xml:space="preserve"> </w:t>
      </w:r>
      <w:r w:rsidRPr="00014AAD">
        <w:t>elektřiny</w:t>
      </w:r>
      <w:r>
        <w:t xml:space="preserve"> </w:t>
      </w:r>
      <w:r w:rsidRPr="00014AAD">
        <w:t>přenosovou</w:t>
      </w:r>
      <w:r>
        <w:t xml:space="preserve"> </w:t>
      </w:r>
      <w:r w:rsidRPr="00014AAD">
        <w:t>soustavou</w:t>
      </w:r>
      <w:r>
        <w:t xml:space="preserve"> </w:t>
      </w:r>
      <w:r w:rsidRPr="00014AAD">
        <w:t>způsobem</w:t>
      </w:r>
      <w:r>
        <w:t xml:space="preserve"> </w:t>
      </w:r>
      <w:r w:rsidRPr="00014AAD">
        <w:t>stanoveným</w:t>
      </w:r>
      <w:r>
        <w:t xml:space="preserve"> </w:t>
      </w:r>
      <w:r w:rsidRPr="00014AAD">
        <w:t>v</w:t>
      </w:r>
      <w:r>
        <w:t xml:space="preserve"> </w:t>
      </w:r>
      <w:r w:rsidRPr="00014AAD">
        <w:t>Pravidlech</w:t>
      </w:r>
      <w:r>
        <w:t xml:space="preserve"> </w:t>
      </w:r>
      <w:r w:rsidRPr="00014AAD">
        <w:t>provozování</w:t>
      </w:r>
      <w:r>
        <w:t xml:space="preserve"> </w:t>
      </w:r>
      <w:r w:rsidRPr="00014AAD">
        <w:t>přenosové</w:t>
      </w:r>
      <w:r>
        <w:t xml:space="preserve"> </w:t>
      </w:r>
      <w:r w:rsidRPr="00014AAD">
        <w:t>soustavy,</w:t>
      </w:r>
    </w:p>
    <w:p w14:paraId="41B3C136" w14:textId="11E603B0" w:rsidR="00920C2F" w:rsidRDefault="00920C2F" w:rsidP="002E6AEA">
      <w:pPr>
        <w:pStyle w:val="Textparagrafu"/>
        <w:tabs>
          <w:tab w:val="left" w:pos="420"/>
        </w:tabs>
        <w:spacing w:before="0"/>
        <w:ind w:left="426" w:hanging="426"/>
      </w:pPr>
      <w:r w:rsidRPr="00014AAD">
        <w:t>l)</w:t>
      </w:r>
      <w:r w:rsidR="003C5B03">
        <w:tab/>
      </w:r>
      <w:r w:rsidRPr="00014AAD">
        <w:t>provádět</w:t>
      </w:r>
      <w:r>
        <w:t xml:space="preserve"> </w:t>
      </w:r>
      <w:r w:rsidRPr="00014AAD">
        <w:t>ve</w:t>
      </w:r>
      <w:r>
        <w:t xml:space="preserve"> </w:t>
      </w:r>
      <w:r w:rsidRPr="00014AAD">
        <w:t>spolupráci</w:t>
      </w:r>
      <w:r>
        <w:t xml:space="preserve"> </w:t>
      </w:r>
      <w:r w:rsidRPr="00014AAD">
        <w:t>s</w:t>
      </w:r>
      <w:r>
        <w:t xml:space="preserve"> </w:t>
      </w:r>
      <w:r w:rsidRPr="00014AAD">
        <w:t>provozovateli</w:t>
      </w:r>
      <w:r>
        <w:t xml:space="preserve"> </w:t>
      </w:r>
      <w:r w:rsidRPr="00014AAD">
        <w:t>distribučních</w:t>
      </w:r>
      <w:r>
        <w:t xml:space="preserve"> </w:t>
      </w:r>
      <w:r w:rsidRPr="00014AAD">
        <w:t>soustav</w:t>
      </w:r>
      <w:r>
        <w:t xml:space="preserve"> </w:t>
      </w:r>
      <w:r w:rsidRPr="00014AAD">
        <w:t>hodnocení</w:t>
      </w:r>
      <w:r>
        <w:t xml:space="preserve"> </w:t>
      </w:r>
      <w:r w:rsidRPr="00014AAD">
        <w:t>provozu</w:t>
      </w:r>
      <w:r>
        <w:t xml:space="preserve"> </w:t>
      </w:r>
      <w:r w:rsidRPr="00014AAD">
        <w:t>přenosové</w:t>
      </w:r>
      <w:r>
        <w:t xml:space="preserve"> </w:t>
      </w:r>
      <w:r w:rsidRPr="00014AAD">
        <w:t>soustavy</w:t>
      </w:r>
      <w:r>
        <w:t xml:space="preserve"> </w:t>
      </w:r>
      <w:r w:rsidRPr="00014AAD">
        <w:t>z</w:t>
      </w:r>
      <w:r>
        <w:t xml:space="preserve"> </w:t>
      </w:r>
      <w:r w:rsidRPr="00014AAD">
        <w:t>technického</w:t>
      </w:r>
      <w:r>
        <w:t xml:space="preserve"> </w:t>
      </w:r>
      <w:r w:rsidRPr="00014AAD">
        <w:t>hlediska,</w:t>
      </w:r>
    </w:p>
    <w:p w14:paraId="28080EC2" w14:textId="627C78D2" w:rsidR="00920C2F" w:rsidRDefault="00920C2F" w:rsidP="002E6AEA">
      <w:pPr>
        <w:pStyle w:val="Textparagrafu"/>
        <w:tabs>
          <w:tab w:val="left" w:pos="420"/>
        </w:tabs>
        <w:spacing w:before="0"/>
        <w:ind w:left="426" w:hanging="426"/>
      </w:pPr>
      <w:r w:rsidRPr="00014AAD">
        <w:t>m)</w:t>
      </w:r>
      <w:r w:rsidR="003C5B03">
        <w:tab/>
      </w:r>
      <w:r w:rsidRPr="00014AAD">
        <w:t>účtovat</w:t>
      </w:r>
      <w:r>
        <w:t xml:space="preserve"> </w:t>
      </w:r>
      <w:r w:rsidRPr="00014AAD">
        <w:t>odděleně</w:t>
      </w:r>
      <w:r>
        <w:t xml:space="preserve"> </w:t>
      </w:r>
      <w:r w:rsidRPr="00014AAD">
        <w:t>za</w:t>
      </w:r>
      <w:r>
        <w:t xml:space="preserve"> </w:t>
      </w:r>
      <w:r w:rsidRPr="00014AAD">
        <w:t>přenos</w:t>
      </w:r>
      <w:r>
        <w:t xml:space="preserve"> </w:t>
      </w:r>
      <w:r w:rsidRPr="00014AAD">
        <w:t>a</w:t>
      </w:r>
      <w:r>
        <w:t xml:space="preserve"> </w:t>
      </w:r>
      <w:r w:rsidRPr="00014AAD">
        <w:t>za</w:t>
      </w:r>
      <w:r>
        <w:t xml:space="preserve"> </w:t>
      </w:r>
      <w:r w:rsidRPr="00014AAD">
        <w:t>systémové</w:t>
      </w:r>
      <w:r>
        <w:t xml:space="preserve"> </w:t>
      </w:r>
      <w:r w:rsidRPr="00014AAD">
        <w:t>služby,</w:t>
      </w:r>
    </w:p>
    <w:p w14:paraId="582AEFA8" w14:textId="5221FDB3" w:rsidR="00920C2F" w:rsidRDefault="00920C2F" w:rsidP="002E6AEA">
      <w:pPr>
        <w:pStyle w:val="Textparagrafu"/>
        <w:tabs>
          <w:tab w:val="left" w:pos="420"/>
        </w:tabs>
        <w:spacing w:before="0"/>
        <w:ind w:left="426" w:hanging="426"/>
      </w:pPr>
      <w:r w:rsidRPr="00014AAD">
        <w:t>n)</w:t>
      </w:r>
      <w:r w:rsidR="003C5B03">
        <w:tab/>
      </w:r>
      <w:r w:rsidRPr="00014AAD">
        <w:t>zpracovávat</w:t>
      </w:r>
      <w:r>
        <w:t xml:space="preserve"> </w:t>
      </w:r>
      <w:r w:rsidRPr="00014AAD">
        <w:t>údaje</w:t>
      </w:r>
      <w:r>
        <w:t xml:space="preserve"> </w:t>
      </w:r>
      <w:r w:rsidRPr="00014AAD">
        <w:t>potřebné</w:t>
      </w:r>
      <w:r>
        <w:t xml:space="preserve"> </w:t>
      </w:r>
      <w:r w:rsidRPr="00014AAD">
        <w:t>pro</w:t>
      </w:r>
      <w:r>
        <w:t xml:space="preserve"> </w:t>
      </w:r>
      <w:r w:rsidRPr="00014AAD">
        <w:t>rozhodnutí</w:t>
      </w:r>
      <w:r>
        <w:t xml:space="preserve"> </w:t>
      </w:r>
      <w:r w:rsidRPr="00014AAD">
        <w:t>Energetického</w:t>
      </w:r>
      <w:r>
        <w:t xml:space="preserve"> </w:t>
      </w:r>
      <w:r w:rsidRPr="00014AAD">
        <w:t>regulačního</w:t>
      </w:r>
      <w:r>
        <w:t xml:space="preserve"> </w:t>
      </w:r>
      <w:r w:rsidRPr="00014AAD">
        <w:t>úřadu</w:t>
      </w:r>
      <w:r>
        <w:t xml:space="preserve"> </w:t>
      </w:r>
      <w:r w:rsidRPr="00014AAD">
        <w:t>o</w:t>
      </w:r>
      <w:r>
        <w:t xml:space="preserve"> </w:t>
      </w:r>
      <w:r w:rsidRPr="00014AAD">
        <w:t>cenách</w:t>
      </w:r>
      <w:r>
        <w:t xml:space="preserve"> </w:t>
      </w:r>
      <w:r w:rsidRPr="00014AAD">
        <w:t>za</w:t>
      </w:r>
      <w:r>
        <w:t xml:space="preserve"> </w:t>
      </w:r>
      <w:r w:rsidRPr="00014AAD">
        <w:t>přenos</w:t>
      </w:r>
      <w:r>
        <w:t xml:space="preserve"> </w:t>
      </w:r>
      <w:r w:rsidRPr="00014AAD">
        <w:t>a</w:t>
      </w:r>
      <w:r>
        <w:t xml:space="preserve"> </w:t>
      </w:r>
      <w:r w:rsidRPr="00014AAD">
        <w:t>o</w:t>
      </w:r>
      <w:r>
        <w:t xml:space="preserve"> </w:t>
      </w:r>
      <w:r w:rsidRPr="00014AAD">
        <w:t>cenách</w:t>
      </w:r>
      <w:r>
        <w:t xml:space="preserve"> </w:t>
      </w:r>
      <w:r w:rsidRPr="00014AAD">
        <w:t>za</w:t>
      </w:r>
      <w:r>
        <w:t xml:space="preserve"> </w:t>
      </w:r>
      <w:r w:rsidRPr="00014AAD">
        <w:t>systémové</w:t>
      </w:r>
      <w:r>
        <w:t xml:space="preserve"> </w:t>
      </w:r>
      <w:r w:rsidRPr="00014AAD">
        <w:t>služby,</w:t>
      </w:r>
    </w:p>
    <w:p w14:paraId="0238EF4E" w14:textId="326A64E7" w:rsidR="00920C2F" w:rsidRDefault="00920C2F" w:rsidP="002E6AEA">
      <w:pPr>
        <w:pStyle w:val="Textparagrafu"/>
        <w:tabs>
          <w:tab w:val="left" w:pos="420"/>
        </w:tabs>
        <w:spacing w:before="0"/>
        <w:ind w:left="426" w:hanging="426"/>
      </w:pPr>
      <w:r w:rsidRPr="00014AAD">
        <w:t>o)</w:t>
      </w:r>
      <w:r w:rsidR="003C5B03">
        <w:tab/>
      </w:r>
      <w:r w:rsidRPr="00014AAD">
        <w:t>zajišťovat</w:t>
      </w:r>
      <w:r>
        <w:t xml:space="preserve"> </w:t>
      </w:r>
      <w:r w:rsidRPr="00014AAD">
        <w:t>ochranu</w:t>
      </w:r>
      <w:r>
        <w:t xml:space="preserve"> </w:t>
      </w:r>
      <w:r w:rsidRPr="00014AAD">
        <w:t>chráněných</w:t>
      </w:r>
      <w:r>
        <w:t xml:space="preserve"> </w:t>
      </w:r>
      <w:r w:rsidRPr="00014AAD">
        <w:t>informací,</w:t>
      </w:r>
      <w:r>
        <w:t xml:space="preserve"> </w:t>
      </w:r>
      <w:r w:rsidRPr="00014AAD">
        <w:t>včetně</w:t>
      </w:r>
      <w:r>
        <w:t xml:space="preserve"> </w:t>
      </w:r>
      <w:r w:rsidRPr="00014AAD">
        <w:t>zajištění</w:t>
      </w:r>
      <w:r>
        <w:t xml:space="preserve"> </w:t>
      </w:r>
      <w:r w:rsidRPr="00014AAD">
        <w:t>ochrany</w:t>
      </w:r>
      <w:r>
        <w:t xml:space="preserve"> </w:t>
      </w:r>
      <w:r w:rsidRPr="00014AAD">
        <w:t>údajů</w:t>
      </w:r>
      <w:r>
        <w:t xml:space="preserve"> </w:t>
      </w:r>
      <w:r w:rsidRPr="00014AAD">
        <w:t>předávaných</w:t>
      </w:r>
      <w:r>
        <w:t xml:space="preserve"> </w:t>
      </w:r>
      <w:r w:rsidRPr="00014AAD">
        <w:t>operátorovi</w:t>
      </w:r>
      <w:r>
        <w:t xml:space="preserve"> </w:t>
      </w:r>
      <w:r w:rsidRPr="00014AAD">
        <w:t>trhu</w:t>
      </w:r>
      <w:r>
        <w:t xml:space="preserve"> </w:t>
      </w:r>
      <w:r w:rsidRPr="00014AAD">
        <w:t>a</w:t>
      </w:r>
      <w:r>
        <w:t xml:space="preserve"> </w:t>
      </w:r>
      <w:r w:rsidRPr="00014AAD">
        <w:t>datovému</w:t>
      </w:r>
      <w:r>
        <w:t xml:space="preserve"> </w:t>
      </w:r>
      <w:r w:rsidRPr="00014AAD">
        <w:t>centru,</w:t>
      </w:r>
      <w:r>
        <w:t xml:space="preserve"> </w:t>
      </w:r>
      <w:r w:rsidRPr="00014AAD">
        <w:t>a</w:t>
      </w:r>
      <w:r>
        <w:t xml:space="preserve"> </w:t>
      </w:r>
      <w:r w:rsidRPr="00014AAD">
        <w:t>zajišťovat,</w:t>
      </w:r>
      <w:r>
        <w:t xml:space="preserve"> </w:t>
      </w:r>
      <w:r w:rsidRPr="00014AAD">
        <w:t>aby</w:t>
      </w:r>
      <w:r>
        <w:t xml:space="preserve"> </w:t>
      </w:r>
      <w:r w:rsidRPr="00014AAD">
        <w:t>nebyly</w:t>
      </w:r>
      <w:r>
        <w:t xml:space="preserve"> </w:t>
      </w:r>
      <w:r w:rsidRPr="00014AAD">
        <w:t>chráněné</w:t>
      </w:r>
      <w:r>
        <w:t xml:space="preserve"> </w:t>
      </w:r>
      <w:r w:rsidRPr="00014AAD">
        <w:t>informace</w:t>
      </w:r>
      <w:r>
        <w:t xml:space="preserve"> </w:t>
      </w:r>
      <w:r w:rsidRPr="00014AAD">
        <w:t>o</w:t>
      </w:r>
      <w:r>
        <w:t xml:space="preserve"> </w:t>
      </w:r>
      <w:r w:rsidRPr="00014AAD">
        <w:t>jeho</w:t>
      </w:r>
      <w:r>
        <w:t xml:space="preserve"> </w:t>
      </w:r>
      <w:r w:rsidRPr="00014AAD">
        <w:t>vlastních</w:t>
      </w:r>
      <w:r>
        <w:t xml:space="preserve"> </w:t>
      </w:r>
      <w:r w:rsidRPr="00014AAD">
        <w:t>činnostech</w:t>
      </w:r>
      <w:r>
        <w:t xml:space="preserve"> </w:t>
      </w:r>
      <w:r w:rsidRPr="00014AAD">
        <w:t>poskytovány</w:t>
      </w:r>
      <w:r>
        <w:t xml:space="preserve"> </w:t>
      </w:r>
      <w:r w:rsidRPr="00014AAD">
        <w:t>diskriminačním</w:t>
      </w:r>
      <w:r>
        <w:t xml:space="preserve"> </w:t>
      </w:r>
      <w:r w:rsidRPr="00014AAD">
        <w:t>způsobem,</w:t>
      </w:r>
    </w:p>
    <w:p w14:paraId="5D412CB2" w14:textId="403B9384" w:rsidR="00920C2F" w:rsidRDefault="00920C2F" w:rsidP="002E6AEA">
      <w:pPr>
        <w:pStyle w:val="Textparagrafu"/>
        <w:tabs>
          <w:tab w:val="left" w:pos="420"/>
        </w:tabs>
        <w:spacing w:before="0"/>
        <w:ind w:left="426" w:hanging="426"/>
      </w:pPr>
      <w:r w:rsidRPr="00014AAD">
        <w:t>p)</w:t>
      </w:r>
      <w:r w:rsidR="003C5B03">
        <w:tab/>
      </w:r>
      <w:r w:rsidRPr="00014AAD">
        <w:t>vypracovat</w:t>
      </w:r>
      <w:r>
        <w:t xml:space="preserve"> </w:t>
      </w:r>
      <w:r w:rsidRPr="00014AAD">
        <w:t>havarijní</w:t>
      </w:r>
      <w:r>
        <w:t xml:space="preserve"> </w:t>
      </w:r>
      <w:r w:rsidRPr="00014AAD">
        <w:t>plány</w:t>
      </w:r>
      <w:r>
        <w:t xml:space="preserve"> </w:t>
      </w:r>
      <w:r w:rsidRPr="00014AAD">
        <w:t>do</w:t>
      </w:r>
      <w:r>
        <w:t xml:space="preserve"> </w:t>
      </w:r>
      <w:r w:rsidRPr="00014AAD">
        <w:t>6</w:t>
      </w:r>
      <w:r>
        <w:t xml:space="preserve"> </w:t>
      </w:r>
      <w:r w:rsidRPr="00014AAD">
        <w:t>měsíců</w:t>
      </w:r>
      <w:r>
        <w:t xml:space="preserve"> </w:t>
      </w:r>
      <w:r w:rsidRPr="00014AAD">
        <w:t>od</w:t>
      </w:r>
      <w:r>
        <w:t xml:space="preserve"> </w:t>
      </w:r>
      <w:r w:rsidRPr="00014AAD">
        <w:t>udělení</w:t>
      </w:r>
      <w:r>
        <w:t xml:space="preserve"> </w:t>
      </w:r>
      <w:r w:rsidRPr="00014AAD">
        <w:t>licence</w:t>
      </w:r>
      <w:r>
        <w:t xml:space="preserve"> </w:t>
      </w:r>
      <w:r w:rsidRPr="00014AAD">
        <w:t>a</w:t>
      </w:r>
      <w:r>
        <w:t xml:space="preserve"> </w:t>
      </w:r>
      <w:r w:rsidRPr="00014AAD">
        <w:t>dále</w:t>
      </w:r>
      <w:r>
        <w:t xml:space="preserve"> </w:t>
      </w:r>
      <w:r w:rsidRPr="00014AAD">
        <w:t>je</w:t>
      </w:r>
      <w:r>
        <w:t xml:space="preserve"> </w:t>
      </w:r>
      <w:r w:rsidRPr="00014AAD">
        <w:t>každoročně</w:t>
      </w:r>
      <w:r>
        <w:t xml:space="preserve"> </w:t>
      </w:r>
      <w:r w:rsidRPr="00014AAD">
        <w:t>upřesňovat;</w:t>
      </w:r>
      <w:r>
        <w:t xml:space="preserve"> </w:t>
      </w:r>
      <w:r w:rsidRPr="00014AAD">
        <w:t>při</w:t>
      </w:r>
      <w:r>
        <w:t xml:space="preserve"> </w:t>
      </w:r>
      <w:r w:rsidRPr="00014AAD">
        <w:t>jejich</w:t>
      </w:r>
      <w:r>
        <w:t xml:space="preserve"> </w:t>
      </w:r>
      <w:r w:rsidRPr="00014AAD">
        <w:t>tvorbě</w:t>
      </w:r>
      <w:r>
        <w:t xml:space="preserve"> </w:t>
      </w:r>
      <w:r w:rsidRPr="00014AAD">
        <w:t>a</w:t>
      </w:r>
      <w:r>
        <w:t xml:space="preserve"> </w:t>
      </w:r>
      <w:r w:rsidRPr="00014AAD">
        <w:t>upřesňování</w:t>
      </w:r>
      <w:r>
        <w:t xml:space="preserve"> </w:t>
      </w:r>
      <w:r w:rsidRPr="00014AAD">
        <w:t>spolupracovat</w:t>
      </w:r>
      <w:r>
        <w:t xml:space="preserve"> </w:t>
      </w:r>
      <w:r w:rsidRPr="00014AAD">
        <w:t>s</w:t>
      </w:r>
      <w:r>
        <w:t xml:space="preserve"> </w:t>
      </w:r>
      <w:r w:rsidRPr="00014AAD">
        <w:t>provozovateli</w:t>
      </w:r>
      <w:r>
        <w:t xml:space="preserve"> </w:t>
      </w:r>
      <w:r w:rsidRPr="00014AAD">
        <w:t>distribučních</w:t>
      </w:r>
      <w:r>
        <w:t xml:space="preserve"> </w:t>
      </w:r>
      <w:r w:rsidRPr="00014AAD">
        <w:t>soustav,</w:t>
      </w:r>
      <w:r>
        <w:t xml:space="preserve"> </w:t>
      </w:r>
      <w:r w:rsidRPr="00014AAD">
        <w:t>jejichž</w:t>
      </w:r>
      <w:r>
        <w:t xml:space="preserve"> </w:t>
      </w:r>
      <w:r w:rsidRPr="00014AAD">
        <w:t>zařízení</w:t>
      </w:r>
      <w:r>
        <w:t xml:space="preserve"> </w:t>
      </w:r>
      <w:r w:rsidRPr="00014AAD">
        <w:t>je</w:t>
      </w:r>
      <w:r>
        <w:t xml:space="preserve"> </w:t>
      </w:r>
      <w:r w:rsidRPr="00014AAD">
        <w:t>připojeno</w:t>
      </w:r>
      <w:r>
        <w:t xml:space="preserve"> </w:t>
      </w:r>
      <w:r w:rsidRPr="00014AAD">
        <w:t>k</w:t>
      </w:r>
      <w:r>
        <w:t xml:space="preserve"> </w:t>
      </w:r>
      <w:r w:rsidRPr="00014AAD">
        <w:t>přenosové</w:t>
      </w:r>
      <w:r>
        <w:t xml:space="preserve"> </w:t>
      </w:r>
      <w:r w:rsidRPr="00014AAD">
        <w:t>soustavě,</w:t>
      </w:r>
    </w:p>
    <w:p w14:paraId="285C8CB3" w14:textId="662A9A8D" w:rsidR="00920C2F" w:rsidRDefault="00920C2F" w:rsidP="002E6AEA">
      <w:pPr>
        <w:pStyle w:val="Textparagrafu"/>
        <w:tabs>
          <w:tab w:val="left" w:pos="420"/>
        </w:tabs>
        <w:spacing w:before="0"/>
        <w:ind w:left="426" w:hanging="426"/>
      </w:pPr>
      <w:r w:rsidRPr="00014AAD">
        <w:t>r)</w:t>
      </w:r>
      <w:r w:rsidR="003C5B03">
        <w:tab/>
      </w:r>
      <w:r w:rsidRPr="00014AAD">
        <w:t>dodržovat</w:t>
      </w:r>
      <w:r>
        <w:t xml:space="preserve"> </w:t>
      </w:r>
      <w:r w:rsidRPr="00014AAD">
        <w:t>stanovenou</w:t>
      </w:r>
      <w:r>
        <w:t xml:space="preserve"> </w:t>
      </w:r>
      <w:r w:rsidRPr="00014AAD">
        <w:t>kvalitu</w:t>
      </w:r>
      <w:r>
        <w:t xml:space="preserve"> </w:t>
      </w:r>
      <w:r w:rsidRPr="00014AAD">
        <w:t>dodávek</w:t>
      </w:r>
      <w:r>
        <w:t xml:space="preserve"> </w:t>
      </w:r>
      <w:r w:rsidRPr="00014AAD">
        <w:t>a</w:t>
      </w:r>
      <w:r>
        <w:t xml:space="preserve"> </w:t>
      </w:r>
      <w:r w:rsidRPr="00014AAD">
        <w:t>služeb,</w:t>
      </w:r>
      <w:r>
        <w:t xml:space="preserve"> </w:t>
      </w:r>
      <w:r w:rsidRPr="00014AAD">
        <w:t>vykazovat</w:t>
      </w:r>
      <w:r>
        <w:t xml:space="preserve"> </w:t>
      </w:r>
      <w:r w:rsidRPr="00014AAD">
        <w:t>Energetickému</w:t>
      </w:r>
      <w:r>
        <w:t xml:space="preserve"> </w:t>
      </w:r>
      <w:r w:rsidRPr="00014AAD">
        <w:t>regulačnímu</w:t>
      </w:r>
      <w:r>
        <w:t xml:space="preserve"> </w:t>
      </w:r>
      <w:r w:rsidRPr="00014AAD">
        <w:t>úřadu</w:t>
      </w:r>
      <w:r>
        <w:t xml:space="preserve"> </w:t>
      </w:r>
      <w:r w:rsidRPr="00014AAD">
        <w:t>úroveň</w:t>
      </w:r>
      <w:r>
        <w:t xml:space="preserve"> </w:t>
      </w:r>
      <w:r w:rsidRPr="00014AAD">
        <w:t>kvality</w:t>
      </w:r>
      <w:r>
        <w:t xml:space="preserve"> </w:t>
      </w:r>
      <w:r w:rsidRPr="00014AAD">
        <w:t>dodávek</w:t>
      </w:r>
      <w:r>
        <w:t xml:space="preserve"> </w:t>
      </w:r>
      <w:r w:rsidRPr="00014AAD">
        <w:t>a</w:t>
      </w:r>
      <w:r>
        <w:t xml:space="preserve"> </w:t>
      </w:r>
      <w:r w:rsidRPr="00014AAD">
        <w:t>služeb</w:t>
      </w:r>
      <w:r>
        <w:t xml:space="preserve"> </w:t>
      </w:r>
      <w:r w:rsidRPr="00014AAD">
        <w:t>a</w:t>
      </w:r>
      <w:r>
        <w:t xml:space="preserve"> </w:t>
      </w:r>
      <w:r w:rsidRPr="00014AAD">
        <w:t>zveřejňovat</w:t>
      </w:r>
      <w:r>
        <w:t xml:space="preserve"> </w:t>
      </w:r>
      <w:r w:rsidRPr="00014AAD">
        <w:t>ji</w:t>
      </w:r>
      <w:r>
        <w:t xml:space="preserve"> </w:t>
      </w:r>
      <w:r w:rsidRPr="00014AAD">
        <w:t>způsobem</w:t>
      </w:r>
      <w:r>
        <w:t xml:space="preserve"> </w:t>
      </w:r>
      <w:r w:rsidRPr="00014AAD">
        <w:t>umožňujícím</w:t>
      </w:r>
      <w:r>
        <w:t xml:space="preserve"> </w:t>
      </w:r>
      <w:r w:rsidRPr="00014AAD">
        <w:t>dálkový</w:t>
      </w:r>
      <w:r>
        <w:t xml:space="preserve"> </w:t>
      </w:r>
      <w:r w:rsidRPr="00014AAD">
        <w:t>přístup,</w:t>
      </w:r>
    </w:p>
    <w:p w14:paraId="018E65F4" w14:textId="185A509A" w:rsidR="00920C2F" w:rsidRDefault="00920C2F" w:rsidP="002E6AEA">
      <w:pPr>
        <w:pStyle w:val="Textparagrafu"/>
        <w:tabs>
          <w:tab w:val="left" w:pos="420"/>
        </w:tabs>
        <w:spacing w:before="0"/>
        <w:ind w:left="426" w:hanging="426"/>
      </w:pPr>
      <w:r w:rsidRPr="00014AAD">
        <w:t>s)</w:t>
      </w:r>
      <w:r w:rsidR="003C5B03">
        <w:tab/>
      </w:r>
      <w:r w:rsidRPr="00014AAD">
        <w:t>informovat</w:t>
      </w:r>
      <w:r>
        <w:t xml:space="preserve"> </w:t>
      </w:r>
      <w:r w:rsidRPr="00014AAD">
        <w:t>ministerstvo</w:t>
      </w:r>
      <w:r>
        <w:t xml:space="preserve"> </w:t>
      </w:r>
      <w:r w:rsidRPr="00014AAD">
        <w:t>nejpozději</w:t>
      </w:r>
      <w:r>
        <w:t xml:space="preserve"> </w:t>
      </w:r>
      <w:r w:rsidRPr="00014AAD">
        <w:t>do</w:t>
      </w:r>
      <w:r>
        <w:t xml:space="preserve"> </w:t>
      </w:r>
      <w:r w:rsidRPr="00014AAD">
        <w:t>konce</w:t>
      </w:r>
      <w:r>
        <w:t xml:space="preserve"> </w:t>
      </w:r>
      <w:r w:rsidRPr="00014AAD">
        <w:t>druhého</w:t>
      </w:r>
      <w:r>
        <w:t xml:space="preserve"> </w:t>
      </w:r>
      <w:r w:rsidRPr="00014AAD">
        <w:t>týdne</w:t>
      </w:r>
      <w:r>
        <w:t xml:space="preserve"> </w:t>
      </w:r>
      <w:r w:rsidRPr="00014AAD">
        <w:t>měsíce</w:t>
      </w:r>
      <w:r>
        <w:t xml:space="preserve"> </w:t>
      </w:r>
      <w:r w:rsidRPr="00014AAD">
        <w:t>následujícího</w:t>
      </w:r>
      <w:r>
        <w:t xml:space="preserve"> </w:t>
      </w:r>
      <w:r w:rsidRPr="00014AAD">
        <w:t>po</w:t>
      </w:r>
      <w:r>
        <w:t xml:space="preserve"> </w:t>
      </w:r>
      <w:r w:rsidRPr="00014AAD">
        <w:t>uplynutí</w:t>
      </w:r>
      <w:r>
        <w:t xml:space="preserve"> </w:t>
      </w:r>
      <w:r w:rsidRPr="00014AAD">
        <w:t>čtvrtletí</w:t>
      </w:r>
      <w:r>
        <w:t xml:space="preserve"> </w:t>
      </w:r>
      <w:r w:rsidRPr="00014AAD">
        <w:t>o</w:t>
      </w:r>
      <w:r>
        <w:t xml:space="preserve"> </w:t>
      </w:r>
      <w:r w:rsidRPr="00014AAD">
        <w:t>fyzikálních</w:t>
      </w:r>
      <w:r>
        <w:t xml:space="preserve"> </w:t>
      </w:r>
      <w:r w:rsidRPr="00014AAD">
        <w:t>tocích</w:t>
      </w:r>
      <w:r>
        <w:t xml:space="preserve"> </w:t>
      </w:r>
      <w:r w:rsidRPr="00014AAD">
        <w:t>dovozu</w:t>
      </w:r>
      <w:r>
        <w:t xml:space="preserve"> </w:t>
      </w:r>
      <w:r w:rsidRPr="00014AAD">
        <w:t>elektřiny</w:t>
      </w:r>
      <w:r>
        <w:t xml:space="preserve"> </w:t>
      </w:r>
      <w:r w:rsidRPr="00014AAD">
        <w:t>ze</w:t>
      </w:r>
      <w:r>
        <w:t xml:space="preserve"> </w:t>
      </w:r>
      <w:r w:rsidRPr="00014AAD">
        <w:t>států,</w:t>
      </w:r>
      <w:r>
        <w:t xml:space="preserve"> </w:t>
      </w:r>
      <w:r w:rsidRPr="00014AAD">
        <w:t>které</w:t>
      </w:r>
      <w:r>
        <w:t xml:space="preserve"> </w:t>
      </w:r>
      <w:r w:rsidRPr="00014AAD">
        <w:t>nejsou</w:t>
      </w:r>
      <w:r>
        <w:t xml:space="preserve"> </w:t>
      </w:r>
      <w:r w:rsidRPr="00014AAD">
        <w:t>členy</w:t>
      </w:r>
      <w:r>
        <w:t xml:space="preserve"> </w:t>
      </w:r>
      <w:r w:rsidRPr="00014AAD">
        <w:t>Evropské</w:t>
      </w:r>
      <w:r>
        <w:t xml:space="preserve"> </w:t>
      </w:r>
      <w:r w:rsidRPr="00014AAD">
        <w:t>unie,</w:t>
      </w:r>
    </w:p>
    <w:p w14:paraId="4EE9FA96" w14:textId="422C2114" w:rsidR="00920C2F" w:rsidRDefault="00920C2F" w:rsidP="002E6AEA">
      <w:pPr>
        <w:pStyle w:val="Textparagrafu"/>
        <w:tabs>
          <w:tab w:val="left" w:pos="420"/>
        </w:tabs>
        <w:spacing w:before="0"/>
        <w:ind w:left="426" w:hanging="426"/>
      </w:pPr>
      <w:r w:rsidRPr="00014AAD">
        <w:t>t)</w:t>
      </w:r>
      <w:r w:rsidR="003C5B03">
        <w:tab/>
      </w:r>
      <w:r w:rsidRPr="00014AAD">
        <w:t>zpracovávat</w:t>
      </w:r>
      <w:r>
        <w:t xml:space="preserve"> </w:t>
      </w:r>
      <w:r w:rsidRPr="00014AAD">
        <w:t>a</w:t>
      </w:r>
      <w:r>
        <w:t xml:space="preserve"> </w:t>
      </w:r>
      <w:r w:rsidRPr="00014AAD">
        <w:t>předávat</w:t>
      </w:r>
      <w:r>
        <w:t xml:space="preserve"> </w:t>
      </w:r>
      <w:r w:rsidRPr="00014AAD">
        <w:t>ministerstvu</w:t>
      </w:r>
      <w:r>
        <w:t xml:space="preserve"> </w:t>
      </w:r>
      <w:r w:rsidRPr="00014AAD">
        <w:t>a</w:t>
      </w:r>
      <w:r>
        <w:t xml:space="preserve"> </w:t>
      </w:r>
      <w:r w:rsidRPr="00014AAD">
        <w:t>Energetickému</w:t>
      </w:r>
      <w:r>
        <w:t xml:space="preserve"> </w:t>
      </w:r>
      <w:r w:rsidRPr="00014AAD">
        <w:t>regulačnímu</w:t>
      </w:r>
      <w:r>
        <w:t xml:space="preserve"> </w:t>
      </w:r>
      <w:r w:rsidRPr="00014AAD">
        <w:t>úřadu</w:t>
      </w:r>
      <w:r>
        <w:t xml:space="preserve"> </w:t>
      </w:r>
      <w:r w:rsidRPr="00014AAD">
        <w:t>jednou</w:t>
      </w:r>
      <w:r>
        <w:t xml:space="preserve"> </w:t>
      </w:r>
      <w:r w:rsidRPr="00014AAD">
        <w:t>ročně</w:t>
      </w:r>
      <w:r>
        <w:t xml:space="preserve"> </w:t>
      </w:r>
      <w:r w:rsidRPr="00014AAD">
        <w:t>nejpozději</w:t>
      </w:r>
      <w:r>
        <w:t xml:space="preserve"> </w:t>
      </w:r>
      <w:r w:rsidRPr="00014AAD">
        <w:t>do</w:t>
      </w:r>
      <w:r>
        <w:t xml:space="preserve"> </w:t>
      </w:r>
      <w:r w:rsidRPr="00014AAD">
        <w:t>1.</w:t>
      </w:r>
      <w:r>
        <w:t xml:space="preserve"> </w:t>
      </w:r>
      <w:r w:rsidRPr="00014AAD">
        <w:t>března</w:t>
      </w:r>
      <w:r>
        <w:t xml:space="preserve"> </w:t>
      </w:r>
      <w:r w:rsidRPr="00014AAD">
        <w:t>zprávu</w:t>
      </w:r>
      <w:r>
        <w:t xml:space="preserve"> </w:t>
      </w:r>
      <w:r w:rsidRPr="00014AAD">
        <w:t>o</w:t>
      </w:r>
      <w:r>
        <w:t xml:space="preserve"> </w:t>
      </w:r>
      <w:r w:rsidRPr="00014AAD">
        <w:t>kvalitě</w:t>
      </w:r>
      <w:r>
        <w:t xml:space="preserve"> </w:t>
      </w:r>
      <w:r w:rsidRPr="00014AAD">
        <w:t>a</w:t>
      </w:r>
      <w:r>
        <w:t xml:space="preserve"> </w:t>
      </w:r>
      <w:r w:rsidRPr="00014AAD">
        <w:t>úrovni</w:t>
      </w:r>
      <w:r>
        <w:t xml:space="preserve"> </w:t>
      </w:r>
      <w:r w:rsidRPr="00014AAD">
        <w:t>údržby</w:t>
      </w:r>
      <w:r>
        <w:t xml:space="preserve"> </w:t>
      </w:r>
      <w:r w:rsidRPr="00014AAD">
        <w:t>zařízení</w:t>
      </w:r>
      <w:r>
        <w:t xml:space="preserve"> </w:t>
      </w:r>
      <w:r w:rsidRPr="00014AAD">
        <w:t>přenosové</w:t>
      </w:r>
      <w:r>
        <w:t xml:space="preserve"> </w:t>
      </w:r>
      <w:r w:rsidRPr="00014AAD">
        <w:t>soustavy</w:t>
      </w:r>
      <w:r>
        <w:t xml:space="preserve"> </w:t>
      </w:r>
      <w:r w:rsidRPr="00014AAD">
        <w:t>a</w:t>
      </w:r>
      <w:r>
        <w:t xml:space="preserve"> </w:t>
      </w:r>
      <w:r w:rsidRPr="00014AAD">
        <w:t>o</w:t>
      </w:r>
      <w:r>
        <w:t xml:space="preserve"> </w:t>
      </w:r>
      <w:r w:rsidRPr="00014AAD">
        <w:t>opatřeních</w:t>
      </w:r>
      <w:r>
        <w:t xml:space="preserve"> </w:t>
      </w:r>
      <w:r w:rsidRPr="00014AAD">
        <w:t>na</w:t>
      </w:r>
      <w:r>
        <w:t xml:space="preserve"> </w:t>
      </w:r>
      <w:r w:rsidRPr="00014AAD">
        <w:t>pokrytí</w:t>
      </w:r>
      <w:r>
        <w:t xml:space="preserve"> </w:t>
      </w:r>
      <w:r w:rsidRPr="00014AAD">
        <w:t>špičkové</w:t>
      </w:r>
      <w:r>
        <w:t xml:space="preserve"> </w:t>
      </w:r>
      <w:r w:rsidRPr="00014AAD">
        <w:t>spotřeby</w:t>
      </w:r>
      <w:r>
        <w:t xml:space="preserve"> </w:t>
      </w:r>
      <w:r w:rsidRPr="00014AAD">
        <w:t>elektřiny</w:t>
      </w:r>
      <w:r>
        <w:t xml:space="preserve"> </w:t>
      </w:r>
      <w:r w:rsidRPr="00014AAD">
        <w:t>a</w:t>
      </w:r>
      <w:r>
        <w:t xml:space="preserve"> </w:t>
      </w:r>
      <w:r w:rsidRPr="00014AAD">
        <w:t>řešení</w:t>
      </w:r>
      <w:r>
        <w:t xml:space="preserve"> </w:t>
      </w:r>
      <w:r w:rsidRPr="00014AAD">
        <w:t>výpadku</w:t>
      </w:r>
      <w:r>
        <w:t xml:space="preserve"> </w:t>
      </w:r>
      <w:r w:rsidRPr="00014AAD">
        <w:t>výroben</w:t>
      </w:r>
      <w:r>
        <w:t xml:space="preserve"> </w:t>
      </w:r>
      <w:r w:rsidRPr="00014AAD">
        <w:t>elektřiny,</w:t>
      </w:r>
    </w:p>
    <w:p w14:paraId="013F2823" w14:textId="73AF4899" w:rsidR="00920C2F" w:rsidRDefault="00920C2F" w:rsidP="002E6AEA">
      <w:pPr>
        <w:pStyle w:val="Textparagrafu"/>
        <w:tabs>
          <w:tab w:val="left" w:pos="420"/>
        </w:tabs>
        <w:spacing w:before="0"/>
        <w:ind w:left="426" w:hanging="426"/>
      </w:pPr>
      <w:r w:rsidRPr="00014AAD">
        <w:t>u)</w:t>
      </w:r>
      <w:r w:rsidR="003C5B03">
        <w:tab/>
      </w:r>
      <w:r w:rsidRPr="00014AAD">
        <w:t>poskytovat</w:t>
      </w:r>
      <w:r>
        <w:t xml:space="preserve"> </w:t>
      </w:r>
      <w:r w:rsidRPr="00014AAD">
        <w:t>součinnost</w:t>
      </w:r>
      <w:r>
        <w:t xml:space="preserve"> </w:t>
      </w:r>
      <w:r w:rsidRPr="00014AAD">
        <w:t>operátorovi</w:t>
      </w:r>
      <w:r>
        <w:t xml:space="preserve"> </w:t>
      </w:r>
      <w:r w:rsidRPr="00014AAD">
        <w:t>trhu</w:t>
      </w:r>
      <w:r>
        <w:t xml:space="preserve"> </w:t>
      </w:r>
      <w:r w:rsidRPr="00014AAD">
        <w:t>při</w:t>
      </w:r>
      <w:r>
        <w:t xml:space="preserve"> </w:t>
      </w:r>
      <w:r w:rsidRPr="00014AAD">
        <w:t>organizování</w:t>
      </w:r>
      <w:r>
        <w:t xml:space="preserve"> </w:t>
      </w:r>
      <w:r w:rsidRPr="00014AAD">
        <w:t>vnitrodenního</w:t>
      </w:r>
      <w:r>
        <w:t xml:space="preserve"> </w:t>
      </w:r>
      <w:r w:rsidRPr="00014AAD">
        <w:t>trhu</w:t>
      </w:r>
      <w:r>
        <w:t xml:space="preserve"> </w:t>
      </w:r>
      <w:r w:rsidRPr="00014AAD">
        <w:t>s</w:t>
      </w:r>
      <w:r>
        <w:t xml:space="preserve"> </w:t>
      </w:r>
      <w:r w:rsidRPr="00014AAD">
        <w:t>elektřinou</w:t>
      </w:r>
      <w:r>
        <w:t xml:space="preserve"> </w:t>
      </w:r>
      <w:r w:rsidRPr="00014AAD">
        <w:t>a</w:t>
      </w:r>
      <w:r>
        <w:t xml:space="preserve"> </w:t>
      </w:r>
      <w:r w:rsidRPr="00014AAD">
        <w:t>vyrovnávacího</w:t>
      </w:r>
      <w:r>
        <w:t xml:space="preserve"> </w:t>
      </w:r>
      <w:r w:rsidRPr="00014AAD">
        <w:t>trhu</w:t>
      </w:r>
      <w:r>
        <w:t xml:space="preserve"> </w:t>
      </w:r>
      <w:r w:rsidRPr="00014AAD">
        <w:t>s</w:t>
      </w:r>
      <w:r>
        <w:t xml:space="preserve"> </w:t>
      </w:r>
      <w:r w:rsidRPr="00014AAD">
        <w:t>regulační</w:t>
      </w:r>
      <w:r>
        <w:t xml:space="preserve"> </w:t>
      </w:r>
      <w:r w:rsidRPr="00014AAD">
        <w:t>energií,</w:t>
      </w:r>
    </w:p>
    <w:p w14:paraId="6EF364E9" w14:textId="3D2E3FCF" w:rsidR="00920C2F" w:rsidRDefault="00920C2F" w:rsidP="002E6AEA">
      <w:pPr>
        <w:pStyle w:val="Textparagrafu"/>
        <w:tabs>
          <w:tab w:val="left" w:pos="420"/>
        </w:tabs>
        <w:spacing w:before="0"/>
        <w:ind w:left="426" w:hanging="426"/>
      </w:pPr>
      <w:r w:rsidRPr="00014AAD">
        <w:t>v)</w:t>
      </w:r>
      <w:r w:rsidR="003C5B03">
        <w:tab/>
      </w:r>
      <w:r w:rsidRPr="00014AAD">
        <w:t>zaregistrovat</w:t>
      </w:r>
      <w:r>
        <w:t xml:space="preserve"> </w:t>
      </w:r>
      <w:r w:rsidRPr="00014AAD">
        <w:t>se</w:t>
      </w:r>
      <w:r>
        <w:t xml:space="preserve"> </w:t>
      </w:r>
      <w:r w:rsidRPr="00014AAD">
        <w:t>do</w:t>
      </w:r>
      <w:r>
        <w:t xml:space="preserve"> </w:t>
      </w:r>
      <w:r w:rsidRPr="00014AAD">
        <w:t>30</w:t>
      </w:r>
      <w:r>
        <w:t xml:space="preserve"> </w:t>
      </w:r>
      <w:r w:rsidRPr="00014AAD">
        <w:t>dnů</w:t>
      </w:r>
      <w:r>
        <w:t xml:space="preserve"> </w:t>
      </w:r>
      <w:r w:rsidRPr="00014AAD">
        <w:t>od</w:t>
      </w:r>
      <w:r>
        <w:t xml:space="preserve"> </w:t>
      </w:r>
      <w:r w:rsidRPr="00014AAD">
        <w:t>udělení</w:t>
      </w:r>
      <w:r>
        <w:t xml:space="preserve"> </w:t>
      </w:r>
      <w:r w:rsidRPr="00014AAD">
        <w:t>licence</w:t>
      </w:r>
      <w:r>
        <w:t xml:space="preserve"> </w:t>
      </w:r>
      <w:r w:rsidRPr="00014AAD">
        <w:t>na</w:t>
      </w:r>
      <w:r>
        <w:t xml:space="preserve"> </w:t>
      </w:r>
      <w:r w:rsidRPr="00014AAD">
        <w:t>přenos</w:t>
      </w:r>
      <w:r>
        <w:t xml:space="preserve"> </w:t>
      </w:r>
      <w:r w:rsidRPr="00014AAD">
        <w:t>elektřiny</w:t>
      </w:r>
      <w:r>
        <w:t xml:space="preserve"> </w:t>
      </w:r>
      <w:r w:rsidRPr="00014AAD">
        <w:t>u</w:t>
      </w:r>
      <w:r>
        <w:t xml:space="preserve"> </w:t>
      </w:r>
      <w:r w:rsidRPr="00014AAD">
        <w:t>operátora</w:t>
      </w:r>
      <w:r>
        <w:t xml:space="preserve"> </w:t>
      </w:r>
      <w:r w:rsidRPr="00014AAD">
        <w:t>trhu;</w:t>
      </w:r>
      <w:r>
        <w:t xml:space="preserve"> </w:t>
      </w:r>
      <w:r w:rsidRPr="00014AAD">
        <w:t>zaregistrováním</w:t>
      </w:r>
      <w:r>
        <w:t xml:space="preserve"> </w:t>
      </w:r>
      <w:r w:rsidRPr="00014AAD">
        <w:t>se</w:t>
      </w:r>
      <w:r>
        <w:t xml:space="preserve"> </w:t>
      </w:r>
      <w:r w:rsidRPr="00014AAD">
        <w:t>provozovatel</w:t>
      </w:r>
      <w:r>
        <w:t xml:space="preserve"> </w:t>
      </w:r>
      <w:r w:rsidRPr="00014AAD">
        <w:t>přenosové</w:t>
      </w:r>
      <w:r>
        <w:t xml:space="preserve"> </w:t>
      </w:r>
      <w:r w:rsidRPr="00014AAD">
        <w:t>soustavy</w:t>
      </w:r>
      <w:r>
        <w:t xml:space="preserve"> </w:t>
      </w:r>
      <w:r w:rsidRPr="00014AAD">
        <w:t>stává</w:t>
      </w:r>
      <w:r>
        <w:t xml:space="preserve"> </w:t>
      </w:r>
      <w:r w:rsidRPr="00014AAD">
        <w:t>registrovaným</w:t>
      </w:r>
      <w:r>
        <w:t xml:space="preserve"> </w:t>
      </w:r>
      <w:r w:rsidRPr="00014AAD">
        <w:t>účastníkem</w:t>
      </w:r>
      <w:r>
        <w:t xml:space="preserve"> </w:t>
      </w:r>
      <w:r w:rsidRPr="00014AAD">
        <w:t>trhu,</w:t>
      </w:r>
    </w:p>
    <w:p w14:paraId="0A732035" w14:textId="2889923C" w:rsidR="00920C2F" w:rsidRDefault="00920C2F" w:rsidP="002E6AEA">
      <w:pPr>
        <w:pStyle w:val="Textparagrafu"/>
        <w:tabs>
          <w:tab w:val="left" w:pos="420"/>
        </w:tabs>
        <w:spacing w:before="0"/>
        <w:ind w:left="426" w:hanging="426"/>
      </w:pPr>
      <w:r w:rsidRPr="00014AAD">
        <w:t>w)</w:t>
      </w:r>
      <w:r w:rsidR="003C5B03">
        <w:tab/>
      </w:r>
      <w:r w:rsidRPr="00014AAD">
        <w:t>poskytovat</w:t>
      </w:r>
      <w:r>
        <w:t xml:space="preserve"> </w:t>
      </w:r>
      <w:r w:rsidRPr="00014AAD">
        <w:t>všem</w:t>
      </w:r>
      <w:r>
        <w:t xml:space="preserve"> </w:t>
      </w:r>
      <w:r w:rsidRPr="00014AAD">
        <w:t>účastníkům</w:t>
      </w:r>
      <w:r>
        <w:t xml:space="preserve"> </w:t>
      </w:r>
      <w:r w:rsidRPr="00014AAD">
        <w:t>trhu</w:t>
      </w:r>
      <w:r>
        <w:t xml:space="preserve"> </w:t>
      </w:r>
      <w:r w:rsidRPr="00014AAD">
        <w:t>s</w:t>
      </w:r>
      <w:r>
        <w:t xml:space="preserve"> </w:t>
      </w:r>
      <w:r w:rsidRPr="00014AAD">
        <w:t>elektřinou</w:t>
      </w:r>
      <w:r>
        <w:t xml:space="preserve"> </w:t>
      </w:r>
      <w:r w:rsidRPr="00014AAD">
        <w:t>informace</w:t>
      </w:r>
      <w:r>
        <w:t xml:space="preserve"> </w:t>
      </w:r>
      <w:r w:rsidRPr="00014AAD">
        <w:t>týkající</w:t>
      </w:r>
      <w:r>
        <w:t xml:space="preserve"> </w:t>
      </w:r>
      <w:r w:rsidRPr="00014AAD">
        <w:t>se</w:t>
      </w:r>
      <w:r>
        <w:t xml:space="preserve"> </w:t>
      </w:r>
      <w:r w:rsidRPr="00014AAD">
        <w:t>provozování</w:t>
      </w:r>
      <w:r>
        <w:t xml:space="preserve"> </w:t>
      </w:r>
      <w:r w:rsidRPr="00014AAD">
        <w:t>přenosové</w:t>
      </w:r>
      <w:r>
        <w:t xml:space="preserve"> </w:t>
      </w:r>
      <w:r w:rsidRPr="00014AAD">
        <w:t>soustavy</w:t>
      </w:r>
      <w:r>
        <w:t xml:space="preserve"> </w:t>
      </w:r>
      <w:r w:rsidRPr="00014AAD">
        <w:t>nezbytné</w:t>
      </w:r>
      <w:r>
        <w:t xml:space="preserve"> </w:t>
      </w:r>
      <w:r w:rsidRPr="00014AAD">
        <w:t>pro</w:t>
      </w:r>
      <w:r>
        <w:t xml:space="preserve"> </w:t>
      </w:r>
      <w:r w:rsidRPr="00014AAD">
        <w:t>řádné</w:t>
      </w:r>
      <w:r>
        <w:t xml:space="preserve"> </w:t>
      </w:r>
      <w:r w:rsidRPr="00014AAD">
        <w:t>fungování</w:t>
      </w:r>
      <w:r>
        <w:t xml:space="preserve"> </w:t>
      </w:r>
      <w:r w:rsidRPr="00014AAD">
        <w:t>trhu</w:t>
      </w:r>
      <w:r>
        <w:t xml:space="preserve"> </w:t>
      </w:r>
      <w:r w:rsidRPr="00014AAD">
        <w:t>s</w:t>
      </w:r>
      <w:r>
        <w:t xml:space="preserve"> </w:t>
      </w:r>
      <w:r w:rsidRPr="00014AAD">
        <w:t>elektřinou;</w:t>
      </w:r>
      <w:r>
        <w:t xml:space="preserve"> </w:t>
      </w:r>
      <w:r w:rsidRPr="00014AAD">
        <w:t>touto</w:t>
      </w:r>
      <w:r>
        <w:t xml:space="preserve"> </w:t>
      </w:r>
      <w:r w:rsidRPr="00014AAD">
        <w:t>povinností</w:t>
      </w:r>
      <w:r>
        <w:t xml:space="preserve"> </w:t>
      </w:r>
      <w:r w:rsidRPr="00014AAD">
        <w:t>není</w:t>
      </w:r>
      <w:r>
        <w:t xml:space="preserve"> </w:t>
      </w:r>
      <w:r w:rsidRPr="00014AAD">
        <w:t>dotčena</w:t>
      </w:r>
      <w:r>
        <w:t xml:space="preserve"> </w:t>
      </w:r>
      <w:r w:rsidRPr="00014AAD">
        <w:t>povinnost</w:t>
      </w:r>
      <w:r>
        <w:t xml:space="preserve"> </w:t>
      </w:r>
      <w:r w:rsidRPr="00014AAD">
        <w:t>provozovatele</w:t>
      </w:r>
      <w:r>
        <w:t xml:space="preserve"> </w:t>
      </w:r>
      <w:r w:rsidRPr="00014AAD">
        <w:t>přenosové</w:t>
      </w:r>
      <w:r>
        <w:t xml:space="preserve"> </w:t>
      </w:r>
      <w:r w:rsidRPr="00014AAD">
        <w:t>soustavy</w:t>
      </w:r>
      <w:r>
        <w:t xml:space="preserve"> </w:t>
      </w:r>
      <w:r w:rsidRPr="00014AAD">
        <w:t>dodržovat</w:t>
      </w:r>
      <w:r>
        <w:t xml:space="preserve"> </w:t>
      </w:r>
      <w:r w:rsidRPr="00014AAD">
        <w:t>mlčenlivost</w:t>
      </w:r>
      <w:r>
        <w:t xml:space="preserve"> </w:t>
      </w:r>
      <w:r w:rsidRPr="00014AAD">
        <w:t>podle</w:t>
      </w:r>
      <w:r>
        <w:t xml:space="preserve"> </w:t>
      </w:r>
      <w:r w:rsidRPr="00014AAD">
        <w:t>písmene</w:t>
      </w:r>
      <w:r>
        <w:t xml:space="preserve"> </w:t>
      </w:r>
      <w:r w:rsidRPr="00014AAD">
        <w:t>o),</w:t>
      </w:r>
    </w:p>
    <w:p w14:paraId="7DA73CEF" w14:textId="7EE688C2" w:rsidR="00920C2F" w:rsidRDefault="00920C2F" w:rsidP="002E6AEA">
      <w:pPr>
        <w:pStyle w:val="Textparagrafu"/>
        <w:tabs>
          <w:tab w:val="left" w:pos="420"/>
        </w:tabs>
        <w:spacing w:before="0"/>
        <w:ind w:left="426" w:hanging="426"/>
      </w:pPr>
      <w:r w:rsidRPr="00014AAD">
        <w:t>x)</w:t>
      </w:r>
      <w:r w:rsidR="003C5B03">
        <w:tab/>
      </w:r>
      <w:r w:rsidRPr="00014AAD">
        <w:t>hradit</w:t>
      </w:r>
      <w:r>
        <w:t xml:space="preserve"> </w:t>
      </w:r>
      <w:r w:rsidRPr="00014AAD">
        <w:t>operátorovi</w:t>
      </w:r>
      <w:r>
        <w:t xml:space="preserve"> </w:t>
      </w:r>
      <w:r w:rsidRPr="00014AAD">
        <w:t>trhu</w:t>
      </w:r>
      <w:r>
        <w:t xml:space="preserve"> </w:t>
      </w:r>
      <w:r w:rsidRPr="00014AAD">
        <w:t>ceny</w:t>
      </w:r>
      <w:r>
        <w:t xml:space="preserve"> </w:t>
      </w:r>
      <w:r w:rsidRPr="00014AAD">
        <w:t>za</w:t>
      </w:r>
      <w:r>
        <w:t xml:space="preserve"> </w:t>
      </w:r>
      <w:r w:rsidRPr="00014AAD">
        <w:t>činnosti</w:t>
      </w:r>
      <w:r>
        <w:t xml:space="preserve"> </w:t>
      </w:r>
      <w:r w:rsidRPr="00014AAD">
        <w:t>operátora</w:t>
      </w:r>
      <w:r>
        <w:t xml:space="preserve"> </w:t>
      </w:r>
      <w:r w:rsidRPr="00014AAD">
        <w:t>trhu</w:t>
      </w:r>
      <w:r>
        <w:t xml:space="preserve"> </w:t>
      </w:r>
      <w:r w:rsidRPr="00014AAD">
        <w:t>podle</w:t>
      </w:r>
      <w:r>
        <w:t xml:space="preserve"> </w:t>
      </w:r>
      <w:r w:rsidRPr="00014AAD">
        <w:t>Pravidel</w:t>
      </w:r>
      <w:r>
        <w:t xml:space="preserve"> </w:t>
      </w:r>
      <w:r w:rsidRPr="00014AAD">
        <w:t>trhu</w:t>
      </w:r>
      <w:r>
        <w:t xml:space="preserve"> </w:t>
      </w:r>
      <w:r w:rsidRPr="00014AAD">
        <w:t>s</w:t>
      </w:r>
      <w:r>
        <w:t xml:space="preserve"> </w:t>
      </w:r>
      <w:r w:rsidRPr="00014AAD">
        <w:t>elektřinou,</w:t>
      </w:r>
    </w:p>
    <w:p w14:paraId="13D9990F" w14:textId="07084594" w:rsidR="00920C2F" w:rsidRDefault="00920C2F" w:rsidP="002E6AEA">
      <w:pPr>
        <w:pStyle w:val="Textparagrafu"/>
        <w:tabs>
          <w:tab w:val="left" w:pos="420"/>
        </w:tabs>
        <w:spacing w:before="0"/>
        <w:ind w:left="426" w:hanging="426"/>
      </w:pPr>
      <w:r w:rsidRPr="00014AAD">
        <w:t>y)</w:t>
      </w:r>
      <w:r w:rsidR="003C5B03">
        <w:tab/>
      </w:r>
      <w:r w:rsidRPr="00014AAD">
        <w:t>registrovat</w:t>
      </w:r>
      <w:r>
        <w:t xml:space="preserve"> </w:t>
      </w:r>
      <w:r w:rsidRPr="00014AAD">
        <w:t>u</w:t>
      </w:r>
      <w:r>
        <w:t xml:space="preserve"> </w:t>
      </w:r>
      <w:r w:rsidRPr="00014AAD">
        <w:t>operátora</w:t>
      </w:r>
      <w:r>
        <w:t xml:space="preserve"> </w:t>
      </w:r>
      <w:r w:rsidRPr="00014AAD">
        <w:t>trhu</w:t>
      </w:r>
      <w:r>
        <w:t xml:space="preserve"> </w:t>
      </w:r>
      <w:r w:rsidRPr="00014AAD">
        <w:t>jednotlivá</w:t>
      </w:r>
      <w:r>
        <w:t xml:space="preserve"> </w:t>
      </w:r>
      <w:r w:rsidRPr="00014AAD">
        <w:t>předávací</w:t>
      </w:r>
      <w:r>
        <w:t xml:space="preserve"> </w:t>
      </w:r>
      <w:r w:rsidRPr="00014AAD">
        <w:t>místa</w:t>
      </w:r>
      <w:r>
        <w:t xml:space="preserve"> </w:t>
      </w:r>
      <w:r w:rsidRPr="00014AAD">
        <w:t>výroben</w:t>
      </w:r>
      <w:r>
        <w:t xml:space="preserve"> </w:t>
      </w:r>
      <w:r w:rsidRPr="00014AAD">
        <w:t>elektřiny,</w:t>
      </w:r>
      <w:r>
        <w:t xml:space="preserve"> </w:t>
      </w:r>
      <w:r w:rsidRPr="00014AAD">
        <w:t>odběrných</w:t>
      </w:r>
      <w:r>
        <w:t xml:space="preserve"> </w:t>
      </w:r>
      <w:r w:rsidRPr="00014AAD">
        <w:t>míst</w:t>
      </w:r>
      <w:r>
        <w:t xml:space="preserve"> </w:t>
      </w:r>
      <w:r w:rsidRPr="00014AAD">
        <w:t>a</w:t>
      </w:r>
      <w:r>
        <w:t xml:space="preserve"> </w:t>
      </w:r>
      <w:r w:rsidRPr="00014AAD">
        <w:t>distribučních</w:t>
      </w:r>
      <w:r>
        <w:t xml:space="preserve"> </w:t>
      </w:r>
      <w:r w:rsidRPr="00014AAD">
        <w:t>soustav</w:t>
      </w:r>
      <w:r>
        <w:t xml:space="preserve"> </w:t>
      </w:r>
      <w:r w:rsidRPr="00014AAD">
        <w:t>připojených</w:t>
      </w:r>
      <w:r>
        <w:t xml:space="preserve"> </w:t>
      </w:r>
      <w:r w:rsidRPr="00014AAD">
        <w:t>k</w:t>
      </w:r>
      <w:r>
        <w:t xml:space="preserve"> </w:t>
      </w:r>
      <w:r w:rsidRPr="00014AAD">
        <w:t>přenosové</w:t>
      </w:r>
      <w:r>
        <w:t xml:space="preserve"> </w:t>
      </w:r>
      <w:r w:rsidRPr="00014AAD">
        <w:t>soustavě</w:t>
      </w:r>
      <w:r>
        <w:t xml:space="preserve"> </w:t>
      </w:r>
      <w:r w:rsidRPr="00014AAD">
        <w:t>a</w:t>
      </w:r>
      <w:r>
        <w:t xml:space="preserve"> </w:t>
      </w:r>
      <w:r w:rsidRPr="00014AAD">
        <w:t>odběrná</w:t>
      </w:r>
      <w:r>
        <w:t xml:space="preserve"> </w:t>
      </w:r>
      <w:r w:rsidRPr="00014AAD">
        <w:t>místa</w:t>
      </w:r>
      <w:r>
        <w:t xml:space="preserve"> </w:t>
      </w:r>
      <w:r w:rsidRPr="00014AAD">
        <w:t>zákazníků</w:t>
      </w:r>
      <w:r>
        <w:t xml:space="preserve"> </w:t>
      </w:r>
      <w:r w:rsidRPr="00014AAD">
        <w:t>připojená</w:t>
      </w:r>
      <w:r>
        <w:t xml:space="preserve"> </w:t>
      </w:r>
      <w:r w:rsidRPr="00014AAD">
        <w:t>k</w:t>
      </w:r>
      <w:r>
        <w:t xml:space="preserve"> </w:t>
      </w:r>
      <w:r w:rsidRPr="00014AAD">
        <w:t>přenosové</w:t>
      </w:r>
      <w:r>
        <w:t xml:space="preserve"> </w:t>
      </w:r>
      <w:r w:rsidRPr="00014AAD">
        <w:t>soustavě,</w:t>
      </w:r>
    </w:p>
    <w:p w14:paraId="1DD18E39" w14:textId="3EBC9006" w:rsidR="00920C2F" w:rsidRDefault="00920C2F" w:rsidP="002E6AEA">
      <w:pPr>
        <w:pStyle w:val="Textparagrafu"/>
        <w:tabs>
          <w:tab w:val="left" w:pos="420"/>
        </w:tabs>
        <w:spacing w:before="0"/>
        <w:ind w:left="426" w:hanging="426"/>
      </w:pPr>
      <w:r w:rsidRPr="00014AAD">
        <w:t>z)</w:t>
      </w:r>
      <w:r w:rsidR="003C5B03">
        <w:tab/>
      </w:r>
      <w:r w:rsidRPr="00014AAD">
        <w:t>zajistit</w:t>
      </w:r>
      <w:r>
        <w:t xml:space="preserve"> </w:t>
      </w:r>
      <w:r w:rsidRPr="00014AAD">
        <w:t>neznevýhodňující</w:t>
      </w:r>
      <w:r>
        <w:t xml:space="preserve"> </w:t>
      </w:r>
      <w:r w:rsidRPr="00014AAD">
        <w:t>podmínky</w:t>
      </w:r>
      <w:r>
        <w:t xml:space="preserve"> </w:t>
      </w:r>
      <w:r w:rsidRPr="00014AAD">
        <w:t>pro</w:t>
      </w:r>
      <w:r>
        <w:t xml:space="preserve"> </w:t>
      </w:r>
      <w:r w:rsidRPr="00014AAD">
        <w:t>poskytovatele</w:t>
      </w:r>
      <w:r>
        <w:t xml:space="preserve"> </w:t>
      </w:r>
      <w:r w:rsidRPr="00014AAD">
        <w:t>podpůrných</w:t>
      </w:r>
      <w:r>
        <w:t xml:space="preserve"> </w:t>
      </w:r>
      <w:r w:rsidRPr="00014AAD">
        <w:t>služeb.</w:t>
      </w:r>
    </w:p>
    <w:p w14:paraId="0B49D5E9" w14:textId="77777777" w:rsidR="00920C2F" w:rsidRDefault="00920C2F" w:rsidP="0010420C">
      <w:pPr>
        <w:pStyle w:val="Textparagrafu"/>
        <w:tabs>
          <w:tab w:val="left" w:pos="420"/>
        </w:tabs>
        <w:spacing w:before="120" w:after="120"/>
      </w:pPr>
      <w:r w:rsidRPr="00014AAD">
        <w:t>(11)</w:t>
      </w:r>
      <w:r>
        <w:t xml:space="preserve"> </w:t>
      </w:r>
      <w:r w:rsidRPr="00014AAD">
        <w:t>Provozovatel</w:t>
      </w:r>
      <w:r>
        <w:t xml:space="preserve"> </w:t>
      </w:r>
      <w:r w:rsidRPr="00014AAD">
        <w:t>přenosové</w:t>
      </w:r>
      <w:r>
        <w:t xml:space="preserve"> </w:t>
      </w:r>
      <w:r w:rsidRPr="00014AAD">
        <w:t>soustavy</w:t>
      </w:r>
      <w:r>
        <w:t xml:space="preserve"> </w:t>
      </w:r>
      <w:r w:rsidRPr="00014AAD">
        <w:t>je</w:t>
      </w:r>
      <w:r>
        <w:t xml:space="preserve"> </w:t>
      </w:r>
      <w:r w:rsidRPr="00014AAD">
        <w:t>dále</w:t>
      </w:r>
      <w:r>
        <w:t xml:space="preserve"> </w:t>
      </w:r>
      <w:r w:rsidRPr="00014AAD">
        <w:t>povinen</w:t>
      </w:r>
    </w:p>
    <w:p w14:paraId="2A9FFDC6" w14:textId="5DB68228" w:rsidR="00920C2F" w:rsidRDefault="00920C2F" w:rsidP="002E6AEA">
      <w:pPr>
        <w:pStyle w:val="Textparagrafu"/>
        <w:tabs>
          <w:tab w:val="left" w:pos="420"/>
        </w:tabs>
        <w:spacing w:before="0"/>
        <w:ind w:left="426" w:hanging="426"/>
      </w:pPr>
      <w:r w:rsidRPr="00014AAD">
        <w:t>a)</w:t>
      </w:r>
      <w:r w:rsidR="00085B44">
        <w:tab/>
      </w:r>
      <w:r w:rsidRPr="00014AAD">
        <w:t>nezneužívat</w:t>
      </w:r>
      <w:r>
        <w:t xml:space="preserve"> </w:t>
      </w:r>
      <w:r w:rsidRPr="00014AAD">
        <w:t>chráněné</w:t>
      </w:r>
      <w:r>
        <w:t xml:space="preserve"> </w:t>
      </w:r>
      <w:r w:rsidRPr="00014AAD">
        <w:t>informace</w:t>
      </w:r>
      <w:r>
        <w:t xml:space="preserve"> </w:t>
      </w:r>
      <w:r w:rsidRPr="00014AAD">
        <w:t>získané</w:t>
      </w:r>
      <w:r>
        <w:t xml:space="preserve"> </w:t>
      </w:r>
      <w:r w:rsidRPr="00014AAD">
        <w:t>od</w:t>
      </w:r>
      <w:r>
        <w:t xml:space="preserve"> </w:t>
      </w:r>
      <w:r w:rsidRPr="00014AAD">
        <w:t>třetích</w:t>
      </w:r>
      <w:r>
        <w:t xml:space="preserve"> </w:t>
      </w:r>
      <w:r w:rsidRPr="00014AAD">
        <w:t>osob</w:t>
      </w:r>
      <w:r>
        <w:t xml:space="preserve"> </w:t>
      </w:r>
      <w:r w:rsidRPr="00014AAD">
        <w:t>v</w:t>
      </w:r>
      <w:r>
        <w:t xml:space="preserve"> </w:t>
      </w:r>
      <w:r w:rsidRPr="00014AAD">
        <w:t>souvislosti</w:t>
      </w:r>
      <w:r>
        <w:t xml:space="preserve"> </w:t>
      </w:r>
      <w:r w:rsidRPr="00014AAD">
        <w:t>s</w:t>
      </w:r>
      <w:r>
        <w:t xml:space="preserve"> </w:t>
      </w:r>
      <w:r w:rsidRPr="00014AAD">
        <w:t>poskytováním</w:t>
      </w:r>
      <w:r>
        <w:t xml:space="preserve"> </w:t>
      </w:r>
      <w:r w:rsidRPr="00014AAD">
        <w:t>nebo</w:t>
      </w:r>
      <w:r>
        <w:t xml:space="preserve"> </w:t>
      </w:r>
      <w:r w:rsidRPr="00014AAD">
        <w:t>sjednáváním</w:t>
      </w:r>
      <w:r>
        <w:t xml:space="preserve"> </w:t>
      </w:r>
      <w:r w:rsidRPr="00014AAD">
        <w:t>přístupu</w:t>
      </w:r>
      <w:r>
        <w:t xml:space="preserve"> </w:t>
      </w:r>
      <w:r w:rsidRPr="00014AAD">
        <w:t>k</w:t>
      </w:r>
      <w:r>
        <w:t xml:space="preserve"> </w:t>
      </w:r>
      <w:r w:rsidRPr="00014AAD">
        <w:t>přenosové</w:t>
      </w:r>
      <w:r>
        <w:t xml:space="preserve"> </w:t>
      </w:r>
      <w:r w:rsidRPr="00014AAD">
        <w:t>soustavě</w:t>
      </w:r>
      <w:r>
        <w:t xml:space="preserve"> </w:t>
      </w:r>
      <w:r w:rsidRPr="00014AAD">
        <w:t>při</w:t>
      </w:r>
      <w:r>
        <w:t xml:space="preserve"> </w:t>
      </w:r>
      <w:r w:rsidRPr="00014AAD">
        <w:t>prodeji</w:t>
      </w:r>
      <w:r>
        <w:t xml:space="preserve"> </w:t>
      </w:r>
      <w:r w:rsidRPr="00014AAD">
        <w:t>nebo</w:t>
      </w:r>
      <w:r>
        <w:t xml:space="preserve"> </w:t>
      </w:r>
      <w:r w:rsidRPr="00014AAD">
        <w:t>nákupu</w:t>
      </w:r>
      <w:r>
        <w:t xml:space="preserve"> </w:t>
      </w:r>
      <w:r w:rsidRPr="00014AAD">
        <w:t>elektřiny</w:t>
      </w:r>
      <w:r>
        <w:t xml:space="preserve"> </w:t>
      </w:r>
      <w:r w:rsidRPr="00014AAD">
        <w:t>realizovaným</w:t>
      </w:r>
      <w:r>
        <w:t xml:space="preserve"> </w:t>
      </w:r>
      <w:r w:rsidRPr="00014AAD">
        <w:t>podnikem</w:t>
      </w:r>
      <w:r>
        <w:t xml:space="preserve"> </w:t>
      </w:r>
      <w:r w:rsidRPr="00014AAD">
        <w:t>ve</w:t>
      </w:r>
      <w:r>
        <w:t xml:space="preserve"> </w:t>
      </w:r>
      <w:r w:rsidRPr="00014AAD">
        <w:t>skupině</w:t>
      </w:r>
      <w:r>
        <w:t xml:space="preserve"> </w:t>
      </w:r>
      <w:r w:rsidRPr="00014AAD">
        <w:t>a</w:t>
      </w:r>
    </w:p>
    <w:p w14:paraId="56D75C43" w14:textId="0D2CD97B" w:rsidR="00920C2F" w:rsidRDefault="00920C2F" w:rsidP="002E6AEA">
      <w:pPr>
        <w:pStyle w:val="Textparagrafu"/>
        <w:tabs>
          <w:tab w:val="left" w:pos="420"/>
        </w:tabs>
        <w:spacing w:before="0"/>
        <w:ind w:left="426" w:hanging="426"/>
      </w:pPr>
      <w:r w:rsidRPr="00014AAD">
        <w:lastRenderedPageBreak/>
        <w:t>b)</w:t>
      </w:r>
      <w:r w:rsidR="00085B44">
        <w:tab/>
      </w:r>
      <w:r w:rsidRPr="00014AAD">
        <w:t>zajišťovat,</w:t>
      </w:r>
      <w:r>
        <w:t xml:space="preserve"> </w:t>
      </w:r>
      <w:r w:rsidRPr="00014AAD">
        <w:t>aby</w:t>
      </w:r>
      <w:r>
        <w:t xml:space="preserve"> </w:t>
      </w:r>
      <w:r w:rsidRPr="00014AAD">
        <w:t>chráněné</w:t>
      </w:r>
      <w:r>
        <w:t xml:space="preserve"> </w:t>
      </w:r>
      <w:r w:rsidRPr="00014AAD">
        <w:t>informace</w:t>
      </w:r>
      <w:r>
        <w:t xml:space="preserve"> </w:t>
      </w:r>
      <w:r w:rsidRPr="00014AAD">
        <w:t>nebyly</w:t>
      </w:r>
      <w:r>
        <w:t xml:space="preserve"> </w:t>
      </w:r>
      <w:r w:rsidRPr="00014AAD">
        <w:t>přeneseny</w:t>
      </w:r>
      <w:r>
        <w:t xml:space="preserve"> </w:t>
      </w:r>
      <w:r w:rsidRPr="00014AAD">
        <w:t>a</w:t>
      </w:r>
      <w:r>
        <w:t xml:space="preserve"> </w:t>
      </w:r>
      <w:r w:rsidRPr="00014AAD">
        <w:t>zaměstnanci</w:t>
      </w:r>
      <w:r>
        <w:t xml:space="preserve"> </w:t>
      </w:r>
      <w:r w:rsidRPr="00014AAD">
        <w:t>nebyli</w:t>
      </w:r>
      <w:r>
        <w:t xml:space="preserve"> </w:t>
      </w:r>
      <w:r w:rsidRPr="00014AAD">
        <w:t>převedeni</w:t>
      </w:r>
      <w:r>
        <w:t xml:space="preserve"> </w:t>
      </w:r>
      <w:r w:rsidRPr="00014AAD">
        <w:t>k</w:t>
      </w:r>
      <w:r>
        <w:t xml:space="preserve"> </w:t>
      </w:r>
      <w:r w:rsidRPr="00014AAD">
        <w:t>výrobci</w:t>
      </w:r>
      <w:r>
        <w:t xml:space="preserve"> </w:t>
      </w:r>
      <w:r w:rsidRPr="00014AAD">
        <w:t>elektřiny,</w:t>
      </w:r>
      <w:r>
        <w:t xml:space="preserve"> </w:t>
      </w:r>
      <w:r w:rsidRPr="00014AAD">
        <w:t>obchodníkovi</w:t>
      </w:r>
      <w:r>
        <w:t xml:space="preserve"> </w:t>
      </w:r>
      <w:r w:rsidRPr="00014AAD">
        <w:t>s</w:t>
      </w:r>
      <w:r>
        <w:t xml:space="preserve"> </w:t>
      </w:r>
      <w:r w:rsidRPr="00014AAD">
        <w:t>elektřinou</w:t>
      </w:r>
      <w:r>
        <w:t xml:space="preserve"> </w:t>
      </w:r>
      <w:r w:rsidRPr="00014AAD">
        <w:t>nebo</w:t>
      </w:r>
      <w:r>
        <w:t xml:space="preserve"> </w:t>
      </w:r>
      <w:r w:rsidRPr="00014AAD">
        <w:t>provozovateli</w:t>
      </w:r>
      <w:r>
        <w:t xml:space="preserve"> </w:t>
      </w:r>
      <w:r w:rsidRPr="00014AAD">
        <w:t>distribuční</w:t>
      </w:r>
      <w:r>
        <w:t xml:space="preserve"> </w:t>
      </w:r>
      <w:r w:rsidRPr="00014AAD">
        <w:t>soustavy;</w:t>
      </w:r>
      <w:r>
        <w:t xml:space="preserve"> </w:t>
      </w:r>
      <w:r w:rsidRPr="00014AAD">
        <w:t>to</w:t>
      </w:r>
      <w:r>
        <w:t xml:space="preserve"> </w:t>
      </w:r>
      <w:r w:rsidRPr="00014AAD">
        <w:t>neplatí</w:t>
      </w:r>
      <w:r>
        <w:t xml:space="preserve"> </w:t>
      </w:r>
      <w:r w:rsidRPr="00014AAD">
        <w:t>pro</w:t>
      </w:r>
      <w:r>
        <w:t xml:space="preserve"> </w:t>
      </w:r>
      <w:r w:rsidRPr="00014AAD">
        <w:t>chráněné</w:t>
      </w:r>
      <w:r>
        <w:t xml:space="preserve"> </w:t>
      </w:r>
      <w:r w:rsidRPr="00014AAD">
        <w:t>informace,</w:t>
      </w:r>
      <w:r>
        <w:t xml:space="preserve"> </w:t>
      </w:r>
      <w:r w:rsidRPr="00014AAD">
        <w:t>které</w:t>
      </w:r>
      <w:r>
        <w:t xml:space="preserve"> </w:t>
      </w:r>
      <w:r w:rsidRPr="00014AAD">
        <w:t>jsou</w:t>
      </w:r>
      <w:r>
        <w:t xml:space="preserve"> </w:t>
      </w:r>
      <w:r w:rsidRPr="00014AAD">
        <w:t>provozovatelem</w:t>
      </w:r>
      <w:r>
        <w:t xml:space="preserve"> </w:t>
      </w:r>
      <w:r w:rsidRPr="00014AAD">
        <w:t>přenosové</w:t>
      </w:r>
      <w:r>
        <w:t xml:space="preserve"> </w:t>
      </w:r>
      <w:r w:rsidRPr="00014AAD">
        <w:t>soustavy</w:t>
      </w:r>
      <w:r>
        <w:t xml:space="preserve"> </w:t>
      </w:r>
      <w:r w:rsidRPr="00014AAD">
        <w:t>poskytovány</w:t>
      </w:r>
      <w:r>
        <w:t xml:space="preserve"> </w:t>
      </w:r>
      <w:r w:rsidRPr="00014AAD">
        <w:t>podle</w:t>
      </w:r>
      <w:r>
        <w:t xml:space="preserve"> </w:t>
      </w:r>
      <w:r w:rsidRPr="00014AAD">
        <w:t>tohoto</w:t>
      </w:r>
      <w:r>
        <w:t xml:space="preserve"> </w:t>
      </w:r>
      <w:r w:rsidRPr="00014AAD">
        <w:t>zákona</w:t>
      </w:r>
      <w:r>
        <w:t xml:space="preserve"> </w:t>
      </w:r>
      <w:r w:rsidRPr="00014AAD">
        <w:t>nebo</w:t>
      </w:r>
      <w:r>
        <w:t xml:space="preserve"> </w:t>
      </w:r>
      <w:r w:rsidRPr="00014AAD">
        <w:t>jiných</w:t>
      </w:r>
      <w:r>
        <w:t xml:space="preserve"> </w:t>
      </w:r>
      <w:r w:rsidRPr="00014AAD">
        <w:t>právních</w:t>
      </w:r>
      <w:r>
        <w:t xml:space="preserve"> </w:t>
      </w:r>
      <w:r w:rsidRPr="00014AAD">
        <w:t>předpisů,</w:t>
      </w:r>
    </w:p>
    <w:p w14:paraId="1EFB4D2F" w14:textId="7035AD6D" w:rsidR="00920C2F" w:rsidRDefault="00920C2F" w:rsidP="002E6AEA">
      <w:pPr>
        <w:pStyle w:val="Textparagrafu"/>
        <w:tabs>
          <w:tab w:val="left" w:pos="420"/>
        </w:tabs>
        <w:spacing w:before="0"/>
        <w:ind w:left="426" w:hanging="426"/>
      </w:pPr>
      <w:r w:rsidRPr="00014AAD">
        <w:t>c)</w:t>
      </w:r>
      <w:r w:rsidR="00085B44">
        <w:tab/>
      </w:r>
      <w:r w:rsidRPr="00014AAD">
        <w:t>bezplatně</w:t>
      </w:r>
      <w:r>
        <w:t xml:space="preserve"> </w:t>
      </w:r>
      <w:r w:rsidRPr="00014AAD">
        <w:t>a</w:t>
      </w:r>
      <w:r>
        <w:t xml:space="preserve"> </w:t>
      </w:r>
      <w:r w:rsidRPr="00014AAD">
        <w:t>způsobem</w:t>
      </w:r>
      <w:r>
        <w:t xml:space="preserve"> </w:t>
      </w:r>
      <w:r w:rsidRPr="00014AAD">
        <w:t>umožňujícím</w:t>
      </w:r>
      <w:r>
        <w:t xml:space="preserve"> </w:t>
      </w:r>
      <w:r w:rsidRPr="00014AAD">
        <w:t>dálkový</w:t>
      </w:r>
      <w:r>
        <w:t xml:space="preserve"> </w:t>
      </w:r>
      <w:r w:rsidRPr="00014AAD">
        <w:t>přístup</w:t>
      </w:r>
      <w:r>
        <w:t xml:space="preserve"> </w:t>
      </w:r>
      <w:r w:rsidRPr="00014AAD">
        <w:t>poskytovat</w:t>
      </w:r>
      <w:r>
        <w:t xml:space="preserve"> </w:t>
      </w:r>
      <w:r w:rsidRPr="00014AAD">
        <w:t>na</w:t>
      </w:r>
      <w:r>
        <w:t xml:space="preserve"> </w:t>
      </w:r>
      <w:r w:rsidRPr="00014AAD">
        <w:t>vyžádání</w:t>
      </w:r>
      <w:r>
        <w:t xml:space="preserve"> </w:t>
      </w:r>
      <w:r w:rsidRPr="00014AAD">
        <w:t>oprávněného</w:t>
      </w:r>
      <w:r>
        <w:t xml:space="preserve"> </w:t>
      </w:r>
      <w:r w:rsidRPr="00014AAD">
        <w:t>žadatele</w:t>
      </w:r>
      <w:r>
        <w:t xml:space="preserve"> </w:t>
      </w:r>
      <w:r w:rsidRPr="00014AAD">
        <w:t>údaje</w:t>
      </w:r>
      <w:r>
        <w:t xml:space="preserve"> </w:t>
      </w:r>
      <w:r w:rsidRPr="00014AAD">
        <w:t>z</w:t>
      </w:r>
      <w:r>
        <w:t xml:space="preserve"> </w:t>
      </w:r>
      <w:r w:rsidRPr="00014AAD">
        <w:t>měření</w:t>
      </w:r>
      <w:r>
        <w:t xml:space="preserve"> </w:t>
      </w:r>
      <w:r w:rsidR="003C5B03">
        <w:t>elektřiny</w:t>
      </w:r>
      <w:r w:rsidR="003C5B03">
        <w:rPr>
          <w:rStyle w:val="Znakapoznpodarou"/>
        </w:rPr>
        <w:footnoteReference w:customMarkFollows="1" w:id="391"/>
        <w:t>51)</w:t>
      </w:r>
      <w:r w:rsidRPr="00014AAD">
        <w:t>,</w:t>
      </w:r>
      <w:r>
        <w:t xml:space="preserve"> </w:t>
      </w:r>
      <w:r w:rsidRPr="00014AAD">
        <w:t>a</w:t>
      </w:r>
      <w:r>
        <w:t xml:space="preserve"> </w:t>
      </w:r>
      <w:r w:rsidRPr="00014AAD">
        <w:t>to</w:t>
      </w:r>
      <w:r>
        <w:t xml:space="preserve"> </w:t>
      </w:r>
      <w:r w:rsidRPr="00014AAD">
        <w:t>do</w:t>
      </w:r>
      <w:r>
        <w:t xml:space="preserve"> </w:t>
      </w:r>
      <w:r w:rsidRPr="00014AAD">
        <w:t>6</w:t>
      </w:r>
      <w:r>
        <w:t xml:space="preserve"> </w:t>
      </w:r>
      <w:r w:rsidRPr="00014AAD">
        <w:t>pracovních</w:t>
      </w:r>
      <w:r>
        <w:t xml:space="preserve"> </w:t>
      </w:r>
      <w:r w:rsidRPr="00014AAD">
        <w:t>dnů</w:t>
      </w:r>
      <w:r>
        <w:t xml:space="preserve"> </w:t>
      </w:r>
      <w:r w:rsidRPr="00014AAD">
        <w:t>následujícího</w:t>
      </w:r>
      <w:r>
        <w:t xml:space="preserve"> </w:t>
      </w:r>
      <w:r w:rsidRPr="00014AAD">
        <w:t>měsíce;</w:t>
      </w:r>
      <w:r>
        <w:t xml:space="preserve"> </w:t>
      </w:r>
      <w:r w:rsidRPr="00014AAD">
        <w:t>provozovatel</w:t>
      </w:r>
      <w:r>
        <w:t xml:space="preserve"> </w:t>
      </w:r>
      <w:r w:rsidRPr="00014AAD">
        <w:t>přenosové</w:t>
      </w:r>
      <w:r>
        <w:t xml:space="preserve"> </w:t>
      </w:r>
      <w:r w:rsidRPr="00014AAD">
        <w:t>soustavy</w:t>
      </w:r>
      <w:r>
        <w:t xml:space="preserve"> </w:t>
      </w:r>
      <w:r w:rsidRPr="00014AAD">
        <w:t>takto</w:t>
      </w:r>
      <w:r>
        <w:t xml:space="preserve"> </w:t>
      </w:r>
      <w:r w:rsidRPr="00014AAD">
        <w:t>poskytuje</w:t>
      </w:r>
      <w:r>
        <w:t xml:space="preserve"> </w:t>
      </w:r>
      <w:r w:rsidRPr="00014AAD">
        <w:t>údaje</w:t>
      </w:r>
      <w:r>
        <w:t xml:space="preserve"> </w:t>
      </w:r>
      <w:r w:rsidRPr="00014AAD">
        <w:t>za</w:t>
      </w:r>
      <w:r>
        <w:t xml:space="preserve"> </w:t>
      </w:r>
      <w:r w:rsidRPr="00014AAD">
        <w:t>požadované</w:t>
      </w:r>
      <w:r>
        <w:t xml:space="preserve"> </w:t>
      </w:r>
      <w:r w:rsidRPr="00014AAD">
        <w:t>období,</w:t>
      </w:r>
      <w:r>
        <w:t xml:space="preserve"> </w:t>
      </w:r>
      <w:r w:rsidRPr="00014AAD">
        <w:t>nejvýše</w:t>
      </w:r>
      <w:r>
        <w:t xml:space="preserve"> </w:t>
      </w:r>
      <w:r w:rsidRPr="00014AAD">
        <w:t>však</w:t>
      </w:r>
      <w:r>
        <w:t xml:space="preserve"> </w:t>
      </w:r>
      <w:r w:rsidRPr="00014AAD">
        <w:t>za</w:t>
      </w:r>
      <w:r>
        <w:t xml:space="preserve"> </w:t>
      </w:r>
      <w:r w:rsidRPr="00014AAD">
        <w:t>období</w:t>
      </w:r>
      <w:r>
        <w:t xml:space="preserve"> </w:t>
      </w:r>
      <w:r w:rsidRPr="00014AAD">
        <w:t>posledních</w:t>
      </w:r>
      <w:r>
        <w:t xml:space="preserve"> </w:t>
      </w:r>
      <w:r w:rsidRPr="00014AAD">
        <w:t>36</w:t>
      </w:r>
      <w:r>
        <w:t xml:space="preserve"> </w:t>
      </w:r>
      <w:r w:rsidRPr="00014AAD">
        <w:t>měsíců,</w:t>
      </w:r>
    </w:p>
    <w:p w14:paraId="29CCCB8F" w14:textId="1ABA1DF8" w:rsidR="00920C2F" w:rsidRDefault="00920C2F" w:rsidP="002E6AEA">
      <w:pPr>
        <w:pStyle w:val="Textparagrafu"/>
        <w:tabs>
          <w:tab w:val="left" w:pos="420"/>
        </w:tabs>
        <w:spacing w:before="0"/>
        <w:ind w:left="426" w:hanging="426"/>
      </w:pPr>
      <w:r w:rsidRPr="00014AAD">
        <w:t>d)</w:t>
      </w:r>
      <w:r w:rsidR="00085B44">
        <w:tab/>
      </w:r>
      <w:r w:rsidRPr="00014AAD">
        <w:t>hradit</w:t>
      </w:r>
      <w:r>
        <w:t xml:space="preserve"> </w:t>
      </w:r>
      <w:r w:rsidRPr="00014AAD">
        <w:t>datovému</w:t>
      </w:r>
      <w:r>
        <w:t xml:space="preserve"> </w:t>
      </w:r>
      <w:r w:rsidRPr="00014AAD">
        <w:t>centru</w:t>
      </w:r>
      <w:r>
        <w:t xml:space="preserve"> </w:t>
      </w:r>
      <w:r w:rsidRPr="00014AAD">
        <w:t>cenu</w:t>
      </w:r>
      <w:r>
        <w:t xml:space="preserve"> </w:t>
      </w:r>
      <w:r w:rsidRPr="00014AAD">
        <w:t>za</w:t>
      </w:r>
      <w:r>
        <w:t xml:space="preserve"> </w:t>
      </w:r>
      <w:r w:rsidRPr="00014AAD">
        <w:t>činnost</w:t>
      </w:r>
      <w:r>
        <w:t xml:space="preserve"> </w:t>
      </w:r>
      <w:r w:rsidRPr="00014AAD">
        <w:t>datového</w:t>
      </w:r>
      <w:r>
        <w:t xml:space="preserve"> </w:t>
      </w:r>
      <w:r w:rsidRPr="00014AAD">
        <w:t>centra.</w:t>
      </w:r>
    </w:p>
    <w:p w14:paraId="30A9EB5E" w14:textId="77777777" w:rsidR="00920C2F" w:rsidRPr="00014AAD" w:rsidRDefault="00920C2F" w:rsidP="0010420C">
      <w:pPr>
        <w:pStyle w:val="Textparagrafu"/>
        <w:tabs>
          <w:tab w:val="left" w:pos="420"/>
        </w:tabs>
        <w:spacing w:before="120" w:after="120"/>
      </w:pPr>
      <w:r w:rsidRPr="00014AAD">
        <w:t>(12)</w:t>
      </w:r>
      <w:r>
        <w:t xml:space="preserve"> </w:t>
      </w:r>
      <w:r w:rsidRPr="00014AAD">
        <w:t>Nelze-li</w:t>
      </w:r>
      <w:r>
        <w:t xml:space="preserve"> </w:t>
      </w:r>
      <w:r w:rsidRPr="00014AAD">
        <w:t>připojit</w:t>
      </w:r>
      <w:r>
        <w:t xml:space="preserve"> </w:t>
      </w:r>
      <w:r w:rsidRPr="00014AAD">
        <w:t>výrobnu</w:t>
      </w:r>
      <w:r>
        <w:t xml:space="preserve"> </w:t>
      </w:r>
      <w:r w:rsidRPr="00014AAD">
        <w:t>elektřiny</w:t>
      </w:r>
      <w:r>
        <w:t xml:space="preserve"> </w:t>
      </w:r>
      <w:r w:rsidRPr="00014AAD">
        <w:t>z</w:t>
      </w:r>
      <w:r>
        <w:t xml:space="preserve"> </w:t>
      </w:r>
      <w:r w:rsidRPr="00014AAD">
        <w:t>důvodu</w:t>
      </w:r>
      <w:r>
        <w:t xml:space="preserve"> </w:t>
      </w:r>
      <w:r w:rsidRPr="00014AAD">
        <w:t>podle</w:t>
      </w:r>
      <w:r>
        <w:t xml:space="preserve"> </w:t>
      </w:r>
      <w:r w:rsidRPr="00014AAD">
        <w:t>odstavce</w:t>
      </w:r>
      <w:r>
        <w:t xml:space="preserve"> </w:t>
      </w:r>
      <w:r w:rsidRPr="00014AAD">
        <w:t>10</w:t>
      </w:r>
      <w:r>
        <w:t xml:space="preserve"> </w:t>
      </w:r>
      <w:r w:rsidRPr="00014AAD">
        <w:t>písm.</w:t>
      </w:r>
      <w:r>
        <w:t xml:space="preserve"> </w:t>
      </w:r>
      <w:r w:rsidRPr="00014AAD">
        <w:t>a),</w:t>
      </w:r>
      <w:r>
        <w:t xml:space="preserve"> </w:t>
      </w:r>
      <w:r w:rsidRPr="00014AAD">
        <w:t>umožní</w:t>
      </w:r>
      <w:r>
        <w:t xml:space="preserve"> </w:t>
      </w:r>
      <w:r w:rsidRPr="00014AAD">
        <w:t>provozovatel</w:t>
      </w:r>
      <w:r>
        <w:t xml:space="preserve"> </w:t>
      </w:r>
      <w:r w:rsidRPr="00014AAD">
        <w:t>přenosové</w:t>
      </w:r>
      <w:r>
        <w:t xml:space="preserve"> </w:t>
      </w:r>
      <w:r w:rsidRPr="00014AAD">
        <w:t>soustavy</w:t>
      </w:r>
      <w:r>
        <w:t xml:space="preserve"> </w:t>
      </w:r>
      <w:r w:rsidRPr="00014AAD">
        <w:t>připojení</w:t>
      </w:r>
      <w:r>
        <w:t xml:space="preserve"> </w:t>
      </w:r>
      <w:r w:rsidRPr="00014AAD">
        <w:t>výrobny</w:t>
      </w:r>
      <w:r>
        <w:t xml:space="preserve"> </w:t>
      </w:r>
      <w:r w:rsidRPr="00014AAD">
        <w:t>elektřiny</w:t>
      </w:r>
      <w:r>
        <w:t xml:space="preserve"> </w:t>
      </w:r>
      <w:r w:rsidRPr="00014AAD">
        <w:t>s</w:t>
      </w:r>
      <w:r>
        <w:t xml:space="preserve"> </w:t>
      </w:r>
      <w:r w:rsidRPr="00014AAD">
        <w:t>možností</w:t>
      </w:r>
      <w:r>
        <w:t xml:space="preserve"> </w:t>
      </w:r>
      <w:r w:rsidRPr="00014AAD">
        <w:t>omezení</w:t>
      </w:r>
      <w:r>
        <w:t xml:space="preserve"> </w:t>
      </w:r>
      <w:r w:rsidRPr="00014AAD">
        <w:t>využití</w:t>
      </w:r>
      <w:r>
        <w:t xml:space="preserve"> </w:t>
      </w:r>
      <w:r w:rsidRPr="00014AAD">
        <w:t>rezervovaného</w:t>
      </w:r>
      <w:r>
        <w:t xml:space="preserve"> </w:t>
      </w:r>
      <w:r w:rsidRPr="00014AAD">
        <w:t>výkonu</w:t>
      </w:r>
      <w:r>
        <w:t xml:space="preserve"> </w:t>
      </w:r>
      <w:r w:rsidRPr="00014AAD">
        <w:t>bez</w:t>
      </w:r>
      <w:r>
        <w:t xml:space="preserve"> </w:t>
      </w:r>
      <w:r w:rsidRPr="00014AAD">
        <w:t>náhrady</w:t>
      </w:r>
      <w:r>
        <w:t xml:space="preserve"> </w:t>
      </w:r>
      <w:r w:rsidRPr="00014AAD">
        <w:t>za</w:t>
      </w:r>
      <w:r>
        <w:t xml:space="preserve"> </w:t>
      </w:r>
      <w:r w:rsidRPr="00014AAD">
        <w:t>takové</w:t>
      </w:r>
      <w:r>
        <w:t xml:space="preserve"> </w:t>
      </w:r>
      <w:r w:rsidRPr="00014AAD">
        <w:t>omezení</w:t>
      </w:r>
      <w:r>
        <w:t xml:space="preserve"> </w:t>
      </w:r>
      <w:r w:rsidRPr="00014AAD">
        <w:t>při</w:t>
      </w:r>
      <w:r>
        <w:t xml:space="preserve"> </w:t>
      </w:r>
      <w:r w:rsidRPr="00014AAD">
        <w:t>předcházení</w:t>
      </w:r>
      <w:r>
        <w:t xml:space="preserve"> </w:t>
      </w:r>
      <w:r w:rsidRPr="00014AAD">
        <w:t>nebo</w:t>
      </w:r>
      <w:r>
        <w:t xml:space="preserve"> </w:t>
      </w:r>
      <w:r w:rsidRPr="00014AAD">
        <w:t>řešení</w:t>
      </w:r>
      <w:r>
        <w:t xml:space="preserve"> </w:t>
      </w:r>
      <w:r w:rsidRPr="00014AAD">
        <w:t>přetížení</w:t>
      </w:r>
      <w:r>
        <w:t xml:space="preserve"> </w:t>
      </w:r>
      <w:r w:rsidRPr="00014AAD">
        <w:t>v</w:t>
      </w:r>
      <w:r>
        <w:t xml:space="preserve"> </w:t>
      </w:r>
      <w:r w:rsidRPr="00014AAD">
        <w:t>přenosové</w:t>
      </w:r>
      <w:r>
        <w:t xml:space="preserve"> </w:t>
      </w:r>
      <w:r w:rsidRPr="00014AAD">
        <w:t>soustavě.</w:t>
      </w:r>
    </w:p>
    <w:p w14:paraId="7D9DE9EE" w14:textId="6A848E8E" w:rsidR="00920C2F" w:rsidRDefault="00C075BD" w:rsidP="00C075BD">
      <w:pPr>
        <w:pStyle w:val="Textparagrafu"/>
        <w:tabs>
          <w:tab w:val="left" w:pos="406"/>
          <w:tab w:val="left" w:pos="840"/>
          <w:tab w:val="left" w:pos="868"/>
        </w:tabs>
        <w:spacing w:after="120"/>
        <w:ind w:firstLine="0"/>
        <w:jc w:val="center"/>
      </w:pPr>
      <w:r>
        <w:t>***</w:t>
      </w:r>
    </w:p>
    <w:p w14:paraId="2882FA39" w14:textId="77777777" w:rsidR="00085B44" w:rsidRDefault="00085B44" w:rsidP="00085B44">
      <w:pPr>
        <w:pStyle w:val="Textparagrafu"/>
        <w:tabs>
          <w:tab w:val="left" w:pos="392"/>
          <w:tab w:val="left" w:pos="854"/>
        </w:tabs>
        <w:spacing w:after="120"/>
        <w:ind w:firstLine="0"/>
        <w:jc w:val="center"/>
      </w:pPr>
      <w:r w:rsidRPr="009C4CEA">
        <w:t>§</w:t>
      </w:r>
      <w:r>
        <w:t xml:space="preserve"> </w:t>
      </w:r>
      <w:r w:rsidRPr="009C4CEA">
        <w:t>25</w:t>
      </w:r>
    </w:p>
    <w:p w14:paraId="43C6369F" w14:textId="77777777" w:rsidR="00085B44" w:rsidRPr="009C4CEA" w:rsidRDefault="00085B44" w:rsidP="00085B44">
      <w:pPr>
        <w:pStyle w:val="Textparagrafu"/>
        <w:tabs>
          <w:tab w:val="left" w:pos="392"/>
          <w:tab w:val="left" w:pos="854"/>
        </w:tabs>
        <w:spacing w:after="120"/>
        <w:ind w:firstLine="0"/>
        <w:jc w:val="center"/>
        <w:rPr>
          <w:b/>
        </w:rPr>
      </w:pPr>
      <w:r w:rsidRPr="009C4CEA">
        <w:rPr>
          <w:b/>
        </w:rPr>
        <w:t>Provozovatel distribuční soustavy</w:t>
      </w:r>
    </w:p>
    <w:p w14:paraId="262A4A67" w14:textId="77777777" w:rsidR="00085B44" w:rsidRDefault="00085B44" w:rsidP="0010420C">
      <w:pPr>
        <w:pStyle w:val="Textparagrafu"/>
        <w:tabs>
          <w:tab w:val="left" w:pos="420"/>
        </w:tabs>
        <w:spacing w:before="120" w:after="120"/>
      </w:pPr>
      <w:r w:rsidRPr="009C4CEA">
        <w:t>(1)</w:t>
      </w:r>
      <w:r>
        <w:t xml:space="preserve"> </w:t>
      </w:r>
      <w:r w:rsidRPr="009C4CEA">
        <w:t>Provozovatel</w:t>
      </w:r>
      <w:r>
        <w:t xml:space="preserve"> </w:t>
      </w:r>
      <w:r w:rsidRPr="009C4CEA">
        <w:t>distribuční</w:t>
      </w:r>
      <w:r>
        <w:t xml:space="preserve"> </w:t>
      </w:r>
      <w:r w:rsidRPr="009C4CEA">
        <w:t>soustavy</w:t>
      </w:r>
    </w:p>
    <w:p w14:paraId="3F7526B0" w14:textId="403B6D04" w:rsidR="00085B44" w:rsidRDefault="00085B44" w:rsidP="002E6AEA">
      <w:pPr>
        <w:pStyle w:val="Textparagrafu"/>
        <w:tabs>
          <w:tab w:val="left" w:pos="392"/>
          <w:tab w:val="left" w:pos="854"/>
        </w:tabs>
        <w:spacing w:before="0"/>
        <w:ind w:left="426" w:hanging="426"/>
      </w:pPr>
      <w:r w:rsidRPr="009C4CEA">
        <w:t>a)</w:t>
      </w:r>
      <w:r>
        <w:tab/>
      </w:r>
      <w:r w:rsidRPr="009C4CEA">
        <w:t>zajišťuje</w:t>
      </w:r>
      <w:r>
        <w:t xml:space="preserve"> </w:t>
      </w:r>
      <w:r w:rsidRPr="009C4CEA">
        <w:t>spolehlivé</w:t>
      </w:r>
      <w:r>
        <w:t xml:space="preserve"> </w:t>
      </w:r>
      <w:r w:rsidRPr="009C4CEA">
        <w:t>provozování,</w:t>
      </w:r>
      <w:r>
        <w:t xml:space="preserve"> </w:t>
      </w:r>
      <w:r w:rsidRPr="009C4CEA">
        <w:t>obnovu</w:t>
      </w:r>
      <w:r>
        <w:t xml:space="preserve"> </w:t>
      </w:r>
      <w:r w:rsidRPr="009C4CEA">
        <w:t>a</w:t>
      </w:r>
      <w:r>
        <w:t xml:space="preserve"> </w:t>
      </w:r>
      <w:r w:rsidRPr="009C4CEA">
        <w:t>rozvoj</w:t>
      </w:r>
      <w:r>
        <w:t xml:space="preserve"> </w:t>
      </w:r>
      <w:r w:rsidRPr="009C4CEA">
        <w:t>distribuční</w:t>
      </w:r>
      <w:r>
        <w:t xml:space="preserve"> </w:t>
      </w:r>
      <w:r w:rsidRPr="009C4CEA">
        <w:t>soustavy</w:t>
      </w:r>
      <w:r>
        <w:t xml:space="preserve"> </w:t>
      </w:r>
      <w:r w:rsidRPr="009C4CEA">
        <w:t>na</w:t>
      </w:r>
      <w:r>
        <w:t xml:space="preserve"> </w:t>
      </w:r>
      <w:r w:rsidRPr="009C4CEA">
        <w:t>území</w:t>
      </w:r>
      <w:r>
        <w:t xml:space="preserve"> </w:t>
      </w:r>
      <w:r w:rsidRPr="009C4CEA">
        <w:t>vymezeném</w:t>
      </w:r>
      <w:r>
        <w:t xml:space="preserve"> </w:t>
      </w:r>
      <w:r w:rsidRPr="009C4CEA">
        <w:t>licencí,</w:t>
      </w:r>
    </w:p>
    <w:p w14:paraId="0C59FC8A" w14:textId="0D4B80A6" w:rsidR="00085B44" w:rsidRDefault="00085B44" w:rsidP="002E6AEA">
      <w:pPr>
        <w:pStyle w:val="Textparagrafu"/>
        <w:tabs>
          <w:tab w:val="left" w:pos="392"/>
          <w:tab w:val="left" w:pos="854"/>
        </w:tabs>
        <w:spacing w:before="0"/>
        <w:ind w:left="426" w:hanging="426"/>
      </w:pPr>
      <w:r w:rsidRPr="009C4CEA">
        <w:t>b)</w:t>
      </w:r>
      <w:r>
        <w:tab/>
      </w:r>
      <w:r w:rsidRPr="009C4CEA">
        <w:t>poskytuje</w:t>
      </w:r>
      <w:r>
        <w:t xml:space="preserve"> </w:t>
      </w:r>
      <w:r w:rsidRPr="009C4CEA">
        <w:t>služby</w:t>
      </w:r>
      <w:r>
        <w:t xml:space="preserve"> </w:t>
      </w:r>
      <w:r w:rsidRPr="009C4CEA">
        <w:t>distribuční</w:t>
      </w:r>
      <w:r>
        <w:t xml:space="preserve"> </w:t>
      </w:r>
      <w:r w:rsidRPr="009C4CEA">
        <w:t>soustavy,</w:t>
      </w:r>
    </w:p>
    <w:p w14:paraId="733A025C" w14:textId="399E6F00" w:rsidR="00085B44" w:rsidRDefault="00085B44" w:rsidP="002E6AEA">
      <w:pPr>
        <w:pStyle w:val="Textparagrafu"/>
        <w:tabs>
          <w:tab w:val="left" w:pos="392"/>
          <w:tab w:val="left" w:pos="854"/>
        </w:tabs>
        <w:spacing w:before="0"/>
        <w:ind w:left="426" w:hanging="426"/>
      </w:pPr>
      <w:r w:rsidRPr="009C4CEA">
        <w:t>c)</w:t>
      </w:r>
      <w:r>
        <w:tab/>
      </w:r>
      <w:r w:rsidRPr="009C4CEA">
        <w:t>řídí</w:t>
      </w:r>
      <w:r>
        <w:t xml:space="preserve"> </w:t>
      </w:r>
      <w:r w:rsidRPr="009C4CEA">
        <w:t>toky</w:t>
      </w:r>
      <w:r>
        <w:t xml:space="preserve"> </w:t>
      </w:r>
      <w:r w:rsidRPr="009C4CEA">
        <w:t>elektřiny</w:t>
      </w:r>
      <w:r>
        <w:t xml:space="preserve"> </w:t>
      </w:r>
      <w:r w:rsidRPr="009C4CEA">
        <w:t>v</w:t>
      </w:r>
      <w:r>
        <w:t xml:space="preserve"> </w:t>
      </w:r>
      <w:r w:rsidRPr="009C4CEA">
        <w:t>distribuční</w:t>
      </w:r>
      <w:r>
        <w:t xml:space="preserve"> </w:t>
      </w:r>
      <w:r w:rsidRPr="009C4CEA">
        <w:t>soustavě</w:t>
      </w:r>
      <w:r>
        <w:t xml:space="preserve"> </w:t>
      </w:r>
      <w:r w:rsidRPr="009C4CEA">
        <w:t>při</w:t>
      </w:r>
      <w:r>
        <w:t xml:space="preserve"> </w:t>
      </w:r>
      <w:r w:rsidRPr="009C4CEA">
        <w:t>respektování</w:t>
      </w:r>
      <w:r>
        <w:t xml:space="preserve"> </w:t>
      </w:r>
      <w:r w:rsidRPr="009C4CEA">
        <w:t>přenosů</w:t>
      </w:r>
      <w:r>
        <w:t xml:space="preserve"> </w:t>
      </w:r>
      <w:r w:rsidRPr="009C4CEA">
        <w:t>elektřiny</w:t>
      </w:r>
      <w:r>
        <w:t xml:space="preserve"> </w:t>
      </w:r>
      <w:r w:rsidRPr="009C4CEA">
        <w:t>mezi</w:t>
      </w:r>
      <w:r>
        <w:t xml:space="preserve"> </w:t>
      </w:r>
      <w:r w:rsidRPr="009C4CEA">
        <w:t>ostatními</w:t>
      </w:r>
      <w:r>
        <w:t xml:space="preserve"> </w:t>
      </w:r>
      <w:r w:rsidRPr="009C4CEA">
        <w:t>distribučními</w:t>
      </w:r>
      <w:r>
        <w:t xml:space="preserve"> </w:t>
      </w:r>
      <w:r w:rsidRPr="009C4CEA">
        <w:t>soustavami</w:t>
      </w:r>
      <w:r>
        <w:t xml:space="preserve"> </w:t>
      </w:r>
      <w:r w:rsidRPr="009C4CEA">
        <w:t>a</w:t>
      </w:r>
      <w:r>
        <w:t xml:space="preserve"> </w:t>
      </w:r>
      <w:r w:rsidRPr="009C4CEA">
        <w:t>přenosovou</w:t>
      </w:r>
      <w:r>
        <w:t xml:space="preserve"> </w:t>
      </w:r>
      <w:r w:rsidRPr="009C4CEA">
        <w:t>soustavou</w:t>
      </w:r>
      <w:r>
        <w:t xml:space="preserve"> </w:t>
      </w:r>
      <w:r w:rsidRPr="009C4CEA">
        <w:t>ve</w:t>
      </w:r>
      <w:r>
        <w:t xml:space="preserve"> </w:t>
      </w:r>
      <w:r w:rsidRPr="009C4CEA">
        <w:t>spolupráci</w:t>
      </w:r>
      <w:r>
        <w:t xml:space="preserve"> </w:t>
      </w:r>
      <w:r w:rsidRPr="009C4CEA">
        <w:t>s</w:t>
      </w:r>
      <w:r>
        <w:t xml:space="preserve"> </w:t>
      </w:r>
      <w:r w:rsidRPr="009C4CEA">
        <w:t>provozovateli</w:t>
      </w:r>
      <w:r>
        <w:t xml:space="preserve"> </w:t>
      </w:r>
      <w:r w:rsidRPr="009C4CEA">
        <w:t>ostatních</w:t>
      </w:r>
      <w:r>
        <w:t xml:space="preserve"> </w:t>
      </w:r>
      <w:r w:rsidRPr="009C4CEA">
        <w:t>distribučních</w:t>
      </w:r>
      <w:r>
        <w:t xml:space="preserve"> </w:t>
      </w:r>
      <w:r w:rsidRPr="009C4CEA">
        <w:t>soustav</w:t>
      </w:r>
      <w:r>
        <w:t xml:space="preserve"> </w:t>
      </w:r>
      <w:r w:rsidRPr="009C4CEA">
        <w:t>a</w:t>
      </w:r>
      <w:r>
        <w:t xml:space="preserve"> </w:t>
      </w:r>
      <w:r w:rsidRPr="009C4CEA">
        <w:t>provozovatelem</w:t>
      </w:r>
      <w:r>
        <w:t xml:space="preserve"> </w:t>
      </w:r>
      <w:r w:rsidRPr="009C4CEA">
        <w:t>přenosové</w:t>
      </w:r>
      <w:r>
        <w:t xml:space="preserve"> </w:t>
      </w:r>
      <w:r w:rsidRPr="009C4CEA">
        <w:t>soustavy.</w:t>
      </w:r>
    </w:p>
    <w:p w14:paraId="13798786" w14:textId="77777777" w:rsidR="00085B44" w:rsidRDefault="00085B44" w:rsidP="0010420C">
      <w:pPr>
        <w:pStyle w:val="Textparagrafu"/>
        <w:tabs>
          <w:tab w:val="left" w:pos="420"/>
        </w:tabs>
        <w:spacing w:before="120" w:after="120"/>
      </w:pPr>
      <w:r w:rsidRPr="009C4CEA">
        <w:t>(2)</w:t>
      </w:r>
      <w:r>
        <w:t xml:space="preserve"> </w:t>
      </w:r>
      <w:r w:rsidRPr="009C4CEA">
        <w:t>Provozovatel</w:t>
      </w:r>
      <w:r>
        <w:t xml:space="preserve"> </w:t>
      </w:r>
      <w:r w:rsidRPr="009C4CEA">
        <w:t>distribuční</w:t>
      </w:r>
      <w:r>
        <w:t xml:space="preserve"> </w:t>
      </w:r>
      <w:r w:rsidRPr="009C4CEA">
        <w:t>soustavy,</w:t>
      </w:r>
      <w:r>
        <w:t xml:space="preserve"> </w:t>
      </w:r>
      <w:r w:rsidRPr="009C4CEA">
        <w:t>k</w:t>
      </w:r>
      <w:r>
        <w:t xml:space="preserve"> </w:t>
      </w:r>
      <w:r w:rsidRPr="009C4CEA">
        <w:t>jehož</w:t>
      </w:r>
      <w:r>
        <w:t xml:space="preserve"> </w:t>
      </w:r>
      <w:r w:rsidRPr="009C4CEA">
        <w:t>soustavě</w:t>
      </w:r>
      <w:r>
        <w:t xml:space="preserve"> </w:t>
      </w:r>
      <w:r w:rsidRPr="009C4CEA">
        <w:t>je</w:t>
      </w:r>
      <w:r>
        <w:t xml:space="preserve"> </w:t>
      </w:r>
      <w:r w:rsidRPr="009C4CEA">
        <w:t>připojeno</w:t>
      </w:r>
      <w:r>
        <w:t xml:space="preserve"> </w:t>
      </w:r>
      <w:r w:rsidRPr="009C4CEA">
        <w:t>více</w:t>
      </w:r>
      <w:r>
        <w:t xml:space="preserve"> </w:t>
      </w:r>
      <w:r w:rsidRPr="009C4CEA">
        <w:t>než</w:t>
      </w:r>
      <w:r>
        <w:t xml:space="preserve"> </w:t>
      </w:r>
      <w:r w:rsidRPr="009C4CEA">
        <w:t>90</w:t>
      </w:r>
      <w:r>
        <w:t xml:space="preserve"> </w:t>
      </w:r>
      <w:r w:rsidRPr="009C4CEA">
        <w:t>000</w:t>
      </w:r>
      <w:r>
        <w:t xml:space="preserve"> </w:t>
      </w:r>
      <w:r w:rsidRPr="009C4CEA">
        <w:t>odběrných</w:t>
      </w:r>
      <w:r>
        <w:t xml:space="preserve"> </w:t>
      </w:r>
      <w:r w:rsidRPr="009C4CEA">
        <w:t>míst</w:t>
      </w:r>
      <w:r>
        <w:t xml:space="preserve"> </w:t>
      </w:r>
      <w:r w:rsidRPr="009C4CEA">
        <w:t>zákazníků,</w:t>
      </w:r>
      <w:r>
        <w:t xml:space="preserve"> </w:t>
      </w:r>
      <w:r w:rsidRPr="009C4CEA">
        <w:t>nesmí</w:t>
      </w:r>
      <w:r>
        <w:t xml:space="preserve"> </w:t>
      </w:r>
      <w:r w:rsidRPr="009C4CEA">
        <w:t>být</w:t>
      </w:r>
      <w:r>
        <w:t xml:space="preserve"> </w:t>
      </w:r>
      <w:r w:rsidRPr="009C4CEA">
        <w:t>souběžným</w:t>
      </w:r>
      <w:r>
        <w:t xml:space="preserve"> </w:t>
      </w:r>
      <w:r w:rsidRPr="009C4CEA">
        <w:t>držitelem</w:t>
      </w:r>
      <w:r>
        <w:t xml:space="preserve"> </w:t>
      </w:r>
      <w:r w:rsidRPr="009C4CEA">
        <w:t>licence</w:t>
      </w:r>
      <w:r>
        <w:t xml:space="preserve"> </w:t>
      </w:r>
      <w:r w:rsidRPr="009C4CEA">
        <w:t>na</w:t>
      </w:r>
      <w:r>
        <w:t xml:space="preserve"> </w:t>
      </w:r>
      <w:r w:rsidRPr="009C4CEA">
        <w:t>výrobu</w:t>
      </w:r>
      <w:r>
        <w:t xml:space="preserve"> </w:t>
      </w:r>
      <w:r w:rsidRPr="009C4CEA">
        <w:t>elektřiny,</w:t>
      </w:r>
      <w:r>
        <w:t xml:space="preserve"> </w:t>
      </w:r>
      <w:r w:rsidRPr="009C4CEA">
        <w:t>přenos</w:t>
      </w:r>
      <w:r>
        <w:t xml:space="preserve"> </w:t>
      </w:r>
      <w:r w:rsidRPr="009C4CEA">
        <w:t>elektřiny,</w:t>
      </w:r>
      <w:r>
        <w:t xml:space="preserve"> </w:t>
      </w:r>
      <w:r w:rsidRPr="009C4CEA">
        <w:t>obchod</w:t>
      </w:r>
      <w:r>
        <w:t xml:space="preserve"> </w:t>
      </w:r>
      <w:r w:rsidRPr="009C4CEA">
        <w:t>s</w:t>
      </w:r>
      <w:r>
        <w:t xml:space="preserve"> </w:t>
      </w:r>
      <w:r w:rsidRPr="009C4CEA">
        <w:t>elektřinou</w:t>
      </w:r>
      <w:r>
        <w:t xml:space="preserve"> </w:t>
      </w:r>
      <w:r w:rsidRPr="009C4CEA">
        <w:t>nebo</w:t>
      </w:r>
      <w:r>
        <w:t xml:space="preserve"> </w:t>
      </w:r>
      <w:r w:rsidRPr="009C4CEA">
        <w:t>obchod</w:t>
      </w:r>
      <w:r>
        <w:t xml:space="preserve"> </w:t>
      </w:r>
      <w:r w:rsidRPr="009C4CEA">
        <w:t>s</w:t>
      </w:r>
      <w:r>
        <w:t xml:space="preserve"> </w:t>
      </w:r>
      <w:r w:rsidRPr="009C4CEA">
        <w:t>plynem.</w:t>
      </w:r>
    </w:p>
    <w:p w14:paraId="3850DC26" w14:textId="77777777" w:rsidR="00085B44" w:rsidRDefault="00085B44" w:rsidP="0010420C">
      <w:pPr>
        <w:pStyle w:val="Textparagrafu"/>
        <w:tabs>
          <w:tab w:val="left" w:pos="420"/>
        </w:tabs>
        <w:spacing w:before="120" w:after="120"/>
      </w:pPr>
      <w:r w:rsidRPr="009C4CEA">
        <w:t>(3)</w:t>
      </w:r>
      <w:r>
        <w:t xml:space="preserve"> </w:t>
      </w:r>
      <w:r w:rsidRPr="009C4CEA">
        <w:t>Provozovatel</w:t>
      </w:r>
      <w:r>
        <w:t xml:space="preserve"> </w:t>
      </w:r>
      <w:r w:rsidRPr="009C4CEA">
        <w:t>distribuční</w:t>
      </w:r>
      <w:r>
        <w:t xml:space="preserve"> </w:t>
      </w:r>
      <w:r w:rsidRPr="009C4CEA">
        <w:t>soustavy</w:t>
      </w:r>
      <w:r>
        <w:t xml:space="preserve"> </w:t>
      </w:r>
      <w:r w:rsidRPr="009C4CEA">
        <w:t>má</w:t>
      </w:r>
      <w:r>
        <w:t xml:space="preserve"> </w:t>
      </w:r>
      <w:r w:rsidRPr="009C4CEA">
        <w:t>právo</w:t>
      </w:r>
    </w:p>
    <w:p w14:paraId="111A67B0" w14:textId="68E2A8DB" w:rsidR="00085B44" w:rsidRDefault="00085B44" w:rsidP="002E6AEA">
      <w:pPr>
        <w:pStyle w:val="Textparagrafu"/>
        <w:tabs>
          <w:tab w:val="left" w:pos="392"/>
          <w:tab w:val="left" w:pos="854"/>
        </w:tabs>
        <w:spacing w:before="0"/>
        <w:ind w:left="426" w:hanging="426"/>
      </w:pPr>
      <w:r w:rsidRPr="009C4CEA">
        <w:t>a)</w:t>
      </w:r>
      <w:r>
        <w:tab/>
      </w:r>
      <w:r w:rsidRPr="009C4CEA">
        <w:t>zřizovat</w:t>
      </w:r>
      <w:r>
        <w:t xml:space="preserve"> </w:t>
      </w:r>
      <w:r w:rsidRPr="009C4CEA">
        <w:t>a</w:t>
      </w:r>
      <w:r>
        <w:t xml:space="preserve"> </w:t>
      </w:r>
      <w:r w:rsidRPr="009C4CEA">
        <w:t>provozovat</w:t>
      </w:r>
      <w:r>
        <w:t xml:space="preserve"> </w:t>
      </w:r>
      <w:r w:rsidRPr="009C4CEA">
        <w:t>vlastní</w:t>
      </w:r>
      <w:r>
        <w:t xml:space="preserve"> </w:t>
      </w:r>
      <w:r w:rsidRPr="009C4CEA">
        <w:t>telekomunikační</w:t>
      </w:r>
      <w:r>
        <w:t xml:space="preserve"> </w:t>
      </w:r>
      <w:r w:rsidRPr="009C4CEA">
        <w:t>síť</w:t>
      </w:r>
      <w:r>
        <w:t xml:space="preserve"> </w:t>
      </w:r>
      <w:r w:rsidRPr="009C4CEA">
        <w:t>k</w:t>
      </w:r>
      <w:r>
        <w:t xml:space="preserve"> </w:t>
      </w:r>
      <w:r w:rsidRPr="009C4CEA">
        <w:t>řízení,</w:t>
      </w:r>
      <w:r>
        <w:t xml:space="preserve"> </w:t>
      </w:r>
      <w:r w:rsidRPr="009C4CEA">
        <w:t>měření,</w:t>
      </w:r>
      <w:r>
        <w:t xml:space="preserve"> </w:t>
      </w:r>
      <w:r w:rsidRPr="009C4CEA">
        <w:t>zabezpečování</w:t>
      </w:r>
      <w:r>
        <w:t xml:space="preserve"> </w:t>
      </w:r>
      <w:r w:rsidRPr="009C4CEA">
        <w:t>a</w:t>
      </w:r>
      <w:r>
        <w:t xml:space="preserve"> </w:t>
      </w:r>
      <w:r w:rsidRPr="009C4CEA">
        <w:t>automatizaci</w:t>
      </w:r>
      <w:r>
        <w:t xml:space="preserve"> </w:t>
      </w:r>
      <w:r w:rsidRPr="009C4CEA">
        <w:t>provozu</w:t>
      </w:r>
      <w:r>
        <w:t xml:space="preserve"> </w:t>
      </w:r>
      <w:r w:rsidRPr="009C4CEA">
        <w:t>distribuční</w:t>
      </w:r>
      <w:r>
        <w:t xml:space="preserve"> </w:t>
      </w:r>
      <w:r w:rsidRPr="009C4CEA">
        <w:t>soustavy</w:t>
      </w:r>
      <w:r>
        <w:t xml:space="preserve"> </w:t>
      </w:r>
      <w:r w:rsidRPr="009C4CEA">
        <w:t>a</w:t>
      </w:r>
      <w:r>
        <w:t xml:space="preserve"> </w:t>
      </w:r>
      <w:r w:rsidRPr="009C4CEA">
        <w:t>k</w:t>
      </w:r>
      <w:r>
        <w:t xml:space="preserve"> </w:t>
      </w:r>
      <w:r w:rsidRPr="009C4CEA">
        <w:t>přenosu</w:t>
      </w:r>
      <w:r>
        <w:t xml:space="preserve"> </w:t>
      </w:r>
      <w:r w:rsidRPr="009C4CEA">
        <w:t>informací</w:t>
      </w:r>
      <w:r>
        <w:t xml:space="preserve"> </w:t>
      </w:r>
      <w:r w:rsidRPr="009C4CEA">
        <w:t>pro</w:t>
      </w:r>
      <w:r>
        <w:t xml:space="preserve"> </w:t>
      </w:r>
      <w:r w:rsidRPr="009C4CEA">
        <w:t>činnost</w:t>
      </w:r>
      <w:r>
        <w:t xml:space="preserve"> </w:t>
      </w:r>
      <w:r w:rsidRPr="009C4CEA">
        <w:t>výpočetní</w:t>
      </w:r>
      <w:r>
        <w:t xml:space="preserve"> </w:t>
      </w:r>
      <w:r w:rsidRPr="009C4CEA">
        <w:t>techniky</w:t>
      </w:r>
      <w:r>
        <w:t xml:space="preserve"> </w:t>
      </w:r>
      <w:r w:rsidRPr="009C4CEA">
        <w:t>a</w:t>
      </w:r>
      <w:r>
        <w:t xml:space="preserve"> </w:t>
      </w:r>
      <w:r w:rsidRPr="009C4CEA">
        <w:t>informačních</w:t>
      </w:r>
      <w:r>
        <w:t xml:space="preserve"> </w:t>
      </w:r>
      <w:r w:rsidRPr="009C4CEA">
        <w:t>systémů,</w:t>
      </w:r>
    </w:p>
    <w:p w14:paraId="3D088229" w14:textId="4E6E6F8C" w:rsidR="00085B44" w:rsidRDefault="00085B44" w:rsidP="002E6AEA">
      <w:pPr>
        <w:pStyle w:val="Textparagrafu"/>
        <w:tabs>
          <w:tab w:val="left" w:pos="392"/>
          <w:tab w:val="left" w:pos="854"/>
        </w:tabs>
        <w:spacing w:before="0"/>
        <w:ind w:left="426" w:hanging="426"/>
      </w:pPr>
      <w:r w:rsidRPr="009C4CEA">
        <w:t>b)</w:t>
      </w:r>
      <w:r>
        <w:tab/>
      </w:r>
      <w:r w:rsidRPr="009C4CEA">
        <w:t>nakupovat</w:t>
      </w:r>
      <w:r>
        <w:t xml:space="preserve"> </w:t>
      </w:r>
      <w:r w:rsidRPr="009C4CEA">
        <w:t>s</w:t>
      </w:r>
      <w:r>
        <w:t xml:space="preserve"> </w:t>
      </w:r>
      <w:r w:rsidRPr="009C4CEA">
        <w:t>nejnižšími</w:t>
      </w:r>
      <w:r>
        <w:t xml:space="preserve"> </w:t>
      </w:r>
      <w:r w:rsidRPr="009C4CEA">
        <w:t>náklady</w:t>
      </w:r>
      <w:r>
        <w:t xml:space="preserve"> </w:t>
      </w:r>
      <w:r w:rsidRPr="009C4CEA">
        <w:t>podpůrné</w:t>
      </w:r>
      <w:r>
        <w:t xml:space="preserve"> </w:t>
      </w:r>
      <w:r w:rsidRPr="009C4CEA">
        <w:t>služby</w:t>
      </w:r>
      <w:r>
        <w:t xml:space="preserve"> </w:t>
      </w:r>
      <w:r w:rsidRPr="009C4CEA">
        <w:t>a</w:t>
      </w:r>
      <w:r>
        <w:t xml:space="preserve"> </w:t>
      </w:r>
      <w:r w:rsidRPr="009C4CEA">
        <w:t>elektřinu</w:t>
      </w:r>
      <w:r>
        <w:t xml:space="preserve"> </w:t>
      </w:r>
      <w:r w:rsidRPr="009C4CEA">
        <w:t>pro</w:t>
      </w:r>
      <w:r>
        <w:t xml:space="preserve"> </w:t>
      </w:r>
      <w:r w:rsidRPr="009C4CEA">
        <w:t>krytí</w:t>
      </w:r>
      <w:r>
        <w:t xml:space="preserve"> </w:t>
      </w:r>
      <w:r w:rsidRPr="009C4CEA">
        <w:t>ztrát</w:t>
      </w:r>
      <w:r>
        <w:t xml:space="preserve"> </w:t>
      </w:r>
      <w:r w:rsidRPr="009C4CEA">
        <w:t>elektřiny</w:t>
      </w:r>
      <w:r>
        <w:t xml:space="preserve"> </w:t>
      </w:r>
      <w:r w:rsidRPr="009C4CEA">
        <w:t>v</w:t>
      </w:r>
      <w:r>
        <w:t xml:space="preserve"> </w:t>
      </w:r>
      <w:r w:rsidRPr="009C4CEA">
        <w:t>distribuční</w:t>
      </w:r>
      <w:r>
        <w:t xml:space="preserve"> </w:t>
      </w:r>
      <w:r w:rsidRPr="009C4CEA">
        <w:t>soustavě,</w:t>
      </w:r>
    </w:p>
    <w:p w14:paraId="0A7633B8" w14:textId="6B57FB43" w:rsidR="00085B44" w:rsidRPr="009C4CEA" w:rsidRDefault="00085B44" w:rsidP="002E6AEA">
      <w:pPr>
        <w:pStyle w:val="Textparagrafu"/>
        <w:tabs>
          <w:tab w:val="left" w:pos="392"/>
          <w:tab w:val="left" w:pos="854"/>
        </w:tabs>
        <w:spacing w:before="0"/>
        <w:ind w:left="426" w:hanging="426"/>
      </w:pPr>
      <w:r w:rsidRPr="009C4CEA">
        <w:t>c)</w:t>
      </w:r>
      <w:r>
        <w:tab/>
      </w:r>
      <w:r w:rsidRPr="009C4CEA">
        <w:t>omezit</w:t>
      </w:r>
      <w:r>
        <w:t xml:space="preserve"> </w:t>
      </w:r>
      <w:r w:rsidRPr="009C4CEA">
        <w:t>nebo</w:t>
      </w:r>
      <w:r>
        <w:t xml:space="preserve"> </w:t>
      </w:r>
      <w:r w:rsidRPr="009C4CEA">
        <w:t>přerušit</w:t>
      </w:r>
      <w:r>
        <w:t xml:space="preserve"> </w:t>
      </w:r>
      <w:r w:rsidRPr="009C4CEA">
        <w:t>v</w:t>
      </w:r>
      <w:r>
        <w:t xml:space="preserve"> </w:t>
      </w:r>
      <w:r w:rsidRPr="009C4CEA">
        <w:t>nezbytném</w:t>
      </w:r>
      <w:r>
        <w:t xml:space="preserve"> </w:t>
      </w:r>
      <w:r w:rsidRPr="009C4CEA">
        <w:t>rozsahu</w:t>
      </w:r>
      <w:r>
        <w:t xml:space="preserve"> </w:t>
      </w:r>
      <w:r w:rsidRPr="009C4CEA">
        <w:t>dodávku</w:t>
      </w:r>
      <w:r>
        <w:t xml:space="preserve"> </w:t>
      </w:r>
      <w:r w:rsidRPr="009C4CEA">
        <w:t>elektřiny</w:t>
      </w:r>
      <w:r>
        <w:t xml:space="preserve"> </w:t>
      </w:r>
      <w:r w:rsidRPr="009C4CEA">
        <w:t>účastníkům</w:t>
      </w:r>
      <w:r>
        <w:t xml:space="preserve"> </w:t>
      </w:r>
      <w:r w:rsidRPr="009C4CEA">
        <w:t>trhu</w:t>
      </w:r>
      <w:r>
        <w:t xml:space="preserve"> </w:t>
      </w:r>
      <w:r w:rsidRPr="009C4CEA">
        <w:t>s</w:t>
      </w:r>
      <w:r>
        <w:t xml:space="preserve"> </w:t>
      </w:r>
      <w:r w:rsidRPr="009C4CEA">
        <w:t>elektřinou</w:t>
      </w:r>
    </w:p>
    <w:p w14:paraId="73AABEA1" w14:textId="25A3D5D5" w:rsidR="00085B44" w:rsidRPr="009C4CEA" w:rsidRDefault="00085B44" w:rsidP="0010420C">
      <w:pPr>
        <w:pStyle w:val="Textparagrafu"/>
        <w:tabs>
          <w:tab w:val="left" w:pos="392"/>
          <w:tab w:val="left" w:pos="854"/>
        </w:tabs>
        <w:spacing w:before="0"/>
        <w:ind w:left="850" w:hanging="425"/>
      </w:pPr>
      <w:r w:rsidRPr="009C4CEA">
        <w:t>1.</w:t>
      </w:r>
      <w:r w:rsidR="004262BA">
        <w:tab/>
      </w:r>
      <w:r w:rsidRPr="009C4CEA">
        <w:t>při</w:t>
      </w:r>
      <w:r>
        <w:t xml:space="preserve"> </w:t>
      </w:r>
      <w:r w:rsidRPr="009C4CEA">
        <w:t>bezprostředním</w:t>
      </w:r>
      <w:r>
        <w:t xml:space="preserve"> </w:t>
      </w:r>
      <w:r w:rsidRPr="009C4CEA">
        <w:t>ohrožení</w:t>
      </w:r>
      <w:r>
        <w:t xml:space="preserve"> </w:t>
      </w:r>
      <w:r w:rsidRPr="009C4CEA">
        <w:t>života,</w:t>
      </w:r>
      <w:r>
        <w:t xml:space="preserve"> </w:t>
      </w:r>
      <w:r w:rsidRPr="009C4CEA">
        <w:t>zdraví</w:t>
      </w:r>
      <w:r>
        <w:t xml:space="preserve"> </w:t>
      </w:r>
      <w:r w:rsidRPr="009C4CEA">
        <w:t>nebo</w:t>
      </w:r>
      <w:r>
        <w:t xml:space="preserve"> </w:t>
      </w:r>
      <w:r w:rsidRPr="009C4CEA">
        <w:t>majetku</w:t>
      </w:r>
      <w:r>
        <w:t xml:space="preserve"> </w:t>
      </w:r>
      <w:r w:rsidRPr="009C4CEA">
        <w:t>osob</w:t>
      </w:r>
      <w:r>
        <w:t xml:space="preserve"> </w:t>
      </w:r>
      <w:r w:rsidRPr="009C4CEA">
        <w:t>a</w:t>
      </w:r>
      <w:r>
        <w:t xml:space="preserve"> </w:t>
      </w:r>
      <w:r w:rsidRPr="009C4CEA">
        <w:t>při</w:t>
      </w:r>
      <w:r>
        <w:t xml:space="preserve"> </w:t>
      </w:r>
      <w:r w:rsidRPr="009C4CEA">
        <w:t>likvidaci</w:t>
      </w:r>
      <w:r>
        <w:t xml:space="preserve"> </w:t>
      </w:r>
      <w:r w:rsidRPr="009C4CEA">
        <w:t>těchto</w:t>
      </w:r>
      <w:r>
        <w:t xml:space="preserve"> </w:t>
      </w:r>
      <w:r w:rsidRPr="009C4CEA">
        <w:t>stavů,</w:t>
      </w:r>
    </w:p>
    <w:p w14:paraId="78602DCE" w14:textId="093589A7" w:rsidR="00085B44" w:rsidRPr="009C4CEA" w:rsidRDefault="00085B44" w:rsidP="0010420C">
      <w:pPr>
        <w:pStyle w:val="Textparagrafu"/>
        <w:tabs>
          <w:tab w:val="left" w:pos="392"/>
          <w:tab w:val="left" w:pos="854"/>
        </w:tabs>
        <w:spacing w:before="0"/>
        <w:ind w:left="850" w:hanging="425"/>
      </w:pPr>
      <w:r w:rsidRPr="009C4CEA">
        <w:t>2.</w:t>
      </w:r>
      <w:r w:rsidR="004262BA">
        <w:tab/>
      </w:r>
      <w:r w:rsidRPr="009C4CEA">
        <w:t>při</w:t>
      </w:r>
      <w:r>
        <w:t xml:space="preserve"> </w:t>
      </w:r>
      <w:r w:rsidRPr="009C4CEA">
        <w:t>stavech</w:t>
      </w:r>
      <w:r>
        <w:t xml:space="preserve"> </w:t>
      </w:r>
      <w:r w:rsidRPr="009C4CEA">
        <w:t>nouze</w:t>
      </w:r>
      <w:r>
        <w:t xml:space="preserve"> </w:t>
      </w:r>
      <w:r w:rsidRPr="009C4CEA">
        <w:t>nebo</w:t>
      </w:r>
      <w:r>
        <w:t xml:space="preserve"> </w:t>
      </w:r>
      <w:r w:rsidRPr="009C4CEA">
        <w:t>při</w:t>
      </w:r>
      <w:r>
        <w:t xml:space="preserve"> </w:t>
      </w:r>
      <w:r w:rsidRPr="009C4CEA">
        <w:t>předcházení</w:t>
      </w:r>
      <w:r>
        <w:t xml:space="preserve"> </w:t>
      </w:r>
      <w:r w:rsidRPr="009C4CEA">
        <w:t>stavu</w:t>
      </w:r>
      <w:r>
        <w:t xml:space="preserve"> </w:t>
      </w:r>
      <w:r w:rsidRPr="009C4CEA">
        <w:t>nouze,</w:t>
      </w:r>
    </w:p>
    <w:p w14:paraId="1CCA39D7" w14:textId="0AFD8FB1" w:rsidR="00085B44" w:rsidRPr="009C4CEA" w:rsidRDefault="00085B44" w:rsidP="0010420C">
      <w:pPr>
        <w:pStyle w:val="Textparagrafu"/>
        <w:tabs>
          <w:tab w:val="left" w:pos="392"/>
          <w:tab w:val="left" w:pos="854"/>
        </w:tabs>
        <w:spacing w:before="0"/>
        <w:ind w:left="850" w:hanging="425"/>
      </w:pPr>
      <w:r w:rsidRPr="009C4CEA">
        <w:t>3.</w:t>
      </w:r>
      <w:r w:rsidR="004262BA">
        <w:tab/>
      </w:r>
      <w:r w:rsidRPr="009C4CEA">
        <w:t>při</w:t>
      </w:r>
      <w:r>
        <w:t xml:space="preserve"> </w:t>
      </w:r>
      <w:r w:rsidRPr="009C4CEA">
        <w:t>neoprávněné</w:t>
      </w:r>
      <w:r>
        <w:t xml:space="preserve"> </w:t>
      </w:r>
      <w:r w:rsidRPr="009C4CEA">
        <w:t>distribuci</w:t>
      </w:r>
      <w:r>
        <w:t xml:space="preserve"> </w:t>
      </w:r>
      <w:r w:rsidRPr="009C4CEA">
        <w:t>elektřiny</w:t>
      </w:r>
      <w:r>
        <w:t xml:space="preserve"> </w:t>
      </w:r>
      <w:r w:rsidRPr="009C4CEA">
        <w:t>podle</w:t>
      </w:r>
      <w:r>
        <w:t xml:space="preserve"> </w:t>
      </w:r>
      <w:r w:rsidRPr="009C4CEA">
        <w:t>§</w:t>
      </w:r>
      <w:r>
        <w:t xml:space="preserve"> </w:t>
      </w:r>
      <w:r w:rsidRPr="009C4CEA">
        <w:t>53,</w:t>
      </w:r>
    </w:p>
    <w:p w14:paraId="1519A647" w14:textId="51856913" w:rsidR="00085B44" w:rsidRPr="009C4CEA" w:rsidRDefault="00085B44" w:rsidP="0010420C">
      <w:pPr>
        <w:pStyle w:val="Textparagrafu"/>
        <w:tabs>
          <w:tab w:val="left" w:pos="392"/>
          <w:tab w:val="left" w:pos="854"/>
        </w:tabs>
        <w:spacing w:before="0"/>
        <w:ind w:left="850" w:hanging="425"/>
      </w:pPr>
      <w:r w:rsidRPr="009C4CEA">
        <w:t>4.</w:t>
      </w:r>
      <w:r w:rsidR="004262BA">
        <w:tab/>
      </w:r>
      <w:r w:rsidRPr="009C4CEA">
        <w:t>při</w:t>
      </w:r>
      <w:r>
        <w:t xml:space="preserve"> </w:t>
      </w:r>
      <w:r w:rsidRPr="009C4CEA">
        <w:t>neoprávněném</w:t>
      </w:r>
      <w:r>
        <w:t xml:space="preserve"> </w:t>
      </w:r>
      <w:r w:rsidRPr="009C4CEA">
        <w:t>odběru</w:t>
      </w:r>
      <w:r>
        <w:t xml:space="preserve"> </w:t>
      </w:r>
      <w:r w:rsidRPr="009C4CEA">
        <w:t>elektřiny</w:t>
      </w:r>
      <w:r>
        <w:t xml:space="preserve"> </w:t>
      </w:r>
      <w:r w:rsidRPr="009C4CEA">
        <w:t>podle</w:t>
      </w:r>
      <w:r>
        <w:t xml:space="preserve"> </w:t>
      </w:r>
      <w:r w:rsidRPr="009C4CEA">
        <w:t>§</w:t>
      </w:r>
      <w:r>
        <w:t xml:space="preserve"> </w:t>
      </w:r>
      <w:r w:rsidRPr="009C4CEA">
        <w:t>51,</w:t>
      </w:r>
    </w:p>
    <w:p w14:paraId="140CBBFA" w14:textId="1B680761" w:rsidR="00085B44" w:rsidRPr="009C4CEA" w:rsidRDefault="00085B44" w:rsidP="0010420C">
      <w:pPr>
        <w:pStyle w:val="Textparagrafu"/>
        <w:tabs>
          <w:tab w:val="left" w:pos="392"/>
          <w:tab w:val="left" w:pos="854"/>
        </w:tabs>
        <w:spacing w:before="0"/>
        <w:ind w:left="850" w:hanging="425"/>
      </w:pPr>
      <w:r w:rsidRPr="009C4CEA">
        <w:t>5.</w:t>
      </w:r>
      <w:r w:rsidR="004262BA">
        <w:tab/>
      </w:r>
      <w:r w:rsidRPr="009C4CEA">
        <w:t>při</w:t>
      </w:r>
      <w:r>
        <w:t xml:space="preserve"> </w:t>
      </w:r>
      <w:r w:rsidRPr="009C4CEA">
        <w:t>provádění</w:t>
      </w:r>
      <w:r>
        <w:t xml:space="preserve"> </w:t>
      </w:r>
      <w:r w:rsidRPr="009C4CEA">
        <w:t>plánovaných</w:t>
      </w:r>
      <w:r>
        <w:t xml:space="preserve"> </w:t>
      </w:r>
      <w:r w:rsidRPr="009C4CEA">
        <w:t>prací</w:t>
      </w:r>
      <w:r>
        <w:t xml:space="preserve"> </w:t>
      </w:r>
      <w:r w:rsidRPr="009C4CEA">
        <w:t>na</w:t>
      </w:r>
      <w:r>
        <w:t xml:space="preserve"> </w:t>
      </w:r>
      <w:r w:rsidRPr="009C4CEA">
        <w:t>zařízení</w:t>
      </w:r>
      <w:r>
        <w:t xml:space="preserve"> </w:t>
      </w:r>
      <w:r w:rsidRPr="009C4CEA">
        <w:t>distribuční</w:t>
      </w:r>
      <w:r>
        <w:t xml:space="preserve"> </w:t>
      </w:r>
      <w:r w:rsidRPr="009C4CEA">
        <w:t>soustavy</w:t>
      </w:r>
      <w:r>
        <w:t xml:space="preserve"> </w:t>
      </w:r>
      <w:r w:rsidRPr="009C4CEA">
        <w:t>nebo</w:t>
      </w:r>
      <w:r>
        <w:t xml:space="preserve"> </w:t>
      </w:r>
      <w:r w:rsidRPr="009C4CEA">
        <w:t>v</w:t>
      </w:r>
      <w:r>
        <w:t xml:space="preserve"> </w:t>
      </w:r>
      <w:r w:rsidRPr="009C4CEA">
        <w:t>jeho</w:t>
      </w:r>
      <w:r>
        <w:t xml:space="preserve"> </w:t>
      </w:r>
      <w:r w:rsidRPr="009C4CEA">
        <w:t>ochranném</w:t>
      </w:r>
      <w:r>
        <w:t xml:space="preserve"> </w:t>
      </w:r>
      <w:r w:rsidRPr="009C4CEA">
        <w:t>pásmu,</w:t>
      </w:r>
      <w:r>
        <w:t xml:space="preserve"> </w:t>
      </w:r>
      <w:r w:rsidRPr="009C4CEA">
        <w:t>zejména</w:t>
      </w:r>
      <w:r>
        <w:t xml:space="preserve"> </w:t>
      </w:r>
      <w:r w:rsidRPr="009C4CEA">
        <w:t>oprav,</w:t>
      </w:r>
      <w:r>
        <w:t xml:space="preserve"> </w:t>
      </w:r>
      <w:r w:rsidRPr="009C4CEA">
        <w:t>rekonstrukcí,</w:t>
      </w:r>
      <w:r>
        <w:t xml:space="preserve"> </w:t>
      </w:r>
      <w:r w:rsidRPr="009C4CEA">
        <w:t>údržby</w:t>
      </w:r>
      <w:r>
        <w:t xml:space="preserve"> </w:t>
      </w:r>
      <w:r w:rsidRPr="009C4CEA">
        <w:t>a</w:t>
      </w:r>
      <w:r>
        <w:t xml:space="preserve"> </w:t>
      </w:r>
      <w:r w:rsidRPr="009C4CEA">
        <w:t>revizí,</w:t>
      </w:r>
    </w:p>
    <w:p w14:paraId="4794128D" w14:textId="0C03CFAE" w:rsidR="00085B44" w:rsidRPr="009C4CEA" w:rsidRDefault="00085B44" w:rsidP="0010420C">
      <w:pPr>
        <w:pStyle w:val="Textparagrafu"/>
        <w:tabs>
          <w:tab w:val="left" w:pos="392"/>
          <w:tab w:val="left" w:pos="854"/>
        </w:tabs>
        <w:spacing w:before="0"/>
        <w:ind w:left="850" w:hanging="425"/>
      </w:pPr>
      <w:r w:rsidRPr="009C4CEA">
        <w:lastRenderedPageBreak/>
        <w:t>6.</w:t>
      </w:r>
      <w:r>
        <w:tab/>
      </w:r>
      <w:r w:rsidRPr="009C4CEA">
        <w:t>při</w:t>
      </w:r>
      <w:r>
        <w:t xml:space="preserve"> </w:t>
      </w:r>
      <w:r w:rsidRPr="009C4CEA">
        <w:t>vzniku</w:t>
      </w:r>
      <w:r>
        <w:t xml:space="preserve"> </w:t>
      </w:r>
      <w:r w:rsidRPr="009C4CEA">
        <w:t>a</w:t>
      </w:r>
      <w:r>
        <w:t xml:space="preserve"> </w:t>
      </w:r>
      <w:r w:rsidRPr="009C4CEA">
        <w:t>odstraňování</w:t>
      </w:r>
      <w:r>
        <w:t xml:space="preserve"> </w:t>
      </w:r>
      <w:r w:rsidRPr="009C4CEA">
        <w:t>poruch</w:t>
      </w:r>
      <w:r>
        <w:t xml:space="preserve"> </w:t>
      </w:r>
      <w:r w:rsidRPr="009C4CEA">
        <w:t>na</w:t>
      </w:r>
      <w:r>
        <w:t xml:space="preserve"> </w:t>
      </w:r>
      <w:r w:rsidRPr="009C4CEA">
        <w:t>zařízeních</w:t>
      </w:r>
      <w:r>
        <w:t xml:space="preserve"> </w:t>
      </w:r>
      <w:r w:rsidRPr="009C4CEA">
        <w:t>distribuční</w:t>
      </w:r>
      <w:r>
        <w:t xml:space="preserve"> </w:t>
      </w:r>
      <w:r w:rsidRPr="009C4CEA">
        <w:t>soustavy</w:t>
      </w:r>
      <w:r>
        <w:t xml:space="preserve"> </w:t>
      </w:r>
      <w:r w:rsidRPr="009C4CEA">
        <w:t>nebo</w:t>
      </w:r>
      <w:r>
        <w:t xml:space="preserve"> </w:t>
      </w:r>
      <w:r w:rsidRPr="009C4CEA">
        <w:t>přenosové</w:t>
      </w:r>
      <w:r>
        <w:t xml:space="preserve"> </w:t>
      </w:r>
      <w:r w:rsidRPr="009C4CEA">
        <w:t>soustavy,</w:t>
      </w:r>
    </w:p>
    <w:p w14:paraId="169895EC" w14:textId="6871DD9E" w:rsidR="00085B44" w:rsidRPr="009C4CEA" w:rsidRDefault="00085B44" w:rsidP="0010420C">
      <w:pPr>
        <w:pStyle w:val="Textparagrafu"/>
        <w:tabs>
          <w:tab w:val="left" w:pos="392"/>
          <w:tab w:val="left" w:pos="854"/>
        </w:tabs>
        <w:spacing w:before="0"/>
        <w:ind w:left="850" w:hanging="425"/>
      </w:pPr>
      <w:r w:rsidRPr="009C4CEA">
        <w:t>7.</w:t>
      </w:r>
      <w:r>
        <w:tab/>
      </w:r>
      <w:r w:rsidRPr="009C4CEA">
        <w:t>při</w:t>
      </w:r>
      <w:r>
        <w:t xml:space="preserve"> </w:t>
      </w:r>
      <w:r w:rsidRPr="009C4CEA">
        <w:t>odběru</w:t>
      </w:r>
      <w:r>
        <w:t xml:space="preserve"> </w:t>
      </w:r>
      <w:r w:rsidRPr="009C4CEA">
        <w:t>elektřiny</w:t>
      </w:r>
      <w:r>
        <w:t xml:space="preserve"> </w:t>
      </w:r>
      <w:r w:rsidRPr="009C4CEA">
        <w:t>zařízeními,</w:t>
      </w:r>
      <w:r>
        <w:t xml:space="preserve"> </w:t>
      </w:r>
      <w:r w:rsidRPr="009C4CEA">
        <w:t>která</w:t>
      </w:r>
      <w:r>
        <w:t xml:space="preserve"> </w:t>
      </w:r>
      <w:r w:rsidRPr="009C4CEA">
        <w:t>ohrožují</w:t>
      </w:r>
      <w:r>
        <w:t xml:space="preserve"> </w:t>
      </w:r>
      <w:r w:rsidRPr="009C4CEA">
        <w:t>život,</w:t>
      </w:r>
      <w:r>
        <w:t xml:space="preserve"> </w:t>
      </w:r>
      <w:r w:rsidRPr="009C4CEA">
        <w:t>zdraví</w:t>
      </w:r>
      <w:r>
        <w:t xml:space="preserve"> </w:t>
      </w:r>
      <w:r w:rsidRPr="009C4CEA">
        <w:t>nebo</w:t>
      </w:r>
      <w:r>
        <w:t xml:space="preserve"> </w:t>
      </w:r>
      <w:r w:rsidRPr="009C4CEA">
        <w:t>majetek</w:t>
      </w:r>
      <w:r>
        <w:t xml:space="preserve"> </w:t>
      </w:r>
      <w:r w:rsidRPr="009C4CEA">
        <w:t>osob,</w:t>
      </w:r>
    </w:p>
    <w:p w14:paraId="76BC4B62" w14:textId="5D4E382B" w:rsidR="00085B44" w:rsidRPr="009C4CEA" w:rsidRDefault="00085B44" w:rsidP="0010420C">
      <w:pPr>
        <w:pStyle w:val="Textparagrafu"/>
        <w:tabs>
          <w:tab w:val="left" w:pos="392"/>
          <w:tab w:val="left" w:pos="854"/>
        </w:tabs>
        <w:spacing w:before="0"/>
        <w:ind w:left="850" w:hanging="425"/>
      </w:pPr>
      <w:r w:rsidRPr="009C4CEA">
        <w:t>8.</w:t>
      </w:r>
      <w:r>
        <w:tab/>
      </w:r>
      <w:r w:rsidRPr="009C4CEA">
        <w:t>při</w:t>
      </w:r>
      <w:r>
        <w:t xml:space="preserve"> </w:t>
      </w:r>
      <w:r w:rsidRPr="009C4CEA">
        <w:t>odběru</w:t>
      </w:r>
      <w:r>
        <w:t xml:space="preserve"> </w:t>
      </w:r>
      <w:r w:rsidRPr="009C4CEA">
        <w:t>elektřiny</w:t>
      </w:r>
      <w:r>
        <w:t xml:space="preserve"> </w:t>
      </w:r>
      <w:r w:rsidRPr="009C4CEA">
        <w:t>zařízeními,</w:t>
      </w:r>
      <w:r>
        <w:t xml:space="preserve"> </w:t>
      </w:r>
      <w:r w:rsidRPr="009C4CEA">
        <w:t>která</w:t>
      </w:r>
      <w:r>
        <w:t xml:space="preserve"> </w:t>
      </w:r>
      <w:r w:rsidRPr="009C4CEA">
        <w:t>ovlivňují</w:t>
      </w:r>
      <w:r>
        <w:t xml:space="preserve"> </w:t>
      </w:r>
      <w:r w:rsidRPr="009C4CEA">
        <w:t>kvalitu</w:t>
      </w:r>
      <w:r>
        <w:t xml:space="preserve"> </w:t>
      </w:r>
      <w:r w:rsidRPr="009C4CEA">
        <w:t>elektřiny</w:t>
      </w:r>
      <w:r>
        <w:t xml:space="preserve"> </w:t>
      </w:r>
      <w:r w:rsidRPr="009C4CEA">
        <w:t>v</w:t>
      </w:r>
      <w:r>
        <w:t xml:space="preserve"> </w:t>
      </w:r>
      <w:r w:rsidRPr="009C4CEA">
        <w:t>neprospěch</w:t>
      </w:r>
      <w:r>
        <w:t xml:space="preserve"> </w:t>
      </w:r>
      <w:r w:rsidRPr="009C4CEA">
        <w:t>ostatních</w:t>
      </w:r>
      <w:r>
        <w:t xml:space="preserve"> </w:t>
      </w:r>
      <w:r w:rsidRPr="009C4CEA">
        <w:t>účastníků</w:t>
      </w:r>
      <w:r>
        <w:t xml:space="preserve"> </w:t>
      </w:r>
      <w:r w:rsidRPr="009C4CEA">
        <w:t>trhu</w:t>
      </w:r>
      <w:r>
        <w:t xml:space="preserve"> </w:t>
      </w:r>
      <w:r w:rsidRPr="009C4CEA">
        <w:t>s</w:t>
      </w:r>
      <w:r>
        <w:t xml:space="preserve"> </w:t>
      </w:r>
      <w:r w:rsidRPr="009C4CEA">
        <w:t>elektřinou</w:t>
      </w:r>
      <w:r>
        <w:t xml:space="preserve"> </w:t>
      </w:r>
      <w:r w:rsidRPr="009C4CEA">
        <w:t>a</w:t>
      </w:r>
      <w:r>
        <w:t xml:space="preserve"> </w:t>
      </w:r>
      <w:r w:rsidRPr="009C4CEA">
        <w:t>zákazník</w:t>
      </w:r>
      <w:r>
        <w:t xml:space="preserve"> </w:t>
      </w:r>
      <w:r w:rsidRPr="009C4CEA">
        <w:t>nevybavil</w:t>
      </w:r>
      <w:r>
        <w:t xml:space="preserve"> </w:t>
      </w:r>
      <w:r w:rsidRPr="009C4CEA">
        <w:t>tato</w:t>
      </w:r>
      <w:r>
        <w:t xml:space="preserve"> </w:t>
      </w:r>
      <w:r w:rsidRPr="009C4CEA">
        <w:t>odběrná</w:t>
      </w:r>
      <w:r>
        <w:t xml:space="preserve"> </w:t>
      </w:r>
      <w:r w:rsidRPr="009C4CEA">
        <w:t>zařízení</w:t>
      </w:r>
      <w:r>
        <w:t xml:space="preserve"> </w:t>
      </w:r>
      <w:r w:rsidRPr="009C4CEA">
        <w:t>dostupnými</w:t>
      </w:r>
      <w:r>
        <w:t xml:space="preserve"> </w:t>
      </w:r>
      <w:r w:rsidRPr="009C4CEA">
        <w:t>technickými</w:t>
      </w:r>
      <w:r>
        <w:t xml:space="preserve"> </w:t>
      </w:r>
      <w:r w:rsidRPr="009C4CEA">
        <w:t>prostředky</w:t>
      </w:r>
      <w:r>
        <w:t xml:space="preserve"> </w:t>
      </w:r>
      <w:r w:rsidRPr="009C4CEA">
        <w:t>k</w:t>
      </w:r>
      <w:r>
        <w:t xml:space="preserve"> </w:t>
      </w:r>
      <w:r w:rsidRPr="009C4CEA">
        <w:t>omezení</w:t>
      </w:r>
      <w:r>
        <w:t xml:space="preserve"> </w:t>
      </w:r>
      <w:r w:rsidRPr="009C4CEA">
        <w:t>těchto</w:t>
      </w:r>
      <w:r>
        <w:t xml:space="preserve"> </w:t>
      </w:r>
      <w:r w:rsidRPr="009C4CEA">
        <w:t>vlivů,</w:t>
      </w:r>
      <w:r>
        <w:t xml:space="preserve"> </w:t>
      </w:r>
      <w:r w:rsidRPr="009C4CEA">
        <w:t>nebo</w:t>
      </w:r>
    </w:p>
    <w:p w14:paraId="30A4E7D6" w14:textId="1C1B0878" w:rsidR="00085B44" w:rsidRDefault="00085B44" w:rsidP="0010420C">
      <w:pPr>
        <w:pStyle w:val="Textparagrafu"/>
        <w:tabs>
          <w:tab w:val="left" w:pos="392"/>
          <w:tab w:val="left" w:pos="854"/>
        </w:tabs>
        <w:spacing w:before="0"/>
        <w:ind w:left="850" w:hanging="425"/>
      </w:pPr>
      <w:r w:rsidRPr="009C4CEA">
        <w:t>9.</w:t>
      </w:r>
      <w:r>
        <w:tab/>
      </w:r>
      <w:r w:rsidRPr="009C4CEA">
        <w:t>při</w:t>
      </w:r>
      <w:r>
        <w:t xml:space="preserve"> </w:t>
      </w:r>
      <w:r w:rsidRPr="009C4CEA">
        <w:t>odběru</w:t>
      </w:r>
      <w:r>
        <w:t xml:space="preserve"> </w:t>
      </w:r>
      <w:r w:rsidRPr="009C4CEA">
        <w:t>elektřiny,</w:t>
      </w:r>
      <w:r>
        <w:t xml:space="preserve"> </w:t>
      </w:r>
      <w:r w:rsidRPr="009C4CEA">
        <w:t>kdy</w:t>
      </w:r>
      <w:r>
        <w:t xml:space="preserve"> </w:t>
      </w:r>
      <w:r w:rsidRPr="009C4CEA">
        <w:t>zákazník</w:t>
      </w:r>
      <w:r>
        <w:t xml:space="preserve"> </w:t>
      </w:r>
      <w:r w:rsidRPr="009C4CEA">
        <w:t>opakovaně</w:t>
      </w:r>
      <w:r>
        <w:t xml:space="preserve"> </w:t>
      </w:r>
      <w:r w:rsidRPr="009C4CEA">
        <w:t>bez</w:t>
      </w:r>
      <w:r>
        <w:t xml:space="preserve"> </w:t>
      </w:r>
      <w:r w:rsidRPr="009C4CEA">
        <w:t>vážného</w:t>
      </w:r>
      <w:r>
        <w:t xml:space="preserve"> </w:t>
      </w:r>
      <w:r w:rsidRPr="009C4CEA">
        <w:t>důvodu</w:t>
      </w:r>
      <w:r>
        <w:t xml:space="preserve"> </w:t>
      </w:r>
      <w:r w:rsidRPr="009C4CEA">
        <w:t>neumožnil</w:t>
      </w:r>
      <w:r>
        <w:t xml:space="preserve"> </w:t>
      </w:r>
      <w:r w:rsidRPr="009C4CEA">
        <w:t>přístup</w:t>
      </w:r>
      <w:r>
        <w:t xml:space="preserve"> </w:t>
      </w:r>
      <w:r w:rsidRPr="009C4CEA">
        <w:t>k</w:t>
      </w:r>
      <w:r>
        <w:t xml:space="preserve"> </w:t>
      </w:r>
      <w:r w:rsidRPr="009C4CEA">
        <w:t>měřicímu</w:t>
      </w:r>
      <w:r>
        <w:t xml:space="preserve"> </w:t>
      </w:r>
      <w:r w:rsidRPr="009C4CEA">
        <w:t>zařízení</w:t>
      </w:r>
      <w:r>
        <w:t xml:space="preserve"> </w:t>
      </w:r>
      <w:r w:rsidRPr="009C4CEA">
        <w:t>nebo</w:t>
      </w:r>
      <w:r>
        <w:t xml:space="preserve"> </w:t>
      </w:r>
      <w:r w:rsidRPr="009C4CEA">
        <w:t>neměřeným</w:t>
      </w:r>
      <w:r>
        <w:t xml:space="preserve"> </w:t>
      </w:r>
      <w:r w:rsidRPr="009C4CEA">
        <w:t>částem</w:t>
      </w:r>
      <w:r>
        <w:t xml:space="preserve"> </w:t>
      </w:r>
      <w:r w:rsidRPr="009C4CEA">
        <w:t>odběrného</w:t>
      </w:r>
      <w:r>
        <w:t xml:space="preserve"> </w:t>
      </w:r>
      <w:r w:rsidRPr="009C4CEA">
        <w:t>elektrického</w:t>
      </w:r>
      <w:r>
        <w:t xml:space="preserve"> </w:t>
      </w:r>
      <w:r w:rsidRPr="009C4CEA">
        <w:t>zařízení,</w:t>
      </w:r>
      <w:r>
        <w:t xml:space="preserve"> </w:t>
      </w:r>
      <w:r w:rsidRPr="009C4CEA">
        <w:t>přestože</w:t>
      </w:r>
      <w:r>
        <w:t xml:space="preserve"> </w:t>
      </w:r>
      <w:r w:rsidRPr="009C4CEA">
        <w:t>byl</w:t>
      </w:r>
      <w:r>
        <w:t xml:space="preserve"> </w:t>
      </w:r>
      <w:r w:rsidRPr="009C4CEA">
        <w:t>k</w:t>
      </w:r>
      <w:r>
        <w:t xml:space="preserve"> </w:t>
      </w:r>
      <w:r w:rsidRPr="009C4CEA">
        <w:t>umožnění</w:t>
      </w:r>
      <w:r>
        <w:t xml:space="preserve"> </w:t>
      </w:r>
      <w:r w:rsidRPr="009C4CEA">
        <w:t>přístupu</w:t>
      </w:r>
      <w:r>
        <w:t xml:space="preserve"> </w:t>
      </w:r>
      <w:r w:rsidRPr="009C4CEA">
        <w:t>za</w:t>
      </w:r>
      <w:r>
        <w:t xml:space="preserve"> </w:t>
      </w:r>
      <w:r w:rsidRPr="009C4CEA">
        <w:t>účelem</w:t>
      </w:r>
      <w:r>
        <w:t xml:space="preserve"> </w:t>
      </w:r>
      <w:r w:rsidRPr="009C4CEA">
        <w:t>provedení</w:t>
      </w:r>
      <w:r>
        <w:t xml:space="preserve"> </w:t>
      </w:r>
      <w:r w:rsidRPr="009C4CEA">
        <w:t>kontroly,</w:t>
      </w:r>
      <w:r>
        <w:t xml:space="preserve"> </w:t>
      </w:r>
      <w:r w:rsidRPr="009C4CEA">
        <w:t>odečtu,</w:t>
      </w:r>
      <w:r>
        <w:t xml:space="preserve"> </w:t>
      </w:r>
      <w:r w:rsidRPr="009C4CEA">
        <w:t>údržby,</w:t>
      </w:r>
      <w:r>
        <w:t xml:space="preserve"> </w:t>
      </w:r>
      <w:r w:rsidRPr="009C4CEA">
        <w:t>výměny</w:t>
      </w:r>
      <w:r>
        <w:t xml:space="preserve"> </w:t>
      </w:r>
      <w:r w:rsidRPr="009C4CEA">
        <w:t>či</w:t>
      </w:r>
      <w:r>
        <w:t xml:space="preserve"> </w:t>
      </w:r>
      <w:r w:rsidRPr="009C4CEA">
        <w:t>odebrání</w:t>
      </w:r>
      <w:r>
        <w:t xml:space="preserve"> </w:t>
      </w:r>
      <w:r w:rsidRPr="009C4CEA">
        <w:t>měřicího</w:t>
      </w:r>
      <w:r>
        <w:t xml:space="preserve"> </w:t>
      </w:r>
      <w:r w:rsidRPr="009C4CEA">
        <w:t>zařízení</w:t>
      </w:r>
      <w:r>
        <w:t xml:space="preserve"> </w:t>
      </w:r>
      <w:r w:rsidRPr="009C4CEA">
        <w:t>alespoň</w:t>
      </w:r>
      <w:r>
        <w:t xml:space="preserve"> </w:t>
      </w:r>
      <w:r w:rsidRPr="009C4CEA">
        <w:t>15</w:t>
      </w:r>
      <w:r>
        <w:t xml:space="preserve"> </w:t>
      </w:r>
      <w:r w:rsidRPr="009C4CEA">
        <w:t>dnů</w:t>
      </w:r>
      <w:r>
        <w:t xml:space="preserve"> </w:t>
      </w:r>
      <w:r w:rsidRPr="009C4CEA">
        <w:t>předem</w:t>
      </w:r>
      <w:r>
        <w:t xml:space="preserve"> </w:t>
      </w:r>
      <w:r w:rsidRPr="009C4CEA">
        <w:t>písemně</w:t>
      </w:r>
      <w:r>
        <w:t xml:space="preserve"> </w:t>
      </w:r>
      <w:r w:rsidRPr="009C4CEA">
        <w:t>nebo</w:t>
      </w:r>
      <w:r>
        <w:t xml:space="preserve"> </w:t>
      </w:r>
      <w:r w:rsidRPr="009C4CEA">
        <w:t>jiným</w:t>
      </w:r>
      <w:r>
        <w:t xml:space="preserve"> </w:t>
      </w:r>
      <w:r w:rsidRPr="009C4CEA">
        <w:t>prokazatelným</w:t>
      </w:r>
      <w:r>
        <w:t xml:space="preserve"> </w:t>
      </w:r>
      <w:r w:rsidRPr="009C4CEA">
        <w:t>způsobem</w:t>
      </w:r>
      <w:r>
        <w:t xml:space="preserve"> </w:t>
      </w:r>
      <w:r w:rsidRPr="009C4CEA">
        <w:t>vyzván.</w:t>
      </w:r>
    </w:p>
    <w:p w14:paraId="415ED2AF" w14:textId="70AC91F1" w:rsidR="00085B44" w:rsidRPr="009C4CEA" w:rsidRDefault="00085B44" w:rsidP="002E6AEA">
      <w:pPr>
        <w:pStyle w:val="Textparagrafu"/>
        <w:tabs>
          <w:tab w:val="left" w:pos="392"/>
          <w:tab w:val="left" w:pos="854"/>
        </w:tabs>
        <w:spacing w:before="0"/>
        <w:ind w:left="426" w:hanging="426"/>
      </w:pPr>
      <w:r w:rsidRPr="009C4CEA">
        <w:t>d)</w:t>
      </w:r>
      <w:r>
        <w:tab/>
      </w:r>
      <w:r w:rsidRPr="009C4CEA">
        <w:t>změnit</w:t>
      </w:r>
      <w:r>
        <w:t xml:space="preserve"> </w:t>
      </w:r>
      <w:r w:rsidRPr="009C4CEA">
        <w:t>nebo</w:t>
      </w:r>
      <w:r>
        <w:t xml:space="preserve"> </w:t>
      </w:r>
      <w:r w:rsidRPr="009C4CEA">
        <w:t>přerušit</w:t>
      </w:r>
      <w:r>
        <w:t xml:space="preserve"> </w:t>
      </w:r>
      <w:r w:rsidRPr="009C4CEA">
        <w:t>v</w:t>
      </w:r>
      <w:r>
        <w:t xml:space="preserve"> </w:t>
      </w:r>
      <w:r w:rsidRPr="009C4CEA">
        <w:t>nezbytném</w:t>
      </w:r>
      <w:r>
        <w:t xml:space="preserve"> </w:t>
      </w:r>
      <w:r w:rsidRPr="009C4CEA">
        <w:t>rozsahu</w:t>
      </w:r>
      <w:r>
        <w:t xml:space="preserve"> </w:t>
      </w:r>
      <w:r w:rsidRPr="009C4CEA">
        <w:t>dodávku</w:t>
      </w:r>
      <w:r>
        <w:t xml:space="preserve"> </w:t>
      </w:r>
      <w:r w:rsidRPr="009C4CEA">
        <w:t>elektřiny</w:t>
      </w:r>
      <w:r>
        <w:t xml:space="preserve"> </w:t>
      </w:r>
      <w:r w:rsidRPr="009C4CEA">
        <w:t>z</w:t>
      </w:r>
      <w:r>
        <w:t xml:space="preserve"> </w:t>
      </w:r>
      <w:r w:rsidRPr="009C4CEA">
        <w:t>výroben</w:t>
      </w:r>
      <w:r>
        <w:t xml:space="preserve"> </w:t>
      </w:r>
      <w:r w:rsidRPr="009C4CEA">
        <w:t>a</w:t>
      </w:r>
      <w:r>
        <w:t xml:space="preserve"> </w:t>
      </w:r>
      <w:r w:rsidRPr="009C4CEA">
        <w:t>dovoz</w:t>
      </w:r>
      <w:r>
        <w:t xml:space="preserve"> </w:t>
      </w:r>
      <w:r w:rsidRPr="009C4CEA">
        <w:t>elektřiny</w:t>
      </w:r>
      <w:r>
        <w:t xml:space="preserve"> </w:t>
      </w:r>
      <w:r w:rsidRPr="009C4CEA">
        <w:t>ze</w:t>
      </w:r>
      <w:r>
        <w:t xml:space="preserve"> </w:t>
      </w:r>
      <w:r w:rsidRPr="009C4CEA">
        <w:t>zahraničí</w:t>
      </w:r>
      <w:r>
        <w:t xml:space="preserve"> </w:t>
      </w:r>
      <w:r w:rsidRPr="009C4CEA">
        <w:t>nebo</w:t>
      </w:r>
      <w:r>
        <w:t xml:space="preserve"> </w:t>
      </w:r>
      <w:r w:rsidRPr="009C4CEA">
        <w:t>vývoz</w:t>
      </w:r>
      <w:r>
        <w:t xml:space="preserve"> </w:t>
      </w:r>
      <w:r w:rsidRPr="009C4CEA">
        <w:t>elektřiny</w:t>
      </w:r>
      <w:r>
        <w:t xml:space="preserve"> </w:t>
      </w:r>
      <w:r w:rsidRPr="009C4CEA">
        <w:t>do</w:t>
      </w:r>
      <w:r>
        <w:t xml:space="preserve"> </w:t>
      </w:r>
      <w:r w:rsidRPr="009C4CEA">
        <w:t>zahraničí</w:t>
      </w:r>
      <w:r>
        <w:t xml:space="preserve"> </w:t>
      </w:r>
      <w:r w:rsidRPr="009C4CEA">
        <w:t>s</w:t>
      </w:r>
      <w:r>
        <w:t xml:space="preserve"> </w:t>
      </w:r>
      <w:r w:rsidRPr="009C4CEA">
        <w:t>ohledem</w:t>
      </w:r>
      <w:r>
        <w:t xml:space="preserve"> </w:t>
      </w:r>
      <w:r w:rsidRPr="009C4CEA">
        <w:t>na</w:t>
      </w:r>
      <w:r>
        <w:t xml:space="preserve"> </w:t>
      </w:r>
      <w:r w:rsidRPr="009C4CEA">
        <w:t>spolehlivý</w:t>
      </w:r>
      <w:r>
        <w:t xml:space="preserve"> </w:t>
      </w:r>
      <w:r w:rsidRPr="009C4CEA">
        <w:t>provoz</w:t>
      </w:r>
      <w:r>
        <w:t xml:space="preserve"> </w:t>
      </w:r>
      <w:r w:rsidRPr="009C4CEA">
        <w:t>distribuční</w:t>
      </w:r>
      <w:r>
        <w:t xml:space="preserve"> </w:t>
      </w:r>
      <w:r w:rsidRPr="009C4CEA">
        <w:t>soustavy</w:t>
      </w:r>
    </w:p>
    <w:p w14:paraId="6DC56A86" w14:textId="0D621332" w:rsidR="00085B44" w:rsidRPr="009C4CEA" w:rsidRDefault="00085B44" w:rsidP="0010420C">
      <w:pPr>
        <w:pStyle w:val="Textparagrafu"/>
        <w:tabs>
          <w:tab w:val="left" w:pos="392"/>
          <w:tab w:val="left" w:pos="854"/>
        </w:tabs>
        <w:spacing w:before="0"/>
        <w:ind w:left="850" w:hanging="425"/>
      </w:pPr>
      <w:r w:rsidRPr="009C4CEA">
        <w:t>1.</w:t>
      </w:r>
      <w:r w:rsidR="004262BA">
        <w:tab/>
      </w:r>
      <w:r w:rsidRPr="009C4CEA">
        <w:t>při</w:t>
      </w:r>
      <w:r>
        <w:t xml:space="preserve"> </w:t>
      </w:r>
      <w:r w:rsidRPr="009C4CEA">
        <w:t>bezprostředním</w:t>
      </w:r>
      <w:r>
        <w:t xml:space="preserve"> </w:t>
      </w:r>
      <w:r w:rsidRPr="009C4CEA">
        <w:t>ohrožení</w:t>
      </w:r>
      <w:r>
        <w:t xml:space="preserve"> </w:t>
      </w:r>
      <w:r w:rsidRPr="009C4CEA">
        <w:t>života,</w:t>
      </w:r>
      <w:r>
        <w:t xml:space="preserve"> </w:t>
      </w:r>
      <w:r w:rsidRPr="009C4CEA">
        <w:t>zdraví</w:t>
      </w:r>
      <w:r>
        <w:t xml:space="preserve"> </w:t>
      </w:r>
      <w:r w:rsidRPr="009C4CEA">
        <w:t>nebo</w:t>
      </w:r>
      <w:r>
        <w:t xml:space="preserve"> </w:t>
      </w:r>
      <w:r w:rsidRPr="009C4CEA">
        <w:t>majetku</w:t>
      </w:r>
      <w:r>
        <w:t xml:space="preserve"> </w:t>
      </w:r>
      <w:r w:rsidRPr="009C4CEA">
        <w:t>osob</w:t>
      </w:r>
      <w:r>
        <w:t xml:space="preserve"> </w:t>
      </w:r>
      <w:r w:rsidRPr="009C4CEA">
        <w:t>a</w:t>
      </w:r>
      <w:r>
        <w:t xml:space="preserve"> </w:t>
      </w:r>
      <w:r w:rsidRPr="009C4CEA">
        <w:t>při</w:t>
      </w:r>
      <w:r>
        <w:t xml:space="preserve"> </w:t>
      </w:r>
      <w:r w:rsidRPr="009C4CEA">
        <w:t>likvidaci</w:t>
      </w:r>
      <w:r>
        <w:t xml:space="preserve"> </w:t>
      </w:r>
      <w:r w:rsidRPr="009C4CEA">
        <w:t>těchto</w:t>
      </w:r>
      <w:r>
        <w:t xml:space="preserve"> </w:t>
      </w:r>
      <w:r w:rsidRPr="009C4CEA">
        <w:t>stavů,</w:t>
      </w:r>
    </w:p>
    <w:p w14:paraId="4994868C" w14:textId="09431C3F" w:rsidR="00085B44" w:rsidRPr="009C4CEA" w:rsidRDefault="00085B44" w:rsidP="0010420C">
      <w:pPr>
        <w:pStyle w:val="Textparagrafu"/>
        <w:tabs>
          <w:tab w:val="left" w:pos="392"/>
          <w:tab w:val="left" w:pos="854"/>
        </w:tabs>
        <w:spacing w:before="0"/>
        <w:ind w:left="850" w:hanging="425"/>
      </w:pPr>
      <w:r w:rsidRPr="009C4CEA">
        <w:t>2.</w:t>
      </w:r>
      <w:r w:rsidR="004262BA">
        <w:tab/>
      </w:r>
      <w:r w:rsidRPr="009C4CEA">
        <w:t>při</w:t>
      </w:r>
      <w:r>
        <w:t xml:space="preserve"> </w:t>
      </w:r>
      <w:r w:rsidRPr="009C4CEA">
        <w:t>stavech</w:t>
      </w:r>
      <w:r>
        <w:t xml:space="preserve"> </w:t>
      </w:r>
      <w:r w:rsidRPr="009C4CEA">
        <w:t>nouze</w:t>
      </w:r>
      <w:r>
        <w:t xml:space="preserve"> </w:t>
      </w:r>
      <w:r w:rsidRPr="009C4CEA">
        <w:t>nebo</w:t>
      </w:r>
      <w:r>
        <w:t xml:space="preserve"> </w:t>
      </w:r>
      <w:r w:rsidRPr="009C4CEA">
        <w:t>při</w:t>
      </w:r>
      <w:r>
        <w:t xml:space="preserve"> </w:t>
      </w:r>
      <w:r w:rsidRPr="009C4CEA">
        <w:t>předcházení</w:t>
      </w:r>
      <w:r>
        <w:t xml:space="preserve"> </w:t>
      </w:r>
      <w:r w:rsidRPr="009C4CEA">
        <w:t>stavu</w:t>
      </w:r>
      <w:r>
        <w:t xml:space="preserve"> </w:t>
      </w:r>
      <w:r w:rsidRPr="009C4CEA">
        <w:t>nouze,</w:t>
      </w:r>
    </w:p>
    <w:p w14:paraId="61FA8A0A" w14:textId="72F00977" w:rsidR="00085B44" w:rsidRPr="009C4CEA" w:rsidRDefault="00085B44" w:rsidP="0010420C">
      <w:pPr>
        <w:pStyle w:val="Textparagrafu"/>
        <w:tabs>
          <w:tab w:val="left" w:pos="392"/>
          <w:tab w:val="left" w:pos="854"/>
        </w:tabs>
        <w:spacing w:before="0"/>
        <w:ind w:left="850" w:hanging="425"/>
      </w:pPr>
      <w:r w:rsidRPr="009C4CEA">
        <w:t>3.</w:t>
      </w:r>
      <w:r w:rsidR="004262BA">
        <w:tab/>
      </w:r>
      <w:r w:rsidRPr="009C4CEA">
        <w:t>při</w:t>
      </w:r>
      <w:r>
        <w:t xml:space="preserve"> </w:t>
      </w:r>
      <w:r w:rsidRPr="009C4CEA">
        <w:t>neoprávněné</w:t>
      </w:r>
      <w:r>
        <w:t xml:space="preserve"> </w:t>
      </w:r>
      <w:r w:rsidRPr="009C4CEA">
        <w:t>distribuci</w:t>
      </w:r>
      <w:r>
        <w:t xml:space="preserve"> </w:t>
      </w:r>
      <w:r w:rsidRPr="009C4CEA">
        <w:t>elektřiny</w:t>
      </w:r>
      <w:r>
        <w:t xml:space="preserve"> </w:t>
      </w:r>
      <w:r w:rsidRPr="009C4CEA">
        <w:t>podle</w:t>
      </w:r>
      <w:r>
        <w:t xml:space="preserve"> </w:t>
      </w:r>
      <w:r w:rsidRPr="009C4CEA">
        <w:t>§</w:t>
      </w:r>
      <w:r>
        <w:t xml:space="preserve"> </w:t>
      </w:r>
      <w:r w:rsidRPr="009C4CEA">
        <w:t>53,</w:t>
      </w:r>
    </w:p>
    <w:p w14:paraId="638E9206" w14:textId="3287030B" w:rsidR="00085B44" w:rsidRPr="009C4CEA" w:rsidRDefault="00085B44" w:rsidP="0010420C">
      <w:pPr>
        <w:pStyle w:val="Textparagrafu"/>
        <w:tabs>
          <w:tab w:val="left" w:pos="392"/>
          <w:tab w:val="left" w:pos="854"/>
        </w:tabs>
        <w:spacing w:before="0"/>
        <w:ind w:left="850" w:hanging="425"/>
      </w:pPr>
      <w:r w:rsidRPr="009C4CEA">
        <w:t>4.</w:t>
      </w:r>
      <w:r w:rsidR="004262BA">
        <w:tab/>
      </w:r>
      <w:r w:rsidRPr="009C4CEA">
        <w:t>jestliže</w:t>
      </w:r>
      <w:r>
        <w:t xml:space="preserve"> </w:t>
      </w:r>
      <w:r w:rsidRPr="009C4CEA">
        <w:t>mu</w:t>
      </w:r>
      <w:r>
        <w:t xml:space="preserve"> </w:t>
      </w:r>
      <w:r w:rsidRPr="009C4CEA">
        <w:t>výrobce</w:t>
      </w:r>
      <w:r>
        <w:t xml:space="preserve"> </w:t>
      </w:r>
      <w:r w:rsidRPr="009C4CEA">
        <w:t>neumožní</w:t>
      </w:r>
      <w:r>
        <w:t xml:space="preserve"> </w:t>
      </w:r>
      <w:r w:rsidRPr="009C4CEA">
        <w:t>přístup</w:t>
      </w:r>
      <w:r>
        <w:t xml:space="preserve"> </w:t>
      </w:r>
      <w:r w:rsidRPr="009C4CEA">
        <w:t>k</w:t>
      </w:r>
      <w:r>
        <w:t xml:space="preserve"> </w:t>
      </w:r>
      <w:r w:rsidRPr="009C4CEA">
        <w:t>měřicímu</w:t>
      </w:r>
      <w:r>
        <w:t xml:space="preserve"> </w:t>
      </w:r>
      <w:r w:rsidRPr="009C4CEA">
        <w:t>zařízení,</w:t>
      </w:r>
    </w:p>
    <w:p w14:paraId="6F84DBB3" w14:textId="281C941D" w:rsidR="00085B44" w:rsidRPr="009C4CEA" w:rsidRDefault="00085B44" w:rsidP="0010420C">
      <w:pPr>
        <w:pStyle w:val="Textparagrafu"/>
        <w:tabs>
          <w:tab w:val="left" w:pos="392"/>
          <w:tab w:val="left" w:pos="854"/>
        </w:tabs>
        <w:spacing w:before="0"/>
        <w:ind w:left="850" w:hanging="425"/>
      </w:pPr>
      <w:r w:rsidRPr="009C4CEA">
        <w:t>5.</w:t>
      </w:r>
      <w:r w:rsidR="004262BA">
        <w:tab/>
      </w:r>
      <w:r w:rsidRPr="009C4CEA">
        <w:t>při</w:t>
      </w:r>
      <w:r>
        <w:t xml:space="preserve"> </w:t>
      </w:r>
      <w:r w:rsidRPr="009C4CEA">
        <w:t>neoprávněné</w:t>
      </w:r>
      <w:r>
        <w:t xml:space="preserve"> </w:t>
      </w:r>
      <w:r w:rsidRPr="009C4CEA">
        <w:t>dodávce</w:t>
      </w:r>
      <w:r>
        <w:t xml:space="preserve"> </w:t>
      </w:r>
      <w:r w:rsidRPr="009C4CEA">
        <w:t>do</w:t>
      </w:r>
      <w:r>
        <w:t xml:space="preserve"> </w:t>
      </w:r>
      <w:r w:rsidRPr="009C4CEA">
        <w:t>distribuční</w:t>
      </w:r>
      <w:r>
        <w:t xml:space="preserve"> </w:t>
      </w:r>
      <w:r w:rsidRPr="009C4CEA">
        <w:t>soustavy</w:t>
      </w:r>
      <w:r>
        <w:t xml:space="preserve"> </w:t>
      </w:r>
      <w:r w:rsidRPr="009C4CEA">
        <w:t>podle</w:t>
      </w:r>
      <w:r>
        <w:t xml:space="preserve"> </w:t>
      </w:r>
      <w:r w:rsidRPr="009C4CEA">
        <w:t>§</w:t>
      </w:r>
      <w:r>
        <w:t xml:space="preserve"> </w:t>
      </w:r>
      <w:r w:rsidRPr="009C4CEA">
        <w:t>52,</w:t>
      </w:r>
    </w:p>
    <w:p w14:paraId="56ED54F7" w14:textId="7C4A99CB" w:rsidR="00085B44" w:rsidRPr="009C4CEA" w:rsidRDefault="00085B44" w:rsidP="0010420C">
      <w:pPr>
        <w:pStyle w:val="Textparagrafu"/>
        <w:tabs>
          <w:tab w:val="left" w:pos="392"/>
          <w:tab w:val="left" w:pos="854"/>
        </w:tabs>
        <w:spacing w:before="0"/>
        <w:ind w:left="850" w:hanging="425"/>
      </w:pPr>
      <w:r w:rsidRPr="009C4CEA">
        <w:t>6.</w:t>
      </w:r>
      <w:r w:rsidR="004262BA">
        <w:tab/>
      </w:r>
      <w:r w:rsidRPr="009C4CEA">
        <w:t>při</w:t>
      </w:r>
      <w:r>
        <w:t xml:space="preserve"> </w:t>
      </w:r>
      <w:r w:rsidRPr="009C4CEA">
        <w:t>provádění</w:t>
      </w:r>
      <w:r>
        <w:t xml:space="preserve"> </w:t>
      </w:r>
      <w:r w:rsidRPr="009C4CEA">
        <w:t>plánovaných</w:t>
      </w:r>
      <w:r>
        <w:t xml:space="preserve"> </w:t>
      </w:r>
      <w:r w:rsidRPr="009C4CEA">
        <w:t>prací</w:t>
      </w:r>
      <w:r>
        <w:t xml:space="preserve"> </w:t>
      </w:r>
      <w:r w:rsidRPr="009C4CEA">
        <w:t>na</w:t>
      </w:r>
      <w:r>
        <w:t xml:space="preserve"> </w:t>
      </w:r>
      <w:r w:rsidRPr="009C4CEA">
        <w:t>zařízení</w:t>
      </w:r>
      <w:r>
        <w:t xml:space="preserve"> </w:t>
      </w:r>
      <w:r w:rsidRPr="009C4CEA">
        <w:t>distribuční</w:t>
      </w:r>
      <w:r>
        <w:t xml:space="preserve"> </w:t>
      </w:r>
      <w:r w:rsidRPr="009C4CEA">
        <w:t>soustavy</w:t>
      </w:r>
      <w:r>
        <w:t xml:space="preserve"> </w:t>
      </w:r>
      <w:r w:rsidRPr="009C4CEA">
        <w:t>nebo</w:t>
      </w:r>
      <w:r>
        <w:t xml:space="preserve"> </w:t>
      </w:r>
      <w:r w:rsidRPr="009C4CEA">
        <w:t>v</w:t>
      </w:r>
      <w:r>
        <w:t xml:space="preserve"> </w:t>
      </w:r>
      <w:r w:rsidRPr="009C4CEA">
        <w:t>jeho</w:t>
      </w:r>
      <w:r>
        <w:t xml:space="preserve"> </w:t>
      </w:r>
      <w:r w:rsidRPr="009C4CEA">
        <w:t>ochranném</w:t>
      </w:r>
      <w:r>
        <w:t xml:space="preserve"> </w:t>
      </w:r>
      <w:r w:rsidRPr="009C4CEA">
        <w:t>pásmu,</w:t>
      </w:r>
      <w:r>
        <w:t xml:space="preserve"> </w:t>
      </w:r>
      <w:r w:rsidRPr="009C4CEA">
        <w:t>zejména</w:t>
      </w:r>
      <w:r>
        <w:t xml:space="preserve"> </w:t>
      </w:r>
      <w:r w:rsidRPr="009C4CEA">
        <w:t>oprav,</w:t>
      </w:r>
      <w:r>
        <w:t xml:space="preserve"> </w:t>
      </w:r>
      <w:r w:rsidRPr="009C4CEA">
        <w:t>rekonstrukcí,</w:t>
      </w:r>
      <w:r>
        <w:t xml:space="preserve"> </w:t>
      </w:r>
      <w:r w:rsidRPr="009C4CEA">
        <w:t>údržby</w:t>
      </w:r>
      <w:r>
        <w:t xml:space="preserve"> </w:t>
      </w:r>
      <w:r w:rsidRPr="009C4CEA">
        <w:t>a</w:t>
      </w:r>
      <w:r>
        <w:t xml:space="preserve"> </w:t>
      </w:r>
      <w:r w:rsidRPr="009C4CEA">
        <w:t>revizí,</w:t>
      </w:r>
    </w:p>
    <w:p w14:paraId="69E17A25" w14:textId="3C603C06" w:rsidR="00085B44" w:rsidRPr="009C4CEA" w:rsidRDefault="00085B44" w:rsidP="0010420C">
      <w:pPr>
        <w:pStyle w:val="Textparagrafu"/>
        <w:tabs>
          <w:tab w:val="left" w:pos="392"/>
          <w:tab w:val="left" w:pos="854"/>
        </w:tabs>
        <w:spacing w:before="0"/>
        <w:ind w:left="850" w:hanging="425"/>
      </w:pPr>
      <w:r w:rsidRPr="009C4CEA">
        <w:t>7.</w:t>
      </w:r>
      <w:r w:rsidR="004262BA">
        <w:tab/>
      </w:r>
      <w:r w:rsidRPr="009C4CEA">
        <w:t>při</w:t>
      </w:r>
      <w:r>
        <w:t xml:space="preserve"> </w:t>
      </w:r>
      <w:r w:rsidRPr="009C4CEA">
        <w:t>vzniku</w:t>
      </w:r>
      <w:r>
        <w:t xml:space="preserve"> </w:t>
      </w:r>
      <w:r w:rsidRPr="009C4CEA">
        <w:t>a</w:t>
      </w:r>
      <w:r>
        <w:t xml:space="preserve"> </w:t>
      </w:r>
      <w:r w:rsidRPr="009C4CEA">
        <w:t>odstraňování</w:t>
      </w:r>
      <w:r>
        <w:t xml:space="preserve"> </w:t>
      </w:r>
      <w:r w:rsidRPr="009C4CEA">
        <w:t>poruch</w:t>
      </w:r>
      <w:r>
        <w:t xml:space="preserve"> </w:t>
      </w:r>
      <w:r w:rsidRPr="009C4CEA">
        <w:t>na</w:t>
      </w:r>
      <w:r>
        <w:t xml:space="preserve"> </w:t>
      </w:r>
      <w:r w:rsidRPr="009C4CEA">
        <w:t>zařízeních</w:t>
      </w:r>
      <w:r>
        <w:t xml:space="preserve"> </w:t>
      </w:r>
      <w:r w:rsidRPr="009C4CEA">
        <w:t>distribuční</w:t>
      </w:r>
      <w:r>
        <w:t xml:space="preserve"> </w:t>
      </w:r>
      <w:r w:rsidRPr="009C4CEA">
        <w:t>soustavy</w:t>
      </w:r>
      <w:r>
        <w:t xml:space="preserve"> </w:t>
      </w:r>
      <w:r w:rsidRPr="009C4CEA">
        <w:t>nebo</w:t>
      </w:r>
      <w:r>
        <w:t xml:space="preserve"> </w:t>
      </w:r>
      <w:r w:rsidRPr="009C4CEA">
        <w:t>přenosové</w:t>
      </w:r>
      <w:r>
        <w:t xml:space="preserve"> </w:t>
      </w:r>
      <w:r w:rsidRPr="009C4CEA">
        <w:t>soustavy,</w:t>
      </w:r>
    </w:p>
    <w:p w14:paraId="0A17C54C" w14:textId="3261823D" w:rsidR="00085B44" w:rsidRPr="009C4CEA" w:rsidRDefault="00085B44" w:rsidP="0010420C">
      <w:pPr>
        <w:pStyle w:val="Textparagrafu"/>
        <w:tabs>
          <w:tab w:val="left" w:pos="392"/>
          <w:tab w:val="left" w:pos="854"/>
        </w:tabs>
        <w:spacing w:before="0"/>
        <w:ind w:left="850" w:hanging="425"/>
      </w:pPr>
      <w:r w:rsidRPr="009C4CEA">
        <w:t>8.</w:t>
      </w:r>
      <w:r w:rsidR="004262BA">
        <w:tab/>
      </w:r>
      <w:r w:rsidRPr="009C4CEA">
        <w:t>při</w:t>
      </w:r>
      <w:r>
        <w:t xml:space="preserve"> </w:t>
      </w:r>
      <w:r w:rsidRPr="009C4CEA">
        <w:t>dodávce</w:t>
      </w:r>
      <w:r>
        <w:t xml:space="preserve"> </w:t>
      </w:r>
      <w:r w:rsidRPr="009C4CEA">
        <w:t>elektřiny</w:t>
      </w:r>
      <w:r>
        <w:t xml:space="preserve"> </w:t>
      </w:r>
      <w:r w:rsidRPr="009C4CEA">
        <w:t>zařízeními,</w:t>
      </w:r>
      <w:r>
        <w:t xml:space="preserve"> </w:t>
      </w:r>
      <w:r w:rsidRPr="009C4CEA">
        <w:t>která</w:t>
      </w:r>
      <w:r>
        <w:t xml:space="preserve"> </w:t>
      </w:r>
      <w:r w:rsidRPr="009C4CEA">
        <w:t>ohrožují</w:t>
      </w:r>
      <w:r>
        <w:t xml:space="preserve"> </w:t>
      </w:r>
      <w:r w:rsidRPr="009C4CEA">
        <w:t>život,</w:t>
      </w:r>
      <w:r>
        <w:t xml:space="preserve"> </w:t>
      </w:r>
      <w:r w:rsidRPr="009C4CEA">
        <w:t>zdraví</w:t>
      </w:r>
      <w:r>
        <w:t xml:space="preserve"> </w:t>
      </w:r>
      <w:r w:rsidRPr="009C4CEA">
        <w:t>nebo</w:t>
      </w:r>
      <w:r>
        <w:t xml:space="preserve"> </w:t>
      </w:r>
      <w:r w:rsidRPr="009C4CEA">
        <w:t>majetek</w:t>
      </w:r>
      <w:r>
        <w:t xml:space="preserve"> </w:t>
      </w:r>
      <w:r w:rsidRPr="009C4CEA">
        <w:t>osob,</w:t>
      </w:r>
    </w:p>
    <w:p w14:paraId="4CF89EA5" w14:textId="3D392157" w:rsidR="00085B44" w:rsidRPr="009C4CEA" w:rsidRDefault="00085B44" w:rsidP="0010420C">
      <w:pPr>
        <w:pStyle w:val="Textparagrafu"/>
        <w:tabs>
          <w:tab w:val="left" w:pos="392"/>
          <w:tab w:val="left" w:pos="854"/>
        </w:tabs>
        <w:spacing w:before="0"/>
        <w:ind w:left="850" w:hanging="425"/>
      </w:pPr>
      <w:r w:rsidRPr="009C4CEA">
        <w:t>9.</w:t>
      </w:r>
      <w:r w:rsidR="004262BA">
        <w:tab/>
      </w:r>
      <w:r w:rsidRPr="009C4CEA">
        <w:t>při</w:t>
      </w:r>
      <w:r>
        <w:t xml:space="preserve"> </w:t>
      </w:r>
      <w:r w:rsidRPr="009C4CEA">
        <w:t>dodávce</w:t>
      </w:r>
      <w:r>
        <w:t xml:space="preserve"> </w:t>
      </w:r>
      <w:r w:rsidRPr="009C4CEA">
        <w:t>elektřiny</w:t>
      </w:r>
      <w:r>
        <w:t xml:space="preserve"> </w:t>
      </w:r>
      <w:r w:rsidRPr="009C4CEA">
        <w:t>zařízeními,</w:t>
      </w:r>
      <w:r>
        <w:t xml:space="preserve"> </w:t>
      </w:r>
      <w:r w:rsidRPr="009C4CEA">
        <w:t>která</w:t>
      </w:r>
      <w:r>
        <w:t xml:space="preserve"> </w:t>
      </w:r>
      <w:r w:rsidRPr="009C4CEA">
        <w:t>ovlivňují</w:t>
      </w:r>
      <w:r>
        <w:t xml:space="preserve"> </w:t>
      </w:r>
      <w:r w:rsidRPr="009C4CEA">
        <w:t>kvalitu</w:t>
      </w:r>
      <w:r>
        <w:t xml:space="preserve"> </w:t>
      </w:r>
      <w:r w:rsidRPr="009C4CEA">
        <w:t>elektřiny</w:t>
      </w:r>
      <w:r>
        <w:t xml:space="preserve"> </w:t>
      </w:r>
      <w:r w:rsidRPr="009C4CEA">
        <w:t>v</w:t>
      </w:r>
      <w:r>
        <w:t xml:space="preserve"> </w:t>
      </w:r>
      <w:r w:rsidRPr="009C4CEA">
        <w:t>neprospěch</w:t>
      </w:r>
      <w:r>
        <w:t xml:space="preserve"> </w:t>
      </w:r>
      <w:r w:rsidRPr="009C4CEA">
        <w:t>ostatních</w:t>
      </w:r>
      <w:r>
        <w:t xml:space="preserve"> </w:t>
      </w:r>
      <w:r w:rsidRPr="009C4CEA">
        <w:t>účastníků</w:t>
      </w:r>
      <w:r>
        <w:t xml:space="preserve"> </w:t>
      </w:r>
      <w:r w:rsidRPr="009C4CEA">
        <w:t>trhu</w:t>
      </w:r>
      <w:r>
        <w:t xml:space="preserve"> </w:t>
      </w:r>
      <w:r w:rsidRPr="009C4CEA">
        <w:t>s</w:t>
      </w:r>
      <w:r>
        <w:t xml:space="preserve"> </w:t>
      </w:r>
      <w:proofErr w:type="gramStart"/>
      <w:r w:rsidRPr="009C4CEA">
        <w:t>elektřinou</w:t>
      </w:r>
      <w:r>
        <w:t xml:space="preserve"> </w:t>
      </w:r>
      <w:r w:rsidRPr="009C4CEA">
        <w:t>a</w:t>
      </w:r>
      <w:r>
        <w:t xml:space="preserve"> </w:t>
      </w:r>
      <w:r w:rsidRPr="009C4CEA">
        <w:t>výrobce</w:t>
      </w:r>
      <w:proofErr w:type="gramEnd"/>
      <w:r>
        <w:t xml:space="preserve"> </w:t>
      </w:r>
      <w:r w:rsidRPr="009C4CEA">
        <w:t>nevybavil</w:t>
      </w:r>
      <w:r>
        <w:t xml:space="preserve"> </w:t>
      </w:r>
      <w:r w:rsidRPr="009C4CEA">
        <w:t>tato</w:t>
      </w:r>
      <w:r>
        <w:t xml:space="preserve"> </w:t>
      </w:r>
      <w:r w:rsidRPr="009C4CEA">
        <w:t>zařízení</w:t>
      </w:r>
      <w:r>
        <w:t xml:space="preserve"> </w:t>
      </w:r>
      <w:r w:rsidRPr="009C4CEA">
        <w:t>dostupnými</w:t>
      </w:r>
      <w:r>
        <w:t xml:space="preserve"> </w:t>
      </w:r>
      <w:r w:rsidRPr="009C4CEA">
        <w:t>technickými</w:t>
      </w:r>
      <w:r>
        <w:t xml:space="preserve"> </w:t>
      </w:r>
      <w:r w:rsidRPr="009C4CEA">
        <w:t>prostředky</w:t>
      </w:r>
      <w:r>
        <w:t xml:space="preserve"> </w:t>
      </w:r>
      <w:r w:rsidRPr="009C4CEA">
        <w:t>k</w:t>
      </w:r>
      <w:r>
        <w:t xml:space="preserve"> </w:t>
      </w:r>
      <w:r w:rsidRPr="009C4CEA">
        <w:t>omezení</w:t>
      </w:r>
      <w:r>
        <w:t xml:space="preserve"> </w:t>
      </w:r>
      <w:r w:rsidRPr="009C4CEA">
        <w:t>těchto</w:t>
      </w:r>
      <w:r>
        <w:t xml:space="preserve"> </w:t>
      </w:r>
      <w:r w:rsidRPr="009C4CEA">
        <w:t>vlivů,</w:t>
      </w:r>
    </w:p>
    <w:p w14:paraId="78EAF5F5" w14:textId="2766FE7F" w:rsidR="00085B44" w:rsidRPr="009C4CEA" w:rsidRDefault="00085B44" w:rsidP="0010420C">
      <w:pPr>
        <w:pStyle w:val="Textparagrafu"/>
        <w:tabs>
          <w:tab w:val="left" w:pos="392"/>
          <w:tab w:val="left" w:pos="854"/>
        </w:tabs>
        <w:spacing w:before="0"/>
        <w:ind w:left="850" w:hanging="425"/>
      </w:pPr>
      <w:r w:rsidRPr="009C4CEA">
        <w:t>10.</w:t>
      </w:r>
      <w:r w:rsidR="004262BA">
        <w:tab/>
      </w:r>
      <w:r w:rsidRPr="009C4CEA">
        <w:t>při</w:t>
      </w:r>
      <w:r>
        <w:t xml:space="preserve"> </w:t>
      </w:r>
      <w:r w:rsidRPr="009C4CEA">
        <w:t>provádění</w:t>
      </w:r>
      <w:r>
        <w:t xml:space="preserve"> </w:t>
      </w:r>
      <w:r w:rsidRPr="009C4CEA">
        <w:t>dispečerského</w:t>
      </w:r>
      <w:r>
        <w:t xml:space="preserve"> </w:t>
      </w:r>
      <w:r w:rsidRPr="009C4CEA">
        <w:t>řízení</w:t>
      </w:r>
      <w:r>
        <w:t xml:space="preserve"> </w:t>
      </w:r>
      <w:r w:rsidRPr="009C4CEA">
        <w:t>podle</w:t>
      </w:r>
      <w:r>
        <w:t xml:space="preserve"> </w:t>
      </w:r>
      <w:r w:rsidRPr="009C4CEA">
        <w:t>§</w:t>
      </w:r>
      <w:r>
        <w:t xml:space="preserve"> </w:t>
      </w:r>
      <w:r w:rsidRPr="009C4CEA">
        <w:t>26</w:t>
      </w:r>
      <w:r>
        <w:t xml:space="preserve"> </w:t>
      </w:r>
      <w:r w:rsidRPr="009C4CEA">
        <w:t>odst.</w:t>
      </w:r>
      <w:r>
        <w:t xml:space="preserve"> </w:t>
      </w:r>
      <w:r w:rsidRPr="009C4CEA">
        <w:t>5,</w:t>
      </w:r>
      <w:r>
        <w:t xml:space="preserve"> </w:t>
      </w:r>
      <w:r w:rsidRPr="009C4CEA">
        <w:t>nebo</w:t>
      </w:r>
    </w:p>
    <w:p w14:paraId="68EAA5EC" w14:textId="294BF921" w:rsidR="00085B44" w:rsidRDefault="00085B44" w:rsidP="0010420C">
      <w:pPr>
        <w:pStyle w:val="Textparagrafu"/>
        <w:tabs>
          <w:tab w:val="left" w:pos="392"/>
          <w:tab w:val="left" w:pos="854"/>
        </w:tabs>
        <w:spacing w:before="0"/>
        <w:ind w:left="850" w:hanging="425"/>
      </w:pPr>
      <w:r w:rsidRPr="009C4CEA">
        <w:t>11.</w:t>
      </w:r>
      <w:r w:rsidR="004262BA">
        <w:tab/>
      </w:r>
      <w:r w:rsidRPr="009C4CEA">
        <w:t>neumožnil-li</w:t>
      </w:r>
      <w:r>
        <w:t xml:space="preserve"> </w:t>
      </w:r>
      <w:r w:rsidRPr="009C4CEA">
        <w:t>výrobce</w:t>
      </w:r>
      <w:r>
        <w:t xml:space="preserve"> </w:t>
      </w:r>
      <w:r w:rsidRPr="009C4CEA">
        <w:t>elektřiny</w:t>
      </w:r>
      <w:r>
        <w:t xml:space="preserve"> </w:t>
      </w:r>
      <w:r w:rsidRPr="009C4CEA">
        <w:t>opakovaně</w:t>
      </w:r>
      <w:r>
        <w:t xml:space="preserve"> </w:t>
      </w:r>
      <w:r w:rsidRPr="009C4CEA">
        <w:t>bez</w:t>
      </w:r>
      <w:r>
        <w:t xml:space="preserve"> </w:t>
      </w:r>
      <w:r w:rsidRPr="009C4CEA">
        <w:t>vážného</w:t>
      </w:r>
      <w:r>
        <w:t xml:space="preserve"> </w:t>
      </w:r>
      <w:r w:rsidRPr="009C4CEA">
        <w:t>důvodu</w:t>
      </w:r>
      <w:r>
        <w:t xml:space="preserve"> </w:t>
      </w:r>
      <w:r w:rsidRPr="009C4CEA">
        <w:t>přístup</w:t>
      </w:r>
      <w:r>
        <w:t xml:space="preserve"> </w:t>
      </w:r>
      <w:r w:rsidRPr="009C4CEA">
        <w:t>k</w:t>
      </w:r>
      <w:r>
        <w:t xml:space="preserve"> </w:t>
      </w:r>
      <w:r w:rsidRPr="009C4CEA">
        <w:t>měřicímu</w:t>
      </w:r>
      <w:r>
        <w:t xml:space="preserve"> </w:t>
      </w:r>
      <w:r w:rsidRPr="009C4CEA">
        <w:t>zařízení,</w:t>
      </w:r>
      <w:r>
        <w:t xml:space="preserve"> </w:t>
      </w:r>
      <w:r w:rsidRPr="009C4CEA">
        <w:t>přestože</w:t>
      </w:r>
      <w:r>
        <w:t xml:space="preserve"> </w:t>
      </w:r>
      <w:r w:rsidRPr="009C4CEA">
        <w:t>byl</w:t>
      </w:r>
      <w:r>
        <w:t xml:space="preserve"> </w:t>
      </w:r>
      <w:r w:rsidRPr="009C4CEA">
        <w:t>k</w:t>
      </w:r>
      <w:r>
        <w:t xml:space="preserve"> </w:t>
      </w:r>
      <w:r w:rsidRPr="009C4CEA">
        <w:t>umožnění</w:t>
      </w:r>
      <w:r>
        <w:t xml:space="preserve"> </w:t>
      </w:r>
      <w:r w:rsidRPr="009C4CEA">
        <w:t>přístupu</w:t>
      </w:r>
      <w:r>
        <w:t xml:space="preserve"> </w:t>
      </w:r>
      <w:r w:rsidRPr="009C4CEA">
        <w:t>za</w:t>
      </w:r>
      <w:r>
        <w:t xml:space="preserve"> </w:t>
      </w:r>
      <w:r w:rsidRPr="009C4CEA">
        <w:t>účelem</w:t>
      </w:r>
      <w:r>
        <w:t xml:space="preserve"> </w:t>
      </w:r>
      <w:r w:rsidRPr="009C4CEA">
        <w:t>provedení</w:t>
      </w:r>
      <w:r>
        <w:t xml:space="preserve"> </w:t>
      </w:r>
      <w:r w:rsidRPr="009C4CEA">
        <w:t>kontroly,</w:t>
      </w:r>
      <w:r>
        <w:t xml:space="preserve"> </w:t>
      </w:r>
      <w:r w:rsidRPr="009C4CEA">
        <w:t>odečtu,</w:t>
      </w:r>
      <w:r>
        <w:t xml:space="preserve"> </w:t>
      </w:r>
      <w:r w:rsidRPr="009C4CEA">
        <w:t>údržby,</w:t>
      </w:r>
      <w:r>
        <w:t xml:space="preserve"> </w:t>
      </w:r>
      <w:r w:rsidRPr="009C4CEA">
        <w:t>výměny</w:t>
      </w:r>
      <w:r>
        <w:t xml:space="preserve"> </w:t>
      </w:r>
      <w:r w:rsidRPr="009C4CEA">
        <w:t>či</w:t>
      </w:r>
      <w:r>
        <w:t xml:space="preserve"> </w:t>
      </w:r>
      <w:r w:rsidRPr="009C4CEA">
        <w:t>odebrání</w:t>
      </w:r>
      <w:r>
        <w:t xml:space="preserve"> </w:t>
      </w:r>
      <w:r w:rsidRPr="009C4CEA">
        <w:t>měřicího</w:t>
      </w:r>
      <w:r>
        <w:t xml:space="preserve"> </w:t>
      </w:r>
      <w:r w:rsidRPr="009C4CEA">
        <w:t>zařízení</w:t>
      </w:r>
      <w:r>
        <w:t xml:space="preserve"> </w:t>
      </w:r>
      <w:r w:rsidRPr="009C4CEA">
        <w:t>alespoň</w:t>
      </w:r>
      <w:r>
        <w:t xml:space="preserve"> </w:t>
      </w:r>
      <w:r w:rsidRPr="009C4CEA">
        <w:t>15</w:t>
      </w:r>
      <w:r>
        <w:t xml:space="preserve"> </w:t>
      </w:r>
      <w:r w:rsidRPr="009C4CEA">
        <w:t>dnů</w:t>
      </w:r>
      <w:r>
        <w:t xml:space="preserve"> </w:t>
      </w:r>
      <w:r w:rsidRPr="009C4CEA">
        <w:t>předem</w:t>
      </w:r>
      <w:r>
        <w:t xml:space="preserve"> </w:t>
      </w:r>
      <w:r w:rsidRPr="009C4CEA">
        <w:t>písemně</w:t>
      </w:r>
      <w:r>
        <w:t xml:space="preserve"> </w:t>
      </w:r>
      <w:r w:rsidRPr="009C4CEA">
        <w:t>nebo</w:t>
      </w:r>
      <w:r>
        <w:t xml:space="preserve"> </w:t>
      </w:r>
      <w:r w:rsidRPr="009C4CEA">
        <w:t>jiným</w:t>
      </w:r>
      <w:r>
        <w:t xml:space="preserve"> </w:t>
      </w:r>
      <w:r w:rsidRPr="009C4CEA">
        <w:t>prokazatelným</w:t>
      </w:r>
      <w:r>
        <w:t xml:space="preserve"> </w:t>
      </w:r>
      <w:r w:rsidRPr="009C4CEA">
        <w:t>způsobem</w:t>
      </w:r>
      <w:r>
        <w:t xml:space="preserve"> </w:t>
      </w:r>
      <w:r w:rsidRPr="009C4CEA">
        <w:t>vyzván,</w:t>
      </w:r>
    </w:p>
    <w:p w14:paraId="0CEC3A8F" w14:textId="329D5107" w:rsidR="00085B44" w:rsidRDefault="00085B44" w:rsidP="002E6AEA">
      <w:pPr>
        <w:pStyle w:val="Textparagrafu"/>
        <w:tabs>
          <w:tab w:val="left" w:pos="392"/>
          <w:tab w:val="left" w:pos="854"/>
        </w:tabs>
        <w:spacing w:before="0"/>
        <w:ind w:left="426" w:hanging="426"/>
      </w:pPr>
      <w:r w:rsidRPr="009C4CEA">
        <w:t>e)</w:t>
      </w:r>
      <w:r w:rsidR="004262BA">
        <w:tab/>
      </w:r>
      <w:r w:rsidRPr="009C4CEA">
        <w:t>v</w:t>
      </w:r>
      <w:r>
        <w:t xml:space="preserve"> </w:t>
      </w:r>
      <w:r w:rsidRPr="009C4CEA">
        <w:t>souladu</w:t>
      </w:r>
      <w:r>
        <w:t xml:space="preserve"> </w:t>
      </w:r>
      <w:r w:rsidRPr="009C4CEA">
        <w:t>se</w:t>
      </w:r>
      <w:r>
        <w:t xml:space="preserve"> </w:t>
      </w:r>
      <w:r w:rsidRPr="009C4CEA">
        <w:t>zvláštním</w:t>
      </w:r>
      <w:r>
        <w:t xml:space="preserve"> </w:t>
      </w:r>
      <w:r w:rsidRPr="009C4CEA">
        <w:t>právním</w:t>
      </w:r>
      <w:r>
        <w:t xml:space="preserve"> </w:t>
      </w:r>
      <w:r w:rsidRPr="009C4CEA">
        <w:t>předpisem</w:t>
      </w:r>
      <w:r w:rsidRPr="004262BA">
        <w:rPr>
          <w:vertAlign w:val="superscript"/>
        </w:rPr>
        <w:t>4d)</w:t>
      </w:r>
      <w:r>
        <w:t xml:space="preserve"> </w:t>
      </w:r>
      <w:r w:rsidRPr="009C4CEA">
        <w:t>zřizovat</w:t>
      </w:r>
      <w:r>
        <w:t xml:space="preserve"> </w:t>
      </w:r>
      <w:r w:rsidRPr="009C4CEA">
        <w:t>a</w:t>
      </w:r>
      <w:r>
        <w:t xml:space="preserve"> </w:t>
      </w:r>
      <w:r w:rsidRPr="009C4CEA">
        <w:t>provozovat</w:t>
      </w:r>
      <w:r>
        <w:t xml:space="preserve"> </w:t>
      </w:r>
      <w:r w:rsidRPr="009C4CEA">
        <w:t>na</w:t>
      </w:r>
      <w:r>
        <w:t xml:space="preserve"> </w:t>
      </w:r>
      <w:r w:rsidRPr="009C4CEA">
        <w:t>cizích</w:t>
      </w:r>
      <w:r>
        <w:t xml:space="preserve"> </w:t>
      </w:r>
      <w:r w:rsidRPr="009C4CEA">
        <w:t>nemovitostech</w:t>
      </w:r>
      <w:r>
        <w:t xml:space="preserve"> </w:t>
      </w:r>
      <w:r w:rsidRPr="009C4CEA">
        <w:t>zařízení</w:t>
      </w:r>
      <w:r>
        <w:t xml:space="preserve"> </w:t>
      </w:r>
      <w:r w:rsidRPr="009C4CEA">
        <w:t>distribuční</w:t>
      </w:r>
      <w:r>
        <w:t xml:space="preserve"> </w:t>
      </w:r>
      <w:r w:rsidRPr="009C4CEA">
        <w:t>soustavy,</w:t>
      </w:r>
      <w:r>
        <w:t xml:space="preserve"> </w:t>
      </w:r>
      <w:r w:rsidRPr="009C4CEA">
        <w:t>přetínat</w:t>
      </w:r>
      <w:r>
        <w:t xml:space="preserve"> </w:t>
      </w:r>
      <w:r w:rsidRPr="009C4CEA">
        <w:t>tyto</w:t>
      </w:r>
      <w:r>
        <w:t xml:space="preserve"> </w:t>
      </w:r>
      <w:r w:rsidRPr="009C4CEA">
        <w:t>nemovitosti</w:t>
      </w:r>
      <w:r>
        <w:t xml:space="preserve"> </w:t>
      </w:r>
      <w:r w:rsidRPr="009C4CEA">
        <w:t>vodiči</w:t>
      </w:r>
      <w:r>
        <w:t xml:space="preserve"> </w:t>
      </w:r>
      <w:r w:rsidRPr="009C4CEA">
        <w:t>a</w:t>
      </w:r>
      <w:r>
        <w:t xml:space="preserve"> </w:t>
      </w:r>
      <w:r w:rsidRPr="009C4CEA">
        <w:t>umísťovat</w:t>
      </w:r>
      <w:r>
        <w:t xml:space="preserve"> </w:t>
      </w:r>
      <w:r w:rsidRPr="009C4CEA">
        <w:t>v</w:t>
      </w:r>
      <w:r>
        <w:t xml:space="preserve"> </w:t>
      </w:r>
      <w:r w:rsidRPr="009C4CEA">
        <w:t>nich</w:t>
      </w:r>
      <w:r>
        <w:t xml:space="preserve"> </w:t>
      </w:r>
      <w:r w:rsidRPr="009C4CEA">
        <w:t>vedení,</w:t>
      </w:r>
    </w:p>
    <w:p w14:paraId="5D8F4209" w14:textId="62A123FA" w:rsidR="00085B44" w:rsidRDefault="00085B44" w:rsidP="002E6AEA">
      <w:pPr>
        <w:pStyle w:val="Textparagrafu"/>
        <w:tabs>
          <w:tab w:val="left" w:pos="392"/>
          <w:tab w:val="left" w:pos="854"/>
        </w:tabs>
        <w:spacing w:before="0"/>
        <w:ind w:left="426" w:hanging="426"/>
      </w:pPr>
      <w:r w:rsidRPr="009C4CEA">
        <w:t>f)</w:t>
      </w:r>
      <w:r>
        <w:t xml:space="preserve"> </w:t>
      </w:r>
      <w:r w:rsidR="0010420C">
        <w:tab/>
      </w:r>
      <w:r w:rsidRPr="009C4CEA">
        <w:t>vstupovat</w:t>
      </w:r>
      <w:r>
        <w:t xml:space="preserve"> </w:t>
      </w:r>
      <w:r w:rsidRPr="009C4CEA">
        <w:t>a</w:t>
      </w:r>
      <w:r>
        <w:t xml:space="preserve"> </w:t>
      </w:r>
      <w:r w:rsidRPr="009C4CEA">
        <w:t>vjíždět</w:t>
      </w:r>
      <w:r>
        <w:t xml:space="preserve"> </w:t>
      </w:r>
      <w:r w:rsidRPr="009C4CEA">
        <w:t>na</w:t>
      </w:r>
      <w:r>
        <w:t xml:space="preserve"> </w:t>
      </w:r>
      <w:r w:rsidRPr="009C4CEA">
        <w:t>cizí</w:t>
      </w:r>
      <w:r>
        <w:t xml:space="preserve"> </w:t>
      </w:r>
      <w:r w:rsidRPr="009C4CEA">
        <w:t>nemovitosti</w:t>
      </w:r>
      <w:r>
        <w:t xml:space="preserve"> </w:t>
      </w:r>
      <w:r w:rsidRPr="009C4CEA">
        <w:t>v</w:t>
      </w:r>
      <w:r>
        <w:t xml:space="preserve"> </w:t>
      </w:r>
      <w:r w:rsidRPr="009C4CEA">
        <w:t>souvislosti</w:t>
      </w:r>
      <w:r>
        <w:t xml:space="preserve"> </w:t>
      </w:r>
      <w:r w:rsidRPr="009C4CEA">
        <w:t>se</w:t>
      </w:r>
      <w:r>
        <w:t xml:space="preserve"> </w:t>
      </w:r>
      <w:r w:rsidRPr="009C4CEA">
        <w:t>zřizováním,</w:t>
      </w:r>
      <w:r>
        <w:t xml:space="preserve"> </w:t>
      </w:r>
      <w:r w:rsidRPr="009C4CEA">
        <w:t>obnovou</w:t>
      </w:r>
      <w:r>
        <w:t xml:space="preserve"> </w:t>
      </w:r>
      <w:r w:rsidRPr="009C4CEA">
        <w:t>a</w:t>
      </w:r>
      <w:r>
        <w:t xml:space="preserve"> </w:t>
      </w:r>
      <w:r w:rsidRPr="009C4CEA">
        <w:t>provozováním</w:t>
      </w:r>
      <w:r>
        <w:t xml:space="preserve"> </w:t>
      </w:r>
      <w:r w:rsidRPr="009C4CEA">
        <w:t>distribuční</w:t>
      </w:r>
      <w:r>
        <w:t xml:space="preserve"> </w:t>
      </w:r>
      <w:r w:rsidRPr="009C4CEA">
        <w:t>soustavy,</w:t>
      </w:r>
    </w:p>
    <w:p w14:paraId="5BE5350D" w14:textId="5CCEE7DC" w:rsidR="00085B44" w:rsidRDefault="00085B44" w:rsidP="002E6AEA">
      <w:pPr>
        <w:pStyle w:val="Textparagrafu"/>
        <w:tabs>
          <w:tab w:val="left" w:pos="392"/>
          <w:tab w:val="left" w:pos="854"/>
        </w:tabs>
        <w:spacing w:before="0"/>
        <w:ind w:left="426" w:hanging="426"/>
      </w:pPr>
      <w:r w:rsidRPr="009C4CEA">
        <w:t>g)</w:t>
      </w:r>
      <w:r w:rsidR="004262BA">
        <w:tab/>
      </w:r>
      <w:r w:rsidRPr="009C4CEA">
        <w:t>odstraňovat</w:t>
      </w:r>
      <w:r>
        <w:t xml:space="preserve"> </w:t>
      </w:r>
      <w:r w:rsidRPr="009C4CEA">
        <w:t>a</w:t>
      </w:r>
      <w:r>
        <w:t xml:space="preserve"> </w:t>
      </w:r>
      <w:r w:rsidRPr="009C4CEA">
        <w:t>oklešťovat</w:t>
      </w:r>
      <w:r>
        <w:t xml:space="preserve"> </w:t>
      </w:r>
      <w:r w:rsidRPr="009C4CEA">
        <w:t>stromoví</w:t>
      </w:r>
      <w:r>
        <w:t xml:space="preserve"> </w:t>
      </w:r>
      <w:r w:rsidRPr="009C4CEA">
        <w:t>a</w:t>
      </w:r>
      <w:r>
        <w:t xml:space="preserve"> </w:t>
      </w:r>
      <w:r w:rsidRPr="009C4CEA">
        <w:t>jiné</w:t>
      </w:r>
      <w:r>
        <w:t xml:space="preserve"> </w:t>
      </w:r>
      <w:r w:rsidRPr="009C4CEA">
        <w:t>porosty,</w:t>
      </w:r>
      <w:r>
        <w:t xml:space="preserve"> </w:t>
      </w:r>
      <w:r w:rsidRPr="009C4CEA">
        <w:t>provádět</w:t>
      </w:r>
      <w:r>
        <w:t xml:space="preserve"> </w:t>
      </w:r>
      <w:r w:rsidRPr="009C4CEA">
        <w:t>likvidaci</w:t>
      </w:r>
      <w:r>
        <w:t xml:space="preserve"> </w:t>
      </w:r>
      <w:r w:rsidRPr="009C4CEA">
        <w:t>odstraněného</w:t>
      </w:r>
      <w:r>
        <w:t xml:space="preserve"> </w:t>
      </w:r>
      <w:r w:rsidRPr="009C4CEA">
        <w:t>a</w:t>
      </w:r>
      <w:r>
        <w:t xml:space="preserve"> </w:t>
      </w:r>
      <w:r w:rsidRPr="009C4CEA">
        <w:t>okleštěného</w:t>
      </w:r>
      <w:r>
        <w:t xml:space="preserve"> </w:t>
      </w:r>
      <w:r w:rsidRPr="009C4CEA">
        <w:t>stromoví</w:t>
      </w:r>
      <w:r>
        <w:t xml:space="preserve"> </w:t>
      </w:r>
      <w:r w:rsidRPr="009C4CEA">
        <w:t>a</w:t>
      </w:r>
      <w:r>
        <w:t xml:space="preserve"> </w:t>
      </w:r>
      <w:r w:rsidRPr="009C4CEA">
        <w:t>jiných</w:t>
      </w:r>
      <w:r>
        <w:t xml:space="preserve"> </w:t>
      </w:r>
      <w:r w:rsidRPr="009C4CEA">
        <w:t>porostů</w:t>
      </w:r>
      <w:r>
        <w:t xml:space="preserve"> </w:t>
      </w:r>
      <w:r w:rsidRPr="009C4CEA">
        <w:t>ohrožujících</w:t>
      </w:r>
      <w:r>
        <w:t xml:space="preserve"> </w:t>
      </w:r>
      <w:r w:rsidRPr="009C4CEA">
        <w:t>bezpečné</w:t>
      </w:r>
      <w:r>
        <w:t xml:space="preserve"> </w:t>
      </w:r>
      <w:r w:rsidRPr="009C4CEA">
        <w:t>a</w:t>
      </w:r>
      <w:r>
        <w:t xml:space="preserve"> </w:t>
      </w:r>
      <w:r w:rsidRPr="009C4CEA">
        <w:t>spolehlivé</w:t>
      </w:r>
      <w:r>
        <w:t xml:space="preserve"> </w:t>
      </w:r>
      <w:r w:rsidRPr="009C4CEA">
        <w:t>provozování</w:t>
      </w:r>
      <w:r>
        <w:t xml:space="preserve"> </w:t>
      </w:r>
      <w:r w:rsidRPr="009C4CEA">
        <w:t>zařízení</w:t>
      </w:r>
      <w:r>
        <w:t xml:space="preserve"> </w:t>
      </w:r>
      <w:r w:rsidRPr="009C4CEA">
        <w:t>distribuční</w:t>
      </w:r>
      <w:r>
        <w:t xml:space="preserve"> </w:t>
      </w:r>
      <w:r w:rsidRPr="009C4CEA">
        <w:t>soustavy</w:t>
      </w:r>
      <w:r>
        <w:t xml:space="preserve"> </w:t>
      </w:r>
      <w:r w:rsidRPr="009C4CEA">
        <w:t>v</w:t>
      </w:r>
      <w:r>
        <w:t xml:space="preserve"> </w:t>
      </w:r>
      <w:r w:rsidRPr="009C4CEA">
        <w:t>případech,</w:t>
      </w:r>
      <w:r>
        <w:t xml:space="preserve"> </w:t>
      </w:r>
      <w:r w:rsidRPr="009C4CEA">
        <w:t>kdy</w:t>
      </w:r>
      <w:r>
        <w:t xml:space="preserve"> </w:t>
      </w:r>
      <w:r w:rsidRPr="009C4CEA">
        <w:t>tak</w:t>
      </w:r>
      <w:r>
        <w:t xml:space="preserve"> </w:t>
      </w:r>
      <w:r w:rsidRPr="009C4CEA">
        <w:t>po</w:t>
      </w:r>
      <w:r>
        <w:t xml:space="preserve"> </w:t>
      </w:r>
      <w:r w:rsidRPr="009C4CEA">
        <w:t>předchozím</w:t>
      </w:r>
      <w:r>
        <w:t xml:space="preserve"> </w:t>
      </w:r>
      <w:r w:rsidRPr="009C4CEA">
        <w:t>upozornění</w:t>
      </w:r>
      <w:r>
        <w:t xml:space="preserve"> </w:t>
      </w:r>
      <w:r w:rsidRPr="009C4CEA">
        <w:t>a</w:t>
      </w:r>
      <w:r>
        <w:t xml:space="preserve"> </w:t>
      </w:r>
      <w:r w:rsidRPr="009C4CEA">
        <w:t>stanovení</w:t>
      </w:r>
      <w:r>
        <w:t xml:space="preserve"> </w:t>
      </w:r>
      <w:r w:rsidRPr="009C4CEA">
        <w:t>rozsahu</w:t>
      </w:r>
      <w:r>
        <w:t xml:space="preserve"> </w:t>
      </w:r>
      <w:r w:rsidRPr="009C4CEA">
        <w:t>neučinil</w:t>
      </w:r>
      <w:r>
        <w:t xml:space="preserve"> </w:t>
      </w:r>
      <w:r w:rsidRPr="009C4CEA">
        <w:t>sám</w:t>
      </w:r>
      <w:r>
        <w:t xml:space="preserve"> </w:t>
      </w:r>
      <w:r w:rsidRPr="009C4CEA">
        <w:t>vlastník</w:t>
      </w:r>
      <w:r>
        <w:t xml:space="preserve"> </w:t>
      </w:r>
      <w:r w:rsidRPr="009C4CEA">
        <w:t>či</w:t>
      </w:r>
      <w:r>
        <w:t xml:space="preserve"> </w:t>
      </w:r>
      <w:r w:rsidRPr="009C4CEA">
        <w:t>uživatel,</w:t>
      </w:r>
    </w:p>
    <w:p w14:paraId="03310F24" w14:textId="4376AC9C" w:rsidR="00085B44" w:rsidRDefault="00085B44" w:rsidP="002E6AEA">
      <w:pPr>
        <w:pStyle w:val="Textparagrafu"/>
        <w:tabs>
          <w:tab w:val="left" w:pos="392"/>
          <w:tab w:val="left" w:pos="854"/>
        </w:tabs>
        <w:spacing w:before="0"/>
        <w:ind w:left="426" w:hanging="426"/>
      </w:pPr>
      <w:r w:rsidRPr="009C4CEA">
        <w:t>h)</w:t>
      </w:r>
      <w:r w:rsidR="004262BA">
        <w:tab/>
      </w:r>
      <w:r w:rsidRPr="009C4CEA">
        <w:t>vstupovat</w:t>
      </w:r>
      <w:r>
        <w:t xml:space="preserve"> </w:t>
      </w:r>
      <w:r w:rsidRPr="009C4CEA">
        <w:t>nebo</w:t>
      </w:r>
      <w:r>
        <w:t xml:space="preserve"> </w:t>
      </w:r>
      <w:r w:rsidRPr="009C4CEA">
        <w:t>vjíždět</w:t>
      </w:r>
      <w:r>
        <w:t xml:space="preserve"> </w:t>
      </w:r>
      <w:r w:rsidRPr="009C4CEA">
        <w:t>v</w:t>
      </w:r>
      <w:r>
        <w:t xml:space="preserve"> </w:t>
      </w:r>
      <w:r w:rsidRPr="009C4CEA">
        <w:t>souladu</w:t>
      </w:r>
      <w:r>
        <w:t xml:space="preserve"> </w:t>
      </w:r>
      <w:r w:rsidRPr="009C4CEA">
        <w:t>se</w:t>
      </w:r>
      <w:r>
        <w:t xml:space="preserve"> </w:t>
      </w:r>
      <w:r w:rsidRPr="009C4CEA">
        <w:t>zvláštními</w:t>
      </w:r>
      <w:r>
        <w:t xml:space="preserve"> </w:t>
      </w:r>
      <w:r w:rsidRPr="009C4CEA">
        <w:t>právními</w:t>
      </w:r>
      <w:r>
        <w:t xml:space="preserve"> </w:t>
      </w:r>
      <w:r w:rsidRPr="009C4CEA">
        <w:t>předpisy</w:t>
      </w:r>
      <w:r>
        <w:t xml:space="preserve"> </w:t>
      </w:r>
      <w:r w:rsidRPr="009C4CEA">
        <w:t>do</w:t>
      </w:r>
      <w:r>
        <w:t xml:space="preserve"> </w:t>
      </w:r>
      <w:r w:rsidRPr="009C4CEA">
        <w:t>uzavřených</w:t>
      </w:r>
      <w:r>
        <w:t xml:space="preserve"> </w:t>
      </w:r>
      <w:r w:rsidRPr="009C4CEA">
        <w:t>prostor</w:t>
      </w:r>
      <w:r>
        <w:t xml:space="preserve"> </w:t>
      </w:r>
      <w:r w:rsidRPr="009C4CEA">
        <w:t>a</w:t>
      </w:r>
      <w:r>
        <w:t xml:space="preserve"> </w:t>
      </w:r>
      <w:r w:rsidRPr="009C4CEA">
        <w:t>zařízení</w:t>
      </w:r>
      <w:r>
        <w:t xml:space="preserve"> </w:t>
      </w:r>
      <w:r w:rsidRPr="009C4CEA">
        <w:t>sloužících</w:t>
      </w:r>
      <w:r>
        <w:t xml:space="preserve"> </w:t>
      </w:r>
      <w:r w:rsidRPr="009C4CEA">
        <w:t>k</w:t>
      </w:r>
      <w:r>
        <w:t xml:space="preserve"> </w:t>
      </w:r>
      <w:r w:rsidRPr="009C4CEA">
        <w:t>výkonu</w:t>
      </w:r>
      <w:r>
        <w:t xml:space="preserve"> </w:t>
      </w:r>
      <w:r w:rsidRPr="009C4CEA">
        <w:t>činností</w:t>
      </w:r>
      <w:r>
        <w:t xml:space="preserve"> </w:t>
      </w:r>
      <w:r w:rsidRPr="009C4CEA">
        <w:t>a</w:t>
      </w:r>
      <w:r>
        <w:t xml:space="preserve"> </w:t>
      </w:r>
      <w:r w:rsidRPr="009C4CEA">
        <w:t>služeb</w:t>
      </w:r>
      <w:r>
        <w:t xml:space="preserve"> </w:t>
      </w:r>
      <w:r w:rsidRPr="009C4CEA">
        <w:t>orgánů</w:t>
      </w:r>
      <w:r>
        <w:t xml:space="preserve"> </w:t>
      </w:r>
      <w:r w:rsidRPr="009C4CEA">
        <w:t>Ministerstva</w:t>
      </w:r>
      <w:r>
        <w:t xml:space="preserve"> </w:t>
      </w:r>
      <w:r w:rsidRPr="009C4CEA">
        <w:t>obrany,</w:t>
      </w:r>
      <w:r>
        <w:t xml:space="preserve"> </w:t>
      </w:r>
      <w:r w:rsidRPr="009C4CEA">
        <w:t>Ministerstva</w:t>
      </w:r>
      <w:r>
        <w:t xml:space="preserve"> </w:t>
      </w:r>
      <w:r w:rsidRPr="009C4CEA">
        <w:t>vnitra,</w:t>
      </w:r>
      <w:r>
        <w:t xml:space="preserve"> </w:t>
      </w:r>
      <w:r w:rsidRPr="009C4CEA">
        <w:t>Ministerstva</w:t>
      </w:r>
      <w:r>
        <w:t xml:space="preserve"> </w:t>
      </w:r>
      <w:r w:rsidRPr="009C4CEA">
        <w:t>spravedlnosti,</w:t>
      </w:r>
      <w:r>
        <w:t xml:space="preserve"> </w:t>
      </w:r>
      <w:r w:rsidRPr="009C4CEA">
        <w:t>Bezpečnostní</w:t>
      </w:r>
      <w:r>
        <w:t xml:space="preserve"> </w:t>
      </w:r>
      <w:r w:rsidRPr="009C4CEA">
        <w:t>informační</w:t>
      </w:r>
      <w:r>
        <w:t xml:space="preserve"> </w:t>
      </w:r>
      <w:r w:rsidRPr="009C4CEA">
        <w:t>služby</w:t>
      </w:r>
      <w:r>
        <w:t xml:space="preserve"> </w:t>
      </w:r>
      <w:r w:rsidRPr="009C4CEA">
        <w:t>a</w:t>
      </w:r>
      <w:r>
        <w:t xml:space="preserve"> </w:t>
      </w:r>
      <w:r w:rsidRPr="009C4CEA">
        <w:t>do</w:t>
      </w:r>
      <w:r>
        <w:t xml:space="preserve"> </w:t>
      </w:r>
      <w:r w:rsidRPr="009C4CEA">
        <w:t>obvodu</w:t>
      </w:r>
      <w:r>
        <w:t xml:space="preserve"> </w:t>
      </w:r>
      <w:r w:rsidRPr="009C4CEA">
        <w:t>dráhy,</w:t>
      </w:r>
      <w:r>
        <w:t xml:space="preserve"> </w:t>
      </w:r>
      <w:r w:rsidRPr="009C4CEA">
        <w:t>jakož</w:t>
      </w:r>
      <w:r>
        <w:t xml:space="preserve"> </w:t>
      </w:r>
      <w:r w:rsidRPr="009C4CEA">
        <w:t>i</w:t>
      </w:r>
      <w:r>
        <w:t xml:space="preserve"> </w:t>
      </w:r>
      <w:r w:rsidRPr="009C4CEA">
        <w:t>vstupovat</w:t>
      </w:r>
      <w:r>
        <w:t xml:space="preserve"> </w:t>
      </w:r>
      <w:r w:rsidRPr="009C4CEA">
        <w:t>nebo</w:t>
      </w:r>
      <w:r>
        <w:t xml:space="preserve"> </w:t>
      </w:r>
      <w:r w:rsidRPr="009C4CEA">
        <w:t>vjíždět</w:t>
      </w:r>
      <w:r>
        <w:t xml:space="preserve"> </w:t>
      </w:r>
      <w:r w:rsidRPr="009C4CEA">
        <w:t>na</w:t>
      </w:r>
      <w:r>
        <w:t xml:space="preserve"> </w:t>
      </w:r>
      <w:r w:rsidRPr="009C4CEA">
        <w:t>nemovitosti,</w:t>
      </w:r>
      <w:r>
        <w:t xml:space="preserve"> </w:t>
      </w:r>
      <w:r w:rsidRPr="009C4CEA">
        <w:t>kde</w:t>
      </w:r>
      <w:r>
        <w:t xml:space="preserve"> </w:t>
      </w:r>
      <w:r w:rsidRPr="009C4CEA">
        <w:t>jsou</w:t>
      </w:r>
      <w:r>
        <w:t xml:space="preserve"> </w:t>
      </w:r>
      <w:r w:rsidRPr="009C4CEA">
        <w:t>umístěna</w:t>
      </w:r>
      <w:r>
        <w:t xml:space="preserve"> </w:t>
      </w:r>
      <w:r w:rsidRPr="009C4CEA">
        <w:t>zvláštní</w:t>
      </w:r>
      <w:r>
        <w:t xml:space="preserve"> </w:t>
      </w:r>
      <w:r w:rsidRPr="009C4CEA">
        <w:t>zařízení</w:t>
      </w:r>
      <w:r>
        <w:t xml:space="preserve"> </w:t>
      </w:r>
      <w:r w:rsidRPr="009C4CEA">
        <w:t>telekomunikací,</w:t>
      </w:r>
      <w:r>
        <w:t xml:space="preserve"> </w:t>
      </w:r>
      <w:r w:rsidRPr="009C4CEA">
        <w:t>v</w:t>
      </w:r>
      <w:r>
        <w:t xml:space="preserve"> </w:t>
      </w:r>
      <w:r w:rsidRPr="009C4CEA">
        <w:t>rozsahu</w:t>
      </w:r>
      <w:r>
        <w:t xml:space="preserve"> </w:t>
      </w:r>
      <w:r w:rsidRPr="009C4CEA">
        <w:t>a</w:t>
      </w:r>
      <w:r>
        <w:t xml:space="preserve"> </w:t>
      </w:r>
      <w:r w:rsidRPr="009C4CEA">
        <w:t>způsobem</w:t>
      </w:r>
      <w:r>
        <w:t xml:space="preserve"> </w:t>
      </w:r>
      <w:r w:rsidRPr="009C4CEA">
        <w:t>nezbytným</w:t>
      </w:r>
      <w:r>
        <w:t xml:space="preserve"> </w:t>
      </w:r>
      <w:r w:rsidRPr="009C4CEA">
        <w:t>pro</w:t>
      </w:r>
      <w:r>
        <w:t xml:space="preserve"> </w:t>
      </w:r>
      <w:r w:rsidRPr="009C4CEA">
        <w:t>výkon</w:t>
      </w:r>
      <w:r>
        <w:t xml:space="preserve"> </w:t>
      </w:r>
      <w:r w:rsidRPr="009C4CEA">
        <w:t>licencované</w:t>
      </w:r>
      <w:r>
        <w:t xml:space="preserve"> </w:t>
      </w:r>
      <w:r w:rsidRPr="009C4CEA">
        <w:t>činnosti,</w:t>
      </w:r>
    </w:p>
    <w:p w14:paraId="0C1E7C46" w14:textId="421CC51B" w:rsidR="00085B44" w:rsidRDefault="00085B44" w:rsidP="002E6AEA">
      <w:pPr>
        <w:pStyle w:val="Textparagrafu"/>
        <w:tabs>
          <w:tab w:val="left" w:pos="392"/>
          <w:tab w:val="left" w:pos="854"/>
        </w:tabs>
        <w:spacing w:before="0"/>
        <w:ind w:left="426" w:hanging="426"/>
      </w:pPr>
      <w:r w:rsidRPr="009C4CEA">
        <w:t>i)</w:t>
      </w:r>
      <w:r w:rsidR="004262BA">
        <w:tab/>
      </w:r>
      <w:r w:rsidRPr="009C4CEA">
        <w:t>na</w:t>
      </w:r>
      <w:r>
        <w:t xml:space="preserve"> </w:t>
      </w:r>
      <w:r w:rsidRPr="009C4CEA">
        <w:t>naměřené</w:t>
      </w:r>
      <w:r>
        <w:t xml:space="preserve"> </w:t>
      </w:r>
      <w:r w:rsidRPr="009C4CEA">
        <w:t>a</w:t>
      </w:r>
      <w:r>
        <w:t xml:space="preserve"> </w:t>
      </w:r>
      <w:r w:rsidRPr="009C4CEA">
        <w:t>vyhodnocené</w:t>
      </w:r>
      <w:r>
        <w:t xml:space="preserve"> </w:t>
      </w:r>
      <w:r w:rsidRPr="009C4CEA">
        <w:t>údaje</w:t>
      </w:r>
      <w:r>
        <w:t xml:space="preserve"> </w:t>
      </w:r>
      <w:r w:rsidRPr="009C4CEA">
        <w:t>o</w:t>
      </w:r>
      <w:r>
        <w:t xml:space="preserve"> </w:t>
      </w:r>
      <w:r w:rsidRPr="009C4CEA">
        <w:t>dodávkách</w:t>
      </w:r>
      <w:r>
        <w:t xml:space="preserve"> </w:t>
      </w:r>
      <w:r w:rsidRPr="009C4CEA">
        <w:t>a</w:t>
      </w:r>
      <w:r>
        <w:t xml:space="preserve"> </w:t>
      </w:r>
      <w:r w:rsidRPr="009C4CEA">
        <w:t>odběrech</w:t>
      </w:r>
      <w:r>
        <w:t xml:space="preserve"> </w:t>
      </w:r>
      <w:r w:rsidRPr="009C4CEA">
        <w:t>elektřiny</w:t>
      </w:r>
      <w:r>
        <w:t xml:space="preserve"> </w:t>
      </w:r>
      <w:r w:rsidRPr="009C4CEA">
        <w:t>a</w:t>
      </w:r>
      <w:r>
        <w:t xml:space="preserve"> </w:t>
      </w:r>
      <w:r w:rsidRPr="009C4CEA">
        <w:t>naměřené</w:t>
      </w:r>
      <w:r>
        <w:t xml:space="preserve"> </w:t>
      </w:r>
      <w:r w:rsidRPr="009C4CEA">
        <w:t>a</w:t>
      </w:r>
      <w:r>
        <w:t xml:space="preserve"> </w:t>
      </w:r>
      <w:r w:rsidRPr="009C4CEA">
        <w:t>vyhodnocené</w:t>
      </w:r>
      <w:r>
        <w:t xml:space="preserve"> </w:t>
      </w:r>
      <w:r w:rsidRPr="009C4CEA">
        <w:t>údaje</w:t>
      </w:r>
      <w:r>
        <w:t xml:space="preserve"> </w:t>
      </w:r>
      <w:r w:rsidRPr="009C4CEA">
        <w:t>o</w:t>
      </w:r>
      <w:r>
        <w:t xml:space="preserve"> </w:t>
      </w:r>
      <w:r w:rsidRPr="009C4CEA">
        <w:t>dodávkách</w:t>
      </w:r>
      <w:r>
        <w:t xml:space="preserve"> </w:t>
      </w:r>
      <w:r w:rsidRPr="009C4CEA">
        <w:t>a</w:t>
      </w:r>
      <w:r>
        <w:t xml:space="preserve"> </w:t>
      </w:r>
      <w:r w:rsidRPr="009C4CEA">
        <w:t>odběrech</w:t>
      </w:r>
      <w:r>
        <w:t xml:space="preserve"> </w:t>
      </w:r>
      <w:r w:rsidRPr="009C4CEA">
        <w:t>elektřiny</w:t>
      </w:r>
      <w:r>
        <w:t xml:space="preserve"> </w:t>
      </w:r>
      <w:r w:rsidRPr="009C4CEA">
        <w:t>se</w:t>
      </w:r>
      <w:r>
        <w:t xml:space="preserve"> </w:t>
      </w:r>
      <w:r w:rsidRPr="009C4CEA">
        <w:t>zohledněním</w:t>
      </w:r>
      <w:r>
        <w:t xml:space="preserve"> </w:t>
      </w:r>
      <w:r w:rsidRPr="009C4CEA">
        <w:t>sdílené</w:t>
      </w:r>
      <w:r>
        <w:t xml:space="preserve"> </w:t>
      </w:r>
      <w:r w:rsidRPr="009C4CEA">
        <w:t>elektřiny</w:t>
      </w:r>
      <w:r>
        <w:t xml:space="preserve"> </w:t>
      </w:r>
      <w:r w:rsidRPr="009C4CEA">
        <w:t>v</w:t>
      </w:r>
      <w:r>
        <w:t xml:space="preserve"> </w:t>
      </w:r>
      <w:r w:rsidRPr="009C4CEA">
        <w:t>předávacích</w:t>
      </w:r>
      <w:r>
        <w:t xml:space="preserve"> </w:t>
      </w:r>
      <w:r w:rsidRPr="009C4CEA">
        <w:t>místech</w:t>
      </w:r>
      <w:r>
        <w:t xml:space="preserve"> </w:t>
      </w:r>
      <w:r w:rsidRPr="009C4CEA">
        <w:t>přiřazených</w:t>
      </w:r>
      <w:r>
        <w:t xml:space="preserve"> </w:t>
      </w:r>
      <w:r w:rsidRPr="009C4CEA">
        <w:t>do</w:t>
      </w:r>
      <w:r>
        <w:t xml:space="preserve"> </w:t>
      </w:r>
      <w:r w:rsidRPr="009C4CEA">
        <w:t>skupiny</w:t>
      </w:r>
      <w:r>
        <w:t xml:space="preserve"> </w:t>
      </w:r>
      <w:r w:rsidRPr="009C4CEA">
        <w:t>sdílení</w:t>
      </w:r>
      <w:r>
        <w:t xml:space="preserve"> </w:t>
      </w:r>
      <w:r w:rsidRPr="009C4CEA">
        <w:t>od</w:t>
      </w:r>
      <w:r>
        <w:t xml:space="preserve"> </w:t>
      </w:r>
      <w:r w:rsidRPr="009C4CEA">
        <w:t>datového</w:t>
      </w:r>
      <w:r>
        <w:t xml:space="preserve"> </w:t>
      </w:r>
      <w:r w:rsidRPr="009C4CEA">
        <w:t>centra,</w:t>
      </w:r>
    </w:p>
    <w:p w14:paraId="089232A5" w14:textId="288F1956" w:rsidR="00085B44" w:rsidRDefault="00085B44" w:rsidP="002E6AEA">
      <w:pPr>
        <w:pStyle w:val="Textparagrafu"/>
        <w:tabs>
          <w:tab w:val="left" w:pos="392"/>
          <w:tab w:val="left" w:pos="854"/>
        </w:tabs>
        <w:spacing w:before="0"/>
        <w:ind w:left="426" w:hanging="426"/>
      </w:pPr>
      <w:r w:rsidRPr="009C4CEA">
        <w:lastRenderedPageBreak/>
        <w:t>j)</w:t>
      </w:r>
      <w:r w:rsidR="004262BA">
        <w:tab/>
      </w:r>
      <w:r w:rsidRPr="009C4CEA">
        <w:t>zrušit</w:t>
      </w:r>
      <w:r>
        <w:t xml:space="preserve"> </w:t>
      </w:r>
      <w:r w:rsidRPr="009C4CEA">
        <w:t>rezervaci</w:t>
      </w:r>
      <w:r>
        <w:t xml:space="preserve"> </w:t>
      </w:r>
      <w:r w:rsidRPr="009C4CEA">
        <w:t>výkonu</w:t>
      </w:r>
      <w:r>
        <w:t xml:space="preserve"> </w:t>
      </w:r>
      <w:r w:rsidRPr="009C4CEA">
        <w:t>nebo</w:t>
      </w:r>
      <w:r>
        <w:t xml:space="preserve"> </w:t>
      </w:r>
      <w:r w:rsidRPr="009C4CEA">
        <w:t>rezervaci</w:t>
      </w:r>
      <w:r>
        <w:t xml:space="preserve"> </w:t>
      </w:r>
      <w:r w:rsidRPr="009C4CEA">
        <w:t>příkonu,</w:t>
      </w:r>
      <w:r>
        <w:t xml:space="preserve"> </w:t>
      </w:r>
      <w:r w:rsidRPr="009C4CEA">
        <w:t>pokud</w:t>
      </w:r>
      <w:r>
        <w:t xml:space="preserve"> </w:t>
      </w:r>
      <w:r w:rsidRPr="009C4CEA">
        <w:t>žadatel</w:t>
      </w:r>
      <w:r>
        <w:t xml:space="preserve"> </w:t>
      </w:r>
      <w:r w:rsidRPr="009C4CEA">
        <w:t>o</w:t>
      </w:r>
      <w:r>
        <w:t xml:space="preserve"> </w:t>
      </w:r>
      <w:r w:rsidRPr="009C4CEA">
        <w:t>připojení</w:t>
      </w:r>
      <w:r>
        <w:t xml:space="preserve"> </w:t>
      </w:r>
      <w:r w:rsidRPr="009C4CEA">
        <w:t>prokazatelně</w:t>
      </w:r>
      <w:r>
        <w:t xml:space="preserve"> </w:t>
      </w:r>
      <w:r w:rsidRPr="009C4CEA">
        <w:t>neplní</w:t>
      </w:r>
      <w:r>
        <w:t xml:space="preserve"> </w:t>
      </w:r>
      <w:r w:rsidRPr="009C4CEA">
        <w:t>podmínky</w:t>
      </w:r>
      <w:r>
        <w:t xml:space="preserve"> </w:t>
      </w:r>
      <w:r w:rsidRPr="009C4CEA">
        <w:t>a</w:t>
      </w:r>
      <w:r>
        <w:t xml:space="preserve"> </w:t>
      </w:r>
      <w:r w:rsidRPr="009C4CEA">
        <w:t>termíny</w:t>
      </w:r>
      <w:r>
        <w:t xml:space="preserve"> </w:t>
      </w:r>
      <w:r w:rsidRPr="009C4CEA">
        <w:t>připojení</w:t>
      </w:r>
      <w:r>
        <w:t xml:space="preserve"> </w:t>
      </w:r>
      <w:r w:rsidRPr="009C4CEA">
        <w:t>podle</w:t>
      </w:r>
      <w:r>
        <w:t xml:space="preserve"> </w:t>
      </w:r>
      <w:r w:rsidRPr="009C4CEA">
        <w:t>odstavce</w:t>
      </w:r>
      <w:r>
        <w:t xml:space="preserve"> </w:t>
      </w:r>
      <w:r w:rsidRPr="009C4CEA">
        <w:t>10</w:t>
      </w:r>
      <w:r>
        <w:t xml:space="preserve"> </w:t>
      </w:r>
      <w:r w:rsidRPr="009C4CEA">
        <w:t>písm.</w:t>
      </w:r>
      <w:r>
        <w:t xml:space="preserve"> </w:t>
      </w:r>
      <w:r w:rsidRPr="009C4CEA">
        <w:t>a).</w:t>
      </w:r>
    </w:p>
    <w:p w14:paraId="6BADAAA9" w14:textId="0F98BA60" w:rsidR="00085B44" w:rsidRDefault="00085B44" w:rsidP="0010420C">
      <w:pPr>
        <w:pStyle w:val="Textparagrafu"/>
        <w:tabs>
          <w:tab w:val="left" w:pos="392"/>
          <w:tab w:val="left" w:pos="854"/>
        </w:tabs>
        <w:spacing w:before="120" w:after="120"/>
      </w:pPr>
      <w:r w:rsidRPr="009C4CEA">
        <w:t>(4)</w:t>
      </w:r>
      <w:r>
        <w:t xml:space="preserve"> </w:t>
      </w:r>
      <w:r w:rsidRPr="009C4CEA">
        <w:t>Provozovatel</w:t>
      </w:r>
      <w:r>
        <w:t xml:space="preserve"> </w:t>
      </w:r>
      <w:r w:rsidRPr="009C4CEA">
        <w:t>distribuční</w:t>
      </w:r>
      <w:r>
        <w:t xml:space="preserve"> </w:t>
      </w:r>
      <w:r w:rsidRPr="009C4CEA">
        <w:t>soustavy</w:t>
      </w:r>
      <w:r>
        <w:t xml:space="preserve"> </w:t>
      </w:r>
      <w:r w:rsidRPr="009C4CEA">
        <w:t>je</w:t>
      </w:r>
      <w:r>
        <w:t xml:space="preserve"> </w:t>
      </w:r>
      <w:r w:rsidRPr="009C4CEA">
        <w:t>povinen</w:t>
      </w:r>
      <w:r>
        <w:t xml:space="preserve"> </w:t>
      </w:r>
      <w:r w:rsidRPr="009C4CEA">
        <w:t>zřídit</w:t>
      </w:r>
      <w:r>
        <w:t xml:space="preserve"> </w:t>
      </w:r>
      <w:r w:rsidRPr="009C4CEA">
        <w:t>věcné</w:t>
      </w:r>
      <w:r>
        <w:t xml:space="preserve"> </w:t>
      </w:r>
      <w:r w:rsidRPr="009C4CEA">
        <w:t>břemeno</w:t>
      </w:r>
      <w:r>
        <w:t xml:space="preserve"> </w:t>
      </w:r>
      <w:r w:rsidRPr="009C4CEA">
        <w:t>umožňující</w:t>
      </w:r>
      <w:r>
        <w:t xml:space="preserve"> </w:t>
      </w:r>
      <w:r w:rsidRPr="009C4CEA">
        <w:t>využití</w:t>
      </w:r>
      <w:r>
        <w:t xml:space="preserve"> </w:t>
      </w:r>
      <w:r w:rsidRPr="009C4CEA">
        <w:t>cizí</w:t>
      </w:r>
      <w:r>
        <w:t xml:space="preserve"> </w:t>
      </w:r>
      <w:r w:rsidRPr="009C4CEA">
        <w:t>nemovitosti</w:t>
      </w:r>
      <w:r>
        <w:t xml:space="preserve"> </w:t>
      </w:r>
      <w:r w:rsidRPr="009C4CEA">
        <w:t>nebo</w:t>
      </w:r>
      <w:r>
        <w:t xml:space="preserve"> </w:t>
      </w:r>
      <w:r w:rsidRPr="009C4CEA">
        <w:t>její</w:t>
      </w:r>
      <w:r>
        <w:t xml:space="preserve"> </w:t>
      </w:r>
      <w:r w:rsidRPr="009C4CEA">
        <w:t>části</w:t>
      </w:r>
      <w:r>
        <w:t xml:space="preserve"> </w:t>
      </w:r>
      <w:r w:rsidRPr="009C4CEA">
        <w:t>pro</w:t>
      </w:r>
      <w:r>
        <w:t xml:space="preserve"> </w:t>
      </w:r>
      <w:r w:rsidRPr="009C4CEA">
        <w:t>účely</w:t>
      </w:r>
      <w:r>
        <w:t xml:space="preserve"> </w:t>
      </w:r>
      <w:r w:rsidRPr="009C4CEA">
        <w:t>uvedené</w:t>
      </w:r>
      <w:r>
        <w:t xml:space="preserve"> </w:t>
      </w:r>
      <w:r w:rsidRPr="009C4CEA">
        <w:t>v</w:t>
      </w:r>
      <w:r>
        <w:t xml:space="preserve"> </w:t>
      </w:r>
      <w:r w:rsidRPr="009C4CEA">
        <w:t>odstavci</w:t>
      </w:r>
      <w:r>
        <w:t xml:space="preserve"> </w:t>
      </w:r>
      <w:r w:rsidRPr="009C4CEA">
        <w:t>3</w:t>
      </w:r>
      <w:r>
        <w:t xml:space="preserve"> </w:t>
      </w:r>
      <w:r w:rsidRPr="009C4CEA">
        <w:t>písm.</w:t>
      </w:r>
      <w:r>
        <w:t xml:space="preserve"> </w:t>
      </w:r>
      <w:r w:rsidRPr="009C4CEA">
        <w:t>e),</w:t>
      </w:r>
      <w:r>
        <w:t xml:space="preserve"> </w:t>
      </w:r>
      <w:r w:rsidRPr="009C4CEA">
        <w:t>a</w:t>
      </w:r>
      <w:r>
        <w:t xml:space="preserve"> </w:t>
      </w:r>
      <w:r w:rsidRPr="009C4CEA">
        <w:t>to</w:t>
      </w:r>
      <w:r>
        <w:t xml:space="preserve"> </w:t>
      </w:r>
      <w:r w:rsidRPr="009C4CEA">
        <w:t>smluvně</w:t>
      </w:r>
      <w:r>
        <w:t xml:space="preserve"> </w:t>
      </w:r>
      <w:r w:rsidRPr="009C4CEA">
        <w:t>s</w:t>
      </w:r>
      <w:r>
        <w:t xml:space="preserve"> </w:t>
      </w:r>
      <w:r w:rsidRPr="009C4CEA">
        <w:t>vlastníkem</w:t>
      </w:r>
      <w:r>
        <w:t xml:space="preserve"> </w:t>
      </w:r>
      <w:r w:rsidRPr="009C4CEA">
        <w:t>nemovitosti</w:t>
      </w:r>
      <w:r>
        <w:t xml:space="preserve"> </w:t>
      </w:r>
      <w:r w:rsidRPr="009C4CEA">
        <w:t>za</w:t>
      </w:r>
      <w:r>
        <w:t xml:space="preserve"> </w:t>
      </w:r>
      <w:r w:rsidRPr="009C4CEA">
        <w:t>jednorázovou</w:t>
      </w:r>
      <w:r>
        <w:t xml:space="preserve"> </w:t>
      </w:r>
      <w:r w:rsidRPr="009C4CEA">
        <w:t>náhradu</w:t>
      </w:r>
      <w:r>
        <w:t xml:space="preserve"> </w:t>
      </w:r>
      <w:r w:rsidRPr="009C4CEA">
        <w:t>ve</w:t>
      </w:r>
      <w:r>
        <w:t xml:space="preserve"> </w:t>
      </w:r>
      <w:r w:rsidRPr="009C4CEA">
        <w:t>výši</w:t>
      </w:r>
      <w:r>
        <w:t xml:space="preserve"> </w:t>
      </w:r>
      <w:r w:rsidRPr="00BF3686">
        <w:rPr>
          <w:strike/>
        </w:rPr>
        <w:t xml:space="preserve">ceny zjištěné podle oceňovacího předpisu </w:t>
      </w:r>
      <w:r w:rsidRPr="00BF3686">
        <w:rPr>
          <w:strike/>
          <w:vertAlign w:val="superscript"/>
        </w:rPr>
        <w:t>47)</w:t>
      </w:r>
      <w:r w:rsidR="00BF3686" w:rsidRPr="00BF3686">
        <w:rPr>
          <w:b/>
          <w:bCs/>
        </w:rPr>
        <w:t xml:space="preserve"> </w:t>
      </w:r>
      <w:r w:rsidR="00BF3686" w:rsidRPr="00533343">
        <w:rPr>
          <w:b/>
          <w:bCs/>
        </w:rPr>
        <w:t>zjištěné hodnoty podle zákona o oceňování</w:t>
      </w:r>
      <w:r w:rsidRPr="009C4CEA">
        <w:t>,</w:t>
      </w:r>
      <w:r>
        <w:t xml:space="preserve"> </w:t>
      </w:r>
      <w:r w:rsidRPr="009C4CEA">
        <w:t>pokud</w:t>
      </w:r>
      <w:r>
        <w:t xml:space="preserve"> </w:t>
      </w:r>
      <w:r w:rsidRPr="009C4CEA">
        <w:t>se</w:t>
      </w:r>
      <w:r>
        <w:t xml:space="preserve"> </w:t>
      </w:r>
      <w:r w:rsidRPr="009C4CEA">
        <w:t>strany</w:t>
      </w:r>
      <w:r>
        <w:t xml:space="preserve"> </w:t>
      </w:r>
      <w:r w:rsidRPr="009C4CEA">
        <w:t>nedohodnou</w:t>
      </w:r>
      <w:r>
        <w:t xml:space="preserve"> </w:t>
      </w:r>
      <w:r w:rsidRPr="009C4CEA">
        <w:t>jinak;</w:t>
      </w:r>
      <w:r>
        <w:t xml:space="preserve"> </w:t>
      </w:r>
      <w:r w:rsidRPr="009C4CEA">
        <w:t>v</w:t>
      </w:r>
      <w:r>
        <w:t xml:space="preserve"> </w:t>
      </w:r>
      <w:r w:rsidRPr="009C4CEA">
        <w:t>případě,</w:t>
      </w:r>
      <w:r>
        <w:t xml:space="preserve"> </w:t>
      </w:r>
      <w:r w:rsidRPr="009C4CEA">
        <w:t>že</w:t>
      </w:r>
      <w:r>
        <w:t xml:space="preserve"> </w:t>
      </w:r>
      <w:r w:rsidRPr="009C4CEA">
        <w:t>vlastník</w:t>
      </w:r>
      <w:r>
        <w:t xml:space="preserve"> </w:t>
      </w:r>
      <w:r w:rsidRPr="009C4CEA">
        <w:t>není</w:t>
      </w:r>
      <w:r>
        <w:t xml:space="preserve"> </w:t>
      </w:r>
      <w:r w:rsidRPr="009C4CEA">
        <w:t>znám</w:t>
      </w:r>
      <w:r>
        <w:t xml:space="preserve"> </w:t>
      </w:r>
      <w:r w:rsidRPr="009C4CEA">
        <w:t>nebo</w:t>
      </w:r>
      <w:r>
        <w:t xml:space="preserve"> </w:t>
      </w:r>
      <w:r w:rsidRPr="009C4CEA">
        <w:t>určen</w:t>
      </w:r>
      <w:r>
        <w:t xml:space="preserve"> </w:t>
      </w:r>
      <w:r w:rsidRPr="009C4CEA">
        <w:t>nebo</w:t>
      </w:r>
      <w:r>
        <w:t xml:space="preserve"> </w:t>
      </w:r>
      <w:r w:rsidRPr="009C4CEA">
        <w:t>proto,</w:t>
      </w:r>
      <w:r>
        <w:t xml:space="preserve"> </w:t>
      </w:r>
      <w:r w:rsidRPr="009C4CEA">
        <w:t>že</w:t>
      </w:r>
      <w:r>
        <w:t xml:space="preserve"> </w:t>
      </w:r>
      <w:r w:rsidRPr="009C4CEA">
        <w:t>je</w:t>
      </w:r>
      <w:r>
        <w:t xml:space="preserve"> </w:t>
      </w:r>
      <w:r w:rsidRPr="009C4CEA">
        <w:t>prokazatelně</w:t>
      </w:r>
      <w:r>
        <w:t xml:space="preserve"> </w:t>
      </w:r>
      <w:r w:rsidRPr="009C4CEA">
        <w:t>nedosažitelný</w:t>
      </w:r>
      <w:r>
        <w:t xml:space="preserve"> </w:t>
      </w:r>
      <w:r w:rsidRPr="009C4CEA">
        <w:t>nebo</w:t>
      </w:r>
      <w:r>
        <w:t xml:space="preserve"> </w:t>
      </w:r>
      <w:r w:rsidRPr="009C4CEA">
        <w:t>nečinný</w:t>
      </w:r>
      <w:r>
        <w:t xml:space="preserve"> </w:t>
      </w:r>
      <w:r w:rsidRPr="009C4CEA">
        <w:t>nebo</w:t>
      </w:r>
      <w:r>
        <w:t xml:space="preserve"> </w:t>
      </w:r>
      <w:r w:rsidRPr="009C4CEA">
        <w:t>nedošlo</w:t>
      </w:r>
      <w:r>
        <w:t xml:space="preserve"> </w:t>
      </w:r>
      <w:r w:rsidRPr="009C4CEA">
        <w:t>k</w:t>
      </w:r>
      <w:r>
        <w:t xml:space="preserve"> </w:t>
      </w:r>
      <w:r w:rsidRPr="009C4CEA">
        <w:t>dohodě</w:t>
      </w:r>
      <w:r>
        <w:t xml:space="preserve"> </w:t>
      </w:r>
      <w:r w:rsidRPr="009C4CEA">
        <w:t>s</w:t>
      </w:r>
      <w:r>
        <w:t xml:space="preserve"> </w:t>
      </w:r>
      <w:r w:rsidRPr="009C4CEA">
        <w:t>ním</w:t>
      </w:r>
      <w:r>
        <w:t xml:space="preserve"> </w:t>
      </w:r>
      <w:r w:rsidRPr="009C4CEA">
        <w:t>a</w:t>
      </w:r>
      <w:r>
        <w:t xml:space="preserve"> </w:t>
      </w:r>
      <w:r w:rsidRPr="009C4CEA">
        <w:t>jsou-li</w:t>
      </w:r>
      <w:r>
        <w:t xml:space="preserve"> </w:t>
      </w:r>
      <w:r w:rsidRPr="009C4CEA">
        <w:t>dány</w:t>
      </w:r>
      <w:r>
        <w:t xml:space="preserve"> </w:t>
      </w:r>
      <w:r w:rsidRPr="009C4CEA">
        <w:t>podmínky</w:t>
      </w:r>
      <w:r>
        <w:t xml:space="preserve"> </w:t>
      </w:r>
      <w:r w:rsidRPr="009C4CEA">
        <w:t>pro</w:t>
      </w:r>
      <w:r>
        <w:t xml:space="preserve"> </w:t>
      </w:r>
      <w:r w:rsidRPr="009C4CEA">
        <w:t>omezení</w:t>
      </w:r>
      <w:r>
        <w:t xml:space="preserve"> </w:t>
      </w:r>
      <w:r w:rsidRPr="009C4CEA">
        <w:t>vlastnického</w:t>
      </w:r>
      <w:r>
        <w:t xml:space="preserve"> </w:t>
      </w:r>
      <w:r w:rsidRPr="009C4CEA">
        <w:t>práva</w:t>
      </w:r>
      <w:r>
        <w:t xml:space="preserve"> </w:t>
      </w:r>
      <w:r w:rsidRPr="009C4CEA">
        <w:t>k</w:t>
      </w:r>
      <w:r>
        <w:t xml:space="preserve"> </w:t>
      </w:r>
      <w:r w:rsidRPr="009C4CEA">
        <w:t>pozemku</w:t>
      </w:r>
      <w:r>
        <w:t xml:space="preserve"> </w:t>
      </w:r>
      <w:r w:rsidRPr="009C4CEA">
        <w:t>nebo</w:t>
      </w:r>
      <w:r>
        <w:t xml:space="preserve"> </w:t>
      </w:r>
      <w:r w:rsidRPr="009C4CEA">
        <w:t>ke</w:t>
      </w:r>
      <w:r>
        <w:t xml:space="preserve"> </w:t>
      </w:r>
      <w:r w:rsidRPr="009C4CEA">
        <w:t>stavbě</w:t>
      </w:r>
      <w:r>
        <w:t xml:space="preserve"> </w:t>
      </w:r>
      <w:r w:rsidRPr="009C4CEA">
        <w:t>podle</w:t>
      </w:r>
      <w:r>
        <w:t xml:space="preserve"> </w:t>
      </w:r>
      <w:r w:rsidRPr="009C4CEA">
        <w:t>zvláštního</w:t>
      </w:r>
      <w:r>
        <w:t xml:space="preserve"> </w:t>
      </w:r>
      <w:r w:rsidRPr="009C4CEA">
        <w:t>právního</w:t>
      </w:r>
      <w:r>
        <w:t xml:space="preserve"> </w:t>
      </w:r>
      <w:r w:rsidRPr="009C4CEA">
        <w:t>předpisu4e),</w:t>
      </w:r>
      <w:r>
        <w:t xml:space="preserve"> </w:t>
      </w:r>
      <w:r w:rsidRPr="009C4CEA">
        <w:t>vydá</w:t>
      </w:r>
      <w:r>
        <w:t xml:space="preserve"> </w:t>
      </w:r>
      <w:r w:rsidRPr="009C4CEA">
        <w:t>příslušný</w:t>
      </w:r>
      <w:r>
        <w:t xml:space="preserve"> </w:t>
      </w:r>
      <w:r w:rsidRPr="009C4CEA">
        <w:t>vyvlastňovací</w:t>
      </w:r>
      <w:r>
        <w:t xml:space="preserve"> </w:t>
      </w:r>
      <w:r w:rsidRPr="009C4CEA">
        <w:t>úřad</w:t>
      </w:r>
      <w:r>
        <w:t xml:space="preserve"> </w:t>
      </w:r>
      <w:r w:rsidRPr="009C4CEA">
        <w:t>na</w:t>
      </w:r>
      <w:r>
        <w:t xml:space="preserve"> </w:t>
      </w:r>
      <w:r w:rsidRPr="009C4CEA">
        <w:t>návrh</w:t>
      </w:r>
      <w:r>
        <w:t xml:space="preserve"> </w:t>
      </w:r>
      <w:r w:rsidRPr="009C4CEA">
        <w:t>příslušného</w:t>
      </w:r>
      <w:r>
        <w:t xml:space="preserve"> </w:t>
      </w:r>
      <w:r w:rsidRPr="009C4CEA">
        <w:t>provozovatele</w:t>
      </w:r>
      <w:r>
        <w:t xml:space="preserve"> </w:t>
      </w:r>
      <w:r w:rsidRPr="009C4CEA">
        <w:t>distribuční</w:t>
      </w:r>
      <w:r>
        <w:t xml:space="preserve"> </w:t>
      </w:r>
      <w:r w:rsidRPr="009C4CEA">
        <w:t>soustavy</w:t>
      </w:r>
      <w:r>
        <w:t xml:space="preserve"> </w:t>
      </w:r>
      <w:r w:rsidRPr="009C4CEA">
        <w:t>rozhodnutí</w:t>
      </w:r>
      <w:r>
        <w:t xml:space="preserve"> </w:t>
      </w:r>
      <w:r w:rsidRPr="009C4CEA">
        <w:t>o</w:t>
      </w:r>
      <w:r>
        <w:t xml:space="preserve"> </w:t>
      </w:r>
      <w:r w:rsidRPr="009C4CEA">
        <w:t>zřízení</w:t>
      </w:r>
      <w:r>
        <w:t xml:space="preserve"> </w:t>
      </w:r>
      <w:r w:rsidRPr="009C4CEA">
        <w:t>věcného</w:t>
      </w:r>
      <w:r>
        <w:t xml:space="preserve"> </w:t>
      </w:r>
      <w:r w:rsidRPr="009C4CEA">
        <w:t>břemene</w:t>
      </w:r>
      <w:r>
        <w:t xml:space="preserve"> </w:t>
      </w:r>
      <w:r w:rsidRPr="009C4CEA">
        <w:t>umožňujícího</w:t>
      </w:r>
      <w:r>
        <w:t xml:space="preserve"> </w:t>
      </w:r>
      <w:r w:rsidRPr="009C4CEA">
        <w:t>využití</w:t>
      </w:r>
      <w:r>
        <w:t xml:space="preserve"> </w:t>
      </w:r>
      <w:r w:rsidRPr="009C4CEA">
        <w:t>této</w:t>
      </w:r>
      <w:r>
        <w:t xml:space="preserve"> </w:t>
      </w:r>
      <w:r w:rsidRPr="009C4CEA">
        <w:t>nemovitosti</w:t>
      </w:r>
      <w:r>
        <w:t xml:space="preserve"> </w:t>
      </w:r>
      <w:r w:rsidRPr="009C4CEA">
        <w:t>nebo</w:t>
      </w:r>
      <w:r>
        <w:t xml:space="preserve"> </w:t>
      </w:r>
      <w:r w:rsidRPr="009C4CEA">
        <w:t>její</w:t>
      </w:r>
      <w:r>
        <w:t xml:space="preserve"> </w:t>
      </w:r>
      <w:r w:rsidRPr="009C4CEA">
        <w:t>části.</w:t>
      </w:r>
      <w:r>
        <w:t xml:space="preserve"> </w:t>
      </w:r>
      <w:r w:rsidRPr="009C4CEA">
        <w:t>To</w:t>
      </w:r>
      <w:r>
        <w:t xml:space="preserve"> </w:t>
      </w:r>
      <w:r w:rsidRPr="009C4CEA">
        <w:t>platí</w:t>
      </w:r>
      <w:r>
        <w:t xml:space="preserve"> </w:t>
      </w:r>
      <w:r w:rsidRPr="009C4CEA">
        <w:t>i</w:t>
      </w:r>
      <w:r>
        <w:t xml:space="preserve"> </w:t>
      </w:r>
      <w:r w:rsidRPr="009C4CEA">
        <w:t>v</w:t>
      </w:r>
      <w:r>
        <w:t xml:space="preserve"> </w:t>
      </w:r>
      <w:r w:rsidRPr="009C4CEA">
        <w:t>případě,</w:t>
      </w:r>
      <w:r>
        <w:t xml:space="preserve"> </w:t>
      </w:r>
      <w:r w:rsidRPr="009C4CEA">
        <w:t>kdy</w:t>
      </w:r>
      <w:r>
        <w:t xml:space="preserve"> </w:t>
      </w:r>
      <w:r w:rsidRPr="009C4CEA">
        <w:t>je</w:t>
      </w:r>
      <w:r>
        <w:t xml:space="preserve"> </w:t>
      </w:r>
      <w:r w:rsidRPr="009C4CEA">
        <w:t>stavba,</w:t>
      </w:r>
      <w:r>
        <w:t xml:space="preserve"> </w:t>
      </w:r>
      <w:r w:rsidRPr="009C4CEA">
        <w:t>pro</w:t>
      </w:r>
      <w:r>
        <w:t xml:space="preserve"> </w:t>
      </w:r>
      <w:r w:rsidRPr="009C4CEA">
        <w:t>kterou</w:t>
      </w:r>
      <w:r>
        <w:t xml:space="preserve"> </w:t>
      </w:r>
      <w:r w:rsidRPr="009C4CEA">
        <w:t>se</w:t>
      </w:r>
      <w:r>
        <w:t xml:space="preserve"> </w:t>
      </w:r>
      <w:r w:rsidRPr="009C4CEA">
        <w:t>právo</w:t>
      </w:r>
      <w:r>
        <w:t xml:space="preserve"> </w:t>
      </w:r>
      <w:r w:rsidRPr="009C4CEA">
        <w:t>vyvlastňuje,</w:t>
      </w:r>
      <w:r>
        <w:t xml:space="preserve"> </w:t>
      </w:r>
      <w:r w:rsidRPr="009C4CEA">
        <w:t>zřizována</w:t>
      </w:r>
      <w:r>
        <w:t xml:space="preserve"> </w:t>
      </w:r>
      <w:r w:rsidRPr="009C4CEA">
        <w:t>nebo</w:t>
      </w:r>
      <w:r>
        <w:t xml:space="preserve"> </w:t>
      </w:r>
      <w:r w:rsidRPr="009C4CEA">
        <w:t>již</w:t>
      </w:r>
      <w:r>
        <w:t xml:space="preserve"> </w:t>
      </w:r>
      <w:r w:rsidRPr="009C4CEA">
        <w:t>byla</w:t>
      </w:r>
      <w:r>
        <w:t xml:space="preserve"> </w:t>
      </w:r>
      <w:r w:rsidRPr="009C4CEA">
        <w:t>zřízena</w:t>
      </w:r>
      <w:r>
        <w:t xml:space="preserve"> </w:t>
      </w:r>
      <w:r w:rsidRPr="009C4CEA">
        <w:t>a</w:t>
      </w:r>
      <w:r>
        <w:t xml:space="preserve"> </w:t>
      </w:r>
      <w:r w:rsidRPr="009C4CEA">
        <w:t>zřízení</w:t>
      </w:r>
      <w:r>
        <w:t xml:space="preserve"> </w:t>
      </w:r>
      <w:r w:rsidRPr="009C4CEA">
        <w:t>věcného</w:t>
      </w:r>
      <w:r>
        <w:t xml:space="preserve"> </w:t>
      </w:r>
      <w:r w:rsidRPr="009C4CEA">
        <w:t>břemene</w:t>
      </w:r>
      <w:r>
        <w:t xml:space="preserve"> </w:t>
      </w:r>
      <w:r w:rsidRPr="009C4CEA">
        <w:t>nezmařil</w:t>
      </w:r>
      <w:r>
        <w:t xml:space="preserve"> </w:t>
      </w:r>
      <w:r w:rsidRPr="009C4CEA">
        <w:t>provozovatel</w:t>
      </w:r>
      <w:r>
        <w:t xml:space="preserve"> </w:t>
      </w:r>
      <w:r w:rsidRPr="009C4CEA">
        <w:t>distribuční</w:t>
      </w:r>
      <w:r>
        <w:t xml:space="preserve"> </w:t>
      </w:r>
      <w:r w:rsidRPr="009C4CEA">
        <w:t>soustavy.</w:t>
      </w:r>
    </w:p>
    <w:p w14:paraId="00791854" w14:textId="77777777" w:rsidR="00085B44" w:rsidRDefault="00085B44" w:rsidP="0010420C">
      <w:pPr>
        <w:pStyle w:val="Textparagrafu"/>
        <w:tabs>
          <w:tab w:val="left" w:pos="392"/>
          <w:tab w:val="left" w:pos="854"/>
        </w:tabs>
        <w:spacing w:before="120" w:after="120"/>
      </w:pPr>
      <w:r w:rsidRPr="009C4CEA">
        <w:t>(5)</w:t>
      </w:r>
      <w:r>
        <w:t xml:space="preserve"> </w:t>
      </w:r>
      <w:r w:rsidRPr="009C4CEA">
        <w:t>V</w:t>
      </w:r>
      <w:r>
        <w:t xml:space="preserve"> </w:t>
      </w:r>
      <w:r w:rsidRPr="009C4CEA">
        <w:t>případech</w:t>
      </w:r>
      <w:r>
        <w:t xml:space="preserve"> </w:t>
      </w:r>
      <w:r w:rsidRPr="009C4CEA">
        <w:t>uvedených</w:t>
      </w:r>
      <w:r>
        <w:t xml:space="preserve"> </w:t>
      </w:r>
      <w:r w:rsidRPr="009C4CEA">
        <w:t>v</w:t>
      </w:r>
      <w:r>
        <w:t xml:space="preserve"> </w:t>
      </w:r>
      <w:r w:rsidRPr="009C4CEA">
        <w:t>odstavci</w:t>
      </w:r>
      <w:r>
        <w:t xml:space="preserve"> </w:t>
      </w:r>
      <w:r w:rsidRPr="009C4CEA">
        <w:t>3</w:t>
      </w:r>
      <w:r>
        <w:t xml:space="preserve"> </w:t>
      </w:r>
      <w:r w:rsidRPr="009C4CEA">
        <w:t>písm.</w:t>
      </w:r>
      <w:r>
        <w:t xml:space="preserve"> </w:t>
      </w:r>
      <w:r w:rsidRPr="009C4CEA">
        <w:t>c)</w:t>
      </w:r>
      <w:r>
        <w:t xml:space="preserve"> </w:t>
      </w:r>
      <w:r w:rsidRPr="009C4CEA">
        <w:t>bodu</w:t>
      </w:r>
      <w:r>
        <w:t xml:space="preserve"> </w:t>
      </w:r>
      <w:r w:rsidRPr="009C4CEA">
        <w:t>5</w:t>
      </w:r>
      <w:r>
        <w:t xml:space="preserve"> </w:t>
      </w:r>
      <w:r w:rsidRPr="009C4CEA">
        <w:t>a</w:t>
      </w:r>
      <w:r>
        <w:t xml:space="preserve"> </w:t>
      </w:r>
      <w:r w:rsidRPr="009C4CEA">
        <w:t>písm.</w:t>
      </w:r>
      <w:r>
        <w:t xml:space="preserve"> </w:t>
      </w:r>
      <w:r w:rsidRPr="009C4CEA">
        <w:t>d)</w:t>
      </w:r>
      <w:r>
        <w:t xml:space="preserve"> </w:t>
      </w:r>
      <w:r w:rsidRPr="009C4CEA">
        <w:t>bodu</w:t>
      </w:r>
      <w:r>
        <w:t xml:space="preserve"> </w:t>
      </w:r>
      <w:r w:rsidRPr="009C4CEA">
        <w:t>6</w:t>
      </w:r>
      <w:r>
        <w:t xml:space="preserve"> </w:t>
      </w:r>
      <w:r w:rsidRPr="009C4CEA">
        <w:t>je</w:t>
      </w:r>
      <w:r>
        <w:t xml:space="preserve"> </w:t>
      </w:r>
      <w:r w:rsidRPr="009C4CEA">
        <w:t>provozovatel</w:t>
      </w:r>
      <w:r>
        <w:t xml:space="preserve"> </w:t>
      </w:r>
      <w:r w:rsidRPr="009C4CEA">
        <w:t>distribuční</w:t>
      </w:r>
      <w:r>
        <w:t xml:space="preserve"> </w:t>
      </w:r>
      <w:r w:rsidRPr="009C4CEA">
        <w:t>soustavy</w:t>
      </w:r>
      <w:r>
        <w:t xml:space="preserve"> </w:t>
      </w:r>
      <w:r w:rsidRPr="009C4CEA">
        <w:t>povinen</w:t>
      </w:r>
      <w:r>
        <w:t xml:space="preserve"> </w:t>
      </w:r>
      <w:r w:rsidRPr="009C4CEA">
        <w:t>oznámit</w:t>
      </w:r>
      <w:r>
        <w:t xml:space="preserve"> </w:t>
      </w:r>
      <w:r w:rsidRPr="009C4CEA">
        <w:t>započetí</w:t>
      </w:r>
      <w:r>
        <w:t xml:space="preserve"> </w:t>
      </w:r>
      <w:r w:rsidRPr="009C4CEA">
        <w:t>a</w:t>
      </w:r>
      <w:r>
        <w:t xml:space="preserve"> </w:t>
      </w:r>
      <w:r w:rsidRPr="009C4CEA">
        <w:t>skončení</w:t>
      </w:r>
      <w:r>
        <w:t xml:space="preserve"> </w:t>
      </w:r>
      <w:r w:rsidRPr="009C4CEA">
        <w:t>omezení</w:t>
      </w:r>
      <w:r>
        <w:t xml:space="preserve"> </w:t>
      </w:r>
      <w:r w:rsidRPr="009C4CEA">
        <w:t>nebo</w:t>
      </w:r>
      <w:r>
        <w:t xml:space="preserve"> </w:t>
      </w:r>
      <w:r w:rsidRPr="009C4CEA">
        <w:t>přerušení</w:t>
      </w:r>
      <w:r>
        <w:t xml:space="preserve"> </w:t>
      </w:r>
      <w:r w:rsidRPr="009C4CEA">
        <w:t>dodávek</w:t>
      </w:r>
      <w:r>
        <w:t xml:space="preserve"> </w:t>
      </w:r>
      <w:r w:rsidRPr="009C4CEA">
        <w:t>elektřiny</w:t>
      </w:r>
      <w:r>
        <w:t xml:space="preserve"> </w:t>
      </w:r>
      <w:r w:rsidRPr="009C4CEA">
        <w:t>způsobem</w:t>
      </w:r>
      <w:r>
        <w:t xml:space="preserve"> </w:t>
      </w:r>
      <w:r w:rsidRPr="009C4CEA">
        <w:t>v</w:t>
      </w:r>
      <w:r>
        <w:t xml:space="preserve"> </w:t>
      </w:r>
      <w:r w:rsidRPr="009C4CEA">
        <w:t>místě</w:t>
      </w:r>
      <w:r>
        <w:t xml:space="preserve"> </w:t>
      </w:r>
      <w:r w:rsidRPr="009C4CEA">
        <w:t>obvyklým</w:t>
      </w:r>
      <w:r>
        <w:t xml:space="preserve"> </w:t>
      </w:r>
      <w:r w:rsidRPr="009C4CEA">
        <w:t>nebo</w:t>
      </w:r>
      <w:r>
        <w:t xml:space="preserve"> </w:t>
      </w:r>
      <w:r w:rsidRPr="009C4CEA">
        <w:t>s</w:t>
      </w:r>
      <w:r>
        <w:t xml:space="preserve"> </w:t>
      </w:r>
      <w:r w:rsidRPr="009C4CEA">
        <w:t>využitím</w:t>
      </w:r>
      <w:r>
        <w:t xml:space="preserve"> </w:t>
      </w:r>
      <w:r w:rsidRPr="009C4CEA">
        <w:t>elektronických</w:t>
      </w:r>
      <w:r>
        <w:t xml:space="preserve"> </w:t>
      </w:r>
      <w:r w:rsidRPr="009C4CEA">
        <w:t>komunikací</w:t>
      </w:r>
      <w:r>
        <w:t xml:space="preserve"> </w:t>
      </w:r>
      <w:r w:rsidRPr="009C4CEA">
        <w:t>a</w:t>
      </w:r>
      <w:r>
        <w:t xml:space="preserve"> </w:t>
      </w:r>
      <w:r w:rsidRPr="009C4CEA">
        <w:t>uveřejňovat</w:t>
      </w:r>
      <w:r>
        <w:t xml:space="preserve"> </w:t>
      </w:r>
      <w:r w:rsidRPr="009C4CEA">
        <w:t>způsobem</w:t>
      </w:r>
      <w:r>
        <w:t xml:space="preserve"> </w:t>
      </w:r>
      <w:r w:rsidRPr="009C4CEA">
        <w:t>umožňujícím</w:t>
      </w:r>
      <w:r>
        <w:t xml:space="preserve"> </w:t>
      </w:r>
      <w:r w:rsidRPr="009C4CEA">
        <w:t>dálkový</w:t>
      </w:r>
      <w:r>
        <w:t xml:space="preserve"> </w:t>
      </w:r>
      <w:r w:rsidRPr="009C4CEA">
        <w:t>přístup,</w:t>
      </w:r>
      <w:r>
        <w:t xml:space="preserve"> </w:t>
      </w:r>
      <w:r w:rsidRPr="009C4CEA">
        <w:t>nejméně</w:t>
      </w:r>
      <w:r>
        <w:t xml:space="preserve"> </w:t>
      </w:r>
      <w:r w:rsidRPr="009C4CEA">
        <w:t>však</w:t>
      </w:r>
      <w:r>
        <w:t xml:space="preserve"> </w:t>
      </w:r>
      <w:r w:rsidRPr="009C4CEA">
        <w:t>15</w:t>
      </w:r>
      <w:r>
        <w:t xml:space="preserve"> </w:t>
      </w:r>
      <w:r w:rsidRPr="009C4CEA">
        <w:t>dnů</w:t>
      </w:r>
      <w:r>
        <w:t xml:space="preserve"> </w:t>
      </w:r>
      <w:r w:rsidRPr="009C4CEA">
        <w:t>předem.</w:t>
      </w:r>
      <w:r>
        <w:t xml:space="preserve"> </w:t>
      </w:r>
      <w:r w:rsidRPr="009C4CEA">
        <w:t>Ohlašovací</w:t>
      </w:r>
      <w:r>
        <w:t xml:space="preserve"> </w:t>
      </w:r>
      <w:r w:rsidRPr="009C4CEA">
        <w:t>povinnost</w:t>
      </w:r>
      <w:r>
        <w:t xml:space="preserve"> </w:t>
      </w:r>
      <w:r w:rsidRPr="009C4CEA">
        <w:t>nevzniká</w:t>
      </w:r>
      <w:r>
        <w:t xml:space="preserve"> </w:t>
      </w:r>
      <w:r w:rsidRPr="009C4CEA">
        <w:t>při</w:t>
      </w:r>
      <w:r>
        <w:t xml:space="preserve"> </w:t>
      </w:r>
      <w:r w:rsidRPr="009C4CEA">
        <w:t>provádění</w:t>
      </w:r>
      <w:r>
        <w:t xml:space="preserve"> </w:t>
      </w:r>
      <w:r w:rsidRPr="009C4CEA">
        <w:t>nutných</w:t>
      </w:r>
      <w:r>
        <w:t xml:space="preserve"> </w:t>
      </w:r>
      <w:r w:rsidRPr="009C4CEA">
        <w:t>provozních</w:t>
      </w:r>
      <w:r>
        <w:t xml:space="preserve"> </w:t>
      </w:r>
      <w:r w:rsidRPr="009C4CEA">
        <w:t>manipulací,</w:t>
      </w:r>
      <w:r>
        <w:t xml:space="preserve"> </w:t>
      </w:r>
      <w:r w:rsidRPr="009C4CEA">
        <w:t>při</w:t>
      </w:r>
      <w:r>
        <w:t xml:space="preserve"> </w:t>
      </w:r>
      <w:r w:rsidRPr="009C4CEA">
        <w:t>nichž</w:t>
      </w:r>
      <w:r>
        <w:t xml:space="preserve"> </w:t>
      </w:r>
      <w:r w:rsidRPr="009C4CEA">
        <w:t>omezení</w:t>
      </w:r>
      <w:r>
        <w:t xml:space="preserve"> </w:t>
      </w:r>
      <w:r w:rsidRPr="009C4CEA">
        <w:t>nebo</w:t>
      </w:r>
      <w:r>
        <w:t xml:space="preserve"> </w:t>
      </w:r>
      <w:r w:rsidRPr="009C4CEA">
        <w:t>přerušení</w:t>
      </w:r>
      <w:r>
        <w:t xml:space="preserve"> </w:t>
      </w:r>
      <w:r w:rsidRPr="009C4CEA">
        <w:t>dodávky</w:t>
      </w:r>
      <w:r>
        <w:t xml:space="preserve"> </w:t>
      </w:r>
      <w:r w:rsidRPr="009C4CEA">
        <w:t>elektřiny</w:t>
      </w:r>
      <w:r>
        <w:t xml:space="preserve"> </w:t>
      </w:r>
      <w:r w:rsidRPr="009C4CEA">
        <w:t>nepřekročí</w:t>
      </w:r>
      <w:r>
        <w:t xml:space="preserve"> </w:t>
      </w:r>
      <w:r w:rsidRPr="009C4CEA">
        <w:t>20</w:t>
      </w:r>
      <w:r>
        <w:t xml:space="preserve"> </w:t>
      </w:r>
      <w:r w:rsidRPr="009C4CEA">
        <w:t>minut.</w:t>
      </w:r>
    </w:p>
    <w:p w14:paraId="40A6EF8F" w14:textId="77777777" w:rsidR="00085B44" w:rsidRDefault="00085B44" w:rsidP="0010420C">
      <w:pPr>
        <w:pStyle w:val="Textparagrafu"/>
        <w:tabs>
          <w:tab w:val="left" w:pos="392"/>
          <w:tab w:val="left" w:pos="854"/>
        </w:tabs>
        <w:spacing w:before="120" w:after="120"/>
      </w:pPr>
      <w:r w:rsidRPr="009C4CEA">
        <w:t>(6)</w:t>
      </w:r>
      <w:r>
        <w:t xml:space="preserve"> </w:t>
      </w:r>
      <w:r w:rsidRPr="009C4CEA">
        <w:t>V</w:t>
      </w:r>
      <w:r>
        <w:t xml:space="preserve"> </w:t>
      </w:r>
      <w:r w:rsidRPr="009C4CEA">
        <w:t>případech</w:t>
      </w:r>
      <w:r>
        <w:t xml:space="preserve"> </w:t>
      </w:r>
      <w:r w:rsidRPr="009C4CEA">
        <w:t>uvedených</w:t>
      </w:r>
      <w:r>
        <w:t xml:space="preserve"> </w:t>
      </w:r>
      <w:r w:rsidRPr="009C4CEA">
        <w:t>v</w:t>
      </w:r>
      <w:r>
        <w:t xml:space="preserve"> </w:t>
      </w:r>
      <w:r w:rsidRPr="009C4CEA">
        <w:t>odstavci</w:t>
      </w:r>
      <w:r>
        <w:t xml:space="preserve"> </w:t>
      </w:r>
      <w:r w:rsidRPr="009C4CEA">
        <w:t>3</w:t>
      </w:r>
      <w:r>
        <w:t xml:space="preserve"> </w:t>
      </w:r>
      <w:r w:rsidRPr="009C4CEA">
        <w:t>písm.</w:t>
      </w:r>
      <w:r>
        <w:t xml:space="preserve"> </w:t>
      </w:r>
      <w:r w:rsidRPr="009C4CEA">
        <w:t>c)</w:t>
      </w:r>
      <w:r>
        <w:t xml:space="preserve"> </w:t>
      </w:r>
      <w:r w:rsidRPr="009C4CEA">
        <w:t>a</w:t>
      </w:r>
      <w:r>
        <w:t xml:space="preserve"> </w:t>
      </w:r>
      <w:r w:rsidRPr="009C4CEA">
        <w:t>d)</w:t>
      </w:r>
      <w:r>
        <w:t xml:space="preserve"> </w:t>
      </w:r>
      <w:r w:rsidRPr="009C4CEA">
        <w:t>je</w:t>
      </w:r>
      <w:r>
        <w:t xml:space="preserve"> </w:t>
      </w:r>
      <w:r w:rsidRPr="009C4CEA">
        <w:t>provozovatel</w:t>
      </w:r>
      <w:r>
        <w:t xml:space="preserve"> </w:t>
      </w:r>
      <w:r w:rsidRPr="009C4CEA">
        <w:t>distribuční</w:t>
      </w:r>
      <w:r>
        <w:t xml:space="preserve"> </w:t>
      </w:r>
      <w:r w:rsidRPr="009C4CEA">
        <w:t>soustavy</w:t>
      </w:r>
      <w:r>
        <w:t xml:space="preserve"> </w:t>
      </w:r>
      <w:r w:rsidRPr="009C4CEA">
        <w:t>povinen</w:t>
      </w:r>
      <w:r>
        <w:t xml:space="preserve"> </w:t>
      </w:r>
      <w:r w:rsidRPr="009C4CEA">
        <w:t>obnovit</w:t>
      </w:r>
      <w:r>
        <w:t xml:space="preserve"> </w:t>
      </w:r>
      <w:r w:rsidRPr="009C4CEA">
        <w:t>dodávku</w:t>
      </w:r>
      <w:r>
        <w:t xml:space="preserve"> </w:t>
      </w:r>
      <w:r w:rsidRPr="009C4CEA">
        <w:t>elektřiny</w:t>
      </w:r>
      <w:r>
        <w:t xml:space="preserve"> </w:t>
      </w:r>
      <w:r w:rsidRPr="009C4CEA">
        <w:t>bezprostředně</w:t>
      </w:r>
      <w:r>
        <w:t xml:space="preserve"> </w:t>
      </w:r>
      <w:r w:rsidRPr="009C4CEA">
        <w:t>po</w:t>
      </w:r>
      <w:r>
        <w:t xml:space="preserve"> </w:t>
      </w:r>
      <w:r w:rsidRPr="009C4CEA">
        <w:t>odstranění</w:t>
      </w:r>
      <w:r>
        <w:t xml:space="preserve"> </w:t>
      </w:r>
      <w:r w:rsidRPr="009C4CEA">
        <w:t>příčin,</w:t>
      </w:r>
      <w:r>
        <w:t xml:space="preserve"> </w:t>
      </w:r>
      <w:r w:rsidRPr="009C4CEA">
        <w:t>které</w:t>
      </w:r>
      <w:r>
        <w:t xml:space="preserve"> </w:t>
      </w:r>
      <w:r w:rsidRPr="009C4CEA">
        <w:t>vedly</w:t>
      </w:r>
      <w:r>
        <w:t xml:space="preserve"> </w:t>
      </w:r>
      <w:r w:rsidRPr="009C4CEA">
        <w:t>k</w:t>
      </w:r>
      <w:r>
        <w:t xml:space="preserve"> </w:t>
      </w:r>
      <w:r w:rsidRPr="009C4CEA">
        <w:t>jejímu</w:t>
      </w:r>
      <w:r>
        <w:t xml:space="preserve"> </w:t>
      </w:r>
      <w:r w:rsidRPr="009C4CEA">
        <w:t>omezení</w:t>
      </w:r>
      <w:r>
        <w:t xml:space="preserve"> </w:t>
      </w:r>
      <w:r w:rsidRPr="009C4CEA">
        <w:t>nebo</w:t>
      </w:r>
      <w:r>
        <w:t xml:space="preserve"> </w:t>
      </w:r>
      <w:r w:rsidRPr="009C4CEA">
        <w:t>přerušení;</w:t>
      </w:r>
      <w:r>
        <w:t xml:space="preserve"> </w:t>
      </w:r>
      <w:r w:rsidRPr="009C4CEA">
        <w:t>v</w:t>
      </w:r>
      <w:r>
        <w:t xml:space="preserve"> </w:t>
      </w:r>
      <w:r w:rsidRPr="009C4CEA">
        <w:t>případech</w:t>
      </w:r>
      <w:r>
        <w:t xml:space="preserve"> </w:t>
      </w:r>
      <w:r w:rsidRPr="009C4CEA">
        <w:t>uvedených</w:t>
      </w:r>
      <w:r>
        <w:t xml:space="preserve"> </w:t>
      </w:r>
      <w:r w:rsidRPr="009C4CEA">
        <w:t>v</w:t>
      </w:r>
      <w:r>
        <w:t xml:space="preserve"> </w:t>
      </w:r>
      <w:r w:rsidRPr="009C4CEA">
        <w:t>odstavci</w:t>
      </w:r>
      <w:r>
        <w:t xml:space="preserve"> </w:t>
      </w:r>
      <w:r w:rsidRPr="009C4CEA">
        <w:t>3</w:t>
      </w:r>
      <w:r>
        <w:t xml:space="preserve"> </w:t>
      </w:r>
      <w:r w:rsidRPr="009C4CEA">
        <w:t>písm.</w:t>
      </w:r>
      <w:r>
        <w:t xml:space="preserve"> </w:t>
      </w:r>
      <w:r w:rsidRPr="009C4CEA">
        <w:t>c)</w:t>
      </w:r>
      <w:r>
        <w:t xml:space="preserve"> </w:t>
      </w:r>
      <w:r w:rsidRPr="009C4CEA">
        <w:t>bodu</w:t>
      </w:r>
      <w:r>
        <w:t xml:space="preserve"> </w:t>
      </w:r>
      <w:r w:rsidRPr="009C4CEA">
        <w:t>4</w:t>
      </w:r>
      <w:r>
        <w:t xml:space="preserve"> </w:t>
      </w:r>
      <w:r w:rsidRPr="009C4CEA">
        <w:t>a</w:t>
      </w:r>
      <w:r>
        <w:t xml:space="preserve"> </w:t>
      </w:r>
      <w:r w:rsidRPr="009C4CEA">
        <w:t>písm.</w:t>
      </w:r>
      <w:r>
        <w:t xml:space="preserve"> </w:t>
      </w:r>
      <w:r w:rsidRPr="009C4CEA">
        <w:t>d)</w:t>
      </w:r>
      <w:r>
        <w:t xml:space="preserve"> </w:t>
      </w:r>
      <w:r w:rsidRPr="009C4CEA">
        <w:t>bodu</w:t>
      </w:r>
      <w:r>
        <w:t xml:space="preserve"> </w:t>
      </w:r>
      <w:r w:rsidRPr="009C4CEA">
        <w:t>5</w:t>
      </w:r>
      <w:r>
        <w:t xml:space="preserve"> </w:t>
      </w:r>
      <w:r w:rsidRPr="009C4CEA">
        <w:t>je</w:t>
      </w:r>
      <w:r>
        <w:t xml:space="preserve"> </w:t>
      </w:r>
      <w:r w:rsidRPr="009C4CEA">
        <w:t>povinen</w:t>
      </w:r>
      <w:r>
        <w:t xml:space="preserve"> </w:t>
      </w:r>
      <w:r w:rsidRPr="009C4CEA">
        <w:t>obnovit</w:t>
      </w:r>
      <w:r>
        <w:t xml:space="preserve"> </w:t>
      </w:r>
      <w:r w:rsidRPr="009C4CEA">
        <w:t>dodávku</w:t>
      </w:r>
      <w:r>
        <w:t xml:space="preserve"> </w:t>
      </w:r>
      <w:r w:rsidRPr="009C4CEA">
        <w:t>po</w:t>
      </w:r>
      <w:r>
        <w:t xml:space="preserve"> </w:t>
      </w:r>
      <w:r w:rsidRPr="009C4CEA">
        <w:t>úhradě</w:t>
      </w:r>
      <w:r>
        <w:t xml:space="preserve"> </w:t>
      </w:r>
      <w:r w:rsidRPr="009C4CEA">
        <w:t>náhrady</w:t>
      </w:r>
      <w:r>
        <w:t xml:space="preserve"> </w:t>
      </w:r>
      <w:r w:rsidRPr="009C4CEA">
        <w:t>škody.</w:t>
      </w:r>
    </w:p>
    <w:p w14:paraId="5F411EC2" w14:textId="77777777" w:rsidR="00085B44" w:rsidRDefault="00085B44" w:rsidP="0010420C">
      <w:pPr>
        <w:pStyle w:val="Textparagrafu"/>
        <w:tabs>
          <w:tab w:val="left" w:pos="392"/>
          <w:tab w:val="left" w:pos="854"/>
        </w:tabs>
        <w:spacing w:before="120" w:after="120"/>
      </w:pPr>
      <w:r w:rsidRPr="009C4CEA">
        <w:t>(7)</w:t>
      </w:r>
      <w:r>
        <w:t xml:space="preserve"> </w:t>
      </w:r>
      <w:r w:rsidRPr="009C4CEA">
        <w:t>V</w:t>
      </w:r>
      <w:r>
        <w:t xml:space="preserve"> </w:t>
      </w:r>
      <w:r w:rsidRPr="009C4CEA">
        <w:t>případech</w:t>
      </w:r>
      <w:r>
        <w:t xml:space="preserve"> </w:t>
      </w:r>
      <w:r w:rsidRPr="009C4CEA">
        <w:t>uvedených</w:t>
      </w:r>
      <w:r>
        <w:t xml:space="preserve"> </w:t>
      </w:r>
      <w:r w:rsidRPr="009C4CEA">
        <w:t>v</w:t>
      </w:r>
      <w:r>
        <w:t xml:space="preserve"> </w:t>
      </w:r>
      <w:r w:rsidRPr="009C4CEA">
        <w:t>odstavci</w:t>
      </w:r>
      <w:r>
        <w:t xml:space="preserve"> </w:t>
      </w:r>
      <w:r w:rsidRPr="009C4CEA">
        <w:t>3</w:t>
      </w:r>
      <w:r>
        <w:t xml:space="preserve"> </w:t>
      </w:r>
      <w:r w:rsidRPr="009C4CEA">
        <w:t>písm.</w:t>
      </w:r>
      <w:r>
        <w:t xml:space="preserve"> </w:t>
      </w:r>
      <w:r w:rsidRPr="009C4CEA">
        <w:t>c)</w:t>
      </w:r>
      <w:r>
        <w:t xml:space="preserve"> </w:t>
      </w:r>
      <w:r w:rsidRPr="009C4CEA">
        <w:t>a</w:t>
      </w:r>
      <w:r>
        <w:t xml:space="preserve"> </w:t>
      </w:r>
      <w:r w:rsidRPr="009C4CEA">
        <w:t>d)</w:t>
      </w:r>
      <w:r>
        <w:t xml:space="preserve"> </w:t>
      </w:r>
      <w:r w:rsidRPr="009C4CEA">
        <w:t>je</w:t>
      </w:r>
      <w:r>
        <w:t xml:space="preserve"> </w:t>
      </w:r>
      <w:r w:rsidRPr="009C4CEA">
        <w:t>právo</w:t>
      </w:r>
      <w:r>
        <w:t xml:space="preserve"> </w:t>
      </w:r>
      <w:r w:rsidRPr="009C4CEA">
        <w:t>na</w:t>
      </w:r>
      <w:r>
        <w:t xml:space="preserve"> </w:t>
      </w:r>
      <w:r w:rsidRPr="009C4CEA">
        <w:t>náhradu</w:t>
      </w:r>
      <w:r>
        <w:t xml:space="preserve"> </w:t>
      </w:r>
      <w:r w:rsidRPr="009C4CEA">
        <w:t>škody</w:t>
      </w:r>
      <w:r>
        <w:t xml:space="preserve"> </w:t>
      </w:r>
      <w:r w:rsidRPr="009C4CEA">
        <w:t>vyloučeno.</w:t>
      </w:r>
      <w:r>
        <w:t xml:space="preserve"> </w:t>
      </w:r>
      <w:r w:rsidRPr="009C4CEA">
        <w:t>To</w:t>
      </w:r>
      <w:r>
        <w:t xml:space="preserve"> </w:t>
      </w:r>
      <w:r w:rsidRPr="009C4CEA">
        <w:t>neplatí,</w:t>
      </w:r>
      <w:r>
        <w:t xml:space="preserve"> </w:t>
      </w:r>
      <w:r w:rsidRPr="009C4CEA">
        <w:t>nesplní-li</w:t>
      </w:r>
      <w:r>
        <w:t xml:space="preserve"> </w:t>
      </w:r>
      <w:r w:rsidRPr="009C4CEA">
        <w:t>provozovatel</w:t>
      </w:r>
      <w:r>
        <w:t xml:space="preserve"> </w:t>
      </w:r>
      <w:r w:rsidRPr="009C4CEA">
        <w:t>distribuční</w:t>
      </w:r>
      <w:r>
        <w:t xml:space="preserve"> </w:t>
      </w:r>
      <w:r w:rsidRPr="009C4CEA">
        <w:t>soustavy</w:t>
      </w:r>
      <w:r>
        <w:t xml:space="preserve"> </w:t>
      </w:r>
      <w:r w:rsidRPr="009C4CEA">
        <w:t>oznamovací</w:t>
      </w:r>
      <w:r>
        <w:t xml:space="preserve"> </w:t>
      </w:r>
      <w:r w:rsidRPr="009C4CEA">
        <w:t>povinnost</w:t>
      </w:r>
      <w:r>
        <w:t xml:space="preserve"> </w:t>
      </w:r>
      <w:r w:rsidRPr="009C4CEA">
        <w:t>uloženou</w:t>
      </w:r>
      <w:r>
        <w:t xml:space="preserve"> </w:t>
      </w:r>
      <w:r w:rsidRPr="009C4CEA">
        <w:t>podle</w:t>
      </w:r>
      <w:r>
        <w:t xml:space="preserve"> </w:t>
      </w:r>
      <w:r w:rsidRPr="009C4CEA">
        <w:t>odstavce</w:t>
      </w:r>
      <w:r>
        <w:t xml:space="preserve"> </w:t>
      </w:r>
      <w:r w:rsidRPr="009C4CEA">
        <w:t>5</w:t>
      </w:r>
      <w:r>
        <w:t xml:space="preserve"> </w:t>
      </w:r>
      <w:r w:rsidRPr="009C4CEA">
        <w:t>nebo</w:t>
      </w:r>
      <w:r>
        <w:t xml:space="preserve"> </w:t>
      </w:r>
      <w:r w:rsidRPr="009C4CEA">
        <w:t>v</w:t>
      </w:r>
      <w:r>
        <w:t xml:space="preserve"> </w:t>
      </w:r>
      <w:r w:rsidRPr="009C4CEA">
        <w:t>případech,</w:t>
      </w:r>
      <w:r>
        <w:t xml:space="preserve"> </w:t>
      </w:r>
      <w:r w:rsidRPr="009C4CEA">
        <w:t>kdy</w:t>
      </w:r>
      <w:r>
        <w:t xml:space="preserve"> </w:t>
      </w:r>
      <w:r w:rsidRPr="009C4CEA">
        <w:t>poruchu</w:t>
      </w:r>
      <w:r>
        <w:t xml:space="preserve"> </w:t>
      </w:r>
      <w:r w:rsidRPr="009C4CEA">
        <w:t>prokazatelně</w:t>
      </w:r>
      <w:r>
        <w:t xml:space="preserve"> </w:t>
      </w:r>
      <w:r w:rsidRPr="009C4CEA">
        <w:t>zavinil</w:t>
      </w:r>
      <w:r>
        <w:t xml:space="preserve"> </w:t>
      </w:r>
      <w:r w:rsidRPr="009C4CEA">
        <w:t>provozovatel</w:t>
      </w:r>
      <w:r>
        <w:t xml:space="preserve"> </w:t>
      </w:r>
      <w:r w:rsidRPr="009C4CEA">
        <w:t>distribuční</w:t>
      </w:r>
      <w:r>
        <w:t xml:space="preserve"> </w:t>
      </w:r>
      <w:r w:rsidRPr="009C4CEA">
        <w:t>soustavy.</w:t>
      </w:r>
    </w:p>
    <w:p w14:paraId="6045EDAA" w14:textId="77777777" w:rsidR="00085B44" w:rsidRDefault="00085B44" w:rsidP="0010420C">
      <w:pPr>
        <w:pStyle w:val="Textparagrafu"/>
        <w:tabs>
          <w:tab w:val="left" w:pos="392"/>
          <w:tab w:val="left" w:pos="854"/>
        </w:tabs>
        <w:spacing w:before="120" w:after="120"/>
      </w:pPr>
      <w:r w:rsidRPr="009C4CEA">
        <w:t>(8)</w:t>
      </w:r>
      <w:r>
        <w:t xml:space="preserve"> </w:t>
      </w:r>
      <w:r w:rsidRPr="009C4CEA">
        <w:t>Provozovatel</w:t>
      </w:r>
      <w:r>
        <w:t xml:space="preserve"> </w:t>
      </w:r>
      <w:r w:rsidRPr="009C4CEA">
        <w:t>distribuční</w:t>
      </w:r>
      <w:r>
        <w:t xml:space="preserve"> </w:t>
      </w:r>
      <w:r w:rsidRPr="009C4CEA">
        <w:t>soustavy</w:t>
      </w:r>
      <w:r>
        <w:t xml:space="preserve"> </w:t>
      </w:r>
      <w:r w:rsidRPr="009C4CEA">
        <w:t>je</w:t>
      </w:r>
      <w:r>
        <w:t xml:space="preserve"> </w:t>
      </w:r>
      <w:r w:rsidRPr="009C4CEA">
        <w:t>povinen</w:t>
      </w:r>
      <w:r>
        <w:t xml:space="preserve"> </w:t>
      </w:r>
      <w:r w:rsidRPr="009C4CEA">
        <w:t>při</w:t>
      </w:r>
      <w:r>
        <w:t xml:space="preserve"> </w:t>
      </w:r>
      <w:r w:rsidRPr="009C4CEA">
        <w:t>výkonu</w:t>
      </w:r>
      <w:r>
        <w:t xml:space="preserve"> </w:t>
      </w:r>
      <w:r w:rsidRPr="009C4CEA">
        <w:t>oprávnění</w:t>
      </w:r>
      <w:r>
        <w:t xml:space="preserve"> </w:t>
      </w:r>
      <w:r w:rsidRPr="009C4CEA">
        <w:t>podle</w:t>
      </w:r>
      <w:r>
        <w:t xml:space="preserve"> </w:t>
      </w:r>
      <w:r w:rsidRPr="009C4CEA">
        <w:t>odstavce</w:t>
      </w:r>
      <w:r>
        <w:t xml:space="preserve"> </w:t>
      </w:r>
      <w:r w:rsidRPr="009C4CEA">
        <w:t>3</w:t>
      </w:r>
      <w:r>
        <w:t xml:space="preserve"> </w:t>
      </w:r>
      <w:r w:rsidRPr="009C4CEA">
        <w:t>písm.</w:t>
      </w:r>
      <w:r>
        <w:t xml:space="preserve"> </w:t>
      </w:r>
      <w:r w:rsidRPr="009C4CEA">
        <w:t>e)</w:t>
      </w:r>
      <w:r>
        <w:t xml:space="preserve"> </w:t>
      </w:r>
      <w:r w:rsidRPr="009C4CEA">
        <w:t>až</w:t>
      </w:r>
      <w:r>
        <w:t xml:space="preserve"> </w:t>
      </w:r>
      <w:r w:rsidRPr="009C4CEA">
        <w:t>g)</w:t>
      </w:r>
      <w:r>
        <w:t xml:space="preserve"> </w:t>
      </w:r>
      <w:r w:rsidRPr="009C4CEA">
        <w:t>co</w:t>
      </w:r>
      <w:r>
        <w:t xml:space="preserve"> </w:t>
      </w:r>
      <w:r w:rsidRPr="009C4CEA">
        <w:t>nejvíce</w:t>
      </w:r>
      <w:r>
        <w:t xml:space="preserve"> </w:t>
      </w:r>
      <w:r w:rsidRPr="009C4CEA">
        <w:t>šetřit</w:t>
      </w:r>
      <w:r>
        <w:t xml:space="preserve"> </w:t>
      </w:r>
      <w:r w:rsidRPr="009C4CEA">
        <w:t>práv</w:t>
      </w:r>
      <w:r>
        <w:t xml:space="preserve"> </w:t>
      </w:r>
      <w:r w:rsidRPr="009C4CEA">
        <w:t>vlastníků</w:t>
      </w:r>
      <w:r>
        <w:t xml:space="preserve"> </w:t>
      </w:r>
      <w:r w:rsidRPr="009C4CEA">
        <w:t>dotčených</w:t>
      </w:r>
      <w:r>
        <w:t xml:space="preserve"> </w:t>
      </w:r>
      <w:r w:rsidRPr="009C4CEA">
        <w:t>nemovitostí</w:t>
      </w:r>
      <w:r>
        <w:t xml:space="preserve"> </w:t>
      </w:r>
      <w:r w:rsidRPr="009C4CEA">
        <w:t>a</w:t>
      </w:r>
      <w:r>
        <w:t xml:space="preserve"> </w:t>
      </w:r>
      <w:r w:rsidRPr="009C4CEA">
        <w:t>vstup</w:t>
      </w:r>
      <w:r>
        <w:t xml:space="preserve"> </w:t>
      </w:r>
      <w:r w:rsidRPr="009C4CEA">
        <w:t>na</w:t>
      </w:r>
      <w:r>
        <w:t xml:space="preserve"> </w:t>
      </w:r>
      <w:r w:rsidRPr="009C4CEA">
        <w:t>jejich</w:t>
      </w:r>
      <w:r>
        <w:t xml:space="preserve"> </w:t>
      </w:r>
      <w:r w:rsidRPr="009C4CEA">
        <w:t>nemovitosti</w:t>
      </w:r>
      <w:r>
        <w:t xml:space="preserve"> </w:t>
      </w:r>
      <w:r w:rsidRPr="009C4CEA">
        <w:t>jim</w:t>
      </w:r>
      <w:r>
        <w:t xml:space="preserve"> </w:t>
      </w:r>
      <w:r w:rsidRPr="009C4CEA">
        <w:t>bezprostředně</w:t>
      </w:r>
      <w:r>
        <w:t xml:space="preserve"> </w:t>
      </w:r>
      <w:r w:rsidRPr="009C4CEA">
        <w:t>oznámit.</w:t>
      </w:r>
      <w:r>
        <w:t xml:space="preserve"> </w:t>
      </w:r>
      <w:r w:rsidRPr="009C4CEA">
        <w:t>Po</w:t>
      </w:r>
      <w:r>
        <w:t xml:space="preserve"> </w:t>
      </w:r>
      <w:r w:rsidRPr="009C4CEA">
        <w:t>skončení</w:t>
      </w:r>
      <w:r>
        <w:t xml:space="preserve"> </w:t>
      </w:r>
      <w:r w:rsidRPr="009C4CEA">
        <w:t>prací</w:t>
      </w:r>
      <w:r>
        <w:t xml:space="preserve"> </w:t>
      </w:r>
      <w:r w:rsidRPr="009C4CEA">
        <w:t>je</w:t>
      </w:r>
      <w:r>
        <w:t xml:space="preserve"> </w:t>
      </w:r>
      <w:r w:rsidRPr="009C4CEA">
        <w:t>povinen</w:t>
      </w:r>
      <w:r>
        <w:t xml:space="preserve"> </w:t>
      </w:r>
      <w:r w:rsidRPr="009C4CEA">
        <w:t>uvést</w:t>
      </w:r>
      <w:r>
        <w:t xml:space="preserve"> </w:t>
      </w:r>
      <w:r w:rsidRPr="009C4CEA">
        <w:t>nemovitosti</w:t>
      </w:r>
      <w:r>
        <w:t xml:space="preserve"> </w:t>
      </w:r>
      <w:r w:rsidRPr="009C4CEA">
        <w:t>do</w:t>
      </w:r>
      <w:r>
        <w:t xml:space="preserve"> </w:t>
      </w:r>
      <w:r w:rsidRPr="009C4CEA">
        <w:t>předchozího</w:t>
      </w:r>
      <w:r>
        <w:t xml:space="preserve"> </w:t>
      </w:r>
      <w:r w:rsidRPr="009C4CEA">
        <w:t>stavu,</w:t>
      </w:r>
      <w:r>
        <w:t xml:space="preserve"> </w:t>
      </w:r>
      <w:r w:rsidRPr="009C4CEA">
        <w:t>a</w:t>
      </w:r>
      <w:r>
        <w:t xml:space="preserve"> </w:t>
      </w:r>
      <w:r w:rsidRPr="009C4CEA">
        <w:t>není-li</w:t>
      </w:r>
      <w:r>
        <w:t xml:space="preserve"> </w:t>
      </w:r>
      <w:r w:rsidRPr="009C4CEA">
        <w:t>to</w:t>
      </w:r>
      <w:r>
        <w:t xml:space="preserve"> </w:t>
      </w:r>
      <w:r w:rsidRPr="009C4CEA">
        <w:t>možné</w:t>
      </w:r>
      <w:r>
        <w:t xml:space="preserve"> </w:t>
      </w:r>
      <w:r w:rsidRPr="009C4CEA">
        <w:t>s</w:t>
      </w:r>
      <w:r>
        <w:t xml:space="preserve"> </w:t>
      </w:r>
      <w:r w:rsidRPr="009C4CEA">
        <w:t>ohledem</w:t>
      </w:r>
      <w:r>
        <w:t xml:space="preserve"> </w:t>
      </w:r>
      <w:r w:rsidRPr="009C4CEA">
        <w:t>na</w:t>
      </w:r>
      <w:r>
        <w:t xml:space="preserve"> </w:t>
      </w:r>
      <w:r w:rsidRPr="009C4CEA">
        <w:t>povahu</w:t>
      </w:r>
      <w:r>
        <w:t xml:space="preserve"> </w:t>
      </w:r>
      <w:r w:rsidRPr="009C4CEA">
        <w:t>provedených</w:t>
      </w:r>
      <w:r>
        <w:t xml:space="preserve"> </w:t>
      </w:r>
      <w:r w:rsidRPr="009C4CEA">
        <w:t>prací,</w:t>
      </w:r>
      <w:r>
        <w:t xml:space="preserve"> </w:t>
      </w:r>
      <w:r w:rsidRPr="009C4CEA">
        <w:t>do</w:t>
      </w:r>
      <w:r>
        <w:t xml:space="preserve"> </w:t>
      </w:r>
      <w:r w:rsidRPr="009C4CEA">
        <w:t>stavu</w:t>
      </w:r>
      <w:r>
        <w:t xml:space="preserve"> </w:t>
      </w:r>
      <w:r w:rsidRPr="009C4CEA">
        <w:t>odpovídajícího</w:t>
      </w:r>
      <w:r>
        <w:t xml:space="preserve"> </w:t>
      </w:r>
      <w:r w:rsidRPr="009C4CEA">
        <w:t>předchozímu</w:t>
      </w:r>
      <w:r>
        <w:t xml:space="preserve"> </w:t>
      </w:r>
      <w:r w:rsidRPr="009C4CEA">
        <w:t>účelu</w:t>
      </w:r>
      <w:r>
        <w:t xml:space="preserve"> </w:t>
      </w:r>
      <w:r w:rsidRPr="009C4CEA">
        <w:t>nebo</w:t>
      </w:r>
      <w:r>
        <w:t xml:space="preserve"> </w:t>
      </w:r>
      <w:r w:rsidRPr="009C4CEA">
        <w:t>užívání</w:t>
      </w:r>
      <w:r>
        <w:t xml:space="preserve"> </w:t>
      </w:r>
      <w:r w:rsidRPr="009C4CEA">
        <w:t>dotčené</w:t>
      </w:r>
      <w:r>
        <w:t xml:space="preserve"> </w:t>
      </w:r>
      <w:r w:rsidRPr="009C4CEA">
        <w:t>nemovitosti</w:t>
      </w:r>
      <w:r>
        <w:t xml:space="preserve"> </w:t>
      </w:r>
      <w:r w:rsidRPr="009C4CEA">
        <w:t>a</w:t>
      </w:r>
      <w:r>
        <w:t xml:space="preserve"> </w:t>
      </w:r>
      <w:r w:rsidRPr="009C4CEA">
        <w:t>bezprostředně</w:t>
      </w:r>
      <w:r>
        <w:t xml:space="preserve"> </w:t>
      </w:r>
      <w:r w:rsidRPr="009C4CEA">
        <w:t>oznámit</w:t>
      </w:r>
      <w:r>
        <w:t xml:space="preserve"> </w:t>
      </w:r>
      <w:r w:rsidRPr="009C4CEA">
        <w:t>tuto</w:t>
      </w:r>
      <w:r>
        <w:t xml:space="preserve"> </w:t>
      </w:r>
      <w:r w:rsidRPr="009C4CEA">
        <w:t>skutečnost</w:t>
      </w:r>
      <w:r>
        <w:t xml:space="preserve"> </w:t>
      </w:r>
      <w:r w:rsidRPr="009C4CEA">
        <w:t>vlastníku</w:t>
      </w:r>
      <w:r>
        <w:t xml:space="preserve"> </w:t>
      </w:r>
      <w:r w:rsidRPr="009C4CEA">
        <w:t>nemovitosti.</w:t>
      </w:r>
      <w:r>
        <w:t xml:space="preserve"> </w:t>
      </w:r>
      <w:r w:rsidRPr="009C4CEA">
        <w:t>Po</w:t>
      </w:r>
      <w:r>
        <w:t xml:space="preserve"> </w:t>
      </w:r>
      <w:r w:rsidRPr="009C4CEA">
        <w:t>provedení</w:t>
      </w:r>
      <w:r>
        <w:t xml:space="preserve"> </w:t>
      </w:r>
      <w:r w:rsidRPr="009C4CEA">
        <w:t>odstranění</w:t>
      </w:r>
      <w:r>
        <w:t xml:space="preserve"> </w:t>
      </w:r>
      <w:r w:rsidRPr="009C4CEA">
        <w:t>nebo</w:t>
      </w:r>
      <w:r>
        <w:t xml:space="preserve"> </w:t>
      </w:r>
      <w:r w:rsidRPr="009C4CEA">
        <w:t>okleštění</w:t>
      </w:r>
      <w:r>
        <w:t xml:space="preserve"> </w:t>
      </w:r>
      <w:r w:rsidRPr="009C4CEA">
        <w:t>stromoví</w:t>
      </w:r>
      <w:r>
        <w:t xml:space="preserve"> </w:t>
      </w:r>
      <w:r w:rsidRPr="009C4CEA">
        <w:t>je</w:t>
      </w:r>
      <w:r>
        <w:t xml:space="preserve"> </w:t>
      </w:r>
      <w:r w:rsidRPr="009C4CEA">
        <w:t>povinen</w:t>
      </w:r>
      <w:r>
        <w:t xml:space="preserve"> </w:t>
      </w:r>
      <w:r w:rsidRPr="009C4CEA">
        <w:t>na</w:t>
      </w:r>
      <w:r>
        <w:t xml:space="preserve"> </w:t>
      </w:r>
      <w:r w:rsidRPr="009C4CEA">
        <w:t>svůj</w:t>
      </w:r>
      <w:r>
        <w:t xml:space="preserve"> </w:t>
      </w:r>
      <w:r w:rsidRPr="009C4CEA">
        <w:t>náklad</w:t>
      </w:r>
      <w:r>
        <w:t xml:space="preserve"> </w:t>
      </w:r>
      <w:r w:rsidRPr="009C4CEA">
        <w:t>provést</w:t>
      </w:r>
      <w:r>
        <w:t xml:space="preserve"> </w:t>
      </w:r>
      <w:r w:rsidRPr="009C4CEA">
        <w:t>likvidaci</w:t>
      </w:r>
      <w:r>
        <w:t xml:space="preserve"> </w:t>
      </w:r>
      <w:r w:rsidRPr="009C4CEA">
        <w:t>vzniklého</w:t>
      </w:r>
      <w:r>
        <w:t xml:space="preserve"> </w:t>
      </w:r>
      <w:r w:rsidRPr="009C4CEA">
        <w:t>klestu</w:t>
      </w:r>
      <w:r>
        <w:t xml:space="preserve"> </w:t>
      </w:r>
      <w:r w:rsidRPr="009C4CEA">
        <w:t>a</w:t>
      </w:r>
      <w:r>
        <w:t xml:space="preserve"> </w:t>
      </w:r>
      <w:r w:rsidRPr="009C4CEA">
        <w:t>zbytků</w:t>
      </w:r>
      <w:r>
        <w:t xml:space="preserve"> </w:t>
      </w:r>
      <w:r w:rsidRPr="009C4CEA">
        <w:t>po</w:t>
      </w:r>
      <w:r>
        <w:t xml:space="preserve"> </w:t>
      </w:r>
      <w:r w:rsidRPr="009C4CEA">
        <w:t>těžbě.</w:t>
      </w:r>
    </w:p>
    <w:p w14:paraId="75BB6FE4" w14:textId="77777777" w:rsidR="00085B44" w:rsidRDefault="00085B44" w:rsidP="0010420C">
      <w:pPr>
        <w:pStyle w:val="Textparagrafu"/>
        <w:tabs>
          <w:tab w:val="left" w:pos="392"/>
          <w:tab w:val="left" w:pos="854"/>
        </w:tabs>
        <w:spacing w:before="120" w:after="120"/>
      </w:pPr>
      <w:r w:rsidRPr="009C4CEA">
        <w:t>(9)</w:t>
      </w:r>
      <w:r>
        <w:t xml:space="preserve"> </w:t>
      </w:r>
      <w:r w:rsidRPr="009C4CEA">
        <w:t>Pokud</w:t>
      </w:r>
      <w:r>
        <w:t xml:space="preserve"> </w:t>
      </w:r>
      <w:r w:rsidRPr="009C4CEA">
        <w:t>byl</w:t>
      </w:r>
      <w:r>
        <w:t xml:space="preserve"> </w:t>
      </w:r>
      <w:r w:rsidRPr="009C4CEA">
        <w:t>vlastník</w:t>
      </w:r>
      <w:r>
        <w:t xml:space="preserve"> </w:t>
      </w:r>
      <w:r w:rsidRPr="009C4CEA">
        <w:t>nebo</w:t>
      </w:r>
      <w:r>
        <w:t xml:space="preserve"> </w:t>
      </w:r>
      <w:r w:rsidRPr="009C4CEA">
        <w:t>uživatel</w:t>
      </w:r>
      <w:r>
        <w:t xml:space="preserve"> </w:t>
      </w:r>
      <w:r w:rsidRPr="009C4CEA">
        <w:t>nemovitosti</w:t>
      </w:r>
      <w:r>
        <w:t xml:space="preserve"> </w:t>
      </w:r>
      <w:r w:rsidRPr="009C4CEA">
        <w:t>v</w:t>
      </w:r>
      <w:r>
        <w:t xml:space="preserve"> </w:t>
      </w:r>
      <w:r w:rsidRPr="009C4CEA">
        <w:t>důsledku</w:t>
      </w:r>
      <w:r>
        <w:t xml:space="preserve"> </w:t>
      </w:r>
      <w:r w:rsidRPr="009C4CEA">
        <w:t>výkonu</w:t>
      </w:r>
      <w:r>
        <w:t xml:space="preserve"> </w:t>
      </w:r>
      <w:r w:rsidRPr="009C4CEA">
        <w:t>práv</w:t>
      </w:r>
      <w:r>
        <w:t xml:space="preserve"> </w:t>
      </w:r>
      <w:r w:rsidRPr="009C4CEA">
        <w:t>provozovatele</w:t>
      </w:r>
      <w:r>
        <w:t xml:space="preserve"> </w:t>
      </w:r>
      <w:r w:rsidRPr="009C4CEA">
        <w:t>distribuční</w:t>
      </w:r>
      <w:r>
        <w:t xml:space="preserve"> </w:t>
      </w:r>
      <w:r w:rsidRPr="009C4CEA">
        <w:t>soustavy</w:t>
      </w:r>
      <w:r>
        <w:t xml:space="preserve"> </w:t>
      </w:r>
      <w:r w:rsidRPr="009C4CEA">
        <w:t>podle</w:t>
      </w:r>
      <w:r>
        <w:t xml:space="preserve"> </w:t>
      </w:r>
      <w:r w:rsidRPr="009C4CEA">
        <w:t>odstavce</w:t>
      </w:r>
      <w:r>
        <w:t xml:space="preserve"> </w:t>
      </w:r>
      <w:r w:rsidRPr="009C4CEA">
        <w:t>3</w:t>
      </w:r>
      <w:r>
        <w:t xml:space="preserve"> </w:t>
      </w:r>
      <w:r w:rsidRPr="009C4CEA">
        <w:t>písm.</w:t>
      </w:r>
      <w:r>
        <w:t xml:space="preserve"> </w:t>
      </w:r>
      <w:r w:rsidRPr="009C4CEA">
        <w:t>e)</w:t>
      </w:r>
      <w:r>
        <w:t xml:space="preserve"> </w:t>
      </w:r>
      <w:r w:rsidRPr="009C4CEA">
        <w:t>a</w:t>
      </w:r>
      <w:r>
        <w:t xml:space="preserve"> </w:t>
      </w:r>
      <w:r w:rsidRPr="009C4CEA">
        <w:t>f)</w:t>
      </w:r>
      <w:r>
        <w:t xml:space="preserve"> </w:t>
      </w:r>
      <w:r w:rsidRPr="009C4CEA">
        <w:t>omezen</w:t>
      </w:r>
      <w:r>
        <w:t xml:space="preserve"> </w:t>
      </w:r>
      <w:r w:rsidRPr="009C4CEA">
        <w:t>v</w:t>
      </w:r>
      <w:r>
        <w:t xml:space="preserve"> </w:t>
      </w:r>
      <w:r w:rsidRPr="009C4CEA">
        <w:t>obvyklém</w:t>
      </w:r>
      <w:r>
        <w:t xml:space="preserve"> </w:t>
      </w:r>
      <w:r w:rsidRPr="009C4CEA">
        <w:t>užívání</w:t>
      </w:r>
      <w:r>
        <w:t xml:space="preserve"> </w:t>
      </w:r>
      <w:r w:rsidRPr="009C4CEA">
        <w:t>nemovitosti</w:t>
      </w:r>
      <w:r>
        <w:t xml:space="preserve"> </w:t>
      </w:r>
      <w:r w:rsidRPr="009C4CEA">
        <w:t>nebo</w:t>
      </w:r>
      <w:r>
        <w:t xml:space="preserve"> </w:t>
      </w:r>
      <w:r w:rsidRPr="009C4CEA">
        <w:t>mu</w:t>
      </w:r>
      <w:r>
        <w:t xml:space="preserve"> </w:t>
      </w:r>
      <w:r w:rsidRPr="009C4CEA">
        <w:t>vznikla</w:t>
      </w:r>
      <w:r>
        <w:t xml:space="preserve"> </w:t>
      </w:r>
      <w:r w:rsidRPr="009C4CEA">
        <w:t>újma</w:t>
      </w:r>
      <w:r>
        <w:t xml:space="preserve"> </w:t>
      </w:r>
      <w:r w:rsidRPr="009C4CEA">
        <w:t>na</w:t>
      </w:r>
      <w:r>
        <w:t xml:space="preserve"> </w:t>
      </w:r>
      <w:r w:rsidRPr="009C4CEA">
        <w:t>majetku,</w:t>
      </w:r>
      <w:r>
        <w:t xml:space="preserve"> </w:t>
      </w:r>
      <w:r w:rsidRPr="009C4CEA">
        <w:t>má</w:t>
      </w:r>
      <w:r>
        <w:t xml:space="preserve"> </w:t>
      </w:r>
      <w:r w:rsidRPr="009C4CEA">
        <w:t>právo</w:t>
      </w:r>
      <w:r>
        <w:t xml:space="preserve"> </w:t>
      </w:r>
      <w:r w:rsidRPr="009C4CEA">
        <w:t>na</w:t>
      </w:r>
      <w:r>
        <w:t xml:space="preserve"> </w:t>
      </w:r>
      <w:r w:rsidRPr="009C4CEA">
        <w:t>přiměřenou</w:t>
      </w:r>
      <w:r>
        <w:t xml:space="preserve"> </w:t>
      </w:r>
      <w:r w:rsidRPr="009C4CEA">
        <w:t>jednorázovou</w:t>
      </w:r>
      <w:r>
        <w:t xml:space="preserve"> </w:t>
      </w:r>
      <w:r w:rsidRPr="009C4CEA">
        <w:t>náhradu5).</w:t>
      </w:r>
      <w:r>
        <w:t xml:space="preserve"> </w:t>
      </w:r>
      <w:r w:rsidRPr="009C4CEA">
        <w:t>Právo</w:t>
      </w:r>
      <w:r>
        <w:t xml:space="preserve"> </w:t>
      </w:r>
      <w:r w:rsidRPr="009C4CEA">
        <w:t>na</w:t>
      </w:r>
      <w:r>
        <w:t xml:space="preserve"> </w:t>
      </w:r>
      <w:r w:rsidRPr="009C4CEA">
        <w:t>náhradu</w:t>
      </w:r>
      <w:r>
        <w:t xml:space="preserve"> </w:t>
      </w:r>
      <w:r w:rsidRPr="009C4CEA">
        <w:t>podle</w:t>
      </w:r>
      <w:r>
        <w:t xml:space="preserve"> </w:t>
      </w:r>
      <w:r w:rsidRPr="009C4CEA">
        <w:t>věty</w:t>
      </w:r>
      <w:r>
        <w:t xml:space="preserve"> </w:t>
      </w:r>
      <w:r w:rsidRPr="009C4CEA">
        <w:t>první</w:t>
      </w:r>
      <w:r>
        <w:t xml:space="preserve"> </w:t>
      </w:r>
      <w:r w:rsidRPr="009C4CEA">
        <w:t>lze</w:t>
      </w:r>
      <w:r>
        <w:t xml:space="preserve"> </w:t>
      </w:r>
      <w:r w:rsidRPr="009C4CEA">
        <w:t>uplatnit</w:t>
      </w:r>
      <w:r>
        <w:t xml:space="preserve"> </w:t>
      </w:r>
      <w:r w:rsidRPr="009C4CEA">
        <w:t>u</w:t>
      </w:r>
      <w:r>
        <w:t xml:space="preserve"> </w:t>
      </w:r>
      <w:r w:rsidRPr="009C4CEA">
        <w:t>provozovatele</w:t>
      </w:r>
      <w:r>
        <w:t xml:space="preserve"> </w:t>
      </w:r>
      <w:r w:rsidRPr="009C4CEA">
        <w:t>distribuční</w:t>
      </w:r>
      <w:r>
        <w:t xml:space="preserve"> </w:t>
      </w:r>
      <w:r w:rsidRPr="009C4CEA">
        <w:t>soustavy</w:t>
      </w:r>
      <w:r>
        <w:t xml:space="preserve"> </w:t>
      </w:r>
      <w:r w:rsidRPr="009C4CEA">
        <w:t>do</w:t>
      </w:r>
      <w:r>
        <w:t xml:space="preserve"> </w:t>
      </w:r>
      <w:r w:rsidRPr="009C4CEA">
        <w:t>2</w:t>
      </w:r>
      <w:r>
        <w:t xml:space="preserve"> </w:t>
      </w:r>
      <w:r w:rsidRPr="009C4CEA">
        <w:t>let</w:t>
      </w:r>
      <w:r>
        <w:t xml:space="preserve"> </w:t>
      </w:r>
      <w:r w:rsidRPr="009C4CEA">
        <w:t>ode</w:t>
      </w:r>
      <w:r>
        <w:t xml:space="preserve"> </w:t>
      </w:r>
      <w:r w:rsidRPr="009C4CEA">
        <w:t>dne,</w:t>
      </w:r>
      <w:r>
        <w:t xml:space="preserve"> </w:t>
      </w:r>
      <w:r w:rsidRPr="009C4CEA">
        <w:t>kdy</w:t>
      </w:r>
      <w:r>
        <w:t xml:space="preserve"> </w:t>
      </w:r>
      <w:r w:rsidRPr="009C4CEA">
        <w:t>k</w:t>
      </w:r>
      <w:r>
        <w:t xml:space="preserve"> </w:t>
      </w:r>
      <w:r w:rsidRPr="009C4CEA">
        <w:t>omezení</w:t>
      </w:r>
      <w:r>
        <w:t xml:space="preserve"> </w:t>
      </w:r>
      <w:r w:rsidRPr="009C4CEA">
        <w:t>nebo</w:t>
      </w:r>
      <w:r>
        <w:t xml:space="preserve"> </w:t>
      </w:r>
      <w:r w:rsidRPr="009C4CEA">
        <w:t>újmě</w:t>
      </w:r>
      <w:r>
        <w:t xml:space="preserve"> </w:t>
      </w:r>
      <w:r w:rsidRPr="009C4CEA">
        <w:t>došlo,</w:t>
      </w:r>
      <w:r>
        <w:t xml:space="preserve"> </w:t>
      </w:r>
      <w:r w:rsidRPr="009C4CEA">
        <w:t>jinak</w:t>
      </w:r>
      <w:r>
        <w:t xml:space="preserve"> </w:t>
      </w:r>
      <w:r w:rsidRPr="009C4CEA">
        <w:t>právo</w:t>
      </w:r>
      <w:r>
        <w:t xml:space="preserve"> </w:t>
      </w:r>
      <w:r w:rsidRPr="009C4CEA">
        <w:t>zaniká.</w:t>
      </w:r>
    </w:p>
    <w:p w14:paraId="32C07591" w14:textId="77777777" w:rsidR="00085B44" w:rsidRDefault="00085B44" w:rsidP="0010420C">
      <w:pPr>
        <w:pStyle w:val="Textparagrafu"/>
        <w:tabs>
          <w:tab w:val="left" w:pos="392"/>
          <w:tab w:val="left" w:pos="854"/>
        </w:tabs>
        <w:spacing w:before="120" w:after="120"/>
      </w:pPr>
      <w:r w:rsidRPr="009C4CEA">
        <w:t>(10)</w:t>
      </w:r>
      <w:r>
        <w:t xml:space="preserve"> </w:t>
      </w:r>
      <w:r w:rsidRPr="009C4CEA">
        <w:t>Provozovatel</w:t>
      </w:r>
      <w:r>
        <w:t xml:space="preserve"> </w:t>
      </w:r>
      <w:r w:rsidRPr="009C4CEA">
        <w:t>distribuční</w:t>
      </w:r>
      <w:r>
        <w:t xml:space="preserve"> </w:t>
      </w:r>
      <w:r w:rsidRPr="009C4CEA">
        <w:t>soustavy</w:t>
      </w:r>
      <w:r>
        <w:t xml:space="preserve"> </w:t>
      </w:r>
      <w:r w:rsidRPr="009C4CEA">
        <w:t>je</w:t>
      </w:r>
      <w:r>
        <w:t xml:space="preserve"> </w:t>
      </w:r>
      <w:r w:rsidRPr="009C4CEA">
        <w:t>dále</w:t>
      </w:r>
      <w:r>
        <w:t xml:space="preserve"> </w:t>
      </w:r>
      <w:r w:rsidRPr="009C4CEA">
        <w:t>povinen</w:t>
      </w:r>
    </w:p>
    <w:p w14:paraId="1C6AF958" w14:textId="12DBDA05" w:rsidR="00085B44" w:rsidRDefault="00085B44" w:rsidP="002E6AEA">
      <w:pPr>
        <w:pStyle w:val="Textparagrafu"/>
        <w:tabs>
          <w:tab w:val="left" w:pos="392"/>
          <w:tab w:val="left" w:pos="854"/>
        </w:tabs>
        <w:spacing w:before="0"/>
        <w:ind w:left="426" w:hanging="426"/>
      </w:pPr>
      <w:r w:rsidRPr="009C4CEA">
        <w:t>a)</w:t>
      </w:r>
      <w:r w:rsidR="004262BA">
        <w:tab/>
      </w:r>
      <w:r w:rsidRPr="009C4CEA">
        <w:t>každému,</w:t>
      </w:r>
      <w:r>
        <w:t xml:space="preserve"> </w:t>
      </w:r>
      <w:r w:rsidRPr="009C4CEA">
        <w:t>kdo</w:t>
      </w:r>
      <w:r>
        <w:t xml:space="preserve"> </w:t>
      </w:r>
      <w:r w:rsidRPr="009C4CEA">
        <w:t>požádá</w:t>
      </w:r>
      <w:r>
        <w:t xml:space="preserve"> </w:t>
      </w:r>
      <w:r w:rsidRPr="009C4CEA">
        <w:t>o</w:t>
      </w:r>
      <w:r>
        <w:t xml:space="preserve"> </w:t>
      </w:r>
      <w:r w:rsidRPr="009C4CEA">
        <w:t>připojení</w:t>
      </w:r>
      <w:r>
        <w:t xml:space="preserve"> </w:t>
      </w:r>
      <w:r w:rsidRPr="009C4CEA">
        <w:t>k</w:t>
      </w:r>
      <w:r>
        <w:t xml:space="preserve"> </w:t>
      </w:r>
      <w:r w:rsidRPr="009C4CEA">
        <w:t>distribuční</w:t>
      </w:r>
      <w:r>
        <w:t xml:space="preserve"> </w:t>
      </w:r>
      <w:r w:rsidRPr="009C4CEA">
        <w:t>soustavě,</w:t>
      </w:r>
      <w:r>
        <w:t xml:space="preserve"> </w:t>
      </w:r>
      <w:r w:rsidRPr="009C4CEA">
        <w:t>stanovit</w:t>
      </w:r>
      <w:r>
        <w:t xml:space="preserve"> </w:t>
      </w:r>
      <w:r w:rsidRPr="009C4CEA">
        <w:t>místo,</w:t>
      </w:r>
      <w:r>
        <w:t xml:space="preserve"> </w:t>
      </w:r>
      <w:r w:rsidRPr="009C4CEA">
        <w:t>způsob,</w:t>
      </w:r>
      <w:r>
        <w:t xml:space="preserve"> </w:t>
      </w:r>
      <w:r w:rsidRPr="009C4CEA">
        <w:t>včetně</w:t>
      </w:r>
      <w:r>
        <w:t xml:space="preserve"> </w:t>
      </w:r>
      <w:r w:rsidRPr="009C4CEA">
        <w:t>určení</w:t>
      </w:r>
      <w:r>
        <w:t xml:space="preserve"> </w:t>
      </w:r>
      <w:r w:rsidRPr="009C4CEA">
        <w:t>napěťové</w:t>
      </w:r>
      <w:r>
        <w:t xml:space="preserve"> </w:t>
      </w:r>
      <w:r w:rsidRPr="009C4CEA">
        <w:t>hladiny,</w:t>
      </w:r>
      <w:r>
        <w:t xml:space="preserve"> </w:t>
      </w:r>
      <w:r w:rsidRPr="009C4CEA">
        <w:t>termín</w:t>
      </w:r>
      <w:r>
        <w:t xml:space="preserve"> </w:t>
      </w:r>
      <w:r w:rsidRPr="009C4CEA">
        <w:t>a</w:t>
      </w:r>
      <w:r>
        <w:t xml:space="preserve"> </w:t>
      </w:r>
      <w:r w:rsidRPr="009C4CEA">
        <w:t>podmínky</w:t>
      </w:r>
      <w:r>
        <w:t xml:space="preserve"> </w:t>
      </w:r>
      <w:r w:rsidRPr="009C4CEA">
        <w:t>připojení</w:t>
      </w:r>
      <w:r>
        <w:t xml:space="preserve"> </w:t>
      </w:r>
      <w:r w:rsidRPr="009C4CEA">
        <w:t>v</w:t>
      </w:r>
      <w:r>
        <w:t xml:space="preserve"> </w:t>
      </w:r>
      <w:r w:rsidRPr="009C4CEA">
        <w:t>souladu</w:t>
      </w:r>
      <w:r>
        <w:t xml:space="preserve"> </w:t>
      </w:r>
      <w:r w:rsidRPr="009C4CEA">
        <w:t>se</w:t>
      </w:r>
      <w:r>
        <w:t xml:space="preserve"> </w:t>
      </w:r>
      <w:r w:rsidRPr="009C4CEA">
        <w:t>zásadou</w:t>
      </w:r>
      <w:r>
        <w:t xml:space="preserve"> </w:t>
      </w:r>
      <w:r w:rsidRPr="009C4CEA">
        <w:t>hospodárnosti</w:t>
      </w:r>
      <w:r>
        <w:t xml:space="preserve"> </w:t>
      </w:r>
      <w:r w:rsidRPr="009C4CEA">
        <w:t>rozvoje</w:t>
      </w:r>
      <w:r>
        <w:t xml:space="preserve"> </w:t>
      </w:r>
      <w:r w:rsidRPr="009C4CEA">
        <w:t>a</w:t>
      </w:r>
      <w:r>
        <w:t xml:space="preserve"> </w:t>
      </w:r>
      <w:r w:rsidRPr="009C4CEA">
        <w:t>provozu</w:t>
      </w:r>
      <w:r>
        <w:t xml:space="preserve"> </w:t>
      </w:r>
      <w:r w:rsidRPr="009C4CEA">
        <w:t>distribuční</w:t>
      </w:r>
      <w:r>
        <w:t xml:space="preserve"> </w:t>
      </w:r>
      <w:r w:rsidRPr="009C4CEA">
        <w:t>soustavy</w:t>
      </w:r>
      <w:r>
        <w:t xml:space="preserve"> </w:t>
      </w:r>
      <w:r w:rsidRPr="009C4CEA">
        <w:t>a</w:t>
      </w:r>
      <w:r>
        <w:t xml:space="preserve"> </w:t>
      </w:r>
      <w:r w:rsidRPr="009C4CEA">
        <w:t>umožnit</w:t>
      </w:r>
      <w:r>
        <w:t xml:space="preserve"> </w:t>
      </w:r>
      <w:r w:rsidRPr="009C4CEA">
        <w:t>distribuci</w:t>
      </w:r>
      <w:r>
        <w:t xml:space="preserve"> </w:t>
      </w:r>
      <w:r w:rsidRPr="009C4CEA">
        <w:t>elektřiny</w:t>
      </w:r>
      <w:r>
        <w:t xml:space="preserve"> </w:t>
      </w:r>
      <w:r w:rsidRPr="009C4CEA">
        <w:t>každému,</w:t>
      </w:r>
      <w:r>
        <w:t xml:space="preserve"> </w:t>
      </w:r>
      <w:r w:rsidRPr="009C4CEA">
        <w:t>kdo</w:t>
      </w:r>
      <w:r>
        <w:t xml:space="preserve"> </w:t>
      </w:r>
      <w:r w:rsidRPr="009C4CEA">
        <w:t>o</w:t>
      </w:r>
      <w:r>
        <w:t xml:space="preserve"> </w:t>
      </w:r>
      <w:r w:rsidRPr="009C4CEA">
        <w:t>to</w:t>
      </w:r>
      <w:r>
        <w:t xml:space="preserve"> </w:t>
      </w:r>
      <w:r w:rsidRPr="009C4CEA">
        <w:t>požádá,</w:t>
      </w:r>
      <w:r>
        <w:t xml:space="preserve"> </w:t>
      </w:r>
      <w:r w:rsidRPr="009C4CEA">
        <w:t>je</w:t>
      </w:r>
      <w:r>
        <w:t xml:space="preserve"> </w:t>
      </w:r>
      <w:r w:rsidRPr="009C4CEA">
        <w:t>připojen</w:t>
      </w:r>
      <w:r>
        <w:t xml:space="preserve"> </w:t>
      </w:r>
      <w:r w:rsidRPr="009C4CEA">
        <w:t>a</w:t>
      </w:r>
      <w:r>
        <w:t xml:space="preserve"> </w:t>
      </w:r>
      <w:r w:rsidRPr="009C4CEA">
        <w:t>splňuje</w:t>
      </w:r>
      <w:r>
        <w:t xml:space="preserve"> </w:t>
      </w:r>
      <w:r w:rsidRPr="009C4CEA">
        <w:t>podmínky</w:t>
      </w:r>
      <w:r>
        <w:t xml:space="preserve"> </w:t>
      </w:r>
      <w:r w:rsidRPr="009C4CEA">
        <w:t>připojení</w:t>
      </w:r>
      <w:r>
        <w:t xml:space="preserve"> </w:t>
      </w:r>
      <w:r w:rsidRPr="009C4CEA">
        <w:t>a</w:t>
      </w:r>
      <w:r>
        <w:t xml:space="preserve"> </w:t>
      </w:r>
      <w:r w:rsidRPr="009C4CEA">
        <w:t>podmínky</w:t>
      </w:r>
      <w:r>
        <w:t xml:space="preserve"> </w:t>
      </w:r>
      <w:r w:rsidRPr="009C4CEA">
        <w:t>stanovené</w:t>
      </w:r>
      <w:r>
        <w:t xml:space="preserve"> </w:t>
      </w:r>
      <w:r w:rsidRPr="009C4CEA">
        <w:t>Pravidly</w:t>
      </w:r>
      <w:r>
        <w:t xml:space="preserve"> </w:t>
      </w:r>
      <w:r w:rsidRPr="009C4CEA">
        <w:t>provozování</w:t>
      </w:r>
      <w:r>
        <w:t xml:space="preserve"> </w:t>
      </w:r>
      <w:r w:rsidRPr="009C4CEA">
        <w:t>distribuční</w:t>
      </w:r>
      <w:r>
        <w:t xml:space="preserve"> </w:t>
      </w:r>
      <w:r w:rsidRPr="009C4CEA">
        <w:t>soustavy,</w:t>
      </w:r>
      <w:r>
        <w:t xml:space="preserve"> </w:t>
      </w:r>
      <w:r w:rsidRPr="009C4CEA">
        <w:t>s</w:t>
      </w:r>
      <w:r>
        <w:t xml:space="preserve"> </w:t>
      </w:r>
      <w:r w:rsidRPr="009C4CEA">
        <w:t>výjimkou</w:t>
      </w:r>
      <w:r>
        <w:t xml:space="preserve"> </w:t>
      </w:r>
      <w:r w:rsidRPr="009C4CEA">
        <w:t>případu</w:t>
      </w:r>
      <w:r>
        <w:t xml:space="preserve"> </w:t>
      </w:r>
      <w:r w:rsidRPr="009C4CEA">
        <w:t>prokazatelného</w:t>
      </w:r>
      <w:r>
        <w:t xml:space="preserve"> </w:t>
      </w:r>
      <w:r w:rsidRPr="009C4CEA">
        <w:t>nedostatku</w:t>
      </w:r>
      <w:r>
        <w:t xml:space="preserve"> </w:t>
      </w:r>
      <w:r w:rsidRPr="009C4CEA">
        <w:t>kapacity</w:t>
      </w:r>
      <w:r>
        <w:t xml:space="preserve"> </w:t>
      </w:r>
      <w:r w:rsidRPr="009C4CEA">
        <w:t>zařízení</w:t>
      </w:r>
      <w:r>
        <w:t xml:space="preserve"> </w:t>
      </w:r>
      <w:r w:rsidRPr="009C4CEA">
        <w:t>pro</w:t>
      </w:r>
      <w:r>
        <w:t xml:space="preserve"> </w:t>
      </w:r>
      <w:r w:rsidRPr="009C4CEA">
        <w:t>distribuci</w:t>
      </w:r>
      <w:r>
        <w:t xml:space="preserve"> </w:t>
      </w:r>
      <w:r w:rsidRPr="009C4CEA">
        <w:t>nebo</w:t>
      </w:r>
      <w:r>
        <w:t xml:space="preserve"> </w:t>
      </w:r>
      <w:r w:rsidRPr="009C4CEA">
        <w:t>při</w:t>
      </w:r>
      <w:r>
        <w:t xml:space="preserve"> </w:t>
      </w:r>
      <w:r w:rsidRPr="009C4CEA">
        <w:t>ohrožení</w:t>
      </w:r>
      <w:r>
        <w:t xml:space="preserve"> </w:t>
      </w:r>
      <w:r w:rsidRPr="009C4CEA">
        <w:t>spolehlivého</w:t>
      </w:r>
      <w:r>
        <w:t xml:space="preserve"> </w:t>
      </w:r>
      <w:r w:rsidRPr="009C4CEA">
        <w:t>a</w:t>
      </w:r>
      <w:r>
        <w:t xml:space="preserve"> </w:t>
      </w:r>
      <w:r w:rsidRPr="009C4CEA">
        <w:t>bezpečného</w:t>
      </w:r>
      <w:r>
        <w:t xml:space="preserve"> </w:t>
      </w:r>
      <w:r w:rsidRPr="009C4CEA">
        <w:t>provozu</w:t>
      </w:r>
      <w:r>
        <w:t xml:space="preserve"> </w:t>
      </w:r>
      <w:r w:rsidRPr="009C4CEA">
        <w:t>distribuční</w:t>
      </w:r>
      <w:r>
        <w:t xml:space="preserve"> </w:t>
      </w:r>
      <w:r w:rsidRPr="009C4CEA">
        <w:lastRenderedPageBreak/>
        <w:t>soustavy</w:t>
      </w:r>
      <w:r>
        <w:t xml:space="preserve"> </w:t>
      </w:r>
      <w:r w:rsidRPr="009C4CEA">
        <w:t>nebo</w:t>
      </w:r>
      <w:r>
        <w:t xml:space="preserve"> </w:t>
      </w:r>
      <w:r w:rsidRPr="009C4CEA">
        <w:t>přenosové</w:t>
      </w:r>
      <w:r>
        <w:t xml:space="preserve"> </w:t>
      </w:r>
      <w:r w:rsidRPr="009C4CEA">
        <w:t>soustavy;</w:t>
      </w:r>
      <w:r>
        <w:t xml:space="preserve"> </w:t>
      </w:r>
      <w:r w:rsidRPr="009C4CEA">
        <w:t>nedostatek</w:t>
      </w:r>
      <w:r>
        <w:t xml:space="preserve"> </w:t>
      </w:r>
      <w:r w:rsidRPr="009C4CEA">
        <w:t>kapacity</w:t>
      </w:r>
      <w:r>
        <w:t xml:space="preserve"> </w:t>
      </w:r>
      <w:r w:rsidRPr="009C4CEA">
        <w:t>zařízení</w:t>
      </w:r>
      <w:r>
        <w:t xml:space="preserve"> </w:t>
      </w:r>
      <w:r w:rsidRPr="009C4CEA">
        <w:t>pro</w:t>
      </w:r>
      <w:r>
        <w:t xml:space="preserve"> </w:t>
      </w:r>
      <w:r w:rsidRPr="009C4CEA">
        <w:t>distribuci</w:t>
      </w:r>
      <w:r>
        <w:t xml:space="preserve"> </w:t>
      </w:r>
      <w:r w:rsidRPr="009C4CEA">
        <w:t>elektřiny</w:t>
      </w:r>
      <w:r>
        <w:t xml:space="preserve"> </w:t>
      </w:r>
      <w:r w:rsidRPr="009C4CEA">
        <w:t>nebo</w:t>
      </w:r>
      <w:r>
        <w:t xml:space="preserve"> </w:t>
      </w:r>
      <w:r w:rsidRPr="009C4CEA">
        <w:t>ohrožení</w:t>
      </w:r>
      <w:r>
        <w:t xml:space="preserve"> </w:t>
      </w:r>
      <w:r w:rsidRPr="009C4CEA">
        <w:t>spolehlivého</w:t>
      </w:r>
      <w:r>
        <w:t xml:space="preserve"> </w:t>
      </w:r>
      <w:r w:rsidRPr="009C4CEA">
        <w:t>a</w:t>
      </w:r>
      <w:r>
        <w:t xml:space="preserve"> </w:t>
      </w:r>
      <w:r w:rsidRPr="009C4CEA">
        <w:t>bezpečného</w:t>
      </w:r>
      <w:r>
        <w:t xml:space="preserve"> </w:t>
      </w:r>
      <w:r w:rsidRPr="009C4CEA">
        <w:t>provozu</w:t>
      </w:r>
      <w:r>
        <w:t xml:space="preserve"> </w:t>
      </w:r>
      <w:r w:rsidRPr="009C4CEA">
        <w:t>distribuční</w:t>
      </w:r>
      <w:r>
        <w:t xml:space="preserve"> </w:t>
      </w:r>
      <w:r w:rsidRPr="009C4CEA">
        <w:t>soustavy</w:t>
      </w:r>
      <w:r>
        <w:t xml:space="preserve"> </w:t>
      </w:r>
      <w:r w:rsidRPr="009C4CEA">
        <w:t>musí</w:t>
      </w:r>
      <w:r>
        <w:t xml:space="preserve"> </w:t>
      </w:r>
      <w:r w:rsidRPr="009C4CEA">
        <w:t>provozovatel</w:t>
      </w:r>
      <w:r>
        <w:t xml:space="preserve"> </w:t>
      </w:r>
      <w:r w:rsidRPr="009C4CEA">
        <w:t>distribuční</w:t>
      </w:r>
      <w:r>
        <w:t xml:space="preserve"> </w:t>
      </w:r>
      <w:r w:rsidRPr="009C4CEA">
        <w:t>soustavy</w:t>
      </w:r>
      <w:r>
        <w:t xml:space="preserve"> </w:t>
      </w:r>
      <w:r w:rsidRPr="009C4CEA">
        <w:t>žadateli</w:t>
      </w:r>
      <w:r>
        <w:t xml:space="preserve"> </w:t>
      </w:r>
      <w:r w:rsidRPr="009C4CEA">
        <w:t>písemně</w:t>
      </w:r>
      <w:r>
        <w:t xml:space="preserve"> </w:t>
      </w:r>
      <w:r w:rsidRPr="009C4CEA">
        <w:t>zdůvodnit</w:t>
      </w:r>
      <w:r>
        <w:t xml:space="preserve"> </w:t>
      </w:r>
      <w:r w:rsidRPr="009C4CEA">
        <w:t>s</w:t>
      </w:r>
      <w:r>
        <w:t xml:space="preserve"> </w:t>
      </w:r>
      <w:r w:rsidRPr="009C4CEA">
        <w:t>uvedením</w:t>
      </w:r>
      <w:r>
        <w:t xml:space="preserve"> </w:t>
      </w:r>
      <w:r w:rsidRPr="009C4CEA">
        <w:t>předběžného</w:t>
      </w:r>
      <w:r>
        <w:t xml:space="preserve"> </w:t>
      </w:r>
      <w:r w:rsidRPr="009C4CEA">
        <w:t>termínu</w:t>
      </w:r>
      <w:r>
        <w:t xml:space="preserve"> </w:t>
      </w:r>
      <w:r w:rsidRPr="009C4CEA">
        <w:t>a</w:t>
      </w:r>
      <w:r>
        <w:t xml:space="preserve"> </w:t>
      </w:r>
      <w:r w:rsidRPr="009C4CEA">
        <w:t>předběžných</w:t>
      </w:r>
      <w:r>
        <w:t xml:space="preserve"> </w:t>
      </w:r>
      <w:r w:rsidRPr="009C4CEA">
        <w:t>podmínek</w:t>
      </w:r>
      <w:r>
        <w:t xml:space="preserve"> </w:t>
      </w:r>
      <w:r w:rsidRPr="009C4CEA">
        <w:t>budoucího</w:t>
      </w:r>
      <w:r>
        <w:t xml:space="preserve"> </w:t>
      </w:r>
      <w:r w:rsidRPr="009C4CEA">
        <w:t>připojení,</w:t>
      </w:r>
    </w:p>
    <w:p w14:paraId="4EEC6B40" w14:textId="18FEA186" w:rsidR="00085B44" w:rsidRDefault="00085B44" w:rsidP="002E6AEA">
      <w:pPr>
        <w:pStyle w:val="Textparagrafu"/>
        <w:tabs>
          <w:tab w:val="left" w:pos="392"/>
          <w:tab w:val="left" w:pos="854"/>
        </w:tabs>
        <w:spacing w:before="0"/>
        <w:ind w:left="426" w:hanging="426"/>
      </w:pPr>
      <w:r w:rsidRPr="009C4CEA">
        <w:t>b)</w:t>
      </w:r>
      <w:r w:rsidR="004262BA">
        <w:tab/>
      </w:r>
      <w:r w:rsidRPr="009C4CEA">
        <w:t>na</w:t>
      </w:r>
      <w:r>
        <w:t xml:space="preserve"> </w:t>
      </w:r>
      <w:r w:rsidRPr="009C4CEA">
        <w:t>základě</w:t>
      </w:r>
      <w:r>
        <w:t xml:space="preserve"> </w:t>
      </w:r>
      <w:r w:rsidRPr="009C4CEA">
        <w:t>žádosti</w:t>
      </w:r>
      <w:r>
        <w:t xml:space="preserve"> </w:t>
      </w:r>
      <w:r w:rsidRPr="009C4CEA">
        <w:t>obchodníka</w:t>
      </w:r>
      <w:r>
        <w:t xml:space="preserve"> </w:t>
      </w:r>
      <w:r w:rsidRPr="009C4CEA">
        <w:t>s</w:t>
      </w:r>
      <w:r>
        <w:t xml:space="preserve"> </w:t>
      </w:r>
      <w:r w:rsidRPr="009C4CEA">
        <w:t>elektřinou</w:t>
      </w:r>
      <w:r>
        <w:t xml:space="preserve"> </w:t>
      </w:r>
      <w:r w:rsidRPr="009C4CEA">
        <w:t>nebo</w:t>
      </w:r>
      <w:r>
        <w:t xml:space="preserve"> </w:t>
      </w:r>
      <w:r w:rsidRPr="009C4CEA">
        <w:t>výrobce</w:t>
      </w:r>
      <w:r>
        <w:t xml:space="preserve"> </w:t>
      </w:r>
      <w:r w:rsidRPr="009C4CEA">
        <w:t>elektřiny</w:t>
      </w:r>
      <w:r>
        <w:t xml:space="preserve"> </w:t>
      </w:r>
      <w:r w:rsidRPr="009C4CEA">
        <w:t>přerušit</w:t>
      </w:r>
      <w:r>
        <w:t xml:space="preserve"> </w:t>
      </w:r>
      <w:r w:rsidRPr="009C4CEA">
        <w:t>distribuci</w:t>
      </w:r>
      <w:r>
        <w:t xml:space="preserve"> </w:t>
      </w:r>
      <w:r w:rsidRPr="009C4CEA">
        <w:t>elektřiny</w:t>
      </w:r>
      <w:r>
        <w:t xml:space="preserve"> </w:t>
      </w:r>
      <w:r w:rsidRPr="009C4CEA">
        <w:t>v</w:t>
      </w:r>
      <w:r>
        <w:t xml:space="preserve"> </w:t>
      </w:r>
      <w:r w:rsidRPr="009C4CEA">
        <w:t>případě</w:t>
      </w:r>
      <w:r>
        <w:t xml:space="preserve"> </w:t>
      </w:r>
      <w:r w:rsidRPr="009C4CEA">
        <w:t>neoprávněného</w:t>
      </w:r>
      <w:r>
        <w:t xml:space="preserve"> </w:t>
      </w:r>
      <w:r w:rsidRPr="009C4CEA">
        <w:t>odběru</w:t>
      </w:r>
      <w:r>
        <w:t xml:space="preserve"> </w:t>
      </w:r>
      <w:r w:rsidRPr="009C4CEA">
        <w:t>elektřiny,</w:t>
      </w:r>
    </w:p>
    <w:p w14:paraId="5EDB5EA0" w14:textId="07C8F386" w:rsidR="00085B44" w:rsidRDefault="00085B44" w:rsidP="002E6AEA">
      <w:pPr>
        <w:pStyle w:val="Textparagrafu"/>
        <w:tabs>
          <w:tab w:val="left" w:pos="392"/>
          <w:tab w:val="left" w:pos="854"/>
        </w:tabs>
        <w:spacing w:before="0"/>
        <w:ind w:left="426" w:hanging="426"/>
      </w:pPr>
      <w:r w:rsidRPr="009C4CEA">
        <w:t>c)</w:t>
      </w:r>
      <w:r w:rsidR="004262BA">
        <w:tab/>
      </w:r>
      <w:r w:rsidRPr="009C4CEA">
        <w:t>zajišťovat</w:t>
      </w:r>
      <w:r>
        <w:t xml:space="preserve"> </w:t>
      </w:r>
      <w:r w:rsidRPr="009C4CEA">
        <w:t>neznevýhodňující</w:t>
      </w:r>
      <w:r>
        <w:t xml:space="preserve"> </w:t>
      </w:r>
      <w:r w:rsidRPr="009C4CEA">
        <w:t>podmínky</w:t>
      </w:r>
      <w:r>
        <w:t xml:space="preserve"> </w:t>
      </w:r>
      <w:r w:rsidRPr="009C4CEA">
        <w:t>pro</w:t>
      </w:r>
      <w:r>
        <w:t xml:space="preserve"> </w:t>
      </w:r>
      <w:r w:rsidRPr="009C4CEA">
        <w:t>připojení</w:t>
      </w:r>
      <w:r>
        <w:t xml:space="preserve"> </w:t>
      </w:r>
      <w:r w:rsidRPr="009C4CEA">
        <w:t>zařízení</w:t>
      </w:r>
      <w:r>
        <w:t xml:space="preserve"> </w:t>
      </w:r>
      <w:r w:rsidRPr="009C4CEA">
        <w:t>k</w:t>
      </w:r>
      <w:r>
        <w:t xml:space="preserve"> </w:t>
      </w:r>
      <w:r w:rsidRPr="009C4CEA">
        <w:t>distribuční</w:t>
      </w:r>
      <w:r>
        <w:t xml:space="preserve"> </w:t>
      </w:r>
      <w:r w:rsidRPr="009C4CEA">
        <w:t>soustavě,</w:t>
      </w:r>
      <w:r>
        <w:t xml:space="preserve"> </w:t>
      </w:r>
      <w:r w:rsidRPr="009C4CEA">
        <w:t>u</w:t>
      </w:r>
      <w:r>
        <w:t xml:space="preserve"> </w:t>
      </w:r>
      <w:r w:rsidRPr="009C4CEA">
        <w:t>zákazníků</w:t>
      </w:r>
      <w:r>
        <w:t xml:space="preserve"> </w:t>
      </w:r>
      <w:r w:rsidRPr="009C4CEA">
        <w:t>odebírajících</w:t>
      </w:r>
      <w:r>
        <w:t xml:space="preserve"> </w:t>
      </w:r>
      <w:r w:rsidRPr="009C4CEA">
        <w:t>elektřinu</w:t>
      </w:r>
      <w:r>
        <w:t xml:space="preserve"> </w:t>
      </w:r>
      <w:r w:rsidRPr="009C4CEA">
        <w:t>ze</w:t>
      </w:r>
      <w:r>
        <w:t xml:space="preserve"> </w:t>
      </w:r>
      <w:r w:rsidRPr="009C4CEA">
        <w:t>sítí</w:t>
      </w:r>
      <w:r>
        <w:t xml:space="preserve"> </w:t>
      </w:r>
      <w:r w:rsidRPr="009C4CEA">
        <w:t>nízkého</w:t>
      </w:r>
      <w:r>
        <w:t xml:space="preserve"> </w:t>
      </w:r>
      <w:r w:rsidRPr="009C4CEA">
        <w:t>napětí,</w:t>
      </w:r>
      <w:r>
        <w:t xml:space="preserve"> </w:t>
      </w:r>
      <w:r w:rsidRPr="009C4CEA">
        <w:t>kteří</w:t>
      </w:r>
      <w:r>
        <w:t xml:space="preserve"> </w:t>
      </w:r>
      <w:r w:rsidRPr="009C4CEA">
        <w:t>nejsou</w:t>
      </w:r>
      <w:r>
        <w:t xml:space="preserve"> </w:t>
      </w:r>
      <w:r w:rsidRPr="009C4CEA">
        <w:t>vybaveni</w:t>
      </w:r>
      <w:r>
        <w:t xml:space="preserve"> </w:t>
      </w:r>
      <w:r w:rsidRPr="009C4CEA">
        <w:t>průběhovým</w:t>
      </w:r>
      <w:r>
        <w:t xml:space="preserve"> </w:t>
      </w:r>
      <w:r w:rsidRPr="009C4CEA">
        <w:t>měřením,</w:t>
      </w:r>
      <w:r>
        <w:t xml:space="preserve"> </w:t>
      </w:r>
      <w:r w:rsidRPr="009C4CEA">
        <w:t>přiřadit</w:t>
      </w:r>
      <w:r>
        <w:t xml:space="preserve"> </w:t>
      </w:r>
      <w:r w:rsidRPr="009C4CEA">
        <w:t>odpovídající</w:t>
      </w:r>
      <w:r>
        <w:t xml:space="preserve"> </w:t>
      </w:r>
      <w:r w:rsidRPr="009C4CEA">
        <w:t>typový</w:t>
      </w:r>
      <w:r>
        <w:t xml:space="preserve"> </w:t>
      </w:r>
      <w:r w:rsidRPr="009C4CEA">
        <w:t>diagram</w:t>
      </w:r>
      <w:r>
        <w:t xml:space="preserve"> </w:t>
      </w:r>
      <w:r w:rsidRPr="009C4CEA">
        <w:t>dodávek,</w:t>
      </w:r>
    </w:p>
    <w:p w14:paraId="20C9FAF1" w14:textId="791184A5" w:rsidR="00085B44" w:rsidRDefault="00085B44" w:rsidP="002E6AEA">
      <w:pPr>
        <w:pStyle w:val="Textparagrafu"/>
        <w:tabs>
          <w:tab w:val="left" w:pos="392"/>
          <w:tab w:val="left" w:pos="854"/>
        </w:tabs>
        <w:spacing w:before="0"/>
        <w:ind w:left="426" w:hanging="426"/>
      </w:pPr>
      <w:r w:rsidRPr="009C4CEA">
        <w:t>d)</w:t>
      </w:r>
      <w:r w:rsidR="004262BA">
        <w:tab/>
      </w:r>
      <w:r w:rsidRPr="009C4CEA">
        <w:t>zajišťovat</w:t>
      </w:r>
      <w:r>
        <w:t xml:space="preserve"> </w:t>
      </w:r>
      <w:r w:rsidRPr="009C4CEA">
        <w:t>všem</w:t>
      </w:r>
      <w:r>
        <w:t xml:space="preserve"> </w:t>
      </w:r>
      <w:r w:rsidRPr="009C4CEA">
        <w:t>účastníkům</w:t>
      </w:r>
      <w:r>
        <w:t xml:space="preserve"> </w:t>
      </w:r>
      <w:r w:rsidRPr="009C4CEA">
        <w:t>trhu</w:t>
      </w:r>
      <w:r>
        <w:t xml:space="preserve"> </w:t>
      </w:r>
      <w:r w:rsidRPr="009C4CEA">
        <w:t>s</w:t>
      </w:r>
      <w:r>
        <w:t xml:space="preserve"> </w:t>
      </w:r>
      <w:r w:rsidRPr="009C4CEA">
        <w:t>elektřinou</w:t>
      </w:r>
      <w:r>
        <w:t xml:space="preserve"> </w:t>
      </w:r>
      <w:r w:rsidRPr="009C4CEA">
        <w:t>neznevýhodňující</w:t>
      </w:r>
      <w:r>
        <w:t xml:space="preserve"> </w:t>
      </w:r>
      <w:r w:rsidRPr="009C4CEA">
        <w:t>podmínky</w:t>
      </w:r>
      <w:r>
        <w:t xml:space="preserve"> </w:t>
      </w:r>
      <w:r w:rsidRPr="009C4CEA">
        <w:t>pro</w:t>
      </w:r>
      <w:r>
        <w:t xml:space="preserve"> </w:t>
      </w:r>
      <w:r w:rsidRPr="009C4CEA">
        <w:t>distribuci</w:t>
      </w:r>
      <w:r>
        <w:t xml:space="preserve"> </w:t>
      </w:r>
      <w:r w:rsidRPr="009C4CEA">
        <w:t>elektřiny</w:t>
      </w:r>
      <w:r>
        <w:t xml:space="preserve"> </w:t>
      </w:r>
      <w:r w:rsidRPr="009C4CEA">
        <w:t>distribuční</w:t>
      </w:r>
      <w:r>
        <w:t xml:space="preserve"> </w:t>
      </w:r>
      <w:r w:rsidRPr="009C4CEA">
        <w:t>soustavou,</w:t>
      </w:r>
    </w:p>
    <w:p w14:paraId="7FACA8B8" w14:textId="636625B5" w:rsidR="00085B44" w:rsidRDefault="00085B44" w:rsidP="002E6AEA">
      <w:pPr>
        <w:pStyle w:val="Textparagrafu"/>
        <w:tabs>
          <w:tab w:val="left" w:pos="392"/>
          <w:tab w:val="left" w:pos="854"/>
        </w:tabs>
        <w:spacing w:before="0"/>
        <w:ind w:left="426" w:hanging="426"/>
      </w:pPr>
      <w:r w:rsidRPr="009C4CEA">
        <w:t>e)</w:t>
      </w:r>
      <w:r w:rsidR="004262BA">
        <w:tab/>
      </w:r>
      <w:r w:rsidRPr="009C4CEA">
        <w:t>zajistit</w:t>
      </w:r>
      <w:r>
        <w:t xml:space="preserve"> </w:t>
      </w:r>
      <w:r w:rsidRPr="009C4CEA">
        <w:t>zřízení</w:t>
      </w:r>
      <w:r>
        <w:t xml:space="preserve"> </w:t>
      </w:r>
      <w:r w:rsidRPr="009C4CEA">
        <w:t>technického</w:t>
      </w:r>
      <w:r>
        <w:t xml:space="preserve"> </w:t>
      </w:r>
      <w:r w:rsidRPr="009C4CEA">
        <w:t>dispečinku</w:t>
      </w:r>
      <w:r>
        <w:t xml:space="preserve"> </w:t>
      </w:r>
      <w:r w:rsidRPr="009C4CEA">
        <w:t>pro</w:t>
      </w:r>
      <w:r>
        <w:t xml:space="preserve"> </w:t>
      </w:r>
      <w:r w:rsidRPr="009C4CEA">
        <w:t>výkon</w:t>
      </w:r>
      <w:r>
        <w:t xml:space="preserve"> </w:t>
      </w:r>
      <w:r w:rsidRPr="009C4CEA">
        <w:t>činností</w:t>
      </w:r>
      <w:r>
        <w:t xml:space="preserve"> </w:t>
      </w:r>
      <w:r w:rsidRPr="009C4CEA">
        <w:t>podle</w:t>
      </w:r>
      <w:r>
        <w:t xml:space="preserve"> </w:t>
      </w:r>
      <w:r w:rsidRPr="009C4CEA">
        <w:t>odstavce</w:t>
      </w:r>
      <w:r>
        <w:t xml:space="preserve"> </w:t>
      </w:r>
      <w:r w:rsidRPr="009C4CEA">
        <w:t>1</w:t>
      </w:r>
      <w:r>
        <w:t xml:space="preserve"> </w:t>
      </w:r>
      <w:r w:rsidRPr="009C4CEA">
        <w:t>písm.</w:t>
      </w:r>
      <w:r>
        <w:t xml:space="preserve"> </w:t>
      </w:r>
      <w:r w:rsidRPr="009C4CEA">
        <w:t>c)</w:t>
      </w:r>
      <w:r>
        <w:t xml:space="preserve"> </w:t>
      </w:r>
      <w:r w:rsidRPr="009C4CEA">
        <w:t>v</w:t>
      </w:r>
      <w:r>
        <w:t xml:space="preserve"> </w:t>
      </w:r>
      <w:r w:rsidRPr="009C4CEA">
        <w:t>případě,</w:t>
      </w:r>
      <w:r>
        <w:t xml:space="preserve"> </w:t>
      </w:r>
      <w:r w:rsidRPr="009C4CEA">
        <w:t>že</w:t>
      </w:r>
      <w:r>
        <w:t xml:space="preserve"> </w:t>
      </w:r>
      <w:r w:rsidRPr="009C4CEA">
        <w:t>provozuje</w:t>
      </w:r>
      <w:r>
        <w:t xml:space="preserve"> </w:t>
      </w:r>
      <w:r w:rsidRPr="009C4CEA">
        <w:t>zařízení</w:t>
      </w:r>
      <w:r>
        <w:t xml:space="preserve"> </w:t>
      </w:r>
      <w:r w:rsidRPr="009C4CEA">
        <w:t>s</w:t>
      </w:r>
      <w:r>
        <w:t xml:space="preserve"> </w:t>
      </w:r>
      <w:r w:rsidRPr="009C4CEA">
        <w:t>napětím</w:t>
      </w:r>
      <w:r>
        <w:t xml:space="preserve"> </w:t>
      </w:r>
      <w:r w:rsidRPr="009C4CEA">
        <w:t>110</w:t>
      </w:r>
      <w:r>
        <w:t xml:space="preserve"> </w:t>
      </w:r>
      <w:proofErr w:type="spellStart"/>
      <w:r w:rsidRPr="009C4CEA">
        <w:t>kV</w:t>
      </w:r>
      <w:proofErr w:type="spellEnd"/>
      <w:r>
        <w:t xml:space="preserve"> </w:t>
      </w:r>
      <w:r w:rsidRPr="009C4CEA">
        <w:t>a</w:t>
      </w:r>
      <w:r>
        <w:t xml:space="preserve"> </w:t>
      </w:r>
      <w:r w:rsidRPr="009C4CEA">
        <w:t>odpovídat</w:t>
      </w:r>
      <w:r>
        <w:t xml:space="preserve"> </w:t>
      </w:r>
      <w:r w:rsidRPr="009C4CEA">
        <w:t>za</w:t>
      </w:r>
      <w:r>
        <w:t xml:space="preserve"> </w:t>
      </w:r>
      <w:r w:rsidRPr="009C4CEA">
        <w:t>jeho</w:t>
      </w:r>
      <w:r>
        <w:t xml:space="preserve"> </w:t>
      </w:r>
      <w:r w:rsidRPr="009C4CEA">
        <w:t>činnost,</w:t>
      </w:r>
    </w:p>
    <w:p w14:paraId="1DD18B63" w14:textId="62814AB4" w:rsidR="00085B44" w:rsidRDefault="00085B44" w:rsidP="002E6AEA">
      <w:pPr>
        <w:pStyle w:val="Textparagrafu"/>
        <w:tabs>
          <w:tab w:val="left" w:pos="392"/>
          <w:tab w:val="left" w:pos="854"/>
        </w:tabs>
        <w:spacing w:before="0"/>
        <w:ind w:left="426" w:hanging="426"/>
      </w:pPr>
      <w:r w:rsidRPr="009C4CEA">
        <w:t>f)</w:t>
      </w:r>
      <w:r w:rsidR="004262BA">
        <w:tab/>
      </w:r>
      <w:r w:rsidRPr="009C4CEA">
        <w:t>zajišťovat</w:t>
      </w:r>
      <w:r>
        <w:t xml:space="preserve"> </w:t>
      </w:r>
      <w:r w:rsidRPr="009C4CEA">
        <w:t>měření</w:t>
      </w:r>
      <w:r>
        <w:t xml:space="preserve"> </w:t>
      </w:r>
      <w:r w:rsidRPr="009C4CEA">
        <w:t>v</w:t>
      </w:r>
      <w:r>
        <w:t xml:space="preserve"> </w:t>
      </w:r>
      <w:r w:rsidRPr="009C4CEA">
        <w:t>distribuční</w:t>
      </w:r>
      <w:r>
        <w:t xml:space="preserve"> </w:t>
      </w:r>
      <w:r w:rsidRPr="009C4CEA">
        <w:t>soustavě</w:t>
      </w:r>
      <w:r>
        <w:t xml:space="preserve"> </w:t>
      </w:r>
      <w:r w:rsidRPr="009C4CEA">
        <w:t>včetně</w:t>
      </w:r>
      <w:r>
        <w:t xml:space="preserve"> </w:t>
      </w:r>
      <w:r w:rsidRPr="009C4CEA">
        <w:t>jejich</w:t>
      </w:r>
      <w:r>
        <w:t xml:space="preserve"> </w:t>
      </w:r>
      <w:r w:rsidRPr="009C4CEA">
        <w:t>vyhodnocování</w:t>
      </w:r>
      <w:r>
        <w:t xml:space="preserve"> </w:t>
      </w:r>
      <w:r w:rsidRPr="009C4CEA">
        <w:t>a</w:t>
      </w:r>
      <w:r>
        <w:t xml:space="preserve"> </w:t>
      </w:r>
      <w:r w:rsidRPr="009C4CEA">
        <w:t>předávat</w:t>
      </w:r>
      <w:r>
        <w:t xml:space="preserve"> </w:t>
      </w:r>
      <w:r w:rsidRPr="009C4CEA">
        <w:t>operátorovi</w:t>
      </w:r>
      <w:r>
        <w:t xml:space="preserve"> </w:t>
      </w:r>
      <w:r w:rsidRPr="009C4CEA">
        <w:t>trhu</w:t>
      </w:r>
      <w:r>
        <w:t xml:space="preserve"> </w:t>
      </w:r>
      <w:r w:rsidRPr="009C4CEA">
        <w:t>a</w:t>
      </w:r>
      <w:r>
        <w:t xml:space="preserve"> </w:t>
      </w:r>
      <w:r w:rsidRPr="009C4CEA">
        <w:t>datovému</w:t>
      </w:r>
      <w:r>
        <w:t xml:space="preserve"> </w:t>
      </w:r>
      <w:r w:rsidRPr="009C4CEA">
        <w:t>centru</w:t>
      </w:r>
      <w:r>
        <w:t xml:space="preserve"> </w:t>
      </w:r>
      <w:r w:rsidRPr="009C4CEA">
        <w:t>naměřené</w:t>
      </w:r>
      <w:r>
        <w:t xml:space="preserve"> </w:t>
      </w:r>
      <w:r w:rsidRPr="009C4CEA">
        <w:t>a</w:t>
      </w:r>
      <w:r>
        <w:t xml:space="preserve"> </w:t>
      </w:r>
      <w:r w:rsidRPr="009C4CEA">
        <w:t>vyhodnocené</w:t>
      </w:r>
      <w:r>
        <w:t xml:space="preserve"> </w:t>
      </w:r>
      <w:r w:rsidRPr="009C4CEA">
        <w:t>údaje</w:t>
      </w:r>
      <w:r>
        <w:t xml:space="preserve"> </w:t>
      </w:r>
      <w:r w:rsidRPr="009C4CEA">
        <w:t>a</w:t>
      </w:r>
      <w:r>
        <w:t xml:space="preserve"> </w:t>
      </w:r>
      <w:r w:rsidRPr="009C4CEA">
        <w:t>další</w:t>
      </w:r>
      <w:r>
        <w:t xml:space="preserve"> </w:t>
      </w:r>
      <w:r w:rsidRPr="009C4CEA">
        <w:t>nezbytné</w:t>
      </w:r>
      <w:r>
        <w:t xml:space="preserve"> </w:t>
      </w:r>
      <w:r w:rsidRPr="009C4CEA">
        <w:t>informace</w:t>
      </w:r>
      <w:r>
        <w:t xml:space="preserve"> </w:t>
      </w:r>
      <w:r w:rsidRPr="009C4CEA">
        <w:t>pro</w:t>
      </w:r>
      <w:r>
        <w:t xml:space="preserve"> </w:t>
      </w:r>
      <w:r w:rsidRPr="009C4CEA">
        <w:t>plnění</w:t>
      </w:r>
      <w:r>
        <w:t xml:space="preserve"> </w:t>
      </w:r>
      <w:r w:rsidRPr="009C4CEA">
        <w:t>jeho</w:t>
      </w:r>
      <w:r>
        <w:t xml:space="preserve"> </w:t>
      </w:r>
      <w:r w:rsidRPr="009C4CEA">
        <w:t>povinností,</w:t>
      </w:r>
    </w:p>
    <w:p w14:paraId="0ADD2837" w14:textId="51AC997E" w:rsidR="00085B44" w:rsidRDefault="00085B44" w:rsidP="002E6AEA">
      <w:pPr>
        <w:pStyle w:val="Textparagrafu"/>
        <w:tabs>
          <w:tab w:val="left" w:pos="392"/>
          <w:tab w:val="left" w:pos="854"/>
        </w:tabs>
        <w:spacing w:before="0"/>
        <w:ind w:left="426" w:hanging="426"/>
      </w:pPr>
      <w:r w:rsidRPr="009C4CEA">
        <w:t>g)</w:t>
      </w:r>
      <w:r w:rsidR="004262BA">
        <w:tab/>
      </w:r>
      <w:r w:rsidRPr="009C4CEA">
        <w:t>zpracovávat</w:t>
      </w:r>
      <w:r>
        <w:t xml:space="preserve"> </w:t>
      </w:r>
      <w:r w:rsidRPr="009C4CEA">
        <w:t>a</w:t>
      </w:r>
      <w:r>
        <w:t xml:space="preserve"> </w:t>
      </w:r>
      <w:r w:rsidRPr="009C4CEA">
        <w:t>po</w:t>
      </w:r>
      <w:r>
        <w:t xml:space="preserve"> </w:t>
      </w:r>
      <w:r w:rsidRPr="009C4CEA">
        <w:t>schválení</w:t>
      </w:r>
      <w:r>
        <w:t xml:space="preserve"> </w:t>
      </w:r>
      <w:r w:rsidRPr="009C4CEA">
        <w:t>Energetickým</w:t>
      </w:r>
      <w:r>
        <w:t xml:space="preserve"> </w:t>
      </w:r>
      <w:r w:rsidRPr="009C4CEA">
        <w:t>regulačním</w:t>
      </w:r>
      <w:r>
        <w:t xml:space="preserve"> </w:t>
      </w:r>
      <w:r w:rsidRPr="009C4CEA">
        <w:t>úřadem</w:t>
      </w:r>
      <w:r>
        <w:t xml:space="preserve"> </w:t>
      </w:r>
      <w:r w:rsidRPr="009C4CEA">
        <w:t>zveřejňovat</w:t>
      </w:r>
      <w:r>
        <w:t xml:space="preserve"> </w:t>
      </w:r>
      <w:r w:rsidRPr="009C4CEA">
        <w:t>způsobem</w:t>
      </w:r>
      <w:r>
        <w:t xml:space="preserve"> </w:t>
      </w:r>
      <w:r w:rsidRPr="009C4CEA">
        <w:t>umožňujícím</w:t>
      </w:r>
      <w:r>
        <w:t xml:space="preserve"> </w:t>
      </w:r>
      <w:r w:rsidRPr="009C4CEA">
        <w:t>dálkový</w:t>
      </w:r>
      <w:r>
        <w:t xml:space="preserve"> </w:t>
      </w:r>
      <w:r w:rsidRPr="009C4CEA">
        <w:t>přístup</w:t>
      </w:r>
      <w:r>
        <w:t xml:space="preserve"> </w:t>
      </w:r>
      <w:r w:rsidRPr="009C4CEA">
        <w:t>Pravidla</w:t>
      </w:r>
      <w:r>
        <w:t xml:space="preserve"> </w:t>
      </w:r>
      <w:r w:rsidRPr="009C4CEA">
        <w:t>provozování</w:t>
      </w:r>
      <w:r>
        <w:t xml:space="preserve"> </w:t>
      </w:r>
      <w:r w:rsidRPr="009C4CEA">
        <w:t>distribuční</w:t>
      </w:r>
      <w:r>
        <w:t xml:space="preserve"> </w:t>
      </w:r>
      <w:r w:rsidRPr="009C4CEA">
        <w:t>soustavy</w:t>
      </w:r>
      <w:r>
        <w:t xml:space="preserve"> </w:t>
      </w:r>
      <w:r w:rsidRPr="009C4CEA">
        <w:t>a</w:t>
      </w:r>
      <w:r>
        <w:t xml:space="preserve"> </w:t>
      </w:r>
      <w:r w:rsidRPr="009C4CEA">
        <w:t>vykonávat</w:t>
      </w:r>
      <w:r>
        <w:t xml:space="preserve"> </w:t>
      </w:r>
      <w:r w:rsidRPr="009C4CEA">
        <w:t>licencovanou</w:t>
      </w:r>
      <w:r>
        <w:t xml:space="preserve"> </w:t>
      </w:r>
      <w:r w:rsidRPr="009C4CEA">
        <w:t>činnost</w:t>
      </w:r>
      <w:r>
        <w:t xml:space="preserve"> </w:t>
      </w:r>
      <w:r w:rsidRPr="009C4CEA">
        <w:t>v</w:t>
      </w:r>
      <w:r>
        <w:t xml:space="preserve"> </w:t>
      </w:r>
      <w:r w:rsidRPr="009C4CEA">
        <w:t>souladu</w:t>
      </w:r>
      <w:r>
        <w:t xml:space="preserve"> </w:t>
      </w:r>
      <w:r w:rsidRPr="009C4CEA">
        <w:t>s</w:t>
      </w:r>
      <w:r>
        <w:t xml:space="preserve"> </w:t>
      </w:r>
      <w:r w:rsidRPr="009C4CEA">
        <w:t>těmito</w:t>
      </w:r>
      <w:r>
        <w:t xml:space="preserve"> </w:t>
      </w:r>
      <w:r w:rsidRPr="009C4CEA">
        <w:t>pravidly,</w:t>
      </w:r>
    </w:p>
    <w:p w14:paraId="615C71E3" w14:textId="71BCFA05" w:rsidR="00085B44" w:rsidRDefault="00085B44" w:rsidP="002E6AEA">
      <w:pPr>
        <w:pStyle w:val="Textparagrafu"/>
        <w:tabs>
          <w:tab w:val="left" w:pos="392"/>
          <w:tab w:val="left" w:pos="854"/>
        </w:tabs>
        <w:spacing w:before="0"/>
        <w:ind w:left="426" w:hanging="426"/>
      </w:pPr>
      <w:r w:rsidRPr="009C4CEA">
        <w:t>h)</w:t>
      </w:r>
      <w:r w:rsidR="004262BA">
        <w:tab/>
      </w:r>
      <w:r w:rsidRPr="009C4CEA">
        <w:t>poskytovat</w:t>
      </w:r>
      <w:r>
        <w:t xml:space="preserve"> </w:t>
      </w:r>
      <w:r w:rsidRPr="009C4CEA">
        <w:t>provozovateli</w:t>
      </w:r>
      <w:r>
        <w:t xml:space="preserve"> </w:t>
      </w:r>
      <w:r w:rsidRPr="009C4CEA">
        <w:t>přenosové</w:t>
      </w:r>
      <w:r>
        <w:t xml:space="preserve"> </w:t>
      </w:r>
      <w:r w:rsidRPr="009C4CEA">
        <w:t>soustavy</w:t>
      </w:r>
      <w:r>
        <w:t xml:space="preserve"> </w:t>
      </w:r>
      <w:r w:rsidRPr="009C4CEA">
        <w:t>a</w:t>
      </w:r>
      <w:r>
        <w:t xml:space="preserve"> </w:t>
      </w:r>
      <w:r w:rsidRPr="009C4CEA">
        <w:t>provozovatelům</w:t>
      </w:r>
      <w:r>
        <w:t xml:space="preserve"> </w:t>
      </w:r>
      <w:r w:rsidRPr="009C4CEA">
        <w:t>jiných</w:t>
      </w:r>
      <w:r>
        <w:t xml:space="preserve"> </w:t>
      </w:r>
      <w:r w:rsidRPr="009C4CEA">
        <w:t>distribučních</w:t>
      </w:r>
      <w:r>
        <w:t xml:space="preserve"> </w:t>
      </w:r>
      <w:r w:rsidRPr="009C4CEA">
        <w:t>soustav,</w:t>
      </w:r>
      <w:r>
        <w:t xml:space="preserve"> </w:t>
      </w:r>
      <w:r w:rsidRPr="009C4CEA">
        <w:t>se</w:t>
      </w:r>
      <w:r>
        <w:t xml:space="preserve"> </w:t>
      </w:r>
      <w:r w:rsidRPr="009C4CEA">
        <w:t>kterými</w:t>
      </w:r>
      <w:r>
        <w:t xml:space="preserve"> </w:t>
      </w:r>
      <w:r w:rsidRPr="009C4CEA">
        <w:t>je</w:t>
      </w:r>
      <w:r>
        <w:t xml:space="preserve"> </w:t>
      </w:r>
      <w:r w:rsidRPr="009C4CEA">
        <w:t>jeho</w:t>
      </w:r>
      <w:r>
        <w:t xml:space="preserve"> </w:t>
      </w:r>
      <w:r w:rsidRPr="009C4CEA">
        <w:t>soustava</w:t>
      </w:r>
      <w:r>
        <w:t xml:space="preserve"> </w:t>
      </w:r>
      <w:r w:rsidRPr="009C4CEA">
        <w:t>propojena,</w:t>
      </w:r>
      <w:r>
        <w:t xml:space="preserve"> </w:t>
      </w:r>
      <w:r w:rsidRPr="009C4CEA">
        <w:t>informace</w:t>
      </w:r>
      <w:r>
        <w:t xml:space="preserve"> </w:t>
      </w:r>
      <w:r w:rsidRPr="009C4CEA">
        <w:t>nezbytné</w:t>
      </w:r>
      <w:r>
        <w:t xml:space="preserve"> </w:t>
      </w:r>
      <w:r w:rsidRPr="009C4CEA">
        <w:t>k</w:t>
      </w:r>
      <w:r>
        <w:t xml:space="preserve"> </w:t>
      </w:r>
      <w:r w:rsidRPr="009C4CEA">
        <w:t>zajištění</w:t>
      </w:r>
      <w:r>
        <w:t xml:space="preserve"> </w:t>
      </w:r>
      <w:r w:rsidRPr="009C4CEA">
        <w:t>bezpečného</w:t>
      </w:r>
      <w:r>
        <w:t xml:space="preserve"> </w:t>
      </w:r>
      <w:r w:rsidRPr="009C4CEA">
        <w:t>a</w:t>
      </w:r>
      <w:r>
        <w:t xml:space="preserve"> </w:t>
      </w:r>
      <w:r w:rsidRPr="009C4CEA">
        <w:t>spolehlivého</w:t>
      </w:r>
      <w:r>
        <w:t xml:space="preserve"> </w:t>
      </w:r>
      <w:r w:rsidRPr="009C4CEA">
        <w:t>provozu</w:t>
      </w:r>
      <w:r>
        <w:t xml:space="preserve"> </w:t>
      </w:r>
      <w:r w:rsidRPr="009C4CEA">
        <w:t>a</w:t>
      </w:r>
      <w:r>
        <w:t xml:space="preserve"> </w:t>
      </w:r>
      <w:r w:rsidRPr="009C4CEA">
        <w:t>vzájemné</w:t>
      </w:r>
      <w:r>
        <w:t xml:space="preserve"> </w:t>
      </w:r>
      <w:r w:rsidRPr="009C4CEA">
        <w:t>spolupráce,</w:t>
      </w:r>
    </w:p>
    <w:p w14:paraId="3289FC3D" w14:textId="5FD61CF0" w:rsidR="00085B44" w:rsidRDefault="00085B44" w:rsidP="002E6AEA">
      <w:pPr>
        <w:pStyle w:val="Textparagrafu"/>
        <w:tabs>
          <w:tab w:val="left" w:pos="392"/>
          <w:tab w:val="left" w:pos="854"/>
        </w:tabs>
        <w:spacing w:before="0"/>
        <w:ind w:left="426" w:hanging="426"/>
      </w:pPr>
      <w:r w:rsidRPr="009C4CEA">
        <w:t>i)</w:t>
      </w:r>
      <w:r w:rsidR="004262BA">
        <w:tab/>
      </w:r>
      <w:r w:rsidRPr="009C4CEA">
        <w:t>zpracovávat</w:t>
      </w:r>
      <w:r>
        <w:t xml:space="preserve"> </w:t>
      </w:r>
      <w:r w:rsidRPr="009C4CEA">
        <w:t>v</w:t>
      </w:r>
      <w:r>
        <w:t xml:space="preserve"> </w:t>
      </w:r>
      <w:r w:rsidRPr="009C4CEA">
        <w:t>souladu</w:t>
      </w:r>
      <w:r>
        <w:t xml:space="preserve"> </w:t>
      </w:r>
      <w:r w:rsidRPr="009C4CEA">
        <w:t>s</w:t>
      </w:r>
      <w:r>
        <w:t xml:space="preserve"> </w:t>
      </w:r>
      <w:r w:rsidRPr="009C4CEA">
        <w:t>dispečerským</w:t>
      </w:r>
      <w:r>
        <w:t xml:space="preserve"> </w:t>
      </w:r>
      <w:r w:rsidRPr="009C4CEA">
        <w:t>řádem</w:t>
      </w:r>
      <w:r>
        <w:t xml:space="preserve"> </w:t>
      </w:r>
      <w:r w:rsidRPr="009C4CEA">
        <w:t>ve</w:t>
      </w:r>
      <w:r>
        <w:t xml:space="preserve"> </w:t>
      </w:r>
      <w:r w:rsidRPr="009C4CEA">
        <w:t>spolupráci</w:t>
      </w:r>
      <w:r>
        <w:t xml:space="preserve"> </w:t>
      </w:r>
      <w:r w:rsidRPr="009C4CEA">
        <w:t>s</w:t>
      </w:r>
      <w:r>
        <w:t xml:space="preserve"> </w:t>
      </w:r>
      <w:r w:rsidRPr="009C4CEA">
        <w:t>provozovateli</w:t>
      </w:r>
      <w:r>
        <w:t xml:space="preserve"> </w:t>
      </w:r>
      <w:r w:rsidRPr="009C4CEA">
        <w:t>ostatních</w:t>
      </w:r>
      <w:r>
        <w:t xml:space="preserve"> </w:t>
      </w:r>
      <w:r w:rsidRPr="009C4CEA">
        <w:t>distribučních</w:t>
      </w:r>
      <w:r>
        <w:t xml:space="preserve"> </w:t>
      </w:r>
      <w:r w:rsidRPr="009C4CEA">
        <w:t>soustav</w:t>
      </w:r>
      <w:r>
        <w:t xml:space="preserve"> </w:t>
      </w:r>
      <w:r w:rsidRPr="009C4CEA">
        <w:t>a</w:t>
      </w:r>
      <w:r>
        <w:t xml:space="preserve"> </w:t>
      </w:r>
      <w:r w:rsidRPr="009C4CEA">
        <w:t>provozovatelem</w:t>
      </w:r>
      <w:r>
        <w:t xml:space="preserve"> </w:t>
      </w:r>
      <w:r w:rsidRPr="009C4CEA">
        <w:t>přenosové</w:t>
      </w:r>
      <w:r>
        <w:t xml:space="preserve"> </w:t>
      </w:r>
      <w:r w:rsidRPr="009C4CEA">
        <w:t>soustavy</w:t>
      </w:r>
      <w:r>
        <w:t xml:space="preserve"> </w:t>
      </w:r>
      <w:r w:rsidRPr="009C4CEA">
        <w:t>roční</w:t>
      </w:r>
      <w:r>
        <w:t xml:space="preserve"> </w:t>
      </w:r>
      <w:r w:rsidRPr="009C4CEA">
        <w:t>přípravu</w:t>
      </w:r>
      <w:r>
        <w:t xml:space="preserve"> </w:t>
      </w:r>
      <w:r w:rsidRPr="009C4CEA">
        <w:t>provozu</w:t>
      </w:r>
      <w:r>
        <w:t xml:space="preserve"> </w:t>
      </w:r>
      <w:r w:rsidRPr="009C4CEA">
        <w:t>distribuční</w:t>
      </w:r>
      <w:r>
        <w:t xml:space="preserve"> </w:t>
      </w:r>
      <w:r w:rsidRPr="009C4CEA">
        <w:t>soustavy,</w:t>
      </w:r>
      <w:r>
        <w:t xml:space="preserve"> </w:t>
      </w:r>
      <w:r w:rsidRPr="009C4CEA">
        <w:t>a</w:t>
      </w:r>
      <w:r>
        <w:t xml:space="preserve"> </w:t>
      </w:r>
      <w:r w:rsidRPr="009C4CEA">
        <w:t>to</w:t>
      </w:r>
      <w:r>
        <w:t xml:space="preserve"> </w:t>
      </w:r>
      <w:r w:rsidRPr="009C4CEA">
        <w:t>zejména</w:t>
      </w:r>
      <w:r>
        <w:t xml:space="preserve"> </w:t>
      </w:r>
      <w:r w:rsidRPr="009C4CEA">
        <w:t>rozsah</w:t>
      </w:r>
      <w:r>
        <w:t xml:space="preserve"> </w:t>
      </w:r>
      <w:r w:rsidRPr="009C4CEA">
        <w:t>a</w:t>
      </w:r>
      <w:r>
        <w:t xml:space="preserve"> </w:t>
      </w:r>
      <w:r w:rsidRPr="009C4CEA">
        <w:t>termíny</w:t>
      </w:r>
      <w:r>
        <w:t xml:space="preserve"> </w:t>
      </w:r>
      <w:r w:rsidRPr="009C4CEA">
        <w:t>odstávek</w:t>
      </w:r>
      <w:r>
        <w:t xml:space="preserve"> </w:t>
      </w:r>
      <w:r w:rsidRPr="009C4CEA">
        <w:t>zařízení</w:t>
      </w:r>
      <w:r>
        <w:t xml:space="preserve"> </w:t>
      </w:r>
      <w:r w:rsidRPr="009C4CEA">
        <w:t>pro</w:t>
      </w:r>
      <w:r>
        <w:t xml:space="preserve"> </w:t>
      </w:r>
      <w:r w:rsidRPr="009C4CEA">
        <w:t>distribuci</w:t>
      </w:r>
      <w:r>
        <w:t xml:space="preserve"> </w:t>
      </w:r>
      <w:r w:rsidRPr="009C4CEA">
        <w:t>a</w:t>
      </w:r>
      <w:r>
        <w:t xml:space="preserve"> </w:t>
      </w:r>
      <w:r w:rsidRPr="009C4CEA">
        <w:t>předpokládané</w:t>
      </w:r>
      <w:r>
        <w:t xml:space="preserve"> </w:t>
      </w:r>
      <w:r w:rsidRPr="009C4CEA">
        <w:t>omezení</w:t>
      </w:r>
      <w:r>
        <w:t xml:space="preserve"> </w:t>
      </w:r>
      <w:r w:rsidRPr="009C4CEA">
        <w:t>distribuce,</w:t>
      </w:r>
      <w:r>
        <w:t xml:space="preserve"> </w:t>
      </w:r>
      <w:r w:rsidRPr="009C4CEA">
        <w:t>a</w:t>
      </w:r>
      <w:r>
        <w:t xml:space="preserve"> </w:t>
      </w:r>
      <w:r w:rsidRPr="009C4CEA">
        <w:t>zveřejňovat</w:t>
      </w:r>
      <w:r>
        <w:t xml:space="preserve"> </w:t>
      </w:r>
      <w:r w:rsidRPr="009C4CEA">
        <w:t>ji,</w:t>
      </w:r>
    </w:p>
    <w:p w14:paraId="729E83C7" w14:textId="20B94DCD" w:rsidR="00085B44" w:rsidRDefault="00085B44" w:rsidP="002E6AEA">
      <w:pPr>
        <w:pStyle w:val="Textparagrafu"/>
        <w:tabs>
          <w:tab w:val="left" w:pos="392"/>
          <w:tab w:val="left" w:pos="854"/>
        </w:tabs>
        <w:spacing w:before="0"/>
        <w:ind w:left="426" w:hanging="426"/>
      </w:pPr>
      <w:r w:rsidRPr="009C4CEA">
        <w:t>j)</w:t>
      </w:r>
      <w:r w:rsidR="004262BA">
        <w:tab/>
      </w:r>
      <w:r w:rsidRPr="009C4CEA">
        <w:t>každoročně</w:t>
      </w:r>
      <w:r>
        <w:t xml:space="preserve"> </w:t>
      </w:r>
      <w:r w:rsidRPr="009C4CEA">
        <w:t>zpracovávat</w:t>
      </w:r>
      <w:r>
        <w:t xml:space="preserve"> </w:t>
      </w:r>
      <w:r w:rsidRPr="009C4CEA">
        <w:t>a</w:t>
      </w:r>
      <w:r>
        <w:t xml:space="preserve"> </w:t>
      </w:r>
      <w:r w:rsidRPr="009C4CEA">
        <w:t>zveřejňovat</w:t>
      </w:r>
      <w:r>
        <w:t xml:space="preserve"> </w:t>
      </w:r>
      <w:r w:rsidRPr="009C4CEA">
        <w:t>předpokládaný</w:t>
      </w:r>
      <w:r>
        <w:t xml:space="preserve"> </w:t>
      </w:r>
      <w:r w:rsidRPr="009C4CEA">
        <w:t>rozvoj</w:t>
      </w:r>
      <w:r>
        <w:t xml:space="preserve"> </w:t>
      </w:r>
      <w:r w:rsidRPr="009C4CEA">
        <w:t>distribuční</w:t>
      </w:r>
      <w:r>
        <w:t xml:space="preserve"> </w:t>
      </w:r>
      <w:r w:rsidRPr="009C4CEA">
        <w:t>soustavy,</w:t>
      </w:r>
      <w:r>
        <w:t xml:space="preserve"> </w:t>
      </w:r>
      <w:r w:rsidRPr="009C4CEA">
        <w:t>a</w:t>
      </w:r>
      <w:r>
        <w:t xml:space="preserve"> </w:t>
      </w:r>
      <w:r w:rsidRPr="009C4CEA">
        <w:t>to</w:t>
      </w:r>
      <w:r>
        <w:t xml:space="preserve"> </w:t>
      </w:r>
      <w:r w:rsidRPr="009C4CEA">
        <w:t>nejméně</w:t>
      </w:r>
      <w:r>
        <w:t xml:space="preserve"> </w:t>
      </w:r>
      <w:r w:rsidRPr="009C4CEA">
        <w:t>na</w:t>
      </w:r>
      <w:r>
        <w:t xml:space="preserve"> </w:t>
      </w:r>
      <w:r w:rsidRPr="009C4CEA">
        <w:t>5</w:t>
      </w:r>
      <w:r>
        <w:t xml:space="preserve"> </w:t>
      </w:r>
      <w:r w:rsidRPr="009C4CEA">
        <w:t>let,</w:t>
      </w:r>
    </w:p>
    <w:p w14:paraId="46325E68" w14:textId="1961A108" w:rsidR="00085B44" w:rsidRDefault="00085B44" w:rsidP="002E6AEA">
      <w:pPr>
        <w:pStyle w:val="Textparagrafu"/>
        <w:tabs>
          <w:tab w:val="left" w:pos="392"/>
          <w:tab w:val="left" w:pos="854"/>
        </w:tabs>
        <w:spacing w:before="0"/>
        <w:ind w:left="426" w:hanging="426"/>
      </w:pPr>
      <w:r w:rsidRPr="009C4CEA">
        <w:t>k)</w:t>
      </w:r>
      <w:r w:rsidR="004262BA">
        <w:tab/>
      </w:r>
      <w:r w:rsidRPr="009C4CEA">
        <w:t>průběžně</w:t>
      </w:r>
      <w:r>
        <w:t xml:space="preserve"> </w:t>
      </w:r>
      <w:r w:rsidRPr="009C4CEA">
        <w:t>zveřejňovat</w:t>
      </w:r>
      <w:r>
        <w:t xml:space="preserve"> </w:t>
      </w:r>
      <w:r w:rsidRPr="009C4CEA">
        <w:t>informace</w:t>
      </w:r>
      <w:r>
        <w:t xml:space="preserve"> </w:t>
      </w:r>
      <w:r w:rsidRPr="009C4CEA">
        <w:t>o</w:t>
      </w:r>
      <w:r>
        <w:t xml:space="preserve"> </w:t>
      </w:r>
      <w:r w:rsidRPr="009C4CEA">
        <w:t>možnostech</w:t>
      </w:r>
      <w:r>
        <w:t xml:space="preserve"> </w:t>
      </w:r>
      <w:r w:rsidRPr="009C4CEA">
        <w:t>distribuce</w:t>
      </w:r>
      <w:r>
        <w:t xml:space="preserve"> </w:t>
      </w:r>
      <w:r w:rsidRPr="009C4CEA">
        <w:t>elektřiny</w:t>
      </w:r>
      <w:r>
        <w:t xml:space="preserve"> </w:t>
      </w:r>
      <w:r w:rsidRPr="009C4CEA">
        <w:t>v</w:t>
      </w:r>
      <w:r>
        <w:t xml:space="preserve"> </w:t>
      </w:r>
      <w:r w:rsidRPr="009C4CEA">
        <w:t>distribuční</w:t>
      </w:r>
      <w:r>
        <w:t xml:space="preserve"> </w:t>
      </w:r>
      <w:r w:rsidRPr="009C4CEA">
        <w:t>soustavě</w:t>
      </w:r>
      <w:r>
        <w:t xml:space="preserve"> </w:t>
      </w:r>
      <w:r w:rsidRPr="009C4CEA">
        <w:t>způsobem</w:t>
      </w:r>
      <w:r>
        <w:t xml:space="preserve"> </w:t>
      </w:r>
      <w:r w:rsidRPr="009C4CEA">
        <w:t>stanoveným</w:t>
      </w:r>
      <w:r>
        <w:t xml:space="preserve"> </w:t>
      </w:r>
      <w:r w:rsidRPr="009C4CEA">
        <w:t>v</w:t>
      </w:r>
      <w:r>
        <w:t xml:space="preserve"> </w:t>
      </w:r>
      <w:r w:rsidRPr="009C4CEA">
        <w:t>Pravidlech</w:t>
      </w:r>
      <w:r>
        <w:t xml:space="preserve"> </w:t>
      </w:r>
      <w:r w:rsidRPr="009C4CEA">
        <w:t>provozování</w:t>
      </w:r>
      <w:r>
        <w:t xml:space="preserve"> </w:t>
      </w:r>
      <w:r w:rsidRPr="009C4CEA">
        <w:t>distribuční</w:t>
      </w:r>
      <w:r>
        <w:t xml:space="preserve"> </w:t>
      </w:r>
      <w:r w:rsidRPr="009C4CEA">
        <w:t>soustavy,</w:t>
      </w:r>
    </w:p>
    <w:p w14:paraId="155C9207" w14:textId="6B1C0F42" w:rsidR="00085B44" w:rsidRDefault="00085B44" w:rsidP="002E6AEA">
      <w:pPr>
        <w:pStyle w:val="Textparagrafu"/>
        <w:tabs>
          <w:tab w:val="left" w:pos="392"/>
          <w:tab w:val="left" w:pos="854"/>
        </w:tabs>
        <w:spacing w:before="0"/>
        <w:ind w:left="426" w:hanging="426"/>
      </w:pPr>
      <w:r w:rsidRPr="009C4CEA">
        <w:t>l)</w:t>
      </w:r>
      <w:r w:rsidR="004262BA">
        <w:tab/>
      </w:r>
      <w:r w:rsidRPr="009C4CEA">
        <w:t>provádět</w:t>
      </w:r>
      <w:r>
        <w:t xml:space="preserve"> </w:t>
      </w:r>
      <w:r w:rsidRPr="009C4CEA">
        <w:t>hodnocení</w:t>
      </w:r>
      <w:r>
        <w:t xml:space="preserve"> </w:t>
      </w:r>
      <w:r w:rsidRPr="009C4CEA">
        <w:t>provozu</w:t>
      </w:r>
      <w:r>
        <w:t xml:space="preserve"> </w:t>
      </w:r>
      <w:r w:rsidRPr="009C4CEA">
        <w:t>distribuční</w:t>
      </w:r>
      <w:r>
        <w:t xml:space="preserve"> </w:t>
      </w:r>
      <w:r w:rsidRPr="009C4CEA">
        <w:t>soustavy</w:t>
      </w:r>
      <w:r>
        <w:t xml:space="preserve"> </w:t>
      </w:r>
      <w:r w:rsidRPr="009C4CEA">
        <w:t>z</w:t>
      </w:r>
      <w:r>
        <w:t xml:space="preserve"> </w:t>
      </w:r>
      <w:r w:rsidRPr="009C4CEA">
        <w:t>technického</w:t>
      </w:r>
      <w:r>
        <w:t xml:space="preserve"> </w:t>
      </w:r>
      <w:r w:rsidRPr="009C4CEA">
        <w:t>hlediska,</w:t>
      </w:r>
    </w:p>
    <w:p w14:paraId="1B5ACCA5" w14:textId="54FEE36E" w:rsidR="00085B44" w:rsidRDefault="00085B44" w:rsidP="002E6AEA">
      <w:pPr>
        <w:pStyle w:val="Textparagrafu"/>
        <w:tabs>
          <w:tab w:val="left" w:pos="392"/>
          <w:tab w:val="left" w:pos="854"/>
        </w:tabs>
        <w:spacing w:before="0"/>
        <w:ind w:left="426" w:hanging="426"/>
      </w:pPr>
      <w:r w:rsidRPr="009C4CEA">
        <w:t>m)</w:t>
      </w:r>
      <w:r w:rsidR="004262BA">
        <w:tab/>
      </w:r>
      <w:r w:rsidRPr="009C4CEA">
        <w:t>zpracovávat</w:t>
      </w:r>
      <w:r>
        <w:t xml:space="preserve"> </w:t>
      </w:r>
      <w:r w:rsidRPr="009C4CEA">
        <w:t>údaje</w:t>
      </w:r>
      <w:r>
        <w:t xml:space="preserve"> </w:t>
      </w:r>
      <w:r w:rsidRPr="009C4CEA">
        <w:t>nezbytné</w:t>
      </w:r>
      <w:r>
        <w:t xml:space="preserve"> </w:t>
      </w:r>
      <w:r w:rsidRPr="009C4CEA">
        <w:t>pro</w:t>
      </w:r>
      <w:r>
        <w:t xml:space="preserve"> </w:t>
      </w:r>
      <w:r w:rsidRPr="009C4CEA">
        <w:t>rozhodnutí</w:t>
      </w:r>
      <w:r>
        <w:t xml:space="preserve"> </w:t>
      </w:r>
      <w:r w:rsidRPr="009C4CEA">
        <w:t>Energetického</w:t>
      </w:r>
      <w:r>
        <w:t xml:space="preserve"> </w:t>
      </w:r>
      <w:r w:rsidRPr="009C4CEA">
        <w:t>regulačního</w:t>
      </w:r>
      <w:r>
        <w:t xml:space="preserve"> </w:t>
      </w:r>
      <w:r w:rsidRPr="009C4CEA">
        <w:t>úřadu</w:t>
      </w:r>
      <w:r>
        <w:t xml:space="preserve"> </w:t>
      </w:r>
      <w:r w:rsidRPr="009C4CEA">
        <w:t>o</w:t>
      </w:r>
      <w:r>
        <w:t xml:space="preserve"> </w:t>
      </w:r>
      <w:r w:rsidRPr="009C4CEA">
        <w:t>cenách</w:t>
      </w:r>
      <w:r>
        <w:t xml:space="preserve"> </w:t>
      </w:r>
      <w:r w:rsidRPr="009C4CEA">
        <w:t>za</w:t>
      </w:r>
      <w:r>
        <w:t xml:space="preserve"> </w:t>
      </w:r>
      <w:r w:rsidRPr="009C4CEA">
        <w:t>distribuci</w:t>
      </w:r>
      <w:r>
        <w:t xml:space="preserve"> </w:t>
      </w:r>
      <w:r w:rsidRPr="009C4CEA">
        <w:t>elektřiny,</w:t>
      </w:r>
    </w:p>
    <w:p w14:paraId="05698EF7" w14:textId="13D5B1A5" w:rsidR="00085B44" w:rsidRDefault="00085B44" w:rsidP="002E6AEA">
      <w:pPr>
        <w:pStyle w:val="Textparagrafu"/>
        <w:tabs>
          <w:tab w:val="left" w:pos="392"/>
          <w:tab w:val="left" w:pos="854"/>
        </w:tabs>
        <w:spacing w:before="0"/>
        <w:ind w:left="426" w:hanging="426"/>
      </w:pPr>
      <w:r w:rsidRPr="009C4CEA">
        <w:t>n)</w:t>
      </w:r>
      <w:r w:rsidR="004262BA">
        <w:tab/>
      </w:r>
      <w:r w:rsidRPr="009C4CEA">
        <w:t>zajišťovat</w:t>
      </w:r>
      <w:r>
        <w:t xml:space="preserve"> </w:t>
      </w:r>
      <w:r w:rsidRPr="009C4CEA">
        <w:t>ochranu</w:t>
      </w:r>
      <w:r>
        <w:t xml:space="preserve"> </w:t>
      </w:r>
      <w:r w:rsidRPr="009C4CEA">
        <w:t>chráněných</w:t>
      </w:r>
      <w:r>
        <w:t xml:space="preserve"> </w:t>
      </w:r>
      <w:r w:rsidRPr="009C4CEA">
        <w:t>informací,</w:t>
      </w:r>
      <w:r>
        <w:t xml:space="preserve"> </w:t>
      </w:r>
      <w:r w:rsidRPr="009C4CEA">
        <w:t>včetně</w:t>
      </w:r>
      <w:r>
        <w:t xml:space="preserve"> </w:t>
      </w:r>
      <w:r w:rsidRPr="009C4CEA">
        <w:t>zajištění</w:t>
      </w:r>
      <w:r>
        <w:t xml:space="preserve"> </w:t>
      </w:r>
      <w:r w:rsidRPr="009C4CEA">
        <w:t>ochrany</w:t>
      </w:r>
      <w:r>
        <w:t xml:space="preserve"> </w:t>
      </w:r>
      <w:r w:rsidRPr="009C4CEA">
        <w:t>údajů</w:t>
      </w:r>
      <w:r>
        <w:t xml:space="preserve"> </w:t>
      </w:r>
      <w:r w:rsidRPr="009C4CEA">
        <w:t>předávaných</w:t>
      </w:r>
      <w:r>
        <w:t xml:space="preserve"> </w:t>
      </w:r>
      <w:r w:rsidRPr="009C4CEA">
        <w:t>operátorovi</w:t>
      </w:r>
      <w:r>
        <w:t xml:space="preserve"> </w:t>
      </w:r>
      <w:r w:rsidRPr="009C4CEA">
        <w:t>trhu</w:t>
      </w:r>
      <w:r>
        <w:t xml:space="preserve"> </w:t>
      </w:r>
      <w:r w:rsidRPr="009C4CEA">
        <w:t>a</w:t>
      </w:r>
      <w:r>
        <w:t xml:space="preserve"> </w:t>
      </w:r>
      <w:r w:rsidRPr="009C4CEA">
        <w:t>datovému</w:t>
      </w:r>
      <w:r>
        <w:t xml:space="preserve"> </w:t>
      </w:r>
      <w:r w:rsidRPr="009C4CEA">
        <w:t>centru,</w:t>
      </w:r>
      <w:r>
        <w:t xml:space="preserve"> </w:t>
      </w:r>
      <w:r w:rsidRPr="009C4CEA">
        <w:t>a</w:t>
      </w:r>
      <w:r>
        <w:t xml:space="preserve"> </w:t>
      </w:r>
      <w:r w:rsidRPr="009C4CEA">
        <w:t>zajišťovat,</w:t>
      </w:r>
      <w:r>
        <w:t xml:space="preserve"> </w:t>
      </w:r>
      <w:r w:rsidRPr="009C4CEA">
        <w:t>aby</w:t>
      </w:r>
      <w:r>
        <w:t xml:space="preserve"> </w:t>
      </w:r>
      <w:r w:rsidRPr="009C4CEA">
        <w:t>nebyly</w:t>
      </w:r>
      <w:r>
        <w:t xml:space="preserve"> </w:t>
      </w:r>
      <w:r w:rsidRPr="009C4CEA">
        <w:t>chráněné</w:t>
      </w:r>
      <w:r>
        <w:t xml:space="preserve"> </w:t>
      </w:r>
      <w:r w:rsidRPr="009C4CEA">
        <w:t>informace</w:t>
      </w:r>
      <w:r>
        <w:t xml:space="preserve"> </w:t>
      </w:r>
      <w:r w:rsidRPr="009C4CEA">
        <w:t>o</w:t>
      </w:r>
      <w:r>
        <w:t xml:space="preserve"> </w:t>
      </w:r>
      <w:r w:rsidRPr="009C4CEA">
        <w:t>jeho</w:t>
      </w:r>
      <w:r>
        <w:t xml:space="preserve"> </w:t>
      </w:r>
      <w:r w:rsidRPr="009C4CEA">
        <w:t>vlastních</w:t>
      </w:r>
      <w:r>
        <w:t xml:space="preserve"> </w:t>
      </w:r>
      <w:r w:rsidRPr="009C4CEA">
        <w:t>činnostech</w:t>
      </w:r>
      <w:r>
        <w:t xml:space="preserve"> </w:t>
      </w:r>
      <w:r w:rsidRPr="009C4CEA">
        <w:t>poskytovány</w:t>
      </w:r>
      <w:r>
        <w:t xml:space="preserve"> </w:t>
      </w:r>
      <w:r w:rsidRPr="009C4CEA">
        <w:t>diskriminačním</w:t>
      </w:r>
      <w:r>
        <w:t xml:space="preserve"> </w:t>
      </w:r>
      <w:r w:rsidRPr="009C4CEA">
        <w:t>způsobem,</w:t>
      </w:r>
    </w:p>
    <w:p w14:paraId="3D9E55F9" w14:textId="721F3AA9" w:rsidR="00085B44" w:rsidRDefault="00085B44" w:rsidP="002E6AEA">
      <w:pPr>
        <w:pStyle w:val="Textparagrafu"/>
        <w:tabs>
          <w:tab w:val="left" w:pos="392"/>
          <w:tab w:val="left" w:pos="854"/>
        </w:tabs>
        <w:spacing w:before="0"/>
        <w:ind w:left="426" w:hanging="426"/>
      </w:pPr>
      <w:r w:rsidRPr="009C4CEA">
        <w:t>o)</w:t>
      </w:r>
      <w:r w:rsidR="004262BA">
        <w:tab/>
      </w:r>
      <w:r w:rsidRPr="009C4CEA">
        <w:t>vypracovat</w:t>
      </w:r>
      <w:r>
        <w:t xml:space="preserve"> </w:t>
      </w:r>
      <w:r w:rsidRPr="009C4CEA">
        <w:t>havarijní</w:t>
      </w:r>
      <w:r>
        <w:t xml:space="preserve"> </w:t>
      </w:r>
      <w:r w:rsidRPr="009C4CEA">
        <w:t>plány</w:t>
      </w:r>
      <w:r>
        <w:t xml:space="preserve"> </w:t>
      </w:r>
      <w:r w:rsidRPr="009C4CEA">
        <w:t>do</w:t>
      </w:r>
      <w:r>
        <w:t xml:space="preserve"> </w:t>
      </w:r>
      <w:r w:rsidRPr="009C4CEA">
        <w:t>6</w:t>
      </w:r>
      <w:r>
        <w:t xml:space="preserve"> </w:t>
      </w:r>
      <w:r w:rsidRPr="009C4CEA">
        <w:t>měsíců</w:t>
      </w:r>
      <w:r>
        <w:t xml:space="preserve"> </w:t>
      </w:r>
      <w:r w:rsidRPr="009C4CEA">
        <w:t>od</w:t>
      </w:r>
      <w:r>
        <w:t xml:space="preserve"> </w:t>
      </w:r>
      <w:r w:rsidRPr="009C4CEA">
        <w:t>udělení</w:t>
      </w:r>
      <w:r>
        <w:t xml:space="preserve"> </w:t>
      </w:r>
      <w:r w:rsidRPr="009C4CEA">
        <w:t>licence</w:t>
      </w:r>
      <w:r>
        <w:t xml:space="preserve"> </w:t>
      </w:r>
      <w:r w:rsidRPr="009C4CEA">
        <w:t>a</w:t>
      </w:r>
      <w:r>
        <w:t xml:space="preserve"> </w:t>
      </w:r>
      <w:r w:rsidRPr="009C4CEA">
        <w:t>dále</w:t>
      </w:r>
      <w:r>
        <w:t xml:space="preserve"> </w:t>
      </w:r>
      <w:r w:rsidRPr="009C4CEA">
        <w:t>je</w:t>
      </w:r>
      <w:r>
        <w:t xml:space="preserve"> </w:t>
      </w:r>
      <w:r w:rsidRPr="009C4CEA">
        <w:t>každoročně</w:t>
      </w:r>
      <w:r>
        <w:t xml:space="preserve"> </w:t>
      </w:r>
      <w:r w:rsidRPr="009C4CEA">
        <w:t>upřesňovat;</w:t>
      </w:r>
      <w:r>
        <w:t xml:space="preserve"> </w:t>
      </w:r>
      <w:r w:rsidRPr="009C4CEA">
        <w:t>při</w:t>
      </w:r>
      <w:r>
        <w:t xml:space="preserve"> </w:t>
      </w:r>
      <w:r w:rsidRPr="009C4CEA">
        <w:t>jejich</w:t>
      </w:r>
      <w:r>
        <w:t xml:space="preserve"> </w:t>
      </w:r>
      <w:r w:rsidRPr="009C4CEA">
        <w:t>tvorbě</w:t>
      </w:r>
      <w:r>
        <w:t xml:space="preserve"> </w:t>
      </w:r>
      <w:r w:rsidRPr="009C4CEA">
        <w:t>a</w:t>
      </w:r>
      <w:r>
        <w:t xml:space="preserve"> </w:t>
      </w:r>
      <w:r w:rsidRPr="009C4CEA">
        <w:t>upřesňování</w:t>
      </w:r>
      <w:r>
        <w:t xml:space="preserve"> </w:t>
      </w:r>
      <w:r w:rsidRPr="009C4CEA">
        <w:t>spolupracovat</w:t>
      </w:r>
      <w:r>
        <w:t xml:space="preserve"> </w:t>
      </w:r>
      <w:r w:rsidRPr="009C4CEA">
        <w:t>s</w:t>
      </w:r>
      <w:r>
        <w:t xml:space="preserve"> </w:t>
      </w:r>
      <w:r w:rsidRPr="009C4CEA">
        <w:t>provozovateli</w:t>
      </w:r>
      <w:r>
        <w:t xml:space="preserve"> </w:t>
      </w:r>
      <w:r w:rsidRPr="009C4CEA">
        <w:t>soustav,</w:t>
      </w:r>
      <w:r>
        <w:t xml:space="preserve"> </w:t>
      </w:r>
      <w:r w:rsidRPr="009C4CEA">
        <w:t>s</w:t>
      </w:r>
      <w:r>
        <w:t xml:space="preserve"> </w:t>
      </w:r>
      <w:r w:rsidRPr="009C4CEA">
        <w:t>jejichž</w:t>
      </w:r>
      <w:r>
        <w:t xml:space="preserve"> </w:t>
      </w:r>
      <w:r w:rsidRPr="009C4CEA">
        <w:t>zařízením</w:t>
      </w:r>
      <w:r>
        <w:t xml:space="preserve"> </w:t>
      </w:r>
      <w:r w:rsidRPr="009C4CEA">
        <w:t>je</w:t>
      </w:r>
      <w:r>
        <w:t xml:space="preserve"> </w:t>
      </w:r>
      <w:r w:rsidRPr="009C4CEA">
        <w:t>jeho</w:t>
      </w:r>
      <w:r>
        <w:t xml:space="preserve"> </w:t>
      </w:r>
      <w:r w:rsidRPr="009C4CEA">
        <w:t>zařízení</w:t>
      </w:r>
      <w:r>
        <w:t xml:space="preserve"> </w:t>
      </w:r>
      <w:r w:rsidRPr="009C4CEA">
        <w:t>propojeno,</w:t>
      </w:r>
    </w:p>
    <w:p w14:paraId="7E550CCB" w14:textId="2C5BFF5E" w:rsidR="00085B44" w:rsidRDefault="00085B44" w:rsidP="002E6AEA">
      <w:pPr>
        <w:pStyle w:val="Textparagrafu"/>
        <w:tabs>
          <w:tab w:val="left" w:pos="392"/>
          <w:tab w:val="left" w:pos="854"/>
        </w:tabs>
        <w:spacing w:before="0"/>
        <w:ind w:left="426" w:hanging="426"/>
      </w:pPr>
      <w:r w:rsidRPr="009C4CEA">
        <w:t>p)</w:t>
      </w:r>
      <w:r w:rsidR="004262BA">
        <w:tab/>
      </w:r>
      <w:r w:rsidRPr="009C4CEA">
        <w:t>dodržovat</w:t>
      </w:r>
      <w:r>
        <w:t xml:space="preserve"> </w:t>
      </w:r>
      <w:r w:rsidRPr="009C4CEA">
        <w:t>stanovenou</w:t>
      </w:r>
      <w:r>
        <w:t xml:space="preserve"> </w:t>
      </w:r>
      <w:r w:rsidRPr="009C4CEA">
        <w:t>kvalitu</w:t>
      </w:r>
      <w:r>
        <w:t xml:space="preserve"> </w:t>
      </w:r>
      <w:r w:rsidRPr="009C4CEA">
        <w:t>dodávek</w:t>
      </w:r>
      <w:r>
        <w:t xml:space="preserve"> </w:t>
      </w:r>
      <w:r w:rsidRPr="009C4CEA">
        <w:t>a</w:t>
      </w:r>
      <w:r>
        <w:t xml:space="preserve"> </w:t>
      </w:r>
      <w:r w:rsidRPr="009C4CEA">
        <w:t>služeb,</w:t>
      </w:r>
      <w:r>
        <w:t xml:space="preserve"> </w:t>
      </w:r>
      <w:r w:rsidRPr="009C4CEA">
        <w:t>vykazovat</w:t>
      </w:r>
      <w:r>
        <w:t xml:space="preserve"> </w:t>
      </w:r>
      <w:r w:rsidRPr="009C4CEA">
        <w:t>Energetickému</w:t>
      </w:r>
      <w:r>
        <w:t xml:space="preserve"> </w:t>
      </w:r>
      <w:r w:rsidRPr="009C4CEA">
        <w:t>regulačnímu</w:t>
      </w:r>
      <w:r>
        <w:t xml:space="preserve"> </w:t>
      </w:r>
      <w:r w:rsidRPr="009C4CEA">
        <w:t>úřadu</w:t>
      </w:r>
      <w:r>
        <w:t xml:space="preserve"> </w:t>
      </w:r>
      <w:r w:rsidRPr="009C4CEA">
        <w:t>úroveň</w:t>
      </w:r>
      <w:r>
        <w:t xml:space="preserve"> </w:t>
      </w:r>
      <w:r w:rsidRPr="009C4CEA">
        <w:t>kvality</w:t>
      </w:r>
      <w:r>
        <w:t xml:space="preserve"> </w:t>
      </w:r>
      <w:r w:rsidRPr="009C4CEA">
        <w:t>dodávek</w:t>
      </w:r>
      <w:r>
        <w:t xml:space="preserve"> </w:t>
      </w:r>
      <w:r w:rsidRPr="009C4CEA">
        <w:t>a</w:t>
      </w:r>
      <w:r>
        <w:t xml:space="preserve"> </w:t>
      </w:r>
      <w:r w:rsidRPr="009C4CEA">
        <w:t>služeb</w:t>
      </w:r>
      <w:r>
        <w:t xml:space="preserve"> </w:t>
      </w:r>
      <w:r w:rsidRPr="009C4CEA">
        <w:t>a</w:t>
      </w:r>
      <w:r>
        <w:t xml:space="preserve"> </w:t>
      </w:r>
      <w:r w:rsidRPr="009C4CEA">
        <w:t>zveřejňovat</w:t>
      </w:r>
      <w:r>
        <w:t xml:space="preserve"> </w:t>
      </w:r>
      <w:r w:rsidRPr="009C4CEA">
        <w:t>ji</w:t>
      </w:r>
      <w:r>
        <w:t xml:space="preserve"> </w:t>
      </w:r>
      <w:r w:rsidRPr="009C4CEA">
        <w:t>způsobem</w:t>
      </w:r>
      <w:r>
        <w:t xml:space="preserve"> </w:t>
      </w:r>
      <w:r w:rsidRPr="009C4CEA">
        <w:t>umožňujícím</w:t>
      </w:r>
      <w:r>
        <w:t xml:space="preserve"> </w:t>
      </w:r>
      <w:r w:rsidRPr="009C4CEA">
        <w:t>dálkový</w:t>
      </w:r>
      <w:r>
        <w:t xml:space="preserve"> </w:t>
      </w:r>
      <w:r w:rsidRPr="009C4CEA">
        <w:t>přístup,</w:t>
      </w:r>
    </w:p>
    <w:p w14:paraId="1FD8B1B2" w14:textId="67F4EB45" w:rsidR="00085B44" w:rsidRDefault="00085B44" w:rsidP="002E6AEA">
      <w:pPr>
        <w:pStyle w:val="Textparagrafu"/>
        <w:tabs>
          <w:tab w:val="left" w:pos="392"/>
          <w:tab w:val="left" w:pos="854"/>
        </w:tabs>
        <w:spacing w:before="0"/>
        <w:ind w:left="426" w:hanging="426"/>
      </w:pPr>
      <w:r w:rsidRPr="009C4CEA">
        <w:t>r)</w:t>
      </w:r>
      <w:r w:rsidR="004262BA">
        <w:tab/>
      </w:r>
      <w:r w:rsidRPr="009C4CEA">
        <w:t>na</w:t>
      </w:r>
      <w:r>
        <w:t xml:space="preserve"> </w:t>
      </w:r>
      <w:r w:rsidRPr="009C4CEA">
        <w:t>své</w:t>
      </w:r>
      <w:r>
        <w:t xml:space="preserve"> </w:t>
      </w:r>
      <w:r w:rsidRPr="009C4CEA">
        <w:t>náklady</w:t>
      </w:r>
      <w:r>
        <w:t xml:space="preserve"> </w:t>
      </w:r>
      <w:r w:rsidRPr="009C4CEA">
        <w:t>zajistit</w:t>
      </w:r>
      <w:r>
        <w:t xml:space="preserve"> </w:t>
      </w:r>
      <w:r w:rsidRPr="009C4CEA">
        <w:t>připojení</w:t>
      </w:r>
      <w:r>
        <w:t xml:space="preserve"> </w:t>
      </w:r>
      <w:r w:rsidRPr="009C4CEA">
        <w:t>svého</w:t>
      </w:r>
      <w:r>
        <w:t xml:space="preserve"> </w:t>
      </w:r>
      <w:r w:rsidRPr="009C4CEA">
        <w:t>zařízení</w:t>
      </w:r>
      <w:r>
        <w:t xml:space="preserve"> </w:t>
      </w:r>
      <w:r w:rsidRPr="009C4CEA">
        <w:t>k</w:t>
      </w:r>
      <w:r>
        <w:t xml:space="preserve"> </w:t>
      </w:r>
      <w:r w:rsidRPr="009C4CEA">
        <w:t>jiné</w:t>
      </w:r>
      <w:r>
        <w:t xml:space="preserve"> </w:t>
      </w:r>
      <w:r w:rsidRPr="009C4CEA">
        <w:t>distribuční</w:t>
      </w:r>
      <w:r>
        <w:t xml:space="preserve"> </w:t>
      </w:r>
      <w:r w:rsidRPr="009C4CEA">
        <w:t>soustavě,</w:t>
      </w:r>
      <w:r>
        <w:t xml:space="preserve"> </w:t>
      </w:r>
      <w:r w:rsidRPr="009C4CEA">
        <w:t>umožnit</w:t>
      </w:r>
      <w:r>
        <w:t xml:space="preserve"> </w:t>
      </w:r>
      <w:r w:rsidRPr="009C4CEA">
        <w:t>instalaci</w:t>
      </w:r>
      <w:r>
        <w:t xml:space="preserve"> </w:t>
      </w:r>
      <w:r w:rsidRPr="009C4CEA">
        <w:t>měřicího</w:t>
      </w:r>
      <w:r>
        <w:t xml:space="preserve"> </w:t>
      </w:r>
      <w:r w:rsidRPr="009C4CEA">
        <w:t>zařízení</w:t>
      </w:r>
      <w:r>
        <w:t xml:space="preserve"> </w:t>
      </w:r>
      <w:r w:rsidRPr="009C4CEA">
        <w:t>k</w:t>
      </w:r>
      <w:r>
        <w:t xml:space="preserve"> </w:t>
      </w:r>
      <w:r w:rsidRPr="009C4CEA">
        <w:t>měření</w:t>
      </w:r>
      <w:r>
        <w:t xml:space="preserve"> </w:t>
      </w:r>
      <w:r w:rsidRPr="009C4CEA">
        <w:t>elektřiny</w:t>
      </w:r>
      <w:r>
        <w:t xml:space="preserve"> </w:t>
      </w:r>
      <w:r w:rsidRPr="009C4CEA">
        <w:t>mezi</w:t>
      </w:r>
      <w:r>
        <w:t xml:space="preserve"> </w:t>
      </w:r>
      <w:r w:rsidRPr="009C4CEA">
        <w:t>distribučními</w:t>
      </w:r>
      <w:r>
        <w:t xml:space="preserve"> </w:t>
      </w:r>
      <w:r w:rsidRPr="009C4CEA">
        <w:t>soustavami,</w:t>
      </w:r>
      <w:r>
        <w:t xml:space="preserve"> </w:t>
      </w:r>
      <w:r w:rsidRPr="009C4CEA">
        <w:t>zajistit</w:t>
      </w:r>
      <w:r>
        <w:t xml:space="preserve"> </w:t>
      </w:r>
      <w:r w:rsidRPr="009C4CEA">
        <w:t>přístup</w:t>
      </w:r>
      <w:r>
        <w:t xml:space="preserve"> </w:t>
      </w:r>
      <w:r w:rsidRPr="009C4CEA">
        <w:t>k</w:t>
      </w:r>
      <w:r>
        <w:t xml:space="preserve"> </w:t>
      </w:r>
      <w:r w:rsidRPr="009C4CEA">
        <w:t>tomuto</w:t>
      </w:r>
      <w:r>
        <w:t xml:space="preserve"> </w:t>
      </w:r>
      <w:r w:rsidRPr="009C4CEA">
        <w:t>zařízení</w:t>
      </w:r>
      <w:r>
        <w:t xml:space="preserve"> </w:t>
      </w:r>
      <w:r w:rsidRPr="009C4CEA">
        <w:t>a</w:t>
      </w:r>
      <w:r>
        <w:t xml:space="preserve"> </w:t>
      </w:r>
      <w:r w:rsidRPr="009C4CEA">
        <w:t>podílet</w:t>
      </w:r>
      <w:r>
        <w:t xml:space="preserve"> </w:t>
      </w:r>
      <w:r w:rsidRPr="009C4CEA">
        <w:t>se</w:t>
      </w:r>
      <w:r>
        <w:t xml:space="preserve"> </w:t>
      </w:r>
      <w:r w:rsidRPr="009C4CEA">
        <w:t>na</w:t>
      </w:r>
      <w:r>
        <w:t xml:space="preserve"> </w:t>
      </w:r>
      <w:r w:rsidRPr="009C4CEA">
        <w:t>úhradě</w:t>
      </w:r>
      <w:r>
        <w:t xml:space="preserve"> </w:t>
      </w:r>
      <w:r w:rsidRPr="009C4CEA">
        <w:t>oprávněných</w:t>
      </w:r>
      <w:r>
        <w:t xml:space="preserve"> </w:t>
      </w:r>
      <w:r w:rsidRPr="009C4CEA">
        <w:t>nákladů</w:t>
      </w:r>
      <w:r>
        <w:t xml:space="preserve"> </w:t>
      </w:r>
      <w:r w:rsidRPr="009C4CEA">
        <w:t>provozovatele</w:t>
      </w:r>
      <w:r>
        <w:t xml:space="preserve"> </w:t>
      </w:r>
      <w:r w:rsidRPr="009C4CEA">
        <w:t>distribuční</w:t>
      </w:r>
      <w:r>
        <w:t xml:space="preserve"> </w:t>
      </w:r>
      <w:r w:rsidRPr="009C4CEA">
        <w:t>soustavy</w:t>
      </w:r>
      <w:r>
        <w:t xml:space="preserve"> </w:t>
      </w:r>
      <w:r w:rsidRPr="009C4CEA">
        <w:t>spojených</w:t>
      </w:r>
      <w:r>
        <w:t xml:space="preserve"> </w:t>
      </w:r>
      <w:r w:rsidRPr="009C4CEA">
        <w:t>s</w:t>
      </w:r>
      <w:r>
        <w:t xml:space="preserve"> </w:t>
      </w:r>
      <w:r w:rsidRPr="009C4CEA">
        <w:t>připojením</w:t>
      </w:r>
      <w:r>
        <w:t xml:space="preserve"> </w:t>
      </w:r>
      <w:r w:rsidRPr="009C4CEA">
        <w:t>svého</w:t>
      </w:r>
      <w:r>
        <w:t xml:space="preserve"> </w:t>
      </w:r>
      <w:r w:rsidRPr="009C4CEA">
        <w:t>zařízení</w:t>
      </w:r>
      <w:r>
        <w:t xml:space="preserve"> </w:t>
      </w:r>
      <w:r w:rsidRPr="009C4CEA">
        <w:t>k</w:t>
      </w:r>
      <w:r>
        <w:t xml:space="preserve"> </w:t>
      </w:r>
      <w:r w:rsidRPr="009C4CEA">
        <w:t>této</w:t>
      </w:r>
      <w:r>
        <w:t xml:space="preserve"> </w:t>
      </w:r>
      <w:r w:rsidRPr="009C4CEA">
        <w:t>distribuční</w:t>
      </w:r>
      <w:r>
        <w:t xml:space="preserve"> </w:t>
      </w:r>
      <w:r w:rsidRPr="009C4CEA">
        <w:t>soustavě,</w:t>
      </w:r>
    </w:p>
    <w:p w14:paraId="5725CD82" w14:textId="47D9A0B7" w:rsidR="00085B44" w:rsidRDefault="00085B44" w:rsidP="002E6AEA">
      <w:pPr>
        <w:pStyle w:val="Textparagrafu"/>
        <w:tabs>
          <w:tab w:val="left" w:pos="392"/>
          <w:tab w:val="left" w:pos="854"/>
        </w:tabs>
        <w:spacing w:before="0"/>
        <w:ind w:left="426" w:hanging="426"/>
      </w:pPr>
      <w:r w:rsidRPr="009C4CEA">
        <w:t>s)</w:t>
      </w:r>
      <w:r w:rsidR="004262BA">
        <w:tab/>
      </w:r>
      <w:r w:rsidRPr="009C4CEA">
        <w:t>poskytnout</w:t>
      </w:r>
      <w:r>
        <w:t xml:space="preserve"> </w:t>
      </w:r>
      <w:r w:rsidRPr="009C4CEA">
        <w:t>na</w:t>
      </w:r>
      <w:r>
        <w:t xml:space="preserve"> </w:t>
      </w:r>
      <w:r w:rsidRPr="009C4CEA">
        <w:t>vyžádání</w:t>
      </w:r>
      <w:r>
        <w:t xml:space="preserve"> </w:t>
      </w:r>
      <w:r w:rsidRPr="009C4CEA">
        <w:t>dodavateli</w:t>
      </w:r>
      <w:r>
        <w:t xml:space="preserve"> </w:t>
      </w:r>
      <w:r w:rsidRPr="009C4CEA">
        <w:t>poslední</w:t>
      </w:r>
      <w:r>
        <w:t xml:space="preserve"> </w:t>
      </w:r>
      <w:r w:rsidRPr="009C4CEA">
        <w:t>instance</w:t>
      </w:r>
      <w:r>
        <w:t xml:space="preserve"> </w:t>
      </w:r>
      <w:r w:rsidRPr="009C4CEA">
        <w:t>údaje</w:t>
      </w:r>
      <w:r>
        <w:t xml:space="preserve"> </w:t>
      </w:r>
      <w:r w:rsidRPr="009C4CEA">
        <w:t>o</w:t>
      </w:r>
      <w:r>
        <w:t xml:space="preserve"> </w:t>
      </w:r>
      <w:r w:rsidRPr="009C4CEA">
        <w:t>zákazníkovi,</w:t>
      </w:r>
      <w:r>
        <w:t xml:space="preserve"> </w:t>
      </w:r>
      <w:r w:rsidRPr="009C4CEA">
        <w:t>jeho</w:t>
      </w:r>
      <w:r>
        <w:t xml:space="preserve"> </w:t>
      </w:r>
      <w:r w:rsidRPr="009C4CEA">
        <w:t>odběrném</w:t>
      </w:r>
      <w:r>
        <w:t xml:space="preserve"> </w:t>
      </w:r>
      <w:r w:rsidRPr="009C4CEA">
        <w:t>místě</w:t>
      </w:r>
      <w:r>
        <w:t xml:space="preserve"> </w:t>
      </w:r>
      <w:r w:rsidRPr="009C4CEA">
        <w:t>a</w:t>
      </w:r>
      <w:r>
        <w:t xml:space="preserve"> </w:t>
      </w:r>
      <w:r w:rsidRPr="009C4CEA">
        <w:t>jeho</w:t>
      </w:r>
      <w:r>
        <w:t xml:space="preserve"> </w:t>
      </w:r>
      <w:r w:rsidRPr="009C4CEA">
        <w:t>předávacích</w:t>
      </w:r>
      <w:r>
        <w:t xml:space="preserve"> </w:t>
      </w:r>
      <w:r w:rsidRPr="009C4CEA">
        <w:t>místech</w:t>
      </w:r>
      <w:r>
        <w:t xml:space="preserve"> </w:t>
      </w:r>
      <w:r w:rsidRPr="009C4CEA">
        <w:t>v</w:t>
      </w:r>
      <w:r>
        <w:t xml:space="preserve"> </w:t>
      </w:r>
      <w:r w:rsidRPr="009C4CEA">
        <w:t>rozsahu</w:t>
      </w:r>
      <w:r>
        <w:t xml:space="preserve"> </w:t>
      </w:r>
      <w:r w:rsidRPr="009C4CEA">
        <w:t>nezbytném</w:t>
      </w:r>
      <w:r>
        <w:t xml:space="preserve"> </w:t>
      </w:r>
      <w:r w:rsidRPr="009C4CEA">
        <w:t>pro</w:t>
      </w:r>
      <w:r>
        <w:t xml:space="preserve"> </w:t>
      </w:r>
      <w:r w:rsidRPr="009C4CEA">
        <w:t>zajištění</w:t>
      </w:r>
      <w:r>
        <w:t xml:space="preserve"> </w:t>
      </w:r>
      <w:r w:rsidRPr="009C4CEA">
        <w:t>dodávky</w:t>
      </w:r>
      <w:r>
        <w:t xml:space="preserve"> </w:t>
      </w:r>
      <w:r w:rsidRPr="009C4CEA">
        <w:t>poslední</w:t>
      </w:r>
      <w:r>
        <w:t xml:space="preserve"> </w:t>
      </w:r>
      <w:r w:rsidRPr="009C4CEA">
        <w:t>instance,</w:t>
      </w:r>
    </w:p>
    <w:p w14:paraId="6049D7E1" w14:textId="6ACE0058" w:rsidR="00085B44" w:rsidRDefault="00085B44" w:rsidP="002E6AEA">
      <w:pPr>
        <w:pStyle w:val="Textparagrafu"/>
        <w:tabs>
          <w:tab w:val="left" w:pos="392"/>
          <w:tab w:val="left" w:pos="854"/>
        </w:tabs>
        <w:spacing w:before="0"/>
        <w:ind w:left="426" w:hanging="426"/>
      </w:pPr>
      <w:r w:rsidRPr="009C4CEA">
        <w:lastRenderedPageBreak/>
        <w:t>t)</w:t>
      </w:r>
      <w:r w:rsidR="004262BA">
        <w:tab/>
      </w:r>
      <w:r w:rsidRPr="009C4CEA">
        <w:t>na</w:t>
      </w:r>
      <w:r>
        <w:t xml:space="preserve"> </w:t>
      </w:r>
      <w:r w:rsidRPr="009C4CEA">
        <w:t>své</w:t>
      </w:r>
      <w:r>
        <w:t xml:space="preserve"> </w:t>
      </w:r>
      <w:r w:rsidRPr="009C4CEA">
        <w:t>náklady</w:t>
      </w:r>
      <w:r>
        <w:t xml:space="preserve"> </w:t>
      </w:r>
      <w:r w:rsidRPr="009C4CEA">
        <w:t>zajistit</w:t>
      </w:r>
      <w:r>
        <w:t xml:space="preserve"> </w:t>
      </w:r>
      <w:r w:rsidRPr="009C4CEA">
        <w:t>připojení</w:t>
      </w:r>
      <w:r>
        <w:t xml:space="preserve"> </w:t>
      </w:r>
      <w:r w:rsidRPr="009C4CEA">
        <w:t>svého</w:t>
      </w:r>
      <w:r>
        <w:t xml:space="preserve"> </w:t>
      </w:r>
      <w:r w:rsidRPr="009C4CEA">
        <w:t>zařízení</w:t>
      </w:r>
      <w:r>
        <w:t xml:space="preserve"> </w:t>
      </w:r>
      <w:r w:rsidRPr="009C4CEA">
        <w:t>k</w:t>
      </w:r>
      <w:r>
        <w:t xml:space="preserve"> </w:t>
      </w:r>
      <w:r w:rsidRPr="009C4CEA">
        <w:t>přenosové</w:t>
      </w:r>
      <w:r>
        <w:t xml:space="preserve"> </w:t>
      </w:r>
      <w:r w:rsidRPr="009C4CEA">
        <w:t>soustavě,</w:t>
      </w:r>
      <w:r>
        <w:t xml:space="preserve"> </w:t>
      </w:r>
      <w:r w:rsidRPr="009C4CEA">
        <w:t>umožnit</w:t>
      </w:r>
      <w:r>
        <w:t xml:space="preserve"> </w:t>
      </w:r>
      <w:r w:rsidRPr="009C4CEA">
        <w:t>instalaci</w:t>
      </w:r>
      <w:r>
        <w:t xml:space="preserve"> </w:t>
      </w:r>
      <w:r w:rsidRPr="009C4CEA">
        <w:t>měřicího</w:t>
      </w:r>
      <w:r>
        <w:t xml:space="preserve"> </w:t>
      </w:r>
      <w:r w:rsidRPr="009C4CEA">
        <w:t>zařízení</w:t>
      </w:r>
      <w:r>
        <w:t xml:space="preserve"> </w:t>
      </w:r>
      <w:r w:rsidRPr="009C4CEA">
        <w:t>k</w:t>
      </w:r>
      <w:r>
        <w:t xml:space="preserve"> </w:t>
      </w:r>
      <w:r w:rsidRPr="009C4CEA">
        <w:t>měření</w:t>
      </w:r>
      <w:r>
        <w:t xml:space="preserve"> </w:t>
      </w:r>
      <w:r w:rsidRPr="009C4CEA">
        <w:t>elektřiny</w:t>
      </w:r>
      <w:r>
        <w:t xml:space="preserve"> </w:t>
      </w:r>
      <w:r w:rsidRPr="009C4CEA">
        <w:t>mezi</w:t>
      </w:r>
      <w:r>
        <w:t xml:space="preserve"> </w:t>
      </w:r>
      <w:r w:rsidRPr="009C4CEA">
        <w:t>přenosovou</w:t>
      </w:r>
      <w:r>
        <w:t xml:space="preserve"> </w:t>
      </w:r>
      <w:r w:rsidRPr="009C4CEA">
        <w:t>a</w:t>
      </w:r>
      <w:r>
        <w:t xml:space="preserve"> </w:t>
      </w:r>
      <w:r w:rsidRPr="009C4CEA">
        <w:t>distribuční</w:t>
      </w:r>
      <w:r>
        <w:t xml:space="preserve"> </w:t>
      </w:r>
      <w:r w:rsidRPr="009C4CEA">
        <w:t>soustavou,</w:t>
      </w:r>
      <w:r>
        <w:t xml:space="preserve"> </w:t>
      </w:r>
      <w:r w:rsidRPr="009C4CEA">
        <w:t>zajistit</w:t>
      </w:r>
      <w:r>
        <w:t xml:space="preserve"> </w:t>
      </w:r>
      <w:r w:rsidRPr="009C4CEA">
        <w:t>přístup</w:t>
      </w:r>
      <w:r>
        <w:t xml:space="preserve"> </w:t>
      </w:r>
      <w:r w:rsidRPr="009C4CEA">
        <w:t>k</w:t>
      </w:r>
      <w:r>
        <w:t xml:space="preserve"> </w:t>
      </w:r>
      <w:r w:rsidRPr="009C4CEA">
        <w:t>tomuto</w:t>
      </w:r>
      <w:r>
        <w:t xml:space="preserve"> </w:t>
      </w:r>
      <w:r w:rsidRPr="009C4CEA">
        <w:t>zařízení</w:t>
      </w:r>
      <w:r>
        <w:t xml:space="preserve"> </w:t>
      </w:r>
      <w:r w:rsidRPr="009C4CEA">
        <w:t>a</w:t>
      </w:r>
      <w:r>
        <w:t xml:space="preserve"> </w:t>
      </w:r>
      <w:r w:rsidRPr="009C4CEA">
        <w:t>podílet</w:t>
      </w:r>
      <w:r>
        <w:t xml:space="preserve"> </w:t>
      </w:r>
      <w:r w:rsidRPr="009C4CEA">
        <w:t>se</w:t>
      </w:r>
      <w:r>
        <w:t xml:space="preserve"> </w:t>
      </w:r>
      <w:r w:rsidRPr="009C4CEA">
        <w:t>na</w:t>
      </w:r>
      <w:r>
        <w:t xml:space="preserve"> </w:t>
      </w:r>
      <w:r w:rsidRPr="009C4CEA">
        <w:t>úhradě</w:t>
      </w:r>
      <w:r>
        <w:t xml:space="preserve"> </w:t>
      </w:r>
      <w:r w:rsidRPr="009C4CEA">
        <w:t>oprávněných</w:t>
      </w:r>
      <w:r>
        <w:t xml:space="preserve"> </w:t>
      </w:r>
      <w:r w:rsidRPr="009C4CEA">
        <w:t>nákladů</w:t>
      </w:r>
      <w:r>
        <w:t xml:space="preserve"> </w:t>
      </w:r>
      <w:r w:rsidRPr="009C4CEA">
        <w:t>provozovatele</w:t>
      </w:r>
      <w:r>
        <w:t xml:space="preserve"> </w:t>
      </w:r>
      <w:r w:rsidRPr="009C4CEA">
        <w:t>přenosové</w:t>
      </w:r>
      <w:r>
        <w:t xml:space="preserve"> </w:t>
      </w:r>
      <w:r w:rsidRPr="009C4CEA">
        <w:t>soustavy</w:t>
      </w:r>
      <w:r>
        <w:t xml:space="preserve"> </w:t>
      </w:r>
      <w:r w:rsidRPr="009C4CEA">
        <w:t>spojených</w:t>
      </w:r>
      <w:r>
        <w:t xml:space="preserve"> </w:t>
      </w:r>
      <w:r w:rsidRPr="009C4CEA">
        <w:t>s</w:t>
      </w:r>
      <w:r>
        <w:t xml:space="preserve"> </w:t>
      </w:r>
      <w:r w:rsidRPr="009C4CEA">
        <w:t>připojením</w:t>
      </w:r>
      <w:r>
        <w:t xml:space="preserve"> </w:t>
      </w:r>
      <w:r w:rsidRPr="009C4CEA">
        <w:t>svého</w:t>
      </w:r>
      <w:r>
        <w:t xml:space="preserve"> </w:t>
      </w:r>
      <w:r w:rsidRPr="009C4CEA">
        <w:t>zařízení</w:t>
      </w:r>
      <w:r>
        <w:t xml:space="preserve"> </w:t>
      </w:r>
      <w:r w:rsidRPr="009C4CEA">
        <w:t>k</w:t>
      </w:r>
      <w:r>
        <w:t xml:space="preserve"> </w:t>
      </w:r>
      <w:r w:rsidRPr="009C4CEA">
        <w:t>přenosové</w:t>
      </w:r>
      <w:r>
        <w:t xml:space="preserve"> </w:t>
      </w:r>
      <w:r w:rsidRPr="009C4CEA">
        <w:t>soustavě,</w:t>
      </w:r>
    </w:p>
    <w:p w14:paraId="0BEBC2E9" w14:textId="30886261" w:rsidR="00085B44" w:rsidRDefault="00085B44" w:rsidP="002E6AEA">
      <w:pPr>
        <w:pStyle w:val="Textparagrafu"/>
        <w:tabs>
          <w:tab w:val="left" w:pos="392"/>
          <w:tab w:val="left" w:pos="854"/>
        </w:tabs>
        <w:spacing w:before="0"/>
        <w:ind w:left="426" w:hanging="426"/>
      </w:pPr>
      <w:r w:rsidRPr="009C4CEA">
        <w:t>u)</w:t>
      </w:r>
      <w:r w:rsidR="004262BA">
        <w:tab/>
      </w:r>
      <w:r w:rsidRPr="009C4CEA">
        <w:t>nezneužívat</w:t>
      </w:r>
      <w:r>
        <w:t xml:space="preserve"> </w:t>
      </w:r>
      <w:r w:rsidRPr="009C4CEA">
        <w:t>chráněné</w:t>
      </w:r>
      <w:r>
        <w:t xml:space="preserve"> </w:t>
      </w:r>
      <w:r w:rsidRPr="009C4CEA">
        <w:t>informace</w:t>
      </w:r>
      <w:r>
        <w:t xml:space="preserve"> </w:t>
      </w:r>
      <w:r w:rsidRPr="009C4CEA">
        <w:t>získané</w:t>
      </w:r>
      <w:r>
        <w:t xml:space="preserve"> </w:t>
      </w:r>
      <w:r w:rsidRPr="009C4CEA">
        <w:t>od</w:t>
      </w:r>
      <w:r>
        <w:t xml:space="preserve"> </w:t>
      </w:r>
      <w:r w:rsidRPr="009C4CEA">
        <w:t>třetích</w:t>
      </w:r>
      <w:r>
        <w:t xml:space="preserve"> </w:t>
      </w:r>
      <w:r w:rsidRPr="009C4CEA">
        <w:t>osob</w:t>
      </w:r>
      <w:r>
        <w:t xml:space="preserve"> </w:t>
      </w:r>
      <w:r w:rsidRPr="009C4CEA">
        <w:t>v</w:t>
      </w:r>
      <w:r>
        <w:t xml:space="preserve"> </w:t>
      </w:r>
      <w:r w:rsidRPr="009C4CEA">
        <w:t>souvislosti</w:t>
      </w:r>
      <w:r>
        <w:t xml:space="preserve"> </w:t>
      </w:r>
      <w:r w:rsidRPr="009C4CEA">
        <w:t>s</w:t>
      </w:r>
      <w:r>
        <w:t xml:space="preserve"> </w:t>
      </w:r>
      <w:r w:rsidRPr="009C4CEA">
        <w:t>poskytováním</w:t>
      </w:r>
      <w:r>
        <w:t xml:space="preserve"> </w:t>
      </w:r>
      <w:r w:rsidRPr="009C4CEA">
        <w:t>nebo</w:t>
      </w:r>
      <w:r>
        <w:t xml:space="preserve"> </w:t>
      </w:r>
      <w:r w:rsidRPr="009C4CEA">
        <w:t>sjednáváním</w:t>
      </w:r>
      <w:r>
        <w:t xml:space="preserve"> </w:t>
      </w:r>
      <w:r w:rsidRPr="009C4CEA">
        <w:t>přístupu</w:t>
      </w:r>
      <w:r>
        <w:t xml:space="preserve"> </w:t>
      </w:r>
      <w:r w:rsidRPr="009C4CEA">
        <w:t>k</w:t>
      </w:r>
      <w:r>
        <w:t xml:space="preserve"> </w:t>
      </w:r>
      <w:r w:rsidRPr="009C4CEA">
        <w:t>distribuční</w:t>
      </w:r>
      <w:r>
        <w:t xml:space="preserve"> </w:t>
      </w:r>
      <w:r w:rsidRPr="009C4CEA">
        <w:t>soustavě</w:t>
      </w:r>
      <w:r>
        <w:t xml:space="preserve"> </w:t>
      </w:r>
      <w:r w:rsidRPr="009C4CEA">
        <w:t>při</w:t>
      </w:r>
      <w:r>
        <w:t xml:space="preserve"> </w:t>
      </w:r>
      <w:r w:rsidRPr="009C4CEA">
        <w:t>prodeji</w:t>
      </w:r>
      <w:r>
        <w:t xml:space="preserve"> </w:t>
      </w:r>
      <w:r w:rsidRPr="009C4CEA">
        <w:t>nebo</w:t>
      </w:r>
      <w:r>
        <w:t xml:space="preserve"> </w:t>
      </w:r>
      <w:r w:rsidRPr="009C4CEA">
        <w:t>nákupu</w:t>
      </w:r>
      <w:r>
        <w:t xml:space="preserve"> </w:t>
      </w:r>
      <w:r w:rsidRPr="009C4CEA">
        <w:t>elektřiny</w:t>
      </w:r>
      <w:r>
        <w:t xml:space="preserve"> </w:t>
      </w:r>
      <w:r w:rsidRPr="009C4CEA">
        <w:t>realizovaným</w:t>
      </w:r>
      <w:r>
        <w:t xml:space="preserve"> </w:t>
      </w:r>
      <w:r w:rsidRPr="009C4CEA">
        <w:t>podnikem</w:t>
      </w:r>
      <w:r>
        <w:t xml:space="preserve"> </w:t>
      </w:r>
      <w:r w:rsidRPr="009C4CEA">
        <w:t>ve</w:t>
      </w:r>
      <w:r>
        <w:t xml:space="preserve"> </w:t>
      </w:r>
      <w:r w:rsidRPr="009C4CEA">
        <w:t>skupině,</w:t>
      </w:r>
    </w:p>
    <w:p w14:paraId="6EA114E5" w14:textId="738A6D74" w:rsidR="00085B44" w:rsidRDefault="00085B44" w:rsidP="002E6AEA">
      <w:pPr>
        <w:pStyle w:val="Textparagrafu"/>
        <w:tabs>
          <w:tab w:val="left" w:pos="392"/>
          <w:tab w:val="left" w:pos="854"/>
        </w:tabs>
        <w:spacing w:before="0"/>
        <w:ind w:left="426" w:hanging="426"/>
      </w:pPr>
      <w:r w:rsidRPr="009C4CEA">
        <w:t>v)</w:t>
      </w:r>
      <w:r w:rsidR="004262BA">
        <w:tab/>
      </w:r>
      <w:r w:rsidRPr="009C4CEA">
        <w:t>bezplatně</w:t>
      </w:r>
      <w:r>
        <w:t xml:space="preserve"> </w:t>
      </w:r>
      <w:r w:rsidRPr="009C4CEA">
        <w:t>a</w:t>
      </w:r>
      <w:r>
        <w:t xml:space="preserve"> </w:t>
      </w:r>
      <w:r w:rsidRPr="009C4CEA">
        <w:t>způsobem</w:t>
      </w:r>
      <w:r>
        <w:t xml:space="preserve"> </w:t>
      </w:r>
      <w:r w:rsidRPr="009C4CEA">
        <w:t>umožňujícím</w:t>
      </w:r>
      <w:r>
        <w:t xml:space="preserve"> </w:t>
      </w:r>
      <w:r w:rsidRPr="009C4CEA">
        <w:t>dálkový</w:t>
      </w:r>
      <w:r>
        <w:t xml:space="preserve"> </w:t>
      </w:r>
      <w:r w:rsidRPr="009C4CEA">
        <w:t>přístup</w:t>
      </w:r>
      <w:r>
        <w:t xml:space="preserve"> </w:t>
      </w:r>
      <w:r w:rsidRPr="009C4CEA">
        <w:t>poskytovat</w:t>
      </w:r>
      <w:r>
        <w:t xml:space="preserve"> </w:t>
      </w:r>
      <w:r w:rsidRPr="009C4CEA">
        <w:t>na</w:t>
      </w:r>
      <w:r>
        <w:t xml:space="preserve"> </w:t>
      </w:r>
      <w:r w:rsidRPr="009C4CEA">
        <w:t>vyžádání</w:t>
      </w:r>
      <w:r>
        <w:t xml:space="preserve"> </w:t>
      </w:r>
      <w:r w:rsidRPr="009C4CEA">
        <w:t>oprávněného</w:t>
      </w:r>
      <w:r>
        <w:t xml:space="preserve"> </w:t>
      </w:r>
      <w:r w:rsidRPr="009C4CEA">
        <w:t>žadatele</w:t>
      </w:r>
      <w:r>
        <w:t xml:space="preserve"> </w:t>
      </w:r>
      <w:r w:rsidRPr="009C4CEA">
        <w:t>údaje</w:t>
      </w:r>
      <w:r>
        <w:t xml:space="preserve"> </w:t>
      </w:r>
      <w:r w:rsidRPr="009C4CEA">
        <w:t>z</w:t>
      </w:r>
      <w:r>
        <w:t xml:space="preserve"> </w:t>
      </w:r>
      <w:r w:rsidRPr="009C4CEA">
        <w:t>měření</w:t>
      </w:r>
      <w:r>
        <w:t xml:space="preserve"> </w:t>
      </w:r>
      <w:r w:rsidRPr="009C4CEA">
        <w:t>elektřiny</w:t>
      </w:r>
      <w:r w:rsidRPr="004262BA">
        <w:rPr>
          <w:vertAlign w:val="superscript"/>
        </w:rPr>
        <w:t>51)</w:t>
      </w:r>
      <w:r w:rsidRPr="009C4CEA">
        <w:t>,</w:t>
      </w:r>
      <w:r>
        <w:t xml:space="preserve"> </w:t>
      </w:r>
      <w:r w:rsidRPr="009C4CEA">
        <w:t>a</w:t>
      </w:r>
      <w:r>
        <w:t xml:space="preserve"> </w:t>
      </w:r>
      <w:r w:rsidRPr="009C4CEA">
        <w:t>to</w:t>
      </w:r>
      <w:r>
        <w:t xml:space="preserve"> </w:t>
      </w:r>
      <w:r w:rsidRPr="009C4CEA">
        <w:t>do</w:t>
      </w:r>
      <w:r>
        <w:t xml:space="preserve"> </w:t>
      </w:r>
      <w:r w:rsidRPr="009C4CEA">
        <w:t>6</w:t>
      </w:r>
      <w:r>
        <w:t xml:space="preserve"> </w:t>
      </w:r>
      <w:r w:rsidRPr="009C4CEA">
        <w:t>pracovních</w:t>
      </w:r>
      <w:r>
        <w:t xml:space="preserve"> </w:t>
      </w:r>
      <w:r w:rsidRPr="009C4CEA">
        <w:t>dnů</w:t>
      </w:r>
      <w:r>
        <w:t xml:space="preserve"> </w:t>
      </w:r>
      <w:r w:rsidRPr="009C4CEA">
        <w:t>následujícího</w:t>
      </w:r>
      <w:r>
        <w:t xml:space="preserve"> </w:t>
      </w:r>
      <w:r w:rsidRPr="009C4CEA">
        <w:t>měsíce;</w:t>
      </w:r>
      <w:r>
        <w:t xml:space="preserve"> </w:t>
      </w:r>
      <w:r w:rsidRPr="009C4CEA">
        <w:t>provozovatel</w:t>
      </w:r>
      <w:r>
        <w:t xml:space="preserve"> </w:t>
      </w:r>
      <w:r w:rsidRPr="009C4CEA">
        <w:t>distribuční</w:t>
      </w:r>
      <w:r>
        <w:t xml:space="preserve"> </w:t>
      </w:r>
      <w:r w:rsidRPr="009C4CEA">
        <w:t>soustavy</w:t>
      </w:r>
      <w:r>
        <w:t xml:space="preserve"> </w:t>
      </w:r>
      <w:r w:rsidRPr="009C4CEA">
        <w:t>takto</w:t>
      </w:r>
      <w:r>
        <w:t xml:space="preserve"> </w:t>
      </w:r>
      <w:r w:rsidRPr="009C4CEA">
        <w:t>poskytuje</w:t>
      </w:r>
      <w:r>
        <w:t xml:space="preserve"> </w:t>
      </w:r>
      <w:r w:rsidRPr="009C4CEA">
        <w:t>údaje</w:t>
      </w:r>
      <w:r>
        <w:t xml:space="preserve"> </w:t>
      </w:r>
      <w:r w:rsidRPr="009C4CEA">
        <w:t>za</w:t>
      </w:r>
      <w:r>
        <w:t xml:space="preserve"> </w:t>
      </w:r>
      <w:r w:rsidRPr="009C4CEA">
        <w:t>požadované</w:t>
      </w:r>
      <w:r>
        <w:t xml:space="preserve"> </w:t>
      </w:r>
      <w:r w:rsidRPr="009C4CEA">
        <w:t>období,</w:t>
      </w:r>
      <w:r>
        <w:t xml:space="preserve"> </w:t>
      </w:r>
      <w:r w:rsidRPr="009C4CEA">
        <w:t>nejvýše</w:t>
      </w:r>
      <w:r>
        <w:t xml:space="preserve"> </w:t>
      </w:r>
      <w:r w:rsidRPr="009C4CEA">
        <w:t>však</w:t>
      </w:r>
      <w:r>
        <w:t xml:space="preserve"> </w:t>
      </w:r>
      <w:r w:rsidRPr="009C4CEA">
        <w:t>za</w:t>
      </w:r>
      <w:r>
        <w:t xml:space="preserve"> </w:t>
      </w:r>
      <w:r w:rsidRPr="009C4CEA">
        <w:t>období</w:t>
      </w:r>
      <w:r>
        <w:t xml:space="preserve"> </w:t>
      </w:r>
      <w:r w:rsidRPr="009C4CEA">
        <w:t>posledních</w:t>
      </w:r>
      <w:r>
        <w:t xml:space="preserve"> </w:t>
      </w:r>
      <w:r w:rsidRPr="009C4CEA">
        <w:t>36</w:t>
      </w:r>
      <w:r>
        <w:t xml:space="preserve"> </w:t>
      </w:r>
      <w:r w:rsidRPr="009C4CEA">
        <w:t>měsíců.</w:t>
      </w:r>
    </w:p>
    <w:p w14:paraId="34AB947F" w14:textId="77777777" w:rsidR="00085B44" w:rsidRDefault="00085B44" w:rsidP="0010420C">
      <w:pPr>
        <w:pStyle w:val="Textparagrafu"/>
        <w:tabs>
          <w:tab w:val="left" w:pos="392"/>
          <w:tab w:val="left" w:pos="854"/>
        </w:tabs>
        <w:spacing w:before="120" w:after="120"/>
      </w:pPr>
      <w:r w:rsidRPr="009C4CEA">
        <w:t>(11)</w:t>
      </w:r>
      <w:r>
        <w:t xml:space="preserve"> </w:t>
      </w:r>
      <w:r w:rsidRPr="009C4CEA">
        <w:t>Provozovatel</w:t>
      </w:r>
      <w:r>
        <w:t xml:space="preserve"> </w:t>
      </w:r>
      <w:r w:rsidRPr="009C4CEA">
        <w:t>distribuční</w:t>
      </w:r>
      <w:r>
        <w:t xml:space="preserve"> </w:t>
      </w:r>
      <w:r w:rsidRPr="009C4CEA">
        <w:t>soustavy</w:t>
      </w:r>
      <w:r>
        <w:t xml:space="preserve"> </w:t>
      </w:r>
      <w:r w:rsidRPr="009C4CEA">
        <w:t>je</w:t>
      </w:r>
      <w:r>
        <w:t xml:space="preserve"> </w:t>
      </w:r>
      <w:r w:rsidRPr="009C4CEA">
        <w:t>rovněž</w:t>
      </w:r>
      <w:r>
        <w:t xml:space="preserve"> </w:t>
      </w:r>
      <w:r w:rsidRPr="009C4CEA">
        <w:t>povinen</w:t>
      </w:r>
    </w:p>
    <w:p w14:paraId="356C96FE" w14:textId="3DF4D04D" w:rsidR="00085B44" w:rsidRDefault="00085B44" w:rsidP="002E6AEA">
      <w:pPr>
        <w:pStyle w:val="Textparagrafu"/>
        <w:tabs>
          <w:tab w:val="left" w:pos="392"/>
          <w:tab w:val="left" w:pos="854"/>
        </w:tabs>
        <w:spacing w:before="0"/>
        <w:ind w:left="426" w:hanging="426"/>
      </w:pPr>
      <w:r w:rsidRPr="009C4CEA">
        <w:t>a)</w:t>
      </w:r>
      <w:r w:rsidR="004262BA">
        <w:tab/>
      </w:r>
      <w:r w:rsidRPr="009C4CEA">
        <w:t>informovat</w:t>
      </w:r>
      <w:r>
        <w:t xml:space="preserve"> </w:t>
      </w:r>
      <w:r w:rsidRPr="009C4CEA">
        <w:t>ministerstvo</w:t>
      </w:r>
      <w:r>
        <w:t xml:space="preserve"> </w:t>
      </w:r>
      <w:r w:rsidRPr="009C4CEA">
        <w:t>nejpozději</w:t>
      </w:r>
      <w:r>
        <w:t xml:space="preserve"> </w:t>
      </w:r>
      <w:r w:rsidRPr="009C4CEA">
        <w:t>do</w:t>
      </w:r>
      <w:r>
        <w:t xml:space="preserve"> </w:t>
      </w:r>
      <w:r w:rsidRPr="009C4CEA">
        <w:t>konce</w:t>
      </w:r>
      <w:r>
        <w:t xml:space="preserve"> </w:t>
      </w:r>
      <w:r w:rsidRPr="009C4CEA">
        <w:t>druhého</w:t>
      </w:r>
      <w:r>
        <w:t xml:space="preserve"> </w:t>
      </w:r>
      <w:r w:rsidRPr="009C4CEA">
        <w:t>týdne</w:t>
      </w:r>
      <w:r>
        <w:t xml:space="preserve"> </w:t>
      </w:r>
      <w:r w:rsidRPr="009C4CEA">
        <w:t>měsíce</w:t>
      </w:r>
      <w:r>
        <w:t xml:space="preserve"> </w:t>
      </w:r>
      <w:r w:rsidRPr="009C4CEA">
        <w:t>následujícího</w:t>
      </w:r>
      <w:r>
        <w:t xml:space="preserve"> </w:t>
      </w:r>
      <w:r w:rsidRPr="009C4CEA">
        <w:t>po</w:t>
      </w:r>
      <w:r>
        <w:t xml:space="preserve"> </w:t>
      </w:r>
      <w:r w:rsidRPr="009C4CEA">
        <w:t>uplynutí</w:t>
      </w:r>
      <w:r>
        <w:t xml:space="preserve"> </w:t>
      </w:r>
      <w:r w:rsidRPr="009C4CEA">
        <w:t>kalendářního</w:t>
      </w:r>
      <w:r>
        <w:t xml:space="preserve"> </w:t>
      </w:r>
      <w:r w:rsidRPr="009C4CEA">
        <w:t>čtvrtletí</w:t>
      </w:r>
      <w:r>
        <w:t xml:space="preserve"> </w:t>
      </w:r>
      <w:r w:rsidRPr="009C4CEA">
        <w:t>o</w:t>
      </w:r>
      <w:r>
        <w:t xml:space="preserve"> </w:t>
      </w:r>
      <w:r w:rsidRPr="009C4CEA">
        <w:t>fyzikálních</w:t>
      </w:r>
      <w:r>
        <w:t xml:space="preserve"> </w:t>
      </w:r>
      <w:r w:rsidRPr="009C4CEA">
        <w:t>tocích</w:t>
      </w:r>
      <w:r>
        <w:t xml:space="preserve"> </w:t>
      </w:r>
      <w:r w:rsidRPr="009C4CEA">
        <w:t>dovozu</w:t>
      </w:r>
      <w:r>
        <w:t xml:space="preserve"> </w:t>
      </w:r>
      <w:r w:rsidRPr="009C4CEA">
        <w:t>elektřiny</w:t>
      </w:r>
      <w:r>
        <w:t xml:space="preserve"> </w:t>
      </w:r>
      <w:r w:rsidRPr="009C4CEA">
        <w:t>ze</w:t>
      </w:r>
      <w:r>
        <w:t xml:space="preserve"> </w:t>
      </w:r>
      <w:r w:rsidRPr="009C4CEA">
        <w:t>států,</w:t>
      </w:r>
      <w:r>
        <w:t xml:space="preserve"> </w:t>
      </w:r>
      <w:r w:rsidRPr="009C4CEA">
        <w:t>které</w:t>
      </w:r>
      <w:r>
        <w:t xml:space="preserve"> </w:t>
      </w:r>
      <w:r w:rsidRPr="009C4CEA">
        <w:t>nejsou</w:t>
      </w:r>
      <w:r>
        <w:t xml:space="preserve"> </w:t>
      </w:r>
      <w:r w:rsidRPr="009C4CEA">
        <w:t>členy</w:t>
      </w:r>
      <w:r>
        <w:t xml:space="preserve"> </w:t>
      </w:r>
      <w:r w:rsidRPr="009C4CEA">
        <w:t>Evropské</w:t>
      </w:r>
      <w:r>
        <w:t xml:space="preserve"> </w:t>
      </w:r>
      <w:r w:rsidRPr="009C4CEA">
        <w:t>unie,</w:t>
      </w:r>
    </w:p>
    <w:p w14:paraId="21E9535C" w14:textId="25CBD55D" w:rsidR="00085B44" w:rsidRDefault="00085B44" w:rsidP="002E6AEA">
      <w:pPr>
        <w:pStyle w:val="Textparagrafu"/>
        <w:tabs>
          <w:tab w:val="left" w:pos="392"/>
          <w:tab w:val="left" w:pos="854"/>
        </w:tabs>
        <w:spacing w:before="0"/>
        <w:ind w:left="426" w:hanging="426"/>
      </w:pPr>
      <w:r w:rsidRPr="009C4CEA">
        <w:t>b)</w:t>
      </w:r>
      <w:r w:rsidR="004262BA">
        <w:tab/>
      </w:r>
      <w:r w:rsidRPr="009C4CEA">
        <w:t>zpracovávat</w:t>
      </w:r>
      <w:r>
        <w:t xml:space="preserve"> </w:t>
      </w:r>
      <w:r w:rsidRPr="009C4CEA">
        <w:t>a</w:t>
      </w:r>
      <w:r>
        <w:t xml:space="preserve"> </w:t>
      </w:r>
      <w:r w:rsidRPr="009C4CEA">
        <w:t>předávat</w:t>
      </w:r>
      <w:r>
        <w:t xml:space="preserve"> </w:t>
      </w:r>
      <w:r w:rsidRPr="009C4CEA">
        <w:t>operátorovi</w:t>
      </w:r>
      <w:r>
        <w:t xml:space="preserve"> </w:t>
      </w:r>
      <w:r w:rsidRPr="009C4CEA">
        <w:t>trhu</w:t>
      </w:r>
      <w:r>
        <w:t xml:space="preserve"> </w:t>
      </w:r>
      <w:r w:rsidRPr="009C4CEA">
        <w:t>údaje</w:t>
      </w:r>
      <w:r>
        <w:t xml:space="preserve"> </w:t>
      </w:r>
      <w:r w:rsidRPr="009C4CEA">
        <w:t>z</w:t>
      </w:r>
      <w:r>
        <w:t xml:space="preserve"> </w:t>
      </w:r>
      <w:r w:rsidRPr="009C4CEA">
        <w:t>měření</w:t>
      </w:r>
      <w:r>
        <w:t xml:space="preserve"> </w:t>
      </w:r>
      <w:r w:rsidRPr="009C4CEA">
        <w:t>pro</w:t>
      </w:r>
      <w:r>
        <w:t xml:space="preserve"> </w:t>
      </w:r>
      <w:r w:rsidRPr="009C4CEA">
        <w:t>potřeby</w:t>
      </w:r>
      <w:r>
        <w:t xml:space="preserve"> </w:t>
      </w:r>
      <w:r w:rsidRPr="009C4CEA">
        <w:t>tvorby</w:t>
      </w:r>
      <w:r>
        <w:t xml:space="preserve"> </w:t>
      </w:r>
      <w:r w:rsidRPr="009C4CEA">
        <w:t>typových</w:t>
      </w:r>
      <w:r>
        <w:t xml:space="preserve"> </w:t>
      </w:r>
      <w:r w:rsidRPr="009C4CEA">
        <w:t>diagramů</w:t>
      </w:r>
      <w:r>
        <w:t xml:space="preserve"> </w:t>
      </w:r>
      <w:r w:rsidRPr="009C4CEA">
        <w:t>dodávek</w:t>
      </w:r>
      <w:r>
        <w:t xml:space="preserve"> </w:t>
      </w:r>
      <w:r w:rsidRPr="009C4CEA">
        <w:t>a</w:t>
      </w:r>
      <w:r>
        <w:t xml:space="preserve"> </w:t>
      </w:r>
      <w:r w:rsidRPr="009C4CEA">
        <w:t>potřebné</w:t>
      </w:r>
      <w:r>
        <w:t xml:space="preserve"> </w:t>
      </w:r>
      <w:r w:rsidRPr="009C4CEA">
        <w:t>údaje</w:t>
      </w:r>
      <w:r>
        <w:t xml:space="preserve"> </w:t>
      </w:r>
      <w:r w:rsidRPr="009C4CEA">
        <w:t>k</w:t>
      </w:r>
      <w:r>
        <w:t xml:space="preserve"> </w:t>
      </w:r>
      <w:r w:rsidRPr="009C4CEA">
        <w:t>uplatnění</w:t>
      </w:r>
      <w:r>
        <w:t xml:space="preserve"> </w:t>
      </w:r>
      <w:r w:rsidRPr="009C4CEA">
        <w:t>ceny</w:t>
      </w:r>
      <w:r>
        <w:t xml:space="preserve"> </w:t>
      </w:r>
      <w:r w:rsidRPr="009C4CEA">
        <w:t>za</w:t>
      </w:r>
      <w:r>
        <w:t xml:space="preserve"> </w:t>
      </w:r>
      <w:r w:rsidRPr="009C4CEA">
        <w:t>systémové</w:t>
      </w:r>
      <w:r>
        <w:t xml:space="preserve"> </w:t>
      </w:r>
      <w:r w:rsidRPr="009C4CEA">
        <w:t>služby</w:t>
      </w:r>
      <w:r>
        <w:t xml:space="preserve"> </w:t>
      </w:r>
      <w:r w:rsidRPr="009C4CEA">
        <w:t>a</w:t>
      </w:r>
      <w:r>
        <w:t xml:space="preserve"> </w:t>
      </w:r>
      <w:r w:rsidRPr="009C4CEA">
        <w:t>ceny</w:t>
      </w:r>
      <w:r>
        <w:t xml:space="preserve"> </w:t>
      </w:r>
      <w:r w:rsidRPr="009C4CEA">
        <w:t>za</w:t>
      </w:r>
      <w:r>
        <w:t xml:space="preserve"> </w:t>
      </w:r>
      <w:r w:rsidRPr="009C4CEA">
        <w:t>činnosti</w:t>
      </w:r>
      <w:r>
        <w:t xml:space="preserve"> </w:t>
      </w:r>
      <w:r w:rsidRPr="009C4CEA">
        <w:t>operátora</w:t>
      </w:r>
      <w:r>
        <w:t xml:space="preserve"> </w:t>
      </w:r>
      <w:r w:rsidRPr="009C4CEA">
        <w:t>trhu</w:t>
      </w:r>
      <w:r>
        <w:t xml:space="preserve"> </w:t>
      </w:r>
      <w:r w:rsidRPr="009C4CEA">
        <w:t>podle</w:t>
      </w:r>
      <w:r>
        <w:t xml:space="preserve"> </w:t>
      </w:r>
      <w:r w:rsidRPr="009C4CEA">
        <w:t>Pravidel</w:t>
      </w:r>
      <w:r>
        <w:t xml:space="preserve"> </w:t>
      </w:r>
      <w:r w:rsidRPr="009C4CEA">
        <w:t>trhu</w:t>
      </w:r>
      <w:r>
        <w:t xml:space="preserve"> </w:t>
      </w:r>
      <w:r w:rsidRPr="009C4CEA">
        <w:t>s</w:t>
      </w:r>
      <w:r>
        <w:t xml:space="preserve"> </w:t>
      </w:r>
      <w:r w:rsidRPr="009C4CEA">
        <w:t>elektřinou,</w:t>
      </w:r>
    </w:p>
    <w:p w14:paraId="0F2FB609" w14:textId="7FEA65D9" w:rsidR="00085B44" w:rsidRDefault="00085B44" w:rsidP="002E6AEA">
      <w:pPr>
        <w:pStyle w:val="Textparagrafu"/>
        <w:tabs>
          <w:tab w:val="left" w:pos="392"/>
          <w:tab w:val="left" w:pos="854"/>
        </w:tabs>
        <w:spacing w:before="0"/>
        <w:ind w:left="426" w:hanging="426"/>
      </w:pPr>
      <w:r w:rsidRPr="009C4CEA">
        <w:t>c)</w:t>
      </w:r>
      <w:r w:rsidR="004262BA">
        <w:tab/>
      </w:r>
      <w:r w:rsidRPr="009C4CEA">
        <w:t>zpracovávat</w:t>
      </w:r>
      <w:r>
        <w:t xml:space="preserve"> </w:t>
      </w:r>
      <w:r w:rsidRPr="009C4CEA">
        <w:t>a</w:t>
      </w:r>
      <w:r>
        <w:t xml:space="preserve"> </w:t>
      </w:r>
      <w:r w:rsidRPr="009C4CEA">
        <w:t>předávat</w:t>
      </w:r>
      <w:r>
        <w:t xml:space="preserve"> </w:t>
      </w:r>
      <w:r w:rsidRPr="009C4CEA">
        <w:t>ministerstvu</w:t>
      </w:r>
      <w:r>
        <w:t xml:space="preserve"> </w:t>
      </w:r>
      <w:r w:rsidRPr="009C4CEA">
        <w:t>a</w:t>
      </w:r>
      <w:r>
        <w:t xml:space="preserve"> </w:t>
      </w:r>
      <w:r w:rsidRPr="009C4CEA">
        <w:t>Energetickému</w:t>
      </w:r>
      <w:r>
        <w:t xml:space="preserve"> </w:t>
      </w:r>
      <w:r w:rsidRPr="009C4CEA">
        <w:t>regulačnímu</w:t>
      </w:r>
      <w:r>
        <w:t xml:space="preserve"> </w:t>
      </w:r>
      <w:r w:rsidRPr="009C4CEA">
        <w:t>úřadu</w:t>
      </w:r>
      <w:r>
        <w:t xml:space="preserve"> </w:t>
      </w:r>
      <w:r w:rsidRPr="009C4CEA">
        <w:t>jednou</w:t>
      </w:r>
      <w:r>
        <w:t xml:space="preserve"> </w:t>
      </w:r>
      <w:r w:rsidRPr="009C4CEA">
        <w:t>ročně</w:t>
      </w:r>
      <w:r>
        <w:t xml:space="preserve"> </w:t>
      </w:r>
      <w:r w:rsidRPr="009C4CEA">
        <w:t>nejpozději</w:t>
      </w:r>
      <w:r>
        <w:t xml:space="preserve"> </w:t>
      </w:r>
      <w:r w:rsidRPr="009C4CEA">
        <w:t>do</w:t>
      </w:r>
      <w:r>
        <w:t xml:space="preserve"> </w:t>
      </w:r>
      <w:r w:rsidRPr="009C4CEA">
        <w:t>1.</w:t>
      </w:r>
      <w:r>
        <w:t xml:space="preserve"> </w:t>
      </w:r>
      <w:r w:rsidRPr="009C4CEA">
        <w:t>března</w:t>
      </w:r>
      <w:r>
        <w:t xml:space="preserve"> </w:t>
      </w:r>
      <w:r w:rsidRPr="009C4CEA">
        <w:t>následujícího</w:t>
      </w:r>
      <w:r>
        <w:t xml:space="preserve"> </w:t>
      </w:r>
      <w:r w:rsidRPr="009C4CEA">
        <w:t>kalendářního</w:t>
      </w:r>
      <w:r>
        <w:t xml:space="preserve"> </w:t>
      </w:r>
      <w:r w:rsidRPr="009C4CEA">
        <w:t>roku</w:t>
      </w:r>
      <w:r>
        <w:t xml:space="preserve"> </w:t>
      </w:r>
      <w:r w:rsidRPr="009C4CEA">
        <w:t>zprávu</w:t>
      </w:r>
      <w:r>
        <w:t xml:space="preserve"> </w:t>
      </w:r>
      <w:r w:rsidRPr="009C4CEA">
        <w:t>o</w:t>
      </w:r>
      <w:r>
        <w:t xml:space="preserve"> </w:t>
      </w:r>
      <w:r w:rsidRPr="009C4CEA">
        <w:t>kvalitě</w:t>
      </w:r>
      <w:r>
        <w:t xml:space="preserve"> </w:t>
      </w:r>
      <w:r w:rsidRPr="009C4CEA">
        <w:t>a</w:t>
      </w:r>
      <w:r>
        <w:t xml:space="preserve"> </w:t>
      </w:r>
      <w:r w:rsidRPr="009C4CEA">
        <w:t>úrovni</w:t>
      </w:r>
      <w:r>
        <w:t xml:space="preserve"> </w:t>
      </w:r>
      <w:r w:rsidRPr="009C4CEA">
        <w:t>údržby</w:t>
      </w:r>
      <w:r>
        <w:t xml:space="preserve"> </w:t>
      </w:r>
      <w:r w:rsidRPr="009C4CEA">
        <w:t>zařízení</w:t>
      </w:r>
      <w:r>
        <w:t xml:space="preserve"> </w:t>
      </w:r>
      <w:r w:rsidRPr="009C4CEA">
        <w:t>distribuční</w:t>
      </w:r>
      <w:r>
        <w:t xml:space="preserve"> </w:t>
      </w:r>
      <w:r w:rsidRPr="009C4CEA">
        <w:t>soustavy,</w:t>
      </w:r>
    </w:p>
    <w:p w14:paraId="346720EE" w14:textId="12C1CB17" w:rsidR="00085B44" w:rsidRDefault="00085B44" w:rsidP="002E6AEA">
      <w:pPr>
        <w:pStyle w:val="Textparagrafu"/>
        <w:tabs>
          <w:tab w:val="left" w:pos="392"/>
          <w:tab w:val="left" w:pos="854"/>
        </w:tabs>
        <w:spacing w:before="0"/>
        <w:ind w:left="426" w:hanging="426"/>
      </w:pPr>
      <w:r w:rsidRPr="009C4CEA">
        <w:t>d)</w:t>
      </w:r>
      <w:r w:rsidR="004262BA">
        <w:tab/>
      </w:r>
      <w:r w:rsidRPr="009C4CEA">
        <w:t>zaregistrovat</w:t>
      </w:r>
      <w:r>
        <w:t xml:space="preserve"> </w:t>
      </w:r>
      <w:r w:rsidRPr="009C4CEA">
        <w:t>se</w:t>
      </w:r>
      <w:r>
        <w:t xml:space="preserve"> </w:t>
      </w:r>
      <w:r w:rsidRPr="009C4CEA">
        <w:t>do</w:t>
      </w:r>
      <w:r>
        <w:t xml:space="preserve"> </w:t>
      </w:r>
      <w:r w:rsidRPr="009C4CEA">
        <w:t>30</w:t>
      </w:r>
      <w:r>
        <w:t xml:space="preserve"> </w:t>
      </w:r>
      <w:r w:rsidRPr="009C4CEA">
        <w:t>dnů</w:t>
      </w:r>
      <w:r>
        <w:t xml:space="preserve"> </w:t>
      </w:r>
      <w:r w:rsidRPr="009C4CEA">
        <w:t>od</w:t>
      </w:r>
      <w:r>
        <w:t xml:space="preserve"> </w:t>
      </w:r>
      <w:r w:rsidRPr="009C4CEA">
        <w:t>udělení</w:t>
      </w:r>
      <w:r>
        <w:t xml:space="preserve"> </w:t>
      </w:r>
      <w:r w:rsidRPr="009C4CEA">
        <w:t>licence</w:t>
      </w:r>
      <w:r>
        <w:t xml:space="preserve"> </w:t>
      </w:r>
      <w:r w:rsidRPr="009C4CEA">
        <w:t>na</w:t>
      </w:r>
      <w:r>
        <w:t xml:space="preserve"> </w:t>
      </w:r>
      <w:r w:rsidRPr="009C4CEA">
        <w:t>distribuci</w:t>
      </w:r>
      <w:r>
        <w:t xml:space="preserve"> </w:t>
      </w:r>
      <w:r w:rsidRPr="009C4CEA">
        <w:t>elektřiny</w:t>
      </w:r>
      <w:r>
        <w:t xml:space="preserve"> </w:t>
      </w:r>
      <w:r w:rsidRPr="009C4CEA">
        <w:t>u</w:t>
      </w:r>
      <w:r>
        <w:t xml:space="preserve"> </w:t>
      </w:r>
      <w:r w:rsidRPr="009C4CEA">
        <w:t>operátora</w:t>
      </w:r>
      <w:r>
        <w:t xml:space="preserve"> </w:t>
      </w:r>
      <w:r w:rsidRPr="009C4CEA">
        <w:t>trhu;</w:t>
      </w:r>
      <w:r>
        <w:t xml:space="preserve"> </w:t>
      </w:r>
      <w:r w:rsidRPr="009C4CEA">
        <w:t>zaregistrováním</w:t>
      </w:r>
      <w:r>
        <w:t xml:space="preserve"> </w:t>
      </w:r>
      <w:r w:rsidRPr="009C4CEA">
        <w:t>se</w:t>
      </w:r>
      <w:r>
        <w:t xml:space="preserve"> </w:t>
      </w:r>
      <w:r w:rsidRPr="009C4CEA">
        <w:t>provozovatel</w:t>
      </w:r>
      <w:r>
        <w:t xml:space="preserve"> </w:t>
      </w:r>
      <w:r w:rsidRPr="009C4CEA">
        <w:t>distribuční</w:t>
      </w:r>
      <w:r>
        <w:t xml:space="preserve"> </w:t>
      </w:r>
      <w:r w:rsidRPr="009C4CEA">
        <w:t>soustavy</w:t>
      </w:r>
      <w:r>
        <w:t xml:space="preserve"> </w:t>
      </w:r>
      <w:r w:rsidRPr="009C4CEA">
        <w:t>stává</w:t>
      </w:r>
      <w:r>
        <w:t xml:space="preserve"> </w:t>
      </w:r>
      <w:r w:rsidRPr="009C4CEA">
        <w:t>registrovaným</w:t>
      </w:r>
      <w:r>
        <w:t xml:space="preserve"> </w:t>
      </w:r>
      <w:r w:rsidRPr="009C4CEA">
        <w:t>účastníkem</w:t>
      </w:r>
      <w:r>
        <w:t xml:space="preserve"> </w:t>
      </w:r>
      <w:r w:rsidRPr="009C4CEA">
        <w:t>trhu,</w:t>
      </w:r>
    </w:p>
    <w:p w14:paraId="736723FF" w14:textId="16EBB86D" w:rsidR="00085B44" w:rsidRDefault="00085B44" w:rsidP="002E6AEA">
      <w:pPr>
        <w:pStyle w:val="Textparagrafu"/>
        <w:tabs>
          <w:tab w:val="left" w:pos="392"/>
          <w:tab w:val="left" w:pos="854"/>
        </w:tabs>
        <w:spacing w:before="0"/>
        <w:ind w:left="426" w:hanging="426"/>
      </w:pPr>
      <w:r w:rsidRPr="009C4CEA">
        <w:t>e)</w:t>
      </w:r>
      <w:r w:rsidR="004262BA">
        <w:tab/>
      </w:r>
      <w:r w:rsidRPr="009C4CEA">
        <w:t>řídit</w:t>
      </w:r>
      <w:r>
        <w:t xml:space="preserve"> </w:t>
      </w:r>
      <w:r w:rsidRPr="009C4CEA">
        <w:t>se</w:t>
      </w:r>
      <w:r>
        <w:t xml:space="preserve"> </w:t>
      </w:r>
      <w:r w:rsidRPr="009C4CEA">
        <w:t>pokyny</w:t>
      </w:r>
      <w:r>
        <w:t xml:space="preserve"> </w:t>
      </w:r>
      <w:r w:rsidRPr="009C4CEA">
        <w:t>technického</w:t>
      </w:r>
      <w:r>
        <w:t xml:space="preserve"> </w:t>
      </w:r>
      <w:r w:rsidRPr="009C4CEA">
        <w:t>dispečinku</w:t>
      </w:r>
      <w:r>
        <w:t xml:space="preserve"> </w:t>
      </w:r>
      <w:r w:rsidRPr="009C4CEA">
        <w:t>provozovatele</w:t>
      </w:r>
      <w:r>
        <w:t xml:space="preserve"> </w:t>
      </w:r>
      <w:r w:rsidRPr="009C4CEA">
        <w:t>přenosové</w:t>
      </w:r>
      <w:r>
        <w:t xml:space="preserve"> </w:t>
      </w:r>
      <w:r w:rsidRPr="009C4CEA">
        <w:t>soustavy</w:t>
      </w:r>
      <w:r>
        <w:t xml:space="preserve"> </w:t>
      </w:r>
      <w:r w:rsidRPr="009C4CEA">
        <w:t>nebo</w:t>
      </w:r>
      <w:r>
        <w:t xml:space="preserve"> </w:t>
      </w:r>
      <w:r w:rsidRPr="009C4CEA">
        <w:t>pokyny</w:t>
      </w:r>
      <w:r>
        <w:t xml:space="preserve"> </w:t>
      </w:r>
      <w:r w:rsidRPr="009C4CEA">
        <w:t>technického</w:t>
      </w:r>
      <w:r>
        <w:t xml:space="preserve"> </w:t>
      </w:r>
      <w:r w:rsidRPr="009C4CEA">
        <w:t>dispečinku</w:t>
      </w:r>
      <w:r>
        <w:t xml:space="preserve"> </w:t>
      </w:r>
      <w:r w:rsidRPr="009C4CEA">
        <w:t>provozovatele</w:t>
      </w:r>
      <w:r>
        <w:t xml:space="preserve"> </w:t>
      </w:r>
      <w:r w:rsidRPr="009C4CEA">
        <w:t>distribuční</w:t>
      </w:r>
      <w:r>
        <w:t xml:space="preserve"> </w:t>
      </w:r>
      <w:r w:rsidRPr="009C4CEA">
        <w:t>soustavy,</w:t>
      </w:r>
      <w:r>
        <w:t xml:space="preserve"> </w:t>
      </w:r>
      <w:r w:rsidRPr="009C4CEA">
        <w:t>ke</w:t>
      </w:r>
      <w:r>
        <w:t xml:space="preserve"> </w:t>
      </w:r>
      <w:r w:rsidRPr="009C4CEA">
        <w:t>které</w:t>
      </w:r>
      <w:r>
        <w:t xml:space="preserve"> </w:t>
      </w:r>
      <w:r w:rsidRPr="009C4CEA">
        <w:t>je</w:t>
      </w:r>
      <w:r>
        <w:t xml:space="preserve"> </w:t>
      </w:r>
      <w:r w:rsidRPr="009C4CEA">
        <w:t>jeho</w:t>
      </w:r>
      <w:r>
        <w:t xml:space="preserve"> </w:t>
      </w:r>
      <w:r w:rsidRPr="009C4CEA">
        <w:t>soustava</w:t>
      </w:r>
      <w:r>
        <w:t xml:space="preserve"> </w:t>
      </w:r>
      <w:r w:rsidRPr="009C4CEA">
        <w:t>připojena,</w:t>
      </w:r>
      <w:r>
        <w:t xml:space="preserve"> </w:t>
      </w:r>
      <w:r w:rsidRPr="009C4CEA">
        <w:t>při</w:t>
      </w:r>
      <w:r>
        <w:t xml:space="preserve"> </w:t>
      </w:r>
      <w:r w:rsidRPr="009C4CEA">
        <w:t>stavech</w:t>
      </w:r>
      <w:r>
        <w:t xml:space="preserve"> </w:t>
      </w:r>
      <w:r w:rsidRPr="009C4CEA">
        <w:t>nouze</w:t>
      </w:r>
      <w:r>
        <w:t xml:space="preserve"> </w:t>
      </w:r>
      <w:r w:rsidRPr="009C4CEA">
        <w:t>vyhlášeném</w:t>
      </w:r>
      <w:r>
        <w:t xml:space="preserve"> </w:t>
      </w:r>
      <w:r w:rsidRPr="009C4CEA">
        <w:t>tímto</w:t>
      </w:r>
      <w:r>
        <w:t xml:space="preserve"> </w:t>
      </w:r>
      <w:r w:rsidRPr="009C4CEA">
        <w:t>provozovatelem</w:t>
      </w:r>
      <w:r>
        <w:t xml:space="preserve"> </w:t>
      </w:r>
      <w:r w:rsidRPr="009C4CEA">
        <w:t>nebo</w:t>
      </w:r>
      <w:r>
        <w:t xml:space="preserve"> </w:t>
      </w:r>
      <w:r w:rsidRPr="009C4CEA">
        <w:t>při</w:t>
      </w:r>
      <w:r>
        <w:t xml:space="preserve"> </w:t>
      </w:r>
      <w:r w:rsidRPr="009C4CEA">
        <w:t>předcházení</w:t>
      </w:r>
      <w:r>
        <w:t xml:space="preserve"> </w:t>
      </w:r>
      <w:r w:rsidRPr="009C4CEA">
        <w:t>stavům</w:t>
      </w:r>
      <w:r>
        <w:t xml:space="preserve"> </w:t>
      </w:r>
      <w:r w:rsidRPr="009C4CEA">
        <w:t>nouze</w:t>
      </w:r>
      <w:r>
        <w:t xml:space="preserve"> </w:t>
      </w:r>
      <w:r w:rsidRPr="009C4CEA">
        <w:t>oznámeném</w:t>
      </w:r>
      <w:r>
        <w:t xml:space="preserve"> </w:t>
      </w:r>
      <w:r w:rsidRPr="009C4CEA">
        <w:t>tímto</w:t>
      </w:r>
      <w:r>
        <w:t xml:space="preserve"> </w:t>
      </w:r>
      <w:r w:rsidRPr="009C4CEA">
        <w:t>provozovatelem,</w:t>
      </w:r>
    </w:p>
    <w:p w14:paraId="56DCF029" w14:textId="12814035" w:rsidR="00085B44" w:rsidRDefault="00085B44" w:rsidP="002E6AEA">
      <w:pPr>
        <w:pStyle w:val="Textparagrafu"/>
        <w:tabs>
          <w:tab w:val="left" w:pos="392"/>
          <w:tab w:val="left" w:pos="854"/>
        </w:tabs>
        <w:spacing w:before="0"/>
        <w:ind w:left="426" w:hanging="426"/>
      </w:pPr>
      <w:r w:rsidRPr="009C4CEA">
        <w:t>f)</w:t>
      </w:r>
      <w:r w:rsidR="004262BA">
        <w:tab/>
      </w:r>
      <w:r w:rsidRPr="009C4CEA">
        <w:t>zajistit</w:t>
      </w:r>
      <w:r>
        <w:t xml:space="preserve"> </w:t>
      </w:r>
      <w:r w:rsidRPr="009C4CEA">
        <w:t>přenos</w:t>
      </w:r>
      <w:r>
        <w:t xml:space="preserve"> </w:t>
      </w:r>
      <w:r w:rsidRPr="009C4CEA">
        <w:t>elektřiny</w:t>
      </w:r>
      <w:r>
        <w:t xml:space="preserve"> </w:t>
      </w:r>
      <w:r w:rsidRPr="009C4CEA">
        <w:t>a</w:t>
      </w:r>
      <w:r>
        <w:t xml:space="preserve"> </w:t>
      </w:r>
      <w:r w:rsidRPr="009C4CEA">
        <w:t>v</w:t>
      </w:r>
      <w:r>
        <w:t xml:space="preserve"> </w:t>
      </w:r>
      <w:r w:rsidRPr="009C4CEA">
        <w:t>případě</w:t>
      </w:r>
      <w:r>
        <w:t xml:space="preserve"> </w:t>
      </w:r>
      <w:r w:rsidRPr="009C4CEA">
        <w:t>provozovatele</w:t>
      </w:r>
      <w:r>
        <w:t xml:space="preserve"> </w:t>
      </w:r>
      <w:r w:rsidRPr="009C4CEA">
        <w:t>distribuční</w:t>
      </w:r>
      <w:r>
        <w:t xml:space="preserve"> </w:t>
      </w:r>
      <w:r w:rsidRPr="009C4CEA">
        <w:t>soustavy</w:t>
      </w:r>
      <w:r>
        <w:t xml:space="preserve"> </w:t>
      </w:r>
      <w:r w:rsidRPr="009C4CEA">
        <w:t>nepřipojené</w:t>
      </w:r>
      <w:r>
        <w:t xml:space="preserve"> </w:t>
      </w:r>
      <w:r w:rsidRPr="009C4CEA">
        <w:t>přímo</w:t>
      </w:r>
      <w:r>
        <w:t xml:space="preserve"> </w:t>
      </w:r>
      <w:r w:rsidRPr="009C4CEA">
        <w:t>k</w:t>
      </w:r>
      <w:r>
        <w:t xml:space="preserve"> </w:t>
      </w:r>
      <w:r w:rsidRPr="009C4CEA">
        <w:t>přenosové</w:t>
      </w:r>
      <w:r>
        <w:t xml:space="preserve"> </w:t>
      </w:r>
      <w:r w:rsidRPr="009C4CEA">
        <w:t>soustavě</w:t>
      </w:r>
      <w:r>
        <w:t xml:space="preserve"> </w:t>
      </w:r>
      <w:r w:rsidRPr="009C4CEA">
        <w:t>distribuci</w:t>
      </w:r>
      <w:r>
        <w:t xml:space="preserve"> </w:t>
      </w:r>
      <w:r w:rsidRPr="009C4CEA">
        <w:t>elektřiny,</w:t>
      </w:r>
    </w:p>
    <w:p w14:paraId="74F63EEA" w14:textId="34F83467" w:rsidR="00085B44" w:rsidRDefault="00085B44" w:rsidP="002E6AEA">
      <w:pPr>
        <w:pStyle w:val="Textparagrafu"/>
        <w:tabs>
          <w:tab w:val="left" w:pos="392"/>
          <w:tab w:val="left" w:pos="854"/>
        </w:tabs>
        <w:spacing w:before="0"/>
        <w:ind w:left="426" w:hanging="426"/>
      </w:pPr>
      <w:r w:rsidRPr="009C4CEA">
        <w:t>g)</w:t>
      </w:r>
      <w:r w:rsidR="004262BA">
        <w:tab/>
      </w:r>
      <w:r w:rsidRPr="009C4CEA">
        <w:t>provést</w:t>
      </w:r>
      <w:r>
        <w:t xml:space="preserve"> </w:t>
      </w:r>
      <w:r w:rsidRPr="009C4CEA">
        <w:t>technická</w:t>
      </w:r>
      <w:r>
        <w:t xml:space="preserve"> </w:t>
      </w:r>
      <w:r w:rsidRPr="009C4CEA">
        <w:t>opatření</w:t>
      </w:r>
      <w:r>
        <w:t xml:space="preserve"> </w:t>
      </w:r>
      <w:r w:rsidRPr="009C4CEA">
        <w:t>k</w:t>
      </w:r>
      <w:r>
        <w:t xml:space="preserve"> </w:t>
      </w:r>
      <w:r w:rsidRPr="009C4CEA">
        <w:t>ochraně</w:t>
      </w:r>
      <w:r>
        <w:t xml:space="preserve"> </w:t>
      </w:r>
      <w:r w:rsidRPr="009C4CEA">
        <w:t>ptactva</w:t>
      </w:r>
      <w:r>
        <w:t xml:space="preserve"> </w:t>
      </w:r>
      <w:r w:rsidRPr="009C4CEA">
        <w:t>na</w:t>
      </w:r>
      <w:r>
        <w:t xml:space="preserve"> </w:t>
      </w:r>
      <w:r w:rsidRPr="009C4CEA">
        <w:t>nově</w:t>
      </w:r>
      <w:r>
        <w:t xml:space="preserve"> </w:t>
      </w:r>
      <w:r w:rsidRPr="009C4CEA">
        <w:t>instalovaných</w:t>
      </w:r>
      <w:r>
        <w:t xml:space="preserve"> </w:t>
      </w:r>
      <w:r w:rsidRPr="009C4CEA">
        <w:t>stožárech</w:t>
      </w:r>
      <w:r>
        <w:t xml:space="preserve"> </w:t>
      </w:r>
      <w:r w:rsidRPr="009C4CEA">
        <w:t>venkovního</w:t>
      </w:r>
      <w:r>
        <w:t xml:space="preserve"> </w:t>
      </w:r>
      <w:r w:rsidRPr="009C4CEA">
        <w:t>vedení</w:t>
      </w:r>
      <w:r>
        <w:t xml:space="preserve"> </w:t>
      </w:r>
      <w:r w:rsidRPr="009C4CEA">
        <w:t>vysokého</w:t>
      </w:r>
      <w:r>
        <w:t xml:space="preserve"> </w:t>
      </w:r>
      <w:r w:rsidRPr="009C4CEA">
        <w:t>napětí</w:t>
      </w:r>
      <w:r>
        <w:t xml:space="preserve"> </w:t>
      </w:r>
      <w:r w:rsidRPr="009C4CEA">
        <w:t>a</w:t>
      </w:r>
      <w:r>
        <w:t xml:space="preserve"> </w:t>
      </w:r>
      <w:r w:rsidRPr="009C4CEA">
        <w:t>při</w:t>
      </w:r>
      <w:r>
        <w:t xml:space="preserve"> </w:t>
      </w:r>
      <w:r w:rsidRPr="009C4CEA">
        <w:t>výměně</w:t>
      </w:r>
      <w:r>
        <w:t xml:space="preserve"> </w:t>
      </w:r>
      <w:r w:rsidRPr="009C4CEA">
        <w:t>stávajících</w:t>
      </w:r>
      <w:r>
        <w:t xml:space="preserve"> </w:t>
      </w:r>
      <w:r w:rsidRPr="009C4CEA">
        <w:t>stožárů,</w:t>
      </w:r>
    </w:p>
    <w:p w14:paraId="25D89809" w14:textId="44677D77" w:rsidR="00085B44" w:rsidRDefault="00085B44" w:rsidP="002E6AEA">
      <w:pPr>
        <w:pStyle w:val="Textparagrafu"/>
        <w:tabs>
          <w:tab w:val="left" w:pos="392"/>
          <w:tab w:val="left" w:pos="854"/>
        </w:tabs>
        <w:spacing w:before="0"/>
        <w:ind w:left="426" w:hanging="426"/>
      </w:pPr>
      <w:r w:rsidRPr="009C4CEA">
        <w:t>h)</w:t>
      </w:r>
      <w:r w:rsidR="004262BA">
        <w:tab/>
      </w:r>
      <w:r w:rsidRPr="009C4CEA">
        <w:t>zajišťovat</w:t>
      </w:r>
      <w:r>
        <w:t xml:space="preserve"> </w:t>
      </w:r>
      <w:r w:rsidRPr="009C4CEA">
        <w:t>propagaci</w:t>
      </w:r>
      <w:r>
        <w:t xml:space="preserve"> </w:t>
      </w:r>
      <w:r w:rsidRPr="009C4CEA">
        <w:t>energetických</w:t>
      </w:r>
      <w:r>
        <w:t xml:space="preserve"> </w:t>
      </w:r>
      <w:r w:rsidRPr="009C4CEA">
        <w:t>služeb</w:t>
      </w:r>
      <w:r>
        <w:t xml:space="preserve"> </w:t>
      </w:r>
      <w:r w:rsidRPr="009C4CEA">
        <w:t>a</w:t>
      </w:r>
      <w:r>
        <w:t xml:space="preserve"> </w:t>
      </w:r>
      <w:r w:rsidRPr="009C4CEA">
        <w:t>jejich</w:t>
      </w:r>
      <w:r>
        <w:t xml:space="preserve"> </w:t>
      </w:r>
      <w:r w:rsidRPr="009C4CEA">
        <w:t>nabídky</w:t>
      </w:r>
      <w:r>
        <w:t xml:space="preserve"> </w:t>
      </w:r>
      <w:r w:rsidRPr="009C4CEA">
        <w:t>zákazníkům</w:t>
      </w:r>
      <w:r>
        <w:t xml:space="preserve"> </w:t>
      </w:r>
      <w:r w:rsidRPr="009C4CEA">
        <w:t>za</w:t>
      </w:r>
      <w:r>
        <w:t xml:space="preserve"> </w:t>
      </w:r>
      <w:r w:rsidRPr="009C4CEA">
        <w:t>konkurenceschopné</w:t>
      </w:r>
      <w:r>
        <w:t xml:space="preserve"> </w:t>
      </w:r>
      <w:r w:rsidRPr="009C4CEA">
        <w:t>ceny</w:t>
      </w:r>
      <w:r>
        <w:t xml:space="preserve"> </w:t>
      </w:r>
      <w:r w:rsidRPr="009C4CEA">
        <w:t>energetických</w:t>
      </w:r>
      <w:r>
        <w:t xml:space="preserve"> </w:t>
      </w:r>
      <w:r w:rsidRPr="009C4CEA">
        <w:t>služeb,</w:t>
      </w:r>
    </w:p>
    <w:p w14:paraId="014D6305" w14:textId="6201447C" w:rsidR="00085B44" w:rsidRDefault="00085B44" w:rsidP="002E6AEA">
      <w:pPr>
        <w:pStyle w:val="Textparagrafu"/>
        <w:tabs>
          <w:tab w:val="left" w:pos="392"/>
          <w:tab w:val="left" w:pos="854"/>
        </w:tabs>
        <w:spacing w:before="0"/>
        <w:ind w:left="426" w:hanging="426"/>
      </w:pPr>
      <w:r w:rsidRPr="009C4CEA">
        <w:t>i)</w:t>
      </w:r>
      <w:r w:rsidR="004262BA">
        <w:tab/>
      </w:r>
      <w:r w:rsidRPr="009C4CEA">
        <w:t>při</w:t>
      </w:r>
      <w:r>
        <w:t xml:space="preserve"> </w:t>
      </w:r>
      <w:r w:rsidRPr="009C4CEA">
        <w:t>změně</w:t>
      </w:r>
      <w:r>
        <w:t xml:space="preserve"> </w:t>
      </w:r>
      <w:r w:rsidRPr="009C4CEA">
        <w:t>parametrů</w:t>
      </w:r>
      <w:r>
        <w:t xml:space="preserve"> </w:t>
      </w:r>
      <w:r w:rsidRPr="009C4CEA">
        <w:t>elektřiny</w:t>
      </w:r>
      <w:r>
        <w:t xml:space="preserve"> </w:t>
      </w:r>
      <w:r w:rsidRPr="009C4CEA">
        <w:t>upravit</w:t>
      </w:r>
      <w:r>
        <w:t xml:space="preserve"> </w:t>
      </w:r>
      <w:r w:rsidRPr="009C4CEA">
        <w:t>na</w:t>
      </w:r>
      <w:r>
        <w:t xml:space="preserve"> </w:t>
      </w:r>
      <w:r w:rsidRPr="009C4CEA">
        <w:t>svůj</w:t>
      </w:r>
      <w:r>
        <w:t xml:space="preserve"> </w:t>
      </w:r>
      <w:r w:rsidRPr="009C4CEA">
        <w:t>náklad</w:t>
      </w:r>
      <w:r>
        <w:t xml:space="preserve"> </w:t>
      </w:r>
      <w:r w:rsidRPr="009C4CEA">
        <w:t>svá</w:t>
      </w:r>
      <w:r>
        <w:t xml:space="preserve"> </w:t>
      </w:r>
      <w:r w:rsidRPr="009C4CEA">
        <w:t>zařízení</w:t>
      </w:r>
      <w:r>
        <w:t xml:space="preserve"> </w:t>
      </w:r>
      <w:r w:rsidRPr="009C4CEA">
        <w:t>tak,</w:t>
      </w:r>
      <w:r>
        <w:t xml:space="preserve"> </w:t>
      </w:r>
      <w:r w:rsidRPr="009C4CEA">
        <w:t>aby</w:t>
      </w:r>
      <w:r>
        <w:t xml:space="preserve"> </w:t>
      </w:r>
      <w:r w:rsidRPr="009C4CEA">
        <w:t>vyhovovala</w:t>
      </w:r>
      <w:r>
        <w:t xml:space="preserve"> </w:t>
      </w:r>
      <w:r w:rsidRPr="009C4CEA">
        <w:t>těmto</w:t>
      </w:r>
      <w:r>
        <w:t xml:space="preserve"> </w:t>
      </w:r>
      <w:r w:rsidRPr="009C4CEA">
        <w:t>změnám,</w:t>
      </w:r>
    </w:p>
    <w:p w14:paraId="10DC70D0" w14:textId="4316B6FA" w:rsidR="00085B44" w:rsidRDefault="00085B44" w:rsidP="002E6AEA">
      <w:pPr>
        <w:pStyle w:val="Textparagrafu"/>
        <w:tabs>
          <w:tab w:val="left" w:pos="392"/>
          <w:tab w:val="left" w:pos="854"/>
        </w:tabs>
        <w:spacing w:before="0"/>
        <w:ind w:left="426" w:hanging="426"/>
      </w:pPr>
      <w:r w:rsidRPr="009C4CEA">
        <w:t>j)</w:t>
      </w:r>
      <w:r w:rsidR="004262BA">
        <w:tab/>
      </w:r>
      <w:r w:rsidRPr="009C4CEA">
        <w:t>zajistit</w:t>
      </w:r>
      <w:r>
        <w:t xml:space="preserve"> </w:t>
      </w:r>
      <w:r w:rsidRPr="009C4CEA">
        <w:t>si</w:t>
      </w:r>
      <w:r>
        <w:t xml:space="preserve"> </w:t>
      </w:r>
      <w:r w:rsidRPr="009C4CEA">
        <w:t>dodávku</w:t>
      </w:r>
      <w:r>
        <w:t xml:space="preserve"> </w:t>
      </w:r>
      <w:r w:rsidRPr="009C4CEA">
        <w:t>elektřiny</w:t>
      </w:r>
      <w:r>
        <w:t xml:space="preserve"> </w:t>
      </w:r>
      <w:r w:rsidRPr="009C4CEA">
        <w:t>na</w:t>
      </w:r>
      <w:r>
        <w:t xml:space="preserve"> </w:t>
      </w:r>
      <w:r w:rsidRPr="009C4CEA">
        <w:t>krytí</w:t>
      </w:r>
      <w:r>
        <w:t xml:space="preserve"> </w:t>
      </w:r>
      <w:r w:rsidRPr="009C4CEA">
        <w:t>ztrát</w:t>
      </w:r>
      <w:r>
        <w:t xml:space="preserve"> </w:t>
      </w:r>
      <w:r w:rsidRPr="009C4CEA">
        <w:t>v</w:t>
      </w:r>
      <w:r>
        <w:t xml:space="preserve"> </w:t>
      </w:r>
      <w:r w:rsidRPr="009C4CEA">
        <w:t>distribuční</w:t>
      </w:r>
      <w:r>
        <w:t xml:space="preserve"> </w:t>
      </w:r>
      <w:r w:rsidRPr="009C4CEA">
        <w:t>soustavě</w:t>
      </w:r>
      <w:r>
        <w:t xml:space="preserve"> </w:t>
      </w:r>
      <w:r w:rsidRPr="009C4CEA">
        <w:t>a</w:t>
      </w:r>
      <w:r>
        <w:t xml:space="preserve"> </w:t>
      </w:r>
      <w:r w:rsidRPr="009C4CEA">
        <w:t>pro</w:t>
      </w:r>
      <w:r>
        <w:t xml:space="preserve"> </w:t>
      </w:r>
      <w:r w:rsidRPr="009C4CEA">
        <w:t>vlastní</w:t>
      </w:r>
      <w:r>
        <w:t xml:space="preserve"> </w:t>
      </w:r>
      <w:r w:rsidRPr="009C4CEA">
        <w:t>potřebu,</w:t>
      </w:r>
    </w:p>
    <w:p w14:paraId="73E0A5AA" w14:textId="2CABBBA8" w:rsidR="00085B44" w:rsidRDefault="00085B44" w:rsidP="002E6AEA">
      <w:pPr>
        <w:pStyle w:val="Textparagrafu"/>
        <w:tabs>
          <w:tab w:val="left" w:pos="392"/>
          <w:tab w:val="left" w:pos="854"/>
        </w:tabs>
        <w:spacing w:before="0"/>
        <w:ind w:left="426" w:hanging="426"/>
      </w:pPr>
      <w:r w:rsidRPr="009C4CEA">
        <w:t>k)</w:t>
      </w:r>
      <w:r w:rsidR="004262BA">
        <w:tab/>
      </w:r>
      <w:r w:rsidRPr="009C4CEA">
        <w:t>hradit</w:t>
      </w:r>
      <w:r>
        <w:t xml:space="preserve"> </w:t>
      </w:r>
      <w:r w:rsidRPr="009C4CEA">
        <w:t>operátorovi</w:t>
      </w:r>
      <w:r>
        <w:t xml:space="preserve"> </w:t>
      </w:r>
      <w:r w:rsidRPr="009C4CEA">
        <w:t>trhu</w:t>
      </w:r>
      <w:r>
        <w:t xml:space="preserve"> </w:t>
      </w:r>
      <w:r w:rsidRPr="009C4CEA">
        <w:t>ceny</w:t>
      </w:r>
      <w:r>
        <w:t xml:space="preserve"> </w:t>
      </w:r>
      <w:r w:rsidRPr="009C4CEA">
        <w:t>za</w:t>
      </w:r>
      <w:r>
        <w:t xml:space="preserve"> </w:t>
      </w:r>
      <w:r w:rsidRPr="009C4CEA">
        <w:t>činnosti</w:t>
      </w:r>
      <w:r>
        <w:t xml:space="preserve"> </w:t>
      </w:r>
      <w:r w:rsidRPr="009C4CEA">
        <w:t>operátora</w:t>
      </w:r>
      <w:r>
        <w:t xml:space="preserve"> </w:t>
      </w:r>
      <w:r w:rsidRPr="009C4CEA">
        <w:t>trhu</w:t>
      </w:r>
      <w:r>
        <w:t xml:space="preserve"> </w:t>
      </w:r>
      <w:r w:rsidRPr="009C4CEA">
        <w:t>podle</w:t>
      </w:r>
      <w:r>
        <w:t xml:space="preserve"> </w:t>
      </w:r>
      <w:r w:rsidRPr="009C4CEA">
        <w:t>Pravidel</w:t>
      </w:r>
      <w:r>
        <w:t xml:space="preserve"> </w:t>
      </w:r>
      <w:r w:rsidRPr="009C4CEA">
        <w:t>trhu</w:t>
      </w:r>
      <w:r>
        <w:t xml:space="preserve"> </w:t>
      </w:r>
      <w:r w:rsidRPr="009C4CEA">
        <w:t>s</w:t>
      </w:r>
      <w:r>
        <w:t xml:space="preserve"> </w:t>
      </w:r>
      <w:r w:rsidRPr="009C4CEA">
        <w:t>elektřinou,</w:t>
      </w:r>
    </w:p>
    <w:p w14:paraId="0C4068C1" w14:textId="7E1D79CD" w:rsidR="00085B44" w:rsidRDefault="00085B44" w:rsidP="002E6AEA">
      <w:pPr>
        <w:pStyle w:val="Textparagrafu"/>
        <w:tabs>
          <w:tab w:val="left" w:pos="392"/>
          <w:tab w:val="left" w:pos="854"/>
        </w:tabs>
        <w:spacing w:before="0"/>
        <w:ind w:left="426" w:hanging="426"/>
      </w:pPr>
      <w:r w:rsidRPr="009C4CEA">
        <w:t>l)</w:t>
      </w:r>
      <w:r w:rsidR="004262BA">
        <w:tab/>
      </w:r>
      <w:r w:rsidRPr="009C4CEA">
        <w:t>registrovat</w:t>
      </w:r>
      <w:r>
        <w:t xml:space="preserve"> </w:t>
      </w:r>
      <w:r w:rsidRPr="009C4CEA">
        <w:t>u</w:t>
      </w:r>
      <w:r>
        <w:t xml:space="preserve"> </w:t>
      </w:r>
      <w:r w:rsidRPr="009C4CEA">
        <w:t>operátora</w:t>
      </w:r>
      <w:r>
        <w:t xml:space="preserve"> </w:t>
      </w:r>
      <w:r w:rsidRPr="009C4CEA">
        <w:t>trhu</w:t>
      </w:r>
      <w:r>
        <w:t xml:space="preserve"> </w:t>
      </w:r>
      <w:r w:rsidRPr="009C4CEA">
        <w:t>jednotlivá</w:t>
      </w:r>
      <w:r>
        <w:t xml:space="preserve"> </w:t>
      </w:r>
      <w:r w:rsidRPr="009C4CEA">
        <w:t>předávací</w:t>
      </w:r>
      <w:r>
        <w:t xml:space="preserve"> </w:t>
      </w:r>
      <w:r w:rsidRPr="009C4CEA">
        <w:t>místa</w:t>
      </w:r>
      <w:r>
        <w:t xml:space="preserve"> </w:t>
      </w:r>
      <w:r w:rsidRPr="009C4CEA">
        <w:t>výroben</w:t>
      </w:r>
      <w:r>
        <w:t xml:space="preserve"> </w:t>
      </w:r>
      <w:r w:rsidRPr="009C4CEA">
        <w:t>elektřiny,</w:t>
      </w:r>
      <w:r>
        <w:t xml:space="preserve"> </w:t>
      </w:r>
      <w:r w:rsidRPr="009C4CEA">
        <w:t>odběrných</w:t>
      </w:r>
      <w:r>
        <w:t xml:space="preserve"> </w:t>
      </w:r>
      <w:r w:rsidRPr="009C4CEA">
        <w:t>míst</w:t>
      </w:r>
      <w:r>
        <w:t xml:space="preserve"> </w:t>
      </w:r>
      <w:r w:rsidRPr="009C4CEA">
        <w:t>a</w:t>
      </w:r>
      <w:r>
        <w:t xml:space="preserve"> </w:t>
      </w:r>
      <w:r w:rsidRPr="009C4CEA">
        <w:t>distribučních</w:t>
      </w:r>
      <w:r>
        <w:t xml:space="preserve"> </w:t>
      </w:r>
      <w:r w:rsidRPr="009C4CEA">
        <w:t>soustav</w:t>
      </w:r>
      <w:r>
        <w:t xml:space="preserve"> </w:t>
      </w:r>
      <w:r w:rsidRPr="009C4CEA">
        <w:t>připojených</w:t>
      </w:r>
      <w:r>
        <w:t xml:space="preserve"> </w:t>
      </w:r>
      <w:r w:rsidRPr="009C4CEA">
        <w:t>k</w:t>
      </w:r>
      <w:r>
        <w:t xml:space="preserve"> </w:t>
      </w:r>
      <w:r w:rsidRPr="009C4CEA">
        <w:t>distribuční</w:t>
      </w:r>
      <w:r>
        <w:t xml:space="preserve"> </w:t>
      </w:r>
      <w:r w:rsidRPr="009C4CEA">
        <w:t>soustavě</w:t>
      </w:r>
      <w:r>
        <w:t xml:space="preserve"> </w:t>
      </w:r>
      <w:r w:rsidRPr="009C4CEA">
        <w:t>a</w:t>
      </w:r>
      <w:r>
        <w:t xml:space="preserve"> </w:t>
      </w:r>
      <w:r w:rsidRPr="009C4CEA">
        <w:t>odběrná</w:t>
      </w:r>
      <w:r>
        <w:t xml:space="preserve"> </w:t>
      </w:r>
      <w:r w:rsidRPr="009C4CEA">
        <w:t>místa</w:t>
      </w:r>
      <w:r>
        <w:t xml:space="preserve"> </w:t>
      </w:r>
      <w:r w:rsidRPr="009C4CEA">
        <w:t>zákazníků</w:t>
      </w:r>
      <w:r>
        <w:t xml:space="preserve"> </w:t>
      </w:r>
      <w:r w:rsidRPr="009C4CEA">
        <w:t>připojená</w:t>
      </w:r>
      <w:r>
        <w:t xml:space="preserve"> </w:t>
      </w:r>
      <w:r w:rsidRPr="009C4CEA">
        <w:t>k</w:t>
      </w:r>
      <w:r>
        <w:t xml:space="preserve"> </w:t>
      </w:r>
      <w:r w:rsidRPr="009C4CEA">
        <w:t>distribuční</w:t>
      </w:r>
      <w:r>
        <w:t xml:space="preserve"> </w:t>
      </w:r>
      <w:r w:rsidRPr="009C4CEA">
        <w:t>soustavě,</w:t>
      </w:r>
    </w:p>
    <w:p w14:paraId="1DFF64E5" w14:textId="0478A71E" w:rsidR="00085B44" w:rsidRPr="009C4CEA" w:rsidRDefault="00085B44" w:rsidP="002E6AEA">
      <w:pPr>
        <w:pStyle w:val="Textparagrafu"/>
        <w:tabs>
          <w:tab w:val="left" w:pos="392"/>
          <w:tab w:val="left" w:pos="854"/>
        </w:tabs>
        <w:spacing w:before="0"/>
        <w:ind w:left="426" w:hanging="426"/>
      </w:pPr>
      <w:r w:rsidRPr="009C4CEA">
        <w:t>m)</w:t>
      </w:r>
      <w:r w:rsidR="004262BA">
        <w:tab/>
      </w:r>
      <w:r w:rsidRPr="009C4CEA">
        <w:t>zveřejňovat</w:t>
      </w:r>
      <w:r>
        <w:t xml:space="preserve"> </w:t>
      </w:r>
      <w:r w:rsidRPr="009C4CEA">
        <w:t>a</w:t>
      </w:r>
      <w:r>
        <w:t xml:space="preserve"> </w:t>
      </w:r>
      <w:r w:rsidRPr="009C4CEA">
        <w:t>jednou</w:t>
      </w:r>
      <w:r>
        <w:t xml:space="preserve"> </w:t>
      </w:r>
      <w:r w:rsidRPr="009C4CEA">
        <w:t>za</w:t>
      </w:r>
      <w:r>
        <w:t xml:space="preserve"> </w:t>
      </w:r>
      <w:r w:rsidRPr="009C4CEA">
        <w:t>měsíc</w:t>
      </w:r>
      <w:r>
        <w:t xml:space="preserve"> </w:t>
      </w:r>
      <w:r w:rsidRPr="009C4CEA">
        <w:t>aktualizovat</w:t>
      </w:r>
      <w:r>
        <w:t xml:space="preserve"> </w:t>
      </w:r>
      <w:r w:rsidRPr="009C4CEA">
        <w:t>na</w:t>
      </w:r>
      <w:r>
        <w:t xml:space="preserve"> </w:t>
      </w:r>
      <w:r w:rsidRPr="009C4CEA">
        <w:t>svých</w:t>
      </w:r>
      <w:r>
        <w:t xml:space="preserve"> </w:t>
      </w:r>
      <w:r w:rsidRPr="009C4CEA">
        <w:t>internetových</w:t>
      </w:r>
      <w:r>
        <w:t xml:space="preserve"> </w:t>
      </w:r>
      <w:r w:rsidRPr="009C4CEA">
        <w:t>stránkách</w:t>
      </w:r>
      <w:r>
        <w:t xml:space="preserve"> </w:t>
      </w:r>
      <w:r w:rsidRPr="009C4CEA">
        <w:t>údaje</w:t>
      </w:r>
      <w:r>
        <w:t xml:space="preserve"> </w:t>
      </w:r>
      <w:r w:rsidRPr="009C4CEA">
        <w:t>o</w:t>
      </w:r>
      <w:r>
        <w:t xml:space="preserve"> </w:t>
      </w:r>
      <w:r w:rsidRPr="009C4CEA">
        <w:t>počtu</w:t>
      </w:r>
      <w:r>
        <w:t xml:space="preserve"> </w:t>
      </w:r>
      <w:r w:rsidRPr="009C4CEA">
        <w:t>přijatých</w:t>
      </w:r>
      <w:r>
        <w:t xml:space="preserve"> </w:t>
      </w:r>
      <w:r w:rsidRPr="009C4CEA">
        <w:t>a</w:t>
      </w:r>
      <w:r>
        <w:t xml:space="preserve"> </w:t>
      </w:r>
      <w:r w:rsidRPr="009C4CEA">
        <w:t>odmítnutých</w:t>
      </w:r>
      <w:r>
        <w:t xml:space="preserve"> </w:t>
      </w:r>
      <w:r w:rsidRPr="009C4CEA">
        <w:t>žádostí</w:t>
      </w:r>
      <w:r>
        <w:t xml:space="preserve"> </w:t>
      </w:r>
      <w:r w:rsidRPr="009C4CEA">
        <w:t>o</w:t>
      </w:r>
      <w:r>
        <w:t xml:space="preserve"> </w:t>
      </w:r>
      <w:r w:rsidRPr="009C4CEA">
        <w:t>připojení</w:t>
      </w:r>
      <w:r>
        <w:t xml:space="preserve"> </w:t>
      </w:r>
      <w:r w:rsidRPr="009C4CEA">
        <w:t>k</w:t>
      </w:r>
      <w:r>
        <w:t xml:space="preserve"> </w:t>
      </w:r>
      <w:r w:rsidRPr="009C4CEA">
        <w:t>distribuční</w:t>
      </w:r>
      <w:r>
        <w:t xml:space="preserve"> </w:t>
      </w:r>
      <w:r w:rsidRPr="009C4CEA">
        <w:t>soustavě</w:t>
      </w:r>
      <w:r>
        <w:t xml:space="preserve"> </w:t>
      </w:r>
      <w:r w:rsidRPr="009C4CEA">
        <w:t>a</w:t>
      </w:r>
      <w:r>
        <w:t xml:space="preserve"> </w:t>
      </w:r>
      <w:r w:rsidRPr="009C4CEA">
        <w:t>interaktivní</w:t>
      </w:r>
      <w:r>
        <w:t xml:space="preserve"> </w:t>
      </w:r>
      <w:r w:rsidRPr="009C4CEA">
        <w:t>mapu,</w:t>
      </w:r>
      <w:r>
        <w:t xml:space="preserve"> </w:t>
      </w:r>
      <w:r w:rsidRPr="009C4CEA">
        <w:t>která</w:t>
      </w:r>
      <w:r>
        <w:t xml:space="preserve"> </w:t>
      </w:r>
      <w:r w:rsidRPr="009C4CEA">
        <w:t>obsahuje</w:t>
      </w:r>
      <w:r>
        <w:t xml:space="preserve"> </w:t>
      </w:r>
      <w:r w:rsidRPr="009C4CEA">
        <w:t>následující</w:t>
      </w:r>
      <w:r>
        <w:t xml:space="preserve"> </w:t>
      </w:r>
      <w:r w:rsidRPr="009C4CEA">
        <w:t>informace</w:t>
      </w:r>
      <w:r>
        <w:t xml:space="preserve"> </w:t>
      </w:r>
      <w:r w:rsidRPr="009C4CEA">
        <w:t>pro</w:t>
      </w:r>
      <w:r>
        <w:t xml:space="preserve"> </w:t>
      </w:r>
      <w:r w:rsidRPr="009C4CEA">
        <w:t>všechna</w:t>
      </w:r>
      <w:r>
        <w:t xml:space="preserve"> </w:t>
      </w:r>
      <w:r w:rsidRPr="009C4CEA">
        <w:t>území</w:t>
      </w:r>
      <w:r>
        <w:t xml:space="preserve"> </w:t>
      </w:r>
      <w:r w:rsidRPr="009C4CEA">
        <w:t>vymezené</w:t>
      </w:r>
      <w:r>
        <w:t xml:space="preserve"> </w:t>
      </w:r>
      <w:r w:rsidRPr="009C4CEA">
        <w:t>licencí:</w:t>
      </w:r>
    </w:p>
    <w:p w14:paraId="69CE622E" w14:textId="49ED44C3" w:rsidR="00085B44" w:rsidRPr="009C4CEA" w:rsidRDefault="004262BA" w:rsidP="002E6AEA">
      <w:pPr>
        <w:pStyle w:val="Textparagrafu"/>
        <w:tabs>
          <w:tab w:val="left" w:pos="392"/>
          <w:tab w:val="left" w:pos="854"/>
        </w:tabs>
        <w:spacing w:before="0"/>
        <w:ind w:left="426" w:hanging="426"/>
      </w:pPr>
      <w:r>
        <w:tab/>
      </w:r>
      <w:r w:rsidR="00085B44" w:rsidRPr="009C4CEA">
        <w:t>1.</w:t>
      </w:r>
      <w:r>
        <w:tab/>
      </w:r>
      <w:r w:rsidR="00085B44" w:rsidRPr="009C4CEA">
        <w:t>pro</w:t>
      </w:r>
      <w:r w:rsidR="00085B44">
        <w:t xml:space="preserve"> </w:t>
      </w:r>
      <w:r w:rsidR="00085B44" w:rsidRPr="009C4CEA">
        <w:t>napěťovou</w:t>
      </w:r>
      <w:r w:rsidR="00085B44">
        <w:t xml:space="preserve"> </w:t>
      </w:r>
      <w:r w:rsidR="00085B44" w:rsidRPr="009C4CEA">
        <w:t>hladinu</w:t>
      </w:r>
      <w:r w:rsidR="00085B44">
        <w:t xml:space="preserve"> </w:t>
      </w:r>
      <w:r w:rsidR="00085B44" w:rsidRPr="009C4CEA">
        <w:t>velmi</w:t>
      </w:r>
      <w:r w:rsidR="00085B44">
        <w:t xml:space="preserve"> </w:t>
      </w:r>
      <w:r w:rsidR="00085B44" w:rsidRPr="009C4CEA">
        <w:t>vysokého</w:t>
      </w:r>
      <w:r w:rsidR="00085B44">
        <w:t xml:space="preserve"> </w:t>
      </w:r>
      <w:r w:rsidR="00085B44" w:rsidRPr="009C4CEA">
        <w:t>a</w:t>
      </w:r>
      <w:r w:rsidR="00085B44">
        <w:t xml:space="preserve"> </w:t>
      </w:r>
      <w:r w:rsidR="00085B44" w:rsidRPr="009C4CEA">
        <w:t>vysokého</w:t>
      </w:r>
      <w:r w:rsidR="00085B44">
        <w:t xml:space="preserve"> </w:t>
      </w:r>
      <w:r w:rsidR="00085B44" w:rsidRPr="009C4CEA">
        <w:t>napětí</w:t>
      </w:r>
      <w:r w:rsidR="00085B44">
        <w:t xml:space="preserve"> </w:t>
      </w:r>
      <w:r w:rsidR="00085B44" w:rsidRPr="009C4CEA">
        <w:t>údaje</w:t>
      </w:r>
      <w:r w:rsidR="00085B44">
        <w:t xml:space="preserve"> </w:t>
      </w:r>
      <w:r w:rsidR="00085B44" w:rsidRPr="009C4CEA">
        <w:t>o</w:t>
      </w:r>
      <w:r w:rsidR="00085B44">
        <w:t xml:space="preserve"> </w:t>
      </w:r>
      <w:r w:rsidR="00085B44" w:rsidRPr="009C4CEA">
        <w:t>volné</w:t>
      </w:r>
      <w:r w:rsidR="00085B44">
        <w:t xml:space="preserve"> </w:t>
      </w:r>
      <w:r w:rsidR="00085B44" w:rsidRPr="009C4CEA">
        <w:t>distribuční</w:t>
      </w:r>
      <w:r w:rsidR="00085B44">
        <w:t xml:space="preserve"> </w:t>
      </w:r>
      <w:r w:rsidR="00085B44" w:rsidRPr="009C4CEA">
        <w:t>kapacitě</w:t>
      </w:r>
      <w:r w:rsidR="00085B44">
        <w:t xml:space="preserve"> </w:t>
      </w:r>
      <w:r w:rsidR="00085B44" w:rsidRPr="009C4CEA">
        <w:t>v</w:t>
      </w:r>
      <w:r w:rsidR="00085B44">
        <w:t xml:space="preserve"> </w:t>
      </w:r>
      <w:r w:rsidR="00085B44" w:rsidRPr="009C4CEA">
        <w:t>jím</w:t>
      </w:r>
      <w:r w:rsidR="00085B44">
        <w:t xml:space="preserve"> </w:t>
      </w:r>
      <w:r w:rsidR="00085B44" w:rsidRPr="009C4CEA">
        <w:t>provozované</w:t>
      </w:r>
      <w:r w:rsidR="00085B44">
        <w:t xml:space="preserve"> </w:t>
      </w:r>
      <w:r w:rsidR="00085B44" w:rsidRPr="009C4CEA">
        <w:t>distribuční</w:t>
      </w:r>
      <w:r w:rsidR="00085B44">
        <w:t xml:space="preserve"> </w:t>
      </w:r>
      <w:r w:rsidR="00085B44" w:rsidRPr="009C4CEA">
        <w:t>soustavě,</w:t>
      </w:r>
    </w:p>
    <w:p w14:paraId="2D99795F" w14:textId="296080FB" w:rsidR="00085B44" w:rsidRDefault="004262BA" w:rsidP="002E6AEA">
      <w:pPr>
        <w:pStyle w:val="Textparagrafu"/>
        <w:tabs>
          <w:tab w:val="left" w:pos="392"/>
          <w:tab w:val="left" w:pos="854"/>
        </w:tabs>
        <w:spacing w:before="0"/>
        <w:ind w:left="426" w:hanging="426"/>
      </w:pPr>
      <w:r>
        <w:tab/>
      </w:r>
      <w:r w:rsidR="00085B44" w:rsidRPr="009C4CEA">
        <w:t>2.</w:t>
      </w:r>
      <w:r>
        <w:tab/>
      </w:r>
      <w:r w:rsidR="00085B44" w:rsidRPr="009C4CEA">
        <w:t>pro</w:t>
      </w:r>
      <w:r w:rsidR="00085B44">
        <w:t xml:space="preserve"> </w:t>
      </w:r>
      <w:r w:rsidR="00085B44" w:rsidRPr="009C4CEA">
        <w:t>napěťovou</w:t>
      </w:r>
      <w:r w:rsidR="00085B44">
        <w:t xml:space="preserve"> </w:t>
      </w:r>
      <w:r w:rsidR="00085B44" w:rsidRPr="009C4CEA">
        <w:t>hladinu</w:t>
      </w:r>
      <w:r w:rsidR="00085B44">
        <w:t xml:space="preserve"> </w:t>
      </w:r>
      <w:r w:rsidR="00085B44" w:rsidRPr="009C4CEA">
        <w:t>nízkého</w:t>
      </w:r>
      <w:r w:rsidR="00085B44">
        <w:t xml:space="preserve"> </w:t>
      </w:r>
      <w:r w:rsidR="00085B44" w:rsidRPr="009C4CEA">
        <w:t>napětí</w:t>
      </w:r>
      <w:r w:rsidR="00085B44">
        <w:t xml:space="preserve"> </w:t>
      </w:r>
      <w:r w:rsidR="00085B44" w:rsidRPr="009C4CEA">
        <w:t>údaje</w:t>
      </w:r>
      <w:r w:rsidR="00085B44">
        <w:t xml:space="preserve"> </w:t>
      </w:r>
      <w:r w:rsidR="00085B44" w:rsidRPr="009C4CEA">
        <w:t>o</w:t>
      </w:r>
      <w:r w:rsidR="00085B44">
        <w:t xml:space="preserve"> </w:t>
      </w:r>
      <w:r w:rsidR="00085B44" w:rsidRPr="009C4CEA">
        <w:t>volné</w:t>
      </w:r>
      <w:r w:rsidR="00085B44">
        <w:t xml:space="preserve"> </w:t>
      </w:r>
      <w:r w:rsidR="00085B44" w:rsidRPr="009C4CEA">
        <w:t>kapacitě</w:t>
      </w:r>
      <w:r w:rsidR="00085B44">
        <w:t xml:space="preserve"> </w:t>
      </w:r>
      <w:r w:rsidR="00085B44" w:rsidRPr="009C4CEA">
        <w:t>elektrických</w:t>
      </w:r>
      <w:r w:rsidR="00085B44">
        <w:t xml:space="preserve"> </w:t>
      </w:r>
      <w:r w:rsidR="00085B44" w:rsidRPr="009C4CEA">
        <w:t>stanic</w:t>
      </w:r>
      <w:r w:rsidR="00085B44">
        <w:t xml:space="preserve"> </w:t>
      </w:r>
      <w:r w:rsidR="00085B44" w:rsidRPr="009C4CEA">
        <w:t>v</w:t>
      </w:r>
      <w:r w:rsidR="00085B44">
        <w:t xml:space="preserve"> </w:t>
      </w:r>
      <w:r w:rsidR="00085B44" w:rsidRPr="009C4CEA">
        <w:t>jím</w:t>
      </w:r>
      <w:r w:rsidR="00085B44">
        <w:t xml:space="preserve"> </w:t>
      </w:r>
      <w:r w:rsidR="00085B44" w:rsidRPr="009C4CEA">
        <w:t>provozované</w:t>
      </w:r>
      <w:r w:rsidR="00085B44">
        <w:t xml:space="preserve"> </w:t>
      </w:r>
      <w:r w:rsidR="00085B44" w:rsidRPr="009C4CEA">
        <w:t>distribuční</w:t>
      </w:r>
      <w:r w:rsidR="00085B44">
        <w:t xml:space="preserve"> </w:t>
      </w:r>
      <w:r w:rsidR="00085B44" w:rsidRPr="009C4CEA">
        <w:t>soustavě,</w:t>
      </w:r>
    </w:p>
    <w:p w14:paraId="73D1F23F" w14:textId="7640EB68" w:rsidR="00085B44" w:rsidRDefault="00085B44" w:rsidP="002E6AEA">
      <w:pPr>
        <w:pStyle w:val="Textparagrafu"/>
        <w:tabs>
          <w:tab w:val="left" w:pos="392"/>
          <w:tab w:val="left" w:pos="854"/>
        </w:tabs>
        <w:spacing w:before="0"/>
        <w:ind w:left="426" w:hanging="426"/>
      </w:pPr>
      <w:r w:rsidRPr="009C4CEA">
        <w:lastRenderedPageBreak/>
        <w:t>n)hradit</w:t>
      </w:r>
      <w:r>
        <w:t xml:space="preserve"> </w:t>
      </w:r>
      <w:r w:rsidRPr="009C4CEA">
        <w:t>datovému</w:t>
      </w:r>
      <w:r>
        <w:t xml:space="preserve"> </w:t>
      </w:r>
      <w:r w:rsidRPr="009C4CEA">
        <w:t>centru</w:t>
      </w:r>
      <w:r>
        <w:t xml:space="preserve"> </w:t>
      </w:r>
      <w:r w:rsidRPr="009C4CEA">
        <w:t>cenu</w:t>
      </w:r>
      <w:r>
        <w:t xml:space="preserve"> </w:t>
      </w:r>
      <w:r w:rsidRPr="009C4CEA">
        <w:t>za</w:t>
      </w:r>
      <w:r>
        <w:t xml:space="preserve"> </w:t>
      </w:r>
      <w:r w:rsidRPr="009C4CEA">
        <w:t>činnost</w:t>
      </w:r>
      <w:r>
        <w:t xml:space="preserve"> </w:t>
      </w:r>
      <w:r w:rsidRPr="009C4CEA">
        <w:t>datového</w:t>
      </w:r>
      <w:r>
        <w:t xml:space="preserve"> </w:t>
      </w:r>
      <w:r w:rsidRPr="009C4CEA">
        <w:t>centra,</w:t>
      </w:r>
      <w:r>
        <w:t xml:space="preserve"> </w:t>
      </w:r>
      <w:r w:rsidRPr="009C4CEA">
        <w:t>jedná-li</w:t>
      </w:r>
      <w:r>
        <w:t xml:space="preserve"> </w:t>
      </w:r>
      <w:r w:rsidRPr="009C4CEA">
        <w:t>se</w:t>
      </w:r>
      <w:r>
        <w:t xml:space="preserve"> </w:t>
      </w:r>
      <w:r w:rsidRPr="009C4CEA">
        <w:t>o</w:t>
      </w:r>
      <w:r>
        <w:t xml:space="preserve"> </w:t>
      </w:r>
      <w:r w:rsidRPr="009C4CEA">
        <w:t>provozovatele</w:t>
      </w:r>
      <w:r>
        <w:t xml:space="preserve"> </w:t>
      </w:r>
      <w:r w:rsidRPr="009C4CEA">
        <w:t>regionální</w:t>
      </w:r>
      <w:r>
        <w:t xml:space="preserve"> </w:t>
      </w:r>
      <w:r w:rsidRPr="009C4CEA">
        <w:t>distribuční</w:t>
      </w:r>
      <w:r>
        <w:t xml:space="preserve"> </w:t>
      </w:r>
      <w:r w:rsidRPr="009C4CEA">
        <w:t>soustavy,</w:t>
      </w:r>
    </w:p>
    <w:p w14:paraId="584758B1" w14:textId="6867DAB9" w:rsidR="00085B44" w:rsidRDefault="00085B44" w:rsidP="002E6AEA">
      <w:pPr>
        <w:pStyle w:val="Textparagrafu"/>
        <w:tabs>
          <w:tab w:val="left" w:pos="392"/>
          <w:tab w:val="left" w:pos="854"/>
        </w:tabs>
        <w:spacing w:before="0"/>
        <w:ind w:left="426" w:hanging="426"/>
      </w:pPr>
      <w:r w:rsidRPr="009C4CEA">
        <w:t>o)</w:t>
      </w:r>
      <w:r w:rsidR="004262BA">
        <w:tab/>
      </w:r>
      <w:r w:rsidRPr="009C4CEA">
        <w:t>nejméně</w:t>
      </w:r>
      <w:r>
        <w:t xml:space="preserve"> </w:t>
      </w:r>
      <w:r w:rsidRPr="009C4CEA">
        <w:t>jednou</w:t>
      </w:r>
      <w:r>
        <w:t xml:space="preserve"> </w:t>
      </w:r>
      <w:r w:rsidRPr="009C4CEA">
        <w:t>za</w:t>
      </w:r>
      <w:r>
        <w:t xml:space="preserve"> </w:t>
      </w:r>
      <w:r w:rsidRPr="009C4CEA">
        <w:t>čtyři</w:t>
      </w:r>
      <w:r>
        <w:t xml:space="preserve"> </w:t>
      </w:r>
      <w:r w:rsidRPr="009C4CEA">
        <w:t>roky</w:t>
      </w:r>
      <w:r>
        <w:t xml:space="preserve"> </w:t>
      </w:r>
      <w:r w:rsidRPr="009C4CEA">
        <w:t>ve</w:t>
      </w:r>
      <w:r>
        <w:t xml:space="preserve"> </w:t>
      </w:r>
      <w:r w:rsidRPr="009C4CEA">
        <w:t>spolupráci</w:t>
      </w:r>
      <w:r>
        <w:t xml:space="preserve"> </w:t>
      </w:r>
      <w:r w:rsidRPr="009C4CEA">
        <w:t>s</w:t>
      </w:r>
      <w:r>
        <w:t xml:space="preserve"> </w:t>
      </w:r>
      <w:r w:rsidRPr="009C4CEA">
        <w:t>držiteli</w:t>
      </w:r>
      <w:r>
        <w:t xml:space="preserve"> </w:t>
      </w:r>
      <w:r w:rsidRPr="009C4CEA">
        <w:t>licence</w:t>
      </w:r>
      <w:r>
        <w:t xml:space="preserve"> </w:t>
      </w:r>
      <w:r w:rsidRPr="009C4CEA">
        <w:t>na</w:t>
      </w:r>
      <w:r>
        <w:t xml:space="preserve"> </w:t>
      </w:r>
      <w:r w:rsidRPr="009C4CEA">
        <w:t>výrobu</w:t>
      </w:r>
      <w:r>
        <w:t xml:space="preserve"> </w:t>
      </w:r>
      <w:r w:rsidRPr="009C4CEA">
        <w:t>tepelné</w:t>
      </w:r>
      <w:r>
        <w:t xml:space="preserve"> </w:t>
      </w:r>
      <w:r w:rsidRPr="009C4CEA">
        <w:t>energie</w:t>
      </w:r>
      <w:r>
        <w:t xml:space="preserve"> </w:t>
      </w:r>
      <w:r w:rsidRPr="009C4CEA">
        <w:t>vykonávajícími</w:t>
      </w:r>
      <w:r>
        <w:t xml:space="preserve"> </w:t>
      </w:r>
      <w:r w:rsidRPr="009C4CEA">
        <w:t>činnost</w:t>
      </w:r>
      <w:r>
        <w:t xml:space="preserve"> </w:t>
      </w:r>
      <w:r w:rsidRPr="009C4CEA">
        <w:t>v</w:t>
      </w:r>
      <w:r>
        <w:t xml:space="preserve"> </w:t>
      </w:r>
      <w:r w:rsidRPr="009C4CEA">
        <w:t>rámci</w:t>
      </w:r>
      <w:r>
        <w:t xml:space="preserve"> </w:t>
      </w:r>
      <w:r w:rsidRPr="009C4CEA">
        <w:t>jeho</w:t>
      </w:r>
      <w:r>
        <w:t xml:space="preserve"> </w:t>
      </w:r>
      <w:r w:rsidRPr="009C4CEA">
        <w:t>vymezeného</w:t>
      </w:r>
      <w:r>
        <w:t xml:space="preserve"> </w:t>
      </w:r>
      <w:r w:rsidRPr="009C4CEA">
        <w:t>území</w:t>
      </w:r>
      <w:r>
        <w:t xml:space="preserve"> </w:t>
      </w:r>
      <w:r w:rsidRPr="009C4CEA">
        <w:t>vyhodnotit</w:t>
      </w:r>
      <w:r>
        <w:t xml:space="preserve"> </w:t>
      </w:r>
      <w:r w:rsidRPr="009C4CEA">
        <w:t>a</w:t>
      </w:r>
      <w:r>
        <w:t xml:space="preserve"> </w:t>
      </w:r>
      <w:r w:rsidRPr="009C4CEA">
        <w:t>zveřejnit</w:t>
      </w:r>
      <w:r>
        <w:t xml:space="preserve"> </w:t>
      </w:r>
      <w:r w:rsidRPr="009C4CEA">
        <w:t>na</w:t>
      </w:r>
      <w:r>
        <w:t xml:space="preserve"> </w:t>
      </w:r>
      <w:r w:rsidRPr="009C4CEA">
        <w:t>základě</w:t>
      </w:r>
      <w:r>
        <w:t xml:space="preserve"> </w:t>
      </w:r>
      <w:r w:rsidRPr="009C4CEA">
        <w:t>údajů</w:t>
      </w:r>
      <w:r>
        <w:t xml:space="preserve"> </w:t>
      </w:r>
      <w:r w:rsidRPr="009C4CEA">
        <w:t>poskytnutých</w:t>
      </w:r>
      <w:r>
        <w:t xml:space="preserve"> </w:t>
      </w:r>
      <w:r w:rsidRPr="009C4CEA">
        <w:t>držiteli</w:t>
      </w:r>
      <w:r>
        <w:t xml:space="preserve"> </w:t>
      </w:r>
      <w:r w:rsidRPr="009C4CEA">
        <w:t>licence</w:t>
      </w:r>
      <w:r>
        <w:t xml:space="preserve"> </w:t>
      </w:r>
      <w:r w:rsidRPr="009C4CEA">
        <w:t>na</w:t>
      </w:r>
      <w:r>
        <w:t xml:space="preserve"> </w:t>
      </w:r>
      <w:r w:rsidRPr="009C4CEA">
        <w:t>výrobu</w:t>
      </w:r>
      <w:r>
        <w:t xml:space="preserve"> </w:t>
      </w:r>
      <w:r w:rsidRPr="009C4CEA">
        <w:t>tepelné</w:t>
      </w:r>
      <w:r>
        <w:t xml:space="preserve"> </w:t>
      </w:r>
      <w:r w:rsidRPr="009C4CEA">
        <w:t>energie</w:t>
      </w:r>
      <w:r>
        <w:t xml:space="preserve"> </w:t>
      </w:r>
      <w:r w:rsidRPr="009C4CEA">
        <w:t>celkový</w:t>
      </w:r>
      <w:r>
        <w:t xml:space="preserve"> </w:t>
      </w:r>
      <w:r w:rsidRPr="009C4CEA">
        <w:t>potenciál</w:t>
      </w:r>
      <w:r>
        <w:t xml:space="preserve"> </w:t>
      </w:r>
      <w:r w:rsidRPr="009C4CEA">
        <w:t>flexibility</w:t>
      </w:r>
      <w:r>
        <w:t xml:space="preserve"> </w:t>
      </w:r>
      <w:r w:rsidRPr="009C4CEA">
        <w:t>na</w:t>
      </w:r>
      <w:r>
        <w:t xml:space="preserve"> </w:t>
      </w:r>
      <w:r w:rsidRPr="009C4CEA">
        <w:t>straně</w:t>
      </w:r>
      <w:r>
        <w:t xml:space="preserve"> </w:t>
      </w:r>
      <w:r w:rsidRPr="009C4CEA">
        <w:t>výroby</w:t>
      </w:r>
      <w:r>
        <w:t xml:space="preserve"> </w:t>
      </w:r>
      <w:r w:rsidRPr="009C4CEA">
        <w:t>i</w:t>
      </w:r>
      <w:r>
        <w:t xml:space="preserve"> </w:t>
      </w:r>
      <w:r w:rsidRPr="009C4CEA">
        <w:t>na</w:t>
      </w:r>
      <w:r>
        <w:t xml:space="preserve"> </w:t>
      </w:r>
      <w:r w:rsidRPr="009C4CEA">
        <w:t>straně</w:t>
      </w:r>
      <w:r>
        <w:t xml:space="preserve"> </w:t>
      </w:r>
      <w:r w:rsidRPr="009C4CEA">
        <w:t>spotřeby</w:t>
      </w:r>
      <w:r>
        <w:t xml:space="preserve"> </w:t>
      </w:r>
      <w:r w:rsidRPr="009C4CEA">
        <w:t>v</w:t>
      </w:r>
      <w:r>
        <w:t xml:space="preserve"> </w:t>
      </w:r>
      <w:r w:rsidRPr="009C4CEA">
        <w:t>rámci</w:t>
      </w:r>
      <w:r>
        <w:t xml:space="preserve"> </w:t>
      </w:r>
      <w:r w:rsidRPr="009C4CEA">
        <w:t>celého</w:t>
      </w:r>
      <w:r>
        <w:t xml:space="preserve"> </w:t>
      </w:r>
      <w:r w:rsidRPr="009C4CEA">
        <w:t>vymezeného</w:t>
      </w:r>
      <w:r>
        <w:t xml:space="preserve"> </w:t>
      </w:r>
      <w:r w:rsidRPr="009C4CEA">
        <w:t>území</w:t>
      </w:r>
      <w:r>
        <w:t xml:space="preserve"> </w:t>
      </w:r>
      <w:r w:rsidRPr="009C4CEA">
        <w:t>a</w:t>
      </w:r>
      <w:r>
        <w:t xml:space="preserve"> </w:t>
      </w:r>
      <w:r w:rsidRPr="009C4CEA">
        <w:t>posoudit,</w:t>
      </w:r>
      <w:r>
        <w:t xml:space="preserve"> </w:t>
      </w:r>
      <w:r w:rsidRPr="009C4CEA">
        <w:t>zda</w:t>
      </w:r>
      <w:r>
        <w:t xml:space="preserve"> </w:t>
      </w:r>
      <w:r w:rsidRPr="009C4CEA">
        <w:t>by</w:t>
      </w:r>
      <w:r>
        <w:t xml:space="preserve"> </w:t>
      </w:r>
      <w:r w:rsidRPr="009C4CEA">
        <w:t>využití</w:t>
      </w:r>
      <w:r>
        <w:t xml:space="preserve"> </w:t>
      </w:r>
      <w:r w:rsidRPr="009C4CEA">
        <w:t>zjištěného</w:t>
      </w:r>
      <w:r>
        <w:t xml:space="preserve"> </w:t>
      </w:r>
      <w:r w:rsidRPr="009C4CEA">
        <w:t>potenciálu</w:t>
      </w:r>
      <w:r>
        <w:t xml:space="preserve"> </w:t>
      </w:r>
      <w:r w:rsidRPr="009C4CEA">
        <w:t>flexibility</w:t>
      </w:r>
      <w:r>
        <w:t xml:space="preserve"> </w:t>
      </w:r>
      <w:r w:rsidRPr="009C4CEA">
        <w:t>bylo</w:t>
      </w:r>
      <w:r>
        <w:t xml:space="preserve"> </w:t>
      </w:r>
      <w:r w:rsidRPr="009C4CEA">
        <w:t>zdrojově</w:t>
      </w:r>
      <w:r>
        <w:t xml:space="preserve"> </w:t>
      </w:r>
      <w:r w:rsidRPr="009C4CEA">
        <w:t>a</w:t>
      </w:r>
      <w:r>
        <w:t xml:space="preserve"> </w:t>
      </w:r>
      <w:r w:rsidRPr="009C4CEA">
        <w:t>nákladově</w:t>
      </w:r>
      <w:r>
        <w:t xml:space="preserve"> </w:t>
      </w:r>
      <w:r w:rsidRPr="009C4CEA">
        <w:t>efektivnější</w:t>
      </w:r>
      <w:r>
        <w:t xml:space="preserve"> </w:t>
      </w:r>
      <w:r w:rsidRPr="009C4CEA">
        <w:t>pro</w:t>
      </w:r>
      <w:r>
        <w:t xml:space="preserve"> </w:t>
      </w:r>
      <w:r w:rsidRPr="009C4CEA">
        <w:t>zajištění</w:t>
      </w:r>
      <w:r>
        <w:t xml:space="preserve"> </w:t>
      </w:r>
      <w:r w:rsidRPr="009C4CEA">
        <w:t>služby</w:t>
      </w:r>
      <w:r>
        <w:t xml:space="preserve"> </w:t>
      </w:r>
      <w:r w:rsidRPr="009C4CEA">
        <w:t>distribuční</w:t>
      </w:r>
      <w:r>
        <w:t xml:space="preserve"> </w:t>
      </w:r>
      <w:r w:rsidRPr="009C4CEA">
        <w:t>soustavy.</w:t>
      </w:r>
    </w:p>
    <w:p w14:paraId="4422573E" w14:textId="77777777" w:rsidR="00085B44" w:rsidRDefault="00085B44" w:rsidP="0010420C">
      <w:pPr>
        <w:pStyle w:val="Textparagrafu"/>
        <w:tabs>
          <w:tab w:val="left" w:pos="392"/>
          <w:tab w:val="left" w:pos="854"/>
        </w:tabs>
        <w:spacing w:before="120" w:after="120"/>
      </w:pPr>
      <w:r w:rsidRPr="009C4CEA">
        <w:t>(12)</w:t>
      </w:r>
      <w:r>
        <w:t xml:space="preserve"> </w:t>
      </w:r>
      <w:r w:rsidRPr="009C4CEA">
        <w:t>Pokud</w:t>
      </w:r>
      <w:r>
        <w:t xml:space="preserve"> </w:t>
      </w:r>
      <w:r w:rsidRPr="009C4CEA">
        <w:t>provozovatel</w:t>
      </w:r>
      <w:r>
        <w:t xml:space="preserve"> </w:t>
      </w:r>
      <w:r w:rsidRPr="009C4CEA">
        <w:t>distribuční</w:t>
      </w:r>
      <w:r>
        <w:t xml:space="preserve"> </w:t>
      </w:r>
      <w:r w:rsidRPr="009C4CEA">
        <w:t>soustavy,</w:t>
      </w:r>
      <w:r>
        <w:t xml:space="preserve"> </w:t>
      </w:r>
      <w:r w:rsidRPr="009C4CEA">
        <w:t>která</w:t>
      </w:r>
      <w:r>
        <w:t xml:space="preserve"> </w:t>
      </w:r>
      <w:r w:rsidRPr="009C4CEA">
        <w:t>není</w:t>
      </w:r>
      <w:r>
        <w:t xml:space="preserve"> </w:t>
      </w:r>
      <w:r w:rsidRPr="009C4CEA">
        <w:t>přímo</w:t>
      </w:r>
      <w:r>
        <w:t xml:space="preserve"> </w:t>
      </w:r>
      <w:r w:rsidRPr="009C4CEA">
        <w:t>připojena</w:t>
      </w:r>
      <w:r>
        <w:t xml:space="preserve"> </w:t>
      </w:r>
      <w:r w:rsidRPr="009C4CEA">
        <w:t>k</w:t>
      </w:r>
      <w:r>
        <w:t xml:space="preserve"> </w:t>
      </w:r>
      <w:r w:rsidRPr="009C4CEA">
        <w:t>přenosové</w:t>
      </w:r>
      <w:r>
        <w:t xml:space="preserve"> </w:t>
      </w:r>
      <w:r w:rsidRPr="009C4CEA">
        <w:t>soustavě,</w:t>
      </w:r>
      <w:r>
        <w:t xml:space="preserve"> </w:t>
      </w:r>
      <w:r w:rsidRPr="009C4CEA">
        <w:t>nemá</w:t>
      </w:r>
      <w:r>
        <w:t xml:space="preserve"> </w:t>
      </w:r>
      <w:r w:rsidRPr="009C4CEA">
        <w:t>schválena</w:t>
      </w:r>
      <w:r>
        <w:t xml:space="preserve"> </w:t>
      </w:r>
      <w:r w:rsidRPr="009C4CEA">
        <w:t>vlastní</w:t>
      </w:r>
      <w:r>
        <w:t xml:space="preserve"> </w:t>
      </w:r>
      <w:r w:rsidRPr="009C4CEA">
        <w:t>Pravidla</w:t>
      </w:r>
      <w:r>
        <w:t xml:space="preserve"> </w:t>
      </w:r>
      <w:r w:rsidRPr="009C4CEA">
        <w:t>provozování</w:t>
      </w:r>
      <w:r>
        <w:t xml:space="preserve"> </w:t>
      </w:r>
      <w:r w:rsidRPr="009C4CEA">
        <w:t>distribuční</w:t>
      </w:r>
      <w:r>
        <w:t xml:space="preserve"> </w:t>
      </w:r>
      <w:r w:rsidRPr="009C4CEA">
        <w:t>soustavy,</w:t>
      </w:r>
      <w:r>
        <w:t xml:space="preserve"> </w:t>
      </w:r>
      <w:r w:rsidRPr="009C4CEA">
        <w:t>použijí</w:t>
      </w:r>
      <w:r>
        <w:t xml:space="preserve"> </w:t>
      </w:r>
      <w:r w:rsidRPr="009C4CEA">
        <w:t>se</w:t>
      </w:r>
      <w:r>
        <w:t xml:space="preserve"> </w:t>
      </w:r>
      <w:r w:rsidRPr="009C4CEA">
        <w:t>Pravidla</w:t>
      </w:r>
      <w:r>
        <w:t xml:space="preserve"> </w:t>
      </w:r>
      <w:r w:rsidRPr="009C4CEA">
        <w:t>provozování</w:t>
      </w:r>
      <w:r>
        <w:t xml:space="preserve"> </w:t>
      </w:r>
      <w:r w:rsidRPr="009C4CEA">
        <w:t>distribuční</w:t>
      </w:r>
      <w:r>
        <w:t xml:space="preserve"> </w:t>
      </w:r>
      <w:r w:rsidRPr="009C4CEA">
        <w:t>soustavy</w:t>
      </w:r>
      <w:r>
        <w:t xml:space="preserve"> </w:t>
      </w:r>
      <w:r w:rsidRPr="009C4CEA">
        <w:t>provozovatele</w:t>
      </w:r>
      <w:r>
        <w:t xml:space="preserve"> </w:t>
      </w:r>
      <w:r w:rsidRPr="009C4CEA">
        <w:t>distribuční</w:t>
      </w:r>
      <w:r>
        <w:t xml:space="preserve"> </w:t>
      </w:r>
      <w:r w:rsidRPr="009C4CEA">
        <w:t>soustavy</w:t>
      </w:r>
      <w:r>
        <w:t xml:space="preserve"> </w:t>
      </w:r>
      <w:r w:rsidRPr="009C4CEA">
        <w:t>přímo</w:t>
      </w:r>
      <w:r>
        <w:t xml:space="preserve"> </w:t>
      </w:r>
      <w:r w:rsidRPr="009C4CEA">
        <w:t>připojené</w:t>
      </w:r>
      <w:r>
        <w:t xml:space="preserve"> </w:t>
      </w:r>
      <w:r w:rsidRPr="009C4CEA">
        <w:t>k</w:t>
      </w:r>
      <w:r>
        <w:t xml:space="preserve"> </w:t>
      </w:r>
      <w:r w:rsidRPr="009C4CEA">
        <w:t>přenosové</w:t>
      </w:r>
      <w:r>
        <w:t xml:space="preserve"> </w:t>
      </w:r>
      <w:r w:rsidRPr="009C4CEA">
        <w:t>soustavě,</w:t>
      </w:r>
      <w:r>
        <w:t xml:space="preserve"> </w:t>
      </w:r>
      <w:r w:rsidRPr="009C4CEA">
        <w:t>na</w:t>
      </w:r>
      <w:r>
        <w:t xml:space="preserve"> </w:t>
      </w:r>
      <w:r w:rsidRPr="009C4CEA">
        <w:t>jehož</w:t>
      </w:r>
      <w:r>
        <w:t xml:space="preserve"> </w:t>
      </w:r>
      <w:r w:rsidRPr="009C4CEA">
        <w:t>vymezeném</w:t>
      </w:r>
      <w:r>
        <w:t xml:space="preserve"> </w:t>
      </w:r>
      <w:r w:rsidRPr="009C4CEA">
        <w:t>území</w:t>
      </w:r>
      <w:r>
        <w:t xml:space="preserve"> </w:t>
      </w:r>
      <w:r w:rsidRPr="009C4CEA">
        <w:t>se</w:t>
      </w:r>
      <w:r>
        <w:t xml:space="preserve"> </w:t>
      </w:r>
      <w:r w:rsidRPr="009C4CEA">
        <w:t>nachází.</w:t>
      </w:r>
    </w:p>
    <w:p w14:paraId="7479B04D" w14:textId="77777777" w:rsidR="00085B44" w:rsidRDefault="00085B44" w:rsidP="0010420C">
      <w:pPr>
        <w:pStyle w:val="Textparagrafu"/>
        <w:tabs>
          <w:tab w:val="left" w:pos="392"/>
          <w:tab w:val="left" w:pos="854"/>
        </w:tabs>
        <w:spacing w:before="120" w:after="120"/>
      </w:pPr>
      <w:r w:rsidRPr="009C4CEA">
        <w:t>(13)</w:t>
      </w:r>
      <w:r>
        <w:t xml:space="preserve"> </w:t>
      </w:r>
      <w:r w:rsidRPr="009C4CEA">
        <w:t>Nelze-li</w:t>
      </w:r>
      <w:r>
        <w:t xml:space="preserve"> </w:t>
      </w:r>
      <w:r w:rsidRPr="009C4CEA">
        <w:t>připojit</w:t>
      </w:r>
      <w:r>
        <w:t xml:space="preserve"> </w:t>
      </w:r>
      <w:r w:rsidRPr="009C4CEA">
        <w:t>výrobnu</w:t>
      </w:r>
      <w:r>
        <w:t xml:space="preserve"> </w:t>
      </w:r>
      <w:r w:rsidRPr="009C4CEA">
        <w:t>elektřiny</w:t>
      </w:r>
      <w:r>
        <w:t xml:space="preserve"> </w:t>
      </w:r>
      <w:r w:rsidRPr="009C4CEA">
        <w:t>z</w:t>
      </w:r>
      <w:r>
        <w:t xml:space="preserve"> </w:t>
      </w:r>
      <w:r w:rsidRPr="009C4CEA">
        <w:t>důvodu</w:t>
      </w:r>
      <w:r>
        <w:t xml:space="preserve"> </w:t>
      </w:r>
      <w:r w:rsidRPr="009C4CEA">
        <w:t>podle</w:t>
      </w:r>
      <w:r>
        <w:t xml:space="preserve"> </w:t>
      </w:r>
      <w:r w:rsidRPr="009C4CEA">
        <w:t>odstavce</w:t>
      </w:r>
      <w:r>
        <w:t xml:space="preserve"> </w:t>
      </w:r>
      <w:r w:rsidRPr="009C4CEA">
        <w:t>10</w:t>
      </w:r>
      <w:r>
        <w:t xml:space="preserve"> </w:t>
      </w:r>
      <w:r w:rsidRPr="009C4CEA">
        <w:t>písm.</w:t>
      </w:r>
      <w:r>
        <w:t xml:space="preserve"> </w:t>
      </w:r>
      <w:r w:rsidRPr="009C4CEA">
        <w:t>a),</w:t>
      </w:r>
      <w:r>
        <w:t xml:space="preserve"> </w:t>
      </w:r>
      <w:r w:rsidRPr="009C4CEA">
        <w:t>umožní</w:t>
      </w:r>
      <w:r>
        <w:t xml:space="preserve"> </w:t>
      </w:r>
      <w:r w:rsidRPr="009C4CEA">
        <w:t>provozovatel</w:t>
      </w:r>
      <w:r>
        <w:t xml:space="preserve"> </w:t>
      </w:r>
      <w:r w:rsidRPr="009C4CEA">
        <w:t>distribuční</w:t>
      </w:r>
      <w:r>
        <w:t xml:space="preserve"> </w:t>
      </w:r>
      <w:r w:rsidRPr="009C4CEA">
        <w:t>soustavy</w:t>
      </w:r>
      <w:r>
        <w:t xml:space="preserve"> </w:t>
      </w:r>
      <w:r w:rsidRPr="009C4CEA">
        <w:t>připojení</w:t>
      </w:r>
      <w:r>
        <w:t xml:space="preserve"> </w:t>
      </w:r>
      <w:r w:rsidRPr="009C4CEA">
        <w:t>výrobny</w:t>
      </w:r>
      <w:r>
        <w:t xml:space="preserve"> </w:t>
      </w:r>
      <w:r w:rsidRPr="009C4CEA">
        <w:t>elektřiny</w:t>
      </w:r>
      <w:r>
        <w:t xml:space="preserve"> </w:t>
      </w:r>
      <w:r w:rsidRPr="009C4CEA">
        <w:t>s</w:t>
      </w:r>
      <w:r>
        <w:t xml:space="preserve"> </w:t>
      </w:r>
      <w:r w:rsidRPr="009C4CEA">
        <w:t>možností</w:t>
      </w:r>
      <w:r>
        <w:t xml:space="preserve"> </w:t>
      </w:r>
      <w:r w:rsidRPr="009C4CEA">
        <w:t>omezení</w:t>
      </w:r>
      <w:r>
        <w:t xml:space="preserve"> </w:t>
      </w:r>
      <w:r w:rsidRPr="009C4CEA">
        <w:t>využití</w:t>
      </w:r>
      <w:r>
        <w:t xml:space="preserve"> </w:t>
      </w:r>
      <w:r w:rsidRPr="009C4CEA">
        <w:t>rezervovaného</w:t>
      </w:r>
      <w:r>
        <w:t xml:space="preserve"> </w:t>
      </w:r>
      <w:r w:rsidRPr="009C4CEA">
        <w:t>výkonu</w:t>
      </w:r>
      <w:r>
        <w:t xml:space="preserve"> </w:t>
      </w:r>
      <w:r w:rsidRPr="009C4CEA">
        <w:t>bez</w:t>
      </w:r>
      <w:r>
        <w:t xml:space="preserve"> </w:t>
      </w:r>
      <w:r w:rsidRPr="009C4CEA">
        <w:t>náhrady</w:t>
      </w:r>
      <w:r>
        <w:t xml:space="preserve"> </w:t>
      </w:r>
      <w:r w:rsidRPr="009C4CEA">
        <w:t>za</w:t>
      </w:r>
      <w:r>
        <w:t xml:space="preserve"> </w:t>
      </w:r>
      <w:r w:rsidRPr="009C4CEA">
        <w:t>takové</w:t>
      </w:r>
      <w:r>
        <w:t xml:space="preserve"> </w:t>
      </w:r>
      <w:r w:rsidRPr="009C4CEA">
        <w:t>omezení</w:t>
      </w:r>
      <w:r>
        <w:t xml:space="preserve"> </w:t>
      </w:r>
      <w:r w:rsidRPr="009C4CEA">
        <w:t>při</w:t>
      </w:r>
      <w:r>
        <w:t xml:space="preserve"> </w:t>
      </w:r>
      <w:r w:rsidRPr="009C4CEA">
        <w:t>předcházení</w:t>
      </w:r>
      <w:r>
        <w:t xml:space="preserve"> </w:t>
      </w:r>
      <w:r w:rsidRPr="009C4CEA">
        <w:t>nebo</w:t>
      </w:r>
      <w:r>
        <w:t xml:space="preserve"> </w:t>
      </w:r>
      <w:r w:rsidRPr="009C4CEA">
        <w:t>řešení</w:t>
      </w:r>
      <w:r>
        <w:t xml:space="preserve"> </w:t>
      </w:r>
      <w:r w:rsidRPr="009C4CEA">
        <w:t>přetížení</w:t>
      </w:r>
      <w:r>
        <w:t xml:space="preserve"> </w:t>
      </w:r>
      <w:r w:rsidRPr="009C4CEA">
        <w:t>v</w:t>
      </w:r>
      <w:r>
        <w:t xml:space="preserve"> </w:t>
      </w:r>
      <w:r w:rsidRPr="009C4CEA">
        <w:t>distribuční</w:t>
      </w:r>
      <w:r>
        <w:t xml:space="preserve"> </w:t>
      </w:r>
      <w:r w:rsidRPr="009C4CEA">
        <w:t>soustavě.</w:t>
      </w:r>
    </w:p>
    <w:p w14:paraId="6994682E" w14:textId="37C25B42" w:rsidR="001F50E6" w:rsidRDefault="004262BA" w:rsidP="0010420C">
      <w:pPr>
        <w:pStyle w:val="Textparagrafu"/>
        <w:keepNext/>
        <w:keepLines/>
        <w:tabs>
          <w:tab w:val="left" w:pos="406"/>
          <w:tab w:val="left" w:pos="840"/>
          <w:tab w:val="left" w:pos="868"/>
        </w:tabs>
        <w:spacing w:after="120"/>
        <w:ind w:firstLine="0"/>
        <w:jc w:val="center"/>
      </w:pPr>
      <w:r>
        <w:t>***</w:t>
      </w:r>
    </w:p>
    <w:p w14:paraId="66C543D9" w14:textId="77777777" w:rsidR="004262BA" w:rsidRDefault="004262BA" w:rsidP="0010420C">
      <w:pPr>
        <w:pStyle w:val="Textparagrafu"/>
        <w:keepNext/>
        <w:keepLines/>
        <w:spacing w:after="120"/>
        <w:ind w:firstLine="0"/>
        <w:jc w:val="center"/>
      </w:pPr>
      <w:r w:rsidRPr="00303B55">
        <w:t>§</w:t>
      </w:r>
      <w:r>
        <w:t xml:space="preserve"> </w:t>
      </w:r>
      <w:r w:rsidRPr="00303B55">
        <w:t>57</w:t>
      </w:r>
    </w:p>
    <w:p w14:paraId="38C8C58E" w14:textId="77777777" w:rsidR="004262BA" w:rsidRPr="00303B55" w:rsidRDefault="004262BA" w:rsidP="0010420C">
      <w:pPr>
        <w:pStyle w:val="Textparagrafu"/>
        <w:keepNext/>
        <w:keepLines/>
        <w:spacing w:after="120"/>
        <w:ind w:firstLine="0"/>
        <w:jc w:val="center"/>
        <w:rPr>
          <w:b/>
        </w:rPr>
      </w:pPr>
      <w:r w:rsidRPr="00303B55">
        <w:rPr>
          <w:b/>
        </w:rPr>
        <w:t>Výrobce plynu</w:t>
      </w:r>
    </w:p>
    <w:p w14:paraId="094FBDBE" w14:textId="77777777" w:rsidR="004262BA" w:rsidRDefault="004262BA" w:rsidP="0010420C">
      <w:pPr>
        <w:pStyle w:val="Textparagrafu"/>
        <w:tabs>
          <w:tab w:val="left" w:pos="392"/>
          <w:tab w:val="left" w:pos="854"/>
        </w:tabs>
        <w:spacing w:before="120" w:after="120"/>
      </w:pPr>
      <w:r w:rsidRPr="00303B55">
        <w:t>(1)</w:t>
      </w:r>
      <w:r>
        <w:t xml:space="preserve"> </w:t>
      </w:r>
      <w:r w:rsidRPr="00303B55">
        <w:t>Výrobce</w:t>
      </w:r>
      <w:r>
        <w:t xml:space="preserve"> </w:t>
      </w:r>
      <w:r w:rsidRPr="00303B55">
        <w:t>plynu</w:t>
      </w:r>
      <w:r>
        <w:t xml:space="preserve"> </w:t>
      </w:r>
      <w:r w:rsidRPr="00303B55">
        <w:t>má</w:t>
      </w:r>
      <w:r>
        <w:t xml:space="preserve"> </w:t>
      </w:r>
      <w:r w:rsidRPr="00303B55">
        <w:t>právo</w:t>
      </w:r>
    </w:p>
    <w:p w14:paraId="532EDDBE" w14:textId="50163197" w:rsidR="004262BA" w:rsidRDefault="004262BA" w:rsidP="002E6AEA">
      <w:pPr>
        <w:pStyle w:val="Textparagrafu"/>
        <w:tabs>
          <w:tab w:val="left" w:pos="426"/>
          <w:tab w:val="left" w:pos="840"/>
        </w:tabs>
        <w:spacing w:before="0"/>
        <w:ind w:left="406" w:hanging="406"/>
      </w:pPr>
      <w:r w:rsidRPr="00303B55">
        <w:t>a)</w:t>
      </w:r>
      <w:r w:rsidR="005228FA">
        <w:tab/>
      </w:r>
      <w:r w:rsidRPr="00303B55">
        <w:t>na</w:t>
      </w:r>
      <w:r>
        <w:t xml:space="preserve"> </w:t>
      </w:r>
      <w:r w:rsidRPr="00303B55">
        <w:t>zřízení</w:t>
      </w:r>
      <w:r>
        <w:t xml:space="preserve"> </w:t>
      </w:r>
      <w:r w:rsidRPr="00303B55">
        <w:t>a</w:t>
      </w:r>
      <w:r>
        <w:t xml:space="preserve"> </w:t>
      </w:r>
      <w:r w:rsidRPr="00303B55">
        <w:t>provozování</w:t>
      </w:r>
      <w:r>
        <w:t xml:space="preserve"> </w:t>
      </w:r>
      <w:r w:rsidRPr="00303B55">
        <w:t>těžebních</w:t>
      </w:r>
      <w:r>
        <w:t xml:space="preserve"> </w:t>
      </w:r>
      <w:r w:rsidRPr="00303B55">
        <w:t>plynovodů,</w:t>
      </w:r>
      <w:r>
        <w:t xml:space="preserve"> </w:t>
      </w:r>
      <w:r w:rsidRPr="00303B55">
        <w:t>na</w:t>
      </w:r>
      <w:r>
        <w:t xml:space="preserve"> </w:t>
      </w:r>
      <w:r w:rsidRPr="00303B55">
        <w:t>připojení</w:t>
      </w:r>
      <w:r>
        <w:t xml:space="preserve"> </w:t>
      </w:r>
      <w:r w:rsidRPr="00303B55">
        <w:t>a</w:t>
      </w:r>
      <w:r>
        <w:t xml:space="preserve"> </w:t>
      </w:r>
      <w:r w:rsidRPr="00303B55">
        <w:t>přístup</w:t>
      </w:r>
      <w:r>
        <w:t xml:space="preserve"> </w:t>
      </w:r>
      <w:r w:rsidRPr="00303B55">
        <w:t>výrobny</w:t>
      </w:r>
      <w:r>
        <w:t xml:space="preserve"> </w:t>
      </w:r>
      <w:r w:rsidRPr="00303B55">
        <w:t>plynu</w:t>
      </w:r>
      <w:r>
        <w:t xml:space="preserve"> </w:t>
      </w:r>
      <w:r w:rsidRPr="00303B55">
        <w:t>nebo</w:t>
      </w:r>
      <w:r>
        <w:t xml:space="preserve"> </w:t>
      </w:r>
      <w:r w:rsidRPr="00303B55">
        <w:t>těžebního</w:t>
      </w:r>
      <w:r>
        <w:t xml:space="preserve"> </w:t>
      </w:r>
      <w:r w:rsidRPr="00303B55">
        <w:t>plynovodu</w:t>
      </w:r>
      <w:r>
        <w:t xml:space="preserve"> </w:t>
      </w:r>
      <w:r w:rsidRPr="00303B55">
        <w:t>k</w:t>
      </w:r>
      <w:r>
        <w:t xml:space="preserve"> </w:t>
      </w:r>
      <w:r w:rsidRPr="00303B55">
        <w:t>přepravní</w:t>
      </w:r>
      <w:r>
        <w:t xml:space="preserve"> </w:t>
      </w:r>
      <w:r w:rsidRPr="00303B55">
        <w:t>nebo</w:t>
      </w:r>
      <w:r>
        <w:t xml:space="preserve"> </w:t>
      </w:r>
      <w:r w:rsidRPr="00303B55">
        <w:t>distribuční</w:t>
      </w:r>
      <w:r>
        <w:t xml:space="preserve"> </w:t>
      </w:r>
      <w:r w:rsidRPr="00303B55">
        <w:t>soustavě</w:t>
      </w:r>
      <w:r>
        <w:t xml:space="preserve"> </w:t>
      </w:r>
      <w:r w:rsidRPr="00303B55">
        <w:t>nebo</w:t>
      </w:r>
      <w:r>
        <w:t xml:space="preserve"> </w:t>
      </w:r>
      <w:r w:rsidRPr="00303B55">
        <w:t>těžebnímu</w:t>
      </w:r>
      <w:r>
        <w:t xml:space="preserve"> </w:t>
      </w:r>
      <w:r w:rsidRPr="00303B55">
        <w:t>plynovodu</w:t>
      </w:r>
      <w:r>
        <w:t xml:space="preserve"> </w:t>
      </w:r>
      <w:r w:rsidRPr="00303B55">
        <w:t>jiného</w:t>
      </w:r>
      <w:r>
        <w:t xml:space="preserve"> </w:t>
      </w:r>
      <w:r w:rsidRPr="00303B55">
        <w:t>výrobce</w:t>
      </w:r>
      <w:r>
        <w:t xml:space="preserve"> </w:t>
      </w:r>
      <w:r w:rsidRPr="00303B55">
        <w:t>plynu</w:t>
      </w:r>
      <w:r>
        <w:t xml:space="preserve"> </w:t>
      </w:r>
      <w:r w:rsidRPr="00303B55">
        <w:t>nebo</w:t>
      </w:r>
      <w:r>
        <w:t xml:space="preserve"> </w:t>
      </w:r>
      <w:r w:rsidRPr="00303B55">
        <w:t>k</w:t>
      </w:r>
      <w:r>
        <w:t xml:space="preserve"> </w:t>
      </w:r>
      <w:r w:rsidRPr="00303B55">
        <w:t>zásobníku</w:t>
      </w:r>
      <w:r>
        <w:t xml:space="preserve"> </w:t>
      </w:r>
      <w:r w:rsidRPr="00303B55">
        <w:t>plynu,</w:t>
      </w:r>
    </w:p>
    <w:p w14:paraId="47FD92F2" w14:textId="7E793C3A" w:rsidR="004262BA" w:rsidRDefault="004262BA" w:rsidP="002E6AEA">
      <w:pPr>
        <w:pStyle w:val="Textparagrafu"/>
        <w:tabs>
          <w:tab w:val="left" w:pos="426"/>
          <w:tab w:val="left" w:pos="840"/>
        </w:tabs>
        <w:spacing w:before="0"/>
        <w:ind w:left="406" w:hanging="406"/>
      </w:pPr>
      <w:r w:rsidRPr="00303B55">
        <w:t>b)</w:t>
      </w:r>
      <w:r w:rsidR="005228FA">
        <w:tab/>
      </w:r>
      <w:r w:rsidRPr="00303B55">
        <w:t>prodávat</w:t>
      </w:r>
      <w:r>
        <w:t xml:space="preserve"> </w:t>
      </w:r>
      <w:r w:rsidRPr="00303B55">
        <w:t>plyn</w:t>
      </w:r>
      <w:r>
        <w:t xml:space="preserve"> </w:t>
      </w:r>
      <w:r w:rsidRPr="00303B55">
        <w:t>vyrobený</w:t>
      </w:r>
      <w:r>
        <w:t xml:space="preserve"> </w:t>
      </w:r>
      <w:r w:rsidRPr="00303B55">
        <w:t>v</w:t>
      </w:r>
      <w:r>
        <w:t xml:space="preserve"> </w:t>
      </w:r>
      <w:r w:rsidRPr="00303B55">
        <w:t>jím</w:t>
      </w:r>
      <w:r>
        <w:t xml:space="preserve"> </w:t>
      </w:r>
      <w:r w:rsidRPr="00303B55">
        <w:t>provozované</w:t>
      </w:r>
      <w:r>
        <w:t xml:space="preserve"> </w:t>
      </w:r>
      <w:r w:rsidRPr="00303B55">
        <w:t>výrobně</w:t>
      </w:r>
      <w:r>
        <w:t xml:space="preserve"> </w:t>
      </w:r>
      <w:r w:rsidRPr="00303B55">
        <w:t>plynu</w:t>
      </w:r>
      <w:r>
        <w:t xml:space="preserve"> </w:t>
      </w:r>
      <w:r w:rsidRPr="00303B55">
        <w:t>ostatním</w:t>
      </w:r>
      <w:r>
        <w:t xml:space="preserve"> </w:t>
      </w:r>
      <w:r w:rsidRPr="00303B55">
        <w:t>účastníkům</w:t>
      </w:r>
      <w:r>
        <w:t xml:space="preserve"> </w:t>
      </w:r>
      <w:r w:rsidRPr="00303B55">
        <w:t>trhu</w:t>
      </w:r>
      <w:r>
        <w:t xml:space="preserve"> </w:t>
      </w:r>
      <w:r w:rsidRPr="00303B55">
        <w:t>s</w:t>
      </w:r>
      <w:r>
        <w:t xml:space="preserve"> </w:t>
      </w:r>
      <w:r w:rsidRPr="00303B55">
        <w:t>plynem</w:t>
      </w:r>
      <w:r>
        <w:t xml:space="preserve"> </w:t>
      </w:r>
      <w:r w:rsidRPr="00303B55">
        <w:t>a</w:t>
      </w:r>
      <w:r>
        <w:t xml:space="preserve"> </w:t>
      </w:r>
      <w:r w:rsidRPr="00303B55">
        <w:t>do</w:t>
      </w:r>
      <w:r>
        <w:t xml:space="preserve"> </w:t>
      </w:r>
      <w:r w:rsidRPr="00303B55">
        <w:t>jiných</w:t>
      </w:r>
      <w:r>
        <w:t xml:space="preserve"> </w:t>
      </w:r>
      <w:r w:rsidRPr="00303B55">
        <w:t>států,</w:t>
      </w:r>
    </w:p>
    <w:p w14:paraId="65FB2E58" w14:textId="0C087D20" w:rsidR="004262BA" w:rsidRPr="00303B55" w:rsidRDefault="004262BA" w:rsidP="002E6AEA">
      <w:pPr>
        <w:pStyle w:val="Textparagrafu"/>
        <w:tabs>
          <w:tab w:val="left" w:pos="426"/>
          <w:tab w:val="left" w:pos="840"/>
        </w:tabs>
        <w:spacing w:before="0"/>
        <w:ind w:left="406" w:hanging="406"/>
      </w:pPr>
      <w:r w:rsidRPr="00303B55">
        <w:t>c)</w:t>
      </w:r>
      <w:r w:rsidR="005228FA">
        <w:tab/>
      </w:r>
      <w:r w:rsidRPr="00303B55">
        <w:t>omezit</w:t>
      </w:r>
      <w:r>
        <w:t xml:space="preserve"> </w:t>
      </w:r>
      <w:r w:rsidRPr="00303B55">
        <w:t>nebo</w:t>
      </w:r>
      <w:r>
        <w:t xml:space="preserve"> </w:t>
      </w:r>
      <w:r w:rsidRPr="00303B55">
        <w:t>přerušit</w:t>
      </w:r>
      <w:r>
        <w:t xml:space="preserve"> </w:t>
      </w:r>
      <w:r w:rsidRPr="00303B55">
        <w:t>provoz</w:t>
      </w:r>
      <w:r>
        <w:t xml:space="preserve"> </w:t>
      </w:r>
      <w:r w:rsidRPr="00303B55">
        <w:t>výrobny</w:t>
      </w:r>
      <w:r>
        <w:t xml:space="preserve"> </w:t>
      </w:r>
      <w:r w:rsidRPr="00303B55">
        <w:t>plynu</w:t>
      </w:r>
      <w:r>
        <w:t xml:space="preserve"> </w:t>
      </w:r>
      <w:r w:rsidRPr="00303B55">
        <w:t>a</w:t>
      </w:r>
      <w:r>
        <w:t xml:space="preserve"> </w:t>
      </w:r>
      <w:r w:rsidRPr="00303B55">
        <w:t>těžebních</w:t>
      </w:r>
      <w:r>
        <w:t xml:space="preserve"> </w:t>
      </w:r>
      <w:r w:rsidRPr="00303B55">
        <w:t>plynovodů</w:t>
      </w:r>
      <w:r>
        <w:t xml:space="preserve"> </w:t>
      </w:r>
      <w:r w:rsidRPr="00303B55">
        <w:t>v</w:t>
      </w:r>
      <w:r>
        <w:t xml:space="preserve"> </w:t>
      </w:r>
      <w:r w:rsidRPr="00303B55">
        <w:t>nezbytném</w:t>
      </w:r>
      <w:r>
        <w:t xml:space="preserve"> </w:t>
      </w:r>
      <w:r w:rsidRPr="00303B55">
        <w:t>rozsahu</w:t>
      </w:r>
      <w:r>
        <w:t xml:space="preserve"> </w:t>
      </w:r>
      <w:r w:rsidRPr="00303B55">
        <w:t>v</w:t>
      </w:r>
      <w:r>
        <w:t xml:space="preserve"> </w:t>
      </w:r>
      <w:r w:rsidRPr="00303B55">
        <w:t>těchto</w:t>
      </w:r>
      <w:r>
        <w:t xml:space="preserve"> </w:t>
      </w:r>
      <w:r w:rsidRPr="00303B55">
        <w:t>případech:</w:t>
      </w:r>
    </w:p>
    <w:p w14:paraId="702DDD67" w14:textId="23547AC7" w:rsidR="004262BA" w:rsidRPr="00303B55" w:rsidRDefault="004262BA" w:rsidP="0010420C">
      <w:pPr>
        <w:pStyle w:val="Textparagrafu"/>
        <w:tabs>
          <w:tab w:val="left" w:pos="392"/>
          <w:tab w:val="left" w:pos="840"/>
        </w:tabs>
        <w:spacing w:before="0"/>
        <w:ind w:left="850" w:hanging="425"/>
      </w:pPr>
      <w:r w:rsidRPr="00303B55">
        <w:t>1.</w:t>
      </w:r>
      <w:r w:rsidR="00A03F10">
        <w:tab/>
      </w:r>
      <w:r w:rsidRPr="00303B55">
        <w:t>při</w:t>
      </w:r>
      <w:r>
        <w:t xml:space="preserve"> </w:t>
      </w:r>
      <w:r w:rsidRPr="00303B55">
        <w:t>bezprostředním</w:t>
      </w:r>
      <w:r>
        <w:t xml:space="preserve"> </w:t>
      </w:r>
      <w:r w:rsidRPr="00303B55">
        <w:t>ohrožení</w:t>
      </w:r>
      <w:r>
        <w:t xml:space="preserve"> </w:t>
      </w:r>
      <w:r w:rsidRPr="00303B55">
        <w:t>života,</w:t>
      </w:r>
      <w:r>
        <w:t xml:space="preserve"> </w:t>
      </w:r>
      <w:r w:rsidRPr="00303B55">
        <w:t>zdraví</w:t>
      </w:r>
      <w:r>
        <w:t xml:space="preserve"> </w:t>
      </w:r>
      <w:r w:rsidRPr="00303B55">
        <w:t>nebo</w:t>
      </w:r>
      <w:r>
        <w:t xml:space="preserve"> </w:t>
      </w:r>
      <w:r w:rsidRPr="00303B55">
        <w:t>majetku</w:t>
      </w:r>
      <w:r>
        <w:t xml:space="preserve"> </w:t>
      </w:r>
      <w:r w:rsidRPr="00303B55">
        <w:t>osob</w:t>
      </w:r>
      <w:r>
        <w:t xml:space="preserve"> </w:t>
      </w:r>
      <w:r w:rsidRPr="00303B55">
        <w:t>a</w:t>
      </w:r>
      <w:r>
        <w:t xml:space="preserve"> </w:t>
      </w:r>
      <w:r w:rsidRPr="00303B55">
        <w:t>při</w:t>
      </w:r>
      <w:r>
        <w:t xml:space="preserve"> </w:t>
      </w:r>
      <w:r w:rsidRPr="00303B55">
        <w:t>likvidaci</w:t>
      </w:r>
      <w:r>
        <w:t xml:space="preserve"> </w:t>
      </w:r>
      <w:r w:rsidRPr="00303B55">
        <w:t>těchto</w:t>
      </w:r>
      <w:r>
        <w:t xml:space="preserve"> </w:t>
      </w:r>
      <w:r w:rsidRPr="00303B55">
        <w:t>stavů,</w:t>
      </w:r>
    </w:p>
    <w:p w14:paraId="2A93A6CA" w14:textId="6CE57989" w:rsidR="004262BA" w:rsidRPr="00303B55" w:rsidRDefault="004262BA" w:rsidP="0010420C">
      <w:pPr>
        <w:pStyle w:val="Textparagrafu"/>
        <w:tabs>
          <w:tab w:val="left" w:pos="392"/>
          <w:tab w:val="left" w:pos="840"/>
        </w:tabs>
        <w:spacing w:before="0"/>
        <w:ind w:left="850" w:hanging="425"/>
      </w:pPr>
      <w:r w:rsidRPr="00303B55">
        <w:t>2.</w:t>
      </w:r>
      <w:r w:rsidR="00A03F10">
        <w:tab/>
      </w:r>
      <w:r w:rsidRPr="00303B55">
        <w:t>při</w:t>
      </w:r>
      <w:r>
        <w:t xml:space="preserve"> </w:t>
      </w:r>
      <w:r w:rsidRPr="00303B55">
        <w:t>stavech</w:t>
      </w:r>
      <w:r>
        <w:t xml:space="preserve"> </w:t>
      </w:r>
      <w:r w:rsidRPr="00303B55">
        <w:t>nouze</w:t>
      </w:r>
      <w:r>
        <w:t xml:space="preserve"> </w:t>
      </w:r>
      <w:r w:rsidRPr="00303B55">
        <w:t>nebo</w:t>
      </w:r>
      <w:r>
        <w:t xml:space="preserve"> </w:t>
      </w:r>
      <w:r w:rsidRPr="00303B55">
        <w:t>při</w:t>
      </w:r>
      <w:r>
        <w:t xml:space="preserve"> </w:t>
      </w:r>
      <w:r w:rsidRPr="00303B55">
        <w:t>činnostech</w:t>
      </w:r>
      <w:r>
        <w:t xml:space="preserve"> </w:t>
      </w:r>
      <w:r w:rsidRPr="00303B55">
        <w:t>bezprostředně</w:t>
      </w:r>
      <w:r>
        <w:t xml:space="preserve"> </w:t>
      </w:r>
      <w:r w:rsidRPr="00303B55">
        <w:t>zamezujících</w:t>
      </w:r>
      <w:r>
        <w:t xml:space="preserve"> </w:t>
      </w:r>
      <w:r w:rsidRPr="00303B55">
        <w:t>jejich</w:t>
      </w:r>
      <w:r>
        <w:t xml:space="preserve"> </w:t>
      </w:r>
      <w:r w:rsidRPr="00303B55">
        <w:t>vzniku,</w:t>
      </w:r>
    </w:p>
    <w:p w14:paraId="7D725C49" w14:textId="1EE31120" w:rsidR="004262BA" w:rsidRPr="00303B55" w:rsidRDefault="004262BA" w:rsidP="0010420C">
      <w:pPr>
        <w:pStyle w:val="Textparagrafu"/>
        <w:tabs>
          <w:tab w:val="left" w:pos="392"/>
          <w:tab w:val="left" w:pos="840"/>
        </w:tabs>
        <w:spacing w:before="0"/>
        <w:ind w:left="850" w:hanging="425"/>
      </w:pPr>
      <w:r w:rsidRPr="00303B55">
        <w:t>3.</w:t>
      </w:r>
      <w:r w:rsidR="00A03F10">
        <w:tab/>
      </w:r>
      <w:r w:rsidRPr="00303B55">
        <w:t>při</w:t>
      </w:r>
      <w:r>
        <w:t xml:space="preserve"> </w:t>
      </w:r>
      <w:r w:rsidRPr="00303B55">
        <w:t>vzniku</w:t>
      </w:r>
      <w:r>
        <w:t xml:space="preserve"> </w:t>
      </w:r>
      <w:r w:rsidRPr="00303B55">
        <w:t>a</w:t>
      </w:r>
      <w:r>
        <w:t xml:space="preserve"> </w:t>
      </w:r>
      <w:r w:rsidRPr="00303B55">
        <w:t>odstraňování</w:t>
      </w:r>
      <w:r>
        <w:t xml:space="preserve"> </w:t>
      </w:r>
      <w:r w:rsidRPr="00303B55">
        <w:t>poruch</w:t>
      </w:r>
      <w:r>
        <w:t xml:space="preserve"> </w:t>
      </w:r>
      <w:r w:rsidRPr="00303B55">
        <w:t>na</w:t>
      </w:r>
      <w:r>
        <w:t xml:space="preserve"> </w:t>
      </w:r>
      <w:r w:rsidRPr="00303B55">
        <w:t>těžebních</w:t>
      </w:r>
      <w:r>
        <w:t xml:space="preserve"> </w:t>
      </w:r>
      <w:r w:rsidRPr="00303B55">
        <w:t>plynovodech</w:t>
      </w:r>
      <w:r>
        <w:t xml:space="preserve"> </w:t>
      </w:r>
      <w:r w:rsidRPr="00303B55">
        <w:t>nebo</w:t>
      </w:r>
      <w:r>
        <w:t xml:space="preserve"> </w:t>
      </w:r>
      <w:r w:rsidRPr="00303B55">
        <w:t>na</w:t>
      </w:r>
      <w:r>
        <w:t xml:space="preserve"> </w:t>
      </w:r>
      <w:r w:rsidRPr="00303B55">
        <w:t>zařízeních</w:t>
      </w:r>
      <w:r>
        <w:t xml:space="preserve"> </w:t>
      </w:r>
      <w:r w:rsidRPr="00303B55">
        <w:t>sloužících</w:t>
      </w:r>
      <w:r>
        <w:t xml:space="preserve"> </w:t>
      </w:r>
      <w:r w:rsidRPr="00303B55">
        <w:t>pro</w:t>
      </w:r>
      <w:r>
        <w:t xml:space="preserve"> </w:t>
      </w:r>
      <w:r w:rsidRPr="00303B55">
        <w:t>výrobu</w:t>
      </w:r>
      <w:r>
        <w:t xml:space="preserve"> </w:t>
      </w:r>
      <w:r w:rsidRPr="00303B55">
        <w:t>nebo</w:t>
      </w:r>
      <w:r>
        <w:t xml:space="preserve"> </w:t>
      </w:r>
      <w:r w:rsidRPr="00303B55">
        <w:t>těžbu</w:t>
      </w:r>
      <w:r>
        <w:t xml:space="preserve"> </w:t>
      </w:r>
      <w:r w:rsidRPr="00303B55">
        <w:t>plynu,</w:t>
      </w:r>
    </w:p>
    <w:p w14:paraId="274B529C" w14:textId="1D1B079C" w:rsidR="004262BA" w:rsidRDefault="004262BA" w:rsidP="0010420C">
      <w:pPr>
        <w:pStyle w:val="Textparagrafu"/>
        <w:tabs>
          <w:tab w:val="left" w:pos="392"/>
          <w:tab w:val="left" w:pos="840"/>
        </w:tabs>
        <w:spacing w:before="0"/>
        <w:ind w:left="850" w:hanging="425"/>
      </w:pPr>
      <w:r w:rsidRPr="00303B55">
        <w:t>4.</w:t>
      </w:r>
      <w:r w:rsidR="00A03F10">
        <w:tab/>
      </w:r>
      <w:r w:rsidRPr="00303B55">
        <w:t>při</w:t>
      </w:r>
      <w:r>
        <w:t xml:space="preserve"> </w:t>
      </w:r>
      <w:r w:rsidRPr="00303B55">
        <w:t>provádění</w:t>
      </w:r>
      <w:r>
        <w:t xml:space="preserve"> </w:t>
      </w:r>
      <w:r w:rsidRPr="00303B55">
        <w:t>plánovaných</w:t>
      </w:r>
      <w:r>
        <w:t xml:space="preserve"> </w:t>
      </w:r>
      <w:r w:rsidRPr="00303B55">
        <w:t>stavebních</w:t>
      </w:r>
      <w:r>
        <w:t xml:space="preserve"> </w:t>
      </w:r>
      <w:r w:rsidRPr="00303B55">
        <w:t>úprav</w:t>
      </w:r>
      <w:r>
        <w:t xml:space="preserve"> </w:t>
      </w:r>
      <w:r w:rsidRPr="00303B55">
        <w:t>a</w:t>
      </w:r>
      <w:r>
        <w:t xml:space="preserve"> </w:t>
      </w:r>
      <w:r w:rsidRPr="00303B55">
        <w:t>oprav</w:t>
      </w:r>
      <w:r>
        <w:t xml:space="preserve"> </w:t>
      </w:r>
      <w:r w:rsidRPr="00303B55">
        <w:t>těžebních</w:t>
      </w:r>
      <w:r>
        <w:t xml:space="preserve"> </w:t>
      </w:r>
      <w:r w:rsidRPr="00303B55">
        <w:t>plynovodů</w:t>
      </w:r>
      <w:r>
        <w:t xml:space="preserve"> </w:t>
      </w:r>
      <w:r w:rsidRPr="00303B55">
        <w:t>nebo</w:t>
      </w:r>
      <w:r>
        <w:t xml:space="preserve"> </w:t>
      </w:r>
      <w:r w:rsidRPr="00303B55">
        <w:t>zařízení,</w:t>
      </w:r>
      <w:r>
        <w:t xml:space="preserve"> </w:t>
      </w:r>
      <w:r w:rsidRPr="00303B55">
        <w:t>sloužících</w:t>
      </w:r>
      <w:r>
        <w:t xml:space="preserve"> </w:t>
      </w:r>
      <w:r w:rsidRPr="00303B55">
        <w:t>pro</w:t>
      </w:r>
      <w:r>
        <w:t xml:space="preserve"> </w:t>
      </w:r>
      <w:r w:rsidRPr="00303B55">
        <w:t>výrobu</w:t>
      </w:r>
      <w:r>
        <w:t xml:space="preserve"> </w:t>
      </w:r>
      <w:r w:rsidRPr="00303B55">
        <w:t>nebo</w:t>
      </w:r>
      <w:r>
        <w:t xml:space="preserve"> </w:t>
      </w:r>
      <w:r w:rsidRPr="00303B55">
        <w:t>těžbu</w:t>
      </w:r>
      <w:r>
        <w:t xml:space="preserve"> </w:t>
      </w:r>
      <w:r w:rsidRPr="00303B55">
        <w:t>plynu,</w:t>
      </w:r>
    </w:p>
    <w:p w14:paraId="0FACE857" w14:textId="5579BB90" w:rsidR="004262BA" w:rsidRDefault="004262BA" w:rsidP="002E6AEA">
      <w:pPr>
        <w:pStyle w:val="Textparagrafu"/>
        <w:tabs>
          <w:tab w:val="left" w:pos="426"/>
          <w:tab w:val="left" w:pos="840"/>
        </w:tabs>
        <w:spacing w:before="0"/>
        <w:ind w:left="406" w:hanging="406"/>
      </w:pPr>
      <w:r w:rsidRPr="00303B55">
        <w:t>d)</w:t>
      </w:r>
      <w:r w:rsidR="00A03F10">
        <w:tab/>
      </w:r>
      <w:r w:rsidRPr="00303B55">
        <w:t>na</w:t>
      </w:r>
      <w:r>
        <w:t xml:space="preserve"> </w:t>
      </w:r>
      <w:r w:rsidRPr="00303B55">
        <w:t>informace</w:t>
      </w:r>
      <w:r>
        <w:t xml:space="preserve"> </w:t>
      </w:r>
      <w:r w:rsidRPr="00303B55">
        <w:t>od</w:t>
      </w:r>
      <w:r>
        <w:t xml:space="preserve"> </w:t>
      </w:r>
      <w:r w:rsidRPr="00303B55">
        <w:t>ostatních</w:t>
      </w:r>
      <w:r>
        <w:t xml:space="preserve"> </w:t>
      </w:r>
      <w:r w:rsidRPr="00303B55">
        <w:t>účastníků</w:t>
      </w:r>
      <w:r>
        <w:t xml:space="preserve"> </w:t>
      </w:r>
      <w:r w:rsidRPr="00303B55">
        <w:t>trhu</w:t>
      </w:r>
      <w:r>
        <w:t xml:space="preserve"> </w:t>
      </w:r>
      <w:r w:rsidRPr="00303B55">
        <w:t>s</w:t>
      </w:r>
      <w:r>
        <w:t xml:space="preserve"> </w:t>
      </w:r>
      <w:r w:rsidRPr="00303B55">
        <w:t>plynem,</w:t>
      </w:r>
      <w:r>
        <w:t xml:space="preserve"> </w:t>
      </w:r>
      <w:r w:rsidRPr="00303B55">
        <w:t>nezbytné</w:t>
      </w:r>
      <w:r>
        <w:t xml:space="preserve"> </w:t>
      </w:r>
      <w:r w:rsidRPr="00303B55">
        <w:t>pro</w:t>
      </w:r>
      <w:r>
        <w:t xml:space="preserve"> </w:t>
      </w:r>
      <w:r w:rsidRPr="00303B55">
        <w:t>plnění</w:t>
      </w:r>
      <w:r>
        <w:t xml:space="preserve"> </w:t>
      </w:r>
      <w:r w:rsidRPr="00303B55">
        <w:t>svých</w:t>
      </w:r>
      <w:r>
        <w:t xml:space="preserve"> </w:t>
      </w:r>
      <w:r w:rsidRPr="00303B55">
        <w:t>povinností,</w:t>
      </w:r>
    </w:p>
    <w:p w14:paraId="775A17E3" w14:textId="64A68EE1" w:rsidR="004262BA" w:rsidRDefault="004262BA" w:rsidP="002E6AEA">
      <w:pPr>
        <w:pStyle w:val="Textparagrafu"/>
        <w:tabs>
          <w:tab w:val="left" w:pos="426"/>
          <w:tab w:val="left" w:pos="840"/>
        </w:tabs>
        <w:spacing w:before="0"/>
        <w:ind w:left="406" w:hanging="406"/>
      </w:pPr>
      <w:r w:rsidRPr="00303B55">
        <w:t>e)</w:t>
      </w:r>
      <w:r w:rsidR="00A03F10">
        <w:tab/>
      </w:r>
      <w:r w:rsidRPr="00303B55">
        <w:t>omezit,</w:t>
      </w:r>
      <w:r>
        <w:t xml:space="preserve"> </w:t>
      </w:r>
      <w:r w:rsidRPr="00303B55">
        <w:t>přerušit</w:t>
      </w:r>
      <w:r>
        <w:t xml:space="preserve"> </w:t>
      </w:r>
      <w:r w:rsidRPr="00303B55">
        <w:t>nebo</w:t>
      </w:r>
      <w:r>
        <w:t xml:space="preserve"> </w:t>
      </w:r>
      <w:r w:rsidRPr="00303B55">
        <w:t>ukončit</w:t>
      </w:r>
      <w:r>
        <w:t xml:space="preserve"> </w:t>
      </w:r>
      <w:r w:rsidRPr="00303B55">
        <w:t>dodávku</w:t>
      </w:r>
      <w:r>
        <w:t xml:space="preserve"> </w:t>
      </w:r>
      <w:r w:rsidRPr="00303B55">
        <w:t>plynu</w:t>
      </w:r>
      <w:r>
        <w:t xml:space="preserve"> </w:t>
      </w:r>
      <w:r w:rsidRPr="00303B55">
        <w:t>svým</w:t>
      </w:r>
      <w:r>
        <w:t xml:space="preserve"> </w:t>
      </w:r>
      <w:r w:rsidRPr="00303B55">
        <w:t>zákazníkům</w:t>
      </w:r>
      <w:r>
        <w:t xml:space="preserve"> </w:t>
      </w:r>
      <w:r w:rsidRPr="00303B55">
        <w:t>při</w:t>
      </w:r>
      <w:r>
        <w:t xml:space="preserve"> </w:t>
      </w:r>
      <w:r w:rsidRPr="00303B55">
        <w:t>neoprávněném</w:t>
      </w:r>
      <w:r>
        <w:t xml:space="preserve"> </w:t>
      </w:r>
      <w:r w:rsidRPr="00303B55">
        <w:t>odběru</w:t>
      </w:r>
      <w:r>
        <w:t xml:space="preserve"> </w:t>
      </w:r>
      <w:r w:rsidRPr="00303B55">
        <w:t>plynu,</w:t>
      </w:r>
    </w:p>
    <w:p w14:paraId="565347D7" w14:textId="4F35112C" w:rsidR="004262BA" w:rsidRDefault="004262BA" w:rsidP="002E6AEA">
      <w:pPr>
        <w:pStyle w:val="Textparagrafu"/>
        <w:tabs>
          <w:tab w:val="left" w:pos="426"/>
          <w:tab w:val="left" w:pos="840"/>
        </w:tabs>
        <w:spacing w:before="0"/>
        <w:ind w:left="406" w:hanging="406"/>
      </w:pPr>
      <w:r w:rsidRPr="00303B55">
        <w:t>f)</w:t>
      </w:r>
      <w:r w:rsidR="00A03F10">
        <w:tab/>
      </w:r>
      <w:r w:rsidRPr="00303B55">
        <w:t>vstupovat</w:t>
      </w:r>
      <w:r>
        <w:t xml:space="preserve"> </w:t>
      </w:r>
      <w:r w:rsidRPr="00303B55">
        <w:t>a</w:t>
      </w:r>
      <w:r>
        <w:t xml:space="preserve"> </w:t>
      </w:r>
      <w:r w:rsidRPr="00303B55">
        <w:t>vjíždět</w:t>
      </w:r>
      <w:r>
        <w:t xml:space="preserve"> </w:t>
      </w:r>
      <w:r w:rsidRPr="00303B55">
        <w:t>na</w:t>
      </w:r>
      <w:r>
        <w:t xml:space="preserve"> </w:t>
      </w:r>
      <w:r w:rsidRPr="00303B55">
        <w:t>cizí</w:t>
      </w:r>
      <w:r>
        <w:t xml:space="preserve"> </w:t>
      </w:r>
      <w:r w:rsidRPr="00303B55">
        <w:t>nemovitosti</w:t>
      </w:r>
      <w:r>
        <w:t xml:space="preserve"> </w:t>
      </w:r>
      <w:r w:rsidRPr="00303B55">
        <w:t>v</w:t>
      </w:r>
      <w:r>
        <w:t xml:space="preserve"> </w:t>
      </w:r>
      <w:r w:rsidRPr="00303B55">
        <w:t>souvislosti</w:t>
      </w:r>
      <w:r>
        <w:t xml:space="preserve"> </w:t>
      </w:r>
      <w:r w:rsidRPr="00303B55">
        <w:t>se</w:t>
      </w:r>
      <w:r>
        <w:t xml:space="preserve"> </w:t>
      </w:r>
      <w:r w:rsidRPr="00303B55">
        <w:t>zřizováním</w:t>
      </w:r>
      <w:r>
        <w:t xml:space="preserve"> </w:t>
      </w:r>
      <w:r w:rsidRPr="00303B55">
        <w:t>a</w:t>
      </w:r>
      <w:r>
        <w:t xml:space="preserve"> </w:t>
      </w:r>
      <w:r w:rsidRPr="00303B55">
        <w:t>provozováním</w:t>
      </w:r>
      <w:r>
        <w:t xml:space="preserve"> </w:t>
      </w:r>
      <w:r w:rsidRPr="00303B55">
        <w:t>těžebních</w:t>
      </w:r>
      <w:r>
        <w:t xml:space="preserve"> </w:t>
      </w:r>
      <w:r w:rsidRPr="00303B55">
        <w:t>plynovodů</w:t>
      </w:r>
      <w:r>
        <w:t xml:space="preserve"> </w:t>
      </w:r>
      <w:r w:rsidRPr="00303B55">
        <w:t>nebo</w:t>
      </w:r>
      <w:r>
        <w:t xml:space="preserve"> </w:t>
      </w:r>
      <w:r w:rsidRPr="00303B55">
        <w:t>výrobny</w:t>
      </w:r>
      <w:r>
        <w:t xml:space="preserve"> </w:t>
      </w:r>
      <w:r w:rsidRPr="00303B55">
        <w:t>plynu</w:t>
      </w:r>
      <w:r>
        <w:t xml:space="preserve"> </w:t>
      </w:r>
      <w:r w:rsidRPr="00303B55">
        <w:t>a</w:t>
      </w:r>
      <w:r>
        <w:t xml:space="preserve"> </w:t>
      </w:r>
      <w:r w:rsidRPr="00303B55">
        <w:t>to</w:t>
      </w:r>
      <w:r>
        <w:t xml:space="preserve"> </w:t>
      </w:r>
      <w:r w:rsidRPr="00303B55">
        <w:t>i</w:t>
      </w:r>
      <w:r>
        <w:t xml:space="preserve"> </w:t>
      </w:r>
      <w:r w:rsidRPr="00303B55">
        <w:t>v</w:t>
      </w:r>
      <w:r>
        <w:t xml:space="preserve"> </w:t>
      </w:r>
      <w:r w:rsidRPr="00303B55">
        <w:t>případě</w:t>
      </w:r>
      <w:r>
        <w:t xml:space="preserve"> </w:t>
      </w:r>
      <w:r w:rsidRPr="00303B55">
        <w:t>stavebních</w:t>
      </w:r>
      <w:r>
        <w:t xml:space="preserve"> </w:t>
      </w:r>
      <w:r w:rsidRPr="00303B55">
        <w:t>úprav</w:t>
      </w:r>
      <w:r>
        <w:t xml:space="preserve"> </w:t>
      </w:r>
      <w:r w:rsidRPr="00303B55">
        <w:t>a</w:t>
      </w:r>
      <w:r>
        <w:t xml:space="preserve"> </w:t>
      </w:r>
      <w:r w:rsidRPr="00303B55">
        <w:t>oprav,</w:t>
      </w:r>
    </w:p>
    <w:p w14:paraId="53F7DDFE" w14:textId="2F2EC861" w:rsidR="004262BA" w:rsidRDefault="004262BA" w:rsidP="002E6AEA">
      <w:pPr>
        <w:pStyle w:val="Textparagrafu"/>
        <w:tabs>
          <w:tab w:val="left" w:pos="426"/>
          <w:tab w:val="left" w:pos="840"/>
        </w:tabs>
        <w:spacing w:before="0"/>
        <w:ind w:left="406" w:hanging="406"/>
      </w:pPr>
      <w:r w:rsidRPr="00303B55">
        <w:t>g)</w:t>
      </w:r>
      <w:r w:rsidR="00A03F10">
        <w:tab/>
      </w:r>
      <w:r w:rsidRPr="00303B55">
        <w:t>odstraňovat</w:t>
      </w:r>
      <w:r>
        <w:t xml:space="preserve"> </w:t>
      </w:r>
      <w:r w:rsidRPr="00303B55">
        <w:t>a</w:t>
      </w:r>
      <w:r>
        <w:t xml:space="preserve"> </w:t>
      </w:r>
      <w:r w:rsidRPr="00303B55">
        <w:t>oklešťovat</w:t>
      </w:r>
      <w:r>
        <w:t xml:space="preserve"> </w:t>
      </w:r>
      <w:r w:rsidRPr="00303B55">
        <w:t>stromoví</w:t>
      </w:r>
      <w:r>
        <w:t xml:space="preserve"> </w:t>
      </w:r>
      <w:r w:rsidRPr="00303B55">
        <w:t>a</w:t>
      </w:r>
      <w:r>
        <w:t xml:space="preserve"> </w:t>
      </w:r>
      <w:r w:rsidRPr="00303B55">
        <w:t>jiné</w:t>
      </w:r>
      <w:r>
        <w:t xml:space="preserve"> </w:t>
      </w:r>
      <w:r w:rsidRPr="00303B55">
        <w:t>porosty,</w:t>
      </w:r>
      <w:r>
        <w:t xml:space="preserve"> </w:t>
      </w:r>
      <w:r w:rsidRPr="00303B55">
        <w:t>provádět</w:t>
      </w:r>
      <w:r>
        <w:t xml:space="preserve"> </w:t>
      </w:r>
      <w:r w:rsidRPr="00303B55">
        <w:t>likvidaci</w:t>
      </w:r>
      <w:r>
        <w:t xml:space="preserve"> </w:t>
      </w:r>
      <w:r w:rsidRPr="00303B55">
        <w:t>odstraněného</w:t>
      </w:r>
      <w:r>
        <w:t xml:space="preserve"> </w:t>
      </w:r>
      <w:r w:rsidRPr="00303B55">
        <w:t>a</w:t>
      </w:r>
      <w:r>
        <w:t xml:space="preserve"> </w:t>
      </w:r>
      <w:r w:rsidRPr="00303B55">
        <w:t>okleštěného</w:t>
      </w:r>
      <w:r>
        <w:t xml:space="preserve"> </w:t>
      </w:r>
      <w:r w:rsidRPr="00303B55">
        <w:t>stromoví</w:t>
      </w:r>
      <w:r>
        <w:t xml:space="preserve"> </w:t>
      </w:r>
      <w:r w:rsidRPr="00303B55">
        <w:t>a</w:t>
      </w:r>
      <w:r>
        <w:t xml:space="preserve"> </w:t>
      </w:r>
      <w:r w:rsidRPr="00303B55">
        <w:t>jiných</w:t>
      </w:r>
      <w:r>
        <w:t xml:space="preserve"> </w:t>
      </w:r>
      <w:r w:rsidRPr="00303B55">
        <w:t>porostů</w:t>
      </w:r>
      <w:r>
        <w:t xml:space="preserve"> </w:t>
      </w:r>
      <w:r w:rsidRPr="00303B55">
        <w:t>ohrožujících</w:t>
      </w:r>
      <w:r>
        <w:t xml:space="preserve"> </w:t>
      </w:r>
      <w:r w:rsidRPr="00303B55">
        <w:t>bezpečný</w:t>
      </w:r>
      <w:r>
        <w:t xml:space="preserve"> </w:t>
      </w:r>
      <w:r w:rsidRPr="00303B55">
        <w:t>a</w:t>
      </w:r>
      <w:r>
        <w:t xml:space="preserve"> </w:t>
      </w:r>
      <w:r w:rsidRPr="00303B55">
        <w:t>spolehlivý</w:t>
      </w:r>
      <w:r>
        <w:t xml:space="preserve"> </w:t>
      </w:r>
      <w:r w:rsidRPr="00303B55">
        <w:t>provoz</w:t>
      </w:r>
      <w:r>
        <w:t xml:space="preserve"> </w:t>
      </w:r>
      <w:r w:rsidRPr="00303B55">
        <w:t>těžebních</w:t>
      </w:r>
      <w:r>
        <w:t xml:space="preserve"> </w:t>
      </w:r>
      <w:r w:rsidRPr="00303B55">
        <w:t>plynovodů</w:t>
      </w:r>
      <w:r>
        <w:t xml:space="preserve"> </w:t>
      </w:r>
      <w:r w:rsidRPr="00303B55">
        <w:t>nebo</w:t>
      </w:r>
      <w:r>
        <w:t xml:space="preserve"> </w:t>
      </w:r>
      <w:r w:rsidRPr="00303B55">
        <w:t>výrobny</w:t>
      </w:r>
      <w:r>
        <w:t xml:space="preserve"> </w:t>
      </w:r>
      <w:r w:rsidRPr="00303B55">
        <w:t>plynu</w:t>
      </w:r>
      <w:r>
        <w:t xml:space="preserve"> </w:t>
      </w:r>
      <w:r w:rsidRPr="00303B55">
        <w:t>v</w:t>
      </w:r>
      <w:r>
        <w:t xml:space="preserve"> </w:t>
      </w:r>
      <w:r w:rsidRPr="00303B55">
        <w:t>případech,</w:t>
      </w:r>
      <w:r>
        <w:t xml:space="preserve"> </w:t>
      </w:r>
      <w:r w:rsidRPr="00303B55">
        <w:t>kdy</w:t>
      </w:r>
      <w:r>
        <w:t xml:space="preserve"> </w:t>
      </w:r>
      <w:r w:rsidRPr="00303B55">
        <w:t>tak</w:t>
      </w:r>
      <w:r>
        <w:t xml:space="preserve"> </w:t>
      </w:r>
      <w:r w:rsidRPr="00303B55">
        <w:t>po</w:t>
      </w:r>
      <w:r>
        <w:t xml:space="preserve"> </w:t>
      </w:r>
      <w:r w:rsidRPr="00303B55">
        <w:t>předchozím</w:t>
      </w:r>
      <w:r>
        <w:t xml:space="preserve"> </w:t>
      </w:r>
      <w:r w:rsidRPr="00303B55">
        <w:t>upozornění</w:t>
      </w:r>
      <w:r>
        <w:t xml:space="preserve"> </w:t>
      </w:r>
      <w:r w:rsidRPr="00303B55">
        <w:t>a</w:t>
      </w:r>
      <w:r>
        <w:t xml:space="preserve"> </w:t>
      </w:r>
      <w:r w:rsidRPr="00303B55">
        <w:t>stanovení</w:t>
      </w:r>
      <w:r>
        <w:t xml:space="preserve"> </w:t>
      </w:r>
      <w:r w:rsidRPr="00303B55">
        <w:t>rozsahu</w:t>
      </w:r>
      <w:r>
        <w:t xml:space="preserve"> </w:t>
      </w:r>
      <w:r w:rsidRPr="00303B55">
        <w:t>neučinil</w:t>
      </w:r>
      <w:r>
        <w:t xml:space="preserve"> </w:t>
      </w:r>
      <w:r w:rsidRPr="00303B55">
        <w:t>sám</w:t>
      </w:r>
      <w:r>
        <w:t xml:space="preserve"> </w:t>
      </w:r>
      <w:r w:rsidRPr="00303B55">
        <w:t>vlastník</w:t>
      </w:r>
      <w:r>
        <w:t xml:space="preserve"> </w:t>
      </w:r>
      <w:r w:rsidRPr="00303B55">
        <w:t>či</w:t>
      </w:r>
      <w:r>
        <w:t xml:space="preserve"> </w:t>
      </w:r>
      <w:r w:rsidRPr="00303B55">
        <w:t>uživatel,</w:t>
      </w:r>
    </w:p>
    <w:p w14:paraId="670C3FC6" w14:textId="04F0AEDE" w:rsidR="004262BA" w:rsidRDefault="004262BA" w:rsidP="002E6AEA">
      <w:pPr>
        <w:pStyle w:val="Textparagrafu"/>
        <w:tabs>
          <w:tab w:val="left" w:pos="426"/>
          <w:tab w:val="left" w:pos="840"/>
        </w:tabs>
        <w:spacing w:before="0"/>
        <w:ind w:left="406" w:hanging="406"/>
      </w:pPr>
      <w:r w:rsidRPr="00303B55">
        <w:t>h)</w:t>
      </w:r>
      <w:r w:rsidR="00A03F10">
        <w:tab/>
      </w:r>
      <w:r w:rsidRPr="00303B55">
        <w:t>v</w:t>
      </w:r>
      <w:r>
        <w:t xml:space="preserve"> </w:t>
      </w:r>
      <w:r w:rsidRPr="00303B55">
        <w:t>souladu</w:t>
      </w:r>
      <w:r>
        <w:t xml:space="preserve"> </w:t>
      </w:r>
      <w:r w:rsidRPr="00303B55">
        <w:t>se</w:t>
      </w:r>
      <w:r>
        <w:t xml:space="preserve"> </w:t>
      </w:r>
      <w:r w:rsidRPr="00303B55">
        <w:t>zvláštním</w:t>
      </w:r>
      <w:r>
        <w:t xml:space="preserve"> </w:t>
      </w:r>
      <w:r w:rsidRPr="00303B55">
        <w:t>právním</w:t>
      </w:r>
      <w:r>
        <w:t xml:space="preserve"> </w:t>
      </w:r>
      <w:r w:rsidRPr="00303B55">
        <w:t>předpisem</w:t>
      </w:r>
      <w:r w:rsidRPr="00A03F10">
        <w:rPr>
          <w:vertAlign w:val="superscript"/>
        </w:rPr>
        <w:t>4d)</w:t>
      </w:r>
      <w:r>
        <w:t xml:space="preserve"> </w:t>
      </w:r>
      <w:r w:rsidRPr="00303B55">
        <w:t>zřizovat</w:t>
      </w:r>
      <w:r>
        <w:t xml:space="preserve"> </w:t>
      </w:r>
      <w:r w:rsidRPr="00303B55">
        <w:t>a</w:t>
      </w:r>
      <w:r>
        <w:t xml:space="preserve"> </w:t>
      </w:r>
      <w:r w:rsidRPr="00303B55">
        <w:t>provozovat</w:t>
      </w:r>
      <w:r>
        <w:t xml:space="preserve"> </w:t>
      </w:r>
      <w:r w:rsidRPr="00303B55">
        <w:t>na</w:t>
      </w:r>
      <w:r>
        <w:t xml:space="preserve"> </w:t>
      </w:r>
      <w:r w:rsidRPr="00303B55">
        <w:t>cizích</w:t>
      </w:r>
      <w:r>
        <w:t xml:space="preserve"> </w:t>
      </w:r>
      <w:r w:rsidRPr="00303B55">
        <w:t>nemovitostech</w:t>
      </w:r>
      <w:r>
        <w:t xml:space="preserve"> </w:t>
      </w:r>
      <w:r w:rsidRPr="00303B55">
        <w:t>těžební</w:t>
      </w:r>
      <w:r>
        <w:t xml:space="preserve"> </w:t>
      </w:r>
      <w:r w:rsidRPr="00303B55">
        <w:t>plynovody</w:t>
      </w:r>
      <w:r>
        <w:t xml:space="preserve"> </w:t>
      </w:r>
      <w:r w:rsidRPr="00303B55">
        <w:t>nebo</w:t>
      </w:r>
      <w:r>
        <w:t xml:space="preserve"> </w:t>
      </w:r>
      <w:r w:rsidRPr="00303B55">
        <w:t>výrobny</w:t>
      </w:r>
      <w:r>
        <w:t xml:space="preserve"> </w:t>
      </w:r>
      <w:r w:rsidRPr="00303B55">
        <w:t>plynu,</w:t>
      </w:r>
    </w:p>
    <w:p w14:paraId="5BF77B59" w14:textId="6C0CEFF3" w:rsidR="004262BA" w:rsidRDefault="004262BA" w:rsidP="002E6AEA">
      <w:pPr>
        <w:pStyle w:val="Textparagrafu"/>
        <w:tabs>
          <w:tab w:val="left" w:pos="426"/>
          <w:tab w:val="left" w:pos="840"/>
        </w:tabs>
        <w:spacing w:before="0"/>
        <w:ind w:left="406" w:hanging="406"/>
      </w:pPr>
      <w:r w:rsidRPr="00303B55">
        <w:lastRenderedPageBreak/>
        <w:t>i)</w:t>
      </w:r>
      <w:r w:rsidR="00A03F10">
        <w:tab/>
      </w:r>
      <w:r w:rsidRPr="00303B55">
        <w:t>zřizovat</w:t>
      </w:r>
      <w:r>
        <w:t xml:space="preserve"> </w:t>
      </w:r>
      <w:r w:rsidRPr="00303B55">
        <w:t>a</w:t>
      </w:r>
      <w:r>
        <w:t xml:space="preserve"> </w:t>
      </w:r>
      <w:r w:rsidRPr="00303B55">
        <w:t>provozovat</w:t>
      </w:r>
      <w:r>
        <w:t xml:space="preserve"> </w:t>
      </w:r>
      <w:r w:rsidRPr="00303B55">
        <w:t>zařízení</w:t>
      </w:r>
      <w:r>
        <w:t xml:space="preserve"> </w:t>
      </w:r>
      <w:r w:rsidRPr="00303B55">
        <w:t>na</w:t>
      </w:r>
      <w:r>
        <w:t xml:space="preserve"> </w:t>
      </w:r>
      <w:r w:rsidRPr="00303B55">
        <w:t>úpravu</w:t>
      </w:r>
      <w:r>
        <w:t xml:space="preserve"> </w:t>
      </w:r>
      <w:r w:rsidRPr="00303B55">
        <w:t>složení</w:t>
      </w:r>
      <w:r>
        <w:t xml:space="preserve"> </w:t>
      </w:r>
      <w:r w:rsidRPr="00303B55">
        <w:t>plynů.</w:t>
      </w:r>
    </w:p>
    <w:p w14:paraId="4043FF2A" w14:textId="583CDC2C" w:rsidR="004262BA" w:rsidRDefault="004262BA" w:rsidP="0010420C">
      <w:pPr>
        <w:pStyle w:val="Textparagrafu"/>
        <w:spacing w:before="120" w:after="120"/>
      </w:pPr>
      <w:r w:rsidRPr="00303B55">
        <w:t>(2)</w:t>
      </w:r>
      <w:r>
        <w:t xml:space="preserve"> </w:t>
      </w:r>
      <w:r w:rsidRPr="00303B55">
        <w:t>Výrobce</w:t>
      </w:r>
      <w:r>
        <w:t xml:space="preserve"> </w:t>
      </w:r>
      <w:r w:rsidRPr="00303B55">
        <w:t>plynu</w:t>
      </w:r>
      <w:r>
        <w:t xml:space="preserve"> </w:t>
      </w:r>
      <w:r w:rsidRPr="00303B55">
        <w:t>je</w:t>
      </w:r>
      <w:r>
        <w:t xml:space="preserve"> </w:t>
      </w:r>
      <w:r w:rsidRPr="00303B55">
        <w:t>povinen</w:t>
      </w:r>
      <w:r>
        <w:t xml:space="preserve"> </w:t>
      </w:r>
      <w:r w:rsidRPr="00303B55">
        <w:t>zřídit</w:t>
      </w:r>
      <w:r>
        <w:t xml:space="preserve"> </w:t>
      </w:r>
      <w:r w:rsidRPr="00303B55">
        <w:t>věcné</w:t>
      </w:r>
      <w:r>
        <w:t xml:space="preserve"> </w:t>
      </w:r>
      <w:r w:rsidRPr="00303B55">
        <w:t>břemeno</w:t>
      </w:r>
      <w:r>
        <w:t xml:space="preserve"> </w:t>
      </w:r>
      <w:r w:rsidRPr="00303B55">
        <w:t>umožňující</w:t>
      </w:r>
      <w:r>
        <w:t xml:space="preserve"> </w:t>
      </w:r>
      <w:r w:rsidRPr="00303B55">
        <w:t>využití</w:t>
      </w:r>
      <w:r>
        <w:t xml:space="preserve"> </w:t>
      </w:r>
      <w:r w:rsidRPr="00303B55">
        <w:t>cizí</w:t>
      </w:r>
      <w:r>
        <w:t xml:space="preserve"> </w:t>
      </w:r>
      <w:r w:rsidRPr="00303B55">
        <w:t>nemovitosti</w:t>
      </w:r>
      <w:r>
        <w:t xml:space="preserve"> </w:t>
      </w:r>
      <w:r w:rsidRPr="00303B55">
        <w:t>nebo</w:t>
      </w:r>
      <w:r>
        <w:t xml:space="preserve"> </w:t>
      </w:r>
      <w:r w:rsidRPr="00303B55">
        <w:t>její</w:t>
      </w:r>
      <w:r>
        <w:t xml:space="preserve"> </w:t>
      </w:r>
      <w:r w:rsidRPr="00303B55">
        <w:t>části</w:t>
      </w:r>
      <w:r>
        <w:t xml:space="preserve"> </w:t>
      </w:r>
      <w:r w:rsidRPr="00303B55">
        <w:t>pro</w:t>
      </w:r>
      <w:r>
        <w:t xml:space="preserve"> </w:t>
      </w:r>
      <w:r w:rsidRPr="00303B55">
        <w:t>účely</w:t>
      </w:r>
      <w:r>
        <w:t xml:space="preserve"> </w:t>
      </w:r>
      <w:r w:rsidRPr="00303B55">
        <w:t>uvedené</w:t>
      </w:r>
      <w:r>
        <w:t xml:space="preserve"> </w:t>
      </w:r>
      <w:r w:rsidRPr="00303B55">
        <w:t>v</w:t>
      </w:r>
      <w:r>
        <w:t xml:space="preserve"> </w:t>
      </w:r>
      <w:r w:rsidRPr="00303B55">
        <w:t>odstavci</w:t>
      </w:r>
      <w:r>
        <w:t xml:space="preserve"> </w:t>
      </w:r>
      <w:r w:rsidRPr="00303B55">
        <w:t>1</w:t>
      </w:r>
      <w:r>
        <w:t xml:space="preserve"> </w:t>
      </w:r>
      <w:r w:rsidRPr="00303B55">
        <w:t>písm.</w:t>
      </w:r>
      <w:r>
        <w:t xml:space="preserve"> </w:t>
      </w:r>
      <w:r w:rsidRPr="00303B55">
        <w:t>h),</w:t>
      </w:r>
      <w:r>
        <w:t xml:space="preserve"> </w:t>
      </w:r>
      <w:r w:rsidRPr="00303B55">
        <w:t>a</w:t>
      </w:r>
      <w:r>
        <w:t xml:space="preserve"> </w:t>
      </w:r>
      <w:r w:rsidRPr="00303B55">
        <w:t>to</w:t>
      </w:r>
      <w:r>
        <w:t xml:space="preserve"> </w:t>
      </w:r>
      <w:r w:rsidRPr="00303B55">
        <w:t>smluvně</w:t>
      </w:r>
      <w:r>
        <w:t xml:space="preserve"> </w:t>
      </w:r>
      <w:r w:rsidRPr="00303B55">
        <w:t>s</w:t>
      </w:r>
      <w:r>
        <w:t xml:space="preserve"> </w:t>
      </w:r>
      <w:r w:rsidRPr="00303B55">
        <w:t>vlastníkem</w:t>
      </w:r>
      <w:r>
        <w:t xml:space="preserve"> </w:t>
      </w:r>
      <w:r w:rsidRPr="00303B55">
        <w:t>nemovitosti</w:t>
      </w:r>
      <w:r>
        <w:t xml:space="preserve"> </w:t>
      </w:r>
      <w:r w:rsidRPr="00303B55">
        <w:t>za</w:t>
      </w:r>
      <w:r>
        <w:t xml:space="preserve"> </w:t>
      </w:r>
      <w:r w:rsidRPr="00303B55">
        <w:t>jednorázovou</w:t>
      </w:r>
      <w:r>
        <w:t xml:space="preserve"> </w:t>
      </w:r>
      <w:r w:rsidRPr="00303B55">
        <w:t>náhradu</w:t>
      </w:r>
      <w:r>
        <w:t xml:space="preserve"> </w:t>
      </w:r>
      <w:r w:rsidRPr="00303B55">
        <w:t>ve</w:t>
      </w:r>
      <w:r>
        <w:t xml:space="preserve"> </w:t>
      </w:r>
      <w:r w:rsidRPr="00303B55">
        <w:t>výši</w:t>
      </w:r>
      <w:r>
        <w:t xml:space="preserve"> </w:t>
      </w:r>
      <w:r w:rsidRPr="00BF3686">
        <w:rPr>
          <w:strike/>
        </w:rPr>
        <w:t xml:space="preserve">ceny zjištěné podle oceňovacího předpisu </w:t>
      </w:r>
      <w:r w:rsidRPr="00BF3686">
        <w:rPr>
          <w:strike/>
          <w:vertAlign w:val="superscript"/>
        </w:rPr>
        <w:t>47)</w:t>
      </w:r>
      <w:r>
        <w:t xml:space="preserve"> </w:t>
      </w:r>
      <w:r w:rsidR="00BF3686" w:rsidRPr="00533343">
        <w:rPr>
          <w:b/>
          <w:bCs/>
        </w:rPr>
        <w:t>zjištěné hodnoty podle zákona o oceňování</w:t>
      </w:r>
      <w:r w:rsidRPr="00303B55">
        <w:t>,</w:t>
      </w:r>
      <w:r>
        <w:t xml:space="preserve"> </w:t>
      </w:r>
      <w:r w:rsidRPr="00303B55">
        <w:t>pokud</w:t>
      </w:r>
      <w:r>
        <w:t xml:space="preserve"> </w:t>
      </w:r>
      <w:r w:rsidRPr="00303B55">
        <w:t>se</w:t>
      </w:r>
      <w:r>
        <w:t xml:space="preserve"> </w:t>
      </w:r>
      <w:r w:rsidRPr="00303B55">
        <w:t>strany</w:t>
      </w:r>
      <w:r>
        <w:t xml:space="preserve"> </w:t>
      </w:r>
      <w:r w:rsidRPr="00303B55">
        <w:t>nedohodnou</w:t>
      </w:r>
      <w:r>
        <w:t xml:space="preserve"> </w:t>
      </w:r>
      <w:r w:rsidRPr="00303B55">
        <w:t>jinak;</w:t>
      </w:r>
      <w:r>
        <w:t xml:space="preserve"> </w:t>
      </w:r>
      <w:r w:rsidRPr="00303B55">
        <w:t>v</w:t>
      </w:r>
      <w:r>
        <w:t xml:space="preserve"> </w:t>
      </w:r>
      <w:r w:rsidRPr="00303B55">
        <w:t>případě,</w:t>
      </w:r>
      <w:r>
        <w:t xml:space="preserve"> </w:t>
      </w:r>
      <w:r w:rsidRPr="00303B55">
        <w:t>že</w:t>
      </w:r>
      <w:r>
        <w:t xml:space="preserve"> </w:t>
      </w:r>
      <w:r w:rsidRPr="00303B55">
        <w:t>vlastník</w:t>
      </w:r>
      <w:r>
        <w:t xml:space="preserve"> </w:t>
      </w:r>
      <w:r w:rsidRPr="00303B55">
        <w:t>není</w:t>
      </w:r>
      <w:r>
        <w:t xml:space="preserve"> </w:t>
      </w:r>
      <w:r w:rsidRPr="00303B55">
        <w:t>znám</w:t>
      </w:r>
      <w:r>
        <w:t xml:space="preserve"> </w:t>
      </w:r>
      <w:r w:rsidRPr="00303B55">
        <w:t>nebo</w:t>
      </w:r>
      <w:r>
        <w:t xml:space="preserve"> </w:t>
      </w:r>
      <w:r w:rsidRPr="00303B55">
        <w:t>není</w:t>
      </w:r>
      <w:r>
        <w:t xml:space="preserve"> </w:t>
      </w:r>
      <w:r w:rsidRPr="00303B55">
        <w:t>určen</w:t>
      </w:r>
      <w:r>
        <w:t xml:space="preserve"> </w:t>
      </w:r>
      <w:r w:rsidRPr="00303B55">
        <w:t>nebo</w:t>
      </w:r>
      <w:r>
        <w:t xml:space="preserve"> </w:t>
      </w:r>
      <w:r w:rsidRPr="00303B55">
        <w:t>proto,</w:t>
      </w:r>
      <w:r>
        <w:t xml:space="preserve"> </w:t>
      </w:r>
      <w:r w:rsidRPr="00303B55">
        <w:t>že</w:t>
      </w:r>
      <w:r>
        <w:t xml:space="preserve"> </w:t>
      </w:r>
      <w:r w:rsidRPr="00303B55">
        <w:t>je</w:t>
      </w:r>
      <w:r>
        <w:t xml:space="preserve"> </w:t>
      </w:r>
      <w:r w:rsidRPr="00303B55">
        <w:t>prokazatelně</w:t>
      </w:r>
      <w:r>
        <w:t xml:space="preserve"> </w:t>
      </w:r>
      <w:r w:rsidRPr="00303B55">
        <w:t>nedosažitelný</w:t>
      </w:r>
      <w:r>
        <w:t xml:space="preserve"> </w:t>
      </w:r>
      <w:r w:rsidRPr="00303B55">
        <w:t>nebo</w:t>
      </w:r>
      <w:r>
        <w:t xml:space="preserve"> </w:t>
      </w:r>
      <w:r w:rsidRPr="00303B55">
        <w:t>nečinný</w:t>
      </w:r>
      <w:r>
        <w:t xml:space="preserve"> </w:t>
      </w:r>
      <w:r w:rsidRPr="00303B55">
        <w:t>nebo</w:t>
      </w:r>
      <w:r>
        <w:t xml:space="preserve"> </w:t>
      </w:r>
      <w:r w:rsidRPr="00303B55">
        <w:t>nedošlo</w:t>
      </w:r>
      <w:r>
        <w:t xml:space="preserve"> </w:t>
      </w:r>
      <w:r w:rsidRPr="00303B55">
        <w:t>k</w:t>
      </w:r>
      <w:r>
        <w:t xml:space="preserve"> </w:t>
      </w:r>
      <w:r w:rsidRPr="00303B55">
        <w:t>dohodě</w:t>
      </w:r>
      <w:r>
        <w:t xml:space="preserve"> </w:t>
      </w:r>
      <w:r w:rsidRPr="00303B55">
        <w:t>s</w:t>
      </w:r>
      <w:r>
        <w:t xml:space="preserve"> </w:t>
      </w:r>
      <w:r w:rsidRPr="00303B55">
        <w:t>ním,</w:t>
      </w:r>
      <w:r>
        <w:t xml:space="preserve"> </w:t>
      </w:r>
      <w:r w:rsidRPr="00303B55">
        <w:t>příslušný</w:t>
      </w:r>
      <w:r>
        <w:t xml:space="preserve"> </w:t>
      </w:r>
      <w:r w:rsidRPr="00303B55">
        <w:t>vyvlastňovací</w:t>
      </w:r>
      <w:r>
        <w:t xml:space="preserve"> </w:t>
      </w:r>
      <w:r w:rsidRPr="00303B55">
        <w:t>úřad</w:t>
      </w:r>
      <w:r>
        <w:t xml:space="preserve"> </w:t>
      </w:r>
      <w:r w:rsidRPr="00303B55">
        <w:t>rozhodne</w:t>
      </w:r>
      <w:r>
        <w:t xml:space="preserve"> </w:t>
      </w:r>
      <w:r w:rsidRPr="00303B55">
        <w:t>na</w:t>
      </w:r>
      <w:r>
        <w:t xml:space="preserve"> </w:t>
      </w:r>
      <w:r w:rsidRPr="00303B55">
        <w:t>návrh</w:t>
      </w:r>
      <w:r>
        <w:t xml:space="preserve"> </w:t>
      </w:r>
      <w:r w:rsidRPr="00303B55">
        <w:t>výrobce</w:t>
      </w:r>
      <w:r>
        <w:t xml:space="preserve"> </w:t>
      </w:r>
      <w:r w:rsidRPr="00303B55">
        <w:t>plynu</w:t>
      </w:r>
      <w:r>
        <w:t xml:space="preserve"> </w:t>
      </w:r>
      <w:r w:rsidRPr="00303B55">
        <w:t>o</w:t>
      </w:r>
      <w:r>
        <w:t xml:space="preserve"> </w:t>
      </w:r>
      <w:r w:rsidRPr="00303B55">
        <w:t>zřízení</w:t>
      </w:r>
      <w:r>
        <w:t xml:space="preserve"> </w:t>
      </w:r>
      <w:r w:rsidRPr="00303B55">
        <w:t>věcného</w:t>
      </w:r>
      <w:r>
        <w:t xml:space="preserve"> </w:t>
      </w:r>
      <w:r w:rsidRPr="00303B55">
        <w:t>břemene</w:t>
      </w:r>
      <w:r>
        <w:t xml:space="preserve"> </w:t>
      </w:r>
      <w:r w:rsidRPr="00303B55">
        <w:t>umožňujícího</w:t>
      </w:r>
      <w:r>
        <w:t xml:space="preserve"> </w:t>
      </w:r>
      <w:r w:rsidRPr="00303B55">
        <w:t>využití</w:t>
      </w:r>
      <w:r>
        <w:t xml:space="preserve"> </w:t>
      </w:r>
      <w:r w:rsidRPr="00303B55">
        <w:t>této</w:t>
      </w:r>
      <w:r>
        <w:t xml:space="preserve"> </w:t>
      </w:r>
      <w:r w:rsidRPr="00303B55">
        <w:t>nemovitosti</w:t>
      </w:r>
      <w:r>
        <w:t xml:space="preserve"> </w:t>
      </w:r>
      <w:r w:rsidRPr="00303B55">
        <w:t>nebo</w:t>
      </w:r>
      <w:r>
        <w:t xml:space="preserve"> </w:t>
      </w:r>
      <w:r w:rsidRPr="00303B55">
        <w:t>její</w:t>
      </w:r>
      <w:r>
        <w:t xml:space="preserve"> </w:t>
      </w:r>
      <w:r w:rsidRPr="00303B55">
        <w:t>části.</w:t>
      </w:r>
      <w:r>
        <w:t xml:space="preserve"> </w:t>
      </w:r>
      <w:r w:rsidRPr="00303B55">
        <w:t>To</w:t>
      </w:r>
      <w:r>
        <w:t xml:space="preserve"> </w:t>
      </w:r>
      <w:r w:rsidRPr="00303B55">
        <w:t>platí</w:t>
      </w:r>
      <w:r>
        <w:t xml:space="preserve"> </w:t>
      </w:r>
      <w:r w:rsidRPr="00303B55">
        <w:t>i</w:t>
      </w:r>
      <w:r>
        <w:t xml:space="preserve"> </w:t>
      </w:r>
      <w:r w:rsidRPr="00303B55">
        <w:t>v</w:t>
      </w:r>
      <w:r>
        <w:t xml:space="preserve"> </w:t>
      </w:r>
      <w:r w:rsidRPr="00303B55">
        <w:t>případě,</w:t>
      </w:r>
      <w:r>
        <w:t xml:space="preserve"> </w:t>
      </w:r>
      <w:r w:rsidRPr="00303B55">
        <w:t>kdy</w:t>
      </w:r>
      <w:r>
        <w:t xml:space="preserve"> </w:t>
      </w:r>
      <w:r w:rsidRPr="00303B55">
        <w:t>je</w:t>
      </w:r>
      <w:r>
        <w:t xml:space="preserve"> </w:t>
      </w:r>
      <w:r w:rsidRPr="00303B55">
        <w:t>stavba,</w:t>
      </w:r>
      <w:r>
        <w:t xml:space="preserve"> </w:t>
      </w:r>
      <w:r w:rsidRPr="00303B55">
        <w:t>pro</w:t>
      </w:r>
      <w:r>
        <w:t xml:space="preserve"> </w:t>
      </w:r>
      <w:r w:rsidRPr="00303B55">
        <w:t>kterou</w:t>
      </w:r>
      <w:r>
        <w:t xml:space="preserve"> </w:t>
      </w:r>
      <w:r w:rsidRPr="00303B55">
        <w:t>se</w:t>
      </w:r>
      <w:r>
        <w:t xml:space="preserve"> </w:t>
      </w:r>
      <w:r w:rsidRPr="00303B55">
        <w:t>právo</w:t>
      </w:r>
      <w:r>
        <w:t xml:space="preserve"> </w:t>
      </w:r>
      <w:r w:rsidRPr="00303B55">
        <w:t>vyvlastňuje,</w:t>
      </w:r>
      <w:r>
        <w:t xml:space="preserve"> </w:t>
      </w:r>
      <w:r w:rsidRPr="00303B55">
        <w:t>zřizována</w:t>
      </w:r>
      <w:r>
        <w:t xml:space="preserve"> </w:t>
      </w:r>
      <w:r w:rsidRPr="00303B55">
        <w:t>nebo</w:t>
      </w:r>
      <w:r>
        <w:t xml:space="preserve"> </w:t>
      </w:r>
      <w:r w:rsidRPr="00303B55">
        <w:t>již</w:t>
      </w:r>
      <w:r>
        <w:t xml:space="preserve"> </w:t>
      </w:r>
      <w:r w:rsidRPr="00303B55">
        <w:t>byla</w:t>
      </w:r>
      <w:r>
        <w:t xml:space="preserve"> </w:t>
      </w:r>
      <w:r w:rsidRPr="00303B55">
        <w:t>zřízena</w:t>
      </w:r>
      <w:r>
        <w:t xml:space="preserve"> </w:t>
      </w:r>
      <w:r w:rsidRPr="00303B55">
        <w:t>a</w:t>
      </w:r>
      <w:r>
        <w:t xml:space="preserve"> </w:t>
      </w:r>
      <w:r w:rsidRPr="00303B55">
        <w:t>zřízení</w:t>
      </w:r>
      <w:r>
        <w:t xml:space="preserve"> </w:t>
      </w:r>
      <w:r w:rsidRPr="00303B55">
        <w:t>věcného</w:t>
      </w:r>
      <w:r>
        <w:t xml:space="preserve"> </w:t>
      </w:r>
      <w:r w:rsidRPr="00303B55">
        <w:t>břemene</w:t>
      </w:r>
      <w:r>
        <w:t xml:space="preserve"> </w:t>
      </w:r>
      <w:r w:rsidRPr="00303B55">
        <w:t>nezmařil</w:t>
      </w:r>
      <w:r>
        <w:t xml:space="preserve"> </w:t>
      </w:r>
      <w:r w:rsidRPr="00303B55">
        <w:t>výrobce</w:t>
      </w:r>
      <w:r>
        <w:t xml:space="preserve"> </w:t>
      </w:r>
      <w:r w:rsidRPr="00303B55">
        <w:t>plynu.</w:t>
      </w:r>
    </w:p>
    <w:p w14:paraId="0BA0D570" w14:textId="77777777" w:rsidR="004262BA" w:rsidRDefault="004262BA" w:rsidP="0010420C">
      <w:pPr>
        <w:pStyle w:val="Textparagrafu"/>
        <w:spacing w:before="120" w:after="120"/>
      </w:pPr>
      <w:r w:rsidRPr="00303B55">
        <w:t>(3)</w:t>
      </w:r>
      <w:r>
        <w:t xml:space="preserve"> </w:t>
      </w:r>
      <w:r w:rsidRPr="00303B55">
        <w:t>Pokud</w:t>
      </w:r>
      <w:r>
        <w:t xml:space="preserve"> </w:t>
      </w:r>
      <w:r w:rsidRPr="00303B55">
        <w:t>byl</w:t>
      </w:r>
      <w:r>
        <w:t xml:space="preserve"> </w:t>
      </w:r>
      <w:r w:rsidRPr="00303B55">
        <w:t>vlastník</w:t>
      </w:r>
      <w:r>
        <w:t xml:space="preserve"> </w:t>
      </w:r>
      <w:r w:rsidRPr="00303B55">
        <w:t>nebo</w:t>
      </w:r>
      <w:r>
        <w:t xml:space="preserve"> </w:t>
      </w:r>
      <w:r w:rsidRPr="00303B55">
        <w:t>uživatel</w:t>
      </w:r>
      <w:r>
        <w:t xml:space="preserve"> </w:t>
      </w:r>
      <w:r w:rsidRPr="00303B55">
        <w:t>nemovitosti</w:t>
      </w:r>
      <w:r>
        <w:t xml:space="preserve"> </w:t>
      </w:r>
      <w:r w:rsidRPr="00303B55">
        <w:t>v</w:t>
      </w:r>
      <w:r>
        <w:t xml:space="preserve"> </w:t>
      </w:r>
      <w:r w:rsidRPr="00303B55">
        <w:t>důsledku</w:t>
      </w:r>
      <w:r>
        <w:t xml:space="preserve"> </w:t>
      </w:r>
      <w:r w:rsidRPr="00303B55">
        <w:t>výkonu</w:t>
      </w:r>
      <w:r>
        <w:t xml:space="preserve"> </w:t>
      </w:r>
      <w:r w:rsidRPr="00303B55">
        <w:t>práv</w:t>
      </w:r>
      <w:r>
        <w:t xml:space="preserve"> </w:t>
      </w:r>
      <w:r w:rsidRPr="00303B55">
        <w:t>výrobce</w:t>
      </w:r>
      <w:r>
        <w:t xml:space="preserve"> </w:t>
      </w:r>
      <w:r w:rsidRPr="00303B55">
        <w:t>plynu</w:t>
      </w:r>
      <w:r>
        <w:t xml:space="preserve"> </w:t>
      </w:r>
      <w:r w:rsidRPr="00303B55">
        <w:t>podle</w:t>
      </w:r>
      <w:r>
        <w:t xml:space="preserve"> </w:t>
      </w:r>
      <w:r w:rsidRPr="00303B55">
        <w:t>odstavce</w:t>
      </w:r>
      <w:r>
        <w:t xml:space="preserve"> </w:t>
      </w:r>
      <w:r w:rsidRPr="00303B55">
        <w:t>1</w:t>
      </w:r>
      <w:r>
        <w:t xml:space="preserve"> </w:t>
      </w:r>
      <w:r w:rsidRPr="00303B55">
        <w:t>písm.</w:t>
      </w:r>
      <w:r>
        <w:t xml:space="preserve"> </w:t>
      </w:r>
      <w:r w:rsidRPr="00303B55">
        <w:t>f)</w:t>
      </w:r>
      <w:r>
        <w:t xml:space="preserve"> </w:t>
      </w:r>
      <w:r w:rsidRPr="00303B55">
        <w:t>a</w:t>
      </w:r>
      <w:r>
        <w:t xml:space="preserve"> </w:t>
      </w:r>
      <w:r w:rsidRPr="00303B55">
        <w:t>g)</w:t>
      </w:r>
      <w:r>
        <w:t xml:space="preserve"> </w:t>
      </w:r>
      <w:r w:rsidRPr="00303B55">
        <w:t>omezen</w:t>
      </w:r>
      <w:r>
        <w:t xml:space="preserve"> </w:t>
      </w:r>
      <w:r w:rsidRPr="00303B55">
        <w:t>v</w:t>
      </w:r>
      <w:r>
        <w:t xml:space="preserve"> </w:t>
      </w:r>
      <w:r w:rsidRPr="00303B55">
        <w:t>obvyklém</w:t>
      </w:r>
      <w:r>
        <w:t xml:space="preserve"> </w:t>
      </w:r>
      <w:r w:rsidRPr="00303B55">
        <w:t>užívání</w:t>
      </w:r>
      <w:r>
        <w:t xml:space="preserve"> </w:t>
      </w:r>
      <w:r w:rsidRPr="00303B55">
        <w:t>nemovitosti</w:t>
      </w:r>
      <w:r>
        <w:t xml:space="preserve"> </w:t>
      </w:r>
      <w:r w:rsidRPr="00303B55">
        <w:t>nebo</w:t>
      </w:r>
      <w:r>
        <w:t xml:space="preserve"> </w:t>
      </w:r>
      <w:r w:rsidRPr="00303B55">
        <w:t>mu</w:t>
      </w:r>
      <w:r>
        <w:t xml:space="preserve"> </w:t>
      </w:r>
      <w:r w:rsidRPr="00303B55">
        <w:t>vznikla</w:t>
      </w:r>
      <w:r>
        <w:t xml:space="preserve"> </w:t>
      </w:r>
      <w:r w:rsidRPr="00303B55">
        <w:t>újma</w:t>
      </w:r>
      <w:r>
        <w:t xml:space="preserve"> </w:t>
      </w:r>
      <w:r w:rsidRPr="00303B55">
        <w:t>na</w:t>
      </w:r>
      <w:r>
        <w:t xml:space="preserve"> </w:t>
      </w:r>
      <w:r w:rsidRPr="00303B55">
        <w:t>majetku,</w:t>
      </w:r>
      <w:r>
        <w:t xml:space="preserve"> </w:t>
      </w:r>
      <w:r w:rsidRPr="00303B55">
        <w:t>má</w:t>
      </w:r>
      <w:r>
        <w:t xml:space="preserve"> </w:t>
      </w:r>
      <w:r w:rsidRPr="00303B55">
        <w:t>právo</w:t>
      </w:r>
      <w:r>
        <w:t xml:space="preserve"> </w:t>
      </w:r>
      <w:r w:rsidRPr="00303B55">
        <w:t>na</w:t>
      </w:r>
      <w:r>
        <w:t xml:space="preserve"> </w:t>
      </w:r>
      <w:r w:rsidRPr="00303B55">
        <w:t>přiměřenou</w:t>
      </w:r>
      <w:r>
        <w:t xml:space="preserve"> </w:t>
      </w:r>
      <w:r w:rsidRPr="00303B55">
        <w:t>jednorázovou</w:t>
      </w:r>
      <w:r>
        <w:t xml:space="preserve"> </w:t>
      </w:r>
      <w:r w:rsidRPr="00303B55">
        <w:t>náhradu</w:t>
      </w:r>
      <w:r w:rsidRPr="00A03F10">
        <w:rPr>
          <w:vertAlign w:val="superscript"/>
        </w:rPr>
        <w:t>5)</w:t>
      </w:r>
      <w:r w:rsidRPr="00303B55">
        <w:t>.</w:t>
      </w:r>
      <w:r>
        <w:t xml:space="preserve"> </w:t>
      </w:r>
      <w:r w:rsidRPr="00303B55">
        <w:t>Právo</w:t>
      </w:r>
      <w:r>
        <w:t xml:space="preserve"> </w:t>
      </w:r>
      <w:r w:rsidRPr="00303B55">
        <w:t>na</w:t>
      </w:r>
      <w:r>
        <w:t xml:space="preserve"> </w:t>
      </w:r>
      <w:r w:rsidRPr="00303B55">
        <w:t>náhradu</w:t>
      </w:r>
      <w:r>
        <w:t xml:space="preserve"> </w:t>
      </w:r>
      <w:r w:rsidRPr="00303B55">
        <w:t>podle</w:t>
      </w:r>
      <w:r>
        <w:t xml:space="preserve"> </w:t>
      </w:r>
      <w:r w:rsidRPr="00303B55">
        <w:t>věty</w:t>
      </w:r>
      <w:r>
        <w:t xml:space="preserve"> </w:t>
      </w:r>
      <w:r w:rsidRPr="00303B55">
        <w:t>první</w:t>
      </w:r>
      <w:r>
        <w:t xml:space="preserve"> </w:t>
      </w:r>
      <w:r w:rsidRPr="00303B55">
        <w:t>lze</w:t>
      </w:r>
      <w:r>
        <w:t xml:space="preserve"> </w:t>
      </w:r>
      <w:r w:rsidRPr="00303B55">
        <w:t>uplatnit</w:t>
      </w:r>
      <w:r>
        <w:t xml:space="preserve"> </w:t>
      </w:r>
      <w:r w:rsidRPr="00303B55">
        <w:t>u</w:t>
      </w:r>
      <w:r>
        <w:t xml:space="preserve"> </w:t>
      </w:r>
      <w:r w:rsidRPr="00303B55">
        <w:t>výrobce</w:t>
      </w:r>
      <w:r>
        <w:t xml:space="preserve"> </w:t>
      </w:r>
      <w:r w:rsidRPr="00303B55">
        <w:t>plynu</w:t>
      </w:r>
      <w:r>
        <w:t xml:space="preserve"> </w:t>
      </w:r>
      <w:r w:rsidRPr="00303B55">
        <w:t>do</w:t>
      </w:r>
      <w:r>
        <w:t xml:space="preserve"> </w:t>
      </w:r>
      <w:r w:rsidRPr="00303B55">
        <w:t>2</w:t>
      </w:r>
      <w:r>
        <w:t xml:space="preserve"> </w:t>
      </w:r>
      <w:r w:rsidRPr="00303B55">
        <w:t>let</w:t>
      </w:r>
      <w:r>
        <w:t xml:space="preserve"> </w:t>
      </w:r>
      <w:r w:rsidRPr="00303B55">
        <w:t>ode</w:t>
      </w:r>
      <w:r>
        <w:t xml:space="preserve"> </w:t>
      </w:r>
      <w:r w:rsidRPr="00303B55">
        <w:t>dne,</w:t>
      </w:r>
      <w:r>
        <w:t xml:space="preserve"> </w:t>
      </w:r>
      <w:r w:rsidRPr="00303B55">
        <w:t>kdy</w:t>
      </w:r>
      <w:r>
        <w:t xml:space="preserve"> </w:t>
      </w:r>
      <w:r w:rsidRPr="00303B55">
        <w:t>k</w:t>
      </w:r>
      <w:r>
        <w:t xml:space="preserve"> </w:t>
      </w:r>
      <w:r w:rsidRPr="00303B55">
        <w:t>omezení</w:t>
      </w:r>
      <w:r>
        <w:t xml:space="preserve"> </w:t>
      </w:r>
      <w:r w:rsidRPr="00303B55">
        <w:t>nebo</w:t>
      </w:r>
      <w:r>
        <w:t xml:space="preserve"> </w:t>
      </w:r>
      <w:r w:rsidRPr="00303B55">
        <w:t>újmě</w:t>
      </w:r>
      <w:r>
        <w:t xml:space="preserve"> </w:t>
      </w:r>
      <w:r w:rsidRPr="00303B55">
        <w:t>došlo,</w:t>
      </w:r>
      <w:r>
        <w:t xml:space="preserve"> </w:t>
      </w:r>
      <w:r w:rsidRPr="00303B55">
        <w:t>jinak</w:t>
      </w:r>
      <w:r>
        <w:t xml:space="preserve"> </w:t>
      </w:r>
      <w:r w:rsidRPr="00303B55">
        <w:t>právo</w:t>
      </w:r>
      <w:r>
        <w:t xml:space="preserve"> </w:t>
      </w:r>
      <w:r w:rsidRPr="00303B55">
        <w:t>zaniká.</w:t>
      </w:r>
    </w:p>
    <w:p w14:paraId="3428E1BC" w14:textId="77777777" w:rsidR="004262BA" w:rsidRDefault="004262BA" w:rsidP="0010420C">
      <w:pPr>
        <w:pStyle w:val="Textparagrafu"/>
        <w:spacing w:before="120" w:after="120"/>
      </w:pPr>
      <w:r w:rsidRPr="00303B55">
        <w:t>(4)</w:t>
      </w:r>
      <w:r>
        <w:t xml:space="preserve"> </w:t>
      </w:r>
      <w:r w:rsidRPr="00303B55">
        <w:t>V</w:t>
      </w:r>
      <w:r>
        <w:t xml:space="preserve"> </w:t>
      </w:r>
      <w:r w:rsidRPr="00303B55">
        <w:t>případech</w:t>
      </w:r>
      <w:r>
        <w:t xml:space="preserve"> </w:t>
      </w:r>
      <w:r w:rsidRPr="00303B55">
        <w:t>uvedených</w:t>
      </w:r>
      <w:r>
        <w:t xml:space="preserve"> </w:t>
      </w:r>
      <w:r w:rsidRPr="00303B55">
        <w:t>v</w:t>
      </w:r>
      <w:r>
        <w:t xml:space="preserve"> </w:t>
      </w:r>
      <w:r w:rsidRPr="00303B55">
        <w:t>odstavci</w:t>
      </w:r>
      <w:r>
        <w:t xml:space="preserve"> </w:t>
      </w:r>
      <w:r w:rsidRPr="00303B55">
        <w:t>1</w:t>
      </w:r>
      <w:r>
        <w:t xml:space="preserve"> </w:t>
      </w:r>
      <w:r w:rsidRPr="00303B55">
        <w:t>písm.</w:t>
      </w:r>
      <w:r>
        <w:t xml:space="preserve"> </w:t>
      </w:r>
      <w:r w:rsidRPr="00303B55">
        <w:t>f)</w:t>
      </w:r>
      <w:r>
        <w:t xml:space="preserve"> </w:t>
      </w:r>
      <w:r w:rsidRPr="00303B55">
        <w:t>a</w:t>
      </w:r>
      <w:r>
        <w:t xml:space="preserve"> </w:t>
      </w:r>
      <w:r w:rsidRPr="00303B55">
        <w:t>g)</w:t>
      </w:r>
      <w:r>
        <w:t xml:space="preserve"> </w:t>
      </w:r>
      <w:r w:rsidRPr="00303B55">
        <w:t>je</w:t>
      </w:r>
      <w:r>
        <w:t xml:space="preserve"> </w:t>
      </w:r>
      <w:r w:rsidRPr="00303B55">
        <w:t>výrobce</w:t>
      </w:r>
      <w:r>
        <w:t xml:space="preserve"> </w:t>
      </w:r>
      <w:r w:rsidRPr="00303B55">
        <w:t>plynu</w:t>
      </w:r>
      <w:r>
        <w:t xml:space="preserve"> </w:t>
      </w:r>
      <w:r w:rsidRPr="00303B55">
        <w:t>povinen</w:t>
      </w:r>
      <w:r>
        <w:t xml:space="preserve"> </w:t>
      </w:r>
      <w:r w:rsidRPr="00303B55">
        <w:t>co</w:t>
      </w:r>
      <w:r>
        <w:t xml:space="preserve"> </w:t>
      </w:r>
      <w:r w:rsidRPr="00303B55">
        <w:t>nejvíce</w:t>
      </w:r>
      <w:r>
        <w:t xml:space="preserve"> </w:t>
      </w:r>
      <w:r w:rsidRPr="00303B55">
        <w:t>šetřit</w:t>
      </w:r>
      <w:r>
        <w:t xml:space="preserve"> </w:t>
      </w:r>
      <w:r w:rsidRPr="00303B55">
        <w:t>práv</w:t>
      </w:r>
      <w:r>
        <w:t xml:space="preserve"> </w:t>
      </w:r>
      <w:r w:rsidRPr="00303B55">
        <w:t>vlastníků</w:t>
      </w:r>
      <w:r>
        <w:t xml:space="preserve"> </w:t>
      </w:r>
      <w:r w:rsidRPr="00303B55">
        <w:t>dotčených</w:t>
      </w:r>
      <w:r>
        <w:t xml:space="preserve"> </w:t>
      </w:r>
      <w:r w:rsidRPr="00303B55">
        <w:t>nemovitostí</w:t>
      </w:r>
      <w:r>
        <w:t xml:space="preserve"> </w:t>
      </w:r>
      <w:r w:rsidRPr="00303B55">
        <w:t>a</w:t>
      </w:r>
      <w:r>
        <w:t xml:space="preserve"> </w:t>
      </w:r>
      <w:r w:rsidRPr="00303B55">
        <w:t>vstup</w:t>
      </w:r>
      <w:r>
        <w:t xml:space="preserve"> </w:t>
      </w:r>
      <w:r w:rsidRPr="00303B55">
        <w:t>na</w:t>
      </w:r>
      <w:r>
        <w:t xml:space="preserve"> </w:t>
      </w:r>
      <w:r w:rsidRPr="00303B55">
        <w:t>jejich</w:t>
      </w:r>
      <w:r>
        <w:t xml:space="preserve"> </w:t>
      </w:r>
      <w:r w:rsidRPr="00303B55">
        <w:t>nemovitost</w:t>
      </w:r>
      <w:r>
        <w:t xml:space="preserve"> </w:t>
      </w:r>
      <w:r w:rsidRPr="00303B55">
        <w:t>jim</w:t>
      </w:r>
      <w:r>
        <w:t xml:space="preserve"> </w:t>
      </w:r>
      <w:r w:rsidRPr="00303B55">
        <w:t>oznámit.</w:t>
      </w:r>
      <w:r>
        <w:t xml:space="preserve"> </w:t>
      </w:r>
      <w:r w:rsidRPr="00303B55">
        <w:t>Po</w:t>
      </w:r>
      <w:r>
        <w:t xml:space="preserve"> </w:t>
      </w:r>
      <w:r w:rsidRPr="00303B55">
        <w:t>skončení</w:t>
      </w:r>
      <w:r>
        <w:t xml:space="preserve"> </w:t>
      </w:r>
      <w:r w:rsidRPr="00303B55">
        <w:t>prací</w:t>
      </w:r>
      <w:r>
        <w:t xml:space="preserve"> </w:t>
      </w:r>
      <w:r w:rsidRPr="00303B55">
        <w:t>je</w:t>
      </w:r>
      <w:r>
        <w:t xml:space="preserve"> </w:t>
      </w:r>
      <w:r w:rsidRPr="00303B55">
        <w:t>povinen</w:t>
      </w:r>
      <w:r>
        <w:t xml:space="preserve"> </w:t>
      </w:r>
      <w:r w:rsidRPr="00303B55">
        <w:t>uvést</w:t>
      </w:r>
      <w:r>
        <w:t xml:space="preserve"> </w:t>
      </w:r>
      <w:r w:rsidRPr="00303B55">
        <w:t>nemovitost</w:t>
      </w:r>
      <w:r>
        <w:t xml:space="preserve"> </w:t>
      </w:r>
      <w:r w:rsidRPr="00303B55">
        <w:t>do</w:t>
      </w:r>
      <w:r>
        <w:t xml:space="preserve"> </w:t>
      </w:r>
      <w:r w:rsidRPr="00303B55">
        <w:t>předchozího</w:t>
      </w:r>
      <w:r>
        <w:t xml:space="preserve"> </w:t>
      </w:r>
      <w:r w:rsidRPr="00303B55">
        <w:t>stavu,</w:t>
      </w:r>
      <w:r>
        <w:t xml:space="preserve"> </w:t>
      </w:r>
      <w:r w:rsidRPr="00303B55">
        <w:t>nebo</w:t>
      </w:r>
      <w:r>
        <w:t xml:space="preserve"> </w:t>
      </w:r>
      <w:r w:rsidRPr="00303B55">
        <w:t>není-li</w:t>
      </w:r>
      <w:r>
        <w:t xml:space="preserve"> </w:t>
      </w:r>
      <w:r w:rsidRPr="00303B55">
        <w:t>to</w:t>
      </w:r>
      <w:r>
        <w:t xml:space="preserve"> </w:t>
      </w:r>
      <w:r w:rsidRPr="00303B55">
        <w:t>možné</w:t>
      </w:r>
      <w:r>
        <w:t xml:space="preserve"> </w:t>
      </w:r>
      <w:r w:rsidRPr="00303B55">
        <w:t>s</w:t>
      </w:r>
      <w:r>
        <w:t xml:space="preserve"> </w:t>
      </w:r>
      <w:r w:rsidRPr="00303B55">
        <w:t>ohledem</w:t>
      </w:r>
      <w:r>
        <w:t xml:space="preserve"> </w:t>
      </w:r>
      <w:r w:rsidRPr="00303B55">
        <w:t>na</w:t>
      </w:r>
      <w:r>
        <w:t xml:space="preserve"> </w:t>
      </w:r>
      <w:r w:rsidRPr="00303B55">
        <w:t>povahu</w:t>
      </w:r>
      <w:r>
        <w:t xml:space="preserve"> </w:t>
      </w:r>
      <w:r w:rsidRPr="00303B55">
        <w:t>provedených</w:t>
      </w:r>
      <w:r>
        <w:t xml:space="preserve"> </w:t>
      </w:r>
      <w:r w:rsidRPr="00303B55">
        <w:t>prací,</w:t>
      </w:r>
      <w:r>
        <w:t xml:space="preserve"> </w:t>
      </w:r>
      <w:r w:rsidRPr="00303B55">
        <w:t>do</w:t>
      </w:r>
      <w:r>
        <w:t xml:space="preserve"> </w:t>
      </w:r>
      <w:r w:rsidRPr="00303B55">
        <w:t>stavu</w:t>
      </w:r>
      <w:r>
        <w:t xml:space="preserve"> </w:t>
      </w:r>
      <w:r w:rsidRPr="00303B55">
        <w:t>odpovídajícímu</w:t>
      </w:r>
      <w:r>
        <w:t xml:space="preserve"> </w:t>
      </w:r>
      <w:r w:rsidRPr="00303B55">
        <w:t>předchozímu</w:t>
      </w:r>
      <w:r>
        <w:t xml:space="preserve"> </w:t>
      </w:r>
      <w:r w:rsidRPr="00303B55">
        <w:t>účelu</w:t>
      </w:r>
      <w:r>
        <w:t xml:space="preserve"> </w:t>
      </w:r>
      <w:r w:rsidRPr="00303B55">
        <w:t>či</w:t>
      </w:r>
      <w:r>
        <w:t xml:space="preserve"> </w:t>
      </w:r>
      <w:r w:rsidRPr="00303B55">
        <w:t>užívání</w:t>
      </w:r>
      <w:r>
        <w:t xml:space="preserve"> </w:t>
      </w:r>
      <w:r w:rsidRPr="00303B55">
        <w:t>dotčené</w:t>
      </w:r>
      <w:r>
        <w:t xml:space="preserve"> </w:t>
      </w:r>
      <w:r w:rsidRPr="00303B55">
        <w:t>nemovitosti</w:t>
      </w:r>
      <w:r>
        <w:t xml:space="preserve"> </w:t>
      </w:r>
      <w:r w:rsidRPr="00303B55">
        <w:t>a</w:t>
      </w:r>
      <w:r>
        <w:t xml:space="preserve"> </w:t>
      </w:r>
      <w:r w:rsidRPr="00303B55">
        <w:t>oznámit</w:t>
      </w:r>
      <w:r>
        <w:t xml:space="preserve"> </w:t>
      </w:r>
      <w:r w:rsidRPr="00303B55">
        <w:t>tuto</w:t>
      </w:r>
      <w:r>
        <w:t xml:space="preserve"> </w:t>
      </w:r>
      <w:r w:rsidRPr="00303B55">
        <w:t>skutečnost</w:t>
      </w:r>
      <w:r>
        <w:t xml:space="preserve"> </w:t>
      </w:r>
      <w:r w:rsidRPr="00303B55">
        <w:t>vlastníku</w:t>
      </w:r>
      <w:r>
        <w:t xml:space="preserve"> </w:t>
      </w:r>
      <w:r w:rsidRPr="00303B55">
        <w:t>nemovitosti.</w:t>
      </w:r>
      <w:r>
        <w:t xml:space="preserve"> </w:t>
      </w:r>
      <w:r w:rsidRPr="00303B55">
        <w:t>Po</w:t>
      </w:r>
      <w:r>
        <w:t xml:space="preserve"> </w:t>
      </w:r>
      <w:r w:rsidRPr="00303B55">
        <w:t>provedení</w:t>
      </w:r>
      <w:r>
        <w:t xml:space="preserve"> </w:t>
      </w:r>
      <w:r w:rsidRPr="00303B55">
        <w:t>odstranění</w:t>
      </w:r>
      <w:r>
        <w:t xml:space="preserve"> </w:t>
      </w:r>
      <w:r w:rsidRPr="00303B55">
        <w:t>nebo</w:t>
      </w:r>
      <w:r>
        <w:t xml:space="preserve"> </w:t>
      </w:r>
      <w:r w:rsidRPr="00303B55">
        <w:t>okleštění</w:t>
      </w:r>
      <w:r>
        <w:t xml:space="preserve"> </w:t>
      </w:r>
      <w:r w:rsidRPr="00303B55">
        <w:t>stromoví</w:t>
      </w:r>
      <w:r>
        <w:t xml:space="preserve"> </w:t>
      </w:r>
      <w:r w:rsidRPr="00303B55">
        <w:t>je</w:t>
      </w:r>
      <w:r>
        <w:t xml:space="preserve"> </w:t>
      </w:r>
      <w:r w:rsidRPr="00303B55">
        <w:t>povinen</w:t>
      </w:r>
      <w:r>
        <w:t xml:space="preserve"> </w:t>
      </w:r>
      <w:r w:rsidRPr="00303B55">
        <w:t>na</w:t>
      </w:r>
      <w:r>
        <w:t xml:space="preserve"> </w:t>
      </w:r>
      <w:r w:rsidRPr="00303B55">
        <w:t>svůj</w:t>
      </w:r>
      <w:r>
        <w:t xml:space="preserve"> </w:t>
      </w:r>
      <w:r w:rsidRPr="00303B55">
        <w:t>náklad</w:t>
      </w:r>
      <w:r>
        <w:t xml:space="preserve"> </w:t>
      </w:r>
      <w:r w:rsidRPr="00303B55">
        <w:t>provést</w:t>
      </w:r>
      <w:r>
        <w:t xml:space="preserve"> </w:t>
      </w:r>
      <w:r w:rsidRPr="00303B55">
        <w:t>likvidaci</w:t>
      </w:r>
      <w:r>
        <w:t xml:space="preserve"> </w:t>
      </w:r>
      <w:r w:rsidRPr="00303B55">
        <w:t>vzniklého</w:t>
      </w:r>
      <w:r>
        <w:t xml:space="preserve"> </w:t>
      </w:r>
      <w:r w:rsidRPr="00303B55">
        <w:t>klestu</w:t>
      </w:r>
      <w:r>
        <w:t xml:space="preserve"> </w:t>
      </w:r>
      <w:r w:rsidRPr="00303B55">
        <w:t>a</w:t>
      </w:r>
      <w:r>
        <w:t xml:space="preserve"> </w:t>
      </w:r>
      <w:r w:rsidRPr="00303B55">
        <w:t>zbytků</w:t>
      </w:r>
      <w:r>
        <w:t xml:space="preserve"> </w:t>
      </w:r>
      <w:r w:rsidRPr="00303B55">
        <w:t>po</w:t>
      </w:r>
      <w:r>
        <w:t xml:space="preserve"> </w:t>
      </w:r>
      <w:r w:rsidRPr="00303B55">
        <w:t>těžbě.</w:t>
      </w:r>
    </w:p>
    <w:p w14:paraId="1F68BE0B" w14:textId="77777777" w:rsidR="004262BA" w:rsidRDefault="004262BA" w:rsidP="0010420C">
      <w:pPr>
        <w:pStyle w:val="Textparagrafu"/>
        <w:spacing w:before="120" w:after="120"/>
      </w:pPr>
      <w:r w:rsidRPr="00303B55">
        <w:t>(5)</w:t>
      </w:r>
      <w:r>
        <w:t xml:space="preserve"> </w:t>
      </w:r>
      <w:r w:rsidRPr="00303B55">
        <w:t>V</w:t>
      </w:r>
      <w:r>
        <w:t xml:space="preserve"> </w:t>
      </w:r>
      <w:r w:rsidRPr="00303B55">
        <w:t>případech</w:t>
      </w:r>
      <w:r>
        <w:t xml:space="preserve"> </w:t>
      </w:r>
      <w:r w:rsidRPr="00303B55">
        <w:t>uvedených</w:t>
      </w:r>
      <w:r>
        <w:t xml:space="preserve"> </w:t>
      </w:r>
      <w:r w:rsidRPr="00303B55">
        <w:t>v</w:t>
      </w:r>
      <w:r>
        <w:t xml:space="preserve"> </w:t>
      </w:r>
      <w:r w:rsidRPr="00303B55">
        <w:t>odstavci</w:t>
      </w:r>
      <w:r>
        <w:t xml:space="preserve"> </w:t>
      </w:r>
      <w:r w:rsidRPr="00303B55">
        <w:t>1</w:t>
      </w:r>
      <w:r>
        <w:t xml:space="preserve"> </w:t>
      </w:r>
      <w:r w:rsidRPr="00303B55">
        <w:t>písm.</w:t>
      </w:r>
      <w:r>
        <w:t xml:space="preserve"> </w:t>
      </w:r>
      <w:r w:rsidRPr="00303B55">
        <w:t>c)</w:t>
      </w:r>
      <w:r>
        <w:t xml:space="preserve"> </w:t>
      </w:r>
      <w:r w:rsidRPr="00303B55">
        <w:t>bodu</w:t>
      </w:r>
      <w:r>
        <w:t xml:space="preserve"> </w:t>
      </w:r>
      <w:r w:rsidRPr="00303B55">
        <w:t>4</w:t>
      </w:r>
      <w:r>
        <w:t xml:space="preserve"> </w:t>
      </w:r>
      <w:r w:rsidRPr="00303B55">
        <w:t>je</w:t>
      </w:r>
      <w:r>
        <w:t xml:space="preserve"> </w:t>
      </w:r>
      <w:r w:rsidRPr="00303B55">
        <w:t>výrobce</w:t>
      </w:r>
      <w:r>
        <w:t xml:space="preserve"> </w:t>
      </w:r>
      <w:r w:rsidRPr="00303B55">
        <w:t>plynu</w:t>
      </w:r>
      <w:r>
        <w:t xml:space="preserve"> </w:t>
      </w:r>
      <w:r w:rsidRPr="00303B55">
        <w:t>povinen</w:t>
      </w:r>
      <w:r>
        <w:t xml:space="preserve"> </w:t>
      </w:r>
      <w:r w:rsidRPr="00303B55">
        <w:t>písemně</w:t>
      </w:r>
      <w:r>
        <w:t xml:space="preserve"> </w:t>
      </w:r>
      <w:r w:rsidRPr="00303B55">
        <w:t>oznámit</w:t>
      </w:r>
      <w:r>
        <w:t xml:space="preserve"> </w:t>
      </w:r>
      <w:r w:rsidRPr="00303B55">
        <w:t>svým</w:t>
      </w:r>
      <w:r>
        <w:t xml:space="preserve"> </w:t>
      </w:r>
      <w:r w:rsidRPr="00303B55">
        <w:t>zákazníkům</w:t>
      </w:r>
      <w:r>
        <w:t xml:space="preserve"> </w:t>
      </w:r>
      <w:r w:rsidRPr="00303B55">
        <w:t>započetí</w:t>
      </w:r>
      <w:r>
        <w:t xml:space="preserve"> </w:t>
      </w:r>
      <w:r w:rsidRPr="00303B55">
        <w:t>a</w:t>
      </w:r>
      <w:r>
        <w:t xml:space="preserve"> </w:t>
      </w:r>
      <w:r w:rsidRPr="00303B55">
        <w:t>skončení</w:t>
      </w:r>
      <w:r>
        <w:t xml:space="preserve"> </w:t>
      </w:r>
      <w:r w:rsidRPr="00303B55">
        <w:t>omezení</w:t>
      </w:r>
      <w:r>
        <w:t xml:space="preserve"> </w:t>
      </w:r>
      <w:r w:rsidRPr="00303B55">
        <w:t>nebo</w:t>
      </w:r>
      <w:r>
        <w:t xml:space="preserve"> </w:t>
      </w:r>
      <w:r w:rsidRPr="00303B55">
        <w:t>přerušení</w:t>
      </w:r>
      <w:r>
        <w:t xml:space="preserve"> </w:t>
      </w:r>
      <w:r w:rsidRPr="00303B55">
        <w:t>dodávky</w:t>
      </w:r>
      <w:r>
        <w:t xml:space="preserve"> </w:t>
      </w:r>
      <w:r w:rsidRPr="00303B55">
        <w:t>plynu,</w:t>
      </w:r>
      <w:r>
        <w:t xml:space="preserve"> </w:t>
      </w:r>
      <w:r w:rsidRPr="00303B55">
        <w:t>nejméně</w:t>
      </w:r>
      <w:r>
        <w:t xml:space="preserve"> </w:t>
      </w:r>
      <w:r w:rsidRPr="00303B55">
        <w:t>však</w:t>
      </w:r>
      <w:r>
        <w:t xml:space="preserve"> </w:t>
      </w:r>
      <w:r w:rsidRPr="00303B55">
        <w:t>30</w:t>
      </w:r>
      <w:r>
        <w:t xml:space="preserve"> </w:t>
      </w:r>
      <w:r w:rsidRPr="00303B55">
        <w:t>dnů</w:t>
      </w:r>
      <w:r>
        <w:t xml:space="preserve"> </w:t>
      </w:r>
      <w:r w:rsidRPr="00303B55">
        <w:t>předem.</w:t>
      </w:r>
    </w:p>
    <w:p w14:paraId="104F702F" w14:textId="77777777" w:rsidR="004262BA" w:rsidRDefault="004262BA" w:rsidP="0010420C">
      <w:pPr>
        <w:pStyle w:val="Textparagrafu"/>
        <w:spacing w:before="120" w:after="120"/>
      </w:pPr>
      <w:r w:rsidRPr="00303B55">
        <w:t>(6)</w:t>
      </w:r>
      <w:r>
        <w:t xml:space="preserve"> </w:t>
      </w:r>
      <w:r w:rsidRPr="00303B55">
        <w:t>V</w:t>
      </w:r>
      <w:r>
        <w:t xml:space="preserve"> </w:t>
      </w:r>
      <w:r w:rsidRPr="00303B55">
        <w:t>případech</w:t>
      </w:r>
      <w:r>
        <w:t xml:space="preserve"> </w:t>
      </w:r>
      <w:r w:rsidRPr="00303B55">
        <w:t>uvedených</w:t>
      </w:r>
      <w:r>
        <w:t xml:space="preserve"> </w:t>
      </w:r>
      <w:r w:rsidRPr="00303B55">
        <w:t>v</w:t>
      </w:r>
      <w:r>
        <w:t xml:space="preserve"> </w:t>
      </w:r>
      <w:r w:rsidRPr="00303B55">
        <w:t>odstavci</w:t>
      </w:r>
      <w:r>
        <w:t xml:space="preserve"> </w:t>
      </w:r>
      <w:r w:rsidRPr="00303B55">
        <w:t>1</w:t>
      </w:r>
      <w:r>
        <w:t xml:space="preserve"> </w:t>
      </w:r>
      <w:r w:rsidRPr="00303B55">
        <w:t>písm.</w:t>
      </w:r>
      <w:r>
        <w:t xml:space="preserve"> </w:t>
      </w:r>
      <w:r w:rsidRPr="00303B55">
        <w:t>c)</w:t>
      </w:r>
      <w:r>
        <w:t xml:space="preserve"> </w:t>
      </w:r>
      <w:r w:rsidRPr="00303B55">
        <w:t>je</w:t>
      </w:r>
      <w:r>
        <w:t xml:space="preserve"> </w:t>
      </w:r>
      <w:r w:rsidRPr="00303B55">
        <w:t>výrobce</w:t>
      </w:r>
      <w:r>
        <w:t xml:space="preserve"> </w:t>
      </w:r>
      <w:r w:rsidRPr="00303B55">
        <w:t>plynu</w:t>
      </w:r>
      <w:r>
        <w:t xml:space="preserve"> </w:t>
      </w:r>
      <w:r w:rsidRPr="00303B55">
        <w:t>povinen</w:t>
      </w:r>
      <w:r>
        <w:t xml:space="preserve"> </w:t>
      </w:r>
      <w:r w:rsidRPr="00303B55">
        <w:t>obnovit</w:t>
      </w:r>
      <w:r>
        <w:t xml:space="preserve"> </w:t>
      </w:r>
      <w:r w:rsidRPr="00303B55">
        <w:t>dodávku</w:t>
      </w:r>
      <w:r>
        <w:t xml:space="preserve"> </w:t>
      </w:r>
      <w:r w:rsidRPr="00303B55">
        <w:t>plynu</w:t>
      </w:r>
      <w:r>
        <w:t xml:space="preserve"> </w:t>
      </w:r>
      <w:r w:rsidRPr="00303B55">
        <w:t>bezprostředně</w:t>
      </w:r>
      <w:r>
        <w:t xml:space="preserve"> </w:t>
      </w:r>
      <w:r w:rsidRPr="00303B55">
        <w:t>po</w:t>
      </w:r>
      <w:r>
        <w:t xml:space="preserve"> </w:t>
      </w:r>
      <w:r w:rsidRPr="00303B55">
        <w:t>odstranění</w:t>
      </w:r>
      <w:r>
        <w:t xml:space="preserve"> </w:t>
      </w:r>
      <w:r w:rsidRPr="00303B55">
        <w:t>příčin,</w:t>
      </w:r>
      <w:r>
        <w:t xml:space="preserve"> </w:t>
      </w:r>
      <w:r w:rsidRPr="00303B55">
        <w:t>které</w:t>
      </w:r>
      <w:r>
        <w:t xml:space="preserve"> </w:t>
      </w:r>
      <w:r w:rsidRPr="00303B55">
        <w:t>vedly</w:t>
      </w:r>
      <w:r>
        <w:t xml:space="preserve"> </w:t>
      </w:r>
      <w:r w:rsidRPr="00303B55">
        <w:t>k</w:t>
      </w:r>
      <w:r>
        <w:t xml:space="preserve"> </w:t>
      </w:r>
      <w:r w:rsidRPr="00303B55">
        <w:t>jejímu</w:t>
      </w:r>
      <w:r>
        <w:t xml:space="preserve"> </w:t>
      </w:r>
      <w:r w:rsidRPr="00303B55">
        <w:t>omezení</w:t>
      </w:r>
      <w:r>
        <w:t xml:space="preserve"> </w:t>
      </w:r>
      <w:r w:rsidRPr="00303B55">
        <w:t>nebo</w:t>
      </w:r>
      <w:r>
        <w:t xml:space="preserve"> </w:t>
      </w:r>
      <w:r w:rsidRPr="00303B55">
        <w:t>přerušení.</w:t>
      </w:r>
    </w:p>
    <w:p w14:paraId="528F79CA" w14:textId="77777777" w:rsidR="004262BA" w:rsidRDefault="004262BA" w:rsidP="0010420C">
      <w:pPr>
        <w:pStyle w:val="Textparagrafu"/>
        <w:spacing w:before="120" w:after="120"/>
      </w:pPr>
      <w:r w:rsidRPr="00303B55">
        <w:t>(7)</w:t>
      </w:r>
      <w:r>
        <w:t xml:space="preserve"> </w:t>
      </w:r>
      <w:r w:rsidRPr="00303B55">
        <w:t>V</w:t>
      </w:r>
      <w:r>
        <w:t xml:space="preserve"> </w:t>
      </w:r>
      <w:r w:rsidRPr="00303B55">
        <w:t>případech</w:t>
      </w:r>
      <w:r>
        <w:t xml:space="preserve"> </w:t>
      </w:r>
      <w:r w:rsidRPr="00303B55">
        <w:t>uvedených</w:t>
      </w:r>
      <w:r>
        <w:t xml:space="preserve"> </w:t>
      </w:r>
      <w:r w:rsidRPr="00303B55">
        <w:t>v</w:t>
      </w:r>
      <w:r>
        <w:t xml:space="preserve"> </w:t>
      </w:r>
      <w:r w:rsidRPr="00303B55">
        <w:t>odstavci</w:t>
      </w:r>
      <w:r>
        <w:t xml:space="preserve"> </w:t>
      </w:r>
      <w:r w:rsidRPr="00303B55">
        <w:t>1</w:t>
      </w:r>
      <w:r>
        <w:t xml:space="preserve"> </w:t>
      </w:r>
      <w:r w:rsidRPr="00303B55">
        <w:t>písm.</w:t>
      </w:r>
      <w:r>
        <w:t xml:space="preserve"> </w:t>
      </w:r>
      <w:r w:rsidRPr="00303B55">
        <w:t>c)</w:t>
      </w:r>
      <w:r>
        <w:t xml:space="preserve"> </w:t>
      </w:r>
      <w:r w:rsidRPr="00303B55">
        <w:t>je</w:t>
      </w:r>
      <w:r>
        <w:t xml:space="preserve"> </w:t>
      </w:r>
      <w:r w:rsidRPr="00303B55">
        <w:t>právo</w:t>
      </w:r>
      <w:r>
        <w:t xml:space="preserve"> </w:t>
      </w:r>
      <w:r w:rsidRPr="00303B55">
        <w:t>na</w:t>
      </w:r>
      <w:r>
        <w:t xml:space="preserve"> </w:t>
      </w:r>
      <w:r w:rsidRPr="00303B55">
        <w:t>náhradu</w:t>
      </w:r>
      <w:r>
        <w:t xml:space="preserve"> </w:t>
      </w:r>
      <w:r w:rsidRPr="00303B55">
        <w:t>škody</w:t>
      </w:r>
      <w:r>
        <w:t xml:space="preserve"> </w:t>
      </w:r>
      <w:r w:rsidRPr="00303B55">
        <w:t>vyloučeno.</w:t>
      </w:r>
      <w:r>
        <w:t xml:space="preserve"> </w:t>
      </w:r>
      <w:r w:rsidRPr="00303B55">
        <w:t>To</w:t>
      </w:r>
      <w:r>
        <w:t xml:space="preserve"> </w:t>
      </w:r>
      <w:r w:rsidRPr="00303B55">
        <w:t>neplatí,</w:t>
      </w:r>
      <w:r>
        <w:t xml:space="preserve"> </w:t>
      </w:r>
      <w:r w:rsidRPr="00303B55">
        <w:t>nesplní-li</w:t>
      </w:r>
      <w:r>
        <w:t xml:space="preserve"> </w:t>
      </w:r>
      <w:r w:rsidRPr="00303B55">
        <w:t>výrobce</w:t>
      </w:r>
      <w:r>
        <w:t xml:space="preserve"> </w:t>
      </w:r>
      <w:r w:rsidRPr="00303B55">
        <w:t>plynu</w:t>
      </w:r>
      <w:r>
        <w:t xml:space="preserve"> </w:t>
      </w:r>
      <w:r w:rsidRPr="00303B55">
        <w:t>oznamovací</w:t>
      </w:r>
      <w:r>
        <w:t xml:space="preserve"> </w:t>
      </w:r>
      <w:r w:rsidRPr="00303B55">
        <w:t>povinnost</w:t>
      </w:r>
      <w:r>
        <w:t xml:space="preserve"> </w:t>
      </w:r>
      <w:r w:rsidRPr="00303B55">
        <w:t>podle</w:t>
      </w:r>
      <w:r>
        <w:t xml:space="preserve"> </w:t>
      </w:r>
      <w:r w:rsidRPr="00303B55">
        <w:t>odstavce</w:t>
      </w:r>
      <w:r>
        <w:t xml:space="preserve"> </w:t>
      </w:r>
      <w:r w:rsidRPr="00303B55">
        <w:t>5</w:t>
      </w:r>
      <w:r>
        <w:t xml:space="preserve"> </w:t>
      </w:r>
      <w:r w:rsidRPr="00303B55">
        <w:t>nebo</w:t>
      </w:r>
      <w:r>
        <w:t xml:space="preserve"> </w:t>
      </w:r>
      <w:r w:rsidRPr="00303B55">
        <w:t>poruchu</w:t>
      </w:r>
      <w:r>
        <w:t xml:space="preserve"> </w:t>
      </w:r>
      <w:r w:rsidRPr="00303B55">
        <w:t>prokazatelně</w:t>
      </w:r>
      <w:r>
        <w:t xml:space="preserve"> </w:t>
      </w:r>
      <w:r w:rsidRPr="00303B55">
        <w:t>zavinil</w:t>
      </w:r>
      <w:r>
        <w:t xml:space="preserve"> </w:t>
      </w:r>
      <w:r w:rsidRPr="00303B55">
        <w:t>výrobce</w:t>
      </w:r>
      <w:r>
        <w:t xml:space="preserve"> </w:t>
      </w:r>
      <w:r w:rsidRPr="00303B55">
        <w:t>plynu.</w:t>
      </w:r>
    </w:p>
    <w:p w14:paraId="6540157E" w14:textId="77777777" w:rsidR="004262BA" w:rsidRDefault="004262BA" w:rsidP="0010420C">
      <w:pPr>
        <w:pStyle w:val="Textparagrafu"/>
        <w:spacing w:before="120" w:after="120"/>
      </w:pPr>
      <w:r w:rsidRPr="00303B55">
        <w:t>(8)</w:t>
      </w:r>
      <w:r>
        <w:t xml:space="preserve"> </w:t>
      </w:r>
      <w:r w:rsidRPr="00303B55">
        <w:t>Výrobce</w:t>
      </w:r>
      <w:r>
        <w:t xml:space="preserve"> </w:t>
      </w:r>
      <w:r w:rsidRPr="00303B55">
        <w:t>plynu</w:t>
      </w:r>
      <w:r>
        <w:t xml:space="preserve"> </w:t>
      </w:r>
      <w:r w:rsidRPr="00303B55">
        <w:t>je</w:t>
      </w:r>
      <w:r>
        <w:t xml:space="preserve"> </w:t>
      </w:r>
      <w:r w:rsidRPr="00303B55">
        <w:t>dále</w:t>
      </w:r>
      <w:r>
        <w:t xml:space="preserve"> </w:t>
      </w:r>
      <w:r w:rsidRPr="00303B55">
        <w:t>povinen</w:t>
      </w:r>
    </w:p>
    <w:p w14:paraId="66857E2E" w14:textId="40D9EA56" w:rsidR="004262BA" w:rsidRDefault="004262BA" w:rsidP="002E6AEA">
      <w:pPr>
        <w:pStyle w:val="Textparagrafu"/>
        <w:tabs>
          <w:tab w:val="left" w:pos="392"/>
          <w:tab w:val="left" w:pos="840"/>
        </w:tabs>
        <w:spacing w:before="0"/>
        <w:ind w:left="426" w:hanging="426"/>
      </w:pPr>
      <w:r w:rsidRPr="00303B55">
        <w:t>a)</w:t>
      </w:r>
      <w:r w:rsidR="00A03F10">
        <w:tab/>
      </w:r>
      <w:r w:rsidRPr="00303B55">
        <w:t>uhradit</w:t>
      </w:r>
      <w:r>
        <w:t xml:space="preserve"> </w:t>
      </w:r>
      <w:r w:rsidRPr="00303B55">
        <w:t>provozovateli</w:t>
      </w:r>
      <w:r>
        <w:t xml:space="preserve"> </w:t>
      </w:r>
      <w:r w:rsidRPr="00303B55">
        <w:t>přepravní</w:t>
      </w:r>
      <w:r>
        <w:t xml:space="preserve"> </w:t>
      </w:r>
      <w:r w:rsidRPr="00303B55">
        <w:t>soustavy</w:t>
      </w:r>
      <w:r>
        <w:t xml:space="preserve"> </w:t>
      </w:r>
      <w:r w:rsidRPr="00303B55">
        <w:t>nebo</w:t>
      </w:r>
      <w:r>
        <w:t xml:space="preserve"> </w:t>
      </w:r>
      <w:r w:rsidRPr="00303B55">
        <w:t>provozovateli</w:t>
      </w:r>
      <w:r>
        <w:t xml:space="preserve"> </w:t>
      </w:r>
      <w:r w:rsidRPr="00303B55">
        <w:t>distribuční</w:t>
      </w:r>
      <w:r>
        <w:t xml:space="preserve"> </w:t>
      </w:r>
      <w:r w:rsidRPr="00303B55">
        <w:t>soustavy</w:t>
      </w:r>
      <w:r>
        <w:t xml:space="preserve"> </w:t>
      </w:r>
      <w:r w:rsidRPr="00303B55">
        <w:t>nebo</w:t>
      </w:r>
      <w:r>
        <w:t xml:space="preserve"> </w:t>
      </w:r>
      <w:r w:rsidRPr="00303B55">
        <w:t>provozovateli</w:t>
      </w:r>
      <w:r>
        <w:t xml:space="preserve"> </w:t>
      </w:r>
      <w:r w:rsidRPr="00303B55">
        <w:t>zásobníku</w:t>
      </w:r>
      <w:r>
        <w:t xml:space="preserve"> </w:t>
      </w:r>
      <w:r w:rsidRPr="00303B55">
        <w:t>plynu</w:t>
      </w:r>
      <w:r>
        <w:t xml:space="preserve"> </w:t>
      </w:r>
      <w:r w:rsidRPr="00303B55">
        <w:t>nebo</w:t>
      </w:r>
      <w:r>
        <w:t xml:space="preserve"> </w:t>
      </w:r>
      <w:r w:rsidRPr="00303B55">
        <w:t>jinému</w:t>
      </w:r>
      <w:r>
        <w:t xml:space="preserve"> </w:t>
      </w:r>
      <w:r w:rsidRPr="00303B55">
        <w:t>výrobci</w:t>
      </w:r>
      <w:r>
        <w:t xml:space="preserve"> </w:t>
      </w:r>
      <w:r w:rsidRPr="00303B55">
        <w:t>plynu</w:t>
      </w:r>
      <w:r>
        <w:t xml:space="preserve"> </w:t>
      </w:r>
      <w:r w:rsidRPr="00303B55">
        <w:t>stanovený</w:t>
      </w:r>
      <w:r>
        <w:t xml:space="preserve"> </w:t>
      </w:r>
      <w:r w:rsidRPr="00303B55">
        <w:t>podíl</w:t>
      </w:r>
      <w:r>
        <w:t xml:space="preserve"> </w:t>
      </w:r>
      <w:r w:rsidRPr="00303B55">
        <w:t>na</w:t>
      </w:r>
      <w:r>
        <w:t xml:space="preserve"> </w:t>
      </w:r>
      <w:r w:rsidRPr="00303B55">
        <w:t>oprávněných</w:t>
      </w:r>
      <w:r>
        <w:t xml:space="preserve"> </w:t>
      </w:r>
      <w:r w:rsidRPr="00303B55">
        <w:t>nákladech</w:t>
      </w:r>
      <w:r>
        <w:t xml:space="preserve"> </w:t>
      </w:r>
      <w:r w:rsidRPr="00303B55">
        <w:t>na</w:t>
      </w:r>
      <w:r>
        <w:t xml:space="preserve"> </w:t>
      </w:r>
      <w:r w:rsidRPr="00303B55">
        <w:t>připojení</w:t>
      </w:r>
      <w:r>
        <w:t xml:space="preserve"> </w:t>
      </w:r>
      <w:r w:rsidRPr="00303B55">
        <w:t>k</w:t>
      </w:r>
      <w:r>
        <w:t xml:space="preserve"> </w:t>
      </w:r>
      <w:r w:rsidRPr="00303B55">
        <w:t>přepravní</w:t>
      </w:r>
      <w:r>
        <w:t xml:space="preserve"> </w:t>
      </w:r>
      <w:r w:rsidRPr="00303B55">
        <w:t>soustavě</w:t>
      </w:r>
      <w:r>
        <w:t xml:space="preserve"> </w:t>
      </w:r>
      <w:r w:rsidRPr="00303B55">
        <w:t>nebo</w:t>
      </w:r>
      <w:r>
        <w:t xml:space="preserve"> </w:t>
      </w:r>
      <w:r w:rsidRPr="00303B55">
        <w:t>distribuční</w:t>
      </w:r>
      <w:r>
        <w:t xml:space="preserve"> </w:t>
      </w:r>
      <w:r w:rsidRPr="00303B55">
        <w:t>soustavě</w:t>
      </w:r>
      <w:r>
        <w:t xml:space="preserve"> </w:t>
      </w:r>
      <w:r w:rsidRPr="00303B55">
        <w:t>nebo</w:t>
      </w:r>
      <w:r>
        <w:t xml:space="preserve"> </w:t>
      </w:r>
      <w:r w:rsidRPr="00303B55">
        <w:t>těžebnímu</w:t>
      </w:r>
      <w:r>
        <w:t xml:space="preserve"> </w:t>
      </w:r>
      <w:r w:rsidRPr="00303B55">
        <w:t>plynovodu</w:t>
      </w:r>
      <w:r>
        <w:t xml:space="preserve"> </w:t>
      </w:r>
      <w:r w:rsidRPr="00303B55">
        <w:t>jiného</w:t>
      </w:r>
      <w:r>
        <w:t xml:space="preserve"> </w:t>
      </w:r>
      <w:r w:rsidRPr="00303B55">
        <w:t>výrobce</w:t>
      </w:r>
      <w:r>
        <w:t xml:space="preserve"> </w:t>
      </w:r>
      <w:r w:rsidRPr="00303B55">
        <w:t>plynu</w:t>
      </w:r>
      <w:r>
        <w:t xml:space="preserve"> </w:t>
      </w:r>
      <w:r w:rsidRPr="00303B55">
        <w:t>nebo</w:t>
      </w:r>
      <w:r>
        <w:t xml:space="preserve"> </w:t>
      </w:r>
      <w:r w:rsidRPr="00303B55">
        <w:t>k</w:t>
      </w:r>
      <w:r>
        <w:t xml:space="preserve"> </w:t>
      </w:r>
      <w:r w:rsidRPr="00303B55">
        <w:t>zásobníku</w:t>
      </w:r>
      <w:r>
        <w:t xml:space="preserve"> </w:t>
      </w:r>
      <w:r w:rsidRPr="00303B55">
        <w:t>plynu,</w:t>
      </w:r>
    </w:p>
    <w:p w14:paraId="2A468AC5" w14:textId="2583D1A3" w:rsidR="004262BA" w:rsidRDefault="004262BA" w:rsidP="002E6AEA">
      <w:pPr>
        <w:pStyle w:val="Textparagrafu"/>
        <w:tabs>
          <w:tab w:val="left" w:pos="392"/>
          <w:tab w:val="left" w:pos="840"/>
        </w:tabs>
        <w:spacing w:before="0"/>
        <w:ind w:left="426" w:hanging="426"/>
      </w:pPr>
      <w:r w:rsidRPr="00303B55">
        <w:t>b)</w:t>
      </w:r>
      <w:r w:rsidR="00A03F10">
        <w:tab/>
      </w:r>
      <w:r w:rsidRPr="00303B55">
        <w:t>zajistit</w:t>
      </w:r>
      <w:r>
        <w:t xml:space="preserve"> </w:t>
      </w:r>
      <w:r w:rsidRPr="00303B55">
        <w:t>bezpečný</w:t>
      </w:r>
      <w:r>
        <w:t xml:space="preserve"> </w:t>
      </w:r>
      <w:r w:rsidRPr="00303B55">
        <w:t>a</w:t>
      </w:r>
      <w:r>
        <w:t xml:space="preserve"> </w:t>
      </w:r>
      <w:r w:rsidRPr="00303B55">
        <w:t>spolehlivý</w:t>
      </w:r>
      <w:r>
        <w:t xml:space="preserve"> </w:t>
      </w:r>
      <w:r w:rsidRPr="00303B55">
        <w:t>provoz</w:t>
      </w:r>
      <w:r>
        <w:t xml:space="preserve"> </w:t>
      </w:r>
      <w:r w:rsidRPr="00303B55">
        <w:t>výrobny</w:t>
      </w:r>
      <w:r>
        <w:t xml:space="preserve"> </w:t>
      </w:r>
      <w:r w:rsidRPr="00303B55">
        <w:t>plynu</w:t>
      </w:r>
      <w:r>
        <w:t xml:space="preserve"> </w:t>
      </w:r>
      <w:r w:rsidRPr="00303B55">
        <w:t>a</w:t>
      </w:r>
      <w:r>
        <w:t xml:space="preserve"> </w:t>
      </w:r>
      <w:r w:rsidRPr="00303B55">
        <w:t>těžebního</w:t>
      </w:r>
      <w:r>
        <w:t xml:space="preserve"> </w:t>
      </w:r>
      <w:r w:rsidRPr="00303B55">
        <w:t>plynovodu</w:t>
      </w:r>
      <w:r>
        <w:t xml:space="preserve"> </w:t>
      </w:r>
      <w:r w:rsidRPr="00303B55">
        <w:t>a</w:t>
      </w:r>
      <w:r>
        <w:t xml:space="preserve"> </w:t>
      </w:r>
      <w:r w:rsidRPr="00303B55">
        <w:t>neznevýhodňující</w:t>
      </w:r>
      <w:r>
        <w:t xml:space="preserve"> </w:t>
      </w:r>
      <w:r w:rsidRPr="00303B55">
        <w:t>podmínky</w:t>
      </w:r>
      <w:r>
        <w:t xml:space="preserve"> </w:t>
      </w:r>
      <w:r w:rsidRPr="00303B55">
        <w:t>pro</w:t>
      </w:r>
      <w:r>
        <w:t xml:space="preserve"> </w:t>
      </w:r>
      <w:r w:rsidRPr="00303B55">
        <w:t>přístup</w:t>
      </w:r>
      <w:r>
        <w:t xml:space="preserve"> </w:t>
      </w:r>
      <w:r w:rsidRPr="00303B55">
        <w:t>do</w:t>
      </w:r>
      <w:r>
        <w:t xml:space="preserve"> </w:t>
      </w:r>
      <w:r w:rsidRPr="00303B55">
        <w:t>těžebního</w:t>
      </w:r>
      <w:r>
        <w:t xml:space="preserve"> </w:t>
      </w:r>
      <w:r w:rsidRPr="00303B55">
        <w:t>plynovodu,</w:t>
      </w:r>
    </w:p>
    <w:p w14:paraId="6F467C28" w14:textId="32AE1FC2" w:rsidR="004262BA" w:rsidRDefault="004262BA" w:rsidP="002E6AEA">
      <w:pPr>
        <w:pStyle w:val="Textparagrafu"/>
        <w:tabs>
          <w:tab w:val="left" w:pos="392"/>
          <w:tab w:val="left" w:pos="840"/>
        </w:tabs>
        <w:spacing w:before="0"/>
        <w:ind w:left="426" w:hanging="426"/>
      </w:pPr>
      <w:r w:rsidRPr="00303B55">
        <w:t>c)</w:t>
      </w:r>
      <w:r w:rsidR="00A03F10">
        <w:tab/>
      </w:r>
      <w:r w:rsidRPr="00303B55">
        <w:t>poskytovat</w:t>
      </w:r>
      <w:r>
        <w:t xml:space="preserve"> </w:t>
      </w:r>
      <w:r w:rsidRPr="00303B55">
        <w:t>jinému</w:t>
      </w:r>
      <w:r>
        <w:t xml:space="preserve"> </w:t>
      </w:r>
      <w:r w:rsidRPr="00303B55">
        <w:t>výrobci</w:t>
      </w:r>
      <w:r>
        <w:t xml:space="preserve"> </w:t>
      </w:r>
      <w:r w:rsidRPr="00303B55">
        <w:t>plynu</w:t>
      </w:r>
      <w:r>
        <w:t xml:space="preserve"> </w:t>
      </w:r>
      <w:r w:rsidRPr="00303B55">
        <w:t>nebo</w:t>
      </w:r>
      <w:r>
        <w:t xml:space="preserve"> </w:t>
      </w:r>
      <w:r w:rsidRPr="00303B55">
        <w:t>provozovateli</w:t>
      </w:r>
      <w:r>
        <w:t xml:space="preserve"> </w:t>
      </w:r>
      <w:r w:rsidRPr="00303B55">
        <w:t>zásobníku</w:t>
      </w:r>
      <w:r>
        <w:t xml:space="preserve"> </w:t>
      </w:r>
      <w:r w:rsidRPr="00303B55">
        <w:t>plynu,</w:t>
      </w:r>
      <w:r>
        <w:t xml:space="preserve"> </w:t>
      </w:r>
      <w:r w:rsidRPr="00303B55">
        <w:t>provozovateli</w:t>
      </w:r>
      <w:r>
        <w:t xml:space="preserve"> </w:t>
      </w:r>
      <w:r w:rsidRPr="00303B55">
        <w:t>přepravní</w:t>
      </w:r>
      <w:r>
        <w:t xml:space="preserve"> </w:t>
      </w:r>
      <w:r w:rsidRPr="00303B55">
        <w:t>nebo</w:t>
      </w:r>
      <w:r>
        <w:t xml:space="preserve"> </w:t>
      </w:r>
      <w:r w:rsidRPr="00303B55">
        <w:t>distribuční</w:t>
      </w:r>
      <w:r>
        <w:t xml:space="preserve"> </w:t>
      </w:r>
      <w:r w:rsidRPr="00303B55">
        <w:t>soustavy,</w:t>
      </w:r>
      <w:r>
        <w:t xml:space="preserve"> </w:t>
      </w:r>
      <w:r w:rsidRPr="00303B55">
        <w:t>na</w:t>
      </w:r>
      <w:r>
        <w:t xml:space="preserve"> </w:t>
      </w:r>
      <w:r w:rsidRPr="00303B55">
        <w:t>kterou</w:t>
      </w:r>
      <w:r>
        <w:t xml:space="preserve"> </w:t>
      </w:r>
      <w:r w:rsidRPr="00303B55">
        <w:t>jsou</w:t>
      </w:r>
      <w:r>
        <w:t xml:space="preserve"> </w:t>
      </w:r>
      <w:r w:rsidRPr="00303B55">
        <w:t>jeho</w:t>
      </w:r>
      <w:r>
        <w:t xml:space="preserve"> </w:t>
      </w:r>
      <w:r w:rsidRPr="00303B55">
        <w:t>těžební</w:t>
      </w:r>
      <w:r>
        <w:t xml:space="preserve"> </w:t>
      </w:r>
      <w:r w:rsidRPr="00303B55">
        <w:t>plynovody</w:t>
      </w:r>
      <w:r>
        <w:t xml:space="preserve"> </w:t>
      </w:r>
      <w:r w:rsidRPr="00303B55">
        <w:t>napojeny,</w:t>
      </w:r>
      <w:r>
        <w:t xml:space="preserve"> </w:t>
      </w:r>
      <w:r w:rsidRPr="00303B55">
        <w:t>informace</w:t>
      </w:r>
      <w:r>
        <w:t xml:space="preserve"> </w:t>
      </w:r>
      <w:r w:rsidRPr="00303B55">
        <w:t>nutné</w:t>
      </w:r>
      <w:r>
        <w:t xml:space="preserve"> </w:t>
      </w:r>
      <w:r w:rsidRPr="00303B55">
        <w:t>k</w:t>
      </w:r>
      <w:r>
        <w:t xml:space="preserve"> </w:t>
      </w:r>
      <w:r w:rsidRPr="00303B55">
        <w:t>zajištění</w:t>
      </w:r>
      <w:r>
        <w:t xml:space="preserve"> </w:t>
      </w:r>
      <w:r w:rsidRPr="00303B55">
        <w:t>vzájemné</w:t>
      </w:r>
      <w:r>
        <w:t xml:space="preserve"> </w:t>
      </w:r>
      <w:r w:rsidRPr="00303B55">
        <w:t>provozuschopnosti,</w:t>
      </w:r>
    </w:p>
    <w:p w14:paraId="7E160D81" w14:textId="272F338E" w:rsidR="004262BA" w:rsidRDefault="004262BA" w:rsidP="002E6AEA">
      <w:pPr>
        <w:pStyle w:val="Textparagrafu"/>
        <w:tabs>
          <w:tab w:val="left" w:pos="392"/>
          <w:tab w:val="left" w:pos="840"/>
        </w:tabs>
        <w:spacing w:before="0"/>
        <w:ind w:left="426" w:hanging="426"/>
      </w:pPr>
      <w:r w:rsidRPr="00303B55">
        <w:t>d)</w:t>
      </w:r>
      <w:r w:rsidR="00A03F10">
        <w:tab/>
      </w:r>
      <w:r w:rsidRPr="00303B55">
        <w:t>zajistit</w:t>
      </w:r>
      <w:r>
        <w:t xml:space="preserve"> </w:t>
      </w:r>
      <w:r w:rsidRPr="00303B55">
        <w:t>měření</w:t>
      </w:r>
      <w:r>
        <w:t xml:space="preserve"> </w:t>
      </w:r>
      <w:r w:rsidRPr="00303B55">
        <w:t>plynu</w:t>
      </w:r>
      <w:r>
        <w:t xml:space="preserve"> </w:t>
      </w:r>
      <w:r w:rsidRPr="00303B55">
        <w:t>dopravovaného</w:t>
      </w:r>
      <w:r>
        <w:t xml:space="preserve"> </w:t>
      </w:r>
      <w:r w:rsidRPr="00303B55">
        <w:t>jím</w:t>
      </w:r>
      <w:r>
        <w:t xml:space="preserve"> </w:t>
      </w:r>
      <w:r w:rsidRPr="00303B55">
        <w:t>provozovaným</w:t>
      </w:r>
      <w:r>
        <w:t xml:space="preserve"> </w:t>
      </w:r>
      <w:r w:rsidRPr="00303B55">
        <w:t>těžebním</w:t>
      </w:r>
      <w:r>
        <w:t xml:space="preserve"> </w:t>
      </w:r>
      <w:r w:rsidRPr="00303B55">
        <w:t>plynovodem,</w:t>
      </w:r>
      <w:r>
        <w:t xml:space="preserve"> </w:t>
      </w:r>
      <w:r w:rsidRPr="00303B55">
        <w:t>včetně</w:t>
      </w:r>
      <w:r>
        <w:t xml:space="preserve"> </w:t>
      </w:r>
      <w:r w:rsidRPr="00303B55">
        <w:t>jeho</w:t>
      </w:r>
      <w:r>
        <w:t xml:space="preserve"> </w:t>
      </w:r>
      <w:r w:rsidRPr="00303B55">
        <w:t>vyhodnocování</w:t>
      </w:r>
      <w:r>
        <w:t xml:space="preserve"> </w:t>
      </w:r>
      <w:r w:rsidRPr="00303B55">
        <w:t>a</w:t>
      </w:r>
      <w:r>
        <w:t xml:space="preserve"> </w:t>
      </w:r>
      <w:r w:rsidRPr="00303B55">
        <w:t>takto</w:t>
      </w:r>
      <w:r>
        <w:t xml:space="preserve"> </w:t>
      </w:r>
      <w:r w:rsidRPr="00303B55">
        <w:t>vyhodnocené</w:t>
      </w:r>
      <w:r>
        <w:t xml:space="preserve"> </w:t>
      </w:r>
      <w:r w:rsidRPr="00303B55">
        <w:t>údaje</w:t>
      </w:r>
      <w:r>
        <w:t xml:space="preserve"> </w:t>
      </w:r>
      <w:r w:rsidRPr="00303B55">
        <w:t>předávat</w:t>
      </w:r>
      <w:r>
        <w:t xml:space="preserve"> </w:t>
      </w:r>
      <w:r w:rsidRPr="00303B55">
        <w:t>operátorovi</w:t>
      </w:r>
      <w:r>
        <w:t xml:space="preserve"> </w:t>
      </w:r>
      <w:r w:rsidRPr="00303B55">
        <w:t>trhu</w:t>
      </w:r>
      <w:r>
        <w:t xml:space="preserve"> </w:t>
      </w:r>
      <w:r w:rsidRPr="00303B55">
        <w:t>a</w:t>
      </w:r>
      <w:r>
        <w:t xml:space="preserve"> </w:t>
      </w:r>
      <w:r w:rsidRPr="00303B55">
        <w:t>účastníkům</w:t>
      </w:r>
      <w:r>
        <w:t xml:space="preserve"> </w:t>
      </w:r>
      <w:r w:rsidRPr="00303B55">
        <w:t>trhu</w:t>
      </w:r>
      <w:r>
        <w:t xml:space="preserve"> </w:t>
      </w:r>
      <w:r w:rsidRPr="00303B55">
        <w:t>s</w:t>
      </w:r>
      <w:r>
        <w:t xml:space="preserve"> </w:t>
      </w:r>
      <w:r w:rsidRPr="00303B55">
        <w:t>plynem,</w:t>
      </w:r>
      <w:r>
        <w:t xml:space="preserve"> </w:t>
      </w:r>
      <w:r w:rsidRPr="00303B55">
        <w:t>pro</w:t>
      </w:r>
      <w:r>
        <w:t xml:space="preserve"> </w:t>
      </w:r>
      <w:r w:rsidRPr="00303B55">
        <w:t>které</w:t>
      </w:r>
      <w:r>
        <w:t xml:space="preserve"> </w:t>
      </w:r>
      <w:r w:rsidRPr="00303B55">
        <w:t>zajišťuje</w:t>
      </w:r>
      <w:r>
        <w:t xml:space="preserve"> </w:t>
      </w:r>
      <w:r w:rsidRPr="00303B55">
        <w:t>dopravu</w:t>
      </w:r>
      <w:r>
        <w:t xml:space="preserve"> </w:t>
      </w:r>
      <w:r w:rsidRPr="00303B55">
        <w:t>plynu</w:t>
      </w:r>
      <w:r>
        <w:t xml:space="preserve"> </w:t>
      </w:r>
      <w:r w:rsidRPr="00303B55">
        <w:t>těžebním</w:t>
      </w:r>
      <w:r>
        <w:t xml:space="preserve"> </w:t>
      </w:r>
      <w:r w:rsidRPr="00303B55">
        <w:t>plynovodem,</w:t>
      </w:r>
    </w:p>
    <w:p w14:paraId="2F10FB2F" w14:textId="2BD82C0E" w:rsidR="004262BA" w:rsidRDefault="004262BA" w:rsidP="002E6AEA">
      <w:pPr>
        <w:pStyle w:val="Textparagrafu"/>
        <w:tabs>
          <w:tab w:val="left" w:pos="392"/>
          <w:tab w:val="left" w:pos="840"/>
        </w:tabs>
        <w:spacing w:before="0"/>
        <w:ind w:left="426" w:hanging="426"/>
      </w:pPr>
      <w:r w:rsidRPr="00303B55">
        <w:t>e)</w:t>
      </w:r>
      <w:r w:rsidR="00A03F10">
        <w:tab/>
      </w:r>
      <w:r w:rsidRPr="00303B55">
        <w:t>vypracovávat</w:t>
      </w:r>
      <w:r>
        <w:t xml:space="preserve"> </w:t>
      </w:r>
      <w:r w:rsidRPr="00303B55">
        <w:t>denní,</w:t>
      </w:r>
      <w:r>
        <w:t xml:space="preserve"> </w:t>
      </w:r>
      <w:r w:rsidRPr="00303B55">
        <w:t>měsíční,</w:t>
      </w:r>
      <w:r>
        <w:t xml:space="preserve"> </w:t>
      </w:r>
      <w:r w:rsidRPr="00303B55">
        <w:t>roční</w:t>
      </w:r>
      <w:r>
        <w:t xml:space="preserve"> </w:t>
      </w:r>
      <w:r w:rsidRPr="00303B55">
        <w:t>a</w:t>
      </w:r>
      <w:r>
        <w:t xml:space="preserve"> </w:t>
      </w:r>
      <w:r w:rsidRPr="00303B55">
        <w:t>desetiletou</w:t>
      </w:r>
      <w:r>
        <w:t xml:space="preserve"> </w:t>
      </w:r>
      <w:r w:rsidRPr="00303B55">
        <w:t>bilanci</w:t>
      </w:r>
      <w:r>
        <w:t xml:space="preserve"> </w:t>
      </w:r>
      <w:r w:rsidRPr="00303B55">
        <w:t>výroby</w:t>
      </w:r>
      <w:r>
        <w:t xml:space="preserve"> </w:t>
      </w:r>
      <w:r w:rsidRPr="00303B55">
        <w:t>plynu,</w:t>
      </w:r>
      <w:r>
        <w:t xml:space="preserve"> </w:t>
      </w:r>
      <w:r w:rsidRPr="00303B55">
        <w:t>vyhodnocovat</w:t>
      </w:r>
      <w:r>
        <w:t xml:space="preserve"> </w:t>
      </w:r>
      <w:r w:rsidRPr="00303B55">
        <w:t>ji</w:t>
      </w:r>
      <w:r>
        <w:t xml:space="preserve"> </w:t>
      </w:r>
      <w:r w:rsidRPr="00303B55">
        <w:t>a</w:t>
      </w:r>
      <w:r>
        <w:t xml:space="preserve"> </w:t>
      </w:r>
      <w:r w:rsidRPr="00303B55">
        <w:t>předávat</w:t>
      </w:r>
      <w:r>
        <w:t xml:space="preserve"> </w:t>
      </w:r>
      <w:r w:rsidRPr="00303B55">
        <w:t>operátorovi</w:t>
      </w:r>
      <w:r>
        <w:t xml:space="preserve"> </w:t>
      </w:r>
      <w:r w:rsidRPr="00303B55">
        <w:t>trhu</w:t>
      </w:r>
      <w:r>
        <w:t xml:space="preserve"> </w:t>
      </w:r>
      <w:r w:rsidRPr="00303B55">
        <w:t>a</w:t>
      </w:r>
      <w:r>
        <w:t xml:space="preserve"> </w:t>
      </w:r>
      <w:r w:rsidRPr="00303B55">
        <w:t>provozovateli</w:t>
      </w:r>
      <w:r>
        <w:t xml:space="preserve"> </w:t>
      </w:r>
      <w:r w:rsidRPr="00303B55">
        <w:t>přepravní</w:t>
      </w:r>
      <w:r>
        <w:t xml:space="preserve"> </w:t>
      </w:r>
      <w:r w:rsidRPr="00303B55">
        <w:t>soustavy,</w:t>
      </w:r>
    </w:p>
    <w:p w14:paraId="39811483" w14:textId="77777777" w:rsidR="004262BA" w:rsidRDefault="004262BA" w:rsidP="002E6AEA">
      <w:pPr>
        <w:pStyle w:val="Textparagrafu"/>
        <w:tabs>
          <w:tab w:val="left" w:pos="392"/>
          <w:tab w:val="left" w:pos="840"/>
        </w:tabs>
        <w:spacing w:before="0"/>
        <w:ind w:left="426" w:hanging="426"/>
      </w:pPr>
      <w:r w:rsidRPr="00303B55">
        <w:lastRenderedPageBreak/>
        <w:t>f)</w:t>
      </w:r>
      <w:r>
        <w:t xml:space="preserve"> </w:t>
      </w:r>
      <w:r w:rsidRPr="00303B55">
        <w:t>vypracovat</w:t>
      </w:r>
      <w:r>
        <w:t xml:space="preserve"> </w:t>
      </w:r>
      <w:r w:rsidRPr="00303B55">
        <w:t>do</w:t>
      </w:r>
      <w:r>
        <w:t xml:space="preserve"> </w:t>
      </w:r>
      <w:r w:rsidRPr="00303B55">
        <w:t>6</w:t>
      </w:r>
      <w:r>
        <w:t xml:space="preserve"> </w:t>
      </w:r>
      <w:r w:rsidRPr="00303B55">
        <w:t>měsíců</w:t>
      </w:r>
      <w:r>
        <w:t xml:space="preserve"> </w:t>
      </w:r>
      <w:r w:rsidRPr="00303B55">
        <w:t>po</w:t>
      </w:r>
      <w:r>
        <w:t xml:space="preserve"> </w:t>
      </w:r>
      <w:r w:rsidRPr="00303B55">
        <w:t>udělení</w:t>
      </w:r>
      <w:r>
        <w:t xml:space="preserve"> </w:t>
      </w:r>
      <w:r w:rsidRPr="00303B55">
        <w:t>licence</w:t>
      </w:r>
      <w:r>
        <w:t xml:space="preserve"> </w:t>
      </w:r>
      <w:r w:rsidRPr="00303B55">
        <w:t>na</w:t>
      </w:r>
      <w:r>
        <w:t xml:space="preserve"> </w:t>
      </w:r>
      <w:r w:rsidRPr="00303B55">
        <w:t>výrobu</w:t>
      </w:r>
      <w:r>
        <w:t xml:space="preserve"> </w:t>
      </w:r>
      <w:r w:rsidRPr="00303B55">
        <w:t>plynu</w:t>
      </w:r>
      <w:r>
        <w:t xml:space="preserve"> </w:t>
      </w:r>
      <w:r w:rsidRPr="00303B55">
        <w:t>havarijní</w:t>
      </w:r>
      <w:r>
        <w:t xml:space="preserve"> </w:t>
      </w:r>
      <w:r w:rsidRPr="00303B55">
        <w:t>plány</w:t>
      </w:r>
      <w:r>
        <w:t xml:space="preserve"> </w:t>
      </w:r>
      <w:r w:rsidRPr="00303B55">
        <w:t>výroben</w:t>
      </w:r>
      <w:r>
        <w:t xml:space="preserve"> </w:t>
      </w:r>
      <w:r w:rsidRPr="00303B55">
        <w:t>plynu,</w:t>
      </w:r>
      <w:r>
        <w:t xml:space="preserve"> </w:t>
      </w:r>
      <w:r w:rsidRPr="00303B55">
        <w:t>zaslat</w:t>
      </w:r>
      <w:r>
        <w:t xml:space="preserve"> </w:t>
      </w:r>
      <w:r w:rsidRPr="00303B55">
        <w:t>je</w:t>
      </w:r>
      <w:r>
        <w:t xml:space="preserve"> </w:t>
      </w:r>
      <w:r w:rsidRPr="00303B55">
        <w:t>ministerstvu</w:t>
      </w:r>
      <w:r>
        <w:t xml:space="preserve"> </w:t>
      </w:r>
      <w:r w:rsidRPr="00303B55">
        <w:t>a</w:t>
      </w:r>
      <w:r>
        <w:t xml:space="preserve"> </w:t>
      </w:r>
      <w:r w:rsidRPr="00303B55">
        <w:t>každoročně</w:t>
      </w:r>
      <w:r>
        <w:t xml:space="preserve"> </w:t>
      </w:r>
      <w:r w:rsidRPr="00303B55">
        <w:t>je</w:t>
      </w:r>
      <w:r>
        <w:t xml:space="preserve"> </w:t>
      </w:r>
      <w:r w:rsidRPr="00303B55">
        <w:t>upřesňovat,</w:t>
      </w:r>
    </w:p>
    <w:p w14:paraId="27FCC8A6" w14:textId="7DBE6E6D" w:rsidR="004262BA" w:rsidRDefault="004262BA" w:rsidP="002E6AEA">
      <w:pPr>
        <w:pStyle w:val="Textparagrafu"/>
        <w:tabs>
          <w:tab w:val="left" w:pos="392"/>
          <w:tab w:val="left" w:pos="426"/>
        </w:tabs>
        <w:spacing w:before="0"/>
        <w:ind w:left="426" w:hanging="426"/>
      </w:pPr>
      <w:r w:rsidRPr="00303B55">
        <w:t>g)</w:t>
      </w:r>
      <w:r w:rsidR="00A03F10">
        <w:tab/>
      </w:r>
      <w:r w:rsidRPr="00303B55">
        <w:t>zřídit</w:t>
      </w:r>
      <w:r>
        <w:t xml:space="preserve"> </w:t>
      </w:r>
      <w:r w:rsidRPr="00303B55">
        <w:t>a</w:t>
      </w:r>
      <w:r>
        <w:t xml:space="preserve"> </w:t>
      </w:r>
      <w:r w:rsidRPr="00303B55">
        <w:t>provozovat</w:t>
      </w:r>
      <w:r>
        <w:t xml:space="preserve"> </w:t>
      </w:r>
      <w:r w:rsidRPr="00303B55">
        <w:t>technický</w:t>
      </w:r>
      <w:r>
        <w:t xml:space="preserve"> </w:t>
      </w:r>
      <w:r w:rsidRPr="00303B55">
        <w:t>dispečink,</w:t>
      </w:r>
      <w:r>
        <w:t xml:space="preserve"> </w:t>
      </w:r>
      <w:r w:rsidRPr="00303B55">
        <w:t>který</w:t>
      </w:r>
      <w:r>
        <w:t xml:space="preserve"> </w:t>
      </w:r>
      <w:r w:rsidRPr="00303B55">
        <w:t>odpovídá</w:t>
      </w:r>
      <w:r>
        <w:t xml:space="preserve"> </w:t>
      </w:r>
      <w:r w:rsidRPr="00303B55">
        <w:t>za</w:t>
      </w:r>
      <w:r>
        <w:t xml:space="preserve"> </w:t>
      </w:r>
      <w:r w:rsidRPr="00303B55">
        <w:t>dispečerské</w:t>
      </w:r>
      <w:r>
        <w:t xml:space="preserve"> </w:t>
      </w:r>
      <w:r w:rsidRPr="00303B55">
        <w:t>řízení</w:t>
      </w:r>
      <w:r>
        <w:t xml:space="preserve"> </w:t>
      </w:r>
      <w:r w:rsidRPr="00303B55">
        <w:t>výroby</w:t>
      </w:r>
      <w:r>
        <w:t xml:space="preserve"> </w:t>
      </w:r>
      <w:r w:rsidRPr="00303B55">
        <w:t>plynu,</w:t>
      </w:r>
    </w:p>
    <w:p w14:paraId="27AA40BA" w14:textId="77777777" w:rsidR="004262BA" w:rsidRDefault="004262BA" w:rsidP="002E6AEA">
      <w:pPr>
        <w:pStyle w:val="Textparagrafu"/>
        <w:tabs>
          <w:tab w:val="left" w:pos="392"/>
          <w:tab w:val="left" w:pos="840"/>
        </w:tabs>
        <w:spacing w:before="0"/>
        <w:ind w:left="426" w:hanging="426"/>
      </w:pPr>
      <w:r w:rsidRPr="00303B55">
        <w:t>h)</w:t>
      </w:r>
      <w:r>
        <w:t xml:space="preserve"> </w:t>
      </w:r>
      <w:r w:rsidRPr="00303B55">
        <w:t>vyhlašovat</w:t>
      </w:r>
      <w:r>
        <w:t xml:space="preserve"> </w:t>
      </w:r>
      <w:r w:rsidRPr="00303B55">
        <w:t>stav</w:t>
      </w:r>
      <w:r>
        <w:t xml:space="preserve"> </w:t>
      </w:r>
      <w:r w:rsidRPr="00303B55">
        <w:t>nouze</w:t>
      </w:r>
      <w:r>
        <w:t xml:space="preserve"> </w:t>
      </w:r>
      <w:r w:rsidRPr="00303B55">
        <w:t>v</w:t>
      </w:r>
      <w:r>
        <w:t xml:space="preserve"> </w:t>
      </w:r>
      <w:r w:rsidRPr="00303B55">
        <w:t>rámci</w:t>
      </w:r>
      <w:r>
        <w:t xml:space="preserve"> </w:t>
      </w:r>
      <w:r w:rsidRPr="00303B55">
        <w:t>výrobny</w:t>
      </w:r>
      <w:r>
        <w:t xml:space="preserve"> </w:t>
      </w:r>
      <w:r w:rsidRPr="00303B55">
        <w:t>plynu</w:t>
      </w:r>
      <w:r>
        <w:t xml:space="preserve"> </w:t>
      </w:r>
      <w:r w:rsidRPr="00303B55">
        <w:t>a</w:t>
      </w:r>
      <w:r>
        <w:t xml:space="preserve"> </w:t>
      </w:r>
      <w:r w:rsidRPr="00303B55">
        <w:t>těžebních</w:t>
      </w:r>
      <w:r>
        <w:t xml:space="preserve"> </w:t>
      </w:r>
      <w:r w:rsidRPr="00303B55">
        <w:t>plynovodů,</w:t>
      </w:r>
    </w:p>
    <w:p w14:paraId="4981F0CB" w14:textId="0AD2CF7B" w:rsidR="004262BA" w:rsidRDefault="004262BA" w:rsidP="002E6AEA">
      <w:pPr>
        <w:pStyle w:val="Textparagrafu"/>
        <w:tabs>
          <w:tab w:val="left" w:pos="392"/>
          <w:tab w:val="left" w:pos="840"/>
        </w:tabs>
        <w:spacing w:before="0"/>
        <w:ind w:left="426" w:hanging="426"/>
      </w:pPr>
      <w:r w:rsidRPr="00303B55">
        <w:t>i)</w:t>
      </w:r>
      <w:r w:rsidR="00A03F10">
        <w:tab/>
      </w:r>
      <w:r w:rsidRPr="00303B55">
        <w:t>vést</w:t>
      </w:r>
      <w:r>
        <w:t xml:space="preserve"> </w:t>
      </w:r>
      <w:r w:rsidRPr="00303B55">
        <w:t>samostatné</w:t>
      </w:r>
      <w:r>
        <w:t xml:space="preserve"> </w:t>
      </w:r>
      <w:r w:rsidRPr="00303B55">
        <w:t>účty</w:t>
      </w:r>
      <w:r>
        <w:t xml:space="preserve"> </w:t>
      </w:r>
      <w:r w:rsidRPr="00303B55">
        <w:t>za</w:t>
      </w:r>
      <w:r>
        <w:t xml:space="preserve"> </w:t>
      </w:r>
      <w:r w:rsidRPr="00303B55">
        <w:t>výrobu</w:t>
      </w:r>
      <w:r>
        <w:t xml:space="preserve"> </w:t>
      </w:r>
      <w:r w:rsidRPr="00303B55">
        <w:t>plynu,</w:t>
      </w:r>
    </w:p>
    <w:p w14:paraId="18FF71B1" w14:textId="28F689DC" w:rsidR="004262BA" w:rsidRDefault="004262BA" w:rsidP="002E6AEA">
      <w:pPr>
        <w:pStyle w:val="Textparagrafu"/>
        <w:tabs>
          <w:tab w:val="left" w:pos="392"/>
          <w:tab w:val="left" w:pos="840"/>
        </w:tabs>
        <w:spacing w:before="0"/>
        <w:ind w:left="426" w:hanging="426"/>
      </w:pPr>
      <w:r w:rsidRPr="00303B55">
        <w:t>j)</w:t>
      </w:r>
      <w:r w:rsidR="00A03F10">
        <w:tab/>
      </w:r>
      <w:r w:rsidRPr="00303B55">
        <w:t>připojit</w:t>
      </w:r>
      <w:r>
        <w:t xml:space="preserve"> </w:t>
      </w:r>
      <w:r w:rsidRPr="00303B55">
        <w:t>k</w:t>
      </w:r>
      <w:r>
        <w:t xml:space="preserve"> </w:t>
      </w:r>
      <w:r w:rsidRPr="00303B55">
        <w:t>těžebnímu</w:t>
      </w:r>
      <w:r>
        <w:t xml:space="preserve"> </w:t>
      </w:r>
      <w:r w:rsidRPr="00303B55">
        <w:t>plynovodu</w:t>
      </w:r>
      <w:r>
        <w:t xml:space="preserve"> </w:t>
      </w:r>
      <w:r w:rsidRPr="00303B55">
        <w:t>každého,</w:t>
      </w:r>
      <w:r>
        <w:t xml:space="preserve"> </w:t>
      </w:r>
      <w:r w:rsidRPr="00303B55">
        <w:t>kdo</w:t>
      </w:r>
      <w:r>
        <w:t xml:space="preserve"> </w:t>
      </w:r>
      <w:r w:rsidRPr="00303B55">
        <w:t>o</w:t>
      </w:r>
      <w:r>
        <w:t xml:space="preserve"> </w:t>
      </w:r>
      <w:r w:rsidRPr="00303B55">
        <w:t>to</w:t>
      </w:r>
      <w:r>
        <w:t xml:space="preserve"> </w:t>
      </w:r>
      <w:r w:rsidRPr="00303B55">
        <w:t>požádá</w:t>
      </w:r>
      <w:r>
        <w:t xml:space="preserve"> </w:t>
      </w:r>
      <w:r w:rsidRPr="00303B55">
        <w:t>a</w:t>
      </w:r>
      <w:r>
        <w:t xml:space="preserve"> </w:t>
      </w:r>
      <w:r w:rsidRPr="00303B55">
        <w:t>splňuje</w:t>
      </w:r>
      <w:r>
        <w:t xml:space="preserve"> </w:t>
      </w:r>
      <w:r w:rsidRPr="00303B55">
        <w:t>podmínky</w:t>
      </w:r>
      <w:r>
        <w:t xml:space="preserve"> </w:t>
      </w:r>
      <w:r w:rsidRPr="00303B55">
        <w:t>připojení</w:t>
      </w:r>
      <w:r>
        <w:t xml:space="preserve"> </w:t>
      </w:r>
      <w:r w:rsidRPr="00303B55">
        <w:t>s</w:t>
      </w:r>
      <w:r>
        <w:t xml:space="preserve"> </w:t>
      </w:r>
      <w:r w:rsidRPr="00303B55">
        <w:t>výjimkou</w:t>
      </w:r>
      <w:r>
        <w:t xml:space="preserve"> </w:t>
      </w:r>
      <w:r w:rsidRPr="00303B55">
        <w:t>prokazatelného</w:t>
      </w:r>
      <w:r>
        <w:t xml:space="preserve"> </w:t>
      </w:r>
      <w:r w:rsidRPr="00303B55">
        <w:t>nedostatku</w:t>
      </w:r>
      <w:r>
        <w:t xml:space="preserve"> </w:t>
      </w:r>
      <w:r w:rsidRPr="00303B55">
        <w:t>volné</w:t>
      </w:r>
      <w:r>
        <w:t xml:space="preserve"> </w:t>
      </w:r>
      <w:r w:rsidRPr="00303B55">
        <w:t>kapacity;</w:t>
      </w:r>
      <w:r>
        <w:t xml:space="preserve"> </w:t>
      </w:r>
      <w:r w:rsidRPr="00303B55">
        <w:t>odmítnutí</w:t>
      </w:r>
      <w:r>
        <w:t xml:space="preserve"> </w:t>
      </w:r>
      <w:r w:rsidRPr="00303B55">
        <w:t>připojení</w:t>
      </w:r>
      <w:r>
        <w:t xml:space="preserve"> </w:t>
      </w:r>
      <w:r w:rsidRPr="00303B55">
        <w:t>k</w:t>
      </w:r>
      <w:r>
        <w:t xml:space="preserve"> </w:t>
      </w:r>
      <w:r w:rsidRPr="00303B55">
        <w:t>těžebnímu</w:t>
      </w:r>
      <w:r>
        <w:t xml:space="preserve"> </w:t>
      </w:r>
      <w:r w:rsidRPr="00303B55">
        <w:t>plynovodu</w:t>
      </w:r>
      <w:r>
        <w:t xml:space="preserve"> </w:t>
      </w:r>
      <w:r w:rsidRPr="00303B55">
        <w:t>musí</w:t>
      </w:r>
      <w:r>
        <w:t xml:space="preserve"> </w:t>
      </w:r>
      <w:r w:rsidRPr="00303B55">
        <w:t>mít</w:t>
      </w:r>
      <w:r>
        <w:t xml:space="preserve"> </w:t>
      </w:r>
      <w:r w:rsidRPr="00303B55">
        <w:t>písemnou</w:t>
      </w:r>
      <w:r>
        <w:t xml:space="preserve"> </w:t>
      </w:r>
      <w:r w:rsidRPr="00303B55">
        <w:t>formu</w:t>
      </w:r>
      <w:r>
        <w:t xml:space="preserve"> </w:t>
      </w:r>
      <w:r w:rsidRPr="00303B55">
        <w:t>a</w:t>
      </w:r>
      <w:r>
        <w:t xml:space="preserve"> </w:t>
      </w:r>
      <w:r w:rsidRPr="00303B55">
        <w:t>musí</w:t>
      </w:r>
      <w:r>
        <w:t xml:space="preserve"> </w:t>
      </w:r>
      <w:r w:rsidRPr="00303B55">
        <w:t>být</w:t>
      </w:r>
      <w:r>
        <w:t xml:space="preserve"> </w:t>
      </w:r>
      <w:r w:rsidRPr="00303B55">
        <w:t>odůvodněno,</w:t>
      </w:r>
    </w:p>
    <w:p w14:paraId="1AB953E4" w14:textId="294122E5" w:rsidR="004262BA" w:rsidRDefault="004262BA" w:rsidP="002E6AEA">
      <w:pPr>
        <w:pStyle w:val="Textparagrafu"/>
        <w:tabs>
          <w:tab w:val="left" w:pos="392"/>
          <w:tab w:val="left" w:pos="840"/>
        </w:tabs>
        <w:spacing w:before="0"/>
        <w:ind w:left="426" w:hanging="426"/>
      </w:pPr>
      <w:r w:rsidRPr="00303B55">
        <w:t>k)</w:t>
      </w:r>
      <w:r w:rsidR="00A03F10">
        <w:tab/>
      </w:r>
      <w:r w:rsidRPr="00303B55">
        <w:t>předávat</w:t>
      </w:r>
      <w:r>
        <w:t xml:space="preserve"> </w:t>
      </w:r>
      <w:r w:rsidRPr="00303B55">
        <w:t>operátorovi</w:t>
      </w:r>
      <w:r>
        <w:t xml:space="preserve"> </w:t>
      </w:r>
      <w:r w:rsidRPr="00303B55">
        <w:t>trhu</w:t>
      </w:r>
      <w:r>
        <w:t xml:space="preserve"> </w:t>
      </w:r>
      <w:r w:rsidRPr="00303B55">
        <w:t>údaje</w:t>
      </w:r>
      <w:r>
        <w:t xml:space="preserve"> </w:t>
      </w:r>
      <w:r w:rsidRPr="00303B55">
        <w:t>o</w:t>
      </w:r>
      <w:r>
        <w:t xml:space="preserve"> </w:t>
      </w:r>
      <w:r w:rsidRPr="00303B55">
        <w:t>výši</w:t>
      </w:r>
      <w:r>
        <w:t xml:space="preserve"> </w:t>
      </w:r>
      <w:r w:rsidRPr="00303B55">
        <w:t>a</w:t>
      </w:r>
      <w:r>
        <w:t xml:space="preserve"> </w:t>
      </w:r>
      <w:r w:rsidRPr="00303B55">
        <w:t>průběhu</w:t>
      </w:r>
      <w:r>
        <w:t xml:space="preserve"> </w:t>
      </w:r>
      <w:r w:rsidRPr="00303B55">
        <w:t>dodávky</w:t>
      </w:r>
      <w:r>
        <w:t xml:space="preserve"> </w:t>
      </w:r>
      <w:r w:rsidRPr="00303B55">
        <w:t>plynu</w:t>
      </w:r>
      <w:r>
        <w:t xml:space="preserve"> </w:t>
      </w:r>
      <w:r w:rsidRPr="00303B55">
        <w:t>vyplývající</w:t>
      </w:r>
      <w:r>
        <w:t xml:space="preserve"> </w:t>
      </w:r>
      <w:r w:rsidRPr="00303B55">
        <w:t>ze</w:t>
      </w:r>
      <w:r>
        <w:t xml:space="preserve"> </w:t>
      </w:r>
      <w:r w:rsidRPr="00303B55">
        <w:t>smluv</w:t>
      </w:r>
      <w:r>
        <w:t xml:space="preserve"> </w:t>
      </w:r>
      <w:r w:rsidRPr="00303B55">
        <w:t>o</w:t>
      </w:r>
      <w:r>
        <w:t xml:space="preserve"> </w:t>
      </w:r>
      <w:r w:rsidRPr="00303B55">
        <w:t>dodávce</w:t>
      </w:r>
      <w:r>
        <w:t xml:space="preserve"> </w:t>
      </w:r>
      <w:r w:rsidRPr="00303B55">
        <w:t>plynu</w:t>
      </w:r>
      <w:r>
        <w:t xml:space="preserve"> </w:t>
      </w:r>
      <w:r w:rsidRPr="00303B55">
        <w:t>a</w:t>
      </w:r>
      <w:r>
        <w:t xml:space="preserve"> </w:t>
      </w:r>
      <w:r w:rsidRPr="00303B55">
        <w:t>další</w:t>
      </w:r>
      <w:r>
        <w:t xml:space="preserve"> </w:t>
      </w:r>
      <w:r w:rsidRPr="00303B55">
        <w:t>nezbytné</w:t>
      </w:r>
      <w:r>
        <w:t xml:space="preserve"> </w:t>
      </w:r>
      <w:r w:rsidRPr="00303B55">
        <w:t>informace</w:t>
      </w:r>
      <w:r>
        <w:t xml:space="preserve"> </w:t>
      </w:r>
      <w:r w:rsidRPr="00303B55">
        <w:t>pro</w:t>
      </w:r>
      <w:r>
        <w:t xml:space="preserve"> </w:t>
      </w:r>
      <w:r w:rsidRPr="00303B55">
        <w:t>plnění</w:t>
      </w:r>
      <w:r>
        <w:t xml:space="preserve"> </w:t>
      </w:r>
      <w:r w:rsidRPr="00303B55">
        <w:t>povinnosti</w:t>
      </w:r>
      <w:r>
        <w:t xml:space="preserve"> </w:t>
      </w:r>
      <w:r w:rsidRPr="00303B55">
        <w:t>operátora</w:t>
      </w:r>
      <w:r>
        <w:t xml:space="preserve"> </w:t>
      </w:r>
      <w:r w:rsidRPr="00303B55">
        <w:t>trhu,</w:t>
      </w:r>
    </w:p>
    <w:p w14:paraId="52D41B55" w14:textId="53409C0B" w:rsidR="004262BA" w:rsidRDefault="004262BA" w:rsidP="002E6AEA">
      <w:pPr>
        <w:pStyle w:val="Textparagrafu"/>
        <w:tabs>
          <w:tab w:val="left" w:pos="392"/>
          <w:tab w:val="left" w:pos="840"/>
        </w:tabs>
        <w:spacing w:before="0"/>
        <w:ind w:left="426" w:hanging="426"/>
      </w:pPr>
      <w:r w:rsidRPr="00303B55">
        <w:t>l)</w:t>
      </w:r>
      <w:r w:rsidR="00A03F10">
        <w:tab/>
      </w:r>
      <w:r w:rsidRPr="00303B55">
        <w:t>dodržovat</w:t>
      </w:r>
      <w:r>
        <w:t xml:space="preserve"> </w:t>
      </w:r>
      <w:r w:rsidRPr="00303B55">
        <w:t>ustanovení</w:t>
      </w:r>
      <w:r>
        <w:t xml:space="preserve"> </w:t>
      </w:r>
      <w:r w:rsidRPr="00303B55">
        <w:t>§</w:t>
      </w:r>
      <w:r>
        <w:t xml:space="preserve"> </w:t>
      </w:r>
      <w:r w:rsidRPr="00303B55">
        <w:t>61</w:t>
      </w:r>
      <w:r>
        <w:t xml:space="preserve"> </w:t>
      </w:r>
      <w:r w:rsidRPr="00303B55">
        <w:t>odst.</w:t>
      </w:r>
      <w:r>
        <w:t xml:space="preserve"> </w:t>
      </w:r>
      <w:r w:rsidRPr="00303B55">
        <w:t>2</w:t>
      </w:r>
      <w:r>
        <w:t xml:space="preserve"> </w:t>
      </w:r>
      <w:r w:rsidRPr="00303B55">
        <w:t>v</w:t>
      </w:r>
      <w:r>
        <w:t xml:space="preserve"> </w:t>
      </w:r>
      <w:r w:rsidRPr="00303B55">
        <w:t>případech,</w:t>
      </w:r>
      <w:r>
        <w:t xml:space="preserve"> </w:t>
      </w:r>
      <w:r w:rsidRPr="00303B55">
        <w:t>kdy</w:t>
      </w:r>
      <w:r>
        <w:t xml:space="preserve"> </w:t>
      </w:r>
      <w:r w:rsidRPr="00303B55">
        <w:t>dodává</w:t>
      </w:r>
      <w:r>
        <w:t xml:space="preserve"> </w:t>
      </w:r>
      <w:r w:rsidRPr="00303B55">
        <w:t>plyn</w:t>
      </w:r>
      <w:r>
        <w:t xml:space="preserve"> </w:t>
      </w:r>
      <w:r w:rsidRPr="00303B55">
        <w:t>zákazníkům,</w:t>
      </w:r>
    </w:p>
    <w:p w14:paraId="2E296CFD" w14:textId="0D426A9F" w:rsidR="004262BA" w:rsidRDefault="004262BA" w:rsidP="002E6AEA">
      <w:pPr>
        <w:pStyle w:val="Textparagrafu"/>
        <w:tabs>
          <w:tab w:val="left" w:pos="392"/>
          <w:tab w:val="left" w:pos="840"/>
        </w:tabs>
        <w:spacing w:before="0"/>
        <w:ind w:left="426" w:hanging="426"/>
      </w:pPr>
      <w:r w:rsidRPr="00303B55">
        <w:t>m)</w:t>
      </w:r>
      <w:r w:rsidR="00A03F10">
        <w:tab/>
      </w:r>
      <w:r w:rsidRPr="00303B55">
        <w:t>zaregistrovat</w:t>
      </w:r>
      <w:r>
        <w:t xml:space="preserve"> </w:t>
      </w:r>
      <w:r w:rsidRPr="00303B55">
        <w:t>se</w:t>
      </w:r>
      <w:r>
        <w:t xml:space="preserve"> </w:t>
      </w:r>
      <w:r w:rsidRPr="00303B55">
        <w:t>do</w:t>
      </w:r>
      <w:r>
        <w:t xml:space="preserve"> </w:t>
      </w:r>
      <w:r w:rsidRPr="00303B55">
        <w:t>30</w:t>
      </w:r>
      <w:r>
        <w:t xml:space="preserve"> </w:t>
      </w:r>
      <w:r w:rsidRPr="00303B55">
        <w:t>dnů</w:t>
      </w:r>
      <w:r>
        <w:t xml:space="preserve"> </w:t>
      </w:r>
      <w:r w:rsidRPr="00303B55">
        <w:t>od</w:t>
      </w:r>
      <w:r>
        <w:t xml:space="preserve"> </w:t>
      </w:r>
      <w:r w:rsidRPr="00303B55">
        <w:t>udělení</w:t>
      </w:r>
      <w:r>
        <w:t xml:space="preserve"> </w:t>
      </w:r>
      <w:r w:rsidRPr="00303B55">
        <w:t>licence</w:t>
      </w:r>
      <w:r>
        <w:t xml:space="preserve"> </w:t>
      </w:r>
      <w:r w:rsidRPr="00303B55">
        <w:t>na</w:t>
      </w:r>
      <w:r>
        <w:t xml:space="preserve"> </w:t>
      </w:r>
      <w:r w:rsidRPr="00303B55">
        <w:t>výrobu</w:t>
      </w:r>
      <w:r>
        <w:t xml:space="preserve"> </w:t>
      </w:r>
      <w:r w:rsidRPr="00303B55">
        <w:t>plynu</w:t>
      </w:r>
      <w:r>
        <w:t xml:space="preserve"> </w:t>
      </w:r>
      <w:r w:rsidRPr="00303B55">
        <w:t>u</w:t>
      </w:r>
      <w:r>
        <w:t xml:space="preserve"> </w:t>
      </w:r>
      <w:r w:rsidRPr="00303B55">
        <w:t>operátora</w:t>
      </w:r>
      <w:r>
        <w:t xml:space="preserve"> </w:t>
      </w:r>
      <w:r w:rsidRPr="00303B55">
        <w:t>trhu,</w:t>
      </w:r>
      <w:r>
        <w:t xml:space="preserve"> </w:t>
      </w:r>
      <w:r w:rsidRPr="00303B55">
        <w:t>zaregistrováním</w:t>
      </w:r>
      <w:r>
        <w:t xml:space="preserve"> </w:t>
      </w:r>
      <w:r w:rsidRPr="00303B55">
        <w:t>se</w:t>
      </w:r>
      <w:r>
        <w:t xml:space="preserve"> </w:t>
      </w:r>
      <w:r w:rsidRPr="00303B55">
        <w:t>výrobce</w:t>
      </w:r>
      <w:r>
        <w:t xml:space="preserve"> </w:t>
      </w:r>
      <w:r w:rsidRPr="00303B55">
        <w:t>plynu</w:t>
      </w:r>
      <w:r>
        <w:t xml:space="preserve"> </w:t>
      </w:r>
      <w:r w:rsidRPr="00303B55">
        <w:t>stává</w:t>
      </w:r>
      <w:r>
        <w:t xml:space="preserve"> </w:t>
      </w:r>
      <w:r w:rsidRPr="00303B55">
        <w:t>registrovaným</w:t>
      </w:r>
      <w:r>
        <w:t xml:space="preserve"> </w:t>
      </w:r>
      <w:r w:rsidRPr="00303B55">
        <w:t>účastníkem</w:t>
      </w:r>
      <w:r>
        <w:t xml:space="preserve"> </w:t>
      </w:r>
      <w:r w:rsidRPr="00303B55">
        <w:t>trhu,</w:t>
      </w:r>
    </w:p>
    <w:p w14:paraId="0646E8FA" w14:textId="6C19ABD4" w:rsidR="004262BA" w:rsidRDefault="004262BA" w:rsidP="002E6AEA">
      <w:pPr>
        <w:pStyle w:val="Textparagrafu"/>
        <w:tabs>
          <w:tab w:val="left" w:pos="392"/>
          <w:tab w:val="left" w:pos="840"/>
        </w:tabs>
        <w:spacing w:before="0"/>
        <w:ind w:left="426" w:hanging="426"/>
      </w:pPr>
      <w:r w:rsidRPr="00303B55">
        <w:t>n)</w:t>
      </w:r>
      <w:r w:rsidR="00A03F10">
        <w:tab/>
      </w:r>
      <w:r w:rsidRPr="00303B55">
        <w:t>poskytovat</w:t>
      </w:r>
      <w:r>
        <w:t xml:space="preserve"> </w:t>
      </w:r>
      <w:r w:rsidRPr="00303B55">
        <w:t>provozovateli</w:t>
      </w:r>
      <w:r>
        <w:t xml:space="preserve"> </w:t>
      </w:r>
      <w:r w:rsidRPr="00303B55">
        <w:t>přepravní</w:t>
      </w:r>
      <w:r>
        <w:t xml:space="preserve"> </w:t>
      </w:r>
      <w:r w:rsidRPr="00303B55">
        <w:t>soustavy</w:t>
      </w:r>
      <w:r>
        <w:t xml:space="preserve"> </w:t>
      </w:r>
      <w:r w:rsidRPr="00303B55">
        <w:t>nebo</w:t>
      </w:r>
      <w:r>
        <w:t xml:space="preserve"> </w:t>
      </w:r>
      <w:r w:rsidRPr="00303B55">
        <w:t>provozovateli</w:t>
      </w:r>
      <w:r>
        <w:t xml:space="preserve"> </w:t>
      </w:r>
      <w:r w:rsidRPr="00303B55">
        <w:t>distribuční</w:t>
      </w:r>
      <w:r>
        <w:t xml:space="preserve"> </w:t>
      </w:r>
      <w:r w:rsidRPr="00303B55">
        <w:t>soustavy</w:t>
      </w:r>
      <w:r>
        <w:t xml:space="preserve"> </w:t>
      </w:r>
      <w:r w:rsidRPr="00303B55">
        <w:t>nebo</w:t>
      </w:r>
      <w:r>
        <w:t xml:space="preserve"> </w:t>
      </w:r>
      <w:r w:rsidRPr="00303B55">
        <w:t>provozovateli</w:t>
      </w:r>
      <w:r>
        <w:t xml:space="preserve"> </w:t>
      </w:r>
      <w:r w:rsidRPr="00303B55">
        <w:t>zásobníku</w:t>
      </w:r>
      <w:r>
        <w:t xml:space="preserve"> </w:t>
      </w:r>
      <w:r w:rsidRPr="00303B55">
        <w:t>plynu,</w:t>
      </w:r>
      <w:r>
        <w:t xml:space="preserve"> </w:t>
      </w:r>
      <w:r w:rsidRPr="00303B55">
        <w:t>ke</w:t>
      </w:r>
      <w:r>
        <w:t xml:space="preserve"> </w:t>
      </w:r>
      <w:r w:rsidRPr="00303B55">
        <w:t>které</w:t>
      </w:r>
      <w:r>
        <w:t xml:space="preserve"> </w:t>
      </w:r>
      <w:r w:rsidRPr="00303B55">
        <w:t>je</w:t>
      </w:r>
      <w:r>
        <w:t xml:space="preserve"> </w:t>
      </w:r>
      <w:r w:rsidRPr="00303B55">
        <w:t>výrobna</w:t>
      </w:r>
      <w:r>
        <w:t xml:space="preserve"> </w:t>
      </w:r>
      <w:r w:rsidRPr="00303B55">
        <w:t>plynu</w:t>
      </w:r>
      <w:r>
        <w:t xml:space="preserve"> </w:t>
      </w:r>
      <w:r w:rsidRPr="00303B55">
        <w:t>připojena,</w:t>
      </w:r>
      <w:r>
        <w:t xml:space="preserve"> </w:t>
      </w:r>
      <w:r w:rsidRPr="00303B55">
        <w:t>potřebné</w:t>
      </w:r>
      <w:r>
        <w:t xml:space="preserve"> </w:t>
      </w:r>
      <w:r w:rsidRPr="00303B55">
        <w:t>údaje</w:t>
      </w:r>
      <w:r>
        <w:t xml:space="preserve"> </w:t>
      </w:r>
      <w:r w:rsidRPr="00303B55">
        <w:t>pro</w:t>
      </w:r>
      <w:r>
        <w:t xml:space="preserve"> </w:t>
      </w:r>
      <w:r w:rsidRPr="00303B55">
        <w:t>provoz</w:t>
      </w:r>
      <w:r>
        <w:t xml:space="preserve"> </w:t>
      </w:r>
      <w:r w:rsidRPr="00303B55">
        <w:t>a</w:t>
      </w:r>
      <w:r>
        <w:t xml:space="preserve"> </w:t>
      </w:r>
      <w:r w:rsidRPr="00303B55">
        <w:t>rozvoj</w:t>
      </w:r>
      <w:r>
        <w:t xml:space="preserve"> </w:t>
      </w:r>
      <w:r w:rsidRPr="00303B55">
        <w:t>přepravní</w:t>
      </w:r>
      <w:r>
        <w:t xml:space="preserve"> </w:t>
      </w:r>
      <w:r w:rsidRPr="00303B55">
        <w:t>soustavy,</w:t>
      </w:r>
      <w:r>
        <w:t xml:space="preserve"> </w:t>
      </w:r>
      <w:r w:rsidRPr="00303B55">
        <w:t>distribuční</w:t>
      </w:r>
      <w:r>
        <w:t xml:space="preserve"> </w:t>
      </w:r>
      <w:r w:rsidRPr="00303B55">
        <w:t>soustavy</w:t>
      </w:r>
      <w:r>
        <w:t xml:space="preserve"> </w:t>
      </w:r>
      <w:r w:rsidRPr="00303B55">
        <w:t>nebo</w:t>
      </w:r>
      <w:r>
        <w:t xml:space="preserve"> </w:t>
      </w:r>
      <w:r w:rsidRPr="00303B55">
        <w:t>zásobníku</w:t>
      </w:r>
      <w:r>
        <w:t xml:space="preserve"> </w:t>
      </w:r>
      <w:r w:rsidRPr="00303B55">
        <w:t>plynu</w:t>
      </w:r>
      <w:r>
        <w:t xml:space="preserve"> </w:t>
      </w:r>
      <w:r w:rsidRPr="00303B55">
        <w:t>a</w:t>
      </w:r>
      <w:r>
        <w:t xml:space="preserve"> </w:t>
      </w:r>
      <w:r w:rsidRPr="00303B55">
        <w:t>operátorovi</w:t>
      </w:r>
      <w:r>
        <w:t xml:space="preserve"> </w:t>
      </w:r>
      <w:r w:rsidRPr="00303B55">
        <w:t>trhu</w:t>
      </w:r>
      <w:r>
        <w:t xml:space="preserve"> </w:t>
      </w:r>
      <w:r w:rsidRPr="00303B55">
        <w:t>údaje</w:t>
      </w:r>
      <w:r>
        <w:t xml:space="preserve"> </w:t>
      </w:r>
      <w:r w:rsidRPr="00303B55">
        <w:t>potřebné</w:t>
      </w:r>
      <w:r>
        <w:t xml:space="preserve"> </w:t>
      </w:r>
      <w:r w:rsidRPr="00303B55">
        <w:t>pro</w:t>
      </w:r>
      <w:r>
        <w:t xml:space="preserve"> </w:t>
      </w:r>
      <w:r w:rsidRPr="00303B55">
        <w:t>plnění</w:t>
      </w:r>
      <w:r>
        <w:t xml:space="preserve"> </w:t>
      </w:r>
      <w:r w:rsidRPr="00303B55">
        <w:t>jejich</w:t>
      </w:r>
      <w:r>
        <w:t xml:space="preserve"> </w:t>
      </w:r>
      <w:r w:rsidRPr="00303B55">
        <w:t>povinností,</w:t>
      </w:r>
      <w:r>
        <w:t xml:space="preserve"> </w:t>
      </w:r>
      <w:r w:rsidRPr="00303B55">
        <w:t>zejména</w:t>
      </w:r>
      <w:r>
        <w:t xml:space="preserve"> </w:t>
      </w:r>
      <w:r w:rsidRPr="00303B55">
        <w:t>hodnoty</w:t>
      </w:r>
      <w:r>
        <w:t xml:space="preserve"> </w:t>
      </w:r>
      <w:r w:rsidRPr="00303B55">
        <w:t>nezbytné</w:t>
      </w:r>
      <w:r>
        <w:t xml:space="preserve"> </w:t>
      </w:r>
      <w:r w:rsidRPr="00303B55">
        <w:t>pro</w:t>
      </w:r>
      <w:r>
        <w:t xml:space="preserve"> </w:t>
      </w:r>
      <w:r w:rsidRPr="00303B55">
        <w:t>vyúčtování</w:t>
      </w:r>
      <w:r>
        <w:t xml:space="preserve"> </w:t>
      </w:r>
      <w:r w:rsidRPr="00303B55">
        <w:t>plateb</w:t>
      </w:r>
      <w:r>
        <w:t xml:space="preserve"> </w:t>
      </w:r>
      <w:r w:rsidRPr="00303B55">
        <w:t>za</w:t>
      </w:r>
      <w:r>
        <w:t xml:space="preserve"> </w:t>
      </w:r>
      <w:r w:rsidRPr="00303B55">
        <w:t>služby</w:t>
      </w:r>
      <w:r>
        <w:t xml:space="preserve"> </w:t>
      </w:r>
      <w:r w:rsidRPr="00303B55">
        <w:t>operátora</w:t>
      </w:r>
      <w:r>
        <w:t xml:space="preserve"> </w:t>
      </w:r>
      <w:r w:rsidRPr="00303B55">
        <w:t>trhu,</w:t>
      </w:r>
    </w:p>
    <w:p w14:paraId="696461BC" w14:textId="05456964" w:rsidR="004262BA" w:rsidRDefault="004262BA" w:rsidP="002E6AEA">
      <w:pPr>
        <w:pStyle w:val="Textparagrafu"/>
        <w:tabs>
          <w:tab w:val="left" w:pos="392"/>
          <w:tab w:val="left" w:pos="840"/>
        </w:tabs>
        <w:spacing w:before="0"/>
        <w:ind w:left="426" w:hanging="426"/>
      </w:pPr>
      <w:r w:rsidRPr="00303B55">
        <w:t>o)</w:t>
      </w:r>
      <w:r w:rsidR="00A03F10">
        <w:tab/>
      </w:r>
      <w:r w:rsidRPr="00303B55">
        <w:t>vypracovat</w:t>
      </w:r>
      <w:r>
        <w:t xml:space="preserve"> </w:t>
      </w:r>
      <w:r w:rsidRPr="00303B55">
        <w:t>do</w:t>
      </w:r>
      <w:r>
        <w:t xml:space="preserve"> </w:t>
      </w:r>
      <w:r w:rsidRPr="00303B55">
        <w:t>6</w:t>
      </w:r>
      <w:r>
        <w:t xml:space="preserve"> </w:t>
      </w:r>
      <w:r w:rsidRPr="00303B55">
        <w:t>měsíců</w:t>
      </w:r>
      <w:r>
        <w:t xml:space="preserve"> </w:t>
      </w:r>
      <w:r w:rsidRPr="00303B55">
        <w:t>po</w:t>
      </w:r>
      <w:r>
        <w:t xml:space="preserve"> </w:t>
      </w:r>
      <w:r w:rsidRPr="00303B55">
        <w:t>udělení</w:t>
      </w:r>
      <w:r>
        <w:t xml:space="preserve"> </w:t>
      </w:r>
      <w:r w:rsidRPr="00303B55">
        <w:t>licence</w:t>
      </w:r>
      <w:r>
        <w:t xml:space="preserve"> </w:t>
      </w:r>
      <w:r w:rsidRPr="00303B55">
        <w:t>na</w:t>
      </w:r>
      <w:r>
        <w:t xml:space="preserve"> </w:t>
      </w:r>
      <w:r w:rsidRPr="00303B55">
        <w:t>výrobu</w:t>
      </w:r>
      <w:r>
        <w:t xml:space="preserve"> </w:t>
      </w:r>
      <w:r w:rsidRPr="00303B55">
        <w:t>plynu</w:t>
      </w:r>
      <w:r>
        <w:t xml:space="preserve"> </w:t>
      </w:r>
      <w:r w:rsidRPr="00303B55">
        <w:t>a</w:t>
      </w:r>
      <w:r>
        <w:t xml:space="preserve"> </w:t>
      </w:r>
      <w:r w:rsidRPr="00303B55">
        <w:t>každý</w:t>
      </w:r>
      <w:r>
        <w:t xml:space="preserve"> </w:t>
      </w:r>
      <w:r w:rsidRPr="00303B55">
        <w:t>druhý</w:t>
      </w:r>
      <w:r>
        <w:t xml:space="preserve"> </w:t>
      </w:r>
      <w:r w:rsidRPr="00303B55">
        <w:t>rok</w:t>
      </w:r>
      <w:r>
        <w:t xml:space="preserve"> </w:t>
      </w:r>
      <w:r w:rsidRPr="00303B55">
        <w:t>do</w:t>
      </w:r>
      <w:r>
        <w:t xml:space="preserve"> </w:t>
      </w:r>
      <w:r w:rsidRPr="00303B55">
        <w:t>31.</w:t>
      </w:r>
      <w:r>
        <w:t xml:space="preserve"> </w:t>
      </w:r>
      <w:r w:rsidRPr="00303B55">
        <w:t>března</w:t>
      </w:r>
      <w:r>
        <w:t xml:space="preserve"> </w:t>
      </w:r>
      <w:r w:rsidRPr="00303B55">
        <w:t>upřesňovat</w:t>
      </w:r>
      <w:r>
        <w:t xml:space="preserve"> </w:t>
      </w:r>
      <w:r w:rsidRPr="00303B55">
        <w:t>podklady</w:t>
      </w:r>
      <w:r>
        <w:t xml:space="preserve"> </w:t>
      </w:r>
      <w:r w:rsidRPr="00303B55">
        <w:t>pro</w:t>
      </w:r>
      <w:r>
        <w:t xml:space="preserve"> </w:t>
      </w:r>
      <w:r w:rsidRPr="00303B55">
        <w:t>zpracování</w:t>
      </w:r>
      <w:r>
        <w:t xml:space="preserve"> </w:t>
      </w:r>
      <w:r w:rsidRPr="00303B55">
        <w:t>plánu</w:t>
      </w:r>
      <w:r>
        <w:t xml:space="preserve"> </w:t>
      </w:r>
      <w:r w:rsidRPr="00303B55">
        <w:t>preventivních</w:t>
      </w:r>
      <w:r>
        <w:t xml:space="preserve"> </w:t>
      </w:r>
      <w:r w:rsidRPr="00303B55">
        <w:t>opatření</w:t>
      </w:r>
      <w:r>
        <w:t xml:space="preserve"> </w:t>
      </w:r>
      <w:r w:rsidRPr="00303B55">
        <w:t>a</w:t>
      </w:r>
      <w:r>
        <w:t xml:space="preserve"> </w:t>
      </w:r>
      <w:r w:rsidRPr="00303B55">
        <w:t>plánu</w:t>
      </w:r>
      <w:r>
        <w:t xml:space="preserve"> </w:t>
      </w:r>
      <w:r w:rsidRPr="00303B55">
        <w:t>pro</w:t>
      </w:r>
      <w:r>
        <w:t xml:space="preserve"> </w:t>
      </w:r>
      <w:r w:rsidRPr="00303B55">
        <w:t>stav</w:t>
      </w:r>
      <w:r>
        <w:t xml:space="preserve"> </w:t>
      </w:r>
      <w:r w:rsidRPr="00303B55">
        <w:t>nouze</w:t>
      </w:r>
      <w:r>
        <w:t xml:space="preserve"> </w:t>
      </w:r>
      <w:r w:rsidRPr="00303B55">
        <w:t>a</w:t>
      </w:r>
      <w:r>
        <w:t xml:space="preserve"> </w:t>
      </w:r>
      <w:r w:rsidRPr="00303B55">
        <w:t>zasílat</w:t>
      </w:r>
      <w:r>
        <w:t xml:space="preserve"> </w:t>
      </w:r>
      <w:r w:rsidRPr="00303B55">
        <w:t>je</w:t>
      </w:r>
      <w:r>
        <w:t xml:space="preserve"> </w:t>
      </w:r>
      <w:r w:rsidRPr="00303B55">
        <w:t>ministerstvu,</w:t>
      </w:r>
    </w:p>
    <w:p w14:paraId="4B065BDD" w14:textId="4A2D0984" w:rsidR="004262BA" w:rsidRDefault="004262BA" w:rsidP="002E6AEA">
      <w:pPr>
        <w:pStyle w:val="Textparagrafu"/>
        <w:tabs>
          <w:tab w:val="left" w:pos="392"/>
          <w:tab w:val="left" w:pos="840"/>
        </w:tabs>
        <w:spacing w:before="0"/>
        <w:ind w:left="426" w:hanging="426"/>
      </w:pPr>
      <w:r w:rsidRPr="00303B55">
        <w:t>p)</w:t>
      </w:r>
      <w:r w:rsidR="00A03F10">
        <w:tab/>
      </w:r>
      <w:r w:rsidRPr="00303B55">
        <w:t>každoročně</w:t>
      </w:r>
      <w:r>
        <w:t xml:space="preserve"> </w:t>
      </w:r>
      <w:r w:rsidRPr="00303B55">
        <w:t>zpracovávat</w:t>
      </w:r>
      <w:r>
        <w:t xml:space="preserve"> </w:t>
      </w:r>
      <w:r w:rsidRPr="00303B55">
        <w:t>a</w:t>
      </w:r>
      <w:r>
        <w:t xml:space="preserve"> </w:t>
      </w:r>
      <w:r w:rsidRPr="00303B55">
        <w:t>do</w:t>
      </w:r>
      <w:r>
        <w:t xml:space="preserve"> </w:t>
      </w:r>
      <w:r w:rsidRPr="00303B55">
        <w:t>31.</w:t>
      </w:r>
      <w:r>
        <w:t xml:space="preserve"> </w:t>
      </w:r>
      <w:r w:rsidRPr="00303B55">
        <w:t>března</w:t>
      </w:r>
      <w:r>
        <w:t xml:space="preserve"> </w:t>
      </w:r>
      <w:r w:rsidRPr="00303B55">
        <w:t>předávat</w:t>
      </w:r>
      <w:r>
        <w:t xml:space="preserve"> </w:t>
      </w:r>
      <w:r w:rsidRPr="00303B55">
        <w:t>provozovateli</w:t>
      </w:r>
      <w:r>
        <w:t xml:space="preserve"> </w:t>
      </w:r>
      <w:r w:rsidRPr="00303B55">
        <w:t>přepravní</w:t>
      </w:r>
      <w:r>
        <w:t xml:space="preserve"> </w:t>
      </w:r>
      <w:r w:rsidRPr="00303B55">
        <w:t>soustavy</w:t>
      </w:r>
      <w:r>
        <w:t xml:space="preserve"> </w:t>
      </w:r>
      <w:r w:rsidRPr="00303B55">
        <w:t>za</w:t>
      </w:r>
      <w:r>
        <w:t xml:space="preserve"> </w:t>
      </w:r>
      <w:r w:rsidRPr="00303B55">
        <w:t>účelem</w:t>
      </w:r>
      <w:r>
        <w:t xml:space="preserve"> </w:t>
      </w:r>
      <w:r w:rsidRPr="00303B55">
        <w:t>zpracování</w:t>
      </w:r>
      <w:r>
        <w:t xml:space="preserve"> </w:t>
      </w:r>
      <w:r w:rsidRPr="00303B55">
        <w:t>desetiletého</w:t>
      </w:r>
      <w:r>
        <w:t xml:space="preserve"> </w:t>
      </w:r>
      <w:r w:rsidRPr="00303B55">
        <w:t>plánu</w:t>
      </w:r>
      <w:r>
        <w:t xml:space="preserve"> </w:t>
      </w:r>
      <w:r w:rsidRPr="00303B55">
        <w:t>rozvoje</w:t>
      </w:r>
      <w:r>
        <w:t xml:space="preserve"> </w:t>
      </w:r>
      <w:r w:rsidRPr="00303B55">
        <w:t>přepravní</w:t>
      </w:r>
      <w:r>
        <w:t xml:space="preserve"> </w:t>
      </w:r>
      <w:r w:rsidRPr="00303B55">
        <w:t>soustavy</w:t>
      </w:r>
      <w:r>
        <w:t xml:space="preserve"> </w:t>
      </w:r>
      <w:r w:rsidRPr="00303B55">
        <w:t>a</w:t>
      </w:r>
      <w:r>
        <w:t xml:space="preserve"> </w:t>
      </w:r>
      <w:r w:rsidRPr="00303B55">
        <w:t>provozovateli</w:t>
      </w:r>
      <w:r>
        <w:t xml:space="preserve"> </w:t>
      </w:r>
      <w:r w:rsidRPr="00303B55">
        <w:t>distribuční</w:t>
      </w:r>
      <w:r>
        <w:t xml:space="preserve"> </w:t>
      </w:r>
      <w:r w:rsidRPr="00303B55">
        <w:t>soustavy</w:t>
      </w:r>
      <w:r>
        <w:t xml:space="preserve"> </w:t>
      </w:r>
      <w:r w:rsidRPr="00303B55">
        <w:t>údaje</w:t>
      </w:r>
      <w:r>
        <w:t xml:space="preserve"> </w:t>
      </w:r>
      <w:r w:rsidRPr="00303B55">
        <w:t>o</w:t>
      </w:r>
      <w:r>
        <w:t xml:space="preserve"> </w:t>
      </w:r>
      <w:r w:rsidRPr="00303B55">
        <w:t>plánovaném</w:t>
      </w:r>
      <w:r>
        <w:t xml:space="preserve"> </w:t>
      </w:r>
      <w:r w:rsidRPr="00303B55">
        <w:t>rozvoji</w:t>
      </w:r>
      <w:r>
        <w:t xml:space="preserve"> </w:t>
      </w:r>
      <w:r w:rsidRPr="00303B55">
        <w:t>kapacity</w:t>
      </w:r>
      <w:r>
        <w:t xml:space="preserve"> </w:t>
      </w:r>
      <w:r w:rsidRPr="00303B55">
        <w:t>výroby</w:t>
      </w:r>
      <w:r>
        <w:t xml:space="preserve"> </w:t>
      </w:r>
      <w:r w:rsidRPr="00303B55">
        <w:t>plynu,</w:t>
      </w:r>
      <w:r>
        <w:t xml:space="preserve"> </w:t>
      </w:r>
      <w:r w:rsidRPr="00303B55">
        <w:t>a</w:t>
      </w:r>
      <w:r>
        <w:t xml:space="preserve"> </w:t>
      </w:r>
      <w:r w:rsidRPr="00303B55">
        <w:t>to</w:t>
      </w:r>
      <w:r>
        <w:t xml:space="preserve"> </w:t>
      </w:r>
      <w:r w:rsidRPr="00303B55">
        <w:t>na</w:t>
      </w:r>
      <w:r>
        <w:t xml:space="preserve"> </w:t>
      </w:r>
      <w:r w:rsidRPr="00303B55">
        <w:t>období</w:t>
      </w:r>
      <w:r>
        <w:t xml:space="preserve"> </w:t>
      </w:r>
      <w:r w:rsidRPr="00303B55">
        <w:t>nejméně</w:t>
      </w:r>
      <w:r>
        <w:t xml:space="preserve"> </w:t>
      </w:r>
      <w:r w:rsidRPr="00303B55">
        <w:t>10</w:t>
      </w:r>
      <w:r>
        <w:t xml:space="preserve"> </w:t>
      </w:r>
      <w:r w:rsidRPr="00303B55">
        <w:t>let.</w:t>
      </w:r>
    </w:p>
    <w:p w14:paraId="4DFEFCB5" w14:textId="77777777" w:rsidR="004262BA" w:rsidRDefault="004262BA" w:rsidP="0010420C">
      <w:pPr>
        <w:pStyle w:val="Textparagrafu"/>
        <w:spacing w:before="120" w:after="120"/>
      </w:pPr>
      <w:r w:rsidRPr="00303B55">
        <w:t>(9)</w:t>
      </w:r>
      <w:r>
        <w:t xml:space="preserve"> </w:t>
      </w:r>
      <w:r w:rsidRPr="00303B55">
        <w:t>Výrobce</w:t>
      </w:r>
      <w:r>
        <w:t xml:space="preserve"> </w:t>
      </w:r>
      <w:r w:rsidRPr="00303B55">
        <w:t>plynu,</w:t>
      </w:r>
      <w:r>
        <w:t xml:space="preserve"> </w:t>
      </w:r>
      <w:r w:rsidRPr="00303B55">
        <w:t>který</w:t>
      </w:r>
      <w:r>
        <w:t xml:space="preserve"> </w:t>
      </w:r>
      <w:r w:rsidRPr="00303B55">
        <w:t>provozuje</w:t>
      </w:r>
      <w:r>
        <w:t xml:space="preserve"> </w:t>
      </w:r>
      <w:r w:rsidRPr="00303B55">
        <w:t>výrobnu</w:t>
      </w:r>
      <w:r>
        <w:t xml:space="preserve"> </w:t>
      </w:r>
      <w:r w:rsidRPr="00303B55">
        <w:t>plynu,</w:t>
      </w:r>
      <w:r>
        <w:t xml:space="preserve"> </w:t>
      </w:r>
      <w:r w:rsidRPr="00303B55">
        <w:t>je</w:t>
      </w:r>
      <w:r>
        <w:t xml:space="preserve"> </w:t>
      </w:r>
      <w:r w:rsidRPr="00303B55">
        <w:t>povinen</w:t>
      </w:r>
      <w:r>
        <w:t xml:space="preserve"> </w:t>
      </w:r>
      <w:r w:rsidRPr="00303B55">
        <w:t>provozovateli</w:t>
      </w:r>
      <w:r>
        <w:t xml:space="preserve"> </w:t>
      </w:r>
      <w:r w:rsidRPr="00303B55">
        <w:t>plynárenského</w:t>
      </w:r>
      <w:r>
        <w:t xml:space="preserve"> </w:t>
      </w:r>
      <w:r w:rsidRPr="00303B55">
        <w:t>zařízení,</w:t>
      </w:r>
      <w:r>
        <w:t xml:space="preserve"> </w:t>
      </w:r>
      <w:r w:rsidRPr="00303B55">
        <w:t>k</w:t>
      </w:r>
      <w:r>
        <w:t xml:space="preserve"> </w:t>
      </w:r>
      <w:r w:rsidRPr="00303B55">
        <w:t>němuž</w:t>
      </w:r>
      <w:r>
        <w:t xml:space="preserve"> </w:t>
      </w:r>
      <w:r w:rsidRPr="00303B55">
        <w:t>je</w:t>
      </w:r>
      <w:r>
        <w:t xml:space="preserve"> </w:t>
      </w:r>
      <w:r w:rsidRPr="00303B55">
        <w:t>jím</w:t>
      </w:r>
      <w:r>
        <w:t xml:space="preserve"> </w:t>
      </w:r>
      <w:r w:rsidRPr="00303B55">
        <w:t>provozovaná</w:t>
      </w:r>
      <w:r>
        <w:t xml:space="preserve"> </w:t>
      </w:r>
      <w:r w:rsidRPr="00303B55">
        <w:t>výrobna</w:t>
      </w:r>
      <w:r>
        <w:t xml:space="preserve"> </w:t>
      </w:r>
      <w:r w:rsidRPr="00303B55">
        <w:t>připojena,</w:t>
      </w:r>
      <w:r>
        <w:t xml:space="preserve"> </w:t>
      </w:r>
      <w:r w:rsidRPr="00303B55">
        <w:t>umožnit</w:t>
      </w:r>
      <w:r>
        <w:t xml:space="preserve"> </w:t>
      </w:r>
      <w:r w:rsidRPr="00303B55">
        <w:t>v</w:t>
      </w:r>
      <w:r>
        <w:t xml:space="preserve"> </w:t>
      </w:r>
      <w:r w:rsidRPr="00303B55">
        <w:t>prostoru</w:t>
      </w:r>
      <w:r>
        <w:t xml:space="preserve"> </w:t>
      </w:r>
      <w:r w:rsidRPr="00303B55">
        <w:t>výrobny</w:t>
      </w:r>
      <w:r>
        <w:t xml:space="preserve"> </w:t>
      </w:r>
      <w:r w:rsidRPr="00303B55">
        <w:t>plynu</w:t>
      </w:r>
      <w:r>
        <w:t xml:space="preserve"> </w:t>
      </w:r>
      <w:r w:rsidRPr="00303B55">
        <w:t>instalaci</w:t>
      </w:r>
      <w:r>
        <w:t xml:space="preserve"> </w:t>
      </w:r>
      <w:r w:rsidRPr="00303B55">
        <w:t>nezbytných</w:t>
      </w:r>
      <w:r>
        <w:t xml:space="preserve"> </w:t>
      </w:r>
      <w:r w:rsidRPr="00303B55">
        <w:t>zařízení</w:t>
      </w:r>
      <w:r>
        <w:t xml:space="preserve"> </w:t>
      </w:r>
      <w:r w:rsidRPr="00303B55">
        <w:t>pro</w:t>
      </w:r>
      <w:r>
        <w:t xml:space="preserve"> </w:t>
      </w:r>
      <w:r w:rsidRPr="00303B55">
        <w:t>zajištění</w:t>
      </w:r>
      <w:r>
        <w:t xml:space="preserve"> </w:t>
      </w:r>
      <w:r w:rsidRPr="00303B55">
        <w:t>bezpečného</w:t>
      </w:r>
      <w:r>
        <w:t xml:space="preserve"> </w:t>
      </w:r>
      <w:r w:rsidRPr="00303B55">
        <w:t>a</w:t>
      </w:r>
      <w:r>
        <w:t xml:space="preserve"> </w:t>
      </w:r>
      <w:r w:rsidRPr="00303B55">
        <w:t>spolehlivého</w:t>
      </w:r>
      <w:r>
        <w:t xml:space="preserve"> </w:t>
      </w:r>
      <w:r w:rsidRPr="00303B55">
        <w:t>provozu</w:t>
      </w:r>
      <w:r>
        <w:t xml:space="preserve"> </w:t>
      </w:r>
      <w:r w:rsidRPr="00303B55">
        <w:t>distribuční</w:t>
      </w:r>
      <w:r>
        <w:t xml:space="preserve"> </w:t>
      </w:r>
      <w:r w:rsidRPr="00303B55">
        <w:t>soustavy,</w:t>
      </w:r>
      <w:r>
        <w:t xml:space="preserve"> </w:t>
      </w:r>
      <w:r w:rsidRPr="00303B55">
        <w:t>a</w:t>
      </w:r>
      <w:r>
        <w:t xml:space="preserve"> </w:t>
      </w:r>
      <w:r w:rsidRPr="00303B55">
        <w:t>to</w:t>
      </w:r>
      <w:r>
        <w:t xml:space="preserve"> </w:t>
      </w:r>
      <w:r w:rsidRPr="00303B55">
        <w:t>včetně</w:t>
      </w:r>
      <w:r>
        <w:t xml:space="preserve"> </w:t>
      </w:r>
      <w:r w:rsidRPr="00303B55">
        <w:t>zařízení</w:t>
      </w:r>
      <w:r>
        <w:t xml:space="preserve"> </w:t>
      </w:r>
      <w:r w:rsidRPr="00303B55">
        <w:t>potřebných</w:t>
      </w:r>
      <w:r>
        <w:t xml:space="preserve"> </w:t>
      </w:r>
      <w:r w:rsidRPr="00303B55">
        <w:t>pro</w:t>
      </w:r>
      <w:r>
        <w:t xml:space="preserve"> </w:t>
      </w:r>
      <w:r w:rsidRPr="00303B55">
        <w:t>úpravu</w:t>
      </w:r>
      <w:r>
        <w:t xml:space="preserve"> </w:t>
      </w:r>
      <w:r w:rsidRPr="00303B55">
        <w:t>složení</w:t>
      </w:r>
      <w:r>
        <w:t xml:space="preserve"> </w:t>
      </w:r>
      <w:r w:rsidRPr="00303B55">
        <w:t>plynu.</w:t>
      </w:r>
    </w:p>
    <w:p w14:paraId="5FFA13A5" w14:textId="77777777" w:rsidR="001E38CA" w:rsidRDefault="001E38CA" w:rsidP="001E38CA">
      <w:pPr>
        <w:pStyle w:val="Textparagrafu"/>
        <w:tabs>
          <w:tab w:val="left" w:pos="392"/>
          <w:tab w:val="left" w:pos="840"/>
        </w:tabs>
        <w:spacing w:after="120"/>
        <w:ind w:firstLine="0"/>
        <w:jc w:val="center"/>
      </w:pPr>
      <w:r w:rsidRPr="00E86F27">
        <w:t>§</w:t>
      </w:r>
      <w:r>
        <w:t xml:space="preserve"> </w:t>
      </w:r>
      <w:r w:rsidRPr="00E86F27">
        <w:t>58</w:t>
      </w:r>
    </w:p>
    <w:p w14:paraId="17D083A0" w14:textId="77777777" w:rsidR="001E38CA" w:rsidRPr="00354968" w:rsidRDefault="001E38CA" w:rsidP="001E38CA">
      <w:pPr>
        <w:pStyle w:val="Textparagrafu"/>
        <w:tabs>
          <w:tab w:val="left" w:pos="392"/>
          <w:tab w:val="left" w:pos="840"/>
        </w:tabs>
        <w:spacing w:after="120"/>
        <w:ind w:firstLine="0"/>
        <w:jc w:val="center"/>
        <w:rPr>
          <w:b/>
        </w:rPr>
      </w:pPr>
      <w:r w:rsidRPr="00354968">
        <w:rPr>
          <w:b/>
        </w:rPr>
        <w:t>Provozovatel přepravní soustavy</w:t>
      </w:r>
    </w:p>
    <w:p w14:paraId="35564D12" w14:textId="77777777" w:rsidR="001E38CA" w:rsidRDefault="001E38CA" w:rsidP="0010420C">
      <w:pPr>
        <w:pStyle w:val="Textparagrafu"/>
        <w:spacing w:before="120" w:after="120"/>
      </w:pPr>
      <w:r w:rsidRPr="00E86F27">
        <w:t>(1)</w:t>
      </w:r>
      <w:r>
        <w:t xml:space="preserve"> </w:t>
      </w:r>
      <w:r w:rsidRPr="00E86F27">
        <w:t>Provozovatel</w:t>
      </w:r>
      <w:r>
        <w:t xml:space="preserve"> </w:t>
      </w:r>
      <w:r w:rsidRPr="00E86F27">
        <w:t>přepravní</w:t>
      </w:r>
      <w:r>
        <w:t xml:space="preserve"> </w:t>
      </w:r>
      <w:r w:rsidRPr="00E86F27">
        <w:t>soustavy</w:t>
      </w:r>
      <w:r>
        <w:t xml:space="preserve"> </w:t>
      </w:r>
      <w:r w:rsidRPr="00E86F27">
        <w:t>má</w:t>
      </w:r>
      <w:r>
        <w:t xml:space="preserve"> </w:t>
      </w:r>
      <w:r w:rsidRPr="00E86F27">
        <w:t>právo</w:t>
      </w:r>
    </w:p>
    <w:p w14:paraId="4AD76B01" w14:textId="77777777" w:rsidR="001E38CA" w:rsidRDefault="001E38CA" w:rsidP="002E6AEA">
      <w:pPr>
        <w:pStyle w:val="Textparagrafu"/>
        <w:tabs>
          <w:tab w:val="left" w:pos="392"/>
          <w:tab w:val="left" w:pos="840"/>
        </w:tabs>
        <w:spacing w:before="0"/>
        <w:ind w:left="426" w:hanging="426"/>
      </w:pPr>
      <w:r w:rsidRPr="00E86F27">
        <w:t>a)</w:t>
      </w:r>
      <w:r>
        <w:tab/>
      </w:r>
      <w:r w:rsidRPr="00E86F27">
        <w:t>na</w:t>
      </w:r>
      <w:r>
        <w:t xml:space="preserve"> </w:t>
      </w:r>
      <w:r w:rsidRPr="00E86F27">
        <w:t>přístup</w:t>
      </w:r>
      <w:r>
        <w:t xml:space="preserve"> </w:t>
      </w:r>
      <w:r w:rsidRPr="00E86F27">
        <w:t>do</w:t>
      </w:r>
      <w:r>
        <w:t xml:space="preserve"> </w:t>
      </w:r>
      <w:r w:rsidRPr="00E86F27">
        <w:t>zásobníků</w:t>
      </w:r>
      <w:r>
        <w:t xml:space="preserve"> </w:t>
      </w:r>
      <w:r w:rsidRPr="00E86F27">
        <w:t>plynu</w:t>
      </w:r>
      <w:r>
        <w:t xml:space="preserve"> </w:t>
      </w:r>
      <w:r w:rsidRPr="00E86F27">
        <w:t>za</w:t>
      </w:r>
      <w:r>
        <w:t xml:space="preserve"> </w:t>
      </w:r>
      <w:r w:rsidRPr="00E86F27">
        <w:t>podmínek</w:t>
      </w:r>
      <w:r>
        <w:t xml:space="preserve"> </w:t>
      </w:r>
      <w:r w:rsidRPr="00E86F27">
        <w:t>stanovených</w:t>
      </w:r>
      <w:r>
        <w:t xml:space="preserve"> </w:t>
      </w:r>
      <w:r w:rsidRPr="00E86F27">
        <w:t>tímto</w:t>
      </w:r>
      <w:r>
        <w:t xml:space="preserve"> </w:t>
      </w:r>
      <w:r w:rsidRPr="00E86F27">
        <w:t>zákonem</w:t>
      </w:r>
      <w:r>
        <w:t xml:space="preserve"> </w:t>
      </w:r>
      <w:r w:rsidRPr="00E86F27">
        <w:t>pro</w:t>
      </w:r>
      <w:r>
        <w:t xml:space="preserve"> </w:t>
      </w:r>
      <w:r w:rsidRPr="00E86F27">
        <w:t>zajištění</w:t>
      </w:r>
      <w:r>
        <w:t xml:space="preserve"> </w:t>
      </w:r>
      <w:r w:rsidRPr="00E86F27">
        <w:t>rovnováhy</w:t>
      </w:r>
      <w:r>
        <w:t xml:space="preserve"> </w:t>
      </w:r>
      <w:r w:rsidRPr="00E86F27">
        <w:t>mezi</w:t>
      </w:r>
      <w:r>
        <w:t xml:space="preserve"> </w:t>
      </w:r>
      <w:r w:rsidRPr="00E86F27">
        <w:t>množstvím</w:t>
      </w:r>
      <w:r>
        <w:t xml:space="preserve"> </w:t>
      </w:r>
      <w:r w:rsidRPr="00E86F27">
        <w:t>plynu</w:t>
      </w:r>
      <w:r>
        <w:t xml:space="preserve"> </w:t>
      </w:r>
      <w:r w:rsidRPr="00E86F27">
        <w:t>vstupujícím</w:t>
      </w:r>
      <w:r>
        <w:t xml:space="preserve"> </w:t>
      </w:r>
      <w:r w:rsidRPr="00E86F27">
        <w:t>do</w:t>
      </w:r>
      <w:r>
        <w:t xml:space="preserve"> </w:t>
      </w:r>
      <w:r w:rsidRPr="00E86F27">
        <w:t>plynárenské</w:t>
      </w:r>
      <w:r>
        <w:t xml:space="preserve"> </w:t>
      </w:r>
      <w:r w:rsidRPr="00E86F27">
        <w:t>soustavy</w:t>
      </w:r>
      <w:r>
        <w:t xml:space="preserve"> </w:t>
      </w:r>
      <w:r w:rsidRPr="00E86F27">
        <w:t>a</w:t>
      </w:r>
      <w:r>
        <w:t xml:space="preserve"> </w:t>
      </w:r>
      <w:r w:rsidRPr="00E86F27">
        <w:t>množstvím</w:t>
      </w:r>
      <w:r>
        <w:t xml:space="preserve"> </w:t>
      </w:r>
      <w:r w:rsidRPr="00E86F27">
        <w:t>plynu</w:t>
      </w:r>
      <w:r>
        <w:t xml:space="preserve"> </w:t>
      </w:r>
      <w:r w:rsidRPr="00E86F27">
        <w:t>vystupujícím</w:t>
      </w:r>
      <w:r>
        <w:t xml:space="preserve"> </w:t>
      </w:r>
      <w:r w:rsidRPr="00E86F27">
        <w:t>z</w:t>
      </w:r>
      <w:r>
        <w:t xml:space="preserve"> </w:t>
      </w:r>
      <w:r w:rsidRPr="00E86F27">
        <w:t>plynárenské</w:t>
      </w:r>
      <w:r>
        <w:t xml:space="preserve"> </w:t>
      </w:r>
      <w:r w:rsidRPr="00E86F27">
        <w:t>soustavy</w:t>
      </w:r>
      <w:r>
        <w:t xml:space="preserve"> </w:t>
      </w:r>
      <w:r w:rsidRPr="00E86F27">
        <w:t>a</w:t>
      </w:r>
      <w:r>
        <w:t xml:space="preserve"> </w:t>
      </w:r>
      <w:r w:rsidRPr="00E86F27">
        <w:t>pro</w:t>
      </w:r>
      <w:r>
        <w:t xml:space="preserve"> </w:t>
      </w:r>
      <w:r w:rsidRPr="00E86F27">
        <w:t>zajištění</w:t>
      </w:r>
      <w:r>
        <w:t xml:space="preserve"> </w:t>
      </w:r>
      <w:r w:rsidRPr="00E86F27">
        <w:t>bezpečného</w:t>
      </w:r>
      <w:r>
        <w:t xml:space="preserve"> </w:t>
      </w:r>
      <w:r w:rsidRPr="00E86F27">
        <w:t>a</w:t>
      </w:r>
      <w:r>
        <w:t xml:space="preserve"> </w:t>
      </w:r>
      <w:r w:rsidRPr="00E86F27">
        <w:t>spolehlivého</w:t>
      </w:r>
      <w:r>
        <w:t xml:space="preserve"> </w:t>
      </w:r>
      <w:r w:rsidRPr="00E86F27">
        <w:t>zásobování</w:t>
      </w:r>
      <w:r>
        <w:t xml:space="preserve"> </w:t>
      </w:r>
      <w:r w:rsidRPr="00E86F27">
        <w:t>České</w:t>
      </w:r>
      <w:r>
        <w:t xml:space="preserve"> </w:t>
      </w:r>
      <w:r w:rsidRPr="00E86F27">
        <w:t>republiky</w:t>
      </w:r>
      <w:r>
        <w:t xml:space="preserve"> </w:t>
      </w:r>
      <w:r w:rsidRPr="00E86F27">
        <w:t>zemním</w:t>
      </w:r>
      <w:r>
        <w:t xml:space="preserve"> </w:t>
      </w:r>
      <w:r w:rsidRPr="00E86F27">
        <w:t>plynem</w:t>
      </w:r>
      <w:r>
        <w:t xml:space="preserve"> </w:t>
      </w:r>
      <w:r w:rsidRPr="00E86F27">
        <w:t>z</w:t>
      </w:r>
      <w:r>
        <w:t xml:space="preserve"> </w:t>
      </w:r>
      <w:r w:rsidRPr="00E86F27">
        <w:t>přepravní</w:t>
      </w:r>
      <w:r>
        <w:t xml:space="preserve"> </w:t>
      </w:r>
      <w:r w:rsidRPr="00E86F27">
        <w:t>soustavy</w:t>
      </w:r>
      <w:r>
        <w:t xml:space="preserve"> </w:t>
      </w:r>
      <w:r w:rsidRPr="00E86F27">
        <w:t>a</w:t>
      </w:r>
      <w:r>
        <w:t xml:space="preserve"> </w:t>
      </w:r>
      <w:r w:rsidRPr="00E86F27">
        <w:t>plnění</w:t>
      </w:r>
      <w:r>
        <w:t xml:space="preserve"> </w:t>
      </w:r>
      <w:r w:rsidRPr="00E86F27">
        <w:t>dalších</w:t>
      </w:r>
      <w:r>
        <w:t xml:space="preserve"> </w:t>
      </w:r>
      <w:r w:rsidRPr="00E86F27">
        <w:t>povinností</w:t>
      </w:r>
      <w:r>
        <w:t xml:space="preserve"> </w:t>
      </w:r>
      <w:r w:rsidRPr="00E86F27">
        <w:t>stanovených</w:t>
      </w:r>
      <w:r>
        <w:t xml:space="preserve"> </w:t>
      </w:r>
      <w:r w:rsidRPr="00E86F27">
        <w:t>tímto</w:t>
      </w:r>
      <w:r>
        <w:t xml:space="preserve"> </w:t>
      </w:r>
      <w:r w:rsidRPr="00E86F27">
        <w:t>zákonem</w:t>
      </w:r>
      <w:r>
        <w:t xml:space="preserve"> </w:t>
      </w:r>
      <w:r w:rsidRPr="00E86F27">
        <w:t>a</w:t>
      </w:r>
      <w:r>
        <w:t xml:space="preserve"> </w:t>
      </w:r>
      <w:r w:rsidRPr="00E86F27">
        <w:t>přímo</w:t>
      </w:r>
      <w:r>
        <w:t xml:space="preserve"> </w:t>
      </w:r>
      <w:r w:rsidRPr="00E86F27">
        <w:t>použitelnými</w:t>
      </w:r>
      <w:r>
        <w:t xml:space="preserve"> </w:t>
      </w:r>
      <w:r w:rsidRPr="00E86F27">
        <w:t>předpisy</w:t>
      </w:r>
      <w:r>
        <w:t xml:space="preserve"> </w:t>
      </w:r>
      <w:r w:rsidRPr="00E86F27">
        <w:t>Evropské</w:t>
      </w:r>
      <w:r>
        <w:t xml:space="preserve"> </w:t>
      </w:r>
      <w:r w:rsidRPr="00E86F27">
        <w:t>unie,</w:t>
      </w:r>
    </w:p>
    <w:p w14:paraId="4530D96F" w14:textId="77777777" w:rsidR="001E38CA" w:rsidRDefault="001E38CA" w:rsidP="002E6AEA">
      <w:pPr>
        <w:pStyle w:val="Textparagrafu"/>
        <w:tabs>
          <w:tab w:val="left" w:pos="392"/>
          <w:tab w:val="left" w:pos="840"/>
        </w:tabs>
        <w:spacing w:before="0"/>
        <w:ind w:left="426" w:hanging="426"/>
      </w:pPr>
      <w:r w:rsidRPr="00E86F27">
        <w:t>b)</w:t>
      </w:r>
      <w:r>
        <w:tab/>
      </w:r>
      <w:r w:rsidRPr="00E86F27">
        <w:t>na</w:t>
      </w:r>
      <w:r>
        <w:t xml:space="preserve"> </w:t>
      </w:r>
      <w:r w:rsidRPr="00E86F27">
        <w:t>informace</w:t>
      </w:r>
      <w:r>
        <w:t xml:space="preserve"> </w:t>
      </w:r>
      <w:r w:rsidRPr="00E86F27">
        <w:t>od</w:t>
      </w:r>
      <w:r>
        <w:t xml:space="preserve"> </w:t>
      </w:r>
      <w:r w:rsidRPr="00E86F27">
        <w:t>ostatních</w:t>
      </w:r>
      <w:r>
        <w:t xml:space="preserve"> </w:t>
      </w:r>
      <w:r w:rsidRPr="00E86F27">
        <w:t>účastníků</w:t>
      </w:r>
      <w:r>
        <w:t xml:space="preserve"> </w:t>
      </w:r>
      <w:r w:rsidRPr="00E86F27">
        <w:t>trhu</w:t>
      </w:r>
      <w:r>
        <w:t xml:space="preserve"> </w:t>
      </w:r>
      <w:r w:rsidRPr="00E86F27">
        <w:t>s</w:t>
      </w:r>
      <w:r>
        <w:t xml:space="preserve"> </w:t>
      </w:r>
      <w:r w:rsidRPr="00E86F27">
        <w:t>plynem,</w:t>
      </w:r>
      <w:r>
        <w:t xml:space="preserve"> </w:t>
      </w:r>
      <w:r w:rsidRPr="00E86F27">
        <w:t>nezbytné</w:t>
      </w:r>
      <w:r>
        <w:t xml:space="preserve"> </w:t>
      </w:r>
      <w:r w:rsidRPr="00E86F27">
        <w:t>pro</w:t>
      </w:r>
      <w:r>
        <w:t xml:space="preserve"> </w:t>
      </w:r>
      <w:r w:rsidRPr="00E86F27">
        <w:t>plnění</w:t>
      </w:r>
      <w:r>
        <w:t xml:space="preserve"> </w:t>
      </w:r>
      <w:r w:rsidRPr="00E86F27">
        <w:t>svých</w:t>
      </w:r>
      <w:r>
        <w:t xml:space="preserve"> </w:t>
      </w:r>
      <w:r w:rsidRPr="00E86F27">
        <w:t>povinností,</w:t>
      </w:r>
    </w:p>
    <w:p w14:paraId="7E124984" w14:textId="77777777" w:rsidR="001E38CA" w:rsidRDefault="001E38CA" w:rsidP="002E6AEA">
      <w:pPr>
        <w:pStyle w:val="Textparagrafu"/>
        <w:tabs>
          <w:tab w:val="left" w:pos="392"/>
          <w:tab w:val="left" w:pos="840"/>
        </w:tabs>
        <w:spacing w:before="0"/>
        <w:ind w:left="426" w:hanging="426"/>
      </w:pPr>
      <w:r w:rsidRPr="00E86F27">
        <w:t>c)</w:t>
      </w:r>
      <w:r>
        <w:tab/>
      </w:r>
      <w:r w:rsidRPr="00E86F27">
        <w:t>zřizovat</w:t>
      </w:r>
      <w:r>
        <w:t xml:space="preserve"> </w:t>
      </w:r>
      <w:r w:rsidRPr="00E86F27">
        <w:t>a</w:t>
      </w:r>
      <w:r>
        <w:t xml:space="preserve"> </w:t>
      </w:r>
      <w:r w:rsidRPr="00E86F27">
        <w:t>provozovat</w:t>
      </w:r>
      <w:r>
        <w:t xml:space="preserve"> </w:t>
      </w:r>
      <w:r w:rsidRPr="00E86F27">
        <w:t>vlastní</w:t>
      </w:r>
      <w:r>
        <w:t xml:space="preserve"> </w:t>
      </w:r>
      <w:r w:rsidRPr="00E86F27">
        <w:t>telekomunikační</w:t>
      </w:r>
      <w:r>
        <w:t xml:space="preserve"> </w:t>
      </w:r>
      <w:r w:rsidRPr="00E86F27">
        <w:t>síť</w:t>
      </w:r>
      <w:r>
        <w:t xml:space="preserve"> </w:t>
      </w:r>
      <w:r w:rsidRPr="00E86F27">
        <w:t>k</w:t>
      </w:r>
      <w:r>
        <w:t xml:space="preserve"> </w:t>
      </w:r>
      <w:r w:rsidRPr="00E86F27">
        <w:t>řízení,</w:t>
      </w:r>
      <w:r>
        <w:t xml:space="preserve"> </w:t>
      </w:r>
      <w:r w:rsidRPr="00E86F27">
        <w:t>měření,</w:t>
      </w:r>
      <w:r>
        <w:t xml:space="preserve"> </w:t>
      </w:r>
      <w:r w:rsidRPr="00E86F27">
        <w:t>zabezpečování</w:t>
      </w:r>
      <w:r>
        <w:t xml:space="preserve"> </w:t>
      </w:r>
      <w:r w:rsidRPr="00E86F27">
        <w:t>a</w:t>
      </w:r>
      <w:r>
        <w:t xml:space="preserve"> </w:t>
      </w:r>
      <w:r w:rsidRPr="00E86F27">
        <w:t>automatizaci</w:t>
      </w:r>
      <w:r>
        <w:t xml:space="preserve"> </w:t>
      </w:r>
      <w:r w:rsidRPr="00E86F27">
        <w:t>provozu</w:t>
      </w:r>
      <w:r>
        <w:t xml:space="preserve"> </w:t>
      </w:r>
      <w:r w:rsidRPr="00E86F27">
        <w:t>plynárenské</w:t>
      </w:r>
      <w:r>
        <w:t xml:space="preserve"> </w:t>
      </w:r>
      <w:r w:rsidRPr="00E86F27">
        <w:t>soustavy</w:t>
      </w:r>
      <w:r>
        <w:t xml:space="preserve"> </w:t>
      </w:r>
      <w:r w:rsidRPr="00E86F27">
        <w:t>a</w:t>
      </w:r>
      <w:r>
        <w:t xml:space="preserve"> </w:t>
      </w:r>
      <w:r w:rsidRPr="00E86F27">
        <w:t>k</w:t>
      </w:r>
      <w:r>
        <w:t xml:space="preserve"> </w:t>
      </w:r>
      <w:r w:rsidRPr="00E86F27">
        <w:t>přenosu</w:t>
      </w:r>
      <w:r>
        <w:t xml:space="preserve"> </w:t>
      </w:r>
      <w:r w:rsidRPr="00E86F27">
        <w:t>informací</w:t>
      </w:r>
      <w:r>
        <w:t xml:space="preserve"> </w:t>
      </w:r>
      <w:r w:rsidRPr="00E86F27">
        <w:t>pro</w:t>
      </w:r>
      <w:r>
        <w:t xml:space="preserve"> </w:t>
      </w:r>
      <w:r w:rsidRPr="00E86F27">
        <w:t>činnost</w:t>
      </w:r>
      <w:r>
        <w:t xml:space="preserve"> </w:t>
      </w:r>
      <w:r w:rsidRPr="00E86F27">
        <w:t>výpočetní</w:t>
      </w:r>
      <w:r>
        <w:t xml:space="preserve"> </w:t>
      </w:r>
      <w:r w:rsidRPr="00E86F27">
        <w:t>techniky</w:t>
      </w:r>
      <w:r>
        <w:t xml:space="preserve"> </w:t>
      </w:r>
      <w:r w:rsidRPr="00E86F27">
        <w:t>a</w:t>
      </w:r>
      <w:r>
        <w:t xml:space="preserve"> </w:t>
      </w:r>
      <w:r w:rsidRPr="00E86F27">
        <w:t>informačních</w:t>
      </w:r>
      <w:r>
        <w:t xml:space="preserve"> </w:t>
      </w:r>
      <w:r w:rsidRPr="00E86F27">
        <w:t>systémů,</w:t>
      </w:r>
    </w:p>
    <w:p w14:paraId="1E9B5720" w14:textId="77777777" w:rsidR="001E38CA" w:rsidRDefault="001E38CA" w:rsidP="002E6AEA">
      <w:pPr>
        <w:pStyle w:val="Textparagrafu"/>
        <w:tabs>
          <w:tab w:val="left" w:pos="392"/>
          <w:tab w:val="left" w:pos="840"/>
        </w:tabs>
        <w:spacing w:before="0"/>
        <w:ind w:left="426" w:hanging="426"/>
      </w:pPr>
      <w:r w:rsidRPr="00E86F27">
        <w:t>d)</w:t>
      </w:r>
      <w:r>
        <w:tab/>
      </w:r>
      <w:r w:rsidRPr="00E86F27">
        <w:t>v</w:t>
      </w:r>
      <w:r>
        <w:t xml:space="preserve"> </w:t>
      </w:r>
      <w:r w:rsidRPr="00E86F27">
        <w:t>souladu</w:t>
      </w:r>
      <w:r>
        <w:t xml:space="preserve"> </w:t>
      </w:r>
      <w:r w:rsidRPr="00E86F27">
        <w:t>se</w:t>
      </w:r>
      <w:r>
        <w:t xml:space="preserve"> </w:t>
      </w:r>
      <w:r w:rsidRPr="00E86F27">
        <w:t>zvláštním</w:t>
      </w:r>
      <w:r>
        <w:t xml:space="preserve"> </w:t>
      </w:r>
      <w:r w:rsidRPr="00E86F27">
        <w:t>právním</w:t>
      </w:r>
      <w:r>
        <w:t xml:space="preserve"> </w:t>
      </w:r>
      <w:r w:rsidRPr="00E86F27">
        <w:t>předpisem4d)</w:t>
      </w:r>
      <w:r>
        <w:t xml:space="preserve"> </w:t>
      </w:r>
      <w:r w:rsidRPr="00E86F27">
        <w:t>zřizovat</w:t>
      </w:r>
      <w:r>
        <w:t xml:space="preserve"> </w:t>
      </w:r>
      <w:r w:rsidRPr="00E86F27">
        <w:t>a</w:t>
      </w:r>
      <w:r>
        <w:t xml:space="preserve"> </w:t>
      </w:r>
      <w:r w:rsidRPr="00E86F27">
        <w:t>provozovat</w:t>
      </w:r>
      <w:r>
        <w:t xml:space="preserve"> </w:t>
      </w:r>
      <w:r w:rsidRPr="00E86F27">
        <w:t>na</w:t>
      </w:r>
      <w:r>
        <w:t xml:space="preserve"> </w:t>
      </w:r>
      <w:r w:rsidRPr="00E86F27">
        <w:t>cizích</w:t>
      </w:r>
      <w:r>
        <w:t xml:space="preserve"> </w:t>
      </w:r>
      <w:r w:rsidRPr="00E86F27">
        <w:t>nemovitostech</w:t>
      </w:r>
      <w:r>
        <w:t xml:space="preserve"> </w:t>
      </w:r>
      <w:r w:rsidRPr="00E86F27">
        <w:t>plynárenská</w:t>
      </w:r>
      <w:r>
        <w:t xml:space="preserve"> </w:t>
      </w:r>
      <w:r w:rsidRPr="00E86F27">
        <w:t>zařízení,</w:t>
      </w:r>
    </w:p>
    <w:p w14:paraId="486A1801" w14:textId="77777777" w:rsidR="001E38CA" w:rsidRDefault="001E38CA" w:rsidP="002E6AEA">
      <w:pPr>
        <w:pStyle w:val="Textparagrafu"/>
        <w:tabs>
          <w:tab w:val="left" w:pos="392"/>
          <w:tab w:val="left" w:pos="840"/>
        </w:tabs>
        <w:spacing w:before="0"/>
        <w:ind w:left="426" w:hanging="426"/>
      </w:pPr>
      <w:r w:rsidRPr="00E86F27">
        <w:t>e)</w:t>
      </w:r>
      <w:r>
        <w:tab/>
      </w:r>
      <w:r w:rsidRPr="00E86F27">
        <w:t>vstupovat</w:t>
      </w:r>
      <w:r>
        <w:t xml:space="preserve"> </w:t>
      </w:r>
      <w:r w:rsidRPr="00E86F27">
        <w:t>a</w:t>
      </w:r>
      <w:r>
        <w:t xml:space="preserve"> </w:t>
      </w:r>
      <w:r w:rsidRPr="00E86F27">
        <w:t>vjíždět</w:t>
      </w:r>
      <w:r>
        <w:t xml:space="preserve"> </w:t>
      </w:r>
      <w:r w:rsidRPr="00E86F27">
        <w:t>na</w:t>
      </w:r>
      <w:r>
        <w:t xml:space="preserve"> </w:t>
      </w:r>
      <w:r w:rsidRPr="00E86F27">
        <w:t>cizí</w:t>
      </w:r>
      <w:r>
        <w:t xml:space="preserve"> </w:t>
      </w:r>
      <w:r w:rsidRPr="00E86F27">
        <w:t>nemovitosti</w:t>
      </w:r>
      <w:r>
        <w:t xml:space="preserve"> </w:t>
      </w:r>
      <w:r w:rsidRPr="00E86F27">
        <w:t>v</w:t>
      </w:r>
      <w:r>
        <w:t xml:space="preserve"> </w:t>
      </w:r>
      <w:r w:rsidRPr="00E86F27">
        <w:t>souvislosti</w:t>
      </w:r>
      <w:r>
        <w:t xml:space="preserve"> </w:t>
      </w:r>
      <w:r w:rsidRPr="00E86F27">
        <w:t>se</w:t>
      </w:r>
      <w:r>
        <w:t xml:space="preserve"> </w:t>
      </w:r>
      <w:r w:rsidRPr="00E86F27">
        <w:t>zřizováním,</w:t>
      </w:r>
      <w:r>
        <w:t xml:space="preserve"> </w:t>
      </w:r>
      <w:r w:rsidRPr="00E86F27">
        <w:t>stavebními</w:t>
      </w:r>
      <w:r>
        <w:t xml:space="preserve"> </w:t>
      </w:r>
      <w:r w:rsidRPr="00E86F27">
        <w:t>úpravami,</w:t>
      </w:r>
      <w:r>
        <w:t xml:space="preserve"> </w:t>
      </w:r>
      <w:r w:rsidRPr="00E86F27">
        <w:t>opravami</w:t>
      </w:r>
      <w:r>
        <w:t xml:space="preserve"> </w:t>
      </w:r>
      <w:r w:rsidRPr="00E86F27">
        <w:t>a</w:t>
      </w:r>
      <w:r>
        <w:t xml:space="preserve"> </w:t>
      </w:r>
      <w:r w:rsidRPr="00E86F27">
        <w:t>provozováním</w:t>
      </w:r>
      <w:r>
        <w:t xml:space="preserve"> </w:t>
      </w:r>
      <w:r w:rsidRPr="00E86F27">
        <w:t>přepravní</w:t>
      </w:r>
      <w:r>
        <w:t xml:space="preserve"> </w:t>
      </w:r>
      <w:r w:rsidRPr="00E86F27">
        <w:t>soustavy,</w:t>
      </w:r>
    </w:p>
    <w:p w14:paraId="2927ACBD" w14:textId="77777777" w:rsidR="001E38CA" w:rsidRDefault="001E38CA" w:rsidP="002E6AEA">
      <w:pPr>
        <w:pStyle w:val="Textparagrafu"/>
        <w:tabs>
          <w:tab w:val="left" w:pos="392"/>
          <w:tab w:val="left" w:pos="840"/>
        </w:tabs>
        <w:spacing w:before="0"/>
        <w:ind w:left="426" w:hanging="426"/>
      </w:pPr>
      <w:r w:rsidRPr="00E86F27">
        <w:lastRenderedPageBreak/>
        <w:t>f)</w:t>
      </w:r>
      <w:r>
        <w:tab/>
      </w:r>
      <w:r w:rsidRPr="00E86F27">
        <w:t>odstraňovat</w:t>
      </w:r>
      <w:r>
        <w:t xml:space="preserve"> </w:t>
      </w:r>
      <w:r w:rsidRPr="00E86F27">
        <w:t>a</w:t>
      </w:r>
      <w:r>
        <w:t xml:space="preserve"> </w:t>
      </w:r>
      <w:r w:rsidRPr="00E86F27">
        <w:t>oklešťovat</w:t>
      </w:r>
      <w:r>
        <w:t xml:space="preserve"> </w:t>
      </w:r>
      <w:r w:rsidRPr="00E86F27">
        <w:t>stromoví</w:t>
      </w:r>
      <w:r>
        <w:t xml:space="preserve"> </w:t>
      </w:r>
      <w:r w:rsidRPr="00E86F27">
        <w:t>a</w:t>
      </w:r>
      <w:r>
        <w:t xml:space="preserve"> </w:t>
      </w:r>
      <w:r w:rsidRPr="00E86F27">
        <w:t>jiné</w:t>
      </w:r>
      <w:r>
        <w:t xml:space="preserve"> </w:t>
      </w:r>
      <w:r w:rsidRPr="00E86F27">
        <w:t>porosty,</w:t>
      </w:r>
      <w:r>
        <w:t xml:space="preserve"> </w:t>
      </w:r>
      <w:r w:rsidRPr="00E86F27">
        <w:t>provádět</w:t>
      </w:r>
      <w:r>
        <w:t xml:space="preserve"> </w:t>
      </w:r>
      <w:r w:rsidRPr="00E86F27">
        <w:t>likvidaci</w:t>
      </w:r>
      <w:r>
        <w:t xml:space="preserve"> </w:t>
      </w:r>
      <w:r w:rsidRPr="00E86F27">
        <w:t>odstraněného</w:t>
      </w:r>
      <w:r>
        <w:t xml:space="preserve"> </w:t>
      </w:r>
      <w:r w:rsidRPr="00E86F27">
        <w:t>a</w:t>
      </w:r>
      <w:r>
        <w:t xml:space="preserve"> </w:t>
      </w:r>
      <w:r w:rsidRPr="00E86F27">
        <w:t>okleštěného</w:t>
      </w:r>
      <w:r>
        <w:t xml:space="preserve"> </w:t>
      </w:r>
      <w:r w:rsidRPr="00E86F27">
        <w:t>stromoví</w:t>
      </w:r>
      <w:r>
        <w:t xml:space="preserve"> </w:t>
      </w:r>
      <w:r w:rsidRPr="00E86F27">
        <w:t>a</w:t>
      </w:r>
      <w:r>
        <w:t xml:space="preserve"> </w:t>
      </w:r>
      <w:r w:rsidRPr="00E86F27">
        <w:t>jiných</w:t>
      </w:r>
      <w:r>
        <w:t xml:space="preserve"> </w:t>
      </w:r>
      <w:r w:rsidRPr="00E86F27">
        <w:t>porostů</w:t>
      </w:r>
      <w:r>
        <w:t xml:space="preserve"> </w:t>
      </w:r>
      <w:r w:rsidRPr="00E86F27">
        <w:t>ohrožujících</w:t>
      </w:r>
      <w:r>
        <w:t xml:space="preserve"> </w:t>
      </w:r>
      <w:r w:rsidRPr="00E86F27">
        <w:t>bezpečný</w:t>
      </w:r>
      <w:r>
        <w:t xml:space="preserve"> </w:t>
      </w:r>
      <w:r w:rsidRPr="00E86F27">
        <w:t>a</w:t>
      </w:r>
      <w:r>
        <w:t xml:space="preserve"> </w:t>
      </w:r>
      <w:r w:rsidRPr="00E86F27">
        <w:t>spolehlivý</w:t>
      </w:r>
      <w:r>
        <w:t xml:space="preserve"> </w:t>
      </w:r>
      <w:r w:rsidRPr="00E86F27">
        <w:t>provoz</w:t>
      </w:r>
      <w:r>
        <w:t xml:space="preserve"> </w:t>
      </w:r>
      <w:r w:rsidRPr="00E86F27">
        <w:t>přepravní</w:t>
      </w:r>
      <w:r>
        <w:t xml:space="preserve"> </w:t>
      </w:r>
      <w:r w:rsidRPr="00E86F27">
        <w:t>soustavy</w:t>
      </w:r>
      <w:r>
        <w:t xml:space="preserve"> </w:t>
      </w:r>
      <w:r w:rsidRPr="00E86F27">
        <w:t>v</w:t>
      </w:r>
      <w:r>
        <w:t xml:space="preserve"> </w:t>
      </w:r>
      <w:r w:rsidRPr="00E86F27">
        <w:t>případech,</w:t>
      </w:r>
      <w:r>
        <w:t xml:space="preserve"> </w:t>
      </w:r>
      <w:r w:rsidRPr="00E86F27">
        <w:t>kdy</w:t>
      </w:r>
      <w:r>
        <w:t xml:space="preserve"> </w:t>
      </w:r>
      <w:r w:rsidRPr="00E86F27">
        <w:t>tak</w:t>
      </w:r>
      <w:r>
        <w:t xml:space="preserve"> </w:t>
      </w:r>
      <w:r w:rsidRPr="00E86F27">
        <w:t>po</w:t>
      </w:r>
      <w:r>
        <w:t xml:space="preserve"> </w:t>
      </w:r>
      <w:r w:rsidRPr="00E86F27">
        <w:t>předchozím</w:t>
      </w:r>
      <w:r>
        <w:t xml:space="preserve"> </w:t>
      </w:r>
      <w:r w:rsidRPr="00E86F27">
        <w:t>upozornění</w:t>
      </w:r>
      <w:r>
        <w:t xml:space="preserve"> </w:t>
      </w:r>
      <w:r w:rsidRPr="00E86F27">
        <w:t>a</w:t>
      </w:r>
      <w:r>
        <w:t xml:space="preserve"> </w:t>
      </w:r>
      <w:r w:rsidRPr="00E86F27">
        <w:t>stanovení</w:t>
      </w:r>
      <w:r>
        <w:t xml:space="preserve"> </w:t>
      </w:r>
      <w:r w:rsidRPr="00E86F27">
        <w:t>rozsahu</w:t>
      </w:r>
      <w:r>
        <w:t xml:space="preserve"> </w:t>
      </w:r>
      <w:r w:rsidRPr="00E86F27">
        <w:t>neučinil</w:t>
      </w:r>
      <w:r>
        <w:t xml:space="preserve"> </w:t>
      </w:r>
      <w:r w:rsidRPr="00E86F27">
        <w:t>sám</w:t>
      </w:r>
      <w:r>
        <w:t xml:space="preserve"> </w:t>
      </w:r>
      <w:r w:rsidRPr="00E86F27">
        <w:t>vlastník</w:t>
      </w:r>
      <w:r>
        <w:t xml:space="preserve"> </w:t>
      </w:r>
      <w:r w:rsidRPr="00E86F27">
        <w:t>či</w:t>
      </w:r>
      <w:r>
        <w:t xml:space="preserve"> </w:t>
      </w:r>
      <w:r w:rsidRPr="00E86F27">
        <w:t>uživatel,</w:t>
      </w:r>
    </w:p>
    <w:p w14:paraId="721AA859" w14:textId="77777777" w:rsidR="001E38CA" w:rsidRDefault="001E38CA" w:rsidP="002E6AEA">
      <w:pPr>
        <w:pStyle w:val="Textparagrafu"/>
        <w:tabs>
          <w:tab w:val="left" w:pos="392"/>
          <w:tab w:val="left" w:pos="840"/>
        </w:tabs>
        <w:spacing w:before="0"/>
        <w:ind w:left="426" w:hanging="426"/>
      </w:pPr>
      <w:r w:rsidRPr="00E86F27">
        <w:t>g)</w:t>
      </w:r>
      <w:r>
        <w:tab/>
      </w:r>
      <w:r w:rsidRPr="00E86F27">
        <w:t>vstupovat</w:t>
      </w:r>
      <w:r>
        <w:t xml:space="preserve"> </w:t>
      </w:r>
      <w:r w:rsidRPr="00E86F27">
        <w:t>a</w:t>
      </w:r>
      <w:r>
        <w:t xml:space="preserve"> </w:t>
      </w:r>
      <w:r w:rsidRPr="00E86F27">
        <w:t>vjíždět</w:t>
      </w:r>
      <w:r>
        <w:t xml:space="preserve"> </w:t>
      </w:r>
      <w:r w:rsidRPr="00E86F27">
        <w:t>v</w:t>
      </w:r>
      <w:r>
        <w:t xml:space="preserve"> </w:t>
      </w:r>
      <w:r w:rsidRPr="00E86F27">
        <w:t>souladu</w:t>
      </w:r>
      <w:r>
        <w:t xml:space="preserve"> </w:t>
      </w:r>
      <w:r w:rsidRPr="00E86F27">
        <w:t>se</w:t>
      </w:r>
      <w:r>
        <w:t xml:space="preserve"> </w:t>
      </w:r>
      <w:r w:rsidRPr="00E86F27">
        <w:t>zvláštními</w:t>
      </w:r>
      <w:r>
        <w:t xml:space="preserve"> </w:t>
      </w:r>
      <w:r w:rsidRPr="00E86F27">
        <w:t>předpisy</w:t>
      </w:r>
      <w:r>
        <w:t xml:space="preserve"> </w:t>
      </w:r>
      <w:r w:rsidRPr="00E86F27">
        <w:t>do</w:t>
      </w:r>
      <w:r>
        <w:t xml:space="preserve"> </w:t>
      </w:r>
      <w:r w:rsidRPr="00E86F27">
        <w:t>uzavřených</w:t>
      </w:r>
      <w:r>
        <w:t xml:space="preserve"> </w:t>
      </w:r>
      <w:r w:rsidRPr="00E86F27">
        <w:t>prostor</w:t>
      </w:r>
      <w:r>
        <w:t xml:space="preserve"> </w:t>
      </w:r>
      <w:r w:rsidRPr="00E86F27">
        <w:t>a</w:t>
      </w:r>
      <w:r>
        <w:t xml:space="preserve"> </w:t>
      </w:r>
      <w:r w:rsidRPr="00E86F27">
        <w:t>zařízení</w:t>
      </w:r>
      <w:r>
        <w:t xml:space="preserve"> </w:t>
      </w:r>
      <w:r w:rsidRPr="00E86F27">
        <w:t>sloužících</w:t>
      </w:r>
      <w:r>
        <w:t xml:space="preserve"> </w:t>
      </w:r>
      <w:r w:rsidRPr="00E86F27">
        <w:t>k</w:t>
      </w:r>
      <w:r>
        <w:t xml:space="preserve"> </w:t>
      </w:r>
      <w:r w:rsidRPr="00E86F27">
        <w:t>výkonu</w:t>
      </w:r>
      <w:r>
        <w:t xml:space="preserve"> </w:t>
      </w:r>
      <w:r w:rsidRPr="00E86F27">
        <w:t>činnosti</w:t>
      </w:r>
      <w:r>
        <w:t xml:space="preserve"> </w:t>
      </w:r>
      <w:r w:rsidRPr="00E86F27">
        <w:t>a</w:t>
      </w:r>
      <w:r>
        <w:t xml:space="preserve"> </w:t>
      </w:r>
      <w:r w:rsidRPr="00E86F27">
        <w:t>služeb</w:t>
      </w:r>
      <w:r>
        <w:t xml:space="preserve"> </w:t>
      </w:r>
      <w:r w:rsidRPr="00E86F27">
        <w:t>orgánů</w:t>
      </w:r>
      <w:r>
        <w:t xml:space="preserve"> </w:t>
      </w:r>
      <w:r w:rsidRPr="00E86F27">
        <w:t>Ministerstva</w:t>
      </w:r>
      <w:r>
        <w:t xml:space="preserve"> </w:t>
      </w:r>
      <w:r w:rsidRPr="00E86F27">
        <w:t>obrany,</w:t>
      </w:r>
      <w:r>
        <w:t xml:space="preserve"> </w:t>
      </w:r>
      <w:r w:rsidRPr="00E86F27">
        <w:t>Ministerstva</w:t>
      </w:r>
      <w:r>
        <w:t xml:space="preserve"> </w:t>
      </w:r>
      <w:r w:rsidRPr="00E86F27">
        <w:t>vnitra,</w:t>
      </w:r>
      <w:r>
        <w:t xml:space="preserve"> </w:t>
      </w:r>
      <w:r w:rsidRPr="00E86F27">
        <w:t>Ministerstva</w:t>
      </w:r>
      <w:r>
        <w:t xml:space="preserve"> </w:t>
      </w:r>
      <w:r w:rsidRPr="00E86F27">
        <w:t>spravedlnosti,</w:t>
      </w:r>
      <w:r>
        <w:t xml:space="preserve"> </w:t>
      </w:r>
      <w:r w:rsidRPr="00E86F27">
        <w:t>Bezpečnostní</w:t>
      </w:r>
      <w:r>
        <w:t xml:space="preserve"> </w:t>
      </w:r>
      <w:r w:rsidRPr="00E86F27">
        <w:t>informační</w:t>
      </w:r>
      <w:r>
        <w:t xml:space="preserve"> </w:t>
      </w:r>
      <w:r w:rsidRPr="00E86F27">
        <w:t>služby</w:t>
      </w:r>
      <w:r>
        <w:t xml:space="preserve"> </w:t>
      </w:r>
      <w:r w:rsidRPr="00E86F27">
        <w:t>a</w:t>
      </w:r>
      <w:r>
        <w:t xml:space="preserve"> </w:t>
      </w:r>
      <w:r w:rsidRPr="00E86F27">
        <w:t>do</w:t>
      </w:r>
      <w:r>
        <w:t xml:space="preserve"> </w:t>
      </w:r>
      <w:r w:rsidRPr="00E86F27">
        <w:t>obvodu</w:t>
      </w:r>
      <w:r>
        <w:t xml:space="preserve"> </w:t>
      </w:r>
      <w:r w:rsidRPr="00E86F27">
        <w:t>dráhy,</w:t>
      </w:r>
      <w:r>
        <w:t xml:space="preserve"> </w:t>
      </w:r>
      <w:r w:rsidRPr="00E86F27">
        <w:t>jakož</w:t>
      </w:r>
      <w:r>
        <w:t xml:space="preserve"> </w:t>
      </w:r>
      <w:r w:rsidRPr="00E86F27">
        <w:t>i</w:t>
      </w:r>
      <w:r>
        <w:t xml:space="preserve"> </w:t>
      </w:r>
      <w:r w:rsidRPr="00E86F27">
        <w:t>vstupovat</w:t>
      </w:r>
      <w:r>
        <w:t xml:space="preserve"> </w:t>
      </w:r>
      <w:r w:rsidRPr="00E86F27">
        <w:t>a</w:t>
      </w:r>
      <w:r>
        <w:t xml:space="preserve"> </w:t>
      </w:r>
      <w:r w:rsidRPr="00E86F27">
        <w:t>vjíždět</w:t>
      </w:r>
      <w:r>
        <w:t xml:space="preserve"> </w:t>
      </w:r>
      <w:r w:rsidRPr="00E86F27">
        <w:t>do</w:t>
      </w:r>
      <w:r>
        <w:t xml:space="preserve"> </w:t>
      </w:r>
      <w:r w:rsidRPr="00E86F27">
        <w:t>nemovitostí,</w:t>
      </w:r>
      <w:r>
        <w:t xml:space="preserve"> </w:t>
      </w:r>
      <w:r w:rsidRPr="00E86F27">
        <w:t>kde</w:t>
      </w:r>
      <w:r>
        <w:t xml:space="preserve"> </w:t>
      </w:r>
      <w:r w:rsidRPr="00E86F27">
        <w:t>jsou</w:t>
      </w:r>
      <w:r>
        <w:t xml:space="preserve"> </w:t>
      </w:r>
      <w:r w:rsidRPr="00E86F27">
        <w:t>umístěna</w:t>
      </w:r>
      <w:r>
        <w:t xml:space="preserve"> </w:t>
      </w:r>
      <w:r w:rsidRPr="00E86F27">
        <w:t>zvláštní</w:t>
      </w:r>
      <w:r>
        <w:t xml:space="preserve"> </w:t>
      </w:r>
      <w:r w:rsidRPr="00E86F27">
        <w:t>zařízení</w:t>
      </w:r>
      <w:r>
        <w:t xml:space="preserve"> </w:t>
      </w:r>
      <w:r w:rsidRPr="00E86F27">
        <w:t>telekomunikací,</w:t>
      </w:r>
      <w:r>
        <w:t xml:space="preserve"> </w:t>
      </w:r>
      <w:r w:rsidRPr="00E86F27">
        <w:t>v</w:t>
      </w:r>
      <w:r>
        <w:t xml:space="preserve"> </w:t>
      </w:r>
      <w:r w:rsidRPr="00E86F27">
        <w:t>rozsahu</w:t>
      </w:r>
      <w:r>
        <w:t xml:space="preserve"> </w:t>
      </w:r>
      <w:r w:rsidRPr="00E86F27">
        <w:t>i</w:t>
      </w:r>
      <w:r>
        <w:t xml:space="preserve"> </w:t>
      </w:r>
      <w:r w:rsidRPr="00E86F27">
        <w:t>způsobem</w:t>
      </w:r>
      <w:r>
        <w:t xml:space="preserve"> </w:t>
      </w:r>
      <w:r w:rsidRPr="00E86F27">
        <w:t>nezbytným</w:t>
      </w:r>
      <w:r>
        <w:t xml:space="preserve"> </w:t>
      </w:r>
      <w:r w:rsidRPr="00E86F27">
        <w:t>pro</w:t>
      </w:r>
      <w:r>
        <w:t xml:space="preserve"> </w:t>
      </w:r>
      <w:r w:rsidRPr="00E86F27">
        <w:t>výkon</w:t>
      </w:r>
      <w:r>
        <w:t xml:space="preserve"> </w:t>
      </w:r>
      <w:r w:rsidRPr="00E86F27">
        <w:t>licencované</w:t>
      </w:r>
      <w:r>
        <w:t xml:space="preserve"> </w:t>
      </w:r>
      <w:r w:rsidRPr="00E86F27">
        <w:t>činnosti,</w:t>
      </w:r>
    </w:p>
    <w:p w14:paraId="03B9486F" w14:textId="77777777" w:rsidR="001E38CA" w:rsidRDefault="001E38CA" w:rsidP="002E6AEA">
      <w:pPr>
        <w:pStyle w:val="Textparagrafu"/>
        <w:tabs>
          <w:tab w:val="left" w:pos="392"/>
          <w:tab w:val="left" w:pos="840"/>
        </w:tabs>
        <w:spacing w:before="0"/>
        <w:ind w:left="426" w:hanging="426"/>
      </w:pPr>
      <w:r w:rsidRPr="00E86F27">
        <w:t>h)</w:t>
      </w:r>
      <w:r>
        <w:tab/>
      </w:r>
      <w:r w:rsidRPr="00E86F27">
        <w:t>při</w:t>
      </w:r>
      <w:r>
        <w:t xml:space="preserve"> </w:t>
      </w:r>
      <w:r w:rsidRPr="00E86F27">
        <w:t>stavech</w:t>
      </w:r>
      <w:r>
        <w:t xml:space="preserve"> </w:t>
      </w:r>
      <w:r w:rsidRPr="00E86F27">
        <w:t>nouze</w:t>
      </w:r>
      <w:r>
        <w:t xml:space="preserve"> </w:t>
      </w:r>
      <w:r w:rsidRPr="00E86F27">
        <w:t>využívat</w:t>
      </w:r>
      <w:r>
        <w:t xml:space="preserve"> </w:t>
      </w:r>
      <w:r w:rsidRPr="00E86F27">
        <w:t>v</w:t>
      </w:r>
      <w:r>
        <w:t xml:space="preserve"> </w:t>
      </w:r>
      <w:r w:rsidRPr="00E86F27">
        <w:t>nezbytném</w:t>
      </w:r>
      <w:r>
        <w:t xml:space="preserve"> </w:t>
      </w:r>
      <w:r w:rsidRPr="00E86F27">
        <w:t>rozsahu</w:t>
      </w:r>
      <w:r>
        <w:t xml:space="preserve"> </w:t>
      </w:r>
      <w:r w:rsidRPr="00E86F27">
        <w:t>plynárenská</w:t>
      </w:r>
      <w:r>
        <w:t xml:space="preserve"> </w:t>
      </w:r>
      <w:r w:rsidRPr="00E86F27">
        <w:t>zařízení</w:t>
      </w:r>
      <w:r>
        <w:t xml:space="preserve"> </w:t>
      </w:r>
      <w:r w:rsidRPr="00E86F27">
        <w:t>zákazníků,</w:t>
      </w:r>
      <w:r>
        <w:t xml:space="preserve"> </w:t>
      </w:r>
      <w:r w:rsidRPr="00E86F27">
        <w:t>pro</w:t>
      </w:r>
      <w:r>
        <w:t xml:space="preserve"> </w:t>
      </w:r>
      <w:r w:rsidRPr="00E86F27">
        <w:t>něž</w:t>
      </w:r>
      <w:r>
        <w:t xml:space="preserve"> </w:t>
      </w:r>
      <w:r w:rsidRPr="00E86F27">
        <w:t>přepravuje</w:t>
      </w:r>
      <w:r>
        <w:t xml:space="preserve"> </w:t>
      </w:r>
      <w:r w:rsidRPr="00E86F27">
        <w:t>plyn,</w:t>
      </w:r>
    </w:p>
    <w:p w14:paraId="761C8597" w14:textId="77777777" w:rsidR="001E38CA" w:rsidRPr="00E86F27" w:rsidRDefault="001E38CA" w:rsidP="002E6AEA">
      <w:pPr>
        <w:pStyle w:val="Textparagrafu"/>
        <w:tabs>
          <w:tab w:val="left" w:pos="392"/>
          <w:tab w:val="left" w:pos="840"/>
        </w:tabs>
        <w:spacing w:before="0"/>
        <w:ind w:left="426" w:hanging="426"/>
      </w:pPr>
      <w:r w:rsidRPr="00E86F27">
        <w:t>i)</w:t>
      </w:r>
      <w:r>
        <w:tab/>
      </w:r>
      <w:r w:rsidRPr="00E86F27">
        <w:t>omezit</w:t>
      </w:r>
      <w:r>
        <w:t xml:space="preserve"> </w:t>
      </w:r>
      <w:r w:rsidRPr="00E86F27">
        <w:t>nebo</w:t>
      </w:r>
      <w:r>
        <w:t xml:space="preserve"> </w:t>
      </w:r>
      <w:r w:rsidRPr="00E86F27">
        <w:t>přerušit</w:t>
      </w:r>
      <w:r>
        <w:t xml:space="preserve"> </w:t>
      </w:r>
      <w:r w:rsidRPr="00E86F27">
        <w:t>přepravu</w:t>
      </w:r>
      <w:r>
        <w:t xml:space="preserve"> </w:t>
      </w:r>
      <w:r w:rsidRPr="00E86F27">
        <w:t>plynu</w:t>
      </w:r>
      <w:r>
        <w:t xml:space="preserve"> </w:t>
      </w:r>
      <w:r w:rsidRPr="00E86F27">
        <w:t>v</w:t>
      </w:r>
      <w:r>
        <w:t xml:space="preserve"> </w:t>
      </w:r>
      <w:r w:rsidRPr="00E86F27">
        <w:t>těchto</w:t>
      </w:r>
      <w:r>
        <w:t xml:space="preserve"> </w:t>
      </w:r>
      <w:r w:rsidRPr="00E86F27">
        <w:t>případech:</w:t>
      </w:r>
    </w:p>
    <w:p w14:paraId="3F3DE5B2" w14:textId="37538B5B" w:rsidR="001E38CA" w:rsidRPr="00E86F27" w:rsidRDefault="001E38CA" w:rsidP="0010420C">
      <w:pPr>
        <w:pStyle w:val="Textparagrafu"/>
        <w:tabs>
          <w:tab w:val="left" w:pos="392"/>
          <w:tab w:val="left" w:pos="840"/>
        </w:tabs>
        <w:spacing w:before="0"/>
        <w:ind w:left="850" w:hanging="425"/>
      </w:pPr>
      <w:r w:rsidRPr="00E86F27">
        <w:t>1.</w:t>
      </w:r>
      <w:r>
        <w:tab/>
      </w:r>
      <w:r w:rsidRPr="00E86F27">
        <w:t>při</w:t>
      </w:r>
      <w:r>
        <w:t xml:space="preserve"> </w:t>
      </w:r>
      <w:r w:rsidRPr="00E86F27">
        <w:t>bezprostředním</w:t>
      </w:r>
      <w:r>
        <w:t xml:space="preserve"> </w:t>
      </w:r>
      <w:r w:rsidRPr="00E86F27">
        <w:t>ohrožení</w:t>
      </w:r>
      <w:r>
        <w:t xml:space="preserve"> </w:t>
      </w:r>
      <w:r w:rsidRPr="00E86F27">
        <w:t>života,</w:t>
      </w:r>
      <w:r>
        <w:t xml:space="preserve"> </w:t>
      </w:r>
      <w:r w:rsidRPr="00E86F27">
        <w:t>zdraví</w:t>
      </w:r>
      <w:r>
        <w:t xml:space="preserve"> </w:t>
      </w:r>
      <w:r w:rsidRPr="00E86F27">
        <w:t>nebo</w:t>
      </w:r>
      <w:r>
        <w:t xml:space="preserve"> </w:t>
      </w:r>
      <w:r w:rsidRPr="00E86F27">
        <w:t>majetku</w:t>
      </w:r>
      <w:r>
        <w:t xml:space="preserve"> </w:t>
      </w:r>
      <w:r w:rsidRPr="00E86F27">
        <w:t>osob</w:t>
      </w:r>
      <w:r>
        <w:t xml:space="preserve"> </w:t>
      </w:r>
      <w:r w:rsidRPr="00E86F27">
        <w:t>a</w:t>
      </w:r>
      <w:r>
        <w:t xml:space="preserve"> </w:t>
      </w:r>
      <w:r w:rsidRPr="00E86F27">
        <w:t>při</w:t>
      </w:r>
      <w:r>
        <w:t xml:space="preserve"> </w:t>
      </w:r>
      <w:r w:rsidRPr="00E86F27">
        <w:t>likvidaci</w:t>
      </w:r>
      <w:r>
        <w:t xml:space="preserve"> </w:t>
      </w:r>
      <w:r w:rsidRPr="00E86F27">
        <w:t>těchto</w:t>
      </w:r>
      <w:r>
        <w:t xml:space="preserve"> </w:t>
      </w:r>
      <w:r w:rsidRPr="00E86F27">
        <w:t>stavů,</w:t>
      </w:r>
    </w:p>
    <w:p w14:paraId="44A1B09C" w14:textId="33459C86" w:rsidR="001E38CA" w:rsidRPr="00E86F27" w:rsidRDefault="001E38CA" w:rsidP="0010420C">
      <w:pPr>
        <w:pStyle w:val="Textparagrafu"/>
        <w:tabs>
          <w:tab w:val="left" w:pos="392"/>
          <w:tab w:val="left" w:pos="840"/>
        </w:tabs>
        <w:spacing w:before="0"/>
        <w:ind w:left="850" w:hanging="425"/>
      </w:pPr>
      <w:r w:rsidRPr="00E86F27">
        <w:t>2.</w:t>
      </w:r>
      <w:r>
        <w:tab/>
      </w:r>
      <w:r w:rsidRPr="00E86F27">
        <w:t>při</w:t>
      </w:r>
      <w:r>
        <w:t xml:space="preserve"> </w:t>
      </w:r>
      <w:r w:rsidRPr="00E86F27">
        <w:t>stavech</w:t>
      </w:r>
      <w:r>
        <w:t xml:space="preserve"> </w:t>
      </w:r>
      <w:r w:rsidRPr="00E86F27">
        <w:t>nouze</w:t>
      </w:r>
      <w:r>
        <w:t xml:space="preserve"> </w:t>
      </w:r>
      <w:r w:rsidRPr="00E86F27">
        <w:t>nebo</w:t>
      </w:r>
      <w:r>
        <w:t xml:space="preserve"> </w:t>
      </w:r>
      <w:r w:rsidRPr="00E86F27">
        <w:t>při</w:t>
      </w:r>
      <w:r>
        <w:t xml:space="preserve"> </w:t>
      </w:r>
      <w:r w:rsidRPr="00E86F27">
        <w:t>činnostech</w:t>
      </w:r>
      <w:r>
        <w:t xml:space="preserve"> </w:t>
      </w:r>
      <w:r w:rsidRPr="00E86F27">
        <w:t>bezprostředně</w:t>
      </w:r>
      <w:r>
        <w:t xml:space="preserve"> </w:t>
      </w:r>
      <w:r w:rsidRPr="00E86F27">
        <w:t>zamezujících</w:t>
      </w:r>
      <w:r>
        <w:t xml:space="preserve"> </w:t>
      </w:r>
      <w:r w:rsidRPr="00E86F27">
        <w:t>jejich</w:t>
      </w:r>
      <w:r>
        <w:t xml:space="preserve"> </w:t>
      </w:r>
      <w:r w:rsidRPr="00E86F27">
        <w:t>vzniku</w:t>
      </w:r>
      <w:r>
        <w:t xml:space="preserve"> </w:t>
      </w:r>
      <w:r w:rsidRPr="00E86F27">
        <w:t>a</w:t>
      </w:r>
      <w:r>
        <w:t xml:space="preserve"> </w:t>
      </w:r>
      <w:r w:rsidRPr="00E86F27">
        <w:t>při</w:t>
      </w:r>
      <w:r>
        <w:t xml:space="preserve"> </w:t>
      </w:r>
      <w:r w:rsidRPr="00E86F27">
        <w:t>poskytování</w:t>
      </w:r>
      <w:r>
        <w:t xml:space="preserve"> </w:t>
      </w:r>
      <w:r w:rsidRPr="00E86F27">
        <w:t>mezinárodní</w:t>
      </w:r>
      <w:r>
        <w:t xml:space="preserve"> </w:t>
      </w:r>
      <w:r w:rsidRPr="00E86F27">
        <w:t>pomoci</w:t>
      </w:r>
      <w:r>
        <w:t xml:space="preserve"> </w:t>
      </w:r>
      <w:r w:rsidRPr="00E86F27">
        <w:t>v</w:t>
      </w:r>
      <w:r>
        <w:t xml:space="preserve"> </w:t>
      </w:r>
      <w:r w:rsidRPr="00E86F27">
        <w:t>krizových</w:t>
      </w:r>
      <w:r>
        <w:t xml:space="preserve"> </w:t>
      </w:r>
      <w:r w:rsidRPr="00E86F27">
        <w:t>situacích</w:t>
      </w:r>
      <w:r>
        <w:t xml:space="preserve"> </w:t>
      </w:r>
      <w:r w:rsidRPr="00E86F27">
        <w:t>v</w:t>
      </w:r>
      <w:r>
        <w:t xml:space="preserve"> </w:t>
      </w:r>
      <w:r w:rsidRPr="00E86F27">
        <w:t>plynárenství</w:t>
      </w:r>
      <w:r>
        <w:t xml:space="preserve"> </w:t>
      </w:r>
      <w:r w:rsidRPr="00E86F27">
        <w:t>podle</w:t>
      </w:r>
      <w:r>
        <w:t xml:space="preserve"> </w:t>
      </w:r>
      <w:r w:rsidRPr="00E86F27">
        <w:t>přímo</w:t>
      </w:r>
      <w:r>
        <w:t xml:space="preserve"> </w:t>
      </w:r>
      <w:r w:rsidRPr="00E86F27">
        <w:t>použitelného</w:t>
      </w:r>
      <w:r>
        <w:t xml:space="preserve"> </w:t>
      </w:r>
      <w:r w:rsidRPr="00E86F27">
        <w:t>předpisu</w:t>
      </w:r>
      <w:r>
        <w:t xml:space="preserve"> </w:t>
      </w:r>
      <w:r w:rsidRPr="00E86F27">
        <w:t>Evropské</w:t>
      </w:r>
      <w:r>
        <w:t xml:space="preserve"> </w:t>
      </w:r>
      <w:r w:rsidRPr="00E86F27">
        <w:t>unie</w:t>
      </w:r>
      <w:r>
        <w:t xml:space="preserve"> </w:t>
      </w:r>
      <w:r w:rsidRPr="00E86F27">
        <w:t>upravujícího</w:t>
      </w:r>
      <w:r>
        <w:t xml:space="preserve"> </w:t>
      </w:r>
      <w:r w:rsidRPr="00E86F27">
        <w:t>opatření</w:t>
      </w:r>
      <w:r>
        <w:t xml:space="preserve"> </w:t>
      </w:r>
      <w:r w:rsidRPr="00E86F27">
        <w:t>na</w:t>
      </w:r>
      <w:r>
        <w:t xml:space="preserve"> </w:t>
      </w:r>
      <w:r w:rsidRPr="00E86F27">
        <w:t>zajištění</w:t>
      </w:r>
      <w:r>
        <w:t xml:space="preserve"> </w:t>
      </w:r>
      <w:r w:rsidRPr="00E86F27">
        <w:t>bezpečnosti</w:t>
      </w:r>
      <w:r>
        <w:t xml:space="preserve"> </w:t>
      </w:r>
      <w:r w:rsidRPr="00E86F27">
        <w:t>dodávek</w:t>
      </w:r>
      <w:r>
        <w:t xml:space="preserve"> </w:t>
      </w:r>
      <w:r w:rsidRPr="00E86F27">
        <w:t>zemního</w:t>
      </w:r>
      <w:r>
        <w:t xml:space="preserve"> plynu</w:t>
      </w:r>
      <w:r>
        <w:rPr>
          <w:rStyle w:val="Znakapoznpodarou"/>
        </w:rPr>
        <w:footnoteReference w:customMarkFollows="1" w:id="392"/>
        <w:t>21)</w:t>
      </w:r>
      <w:r w:rsidRPr="00E86F27">
        <w:t>,</w:t>
      </w:r>
    </w:p>
    <w:p w14:paraId="0A012D70" w14:textId="5FD1F96E" w:rsidR="001E38CA" w:rsidRPr="00E86F27" w:rsidRDefault="001E38CA" w:rsidP="0010420C">
      <w:pPr>
        <w:pStyle w:val="Textparagrafu"/>
        <w:tabs>
          <w:tab w:val="left" w:pos="392"/>
          <w:tab w:val="left" w:pos="840"/>
        </w:tabs>
        <w:spacing w:before="0"/>
        <w:ind w:left="850" w:hanging="425"/>
      </w:pPr>
      <w:r w:rsidRPr="00E86F27">
        <w:t>3.</w:t>
      </w:r>
      <w:r>
        <w:tab/>
      </w:r>
      <w:r w:rsidRPr="00E86F27">
        <w:t>při</w:t>
      </w:r>
      <w:r>
        <w:t xml:space="preserve"> </w:t>
      </w:r>
      <w:r w:rsidRPr="00E86F27">
        <w:t>provádění</w:t>
      </w:r>
      <w:r>
        <w:t xml:space="preserve"> </w:t>
      </w:r>
      <w:r w:rsidRPr="00E86F27">
        <w:t>plánovaných</w:t>
      </w:r>
      <w:r>
        <w:t xml:space="preserve"> </w:t>
      </w:r>
      <w:r w:rsidRPr="00E86F27">
        <w:t>stavebních</w:t>
      </w:r>
      <w:r>
        <w:t xml:space="preserve"> </w:t>
      </w:r>
      <w:r w:rsidRPr="00E86F27">
        <w:t>úprav</w:t>
      </w:r>
      <w:r>
        <w:t xml:space="preserve"> </w:t>
      </w:r>
      <w:r w:rsidRPr="00E86F27">
        <w:t>a</w:t>
      </w:r>
      <w:r>
        <w:t xml:space="preserve"> </w:t>
      </w:r>
      <w:r w:rsidRPr="00E86F27">
        <w:t>plánovaných</w:t>
      </w:r>
      <w:r>
        <w:t xml:space="preserve"> </w:t>
      </w:r>
      <w:r w:rsidRPr="00E86F27">
        <w:t>oprav</w:t>
      </w:r>
      <w:r>
        <w:t xml:space="preserve"> </w:t>
      </w:r>
      <w:r w:rsidRPr="00E86F27">
        <w:t>na</w:t>
      </w:r>
      <w:r>
        <w:t xml:space="preserve"> </w:t>
      </w:r>
      <w:r w:rsidRPr="00E86F27">
        <w:t>zařízení</w:t>
      </w:r>
      <w:r>
        <w:t xml:space="preserve"> </w:t>
      </w:r>
      <w:r w:rsidRPr="00E86F27">
        <w:t>přepravní</w:t>
      </w:r>
      <w:r>
        <w:t xml:space="preserve"> </w:t>
      </w:r>
      <w:r w:rsidRPr="00E86F27">
        <w:t>soustavy,</w:t>
      </w:r>
    </w:p>
    <w:p w14:paraId="6A38D037" w14:textId="5B759A5A" w:rsidR="001E38CA" w:rsidRPr="00E86F27" w:rsidRDefault="001E38CA" w:rsidP="0010420C">
      <w:pPr>
        <w:pStyle w:val="Textparagrafu"/>
        <w:tabs>
          <w:tab w:val="left" w:pos="392"/>
          <w:tab w:val="left" w:pos="840"/>
        </w:tabs>
        <w:spacing w:before="0"/>
        <w:ind w:left="850" w:hanging="425"/>
      </w:pPr>
      <w:r w:rsidRPr="00E86F27">
        <w:t>4.</w:t>
      </w:r>
      <w:r>
        <w:tab/>
      </w:r>
      <w:r w:rsidRPr="00E86F27">
        <w:t>při</w:t>
      </w:r>
      <w:r>
        <w:t xml:space="preserve"> </w:t>
      </w:r>
      <w:r w:rsidRPr="00E86F27">
        <w:t>vzniku</w:t>
      </w:r>
      <w:r>
        <w:t xml:space="preserve"> </w:t>
      </w:r>
      <w:r w:rsidRPr="00E86F27">
        <w:t>a</w:t>
      </w:r>
      <w:r>
        <w:t xml:space="preserve"> </w:t>
      </w:r>
      <w:r w:rsidRPr="00E86F27">
        <w:t>odstraňování</w:t>
      </w:r>
      <w:r>
        <w:t xml:space="preserve"> </w:t>
      </w:r>
      <w:r w:rsidRPr="00E86F27">
        <w:t>poruch</w:t>
      </w:r>
      <w:r>
        <w:t xml:space="preserve"> </w:t>
      </w:r>
      <w:r w:rsidRPr="00E86F27">
        <w:t>na</w:t>
      </w:r>
      <w:r>
        <w:t xml:space="preserve"> </w:t>
      </w:r>
      <w:r w:rsidRPr="00E86F27">
        <w:t>zařízeních</w:t>
      </w:r>
      <w:r>
        <w:t xml:space="preserve"> </w:t>
      </w:r>
      <w:r w:rsidRPr="00E86F27">
        <w:t>přepravní</w:t>
      </w:r>
      <w:r>
        <w:t xml:space="preserve"> </w:t>
      </w:r>
      <w:r w:rsidRPr="00E86F27">
        <w:t>soustavy,</w:t>
      </w:r>
    </w:p>
    <w:p w14:paraId="2098C678" w14:textId="681EF7AB" w:rsidR="001E38CA" w:rsidRPr="00E86F27" w:rsidRDefault="001E38CA" w:rsidP="0010420C">
      <w:pPr>
        <w:pStyle w:val="Textparagrafu"/>
        <w:tabs>
          <w:tab w:val="left" w:pos="392"/>
          <w:tab w:val="left" w:pos="840"/>
        </w:tabs>
        <w:spacing w:before="0"/>
        <w:ind w:left="850" w:hanging="425"/>
      </w:pPr>
      <w:r w:rsidRPr="00E86F27">
        <w:t>5.</w:t>
      </w:r>
      <w:r>
        <w:tab/>
      </w:r>
      <w:r w:rsidRPr="00E86F27">
        <w:t>při</w:t>
      </w:r>
      <w:r>
        <w:t xml:space="preserve"> </w:t>
      </w:r>
      <w:r w:rsidRPr="00E86F27">
        <w:t>odběru</w:t>
      </w:r>
      <w:r>
        <w:t xml:space="preserve"> </w:t>
      </w:r>
      <w:r w:rsidRPr="00E86F27">
        <w:t>plynu</w:t>
      </w:r>
      <w:r>
        <w:t xml:space="preserve"> </w:t>
      </w:r>
      <w:r w:rsidRPr="00E86F27">
        <w:t>zařízeními,</w:t>
      </w:r>
      <w:r>
        <w:t xml:space="preserve"> </w:t>
      </w:r>
      <w:r w:rsidRPr="00E86F27">
        <w:t>která</w:t>
      </w:r>
      <w:r>
        <w:t xml:space="preserve"> </w:t>
      </w:r>
      <w:r w:rsidRPr="00E86F27">
        <w:t>ohrožují</w:t>
      </w:r>
      <w:r>
        <w:t xml:space="preserve"> </w:t>
      </w:r>
      <w:r w:rsidRPr="00E86F27">
        <w:t>životy,</w:t>
      </w:r>
      <w:r>
        <w:t xml:space="preserve"> </w:t>
      </w:r>
      <w:r w:rsidRPr="00E86F27">
        <w:t>zdraví</w:t>
      </w:r>
      <w:r>
        <w:t xml:space="preserve"> </w:t>
      </w:r>
      <w:r w:rsidRPr="00E86F27">
        <w:t>nebo</w:t>
      </w:r>
      <w:r>
        <w:t xml:space="preserve"> </w:t>
      </w:r>
      <w:r w:rsidRPr="00E86F27">
        <w:t>majetek</w:t>
      </w:r>
      <w:r>
        <w:t xml:space="preserve"> </w:t>
      </w:r>
      <w:r w:rsidRPr="00E86F27">
        <w:t>osob,</w:t>
      </w:r>
    </w:p>
    <w:p w14:paraId="2002A012" w14:textId="1578DFC6" w:rsidR="001E38CA" w:rsidRPr="00E86F27" w:rsidRDefault="001E38CA" w:rsidP="0010420C">
      <w:pPr>
        <w:pStyle w:val="Textparagrafu"/>
        <w:tabs>
          <w:tab w:val="left" w:pos="392"/>
          <w:tab w:val="left" w:pos="840"/>
        </w:tabs>
        <w:spacing w:before="0"/>
        <w:ind w:left="850" w:hanging="425"/>
      </w:pPr>
      <w:r w:rsidRPr="00E86F27">
        <w:t>6.</w:t>
      </w:r>
      <w:r>
        <w:tab/>
      </w:r>
      <w:r w:rsidRPr="00E86F27">
        <w:t>při</w:t>
      </w:r>
      <w:r>
        <w:t xml:space="preserve"> </w:t>
      </w:r>
      <w:r w:rsidRPr="00E86F27">
        <w:t>neoprávněném</w:t>
      </w:r>
      <w:r>
        <w:t xml:space="preserve"> </w:t>
      </w:r>
      <w:r w:rsidRPr="00E86F27">
        <w:t>odběru</w:t>
      </w:r>
      <w:r>
        <w:t xml:space="preserve"> </w:t>
      </w:r>
      <w:r w:rsidRPr="00E86F27">
        <w:t>plynu</w:t>
      </w:r>
      <w:r>
        <w:t xml:space="preserve"> </w:t>
      </w:r>
      <w:r w:rsidRPr="00E86F27">
        <w:t>nebo</w:t>
      </w:r>
      <w:r>
        <w:t xml:space="preserve"> </w:t>
      </w:r>
      <w:r w:rsidRPr="00E86F27">
        <w:t>neoprávněné</w:t>
      </w:r>
      <w:r>
        <w:t xml:space="preserve"> </w:t>
      </w:r>
      <w:r w:rsidRPr="00E86F27">
        <w:t>přepravě</w:t>
      </w:r>
      <w:r>
        <w:t xml:space="preserve"> </w:t>
      </w:r>
      <w:r w:rsidRPr="00E86F27">
        <w:t>plynu,</w:t>
      </w:r>
    </w:p>
    <w:p w14:paraId="1FC3880A" w14:textId="3D0B229E" w:rsidR="001E38CA" w:rsidRPr="00E86F27" w:rsidRDefault="001E38CA" w:rsidP="0010420C">
      <w:pPr>
        <w:pStyle w:val="Textparagrafu"/>
        <w:tabs>
          <w:tab w:val="left" w:pos="392"/>
          <w:tab w:val="left" w:pos="840"/>
        </w:tabs>
        <w:spacing w:before="0"/>
        <w:ind w:left="850" w:hanging="425"/>
      </w:pPr>
      <w:r w:rsidRPr="00E86F27">
        <w:t>7.</w:t>
      </w:r>
      <w:r>
        <w:tab/>
      </w:r>
      <w:r w:rsidRPr="00E86F27">
        <w:t>při</w:t>
      </w:r>
      <w:r>
        <w:t xml:space="preserve"> </w:t>
      </w:r>
      <w:r w:rsidRPr="00E86F27">
        <w:t>odběru</w:t>
      </w:r>
      <w:r>
        <w:t xml:space="preserve"> </w:t>
      </w:r>
      <w:r w:rsidRPr="00E86F27">
        <w:t>plynu,</w:t>
      </w:r>
      <w:r>
        <w:t xml:space="preserve"> </w:t>
      </w:r>
      <w:r w:rsidRPr="00E86F27">
        <w:t>kdy</w:t>
      </w:r>
      <w:r>
        <w:t xml:space="preserve"> </w:t>
      </w:r>
      <w:r w:rsidRPr="00E86F27">
        <w:t>zákazník</w:t>
      </w:r>
      <w:r>
        <w:t xml:space="preserve"> </w:t>
      </w:r>
      <w:r w:rsidRPr="00E86F27">
        <w:t>opakovaně</w:t>
      </w:r>
      <w:r>
        <w:t xml:space="preserve"> </w:t>
      </w:r>
      <w:r w:rsidRPr="00E86F27">
        <w:t>bez</w:t>
      </w:r>
      <w:r>
        <w:t xml:space="preserve"> </w:t>
      </w:r>
      <w:r w:rsidRPr="00E86F27">
        <w:t>vážného</w:t>
      </w:r>
      <w:r>
        <w:t xml:space="preserve"> </w:t>
      </w:r>
      <w:r w:rsidRPr="00E86F27">
        <w:t>důvodu</w:t>
      </w:r>
      <w:r>
        <w:t xml:space="preserve"> </w:t>
      </w:r>
      <w:r w:rsidRPr="00E86F27">
        <w:t>neumožnil</w:t>
      </w:r>
      <w:r>
        <w:t xml:space="preserve"> </w:t>
      </w:r>
      <w:r w:rsidRPr="00E86F27">
        <w:t>přístup</w:t>
      </w:r>
      <w:r>
        <w:t xml:space="preserve"> </w:t>
      </w:r>
      <w:r w:rsidRPr="00E86F27">
        <w:t>k</w:t>
      </w:r>
      <w:r>
        <w:t xml:space="preserve"> </w:t>
      </w:r>
      <w:r w:rsidRPr="00E86F27">
        <w:t>měřicímu</w:t>
      </w:r>
      <w:r>
        <w:t xml:space="preserve"> </w:t>
      </w:r>
      <w:r w:rsidRPr="00E86F27">
        <w:t>zařízení</w:t>
      </w:r>
      <w:r>
        <w:t xml:space="preserve"> </w:t>
      </w:r>
      <w:r w:rsidRPr="00E86F27">
        <w:t>nebo</w:t>
      </w:r>
      <w:r>
        <w:t xml:space="preserve"> </w:t>
      </w:r>
      <w:r w:rsidRPr="00E86F27">
        <w:t>neměřeným</w:t>
      </w:r>
      <w:r>
        <w:t xml:space="preserve"> </w:t>
      </w:r>
      <w:r w:rsidRPr="00E86F27">
        <w:t>částem</w:t>
      </w:r>
      <w:r>
        <w:t xml:space="preserve"> </w:t>
      </w:r>
      <w:r w:rsidRPr="00E86F27">
        <w:t>odběrného</w:t>
      </w:r>
      <w:r>
        <w:t xml:space="preserve"> </w:t>
      </w:r>
      <w:r w:rsidRPr="00E86F27">
        <w:t>plynového</w:t>
      </w:r>
      <w:r>
        <w:t xml:space="preserve"> </w:t>
      </w:r>
      <w:r w:rsidRPr="00E86F27">
        <w:t>zařízení,</w:t>
      </w:r>
      <w:r>
        <w:t xml:space="preserve"> </w:t>
      </w:r>
      <w:r w:rsidRPr="00E86F27">
        <w:t>přestože</w:t>
      </w:r>
      <w:r>
        <w:t xml:space="preserve"> </w:t>
      </w:r>
      <w:r w:rsidRPr="00E86F27">
        <w:t>byl</w:t>
      </w:r>
      <w:r>
        <w:t xml:space="preserve"> </w:t>
      </w:r>
      <w:r w:rsidRPr="00E86F27">
        <w:t>k</w:t>
      </w:r>
      <w:r>
        <w:t xml:space="preserve"> </w:t>
      </w:r>
      <w:r w:rsidRPr="00E86F27">
        <w:t>umožnění</w:t>
      </w:r>
      <w:r>
        <w:t xml:space="preserve"> </w:t>
      </w:r>
      <w:r w:rsidRPr="00E86F27">
        <w:t>přístupu</w:t>
      </w:r>
      <w:r>
        <w:t xml:space="preserve"> </w:t>
      </w:r>
      <w:r w:rsidRPr="00E86F27">
        <w:t>za</w:t>
      </w:r>
      <w:r>
        <w:t xml:space="preserve"> </w:t>
      </w:r>
      <w:r w:rsidRPr="00E86F27">
        <w:t>účelem</w:t>
      </w:r>
      <w:r>
        <w:t xml:space="preserve"> </w:t>
      </w:r>
      <w:r w:rsidRPr="00E86F27">
        <w:t>provedení</w:t>
      </w:r>
      <w:r>
        <w:t xml:space="preserve"> </w:t>
      </w:r>
      <w:r w:rsidRPr="00E86F27">
        <w:t>kontroly,</w:t>
      </w:r>
      <w:r>
        <w:t xml:space="preserve"> </w:t>
      </w:r>
      <w:r w:rsidRPr="00E86F27">
        <w:t>odečtu,</w:t>
      </w:r>
      <w:r>
        <w:t xml:space="preserve"> </w:t>
      </w:r>
      <w:r w:rsidRPr="00E86F27">
        <w:t>údržby,</w:t>
      </w:r>
      <w:r>
        <w:t xml:space="preserve"> </w:t>
      </w:r>
      <w:r w:rsidRPr="00E86F27">
        <w:t>výměny</w:t>
      </w:r>
      <w:r>
        <w:t xml:space="preserve"> </w:t>
      </w:r>
      <w:r w:rsidRPr="00E86F27">
        <w:t>či</w:t>
      </w:r>
      <w:r>
        <w:t xml:space="preserve"> </w:t>
      </w:r>
      <w:r w:rsidRPr="00E86F27">
        <w:t>odebrání</w:t>
      </w:r>
      <w:r>
        <w:t xml:space="preserve"> </w:t>
      </w:r>
      <w:r w:rsidRPr="00E86F27">
        <w:t>měřicího</w:t>
      </w:r>
      <w:r>
        <w:t xml:space="preserve"> </w:t>
      </w:r>
      <w:r w:rsidRPr="00E86F27">
        <w:t>zařízení</w:t>
      </w:r>
      <w:r>
        <w:t xml:space="preserve"> </w:t>
      </w:r>
      <w:r w:rsidRPr="00E86F27">
        <w:t>alespoň</w:t>
      </w:r>
      <w:r>
        <w:t xml:space="preserve"> </w:t>
      </w:r>
      <w:r w:rsidRPr="00E86F27">
        <w:t>15</w:t>
      </w:r>
      <w:r>
        <w:t xml:space="preserve"> </w:t>
      </w:r>
      <w:r w:rsidRPr="00E86F27">
        <w:t>dnů</w:t>
      </w:r>
      <w:r>
        <w:t xml:space="preserve"> </w:t>
      </w:r>
      <w:r w:rsidRPr="00E86F27">
        <w:t>předem</w:t>
      </w:r>
      <w:r>
        <w:t xml:space="preserve"> </w:t>
      </w:r>
      <w:r w:rsidRPr="00E86F27">
        <w:t>písemně</w:t>
      </w:r>
      <w:r>
        <w:t xml:space="preserve"> </w:t>
      </w:r>
      <w:r w:rsidRPr="00E86F27">
        <w:t>nebo</w:t>
      </w:r>
      <w:r>
        <w:t xml:space="preserve"> </w:t>
      </w:r>
      <w:r w:rsidRPr="00E86F27">
        <w:t>jiným</w:t>
      </w:r>
      <w:r>
        <w:t xml:space="preserve"> </w:t>
      </w:r>
      <w:r w:rsidRPr="00E86F27">
        <w:t>prokazatelným</w:t>
      </w:r>
      <w:r>
        <w:t xml:space="preserve"> </w:t>
      </w:r>
      <w:r w:rsidRPr="00E86F27">
        <w:t>způsobem</w:t>
      </w:r>
      <w:r>
        <w:t xml:space="preserve"> </w:t>
      </w:r>
      <w:r w:rsidRPr="00E86F27">
        <w:t>vyzván,</w:t>
      </w:r>
      <w:r>
        <w:t xml:space="preserve"> </w:t>
      </w:r>
      <w:r w:rsidRPr="00E86F27">
        <w:t>nebo</w:t>
      </w:r>
    </w:p>
    <w:p w14:paraId="2B46B5A2" w14:textId="66FA95CE" w:rsidR="001E38CA" w:rsidRDefault="001E38CA" w:rsidP="0010420C">
      <w:pPr>
        <w:pStyle w:val="Textparagrafu"/>
        <w:tabs>
          <w:tab w:val="left" w:pos="392"/>
          <w:tab w:val="left" w:pos="840"/>
        </w:tabs>
        <w:spacing w:before="0"/>
        <w:ind w:left="850" w:hanging="425"/>
      </w:pPr>
      <w:r w:rsidRPr="00E86F27">
        <w:t>8.</w:t>
      </w:r>
      <w:r>
        <w:tab/>
      </w:r>
      <w:r w:rsidRPr="00E86F27">
        <w:t>v</w:t>
      </w:r>
      <w:r>
        <w:t xml:space="preserve"> </w:t>
      </w:r>
      <w:r w:rsidRPr="00E86F27">
        <w:t>důsledku</w:t>
      </w:r>
      <w:r>
        <w:t xml:space="preserve"> </w:t>
      </w:r>
      <w:r w:rsidRPr="00E86F27">
        <w:t>omezení</w:t>
      </w:r>
      <w:r>
        <w:t xml:space="preserve"> </w:t>
      </w:r>
      <w:r w:rsidRPr="00E86F27">
        <w:t>nebo</w:t>
      </w:r>
      <w:r>
        <w:t xml:space="preserve"> </w:t>
      </w:r>
      <w:r w:rsidRPr="00E86F27">
        <w:t>přerušení</w:t>
      </w:r>
      <w:r>
        <w:t xml:space="preserve"> </w:t>
      </w:r>
      <w:r w:rsidRPr="00E86F27">
        <w:t>přepravy</w:t>
      </w:r>
      <w:r>
        <w:t xml:space="preserve"> </w:t>
      </w:r>
      <w:r w:rsidRPr="00E86F27">
        <w:t>plynu</w:t>
      </w:r>
      <w:r>
        <w:t xml:space="preserve"> </w:t>
      </w:r>
      <w:r w:rsidRPr="00E86F27">
        <w:t>provozovateli</w:t>
      </w:r>
      <w:r>
        <w:t xml:space="preserve"> </w:t>
      </w:r>
      <w:r w:rsidRPr="00E86F27">
        <w:t>propojených</w:t>
      </w:r>
      <w:r>
        <w:t xml:space="preserve"> </w:t>
      </w:r>
      <w:r w:rsidRPr="00E86F27">
        <w:t>přepravních</w:t>
      </w:r>
      <w:r>
        <w:t xml:space="preserve"> </w:t>
      </w:r>
      <w:r w:rsidRPr="00E86F27">
        <w:t>soustav,</w:t>
      </w:r>
    </w:p>
    <w:p w14:paraId="52B2E510" w14:textId="77777777" w:rsidR="001E38CA" w:rsidRDefault="001E38CA" w:rsidP="002E6AEA">
      <w:pPr>
        <w:pStyle w:val="Textparagrafu"/>
        <w:tabs>
          <w:tab w:val="left" w:pos="392"/>
          <w:tab w:val="left" w:pos="840"/>
        </w:tabs>
        <w:spacing w:before="0"/>
        <w:ind w:left="426" w:hanging="426"/>
      </w:pPr>
      <w:r w:rsidRPr="00E86F27">
        <w:t>j)</w:t>
      </w:r>
      <w:r>
        <w:tab/>
      </w:r>
      <w:r w:rsidRPr="00E86F27">
        <w:t>nakupovat</w:t>
      </w:r>
      <w:r>
        <w:t xml:space="preserve"> </w:t>
      </w:r>
      <w:r w:rsidRPr="00E86F27">
        <w:t>a</w:t>
      </w:r>
      <w:r>
        <w:t xml:space="preserve"> </w:t>
      </w:r>
      <w:r w:rsidRPr="00E86F27">
        <w:t>prodávat</w:t>
      </w:r>
      <w:r>
        <w:t xml:space="preserve"> </w:t>
      </w:r>
      <w:r w:rsidRPr="00E86F27">
        <w:t>plyn</w:t>
      </w:r>
      <w:r>
        <w:t xml:space="preserve"> </w:t>
      </w:r>
      <w:r w:rsidRPr="00E86F27">
        <w:t>pro</w:t>
      </w:r>
      <w:r>
        <w:t xml:space="preserve"> </w:t>
      </w:r>
      <w:r w:rsidRPr="00E86F27">
        <w:t>krytí</w:t>
      </w:r>
      <w:r>
        <w:t xml:space="preserve"> </w:t>
      </w:r>
      <w:r w:rsidRPr="00E86F27">
        <w:t>ztrát</w:t>
      </w:r>
      <w:r>
        <w:t xml:space="preserve"> </w:t>
      </w:r>
      <w:r w:rsidRPr="00E86F27">
        <w:t>v</w:t>
      </w:r>
      <w:r>
        <w:t xml:space="preserve"> </w:t>
      </w:r>
      <w:r w:rsidRPr="00E86F27">
        <w:t>přepravní</w:t>
      </w:r>
      <w:r>
        <w:t xml:space="preserve"> </w:t>
      </w:r>
      <w:r w:rsidRPr="00E86F27">
        <w:t>soustavě</w:t>
      </w:r>
      <w:r>
        <w:t xml:space="preserve"> </w:t>
      </w:r>
      <w:r w:rsidRPr="00E86F27">
        <w:t>nebo</w:t>
      </w:r>
      <w:r>
        <w:t xml:space="preserve"> </w:t>
      </w:r>
      <w:r w:rsidRPr="00E86F27">
        <w:t>pro</w:t>
      </w:r>
      <w:r>
        <w:t xml:space="preserve"> </w:t>
      </w:r>
      <w:r w:rsidRPr="00E86F27">
        <w:t>vlastní</w:t>
      </w:r>
      <w:r>
        <w:t xml:space="preserve"> </w:t>
      </w:r>
      <w:r w:rsidRPr="00E86F27">
        <w:t>spotřebu</w:t>
      </w:r>
      <w:r>
        <w:t xml:space="preserve"> </w:t>
      </w:r>
      <w:r w:rsidRPr="00E86F27">
        <w:t>nebo</w:t>
      </w:r>
      <w:r>
        <w:t xml:space="preserve"> </w:t>
      </w:r>
      <w:r w:rsidRPr="00E86F27">
        <w:t>pro</w:t>
      </w:r>
      <w:r>
        <w:t xml:space="preserve"> </w:t>
      </w:r>
      <w:r w:rsidRPr="00E86F27">
        <w:t>účely</w:t>
      </w:r>
      <w:r>
        <w:t xml:space="preserve"> </w:t>
      </w:r>
      <w:r w:rsidRPr="00E86F27">
        <w:t>zajištění</w:t>
      </w:r>
      <w:r>
        <w:t xml:space="preserve"> </w:t>
      </w:r>
      <w:r w:rsidRPr="00E86F27">
        <w:t>rovnováhy</w:t>
      </w:r>
      <w:r>
        <w:t xml:space="preserve"> </w:t>
      </w:r>
      <w:r w:rsidRPr="00E86F27">
        <w:t>mezi</w:t>
      </w:r>
      <w:r>
        <w:t xml:space="preserve"> </w:t>
      </w:r>
      <w:r w:rsidRPr="00E86F27">
        <w:t>množstvím</w:t>
      </w:r>
      <w:r>
        <w:t xml:space="preserve"> </w:t>
      </w:r>
      <w:r w:rsidRPr="00E86F27">
        <w:t>plynu</w:t>
      </w:r>
      <w:r>
        <w:t xml:space="preserve"> </w:t>
      </w:r>
      <w:r w:rsidRPr="00E86F27">
        <w:t>vstupujícím</w:t>
      </w:r>
      <w:r>
        <w:t xml:space="preserve"> </w:t>
      </w:r>
      <w:r w:rsidRPr="00E86F27">
        <w:t>a</w:t>
      </w:r>
      <w:r>
        <w:t xml:space="preserve"> </w:t>
      </w:r>
      <w:r w:rsidRPr="00E86F27">
        <w:t>vystupujícím</w:t>
      </w:r>
      <w:r>
        <w:t xml:space="preserve"> </w:t>
      </w:r>
      <w:r w:rsidRPr="00E86F27">
        <w:t>z</w:t>
      </w:r>
      <w:r>
        <w:t xml:space="preserve"> </w:t>
      </w:r>
      <w:r w:rsidRPr="00E86F27">
        <w:t>plynárenské</w:t>
      </w:r>
      <w:r>
        <w:t xml:space="preserve"> </w:t>
      </w:r>
      <w:r w:rsidRPr="00E86F27">
        <w:t>soustavy</w:t>
      </w:r>
      <w:r>
        <w:t xml:space="preserve"> </w:t>
      </w:r>
      <w:r w:rsidRPr="00E86F27">
        <w:t>a</w:t>
      </w:r>
      <w:r>
        <w:t xml:space="preserve"> </w:t>
      </w:r>
      <w:r w:rsidRPr="00E86F27">
        <w:t>pro</w:t>
      </w:r>
      <w:r>
        <w:t xml:space="preserve"> </w:t>
      </w:r>
      <w:r w:rsidRPr="00E86F27">
        <w:t>zajištění</w:t>
      </w:r>
      <w:r>
        <w:t xml:space="preserve"> </w:t>
      </w:r>
      <w:r w:rsidRPr="00E86F27">
        <w:t>bezpečného</w:t>
      </w:r>
      <w:r>
        <w:t xml:space="preserve"> </w:t>
      </w:r>
      <w:r w:rsidRPr="00E86F27">
        <w:t>a</w:t>
      </w:r>
      <w:r>
        <w:t xml:space="preserve"> </w:t>
      </w:r>
      <w:r w:rsidRPr="00E86F27">
        <w:t>spolehlivého</w:t>
      </w:r>
      <w:r>
        <w:t xml:space="preserve"> </w:t>
      </w:r>
      <w:r w:rsidRPr="00E86F27">
        <w:t>zásobování</w:t>
      </w:r>
      <w:r>
        <w:t xml:space="preserve"> </w:t>
      </w:r>
      <w:r w:rsidRPr="00E86F27">
        <w:t>České</w:t>
      </w:r>
      <w:r>
        <w:t xml:space="preserve"> </w:t>
      </w:r>
      <w:r w:rsidRPr="00E86F27">
        <w:t>republiky</w:t>
      </w:r>
      <w:r>
        <w:t xml:space="preserve"> </w:t>
      </w:r>
      <w:r w:rsidRPr="00E86F27">
        <w:t>zemním</w:t>
      </w:r>
      <w:r>
        <w:t xml:space="preserve"> </w:t>
      </w:r>
      <w:r w:rsidRPr="00E86F27">
        <w:t>plynem</w:t>
      </w:r>
      <w:r>
        <w:t xml:space="preserve"> </w:t>
      </w:r>
      <w:r w:rsidRPr="00E86F27">
        <w:t>z</w:t>
      </w:r>
      <w:r>
        <w:t xml:space="preserve"> </w:t>
      </w:r>
      <w:r w:rsidRPr="00E86F27">
        <w:t>přepravní</w:t>
      </w:r>
      <w:r>
        <w:t xml:space="preserve"> </w:t>
      </w:r>
      <w:r w:rsidRPr="00E86F27">
        <w:t>soustavy;</w:t>
      </w:r>
      <w:r>
        <w:t xml:space="preserve"> </w:t>
      </w:r>
      <w:r w:rsidRPr="00E86F27">
        <w:t>toto</w:t>
      </w:r>
      <w:r>
        <w:t xml:space="preserve"> </w:t>
      </w:r>
      <w:r w:rsidRPr="00E86F27">
        <w:t>není</w:t>
      </w:r>
      <w:r>
        <w:t xml:space="preserve"> </w:t>
      </w:r>
      <w:r w:rsidRPr="00E86F27">
        <w:t>považováno</w:t>
      </w:r>
      <w:r>
        <w:t xml:space="preserve"> </w:t>
      </w:r>
      <w:r w:rsidRPr="00E86F27">
        <w:t>za</w:t>
      </w:r>
      <w:r>
        <w:t xml:space="preserve"> </w:t>
      </w:r>
      <w:r w:rsidRPr="00E86F27">
        <w:t>obchod</w:t>
      </w:r>
      <w:r>
        <w:t xml:space="preserve"> </w:t>
      </w:r>
      <w:r w:rsidRPr="00E86F27">
        <w:t>s</w:t>
      </w:r>
      <w:r>
        <w:t xml:space="preserve"> </w:t>
      </w:r>
      <w:r w:rsidRPr="00E86F27">
        <w:t>plynem,</w:t>
      </w:r>
    </w:p>
    <w:p w14:paraId="340A6F27" w14:textId="77777777" w:rsidR="001E38CA" w:rsidRDefault="001E38CA" w:rsidP="002E6AEA">
      <w:pPr>
        <w:pStyle w:val="Textparagrafu"/>
        <w:tabs>
          <w:tab w:val="left" w:pos="392"/>
          <w:tab w:val="left" w:pos="840"/>
        </w:tabs>
        <w:spacing w:before="0"/>
        <w:ind w:left="426" w:hanging="426"/>
      </w:pPr>
      <w:r w:rsidRPr="00E86F27">
        <w:t>k)</w:t>
      </w:r>
      <w:r>
        <w:tab/>
      </w:r>
      <w:r w:rsidRPr="00E86F27">
        <w:t>zřizovat</w:t>
      </w:r>
      <w:r>
        <w:t xml:space="preserve"> </w:t>
      </w:r>
      <w:r w:rsidRPr="00E86F27">
        <w:t>a</w:t>
      </w:r>
      <w:r>
        <w:t xml:space="preserve"> </w:t>
      </w:r>
      <w:r w:rsidRPr="00E86F27">
        <w:t>provozovat</w:t>
      </w:r>
      <w:r>
        <w:t xml:space="preserve"> </w:t>
      </w:r>
      <w:r w:rsidRPr="00E86F27">
        <w:t>zařízení</w:t>
      </w:r>
      <w:r>
        <w:t xml:space="preserve"> </w:t>
      </w:r>
      <w:r w:rsidRPr="00E86F27">
        <w:t>na</w:t>
      </w:r>
      <w:r>
        <w:t xml:space="preserve"> </w:t>
      </w:r>
      <w:r w:rsidRPr="00E86F27">
        <w:t>úpravu</w:t>
      </w:r>
      <w:r>
        <w:t xml:space="preserve"> </w:t>
      </w:r>
      <w:r w:rsidRPr="00E86F27">
        <w:t>složení</w:t>
      </w:r>
      <w:r>
        <w:t xml:space="preserve"> </w:t>
      </w:r>
      <w:r w:rsidRPr="00E86F27">
        <w:t>plynů.</w:t>
      </w:r>
    </w:p>
    <w:p w14:paraId="0F570AEE" w14:textId="75E957B3" w:rsidR="001E38CA" w:rsidRDefault="001E38CA" w:rsidP="0010420C">
      <w:pPr>
        <w:pStyle w:val="Textparagrafu"/>
        <w:tabs>
          <w:tab w:val="left" w:pos="392"/>
          <w:tab w:val="left" w:pos="840"/>
        </w:tabs>
        <w:spacing w:before="120" w:after="120"/>
      </w:pPr>
      <w:r w:rsidRPr="00E86F27">
        <w:t>(2)</w:t>
      </w:r>
      <w:r>
        <w:t xml:space="preserve"> </w:t>
      </w:r>
      <w:r w:rsidRPr="00E86F27">
        <w:t>Provozovatel</w:t>
      </w:r>
      <w:r>
        <w:t xml:space="preserve"> </w:t>
      </w:r>
      <w:r w:rsidRPr="00E86F27">
        <w:t>přepravní</w:t>
      </w:r>
      <w:r>
        <w:t xml:space="preserve"> </w:t>
      </w:r>
      <w:r w:rsidRPr="00E86F27">
        <w:t>soustavy</w:t>
      </w:r>
      <w:r>
        <w:t xml:space="preserve"> </w:t>
      </w:r>
      <w:r w:rsidRPr="00E86F27">
        <w:t>je</w:t>
      </w:r>
      <w:r>
        <w:t xml:space="preserve"> </w:t>
      </w:r>
      <w:r w:rsidRPr="00E86F27">
        <w:t>povinen</w:t>
      </w:r>
      <w:r>
        <w:t xml:space="preserve"> </w:t>
      </w:r>
      <w:r w:rsidRPr="00E86F27">
        <w:t>zřídit</w:t>
      </w:r>
      <w:r>
        <w:t xml:space="preserve"> </w:t>
      </w:r>
      <w:r w:rsidRPr="00E86F27">
        <w:t>věcné</w:t>
      </w:r>
      <w:r>
        <w:t xml:space="preserve"> </w:t>
      </w:r>
      <w:r w:rsidRPr="00E86F27">
        <w:t>břemeno</w:t>
      </w:r>
      <w:r>
        <w:t xml:space="preserve"> </w:t>
      </w:r>
      <w:r w:rsidRPr="00E86F27">
        <w:t>umožňující</w:t>
      </w:r>
      <w:r>
        <w:t xml:space="preserve"> </w:t>
      </w:r>
      <w:r w:rsidRPr="00E86F27">
        <w:t>využití</w:t>
      </w:r>
      <w:r>
        <w:t xml:space="preserve"> </w:t>
      </w:r>
      <w:r w:rsidRPr="00E86F27">
        <w:t>cizí</w:t>
      </w:r>
      <w:r>
        <w:t xml:space="preserve"> </w:t>
      </w:r>
      <w:r w:rsidRPr="00E86F27">
        <w:t>nemovitosti</w:t>
      </w:r>
      <w:r>
        <w:t xml:space="preserve"> </w:t>
      </w:r>
      <w:r w:rsidRPr="00E86F27">
        <w:t>nebo</w:t>
      </w:r>
      <w:r>
        <w:t xml:space="preserve"> </w:t>
      </w:r>
      <w:r w:rsidRPr="00E86F27">
        <w:t>její</w:t>
      </w:r>
      <w:r>
        <w:t xml:space="preserve"> </w:t>
      </w:r>
      <w:r w:rsidRPr="00E86F27">
        <w:t>části</w:t>
      </w:r>
      <w:r>
        <w:t xml:space="preserve"> </w:t>
      </w:r>
      <w:r w:rsidRPr="00E86F27">
        <w:t>pro</w:t>
      </w:r>
      <w:r>
        <w:t xml:space="preserve"> </w:t>
      </w:r>
      <w:r w:rsidRPr="00E86F27">
        <w:t>účely</w:t>
      </w:r>
      <w:r>
        <w:t xml:space="preserve"> </w:t>
      </w:r>
      <w:r w:rsidRPr="00E86F27">
        <w:t>uvedené</w:t>
      </w:r>
      <w:r>
        <w:t xml:space="preserve"> </w:t>
      </w:r>
      <w:r w:rsidRPr="00E86F27">
        <w:t>v</w:t>
      </w:r>
      <w:r>
        <w:t xml:space="preserve"> </w:t>
      </w:r>
      <w:r w:rsidRPr="00E86F27">
        <w:t>odstavci</w:t>
      </w:r>
      <w:r>
        <w:t xml:space="preserve"> </w:t>
      </w:r>
      <w:r w:rsidRPr="00E86F27">
        <w:t>1</w:t>
      </w:r>
      <w:r>
        <w:t xml:space="preserve"> </w:t>
      </w:r>
      <w:r w:rsidRPr="00E86F27">
        <w:t>písm.</w:t>
      </w:r>
      <w:r>
        <w:t xml:space="preserve"> </w:t>
      </w:r>
      <w:r w:rsidRPr="00E86F27">
        <w:t>d),</w:t>
      </w:r>
      <w:r>
        <w:t xml:space="preserve"> </w:t>
      </w:r>
      <w:r w:rsidRPr="00E86F27">
        <w:t>a</w:t>
      </w:r>
      <w:r>
        <w:t xml:space="preserve"> </w:t>
      </w:r>
      <w:r w:rsidRPr="00E86F27">
        <w:t>to</w:t>
      </w:r>
      <w:r>
        <w:t xml:space="preserve"> </w:t>
      </w:r>
      <w:r w:rsidRPr="00E86F27">
        <w:t>smluvně</w:t>
      </w:r>
      <w:r>
        <w:t xml:space="preserve"> </w:t>
      </w:r>
      <w:r w:rsidRPr="00E86F27">
        <w:t>s</w:t>
      </w:r>
      <w:r>
        <w:t xml:space="preserve"> </w:t>
      </w:r>
      <w:r w:rsidRPr="00E86F27">
        <w:t>vlastníkem</w:t>
      </w:r>
      <w:r>
        <w:t xml:space="preserve"> </w:t>
      </w:r>
      <w:r w:rsidRPr="00E86F27">
        <w:t>nemovitosti</w:t>
      </w:r>
      <w:r>
        <w:t xml:space="preserve"> </w:t>
      </w:r>
      <w:r w:rsidRPr="00E86F27">
        <w:t>za</w:t>
      </w:r>
      <w:r>
        <w:t xml:space="preserve"> </w:t>
      </w:r>
      <w:r w:rsidRPr="00E86F27">
        <w:t>jednorázovou</w:t>
      </w:r>
      <w:r>
        <w:t xml:space="preserve"> </w:t>
      </w:r>
      <w:r w:rsidRPr="00E86F27">
        <w:t>náhradu</w:t>
      </w:r>
      <w:r>
        <w:t xml:space="preserve"> </w:t>
      </w:r>
      <w:r w:rsidRPr="00E86F27">
        <w:t>ve</w:t>
      </w:r>
      <w:r>
        <w:t xml:space="preserve"> </w:t>
      </w:r>
      <w:r w:rsidRPr="00E86F27">
        <w:t>výši</w:t>
      </w:r>
      <w:r>
        <w:t xml:space="preserve"> </w:t>
      </w:r>
      <w:r w:rsidRPr="00BF3686">
        <w:rPr>
          <w:strike/>
        </w:rPr>
        <w:t xml:space="preserve">ceny zjištěné podle oceňovacího předpisu </w:t>
      </w:r>
      <w:r w:rsidRPr="00BF3686">
        <w:rPr>
          <w:strike/>
          <w:vertAlign w:val="superscript"/>
        </w:rPr>
        <w:t>47)</w:t>
      </w:r>
      <w:r w:rsidR="00BF3686" w:rsidRPr="00BF3686">
        <w:rPr>
          <w:b/>
          <w:bCs/>
        </w:rPr>
        <w:t xml:space="preserve"> </w:t>
      </w:r>
      <w:r w:rsidR="00BF3686" w:rsidRPr="00533343">
        <w:rPr>
          <w:b/>
          <w:bCs/>
        </w:rPr>
        <w:t>zjištěné hodnoty podle zákona o oceňování</w:t>
      </w:r>
      <w:r w:rsidRPr="00E86F27">
        <w:t>,</w:t>
      </w:r>
      <w:r>
        <w:t xml:space="preserve"> </w:t>
      </w:r>
      <w:r w:rsidRPr="00E86F27">
        <w:t>pokud</w:t>
      </w:r>
      <w:r>
        <w:t xml:space="preserve"> </w:t>
      </w:r>
      <w:r w:rsidRPr="00E86F27">
        <w:t>se</w:t>
      </w:r>
      <w:r>
        <w:t xml:space="preserve"> </w:t>
      </w:r>
      <w:r w:rsidRPr="00E86F27">
        <w:t>strany</w:t>
      </w:r>
      <w:r>
        <w:t xml:space="preserve"> </w:t>
      </w:r>
      <w:r w:rsidRPr="00E86F27">
        <w:t>nedohodnou</w:t>
      </w:r>
      <w:r>
        <w:t xml:space="preserve"> </w:t>
      </w:r>
      <w:r w:rsidRPr="00E86F27">
        <w:t>jinak;</w:t>
      </w:r>
      <w:r>
        <w:t xml:space="preserve"> </w:t>
      </w:r>
      <w:r w:rsidRPr="00E86F27">
        <w:t>v</w:t>
      </w:r>
      <w:r>
        <w:t xml:space="preserve"> </w:t>
      </w:r>
      <w:r w:rsidRPr="00E86F27">
        <w:t>případě,</w:t>
      </w:r>
      <w:r>
        <w:t xml:space="preserve"> </w:t>
      </w:r>
      <w:r w:rsidRPr="00E86F27">
        <w:t>že</w:t>
      </w:r>
      <w:r>
        <w:t xml:space="preserve"> </w:t>
      </w:r>
      <w:r w:rsidRPr="00E86F27">
        <w:t>vlastník</w:t>
      </w:r>
      <w:r>
        <w:t xml:space="preserve"> </w:t>
      </w:r>
      <w:r w:rsidRPr="00E86F27">
        <w:t>není</w:t>
      </w:r>
      <w:r>
        <w:t xml:space="preserve"> </w:t>
      </w:r>
      <w:r w:rsidRPr="00E86F27">
        <w:t>znám</w:t>
      </w:r>
      <w:r>
        <w:t xml:space="preserve"> </w:t>
      </w:r>
      <w:r w:rsidRPr="00E86F27">
        <w:t>nebo</w:t>
      </w:r>
      <w:r>
        <w:t xml:space="preserve"> </w:t>
      </w:r>
      <w:r w:rsidRPr="00E86F27">
        <w:t>není</w:t>
      </w:r>
      <w:r>
        <w:t xml:space="preserve"> </w:t>
      </w:r>
      <w:r w:rsidRPr="00E86F27">
        <w:t>určen</w:t>
      </w:r>
      <w:r>
        <w:t xml:space="preserve"> </w:t>
      </w:r>
      <w:r w:rsidRPr="00E86F27">
        <w:t>nebo</w:t>
      </w:r>
      <w:r>
        <w:t xml:space="preserve"> </w:t>
      </w:r>
      <w:r w:rsidRPr="00E86F27">
        <w:t>proto,</w:t>
      </w:r>
      <w:r>
        <w:t xml:space="preserve"> </w:t>
      </w:r>
      <w:r w:rsidRPr="00E86F27">
        <w:t>že</w:t>
      </w:r>
      <w:r>
        <w:t xml:space="preserve"> </w:t>
      </w:r>
      <w:r w:rsidRPr="00E86F27">
        <w:t>je</w:t>
      </w:r>
      <w:r>
        <w:t xml:space="preserve"> </w:t>
      </w:r>
      <w:r w:rsidRPr="00E86F27">
        <w:t>prokazatelně</w:t>
      </w:r>
      <w:r>
        <w:t xml:space="preserve"> </w:t>
      </w:r>
      <w:r w:rsidRPr="00E86F27">
        <w:t>nedosažitelný</w:t>
      </w:r>
      <w:r>
        <w:t xml:space="preserve"> </w:t>
      </w:r>
      <w:r w:rsidRPr="00E86F27">
        <w:t>nebo</w:t>
      </w:r>
      <w:r>
        <w:t xml:space="preserve"> </w:t>
      </w:r>
      <w:r w:rsidRPr="00E86F27">
        <w:t>nečinný</w:t>
      </w:r>
      <w:r>
        <w:t xml:space="preserve"> </w:t>
      </w:r>
      <w:r w:rsidRPr="00E86F27">
        <w:t>nebo</w:t>
      </w:r>
      <w:r>
        <w:t xml:space="preserve"> </w:t>
      </w:r>
      <w:r w:rsidRPr="00E86F27">
        <w:t>nedošlo</w:t>
      </w:r>
      <w:r>
        <w:t xml:space="preserve"> </w:t>
      </w:r>
      <w:r w:rsidRPr="00E86F27">
        <w:t>k</w:t>
      </w:r>
      <w:r>
        <w:t xml:space="preserve"> </w:t>
      </w:r>
      <w:r w:rsidRPr="00E86F27">
        <w:t>dohodě</w:t>
      </w:r>
      <w:r>
        <w:t xml:space="preserve"> </w:t>
      </w:r>
      <w:r w:rsidRPr="00E86F27">
        <w:t>s</w:t>
      </w:r>
      <w:r>
        <w:t xml:space="preserve"> </w:t>
      </w:r>
      <w:r w:rsidRPr="00E86F27">
        <w:t>ním</w:t>
      </w:r>
      <w:r>
        <w:t xml:space="preserve"> </w:t>
      </w:r>
      <w:r w:rsidRPr="00E86F27">
        <w:t>a</w:t>
      </w:r>
      <w:r>
        <w:t xml:space="preserve"> </w:t>
      </w:r>
      <w:r w:rsidRPr="00E86F27">
        <w:t>jsou-li</w:t>
      </w:r>
      <w:r>
        <w:t xml:space="preserve"> </w:t>
      </w:r>
      <w:r w:rsidRPr="00E86F27">
        <w:t>dány</w:t>
      </w:r>
      <w:r>
        <w:t xml:space="preserve"> </w:t>
      </w:r>
      <w:r w:rsidRPr="00E86F27">
        <w:t>podmínky</w:t>
      </w:r>
      <w:r>
        <w:t xml:space="preserve"> </w:t>
      </w:r>
      <w:r w:rsidRPr="00E86F27">
        <w:t>pro</w:t>
      </w:r>
      <w:r>
        <w:t xml:space="preserve"> </w:t>
      </w:r>
      <w:r w:rsidRPr="00E86F27">
        <w:t>omezení</w:t>
      </w:r>
      <w:r>
        <w:t xml:space="preserve"> </w:t>
      </w:r>
      <w:r w:rsidRPr="00E86F27">
        <w:t>vlastnického</w:t>
      </w:r>
      <w:r>
        <w:t xml:space="preserve"> </w:t>
      </w:r>
      <w:r w:rsidRPr="00E86F27">
        <w:t>práva</w:t>
      </w:r>
      <w:r>
        <w:t xml:space="preserve"> </w:t>
      </w:r>
      <w:r w:rsidRPr="00E86F27">
        <w:t>k</w:t>
      </w:r>
      <w:r>
        <w:t xml:space="preserve"> </w:t>
      </w:r>
      <w:r w:rsidRPr="00E86F27">
        <w:t>pozemku</w:t>
      </w:r>
      <w:r>
        <w:t xml:space="preserve"> </w:t>
      </w:r>
      <w:r w:rsidRPr="00E86F27">
        <w:t>nebo</w:t>
      </w:r>
      <w:r>
        <w:t xml:space="preserve"> </w:t>
      </w:r>
      <w:r w:rsidRPr="00E86F27">
        <w:t>ke</w:t>
      </w:r>
      <w:r>
        <w:t xml:space="preserve"> </w:t>
      </w:r>
      <w:r w:rsidRPr="00E86F27">
        <w:t>stavbě</w:t>
      </w:r>
      <w:r>
        <w:t xml:space="preserve"> </w:t>
      </w:r>
      <w:r w:rsidRPr="00E86F27">
        <w:t>podle</w:t>
      </w:r>
      <w:r>
        <w:t xml:space="preserve"> </w:t>
      </w:r>
      <w:r w:rsidRPr="00E86F27">
        <w:t>zvláštního</w:t>
      </w:r>
      <w:r>
        <w:t xml:space="preserve"> </w:t>
      </w:r>
      <w:r w:rsidRPr="00E86F27">
        <w:t>právního</w:t>
      </w:r>
      <w:r>
        <w:t xml:space="preserve"> </w:t>
      </w:r>
      <w:r w:rsidRPr="00E86F27">
        <w:t>předpisu</w:t>
      </w:r>
      <w:r w:rsidRPr="0029752C">
        <w:rPr>
          <w:vertAlign w:val="superscript"/>
        </w:rPr>
        <w:t>4e)</w:t>
      </w:r>
      <w:r w:rsidRPr="00E86F27">
        <w:t>,</w:t>
      </w:r>
      <w:r>
        <w:t xml:space="preserve"> </w:t>
      </w:r>
      <w:r w:rsidRPr="00E86F27">
        <w:t>příslušný</w:t>
      </w:r>
      <w:r>
        <w:t xml:space="preserve"> </w:t>
      </w:r>
      <w:r w:rsidRPr="00E86F27">
        <w:t>vyvlastňovací</w:t>
      </w:r>
      <w:r>
        <w:t xml:space="preserve"> </w:t>
      </w:r>
      <w:r w:rsidRPr="00E86F27">
        <w:t>úřad</w:t>
      </w:r>
      <w:r>
        <w:t xml:space="preserve"> </w:t>
      </w:r>
      <w:r w:rsidRPr="00E86F27">
        <w:t>rozhodne</w:t>
      </w:r>
      <w:r>
        <w:t xml:space="preserve"> </w:t>
      </w:r>
      <w:r w:rsidRPr="00E86F27">
        <w:t>na</w:t>
      </w:r>
      <w:r>
        <w:t xml:space="preserve"> </w:t>
      </w:r>
      <w:r w:rsidRPr="00E86F27">
        <w:t>návrh</w:t>
      </w:r>
      <w:r>
        <w:t xml:space="preserve"> </w:t>
      </w:r>
      <w:r w:rsidRPr="00E86F27">
        <w:t>provozovatele</w:t>
      </w:r>
      <w:r>
        <w:t xml:space="preserve"> </w:t>
      </w:r>
      <w:r w:rsidRPr="00E86F27">
        <w:t>přepravní</w:t>
      </w:r>
      <w:r>
        <w:t xml:space="preserve"> </w:t>
      </w:r>
      <w:r w:rsidRPr="00E86F27">
        <w:t>soustavy</w:t>
      </w:r>
      <w:r>
        <w:t xml:space="preserve"> </w:t>
      </w:r>
      <w:r w:rsidRPr="00E86F27">
        <w:t>o</w:t>
      </w:r>
      <w:r>
        <w:t xml:space="preserve"> </w:t>
      </w:r>
      <w:r w:rsidRPr="00E86F27">
        <w:t>zřízení</w:t>
      </w:r>
      <w:r>
        <w:t xml:space="preserve"> </w:t>
      </w:r>
      <w:r w:rsidRPr="00E86F27">
        <w:t>věcného</w:t>
      </w:r>
      <w:r>
        <w:t xml:space="preserve"> </w:t>
      </w:r>
      <w:r w:rsidRPr="00E86F27">
        <w:t>břemene</w:t>
      </w:r>
      <w:r>
        <w:t xml:space="preserve"> </w:t>
      </w:r>
      <w:r w:rsidRPr="00E86F27">
        <w:t>umožňujícího</w:t>
      </w:r>
      <w:r>
        <w:t xml:space="preserve"> </w:t>
      </w:r>
      <w:r w:rsidRPr="00E86F27">
        <w:t>využití</w:t>
      </w:r>
      <w:r>
        <w:t xml:space="preserve"> </w:t>
      </w:r>
      <w:r w:rsidRPr="00E86F27">
        <w:t>této</w:t>
      </w:r>
      <w:r>
        <w:t xml:space="preserve"> </w:t>
      </w:r>
      <w:r w:rsidRPr="00E86F27">
        <w:t>nemovitosti</w:t>
      </w:r>
      <w:r>
        <w:t xml:space="preserve"> </w:t>
      </w:r>
      <w:r w:rsidRPr="00E86F27">
        <w:t>nebo</w:t>
      </w:r>
      <w:r>
        <w:t xml:space="preserve"> </w:t>
      </w:r>
      <w:r w:rsidRPr="00E86F27">
        <w:t>její</w:t>
      </w:r>
      <w:r>
        <w:t xml:space="preserve"> </w:t>
      </w:r>
      <w:r w:rsidRPr="00E86F27">
        <w:t>části.</w:t>
      </w:r>
      <w:r>
        <w:t xml:space="preserve"> </w:t>
      </w:r>
      <w:r w:rsidRPr="00E86F27">
        <w:t>To</w:t>
      </w:r>
      <w:r>
        <w:t xml:space="preserve"> </w:t>
      </w:r>
      <w:r w:rsidRPr="00E86F27">
        <w:t>platí</w:t>
      </w:r>
      <w:r>
        <w:t xml:space="preserve"> </w:t>
      </w:r>
      <w:r w:rsidRPr="00E86F27">
        <w:t>i</w:t>
      </w:r>
      <w:r>
        <w:t xml:space="preserve"> </w:t>
      </w:r>
      <w:r w:rsidRPr="00E86F27">
        <w:t>v</w:t>
      </w:r>
      <w:r>
        <w:t xml:space="preserve"> </w:t>
      </w:r>
      <w:r w:rsidRPr="00E86F27">
        <w:t>případě,</w:t>
      </w:r>
      <w:r>
        <w:t xml:space="preserve"> </w:t>
      </w:r>
      <w:r w:rsidRPr="00E86F27">
        <w:t>kdy</w:t>
      </w:r>
      <w:r>
        <w:t xml:space="preserve"> </w:t>
      </w:r>
      <w:r w:rsidRPr="00E86F27">
        <w:t>je</w:t>
      </w:r>
      <w:r>
        <w:t xml:space="preserve"> </w:t>
      </w:r>
      <w:r w:rsidRPr="00E86F27">
        <w:t>stavba,</w:t>
      </w:r>
      <w:r>
        <w:t xml:space="preserve"> </w:t>
      </w:r>
      <w:r w:rsidRPr="00E86F27">
        <w:t>pro</w:t>
      </w:r>
      <w:r>
        <w:t xml:space="preserve"> </w:t>
      </w:r>
      <w:r w:rsidRPr="00E86F27">
        <w:lastRenderedPageBreak/>
        <w:t>kterou</w:t>
      </w:r>
      <w:r>
        <w:t xml:space="preserve"> </w:t>
      </w:r>
      <w:r w:rsidRPr="00E86F27">
        <w:t>se</w:t>
      </w:r>
      <w:r>
        <w:t xml:space="preserve"> </w:t>
      </w:r>
      <w:r w:rsidRPr="00E86F27">
        <w:t>právo</w:t>
      </w:r>
      <w:r>
        <w:t xml:space="preserve"> </w:t>
      </w:r>
      <w:r w:rsidRPr="00E86F27">
        <w:t>vyvlastňuje,</w:t>
      </w:r>
      <w:r>
        <w:t xml:space="preserve"> </w:t>
      </w:r>
      <w:r w:rsidRPr="00E86F27">
        <w:t>zřizována</w:t>
      </w:r>
      <w:r>
        <w:t xml:space="preserve"> </w:t>
      </w:r>
      <w:r w:rsidRPr="00E86F27">
        <w:t>nebo</w:t>
      </w:r>
      <w:r>
        <w:t xml:space="preserve"> </w:t>
      </w:r>
      <w:r w:rsidRPr="00E86F27">
        <w:t>již</w:t>
      </w:r>
      <w:r>
        <w:t xml:space="preserve"> </w:t>
      </w:r>
      <w:r w:rsidRPr="00E86F27">
        <w:t>byla</w:t>
      </w:r>
      <w:r>
        <w:t xml:space="preserve"> </w:t>
      </w:r>
      <w:r w:rsidRPr="00E86F27">
        <w:t>zřízena</w:t>
      </w:r>
      <w:r>
        <w:t xml:space="preserve"> </w:t>
      </w:r>
      <w:r w:rsidRPr="00E86F27">
        <w:t>a</w:t>
      </w:r>
      <w:r>
        <w:t xml:space="preserve"> </w:t>
      </w:r>
      <w:r w:rsidRPr="00E86F27">
        <w:t>zřízení</w:t>
      </w:r>
      <w:r>
        <w:t xml:space="preserve"> </w:t>
      </w:r>
      <w:r w:rsidRPr="00E86F27">
        <w:t>věcného</w:t>
      </w:r>
      <w:r>
        <w:t xml:space="preserve"> </w:t>
      </w:r>
      <w:r w:rsidRPr="00E86F27">
        <w:t>břemene</w:t>
      </w:r>
      <w:r>
        <w:t xml:space="preserve"> </w:t>
      </w:r>
      <w:r w:rsidRPr="00E86F27">
        <w:t>nezmařil</w:t>
      </w:r>
      <w:r>
        <w:t xml:space="preserve"> </w:t>
      </w:r>
      <w:r w:rsidRPr="00E86F27">
        <w:t>provozovatel</w:t>
      </w:r>
      <w:r>
        <w:t xml:space="preserve"> </w:t>
      </w:r>
      <w:r w:rsidRPr="00E86F27">
        <w:t>přepravní</w:t>
      </w:r>
      <w:r>
        <w:t xml:space="preserve"> </w:t>
      </w:r>
      <w:r w:rsidRPr="00E86F27">
        <w:t>soustavy.</w:t>
      </w:r>
    </w:p>
    <w:p w14:paraId="194B052F" w14:textId="77777777" w:rsidR="001E38CA" w:rsidRDefault="001E38CA" w:rsidP="0010420C">
      <w:pPr>
        <w:pStyle w:val="Textparagrafu"/>
        <w:tabs>
          <w:tab w:val="left" w:pos="392"/>
          <w:tab w:val="left" w:pos="840"/>
        </w:tabs>
        <w:spacing w:before="120" w:after="120"/>
      </w:pPr>
      <w:r w:rsidRPr="00E86F27">
        <w:t>(3)</w:t>
      </w:r>
      <w:r>
        <w:t xml:space="preserve"> </w:t>
      </w:r>
      <w:r w:rsidRPr="00E86F27">
        <w:t>Pokud</w:t>
      </w:r>
      <w:r>
        <w:t xml:space="preserve"> </w:t>
      </w:r>
      <w:r w:rsidRPr="00E86F27">
        <w:t>byl</w:t>
      </w:r>
      <w:r>
        <w:t xml:space="preserve"> </w:t>
      </w:r>
      <w:r w:rsidRPr="00E86F27">
        <w:t>vlastník</w:t>
      </w:r>
      <w:r>
        <w:t xml:space="preserve"> </w:t>
      </w:r>
      <w:r w:rsidRPr="00E86F27">
        <w:t>nebo</w:t>
      </w:r>
      <w:r>
        <w:t xml:space="preserve"> </w:t>
      </w:r>
      <w:r w:rsidRPr="00E86F27">
        <w:t>uživatel</w:t>
      </w:r>
      <w:r>
        <w:t xml:space="preserve"> </w:t>
      </w:r>
      <w:r w:rsidRPr="00E86F27">
        <w:t>nemovitosti</w:t>
      </w:r>
      <w:r>
        <w:t xml:space="preserve"> </w:t>
      </w:r>
      <w:r w:rsidRPr="00E86F27">
        <w:t>v</w:t>
      </w:r>
      <w:r>
        <w:t xml:space="preserve"> </w:t>
      </w:r>
      <w:r w:rsidRPr="00E86F27">
        <w:t>důsledku</w:t>
      </w:r>
      <w:r>
        <w:t xml:space="preserve"> </w:t>
      </w:r>
      <w:r w:rsidRPr="00E86F27">
        <w:t>výkonu</w:t>
      </w:r>
      <w:r>
        <w:t xml:space="preserve"> </w:t>
      </w:r>
      <w:r w:rsidRPr="00E86F27">
        <w:t>práv</w:t>
      </w:r>
      <w:r>
        <w:t xml:space="preserve"> </w:t>
      </w:r>
      <w:r w:rsidRPr="00E86F27">
        <w:t>provozovatele</w:t>
      </w:r>
      <w:r>
        <w:t xml:space="preserve"> </w:t>
      </w:r>
      <w:r w:rsidRPr="00E86F27">
        <w:t>přepravní</w:t>
      </w:r>
      <w:r>
        <w:t xml:space="preserve"> </w:t>
      </w:r>
      <w:r w:rsidRPr="00E86F27">
        <w:t>soustavy</w:t>
      </w:r>
      <w:r>
        <w:t xml:space="preserve"> </w:t>
      </w:r>
      <w:r w:rsidRPr="00E86F27">
        <w:t>podle</w:t>
      </w:r>
      <w:r>
        <w:t xml:space="preserve"> </w:t>
      </w:r>
      <w:r w:rsidRPr="00E86F27">
        <w:t>odstavce</w:t>
      </w:r>
      <w:r>
        <w:t xml:space="preserve"> </w:t>
      </w:r>
      <w:r w:rsidRPr="00E86F27">
        <w:t>1</w:t>
      </w:r>
      <w:r>
        <w:t xml:space="preserve"> </w:t>
      </w:r>
      <w:r w:rsidRPr="00E86F27">
        <w:t>písm.</w:t>
      </w:r>
      <w:r>
        <w:t xml:space="preserve"> </w:t>
      </w:r>
      <w:r w:rsidRPr="00E86F27">
        <w:t>d)</w:t>
      </w:r>
      <w:r>
        <w:t xml:space="preserve"> </w:t>
      </w:r>
      <w:r w:rsidRPr="00E86F27">
        <w:t>až</w:t>
      </w:r>
      <w:r>
        <w:t xml:space="preserve"> </w:t>
      </w:r>
      <w:r w:rsidRPr="00E86F27">
        <w:t>i)</w:t>
      </w:r>
      <w:r>
        <w:t xml:space="preserve"> </w:t>
      </w:r>
      <w:r w:rsidRPr="00E86F27">
        <w:t>omezen</w:t>
      </w:r>
      <w:r>
        <w:t xml:space="preserve"> </w:t>
      </w:r>
      <w:r w:rsidRPr="00E86F27">
        <w:t>v</w:t>
      </w:r>
      <w:r>
        <w:t xml:space="preserve"> </w:t>
      </w:r>
      <w:r w:rsidRPr="00E86F27">
        <w:t>obvyklém</w:t>
      </w:r>
      <w:r>
        <w:t xml:space="preserve"> </w:t>
      </w:r>
      <w:r w:rsidRPr="00E86F27">
        <w:t>užívání</w:t>
      </w:r>
      <w:r>
        <w:t xml:space="preserve"> </w:t>
      </w:r>
      <w:r w:rsidRPr="00E86F27">
        <w:t>nemovitosti</w:t>
      </w:r>
      <w:r>
        <w:t xml:space="preserve"> </w:t>
      </w:r>
      <w:r w:rsidRPr="00E86F27">
        <w:t>nebo</w:t>
      </w:r>
      <w:r>
        <w:t xml:space="preserve"> </w:t>
      </w:r>
      <w:r w:rsidRPr="00E86F27">
        <w:t>mu</w:t>
      </w:r>
      <w:r>
        <w:t xml:space="preserve"> </w:t>
      </w:r>
      <w:r w:rsidRPr="00E86F27">
        <w:t>vznikla</w:t>
      </w:r>
      <w:r>
        <w:t xml:space="preserve"> </w:t>
      </w:r>
      <w:r w:rsidRPr="00E86F27">
        <w:t>újma</w:t>
      </w:r>
      <w:r>
        <w:t xml:space="preserve"> </w:t>
      </w:r>
      <w:r w:rsidRPr="00E86F27">
        <w:t>na</w:t>
      </w:r>
      <w:r>
        <w:t xml:space="preserve"> </w:t>
      </w:r>
      <w:r w:rsidRPr="00E86F27">
        <w:t>majetku,</w:t>
      </w:r>
      <w:r>
        <w:t xml:space="preserve"> </w:t>
      </w:r>
      <w:r w:rsidRPr="00E86F27">
        <w:t>má</w:t>
      </w:r>
      <w:r>
        <w:t xml:space="preserve"> </w:t>
      </w:r>
      <w:r w:rsidRPr="00E86F27">
        <w:t>právo</w:t>
      </w:r>
      <w:r>
        <w:t xml:space="preserve"> </w:t>
      </w:r>
      <w:r w:rsidRPr="00E86F27">
        <w:t>na</w:t>
      </w:r>
      <w:r>
        <w:t xml:space="preserve"> </w:t>
      </w:r>
      <w:r w:rsidRPr="00E86F27">
        <w:t>jednorázovou</w:t>
      </w:r>
      <w:r>
        <w:t xml:space="preserve"> </w:t>
      </w:r>
      <w:r w:rsidRPr="00E86F27">
        <w:t>náhradu</w:t>
      </w:r>
      <w:r w:rsidRPr="0029752C">
        <w:rPr>
          <w:vertAlign w:val="superscript"/>
        </w:rPr>
        <w:t>5)</w:t>
      </w:r>
      <w:r w:rsidRPr="00E86F27">
        <w:t>.</w:t>
      </w:r>
      <w:r>
        <w:t xml:space="preserve"> </w:t>
      </w:r>
      <w:r w:rsidRPr="00E86F27">
        <w:t>Právo</w:t>
      </w:r>
      <w:r>
        <w:t xml:space="preserve"> </w:t>
      </w:r>
      <w:r w:rsidRPr="00E86F27">
        <w:t>na</w:t>
      </w:r>
      <w:r>
        <w:t xml:space="preserve"> </w:t>
      </w:r>
      <w:r w:rsidRPr="00E86F27">
        <w:t>náhradu</w:t>
      </w:r>
      <w:r>
        <w:t xml:space="preserve"> </w:t>
      </w:r>
      <w:r w:rsidRPr="00E86F27">
        <w:t>podle</w:t>
      </w:r>
      <w:r>
        <w:t xml:space="preserve"> </w:t>
      </w:r>
      <w:r w:rsidRPr="00E86F27">
        <w:t>věty</w:t>
      </w:r>
      <w:r>
        <w:t xml:space="preserve"> </w:t>
      </w:r>
      <w:r w:rsidRPr="00E86F27">
        <w:t>první</w:t>
      </w:r>
      <w:r>
        <w:t xml:space="preserve"> </w:t>
      </w:r>
      <w:r w:rsidRPr="00E86F27">
        <w:t>lze</w:t>
      </w:r>
      <w:r>
        <w:t xml:space="preserve"> </w:t>
      </w:r>
      <w:r w:rsidRPr="00E86F27">
        <w:t>uplatnit</w:t>
      </w:r>
      <w:r>
        <w:t xml:space="preserve"> </w:t>
      </w:r>
      <w:r w:rsidRPr="00E86F27">
        <w:t>u</w:t>
      </w:r>
      <w:r>
        <w:t xml:space="preserve"> </w:t>
      </w:r>
      <w:r w:rsidRPr="00E86F27">
        <w:t>provozovatele</w:t>
      </w:r>
      <w:r>
        <w:t xml:space="preserve"> </w:t>
      </w:r>
      <w:r w:rsidRPr="00E86F27">
        <w:t>přepravní</w:t>
      </w:r>
      <w:r>
        <w:t xml:space="preserve"> </w:t>
      </w:r>
      <w:r w:rsidRPr="00E86F27">
        <w:t>soustavy</w:t>
      </w:r>
      <w:r>
        <w:t xml:space="preserve"> </w:t>
      </w:r>
      <w:r w:rsidRPr="00E86F27">
        <w:t>do</w:t>
      </w:r>
      <w:r>
        <w:t xml:space="preserve"> </w:t>
      </w:r>
      <w:r w:rsidRPr="00E86F27">
        <w:t>2</w:t>
      </w:r>
      <w:r>
        <w:t xml:space="preserve"> </w:t>
      </w:r>
      <w:r w:rsidRPr="00E86F27">
        <w:t>let</w:t>
      </w:r>
      <w:r>
        <w:t xml:space="preserve"> </w:t>
      </w:r>
      <w:r w:rsidRPr="00E86F27">
        <w:t>ode</w:t>
      </w:r>
      <w:r>
        <w:t xml:space="preserve"> </w:t>
      </w:r>
      <w:r w:rsidRPr="00E86F27">
        <w:t>dne,</w:t>
      </w:r>
      <w:r>
        <w:t xml:space="preserve"> </w:t>
      </w:r>
      <w:r w:rsidRPr="00E86F27">
        <w:t>kdy</w:t>
      </w:r>
      <w:r>
        <w:t xml:space="preserve"> </w:t>
      </w:r>
      <w:r w:rsidRPr="00E86F27">
        <w:t>k</w:t>
      </w:r>
      <w:r>
        <w:t xml:space="preserve"> </w:t>
      </w:r>
      <w:r w:rsidRPr="00E86F27">
        <w:t>omezení</w:t>
      </w:r>
      <w:r>
        <w:t xml:space="preserve"> </w:t>
      </w:r>
      <w:r w:rsidRPr="00E86F27">
        <w:t>nebo</w:t>
      </w:r>
      <w:r>
        <w:t xml:space="preserve"> </w:t>
      </w:r>
      <w:r w:rsidRPr="00E86F27">
        <w:t>újmě</w:t>
      </w:r>
      <w:r>
        <w:t xml:space="preserve"> </w:t>
      </w:r>
      <w:r w:rsidRPr="00E86F27">
        <w:t>došlo,</w:t>
      </w:r>
      <w:r>
        <w:t xml:space="preserve"> </w:t>
      </w:r>
      <w:r w:rsidRPr="00E86F27">
        <w:t>jinak</w:t>
      </w:r>
      <w:r>
        <w:t xml:space="preserve"> </w:t>
      </w:r>
      <w:r w:rsidRPr="00E86F27">
        <w:t>právo</w:t>
      </w:r>
      <w:r>
        <w:t xml:space="preserve"> </w:t>
      </w:r>
      <w:r w:rsidRPr="00E86F27">
        <w:t>zaniká.</w:t>
      </w:r>
    </w:p>
    <w:p w14:paraId="6E12A2CE" w14:textId="77777777" w:rsidR="001E38CA" w:rsidRDefault="001E38CA" w:rsidP="0010420C">
      <w:pPr>
        <w:pStyle w:val="Textparagrafu"/>
        <w:tabs>
          <w:tab w:val="left" w:pos="392"/>
          <w:tab w:val="left" w:pos="840"/>
        </w:tabs>
        <w:spacing w:before="120" w:after="120"/>
      </w:pPr>
      <w:r w:rsidRPr="00E86F27">
        <w:t>(4)</w:t>
      </w:r>
      <w:r>
        <w:t xml:space="preserve"> </w:t>
      </w:r>
      <w:r w:rsidRPr="00E86F27">
        <w:t>V</w:t>
      </w:r>
      <w:r>
        <w:t xml:space="preserve"> </w:t>
      </w:r>
      <w:r w:rsidRPr="00E86F27">
        <w:t>případech</w:t>
      </w:r>
      <w:r>
        <w:t xml:space="preserve"> </w:t>
      </w:r>
      <w:r w:rsidRPr="00E86F27">
        <w:t>uvedených</w:t>
      </w:r>
      <w:r>
        <w:t xml:space="preserve"> </w:t>
      </w:r>
      <w:r w:rsidRPr="00E86F27">
        <w:t>v</w:t>
      </w:r>
      <w:r>
        <w:t xml:space="preserve"> </w:t>
      </w:r>
      <w:r w:rsidRPr="00E86F27">
        <w:t>odstavci</w:t>
      </w:r>
      <w:r>
        <w:t xml:space="preserve"> </w:t>
      </w:r>
      <w:r w:rsidRPr="00E86F27">
        <w:t>1</w:t>
      </w:r>
      <w:r>
        <w:t xml:space="preserve"> </w:t>
      </w:r>
      <w:r w:rsidRPr="00E86F27">
        <w:t>písm.</w:t>
      </w:r>
      <w:r>
        <w:t xml:space="preserve"> </w:t>
      </w:r>
      <w:r w:rsidRPr="00E86F27">
        <w:t>d)</w:t>
      </w:r>
      <w:r>
        <w:t xml:space="preserve"> </w:t>
      </w:r>
      <w:r w:rsidRPr="00E86F27">
        <w:t>až</w:t>
      </w:r>
      <w:r>
        <w:t xml:space="preserve"> </w:t>
      </w:r>
      <w:r w:rsidRPr="00E86F27">
        <w:t>i)</w:t>
      </w:r>
      <w:r>
        <w:t xml:space="preserve"> </w:t>
      </w:r>
      <w:r w:rsidRPr="00E86F27">
        <w:t>je</w:t>
      </w:r>
      <w:r>
        <w:t xml:space="preserve"> </w:t>
      </w:r>
      <w:r w:rsidRPr="00E86F27">
        <w:t>provozovatel</w:t>
      </w:r>
      <w:r>
        <w:t xml:space="preserve"> </w:t>
      </w:r>
      <w:r w:rsidRPr="00E86F27">
        <w:t>přepravní</w:t>
      </w:r>
      <w:r>
        <w:t xml:space="preserve"> </w:t>
      </w:r>
      <w:r w:rsidRPr="00E86F27">
        <w:t>soustavy</w:t>
      </w:r>
      <w:r>
        <w:t xml:space="preserve"> </w:t>
      </w:r>
      <w:r w:rsidRPr="00E86F27">
        <w:t>povinen</w:t>
      </w:r>
      <w:r>
        <w:t xml:space="preserve"> </w:t>
      </w:r>
      <w:r w:rsidRPr="00E86F27">
        <w:t>co</w:t>
      </w:r>
      <w:r>
        <w:t xml:space="preserve"> </w:t>
      </w:r>
      <w:r w:rsidRPr="00E86F27">
        <w:t>nejvíce</w:t>
      </w:r>
      <w:r>
        <w:t xml:space="preserve"> </w:t>
      </w:r>
      <w:r w:rsidRPr="00E86F27">
        <w:t>šetřit</w:t>
      </w:r>
      <w:r>
        <w:t xml:space="preserve"> </w:t>
      </w:r>
      <w:r w:rsidRPr="00E86F27">
        <w:t>práv</w:t>
      </w:r>
      <w:r>
        <w:t xml:space="preserve"> </w:t>
      </w:r>
      <w:r w:rsidRPr="00E86F27">
        <w:t>vlastníků</w:t>
      </w:r>
      <w:r>
        <w:t xml:space="preserve"> </w:t>
      </w:r>
      <w:r w:rsidRPr="00E86F27">
        <w:t>dotčených</w:t>
      </w:r>
      <w:r>
        <w:t xml:space="preserve"> </w:t>
      </w:r>
      <w:r w:rsidRPr="00E86F27">
        <w:t>nemovitostí</w:t>
      </w:r>
      <w:r>
        <w:t xml:space="preserve"> </w:t>
      </w:r>
      <w:r w:rsidRPr="00E86F27">
        <w:t>a</w:t>
      </w:r>
      <w:r>
        <w:t xml:space="preserve"> </w:t>
      </w:r>
      <w:r w:rsidRPr="00E86F27">
        <w:t>vstup</w:t>
      </w:r>
      <w:r>
        <w:t xml:space="preserve"> </w:t>
      </w:r>
      <w:r w:rsidRPr="00E86F27">
        <w:t>na</w:t>
      </w:r>
      <w:r>
        <w:t xml:space="preserve"> </w:t>
      </w:r>
      <w:r w:rsidRPr="00E86F27">
        <w:t>jejich</w:t>
      </w:r>
      <w:r>
        <w:t xml:space="preserve"> </w:t>
      </w:r>
      <w:r w:rsidRPr="00E86F27">
        <w:t>nemovitost</w:t>
      </w:r>
      <w:r>
        <w:t xml:space="preserve"> </w:t>
      </w:r>
      <w:r w:rsidRPr="00E86F27">
        <w:t>jim</w:t>
      </w:r>
      <w:r>
        <w:t xml:space="preserve"> </w:t>
      </w:r>
      <w:r w:rsidRPr="00E86F27">
        <w:t>oznámit.</w:t>
      </w:r>
      <w:r>
        <w:t xml:space="preserve"> </w:t>
      </w:r>
      <w:r w:rsidRPr="00E86F27">
        <w:t>Po</w:t>
      </w:r>
      <w:r>
        <w:t xml:space="preserve"> </w:t>
      </w:r>
      <w:r w:rsidRPr="00E86F27">
        <w:t>skončení</w:t>
      </w:r>
      <w:r>
        <w:t xml:space="preserve"> </w:t>
      </w:r>
      <w:r w:rsidRPr="00E86F27">
        <w:t>prací</w:t>
      </w:r>
      <w:r>
        <w:t xml:space="preserve"> </w:t>
      </w:r>
      <w:r w:rsidRPr="00E86F27">
        <w:t>je</w:t>
      </w:r>
      <w:r>
        <w:t xml:space="preserve"> </w:t>
      </w:r>
      <w:r w:rsidRPr="00E86F27">
        <w:t>povinen</w:t>
      </w:r>
      <w:r>
        <w:t xml:space="preserve"> </w:t>
      </w:r>
      <w:r w:rsidRPr="00E86F27">
        <w:t>uvést</w:t>
      </w:r>
      <w:r>
        <w:t xml:space="preserve"> </w:t>
      </w:r>
      <w:r w:rsidRPr="00E86F27">
        <w:t>nemovitost</w:t>
      </w:r>
      <w:r>
        <w:t xml:space="preserve"> </w:t>
      </w:r>
      <w:r w:rsidRPr="00E86F27">
        <w:t>do</w:t>
      </w:r>
      <w:r>
        <w:t xml:space="preserve"> </w:t>
      </w:r>
      <w:r w:rsidRPr="00E86F27">
        <w:t>předchozího</w:t>
      </w:r>
      <w:r>
        <w:t xml:space="preserve"> </w:t>
      </w:r>
      <w:r w:rsidRPr="00E86F27">
        <w:t>stavu</w:t>
      </w:r>
      <w:r>
        <w:t xml:space="preserve"> </w:t>
      </w:r>
      <w:r w:rsidRPr="00E86F27">
        <w:t>nebo,</w:t>
      </w:r>
      <w:r>
        <w:t xml:space="preserve"> </w:t>
      </w:r>
      <w:r w:rsidRPr="00E86F27">
        <w:t>není-li</w:t>
      </w:r>
      <w:r>
        <w:t xml:space="preserve"> </w:t>
      </w:r>
      <w:r w:rsidRPr="00E86F27">
        <w:t>to</w:t>
      </w:r>
      <w:r>
        <w:t xml:space="preserve"> </w:t>
      </w:r>
      <w:r w:rsidRPr="00E86F27">
        <w:t>možné</w:t>
      </w:r>
      <w:r>
        <w:t xml:space="preserve"> </w:t>
      </w:r>
      <w:r w:rsidRPr="00E86F27">
        <w:t>s</w:t>
      </w:r>
      <w:r>
        <w:t xml:space="preserve"> </w:t>
      </w:r>
      <w:r w:rsidRPr="00E86F27">
        <w:t>ohledem</w:t>
      </w:r>
      <w:r>
        <w:t xml:space="preserve"> </w:t>
      </w:r>
      <w:r w:rsidRPr="00E86F27">
        <w:t>na</w:t>
      </w:r>
      <w:r>
        <w:t xml:space="preserve"> </w:t>
      </w:r>
      <w:r w:rsidRPr="00E86F27">
        <w:t>povahu</w:t>
      </w:r>
      <w:r>
        <w:t xml:space="preserve"> </w:t>
      </w:r>
      <w:r w:rsidRPr="00E86F27">
        <w:t>provedených</w:t>
      </w:r>
      <w:r>
        <w:t xml:space="preserve"> </w:t>
      </w:r>
      <w:r w:rsidRPr="00E86F27">
        <w:t>prací,</w:t>
      </w:r>
      <w:r>
        <w:t xml:space="preserve"> </w:t>
      </w:r>
      <w:r w:rsidRPr="00E86F27">
        <w:t>do</w:t>
      </w:r>
      <w:r>
        <w:t xml:space="preserve"> </w:t>
      </w:r>
      <w:r w:rsidRPr="00E86F27">
        <w:t>stavu</w:t>
      </w:r>
      <w:r>
        <w:t xml:space="preserve"> </w:t>
      </w:r>
      <w:r w:rsidRPr="00E86F27">
        <w:t>odpovídajícího</w:t>
      </w:r>
      <w:r>
        <w:t xml:space="preserve"> </w:t>
      </w:r>
      <w:r w:rsidRPr="00E86F27">
        <w:t>předchozímu</w:t>
      </w:r>
      <w:r>
        <w:t xml:space="preserve"> </w:t>
      </w:r>
      <w:r w:rsidRPr="00E86F27">
        <w:t>účelu</w:t>
      </w:r>
      <w:r>
        <w:t xml:space="preserve"> </w:t>
      </w:r>
      <w:r w:rsidRPr="00E86F27">
        <w:t>či</w:t>
      </w:r>
      <w:r>
        <w:t xml:space="preserve"> </w:t>
      </w:r>
      <w:r w:rsidRPr="00E86F27">
        <w:t>užívání</w:t>
      </w:r>
      <w:r>
        <w:t xml:space="preserve"> </w:t>
      </w:r>
      <w:r w:rsidRPr="00E86F27">
        <w:t>dotčené</w:t>
      </w:r>
      <w:r>
        <w:t xml:space="preserve"> </w:t>
      </w:r>
      <w:r w:rsidRPr="00E86F27">
        <w:t>nemovitosti</w:t>
      </w:r>
      <w:r>
        <w:t xml:space="preserve"> </w:t>
      </w:r>
      <w:r w:rsidRPr="00E86F27">
        <w:t>a</w:t>
      </w:r>
      <w:r>
        <w:t xml:space="preserve"> </w:t>
      </w:r>
      <w:r w:rsidRPr="00E86F27">
        <w:t>oznámit</w:t>
      </w:r>
      <w:r>
        <w:t xml:space="preserve"> </w:t>
      </w:r>
      <w:r w:rsidRPr="00E86F27">
        <w:t>tuto</w:t>
      </w:r>
      <w:r>
        <w:t xml:space="preserve"> </w:t>
      </w:r>
      <w:r w:rsidRPr="00E86F27">
        <w:t>skutečnost</w:t>
      </w:r>
      <w:r>
        <w:t xml:space="preserve"> </w:t>
      </w:r>
      <w:r w:rsidRPr="00E86F27">
        <w:t>vlastníku</w:t>
      </w:r>
      <w:r>
        <w:t xml:space="preserve"> </w:t>
      </w:r>
      <w:r w:rsidRPr="00E86F27">
        <w:t>nemovitosti.</w:t>
      </w:r>
      <w:r>
        <w:t xml:space="preserve"> </w:t>
      </w:r>
      <w:r w:rsidRPr="00E86F27">
        <w:t>Po</w:t>
      </w:r>
      <w:r>
        <w:t xml:space="preserve"> </w:t>
      </w:r>
      <w:r w:rsidRPr="00E86F27">
        <w:t>provedení</w:t>
      </w:r>
      <w:r>
        <w:t xml:space="preserve"> </w:t>
      </w:r>
      <w:r w:rsidRPr="00E86F27">
        <w:t>odstranění</w:t>
      </w:r>
      <w:r>
        <w:t xml:space="preserve"> </w:t>
      </w:r>
      <w:r w:rsidRPr="00E86F27">
        <w:t>nebo</w:t>
      </w:r>
      <w:r>
        <w:t xml:space="preserve"> </w:t>
      </w:r>
      <w:r w:rsidRPr="00E86F27">
        <w:t>okleštění</w:t>
      </w:r>
      <w:r>
        <w:t xml:space="preserve"> </w:t>
      </w:r>
      <w:r w:rsidRPr="00E86F27">
        <w:t>stromoví</w:t>
      </w:r>
      <w:r>
        <w:t xml:space="preserve"> </w:t>
      </w:r>
      <w:r w:rsidRPr="00E86F27">
        <w:t>je</w:t>
      </w:r>
      <w:r>
        <w:t xml:space="preserve"> </w:t>
      </w:r>
      <w:r w:rsidRPr="00E86F27">
        <w:t>povinen</w:t>
      </w:r>
      <w:r>
        <w:t xml:space="preserve"> </w:t>
      </w:r>
      <w:r w:rsidRPr="00E86F27">
        <w:t>na</w:t>
      </w:r>
      <w:r>
        <w:t xml:space="preserve"> </w:t>
      </w:r>
      <w:r w:rsidRPr="00E86F27">
        <w:t>svůj</w:t>
      </w:r>
      <w:r>
        <w:t xml:space="preserve"> </w:t>
      </w:r>
      <w:r w:rsidRPr="00E86F27">
        <w:t>náklad</w:t>
      </w:r>
      <w:r>
        <w:t xml:space="preserve"> </w:t>
      </w:r>
      <w:r w:rsidRPr="00E86F27">
        <w:t>provést</w:t>
      </w:r>
      <w:r>
        <w:t xml:space="preserve"> </w:t>
      </w:r>
      <w:r w:rsidRPr="00E86F27">
        <w:t>likvidaci</w:t>
      </w:r>
      <w:r>
        <w:t xml:space="preserve"> </w:t>
      </w:r>
      <w:r w:rsidRPr="00E86F27">
        <w:t>vzniklého</w:t>
      </w:r>
      <w:r>
        <w:t xml:space="preserve"> </w:t>
      </w:r>
      <w:r w:rsidRPr="00E86F27">
        <w:t>klestu</w:t>
      </w:r>
      <w:r>
        <w:t xml:space="preserve"> </w:t>
      </w:r>
      <w:r w:rsidRPr="00E86F27">
        <w:t>a</w:t>
      </w:r>
      <w:r>
        <w:t xml:space="preserve"> </w:t>
      </w:r>
      <w:r w:rsidRPr="00E86F27">
        <w:t>zbytků</w:t>
      </w:r>
      <w:r>
        <w:t xml:space="preserve"> </w:t>
      </w:r>
      <w:r w:rsidRPr="00E86F27">
        <w:t>po</w:t>
      </w:r>
      <w:r>
        <w:t xml:space="preserve"> </w:t>
      </w:r>
      <w:r w:rsidRPr="00E86F27">
        <w:t>těžbě.</w:t>
      </w:r>
    </w:p>
    <w:p w14:paraId="5BFCA4A8" w14:textId="77777777" w:rsidR="001E38CA" w:rsidRDefault="001E38CA" w:rsidP="0010420C">
      <w:pPr>
        <w:pStyle w:val="Textparagrafu"/>
        <w:tabs>
          <w:tab w:val="left" w:pos="392"/>
          <w:tab w:val="left" w:pos="840"/>
        </w:tabs>
        <w:spacing w:before="120" w:after="120"/>
      </w:pPr>
      <w:r w:rsidRPr="00E86F27">
        <w:t>(5)</w:t>
      </w:r>
      <w:r>
        <w:t xml:space="preserve"> </w:t>
      </w:r>
      <w:r w:rsidRPr="00E86F27">
        <w:t>V</w:t>
      </w:r>
      <w:r>
        <w:t xml:space="preserve"> </w:t>
      </w:r>
      <w:r w:rsidRPr="00E86F27">
        <w:t>případech</w:t>
      </w:r>
      <w:r>
        <w:t xml:space="preserve"> </w:t>
      </w:r>
      <w:r w:rsidRPr="00E86F27">
        <w:t>uvedených</w:t>
      </w:r>
      <w:r>
        <w:t xml:space="preserve"> </w:t>
      </w:r>
      <w:r w:rsidRPr="00E86F27">
        <w:t>v</w:t>
      </w:r>
      <w:r>
        <w:t xml:space="preserve"> </w:t>
      </w:r>
      <w:r w:rsidRPr="00E86F27">
        <w:t>odstavci</w:t>
      </w:r>
      <w:r>
        <w:t xml:space="preserve"> </w:t>
      </w:r>
      <w:r w:rsidRPr="00E86F27">
        <w:t>1</w:t>
      </w:r>
      <w:r>
        <w:t xml:space="preserve"> </w:t>
      </w:r>
      <w:r w:rsidRPr="00E86F27">
        <w:t>písm.</w:t>
      </w:r>
      <w:r>
        <w:t xml:space="preserve"> </w:t>
      </w:r>
      <w:r w:rsidRPr="00E86F27">
        <w:t>i)</w:t>
      </w:r>
      <w:r>
        <w:t xml:space="preserve"> </w:t>
      </w:r>
      <w:r w:rsidRPr="00E86F27">
        <w:t>bodu</w:t>
      </w:r>
      <w:r>
        <w:t xml:space="preserve"> </w:t>
      </w:r>
      <w:r w:rsidRPr="00E86F27">
        <w:t>3</w:t>
      </w:r>
      <w:r>
        <w:t xml:space="preserve"> </w:t>
      </w:r>
      <w:r w:rsidRPr="00E86F27">
        <w:t>je</w:t>
      </w:r>
      <w:r>
        <w:t xml:space="preserve"> </w:t>
      </w:r>
      <w:r w:rsidRPr="00E86F27">
        <w:t>provozovatel</w:t>
      </w:r>
      <w:r>
        <w:t xml:space="preserve"> </w:t>
      </w:r>
      <w:r w:rsidRPr="00E86F27">
        <w:t>přepravní</w:t>
      </w:r>
      <w:r>
        <w:t xml:space="preserve"> </w:t>
      </w:r>
      <w:r w:rsidRPr="00E86F27">
        <w:t>soustavy</w:t>
      </w:r>
      <w:r>
        <w:t xml:space="preserve"> </w:t>
      </w:r>
      <w:r w:rsidRPr="00E86F27">
        <w:t>povinen</w:t>
      </w:r>
      <w:r>
        <w:t xml:space="preserve"> </w:t>
      </w:r>
      <w:r w:rsidRPr="00E86F27">
        <w:t>oznámit</w:t>
      </w:r>
      <w:r>
        <w:t xml:space="preserve"> </w:t>
      </w:r>
      <w:r w:rsidRPr="00E86F27">
        <w:t>zákazníkům,</w:t>
      </w:r>
      <w:r>
        <w:t xml:space="preserve"> </w:t>
      </w:r>
      <w:r w:rsidRPr="00E86F27">
        <w:t>pro</w:t>
      </w:r>
      <w:r>
        <w:t xml:space="preserve"> </w:t>
      </w:r>
      <w:r w:rsidRPr="00E86F27">
        <w:t>něž</w:t>
      </w:r>
      <w:r>
        <w:t xml:space="preserve"> </w:t>
      </w:r>
      <w:r w:rsidRPr="00E86F27">
        <w:t>přepravuje</w:t>
      </w:r>
      <w:r>
        <w:t xml:space="preserve"> </w:t>
      </w:r>
      <w:r w:rsidRPr="00E86F27">
        <w:t>plyn,</w:t>
      </w:r>
      <w:r>
        <w:t xml:space="preserve"> </w:t>
      </w:r>
      <w:r w:rsidRPr="00E86F27">
        <w:t>započetí</w:t>
      </w:r>
      <w:r>
        <w:t xml:space="preserve"> </w:t>
      </w:r>
      <w:r w:rsidRPr="00E86F27">
        <w:t>a</w:t>
      </w:r>
      <w:r>
        <w:t xml:space="preserve"> </w:t>
      </w:r>
      <w:r w:rsidRPr="00E86F27">
        <w:t>skončení</w:t>
      </w:r>
      <w:r>
        <w:t xml:space="preserve"> </w:t>
      </w:r>
      <w:r w:rsidRPr="00E86F27">
        <w:t>omezení</w:t>
      </w:r>
      <w:r>
        <w:t xml:space="preserve"> </w:t>
      </w:r>
      <w:r w:rsidRPr="00E86F27">
        <w:t>nebo</w:t>
      </w:r>
      <w:r>
        <w:t xml:space="preserve"> </w:t>
      </w:r>
      <w:r w:rsidRPr="00E86F27">
        <w:t>přerušení</w:t>
      </w:r>
      <w:r>
        <w:t xml:space="preserve"> </w:t>
      </w:r>
      <w:r w:rsidRPr="00E86F27">
        <w:t>přepravy</w:t>
      </w:r>
      <w:r>
        <w:t xml:space="preserve"> </w:t>
      </w:r>
      <w:r w:rsidRPr="00E86F27">
        <w:t>plynu,</w:t>
      </w:r>
      <w:r>
        <w:t xml:space="preserve"> </w:t>
      </w:r>
      <w:r w:rsidRPr="00E86F27">
        <w:t>nejméně</w:t>
      </w:r>
      <w:r>
        <w:t xml:space="preserve"> </w:t>
      </w:r>
      <w:r w:rsidRPr="00E86F27">
        <w:t>však</w:t>
      </w:r>
      <w:r>
        <w:t xml:space="preserve"> </w:t>
      </w:r>
      <w:r w:rsidRPr="00E86F27">
        <w:t>30</w:t>
      </w:r>
      <w:r>
        <w:t xml:space="preserve"> </w:t>
      </w:r>
      <w:r w:rsidRPr="00E86F27">
        <w:t>dnů</w:t>
      </w:r>
      <w:r>
        <w:t xml:space="preserve"> </w:t>
      </w:r>
      <w:r w:rsidRPr="00E86F27">
        <w:t>předem.</w:t>
      </w:r>
    </w:p>
    <w:p w14:paraId="0645A98F" w14:textId="77777777" w:rsidR="001E38CA" w:rsidRDefault="001E38CA" w:rsidP="0010420C">
      <w:pPr>
        <w:pStyle w:val="Textparagrafu"/>
        <w:tabs>
          <w:tab w:val="left" w:pos="392"/>
          <w:tab w:val="left" w:pos="840"/>
        </w:tabs>
        <w:spacing w:before="120" w:after="120"/>
      </w:pPr>
      <w:r w:rsidRPr="00E86F27">
        <w:t>(6)</w:t>
      </w:r>
      <w:r>
        <w:t xml:space="preserve"> </w:t>
      </w:r>
      <w:r w:rsidRPr="00E86F27">
        <w:t>V</w:t>
      </w:r>
      <w:r>
        <w:t xml:space="preserve"> </w:t>
      </w:r>
      <w:r w:rsidRPr="00E86F27">
        <w:t>případech</w:t>
      </w:r>
      <w:r>
        <w:t xml:space="preserve"> </w:t>
      </w:r>
      <w:r w:rsidRPr="00E86F27">
        <w:t>uvedených</w:t>
      </w:r>
      <w:r>
        <w:t xml:space="preserve"> </w:t>
      </w:r>
      <w:r w:rsidRPr="00E86F27">
        <w:t>v</w:t>
      </w:r>
      <w:r>
        <w:t xml:space="preserve"> </w:t>
      </w:r>
      <w:r w:rsidRPr="00E86F27">
        <w:t>odstavci</w:t>
      </w:r>
      <w:r>
        <w:t xml:space="preserve"> </w:t>
      </w:r>
      <w:r w:rsidRPr="00E86F27">
        <w:t>1</w:t>
      </w:r>
      <w:r>
        <w:t xml:space="preserve"> </w:t>
      </w:r>
      <w:r w:rsidRPr="00E86F27">
        <w:t>písm.</w:t>
      </w:r>
      <w:r>
        <w:t xml:space="preserve"> </w:t>
      </w:r>
      <w:r w:rsidRPr="00E86F27">
        <w:t>i)</w:t>
      </w:r>
      <w:r>
        <w:t xml:space="preserve"> </w:t>
      </w:r>
      <w:r w:rsidRPr="00E86F27">
        <w:t>je</w:t>
      </w:r>
      <w:r>
        <w:t xml:space="preserve"> </w:t>
      </w:r>
      <w:r w:rsidRPr="00E86F27">
        <w:t>provozovatel</w:t>
      </w:r>
      <w:r>
        <w:t xml:space="preserve"> </w:t>
      </w:r>
      <w:r w:rsidRPr="00E86F27">
        <w:t>přepravní</w:t>
      </w:r>
      <w:r>
        <w:t xml:space="preserve"> </w:t>
      </w:r>
      <w:r w:rsidRPr="00E86F27">
        <w:t>soustavy</w:t>
      </w:r>
      <w:r>
        <w:t xml:space="preserve"> </w:t>
      </w:r>
      <w:r w:rsidRPr="00E86F27">
        <w:t>povinen</w:t>
      </w:r>
      <w:r>
        <w:t xml:space="preserve"> </w:t>
      </w:r>
      <w:r w:rsidRPr="00E86F27">
        <w:t>obnovit</w:t>
      </w:r>
      <w:r>
        <w:t xml:space="preserve"> </w:t>
      </w:r>
      <w:r w:rsidRPr="00E86F27">
        <w:t>přepravu</w:t>
      </w:r>
      <w:r>
        <w:t xml:space="preserve"> </w:t>
      </w:r>
      <w:r w:rsidRPr="00E86F27">
        <w:t>plynu</w:t>
      </w:r>
      <w:r>
        <w:t xml:space="preserve"> </w:t>
      </w:r>
      <w:r w:rsidRPr="00E86F27">
        <w:t>bezprostředně</w:t>
      </w:r>
      <w:r>
        <w:t xml:space="preserve"> </w:t>
      </w:r>
      <w:r w:rsidRPr="00E86F27">
        <w:t>po</w:t>
      </w:r>
      <w:r>
        <w:t xml:space="preserve"> </w:t>
      </w:r>
      <w:r w:rsidRPr="00E86F27">
        <w:t>odstranění</w:t>
      </w:r>
      <w:r>
        <w:t xml:space="preserve"> </w:t>
      </w:r>
      <w:r w:rsidRPr="00E86F27">
        <w:t>příčin,</w:t>
      </w:r>
      <w:r>
        <w:t xml:space="preserve"> </w:t>
      </w:r>
      <w:r w:rsidRPr="00E86F27">
        <w:t>které</w:t>
      </w:r>
      <w:r>
        <w:t xml:space="preserve"> </w:t>
      </w:r>
      <w:r w:rsidRPr="00E86F27">
        <w:t>vedly</w:t>
      </w:r>
      <w:r>
        <w:t xml:space="preserve"> </w:t>
      </w:r>
      <w:r w:rsidRPr="00E86F27">
        <w:t>k</w:t>
      </w:r>
      <w:r>
        <w:t xml:space="preserve"> </w:t>
      </w:r>
      <w:r w:rsidRPr="00E86F27">
        <w:t>jejímu</w:t>
      </w:r>
      <w:r>
        <w:t xml:space="preserve"> </w:t>
      </w:r>
      <w:r w:rsidRPr="00E86F27">
        <w:t>omezení</w:t>
      </w:r>
      <w:r>
        <w:t xml:space="preserve"> </w:t>
      </w:r>
      <w:r w:rsidRPr="00E86F27">
        <w:t>nebo</w:t>
      </w:r>
      <w:r>
        <w:t xml:space="preserve"> </w:t>
      </w:r>
      <w:r w:rsidRPr="00E86F27">
        <w:t>přerušení.</w:t>
      </w:r>
    </w:p>
    <w:p w14:paraId="39869556" w14:textId="77777777" w:rsidR="001E38CA" w:rsidRDefault="001E38CA" w:rsidP="0010420C">
      <w:pPr>
        <w:pStyle w:val="Textparagrafu"/>
        <w:tabs>
          <w:tab w:val="left" w:pos="392"/>
          <w:tab w:val="left" w:pos="840"/>
        </w:tabs>
        <w:spacing w:before="120" w:after="120"/>
      </w:pPr>
      <w:r w:rsidRPr="00E86F27">
        <w:t>(7)</w:t>
      </w:r>
      <w:r>
        <w:t xml:space="preserve"> </w:t>
      </w:r>
      <w:r w:rsidRPr="00E86F27">
        <w:t>V</w:t>
      </w:r>
      <w:r>
        <w:t xml:space="preserve"> </w:t>
      </w:r>
      <w:r w:rsidRPr="00E86F27">
        <w:t>případech</w:t>
      </w:r>
      <w:r>
        <w:t xml:space="preserve"> </w:t>
      </w:r>
      <w:r w:rsidRPr="00E86F27">
        <w:t>uvedených</w:t>
      </w:r>
      <w:r>
        <w:t xml:space="preserve"> </w:t>
      </w:r>
      <w:r w:rsidRPr="00E86F27">
        <w:t>v</w:t>
      </w:r>
      <w:r>
        <w:t xml:space="preserve"> </w:t>
      </w:r>
      <w:r w:rsidRPr="00E86F27">
        <w:t>odstavci</w:t>
      </w:r>
      <w:r>
        <w:t xml:space="preserve"> </w:t>
      </w:r>
      <w:r w:rsidRPr="00E86F27">
        <w:t>1</w:t>
      </w:r>
      <w:r>
        <w:t xml:space="preserve"> </w:t>
      </w:r>
      <w:r w:rsidRPr="00E86F27">
        <w:t>písm.</w:t>
      </w:r>
      <w:r>
        <w:t xml:space="preserve"> </w:t>
      </w:r>
      <w:r w:rsidRPr="00E86F27">
        <w:t>i)</w:t>
      </w:r>
      <w:r>
        <w:t xml:space="preserve"> </w:t>
      </w:r>
      <w:r w:rsidRPr="00E86F27">
        <w:t>je</w:t>
      </w:r>
      <w:r>
        <w:t xml:space="preserve"> </w:t>
      </w:r>
      <w:r w:rsidRPr="00E86F27">
        <w:t>právo</w:t>
      </w:r>
      <w:r>
        <w:t xml:space="preserve"> </w:t>
      </w:r>
      <w:r w:rsidRPr="00E86F27">
        <w:t>na</w:t>
      </w:r>
      <w:r>
        <w:t xml:space="preserve"> </w:t>
      </w:r>
      <w:r w:rsidRPr="00E86F27">
        <w:t>náhradu</w:t>
      </w:r>
      <w:r>
        <w:t xml:space="preserve"> </w:t>
      </w:r>
      <w:r w:rsidRPr="00E86F27">
        <w:t>škody</w:t>
      </w:r>
      <w:r>
        <w:t xml:space="preserve"> </w:t>
      </w:r>
      <w:r w:rsidRPr="00E86F27">
        <w:t>vyloučeno.</w:t>
      </w:r>
      <w:r>
        <w:t xml:space="preserve"> </w:t>
      </w:r>
      <w:r w:rsidRPr="00E86F27">
        <w:t>To</w:t>
      </w:r>
      <w:r>
        <w:t xml:space="preserve"> </w:t>
      </w:r>
      <w:r w:rsidRPr="00E86F27">
        <w:t>neplatí,</w:t>
      </w:r>
      <w:r>
        <w:t xml:space="preserve"> </w:t>
      </w:r>
      <w:r w:rsidRPr="00E86F27">
        <w:t>nesplní-li</w:t>
      </w:r>
      <w:r>
        <w:t xml:space="preserve"> </w:t>
      </w:r>
      <w:r w:rsidRPr="00E86F27">
        <w:t>provozovatel</w:t>
      </w:r>
      <w:r>
        <w:t xml:space="preserve"> </w:t>
      </w:r>
      <w:r w:rsidRPr="00E86F27">
        <w:t>přepravní</w:t>
      </w:r>
      <w:r>
        <w:t xml:space="preserve"> </w:t>
      </w:r>
      <w:r w:rsidRPr="00E86F27">
        <w:t>soustavy</w:t>
      </w:r>
      <w:r>
        <w:t xml:space="preserve"> </w:t>
      </w:r>
      <w:r w:rsidRPr="00E86F27">
        <w:t>oznamovací</w:t>
      </w:r>
      <w:r>
        <w:t xml:space="preserve"> </w:t>
      </w:r>
      <w:r w:rsidRPr="00E86F27">
        <w:t>povinnost</w:t>
      </w:r>
      <w:r>
        <w:t xml:space="preserve"> </w:t>
      </w:r>
      <w:r w:rsidRPr="00E86F27">
        <w:t>uloženou</w:t>
      </w:r>
      <w:r>
        <w:t xml:space="preserve"> </w:t>
      </w:r>
      <w:r w:rsidRPr="00E86F27">
        <w:t>podle</w:t>
      </w:r>
      <w:r>
        <w:t xml:space="preserve"> </w:t>
      </w:r>
      <w:r w:rsidRPr="00E86F27">
        <w:t>odstavce</w:t>
      </w:r>
      <w:r>
        <w:t xml:space="preserve"> </w:t>
      </w:r>
      <w:r w:rsidRPr="00E86F27">
        <w:t>5</w:t>
      </w:r>
      <w:r>
        <w:t xml:space="preserve"> </w:t>
      </w:r>
      <w:r w:rsidRPr="00E86F27">
        <w:t>nebo</w:t>
      </w:r>
      <w:r>
        <w:t xml:space="preserve"> </w:t>
      </w:r>
      <w:r w:rsidRPr="00E86F27">
        <w:t>poruchu</w:t>
      </w:r>
      <w:r>
        <w:t xml:space="preserve"> </w:t>
      </w:r>
      <w:r w:rsidRPr="00E86F27">
        <w:t>prokazatelně</w:t>
      </w:r>
      <w:r>
        <w:t xml:space="preserve"> </w:t>
      </w:r>
      <w:r w:rsidRPr="00E86F27">
        <w:t>zavinil</w:t>
      </w:r>
      <w:r>
        <w:t xml:space="preserve"> </w:t>
      </w:r>
      <w:r w:rsidRPr="00E86F27">
        <w:t>provozovatel</w:t>
      </w:r>
      <w:r>
        <w:t xml:space="preserve"> </w:t>
      </w:r>
      <w:r w:rsidRPr="00E86F27">
        <w:t>přepravní</w:t>
      </w:r>
      <w:r>
        <w:t xml:space="preserve"> </w:t>
      </w:r>
      <w:r w:rsidRPr="00E86F27">
        <w:t>soustavy.</w:t>
      </w:r>
      <w:r>
        <w:t xml:space="preserve"> </w:t>
      </w:r>
      <w:r w:rsidRPr="00E86F27">
        <w:t>Při</w:t>
      </w:r>
      <w:r>
        <w:t xml:space="preserve"> </w:t>
      </w:r>
      <w:r w:rsidRPr="00E86F27">
        <w:t>poskytování</w:t>
      </w:r>
      <w:r>
        <w:t xml:space="preserve"> </w:t>
      </w:r>
      <w:r w:rsidRPr="00E86F27">
        <w:t>mezinárodní</w:t>
      </w:r>
      <w:r>
        <w:t xml:space="preserve"> </w:t>
      </w:r>
      <w:r w:rsidRPr="00E86F27">
        <w:t>pomoci</w:t>
      </w:r>
      <w:r>
        <w:t xml:space="preserve"> </w:t>
      </w:r>
      <w:r w:rsidRPr="00E86F27">
        <w:t>v</w:t>
      </w:r>
      <w:r>
        <w:t xml:space="preserve"> </w:t>
      </w:r>
      <w:r w:rsidRPr="00E86F27">
        <w:t>krizových</w:t>
      </w:r>
      <w:r>
        <w:t xml:space="preserve"> </w:t>
      </w:r>
      <w:r w:rsidRPr="00E86F27">
        <w:t>situacích</w:t>
      </w:r>
      <w:r>
        <w:t xml:space="preserve"> </w:t>
      </w:r>
      <w:r w:rsidRPr="00E86F27">
        <w:t>v</w:t>
      </w:r>
      <w:r>
        <w:t xml:space="preserve"> </w:t>
      </w:r>
      <w:r w:rsidRPr="00E86F27">
        <w:t>plynárenství</w:t>
      </w:r>
      <w:r>
        <w:t xml:space="preserve"> </w:t>
      </w:r>
      <w:r w:rsidRPr="00E86F27">
        <w:t>se</w:t>
      </w:r>
      <w:r>
        <w:t xml:space="preserve"> </w:t>
      </w:r>
      <w:r w:rsidRPr="00E86F27">
        <w:t>náhrada</w:t>
      </w:r>
      <w:r>
        <w:t xml:space="preserve"> </w:t>
      </w:r>
      <w:r w:rsidRPr="00E86F27">
        <w:t>škody</w:t>
      </w:r>
      <w:r>
        <w:t xml:space="preserve"> </w:t>
      </w:r>
      <w:r w:rsidRPr="00E86F27">
        <w:t>poskytuje</w:t>
      </w:r>
      <w:r>
        <w:t xml:space="preserve"> </w:t>
      </w:r>
      <w:r w:rsidRPr="00E86F27">
        <w:t>podle</w:t>
      </w:r>
      <w:r>
        <w:t xml:space="preserve"> </w:t>
      </w:r>
      <w:r w:rsidRPr="00E86F27">
        <w:t>přímo</w:t>
      </w:r>
      <w:r>
        <w:t xml:space="preserve"> </w:t>
      </w:r>
      <w:r w:rsidRPr="00E86F27">
        <w:t>použitelného</w:t>
      </w:r>
      <w:r>
        <w:t xml:space="preserve"> </w:t>
      </w:r>
      <w:r w:rsidRPr="00E86F27">
        <w:t>předpisu</w:t>
      </w:r>
      <w:r>
        <w:t xml:space="preserve"> </w:t>
      </w:r>
      <w:r w:rsidRPr="00E86F27">
        <w:t>Evropské</w:t>
      </w:r>
      <w:r>
        <w:t xml:space="preserve"> </w:t>
      </w:r>
      <w:r w:rsidRPr="00E86F27">
        <w:t>unie</w:t>
      </w:r>
      <w:r>
        <w:t xml:space="preserve"> </w:t>
      </w:r>
      <w:r w:rsidRPr="00E86F27">
        <w:t>upravujícího</w:t>
      </w:r>
      <w:r>
        <w:t xml:space="preserve"> </w:t>
      </w:r>
      <w:r w:rsidRPr="00E86F27">
        <w:t>opatření</w:t>
      </w:r>
      <w:r>
        <w:t xml:space="preserve"> </w:t>
      </w:r>
      <w:r w:rsidRPr="00E86F27">
        <w:t>na</w:t>
      </w:r>
      <w:r>
        <w:t xml:space="preserve"> </w:t>
      </w:r>
      <w:r w:rsidRPr="00E86F27">
        <w:t>zajištění</w:t>
      </w:r>
      <w:r>
        <w:t xml:space="preserve"> </w:t>
      </w:r>
      <w:r w:rsidRPr="00E86F27">
        <w:t>bezpečnosti</w:t>
      </w:r>
      <w:r>
        <w:t xml:space="preserve"> </w:t>
      </w:r>
      <w:r w:rsidRPr="00E86F27">
        <w:t>dodávek</w:t>
      </w:r>
      <w:r>
        <w:t xml:space="preserve"> </w:t>
      </w:r>
      <w:r w:rsidRPr="00E86F27">
        <w:t>zemního</w:t>
      </w:r>
      <w:r>
        <w:t xml:space="preserve"> </w:t>
      </w:r>
      <w:r w:rsidRPr="00E86F27">
        <w:t>plynu</w:t>
      </w:r>
      <w:r w:rsidRPr="0029752C">
        <w:rPr>
          <w:vertAlign w:val="superscript"/>
        </w:rPr>
        <w:t>21)</w:t>
      </w:r>
      <w:r w:rsidRPr="00E86F27">
        <w:t>.</w:t>
      </w:r>
    </w:p>
    <w:p w14:paraId="7B1BDB88" w14:textId="77777777" w:rsidR="001E38CA" w:rsidRDefault="001E38CA" w:rsidP="0010420C">
      <w:pPr>
        <w:pStyle w:val="Textparagrafu"/>
        <w:tabs>
          <w:tab w:val="left" w:pos="392"/>
          <w:tab w:val="left" w:pos="840"/>
        </w:tabs>
        <w:spacing w:before="120" w:after="120"/>
      </w:pPr>
      <w:r w:rsidRPr="00E86F27">
        <w:t>(8)</w:t>
      </w:r>
      <w:r>
        <w:t xml:space="preserve"> </w:t>
      </w:r>
      <w:r w:rsidRPr="00E86F27">
        <w:t>Provozovatel</w:t>
      </w:r>
      <w:r>
        <w:t xml:space="preserve"> </w:t>
      </w:r>
      <w:r w:rsidRPr="00E86F27">
        <w:t>přepravní</w:t>
      </w:r>
      <w:r>
        <w:t xml:space="preserve"> </w:t>
      </w:r>
      <w:r w:rsidRPr="00E86F27">
        <w:t>soustavy</w:t>
      </w:r>
      <w:r>
        <w:t xml:space="preserve"> </w:t>
      </w:r>
      <w:r w:rsidRPr="00E86F27">
        <w:t>je</w:t>
      </w:r>
      <w:r>
        <w:t xml:space="preserve"> </w:t>
      </w:r>
      <w:r w:rsidRPr="00E86F27">
        <w:t>dále</w:t>
      </w:r>
      <w:r>
        <w:t xml:space="preserve"> </w:t>
      </w:r>
      <w:r w:rsidRPr="00E86F27">
        <w:t>povinen</w:t>
      </w:r>
    </w:p>
    <w:p w14:paraId="76C1E1B2" w14:textId="77777777" w:rsidR="001E38CA" w:rsidRDefault="001E38CA" w:rsidP="002E6AEA">
      <w:pPr>
        <w:pStyle w:val="Textparagrafu"/>
        <w:tabs>
          <w:tab w:val="left" w:pos="392"/>
          <w:tab w:val="left" w:pos="840"/>
        </w:tabs>
        <w:spacing w:before="0"/>
        <w:ind w:left="426" w:hanging="426"/>
      </w:pPr>
      <w:r w:rsidRPr="00E86F27">
        <w:t>a)</w:t>
      </w:r>
      <w:r>
        <w:tab/>
      </w:r>
      <w:r w:rsidRPr="00E86F27">
        <w:t>zajistit</w:t>
      </w:r>
      <w:r>
        <w:t xml:space="preserve"> </w:t>
      </w:r>
      <w:r w:rsidRPr="00E86F27">
        <w:t>bezpečný,</w:t>
      </w:r>
      <w:r>
        <w:t xml:space="preserve"> </w:t>
      </w:r>
      <w:r w:rsidRPr="00E86F27">
        <w:t>spolehlivý</w:t>
      </w:r>
      <w:r>
        <w:t xml:space="preserve"> </w:t>
      </w:r>
      <w:r w:rsidRPr="00E86F27">
        <w:t>a</w:t>
      </w:r>
      <w:r>
        <w:t xml:space="preserve"> </w:t>
      </w:r>
      <w:r w:rsidRPr="00E86F27">
        <w:t>hospodárný</w:t>
      </w:r>
      <w:r>
        <w:t xml:space="preserve"> </w:t>
      </w:r>
      <w:r w:rsidRPr="00E86F27">
        <w:t>provoz,</w:t>
      </w:r>
      <w:r>
        <w:t xml:space="preserve"> </w:t>
      </w:r>
      <w:r w:rsidRPr="00E86F27">
        <w:t>údržbu,</w:t>
      </w:r>
      <w:r>
        <w:t xml:space="preserve"> </w:t>
      </w:r>
      <w:r w:rsidRPr="00E86F27">
        <w:t>obnovu</w:t>
      </w:r>
      <w:r>
        <w:t xml:space="preserve"> </w:t>
      </w:r>
      <w:r w:rsidRPr="00E86F27">
        <w:t>a</w:t>
      </w:r>
      <w:r>
        <w:t xml:space="preserve"> </w:t>
      </w:r>
      <w:r w:rsidRPr="00E86F27">
        <w:t>rozvoj</w:t>
      </w:r>
      <w:r>
        <w:t xml:space="preserve"> </w:t>
      </w:r>
      <w:r w:rsidRPr="00E86F27">
        <w:t>přepravní</w:t>
      </w:r>
      <w:r>
        <w:t xml:space="preserve"> </w:t>
      </w:r>
      <w:r w:rsidRPr="00E86F27">
        <w:t>soustavy,</w:t>
      </w:r>
    </w:p>
    <w:p w14:paraId="06FC5C15" w14:textId="77777777" w:rsidR="001E38CA" w:rsidRDefault="001E38CA" w:rsidP="002E6AEA">
      <w:pPr>
        <w:pStyle w:val="Textparagrafu"/>
        <w:tabs>
          <w:tab w:val="left" w:pos="392"/>
          <w:tab w:val="left" w:pos="840"/>
        </w:tabs>
        <w:spacing w:before="0"/>
        <w:ind w:left="426" w:hanging="426"/>
      </w:pPr>
      <w:r w:rsidRPr="00E86F27">
        <w:t>b)</w:t>
      </w:r>
      <w:r>
        <w:tab/>
      </w:r>
      <w:r w:rsidRPr="00E86F27">
        <w:t>poskytovat</w:t>
      </w:r>
      <w:r>
        <w:t xml:space="preserve"> </w:t>
      </w:r>
      <w:r w:rsidRPr="00E86F27">
        <w:t>službu</w:t>
      </w:r>
      <w:r>
        <w:t xml:space="preserve"> </w:t>
      </w:r>
      <w:r w:rsidRPr="00E86F27">
        <w:t>přepravy</w:t>
      </w:r>
      <w:r>
        <w:t xml:space="preserve"> </w:t>
      </w:r>
      <w:r w:rsidRPr="00E86F27">
        <w:t>plynu</w:t>
      </w:r>
      <w:r>
        <w:t xml:space="preserve"> </w:t>
      </w:r>
      <w:r w:rsidRPr="00E86F27">
        <w:t>na</w:t>
      </w:r>
      <w:r>
        <w:t xml:space="preserve"> </w:t>
      </w:r>
      <w:r w:rsidRPr="00E86F27">
        <w:t>základě</w:t>
      </w:r>
      <w:r>
        <w:t xml:space="preserve"> </w:t>
      </w:r>
      <w:r w:rsidRPr="00E86F27">
        <w:t>uzavřených</w:t>
      </w:r>
      <w:r>
        <w:t xml:space="preserve"> </w:t>
      </w:r>
      <w:r w:rsidRPr="00E86F27">
        <w:t>smluv,</w:t>
      </w:r>
    </w:p>
    <w:p w14:paraId="1A655332" w14:textId="77777777" w:rsidR="001E38CA" w:rsidRDefault="001E38CA" w:rsidP="002E6AEA">
      <w:pPr>
        <w:pStyle w:val="Textparagrafu"/>
        <w:tabs>
          <w:tab w:val="left" w:pos="392"/>
          <w:tab w:val="left" w:pos="840"/>
        </w:tabs>
        <w:spacing w:before="0"/>
        <w:ind w:left="426" w:hanging="426"/>
      </w:pPr>
      <w:r w:rsidRPr="00E86F27">
        <w:t>c)</w:t>
      </w:r>
      <w:r>
        <w:tab/>
      </w:r>
      <w:r w:rsidRPr="00E86F27">
        <w:t>připojit</w:t>
      </w:r>
      <w:r>
        <w:t xml:space="preserve"> </w:t>
      </w:r>
      <w:r w:rsidRPr="00E86F27">
        <w:t>k</w:t>
      </w:r>
      <w:r>
        <w:t xml:space="preserve"> </w:t>
      </w:r>
      <w:r w:rsidRPr="00E86F27">
        <w:t>přepravní</w:t>
      </w:r>
      <w:r>
        <w:t xml:space="preserve"> </w:t>
      </w:r>
      <w:r w:rsidRPr="00E86F27">
        <w:t>soustavě</w:t>
      </w:r>
      <w:r>
        <w:t xml:space="preserve"> </w:t>
      </w:r>
      <w:r w:rsidRPr="00E86F27">
        <w:t>každého,</w:t>
      </w:r>
      <w:r>
        <w:t xml:space="preserve"> </w:t>
      </w:r>
      <w:r w:rsidRPr="00E86F27">
        <w:t>kdo</w:t>
      </w:r>
      <w:r>
        <w:t xml:space="preserve"> </w:t>
      </w:r>
      <w:r w:rsidRPr="00E86F27">
        <w:t>o</w:t>
      </w:r>
      <w:r>
        <w:t xml:space="preserve"> </w:t>
      </w:r>
      <w:r w:rsidRPr="00E86F27">
        <w:t>to</w:t>
      </w:r>
      <w:r>
        <w:t xml:space="preserve"> </w:t>
      </w:r>
      <w:r w:rsidRPr="00E86F27">
        <w:t>požádá</w:t>
      </w:r>
      <w:r>
        <w:t xml:space="preserve"> </w:t>
      </w:r>
      <w:r w:rsidRPr="00E86F27">
        <w:t>a</w:t>
      </w:r>
      <w:r>
        <w:t xml:space="preserve"> </w:t>
      </w:r>
      <w:r w:rsidRPr="00E86F27">
        <w:t>splňuje</w:t>
      </w:r>
      <w:r>
        <w:t xml:space="preserve"> </w:t>
      </w:r>
      <w:r w:rsidRPr="00E86F27">
        <w:t>podmínky</w:t>
      </w:r>
      <w:r>
        <w:t xml:space="preserve"> </w:t>
      </w:r>
      <w:r w:rsidRPr="00E86F27">
        <w:t>připojení</w:t>
      </w:r>
      <w:r>
        <w:t xml:space="preserve"> </w:t>
      </w:r>
      <w:r w:rsidRPr="00E86F27">
        <w:t>stanovené</w:t>
      </w:r>
      <w:r>
        <w:t xml:space="preserve"> </w:t>
      </w:r>
      <w:r w:rsidRPr="00E86F27">
        <w:t>provozovatelem</w:t>
      </w:r>
      <w:r>
        <w:t xml:space="preserve"> </w:t>
      </w:r>
      <w:r w:rsidRPr="00E86F27">
        <w:t>přepravní</w:t>
      </w:r>
      <w:r>
        <w:t xml:space="preserve"> </w:t>
      </w:r>
      <w:r w:rsidRPr="00E86F27">
        <w:t>soustavy</w:t>
      </w:r>
      <w:r>
        <w:t xml:space="preserve"> </w:t>
      </w:r>
      <w:r w:rsidRPr="00E86F27">
        <w:t>a</w:t>
      </w:r>
      <w:r>
        <w:t xml:space="preserve"> </w:t>
      </w:r>
      <w:r w:rsidRPr="00E86F27">
        <w:t>stanovit</w:t>
      </w:r>
      <w:r>
        <w:t xml:space="preserve"> </w:t>
      </w:r>
      <w:r w:rsidRPr="00E86F27">
        <w:t>mu</w:t>
      </w:r>
      <w:r>
        <w:t xml:space="preserve"> </w:t>
      </w:r>
      <w:r w:rsidRPr="00E86F27">
        <w:t>termín</w:t>
      </w:r>
      <w:r>
        <w:t xml:space="preserve"> </w:t>
      </w:r>
      <w:r w:rsidRPr="00E86F27">
        <w:t>připojení,</w:t>
      </w:r>
    </w:p>
    <w:p w14:paraId="3C35562B" w14:textId="77777777" w:rsidR="001E38CA" w:rsidRDefault="001E38CA" w:rsidP="002E6AEA">
      <w:pPr>
        <w:pStyle w:val="Textparagrafu"/>
        <w:tabs>
          <w:tab w:val="left" w:pos="392"/>
          <w:tab w:val="left" w:pos="840"/>
        </w:tabs>
        <w:spacing w:before="0"/>
        <w:ind w:left="426" w:hanging="426"/>
      </w:pPr>
      <w:r w:rsidRPr="00E86F27">
        <w:t>d)</w:t>
      </w:r>
      <w:r>
        <w:tab/>
      </w:r>
      <w:r w:rsidRPr="00E86F27">
        <w:t>poskytnout</w:t>
      </w:r>
      <w:r>
        <w:t xml:space="preserve"> </w:t>
      </w:r>
      <w:r w:rsidRPr="00E86F27">
        <w:t>službu</w:t>
      </w:r>
      <w:r>
        <w:t xml:space="preserve"> </w:t>
      </w:r>
      <w:r w:rsidRPr="00E86F27">
        <w:t>přepravy</w:t>
      </w:r>
      <w:r>
        <w:t xml:space="preserve"> </w:t>
      </w:r>
      <w:r w:rsidRPr="00E86F27">
        <w:t>plynu</w:t>
      </w:r>
      <w:r>
        <w:t xml:space="preserve"> </w:t>
      </w:r>
      <w:r w:rsidRPr="00E86F27">
        <w:t>každému,</w:t>
      </w:r>
      <w:r>
        <w:t xml:space="preserve"> </w:t>
      </w:r>
      <w:r w:rsidRPr="00E86F27">
        <w:t>kdo</w:t>
      </w:r>
      <w:r>
        <w:t xml:space="preserve"> </w:t>
      </w:r>
      <w:r w:rsidRPr="00E86F27">
        <w:t>o</w:t>
      </w:r>
      <w:r>
        <w:t xml:space="preserve"> </w:t>
      </w:r>
      <w:r w:rsidRPr="00E86F27">
        <w:t>to</w:t>
      </w:r>
      <w:r>
        <w:t xml:space="preserve"> </w:t>
      </w:r>
      <w:r w:rsidRPr="00E86F27">
        <w:t>požádá</w:t>
      </w:r>
      <w:r>
        <w:t xml:space="preserve"> </w:t>
      </w:r>
      <w:r w:rsidRPr="00E86F27">
        <w:t>a</w:t>
      </w:r>
      <w:r>
        <w:t xml:space="preserve"> </w:t>
      </w:r>
      <w:r w:rsidRPr="00E86F27">
        <w:t>splňuje</w:t>
      </w:r>
      <w:r>
        <w:t xml:space="preserve"> </w:t>
      </w:r>
      <w:r w:rsidRPr="00E86F27">
        <w:t>podmínky</w:t>
      </w:r>
      <w:r>
        <w:t xml:space="preserve"> </w:t>
      </w:r>
      <w:r w:rsidRPr="00E86F27">
        <w:t>přístupu</w:t>
      </w:r>
      <w:r>
        <w:t xml:space="preserve"> </w:t>
      </w:r>
      <w:r w:rsidRPr="00E86F27">
        <w:t>třetích</w:t>
      </w:r>
      <w:r>
        <w:t xml:space="preserve"> </w:t>
      </w:r>
      <w:r w:rsidRPr="00E86F27">
        <w:t>stran</w:t>
      </w:r>
      <w:r>
        <w:t xml:space="preserve"> </w:t>
      </w:r>
      <w:r w:rsidRPr="00E86F27">
        <w:t>k</w:t>
      </w:r>
      <w:r>
        <w:t xml:space="preserve"> </w:t>
      </w:r>
      <w:r w:rsidRPr="00E86F27">
        <w:t>přepravní</w:t>
      </w:r>
      <w:r>
        <w:t xml:space="preserve"> </w:t>
      </w:r>
      <w:r w:rsidRPr="00E86F27">
        <w:t>soustavě</w:t>
      </w:r>
      <w:r>
        <w:t xml:space="preserve"> </w:t>
      </w:r>
      <w:r w:rsidRPr="00E86F27">
        <w:t>s</w:t>
      </w:r>
      <w:r>
        <w:t xml:space="preserve"> </w:t>
      </w:r>
      <w:r w:rsidRPr="00E86F27">
        <w:t>výjimkou</w:t>
      </w:r>
      <w:r>
        <w:t xml:space="preserve"> </w:t>
      </w:r>
      <w:r w:rsidRPr="00E86F27">
        <w:t>prokazatelného</w:t>
      </w:r>
      <w:r>
        <w:t xml:space="preserve"> </w:t>
      </w:r>
      <w:r w:rsidRPr="00E86F27">
        <w:t>nedostatku</w:t>
      </w:r>
      <w:r>
        <w:t xml:space="preserve"> </w:t>
      </w:r>
      <w:r w:rsidRPr="00E86F27">
        <w:t>volné</w:t>
      </w:r>
      <w:r>
        <w:t xml:space="preserve"> </w:t>
      </w:r>
      <w:r w:rsidRPr="00E86F27">
        <w:t>kapacity</w:t>
      </w:r>
      <w:r>
        <w:t xml:space="preserve"> </w:t>
      </w:r>
      <w:r w:rsidRPr="00E86F27">
        <w:t>pro</w:t>
      </w:r>
      <w:r>
        <w:t xml:space="preserve"> </w:t>
      </w:r>
      <w:r w:rsidRPr="00E86F27">
        <w:t>službu</w:t>
      </w:r>
      <w:r>
        <w:t xml:space="preserve"> </w:t>
      </w:r>
      <w:r w:rsidRPr="00E86F27">
        <w:t>přepravy</w:t>
      </w:r>
      <w:r>
        <w:t xml:space="preserve"> </w:t>
      </w:r>
      <w:r w:rsidRPr="00E86F27">
        <w:t>plynu</w:t>
      </w:r>
      <w:r>
        <w:t xml:space="preserve"> </w:t>
      </w:r>
      <w:r w:rsidRPr="00E86F27">
        <w:t>nebo</w:t>
      </w:r>
      <w:r>
        <w:t xml:space="preserve"> </w:t>
      </w:r>
      <w:r w:rsidRPr="00E86F27">
        <w:t>při</w:t>
      </w:r>
      <w:r>
        <w:t xml:space="preserve"> </w:t>
      </w:r>
      <w:r w:rsidRPr="00E86F27">
        <w:t>ohrožení</w:t>
      </w:r>
      <w:r>
        <w:t xml:space="preserve"> </w:t>
      </w:r>
      <w:r w:rsidRPr="00E86F27">
        <w:t>bezpečného</w:t>
      </w:r>
      <w:r>
        <w:t xml:space="preserve"> </w:t>
      </w:r>
      <w:r w:rsidRPr="00E86F27">
        <w:t>a</w:t>
      </w:r>
      <w:r>
        <w:t xml:space="preserve"> </w:t>
      </w:r>
      <w:r w:rsidRPr="00E86F27">
        <w:t>spolehlivého</w:t>
      </w:r>
      <w:r>
        <w:t xml:space="preserve"> </w:t>
      </w:r>
      <w:r w:rsidRPr="00E86F27">
        <w:t>provozu</w:t>
      </w:r>
      <w:r>
        <w:t xml:space="preserve"> </w:t>
      </w:r>
      <w:r w:rsidRPr="00E86F27">
        <w:t>přepravní</w:t>
      </w:r>
      <w:r>
        <w:t xml:space="preserve"> </w:t>
      </w:r>
      <w:r w:rsidRPr="00E86F27">
        <w:t>soustavy;</w:t>
      </w:r>
      <w:r>
        <w:t xml:space="preserve"> </w:t>
      </w:r>
      <w:r w:rsidRPr="00E86F27">
        <w:t>odmítnutí</w:t>
      </w:r>
      <w:r>
        <w:t xml:space="preserve"> </w:t>
      </w:r>
      <w:r w:rsidRPr="00E86F27">
        <w:t>přístupu</w:t>
      </w:r>
      <w:r>
        <w:t xml:space="preserve"> </w:t>
      </w:r>
      <w:r w:rsidRPr="00E86F27">
        <w:t>třetích</w:t>
      </w:r>
      <w:r>
        <w:t xml:space="preserve"> </w:t>
      </w:r>
      <w:r w:rsidRPr="00E86F27">
        <w:t>stran</w:t>
      </w:r>
      <w:r>
        <w:t xml:space="preserve"> </w:t>
      </w:r>
      <w:r w:rsidRPr="00E86F27">
        <w:t>k</w:t>
      </w:r>
      <w:r>
        <w:t xml:space="preserve"> </w:t>
      </w:r>
      <w:r w:rsidRPr="00E86F27">
        <w:t>přepravní</w:t>
      </w:r>
      <w:r>
        <w:t xml:space="preserve"> </w:t>
      </w:r>
      <w:r w:rsidRPr="00E86F27">
        <w:t>soustavě</w:t>
      </w:r>
      <w:r>
        <w:t xml:space="preserve"> </w:t>
      </w:r>
      <w:r w:rsidRPr="00E86F27">
        <w:t>musí</w:t>
      </w:r>
      <w:r>
        <w:t xml:space="preserve"> </w:t>
      </w:r>
      <w:r w:rsidRPr="00E86F27">
        <w:t>mít</w:t>
      </w:r>
      <w:r>
        <w:t xml:space="preserve"> </w:t>
      </w:r>
      <w:r w:rsidRPr="00E86F27">
        <w:t>písemnou</w:t>
      </w:r>
      <w:r>
        <w:t xml:space="preserve"> </w:t>
      </w:r>
      <w:r w:rsidRPr="00E86F27">
        <w:t>formu</w:t>
      </w:r>
      <w:r>
        <w:t xml:space="preserve"> </w:t>
      </w:r>
      <w:r w:rsidRPr="00E86F27">
        <w:t>a</w:t>
      </w:r>
      <w:r>
        <w:t xml:space="preserve"> </w:t>
      </w:r>
      <w:r w:rsidRPr="00E86F27">
        <w:t>musí</w:t>
      </w:r>
      <w:r>
        <w:t xml:space="preserve"> </w:t>
      </w:r>
      <w:r w:rsidRPr="00E86F27">
        <w:t>být</w:t>
      </w:r>
      <w:r>
        <w:t xml:space="preserve"> </w:t>
      </w:r>
      <w:r w:rsidRPr="00E86F27">
        <w:t>odůvodněno,</w:t>
      </w:r>
    </w:p>
    <w:p w14:paraId="65378184" w14:textId="77777777" w:rsidR="001E38CA" w:rsidRDefault="001E38CA" w:rsidP="002E6AEA">
      <w:pPr>
        <w:pStyle w:val="Textparagrafu"/>
        <w:tabs>
          <w:tab w:val="left" w:pos="392"/>
          <w:tab w:val="left" w:pos="840"/>
        </w:tabs>
        <w:spacing w:before="0"/>
        <w:ind w:left="426" w:hanging="426"/>
      </w:pPr>
      <w:r w:rsidRPr="00E86F27">
        <w:t>e)</w:t>
      </w:r>
      <w:r>
        <w:tab/>
      </w:r>
      <w:r w:rsidRPr="00E86F27">
        <w:t>zajišťovat</w:t>
      </w:r>
      <w:r>
        <w:t xml:space="preserve"> </w:t>
      </w:r>
      <w:r w:rsidRPr="00E86F27">
        <w:t>neznevýhodňující</w:t>
      </w:r>
      <w:r>
        <w:t xml:space="preserve"> </w:t>
      </w:r>
      <w:r w:rsidRPr="00E86F27">
        <w:t>podmínky</w:t>
      </w:r>
      <w:r>
        <w:t xml:space="preserve"> </w:t>
      </w:r>
      <w:r w:rsidRPr="00E86F27">
        <w:t>pro</w:t>
      </w:r>
      <w:r>
        <w:t xml:space="preserve"> </w:t>
      </w:r>
      <w:r w:rsidRPr="00E86F27">
        <w:t>připojení</w:t>
      </w:r>
      <w:r>
        <w:t xml:space="preserve"> </w:t>
      </w:r>
      <w:r w:rsidRPr="00E86F27">
        <w:t>a</w:t>
      </w:r>
      <w:r>
        <w:t xml:space="preserve"> </w:t>
      </w:r>
      <w:r w:rsidRPr="00E86F27">
        <w:t>přístup</w:t>
      </w:r>
      <w:r>
        <w:t xml:space="preserve"> </w:t>
      </w:r>
      <w:r w:rsidRPr="00E86F27">
        <w:t>třetích</w:t>
      </w:r>
      <w:r>
        <w:t xml:space="preserve"> </w:t>
      </w:r>
      <w:r w:rsidRPr="00E86F27">
        <w:t>stran</w:t>
      </w:r>
      <w:r>
        <w:t xml:space="preserve"> </w:t>
      </w:r>
      <w:r w:rsidRPr="00E86F27">
        <w:t>k</w:t>
      </w:r>
      <w:r>
        <w:t xml:space="preserve"> </w:t>
      </w:r>
      <w:r w:rsidRPr="00E86F27">
        <w:t>přepravní</w:t>
      </w:r>
      <w:r>
        <w:t xml:space="preserve"> </w:t>
      </w:r>
      <w:r w:rsidRPr="00E86F27">
        <w:t>soustavě</w:t>
      </w:r>
      <w:r>
        <w:t xml:space="preserve"> </w:t>
      </w:r>
      <w:r w:rsidRPr="00E86F27">
        <w:t>za</w:t>
      </w:r>
      <w:r>
        <w:t xml:space="preserve"> </w:t>
      </w:r>
      <w:r w:rsidRPr="00E86F27">
        <w:t>podmínek</w:t>
      </w:r>
      <w:r>
        <w:t xml:space="preserve"> </w:t>
      </w:r>
      <w:r w:rsidRPr="00E86F27">
        <w:t>stanovených</w:t>
      </w:r>
      <w:r>
        <w:t xml:space="preserve"> </w:t>
      </w:r>
      <w:r w:rsidRPr="00E86F27">
        <w:t>tímto</w:t>
      </w:r>
      <w:r>
        <w:t xml:space="preserve"> </w:t>
      </w:r>
      <w:r w:rsidRPr="00E86F27">
        <w:t>zákonem,</w:t>
      </w:r>
    </w:p>
    <w:p w14:paraId="1D709340" w14:textId="77777777" w:rsidR="001E38CA" w:rsidRDefault="001E38CA" w:rsidP="002E6AEA">
      <w:pPr>
        <w:pStyle w:val="Textparagrafu"/>
        <w:tabs>
          <w:tab w:val="left" w:pos="392"/>
          <w:tab w:val="left" w:pos="840"/>
        </w:tabs>
        <w:spacing w:before="0"/>
        <w:ind w:left="426" w:hanging="426"/>
      </w:pPr>
      <w:r w:rsidRPr="00E86F27">
        <w:t>f)</w:t>
      </w:r>
      <w:r>
        <w:tab/>
      </w:r>
      <w:r w:rsidRPr="00E86F27">
        <w:t>zajišťovat</w:t>
      </w:r>
      <w:r>
        <w:t xml:space="preserve"> </w:t>
      </w:r>
      <w:r w:rsidRPr="00E86F27">
        <w:t>měření</w:t>
      </w:r>
      <w:r>
        <w:t xml:space="preserve"> </w:t>
      </w:r>
      <w:r w:rsidRPr="00E86F27">
        <w:t>plynu</w:t>
      </w:r>
      <w:r>
        <w:t xml:space="preserve"> </w:t>
      </w:r>
      <w:r w:rsidRPr="00E86F27">
        <w:t>v</w:t>
      </w:r>
      <w:r>
        <w:t xml:space="preserve"> </w:t>
      </w:r>
      <w:r w:rsidRPr="00E86F27">
        <w:t>přepravní</w:t>
      </w:r>
      <w:r>
        <w:t xml:space="preserve"> </w:t>
      </w:r>
      <w:r w:rsidRPr="00E86F27">
        <w:t>soustavě</w:t>
      </w:r>
      <w:r>
        <w:t xml:space="preserve"> </w:t>
      </w:r>
      <w:r w:rsidRPr="00E86F27">
        <w:t>včetně</w:t>
      </w:r>
      <w:r>
        <w:t xml:space="preserve"> </w:t>
      </w:r>
      <w:r w:rsidRPr="00E86F27">
        <w:t>vyhodnocování</w:t>
      </w:r>
      <w:r>
        <w:t xml:space="preserve"> </w:t>
      </w:r>
      <w:r w:rsidRPr="00E86F27">
        <w:t>a</w:t>
      </w:r>
      <w:r>
        <w:t xml:space="preserve"> </w:t>
      </w:r>
      <w:r w:rsidRPr="00E86F27">
        <w:t>předávat</w:t>
      </w:r>
      <w:r>
        <w:t xml:space="preserve"> </w:t>
      </w:r>
      <w:r w:rsidRPr="00E86F27">
        <w:t>operátorovi</w:t>
      </w:r>
      <w:r>
        <w:t xml:space="preserve"> </w:t>
      </w:r>
      <w:r w:rsidRPr="00E86F27">
        <w:t>trhu</w:t>
      </w:r>
      <w:r>
        <w:t xml:space="preserve"> </w:t>
      </w:r>
      <w:r w:rsidRPr="00E86F27">
        <w:t>a</w:t>
      </w:r>
      <w:r>
        <w:t xml:space="preserve"> </w:t>
      </w:r>
      <w:r w:rsidRPr="00E86F27">
        <w:t>účastníkům</w:t>
      </w:r>
      <w:r>
        <w:t xml:space="preserve"> </w:t>
      </w:r>
      <w:r w:rsidRPr="00E86F27">
        <w:t>trhu</w:t>
      </w:r>
      <w:r>
        <w:t xml:space="preserve"> </w:t>
      </w:r>
      <w:r w:rsidRPr="00E86F27">
        <w:t>s</w:t>
      </w:r>
      <w:r>
        <w:t xml:space="preserve"> </w:t>
      </w:r>
      <w:r w:rsidRPr="00E86F27">
        <w:t>plynem,</w:t>
      </w:r>
      <w:r>
        <w:t xml:space="preserve"> </w:t>
      </w:r>
      <w:r w:rsidRPr="00E86F27">
        <w:t>kterým</w:t>
      </w:r>
      <w:r>
        <w:t xml:space="preserve"> </w:t>
      </w:r>
      <w:r w:rsidRPr="00E86F27">
        <w:t>poskytuje</w:t>
      </w:r>
      <w:r>
        <w:t xml:space="preserve"> </w:t>
      </w:r>
      <w:r w:rsidRPr="00E86F27">
        <w:t>službu</w:t>
      </w:r>
      <w:r>
        <w:t xml:space="preserve"> </w:t>
      </w:r>
      <w:r w:rsidRPr="00E86F27">
        <w:t>přepravy</w:t>
      </w:r>
      <w:r>
        <w:t xml:space="preserve"> </w:t>
      </w:r>
      <w:r w:rsidRPr="00E86F27">
        <w:t>plynu,</w:t>
      </w:r>
      <w:r>
        <w:t xml:space="preserve"> </w:t>
      </w:r>
      <w:r w:rsidRPr="00E86F27">
        <w:t>naměřené</w:t>
      </w:r>
      <w:r>
        <w:t xml:space="preserve"> </w:t>
      </w:r>
      <w:r w:rsidRPr="00E86F27">
        <w:t>a</w:t>
      </w:r>
      <w:r>
        <w:t xml:space="preserve"> </w:t>
      </w:r>
      <w:r w:rsidRPr="00E86F27">
        <w:t>vyhodnocené</w:t>
      </w:r>
      <w:r>
        <w:t xml:space="preserve"> </w:t>
      </w:r>
      <w:r w:rsidRPr="00E86F27">
        <w:t>údaje,</w:t>
      </w:r>
    </w:p>
    <w:p w14:paraId="02CDC01E" w14:textId="77777777" w:rsidR="001E38CA" w:rsidRDefault="001E38CA" w:rsidP="002E6AEA">
      <w:pPr>
        <w:pStyle w:val="Textparagrafu"/>
        <w:tabs>
          <w:tab w:val="left" w:pos="392"/>
          <w:tab w:val="left" w:pos="840"/>
        </w:tabs>
        <w:spacing w:before="0"/>
        <w:ind w:left="426" w:hanging="426"/>
      </w:pPr>
      <w:r w:rsidRPr="00E86F27">
        <w:t>g)</w:t>
      </w:r>
      <w:r>
        <w:tab/>
      </w:r>
      <w:r w:rsidRPr="00E86F27">
        <w:t>poskytovat</w:t>
      </w:r>
      <w:r>
        <w:t xml:space="preserve"> </w:t>
      </w:r>
      <w:r w:rsidRPr="00E86F27">
        <w:t>provozovatelům</w:t>
      </w:r>
      <w:r>
        <w:t xml:space="preserve"> </w:t>
      </w:r>
      <w:r w:rsidRPr="00E86F27">
        <w:t>distribučních</w:t>
      </w:r>
      <w:r>
        <w:t xml:space="preserve"> </w:t>
      </w:r>
      <w:r w:rsidRPr="00E86F27">
        <w:t>soustav,</w:t>
      </w:r>
      <w:r>
        <w:t xml:space="preserve"> </w:t>
      </w:r>
      <w:r w:rsidRPr="00E86F27">
        <w:t>se</w:t>
      </w:r>
      <w:r>
        <w:t xml:space="preserve"> </w:t>
      </w:r>
      <w:r w:rsidRPr="00E86F27">
        <w:t>kterými</w:t>
      </w:r>
      <w:r>
        <w:t xml:space="preserve"> </w:t>
      </w:r>
      <w:r w:rsidRPr="00E86F27">
        <w:t>je</w:t>
      </w:r>
      <w:r>
        <w:t xml:space="preserve"> </w:t>
      </w:r>
      <w:r w:rsidRPr="00E86F27">
        <w:t>jeho</w:t>
      </w:r>
      <w:r>
        <w:t xml:space="preserve"> </w:t>
      </w:r>
      <w:r w:rsidRPr="00E86F27">
        <w:t>soustava</w:t>
      </w:r>
      <w:r>
        <w:t xml:space="preserve"> </w:t>
      </w:r>
      <w:r w:rsidRPr="00E86F27">
        <w:t>propojena,</w:t>
      </w:r>
      <w:r>
        <w:t xml:space="preserve"> </w:t>
      </w:r>
      <w:r w:rsidRPr="00E86F27">
        <w:t>informace</w:t>
      </w:r>
      <w:r>
        <w:t xml:space="preserve"> </w:t>
      </w:r>
      <w:r w:rsidRPr="00E86F27">
        <w:t>nezbytné</w:t>
      </w:r>
      <w:r>
        <w:t xml:space="preserve"> </w:t>
      </w:r>
      <w:r w:rsidRPr="00E86F27">
        <w:t>k</w:t>
      </w:r>
      <w:r>
        <w:t xml:space="preserve"> </w:t>
      </w:r>
      <w:r w:rsidRPr="00E86F27">
        <w:t>zajištění</w:t>
      </w:r>
      <w:r>
        <w:t xml:space="preserve"> </w:t>
      </w:r>
      <w:r w:rsidRPr="00E86F27">
        <w:t>vzájemné</w:t>
      </w:r>
      <w:r>
        <w:t xml:space="preserve"> </w:t>
      </w:r>
      <w:r w:rsidRPr="00E86F27">
        <w:t>provozuschopnosti</w:t>
      </w:r>
      <w:r>
        <w:t xml:space="preserve"> </w:t>
      </w:r>
      <w:r w:rsidRPr="00E86F27">
        <w:t>soustav,</w:t>
      </w:r>
    </w:p>
    <w:p w14:paraId="2A4FE56A" w14:textId="77777777" w:rsidR="001E38CA" w:rsidRDefault="001E38CA" w:rsidP="002E6AEA">
      <w:pPr>
        <w:pStyle w:val="Textparagrafu"/>
        <w:tabs>
          <w:tab w:val="left" w:pos="392"/>
          <w:tab w:val="left" w:pos="840"/>
        </w:tabs>
        <w:spacing w:before="0"/>
        <w:ind w:left="426" w:hanging="426"/>
      </w:pPr>
      <w:r w:rsidRPr="00E86F27">
        <w:lastRenderedPageBreak/>
        <w:t>h)</w:t>
      </w:r>
      <w:r>
        <w:tab/>
      </w:r>
      <w:r w:rsidRPr="00E86F27">
        <w:t>dodržovat</w:t>
      </w:r>
      <w:r>
        <w:t xml:space="preserve"> </w:t>
      </w:r>
      <w:r w:rsidRPr="00E86F27">
        <w:t>stanovenou</w:t>
      </w:r>
      <w:r>
        <w:t xml:space="preserve"> </w:t>
      </w:r>
      <w:r w:rsidRPr="00E86F27">
        <w:t>kvalitu</w:t>
      </w:r>
      <w:r>
        <w:t xml:space="preserve"> </w:t>
      </w:r>
      <w:r w:rsidRPr="00E86F27">
        <w:t>dodávek</w:t>
      </w:r>
      <w:r>
        <w:t xml:space="preserve"> </w:t>
      </w:r>
      <w:r w:rsidRPr="00E86F27">
        <w:t>a</w:t>
      </w:r>
      <w:r>
        <w:t xml:space="preserve"> </w:t>
      </w:r>
      <w:r w:rsidRPr="00E86F27">
        <w:t>služeb,</w:t>
      </w:r>
      <w:r>
        <w:t xml:space="preserve"> </w:t>
      </w:r>
      <w:r w:rsidRPr="00E86F27">
        <w:t>vykazovat</w:t>
      </w:r>
      <w:r>
        <w:t xml:space="preserve"> </w:t>
      </w:r>
      <w:r w:rsidRPr="00E86F27">
        <w:t>Energetickému</w:t>
      </w:r>
      <w:r>
        <w:t xml:space="preserve"> </w:t>
      </w:r>
      <w:r w:rsidRPr="00E86F27">
        <w:t>regulačnímu</w:t>
      </w:r>
      <w:r>
        <w:t xml:space="preserve"> </w:t>
      </w:r>
      <w:r w:rsidRPr="00E86F27">
        <w:t>úřadu</w:t>
      </w:r>
      <w:r>
        <w:t xml:space="preserve"> </w:t>
      </w:r>
      <w:r w:rsidRPr="00E86F27">
        <w:t>úroveň</w:t>
      </w:r>
      <w:r>
        <w:t xml:space="preserve"> </w:t>
      </w:r>
      <w:r w:rsidRPr="00E86F27">
        <w:t>kvality</w:t>
      </w:r>
      <w:r>
        <w:t xml:space="preserve"> </w:t>
      </w:r>
      <w:r w:rsidRPr="00E86F27">
        <w:t>dodávek</w:t>
      </w:r>
      <w:r>
        <w:t xml:space="preserve"> </w:t>
      </w:r>
      <w:r w:rsidRPr="00E86F27">
        <w:t>a</w:t>
      </w:r>
      <w:r>
        <w:t xml:space="preserve"> </w:t>
      </w:r>
      <w:r w:rsidRPr="00E86F27">
        <w:t>služeb</w:t>
      </w:r>
      <w:r>
        <w:t xml:space="preserve"> </w:t>
      </w:r>
      <w:r w:rsidRPr="00E86F27">
        <w:t>a</w:t>
      </w:r>
      <w:r>
        <w:t xml:space="preserve"> </w:t>
      </w:r>
      <w:r w:rsidRPr="00E86F27">
        <w:t>zveřejňovat</w:t>
      </w:r>
      <w:r>
        <w:t xml:space="preserve"> </w:t>
      </w:r>
      <w:r w:rsidRPr="00E86F27">
        <w:t>ji</w:t>
      </w:r>
      <w:r>
        <w:t xml:space="preserve"> </w:t>
      </w:r>
      <w:r w:rsidRPr="00E86F27">
        <w:t>způsobem</w:t>
      </w:r>
      <w:r>
        <w:t xml:space="preserve"> </w:t>
      </w:r>
      <w:r w:rsidRPr="00E86F27">
        <w:t>umožňujícím</w:t>
      </w:r>
      <w:r>
        <w:t xml:space="preserve"> </w:t>
      </w:r>
      <w:r w:rsidRPr="00E86F27">
        <w:t>dálkový</w:t>
      </w:r>
      <w:r>
        <w:t xml:space="preserve"> </w:t>
      </w:r>
      <w:r w:rsidRPr="00E86F27">
        <w:t>přístup,</w:t>
      </w:r>
    </w:p>
    <w:p w14:paraId="5620D4EC" w14:textId="77777777" w:rsidR="001E38CA" w:rsidRDefault="001E38CA" w:rsidP="002E6AEA">
      <w:pPr>
        <w:pStyle w:val="Textparagrafu"/>
        <w:tabs>
          <w:tab w:val="left" w:pos="392"/>
          <w:tab w:val="left" w:pos="840"/>
        </w:tabs>
        <w:spacing w:before="0"/>
        <w:ind w:left="426" w:hanging="426"/>
      </w:pPr>
      <w:r w:rsidRPr="00E86F27">
        <w:t>i)</w:t>
      </w:r>
      <w:r>
        <w:tab/>
      </w:r>
      <w:r w:rsidRPr="00E86F27">
        <w:t>zpracovávat</w:t>
      </w:r>
      <w:r>
        <w:t xml:space="preserve"> </w:t>
      </w:r>
      <w:r w:rsidRPr="00E86F27">
        <w:t>a</w:t>
      </w:r>
      <w:r>
        <w:t xml:space="preserve"> </w:t>
      </w:r>
      <w:r w:rsidRPr="00E86F27">
        <w:t>předávat</w:t>
      </w:r>
      <w:r>
        <w:t xml:space="preserve"> </w:t>
      </w:r>
      <w:r w:rsidRPr="00E86F27">
        <w:t>Energetickému</w:t>
      </w:r>
      <w:r>
        <w:t xml:space="preserve"> </w:t>
      </w:r>
      <w:r w:rsidRPr="00E86F27">
        <w:t>regulačnímu</w:t>
      </w:r>
      <w:r>
        <w:t xml:space="preserve"> </w:t>
      </w:r>
      <w:r w:rsidRPr="00E86F27">
        <w:t>úřadu</w:t>
      </w:r>
      <w:r>
        <w:t xml:space="preserve"> </w:t>
      </w:r>
      <w:r w:rsidRPr="00E86F27">
        <w:t>údaje</w:t>
      </w:r>
      <w:r>
        <w:t xml:space="preserve"> </w:t>
      </w:r>
      <w:r w:rsidRPr="00E86F27">
        <w:t>potřebné</w:t>
      </w:r>
      <w:r>
        <w:t xml:space="preserve"> </w:t>
      </w:r>
      <w:r w:rsidRPr="00E86F27">
        <w:t>pro</w:t>
      </w:r>
      <w:r>
        <w:t xml:space="preserve"> </w:t>
      </w:r>
      <w:r w:rsidRPr="00E86F27">
        <w:t>rozhodnutí</w:t>
      </w:r>
      <w:r>
        <w:t xml:space="preserve"> </w:t>
      </w:r>
      <w:r w:rsidRPr="00E86F27">
        <w:t>o</w:t>
      </w:r>
      <w:r>
        <w:t xml:space="preserve"> </w:t>
      </w:r>
      <w:r w:rsidRPr="00E86F27">
        <w:t>cenách</w:t>
      </w:r>
      <w:r>
        <w:t xml:space="preserve"> </w:t>
      </w:r>
      <w:r w:rsidRPr="00E86F27">
        <w:t>za</w:t>
      </w:r>
      <w:r>
        <w:t xml:space="preserve"> </w:t>
      </w:r>
      <w:r w:rsidRPr="00E86F27">
        <w:t>přepravu</w:t>
      </w:r>
      <w:r>
        <w:t xml:space="preserve"> </w:t>
      </w:r>
      <w:r w:rsidRPr="00E86F27">
        <w:t>plynu,</w:t>
      </w:r>
    </w:p>
    <w:p w14:paraId="4495422B" w14:textId="77777777" w:rsidR="001E38CA" w:rsidRDefault="001E38CA" w:rsidP="002E6AEA">
      <w:pPr>
        <w:pStyle w:val="Textparagrafu"/>
        <w:tabs>
          <w:tab w:val="left" w:pos="392"/>
          <w:tab w:val="left" w:pos="840"/>
        </w:tabs>
        <w:spacing w:before="0"/>
        <w:ind w:left="426" w:hanging="426"/>
      </w:pPr>
      <w:r w:rsidRPr="00E86F27">
        <w:t>j)</w:t>
      </w:r>
      <w:r>
        <w:tab/>
      </w:r>
      <w:r w:rsidRPr="00E86F27">
        <w:t>vést</w:t>
      </w:r>
      <w:r>
        <w:t xml:space="preserve"> </w:t>
      </w:r>
      <w:r w:rsidRPr="00E86F27">
        <w:t>samostatné</w:t>
      </w:r>
      <w:r>
        <w:t xml:space="preserve"> </w:t>
      </w:r>
      <w:r w:rsidRPr="00E86F27">
        <w:t>účty</w:t>
      </w:r>
      <w:r>
        <w:t xml:space="preserve"> </w:t>
      </w:r>
      <w:r w:rsidRPr="00E86F27">
        <w:t>za</w:t>
      </w:r>
      <w:r>
        <w:t xml:space="preserve"> </w:t>
      </w:r>
      <w:r w:rsidRPr="00E86F27">
        <w:t>službu</w:t>
      </w:r>
      <w:r>
        <w:t xml:space="preserve"> </w:t>
      </w:r>
      <w:r w:rsidRPr="00E86F27">
        <w:t>přepravy</w:t>
      </w:r>
      <w:r>
        <w:t xml:space="preserve"> </w:t>
      </w:r>
      <w:r w:rsidRPr="00E86F27">
        <w:t>plynu,</w:t>
      </w:r>
      <w:r>
        <w:t xml:space="preserve"> </w:t>
      </w:r>
      <w:r w:rsidRPr="00E86F27">
        <w:t>a</w:t>
      </w:r>
      <w:r>
        <w:t xml:space="preserve"> </w:t>
      </w:r>
      <w:r w:rsidRPr="00E86F27">
        <w:t>to</w:t>
      </w:r>
      <w:r>
        <w:t xml:space="preserve"> </w:t>
      </w:r>
      <w:r w:rsidRPr="00E86F27">
        <w:t>pro</w:t>
      </w:r>
      <w:r>
        <w:t xml:space="preserve"> </w:t>
      </w:r>
      <w:r w:rsidRPr="00E86F27">
        <w:t>účely</w:t>
      </w:r>
      <w:r>
        <w:t xml:space="preserve"> </w:t>
      </w:r>
      <w:r w:rsidRPr="00E86F27">
        <w:t>regulace,</w:t>
      </w:r>
    </w:p>
    <w:p w14:paraId="2D183CB2" w14:textId="77777777" w:rsidR="001E38CA" w:rsidRDefault="001E38CA" w:rsidP="002E6AEA">
      <w:pPr>
        <w:pStyle w:val="Textparagrafu"/>
        <w:tabs>
          <w:tab w:val="left" w:pos="392"/>
          <w:tab w:val="left" w:pos="840"/>
        </w:tabs>
        <w:spacing w:before="0"/>
        <w:ind w:left="426" w:hanging="426"/>
      </w:pPr>
      <w:r w:rsidRPr="00E86F27">
        <w:t>k)</w:t>
      </w:r>
      <w:r>
        <w:tab/>
      </w:r>
      <w:r w:rsidRPr="00E86F27">
        <w:t>vypracovávat</w:t>
      </w:r>
      <w:r>
        <w:t xml:space="preserve"> </w:t>
      </w:r>
      <w:r w:rsidRPr="00E86F27">
        <w:t>denní,</w:t>
      </w:r>
      <w:r>
        <w:t xml:space="preserve"> </w:t>
      </w:r>
      <w:r w:rsidRPr="00E86F27">
        <w:t>měsíční,</w:t>
      </w:r>
      <w:r>
        <w:t xml:space="preserve"> </w:t>
      </w:r>
      <w:r w:rsidRPr="00E86F27">
        <w:t>roční</w:t>
      </w:r>
      <w:r>
        <w:t xml:space="preserve"> </w:t>
      </w:r>
      <w:r w:rsidRPr="00E86F27">
        <w:t>a</w:t>
      </w:r>
      <w:r>
        <w:t xml:space="preserve"> </w:t>
      </w:r>
      <w:r w:rsidRPr="00E86F27">
        <w:t>desetiletou</w:t>
      </w:r>
      <w:r>
        <w:t xml:space="preserve"> </w:t>
      </w:r>
      <w:r w:rsidRPr="00E86F27">
        <w:t>bilanci</w:t>
      </w:r>
      <w:r>
        <w:t xml:space="preserve"> </w:t>
      </w:r>
      <w:r w:rsidRPr="00E86F27">
        <w:t>přepravní</w:t>
      </w:r>
      <w:r>
        <w:t xml:space="preserve"> </w:t>
      </w:r>
      <w:r w:rsidRPr="00E86F27">
        <w:t>soustavy,</w:t>
      </w:r>
      <w:r>
        <w:t xml:space="preserve"> </w:t>
      </w:r>
      <w:r w:rsidRPr="00E86F27">
        <w:t>vyhodnocovat</w:t>
      </w:r>
      <w:r>
        <w:t xml:space="preserve"> </w:t>
      </w:r>
      <w:r w:rsidRPr="00E86F27">
        <w:t>ji</w:t>
      </w:r>
      <w:r>
        <w:t xml:space="preserve"> </w:t>
      </w:r>
      <w:r w:rsidRPr="00E86F27">
        <w:t>a</w:t>
      </w:r>
      <w:r>
        <w:t xml:space="preserve"> </w:t>
      </w:r>
      <w:r w:rsidRPr="00E86F27">
        <w:t>předávat</w:t>
      </w:r>
      <w:r>
        <w:t xml:space="preserve"> </w:t>
      </w:r>
      <w:r w:rsidRPr="00E86F27">
        <w:t>operátorovi</w:t>
      </w:r>
      <w:r>
        <w:t xml:space="preserve"> </w:t>
      </w:r>
      <w:r w:rsidRPr="00E86F27">
        <w:t>trhu,</w:t>
      </w:r>
    </w:p>
    <w:p w14:paraId="15DD40AC" w14:textId="77777777" w:rsidR="001E38CA" w:rsidRDefault="001E38CA" w:rsidP="002E6AEA">
      <w:pPr>
        <w:pStyle w:val="Textparagrafu"/>
        <w:tabs>
          <w:tab w:val="left" w:pos="392"/>
          <w:tab w:val="left" w:pos="840"/>
        </w:tabs>
        <w:spacing w:before="0"/>
        <w:ind w:left="426" w:hanging="426"/>
      </w:pPr>
      <w:r w:rsidRPr="00E86F27">
        <w:t>l)</w:t>
      </w:r>
      <w:r>
        <w:tab/>
      </w:r>
      <w:r w:rsidRPr="00E86F27">
        <w:t>vypracovat</w:t>
      </w:r>
      <w:r>
        <w:t xml:space="preserve"> </w:t>
      </w:r>
      <w:r w:rsidRPr="00E86F27">
        <w:t>do</w:t>
      </w:r>
      <w:r>
        <w:t xml:space="preserve"> </w:t>
      </w:r>
      <w:r w:rsidRPr="00E86F27">
        <w:t>6</w:t>
      </w:r>
      <w:r>
        <w:t xml:space="preserve"> </w:t>
      </w:r>
      <w:r w:rsidRPr="00E86F27">
        <w:t>měsíců</w:t>
      </w:r>
      <w:r>
        <w:t xml:space="preserve"> </w:t>
      </w:r>
      <w:r w:rsidRPr="00E86F27">
        <w:t>po</w:t>
      </w:r>
      <w:r>
        <w:t xml:space="preserve"> </w:t>
      </w:r>
      <w:r w:rsidRPr="00E86F27">
        <w:t>udělení</w:t>
      </w:r>
      <w:r>
        <w:t xml:space="preserve"> </w:t>
      </w:r>
      <w:r w:rsidRPr="00E86F27">
        <w:t>licence</w:t>
      </w:r>
      <w:r>
        <w:t xml:space="preserve"> </w:t>
      </w:r>
      <w:r w:rsidRPr="00E86F27">
        <w:t>na</w:t>
      </w:r>
      <w:r>
        <w:t xml:space="preserve"> </w:t>
      </w:r>
      <w:r w:rsidRPr="00E86F27">
        <w:t>přepravu</w:t>
      </w:r>
      <w:r>
        <w:t xml:space="preserve"> </w:t>
      </w:r>
      <w:r w:rsidRPr="00E86F27">
        <w:t>plynu</w:t>
      </w:r>
      <w:r>
        <w:t xml:space="preserve"> </w:t>
      </w:r>
      <w:r w:rsidRPr="00E86F27">
        <w:t>havarijní</w:t>
      </w:r>
      <w:r>
        <w:t xml:space="preserve"> </w:t>
      </w:r>
      <w:r w:rsidRPr="00E86F27">
        <w:t>plán</w:t>
      </w:r>
      <w:r>
        <w:t xml:space="preserve"> </w:t>
      </w:r>
      <w:r w:rsidRPr="00E86F27">
        <w:t>přepravní</w:t>
      </w:r>
      <w:r>
        <w:t xml:space="preserve"> </w:t>
      </w:r>
      <w:r w:rsidRPr="00E86F27">
        <w:t>soustavy,</w:t>
      </w:r>
      <w:r>
        <w:t xml:space="preserve"> </w:t>
      </w:r>
      <w:r w:rsidRPr="00E86F27">
        <w:t>zaslat</w:t>
      </w:r>
      <w:r>
        <w:t xml:space="preserve"> </w:t>
      </w:r>
      <w:r w:rsidRPr="00E86F27">
        <w:t>jej</w:t>
      </w:r>
      <w:r>
        <w:t xml:space="preserve"> </w:t>
      </w:r>
      <w:r w:rsidRPr="00E86F27">
        <w:t>ministerstvu</w:t>
      </w:r>
      <w:r>
        <w:t xml:space="preserve"> </w:t>
      </w:r>
      <w:r w:rsidRPr="00E86F27">
        <w:t>a</w:t>
      </w:r>
      <w:r>
        <w:t xml:space="preserve"> </w:t>
      </w:r>
      <w:r w:rsidRPr="00E86F27">
        <w:t>každoročně</w:t>
      </w:r>
      <w:r>
        <w:t xml:space="preserve"> </w:t>
      </w:r>
      <w:r w:rsidRPr="00E86F27">
        <w:t>jej</w:t>
      </w:r>
      <w:r>
        <w:t xml:space="preserve"> </w:t>
      </w:r>
      <w:r w:rsidRPr="00E86F27">
        <w:t>upřesňovat,</w:t>
      </w:r>
    </w:p>
    <w:p w14:paraId="6406CF50" w14:textId="77777777" w:rsidR="001E38CA" w:rsidRDefault="001E38CA" w:rsidP="002E6AEA">
      <w:pPr>
        <w:pStyle w:val="Textparagrafu"/>
        <w:tabs>
          <w:tab w:val="left" w:pos="392"/>
          <w:tab w:val="left" w:pos="840"/>
        </w:tabs>
        <w:spacing w:before="0"/>
        <w:ind w:left="426" w:hanging="426"/>
      </w:pPr>
      <w:r w:rsidRPr="00E86F27">
        <w:t>m)</w:t>
      </w:r>
      <w:r>
        <w:tab/>
      </w:r>
      <w:r w:rsidRPr="00E86F27">
        <w:t>oznamovat</w:t>
      </w:r>
      <w:r>
        <w:t xml:space="preserve"> </w:t>
      </w:r>
      <w:r w:rsidRPr="00E86F27">
        <w:t>v</w:t>
      </w:r>
      <w:r>
        <w:t xml:space="preserve"> </w:t>
      </w:r>
      <w:r w:rsidRPr="00E86F27">
        <w:t>dostatečném</w:t>
      </w:r>
      <w:r>
        <w:t xml:space="preserve"> </w:t>
      </w:r>
      <w:r w:rsidRPr="00E86F27">
        <w:t>předstihu</w:t>
      </w:r>
      <w:r>
        <w:t xml:space="preserve"> </w:t>
      </w:r>
      <w:r w:rsidRPr="00E86F27">
        <w:t>účastníkům</w:t>
      </w:r>
      <w:r>
        <w:t xml:space="preserve"> </w:t>
      </w:r>
      <w:r w:rsidRPr="00E86F27">
        <w:t>trhu,</w:t>
      </w:r>
      <w:r>
        <w:t xml:space="preserve"> </w:t>
      </w:r>
      <w:r w:rsidRPr="00E86F27">
        <w:t>jejichž</w:t>
      </w:r>
      <w:r>
        <w:t xml:space="preserve"> </w:t>
      </w:r>
      <w:r w:rsidRPr="00E86F27">
        <w:t>plynárenská</w:t>
      </w:r>
      <w:r>
        <w:t xml:space="preserve"> </w:t>
      </w:r>
      <w:r w:rsidRPr="00E86F27">
        <w:t>zařízení</w:t>
      </w:r>
      <w:r>
        <w:t xml:space="preserve"> </w:t>
      </w:r>
      <w:r w:rsidRPr="00E86F27">
        <w:t>jsou</w:t>
      </w:r>
      <w:r>
        <w:t xml:space="preserve"> </w:t>
      </w:r>
      <w:r w:rsidRPr="00E86F27">
        <w:t>přímo</w:t>
      </w:r>
      <w:r>
        <w:t xml:space="preserve"> </w:t>
      </w:r>
      <w:r w:rsidRPr="00E86F27">
        <w:t>připojena</w:t>
      </w:r>
      <w:r>
        <w:t xml:space="preserve"> </w:t>
      </w:r>
      <w:r w:rsidRPr="00E86F27">
        <w:t>k</w:t>
      </w:r>
      <w:r>
        <w:t xml:space="preserve"> </w:t>
      </w:r>
      <w:r w:rsidRPr="00E86F27">
        <w:t>přepravní</w:t>
      </w:r>
      <w:r>
        <w:t xml:space="preserve"> </w:t>
      </w:r>
      <w:r w:rsidRPr="00E86F27">
        <w:t>soustavě,</w:t>
      </w:r>
      <w:r>
        <w:t xml:space="preserve"> </w:t>
      </w:r>
      <w:r w:rsidRPr="00E86F27">
        <w:t>rozsah</w:t>
      </w:r>
      <w:r>
        <w:t xml:space="preserve"> </w:t>
      </w:r>
      <w:r w:rsidRPr="00E86F27">
        <w:t>a</w:t>
      </w:r>
      <w:r>
        <w:t xml:space="preserve"> </w:t>
      </w:r>
      <w:r w:rsidRPr="00E86F27">
        <w:t>termíny</w:t>
      </w:r>
      <w:r>
        <w:t xml:space="preserve"> </w:t>
      </w:r>
      <w:r w:rsidRPr="00E86F27">
        <w:t>odstávek</w:t>
      </w:r>
      <w:r>
        <w:t xml:space="preserve"> </w:t>
      </w:r>
      <w:r w:rsidRPr="00E86F27">
        <w:t>zařízení</w:t>
      </w:r>
      <w:r>
        <w:t xml:space="preserve"> </w:t>
      </w:r>
      <w:r w:rsidRPr="00E86F27">
        <w:t>pro</w:t>
      </w:r>
      <w:r>
        <w:t xml:space="preserve"> </w:t>
      </w:r>
      <w:r w:rsidRPr="00E86F27">
        <w:t>přepravu</w:t>
      </w:r>
      <w:r>
        <w:t xml:space="preserve"> </w:t>
      </w:r>
      <w:r w:rsidRPr="00E86F27">
        <w:t>plynu</w:t>
      </w:r>
      <w:r>
        <w:t xml:space="preserve"> </w:t>
      </w:r>
      <w:r w:rsidRPr="00E86F27">
        <w:t>a</w:t>
      </w:r>
      <w:r>
        <w:t xml:space="preserve"> </w:t>
      </w:r>
      <w:r w:rsidRPr="00E86F27">
        <w:t>upozorňovat</w:t>
      </w:r>
      <w:r>
        <w:t xml:space="preserve"> </w:t>
      </w:r>
      <w:r w:rsidRPr="00E86F27">
        <w:t>na</w:t>
      </w:r>
      <w:r>
        <w:t xml:space="preserve"> </w:t>
      </w:r>
      <w:r w:rsidRPr="00E86F27">
        <w:t>předpokládané</w:t>
      </w:r>
      <w:r>
        <w:t xml:space="preserve"> </w:t>
      </w:r>
      <w:r w:rsidRPr="00E86F27">
        <w:t>snížení</w:t>
      </w:r>
      <w:r>
        <w:t xml:space="preserve"> </w:t>
      </w:r>
      <w:r w:rsidRPr="00E86F27">
        <w:t>přepravní</w:t>
      </w:r>
      <w:r>
        <w:t xml:space="preserve"> </w:t>
      </w:r>
      <w:r w:rsidRPr="00E86F27">
        <w:t>kapacity,</w:t>
      </w:r>
    </w:p>
    <w:p w14:paraId="744C1F2E" w14:textId="77777777" w:rsidR="001E38CA" w:rsidRDefault="001E38CA" w:rsidP="002E6AEA">
      <w:pPr>
        <w:pStyle w:val="Textparagrafu"/>
        <w:tabs>
          <w:tab w:val="left" w:pos="392"/>
          <w:tab w:val="left" w:pos="840"/>
        </w:tabs>
        <w:spacing w:before="0"/>
        <w:ind w:left="426" w:hanging="426"/>
      </w:pPr>
      <w:r w:rsidRPr="00E86F27">
        <w:t>n)</w:t>
      </w:r>
      <w:r>
        <w:tab/>
      </w:r>
      <w:r w:rsidRPr="00E86F27">
        <w:t>zřídit</w:t>
      </w:r>
      <w:r>
        <w:t xml:space="preserve"> </w:t>
      </w:r>
      <w:r w:rsidRPr="00E86F27">
        <w:t>a</w:t>
      </w:r>
      <w:r>
        <w:t xml:space="preserve"> </w:t>
      </w:r>
      <w:r w:rsidRPr="00E86F27">
        <w:t>provozovat</w:t>
      </w:r>
      <w:r>
        <w:t xml:space="preserve"> </w:t>
      </w:r>
      <w:r w:rsidRPr="00E86F27">
        <w:t>technický</w:t>
      </w:r>
      <w:r>
        <w:t xml:space="preserve"> </w:t>
      </w:r>
      <w:r w:rsidRPr="00E86F27">
        <w:t>dispečink,</w:t>
      </w:r>
      <w:r>
        <w:t xml:space="preserve"> </w:t>
      </w:r>
      <w:r w:rsidRPr="00E86F27">
        <w:t>který</w:t>
      </w:r>
      <w:r>
        <w:t xml:space="preserve"> </w:t>
      </w:r>
      <w:r w:rsidRPr="00E86F27">
        <w:t>zajišťuje</w:t>
      </w:r>
      <w:r>
        <w:t xml:space="preserve"> </w:t>
      </w:r>
      <w:r w:rsidRPr="00E86F27">
        <w:t>dispečerské</w:t>
      </w:r>
      <w:r>
        <w:t xml:space="preserve"> </w:t>
      </w:r>
      <w:r w:rsidRPr="00E86F27">
        <w:t>řízení</w:t>
      </w:r>
      <w:r>
        <w:t xml:space="preserve"> </w:t>
      </w:r>
      <w:r w:rsidRPr="00E86F27">
        <w:t>přepravní</w:t>
      </w:r>
      <w:r>
        <w:t xml:space="preserve"> </w:t>
      </w:r>
      <w:r w:rsidRPr="00E86F27">
        <w:t>soustavy,</w:t>
      </w:r>
    </w:p>
    <w:p w14:paraId="27550FDD" w14:textId="77777777" w:rsidR="001E38CA" w:rsidRDefault="001E38CA" w:rsidP="002E6AEA">
      <w:pPr>
        <w:pStyle w:val="Textparagrafu"/>
        <w:tabs>
          <w:tab w:val="left" w:pos="392"/>
          <w:tab w:val="left" w:pos="840"/>
        </w:tabs>
        <w:spacing w:before="0"/>
        <w:ind w:left="426" w:hanging="426"/>
      </w:pPr>
      <w:r w:rsidRPr="00E86F27">
        <w:t>o)</w:t>
      </w:r>
      <w:r>
        <w:tab/>
      </w:r>
      <w:r w:rsidRPr="00E86F27">
        <w:t>zřídit</w:t>
      </w:r>
      <w:r>
        <w:t xml:space="preserve"> </w:t>
      </w:r>
      <w:r w:rsidRPr="00E86F27">
        <w:t>a</w:t>
      </w:r>
      <w:r>
        <w:t xml:space="preserve"> </w:t>
      </w:r>
      <w:r w:rsidRPr="00E86F27">
        <w:t>provozovat</w:t>
      </w:r>
      <w:r>
        <w:t xml:space="preserve"> </w:t>
      </w:r>
      <w:r w:rsidRPr="00E86F27">
        <w:t>místa</w:t>
      </w:r>
      <w:r>
        <w:t xml:space="preserve"> </w:t>
      </w:r>
      <w:r w:rsidRPr="00E86F27">
        <w:t>pro</w:t>
      </w:r>
      <w:r>
        <w:t xml:space="preserve"> </w:t>
      </w:r>
      <w:r w:rsidRPr="00E86F27">
        <w:t>sledování</w:t>
      </w:r>
      <w:r>
        <w:t xml:space="preserve"> </w:t>
      </w:r>
      <w:r w:rsidRPr="00E86F27">
        <w:t>kvality</w:t>
      </w:r>
      <w:r>
        <w:t xml:space="preserve"> </w:t>
      </w:r>
      <w:r w:rsidRPr="00E86F27">
        <w:t>plynu,</w:t>
      </w:r>
    </w:p>
    <w:p w14:paraId="054E5759" w14:textId="77777777" w:rsidR="001E38CA" w:rsidRDefault="001E38CA" w:rsidP="002E6AEA">
      <w:pPr>
        <w:pStyle w:val="Textparagrafu"/>
        <w:tabs>
          <w:tab w:val="left" w:pos="392"/>
          <w:tab w:val="left" w:pos="840"/>
        </w:tabs>
        <w:spacing w:before="0"/>
        <w:ind w:left="426" w:hanging="426"/>
      </w:pPr>
      <w:r w:rsidRPr="00E86F27">
        <w:t>p)</w:t>
      </w:r>
      <w:r>
        <w:tab/>
      </w:r>
      <w:r w:rsidRPr="00E86F27">
        <w:t>vytvořit</w:t>
      </w:r>
      <w:r>
        <w:t xml:space="preserve"> </w:t>
      </w:r>
      <w:r w:rsidRPr="00E86F27">
        <w:t>technické</w:t>
      </w:r>
      <w:r>
        <w:t xml:space="preserve"> </w:t>
      </w:r>
      <w:r w:rsidRPr="00E86F27">
        <w:t>podmínky</w:t>
      </w:r>
      <w:r>
        <w:t xml:space="preserve"> </w:t>
      </w:r>
      <w:r w:rsidRPr="00E86F27">
        <w:t>pro</w:t>
      </w:r>
      <w:r>
        <w:t xml:space="preserve"> </w:t>
      </w:r>
      <w:r w:rsidRPr="00E86F27">
        <w:t>zajištění</w:t>
      </w:r>
      <w:r>
        <w:t xml:space="preserve"> </w:t>
      </w:r>
      <w:r w:rsidRPr="00E86F27">
        <w:t>dovozu</w:t>
      </w:r>
      <w:r>
        <w:t xml:space="preserve"> </w:t>
      </w:r>
      <w:r w:rsidRPr="00E86F27">
        <w:t>plynu</w:t>
      </w:r>
      <w:r>
        <w:t xml:space="preserve"> </w:t>
      </w:r>
      <w:r w:rsidRPr="00E86F27">
        <w:t>z</w:t>
      </w:r>
      <w:r>
        <w:t xml:space="preserve"> </w:t>
      </w:r>
      <w:r w:rsidRPr="00E86F27">
        <w:t>různých</w:t>
      </w:r>
      <w:r>
        <w:t xml:space="preserve"> </w:t>
      </w:r>
      <w:r w:rsidRPr="00E86F27">
        <w:t>zdrojů,</w:t>
      </w:r>
    </w:p>
    <w:p w14:paraId="29799E71" w14:textId="77777777" w:rsidR="001E38CA" w:rsidRDefault="001E38CA" w:rsidP="002E6AEA">
      <w:pPr>
        <w:pStyle w:val="Textparagrafu"/>
        <w:tabs>
          <w:tab w:val="left" w:pos="392"/>
          <w:tab w:val="left" w:pos="840"/>
        </w:tabs>
        <w:spacing w:before="0"/>
        <w:ind w:left="426" w:hanging="426"/>
      </w:pPr>
      <w:r w:rsidRPr="00E86F27">
        <w:t>q)</w:t>
      </w:r>
      <w:r>
        <w:tab/>
      </w:r>
      <w:r w:rsidRPr="00E86F27">
        <w:t>řídit</w:t>
      </w:r>
      <w:r>
        <w:t xml:space="preserve"> </w:t>
      </w:r>
      <w:r w:rsidRPr="00E86F27">
        <w:t>plynárenskou</w:t>
      </w:r>
      <w:r>
        <w:t xml:space="preserve"> </w:t>
      </w:r>
      <w:r w:rsidRPr="00E86F27">
        <w:t>soustavu</w:t>
      </w:r>
      <w:r>
        <w:t xml:space="preserve"> </w:t>
      </w:r>
      <w:r w:rsidRPr="00E86F27">
        <w:t>České</w:t>
      </w:r>
      <w:r>
        <w:t xml:space="preserve"> </w:t>
      </w:r>
      <w:r w:rsidRPr="00E86F27">
        <w:t>republiky</w:t>
      </w:r>
      <w:r>
        <w:t xml:space="preserve"> </w:t>
      </w:r>
      <w:r w:rsidRPr="00E86F27">
        <w:t>za</w:t>
      </w:r>
      <w:r>
        <w:t xml:space="preserve"> </w:t>
      </w:r>
      <w:r w:rsidRPr="00E86F27">
        <w:t>stavu</w:t>
      </w:r>
      <w:r>
        <w:t xml:space="preserve"> </w:t>
      </w:r>
      <w:r w:rsidRPr="00E86F27">
        <w:t>nouze,</w:t>
      </w:r>
    </w:p>
    <w:p w14:paraId="39C015DD" w14:textId="77777777" w:rsidR="001E38CA" w:rsidRDefault="001E38CA" w:rsidP="002E6AEA">
      <w:pPr>
        <w:pStyle w:val="Textparagrafu"/>
        <w:tabs>
          <w:tab w:val="left" w:pos="392"/>
          <w:tab w:val="left" w:pos="840"/>
        </w:tabs>
        <w:spacing w:before="0"/>
        <w:ind w:left="426" w:hanging="426"/>
      </w:pPr>
      <w:r w:rsidRPr="00E86F27">
        <w:t>r)</w:t>
      </w:r>
      <w:r>
        <w:tab/>
      </w:r>
      <w:r w:rsidRPr="00E86F27">
        <w:t>zajišťovat</w:t>
      </w:r>
      <w:r>
        <w:t xml:space="preserve"> </w:t>
      </w:r>
      <w:r w:rsidRPr="00E86F27">
        <w:t>ochranu</w:t>
      </w:r>
      <w:r>
        <w:t xml:space="preserve"> </w:t>
      </w:r>
      <w:r w:rsidRPr="00E86F27">
        <w:t>chráněných</w:t>
      </w:r>
      <w:r>
        <w:t xml:space="preserve"> </w:t>
      </w:r>
      <w:r w:rsidRPr="00E86F27">
        <w:t>informací</w:t>
      </w:r>
      <w:r>
        <w:t xml:space="preserve"> </w:t>
      </w:r>
      <w:r w:rsidRPr="00E86F27">
        <w:t>a</w:t>
      </w:r>
      <w:r>
        <w:t xml:space="preserve"> </w:t>
      </w:r>
      <w:r w:rsidRPr="00E86F27">
        <w:t>zajišťovat,</w:t>
      </w:r>
      <w:r>
        <w:t xml:space="preserve"> </w:t>
      </w:r>
      <w:r w:rsidRPr="00E86F27">
        <w:t>aby</w:t>
      </w:r>
      <w:r>
        <w:t xml:space="preserve"> </w:t>
      </w:r>
      <w:r w:rsidRPr="00E86F27">
        <w:t>nebyly</w:t>
      </w:r>
      <w:r>
        <w:t xml:space="preserve"> </w:t>
      </w:r>
      <w:r w:rsidRPr="00E86F27">
        <w:t>chráněné</w:t>
      </w:r>
      <w:r>
        <w:t xml:space="preserve"> </w:t>
      </w:r>
      <w:r w:rsidRPr="00E86F27">
        <w:t>informace</w:t>
      </w:r>
      <w:r>
        <w:t xml:space="preserve"> </w:t>
      </w:r>
      <w:r w:rsidRPr="00E86F27">
        <w:t>o</w:t>
      </w:r>
      <w:r>
        <w:t xml:space="preserve"> </w:t>
      </w:r>
      <w:r w:rsidRPr="00E86F27">
        <w:t>jeho</w:t>
      </w:r>
      <w:r>
        <w:t xml:space="preserve"> </w:t>
      </w:r>
      <w:r w:rsidRPr="00E86F27">
        <w:t>vlastních</w:t>
      </w:r>
      <w:r>
        <w:t xml:space="preserve"> </w:t>
      </w:r>
      <w:r w:rsidRPr="00E86F27">
        <w:t>činnostech</w:t>
      </w:r>
      <w:r>
        <w:t xml:space="preserve"> </w:t>
      </w:r>
      <w:r w:rsidRPr="00E86F27">
        <w:t>poskytovány</w:t>
      </w:r>
      <w:r>
        <w:t xml:space="preserve"> </w:t>
      </w:r>
      <w:r w:rsidRPr="00E86F27">
        <w:t>diskriminačním</w:t>
      </w:r>
      <w:r>
        <w:t xml:space="preserve"> </w:t>
      </w:r>
      <w:r w:rsidRPr="00E86F27">
        <w:t>způsobem,</w:t>
      </w:r>
    </w:p>
    <w:p w14:paraId="19139DB3" w14:textId="77777777" w:rsidR="001E38CA" w:rsidRDefault="001E38CA" w:rsidP="002E6AEA">
      <w:pPr>
        <w:pStyle w:val="Textparagrafu"/>
        <w:tabs>
          <w:tab w:val="left" w:pos="392"/>
          <w:tab w:val="left" w:pos="840"/>
        </w:tabs>
        <w:spacing w:before="0"/>
        <w:ind w:left="426" w:hanging="426"/>
      </w:pPr>
      <w:r w:rsidRPr="00E86F27">
        <w:t>s)</w:t>
      </w:r>
      <w:r>
        <w:tab/>
      </w:r>
      <w:r w:rsidRPr="00E86F27">
        <w:t>každoročně</w:t>
      </w:r>
      <w:r>
        <w:t xml:space="preserve"> </w:t>
      </w:r>
      <w:r w:rsidRPr="00E86F27">
        <w:t>zpracovávat</w:t>
      </w:r>
      <w:r>
        <w:t xml:space="preserve"> </w:t>
      </w:r>
      <w:r w:rsidRPr="00E86F27">
        <w:t>desetiletý</w:t>
      </w:r>
      <w:r>
        <w:t xml:space="preserve"> </w:t>
      </w:r>
      <w:r w:rsidRPr="00E86F27">
        <w:t>plán</w:t>
      </w:r>
      <w:r>
        <w:t xml:space="preserve"> </w:t>
      </w:r>
      <w:r w:rsidRPr="00E86F27">
        <w:t>rozvoje</w:t>
      </w:r>
      <w:r>
        <w:t xml:space="preserve"> </w:t>
      </w:r>
      <w:r w:rsidRPr="00E86F27">
        <w:t>přepravní</w:t>
      </w:r>
      <w:r>
        <w:t xml:space="preserve"> </w:t>
      </w:r>
      <w:r w:rsidRPr="00E86F27">
        <w:t>soustavy</w:t>
      </w:r>
      <w:r>
        <w:t xml:space="preserve"> </w:t>
      </w:r>
      <w:r w:rsidRPr="00E86F27">
        <w:t>v</w:t>
      </w:r>
      <w:r>
        <w:t xml:space="preserve"> </w:t>
      </w:r>
      <w:r w:rsidRPr="00E86F27">
        <w:t>rozsahu</w:t>
      </w:r>
      <w:r>
        <w:t xml:space="preserve"> </w:t>
      </w:r>
      <w:r w:rsidRPr="00E86F27">
        <w:t>podle</w:t>
      </w:r>
      <w:r>
        <w:t xml:space="preserve"> </w:t>
      </w:r>
      <w:r w:rsidRPr="00E86F27">
        <w:t>§</w:t>
      </w:r>
      <w:r>
        <w:t xml:space="preserve"> </w:t>
      </w:r>
      <w:r w:rsidRPr="00E86F27">
        <w:t>58k</w:t>
      </w:r>
      <w:r>
        <w:t xml:space="preserve"> </w:t>
      </w:r>
      <w:r w:rsidRPr="00E86F27">
        <w:t>odst.</w:t>
      </w:r>
      <w:r>
        <w:t xml:space="preserve"> </w:t>
      </w:r>
      <w:r w:rsidRPr="00E86F27">
        <w:t>3</w:t>
      </w:r>
      <w:r>
        <w:t xml:space="preserve"> </w:t>
      </w:r>
      <w:r w:rsidRPr="00E86F27">
        <w:t>a</w:t>
      </w:r>
      <w:r>
        <w:t xml:space="preserve"> </w:t>
      </w:r>
      <w:r w:rsidRPr="00E86F27">
        <w:t>po</w:t>
      </w:r>
      <w:r>
        <w:t xml:space="preserve"> </w:t>
      </w:r>
      <w:r w:rsidRPr="00E86F27">
        <w:t>jeho</w:t>
      </w:r>
      <w:r>
        <w:t xml:space="preserve"> </w:t>
      </w:r>
      <w:r w:rsidRPr="00E86F27">
        <w:t>schválení</w:t>
      </w:r>
      <w:r>
        <w:t xml:space="preserve"> </w:t>
      </w:r>
      <w:r w:rsidRPr="00E86F27">
        <w:t>jej</w:t>
      </w:r>
      <w:r>
        <w:t xml:space="preserve"> </w:t>
      </w:r>
      <w:r w:rsidRPr="00E86F27">
        <w:t>zveřejňovat;</w:t>
      </w:r>
      <w:r>
        <w:t xml:space="preserve"> </w:t>
      </w:r>
      <w:r w:rsidRPr="00E86F27">
        <w:t>ustanovení</w:t>
      </w:r>
      <w:r>
        <w:t xml:space="preserve"> </w:t>
      </w:r>
      <w:r w:rsidRPr="00E86F27">
        <w:t>§</w:t>
      </w:r>
      <w:r>
        <w:t xml:space="preserve"> </w:t>
      </w:r>
      <w:r w:rsidRPr="00E86F27">
        <w:t>58k</w:t>
      </w:r>
      <w:r>
        <w:t xml:space="preserve"> </w:t>
      </w:r>
      <w:r w:rsidRPr="00E86F27">
        <w:t>odst.</w:t>
      </w:r>
      <w:r>
        <w:t xml:space="preserve"> </w:t>
      </w:r>
      <w:r w:rsidRPr="00E86F27">
        <w:t>10</w:t>
      </w:r>
      <w:r>
        <w:t xml:space="preserve"> </w:t>
      </w:r>
      <w:r w:rsidRPr="00E86F27">
        <w:t>první</w:t>
      </w:r>
      <w:r>
        <w:t xml:space="preserve"> </w:t>
      </w:r>
      <w:r w:rsidRPr="00E86F27">
        <w:t>věty</w:t>
      </w:r>
      <w:r>
        <w:t xml:space="preserve"> </w:t>
      </w:r>
      <w:r w:rsidRPr="00E86F27">
        <w:t>a</w:t>
      </w:r>
      <w:r>
        <w:t xml:space="preserve"> </w:t>
      </w:r>
      <w:r w:rsidRPr="00E86F27">
        <w:t>§</w:t>
      </w:r>
      <w:r>
        <w:t xml:space="preserve"> </w:t>
      </w:r>
      <w:r w:rsidRPr="00E86F27">
        <w:t>58l</w:t>
      </w:r>
      <w:r>
        <w:t xml:space="preserve"> </w:t>
      </w:r>
      <w:r w:rsidRPr="00E86F27">
        <w:t>odst.</w:t>
      </w:r>
      <w:r>
        <w:t xml:space="preserve"> </w:t>
      </w:r>
      <w:r w:rsidRPr="00E86F27">
        <w:t>5</w:t>
      </w:r>
      <w:r>
        <w:t xml:space="preserve"> </w:t>
      </w:r>
      <w:r w:rsidRPr="00E86F27">
        <w:t>se</w:t>
      </w:r>
      <w:r>
        <w:t xml:space="preserve"> </w:t>
      </w:r>
      <w:r w:rsidRPr="00E86F27">
        <w:t>použije</w:t>
      </w:r>
      <w:r>
        <w:t xml:space="preserve"> </w:t>
      </w:r>
      <w:r w:rsidRPr="00E86F27">
        <w:t>obdobně,</w:t>
      </w:r>
    </w:p>
    <w:p w14:paraId="20958A69" w14:textId="77777777" w:rsidR="001E38CA" w:rsidRDefault="001E38CA" w:rsidP="002E6AEA">
      <w:pPr>
        <w:pStyle w:val="Textparagrafu"/>
        <w:tabs>
          <w:tab w:val="left" w:pos="392"/>
          <w:tab w:val="left" w:pos="840"/>
        </w:tabs>
        <w:spacing w:before="0"/>
        <w:ind w:left="426" w:hanging="426"/>
      </w:pPr>
      <w:r w:rsidRPr="00E86F27">
        <w:t>t)</w:t>
      </w:r>
      <w:r>
        <w:tab/>
      </w:r>
      <w:r w:rsidRPr="00E86F27">
        <w:t>zpracovávat</w:t>
      </w:r>
      <w:r>
        <w:t xml:space="preserve"> </w:t>
      </w:r>
      <w:r w:rsidRPr="00E86F27">
        <w:t>a</w:t>
      </w:r>
      <w:r>
        <w:t xml:space="preserve"> </w:t>
      </w:r>
      <w:r w:rsidRPr="00E86F27">
        <w:t>předkládat</w:t>
      </w:r>
      <w:r>
        <w:t xml:space="preserve"> </w:t>
      </w:r>
      <w:r w:rsidRPr="00E86F27">
        <w:t>Energetickému</w:t>
      </w:r>
      <w:r>
        <w:t xml:space="preserve"> </w:t>
      </w:r>
      <w:r w:rsidRPr="00E86F27">
        <w:t>regulačnímu</w:t>
      </w:r>
      <w:r>
        <w:t xml:space="preserve"> </w:t>
      </w:r>
      <w:r w:rsidRPr="00E86F27">
        <w:t>úřadu</w:t>
      </w:r>
      <w:r>
        <w:t xml:space="preserve"> </w:t>
      </w:r>
      <w:r w:rsidRPr="00E86F27">
        <w:t>ke</w:t>
      </w:r>
      <w:r>
        <w:t xml:space="preserve"> </w:t>
      </w:r>
      <w:r w:rsidRPr="00E86F27">
        <w:t>schválení</w:t>
      </w:r>
      <w:r>
        <w:t xml:space="preserve"> </w:t>
      </w:r>
      <w:r w:rsidRPr="00E86F27">
        <w:t>Řád</w:t>
      </w:r>
      <w:r>
        <w:t xml:space="preserve"> </w:t>
      </w:r>
      <w:r w:rsidRPr="00E86F27">
        <w:t>provozovatele</w:t>
      </w:r>
      <w:r>
        <w:t xml:space="preserve"> </w:t>
      </w:r>
      <w:r w:rsidRPr="00E86F27">
        <w:t>přepravní</w:t>
      </w:r>
      <w:r>
        <w:t xml:space="preserve"> </w:t>
      </w:r>
      <w:r w:rsidRPr="00E86F27">
        <w:t>soustavy,</w:t>
      </w:r>
      <w:r>
        <w:t xml:space="preserve"> </w:t>
      </w:r>
      <w:r w:rsidRPr="00E86F27">
        <w:t>zajistit</w:t>
      </w:r>
      <w:r>
        <w:t xml:space="preserve"> </w:t>
      </w:r>
      <w:r w:rsidRPr="00E86F27">
        <w:t>jeho</w:t>
      </w:r>
      <w:r>
        <w:t xml:space="preserve"> </w:t>
      </w:r>
      <w:r w:rsidRPr="00E86F27">
        <w:t>zveřejnění</w:t>
      </w:r>
      <w:r>
        <w:t xml:space="preserve"> </w:t>
      </w:r>
      <w:r w:rsidRPr="00E86F27">
        <w:t>a</w:t>
      </w:r>
      <w:r>
        <w:t xml:space="preserve"> </w:t>
      </w:r>
      <w:r w:rsidRPr="00E86F27">
        <w:t>vykonávat</w:t>
      </w:r>
      <w:r>
        <w:t xml:space="preserve"> </w:t>
      </w:r>
      <w:r w:rsidRPr="00E86F27">
        <w:t>licencovanou</w:t>
      </w:r>
      <w:r>
        <w:t xml:space="preserve"> </w:t>
      </w:r>
      <w:r w:rsidRPr="00E86F27">
        <w:t>činnost</w:t>
      </w:r>
      <w:r>
        <w:t xml:space="preserve"> </w:t>
      </w:r>
      <w:r w:rsidRPr="00E86F27">
        <w:t>v</w:t>
      </w:r>
      <w:r>
        <w:t xml:space="preserve"> </w:t>
      </w:r>
      <w:r w:rsidRPr="00E86F27">
        <w:t>souladu</w:t>
      </w:r>
      <w:r>
        <w:t xml:space="preserve"> </w:t>
      </w:r>
      <w:r w:rsidRPr="00E86F27">
        <w:t>s</w:t>
      </w:r>
      <w:r>
        <w:t xml:space="preserve"> </w:t>
      </w:r>
      <w:r w:rsidRPr="00E86F27">
        <w:t>Řádem</w:t>
      </w:r>
      <w:r>
        <w:t xml:space="preserve"> </w:t>
      </w:r>
      <w:r w:rsidRPr="00E86F27">
        <w:t>provozovatele</w:t>
      </w:r>
      <w:r>
        <w:t xml:space="preserve"> </w:t>
      </w:r>
      <w:r w:rsidRPr="00E86F27">
        <w:t>přepravní</w:t>
      </w:r>
      <w:r>
        <w:t xml:space="preserve"> </w:t>
      </w:r>
      <w:r w:rsidRPr="00E86F27">
        <w:t>soustavy,</w:t>
      </w:r>
    </w:p>
    <w:p w14:paraId="23EBA255" w14:textId="77777777" w:rsidR="001E38CA" w:rsidRDefault="001E38CA" w:rsidP="002E6AEA">
      <w:pPr>
        <w:pStyle w:val="Textparagrafu"/>
        <w:tabs>
          <w:tab w:val="left" w:pos="392"/>
          <w:tab w:val="left" w:pos="840"/>
        </w:tabs>
        <w:spacing w:before="0"/>
        <w:ind w:left="426" w:hanging="426"/>
      </w:pPr>
      <w:r w:rsidRPr="00E86F27">
        <w:t>u)</w:t>
      </w:r>
      <w:r>
        <w:tab/>
      </w:r>
      <w:r w:rsidRPr="00E86F27">
        <w:t>vypracovat</w:t>
      </w:r>
      <w:r>
        <w:t xml:space="preserve"> </w:t>
      </w:r>
      <w:r w:rsidRPr="00E86F27">
        <w:t>v</w:t>
      </w:r>
      <w:r>
        <w:t xml:space="preserve"> </w:t>
      </w:r>
      <w:r w:rsidRPr="00E86F27">
        <w:t>součinnosti</w:t>
      </w:r>
      <w:r>
        <w:t xml:space="preserve"> </w:t>
      </w:r>
      <w:r w:rsidRPr="00E86F27">
        <w:t>s</w:t>
      </w:r>
      <w:r>
        <w:t xml:space="preserve"> </w:t>
      </w:r>
      <w:r w:rsidRPr="00E86F27">
        <w:t>provozovateli</w:t>
      </w:r>
      <w:r>
        <w:t xml:space="preserve"> </w:t>
      </w:r>
      <w:r w:rsidRPr="00E86F27">
        <w:t>distribučních</w:t>
      </w:r>
      <w:r>
        <w:t xml:space="preserve"> </w:t>
      </w:r>
      <w:r w:rsidRPr="00E86F27">
        <w:t>soustav</w:t>
      </w:r>
      <w:r>
        <w:t xml:space="preserve"> </w:t>
      </w:r>
      <w:r w:rsidRPr="00E86F27">
        <w:t>a</w:t>
      </w:r>
      <w:r>
        <w:t xml:space="preserve"> </w:t>
      </w:r>
      <w:r w:rsidRPr="00E86F27">
        <w:t>zásobníků</w:t>
      </w:r>
      <w:r>
        <w:t xml:space="preserve"> </w:t>
      </w:r>
      <w:r w:rsidRPr="00E86F27">
        <w:t>plynu</w:t>
      </w:r>
      <w:r>
        <w:t xml:space="preserve"> </w:t>
      </w:r>
      <w:r w:rsidRPr="00E86F27">
        <w:t>havarijní</w:t>
      </w:r>
      <w:r>
        <w:t xml:space="preserve"> </w:t>
      </w:r>
      <w:r w:rsidRPr="00E86F27">
        <w:t>plán</w:t>
      </w:r>
      <w:r>
        <w:t xml:space="preserve"> </w:t>
      </w:r>
      <w:r w:rsidRPr="00E86F27">
        <w:t>plynárenské</w:t>
      </w:r>
      <w:r>
        <w:t xml:space="preserve"> </w:t>
      </w:r>
      <w:r w:rsidRPr="00E86F27">
        <w:t>soustavy,</w:t>
      </w:r>
      <w:r>
        <w:t xml:space="preserve"> </w:t>
      </w:r>
      <w:r w:rsidRPr="00E86F27">
        <w:t>každoročně</w:t>
      </w:r>
      <w:r>
        <w:t xml:space="preserve"> </w:t>
      </w:r>
      <w:r w:rsidRPr="00E86F27">
        <w:t>jej</w:t>
      </w:r>
      <w:r>
        <w:t xml:space="preserve"> </w:t>
      </w:r>
      <w:r w:rsidRPr="00E86F27">
        <w:t>aktualizovat</w:t>
      </w:r>
      <w:r>
        <w:t xml:space="preserve"> </w:t>
      </w:r>
      <w:r w:rsidRPr="00E86F27">
        <w:t>a</w:t>
      </w:r>
      <w:r>
        <w:t xml:space="preserve"> </w:t>
      </w:r>
      <w:r w:rsidRPr="00E86F27">
        <w:t>předkládat</w:t>
      </w:r>
      <w:r>
        <w:t xml:space="preserve"> </w:t>
      </w:r>
      <w:r w:rsidRPr="00E86F27">
        <w:t>ministerstvu,</w:t>
      </w:r>
    </w:p>
    <w:p w14:paraId="21BF5599" w14:textId="77777777" w:rsidR="001E38CA" w:rsidRDefault="001E38CA" w:rsidP="002E6AEA">
      <w:pPr>
        <w:pStyle w:val="Textparagrafu"/>
        <w:tabs>
          <w:tab w:val="left" w:pos="392"/>
          <w:tab w:val="left" w:pos="840"/>
        </w:tabs>
        <w:spacing w:before="0"/>
        <w:ind w:left="426" w:hanging="426"/>
      </w:pPr>
      <w:r w:rsidRPr="00E86F27">
        <w:t>v)</w:t>
      </w:r>
      <w:r>
        <w:tab/>
      </w:r>
      <w:r w:rsidRPr="00E86F27">
        <w:t>zpracovávat</w:t>
      </w:r>
      <w:r>
        <w:t xml:space="preserve"> </w:t>
      </w:r>
      <w:r w:rsidRPr="00E86F27">
        <w:t>a</w:t>
      </w:r>
      <w:r>
        <w:t xml:space="preserve"> </w:t>
      </w:r>
      <w:r w:rsidRPr="00E86F27">
        <w:t>předávat</w:t>
      </w:r>
      <w:r>
        <w:t xml:space="preserve"> </w:t>
      </w:r>
      <w:r w:rsidRPr="00E86F27">
        <w:t>ministerstvu</w:t>
      </w:r>
      <w:r>
        <w:t xml:space="preserve"> </w:t>
      </w:r>
      <w:r w:rsidRPr="00E86F27">
        <w:t>a</w:t>
      </w:r>
      <w:r>
        <w:t xml:space="preserve"> </w:t>
      </w:r>
      <w:r w:rsidRPr="00E86F27">
        <w:t>Energetickému</w:t>
      </w:r>
      <w:r>
        <w:t xml:space="preserve"> </w:t>
      </w:r>
      <w:r w:rsidRPr="00E86F27">
        <w:t>regulačnímu</w:t>
      </w:r>
      <w:r>
        <w:t xml:space="preserve"> </w:t>
      </w:r>
      <w:r w:rsidRPr="00E86F27">
        <w:t>úřadu</w:t>
      </w:r>
      <w:r>
        <w:t xml:space="preserve"> </w:t>
      </w:r>
      <w:r w:rsidRPr="00E86F27">
        <w:t>jednou</w:t>
      </w:r>
      <w:r>
        <w:t xml:space="preserve"> </w:t>
      </w:r>
      <w:r w:rsidRPr="00E86F27">
        <w:t>ročně,</w:t>
      </w:r>
      <w:r>
        <w:t xml:space="preserve"> </w:t>
      </w:r>
      <w:r w:rsidRPr="00E86F27">
        <w:t>nejpozději</w:t>
      </w:r>
      <w:r>
        <w:t xml:space="preserve"> </w:t>
      </w:r>
      <w:r w:rsidRPr="00E86F27">
        <w:t>do</w:t>
      </w:r>
      <w:r>
        <w:t xml:space="preserve"> </w:t>
      </w:r>
      <w:r w:rsidRPr="00E86F27">
        <w:t>1.</w:t>
      </w:r>
      <w:r>
        <w:t xml:space="preserve"> </w:t>
      </w:r>
      <w:r w:rsidRPr="00E86F27">
        <w:t>března</w:t>
      </w:r>
      <w:r>
        <w:t xml:space="preserve"> </w:t>
      </w:r>
      <w:r w:rsidRPr="00E86F27">
        <w:t>následujícího</w:t>
      </w:r>
      <w:r>
        <w:t xml:space="preserve"> </w:t>
      </w:r>
      <w:r w:rsidRPr="00E86F27">
        <w:t>kalendářního</w:t>
      </w:r>
      <w:r>
        <w:t xml:space="preserve"> </w:t>
      </w:r>
      <w:r w:rsidRPr="00E86F27">
        <w:t>roku,</w:t>
      </w:r>
      <w:r>
        <w:t xml:space="preserve"> </w:t>
      </w:r>
      <w:r w:rsidRPr="00E86F27">
        <w:t>zprávu</w:t>
      </w:r>
      <w:r>
        <w:t xml:space="preserve"> </w:t>
      </w:r>
      <w:r w:rsidRPr="00E86F27">
        <w:t>o</w:t>
      </w:r>
      <w:r>
        <w:t xml:space="preserve"> </w:t>
      </w:r>
      <w:r w:rsidRPr="00E86F27">
        <w:t>kvalitě</w:t>
      </w:r>
      <w:r>
        <w:t xml:space="preserve"> </w:t>
      </w:r>
      <w:r w:rsidRPr="00E86F27">
        <w:t>a</w:t>
      </w:r>
      <w:r>
        <w:t xml:space="preserve"> </w:t>
      </w:r>
      <w:r w:rsidRPr="00E86F27">
        <w:t>úrovni</w:t>
      </w:r>
      <w:r>
        <w:t xml:space="preserve"> </w:t>
      </w:r>
      <w:r w:rsidRPr="00E86F27">
        <w:t>údržby</w:t>
      </w:r>
      <w:r>
        <w:t xml:space="preserve"> </w:t>
      </w:r>
      <w:r w:rsidRPr="00E86F27">
        <w:t>zařízení</w:t>
      </w:r>
      <w:r>
        <w:t xml:space="preserve"> </w:t>
      </w:r>
      <w:r w:rsidRPr="00E86F27">
        <w:t>přepravní</w:t>
      </w:r>
      <w:r>
        <w:t xml:space="preserve"> </w:t>
      </w:r>
      <w:r w:rsidRPr="00E86F27">
        <w:t>soustavy,</w:t>
      </w:r>
    </w:p>
    <w:p w14:paraId="44438355" w14:textId="77777777" w:rsidR="001E38CA" w:rsidRDefault="001E38CA" w:rsidP="002E6AEA">
      <w:pPr>
        <w:pStyle w:val="Textparagrafu"/>
        <w:tabs>
          <w:tab w:val="left" w:pos="392"/>
          <w:tab w:val="left" w:pos="840"/>
        </w:tabs>
        <w:spacing w:before="0"/>
        <w:ind w:left="426" w:hanging="426"/>
      </w:pPr>
      <w:r w:rsidRPr="00E86F27">
        <w:t>w)</w:t>
      </w:r>
      <w:r>
        <w:tab/>
      </w:r>
      <w:r w:rsidRPr="00E86F27">
        <w:t>budovat</w:t>
      </w:r>
      <w:r>
        <w:t xml:space="preserve"> </w:t>
      </w:r>
      <w:r w:rsidRPr="00E86F27">
        <w:t>dostatečnou</w:t>
      </w:r>
      <w:r>
        <w:t xml:space="preserve"> </w:t>
      </w:r>
      <w:r w:rsidRPr="00E86F27">
        <w:t>přeshraniční</w:t>
      </w:r>
      <w:r>
        <w:t xml:space="preserve"> </w:t>
      </w:r>
      <w:r w:rsidRPr="00E86F27">
        <w:t>kapacitu</w:t>
      </w:r>
      <w:r>
        <w:t xml:space="preserve"> </w:t>
      </w:r>
      <w:r w:rsidRPr="00E86F27">
        <w:t>v</w:t>
      </w:r>
      <w:r>
        <w:t xml:space="preserve"> </w:t>
      </w:r>
      <w:r w:rsidRPr="00E86F27">
        <w:t>souladu</w:t>
      </w:r>
      <w:r>
        <w:t xml:space="preserve"> </w:t>
      </w:r>
      <w:r w:rsidRPr="00E86F27">
        <w:t>s</w:t>
      </w:r>
      <w:r>
        <w:t xml:space="preserve"> </w:t>
      </w:r>
      <w:r w:rsidRPr="00E86F27">
        <w:t>desetiletým</w:t>
      </w:r>
      <w:r>
        <w:t xml:space="preserve"> </w:t>
      </w:r>
      <w:r w:rsidRPr="00E86F27">
        <w:t>plánem</w:t>
      </w:r>
      <w:r>
        <w:t xml:space="preserve"> </w:t>
      </w:r>
      <w:r w:rsidRPr="00E86F27">
        <w:t>rozvoje</w:t>
      </w:r>
      <w:r>
        <w:t xml:space="preserve"> </w:t>
      </w:r>
      <w:r w:rsidRPr="00E86F27">
        <w:t>přepravní</w:t>
      </w:r>
      <w:r>
        <w:t xml:space="preserve"> </w:t>
      </w:r>
      <w:r w:rsidRPr="00E86F27">
        <w:t>soustavy</w:t>
      </w:r>
      <w:r>
        <w:t xml:space="preserve"> </w:t>
      </w:r>
      <w:r w:rsidRPr="00E86F27">
        <w:t>a</w:t>
      </w:r>
      <w:r>
        <w:t xml:space="preserve"> </w:t>
      </w:r>
      <w:r w:rsidRPr="00E86F27">
        <w:t>zajišťovat</w:t>
      </w:r>
      <w:r>
        <w:t xml:space="preserve"> </w:t>
      </w:r>
      <w:r w:rsidRPr="00E86F27">
        <w:t>standard</w:t>
      </w:r>
      <w:r>
        <w:t xml:space="preserve"> </w:t>
      </w:r>
      <w:r w:rsidRPr="00E86F27">
        <w:t>infrastruktury</w:t>
      </w:r>
      <w:r>
        <w:t xml:space="preserve"> </w:t>
      </w:r>
      <w:r w:rsidRPr="00E86F27">
        <w:t>podle</w:t>
      </w:r>
      <w:r>
        <w:t xml:space="preserve"> </w:t>
      </w:r>
      <w:r w:rsidRPr="00E86F27">
        <w:t>přímo</w:t>
      </w:r>
      <w:r>
        <w:t xml:space="preserve"> </w:t>
      </w:r>
      <w:r w:rsidRPr="00E86F27">
        <w:t>použitelného</w:t>
      </w:r>
      <w:r>
        <w:t xml:space="preserve"> </w:t>
      </w:r>
      <w:r w:rsidRPr="00E86F27">
        <w:t>předpisu</w:t>
      </w:r>
      <w:r>
        <w:t xml:space="preserve"> </w:t>
      </w:r>
      <w:r w:rsidRPr="00E86F27">
        <w:t>Evropské</w:t>
      </w:r>
      <w:r>
        <w:t xml:space="preserve"> </w:t>
      </w:r>
      <w:r w:rsidRPr="00E86F27">
        <w:t>unie</w:t>
      </w:r>
      <w:r w:rsidRPr="0029752C">
        <w:rPr>
          <w:vertAlign w:val="superscript"/>
        </w:rPr>
        <w:t>21)</w:t>
      </w:r>
      <w:r w:rsidRPr="00E86F27">
        <w:t>,</w:t>
      </w:r>
    </w:p>
    <w:p w14:paraId="6D1228EC" w14:textId="77777777" w:rsidR="001E38CA" w:rsidRDefault="001E38CA" w:rsidP="002E6AEA">
      <w:pPr>
        <w:pStyle w:val="Textparagrafu"/>
        <w:tabs>
          <w:tab w:val="left" w:pos="392"/>
          <w:tab w:val="left" w:pos="840"/>
        </w:tabs>
        <w:spacing w:before="0"/>
        <w:ind w:left="426" w:hanging="426"/>
      </w:pPr>
      <w:r w:rsidRPr="00E86F27">
        <w:t>x)</w:t>
      </w:r>
      <w:r>
        <w:tab/>
      </w:r>
      <w:r w:rsidRPr="00E86F27">
        <w:t>spolupracovat</w:t>
      </w:r>
      <w:r>
        <w:t xml:space="preserve"> </w:t>
      </w:r>
      <w:r w:rsidRPr="00E86F27">
        <w:t>s</w:t>
      </w:r>
      <w:r>
        <w:t xml:space="preserve"> </w:t>
      </w:r>
      <w:r w:rsidRPr="00E86F27">
        <w:t>jinými</w:t>
      </w:r>
      <w:r>
        <w:t xml:space="preserve"> </w:t>
      </w:r>
      <w:r w:rsidRPr="00E86F27">
        <w:t>provozovateli</w:t>
      </w:r>
      <w:r>
        <w:t xml:space="preserve"> </w:t>
      </w:r>
      <w:r w:rsidRPr="00E86F27">
        <w:t>přepravních</w:t>
      </w:r>
      <w:r>
        <w:t xml:space="preserve"> </w:t>
      </w:r>
      <w:r w:rsidRPr="00E86F27">
        <w:t>soustav</w:t>
      </w:r>
      <w:r>
        <w:t xml:space="preserve"> </w:t>
      </w:r>
      <w:r w:rsidRPr="00E86F27">
        <w:t>na</w:t>
      </w:r>
      <w:r>
        <w:t xml:space="preserve"> </w:t>
      </w:r>
      <w:r w:rsidRPr="00E86F27">
        <w:t>regionální</w:t>
      </w:r>
      <w:r>
        <w:t xml:space="preserve"> </w:t>
      </w:r>
      <w:r w:rsidRPr="00E86F27">
        <w:t>úrovni</w:t>
      </w:r>
      <w:r>
        <w:t xml:space="preserve"> </w:t>
      </w:r>
      <w:r w:rsidRPr="00E86F27">
        <w:t>zahrnující</w:t>
      </w:r>
      <w:r>
        <w:t xml:space="preserve"> </w:t>
      </w:r>
      <w:r w:rsidRPr="00E86F27">
        <w:t>dva</w:t>
      </w:r>
      <w:r>
        <w:t xml:space="preserve"> </w:t>
      </w:r>
      <w:r w:rsidRPr="00E86F27">
        <w:t>nebo</w:t>
      </w:r>
      <w:r>
        <w:t xml:space="preserve"> </w:t>
      </w:r>
      <w:r w:rsidRPr="00E86F27">
        <w:t>více</w:t>
      </w:r>
      <w:r>
        <w:t xml:space="preserve"> </w:t>
      </w:r>
      <w:r w:rsidRPr="00E86F27">
        <w:t>členských</w:t>
      </w:r>
      <w:r>
        <w:t xml:space="preserve"> </w:t>
      </w:r>
      <w:r w:rsidRPr="00E86F27">
        <w:t>států</w:t>
      </w:r>
      <w:r>
        <w:t xml:space="preserve"> </w:t>
      </w:r>
      <w:r w:rsidRPr="00E86F27">
        <w:t>za</w:t>
      </w:r>
      <w:r>
        <w:t xml:space="preserve"> </w:t>
      </w:r>
      <w:r w:rsidRPr="00E86F27">
        <w:t>účelem</w:t>
      </w:r>
      <w:r>
        <w:t xml:space="preserve"> </w:t>
      </w:r>
      <w:r w:rsidRPr="00E86F27">
        <w:t>přidělování</w:t>
      </w:r>
      <w:r>
        <w:t xml:space="preserve"> </w:t>
      </w:r>
      <w:r w:rsidRPr="00E86F27">
        <w:t>přepravních</w:t>
      </w:r>
      <w:r>
        <w:t xml:space="preserve"> </w:t>
      </w:r>
      <w:r w:rsidRPr="00E86F27">
        <w:t>kapacit</w:t>
      </w:r>
      <w:r>
        <w:t xml:space="preserve"> </w:t>
      </w:r>
      <w:r w:rsidRPr="00E86F27">
        <w:t>a</w:t>
      </w:r>
      <w:r>
        <w:t xml:space="preserve"> </w:t>
      </w:r>
      <w:r w:rsidRPr="00E86F27">
        <w:t>výměny</w:t>
      </w:r>
      <w:r>
        <w:t xml:space="preserve"> </w:t>
      </w:r>
      <w:r w:rsidRPr="00E86F27">
        <w:t>informací</w:t>
      </w:r>
      <w:r>
        <w:t xml:space="preserve"> </w:t>
      </w:r>
      <w:r w:rsidRPr="00E86F27">
        <w:t>týkajících</w:t>
      </w:r>
      <w:r>
        <w:t xml:space="preserve"> </w:t>
      </w:r>
      <w:r w:rsidRPr="00E86F27">
        <w:t>se</w:t>
      </w:r>
      <w:r>
        <w:t xml:space="preserve"> </w:t>
      </w:r>
      <w:r w:rsidRPr="00E86F27">
        <w:t>bezpečnosti</w:t>
      </w:r>
      <w:r>
        <w:t xml:space="preserve"> </w:t>
      </w:r>
      <w:r w:rsidRPr="00E86F27">
        <w:t>provozování</w:t>
      </w:r>
      <w:r>
        <w:t xml:space="preserve"> </w:t>
      </w:r>
      <w:r w:rsidRPr="00E86F27">
        <w:t>přepravní</w:t>
      </w:r>
      <w:r>
        <w:t xml:space="preserve"> </w:t>
      </w:r>
      <w:r w:rsidRPr="00E86F27">
        <w:t>soustavy,</w:t>
      </w:r>
    </w:p>
    <w:p w14:paraId="6CB8C5CA" w14:textId="77777777" w:rsidR="001E38CA" w:rsidRDefault="001E38CA" w:rsidP="002E6AEA">
      <w:pPr>
        <w:pStyle w:val="Textparagrafu"/>
        <w:tabs>
          <w:tab w:val="left" w:pos="392"/>
          <w:tab w:val="left" w:pos="840"/>
        </w:tabs>
        <w:spacing w:before="0"/>
        <w:ind w:left="426" w:hanging="426"/>
      </w:pPr>
      <w:r w:rsidRPr="00E86F27">
        <w:t>y)</w:t>
      </w:r>
      <w:r>
        <w:tab/>
      </w:r>
      <w:r w:rsidRPr="00E86F27">
        <w:t>nabízet</w:t>
      </w:r>
      <w:r>
        <w:t xml:space="preserve"> </w:t>
      </w:r>
      <w:r w:rsidRPr="00E86F27">
        <w:t>odděleně</w:t>
      </w:r>
      <w:r>
        <w:t xml:space="preserve"> </w:t>
      </w:r>
      <w:r w:rsidRPr="00E86F27">
        <w:t>vstupní</w:t>
      </w:r>
      <w:r>
        <w:t xml:space="preserve"> </w:t>
      </w:r>
      <w:r w:rsidRPr="00E86F27">
        <w:t>a</w:t>
      </w:r>
      <w:r>
        <w:t xml:space="preserve"> </w:t>
      </w:r>
      <w:r w:rsidRPr="00E86F27">
        <w:t>výstupní</w:t>
      </w:r>
      <w:r>
        <w:t xml:space="preserve"> </w:t>
      </w:r>
      <w:r w:rsidRPr="00E86F27">
        <w:t>kapacitu</w:t>
      </w:r>
      <w:r>
        <w:t xml:space="preserve"> </w:t>
      </w:r>
      <w:r w:rsidRPr="00E86F27">
        <w:t>na</w:t>
      </w:r>
      <w:r>
        <w:t xml:space="preserve"> </w:t>
      </w:r>
      <w:r w:rsidRPr="00E86F27">
        <w:t>jednotlivých</w:t>
      </w:r>
      <w:r>
        <w:t xml:space="preserve"> </w:t>
      </w:r>
      <w:r w:rsidRPr="00E86F27">
        <w:t>vstupních</w:t>
      </w:r>
      <w:r>
        <w:t xml:space="preserve"> </w:t>
      </w:r>
      <w:r w:rsidRPr="00E86F27">
        <w:t>bodech</w:t>
      </w:r>
      <w:r>
        <w:t xml:space="preserve"> </w:t>
      </w:r>
      <w:r w:rsidRPr="00E86F27">
        <w:t>do</w:t>
      </w:r>
      <w:r>
        <w:t xml:space="preserve"> </w:t>
      </w:r>
      <w:r w:rsidRPr="00E86F27">
        <w:t>přepravní</w:t>
      </w:r>
      <w:r>
        <w:t xml:space="preserve"> </w:t>
      </w:r>
      <w:r w:rsidRPr="00E86F27">
        <w:t>soustavy</w:t>
      </w:r>
      <w:r>
        <w:t xml:space="preserve"> </w:t>
      </w:r>
      <w:r w:rsidRPr="00E86F27">
        <w:t>a</w:t>
      </w:r>
      <w:r>
        <w:t xml:space="preserve"> </w:t>
      </w:r>
      <w:r w:rsidRPr="00E86F27">
        <w:t>výstupních</w:t>
      </w:r>
      <w:r>
        <w:t xml:space="preserve"> </w:t>
      </w:r>
      <w:r w:rsidRPr="00E86F27">
        <w:t>bodech</w:t>
      </w:r>
      <w:r>
        <w:t xml:space="preserve"> </w:t>
      </w:r>
      <w:r w:rsidRPr="00E86F27">
        <w:t>z</w:t>
      </w:r>
      <w:r>
        <w:t xml:space="preserve"> </w:t>
      </w:r>
      <w:r w:rsidRPr="00E86F27">
        <w:t>přepravní</w:t>
      </w:r>
      <w:r>
        <w:t xml:space="preserve"> </w:t>
      </w:r>
      <w:r w:rsidRPr="00E86F27">
        <w:t>soustavy,</w:t>
      </w:r>
    </w:p>
    <w:p w14:paraId="0788D17E" w14:textId="77777777" w:rsidR="001E38CA" w:rsidRDefault="001E38CA" w:rsidP="002E6AEA">
      <w:pPr>
        <w:pStyle w:val="Textparagrafu"/>
        <w:tabs>
          <w:tab w:val="left" w:pos="392"/>
          <w:tab w:val="left" w:pos="840"/>
        </w:tabs>
        <w:spacing w:before="0"/>
        <w:ind w:left="426" w:hanging="426"/>
      </w:pPr>
      <w:r w:rsidRPr="00E86F27">
        <w:t>z)</w:t>
      </w:r>
      <w:r>
        <w:tab/>
      </w:r>
      <w:r w:rsidRPr="00E86F27">
        <w:t>účtovat</w:t>
      </w:r>
      <w:r>
        <w:t xml:space="preserve"> </w:t>
      </w:r>
      <w:r w:rsidRPr="00E86F27">
        <w:t>odděleně</w:t>
      </w:r>
      <w:r>
        <w:t xml:space="preserve"> </w:t>
      </w:r>
      <w:r w:rsidRPr="00E86F27">
        <w:t>platby</w:t>
      </w:r>
      <w:r>
        <w:t xml:space="preserve"> </w:t>
      </w:r>
      <w:r w:rsidRPr="00E86F27">
        <w:t>za</w:t>
      </w:r>
      <w:r>
        <w:t xml:space="preserve"> </w:t>
      </w:r>
      <w:r w:rsidRPr="00E86F27">
        <w:t>vstupní</w:t>
      </w:r>
      <w:r>
        <w:t xml:space="preserve"> </w:t>
      </w:r>
      <w:r w:rsidRPr="00E86F27">
        <w:t>a</w:t>
      </w:r>
      <w:r>
        <w:t xml:space="preserve"> </w:t>
      </w:r>
      <w:r w:rsidRPr="00E86F27">
        <w:t>výstupní</w:t>
      </w:r>
      <w:r>
        <w:t xml:space="preserve"> </w:t>
      </w:r>
      <w:r w:rsidRPr="00E86F27">
        <w:t>kapacitu</w:t>
      </w:r>
      <w:r>
        <w:t xml:space="preserve"> </w:t>
      </w:r>
      <w:r w:rsidRPr="00E86F27">
        <w:t>na</w:t>
      </w:r>
      <w:r>
        <w:t xml:space="preserve"> </w:t>
      </w:r>
      <w:r w:rsidRPr="00E86F27">
        <w:t>jednotlivých</w:t>
      </w:r>
      <w:r>
        <w:t xml:space="preserve"> </w:t>
      </w:r>
      <w:r w:rsidRPr="00E86F27">
        <w:t>vstupních</w:t>
      </w:r>
      <w:r>
        <w:t xml:space="preserve"> </w:t>
      </w:r>
      <w:r w:rsidRPr="00E86F27">
        <w:t>bodech</w:t>
      </w:r>
      <w:r>
        <w:t xml:space="preserve"> </w:t>
      </w:r>
      <w:r w:rsidRPr="00E86F27">
        <w:t>do</w:t>
      </w:r>
      <w:r>
        <w:t xml:space="preserve"> </w:t>
      </w:r>
      <w:r w:rsidRPr="00E86F27">
        <w:t>přepravní</w:t>
      </w:r>
      <w:r>
        <w:t xml:space="preserve"> </w:t>
      </w:r>
      <w:r w:rsidRPr="00E86F27">
        <w:t>soustavy</w:t>
      </w:r>
      <w:r>
        <w:t xml:space="preserve"> </w:t>
      </w:r>
      <w:r w:rsidRPr="00E86F27">
        <w:t>a</w:t>
      </w:r>
      <w:r>
        <w:t xml:space="preserve"> </w:t>
      </w:r>
      <w:r w:rsidRPr="00E86F27">
        <w:t>výstupních</w:t>
      </w:r>
      <w:r>
        <w:t xml:space="preserve"> </w:t>
      </w:r>
      <w:r w:rsidRPr="00E86F27">
        <w:t>bodech</w:t>
      </w:r>
      <w:r>
        <w:t xml:space="preserve"> </w:t>
      </w:r>
      <w:r w:rsidRPr="00E86F27">
        <w:t>z</w:t>
      </w:r>
      <w:r>
        <w:t xml:space="preserve"> </w:t>
      </w:r>
      <w:r w:rsidRPr="00E86F27">
        <w:t>přepravní</w:t>
      </w:r>
      <w:r>
        <w:t xml:space="preserve"> </w:t>
      </w:r>
      <w:r w:rsidRPr="00E86F27">
        <w:t>soustavy.</w:t>
      </w:r>
    </w:p>
    <w:p w14:paraId="26D99309" w14:textId="77777777" w:rsidR="001E38CA" w:rsidRDefault="001E38CA" w:rsidP="0010420C">
      <w:pPr>
        <w:pStyle w:val="Textparagrafu"/>
        <w:tabs>
          <w:tab w:val="left" w:pos="392"/>
          <w:tab w:val="left" w:pos="840"/>
        </w:tabs>
        <w:spacing w:before="120" w:after="120"/>
      </w:pPr>
      <w:r w:rsidRPr="00E86F27">
        <w:t>(9)</w:t>
      </w:r>
      <w:r>
        <w:t xml:space="preserve"> </w:t>
      </w:r>
      <w:r w:rsidRPr="00E86F27">
        <w:t>Provozovatel</w:t>
      </w:r>
      <w:r>
        <w:t xml:space="preserve"> </w:t>
      </w:r>
      <w:r w:rsidRPr="00E86F27">
        <w:t>přepravní</w:t>
      </w:r>
      <w:r>
        <w:t xml:space="preserve"> </w:t>
      </w:r>
      <w:r w:rsidRPr="00E86F27">
        <w:t>soustavy</w:t>
      </w:r>
      <w:r>
        <w:t xml:space="preserve"> </w:t>
      </w:r>
      <w:r w:rsidRPr="00E86F27">
        <w:t>je</w:t>
      </w:r>
      <w:r>
        <w:t xml:space="preserve"> </w:t>
      </w:r>
      <w:r w:rsidRPr="00E86F27">
        <w:t>dále</w:t>
      </w:r>
      <w:r>
        <w:t xml:space="preserve"> </w:t>
      </w:r>
      <w:r w:rsidRPr="00E86F27">
        <w:t>povinen</w:t>
      </w:r>
    </w:p>
    <w:p w14:paraId="03EA85F5" w14:textId="77777777" w:rsidR="001E38CA" w:rsidRDefault="001E38CA" w:rsidP="002E6AEA">
      <w:pPr>
        <w:pStyle w:val="Textparagrafu"/>
        <w:tabs>
          <w:tab w:val="left" w:pos="392"/>
          <w:tab w:val="left" w:pos="840"/>
        </w:tabs>
        <w:spacing w:before="0"/>
        <w:ind w:left="426" w:hanging="426"/>
      </w:pPr>
      <w:r w:rsidRPr="00E86F27">
        <w:t>a)</w:t>
      </w:r>
      <w:r>
        <w:tab/>
      </w:r>
      <w:r w:rsidRPr="00E86F27">
        <w:t>zaregistrovat</w:t>
      </w:r>
      <w:r>
        <w:t xml:space="preserve"> </w:t>
      </w:r>
      <w:r w:rsidRPr="00E86F27">
        <w:t>se</w:t>
      </w:r>
      <w:r>
        <w:t xml:space="preserve"> </w:t>
      </w:r>
      <w:r w:rsidRPr="00E86F27">
        <w:t>do</w:t>
      </w:r>
      <w:r>
        <w:t xml:space="preserve"> </w:t>
      </w:r>
      <w:r w:rsidRPr="00E86F27">
        <w:t>30</w:t>
      </w:r>
      <w:r>
        <w:t xml:space="preserve"> </w:t>
      </w:r>
      <w:r w:rsidRPr="00E86F27">
        <w:t>dnů</w:t>
      </w:r>
      <w:r>
        <w:t xml:space="preserve"> </w:t>
      </w:r>
      <w:r w:rsidRPr="00E86F27">
        <w:t>od</w:t>
      </w:r>
      <w:r>
        <w:t xml:space="preserve"> </w:t>
      </w:r>
      <w:r w:rsidRPr="00E86F27">
        <w:t>udělení</w:t>
      </w:r>
      <w:r>
        <w:t xml:space="preserve"> </w:t>
      </w:r>
      <w:r w:rsidRPr="00E86F27">
        <w:t>licence</w:t>
      </w:r>
      <w:r>
        <w:t xml:space="preserve"> </w:t>
      </w:r>
      <w:r w:rsidRPr="00E86F27">
        <w:t>na</w:t>
      </w:r>
      <w:r>
        <w:t xml:space="preserve"> </w:t>
      </w:r>
      <w:r w:rsidRPr="00E86F27">
        <w:t>přepravu</w:t>
      </w:r>
      <w:r>
        <w:t xml:space="preserve"> </w:t>
      </w:r>
      <w:r w:rsidRPr="00E86F27">
        <w:t>plynu</w:t>
      </w:r>
      <w:r>
        <w:t xml:space="preserve"> </w:t>
      </w:r>
      <w:r w:rsidRPr="00E86F27">
        <w:t>u</w:t>
      </w:r>
      <w:r>
        <w:t xml:space="preserve"> </w:t>
      </w:r>
      <w:r w:rsidRPr="00E86F27">
        <w:t>operátora</w:t>
      </w:r>
      <w:r>
        <w:t xml:space="preserve"> </w:t>
      </w:r>
      <w:r w:rsidRPr="00E86F27">
        <w:t>trhu;</w:t>
      </w:r>
      <w:r>
        <w:t xml:space="preserve"> </w:t>
      </w:r>
      <w:r w:rsidRPr="00E86F27">
        <w:t>zaregistrováním</w:t>
      </w:r>
      <w:r>
        <w:t xml:space="preserve"> </w:t>
      </w:r>
      <w:r w:rsidRPr="00E86F27">
        <w:t>se</w:t>
      </w:r>
      <w:r>
        <w:t xml:space="preserve"> </w:t>
      </w:r>
      <w:r w:rsidRPr="00E86F27">
        <w:t>provozovatel</w:t>
      </w:r>
      <w:r>
        <w:t xml:space="preserve"> </w:t>
      </w:r>
      <w:r w:rsidRPr="00E86F27">
        <w:t>přepravní</w:t>
      </w:r>
      <w:r>
        <w:t xml:space="preserve"> </w:t>
      </w:r>
      <w:r w:rsidRPr="00E86F27">
        <w:t>soustavy</w:t>
      </w:r>
      <w:r>
        <w:t xml:space="preserve"> </w:t>
      </w:r>
      <w:r w:rsidRPr="00E86F27">
        <w:t>stává</w:t>
      </w:r>
      <w:r>
        <w:t xml:space="preserve"> </w:t>
      </w:r>
      <w:r w:rsidRPr="00E86F27">
        <w:t>registrovaným</w:t>
      </w:r>
      <w:r>
        <w:t xml:space="preserve"> </w:t>
      </w:r>
      <w:r w:rsidRPr="00E86F27">
        <w:t>účastníkem</w:t>
      </w:r>
      <w:r>
        <w:t xml:space="preserve"> </w:t>
      </w:r>
      <w:r w:rsidRPr="00E86F27">
        <w:t>trhu,</w:t>
      </w:r>
    </w:p>
    <w:p w14:paraId="5721B8A2" w14:textId="77777777" w:rsidR="001E38CA" w:rsidRDefault="001E38CA" w:rsidP="002E6AEA">
      <w:pPr>
        <w:pStyle w:val="Textparagrafu"/>
        <w:tabs>
          <w:tab w:val="left" w:pos="392"/>
          <w:tab w:val="left" w:pos="840"/>
        </w:tabs>
        <w:spacing w:before="0"/>
        <w:ind w:left="426" w:hanging="426"/>
      </w:pPr>
      <w:r w:rsidRPr="00E86F27">
        <w:t>b)</w:t>
      </w:r>
      <w:r>
        <w:tab/>
      </w:r>
      <w:r w:rsidRPr="00E86F27">
        <w:t>vypracovat</w:t>
      </w:r>
      <w:r>
        <w:t xml:space="preserve"> </w:t>
      </w:r>
      <w:r w:rsidRPr="00E86F27">
        <w:t>do</w:t>
      </w:r>
      <w:r>
        <w:t xml:space="preserve"> </w:t>
      </w:r>
      <w:r w:rsidRPr="00E86F27">
        <w:t>6</w:t>
      </w:r>
      <w:r>
        <w:t xml:space="preserve"> </w:t>
      </w:r>
      <w:r w:rsidRPr="00E86F27">
        <w:t>měsíců</w:t>
      </w:r>
      <w:r>
        <w:t xml:space="preserve"> </w:t>
      </w:r>
      <w:r w:rsidRPr="00E86F27">
        <w:t>po</w:t>
      </w:r>
      <w:r>
        <w:t xml:space="preserve"> </w:t>
      </w:r>
      <w:r w:rsidRPr="00E86F27">
        <w:t>udělení</w:t>
      </w:r>
      <w:r>
        <w:t xml:space="preserve"> </w:t>
      </w:r>
      <w:r w:rsidRPr="00E86F27">
        <w:t>licence</w:t>
      </w:r>
      <w:r>
        <w:t xml:space="preserve"> </w:t>
      </w:r>
      <w:r w:rsidRPr="00E86F27">
        <w:t>na</w:t>
      </w:r>
      <w:r>
        <w:t xml:space="preserve"> </w:t>
      </w:r>
      <w:r w:rsidRPr="00E86F27">
        <w:t>přepravu</w:t>
      </w:r>
      <w:r>
        <w:t xml:space="preserve"> </w:t>
      </w:r>
      <w:r w:rsidRPr="00E86F27">
        <w:t>plynu</w:t>
      </w:r>
      <w:r>
        <w:t xml:space="preserve"> </w:t>
      </w:r>
      <w:r w:rsidRPr="00E86F27">
        <w:t>a</w:t>
      </w:r>
      <w:r>
        <w:t xml:space="preserve"> </w:t>
      </w:r>
      <w:r w:rsidRPr="00E86F27">
        <w:t>každý</w:t>
      </w:r>
      <w:r>
        <w:t xml:space="preserve"> </w:t>
      </w:r>
      <w:r w:rsidRPr="00E86F27">
        <w:t>druhý</w:t>
      </w:r>
      <w:r>
        <w:t xml:space="preserve"> </w:t>
      </w:r>
      <w:r w:rsidRPr="00E86F27">
        <w:t>rok</w:t>
      </w:r>
      <w:r>
        <w:t xml:space="preserve"> </w:t>
      </w:r>
      <w:r w:rsidRPr="00E86F27">
        <w:t>do</w:t>
      </w:r>
      <w:r>
        <w:t xml:space="preserve"> </w:t>
      </w:r>
      <w:r w:rsidRPr="00E86F27">
        <w:t>31.</w:t>
      </w:r>
      <w:r>
        <w:t xml:space="preserve"> </w:t>
      </w:r>
      <w:r w:rsidRPr="00E86F27">
        <w:t>března</w:t>
      </w:r>
      <w:r>
        <w:t xml:space="preserve"> </w:t>
      </w:r>
      <w:r w:rsidRPr="00E86F27">
        <w:t>upřesňovat</w:t>
      </w:r>
      <w:r>
        <w:t xml:space="preserve"> </w:t>
      </w:r>
      <w:r w:rsidRPr="00E86F27">
        <w:t>podklady</w:t>
      </w:r>
      <w:r>
        <w:t xml:space="preserve"> </w:t>
      </w:r>
      <w:r w:rsidRPr="00E86F27">
        <w:t>pro</w:t>
      </w:r>
      <w:r>
        <w:t xml:space="preserve"> </w:t>
      </w:r>
      <w:r w:rsidRPr="00E86F27">
        <w:t>zpracování</w:t>
      </w:r>
      <w:r>
        <w:t xml:space="preserve"> </w:t>
      </w:r>
      <w:r w:rsidRPr="00E86F27">
        <w:t>plánu</w:t>
      </w:r>
      <w:r>
        <w:t xml:space="preserve"> </w:t>
      </w:r>
      <w:r w:rsidRPr="00E86F27">
        <w:t>preventivních</w:t>
      </w:r>
      <w:r>
        <w:t xml:space="preserve"> </w:t>
      </w:r>
      <w:r w:rsidRPr="00E86F27">
        <w:t>opatření</w:t>
      </w:r>
      <w:r>
        <w:t xml:space="preserve"> </w:t>
      </w:r>
      <w:r w:rsidRPr="00E86F27">
        <w:t>a</w:t>
      </w:r>
      <w:r>
        <w:t xml:space="preserve"> </w:t>
      </w:r>
      <w:r w:rsidRPr="00E86F27">
        <w:t>plánu</w:t>
      </w:r>
      <w:r>
        <w:t xml:space="preserve"> </w:t>
      </w:r>
      <w:r w:rsidRPr="00E86F27">
        <w:t>pro</w:t>
      </w:r>
      <w:r>
        <w:t xml:space="preserve"> </w:t>
      </w:r>
      <w:r w:rsidRPr="00E86F27">
        <w:t>stav</w:t>
      </w:r>
      <w:r>
        <w:t xml:space="preserve"> </w:t>
      </w:r>
      <w:r w:rsidRPr="00E86F27">
        <w:t>nouze</w:t>
      </w:r>
      <w:r>
        <w:t xml:space="preserve"> </w:t>
      </w:r>
      <w:r w:rsidRPr="00E86F27">
        <w:t>a</w:t>
      </w:r>
      <w:r>
        <w:t xml:space="preserve"> </w:t>
      </w:r>
      <w:r w:rsidRPr="00E86F27">
        <w:t>zasílat</w:t>
      </w:r>
      <w:r>
        <w:t xml:space="preserve"> </w:t>
      </w:r>
      <w:r w:rsidRPr="00E86F27">
        <w:t>je</w:t>
      </w:r>
      <w:r>
        <w:t xml:space="preserve"> </w:t>
      </w:r>
      <w:r w:rsidRPr="00E86F27">
        <w:t>ministerstvu,</w:t>
      </w:r>
    </w:p>
    <w:p w14:paraId="43B4F445" w14:textId="77777777" w:rsidR="001E38CA" w:rsidRDefault="001E38CA" w:rsidP="002E6AEA">
      <w:pPr>
        <w:pStyle w:val="Textparagrafu"/>
        <w:tabs>
          <w:tab w:val="left" w:pos="392"/>
          <w:tab w:val="left" w:pos="840"/>
        </w:tabs>
        <w:spacing w:before="0"/>
        <w:ind w:left="426" w:hanging="426"/>
      </w:pPr>
      <w:r w:rsidRPr="00E86F27">
        <w:t>c)</w:t>
      </w:r>
      <w:r>
        <w:tab/>
      </w:r>
      <w:r w:rsidRPr="00E86F27">
        <w:t>hradit</w:t>
      </w:r>
      <w:r>
        <w:t xml:space="preserve"> </w:t>
      </w:r>
      <w:r w:rsidRPr="00E86F27">
        <w:t>operátorovi</w:t>
      </w:r>
      <w:r>
        <w:t xml:space="preserve"> </w:t>
      </w:r>
      <w:r w:rsidRPr="00E86F27">
        <w:t>trhu</w:t>
      </w:r>
      <w:r>
        <w:t xml:space="preserve"> </w:t>
      </w:r>
      <w:r w:rsidRPr="00E86F27">
        <w:t>cenu</w:t>
      </w:r>
      <w:r>
        <w:t xml:space="preserve"> </w:t>
      </w:r>
      <w:r w:rsidRPr="00E86F27">
        <w:t>za</w:t>
      </w:r>
      <w:r>
        <w:t xml:space="preserve"> </w:t>
      </w:r>
      <w:r w:rsidRPr="00E86F27">
        <w:t>činnosti</w:t>
      </w:r>
      <w:r>
        <w:t xml:space="preserve"> </w:t>
      </w:r>
      <w:r w:rsidRPr="00E86F27">
        <w:t>operátora</w:t>
      </w:r>
      <w:r>
        <w:t xml:space="preserve"> </w:t>
      </w:r>
      <w:r w:rsidRPr="00E86F27">
        <w:t>trhu</w:t>
      </w:r>
      <w:r>
        <w:t xml:space="preserve"> </w:t>
      </w:r>
      <w:r w:rsidRPr="00E86F27">
        <w:t>podle</w:t>
      </w:r>
      <w:r>
        <w:t xml:space="preserve"> </w:t>
      </w:r>
      <w:r w:rsidRPr="00E86F27">
        <w:t>Pravidel</w:t>
      </w:r>
      <w:r>
        <w:t xml:space="preserve"> </w:t>
      </w:r>
      <w:r w:rsidRPr="00E86F27">
        <w:t>trhu</w:t>
      </w:r>
      <w:r>
        <w:t xml:space="preserve"> </w:t>
      </w:r>
      <w:r w:rsidRPr="00E86F27">
        <w:t>s</w:t>
      </w:r>
      <w:r>
        <w:t xml:space="preserve"> </w:t>
      </w:r>
      <w:r w:rsidRPr="00E86F27">
        <w:t>plynem,</w:t>
      </w:r>
    </w:p>
    <w:p w14:paraId="100BD79B" w14:textId="77777777" w:rsidR="001E38CA" w:rsidRDefault="001E38CA" w:rsidP="002E6AEA">
      <w:pPr>
        <w:pStyle w:val="Textparagrafu"/>
        <w:tabs>
          <w:tab w:val="left" w:pos="392"/>
          <w:tab w:val="left" w:pos="840"/>
        </w:tabs>
        <w:spacing w:before="0"/>
        <w:ind w:left="426" w:hanging="426"/>
      </w:pPr>
      <w:r w:rsidRPr="00E86F27">
        <w:lastRenderedPageBreak/>
        <w:t>d)</w:t>
      </w:r>
      <w:r>
        <w:tab/>
      </w:r>
      <w:r w:rsidRPr="00E86F27">
        <w:t>registrovat</w:t>
      </w:r>
      <w:r>
        <w:t xml:space="preserve"> </w:t>
      </w:r>
      <w:r w:rsidRPr="00E86F27">
        <w:t>odběrná</w:t>
      </w:r>
      <w:r>
        <w:t xml:space="preserve"> </w:t>
      </w:r>
      <w:r w:rsidRPr="00E86F27">
        <w:t>místa</w:t>
      </w:r>
      <w:r>
        <w:t xml:space="preserve"> </w:t>
      </w:r>
      <w:r w:rsidRPr="00E86F27">
        <w:t>a</w:t>
      </w:r>
      <w:r>
        <w:t xml:space="preserve"> </w:t>
      </w:r>
      <w:r w:rsidRPr="00E86F27">
        <w:t>předávací</w:t>
      </w:r>
      <w:r>
        <w:t xml:space="preserve"> </w:t>
      </w:r>
      <w:r w:rsidRPr="00E86F27">
        <w:t>místa</w:t>
      </w:r>
      <w:r>
        <w:t xml:space="preserve"> </w:t>
      </w:r>
      <w:r w:rsidRPr="00E86F27">
        <w:t>u</w:t>
      </w:r>
      <w:r>
        <w:t xml:space="preserve"> </w:t>
      </w:r>
      <w:r w:rsidRPr="00E86F27">
        <w:t>operátora</w:t>
      </w:r>
      <w:r>
        <w:t xml:space="preserve"> </w:t>
      </w:r>
      <w:r w:rsidRPr="00E86F27">
        <w:t>trhu,</w:t>
      </w:r>
    </w:p>
    <w:p w14:paraId="315B154C" w14:textId="77777777" w:rsidR="001E38CA" w:rsidRDefault="001E38CA" w:rsidP="002E6AEA">
      <w:pPr>
        <w:pStyle w:val="Textparagrafu"/>
        <w:tabs>
          <w:tab w:val="left" w:pos="392"/>
          <w:tab w:val="left" w:pos="840"/>
        </w:tabs>
        <w:spacing w:before="0"/>
        <w:ind w:left="426" w:hanging="426"/>
      </w:pPr>
      <w:r w:rsidRPr="00E86F27">
        <w:t>e)</w:t>
      </w:r>
      <w:r>
        <w:tab/>
      </w:r>
      <w:r w:rsidRPr="00E86F27">
        <w:t>nezneužívat</w:t>
      </w:r>
      <w:r>
        <w:t xml:space="preserve"> </w:t>
      </w:r>
      <w:r w:rsidRPr="00E86F27">
        <w:t>chráněné</w:t>
      </w:r>
      <w:r>
        <w:t xml:space="preserve"> </w:t>
      </w:r>
      <w:r w:rsidRPr="00E86F27">
        <w:t>informace</w:t>
      </w:r>
      <w:r>
        <w:t xml:space="preserve"> </w:t>
      </w:r>
      <w:r w:rsidRPr="00E86F27">
        <w:t>získané</w:t>
      </w:r>
      <w:r>
        <w:t xml:space="preserve"> </w:t>
      </w:r>
      <w:r w:rsidRPr="00E86F27">
        <w:t>od</w:t>
      </w:r>
      <w:r>
        <w:t xml:space="preserve"> </w:t>
      </w:r>
      <w:r w:rsidRPr="00E86F27">
        <w:t>třetích</w:t>
      </w:r>
      <w:r>
        <w:t xml:space="preserve"> </w:t>
      </w:r>
      <w:r w:rsidRPr="00E86F27">
        <w:t>osob</w:t>
      </w:r>
      <w:r>
        <w:t xml:space="preserve"> </w:t>
      </w:r>
      <w:r w:rsidRPr="00E86F27">
        <w:t>v</w:t>
      </w:r>
      <w:r>
        <w:t xml:space="preserve"> </w:t>
      </w:r>
      <w:r w:rsidRPr="00E86F27">
        <w:t>souvislosti</w:t>
      </w:r>
      <w:r>
        <w:t xml:space="preserve"> </w:t>
      </w:r>
      <w:r w:rsidRPr="00E86F27">
        <w:t>s</w:t>
      </w:r>
      <w:r>
        <w:t xml:space="preserve"> </w:t>
      </w:r>
      <w:r w:rsidRPr="00E86F27">
        <w:t>poskytováním</w:t>
      </w:r>
      <w:r>
        <w:t xml:space="preserve"> </w:t>
      </w:r>
      <w:r w:rsidRPr="00E86F27">
        <w:t>nebo</w:t>
      </w:r>
      <w:r>
        <w:t xml:space="preserve"> </w:t>
      </w:r>
      <w:r w:rsidRPr="00E86F27">
        <w:t>sjednáváním</w:t>
      </w:r>
      <w:r>
        <w:t xml:space="preserve"> </w:t>
      </w:r>
      <w:r w:rsidRPr="00E86F27">
        <w:t>přístupu</w:t>
      </w:r>
      <w:r>
        <w:t xml:space="preserve"> </w:t>
      </w:r>
      <w:r w:rsidRPr="00E86F27">
        <w:t>k</w:t>
      </w:r>
      <w:r>
        <w:t xml:space="preserve"> </w:t>
      </w:r>
      <w:r w:rsidRPr="00E86F27">
        <w:t>přepravní</w:t>
      </w:r>
      <w:r>
        <w:t xml:space="preserve"> </w:t>
      </w:r>
      <w:r w:rsidRPr="00E86F27">
        <w:t>soustavě</w:t>
      </w:r>
      <w:r>
        <w:t xml:space="preserve"> </w:t>
      </w:r>
      <w:r w:rsidRPr="00E86F27">
        <w:t>při</w:t>
      </w:r>
      <w:r>
        <w:t xml:space="preserve"> </w:t>
      </w:r>
      <w:r w:rsidRPr="00E86F27">
        <w:t>prodeji</w:t>
      </w:r>
      <w:r>
        <w:t xml:space="preserve"> </w:t>
      </w:r>
      <w:r w:rsidRPr="00E86F27">
        <w:t>nebo</w:t>
      </w:r>
      <w:r>
        <w:t xml:space="preserve"> </w:t>
      </w:r>
      <w:r w:rsidRPr="00E86F27">
        <w:t>nákupu</w:t>
      </w:r>
      <w:r>
        <w:t xml:space="preserve"> </w:t>
      </w:r>
      <w:r w:rsidRPr="00E86F27">
        <w:t>plynu</w:t>
      </w:r>
      <w:r>
        <w:t xml:space="preserve"> </w:t>
      </w:r>
      <w:r w:rsidRPr="00E86F27">
        <w:t>realizovaným</w:t>
      </w:r>
      <w:r>
        <w:t xml:space="preserve"> </w:t>
      </w:r>
      <w:r w:rsidRPr="00E86F27">
        <w:t>podnikem</w:t>
      </w:r>
      <w:r>
        <w:t xml:space="preserve"> </w:t>
      </w:r>
      <w:r w:rsidRPr="00E86F27">
        <w:t>ve</w:t>
      </w:r>
      <w:r>
        <w:t xml:space="preserve"> </w:t>
      </w:r>
      <w:r w:rsidRPr="00E86F27">
        <w:t>skupině,</w:t>
      </w:r>
    </w:p>
    <w:p w14:paraId="0E4CE319" w14:textId="77777777" w:rsidR="001E38CA" w:rsidRDefault="001E38CA" w:rsidP="002E6AEA">
      <w:pPr>
        <w:pStyle w:val="Textparagrafu"/>
        <w:tabs>
          <w:tab w:val="left" w:pos="392"/>
          <w:tab w:val="left" w:pos="840"/>
        </w:tabs>
        <w:spacing w:before="0"/>
        <w:ind w:left="426" w:hanging="426"/>
      </w:pPr>
      <w:r w:rsidRPr="00E86F27">
        <w:t>f)</w:t>
      </w:r>
      <w:r>
        <w:tab/>
      </w:r>
      <w:r w:rsidRPr="00E86F27">
        <w:t>zajišťovat,</w:t>
      </w:r>
      <w:r>
        <w:t xml:space="preserve"> </w:t>
      </w:r>
      <w:r w:rsidRPr="00E86F27">
        <w:t>aby</w:t>
      </w:r>
      <w:r>
        <w:t xml:space="preserve"> </w:t>
      </w:r>
      <w:r w:rsidRPr="00E86F27">
        <w:t>chráněné</w:t>
      </w:r>
      <w:r>
        <w:t xml:space="preserve"> </w:t>
      </w:r>
      <w:r w:rsidRPr="00E86F27">
        <w:t>informace</w:t>
      </w:r>
      <w:r>
        <w:t xml:space="preserve"> </w:t>
      </w:r>
      <w:r w:rsidRPr="00E86F27">
        <w:t>nebyly</w:t>
      </w:r>
      <w:r>
        <w:t xml:space="preserve"> </w:t>
      </w:r>
      <w:r w:rsidRPr="00E86F27">
        <w:t>přeneseny</w:t>
      </w:r>
      <w:r>
        <w:t xml:space="preserve"> </w:t>
      </w:r>
      <w:r w:rsidRPr="00E86F27">
        <w:t>a</w:t>
      </w:r>
      <w:r>
        <w:t xml:space="preserve"> </w:t>
      </w:r>
      <w:r w:rsidRPr="00E86F27">
        <w:t>zaměstnanci</w:t>
      </w:r>
      <w:r>
        <w:t xml:space="preserve"> </w:t>
      </w:r>
      <w:r w:rsidRPr="00E86F27">
        <w:t>nebyli</w:t>
      </w:r>
      <w:r>
        <w:t xml:space="preserve"> </w:t>
      </w:r>
      <w:r w:rsidRPr="00E86F27">
        <w:t>převedeni</w:t>
      </w:r>
      <w:r>
        <w:t xml:space="preserve"> </w:t>
      </w:r>
      <w:r w:rsidRPr="00E86F27">
        <w:t>k</w:t>
      </w:r>
      <w:r>
        <w:t xml:space="preserve"> </w:t>
      </w:r>
      <w:r w:rsidRPr="00E86F27">
        <w:t>výrobci</w:t>
      </w:r>
      <w:r>
        <w:t xml:space="preserve"> </w:t>
      </w:r>
      <w:r w:rsidRPr="00E86F27">
        <w:t>plynu,</w:t>
      </w:r>
      <w:r>
        <w:t xml:space="preserve"> </w:t>
      </w:r>
      <w:r w:rsidRPr="00E86F27">
        <w:t>obchodníkovi</w:t>
      </w:r>
      <w:r>
        <w:t xml:space="preserve"> </w:t>
      </w:r>
      <w:r w:rsidRPr="00E86F27">
        <w:t>s</w:t>
      </w:r>
      <w:r>
        <w:t xml:space="preserve"> </w:t>
      </w:r>
      <w:r w:rsidRPr="00E86F27">
        <w:t>plynem,</w:t>
      </w:r>
      <w:r>
        <w:t xml:space="preserve"> </w:t>
      </w:r>
      <w:r w:rsidRPr="00E86F27">
        <w:t>provozovateli</w:t>
      </w:r>
      <w:r>
        <w:t xml:space="preserve"> </w:t>
      </w:r>
      <w:r w:rsidRPr="00E86F27">
        <w:t>zásobníku</w:t>
      </w:r>
      <w:r>
        <w:t xml:space="preserve"> </w:t>
      </w:r>
      <w:r w:rsidRPr="00E86F27">
        <w:t>plynu</w:t>
      </w:r>
      <w:r>
        <w:t xml:space="preserve"> </w:t>
      </w:r>
      <w:r w:rsidRPr="00E86F27">
        <w:t>nebo</w:t>
      </w:r>
      <w:r>
        <w:t xml:space="preserve"> </w:t>
      </w:r>
      <w:r w:rsidRPr="00E86F27">
        <w:t>provozovateli</w:t>
      </w:r>
      <w:r>
        <w:t xml:space="preserve"> </w:t>
      </w:r>
      <w:r w:rsidRPr="00E86F27">
        <w:t>distribuční</w:t>
      </w:r>
      <w:r>
        <w:t xml:space="preserve"> </w:t>
      </w:r>
      <w:r w:rsidRPr="00E86F27">
        <w:t>soustavy,</w:t>
      </w:r>
    </w:p>
    <w:p w14:paraId="36B0EB6F" w14:textId="77777777" w:rsidR="001E38CA" w:rsidRDefault="001E38CA" w:rsidP="002E6AEA">
      <w:pPr>
        <w:pStyle w:val="Textparagrafu"/>
        <w:tabs>
          <w:tab w:val="left" w:pos="392"/>
          <w:tab w:val="left" w:pos="840"/>
        </w:tabs>
        <w:spacing w:before="0"/>
        <w:ind w:left="426" w:hanging="426"/>
      </w:pPr>
      <w:r w:rsidRPr="00E86F27">
        <w:t>g)</w:t>
      </w:r>
      <w:r>
        <w:tab/>
      </w:r>
      <w:r w:rsidRPr="00E86F27">
        <w:t>nabízet</w:t>
      </w:r>
      <w:r>
        <w:t xml:space="preserve"> </w:t>
      </w:r>
      <w:r w:rsidRPr="00E86F27">
        <w:t>přepravní</w:t>
      </w:r>
      <w:r>
        <w:t xml:space="preserve"> </w:t>
      </w:r>
      <w:r w:rsidRPr="00E86F27">
        <w:t>kapacitu,</w:t>
      </w:r>
      <w:r>
        <w:t xml:space="preserve"> </w:t>
      </w:r>
      <w:r w:rsidRPr="00E86F27">
        <w:t>ke</w:t>
      </w:r>
      <w:r>
        <w:t xml:space="preserve"> </w:t>
      </w:r>
      <w:r w:rsidRPr="00E86F27">
        <w:t>které</w:t>
      </w:r>
      <w:r>
        <w:t xml:space="preserve"> </w:t>
      </w:r>
      <w:r w:rsidRPr="00E86F27">
        <w:t>zaniklo</w:t>
      </w:r>
      <w:r>
        <w:t xml:space="preserve"> </w:t>
      </w:r>
      <w:r w:rsidRPr="00E86F27">
        <w:t>účastníkovi</w:t>
      </w:r>
      <w:r>
        <w:t xml:space="preserve"> </w:t>
      </w:r>
      <w:r w:rsidRPr="00E86F27">
        <w:t>trhu</w:t>
      </w:r>
      <w:r>
        <w:t xml:space="preserve"> </w:t>
      </w:r>
      <w:r w:rsidRPr="00E86F27">
        <w:t>s</w:t>
      </w:r>
      <w:r>
        <w:t xml:space="preserve"> </w:t>
      </w:r>
      <w:r w:rsidRPr="00E86F27">
        <w:t>plynem</w:t>
      </w:r>
      <w:r>
        <w:t xml:space="preserve"> </w:t>
      </w:r>
      <w:r w:rsidRPr="00E86F27">
        <w:t>právo</w:t>
      </w:r>
      <w:r>
        <w:t xml:space="preserve"> </w:t>
      </w:r>
      <w:r w:rsidRPr="00E86F27">
        <w:t>na</w:t>
      </w:r>
      <w:r>
        <w:t xml:space="preserve"> </w:t>
      </w:r>
      <w:r w:rsidRPr="00E86F27">
        <w:t>její</w:t>
      </w:r>
      <w:r>
        <w:t xml:space="preserve"> </w:t>
      </w:r>
      <w:r w:rsidRPr="00E86F27">
        <w:t>využívání</w:t>
      </w:r>
      <w:r>
        <w:t xml:space="preserve"> </w:t>
      </w:r>
      <w:r w:rsidRPr="00E86F27">
        <w:t>podle</w:t>
      </w:r>
      <w:r>
        <w:t xml:space="preserve"> </w:t>
      </w:r>
      <w:r w:rsidRPr="00E86F27">
        <w:t>§</w:t>
      </w:r>
      <w:r>
        <w:t xml:space="preserve"> </w:t>
      </w:r>
      <w:r w:rsidRPr="00E86F27">
        <w:t>56</w:t>
      </w:r>
      <w:r>
        <w:t xml:space="preserve"> </w:t>
      </w:r>
      <w:r w:rsidRPr="00E86F27">
        <w:t>odst.</w:t>
      </w:r>
      <w:r>
        <w:t xml:space="preserve"> </w:t>
      </w:r>
      <w:r w:rsidRPr="00E86F27">
        <w:t>4,</w:t>
      </w:r>
      <w:r>
        <w:t xml:space="preserve"> </w:t>
      </w:r>
      <w:r w:rsidRPr="00E86F27">
        <w:t>jako</w:t>
      </w:r>
      <w:r>
        <w:t xml:space="preserve"> </w:t>
      </w:r>
      <w:r w:rsidRPr="00E86F27">
        <w:t>volnou</w:t>
      </w:r>
      <w:r>
        <w:t xml:space="preserve"> </w:t>
      </w:r>
      <w:r w:rsidRPr="00E86F27">
        <w:t>přepravní</w:t>
      </w:r>
      <w:r>
        <w:t xml:space="preserve"> </w:t>
      </w:r>
      <w:r w:rsidRPr="00E86F27">
        <w:t>kapacitu.</w:t>
      </w:r>
    </w:p>
    <w:p w14:paraId="3C44C163" w14:textId="77777777" w:rsidR="001E38CA" w:rsidRPr="00E86F27" w:rsidRDefault="001E38CA" w:rsidP="0010420C">
      <w:pPr>
        <w:pStyle w:val="Textparagrafu"/>
        <w:tabs>
          <w:tab w:val="left" w:pos="392"/>
          <w:tab w:val="left" w:pos="840"/>
        </w:tabs>
        <w:spacing w:before="120" w:after="120"/>
      </w:pPr>
      <w:r w:rsidRPr="00E86F27">
        <w:t>(10)</w:t>
      </w:r>
      <w:r>
        <w:t xml:space="preserve"> </w:t>
      </w:r>
      <w:r w:rsidRPr="00E86F27">
        <w:t>Právnická</w:t>
      </w:r>
      <w:r>
        <w:t xml:space="preserve"> </w:t>
      </w:r>
      <w:r w:rsidRPr="00E86F27">
        <w:t>osoba</w:t>
      </w:r>
      <w:r>
        <w:t xml:space="preserve"> </w:t>
      </w:r>
      <w:r w:rsidRPr="00E86F27">
        <w:t>založená</w:t>
      </w:r>
      <w:r>
        <w:t xml:space="preserve"> </w:t>
      </w:r>
      <w:r w:rsidRPr="00E86F27">
        <w:t>za</w:t>
      </w:r>
      <w:r>
        <w:t xml:space="preserve"> </w:t>
      </w:r>
      <w:r w:rsidRPr="00E86F27">
        <w:t>účelem</w:t>
      </w:r>
      <w:r>
        <w:t xml:space="preserve"> </w:t>
      </w:r>
      <w:r w:rsidRPr="00E86F27">
        <w:t>spolupráce</w:t>
      </w:r>
      <w:r>
        <w:t xml:space="preserve"> </w:t>
      </w:r>
      <w:r w:rsidRPr="00E86F27">
        <w:t>podle</w:t>
      </w:r>
      <w:r>
        <w:t xml:space="preserve"> </w:t>
      </w:r>
      <w:r w:rsidRPr="00E86F27">
        <w:t>odstavce</w:t>
      </w:r>
      <w:r>
        <w:t xml:space="preserve"> </w:t>
      </w:r>
      <w:r w:rsidRPr="00E86F27">
        <w:t>8</w:t>
      </w:r>
      <w:r>
        <w:t xml:space="preserve"> </w:t>
      </w:r>
      <w:r w:rsidRPr="00E86F27">
        <w:t>písm.</w:t>
      </w:r>
      <w:r>
        <w:t xml:space="preserve"> </w:t>
      </w:r>
      <w:r w:rsidRPr="00E86F27">
        <w:t>x)</w:t>
      </w:r>
      <w:r>
        <w:t xml:space="preserve"> </w:t>
      </w:r>
      <w:r w:rsidRPr="00E86F27">
        <w:t>je</w:t>
      </w:r>
      <w:r>
        <w:t xml:space="preserve"> </w:t>
      </w:r>
      <w:r w:rsidRPr="00E86F27">
        <w:t>povinna</w:t>
      </w:r>
      <w:r>
        <w:t xml:space="preserve"> </w:t>
      </w:r>
      <w:r w:rsidRPr="00E86F27">
        <w:t>přijmout</w:t>
      </w:r>
      <w:r>
        <w:t xml:space="preserve"> </w:t>
      </w:r>
      <w:r w:rsidRPr="00E86F27">
        <w:t>a</w:t>
      </w:r>
      <w:r>
        <w:t xml:space="preserve"> </w:t>
      </w:r>
      <w:r w:rsidRPr="00E86F27">
        <w:t>provádět</w:t>
      </w:r>
      <w:r>
        <w:t xml:space="preserve"> </w:t>
      </w:r>
      <w:r w:rsidRPr="00E86F27">
        <w:t>vnitřním</w:t>
      </w:r>
      <w:r>
        <w:t xml:space="preserve"> </w:t>
      </w:r>
      <w:r w:rsidRPr="00E86F27">
        <w:t>předpisem</w:t>
      </w:r>
      <w:r>
        <w:t xml:space="preserve"> </w:t>
      </w:r>
      <w:r w:rsidRPr="00E86F27">
        <w:t>program</w:t>
      </w:r>
      <w:r>
        <w:t xml:space="preserve"> </w:t>
      </w:r>
      <w:r w:rsidRPr="00E86F27">
        <w:t>rovného</w:t>
      </w:r>
      <w:r>
        <w:t xml:space="preserve"> </w:t>
      </w:r>
      <w:r w:rsidRPr="00E86F27">
        <w:t>zacházení,</w:t>
      </w:r>
      <w:r>
        <w:t xml:space="preserve"> </w:t>
      </w:r>
      <w:r w:rsidRPr="00E86F27">
        <w:t>pokud</w:t>
      </w:r>
      <w:r>
        <w:t xml:space="preserve"> </w:t>
      </w:r>
      <w:r w:rsidRPr="00E86F27">
        <w:t>se</w:t>
      </w:r>
      <w:r>
        <w:t xml:space="preserve"> </w:t>
      </w:r>
      <w:r w:rsidRPr="00E86F27">
        <w:t>na</w:t>
      </w:r>
      <w:r>
        <w:t xml:space="preserve"> </w:t>
      </w:r>
      <w:r w:rsidRPr="00E86F27">
        <w:t>založení</w:t>
      </w:r>
      <w:r>
        <w:t xml:space="preserve"> </w:t>
      </w:r>
      <w:r w:rsidRPr="00E86F27">
        <w:t>nebo</w:t>
      </w:r>
      <w:r>
        <w:t xml:space="preserve"> </w:t>
      </w:r>
      <w:r w:rsidRPr="00E86F27">
        <w:t>činnosti</w:t>
      </w:r>
      <w:r>
        <w:t xml:space="preserve"> </w:t>
      </w:r>
      <w:r w:rsidRPr="00E86F27">
        <w:t>této</w:t>
      </w:r>
      <w:r>
        <w:t xml:space="preserve"> </w:t>
      </w:r>
      <w:r w:rsidRPr="00E86F27">
        <w:t>právnické</w:t>
      </w:r>
      <w:r>
        <w:t xml:space="preserve"> </w:t>
      </w:r>
      <w:r w:rsidRPr="00E86F27">
        <w:t>osoby</w:t>
      </w:r>
      <w:r>
        <w:t xml:space="preserve"> </w:t>
      </w:r>
      <w:r w:rsidRPr="00E86F27">
        <w:t>účastní</w:t>
      </w:r>
      <w:r>
        <w:t xml:space="preserve"> </w:t>
      </w:r>
      <w:r w:rsidRPr="00E86F27">
        <w:t>provozovatel</w:t>
      </w:r>
      <w:r>
        <w:t xml:space="preserve"> </w:t>
      </w:r>
      <w:r w:rsidRPr="00E86F27">
        <w:t>přepravní</w:t>
      </w:r>
      <w:r>
        <w:t xml:space="preserve"> </w:t>
      </w:r>
      <w:r w:rsidRPr="00E86F27">
        <w:t>soustavy,</w:t>
      </w:r>
      <w:r>
        <w:t xml:space="preserve"> </w:t>
      </w:r>
      <w:r w:rsidRPr="00E86F27">
        <w:t>který</w:t>
      </w:r>
      <w:r>
        <w:t xml:space="preserve"> </w:t>
      </w:r>
      <w:r w:rsidRPr="00E86F27">
        <w:t>je</w:t>
      </w:r>
      <w:r>
        <w:t xml:space="preserve"> </w:t>
      </w:r>
      <w:r w:rsidRPr="00E86F27">
        <w:t>součástí</w:t>
      </w:r>
      <w:r>
        <w:t xml:space="preserve"> </w:t>
      </w:r>
      <w:r w:rsidRPr="00E86F27">
        <w:t>vertikálně</w:t>
      </w:r>
      <w:r>
        <w:t xml:space="preserve"> </w:t>
      </w:r>
      <w:r w:rsidRPr="00E86F27">
        <w:t>integrovaného</w:t>
      </w:r>
      <w:r>
        <w:t xml:space="preserve"> </w:t>
      </w:r>
      <w:r w:rsidRPr="00E86F27">
        <w:t>plynárenského</w:t>
      </w:r>
      <w:r>
        <w:t xml:space="preserve"> </w:t>
      </w:r>
      <w:r w:rsidRPr="00E86F27">
        <w:t>podnikatele.</w:t>
      </w:r>
      <w:r>
        <w:t xml:space="preserve"> </w:t>
      </w:r>
      <w:r w:rsidRPr="00E86F27">
        <w:t>Ustanovení</w:t>
      </w:r>
      <w:r>
        <w:t xml:space="preserve"> </w:t>
      </w:r>
      <w:r w:rsidRPr="00E86F27">
        <w:t>§</w:t>
      </w:r>
      <w:r>
        <w:t xml:space="preserve"> </w:t>
      </w:r>
      <w:r w:rsidRPr="00E86F27">
        <w:t>58i</w:t>
      </w:r>
      <w:r>
        <w:t xml:space="preserve"> </w:t>
      </w:r>
      <w:r w:rsidRPr="00E86F27">
        <w:t>a</w:t>
      </w:r>
      <w:r>
        <w:t xml:space="preserve"> </w:t>
      </w:r>
      <w:r w:rsidRPr="00E86F27">
        <w:t>58j</w:t>
      </w:r>
      <w:r>
        <w:t xml:space="preserve"> </w:t>
      </w:r>
      <w:r w:rsidRPr="00E86F27">
        <w:t>se</w:t>
      </w:r>
      <w:r>
        <w:t xml:space="preserve"> </w:t>
      </w:r>
      <w:r w:rsidRPr="00E86F27">
        <w:t>použijí</w:t>
      </w:r>
      <w:r>
        <w:t xml:space="preserve"> </w:t>
      </w:r>
      <w:r w:rsidRPr="00E86F27">
        <w:t>obdobně.</w:t>
      </w:r>
    </w:p>
    <w:p w14:paraId="1830903C" w14:textId="69A75C84" w:rsidR="002235D1" w:rsidRDefault="002235D1" w:rsidP="0010420C">
      <w:pPr>
        <w:pStyle w:val="Textparagrafu"/>
        <w:keepNext/>
        <w:keepLines/>
        <w:tabs>
          <w:tab w:val="left" w:pos="392"/>
          <w:tab w:val="left" w:pos="840"/>
        </w:tabs>
        <w:spacing w:after="120"/>
        <w:ind w:firstLine="0"/>
        <w:jc w:val="center"/>
      </w:pPr>
      <w:r>
        <w:t>***</w:t>
      </w:r>
    </w:p>
    <w:p w14:paraId="79BA44A0" w14:textId="5DD0393C" w:rsidR="00FF7A85" w:rsidRDefault="00FF7A85" w:rsidP="0010420C">
      <w:pPr>
        <w:pStyle w:val="Textparagrafu"/>
        <w:keepNext/>
        <w:keepLines/>
        <w:tabs>
          <w:tab w:val="left" w:pos="392"/>
          <w:tab w:val="left" w:pos="840"/>
        </w:tabs>
        <w:spacing w:after="120"/>
        <w:ind w:firstLine="0"/>
        <w:jc w:val="center"/>
      </w:pPr>
      <w:r w:rsidRPr="00803E13">
        <w:t>§</w:t>
      </w:r>
      <w:r>
        <w:t xml:space="preserve"> </w:t>
      </w:r>
      <w:r w:rsidRPr="00803E13">
        <w:t>58h</w:t>
      </w:r>
    </w:p>
    <w:p w14:paraId="79E79D2A" w14:textId="77777777" w:rsidR="00FF7A85" w:rsidRPr="00803E13" w:rsidRDefault="00FF7A85" w:rsidP="0010420C">
      <w:pPr>
        <w:pStyle w:val="Textparagrafu"/>
        <w:keepNext/>
        <w:keepLines/>
        <w:tabs>
          <w:tab w:val="left" w:pos="392"/>
          <w:tab w:val="left" w:pos="840"/>
        </w:tabs>
        <w:spacing w:after="120"/>
        <w:ind w:firstLine="0"/>
        <w:jc w:val="center"/>
        <w:rPr>
          <w:b/>
        </w:rPr>
      </w:pPr>
      <w:r w:rsidRPr="00803E13">
        <w:rPr>
          <w:b/>
        </w:rPr>
        <w:t>Požadavky na zdroje nezávislého provozovatele přepravní soustavy a jeho samostatnost</w:t>
      </w:r>
    </w:p>
    <w:p w14:paraId="45855BF4" w14:textId="77777777" w:rsidR="00FF7A85" w:rsidRDefault="00FF7A85" w:rsidP="0010420C">
      <w:pPr>
        <w:pStyle w:val="Textparagrafu"/>
        <w:tabs>
          <w:tab w:val="left" w:pos="392"/>
          <w:tab w:val="left" w:pos="840"/>
        </w:tabs>
        <w:spacing w:before="120" w:after="120"/>
      </w:pPr>
      <w:r w:rsidRPr="00803E13">
        <w:t>(1)</w:t>
      </w:r>
      <w:r>
        <w:t xml:space="preserve"> </w:t>
      </w:r>
      <w:r w:rsidRPr="00803E13">
        <w:t>Nezávislý</w:t>
      </w:r>
      <w:r>
        <w:t xml:space="preserve"> </w:t>
      </w:r>
      <w:r w:rsidRPr="00803E13">
        <w:t>provozovatel</w:t>
      </w:r>
      <w:r>
        <w:t xml:space="preserve"> </w:t>
      </w:r>
      <w:r w:rsidRPr="00803E13">
        <w:t>přepravní</w:t>
      </w:r>
      <w:r>
        <w:t xml:space="preserve"> </w:t>
      </w:r>
      <w:r w:rsidRPr="00803E13">
        <w:t>soustavy</w:t>
      </w:r>
      <w:r>
        <w:t xml:space="preserve"> </w:t>
      </w:r>
      <w:r w:rsidRPr="00803E13">
        <w:t>musí</w:t>
      </w:r>
      <w:r>
        <w:t xml:space="preserve"> </w:t>
      </w:r>
      <w:r w:rsidRPr="00803E13">
        <w:t>mít</w:t>
      </w:r>
      <w:r>
        <w:t xml:space="preserve"> </w:t>
      </w:r>
      <w:r w:rsidRPr="00803E13">
        <w:t>dostatečné</w:t>
      </w:r>
      <w:r>
        <w:t xml:space="preserve"> </w:t>
      </w:r>
      <w:r w:rsidRPr="00803E13">
        <w:t>lidské,</w:t>
      </w:r>
      <w:r>
        <w:t xml:space="preserve"> </w:t>
      </w:r>
      <w:r w:rsidRPr="00803E13">
        <w:t>technické,</w:t>
      </w:r>
      <w:r>
        <w:t xml:space="preserve"> </w:t>
      </w:r>
      <w:r w:rsidRPr="00803E13">
        <w:t>materiální</w:t>
      </w:r>
      <w:r>
        <w:t xml:space="preserve"> </w:t>
      </w:r>
      <w:r w:rsidRPr="00803E13">
        <w:t>a</w:t>
      </w:r>
      <w:r>
        <w:t xml:space="preserve"> </w:t>
      </w:r>
      <w:r w:rsidRPr="00803E13">
        <w:t>finanční</w:t>
      </w:r>
      <w:r>
        <w:t xml:space="preserve"> </w:t>
      </w:r>
      <w:r w:rsidRPr="00803E13">
        <w:t>zdroje</w:t>
      </w:r>
      <w:r>
        <w:t xml:space="preserve"> </w:t>
      </w:r>
      <w:r w:rsidRPr="00803E13">
        <w:t>potřebné</w:t>
      </w:r>
      <w:r>
        <w:t xml:space="preserve"> </w:t>
      </w:r>
      <w:r w:rsidRPr="00803E13">
        <w:t>pro</w:t>
      </w:r>
      <w:r>
        <w:t xml:space="preserve"> </w:t>
      </w:r>
      <w:r w:rsidRPr="00803E13">
        <w:t>provádění</w:t>
      </w:r>
      <w:r>
        <w:t xml:space="preserve"> </w:t>
      </w:r>
      <w:r w:rsidRPr="00803E13">
        <w:t>přepravy</w:t>
      </w:r>
      <w:r>
        <w:t xml:space="preserve"> </w:t>
      </w:r>
      <w:r w:rsidRPr="00803E13">
        <w:t>plynu</w:t>
      </w:r>
      <w:r>
        <w:t xml:space="preserve"> </w:t>
      </w:r>
      <w:r w:rsidRPr="00803E13">
        <w:t>a</w:t>
      </w:r>
      <w:r>
        <w:t xml:space="preserve"> </w:t>
      </w:r>
      <w:r w:rsidRPr="00803E13">
        <w:t>plnění</w:t>
      </w:r>
      <w:r>
        <w:t xml:space="preserve"> </w:t>
      </w:r>
      <w:r w:rsidRPr="00803E13">
        <w:t>všech</w:t>
      </w:r>
      <w:r>
        <w:t xml:space="preserve"> </w:t>
      </w:r>
      <w:r w:rsidRPr="00803E13">
        <w:t>souvisejících</w:t>
      </w:r>
      <w:r>
        <w:t xml:space="preserve"> </w:t>
      </w:r>
      <w:r w:rsidRPr="00803E13">
        <w:t>povinností.</w:t>
      </w:r>
      <w:r>
        <w:t xml:space="preserve"> </w:t>
      </w:r>
      <w:r w:rsidRPr="00803E13">
        <w:t>Za</w:t>
      </w:r>
      <w:r>
        <w:t xml:space="preserve"> </w:t>
      </w:r>
      <w:r w:rsidRPr="00803E13">
        <w:t>tímto</w:t>
      </w:r>
      <w:r>
        <w:t xml:space="preserve"> </w:t>
      </w:r>
      <w:r w:rsidRPr="00803E13">
        <w:t>účelem</w:t>
      </w:r>
      <w:r>
        <w:t xml:space="preserve"> </w:t>
      </w:r>
      <w:r w:rsidRPr="00803E13">
        <w:t>je</w:t>
      </w:r>
      <w:r>
        <w:t xml:space="preserve"> </w:t>
      </w:r>
      <w:r w:rsidRPr="00803E13">
        <w:t>nezávislý</w:t>
      </w:r>
      <w:r>
        <w:t xml:space="preserve"> </w:t>
      </w:r>
      <w:r w:rsidRPr="00803E13">
        <w:t>provozovatel</w:t>
      </w:r>
      <w:r>
        <w:t xml:space="preserve"> </w:t>
      </w:r>
      <w:r w:rsidRPr="00803E13">
        <w:t>přepravní</w:t>
      </w:r>
      <w:r>
        <w:t xml:space="preserve"> </w:t>
      </w:r>
      <w:r w:rsidRPr="00803E13">
        <w:t>soustavy</w:t>
      </w:r>
      <w:r>
        <w:t xml:space="preserve"> </w:t>
      </w:r>
      <w:r w:rsidRPr="00803E13">
        <w:t>povinen</w:t>
      </w:r>
      <w:r>
        <w:t xml:space="preserve"> </w:t>
      </w:r>
      <w:r w:rsidRPr="00803E13">
        <w:t>zejména:</w:t>
      </w:r>
    </w:p>
    <w:p w14:paraId="282577AF" w14:textId="77777777" w:rsidR="00FF7A85" w:rsidRDefault="00FF7A85" w:rsidP="002E6AEA">
      <w:pPr>
        <w:pStyle w:val="Textparagrafu"/>
        <w:tabs>
          <w:tab w:val="left" w:pos="392"/>
          <w:tab w:val="left" w:pos="840"/>
        </w:tabs>
        <w:spacing w:before="0"/>
        <w:ind w:left="426" w:hanging="426"/>
      </w:pPr>
      <w:r w:rsidRPr="00803E13">
        <w:t>a)</w:t>
      </w:r>
      <w:r>
        <w:tab/>
      </w:r>
      <w:r w:rsidRPr="00803E13">
        <w:t>vlastnit</w:t>
      </w:r>
      <w:r>
        <w:t xml:space="preserve"> </w:t>
      </w:r>
      <w:r w:rsidRPr="00803E13">
        <w:t>přepravní</w:t>
      </w:r>
      <w:r>
        <w:t xml:space="preserve"> </w:t>
      </w:r>
      <w:r w:rsidRPr="00803E13">
        <w:t>soustavu</w:t>
      </w:r>
      <w:r>
        <w:t xml:space="preserve"> </w:t>
      </w:r>
      <w:r w:rsidRPr="00803E13">
        <w:t>a</w:t>
      </w:r>
      <w:r>
        <w:t xml:space="preserve"> </w:t>
      </w:r>
      <w:r w:rsidRPr="00803E13">
        <w:t>další</w:t>
      </w:r>
      <w:r>
        <w:t xml:space="preserve"> </w:t>
      </w:r>
      <w:r w:rsidRPr="00803E13">
        <w:t>majetek</w:t>
      </w:r>
      <w:r>
        <w:t xml:space="preserve"> </w:t>
      </w:r>
      <w:r w:rsidRPr="00803E13">
        <w:t>nezbytný</w:t>
      </w:r>
      <w:r>
        <w:t xml:space="preserve"> </w:t>
      </w:r>
      <w:r w:rsidRPr="00803E13">
        <w:t>pro</w:t>
      </w:r>
      <w:r>
        <w:t xml:space="preserve"> </w:t>
      </w:r>
      <w:r w:rsidRPr="00803E13">
        <w:t>provádění</w:t>
      </w:r>
      <w:r>
        <w:t xml:space="preserve"> </w:t>
      </w:r>
      <w:r w:rsidRPr="00803E13">
        <w:t>přepravy</w:t>
      </w:r>
      <w:r>
        <w:t xml:space="preserve"> </w:t>
      </w:r>
      <w:r w:rsidRPr="00803E13">
        <w:t>plynu,</w:t>
      </w:r>
      <w:r>
        <w:t xml:space="preserve"> </w:t>
      </w:r>
      <w:r w:rsidRPr="00803E13">
        <w:t>s</w:t>
      </w:r>
      <w:r>
        <w:t xml:space="preserve"> </w:t>
      </w:r>
      <w:r w:rsidRPr="00803E13">
        <w:t>výjimkou</w:t>
      </w:r>
      <w:r>
        <w:t xml:space="preserve"> </w:t>
      </w:r>
      <w:r w:rsidRPr="00803E13">
        <w:t>zařízení,</w:t>
      </w:r>
      <w:r>
        <w:t xml:space="preserve"> </w:t>
      </w:r>
      <w:r w:rsidRPr="00803E13">
        <w:t>pro</w:t>
      </w:r>
      <w:r>
        <w:t xml:space="preserve"> </w:t>
      </w:r>
      <w:r w:rsidRPr="00803E13">
        <w:t>která</w:t>
      </w:r>
      <w:r>
        <w:t xml:space="preserve"> </w:t>
      </w:r>
      <w:r w:rsidRPr="00803E13">
        <w:t>byla</w:t>
      </w:r>
      <w:r>
        <w:t xml:space="preserve"> </w:t>
      </w:r>
      <w:r w:rsidRPr="00803E13">
        <w:t>udělena</w:t>
      </w:r>
      <w:r>
        <w:t xml:space="preserve"> </w:t>
      </w:r>
      <w:r w:rsidRPr="00803E13">
        <w:t>výjimka</w:t>
      </w:r>
      <w:r>
        <w:t xml:space="preserve"> </w:t>
      </w:r>
      <w:r w:rsidRPr="00803E13">
        <w:t>podle</w:t>
      </w:r>
      <w:r>
        <w:t xml:space="preserve"> </w:t>
      </w:r>
      <w:r w:rsidRPr="00803E13">
        <w:t>§</w:t>
      </w:r>
      <w:r>
        <w:t xml:space="preserve"> </w:t>
      </w:r>
      <w:r w:rsidRPr="00803E13">
        <w:t>67a,</w:t>
      </w:r>
    </w:p>
    <w:p w14:paraId="406D3876" w14:textId="77777777" w:rsidR="00FF7A85" w:rsidRDefault="00FF7A85" w:rsidP="002E6AEA">
      <w:pPr>
        <w:pStyle w:val="Textparagrafu"/>
        <w:tabs>
          <w:tab w:val="left" w:pos="392"/>
          <w:tab w:val="left" w:pos="840"/>
        </w:tabs>
        <w:spacing w:before="0"/>
        <w:ind w:left="426" w:hanging="426"/>
      </w:pPr>
      <w:r w:rsidRPr="00803E13">
        <w:t>b)</w:t>
      </w:r>
      <w:r>
        <w:tab/>
      </w:r>
      <w:r w:rsidRPr="00803E13">
        <w:t>zaměstnávat</w:t>
      </w:r>
      <w:r>
        <w:t xml:space="preserve"> </w:t>
      </w:r>
      <w:r w:rsidRPr="00803E13">
        <w:t>takový</w:t>
      </w:r>
      <w:r>
        <w:t xml:space="preserve"> </w:t>
      </w:r>
      <w:r w:rsidRPr="00803E13">
        <w:t>počet</w:t>
      </w:r>
      <w:r>
        <w:t xml:space="preserve"> </w:t>
      </w:r>
      <w:r w:rsidRPr="00803E13">
        <w:t>zaměstnanců,</w:t>
      </w:r>
      <w:r>
        <w:t xml:space="preserve"> </w:t>
      </w:r>
      <w:r w:rsidRPr="00803E13">
        <w:t>který</w:t>
      </w:r>
      <w:r>
        <w:t xml:space="preserve"> </w:t>
      </w:r>
      <w:r w:rsidRPr="00803E13">
        <w:t>umožňuje</w:t>
      </w:r>
      <w:r>
        <w:t xml:space="preserve"> </w:t>
      </w:r>
      <w:r w:rsidRPr="00803E13">
        <w:t>řádné</w:t>
      </w:r>
      <w:r>
        <w:t xml:space="preserve"> </w:t>
      </w:r>
      <w:r w:rsidRPr="00803E13">
        <w:t>provádění</w:t>
      </w:r>
      <w:r>
        <w:t xml:space="preserve"> </w:t>
      </w:r>
      <w:r w:rsidRPr="00803E13">
        <w:t>přepravy</w:t>
      </w:r>
      <w:r>
        <w:t xml:space="preserve"> </w:t>
      </w:r>
      <w:r w:rsidRPr="00803E13">
        <w:t>plynu,</w:t>
      </w:r>
    </w:p>
    <w:p w14:paraId="391BD013" w14:textId="77777777" w:rsidR="00FF7A85" w:rsidRDefault="00FF7A85" w:rsidP="002E6AEA">
      <w:pPr>
        <w:pStyle w:val="Textparagrafu"/>
        <w:tabs>
          <w:tab w:val="left" w:pos="392"/>
          <w:tab w:val="left" w:pos="840"/>
        </w:tabs>
        <w:spacing w:before="0"/>
        <w:ind w:left="426" w:hanging="426"/>
      </w:pPr>
      <w:r w:rsidRPr="00803E13">
        <w:t>c)</w:t>
      </w:r>
      <w:r>
        <w:tab/>
      </w:r>
      <w:r w:rsidRPr="00803E13">
        <w:t>mít</w:t>
      </w:r>
      <w:r>
        <w:t xml:space="preserve"> </w:t>
      </w:r>
      <w:r w:rsidRPr="00803E13">
        <w:t>v</w:t>
      </w:r>
      <w:r>
        <w:t xml:space="preserve"> </w:t>
      </w:r>
      <w:r w:rsidRPr="00803E13">
        <w:t>rozsahu</w:t>
      </w:r>
      <w:r>
        <w:t xml:space="preserve"> </w:t>
      </w:r>
      <w:r w:rsidRPr="00803E13">
        <w:t>schváleném</w:t>
      </w:r>
      <w:r>
        <w:t xml:space="preserve"> </w:t>
      </w:r>
      <w:r w:rsidRPr="00803E13">
        <w:t>dozorčí</w:t>
      </w:r>
      <w:r>
        <w:t xml:space="preserve"> </w:t>
      </w:r>
      <w:r w:rsidRPr="00803E13">
        <w:t>radou</w:t>
      </w:r>
      <w:r>
        <w:t xml:space="preserve"> </w:t>
      </w:r>
      <w:r w:rsidRPr="00803E13">
        <w:t>nebo</w:t>
      </w:r>
      <w:r>
        <w:t xml:space="preserve"> </w:t>
      </w:r>
      <w:r w:rsidRPr="00803E13">
        <w:t>správní</w:t>
      </w:r>
      <w:r>
        <w:t xml:space="preserve"> </w:t>
      </w:r>
      <w:r w:rsidRPr="00803E13">
        <w:t>radou</w:t>
      </w:r>
      <w:r>
        <w:t xml:space="preserve"> </w:t>
      </w:r>
      <w:r w:rsidRPr="00803E13">
        <w:t>přístup</w:t>
      </w:r>
      <w:r>
        <w:t xml:space="preserve"> </w:t>
      </w:r>
      <w:r w:rsidRPr="00803E13">
        <w:t>k</w:t>
      </w:r>
      <w:r>
        <w:t xml:space="preserve"> </w:t>
      </w:r>
      <w:r w:rsidRPr="00803E13">
        <w:t>finančním</w:t>
      </w:r>
      <w:r>
        <w:t xml:space="preserve"> </w:t>
      </w:r>
      <w:r w:rsidRPr="00803E13">
        <w:t>zdrojům</w:t>
      </w:r>
      <w:r>
        <w:t xml:space="preserve"> </w:t>
      </w:r>
      <w:r w:rsidRPr="00803E13">
        <w:t>osob,</w:t>
      </w:r>
      <w:r>
        <w:t xml:space="preserve"> </w:t>
      </w:r>
      <w:r w:rsidRPr="00803E13">
        <w:t>které</w:t>
      </w:r>
      <w:r>
        <w:t xml:space="preserve"> </w:t>
      </w:r>
      <w:r w:rsidRPr="00803E13">
        <w:t>jsou</w:t>
      </w:r>
      <w:r>
        <w:t xml:space="preserve"> </w:t>
      </w:r>
      <w:r w:rsidRPr="00803E13">
        <w:t>součástí</w:t>
      </w:r>
      <w:r>
        <w:t xml:space="preserve"> </w:t>
      </w:r>
      <w:r w:rsidRPr="00803E13">
        <w:t>téhož</w:t>
      </w:r>
      <w:r>
        <w:t xml:space="preserve"> </w:t>
      </w:r>
      <w:r w:rsidRPr="00803E13">
        <w:t>vertikálně</w:t>
      </w:r>
      <w:r>
        <w:t xml:space="preserve"> </w:t>
      </w:r>
      <w:r w:rsidRPr="00803E13">
        <w:t>integrovaného</w:t>
      </w:r>
      <w:r>
        <w:t xml:space="preserve"> </w:t>
      </w:r>
      <w:r w:rsidRPr="00803E13">
        <w:t>plynárenského</w:t>
      </w:r>
      <w:r>
        <w:t xml:space="preserve"> </w:t>
      </w:r>
      <w:r w:rsidRPr="00803E13">
        <w:t>podnikatele,</w:t>
      </w:r>
      <w:r>
        <w:t xml:space="preserve"> </w:t>
      </w:r>
      <w:r w:rsidRPr="00803E13">
        <w:t>z</w:t>
      </w:r>
      <w:r>
        <w:t xml:space="preserve"> </w:t>
      </w:r>
      <w:r w:rsidRPr="00803E13">
        <w:t>nichž</w:t>
      </w:r>
      <w:r>
        <w:t xml:space="preserve"> </w:t>
      </w:r>
      <w:r w:rsidRPr="00803E13">
        <w:t>plánuje</w:t>
      </w:r>
      <w:r>
        <w:t xml:space="preserve"> </w:t>
      </w:r>
      <w:r w:rsidRPr="00803E13">
        <w:t>financovat</w:t>
      </w:r>
      <w:r>
        <w:t xml:space="preserve"> </w:t>
      </w:r>
      <w:r w:rsidRPr="00803E13">
        <w:t>rozvoj</w:t>
      </w:r>
      <w:r>
        <w:t xml:space="preserve"> </w:t>
      </w:r>
      <w:r w:rsidRPr="00803E13">
        <w:t>nebo</w:t>
      </w:r>
      <w:r>
        <w:t xml:space="preserve"> </w:t>
      </w:r>
      <w:r w:rsidRPr="00803E13">
        <w:t>obnovu</w:t>
      </w:r>
      <w:r>
        <w:t xml:space="preserve"> </w:t>
      </w:r>
      <w:r w:rsidRPr="00803E13">
        <w:t>přepravní</w:t>
      </w:r>
      <w:r>
        <w:t xml:space="preserve"> </w:t>
      </w:r>
      <w:r w:rsidRPr="00803E13">
        <w:t>soustavy,</w:t>
      </w:r>
      <w:r>
        <w:t xml:space="preserve"> </w:t>
      </w:r>
      <w:r w:rsidRPr="00803E13">
        <w:t>a</w:t>
      </w:r>
      <w:r>
        <w:t xml:space="preserve"> </w:t>
      </w:r>
      <w:r w:rsidRPr="00803E13">
        <w:t>to</w:t>
      </w:r>
      <w:r>
        <w:t xml:space="preserve"> </w:t>
      </w:r>
      <w:r w:rsidRPr="00803E13">
        <w:t>v</w:t>
      </w:r>
      <w:r>
        <w:t xml:space="preserve"> </w:t>
      </w:r>
      <w:r w:rsidRPr="00803E13">
        <w:t>přiměřené</w:t>
      </w:r>
      <w:r>
        <w:t xml:space="preserve"> </w:t>
      </w:r>
      <w:r w:rsidRPr="00803E13">
        <w:t>lhůtě</w:t>
      </w:r>
      <w:r>
        <w:t xml:space="preserve"> </w:t>
      </w:r>
      <w:r w:rsidRPr="00803E13">
        <w:t>po</w:t>
      </w:r>
      <w:r>
        <w:t xml:space="preserve"> </w:t>
      </w:r>
      <w:r w:rsidRPr="00803E13">
        <w:t>podání</w:t>
      </w:r>
      <w:r>
        <w:t xml:space="preserve"> </w:t>
      </w:r>
      <w:r w:rsidRPr="00803E13">
        <w:t>příslušné</w:t>
      </w:r>
      <w:r>
        <w:t xml:space="preserve"> </w:t>
      </w:r>
      <w:r w:rsidRPr="00803E13">
        <w:t>žádosti.</w:t>
      </w:r>
    </w:p>
    <w:p w14:paraId="7B0A2E22" w14:textId="77777777" w:rsidR="00FF7A85" w:rsidRDefault="00FF7A85" w:rsidP="0010420C">
      <w:pPr>
        <w:pStyle w:val="Textparagrafu"/>
        <w:tabs>
          <w:tab w:val="left" w:pos="392"/>
          <w:tab w:val="left" w:pos="840"/>
        </w:tabs>
        <w:spacing w:before="120" w:after="120"/>
      </w:pPr>
      <w:r w:rsidRPr="00803E13">
        <w:t>(2)</w:t>
      </w:r>
      <w:r>
        <w:t xml:space="preserve"> </w:t>
      </w:r>
      <w:r w:rsidRPr="00803E13">
        <w:t>Nezávislý</w:t>
      </w:r>
      <w:r>
        <w:t xml:space="preserve"> </w:t>
      </w:r>
      <w:r w:rsidRPr="00803E13">
        <w:t>provozovatel</w:t>
      </w:r>
      <w:r>
        <w:t xml:space="preserve"> </w:t>
      </w:r>
      <w:r w:rsidRPr="00803E13">
        <w:t>přepravní</w:t>
      </w:r>
      <w:r>
        <w:t xml:space="preserve"> </w:t>
      </w:r>
      <w:r w:rsidRPr="00803E13">
        <w:t>soustavy</w:t>
      </w:r>
      <w:r>
        <w:t xml:space="preserve"> </w:t>
      </w:r>
      <w:r w:rsidRPr="00803E13">
        <w:t>informuje</w:t>
      </w:r>
      <w:r>
        <w:t xml:space="preserve"> </w:t>
      </w:r>
      <w:r w:rsidRPr="00803E13">
        <w:t>Energetický</w:t>
      </w:r>
      <w:r>
        <w:t xml:space="preserve"> </w:t>
      </w:r>
      <w:r w:rsidRPr="00803E13">
        <w:t>regulační</w:t>
      </w:r>
      <w:r>
        <w:t xml:space="preserve"> </w:t>
      </w:r>
      <w:r w:rsidRPr="00803E13">
        <w:t>úřad</w:t>
      </w:r>
      <w:r>
        <w:t xml:space="preserve"> </w:t>
      </w:r>
      <w:r w:rsidRPr="00803E13">
        <w:t>o</w:t>
      </w:r>
      <w:r>
        <w:t xml:space="preserve"> </w:t>
      </w:r>
      <w:r w:rsidRPr="00803E13">
        <w:t>finančních</w:t>
      </w:r>
      <w:r>
        <w:t xml:space="preserve"> </w:t>
      </w:r>
      <w:r w:rsidRPr="00803E13">
        <w:t>zdrojích,</w:t>
      </w:r>
      <w:r>
        <w:t xml:space="preserve"> </w:t>
      </w:r>
      <w:r w:rsidRPr="00803E13">
        <w:t>které</w:t>
      </w:r>
      <w:r>
        <w:t xml:space="preserve"> </w:t>
      </w:r>
      <w:r w:rsidRPr="00803E13">
        <w:t>má</w:t>
      </w:r>
      <w:r>
        <w:t xml:space="preserve"> </w:t>
      </w:r>
      <w:r w:rsidRPr="00803E13">
        <w:t>k</w:t>
      </w:r>
      <w:r>
        <w:t xml:space="preserve"> </w:t>
      </w:r>
      <w:r w:rsidRPr="00803E13">
        <w:t>dispozici</w:t>
      </w:r>
      <w:r>
        <w:t xml:space="preserve"> </w:t>
      </w:r>
      <w:r w:rsidRPr="00803E13">
        <w:t>pro</w:t>
      </w:r>
      <w:r>
        <w:t xml:space="preserve"> </w:t>
      </w:r>
      <w:r w:rsidRPr="00803E13">
        <w:t>plánovaný</w:t>
      </w:r>
      <w:r>
        <w:t xml:space="preserve"> </w:t>
      </w:r>
      <w:r w:rsidRPr="00803E13">
        <w:t>rozvoj</w:t>
      </w:r>
      <w:r>
        <w:t xml:space="preserve"> </w:t>
      </w:r>
      <w:r w:rsidRPr="00803E13">
        <w:t>nebo</w:t>
      </w:r>
      <w:r>
        <w:t xml:space="preserve"> </w:t>
      </w:r>
      <w:r w:rsidRPr="00803E13">
        <w:t>obnovu</w:t>
      </w:r>
      <w:r>
        <w:t xml:space="preserve"> </w:t>
      </w:r>
      <w:r w:rsidRPr="00803E13">
        <w:t>přepravní</w:t>
      </w:r>
      <w:r>
        <w:t xml:space="preserve"> </w:t>
      </w:r>
      <w:r w:rsidRPr="00803E13">
        <w:t>soustavy,</w:t>
      </w:r>
      <w:r>
        <w:t xml:space="preserve"> </w:t>
      </w:r>
      <w:r w:rsidRPr="00803E13">
        <w:t>a</w:t>
      </w:r>
      <w:r>
        <w:t xml:space="preserve"> </w:t>
      </w:r>
      <w:r w:rsidRPr="00803E13">
        <w:t>podmínkách</w:t>
      </w:r>
      <w:r>
        <w:t xml:space="preserve"> </w:t>
      </w:r>
      <w:r w:rsidRPr="00803E13">
        <w:t>jejich</w:t>
      </w:r>
      <w:r>
        <w:t xml:space="preserve"> </w:t>
      </w:r>
      <w:r w:rsidRPr="00803E13">
        <w:t>využití,</w:t>
      </w:r>
      <w:r>
        <w:t xml:space="preserve"> </w:t>
      </w:r>
      <w:r w:rsidRPr="00803E13">
        <w:t>a</w:t>
      </w:r>
      <w:r>
        <w:t xml:space="preserve"> </w:t>
      </w:r>
      <w:r w:rsidRPr="00803E13">
        <w:t>to</w:t>
      </w:r>
      <w:r>
        <w:t xml:space="preserve"> </w:t>
      </w:r>
      <w:r w:rsidRPr="00803E13">
        <w:t>vždy</w:t>
      </w:r>
      <w:r>
        <w:t xml:space="preserve"> </w:t>
      </w:r>
      <w:r w:rsidRPr="00803E13">
        <w:t>k</w:t>
      </w:r>
      <w:r>
        <w:t xml:space="preserve"> </w:t>
      </w:r>
      <w:r w:rsidRPr="00803E13">
        <w:t>30.</w:t>
      </w:r>
      <w:r>
        <w:t xml:space="preserve"> </w:t>
      </w:r>
      <w:r w:rsidRPr="00803E13">
        <w:t>červnu</w:t>
      </w:r>
      <w:r>
        <w:t xml:space="preserve"> </w:t>
      </w:r>
      <w:r w:rsidRPr="00803E13">
        <w:t>kalendářního</w:t>
      </w:r>
      <w:r>
        <w:t xml:space="preserve"> </w:t>
      </w:r>
      <w:r w:rsidRPr="00803E13">
        <w:t>roku.</w:t>
      </w:r>
    </w:p>
    <w:p w14:paraId="5098C842" w14:textId="77777777" w:rsidR="00FF7A85" w:rsidRDefault="00FF7A85" w:rsidP="0010420C">
      <w:pPr>
        <w:pStyle w:val="Textparagrafu"/>
        <w:tabs>
          <w:tab w:val="left" w:pos="392"/>
          <w:tab w:val="left" w:pos="840"/>
        </w:tabs>
        <w:spacing w:before="120" w:after="120"/>
      </w:pPr>
      <w:r w:rsidRPr="00803E13">
        <w:t>(3)</w:t>
      </w:r>
      <w:r>
        <w:t xml:space="preserve"> </w:t>
      </w:r>
      <w:r w:rsidRPr="00803E13">
        <w:t>Provádění</w:t>
      </w:r>
      <w:r>
        <w:t xml:space="preserve"> </w:t>
      </w:r>
      <w:r w:rsidRPr="00803E13">
        <w:t>přepravy</w:t>
      </w:r>
      <w:r>
        <w:t xml:space="preserve"> </w:t>
      </w:r>
      <w:r w:rsidRPr="00803E13">
        <w:t>plynu</w:t>
      </w:r>
      <w:r>
        <w:t xml:space="preserve"> </w:t>
      </w:r>
      <w:r w:rsidRPr="00803E13">
        <w:t>podle</w:t>
      </w:r>
      <w:r>
        <w:t xml:space="preserve"> </w:t>
      </w:r>
      <w:r w:rsidRPr="00803E13">
        <w:t>odstavce</w:t>
      </w:r>
      <w:r>
        <w:t xml:space="preserve"> </w:t>
      </w:r>
      <w:r w:rsidRPr="00803E13">
        <w:t>1</w:t>
      </w:r>
      <w:r>
        <w:t xml:space="preserve"> </w:t>
      </w:r>
      <w:r w:rsidRPr="00803E13">
        <w:t>dále</w:t>
      </w:r>
      <w:r>
        <w:t xml:space="preserve"> </w:t>
      </w:r>
      <w:r w:rsidRPr="00803E13">
        <w:t>zahrnuje:</w:t>
      </w:r>
    </w:p>
    <w:p w14:paraId="10477A33" w14:textId="77777777" w:rsidR="00FF7A85" w:rsidRDefault="00FF7A85" w:rsidP="002E6AEA">
      <w:pPr>
        <w:pStyle w:val="Textparagrafu"/>
        <w:tabs>
          <w:tab w:val="left" w:pos="392"/>
          <w:tab w:val="left" w:pos="840"/>
        </w:tabs>
        <w:spacing w:before="0"/>
        <w:ind w:left="426" w:hanging="426"/>
      </w:pPr>
      <w:r w:rsidRPr="00803E13">
        <w:t>a)</w:t>
      </w:r>
      <w:r>
        <w:tab/>
      </w:r>
      <w:r w:rsidRPr="00803E13">
        <w:t>zastupování</w:t>
      </w:r>
      <w:r>
        <w:t xml:space="preserve"> </w:t>
      </w:r>
      <w:r w:rsidRPr="00803E13">
        <w:t>nezávislého</w:t>
      </w:r>
      <w:r>
        <w:t xml:space="preserve"> </w:t>
      </w:r>
      <w:r w:rsidRPr="00803E13">
        <w:t>provozovatele</w:t>
      </w:r>
      <w:r>
        <w:t xml:space="preserve"> </w:t>
      </w:r>
      <w:r w:rsidRPr="00803E13">
        <w:t>přepravní</w:t>
      </w:r>
      <w:r>
        <w:t xml:space="preserve"> </w:t>
      </w:r>
      <w:r w:rsidRPr="00803E13">
        <w:t>soustavy</w:t>
      </w:r>
      <w:r>
        <w:t xml:space="preserve"> </w:t>
      </w:r>
      <w:r w:rsidRPr="00803E13">
        <w:t>navenek</w:t>
      </w:r>
      <w:r>
        <w:t xml:space="preserve"> </w:t>
      </w:r>
      <w:r w:rsidRPr="00803E13">
        <w:t>včetně</w:t>
      </w:r>
      <w:r>
        <w:t xml:space="preserve"> </w:t>
      </w:r>
      <w:r w:rsidRPr="00803E13">
        <w:t>jednání</w:t>
      </w:r>
      <w:r>
        <w:t xml:space="preserve"> </w:t>
      </w:r>
      <w:r w:rsidRPr="00803E13">
        <w:t>vůči</w:t>
      </w:r>
      <w:r>
        <w:t xml:space="preserve"> </w:t>
      </w:r>
      <w:r w:rsidRPr="00803E13">
        <w:t>Energetickému</w:t>
      </w:r>
      <w:r>
        <w:t xml:space="preserve"> </w:t>
      </w:r>
      <w:r w:rsidRPr="00803E13">
        <w:t>regulačnímu</w:t>
      </w:r>
      <w:r>
        <w:t xml:space="preserve"> </w:t>
      </w:r>
      <w:r w:rsidRPr="00803E13">
        <w:t>úřadu,</w:t>
      </w:r>
    </w:p>
    <w:p w14:paraId="2127B16C" w14:textId="77777777" w:rsidR="00FF7A85" w:rsidRDefault="00FF7A85" w:rsidP="002E6AEA">
      <w:pPr>
        <w:pStyle w:val="Textparagrafu"/>
        <w:tabs>
          <w:tab w:val="left" w:pos="392"/>
          <w:tab w:val="left" w:pos="840"/>
        </w:tabs>
        <w:spacing w:before="0"/>
        <w:ind w:left="426" w:hanging="426"/>
      </w:pPr>
      <w:r w:rsidRPr="00803E13">
        <w:t>b)</w:t>
      </w:r>
      <w:r>
        <w:tab/>
      </w:r>
      <w:r w:rsidRPr="00803E13">
        <w:t>jednání</w:t>
      </w:r>
      <w:r>
        <w:t xml:space="preserve"> </w:t>
      </w:r>
      <w:r w:rsidRPr="00803E13">
        <w:t>nezávislého</w:t>
      </w:r>
      <w:r>
        <w:t xml:space="preserve"> </w:t>
      </w:r>
      <w:r w:rsidRPr="00803E13">
        <w:t>provozovatele</w:t>
      </w:r>
      <w:r>
        <w:t xml:space="preserve"> </w:t>
      </w:r>
      <w:r w:rsidRPr="00803E13">
        <w:t>přepravní</w:t>
      </w:r>
      <w:r>
        <w:t xml:space="preserve"> </w:t>
      </w:r>
      <w:r w:rsidRPr="00803E13">
        <w:t>soustavy</w:t>
      </w:r>
      <w:r>
        <w:t xml:space="preserve"> </w:t>
      </w:r>
      <w:r w:rsidRPr="00803E13">
        <w:t>ve</w:t>
      </w:r>
      <w:r>
        <w:t xml:space="preserve"> </w:t>
      </w:r>
      <w:r w:rsidRPr="00803E13">
        <w:t>všech</w:t>
      </w:r>
      <w:r>
        <w:t xml:space="preserve"> </w:t>
      </w:r>
      <w:r w:rsidRPr="00803E13">
        <w:t>věcech</w:t>
      </w:r>
      <w:r>
        <w:t xml:space="preserve"> </w:t>
      </w:r>
      <w:r w:rsidRPr="00803E13">
        <w:t>souvisejících</w:t>
      </w:r>
      <w:r>
        <w:t xml:space="preserve"> </w:t>
      </w:r>
      <w:r w:rsidRPr="00803E13">
        <w:t>s</w:t>
      </w:r>
      <w:r>
        <w:t xml:space="preserve"> </w:t>
      </w:r>
      <w:r w:rsidRPr="00803E13">
        <w:t>jeho</w:t>
      </w:r>
      <w:r>
        <w:t xml:space="preserve"> </w:t>
      </w:r>
      <w:r w:rsidRPr="00803E13">
        <w:t>účastí</w:t>
      </w:r>
      <w:r>
        <w:t xml:space="preserve"> </w:t>
      </w:r>
      <w:r w:rsidRPr="00803E13">
        <w:t>v</w:t>
      </w:r>
      <w:r>
        <w:t xml:space="preserve"> </w:t>
      </w:r>
      <w:r w:rsidRPr="00803E13">
        <w:t>Evropské</w:t>
      </w:r>
      <w:r>
        <w:t xml:space="preserve"> </w:t>
      </w:r>
      <w:r w:rsidRPr="00803E13">
        <w:t>síti</w:t>
      </w:r>
      <w:r>
        <w:t xml:space="preserve"> </w:t>
      </w:r>
      <w:r w:rsidRPr="00803E13">
        <w:t>provozovatelů</w:t>
      </w:r>
      <w:r>
        <w:t xml:space="preserve"> </w:t>
      </w:r>
      <w:r w:rsidRPr="00803E13">
        <w:t>přepravních</w:t>
      </w:r>
      <w:r>
        <w:t xml:space="preserve"> </w:t>
      </w:r>
      <w:r w:rsidRPr="00803E13">
        <w:t>soustav</w:t>
      </w:r>
      <w:r>
        <w:t xml:space="preserve"> </w:t>
      </w:r>
      <w:r w:rsidRPr="00803E13">
        <w:t>podle</w:t>
      </w:r>
      <w:r>
        <w:t xml:space="preserve"> </w:t>
      </w:r>
      <w:r w:rsidRPr="00803E13">
        <w:t>Nařízení</w:t>
      </w:r>
      <w:r>
        <w:t xml:space="preserve"> </w:t>
      </w:r>
      <w:r w:rsidRPr="00803E13">
        <w:t>o</w:t>
      </w:r>
      <w:r>
        <w:t xml:space="preserve"> </w:t>
      </w:r>
      <w:r w:rsidRPr="00803E13">
        <w:t>podmínkách</w:t>
      </w:r>
      <w:r>
        <w:t xml:space="preserve"> </w:t>
      </w:r>
      <w:r w:rsidRPr="00803E13">
        <w:t>přístupu</w:t>
      </w:r>
      <w:r>
        <w:t xml:space="preserve"> </w:t>
      </w:r>
      <w:r w:rsidRPr="00803E13">
        <w:t>k</w:t>
      </w:r>
      <w:r>
        <w:t xml:space="preserve"> </w:t>
      </w:r>
      <w:r w:rsidRPr="00803E13">
        <w:t>plynárenským</w:t>
      </w:r>
      <w:r>
        <w:t xml:space="preserve"> </w:t>
      </w:r>
      <w:r w:rsidRPr="00803E13">
        <w:t>přepravním</w:t>
      </w:r>
      <w:r>
        <w:t xml:space="preserve"> </w:t>
      </w:r>
      <w:r w:rsidRPr="00803E13">
        <w:t>soustavám,</w:t>
      </w:r>
    </w:p>
    <w:p w14:paraId="0ACE4D3C" w14:textId="77777777" w:rsidR="00FF7A85" w:rsidRDefault="00FF7A85" w:rsidP="002E6AEA">
      <w:pPr>
        <w:pStyle w:val="Textparagrafu"/>
        <w:tabs>
          <w:tab w:val="left" w:pos="392"/>
          <w:tab w:val="left" w:pos="840"/>
        </w:tabs>
        <w:spacing w:before="0"/>
        <w:ind w:left="426" w:hanging="426"/>
      </w:pPr>
      <w:r w:rsidRPr="00803E13">
        <w:t>c)</w:t>
      </w:r>
      <w:r>
        <w:tab/>
      </w:r>
      <w:r w:rsidRPr="00803E13">
        <w:t>výkon</w:t>
      </w:r>
      <w:r>
        <w:t xml:space="preserve"> </w:t>
      </w:r>
      <w:r w:rsidRPr="00803E13">
        <w:t>činností</w:t>
      </w:r>
      <w:r>
        <w:t xml:space="preserve"> </w:t>
      </w:r>
      <w:r w:rsidRPr="00803E13">
        <w:t>spojených</w:t>
      </w:r>
      <w:r>
        <w:t xml:space="preserve"> </w:t>
      </w:r>
      <w:r w:rsidRPr="00803E13">
        <w:t>s</w:t>
      </w:r>
      <w:r>
        <w:t xml:space="preserve"> </w:t>
      </w:r>
      <w:r w:rsidRPr="00803E13">
        <w:t>umožněním</w:t>
      </w:r>
      <w:r>
        <w:t xml:space="preserve"> </w:t>
      </w:r>
      <w:r w:rsidRPr="00803E13">
        <w:t>přístupu</w:t>
      </w:r>
      <w:r>
        <w:t xml:space="preserve"> </w:t>
      </w:r>
      <w:r w:rsidRPr="00803E13">
        <w:t>do</w:t>
      </w:r>
      <w:r>
        <w:t xml:space="preserve"> </w:t>
      </w:r>
      <w:r w:rsidRPr="00803E13">
        <w:t>přepravní</w:t>
      </w:r>
      <w:r>
        <w:t xml:space="preserve"> </w:t>
      </w:r>
      <w:r w:rsidRPr="00803E13">
        <w:t>soustavy,</w:t>
      </w:r>
    </w:p>
    <w:p w14:paraId="2775B7D6" w14:textId="77777777" w:rsidR="00FF7A85" w:rsidRDefault="00FF7A85" w:rsidP="002E6AEA">
      <w:pPr>
        <w:pStyle w:val="Textparagrafu"/>
        <w:tabs>
          <w:tab w:val="left" w:pos="392"/>
          <w:tab w:val="left" w:pos="840"/>
        </w:tabs>
        <w:spacing w:before="0"/>
        <w:ind w:left="426" w:hanging="426"/>
      </w:pPr>
      <w:r w:rsidRPr="00803E13">
        <w:t>d)</w:t>
      </w:r>
      <w:r>
        <w:tab/>
      </w:r>
      <w:r w:rsidRPr="00803E13">
        <w:t>vybírání</w:t>
      </w:r>
      <w:r>
        <w:t xml:space="preserve"> </w:t>
      </w:r>
      <w:r w:rsidRPr="00803E13">
        <w:t>plateb</w:t>
      </w:r>
      <w:r>
        <w:t xml:space="preserve"> </w:t>
      </w:r>
      <w:r w:rsidRPr="00803E13">
        <w:t>souvisejících</w:t>
      </w:r>
      <w:r>
        <w:t xml:space="preserve"> </w:t>
      </w:r>
      <w:r w:rsidRPr="00803E13">
        <w:t>s</w:t>
      </w:r>
      <w:r>
        <w:t xml:space="preserve"> </w:t>
      </w:r>
      <w:r w:rsidRPr="00803E13">
        <w:t>provozováním</w:t>
      </w:r>
      <w:r>
        <w:t xml:space="preserve"> </w:t>
      </w:r>
      <w:r w:rsidRPr="00803E13">
        <w:t>přepravní</w:t>
      </w:r>
      <w:r>
        <w:t xml:space="preserve"> </w:t>
      </w:r>
      <w:r w:rsidRPr="00803E13">
        <w:t>soustavy,</w:t>
      </w:r>
      <w:r>
        <w:t xml:space="preserve"> </w:t>
      </w:r>
      <w:r w:rsidRPr="00803E13">
        <w:t>včetně</w:t>
      </w:r>
      <w:r>
        <w:t xml:space="preserve"> </w:t>
      </w:r>
      <w:r w:rsidRPr="00803E13">
        <w:t>plateb</w:t>
      </w:r>
      <w:r>
        <w:t xml:space="preserve"> </w:t>
      </w:r>
      <w:r w:rsidRPr="00803E13">
        <w:t>za</w:t>
      </w:r>
      <w:r>
        <w:t xml:space="preserve"> </w:t>
      </w:r>
      <w:r w:rsidRPr="00803E13">
        <w:t>přístup</w:t>
      </w:r>
      <w:r>
        <w:t xml:space="preserve"> </w:t>
      </w:r>
      <w:r w:rsidRPr="00803E13">
        <w:t>do</w:t>
      </w:r>
      <w:r>
        <w:t xml:space="preserve"> </w:t>
      </w:r>
      <w:r w:rsidRPr="00803E13">
        <w:t>přepravní</w:t>
      </w:r>
      <w:r>
        <w:t xml:space="preserve"> </w:t>
      </w:r>
      <w:r w:rsidRPr="00803E13">
        <w:t>soustavy</w:t>
      </w:r>
      <w:r>
        <w:t xml:space="preserve"> </w:t>
      </w:r>
      <w:r w:rsidRPr="00803E13">
        <w:t>a</w:t>
      </w:r>
      <w:r>
        <w:t xml:space="preserve"> </w:t>
      </w:r>
      <w:r w:rsidRPr="00803E13">
        <w:t>za</w:t>
      </w:r>
      <w:r>
        <w:t xml:space="preserve"> </w:t>
      </w:r>
      <w:r w:rsidRPr="00803E13">
        <w:t>pomocné</w:t>
      </w:r>
      <w:r>
        <w:t xml:space="preserve"> </w:t>
      </w:r>
      <w:r w:rsidRPr="00803E13">
        <w:t>služby,</w:t>
      </w:r>
      <w:r>
        <w:t xml:space="preserve"> </w:t>
      </w:r>
      <w:r w:rsidRPr="00803E13">
        <w:t>zejména</w:t>
      </w:r>
      <w:r>
        <w:t xml:space="preserve"> </w:t>
      </w:r>
      <w:r w:rsidRPr="00803E13">
        <w:t>za</w:t>
      </w:r>
      <w:r>
        <w:t xml:space="preserve"> </w:t>
      </w:r>
      <w:r w:rsidRPr="00803E13">
        <w:t>vyrovnávání</w:t>
      </w:r>
      <w:r>
        <w:t xml:space="preserve"> </w:t>
      </w:r>
      <w:r w:rsidRPr="00803E13">
        <w:t>odchylek,</w:t>
      </w:r>
    </w:p>
    <w:p w14:paraId="6A1A59B1" w14:textId="77777777" w:rsidR="00FF7A85" w:rsidRDefault="00FF7A85" w:rsidP="002E6AEA">
      <w:pPr>
        <w:pStyle w:val="Textparagrafu"/>
        <w:tabs>
          <w:tab w:val="left" w:pos="392"/>
          <w:tab w:val="left" w:pos="840"/>
        </w:tabs>
        <w:spacing w:before="0"/>
        <w:ind w:left="426" w:hanging="426"/>
      </w:pPr>
      <w:r w:rsidRPr="00803E13">
        <w:t>e)</w:t>
      </w:r>
      <w:r>
        <w:tab/>
      </w:r>
      <w:r w:rsidRPr="00803E13">
        <w:t>provoz,</w:t>
      </w:r>
      <w:r>
        <w:t xml:space="preserve"> </w:t>
      </w:r>
      <w:r w:rsidRPr="00803E13">
        <w:t>údržbu</w:t>
      </w:r>
      <w:r>
        <w:t xml:space="preserve"> </w:t>
      </w:r>
      <w:r w:rsidRPr="00803E13">
        <w:t>a</w:t>
      </w:r>
      <w:r>
        <w:t xml:space="preserve"> </w:t>
      </w:r>
      <w:r w:rsidRPr="00803E13">
        <w:t>rozvoj</w:t>
      </w:r>
      <w:r>
        <w:t xml:space="preserve"> </w:t>
      </w:r>
      <w:r w:rsidRPr="00803E13">
        <w:t>přepravní</w:t>
      </w:r>
      <w:r>
        <w:t xml:space="preserve"> </w:t>
      </w:r>
      <w:r w:rsidRPr="00803E13">
        <w:t>soustavy,</w:t>
      </w:r>
    </w:p>
    <w:p w14:paraId="0FEFCA0C" w14:textId="77777777" w:rsidR="00FF7A85" w:rsidRDefault="00FF7A85" w:rsidP="002E6AEA">
      <w:pPr>
        <w:pStyle w:val="Textparagrafu"/>
        <w:tabs>
          <w:tab w:val="left" w:pos="392"/>
          <w:tab w:val="left" w:pos="840"/>
        </w:tabs>
        <w:spacing w:before="0"/>
        <w:ind w:left="426" w:hanging="426"/>
      </w:pPr>
      <w:r w:rsidRPr="00803E13">
        <w:t>f)</w:t>
      </w:r>
      <w:r>
        <w:tab/>
      </w:r>
      <w:r w:rsidRPr="00803E13">
        <w:t>investiční</w:t>
      </w:r>
      <w:r>
        <w:t xml:space="preserve"> </w:t>
      </w:r>
      <w:r w:rsidRPr="00803E13">
        <w:t>plánování,</w:t>
      </w:r>
      <w:r>
        <w:t xml:space="preserve"> </w:t>
      </w:r>
      <w:r w:rsidRPr="00803E13">
        <w:t>zajišťující</w:t>
      </w:r>
      <w:r>
        <w:t xml:space="preserve"> </w:t>
      </w:r>
      <w:r w:rsidRPr="00803E13">
        <w:t>dlouhodobou</w:t>
      </w:r>
      <w:r>
        <w:t xml:space="preserve"> </w:t>
      </w:r>
      <w:r w:rsidRPr="00803E13">
        <w:t>bezpečnost</w:t>
      </w:r>
      <w:r>
        <w:t xml:space="preserve"> </w:t>
      </w:r>
      <w:r w:rsidRPr="00803E13">
        <w:t>a</w:t>
      </w:r>
      <w:r>
        <w:t xml:space="preserve"> </w:t>
      </w:r>
      <w:r w:rsidRPr="00803E13">
        <w:t>dlouhodobou</w:t>
      </w:r>
      <w:r>
        <w:t xml:space="preserve"> </w:t>
      </w:r>
      <w:r w:rsidRPr="00803E13">
        <w:t>schopnost</w:t>
      </w:r>
      <w:r>
        <w:t xml:space="preserve"> </w:t>
      </w:r>
      <w:r w:rsidRPr="00803E13">
        <w:t>přepravní</w:t>
      </w:r>
      <w:r>
        <w:t xml:space="preserve"> </w:t>
      </w:r>
      <w:r w:rsidRPr="00803E13">
        <w:t>soustavy</w:t>
      </w:r>
      <w:r>
        <w:t xml:space="preserve"> </w:t>
      </w:r>
      <w:r w:rsidRPr="00803E13">
        <w:t>uspokojovat</w:t>
      </w:r>
      <w:r>
        <w:t xml:space="preserve"> </w:t>
      </w:r>
      <w:r w:rsidRPr="00803E13">
        <w:t>přiměřenou</w:t>
      </w:r>
      <w:r>
        <w:t xml:space="preserve"> </w:t>
      </w:r>
      <w:r w:rsidRPr="00803E13">
        <w:t>poptávku,</w:t>
      </w:r>
    </w:p>
    <w:p w14:paraId="7D26F3AA" w14:textId="77777777" w:rsidR="00FF7A85" w:rsidRDefault="00FF7A85" w:rsidP="002E6AEA">
      <w:pPr>
        <w:pStyle w:val="Textparagrafu"/>
        <w:tabs>
          <w:tab w:val="left" w:pos="392"/>
          <w:tab w:val="left" w:pos="840"/>
        </w:tabs>
        <w:spacing w:before="0"/>
        <w:ind w:left="426" w:hanging="426"/>
      </w:pPr>
      <w:r w:rsidRPr="00803E13">
        <w:t>g)</w:t>
      </w:r>
      <w:r>
        <w:tab/>
      </w:r>
      <w:r w:rsidRPr="00803E13">
        <w:t>výkon</w:t>
      </w:r>
      <w:r>
        <w:t xml:space="preserve"> </w:t>
      </w:r>
      <w:r w:rsidRPr="00803E13">
        <w:t>činností</w:t>
      </w:r>
      <w:r>
        <w:t xml:space="preserve"> </w:t>
      </w:r>
      <w:r w:rsidRPr="00803E13">
        <w:t>spojených</w:t>
      </w:r>
      <w:r>
        <w:t xml:space="preserve"> </w:t>
      </w:r>
      <w:r w:rsidRPr="00803E13">
        <w:t>s</w:t>
      </w:r>
      <w:r>
        <w:t xml:space="preserve"> </w:t>
      </w:r>
      <w:r w:rsidRPr="00803E13">
        <w:t>případnou</w:t>
      </w:r>
      <w:r>
        <w:t xml:space="preserve"> </w:t>
      </w:r>
      <w:r w:rsidRPr="00803E13">
        <w:t>účastí</w:t>
      </w:r>
      <w:r>
        <w:t xml:space="preserve"> </w:t>
      </w:r>
      <w:r w:rsidRPr="00803E13">
        <w:t>provozovatele</w:t>
      </w:r>
      <w:r>
        <w:t xml:space="preserve"> </w:t>
      </w:r>
      <w:r w:rsidRPr="00803E13">
        <w:t>přepravní</w:t>
      </w:r>
      <w:r>
        <w:t xml:space="preserve"> </w:t>
      </w:r>
      <w:r w:rsidRPr="00803E13">
        <w:t>soustavy</w:t>
      </w:r>
      <w:r>
        <w:t xml:space="preserve"> </w:t>
      </w:r>
      <w:r w:rsidRPr="00803E13">
        <w:t>v</w:t>
      </w:r>
      <w:r>
        <w:t xml:space="preserve"> </w:t>
      </w:r>
      <w:r w:rsidRPr="00803E13">
        <w:t>právnické</w:t>
      </w:r>
      <w:r>
        <w:t xml:space="preserve"> </w:t>
      </w:r>
      <w:r w:rsidRPr="00803E13">
        <w:t>osobě</w:t>
      </w:r>
      <w:r>
        <w:t xml:space="preserve"> </w:t>
      </w:r>
      <w:r w:rsidRPr="00803E13">
        <w:t>založené</w:t>
      </w:r>
      <w:r>
        <w:t xml:space="preserve"> </w:t>
      </w:r>
      <w:r w:rsidRPr="00803E13">
        <w:t>společně</w:t>
      </w:r>
      <w:r>
        <w:t xml:space="preserve"> </w:t>
      </w:r>
      <w:r w:rsidRPr="00803E13">
        <w:t>s</w:t>
      </w:r>
      <w:r>
        <w:t xml:space="preserve"> </w:t>
      </w:r>
      <w:r w:rsidRPr="00803E13">
        <w:t>jinými</w:t>
      </w:r>
      <w:r>
        <w:t xml:space="preserve"> </w:t>
      </w:r>
      <w:r w:rsidRPr="00803E13">
        <w:t>provozovateli</w:t>
      </w:r>
      <w:r>
        <w:t xml:space="preserve"> </w:t>
      </w:r>
      <w:r w:rsidRPr="00803E13">
        <w:t>přepravních</w:t>
      </w:r>
      <w:r>
        <w:t xml:space="preserve"> </w:t>
      </w:r>
      <w:r w:rsidRPr="00803E13">
        <w:t>soustav,</w:t>
      </w:r>
      <w:r>
        <w:t xml:space="preserve"> </w:t>
      </w:r>
      <w:r w:rsidRPr="00803E13">
        <w:t>subjekty</w:t>
      </w:r>
      <w:r>
        <w:t xml:space="preserve"> </w:t>
      </w:r>
      <w:r w:rsidRPr="00803E13">
        <w:lastRenderedPageBreak/>
        <w:t>organizujícími</w:t>
      </w:r>
      <w:r>
        <w:t xml:space="preserve"> </w:t>
      </w:r>
      <w:r w:rsidRPr="00803E13">
        <w:t>burzy</w:t>
      </w:r>
      <w:r>
        <w:t xml:space="preserve"> </w:t>
      </w:r>
      <w:r w:rsidRPr="00803E13">
        <w:t>pro</w:t>
      </w:r>
      <w:r>
        <w:t xml:space="preserve"> </w:t>
      </w:r>
      <w:r w:rsidRPr="00803E13">
        <w:t>obchodování</w:t>
      </w:r>
      <w:r>
        <w:t xml:space="preserve"> </w:t>
      </w:r>
      <w:r w:rsidRPr="00803E13">
        <w:t>s</w:t>
      </w:r>
      <w:r>
        <w:t xml:space="preserve"> </w:t>
      </w:r>
      <w:r w:rsidRPr="00803E13">
        <w:t>plynem</w:t>
      </w:r>
      <w:r>
        <w:t xml:space="preserve"> </w:t>
      </w:r>
      <w:r w:rsidRPr="00803E13">
        <w:t>nebo</w:t>
      </w:r>
      <w:r>
        <w:t xml:space="preserve"> </w:t>
      </w:r>
      <w:r w:rsidRPr="00803E13">
        <w:t>jinými</w:t>
      </w:r>
      <w:r>
        <w:t xml:space="preserve"> </w:t>
      </w:r>
      <w:r w:rsidRPr="00803E13">
        <w:t>subjekty</w:t>
      </w:r>
      <w:r>
        <w:t xml:space="preserve"> </w:t>
      </w:r>
      <w:r w:rsidRPr="00803E13">
        <w:t>za</w:t>
      </w:r>
      <w:r>
        <w:t xml:space="preserve"> </w:t>
      </w:r>
      <w:r w:rsidRPr="00803E13">
        <w:t>účelem</w:t>
      </w:r>
      <w:r>
        <w:t xml:space="preserve"> </w:t>
      </w:r>
      <w:r w:rsidRPr="00803E13">
        <w:t>vytváření</w:t>
      </w:r>
      <w:r>
        <w:t xml:space="preserve"> </w:t>
      </w:r>
      <w:r w:rsidRPr="00803E13">
        <w:t>a</w:t>
      </w:r>
      <w:r>
        <w:t xml:space="preserve"> </w:t>
      </w:r>
      <w:r w:rsidRPr="00803E13">
        <w:t>rozvoje</w:t>
      </w:r>
      <w:r>
        <w:t xml:space="preserve"> </w:t>
      </w:r>
      <w:r w:rsidRPr="00803E13">
        <w:t>regionálních</w:t>
      </w:r>
      <w:r>
        <w:t xml:space="preserve"> </w:t>
      </w:r>
      <w:r w:rsidRPr="00803E13">
        <w:t>trhů</w:t>
      </w:r>
      <w:r>
        <w:t xml:space="preserve"> </w:t>
      </w:r>
      <w:r w:rsidRPr="00803E13">
        <w:t>nebo</w:t>
      </w:r>
      <w:r>
        <w:t xml:space="preserve"> </w:t>
      </w:r>
      <w:r w:rsidRPr="00803E13">
        <w:t>jiných</w:t>
      </w:r>
      <w:r>
        <w:t xml:space="preserve"> </w:t>
      </w:r>
      <w:r w:rsidRPr="00803E13">
        <w:t>činností</w:t>
      </w:r>
      <w:r>
        <w:t xml:space="preserve"> </w:t>
      </w:r>
      <w:r w:rsidRPr="00803E13">
        <w:t>podporujících</w:t>
      </w:r>
      <w:r>
        <w:t xml:space="preserve"> </w:t>
      </w:r>
      <w:r w:rsidRPr="00803E13">
        <w:t>liberalizaci</w:t>
      </w:r>
      <w:r>
        <w:t xml:space="preserve"> </w:t>
      </w:r>
      <w:r w:rsidRPr="00803E13">
        <w:t>trhu</w:t>
      </w:r>
      <w:r>
        <w:t xml:space="preserve"> </w:t>
      </w:r>
      <w:r w:rsidRPr="00803E13">
        <w:t>s</w:t>
      </w:r>
      <w:r>
        <w:t xml:space="preserve"> </w:t>
      </w:r>
      <w:r w:rsidRPr="00803E13">
        <w:t>plynem</w:t>
      </w:r>
      <w:r>
        <w:t xml:space="preserve"> </w:t>
      </w:r>
      <w:r w:rsidRPr="00803E13">
        <w:t>a</w:t>
      </w:r>
    </w:p>
    <w:p w14:paraId="5A5EC1A2" w14:textId="19B6DD98" w:rsidR="00FF7A85" w:rsidRDefault="00FF7A85" w:rsidP="002E6AEA">
      <w:pPr>
        <w:pStyle w:val="Textparagrafu"/>
        <w:tabs>
          <w:tab w:val="left" w:pos="392"/>
          <w:tab w:val="left" w:pos="840"/>
        </w:tabs>
        <w:spacing w:before="0"/>
        <w:ind w:left="426" w:hanging="426"/>
      </w:pPr>
      <w:r w:rsidRPr="00803E13">
        <w:t>h)</w:t>
      </w:r>
      <w:r>
        <w:tab/>
      </w:r>
      <w:r w:rsidRPr="00803E13">
        <w:t>výkon</w:t>
      </w:r>
      <w:r>
        <w:t xml:space="preserve"> </w:t>
      </w:r>
      <w:r w:rsidRPr="00803E13">
        <w:t>vnitropodnikových</w:t>
      </w:r>
      <w:r>
        <w:t xml:space="preserve"> </w:t>
      </w:r>
      <w:r w:rsidRPr="00803E13">
        <w:t>činností</w:t>
      </w:r>
      <w:r>
        <w:t xml:space="preserve"> </w:t>
      </w:r>
      <w:r w:rsidRPr="00803E13">
        <w:t>včetně</w:t>
      </w:r>
      <w:r>
        <w:t xml:space="preserve"> </w:t>
      </w:r>
      <w:r w:rsidRPr="00803E13">
        <w:t>právních</w:t>
      </w:r>
      <w:r>
        <w:t xml:space="preserve"> </w:t>
      </w:r>
      <w:r w:rsidRPr="00803E13">
        <w:t>služeb,</w:t>
      </w:r>
      <w:r>
        <w:t xml:space="preserve"> </w:t>
      </w:r>
      <w:r w:rsidRPr="00BF3686">
        <w:rPr>
          <w:strike/>
        </w:rPr>
        <w:t>vedení</w:t>
      </w:r>
      <w:r>
        <w:t xml:space="preserve"> </w:t>
      </w:r>
      <w:r w:rsidR="00BF3686" w:rsidRPr="00533343">
        <w:rPr>
          <w:b/>
          <w:bCs/>
        </w:rPr>
        <w:t>plnění povinností v oblasti</w:t>
      </w:r>
      <w:r w:rsidR="00BF3686" w:rsidRPr="00803E13">
        <w:t xml:space="preserve"> </w:t>
      </w:r>
      <w:r w:rsidRPr="00803E13">
        <w:t>účetnictví</w:t>
      </w:r>
      <w:r>
        <w:t xml:space="preserve"> </w:t>
      </w:r>
      <w:r w:rsidRPr="00803E13">
        <w:t>nebo</w:t>
      </w:r>
      <w:r>
        <w:t xml:space="preserve"> </w:t>
      </w:r>
      <w:r w:rsidRPr="00803E13">
        <w:t>provozu</w:t>
      </w:r>
      <w:r>
        <w:t xml:space="preserve"> </w:t>
      </w:r>
      <w:r w:rsidRPr="00803E13">
        <w:t>informačních</w:t>
      </w:r>
      <w:r>
        <w:t xml:space="preserve"> </w:t>
      </w:r>
      <w:r w:rsidRPr="00803E13">
        <w:t>systémů.</w:t>
      </w:r>
    </w:p>
    <w:p w14:paraId="00374DE1" w14:textId="77777777" w:rsidR="00FF7A85" w:rsidRDefault="00FF7A85" w:rsidP="0010420C">
      <w:pPr>
        <w:pStyle w:val="Textparagrafu"/>
        <w:tabs>
          <w:tab w:val="left" w:pos="392"/>
          <w:tab w:val="left" w:pos="840"/>
        </w:tabs>
        <w:spacing w:before="120" w:after="120"/>
      </w:pPr>
      <w:r w:rsidRPr="00803E13">
        <w:t>(4)</w:t>
      </w:r>
      <w:r>
        <w:t xml:space="preserve"> </w:t>
      </w:r>
      <w:r w:rsidRPr="00803E13">
        <w:t>Nezávislému</w:t>
      </w:r>
      <w:r>
        <w:t xml:space="preserve"> </w:t>
      </w:r>
      <w:r w:rsidRPr="00803E13">
        <w:t>provozovateli</w:t>
      </w:r>
      <w:r>
        <w:t xml:space="preserve"> </w:t>
      </w:r>
      <w:r w:rsidRPr="00803E13">
        <w:t>přepravní</w:t>
      </w:r>
      <w:r>
        <w:t xml:space="preserve"> </w:t>
      </w:r>
      <w:r w:rsidRPr="00803E13">
        <w:t>soustavy</w:t>
      </w:r>
      <w:r>
        <w:t xml:space="preserve"> </w:t>
      </w:r>
      <w:r w:rsidRPr="00803E13">
        <w:t>se</w:t>
      </w:r>
      <w:r>
        <w:t xml:space="preserve"> </w:t>
      </w:r>
      <w:r w:rsidRPr="00803E13">
        <w:t>zakazuje</w:t>
      </w:r>
      <w:r>
        <w:t xml:space="preserve"> </w:t>
      </w:r>
      <w:r w:rsidRPr="00803E13">
        <w:t>vykonávat</w:t>
      </w:r>
      <w:r>
        <w:t xml:space="preserve"> </w:t>
      </w:r>
      <w:r w:rsidRPr="00803E13">
        <w:t>přepravu</w:t>
      </w:r>
      <w:r>
        <w:t xml:space="preserve"> </w:t>
      </w:r>
      <w:r w:rsidRPr="00803E13">
        <w:t>plynu</w:t>
      </w:r>
      <w:r>
        <w:t xml:space="preserve"> </w:t>
      </w:r>
      <w:r w:rsidRPr="00803E13">
        <w:t>s</w:t>
      </w:r>
      <w:r>
        <w:t xml:space="preserve"> </w:t>
      </w:r>
      <w:r w:rsidRPr="00803E13">
        <w:t>využitím</w:t>
      </w:r>
      <w:r>
        <w:t xml:space="preserve"> </w:t>
      </w:r>
      <w:r w:rsidRPr="00803E13">
        <w:t>služeb</w:t>
      </w:r>
      <w:r>
        <w:t xml:space="preserve"> </w:t>
      </w:r>
      <w:r w:rsidRPr="00803E13">
        <w:t>jiné</w:t>
      </w:r>
      <w:r>
        <w:t xml:space="preserve"> </w:t>
      </w:r>
      <w:r w:rsidRPr="00803E13">
        <w:t>osoby,</w:t>
      </w:r>
      <w:r>
        <w:t xml:space="preserve"> </w:t>
      </w:r>
      <w:r w:rsidRPr="00803E13">
        <w:t>která</w:t>
      </w:r>
      <w:r>
        <w:t xml:space="preserve"> </w:t>
      </w:r>
      <w:r w:rsidRPr="00803E13">
        <w:t>je</w:t>
      </w:r>
      <w:r>
        <w:t xml:space="preserve"> </w:t>
      </w:r>
      <w:r w:rsidRPr="00803E13">
        <w:t>součástí</w:t>
      </w:r>
      <w:r>
        <w:t xml:space="preserve"> </w:t>
      </w:r>
      <w:r w:rsidRPr="00803E13">
        <w:t>téhož</w:t>
      </w:r>
      <w:r>
        <w:t xml:space="preserve"> </w:t>
      </w:r>
      <w:r w:rsidRPr="00803E13">
        <w:t>vertikálně</w:t>
      </w:r>
      <w:r>
        <w:t xml:space="preserve"> </w:t>
      </w:r>
      <w:r w:rsidRPr="00803E13">
        <w:t>integrovaného</w:t>
      </w:r>
      <w:r>
        <w:t xml:space="preserve"> </w:t>
      </w:r>
      <w:r w:rsidRPr="00803E13">
        <w:t>plynárenského</w:t>
      </w:r>
      <w:r>
        <w:t xml:space="preserve"> </w:t>
      </w:r>
      <w:r w:rsidRPr="00803E13">
        <w:t>podnikatele</w:t>
      </w:r>
      <w:r>
        <w:t xml:space="preserve"> </w:t>
      </w:r>
      <w:r w:rsidRPr="00803E13">
        <w:t>jako</w:t>
      </w:r>
      <w:r>
        <w:t xml:space="preserve"> </w:t>
      </w:r>
      <w:r w:rsidRPr="00803E13">
        <w:t>nezávislý</w:t>
      </w:r>
      <w:r>
        <w:t xml:space="preserve"> </w:t>
      </w:r>
      <w:r w:rsidRPr="00803E13">
        <w:t>provozovatel</w:t>
      </w:r>
      <w:r>
        <w:t xml:space="preserve"> </w:t>
      </w:r>
      <w:r w:rsidRPr="00803E13">
        <w:t>přepravní</w:t>
      </w:r>
      <w:r>
        <w:t xml:space="preserve"> </w:t>
      </w:r>
      <w:r w:rsidRPr="00803E13">
        <w:t>soustavy,</w:t>
      </w:r>
      <w:r>
        <w:t xml:space="preserve"> </w:t>
      </w:r>
      <w:r w:rsidRPr="00803E13">
        <w:t>nebo</w:t>
      </w:r>
      <w:r>
        <w:t xml:space="preserve"> </w:t>
      </w:r>
      <w:r w:rsidRPr="00803E13">
        <w:t>jejích</w:t>
      </w:r>
      <w:r>
        <w:t xml:space="preserve"> </w:t>
      </w:r>
      <w:r w:rsidRPr="00803E13">
        <w:t>zaměstnanců,</w:t>
      </w:r>
      <w:r>
        <w:t xml:space="preserve"> </w:t>
      </w:r>
      <w:r w:rsidRPr="00803E13">
        <w:t>s</w:t>
      </w:r>
      <w:r>
        <w:t xml:space="preserve"> </w:t>
      </w:r>
      <w:r w:rsidRPr="00803E13">
        <w:t>výjimkou</w:t>
      </w:r>
      <w:r>
        <w:t xml:space="preserve"> </w:t>
      </w:r>
      <w:r w:rsidRPr="00803E13">
        <w:t>služeb</w:t>
      </w:r>
      <w:r>
        <w:t xml:space="preserve"> </w:t>
      </w:r>
      <w:r w:rsidRPr="00803E13">
        <w:t>sloužících</w:t>
      </w:r>
      <w:r>
        <w:t xml:space="preserve"> </w:t>
      </w:r>
      <w:r w:rsidRPr="00803E13">
        <w:t>k</w:t>
      </w:r>
      <w:r>
        <w:t xml:space="preserve"> </w:t>
      </w:r>
      <w:r w:rsidRPr="00803E13">
        <w:t>zajištění</w:t>
      </w:r>
      <w:r>
        <w:t xml:space="preserve"> </w:t>
      </w:r>
      <w:r w:rsidRPr="00803E13">
        <w:t>provozuschopnosti</w:t>
      </w:r>
      <w:r>
        <w:t xml:space="preserve"> </w:t>
      </w:r>
      <w:r w:rsidRPr="00803E13">
        <w:t>přepravní</w:t>
      </w:r>
      <w:r>
        <w:t xml:space="preserve"> </w:t>
      </w:r>
      <w:r w:rsidRPr="00803E13">
        <w:t>soustavy</w:t>
      </w:r>
      <w:r>
        <w:t xml:space="preserve"> </w:t>
      </w:r>
      <w:r w:rsidRPr="00803E13">
        <w:t>zadaných</w:t>
      </w:r>
      <w:r>
        <w:t xml:space="preserve"> </w:t>
      </w:r>
      <w:r w:rsidRPr="00803E13">
        <w:t>jako</w:t>
      </w:r>
      <w:r>
        <w:t xml:space="preserve"> </w:t>
      </w:r>
      <w:r w:rsidRPr="00803E13">
        <w:t>veřejná</w:t>
      </w:r>
      <w:r>
        <w:t xml:space="preserve"> </w:t>
      </w:r>
      <w:r w:rsidRPr="00803E13">
        <w:t>zakázka.</w:t>
      </w:r>
    </w:p>
    <w:p w14:paraId="64B36509" w14:textId="77777777" w:rsidR="00FF7A85" w:rsidRDefault="00FF7A85" w:rsidP="0010420C">
      <w:pPr>
        <w:pStyle w:val="Textparagrafu"/>
        <w:tabs>
          <w:tab w:val="left" w:pos="392"/>
          <w:tab w:val="left" w:pos="840"/>
        </w:tabs>
        <w:spacing w:before="120" w:after="120"/>
      </w:pPr>
      <w:r w:rsidRPr="00803E13">
        <w:t>(5)</w:t>
      </w:r>
      <w:r>
        <w:t xml:space="preserve"> </w:t>
      </w:r>
      <w:r w:rsidRPr="00803E13">
        <w:t>Nezávislému</w:t>
      </w:r>
      <w:r>
        <w:t xml:space="preserve"> </w:t>
      </w:r>
      <w:r w:rsidRPr="00803E13">
        <w:t>provozovateli</w:t>
      </w:r>
      <w:r>
        <w:t xml:space="preserve"> </w:t>
      </w:r>
      <w:r w:rsidRPr="00803E13">
        <w:t>přepravní</w:t>
      </w:r>
      <w:r>
        <w:t xml:space="preserve"> </w:t>
      </w:r>
      <w:r w:rsidRPr="00803E13">
        <w:t>soustavy</w:t>
      </w:r>
      <w:r>
        <w:t xml:space="preserve"> </w:t>
      </w:r>
      <w:r w:rsidRPr="00803E13">
        <w:t>se</w:t>
      </w:r>
      <w:r>
        <w:t xml:space="preserve"> </w:t>
      </w:r>
      <w:r w:rsidRPr="00803E13">
        <w:t>zakazuje</w:t>
      </w:r>
      <w:r>
        <w:t xml:space="preserve"> </w:t>
      </w:r>
      <w:r w:rsidRPr="00803E13">
        <w:t>přidělovat</w:t>
      </w:r>
      <w:r>
        <w:t xml:space="preserve"> </w:t>
      </w:r>
      <w:r w:rsidRPr="00803E13">
        <w:t>své</w:t>
      </w:r>
      <w:r>
        <w:t xml:space="preserve"> </w:t>
      </w:r>
      <w:r w:rsidRPr="00803E13">
        <w:t>zaměstnance</w:t>
      </w:r>
      <w:r>
        <w:t xml:space="preserve"> </w:t>
      </w:r>
      <w:r w:rsidRPr="00803E13">
        <w:t>k</w:t>
      </w:r>
      <w:r>
        <w:t xml:space="preserve"> </w:t>
      </w:r>
      <w:r w:rsidRPr="00803E13">
        <w:t>výkonu</w:t>
      </w:r>
      <w:r>
        <w:t xml:space="preserve"> </w:t>
      </w:r>
      <w:r w:rsidRPr="00803E13">
        <w:t>práce</w:t>
      </w:r>
      <w:r>
        <w:t xml:space="preserve"> </w:t>
      </w:r>
      <w:r w:rsidRPr="00803E13">
        <w:t>k</w:t>
      </w:r>
      <w:r>
        <w:t xml:space="preserve"> </w:t>
      </w:r>
      <w:r w:rsidRPr="00803E13">
        <w:t>jiné</w:t>
      </w:r>
      <w:r>
        <w:t xml:space="preserve"> </w:t>
      </w:r>
      <w:r w:rsidRPr="00803E13">
        <w:t>osobě,</w:t>
      </w:r>
      <w:r>
        <w:t xml:space="preserve"> </w:t>
      </w:r>
      <w:r w:rsidRPr="00803E13">
        <w:t>která</w:t>
      </w:r>
      <w:r>
        <w:t xml:space="preserve"> </w:t>
      </w:r>
      <w:r w:rsidRPr="00803E13">
        <w:t>je</w:t>
      </w:r>
      <w:r>
        <w:t xml:space="preserve"> </w:t>
      </w:r>
      <w:r w:rsidRPr="00803E13">
        <w:t>součástí</w:t>
      </w:r>
      <w:r>
        <w:t xml:space="preserve"> </w:t>
      </w:r>
      <w:r w:rsidRPr="00803E13">
        <w:t>téhož</w:t>
      </w:r>
      <w:r>
        <w:t xml:space="preserve"> </w:t>
      </w:r>
      <w:r w:rsidRPr="00803E13">
        <w:t>vertikálně</w:t>
      </w:r>
      <w:r>
        <w:t xml:space="preserve"> </w:t>
      </w:r>
      <w:r w:rsidRPr="00803E13">
        <w:t>integrovaného</w:t>
      </w:r>
      <w:r>
        <w:t xml:space="preserve"> </w:t>
      </w:r>
      <w:r w:rsidRPr="00803E13">
        <w:t>plynárenského</w:t>
      </w:r>
      <w:r>
        <w:t xml:space="preserve"> </w:t>
      </w:r>
      <w:r w:rsidRPr="00803E13">
        <w:t>podnikatele.</w:t>
      </w:r>
    </w:p>
    <w:p w14:paraId="5138023B" w14:textId="77777777" w:rsidR="00FF7A85" w:rsidRDefault="00FF7A85" w:rsidP="0010420C">
      <w:pPr>
        <w:pStyle w:val="Textparagrafu"/>
        <w:tabs>
          <w:tab w:val="left" w:pos="392"/>
          <w:tab w:val="left" w:pos="840"/>
        </w:tabs>
        <w:spacing w:before="120" w:after="120"/>
      </w:pPr>
      <w:r w:rsidRPr="00803E13">
        <w:t>(6)</w:t>
      </w:r>
      <w:r>
        <w:t xml:space="preserve"> </w:t>
      </w:r>
      <w:r w:rsidRPr="00803E13">
        <w:t>Nezávislý</w:t>
      </w:r>
      <w:r>
        <w:t xml:space="preserve"> </w:t>
      </w:r>
      <w:r w:rsidRPr="00803E13">
        <w:t>provozovatel</w:t>
      </w:r>
      <w:r>
        <w:t xml:space="preserve"> </w:t>
      </w:r>
      <w:r w:rsidRPr="00803E13">
        <w:t>přepravní</w:t>
      </w:r>
      <w:r>
        <w:t xml:space="preserve"> </w:t>
      </w:r>
      <w:r w:rsidRPr="00803E13">
        <w:t>soustavy</w:t>
      </w:r>
      <w:r>
        <w:t xml:space="preserve"> </w:t>
      </w:r>
      <w:r w:rsidRPr="00803E13">
        <w:t>je</w:t>
      </w:r>
      <w:r>
        <w:t xml:space="preserve"> </w:t>
      </w:r>
      <w:r w:rsidRPr="00803E13">
        <w:t>oprávněn</w:t>
      </w:r>
      <w:r>
        <w:t xml:space="preserve"> </w:t>
      </w:r>
      <w:r w:rsidRPr="00803E13">
        <w:t>poskytovat</w:t>
      </w:r>
      <w:r>
        <w:t xml:space="preserve"> </w:t>
      </w:r>
      <w:r w:rsidRPr="00803E13">
        <w:t>služby</w:t>
      </w:r>
      <w:r>
        <w:t xml:space="preserve"> </w:t>
      </w:r>
      <w:r w:rsidRPr="00803E13">
        <w:t>jiné</w:t>
      </w:r>
      <w:r>
        <w:t xml:space="preserve"> </w:t>
      </w:r>
      <w:r w:rsidRPr="00803E13">
        <w:t>osobě,</w:t>
      </w:r>
      <w:r>
        <w:t xml:space="preserve"> </w:t>
      </w:r>
      <w:r w:rsidRPr="00803E13">
        <w:t>která</w:t>
      </w:r>
      <w:r>
        <w:t xml:space="preserve"> </w:t>
      </w:r>
      <w:r w:rsidRPr="00803E13">
        <w:t>je</w:t>
      </w:r>
      <w:r>
        <w:t xml:space="preserve"> </w:t>
      </w:r>
      <w:r w:rsidRPr="00803E13">
        <w:t>součástí</w:t>
      </w:r>
      <w:r>
        <w:t xml:space="preserve"> </w:t>
      </w:r>
      <w:r w:rsidRPr="00803E13">
        <w:t>téhož</w:t>
      </w:r>
      <w:r>
        <w:t xml:space="preserve"> </w:t>
      </w:r>
      <w:r w:rsidRPr="00803E13">
        <w:t>vertikálně</w:t>
      </w:r>
      <w:r>
        <w:t xml:space="preserve"> </w:t>
      </w:r>
      <w:r w:rsidRPr="00803E13">
        <w:t>integrovaného</w:t>
      </w:r>
      <w:r>
        <w:t xml:space="preserve"> </w:t>
      </w:r>
      <w:r w:rsidRPr="00803E13">
        <w:t>plynárenského</w:t>
      </w:r>
      <w:r>
        <w:t xml:space="preserve"> </w:t>
      </w:r>
      <w:r w:rsidRPr="00803E13">
        <w:t>podnikatele</w:t>
      </w:r>
      <w:r>
        <w:t xml:space="preserve"> </w:t>
      </w:r>
      <w:r w:rsidRPr="00803E13">
        <w:t>pouze</w:t>
      </w:r>
      <w:r>
        <w:t xml:space="preserve"> </w:t>
      </w:r>
      <w:r w:rsidRPr="00803E13">
        <w:t>s</w:t>
      </w:r>
      <w:r>
        <w:t xml:space="preserve"> </w:t>
      </w:r>
      <w:r w:rsidRPr="00803E13">
        <w:t>předchozím</w:t>
      </w:r>
      <w:r>
        <w:t xml:space="preserve"> </w:t>
      </w:r>
      <w:r w:rsidRPr="00803E13">
        <w:t>souhlasem</w:t>
      </w:r>
      <w:r>
        <w:t xml:space="preserve"> </w:t>
      </w:r>
      <w:r w:rsidRPr="00803E13">
        <w:t>Energetického</w:t>
      </w:r>
      <w:r>
        <w:t xml:space="preserve"> </w:t>
      </w:r>
      <w:r w:rsidRPr="00803E13">
        <w:t>regulačního</w:t>
      </w:r>
      <w:r>
        <w:t xml:space="preserve"> </w:t>
      </w:r>
      <w:r w:rsidRPr="00803E13">
        <w:t>úřadu.</w:t>
      </w:r>
      <w:r>
        <w:t xml:space="preserve"> </w:t>
      </w:r>
      <w:r w:rsidRPr="00803E13">
        <w:t>Energetický</w:t>
      </w:r>
      <w:r>
        <w:t xml:space="preserve"> </w:t>
      </w:r>
      <w:r w:rsidRPr="00803E13">
        <w:t>regulační</w:t>
      </w:r>
      <w:r>
        <w:t xml:space="preserve"> </w:t>
      </w:r>
      <w:r w:rsidRPr="00803E13">
        <w:t>úřad</w:t>
      </w:r>
      <w:r>
        <w:t xml:space="preserve"> </w:t>
      </w:r>
      <w:r w:rsidRPr="00803E13">
        <w:t>souhlas</w:t>
      </w:r>
      <w:r>
        <w:t xml:space="preserve"> </w:t>
      </w:r>
      <w:r w:rsidRPr="00803E13">
        <w:t>udělí,</w:t>
      </w:r>
      <w:r>
        <w:t xml:space="preserve"> </w:t>
      </w:r>
      <w:r w:rsidRPr="00803E13">
        <w:t>pokud</w:t>
      </w:r>
      <w:r>
        <w:t xml:space="preserve"> </w:t>
      </w:r>
      <w:r w:rsidRPr="00803E13">
        <w:t>nezávislý</w:t>
      </w:r>
      <w:r>
        <w:t xml:space="preserve"> </w:t>
      </w:r>
      <w:r w:rsidRPr="00803E13">
        <w:t>provozovatel</w:t>
      </w:r>
      <w:r>
        <w:t xml:space="preserve"> </w:t>
      </w:r>
      <w:r w:rsidRPr="00803E13">
        <w:t>přepravní</w:t>
      </w:r>
      <w:r>
        <w:t xml:space="preserve"> </w:t>
      </w:r>
      <w:r w:rsidRPr="00803E13">
        <w:t>soustavy</w:t>
      </w:r>
      <w:r>
        <w:t xml:space="preserve"> </w:t>
      </w:r>
      <w:r w:rsidRPr="00803E13">
        <w:t>doloží,</w:t>
      </w:r>
      <w:r>
        <w:t xml:space="preserve"> </w:t>
      </w:r>
      <w:r w:rsidRPr="00803E13">
        <w:t>že</w:t>
      </w:r>
    </w:p>
    <w:p w14:paraId="6CBA723D" w14:textId="77777777" w:rsidR="00FF7A85" w:rsidRDefault="00FF7A85" w:rsidP="002E6AEA">
      <w:pPr>
        <w:pStyle w:val="Textparagrafu"/>
        <w:tabs>
          <w:tab w:val="left" w:pos="392"/>
          <w:tab w:val="left" w:pos="840"/>
        </w:tabs>
        <w:spacing w:before="0"/>
        <w:ind w:left="426" w:hanging="426"/>
      </w:pPr>
      <w:r w:rsidRPr="00803E13">
        <w:t>a)</w:t>
      </w:r>
      <w:r>
        <w:tab/>
      </w:r>
      <w:r w:rsidRPr="00803E13">
        <w:t>poskytování</w:t>
      </w:r>
      <w:r>
        <w:t xml:space="preserve"> </w:t>
      </w:r>
      <w:r w:rsidRPr="00803E13">
        <w:t>takových</w:t>
      </w:r>
      <w:r>
        <w:t xml:space="preserve"> </w:t>
      </w:r>
      <w:r w:rsidRPr="00803E13">
        <w:t>služeb</w:t>
      </w:r>
      <w:r>
        <w:t xml:space="preserve"> </w:t>
      </w:r>
      <w:r w:rsidRPr="00803E13">
        <w:t>nevede</w:t>
      </w:r>
      <w:r>
        <w:t xml:space="preserve"> </w:t>
      </w:r>
      <w:r w:rsidRPr="00803E13">
        <w:t>k</w:t>
      </w:r>
      <w:r>
        <w:t xml:space="preserve"> </w:t>
      </w:r>
      <w:r w:rsidRPr="00803E13">
        <w:t>diskriminaci</w:t>
      </w:r>
      <w:r>
        <w:t xml:space="preserve"> </w:t>
      </w:r>
      <w:r w:rsidRPr="00803E13">
        <w:t>ostatních</w:t>
      </w:r>
      <w:r>
        <w:t xml:space="preserve"> </w:t>
      </w:r>
      <w:r w:rsidRPr="00803E13">
        <w:t>účastníků</w:t>
      </w:r>
      <w:r>
        <w:t xml:space="preserve"> </w:t>
      </w:r>
      <w:r w:rsidRPr="00803E13">
        <w:t>trhu</w:t>
      </w:r>
      <w:r>
        <w:t xml:space="preserve"> </w:t>
      </w:r>
      <w:r w:rsidRPr="00803E13">
        <w:t>s</w:t>
      </w:r>
      <w:r>
        <w:t xml:space="preserve"> </w:t>
      </w:r>
      <w:r w:rsidRPr="00803E13">
        <w:t>plynem</w:t>
      </w:r>
      <w:r>
        <w:t xml:space="preserve"> </w:t>
      </w:r>
      <w:r w:rsidRPr="00803E13">
        <w:t>nebo</w:t>
      </w:r>
      <w:r>
        <w:t xml:space="preserve"> </w:t>
      </w:r>
      <w:r w:rsidRPr="00803E13">
        <w:t>jiných</w:t>
      </w:r>
      <w:r>
        <w:t xml:space="preserve"> </w:t>
      </w:r>
      <w:r w:rsidRPr="00803E13">
        <w:t>osob,</w:t>
      </w:r>
      <w:r>
        <w:t xml:space="preserve"> </w:t>
      </w:r>
      <w:r w:rsidRPr="00803E13">
        <w:t>které</w:t>
      </w:r>
      <w:r>
        <w:t xml:space="preserve"> </w:t>
      </w:r>
      <w:r w:rsidRPr="00803E13">
        <w:t>nejsou</w:t>
      </w:r>
      <w:r>
        <w:t xml:space="preserve"> </w:t>
      </w:r>
      <w:r w:rsidRPr="00803E13">
        <w:t>součástí</w:t>
      </w:r>
      <w:r>
        <w:t xml:space="preserve"> </w:t>
      </w:r>
      <w:r w:rsidRPr="00803E13">
        <w:t>téhož</w:t>
      </w:r>
      <w:r>
        <w:t xml:space="preserve"> </w:t>
      </w:r>
      <w:r w:rsidRPr="00803E13">
        <w:t>vertikálně</w:t>
      </w:r>
      <w:r>
        <w:t xml:space="preserve"> </w:t>
      </w:r>
      <w:r w:rsidRPr="00803E13">
        <w:t>integrovaného</w:t>
      </w:r>
      <w:r>
        <w:t xml:space="preserve"> </w:t>
      </w:r>
      <w:r w:rsidRPr="00803E13">
        <w:t>plynárenského</w:t>
      </w:r>
      <w:r>
        <w:t xml:space="preserve"> </w:t>
      </w:r>
      <w:r w:rsidRPr="00803E13">
        <w:t>podnikatele,</w:t>
      </w:r>
    </w:p>
    <w:p w14:paraId="47BD8213" w14:textId="77777777" w:rsidR="00FF7A85" w:rsidRDefault="00FF7A85" w:rsidP="002E6AEA">
      <w:pPr>
        <w:pStyle w:val="Textparagrafu"/>
        <w:tabs>
          <w:tab w:val="left" w:pos="392"/>
          <w:tab w:val="left" w:pos="840"/>
        </w:tabs>
        <w:spacing w:before="0"/>
        <w:ind w:left="426" w:hanging="426"/>
      </w:pPr>
      <w:r w:rsidRPr="00803E13">
        <w:t>b)</w:t>
      </w:r>
      <w:r>
        <w:tab/>
      </w:r>
      <w:r w:rsidRPr="00803E13">
        <w:t>využití</w:t>
      </w:r>
      <w:r>
        <w:t xml:space="preserve"> </w:t>
      </w:r>
      <w:r w:rsidRPr="00803E13">
        <w:t>služeb</w:t>
      </w:r>
      <w:r>
        <w:t xml:space="preserve"> </w:t>
      </w:r>
      <w:r w:rsidRPr="00803E13">
        <w:t>je</w:t>
      </w:r>
      <w:r>
        <w:t xml:space="preserve"> </w:t>
      </w:r>
      <w:r w:rsidRPr="00803E13">
        <w:t>za</w:t>
      </w:r>
      <w:r>
        <w:t xml:space="preserve"> </w:t>
      </w:r>
      <w:r w:rsidRPr="00803E13">
        <w:t>stejných</w:t>
      </w:r>
      <w:r>
        <w:t xml:space="preserve"> </w:t>
      </w:r>
      <w:r w:rsidRPr="00803E13">
        <w:t>podmínek</w:t>
      </w:r>
      <w:r>
        <w:t xml:space="preserve"> </w:t>
      </w:r>
      <w:r w:rsidRPr="00803E13">
        <w:t>dostupné</w:t>
      </w:r>
      <w:r>
        <w:t xml:space="preserve"> </w:t>
      </w:r>
      <w:r w:rsidRPr="00803E13">
        <w:t>i</w:t>
      </w:r>
      <w:r>
        <w:t xml:space="preserve"> </w:t>
      </w:r>
      <w:r w:rsidRPr="00803E13">
        <w:t>jiným</w:t>
      </w:r>
      <w:r>
        <w:t xml:space="preserve"> </w:t>
      </w:r>
      <w:r w:rsidRPr="00803E13">
        <w:t>účastníkům</w:t>
      </w:r>
      <w:r>
        <w:t xml:space="preserve"> </w:t>
      </w:r>
      <w:r w:rsidRPr="00803E13">
        <w:t>trhu</w:t>
      </w:r>
      <w:r>
        <w:t xml:space="preserve"> </w:t>
      </w:r>
      <w:r w:rsidRPr="00803E13">
        <w:t>s</w:t>
      </w:r>
      <w:r>
        <w:t xml:space="preserve"> </w:t>
      </w:r>
      <w:r w:rsidRPr="00803E13">
        <w:t>plynem</w:t>
      </w:r>
      <w:r>
        <w:t xml:space="preserve"> </w:t>
      </w:r>
      <w:r w:rsidRPr="00803E13">
        <w:t>nebo</w:t>
      </w:r>
      <w:r>
        <w:t xml:space="preserve"> </w:t>
      </w:r>
      <w:r w:rsidRPr="00803E13">
        <w:t>jiným</w:t>
      </w:r>
      <w:r>
        <w:t xml:space="preserve"> </w:t>
      </w:r>
      <w:r w:rsidRPr="00803E13">
        <w:t>osobám,</w:t>
      </w:r>
      <w:r>
        <w:t xml:space="preserve"> </w:t>
      </w:r>
      <w:r w:rsidRPr="00803E13">
        <w:t>které</w:t>
      </w:r>
      <w:r>
        <w:t xml:space="preserve"> </w:t>
      </w:r>
      <w:r w:rsidRPr="00803E13">
        <w:t>nejsou</w:t>
      </w:r>
      <w:r>
        <w:t xml:space="preserve"> </w:t>
      </w:r>
      <w:r w:rsidRPr="00803E13">
        <w:t>součástí</w:t>
      </w:r>
      <w:r>
        <w:t xml:space="preserve"> </w:t>
      </w:r>
      <w:r w:rsidRPr="00803E13">
        <w:t>téhož</w:t>
      </w:r>
      <w:r>
        <w:t xml:space="preserve"> </w:t>
      </w:r>
      <w:r w:rsidRPr="00803E13">
        <w:t>vertikálně</w:t>
      </w:r>
      <w:r>
        <w:t xml:space="preserve"> </w:t>
      </w:r>
      <w:r w:rsidRPr="00803E13">
        <w:t>integrovaného</w:t>
      </w:r>
      <w:r>
        <w:t xml:space="preserve"> </w:t>
      </w:r>
      <w:r w:rsidRPr="00803E13">
        <w:t>plynárenského</w:t>
      </w:r>
      <w:r>
        <w:t xml:space="preserve"> </w:t>
      </w:r>
      <w:r w:rsidRPr="00803E13">
        <w:t>podnikatele,</w:t>
      </w:r>
    </w:p>
    <w:p w14:paraId="4C33ECBE" w14:textId="77777777" w:rsidR="00FF7A85" w:rsidRDefault="00FF7A85" w:rsidP="002E6AEA">
      <w:pPr>
        <w:pStyle w:val="Textparagrafu"/>
        <w:tabs>
          <w:tab w:val="left" w:pos="392"/>
          <w:tab w:val="left" w:pos="840"/>
        </w:tabs>
        <w:spacing w:before="0"/>
        <w:ind w:left="426" w:hanging="426"/>
      </w:pPr>
      <w:r w:rsidRPr="00803E13">
        <w:t>c)</w:t>
      </w:r>
      <w:r>
        <w:tab/>
      </w:r>
      <w:r w:rsidRPr="00803E13">
        <w:t>poskytování</w:t>
      </w:r>
      <w:r>
        <w:t xml:space="preserve"> </w:t>
      </w:r>
      <w:r w:rsidRPr="00803E13">
        <w:t>takových</w:t>
      </w:r>
      <w:r>
        <w:t xml:space="preserve"> </w:t>
      </w:r>
      <w:r w:rsidRPr="00803E13">
        <w:t>služeb</w:t>
      </w:r>
      <w:r>
        <w:t xml:space="preserve"> </w:t>
      </w:r>
      <w:r w:rsidRPr="00803E13">
        <w:t>nenaruší</w:t>
      </w:r>
      <w:r>
        <w:t xml:space="preserve"> </w:t>
      </w:r>
      <w:r w:rsidRPr="00803E13">
        <w:t>nebo</w:t>
      </w:r>
      <w:r>
        <w:t xml:space="preserve"> </w:t>
      </w:r>
      <w:r w:rsidRPr="00803E13">
        <w:t>neomezí</w:t>
      </w:r>
      <w:r>
        <w:t xml:space="preserve"> </w:t>
      </w:r>
      <w:r w:rsidRPr="00803E13">
        <w:t>hospodářskou</w:t>
      </w:r>
      <w:r>
        <w:t xml:space="preserve"> </w:t>
      </w:r>
      <w:r w:rsidRPr="00803E13">
        <w:t>soutěž</w:t>
      </w:r>
      <w:r>
        <w:t xml:space="preserve"> </w:t>
      </w:r>
      <w:r w:rsidRPr="00803E13">
        <w:t>na</w:t>
      </w:r>
      <w:r>
        <w:t xml:space="preserve"> </w:t>
      </w:r>
      <w:r w:rsidRPr="00803E13">
        <w:t>trhu</w:t>
      </w:r>
      <w:r>
        <w:t xml:space="preserve"> </w:t>
      </w:r>
      <w:r w:rsidRPr="00803E13">
        <w:t>s</w:t>
      </w:r>
      <w:r>
        <w:t xml:space="preserve"> </w:t>
      </w:r>
      <w:r w:rsidRPr="00803E13">
        <w:t>plynem</w:t>
      </w:r>
      <w:r>
        <w:t xml:space="preserve"> </w:t>
      </w:r>
      <w:r w:rsidRPr="00803E13">
        <w:t>ani</w:t>
      </w:r>
      <w:r>
        <w:t xml:space="preserve"> </w:t>
      </w:r>
      <w:r w:rsidRPr="00803E13">
        <w:t>takové</w:t>
      </w:r>
      <w:r>
        <w:t xml:space="preserve"> </w:t>
      </w:r>
      <w:r w:rsidRPr="00803E13">
        <w:t>soutěži</w:t>
      </w:r>
      <w:r>
        <w:t xml:space="preserve"> </w:t>
      </w:r>
      <w:r w:rsidRPr="00803E13">
        <w:t>nebrání.</w:t>
      </w:r>
    </w:p>
    <w:p w14:paraId="7F0E06B1" w14:textId="77777777" w:rsidR="00FF7A85" w:rsidRDefault="00FF7A85" w:rsidP="0010420C">
      <w:pPr>
        <w:pStyle w:val="Textparagrafu"/>
        <w:tabs>
          <w:tab w:val="left" w:pos="392"/>
          <w:tab w:val="left" w:pos="840"/>
        </w:tabs>
        <w:spacing w:before="120" w:after="120"/>
      </w:pPr>
      <w:r w:rsidRPr="00803E13">
        <w:t>(7)</w:t>
      </w:r>
      <w:r>
        <w:t xml:space="preserve"> </w:t>
      </w:r>
      <w:r w:rsidRPr="00803E13">
        <w:t>K</w:t>
      </w:r>
      <w:r>
        <w:t xml:space="preserve"> </w:t>
      </w:r>
      <w:r w:rsidRPr="00803E13">
        <w:t>posouzení</w:t>
      </w:r>
      <w:r>
        <w:t xml:space="preserve"> </w:t>
      </w:r>
      <w:r w:rsidRPr="00803E13">
        <w:t>splnění</w:t>
      </w:r>
      <w:r>
        <w:t xml:space="preserve"> </w:t>
      </w:r>
      <w:r w:rsidRPr="00803E13">
        <w:t>předpokladu</w:t>
      </w:r>
      <w:r>
        <w:t xml:space="preserve"> </w:t>
      </w:r>
      <w:r w:rsidRPr="00803E13">
        <w:t>podle</w:t>
      </w:r>
      <w:r>
        <w:t xml:space="preserve"> </w:t>
      </w:r>
      <w:r w:rsidRPr="00803E13">
        <w:t>odstavce</w:t>
      </w:r>
      <w:r>
        <w:t xml:space="preserve"> </w:t>
      </w:r>
      <w:r w:rsidRPr="00803E13">
        <w:t>6</w:t>
      </w:r>
      <w:r>
        <w:t xml:space="preserve"> </w:t>
      </w:r>
      <w:r w:rsidRPr="00803E13">
        <w:t>písm.</w:t>
      </w:r>
      <w:r>
        <w:t xml:space="preserve"> </w:t>
      </w:r>
      <w:r w:rsidRPr="00803E13">
        <w:t>c)</w:t>
      </w:r>
      <w:r>
        <w:t xml:space="preserve"> </w:t>
      </w:r>
      <w:r w:rsidRPr="00803E13">
        <w:t>si</w:t>
      </w:r>
      <w:r>
        <w:t xml:space="preserve"> </w:t>
      </w:r>
      <w:r w:rsidRPr="00803E13">
        <w:t>Energetický</w:t>
      </w:r>
      <w:r>
        <w:t xml:space="preserve"> </w:t>
      </w:r>
      <w:r w:rsidRPr="00803E13">
        <w:t>regulační</w:t>
      </w:r>
      <w:r>
        <w:t xml:space="preserve"> </w:t>
      </w:r>
      <w:r w:rsidRPr="00803E13">
        <w:t>úřad</w:t>
      </w:r>
      <w:r>
        <w:t xml:space="preserve"> </w:t>
      </w:r>
      <w:r w:rsidRPr="00803E13">
        <w:t>vyžádá</w:t>
      </w:r>
      <w:r>
        <w:t xml:space="preserve"> </w:t>
      </w:r>
      <w:r w:rsidRPr="00803E13">
        <w:t>vyjádření</w:t>
      </w:r>
      <w:r>
        <w:t xml:space="preserve"> </w:t>
      </w:r>
      <w:r w:rsidRPr="00803E13">
        <w:t>Úřadu</w:t>
      </w:r>
      <w:r>
        <w:t xml:space="preserve"> </w:t>
      </w:r>
      <w:r w:rsidRPr="00803E13">
        <w:t>pro</w:t>
      </w:r>
      <w:r>
        <w:t xml:space="preserve"> </w:t>
      </w:r>
      <w:r w:rsidRPr="00803E13">
        <w:t>ochranu</w:t>
      </w:r>
      <w:r>
        <w:t xml:space="preserve"> </w:t>
      </w:r>
      <w:r w:rsidRPr="00803E13">
        <w:t>hospodářské</w:t>
      </w:r>
      <w:r>
        <w:t xml:space="preserve"> </w:t>
      </w:r>
      <w:r w:rsidRPr="00803E13">
        <w:t>soutěže.</w:t>
      </w:r>
    </w:p>
    <w:p w14:paraId="5823B40D" w14:textId="77777777" w:rsidR="00FF7A85" w:rsidRDefault="00FF7A85" w:rsidP="0010420C">
      <w:pPr>
        <w:pStyle w:val="Textparagrafu"/>
        <w:tabs>
          <w:tab w:val="left" w:pos="392"/>
          <w:tab w:val="left" w:pos="840"/>
        </w:tabs>
        <w:spacing w:before="120" w:after="120"/>
      </w:pPr>
      <w:r w:rsidRPr="00803E13">
        <w:t>(8)</w:t>
      </w:r>
      <w:r>
        <w:t xml:space="preserve"> </w:t>
      </w:r>
      <w:r w:rsidRPr="00803E13">
        <w:t>Nezávislý</w:t>
      </w:r>
      <w:r>
        <w:t xml:space="preserve"> </w:t>
      </w:r>
      <w:r w:rsidRPr="00803E13">
        <w:t>provozovatel</w:t>
      </w:r>
      <w:r>
        <w:t xml:space="preserve"> </w:t>
      </w:r>
      <w:r w:rsidRPr="00803E13">
        <w:t>přepravní</w:t>
      </w:r>
      <w:r>
        <w:t xml:space="preserve"> </w:t>
      </w:r>
      <w:r w:rsidRPr="00803E13">
        <w:t>soustavy</w:t>
      </w:r>
      <w:r>
        <w:t xml:space="preserve"> </w:t>
      </w:r>
      <w:r w:rsidRPr="00803E13">
        <w:t>nesmí</w:t>
      </w:r>
      <w:r>
        <w:t xml:space="preserve"> </w:t>
      </w:r>
      <w:r w:rsidRPr="00803E13">
        <w:t>svou</w:t>
      </w:r>
      <w:r>
        <w:t xml:space="preserve"> </w:t>
      </w:r>
      <w:r w:rsidRPr="00803E13">
        <w:t>firmou,</w:t>
      </w:r>
      <w:r>
        <w:t xml:space="preserve"> </w:t>
      </w:r>
      <w:r w:rsidRPr="00803E13">
        <w:t>ve</w:t>
      </w:r>
      <w:r>
        <w:t xml:space="preserve"> </w:t>
      </w:r>
      <w:r w:rsidRPr="00803E13">
        <w:t>svých</w:t>
      </w:r>
      <w:r>
        <w:t xml:space="preserve"> </w:t>
      </w:r>
      <w:r w:rsidRPr="00803E13">
        <w:t>sděleních</w:t>
      </w:r>
      <w:r>
        <w:t xml:space="preserve"> </w:t>
      </w:r>
      <w:r w:rsidRPr="00803E13">
        <w:t>nebo</w:t>
      </w:r>
      <w:r>
        <w:t xml:space="preserve"> </w:t>
      </w:r>
      <w:r w:rsidRPr="00803E13">
        <w:t>v</w:t>
      </w:r>
      <w:r>
        <w:t xml:space="preserve"> </w:t>
      </w:r>
      <w:r w:rsidRPr="00803E13">
        <w:t>rámci</w:t>
      </w:r>
      <w:r>
        <w:t xml:space="preserve"> </w:t>
      </w:r>
      <w:r w:rsidRPr="00803E13">
        <w:t>uplatňování</w:t>
      </w:r>
      <w:r>
        <w:t xml:space="preserve"> </w:t>
      </w:r>
      <w:r w:rsidRPr="00803E13">
        <w:t>své</w:t>
      </w:r>
      <w:r>
        <w:t xml:space="preserve"> </w:t>
      </w:r>
      <w:r w:rsidRPr="00803E13">
        <w:t>ochranné</w:t>
      </w:r>
      <w:r>
        <w:t xml:space="preserve"> </w:t>
      </w:r>
      <w:r w:rsidRPr="00803E13">
        <w:t>známky</w:t>
      </w:r>
      <w:r>
        <w:t xml:space="preserve"> </w:t>
      </w:r>
      <w:r w:rsidRPr="00803E13">
        <w:t>jednat</w:t>
      </w:r>
      <w:r>
        <w:t xml:space="preserve"> </w:t>
      </w:r>
      <w:r w:rsidRPr="00803E13">
        <w:t>tak,</w:t>
      </w:r>
      <w:r>
        <w:t xml:space="preserve"> </w:t>
      </w:r>
      <w:r w:rsidRPr="00803E13">
        <w:t>aby</w:t>
      </w:r>
      <w:r>
        <w:t xml:space="preserve"> </w:t>
      </w:r>
      <w:r w:rsidRPr="00803E13">
        <w:t>docházelo</w:t>
      </w:r>
      <w:r>
        <w:t xml:space="preserve"> </w:t>
      </w:r>
      <w:r w:rsidRPr="00803E13">
        <w:t>k</w:t>
      </w:r>
      <w:r>
        <w:t xml:space="preserve"> </w:t>
      </w:r>
      <w:r w:rsidRPr="00803E13">
        <w:t>jeho</w:t>
      </w:r>
      <w:r>
        <w:t xml:space="preserve"> </w:t>
      </w:r>
      <w:r w:rsidRPr="00803E13">
        <w:t>záměně</w:t>
      </w:r>
      <w:r>
        <w:t xml:space="preserve"> </w:t>
      </w:r>
      <w:r w:rsidRPr="00803E13">
        <w:t>s</w:t>
      </w:r>
      <w:r>
        <w:t xml:space="preserve"> </w:t>
      </w:r>
      <w:r w:rsidRPr="00803E13">
        <w:t>jinou</w:t>
      </w:r>
      <w:r>
        <w:t xml:space="preserve"> </w:t>
      </w:r>
      <w:r w:rsidRPr="00803E13">
        <w:t>osobou,</w:t>
      </w:r>
      <w:r>
        <w:t xml:space="preserve"> </w:t>
      </w:r>
      <w:r w:rsidRPr="00803E13">
        <w:t>která</w:t>
      </w:r>
      <w:r>
        <w:t xml:space="preserve"> </w:t>
      </w:r>
      <w:r w:rsidRPr="00803E13">
        <w:t>je</w:t>
      </w:r>
      <w:r>
        <w:t xml:space="preserve"> </w:t>
      </w:r>
      <w:r w:rsidRPr="00803E13">
        <w:t>součástí</w:t>
      </w:r>
      <w:r>
        <w:t xml:space="preserve"> </w:t>
      </w:r>
      <w:r w:rsidRPr="00803E13">
        <w:t>téhož</w:t>
      </w:r>
      <w:r>
        <w:t xml:space="preserve"> </w:t>
      </w:r>
      <w:r w:rsidRPr="00803E13">
        <w:t>vertikálně</w:t>
      </w:r>
      <w:r>
        <w:t xml:space="preserve"> </w:t>
      </w:r>
      <w:r w:rsidRPr="00803E13">
        <w:t>integrovaného</w:t>
      </w:r>
      <w:r>
        <w:t xml:space="preserve"> </w:t>
      </w:r>
      <w:r w:rsidRPr="00803E13">
        <w:t>plynárenského</w:t>
      </w:r>
      <w:r>
        <w:t xml:space="preserve"> </w:t>
      </w:r>
      <w:r w:rsidRPr="00803E13">
        <w:t>podnikatele.</w:t>
      </w:r>
      <w:r>
        <w:t xml:space="preserve"> </w:t>
      </w:r>
      <w:r w:rsidRPr="00803E13">
        <w:t>Nezávislý</w:t>
      </w:r>
      <w:r>
        <w:t xml:space="preserve"> </w:t>
      </w:r>
      <w:r w:rsidRPr="00803E13">
        <w:t>provozovatel</w:t>
      </w:r>
      <w:r>
        <w:t xml:space="preserve"> </w:t>
      </w:r>
      <w:r w:rsidRPr="00803E13">
        <w:t>přepravní</w:t>
      </w:r>
      <w:r>
        <w:t xml:space="preserve"> </w:t>
      </w:r>
      <w:r w:rsidRPr="00803E13">
        <w:t>soustavy</w:t>
      </w:r>
      <w:r>
        <w:t xml:space="preserve"> </w:t>
      </w:r>
      <w:r w:rsidRPr="00803E13">
        <w:t>nesmí</w:t>
      </w:r>
      <w:r>
        <w:t xml:space="preserve"> </w:t>
      </w:r>
      <w:r w:rsidRPr="00803E13">
        <w:t>vykonávat</w:t>
      </w:r>
      <w:r>
        <w:t xml:space="preserve"> </w:t>
      </w:r>
      <w:r w:rsidRPr="00803E13">
        <w:t>činnost</w:t>
      </w:r>
      <w:r>
        <w:t xml:space="preserve"> </w:t>
      </w:r>
      <w:r w:rsidRPr="00803E13">
        <w:t>v</w:t>
      </w:r>
      <w:r>
        <w:t xml:space="preserve"> </w:t>
      </w:r>
      <w:r w:rsidRPr="00803E13">
        <w:t>obchodních</w:t>
      </w:r>
      <w:r>
        <w:t xml:space="preserve"> </w:t>
      </w:r>
      <w:r w:rsidRPr="00803E13">
        <w:t>prostorách,</w:t>
      </w:r>
      <w:r>
        <w:t xml:space="preserve"> </w:t>
      </w:r>
      <w:r w:rsidRPr="00803E13">
        <w:t>ve</w:t>
      </w:r>
      <w:r>
        <w:t xml:space="preserve"> </w:t>
      </w:r>
      <w:r w:rsidRPr="00803E13">
        <w:t>kterých</w:t>
      </w:r>
      <w:r>
        <w:t xml:space="preserve"> </w:t>
      </w:r>
      <w:r w:rsidRPr="00803E13">
        <w:t>vykonává</w:t>
      </w:r>
      <w:r>
        <w:t xml:space="preserve"> </w:t>
      </w:r>
      <w:r w:rsidRPr="00803E13">
        <w:t>činnost</w:t>
      </w:r>
      <w:r>
        <w:t xml:space="preserve"> </w:t>
      </w:r>
      <w:r w:rsidRPr="00803E13">
        <w:t>jiná</w:t>
      </w:r>
      <w:r>
        <w:t xml:space="preserve"> </w:t>
      </w:r>
      <w:r w:rsidRPr="00803E13">
        <w:t>osoba,</w:t>
      </w:r>
      <w:r>
        <w:t xml:space="preserve"> </w:t>
      </w:r>
      <w:r w:rsidRPr="00803E13">
        <w:t>která</w:t>
      </w:r>
      <w:r>
        <w:t xml:space="preserve"> </w:t>
      </w:r>
      <w:r w:rsidRPr="00803E13">
        <w:t>je</w:t>
      </w:r>
      <w:r>
        <w:t xml:space="preserve"> </w:t>
      </w:r>
      <w:r w:rsidRPr="00803E13">
        <w:t>součástí</w:t>
      </w:r>
      <w:r>
        <w:t xml:space="preserve"> </w:t>
      </w:r>
      <w:r w:rsidRPr="00803E13">
        <w:t>téhož</w:t>
      </w:r>
      <w:r>
        <w:t xml:space="preserve"> </w:t>
      </w:r>
      <w:r w:rsidRPr="00803E13">
        <w:t>vertikálně</w:t>
      </w:r>
      <w:r>
        <w:t xml:space="preserve"> </w:t>
      </w:r>
      <w:r w:rsidRPr="00803E13">
        <w:t>integrovaného</w:t>
      </w:r>
      <w:r>
        <w:t xml:space="preserve"> </w:t>
      </w:r>
      <w:r w:rsidRPr="00803E13">
        <w:t>plynárenského</w:t>
      </w:r>
      <w:r>
        <w:t xml:space="preserve"> </w:t>
      </w:r>
      <w:r w:rsidRPr="00803E13">
        <w:t>podnikatele.</w:t>
      </w:r>
    </w:p>
    <w:p w14:paraId="6CBF4B62" w14:textId="77777777" w:rsidR="00FF7A85" w:rsidRDefault="00FF7A85" w:rsidP="0010420C">
      <w:pPr>
        <w:pStyle w:val="Textparagrafu"/>
        <w:tabs>
          <w:tab w:val="left" w:pos="392"/>
          <w:tab w:val="left" w:pos="840"/>
        </w:tabs>
        <w:spacing w:before="120" w:after="120"/>
      </w:pPr>
      <w:r w:rsidRPr="00803E13">
        <w:t>(9)</w:t>
      </w:r>
      <w:r>
        <w:t xml:space="preserve"> </w:t>
      </w:r>
      <w:r w:rsidRPr="00803E13">
        <w:t>Nezávislý</w:t>
      </w:r>
      <w:r>
        <w:t xml:space="preserve"> </w:t>
      </w:r>
      <w:r w:rsidRPr="00803E13">
        <w:t>provozovatel</w:t>
      </w:r>
      <w:r>
        <w:t xml:space="preserve"> </w:t>
      </w:r>
      <w:r w:rsidRPr="00803E13">
        <w:t>přepravní</w:t>
      </w:r>
      <w:r>
        <w:t xml:space="preserve"> </w:t>
      </w:r>
      <w:r w:rsidRPr="00803E13">
        <w:t>soustavy</w:t>
      </w:r>
      <w:r>
        <w:t xml:space="preserve"> </w:t>
      </w:r>
      <w:r w:rsidRPr="00803E13">
        <w:t>musí</w:t>
      </w:r>
      <w:r>
        <w:t xml:space="preserve"> </w:t>
      </w:r>
      <w:r w:rsidRPr="00803E13">
        <w:t>být</w:t>
      </w:r>
      <w:r>
        <w:t xml:space="preserve"> </w:t>
      </w:r>
      <w:r w:rsidRPr="00803E13">
        <w:t>informačně</w:t>
      </w:r>
      <w:r>
        <w:t xml:space="preserve"> </w:t>
      </w:r>
      <w:r w:rsidRPr="00803E13">
        <w:t>oddělen</w:t>
      </w:r>
      <w:r>
        <w:t xml:space="preserve"> </w:t>
      </w:r>
      <w:r w:rsidRPr="00803E13">
        <w:t>od</w:t>
      </w:r>
      <w:r>
        <w:t xml:space="preserve"> </w:t>
      </w:r>
      <w:r w:rsidRPr="00803E13">
        <w:t>jiných</w:t>
      </w:r>
      <w:r>
        <w:t xml:space="preserve"> </w:t>
      </w:r>
      <w:r w:rsidRPr="00803E13">
        <w:t>osob,</w:t>
      </w:r>
      <w:r>
        <w:t xml:space="preserve"> </w:t>
      </w:r>
      <w:r w:rsidRPr="00803E13">
        <w:t>které</w:t>
      </w:r>
      <w:r>
        <w:t xml:space="preserve"> </w:t>
      </w:r>
      <w:r w:rsidRPr="00803E13">
        <w:t>jsou</w:t>
      </w:r>
      <w:r>
        <w:t xml:space="preserve"> </w:t>
      </w:r>
      <w:r w:rsidRPr="00803E13">
        <w:t>součástí</w:t>
      </w:r>
      <w:r>
        <w:t xml:space="preserve"> </w:t>
      </w:r>
      <w:r w:rsidRPr="00803E13">
        <w:t>téhož</w:t>
      </w:r>
      <w:r>
        <w:t xml:space="preserve"> </w:t>
      </w:r>
      <w:r w:rsidRPr="00803E13">
        <w:t>vertikálně</w:t>
      </w:r>
      <w:r>
        <w:t xml:space="preserve"> </w:t>
      </w:r>
      <w:r w:rsidRPr="00803E13">
        <w:t>integrovaného</w:t>
      </w:r>
      <w:r>
        <w:t xml:space="preserve"> </w:t>
      </w:r>
      <w:r w:rsidRPr="00803E13">
        <w:t>plynárenského</w:t>
      </w:r>
      <w:r>
        <w:t xml:space="preserve"> </w:t>
      </w:r>
      <w:r w:rsidRPr="00803E13">
        <w:t>podnikatele.</w:t>
      </w:r>
    </w:p>
    <w:p w14:paraId="01BBE7B1" w14:textId="77777777" w:rsidR="00FF7A85" w:rsidRDefault="00FF7A85" w:rsidP="0010420C">
      <w:pPr>
        <w:pStyle w:val="Textparagrafu"/>
        <w:tabs>
          <w:tab w:val="left" w:pos="392"/>
          <w:tab w:val="left" w:pos="840"/>
        </w:tabs>
        <w:spacing w:before="120" w:after="120"/>
      </w:pPr>
      <w:r w:rsidRPr="00803E13">
        <w:t>(10)</w:t>
      </w:r>
      <w:r>
        <w:t xml:space="preserve"> </w:t>
      </w:r>
      <w:r w:rsidRPr="00803E13">
        <w:t>Nezávislému</w:t>
      </w:r>
      <w:r>
        <w:t xml:space="preserve"> </w:t>
      </w:r>
      <w:r w:rsidRPr="00803E13">
        <w:t>provozovateli</w:t>
      </w:r>
      <w:r>
        <w:t xml:space="preserve"> </w:t>
      </w:r>
      <w:r w:rsidRPr="00803E13">
        <w:t>přepravní</w:t>
      </w:r>
      <w:r>
        <w:t xml:space="preserve"> </w:t>
      </w:r>
      <w:r w:rsidRPr="00803E13">
        <w:t>soustavy</w:t>
      </w:r>
      <w:r>
        <w:t xml:space="preserve"> </w:t>
      </w:r>
      <w:r w:rsidRPr="00803E13">
        <w:t>se</w:t>
      </w:r>
      <w:r>
        <w:t xml:space="preserve"> </w:t>
      </w:r>
      <w:r w:rsidRPr="00803E13">
        <w:t>zakazuje</w:t>
      </w:r>
      <w:r>
        <w:t xml:space="preserve"> </w:t>
      </w:r>
      <w:r w:rsidRPr="00803E13">
        <w:t>sdílet</w:t>
      </w:r>
      <w:r>
        <w:t xml:space="preserve"> </w:t>
      </w:r>
      <w:r w:rsidRPr="00803E13">
        <w:t>s</w:t>
      </w:r>
      <w:r>
        <w:t xml:space="preserve"> </w:t>
      </w:r>
      <w:r w:rsidRPr="00803E13">
        <w:t>jinou</w:t>
      </w:r>
      <w:r>
        <w:t xml:space="preserve"> </w:t>
      </w:r>
      <w:r w:rsidRPr="00803E13">
        <w:t>osobou,</w:t>
      </w:r>
      <w:r>
        <w:t xml:space="preserve"> </w:t>
      </w:r>
      <w:r w:rsidRPr="00803E13">
        <w:t>která</w:t>
      </w:r>
      <w:r>
        <w:t xml:space="preserve"> </w:t>
      </w:r>
      <w:r w:rsidRPr="00803E13">
        <w:t>je</w:t>
      </w:r>
      <w:r>
        <w:t xml:space="preserve"> </w:t>
      </w:r>
      <w:r w:rsidRPr="00803E13">
        <w:t>součástí</w:t>
      </w:r>
      <w:r>
        <w:t xml:space="preserve"> </w:t>
      </w:r>
      <w:r w:rsidRPr="00803E13">
        <w:t>téhož</w:t>
      </w:r>
      <w:r>
        <w:t xml:space="preserve"> </w:t>
      </w:r>
      <w:r w:rsidRPr="00803E13">
        <w:t>vertikálně</w:t>
      </w:r>
      <w:r>
        <w:t xml:space="preserve"> </w:t>
      </w:r>
      <w:r w:rsidRPr="00803E13">
        <w:t>integrovaného</w:t>
      </w:r>
      <w:r>
        <w:t xml:space="preserve"> </w:t>
      </w:r>
      <w:r w:rsidRPr="00803E13">
        <w:t>plynárenského</w:t>
      </w:r>
      <w:r>
        <w:t xml:space="preserve"> </w:t>
      </w:r>
      <w:r w:rsidRPr="00803E13">
        <w:t>podnikatele,</w:t>
      </w:r>
      <w:r>
        <w:t xml:space="preserve"> </w:t>
      </w:r>
      <w:r w:rsidRPr="00803E13">
        <w:t>bezpečnostní</w:t>
      </w:r>
      <w:r>
        <w:t xml:space="preserve"> </w:t>
      </w:r>
      <w:r w:rsidRPr="00803E13">
        <w:t>systémy,</w:t>
      </w:r>
      <w:r>
        <w:t xml:space="preserve"> </w:t>
      </w:r>
      <w:r w:rsidRPr="00803E13">
        <w:t>systémy</w:t>
      </w:r>
      <w:r>
        <w:t xml:space="preserve"> </w:t>
      </w:r>
      <w:r w:rsidRPr="00803E13">
        <w:t>pro</w:t>
      </w:r>
      <w:r>
        <w:t xml:space="preserve"> </w:t>
      </w:r>
      <w:r w:rsidRPr="00803E13">
        <w:t>kontrolu</w:t>
      </w:r>
      <w:r>
        <w:t xml:space="preserve"> </w:t>
      </w:r>
      <w:r w:rsidRPr="00803E13">
        <w:t>přístupu</w:t>
      </w:r>
      <w:r>
        <w:t xml:space="preserve"> </w:t>
      </w:r>
      <w:r w:rsidRPr="00803E13">
        <w:t>a</w:t>
      </w:r>
      <w:r>
        <w:t xml:space="preserve"> </w:t>
      </w:r>
      <w:r w:rsidRPr="00803E13">
        <w:t>jiné</w:t>
      </w:r>
      <w:r>
        <w:t xml:space="preserve"> </w:t>
      </w:r>
      <w:r w:rsidRPr="00803E13">
        <w:t>informační</w:t>
      </w:r>
      <w:r>
        <w:t xml:space="preserve"> </w:t>
      </w:r>
      <w:r w:rsidRPr="00803E13">
        <w:t>systémy.</w:t>
      </w:r>
      <w:r>
        <w:t xml:space="preserve"> </w:t>
      </w:r>
      <w:r w:rsidRPr="00803E13">
        <w:t>Tento</w:t>
      </w:r>
      <w:r>
        <w:t xml:space="preserve"> </w:t>
      </w:r>
      <w:r w:rsidRPr="00803E13">
        <w:t>zákaz</w:t>
      </w:r>
      <w:r>
        <w:t xml:space="preserve"> </w:t>
      </w:r>
      <w:r w:rsidRPr="00803E13">
        <w:t>se</w:t>
      </w:r>
      <w:r>
        <w:t xml:space="preserve"> </w:t>
      </w:r>
      <w:r w:rsidRPr="00803E13">
        <w:t>nevztahuje</w:t>
      </w:r>
      <w:r>
        <w:t xml:space="preserve"> </w:t>
      </w:r>
      <w:r w:rsidRPr="00803E13">
        <w:t>na</w:t>
      </w:r>
      <w:r>
        <w:t xml:space="preserve"> </w:t>
      </w:r>
      <w:r w:rsidRPr="00803E13">
        <w:t>systémy,</w:t>
      </w:r>
      <w:r>
        <w:t xml:space="preserve"> </w:t>
      </w:r>
      <w:r w:rsidRPr="00803E13">
        <w:t>jejichž</w:t>
      </w:r>
      <w:r>
        <w:t xml:space="preserve"> </w:t>
      </w:r>
      <w:r w:rsidRPr="00803E13">
        <w:t>provozovatelem</w:t>
      </w:r>
      <w:r>
        <w:t xml:space="preserve"> </w:t>
      </w:r>
      <w:r w:rsidRPr="00803E13">
        <w:t>je</w:t>
      </w:r>
      <w:r>
        <w:t xml:space="preserve"> </w:t>
      </w:r>
      <w:r w:rsidRPr="00803E13">
        <w:t>nezávislý</w:t>
      </w:r>
      <w:r>
        <w:t xml:space="preserve"> </w:t>
      </w:r>
      <w:r w:rsidRPr="00803E13">
        <w:t>provozovatel</w:t>
      </w:r>
      <w:r>
        <w:t xml:space="preserve"> </w:t>
      </w:r>
      <w:r w:rsidRPr="00803E13">
        <w:t>přepravní</w:t>
      </w:r>
      <w:r>
        <w:t xml:space="preserve"> </w:t>
      </w:r>
      <w:r w:rsidRPr="00803E13">
        <w:t>soustavy</w:t>
      </w:r>
      <w:r>
        <w:t xml:space="preserve"> </w:t>
      </w:r>
      <w:r w:rsidRPr="00803E13">
        <w:t>nebo</w:t>
      </w:r>
      <w:r>
        <w:t xml:space="preserve"> </w:t>
      </w:r>
      <w:r w:rsidRPr="00803E13">
        <w:t>osoba,</w:t>
      </w:r>
      <w:r>
        <w:t xml:space="preserve"> </w:t>
      </w:r>
      <w:r w:rsidRPr="00803E13">
        <w:t>která</w:t>
      </w:r>
      <w:r>
        <w:t xml:space="preserve"> </w:t>
      </w:r>
      <w:r w:rsidRPr="00803E13">
        <w:t>není</w:t>
      </w:r>
      <w:r>
        <w:t xml:space="preserve"> </w:t>
      </w:r>
      <w:r w:rsidRPr="00803E13">
        <w:t>součástí</w:t>
      </w:r>
      <w:r>
        <w:t xml:space="preserve"> </w:t>
      </w:r>
      <w:r w:rsidRPr="00803E13">
        <w:t>téhož</w:t>
      </w:r>
      <w:r>
        <w:t xml:space="preserve"> </w:t>
      </w:r>
      <w:r w:rsidRPr="00803E13">
        <w:t>koncernu</w:t>
      </w:r>
      <w:r>
        <w:t xml:space="preserve"> </w:t>
      </w:r>
      <w:r w:rsidRPr="00803E13">
        <w:t>jako</w:t>
      </w:r>
      <w:r>
        <w:t xml:space="preserve"> </w:t>
      </w:r>
      <w:r w:rsidRPr="00803E13">
        <w:t>nezávislý</w:t>
      </w:r>
      <w:r>
        <w:t xml:space="preserve"> </w:t>
      </w:r>
      <w:r w:rsidRPr="00803E13">
        <w:t>provozovatel</w:t>
      </w:r>
      <w:r>
        <w:t xml:space="preserve"> </w:t>
      </w:r>
      <w:r w:rsidRPr="00803E13">
        <w:t>přepravní</w:t>
      </w:r>
      <w:r>
        <w:t xml:space="preserve"> </w:t>
      </w:r>
      <w:r w:rsidRPr="00803E13">
        <w:t>soustavy,</w:t>
      </w:r>
      <w:r>
        <w:t xml:space="preserve"> </w:t>
      </w:r>
      <w:r w:rsidRPr="00803E13">
        <w:t>a</w:t>
      </w:r>
      <w:r>
        <w:t xml:space="preserve"> </w:t>
      </w:r>
      <w:r w:rsidRPr="00803E13">
        <w:t>u</w:t>
      </w:r>
      <w:r>
        <w:t xml:space="preserve"> </w:t>
      </w:r>
      <w:r w:rsidRPr="00803E13">
        <w:t>nichž</w:t>
      </w:r>
      <w:r>
        <w:t xml:space="preserve"> </w:t>
      </w:r>
      <w:r w:rsidRPr="00803E13">
        <w:t>nezávislý</w:t>
      </w:r>
      <w:r>
        <w:t xml:space="preserve"> </w:t>
      </w:r>
      <w:r w:rsidRPr="00803E13">
        <w:t>provozovatel</w:t>
      </w:r>
      <w:r>
        <w:t xml:space="preserve"> </w:t>
      </w:r>
      <w:r w:rsidRPr="00803E13">
        <w:t>přepravní</w:t>
      </w:r>
      <w:r>
        <w:t xml:space="preserve"> </w:t>
      </w:r>
      <w:r w:rsidRPr="00803E13">
        <w:t>soustavy</w:t>
      </w:r>
      <w:r>
        <w:t xml:space="preserve"> </w:t>
      </w:r>
      <w:r w:rsidRPr="00803E13">
        <w:t>zajistí,</w:t>
      </w:r>
      <w:r>
        <w:t xml:space="preserve"> </w:t>
      </w:r>
      <w:r w:rsidRPr="00803E13">
        <w:t>aby</w:t>
      </w:r>
      <w:r>
        <w:t xml:space="preserve"> </w:t>
      </w:r>
      <w:r w:rsidRPr="00803E13">
        <w:t>při</w:t>
      </w:r>
      <w:r>
        <w:t xml:space="preserve"> </w:t>
      </w:r>
      <w:r w:rsidRPr="00803E13">
        <w:t>provozu</w:t>
      </w:r>
      <w:r>
        <w:t xml:space="preserve"> </w:t>
      </w:r>
      <w:r w:rsidRPr="00803E13">
        <w:t>těchto</w:t>
      </w:r>
      <w:r>
        <w:t xml:space="preserve"> </w:t>
      </w:r>
      <w:r w:rsidRPr="00803E13">
        <w:t>systémů</w:t>
      </w:r>
      <w:r>
        <w:t xml:space="preserve"> </w:t>
      </w:r>
      <w:r w:rsidRPr="00803E13">
        <w:t>byla</w:t>
      </w:r>
      <w:r>
        <w:t xml:space="preserve"> </w:t>
      </w:r>
      <w:r w:rsidRPr="00803E13">
        <w:t>dodržována</w:t>
      </w:r>
      <w:r>
        <w:t xml:space="preserve"> </w:t>
      </w:r>
      <w:r w:rsidRPr="00803E13">
        <w:t>povinnost</w:t>
      </w:r>
      <w:r>
        <w:t xml:space="preserve"> </w:t>
      </w:r>
      <w:r w:rsidRPr="00803E13">
        <w:t>podle</w:t>
      </w:r>
      <w:r>
        <w:t xml:space="preserve"> </w:t>
      </w:r>
      <w:r w:rsidRPr="00803E13">
        <w:t>odstavce</w:t>
      </w:r>
      <w:r>
        <w:t xml:space="preserve"> </w:t>
      </w:r>
      <w:r w:rsidRPr="00803E13">
        <w:t>9.</w:t>
      </w:r>
    </w:p>
    <w:p w14:paraId="20B412CC" w14:textId="77777777" w:rsidR="00FF7A85" w:rsidRDefault="00FF7A85" w:rsidP="0010420C">
      <w:pPr>
        <w:pStyle w:val="Textparagrafu"/>
        <w:tabs>
          <w:tab w:val="left" w:pos="392"/>
          <w:tab w:val="left" w:pos="840"/>
        </w:tabs>
        <w:spacing w:before="120" w:after="120"/>
      </w:pPr>
      <w:r w:rsidRPr="00803E13">
        <w:t>(11)</w:t>
      </w:r>
      <w:r>
        <w:t xml:space="preserve"> </w:t>
      </w:r>
      <w:r w:rsidRPr="00803E13">
        <w:t>Nezávislý</w:t>
      </w:r>
      <w:r>
        <w:t xml:space="preserve"> </w:t>
      </w:r>
      <w:r w:rsidRPr="00803E13">
        <w:t>provozovatel</w:t>
      </w:r>
      <w:r>
        <w:t xml:space="preserve"> </w:t>
      </w:r>
      <w:r w:rsidRPr="00803E13">
        <w:t>přepravní</w:t>
      </w:r>
      <w:r>
        <w:t xml:space="preserve"> </w:t>
      </w:r>
      <w:r w:rsidRPr="00803E13">
        <w:t>soustavy</w:t>
      </w:r>
      <w:r>
        <w:t xml:space="preserve"> </w:t>
      </w:r>
      <w:r w:rsidRPr="00803E13">
        <w:t>nesmí</w:t>
      </w:r>
      <w:r>
        <w:t xml:space="preserve"> </w:t>
      </w:r>
      <w:r w:rsidRPr="00803E13">
        <w:t>využívat</w:t>
      </w:r>
      <w:r>
        <w:t xml:space="preserve"> </w:t>
      </w:r>
      <w:r w:rsidRPr="00803E13">
        <w:t>službu</w:t>
      </w:r>
      <w:r>
        <w:t xml:space="preserve"> </w:t>
      </w:r>
      <w:r w:rsidRPr="00803E13">
        <w:t>poskytovatele</w:t>
      </w:r>
      <w:r>
        <w:t xml:space="preserve"> </w:t>
      </w:r>
      <w:r w:rsidRPr="00803E13">
        <w:t>služeb</w:t>
      </w:r>
      <w:r>
        <w:t xml:space="preserve"> </w:t>
      </w:r>
      <w:r w:rsidRPr="00803E13">
        <w:t>souvisejících</w:t>
      </w:r>
      <w:r>
        <w:t xml:space="preserve"> </w:t>
      </w:r>
      <w:r w:rsidRPr="00803E13">
        <w:t>s</w:t>
      </w:r>
      <w:r>
        <w:t xml:space="preserve"> </w:t>
      </w:r>
      <w:r w:rsidRPr="00803E13">
        <w:t>provozem</w:t>
      </w:r>
      <w:r>
        <w:t xml:space="preserve"> </w:t>
      </w:r>
      <w:r w:rsidRPr="00803E13">
        <w:t>nebo</w:t>
      </w:r>
      <w:r>
        <w:t xml:space="preserve"> </w:t>
      </w:r>
      <w:r w:rsidRPr="00803E13">
        <w:t>správou</w:t>
      </w:r>
      <w:r>
        <w:t xml:space="preserve"> </w:t>
      </w:r>
      <w:r w:rsidRPr="00803E13">
        <w:t>bezpečnostních</w:t>
      </w:r>
      <w:r>
        <w:t xml:space="preserve"> </w:t>
      </w:r>
      <w:r w:rsidRPr="00803E13">
        <w:t>systémů,</w:t>
      </w:r>
      <w:r>
        <w:t xml:space="preserve"> </w:t>
      </w:r>
      <w:r w:rsidRPr="00803E13">
        <w:t>systémů</w:t>
      </w:r>
      <w:r>
        <w:t xml:space="preserve"> </w:t>
      </w:r>
      <w:r w:rsidRPr="00803E13">
        <w:t>pro</w:t>
      </w:r>
      <w:r>
        <w:t xml:space="preserve"> </w:t>
      </w:r>
      <w:r w:rsidRPr="00803E13">
        <w:t>kontrolu</w:t>
      </w:r>
      <w:r>
        <w:t xml:space="preserve"> </w:t>
      </w:r>
      <w:r w:rsidRPr="00803E13">
        <w:t>přístupu</w:t>
      </w:r>
      <w:r>
        <w:t xml:space="preserve"> </w:t>
      </w:r>
      <w:r w:rsidRPr="00803E13">
        <w:t>nebo</w:t>
      </w:r>
      <w:r>
        <w:t xml:space="preserve"> </w:t>
      </w:r>
      <w:r w:rsidRPr="00803E13">
        <w:t>jiných</w:t>
      </w:r>
      <w:r>
        <w:t xml:space="preserve"> </w:t>
      </w:r>
      <w:r w:rsidRPr="00803E13">
        <w:t>informačních</w:t>
      </w:r>
      <w:r>
        <w:t xml:space="preserve"> </w:t>
      </w:r>
      <w:r w:rsidRPr="00803E13">
        <w:t>systémů,</w:t>
      </w:r>
      <w:r>
        <w:t xml:space="preserve"> </w:t>
      </w:r>
      <w:r w:rsidRPr="00803E13">
        <w:t>jestliže</w:t>
      </w:r>
      <w:r>
        <w:t xml:space="preserve"> </w:t>
      </w:r>
      <w:r w:rsidRPr="00803E13">
        <w:t>tuto</w:t>
      </w:r>
      <w:r>
        <w:t xml:space="preserve"> </w:t>
      </w:r>
      <w:r w:rsidRPr="00803E13">
        <w:t>službu</w:t>
      </w:r>
      <w:r>
        <w:t xml:space="preserve"> </w:t>
      </w:r>
      <w:r w:rsidRPr="00803E13">
        <w:t>stejného</w:t>
      </w:r>
      <w:r>
        <w:t xml:space="preserve"> </w:t>
      </w:r>
      <w:r w:rsidRPr="00803E13">
        <w:t>poskytovatele</w:t>
      </w:r>
      <w:r>
        <w:t xml:space="preserve"> </w:t>
      </w:r>
      <w:r w:rsidRPr="00803E13">
        <w:t>užívá</w:t>
      </w:r>
      <w:r>
        <w:t xml:space="preserve"> </w:t>
      </w:r>
      <w:r w:rsidRPr="00803E13">
        <w:t>jiná</w:t>
      </w:r>
      <w:r>
        <w:t xml:space="preserve"> </w:t>
      </w:r>
      <w:r w:rsidRPr="00803E13">
        <w:t>osoba,</w:t>
      </w:r>
      <w:r>
        <w:t xml:space="preserve"> </w:t>
      </w:r>
      <w:r w:rsidRPr="00803E13">
        <w:t>která</w:t>
      </w:r>
      <w:r>
        <w:t xml:space="preserve"> </w:t>
      </w:r>
      <w:r w:rsidRPr="00803E13">
        <w:t>je</w:t>
      </w:r>
      <w:r>
        <w:t xml:space="preserve"> </w:t>
      </w:r>
      <w:r w:rsidRPr="00803E13">
        <w:t>součástí</w:t>
      </w:r>
      <w:r>
        <w:t xml:space="preserve"> </w:t>
      </w:r>
      <w:r w:rsidRPr="00803E13">
        <w:t>téhož</w:t>
      </w:r>
      <w:r>
        <w:t xml:space="preserve"> </w:t>
      </w:r>
      <w:r w:rsidRPr="00803E13">
        <w:t>vertikálně</w:t>
      </w:r>
      <w:r>
        <w:t xml:space="preserve"> </w:t>
      </w:r>
      <w:r w:rsidRPr="00803E13">
        <w:t>integrovaného</w:t>
      </w:r>
      <w:r>
        <w:t xml:space="preserve"> </w:t>
      </w:r>
      <w:r w:rsidRPr="00803E13">
        <w:t>plynárenského</w:t>
      </w:r>
      <w:r>
        <w:t xml:space="preserve"> </w:t>
      </w:r>
      <w:r w:rsidRPr="00803E13">
        <w:t>podnikatele.</w:t>
      </w:r>
      <w:r>
        <w:t xml:space="preserve"> </w:t>
      </w:r>
      <w:r w:rsidRPr="00803E13">
        <w:t>Tento</w:t>
      </w:r>
      <w:r>
        <w:t xml:space="preserve"> </w:t>
      </w:r>
      <w:r w:rsidRPr="00803E13">
        <w:lastRenderedPageBreak/>
        <w:t>zákaz</w:t>
      </w:r>
      <w:r>
        <w:t xml:space="preserve"> </w:t>
      </w:r>
      <w:r w:rsidRPr="00803E13">
        <w:t>se</w:t>
      </w:r>
      <w:r>
        <w:t xml:space="preserve"> </w:t>
      </w:r>
      <w:r w:rsidRPr="00803E13">
        <w:t>nevztahuje</w:t>
      </w:r>
      <w:r>
        <w:t xml:space="preserve"> </w:t>
      </w:r>
      <w:r w:rsidRPr="00803E13">
        <w:t>na</w:t>
      </w:r>
      <w:r>
        <w:t xml:space="preserve"> </w:t>
      </w:r>
      <w:r w:rsidRPr="00803E13">
        <w:t>služby,</w:t>
      </w:r>
      <w:r>
        <w:t xml:space="preserve"> </w:t>
      </w:r>
      <w:r w:rsidRPr="00803E13">
        <w:t>jejichž</w:t>
      </w:r>
      <w:r>
        <w:t xml:space="preserve"> </w:t>
      </w:r>
      <w:r w:rsidRPr="00803E13">
        <w:t>poskytovatel</w:t>
      </w:r>
      <w:r>
        <w:t xml:space="preserve"> </w:t>
      </w:r>
      <w:r w:rsidRPr="00803E13">
        <w:t>není</w:t>
      </w:r>
      <w:r>
        <w:t xml:space="preserve"> </w:t>
      </w:r>
      <w:r w:rsidRPr="00803E13">
        <w:t>součástí</w:t>
      </w:r>
      <w:r>
        <w:t xml:space="preserve"> </w:t>
      </w:r>
      <w:r w:rsidRPr="00803E13">
        <w:t>téhož</w:t>
      </w:r>
      <w:r>
        <w:t xml:space="preserve"> </w:t>
      </w:r>
      <w:r w:rsidRPr="00803E13">
        <w:t>koncernu</w:t>
      </w:r>
      <w:r>
        <w:t xml:space="preserve"> </w:t>
      </w:r>
      <w:r w:rsidRPr="00803E13">
        <w:t>jako</w:t>
      </w:r>
      <w:r>
        <w:t xml:space="preserve"> </w:t>
      </w:r>
      <w:r w:rsidRPr="00803E13">
        <w:t>nezávislý</w:t>
      </w:r>
      <w:r>
        <w:t xml:space="preserve"> </w:t>
      </w:r>
      <w:r w:rsidRPr="00803E13">
        <w:t>provozovatel</w:t>
      </w:r>
      <w:r>
        <w:t xml:space="preserve"> </w:t>
      </w:r>
      <w:r w:rsidRPr="00803E13">
        <w:t>přepravní</w:t>
      </w:r>
      <w:r>
        <w:t xml:space="preserve"> </w:t>
      </w:r>
      <w:r w:rsidRPr="00803E13">
        <w:t>soustavy,</w:t>
      </w:r>
      <w:r>
        <w:t xml:space="preserve"> </w:t>
      </w:r>
      <w:r w:rsidRPr="00803E13">
        <w:t>a</w:t>
      </w:r>
      <w:r>
        <w:t xml:space="preserve"> </w:t>
      </w:r>
      <w:r w:rsidRPr="00803E13">
        <w:t>u</w:t>
      </w:r>
      <w:r>
        <w:t xml:space="preserve"> </w:t>
      </w:r>
      <w:r w:rsidRPr="00803E13">
        <w:t>nichž</w:t>
      </w:r>
      <w:r>
        <w:t xml:space="preserve"> </w:t>
      </w:r>
      <w:r w:rsidRPr="00803E13">
        <w:t>nezávislý</w:t>
      </w:r>
      <w:r>
        <w:t xml:space="preserve"> </w:t>
      </w:r>
      <w:r w:rsidRPr="00803E13">
        <w:t>provozovatel</w:t>
      </w:r>
      <w:r>
        <w:t xml:space="preserve"> </w:t>
      </w:r>
      <w:r w:rsidRPr="00803E13">
        <w:t>přepravní</w:t>
      </w:r>
      <w:r>
        <w:t xml:space="preserve"> </w:t>
      </w:r>
      <w:r w:rsidRPr="00803E13">
        <w:t>soustavy</w:t>
      </w:r>
      <w:r>
        <w:t xml:space="preserve"> </w:t>
      </w:r>
      <w:r w:rsidRPr="00803E13">
        <w:t>zajistí,</w:t>
      </w:r>
      <w:r>
        <w:t xml:space="preserve"> </w:t>
      </w:r>
      <w:r w:rsidRPr="00803E13">
        <w:t>aby</w:t>
      </w:r>
      <w:r>
        <w:t xml:space="preserve"> </w:t>
      </w:r>
      <w:r w:rsidRPr="00803E13">
        <w:t>při</w:t>
      </w:r>
      <w:r>
        <w:t xml:space="preserve"> </w:t>
      </w:r>
      <w:r w:rsidRPr="00803E13">
        <w:t>poskytování</w:t>
      </w:r>
      <w:r>
        <w:t xml:space="preserve"> </w:t>
      </w:r>
      <w:r w:rsidRPr="00803E13">
        <w:t>těchto</w:t>
      </w:r>
      <w:r>
        <w:t xml:space="preserve"> </w:t>
      </w:r>
      <w:r w:rsidRPr="00803E13">
        <w:t>služeb</w:t>
      </w:r>
      <w:r>
        <w:t xml:space="preserve"> </w:t>
      </w:r>
      <w:r w:rsidRPr="00803E13">
        <w:t>byla</w:t>
      </w:r>
      <w:r>
        <w:t xml:space="preserve"> </w:t>
      </w:r>
      <w:r w:rsidRPr="00803E13">
        <w:t>dodržována</w:t>
      </w:r>
      <w:r>
        <w:t xml:space="preserve"> </w:t>
      </w:r>
      <w:r w:rsidRPr="00803E13">
        <w:t>povinnost</w:t>
      </w:r>
      <w:r>
        <w:t xml:space="preserve"> </w:t>
      </w:r>
      <w:r w:rsidRPr="00803E13">
        <w:t>podle</w:t>
      </w:r>
      <w:r>
        <w:t xml:space="preserve"> </w:t>
      </w:r>
      <w:r w:rsidRPr="00803E13">
        <w:t>odstavce</w:t>
      </w:r>
      <w:r>
        <w:t xml:space="preserve"> </w:t>
      </w:r>
      <w:r w:rsidRPr="00803E13">
        <w:t>9.</w:t>
      </w:r>
    </w:p>
    <w:p w14:paraId="3741D702" w14:textId="77777777" w:rsidR="00FF7A85" w:rsidRPr="00803E13" w:rsidRDefault="00FF7A85" w:rsidP="0010420C">
      <w:pPr>
        <w:pStyle w:val="Textparagrafu"/>
        <w:tabs>
          <w:tab w:val="left" w:pos="392"/>
          <w:tab w:val="left" w:pos="840"/>
        </w:tabs>
        <w:spacing w:before="120" w:after="120"/>
      </w:pPr>
      <w:r w:rsidRPr="00803E13">
        <w:t>(12)</w:t>
      </w:r>
      <w:r>
        <w:t xml:space="preserve"> </w:t>
      </w:r>
      <w:r w:rsidRPr="00803E13">
        <w:t>Nezávislý</w:t>
      </w:r>
      <w:r>
        <w:t xml:space="preserve"> </w:t>
      </w:r>
      <w:r w:rsidRPr="00803E13">
        <w:t>provozovatel</w:t>
      </w:r>
      <w:r>
        <w:t xml:space="preserve"> </w:t>
      </w:r>
      <w:r w:rsidRPr="00803E13">
        <w:t>přepravní</w:t>
      </w:r>
      <w:r>
        <w:t xml:space="preserve"> </w:t>
      </w:r>
      <w:r w:rsidRPr="00803E13">
        <w:t>soustavy</w:t>
      </w:r>
      <w:r>
        <w:t xml:space="preserve"> </w:t>
      </w:r>
      <w:r w:rsidRPr="00803E13">
        <w:t>je</w:t>
      </w:r>
      <w:r>
        <w:t xml:space="preserve"> </w:t>
      </w:r>
      <w:r w:rsidRPr="00803E13">
        <w:t>povinen</w:t>
      </w:r>
      <w:r>
        <w:t xml:space="preserve"> </w:t>
      </w:r>
      <w:r w:rsidRPr="00803E13">
        <w:t>zajistit</w:t>
      </w:r>
      <w:r>
        <w:t xml:space="preserve"> </w:t>
      </w:r>
      <w:r w:rsidRPr="00803E13">
        <w:t>provedení</w:t>
      </w:r>
      <w:r>
        <w:t xml:space="preserve"> </w:t>
      </w:r>
      <w:r w:rsidRPr="00803E13">
        <w:t>povinného</w:t>
      </w:r>
      <w:r>
        <w:t xml:space="preserve"> </w:t>
      </w:r>
      <w:r w:rsidRPr="00803E13">
        <w:t>auditu</w:t>
      </w:r>
      <w:r>
        <w:t xml:space="preserve"> </w:t>
      </w:r>
      <w:r w:rsidRPr="00803E13">
        <w:t>pouze</w:t>
      </w:r>
      <w:r>
        <w:t xml:space="preserve"> </w:t>
      </w:r>
      <w:r w:rsidRPr="00803E13">
        <w:t>auditorem,</w:t>
      </w:r>
      <w:r>
        <w:t xml:space="preserve"> </w:t>
      </w:r>
      <w:r w:rsidRPr="00803E13">
        <w:t>který</w:t>
      </w:r>
      <w:r>
        <w:t xml:space="preserve"> </w:t>
      </w:r>
      <w:r w:rsidRPr="00803E13">
        <w:t>ve</w:t>
      </w:r>
      <w:r>
        <w:t xml:space="preserve"> </w:t>
      </w:r>
      <w:r w:rsidRPr="00803E13">
        <w:t>stejném</w:t>
      </w:r>
      <w:r>
        <w:t xml:space="preserve"> </w:t>
      </w:r>
      <w:r w:rsidRPr="00803E13">
        <w:t>účetním</w:t>
      </w:r>
      <w:r>
        <w:t xml:space="preserve"> </w:t>
      </w:r>
      <w:r w:rsidRPr="00803E13">
        <w:t>období</w:t>
      </w:r>
      <w:r>
        <w:t xml:space="preserve"> </w:t>
      </w:r>
      <w:r w:rsidRPr="00803E13">
        <w:t>neprovádí</w:t>
      </w:r>
      <w:r>
        <w:t xml:space="preserve"> </w:t>
      </w:r>
      <w:r w:rsidRPr="00803E13">
        <w:t>povinné</w:t>
      </w:r>
      <w:r>
        <w:t xml:space="preserve"> </w:t>
      </w:r>
      <w:r w:rsidRPr="00803E13">
        <w:t>audity</w:t>
      </w:r>
      <w:r>
        <w:t xml:space="preserve"> </w:t>
      </w:r>
      <w:r w:rsidRPr="00803E13">
        <w:t>jiných</w:t>
      </w:r>
      <w:r>
        <w:t xml:space="preserve"> </w:t>
      </w:r>
      <w:r w:rsidRPr="00803E13">
        <w:t>osob,</w:t>
      </w:r>
      <w:r>
        <w:t xml:space="preserve"> </w:t>
      </w:r>
      <w:r w:rsidRPr="00803E13">
        <w:t>které</w:t>
      </w:r>
      <w:r>
        <w:t xml:space="preserve"> </w:t>
      </w:r>
      <w:r w:rsidRPr="00803E13">
        <w:t>jsou</w:t>
      </w:r>
      <w:r>
        <w:t xml:space="preserve"> </w:t>
      </w:r>
      <w:r w:rsidRPr="00803E13">
        <w:t>součástí</w:t>
      </w:r>
      <w:r>
        <w:t xml:space="preserve"> </w:t>
      </w:r>
      <w:r w:rsidRPr="00803E13">
        <w:t>téhož</w:t>
      </w:r>
      <w:r>
        <w:t xml:space="preserve"> </w:t>
      </w:r>
      <w:r w:rsidRPr="00803E13">
        <w:t>vertikálně</w:t>
      </w:r>
      <w:r>
        <w:t xml:space="preserve"> </w:t>
      </w:r>
      <w:r w:rsidRPr="00803E13">
        <w:t>integrovaného</w:t>
      </w:r>
      <w:r>
        <w:t xml:space="preserve"> </w:t>
      </w:r>
      <w:r w:rsidRPr="00803E13">
        <w:t>plynárenského</w:t>
      </w:r>
      <w:r>
        <w:t xml:space="preserve"> </w:t>
      </w:r>
      <w:r w:rsidRPr="00803E13">
        <w:t>podnikatele.</w:t>
      </w:r>
    </w:p>
    <w:p w14:paraId="7116FB21" w14:textId="446E67BB" w:rsidR="001F50E6" w:rsidRDefault="00FF7A85" w:rsidP="00FF7A85">
      <w:pPr>
        <w:pStyle w:val="Textparagrafu"/>
        <w:tabs>
          <w:tab w:val="left" w:pos="406"/>
          <w:tab w:val="left" w:pos="840"/>
          <w:tab w:val="left" w:pos="868"/>
        </w:tabs>
        <w:spacing w:after="120"/>
        <w:ind w:firstLine="0"/>
        <w:jc w:val="center"/>
      </w:pPr>
      <w:r>
        <w:t>***</w:t>
      </w:r>
    </w:p>
    <w:p w14:paraId="1EFC2717" w14:textId="77777777" w:rsidR="00BF3171" w:rsidRDefault="00BF3171" w:rsidP="00BF3171">
      <w:pPr>
        <w:pStyle w:val="Textparagrafu"/>
        <w:tabs>
          <w:tab w:val="left" w:pos="392"/>
          <w:tab w:val="left" w:pos="840"/>
        </w:tabs>
        <w:spacing w:after="120"/>
        <w:ind w:firstLine="0"/>
        <w:jc w:val="center"/>
      </w:pPr>
      <w:r w:rsidRPr="009827F0">
        <w:t>§</w:t>
      </w:r>
      <w:r>
        <w:t xml:space="preserve"> </w:t>
      </w:r>
      <w:r w:rsidRPr="009827F0">
        <w:t>59</w:t>
      </w:r>
    </w:p>
    <w:p w14:paraId="4A7472B3" w14:textId="77777777" w:rsidR="00BF3171" w:rsidRPr="009827F0" w:rsidRDefault="00BF3171" w:rsidP="00BF3171">
      <w:pPr>
        <w:pStyle w:val="Textparagrafu"/>
        <w:tabs>
          <w:tab w:val="left" w:pos="392"/>
          <w:tab w:val="left" w:pos="840"/>
        </w:tabs>
        <w:spacing w:after="120"/>
        <w:ind w:firstLine="0"/>
        <w:jc w:val="center"/>
        <w:rPr>
          <w:b/>
        </w:rPr>
      </w:pPr>
      <w:r w:rsidRPr="009827F0">
        <w:rPr>
          <w:b/>
        </w:rPr>
        <w:t>Provozovatel distribuční soustavy</w:t>
      </w:r>
    </w:p>
    <w:p w14:paraId="70611298" w14:textId="77777777" w:rsidR="00BF3171" w:rsidRDefault="00BF3171" w:rsidP="0010420C">
      <w:pPr>
        <w:pStyle w:val="Textparagrafu"/>
        <w:tabs>
          <w:tab w:val="left" w:pos="392"/>
          <w:tab w:val="left" w:pos="840"/>
        </w:tabs>
        <w:spacing w:before="120" w:after="120"/>
      </w:pPr>
      <w:r w:rsidRPr="009827F0">
        <w:t>(1)</w:t>
      </w:r>
      <w:r>
        <w:t xml:space="preserve"> </w:t>
      </w:r>
      <w:r w:rsidRPr="009827F0">
        <w:t>Provozovatel</w:t>
      </w:r>
      <w:r>
        <w:t xml:space="preserve"> </w:t>
      </w:r>
      <w:r w:rsidRPr="009827F0">
        <w:t>distribuční</w:t>
      </w:r>
      <w:r>
        <w:t xml:space="preserve"> </w:t>
      </w:r>
      <w:r w:rsidRPr="009827F0">
        <w:t>soustavy</w:t>
      </w:r>
      <w:r>
        <w:t xml:space="preserve"> </w:t>
      </w:r>
      <w:r w:rsidRPr="009827F0">
        <w:t>má</w:t>
      </w:r>
      <w:r>
        <w:t xml:space="preserve"> </w:t>
      </w:r>
      <w:r w:rsidRPr="009827F0">
        <w:t>právo</w:t>
      </w:r>
    </w:p>
    <w:p w14:paraId="57133BB1" w14:textId="6F3A1F6D" w:rsidR="00BF3171" w:rsidRDefault="00BF3171" w:rsidP="002E6AEA">
      <w:pPr>
        <w:pStyle w:val="Textparagrafu"/>
        <w:tabs>
          <w:tab w:val="left" w:pos="392"/>
          <w:tab w:val="left" w:pos="840"/>
        </w:tabs>
        <w:spacing w:before="0"/>
        <w:ind w:left="426" w:hanging="426"/>
      </w:pPr>
      <w:r w:rsidRPr="009827F0">
        <w:t>a)</w:t>
      </w:r>
      <w:r>
        <w:tab/>
      </w:r>
      <w:r w:rsidRPr="009827F0">
        <w:t>na</w:t>
      </w:r>
      <w:r>
        <w:t xml:space="preserve"> </w:t>
      </w:r>
      <w:r w:rsidRPr="009827F0">
        <w:t>připojení</w:t>
      </w:r>
      <w:r>
        <w:t xml:space="preserve"> </w:t>
      </w:r>
      <w:r w:rsidRPr="009827F0">
        <w:t>k</w:t>
      </w:r>
      <w:r>
        <w:t xml:space="preserve"> </w:t>
      </w:r>
      <w:r w:rsidRPr="009827F0">
        <w:t>přepravní</w:t>
      </w:r>
      <w:r>
        <w:t xml:space="preserve"> </w:t>
      </w:r>
      <w:r w:rsidRPr="009827F0">
        <w:t>soustavě</w:t>
      </w:r>
      <w:r>
        <w:t xml:space="preserve"> </w:t>
      </w:r>
      <w:r w:rsidRPr="009827F0">
        <w:t>nebo</w:t>
      </w:r>
      <w:r>
        <w:t xml:space="preserve"> </w:t>
      </w:r>
      <w:r w:rsidRPr="009827F0">
        <w:t>k</w:t>
      </w:r>
      <w:r>
        <w:t xml:space="preserve"> </w:t>
      </w:r>
      <w:r w:rsidRPr="009827F0">
        <w:t>jiné</w:t>
      </w:r>
      <w:r>
        <w:t xml:space="preserve"> </w:t>
      </w:r>
      <w:r w:rsidRPr="009827F0">
        <w:t>distribuční</w:t>
      </w:r>
      <w:r>
        <w:t xml:space="preserve"> </w:t>
      </w:r>
      <w:r w:rsidRPr="009827F0">
        <w:t>soustavě,</w:t>
      </w:r>
      <w:r>
        <w:t xml:space="preserve"> </w:t>
      </w:r>
      <w:r w:rsidRPr="009827F0">
        <w:t>pokud</w:t>
      </w:r>
      <w:r>
        <w:t xml:space="preserve"> </w:t>
      </w:r>
      <w:r w:rsidRPr="009827F0">
        <w:t>jsou</w:t>
      </w:r>
      <w:r>
        <w:t xml:space="preserve"> </w:t>
      </w:r>
      <w:r w:rsidRPr="009827F0">
        <w:t>splněny</w:t>
      </w:r>
      <w:r>
        <w:t xml:space="preserve"> </w:t>
      </w:r>
      <w:r w:rsidRPr="009827F0">
        <w:t>podmínky</w:t>
      </w:r>
      <w:r>
        <w:t xml:space="preserve"> </w:t>
      </w:r>
      <w:r w:rsidRPr="009827F0">
        <w:t>připojení,</w:t>
      </w:r>
    </w:p>
    <w:p w14:paraId="17E5D37D" w14:textId="79A89B6A" w:rsidR="00BF3171" w:rsidRDefault="00BF3171" w:rsidP="002E6AEA">
      <w:pPr>
        <w:pStyle w:val="Textparagrafu"/>
        <w:tabs>
          <w:tab w:val="left" w:pos="392"/>
          <w:tab w:val="left" w:pos="840"/>
        </w:tabs>
        <w:spacing w:before="0"/>
        <w:ind w:left="426" w:hanging="426"/>
      </w:pPr>
      <w:r w:rsidRPr="009827F0">
        <w:t>b)</w:t>
      </w:r>
      <w:r>
        <w:tab/>
      </w:r>
      <w:r w:rsidRPr="009827F0">
        <w:t>na</w:t>
      </w:r>
      <w:r>
        <w:t xml:space="preserve"> </w:t>
      </w:r>
      <w:r w:rsidRPr="009827F0">
        <w:t>informace</w:t>
      </w:r>
      <w:r>
        <w:t xml:space="preserve"> </w:t>
      </w:r>
      <w:r w:rsidRPr="009827F0">
        <w:t>od</w:t>
      </w:r>
      <w:r>
        <w:t xml:space="preserve"> </w:t>
      </w:r>
      <w:r w:rsidRPr="009827F0">
        <w:t>ostatních</w:t>
      </w:r>
      <w:r>
        <w:t xml:space="preserve"> </w:t>
      </w:r>
      <w:r w:rsidRPr="009827F0">
        <w:t>účastníků</w:t>
      </w:r>
      <w:r>
        <w:t xml:space="preserve"> </w:t>
      </w:r>
      <w:r w:rsidRPr="009827F0">
        <w:t>trhu</w:t>
      </w:r>
      <w:r>
        <w:t xml:space="preserve"> </w:t>
      </w:r>
      <w:r w:rsidRPr="009827F0">
        <w:t>s</w:t>
      </w:r>
      <w:r>
        <w:t xml:space="preserve"> </w:t>
      </w:r>
      <w:r w:rsidRPr="009827F0">
        <w:t>plynem</w:t>
      </w:r>
      <w:r>
        <w:t xml:space="preserve"> </w:t>
      </w:r>
      <w:r w:rsidRPr="009827F0">
        <w:t>nezbytné</w:t>
      </w:r>
      <w:r>
        <w:t xml:space="preserve"> </w:t>
      </w:r>
      <w:r w:rsidRPr="009827F0">
        <w:t>pro</w:t>
      </w:r>
      <w:r>
        <w:t xml:space="preserve"> </w:t>
      </w:r>
      <w:r w:rsidRPr="009827F0">
        <w:t>plnění</w:t>
      </w:r>
      <w:r>
        <w:t xml:space="preserve"> </w:t>
      </w:r>
      <w:r w:rsidRPr="009827F0">
        <w:t>svých</w:t>
      </w:r>
      <w:r>
        <w:t xml:space="preserve"> </w:t>
      </w:r>
      <w:r w:rsidRPr="009827F0">
        <w:t>povinností,</w:t>
      </w:r>
    </w:p>
    <w:p w14:paraId="66EF223F" w14:textId="021ABA35" w:rsidR="00BF3171" w:rsidRDefault="00BF3171" w:rsidP="002E6AEA">
      <w:pPr>
        <w:pStyle w:val="Textparagrafu"/>
        <w:tabs>
          <w:tab w:val="left" w:pos="392"/>
          <w:tab w:val="left" w:pos="840"/>
        </w:tabs>
        <w:spacing w:before="0"/>
        <w:ind w:left="426" w:hanging="426"/>
      </w:pPr>
      <w:r w:rsidRPr="009827F0">
        <w:t>c)</w:t>
      </w:r>
      <w:r>
        <w:tab/>
      </w:r>
      <w:r w:rsidRPr="009827F0">
        <w:t>na</w:t>
      </w:r>
      <w:r>
        <w:t xml:space="preserve"> </w:t>
      </w:r>
      <w:r w:rsidRPr="009827F0">
        <w:t>přístup</w:t>
      </w:r>
      <w:r>
        <w:t xml:space="preserve"> </w:t>
      </w:r>
      <w:r w:rsidRPr="009827F0">
        <w:t>do</w:t>
      </w:r>
      <w:r>
        <w:t xml:space="preserve"> </w:t>
      </w:r>
      <w:r w:rsidRPr="009827F0">
        <w:t>přepravní</w:t>
      </w:r>
      <w:r>
        <w:t xml:space="preserve"> </w:t>
      </w:r>
      <w:r w:rsidRPr="009827F0">
        <w:t>soustavy,</w:t>
      </w:r>
      <w:r>
        <w:t xml:space="preserve"> </w:t>
      </w:r>
      <w:r w:rsidRPr="009827F0">
        <w:t>jiné</w:t>
      </w:r>
      <w:r>
        <w:t xml:space="preserve"> </w:t>
      </w:r>
      <w:r w:rsidRPr="009827F0">
        <w:t>distribuční</w:t>
      </w:r>
      <w:r>
        <w:t xml:space="preserve"> </w:t>
      </w:r>
      <w:r w:rsidRPr="009827F0">
        <w:t>soustavy</w:t>
      </w:r>
      <w:r>
        <w:t xml:space="preserve"> </w:t>
      </w:r>
      <w:r w:rsidRPr="009827F0">
        <w:t>a</w:t>
      </w:r>
      <w:r>
        <w:t xml:space="preserve"> </w:t>
      </w:r>
      <w:r w:rsidRPr="009827F0">
        <w:t>zásobníků</w:t>
      </w:r>
      <w:r>
        <w:t xml:space="preserve"> </w:t>
      </w:r>
      <w:r w:rsidRPr="009827F0">
        <w:t>plynu</w:t>
      </w:r>
      <w:r>
        <w:t xml:space="preserve"> </w:t>
      </w:r>
      <w:r w:rsidRPr="009827F0">
        <w:t>za</w:t>
      </w:r>
      <w:r>
        <w:t xml:space="preserve"> </w:t>
      </w:r>
      <w:r w:rsidRPr="009827F0">
        <w:t>podmínek</w:t>
      </w:r>
      <w:r>
        <w:t xml:space="preserve"> </w:t>
      </w:r>
      <w:r w:rsidRPr="009827F0">
        <w:t>stanovených</w:t>
      </w:r>
      <w:r>
        <w:t xml:space="preserve"> </w:t>
      </w:r>
      <w:r w:rsidRPr="009827F0">
        <w:t>tímto</w:t>
      </w:r>
      <w:r>
        <w:t xml:space="preserve"> </w:t>
      </w:r>
      <w:r w:rsidRPr="009827F0">
        <w:t>zákonem</w:t>
      </w:r>
      <w:r>
        <w:t xml:space="preserve"> </w:t>
      </w:r>
      <w:r w:rsidRPr="009827F0">
        <w:t>a</w:t>
      </w:r>
      <w:r>
        <w:t xml:space="preserve"> </w:t>
      </w:r>
      <w:r w:rsidRPr="009827F0">
        <w:t>pro</w:t>
      </w:r>
      <w:r>
        <w:t xml:space="preserve"> </w:t>
      </w:r>
      <w:r w:rsidRPr="009827F0">
        <w:t>zajištění</w:t>
      </w:r>
      <w:r>
        <w:t xml:space="preserve"> </w:t>
      </w:r>
      <w:r w:rsidRPr="009827F0">
        <w:t>rovnováhy</w:t>
      </w:r>
      <w:r>
        <w:t xml:space="preserve"> </w:t>
      </w:r>
      <w:r w:rsidRPr="009827F0">
        <w:t>mezi</w:t>
      </w:r>
      <w:r>
        <w:t xml:space="preserve"> </w:t>
      </w:r>
      <w:r w:rsidRPr="009827F0">
        <w:t>množstvím</w:t>
      </w:r>
      <w:r>
        <w:t xml:space="preserve"> </w:t>
      </w:r>
      <w:r w:rsidRPr="009827F0">
        <w:t>plynu</w:t>
      </w:r>
      <w:r>
        <w:t xml:space="preserve"> </w:t>
      </w:r>
      <w:r w:rsidRPr="009827F0">
        <w:t>vstupujícího</w:t>
      </w:r>
      <w:r>
        <w:t xml:space="preserve"> </w:t>
      </w:r>
      <w:r w:rsidRPr="009827F0">
        <w:t>do</w:t>
      </w:r>
      <w:r>
        <w:t xml:space="preserve"> </w:t>
      </w:r>
      <w:r w:rsidRPr="009827F0">
        <w:t>distribuční</w:t>
      </w:r>
      <w:r>
        <w:t xml:space="preserve"> </w:t>
      </w:r>
      <w:r w:rsidRPr="009827F0">
        <w:t>soustavy</w:t>
      </w:r>
      <w:r>
        <w:t xml:space="preserve"> </w:t>
      </w:r>
      <w:r w:rsidRPr="009827F0">
        <w:t>a</w:t>
      </w:r>
      <w:r>
        <w:t xml:space="preserve"> </w:t>
      </w:r>
      <w:r w:rsidRPr="009827F0">
        <w:t>množstvím</w:t>
      </w:r>
      <w:r>
        <w:t xml:space="preserve"> </w:t>
      </w:r>
      <w:r w:rsidRPr="009827F0">
        <w:t>plynu</w:t>
      </w:r>
      <w:r>
        <w:t xml:space="preserve"> </w:t>
      </w:r>
      <w:r w:rsidRPr="009827F0">
        <w:t>vystupujícího</w:t>
      </w:r>
      <w:r>
        <w:t xml:space="preserve"> </w:t>
      </w:r>
      <w:r w:rsidRPr="009827F0">
        <w:t>z</w:t>
      </w:r>
      <w:r>
        <w:t xml:space="preserve"> </w:t>
      </w:r>
      <w:r w:rsidRPr="009827F0">
        <w:t>distribuční</w:t>
      </w:r>
      <w:r>
        <w:t xml:space="preserve"> </w:t>
      </w:r>
      <w:r w:rsidRPr="009827F0">
        <w:t>soustavy,</w:t>
      </w:r>
    </w:p>
    <w:p w14:paraId="7F01C1CB" w14:textId="40761184" w:rsidR="00BF3171" w:rsidRDefault="00BF3171" w:rsidP="002E6AEA">
      <w:pPr>
        <w:pStyle w:val="Textparagrafu"/>
        <w:tabs>
          <w:tab w:val="left" w:pos="392"/>
          <w:tab w:val="left" w:pos="840"/>
        </w:tabs>
        <w:spacing w:before="0"/>
        <w:ind w:left="426" w:hanging="426"/>
      </w:pPr>
      <w:r w:rsidRPr="009827F0">
        <w:t>d)</w:t>
      </w:r>
      <w:r>
        <w:tab/>
      </w:r>
      <w:r w:rsidRPr="009827F0">
        <w:t>zřizovat</w:t>
      </w:r>
      <w:r>
        <w:t xml:space="preserve"> </w:t>
      </w:r>
      <w:r w:rsidRPr="009827F0">
        <w:t>a</w:t>
      </w:r>
      <w:r>
        <w:t xml:space="preserve"> </w:t>
      </w:r>
      <w:r w:rsidRPr="009827F0">
        <w:t>provozovat</w:t>
      </w:r>
      <w:r>
        <w:t xml:space="preserve"> </w:t>
      </w:r>
      <w:r w:rsidRPr="009827F0">
        <w:t>vlastní</w:t>
      </w:r>
      <w:r>
        <w:t xml:space="preserve"> </w:t>
      </w:r>
      <w:r w:rsidRPr="009827F0">
        <w:t>telekomunikační</w:t>
      </w:r>
      <w:r>
        <w:t xml:space="preserve"> </w:t>
      </w:r>
      <w:r w:rsidRPr="009827F0">
        <w:t>síť</w:t>
      </w:r>
      <w:r>
        <w:t xml:space="preserve"> </w:t>
      </w:r>
      <w:r w:rsidRPr="009827F0">
        <w:t>k</w:t>
      </w:r>
      <w:r>
        <w:t xml:space="preserve"> </w:t>
      </w:r>
      <w:r w:rsidRPr="009827F0">
        <w:t>řízení,</w:t>
      </w:r>
      <w:r>
        <w:t xml:space="preserve"> </w:t>
      </w:r>
      <w:r w:rsidRPr="009827F0">
        <w:t>měření,</w:t>
      </w:r>
      <w:r>
        <w:t xml:space="preserve"> </w:t>
      </w:r>
      <w:r w:rsidRPr="009827F0">
        <w:t>zabezpečování</w:t>
      </w:r>
      <w:r>
        <w:t xml:space="preserve"> </w:t>
      </w:r>
      <w:r w:rsidRPr="009827F0">
        <w:t>a</w:t>
      </w:r>
      <w:r>
        <w:t xml:space="preserve"> </w:t>
      </w:r>
      <w:r w:rsidRPr="009827F0">
        <w:t>automatizaci</w:t>
      </w:r>
      <w:r>
        <w:t xml:space="preserve"> </w:t>
      </w:r>
      <w:r w:rsidRPr="009827F0">
        <w:t>provozu</w:t>
      </w:r>
      <w:r>
        <w:t xml:space="preserve"> </w:t>
      </w:r>
      <w:r w:rsidRPr="009827F0">
        <w:t>distribuční</w:t>
      </w:r>
      <w:r>
        <w:t xml:space="preserve"> </w:t>
      </w:r>
      <w:r w:rsidRPr="009827F0">
        <w:t>soustavy</w:t>
      </w:r>
      <w:r>
        <w:t xml:space="preserve"> </w:t>
      </w:r>
      <w:r w:rsidRPr="009827F0">
        <w:t>a</w:t>
      </w:r>
      <w:r>
        <w:t xml:space="preserve"> </w:t>
      </w:r>
      <w:r w:rsidRPr="009827F0">
        <w:t>k</w:t>
      </w:r>
      <w:r>
        <w:t xml:space="preserve"> </w:t>
      </w:r>
      <w:r w:rsidRPr="009827F0">
        <w:t>přenosu</w:t>
      </w:r>
      <w:r>
        <w:t xml:space="preserve"> </w:t>
      </w:r>
      <w:r w:rsidRPr="009827F0">
        <w:t>informací</w:t>
      </w:r>
      <w:r>
        <w:t xml:space="preserve"> </w:t>
      </w:r>
      <w:r w:rsidRPr="009827F0">
        <w:t>pro</w:t>
      </w:r>
      <w:r>
        <w:t xml:space="preserve"> </w:t>
      </w:r>
      <w:r w:rsidRPr="009827F0">
        <w:t>činnosti</w:t>
      </w:r>
      <w:r>
        <w:t xml:space="preserve"> </w:t>
      </w:r>
      <w:r w:rsidRPr="009827F0">
        <w:t>výpočetní</w:t>
      </w:r>
      <w:r>
        <w:t xml:space="preserve"> </w:t>
      </w:r>
      <w:r w:rsidRPr="009827F0">
        <w:t>techniky</w:t>
      </w:r>
      <w:r>
        <w:t xml:space="preserve"> </w:t>
      </w:r>
      <w:r w:rsidRPr="009827F0">
        <w:t>a</w:t>
      </w:r>
      <w:r>
        <w:t xml:space="preserve"> </w:t>
      </w:r>
      <w:r w:rsidRPr="009827F0">
        <w:t>informačních</w:t>
      </w:r>
      <w:r>
        <w:t xml:space="preserve"> </w:t>
      </w:r>
      <w:r w:rsidRPr="009827F0">
        <w:t>systémů,</w:t>
      </w:r>
    </w:p>
    <w:p w14:paraId="01749311" w14:textId="0D26405F" w:rsidR="00BF3171" w:rsidRDefault="00BF3171" w:rsidP="002E6AEA">
      <w:pPr>
        <w:pStyle w:val="Textparagrafu"/>
        <w:tabs>
          <w:tab w:val="left" w:pos="392"/>
          <w:tab w:val="left" w:pos="840"/>
        </w:tabs>
        <w:spacing w:before="0"/>
        <w:ind w:left="426" w:hanging="426"/>
      </w:pPr>
      <w:r w:rsidRPr="009827F0">
        <w:t>e)</w:t>
      </w:r>
      <w:r>
        <w:tab/>
      </w:r>
      <w:r w:rsidRPr="009827F0">
        <w:t>v</w:t>
      </w:r>
      <w:r>
        <w:t xml:space="preserve"> </w:t>
      </w:r>
      <w:r w:rsidRPr="009827F0">
        <w:t>souladu</w:t>
      </w:r>
      <w:r>
        <w:t xml:space="preserve"> </w:t>
      </w:r>
      <w:r w:rsidRPr="009827F0">
        <w:t>se</w:t>
      </w:r>
      <w:r>
        <w:t xml:space="preserve"> </w:t>
      </w:r>
      <w:r w:rsidRPr="009827F0">
        <w:t>zvláštním</w:t>
      </w:r>
      <w:r>
        <w:t xml:space="preserve"> </w:t>
      </w:r>
      <w:r w:rsidRPr="009827F0">
        <w:t>právním</w:t>
      </w:r>
      <w:r>
        <w:t xml:space="preserve"> </w:t>
      </w:r>
      <w:r w:rsidRPr="009827F0">
        <w:t>předpisem</w:t>
      </w:r>
      <w:r w:rsidRPr="00BF3171">
        <w:rPr>
          <w:vertAlign w:val="superscript"/>
        </w:rPr>
        <w:t>4d)</w:t>
      </w:r>
      <w:r>
        <w:t xml:space="preserve"> </w:t>
      </w:r>
      <w:r w:rsidRPr="009827F0">
        <w:t>zřizovat</w:t>
      </w:r>
      <w:r>
        <w:t xml:space="preserve"> </w:t>
      </w:r>
      <w:r w:rsidRPr="009827F0">
        <w:t>a</w:t>
      </w:r>
      <w:r>
        <w:t xml:space="preserve"> </w:t>
      </w:r>
      <w:r w:rsidRPr="009827F0">
        <w:t>provozovat</w:t>
      </w:r>
      <w:r>
        <w:t xml:space="preserve"> </w:t>
      </w:r>
      <w:r w:rsidRPr="009827F0">
        <w:t>na</w:t>
      </w:r>
      <w:r>
        <w:t xml:space="preserve"> </w:t>
      </w:r>
      <w:r w:rsidRPr="009827F0">
        <w:t>cizích</w:t>
      </w:r>
      <w:r>
        <w:t xml:space="preserve"> </w:t>
      </w:r>
      <w:r w:rsidRPr="009827F0">
        <w:t>nemovitostech</w:t>
      </w:r>
      <w:r>
        <w:t xml:space="preserve"> </w:t>
      </w:r>
      <w:r w:rsidRPr="009827F0">
        <w:t>plynárenská</w:t>
      </w:r>
      <w:r>
        <w:t xml:space="preserve"> </w:t>
      </w:r>
      <w:r w:rsidRPr="009827F0">
        <w:t>zařízení,</w:t>
      </w:r>
    </w:p>
    <w:p w14:paraId="703AB2A3" w14:textId="56A29604" w:rsidR="00BF3171" w:rsidRDefault="00BF3171" w:rsidP="002E6AEA">
      <w:pPr>
        <w:pStyle w:val="Textparagrafu"/>
        <w:tabs>
          <w:tab w:val="left" w:pos="392"/>
          <w:tab w:val="left" w:pos="840"/>
        </w:tabs>
        <w:spacing w:before="0"/>
        <w:ind w:left="426" w:hanging="426"/>
      </w:pPr>
      <w:r w:rsidRPr="009827F0">
        <w:t>f)</w:t>
      </w:r>
      <w:r>
        <w:tab/>
      </w:r>
      <w:r w:rsidRPr="009827F0">
        <w:t>vstupovat</w:t>
      </w:r>
      <w:r>
        <w:t xml:space="preserve"> </w:t>
      </w:r>
      <w:r w:rsidRPr="009827F0">
        <w:t>a</w:t>
      </w:r>
      <w:r>
        <w:t xml:space="preserve"> </w:t>
      </w:r>
      <w:r w:rsidRPr="009827F0">
        <w:t>vjíždět</w:t>
      </w:r>
      <w:r>
        <w:t xml:space="preserve"> </w:t>
      </w:r>
      <w:r w:rsidRPr="009827F0">
        <w:t>na</w:t>
      </w:r>
      <w:r>
        <w:t xml:space="preserve"> </w:t>
      </w:r>
      <w:r w:rsidRPr="009827F0">
        <w:t>cizí</w:t>
      </w:r>
      <w:r>
        <w:t xml:space="preserve"> </w:t>
      </w:r>
      <w:r w:rsidRPr="009827F0">
        <w:t>nemovitosti</w:t>
      </w:r>
      <w:r>
        <w:t xml:space="preserve"> </w:t>
      </w:r>
      <w:r w:rsidRPr="009827F0">
        <w:t>v</w:t>
      </w:r>
      <w:r>
        <w:t xml:space="preserve"> </w:t>
      </w:r>
      <w:r w:rsidRPr="009827F0">
        <w:t>souvislosti</w:t>
      </w:r>
      <w:r>
        <w:t xml:space="preserve"> </w:t>
      </w:r>
      <w:r w:rsidRPr="009827F0">
        <w:t>se</w:t>
      </w:r>
      <w:r>
        <w:t xml:space="preserve"> </w:t>
      </w:r>
      <w:r w:rsidRPr="009827F0">
        <w:t>zřizováním,</w:t>
      </w:r>
      <w:r>
        <w:t xml:space="preserve"> </w:t>
      </w:r>
      <w:r w:rsidRPr="009827F0">
        <w:t>stavebními</w:t>
      </w:r>
      <w:r>
        <w:t xml:space="preserve"> </w:t>
      </w:r>
      <w:r w:rsidRPr="009827F0">
        <w:t>úpravami,</w:t>
      </w:r>
      <w:r>
        <w:t xml:space="preserve"> </w:t>
      </w:r>
      <w:r w:rsidRPr="009827F0">
        <w:t>opravami</w:t>
      </w:r>
      <w:r>
        <w:t xml:space="preserve"> </w:t>
      </w:r>
      <w:r w:rsidRPr="009827F0">
        <w:t>a</w:t>
      </w:r>
      <w:r>
        <w:t xml:space="preserve"> </w:t>
      </w:r>
      <w:r w:rsidRPr="009827F0">
        <w:t>provozováním</w:t>
      </w:r>
      <w:r>
        <w:t xml:space="preserve"> </w:t>
      </w:r>
      <w:r w:rsidRPr="009827F0">
        <w:t>distribuční</w:t>
      </w:r>
      <w:r>
        <w:t xml:space="preserve"> </w:t>
      </w:r>
      <w:r w:rsidRPr="009827F0">
        <w:t>soustavy</w:t>
      </w:r>
      <w:r>
        <w:t xml:space="preserve"> </w:t>
      </w:r>
      <w:r w:rsidRPr="009827F0">
        <w:t>a</w:t>
      </w:r>
      <w:r>
        <w:t xml:space="preserve"> </w:t>
      </w:r>
      <w:r w:rsidRPr="009827F0">
        <w:t>plynovodních</w:t>
      </w:r>
      <w:r>
        <w:t xml:space="preserve"> </w:t>
      </w:r>
      <w:r w:rsidRPr="009827F0">
        <w:t>přípojek,</w:t>
      </w:r>
    </w:p>
    <w:p w14:paraId="16E411A7" w14:textId="07C23F5D" w:rsidR="00BF3171" w:rsidRDefault="00BF3171" w:rsidP="002E6AEA">
      <w:pPr>
        <w:pStyle w:val="Textparagrafu"/>
        <w:tabs>
          <w:tab w:val="left" w:pos="392"/>
          <w:tab w:val="left" w:pos="840"/>
        </w:tabs>
        <w:spacing w:before="0"/>
        <w:ind w:left="426" w:hanging="426"/>
      </w:pPr>
      <w:r w:rsidRPr="009827F0">
        <w:t>g)</w:t>
      </w:r>
      <w:r>
        <w:tab/>
      </w:r>
      <w:r w:rsidRPr="009827F0">
        <w:t>odstraňovat</w:t>
      </w:r>
      <w:r>
        <w:t xml:space="preserve"> </w:t>
      </w:r>
      <w:r w:rsidRPr="009827F0">
        <w:t>a</w:t>
      </w:r>
      <w:r>
        <w:t xml:space="preserve"> </w:t>
      </w:r>
      <w:r w:rsidRPr="009827F0">
        <w:t>oklešťovat</w:t>
      </w:r>
      <w:r>
        <w:t xml:space="preserve"> </w:t>
      </w:r>
      <w:r w:rsidRPr="009827F0">
        <w:t>stromoví</w:t>
      </w:r>
      <w:r>
        <w:t xml:space="preserve"> </w:t>
      </w:r>
      <w:r w:rsidRPr="009827F0">
        <w:t>a</w:t>
      </w:r>
      <w:r>
        <w:t xml:space="preserve"> </w:t>
      </w:r>
      <w:r w:rsidRPr="009827F0">
        <w:t>jiné</w:t>
      </w:r>
      <w:r>
        <w:t xml:space="preserve"> </w:t>
      </w:r>
      <w:r w:rsidRPr="009827F0">
        <w:t>porosty,</w:t>
      </w:r>
      <w:r>
        <w:t xml:space="preserve"> </w:t>
      </w:r>
      <w:r w:rsidRPr="009827F0">
        <w:t>provádět</w:t>
      </w:r>
      <w:r>
        <w:t xml:space="preserve"> </w:t>
      </w:r>
      <w:r w:rsidRPr="009827F0">
        <w:t>likvidaci</w:t>
      </w:r>
      <w:r>
        <w:t xml:space="preserve"> </w:t>
      </w:r>
      <w:r w:rsidRPr="009827F0">
        <w:t>odstraněného</w:t>
      </w:r>
      <w:r>
        <w:t xml:space="preserve"> </w:t>
      </w:r>
      <w:r w:rsidRPr="009827F0">
        <w:t>a</w:t>
      </w:r>
      <w:r>
        <w:t xml:space="preserve"> </w:t>
      </w:r>
      <w:r w:rsidRPr="009827F0">
        <w:t>okleštěného</w:t>
      </w:r>
      <w:r>
        <w:t xml:space="preserve"> </w:t>
      </w:r>
      <w:r w:rsidRPr="009827F0">
        <w:t>stromoví</w:t>
      </w:r>
      <w:r>
        <w:t xml:space="preserve"> </w:t>
      </w:r>
      <w:r w:rsidRPr="009827F0">
        <w:t>a</w:t>
      </w:r>
      <w:r>
        <w:t xml:space="preserve"> </w:t>
      </w:r>
      <w:r w:rsidRPr="009827F0">
        <w:t>jiných</w:t>
      </w:r>
      <w:r>
        <w:t xml:space="preserve"> </w:t>
      </w:r>
      <w:r w:rsidRPr="009827F0">
        <w:t>porostů,</w:t>
      </w:r>
      <w:r>
        <w:t xml:space="preserve"> </w:t>
      </w:r>
      <w:r w:rsidRPr="009827F0">
        <w:t>ohrožujících</w:t>
      </w:r>
      <w:r>
        <w:t xml:space="preserve"> </w:t>
      </w:r>
      <w:r w:rsidRPr="009827F0">
        <w:t>bezpečný</w:t>
      </w:r>
      <w:r>
        <w:t xml:space="preserve"> </w:t>
      </w:r>
      <w:r w:rsidRPr="009827F0">
        <w:t>a</w:t>
      </w:r>
      <w:r>
        <w:t xml:space="preserve"> </w:t>
      </w:r>
      <w:r w:rsidRPr="009827F0">
        <w:t>spolehlivý</w:t>
      </w:r>
      <w:r>
        <w:t xml:space="preserve"> </w:t>
      </w:r>
      <w:r w:rsidRPr="009827F0">
        <w:t>provoz</w:t>
      </w:r>
      <w:r>
        <w:t xml:space="preserve"> </w:t>
      </w:r>
      <w:r w:rsidRPr="009827F0">
        <w:t>distribuční</w:t>
      </w:r>
      <w:r>
        <w:t xml:space="preserve"> </w:t>
      </w:r>
      <w:r w:rsidRPr="009827F0">
        <w:t>soustavy</w:t>
      </w:r>
      <w:r>
        <w:t xml:space="preserve"> </w:t>
      </w:r>
      <w:r w:rsidRPr="009827F0">
        <w:t>v</w:t>
      </w:r>
      <w:r>
        <w:t xml:space="preserve"> </w:t>
      </w:r>
      <w:r w:rsidRPr="009827F0">
        <w:t>případech,</w:t>
      </w:r>
      <w:r>
        <w:t xml:space="preserve"> </w:t>
      </w:r>
      <w:r w:rsidRPr="009827F0">
        <w:t>kdy</w:t>
      </w:r>
      <w:r>
        <w:t xml:space="preserve"> </w:t>
      </w:r>
      <w:r w:rsidRPr="009827F0">
        <w:t>tak</w:t>
      </w:r>
      <w:r>
        <w:t xml:space="preserve"> </w:t>
      </w:r>
      <w:r w:rsidRPr="009827F0">
        <w:t>po</w:t>
      </w:r>
      <w:r>
        <w:t xml:space="preserve"> </w:t>
      </w:r>
      <w:r w:rsidRPr="009827F0">
        <w:t>předchozím</w:t>
      </w:r>
      <w:r>
        <w:t xml:space="preserve"> </w:t>
      </w:r>
      <w:r w:rsidRPr="009827F0">
        <w:t>upozornění</w:t>
      </w:r>
      <w:r>
        <w:t xml:space="preserve"> </w:t>
      </w:r>
      <w:r w:rsidRPr="009827F0">
        <w:t>a</w:t>
      </w:r>
      <w:r>
        <w:t xml:space="preserve"> </w:t>
      </w:r>
      <w:r w:rsidRPr="009827F0">
        <w:t>stanovení</w:t>
      </w:r>
      <w:r>
        <w:t xml:space="preserve"> </w:t>
      </w:r>
      <w:r w:rsidRPr="009827F0">
        <w:t>rozsahu</w:t>
      </w:r>
      <w:r>
        <w:t xml:space="preserve"> </w:t>
      </w:r>
      <w:r w:rsidRPr="009827F0">
        <w:t>neučinil</w:t>
      </w:r>
      <w:r>
        <w:t xml:space="preserve"> </w:t>
      </w:r>
      <w:r w:rsidRPr="009827F0">
        <w:t>sám</w:t>
      </w:r>
      <w:r>
        <w:t xml:space="preserve"> </w:t>
      </w:r>
      <w:r w:rsidRPr="009827F0">
        <w:t>vlastník</w:t>
      </w:r>
      <w:r>
        <w:t xml:space="preserve"> </w:t>
      </w:r>
      <w:r w:rsidRPr="009827F0">
        <w:t>či</w:t>
      </w:r>
      <w:r>
        <w:t xml:space="preserve"> </w:t>
      </w:r>
      <w:r w:rsidRPr="009827F0">
        <w:t>uživatel,</w:t>
      </w:r>
    </w:p>
    <w:p w14:paraId="4685EB0A" w14:textId="0873348D" w:rsidR="00BF3171" w:rsidRDefault="00BF3171" w:rsidP="002E6AEA">
      <w:pPr>
        <w:pStyle w:val="Textparagrafu"/>
        <w:tabs>
          <w:tab w:val="left" w:pos="392"/>
          <w:tab w:val="left" w:pos="840"/>
        </w:tabs>
        <w:spacing w:before="0"/>
        <w:ind w:left="426" w:hanging="426"/>
      </w:pPr>
      <w:r w:rsidRPr="009827F0">
        <w:t>h)</w:t>
      </w:r>
      <w:r>
        <w:tab/>
      </w:r>
      <w:r w:rsidRPr="009827F0">
        <w:t>vstupovat</w:t>
      </w:r>
      <w:r>
        <w:t xml:space="preserve"> </w:t>
      </w:r>
      <w:r w:rsidRPr="009827F0">
        <w:t>a</w:t>
      </w:r>
      <w:r>
        <w:t xml:space="preserve"> </w:t>
      </w:r>
      <w:r w:rsidRPr="009827F0">
        <w:t>vjíždět</w:t>
      </w:r>
      <w:r>
        <w:t xml:space="preserve"> </w:t>
      </w:r>
      <w:r w:rsidRPr="009827F0">
        <w:t>v</w:t>
      </w:r>
      <w:r>
        <w:t xml:space="preserve"> </w:t>
      </w:r>
      <w:r w:rsidRPr="009827F0">
        <w:t>souladu</w:t>
      </w:r>
      <w:r>
        <w:t xml:space="preserve"> </w:t>
      </w:r>
      <w:r w:rsidRPr="009827F0">
        <w:t>se</w:t>
      </w:r>
      <w:r>
        <w:t xml:space="preserve"> </w:t>
      </w:r>
      <w:r w:rsidRPr="009827F0">
        <w:t>zvláštními</w:t>
      </w:r>
      <w:r>
        <w:t xml:space="preserve"> </w:t>
      </w:r>
      <w:r w:rsidRPr="009827F0">
        <w:t>předpisy</w:t>
      </w:r>
      <w:r>
        <w:t xml:space="preserve"> </w:t>
      </w:r>
      <w:r w:rsidRPr="009827F0">
        <w:t>do</w:t>
      </w:r>
      <w:r>
        <w:t xml:space="preserve"> </w:t>
      </w:r>
      <w:r w:rsidRPr="009827F0">
        <w:t>uzavřených</w:t>
      </w:r>
      <w:r>
        <w:t xml:space="preserve"> </w:t>
      </w:r>
      <w:r w:rsidRPr="009827F0">
        <w:t>prostor</w:t>
      </w:r>
      <w:r>
        <w:t xml:space="preserve"> </w:t>
      </w:r>
      <w:r w:rsidRPr="009827F0">
        <w:t>a</w:t>
      </w:r>
      <w:r>
        <w:t xml:space="preserve"> </w:t>
      </w:r>
      <w:r w:rsidRPr="009827F0">
        <w:t>zařízení</w:t>
      </w:r>
      <w:r>
        <w:t xml:space="preserve"> </w:t>
      </w:r>
      <w:r w:rsidRPr="009827F0">
        <w:t>sloužících</w:t>
      </w:r>
      <w:r>
        <w:t xml:space="preserve"> </w:t>
      </w:r>
      <w:r w:rsidRPr="009827F0">
        <w:t>k</w:t>
      </w:r>
      <w:r>
        <w:t xml:space="preserve"> </w:t>
      </w:r>
      <w:r w:rsidRPr="009827F0">
        <w:t>výkonu</w:t>
      </w:r>
      <w:r>
        <w:t xml:space="preserve"> </w:t>
      </w:r>
      <w:r w:rsidRPr="009827F0">
        <w:t>činnosti</w:t>
      </w:r>
      <w:r>
        <w:t xml:space="preserve"> </w:t>
      </w:r>
      <w:r w:rsidRPr="009827F0">
        <w:t>a</w:t>
      </w:r>
      <w:r>
        <w:t xml:space="preserve"> </w:t>
      </w:r>
      <w:r w:rsidRPr="009827F0">
        <w:t>služeb</w:t>
      </w:r>
      <w:r>
        <w:t xml:space="preserve"> </w:t>
      </w:r>
      <w:r w:rsidRPr="009827F0">
        <w:t>orgánů</w:t>
      </w:r>
      <w:r>
        <w:t xml:space="preserve"> </w:t>
      </w:r>
      <w:r w:rsidRPr="009827F0">
        <w:t>Ministerstva</w:t>
      </w:r>
      <w:r>
        <w:t xml:space="preserve"> </w:t>
      </w:r>
      <w:r w:rsidRPr="009827F0">
        <w:t>obrany,</w:t>
      </w:r>
      <w:r>
        <w:t xml:space="preserve"> </w:t>
      </w:r>
      <w:r w:rsidRPr="009827F0">
        <w:t>Ministerstva</w:t>
      </w:r>
      <w:r>
        <w:t xml:space="preserve"> </w:t>
      </w:r>
      <w:r w:rsidRPr="009827F0">
        <w:t>vnitra,</w:t>
      </w:r>
      <w:r>
        <w:t xml:space="preserve"> </w:t>
      </w:r>
      <w:r w:rsidRPr="009827F0">
        <w:t>Ministerstva</w:t>
      </w:r>
      <w:r>
        <w:t xml:space="preserve"> </w:t>
      </w:r>
      <w:r w:rsidRPr="009827F0">
        <w:t>spravedlnosti,</w:t>
      </w:r>
      <w:r>
        <w:t xml:space="preserve"> </w:t>
      </w:r>
      <w:r w:rsidRPr="009827F0">
        <w:t>Bezpečnostní</w:t>
      </w:r>
      <w:r>
        <w:t xml:space="preserve"> </w:t>
      </w:r>
      <w:r w:rsidRPr="009827F0">
        <w:t>informační</w:t>
      </w:r>
      <w:r>
        <w:t xml:space="preserve"> </w:t>
      </w:r>
      <w:r w:rsidRPr="009827F0">
        <w:t>služby</w:t>
      </w:r>
      <w:r>
        <w:t xml:space="preserve"> </w:t>
      </w:r>
      <w:r w:rsidRPr="009827F0">
        <w:t>a</w:t>
      </w:r>
      <w:r>
        <w:t xml:space="preserve"> </w:t>
      </w:r>
      <w:r w:rsidRPr="009827F0">
        <w:t>do</w:t>
      </w:r>
      <w:r>
        <w:t xml:space="preserve"> </w:t>
      </w:r>
      <w:r w:rsidRPr="009827F0">
        <w:t>obvodu</w:t>
      </w:r>
      <w:r>
        <w:t xml:space="preserve"> </w:t>
      </w:r>
      <w:r w:rsidRPr="009827F0">
        <w:t>dráhy,</w:t>
      </w:r>
      <w:r>
        <w:t xml:space="preserve"> </w:t>
      </w:r>
      <w:r w:rsidRPr="009827F0">
        <w:t>jakož</w:t>
      </w:r>
      <w:r>
        <w:t xml:space="preserve"> </w:t>
      </w:r>
      <w:r w:rsidRPr="009827F0">
        <w:t>i</w:t>
      </w:r>
      <w:r>
        <w:t xml:space="preserve"> </w:t>
      </w:r>
      <w:r w:rsidRPr="009827F0">
        <w:t>vstupovat</w:t>
      </w:r>
      <w:r>
        <w:t xml:space="preserve"> </w:t>
      </w:r>
      <w:r w:rsidRPr="009827F0">
        <w:t>a</w:t>
      </w:r>
      <w:r>
        <w:t xml:space="preserve"> </w:t>
      </w:r>
      <w:r w:rsidRPr="009827F0">
        <w:t>vjíždět</w:t>
      </w:r>
      <w:r>
        <w:t xml:space="preserve"> </w:t>
      </w:r>
      <w:r w:rsidRPr="009827F0">
        <w:t>do</w:t>
      </w:r>
      <w:r>
        <w:t xml:space="preserve"> </w:t>
      </w:r>
      <w:r w:rsidRPr="009827F0">
        <w:t>nemovitostí,</w:t>
      </w:r>
      <w:r>
        <w:t xml:space="preserve"> </w:t>
      </w:r>
      <w:r w:rsidRPr="009827F0">
        <w:t>kde</w:t>
      </w:r>
      <w:r>
        <w:t xml:space="preserve"> </w:t>
      </w:r>
      <w:r w:rsidRPr="009827F0">
        <w:t>jsou</w:t>
      </w:r>
      <w:r>
        <w:t xml:space="preserve"> </w:t>
      </w:r>
      <w:r w:rsidRPr="009827F0">
        <w:t>umístěna</w:t>
      </w:r>
      <w:r>
        <w:t xml:space="preserve"> </w:t>
      </w:r>
      <w:r w:rsidRPr="009827F0">
        <w:t>zvláštní</w:t>
      </w:r>
      <w:r>
        <w:t xml:space="preserve"> </w:t>
      </w:r>
      <w:r w:rsidRPr="009827F0">
        <w:t>zařízení</w:t>
      </w:r>
      <w:r>
        <w:t xml:space="preserve"> </w:t>
      </w:r>
      <w:r w:rsidRPr="009827F0">
        <w:t>telekomunikací,</w:t>
      </w:r>
      <w:r>
        <w:t xml:space="preserve"> </w:t>
      </w:r>
      <w:r w:rsidRPr="009827F0">
        <w:t>v</w:t>
      </w:r>
      <w:r>
        <w:t xml:space="preserve"> </w:t>
      </w:r>
      <w:r w:rsidRPr="009827F0">
        <w:t>rozsahu</w:t>
      </w:r>
      <w:r>
        <w:t xml:space="preserve"> </w:t>
      </w:r>
      <w:r w:rsidRPr="009827F0">
        <w:t>i</w:t>
      </w:r>
      <w:r>
        <w:t xml:space="preserve"> </w:t>
      </w:r>
      <w:r w:rsidRPr="009827F0">
        <w:t>způsobem</w:t>
      </w:r>
      <w:r>
        <w:t xml:space="preserve"> </w:t>
      </w:r>
      <w:r w:rsidRPr="009827F0">
        <w:t>nezbytným</w:t>
      </w:r>
      <w:r>
        <w:t xml:space="preserve"> </w:t>
      </w:r>
      <w:r w:rsidRPr="009827F0">
        <w:t>pro</w:t>
      </w:r>
      <w:r>
        <w:t xml:space="preserve"> </w:t>
      </w:r>
      <w:r w:rsidRPr="009827F0">
        <w:t>výkon</w:t>
      </w:r>
      <w:r>
        <w:t xml:space="preserve"> </w:t>
      </w:r>
      <w:r w:rsidRPr="009827F0">
        <w:t>licencované</w:t>
      </w:r>
      <w:r>
        <w:t xml:space="preserve"> </w:t>
      </w:r>
      <w:r w:rsidRPr="009827F0">
        <w:t>činnosti,</w:t>
      </w:r>
    </w:p>
    <w:p w14:paraId="1A96C164" w14:textId="3A0FD204" w:rsidR="00BF3171" w:rsidRDefault="00BF3171" w:rsidP="002E6AEA">
      <w:pPr>
        <w:pStyle w:val="Textparagrafu"/>
        <w:tabs>
          <w:tab w:val="left" w:pos="392"/>
          <w:tab w:val="left" w:pos="840"/>
        </w:tabs>
        <w:spacing w:before="0"/>
        <w:ind w:left="426" w:hanging="426"/>
      </w:pPr>
      <w:r w:rsidRPr="009827F0">
        <w:t>i)</w:t>
      </w:r>
      <w:r>
        <w:tab/>
      </w:r>
      <w:r w:rsidRPr="009827F0">
        <w:t>při</w:t>
      </w:r>
      <w:r>
        <w:t xml:space="preserve"> </w:t>
      </w:r>
      <w:r w:rsidRPr="009827F0">
        <w:t>stavech</w:t>
      </w:r>
      <w:r>
        <w:t xml:space="preserve"> </w:t>
      </w:r>
      <w:r w:rsidRPr="009827F0">
        <w:t>nouze</w:t>
      </w:r>
      <w:r>
        <w:t xml:space="preserve"> </w:t>
      </w:r>
      <w:r w:rsidRPr="009827F0">
        <w:t>využívat</w:t>
      </w:r>
      <w:r>
        <w:t xml:space="preserve"> </w:t>
      </w:r>
      <w:r w:rsidRPr="009827F0">
        <w:t>v</w:t>
      </w:r>
      <w:r>
        <w:t xml:space="preserve"> </w:t>
      </w:r>
      <w:r w:rsidRPr="009827F0">
        <w:t>nezbytném</w:t>
      </w:r>
      <w:r>
        <w:t xml:space="preserve"> </w:t>
      </w:r>
      <w:r w:rsidRPr="009827F0">
        <w:t>rozsahu</w:t>
      </w:r>
      <w:r>
        <w:t xml:space="preserve"> </w:t>
      </w:r>
      <w:r w:rsidRPr="009827F0">
        <w:t>plynová</w:t>
      </w:r>
      <w:r>
        <w:t xml:space="preserve"> </w:t>
      </w:r>
      <w:r w:rsidRPr="009827F0">
        <w:t>zařízení</w:t>
      </w:r>
      <w:r>
        <w:t xml:space="preserve"> </w:t>
      </w:r>
      <w:r w:rsidRPr="009827F0">
        <w:t>zákazníků,</w:t>
      </w:r>
      <w:r>
        <w:t xml:space="preserve"> </w:t>
      </w:r>
      <w:r w:rsidRPr="009827F0">
        <w:t>pro</w:t>
      </w:r>
      <w:r>
        <w:t xml:space="preserve"> </w:t>
      </w:r>
      <w:r w:rsidRPr="009827F0">
        <w:t>něž</w:t>
      </w:r>
      <w:r>
        <w:t xml:space="preserve"> </w:t>
      </w:r>
      <w:r w:rsidRPr="009827F0">
        <w:t>provádí</w:t>
      </w:r>
      <w:r>
        <w:t xml:space="preserve"> </w:t>
      </w:r>
      <w:r w:rsidRPr="009827F0">
        <w:t>distribuci</w:t>
      </w:r>
      <w:r>
        <w:t xml:space="preserve"> </w:t>
      </w:r>
      <w:r w:rsidRPr="009827F0">
        <w:t>plynu,</w:t>
      </w:r>
    </w:p>
    <w:p w14:paraId="2485DC3E" w14:textId="52FFD530" w:rsidR="00BF3171" w:rsidRPr="009827F0" w:rsidRDefault="00BF3171" w:rsidP="002E6AEA">
      <w:pPr>
        <w:pStyle w:val="Textparagrafu"/>
        <w:tabs>
          <w:tab w:val="left" w:pos="392"/>
          <w:tab w:val="left" w:pos="840"/>
        </w:tabs>
        <w:spacing w:before="0"/>
        <w:ind w:left="426" w:hanging="426"/>
      </w:pPr>
      <w:r w:rsidRPr="009827F0">
        <w:t>j)</w:t>
      </w:r>
      <w:r>
        <w:tab/>
      </w:r>
      <w:r w:rsidRPr="009827F0">
        <w:t>omezit</w:t>
      </w:r>
      <w:r>
        <w:t xml:space="preserve"> </w:t>
      </w:r>
      <w:r w:rsidRPr="009827F0">
        <w:t>nebo</w:t>
      </w:r>
      <w:r>
        <w:t xml:space="preserve"> </w:t>
      </w:r>
      <w:r w:rsidRPr="009827F0">
        <w:t>přerušit</w:t>
      </w:r>
      <w:r>
        <w:t xml:space="preserve"> </w:t>
      </w:r>
      <w:r w:rsidRPr="009827F0">
        <w:t>v</w:t>
      </w:r>
      <w:r>
        <w:t xml:space="preserve"> </w:t>
      </w:r>
      <w:r w:rsidRPr="009827F0">
        <w:t>nezbytném</w:t>
      </w:r>
      <w:r>
        <w:t xml:space="preserve"> </w:t>
      </w:r>
      <w:r w:rsidRPr="009827F0">
        <w:t>rozsahu</w:t>
      </w:r>
      <w:r>
        <w:t xml:space="preserve"> </w:t>
      </w:r>
      <w:r w:rsidRPr="009827F0">
        <w:t>distribuci</w:t>
      </w:r>
      <w:r>
        <w:t xml:space="preserve"> </w:t>
      </w:r>
      <w:r w:rsidRPr="009827F0">
        <w:t>plynu</w:t>
      </w:r>
      <w:r>
        <w:t xml:space="preserve"> </w:t>
      </w:r>
      <w:r w:rsidRPr="009827F0">
        <w:t>v</w:t>
      </w:r>
      <w:r>
        <w:t xml:space="preserve"> </w:t>
      </w:r>
      <w:r w:rsidRPr="009827F0">
        <w:t>těchto</w:t>
      </w:r>
      <w:r>
        <w:t xml:space="preserve"> </w:t>
      </w:r>
      <w:r w:rsidRPr="009827F0">
        <w:t>případech:</w:t>
      </w:r>
    </w:p>
    <w:p w14:paraId="3E5EF1DE" w14:textId="05F2B633" w:rsidR="00BF3171" w:rsidRPr="009827F0" w:rsidRDefault="00BF3171" w:rsidP="0010420C">
      <w:pPr>
        <w:pStyle w:val="Textparagrafu"/>
        <w:tabs>
          <w:tab w:val="left" w:pos="392"/>
          <w:tab w:val="left" w:pos="840"/>
        </w:tabs>
        <w:spacing w:before="0"/>
        <w:ind w:left="850" w:hanging="425"/>
      </w:pPr>
      <w:r w:rsidRPr="009827F0">
        <w:t>1.</w:t>
      </w:r>
      <w:r>
        <w:tab/>
      </w:r>
      <w:r w:rsidRPr="009827F0">
        <w:t>při</w:t>
      </w:r>
      <w:r>
        <w:t xml:space="preserve"> </w:t>
      </w:r>
      <w:r w:rsidRPr="009827F0">
        <w:t>bezprostředním</w:t>
      </w:r>
      <w:r>
        <w:t xml:space="preserve"> </w:t>
      </w:r>
      <w:r w:rsidRPr="009827F0">
        <w:t>ohrožení</w:t>
      </w:r>
      <w:r>
        <w:t xml:space="preserve"> </w:t>
      </w:r>
      <w:r w:rsidRPr="009827F0">
        <w:t>života,</w:t>
      </w:r>
      <w:r>
        <w:t xml:space="preserve"> </w:t>
      </w:r>
      <w:r w:rsidRPr="009827F0">
        <w:t>zdraví</w:t>
      </w:r>
      <w:r>
        <w:t xml:space="preserve"> </w:t>
      </w:r>
      <w:r w:rsidRPr="009827F0">
        <w:t>nebo</w:t>
      </w:r>
      <w:r>
        <w:t xml:space="preserve"> </w:t>
      </w:r>
      <w:r w:rsidRPr="009827F0">
        <w:t>majetku</w:t>
      </w:r>
      <w:r>
        <w:t xml:space="preserve"> </w:t>
      </w:r>
      <w:r w:rsidRPr="009827F0">
        <w:t>osob</w:t>
      </w:r>
      <w:r>
        <w:t xml:space="preserve"> </w:t>
      </w:r>
      <w:r w:rsidRPr="009827F0">
        <w:t>a</w:t>
      </w:r>
      <w:r>
        <w:t xml:space="preserve"> </w:t>
      </w:r>
      <w:r w:rsidRPr="009827F0">
        <w:t>při</w:t>
      </w:r>
      <w:r>
        <w:t xml:space="preserve"> </w:t>
      </w:r>
      <w:r w:rsidRPr="009827F0">
        <w:t>likvidaci</w:t>
      </w:r>
      <w:r>
        <w:t xml:space="preserve"> </w:t>
      </w:r>
      <w:r w:rsidRPr="009827F0">
        <w:t>těchto</w:t>
      </w:r>
      <w:r>
        <w:t xml:space="preserve"> </w:t>
      </w:r>
      <w:r w:rsidRPr="009827F0">
        <w:t>stavů,</w:t>
      </w:r>
    </w:p>
    <w:p w14:paraId="5B71A617" w14:textId="1BDD3CA2" w:rsidR="00BF3171" w:rsidRPr="009827F0" w:rsidRDefault="00BF3171" w:rsidP="0010420C">
      <w:pPr>
        <w:pStyle w:val="Textparagrafu"/>
        <w:tabs>
          <w:tab w:val="left" w:pos="392"/>
          <w:tab w:val="left" w:pos="840"/>
        </w:tabs>
        <w:spacing w:before="0"/>
        <w:ind w:left="850" w:hanging="425"/>
      </w:pPr>
      <w:r w:rsidRPr="009827F0">
        <w:t>2.</w:t>
      </w:r>
      <w:r>
        <w:tab/>
      </w:r>
      <w:r w:rsidRPr="009827F0">
        <w:t>při</w:t>
      </w:r>
      <w:r>
        <w:t xml:space="preserve"> </w:t>
      </w:r>
      <w:r w:rsidRPr="009827F0">
        <w:t>stavech</w:t>
      </w:r>
      <w:r>
        <w:t xml:space="preserve"> </w:t>
      </w:r>
      <w:r w:rsidRPr="009827F0">
        <w:t>nouze</w:t>
      </w:r>
      <w:r>
        <w:t xml:space="preserve"> </w:t>
      </w:r>
      <w:r w:rsidRPr="009827F0">
        <w:t>nebo</w:t>
      </w:r>
      <w:r>
        <w:t xml:space="preserve"> </w:t>
      </w:r>
      <w:r w:rsidRPr="009827F0">
        <w:t>při</w:t>
      </w:r>
      <w:r>
        <w:t xml:space="preserve"> </w:t>
      </w:r>
      <w:r w:rsidRPr="009827F0">
        <w:t>činnostech</w:t>
      </w:r>
      <w:r>
        <w:t xml:space="preserve"> </w:t>
      </w:r>
      <w:r w:rsidRPr="009827F0">
        <w:t>bezprostředně</w:t>
      </w:r>
      <w:r>
        <w:t xml:space="preserve"> </w:t>
      </w:r>
      <w:r w:rsidRPr="009827F0">
        <w:t>zamezujících</w:t>
      </w:r>
      <w:r>
        <w:t xml:space="preserve"> </w:t>
      </w:r>
      <w:r w:rsidRPr="009827F0">
        <w:t>jejich</w:t>
      </w:r>
      <w:r>
        <w:t xml:space="preserve"> </w:t>
      </w:r>
      <w:r w:rsidRPr="009827F0">
        <w:t>vzniku</w:t>
      </w:r>
      <w:r>
        <w:t xml:space="preserve"> </w:t>
      </w:r>
      <w:r w:rsidRPr="009827F0">
        <w:t>a</w:t>
      </w:r>
      <w:r>
        <w:t xml:space="preserve"> </w:t>
      </w:r>
      <w:r w:rsidRPr="009827F0">
        <w:t>při</w:t>
      </w:r>
      <w:r>
        <w:t xml:space="preserve"> </w:t>
      </w:r>
      <w:r w:rsidRPr="009827F0">
        <w:t>poskytování</w:t>
      </w:r>
      <w:r>
        <w:t xml:space="preserve"> </w:t>
      </w:r>
      <w:r w:rsidRPr="009827F0">
        <w:t>mezinárodní</w:t>
      </w:r>
      <w:r>
        <w:t xml:space="preserve"> </w:t>
      </w:r>
      <w:r w:rsidRPr="009827F0">
        <w:t>pomoci</w:t>
      </w:r>
      <w:r>
        <w:t xml:space="preserve"> </w:t>
      </w:r>
      <w:r w:rsidRPr="009827F0">
        <w:t>v</w:t>
      </w:r>
      <w:r>
        <w:t xml:space="preserve"> </w:t>
      </w:r>
      <w:r w:rsidRPr="009827F0">
        <w:t>krizových</w:t>
      </w:r>
      <w:r>
        <w:t xml:space="preserve"> </w:t>
      </w:r>
      <w:r w:rsidRPr="009827F0">
        <w:t>situacích</w:t>
      </w:r>
      <w:r>
        <w:t xml:space="preserve"> </w:t>
      </w:r>
      <w:r w:rsidRPr="009827F0">
        <w:t>v</w:t>
      </w:r>
      <w:r>
        <w:t xml:space="preserve"> </w:t>
      </w:r>
      <w:r w:rsidRPr="009827F0">
        <w:t>plynárenství</w:t>
      </w:r>
      <w:r>
        <w:t xml:space="preserve"> </w:t>
      </w:r>
      <w:r w:rsidRPr="009827F0">
        <w:t>podle</w:t>
      </w:r>
      <w:r>
        <w:t xml:space="preserve"> </w:t>
      </w:r>
      <w:r w:rsidRPr="009827F0">
        <w:t>přímo</w:t>
      </w:r>
      <w:r>
        <w:t xml:space="preserve"> </w:t>
      </w:r>
      <w:r w:rsidRPr="009827F0">
        <w:t>použitelného</w:t>
      </w:r>
      <w:r>
        <w:t xml:space="preserve"> </w:t>
      </w:r>
      <w:r w:rsidRPr="009827F0">
        <w:t>předpisu</w:t>
      </w:r>
      <w:r>
        <w:t xml:space="preserve"> </w:t>
      </w:r>
      <w:r w:rsidRPr="009827F0">
        <w:t>Evropské</w:t>
      </w:r>
      <w:r>
        <w:t xml:space="preserve"> </w:t>
      </w:r>
      <w:r w:rsidRPr="009827F0">
        <w:t>unie</w:t>
      </w:r>
      <w:r>
        <w:t xml:space="preserve"> </w:t>
      </w:r>
      <w:r w:rsidRPr="009827F0">
        <w:t>upravujícího</w:t>
      </w:r>
      <w:r>
        <w:t xml:space="preserve"> </w:t>
      </w:r>
      <w:r w:rsidRPr="009827F0">
        <w:t>opatření</w:t>
      </w:r>
      <w:r>
        <w:t xml:space="preserve"> </w:t>
      </w:r>
      <w:r w:rsidRPr="009827F0">
        <w:t>na</w:t>
      </w:r>
      <w:r>
        <w:t xml:space="preserve"> </w:t>
      </w:r>
      <w:r w:rsidRPr="009827F0">
        <w:t>zajištění</w:t>
      </w:r>
      <w:r>
        <w:t xml:space="preserve"> </w:t>
      </w:r>
      <w:r w:rsidRPr="009827F0">
        <w:t>bezpečnosti</w:t>
      </w:r>
      <w:r>
        <w:t xml:space="preserve"> </w:t>
      </w:r>
      <w:r w:rsidRPr="009827F0">
        <w:t>dodávek</w:t>
      </w:r>
      <w:r>
        <w:t xml:space="preserve"> </w:t>
      </w:r>
      <w:r w:rsidRPr="009827F0">
        <w:t>zemního</w:t>
      </w:r>
      <w:r>
        <w:t xml:space="preserve"> </w:t>
      </w:r>
      <w:r w:rsidRPr="009827F0">
        <w:t>plynu</w:t>
      </w:r>
      <w:r w:rsidRPr="00BF3171">
        <w:rPr>
          <w:vertAlign w:val="superscript"/>
        </w:rPr>
        <w:t>21)</w:t>
      </w:r>
      <w:r w:rsidRPr="009827F0">
        <w:t>,</w:t>
      </w:r>
    </w:p>
    <w:p w14:paraId="31FDB565" w14:textId="5140E264" w:rsidR="00BF3171" w:rsidRPr="009827F0" w:rsidRDefault="00BF3171" w:rsidP="0010420C">
      <w:pPr>
        <w:pStyle w:val="Textparagrafu"/>
        <w:tabs>
          <w:tab w:val="left" w:pos="392"/>
          <w:tab w:val="left" w:pos="840"/>
        </w:tabs>
        <w:spacing w:before="0"/>
        <w:ind w:left="850" w:hanging="425"/>
      </w:pPr>
      <w:r w:rsidRPr="009827F0">
        <w:t>3.</w:t>
      </w:r>
      <w:r>
        <w:tab/>
      </w:r>
      <w:r w:rsidRPr="009827F0">
        <w:t>při</w:t>
      </w:r>
      <w:r>
        <w:t xml:space="preserve"> </w:t>
      </w:r>
      <w:r w:rsidRPr="009827F0">
        <w:t>provádění</w:t>
      </w:r>
      <w:r>
        <w:t xml:space="preserve"> </w:t>
      </w:r>
      <w:r w:rsidRPr="009827F0">
        <w:t>plánovaných</w:t>
      </w:r>
      <w:r>
        <w:t xml:space="preserve"> </w:t>
      </w:r>
      <w:r w:rsidRPr="009827F0">
        <w:t>stavebních</w:t>
      </w:r>
      <w:r>
        <w:t xml:space="preserve"> </w:t>
      </w:r>
      <w:r w:rsidRPr="009827F0">
        <w:t>úprav,</w:t>
      </w:r>
      <w:r>
        <w:t xml:space="preserve"> </w:t>
      </w:r>
      <w:r w:rsidRPr="009827F0">
        <w:t>přeložek</w:t>
      </w:r>
      <w:r>
        <w:t xml:space="preserve"> </w:t>
      </w:r>
      <w:r w:rsidRPr="009827F0">
        <w:t>a</w:t>
      </w:r>
      <w:r>
        <w:t xml:space="preserve"> </w:t>
      </w:r>
      <w:r w:rsidRPr="009827F0">
        <w:t>plánovaných</w:t>
      </w:r>
      <w:r>
        <w:t xml:space="preserve"> </w:t>
      </w:r>
      <w:r w:rsidRPr="009827F0">
        <w:t>oprav</w:t>
      </w:r>
      <w:r>
        <w:t xml:space="preserve"> </w:t>
      </w:r>
      <w:r w:rsidRPr="009827F0">
        <w:t>na</w:t>
      </w:r>
      <w:r>
        <w:t xml:space="preserve"> </w:t>
      </w:r>
      <w:r w:rsidRPr="009827F0">
        <w:t>zařízení</w:t>
      </w:r>
      <w:r>
        <w:t xml:space="preserve"> </w:t>
      </w:r>
      <w:r w:rsidRPr="009827F0">
        <w:t>distribuční</w:t>
      </w:r>
      <w:r>
        <w:t xml:space="preserve"> </w:t>
      </w:r>
      <w:r w:rsidRPr="009827F0">
        <w:t>soustavy,</w:t>
      </w:r>
    </w:p>
    <w:p w14:paraId="6D24B2E3" w14:textId="71535747" w:rsidR="00BF3171" w:rsidRPr="009827F0" w:rsidRDefault="00BF3171" w:rsidP="0010420C">
      <w:pPr>
        <w:pStyle w:val="Textparagrafu"/>
        <w:tabs>
          <w:tab w:val="left" w:pos="392"/>
          <w:tab w:val="left" w:pos="840"/>
        </w:tabs>
        <w:spacing w:before="0"/>
        <w:ind w:left="850" w:hanging="425"/>
      </w:pPr>
      <w:r w:rsidRPr="009827F0">
        <w:t>4.</w:t>
      </w:r>
      <w:r>
        <w:tab/>
      </w:r>
      <w:r w:rsidRPr="009827F0">
        <w:t>při</w:t>
      </w:r>
      <w:r>
        <w:t xml:space="preserve"> </w:t>
      </w:r>
      <w:r w:rsidRPr="009827F0">
        <w:t>vzniku</w:t>
      </w:r>
      <w:r>
        <w:t xml:space="preserve"> </w:t>
      </w:r>
      <w:r w:rsidRPr="009827F0">
        <w:t>a</w:t>
      </w:r>
      <w:r>
        <w:t xml:space="preserve"> </w:t>
      </w:r>
      <w:r w:rsidRPr="009827F0">
        <w:t>odstraňování</w:t>
      </w:r>
      <w:r>
        <w:t xml:space="preserve"> </w:t>
      </w:r>
      <w:r w:rsidRPr="009827F0">
        <w:t>poruch</w:t>
      </w:r>
      <w:r>
        <w:t xml:space="preserve"> </w:t>
      </w:r>
      <w:r w:rsidRPr="009827F0">
        <w:t>na</w:t>
      </w:r>
      <w:r>
        <w:t xml:space="preserve"> </w:t>
      </w:r>
      <w:r w:rsidRPr="009827F0">
        <w:t>zařízeních</w:t>
      </w:r>
      <w:r>
        <w:t xml:space="preserve"> </w:t>
      </w:r>
      <w:r w:rsidRPr="009827F0">
        <w:t>distribuční</w:t>
      </w:r>
      <w:r>
        <w:t xml:space="preserve"> </w:t>
      </w:r>
      <w:r w:rsidRPr="009827F0">
        <w:t>soustavy,</w:t>
      </w:r>
    </w:p>
    <w:p w14:paraId="33EFAE72" w14:textId="5BB49BB3" w:rsidR="00BF3171" w:rsidRPr="009827F0" w:rsidRDefault="00BF3171" w:rsidP="0010420C">
      <w:pPr>
        <w:pStyle w:val="Textparagrafu"/>
        <w:tabs>
          <w:tab w:val="left" w:pos="392"/>
          <w:tab w:val="left" w:pos="840"/>
        </w:tabs>
        <w:spacing w:before="0"/>
        <w:ind w:left="850" w:hanging="425"/>
      </w:pPr>
      <w:r w:rsidRPr="009827F0">
        <w:t>5.</w:t>
      </w:r>
      <w:r>
        <w:tab/>
      </w:r>
      <w:r w:rsidRPr="009827F0">
        <w:t>při</w:t>
      </w:r>
      <w:r>
        <w:t xml:space="preserve"> </w:t>
      </w:r>
      <w:r w:rsidRPr="009827F0">
        <w:t>odběru</w:t>
      </w:r>
      <w:r>
        <w:t xml:space="preserve"> </w:t>
      </w:r>
      <w:r w:rsidRPr="009827F0">
        <w:t>plynu</w:t>
      </w:r>
      <w:r>
        <w:t xml:space="preserve"> </w:t>
      </w:r>
      <w:r w:rsidRPr="009827F0">
        <w:t>zařízeními,</w:t>
      </w:r>
      <w:r>
        <w:t xml:space="preserve"> </w:t>
      </w:r>
      <w:r w:rsidRPr="009827F0">
        <w:t>která</w:t>
      </w:r>
      <w:r>
        <w:t xml:space="preserve"> </w:t>
      </w:r>
      <w:r w:rsidRPr="009827F0">
        <w:t>ohrožují</w:t>
      </w:r>
      <w:r>
        <w:t xml:space="preserve"> </w:t>
      </w:r>
      <w:r w:rsidRPr="009827F0">
        <w:t>životy,</w:t>
      </w:r>
      <w:r>
        <w:t xml:space="preserve"> </w:t>
      </w:r>
      <w:r w:rsidRPr="009827F0">
        <w:t>zdraví</w:t>
      </w:r>
      <w:r>
        <w:t xml:space="preserve"> </w:t>
      </w:r>
      <w:r w:rsidRPr="009827F0">
        <w:t>nebo</w:t>
      </w:r>
      <w:r>
        <w:t xml:space="preserve"> </w:t>
      </w:r>
      <w:r w:rsidRPr="009827F0">
        <w:t>majetek</w:t>
      </w:r>
      <w:r>
        <w:t xml:space="preserve"> </w:t>
      </w:r>
      <w:r w:rsidRPr="009827F0">
        <w:t>osob,</w:t>
      </w:r>
    </w:p>
    <w:p w14:paraId="0D04082F" w14:textId="5C58B768" w:rsidR="00BF3171" w:rsidRPr="009827F0" w:rsidRDefault="00BF3171" w:rsidP="0010420C">
      <w:pPr>
        <w:pStyle w:val="Textparagrafu"/>
        <w:tabs>
          <w:tab w:val="left" w:pos="392"/>
          <w:tab w:val="left" w:pos="840"/>
        </w:tabs>
        <w:spacing w:before="0"/>
        <w:ind w:left="850" w:hanging="425"/>
      </w:pPr>
      <w:r w:rsidRPr="009827F0">
        <w:lastRenderedPageBreak/>
        <w:t>6.</w:t>
      </w:r>
      <w:r>
        <w:tab/>
      </w:r>
      <w:r w:rsidRPr="009827F0">
        <w:t>při</w:t>
      </w:r>
      <w:r>
        <w:t xml:space="preserve"> </w:t>
      </w:r>
      <w:r w:rsidRPr="009827F0">
        <w:t>neoprávněném</w:t>
      </w:r>
      <w:r>
        <w:t xml:space="preserve"> </w:t>
      </w:r>
      <w:r w:rsidRPr="009827F0">
        <w:t>odběru</w:t>
      </w:r>
      <w:r>
        <w:t xml:space="preserve"> </w:t>
      </w:r>
      <w:r w:rsidRPr="009827F0">
        <w:t>nebo</w:t>
      </w:r>
      <w:r>
        <w:t xml:space="preserve"> </w:t>
      </w:r>
      <w:r w:rsidRPr="009827F0">
        <w:t>neoprávněné</w:t>
      </w:r>
      <w:r>
        <w:t xml:space="preserve"> </w:t>
      </w:r>
      <w:r w:rsidRPr="009827F0">
        <w:t>distribuci</w:t>
      </w:r>
      <w:r>
        <w:t xml:space="preserve"> </w:t>
      </w:r>
      <w:r w:rsidRPr="009827F0">
        <w:t>plynu</w:t>
      </w:r>
      <w:r>
        <w:t xml:space="preserve"> </w:t>
      </w:r>
      <w:r w:rsidRPr="009827F0">
        <w:t>nebo</w:t>
      </w:r>
      <w:r>
        <w:t xml:space="preserve"> </w:t>
      </w:r>
      <w:r w:rsidRPr="009827F0">
        <w:t>při</w:t>
      </w:r>
      <w:r>
        <w:t xml:space="preserve"> </w:t>
      </w:r>
      <w:r w:rsidRPr="009827F0">
        <w:t>neoprávněné</w:t>
      </w:r>
      <w:r>
        <w:t xml:space="preserve"> </w:t>
      </w:r>
      <w:r w:rsidRPr="009827F0">
        <w:t>přepravě</w:t>
      </w:r>
      <w:r>
        <w:t xml:space="preserve"> </w:t>
      </w:r>
      <w:r w:rsidRPr="009827F0">
        <w:t>plynu,</w:t>
      </w:r>
    </w:p>
    <w:p w14:paraId="6EBAB276" w14:textId="3B9DCEEB" w:rsidR="00BF3171" w:rsidRPr="009827F0" w:rsidRDefault="00BF3171" w:rsidP="0010420C">
      <w:pPr>
        <w:pStyle w:val="Textparagrafu"/>
        <w:tabs>
          <w:tab w:val="left" w:pos="392"/>
          <w:tab w:val="left" w:pos="840"/>
        </w:tabs>
        <w:spacing w:before="0"/>
        <w:ind w:left="850" w:hanging="425"/>
      </w:pPr>
      <w:r w:rsidRPr="009827F0">
        <w:t>7.</w:t>
      </w:r>
      <w:r>
        <w:tab/>
      </w:r>
      <w:r w:rsidRPr="009827F0">
        <w:t>při</w:t>
      </w:r>
      <w:r>
        <w:t xml:space="preserve"> </w:t>
      </w:r>
      <w:r w:rsidRPr="009827F0">
        <w:t>odběru</w:t>
      </w:r>
      <w:r>
        <w:t xml:space="preserve"> </w:t>
      </w:r>
      <w:r w:rsidRPr="009827F0">
        <w:t>plynu,</w:t>
      </w:r>
      <w:r>
        <w:t xml:space="preserve"> </w:t>
      </w:r>
      <w:r w:rsidRPr="009827F0">
        <w:t>kdy</w:t>
      </w:r>
      <w:r>
        <w:t xml:space="preserve"> </w:t>
      </w:r>
      <w:r w:rsidRPr="009827F0">
        <w:t>zákazník</w:t>
      </w:r>
      <w:r>
        <w:t xml:space="preserve"> </w:t>
      </w:r>
      <w:r w:rsidRPr="009827F0">
        <w:t>opakovaně</w:t>
      </w:r>
      <w:r>
        <w:t xml:space="preserve"> </w:t>
      </w:r>
      <w:r w:rsidRPr="009827F0">
        <w:t>bez</w:t>
      </w:r>
      <w:r>
        <w:t xml:space="preserve"> </w:t>
      </w:r>
      <w:r w:rsidRPr="009827F0">
        <w:t>vážného</w:t>
      </w:r>
      <w:r>
        <w:t xml:space="preserve"> </w:t>
      </w:r>
      <w:r w:rsidRPr="009827F0">
        <w:t>důvodu</w:t>
      </w:r>
      <w:r>
        <w:t xml:space="preserve"> </w:t>
      </w:r>
      <w:r w:rsidRPr="009827F0">
        <w:t>neumožnil</w:t>
      </w:r>
      <w:r>
        <w:t xml:space="preserve"> </w:t>
      </w:r>
      <w:r w:rsidRPr="009827F0">
        <w:t>přístup</w:t>
      </w:r>
      <w:r>
        <w:t xml:space="preserve"> </w:t>
      </w:r>
      <w:r w:rsidRPr="009827F0">
        <w:t>k</w:t>
      </w:r>
      <w:r>
        <w:t xml:space="preserve"> </w:t>
      </w:r>
      <w:r w:rsidRPr="009827F0">
        <w:t>měřicímu</w:t>
      </w:r>
      <w:r>
        <w:t xml:space="preserve"> </w:t>
      </w:r>
      <w:r w:rsidRPr="009827F0">
        <w:t>zařízení</w:t>
      </w:r>
      <w:r>
        <w:t xml:space="preserve"> </w:t>
      </w:r>
      <w:r w:rsidRPr="009827F0">
        <w:t>nebo</w:t>
      </w:r>
      <w:r>
        <w:t xml:space="preserve"> </w:t>
      </w:r>
      <w:r w:rsidRPr="009827F0">
        <w:t>neměřeným</w:t>
      </w:r>
      <w:r>
        <w:t xml:space="preserve"> </w:t>
      </w:r>
      <w:r w:rsidRPr="009827F0">
        <w:t>částem</w:t>
      </w:r>
      <w:r>
        <w:t xml:space="preserve"> </w:t>
      </w:r>
      <w:r w:rsidRPr="009827F0">
        <w:t>odběrného</w:t>
      </w:r>
      <w:r>
        <w:t xml:space="preserve"> </w:t>
      </w:r>
      <w:r w:rsidRPr="009827F0">
        <w:t>plynového</w:t>
      </w:r>
      <w:r>
        <w:t xml:space="preserve"> </w:t>
      </w:r>
      <w:r w:rsidRPr="009827F0">
        <w:t>zařízení,</w:t>
      </w:r>
      <w:r>
        <w:t xml:space="preserve"> </w:t>
      </w:r>
      <w:r w:rsidRPr="009827F0">
        <w:t>přestože</w:t>
      </w:r>
      <w:r>
        <w:t xml:space="preserve"> </w:t>
      </w:r>
      <w:r w:rsidRPr="009827F0">
        <w:t>byl</w:t>
      </w:r>
      <w:r>
        <w:t xml:space="preserve"> </w:t>
      </w:r>
      <w:r w:rsidRPr="009827F0">
        <w:t>k</w:t>
      </w:r>
      <w:r>
        <w:t xml:space="preserve"> </w:t>
      </w:r>
      <w:r w:rsidRPr="009827F0">
        <w:t>umožnění</w:t>
      </w:r>
      <w:r>
        <w:t xml:space="preserve"> </w:t>
      </w:r>
      <w:r w:rsidRPr="009827F0">
        <w:t>přístupu</w:t>
      </w:r>
      <w:r>
        <w:t xml:space="preserve"> </w:t>
      </w:r>
      <w:r w:rsidRPr="009827F0">
        <w:t>za</w:t>
      </w:r>
      <w:r>
        <w:t xml:space="preserve"> </w:t>
      </w:r>
      <w:r w:rsidRPr="009827F0">
        <w:t>účelem</w:t>
      </w:r>
      <w:r>
        <w:t xml:space="preserve"> </w:t>
      </w:r>
      <w:r w:rsidRPr="009827F0">
        <w:t>provedení</w:t>
      </w:r>
      <w:r>
        <w:t xml:space="preserve"> </w:t>
      </w:r>
      <w:r w:rsidRPr="009827F0">
        <w:t>kontroly,</w:t>
      </w:r>
      <w:r>
        <w:t xml:space="preserve"> </w:t>
      </w:r>
      <w:r w:rsidRPr="009827F0">
        <w:t>odečtu,</w:t>
      </w:r>
      <w:r>
        <w:t xml:space="preserve"> </w:t>
      </w:r>
      <w:r w:rsidRPr="009827F0">
        <w:t>údržby,</w:t>
      </w:r>
      <w:r>
        <w:t xml:space="preserve"> </w:t>
      </w:r>
      <w:r w:rsidRPr="009827F0">
        <w:t>výměny</w:t>
      </w:r>
      <w:r>
        <w:t xml:space="preserve"> </w:t>
      </w:r>
      <w:r w:rsidRPr="009827F0">
        <w:t>či</w:t>
      </w:r>
      <w:r>
        <w:t xml:space="preserve"> </w:t>
      </w:r>
      <w:r w:rsidRPr="009827F0">
        <w:t>odebrání</w:t>
      </w:r>
      <w:r>
        <w:t xml:space="preserve"> </w:t>
      </w:r>
      <w:r w:rsidRPr="009827F0">
        <w:t>měřicího</w:t>
      </w:r>
      <w:r>
        <w:t xml:space="preserve"> </w:t>
      </w:r>
      <w:r w:rsidRPr="009827F0">
        <w:t>zařízení</w:t>
      </w:r>
      <w:r>
        <w:t xml:space="preserve"> </w:t>
      </w:r>
      <w:r w:rsidRPr="009827F0">
        <w:t>alespoň</w:t>
      </w:r>
      <w:r>
        <w:t xml:space="preserve"> </w:t>
      </w:r>
      <w:r w:rsidRPr="009827F0">
        <w:t>15</w:t>
      </w:r>
      <w:r>
        <w:t xml:space="preserve"> </w:t>
      </w:r>
      <w:r w:rsidRPr="009827F0">
        <w:t>dnů</w:t>
      </w:r>
      <w:r>
        <w:t xml:space="preserve"> </w:t>
      </w:r>
      <w:r w:rsidRPr="009827F0">
        <w:t>předem</w:t>
      </w:r>
      <w:r>
        <w:t xml:space="preserve"> </w:t>
      </w:r>
      <w:r w:rsidRPr="009827F0">
        <w:t>písemně</w:t>
      </w:r>
      <w:r>
        <w:t xml:space="preserve"> </w:t>
      </w:r>
      <w:r w:rsidRPr="009827F0">
        <w:t>nebo</w:t>
      </w:r>
      <w:r>
        <w:t xml:space="preserve"> </w:t>
      </w:r>
      <w:r w:rsidRPr="009827F0">
        <w:t>jiným</w:t>
      </w:r>
      <w:r>
        <w:t xml:space="preserve"> </w:t>
      </w:r>
      <w:r w:rsidRPr="009827F0">
        <w:t>prokazatelným</w:t>
      </w:r>
      <w:r>
        <w:t xml:space="preserve"> </w:t>
      </w:r>
      <w:r w:rsidRPr="009827F0">
        <w:t>způsobem</w:t>
      </w:r>
      <w:r>
        <w:t xml:space="preserve"> </w:t>
      </w:r>
      <w:r w:rsidRPr="009827F0">
        <w:t>vyzván,</w:t>
      </w:r>
    </w:p>
    <w:p w14:paraId="0B5D4C56" w14:textId="204FF151" w:rsidR="00BF3171" w:rsidRPr="009827F0" w:rsidRDefault="00BF3171" w:rsidP="0010420C">
      <w:pPr>
        <w:pStyle w:val="Textparagrafu"/>
        <w:tabs>
          <w:tab w:val="left" w:pos="392"/>
          <w:tab w:val="left" w:pos="840"/>
        </w:tabs>
        <w:spacing w:before="0"/>
        <w:ind w:left="850" w:hanging="425"/>
      </w:pPr>
      <w:r w:rsidRPr="009827F0">
        <w:t>8.</w:t>
      </w:r>
      <w:r>
        <w:tab/>
      </w:r>
      <w:r w:rsidRPr="009827F0">
        <w:t>v</w:t>
      </w:r>
      <w:r>
        <w:t xml:space="preserve"> </w:t>
      </w:r>
      <w:r w:rsidRPr="009827F0">
        <w:t>důsledku</w:t>
      </w:r>
      <w:r>
        <w:t xml:space="preserve"> </w:t>
      </w:r>
      <w:r w:rsidRPr="009827F0">
        <w:t>omezení</w:t>
      </w:r>
      <w:r>
        <w:t xml:space="preserve"> </w:t>
      </w:r>
      <w:r w:rsidRPr="009827F0">
        <w:t>nebo</w:t>
      </w:r>
      <w:r>
        <w:t xml:space="preserve"> </w:t>
      </w:r>
      <w:r w:rsidRPr="009827F0">
        <w:t>přerušení</w:t>
      </w:r>
      <w:r>
        <w:t xml:space="preserve"> </w:t>
      </w:r>
      <w:r w:rsidRPr="009827F0">
        <w:t>přepravy</w:t>
      </w:r>
      <w:r>
        <w:t xml:space="preserve"> </w:t>
      </w:r>
      <w:r w:rsidRPr="009827F0">
        <w:t>plynu</w:t>
      </w:r>
      <w:r>
        <w:t xml:space="preserve"> </w:t>
      </w:r>
      <w:r w:rsidRPr="009827F0">
        <w:t>provozovatelem</w:t>
      </w:r>
      <w:r>
        <w:t xml:space="preserve"> </w:t>
      </w:r>
      <w:r w:rsidRPr="009827F0">
        <w:t>přepravní</w:t>
      </w:r>
      <w:r>
        <w:t xml:space="preserve"> </w:t>
      </w:r>
      <w:r w:rsidRPr="009827F0">
        <w:t>soustavy,</w:t>
      </w:r>
    </w:p>
    <w:p w14:paraId="15462F46" w14:textId="58A42451" w:rsidR="00BF3171" w:rsidRDefault="00BF3171" w:rsidP="0010420C">
      <w:pPr>
        <w:pStyle w:val="Textparagrafu"/>
        <w:tabs>
          <w:tab w:val="left" w:pos="392"/>
          <w:tab w:val="left" w:pos="840"/>
        </w:tabs>
        <w:spacing w:before="0"/>
        <w:ind w:left="850" w:hanging="425"/>
      </w:pPr>
      <w:r w:rsidRPr="009827F0">
        <w:t>9.</w:t>
      </w:r>
      <w:r>
        <w:tab/>
      </w:r>
      <w:r w:rsidRPr="009827F0">
        <w:t>v</w:t>
      </w:r>
      <w:r>
        <w:t xml:space="preserve"> </w:t>
      </w:r>
      <w:r w:rsidRPr="009827F0">
        <w:t>případě</w:t>
      </w:r>
      <w:r>
        <w:t xml:space="preserve"> </w:t>
      </w:r>
      <w:r w:rsidRPr="009827F0">
        <w:t>dodávky</w:t>
      </w:r>
      <w:r>
        <w:t xml:space="preserve"> </w:t>
      </w:r>
      <w:r w:rsidRPr="009827F0">
        <w:t>plynu</w:t>
      </w:r>
      <w:r>
        <w:t xml:space="preserve"> </w:t>
      </w:r>
      <w:r w:rsidRPr="009827F0">
        <w:t>z</w:t>
      </w:r>
      <w:r>
        <w:t xml:space="preserve"> </w:t>
      </w:r>
      <w:r w:rsidRPr="009827F0">
        <w:t>výroben</w:t>
      </w:r>
      <w:r>
        <w:t xml:space="preserve"> </w:t>
      </w:r>
      <w:r w:rsidRPr="009827F0">
        <w:t>plynu,</w:t>
      </w:r>
      <w:r>
        <w:t xml:space="preserve"> </w:t>
      </w:r>
      <w:r w:rsidRPr="009827F0">
        <w:t>která</w:t>
      </w:r>
      <w:r>
        <w:t xml:space="preserve"> </w:t>
      </w:r>
      <w:r w:rsidRPr="009827F0">
        <w:t>by</w:t>
      </w:r>
      <w:r>
        <w:t xml:space="preserve"> </w:t>
      </w:r>
      <w:r w:rsidRPr="009827F0">
        <w:t>ohrožovala</w:t>
      </w:r>
      <w:r>
        <w:t xml:space="preserve"> </w:t>
      </w:r>
      <w:r w:rsidRPr="009827F0">
        <w:t>bezpečný</w:t>
      </w:r>
      <w:r>
        <w:t xml:space="preserve"> </w:t>
      </w:r>
      <w:r w:rsidRPr="009827F0">
        <w:t>a</w:t>
      </w:r>
      <w:r>
        <w:t xml:space="preserve"> </w:t>
      </w:r>
      <w:r w:rsidRPr="009827F0">
        <w:t>spolehlivý</w:t>
      </w:r>
      <w:r>
        <w:t xml:space="preserve"> </w:t>
      </w:r>
      <w:r w:rsidRPr="009827F0">
        <w:t>provoz</w:t>
      </w:r>
      <w:r>
        <w:t xml:space="preserve"> </w:t>
      </w:r>
      <w:r w:rsidRPr="009827F0">
        <w:t>plynových</w:t>
      </w:r>
      <w:r>
        <w:t xml:space="preserve"> </w:t>
      </w:r>
      <w:r w:rsidRPr="009827F0">
        <w:t>zařízení,</w:t>
      </w:r>
    </w:p>
    <w:p w14:paraId="40905477" w14:textId="0D384F8C" w:rsidR="00BF3171" w:rsidRDefault="00BF3171" w:rsidP="002E6AEA">
      <w:pPr>
        <w:pStyle w:val="Textparagrafu"/>
        <w:tabs>
          <w:tab w:val="left" w:pos="392"/>
          <w:tab w:val="left" w:pos="840"/>
        </w:tabs>
        <w:spacing w:before="0"/>
        <w:ind w:left="426" w:hanging="426"/>
      </w:pPr>
      <w:r w:rsidRPr="009827F0">
        <w:t>k)</w:t>
      </w:r>
      <w:r>
        <w:tab/>
      </w:r>
      <w:r w:rsidRPr="009827F0">
        <w:t>nakupovat</w:t>
      </w:r>
      <w:r>
        <w:t xml:space="preserve"> </w:t>
      </w:r>
      <w:r w:rsidRPr="009827F0">
        <w:t>plyn</w:t>
      </w:r>
      <w:r>
        <w:t xml:space="preserve"> </w:t>
      </w:r>
      <w:r w:rsidRPr="009827F0">
        <w:t>pro</w:t>
      </w:r>
      <w:r>
        <w:t xml:space="preserve"> </w:t>
      </w:r>
      <w:r w:rsidRPr="009827F0">
        <w:t>krytí</w:t>
      </w:r>
      <w:r>
        <w:t xml:space="preserve"> </w:t>
      </w:r>
      <w:r w:rsidRPr="009827F0">
        <w:t>ztrát</w:t>
      </w:r>
      <w:r>
        <w:t xml:space="preserve"> </w:t>
      </w:r>
      <w:r w:rsidRPr="009827F0">
        <w:t>v</w:t>
      </w:r>
      <w:r>
        <w:t xml:space="preserve"> </w:t>
      </w:r>
      <w:r w:rsidRPr="009827F0">
        <w:t>distribuční</w:t>
      </w:r>
      <w:r>
        <w:t xml:space="preserve"> </w:t>
      </w:r>
      <w:r w:rsidRPr="009827F0">
        <w:t>soustavě</w:t>
      </w:r>
      <w:r>
        <w:t xml:space="preserve"> </w:t>
      </w:r>
      <w:r w:rsidRPr="009827F0">
        <w:t>nebo</w:t>
      </w:r>
      <w:r>
        <w:t xml:space="preserve"> </w:t>
      </w:r>
      <w:r w:rsidRPr="009827F0">
        <w:t>pro</w:t>
      </w:r>
      <w:r>
        <w:t xml:space="preserve"> </w:t>
      </w:r>
      <w:r w:rsidRPr="009827F0">
        <w:t>vlastní</w:t>
      </w:r>
      <w:r>
        <w:t xml:space="preserve"> </w:t>
      </w:r>
      <w:r w:rsidRPr="009827F0">
        <w:t>spotřebu;</w:t>
      </w:r>
      <w:r>
        <w:t xml:space="preserve"> </w:t>
      </w:r>
      <w:r w:rsidRPr="009827F0">
        <w:t>toto</w:t>
      </w:r>
      <w:r>
        <w:t xml:space="preserve"> </w:t>
      </w:r>
      <w:r w:rsidRPr="009827F0">
        <w:t>není</w:t>
      </w:r>
      <w:r>
        <w:t xml:space="preserve"> </w:t>
      </w:r>
      <w:r w:rsidRPr="009827F0">
        <w:t>považováno</w:t>
      </w:r>
      <w:r>
        <w:t xml:space="preserve"> </w:t>
      </w:r>
      <w:r w:rsidRPr="009827F0">
        <w:t>za</w:t>
      </w:r>
      <w:r>
        <w:t xml:space="preserve"> </w:t>
      </w:r>
      <w:r w:rsidRPr="009827F0">
        <w:t>obchod</w:t>
      </w:r>
      <w:r>
        <w:t xml:space="preserve"> </w:t>
      </w:r>
      <w:r w:rsidRPr="009827F0">
        <w:t>s</w:t>
      </w:r>
      <w:r>
        <w:t xml:space="preserve"> </w:t>
      </w:r>
      <w:r w:rsidRPr="009827F0">
        <w:t>plynem,</w:t>
      </w:r>
    </w:p>
    <w:p w14:paraId="7C05305E" w14:textId="0A966771" w:rsidR="00BF3171" w:rsidRDefault="00BF3171" w:rsidP="002E6AEA">
      <w:pPr>
        <w:pStyle w:val="Textparagrafu"/>
        <w:tabs>
          <w:tab w:val="left" w:pos="392"/>
          <w:tab w:val="left" w:pos="840"/>
        </w:tabs>
        <w:spacing w:before="0"/>
        <w:ind w:left="426" w:hanging="426"/>
      </w:pPr>
      <w:r w:rsidRPr="009827F0">
        <w:t>l)</w:t>
      </w:r>
      <w:r>
        <w:tab/>
      </w:r>
      <w:r w:rsidRPr="009827F0">
        <w:t>uzavřít</w:t>
      </w:r>
      <w:r>
        <w:t xml:space="preserve"> </w:t>
      </w:r>
      <w:r w:rsidRPr="009827F0">
        <w:t>hlavní</w:t>
      </w:r>
      <w:r>
        <w:t xml:space="preserve"> </w:t>
      </w:r>
      <w:r w:rsidRPr="009827F0">
        <w:t>uzávěr</w:t>
      </w:r>
      <w:r>
        <w:t xml:space="preserve"> </w:t>
      </w:r>
      <w:r w:rsidRPr="009827F0">
        <w:t>plynu</w:t>
      </w:r>
      <w:r>
        <w:t xml:space="preserve"> </w:t>
      </w:r>
      <w:r w:rsidRPr="009827F0">
        <w:t>při</w:t>
      </w:r>
      <w:r>
        <w:t xml:space="preserve"> </w:t>
      </w:r>
      <w:r w:rsidRPr="009827F0">
        <w:t>odvracení</w:t>
      </w:r>
      <w:r>
        <w:t xml:space="preserve"> </w:t>
      </w:r>
      <w:r w:rsidRPr="009827F0">
        <w:t>nebezpečí</w:t>
      </w:r>
      <w:r>
        <w:t xml:space="preserve"> </w:t>
      </w:r>
      <w:r w:rsidRPr="009827F0">
        <w:t>bezprostředního</w:t>
      </w:r>
      <w:r>
        <w:t xml:space="preserve"> </w:t>
      </w:r>
      <w:r w:rsidRPr="009827F0">
        <w:t>ohrožení</w:t>
      </w:r>
      <w:r>
        <w:t xml:space="preserve"> </w:t>
      </w:r>
      <w:r w:rsidRPr="009827F0">
        <w:t>života,</w:t>
      </w:r>
    </w:p>
    <w:p w14:paraId="6E1D8FDD" w14:textId="4E75B58C" w:rsidR="00BF3171" w:rsidRDefault="00BF3171" w:rsidP="002E6AEA">
      <w:pPr>
        <w:pStyle w:val="Textparagrafu"/>
        <w:tabs>
          <w:tab w:val="left" w:pos="392"/>
          <w:tab w:val="left" w:pos="840"/>
        </w:tabs>
        <w:spacing w:before="0"/>
        <w:ind w:left="426" w:hanging="426"/>
      </w:pPr>
      <w:r w:rsidRPr="009827F0">
        <w:t>m)</w:t>
      </w:r>
      <w:r>
        <w:tab/>
      </w:r>
      <w:r w:rsidRPr="009827F0">
        <w:t>zřizovat</w:t>
      </w:r>
      <w:r>
        <w:t xml:space="preserve"> </w:t>
      </w:r>
      <w:r w:rsidRPr="009827F0">
        <w:t>a</w:t>
      </w:r>
      <w:r>
        <w:t xml:space="preserve"> </w:t>
      </w:r>
      <w:r w:rsidRPr="009827F0">
        <w:t>provozovat</w:t>
      </w:r>
      <w:r>
        <w:t xml:space="preserve"> </w:t>
      </w:r>
      <w:r w:rsidRPr="009827F0">
        <w:t>zařízení</w:t>
      </w:r>
      <w:r>
        <w:t xml:space="preserve"> </w:t>
      </w:r>
      <w:r w:rsidRPr="009827F0">
        <w:t>na</w:t>
      </w:r>
      <w:r>
        <w:t xml:space="preserve"> </w:t>
      </w:r>
      <w:r w:rsidRPr="009827F0">
        <w:t>úpravu</w:t>
      </w:r>
      <w:r>
        <w:t xml:space="preserve"> </w:t>
      </w:r>
      <w:r w:rsidRPr="009827F0">
        <w:t>složení</w:t>
      </w:r>
      <w:r>
        <w:t xml:space="preserve"> </w:t>
      </w:r>
      <w:r w:rsidRPr="009827F0">
        <w:t>plynů.</w:t>
      </w:r>
    </w:p>
    <w:p w14:paraId="7F250C17" w14:textId="71E99584" w:rsidR="00BF3171" w:rsidRDefault="00BF3171" w:rsidP="0010420C">
      <w:pPr>
        <w:pStyle w:val="Textparagrafu"/>
        <w:tabs>
          <w:tab w:val="left" w:pos="392"/>
          <w:tab w:val="left" w:pos="840"/>
        </w:tabs>
        <w:spacing w:before="120" w:after="120"/>
      </w:pPr>
      <w:r w:rsidRPr="009827F0">
        <w:t>(2)</w:t>
      </w:r>
      <w:r>
        <w:t xml:space="preserve"> </w:t>
      </w:r>
      <w:r w:rsidRPr="009827F0">
        <w:t>Provozovatel</w:t>
      </w:r>
      <w:r>
        <w:t xml:space="preserve"> </w:t>
      </w:r>
      <w:r w:rsidRPr="009827F0">
        <w:t>distribuční</w:t>
      </w:r>
      <w:r>
        <w:t xml:space="preserve"> </w:t>
      </w:r>
      <w:r w:rsidRPr="009827F0">
        <w:t>soustavy</w:t>
      </w:r>
      <w:r>
        <w:t xml:space="preserve"> </w:t>
      </w:r>
      <w:r w:rsidRPr="009827F0">
        <w:t>je</w:t>
      </w:r>
      <w:r>
        <w:t xml:space="preserve"> </w:t>
      </w:r>
      <w:r w:rsidRPr="009827F0">
        <w:t>povinen</w:t>
      </w:r>
      <w:r>
        <w:t xml:space="preserve"> </w:t>
      </w:r>
      <w:r w:rsidRPr="009827F0">
        <w:t>zřídit</w:t>
      </w:r>
      <w:r>
        <w:t xml:space="preserve"> </w:t>
      </w:r>
      <w:r w:rsidRPr="009827F0">
        <w:t>věcné</w:t>
      </w:r>
      <w:r>
        <w:t xml:space="preserve"> </w:t>
      </w:r>
      <w:r w:rsidRPr="009827F0">
        <w:t>břemeno</w:t>
      </w:r>
      <w:r>
        <w:t xml:space="preserve"> </w:t>
      </w:r>
      <w:r w:rsidRPr="009827F0">
        <w:t>umožňující</w:t>
      </w:r>
      <w:r>
        <w:t xml:space="preserve"> </w:t>
      </w:r>
      <w:r w:rsidRPr="009827F0">
        <w:t>využití</w:t>
      </w:r>
      <w:r>
        <w:t xml:space="preserve"> </w:t>
      </w:r>
      <w:r w:rsidRPr="009827F0">
        <w:t>cizí</w:t>
      </w:r>
      <w:r>
        <w:t xml:space="preserve"> </w:t>
      </w:r>
      <w:r w:rsidRPr="009827F0">
        <w:t>nemovitosti</w:t>
      </w:r>
      <w:r>
        <w:t xml:space="preserve"> </w:t>
      </w:r>
      <w:r w:rsidRPr="009827F0">
        <w:t>nebo</w:t>
      </w:r>
      <w:r>
        <w:t xml:space="preserve"> </w:t>
      </w:r>
      <w:r w:rsidRPr="009827F0">
        <w:t>její</w:t>
      </w:r>
      <w:r>
        <w:t xml:space="preserve"> </w:t>
      </w:r>
      <w:r w:rsidRPr="009827F0">
        <w:t>části</w:t>
      </w:r>
      <w:r>
        <w:t xml:space="preserve"> </w:t>
      </w:r>
      <w:r w:rsidRPr="009827F0">
        <w:t>pro</w:t>
      </w:r>
      <w:r>
        <w:t xml:space="preserve"> </w:t>
      </w:r>
      <w:r w:rsidRPr="009827F0">
        <w:t>účely</w:t>
      </w:r>
      <w:r>
        <w:t xml:space="preserve"> </w:t>
      </w:r>
      <w:r w:rsidRPr="009827F0">
        <w:t>uvedené</w:t>
      </w:r>
      <w:r>
        <w:t xml:space="preserve"> </w:t>
      </w:r>
      <w:r w:rsidRPr="009827F0">
        <w:t>v</w:t>
      </w:r>
      <w:r>
        <w:t xml:space="preserve"> </w:t>
      </w:r>
      <w:r w:rsidRPr="009827F0">
        <w:t>odstavci</w:t>
      </w:r>
      <w:r>
        <w:t xml:space="preserve"> </w:t>
      </w:r>
      <w:r w:rsidRPr="009827F0">
        <w:t>1</w:t>
      </w:r>
      <w:r>
        <w:t xml:space="preserve"> </w:t>
      </w:r>
      <w:r w:rsidRPr="009827F0">
        <w:t>písm.</w:t>
      </w:r>
      <w:r>
        <w:t xml:space="preserve"> </w:t>
      </w:r>
      <w:r w:rsidRPr="009827F0">
        <w:t>e),</w:t>
      </w:r>
      <w:r>
        <w:t xml:space="preserve"> </w:t>
      </w:r>
      <w:r w:rsidRPr="009827F0">
        <w:t>a</w:t>
      </w:r>
      <w:r>
        <w:t xml:space="preserve"> </w:t>
      </w:r>
      <w:r w:rsidRPr="009827F0">
        <w:t>to</w:t>
      </w:r>
      <w:r>
        <w:t xml:space="preserve"> </w:t>
      </w:r>
      <w:r w:rsidRPr="009827F0">
        <w:t>smluvně</w:t>
      </w:r>
      <w:r>
        <w:t xml:space="preserve"> </w:t>
      </w:r>
      <w:r w:rsidRPr="009827F0">
        <w:t>s</w:t>
      </w:r>
      <w:r>
        <w:t xml:space="preserve"> </w:t>
      </w:r>
      <w:r w:rsidRPr="009827F0">
        <w:t>vlastníkem</w:t>
      </w:r>
      <w:r>
        <w:t xml:space="preserve"> </w:t>
      </w:r>
      <w:r w:rsidRPr="009827F0">
        <w:t>nemovitosti</w:t>
      </w:r>
      <w:r>
        <w:t xml:space="preserve"> </w:t>
      </w:r>
      <w:r w:rsidRPr="009827F0">
        <w:t>za</w:t>
      </w:r>
      <w:r>
        <w:t xml:space="preserve"> </w:t>
      </w:r>
      <w:r w:rsidRPr="009827F0">
        <w:t>jednorázovou</w:t>
      </w:r>
      <w:r>
        <w:t xml:space="preserve"> </w:t>
      </w:r>
      <w:r w:rsidRPr="009827F0">
        <w:t>náhradu</w:t>
      </w:r>
      <w:r>
        <w:t xml:space="preserve"> </w:t>
      </w:r>
      <w:r w:rsidRPr="009827F0">
        <w:t>ve</w:t>
      </w:r>
      <w:r>
        <w:t xml:space="preserve"> </w:t>
      </w:r>
      <w:r w:rsidRPr="009827F0">
        <w:t>výši</w:t>
      </w:r>
      <w:r>
        <w:t xml:space="preserve"> </w:t>
      </w:r>
      <w:r w:rsidRPr="00BF3686">
        <w:rPr>
          <w:strike/>
        </w:rPr>
        <w:t xml:space="preserve">ceny zjištěné podle oceňovacího předpisu </w:t>
      </w:r>
      <w:r w:rsidRPr="00BF3686">
        <w:rPr>
          <w:strike/>
          <w:vertAlign w:val="superscript"/>
        </w:rPr>
        <w:t>47)</w:t>
      </w:r>
      <w:r w:rsidR="00BF3686" w:rsidRPr="00BF3686">
        <w:rPr>
          <w:b/>
          <w:bCs/>
        </w:rPr>
        <w:t xml:space="preserve"> </w:t>
      </w:r>
      <w:r w:rsidR="00BF3686" w:rsidRPr="00533343">
        <w:rPr>
          <w:b/>
          <w:bCs/>
        </w:rPr>
        <w:t>zjištěné hodnoty podle zákona o oceňování</w:t>
      </w:r>
      <w:r w:rsidRPr="009827F0">
        <w:t>,</w:t>
      </w:r>
      <w:r>
        <w:t xml:space="preserve"> </w:t>
      </w:r>
      <w:r w:rsidRPr="009827F0">
        <w:t>pokud</w:t>
      </w:r>
      <w:r>
        <w:t xml:space="preserve"> </w:t>
      </w:r>
      <w:r w:rsidRPr="009827F0">
        <w:t>se</w:t>
      </w:r>
      <w:r>
        <w:t xml:space="preserve"> </w:t>
      </w:r>
      <w:r w:rsidRPr="009827F0">
        <w:t>strany</w:t>
      </w:r>
      <w:r>
        <w:t xml:space="preserve"> </w:t>
      </w:r>
      <w:r w:rsidRPr="009827F0">
        <w:t>nedohodnou</w:t>
      </w:r>
      <w:r>
        <w:t xml:space="preserve"> </w:t>
      </w:r>
      <w:r w:rsidRPr="009827F0">
        <w:t>jinak;</w:t>
      </w:r>
      <w:r>
        <w:t xml:space="preserve"> </w:t>
      </w:r>
      <w:r w:rsidRPr="009827F0">
        <w:t>toto</w:t>
      </w:r>
      <w:r>
        <w:t xml:space="preserve"> </w:t>
      </w:r>
      <w:r w:rsidRPr="009827F0">
        <w:t>neplatí,</w:t>
      </w:r>
      <w:r>
        <w:t xml:space="preserve"> </w:t>
      </w:r>
      <w:r w:rsidRPr="009827F0">
        <w:t>pokud</w:t>
      </w:r>
      <w:r>
        <w:t xml:space="preserve"> </w:t>
      </w:r>
      <w:r w:rsidRPr="009827F0">
        <w:t>vlastníkem</w:t>
      </w:r>
      <w:r>
        <w:t xml:space="preserve"> </w:t>
      </w:r>
      <w:r w:rsidRPr="009827F0">
        <w:t>dotčeného</w:t>
      </w:r>
      <w:r>
        <w:t xml:space="preserve"> </w:t>
      </w:r>
      <w:r w:rsidRPr="009827F0">
        <w:t>plynárenského</w:t>
      </w:r>
      <w:r>
        <w:t xml:space="preserve"> </w:t>
      </w:r>
      <w:r w:rsidRPr="009827F0">
        <w:t>zařízení</w:t>
      </w:r>
      <w:r>
        <w:t xml:space="preserve"> </w:t>
      </w:r>
      <w:r w:rsidRPr="009827F0">
        <w:t>není</w:t>
      </w:r>
      <w:r>
        <w:t xml:space="preserve"> </w:t>
      </w:r>
      <w:r w:rsidRPr="009827F0">
        <w:t>provozovatel</w:t>
      </w:r>
      <w:r>
        <w:t xml:space="preserve"> </w:t>
      </w:r>
      <w:r w:rsidRPr="009827F0">
        <w:t>distribuční</w:t>
      </w:r>
      <w:r>
        <w:t xml:space="preserve"> </w:t>
      </w:r>
      <w:r w:rsidRPr="009827F0">
        <w:t>soustavy;</w:t>
      </w:r>
      <w:r>
        <w:t xml:space="preserve"> </w:t>
      </w:r>
      <w:r w:rsidRPr="009827F0">
        <w:t>v</w:t>
      </w:r>
      <w:r>
        <w:t xml:space="preserve"> </w:t>
      </w:r>
      <w:r w:rsidRPr="009827F0">
        <w:t>takovém</w:t>
      </w:r>
      <w:r>
        <w:t xml:space="preserve"> </w:t>
      </w:r>
      <w:r w:rsidRPr="009827F0">
        <w:t>případě</w:t>
      </w:r>
      <w:r>
        <w:t xml:space="preserve"> </w:t>
      </w:r>
      <w:r w:rsidRPr="009827F0">
        <w:t>plní</w:t>
      </w:r>
      <w:r>
        <w:t xml:space="preserve"> </w:t>
      </w:r>
      <w:r w:rsidRPr="009827F0">
        <w:t>tuto</w:t>
      </w:r>
      <w:r>
        <w:t xml:space="preserve"> </w:t>
      </w:r>
      <w:r w:rsidRPr="009827F0">
        <w:t>povinnost</w:t>
      </w:r>
      <w:r>
        <w:t xml:space="preserve"> </w:t>
      </w:r>
      <w:r w:rsidRPr="009827F0">
        <w:t>vlastník</w:t>
      </w:r>
      <w:r>
        <w:t xml:space="preserve"> </w:t>
      </w:r>
      <w:r w:rsidRPr="009827F0">
        <w:t>plynárenského</w:t>
      </w:r>
      <w:r>
        <w:t xml:space="preserve"> </w:t>
      </w:r>
      <w:r w:rsidRPr="009827F0">
        <w:t>zařízení.</w:t>
      </w:r>
      <w:r>
        <w:t xml:space="preserve"> </w:t>
      </w:r>
      <w:r w:rsidRPr="009827F0">
        <w:t>V</w:t>
      </w:r>
      <w:r>
        <w:t xml:space="preserve"> </w:t>
      </w:r>
      <w:r w:rsidRPr="009827F0">
        <w:t>případě,</w:t>
      </w:r>
      <w:r>
        <w:t xml:space="preserve"> </w:t>
      </w:r>
      <w:r w:rsidRPr="009827F0">
        <w:t>že</w:t>
      </w:r>
      <w:r>
        <w:t xml:space="preserve"> </w:t>
      </w:r>
      <w:r w:rsidRPr="009827F0">
        <w:t>vlastník</w:t>
      </w:r>
      <w:r>
        <w:t xml:space="preserve"> </w:t>
      </w:r>
      <w:r w:rsidRPr="009827F0">
        <w:t>není</w:t>
      </w:r>
      <w:r>
        <w:t xml:space="preserve"> </w:t>
      </w:r>
      <w:r w:rsidRPr="009827F0">
        <w:t>znám</w:t>
      </w:r>
      <w:r>
        <w:t xml:space="preserve"> </w:t>
      </w:r>
      <w:r w:rsidRPr="009827F0">
        <w:t>nebo</w:t>
      </w:r>
      <w:r>
        <w:t xml:space="preserve"> </w:t>
      </w:r>
      <w:r w:rsidRPr="009827F0">
        <w:t>není</w:t>
      </w:r>
      <w:r>
        <w:t xml:space="preserve"> </w:t>
      </w:r>
      <w:r w:rsidRPr="009827F0">
        <w:t>určen</w:t>
      </w:r>
      <w:r>
        <w:t xml:space="preserve"> </w:t>
      </w:r>
      <w:r w:rsidRPr="009827F0">
        <w:t>nebo</w:t>
      </w:r>
      <w:r>
        <w:t xml:space="preserve"> </w:t>
      </w:r>
      <w:r w:rsidRPr="009827F0">
        <w:t>proto,</w:t>
      </w:r>
      <w:r>
        <w:t xml:space="preserve"> </w:t>
      </w:r>
      <w:r w:rsidRPr="009827F0">
        <w:t>že</w:t>
      </w:r>
      <w:r>
        <w:t xml:space="preserve"> </w:t>
      </w:r>
      <w:r w:rsidRPr="009827F0">
        <w:t>je</w:t>
      </w:r>
      <w:r>
        <w:t xml:space="preserve"> </w:t>
      </w:r>
      <w:r w:rsidRPr="009827F0">
        <w:t>prokazatelně</w:t>
      </w:r>
      <w:r>
        <w:t xml:space="preserve"> </w:t>
      </w:r>
      <w:r w:rsidRPr="009827F0">
        <w:t>nedosažitelný</w:t>
      </w:r>
      <w:r>
        <w:t xml:space="preserve"> </w:t>
      </w:r>
      <w:r w:rsidRPr="009827F0">
        <w:t>nebo</w:t>
      </w:r>
      <w:r>
        <w:t xml:space="preserve"> </w:t>
      </w:r>
      <w:r w:rsidRPr="009827F0">
        <w:t>nečinný</w:t>
      </w:r>
      <w:r>
        <w:t xml:space="preserve"> </w:t>
      </w:r>
      <w:r w:rsidRPr="009827F0">
        <w:t>nebo</w:t>
      </w:r>
      <w:r>
        <w:t xml:space="preserve"> </w:t>
      </w:r>
      <w:r w:rsidRPr="009827F0">
        <w:t>nedošlo</w:t>
      </w:r>
      <w:r>
        <w:t xml:space="preserve"> </w:t>
      </w:r>
      <w:r w:rsidRPr="009827F0">
        <w:t>k</w:t>
      </w:r>
      <w:r>
        <w:t xml:space="preserve"> </w:t>
      </w:r>
      <w:r w:rsidRPr="009827F0">
        <w:t>dohodě</w:t>
      </w:r>
      <w:r>
        <w:t xml:space="preserve"> </w:t>
      </w:r>
      <w:r w:rsidRPr="009827F0">
        <w:t>s</w:t>
      </w:r>
      <w:r>
        <w:t xml:space="preserve"> </w:t>
      </w:r>
      <w:r w:rsidRPr="009827F0">
        <w:t>ním</w:t>
      </w:r>
      <w:r>
        <w:t xml:space="preserve"> </w:t>
      </w:r>
      <w:r w:rsidRPr="009827F0">
        <w:t>a</w:t>
      </w:r>
      <w:r>
        <w:t xml:space="preserve"> </w:t>
      </w:r>
      <w:r w:rsidRPr="009827F0">
        <w:t>jsou-li</w:t>
      </w:r>
      <w:r>
        <w:t xml:space="preserve"> </w:t>
      </w:r>
      <w:r w:rsidRPr="009827F0">
        <w:t>dány</w:t>
      </w:r>
      <w:r>
        <w:t xml:space="preserve"> </w:t>
      </w:r>
      <w:r w:rsidRPr="009827F0">
        <w:t>podmínky</w:t>
      </w:r>
      <w:r>
        <w:t xml:space="preserve"> </w:t>
      </w:r>
      <w:r w:rsidRPr="009827F0">
        <w:t>pro</w:t>
      </w:r>
      <w:r>
        <w:t xml:space="preserve"> </w:t>
      </w:r>
      <w:r w:rsidRPr="009827F0">
        <w:t>omezení</w:t>
      </w:r>
      <w:r>
        <w:t xml:space="preserve"> </w:t>
      </w:r>
      <w:r w:rsidRPr="009827F0">
        <w:t>vlastnického</w:t>
      </w:r>
      <w:r>
        <w:t xml:space="preserve"> </w:t>
      </w:r>
      <w:r w:rsidRPr="009827F0">
        <w:t>práva</w:t>
      </w:r>
      <w:r>
        <w:t xml:space="preserve"> </w:t>
      </w:r>
      <w:r w:rsidRPr="009827F0">
        <w:t>k</w:t>
      </w:r>
      <w:r>
        <w:t xml:space="preserve"> </w:t>
      </w:r>
      <w:r w:rsidRPr="009827F0">
        <w:t>pozemku</w:t>
      </w:r>
      <w:r>
        <w:t xml:space="preserve"> </w:t>
      </w:r>
      <w:r w:rsidRPr="009827F0">
        <w:t>nebo</w:t>
      </w:r>
      <w:r>
        <w:t xml:space="preserve"> </w:t>
      </w:r>
      <w:r w:rsidRPr="009827F0">
        <w:t>ke</w:t>
      </w:r>
      <w:r>
        <w:t xml:space="preserve"> </w:t>
      </w:r>
      <w:r w:rsidRPr="009827F0">
        <w:t>stavbě</w:t>
      </w:r>
      <w:r>
        <w:t xml:space="preserve"> </w:t>
      </w:r>
      <w:r w:rsidRPr="009827F0">
        <w:t>podle</w:t>
      </w:r>
      <w:r>
        <w:t xml:space="preserve"> </w:t>
      </w:r>
      <w:r w:rsidRPr="009827F0">
        <w:t>zvláštního</w:t>
      </w:r>
      <w:r>
        <w:t xml:space="preserve"> </w:t>
      </w:r>
      <w:r w:rsidRPr="009827F0">
        <w:t>právního</w:t>
      </w:r>
      <w:r>
        <w:t xml:space="preserve"> </w:t>
      </w:r>
      <w:r w:rsidRPr="009827F0">
        <w:t>předpisu4e),</w:t>
      </w:r>
      <w:r>
        <w:t xml:space="preserve"> </w:t>
      </w:r>
      <w:r w:rsidRPr="009827F0">
        <w:t>příslušný</w:t>
      </w:r>
      <w:r>
        <w:t xml:space="preserve"> </w:t>
      </w:r>
      <w:r w:rsidRPr="009827F0">
        <w:t>vyvlastňovací</w:t>
      </w:r>
      <w:r>
        <w:t xml:space="preserve"> </w:t>
      </w:r>
      <w:r w:rsidRPr="009827F0">
        <w:t>úřad</w:t>
      </w:r>
      <w:r>
        <w:t xml:space="preserve"> </w:t>
      </w:r>
      <w:r w:rsidRPr="009827F0">
        <w:t>rozhodne</w:t>
      </w:r>
      <w:r>
        <w:t xml:space="preserve"> </w:t>
      </w:r>
      <w:r w:rsidRPr="009827F0">
        <w:t>na</w:t>
      </w:r>
      <w:r>
        <w:t xml:space="preserve"> </w:t>
      </w:r>
      <w:r w:rsidRPr="009827F0">
        <w:t>návrh</w:t>
      </w:r>
      <w:r>
        <w:t xml:space="preserve"> </w:t>
      </w:r>
      <w:r w:rsidRPr="009827F0">
        <w:t>provozovatele</w:t>
      </w:r>
      <w:r>
        <w:t xml:space="preserve"> </w:t>
      </w:r>
      <w:r w:rsidRPr="009827F0">
        <w:t>distribuční</w:t>
      </w:r>
      <w:r>
        <w:t xml:space="preserve"> </w:t>
      </w:r>
      <w:r w:rsidRPr="009827F0">
        <w:t>soustavy</w:t>
      </w:r>
      <w:r>
        <w:t xml:space="preserve"> </w:t>
      </w:r>
      <w:r w:rsidRPr="009827F0">
        <w:t>o</w:t>
      </w:r>
      <w:r>
        <w:t xml:space="preserve"> </w:t>
      </w:r>
      <w:r w:rsidRPr="009827F0">
        <w:t>zřízení</w:t>
      </w:r>
      <w:r>
        <w:t xml:space="preserve"> </w:t>
      </w:r>
      <w:r w:rsidRPr="009827F0">
        <w:t>věcného</w:t>
      </w:r>
      <w:r>
        <w:t xml:space="preserve"> </w:t>
      </w:r>
      <w:r w:rsidRPr="009827F0">
        <w:t>břemene</w:t>
      </w:r>
      <w:r>
        <w:t xml:space="preserve"> </w:t>
      </w:r>
      <w:r w:rsidRPr="009827F0">
        <w:t>umožňujícího</w:t>
      </w:r>
      <w:r>
        <w:t xml:space="preserve"> </w:t>
      </w:r>
      <w:r w:rsidRPr="009827F0">
        <w:t>využití</w:t>
      </w:r>
      <w:r>
        <w:t xml:space="preserve"> </w:t>
      </w:r>
      <w:r w:rsidRPr="009827F0">
        <w:t>této</w:t>
      </w:r>
      <w:r>
        <w:t xml:space="preserve"> </w:t>
      </w:r>
      <w:r w:rsidRPr="009827F0">
        <w:t>nemovitosti</w:t>
      </w:r>
      <w:r>
        <w:t xml:space="preserve"> </w:t>
      </w:r>
      <w:r w:rsidRPr="009827F0">
        <w:t>nebo</w:t>
      </w:r>
      <w:r>
        <w:t xml:space="preserve"> </w:t>
      </w:r>
      <w:r w:rsidRPr="009827F0">
        <w:t>její</w:t>
      </w:r>
      <w:r>
        <w:t xml:space="preserve"> </w:t>
      </w:r>
      <w:r w:rsidRPr="009827F0">
        <w:t>části.</w:t>
      </w:r>
      <w:r>
        <w:t xml:space="preserve"> </w:t>
      </w:r>
      <w:r w:rsidRPr="009827F0">
        <w:t>To</w:t>
      </w:r>
      <w:r>
        <w:t xml:space="preserve"> </w:t>
      </w:r>
      <w:r w:rsidRPr="009827F0">
        <w:t>platí</w:t>
      </w:r>
      <w:r>
        <w:t xml:space="preserve"> </w:t>
      </w:r>
      <w:r w:rsidRPr="009827F0">
        <w:t>i</w:t>
      </w:r>
      <w:r>
        <w:t xml:space="preserve"> </w:t>
      </w:r>
      <w:r w:rsidRPr="009827F0">
        <w:t>v</w:t>
      </w:r>
      <w:r>
        <w:t xml:space="preserve"> </w:t>
      </w:r>
      <w:r w:rsidRPr="009827F0">
        <w:t>případě,</w:t>
      </w:r>
      <w:r>
        <w:t xml:space="preserve"> </w:t>
      </w:r>
      <w:r w:rsidRPr="009827F0">
        <w:t>kdy</w:t>
      </w:r>
      <w:r>
        <w:t xml:space="preserve"> </w:t>
      </w:r>
      <w:r w:rsidRPr="009827F0">
        <w:t>je</w:t>
      </w:r>
      <w:r>
        <w:t xml:space="preserve"> </w:t>
      </w:r>
      <w:r w:rsidRPr="009827F0">
        <w:t>stavba,</w:t>
      </w:r>
      <w:r>
        <w:t xml:space="preserve"> </w:t>
      </w:r>
      <w:r w:rsidRPr="009827F0">
        <w:t>pro</w:t>
      </w:r>
      <w:r>
        <w:t xml:space="preserve"> </w:t>
      </w:r>
      <w:r w:rsidRPr="009827F0">
        <w:t>kterou</w:t>
      </w:r>
      <w:r>
        <w:t xml:space="preserve"> </w:t>
      </w:r>
      <w:r w:rsidRPr="009827F0">
        <w:t>se</w:t>
      </w:r>
      <w:r>
        <w:t xml:space="preserve"> </w:t>
      </w:r>
      <w:r w:rsidRPr="009827F0">
        <w:t>právo</w:t>
      </w:r>
      <w:r>
        <w:t xml:space="preserve"> </w:t>
      </w:r>
      <w:r w:rsidRPr="009827F0">
        <w:t>vyvlastňuje,</w:t>
      </w:r>
      <w:r>
        <w:t xml:space="preserve"> </w:t>
      </w:r>
      <w:r w:rsidRPr="009827F0">
        <w:t>zřizována</w:t>
      </w:r>
      <w:r>
        <w:t xml:space="preserve"> </w:t>
      </w:r>
      <w:r w:rsidRPr="009827F0">
        <w:t>nebo</w:t>
      </w:r>
      <w:r>
        <w:t xml:space="preserve"> </w:t>
      </w:r>
      <w:r w:rsidRPr="009827F0">
        <w:t>již</w:t>
      </w:r>
      <w:r>
        <w:t xml:space="preserve"> </w:t>
      </w:r>
      <w:r w:rsidRPr="009827F0">
        <w:t>byla</w:t>
      </w:r>
      <w:r>
        <w:t xml:space="preserve"> </w:t>
      </w:r>
      <w:r w:rsidRPr="009827F0">
        <w:t>zřízena</w:t>
      </w:r>
      <w:r>
        <w:t xml:space="preserve"> </w:t>
      </w:r>
      <w:r w:rsidRPr="009827F0">
        <w:t>a</w:t>
      </w:r>
      <w:r>
        <w:t xml:space="preserve"> </w:t>
      </w:r>
      <w:r w:rsidRPr="009827F0">
        <w:t>zřízení</w:t>
      </w:r>
      <w:r>
        <w:t xml:space="preserve"> </w:t>
      </w:r>
      <w:r w:rsidRPr="009827F0">
        <w:t>věcného</w:t>
      </w:r>
      <w:r>
        <w:t xml:space="preserve"> </w:t>
      </w:r>
      <w:r w:rsidRPr="009827F0">
        <w:t>břemene</w:t>
      </w:r>
      <w:r>
        <w:t xml:space="preserve"> </w:t>
      </w:r>
      <w:r w:rsidRPr="009827F0">
        <w:t>nezmařil</w:t>
      </w:r>
      <w:r>
        <w:t xml:space="preserve"> </w:t>
      </w:r>
      <w:r w:rsidRPr="009827F0">
        <w:t>provozovatel</w:t>
      </w:r>
      <w:r>
        <w:t xml:space="preserve"> </w:t>
      </w:r>
      <w:r w:rsidRPr="009827F0">
        <w:t>distribuční</w:t>
      </w:r>
      <w:r>
        <w:t xml:space="preserve"> </w:t>
      </w:r>
      <w:r w:rsidRPr="009827F0">
        <w:t>soustavy</w:t>
      </w:r>
      <w:r>
        <w:t xml:space="preserve"> </w:t>
      </w:r>
      <w:r w:rsidRPr="009827F0">
        <w:t>nebo</w:t>
      </w:r>
      <w:r>
        <w:t xml:space="preserve"> </w:t>
      </w:r>
      <w:r w:rsidRPr="009827F0">
        <w:t>vlastník</w:t>
      </w:r>
      <w:r>
        <w:t xml:space="preserve"> </w:t>
      </w:r>
      <w:r w:rsidRPr="009827F0">
        <w:t>plynárenského</w:t>
      </w:r>
      <w:r>
        <w:t xml:space="preserve"> </w:t>
      </w:r>
      <w:r w:rsidRPr="009827F0">
        <w:t>zařízení.</w:t>
      </w:r>
    </w:p>
    <w:p w14:paraId="4B4DC378" w14:textId="77777777" w:rsidR="00BF3171" w:rsidRDefault="00BF3171" w:rsidP="0010420C">
      <w:pPr>
        <w:pStyle w:val="Textparagrafu"/>
        <w:tabs>
          <w:tab w:val="left" w:pos="392"/>
          <w:tab w:val="left" w:pos="840"/>
        </w:tabs>
        <w:spacing w:before="120" w:after="120"/>
      </w:pPr>
      <w:r w:rsidRPr="009827F0">
        <w:t>(3)</w:t>
      </w:r>
      <w:r>
        <w:t xml:space="preserve"> </w:t>
      </w:r>
      <w:r w:rsidRPr="009827F0">
        <w:t>Pokud</w:t>
      </w:r>
      <w:r>
        <w:t xml:space="preserve"> </w:t>
      </w:r>
      <w:r w:rsidRPr="009827F0">
        <w:t>byl</w:t>
      </w:r>
      <w:r>
        <w:t xml:space="preserve"> </w:t>
      </w:r>
      <w:r w:rsidRPr="009827F0">
        <w:t>vlastník</w:t>
      </w:r>
      <w:r>
        <w:t xml:space="preserve"> </w:t>
      </w:r>
      <w:r w:rsidRPr="009827F0">
        <w:t>nebo</w:t>
      </w:r>
      <w:r>
        <w:t xml:space="preserve"> </w:t>
      </w:r>
      <w:r w:rsidRPr="009827F0">
        <w:t>uživatel</w:t>
      </w:r>
      <w:r>
        <w:t xml:space="preserve"> </w:t>
      </w:r>
      <w:r w:rsidRPr="009827F0">
        <w:t>nemovitosti</w:t>
      </w:r>
      <w:r>
        <w:t xml:space="preserve"> </w:t>
      </w:r>
      <w:r w:rsidRPr="009827F0">
        <w:t>v</w:t>
      </w:r>
      <w:r>
        <w:t xml:space="preserve"> </w:t>
      </w:r>
      <w:r w:rsidRPr="009827F0">
        <w:t>důsledku</w:t>
      </w:r>
      <w:r>
        <w:t xml:space="preserve"> </w:t>
      </w:r>
      <w:r w:rsidRPr="009827F0">
        <w:t>výkonu</w:t>
      </w:r>
      <w:r>
        <w:t xml:space="preserve"> </w:t>
      </w:r>
      <w:r w:rsidRPr="009827F0">
        <w:t>práv</w:t>
      </w:r>
      <w:r>
        <w:t xml:space="preserve"> </w:t>
      </w:r>
      <w:r w:rsidRPr="009827F0">
        <w:t>provozovatele</w:t>
      </w:r>
      <w:r>
        <w:t xml:space="preserve"> </w:t>
      </w:r>
      <w:r w:rsidRPr="009827F0">
        <w:t>distribuční</w:t>
      </w:r>
      <w:r>
        <w:t xml:space="preserve"> </w:t>
      </w:r>
      <w:r w:rsidRPr="009827F0">
        <w:t>soustavy</w:t>
      </w:r>
      <w:r>
        <w:t xml:space="preserve"> </w:t>
      </w:r>
      <w:r w:rsidRPr="009827F0">
        <w:t>podle</w:t>
      </w:r>
      <w:r>
        <w:t xml:space="preserve"> </w:t>
      </w:r>
      <w:r w:rsidRPr="009827F0">
        <w:t>odstavce</w:t>
      </w:r>
      <w:r>
        <w:t xml:space="preserve"> </w:t>
      </w:r>
      <w:r w:rsidRPr="009827F0">
        <w:t>1</w:t>
      </w:r>
      <w:r>
        <w:t xml:space="preserve"> </w:t>
      </w:r>
      <w:r w:rsidRPr="009827F0">
        <w:t>písm.</w:t>
      </w:r>
      <w:r>
        <w:t xml:space="preserve"> </w:t>
      </w:r>
      <w:r w:rsidRPr="009827F0">
        <w:t>e)</w:t>
      </w:r>
      <w:r>
        <w:t xml:space="preserve"> </w:t>
      </w:r>
      <w:r w:rsidRPr="009827F0">
        <w:t>až</w:t>
      </w:r>
      <w:r>
        <w:t xml:space="preserve"> </w:t>
      </w:r>
      <w:r w:rsidRPr="009827F0">
        <w:t>i)</w:t>
      </w:r>
      <w:r>
        <w:t xml:space="preserve"> </w:t>
      </w:r>
      <w:r w:rsidRPr="009827F0">
        <w:t>omezen</w:t>
      </w:r>
      <w:r>
        <w:t xml:space="preserve"> </w:t>
      </w:r>
      <w:r w:rsidRPr="009827F0">
        <w:t>v</w:t>
      </w:r>
      <w:r>
        <w:t xml:space="preserve"> </w:t>
      </w:r>
      <w:r w:rsidRPr="009827F0">
        <w:t>obvyklém</w:t>
      </w:r>
      <w:r>
        <w:t xml:space="preserve"> </w:t>
      </w:r>
      <w:r w:rsidRPr="009827F0">
        <w:t>užívání</w:t>
      </w:r>
      <w:r>
        <w:t xml:space="preserve"> </w:t>
      </w:r>
      <w:r w:rsidRPr="009827F0">
        <w:t>nemovitosti</w:t>
      </w:r>
      <w:r>
        <w:t xml:space="preserve"> </w:t>
      </w:r>
      <w:r w:rsidRPr="009827F0">
        <w:t>nebo</w:t>
      </w:r>
      <w:r>
        <w:t xml:space="preserve"> </w:t>
      </w:r>
      <w:r w:rsidRPr="009827F0">
        <w:t>mu</w:t>
      </w:r>
      <w:r>
        <w:t xml:space="preserve"> </w:t>
      </w:r>
      <w:r w:rsidRPr="009827F0">
        <w:t>vznikla</w:t>
      </w:r>
      <w:r>
        <w:t xml:space="preserve"> </w:t>
      </w:r>
      <w:r w:rsidRPr="009827F0">
        <w:t>újma</w:t>
      </w:r>
      <w:r>
        <w:t xml:space="preserve"> </w:t>
      </w:r>
      <w:r w:rsidRPr="009827F0">
        <w:t>na</w:t>
      </w:r>
      <w:r>
        <w:t xml:space="preserve"> </w:t>
      </w:r>
      <w:r w:rsidRPr="009827F0">
        <w:t>majetku,</w:t>
      </w:r>
      <w:r>
        <w:t xml:space="preserve"> </w:t>
      </w:r>
      <w:r w:rsidRPr="009827F0">
        <w:t>má</w:t>
      </w:r>
      <w:r>
        <w:t xml:space="preserve"> </w:t>
      </w:r>
      <w:r w:rsidRPr="009827F0">
        <w:t>právo</w:t>
      </w:r>
      <w:r>
        <w:t xml:space="preserve"> </w:t>
      </w:r>
      <w:r w:rsidRPr="009827F0">
        <w:t>na</w:t>
      </w:r>
      <w:r>
        <w:t xml:space="preserve"> </w:t>
      </w:r>
      <w:r w:rsidRPr="009827F0">
        <w:t>přiměřenou</w:t>
      </w:r>
      <w:r>
        <w:t xml:space="preserve"> </w:t>
      </w:r>
      <w:r w:rsidRPr="009827F0">
        <w:t>jednorázovou</w:t>
      </w:r>
      <w:r>
        <w:t xml:space="preserve"> </w:t>
      </w:r>
      <w:r w:rsidRPr="009827F0">
        <w:t>náhradu5).</w:t>
      </w:r>
      <w:r>
        <w:t xml:space="preserve"> </w:t>
      </w:r>
      <w:r w:rsidRPr="009827F0">
        <w:t>Právo</w:t>
      </w:r>
      <w:r>
        <w:t xml:space="preserve"> </w:t>
      </w:r>
      <w:r w:rsidRPr="009827F0">
        <w:t>na</w:t>
      </w:r>
      <w:r>
        <w:t xml:space="preserve"> </w:t>
      </w:r>
      <w:r w:rsidRPr="009827F0">
        <w:t>náhradu</w:t>
      </w:r>
      <w:r>
        <w:t xml:space="preserve"> </w:t>
      </w:r>
      <w:r w:rsidRPr="009827F0">
        <w:t>podle</w:t>
      </w:r>
      <w:r>
        <w:t xml:space="preserve"> </w:t>
      </w:r>
      <w:r w:rsidRPr="009827F0">
        <w:t>věty</w:t>
      </w:r>
      <w:r>
        <w:t xml:space="preserve"> </w:t>
      </w:r>
      <w:r w:rsidRPr="009827F0">
        <w:t>první</w:t>
      </w:r>
      <w:r>
        <w:t xml:space="preserve"> </w:t>
      </w:r>
      <w:r w:rsidRPr="009827F0">
        <w:t>lze</w:t>
      </w:r>
      <w:r>
        <w:t xml:space="preserve"> </w:t>
      </w:r>
      <w:r w:rsidRPr="009827F0">
        <w:t>uplatnit</w:t>
      </w:r>
      <w:r>
        <w:t xml:space="preserve"> </w:t>
      </w:r>
      <w:r w:rsidRPr="009827F0">
        <w:t>u</w:t>
      </w:r>
      <w:r>
        <w:t xml:space="preserve"> </w:t>
      </w:r>
      <w:r w:rsidRPr="009827F0">
        <w:t>provozovatele</w:t>
      </w:r>
      <w:r>
        <w:t xml:space="preserve"> </w:t>
      </w:r>
      <w:r w:rsidRPr="009827F0">
        <w:t>distribuční</w:t>
      </w:r>
      <w:r>
        <w:t xml:space="preserve"> </w:t>
      </w:r>
      <w:r w:rsidRPr="009827F0">
        <w:t>soustavy</w:t>
      </w:r>
      <w:r>
        <w:t xml:space="preserve"> </w:t>
      </w:r>
      <w:r w:rsidRPr="009827F0">
        <w:t>do</w:t>
      </w:r>
      <w:r>
        <w:t xml:space="preserve"> </w:t>
      </w:r>
      <w:r w:rsidRPr="009827F0">
        <w:t>2</w:t>
      </w:r>
      <w:r>
        <w:t xml:space="preserve"> </w:t>
      </w:r>
      <w:r w:rsidRPr="009827F0">
        <w:t>let</w:t>
      </w:r>
      <w:r>
        <w:t xml:space="preserve"> </w:t>
      </w:r>
      <w:r w:rsidRPr="009827F0">
        <w:t>ode</w:t>
      </w:r>
      <w:r>
        <w:t xml:space="preserve"> </w:t>
      </w:r>
      <w:r w:rsidRPr="009827F0">
        <w:t>dne,</w:t>
      </w:r>
      <w:r>
        <w:t xml:space="preserve"> </w:t>
      </w:r>
      <w:r w:rsidRPr="009827F0">
        <w:t>kdy</w:t>
      </w:r>
      <w:r>
        <w:t xml:space="preserve"> </w:t>
      </w:r>
      <w:r w:rsidRPr="009827F0">
        <w:t>k</w:t>
      </w:r>
      <w:r>
        <w:t xml:space="preserve"> </w:t>
      </w:r>
      <w:r w:rsidRPr="009827F0">
        <w:t>omezení</w:t>
      </w:r>
      <w:r>
        <w:t xml:space="preserve"> </w:t>
      </w:r>
      <w:r w:rsidRPr="009827F0">
        <w:t>nebo</w:t>
      </w:r>
      <w:r>
        <w:t xml:space="preserve"> </w:t>
      </w:r>
      <w:r w:rsidRPr="009827F0">
        <w:t>újmě</w:t>
      </w:r>
      <w:r>
        <w:t xml:space="preserve"> </w:t>
      </w:r>
      <w:r w:rsidRPr="009827F0">
        <w:t>došlo,</w:t>
      </w:r>
      <w:r>
        <w:t xml:space="preserve"> </w:t>
      </w:r>
      <w:r w:rsidRPr="009827F0">
        <w:t>jinak</w:t>
      </w:r>
      <w:r>
        <w:t xml:space="preserve"> </w:t>
      </w:r>
      <w:r w:rsidRPr="009827F0">
        <w:t>právo</w:t>
      </w:r>
      <w:r>
        <w:t xml:space="preserve"> </w:t>
      </w:r>
      <w:r w:rsidRPr="009827F0">
        <w:t>zaniká.</w:t>
      </w:r>
    </w:p>
    <w:p w14:paraId="0150A8D7" w14:textId="77777777" w:rsidR="00BF3171" w:rsidRDefault="00BF3171" w:rsidP="0010420C">
      <w:pPr>
        <w:pStyle w:val="Textparagrafu"/>
        <w:tabs>
          <w:tab w:val="left" w:pos="392"/>
          <w:tab w:val="left" w:pos="840"/>
        </w:tabs>
        <w:spacing w:before="120" w:after="120"/>
      </w:pPr>
      <w:r w:rsidRPr="009827F0">
        <w:t>(4)</w:t>
      </w:r>
      <w:r>
        <w:t xml:space="preserve"> </w:t>
      </w:r>
      <w:r w:rsidRPr="009827F0">
        <w:t>V</w:t>
      </w:r>
      <w:r>
        <w:t xml:space="preserve"> </w:t>
      </w:r>
      <w:r w:rsidRPr="009827F0">
        <w:t>případech</w:t>
      </w:r>
      <w:r>
        <w:t xml:space="preserve"> </w:t>
      </w:r>
      <w:r w:rsidRPr="009827F0">
        <w:t>uvedených</w:t>
      </w:r>
      <w:r>
        <w:t xml:space="preserve"> </w:t>
      </w:r>
      <w:r w:rsidRPr="009827F0">
        <w:t>v</w:t>
      </w:r>
      <w:r>
        <w:t xml:space="preserve"> </w:t>
      </w:r>
      <w:r w:rsidRPr="009827F0">
        <w:t>odstavci</w:t>
      </w:r>
      <w:r>
        <w:t xml:space="preserve"> </w:t>
      </w:r>
      <w:r w:rsidRPr="009827F0">
        <w:t>1</w:t>
      </w:r>
      <w:r>
        <w:t xml:space="preserve"> </w:t>
      </w:r>
      <w:r w:rsidRPr="009827F0">
        <w:t>písm.</w:t>
      </w:r>
      <w:r>
        <w:t xml:space="preserve"> </w:t>
      </w:r>
      <w:r w:rsidRPr="009827F0">
        <w:t>d)</w:t>
      </w:r>
      <w:r>
        <w:t xml:space="preserve"> </w:t>
      </w:r>
      <w:r w:rsidRPr="009827F0">
        <w:t>až</w:t>
      </w:r>
      <w:r>
        <w:t xml:space="preserve"> </w:t>
      </w:r>
      <w:r w:rsidRPr="009827F0">
        <w:t>i)</w:t>
      </w:r>
      <w:r>
        <w:t xml:space="preserve"> </w:t>
      </w:r>
      <w:r w:rsidRPr="009827F0">
        <w:t>je</w:t>
      </w:r>
      <w:r>
        <w:t xml:space="preserve"> </w:t>
      </w:r>
      <w:r w:rsidRPr="009827F0">
        <w:t>provozovatel</w:t>
      </w:r>
      <w:r>
        <w:t xml:space="preserve"> </w:t>
      </w:r>
      <w:r w:rsidRPr="009827F0">
        <w:t>distribuční</w:t>
      </w:r>
      <w:r>
        <w:t xml:space="preserve"> </w:t>
      </w:r>
      <w:r w:rsidRPr="009827F0">
        <w:t>soustavy</w:t>
      </w:r>
      <w:r>
        <w:t xml:space="preserve"> </w:t>
      </w:r>
      <w:r w:rsidRPr="009827F0">
        <w:t>povinen</w:t>
      </w:r>
      <w:r>
        <w:t xml:space="preserve"> </w:t>
      </w:r>
      <w:r w:rsidRPr="009827F0">
        <w:t>co</w:t>
      </w:r>
      <w:r>
        <w:t xml:space="preserve"> </w:t>
      </w:r>
      <w:r w:rsidRPr="009827F0">
        <w:t>nejvíce</w:t>
      </w:r>
      <w:r>
        <w:t xml:space="preserve"> </w:t>
      </w:r>
      <w:r w:rsidRPr="009827F0">
        <w:t>šetřit</w:t>
      </w:r>
      <w:r>
        <w:t xml:space="preserve"> </w:t>
      </w:r>
      <w:r w:rsidRPr="009827F0">
        <w:t>práv</w:t>
      </w:r>
      <w:r>
        <w:t xml:space="preserve"> </w:t>
      </w:r>
      <w:r w:rsidRPr="009827F0">
        <w:t>vlastníků</w:t>
      </w:r>
      <w:r>
        <w:t xml:space="preserve"> </w:t>
      </w:r>
      <w:r w:rsidRPr="009827F0">
        <w:t>dotčených</w:t>
      </w:r>
      <w:r>
        <w:t xml:space="preserve"> </w:t>
      </w:r>
      <w:r w:rsidRPr="009827F0">
        <w:t>nemovitostí</w:t>
      </w:r>
      <w:r>
        <w:t xml:space="preserve"> </w:t>
      </w:r>
      <w:r w:rsidRPr="009827F0">
        <w:t>a</w:t>
      </w:r>
      <w:r>
        <w:t xml:space="preserve"> </w:t>
      </w:r>
      <w:r w:rsidRPr="009827F0">
        <w:t>vstup</w:t>
      </w:r>
      <w:r>
        <w:t xml:space="preserve"> </w:t>
      </w:r>
      <w:r w:rsidRPr="009827F0">
        <w:t>na</w:t>
      </w:r>
      <w:r>
        <w:t xml:space="preserve"> </w:t>
      </w:r>
      <w:r w:rsidRPr="009827F0">
        <w:t>jejich</w:t>
      </w:r>
      <w:r>
        <w:t xml:space="preserve"> </w:t>
      </w:r>
      <w:r w:rsidRPr="009827F0">
        <w:t>nemovitost</w:t>
      </w:r>
      <w:r>
        <w:t xml:space="preserve"> </w:t>
      </w:r>
      <w:r w:rsidRPr="009827F0">
        <w:t>jim</w:t>
      </w:r>
      <w:r>
        <w:t xml:space="preserve"> </w:t>
      </w:r>
      <w:r w:rsidRPr="009827F0">
        <w:t>oznámit.</w:t>
      </w:r>
      <w:r>
        <w:t xml:space="preserve"> </w:t>
      </w:r>
      <w:r w:rsidRPr="009827F0">
        <w:t>Po</w:t>
      </w:r>
      <w:r>
        <w:t xml:space="preserve"> </w:t>
      </w:r>
      <w:r w:rsidRPr="009827F0">
        <w:t>skončení</w:t>
      </w:r>
      <w:r>
        <w:t xml:space="preserve"> </w:t>
      </w:r>
      <w:r w:rsidRPr="009827F0">
        <w:t>prací</w:t>
      </w:r>
      <w:r>
        <w:t xml:space="preserve"> </w:t>
      </w:r>
      <w:r w:rsidRPr="009827F0">
        <w:t>je</w:t>
      </w:r>
      <w:r>
        <w:t xml:space="preserve"> </w:t>
      </w:r>
      <w:r w:rsidRPr="009827F0">
        <w:t>povinen</w:t>
      </w:r>
      <w:r>
        <w:t xml:space="preserve"> </w:t>
      </w:r>
      <w:r w:rsidRPr="009827F0">
        <w:t>uvést</w:t>
      </w:r>
      <w:r>
        <w:t xml:space="preserve"> </w:t>
      </w:r>
      <w:r w:rsidRPr="009827F0">
        <w:t>nemovitost</w:t>
      </w:r>
      <w:r>
        <w:t xml:space="preserve"> </w:t>
      </w:r>
      <w:r w:rsidRPr="009827F0">
        <w:t>do</w:t>
      </w:r>
      <w:r>
        <w:t xml:space="preserve"> </w:t>
      </w:r>
      <w:r w:rsidRPr="009827F0">
        <w:t>předchozího</w:t>
      </w:r>
      <w:r>
        <w:t xml:space="preserve"> </w:t>
      </w:r>
      <w:r w:rsidRPr="009827F0">
        <w:t>stavu,</w:t>
      </w:r>
      <w:r>
        <w:t xml:space="preserve"> </w:t>
      </w:r>
      <w:r w:rsidRPr="009827F0">
        <w:t>nebo</w:t>
      </w:r>
      <w:r>
        <w:t xml:space="preserve"> </w:t>
      </w:r>
      <w:r w:rsidRPr="009827F0">
        <w:t>není-li</w:t>
      </w:r>
      <w:r>
        <w:t xml:space="preserve"> </w:t>
      </w:r>
      <w:r w:rsidRPr="009827F0">
        <w:t>to</w:t>
      </w:r>
      <w:r>
        <w:t xml:space="preserve"> </w:t>
      </w:r>
      <w:r w:rsidRPr="009827F0">
        <w:t>možné</w:t>
      </w:r>
      <w:r>
        <w:t xml:space="preserve"> </w:t>
      </w:r>
      <w:r w:rsidRPr="009827F0">
        <w:t>s</w:t>
      </w:r>
      <w:r>
        <w:t xml:space="preserve"> </w:t>
      </w:r>
      <w:r w:rsidRPr="009827F0">
        <w:t>ohledem</w:t>
      </w:r>
      <w:r>
        <w:t xml:space="preserve"> </w:t>
      </w:r>
      <w:r w:rsidRPr="009827F0">
        <w:t>na</w:t>
      </w:r>
      <w:r>
        <w:t xml:space="preserve"> </w:t>
      </w:r>
      <w:r w:rsidRPr="009827F0">
        <w:t>povahu</w:t>
      </w:r>
      <w:r>
        <w:t xml:space="preserve"> </w:t>
      </w:r>
      <w:r w:rsidRPr="009827F0">
        <w:t>provedených</w:t>
      </w:r>
      <w:r>
        <w:t xml:space="preserve"> </w:t>
      </w:r>
      <w:r w:rsidRPr="009827F0">
        <w:t>prací,</w:t>
      </w:r>
      <w:r>
        <w:t xml:space="preserve"> </w:t>
      </w:r>
      <w:r w:rsidRPr="009827F0">
        <w:t>do</w:t>
      </w:r>
      <w:r>
        <w:t xml:space="preserve"> </w:t>
      </w:r>
      <w:r w:rsidRPr="009827F0">
        <w:t>stavu</w:t>
      </w:r>
      <w:r>
        <w:t xml:space="preserve"> </w:t>
      </w:r>
      <w:r w:rsidRPr="009827F0">
        <w:t>odpovídajícímu</w:t>
      </w:r>
      <w:r>
        <w:t xml:space="preserve"> </w:t>
      </w:r>
      <w:r w:rsidRPr="009827F0">
        <w:t>předchozímu</w:t>
      </w:r>
      <w:r>
        <w:t xml:space="preserve"> </w:t>
      </w:r>
      <w:r w:rsidRPr="009827F0">
        <w:t>účelu</w:t>
      </w:r>
      <w:r>
        <w:t xml:space="preserve"> </w:t>
      </w:r>
      <w:r w:rsidRPr="009827F0">
        <w:t>či</w:t>
      </w:r>
      <w:r>
        <w:t xml:space="preserve"> </w:t>
      </w:r>
      <w:r w:rsidRPr="009827F0">
        <w:t>užívání</w:t>
      </w:r>
      <w:r>
        <w:t xml:space="preserve"> </w:t>
      </w:r>
      <w:r w:rsidRPr="009827F0">
        <w:t>dotčené</w:t>
      </w:r>
      <w:r>
        <w:t xml:space="preserve"> </w:t>
      </w:r>
      <w:r w:rsidRPr="009827F0">
        <w:t>nemovitosti</w:t>
      </w:r>
      <w:r>
        <w:t xml:space="preserve"> </w:t>
      </w:r>
      <w:r w:rsidRPr="009827F0">
        <w:t>a</w:t>
      </w:r>
      <w:r>
        <w:t xml:space="preserve"> </w:t>
      </w:r>
      <w:r w:rsidRPr="009827F0">
        <w:t>oznámit</w:t>
      </w:r>
      <w:r>
        <w:t xml:space="preserve"> </w:t>
      </w:r>
      <w:r w:rsidRPr="009827F0">
        <w:t>tuto</w:t>
      </w:r>
      <w:r>
        <w:t xml:space="preserve"> </w:t>
      </w:r>
      <w:r w:rsidRPr="009827F0">
        <w:t>skutečnost</w:t>
      </w:r>
      <w:r>
        <w:t xml:space="preserve"> </w:t>
      </w:r>
      <w:r w:rsidRPr="009827F0">
        <w:t>vlastníku</w:t>
      </w:r>
      <w:r>
        <w:t xml:space="preserve"> </w:t>
      </w:r>
      <w:r w:rsidRPr="009827F0">
        <w:t>nemovitosti.</w:t>
      </w:r>
      <w:r>
        <w:t xml:space="preserve"> </w:t>
      </w:r>
      <w:r w:rsidRPr="009827F0">
        <w:t>Po</w:t>
      </w:r>
      <w:r>
        <w:t xml:space="preserve"> </w:t>
      </w:r>
      <w:r w:rsidRPr="009827F0">
        <w:t>provedení</w:t>
      </w:r>
      <w:r>
        <w:t xml:space="preserve"> </w:t>
      </w:r>
      <w:r w:rsidRPr="009827F0">
        <w:t>odstranění</w:t>
      </w:r>
      <w:r>
        <w:t xml:space="preserve"> </w:t>
      </w:r>
      <w:r w:rsidRPr="009827F0">
        <w:t>nebo</w:t>
      </w:r>
      <w:r>
        <w:t xml:space="preserve"> </w:t>
      </w:r>
      <w:r w:rsidRPr="009827F0">
        <w:t>okleštění</w:t>
      </w:r>
      <w:r>
        <w:t xml:space="preserve"> </w:t>
      </w:r>
      <w:r w:rsidRPr="009827F0">
        <w:t>stromoví</w:t>
      </w:r>
      <w:r>
        <w:t xml:space="preserve"> </w:t>
      </w:r>
      <w:r w:rsidRPr="009827F0">
        <w:t>je</w:t>
      </w:r>
      <w:r>
        <w:t xml:space="preserve"> </w:t>
      </w:r>
      <w:r w:rsidRPr="009827F0">
        <w:t>povinen</w:t>
      </w:r>
      <w:r>
        <w:t xml:space="preserve"> </w:t>
      </w:r>
      <w:r w:rsidRPr="009827F0">
        <w:t>na</w:t>
      </w:r>
      <w:r>
        <w:t xml:space="preserve"> </w:t>
      </w:r>
      <w:r w:rsidRPr="009827F0">
        <w:t>svůj</w:t>
      </w:r>
      <w:r>
        <w:t xml:space="preserve"> </w:t>
      </w:r>
      <w:r w:rsidRPr="009827F0">
        <w:t>náklad</w:t>
      </w:r>
      <w:r>
        <w:t xml:space="preserve"> </w:t>
      </w:r>
      <w:r w:rsidRPr="009827F0">
        <w:t>provést</w:t>
      </w:r>
      <w:r>
        <w:t xml:space="preserve"> </w:t>
      </w:r>
      <w:r w:rsidRPr="009827F0">
        <w:t>likvidaci</w:t>
      </w:r>
      <w:r>
        <w:t xml:space="preserve"> </w:t>
      </w:r>
      <w:r w:rsidRPr="009827F0">
        <w:t>vzniklého</w:t>
      </w:r>
      <w:r>
        <w:t xml:space="preserve"> </w:t>
      </w:r>
      <w:r w:rsidRPr="009827F0">
        <w:t>klestu</w:t>
      </w:r>
      <w:r>
        <w:t xml:space="preserve"> </w:t>
      </w:r>
      <w:r w:rsidRPr="009827F0">
        <w:t>a</w:t>
      </w:r>
      <w:r>
        <w:t xml:space="preserve"> </w:t>
      </w:r>
      <w:r w:rsidRPr="009827F0">
        <w:t>zbytků</w:t>
      </w:r>
      <w:r>
        <w:t xml:space="preserve"> </w:t>
      </w:r>
      <w:r w:rsidRPr="009827F0">
        <w:t>po</w:t>
      </w:r>
      <w:r>
        <w:t xml:space="preserve"> </w:t>
      </w:r>
      <w:r w:rsidRPr="009827F0">
        <w:t>těžbě.</w:t>
      </w:r>
    </w:p>
    <w:p w14:paraId="0E69F635" w14:textId="77777777" w:rsidR="00BF3171" w:rsidRDefault="00BF3171" w:rsidP="0010420C">
      <w:pPr>
        <w:pStyle w:val="Textparagrafu"/>
        <w:tabs>
          <w:tab w:val="left" w:pos="392"/>
          <w:tab w:val="left" w:pos="840"/>
        </w:tabs>
        <w:spacing w:before="120" w:after="120"/>
      </w:pPr>
      <w:r w:rsidRPr="009827F0">
        <w:t>(5)</w:t>
      </w:r>
      <w:r>
        <w:t xml:space="preserve"> </w:t>
      </w:r>
      <w:r w:rsidRPr="009827F0">
        <w:t>V</w:t>
      </w:r>
      <w:r>
        <w:t xml:space="preserve"> </w:t>
      </w:r>
      <w:r w:rsidRPr="009827F0">
        <w:t>případech</w:t>
      </w:r>
      <w:r>
        <w:t xml:space="preserve"> </w:t>
      </w:r>
      <w:r w:rsidRPr="009827F0">
        <w:t>uvedených</w:t>
      </w:r>
      <w:r>
        <w:t xml:space="preserve"> </w:t>
      </w:r>
      <w:r w:rsidRPr="009827F0">
        <w:t>v</w:t>
      </w:r>
      <w:r>
        <w:t xml:space="preserve"> </w:t>
      </w:r>
      <w:r w:rsidRPr="009827F0">
        <w:t>odstavci</w:t>
      </w:r>
      <w:r>
        <w:t xml:space="preserve"> </w:t>
      </w:r>
      <w:r w:rsidRPr="009827F0">
        <w:t>1</w:t>
      </w:r>
      <w:r>
        <w:t xml:space="preserve"> </w:t>
      </w:r>
      <w:r w:rsidRPr="009827F0">
        <w:t>písm.</w:t>
      </w:r>
      <w:r>
        <w:t xml:space="preserve"> </w:t>
      </w:r>
      <w:r w:rsidRPr="009827F0">
        <w:t>j)</w:t>
      </w:r>
      <w:r>
        <w:t xml:space="preserve"> </w:t>
      </w:r>
      <w:r w:rsidRPr="009827F0">
        <w:t>bod</w:t>
      </w:r>
      <w:r>
        <w:t xml:space="preserve"> </w:t>
      </w:r>
      <w:r w:rsidRPr="009827F0">
        <w:t>3</w:t>
      </w:r>
      <w:r>
        <w:t xml:space="preserve"> </w:t>
      </w:r>
      <w:r w:rsidRPr="009827F0">
        <w:t>je</w:t>
      </w:r>
      <w:r>
        <w:t xml:space="preserve"> </w:t>
      </w:r>
      <w:r w:rsidRPr="009827F0">
        <w:t>provozovatel</w:t>
      </w:r>
      <w:r>
        <w:t xml:space="preserve"> </w:t>
      </w:r>
      <w:r w:rsidRPr="009827F0">
        <w:t>distribuční</w:t>
      </w:r>
      <w:r>
        <w:t xml:space="preserve"> </w:t>
      </w:r>
      <w:r w:rsidRPr="009827F0">
        <w:t>soustavy</w:t>
      </w:r>
      <w:r>
        <w:t xml:space="preserve"> </w:t>
      </w:r>
      <w:r w:rsidRPr="009827F0">
        <w:t>povinen</w:t>
      </w:r>
      <w:r>
        <w:t xml:space="preserve"> </w:t>
      </w:r>
      <w:r w:rsidRPr="009827F0">
        <w:t>oznámit</w:t>
      </w:r>
      <w:r>
        <w:t xml:space="preserve"> </w:t>
      </w:r>
      <w:r w:rsidRPr="009827F0">
        <w:t>účastníkům</w:t>
      </w:r>
      <w:r>
        <w:t xml:space="preserve"> </w:t>
      </w:r>
      <w:r w:rsidRPr="009827F0">
        <w:t>trhu,</w:t>
      </w:r>
      <w:r>
        <w:t xml:space="preserve"> </w:t>
      </w:r>
      <w:r w:rsidRPr="009827F0">
        <w:t>pro</w:t>
      </w:r>
      <w:r>
        <w:t xml:space="preserve"> </w:t>
      </w:r>
      <w:r w:rsidRPr="009827F0">
        <w:t>něž</w:t>
      </w:r>
      <w:r>
        <w:t xml:space="preserve"> </w:t>
      </w:r>
      <w:r w:rsidRPr="009827F0">
        <w:t>provádí</w:t>
      </w:r>
      <w:r>
        <w:t xml:space="preserve"> </w:t>
      </w:r>
      <w:r w:rsidRPr="009827F0">
        <w:t>distribuci</w:t>
      </w:r>
      <w:r>
        <w:t xml:space="preserve"> </w:t>
      </w:r>
      <w:r w:rsidRPr="009827F0">
        <w:t>plynu,</w:t>
      </w:r>
      <w:r>
        <w:t xml:space="preserve"> </w:t>
      </w:r>
      <w:r w:rsidRPr="009827F0">
        <w:t>započetí</w:t>
      </w:r>
      <w:r>
        <w:t xml:space="preserve"> </w:t>
      </w:r>
      <w:r w:rsidRPr="009827F0">
        <w:t>a</w:t>
      </w:r>
      <w:r>
        <w:t xml:space="preserve"> </w:t>
      </w:r>
      <w:r w:rsidRPr="009827F0">
        <w:t>skončení</w:t>
      </w:r>
      <w:r>
        <w:t xml:space="preserve"> </w:t>
      </w:r>
      <w:r w:rsidRPr="009827F0">
        <w:t>omezení</w:t>
      </w:r>
      <w:r>
        <w:t xml:space="preserve"> </w:t>
      </w:r>
      <w:r w:rsidRPr="009827F0">
        <w:t>nebo</w:t>
      </w:r>
      <w:r>
        <w:t xml:space="preserve"> </w:t>
      </w:r>
      <w:r w:rsidRPr="009827F0">
        <w:t>přerušení</w:t>
      </w:r>
      <w:r>
        <w:t xml:space="preserve"> </w:t>
      </w:r>
      <w:r w:rsidRPr="009827F0">
        <w:t>distribuce</w:t>
      </w:r>
      <w:r>
        <w:t xml:space="preserve"> </w:t>
      </w:r>
      <w:r w:rsidRPr="009827F0">
        <w:t>plynu,</w:t>
      </w:r>
      <w:r>
        <w:t xml:space="preserve"> </w:t>
      </w:r>
      <w:r w:rsidRPr="009827F0">
        <w:t>nejméně</w:t>
      </w:r>
      <w:r>
        <w:t xml:space="preserve"> </w:t>
      </w:r>
      <w:r w:rsidRPr="009827F0">
        <w:t>však</w:t>
      </w:r>
      <w:r>
        <w:t xml:space="preserve"> </w:t>
      </w:r>
      <w:r w:rsidRPr="009827F0">
        <w:t>15</w:t>
      </w:r>
      <w:r>
        <w:t xml:space="preserve"> </w:t>
      </w:r>
      <w:r w:rsidRPr="009827F0">
        <w:t>dnů</w:t>
      </w:r>
      <w:r>
        <w:t xml:space="preserve"> </w:t>
      </w:r>
      <w:r w:rsidRPr="009827F0">
        <w:t>předem,</w:t>
      </w:r>
      <w:r>
        <w:t xml:space="preserve"> </w:t>
      </w:r>
      <w:r w:rsidRPr="009827F0">
        <w:t>pokud</w:t>
      </w:r>
      <w:r>
        <w:t xml:space="preserve"> </w:t>
      </w:r>
      <w:r w:rsidRPr="009827F0">
        <w:t>se</w:t>
      </w:r>
      <w:r>
        <w:t xml:space="preserve"> </w:t>
      </w:r>
      <w:r w:rsidRPr="009827F0">
        <w:t>s</w:t>
      </w:r>
      <w:r>
        <w:t xml:space="preserve"> </w:t>
      </w:r>
      <w:r w:rsidRPr="009827F0">
        <w:t>dotčenými</w:t>
      </w:r>
      <w:r>
        <w:t xml:space="preserve"> </w:t>
      </w:r>
      <w:r w:rsidRPr="009827F0">
        <w:t>účastníky</w:t>
      </w:r>
      <w:r>
        <w:t xml:space="preserve"> </w:t>
      </w:r>
      <w:r w:rsidRPr="009827F0">
        <w:t>trhu</w:t>
      </w:r>
      <w:r>
        <w:t xml:space="preserve"> </w:t>
      </w:r>
      <w:r w:rsidRPr="009827F0">
        <w:t>nedohodne</w:t>
      </w:r>
      <w:r>
        <w:t xml:space="preserve"> </w:t>
      </w:r>
      <w:r w:rsidRPr="009827F0">
        <w:t>na</w:t>
      </w:r>
      <w:r>
        <w:t xml:space="preserve"> </w:t>
      </w:r>
      <w:r w:rsidRPr="009827F0">
        <w:t>lhůtě</w:t>
      </w:r>
      <w:r>
        <w:t xml:space="preserve"> </w:t>
      </w:r>
      <w:r w:rsidRPr="009827F0">
        <w:t>kratší.</w:t>
      </w:r>
      <w:r>
        <w:t xml:space="preserve"> </w:t>
      </w:r>
      <w:r w:rsidRPr="009827F0">
        <w:t>Plánované</w:t>
      </w:r>
      <w:r>
        <w:t xml:space="preserve"> </w:t>
      </w:r>
      <w:r w:rsidRPr="009827F0">
        <w:t>stavební</w:t>
      </w:r>
      <w:r>
        <w:t xml:space="preserve"> </w:t>
      </w:r>
      <w:r w:rsidRPr="009827F0">
        <w:t>úpravy,</w:t>
      </w:r>
      <w:r>
        <w:t xml:space="preserve"> </w:t>
      </w:r>
      <w:r w:rsidRPr="009827F0">
        <w:t>přeložky</w:t>
      </w:r>
      <w:r>
        <w:t xml:space="preserve"> </w:t>
      </w:r>
      <w:r w:rsidRPr="009827F0">
        <w:t>a</w:t>
      </w:r>
      <w:r>
        <w:t xml:space="preserve"> </w:t>
      </w:r>
      <w:r w:rsidRPr="009827F0">
        <w:t>opravy</w:t>
      </w:r>
      <w:r>
        <w:t xml:space="preserve"> </w:t>
      </w:r>
      <w:r w:rsidRPr="009827F0">
        <w:t>v</w:t>
      </w:r>
      <w:r>
        <w:t xml:space="preserve"> </w:t>
      </w:r>
      <w:r w:rsidRPr="009827F0">
        <w:t>období</w:t>
      </w:r>
      <w:r>
        <w:t xml:space="preserve"> </w:t>
      </w:r>
      <w:r w:rsidRPr="009827F0">
        <w:t>od</w:t>
      </w:r>
      <w:r>
        <w:t xml:space="preserve"> </w:t>
      </w:r>
      <w:r w:rsidRPr="009827F0">
        <w:t>1.</w:t>
      </w:r>
      <w:r>
        <w:t xml:space="preserve"> </w:t>
      </w:r>
      <w:r w:rsidRPr="009827F0">
        <w:t>září</w:t>
      </w:r>
      <w:r>
        <w:t xml:space="preserve"> </w:t>
      </w:r>
      <w:r w:rsidRPr="009827F0">
        <w:t>do</w:t>
      </w:r>
      <w:r>
        <w:t xml:space="preserve"> </w:t>
      </w:r>
      <w:r w:rsidRPr="009827F0">
        <w:t>31.</w:t>
      </w:r>
      <w:r>
        <w:t xml:space="preserve"> </w:t>
      </w:r>
      <w:r w:rsidRPr="009827F0">
        <w:t>května</w:t>
      </w:r>
      <w:r>
        <w:t xml:space="preserve"> </w:t>
      </w:r>
      <w:r w:rsidRPr="009827F0">
        <w:t>následujícího</w:t>
      </w:r>
      <w:r>
        <w:t xml:space="preserve"> </w:t>
      </w:r>
      <w:r w:rsidRPr="009827F0">
        <w:t>kalendářního</w:t>
      </w:r>
      <w:r>
        <w:t xml:space="preserve"> </w:t>
      </w:r>
      <w:r w:rsidRPr="009827F0">
        <w:t>roku</w:t>
      </w:r>
      <w:r>
        <w:t xml:space="preserve"> </w:t>
      </w:r>
      <w:r w:rsidRPr="009827F0">
        <w:t>lze</w:t>
      </w:r>
      <w:r>
        <w:t xml:space="preserve"> </w:t>
      </w:r>
      <w:r w:rsidRPr="009827F0">
        <w:t>provádět</w:t>
      </w:r>
      <w:r>
        <w:t xml:space="preserve"> </w:t>
      </w:r>
      <w:r w:rsidRPr="009827F0">
        <w:t>výhradně</w:t>
      </w:r>
      <w:r>
        <w:t xml:space="preserve"> </w:t>
      </w:r>
      <w:r w:rsidRPr="009827F0">
        <w:t>po</w:t>
      </w:r>
      <w:r>
        <w:t xml:space="preserve"> </w:t>
      </w:r>
      <w:r w:rsidRPr="009827F0">
        <w:t>písemném</w:t>
      </w:r>
      <w:r>
        <w:t xml:space="preserve"> </w:t>
      </w:r>
      <w:r w:rsidRPr="009827F0">
        <w:t>oznámení</w:t>
      </w:r>
      <w:r>
        <w:t xml:space="preserve"> </w:t>
      </w:r>
      <w:r w:rsidRPr="009827F0">
        <w:t>dotčeným</w:t>
      </w:r>
      <w:r>
        <w:t xml:space="preserve"> </w:t>
      </w:r>
      <w:r w:rsidRPr="009827F0">
        <w:t>zákazníkům.</w:t>
      </w:r>
    </w:p>
    <w:p w14:paraId="12170847" w14:textId="77777777" w:rsidR="00BF3171" w:rsidRDefault="00BF3171" w:rsidP="0010420C">
      <w:pPr>
        <w:pStyle w:val="Textparagrafu"/>
        <w:tabs>
          <w:tab w:val="left" w:pos="392"/>
          <w:tab w:val="left" w:pos="840"/>
        </w:tabs>
        <w:spacing w:before="120" w:after="120"/>
      </w:pPr>
      <w:r w:rsidRPr="009827F0">
        <w:lastRenderedPageBreak/>
        <w:t>(6)</w:t>
      </w:r>
      <w:r>
        <w:t xml:space="preserve"> </w:t>
      </w:r>
      <w:r w:rsidRPr="009827F0">
        <w:t>V</w:t>
      </w:r>
      <w:r>
        <w:t xml:space="preserve"> </w:t>
      </w:r>
      <w:r w:rsidRPr="009827F0">
        <w:t>případech</w:t>
      </w:r>
      <w:r>
        <w:t xml:space="preserve"> </w:t>
      </w:r>
      <w:r w:rsidRPr="009827F0">
        <w:t>uvedených</w:t>
      </w:r>
      <w:r>
        <w:t xml:space="preserve"> </w:t>
      </w:r>
      <w:r w:rsidRPr="009827F0">
        <w:t>v</w:t>
      </w:r>
      <w:r>
        <w:t xml:space="preserve"> </w:t>
      </w:r>
      <w:r w:rsidRPr="009827F0">
        <w:t>odstavci</w:t>
      </w:r>
      <w:r>
        <w:t xml:space="preserve"> </w:t>
      </w:r>
      <w:r w:rsidRPr="009827F0">
        <w:t>1</w:t>
      </w:r>
      <w:r>
        <w:t xml:space="preserve"> </w:t>
      </w:r>
      <w:r w:rsidRPr="009827F0">
        <w:t>písm.</w:t>
      </w:r>
      <w:r>
        <w:t xml:space="preserve"> </w:t>
      </w:r>
      <w:r w:rsidRPr="009827F0">
        <w:t>j)</w:t>
      </w:r>
      <w:r>
        <w:t xml:space="preserve"> </w:t>
      </w:r>
      <w:r w:rsidRPr="009827F0">
        <w:t>bodě</w:t>
      </w:r>
      <w:r>
        <w:t xml:space="preserve"> </w:t>
      </w:r>
      <w:r w:rsidRPr="009827F0">
        <w:t>6</w:t>
      </w:r>
      <w:r>
        <w:t xml:space="preserve"> </w:t>
      </w:r>
      <w:r w:rsidRPr="009827F0">
        <w:t>je</w:t>
      </w:r>
      <w:r>
        <w:t xml:space="preserve"> </w:t>
      </w:r>
      <w:r w:rsidRPr="009827F0">
        <w:t>provozovatel</w:t>
      </w:r>
      <w:r>
        <w:t xml:space="preserve"> </w:t>
      </w:r>
      <w:r w:rsidRPr="009827F0">
        <w:t>distribuční</w:t>
      </w:r>
      <w:r>
        <w:t xml:space="preserve"> </w:t>
      </w:r>
      <w:r w:rsidRPr="009827F0">
        <w:t>soustavy</w:t>
      </w:r>
      <w:r>
        <w:t xml:space="preserve"> </w:t>
      </w:r>
      <w:r w:rsidRPr="009827F0">
        <w:t>povinen</w:t>
      </w:r>
      <w:r>
        <w:t xml:space="preserve"> </w:t>
      </w:r>
      <w:r w:rsidRPr="009827F0">
        <w:t>obnovit</w:t>
      </w:r>
      <w:r>
        <w:t xml:space="preserve"> </w:t>
      </w:r>
      <w:r w:rsidRPr="009827F0">
        <w:t>distribuci</w:t>
      </w:r>
      <w:r>
        <w:t xml:space="preserve"> </w:t>
      </w:r>
      <w:r w:rsidRPr="009827F0">
        <w:t>plynu</w:t>
      </w:r>
      <w:r>
        <w:t xml:space="preserve"> </w:t>
      </w:r>
      <w:r w:rsidRPr="009827F0">
        <w:t>nejpozději</w:t>
      </w:r>
      <w:r>
        <w:t xml:space="preserve"> </w:t>
      </w:r>
      <w:r w:rsidRPr="009827F0">
        <w:t>po</w:t>
      </w:r>
      <w:r>
        <w:t xml:space="preserve"> </w:t>
      </w:r>
      <w:r w:rsidRPr="009827F0">
        <w:t>úhradě</w:t>
      </w:r>
      <w:r>
        <w:t xml:space="preserve"> </w:t>
      </w:r>
      <w:r w:rsidRPr="009827F0">
        <w:t>náhrady</w:t>
      </w:r>
      <w:r>
        <w:t xml:space="preserve"> </w:t>
      </w:r>
      <w:r w:rsidRPr="009827F0">
        <w:t>škody</w:t>
      </w:r>
      <w:r>
        <w:t xml:space="preserve"> </w:t>
      </w:r>
      <w:r w:rsidRPr="009827F0">
        <w:t>způsobené</w:t>
      </w:r>
      <w:r>
        <w:t xml:space="preserve"> </w:t>
      </w:r>
      <w:r w:rsidRPr="009827F0">
        <w:t>neoprávněným</w:t>
      </w:r>
      <w:r>
        <w:t xml:space="preserve"> </w:t>
      </w:r>
      <w:r w:rsidRPr="009827F0">
        <w:t>odběrem</w:t>
      </w:r>
      <w:r>
        <w:t xml:space="preserve"> </w:t>
      </w:r>
      <w:r w:rsidRPr="009827F0">
        <w:t>nebo</w:t>
      </w:r>
      <w:r>
        <w:t xml:space="preserve"> </w:t>
      </w:r>
      <w:r w:rsidRPr="009827F0">
        <w:t>neoprávněnou</w:t>
      </w:r>
      <w:r>
        <w:t xml:space="preserve"> </w:t>
      </w:r>
      <w:r w:rsidRPr="009827F0">
        <w:t>distribucí</w:t>
      </w:r>
      <w:r>
        <w:t xml:space="preserve"> </w:t>
      </w:r>
      <w:r w:rsidRPr="009827F0">
        <w:t>bezprostředně</w:t>
      </w:r>
      <w:r>
        <w:t xml:space="preserve"> </w:t>
      </w:r>
      <w:r w:rsidRPr="009827F0">
        <w:t>po</w:t>
      </w:r>
      <w:r>
        <w:t xml:space="preserve"> </w:t>
      </w:r>
      <w:r w:rsidRPr="009827F0">
        <w:t>odstranění</w:t>
      </w:r>
      <w:r>
        <w:t xml:space="preserve"> </w:t>
      </w:r>
      <w:r w:rsidRPr="009827F0">
        <w:t>příčin,</w:t>
      </w:r>
      <w:r>
        <w:t xml:space="preserve"> </w:t>
      </w:r>
      <w:r w:rsidRPr="009827F0">
        <w:t>které</w:t>
      </w:r>
      <w:r>
        <w:t xml:space="preserve"> </w:t>
      </w:r>
      <w:r w:rsidRPr="009827F0">
        <w:t>vedly</w:t>
      </w:r>
      <w:r>
        <w:t xml:space="preserve"> </w:t>
      </w:r>
      <w:r w:rsidRPr="009827F0">
        <w:t>k</w:t>
      </w:r>
      <w:r>
        <w:t xml:space="preserve"> </w:t>
      </w:r>
      <w:r w:rsidRPr="009827F0">
        <w:t>jejímu</w:t>
      </w:r>
      <w:r>
        <w:t xml:space="preserve"> </w:t>
      </w:r>
      <w:r w:rsidRPr="009827F0">
        <w:t>omezení</w:t>
      </w:r>
      <w:r>
        <w:t xml:space="preserve"> </w:t>
      </w:r>
      <w:r w:rsidRPr="009827F0">
        <w:t>nebo</w:t>
      </w:r>
      <w:r>
        <w:t xml:space="preserve"> </w:t>
      </w:r>
      <w:r w:rsidRPr="009827F0">
        <w:t>přerušení.</w:t>
      </w:r>
    </w:p>
    <w:p w14:paraId="18A5538A" w14:textId="55DEBFD9" w:rsidR="00BF3171" w:rsidRDefault="00BF3171" w:rsidP="0010420C">
      <w:pPr>
        <w:pStyle w:val="Textparagrafu"/>
        <w:tabs>
          <w:tab w:val="left" w:pos="392"/>
          <w:tab w:val="left" w:pos="840"/>
        </w:tabs>
        <w:spacing w:before="120" w:after="120"/>
      </w:pPr>
      <w:r w:rsidRPr="009827F0">
        <w:t>(7)</w:t>
      </w:r>
      <w:r>
        <w:t xml:space="preserve"> </w:t>
      </w:r>
      <w:r w:rsidRPr="009827F0">
        <w:t>V</w:t>
      </w:r>
      <w:r>
        <w:t xml:space="preserve"> </w:t>
      </w:r>
      <w:r w:rsidRPr="009827F0">
        <w:t>případech</w:t>
      </w:r>
      <w:r>
        <w:t xml:space="preserve"> </w:t>
      </w:r>
      <w:r w:rsidRPr="009827F0">
        <w:t>uvedených</w:t>
      </w:r>
      <w:r>
        <w:t xml:space="preserve"> </w:t>
      </w:r>
      <w:r w:rsidRPr="009827F0">
        <w:t>v</w:t>
      </w:r>
      <w:r>
        <w:t xml:space="preserve"> </w:t>
      </w:r>
      <w:r w:rsidRPr="009827F0">
        <w:t>odstavci</w:t>
      </w:r>
      <w:r>
        <w:t xml:space="preserve"> </w:t>
      </w:r>
      <w:r w:rsidRPr="009827F0">
        <w:t>1</w:t>
      </w:r>
      <w:r>
        <w:t xml:space="preserve"> </w:t>
      </w:r>
      <w:r w:rsidRPr="009827F0">
        <w:t>písm.</w:t>
      </w:r>
      <w:r>
        <w:t xml:space="preserve"> </w:t>
      </w:r>
      <w:r w:rsidRPr="009827F0">
        <w:t>j)</w:t>
      </w:r>
      <w:r>
        <w:t xml:space="preserve"> </w:t>
      </w:r>
      <w:r w:rsidRPr="009827F0">
        <w:t>je</w:t>
      </w:r>
      <w:r>
        <w:t xml:space="preserve"> </w:t>
      </w:r>
      <w:r w:rsidRPr="009827F0">
        <w:t>právo</w:t>
      </w:r>
      <w:r>
        <w:t xml:space="preserve"> </w:t>
      </w:r>
      <w:r w:rsidRPr="009827F0">
        <w:t>na</w:t>
      </w:r>
      <w:r>
        <w:t xml:space="preserve"> </w:t>
      </w:r>
      <w:r w:rsidRPr="009827F0">
        <w:t>náhradu</w:t>
      </w:r>
      <w:r>
        <w:t xml:space="preserve"> </w:t>
      </w:r>
      <w:r w:rsidRPr="009827F0">
        <w:t>škody</w:t>
      </w:r>
      <w:r>
        <w:t xml:space="preserve"> </w:t>
      </w:r>
      <w:r w:rsidRPr="009827F0">
        <w:t>vyloučeno.</w:t>
      </w:r>
      <w:r>
        <w:t xml:space="preserve"> </w:t>
      </w:r>
      <w:r w:rsidRPr="009827F0">
        <w:t>To</w:t>
      </w:r>
      <w:r>
        <w:t xml:space="preserve"> </w:t>
      </w:r>
      <w:r w:rsidRPr="009827F0">
        <w:t>neplatí,</w:t>
      </w:r>
      <w:r>
        <w:t xml:space="preserve"> </w:t>
      </w:r>
      <w:r w:rsidRPr="009827F0">
        <w:t>nesplní-li</w:t>
      </w:r>
      <w:r>
        <w:t xml:space="preserve"> </w:t>
      </w:r>
      <w:r w:rsidRPr="009827F0">
        <w:t>provozovatel</w:t>
      </w:r>
      <w:r>
        <w:t xml:space="preserve"> </w:t>
      </w:r>
      <w:r w:rsidRPr="009827F0">
        <w:t>distribuční</w:t>
      </w:r>
      <w:r>
        <w:t xml:space="preserve"> </w:t>
      </w:r>
      <w:r w:rsidRPr="009827F0">
        <w:t>soustavy</w:t>
      </w:r>
      <w:r>
        <w:t xml:space="preserve"> </w:t>
      </w:r>
      <w:r w:rsidRPr="009827F0">
        <w:t>oznamovací</w:t>
      </w:r>
      <w:r>
        <w:t xml:space="preserve"> </w:t>
      </w:r>
      <w:r w:rsidRPr="009827F0">
        <w:t>povinnost</w:t>
      </w:r>
      <w:r>
        <w:t xml:space="preserve"> </w:t>
      </w:r>
      <w:r w:rsidRPr="009827F0">
        <w:t>podle</w:t>
      </w:r>
      <w:r>
        <w:t xml:space="preserve"> </w:t>
      </w:r>
      <w:r w:rsidRPr="009827F0">
        <w:t>odstavce</w:t>
      </w:r>
      <w:r>
        <w:t xml:space="preserve"> </w:t>
      </w:r>
      <w:r w:rsidRPr="009827F0">
        <w:t>5</w:t>
      </w:r>
      <w:r>
        <w:t xml:space="preserve"> </w:t>
      </w:r>
      <w:r w:rsidRPr="009827F0">
        <w:t>nebo</w:t>
      </w:r>
      <w:r>
        <w:t xml:space="preserve"> </w:t>
      </w:r>
      <w:r w:rsidRPr="009827F0">
        <w:t>v</w:t>
      </w:r>
      <w:r>
        <w:t xml:space="preserve"> </w:t>
      </w:r>
      <w:r w:rsidRPr="009827F0">
        <w:t>případech,</w:t>
      </w:r>
      <w:r>
        <w:t xml:space="preserve"> </w:t>
      </w:r>
      <w:r w:rsidRPr="009827F0">
        <w:t>kdy</w:t>
      </w:r>
      <w:r>
        <w:t xml:space="preserve"> </w:t>
      </w:r>
      <w:r w:rsidRPr="009827F0">
        <w:t>poruchu</w:t>
      </w:r>
      <w:r>
        <w:t xml:space="preserve"> </w:t>
      </w:r>
      <w:r w:rsidRPr="009827F0">
        <w:t>prokazatelně</w:t>
      </w:r>
      <w:r>
        <w:t xml:space="preserve"> </w:t>
      </w:r>
      <w:r w:rsidRPr="009827F0">
        <w:t>zavinil</w:t>
      </w:r>
      <w:r>
        <w:t xml:space="preserve"> </w:t>
      </w:r>
      <w:r w:rsidRPr="009827F0">
        <w:t>provozovatel</w:t>
      </w:r>
      <w:r>
        <w:t xml:space="preserve"> </w:t>
      </w:r>
      <w:r w:rsidRPr="009827F0">
        <w:t>distribuční</w:t>
      </w:r>
      <w:r>
        <w:t xml:space="preserve"> </w:t>
      </w:r>
      <w:r w:rsidRPr="009827F0">
        <w:t>soustavy.</w:t>
      </w:r>
      <w:r>
        <w:t xml:space="preserve"> </w:t>
      </w:r>
      <w:r w:rsidRPr="009827F0">
        <w:t>Při</w:t>
      </w:r>
      <w:r>
        <w:t xml:space="preserve"> </w:t>
      </w:r>
      <w:r w:rsidRPr="009827F0">
        <w:t>poskytování</w:t>
      </w:r>
      <w:r>
        <w:t xml:space="preserve"> </w:t>
      </w:r>
      <w:r w:rsidRPr="009827F0">
        <w:t>mezinárodní</w:t>
      </w:r>
      <w:r>
        <w:t xml:space="preserve"> </w:t>
      </w:r>
      <w:r w:rsidRPr="009827F0">
        <w:t>pomoci</w:t>
      </w:r>
      <w:r>
        <w:t xml:space="preserve"> </w:t>
      </w:r>
      <w:r w:rsidRPr="009827F0">
        <w:t>v</w:t>
      </w:r>
      <w:r>
        <w:t xml:space="preserve"> </w:t>
      </w:r>
      <w:r w:rsidRPr="009827F0">
        <w:t>krizových</w:t>
      </w:r>
      <w:r>
        <w:t xml:space="preserve"> </w:t>
      </w:r>
      <w:r w:rsidRPr="009827F0">
        <w:t>situacích</w:t>
      </w:r>
      <w:r>
        <w:t xml:space="preserve"> </w:t>
      </w:r>
      <w:r w:rsidRPr="009827F0">
        <w:t>v</w:t>
      </w:r>
      <w:r>
        <w:t xml:space="preserve"> </w:t>
      </w:r>
      <w:r w:rsidRPr="009827F0">
        <w:t>plynárenství</w:t>
      </w:r>
      <w:r>
        <w:t xml:space="preserve"> </w:t>
      </w:r>
      <w:r w:rsidRPr="009827F0">
        <w:t>se</w:t>
      </w:r>
      <w:r>
        <w:t xml:space="preserve"> </w:t>
      </w:r>
      <w:r w:rsidRPr="009827F0">
        <w:t>náhrada</w:t>
      </w:r>
      <w:r>
        <w:t xml:space="preserve"> </w:t>
      </w:r>
      <w:r w:rsidRPr="009827F0">
        <w:t>škody</w:t>
      </w:r>
      <w:r>
        <w:t xml:space="preserve"> </w:t>
      </w:r>
      <w:r w:rsidRPr="009827F0">
        <w:t>poskytuje</w:t>
      </w:r>
      <w:r>
        <w:t xml:space="preserve"> </w:t>
      </w:r>
      <w:r w:rsidRPr="009827F0">
        <w:t>podle</w:t>
      </w:r>
      <w:r>
        <w:t xml:space="preserve"> </w:t>
      </w:r>
      <w:r w:rsidRPr="009827F0">
        <w:t>přímo</w:t>
      </w:r>
      <w:r>
        <w:t xml:space="preserve"> </w:t>
      </w:r>
      <w:r w:rsidRPr="009827F0">
        <w:t>použitelného</w:t>
      </w:r>
      <w:r>
        <w:t xml:space="preserve"> </w:t>
      </w:r>
      <w:r w:rsidRPr="009827F0">
        <w:t>předpisu</w:t>
      </w:r>
      <w:r>
        <w:t xml:space="preserve"> </w:t>
      </w:r>
      <w:r w:rsidRPr="009827F0">
        <w:t>Evropské</w:t>
      </w:r>
      <w:r>
        <w:t xml:space="preserve"> </w:t>
      </w:r>
      <w:r w:rsidRPr="009827F0">
        <w:t>unie</w:t>
      </w:r>
      <w:r>
        <w:t xml:space="preserve"> </w:t>
      </w:r>
      <w:r w:rsidRPr="009827F0">
        <w:t>upravujícího</w:t>
      </w:r>
      <w:r>
        <w:t xml:space="preserve"> </w:t>
      </w:r>
      <w:r w:rsidRPr="009827F0">
        <w:t>opatření</w:t>
      </w:r>
      <w:r>
        <w:t xml:space="preserve"> </w:t>
      </w:r>
      <w:r w:rsidRPr="009827F0">
        <w:t>na</w:t>
      </w:r>
      <w:r>
        <w:t xml:space="preserve"> </w:t>
      </w:r>
      <w:r w:rsidRPr="009827F0">
        <w:t>zajištění</w:t>
      </w:r>
      <w:r>
        <w:t xml:space="preserve"> </w:t>
      </w:r>
      <w:r w:rsidRPr="009827F0">
        <w:t>bezpečnosti</w:t>
      </w:r>
      <w:r>
        <w:t xml:space="preserve"> </w:t>
      </w:r>
      <w:r w:rsidRPr="009827F0">
        <w:t>dodávek</w:t>
      </w:r>
      <w:r>
        <w:t xml:space="preserve"> </w:t>
      </w:r>
      <w:r w:rsidRPr="009827F0">
        <w:t>zemního</w:t>
      </w:r>
      <w:r>
        <w:t xml:space="preserve"> </w:t>
      </w:r>
      <w:r w:rsidRPr="009827F0">
        <w:t>plynu</w:t>
      </w:r>
      <w:r w:rsidR="00FF6857">
        <w:t>.</w:t>
      </w:r>
      <w:r w:rsidR="007125EE">
        <w:t xml:space="preserve"> </w:t>
      </w:r>
      <w:r w:rsidRPr="00FF6857">
        <w:rPr>
          <w:vertAlign w:val="superscript"/>
        </w:rPr>
        <w:t>21)</w:t>
      </w:r>
    </w:p>
    <w:p w14:paraId="198298C2" w14:textId="77777777" w:rsidR="00BF3171" w:rsidRDefault="00BF3171" w:rsidP="0010420C">
      <w:pPr>
        <w:pStyle w:val="Textparagrafu"/>
        <w:tabs>
          <w:tab w:val="left" w:pos="392"/>
          <w:tab w:val="left" w:pos="840"/>
        </w:tabs>
        <w:spacing w:before="120" w:after="120"/>
      </w:pPr>
      <w:r w:rsidRPr="009827F0">
        <w:t>(8)</w:t>
      </w:r>
      <w:r>
        <w:t xml:space="preserve"> </w:t>
      </w:r>
      <w:r w:rsidRPr="009827F0">
        <w:t>Provozovatel</w:t>
      </w:r>
      <w:r>
        <w:t xml:space="preserve"> </w:t>
      </w:r>
      <w:r w:rsidRPr="009827F0">
        <w:t>distribuční</w:t>
      </w:r>
      <w:r>
        <w:t xml:space="preserve"> </w:t>
      </w:r>
      <w:r w:rsidRPr="009827F0">
        <w:t>soustavy</w:t>
      </w:r>
      <w:r>
        <w:t xml:space="preserve"> </w:t>
      </w:r>
      <w:r w:rsidRPr="009827F0">
        <w:t>je</w:t>
      </w:r>
      <w:r>
        <w:t xml:space="preserve"> </w:t>
      </w:r>
      <w:r w:rsidRPr="009827F0">
        <w:t>dále</w:t>
      </w:r>
      <w:r>
        <w:t xml:space="preserve"> </w:t>
      </w:r>
      <w:r w:rsidRPr="009827F0">
        <w:t>povinen</w:t>
      </w:r>
    </w:p>
    <w:p w14:paraId="422B0E79" w14:textId="4EC8B463" w:rsidR="00BF3171" w:rsidRDefault="00BF3171" w:rsidP="002E6AEA">
      <w:pPr>
        <w:pStyle w:val="Textparagrafu"/>
        <w:tabs>
          <w:tab w:val="left" w:pos="392"/>
          <w:tab w:val="left" w:pos="840"/>
        </w:tabs>
        <w:spacing w:before="0"/>
        <w:ind w:left="426" w:hanging="426"/>
      </w:pPr>
      <w:r w:rsidRPr="009827F0">
        <w:t>a)</w:t>
      </w:r>
      <w:r w:rsidR="00FF6857">
        <w:tab/>
      </w:r>
      <w:r w:rsidRPr="009827F0">
        <w:t>zajistit</w:t>
      </w:r>
      <w:r>
        <w:t xml:space="preserve"> </w:t>
      </w:r>
      <w:r w:rsidRPr="009827F0">
        <w:t>bezpečný,</w:t>
      </w:r>
      <w:r>
        <w:t xml:space="preserve"> </w:t>
      </w:r>
      <w:r w:rsidRPr="009827F0">
        <w:t>spolehlivý</w:t>
      </w:r>
      <w:r>
        <w:t xml:space="preserve"> </w:t>
      </w:r>
      <w:r w:rsidRPr="009827F0">
        <w:t>a</w:t>
      </w:r>
      <w:r>
        <w:t xml:space="preserve"> </w:t>
      </w:r>
      <w:r w:rsidRPr="009827F0">
        <w:t>hospodárný</w:t>
      </w:r>
      <w:r>
        <w:t xml:space="preserve"> </w:t>
      </w:r>
      <w:r w:rsidRPr="009827F0">
        <w:t>provoz,</w:t>
      </w:r>
      <w:r>
        <w:t xml:space="preserve"> </w:t>
      </w:r>
      <w:r w:rsidRPr="009827F0">
        <w:t>údržbu,</w:t>
      </w:r>
      <w:r>
        <w:t xml:space="preserve"> </w:t>
      </w:r>
      <w:r w:rsidRPr="009827F0">
        <w:t>obnovu</w:t>
      </w:r>
      <w:r>
        <w:t xml:space="preserve"> </w:t>
      </w:r>
      <w:r w:rsidRPr="009827F0">
        <w:t>a</w:t>
      </w:r>
      <w:r>
        <w:t xml:space="preserve"> </w:t>
      </w:r>
      <w:r w:rsidRPr="009827F0">
        <w:t>rozvoj</w:t>
      </w:r>
      <w:r>
        <w:t xml:space="preserve"> </w:t>
      </w:r>
      <w:r w:rsidRPr="009827F0">
        <w:t>distribuční</w:t>
      </w:r>
      <w:r>
        <w:t xml:space="preserve"> </w:t>
      </w:r>
      <w:r w:rsidRPr="009827F0">
        <w:t>soustavy</w:t>
      </w:r>
      <w:r>
        <w:t xml:space="preserve"> </w:t>
      </w:r>
      <w:r w:rsidRPr="009827F0">
        <w:t>na</w:t>
      </w:r>
      <w:r>
        <w:t xml:space="preserve"> </w:t>
      </w:r>
      <w:r w:rsidRPr="009827F0">
        <w:t>území</w:t>
      </w:r>
      <w:r>
        <w:t xml:space="preserve"> </w:t>
      </w:r>
      <w:r w:rsidRPr="009827F0">
        <w:t>vymezeném</w:t>
      </w:r>
      <w:r>
        <w:t xml:space="preserve"> </w:t>
      </w:r>
      <w:r w:rsidRPr="009827F0">
        <w:t>licencí,</w:t>
      </w:r>
    </w:p>
    <w:p w14:paraId="08D71ECD" w14:textId="631E097B" w:rsidR="00BF3171" w:rsidRDefault="00BF3171" w:rsidP="002E6AEA">
      <w:pPr>
        <w:pStyle w:val="Textparagrafu"/>
        <w:tabs>
          <w:tab w:val="left" w:pos="392"/>
          <w:tab w:val="left" w:pos="840"/>
        </w:tabs>
        <w:spacing w:before="0"/>
        <w:ind w:left="426" w:hanging="426"/>
      </w:pPr>
      <w:r w:rsidRPr="009827F0">
        <w:t>b)</w:t>
      </w:r>
      <w:r w:rsidR="00FF6857">
        <w:tab/>
      </w:r>
      <w:r w:rsidRPr="009827F0">
        <w:t>poskytnout</w:t>
      </w:r>
      <w:r>
        <w:t xml:space="preserve"> </w:t>
      </w:r>
      <w:r w:rsidRPr="009827F0">
        <w:t>službu</w:t>
      </w:r>
      <w:r>
        <w:t xml:space="preserve"> </w:t>
      </w:r>
      <w:r w:rsidRPr="009827F0">
        <w:t>distribuční</w:t>
      </w:r>
      <w:r>
        <w:t xml:space="preserve"> </w:t>
      </w:r>
      <w:r w:rsidRPr="009827F0">
        <w:t>soustavy,</w:t>
      </w:r>
    </w:p>
    <w:p w14:paraId="3FC54A62" w14:textId="55B20270" w:rsidR="00BF3171" w:rsidRDefault="00BF3171" w:rsidP="002E6AEA">
      <w:pPr>
        <w:pStyle w:val="Textparagrafu"/>
        <w:tabs>
          <w:tab w:val="left" w:pos="392"/>
          <w:tab w:val="left" w:pos="840"/>
        </w:tabs>
        <w:spacing w:before="0"/>
        <w:ind w:left="426" w:hanging="426"/>
      </w:pPr>
      <w:r w:rsidRPr="009827F0">
        <w:t>c)</w:t>
      </w:r>
      <w:r w:rsidR="00FF6857">
        <w:tab/>
      </w:r>
      <w:r w:rsidRPr="009827F0">
        <w:t>uhradit</w:t>
      </w:r>
      <w:r>
        <w:t xml:space="preserve"> </w:t>
      </w:r>
      <w:r w:rsidRPr="009827F0">
        <w:t>provozovateli</w:t>
      </w:r>
      <w:r>
        <w:t xml:space="preserve"> </w:t>
      </w:r>
      <w:r w:rsidRPr="009827F0">
        <w:t>přepravní</w:t>
      </w:r>
      <w:r>
        <w:t xml:space="preserve"> </w:t>
      </w:r>
      <w:r w:rsidRPr="009827F0">
        <w:t>soustavy</w:t>
      </w:r>
      <w:r>
        <w:t xml:space="preserve"> </w:t>
      </w:r>
      <w:r w:rsidRPr="009827F0">
        <w:t>nebo</w:t>
      </w:r>
      <w:r>
        <w:t xml:space="preserve"> </w:t>
      </w:r>
      <w:r w:rsidRPr="009827F0">
        <w:t>provozovateli</w:t>
      </w:r>
      <w:r>
        <w:t xml:space="preserve"> </w:t>
      </w:r>
      <w:r w:rsidRPr="009827F0">
        <w:t>jiné</w:t>
      </w:r>
      <w:r>
        <w:t xml:space="preserve"> </w:t>
      </w:r>
      <w:r w:rsidRPr="009827F0">
        <w:t>distribuční</w:t>
      </w:r>
      <w:r>
        <w:t xml:space="preserve"> </w:t>
      </w:r>
      <w:r w:rsidRPr="009827F0">
        <w:t>soustavy</w:t>
      </w:r>
      <w:r>
        <w:t xml:space="preserve"> </w:t>
      </w:r>
      <w:r w:rsidRPr="009827F0">
        <w:t>stanovený</w:t>
      </w:r>
      <w:r>
        <w:t xml:space="preserve"> </w:t>
      </w:r>
      <w:r w:rsidRPr="009827F0">
        <w:t>podíl</w:t>
      </w:r>
      <w:r>
        <w:t xml:space="preserve"> </w:t>
      </w:r>
      <w:r w:rsidRPr="009827F0">
        <w:t>na</w:t>
      </w:r>
      <w:r>
        <w:t xml:space="preserve"> </w:t>
      </w:r>
      <w:r w:rsidRPr="009827F0">
        <w:t>oprávněných</w:t>
      </w:r>
      <w:r>
        <w:t xml:space="preserve"> </w:t>
      </w:r>
      <w:r w:rsidRPr="009827F0">
        <w:t>nákladech</w:t>
      </w:r>
      <w:r>
        <w:t xml:space="preserve"> </w:t>
      </w:r>
      <w:r w:rsidRPr="009827F0">
        <w:t>na</w:t>
      </w:r>
      <w:r>
        <w:t xml:space="preserve"> </w:t>
      </w:r>
      <w:r w:rsidRPr="009827F0">
        <w:t>připojení</w:t>
      </w:r>
      <w:r>
        <w:t xml:space="preserve"> </w:t>
      </w:r>
      <w:r w:rsidRPr="009827F0">
        <w:t>k</w:t>
      </w:r>
      <w:r>
        <w:t xml:space="preserve"> </w:t>
      </w:r>
      <w:r w:rsidRPr="009827F0">
        <w:t>přepravní</w:t>
      </w:r>
      <w:r>
        <w:t xml:space="preserve"> </w:t>
      </w:r>
      <w:r w:rsidRPr="009827F0">
        <w:t>nebo</w:t>
      </w:r>
      <w:r>
        <w:t xml:space="preserve"> </w:t>
      </w:r>
      <w:r w:rsidRPr="009827F0">
        <w:t>distribuční</w:t>
      </w:r>
      <w:r>
        <w:t xml:space="preserve"> </w:t>
      </w:r>
      <w:r w:rsidRPr="009827F0">
        <w:t>soustavě,</w:t>
      </w:r>
    </w:p>
    <w:p w14:paraId="0EC35604" w14:textId="0F703EB9" w:rsidR="00BF3171" w:rsidRDefault="00BF3171" w:rsidP="002E6AEA">
      <w:pPr>
        <w:pStyle w:val="Textparagrafu"/>
        <w:tabs>
          <w:tab w:val="left" w:pos="392"/>
          <w:tab w:val="left" w:pos="840"/>
        </w:tabs>
        <w:spacing w:before="0"/>
        <w:ind w:left="426" w:hanging="426"/>
      </w:pPr>
      <w:r w:rsidRPr="009827F0">
        <w:t>d)</w:t>
      </w:r>
      <w:r w:rsidR="00FF6857">
        <w:tab/>
      </w:r>
      <w:r w:rsidRPr="009827F0">
        <w:t>připojit</w:t>
      </w:r>
      <w:r>
        <w:t xml:space="preserve"> </w:t>
      </w:r>
      <w:r w:rsidRPr="009827F0">
        <w:t>k</w:t>
      </w:r>
      <w:r>
        <w:t xml:space="preserve"> </w:t>
      </w:r>
      <w:r w:rsidRPr="009827F0">
        <w:t>distribuční</w:t>
      </w:r>
      <w:r>
        <w:t xml:space="preserve"> </w:t>
      </w:r>
      <w:r w:rsidRPr="009827F0">
        <w:t>soustavě</w:t>
      </w:r>
      <w:r>
        <w:t xml:space="preserve"> </w:t>
      </w:r>
      <w:r w:rsidRPr="009827F0">
        <w:t>každého,</w:t>
      </w:r>
      <w:r>
        <w:t xml:space="preserve"> </w:t>
      </w:r>
      <w:r w:rsidRPr="009827F0">
        <w:t>kdo</w:t>
      </w:r>
      <w:r>
        <w:t xml:space="preserve"> </w:t>
      </w:r>
      <w:r w:rsidRPr="009827F0">
        <w:t>o</w:t>
      </w:r>
      <w:r>
        <w:t xml:space="preserve"> </w:t>
      </w:r>
      <w:r w:rsidRPr="009827F0">
        <w:t>to</w:t>
      </w:r>
      <w:r>
        <w:t xml:space="preserve"> </w:t>
      </w:r>
      <w:r w:rsidRPr="009827F0">
        <w:t>požádá</w:t>
      </w:r>
      <w:r>
        <w:t xml:space="preserve"> </w:t>
      </w:r>
      <w:r w:rsidRPr="009827F0">
        <w:t>a</w:t>
      </w:r>
      <w:r>
        <w:t xml:space="preserve"> </w:t>
      </w:r>
      <w:r w:rsidRPr="009827F0">
        <w:t>splňuje</w:t>
      </w:r>
      <w:r>
        <w:t xml:space="preserve"> </w:t>
      </w:r>
      <w:r w:rsidRPr="009827F0">
        <w:t>stanovené</w:t>
      </w:r>
      <w:r>
        <w:t xml:space="preserve"> </w:t>
      </w:r>
      <w:r w:rsidRPr="009827F0">
        <w:t>podmínky,</w:t>
      </w:r>
      <w:r>
        <w:t xml:space="preserve"> </w:t>
      </w:r>
      <w:r w:rsidRPr="009827F0">
        <w:t>a</w:t>
      </w:r>
      <w:r>
        <w:t xml:space="preserve"> </w:t>
      </w:r>
      <w:r w:rsidRPr="009827F0">
        <w:t>oznámit</w:t>
      </w:r>
      <w:r>
        <w:t xml:space="preserve"> </w:t>
      </w:r>
      <w:r w:rsidRPr="009827F0">
        <w:t>termín,</w:t>
      </w:r>
      <w:r>
        <w:t xml:space="preserve"> </w:t>
      </w:r>
      <w:r w:rsidRPr="009827F0">
        <w:t>kdy</w:t>
      </w:r>
      <w:r>
        <w:t xml:space="preserve"> </w:t>
      </w:r>
      <w:r w:rsidRPr="009827F0">
        <w:t>bude</w:t>
      </w:r>
      <w:r>
        <w:t xml:space="preserve"> </w:t>
      </w:r>
      <w:r w:rsidRPr="009827F0">
        <w:t>možné</w:t>
      </w:r>
      <w:r>
        <w:t xml:space="preserve"> </w:t>
      </w:r>
      <w:r w:rsidRPr="009827F0">
        <w:t>žádosti</w:t>
      </w:r>
      <w:r>
        <w:t xml:space="preserve"> </w:t>
      </w:r>
      <w:r w:rsidRPr="009827F0">
        <w:t>o</w:t>
      </w:r>
      <w:r>
        <w:t xml:space="preserve"> </w:t>
      </w:r>
      <w:r w:rsidRPr="009827F0">
        <w:t>připojení</w:t>
      </w:r>
      <w:r>
        <w:t xml:space="preserve"> </w:t>
      </w:r>
      <w:r w:rsidRPr="009827F0">
        <w:t>k</w:t>
      </w:r>
      <w:r>
        <w:t xml:space="preserve"> </w:t>
      </w:r>
      <w:r w:rsidRPr="009827F0">
        <w:t>distribuční</w:t>
      </w:r>
      <w:r>
        <w:t xml:space="preserve"> </w:t>
      </w:r>
      <w:r w:rsidRPr="009827F0">
        <w:t>soustavě</w:t>
      </w:r>
      <w:r>
        <w:t xml:space="preserve"> </w:t>
      </w:r>
      <w:r w:rsidRPr="009827F0">
        <w:t>vyhovět;</w:t>
      </w:r>
      <w:r>
        <w:t xml:space="preserve"> </w:t>
      </w:r>
      <w:r w:rsidRPr="009827F0">
        <w:t>pokud</w:t>
      </w:r>
      <w:r>
        <w:t xml:space="preserve"> </w:t>
      </w:r>
      <w:r w:rsidRPr="009827F0">
        <w:t>není</w:t>
      </w:r>
      <w:r>
        <w:t xml:space="preserve"> </w:t>
      </w:r>
      <w:r w:rsidRPr="009827F0">
        <w:t>připojení</w:t>
      </w:r>
      <w:r>
        <w:t xml:space="preserve"> </w:t>
      </w:r>
      <w:r w:rsidRPr="009827F0">
        <w:t>možné</w:t>
      </w:r>
      <w:r>
        <w:t xml:space="preserve"> </w:t>
      </w:r>
      <w:r w:rsidRPr="009827F0">
        <w:t>z</w:t>
      </w:r>
      <w:r>
        <w:t xml:space="preserve"> </w:t>
      </w:r>
      <w:r w:rsidRPr="009827F0">
        <w:t>důvodů</w:t>
      </w:r>
      <w:r>
        <w:t xml:space="preserve"> </w:t>
      </w:r>
      <w:r w:rsidRPr="009827F0">
        <w:t>na</w:t>
      </w:r>
      <w:r>
        <w:t xml:space="preserve"> </w:t>
      </w:r>
      <w:r w:rsidRPr="009827F0">
        <w:t>straně</w:t>
      </w:r>
      <w:r>
        <w:t xml:space="preserve"> </w:t>
      </w:r>
      <w:r w:rsidRPr="009827F0">
        <w:t>provozovatele</w:t>
      </w:r>
      <w:r>
        <w:t xml:space="preserve"> </w:t>
      </w:r>
      <w:r w:rsidRPr="009827F0">
        <w:t>distribuční</w:t>
      </w:r>
      <w:r>
        <w:t xml:space="preserve"> </w:t>
      </w:r>
      <w:r w:rsidRPr="009827F0">
        <w:t>soustavy,</w:t>
      </w:r>
      <w:r>
        <w:t xml:space="preserve"> </w:t>
      </w:r>
      <w:r w:rsidRPr="009827F0">
        <w:t>oznámit</w:t>
      </w:r>
      <w:r>
        <w:t xml:space="preserve"> </w:t>
      </w:r>
      <w:r w:rsidRPr="009827F0">
        <w:t>žadateli</w:t>
      </w:r>
      <w:r>
        <w:t xml:space="preserve"> </w:t>
      </w:r>
      <w:r w:rsidRPr="009827F0">
        <w:t>důvody</w:t>
      </w:r>
      <w:r>
        <w:t xml:space="preserve"> </w:t>
      </w:r>
      <w:r w:rsidRPr="009827F0">
        <w:t>nemožnosti</w:t>
      </w:r>
      <w:r>
        <w:t xml:space="preserve"> </w:t>
      </w:r>
      <w:r w:rsidRPr="009827F0">
        <w:t>připojení,</w:t>
      </w:r>
    </w:p>
    <w:p w14:paraId="76C784B5" w14:textId="3A0C7AFE" w:rsidR="00BF3171" w:rsidRDefault="00BF3171" w:rsidP="002E6AEA">
      <w:pPr>
        <w:pStyle w:val="Textparagrafu"/>
        <w:tabs>
          <w:tab w:val="left" w:pos="392"/>
          <w:tab w:val="left" w:pos="840"/>
        </w:tabs>
        <w:spacing w:before="0"/>
        <w:ind w:left="426" w:hanging="426"/>
      </w:pPr>
      <w:r w:rsidRPr="009827F0">
        <w:t>e)</w:t>
      </w:r>
      <w:r w:rsidR="00FF6857">
        <w:tab/>
      </w:r>
      <w:r w:rsidRPr="009827F0">
        <w:t>poskytnout</w:t>
      </w:r>
      <w:r>
        <w:t xml:space="preserve"> </w:t>
      </w:r>
      <w:r w:rsidRPr="009827F0">
        <w:t>službu</w:t>
      </w:r>
      <w:r>
        <w:t xml:space="preserve"> </w:t>
      </w:r>
      <w:r w:rsidRPr="009827F0">
        <w:t>distribuční</w:t>
      </w:r>
      <w:r>
        <w:t xml:space="preserve"> </w:t>
      </w:r>
      <w:r w:rsidRPr="009827F0">
        <w:t>soustavy</w:t>
      </w:r>
      <w:r>
        <w:t xml:space="preserve"> </w:t>
      </w:r>
      <w:r w:rsidRPr="009827F0">
        <w:t>každému,</w:t>
      </w:r>
      <w:r>
        <w:t xml:space="preserve"> </w:t>
      </w:r>
      <w:r w:rsidRPr="009827F0">
        <w:t>kdo</w:t>
      </w:r>
      <w:r>
        <w:t xml:space="preserve"> </w:t>
      </w:r>
      <w:r w:rsidRPr="009827F0">
        <w:t>o</w:t>
      </w:r>
      <w:r>
        <w:t xml:space="preserve"> </w:t>
      </w:r>
      <w:r w:rsidRPr="009827F0">
        <w:t>to</w:t>
      </w:r>
      <w:r>
        <w:t xml:space="preserve"> </w:t>
      </w:r>
      <w:r w:rsidRPr="009827F0">
        <w:t>požádá,</w:t>
      </w:r>
      <w:r>
        <w:t xml:space="preserve"> </w:t>
      </w:r>
      <w:r w:rsidRPr="009827F0">
        <w:t>je</w:t>
      </w:r>
      <w:r>
        <w:t xml:space="preserve"> </w:t>
      </w:r>
      <w:r w:rsidRPr="009827F0">
        <w:t>připojen</w:t>
      </w:r>
      <w:r>
        <w:t xml:space="preserve"> </w:t>
      </w:r>
      <w:r w:rsidRPr="009827F0">
        <w:t>a</w:t>
      </w:r>
      <w:r>
        <w:t xml:space="preserve"> </w:t>
      </w:r>
      <w:r w:rsidRPr="009827F0">
        <w:t>splňuje</w:t>
      </w:r>
      <w:r>
        <w:t xml:space="preserve"> </w:t>
      </w:r>
      <w:r w:rsidRPr="009827F0">
        <w:t>podmínky</w:t>
      </w:r>
      <w:r>
        <w:t xml:space="preserve"> </w:t>
      </w:r>
      <w:r w:rsidRPr="009827F0">
        <w:t>připojení</w:t>
      </w:r>
      <w:r>
        <w:t xml:space="preserve"> </w:t>
      </w:r>
      <w:r w:rsidRPr="009827F0">
        <w:t>a</w:t>
      </w:r>
      <w:r>
        <w:t xml:space="preserve"> </w:t>
      </w:r>
      <w:r w:rsidRPr="009827F0">
        <w:t>podmínky</w:t>
      </w:r>
      <w:r>
        <w:t xml:space="preserve"> </w:t>
      </w:r>
      <w:r w:rsidRPr="009827F0">
        <w:t>stanovené</w:t>
      </w:r>
      <w:r>
        <w:t xml:space="preserve"> </w:t>
      </w:r>
      <w:r w:rsidRPr="009827F0">
        <w:t>Řádem</w:t>
      </w:r>
      <w:r>
        <w:t xml:space="preserve"> </w:t>
      </w:r>
      <w:r w:rsidRPr="009827F0">
        <w:t>provozovatele</w:t>
      </w:r>
      <w:r>
        <w:t xml:space="preserve"> </w:t>
      </w:r>
      <w:r w:rsidRPr="009827F0">
        <w:t>distribuční</w:t>
      </w:r>
      <w:r>
        <w:t xml:space="preserve"> </w:t>
      </w:r>
      <w:r w:rsidRPr="009827F0">
        <w:t>soustavy,</w:t>
      </w:r>
      <w:r>
        <w:t xml:space="preserve"> </w:t>
      </w:r>
      <w:r w:rsidRPr="009827F0">
        <w:t>s</w:t>
      </w:r>
      <w:r>
        <w:t xml:space="preserve"> </w:t>
      </w:r>
      <w:r w:rsidRPr="009827F0">
        <w:t>výjimkou</w:t>
      </w:r>
      <w:r>
        <w:t xml:space="preserve"> </w:t>
      </w:r>
      <w:r w:rsidRPr="009827F0">
        <w:t>prokazatelného</w:t>
      </w:r>
      <w:r>
        <w:t xml:space="preserve"> </w:t>
      </w:r>
      <w:r w:rsidRPr="009827F0">
        <w:t>nedostatku</w:t>
      </w:r>
      <w:r>
        <w:t xml:space="preserve"> </w:t>
      </w:r>
      <w:r w:rsidRPr="009827F0">
        <w:t>volné</w:t>
      </w:r>
      <w:r>
        <w:t xml:space="preserve"> </w:t>
      </w:r>
      <w:r w:rsidRPr="009827F0">
        <w:t>kapacity</w:t>
      </w:r>
      <w:r>
        <w:t xml:space="preserve"> </w:t>
      </w:r>
      <w:r w:rsidRPr="009827F0">
        <w:t>zařízení</w:t>
      </w:r>
      <w:r>
        <w:t xml:space="preserve"> </w:t>
      </w:r>
      <w:r w:rsidRPr="009827F0">
        <w:t>pro</w:t>
      </w:r>
      <w:r>
        <w:t xml:space="preserve"> </w:t>
      </w:r>
      <w:r w:rsidRPr="009827F0">
        <w:t>distribuci</w:t>
      </w:r>
      <w:r>
        <w:t xml:space="preserve"> </w:t>
      </w:r>
      <w:r w:rsidRPr="009827F0">
        <w:t>plynu</w:t>
      </w:r>
      <w:r>
        <w:t xml:space="preserve"> </w:t>
      </w:r>
      <w:r w:rsidRPr="009827F0">
        <w:t>nebo</w:t>
      </w:r>
      <w:r>
        <w:t xml:space="preserve"> </w:t>
      </w:r>
      <w:r w:rsidRPr="009827F0">
        <w:t>při</w:t>
      </w:r>
      <w:r>
        <w:t xml:space="preserve"> </w:t>
      </w:r>
      <w:r w:rsidRPr="009827F0">
        <w:t>ohrožení</w:t>
      </w:r>
      <w:r>
        <w:t xml:space="preserve"> </w:t>
      </w:r>
      <w:r w:rsidRPr="009827F0">
        <w:t>spolehlivého</w:t>
      </w:r>
      <w:r>
        <w:t xml:space="preserve"> </w:t>
      </w:r>
      <w:r w:rsidRPr="009827F0">
        <w:t>a</w:t>
      </w:r>
      <w:r>
        <w:t xml:space="preserve"> </w:t>
      </w:r>
      <w:r w:rsidRPr="009827F0">
        <w:t>bezpečného</w:t>
      </w:r>
      <w:r>
        <w:t xml:space="preserve"> </w:t>
      </w:r>
      <w:r w:rsidRPr="009827F0">
        <w:t>provozu</w:t>
      </w:r>
      <w:r>
        <w:t xml:space="preserve"> </w:t>
      </w:r>
      <w:r w:rsidRPr="009827F0">
        <w:t>distribuční</w:t>
      </w:r>
      <w:r>
        <w:t xml:space="preserve"> </w:t>
      </w:r>
      <w:r w:rsidRPr="009827F0">
        <w:t>soustavy</w:t>
      </w:r>
      <w:r>
        <w:t xml:space="preserve"> </w:t>
      </w:r>
      <w:r w:rsidRPr="009827F0">
        <w:t>nebo</w:t>
      </w:r>
      <w:r>
        <w:t xml:space="preserve"> </w:t>
      </w:r>
      <w:r w:rsidRPr="009827F0">
        <w:t>přepravní</w:t>
      </w:r>
      <w:r>
        <w:t xml:space="preserve"> </w:t>
      </w:r>
      <w:r w:rsidRPr="009827F0">
        <w:t>soustavy;</w:t>
      </w:r>
      <w:r>
        <w:t xml:space="preserve"> </w:t>
      </w:r>
      <w:r w:rsidRPr="009827F0">
        <w:t>odmítnutí</w:t>
      </w:r>
      <w:r>
        <w:t xml:space="preserve"> </w:t>
      </w:r>
      <w:r w:rsidRPr="009827F0">
        <w:t>služby</w:t>
      </w:r>
      <w:r>
        <w:t xml:space="preserve"> </w:t>
      </w:r>
      <w:r w:rsidRPr="009827F0">
        <w:t>distribuční</w:t>
      </w:r>
      <w:r>
        <w:t xml:space="preserve"> </w:t>
      </w:r>
      <w:r w:rsidRPr="009827F0">
        <w:t>soustavy</w:t>
      </w:r>
      <w:r>
        <w:t xml:space="preserve"> </w:t>
      </w:r>
      <w:r w:rsidRPr="009827F0">
        <w:t>musí</w:t>
      </w:r>
      <w:r>
        <w:t xml:space="preserve"> </w:t>
      </w:r>
      <w:r w:rsidRPr="009827F0">
        <w:t>mít</w:t>
      </w:r>
      <w:r>
        <w:t xml:space="preserve"> </w:t>
      </w:r>
      <w:r w:rsidRPr="009827F0">
        <w:t>písemnou</w:t>
      </w:r>
      <w:r>
        <w:t xml:space="preserve"> </w:t>
      </w:r>
      <w:r w:rsidRPr="009827F0">
        <w:t>formu</w:t>
      </w:r>
      <w:r>
        <w:t xml:space="preserve"> </w:t>
      </w:r>
      <w:r w:rsidRPr="009827F0">
        <w:t>a</w:t>
      </w:r>
      <w:r>
        <w:t xml:space="preserve"> </w:t>
      </w:r>
      <w:r w:rsidRPr="009827F0">
        <w:t>musí</w:t>
      </w:r>
      <w:r>
        <w:t xml:space="preserve"> </w:t>
      </w:r>
      <w:r w:rsidRPr="009827F0">
        <w:t>být</w:t>
      </w:r>
      <w:r>
        <w:t xml:space="preserve"> </w:t>
      </w:r>
      <w:r w:rsidRPr="009827F0">
        <w:t>odůvodněno,</w:t>
      </w:r>
    </w:p>
    <w:p w14:paraId="5F3B08DE" w14:textId="036BA07B" w:rsidR="00BF3171" w:rsidRDefault="00BF3171" w:rsidP="002E6AEA">
      <w:pPr>
        <w:pStyle w:val="Textparagrafu"/>
        <w:tabs>
          <w:tab w:val="left" w:pos="392"/>
          <w:tab w:val="left" w:pos="840"/>
        </w:tabs>
        <w:spacing w:before="0"/>
        <w:ind w:left="426" w:hanging="426"/>
      </w:pPr>
      <w:r w:rsidRPr="009827F0">
        <w:t>f)</w:t>
      </w:r>
      <w:r w:rsidR="00FF6857">
        <w:tab/>
      </w:r>
      <w:r w:rsidRPr="009827F0">
        <w:t>zajistit</w:t>
      </w:r>
      <w:r>
        <w:t xml:space="preserve"> </w:t>
      </w:r>
      <w:r w:rsidRPr="009827F0">
        <w:t>neznevýhodňující</w:t>
      </w:r>
      <w:r>
        <w:t xml:space="preserve"> </w:t>
      </w:r>
      <w:r w:rsidRPr="009827F0">
        <w:t>podmínky</w:t>
      </w:r>
      <w:r>
        <w:t xml:space="preserve"> </w:t>
      </w:r>
      <w:r w:rsidRPr="009827F0">
        <w:t>pro</w:t>
      </w:r>
      <w:r>
        <w:t xml:space="preserve"> </w:t>
      </w:r>
      <w:r w:rsidRPr="009827F0">
        <w:t>připojení</w:t>
      </w:r>
      <w:r>
        <w:t xml:space="preserve"> </w:t>
      </w:r>
      <w:r w:rsidRPr="009827F0">
        <w:t>a</w:t>
      </w:r>
      <w:r>
        <w:t xml:space="preserve"> </w:t>
      </w:r>
      <w:r w:rsidRPr="009827F0">
        <w:t>přístup</w:t>
      </w:r>
      <w:r>
        <w:t xml:space="preserve"> </w:t>
      </w:r>
      <w:r w:rsidRPr="009827F0">
        <w:t>třetích</w:t>
      </w:r>
      <w:r>
        <w:t xml:space="preserve"> </w:t>
      </w:r>
      <w:r w:rsidRPr="009827F0">
        <w:t>stran</w:t>
      </w:r>
      <w:r>
        <w:t xml:space="preserve"> </w:t>
      </w:r>
      <w:r w:rsidRPr="009827F0">
        <w:t>k</w:t>
      </w:r>
      <w:r>
        <w:t xml:space="preserve"> </w:t>
      </w:r>
      <w:r w:rsidRPr="009827F0">
        <w:t>distribuční</w:t>
      </w:r>
      <w:r>
        <w:t xml:space="preserve"> </w:t>
      </w:r>
      <w:r w:rsidRPr="009827F0">
        <w:t>soustavě</w:t>
      </w:r>
      <w:r>
        <w:t xml:space="preserve"> </w:t>
      </w:r>
      <w:r w:rsidRPr="009827F0">
        <w:t>za</w:t>
      </w:r>
      <w:r>
        <w:t xml:space="preserve"> </w:t>
      </w:r>
      <w:r w:rsidRPr="009827F0">
        <w:t>podmínek</w:t>
      </w:r>
      <w:r>
        <w:t xml:space="preserve"> </w:t>
      </w:r>
      <w:r w:rsidRPr="009827F0">
        <w:t>stanovených</w:t>
      </w:r>
      <w:r>
        <w:t xml:space="preserve"> </w:t>
      </w:r>
      <w:r w:rsidRPr="009827F0">
        <w:t>tímto</w:t>
      </w:r>
      <w:r>
        <w:t xml:space="preserve"> </w:t>
      </w:r>
      <w:r w:rsidRPr="009827F0">
        <w:t>zákonem,</w:t>
      </w:r>
    </w:p>
    <w:p w14:paraId="76D002E3" w14:textId="69A03626" w:rsidR="00BF3171" w:rsidRDefault="00BF3171" w:rsidP="002E6AEA">
      <w:pPr>
        <w:pStyle w:val="Textparagrafu"/>
        <w:tabs>
          <w:tab w:val="left" w:pos="392"/>
          <w:tab w:val="left" w:pos="840"/>
        </w:tabs>
        <w:spacing w:before="0"/>
        <w:ind w:left="426" w:hanging="426"/>
      </w:pPr>
      <w:r w:rsidRPr="009827F0">
        <w:t>g)</w:t>
      </w:r>
      <w:r w:rsidR="00FF6857">
        <w:tab/>
      </w:r>
      <w:r w:rsidRPr="009827F0">
        <w:t>dodržovat</w:t>
      </w:r>
      <w:r>
        <w:t xml:space="preserve"> </w:t>
      </w:r>
      <w:r w:rsidRPr="009827F0">
        <w:t>stanovenou</w:t>
      </w:r>
      <w:r>
        <w:t xml:space="preserve"> </w:t>
      </w:r>
      <w:r w:rsidRPr="009827F0">
        <w:t>kvalitu</w:t>
      </w:r>
      <w:r>
        <w:t xml:space="preserve"> </w:t>
      </w:r>
      <w:r w:rsidRPr="009827F0">
        <w:t>dodávek</w:t>
      </w:r>
      <w:r>
        <w:t xml:space="preserve"> </w:t>
      </w:r>
      <w:r w:rsidRPr="009827F0">
        <w:t>a</w:t>
      </w:r>
      <w:r>
        <w:t xml:space="preserve"> </w:t>
      </w:r>
      <w:r w:rsidRPr="009827F0">
        <w:t>služeb,</w:t>
      </w:r>
      <w:r>
        <w:t xml:space="preserve"> </w:t>
      </w:r>
      <w:r w:rsidRPr="009827F0">
        <w:t>vykazovat</w:t>
      </w:r>
      <w:r>
        <w:t xml:space="preserve"> </w:t>
      </w:r>
      <w:r w:rsidRPr="009827F0">
        <w:t>Energetickému</w:t>
      </w:r>
      <w:r>
        <w:t xml:space="preserve"> </w:t>
      </w:r>
      <w:r w:rsidRPr="009827F0">
        <w:t>regulačnímu</w:t>
      </w:r>
      <w:r>
        <w:t xml:space="preserve"> </w:t>
      </w:r>
      <w:r w:rsidRPr="009827F0">
        <w:t>úřadu</w:t>
      </w:r>
      <w:r>
        <w:t xml:space="preserve"> </w:t>
      </w:r>
      <w:r w:rsidRPr="009827F0">
        <w:t>dodržování</w:t>
      </w:r>
      <w:r>
        <w:t xml:space="preserve"> </w:t>
      </w:r>
      <w:r w:rsidRPr="009827F0">
        <w:t>úrovně</w:t>
      </w:r>
      <w:r>
        <w:t xml:space="preserve"> </w:t>
      </w:r>
      <w:r w:rsidRPr="009827F0">
        <w:t>kvality</w:t>
      </w:r>
      <w:r>
        <w:t xml:space="preserve"> </w:t>
      </w:r>
      <w:r w:rsidRPr="009827F0">
        <w:t>dodávek</w:t>
      </w:r>
      <w:r>
        <w:t xml:space="preserve"> </w:t>
      </w:r>
      <w:r w:rsidRPr="009827F0">
        <w:t>a</w:t>
      </w:r>
      <w:r>
        <w:t xml:space="preserve"> </w:t>
      </w:r>
      <w:r w:rsidRPr="009827F0">
        <w:t>služeb</w:t>
      </w:r>
      <w:r>
        <w:t xml:space="preserve"> </w:t>
      </w:r>
      <w:r w:rsidRPr="009827F0">
        <w:t>a</w:t>
      </w:r>
      <w:r>
        <w:t xml:space="preserve"> </w:t>
      </w:r>
      <w:r w:rsidRPr="009827F0">
        <w:t>zveřejňovat</w:t>
      </w:r>
      <w:r>
        <w:t xml:space="preserve"> </w:t>
      </w:r>
      <w:r w:rsidRPr="009827F0">
        <w:t>ji</w:t>
      </w:r>
      <w:r>
        <w:t xml:space="preserve"> </w:t>
      </w:r>
      <w:r w:rsidRPr="009827F0">
        <w:t>způsobem</w:t>
      </w:r>
      <w:r>
        <w:t xml:space="preserve"> </w:t>
      </w:r>
      <w:r w:rsidRPr="009827F0">
        <w:t>umožňujícím</w:t>
      </w:r>
      <w:r>
        <w:t xml:space="preserve"> </w:t>
      </w:r>
      <w:r w:rsidRPr="009827F0">
        <w:t>dálkový</w:t>
      </w:r>
      <w:r>
        <w:t xml:space="preserve"> </w:t>
      </w:r>
      <w:r w:rsidRPr="009827F0">
        <w:t>přístup,</w:t>
      </w:r>
    </w:p>
    <w:p w14:paraId="250BC14B" w14:textId="3DF485DC" w:rsidR="00BF3171" w:rsidRDefault="00BF3171" w:rsidP="002E6AEA">
      <w:pPr>
        <w:pStyle w:val="Textparagrafu"/>
        <w:tabs>
          <w:tab w:val="left" w:pos="392"/>
          <w:tab w:val="left" w:pos="840"/>
        </w:tabs>
        <w:spacing w:before="0"/>
        <w:ind w:left="426" w:hanging="426"/>
      </w:pPr>
      <w:r w:rsidRPr="009827F0">
        <w:t>h)</w:t>
      </w:r>
      <w:r w:rsidR="00FF6857">
        <w:tab/>
      </w:r>
      <w:r w:rsidRPr="009827F0">
        <w:t>poskytovat</w:t>
      </w:r>
      <w:r>
        <w:t xml:space="preserve"> </w:t>
      </w:r>
      <w:r w:rsidRPr="009827F0">
        <w:t>provozovateli</w:t>
      </w:r>
      <w:r>
        <w:t xml:space="preserve"> </w:t>
      </w:r>
      <w:r w:rsidRPr="009827F0">
        <w:t>přepravní</w:t>
      </w:r>
      <w:r>
        <w:t xml:space="preserve"> </w:t>
      </w:r>
      <w:r w:rsidRPr="009827F0">
        <w:t>soustavy</w:t>
      </w:r>
      <w:r>
        <w:t xml:space="preserve"> </w:t>
      </w:r>
      <w:r w:rsidRPr="009827F0">
        <w:t>a</w:t>
      </w:r>
      <w:r>
        <w:t xml:space="preserve"> </w:t>
      </w:r>
      <w:r w:rsidRPr="009827F0">
        <w:t>provozovatelům</w:t>
      </w:r>
      <w:r>
        <w:t xml:space="preserve"> </w:t>
      </w:r>
      <w:r w:rsidRPr="009827F0">
        <w:t>distribučních</w:t>
      </w:r>
      <w:r>
        <w:t xml:space="preserve"> </w:t>
      </w:r>
      <w:r w:rsidRPr="009827F0">
        <w:t>soustav,</w:t>
      </w:r>
      <w:r>
        <w:t xml:space="preserve"> </w:t>
      </w:r>
      <w:r w:rsidRPr="009827F0">
        <w:t>provozovatelům</w:t>
      </w:r>
      <w:r>
        <w:t xml:space="preserve"> </w:t>
      </w:r>
      <w:r w:rsidRPr="009827F0">
        <w:t>zásobníků</w:t>
      </w:r>
      <w:r>
        <w:t xml:space="preserve"> </w:t>
      </w:r>
      <w:r w:rsidRPr="009827F0">
        <w:t>plynu</w:t>
      </w:r>
      <w:r>
        <w:t xml:space="preserve"> </w:t>
      </w:r>
      <w:r w:rsidRPr="009827F0">
        <w:t>a</w:t>
      </w:r>
      <w:r>
        <w:t xml:space="preserve"> </w:t>
      </w:r>
      <w:r w:rsidRPr="009827F0">
        <w:t>výrobcům</w:t>
      </w:r>
      <w:r>
        <w:t xml:space="preserve"> </w:t>
      </w:r>
      <w:r w:rsidRPr="009827F0">
        <w:t>plynu</w:t>
      </w:r>
      <w:r>
        <w:t xml:space="preserve"> </w:t>
      </w:r>
      <w:r w:rsidRPr="009827F0">
        <w:t>informace</w:t>
      </w:r>
      <w:r>
        <w:t xml:space="preserve"> </w:t>
      </w:r>
      <w:r w:rsidRPr="009827F0">
        <w:t>nezbytné</w:t>
      </w:r>
      <w:r>
        <w:t xml:space="preserve"> </w:t>
      </w:r>
      <w:r w:rsidRPr="009827F0">
        <w:t>k</w:t>
      </w:r>
      <w:r>
        <w:t xml:space="preserve"> </w:t>
      </w:r>
      <w:r w:rsidRPr="009827F0">
        <w:t>zajištění</w:t>
      </w:r>
      <w:r>
        <w:t xml:space="preserve"> </w:t>
      </w:r>
      <w:r w:rsidRPr="009827F0">
        <w:t>vzájemné</w:t>
      </w:r>
      <w:r>
        <w:t xml:space="preserve"> </w:t>
      </w:r>
      <w:r w:rsidRPr="009827F0">
        <w:t>provozuschopnosti,</w:t>
      </w:r>
    </w:p>
    <w:p w14:paraId="4F03136A" w14:textId="51F2A50C" w:rsidR="00BF3171" w:rsidRDefault="00BF3171" w:rsidP="002E6AEA">
      <w:pPr>
        <w:pStyle w:val="Textparagrafu"/>
        <w:tabs>
          <w:tab w:val="left" w:pos="392"/>
          <w:tab w:val="left" w:pos="840"/>
        </w:tabs>
        <w:spacing w:before="0"/>
        <w:ind w:left="426" w:hanging="426"/>
      </w:pPr>
      <w:r w:rsidRPr="009827F0">
        <w:t>i)</w:t>
      </w:r>
      <w:r w:rsidR="00FF6857">
        <w:tab/>
      </w:r>
      <w:r w:rsidRPr="009827F0">
        <w:t>zajišťovat</w:t>
      </w:r>
      <w:r>
        <w:t xml:space="preserve"> </w:t>
      </w:r>
      <w:r w:rsidRPr="009827F0">
        <w:t>měření</w:t>
      </w:r>
      <w:r>
        <w:t xml:space="preserve"> </w:t>
      </w:r>
      <w:r w:rsidRPr="009827F0">
        <w:t>plynu</w:t>
      </w:r>
      <w:r>
        <w:t xml:space="preserve"> </w:t>
      </w:r>
      <w:r w:rsidRPr="009827F0">
        <w:t>v</w:t>
      </w:r>
      <w:r>
        <w:t xml:space="preserve"> </w:t>
      </w:r>
      <w:r w:rsidRPr="009827F0">
        <w:t>distribuční</w:t>
      </w:r>
      <w:r>
        <w:t xml:space="preserve"> </w:t>
      </w:r>
      <w:r w:rsidRPr="009827F0">
        <w:t>soustavě,</w:t>
      </w:r>
      <w:r>
        <w:t xml:space="preserve"> </w:t>
      </w:r>
      <w:r w:rsidRPr="009827F0">
        <w:t>včetně</w:t>
      </w:r>
      <w:r>
        <w:t xml:space="preserve"> </w:t>
      </w:r>
      <w:r w:rsidRPr="009827F0">
        <w:t>vyhodnocování</w:t>
      </w:r>
      <w:r>
        <w:t xml:space="preserve"> </w:t>
      </w:r>
      <w:r w:rsidRPr="009827F0">
        <w:t>a</w:t>
      </w:r>
      <w:r>
        <w:t xml:space="preserve"> </w:t>
      </w:r>
      <w:r w:rsidRPr="009827F0">
        <w:t>předávat</w:t>
      </w:r>
      <w:r>
        <w:t xml:space="preserve"> </w:t>
      </w:r>
      <w:r w:rsidRPr="009827F0">
        <w:t>operátorovi</w:t>
      </w:r>
      <w:r>
        <w:t xml:space="preserve"> </w:t>
      </w:r>
      <w:r w:rsidRPr="009827F0">
        <w:t>trhu</w:t>
      </w:r>
      <w:r>
        <w:t xml:space="preserve"> </w:t>
      </w:r>
      <w:r w:rsidRPr="009827F0">
        <w:t>a</w:t>
      </w:r>
      <w:r>
        <w:t xml:space="preserve"> </w:t>
      </w:r>
      <w:r w:rsidRPr="009827F0">
        <w:t>účastníkům</w:t>
      </w:r>
      <w:r>
        <w:t xml:space="preserve"> </w:t>
      </w:r>
      <w:r w:rsidRPr="009827F0">
        <w:t>trhu</w:t>
      </w:r>
      <w:r>
        <w:t xml:space="preserve"> </w:t>
      </w:r>
      <w:r w:rsidRPr="009827F0">
        <w:t>s</w:t>
      </w:r>
      <w:r>
        <w:t xml:space="preserve"> </w:t>
      </w:r>
      <w:r w:rsidRPr="009827F0">
        <w:t>plynem,</w:t>
      </w:r>
      <w:r>
        <w:t xml:space="preserve"> </w:t>
      </w:r>
      <w:r w:rsidRPr="009827F0">
        <w:t>který</w:t>
      </w:r>
      <w:r>
        <w:t xml:space="preserve"> </w:t>
      </w:r>
      <w:r w:rsidRPr="009827F0">
        <w:t>poskytuje</w:t>
      </w:r>
      <w:r>
        <w:t xml:space="preserve"> </w:t>
      </w:r>
      <w:r w:rsidRPr="009827F0">
        <w:t>službu</w:t>
      </w:r>
      <w:r>
        <w:t xml:space="preserve"> </w:t>
      </w:r>
      <w:r w:rsidRPr="009827F0">
        <w:t>distribuční</w:t>
      </w:r>
      <w:r>
        <w:t xml:space="preserve"> </w:t>
      </w:r>
      <w:r w:rsidRPr="009827F0">
        <w:t>soustavy,</w:t>
      </w:r>
      <w:r>
        <w:t xml:space="preserve"> </w:t>
      </w:r>
      <w:r w:rsidRPr="009827F0">
        <w:t>naměřené</w:t>
      </w:r>
      <w:r>
        <w:t xml:space="preserve"> </w:t>
      </w:r>
      <w:r w:rsidRPr="009827F0">
        <w:t>a</w:t>
      </w:r>
      <w:r>
        <w:t xml:space="preserve"> </w:t>
      </w:r>
      <w:r w:rsidRPr="009827F0">
        <w:t>vyhodnocené</w:t>
      </w:r>
      <w:r>
        <w:t xml:space="preserve"> </w:t>
      </w:r>
      <w:r w:rsidRPr="009827F0">
        <w:t>údaje,</w:t>
      </w:r>
    </w:p>
    <w:p w14:paraId="440CBA0D" w14:textId="75D0342F" w:rsidR="00BF3171" w:rsidRDefault="00BF3171" w:rsidP="002E6AEA">
      <w:pPr>
        <w:pStyle w:val="Textparagrafu"/>
        <w:tabs>
          <w:tab w:val="left" w:pos="392"/>
          <w:tab w:val="left" w:pos="840"/>
        </w:tabs>
        <w:spacing w:before="0"/>
        <w:ind w:left="426" w:hanging="426"/>
      </w:pPr>
      <w:r w:rsidRPr="009827F0">
        <w:t>j)</w:t>
      </w:r>
      <w:r w:rsidR="00FF6857">
        <w:tab/>
      </w:r>
      <w:r w:rsidRPr="009827F0">
        <w:t>zpracovávat</w:t>
      </w:r>
      <w:r>
        <w:t xml:space="preserve"> </w:t>
      </w:r>
      <w:r w:rsidRPr="009827F0">
        <w:t>a</w:t>
      </w:r>
      <w:r>
        <w:t xml:space="preserve"> </w:t>
      </w:r>
      <w:r w:rsidRPr="009827F0">
        <w:t>předávat</w:t>
      </w:r>
      <w:r>
        <w:t xml:space="preserve"> </w:t>
      </w:r>
      <w:r w:rsidRPr="009827F0">
        <w:t>Energetickému</w:t>
      </w:r>
      <w:r>
        <w:t xml:space="preserve"> </w:t>
      </w:r>
      <w:r w:rsidRPr="009827F0">
        <w:t>regulačnímu</w:t>
      </w:r>
      <w:r>
        <w:t xml:space="preserve"> </w:t>
      </w:r>
      <w:r w:rsidRPr="009827F0">
        <w:t>úřadu</w:t>
      </w:r>
      <w:r>
        <w:t xml:space="preserve"> </w:t>
      </w:r>
      <w:r w:rsidRPr="009827F0">
        <w:t>údaje</w:t>
      </w:r>
      <w:r>
        <w:t xml:space="preserve"> </w:t>
      </w:r>
      <w:r w:rsidRPr="009827F0">
        <w:t>potřebné</w:t>
      </w:r>
      <w:r>
        <w:t xml:space="preserve"> </w:t>
      </w:r>
      <w:r w:rsidRPr="009827F0">
        <w:t>pro</w:t>
      </w:r>
      <w:r>
        <w:t xml:space="preserve"> </w:t>
      </w:r>
      <w:r w:rsidRPr="009827F0">
        <w:t>rozhodnutí</w:t>
      </w:r>
      <w:r>
        <w:t xml:space="preserve"> </w:t>
      </w:r>
      <w:r w:rsidRPr="009827F0">
        <w:t>o</w:t>
      </w:r>
      <w:r>
        <w:t xml:space="preserve"> </w:t>
      </w:r>
      <w:r w:rsidRPr="009827F0">
        <w:t>cenách</w:t>
      </w:r>
      <w:r>
        <w:t xml:space="preserve"> </w:t>
      </w:r>
      <w:r w:rsidRPr="009827F0">
        <w:t>za</w:t>
      </w:r>
      <w:r>
        <w:t xml:space="preserve"> </w:t>
      </w:r>
      <w:r w:rsidRPr="009827F0">
        <w:t>distribuci</w:t>
      </w:r>
      <w:r>
        <w:t xml:space="preserve"> </w:t>
      </w:r>
      <w:r w:rsidRPr="009827F0">
        <w:t>plynu,</w:t>
      </w:r>
    </w:p>
    <w:p w14:paraId="374A57D2" w14:textId="3A863FC7" w:rsidR="00BF3171" w:rsidRDefault="00BF3171" w:rsidP="002E6AEA">
      <w:pPr>
        <w:pStyle w:val="Textparagrafu"/>
        <w:tabs>
          <w:tab w:val="left" w:pos="392"/>
          <w:tab w:val="left" w:pos="840"/>
        </w:tabs>
        <w:spacing w:before="0"/>
        <w:ind w:left="426" w:hanging="426"/>
      </w:pPr>
      <w:r w:rsidRPr="009827F0">
        <w:t>k)</w:t>
      </w:r>
      <w:r w:rsidR="00FF6857">
        <w:tab/>
      </w:r>
      <w:r w:rsidRPr="009827F0">
        <w:t>vést</w:t>
      </w:r>
      <w:r>
        <w:t xml:space="preserve"> </w:t>
      </w:r>
      <w:r w:rsidRPr="009827F0">
        <w:t>samostatné</w:t>
      </w:r>
      <w:r>
        <w:t xml:space="preserve"> </w:t>
      </w:r>
      <w:r w:rsidRPr="009827F0">
        <w:t>účty</w:t>
      </w:r>
      <w:r>
        <w:t xml:space="preserve"> </w:t>
      </w:r>
      <w:r w:rsidRPr="009827F0">
        <w:t>za</w:t>
      </w:r>
      <w:r>
        <w:t xml:space="preserve"> </w:t>
      </w:r>
      <w:r w:rsidRPr="009827F0">
        <w:t>službu</w:t>
      </w:r>
      <w:r>
        <w:t xml:space="preserve"> </w:t>
      </w:r>
      <w:r w:rsidRPr="009827F0">
        <w:t>distribuční</w:t>
      </w:r>
      <w:r>
        <w:t xml:space="preserve"> </w:t>
      </w:r>
      <w:r w:rsidRPr="009827F0">
        <w:t>soustavy</w:t>
      </w:r>
      <w:r>
        <w:t xml:space="preserve"> </w:t>
      </w:r>
      <w:r w:rsidRPr="009827F0">
        <w:t>pro</w:t>
      </w:r>
      <w:r>
        <w:t xml:space="preserve"> </w:t>
      </w:r>
      <w:r w:rsidRPr="009827F0">
        <w:t>účely</w:t>
      </w:r>
      <w:r>
        <w:t xml:space="preserve"> </w:t>
      </w:r>
      <w:r w:rsidRPr="009827F0">
        <w:t>regulace,</w:t>
      </w:r>
    </w:p>
    <w:p w14:paraId="3A17D7A0" w14:textId="45D011EF" w:rsidR="00BF3171" w:rsidRDefault="00BF3171" w:rsidP="002E6AEA">
      <w:pPr>
        <w:pStyle w:val="Textparagrafu"/>
        <w:tabs>
          <w:tab w:val="left" w:pos="392"/>
          <w:tab w:val="left" w:pos="840"/>
        </w:tabs>
        <w:spacing w:before="0"/>
        <w:ind w:left="426" w:hanging="426"/>
      </w:pPr>
      <w:r w:rsidRPr="009827F0">
        <w:t>l)</w:t>
      </w:r>
      <w:r w:rsidR="00FF6857">
        <w:tab/>
      </w:r>
      <w:r w:rsidRPr="009827F0">
        <w:t>poskytnout</w:t>
      </w:r>
      <w:r>
        <w:t xml:space="preserve"> </w:t>
      </w:r>
      <w:r w:rsidRPr="009827F0">
        <w:t>službu</w:t>
      </w:r>
      <w:r>
        <w:t xml:space="preserve"> </w:t>
      </w:r>
      <w:r w:rsidRPr="009827F0">
        <w:t>distribuční</w:t>
      </w:r>
      <w:r>
        <w:t xml:space="preserve"> </w:t>
      </w:r>
      <w:r w:rsidRPr="009827F0">
        <w:t>soustavy</w:t>
      </w:r>
      <w:r>
        <w:t xml:space="preserve"> </w:t>
      </w:r>
      <w:r w:rsidRPr="009827F0">
        <w:t>pro</w:t>
      </w:r>
      <w:r>
        <w:t xml:space="preserve"> </w:t>
      </w:r>
      <w:r w:rsidRPr="009827F0">
        <w:t>provozovatele</w:t>
      </w:r>
      <w:r>
        <w:t xml:space="preserve"> </w:t>
      </w:r>
      <w:r w:rsidRPr="009827F0">
        <w:t>distribuční</w:t>
      </w:r>
      <w:r>
        <w:t xml:space="preserve"> </w:t>
      </w:r>
      <w:r w:rsidRPr="009827F0">
        <w:t>soustavy</w:t>
      </w:r>
      <w:r>
        <w:t xml:space="preserve"> </w:t>
      </w:r>
      <w:r w:rsidRPr="009827F0">
        <w:t>nepřipojené</w:t>
      </w:r>
      <w:r>
        <w:t xml:space="preserve"> </w:t>
      </w:r>
      <w:r w:rsidRPr="009827F0">
        <w:t>přímo</w:t>
      </w:r>
      <w:r>
        <w:t xml:space="preserve"> </w:t>
      </w:r>
      <w:r w:rsidRPr="009827F0">
        <w:t>k</w:t>
      </w:r>
      <w:r>
        <w:t xml:space="preserve"> </w:t>
      </w:r>
      <w:r w:rsidRPr="009827F0">
        <w:t>přepravní</w:t>
      </w:r>
      <w:r>
        <w:t xml:space="preserve"> </w:t>
      </w:r>
      <w:r w:rsidRPr="009827F0">
        <w:t>soustavě,</w:t>
      </w:r>
    </w:p>
    <w:p w14:paraId="3FB7E1C7" w14:textId="6401CD2F" w:rsidR="00BF3171" w:rsidRDefault="00BF3171" w:rsidP="002E6AEA">
      <w:pPr>
        <w:pStyle w:val="Textparagrafu"/>
        <w:tabs>
          <w:tab w:val="left" w:pos="392"/>
          <w:tab w:val="left" w:pos="840"/>
        </w:tabs>
        <w:spacing w:before="0"/>
        <w:ind w:left="426" w:hanging="426"/>
      </w:pPr>
      <w:r w:rsidRPr="009827F0">
        <w:t>m)</w:t>
      </w:r>
      <w:r w:rsidR="00FF6857">
        <w:tab/>
      </w:r>
      <w:r w:rsidRPr="009827F0">
        <w:t>vypracovávat</w:t>
      </w:r>
      <w:r>
        <w:t xml:space="preserve"> </w:t>
      </w:r>
      <w:r w:rsidRPr="009827F0">
        <w:t>denní,</w:t>
      </w:r>
      <w:r>
        <w:t xml:space="preserve"> </w:t>
      </w:r>
      <w:r w:rsidRPr="009827F0">
        <w:t>měsíční,</w:t>
      </w:r>
      <w:r>
        <w:t xml:space="preserve"> </w:t>
      </w:r>
      <w:r w:rsidRPr="009827F0">
        <w:t>roční</w:t>
      </w:r>
      <w:r>
        <w:t xml:space="preserve"> </w:t>
      </w:r>
      <w:r w:rsidRPr="009827F0">
        <w:t>a</w:t>
      </w:r>
      <w:r>
        <w:t xml:space="preserve"> </w:t>
      </w:r>
      <w:r w:rsidRPr="009827F0">
        <w:t>desetiletou</w:t>
      </w:r>
      <w:r>
        <w:t xml:space="preserve"> </w:t>
      </w:r>
      <w:r w:rsidRPr="009827F0">
        <w:t>bilanci</w:t>
      </w:r>
      <w:r>
        <w:t xml:space="preserve"> </w:t>
      </w:r>
      <w:r w:rsidRPr="009827F0">
        <w:t>distribuční</w:t>
      </w:r>
      <w:r>
        <w:t xml:space="preserve"> </w:t>
      </w:r>
      <w:r w:rsidRPr="009827F0">
        <w:t>soustavy,</w:t>
      </w:r>
      <w:r>
        <w:t xml:space="preserve"> </w:t>
      </w:r>
      <w:r w:rsidRPr="009827F0">
        <w:t>vyhodnocovat</w:t>
      </w:r>
      <w:r>
        <w:t xml:space="preserve"> </w:t>
      </w:r>
      <w:r w:rsidRPr="009827F0">
        <w:t>ji</w:t>
      </w:r>
      <w:r>
        <w:t xml:space="preserve"> </w:t>
      </w:r>
      <w:r w:rsidRPr="009827F0">
        <w:t>a</w:t>
      </w:r>
      <w:r>
        <w:t xml:space="preserve"> </w:t>
      </w:r>
      <w:r w:rsidRPr="009827F0">
        <w:t>předávat</w:t>
      </w:r>
      <w:r>
        <w:t xml:space="preserve"> </w:t>
      </w:r>
      <w:r w:rsidRPr="009827F0">
        <w:t>operátorovi</w:t>
      </w:r>
      <w:r>
        <w:t xml:space="preserve"> </w:t>
      </w:r>
      <w:r w:rsidRPr="009827F0">
        <w:t>trhu</w:t>
      </w:r>
      <w:r>
        <w:t xml:space="preserve"> </w:t>
      </w:r>
      <w:r w:rsidRPr="009827F0">
        <w:t>a</w:t>
      </w:r>
      <w:r>
        <w:t xml:space="preserve"> </w:t>
      </w:r>
      <w:r w:rsidRPr="009827F0">
        <w:t>provozovateli</w:t>
      </w:r>
      <w:r>
        <w:t xml:space="preserve"> </w:t>
      </w:r>
      <w:r w:rsidRPr="009827F0">
        <w:t>přepravní</w:t>
      </w:r>
      <w:r>
        <w:t xml:space="preserve"> </w:t>
      </w:r>
      <w:r w:rsidRPr="009827F0">
        <w:t>soustavy,</w:t>
      </w:r>
    </w:p>
    <w:p w14:paraId="0C5D622B" w14:textId="24B437B6" w:rsidR="00BF3171" w:rsidRDefault="00BF3171" w:rsidP="002E6AEA">
      <w:pPr>
        <w:pStyle w:val="Textparagrafu"/>
        <w:tabs>
          <w:tab w:val="left" w:pos="392"/>
          <w:tab w:val="left" w:pos="840"/>
        </w:tabs>
        <w:spacing w:before="0"/>
        <w:ind w:left="426" w:hanging="426"/>
      </w:pPr>
      <w:r w:rsidRPr="009827F0">
        <w:t>n)</w:t>
      </w:r>
      <w:r w:rsidR="00FF6857">
        <w:tab/>
      </w:r>
      <w:r w:rsidRPr="009827F0">
        <w:t>vypracovat</w:t>
      </w:r>
      <w:r>
        <w:t xml:space="preserve"> </w:t>
      </w:r>
      <w:r w:rsidRPr="009827F0">
        <w:t>do</w:t>
      </w:r>
      <w:r>
        <w:t xml:space="preserve"> </w:t>
      </w:r>
      <w:r w:rsidRPr="009827F0">
        <w:t>6</w:t>
      </w:r>
      <w:r>
        <w:t xml:space="preserve"> </w:t>
      </w:r>
      <w:r w:rsidRPr="009827F0">
        <w:t>měsíců</w:t>
      </w:r>
      <w:r>
        <w:t xml:space="preserve"> </w:t>
      </w:r>
      <w:r w:rsidRPr="009827F0">
        <w:t>po</w:t>
      </w:r>
      <w:r>
        <w:t xml:space="preserve"> </w:t>
      </w:r>
      <w:r w:rsidRPr="009827F0">
        <w:t>udělení</w:t>
      </w:r>
      <w:r>
        <w:t xml:space="preserve"> </w:t>
      </w:r>
      <w:r w:rsidRPr="009827F0">
        <w:t>licence</w:t>
      </w:r>
      <w:r>
        <w:t xml:space="preserve"> </w:t>
      </w:r>
      <w:r w:rsidRPr="009827F0">
        <w:t>na</w:t>
      </w:r>
      <w:r>
        <w:t xml:space="preserve"> </w:t>
      </w:r>
      <w:r w:rsidRPr="009827F0">
        <w:t>distribuci</w:t>
      </w:r>
      <w:r>
        <w:t xml:space="preserve"> </w:t>
      </w:r>
      <w:r w:rsidRPr="009827F0">
        <w:t>plynu</w:t>
      </w:r>
      <w:r>
        <w:t xml:space="preserve"> </w:t>
      </w:r>
      <w:r w:rsidRPr="009827F0">
        <w:t>havarijní</w:t>
      </w:r>
      <w:r>
        <w:t xml:space="preserve"> </w:t>
      </w:r>
      <w:r w:rsidRPr="009827F0">
        <w:t>plány</w:t>
      </w:r>
      <w:r>
        <w:t xml:space="preserve"> </w:t>
      </w:r>
      <w:r w:rsidRPr="009827F0">
        <w:t>distribuční</w:t>
      </w:r>
      <w:r>
        <w:t xml:space="preserve"> </w:t>
      </w:r>
      <w:r w:rsidRPr="009827F0">
        <w:t>soustavy,</w:t>
      </w:r>
      <w:r>
        <w:t xml:space="preserve"> </w:t>
      </w:r>
      <w:r w:rsidRPr="009827F0">
        <w:t>zaslat</w:t>
      </w:r>
      <w:r>
        <w:t xml:space="preserve"> </w:t>
      </w:r>
      <w:r w:rsidRPr="009827F0">
        <w:t>ministerstvu</w:t>
      </w:r>
      <w:r>
        <w:t xml:space="preserve"> </w:t>
      </w:r>
      <w:r w:rsidRPr="009827F0">
        <w:t>a</w:t>
      </w:r>
      <w:r>
        <w:t xml:space="preserve"> </w:t>
      </w:r>
      <w:r w:rsidRPr="009827F0">
        <w:t>každoročně</w:t>
      </w:r>
      <w:r>
        <w:t xml:space="preserve"> </w:t>
      </w:r>
      <w:r w:rsidRPr="009827F0">
        <w:t>je</w:t>
      </w:r>
      <w:r>
        <w:t xml:space="preserve"> </w:t>
      </w:r>
      <w:r w:rsidRPr="009827F0">
        <w:t>upřesňovat,</w:t>
      </w:r>
    </w:p>
    <w:p w14:paraId="758BBB0C" w14:textId="26A237A9" w:rsidR="00BF3171" w:rsidRDefault="00BF3171" w:rsidP="002E6AEA">
      <w:pPr>
        <w:pStyle w:val="Textparagrafu"/>
        <w:tabs>
          <w:tab w:val="left" w:pos="392"/>
          <w:tab w:val="left" w:pos="840"/>
        </w:tabs>
        <w:spacing w:before="0"/>
        <w:ind w:left="426" w:hanging="426"/>
      </w:pPr>
      <w:r w:rsidRPr="009827F0">
        <w:lastRenderedPageBreak/>
        <w:t>o)</w:t>
      </w:r>
      <w:r w:rsidR="00FF6857">
        <w:tab/>
      </w:r>
      <w:r w:rsidRPr="009827F0">
        <w:t>oznamovat</w:t>
      </w:r>
      <w:r>
        <w:t xml:space="preserve"> </w:t>
      </w:r>
      <w:r w:rsidRPr="009827F0">
        <w:t>rozsah</w:t>
      </w:r>
      <w:r>
        <w:t xml:space="preserve"> </w:t>
      </w:r>
      <w:r w:rsidRPr="009827F0">
        <w:t>a</w:t>
      </w:r>
      <w:r>
        <w:t xml:space="preserve"> </w:t>
      </w:r>
      <w:r w:rsidRPr="009827F0">
        <w:t>termíny</w:t>
      </w:r>
      <w:r>
        <w:t xml:space="preserve"> </w:t>
      </w:r>
      <w:r w:rsidRPr="009827F0">
        <w:t>odstávek</w:t>
      </w:r>
      <w:r>
        <w:t xml:space="preserve"> </w:t>
      </w:r>
      <w:r w:rsidRPr="009827F0">
        <w:t>zařízení</w:t>
      </w:r>
      <w:r>
        <w:t xml:space="preserve"> </w:t>
      </w:r>
      <w:r w:rsidRPr="009827F0">
        <w:t>distribuční</w:t>
      </w:r>
      <w:r>
        <w:t xml:space="preserve"> </w:t>
      </w:r>
      <w:r w:rsidRPr="009827F0">
        <w:t>soustavy</w:t>
      </w:r>
      <w:r>
        <w:t xml:space="preserve"> </w:t>
      </w:r>
      <w:r w:rsidRPr="009827F0">
        <w:t>a</w:t>
      </w:r>
      <w:r>
        <w:t xml:space="preserve"> </w:t>
      </w:r>
      <w:r w:rsidRPr="009827F0">
        <w:t>upozorňovat</w:t>
      </w:r>
      <w:r>
        <w:t xml:space="preserve"> </w:t>
      </w:r>
      <w:r w:rsidRPr="009827F0">
        <w:t>na</w:t>
      </w:r>
      <w:r>
        <w:t xml:space="preserve"> </w:t>
      </w:r>
      <w:r w:rsidRPr="009827F0">
        <w:t>snížení</w:t>
      </w:r>
      <w:r>
        <w:t xml:space="preserve"> </w:t>
      </w:r>
      <w:r w:rsidRPr="009827F0">
        <w:t>distribuční</w:t>
      </w:r>
      <w:r>
        <w:t xml:space="preserve"> </w:t>
      </w:r>
      <w:r w:rsidRPr="009827F0">
        <w:t>kapacity,</w:t>
      </w:r>
    </w:p>
    <w:p w14:paraId="0C93BABE" w14:textId="4E977009" w:rsidR="00BF3171" w:rsidRDefault="00BF3171" w:rsidP="002E6AEA">
      <w:pPr>
        <w:pStyle w:val="Textparagrafu"/>
        <w:tabs>
          <w:tab w:val="left" w:pos="392"/>
          <w:tab w:val="left" w:pos="840"/>
        </w:tabs>
        <w:spacing w:before="0"/>
        <w:ind w:left="426" w:hanging="426"/>
      </w:pPr>
      <w:r w:rsidRPr="009827F0">
        <w:t>p)</w:t>
      </w:r>
      <w:r w:rsidR="00FF6857">
        <w:tab/>
      </w:r>
      <w:r w:rsidRPr="009827F0">
        <w:t>zřídit</w:t>
      </w:r>
      <w:r>
        <w:t xml:space="preserve"> </w:t>
      </w:r>
      <w:r w:rsidRPr="009827F0">
        <w:t>a</w:t>
      </w:r>
      <w:r>
        <w:t xml:space="preserve"> </w:t>
      </w:r>
      <w:r w:rsidRPr="009827F0">
        <w:t>provozovat</w:t>
      </w:r>
      <w:r>
        <w:t xml:space="preserve"> </w:t>
      </w:r>
      <w:r w:rsidRPr="009827F0">
        <w:t>technický</w:t>
      </w:r>
      <w:r>
        <w:t xml:space="preserve"> </w:t>
      </w:r>
      <w:r w:rsidRPr="009827F0">
        <w:t>dispečink,</w:t>
      </w:r>
      <w:r>
        <w:t xml:space="preserve"> </w:t>
      </w:r>
      <w:r w:rsidRPr="009827F0">
        <w:t>který</w:t>
      </w:r>
      <w:r>
        <w:t xml:space="preserve"> </w:t>
      </w:r>
      <w:r w:rsidRPr="009827F0">
        <w:t>zajišťuje</w:t>
      </w:r>
      <w:r>
        <w:t xml:space="preserve"> </w:t>
      </w:r>
      <w:r w:rsidRPr="009827F0">
        <w:t>dispečerské</w:t>
      </w:r>
      <w:r>
        <w:t xml:space="preserve"> </w:t>
      </w:r>
      <w:r w:rsidRPr="009827F0">
        <w:t>řízení</w:t>
      </w:r>
      <w:r>
        <w:t xml:space="preserve"> </w:t>
      </w:r>
      <w:r w:rsidRPr="009827F0">
        <w:t>distribuční</w:t>
      </w:r>
      <w:r>
        <w:t xml:space="preserve"> </w:t>
      </w:r>
      <w:r w:rsidRPr="009827F0">
        <w:t>soustavy,</w:t>
      </w:r>
    </w:p>
    <w:p w14:paraId="1A6FB669" w14:textId="7159C522" w:rsidR="00BF3171" w:rsidRDefault="00BF3171" w:rsidP="002E6AEA">
      <w:pPr>
        <w:pStyle w:val="Textparagrafu"/>
        <w:tabs>
          <w:tab w:val="left" w:pos="392"/>
          <w:tab w:val="left" w:pos="840"/>
        </w:tabs>
        <w:spacing w:before="0"/>
        <w:ind w:left="426" w:hanging="426"/>
      </w:pPr>
      <w:r w:rsidRPr="009827F0">
        <w:t>q)</w:t>
      </w:r>
      <w:r w:rsidR="00FF6857">
        <w:tab/>
      </w:r>
      <w:r w:rsidRPr="009827F0">
        <w:t>zřídit</w:t>
      </w:r>
      <w:r>
        <w:t xml:space="preserve"> </w:t>
      </w:r>
      <w:r w:rsidRPr="009827F0">
        <w:t>a</w:t>
      </w:r>
      <w:r>
        <w:t xml:space="preserve"> </w:t>
      </w:r>
      <w:r w:rsidRPr="009827F0">
        <w:t>provozovat</w:t>
      </w:r>
      <w:r>
        <w:t xml:space="preserve"> </w:t>
      </w:r>
      <w:r w:rsidRPr="009827F0">
        <w:t>místa</w:t>
      </w:r>
      <w:r>
        <w:t xml:space="preserve"> </w:t>
      </w:r>
      <w:r w:rsidRPr="009827F0">
        <w:t>pro</w:t>
      </w:r>
      <w:r>
        <w:t xml:space="preserve"> </w:t>
      </w:r>
      <w:r w:rsidRPr="009827F0">
        <w:t>sledování</w:t>
      </w:r>
      <w:r>
        <w:t xml:space="preserve"> </w:t>
      </w:r>
      <w:r w:rsidRPr="009827F0">
        <w:t>kvality</w:t>
      </w:r>
      <w:r>
        <w:t xml:space="preserve"> </w:t>
      </w:r>
      <w:r w:rsidRPr="009827F0">
        <w:t>plynu,</w:t>
      </w:r>
      <w:r>
        <w:t xml:space="preserve"> </w:t>
      </w:r>
      <w:r w:rsidRPr="009827F0">
        <w:t>pokud</w:t>
      </w:r>
      <w:r>
        <w:t xml:space="preserve"> </w:t>
      </w:r>
      <w:r w:rsidRPr="009827F0">
        <w:t>nebudou</w:t>
      </w:r>
      <w:r>
        <w:t xml:space="preserve"> </w:t>
      </w:r>
      <w:r w:rsidRPr="009827F0">
        <w:t>pro</w:t>
      </w:r>
      <w:r>
        <w:t xml:space="preserve"> </w:t>
      </w:r>
      <w:r w:rsidRPr="009827F0">
        <w:t>sledování</w:t>
      </w:r>
      <w:r>
        <w:t xml:space="preserve"> </w:t>
      </w:r>
      <w:r w:rsidRPr="009827F0">
        <w:t>kvality</w:t>
      </w:r>
      <w:r>
        <w:t xml:space="preserve"> </w:t>
      </w:r>
      <w:r w:rsidRPr="009827F0">
        <w:t>plynu</w:t>
      </w:r>
      <w:r>
        <w:t xml:space="preserve"> </w:t>
      </w:r>
      <w:r w:rsidRPr="009827F0">
        <w:t>dostačovat</w:t>
      </w:r>
      <w:r>
        <w:t xml:space="preserve"> </w:t>
      </w:r>
      <w:r w:rsidRPr="009827F0">
        <w:t>místa</w:t>
      </w:r>
      <w:r>
        <w:t xml:space="preserve"> </w:t>
      </w:r>
      <w:r w:rsidRPr="009827F0">
        <w:t>zřízená</w:t>
      </w:r>
      <w:r>
        <w:t xml:space="preserve"> </w:t>
      </w:r>
      <w:r w:rsidRPr="009827F0">
        <w:t>a</w:t>
      </w:r>
      <w:r>
        <w:t xml:space="preserve"> </w:t>
      </w:r>
      <w:r w:rsidRPr="009827F0">
        <w:t>provozovaná</w:t>
      </w:r>
      <w:r>
        <w:t xml:space="preserve"> </w:t>
      </w:r>
      <w:r w:rsidRPr="009827F0">
        <w:t>provozovatelem</w:t>
      </w:r>
      <w:r>
        <w:t xml:space="preserve"> </w:t>
      </w:r>
      <w:r w:rsidRPr="009827F0">
        <w:t>přepravní</w:t>
      </w:r>
      <w:r>
        <w:t xml:space="preserve"> </w:t>
      </w:r>
      <w:r w:rsidRPr="009827F0">
        <w:t>soustavy,</w:t>
      </w:r>
    </w:p>
    <w:p w14:paraId="4AB59424" w14:textId="101E1683" w:rsidR="00BF3171" w:rsidRDefault="00BF3171" w:rsidP="002E6AEA">
      <w:pPr>
        <w:pStyle w:val="Textparagrafu"/>
        <w:tabs>
          <w:tab w:val="left" w:pos="392"/>
          <w:tab w:val="left" w:pos="840"/>
        </w:tabs>
        <w:spacing w:before="0"/>
        <w:ind w:left="426" w:hanging="426"/>
      </w:pPr>
      <w:r w:rsidRPr="009827F0">
        <w:t>r)</w:t>
      </w:r>
      <w:r w:rsidR="00FF6857">
        <w:tab/>
      </w:r>
      <w:r w:rsidRPr="009827F0">
        <w:t>poskytnout</w:t>
      </w:r>
      <w:r>
        <w:t xml:space="preserve"> </w:t>
      </w:r>
      <w:r w:rsidRPr="009827F0">
        <w:t>na</w:t>
      </w:r>
      <w:r>
        <w:t xml:space="preserve"> </w:t>
      </w:r>
      <w:r w:rsidRPr="009827F0">
        <w:t>vyžádání</w:t>
      </w:r>
      <w:r>
        <w:t xml:space="preserve"> </w:t>
      </w:r>
      <w:r w:rsidRPr="009827F0">
        <w:t>dodavateli</w:t>
      </w:r>
      <w:r>
        <w:t xml:space="preserve"> </w:t>
      </w:r>
      <w:r w:rsidRPr="009827F0">
        <w:t>poslední</w:t>
      </w:r>
      <w:r>
        <w:t xml:space="preserve"> </w:t>
      </w:r>
      <w:r w:rsidRPr="009827F0">
        <w:t>instance</w:t>
      </w:r>
      <w:r>
        <w:t xml:space="preserve"> </w:t>
      </w:r>
      <w:r w:rsidRPr="009827F0">
        <w:t>údaje</w:t>
      </w:r>
      <w:r>
        <w:t xml:space="preserve"> </w:t>
      </w:r>
      <w:r w:rsidRPr="009827F0">
        <w:t>o</w:t>
      </w:r>
      <w:r>
        <w:t xml:space="preserve"> </w:t>
      </w:r>
      <w:r w:rsidRPr="009827F0">
        <w:t>zákazníkovi</w:t>
      </w:r>
      <w:r>
        <w:t xml:space="preserve"> </w:t>
      </w:r>
      <w:r w:rsidRPr="009827F0">
        <w:t>a</w:t>
      </w:r>
      <w:r>
        <w:t xml:space="preserve"> </w:t>
      </w:r>
      <w:r w:rsidRPr="009827F0">
        <w:t>jeho</w:t>
      </w:r>
      <w:r>
        <w:t xml:space="preserve"> </w:t>
      </w:r>
      <w:r w:rsidRPr="009827F0">
        <w:t>odběrném</w:t>
      </w:r>
      <w:r>
        <w:t xml:space="preserve"> </w:t>
      </w:r>
      <w:r w:rsidRPr="009827F0">
        <w:t>místě</w:t>
      </w:r>
      <w:r>
        <w:t xml:space="preserve"> </w:t>
      </w:r>
      <w:r w:rsidRPr="009827F0">
        <w:t>v</w:t>
      </w:r>
      <w:r>
        <w:t xml:space="preserve"> </w:t>
      </w:r>
      <w:r w:rsidRPr="009827F0">
        <w:t>rozsahu</w:t>
      </w:r>
      <w:r>
        <w:t xml:space="preserve"> </w:t>
      </w:r>
      <w:r w:rsidRPr="009827F0">
        <w:t>nezbytném</w:t>
      </w:r>
      <w:r>
        <w:t xml:space="preserve"> </w:t>
      </w:r>
      <w:r w:rsidRPr="009827F0">
        <w:t>pro</w:t>
      </w:r>
      <w:r>
        <w:t xml:space="preserve"> </w:t>
      </w:r>
      <w:r w:rsidRPr="009827F0">
        <w:t>zajištění</w:t>
      </w:r>
      <w:r>
        <w:t xml:space="preserve"> </w:t>
      </w:r>
      <w:r w:rsidRPr="009827F0">
        <w:t>dodávky</w:t>
      </w:r>
      <w:r>
        <w:t xml:space="preserve"> </w:t>
      </w:r>
      <w:r w:rsidRPr="009827F0">
        <w:t>poslední</w:t>
      </w:r>
      <w:r>
        <w:t xml:space="preserve"> </w:t>
      </w:r>
      <w:r w:rsidRPr="009827F0">
        <w:t>instance,</w:t>
      </w:r>
    </w:p>
    <w:p w14:paraId="3300F32F" w14:textId="74DF4DBD" w:rsidR="00BF3171" w:rsidRDefault="00BF3171" w:rsidP="002E6AEA">
      <w:pPr>
        <w:pStyle w:val="Textparagrafu"/>
        <w:tabs>
          <w:tab w:val="left" w:pos="392"/>
          <w:tab w:val="left" w:pos="840"/>
        </w:tabs>
        <w:spacing w:before="0"/>
        <w:ind w:left="426" w:hanging="426"/>
      </w:pPr>
      <w:r w:rsidRPr="009827F0">
        <w:t>s)</w:t>
      </w:r>
      <w:r w:rsidR="00FF6857">
        <w:tab/>
      </w:r>
      <w:r w:rsidRPr="009827F0">
        <w:t>vyhlašovat</w:t>
      </w:r>
      <w:r>
        <w:t xml:space="preserve"> </w:t>
      </w:r>
      <w:r w:rsidRPr="009827F0">
        <w:t>stav</w:t>
      </w:r>
      <w:r>
        <w:t xml:space="preserve"> </w:t>
      </w:r>
      <w:r w:rsidRPr="009827F0">
        <w:t>nouze</w:t>
      </w:r>
      <w:r>
        <w:t xml:space="preserve"> </w:t>
      </w:r>
      <w:r w:rsidRPr="009827F0">
        <w:t>v</w:t>
      </w:r>
      <w:r>
        <w:t xml:space="preserve"> </w:t>
      </w:r>
      <w:r w:rsidRPr="009827F0">
        <w:t>rámci</w:t>
      </w:r>
      <w:r>
        <w:t xml:space="preserve"> </w:t>
      </w:r>
      <w:r w:rsidRPr="009827F0">
        <w:t>své</w:t>
      </w:r>
      <w:r>
        <w:t xml:space="preserve"> </w:t>
      </w:r>
      <w:r w:rsidRPr="009827F0">
        <w:t>distribuční</w:t>
      </w:r>
      <w:r>
        <w:t xml:space="preserve"> </w:t>
      </w:r>
      <w:r w:rsidRPr="009827F0">
        <w:t>soustavy,</w:t>
      </w:r>
    </w:p>
    <w:p w14:paraId="467E1E34" w14:textId="6B34899E" w:rsidR="00BF3171" w:rsidRDefault="00BF3171" w:rsidP="002E6AEA">
      <w:pPr>
        <w:pStyle w:val="Textparagrafu"/>
        <w:tabs>
          <w:tab w:val="left" w:pos="392"/>
          <w:tab w:val="left" w:pos="840"/>
        </w:tabs>
        <w:spacing w:before="0"/>
        <w:ind w:left="426" w:hanging="426"/>
      </w:pPr>
      <w:r w:rsidRPr="009827F0">
        <w:t>t)</w:t>
      </w:r>
      <w:r w:rsidR="00FF6857">
        <w:tab/>
      </w:r>
      <w:r w:rsidRPr="009827F0">
        <w:t>každoročně</w:t>
      </w:r>
      <w:r>
        <w:t xml:space="preserve"> </w:t>
      </w:r>
      <w:r w:rsidRPr="009827F0">
        <w:t>zpracovávat</w:t>
      </w:r>
      <w:r>
        <w:t xml:space="preserve"> </w:t>
      </w:r>
      <w:r w:rsidRPr="009827F0">
        <w:t>a</w:t>
      </w:r>
      <w:r>
        <w:t xml:space="preserve"> </w:t>
      </w:r>
      <w:r w:rsidRPr="009827F0">
        <w:t>zveřejňovat</w:t>
      </w:r>
      <w:r>
        <w:t xml:space="preserve"> </w:t>
      </w:r>
      <w:r w:rsidRPr="009827F0">
        <w:t>předpokládaný</w:t>
      </w:r>
      <w:r>
        <w:t xml:space="preserve"> </w:t>
      </w:r>
      <w:r w:rsidRPr="009827F0">
        <w:t>rozvoj</w:t>
      </w:r>
      <w:r>
        <w:t xml:space="preserve"> </w:t>
      </w:r>
      <w:r w:rsidRPr="009827F0">
        <w:t>distribuční</w:t>
      </w:r>
      <w:r>
        <w:t xml:space="preserve"> </w:t>
      </w:r>
      <w:r w:rsidRPr="009827F0">
        <w:t>soustavy,</w:t>
      </w:r>
      <w:r>
        <w:t xml:space="preserve"> </w:t>
      </w:r>
      <w:r w:rsidRPr="009827F0">
        <w:t>a</w:t>
      </w:r>
      <w:r>
        <w:t xml:space="preserve"> </w:t>
      </w:r>
      <w:r w:rsidRPr="009827F0">
        <w:t>to</w:t>
      </w:r>
      <w:r>
        <w:t xml:space="preserve"> </w:t>
      </w:r>
      <w:r w:rsidRPr="009827F0">
        <w:t>na</w:t>
      </w:r>
      <w:r>
        <w:t xml:space="preserve"> </w:t>
      </w:r>
      <w:r w:rsidRPr="009827F0">
        <w:t>období</w:t>
      </w:r>
      <w:r>
        <w:t xml:space="preserve"> </w:t>
      </w:r>
      <w:r w:rsidRPr="009827F0">
        <w:t>nejméně</w:t>
      </w:r>
      <w:r>
        <w:t xml:space="preserve"> </w:t>
      </w:r>
      <w:r w:rsidRPr="009827F0">
        <w:t>5</w:t>
      </w:r>
      <w:r>
        <w:t xml:space="preserve"> </w:t>
      </w:r>
      <w:r w:rsidRPr="009827F0">
        <w:t>let,</w:t>
      </w:r>
    </w:p>
    <w:p w14:paraId="6F597958" w14:textId="32810E0F" w:rsidR="00BF3171" w:rsidRDefault="00BF3171" w:rsidP="002E6AEA">
      <w:pPr>
        <w:pStyle w:val="Textparagrafu"/>
        <w:tabs>
          <w:tab w:val="left" w:pos="392"/>
          <w:tab w:val="left" w:pos="840"/>
        </w:tabs>
        <w:spacing w:before="0"/>
        <w:ind w:left="426" w:hanging="426"/>
      </w:pPr>
      <w:r w:rsidRPr="009827F0">
        <w:t>u)</w:t>
      </w:r>
      <w:r w:rsidR="00FF6857">
        <w:tab/>
      </w:r>
      <w:r w:rsidRPr="009827F0">
        <w:t>na</w:t>
      </w:r>
      <w:r>
        <w:t xml:space="preserve"> </w:t>
      </w:r>
      <w:r w:rsidRPr="009827F0">
        <w:t>své</w:t>
      </w:r>
      <w:r>
        <w:t xml:space="preserve"> </w:t>
      </w:r>
      <w:r w:rsidRPr="009827F0">
        <w:t>náklady</w:t>
      </w:r>
      <w:r>
        <w:t xml:space="preserve"> </w:t>
      </w:r>
      <w:r w:rsidRPr="009827F0">
        <w:t>zajistit</w:t>
      </w:r>
      <w:r>
        <w:t xml:space="preserve"> </w:t>
      </w:r>
      <w:r w:rsidRPr="009827F0">
        <w:t>připojení</w:t>
      </w:r>
      <w:r>
        <w:t xml:space="preserve"> </w:t>
      </w:r>
      <w:r w:rsidRPr="009827F0">
        <w:t>svého</w:t>
      </w:r>
      <w:r>
        <w:t xml:space="preserve"> </w:t>
      </w:r>
      <w:r w:rsidRPr="009827F0">
        <w:t>zařízení</w:t>
      </w:r>
      <w:r>
        <w:t xml:space="preserve"> </w:t>
      </w:r>
      <w:r w:rsidRPr="009827F0">
        <w:t>k</w:t>
      </w:r>
      <w:r>
        <w:t xml:space="preserve"> </w:t>
      </w:r>
      <w:r w:rsidRPr="009827F0">
        <w:t>jiné</w:t>
      </w:r>
      <w:r>
        <w:t xml:space="preserve"> </w:t>
      </w:r>
      <w:r w:rsidRPr="009827F0">
        <w:t>distribuční</w:t>
      </w:r>
      <w:r>
        <w:t xml:space="preserve"> </w:t>
      </w:r>
      <w:r w:rsidRPr="009827F0">
        <w:t>soustavě,</w:t>
      </w:r>
    </w:p>
    <w:p w14:paraId="5691179C" w14:textId="75A0C8FA" w:rsidR="00BF3171" w:rsidRDefault="00BF3171" w:rsidP="002E6AEA">
      <w:pPr>
        <w:pStyle w:val="Textparagrafu"/>
        <w:tabs>
          <w:tab w:val="left" w:pos="392"/>
          <w:tab w:val="left" w:pos="840"/>
        </w:tabs>
        <w:spacing w:before="0"/>
        <w:ind w:left="426" w:hanging="426"/>
      </w:pPr>
      <w:r w:rsidRPr="009827F0">
        <w:t>v)</w:t>
      </w:r>
      <w:r w:rsidR="00FF6857">
        <w:tab/>
      </w:r>
      <w:r w:rsidRPr="009827F0">
        <w:t>zajišťovat</w:t>
      </w:r>
      <w:r>
        <w:t xml:space="preserve"> </w:t>
      </w:r>
      <w:r w:rsidRPr="009827F0">
        <w:t>ochranu</w:t>
      </w:r>
      <w:r>
        <w:t xml:space="preserve"> </w:t>
      </w:r>
      <w:r w:rsidRPr="009827F0">
        <w:t>chráněných</w:t>
      </w:r>
      <w:r>
        <w:t xml:space="preserve"> </w:t>
      </w:r>
      <w:r w:rsidRPr="009827F0">
        <w:t>informací</w:t>
      </w:r>
      <w:r>
        <w:t xml:space="preserve"> </w:t>
      </w:r>
      <w:r w:rsidRPr="009827F0">
        <w:t>včetně</w:t>
      </w:r>
      <w:r>
        <w:t xml:space="preserve"> </w:t>
      </w:r>
      <w:r w:rsidRPr="009827F0">
        <w:t>zajištění</w:t>
      </w:r>
      <w:r>
        <w:t xml:space="preserve"> </w:t>
      </w:r>
      <w:r w:rsidRPr="009827F0">
        <w:t>ochrany</w:t>
      </w:r>
      <w:r>
        <w:t xml:space="preserve"> </w:t>
      </w:r>
      <w:r w:rsidRPr="009827F0">
        <w:t>údajů</w:t>
      </w:r>
      <w:r>
        <w:t xml:space="preserve"> </w:t>
      </w:r>
      <w:r w:rsidRPr="009827F0">
        <w:t>předávaných</w:t>
      </w:r>
      <w:r>
        <w:t xml:space="preserve"> </w:t>
      </w:r>
      <w:r w:rsidRPr="009827F0">
        <w:t>operátorovi</w:t>
      </w:r>
      <w:r>
        <w:t xml:space="preserve"> </w:t>
      </w:r>
      <w:r w:rsidRPr="009827F0">
        <w:t>trhu</w:t>
      </w:r>
      <w:r>
        <w:t xml:space="preserve"> </w:t>
      </w:r>
      <w:r w:rsidRPr="009827F0">
        <w:t>a</w:t>
      </w:r>
      <w:r>
        <w:t xml:space="preserve"> </w:t>
      </w:r>
      <w:r w:rsidRPr="009827F0">
        <w:t>zajišťovat,</w:t>
      </w:r>
      <w:r>
        <w:t xml:space="preserve"> </w:t>
      </w:r>
      <w:r w:rsidRPr="009827F0">
        <w:t>aby</w:t>
      </w:r>
      <w:r>
        <w:t xml:space="preserve"> </w:t>
      </w:r>
      <w:r w:rsidRPr="009827F0">
        <w:t>nebyly</w:t>
      </w:r>
      <w:r>
        <w:t xml:space="preserve"> </w:t>
      </w:r>
      <w:r w:rsidRPr="009827F0">
        <w:t>chráněné</w:t>
      </w:r>
      <w:r>
        <w:t xml:space="preserve"> </w:t>
      </w:r>
      <w:r w:rsidRPr="009827F0">
        <w:t>informace</w:t>
      </w:r>
      <w:r>
        <w:t xml:space="preserve"> </w:t>
      </w:r>
      <w:r w:rsidRPr="009827F0">
        <w:t>o</w:t>
      </w:r>
      <w:r>
        <w:t xml:space="preserve"> </w:t>
      </w:r>
      <w:r w:rsidRPr="009827F0">
        <w:t>jeho</w:t>
      </w:r>
      <w:r>
        <w:t xml:space="preserve"> </w:t>
      </w:r>
      <w:r w:rsidRPr="009827F0">
        <w:t>vlastních</w:t>
      </w:r>
      <w:r>
        <w:t xml:space="preserve"> </w:t>
      </w:r>
      <w:r w:rsidRPr="009827F0">
        <w:t>činnostech</w:t>
      </w:r>
      <w:r>
        <w:t xml:space="preserve"> </w:t>
      </w:r>
      <w:r w:rsidRPr="009827F0">
        <w:t>poskytovány</w:t>
      </w:r>
      <w:r>
        <w:t xml:space="preserve"> </w:t>
      </w:r>
      <w:r w:rsidRPr="009827F0">
        <w:t>diskriminačním</w:t>
      </w:r>
      <w:r>
        <w:t xml:space="preserve"> </w:t>
      </w:r>
      <w:r w:rsidRPr="009827F0">
        <w:t>způsobem,</w:t>
      </w:r>
    </w:p>
    <w:p w14:paraId="17439238" w14:textId="24BFCE87" w:rsidR="00BF3171" w:rsidRDefault="00BF3171" w:rsidP="002E6AEA">
      <w:pPr>
        <w:pStyle w:val="Textparagrafu"/>
        <w:tabs>
          <w:tab w:val="left" w:pos="392"/>
          <w:tab w:val="left" w:pos="840"/>
        </w:tabs>
        <w:spacing w:before="0"/>
        <w:ind w:left="426" w:hanging="426"/>
      </w:pPr>
      <w:r w:rsidRPr="009827F0">
        <w:t>w)</w:t>
      </w:r>
      <w:r w:rsidR="00FF6857">
        <w:tab/>
      </w:r>
      <w:r w:rsidRPr="009827F0">
        <w:t>zpracovávat</w:t>
      </w:r>
      <w:r>
        <w:t xml:space="preserve"> </w:t>
      </w:r>
      <w:r w:rsidRPr="009827F0">
        <w:t>a</w:t>
      </w:r>
      <w:r>
        <w:t xml:space="preserve"> </w:t>
      </w:r>
      <w:r w:rsidRPr="009827F0">
        <w:t>předkládat</w:t>
      </w:r>
      <w:r>
        <w:t xml:space="preserve"> </w:t>
      </w:r>
      <w:r w:rsidRPr="009827F0">
        <w:t>Energetickému</w:t>
      </w:r>
      <w:r>
        <w:t xml:space="preserve"> </w:t>
      </w:r>
      <w:r w:rsidRPr="009827F0">
        <w:t>regulačnímu</w:t>
      </w:r>
      <w:r>
        <w:t xml:space="preserve"> </w:t>
      </w:r>
      <w:r w:rsidRPr="009827F0">
        <w:t>úřadu</w:t>
      </w:r>
      <w:r>
        <w:t xml:space="preserve"> </w:t>
      </w:r>
      <w:r w:rsidRPr="009827F0">
        <w:t>ke</w:t>
      </w:r>
      <w:r>
        <w:t xml:space="preserve"> </w:t>
      </w:r>
      <w:r w:rsidRPr="009827F0">
        <w:t>schválení</w:t>
      </w:r>
      <w:r>
        <w:t xml:space="preserve"> </w:t>
      </w:r>
      <w:r w:rsidRPr="009827F0">
        <w:t>Řád</w:t>
      </w:r>
      <w:r>
        <w:t xml:space="preserve"> </w:t>
      </w:r>
      <w:r w:rsidRPr="009827F0">
        <w:t>provozovatele</w:t>
      </w:r>
      <w:r>
        <w:t xml:space="preserve"> </w:t>
      </w:r>
      <w:r w:rsidRPr="009827F0">
        <w:t>distribuční</w:t>
      </w:r>
      <w:r>
        <w:t xml:space="preserve"> </w:t>
      </w:r>
      <w:r w:rsidRPr="009827F0">
        <w:t>soustavy,</w:t>
      </w:r>
      <w:r>
        <w:t xml:space="preserve"> </w:t>
      </w:r>
      <w:r w:rsidRPr="009827F0">
        <w:t>zajistit</w:t>
      </w:r>
      <w:r>
        <w:t xml:space="preserve"> </w:t>
      </w:r>
      <w:r w:rsidRPr="009827F0">
        <w:t>jeho</w:t>
      </w:r>
      <w:r>
        <w:t xml:space="preserve"> </w:t>
      </w:r>
      <w:r w:rsidRPr="009827F0">
        <w:t>zveřejnění</w:t>
      </w:r>
      <w:r>
        <w:t xml:space="preserve"> </w:t>
      </w:r>
      <w:r w:rsidRPr="009827F0">
        <w:t>a</w:t>
      </w:r>
      <w:r>
        <w:t xml:space="preserve"> </w:t>
      </w:r>
      <w:r w:rsidRPr="009827F0">
        <w:t>vykonávat</w:t>
      </w:r>
      <w:r>
        <w:t xml:space="preserve"> </w:t>
      </w:r>
      <w:r w:rsidRPr="009827F0">
        <w:t>licencovanou</w:t>
      </w:r>
      <w:r>
        <w:t xml:space="preserve"> </w:t>
      </w:r>
      <w:r w:rsidRPr="009827F0">
        <w:t>činnost</w:t>
      </w:r>
      <w:r>
        <w:t xml:space="preserve"> </w:t>
      </w:r>
      <w:r w:rsidRPr="009827F0">
        <w:t>v</w:t>
      </w:r>
      <w:r>
        <w:t xml:space="preserve"> </w:t>
      </w:r>
      <w:r w:rsidRPr="009827F0">
        <w:t>souladu</w:t>
      </w:r>
      <w:r>
        <w:t xml:space="preserve"> </w:t>
      </w:r>
      <w:r w:rsidRPr="009827F0">
        <w:t>s</w:t>
      </w:r>
      <w:r>
        <w:t xml:space="preserve"> </w:t>
      </w:r>
      <w:r w:rsidRPr="009827F0">
        <w:t>Řádem</w:t>
      </w:r>
      <w:r>
        <w:t xml:space="preserve"> </w:t>
      </w:r>
      <w:r w:rsidRPr="009827F0">
        <w:t>provozovatele</w:t>
      </w:r>
      <w:r>
        <w:t xml:space="preserve"> </w:t>
      </w:r>
      <w:r w:rsidRPr="009827F0">
        <w:t>distribuční</w:t>
      </w:r>
      <w:r>
        <w:t xml:space="preserve"> </w:t>
      </w:r>
      <w:r w:rsidRPr="009827F0">
        <w:t>soustavy,</w:t>
      </w:r>
    </w:p>
    <w:p w14:paraId="164D19F4" w14:textId="6B276506" w:rsidR="00BF3171" w:rsidRDefault="00BF3171" w:rsidP="002E6AEA">
      <w:pPr>
        <w:pStyle w:val="Textparagrafu"/>
        <w:tabs>
          <w:tab w:val="left" w:pos="392"/>
          <w:tab w:val="left" w:pos="840"/>
        </w:tabs>
        <w:spacing w:before="0"/>
        <w:ind w:left="426" w:hanging="426"/>
      </w:pPr>
      <w:r w:rsidRPr="009827F0">
        <w:t>x)</w:t>
      </w:r>
      <w:r w:rsidR="00FF6857">
        <w:tab/>
      </w:r>
      <w:r w:rsidRPr="009827F0">
        <w:t>zpracovávat</w:t>
      </w:r>
      <w:r>
        <w:t xml:space="preserve"> </w:t>
      </w:r>
      <w:r w:rsidRPr="009827F0">
        <w:t>a</w:t>
      </w:r>
      <w:r>
        <w:t xml:space="preserve"> </w:t>
      </w:r>
      <w:r w:rsidRPr="009827F0">
        <w:t>předávat</w:t>
      </w:r>
      <w:r>
        <w:t xml:space="preserve"> </w:t>
      </w:r>
      <w:r w:rsidRPr="009827F0">
        <w:t>ministerstvu</w:t>
      </w:r>
      <w:r>
        <w:t xml:space="preserve"> </w:t>
      </w:r>
      <w:r w:rsidRPr="009827F0">
        <w:t>a</w:t>
      </w:r>
      <w:r>
        <w:t xml:space="preserve"> </w:t>
      </w:r>
      <w:r w:rsidRPr="009827F0">
        <w:t>Energetickému</w:t>
      </w:r>
      <w:r>
        <w:t xml:space="preserve"> </w:t>
      </w:r>
      <w:r w:rsidRPr="009827F0">
        <w:t>regulačnímu</w:t>
      </w:r>
      <w:r>
        <w:t xml:space="preserve"> </w:t>
      </w:r>
      <w:r w:rsidRPr="009827F0">
        <w:t>úřadu</w:t>
      </w:r>
      <w:r>
        <w:t xml:space="preserve"> </w:t>
      </w:r>
      <w:r w:rsidRPr="009827F0">
        <w:t>jednou</w:t>
      </w:r>
      <w:r>
        <w:t xml:space="preserve"> </w:t>
      </w:r>
      <w:r w:rsidRPr="009827F0">
        <w:t>ročně,</w:t>
      </w:r>
      <w:r>
        <w:t xml:space="preserve"> </w:t>
      </w:r>
      <w:r w:rsidRPr="009827F0">
        <w:t>nejpozději</w:t>
      </w:r>
      <w:r>
        <w:t xml:space="preserve"> </w:t>
      </w:r>
      <w:r w:rsidRPr="009827F0">
        <w:t>do</w:t>
      </w:r>
      <w:r>
        <w:t xml:space="preserve"> </w:t>
      </w:r>
      <w:r w:rsidRPr="009827F0">
        <w:t>1.</w:t>
      </w:r>
      <w:r>
        <w:t xml:space="preserve"> </w:t>
      </w:r>
      <w:r w:rsidRPr="009827F0">
        <w:t>března</w:t>
      </w:r>
      <w:r>
        <w:t xml:space="preserve"> </w:t>
      </w:r>
      <w:r w:rsidRPr="009827F0">
        <w:t>následujícího</w:t>
      </w:r>
      <w:r>
        <w:t xml:space="preserve"> </w:t>
      </w:r>
      <w:r w:rsidRPr="009827F0">
        <w:t>kalendářního</w:t>
      </w:r>
      <w:r>
        <w:t xml:space="preserve"> </w:t>
      </w:r>
      <w:r w:rsidRPr="009827F0">
        <w:t>roku,</w:t>
      </w:r>
      <w:r>
        <w:t xml:space="preserve"> </w:t>
      </w:r>
      <w:r w:rsidRPr="009827F0">
        <w:t>zprávu</w:t>
      </w:r>
      <w:r>
        <w:t xml:space="preserve"> </w:t>
      </w:r>
      <w:r w:rsidRPr="009827F0">
        <w:t>o</w:t>
      </w:r>
      <w:r>
        <w:t xml:space="preserve"> </w:t>
      </w:r>
      <w:r w:rsidRPr="009827F0">
        <w:t>kvalitě</w:t>
      </w:r>
      <w:r>
        <w:t xml:space="preserve"> </w:t>
      </w:r>
      <w:r w:rsidRPr="009827F0">
        <w:t>a</w:t>
      </w:r>
      <w:r>
        <w:t xml:space="preserve"> </w:t>
      </w:r>
      <w:r w:rsidRPr="009827F0">
        <w:t>úrovni</w:t>
      </w:r>
      <w:r>
        <w:t xml:space="preserve"> </w:t>
      </w:r>
      <w:r w:rsidRPr="009827F0">
        <w:t>údržby</w:t>
      </w:r>
      <w:r>
        <w:t xml:space="preserve"> </w:t>
      </w:r>
      <w:r w:rsidRPr="009827F0">
        <w:t>zařízení</w:t>
      </w:r>
      <w:r>
        <w:t xml:space="preserve"> </w:t>
      </w:r>
      <w:r w:rsidRPr="009827F0">
        <w:t>distribuční</w:t>
      </w:r>
      <w:r>
        <w:t xml:space="preserve"> </w:t>
      </w:r>
      <w:r w:rsidRPr="009827F0">
        <w:t>soustavy,</w:t>
      </w:r>
    </w:p>
    <w:p w14:paraId="26E9748B" w14:textId="34163385" w:rsidR="00BF3171" w:rsidRDefault="00BF3171" w:rsidP="002E6AEA">
      <w:pPr>
        <w:pStyle w:val="Textparagrafu"/>
        <w:tabs>
          <w:tab w:val="left" w:pos="392"/>
          <w:tab w:val="left" w:pos="840"/>
        </w:tabs>
        <w:spacing w:before="0"/>
        <w:ind w:left="426" w:hanging="426"/>
      </w:pPr>
      <w:r w:rsidRPr="009827F0">
        <w:t>y)</w:t>
      </w:r>
      <w:r w:rsidR="00FF6857">
        <w:tab/>
      </w:r>
      <w:r w:rsidRPr="009827F0">
        <w:t>zajišťovat</w:t>
      </w:r>
      <w:r>
        <w:t xml:space="preserve"> </w:t>
      </w:r>
      <w:r w:rsidRPr="009827F0">
        <w:t>propagaci</w:t>
      </w:r>
      <w:r>
        <w:t xml:space="preserve"> </w:t>
      </w:r>
      <w:r w:rsidRPr="009827F0">
        <w:t>energetických</w:t>
      </w:r>
      <w:r>
        <w:t xml:space="preserve"> </w:t>
      </w:r>
      <w:r w:rsidRPr="009827F0">
        <w:t>služeb</w:t>
      </w:r>
      <w:r>
        <w:t xml:space="preserve"> </w:t>
      </w:r>
      <w:r w:rsidRPr="009827F0">
        <w:t>a</w:t>
      </w:r>
      <w:r>
        <w:t xml:space="preserve"> </w:t>
      </w:r>
      <w:r w:rsidRPr="009827F0">
        <w:t>jejich</w:t>
      </w:r>
      <w:r>
        <w:t xml:space="preserve"> </w:t>
      </w:r>
      <w:r w:rsidRPr="009827F0">
        <w:t>nabídky</w:t>
      </w:r>
      <w:r>
        <w:t xml:space="preserve"> </w:t>
      </w:r>
      <w:r w:rsidRPr="009827F0">
        <w:t>zákazníkům</w:t>
      </w:r>
      <w:r>
        <w:t xml:space="preserve"> </w:t>
      </w:r>
      <w:r w:rsidRPr="009827F0">
        <w:t>za</w:t>
      </w:r>
      <w:r>
        <w:t xml:space="preserve"> </w:t>
      </w:r>
      <w:r w:rsidRPr="009827F0">
        <w:t>konkurenceschopné</w:t>
      </w:r>
      <w:r>
        <w:t xml:space="preserve"> </w:t>
      </w:r>
      <w:r w:rsidRPr="009827F0">
        <w:t>ceny</w:t>
      </w:r>
      <w:r>
        <w:t xml:space="preserve"> </w:t>
      </w:r>
      <w:r w:rsidRPr="009827F0">
        <w:t>energetických</w:t>
      </w:r>
      <w:r>
        <w:t xml:space="preserve"> </w:t>
      </w:r>
      <w:r w:rsidRPr="009827F0">
        <w:t>služeb,</w:t>
      </w:r>
    </w:p>
    <w:p w14:paraId="6528B63C" w14:textId="7F0E85C6" w:rsidR="00BF3171" w:rsidRDefault="00BF3171" w:rsidP="002E6AEA">
      <w:pPr>
        <w:pStyle w:val="Textparagrafu"/>
        <w:tabs>
          <w:tab w:val="left" w:pos="392"/>
          <w:tab w:val="left" w:pos="840"/>
        </w:tabs>
        <w:spacing w:before="0"/>
        <w:ind w:left="426" w:hanging="426"/>
      </w:pPr>
      <w:r w:rsidRPr="009827F0">
        <w:t>z)</w:t>
      </w:r>
      <w:r w:rsidR="00FF6857">
        <w:tab/>
      </w:r>
      <w:r w:rsidRPr="009827F0">
        <w:t>na</w:t>
      </w:r>
      <w:r>
        <w:t xml:space="preserve"> </w:t>
      </w:r>
      <w:r w:rsidRPr="009827F0">
        <w:t>základě</w:t>
      </w:r>
      <w:r>
        <w:t xml:space="preserve"> </w:t>
      </w:r>
      <w:r w:rsidRPr="009827F0">
        <w:t>žádosti</w:t>
      </w:r>
      <w:r>
        <w:t xml:space="preserve"> </w:t>
      </w:r>
      <w:r w:rsidRPr="009827F0">
        <w:t>obchodníka</w:t>
      </w:r>
      <w:r>
        <w:t xml:space="preserve"> </w:t>
      </w:r>
      <w:r w:rsidRPr="009827F0">
        <w:t>s</w:t>
      </w:r>
      <w:r>
        <w:t xml:space="preserve"> </w:t>
      </w:r>
      <w:r w:rsidRPr="009827F0">
        <w:t>plynem</w:t>
      </w:r>
      <w:r>
        <w:t xml:space="preserve"> </w:t>
      </w:r>
      <w:r w:rsidRPr="009827F0">
        <w:t>nebo</w:t>
      </w:r>
      <w:r>
        <w:t xml:space="preserve"> </w:t>
      </w:r>
      <w:r w:rsidRPr="009827F0">
        <w:t>výrobce</w:t>
      </w:r>
      <w:r>
        <w:t xml:space="preserve"> </w:t>
      </w:r>
      <w:r w:rsidRPr="009827F0">
        <w:t>plynu</w:t>
      </w:r>
      <w:r>
        <w:t xml:space="preserve"> </w:t>
      </w:r>
      <w:r w:rsidRPr="009827F0">
        <w:t>přerušit</w:t>
      </w:r>
      <w:r>
        <w:t xml:space="preserve"> </w:t>
      </w:r>
      <w:r w:rsidRPr="009827F0">
        <w:t>v</w:t>
      </w:r>
      <w:r>
        <w:t xml:space="preserve"> </w:t>
      </w:r>
      <w:r w:rsidRPr="009827F0">
        <w:t>případě</w:t>
      </w:r>
      <w:r>
        <w:t xml:space="preserve"> </w:t>
      </w:r>
      <w:r w:rsidRPr="009827F0">
        <w:t>neoprávněného</w:t>
      </w:r>
      <w:r>
        <w:t xml:space="preserve"> </w:t>
      </w:r>
      <w:r w:rsidRPr="009827F0">
        <w:t>odběru</w:t>
      </w:r>
      <w:r>
        <w:t xml:space="preserve"> </w:t>
      </w:r>
      <w:r w:rsidRPr="009827F0">
        <w:t>dodávku</w:t>
      </w:r>
      <w:r>
        <w:t xml:space="preserve"> </w:t>
      </w:r>
      <w:r w:rsidRPr="009827F0">
        <w:t>plynu.</w:t>
      </w:r>
    </w:p>
    <w:p w14:paraId="65E40F69" w14:textId="77777777" w:rsidR="00BF3171" w:rsidRDefault="00BF3171" w:rsidP="0010420C">
      <w:pPr>
        <w:pStyle w:val="Textparagrafu"/>
        <w:tabs>
          <w:tab w:val="left" w:pos="392"/>
          <w:tab w:val="left" w:pos="840"/>
        </w:tabs>
        <w:spacing w:before="120" w:after="120"/>
      </w:pPr>
      <w:r w:rsidRPr="009827F0">
        <w:t>(9)</w:t>
      </w:r>
      <w:r>
        <w:t xml:space="preserve"> </w:t>
      </w:r>
      <w:r w:rsidRPr="009827F0">
        <w:t>Provozovatel</w:t>
      </w:r>
      <w:r>
        <w:t xml:space="preserve"> </w:t>
      </w:r>
      <w:r w:rsidRPr="009827F0">
        <w:t>distribuční</w:t>
      </w:r>
      <w:r>
        <w:t xml:space="preserve"> </w:t>
      </w:r>
      <w:r w:rsidRPr="009827F0">
        <w:t>soustavy</w:t>
      </w:r>
      <w:r>
        <w:t xml:space="preserve"> </w:t>
      </w:r>
      <w:r w:rsidRPr="009827F0">
        <w:t>je</w:t>
      </w:r>
      <w:r>
        <w:t xml:space="preserve"> </w:t>
      </w:r>
      <w:r w:rsidRPr="009827F0">
        <w:t>dále</w:t>
      </w:r>
      <w:r>
        <w:t xml:space="preserve"> </w:t>
      </w:r>
      <w:r w:rsidRPr="009827F0">
        <w:t>povinen</w:t>
      </w:r>
    </w:p>
    <w:p w14:paraId="79301365" w14:textId="023AD5FA" w:rsidR="00BF3171" w:rsidRDefault="00BF3171" w:rsidP="002E6AEA">
      <w:pPr>
        <w:pStyle w:val="Textparagrafu"/>
        <w:tabs>
          <w:tab w:val="left" w:pos="392"/>
          <w:tab w:val="left" w:pos="840"/>
        </w:tabs>
        <w:spacing w:before="0"/>
        <w:ind w:left="426" w:hanging="426"/>
      </w:pPr>
      <w:r w:rsidRPr="009827F0">
        <w:t>a)</w:t>
      </w:r>
      <w:r w:rsidR="007125EE">
        <w:tab/>
      </w:r>
      <w:r w:rsidRPr="009827F0">
        <w:t>zaregistrovat</w:t>
      </w:r>
      <w:r>
        <w:t xml:space="preserve"> </w:t>
      </w:r>
      <w:r w:rsidRPr="009827F0">
        <w:t>se</w:t>
      </w:r>
      <w:r>
        <w:t xml:space="preserve"> </w:t>
      </w:r>
      <w:r w:rsidRPr="009827F0">
        <w:t>do</w:t>
      </w:r>
      <w:r>
        <w:t xml:space="preserve"> </w:t>
      </w:r>
      <w:r w:rsidRPr="009827F0">
        <w:t>30</w:t>
      </w:r>
      <w:r>
        <w:t xml:space="preserve"> </w:t>
      </w:r>
      <w:r w:rsidRPr="009827F0">
        <w:t>dnů</w:t>
      </w:r>
      <w:r>
        <w:t xml:space="preserve"> </w:t>
      </w:r>
      <w:r w:rsidRPr="009827F0">
        <w:t>od</w:t>
      </w:r>
      <w:r>
        <w:t xml:space="preserve"> </w:t>
      </w:r>
      <w:r w:rsidRPr="009827F0">
        <w:t>udělení</w:t>
      </w:r>
      <w:r>
        <w:t xml:space="preserve"> </w:t>
      </w:r>
      <w:r w:rsidRPr="009827F0">
        <w:t>licence</w:t>
      </w:r>
      <w:r>
        <w:t xml:space="preserve"> </w:t>
      </w:r>
      <w:r w:rsidRPr="009827F0">
        <w:t>na</w:t>
      </w:r>
      <w:r>
        <w:t xml:space="preserve"> </w:t>
      </w:r>
      <w:r w:rsidRPr="009827F0">
        <w:t>distribuci</w:t>
      </w:r>
      <w:r>
        <w:t xml:space="preserve"> </w:t>
      </w:r>
      <w:r w:rsidRPr="009827F0">
        <w:t>plynu</w:t>
      </w:r>
      <w:r>
        <w:t xml:space="preserve"> </w:t>
      </w:r>
      <w:r w:rsidRPr="009827F0">
        <w:t>u</w:t>
      </w:r>
      <w:r>
        <w:t xml:space="preserve"> </w:t>
      </w:r>
      <w:r w:rsidRPr="009827F0">
        <w:t>operátora</w:t>
      </w:r>
      <w:r>
        <w:t xml:space="preserve"> </w:t>
      </w:r>
      <w:r w:rsidRPr="009827F0">
        <w:t>trhu;</w:t>
      </w:r>
      <w:r>
        <w:t xml:space="preserve"> </w:t>
      </w:r>
      <w:r w:rsidRPr="009827F0">
        <w:t>zaregistrováním</w:t>
      </w:r>
      <w:r>
        <w:t xml:space="preserve"> </w:t>
      </w:r>
      <w:r w:rsidRPr="009827F0">
        <w:t>se</w:t>
      </w:r>
      <w:r>
        <w:t xml:space="preserve"> </w:t>
      </w:r>
      <w:r w:rsidRPr="009827F0">
        <w:t>provozovatel</w:t>
      </w:r>
      <w:r>
        <w:t xml:space="preserve"> </w:t>
      </w:r>
      <w:r w:rsidRPr="009827F0">
        <w:t>distribuční</w:t>
      </w:r>
      <w:r>
        <w:t xml:space="preserve"> </w:t>
      </w:r>
      <w:r w:rsidRPr="009827F0">
        <w:t>soustavy</w:t>
      </w:r>
      <w:r>
        <w:t xml:space="preserve"> </w:t>
      </w:r>
      <w:r w:rsidRPr="009827F0">
        <w:t>stává</w:t>
      </w:r>
      <w:r>
        <w:t xml:space="preserve"> </w:t>
      </w:r>
      <w:r w:rsidRPr="009827F0">
        <w:t>registrovaným</w:t>
      </w:r>
      <w:r>
        <w:t xml:space="preserve"> </w:t>
      </w:r>
      <w:r w:rsidRPr="009827F0">
        <w:t>účastníkem</w:t>
      </w:r>
      <w:r>
        <w:t xml:space="preserve"> </w:t>
      </w:r>
      <w:r w:rsidRPr="009827F0">
        <w:t>trhu,</w:t>
      </w:r>
    </w:p>
    <w:p w14:paraId="44650B3E" w14:textId="0B07FCE1" w:rsidR="00BF3171" w:rsidRDefault="00BF3171" w:rsidP="002E6AEA">
      <w:pPr>
        <w:pStyle w:val="Textparagrafu"/>
        <w:tabs>
          <w:tab w:val="left" w:pos="392"/>
          <w:tab w:val="left" w:pos="840"/>
        </w:tabs>
        <w:spacing w:before="0"/>
        <w:ind w:left="426" w:hanging="426"/>
      </w:pPr>
      <w:r w:rsidRPr="009827F0">
        <w:t>b)</w:t>
      </w:r>
      <w:r w:rsidR="007125EE">
        <w:tab/>
      </w:r>
      <w:r w:rsidRPr="009827F0">
        <w:t>vypracovat</w:t>
      </w:r>
      <w:r>
        <w:t xml:space="preserve"> </w:t>
      </w:r>
      <w:r w:rsidRPr="009827F0">
        <w:t>do</w:t>
      </w:r>
      <w:r>
        <w:t xml:space="preserve"> </w:t>
      </w:r>
      <w:r w:rsidRPr="009827F0">
        <w:t>6</w:t>
      </w:r>
      <w:r>
        <w:t xml:space="preserve"> </w:t>
      </w:r>
      <w:r w:rsidRPr="009827F0">
        <w:t>měsíců</w:t>
      </w:r>
      <w:r>
        <w:t xml:space="preserve"> </w:t>
      </w:r>
      <w:r w:rsidRPr="009827F0">
        <w:t>po</w:t>
      </w:r>
      <w:r>
        <w:t xml:space="preserve"> </w:t>
      </w:r>
      <w:r w:rsidRPr="009827F0">
        <w:t>udělení</w:t>
      </w:r>
      <w:r>
        <w:t xml:space="preserve"> </w:t>
      </w:r>
      <w:r w:rsidRPr="009827F0">
        <w:t>licence</w:t>
      </w:r>
      <w:r>
        <w:t xml:space="preserve"> </w:t>
      </w:r>
      <w:r w:rsidRPr="009827F0">
        <w:t>na</w:t>
      </w:r>
      <w:r>
        <w:t xml:space="preserve"> </w:t>
      </w:r>
      <w:r w:rsidRPr="009827F0">
        <w:t>distribuci</w:t>
      </w:r>
      <w:r>
        <w:t xml:space="preserve"> </w:t>
      </w:r>
      <w:r w:rsidRPr="009827F0">
        <w:t>plynu</w:t>
      </w:r>
      <w:r>
        <w:t xml:space="preserve"> </w:t>
      </w:r>
      <w:r w:rsidRPr="009827F0">
        <w:t>a</w:t>
      </w:r>
      <w:r>
        <w:t xml:space="preserve"> </w:t>
      </w:r>
      <w:r w:rsidRPr="009827F0">
        <w:t>každý</w:t>
      </w:r>
      <w:r>
        <w:t xml:space="preserve"> </w:t>
      </w:r>
      <w:r w:rsidRPr="009827F0">
        <w:t>druhý</w:t>
      </w:r>
      <w:r>
        <w:t xml:space="preserve"> </w:t>
      </w:r>
      <w:r w:rsidRPr="009827F0">
        <w:t>rok</w:t>
      </w:r>
      <w:r>
        <w:t xml:space="preserve"> </w:t>
      </w:r>
      <w:r w:rsidRPr="009827F0">
        <w:t>do</w:t>
      </w:r>
      <w:r>
        <w:t xml:space="preserve"> </w:t>
      </w:r>
      <w:r w:rsidRPr="009827F0">
        <w:t>31.</w:t>
      </w:r>
      <w:r>
        <w:t xml:space="preserve"> </w:t>
      </w:r>
      <w:r w:rsidRPr="009827F0">
        <w:t>března</w:t>
      </w:r>
      <w:r>
        <w:t xml:space="preserve"> </w:t>
      </w:r>
      <w:r w:rsidRPr="009827F0">
        <w:t>upřesňovat</w:t>
      </w:r>
      <w:r>
        <w:t xml:space="preserve"> </w:t>
      </w:r>
      <w:r w:rsidRPr="009827F0">
        <w:t>podklady</w:t>
      </w:r>
      <w:r>
        <w:t xml:space="preserve"> </w:t>
      </w:r>
      <w:r w:rsidRPr="009827F0">
        <w:t>pro</w:t>
      </w:r>
      <w:r>
        <w:t xml:space="preserve"> </w:t>
      </w:r>
      <w:r w:rsidRPr="009827F0">
        <w:t>zpracování</w:t>
      </w:r>
      <w:r>
        <w:t xml:space="preserve"> </w:t>
      </w:r>
      <w:r w:rsidRPr="009827F0">
        <w:t>plánu</w:t>
      </w:r>
      <w:r>
        <w:t xml:space="preserve"> </w:t>
      </w:r>
      <w:r w:rsidRPr="009827F0">
        <w:t>preventivních</w:t>
      </w:r>
      <w:r>
        <w:t xml:space="preserve"> </w:t>
      </w:r>
      <w:r w:rsidRPr="009827F0">
        <w:t>opatření</w:t>
      </w:r>
      <w:r>
        <w:t xml:space="preserve"> </w:t>
      </w:r>
      <w:r w:rsidRPr="009827F0">
        <w:t>a</w:t>
      </w:r>
      <w:r>
        <w:t xml:space="preserve"> </w:t>
      </w:r>
      <w:r w:rsidRPr="009827F0">
        <w:t>plánu</w:t>
      </w:r>
      <w:r>
        <w:t xml:space="preserve"> </w:t>
      </w:r>
      <w:r w:rsidRPr="009827F0">
        <w:t>pro</w:t>
      </w:r>
      <w:r>
        <w:t xml:space="preserve"> </w:t>
      </w:r>
      <w:r w:rsidRPr="009827F0">
        <w:t>stav</w:t>
      </w:r>
      <w:r>
        <w:t xml:space="preserve"> </w:t>
      </w:r>
      <w:r w:rsidRPr="009827F0">
        <w:t>nouze</w:t>
      </w:r>
      <w:r>
        <w:t xml:space="preserve"> </w:t>
      </w:r>
      <w:r w:rsidRPr="009827F0">
        <w:t>a</w:t>
      </w:r>
      <w:r>
        <w:t xml:space="preserve"> </w:t>
      </w:r>
      <w:r w:rsidRPr="009827F0">
        <w:t>zasílat</w:t>
      </w:r>
      <w:r>
        <w:t xml:space="preserve"> </w:t>
      </w:r>
      <w:r w:rsidRPr="009827F0">
        <w:t>je</w:t>
      </w:r>
      <w:r>
        <w:t xml:space="preserve"> </w:t>
      </w:r>
      <w:r w:rsidRPr="009827F0">
        <w:t>ministerstvu,</w:t>
      </w:r>
    </w:p>
    <w:p w14:paraId="736D259C" w14:textId="71F98114" w:rsidR="00BF3171" w:rsidRDefault="00BF3171" w:rsidP="002E6AEA">
      <w:pPr>
        <w:pStyle w:val="Textparagrafu"/>
        <w:tabs>
          <w:tab w:val="left" w:pos="392"/>
          <w:tab w:val="left" w:pos="840"/>
        </w:tabs>
        <w:spacing w:before="0"/>
        <w:ind w:left="426" w:hanging="426"/>
      </w:pPr>
      <w:r w:rsidRPr="009827F0">
        <w:t>c)</w:t>
      </w:r>
      <w:r w:rsidR="007125EE">
        <w:tab/>
      </w:r>
      <w:r w:rsidRPr="009827F0">
        <w:t>každoročně</w:t>
      </w:r>
      <w:r>
        <w:t xml:space="preserve"> </w:t>
      </w:r>
      <w:r w:rsidRPr="009827F0">
        <w:t>zpracovávat</w:t>
      </w:r>
      <w:r>
        <w:t xml:space="preserve"> </w:t>
      </w:r>
      <w:r w:rsidRPr="009827F0">
        <w:t>a</w:t>
      </w:r>
      <w:r>
        <w:t xml:space="preserve"> </w:t>
      </w:r>
      <w:r w:rsidRPr="009827F0">
        <w:t>do</w:t>
      </w:r>
      <w:r>
        <w:t xml:space="preserve"> </w:t>
      </w:r>
      <w:r w:rsidRPr="009827F0">
        <w:t>31.</w:t>
      </w:r>
      <w:r>
        <w:t xml:space="preserve"> </w:t>
      </w:r>
      <w:r w:rsidRPr="009827F0">
        <w:t>března</w:t>
      </w:r>
      <w:r>
        <w:t xml:space="preserve"> </w:t>
      </w:r>
      <w:r w:rsidRPr="009827F0">
        <w:t>předávat</w:t>
      </w:r>
      <w:r>
        <w:t xml:space="preserve"> </w:t>
      </w:r>
      <w:r w:rsidRPr="009827F0">
        <w:t>provozovateli</w:t>
      </w:r>
      <w:r>
        <w:t xml:space="preserve"> </w:t>
      </w:r>
      <w:r w:rsidRPr="009827F0">
        <w:t>přepravní</w:t>
      </w:r>
      <w:r>
        <w:t xml:space="preserve"> </w:t>
      </w:r>
      <w:r w:rsidRPr="009827F0">
        <w:t>soustavy</w:t>
      </w:r>
      <w:r>
        <w:t xml:space="preserve"> </w:t>
      </w:r>
      <w:r w:rsidRPr="009827F0">
        <w:t>údaje</w:t>
      </w:r>
      <w:r>
        <w:t xml:space="preserve"> </w:t>
      </w:r>
      <w:r w:rsidRPr="009827F0">
        <w:t>o</w:t>
      </w:r>
      <w:r>
        <w:t xml:space="preserve"> </w:t>
      </w:r>
      <w:r w:rsidRPr="009827F0">
        <w:t>plánovaném</w:t>
      </w:r>
      <w:r>
        <w:t xml:space="preserve"> </w:t>
      </w:r>
      <w:r w:rsidRPr="009827F0">
        <w:t>rozvoji</w:t>
      </w:r>
      <w:r>
        <w:t xml:space="preserve"> </w:t>
      </w:r>
      <w:r w:rsidRPr="009827F0">
        <w:t>kapacity</w:t>
      </w:r>
      <w:r>
        <w:t xml:space="preserve"> </w:t>
      </w:r>
      <w:r w:rsidRPr="009827F0">
        <w:t>souborů</w:t>
      </w:r>
      <w:r>
        <w:t xml:space="preserve"> </w:t>
      </w:r>
      <w:r w:rsidRPr="009827F0">
        <w:t>předávacích</w:t>
      </w:r>
      <w:r>
        <w:t xml:space="preserve"> </w:t>
      </w:r>
      <w:r w:rsidRPr="009827F0">
        <w:t>míst</w:t>
      </w:r>
      <w:r>
        <w:t xml:space="preserve"> </w:t>
      </w:r>
      <w:r w:rsidRPr="009827F0">
        <w:t>mezi</w:t>
      </w:r>
      <w:r>
        <w:t xml:space="preserve"> </w:t>
      </w:r>
      <w:r w:rsidRPr="009827F0">
        <w:t>distribuční</w:t>
      </w:r>
      <w:r>
        <w:t xml:space="preserve"> </w:t>
      </w:r>
      <w:r w:rsidRPr="009827F0">
        <w:t>a</w:t>
      </w:r>
      <w:r>
        <w:t xml:space="preserve"> </w:t>
      </w:r>
      <w:r w:rsidRPr="009827F0">
        <w:t>přepravní</w:t>
      </w:r>
      <w:r>
        <w:t xml:space="preserve"> </w:t>
      </w:r>
      <w:r w:rsidRPr="009827F0">
        <w:t>soustavou</w:t>
      </w:r>
      <w:r>
        <w:t xml:space="preserve"> </w:t>
      </w:r>
      <w:r w:rsidRPr="009827F0">
        <w:t>v</w:t>
      </w:r>
      <w:r>
        <w:t xml:space="preserve"> </w:t>
      </w:r>
      <w:r w:rsidRPr="009827F0">
        <w:t>členění</w:t>
      </w:r>
      <w:r>
        <w:t xml:space="preserve"> </w:t>
      </w:r>
      <w:r w:rsidRPr="009827F0">
        <w:t>potřebném</w:t>
      </w:r>
      <w:r>
        <w:t xml:space="preserve"> </w:t>
      </w:r>
      <w:r w:rsidRPr="009827F0">
        <w:t>pro</w:t>
      </w:r>
      <w:r>
        <w:t xml:space="preserve"> </w:t>
      </w:r>
      <w:r w:rsidRPr="009827F0">
        <w:t>zpracování</w:t>
      </w:r>
      <w:r>
        <w:t xml:space="preserve"> </w:t>
      </w:r>
      <w:r w:rsidRPr="009827F0">
        <w:t>desetiletého</w:t>
      </w:r>
      <w:r>
        <w:t xml:space="preserve"> </w:t>
      </w:r>
      <w:r w:rsidRPr="009827F0">
        <w:t>plánu</w:t>
      </w:r>
      <w:r>
        <w:t xml:space="preserve"> </w:t>
      </w:r>
      <w:r w:rsidRPr="009827F0">
        <w:t>rozvoje</w:t>
      </w:r>
      <w:r>
        <w:t xml:space="preserve"> </w:t>
      </w:r>
      <w:r w:rsidRPr="009827F0">
        <w:t>přepravní</w:t>
      </w:r>
      <w:r>
        <w:t xml:space="preserve"> </w:t>
      </w:r>
      <w:r w:rsidRPr="009827F0">
        <w:t>soustavy,</w:t>
      </w:r>
    </w:p>
    <w:p w14:paraId="3D48B494" w14:textId="402536C1" w:rsidR="00BF3171" w:rsidRDefault="00BF3171" w:rsidP="002E6AEA">
      <w:pPr>
        <w:pStyle w:val="Textparagrafu"/>
        <w:tabs>
          <w:tab w:val="left" w:pos="392"/>
          <w:tab w:val="left" w:pos="840"/>
        </w:tabs>
        <w:spacing w:before="0"/>
        <w:ind w:left="426" w:hanging="426"/>
      </w:pPr>
      <w:r w:rsidRPr="009827F0">
        <w:t>d)</w:t>
      </w:r>
      <w:r w:rsidR="007125EE">
        <w:tab/>
      </w:r>
      <w:r w:rsidRPr="009827F0">
        <w:t>hradit</w:t>
      </w:r>
      <w:r>
        <w:t xml:space="preserve"> </w:t>
      </w:r>
      <w:r w:rsidRPr="009827F0">
        <w:t>operátorovi</w:t>
      </w:r>
      <w:r>
        <w:t xml:space="preserve"> </w:t>
      </w:r>
      <w:r w:rsidRPr="009827F0">
        <w:t>trhu</w:t>
      </w:r>
      <w:r>
        <w:t xml:space="preserve"> </w:t>
      </w:r>
      <w:r w:rsidRPr="009827F0">
        <w:t>cenu</w:t>
      </w:r>
      <w:r>
        <w:t xml:space="preserve"> </w:t>
      </w:r>
      <w:r w:rsidRPr="009827F0">
        <w:t>za</w:t>
      </w:r>
      <w:r>
        <w:t xml:space="preserve"> </w:t>
      </w:r>
      <w:r w:rsidRPr="009827F0">
        <w:t>činnosti</w:t>
      </w:r>
      <w:r>
        <w:t xml:space="preserve"> </w:t>
      </w:r>
      <w:r w:rsidRPr="009827F0">
        <w:t>operátora</w:t>
      </w:r>
      <w:r>
        <w:t xml:space="preserve"> </w:t>
      </w:r>
      <w:r w:rsidRPr="009827F0">
        <w:t>trhu</w:t>
      </w:r>
      <w:r>
        <w:t xml:space="preserve"> </w:t>
      </w:r>
      <w:r w:rsidRPr="009827F0">
        <w:t>podle</w:t>
      </w:r>
      <w:r>
        <w:t xml:space="preserve"> </w:t>
      </w:r>
      <w:r w:rsidRPr="009827F0">
        <w:t>Pravidel</w:t>
      </w:r>
      <w:r>
        <w:t xml:space="preserve"> </w:t>
      </w:r>
      <w:r w:rsidRPr="009827F0">
        <w:t>trhu</w:t>
      </w:r>
      <w:r>
        <w:t xml:space="preserve"> </w:t>
      </w:r>
      <w:r w:rsidRPr="009827F0">
        <w:t>s</w:t>
      </w:r>
      <w:r>
        <w:t xml:space="preserve"> </w:t>
      </w:r>
      <w:r w:rsidRPr="009827F0">
        <w:t>plynem,</w:t>
      </w:r>
    </w:p>
    <w:p w14:paraId="2944629D" w14:textId="4CD0F7E4" w:rsidR="00BF3171" w:rsidRDefault="00BF3171" w:rsidP="002E6AEA">
      <w:pPr>
        <w:pStyle w:val="Textparagrafu"/>
        <w:tabs>
          <w:tab w:val="left" w:pos="392"/>
          <w:tab w:val="left" w:pos="840"/>
        </w:tabs>
        <w:spacing w:before="0"/>
        <w:ind w:left="426" w:hanging="426"/>
      </w:pPr>
      <w:r w:rsidRPr="009827F0">
        <w:t>e)</w:t>
      </w:r>
      <w:r w:rsidR="007125EE">
        <w:tab/>
      </w:r>
      <w:r w:rsidRPr="009827F0">
        <w:t>zpracovávat</w:t>
      </w:r>
      <w:r>
        <w:t xml:space="preserve"> </w:t>
      </w:r>
      <w:r w:rsidRPr="009827F0">
        <w:t>a</w:t>
      </w:r>
      <w:r>
        <w:t xml:space="preserve"> </w:t>
      </w:r>
      <w:r w:rsidRPr="009827F0">
        <w:t>předávat</w:t>
      </w:r>
      <w:r>
        <w:t xml:space="preserve"> </w:t>
      </w:r>
      <w:r w:rsidRPr="009827F0">
        <w:t>operátorovi</w:t>
      </w:r>
      <w:r>
        <w:t xml:space="preserve"> </w:t>
      </w:r>
      <w:r w:rsidRPr="009827F0">
        <w:t>trhu</w:t>
      </w:r>
      <w:r>
        <w:t xml:space="preserve"> </w:t>
      </w:r>
      <w:r w:rsidRPr="009827F0">
        <w:t>údaje</w:t>
      </w:r>
      <w:r>
        <w:t xml:space="preserve"> </w:t>
      </w:r>
      <w:r w:rsidRPr="009827F0">
        <w:t>z</w:t>
      </w:r>
      <w:r>
        <w:t xml:space="preserve"> </w:t>
      </w:r>
      <w:r w:rsidRPr="009827F0">
        <w:t>měření</w:t>
      </w:r>
      <w:r>
        <w:t xml:space="preserve"> </w:t>
      </w:r>
      <w:r w:rsidRPr="009827F0">
        <w:t>pro</w:t>
      </w:r>
      <w:r>
        <w:t xml:space="preserve"> </w:t>
      </w:r>
      <w:r w:rsidRPr="009827F0">
        <w:t>potřeby</w:t>
      </w:r>
      <w:r>
        <w:t xml:space="preserve"> </w:t>
      </w:r>
      <w:r w:rsidRPr="009827F0">
        <w:t>tvorby</w:t>
      </w:r>
      <w:r>
        <w:t xml:space="preserve"> </w:t>
      </w:r>
      <w:r w:rsidRPr="009827F0">
        <w:t>typových</w:t>
      </w:r>
      <w:r>
        <w:t xml:space="preserve"> </w:t>
      </w:r>
      <w:r w:rsidRPr="009827F0">
        <w:t>diagramů</w:t>
      </w:r>
      <w:r>
        <w:t xml:space="preserve"> </w:t>
      </w:r>
      <w:r w:rsidRPr="009827F0">
        <w:t>dodávek,</w:t>
      </w:r>
    </w:p>
    <w:p w14:paraId="3F87FA80" w14:textId="54262177" w:rsidR="00BF3171" w:rsidRDefault="00BF3171" w:rsidP="002E6AEA">
      <w:pPr>
        <w:pStyle w:val="Textparagrafu"/>
        <w:tabs>
          <w:tab w:val="left" w:pos="392"/>
          <w:tab w:val="left" w:pos="840"/>
        </w:tabs>
        <w:spacing w:before="0"/>
        <w:ind w:left="426" w:hanging="426"/>
      </w:pPr>
      <w:r w:rsidRPr="009827F0">
        <w:t>f)</w:t>
      </w:r>
      <w:r w:rsidR="007125EE">
        <w:tab/>
      </w:r>
      <w:r w:rsidRPr="009827F0">
        <w:t>nezneužívat</w:t>
      </w:r>
      <w:r>
        <w:t xml:space="preserve"> </w:t>
      </w:r>
      <w:r w:rsidRPr="009827F0">
        <w:t>chráněné</w:t>
      </w:r>
      <w:r>
        <w:t xml:space="preserve"> </w:t>
      </w:r>
      <w:r w:rsidRPr="009827F0">
        <w:t>informace</w:t>
      </w:r>
      <w:r>
        <w:t xml:space="preserve"> </w:t>
      </w:r>
      <w:r w:rsidRPr="009827F0">
        <w:t>získané</w:t>
      </w:r>
      <w:r>
        <w:t xml:space="preserve"> </w:t>
      </w:r>
      <w:r w:rsidRPr="009827F0">
        <w:t>od</w:t>
      </w:r>
      <w:r>
        <w:t xml:space="preserve"> </w:t>
      </w:r>
      <w:r w:rsidRPr="009827F0">
        <w:t>třetích</w:t>
      </w:r>
      <w:r>
        <w:t xml:space="preserve"> </w:t>
      </w:r>
      <w:r w:rsidRPr="009827F0">
        <w:t>osob</w:t>
      </w:r>
      <w:r>
        <w:t xml:space="preserve"> </w:t>
      </w:r>
      <w:r w:rsidRPr="009827F0">
        <w:t>v</w:t>
      </w:r>
      <w:r>
        <w:t xml:space="preserve"> </w:t>
      </w:r>
      <w:r w:rsidRPr="009827F0">
        <w:t>souvislosti</w:t>
      </w:r>
      <w:r>
        <w:t xml:space="preserve"> </w:t>
      </w:r>
      <w:r w:rsidRPr="009827F0">
        <w:t>s</w:t>
      </w:r>
      <w:r>
        <w:t xml:space="preserve"> </w:t>
      </w:r>
      <w:r w:rsidRPr="009827F0">
        <w:t>poskytováním</w:t>
      </w:r>
      <w:r>
        <w:t xml:space="preserve"> </w:t>
      </w:r>
      <w:r w:rsidRPr="009827F0">
        <w:t>nebo</w:t>
      </w:r>
      <w:r>
        <w:t xml:space="preserve"> </w:t>
      </w:r>
      <w:r w:rsidRPr="009827F0">
        <w:t>sjednáváním</w:t>
      </w:r>
      <w:r>
        <w:t xml:space="preserve"> </w:t>
      </w:r>
      <w:r w:rsidRPr="009827F0">
        <w:t>přístupu</w:t>
      </w:r>
      <w:r>
        <w:t xml:space="preserve"> </w:t>
      </w:r>
      <w:r w:rsidRPr="009827F0">
        <w:t>k</w:t>
      </w:r>
      <w:r>
        <w:t xml:space="preserve"> </w:t>
      </w:r>
      <w:r w:rsidRPr="009827F0">
        <w:t>distribuční</w:t>
      </w:r>
      <w:r>
        <w:t xml:space="preserve"> </w:t>
      </w:r>
      <w:r w:rsidRPr="009827F0">
        <w:t>soustavě</w:t>
      </w:r>
      <w:r>
        <w:t xml:space="preserve"> </w:t>
      </w:r>
      <w:r w:rsidRPr="009827F0">
        <w:t>při</w:t>
      </w:r>
      <w:r>
        <w:t xml:space="preserve"> </w:t>
      </w:r>
      <w:r w:rsidRPr="009827F0">
        <w:t>prodeji</w:t>
      </w:r>
      <w:r>
        <w:t xml:space="preserve"> </w:t>
      </w:r>
      <w:r w:rsidRPr="009827F0">
        <w:t>nebo</w:t>
      </w:r>
      <w:r>
        <w:t xml:space="preserve"> </w:t>
      </w:r>
      <w:r w:rsidRPr="009827F0">
        <w:t>nákupu</w:t>
      </w:r>
      <w:r>
        <w:t xml:space="preserve"> </w:t>
      </w:r>
      <w:r w:rsidRPr="009827F0">
        <w:t>plynu</w:t>
      </w:r>
      <w:r>
        <w:t xml:space="preserve"> </w:t>
      </w:r>
      <w:r w:rsidRPr="009827F0">
        <w:t>realizovaným</w:t>
      </w:r>
      <w:r>
        <w:t xml:space="preserve"> </w:t>
      </w:r>
      <w:r w:rsidRPr="009827F0">
        <w:t>podnikem</w:t>
      </w:r>
      <w:r>
        <w:t xml:space="preserve"> </w:t>
      </w:r>
      <w:r w:rsidRPr="009827F0">
        <w:t>ve</w:t>
      </w:r>
      <w:r>
        <w:t xml:space="preserve"> </w:t>
      </w:r>
      <w:r w:rsidRPr="009827F0">
        <w:t>skupině.</w:t>
      </w:r>
    </w:p>
    <w:p w14:paraId="5EA1D5B1" w14:textId="77777777" w:rsidR="00BF3171" w:rsidRDefault="00BF3171" w:rsidP="0010420C">
      <w:pPr>
        <w:pStyle w:val="Textparagrafu"/>
        <w:tabs>
          <w:tab w:val="left" w:pos="392"/>
          <w:tab w:val="left" w:pos="840"/>
        </w:tabs>
        <w:spacing w:before="120" w:after="120"/>
      </w:pPr>
      <w:r w:rsidRPr="009827F0">
        <w:t>(10)</w:t>
      </w:r>
      <w:r>
        <w:t xml:space="preserve"> </w:t>
      </w:r>
      <w:r w:rsidRPr="009827F0">
        <w:t>V</w:t>
      </w:r>
      <w:r>
        <w:t xml:space="preserve"> </w:t>
      </w:r>
      <w:r w:rsidRPr="009827F0">
        <w:t>případě,</w:t>
      </w:r>
      <w:r>
        <w:t xml:space="preserve"> </w:t>
      </w:r>
      <w:r w:rsidRPr="009827F0">
        <w:t>že</w:t>
      </w:r>
      <w:r>
        <w:t xml:space="preserve"> </w:t>
      </w:r>
      <w:r w:rsidRPr="009827F0">
        <w:t>provozovatel</w:t>
      </w:r>
      <w:r>
        <w:t xml:space="preserve"> </w:t>
      </w:r>
      <w:r w:rsidRPr="009827F0">
        <w:t>distribuční</w:t>
      </w:r>
      <w:r>
        <w:t xml:space="preserve"> </w:t>
      </w:r>
      <w:r w:rsidRPr="009827F0">
        <w:t>soustavy,</w:t>
      </w:r>
      <w:r>
        <w:t xml:space="preserve"> </w:t>
      </w:r>
      <w:r w:rsidRPr="009827F0">
        <w:t>která</w:t>
      </w:r>
      <w:r>
        <w:t xml:space="preserve"> </w:t>
      </w:r>
      <w:r w:rsidRPr="009827F0">
        <w:t>není</w:t>
      </w:r>
      <w:r>
        <w:t xml:space="preserve"> </w:t>
      </w:r>
      <w:r w:rsidRPr="009827F0">
        <w:t>přímo</w:t>
      </w:r>
      <w:r>
        <w:t xml:space="preserve"> </w:t>
      </w:r>
      <w:r w:rsidRPr="009827F0">
        <w:t>připojena</w:t>
      </w:r>
      <w:r>
        <w:t xml:space="preserve"> </w:t>
      </w:r>
      <w:r w:rsidRPr="009827F0">
        <w:t>k</w:t>
      </w:r>
      <w:r>
        <w:t xml:space="preserve"> </w:t>
      </w:r>
      <w:r w:rsidRPr="009827F0">
        <w:t>přepravní</w:t>
      </w:r>
      <w:r>
        <w:t xml:space="preserve"> </w:t>
      </w:r>
      <w:r w:rsidRPr="009827F0">
        <w:t>soustavě,</w:t>
      </w:r>
      <w:r>
        <w:t xml:space="preserve"> </w:t>
      </w:r>
      <w:r w:rsidRPr="009827F0">
        <w:t>nemá</w:t>
      </w:r>
      <w:r>
        <w:t xml:space="preserve"> </w:t>
      </w:r>
      <w:r w:rsidRPr="009827F0">
        <w:t>schválený</w:t>
      </w:r>
      <w:r>
        <w:t xml:space="preserve"> </w:t>
      </w:r>
      <w:r w:rsidRPr="009827F0">
        <w:t>vlastní</w:t>
      </w:r>
      <w:r>
        <w:t xml:space="preserve"> </w:t>
      </w:r>
      <w:r w:rsidRPr="009827F0">
        <w:t>Řád</w:t>
      </w:r>
      <w:r>
        <w:t xml:space="preserve"> </w:t>
      </w:r>
      <w:r w:rsidRPr="009827F0">
        <w:t>provozovatele</w:t>
      </w:r>
      <w:r>
        <w:t xml:space="preserve"> </w:t>
      </w:r>
      <w:r w:rsidRPr="009827F0">
        <w:t>distribuční</w:t>
      </w:r>
      <w:r>
        <w:t xml:space="preserve"> </w:t>
      </w:r>
      <w:r w:rsidRPr="009827F0">
        <w:t>soustavy</w:t>
      </w:r>
      <w:r>
        <w:t xml:space="preserve"> </w:t>
      </w:r>
      <w:r w:rsidRPr="009827F0">
        <w:t>podle</w:t>
      </w:r>
      <w:r>
        <w:t xml:space="preserve"> </w:t>
      </w:r>
      <w:r w:rsidRPr="009827F0">
        <w:t>odstavce</w:t>
      </w:r>
      <w:r>
        <w:t xml:space="preserve"> </w:t>
      </w:r>
      <w:r w:rsidRPr="009827F0">
        <w:t>8</w:t>
      </w:r>
      <w:r>
        <w:t xml:space="preserve"> </w:t>
      </w:r>
      <w:r w:rsidRPr="009827F0">
        <w:t>písm.</w:t>
      </w:r>
      <w:r>
        <w:t xml:space="preserve"> </w:t>
      </w:r>
      <w:r w:rsidRPr="009827F0">
        <w:t>w),</w:t>
      </w:r>
      <w:r>
        <w:t xml:space="preserve"> </w:t>
      </w:r>
      <w:r w:rsidRPr="009827F0">
        <w:t>použije</w:t>
      </w:r>
      <w:r>
        <w:t xml:space="preserve"> </w:t>
      </w:r>
      <w:r w:rsidRPr="009827F0">
        <w:t>se</w:t>
      </w:r>
      <w:r>
        <w:t xml:space="preserve"> </w:t>
      </w:r>
      <w:r w:rsidRPr="009827F0">
        <w:t>Řád</w:t>
      </w:r>
      <w:r>
        <w:t xml:space="preserve"> </w:t>
      </w:r>
      <w:r w:rsidRPr="009827F0">
        <w:t>provozovatele</w:t>
      </w:r>
      <w:r>
        <w:t xml:space="preserve"> </w:t>
      </w:r>
      <w:r w:rsidRPr="009827F0">
        <w:t>distribuční</w:t>
      </w:r>
      <w:r>
        <w:t xml:space="preserve"> </w:t>
      </w:r>
      <w:r w:rsidRPr="009827F0">
        <w:t>soustavy</w:t>
      </w:r>
      <w:r>
        <w:t xml:space="preserve"> </w:t>
      </w:r>
      <w:r w:rsidRPr="009827F0">
        <w:t>přímo</w:t>
      </w:r>
      <w:r>
        <w:t xml:space="preserve"> </w:t>
      </w:r>
      <w:r w:rsidRPr="009827F0">
        <w:t>připojené</w:t>
      </w:r>
      <w:r>
        <w:t xml:space="preserve"> </w:t>
      </w:r>
      <w:r w:rsidRPr="009827F0">
        <w:t>k</w:t>
      </w:r>
      <w:r>
        <w:t xml:space="preserve"> </w:t>
      </w:r>
      <w:r w:rsidRPr="009827F0">
        <w:t>přepravní</w:t>
      </w:r>
      <w:r>
        <w:t xml:space="preserve"> </w:t>
      </w:r>
      <w:r w:rsidRPr="009827F0">
        <w:t>soustavě,</w:t>
      </w:r>
      <w:r>
        <w:t xml:space="preserve"> </w:t>
      </w:r>
      <w:r w:rsidRPr="009827F0">
        <w:t>na</w:t>
      </w:r>
      <w:r>
        <w:t xml:space="preserve"> </w:t>
      </w:r>
      <w:r w:rsidRPr="009827F0">
        <w:t>jehož</w:t>
      </w:r>
      <w:r>
        <w:t xml:space="preserve"> </w:t>
      </w:r>
      <w:r w:rsidRPr="009827F0">
        <w:t>vymezeném</w:t>
      </w:r>
      <w:r>
        <w:t xml:space="preserve"> </w:t>
      </w:r>
      <w:r w:rsidRPr="009827F0">
        <w:t>území</w:t>
      </w:r>
      <w:r>
        <w:t xml:space="preserve"> </w:t>
      </w:r>
      <w:r w:rsidRPr="009827F0">
        <w:t>se</w:t>
      </w:r>
      <w:r>
        <w:t xml:space="preserve"> </w:t>
      </w:r>
      <w:r w:rsidRPr="009827F0">
        <w:t>nachází.</w:t>
      </w:r>
    </w:p>
    <w:p w14:paraId="018FD54D" w14:textId="77777777" w:rsidR="00BF3171" w:rsidRPr="009827F0" w:rsidRDefault="00BF3171" w:rsidP="0010420C">
      <w:pPr>
        <w:pStyle w:val="Textparagrafu"/>
        <w:tabs>
          <w:tab w:val="left" w:pos="392"/>
          <w:tab w:val="left" w:pos="840"/>
        </w:tabs>
        <w:spacing w:before="120" w:after="120"/>
      </w:pPr>
      <w:r w:rsidRPr="009827F0">
        <w:lastRenderedPageBreak/>
        <w:t>(11)</w:t>
      </w:r>
      <w:r>
        <w:t xml:space="preserve"> </w:t>
      </w:r>
      <w:r w:rsidRPr="009827F0">
        <w:t>Pokud</w:t>
      </w:r>
      <w:r>
        <w:t xml:space="preserve"> </w:t>
      </w:r>
      <w:r w:rsidRPr="009827F0">
        <w:t>o</w:t>
      </w:r>
      <w:r>
        <w:t xml:space="preserve"> </w:t>
      </w:r>
      <w:r w:rsidRPr="009827F0">
        <w:t>to</w:t>
      </w:r>
      <w:r>
        <w:t xml:space="preserve"> </w:t>
      </w:r>
      <w:r w:rsidRPr="009827F0">
        <w:t>výrobce</w:t>
      </w:r>
      <w:r>
        <w:t xml:space="preserve"> </w:t>
      </w:r>
      <w:r w:rsidRPr="009827F0">
        <w:t>plynu,</w:t>
      </w:r>
      <w:r>
        <w:t xml:space="preserve"> </w:t>
      </w:r>
      <w:r w:rsidRPr="009827F0">
        <w:t>který</w:t>
      </w:r>
      <w:r>
        <w:t xml:space="preserve"> </w:t>
      </w:r>
      <w:r w:rsidRPr="009827F0">
        <w:t>provozuje</w:t>
      </w:r>
      <w:r>
        <w:t xml:space="preserve"> </w:t>
      </w:r>
      <w:r w:rsidRPr="009827F0">
        <w:t>výrobnu</w:t>
      </w:r>
      <w:r>
        <w:t xml:space="preserve"> </w:t>
      </w:r>
      <w:r w:rsidRPr="009827F0">
        <w:t>plynu</w:t>
      </w:r>
      <w:r>
        <w:t xml:space="preserve"> </w:t>
      </w:r>
      <w:r w:rsidRPr="009827F0">
        <w:t>z</w:t>
      </w:r>
      <w:r>
        <w:t xml:space="preserve"> </w:t>
      </w:r>
      <w:r w:rsidRPr="009827F0">
        <w:t>obnovitelných</w:t>
      </w:r>
      <w:r>
        <w:t xml:space="preserve"> </w:t>
      </w:r>
      <w:r w:rsidRPr="009827F0">
        <w:t>zdrojů</w:t>
      </w:r>
      <w:r>
        <w:t xml:space="preserve"> </w:t>
      </w:r>
      <w:r w:rsidRPr="009827F0">
        <w:t>energie,</w:t>
      </w:r>
      <w:r>
        <w:t xml:space="preserve"> </w:t>
      </w:r>
      <w:r w:rsidRPr="009827F0">
        <w:t>požádá,</w:t>
      </w:r>
      <w:r>
        <w:t xml:space="preserve"> </w:t>
      </w:r>
      <w:r w:rsidRPr="009827F0">
        <w:t>je</w:t>
      </w:r>
      <w:r>
        <w:t xml:space="preserve"> </w:t>
      </w:r>
      <w:r w:rsidRPr="009827F0">
        <w:t>provozovatel</w:t>
      </w:r>
      <w:r>
        <w:t xml:space="preserve"> </w:t>
      </w:r>
      <w:r w:rsidRPr="009827F0">
        <w:t>distribuční</w:t>
      </w:r>
      <w:r>
        <w:t xml:space="preserve"> </w:t>
      </w:r>
      <w:r w:rsidRPr="009827F0">
        <w:t>soustavy,</w:t>
      </w:r>
      <w:r>
        <w:t xml:space="preserve"> </w:t>
      </w:r>
      <w:r w:rsidRPr="009827F0">
        <w:t>ke</w:t>
      </w:r>
      <w:r>
        <w:t xml:space="preserve"> </w:t>
      </w:r>
      <w:r w:rsidRPr="009827F0">
        <w:t>které</w:t>
      </w:r>
      <w:r>
        <w:t xml:space="preserve"> </w:t>
      </w:r>
      <w:r w:rsidRPr="009827F0">
        <w:t>je</w:t>
      </w:r>
      <w:r>
        <w:t xml:space="preserve"> </w:t>
      </w:r>
      <w:r w:rsidRPr="009827F0">
        <w:t>výrobna</w:t>
      </w:r>
      <w:r>
        <w:t xml:space="preserve"> </w:t>
      </w:r>
      <w:r w:rsidRPr="009827F0">
        <w:t>plynu</w:t>
      </w:r>
      <w:r>
        <w:t xml:space="preserve"> </w:t>
      </w:r>
      <w:r w:rsidRPr="009827F0">
        <w:t>z</w:t>
      </w:r>
      <w:r>
        <w:t xml:space="preserve"> </w:t>
      </w:r>
      <w:r w:rsidRPr="009827F0">
        <w:t>obnovitelných</w:t>
      </w:r>
      <w:r>
        <w:t xml:space="preserve"> </w:t>
      </w:r>
      <w:r w:rsidRPr="009827F0">
        <w:t>zdrojů</w:t>
      </w:r>
      <w:r>
        <w:t xml:space="preserve"> </w:t>
      </w:r>
      <w:r w:rsidRPr="009827F0">
        <w:t>energie</w:t>
      </w:r>
      <w:r>
        <w:t xml:space="preserve"> </w:t>
      </w:r>
      <w:r w:rsidRPr="009827F0">
        <w:t>připojena,</w:t>
      </w:r>
      <w:r>
        <w:t xml:space="preserve"> </w:t>
      </w:r>
      <w:r w:rsidRPr="009827F0">
        <w:t>povinen</w:t>
      </w:r>
      <w:r>
        <w:t xml:space="preserve"> </w:t>
      </w:r>
      <w:r w:rsidRPr="009827F0">
        <w:t>těžební</w:t>
      </w:r>
      <w:r>
        <w:t xml:space="preserve"> </w:t>
      </w:r>
      <w:r w:rsidRPr="009827F0">
        <w:t>plynovod</w:t>
      </w:r>
      <w:r>
        <w:t xml:space="preserve"> </w:t>
      </w:r>
      <w:r w:rsidRPr="009827F0">
        <w:t>a</w:t>
      </w:r>
      <w:r>
        <w:t xml:space="preserve"> </w:t>
      </w:r>
      <w:r w:rsidRPr="009827F0">
        <w:t>související</w:t>
      </w:r>
      <w:r>
        <w:t xml:space="preserve"> </w:t>
      </w:r>
      <w:r w:rsidRPr="009827F0">
        <w:t>technologické</w:t>
      </w:r>
      <w:r>
        <w:t xml:space="preserve"> </w:t>
      </w:r>
      <w:r w:rsidRPr="009827F0">
        <w:t>objekty</w:t>
      </w:r>
      <w:r>
        <w:t xml:space="preserve"> </w:t>
      </w:r>
      <w:r w:rsidRPr="009827F0">
        <w:t>od</w:t>
      </w:r>
      <w:r>
        <w:t xml:space="preserve"> </w:t>
      </w:r>
      <w:r w:rsidRPr="009827F0">
        <w:t>výrobce</w:t>
      </w:r>
      <w:r>
        <w:t xml:space="preserve"> </w:t>
      </w:r>
      <w:r w:rsidRPr="009827F0">
        <w:t>plynu</w:t>
      </w:r>
      <w:r>
        <w:t xml:space="preserve"> </w:t>
      </w:r>
      <w:r w:rsidRPr="009827F0">
        <w:t>odkoupit,</w:t>
      </w:r>
      <w:r>
        <w:t xml:space="preserve"> </w:t>
      </w:r>
      <w:r w:rsidRPr="009827F0">
        <w:t>a</w:t>
      </w:r>
      <w:r>
        <w:t xml:space="preserve"> </w:t>
      </w:r>
      <w:r w:rsidRPr="009827F0">
        <w:t>to</w:t>
      </w:r>
      <w:r>
        <w:t xml:space="preserve"> </w:t>
      </w:r>
      <w:r w:rsidRPr="009827F0">
        <w:t>za</w:t>
      </w:r>
      <w:r>
        <w:t xml:space="preserve"> </w:t>
      </w:r>
      <w:r w:rsidRPr="009827F0">
        <w:t>cenu</w:t>
      </w:r>
      <w:r>
        <w:t xml:space="preserve"> </w:t>
      </w:r>
      <w:r w:rsidRPr="009827F0">
        <w:t>odpovídající</w:t>
      </w:r>
      <w:r>
        <w:t xml:space="preserve"> </w:t>
      </w:r>
      <w:r w:rsidRPr="009827F0">
        <w:t>hodnotě</w:t>
      </w:r>
      <w:r>
        <w:t xml:space="preserve"> </w:t>
      </w:r>
      <w:r w:rsidRPr="009827F0">
        <w:t>zařízení</w:t>
      </w:r>
      <w:r>
        <w:t xml:space="preserve"> </w:t>
      </w:r>
      <w:r w:rsidRPr="009827F0">
        <w:t>zahrnované</w:t>
      </w:r>
      <w:r>
        <w:t xml:space="preserve"> </w:t>
      </w:r>
      <w:r w:rsidRPr="009827F0">
        <w:t>do</w:t>
      </w:r>
      <w:r>
        <w:t xml:space="preserve"> </w:t>
      </w:r>
      <w:r w:rsidRPr="009827F0">
        <w:t>ceny</w:t>
      </w:r>
      <w:r>
        <w:t xml:space="preserve"> </w:t>
      </w:r>
      <w:r w:rsidRPr="009827F0">
        <w:t>související</w:t>
      </w:r>
      <w:r>
        <w:t xml:space="preserve"> </w:t>
      </w:r>
      <w:r w:rsidRPr="009827F0">
        <w:t>služby</w:t>
      </w:r>
      <w:r>
        <w:t xml:space="preserve"> </w:t>
      </w:r>
      <w:r w:rsidRPr="009827F0">
        <w:t>v</w:t>
      </w:r>
      <w:r>
        <w:t xml:space="preserve"> </w:t>
      </w:r>
      <w:r w:rsidRPr="009827F0">
        <w:t>plynárenství.</w:t>
      </w:r>
      <w:r>
        <w:t xml:space="preserve"> </w:t>
      </w:r>
      <w:r w:rsidRPr="009827F0">
        <w:t>Povinnost</w:t>
      </w:r>
      <w:r>
        <w:t xml:space="preserve"> </w:t>
      </w:r>
      <w:r w:rsidRPr="009827F0">
        <w:t>odkupu</w:t>
      </w:r>
      <w:r>
        <w:t xml:space="preserve"> </w:t>
      </w:r>
      <w:r w:rsidRPr="009827F0">
        <w:t>těžebního</w:t>
      </w:r>
      <w:r>
        <w:t xml:space="preserve"> </w:t>
      </w:r>
      <w:r w:rsidRPr="009827F0">
        <w:t>plynovodu</w:t>
      </w:r>
      <w:r>
        <w:t xml:space="preserve"> </w:t>
      </w:r>
      <w:r w:rsidRPr="009827F0">
        <w:t>a</w:t>
      </w:r>
      <w:r>
        <w:t xml:space="preserve"> </w:t>
      </w:r>
      <w:r w:rsidRPr="009827F0">
        <w:t>souvisejících</w:t>
      </w:r>
      <w:r>
        <w:t xml:space="preserve"> </w:t>
      </w:r>
      <w:r w:rsidRPr="009827F0">
        <w:t>technologických</w:t>
      </w:r>
      <w:r>
        <w:t xml:space="preserve"> </w:t>
      </w:r>
      <w:r w:rsidRPr="009827F0">
        <w:t>objektů</w:t>
      </w:r>
      <w:r>
        <w:t xml:space="preserve"> </w:t>
      </w:r>
      <w:r w:rsidRPr="009827F0">
        <w:t>podle</w:t>
      </w:r>
      <w:r>
        <w:t xml:space="preserve"> </w:t>
      </w:r>
      <w:r w:rsidRPr="009827F0">
        <w:t>věty</w:t>
      </w:r>
      <w:r>
        <w:t xml:space="preserve"> </w:t>
      </w:r>
      <w:r w:rsidRPr="009827F0">
        <w:t>první</w:t>
      </w:r>
      <w:r>
        <w:t xml:space="preserve"> </w:t>
      </w:r>
      <w:r w:rsidRPr="009827F0">
        <w:t>nevzniká,</w:t>
      </w:r>
      <w:r>
        <w:t xml:space="preserve"> </w:t>
      </w:r>
      <w:r w:rsidRPr="009827F0">
        <w:t>pokud</w:t>
      </w:r>
      <w:r>
        <w:t xml:space="preserve"> </w:t>
      </w:r>
      <w:r w:rsidRPr="009827F0">
        <w:t>byl</w:t>
      </w:r>
      <w:r>
        <w:t xml:space="preserve"> </w:t>
      </w:r>
      <w:r w:rsidRPr="009827F0">
        <w:t>těžební</w:t>
      </w:r>
      <w:r>
        <w:t xml:space="preserve"> </w:t>
      </w:r>
      <w:r w:rsidRPr="009827F0">
        <w:t>plynovod</w:t>
      </w:r>
      <w:r>
        <w:t xml:space="preserve"> </w:t>
      </w:r>
      <w:r w:rsidRPr="009827F0">
        <w:t>nebo</w:t>
      </w:r>
      <w:r>
        <w:t xml:space="preserve"> </w:t>
      </w:r>
      <w:r w:rsidRPr="009827F0">
        <w:t>související</w:t>
      </w:r>
      <w:r>
        <w:t xml:space="preserve"> </w:t>
      </w:r>
      <w:r w:rsidRPr="009827F0">
        <w:t>technologické</w:t>
      </w:r>
      <w:r>
        <w:t xml:space="preserve"> </w:t>
      </w:r>
      <w:r w:rsidRPr="009827F0">
        <w:t>objekty</w:t>
      </w:r>
      <w:r>
        <w:t xml:space="preserve"> </w:t>
      </w:r>
      <w:r w:rsidRPr="009827F0">
        <w:t>zřízeny</w:t>
      </w:r>
      <w:r>
        <w:t xml:space="preserve"> </w:t>
      </w:r>
      <w:r w:rsidRPr="009827F0">
        <w:t>v</w:t>
      </w:r>
      <w:r>
        <w:t xml:space="preserve"> </w:t>
      </w:r>
      <w:r w:rsidRPr="009827F0">
        <w:t>rozporu</w:t>
      </w:r>
      <w:r>
        <w:t xml:space="preserve"> </w:t>
      </w:r>
      <w:r w:rsidRPr="009827F0">
        <w:t>s</w:t>
      </w:r>
      <w:r>
        <w:t xml:space="preserve"> </w:t>
      </w:r>
      <w:r w:rsidRPr="009827F0">
        <w:t>podmínkami</w:t>
      </w:r>
      <w:r>
        <w:t xml:space="preserve"> </w:t>
      </w:r>
      <w:r w:rsidRPr="009827F0">
        <w:t>připojení</w:t>
      </w:r>
      <w:r>
        <w:t xml:space="preserve"> </w:t>
      </w:r>
      <w:r w:rsidRPr="009827F0">
        <w:t>nebo</w:t>
      </w:r>
      <w:r>
        <w:t xml:space="preserve"> </w:t>
      </w:r>
      <w:r w:rsidRPr="009827F0">
        <w:t>technickými</w:t>
      </w:r>
      <w:r>
        <w:t xml:space="preserve"> </w:t>
      </w:r>
      <w:r w:rsidRPr="009827F0">
        <w:t>požadavky</w:t>
      </w:r>
      <w:r>
        <w:t xml:space="preserve"> </w:t>
      </w:r>
      <w:r w:rsidRPr="009827F0">
        <w:t>na</w:t>
      </w:r>
      <w:r>
        <w:t xml:space="preserve"> </w:t>
      </w:r>
      <w:r w:rsidRPr="009827F0">
        <w:t>výstavbu</w:t>
      </w:r>
      <w:r>
        <w:t xml:space="preserve"> </w:t>
      </w:r>
      <w:r w:rsidRPr="009827F0">
        <w:t>těžebního</w:t>
      </w:r>
      <w:r>
        <w:t xml:space="preserve"> </w:t>
      </w:r>
      <w:r w:rsidRPr="009827F0">
        <w:t>plynovodu</w:t>
      </w:r>
      <w:r>
        <w:t xml:space="preserve"> </w:t>
      </w:r>
      <w:r w:rsidRPr="009827F0">
        <w:t>stanovenými</w:t>
      </w:r>
      <w:r>
        <w:t xml:space="preserve"> </w:t>
      </w:r>
      <w:r w:rsidRPr="009827F0">
        <w:t>prováděcím</w:t>
      </w:r>
      <w:r>
        <w:t xml:space="preserve"> </w:t>
      </w:r>
      <w:r w:rsidRPr="009827F0">
        <w:t>právním</w:t>
      </w:r>
      <w:r>
        <w:t xml:space="preserve"> </w:t>
      </w:r>
      <w:r w:rsidRPr="009827F0">
        <w:t>předpisem.</w:t>
      </w:r>
    </w:p>
    <w:p w14:paraId="082DCC0F" w14:textId="7BBC305C" w:rsidR="001E38CA" w:rsidRDefault="0083756D" w:rsidP="0083756D">
      <w:pPr>
        <w:pStyle w:val="Textparagrafu"/>
        <w:tabs>
          <w:tab w:val="left" w:pos="406"/>
          <w:tab w:val="left" w:pos="840"/>
          <w:tab w:val="left" w:pos="868"/>
        </w:tabs>
        <w:spacing w:after="120"/>
        <w:ind w:firstLine="0"/>
        <w:jc w:val="center"/>
      </w:pPr>
      <w:r>
        <w:t>***</w:t>
      </w:r>
    </w:p>
    <w:p w14:paraId="2B05A0C6" w14:textId="77777777" w:rsidR="00C15607" w:rsidRDefault="00C15607" w:rsidP="00C15607">
      <w:pPr>
        <w:pStyle w:val="Textparagrafu"/>
        <w:tabs>
          <w:tab w:val="left" w:pos="392"/>
          <w:tab w:val="left" w:pos="840"/>
        </w:tabs>
        <w:spacing w:after="120"/>
        <w:ind w:firstLine="0"/>
        <w:jc w:val="center"/>
      </w:pPr>
      <w:r w:rsidRPr="00C31391">
        <w:t>§</w:t>
      </w:r>
      <w:r>
        <w:t xml:space="preserve"> </w:t>
      </w:r>
      <w:r w:rsidRPr="00C31391">
        <w:t>60</w:t>
      </w:r>
    </w:p>
    <w:p w14:paraId="11F58CAC" w14:textId="77777777" w:rsidR="00C15607" w:rsidRPr="00C31391" w:rsidRDefault="00C15607" w:rsidP="00C15607">
      <w:pPr>
        <w:pStyle w:val="Textparagrafu"/>
        <w:tabs>
          <w:tab w:val="left" w:pos="392"/>
          <w:tab w:val="left" w:pos="840"/>
        </w:tabs>
        <w:spacing w:after="120"/>
        <w:ind w:firstLine="0"/>
        <w:jc w:val="center"/>
        <w:rPr>
          <w:b/>
        </w:rPr>
      </w:pPr>
      <w:r w:rsidRPr="00C31391">
        <w:rPr>
          <w:b/>
        </w:rPr>
        <w:t>Provozovatel zásobníku plynu</w:t>
      </w:r>
    </w:p>
    <w:p w14:paraId="14225391" w14:textId="77777777" w:rsidR="00C15607" w:rsidRDefault="00C15607" w:rsidP="0010420C">
      <w:pPr>
        <w:pStyle w:val="Textparagrafu"/>
        <w:tabs>
          <w:tab w:val="left" w:pos="392"/>
          <w:tab w:val="left" w:pos="840"/>
        </w:tabs>
        <w:spacing w:before="120" w:after="120"/>
      </w:pPr>
      <w:r w:rsidRPr="00C31391">
        <w:t>(1)</w:t>
      </w:r>
      <w:r>
        <w:t xml:space="preserve"> </w:t>
      </w:r>
      <w:r w:rsidRPr="00C31391">
        <w:t>Provozovatel</w:t>
      </w:r>
      <w:r>
        <w:t xml:space="preserve"> </w:t>
      </w:r>
      <w:r w:rsidRPr="00C31391">
        <w:t>zásobníku</w:t>
      </w:r>
      <w:r>
        <w:t xml:space="preserve"> </w:t>
      </w:r>
      <w:r w:rsidRPr="00C31391">
        <w:t>plynu</w:t>
      </w:r>
      <w:r>
        <w:t xml:space="preserve"> </w:t>
      </w:r>
      <w:r w:rsidRPr="00C31391">
        <w:t>má</w:t>
      </w:r>
      <w:r>
        <w:t xml:space="preserve"> </w:t>
      </w:r>
      <w:r w:rsidRPr="00C31391">
        <w:t>právo</w:t>
      </w:r>
    </w:p>
    <w:p w14:paraId="03EC942E" w14:textId="77777777" w:rsidR="00C15607" w:rsidRDefault="00C15607" w:rsidP="002E6AEA">
      <w:pPr>
        <w:pStyle w:val="Textparagrafu"/>
        <w:tabs>
          <w:tab w:val="left" w:pos="392"/>
          <w:tab w:val="left" w:pos="840"/>
        </w:tabs>
        <w:spacing w:before="0"/>
        <w:ind w:left="426" w:hanging="426"/>
      </w:pPr>
      <w:r w:rsidRPr="00C31391">
        <w:t>a)</w:t>
      </w:r>
      <w:r>
        <w:tab/>
      </w:r>
      <w:r w:rsidRPr="00C31391">
        <w:t>zřizovat</w:t>
      </w:r>
      <w:r>
        <w:t xml:space="preserve"> </w:t>
      </w:r>
      <w:r w:rsidRPr="00C31391">
        <w:t>a</w:t>
      </w:r>
      <w:r>
        <w:t xml:space="preserve"> </w:t>
      </w:r>
      <w:r w:rsidRPr="00C31391">
        <w:t>provozovat</w:t>
      </w:r>
      <w:r>
        <w:t xml:space="preserve"> </w:t>
      </w:r>
      <w:r w:rsidRPr="00C31391">
        <w:t>vlastní</w:t>
      </w:r>
      <w:r>
        <w:t xml:space="preserve"> </w:t>
      </w:r>
      <w:r w:rsidRPr="00C31391">
        <w:t>telekomunikační</w:t>
      </w:r>
      <w:r>
        <w:t xml:space="preserve"> </w:t>
      </w:r>
      <w:r w:rsidRPr="00C31391">
        <w:t>síť</w:t>
      </w:r>
      <w:r>
        <w:t xml:space="preserve"> </w:t>
      </w:r>
      <w:r w:rsidRPr="00C31391">
        <w:t>k</w:t>
      </w:r>
      <w:r>
        <w:t xml:space="preserve"> </w:t>
      </w:r>
      <w:r w:rsidRPr="00C31391">
        <w:t>řízení,</w:t>
      </w:r>
      <w:r>
        <w:t xml:space="preserve"> </w:t>
      </w:r>
      <w:r w:rsidRPr="00C31391">
        <w:t>měření,</w:t>
      </w:r>
      <w:r>
        <w:t xml:space="preserve"> </w:t>
      </w:r>
      <w:r w:rsidRPr="00C31391">
        <w:t>zabezpečování</w:t>
      </w:r>
      <w:r>
        <w:t xml:space="preserve"> </w:t>
      </w:r>
      <w:r w:rsidRPr="00C31391">
        <w:t>a</w:t>
      </w:r>
      <w:r>
        <w:t xml:space="preserve"> </w:t>
      </w:r>
      <w:r w:rsidRPr="00C31391">
        <w:t>automatizaci</w:t>
      </w:r>
      <w:r>
        <w:t xml:space="preserve"> </w:t>
      </w:r>
      <w:r w:rsidRPr="00C31391">
        <w:t>provozu</w:t>
      </w:r>
      <w:r>
        <w:t xml:space="preserve"> </w:t>
      </w:r>
      <w:r w:rsidRPr="00C31391">
        <w:t>zásobníku</w:t>
      </w:r>
      <w:r>
        <w:t xml:space="preserve"> </w:t>
      </w:r>
      <w:r w:rsidRPr="00C31391">
        <w:t>plynu</w:t>
      </w:r>
      <w:r>
        <w:t xml:space="preserve"> </w:t>
      </w:r>
      <w:r w:rsidRPr="00C31391">
        <w:t>a</w:t>
      </w:r>
      <w:r>
        <w:t xml:space="preserve"> </w:t>
      </w:r>
      <w:r w:rsidRPr="00C31391">
        <w:t>k</w:t>
      </w:r>
      <w:r>
        <w:t xml:space="preserve"> </w:t>
      </w:r>
      <w:r w:rsidRPr="00C31391">
        <w:t>přenosu</w:t>
      </w:r>
      <w:r>
        <w:t xml:space="preserve"> </w:t>
      </w:r>
      <w:r w:rsidRPr="00C31391">
        <w:t>informací</w:t>
      </w:r>
      <w:r>
        <w:t xml:space="preserve"> </w:t>
      </w:r>
      <w:r w:rsidRPr="00C31391">
        <w:t>pro</w:t>
      </w:r>
      <w:r>
        <w:t xml:space="preserve"> </w:t>
      </w:r>
      <w:r w:rsidRPr="00C31391">
        <w:t>činnost</w:t>
      </w:r>
      <w:r>
        <w:t xml:space="preserve"> </w:t>
      </w:r>
      <w:r w:rsidRPr="00C31391">
        <w:t>výpočetní</w:t>
      </w:r>
      <w:r>
        <w:t xml:space="preserve"> </w:t>
      </w:r>
      <w:r w:rsidRPr="00C31391">
        <w:t>techniky</w:t>
      </w:r>
      <w:r>
        <w:t xml:space="preserve"> </w:t>
      </w:r>
      <w:r w:rsidRPr="00C31391">
        <w:t>a</w:t>
      </w:r>
      <w:r>
        <w:t xml:space="preserve"> </w:t>
      </w:r>
      <w:r w:rsidRPr="00C31391">
        <w:t>informačních</w:t>
      </w:r>
      <w:r>
        <w:t xml:space="preserve"> </w:t>
      </w:r>
      <w:r w:rsidRPr="00C31391">
        <w:t>systémů,</w:t>
      </w:r>
    </w:p>
    <w:p w14:paraId="25FD6C86" w14:textId="77777777" w:rsidR="00C15607" w:rsidRDefault="00C15607" w:rsidP="002E6AEA">
      <w:pPr>
        <w:pStyle w:val="Textparagrafu"/>
        <w:tabs>
          <w:tab w:val="left" w:pos="392"/>
          <w:tab w:val="left" w:pos="840"/>
        </w:tabs>
        <w:spacing w:before="0"/>
        <w:ind w:left="426" w:hanging="426"/>
      </w:pPr>
      <w:r w:rsidRPr="00C31391">
        <w:t>b)</w:t>
      </w:r>
      <w:r>
        <w:tab/>
      </w:r>
      <w:r w:rsidRPr="00C31391">
        <w:t>v</w:t>
      </w:r>
      <w:r>
        <w:t xml:space="preserve"> </w:t>
      </w:r>
      <w:r w:rsidRPr="00C31391">
        <w:t>souladu</w:t>
      </w:r>
      <w:r>
        <w:t xml:space="preserve"> </w:t>
      </w:r>
      <w:r w:rsidRPr="00C31391">
        <w:t>se</w:t>
      </w:r>
      <w:r>
        <w:t xml:space="preserve"> </w:t>
      </w:r>
      <w:r w:rsidRPr="00C31391">
        <w:t>zvláštním</w:t>
      </w:r>
      <w:r>
        <w:t xml:space="preserve"> </w:t>
      </w:r>
      <w:r w:rsidRPr="00C31391">
        <w:t>právním</w:t>
      </w:r>
      <w:r>
        <w:t xml:space="preserve"> </w:t>
      </w:r>
      <w:r w:rsidRPr="00C31391">
        <w:t>předpisem4d)</w:t>
      </w:r>
      <w:r>
        <w:t xml:space="preserve"> </w:t>
      </w:r>
      <w:r w:rsidRPr="00C31391">
        <w:t>zřizovat</w:t>
      </w:r>
      <w:r>
        <w:t xml:space="preserve"> </w:t>
      </w:r>
      <w:r w:rsidRPr="00C31391">
        <w:t>a</w:t>
      </w:r>
      <w:r>
        <w:t xml:space="preserve"> </w:t>
      </w:r>
      <w:r w:rsidRPr="00C31391">
        <w:t>provozovat</w:t>
      </w:r>
      <w:r>
        <w:t xml:space="preserve"> </w:t>
      </w:r>
      <w:r w:rsidRPr="00C31391">
        <w:t>na</w:t>
      </w:r>
      <w:r>
        <w:t xml:space="preserve"> </w:t>
      </w:r>
      <w:r w:rsidRPr="00C31391">
        <w:t>cizích</w:t>
      </w:r>
      <w:r>
        <w:t xml:space="preserve"> </w:t>
      </w:r>
      <w:r w:rsidRPr="00C31391">
        <w:t>nemovitostech</w:t>
      </w:r>
      <w:r>
        <w:t xml:space="preserve"> </w:t>
      </w:r>
      <w:r w:rsidRPr="00C31391">
        <w:t>plynárenská</w:t>
      </w:r>
      <w:r>
        <w:t xml:space="preserve"> </w:t>
      </w:r>
      <w:r w:rsidRPr="00C31391">
        <w:t>zařízení,</w:t>
      </w:r>
    </w:p>
    <w:p w14:paraId="063912EC" w14:textId="77777777" w:rsidR="00C15607" w:rsidRDefault="00C15607" w:rsidP="002E6AEA">
      <w:pPr>
        <w:pStyle w:val="Textparagrafu"/>
        <w:tabs>
          <w:tab w:val="left" w:pos="392"/>
          <w:tab w:val="left" w:pos="840"/>
        </w:tabs>
        <w:spacing w:before="0"/>
        <w:ind w:left="426" w:hanging="426"/>
      </w:pPr>
      <w:r w:rsidRPr="00C31391">
        <w:t>c)</w:t>
      </w:r>
      <w:r>
        <w:tab/>
      </w:r>
      <w:r w:rsidRPr="00C31391">
        <w:t>vstupovat</w:t>
      </w:r>
      <w:r>
        <w:t xml:space="preserve"> </w:t>
      </w:r>
      <w:r w:rsidRPr="00C31391">
        <w:t>a</w:t>
      </w:r>
      <w:r>
        <w:t xml:space="preserve"> </w:t>
      </w:r>
      <w:r w:rsidRPr="00C31391">
        <w:t>vjíždět</w:t>
      </w:r>
      <w:r>
        <w:t xml:space="preserve"> </w:t>
      </w:r>
      <w:r w:rsidRPr="00C31391">
        <w:t>na</w:t>
      </w:r>
      <w:r>
        <w:t xml:space="preserve"> </w:t>
      </w:r>
      <w:r w:rsidRPr="00C31391">
        <w:t>cizí</w:t>
      </w:r>
      <w:r>
        <w:t xml:space="preserve"> </w:t>
      </w:r>
      <w:r w:rsidRPr="00C31391">
        <w:t>nemovitosti</w:t>
      </w:r>
      <w:r>
        <w:t xml:space="preserve"> </w:t>
      </w:r>
      <w:r w:rsidRPr="00C31391">
        <w:t>v</w:t>
      </w:r>
      <w:r>
        <w:t xml:space="preserve"> </w:t>
      </w:r>
      <w:r w:rsidRPr="00C31391">
        <w:t>souvislosti</w:t>
      </w:r>
      <w:r>
        <w:t xml:space="preserve"> </w:t>
      </w:r>
      <w:r w:rsidRPr="00C31391">
        <w:t>se</w:t>
      </w:r>
      <w:r>
        <w:t xml:space="preserve"> </w:t>
      </w:r>
      <w:r w:rsidRPr="00C31391">
        <w:t>zřizováním</w:t>
      </w:r>
      <w:r>
        <w:t xml:space="preserve"> </w:t>
      </w:r>
      <w:r w:rsidRPr="00C31391">
        <w:t>a</w:t>
      </w:r>
      <w:r>
        <w:t xml:space="preserve"> </w:t>
      </w:r>
      <w:r w:rsidRPr="00C31391">
        <w:t>provozováním</w:t>
      </w:r>
      <w:r>
        <w:t xml:space="preserve"> </w:t>
      </w:r>
      <w:r w:rsidRPr="00C31391">
        <w:t>zásobníku</w:t>
      </w:r>
      <w:r>
        <w:t xml:space="preserve"> </w:t>
      </w:r>
      <w:r w:rsidRPr="00C31391">
        <w:t>plynu,</w:t>
      </w:r>
    </w:p>
    <w:p w14:paraId="56978ABA" w14:textId="77777777" w:rsidR="00C15607" w:rsidRDefault="00C15607" w:rsidP="002E6AEA">
      <w:pPr>
        <w:pStyle w:val="Textparagrafu"/>
        <w:tabs>
          <w:tab w:val="left" w:pos="392"/>
          <w:tab w:val="left" w:pos="840"/>
        </w:tabs>
        <w:spacing w:before="0"/>
        <w:ind w:left="426" w:hanging="426"/>
      </w:pPr>
      <w:r w:rsidRPr="00C31391">
        <w:t>d)</w:t>
      </w:r>
      <w:r>
        <w:tab/>
      </w:r>
      <w:r w:rsidRPr="00C31391">
        <w:t>odstraňovat</w:t>
      </w:r>
      <w:r>
        <w:t xml:space="preserve"> </w:t>
      </w:r>
      <w:r w:rsidRPr="00C31391">
        <w:t>a</w:t>
      </w:r>
      <w:r>
        <w:t xml:space="preserve"> </w:t>
      </w:r>
      <w:r w:rsidRPr="00C31391">
        <w:t>oklešťovat</w:t>
      </w:r>
      <w:r>
        <w:t xml:space="preserve"> </w:t>
      </w:r>
      <w:r w:rsidRPr="00C31391">
        <w:t>stromoví</w:t>
      </w:r>
      <w:r>
        <w:t xml:space="preserve"> </w:t>
      </w:r>
      <w:r w:rsidRPr="00C31391">
        <w:t>a</w:t>
      </w:r>
      <w:r>
        <w:t xml:space="preserve"> </w:t>
      </w:r>
      <w:r w:rsidRPr="00C31391">
        <w:t>jiné</w:t>
      </w:r>
      <w:r>
        <w:t xml:space="preserve"> </w:t>
      </w:r>
      <w:r w:rsidRPr="00C31391">
        <w:t>porosty,</w:t>
      </w:r>
      <w:r>
        <w:t xml:space="preserve"> </w:t>
      </w:r>
      <w:r w:rsidRPr="00C31391">
        <w:t>provádět</w:t>
      </w:r>
      <w:r>
        <w:t xml:space="preserve"> </w:t>
      </w:r>
      <w:r w:rsidRPr="00C31391">
        <w:t>likvidaci</w:t>
      </w:r>
      <w:r>
        <w:t xml:space="preserve"> </w:t>
      </w:r>
      <w:r w:rsidRPr="00C31391">
        <w:t>odstraněného</w:t>
      </w:r>
      <w:r>
        <w:t xml:space="preserve"> </w:t>
      </w:r>
      <w:r w:rsidRPr="00C31391">
        <w:t>a</w:t>
      </w:r>
      <w:r>
        <w:t xml:space="preserve"> </w:t>
      </w:r>
      <w:r w:rsidRPr="00C31391">
        <w:t>okleštěného</w:t>
      </w:r>
      <w:r>
        <w:t xml:space="preserve"> </w:t>
      </w:r>
      <w:r w:rsidRPr="00C31391">
        <w:t>stromoví</w:t>
      </w:r>
      <w:r>
        <w:t xml:space="preserve"> </w:t>
      </w:r>
      <w:r w:rsidRPr="00C31391">
        <w:t>a</w:t>
      </w:r>
      <w:r>
        <w:t xml:space="preserve"> </w:t>
      </w:r>
      <w:r w:rsidRPr="00C31391">
        <w:t>jiných</w:t>
      </w:r>
      <w:r>
        <w:t xml:space="preserve"> </w:t>
      </w:r>
      <w:r w:rsidRPr="00C31391">
        <w:t>porostů</w:t>
      </w:r>
      <w:r>
        <w:t xml:space="preserve"> </w:t>
      </w:r>
      <w:r w:rsidRPr="00C31391">
        <w:t>ohrožujících</w:t>
      </w:r>
      <w:r>
        <w:t xml:space="preserve"> </w:t>
      </w:r>
      <w:r w:rsidRPr="00C31391">
        <w:t>bezpečný</w:t>
      </w:r>
      <w:r>
        <w:t xml:space="preserve"> </w:t>
      </w:r>
      <w:r w:rsidRPr="00C31391">
        <w:t>a</w:t>
      </w:r>
      <w:r>
        <w:t xml:space="preserve"> </w:t>
      </w:r>
      <w:r w:rsidRPr="00C31391">
        <w:t>spolehlivý</w:t>
      </w:r>
      <w:r>
        <w:t xml:space="preserve"> </w:t>
      </w:r>
      <w:r w:rsidRPr="00C31391">
        <w:t>provoz</w:t>
      </w:r>
      <w:r>
        <w:t xml:space="preserve"> </w:t>
      </w:r>
      <w:r w:rsidRPr="00C31391">
        <w:t>zásobníku</w:t>
      </w:r>
      <w:r>
        <w:t xml:space="preserve"> </w:t>
      </w:r>
      <w:r w:rsidRPr="00C31391">
        <w:t>plynu</w:t>
      </w:r>
      <w:r>
        <w:t xml:space="preserve"> </w:t>
      </w:r>
      <w:r w:rsidRPr="00C31391">
        <w:t>v</w:t>
      </w:r>
      <w:r>
        <w:t xml:space="preserve"> </w:t>
      </w:r>
      <w:r w:rsidRPr="00C31391">
        <w:t>případech,</w:t>
      </w:r>
      <w:r>
        <w:t xml:space="preserve"> </w:t>
      </w:r>
      <w:r w:rsidRPr="00C31391">
        <w:t>kdy</w:t>
      </w:r>
      <w:r>
        <w:t xml:space="preserve"> </w:t>
      </w:r>
      <w:r w:rsidRPr="00C31391">
        <w:t>tak</w:t>
      </w:r>
      <w:r>
        <w:t xml:space="preserve"> </w:t>
      </w:r>
      <w:r w:rsidRPr="00C31391">
        <w:t>po</w:t>
      </w:r>
      <w:r>
        <w:t xml:space="preserve"> </w:t>
      </w:r>
      <w:r w:rsidRPr="00C31391">
        <w:t>předchozím</w:t>
      </w:r>
      <w:r>
        <w:t xml:space="preserve"> </w:t>
      </w:r>
      <w:r w:rsidRPr="00C31391">
        <w:t>upozornění</w:t>
      </w:r>
      <w:r>
        <w:t xml:space="preserve"> </w:t>
      </w:r>
      <w:r w:rsidRPr="00C31391">
        <w:t>a</w:t>
      </w:r>
      <w:r>
        <w:t xml:space="preserve"> </w:t>
      </w:r>
      <w:r w:rsidRPr="00C31391">
        <w:t>stanovení</w:t>
      </w:r>
      <w:r>
        <w:t xml:space="preserve"> </w:t>
      </w:r>
      <w:r w:rsidRPr="00C31391">
        <w:t>rozsahu</w:t>
      </w:r>
      <w:r>
        <w:t xml:space="preserve"> </w:t>
      </w:r>
      <w:r w:rsidRPr="00C31391">
        <w:t>neučinil</w:t>
      </w:r>
      <w:r>
        <w:t xml:space="preserve"> </w:t>
      </w:r>
      <w:r w:rsidRPr="00C31391">
        <w:t>sám</w:t>
      </w:r>
      <w:r>
        <w:t xml:space="preserve"> </w:t>
      </w:r>
      <w:r w:rsidRPr="00C31391">
        <w:t>vlastník</w:t>
      </w:r>
      <w:r>
        <w:t xml:space="preserve"> </w:t>
      </w:r>
      <w:r w:rsidRPr="00C31391">
        <w:t>či</w:t>
      </w:r>
      <w:r>
        <w:t xml:space="preserve"> </w:t>
      </w:r>
      <w:r w:rsidRPr="00C31391">
        <w:t>uživatel,</w:t>
      </w:r>
    </w:p>
    <w:p w14:paraId="0EB1D4BE" w14:textId="77777777" w:rsidR="00C15607" w:rsidRDefault="00C15607" w:rsidP="002E6AEA">
      <w:pPr>
        <w:pStyle w:val="Textparagrafu"/>
        <w:tabs>
          <w:tab w:val="left" w:pos="392"/>
          <w:tab w:val="left" w:pos="840"/>
        </w:tabs>
        <w:spacing w:before="0"/>
        <w:ind w:left="426" w:hanging="426"/>
      </w:pPr>
      <w:r w:rsidRPr="00C31391">
        <w:t>e)</w:t>
      </w:r>
      <w:r>
        <w:tab/>
      </w:r>
      <w:r w:rsidRPr="00C31391">
        <w:t>vstupovat</w:t>
      </w:r>
      <w:r>
        <w:t xml:space="preserve"> </w:t>
      </w:r>
      <w:r w:rsidRPr="00C31391">
        <w:t>v</w:t>
      </w:r>
      <w:r>
        <w:t xml:space="preserve"> </w:t>
      </w:r>
      <w:r w:rsidRPr="00C31391">
        <w:t>souladu</w:t>
      </w:r>
      <w:r>
        <w:t xml:space="preserve"> </w:t>
      </w:r>
      <w:r w:rsidRPr="00C31391">
        <w:t>se</w:t>
      </w:r>
      <w:r>
        <w:t xml:space="preserve"> </w:t>
      </w:r>
      <w:r w:rsidRPr="00C31391">
        <w:t>zvláštními</w:t>
      </w:r>
      <w:r>
        <w:t xml:space="preserve"> </w:t>
      </w:r>
      <w:r w:rsidRPr="00C31391">
        <w:t>právními</w:t>
      </w:r>
      <w:r>
        <w:t xml:space="preserve"> </w:t>
      </w:r>
      <w:r w:rsidRPr="00C31391">
        <w:t>předpisy</w:t>
      </w:r>
      <w:r>
        <w:t xml:space="preserve"> </w:t>
      </w:r>
      <w:r w:rsidRPr="00C31391">
        <w:t>do</w:t>
      </w:r>
      <w:r>
        <w:t xml:space="preserve"> </w:t>
      </w:r>
      <w:r w:rsidRPr="00C31391">
        <w:t>uzavřených</w:t>
      </w:r>
      <w:r>
        <w:t xml:space="preserve"> </w:t>
      </w:r>
      <w:r w:rsidRPr="00C31391">
        <w:t>prostor</w:t>
      </w:r>
      <w:r>
        <w:t xml:space="preserve"> </w:t>
      </w:r>
      <w:r w:rsidRPr="00C31391">
        <w:t>a</w:t>
      </w:r>
      <w:r>
        <w:t xml:space="preserve"> </w:t>
      </w:r>
      <w:r w:rsidRPr="00C31391">
        <w:t>zařízení</w:t>
      </w:r>
      <w:r>
        <w:t xml:space="preserve"> </w:t>
      </w:r>
      <w:r w:rsidRPr="00C31391">
        <w:t>sloužících</w:t>
      </w:r>
      <w:r>
        <w:t xml:space="preserve"> </w:t>
      </w:r>
      <w:r w:rsidRPr="00C31391">
        <w:t>k</w:t>
      </w:r>
      <w:r>
        <w:t xml:space="preserve"> </w:t>
      </w:r>
      <w:r w:rsidRPr="00C31391">
        <w:t>výkonu</w:t>
      </w:r>
      <w:r>
        <w:t xml:space="preserve"> </w:t>
      </w:r>
      <w:r w:rsidRPr="00C31391">
        <w:t>činností</w:t>
      </w:r>
      <w:r>
        <w:t xml:space="preserve"> </w:t>
      </w:r>
      <w:r w:rsidRPr="00C31391">
        <w:t>a</w:t>
      </w:r>
      <w:r>
        <w:t xml:space="preserve"> </w:t>
      </w:r>
      <w:r w:rsidRPr="00C31391">
        <w:t>služeb</w:t>
      </w:r>
      <w:r>
        <w:t xml:space="preserve"> </w:t>
      </w:r>
      <w:r w:rsidRPr="00C31391">
        <w:t>orgánů</w:t>
      </w:r>
      <w:r>
        <w:t xml:space="preserve"> </w:t>
      </w:r>
      <w:r w:rsidRPr="00C31391">
        <w:t>Ministerstva</w:t>
      </w:r>
      <w:r>
        <w:t xml:space="preserve"> </w:t>
      </w:r>
      <w:r w:rsidRPr="00C31391">
        <w:t>obrany,</w:t>
      </w:r>
      <w:r>
        <w:t xml:space="preserve"> </w:t>
      </w:r>
      <w:r w:rsidRPr="00C31391">
        <w:t>Ministerstva</w:t>
      </w:r>
      <w:r>
        <w:t xml:space="preserve"> </w:t>
      </w:r>
      <w:r w:rsidRPr="00C31391">
        <w:t>spravedlnosti</w:t>
      </w:r>
      <w:r>
        <w:t xml:space="preserve"> </w:t>
      </w:r>
      <w:r w:rsidRPr="00C31391">
        <w:t>a</w:t>
      </w:r>
      <w:r>
        <w:t xml:space="preserve"> </w:t>
      </w:r>
      <w:r w:rsidRPr="00C31391">
        <w:t>do</w:t>
      </w:r>
      <w:r>
        <w:t xml:space="preserve"> </w:t>
      </w:r>
      <w:r w:rsidRPr="00C31391">
        <w:t>obvodu</w:t>
      </w:r>
      <w:r>
        <w:t xml:space="preserve"> </w:t>
      </w:r>
      <w:r w:rsidRPr="00C31391">
        <w:t>dráhy,</w:t>
      </w:r>
      <w:r>
        <w:t xml:space="preserve"> </w:t>
      </w:r>
      <w:r w:rsidRPr="00C31391">
        <w:t>jakož</w:t>
      </w:r>
      <w:r>
        <w:t xml:space="preserve"> </w:t>
      </w:r>
      <w:r w:rsidRPr="00C31391">
        <w:t>i</w:t>
      </w:r>
      <w:r>
        <w:t xml:space="preserve"> </w:t>
      </w:r>
      <w:r w:rsidRPr="00C31391">
        <w:t>vstupovat</w:t>
      </w:r>
      <w:r>
        <w:t xml:space="preserve"> </w:t>
      </w:r>
      <w:r w:rsidRPr="00C31391">
        <w:t>do</w:t>
      </w:r>
      <w:r>
        <w:t xml:space="preserve"> </w:t>
      </w:r>
      <w:r w:rsidRPr="00C31391">
        <w:t>nemovitostí,</w:t>
      </w:r>
      <w:r>
        <w:t xml:space="preserve"> </w:t>
      </w:r>
      <w:r w:rsidRPr="00C31391">
        <w:t>kde</w:t>
      </w:r>
      <w:r>
        <w:t xml:space="preserve"> </w:t>
      </w:r>
      <w:r w:rsidRPr="00C31391">
        <w:t>jsou</w:t>
      </w:r>
      <w:r>
        <w:t xml:space="preserve"> </w:t>
      </w:r>
      <w:r w:rsidRPr="00C31391">
        <w:t>umístěna</w:t>
      </w:r>
      <w:r>
        <w:t xml:space="preserve"> </w:t>
      </w:r>
      <w:r w:rsidRPr="00C31391">
        <w:t>zvláštní</w:t>
      </w:r>
      <w:r>
        <w:t xml:space="preserve"> </w:t>
      </w:r>
      <w:r w:rsidRPr="00C31391">
        <w:t>zařízení</w:t>
      </w:r>
      <w:r>
        <w:t xml:space="preserve"> </w:t>
      </w:r>
      <w:r w:rsidRPr="00C31391">
        <w:t>telekomunikací,</w:t>
      </w:r>
      <w:r>
        <w:t xml:space="preserve"> </w:t>
      </w:r>
      <w:r w:rsidRPr="00C31391">
        <w:t>v</w:t>
      </w:r>
      <w:r>
        <w:t xml:space="preserve"> </w:t>
      </w:r>
      <w:r w:rsidRPr="00C31391">
        <w:t>rozsahu</w:t>
      </w:r>
      <w:r>
        <w:t xml:space="preserve"> </w:t>
      </w:r>
      <w:r w:rsidRPr="00C31391">
        <w:t>a</w:t>
      </w:r>
      <w:r>
        <w:t xml:space="preserve"> </w:t>
      </w:r>
      <w:r w:rsidRPr="00C31391">
        <w:t>způsobem</w:t>
      </w:r>
      <w:r>
        <w:t xml:space="preserve"> </w:t>
      </w:r>
      <w:r w:rsidRPr="00C31391">
        <w:t>nezbytným</w:t>
      </w:r>
      <w:r>
        <w:t xml:space="preserve"> </w:t>
      </w:r>
      <w:r w:rsidRPr="00C31391">
        <w:t>pro</w:t>
      </w:r>
      <w:r>
        <w:t xml:space="preserve"> </w:t>
      </w:r>
      <w:r w:rsidRPr="00C31391">
        <w:t>výkon</w:t>
      </w:r>
      <w:r>
        <w:t xml:space="preserve"> </w:t>
      </w:r>
      <w:r w:rsidRPr="00C31391">
        <w:t>licencované</w:t>
      </w:r>
      <w:r>
        <w:t xml:space="preserve"> </w:t>
      </w:r>
      <w:r w:rsidRPr="00C31391">
        <w:t>činnosti,</w:t>
      </w:r>
    </w:p>
    <w:p w14:paraId="573B4853" w14:textId="77777777" w:rsidR="00C15607" w:rsidRPr="00C31391" w:rsidRDefault="00C15607" w:rsidP="002E6AEA">
      <w:pPr>
        <w:pStyle w:val="Textparagrafu"/>
        <w:tabs>
          <w:tab w:val="left" w:pos="392"/>
          <w:tab w:val="left" w:pos="840"/>
        </w:tabs>
        <w:spacing w:before="0"/>
        <w:ind w:left="426" w:hanging="426"/>
      </w:pPr>
      <w:r w:rsidRPr="00C31391">
        <w:t>f)</w:t>
      </w:r>
      <w:r>
        <w:tab/>
      </w:r>
      <w:r w:rsidRPr="00C31391">
        <w:t>omezit</w:t>
      </w:r>
      <w:r>
        <w:t xml:space="preserve"> </w:t>
      </w:r>
      <w:r w:rsidRPr="00C31391">
        <w:t>nebo</w:t>
      </w:r>
      <w:r>
        <w:t xml:space="preserve"> </w:t>
      </w:r>
      <w:r w:rsidRPr="00C31391">
        <w:t>přerušit</w:t>
      </w:r>
      <w:r>
        <w:t xml:space="preserve"> </w:t>
      </w:r>
      <w:r w:rsidRPr="00C31391">
        <w:t>v</w:t>
      </w:r>
      <w:r>
        <w:t xml:space="preserve"> </w:t>
      </w:r>
      <w:r w:rsidRPr="00C31391">
        <w:t>nezbytném</w:t>
      </w:r>
      <w:r>
        <w:t xml:space="preserve"> </w:t>
      </w:r>
      <w:r w:rsidRPr="00C31391">
        <w:t>rozsahu</w:t>
      </w:r>
      <w:r>
        <w:t xml:space="preserve"> </w:t>
      </w:r>
      <w:r w:rsidRPr="00C31391">
        <w:t>činnosti</w:t>
      </w:r>
      <w:r>
        <w:t xml:space="preserve"> </w:t>
      </w:r>
      <w:r w:rsidRPr="00C31391">
        <w:t>spojené</w:t>
      </w:r>
      <w:r>
        <w:t xml:space="preserve"> </w:t>
      </w:r>
      <w:r w:rsidRPr="00C31391">
        <w:t>s</w:t>
      </w:r>
      <w:r>
        <w:t xml:space="preserve"> </w:t>
      </w:r>
      <w:r w:rsidRPr="00C31391">
        <w:t>uskladňováním</w:t>
      </w:r>
      <w:r>
        <w:t xml:space="preserve"> </w:t>
      </w:r>
      <w:r w:rsidRPr="00C31391">
        <w:t>plynu</w:t>
      </w:r>
      <w:r>
        <w:t xml:space="preserve"> </w:t>
      </w:r>
      <w:r w:rsidRPr="00C31391">
        <w:t>v</w:t>
      </w:r>
      <w:r>
        <w:t xml:space="preserve"> </w:t>
      </w:r>
      <w:r w:rsidRPr="00C31391">
        <w:t>těchto</w:t>
      </w:r>
      <w:r>
        <w:t xml:space="preserve"> </w:t>
      </w:r>
      <w:r w:rsidRPr="00C31391">
        <w:t>případech:</w:t>
      </w:r>
    </w:p>
    <w:p w14:paraId="1852870D" w14:textId="2A217A8C" w:rsidR="00C15607" w:rsidRPr="00C31391" w:rsidRDefault="00C15607" w:rsidP="0010420C">
      <w:pPr>
        <w:pStyle w:val="Textparagrafu"/>
        <w:tabs>
          <w:tab w:val="left" w:pos="392"/>
          <w:tab w:val="left" w:pos="840"/>
        </w:tabs>
        <w:spacing w:before="0"/>
        <w:ind w:left="850" w:hanging="425"/>
      </w:pPr>
      <w:r w:rsidRPr="00C31391">
        <w:t>1.</w:t>
      </w:r>
      <w:r>
        <w:tab/>
      </w:r>
      <w:r w:rsidRPr="00C31391">
        <w:t>při</w:t>
      </w:r>
      <w:r>
        <w:t xml:space="preserve"> </w:t>
      </w:r>
      <w:r w:rsidRPr="00C31391">
        <w:t>bezprostředním</w:t>
      </w:r>
      <w:r>
        <w:t xml:space="preserve"> </w:t>
      </w:r>
      <w:r w:rsidRPr="00C31391">
        <w:t>ohrožení</w:t>
      </w:r>
      <w:r>
        <w:t xml:space="preserve"> </w:t>
      </w:r>
      <w:r w:rsidRPr="00C31391">
        <w:t>života,</w:t>
      </w:r>
      <w:r>
        <w:t xml:space="preserve"> </w:t>
      </w:r>
      <w:r w:rsidRPr="00C31391">
        <w:t>zdraví</w:t>
      </w:r>
      <w:r>
        <w:t xml:space="preserve"> </w:t>
      </w:r>
      <w:r w:rsidRPr="00C31391">
        <w:t>nebo</w:t>
      </w:r>
      <w:r>
        <w:t xml:space="preserve"> </w:t>
      </w:r>
      <w:r w:rsidRPr="00C31391">
        <w:t>majetku</w:t>
      </w:r>
      <w:r>
        <w:t xml:space="preserve"> </w:t>
      </w:r>
      <w:r w:rsidRPr="00C31391">
        <w:t>osob</w:t>
      </w:r>
      <w:r>
        <w:t xml:space="preserve"> </w:t>
      </w:r>
      <w:r w:rsidRPr="00C31391">
        <w:t>a</w:t>
      </w:r>
      <w:r>
        <w:t xml:space="preserve"> </w:t>
      </w:r>
      <w:r w:rsidRPr="00C31391">
        <w:t>při</w:t>
      </w:r>
      <w:r>
        <w:t xml:space="preserve"> </w:t>
      </w:r>
      <w:r w:rsidRPr="00C31391">
        <w:t>likvidaci</w:t>
      </w:r>
      <w:r>
        <w:t xml:space="preserve"> </w:t>
      </w:r>
      <w:r w:rsidRPr="00C31391">
        <w:t>těchto</w:t>
      </w:r>
      <w:r>
        <w:t xml:space="preserve"> </w:t>
      </w:r>
      <w:r w:rsidRPr="00C31391">
        <w:t>stavů,</w:t>
      </w:r>
    </w:p>
    <w:p w14:paraId="3113AA9B" w14:textId="499E4B1E" w:rsidR="00C15607" w:rsidRPr="00C31391" w:rsidRDefault="00C15607" w:rsidP="0010420C">
      <w:pPr>
        <w:pStyle w:val="Textparagrafu"/>
        <w:tabs>
          <w:tab w:val="left" w:pos="392"/>
          <w:tab w:val="left" w:pos="840"/>
        </w:tabs>
        <w:spacing w:before="0"/>
        <w:ind w:left="850" w:hanging="425"/>
      </w:pPr>
      <w:r w:rsidRPr="00C31391">
        <w:t>2.</w:t>
      </w:r>
      <w:r>
        <w:tab/>
      </w:r>
      <w:r w:rsidRPr="00C31391">
        <w:t>při</w:t>
      </w:r>
      <w:r>
        <w:t xml:space="preserve"> </w:t>
      </w:r>
      <w:r w:rsidRPr="00C31391">
        <w:t>stavech</w:t>
      </w:r>
      <w:r>
        <w:t xml:space="preserve"> </w:t>
      </w:r>
      <w:r w:rsidRPr="00C31391">
        <w:t>nouze</w:t>
      </w:r>
      <w:r>
        <w:t xml:space="preserve"> </w:t>
      </w:r>
      <w:r w:rsidRPr="00C31391">
        <w:t>nebo</w:t>
      </w:r>
      <w:r>
        <w:t xml:space="preserve"> </w:t>
      </w:r>
      <w:r w:rsidRPr="00C31391">
        <w:t>při</w:t>
      </w:r>
      <w:r>
        <w:t xml:space="preserve"> </w:t>
      </w:r>
      <w:r w:rsidRPr="00C31391">
        <w:t>činnostech</w:t>
      </w:r>
      <w:r>
        <w:t xml:space="preserve"> </w:t>
      </w:r>
      <w:r w:rsidRPr="00C31391">
        <w:t>bezprostředně</w:t>
      </w:r>
      <w:r>
        <w:t xml:space="preserve"> </w:t>
      </w:r>
      <w:r w:rsidRPr="00C31391">
        <w:t>zamezujících</w:t>
      </w:r>
      <w:r>
        <w:t xml:space="preserve"> </w:t>
      </w:r>
      <w:r w:rsidRPr="00C31391">
        <w:t>jejich</w:t>
      </w:r>
      <w:r>
        <w:t xml:space="preserve"> </w:t>
      </w:r>
      <w:r w:rsidRPr="00C31391">
        <w:t>vzniku,</w:t>
      </w:r>
    </w:p>
    <w:p w14:paraId="5A84CE94" w14:textId="21E36E35" w:rsidR="00C15607" w:rsidRPr="00C31391" w:rsidRDefault="00C15607" w:rsidP="0010420C">
      <w:pPr>
        <w:pStyle w:val="Textparagrafu"/>
        <w:tabs>
          <w:tab w:val="left" w:pos="392"/>
          <w:tab w:val="left" w:pos="840"/>
        </w:tabs>
        <w:spacing w:before="0"/>
        <w:ind w:left="850" w:hanging="425"/>
      </w:pPr>
      <w:r w:rsidRPr="00C31391">
        <w:t>3.</w:t>
      </w:r>
      <w:r>
        <w:tab/>
      </w:r>
      <w:r w:rsidRPr="00C31391">
        <w:t>při</w:t>
      </w:r>
      <w:r>
        <w:t xml:space="preserve"> </w:t>
      </w:r>
      <w:r w:rsidRPr="00C31391">
        <w:t>provádění</w:t>
      </w:r>
      <w:r>
        <w:t xml:space="preserve"> </w:t>
      </w:r>
      <w:r w:rsidRPr="00C31391">
        <w:t>plánovaných</w:t>
      </w:r>
      <w:r>
        <w:t xml:space="preserve"> </w:t>
      </w:r>
      <w:r w:rsidRPr="00C31391">
        <w:t>rekonstrukcí</w:t>
      </w:r>
      <w:r>
        <w:t xml:space="preserve"> </w:t>
      </w:r>
      <w:r w:rsidRPr="00C31391">
        <w:t>a</w:t>
      </w:r>
      <w:r>
        <w:t xml:space="preserve"> </w:t>
      </w:r>
      <w:r w:rsidRPr="00C31391">
        <w:t>plánovaných</w:t>
      </w:r>
      <w:r>
        <w:t xml:space="preserve"> </w:t>
      </w:r>
      <w:r w:rsidRPr="00C31391">
        <w:t>oprav</w:t>
      </w:r>
      <w:r>
        <w:t xml:space="preserve"> </w:t>
      </w:r>
      <w:r w:rsidRPr="00C31391">
        <w:t>na</w:t>
      </w:r>
      <w:r>
        <w:t xml:space="preserve"> </w:t>
      </w:r>
      <w:r w:rsidRPr="00C31391">
        <w:t>zařízení</w:t>
      </w:r>
      <w:r>
        <w:t xml:space="preserve"> </w:t>
      </w:r>
      <w:r w:rsidRPr="00C31391">
        <w:t>pro</w:t>
      </w:r>
      <w:r>
        <w:t xml:space="preserve"> </w:t>
      </w:r>
      <w:r w:rsidRPr="00C31391">
        <w:t>uskladňování</w:t>
      </w:r>
      <w:r>
        <w:t xml:space="preserve"> </w:t>
      </w:r>
      <w:r w:rsidRPr="00C31391">
        <w:t>plynu,</w:t>
      </w:r>
    </w:p>
    <w:p w14:paraId="33F5EE8A" w14:textId="19BED2FA" w:rsidR="00C15607" w:rsidRPr="00C31391" w:rsidRDefault="00C15607" w:rsidP="0010420C">
      <w:pPr>
        <w:pStyle w:val="Textparagrafu"/>
        <w:tabs>
          <w:tab w:val="left" w:pos="392"/>
          <w:tab w:val="left" w:pos="840"/>
        </w:tabs>
        <w:spacing w:before="0"/>
      </w:pPr>
      <w:r w:rsidRPr="00C31391">
        <w:t>4.</w:t>
      </w:r>
      <w:r>
        <w:tab/>
      </w:r>
      <w:r w:rsidRPr="00C31391">
        <w:t>při</w:t>
      </w:r>
      <w:r>
        <w:t xml:space="preserve"> </w:t>
      </w:r>
      <w:r w:rsidRPr="00C31391">
        <w:t>vzniku</w:t>
      </w:r>
      <w:r>
        <w:t xml:space="preserve"> </w:t>
      </w:r>
      <w:r w:rsidRPr="00C31391">
        <w:t>a</w:t>
      </w:r>
      <w:r>
        <w:t xml:space="preserve"> </w:t>
      </w:r>
      <w:r w:rsidRPr="00C31391">
        <w:t>odstraňování</w:t>
      </w:r>
      <w:r>
        <w:t xml:space="preserve"> </w:t>
      </w:r>
      <w:r w:rsidRPr="00C31391">
        <w:t>poruch</w:t>
      </w:r>
      <w:r>
        <w:t xml:space="preserve"> </w:t>
      </w:r>
      <w:r w:rsidRPr="00C31391">
        <w:t>na</w:t>
      </w:r>
      <w:r>
        <w:t xml:space="preserve"> </w:t>
      </w:r>
      <w:r w:rsidRPr="00C31391">
        <w:t>zařízeních</w:t>
      </w:r>
      <w:r>
        <w:t xml:space="preserve"> </w:t>
      </w:r>
      <w:r w:rsidRPr="00C31391">
        <w:t>pro</w:t>
      </w:r>
      <w:r>
        <w:t xml:space="preserve"> </w:t>
      </w:r>
      <w:r w:rsidRPr="00C31391">
        <w:t>uskladňování</w:t>
      </w:r>
      <w:r>
        <w:t xml:space="preserve"> </w:t>
      </w:r>
      <w:r w:rsidRPr="00C31391">
        <w:t>plynu,</w:t>
      </w:r>
    </w:p>
    <w:p w14:paraId="7CCCF7C0" w14:textId="35812CBD" w:rsidR="00C15607" w:rsidRDefault="00C15607" w:rsidP="0010420C">
      <w:pPr>
        <w:pStyle w:val="Textparagrafu"/>
        <w:tabs>
          <w:tab w:val="left" w:pos="392"/>
          <w:tab w:val="left" w:pos="840"/>
        </w:tabs>
        <w:spacing w:before="0"/>
        <w:ind w:left="850" w:hanging="425"/>
      </w:pPr>
      <w:r w:rsidRPr="00C31391">
        <w:t>5.</w:t>
      </w:r>
      <w:r>
        <w:tab/>
      </w:r>
      <w:r w:rsidRPr="00C31391">
        <w:t>při</w:t>
      </w:r>
      <w:r>
        <w:t xml:space="preserve"> </w:t>
      </w:r>
      <w:r w:rsidRPr="00C31391">
        <w:t>neoprávněném</w:t>
      </w:r>
      <w:r>
        <w:t xml:space="preserve"> </w:t>
      </w:r>
      <w:r w:rsidRPr="00C31391">
        <w:t>odběru</w:t>
      </w:r>
      <w:r>
        <w:t xml:space="preserve"> </w:t>
      </w:r>
      <w:r w:rsidRPr="00C31391">
        <w:t>nebo</w:t>
      </w:r>
      <w:r>
        <w:t xml:space="preserve"> </w:t>
      </w:r>
      <w:r w:rsidRPr="00C31391">
        <w:t>neoprávněném</w:t>
      </w:r>
      <w:r>
        <w:t xml:space="preserve"> </w:t>
      </w:r>
      <w:r w:rsidRPr="00C31391">
        <w:t>uskladnění</w:t>
      </w:r>
      <w:r>
        <w:t xml:space="preserve"> </w:t>
      </w:r>
      <w:r w:rsidRPr="00C31391">
        <w:t>plynu,</w:t>
      </w:r>
    </w:p>
    <w:p w14:paraId="5E4975DD" w14:textId="77777777" w:rsidR="00C15607" w:rsidRDefault="00C15607" w:rsidP="002E6AEA">
      <w:pPr>
        <w:pStyle w:val="Textparagrafu"/>
        <w:tabs>
          <w:tab w:val="left" w:pos="392"/>
          <w:tab w:val="left" w:pos="840"/>
        </w:tabs>
        <w:spacing w:before="0"/>
        <w:ind w:left="426" w:hanging="426"/>
      </w:pPr>
      <w:r w:rsidRPr="00C31391">
        <w:t>g)</w:t>
      </w:r>
      <w:r>
        <w:tab/>
      </w:r>
      <w:r w:rsidRPr="00C31391">
        <w:t>připojit</w:t>
      </w:r>
      <w:r>
        <w:t xml:space="preserve"> </w:t>
      </w:r>
      <w:r w:rsidRPr="00C31391">
        <w:t>své</w:t>
      </w:r>
      <w:r>
        <w:t xml:space="preserve"> </w:t>
      </w:r>
      <w:r w:rsidRPr="00C31391">
        <w:t>zařízení</w:t>
      </w:r>
      <w:r>
        <w:t xml:space="preserve"> </w:t>
      </w:r>
      <w:r w:rsidRPr="00C31391">
        <w:t>k</w:t>
      </w:r>
      <w:r>
        <w:t xml:space="preserve"> </w:t>
      </w:r>
      <w:r w:rsidRPr="00C31391">
        <w:t>přepravní</w:t>
      </w:r>
      <w:r>
        <w:t xml:space="preserve"> </w:t>
      </w:r>
      <w:r w:rsidRPr="00C31391">
        <w:t>soustavě</w:t>
      </w:r>
      <w:r>
        <w:t xml:space="preserve"> </w:t>
      </w:r>
      <w:r w:rsidRPr="00C31391">
        <w:t>nebo</w:t>
      </w:r>
      <w:r>
        <w:t xml:space="preserve"> </w:t>
      </w:r>
      <w:r w:rsidRPr="00C31391">
        <w:t>k</w:t>
      </w:r>
      <w:r>
        <w:t xml:space="preserve"> </w:t>
      </w:r>
      <w:r w:rsidRPr="00C31391">
        <w:t>distribuční</w:t>
      </w:r>
      <w:r>
        <w:t xml:space="preserve"> </w:t>
      </w:r>
      <w:r w:rsidRPr="00C31391">
        <w:t>soustavě</w:t>
      </w:r>
      <w:r>
        <w:t xml:space="preserve"> </w:t>
      </w:r>
      <w:r w:rsidRPr="00C31391">
        <w:t>za</w:t>
      </w:r>
      <w:r>
        <w:t xml:space="preserve"> </w:t>
      </w:r>
      <w:r w:rsidRPr="00C31391">
        <w:t>stanovených</w:t>
      </w:r>
      <w:r>
        <w:t xml:space="preserve"> </w:t>
      </w:r>
      <w:r w:rsidRPr="00C31391">
        <w:t>podmínek</w:t>
      </w:r>
      <w:r>
        <w:t xml:space="preserve"> </w:t>
      </w:r>
      <w:r w:rsidRPr="00C31391">
        <w:t>připojení,</w:t>
      </w:r>
    </w:p>
    <w:p w14:paraId="433B7587" w14:textId="77777777" w:rsidR="00C15607" w:rsidRDefault="00C15607" w:rsidP="002E6AEA">
      <w:pPr>
        <w:pStyle w:val="Textparagrafu"/>
        <w:tabs>
          <w:tab w:val="left" w:pos="392"/>
          <w:tab w:val="left" w:pos="840"/>
        </w:tabs>
        <w:spacing w:before="0"/>
        <w:ind w:left="426" w:hanging="426"/>
      </w:pPr>
      <w:r w:rsidRPr="00C31391">
        <w:t>h)</w:t>
      </w:r>
      <w:r>
        <w:tab/>
      </w:r>
      <w:r w:rsidRPr="00C31391">
        <w:t>nakupovat</w:t>
      </w:r>
      <w:r>
        <w:t xml:space="preserve"> </w:t>
      </w:r>
      <w:r w:rsidRPr="00C31391">
        <w:t>plyn</w:t>
      </w:r>
      <w:r>
        <w:t xml:space="preserve"> </w:t>
      </w:r>
      <w:r w:rsidRPr="00C31391">
        <w:t>pro</w:t>
      </w:r>
      <w:r>
        <w:t xml:space="preserve"> </w:t>
      </w:r>
      <w:r w:rsidRPr="00C31391">
        <w:t>krytí</w:t>
      </w:r>
      <w:r>
        <w:t xml:space="preserve"> </w:t>
      </w:r>
      <w:r w:rsidRPr="00C31391">
        <w:t>vlastních</w:t>
      </w:r>
      <w:r>
        <w:t xml:space="preserve"> </w:t>
      </w:r>
      <w:r w:rsidRPr="00C31391">
        <w:t>ztrát</w:t>
      </w:r>
      <w:r>
        <w:t xml:space="preserve"> </w:t>
      </w:r>
      <w:r w:rsidRPr="00C31391">
        <w:t>v</w:t>
      </w:r>
      <w:r>
        <w:t xml:space="preserve"> </w:t>
      </w:r>
      <w:r w:rsidRPr="00C31391">
        <w:t>zásobníku</w:t>
      </w:r>
      <w:r>
        <w:t xml:space="preserve"> </w:t>
      </w:r>
      <w:r w:rsidRPr="00C31391">
        <w:t>plynu</w:t>
      </w:r>
      <w:r>
        <w:t xml:space="preserve"> </w:t>
      </w:r>
      <w:r w:rsidRPr="00C31391">
        <w:t>nebo</w:t>
      </w:r>
      <w:r>
        <w:t xml:space="preserve"> </w:t>
      </w:r>
      <w:r w:rsidRPr="00C31391">
        <w:t>pro</w:t>
      </w:r>
      <w:r>
        <w:t xml:space="preserve"> </w:t>
      </w:r>
      <w:r w:rsidRPr="00C31391">
        <w:t>vlastní</w:t>
      </w:r>
      <w:r>
        <w:t xml:space="preserve"> </w:t>
      </w:r>
      <w:r w:rsidRPr="00C31391">
        <w:t>spotřebu</w:t>
      </w:r>
      <w:r>
        <w:t xml:space="preserve"> </w:t>
      </w:r>
      <w:r w:rsidRPr="00C31391">
        <w:t>nebo</w:t>
      </w:r>
      <w:r>
        <w:t xml:space="preserve"> </w:t>
      </w:r>
      <w:r w:rsidRPr="00C31391">
        <w:t>za</w:t>
      </w:r>
      <w:r>
        <w:t xml:space="preserve"> </w:t>
      </w:r>
      <w:r w:rsidRPr="00C31391">
        <w:t>účelem</w:t>
      </w:r>
      <w:r>
        <w:t xml:space="preserve"> </w:t>
      </w:r>
      <w:r w:rsidRPr="00C31391">
        <w:t>vytváření</w:t>
      </w:r>
      <w:r>
        <w:t xml:space="preserve"> </w:t>
      </w:r>
      <w:r w:rsidRPr="00C31391">
        <w:t>a</w:t>
      </w:r>
      <w:r>
        <w:t xml:space="preserve"> </w:t>
      </w:r>
      <w:r w:rsidRPr="00C31391">
        <w:t>udržování</w:t>
      </w:r>
      <w:r>
        <w:t xml:space="preserve"> </w:t>
      </w:r>
      <w:r w:rsidRPr="00C31391">
        <w:t>základní</w:t>
      </w:r>
      <w:r>
        <w:t xml:space="preserve"> </w:t>
      </w:r>
      <w:r w:rsidRPr="00C31391">
        <w:t>náplně</w:t>
      </w:r>
      <w:r>
        <w:t xml:space="preserve"> </w:t>
      </w:r>
      <w:r w:rsidRPr="00C31391">
        <w:t>zásobníku</w:t>
      </w:r>
      <w:r>
        <w:t xml:space="preserve"> </w:t>
      </w:r>
      <w:r w:rsidRPr="00C31391">
        <w:t>plynu,</w:t>
      </w:r>
      <w:r>
        <w:t xml:space="preserve"> </w:t>
      </w:r>
      <w:r w:rsidRPr="00C31391">
        <w:t>prodávat</w:t>
      </w:r>
      <w:r>
        <w:t xml:space="preserve"> </w:t>
      </w:r>
      <w:r w:rsidRPr="00C31391">
        <w:t>plyn</w:t>
      </w:r>
      <w:r>
        <w:t xml:space="preserve"> </w:t>
      </w:r>
      <w:r w:rsidRPr="00C31391">
        <w:t>v</w:t>
      </w:r>
      <w:r>
        <w:t xml:space="preserve"> </w:t>
      </w:r>
      <w:r w:rsidRPr="00C31391">
        <w:t>rozsahu</w:t>
      </w:r>
      <w:r>
        <w:t xml:space="preserve"> </w:t>
      </w:r>
      <w:r w:rsidRPr="00C31391">
        <w:t>povinností</w:t>
      </w:r>
      <w:r>
        <w:t xml:space="preserve"> </w:t>
      </w:r>
      <w:r w:rsidRPr="00C31391">
        <w:t>uložených</w:t>
      </w:r>
      <w:r>
        <w:t xml:space="preserve"> </w:t>
      </w:r>
      <w:r w:rsidRPr="00C31391">
        <w:t>tímto</w:t>
      </w:r>
      <w:r>
        <w:t xml:space="preserve"> </w:t>
      </w:r>
      <w:r w:rsidRPr="00C31391">
        <w:t>zákonem</w:t>
      </w:r>
      <w:r>
        <w:t xml:space="preserve"> </w:t>
      </w:r>
      <w:r w:rsidRPr="00C31391">
        <w:t>a</w:t>
      </w:r>
      <w:r>
        <w:t xml:space="preserve"> </w:t>
      </w:r>
      <w:r w:rsidRPr="00C31391">
        <w:t>nakupovat</w:t>
      </w:r>
      <w:r>
        <w:t xml:space="preserve"> </w:t>
      </w:r>
      <w:r w:rsidRPr="00C31391">
        <w:t>a</w:t>
      </w:r>
      <w:r>
        <w:t xml:space="preserve"> </w:t>
      </w:r>
      <w:r w:rsidRPr="00C31391">
        <w:t>prodávat</w:t>
      </w:r>
      <w:r>
        <w:t xml:space="preserve"> </w:t>
      </w:r>
      <w:r w:rsidRPr="00C31391">
        <w:t>plyn</w:t>
      </w:r>
      <w:r>
        <w:t xml:space="preserve"> </w:t>
      </w:r>
      <w:r w:rsidRPr="00C31391">
        <w:t>pro</w:t>
      </w:r>
      <w:r>
        <w:t xml:space="preserve"> </w:t>
      </w:r>
      <w:r w:rsidRPr="00C31391">
        <w:t>účely</w:t>
      </w:r>
      <w:r>
        <w:t xml:space="preserve"> </w:t>
      </w:r>
      <w:r w:rsidRPr="00C31391">
        <w:t>poskytování</w:t>
      </w:r>
      <w:r>
        <w:t xml:space="preserve"> </w:t>
      </w:r>
      <w:r w:rsidRPr="00C31391">
        <w:t>služby</w:t>
      </w:r>
      <w:r>
        <w:t xml:space="preserve"> </w:t>
      </w:r>
      <w:r w:rsidRPr="00C31391">
        <w:t>uskladňování</w:t>
      </w:r>
      <w:r>
        <w:t xml:space="preserve"> </w:t>
      </w:r>
      <w:r w:rsidRPr="00C31391">
        <w:t>plynu</w:t>
      </w:r>
      <w:r>
        <w:t xml:space="preserve"> </w:t>
      </w:r>
      <w:r w:rsidRPr="00C31391">
        <w:t>v</w:t>
      </w:r>
      <w:r>
        <w:t xml:space="preserve"> </w:t>
      </w:r>
      <w:r w:rsidRPr="00C31391">
        <w:t>množství</w:t>
      </w:r>
      <w:r>
        <w:t xml:space="preserve"> </w:t>
      </w:r>
      <w:r w:rsidRPr="00C31391">
        <w:t>stanoveném</w:t>
      </w:r>
      <w:r>
        <w:t xml:space="preserve"> </w:t>
      </w:r>
      <w:r w:rsidRPr="00C31391">
        <w:t>prováděcím</w:t>
      </w:r>
      <w:r>
        <w:t xml:space="preserve"> </w:t>
      </w:r>
      <w:r w:rsidRPr="00C31391">
        <w:t>právním</w:t>
      </w:r>
      <w:r>
        <w:t xml:space="preserve"> </w:t>
      </w:r>
      <w:r w:rsidRPr="00C31391">
        <w:t>předpisem;</w:t>
      </w:r>
      <w:r>
        <w:t xml:space="preserve"> </w:t>
      </w:r>
      <w:r w:rsidRPr="00C31391">
        <w:t>toto</w:t>
      </w:r>
      <w:r>
        <w:t xml:space="preserve"> </w:t>
      </w:r>
      <w:r w:rsidRPr="00C31391">
        <w:t>není</w:t>
      </w:r>
      <w:r>
        <w:t xml:space="preserve"> </w:t>
      </w:r>
      <w:r w:rsidRPr="00C31391">
        <w:t>považováno</w:t>
      </w:r>
      <w:r>
        <w:t xml:space="preserve"> </w:t>
      </w:r>
      <w:r w:rsidRPr="00C31391">
        <w:t>za</w:t>
      </w:r>
      <w:r>
        <w:t xml:space="preserve"> </w:t>
      </w:r>
      <w:r w:rsidRPr="00C31391">
        <w:t>obchod</w:t>
      </w:r>
      <w:r>
        <w:t xml:space="preserve"> </w:t>
      </w:r>
      <w:r w:rsidRPr="00C31391">
        <w:t>s</w:t>
      </w:r>
      <w:r>
        <w:t xml:space="preserve"> </w:t>
      </w:r>
      <w:r w:rsidRPr="00C31391">
        <w:t>plynem,</w:t>
      </w:r>
    </w:p>
    <w:p w14:paraId="5B189881" w14:textId="77777777" w:rsidR="00C15607" w:rsidRDefault="00C15607" w:rsidP="002E6AEA">
      <w:pPr>
        <w:pStyle w:val="Textparagrafu"/>
        <w:tabs>
          <w:tab w:val="left" w:pos="392"/>
          <w:tab w:val="left" w:pos="840"/>
        </w:tabs>
        <w:spacing w:before="0"/>
        <w:ind w:left="426" w:hanging="426"/>
      </w:pPr>
      <w:r w:rsidRPr="00C31391">
        <w:t>i)</w:t>
      </w:r>
      <w:r>
        <w:tab/>
      </w:r>
      <w:r w:rsidRPr="00C31391">
        <w:t>na</w:t>
      </w:r>
      <w:r>
        <w:t xml:space="preserve"> </w:t>
      </w:r>
      <w:r w:rsidRPr="00C31391">
        <w:t>informace</w:t>
      </w:r>
      <w:r>
        <w:t xml:space="preserve"> </w:t>
      </w:r>
      <w:r w:rsidRPr="00C31391">
        <w:t>nezbytné</w:t>
      </w:r>
      <w:r>
        <w:t xml:space="preserve"> </w:t>
      </w:r>
      <w:r w:rsidRPr="00C31391">
        <w:t>pro</w:t>
      </w:r>
      <w:r>
        <w:t xml:space="preserve"> </w:t>
      </w:r>
      <w:r w:rsidRPr="00C31391">
        <w:t>plnění</w:t>
      </w:r>
      <w:r>
        <w:t xml:space="preserve"> </w:t>
      </w:r>
      <w:r w:rsidRPr="00C31391">
        <w:t>svých</w:t>
      </w:r>
      <w:r>
        <w:t xml:space="preserve"> </w:t>
      </w:r>
      <w:r w:rsidRPr="00C31391">
        <w:t>povinností</w:t>
      </w:r>
      <w:r>
        <w:t xml:space="preserve"> </w:t>
      </w:r>
      <w:r w:rsidRPr="00C31391">
        <w:t>od</w:t>
      </w:r>
      <w:r>
        <w:t xml:space="preserve"> </w:t>
      </w:r>
      <w:r w:rsidRPr="00C31391">
        <w:t>ostatních</w:t>
      </w:r>
      <w:r>
        <w:t xml:space="preserve"> </w:t>
      </w:r>
      <w:r w:rsidRPr="00C31391">
        <w:t>účastníků</w:t>
      </w:r>
      <w:r>
        <w:t xml:space="preserve"> </w:t>
      </w:r>
      <w:r w:rsidRPr="00C31391">
        <w:t>trhu</w:t>
      </w:r>
      <w:r>
        <w:t xml:space="preserve"> </w:t>
      </w:r>
      <w:r w:rsidRPr="00C31391">
        <w:t>s</w:t>
      </w:r>
      <w:r>
        <w:t xml:space="preserve"> </w:t>
      </w:r>
      <w:r w:rsidRPr="00C31391">
        <w:t>plynem,</w:t>
      </w:r>
    </w:p>
    <w:p w14:paraId="599F6C3F" w14:textId="77777777" w:rsidR="00C15607" w:rsidRDefault="00C15607" w:rsidP="002E6AEA">
      <w:pPr>
        <w:pStyle w:val="Textparagrafu"/>
        <w:tabs>
          <w:tab w:val="left" w:pos="392"/>
          <w:tab w:val="left" w:pos="840"/>
        </w:tabs>
        <w:spacing w:before="0"/>
        <w:ind w:left="426" w:hanging="426"/>
      </w:pPr>
      <w:r w:rsidRPr="00C31391">
        <w:t>j)</w:t>
      </w:r>
      <w:r>
        <w:tab/>
      </w:r>
      <w:r w:rsidRPr="00C31391">
        <w:t>zřizovat</w:t>
      </w:r>
      <w:r>
        <w:t xml:space="preserve"> </w:t>
      </w:r>
      <w:r w:rsidRPr="00C31391">
        <w:t>a</w:t>
      </w:r>
      <w:r>
        <w:t xml:space="preserve"> </w:t>
      </w:r>
      <w:r w:rsidRPr="00C31391">
        <w:t>provozovat</w:t>
      </w:r>
      <w:r>
        <w:t xml:space="preserve"> </w:t>
      </w:r>
      <w:r w:rsidRPr="00C31391">
        <w:t>zařízení</w:t>
      </w:r>
      <w:r>
        <w:t xml:space="preserve"> </w:t>
      </w:r>
      <w:r w:rsidRPr="00C31391">
        <w:t>na</w:t>
      </w:r>
      <w:r>
        <w:t xml:space="preserve"> </w:t>
      </w:r>
      <w:r w:rsidRPr="00C31391">
        <w:t>úpravu</w:t>
      </w:r>
      <w:r>
        <w:t xml:space="preserve"> </w:t>
      </w:r>
      <w:r w:rsidRPr="00C31391">
        <w:t>složení</w:t>
      </w:r>
      <w:r>
        <w:t xml:space="preserve"> </w:t>
      </w:r>
      <w:r w:rsidRPr="00C31391">
        <w:t>plynů.</w:t>
      </w:r>
    </w:p>
    <w:p w14:paraId="54088F7E" w14:textId="71E0E3FD" w:rsidR="00C15607" w:rsidRDefault="00C15607" w:rsidP="0010420C">
      <w:pPr>
        <w:pStyle w:val="Textparagrafu"/>
        <w:tabs>
          <w:tab w:val="left" w:pos="392"/>
          <w:tab w:val="left" w:pos="840"/>
        </w:tabs>
        <w:spacing w:before="120" w:after="120"/>
      </w:pPr>
      <w:r w:rsidRPr="00C31391">
        <w:lastRenderedPageBreak/>
        <w:t>(2)</w:t>
      </w:r>
      <w:r>
        <w:t xml:space="preserve"> </w:t>
      </w:r>
      <w:r w:rsidRPr="00C31391">
        <w:t>Provozovatel</w:t>
      </w:r>
      <w:r>
        <w:t xml:space="preserve"> </w:t>
      </w:r>
      <w:r w:rsidRPr="00C31391">
        <w:t>zásobníku</w:t>
      </w:r>
      <w:r>
        <w:t xml:space="preserve"> </w:t>
      </w:r>
      <w:r w:rsidRPr="00C31391">
        <w:t>plynu</w:t>
      </w:r>
      <w:r>
        <w:t xml:space="preserve"> </w:t>
      </w:r>
      <w:r w:rsidRPr="00C31391">
        <w:t>je</w:t>
      </w:r>
      <w:r>
        <w:t xml:space="preserve"> </w:t>
      </w:r>
      <w:r w:rsidRPr="00C31391">
        <w:t>povinen</w:t>
      </w:r>
      <w:r>
        <w:t xml:space="preserve"> </w:t>
      </w:r>
      <w:r w:rsidRPr="00C31391">
        <w:t>zřídit</w:t>
      </w:r>
      <w:r>
        <w:t xml:space="preserve"> </w:t>
      </w:r>
      <w:r w:rsidRPr="00C31391">
        <w:t>věcné</w:t>
      </w:r>
      <w:r>
        <w:t xml:space="preserve"> </w:t>
      </w:r>
      <w:r w:rsidRPr="00C31391">
        <w:t>břemeno</w:t>
      </w:r>
      <w:r>
        <w:t xml:space="preserve"> </w:t>
      </w:r>
      <w:r w:rsidRPr="00C31391">
        <w:t>umožňující</w:t>
      </w:r>
      <w:r>
        <w:t xml:space="preserve"> </w:t>
      </w:r>
      <w:r w:rsidRPr="00C31391">
        <w:t>využití</w:t>
      </w:r>
      <w:r>
        <w:t xml:space="preserve"> </w:t>
      </w:r>
      <w:r w:rsidRPr="00C31391">
        <w:t>cizí</w:t>
      </w:r>
      <w:r>
        <w:t xml:space="preserve"> </w:t>
      </w:r>
      <w:r w:rsidRPr="00C31391">
        <w:t>nemovitosti</w:t>
      </w:r>
      <w:r>
        <w:t xml:space="preserve"> </w:t>
      </w:r>
      <w:r w:rsidRPr="00C31391">
        <w:t>nebo</w:t>
      </w:r>
      <w:r>
        <w:t xml:space="preserve"> </w:t>
      </w:r>
      <w:r w:rsidRPr="00C31391">
        <w:t>její</w:t>
      </w:r>
      <w:r>
        <w:t xml:space="preserve"> </w:t>
      </w:r>
      <w:r w:rsidRPr="00C31391">
        <w:t>části</w:t>
      </w:r>
      <w:r>
        <w:t xml:space="preserve"> </w:t>
      </w:r>
      <w:r w:rsidRPr="00C31391">
        <w:t>pro</w:t>
      </w:r>
      <w:r>
        <w:t xml:space="preserve"> </w:t>
      </w:r>
      <w:r w:rsidRPr="00C31391">
        <w:t>účely</w:t>
      </w:r>
      <w:r>
        <w:t xml:space="preserve"> </w:t>
      </w:r>
      <w:r w:rsidRPr="00C31391">
        <w:t>uvedené</w:t>
      </w:r>
      <w:r>
        <w:t xml:space="preserve"> </w:t>
      </w:r>
      <w:r w:rsidRPr="00C31391">
        <w:t>v</w:t>
      </w:r>
      <w:r>
        <w:t xml:space="preserve"> </w:t>
      </w:r>
      <w:r w:rsidRPr="00C31391">
        <w:t>odstavci</w:t>
      </w:r>
      <w:r>
        <w:t xml:space="preserve"> </w:t>
      </w:r>
      <w:r w:rsidRPr="00C31391">
        <w:t>1</w:t>
      </w:r>
      <w:r>
        <w:t xml:space="preserve"> </w:t>
      </w:r>
      <w:r w:rsidRPr="00C31391">
        <w:t>písm.</w:t>
      </w:r>
      <w:r>
        <w:t xml:space="preserve"> </w:t>
      </w:r>
      <w:r w:rsidRPr="00C31391">
        <w:t>b),</w:t>
      </w:r>
      <w:r>
        <w:t xml:space="preserve"> </w:t>
      </w:r>
      <w:r w:rsidRPr="00C31391">
        <w:t>a</w:t>
      </w:r>
      <w:r>
        <w:t xml:space="preserve"> </w:t>
      </w:r>
      <w:r w:rsidRPr="00C31391">
        <w:t>to</w:t>
      </w:r>
      <w:r>
        <w:t xml:space="preserve"> </w:t>
      </w:r>
      <w:r w:rsidRPr="00C31391">
        <w:t>smluvně</w:t>
      </w:r>
      <w:r>
        <w:t xml:space="preserve"> </w:t>
      </w:r>
      <w:r w:rsidRPr="00C31391">
        <w:t>s</w:t>
      </w:r>
      <w:r>
        <w:t xml:space="preserve"> </w:t>
      </w:r>
      <w:r w:rsidRPr="00C31391">
        <w:t>vlastníkem</w:t>
      </w:r>
      <w:r>
        <w:t xml:space="preserve"> </w:t>
      </w:r>
      <w:r w:rsidRPr="00C31391">
        <w:t>nemovitosti</w:t>
      </w:r>
      <w:r>
        <w:t xml:space="preserve"> </w:t>
      </w:r>
      <w:r w:rsidRPr="00C31391">
        <w:t>za</w:t>
      </w:r>
      <w:r>
        <w:t xml:space="preserve"> </w:t>
      </w:r>
      <w:r w:rsidRPr="00C31391">
        <w:t>jednorázovou</w:t>
      </w:r>
      <w:r>
        <w:t xml:space="preserve"> </w:t>
      </w:r>
      <w:r w:rsidRPr="00C31391">
        <w:t>náhradu</w:t>
      </w:r>
      <w:r>
        <w:t xml:space="preserve"> </w:t>
      </w:r>
      <w:r w:rsidRPr="00C31391">
        <w:t>ve</w:t>
      </w:r>
      <w:r>
        <w:t xml:space="preserve"> </w:t>
      </w:r>
      <w:r w:rsidRPr="00C31391">
        <w:t>výši</w:t>
      </w:r>
      <w:r>
        <w:t xml:space="preserve"> </w:t>
      </w:r>
      <w:r w:rsidRPr="002B7DCD">
        <w:rPr>
          <w:strike/>
        </w:rPr>
        <w:t xml:space="preserve">ceny zjištěné podle oceňovacího předpisu </w:t>
      </w:r>
      <w:r w:rsidRPr="002B7DCD">
        <w:rPr>
          <w:strike/>
          <w:vertAlign w:val="superscript"/>
        </w:rPr>
        <w:t>47)</w:t>
      </w:r>
      <w:r w:rsidR="002B7DCD" w:rsidRPr="002B7DCD">
        <w:rPr>
          <w:b/>
          <w:bCs/>
        </w:rPr>
        <w:t xml:space="preserve"> </w:t>
      </w:r>
      <w:r w:rsidR="002B7DCD" w:rsidRPr="00533343">
        <w:rPr>
          <w:b/>
          <w:bCs/>
        </w:rPr>
        <w:t>zjištěné hodnoty podle zákona o oceňování</w:t>
      </w:r>
      <w:r w:rsidRPr="00C31391">
        <w:t>,</w:t>
      </w:r>
      <w:r>
        <w:t xml:space="preserve"> </w:t>
      </w:r>
      <w:r w:rsidRPr="00C31391">
        <w:t>pokud</w:t>
      </w:r>
      <w:r>
        <w:t xml:space="preserve"> </w:t>
      </w:r>
      <w:r w:rsidRPr="00C31391">
        <w:t>se</w:t>
      </w:r>
      <w:r>
        <w:t xml:space="preserve"> </w:t>
      </w:r>
      <w:r w:rsidRPr="00C31391">
        <w:t>strany</w:t>
      </w:r>
      <w:r>
        <w:t xml:space="preserve"> </w:t>
      </w:r>
      <w:r w:rsidRPr="00C31391">
        <w:t>nedohodnou</w:t>
      </w:r>
      <w:r>
        <w:t xml:space="preserve"> </w:t>
      </w:r>
      <w:r w:rsidRPr="00C31391">
        <w:t>jinak;</w:t>
      </w:r>
      <w:r>
        <w:t xml:space="preserve"> </w:t>
      </w:r>
      <w:r w:rsidRPr="00C31391">
        <w:t>v</w:t>
      </w:r>
      <w:r>
        <w:t xml:space="preserve"> </w:t>
      </w:r>
      <w:r w:rsidRPr="00C31391">
        <w:t>případě,</w:t>
      </w:r>
      <w:r>
        <w:t xml:space="preserve"> </w:t>
      </w:r>
      <w:r w:rsidRPr="00C31391">
        <w:t>že</w:t>
      </w:r>
      <w:r>
        <w:t xml:space="preserve"> </w:t>
      </w:r>
      <w:r w:rsidRPr="00C31391">
        <w:t>vlastník</w:t>
      </w:r>
      <w:r>
        <w:t xml:space="preserve"> </w:t>
      </w:r>
      <w:r w:rsidRPr="00C31391">
        <w:t>není</w:t>
      </w:r>
      <w:r>
        <w:t xml:space="preserve"> </w:t>
      </w:r>
      <w:r w:rsidRPr="00C31391">
        <w:t>znám</w:t>
      </w:r>
      <w:r>
        <w:t xml:space="preserve"> </w:t>
      </w:r>
      <w:r w:rsidRPr="00C31391">
        <w:t>nebo</w:t>
      </w:r>
      <w:r>
        <w:t xml:space="preserve"> </w:t>
      </w:r>
      <w:r w:rsidRPr="00C31391">
        <w:t>není</w:t>
      </w:r>
      <w:r>
        <w:t xml:space="preserve"> </w:t>
      </w:r>
      <w:r w:rsidRPr="00C31391">
        <w:t>určen</w:t>
      </w:r>
      <w:r>
        <w:t xml:space="preserve"> </w:t>
      </w:r>
      <w:r w:rsidRPr="00C31391">
        <w:t>nebo</w:t>
      </w:r>
      <w:r>
        <w:t xml:space="preserve"> </w:t>
      </w:r>
      <w:r w:rsidRPr="00C31391">
        <w:t>proto,</w:t>
      </w:r>
      <w:r>
        <w:t xml:space="preserve"> </w:t>
      </w:r>
      <w:r w:rsidRPr="00C31391">
        <w:t>že</w:t>
      </w:r>
      <w:r>
        <w:t xml:space="preserve"> </w:t>
      </w:r>
      <w:r w:rsidRPr="00C31391">
        <w:t>je</w:t>
      </w:r>
      <w:r>
        <w:t xml:space="preserve"> </w:t>
      </w:r>
      <w:r w:rsidRPr="00C31391">
        <w:t>prokazatelně</w:t>
      </w:r>
      <w:r>
        <w:t xml:space="preserve"> </w:t>
      </w:r>
      <w:r w:rsidRPr="00C31391">
        <w:t>nedosažitelný</w:t>
      </w:r>
      <w:r>
        <w:t xml:space="preserve"> </w:t>
      </w:r>
      <w:r w:rsidRPr="00C31391">
        <w:t>nebo</w:t>
      </w:r>
      <w:r>
        <w:t xml:space="preserve"> </w:t>
      </w:r>
      <w:r w:rsidRPr="00C31391">
        <w:t>nečinný</w:t>
      </w:r>
      <w:r>
        <w:t xml:space="preserve"> </w:t>
      </w:r>
      <w:r w:rsidRPr="00C31391">
        <w:t>nebo</w:t>
      </w:r>
      <w:r>
        <w:t xml:space="preserve"> </w:t>
      </w:r>
      <w:r w:rsidRPr="00C31391">
        <w:t>nedošlo</w:t>
      </w:r>
      <w:r>
        <w:t xml:space="preserve"> </w:t>
      </w:r>
      <w:r w:rsidRPr="00C31391">
        <w:t>k</w:t>
      </w:r>
      <w:r>
        <w:t xml:space="preserve"> </w:t>
      </w:r>
      <w:r w:rsidRPr="00C31391">
        <w:t>dohodě</w:t>
      </w:r>
      <w:r>
        <w:t xml:space="preserve"> </w:t>
      </w:r>
      <w:r w:rsidRPr="00C31391">
        <w:t>s</w:t>
      </w:r>
      <w:r>
        <w:t xml:space="preserve"> </w:t>
      </w:r>
      <w:r w:rsidRPr="00C31391">
        <w:t>ním</w:t>
      </w:r>
      <w:r>
        <w:t xml:space="preserve"> </w:t>
      </w:r>
      <w:r w:rsidRPr="00C31391">
        <w:t>a</w:t>
      </w:r>
      <w:r>
        <w:t xml:space="preserve"> </w:t>
      </w:r>
      <w:r w:rsidRPr="00C31391">
        <w:t>jsou-li</w:t>
      </w:r>
      <w:r>
        <w:t xml:space="preserve"> </w:t>
      </w:r>
      <w:r w:rsidRPr="00C31391">
        <w:t>dány</w:t>
      </w:r>
      <w:r>
        <w:t xml:space="preserve"> </w:t>
      </w:r>
      <w:r w:rsidRPr="00C31391">
        <w:t>podmínky</w:t>
      </w:r>
      <w:r>
        <w:t xml:space="preserve"> </w:t>
      </w:r>
      <w:r w:rsidRPr="00C31391">
        <w:t>pro</w:t>
      </w:r>
      <w:r>
        <w:t xml:space="preserve"> </w:t>
      </w:r>
      <w:r w:rsidRPr="00C31391">
        <w:t>omezení</w:t>
      </w:r>
      <w:r>
        <w:t xml:space="preserve"> </w:t>
      </w:r>
      <w:r w:rsidRPr="00C31391">
        <w:t>vlastnického</w:t>
      </w:r>
      <w:r>
        <w:t xml:space="preserve"> </w:t>
      </w:r>
      <w:r w:rsidRPr="00C31391">
        <w:t>práva</w:t>
      </w:r>
      <w:r>
        <w:t xml:space="preserve"> </w:t>
      </w:r>
      <w:r w:rsidRPr="00C31391">
        <w:t>k</w:t>
      </w:r>
      <w:r>
        <w:t xml:space="preserve"> </w:t>
      </w:r>
      <w:r w:rsidRPr="00C31391">
        <w:t>pozemku</w:t>
      </w:r>
      <w:r>
        <w:t xml:space="preserve"> </w:t>
      </w:r>
      <w:r w:rsidRPr="00C31391">
        <w:t>nebo</w:t>
      </w:r>
      <w:r>
        <w:t xml:space="preserve"> </w:t>
      </w:r>
      <w:r w:rsidRPr="00C31391">
        <w:t>ke</w:t>
      </w:r>
      <w:r>
        <w:t xml:space="preserve"> </w:t>
      </w:r>
      <w:r w:rsidRPr="00C31391">
        <w:t>stavbě</w:t>
      </w:r>
      <w:r>
        <w:t xml:space="preserve"> </w:t>
      </w:r>
      <w:r w:rsidRPr="00C31391">
        <w:t>podle</w:t>
      </w:r>
      <w:r>
        <w:t xml:space="preserve"> </w:t>
      </w:r>
      <w:r w:rsidRPr="00C31391">
        <w:t>zvláštního</w:t>
      </w:r>
      <w:r>
        <w:t xml:space="preserve"> </w:t>
      </w:r>
      <w:r w:rsidRPr="00C31391">
        <w:t>právního</w:t>
      </w:r>
      <w:r>
        <w:t xml:space="preserve"> </w:t>
      </w:r>
      <w:r w:rsidRPr="00C31391">
        <w:t>předpisu4e),</w:t>
      </w:r>
      <w:r>
        <w:t xml:space="preserve"> </w:t>
      </w:r>
      <w:r w:rsidRPr="00C31391">
        <w:t>příslušný</w:t>
      </w:r>
      <w:r>
        <w:t xml:space="preserve"> </w:t>
      </w:r>
      <w:r w:rsidRPr="00C31391">
        <w:t>vyvlastňovací</w:t>
      </w:r>
      <w:r>
        <w:t xml:space="preserve"> </w:t>
      </w:r>
      <w:r w:rsidRPr="00C31391">
        <w:t>úřad</w:t>
      </w:r>
      <w:r>
        <w:t xml:space="preserve"> </w:t>
      </w:r>
      <w:r w:rsidRPr="00C31391">
        <w:t>rozhodne</w:t>
      </w:r>
      <w:r>
        <w:t xml:space="preserve"> </w:t>
      </w:r>
      <w:r w:rsidRPr="00C31391">
        <w:t>na</w:t>
      </w:r>
      <w:r>
        <w:t xml:space="preserve"> </w:t>
      </w:r>
      <w:r w:rsidRPr="00C31391">
        <w:t>návrh</w:t>
      </w:r>
      <w:r>
        <w:t xml:space="preserve"> </w:t>
      </w:r>
      <w:r w:rsidRPr="00C31391">
        <w:t>provozovatele</w:t>
      </w:r>
      <w:r>
        <w:t xml:space="preserve"> </w:t>
      </w:r>
      <w:r w:rsidRPr="00C31391">
        <w:t>zásobníku</w:t>
      </w:r>
      <w:r>
        <w:t xml:space="preserve"> </w:t>
      </w:r>
      <w:r w:rsidRPr="00C31391">
        <w:t>plynu</w:t>
      </w:r>
      <w:r>
        <w:t xml:space="preserve"> </w:t>
      </w:r>
      <w:r w:rsidRPr="00C31391">
        <w:t>o</w:t>
      </w:r>
      <w:r>
        <w:t xml:space="preserve"> </w:t>
      </w:r>
      <w:r w:rsidRPr="00C31391">
        <w:t>zřízení</w:t>
      </w:r>
      <w:r>
        <w:t xml:space="preserve"> </w:t>
      </w:r>
      <w:r w:rsidRPr="00C31391">
        <w:t>věcného</w:t>
      </w:r>
      <w:r>
        <w:t xml:space="preserve"> </w:t>
      </w:r>
      <w:r w:rsidRPr="00C31391">
        <w:t>břemene</w:t>
      </w:r>
      <w:r>
        <w:t xml:space="preserve"> </w:t>
      </w:r>
      <w:r w:rsidRPr="00C31391">
        <w:t>umožňujícího</w:t>
      </w:r>
      <w:r>
        <w:t xml:space="preserve"> </w:t>
      </w:r>
      <w:r w:rsidRPr="00C31391">
        <w:t>využití</w:t>
      </w:r>
      <w:r>
        <w:t xml:space="preserve"> </w:t>
      </w:r>
      <w:r w:rsidRPr="00C31391">
        <w:t>této</w:t>
      </w:r>
      <w:r>
        <w:t xml:space="preserve"> </w:t>
      </w:r>
      <w:r w:rsidRPr="00C31391">
        <w:t>nemovitosti</w:t>
      </w:r>
      <w:r>
        <w:t xml:space="preserve"> </w:t>
      </w:r>
      <w:r w:rsidRPr="00C31391">
        <w:t>nebo</w:t>
      </w:r>
      <w:r>
        <w:t xml:space="preserve"> </w:t>
      </w:r>
      <w:r w:rsidRPr="00C31391">
        <w:t>její</w:t>
      </w:r>
      <w:r>
        <w:t xml:space="preserve"> </w:t>
      </w:r>
      <w:r w:rsidRPr="00C31391">
        <w:t>části.</w:t>
      </w:r>
      <w:r>
        <w:t xml:space="preserve"> </w:t>
      </w:r>
      <w:r w:rsidRPr="00C31391">
        <w:t>To</w:t>
      </w:r>
      <w:r>
        <w:t xml:space="preserve"> </w:t>
      </w:r>
      <w:r w:rsidRPr="00C31391">
        <w:t>platí</w:t>
      </w:r>
      <w:r>
        <w:t xml:space="preserve"> </w:t>
      </w:r>
      <w:r w:rsidRPr="00C31391">
        <w:t>i</w:t>
      </w:r>
      <w:r>
        <w:t xml:space="preserve"> </w:t>
      </w:r>
      <w:r w:rsidRPr="00C31391">
        <w:t>v</w:t>
      </w:r>
      <w:r>
        <w:t xml:space="preserve"> </w:t>
      </w:r>
      <w:r w:rsidRPr="00C31391">
        <w:t>případě,</w:t>
      </w:r>
      <w:r>
        <w:t xml:space="preserve"> </w:t>
      </w:r>
      <w:r w:rsidRPr="00C31391">
        <w:t>kdy</w:t>
      </w:r>
      <w:r>
        <w:t xml:space="preserve"> </w:t>
      </w:r>
      <w:r w:rsidRPr="00C31391">
        <w:t>je</w:t>
      </w:r>
      <w:r>
        <w:t xml:space="preserve"> </w:t>
      </w:r>
      <w:r w:rsidRPr="00C31391">
        <w:t>stavba,</w:t>
      </w:r>
      <w:r>
        <w:t xml:space="preserve"> </w:t>
      </w:r>
      <w:r w:rsidRPr="00C31391">
        <w:t>pro</w:t>
      </w:r>
      <w:r>
        <w:t xml:space="preserve"> </w:t>
      </w:r>
      <w:r w:rsidRPr="00C31391">
        <w:t>kterou</w:t>
      </w:r>
      <w:r>
        <w:t xml:space="preserve"> </w:t>
      </w:r>
      <w:r w:rsidRPr="00C31391">
        <w:t>se</w:t>
      </w:r>
      <w:r>
        <w:t xml:space="preserve"> </w:t>
      </w:r>
      <w:r w:rsidRPr="00C31391">
        <w:t>právo</w:t>
      </w:r>
      <w:r>
        <w:t xml:space="preserve"> </w:t>
      </w:r>
      <w:r w:rsidRPr="00C31391">
        <w:t>vyvlastňuje,</w:t>
      </w:r>
      <w:r>
        <w:t xml:space="preserve"> </w:t>
      </w:r>
      <w:r w:rsidRPr="00C31391">
        <w:t>zřizována</w:t>
      </w:r>
      <w:r>
        <w:t xml:space="preserve"> </w:t>
      </w:r>
      <w:r w:rsidRPr="00C31391">
        <w:t>nebo</w:t>
      </w:r>
      <w:r>
        <w:t xml:space="preserve"> </w:t>
      </w:r>
      <w:r w:rsidRPr="00C31391">
        <w:t>již</w:t>
      </w:r>
      <w:r>
        <w:t xml:space="preserve"> </w:t>
      </w:r>
      <w:r w:rsidRPr="00C31391">
        <w:t>byla</w:t>
      </w:r>
      <w:r>
        <w:t xml:space="preserve"> </w:t>
      </w:r>
      <w:r w:rsidRPr="00C31391">
        <w:t>zřízena</w:t>
      </w:r>
      <w:r>
        <w:t xml:space="preserve"> </w:t>
      </w:r>
      <w:r w:rsidRPr="00C31391">
        <w:t>a</w:t>
      </w:r>
      <w:r>
        <w:t xml:space="preserve"> </w:t>
      </w:r>
      <w:r w:rsidRPr="00C31391">
        <w:t>zřízení</w:t>
      </w:r>
      <w:r>
        <w:t xml:space="preserve"> </w:t>
      </w:r>
      <w:r w:rsidRPr="00C31391">
        <w:t>věcného</w:t>
      </w:r>
      <w:r>
        <w:t xml:space="preserve"> </w:t>
      </w:r>
      <w:r w:rsidRPr="00C31391">
        <w:t>břemene</w:t>
      </w:r>
      <w:r>
        <w:t xml:space="preserve"> </w:t>
      </w:r>
      <w:r w:rsidRPr="00C31391">
        <w:t>nezmařil</w:t>
      </w:r>
      <w:r>
        <w:t xml:space="preserve"> </w:t>
      </w:r>
      <w:r w:rsidRPr="00C31391">
        <w:t>provozovatel</w:t>
      </w:r>
      <w:r>
        <w:t xml:space="preserve"> </w:t>
      </w:r>
      <w:r w:rsidRPr="00C31391">
        <w:t>zásobníku</w:t>
      </w:r>
      <w:r>
        <w:t xml:space="preserve"> </w:t>
      </w:r>
      <w:r w:rsidRPr="00C31391">
        <w:t>plynu.</w:t>
      </w:r>
    </w:p>
    <w:p w14:paraId="6775B01C" w14:textId="77777777" w:rsidR="00C15607" w:rsidRDefault="00C15607" w:rsidP="0010420C">
      <w:pPr>
        <w:pStyle w:val="Textparagrafu"/>
        <w:tabs>
          <w:tab w:val="left" w:pos="392"/>
          <w:tab w:val="left" w:pos="840"/>
        </w:tabs>
        <w:spacing w:before="120" w:after="120"/>
      </w:pPr>
      <w:r w:rsidRPr="00C31391">
        <w:t>(3)</w:t>
      </w:r>
      <w:r>
        <w:t xml:space="preserve"> </w:t>
      </w:r>
      <w:r w:rsidRPr="00C31391">
        <w:t>Pokud</w:t>
      </w:r>
      <w:r>
        <w:t xml:space="preserve"> </w:t>
      </w:r>
      <w:r w:rsidRPr="00C31391">
        <w:t>byl</w:t>
      </w:r>
      <w:r>
        <w:t xml:space="preserve"> </w:t>
      </w:r>
      <w:r w:rsidRPr="00C31391">
        <w:t>vlastník</w:t>
      </w:r>
      <w:r>
        <w:t xml:space="preserve"> </w:t>
      </w:r>
      <w:r w:rsidRPr="00C31391">
        <w:t>nebo</w:t>
      </w:r>
      <w:r>
        <w:t xml:space="preserve"> </w:t>
      </w:r>
      <w:r w:rsidRPr="00C31391">
        <w:t>uživatel</w:t>
      </w:r>
      <w:r>
        <w:t xml:space="preserve"> </w:t>
      </w:r>
      <w:r w:rsidRPr="00C31391">
        <w:t>nemovitosti</w:t>
      </w:r>
      <w:r>
        <w:t xml:space="preserve"> </w:t>
      </w:r>
      <w:r w:rsidRPr="00C31391">
        <w:t>v</w:t>
      </w:r>
      <w:r>
        <w:t xml:space="preserve"> </w:t>
      </w:r>
      <w:r w:rsidRPr="00C31391">
        <w:t>důsledku</w:t>
      </w:r>
      <w:r>
        <w:t xml:space="preserve"> </w:t>
      </w:r>
      <w:r w:rsidRPr="00C31391">
        <w:t>výkonu</w:t>
      </w:r>
      <w:r>
        <w:t xml:space="preserve"> </w:t>
      </w:r>
      <w:r w:rsidRPr="00C31391">
        <w:t>práv</w:t>
      </w:r>
      <w:r>
        <w:t xml:space="preserve"> </w:t>
      </w:r>
      <w:r w:rsidRPr="00C31391">
        <w:t>provozovatele</w:t>
      </w:r>
      <w:r>
        <w:t xml:space="preserve"> </w:t>
      </w:r>
      <w:r w:rsidRPr="00C31391">
        <w:t>zásobníku</w:t>
      </w:r>
      <w:r>
        <w:t xml:space="preserve"> </w:t>
      </w:r>
      <w:r w:rsidRPr="00C31391">
        <w:t>plynu</w:t>
      </w:r>
      <w:r>
        <w:t xml:space="preserve"> </w:t>
      </w:r>
      <w:r w:rsidRPr="00C31391">
        <w:t>podle</w:t>
      </w:r>
      <w:r>
        <w:t xml:space="preserve"> </w:t>
      </w:r>
      <w:r w:rsidRPr="00C31391">
        <w:t>odstavce</w:t>
      </w:r>
      <w:r>
        <w:t xml:space="preserve"> </w:t>
      </w:r>
      <w:r w:rsidRPr="00C31391">
        <w:t>1</w:t>
      </w:r>
      <w:r>
        <w:t xml:space="preserve"> </w:t>
      </w:r>
      <w:r w:rsidRPr="00C31391">
        <w:t>písm.</w:t>
      </w:r>
      <w:r>
        <w:t xml:space="preserve"> </w:t>
      </w:r>
      <w:r w:rsidRPr="00C31391">
        <w:t>a)</w:t>
      </w:r>
      <w:r>
        <w:t xml:space="preserve"> </w:t>
      </w:r>
      <w:r w:rsidRPr="00C31391">
        <w:t>až</w:t>
      </w:r>
      <w:r>
        <w:t xml:space="preserve"> </w:t>
      </w:r>
      <w:r w:rsidRPr="00C31391">
        <w:t>e)</w:t>
      </w:r>
      <w:r>
        <w:t xml:space="preserve"> </w:t>
      </w:r>
      <w:r w:rsidRPr="00C31391">
        <w:t>omezen</w:t>
      </w:r>
      <w:r>
        <w:t xml:space="preserve"> </w:t>
      </w:r>
      <w:r w:rsidRPr="00C31391">
        <w:t>v</w:t>
      </w:r>
      <w:r>
        <w:t xml:space="preserve"> </w:t>
      </w:r>
      <w:r w:rsidRPr="00C31391">
        <w:t>obvyklém</w:t>
      </w:r>
      <w:r>
        <w:t xml:space="preserve"> </w:t>
      </w:r>
      <w:r w:rsidRPr="00C31391">
        <w:t>užívání</w:t>
      </w:r>
      <w:r>
        <w:t xml:space="preserve"> </w:t>
      </w:r>
      <w:r w:rsidRPr="00C31391">
        <w:t>nemovitosti</w:t>
      </w:r>
      <w:r>
        <w:t xml:space="preserve"> </w:t>
      </w:r>
      <w:r w:rsidRPr="00C31391">
        <w:t>nebo</w:t>
      </w:r>
      <w:r>
        <w:t xml:space="preserve"> </w:t>
      </w:r>
      <w:r w:rsidRPr="00C31391">
        <w:t>mu</w:t>
      </w:r>
      <w:r>
        <w:t xml:space="preserve"> </w:t>
      </w:r>
      <w:r w:rsidRPr="00C31391">
        <w:t>vznikla</w:t>
      </w:r>
      <w:r>
        <w:t xml:space="preserve"> </w:t>
      </w:r>
      <w:r w:rsidRPr="00C31391">
        <w:t>újma</w:t>
      </w:r>
      <w:r>
        <w:t xml:space="preserve"> </w:t>
      </w:r>
      <w:r w:rsidRPr="00C31391">
        <w:t>na</w:t>
      </w:r>
      <w:r>
        <w:t xml:space="preserve"> </w:t>
      </w:r>
      <w:r w:rsidRPr="00C31391">
        <w:t>majetku,</w:t>
      </w:r>
      <w:r>
        <w:t xml:space="preserve"> </w:t>
      </w:r>
      <w:r w:rsidRPr="00C31391">
        <w:t>má</w:t>
      </w:r>
      <w:r>
        <w:t xml:space="preserve"> </w:t>
      </w:r>
      <w:r w:rsidRPr="00C31391">
        <w:t>právo</w:t>
      </w:r>
      <w:r>
        <w:t xml:space="preserve"> </w:t>
      </w:r>
      <w:r w:rsidRPr="00C31391">
        <w:t>na</w:t>
      </w:r>
      <w:r>
        <w:t xml:space="preserve"> </w:t>
      </w:r>
      <w:r w:rsidRPr="00C31391">
        <w:t>přiměřenou</w:t>
      </w:r>
      <w:r>
        <w:t xml:space="preserve"> </w:t>
      </w:r>
      <w:r w:rsidRPr="00C31391">
        <w:t>jednorázovou</w:t>
      </w:r>
      <w:r>
        <w:t xml:space="preserve"> </w:t>
      </w:r>
      <w:r w:rsidRPr="00C31391">
        <w:t>náhradu</w:t>
      </w:r>
      <w:r>
        <w:t xml:space="preserve"> </w:t>
      </w:r>
      <w:r w:rsidRPr="008B0305">
        <w:rPr>
          <w:vertAlign w:val="superscript"/>
        </w:rPr>
        <w:t>5)</w:t>
      </w:r>
      <w:r w:rsidRPr="00C31391">
        <w:t>.</w:t>
      </w:r>
      <w:r>
        <w:t xml:space="preserve"> </w:t>
      </w:r>
      <w:r w:rsidRPr="00C31391">
        <w:t>Právo</w:t>
      </w:r>
      <w:r>
        <w:t xml:space="preserve"> </w:t>
      </w:r>
      <w:r w:rsidRPr="00C31391">
        <w:t>na</w:t>
      </w:r>
      <w:r>
        <w:t xml:space="preserve"> </w:t>
      </w:r>
      <w:r w:rsidRPr="00C31391">
        <w:t>náhradu</w:t>
      </w:r>
      <w:r>
        <w:t xml:space="preserve"> </w:t>
      </w:r>
      <w:r w:rsidRPr="00C31391">
        <w:t>podle</w:t>
      </w:r>
      <w:r>
        <w:t xml:space="preserve"> </w:t>
      </w:r>
      <w:r w:rsidRPr="00C31391">
        <w:t>věty</w:t>
      </w:r>
      <w:r>
        <w:t xml:space="preserve"> </w:t>
      </w:r>
      <w:r w:rsidRPr="00C31391">
        <w:t>první</w:t>
      </w:r>
      <w:r>
        <w:t xml:space="preserve"> </w:t>
      </w:r>
      <w:r w:rsidRPr="00C31391">
        <w:t>lze</w:t>
      </w:r>
      <w:r>
        <w:t xml:space="preserve"> </w:t>
      </w:r>
      <w:r w:rsidRPr="00C31391">
        <w:t>uplatnit</w:t>
      </w:r>
      <w:r>
        <w:t xml:space="preserve"> </w:t>
      </w:r>
      <w:r w:rsidRPr="00C31391">
        <w:t>u</w:t>
      </w:r>
      <w:r>
        <w:t xml:space="preserve"> </w:t>
      </w:r>
      <w:r w:rsidRPr="00C31391">
        <w:t>provozovatele</w:t>
      </w:r>
      <w:r>
        <w:t xml:space="preserve"> </w:t>
      </w:r>
      <w:r w:rsidRPr="00C31391">
        <w:t>zásobníku</w:t>
      </w:r>
      <w:r>
        <w:t xml:space="preserve"> </w:t>
      </w:r>
      <w:r w:rsidRPr="00C31391">
        <w:t>plynu</w:t>
      </w:r>
      <w:r>
        <w:t xml:space="preserve"> </w:t>
      </w:r>
      <w:r w:rsidRPr="00C31391">
        <w:t>do</w:t>
      </w:r>
      <w:r>
        <w:t xml:space="preserve"> </w:t>
      </w:r>
      <w:r w:rsidRPr="00C31391">
        <w:t>2</w:t>
      </w:r>
      <w:r>
        <w:t xml:space="preserve"> </w:t>
      </w:r>
      <w:r w:rsidRPr="00C31391">
        <w:t>let</w:t>
      </w:r>
      <w:r>
        <w:t xml:space="preserve"> </w:t>
      </w:r>
      <w:r w:rsidRPr="00C31391">
        <w:t>ode</w:t>
      </w:r>
      <w:r>
        <w:t xml:space="preserve"> </w:t>
      </w:r>
      <w:r w:rsidRPr="00C31391">
        <w:t>dne,</w:t>
      </w:r>
      <w:r>
        <w:t xml:space="preserve"> </w:t>
      </w:r>
      <w:r w:rsidRPr="00C31391">
        <w:t>kdy</w:t>
      </w:r>
      <w:r>
        <w:t xml:space="preserve"> </w:t>
      </w:r>
      <w:r w:rsidRPr="00C31391">
        <w:t>k</w:t>
      </w:r>
      <w:r>
        <w:t xml:space="preserve"> </w:t>
      </w:r>
      <w:r w:rsidRPr="00C31391">
        <w:t>omezení</w:t>
      </w:r>
      <w:r>
        <w:t xml:space="preserve"> </w:t>
      </w:r>
      <w:r w:rsidRPr="00C31391">
        <w:t>nebo</w:t>
      </w:r>
      <w:r>
        <w:t xml:space="preserve"> </w:t>
      </w:r>
      <w:r w:rsidRPr="00C31391">
        <w:t>újmě</w:t>
      </w:r>
      <w:r>
        <w:t xml:space="preserve"> </w:t>
      </w:r>
      <w:r w:rsidRPr="00C31391">
        <w:t>došlo,</w:t>
      </w:r>
      <w:r>
        <w:t xml:space="preserve"> </w:t>
      </w:r>
      <w:r w:rsidRPr="00C31391">
        <w:t>jinak</w:t>
      </w:r>
      <w:r>
        <w:t xml:space="preserve"> </w:t>
      </w:r>
      <w:r w:rsidRPr="00C31391">
        <w:t>právo</w:t>
      </w:r>
      <w:r>
        <w:t xml:space="preserve"> </w:t>
      </w:r>
      <w:r w:rsidRPr="00C31391">
        <w:t>zaniká.</w:t>
      </w:r>
    </w:p>
    <w:p w14:paraId="28F20C1F" w14:textId="77777777" w:rsidR="00C15607" w:rsidRDefault="00C15607" w:rsidP="0010420C">
      <w:pPr>
        <w:pStyle w:val="Textparagrafu"/>
        <w:tabs>
          <w:tab w:val="left" w:pos="392"/>
          <w:tab w:val="left" w:pos="840"/>
        </w:tabs>
        <w:spacing w:before="120" w:after="120"/>
      </w:pPr>
      <w:r w:rsidRPr="00C31391">
        <w:t>(4)</w:t>
      </w:r>
      <w:r>
        <w:t xml:space="preserve"> </w:t>
      </w:r>
      <w:r w:rsidRPr="00C31391">
        <w:t>V</w:t>
      </w:r>
      <w:r>
        <w:t xml:space="preserve"> </w:t>
      </w:r>
      <w:r w:rsidRPr="00C31391">
        <w:t>případech</w:t>
      </w:r>
      <w:r>
        <w:t xml:space="preserve"> </w:t>
      </w:r>
      <w:r w:rsidRPr="00C31391">
        <w:t>uvedených</w:t>
      </w:r>
      <w:r>
        <w:t xml:space="preserve"> </w:t>
      </w:r>
      <w:r w:rsidRPr="00C31391">
        <w:t>v</w:t>
      </w:r>
      <w:r>
        <w:t xml:space="preserve"> </w:t>
      </w:r>
      <w:r w:rsidRPr="00C31391">
        <w:t>odstavci</w:t>
      </w:r>
      <w:r>
        <w:t xml:space="preserve"> </w:t>
      </w:r>
      <w:r w:rsidRPr="00C31391">
        <w:t>1</w:t>
      </w:r>
      <w:r>
        <w:t xml:space="preserve"> </w:t>
      </w:r>
      <w:r w:rsidRPr="00C31391">
        <w:t>písm.</w:t>
      </w:r>
      <w:r>
        <w:t xml:space="preserve"> </w:t>
      </w:r>
      <w:r w:rsidRPr="00C31391">
        <w:t>a)</w:t>
      </w:r>
      <w:r>
        <w:t xml:space="preserve"> </w:t>
      </w:r>
      <w:r w:rsidRPr="00C31391">
        <w:t>až</w:t>
      </w:r>
      <w:r>
        <w:t xml:space="preserve"> </w:t>
      </w:r>
      <w:r w:rsidRPr="00C31391">
        <w:t>e)</w:t>
      </w:r>
      <w:r>
        <w:t xml:space="preserve"> </w:t>
      </w:r>
      <w:r w:rsidRPr="00C31391">
        <w:t>je</w:t>
      </w:r>
      <w:r>
        <w:t xml:space="preserve"> </w:t>
      </w:r>
      <w:r w:rsidRPr="00C31391">
        <w:t>provozovatel</w:t>
      </w:r>
      <w:r>
        <w:t xml:space="preserve"> </w:t>
      </w:r>
      <w:r w:rsidRPr="00C31391">
        <w:t>zásobníku</w:t>
      </w:r>
      <w:r>
        <w:t xml:space="preserve"> </w:t>
      </w:r>
      <w:r w:rsidRPr="00C31391">
        <w:t>plynu</w:t>
      </w:r>
      <w:r>
        <w:t xml:space="preserve"> </w:t>
      </w:r>
      <w:r w:rsidRPr="00C31391">
        <w:t>povinen</w:t>
      </w:r>
      <w:r>
        <w:t xml:space="preserve"> </w:t>
      </w:r>
      <w:r w:rsidRPr="00C31391">
        <w:t>co</w:t>
      </w:r>
      <w:r>
        <w:t xml:space="preserve"> </w:t>
      </w:r>
      <w:r w:rsidRPr="00C31391">
        <w:t>nejvíce</w:t>
      </w:r>
      <w:r>
        <w:t xml:space="preserve"> </w:t>
      </w:r>
      <w:r w:rsidRPr="00C31391">
        <w:t>šetřit</w:t>
      </w:r>
      <w:r>
        <w:t xml:space="preserve"> </w:t>
      </w:r>
      <w:r w:rsidRPr="00C31391">
        <w:t>práv</w:t>
      </w:r>
      <w:r>
        <w:t xml:space="preserve"> </w:t>
      </w:r>
      <w:r w:rsidRPr="00C31391">
        <w:t>vlastníků</w:t>
      </w:r>
      <w:r>
        <w:t xml:space="preserve"> </w:t>
      </w:r>
      <w:r w:rsidRPr="00C31391">
        <w:t>dotčených</w:t>
      </w:r>
      <w:r>
        <w:t xml:space="preserve"> </w:t>
      </w:r>
      <w:r w:rsidRPr="00C31391">
        <w:t>nemovitostí</w:t>
      </w:r>
      <w:r>
        <w:t xml:space="preserve"> </w:t>
      </w:r>
      <w:r w:rsidRPr="00C31391">
        <w:t>a</w:t>
      </w:r>
      <w:r>
        <w:t xml:space="preserve"> </w:t>
      </w:r>
      <w:r w:rsidRPr="00C31391">
        <w:t>vstup</w:t>
      </w:r>
      <w:r>
        <w:t xml:space="preserve"> </w:t>
      </w:r>
      <w:r w:rsidRPr="00C31391">
        <w:t>na</w:t>
      </w:r>
      <w:r>
        <w:t xml:space="preserve"> </w:t>
      </w:r>
      <w:r w:rsidRPr="00C31391">
        <w:t>jejich</w:t>
      </w:r>
      <w:r>
        <w:t xml:space="preserve"> </w:t>
      </w:r>
      <w:r w:rsidRPr="00C31391">
        <w:t>nemovitosti</w:t>
      </w:r>
      <w:r>
        <w:t xml:space="preserve"> </w:t>
      </w:r>
      <w:r w:rsidRPr="00C31391">
        <w:t>jim</w:t>
      </w:r>
      <w:r>
        <w:t xml:space="preserve"> </w:t>
      </w:r>
      <w:r w:rsidRPr="00C31391">
        <w:t>oznámit.</w:t>
      </w:r>
      <w:r>
        <w:t xml:space="preserve"> </w:t>
      </w:r>
      <w:r w:rsidRPr="00C31391">
        <w:t>Po</w:t>
      </w:r>
      <w:r>
        <w:t xml:space="preserve"> </w:t>
      </w:r>
      <w:r w:rsidRPr="00C31391">
        <w:t>skončení</w:t>
      </w:r>
      <w:r>
        <w:t xml:space="preserve"> </w:t>
      </w:r>
      <w:r w:rsidRPr="00C31391">
        <w:t>prací</w:t>
      </w:r>
      <w:r>
        <w:t xml:space="preserve"> </w:t>
      </w:r>
      <w:r w:rsidRPr="00C31391">
        <w:t>je</w:t>
      </w:r>
      <w:r>
        <w:t xml:space="preserve"> </w:t>
      </w:r>
      <w:r w:rsidRPr="00C31391">
        <w:t>povinen</w:t>
      </w:r>
      <w:r>
        <w:t xml:space="preserve"> </w:t>
      </w:r>
      <w:r w:rsidRPr="00C31391">
        <w:t>uvést</w:t>
      </w:r>
      <w:r>
        <w:t xml:space="preserve"> </w:t>
      </w:r>
      <w:r w:rsidRPr="00C31391">
        <w:t>nemovitosti</w:t>
      </w:r>
      <w:r>
        <w:t xml:space="preserve"> </w:t>
      </w:r>
      <w:r w:rsidRPr="00C31391">
        <w:t>do</w:t>
      </w:r>
      <w:r>
        <w:t xml:space="preserve"> </w:t>
      </w:r>
      <w:r w:rsidRPr="00C31391">
        <w:t>předchozího</w:t>
      </w:r>
      <w:r>
        <w:t xml:space="preserve"> </w:t>
      </w:r>
      <w:r w:rsidRPr="00C31391">
        <w:t>stavu,</w:t>
      </w:r>
      <w:r>
        <w:t xml:space="preserve"> </w:t>
      </w:r>
      <w:r w:rsidRPr="00C31391">
        <w:t>nebo</w:t>
      </w:r>
      <w:r>
        <w:t xml:space="preserve"> </w:t>
      </w:r>
      <w:r w:rsidRPr="00C31391">
        <w:t>není-li</w:t>
      </w:r>
      <w:r>
        <w:t xml:space="preserve"> </w:t>
      </w:r>
      <w:r w:rsidRPr="00C31391">
        <w:t>to</w:t>
      </w:r>
      <w:r>
        <w:t xml:space="preserve"> </w:t>
      </w:r>
      <w:r w:rsidRPr="00C31391">
        <w:t>možné</w:t>
      </w:r>
      <w:r>
        <w:t xml:space="preserve"> </w:t>
      </w:r>
      <w:r w:rsidRPr="00C31391">
        <w:t>s</w:t>
      </w:r>
      <w:r>
        <w:t xml:space="preserve"> </w:t>
      </w:r>
      <w:r w:rsidRPr="00C31391">
        <w:t>ohledem</w:t>
      </w:r>
      <w:r>
        <w:t xml:space="preserve"> </w:t>
      </w:r>
      <w:r w:rsidRPr="00C31391">
        <w:t>na</w:t>
      </w:r>
      <w:r>
        <w:t xml:space="preserve"> </w:t>
      </w:r>
      <w:r w:rsidRPr="00C31391">
        <w:t>povahu</w:t>
      </w:r>
      <w:r>
        <w:t xml:space="preserve"> </w:t>
      </w:r>
      <w:r w:rsidRPr="00C31391">
        <w:t>provedených</w:t>
      </w:r>
      <w:r>
        <w:t xml:space="preserve"> </w:t>
      </w:r>
      <w:r w:rsidRPr="00C31391">
        <w:t>prací,</w:t>
      </w:r>
      <w:r>
        <w:t xml:space="preserve"> </w:t>
      </w:r>
      <w:r w:rsidRPr="00C31391">
        <w:t>do</w:t>
      </w:r>
      <w:r>
        <w:t xml:space="preserve"> </w:t>
      </w:r>
      <w:r w:rsidRPr="00C31391">
        <w:t>stavu</w:t>
      </w:r>
      <w:r>
        <w:t xml:space="preserve"> </w:t>
      </w:r>
      <w:r w:rsidRPr="00C31391">
        <w:t>odpovídajícímu</w:t>
      </w:r>
      <w:r>
        <w:t xml:space="preserve"> </w:t>
      </w:r>
      <w:r w:rsidRPr="00C31391">
        <w:t>předchozímu</w:t>
      </w:r>
      <w:r>
        <w:t xml:space="preserve"> </w:t>
      </w:r>
      <w:r w:rsidRPr="00C31391">
        <w:t>účelu</w:t>
      </w:r>
      <w:r>
        <w:t xml:space="preserve"> </w:t>
      </w:r>
      <w:r w:rsidRPr="00C31391">
        <w:t>či</w:t>
      </w:r>
      <w:r>
        <w:t xml:space="preserve"> </w:t>
      </w:r>
      <w:r w:rsidRPr="00C31391">
        <w:t>užívání</w:t>
      </w:r>
      <w:r>
        <w:t xml:space="preserve"> </w:t>
      </w:r>
      <w:r w:rsidRPr="00C31391">
        <w:t>dotčené</w:t>
      </w:r>
      <w:r>
        <w:t xml:space="preserve"> </w:t>
      </w:r>
      <w:r w:rsidRPr="00C31391">
        <w:t>nemovitosti</w:t>
      </w:r>
      <w:r>
        <w:t xml:space="preserve"> </w:t>
      </w:r>
      <w:r w:rsidRPr="00C31391">
        <w:t>a</w:t>
      </w:r>
      <w:r>
        <w:t xml:space="preserve"> </w:t>
      </w:r>
      <w:r w:rsidRPr="00C31391">
        <w:t>oznámit</w:t>
      </w:r>
      <w:r>
        <w:t xml:space="preserve"> </w:t>
      </w:r>
      <w:r w:rsidRPr="00C31391">
        <w:t>tuto</w:t>
      </w:r>
      <w:r>
        <w:t xml:space="preserve"> </w:t>
      </w:r>
      <w:r w:rsidRPr="00C31391">
        <w:t>skutečnost</w:t>
      </w:r>
      <w:r>
        <w:t xml:space="preserve"> </w:t>
      </w:r>
      <w:r w:rsidRPr="00C31391">
        <w:t>bezprostředně</w:t>
      </w:r>
      <w:r>
        <w:t xml:space="preserve"> </w:t>
      </w:r>
      <w:r w:rsidRPr="00C31391">
        <w:t>vlastníku</w:t>
      </w:r>
      <w:r>
        <w:t xml:space="preserve"> </w:t>
      </w:r>
      <w:r w:rsidRPr="00C31391">
        <w:t>nemovitosti.</w:t>
      </w:r>
      <w:r>
        <w:t xml:space="preserve"> </w:t>
      </w:r>
      <w:r w:rsidRPr="00C31391">
        <w:t>Po</w:t>
      </w:r>
      <w:r>
        <w:t xml:space="preserve"> </w:t>
      </w:r>
      <w:r w:rsidRPr="00C31391">
        <w:t>provedení</w:t>
      </w:r>
      <w:r>
        <w:t xml:space="preserve"> </w:t>
      </w:r>
      <w:r w:rsidRPr="00C31391">
        <w:t>odstranění</w:t>
      </w:r>
      <w:r>
        <w:t xml:space="preserve"> </w:t>
      </w:r>
      <w:r w:rsidRPr="00C31391">
        <w:t>nebo</w:t>
      </w:r>
      <w:r>
        <w:t xml:space="preserve"> </w:t>
      </w:r>
      <w:r w:rsidRPr="00C31391">
        <w:t>okleštění</w:t>
      </w:r>
      <w:r>
        <w:t xml:space="preserve"> </w:t>
      </w:r>
      <w:r w:rsidRPr="00C31391">
        <w:t>stromoví</w:t>
      </w:r>
      <w:r>
        <w:t xml:space="preserve"> </w:t>
      </w:r>
      <w:r w:rsidRPr="00C31391">
        <w:t>je</w:t>
      </w:r>
      <w:r>
        <w:t xml:space="preserve"> </w:t>
      </w:r>
      <w:r w:rsidRPr="00C31391">
        <w:t>povinen</w:t>
      </w:r>
      <w:r>
        <w:t xml:space="preserve"> </w:t>
      </w:r>
      <w:r w:rsidRPr="00C31391">
        <w:t>na</w:t>
      </w:r>
      <w:r>
        <w:t xml:space="preserve"> </w:t>
      </w:r>
      <w:r w:rsidRPr="00C31391">
        <w:t>svůj</w:t>
      </w:r>
      <w:r>
        <w:t xml:space="preserve"> </w:t>
      </w:r>
      <w:r w:rsidRPr="00C31391">
        <w:t>náklad</w:t>
      </w:r>
      <w:r>
        <w:t xml:space="preserve"> </w:t>
      </w:r>
      <w:r w:rsidRPr="00C31391">
        <w:t>provést</w:t>
      </w:r>
      <w:r>
        <w:t xml:space="preserve"> </w:t>
      </w:r>
      <w:r w:rsidRPr="00C31391">
        <w:t>likvidaci</w:t>
      </w:r>
      <w:r>
        <w:t xml:space="preserve"> </w:t>
      </w:r>
      <w:r w:rsidRPr="00C31391">
        <w:t>vzniklého</w:t>
      </w:r>
      <w:r>
        <w:t xml:space="preserve"> </w:t>
      </w:r>
      <w:r w:rsidRPr="00C31391">
        <w:t>klestu</w:t>
      </w:r>
      <w:r>
        <w:t xml:space="preserve"> </w:t>
      </w:r>
      <w:r w:rsidRPr="00C31391">
        <w:t>a</w:t>
      </w:r>
      <w:r>
        <w:t xml:space="preserve"> </w:t>
      </w:r>
      <w:r w:rsidRPr="00C31391">
        <w:t>zbytků</w:t>
      </w:r>
      <w:r>
        <w:t xml:space="preserve"> </w:t>
      </w:r>
      <w:r w:rsidRPr="00C31391">
        <w:t>po</w:t>
      </w:r>
      <w:r>
        <w:t xml:space="preserve"> </w:t>
      </w:r>
      <w:r w:rsidRPr="00C31391">
        <w:t>těžbě.</w:t>
      </w:r>
    </w:p>
    <w:p w14:paraId="68C7D4F4" w14:textId="77777777" w:rsidR="00C15607" w:rsidRDefault="00C15607" w:rsidP="0010420C">
      <w:pPr>
        <w:pStyle w:val="Textparagrafu"/>
        <w:tabs>
          <w:tab w:val="left" w:pos="392"/>
          <w:tab w:val="left" w:pos="840"/>
        </w:tabs>
        <w:spacing w:before="120" w:after="120"/>
      </w:pPr>
      <w:r w:rsidRPr="00C31391">
        <w:t>(5)</w:t>
      </w:r>
      <w:r>
        <w:t xml:space="preserve"> </w:t>
      </w:r>
      <w:r w:rsidRPr="00C31391">
        <w:t>V</w:t>
      </w:r>
      <w:r>
        <w:t xml:space="preserve"> </w:t>
      </w:r>
      <w:r w:rsidRPr="00C31391">
        <w:t>případech</w:t>
      </w:r>
      <w:r>
        <w:t xml:space="preserve"> </w:t>
      </w:r>
      <w:r w:rsidRPr="00C31391">
        <w:t>uvedených</w:t>
      </w:r>
      <w:r>
        <w:t xml:space="preserve"> </w:t>
      </w:r>
      <w:r w:rsidRPr="00C31391">
        <w:t>v</w:t>
      </w:r>
      <w:r>
        <w:t xml:space="preserve"> </w:t>
      </w:r>
      <w:r w:rsidRPr="00C31391">
        <w:t>odstavci</w:t>
      </w:r>
      <w:r>
        <w:t xml:space="preserve"> </w:t>
      </w:r>
      <w:r w:rsidRPr="00C31391">
        <w:t>1</w:t>
      </w:r>
      <w:r>
        <w:t xml:space="preserve"> </w:t>
      </w:r>
      <w:r w:rsidRPr="00C31391">
        <w:t>písm.</w:t>
      </w:r>
      <w:r>
        <w:t xml:space="preserve"> </w:t>
      </w:r>
      <w:r w:rsidRPr="00C31391">
        <w:t>f)</w:t>
      </w:r>
      <w:r>
        <w:t xml:space="preserve"> </w:t>
      </w:r>
      <w:r w:rsidRPr="00C31391">
        <w:t>bodu</w:t>
      </w:r>
      <w:r>
        <w:t xml:space="preserve"> </w:t>
      </w:r>
      <w:r w:rsidRPr="00C31391">
        <w:t>3</w:t>
      </w:r>
      <w:r>
        <w:t xml:space="preserve"> </w:t>
      </w:r>
      <w:r w:rsidRPr="00C31391">
        <w:t>je</w:t>
      </w:r>
      <w:r>
        <w:t xml:space="preserve"> </w:t>
      </w:r>
      <w:r w:rsidRPr="00C31391">
        <w:t>provozovatel</w:t>
      </w:r>
      <w:r>
        <w:t xml:space="preserve"> </w:t>
      </w:r>
      <w:r w:rsidRPr="00C31391">
        <w:t>zásobníku</w:t>
      </w:r>
      <w:r>
        <w:t xml:space="preserve"> </w:t>
      </w:r>
      <w:r w:rsidRPr="00C31391">
        <w:t>plynu</w:t>
      </w:r>
      <w:r>
        <w:t xml:space="preserve"> </w:t>
      </w:r>
      <w:r w:rsidRPr="00C31391">
        <w:t>povinen</w:t>
      </w:r>
      <w:r>
        <w:t xml:space="preserve"> </w:t>
      </w:r>
      <w:r w:rsidRPr="00C31391">
        <w:t>písemně</w:t>
      </w:r>
      <w:r>
        <w:t xml:space="preserve"> </w:t>
      </w:r>
      <w:r w:rsidRPr="00C31391">
        <w:t>oznámit</w:t>
      </w:r>
      <w:r>
        <w:t xml:space="preserve"> </w:t>
      </w:r>
      <w:r w:rsidRPr="00C31391">
        <w:t>zákazníkům,</w:t>
      </w:r>
      <w:r>
        <w:t xml:space="preserve"> </w:t>
      </w:r>
      <w:r w:rsidRPr="00C31391">
        <w:t>pro</w:t>
      </w:r>
      <w:r>
        <w:t xml:space="preserve"> </w:t>
      </w:r>
      <w:r w:rsidRPr="00C31391">
        <w:t>něž</w:t>
      </w:r>
      <w:r>
        <w:t xml:space="preserve"> </w:t>
      </w:r>
      <w:r w:rsidRPr="00C31391">
        <w:t>uskladňuje</w:t>
      </w:r>
      <w:r>
        <w:t xml:space="preserve"> </w:t>
      </w:r>
      <w:r w:rsidRPr="00C31391">
        <w:t>plyn,</w:t>
      </w:r>
      <w:r>
        <w:t xml:space="preserve"> </w:t>
      </w:r>
      <w:r w:rsidRPr="00C31391">
        <w:t>započetí</w:t>
      </w:r>
      <w:r>
        <w:t xml:space="preserve"> </w:t>
      </w:r>
      <w:r w:rsidRPr="00C31391">
        <w:t>a</w:t>
      </w:r>
      <w:r>
        <w:t xml:space="preserve"> </w:t>
      </w:r>
      <w:r w:rsidRPr="00C31391">
        <w:t>skončení</w:t>
      </w:r>
      <w:r>
        <w:t xml:space="preserve"> </w:t>
      </w:r>
      <w:r w:rsidRPr="00C31391">
        <w:t>omezení</w:t>
      </w:r>
      <w:r>
        <w:t xml:space="preserve"> </w:t>
      </w:r>
      <w:r w:rsidRPr="00C31391">
        <w:t>nebo</w:t>
      </w:r>
      <w:r>
        <w:t xml:space="preserve"> </w:t>
      </w:r>
      <w:r w:rsidRPr="00C31391">
        <w:t>přerušení</w:t>
      </w:r>
      <w:r>
        <w:t xml:space="preserve"> </w:t>
      </w:r>
      <w:r w:rsidRPr="00C31391">
        <w:t>činností</w:t>
      </w:r>
      <w:r>
        <w:t xml:space="preserve"> </w:t>
      </w:r>
      <w:r w:rsidRPr="00C31391">
        <w:t>spojených</w:t>
      </w:r>
      <w:r>
        <w:t xml:space="preserve"> </w:t>
      </w:r>
      <w:r w:rsidRPr="00C31391">
        <w:t>s</w:t>
      </w:r>
      <w:r>
        <w:t xml:space="preserve"> </w:t>
      </w:r>
      <w:r w:rsidRPr="00C31391">
        <w:t>uskladňováním</w:t>
      </w:r>
      <w:r>
        <w:t xml:space="preserve"> </w:t>
      </w:r>
      <w:r w:rsidRPr="00C31391">
        <w:t>plynu,</w:t>
      </w:r>
      <w:r>
        <w:t xml:space="preserve"> </w:t>
      </w:r>
      <w:r w:rsidRPr="00C31391">
        <w:t>nejméně</w:t>
      </w:r>
      <w:r>
        <w:t xml:space="preserve"> </w:t>
      </w:r>
      <w:r w:rsidRPr="00C31391">
        <w:t>však</w:t>
      </w:r>
      <w:r>
        <w:t xml:space="preserve"> </w:t>
      </w:r>
      <w:r w:rsidRPr="00C31391">
        <w:t>30</w:t>
      </w:r>
      <w:r>
        <w:t xml:space="preserve"> </w:t>
      </w:r>
      <w:r w:rsidRPr="00C31391">
        <w:t>dnů</w:t>
      </w:r>
      <w:r>
        <w:t xml:space="preserve"> </w:t>
      </w:r>
      <w:r w:rsidRPr="00C31391">
        <w:t>předem.</w:t>
      </w:r>
    </w:p>
    <w:p w14:paraId="554190B9" w14:textId="77777777" w:rsidR="00C15607" w:rsidRDefault="00C15607" w:rsidP="0010420C">
      <w:pPr>
        <w:pStyle w:val="Textparagrafu"/>
        <w:tabs>
          <w:tab w:val="left" w:pos="392"/>
          <w:tab w:val="left" w:pos="840"/>
        </w:tabs>
        <w:spacing w:before="120" w:after="120"/>
      </w:pPr>
      <w:r w:rsidRPr="00C31391">
        <w:t>(6)</w:t>
      </w:r>
      <w:r>
        <w:t xml:space="preserve"> </w:t>
      </w:r>
      <w:r w:rsidRPr="00C31391">
        <w:t>V</w:t>
      </w:r>
      <w:r>
        <w:t xml:space="preserve"> </w:t>
      </w:r>
      <w:r w:rsidRPr="00C31391">
        <w:t>případech</w:t>
      </w:r>
      <w:r>
        <w:t xml:space="preserve"> </w:t>
      </w:r>
      <w:r w:rsidRPr="00C31391">
        <w:t>uvedených</w:t>
      </w:r>
      <w:r>
        <w:t xml:space="preserve"> </w:t>
      </w:r>
      <w:r w:rsidRPr="00C31391">
        <w:t>v</w:t>
      </w:r>
      <w:r>
        <w:t xml:space="preserve"> </w:t>
      </w:r>
      <w:r w:rsidRPr="00C31391">
        <w:t>odstavci</w:t>
      </w:r>
      <w:r>
        <w:t xml:space="preserve"> </w:t>
      </w:r>
      <w:r w:rsidRPr="00C31391">
        <w:t>1</w:t>
      </w:r>
      <w:r>
        <w:t xml:space="preserve"> </w:t>
      </w:r>
      <w:r w:rsidRPr="00C31391">
        <w:t>písm.</w:t>
      </w:r>
      <w:r>
        <w:t xml:space="preserve"> </w:t>
      </w:r>
      <w:r w:rsidRPr="00C31391">
        <w:t>f)</w:t>
      </w:r>
      <w:r>
        <w:t xml:space="preserve"> </w:t>
      </w:r>
      <w:r w:rsidRPr="00C31391">
        <w:t>je</w:t>
      </w:r>
      <w:r>
        <w:t xml:space="preserve"> </w:t>
      </w:r>
      <w:r w:rsidRPr="00C31391">
        <w:t>provozovatel</w:t>
      </w:r>
      <w:r>
        <w:t xml:space="preserve"> </w:t>
      </w:r>
      <w:r w:rsidRPr="00C31391">
        <w:t>zásobníku</w:t>
      </w:r>
      <w:r>
        <w:t xml:space="preserve"> </w:t>
      </w:r>
      <w:r w:rsidRPr="00C31391">
        <w:t>plynu</w:t>
      </w:r>
      <w:r>
        <w:t xml:space="preserve"> </w:t>
      </w:r>
      <w:r w:rsidRPr="00C31391">
        <w:t>povinen</w:t>
      </w:r>
      <w:r>
        <w:t xml:space="preserve"> </w:t>
      </w:r>
      <w:r w:rsidRPr="00C31391">
        <w:t>obnovit</w:t>
      </w:r>
      <w:r>
        <w:t xml:space="preserve"> </w:t>
      </w:r>
      <w:r w:rsidRPr="00C31391">
        <w:t>činnosti</w:t>
      </w:r>
      <w:r>
        <w:t xml:space="preserve"> </w:t>
      </w:r>
      <w:r w:rsidRPr="00C31391">
        <w:t>spojené</w:t>
      </w:r>
      <w:r>
        <w:t xml:space="preserve"> </w:t>
      </w:r>
      <w:r w:rsidRPr="00C31391">
        <w:t>s</w:t>
      </w:r>
      <w:r>
        <w:t xml:space="preserve"> </w:t>
      </w:r>
      <w:r w:rsidRPr="00C31391">
        <w:t>uskladňováním</w:t>
      </w:r>
      <w:r>
        <w:t xml:space="preserve"> </w:t>
      </w:r>
      <w:r w:rsidRPr="00C31391">
        <w:t>plynu</w:t>
      </w:r>
      <w:r>
        <w:t xml:space="preserve"> </w:t>
      </w:r>
      <w:r w:rsidRPr="00C31391">
        <w:t>bezprostředně</w:t>
      </w:r>
      <w:r>
        <w:t xml:space="preserve"> </w:t>
      </w:r>
      <w:r w:rsidRPr="00C31391">
        <w:t>po</w:t>
      </w:r>
      <w:r>
        <w:t xml:space="preserve"> </w:t>
      </w:r>
      <w:r w:rsidRPr="00C31391">
        <w:t>odstranění</w:t>
      </w:r>
      <w:r>
        <w:t xml:space="preserve"> </w:t>
      </w:r>
      <w:r w:rsidRPr="00C31391">
        <w:t>příčin,</w:t>
      </w:r>
      <w:r>
        <w:t xml:space="preserve"> </w:t>
      </w:r>
      <w:r w:rsidRPr="00C31391">
        <w:t>které</w:t>
      </w:r>
      <w:r>
        <w:t xml:space="preserve"> </w:t>
      </w:r>
      <w:r w:rsidRPr="00C31391">
        <w:t>vedly</w:t>
      </w:r>
      <w:r>
        <w:t xml:space="preserve"> </w:t>
      </w:r>
      <w:r w:rsidRPr="00C31391">
        <w:t>k</w:t>
      </w:r>
      <w:r>
        <w:t xml:space="preserve"> </w:t>
      </w:r>
      <w:r w:rsidRPr="00C31391">
        <w:t>jejímu</w:t>
      </w:r>
      <w:r>
        <w:t xml:space="preserve"> </w:t>
      </w:r>
      <w:r w:rsidRPr="00C31391">
        <w:t>omezení</w:t>
      </w:r>
      <w:r>
        <w:t xml:space="preserve"> </w:t>
      </w:r>
      <w:r w:rsidRPr="00C31391">
        <w:t>nebo</w:t>
      </w:r>
      <w:r>
        <w:t xml:space="preserve"> </w:t>
      </w:r>
      <w:r w:rsidRPr="00C31391">
        <w:t>přerušení.</w:t>
      </w:r>
    </w:p>
    <w:p w14:paraId="4F59DB41" w14:textId="77777777" w:rsidR="00C15607" w:rsidRDefault="00C15607" w:rsidP="0010420C">
      <w:pPr>
        <w:pStyle w:val="Textparagrafu"/>
        <w:tabs>
          <w:tab w:val="left" w:pos="392"/>
          <w:tab w:val="left" w:pos="840"/>
        </w:tabs>
        <w:spacing w:before="120" w:after="120"/>
      </w:pPr>
      <w:r w:rsidRPr="00C31391">
        <w:t>(7)</w:t>
      </w:r>
      <w:r>
        <w:t xml:space="preserve"> </w:t>
      </w:r>
      <w:r w:rsidRPr="00C31391">
        <w:t>V</w:t>
      </w:r>
      <w:r>
        <w:t xml:space="preserve"> </w:t>
      </w:r>
      <w:r w:rsidRPr="00C31391">
        <w:t>případech</w:t>
      </w:r>
      <w:r>
        <w:t xml:space="preserve"> </w:t>
      </w:r>
      <w:r w:rsidRPr="00C31391">
        <w:t>uvedených</w:t>
      </w:r>
      <w:r>
        <w:t xml:space="preserve"> </w:t>
      </w:r>
      <w:r w:rsidRPr="00C31391">
        <w:t>v</w:t>
      </w:r>
      <w:r>
        <w:t xml:space="preserve"> </w:t>
      </w:r>
      <w:r w:rsidRPr="00C31391">
        <w:t>odstavci</w:t>
      </w:r>
      <w:r>
        <w:t xml:space="preserve"> </w:t>
      </w:r>
      <w:r w:rsidRPr="00C31391">
        <w:t>1</w:t>
      </w:r>
      <w:r>
        <w:t xml:space="preserve"> </w:t>
      </w:r>
      <w:r w:rsidRPr="00C31391">
        <w:t>písm.</w:t>
      </w:r>
      <w:r>
        <w:t xml:space="preserve"> </w:t>
      </w:r>
      <w:r w:rsidRPr="00C31391">
        <w:t>f)</w:t>
      </w:r>
      <w:r>
        <w:t xml:space="preserve"> </w:t>
      </w:r>
      <w:r w:rsidRPr="00C31391">
        <w:t>je</w:t>
      </w:r>
      <w:r>
        <w:t xml:space="preserve"> </w:t>
      </w:r>
      <w:r w:rsidRPr="00C31391">
        <w:t>právo</w:t>
      </w:r>
      <w:r>
        <w:t xml:space="preserve"> </w:t>
      </w:r>
      <w:r w:rsidRPr="00C31391">
        <w:t>na</w:t>
      </w:r>
      <w:r>
        <w:t xml:space="preserve"> </w:t>
      </w:r>
      <w:r w:rsidRPr="00C31391">
        <w:t>náhradu</w:t>
      </w:r>
      <w:r>
        <w:t xml:space="preserve"> </w:t>
      </w:r>
      <w:r w:rsidRPr="00C31391">
        <w:t>škody</w:t>
      </w:r>
      <w:r>
        <w:t xml:space="preserve"> </w:t>
      </w:r>
      <w:r w:rsidRPr="00C31391">
        <w:t>vyloučeno.</w:t>
      </w:r>
      <w:r>
        <w:t xml:space="preserve"> </w:t>
      </w:r>
      <w:r w:rsidRPr="00C31391">
        <w:t>To</w:t>
      </w:r>
      <w:r>
        <w:t xml:space="preserve"> </w:t>
      </w:r>
      <w:r w:rsidRPr="00C31391">
        <w:t>neplatí,</w:t>
      </w:r>
      <w:r>
        <w:t xml:space="preserve"> </w:t>
      </w:r>
      <w:r w:rsidRPr="00C31391">
        <w:t>nesplní-li</w:t>
      </w:r>
      <w:r>
        <w:t xml:space="preserve"> </w:t>
      </w:r>
      <w:r w:rsidRPr="00C31391">
        <w:t>provozovatel</w:t>
      </w:r>
      <w:r>
        <w:t xml:space="preserve"> </w:t>
      </w:r>
      <w:r w:rsidRPr="00C31391">
        <w:t>zásobníku</w:t>
      </w:r>
      <w:r>
        <w:t xml:space="preserve"> </w:t>
      </w:r>
      <w:r w:rsidRPr="00C31391">
        <w:t>plynu</w:t>
      </w:r>
      <w:r>
        <w:t xml:space="preserve"> </w:t>
      </w:r>
      <w:r w:rsidRPr="00C31391">
        <w:t>oznamovací</w:t>
      </w:r>
      <w:r>
        <w:t xml:space="preserve"> </w:t>
      </w:r>
      <w:r w:rsidRPr="00C31391">
        <w:t>povinnost</w:t>
      </w:r>
      <w:r>
        <w:t xml:space="preserve"> </w:t>
      </w:r>
      <w:r w:rsidRPr="00C31391">
        <w:t>podle</w:t>
      </w:r>
      <w:r>
        <w:t xml:space="preserve"> </w:t>
      </w:r>
      <w:r w:rsidRPr="00C31391">
        <w:t>odstavce</w:t>
      </w:r>
      <w:r>
        <w:t xml:space="preserve"> </w:t>
      </w:r>
      <w:r w:rsidRPr="00C31391">
        <w:t>5</w:t>
      </w:r>
      <w:r>
        <w:t xml:space="preserve"> </w:t>
      </w:r>
      <w:r w:rsidRPr="00C31391">
        <w:t>nebo</w:t>
      </w:r>
      <w:r>
        <w:t xml:space="preserve"> </w:t>
      </w:r>
      <w:r w:rsidRPr="00C31391">
        <w:t>poruchu</w:t>
      </w:r>
      <w:r>
        <w:t xml:space="preserve"> </w:t>
      </w:r>
      <w:r w:rsidRPr="00C31391">
        <w:t>prokazatelně</w:t>
      </w:r>
      <w:r>
        <w:t xml:space="preserve"> </w:t>
      </w:r>
      <w:r w:rsidRPr="00C31391">
        <w:t>zavinil</w:t>
      </w:r>
      <w:r>
        <w:t xml:space="preserve"> </w:t>
      </w:r>
      <w:r w:rsidRPr="00C31391">
        <w:t>provozovatel</w:t>
      </w:r>
      <w:r>
        <w:t xml:space="preserve"> </w:t>
      </w:r>
      <w:r w:rsidRPr="00C31391">
        <w:t>zásobníku</w:t>
      </w:r>
      <w:r>
        <w:t xml:space="preserve"> </w:t>
      </w:r>
      <w:r w:rsidRPr="00C31391">
        <w:t>plynu.</w:t>
      </w:r>
    </w:p>
    <w:p w14:paraId="453D227B" w14:textId="77777777" w:rsidR="00C15607" w:rsidRDefault="00C15607" w:rsidP="0010420C">
      <w:pPr>
        <w:pStyle w:val="Textparagrafu"/>
        <w:tabs>
          <w:tab w:val="left" w:pos="392"/>
          <w:tab w:val="left" w:pos="840"/>
        </w:tabs>
        <w:spacing w:before="120" w:after="120"/>
      </w:pPr>
      <w:r w:rsidRPr="00C31391">
        <w:t>(8)</w:t>
      </w:r>
      <w:r>
        <w:t xml:space="preserve"> </w:t>
      </w:r>
      <w:r w:rsidRPr="00C31391">
        <w:t>Provozovatel</w:t>
      </w:r>
      <w:r>
        <w:t xml:space="preserve"> </w:t>
      </w:r>
      <w:r w:rsidRPr="00C31391">
        <w:t>zásobníku</w:t>
      </w:r>
      <w:r>
        <w:t xml:space="preserve"> </w:t>
      </w:r>
      <w:r w:rsidRPr="00C31391">
        <w:t>plynu</w:t>
      </w:r>
      <w:r>
        <w:t xml:space="preserve"> </w:t>
      </w:r>
      <w:r w:rsidRPr="00C31391">
        <w:t>je</w:t>
      </w:r>
      <w:r>
        <w:t xml:space="preserve"> </w:t>
      </w:r>
      <w:r w:rsidRPr="00C31391">
        <w:t>dále</w:t>
      </w:r>
      <w:r>
        <w:t xml:space="preserve"> </w:t>
      </w:r>
      <w:r w:rsidRPr="00C31391">
        <w:t>povinen</w:t>
      </w:r>
    </w:p>
    <w:p w14:paraId="5560A8AA" w14:textId="77777777" w:rsidR="00C15607" w:rsidRDefault="00C15607" w:rsidP="002E6AEA">
      <w:pPr>
        <w:pStyle w:val="Textparagrafu"/>
        <w:tabs>
          <w:tab w:val="left" w:pos="426"/>
          <w:tab w:val="left" w:pos="840"/>
        </w:tabs>
        <w:spacing w:before="0"/>
        <w:ind w:left="426" w:hanging="426"/>
      </w:pPr>
      <w:r w:rsidRPr="00C31391">
        <w:t>a)</w:t>
      </w:r>
      <w:r>
        <w:tab/>
      </w:r>
      <w:r w:rsidRPr="00C31391">
        <w:t>zajistit</w:t>
      </w:r>
      <w:r>
        <w:t xml:space="preserve"> </w:t>
      </w:r>
      <w:r w:rsidRPr="00C31391">
        <w:t>bezpečný,</w:t>
      </w:r>
      <w:r>
        <w:t xml:space="preserve"> </w:t>
      </w:r>
      <w:r w:rsidRPr="00C31391">
        <w:t>spolehlivý</w:t>
      </w:r>
      <w:r>
        <w:t xml:space="preserve"> </w:t>
      </w:r>
      <w:r w:rsidRPr="00C31391">
        <w:t>a</w:t>
      </w:r>
      <w:r>
        <w:t xml:space="preserve"> </w:t>
      </w:r>
      <w:r w:rsidRPr="00C31391">
        <w:t>hospodárný</w:t>
      </w:r>
      <w:r>
        <w:t xml:space="preserve"> </w:t>
      </w:r>
      <w:r w:rsidRPr="00C31391">
        <w:t>provoz,</w:t>
      </w:r>
      <w:r>
        <w:t xml:space="preserve"> </w:t>
      </w:r>
      <w:r w:rsidRPr="00C31391">
        <w:t>údržbu,</w:t>
      </w:r>
      <w:r>
        <w:t xml:space="preserve"> </w:t>
      </w:r>
      <w:r w:rsidRPr="00C31391">
        <w:t>obnovu</w:t>
      </w:r>
      <w:r>
        <w:t xml:space="preserve"> </w:t>
      </w:r>
      <w:r w:rsidRPr="00C31391">
        <w:t>a</w:t>
      </w:r>
      <w:r>
        <w:t xml:space="preserve"> </w:t>
      </w:r>
      <w:r w:rsidRPr="00C31391">
        <w:t>rozvoj</w:t>
      </w:r>
      <w:r>
        <w:t xml:space="preserve"> </w:t>
      </w:r>
      <w:r w:rsidRPr="00C31391">
        <w:t>zásobníku</w:t>
      </w:r>
      <w:r>
        <w:t xml:space="preserve"> </w:t>
      </w:r>
      <w:r w:rsidRPr="00C31391">
        <w:t>plynu,</w:t>
      </w:r>
    </w:p>
    <w:p w14:paraId="783375BE" w14:textId="77777777" w:rsidR="00C15607" w:rsidRDefault="00C15607" w:rsidP="002E6AEA">
      <w:pPr>
        <w:pStyle w:val="Textparagrafu"/>
        <w:tabs>
          <w:tab w:val="left" w:pos="426"/>
          <w:tab w:val="left" w:pos="840"/>
        </w:tabs>
        <w:spacing w:before="0"/>
        <w:ind w:left="426" w:hanging="426"/>
      </w:pPr>
      <w:r w:rsidRPr="00C31391">
        <w:t>b)</w:t>
      </w:r>
      <w:r>
        <w:tab/>
      </w:r>
      <w:r w:rsidRPr="00C31391">
        <w:t>zajistit</w:t>
      </w:r>
      <w:r>
        <w:t xml:space="preserve"> </w:t>
      </w:r>
      <w:r w:rsidRPr="00C31391">
        <w:t>uskladňování</w:t>
      </w:r>
      <w:r>
        <w:t xml:space="preserve"> </w:t>
      </w:r>
      <w:r w:rsidRPr="00C31391">
        <w:t>plynu</w:t>
      </w:r>
      <w:r>
        <w:t xml:space="preserve"> </w:t>
      </w:r>
      <w:r w:rsidRPr="00C31391">
        <w:t>na</w:t>
      </w:r>
      <w:r>
        <w:t xml:space="preserve"> </w:t>
      </w:r>
      <w:r w:rsidRPr="00C31391">
        <w:t>základě</w:t>
      </w:r>
      <w:r>
        <w:t xml:space="preserve"> </w:t>
      </w:r>
      <w:r w:rsidRPr="00C31391">
        <w:t>uzavřených</w:t>
      </w:r>
      <w:r>
        <w:t xml:space="preserve"> </w:t>
      </w:r>
      <w:r w:rsidRPr="00C31391">
        <w:t>smluv,</w:t>
      </w:r>
    </w:p>
    <w:p w14:paraId="6939011E" w14:textId="77777777" w:rsidR="00C15607" w:rsidRDefault="00C15607" w:rsidP="002E6AEA">
      <w:pPr>
        <w:pStyle w:val="Textparagrafu"/>
        <w:tabs>
          <w:tab w:val="left" w:pos="426"/>
          <w:tab w:val="left" w:pos="840"/>
        </w:tabs>
        <w:spacing w:before="0"/>
        <w:ind w:left="426" w:hanging="426"/>
      </w:pPr>
      <w:r w:rsidRPr="00C31391">
        <w:t>c)</w:t>
      </w:r>
      <w:r>
        <w:tab/>
      </w:r>
      <w:r w:rsidRPr="00C31391">
        <w:t>uhradit</w:t>
      </w:r>
      <w:r>
        <w:t xml:space="preserve"> </w:t>
      </w:r>
      <w:r w:rsidRPr="00C31391">
        <w:t>provozovateli</w:t>
      </w:r>
      <w:r>
        <w:t xml:space="preserve"> </w:t>
      </w:r>
      <w:r w:rsidRPr="00C31391">
        <w:t>přepravní</w:t>
      </w:r>
      <w:r>
        <w:t xml:space="preserve"> </w:t>
      </w:r>
      <w:r w:rsidRPr="00C31391">
        <w:t>soustavy</w:t>
      </w:r>
      <w:r>
        <w:t xml:space="preserve"> </w:t>
      </w:r>
      <w:r w:rsidRPr="00C31391">
        <w:t>nebo</w:t>
      </w:r>
      <w:r>
        <w:t xml:space="preserve"> </w:t>
      </w:r>
      <w:r w:rsidRPr="00C31391">
        <w:t>provozovateli</w:t>
      </w:r>
      <w:r>
        <w:t xml:space="preserve"> </w:t>
      </w:r>
      <w:r w:rsidRPr="00C31391">
        <w:t>distribuční</w:t>
      </w:r>
      <w:r>
        <w:t xml:space="preserve"> </w:t>
      </w:r>
      <w:r w:rsidRPr="00C31391">
        <w:t>soustavy</w:t>
      </w:r>
      <w:r>
        <w:t xml:space="preserve"> </w:t>
      </w:r>
      <w:r w:rsidRPr="00C31391">
        <w:t>stanovený</w:t>
      </w:r>
      <w:r>
        <w:t xml:space="preserve"> </w:t>
      </w:r>
      <w:r w:rsidRPr="00C31391">
        <w:t>podíl</w:t>
      </w:r>
      <w:r>
        <w:t xml:space="preserve"> </w:t>
      </w:r>
      <w:r w:rsidRPr="00C31391">
        <w:t>na</w:t>
      </w:r>
      <w:r>
        <w:t xml:space="preserve"> </w:t>
      </w:r>
      <w:r w:rsidRPr="00C31391">
        <w:t>oprávněných</w:t>
      </w:r>
      <w:r>
        <w:t xml:space="preserve"> </w:t>
      </w:r>
      <w:r w:rsidRPr="00C31391">
        <w:t>nákladech</w:t>
      </w:r>
      <w:r>
        <w:t xml:space="preserve"> </w:t>
      </w:r>
      <w:r w:rsidRPr="00C31391">
        <w:t>na</w:t>
      </w:r>
      <w:r>
        <w:t xml:space="preserve"> </w:t>
      </w:r>
      <w:r w:rsidRPr="00C31391">
        <w:t>připojení</w:t>
      </w:r>
      <w:r>
        <w:t xml:space="preserve"> </w:t>
      </w:r>
      <w:r w:rsidRPr="00C31391">
        <w:t>svého</w:t>
      </w:r>
      <w:r>
        <w:t xml:space="preserve"> </w:t>
      </w:r>
      <w:r w:rsidRPr="00C31391">
        <w:t>zařízení</w:t>
      </w:r>
      <w:r>
        <w:t xml:space="preserve"> </w:t>
      </w:r>
      <w:r w:rsidRPr="00C31391">
        <w:t>k</w:t>
      </w:r>
      <w:r>
        <w:t xml:space="preserve"> </w:t>
      </w:r>
      <w:r w:rsidRPr="00C31391">
        <w:t>této</w:t>
      </w:r>
      <w:r>
        <w:t xml:space="preserve"> </w:t>
      </w:r>
      <w:r w:rsidRPr="00C31391">
        <w:t>soustavě,</w:t>
      </w:r>
    </w:p>
    <w:p w14:paraId="4AECC8EB" w14:textId="77777777" w:rsidR="00C15607" w:rsidRDefault="00C15607" w:rsidP="002E6AEA">
      <w:pPr>
        <w:pStyle w:val="Textparagrafu"/>
        <w:tabs>
          <w:tab w:val="left" w:pos="426"/>
          <w:tab w:val="left" w:pos="840"/>
        </w:tabs>
        <w:spacing w:before="0"/>
        <w:ind w:left="426" w:hanging="426"/>
      </w:pPr>
      <w:r w:rsidRPr="00C31391">
        <w:t>d)</w:t>
      </w:r>
      <w:r>
        <w:tab/>
      </w:r>
      <w:r w:rsidRPr="00C31391">
        <w:t>poskytovat</w:t>
      </w:r>
      <w:r>
        <w:t xml:space="preserve"> </w:t>
      </w:r>
      <w:r w:rsidRPr="00C31391">
        <w:t>provozovateli</w:t>
      </w:r>
      <w:r>
        <w:t xml:space="preserve"> </w:t>
      </w:r>
      <w:r w:rsidRPr="00C31391">
        <w:t>přepravní</w:t>
      </w:r>
      <w:r>
        <w:t xml:space="preserve"> </w:t>
      </w:r>
      <w:r w:rsidRPr="00C31391">
        <w:t>nebo</w:t>
      </w:r>
      <w:r>
        <w:t xml:space="preserve"> </w:t>
      </w:r>
      <w:r w:rsidRPr="00C31391">
        <w:t>provozovateli</w:t>
      </w:r>
      <w:r>
        <w:t xml:space="preserve"> </w:t>
      </w:r>
      <w:r w:rsidRPr="00C31391">
        <w:t>distribuční</w:t>
      </w:r>
      <w:r>
        <w:t xml:space="preserve"> </w:t>
      </w:r>
      <w:r w:rsidRPr="00C31391">
        <w:t>soustavy,</w:t>
      </w:r>
      <w:r>
        <w:t xml:space="preserve"> </w:t>
      </w:r>
      <w:r w:rsidRPr="00C31391">
        <w:t>na</w:t>
      </w:r>
      <w:r>
        <w:t xml:space="preserve"> </w:t>
      </w:r>
      <w:r w:rsidRPr="00C31391">
        <w:t>kterou</w:t>
      </w:r>
      <w:r>
        <w:t xml:space="preserve"> </w:t>
      </w:r>
      <w:r w:rsidRPr="00C31391">
        <w:t>jsou</w:t>
      </w:r>
      <w:r>
        <w:t xml:space="preserve"> </w:t>
      </w:r>
      <w:r w:rsidRPr="00C31391">
        <w:t>jeho</w:t>
      </w:r>
      <w:r>
        <w:t xml:space="preserve"> </w:t>
      </w:r>
      <w:r w:rsidRPr="00C31391">
        <w:t>zařízení</w:t>
      </w:r>
      <w:r>
        <w:t xml:space="preserve"> </w:t>
      </w:r>
      <w:r w:rsidRPr="00C31391">
        <w:t>pro</w:t>
      </w:r>
      <w:r>
        <w:t xml:space="preserve"> </w:t>
      </w:r>
      <w:r w:rsidRPr="00C31391">
        <w:t>uskladňování</w:t>
      </w:r>
      <w:r>
        <w:t xml:space="preserve"> </w:t>
      </w:r>
      <w:r w:rsidRPr="00C31391">
        <w:t>plynu</w:t>
      </w:r>
      <w:r>
        <w:t xml:space="preserve"> </w:t>
      </w:r>
      <w:r w:rsidRPr="00C31391">
        <w:t>napojena,</w:t>
      </w:r>
      <w:r>
        <w:t xml:space="preserve"> </w:t>
      </w:r>
      <w:r w:rsidRPr="00C31391">
        <w:t>informace</w:t>
      </w:r>
      <w:r>
        <w:t xml:space="preserve"> </w:t>
      </w:r>
      <w:r w:rsidRPr="00C31391">
        <w:t>nutné</w:t>
      </w:r>
      <w:r>
        <w:t xml:space="preserve"> </w:t>
      </w:r>
      <w:r w:rsidRPr="00C31391">
        <w:t>k</w:t>
      </w:r>
      <w:r>
        <w:t xml:space="preserve"> </w:t>
      </w:r>
      <w:r w:rsidRPr="00C31391">
        <w:t>zajištění</w:t>
      </w:r>
      <w:r>
        <w:t xml:space="preserve"> </w:t>
      </w:r>
      <w:r w:rsidRPr="00C31391">
        <w:t>vzájemné</w:t>
      </w:r>
      <w:r>
        <w:t xml:space="preserve"> </w:t>
      </w:r>
      <w:r w:rsidRPr="00C31391">
        <w:t>provozuschopnosti,</w:t>
      </w:r>
    </w:p>
    <w:p w14:paraId="78E4C439" w14:textId="77777777" w:rsidR="00C15607" w:rsidRDefault="00C15607" w:rsidP="002E6AEA">
      <w:pPr>
        <w:pStyle w:val="Textparagrafu"/>
        <w:tabs>
          <w:tab w:val="left" w:pos="426"/>
          <w:tab w:val="left" w:pos="840"/>
        </w:tabs>
        <w:spacing w:before="0"/>
        <w:ind w:left="426" w:hanging="426"/>
      </w:pPr>
      <w:r w:rsidRPr="00C31391">
        <w:t>e)</w:t>
      </w:r>
      <w:r>
        <w:tab/>
      </w:r>
      <w:r w:rsidRPr="00C31391">
        <w:t>vést</w:t>
      </w:r>
      <w:r>
        <w:t xml:space="preserve"> </w:t>
      </w:r>
      <w:r w:rsidRPr="00C31391">
        <w:t>samostatné</w:t>
      </w:r>
      <w:r>
        <w:t xml:space="preserve"> </w:t>
      </w:r>
      <w:r w:rsidRPr="00C31391">
        <w:t>účty</w:t>
      </w:r>
      <w:r>
        <w:t xml:space="preserve"> </w:t>
      </w:r>
      <w:r w:rsidRPr="00C31391">
        <w:t>za</w:t>
      </w:r>
      <w:r>
        <w:t xml:space="preserve"> </w:t>
      </w:r>
      <w:r w:rsidRPr="00C31391">
        <w:t>uskladňování</w:t>
      </w:r>
      <w:r>
        <w:t xml:space="preserve"> </w:t>
      </w:r>
      <w:r w:rsidRPr="00C31391">
        <w:t>plynu,</w:t>
      </w:r>
    </w:p>
    <w:p w14:paraId="7B48AB46" w14:textId="77777777" w:rsidR="00C15607" w:rsidRDefault="00C15607" w:rsidP="002E6AEA">
      <w:pPr>
        <w:pStyle w:val="Textparagrafu"/>
        <w:tabs>
          <w:tab w:val="left" w:pos="426"/>
          <w:tab w:val="left" w:pos="840"/>
        </w:tabs>
        <w:spacing w:before="0"/>
        <w:ind w:left="426" w:hanging="426"/>
      </w:pPr>
      <w:r w:rsidRPr="00C31391">
        <w:t>f)</w:t>
      </w:r>
      <w:r>
        <w:tab/>
      </w:r>
      <w:r w:rsidRPr="00C31391">
        <w:t>vypracovávat</w:t>
      </w:r>
      <w:r>
        <w:t xml:space="preserve"> </w:t>
      </w:r>
      <w:r w:rsidRPr="00C31391">
        <w:t>denní,</w:t>
      </w:r>
      <w:r>
        <w:t xml:space="preserve"> </w:t>
      </w:r>
      <w:r w:rsidRPr="00C31391">
        <w:t>měsíční,</w:t>
      </w:r>
      <w:r>
        <w:t xml:space="preserve"> </w:t>
      </w:r>
      <w:r w:rsidRPr="00C31391">
        <w:t>roční</w:t>
      </w:r>
      <w:r>
        <w:t xml:space="preserve"> </w:t>
      </w:r>
      <w:r w:rsidRPr="00C31391">
        <w:t>a</w:t>
      </w:r>
      <w:r>
        <w:t xml:space="preserve"> </w:t>
      </w:r>
      <w:r w:rsidRPr="00C31391">
        <w:t>desetiletou</w:t>
      </w:r>
      <w:r>
        <w:t xml:space="preserve"> </w:t>
      </w:r>
      <w:r w:rsidRPr="00C31391">
        <w:t>bilanci</w:t>
      </w:r>
      <w:r>
        <w:t xml:space="preserve"> </w:t>
      </w:r>
      <w:r w:rsidRPr="00C31391">
        <w:t>kapacit</w:t>
      </w:r>
      <w:r>
        <w:t xml:space="preserve"> </w:t>
      </w:r>
      <w:r w:rsidRPr="00C31391">
        <w:t>a</w:t>
      </w:r>
      <w:r>
        <w:t xml:space="preserve"> </w:t>
      </w:r>
      <w:r w:rsidRPr="00C31391">
        <w:t>výkonů</w:t>
      </w:r>
      <w:r>
        <w:t xml:space="preserve"> </w:t>
      </w:r>
      <w:r w:rsidRPr="00C31391">
        <w:t>zásobníku</w:t>
      </w:r>
      <w:r>
        <w:t xml:space="preserve"> </w:t>
      </w:r>
      <w:r w:rsidRPr="00C31391">
        <w:t>plynu,</w:t>
      </w:r>
      <w:r>
        <w:t xml:space="preserve"> </w:t>
      </w:r>
      <w:r w:rsidRPr="00C31391">
        <w:t>vyhodnocovat</w:t>
      </w:r>
      <w:r>
        <w:t xml:space="preserve"> </w:t>
      </w:r>
      <w:r w:rsidRPr="00C31391">
        <w:t>ji</w:t>
      </w:r>
      <w:r>
        <w:t xml:space="preserve"> </w:t>
      </w:r>
      <w:r w:rsidRPr="00C31391">
        <w:t>a</w:t>
      </w:r>
      <w:r>
        <w:t xml:space="preserve"> </w:t>
      </w:r>
      <w:r w:rsidRPr="00C31391">
        <w:t>předávat</w:t>
      </w:r>
      <w:r>
        <w:t xml:space="preserve"> </w:t>
      </w:r>
      <w:r w:rsidRPr="00C31391">
        <w:t>operátorovi</w:t>
      </w:r>
      <w:r>
        <w:t xml:space="preserve"> </w:t>
      </w:r>
      <w:r w:rsidRPr="00C31391">
        <w:t>trhu</w:t>
      </w:r>
      <w:r>
        <w:t xml:space="preserve"> </w:t>
      </w:r>
      <w:r w:rsidRPr="00C31391">
        <w:t>a</w:t>
      </w:r>
      <w:r>
        <w:t xml:space="preserve"> </w:t>
      </w:r>
      <w:r w:rsidRPr="00C31391">
        <w:t>provozovateli</w:t>
      </w:r>
      <w:r>
        <w:t xml:space="preserve"> </w:t>
      </w:r>
      <w:r w:rsidRPr="00C31391">
        <w:t>přepravní</w:t>
      </w:r>
      <w:r>
        <w:t xml:space="preserve"> </w:t>
      </w:r>
      <w:r w:rsidRPr="00C31391">
        <w:t>soustavy,</w:t>
      </w:r>
    </w:p>
    <w:p w14:paraId="2DDFA447" w14:textId="77777777" w:rsidR="00C15607" w:rsidRDefault="00C15607" w:rsidP="002E6AEA">
      <w:pPr>
        <w:pStyle w:val="Textparagrafu"/>
        <w:tabs>
          <w:tab w:val="left" w:pos="426"/>
          <w:tab w:val="left" w:pos="840"/>
        </w:tabs>
        <w:spacing w:before="0"/>
        <w:ind w:left="426" w:hanging="426"/>
      </w:pPr>
      <w:r w:rsidRPr="00C31391">
        <w:t>g)</w:t>
      </w:r>
      <w:r>
        <w:tab/>
      </w:r>
      <w:r w:rsidRPr="00C31391">
        <w:t>vypracovat</w:t>
      </w:r>
      <w:r>
        <w:t xml:space="preserve"> </w:t>
      </w:r>
      <w:r w:rsidRPr="00C31391">
        <w:t>do</w:t>
      </w:r>
      <w:r>
        <w:t xml:space="preserve"> </w:t>
      </w:r>
      <w:r w:rsidRPr="00C31391">
        <w:t>6</w:t>
      </w:r>
      <w:r>
        <w:t xml:space="preserve"> </w:t>
      </w:r>
      <w:r w:rsidRPr="00C31391">
        <w:t>měsíců</w:t>
      </w:r>
      <w:r>
        <w:t xml:space="preserve"> </w:t>
      </w:r>
      <w:r w:rsidRPr="00C31391">
        <w:t>po</w:t>
      </w:r>
      <w:r>
        <w:t xml:space="preserve"> </w:t>
      </w:r>
      <w:r w:rsidRPr="00C31391">
        <w:t>udělení</w:t>
      </w:r>
      <w:r>
        <w:t xml:space="preserve"> </w:t>
      </w:r>
      <w:r w:rsidRPr="00C31391">
        <w:t>licence</w:t>
      </w:r>
      <w:r>
        <w:t xml:space="preserve"> </w:t>
      </w:r>
      <w:r w:rsidRPr="00C31391">
        <w:t>na</w:t>
      </w:r>
      <w:r>
        <w:t xml:space="preserve"> </w:t>
      </w:r>
      <w:r w:rsidRPr="00C31391">
        <w:t>uskladňování</w:t>
      </w:r>
      <w:r>
        <w:t xml:space="preserve"> </w:t>
      </w:r>
      <w:r w:rsidRPr="00C31391">
        <w:t>plynu</w:t>
      </w:r>
      <w:r>
        <w:t xml:space="preserve"> </w:t>
      </w:r>
      <w:r w:rsidRPr="00C31391">
        <w:t>havarijní</w:t>
      </w:r>
      <w:r>
        <w:t xml:space="preserve"> </w:t>
      </w:r>
      <w:r w:rsidRPr="00C31391">
        <w:t>plán</w:t>
      </w:r>
      <w:r>
        <w:t xml:space="preserve"> </w:t>
      </w:r>
      <w:r w:rsidRPr="00C31391">
        <w:t>zásobníku</w:t>
      </w:r>
      <w:r>
        <w:t xml:space="preserve"> </w:t>
      </w:r>
      <w:r w:rsidRPr="00C31391">
        <w:t>plynu</w:t>
      </w:r>
      <w:r>
        <w:t xml:space="preserve"> </w:t>
      </w:r>
      <w:r w:rsidRPr="00C31391">
        <w:t>podle</w:t>
      </w:r>
      <w:r>
        <w:t xml:space="preserve"> </w:t>
      </w:r>
      <w:r w:rsidRPr="00C31391">
        <w:t>tohoto</w:t>
      </w:r>
      <w:r>
        <w:t xml:space="preserve"> </w:t>
      </w:r>
      <w:r w:rsidRPr="00C31391">
        <w:t>zákona,</w:t>
      </w:r>
      <w:r>
        <w:t xml:space="preserve"> </w:t>
      </w:r>
      <w:r w:rsidRPr="00C31391">
        <w:t>zaslat</w:t>
      </w:r>
      <w:r>
        <w:t xml:space="preserve"> </w:t>
      </w:r>
      <w:r w:rsidRPr="00C31391">
        <w:t>jej</w:t>
      </w:r>
      <w:r>
        <w:t xml:space="preserve"> </w:t>
      </w:r>
      <w:r w:rsidRPr="00C31391">
        <w:t>ministerstvu</w:t>
      </w:r>
      <w:r>
        <w:t xml:space="preserve"> </w:t>
      </w:r>
      <w:r w:rsidRPr="00C31391">
        <w:t>a</w:t>
      </w:r>
      <w:r>
        <w:t xml:space="preserve"> </w:t>
      </w:r>
      <w:r w:rsidRPr="00C31391">
        <w:t>každoročně</w:t>
      </w:r>
      <w:r>
        <w:t xml:space="preserve"> </w:t>
      </w:r>
      <w:r w:rsidRPr="00C31391">
        <w:t>upřesňovat,</w:t>
      </w:r>
    </w:p>
    <w:p w14:paraId="77ADF767" w14:textId="77777777" w:rsidR="00C15607" w:rsidRDefault="00C15607" w:rsidP="002E6AEA">
      <w:pPr>
        <w:pStyle w:val="Textparagrafu"/>
        <w:tabs>
          <w:tab w:val="left" w:pos="426"/>
          <w:tab w:val="left" w:pos="840"/>
        </w:tabs>
        <w:spacing w:before="0"/>
        <w:ind w:left="426" w:hanging="426"/>
      </w:pPr>
      <w:r w:rsidRPr="00C31391">
        <w:lastRenderedPageBreak/>
        <w:t>h)</w:t>
      </w:r>
      <w:r>
        <w:tab/>
      </w:r>
      <w:r w:rsidRPr="00C31391">
        <w:t>zveřejňovat</w:t>
      </w:r>
      <w:r>
        <w:t xml:space="preserve"> </w:t>
      </w:r>
      <w:r w:rsidRPr="00C31391">
        <w:t>rozsah</w:t>
      </w:r>
      <w:r>
        <w:t xml:space="preserve"> </w:t>
      </w:r>
      <w:r w:rsidRPr="00C31391">
        <w:t>a</w:t>
      </w:r>
      <w:r>
        <w:t xml:space="preserve"> </w:t>
      </w:r>
      <w:r w:rsidRPr="00C31391">
        <w:t>termíny</w:t>
      </w:r>
      <w:r>
        <w:t xml:space="preserve"> </w:t>
      </w:r>
      <w:r w:rsidRPr="00C31391">
        <w:t>odstávek</w:t>
      </w:r>
      <w:r>
        <w:t xml:space="preserve"> </w:t>
      </w:r>
      <w:r w:rsidRPr="00C31391">
        <w:t>zařízení</w:t>
      </w:r>
      <w:r>
        <w:t xml:space="preserve"> </w:t>
      </w:r>
      <w:r w:rsidRPr="00C31391">
        <w:t>pro</w:t>
      </w:r>
      <w:r>
        <w:t xml:space="preserve"> </w:t>
      </w:r>
      <w:r w:rsidRPr="00C31391">
        <w:t>uskladňování</w:t>
      </w:r>
      <w:r>
        <w:t xml:space="preserve"> </w:t>
      </w:r>
      <w:r w:rsidRPr="00C31391">
        <w:t>plynu</w:t>
      </w:r>
      <w:r>
        <w:t xml:space="preserve"> </w:t>
      </w:r>
      <w:r w:rsidRPr="00C31391">
        <w:t>a</w:t>
      </w:r>
      <w:r>
        <w:t xml:space="preserve"> </w:t>
      </w:r>
      <w:r w:rsidRPr="00C31391">
        <w:t>upozorňovat</w:t>
      </w:r>
      <w:r>
        <w:t xml:space="preserve"> </w:t>
      </w:r>
      <w:r w:rsidRPr="00C31391">
        <w:t>na</w:t>
      </w:r>
      <w:r>
        <w:t xml:space="preserve"> </w:t>
      </w:r>
      <w:r w:rsidRPr="00C31391">
        <w:t>předpokládané</w:t>
      </w:r>
      <w:r>
        <w:t xml:space="preserve"> </w:t>
      </w:r>
      <w:r w:rsidRPr="00C31391">
        <w:t>snížení</w:t>
      </w:r>
      <w:r>
        <w:t xml:space="preserve"> </w:t>
      </w:r>
      <w:r w:rsidRPr="00C31391">
        <w:t>uskladňovací</w:t>
      </w:r>
      <w:r>
        <w:t xml:space="preserve"> </w:t>
      </w:r>
      <w:r w:rsidRPr="00C31391">
        <w:t>kapacity,</w:t>
      </w:r>
    </w:p>
    <w:p w14:paraId="67F932C9" w14:textId="77777777" w:rsidR="00C15607" w:rsidRDefault="00C15607" w:rsidP="002E6AEA">
      <w:pPr>
        <w:pStyle w:val="Textparagrafu"/>
        <w:tabs>
          <w:tab w:val="left" w:pos="426"/>
          <w:tab w:val="left" w:pos="840"/>
        </w:tabs>
        <w:spacing w:before="0"/>
        <w:ind w:left="426" w:hanging="426"/>
      </w:pPr>
      <w:r w:rsidRPr="00C31391">
        <w:t>i)</w:t>
      </w:r>
      <w:r>
        <w:tab/>
      </w:r>
      <w:r w:rsidRPr="00C31391">
        <w:t>zřídit</w:t>
      </w:r>
      <w:r>
        <w:t xml:space="preserve"> </w:t>
      </w:r>
      <w:r w:rsidRPr="00C31391">
        <w:t>a</w:t>
      </w:r>
      <w:r>
        <w:t xml:space="preserve"> </w:t>
      </w:r>
      <w:r w:rsidRPr="00C31391">
        <w:t>provozovat</w:t>
      </w:r>
      <w:r>
        <w:t xml:space="preserve"> </w:t>
      </w:r>
      <w:r w:rsidRPr="00C31391">
        <w:t>technický</w:t>
      </w:r>
      <w:r>
        <w:t xml:space="preserve"> </w:t>
      </w:r>
      <w:r w:rsidRPr="00C31391">
        <w:t>dispečink,</w:t>
      </w:r>
      <w:r>
        <w:t xml:space="preserve"> </w:t>
      </w:r>
      <w:r w:rsidRPr="00C31391">
        <w:t>který</w:t>
      </w:r>
      <w:r>
        <w:t xml:space="preserve"> </w:t>
      </w:r>
      <w:r w:rsidRPr="00C31391">
        <w:t>odpovídá</w:t>
      </w:r>
      <w:r>
        <w:t xml:space="preserve"> </w:t>
      </w:r>
      <w:r w:rsidRPr="00C31391">
        <w:t>za</w:t>
      </w:r>
      <w:r>
        <w:t xml:space="preserve"> </w:t>
      </w:r>
      <w:r w:rsidRPr="00C31391">
        <w:t>dispečerské</w:t>
      </w:r>
      <w:r>
        <w:t xml:space="preserve"> </w:t>
      </w:r>
      <w:r w:rsidRPr="00C31391">
        <w:t>řízení</w:t>
      </w:r>
      <w:r>
        <w:t xml:space="preserve"> </w:t>
      </w:r>
      <w:r w:rsidRPr="00C31391">
        <w:t>zásobníku</w:t>
      </w:r>
      <w:r>
        <w:t xml:space="preserve"> </w:t>
      </w:r>
      <w:r w:rsidRPr="00C31391">
        <w:t>plynu,</w:t>
      </w:r>
    </w:p>
    <w:p w14:paraId="5E1E3956" w14:textId="77777777" w:rsidR="00C15607" w:rsidRDefault="00C15607" w:rsidP="002E6AEA">
      <w:pPr>
        <w:pStyle w:val="Textparagrafu"/>
        <w:tabs>
          <w:tab w:val="left" w:pos="426"/>
          <w:tab w:val="left" w:pos="840"/>
        </w:tabs>
        <w:spacing w:before="0"/>
        <w:ind w:left="426" w:hanging="426"/>
      </w:pPr>
      <w:r w:rsidRPr="00C31391">
        <w:t>j)</w:t>
      </w:r>
      <w:r>
        <w:tab/>
      </w:r>
      <w:r w:rsidRPr="00C31391">
        <w:t>zajistit</w:t>
      </w:r>
      <w:r>
        <w:t xml:space="preserve"> </w:t>
      </w:r>
      <w:r w:rsidRPr="00C31391">
        <w:t>neznevýhodňující</w:t>
      </w:r>
      <w:r>
        <w:t xml:space="preserve"> </w:t>
      </w:r>
      <w:r w:rsidRPr="00C31391">
        <w:t>podmínky</w:t>
      </w:r>
      <w:r>
        <w:t xml:space="preserve"> </w:t>
      </w:r>
      <w:r w:rsidRPr="00C31391">
        <w:t>pro</w:t>
      </w:r>
      <w:r>
        <w:t xml:space="preserve"> </w:t>
      </w:r>
      <w:r w:rsidRPr="00C31391">
        <w:t>přístup</w:t>
      </w:r>
      <w:r>
        <w:t xml:space="preserve"> </w:t>
      </w:r>
      <w:r w:rsidRPr="00C31391">
        <w:t>do</w:t>
      </w:r>
      <w:r>
        <w:t xml:space="preserve"> </w:t>
      </w:r>
      <w:r w:rsidRPr="00C31391">
        <w:t>zásobníku</w:t>
      </w:r>
      <w:r>
        <w:t xml:space="preserve"> </w:t>
      </w:r>
      <w:r w:rsidRPr="00C31391">
        <w:t>plynu</w:t>
      </w:r>
      <w:r>
        <w:t xml:space="preserve"> </w:t>
      </w:r>
      <w:r w:rsidRPr="00C31391">
        <w:t>za</w:t>
      </w:r>
      <w:r>
        <w:t xml:space="preserve"> </w:t>
      </w:r>
      <w:r w:rsidRPr="00C31391">
        <w:t>podmínek</w:t>
      </w:r>
      <w:r>
        <w:t xml:space="preserve"> </w:t>
      </w:r>
      <w:r w:rsidRPr="00C31391">
        <w:t>stanovených</w:t>
      </w:r>
      <w:r>
        <w:t xml:space="preserve"> </w:t>
      </w:r>
      <w:r w:rsidRPr="00C31391">
        <w:t>tímto</w:t>
      </w:r>
      <w:r>
        <w:t xml:space="preserve"> </w:t>
      </w:r>
      <w:r w:rsidRPr="00C31391">
        <w:t>zákonem</w:t>
      </w:r>
      <w:r>
        <w:t xml:space="preserve"> </w:t>
      </w:r>
      <w:r w:rsidRPr="00C31391">
        <w:t>a</w:t>
      </w:r>
      <w:r>
        <w:t xml:space="preserve"> </w:t>
      </w:r>
      <w:r w:rsidRPr="00C31391">
        <w:t>umožnit</w:t>
      </w:r>
      <w:r>
        <w:t xml:space="preserve"> </w:t>
      </w:r>
      <w:r w:rsidRPr="00C31391">
        <w:t>přístup</w:t>
      </w:r>
      <w:r>
        <w:t xml:space="preserve"> </w:t>
      </w:r>
      <w:r w:rsidRPr="00C31391">
        <w:t>k</w:t>
      </w:r>
      <w:r>
        <w:t xml:space="preserve"> </w:t>
      </w:r>
      <w:r w:rsidRPr="00C31391">
        <w:t>zásobníku</w:t>
      </w:r>
      <w:r>
        <w:t xml:space="preserve"> </w:t>
      </w:r>
      <w:r w:rsidRPr="00C31391">
        <w:t>plynu</w:t>
      </w:r>
      <w:r>
        <w:t xml:space="preserve"> </w:t>
      </w:r>
      <w:r w:rsidRPr="00C31391">
        <w:t>každému,</w:t>
      </w:r>
      <w:r>
        <w:t xml:space="preserve"> </w:t>
      </w:r>
      <w:r w:rsidRPr="00C31391">
        <w:t>kdo</w:t>
      </w:r>
      <w:r>
        <w:t xml:space="preserve"> </w:t>
      </w:r>
      <w:r w:rsidRPr="00C31391">
        <w:t>o</w:t>
      </w:r>
      <w:r>
        <w:t xml:space="preserve"> </w:t>
      </w:r>
      <w:r w:rsidRPr="00C31391">
        <w:t>to</w:t>
      </w:r>
      <w:r>
        <w:t xml:space="preserve"> </w:t>
      </w:r>
      <w:r w:rsidRPr="00C31391">
        <w:t>požádá</w:t>
      </w:r>
      <w:r>
        <w:t xml:space="preserve"> </w:t>
      </w:r>
      <w:r w:rsidRPr="00C31391">
        <w:t>a</w:t>
      </w:r>
      <w:r>
        <w:t xml:space="preserve"> </w:t>
      </w:r>
      <w:r w:rsidRPr="00C31391">
        <w:t>splňuje</w:t>
      </w:r>
      <w:r>
        <w:t xml:space="preserve"> </w:t>
      </w:r>
      <w:r w:rsidRPr="00C31391">
        <w:t>podmínky</w:t>
      </w:r>
      <w:r>
        <w:t xml:space="preserve"> </w:t>
      </w:r>
      <w:r w:rsidRPr="00C31391">
        <w:t>připojení</w:t>
      </w:r>
      <w:r>
        <w:t xml:space="preserve"> </w:t>
      </w:r>
      <w:r w:rsidRPr="00C31391">
        <w:t>a</w:t>
      </w:r>
      <w:r>
        <w:t xml:space="preserve"> </w:t>
      </w:r>
      <w:r w:rsidRPr="00C31391">
        <w:t>podmínky</w:t>
      </w:r>
      <w:r>
        <w:t xml:space="preserve"> </w:t>
      </w:r>
      <w:r w:rsidRPr="00C31391">
        <w:t>stanovené</w:t>
      </w:r>
      <w:r>
        <w:t xml:space="preserve"> </w:t>
      </w:r>
      <w:r w:rsidRPr="00C31391">
        <w:t>Řádem</w:t>
      </w:r>
      <w:r>
        <w:t xml:space="preserve"> </w:t>
      </w:r>
      <w:r w:rsidRPr="00C31391">
        <w:t>provozovatele</w:t>
      </w:r>
      <w:r>
        <w:t xml:space="preserve"> </w:t>
      </w:r>
      <w:r w:rsidRPr="00C31391">
        <w:t>zásobníku</w:t>
      </w:r>
      <w:r>
        <w:t xml:space="preserve"> </w:t>
      </w:r>
      <w:r w:rsidRPr="00C31391">
        <w:t>plynu,</w:t>
      </w:r>
      <w:r>
        <w:t xml:space="preserve"> </w:t>
      </w:r>
      <w:r w:rsidRPr="00C31391">
        <w:t>s</w:t>
      </w:r>
      <w:r>
        <w:t xml:space="preserve"> </w:t>
      </w:r>
      <w:r w:rsidRPr="00C31391">
        <w:t>výjimkou</w:t>
      </w:r>
      <w:r>
        <w:t xml:space="preserve"> </w:t>
      </w:r>
      <w:r w:rsidRPr="00C31391">
        <w:t>případu</w:t>
      </w:r>
      <w:r>
        <w:t xml:space="preserve"> </w:t>
      </w:r>
      <w:r w:rsidRPr="00C31391">
        <w:t>prokazatelného</w:t>
      </w:r>
      <w:r>
        <w:t xml:space="preserve"> </w:t>
      </w:r>
      <w:r w:rsidRPr="00C31391">
        <w:t>nedostatku</w:t>
      </w:r>
      <w:r>
        <w:t xml:space="preserve"> </w:t>
      </w:r>
      <w:r w:rsidRPr="00C31391">
        <w:t>volné</w:t>
      </w:r>
      <w:r>
        <w:t xml:space="preserve"> </w:t>
      </w:r>
      <w:r w:rsidRPr="00C31391">
        <w:t>kapacity</w:t>
      </w:r>
      <w:r>
        <w:t xml:space="preserve"> </w:t>
      </w:r>
      <w:r w:rsidRPr="00C31391">
        <w:t>zařízení</w:t>
      </w:r>
      <w:r>
        <w:t xml:space="preserve"> </w:t>
      </w:r>
      <w:r w:rsidRPr="00C31391">
        <w:t>pro</w:t>
      </w:r>
      <w:r>
        <w:t xml:space="preserve"> </w:t>
      </w:r>
      <w:r w:rsidRPr="00C31391">
        <w:t>uskladňování</w:t>
      </w:r>
      <w:r>
        <w:t xml:space="preserve"> </w:t>
      </w:r>
      <w:r w:rsidRPr="00C31391">
        <w:t>plynu</w:t>
      </w:r>
      <w:r>
        <w:t xml:space="preserve"> </w:t>
      </w:r>
      <w:r w:rsidRPr="00C31391">
        <w:t>nebo</w:t>
      </w:r>
      <w:r>
        <w:t xml:space="preserve"> </w:t>
      </w:r>
      <w:r w:rsidRPr="00C31391">
        <w:t>při</w:t>
      </w:r>
      <w:r>
        <w:t xml:space="preserve"> </w:t>
      </w:r>
      <w:r w:rsidRPr="00C31391">
        <w:t>ohrožení</w:t>
      </w:r>
      <w:r>
        <w:t xml:space="preserve"> </w:t>
      </w:r>
      <w:r w:rsidRPr="00C31391">
        <w:t>spolehlivého</w:t>
      </w:r>
      <w:r>
        <w:t xml:space="preserve"> </w:t>
      </w:r>
      <w:r w:rsidRPr="00C31391">
        <w:t>a</w:t>
      </w:r>
      <w:r>
        <w:t xml:space="preserve"> </w:t>
      </w:r>
      <w:r w:rsidRPr="00C31391">
        <w:t>bezpečného</w:t>
      </w:r>
      <w:r>
        <w:t xml:space="preserve"> </w:t>
      </w:r>
      <w:r w:rsidRPr="00C31391">
        <w:t>provozu</w:t>
      </w:r>
      <w:r>
        <w:t xml:space="preserve"> </w:t>
      </w:r>
      <w:r w:rsidRPr="00C31391">
        <w:t>zásobníků</w:t>
      </w:r>
      <w:r>
        <w:t xml:space="preserve"> </w:t>
      </w:r>
      <w:r w:rsidRPr="00C31391">
        <w:t>plynu;</w:t>
      </w:r>
      <w:r>
        <w:t xml:space="preserve"> </w:t>
      </w:r>
      <w:r w:rsidRPr="00C31391">
        <w:t>případné</w:t>
      </w:r>
      <w:r>
        <w:t xml:space="preserve"> </w:t>
      </w:r>
      <w:r w:rsidRPr="00C31391">
        <w:t>odmítnutí</w:t>
      </w:r>
      <w:r>
        <w:t xml:space="preserve"> </w:t>
      </w:r>
      <w:r w:rsidRPr="00C31391">
        <w:t>připojení</w:t>
      </w:r>
      <w:r>
        <w:t xml:space="preserve"> </w:t>
      </w:r>
      <w:r w:rsidRPr="00C31391">
        <w:t>a</w:t>
      </w:r>
      <w:r>
        <w:t xml:space="preserve"> </w:t>
      </w:r>
      <w:r w:rsidRPr="00C31391">
        <w:t>podmínky</w:t>
      </w:r>
      <w:r>
        <w:t xml:space="preserve"> </w:t>
      </w:r>
      <w:r w:rsidRPr="00C31391">
        <w:t>stanovené</w:t>
      </w:r>
      <w:r>
        <w:t xml:space="preserve"> </w:t>
      </w:r>
      <w:r w:rsidRPr="00C31391">
        <w:t>Řádem</w:t>
      </w:r>
      <w:r>
        <w:t xml:space="preserve"> </w:t>
      </w:r>
      <w:r w:rsidRPr="00C31391">
        <w:t>provozovatele</w:t>
      </w:r>
      <w:r>
        <w:t xml:space="preserve"> </w:t>
      </w:r>
      <w:r w:rsidRPr="00C31391">
        <w:t>zásobníku</w:t>
      </w:r>
      <w:r>
        <w:t xml:space="preserve"> </w:t>
      </w:r>
      <w:r w:rsidRPr="00C31391">
        <w:t>plynu</w:t>
      </w:r>
      <w:r>
        <w:t xml:space="preserve"> </w:t>
      </w:r>
      <w:r w:rsidRPr="00C31391">
        <w:t>k</w:t>
      </w:r>
      <w:r>
        <w:t xml:space="preserve"> </w:t>
      </w:r>
      <w:r w:rsidRPr="00C31391">
        <w:t>zásobníku</w:t>
      </w:r>
      <w:r>
        <w:t xml:space="preserve"> </w:t>
      </w:r>
      <w:r w:rsidRPr="00C31391">
        <w:t>plynu</w:t>
      </w:r>
      <w:r>
        <w:t xml:space="preserve"> </w:t>
      </w:r>
      <w:r w:rsidRPr="00C31391">
        <w:t>musí</w:t>
      </w:r>
      <w:r>
        <w:t xml:space="preserve"> </w:t>
      </w:r>
      <w:r w:rsidRPr="00C31391">
        <w:t>mít</w:t>
      </w:r>
      <w:r>
        <w:t xml:space="preserve"> </w:t>
      </w:r>
      <w:r w:rsidRPr="00C31391">
        <w:t>písemnou</w:t>
      </w:r>
      <w:r>
        <w:t xml:space="preserve"> </w:t>
      </w:r>
      <w:r w:rsidRPr="00C31391">
        <w:t>formu</w:t>
      </w:r>
      <w:r>
        <w:t xml:space="preserve"> </w:t>
      </w:r>
      <w:r w:rsidRPr="00C31391">
        <w:t>a</w:t>
      </w:r>
      <w:r>
        <w:t xml:space="preserve"> </w:t>
      </w:r>
      <w:r w:rsidRPr="00C31391">
        <w:t>musí</w:t>
      </w:r>
      <w:r>
        <w:t xml:space="preserve"> </w:t>
      </w:r>
      <w:r w:rsidRPr="00C31391">
        <w:t>být</w:t>
      </w:r>
      <w:r>
        <w:t xml:space="preserve"> </w:t>
      </w:r>
      <w:r w:rsidRPr="00C31391">
        <w:t>odůvodněno,</w:t>
      </w:r>
    </w:p>
    <w:p w14:paraId="488A7CCC" w14:textId="77777777" w:rsidR="00C15607" w:rsidRDefault="00C15607" w:rsidP="002E6AEA">
      <w:pPr>
        <w:pStyle w:val="Textparagrafu"/>
        <w:tabs>
          <w:tab w:val="left" w:pos="426"/>
          <w:tab w:val="left" w:pos="840"/>
        </w:tabs>
        <w:spacing w:before="0"/>
        <w:ind w:left="426" w:hanging="426"/>
      </w:pPr>
      <w:r w:rsidRPr="00C31391">
        <w:t>k)</w:t>
      </w:r>
      <w:r>
        <w:tab/>
      </w:r>
      <w:r w:rsidRPr="00C31391">
        <w:t>prodat</w:t>
      </w:r>
      <w:r>
        <w:t xml:space="preserve"> </w:t>
      </w:r>
      <w:r w:rsidRPr="00C31391">
        <w:t>plyn</w:t>
      </w:r>
      <w:r>
        <w:t xml:space="preserve"> </w:t>
      </w:r>
      <w:r w:rsidRPr="00C31391">
        <w:t>účastníka</w:t>
      </w:r>
      <w:r>
        <w:t xml:space="preserve"> </w:t>
      </w:r>
      <w:r w:rsidRPr="00C31391">
        <w:t>trhu</w:t>
      </w:r>
      <w:r>
        <w:t xml:space="preserve"> </w:t>
      </w:r>
      <w:r w:rsidRPr="00C31391">
        <w:t>s</w:t>
      </w:r>
      <w:r>
        <w:t xml:space="preserve"> </w:t>
      </w:r>
      <w:r w:rsidRPr="00C31391">
        <w:t>plynem,</w:t>
      </w:r>
      <w:r>
        <w:t xml:space="preserve"> </w:t>
      </w:r>
      <w:r w:rsidRPr="00C31391">
        <w:t>nebyl-li</w:t>
      </w:r>
      <w:r>
        <w:t xml:space="preserve"> </w:t>
      </w:r>
      <w:r w:rsidRPr="00C31391">
        <w:t>takto</w:t>
      </w:r>
      <w:r>
        <w:t xml:space="preserve"> </w:t>
      </w:r>
      <w:r w:rsidRPr="00C31391">
        <w:t>uskladněný</w:t>
      </w:r>
      <w:r>
        <w:t xml:space="preserve"> </w:t>
      </w:r>
      <w:r w:rsidRPr="00C31391">
        <w:t>plyn</w:t>
      </w:r>
      <w:r>
        <w:t xml:space="preserve"> </w:t>
      </w:r>
      <w:r w:rsidRPr="00C31391">
        <w:t>z</w:t>
      </w:r>
      <w:r>
        <w:t xml:space="preserve"> </w:t>
      </w:r>
      <w:r w:rsidRPr="00C31391">
        <w:t>důvodů</w:t>
      </w:r>
      <w:r>
        <w:t xml:space="preserve"> </w:t>
      </w:r>
      <w:r w:rsidRPr="00C31391">
        <w:t>na</w:t>
      </w:r>
      <w:r>
        <w:t xml:space="preserve"> </w:t>
      </w:r>
      <w:r w:rsidRPr="00C31391">
        <w:t>straně</w:t>
      </w:r>
      <w:r>
        <w:t xml:space="preserve"> </w:t>
      </w:r>
      <w:r w:rsidRPr="00C31391">
        <w:t>tohoto</w:t>
      </w:r>
      <w:r>
        <w:t xml:space="preserve"> </w:t>
      </w:r>
      <w:r w:rsidRPr="00C31391">
        <w:t>účastníka</w:t>
      </w:r>
      <w:r>
        <w:t xml:space="preserve"> </w:t>
      </w:r>
      <w:r w:rsidRPr="00C31391">
        <w:t>trhu</w:t>
      </w:r>
      <w:r>
        <w:t xml:space="preserve"> </w:t>
      </w:r>
      <w:r w:rsidRPr="00C31391">
        <w:t>s</w:t>
      </w:r>
      <w:r>
        <w:t xml:space="preserve"> </w:t>
      </w:r>
      <w:r w:rsidRPr="00C31391">
        <w:t>plynem</w:t>
      </w:r>
      <w:r>
        <w:t xml:space="preserve"> </w:t>
      </w:r>
      <w:r w:rsidRPr="00C31391">
        <w:t>vytěžen</w:t>
      </w:r>
      <w:r>
        <w:t xml:space="preserve"> </w:t>
      </w:r>
      <w:r w:rsidRPr="00C31391">
        <w:t>ze</w:t>
      </w:r>
      <w:r>
        <w:t xml:space="preserve"> </w:t>
      </w:r>
      <w:r w:rsidRPr="00C31391">
        <w:t>zásobníku</w:t>
      </w:r>
      <w:r>
        <w:t xml:space="preserve"> </w:t>
      </w:r>
      <w:r w:rsidRPr="00C31391">
        <w:t>plynu</w:t>
      </w:r>
      <w:r>
        <w:t xml:space="preserve"> </w:t>
      </w:r>
      <w:r w:rsidRPr="00C31391">
        <w:t>do</w:t>
      </w:r>
      <w:r>
        <w:t xml:space="preserve"> </w:t>
      </w:r>
      <w:r w:rsidRPr="00C31391">
        <w:t>zániku</w:t>
      </w:r>
      <w:r>
        <w:t xml:space="preserve"> </w:t>
      </w:r>
      <w:r w:rsidRPr="00C31391">
        <w:t>závazku</w:t>
      </w:r>
      <w:r>
        <w:t xml:space="preserve"> </w:t>
      </w:r>
      <w:r w:rsidRPr="00C31391">
        <w:t>podle</w:t>
      </w:r>
      <w:r>
        <w:t xml:space="preserve"> </w:t>
      </w:r>
      <w:r w:rsidRPr="00C31391">
        <w:t>smlouvy</w:t>
      </w:r>
      <w:r>
        <w:t xml:space="preserve"> </w:t>
      </w:r>
      <w:r w:rsidRPr="00C31391">
        <w:t>o</w:t>
      </w:r>
      <w:r>
        <w:t xml:space="preserve"> </w:t>
      </w:r>
      <w:r w:rsidRPr="00C31391">
        <w:t>uskladnění</w:t>
      </w:r>
      <w:r>
        <w:t xml:space="preserve"> </w:t>
      </w:r>
      <w:r w:rsidRPr="00C31391">
        <w:t>plynu;</w:t>
      </w:r>
      <w:r>
        <w:t xml:space="preserve"> </w:t>
      </w:r>
      <w:r w:rsidRPr="00C31391">
        <w:t>toto</w:t>
      </w:r>
      <w:r>
        <w:t xml:space="preserve"> </w:t>
      </w:r>
      <w:r w:rsidRPr="00C31391">
        <w:t>není</w:t>
      </w:r>
      <w:r>
        <w:t xml:space="preserve"> </w:t>
      </w:r>
      <w:r w:rsidRPr="00C31391">
        <w:t>považováno</w:t>
      </w:r>
      <w:r>
        <w:t xml:space="preserve"> </w:t>
      </w:r>
      <w:r w:rsidRPr="00C31391">
        <w:t>za</w:t>
      </w:r>
      <w:r>
        <w:t xml:space="preserve"> </w:t>
      </w:r>
      <w:r w:rsidRPr="00C31391">
        <w:t>obchod</w:t>
      </w:r>
      <w:r>
        <w:t xml:space="preserve"> </w:t>
      </w:r>
      <w:r w:rsidRPr="00C31391">
        <w:t>s</w:t>
      </w:r>
      <w:r>
        <w:t xml:space="preserve"> </w:t>
      </w:r>
      <w:r w:rsidRPr="00C31391">
        <w:t>plynem,</w:t>
      </w:r>
    </w:p>
    <w:p w14:paraId="03E26ED0" w14:textId="77777777" w:rsidR="00C15607" w:rsidRDefault="00C15607" w:rsidP="002E6AEA">
      <w:pPr>
        <w:pStyle w:val="Textparagrafu"/>
        <w:tabs>
          <w:tab w:val="left" w:pos="426"/>
          <w:tab w:val="left" w:pos="840"/>
        </w:tabs>
        <w:spacing w:before="0"/>
        <w:ind w:left="426" w:hanging="426"/>
      </w:pPr>
      <w:r w:rsidRPr="00C31391">
        <w:t>l)</w:t>
      </w:r>
      <w:r>
        <w:tab/>
      </w:r>
      <w:r w:rsidRPr="00C31391">
        <w:t>vyhlašovat</w:t>
      </w:r>
      <w:r>
        <w:t xml:space="preserve"> </w:t>
      </w:r>
      <w:r w:rsidRPr="00C31391">
        <w:t>stav</w:t>
      </w:r>
      <w:r>
        <w:t xml:space="preserve"> </w:t>
      </w:r>
      <w:r w:rsidRPr="00C31391">
        <w:t>nouze</w:t>
      </w:r>
      <w:r>
        <w:t xml:space="preserve"> </w:t>
      </w:r>
      <w:r w:rsidRPr="00C31391">
        <w:t>v</w:t>
      </w:r>
      <w:r>
        <w:t xml:space="preserve"> </w:t>
      </w:r>
      <w:r w:rsidRPr="00C31391">
        <w:t>rámci</w:t>
      </w:r>
      <w:r>
        <w:t xml:space="preserve"> </w:t>
      </w:r>
      <w:r w:rsidRPr="00C31391">
        <w:t>zásobníku</w:t>
      </w:r>
      <w:r>
        <w:t xml:space="preserve"> </w:t>
      </w:r>
      <w:r w:rsidRPr="00C31391">
        <w:t>plynu,</w:t>
      </w:r>
    </w:p>
    <w:p w14:paraId="20C1C6BB" w14:textId="77777777" w:rsidR="00C15607" w:rsidRDefault="00C15607" w:rsidP="002E6AEA">
      <w:pPr>
        <w:pStyle w:val="Textparagrafu"/>
        <w:tabs>
          <w:tab w:val="left" w:pos="426"/>
          <w:tab w:val="left" w:pos="840"/>
        </w:tabs>
        <w:spacing w:before="0"/>
        <w:ind w:left="426" w:hanging="426"/>
      </w:pPr>
      <w:r w:rsidRPr="00C31391">
        <w:t>m)</w:t>
      </w:r>
      <w:r>
        <w:tab/>
      </w:r>
      <w:r w:rsidRPr="00C31391">
        <w:t>každoročně</w:t>
      </w:r>
      <w:r>
        <w:t xml:space="preserve"> </w:t>
      </w:r>
      <w:r w:rsidRPr="00C31391">
        <w:t>zpracovávat</w:t>
      </w:r>
      <w:r>
        <w:t xml:space="preserve"> </w:t>
      </w:r>
      <w:r w:rsidRPr="00C31391">
        <w:t>a</w:t>
      </w:r>
      <w:r>
        <w:t xml:space="preserve"> </w:t>
      </w:r>
      <w:r w:rsidRPr="00C31391">
        <w:t>zveřejňovat</w:t>
      </w:r>
      <w:r>
        <w:t xml:space="preserve"> </w:t>
      </w:r>
      <w:r w:rsidRPr="00C31391">
        <w:t>předpokládaný</w:t>
      </w:r>
      <w:r>
        <w:t xml:space="preserve"> </w:t>
      </w:r>
      <w:r w:rsidRPr="00C31391">
        <w:t>rozvoj</w:t>
      </w:r>
      <w:r>
        <w:t xml:space="preserve"> </w:t>
      </w:r>
      <w:r w:rsidRPr="00C31391">
        <w:t>zásobníku</w:t>
      </w:r>
      <w:r>
        <w:t xml:space="preserve"> </w:t>
      </w:r>
      <w:r w:rsidRPr="00C31391">
        <w:t>plynu,</w:t>
      </w:r>
      <w:r>
        <w:t xml:space="preserve"> </w:t>
      </w:r>
      <w:r w:rsidRPr="00C31391">
        <w:t>a</w:t>
      </w:r>
      <w:r>
        <w:t xml:space="preserve"> </w:t>
      </w:r>
      <w:r w:rsidRPr="00C31391">
        <w:t>to</w:t>
      </w:r>
      <w:r>
        <w:t xml:space="preserve"> </w:t>
      </w:r>
      <w:r w:rsidRPr="00C31391">
        <w:t>na</w:t>
      </w:r>
      <w:r>
        <w:t xml:space="preserve"> </w:t>
      </w:r>
      <w:r w:rsidRPr="00C31391">
        <w:t>období</w:t>
      </w:r>
      <w:r>
        <w:t xml:space="preserve"> </w:t>
      </w:r>
      <w:r w:rsidRPr="00C31391">
        <w:t>nejméně</w:t>
      </w:r>
      <w:r>
        <w:t xml:space="preserve"> </w:t>
      </w:r>
      <w:r w:rsidRPr="00C31391">
        <w:t>5</w:t>
      </w:r>
      <w:r>
        <w:t xml:space="preserve"> </w:t>
      </w:r>
      <w:r w:rsidRPr="00C31391">
        <w:t>let,</w:t>
      </w:r>
    </w:p>
    <w:p w14:paraId="44F1AB02" w14:textId="77777777" w:rsidR="00C15607" w:rsidRDefault="00C15607" w:rsidP="002E6AEA">
      <w:pPr>
        <w:pStyle w:val="Textparagrafu"/>
        <w:tabs>
          <w:tab w:val="left" w:pos="426"/>
          <w:tab w:val="left" w:pos="840"/>
        </w:tabs>
        <w:spacing w:before="0"/>
        <w:ind w:left="426" w:hanging="426"/>
      </w:pPr>
      <w:r w:rsidRPr="00C31391">
        <w:t>n)</w:t>
      </w:r>
      <w:r>
        <w:tab/>
      </w:r>
      <w:r w:rsidRPr="00C31391">
        <w:t>zajišťovat</w:t>
      </w:r>
      <w:r>
        <w:t xml:space="preserve"> </w:t>
      </w:r>
      <w:r w:rsidRPr="00C31391">
        <w:t>ochranu</w:t>
      </w:r>
      <w:r>
        <w:t xml:space="preserve"> </w:t>
      </w:r>
      <w:r w:rsidRPr="00C31391">
        <w:t>chráněných</w:t>
      </w:r>
      <w:r>
        <w:t xml:space="preserve"> </w:t>
      </w:r>
      <w:r w:rsidRPr="00C31391">
        <w:t>informací</w:t>
      </w:r>
      <w:r>
        <w:t xml:space="preserve"> </w:t>
      </w:r>
      <w:r w:rsidRPr="00C31391">
        <w:t>a</w:t>
      </w:r>
      <w:r>
        <w:t xml:space="preserve"> </w:t>
      </w:r>
      <w:r w:rsidRPr="00C31391">
        <w:t>zajišťovat,</w:t>
      </w:r>
      <w:r>
        <w:t xml:space="preserve"> </w:t>
      </w:r>
      <w:r w:rsidRPr="00C31391">
        <w:t>aby</w:t>
      </w:r>
      <w:r>
        <w:t xml:space="preserve"> </w:t>
      </w:r>
      <w:r w:rsidRPr="00C31391">
        <w:t>nebyly</w:t>
      </w:r>
      <w:r>
        <w:t xml:space="preserve"> </w:t>
      </w:r>
      <w:r w:rsidRPr="00C31391">
        <w:t>chráněné</w:t>
      </w:r>
      <w:r>
        <w:t xml:space="preserve"> </w:t>
      </w:r>
      <w:r w:rsidRPr="00C31391">
        <w:t>informace</w:t>
      </w:r>
      <w:r>
        <w:t xml:space="preserve"> </w:t>
      </w:r>
      <w:r w:rsidRPr="00C31391">
        <w:t>o</w:t>
      </w:r>
      <w:r>
        <w:t xml:space="preserve"> </w:t>
      </w:r>
      <w:r w:rsidRPr="00C31391">
        <w:t>jeho</w:t>
      </w:r>
      <w:r>
        <w:t xml:space="preserve"> </w:t>
      </w:r>
      <w:r w:rsidRPr="00C31391">
        <w:t>vlastních</w:t>
      </w:r>
      <w:r>
        <w:t xml:space="preserve"> </w:t>
      </w:r>
      <w:r w:rsidRPr="00C31391">
        <w:t>činnostech</w:t>
      </w:r>
      <w:r>
        <w:t xml:space="preserve"> </w:t>
      </w:r>
      <w:r w:rsidRPr="00C31391">
        <w:t>poskytovány</w:t>
      </w:r>
      <w:r>
        <w:t xml:space="preserve"> </w:t>
      </w:r>
      <w:r w:rsidRPr="00C31391">
        <w:t>diskriminačním</w:t>
      </w:r>
      <w:r>
        <w:t xml:space="preserve"> </w:t>
      </w:r>
      <w:r w:rsidRPr="00C31391">
        <w:t>způsobem,</w:t>
      </w:r>
    </w:p>
    <w:p w14:paraId="063A329D" w14:textId="77777777" w:rsidR="00C15607" w:rsidRDefault="00C15607" w:rsidP="002E6AEA">
      <w:pPr>
        <w:pStyle w:val="Textparagrafu"/>
        <w:tabs>
          <w:tab w:val="left" w:pos="426"/>
          <w:tab w:val="left" w:pos="840"/>
        </w:tabs>
        <w:spacing w:before="0"/>
        <w:ind w:left="426" w:hanging="426"/>
      </w:pPr>
      <w:r w:rsidRPr="00C31391">
        <w:t>o)</w:t>
      </w:r>
      <w:r>
        <w:tab/>
      </w:r>
      <w:r w:rsidRPr="00C31391">
        <w:t>zpracovávat</w:t>
      </w:r>
      <w:r>
        <w:t xml:space="preserve"> </w:t>
      </w:r>
      <w:r w:rsidRPr="00C31391">
        <w:t>a</w:t>
      </w:r>
      <w:r>
        <w:t xml:space="preserve"> </w:t>
      </w:r>
      <w:r w:rsidRPr="00C31391">
        <w:t>předkládat</w:t>
      </w:r>
      <w:r>
        <w:t xml:space="preserve"> </w:t>
      </w:r>
      <w:r w:rsidRPr="00C31391">
        <w:t>Energetickému</w:t>
      </w:r>
      <w:r>
        <w:t xml:space="preserve"> </w:t>
      </w:r>
      <w:r w:rsidRPr="00C31391">
        <w:t>regulačnímu</w:t>
      </w:r>
      <w:r>
        <w:t xml:space="preserve"> </w:t>
      </w:r>
      <w:r w:rsidRPr="00C31391">
        <w:t>úřadu</w:t>
      </w:r>
      <w:r>
        <w:t xml:space="preserve"> </w:t>
      </w:r>
      <w:r w:rsidRPr="00C31391">
        <w:t>ke</w:t>
      </w:r>
      <w:r>
        <w:t xml:space="preserve"> </w:t>
      </w:r>
      <w:r w:rsidRPr="00C31391">
        <w:t>schválení</w:t>
      </w:r>
      <w:r>
        <w:t xml:space="preserve"> </w:t>
      </w:r>
      <w:r w:rsidRPr="00C31391">
        <w:t>Řád</w:t>
      </w:r>
      <w:r>
        <w:t xml:space="preserve"> </w:t>
      </w:r>
      <w:r w:rsidRPr="00C31391">
        <w:t>provozovatele</w:t>
      </w:r>
      <w:r>
        <w:t xml:space="preserve"> </w:t>
      </w:r>
      <w:r w:rsidRPr="00C31391">
        <w:t>zásobníku</w:t>
      </w:r>
      <w:r>
        <w:t xml:space="preserve"> </w:t>
      </w:r>
      <w:r w:rsidRPr="00C31391">
        <w:t>plynu,</w:t>
      </w:r>
      <w:r>
        <w:t xml:space="preserve"> </w:t>
      </w:r>
      <w:r w:rsidRPr="00C31391">
        <w:t>po</w:t>
      </w:r>
      <w:r>
        <w:t xml:space="preserve"> </w:t>
      </w:r>
      <w:r w:rsidRPr="00C31391">
        <w:t>schválení</w:t>
      </w:r>
      <w:r>
        <w:t xml:space="preserve"> </w:t>
      </w:r>
      <w:r w:rsidRPr="00C31391">
        <w:t>zajistit</w:t>
      </w:r>
      <w:r>
        <w:t xml:space="preserve"> </w:t>
      </w:r>
      <w:r w:rsidRPr="00C31391">
        <w:t>jeho</w:t>
      </w:r>
      <w:r>
        <w:t xml:space="preserve"> </w:t>
      </w:r>
      <w:r w:rsidRPr="00C31391">
        <w:t>zveřejnění</w:t>
      </w:r>
      <w:r>
        <w:t xml:space="preserve"> </w:t>
      </w:r>
      <w:r w:rsidRPr="00C31391">
        <w:t>a</w:t>
      </w:r>
      <w:r>
        <w:t xml:space="preserve"> </w:t>
      </w:r>
      <w:r w:rsidRPr="00C31391">
        <w:t>vykonávat</w:t>
      </w:r>
      <w:r>
        <w:t xml:space="preserve"> </w:t>
      </w:r>
      <w:r w:rsidRPr="00C31391">
        <w:t>licencovanou</w:t>
      </w:r>
      <w:r>
        <w:t xml:space="preserve"> </w:t>
      </w:r>
      <w:r w:rsidRPr="00C31391">
        <w:t>činnost</w:t>
      </w:r>
      <w:r>
        <w:t xml:space="preserve"> </w:t>
      </w:r>
      <w:r w:rsidRPr="00C31391">
        <w:t>v</w:t>
      </w:r>
      <w:r>
        <w:t xml:space="preserve"> </w:t>
      </w:r>
      <w:r w:rsidRPr="00C31391">
        <w:t>souladu</w:t>
      </w:r>
      <w:r>
        <w:t xml:space="preserve"> </w:t>
      </w:r>
      <w:r w:rsidRPr="00C31391">
        <w:t>s</w:t>
      </w:r>
      <w:r>
        <w:t xml:space="preserve"> </w:t>
      </w:r>
      <w:r w:rsidRPr="00C31391">
        <w:t>Řádem</w:t>
      </w:r>
      <w:r>
        <w:t xml:space="preserve"> </w:t>
      </w:r>
      <w:r w:rsidRPr="00C31391">
        <w:t>provozovatele</w:t>
      </w:r>
      <w:r>
        <w:t xml:space="preserve"> </w:t>
      </w:r>
      <w:r w:rsidRPr="00C31391">
        <w:t>zásobníku</w:t>
      </w:r>
      <w:r>
        <w:t xml:space="preserve"> </w:t>
      </w:r>
      <w:r w:rsidRPr="00C31391">
        <w:t>plynu,</w:t>
      </w:r>
    </w:p>
    <w:p w14:paraId="01B45E12" w14:textId="77777777" w:rsidR="00C15607" w:rsidRDefault="00C15607" w:rsidP="002E6AEA">
      <w:pPr>
        <w:pStyle w:val="Textparagrafu"/>
        <w:tabs>
          <w:tab w:val="left" w:pos="426"/>
          <w:tab w:val="left" w:pos="840"/>
        </w:tabs>
        <w:spacing w:before="0"/>
        <w:ind w:left="426" w:hanging="426"/>
      </w:pPr>
      <w:r w:rsidRPr="00C31391">
        <w:t>p)</w:t>
      </w:r>
      <w:r>
        <w:tab/>
      </w:r>
      <w:r w:rsidRPr="00C31391">
        <w:t>zpracovávat</w:t>
      </w:r>
      <w:r>
        <w:t xml:space="preserve"> </w:t>
      </w:r>
      <w:r w:rsidRPr="00C31391">
        <w:t>a</w:t>
      </w:r>
      <w:r>
        <w:t xml:space="preserve"> </w:t>
      </w:r>
      <w:r w:rsidRPr="00C31391">
        <w:t>předávat</w:t>
      </w:r>
      <w:r>
        <w:t xml:space="preserve"> </w:t>
      </w:r>
      <w:r w:rsidRPr="00C31391">
        <w:t>ministerstvu</w:t>
      </w:r>
      <w:r>
        <w:t xml:space="preserve"> </w:t>
      </w:r>
      <w:r w:rsidRPr="00C31391">
        <w:t>a</w:t>
      </w:r>
      <w:r>
        <w:t xml:space="preserve"> </w:t>
      </w:r>
      <w:r w:rsidRPr="00C31391">
        <w:t>Energetickému</w:t>
      </w:r>
      <w:r>
        <w:t xml:space="preserve"> </w:t>
      </w:r>
      <w:r w:rsidRPr="00C31391">
        <w:t>regulačnímu</w:t>
      </w:r>
      <w:r>
        <w:t xml:space="preserve"> </w:t>
      </w:r>
      <w:r w:rsidRPr="00C31391">
        <w:t>úřadu</w:t>
      </w:r>
      <w:r>
        <w:t xml:space="preserve"> </w:t>
      </w:r>
      <w:r w:rsidRPr="00C31391">
        <w:t>jednou</w:t>
      </w:r>
      <w:r>
        <w:t xml:space="preserve"> </w:t>
      </w:r>
      <w:r w:rsidRPr="00C31391">
        <w:t>ročně,</w:t>
      </w:r>
      <w:r>
        <w:t xml:space="preserve"> </w:t>
      </w:r>
      <w:r w:rsidRPr="00C31391">
        <w:t>nejpozději</w:t>
      </w:r>
      <w:r>
        <w:t xml:space="preserve"> </w:t>
      </w:r>
      <w:r w:rsidRPr="00C31391">
        <w:t>do</w:t>
      </w:r>
      <w:r>
        <w:t xml:space="preserve"> </w:t>
      </w:r>
      <w:r w:rsidRPr="00C31391">
        <w:t>1.</w:t>
      </w:r>
      <w:r>
        <w:t xml:space="preserve"> </w:t>
      </w:r>
      <w:r w:rsidRPr="00C31391">
        <w:t>března</w:t>
      </w:r>
      <w:r>
        <w:t xml:space="preserve"> </w:t>
      </w:r>
      <w:r w:rsidRPr="00C31391">
        <w:t>následujícího</w:t>
      </w:r>
      <w:r>
        <w:t xml:space="preserve"> </w:t>
      </w:r>
      <w:r w:rsidRPr="00C31391">
        <w:t>kalendářního</w:t>
      </w:r>
      <w:r>
        <w:t xml:space="preserve"> </w:t>
      </w:r>
      <w:r w:rsidRPr="00C31391">
        <w:t>roku,</w:t>
      </w:r>
      <w:r>
        <w:t xml:space="preserve"> </w:t>
      </w:r>
      <w:r w:rsidRPr="00C31391">
        <w:t>zprávu</w:t>
      </w:r>
      <w:r>
        <w:t xml:space="preserve"> </w:t>
      </w:r>
      <w:r w:rsidRPr="00C31391">
        <w:t>o</w:t>
      </w:r>
      <w:r>
        <w:t xml:space="preserve"> </w:t>
      </w:r>
      <w:r w:rsidRPr="00C31391">
        <w:t>kvalitě</w:t>
      </w:r>
      <w:r>
        <w:t xml:space="preserve"> </w:t>
      </w:r>
      <w:r w:rsidRPr="00C31391">
        <w:t>a</w:t>
      </w:r>
      <w:r>
        <w:t xml:space="preserve"> </w:t>
      </w:r>
      <w:r w:rsidRPr="00C31391">
        <w:t>úrovni</w:t>
      </w:r>
      <w:r>
        <w:t xml:space="preserve"> </w:t>
      </w:r>
      <w:r w:rsidRPr="00C31391">
        <w:t>údržby</w:t>
      </w:r>
      <w:r>
        <w:t xml:space="preserve"> </w:t>
      </w:r>
      <w:r w:rsidRPr="00C31391">
        <w:t>zařízení</w:t>
      </w:r>
      <w:r>
        <w:t xml:space="preserve"> </w:t>
      </w:r>
      <w:r w:rsidRPr="00C31391">
        <w:t>zásobníku</w:t>
      </w:r>
      <w:r>
        <w:t xml:space="preserve"> </w:t>
      </w:r>
      <w:r w:rsidRPr="00C31391">
        <w:t>plynu,</w:t>
      </w:r>
    </w:p>
    <w:p w14:paraId="7F899261" w14:textId="77777777" w:rsidR="00C15607" w:rsidRDefault="00C15607" w:rsidP="002E6AEA">
      <w:pPr>
        <w:pStyle w:val="Textparagrafu"/>
        <w:tabs>
          <w:tab w:val="left" w:pos="426"/>
          <w:tab w:val="left" w:pos="840"/>
        </w:tabs>
        <w:spacing w:before="0"/>
        <w:ind w:left="426" w:hanging="426"/>
      </w:pPr>
      <w:r w:rsidRPr="00C31391">
        <w:t>q)</w:t>
      </w:r>
      <w:r>
        <w:tab/>
      </w:r>
      <w:r w:rsidRPr="00C31391">
        <w:t>dodržovat</w:t>
      </w:r>
      <w:r>
        <w:t xml:space="preserve"> </w:t>
      </w:r>
      <w:r w:rsidRPr="00C31391">
        <w:t>stanovenou</w:t>
      </w:r>
      <w:r>
        <w:t xml:space="preserve"> </w:t>
      </w:r>
      <w:r w:rsidRPr="00C31391">
        <w:t>kvalitu</w:t>
      </w:r>
      <w:r>
        <w:t xml:space="preserve"> </w:t>
      </w:r>
      <w:r w:rsidRPr="00C31391">
        <w:t>dodávek</w:t>
      </w:r>
      <w:r>
        <w:t xml:space="preserve"> </w:t>
      </w:r>
      <w:r w:rsidRPr="00C31391">
        <w:t>a</w:t>
      </w:r>
      <w:r>
        <w:t xml:space="preserve"> </w:t>
      </w:r>
      <w:r w:rsidRPr="00C31391">
        <w:t>služeb,</w:t>
      </w:r>
      <w:r>
        <w:t xml:space="preserve"> </w:t>
      </w:r>
      <w:r w:rsidRPr="00C31391">
        <w:t>vykazovat</w:t>
      </w:r>
      <w:r>
        <w:t xml:space="preserve"> </w:t>
      </w:r>
      <w:r w:rsidRPr="00C31391">
        <w:t>Energetickému</w:t>
      </w:r>
      <w:r>
        <w:t xml:space="preserve"> </w:t>
      </w:r>
      <w:r w:rsidRPr="00C31391">
        <w:t>regulačnímu</w:t>
      </w:r>
      <w:r>
        <w:t xml:space="preserve"> </w:t>
      </w:r>
      <w:r w:rsidRPr="00C31391">
        <w:t>úřadu</w:t>
      </w:r>
      <w:r>
        <w:t xml:space="preserve"> </w:t>
      </w:r>
      <w:r w:rsidRPr="00C31391">
        <w:t>úroveň</w:t>
      </w:r>
      <w:r>
        <w:t xml:space="preserve"> </w:t>
      </w:r>
      <w:r w:rsidRPr="00C31391">
        <w:t>kvality</w:t>
      </w:r>
      <w:r>
        <w:t xml:space="preserve"> </w:t>
      </w:r>
      <w:r w:rsidRPr="00C31391">
        <w:t>dodávek</w:t>
      </w:r>
      <w:r>
        <w:t xml:space="preserve"> </w:t>
      </w:r>
      <w:r w:rsidRPr="00C31391">
        <w:t>a</w:t>
      </w:r>
      <w:r>
        <w:t xml:space="preserve"> </w:t>
      </w:r>
      <w:r w:rsidRPr="00C31391">
        <w:t>služeb</w:t>
      </w:r>
      <w:r>
        <w:t xml:space="preserve"> </w:t>
      </w:r>
      <w:r w:rsidRPr="00C31391">
        <w:t>a</w:t>
      </w:r>
      <w:r>
        <w:t xml:space="preserve"> </w:t>
      </w:r>
      <w:r w:rsidRPr="00C31391">
        <w:t>zveřejňovat</w:t>
      </w:r>
      <w:r>
        <w:t xml:space="preserve"> </w:t>
      </w:r>
      <w:r w:rsidRPr="00C31391">
        <w:t>způsobem</w:t>
      </w:r>
      <w:r>
        <w:t xml:space="preserve"> </w:t>
      </w:r>
      <w:r w:rsidRPr="00C31391">
        <w:t>umožňujícím</w:t>
      </w:r>
      <w:r>
        <w:t xml:space="preserve"> </w:t>
      </w:r>
      <w:r w:rsidRPr="00C31391">
        <w:t>dálkový</w:t>
      </w:r>
      <w:r>
        <w:t xml:space="preserve"> </w:t>
      </w:r>
      <w:r w:rsidRPr="00C31391">
        <w:t>přístup,</w:t>
      </w:r>
    </w:p>
    <w:p w14:paraId="5BC19C22" w14:textId="77777777" w:rsidR="00C15607" w:rsidRDefault="00C15607" w:rsidP="002E6AEA">
      <w:pPr>
        <w:pStyle w:val="Textparagrafu"/>
        <w:tabs>
          <w:tab w:val="left" w:pos="426"/>
          <w:tab w:val="left" w:pos="840"/>
        </w:tabs>
        <w:spacing w:before="0"/>
        <w:ind w:left="426" w:hanging="426"/>
      </w:pPr>
      <w:r w:rsidRPr="00C31391">
        <w:t>r)</w:t>
      </w:r>
      <w:r>
        <w:tab/>
      </w:r>
      <w:r w:rsidRPr="00C31391">
        <w:t>zveřejňovat</w:t>
      </w:r>
      <w:r>
        <w:t xml:space="preserve"> </w:t>
      </w:r>
      <w:r w:rsidRPr="00C31391">
        <w:t>informace</w:t>
      </w:r>
      <w:r>
        <w:t xml:space="preserve"> </w:t>
      </w:r>
      <w:r w:rsidRPr="00C31391">
        <w:t>týkající</w:t>
      </w:r>
      <w:r>
        <w:t xml:space="preserve"> </w:t>
      </w:r>
      <w:r w:rsidRPr="00C31391">
        <w:t>se</w:t>
      </w:r>
      <w:r>
        <w:t xml:space="preserve"> </w:t>
      </w:r>
      <w:r w:rsidRPr="00C31391">
        <w:t>provozování</w:t>
      </w:r>
      <w:r>
        <w:t xml:space="preserve"> </w:t>
      </w:r>
      <w:r w:rsidRPr="00C31391">
        <w:t>zásobníku</w:t>
      </w:r>
      <w:r>
        <w:t xml:space="preserve"> </w:t>
      </w:r>
      <w:r w:rsidRPr="00C31391">
        <w:t>plynu,</w:t>
      </w:r>
      <w:r>
        <w:t xml:space="preserve"> </w:t>
      </w:r>
      <w:r w:rsidRPr="00C31391">
        <w:t>jež</w:t>
      </w:r>
      <w:r>
        <w:t xml:space="preserve"> </w:t>
      </w:r>
      <w:r w:rsidRPr="00C31391">
        <w:t>jsou</w:t>
      </w:r>
      <w:r>
        <w:t xml:space="preserve"> </w:t>
      </w:r>
      <w:r w:rsidRPr="00C31391">
        <w:t>nezbytné</w:t>
      </w:r>
      <w:r>
        <w:t xml:space="preserve"> </w:t>
      </w:r>
      <w:r w:rsidRPr="00C31391">
        <w:t>pro</w:t>
      </w:r>
      <w:r>
        <w:t xml:space="preserve"> </w:t>
      </w:r>
      <w:r w:rsidRPr="00C31391">
        <w:t>účinnou</w:t>
      </w:r>
      <w:r>
        <w:t xml:space="preserve"> </w:t>
      </w:r>
      <w:r w:rsidRPr="00C31391">
        <w:t>hospodářskou</w:t>
      </w:r>
      <w:r>
        <w:t xml:space="preserve"> </w:t>
      </w:r>
      <w:r w:rsidRPr="00C31391">
        <w:t>soutěž</w:t>
      </w:r>
      <w:r>
        <w:t xml:space="preserve"> </w:t>
      </w:r>
      <w:r w:rsidRPr="00C31391">
        <w:t>a</w:t>
      </w:r>
      <w:r>
        <w:t xml:space="preserve"> </w:t>
      </w:r>
      <w:r w:rsidRPr="00C31391">
        <w:t>účinné</w:t>
      </w:r>
      <w:r>
        <w:t xml:space="preserve"> </w:t>
      </w:r>
      <w:r w:rsidRPr="00C31391">
        <w:t>fungování</w:t>
      </w:r>
      <w:r>
        <w:t xml:space="preserve"> </w:t>
      </w:r>
      <w:r w:rsidRPr="00C31391">
        <w:t>trhu</w:t>
      </w:r>
      <w:r>
        <w:t xml:space="preserve"> </w:t>
      </w:r>
      <w:r w:rsidRPr="00C31391">
        <w:t>s</w:t>
      </w:r>
      <w:r>
        <w:t xml:space="preserve"> </w:t>
      </w:r>
      <w:r w:rsidRPr="00C31391">
        <w:t>plynem</w:t>
      </w:r>
      <w:r>
        <w:t xml:space="preserve"> </w:t>
      </w:r>
      <w:r w:rsidRPr="00C31391">
        <w:t>a</w:t>
      </w:r>
      <w:r>
        <w:t xml:space="preserve"> </w:t>
      </w:r>
      <w:r w:rsidRPr="00C31391">
        <w:t>které</w:t>
      </w:r>
      <w:r>
        <w:t xml:space="preserve"> </w:t>
      </w:r>
      <w:r w:rsidRPr="00C31391">
        <w:t>nejsou</w:t>
      </w:r>
      <w:r>
        <w:t xml:space="preserve"> </w:t>
      </w:r>
      <w:r w:rsidRPr="00C31391">
        <w:t>předmětem</w:t>
      </w:r>
      <w:r>
        <w:t xml:space="preserve"> </w:t>
      </w:r>
      <w:r w:rsidRPr="00C31391">
        <w:t>obchodního</w:t>
      </w:r>
      <w:r>
        <w:t xml:space="preserve"> </w:t>
      </w:r>
      <w:r w:rsidRPr="00C31391">
        <w:t>tajemství;</w:t>
      </w:r>
      <w:r>
        <w:t xml:space="preserve"> </w:t>
      </w:r>
      <w:r w:rsidRPr="00C31391">
        <w:t>tím</w:t>
      </w:r>
      <w:r>
        <w:t xml:space="preserve"> </w:t>
      </w:r>
      <w:r w:rsidRPr="00C31391">
        <w:t>není</w:t>
      </w:r>
      <w:r>
        <w:t xml:space="preserve"> </w:t>
      </w:r>
      <w:r w:rsidRPr="00C31391">
        <w:t>dotčena</w:t>
      </w:r>
      <w:r>
        <w:t xml:space="preserve"> </w:t>
      </w:r>
      <w:r w:rsidRPr="00C31391">
        <w:t>povinnost</w:t>
      </w:r>
      <w:r>
        <w:t xml:space="preserve"> </w:t>
      </w:r>
      <w:r w:rsidRPr="00C31391">
        <w:t>podle</w:t>
      </w:r>
      <w:r>
        <w:t xml:space="preserve"> </w:t>
      </w:r>
      <w:r w:rsidRPr="00C31391">
        <w:t>písmene</w:t>
      </w:r>
      <w:r>
        <w:t xml:space="preserve"> </w:t>
      </w:r>
      <w:r w:rsidRPr="00C31391">
        <w:t>n),</w:t>
      </w:r>
    </w:p>
    <w:p w14:paraId="2D8FAFBA" w14:textId="77777777" w:rsidR="00C15607" w:rsidRDefault="00C15607" w:rsidP="002E6AEA">
      <w:pPr>
        <w:pStyle w:val="Textparagrafu"/>
        <w:tabs>
          <w:tab w:val="left" w:pos="426"/>
          <w:tab w:val="left" w:pos="840"/>
        </w:tabs>
        <w:spacing w:before="0"/>
        <w:ind w:left="426" w:hanging="426"/>
      </w:pPr>
      <w:r w:rsidRPr="00C31391">
        <w:t>s)</w:t>
      </w:r>
      <w:r>
        <w:tab/>
      </w:r>
      <w:r w:rsidRPr="00C31391">
        <w:t>zaregistrovat</w:t>
      </w:r>
      <w:r>
        <w:t xml:space="preserve"> </w:t>
      </w:r>
      <w:r w:rsidRPr="00C31391">
        <w:t>se</w:t>
      </w:r>
      <w:r>
        <w:t xml:space="preserve"> </w:t>
      </w:r>
      <w:r w:rsidRPr="00C31391">
        <w:t>do</w:t>
      </w:r>
      <w:r>
        <w:t xml:space="preserve"> </w:t>
      </w:r>
      <w:r w:rsidRPr="00C31391">
        <w:t>30</w:t>
      </w:r>
      <w:r>
        <w:t xml:space="preserve"> </w:t>
      </w:r>
      <w:r w:rsidRPr="00C31391">
        <w:t>dnů</w:t>
      </w:r>
      <w:r>
        <w:t xml:space="preserve"> </w:t>
      </w:r>
      <w:r w:rsidRPr="00C31391">
        <w:t>od</w:t>
      </w:r>
      <w:r>
        <w:t xml:space="preserve"> </w:t>
      </w:r>
      <w:r w:rsidRPr="00C31391">
        <w:t>udělení</w:t>
      </w:r>
      <w:r>
        <w:t xml:space="preserve"> </w:t>
      </w:r>
      <w:r w:rsidRPr="00C31391">
        <w:t>licence</w:t>
      </w:r>
      <w:r>
        <w:t xml:space="preserve"> </w:t>
      </w:r>
      <w:r w:rsidRPr="00C31391">
        <w:t>na</w:t>
      </w:r>
      <w:r>
        <w:t xml:space="preserve"> </w:t>
      </w:r>
      <w:r w:rsidRPr="00C31391">
        <w:t>provozování</w:t>
      </w:r>
      <w:r>
        <w:t xml:space="preserve"> </w:t>
      </w:r>
      <w:r w:rsidRPr="00C31391">
        <w:t>zásobníku</w:t>
      </w:r>
      <w:r>
        <w:t xml:space="preserve"> </w:t>
      </w:r>
      <w:r w:rsidRPr="00C31391">
        <w:t>plynu</w:t>
      </w:r>
      <w:r>
        <w:t xml:space="preserve"> </w:t>
      </w:r>
      <w:r w:rsidRPr="00C31391">
        <w:t>u</w:t>
      </w:r>
      <w:r>
        <w:t xml:space="preserve"> </w:t>
      </w:r>
      <w:r w:rsidRPr="00C31391">
        <w:t>operátora</w:t>
      </w:r>
      <w:r>
        <w:t xml:space="preserve"> </w:t>
      </w:r>
      <w:r w:rsidRPr="00C31391">
        <w:t>trhu;</w:t>
      </w:r>
      <w:r>
        <w:t xml:space="preserve"> </w:t>
      </w:r>
      <w:r w:rsidRPr="00C31391">
        <w:t>zaregistrováním</w:t>
      </w:r>
      <w:r>
        <w:t xml:space="preserve"> </w:t>
      </w:r>
      <w:r w:rsidRPr="00C31391">
        <w:t>se</w:t>
      </w:r>
      <w:r>
        <w:t xml:space="preserve"> </w:t>
      </w:r>
      <w:r w:rsidRPr="00C31391">
        <w:t>provozovatel</w:t>
      </w:r>
      <w:r>
        <w:t xml:space="preserve"> </w:t>
      </w:r>
      <w:r w:rsidRPr="00C31391">
        <w:t>zásobníku</w:t>
      </w:r>
      <w:r>
        <w:t xml:space="preserve"> </w:t>
      </w:r>
      <w:r w:rsidRPr="00C31391">
        <w:t>plynu</w:t>
      </w:r>
      <w:r>
        <w:t xml:space="preserve"> </w:t>
      </w:r>
      <w:r w:rsidRPr="00C31391">
        <w:t>stává</w:t>
      </w:r>
      <w:r>
        <w:t xml:space="preserve"> </w:t>
      </w:r>
      <w:r w:rsidRPr="00C31391">
        <w:t>registrovaným</w:t>
      </w:r>
      <w:r>
        <w:t xml:space="preserve"> </w:t>
      </w:r>
      <w:r w:rsidRPr="00C31391">
        <w:t>účastníkem</w:t>
      </w:r>
      <w:r>
        <w:t xml:space="preserve"> </w:t>
      </w:r>
      <w:r w:rsidRPr="00C31391">
        <w:t>trhu,</w:t>
      </w:r>
    </w:p>
    <w:p w14:paraId="7C553135" w14:textId="77777777" w:rsidR="00C15607" w:rsidRDefault="00C15607" w:rsidP="002E6AEA">
      <w:pPr>
        <w:pStyle w:val="Textparagrafu"/>
        <w:tabs>
          <w:tab w:val="left" w:pos="426"/>
          <w:tab w:val="left" w:pos="840"/>
        </w:tabs>
        <w:spacing w:before="0"/>
        <w:ind w:left="426" w:hanging="426"/>
      </w:pPr>
      <w:r w:rsidRPr="00C31391">
        <w:t>t)</w:t>
      </w:r>
      <w:r>
        <w:tab/>
      </w:r>
      <w:r w:rsidRPr="00C31391">
        <w:t>vypracovat</w:t>
      </w:r>
      <w:r>
        <w:t xml:space="preserve"> </w:t>
      </w:r>
      <w:r w:rsidRPr="00C31391">
        <w:t>do</w:t>
      </w:r>
      <w:r>
        <w:t xml:space="preserve"> </w:t>
      </w:r>
      <w:r w:rsidRPr="00C31391">
        <w:t>6</w:t>
      </w:r>
      <w:r>
        <w:t xml:space="preserve"> </w:t>
      </w:r>
      <w:r w:rsidRPr="00C31391">
        <w:t>měsíců</w:t>
      </w:r>
      <w:r>
        <w:t xml:space="preserve"> </w:t>
      </w:r>
      <w:r w:rsidRPr="00C31391">
        <w:t>po</w:t>
      </w:r>
      <w:r>
        <w:t xml:space="preserve"> </w:t>
      </w:r>
      <w:r w:rsidRPr="00C31391">
        <w:t>udělení</w:t>
      </w:r>
      <w:r>
        <w:t xml:space="preserve"> </w:t>
      </w:r>
      <w:r w:rsidRPr="00C31391">
        <w:t>licence</w:t>
      </w:r>
      <w:r>
        <w:t xml:space="preserve"> </w:t>
      </w:r>
      <w:r w:rsidRPr="00C31391">
        <w:t>na</w:t>
      </w:r>
      <w:r>
        <w:t xml:space="preserve"> </w:t>
      </w:r>
      <w:r w:rsidRPr="00C31391">
        <w:t>uskladňování</w:t>
      </w:r>
      <w:r>
        <w:t xml:space="preserve"> </w:t>
      </w:r>
      <w:r w:rsidRPr="00C31391">
        <w:t>plynu</w:t>
      </w:r>
      <w:r>
        <w:t xml:space="preserve"> </w:t>
      </w:r>
      <w:r w:rsidRPr="00C31391">
        <w:t>podklady</w:t>
      </w:r>
      <w:r>
        <w:t xml:space="preserve"> </w:t>
      </w:r>
      <w:r w:rsidRPr="00C31391">
        <w:t>pro</w:t>
      </w:r>
      <w:r>
        <w:t xml:space="preserve"> </w:t>
      </w:r>
      <w:r w:rsidRPr="00C31391">
        <w:t>zpracování</w:t>
      </w:r>
      <w:r>
        <w:t xml:space="preserve"> </w:t>
      </w:r>
      <w:r w:rsidRPr="00C31391">
        <w:t>plánu</w:t>
      </w:r>
      <w:r>
        <w:t xml:space="preserve"> </w:t>
      </w:r>
      <w:r w:rsidRPr="00C31391">
        <w:t>preventivních</w:t>
      </w:r>
      <w:r>
        <w:t xml:space="preserve"> </w:t>
      </w:r>
      <w:r w:rsidRPr="00C31391">
        <w:t>opatření</w:t>
      </w:r>
      <w:r>
        <w:t xml:space="preserve"> </w:t>
      </w:r>
      <w:r w:rsidRPr="00C31391">
        <w:t>a</w:t>
      </w:r>
      <w:r>
        <w:t xml:space="preserve"> </w:t>
      </w:r>
      <w:r w:rsidRPr="00C31391">
        <w:t>plánu</w:t>
      </w:r>
      <w:r>
        <w:t xml:space="preserve"> </w:t>
      </w:r>
      <w:r w:rsidRPr="00C31391">
        <w:t>pro</w:t>
      </w:r>
      <w:r>
        <w:t xml:space="preserve"> </w:t>
      </w:r>
      <w:r w:rsidRPr="00C31391">
        <w:t>stav</w:t>
      </w:r>
      <w:r>
        <w:t xml:space="preserve"> </w:t>
      </w:r>
      <w:r w:rsidRPr="00C31391">
        <w:t>nouze,</w:t>
      </w:r>
      <w:r>
        <w:t xml:space="preserve"> </w:t>
      </w:r>
      <w:r w:rsidRPr="00C31391">
        <w:t>zaslat</w:t>
      </w:r>
      <w:r>
        <w:t xml:space="preserve"> </w:t>
      </w:r>
      <w:r w:rsidRPr="00C31391">
        <w:t>je</w:t>
      </w:r>
      <w:r>
        <w:t xml:space="preserve"> </w:t>
      </w:r>
      <w:r w:rsidRPr="00C31391">
        <w:t>ministerstvu</w:t>
      </w:r>
      <w:r>
        <w:t xml:space="preserve"> </w:t>
      </w:r>
      <w:r w:rsidRPr="00C31391">
        <w:t>a</w:t>
      </w:r>
      <w:r>
        <w:t xml:space="preserve"> </w:t>
      </w:r>
      <w:r w:rsidRPr="00C31391">
        <w:t>každý</w:t>
      </w:r>
      <w:r>
        <w:t xml:space="preserve"> </w:t>
      </w:r>
      <w:r w:rsidRPr="00C31391">
        <w:t>druhý</w:t>
      </w:r>
      <w:r>
        <w:t xml:space="preserve"> </w:t>
      </w:r>
      <w:r w:rsidRPr="00C31391">
        <w:t>rok</w:t>
      </w:r>
      <w:r>
        <w:t xml:space="preserve"> </w:t>
      </w:r>
      <w:r w:rsidRPr="00C31391">
        <w:t>je</w:t>
      </w:r>
      <w:r>
        <w:t xml:space="preserve"> </w:t>
      </w:r>
      <w:r w:rsidRPr="00C31391">
        <w:t>upřesňovat,</w:t>
      </w:r>
    </w:p>
    <w:p w14:paraId="6B4DB8C2" w14:textId="77777777" w:rsidR="00C15607" w:rsidRDefault="00C15607" w:rsidP="002E6AEA">
      <w:pPr>
        <w:pStyle w:val="Textparagrafu"/>
        <w:tabs>
          <w:tab w:val="left" w:pos="426"/>
          <w:tab w:val="left" w:pos="840"/>
        </w:tabs>
        <w:spacing w:before="0"/>
        <w:ind w:left="426" w:hanging="426"/>
      </w:pPr>
      <w:r w:rsidRPr="00C31391">
        <w:t>u)</w:t>
      </w:r>
      <w:r>
        <w:tab/>
      </w:r>
      <w:r w:rsidRPr="00C31391">
        <w:t>každoročně</w:t>
      </w:r>
      <w:r>
        <w:t xml:space="preserve"> </w:t>
      </w:r>
      <w:r w:rsidRPr="00C31391">
        <w:t>zpracovávat</w:t>
      </w:r>
      <w:r>
        <w:t xml:space="preserve"> </w:t>
      </w:r>
      <w:r w:rsidRPr="00C31391">
        <w:t>a</w:t>
      </w:r>
      <w:r>
        <w:t xml:space="preserve"> </w:t>
      </w:r>
      <w:r w:rsidRPr="00C31391">
        <w:t>do</w:t>
      </w:r>
      <w:r>
        <w:t xml:space="preserve"> </w:t>
      </w:r>
      <w:r w:rsidRPr="00C31391">
        <w:t>31.</w:t>
      </w:r>
      <w:r>
        <w:t xml:space="preserve"> </w:t>
      </w:r>
      <w:r w:rsidRPr="00C31391">
        <w:t>března</w:t>
      </w:r>
      <w:r>
        <w:t xml:space="preserve"> </w:t>
      </w:r>
      <w:r w:rsidRPr="00C31391">
        <w:t>předávat</w:t>
      </w:r>
      <w:r>
        <w:t xml:space="preserve"> </w:t>
      </w:r>
      <w:r w:rsidRPr="00C31391">
        <w:t>provozovateli</w:t>
      </w:r>
      <w:r>
        <w:t xml:space="preserve"> </w:t>
      </w:r>
      <w:r w:rsidRPr="00C31391">
        <w:t>přepravní</w:t>
      </w:r>
      <w:r>
        <w:t xml:space="preserve"> </w:t>
      </w:r>
      <w:r w:rsidRPr="00C31391">
        <w:t>soustavy</w:t>
      </w:r>
      <w:r>
        <w:t xml:space="preserve"> </w:t>
      </w:r>
      <w:r w:rsidRPr="00C31391">
        <w:t>za</w:t>
      </w:r>
      <w:r>
        <w:t xml:space="preserve"> </w:t>
      </w:r>
      <w:r w:rsidRPr="00C31391">
        <w:t>účelem</w:t>
      </w:r>
      <w:r>
        <w:t xml:space="preserve"> </w:t>
      </w:r>
      <w:r w:rsidRPr="00C31391">
        <w:t>zpracování</w:t>
      </w:r>
      <w:r>
        <w:t xml:space="preserve"> </w:t>
      </w:r>
      <w:r w:rsidRPr="00C31391">
        <w:t>desetiletého</w:t>
      </w:r>
      <w:r>
        <w:t xml:space="preserve"> </w:t>
      </w:r>
      <w:r w:rsidRPr="00C31391">
        <w:t>plánu</w:t>
      </w:r>
      <w:r>
        <w:t xml:space="preserve"> </w:t>
      </w:r>
      <w:r w:rsidRPr="00C31391">
        <w:t>rozvoje</w:t>
      </w:r>
      <w:r>
        <w:t xml:space="preserve"> </w:t>
      </w:r>
      <w:r w:rsidRPr="00C31391">
        <w:t>přepravní</w:t>
      </w:r>
      <w:r>
        <w:t xml:space="preserve"> </w:t>
      </w:r>
      <w:r w:rsidRPr="00C31391">
        <w:t>soustavy</w:t>
      </w:r>
      <w:r>
        <w:t xml:space="preserve"> </w:t>
      </w:r>
      <w:r w:rsidRPr="00C31391">
        <w:t>údaje</w:t>
      </w:r>
      <w:r>
        <w:t xml:space="preserve"> </w:t>
      </w:r>
      <w:r w:rsidRPr="00C31391">
        <w:t>o</w:t>
      </w:r>
      <w:r>
        <w:t xml:space="preserve"> </w:t>
      </w:r>
      <w:r w:rsidRPr="00C31391">
        <w:t>plánovaném</w:t>
      </w:r>
      <w:r>
        <w:t xml:space="preserve"> </w:t>
      </w:r>
      <w:r w:rsidRPr="00C31391">
        <w:t>rozvoji</w:t>
      </w:r>
      <w:r>
        <w:t xml:space="preserve"> </w:t>
      </w:r>
      <w:r w:rsidRPr="00C31391">
        <w:t>provozního</w:t>
      </w:r>
      <w:r>
        <w:t xml:space="preserve"> </w:t>
      </w:r>
      <w:r w:rsidRPr="00C31391">
        <w:t>objemu</w:t>
      </w:r>
      <w:r>
        <w:t xml:space="preserve"> </w:t>
      </w:r>
      <w:r w:rsidRPr="00C31391">
        <w:t>a</w:t>
      </w:r>
      <w:r>
        <w:t xml:space="preserve"> </w:t>
      </w:r>
      <w:r w:rsidRPr="00C31391">
        <w:t>maximálního</w:t>
      </w:r>
      <w:r>
        <w:t xml:space="preserve"> </w:t>
      </w:r>
      <w:proofErr w:type="spellStart"/>
      <w:r w:rsidRPr="00C31391">
        <w:t>vtláčecího</w:t>
      </w:r>
      <w:proofErr w:type="spellEnd"/>
      <w:r>
        <w:t xml:space="preserve"> </w:t>
      </w:r>
      <w:r w:rsidRPr="00C31391">
        <w:t>a</w:t>
      </w:r>
      <w:r>
        <w:t xml:space="preserve"> </w:t>
      </w:r>
      <w:r w:rsidRPr="00C31391">
        <w:t>těžebního</w:t>
      </w:r>
      <w:r>
        <w:t xml:space="preserve"> </w:t>
      </w:r>
      <w:r w:rsidRPr="00C31391">
        <w:t>výkonu</w:t>
      </w:r>
      <w:r>
        <w:t xml:space="preserve"> </w:t>
      </w:r>
      <w:r w:rsidRPr="00C31391">
        <w:t>zásobníku</w:t>
      </w:r>
      <w:r>
        <w:t xml:space="preserve"> </w:t>
      </w:r>
      <w:r w:rsidRPr="00C31391">
        <w:t>plynu,</w:t>
      </w:r>
      <w:r>
        <w:t xml:space="preserve"> </w:t>
      </w:r>
      <w:r w:rsidRPr="00C31391">
        <w:t>a</w:t>
      </w:r>
      <w:r>
        <w:t xml:space="preserve"> </w:t>
      </w:r>
      <w:r w:rsidRPr="00C31391">
        <w:t>to</w:t>
      </w:r>
      <w:r>
        <w:t xml:space="preserve"> </w:t>
      </w:r>
      <w:r w:rsidRPr="00C31391">
        <w:t>na</w:t>
      </w:r>
      <w:r>
        <w:t xml:space="preserve"> </w:t>
      </w:r>
      <w:r w:rsidRPr="00C31391">
        <w:t>období</w:t>
      </w:r>
      <w:r>
        <w:t xml:space="preserve"> </w:t>
      </w:r>
      <w:r w:rsidRPr="00C31391">
        <w:t>nejméně</w:t>
      </w:r>
      <w:r>
        <w:t xml:space="preserve"> </w:t>
      </w:r>
      <w:r w:rsidRPr="00C31391">
        <w:t>10</w:t>
      </w:r>
      <w:r>
        <w:t xml:space="preserve"> </w:t>
      </w:r>
      <w:r w:rsidRPr="00C31391">
        <w:t>let,</w:t>
      </w:r>
    </w:p>
    <w:p w14:paraId="1FB5EA15" w14:textId="77777777" w:rsidR="00C15607" w:rsidRDefault="00C15607" w:rsidP="002E6AEA">
      <w:pPr>
        <w:pStyle w:val="Textparagrafu"/>
        <w:tabs>
          <w:tab w:val="left" w:pos="426"/>
          <w:tab w:val="left" w:pos="840"/>
        </w:tabs>
        <w:spacing w:before="0"/>
        <w:ind w:left="426" w:hanging="426"/>
      </w:pPr>
      <w:r w:rsidRPr="00C31391">
        <w:t>v)</w:t>
      </w:r>
      <w:r>
        <w:tab/>
      </w:r>
      <w:r w:rsidRPr="00C31391">
        <w:t>nezneužívat</w:t>
      </w:r>
      <w:r>
        <w:t xml:space="preserve"> </w:t>
      </w:r>
      <w:r w:rsidRPr="00C31391">
        <w:t>chráněné</w:t>
      </w:r>
      <w:r>
        <w:t xml:space="preserve"> </w:t>
      </w:r>
      <w:r w:rsidRPr="00C31391">
        <w:t>informace</w:t>
      </w:r>
      <w:r>
        <w:t xml:space="preserve"> </w:t>
      </w:r>
      <w:r w:rsidRPr="00C31391">
        <w:t>získané</w:t>
      </w:r>
      <w:r>
        <w:t xml:space="preserve"> </w:t>
      </w:r>
      <w:r w:rsidRPr="00C31391">
        <w:t>od</w:t>
      </w:r>
      <w:r>
        <w:t xml:space="preserve"> </w:t>
      </w:r>
      <w:r w:rsidRPr="00C31391">
        <w:t>třetích</w:t>
      </w:r>
      <w:r>
        <w:t xml:space="preserve"> </w:t>
      </w:r>
      <w:r w:rsidRPr="00C31391">
        <w:t>osob</w:t>
      </w:r>
      <w:r>
        <w:t xml:space="preserve"> </w:t>
      </w:r>
      <w:r w:rsidRPr="00C31391">
        <w:t>v</w:t>
      </w:r>
      <w:r>
        <w:t xml:space="preserve"> </w:t>
      </w:r>
      <w:r w:rsidRPr="00C31391">
        <w:t>souvislosti</w:t>
      </w:r>
      <w:r>
        <w:t xml:space="preserve"> </w:t>
      </w:r>
      <w:r w:rsidRPr="00C31391">
        <w:t>s</w:t>
      </w:r>
      <w:r>
        <w:t xml:space="preserve"> </w:t>
      </w:r>
      <w:r w:rsidRPr="00C31391">
        <w:t>poskytováním</w:t>
      </w:r>
      <w:r>
        <w:t xml:space="preserve"> </w:t>
      </w:r>
      <w:r w:rsidRPr="00C31391">
        <w:t>nebo</w:t>
      </w:r>
      <w:r>
        <w:t xml:space="preserve"> </w:t>
      </w:r>
      <w:r w:rsidRPr="00C31391">
        <w:t>sjednáváním</w:t>
      </w:r>
      <w:r>
        <w:t xml:space="preserve"> </w:t>
      </w:r>
      <w:r w:rsidRPr="00C31391">
        <w:t>přístupu</w:t>
      </w:r>
      <w:r>
        <w:t xml:space="preserve"> </w:t>
      </w:r>
      <w:r w:rsidRPr="00C31391">
        <w:t>k</w:t>
      </w:r>
      <w:r>
        <w:t xml:space="preserve"> </w:t>
      </w:r>
      <w:r w:rsidRPr="00C31391">
        <w:t>zásobníku</w:t>
      </w:r>
      <w:r>
        <w:t xml:space="preserve"> </w:t>
      </w:r>
      <w:r w:rsidRPr="00C31391">
        <w:t>plynu</w:t>
      </w:r>
      <w:r>
        <w:t xml:space="preserve"> </w:t>
      </w:r>
      <w:r w:rsidRPr="00C31391">
        <w:t>při</w:t>
      </w:r>
      <w:r>
        <w:t xml:space="preserve"> </w:t>
      </w:r>
      <w:r w:rsidRPr="00C31391">
        <w:t>prodeji</w:t>
      </w:r>
      <w:r>
        <w:t xml:space="preserve"> </w:t>
      </w:r>
      <w:r w:rsidRPr="00C31391">
        <w:t>nebo</w:t>
      </w:r>
      <w:r>
        <w:t xml:space="preserve"> </w:t>
      </w:r>
      <w:r w:rsidRPr="00C31391">
        <w:t>nákupu</w:t>
      </w:r>
      <w:r>
        <w:t xml:space="preserve"> </w:t>
      </w:r>
      <w:r w:rsidRPr="00C31391">
        <w:t>zemního</w:t>
      </w:r>
      <w:r>
        <w:t xml:space="preserve"> </w:t>
      </w:r>
      <w:r w:rsidRPr="00C31391">
        <w:t>plynu</w:t>
      </w:r>
      <w:r>
        <w:t xml:space="preserve"> </w:t>
      </w:r>
      <w:r w:rsidRPr="00C31391">
        <w:t>realizovaným</w:t>
      </w:r>
      <w:r>
        <w:t xml:space="preserve"> </w:t>
      </w:r>
      <w:r w:rsidRPr="00C31391">
        <w:t>podnikem</w:t>
      </w:r>
      <w:r>
        <w:t xml:space="preserve"> </w:t>
      </w:r>
      <w:r w:rsidRPr="00C31391">
        <w:t>ve</w:t>
      </w:r>
      <w:r>
        <w:t xml:space="preserve"> </w:t>
      </w:r>
      <w:r w:rsidRPr="00C31391">
        <w:t>skupině,</w:t>
      </w:r>
    </w:p>
    <w:p w14:paraId="20E1E7FF" w14:textId="77777777" w:rsidR="00C15607" w:rsidRDefault="00C15607" w:rsidP="002E6AEA">
      <w:pPr>
        <w:pStyle w:val="Textparagrafu"/>
        <w:tabs>
          <w:tab w:val="left" w:pos="426"/>
          <w:tab w:val="left" w:pos="840"/>
        </w:tabs>
        <w:spacing w:before="0"/>
        <w:ind w:left="426" w:hanging="426"/>
      </w:pPr>
      <w:r w:rsidRPr="00C31391">
        <w:t>w)</w:t>
      </w:r>
      <w:r>
        <w:tab/>
      </w:r>
      <w:r w:rsidRPr="00C31391">
        <w:t>vypracovávat</w:t>
      </w:r>
      <w:r>
        <w:t xml:space="preserve"> </w:t>
      </w:r>
      <w:r w:rsidRPr="00C31391">
        <w:t>denní,</w:t>
      </w:r>
      <w:r>
        <w:t xml:space="preserve"> </w:t>
      </w:r>
      <w:r w:rsidRPr="00C31391">
        <w:t>měsíční</w:t>
      </w:r>
      <w:r>
        <w:t xml:space="preserve"> </w:t>
      </w:r>
      <w:r w:rsidRPr="00C31391">
        <w:t>a</w:t>
      </w:r>
      <w:r>
        <w:t xml:space="preserve"> </w:t>
      </w:r>
      <w:r w:rsidRPr="00C31391">
        <w:t>roční</w:t>
      </w:r>
      <w:r>
        <w:t xml:space="preserve"> </w:t>
      </w:r>
      <w:r w:rsidRPr="00C31391">
        <w:t>bilanci</w:t>
      </w:r>
      <w:r>
        <w:t xml:space="preserve"> </w:t>
      </w:r>
      <w:r w:rsidRPr="00C31391">
        <w:t>služby</w:t>
      </w:r>
      <w:r>
        <w:t xml:space="preserve"> </w:t>
      </w:r>
      <w:r w:rsidRPr="00C31391">
        <w:t>přeshraničního</w:t>
      </w:r>
      <w:r>
        <w:t xml:space="preserve"> </w:t>
      </w:r>
      <w:r w:rsidRPr="00C31391">
        <w:t>využití</w:t>
      </w:r>
      <w:r>
        <w:t xml:space="preserve"> </w:t>
      </w:r>
      <w:r w:rsidRPr="00C31391">
        <w:t>zásobníku</w:t>
      </w:r>
      <w:r>
        <w:t xml:space="preserve"> </w:t>
      </w:r>
      <w:r w:rsidRPr="00C31391">
        <w:t>plynu,</w:t>
      </w:r>
      <w:r>
        <w:t xml:space="preserve"> </w:t>
      </w:r>
      <w:r w:rsidRPr="00C31391">
        <w:t>pokud</w:t>
      </w:r>
      <w:r>
        <w:t xml:space="preserve"> </w:t>
      </w:r>
      <w:r w:rsidRPr="00C31391">
        <w:t>ji</w:t>
      </w:r>
      <w:r>
        <w:t xml:space="preserve"> </w:t>
      </w:r>
      <w:r w:rsidRPr="00C31391">
        <w:t>provozovatel</w:t>
      </w:r>
      <w:r>
        <w:t xml:space="preserve"> </w:t>
      </w:r>
      <w:r w:rsidRPr="00C31391">
        <w:t>zásobníku</w:t>
      </w:r>
      <w:r>
        <w:t xml:space="preserve"> </w:t>
      </w:r>
      <w:r w:rsidRPr="00C31391">
        <w:t>poskytuje,</w:t>
      </w:r>
      <w:r>
        <w:t xml:space="preserve"> </w:t>
      </w:r>
      <w:r w:rsidRPr="00C31391">
        <w:t>a</w:t>
      </w:r>
      <w:r>
        <w:t xml:space="preserve"> </w:t>
      </w:r>
      <w:r w:rsidRPr="00C31391">
        <w:t>předávat</w:t>
      </w:r>
      <w:r>
        <w:t xml:space="preserve"> </w:t>
      </w:r>
      <w:r w:rsidRPr="00C31391">
        <w:t>ji</w:t>
      </w:r>
      <w:r>
        <w:t xml:space="preserve"> </w:t>
      </w:r>
      <w:r w:rsidRPr="00C31391">
        <w:t>operátorovi</w:t>
      </w:r>
      <w:r>
        <w:t xml:space="preserve"> </w:t>
      </w:r>
      <w:r w:rsidRPr="00C31391">
        <w:t>trhu</w:t>
      </w:r>
      <w:r>
        <w:t xml:space="preserve"> </w:t>
      </w:r>
      <w:r w:rsidRPr="00C31391">
        <w:t>a</w:t>
      </w:r>
      <w:r>
        <w:t xml:space="preserve"> </w:t>
      </w:r>
      <w:r w:rsidRPr="00C31391">
        <w:t>provozovateli</w:t>
      </w:r>
      <w:r>
        <w:t xml:space="preserve"> </w:t>
      </w:r>
      <w:r w:rsidRPr="00C31391">
        <w:t>přepravní</w:t>
      </w:r>
      <w:r>
        <w:t xml:space="preserve"> </w:t>
      </w:r>
      <w:r w:rsidRPr="00C31391">
        <w:t>soustavy,</w:t>
      </w:r>
    </w:p>
    <w:p w14:paraId="158DD63D" w14:textId="77777777" w:rsidR="00C15607" w:rsidRDefault="00C15607" w:rsidP="002E6AEA">
      <w:pPr>
        <w:pStyle w:val="Textparagrafu"/>
        <w:tabs>
          <w:tab w:val="left" w:pos="426"/>
          <w:tab w:val="left" w:pos="840"/>
        </w:tabs>
        <w:spacing w:before="0"/>
        <w:ind w:left="426" w:hanging="426"/>
      </w:pPr>
      <w:r w:rsidRPr="00C31391">
        <w:t>x)</w:t>
      </w:r>
      <w:r>
        <w:tab/>
      </w:r>
      <w:r w:rsidRPr="00C31391">
        <w:t>vybrat</w:t>
      </w:r>
      <w:r>
        <w:t xml:space="preserve"> </w:t>
      </w:r>
      <w:r w:rsidRPr="00C31391">
        <w:t>od</w:t>
      </w:r>
      <w:r>
        <w:t xml:space="preserve"> </w:t>
      </w:r>
      <w:r w:rsidRPr="00C31391">
        <w:t>účastníka</w:t>
      </w:r>
      <w:r>
        <w:t xml:space="preserve"> </w:t>
      </w:r>
      <w:r w:rsidRPr="00C31391">
        <w:t>trhu</w:t>
      </w:r>
      <w:r>
        <w:t xml:space="preserve"> </w:t>
      </w:r>
      <w:r w:rsidRPr="00C31391">
        <w:t>s</w:t>
      </w:r>
      <w:r>
        <w:t xml:space="preserve"> </w:t>
      </w:r>
      <w:r w:rsidRPr="00C31391">
        <w:t>plynem</w:t>
      </w:r>
      <w:r>
        <w:t xml:space="preserve"> </w:t>
      </w:r>
      <w:r w:rsidRPr="00C31391">
        <w:t>nebo</w:t>
      </w:r>
      <w:r>
        <w:t xml:space="preserve"> </w:t>
      </w:r>
      <w:r w:rsidRPr="00C31391">
        <w:t>zahraniční</w:t>
      </w:r>
      <w:r>
        <w:t xml:space="preserve"> </w:t>
      </w:r>
      <w:r w:rsidRPr="00C31391">
        <w:t>fyzické</w:t>
      </w:r>
      <w:r>
        <w:t xml:space="preserve"> </w:t>
      </w:r>
      <w:r w:rsidRPr="00C31391">
        <w:t>či</w:t>
      </w:r>
      <w:r>
        <w:t xml:space="preserve"> </w:t>
      </w:r>
      <w:r w:rsidRPr="00C31391">
        <w:t>právnické</w:t>
      </w:r>
      <w:r>
        <w:t xml:space="preserve"> </w:t>
      </w:r>
      <w:r w:rsidRPr="00C31391">
        <w:t>osoby</w:t>
      </w:r>
      <w:r>
        <w:t xml:space="preserve"> </w:t>
      </w:r>
      <w:r w:rsidRPr="00C31391">
        <w:t>cenu</w:t>
      </w:r>
      <w:r>
        <w:t xml:space="preserve"> </w:t>
      </w:r>
      <w:r w:rsidRPr="00C31391">
        <w:t>za</w:t>
      </w:r>
      <w:r>
        <w:t xml:space="preserve"> </w:t>
      </w:r>
      <w:r w:rsidRPr="00C31391">
        <w:t>službu</w:t>
      </w:r>
      <w:r>
        <w:t xml:space="preserve"> </w:t>
      </w:r>
      <w:r w:rsidRPr="00C31391">
        <w:t>přeshraničního</w:t>
      </w:r>
      <w:r>
        <w:t xml:space="preserve"> </w:t>
      </w:r>
      <w:r w:rsidRPr="00C31391">
        <w:t>využití</w:t>
      </w:r>
      <w:r>
        <w:t xml:space="preserve"> </w:t>
      </w:r>
      <w:r w:rsidRPr="00C31391">
        <w:t>zásobníku</w:t>
      </w:r>
      <w:r>
        <w:t xml:space="preserve"> </w:t>
      </w:r>
      <w:r w:rsidRPr="00C31391">
        <w:t>plynu</w:t>
      </w:r>
      <w:r>
        <w:t xml:space="preserve"> </w:t>
      </w:r>
      <w:r w:rsidRPr="00C31391">
        <w:t>stanovenou</w:t>
      </w:r>
      <w:r>
        <w:t xml:space="preserve"> </w:t>
      </w:r>
      <w:r w:rsidRPr="00C31391">
        <w:t>podle</w:t>
      </w:r>
      <w:r>
        <w:t xml:space="preserve"> </w:t>
      </w:r>
      <w:r w:rsidRPr="00C31391">
        <w:t>§</w:t>
      </w:r>
      <w:r>
        <w:t xml:space="preserve"> </w:t>
      </w:r>
      <w:r w:rsidRPr="00C31391">
        <w:t>19a</w:t>
      </w:r>
      <w:r>
        <w:t xml:space="preserve"> </w:t>
      </w:r>
      <w:r w:rsidRPr="00C31391">
        <w:t>odst.</w:t>
      </w:r>
      <w:r>
        <w:t xml:space="preserve"> </w:t>
      </w:r>
      <w:r w:rsidRPr="00C31391">
        <w:t>3</w:t>
      </w:r>
      <w:r>
        <w:t xml:space="preserve"> </w:t>
      </w:r>
      <w:r w:rsidRPr="00C31391">
        <w:t>a</w:t>
      </w:r>
      <w:r>
        <w:t xml:space="preserve"> </w:t>
      </w:r>
      <w:r w:rsidRPr="00C31391">
        <w:t>uhradit</w:t>
      </w:r>
      <w:r>
        <w:t xml:space="preserve"> </w:t>
      </w:r>
      <w:r w:rsidRPr="00C31391">
        <w:t>ji</w:t>
      </w:r>
      <w:r>
        <w:t xml:space="preserve"> </w:t>
      </w:r>
      <w:r w:rsidRPr="00C31391">
        <w:lastRenderedPageBreak/>
        <w:t>provozovateli</w:t>
      </w:r>
      <w:r>
        <w:t xml:space="preserve"> </w:t>
      </w:r>
      <w:r w:rsidRPr="00C31391">
        <w:t>přepravní</w:t>
      </w:r>
      <w:r>
        <w:t xml:space="preserve"> </w:t>
      </w:r>
      <w:r w:rsidRPr="00C31391">
        <w:t>soustavy,</w:t>
      </w:r>
      <w:r>
        <w:t xml:space="preserve"> </w:t>
      </w:r>
      <w:r w:rsidRPr="00C31391">
        <w:t>byla-li</w:t>
      </w:r>
      <w:r>
        <w:t xml:space="preserve"> </w:t>
      </w:r>
      <w:r w:rsidRPr="00C31391">
        <w:t>účastníkovi</w:t>
      </w:r>
      <w:r>
        <w:t xml:space="preserve"> </w:t>
      </w:r>
      <w:r w:rsidRPr="00C31391">
        <w:t>trhu</w:t>
      </w:r>
      <w:r>
        <w:t xml:space="preserve"> </w:t>
      </w:r>
      <w:r w:rsidRPr="00C31391">
        <w:t>s</w:t>
      </w:r>
      <w:r>
        <w:t xml:space="preserve"> </w:t>
      </w:r>
      <w:r w:rsidRPr="00C31391">
        <w:t>plynem</w:t>
      </w:r>
      <w:r>
        <w:t xml:space="preserve"> </w:t>
      </w:r>
      <w:r w:rsidRPr="00C31391">
        <w:t>nebo</w:t>
      </w:r>
      <w:r>
        <w:t xml:space="preserve"> </w:t>
      </w:r>
      <w:r w:rsidRPr="00C31391">
        <w:t>zahraniční</w:t>
      </w:r>
      <w:r>
        <w:t xml:space="preserve"> </w:t>
      </w:r>
      <w:r w:rsidRPr="00C31391">
        <w:t>fyzické</w:t>
      </w:r>
      <w:r>
        <w:t xml:space="preserve"> </w:t>
      </w:r>
      <w:r w:rsidRPr="00C31391">
        <w:t>či</w:t>
      </w:r>
      <w:r>
        <w:t xml:space="preserve"> </w:t>
      </w:r>
      <w:r w:rsidRPr="00C31391">
        <w:t>právnické</w:t>
      </w:r>
      <w:r>
        <w:t xml:space="preserve"> </w:t>
      </w:r>
      <w:r w:rsidRPr="00C31391">
        <w:t>osobě</w:t>
      </w:r>
      <w:r>
        <w:t xml:space="preserve"> </w:t>
      </w:r>
      <w:r w:rsidRPr="00C31391">
        <w:t>provozovatelem</w:t>
      </w:r>
      <w:r>
        <w:t xml:space="preserve"> </w:t>
      </w:r>
      <w:r w:rsidRPr="00C31391">
        <w:t>zásobníku</w:t>
      </w:r>
      <w:r>
        <w:t xml:space="preserve"> </w:t>
      </w:r>
      <w:r w:rsidRPr="00C31391">
        <w:t>plynu</w:t>
      </w:r>
      <w:r>
        <w:t xml:space="preserve"> </w:t>
      </w:r>
      <w:r w:rsidRPr="00C31391">
        <w:t>poskytnuta</w:t>
      </w:r>
      <w:r>
        <w:t xml:space="preserve"> </w:t>
      </w:r>
      <w:r w:rsidRPr="00C31391">
        <w:t>služba</w:t>
      </w:r>
      <w:r>
        <w:t xml:space="preserve"> </w:t>
      </w:r>
      <w:r w:rsidRPr="00C31391">
        <w:t>přeshraničního</w:t>
      </w:r>
      <w:r>
        <w:t xml:space="preserve"> </w:t>
      </w:r>
      <w:r w:rsidRPr="00C31391">
        <w:t>využití</w:t>
      </w:r>
      <w:r>
        <w:t xml:space="preserve"> </w:t>
      </w:r>
      <w:r w:rsidRPr="00C31391">
        <w:t>zásobníku</w:t>
      </w:r>
      <w:r>
        <w:t xml:space="preserve"> </w:t>
      </w:r>
      <w:r w:rsidRPr="00C31391">
        <w:t>plynu,</w:t>
      </w:r>
    </w:p>
    <w:p w14:paraId="7D60A944" w14:textId="77777777" w:rsidR="00C15607" w:rsidRDefault="00C15607" w:rsidP="002E6AEA">
      <w:pPr>
        <w:pStyle w:val="Textparagrafu"/>
        <w:tabs>
          <w:tab w:val="left" w:pos="426"/>
          <w:tab w:val="left" w:pos="840"/>
        </w:tabs>
        <w:spacing w:before="0"/>
        <w:ind w:left="426" w:hanging="426"/>
      </w:pPr>
      <w:r w:rsidRPr="00C31391">
        <w:t>y)</w:t>
      </w:r>
      <w:r>
        <w:tab/>
      </w:r>
      <w:r w:rsidRPr="00C31391">
        <w:t>v</w:t>
      </w:r>
      <w:r>
        <w:t xml:space="preserve"> </w:t>
      </w:r>
      <w:r w:rsidRPr="00C31391">
        <w:t>případě</w:t>
      </w:r>
      <w:r>
        <w:t xml:space="preserve"> </w:t>
      </w:r>
      <w:r w:rsidRPr="00C31391">
        <w:t>zásobníku</w:t>
      </w:r>
      <w:r>
        <w:t xml:space="preserve"> </w:t>
      </w:r>
      <w:r w:rsidRPr="00C31391">
        <w:t>plynu</w:t>
      </w:r>
      <w:r>
        <w:t xml:space="preserve"> </w:t>
      </w:r>
      <w:r w:rsidRPr="00C31391">
        <w:t>umožňujícího</w:t>
      </w:r>
      <w:r>
        <w:t xml:space="preserve"> </w:t>
      </w:r>
      <w:r w:rsidRPr="00C31391">
        <w:t>službu</w:t>
      </w:r>
      <w:r>
        <w:t xml:space="preserve"> </w:t>
      </w:r>
      <w:r w:rsidRPr="00C31391">
        <w:t>přeshraničního</w:t>
      </w:r>
      <w:r>
        <w:t xml:space="preserve"> </w:t>
      </w:r>
      <w:r w:rsidRPr="00C31391">
        <w:t>využití</w:t>
      </w:r>
      <w:r>
        <w:t xml:space="preserve"> </w:t>
      </w:r>
      <w:r w:rsidRPr="00C31391">
        <w:t>zásobníku</w:t>
      </w:r>
      <w:r>
        <w:t xml:space="preserve"> </w:t>
      </w:r>
      <w:r w:rsidRPr="00C31391">
        <w:t>plynu</w:t>
      </w:r>
      <w:r>
        <w:t xml:space="preserve"> </w:t>
      </w:r>
      <w:r w:rsidRPr="00C31391">
        <w:t>zajišťovat</w:t>
      </w:r>
      <w:r>
        <w:t xml:space="preserve"> </w:t>
      </w:r>
      <w:r w:rsidRPr="00C31391">
        <w:t>měření</w:t>
      </w:r>
      <w:r>
        <w:t xml:space="preserve"> </w:t>
      </w:r>
      <w:r w:rsidRPr="00C31391">
        <w:t>plynu</w:t>
      </w:r>
      <w:r>
        <w:t xml:space="preserve"> </w:t>
      </w:r>
      <w:r w:rsidRPr="00C31391">
        <w:t>na</w:t>
      </w:r>
      <w:r>
        <w:t xml:space="preserve"> </w:t>
      </w:r>
      <w:r w:rsidRPr="00C31391">
        <w:t>vstupu</w:t>
      </w:r>
      <w:r>
        <w:t xml:space="preserve"> </w:t>
      </w:r>
      <w:r w:rsidRPr="00C31391">
        <w:t>a</w:t>
      </w:r>
      <w:r>
        <w:t xml:space="preserve"> </w:t>
      </w:r>
      <w:r w:rsidRPr="00C31391">
        <w:t>výstupu</w:t>
      </w:r>
      <w:r>
        <w:t xml:space="preserve"> </w:t>
      </w:r>
      <w:r w:rsidRPr="00C31391">
        <w:t>z</w:t>
      </w:r>
      <w:r>
        <w:t xml:space="preserve"> </w:t>
      </w:r>
      <w:r w:rsidRPr="00C31391">
        <w:t>tohoto</w:t>
      </w:r>
      <w:r>
        <w:t xml:space="preserve"> </w:t>
      </w:r>
      <w:r w:rsidRPr="00C31391">
        <w:t>zásobníku</w:t>
      </w:r>
      <w:r>
        <w:t xml:space="preserve"> </w:t>
      </w:r>
      <w:r w:rsidRPr="00C31391">
        <w:t>plynu,</w:t>
      </w:r>
      <w:r>
        <w:t xml:space="preserve"> </w:t>
      </w:r>
      <w:r w:rsidRPr="00C31391">
        <w:t>včetně</w:t>
      </w:r>
      <w:r>
        <w:t xml:space="preserve"> </w:t>
      </w:r>
      <w:r w:rsidRPr="00C31391">
        <w:t>vyhodnocování</w:t>
      </w:r>
      <w:r>
        <w:t xml:space="preserve"> </w:t>
      </w:r>
      <w:r w:rsidRPr="00C31391">
        <w:t>a</w:t>
      </w:r>
      <w:r>
        <w:t xml:space="preserve"> </w:t>
      </w:r>
      <w:r w:rsidRPr="00C31391">
        <w:t>předávání</w:t>
      </w:r>
      <w:r>
        <w:t xml:space="preserve"> </w:t>
      </w:r>
      <w:r w:rsidRPr="00C31391">
        <w:t>těchto</w:t>
      </w:r>
      <w:r>
        <w:t xml:space="preserve"> </w:t>
      </w:r>
      <w:r w:rsidRPr="00C31391">
        <w:t>dat</w:t>
      </w:r>
      <w:r>
        <w:t xml:space="preserve"> </w:t>
      </w:r>
      <w:r w:rsidRPr="00C31391">
        <w:t>spolu</w:t>
      </w:r>
      <w:r>
        <w:t xml:space="preserve"> </w:t>
      </w:r>
      <w:r w:rsidRPr="00C31391">
        <w:t>s</w:t>
      </w:r>
      <w:r>
        <w:t xml:space="preserve"> </w:t>
      </w:r>
      <w:r w:rsidRPr="00C31391">
        <w:t>agregovanými</w:t>
      </w:r>
      <w:r>
        <w:t xml:space="preserve"> </w:t>
      </w:r>
      <w:r w:rsidRPr="00C31391">
        <w:t>denními</w:t>
      </w:r>
      <w:r>
        <w:t xml:space="preserve"> </w:t>
      </w:r>
      <w:r w:rsidRPr="00C31391">
        <w:t>stavy</w:t>
      </w:r>
      <w:r>
        <w:t xml:space="preserve"> </w:t>
      </w:r>
      <w:r w:rsidRPr="00C31391">
        <w:t>účtů</w:t>
      </w:r>
      <w:r>
        <w:t xml:space="preserve"> </w:t>
      </w:r>
      <w:r w:rsidRPr="00C31391">
        <w:t>zásobníku</w:t>
      </w:r>
      <w:r>
        <w:t xml:space="preserve"> </w:t>
      </w:r>
      <w:r w:rsidRPr="00C31391">
        <w:t>plynu</w:t>
      </w:r>
      <w:r>
        <w:t xml:space="preserve"> </w:t>
      </w:r>
      <w:r w:rsidRPr="00C31391">
        <w:t>pro</w:t>
      </w:r>
      <w:r>
        <w:t xml:space="preserve"> </w:t>
      </w:r>
      <w:r w:rsidRPr="00C31391">
        <w:t>jednotlivé</w:t>
      </w:r>
      <w:r>
        <w:t xml:space="preserve"> </w:t>
      </w:r>
      <w:r w:rsidRPr="00C31391">
        <w:t>tržní</w:t>
      </w:r>
      <w:r>
        <w:t xml:space="preserve"> </w:t>
      </w:r>
      <w:r w:rsidRPr="00C31391">
        <w:t>zóny</w:t>
      </w:r>
      <w:r>
        <w:t xml:space="preserve"> </w:t>
      </w:r>
      <w:r w:rsidRPr="00C31391">
        <w:t>operátorovi</w:t>
      </w:r>
      <w:r>
        <w:t xml:space="preserve"> </w:t>
      </w:r>
      <w:r w:rsidRPr="00C31391">
        <w:t>trhu</w:t>
      </w:r>
      <w:r>
        <w:t xml:space="preserve"> </w:t>
      </w:r>
      <w:r w:rsidRPr="00C31391">
        <w:t>a</w:t>
      </w:r>
      <w:r>
        <w:t xml:space="preserve"> </w:t>
      </w:r>
      <w:r w:rsidRPr="00C31391">
        <w:t>provozovateli</w:t>
      </w:r>
      <w:r>
        <w:t xml:space="preserve"> </w:t>
      </w:r>
      <w:r w:rsidRPr="00C31391">
        <w:t>přepravní</w:t>
      </w:r>
      <w:r>
        <w:t xml:space="preserve"> </w:t>
      </w:r>
      <w:r w:rsidRPr="00C31391">
        <w:t>soustavy,</w:t>
      </w:r>
    </w:p>
    <w:p w14:paraId="004A7E02" w14:textId="77777777" w:rsidR="00C15607" w:rsidRPr="00C31391" w:rsidRDefault="00C15607" w:rsidP="002E6AEA">
      <w:pPr>
        <w:pStyle w:val="Textparagrafu"/>
        <w:tabs>
          <w:tab w:val="left" w:pos="426"/>
          <w:tab w:val="left" w:pos="840"/>
        </w:tabs>
        <w:spacing w:before="0"/>
        <w:ind w:left="426" w:hanging="426"/>
      </w:pPr>
      <w:r w:rsidRPr="00C31391">
        <w:t>z)</w:t>
      </w:r>
      <w:r>
        <w:tab/>
      </w:r>
      <w:r w:rsidRPr="00C31391">
        <w:t>předávat</w:t>
      </w:r>
      <w:r>
        <w:t xml:space="preserve"> </w:t>
      </w:r>
      <w:r w:rsidRPr="00C31391">
        <w:t>provozovateli</w:t>
      </w:r>
      <w:r>
        <w:t xml:space="preserve"> </w:t>
      </w:r>
      <w:r w:rsidRPr="00C31391">
        <w:t>přepravní</w:t>
      </w:r>
      <w:r>
        <w:t xml:space="preserve"> </w:t>
      </w:r>
      <w:r w:rsidRPr="00C31391">
        <w:t>soustavy</w:t>
      </w:r>
      <w:r>
        <w:t xml:space="preserve"> </w:t>
      </w:r>
      <w:r w:rsidRPr="00C31391">
        <w:t>informace</w:t>
      </w:r>
      <w:r>
        <w:t xml:space="preserve"> </w:t>
      </w:r>
      <w:r w:rsidRPr="00C31391">
        <w:t>o</w:t>
      </w:r>
      <w:r>
        <w:t xml:space="preserve"> </w:t>
      </w:r>
      <w:r w:rsidRPr="00C31391">
        <w:t>velikosti</w:t>
      </w:r>
      <w:r>
        <w:t xml:space="preserve"> </w:t>
      </w:r>
      <w:r w:rsidRPr="00C31391">
        <w:t>a</w:t>
      </w:r>
      <w:r>
        <w:t xml:space="preserve"> </w:t>
      </w:r>
      <w:r w:rsidRPr="00C31391">
        <w:t>době</w:t>
      </w:r>
      <w:r>
        <w:t xml:space="preserve"> </w:t>
      </w:r>
      <w:r w:rsidRPr="00C31391">
        <w:t>trvání</w:t>
      </w:r>
      <w:r>
        <w:t xml:space="preserve"> </w:t>
      </w:r>
      <w:r w:rsidRPr="00C31391">
        <w:t>skladovacích</w:t>
      </w:r>
      <w:r>
        <w:t xml:space="preserve"> </w:t>
      </w:r>
      <w:r w:rsidRPr="00C31391">
        <w:t>kapacit</w:t>
      </w:r>
      <w:r>
        <w:t xml:space="preserve"> </w:t>
      </w:r>
      <w:r w:rsidRPr="00C31391">
        <w:t>rezervovaných</w:t>
      </w:r>
      <w:r>
        <w:t xml:space="preserve"> </w:t>
      </w:r>
      <w:r w:rsidRPr="00C31391">
        <w:t>jednotlivými</w:t>
      </w:r>
      <w:r>
        <w:t xml:space="preserve"> </w:t>
      </w:r>
      <w:r w:rsidRPr="00C31391">
        <w:t>účastníky</w:t>
      </w:r>
      <w:r>
        <w:t xml:space="preserve"> </w:t>
      </w:r>
      <w:r w:rsidRPr="00C31391">
        <w:t>trhu</w:t>
      </w:r>
      <w:r>
        <w:t xml:space="preserve"> </w:t>
      </w:r>
      <w:r w:rsidRPr="00C31391">
        <w:t>s</w:t>
      </w:r>
      <w:r>
        <w:t xml:space="preserve"> </w:t>
      </w:r>
      <w:r w:rsidRPr="00C31391">
        <w:t>plynem.</w:t>
      </w:r>
    </w:p>
    <w:p w14:paraId="6845D758" w14:textId="6EDF86D5" w:rsidR="004262BA" w:rsidRDefault="00C15607" w:rsidP="00C15607">
      <w:pPr>
        <w:pStyle w:val="Textparagrafu"/>
        <w:tabs>
          <w:tab w:val="left" w:pos="406"/>
          <w:tab w:val="left" w:pos="840"/>
          <w:tab w:val="left" w:pos="868"/>
        </w:tabs>
        <w:spacing w:after="120"/>
        <w:ind w:firstLine="0"/>
        <w:jc w:val="center"/>
      </w:pPr>
      <w:r>
        <w:t>***</w:t>
      </w:r>
    </w:p>
    <w:p w14:paraId="1F41758C" w14:textId="77777777" w:rsidR="008B568E" w:rsidRDefault="008B568E" w:rsidP="008B568E">
      <w:pPr>
        <w:pStyle w:val="Textparagrafu"/>
        <w:tabs>
          <w:tab w:val="left" w:pos="392"/>
          <w:tab w:val="left" w:pos="840"/>
        </w:tabs>
        <w:ind w:firstLine="0"/>
        <w:jc w:val="center"/>
      </w:pPr>
      <w:r w:rsidRPr="008B0305">
        <w:t>§</w:t>
      </w:r>
      <w:r>
        <w:t xml:space="preserve"> </w:t>
      </w:r>
      <w:r w:rsidRPr="008B0305">
        <w:t>67</w:t>
      </w:r>
    </w:p>
    <w:p w14:paraId="2D473E2C" w14:textId="77777777" w:rsidR="008B568E" w:rsidRPr="008B0305" w:rsidRDefault="008B568E" w:rsidP="008B568E">
      <w:pPr>
        <w:pStyle w:val="Textparagrafu"/>
        <w:tabs>
          <w:tab w:val="left" w:pos="392"/>
          <w:tab w:val="left" w:pos="840"/>
        </w:tabs>
        <w:ind w:firstLine="0"/>
        <w:jc w:val="center"/>
        <w:rPr>
          <w:b/>
        </w:rPr>
      </w:pPr>
      <w:r w:rsidRPr="008B0305">
        <w:rPr>
          <w:b/>
        </w:rPr>
        <w:t>Výstavba vybraných plynových zařízení</w:t>
      </w:r>
    </w:p>
    <w:p w14:paraId="2128EE4F" w14:textId="77777777" w:rsidR="008B568E" w:rsidRDefault="008B568E" w:rsidP="0010420C">
      <w:pPr>
        <w:pStyle w:val="Textparagrafu"/>
        <w:tabs>
          <w:tab w:val="left" w:pos="392"/>
          <w:tab w:val="left" w:pos="840"/>
        </w:tabs>
        <w:spacing w:before="120" w:after="120"/>
      </w:pPr>
      <w:r w:rsidRPr="008B0305">
        <w:t>(1)</w:t>
      </w:r>
      <w:r>
        <w:t xml:space="preserve"> </w:t>
      </w:r>
      <w:r w:rsidRPr="008B0305">
        <w:t>Výstavba</w:t>
      </w:r>
      <w:r>
        <w:t xml:space="preserve"> </w:t>
      </w:r>
      <w:r w:rsidRPr="008B0305">
        <w:t>vybraných</w:t>
      </w:r>
      <w:r>
        <w:t xml:space="preserve"> </w:t>
      </w:r>
      <w:r w:rsidRPr="008B0305">
        <w:t>plynových</w:t>
      </w:r>
      <w:r>
        <w:t xml:space="preserve"> </w:t>
      </w:r>
      <w:r w:rsidRPr="008B0305">
        <w:t>zařízení</w:t>
      </w:r>
      <w:r>
        <w:t xml:space="preserve"> </w:t>
      </w:r>
      <w:r w:rsidRPr="008B0305">
        <w:t>je</w:t>
      </w:r>
      <w:r>
        <w:t xml:space="preserve"> </w:t>
      </w:r>
      <w:r w:rsidRPr="008B0305">
        <w:t>možná</w:t>
      </w:r>
      <w:r>
        <w:t xml:space="preserve"> </w:t>
      </w:r>
      <w:r w:rsidRPr="008B0305">
        <w:t>pouze</w:t>
      </w:r>
      <w:r>
        <w:t xml:space="preserve"> </w:t>
      </w:r>
      <w:r w:rsidRPr="008B0305">
        <w:t>na</w:t>
      </w:r>
      <w:r>
        <w:t xml:space="preserve"> </w:t>
      </w:r>
      <w:r w:rsidRPr="008B0305">
        <w:t>základě</w:t>
      </w:r>
      <w:r>
        <w:t xml:space="preserve"> </w:t>
      </w:r>
      <w:r w:rsidRPr="008B0305">
        <w:t>státní</w:t>
      </w:r>
      <w:r>
        <w:t xml:space="preserve"> </w:t>
      </w:r>
      <w:r w:rsidRPr="008B0305">
        <w:t>autorizace</w:t>
      </w:r>
      <w:r>
        <w:t xml:space="preserve"> </w:t>
      </w:r>
      <w:r w:rsidRPr="008B0305">
        <w:t>(dále</w:t>
      </w:r>
      <w:r>
        <w:t xml:space="preserve"> </w:t>
      </w:r>
      <w:r w:rsidRPr="008B0305">
        <w:t>jen</w:t>
      </w:r>
      <w:r>
        <w:t xml:space="preserve"> </w:t>
      </w:r>
      <w:r w:rsidRPr="008B0305">
        <w:t>"autorizace"),</w:t>
      </w:r>
      <w:r>
        <w:t xml:space="preserve"> </w:t>
      </w:r>
      <w:r w:rsidRPr="008B0305">
        <w:t>o</w:t>
      </w:r>
      <w:r>
        <w:t xml:space="preserve"> </w:t>
      </w:r>
      <w:r w:rsidRPr="008B0305">
        <w:t>jejímž</w:t>
      </w:r>
      <w:r>
        <w:t xml:space="preserve"> </w:t>
      </w:r>
      <w:r w:rsidRPr="008B0305">
        <w:t>udělení</w:t>
      </w:r>
      <w:r>
        <w:t xml:space="preserve"> </w:t>
      </w:r>
      <w:r w:rsidRPr="008B0305">
        <w:t>rozhoduje</w:t>
      </w:r>
      <w:r>
        <w:t xml:space="preserve"> </w:t>
      </w:r>
      <w:r w:rsidRPr="008B0305">
        <w:t>ministerstvo.</w:t>
      </w:r>
      <w:r>
        <w:t xml:space="preserve"> </w:t>
      </w:r>
      <w:r w:rsidRPr="008B0305">
        <w:t>Na</w:t>
      </w:r>
      <w:r>
        <w:t xml:space="preserve"> </w:t>
      </w:r>
      <w:r w:rsidRPr="008B0305">
        <w:t>přeložku</w:t>
      </w:r>
      <w:r>
        <w:t xml:space="preserve"> </w:t>
      </w:r>
      <w:r w:rsidRPr="008B0305">
        <w:t>vybraného</w:t>
      </w:r>
      <w:r>
        <w:t xml:space="preserve"> </w:t>
      </w:r>
      <w:r w:rsidRPr="008B0305">
        <w:t>plynového</w:t>
      </w:r>
      <w:r>
        <w:t xml:space="preserve"> </w:t>
      </w:r>
      <w:r w:rsidRPr="008B0305">
        <w:t>zařízení</w:t>
      </w:r>
      <w:r>
        <w:t xml:space="preserve"> </w:t>
      </w:r>
      <w:r w:rsidRPr="008B0305">
        <w:t>nebo</w:t>
      </w:r>
      <w:r>
        <w:t xml:space="preserve"> </w:t>
      </w:r>
      <w:r w:rsidRPr="008B0305">
        <w:t>při</w:t>
      </w:r>
      <w:r>
        <w:t xml:space="preserve"> </w:t>
      </w:r>
      <w:r w:rsidRPr="008B0305">
        <w:t>jeho</w:t>
      </w:r>
      <w:r>
        <w:t xml:space="preserve"> </w:t>
      </w:r>
      <w:r w:rsidRPr="008B0305">
        <w:t>stavební</w:t>
      </w:r>
      <w:r>
        <w:t xml:space="preserve"> </w:t>
      </w:r>
      <w:r w:rsidRPr="008B0305">
        <w:t>úpravě,</w:t>
      </w:r>
      <w:r>
        <w:t xml:space="preserve"> </w:t>
      </w:r>
      <w:r w:rsidRPr="008B0305">
        <w:t>při</w:t>
      </w:r>
      <w:r>
        <w:t xml:space="preserve"> </w:t>
      </w:r>
      <w:r w:rsidRPr="008B0305">
        <w:t>které</w:t>
      </w:r>
      <w:r>
        <w:t xml:space="preserve"> </w:t>
      </w:r>
      <w:r w:rsidRPr="008B0305">
        <w:t>nedochází</w:t>
      </w:r>
      <w:r>
        <w:t xml:space="preserve"> </w:t>
      </w:r>
      <w:r w:rsidRPr="008B0305">
        <w:t>ke</w:t>
      </w:r>
      <w:r>
        <w:t xml:space="preserve"> </w:t>
      </w:r>
      <w:r w:rsidRPr="008B0305">
        <w:t>změně</w:t>
      </w:r>
      <w:r>
        <w:t xml:space="preserve"> </w:t>
      </w:r>
      <w:r w:rsidRPr="008B0305">
        <w:t>technických</w:t>
      </w:r>
      <w:r>
        <w:t xml:space="preserve"> </w:t>
      </w:r>
      <w:r w:rsidRPr="008B0305">
        <w:t>parametrů,</w:t>
      </w:r>
      <w:r>
        <w:t xml:space="preserve"> </w:t>
      </w:r>
      <w:r w:rsidRPr="008B0305">
        <w:t>se</w:t>
      </w:r>
      <w:r>
        <w:t xml:space="preserve"> </w:t>
      </w:r>
      <w:r w:rsidRPr="008B0305">
        <w:t>autorizace</w:t>
      </w:r>
      <w:r>
        <w:t xml:space="preserve"> </w:t>
      </w:r>
      <w:r w:rsidRPr="008B0305">
        <w:t>nevyžaduje.</w:t>
      </w:r>
    </w:p>
    <w:p w14:paraId="3A4B1BC0" w14:textId="77777777" w:rsidR="008B568E" w:rsidRDefault="008B568E" w:rsidP="0010420C">
      <w:pPr>
        <w:pStyle w:val="Textparagrafu"/>
        <w:tabs>
          <w:tab w:val="left" w:pos="392"/>
          <w:tab w:val="left" w:pos="840"/>
        </w:tabs>
        <w:spacing w:before="120" w:after="120"/>
      </w:pPr>
      <w:r w:rsidRPr="008B0305">
        <w:t>(2)</w:t>
      </w:r>
      <w:r>
        <w:t xml:space="preserve"> </w:t>
      </w:r>
      <w:r w:rsidRPr="008B0305">
        <w:t>Vybranými</w:t>
      </w:r>
      <w:r>
        <w:t xml:space="preserve"> </w:t>
      </w:r>
      <w:r w:rsidRPr="008B0305">
        <w:t>plynovými</w:t>
      </w:r>
      <w:r>
        <w:t xml:space="preserve"> </w:t>
      </w:r>
      <w:r w:rsidRPr="008B0305">
        <w:t>zařízeními</w:t>
      </w:r>
      <w:r>
        <w:t xml:space="preserve"> </w:t>
      </w:r>
      <w:r w:rsidRPr="008B0305">
        <w:t>jsou</w:t>
      </w:r>
    </w:p>
    <w:p w14:paraId="6E74606D" w14:textId="32E38905" w:rsidR="008B568E" w:rsidRDefault="008B568E" w:rsidP="008B568E">
      <w:pPr>
        <w:pStyle w:val="Textparagrafu"/>
        <w:tabs>
          <w:tab w:val="left" w:pos="392"/>
          <w:tab w:val="left" w:pos="840"/>
        </w:tabs>
        <w:spacing w:before="0"/>
        <w:ind w:firstLine="0"/>
      </w:pPr>
      <w:r w:rsidRPr="008B0305">
        <w:t>a)</w:t>
      </w:r>
      <w:r w:rsidR="002E6AEA">
        <w:tab/>
      </w:r>
      <w:r w:rsidRPr="008B0305">
        <w:t>přímé</w:t>
      </w:r>
      <w:r>
        <w:t xml:space="preserve"> </w:t>
      </w:r>
      <w:r w:rsidRPr="008B0305">
        <w:t>plynovody,</w:t>
      </w:r>
    </w:p>
    <w:p w14:paraId="01A420F9" w14:textId="4E332915" w:rsidR="008B568E" w:rsidRDefault="008B568E" w:rsidP="008B568E">
      <w:pPr>
        <w:pStyle w:val="Textparagrafu"/>
        <w:tabs>
          <w:tab w:val="left" w:pos="392"/>
          <w:tab w:val="left" w:pos="840"/>
        </w:tabs>
        <w:spacing w:before="0"/>
        <w:ind w:firstLine="0"/>
      </w:pPr>
      <w:r w:rsidRPr="008B0305">
        <w:t>b)</w:t>
      </w:r>
      <w:r w:rsidR="002E6AEA">
        <w:tab/>
      </w:r>
      <w:r w:rsidRPr="008B0305">
        <w:t>zásobníky</w:t>
      </w:r>
      <w:r>
        <w:t xml:space="preserve"> </w:t>
      </w:r>
      <w:r w:rsidRPr="008B0305">
        <w:t>plynu,</w:t>
      </w:r>
    </w:p>
    <w:p w14:paraId="1091AF2D" w14:textId="4540ED86" w:rsidR="008B568E" w:rsidRDefault="008B568E" w:rsidP="008B568E">
      <w:pPr>
        <w:pStyle w:val="Textparagrafu"/>
        <w:tabs>
          <w:tab w:val="left" w:pos="392"/>
          <w:tab w:val="left" w:pos="840"/>
        </w:tabs>
        <w:spacing w:before="0"/>
        <w:ind w:firstLine="0"/>
      </w:pPr>
      <w:r w:rsidRPr="008B0305">
        <w:t>c)</w:t>
      </w:r>
      <w:r w:rsidR="002E6AEA">
        <w:tab/>
      </w:r>
      <w:r w:rsidRPr="008B0305">
        <w:t>plynovody</w:t>
      </w:r>
      <w:r>
        <w:t xml:space="preserve"> </w:t>
      </w:r>
      <w:r w:rsidRPr="008B0305">
        <w:t>spojující</w:t>
      </w:r>
      <w:r>
        <w:t xml:space="preserve"> </w:t>
      </w:r>
      <w:r w:rsidRPr="008B0305">
        <w:t>plynárenskou</w:t>
      </w:r>
      <w:r>
        <w:t xml:space="preserve"> </w:t>
      </w:r>
      <w:r w:rsidRPr="008B0305">
        <w:t>soustavu</w:t>
      </w:r>
      <w:r>
        <w:t xml:space="preserve"> </w:t>
      </w:r>
      <w:r w:rsidRPr="008B0305">
        <w:t>se</w:t>
      </w:r>
      <w:r>
        <w:t xml:space="preserve"> </w:t>
      </w:r>
      <w:r w:rsidRPr="008B0305">
        <w:t>zahraničními</w:t>
      </w:r>
      <w:r>
        <w:t xml:space="preserve"> </w:t>
      </w:r>
      <w:r w:rsidRPr="008B0305">
        <w:t>plynárenskými</w:t>
      </w:r>
      <w:r>
        <w:t xml:space="preserve"> </w:t>
      </w:r>
      <w:r w:rsidRPr="008B0305">
        <w:t>soustavami,</w:t>
      </w:r>
    </w:p>
    <w:p w14:paraId="3FFA0619" w14:textId="72EC1872" w:rsidR="008B568E" w:rsidRDefault="008B568E" w:rsidP="008B568E">
      <w:pPr>
        <w:pStyle w:val="Textparagrafu"/>
        <w:tabs>
          <w:tab w:val="left" w:pos="392"/>
          <w:tab w:val="left" w:pos="840"/>
        </w:tabs>
        <w:spacing w:before="0"/>
        <w:ind w:firstLine="0"/>
      </w:pPr>
      <w:r w:rsidRPr="008B0305">
        <w:t>d)</w:t>
      </w:r>
      <w:r w:rsidR="002E6AEA">
        <w:tab/>
      </w:r>
      <w:r w:rsidRPr="008B0305">
        <w:t>plynovody</w:t>
      </w:r>
      <w:r>
        <w:t xml:space="preserve"> </w:t>
      </w:r>
      <w:r w:rsidRPr="008B0305">
        <w:t>o</w:t>
      </w:r>
      <w:r>
        <w:t xml:space="preserve"> </w:t>
      </w:r>
      <w:r w:rsidRPr="008B0305">
        <w:t>tlakové</w:t>
      </w:r>
      <w:r>
        <w:t xml:space="preserve"> </w:t>
      </w:r>
      <w:r w:rsidRPr="008B0305">
        <w:t>úrovni</w:t>
      </w:r>
      <w:r>
        <w:t xml:space="preserve"> </w:t>
      </w:r>
      <w:r w:rsidRPr="008B0305">
        <w:t>vyšší</w:t>
      </w:r>
      <w:r>
        <w:t xml:space="preserve"> </w:t>
      </w:r>
      <w:r w:rsidRPr="008B0305">
        <w:t>než</w:t>
      </w:r>
      <w:r>
        <w:t xml:space="preserve"> </w:t>
      </w:r>
      <w:r w:rsidRPr="008B0305">
        <w:t>0,4</w:t>
      </w:r>
      <w:r>
        <w:t xml:space="preserve"> </w:t>
      </w:r>
      <w:proofErr w:type="spellStart"/>
      <w:r w:rsidRPr="008B0305">
        <w:t>MPa</w:t>
      </w:r>
      <w:proofErr w:type="spellEnd"/>
      <w:r w:rsidRPr="008B0305">
        <w:t>,</w:t>
      </w:r>
    </w:p>
    <w:p w14:paraId="75C8CDA0" w14:textId="2A5BEA3C" w:rsidR="008B568E" w:rsidRDefault="008B568E" w:rsidP="008B568E">
      <w:pPr>
        <w:pStyle w:val="Textparagrafu"/>
        <w:tabs>
          <w:tab w:val="left" w:pos="392"/>
          <w:tab w:val="left" w:pos="840"/>
        </w:tabs>
        <w:spacing w:before="0"/>
        <w:ind w:firstLine="0"/>
      </w:pPr>
      <w:r w:rsidRPr="008B0305">
        <w:t>e)</w:t>
      </w:r>
      <w:r w:rsidR="002E6AEA">
        <w:tab/>
      </w:r>
      <w:r w:rsidRPr="008B0305">
        <w:t>výrobny</w:t>
      </w:r>
      <w:r>
        <w:t xml:space="preserve"> </w:t>
      </w:r>
      <w:r w:rsidRPr="008B0305">
        <w:t>plynu.</w:t>
      </w:r>
    </w:p>
    <w:p w14:paraId="338561DF" w14:textId="77777777" w:rsidR="008B568E" w:rsidRDefault="008B568E" w:rsidP="0010420C">
      <w:pPr>
        <w:pStyle w:val="Textparagrafu"/>
        <w:tabs>
          <w:tab w:val="left" w:pos="392"/>
          <w:tab w:val="left" w:pos="840"/>
        </w:tabs>
        <w:spacing w:before="120" w:after="120"/>
      </w:pPr>
      <w:r w:rsidRPr="008B0305">
        <w:t>(3)</w:t>
      </w:r>
      <w:r>
        <w:t xml:space="preserve"> </w:t>
      </w:r>
      <w:r w:rsidRPr="008B0305">
        <w:t>Autorizace</w:t>
      </w:r>
      <w:r>
        <w:t xml:space="preserve"> </w:t>
      </w:r>
      <w:r w:rsidRPr="008B0305">
        <w:t>je</w:t>
      </w:r>
      <w:r>
        <w:t xml:space="preserve"> </w:t>
      </w:r>
      <w:r w:rsidRPr="008B0305">
        <w:t>nepřenosná</w:t>
      </w:r>
      <w:r>
        <w:t xml:space="preserve"> </w:t>
      </w:r>
      <w:r w:rsidRPr="008B0305">
        <w:t>na</w:t>
      </w:r>
      <w:r>
        <w:t xml:space="preserve"> </w:t>
      </w:r>
      <w:r w:rsidRPr="008B0305">
        <w:t>jinou</w:t>
      </w:r>
      <w:r>
        <w:t xml:space="preserve"> </w:t>
      </w:r>
      <w:r w:rsidRPr="008B0305">
        <w:t>právnickou</w:t>
      </w:r>
      <w:r>
        <w:t xml:space="preserve"> </w:t>
      </w:r>
      <w:r w:rsidRPr="008B0305">
        <w:t>či</w:t>
      </w:r>
      <w:r>
        <w:t xml:space="preserve"> </w:t>
      </w:r>
      <w:r w:rsidRPr="008B0305">
        <w:t>fyzickou</w:t>
      </w:r>
      <w:r>
        <w:t xml:space="preserve"> </w:t>
      </w:r>
      <w:r w:rsidRPr="008B0305">
        <w:t>osobu</w:t>
      </w:r>
      <w:r>
        <w:t xml:space="preserve"> </w:t>
      </w:r>
      <w:r w:rsidRPr="008B0305">
        <w:t>a</w:t>
      </w:r>
      <w:r>
        <w:t xml:space="preserve"> </w:t>
      </w:r>
      <w:r w:rsidRPr="008B0305">
        <w:t>uděluje</w:t>
      </w:r>
      <w:r>
        <w:t xml:space="preserve"> </w:t>
      </w:r>
      <w:r w:rsidRPr="008B0305">
        <w:t>se</w:t>
      </w:r>
      <w:r>
        <w:t xml:space="preserve"> </w:t>
      </w:r>
      <w:r w:rsidRPr="008B0305">
        <w:t>na</w:t>
      </w:r>
      <w:r>
        <w:t xml:space="preserve"> </w:t>
      </w:r>
      <w:r w:rsidRPr="008B0305">
        <w:t>dobu</w:t>
      </w:r>
      <w:r>
        <w:t xml:space="preserve"> </w:t>
      </w:r>
      <w:r w:rsidRPr="008B0305">
        <w:t>uvedenou</w:t>
      </w:r>
      <w:r>
        <w:t xml:space="preserve"> </w:t>
      </w:r>
      <w:r w:rsidRPr="008B0305">
        <w:t>v</w:t>
      </w:r>
      <w:r>
        <w:t xml:space="preserve"> </w:t>
      </w:r>
      <w:r w:rsidRPr="008B0305">
        <w:t>žádosti,</w:t>
      </w:r>
      <w:r>
        <w:t xml:space="preserve"> </w:t>
      </w:r>
      <w:r w:rsidRPr="008B0305">
        <w:t>maximálně</w:t>
      </w:r>
      <w:r>
        <w:t xml:space="preserve"> </w:t>
      </w:r>
      <w:r w:rsidRPr="008B0305">
        <w:t>však</w:t>
      </w:r>
      <w:r>
        <w:t xml:space="preserve"> </w:t>
      </w:r>
      <w:r w:rsidRPr="008B0305">
        <w:t>na</w:t>
      </w:r>
      <w:r>
        <w:t xml:space="preserve"> </w:t>
      </w:r>
      <w:r w:rsidRPr="008B0305">
        <w:t>5</w:t>
      </w:r>
      <w:r>
        <w:t xml:space="preserve"> </w:t>
      </w:r>
      <w:r w:rsidRPr="008B0305">
        <w:t>let</w:t>
      </w:r>
      <w:r>
        <w:t xml:space="preserve"> </w:t>
      </w:r>
      <w:r w:rsidRPr="008B0305">
        <w:t>ode</w:t>
      </w:r>
      <w:r>
        <w:t xml:space="preserve"> </w:t>
      </w:r>
      <w:r w:rsidRPr="008B0305">
        <w:t>dne</w:t>
      </w:r>
      <w:r>
        <w:t xml:space="preserve"> </w:t>
      </w:r>
      <w:r w:rsidRPr="008B0305">
        <w:t>udělení</w:t>
      </w:r>
      <w:r>
        <w:t xml:space="preserve"> </w:t>
      </w:r>
      <w:r w:rsidRPr="008B0305">
        <w:t>s</w:t>
      </w:r>
      <w:r>
        <w:t xml:space="preserve"> </w:t>
      </w:r>
      <w:r w:rsidRPr="008B0305">
        <w:t>možností</w:t>
      </w:r>
      <w:r>
        <w:t xml:space="preserve"> </w:t>
      </w:r>
      <w:r w:rsidRPr="008B0305">
        <w:t>jejího</w:t>
      </w:r>
      <w:r>
        <w:t xml:space="preserve"> </w:t>
      </w:r>
      <w:r w:rsidRPr="008B0305">
        <w:t>prodloužení</w:t>
      </w:r>
      <w:r>
        <w:t xml:space="preserve"> </w:t>
      </w:r>
      <w:r w:rsidRPr="008B0305">
        <w:t>na</w:t>
      </w:r>
      <w:r>
        <w:t xml:space="preserve"> </w:t>
      </w:r>
      <w:r w:rsidRPr="008B0305">
        <w:t>základě</w:t>
      </w:r>
      <w:r>
        <w:t xml:space="preserve"> </w:t>
      </w:r>
      <w:r w:rsidRPr="008B0305">
        <w:t>žádosti</w:t>
      </w:r>
      <w:r>
        <w:t xml:space="preserve"> </w:t>
      </w:r>
      <w:r w:rsidRPr="008B0305">
        <w:t>držitele.</w:t>
      </w:r>
      <w:r>
        <w:t xml:space="preserve"> </w:t>
      </w:r>
      <w:r w:rsidRPr="008B0305">
        <w:t>Žádost</w:t>
      </w:r>
      <w:r>
        <w:t xml:space="preserve"> </w:t>
      </w:r>
      <w:r w:rsidRPr="008B0305">
        <w:t>o</w:t>
      </w:r>
      <w:r>
        <w:t xml:space="preserve"> </w:t>
      </w:r>
      <w:r w:rsidRPr="008B0305">
        <w:t>prodloužení</w:t>
      </w:r>
      <w:r>
        <w:t xml:space="preserve"> </w:t>
      </w:r>
      <w:r w:rsidRPr="008B0305">
        <w:t>platnosti</w:t>
      </w:r>
      <w:r>
        <w:t xml:space="preserve"> </w:t>
      </w:r>
      <w:r w:rsidRPr="008B0305">
        <w:t>autorizace</w:t>
      </w:r>
      <w:r>
        <w:t xml:space="preserve"> </w:t>
      </w:r>
      <w:r w:rsidRPr="008B0305">
        <w:t>je</w:t>
      </w:r>
      <w:r>
        <w:t xml:space="preserve"> </w:t>
      </w:r>
      <w:r w:rsidRPr="008B0305">
        <w:t>nutné</w:t>
      </w:r>
      <w:r>
        <w:t xml:space="preserve"> </w:t>
      </w:r>
      <w:r w:rsidRPr="008B0305">
        <w:t>podat</w:t>
      </w:r>
      <w:r>
        <w:t xml:space="preserve"> </w:t>
      </w:r>
      <w:r w:rsidRPr="008B0305">
        <w:t>nejméně</w:t>
      </w:r>
      <w:r>
        <w:t xml:space="preserve"> </w:t>
      </w:r>
      <w:r w:rsidRPr="008B0305">
        <w:t>6</w:t>
      </w:r>
      <w:r>
        <w:t xml:space="preserve"> </w:t>
      </w:r>
      <w:r w:rsidRPr="008B0305">
        <w:t>měsíců</w:t>
      </w:r>
      <w:r>
        <w:t xml:space="preserve"> </w:t>
      </w:r>
      <w:r w:rsidRPr="008B0305">
        <w:t>před</w:t>
      </w:r>
      <w:r>
        <w:t xml:space="preserve"> </w:t>
      </w:r>
      <w:r w:rsidRPr="008B0305">
        <w:t>skončením</w:t>
      </w:r>
      <w:r>
        <w:t xml:space="preserve"> </w:t>
      </w:r>
      <w:r w:rsidRPr="008B0305">
        <w:t>její</w:t>
      </w:r>
      <w:r>
        <w:t xml:space="preserve"> </w:t>
      </w:r>
      <w:r w:rsidRPr="008B0305">
        <w:t>platnosti.</w:t>
      </w:r>
    </w:p>
    <w:p w14:paraId="1F086D79" w14:textId="77777777" w:rsidR="008B568E" w:rsidRDefault="008B568E" w:rsidP="0010420C">
      <w:pPr>
        <w:pStyle w:val="Textparagrafu"/>
        <w:tabs>
          <w:tab w:val="left" w:pos="392"/>
          <w:tab w:val="left" w:pos="840"/>
        </w:tabs>
        <w:spacing w:before="120" w:after="120"/>
      </w:pPr>
      <w:r w:rsidRPr="008B0305">
        <w:t>(4)</w:t>
      </w:r>
      <w:r>
        <w:t xml:space="preserve"> </w:t>
      </w:r>
      <w:r w:rsidRPr="008B0305">
        <w:t>Na</w:t>
      </w:r>
      <w:r>
        <w:t xml:space="preserve"> </w:t>
      </w:r>
      <w:r w:rsidRPr="008B0305">
        <w:t>udělení</w:t>
      </w:r>
      <w:r>
        <w:t xml:space="preserve"> </w:t>
      </w:r>
      <w:r w:rsidRPr="008B0305">
        <w:t>autorizace</w:t>
      </w:r>
      <w:r>
        <w:t xml:space="preserve"> </w:t>
      </w:r>
      <w:r w:rsidRPr="008B0305">
        <w:t>na</w:t>
      </w:r>
      <w:r>
        <w:t xml:space="preserve"> </w:t>
      </w:r>
      <w:r w:rsidRPr="008B0305">
        <w:t>výstavbu</w:t>
      </w:r>
      <w:r>
        <w:t xml:space="preserve"> </w:t>
      </w:r>
      <w:r w:rsidRPr="008B0305">
        <w:t>vybraných</w:t>
      </w:r>
      <w:r>
        <w:t xml:space="preserve"> </w:t>
      </w:r>
      <w:r w:rsidRPr="008B0305">
        <w:t>plynových</w:t>
      </w:r>
      <w:r>
        <w:t xml:space="preserve"> </w:t>
      </w:r>
      <w:r w:rsidRPr="008B0305">
        <w:t>zařízení</w:t>
      </w:r>
      <w:r>
        <w:t xml:space="preserve"> </w:t>
      </w:r>
      <w:r w:rsidRPr="008B0305">
        <w:t>není</w:t>
      </w:r>
      <w:r>
        <w:t xml:space="preserve"> </w:t>
      </w:r>
      <w:r w:rsidRPr="008B0305">
        <w:t>právní</w:t>
      </w:r>
      <w:r>
        <w:t xml:space="preserve"> </w:t>
      </w:r>
      <w:r w:rsidRPr="008B0305">
        <w:t>nárok.</w:t>
      </w:r>
      <w:r>
        <w:t xml:space="preserve"> </w:t>
      </w:r>
      <w:r w:rsidRPr="008B0305">
        <w:t>Při</w:t>
      </w:r>
      <w:r>
        <w:t xml:space="preserve"> </w:t>
      </w:r>
      <w:r w:rsidRPr="008B0305">
        <w:t>udělování</w:t>
      </w:r>
      <w:r>
        <w:t xml:space="preserve"> </w:t>
      </w:r>
      <w:r w:rsidRPr="008B0305">
        <w:t>autorizace</w:t>
      </w:r>
      <w:r>
        <w:t xml:space="preserve"> </w:t>
      </w:r>
      <w:r w:rsidRPr="008B0305">
        <w:t>se</w:t>
      </w:r>
      <w:r>
        <w:t xml:space="preserve"> </w:t>
      </w:r>
      <w:r w:rsidRPr="008B0305">
        <w:t>posuzuje</w:t>
      </w:r>
      <w:r>
        <w:t xml:space="preserve"> </w:t>
      </w:r>
      <w:r w:rsidRPr="008B0305">
        <w:t>zejména</w:t>
      </w:r>
      <w:r>
        <w:t xml:space="preserve"> </w:t>
      </w:r>
      <w:r w:rsidRPr="008B0305">
        <w:t>efektivnost</w:t>
      </w:r>
      <w:r>
        <w:t xml:space="preserve"> </w:t>
      </w:r>
      <w:r w:rsidRPr="008B0305">
        <w:t>a</w:t>
      </w:r>
      <w:r>
        <w:t xml:space="preserve"> </w:t>
      </w:r>
      <w:r w:rsidRPr="008B0305">
        <w:t>hospodárnost</w:t>
      </w:r>
      <w:r>
        <w:t xml:space="preserve"> </w:t>
      </w:r>
      <w:r w:rsidRPr="008B0305">
        <w:t>dostupných</w:t>
      </w:r>
      <w:r>
        <w:t xml:space="preserve"> </w:t>
      </w:r>
      <w:r w:rsidRPr="008B0305">
        <w:t>energetických</w:t>
      </w:r>
      <w:r>
        <w:t xml:space="preserve"> </w:t>
      </w:r>
      <w:r w:rsidRPr="008B0305">
        <w:t>zdrojů</w:t>
      </w:r>
      <w:r>
        <w:rPr>
          <w:rStyle w:val="Znakapoznpodarou"/>
        </w:rPr>
        <w:footnoteReference w:customMarkFollows="1" w:id="393"/>
        <w:t>11)</w:t>
      </w:r>
      <w:r>
        <w:t xml:space="preserve"> </w:t>
      </w:r>
      <w:r w:rsidRPr="008B0305">
        <w:t>a</w:t>
      </w:r>
      <w:r>
        <w:t xml:space="preserve"> </w:t>
      </w:r>
      <w:r w:rsidRPr="008B0305">
        <w:t>význam</w:t>
      </w:r>
      <w:r>
        <w:t xml:space="preserve"> </w:t>
      </w:r>
      <w:r w:rsidRPr="008B0305">
        <w:t>projektu</w:t>
      </w:r>
      <w:r>
        <w:t xml:space="preserve"> </w:t>
      </w:r>
      <w:r w:rsidRPr="008B0305">
        <w:t>pro</w:t>
      </w:r>
      <w:r>
        <w:t xml:space="preserve"> </w:t>
      </w:r>
      <w:r w:rsidRPr="008B0305">
        <w:t>vnitřní</w:t>
      </w:r>
      <w:r>
        <w:t xml:space="preserve"> </w:t>
      </w:r>
      <w:r w:rsidRPr="008B0305">
        <w:t>trh</w:t>
      </w:r>
      <w:r>
        <w:t xml:space="preserve"> </w:t>
      </w:r>
      <w:r w:rsidRPr="008B0305">
        <w:t>s</w:t>
      </w:r>
      <w:r>
        <w:t> </w:t>
      </w:r>
      <w:r w:rsidRPr="008B0305">
        <w:t>plynem</w:t>
      </w:r>
      <w:r w:rsidRPr="008B0305">
        <w:rPr>
          <w:vertAlign w:val="superscript"/>
        </w:rPr>
        <w:t>11)</w:t>
      </w:r>
      <w:r w:rsidRPr="008B0305">
        <w:t>.</w:t>
      </w:r>
    </w:p>
    <w:p w14:paraId="215C7D0C" w14:textId="77777777" w:rsidR="008B568E" w:rsidRDefault="008B568E" w:rsidP="0010420C">
      <w:pPr>
        <w:pStyle w:val="Textparagrafu"/>
        <w:tabs>
          <w:tab w:val="left" w:pos="392"/>
          <w:tab w:val="left" w:pos="840"/>
        </w:tabs>
        <w:spacing w:before="120" w:after="120"/>
      </w:pPr>
      <w:r w:rsidRPr="008B0305">
        <w:t>(5)</w:t>
      </w:r>
      <w:r>
        <w:t xml:space="preserve"> </w:t>
      </w:r>
      <w:r w:rsidRPr="008B0305">
        <w:t>Písemná</w:t>
      </w:r>
      <w:r>
        <w:t xml:space="preserve"> </w:t>
      </w:r>
      <w:r w:rsidRPr="008B0305">
        <w:t>žádost</w:t>
      </w:r>
      <w:r>
        <w:t xml:space="preserve"> </w:t>
      </w:r>
      <w:r w:rsidRPr="008B0305">
        <w:t>o</w:t>
      </w:r>
      <w:r>
        <w:t xml:space="preserve"> </w:t>
      </w:r>
      <w:r w:rsidRPr="008B0305">
        <w:t>udělení</w:t>
      </w:r>
      <w:r>
        <w:t xml:space="preserve"> </w:t>
      </w:r>
      <w:r w:rsidRPr="008B0305">
        <w:t>autorizace,</w:t>
      </w:r>
      <w:r>
        <w:t xml:space="preserve"> </w:t>
      </w:r>
      <w:r w:rsidRPr="008B0305">
        <w:t>kterou</w:t>
      </w:r>
      <w:r>
        <w:t xml:space="preserve"> </w:t>
      </w:r>
      <w:r w:rsidRPr="008B0305">
        <w:t>předkládá</w:t>
      </w:r>
      <w:r>
        <w:t xml:space="preserve"> </w:t>
      </w:r>
      <w:r w:rsidRPr="008B0305">
        <w:t>ministerstvu</w:t>
      </w:r>
      <w:r>
        <w:t xml:space="preserve"> </w:t>
      </w:r>
      <w:r w:rsidRPr="008B0305">
        <w:t>žadatel</w:t>
      </w:r>
      <w:r>
        <w:t xml:space="preserve"> </w:t>
      </w:r>
      <w:r w:rsidRPr="008B0305">
        <w:t>o</w:t>
      </w:r>
      <w:r>
        <w:t xml:space="preserve"> </w:t>
      </w:r>
      <w:r w:rsidRPr="008B0305">
        <w:t>udělení</w:t>
      </w:r>
      <w:r>
        <w:t xml:space="preserve"> </w:t>
      </w:r>
      <w:r w:rsidRPr="008B0305">
        <w:t>autorizace,</w:t>
      </w:r>
      <w:r>
        <w:t xml:space="preserve"> </w:t>
      </w:r>
      <w:r w:rsidRPr="008B0305">
        <w:t>musí</w:t>
      </w:r>
      <w:r>
        <w:t xml:space="preserve"> </w:t>
      </w:r>
      <w:r w:rsidRPr="008B0305">
        <w:t>obsahovat</w:t>
      </w:r>
    </w:p>
    <w:p w14:paraId="7435F0C6" w14:textId="77777777" w:rsidR="008B568E" w:rsidRDefault="008B568E" w:rsidP="002E6AEA">
      <w:pPr>
        <w:pStyle w:val="Textparagrafu"/>
        <w:tabs>
          <w:tab w:val="left" w:pos="426"/>
          <w:tab w:val="left" w:pos="851"/>
        </w:tabs>
        <w:spacing w:before="0"/>
        <w:ind w:left="426" w:hanging="426"/>
      </w:pPr>
      <w:r w:rsidRPr="008B0305">
        <w:t>a)</w:t>
      </w:r>
      <w:r>
        <w:tab/>
      </w:r>
      <w:r w:rsidRPr="008B0305">
        <w:t>obchodní</w:t>
      </w:r>
      <w:r>
        <w:t xml:space="preserve"> </w:t>
      </w:r>
      <w:r w:rsidRPr="008B0305">
        <w:t>firmu</w:t>
      </w:r>
      <w:r>
        <w:t xml:space="preserve"> </w:t>
      </w:r>
      <w:r w:rsidRPr="008B0305">
        <w:t>nebo</w:t>
      </w:r>
      <w:r>
        <w:t xml:space="preserve"> </w:t>
      </w:r>
      <w:r w:rsidRPr="008B0305">
        <w:t>název</w:t>
      </w:r>
      <w:r>
        <w:t xml:space="preserve"> </w:t>
      </w:r>
      <w:r w:rsidRPr="008B0305">
        <w:t>právnické</w:t>
      </w:r>
      <w:r>
        <w:t xml:space="preserve"> </w:t>
      </w:r>
      <w:r w:rsidRPr="008B0305">
        <w:t>osoby,</w:t>
      </w:r>
      <w:r>
        <w:t xml:space="preserve"> </w:t>
      </w:r>
      <w:r w:rsidRPr="008B0305">
        <w:t>její</w:t>
      </w:r>
      <w:r>
        <w:t xml:space="preserve"> </w:t>
      </w:r>
      <w:r w:rsidRPr="008B0305">
        <w:t>sídlo,</w:t>
      </w:r>
      <w:r>
        <w:t xml:space="preserve"> </w:t>
      </w:r>
      <w:r w:rsidRPr="008B0305">
        <w:t>identifikační</w:t>
      </w:r>
      <w:r>
        <w:t xml:space="preserve"> </w:t>
      </w:r>
      <w:r w:rsidRPr="008B0305">
        <w:t>číslo,</w:t>
      </w:r>
      <w:r>
        <w:t xml:space="preserve"> </w:t>
      </w:r>
      <w:r w:rsidRPr="008B0305">
        <w:t>bylo-li</w:t>
      </w:r>
      <w:r>
        <w:t xml:space="preserve"> </w:t>
      </w:r>
      <w:r w:rsidRPr="008B0305">
        <w:t>přiděleno,</w:t>
      </w:r>
      <w:r>
        <w:t xml:space="preserve"> </w:t>
      </w:r>
      <w:r w:rsidRPr="008B0305">
        <w:t>a</w:t>
      </w:r>
      <w:r>
        <w:t xml:space="preserve"> </w:t>
      </w:r>
      <w:r w:rsidRPr="008B0305">
        <w:t>údaje</w:t>
      </w:r>
      <w:r>
        <w:t xml:space="preserve"> </w:t>
      </w:r>
      <w:r w:rsidRPr="008B0305">
        <w:t>o</w:t>
      </w:r>
      <w:r>
        <w:t xml:space="preserve"> </w:t>
      </w:r>
      <w:r w:rsidRPr="008B0305">
        <w:t>jejím</w:t>
      </w:r>
      <w:r>
        <w:t xml:space="preserve"> </w:t>
      </w:r>
      <w:r w:rsidRPr="008B0305">
        <w:t>statutárním</w:t>
      </w:r>
      <w:r>
        <w:t xml:space="preserve"> </w:t>
      </w:r>
      <w:r w:rsidRPr="008B0305">
        <w:t>orgánu,</w:t>
      </w:r>
      <w:r>
        <w:t xml:space="preserve"> </w:t>
      </w:r>
      <w:r w:rsidRPr="008B0305">
        <w:t>u</w:t>
      </w:r>
      <w:r>
        <w:t xml:space="preserve"> </w:t>
      </w:r>
      <w:r w:rsidRPr="008B0305">
        <w:t>fyzické</w:t>
      </w:r>
      <w:r>
        <w:t xml:space="preserve"> </w:t>
      </w:r>
      <w:r w:rsidRPr="008B0305">
        <w:t>osoby</w:t>
      </w:r>
      <w:r>
        <w:t xml:space="preserve"> </w:t>
      </w:r>
      <w:r w:rsidRPr="008B0305">
        <w:t>jméno</w:t>
      </w:r>
      <w:r>
        <w:t xml:space="preserve"> </w:t>
      </w:r>
      <w:r w:rsidRPr="008B0305">
        <w:t>a</w:t>
      </w:r>
      <w:r>
        <w:t xml:space="preserve"> </w:t>
      </w:r>
      <w:r w:rsidRPr="008B0305">
        <w:t>příjmení</w:t>
      </w:r>
      <w:r>
        <w:t xml:space="preserve"> </w:t>
      </w:r>
      <w:r w:rsidRPr="008B0305">
        <w:t>nebo</w:t>
      </w:r>
      <w:r>
        <w:t xml:space="preserve"> </w:t>
      </w:r>
      <w:r w:rsidRPr="008B0305">
        <w:t>obchodní</w:t>
      </w:r>
      <w:r>
        <w:t xml:space="preserve"> </w:t>
      </w:r>
      <w:r w:rsidRPr="008B0305">
        <w:t>firmu,</w:t>
      </w:r>
      <w:r>
        <w:t xml:space="preserve"> </w:t>
      </w:r>
      <w:r w:rsidRPr="008B0305">
        <w:t>rodné</w:t>
      </w:r>
      <w:r>
        <w:t xml:space="preserve"> </w:t>
      </w:r>
      <w:r w:rsidRPr="008B0305">
        <w:t>číslo</w:t>
      </w:r>
      <w:r>
        <w:t xml:space="preserve"> </w:t>
      </w:r>
      <w:r w:rsidRPr="008B0305">
        <w:t>a</w:t>
      </w:r>
      <w:r>
        <w:t xml:space="preserve"> </w:t>
      </w:r>
      <w:r w:rsidRPr="008B0305">
        <w:t>identifikační</w:t>
      </w:r>
      <w:r>
        <w:t xml:space="preserve"> </w:t>
      </w:r>
      <w:r w:rsidRPr="008B0305">
        <w:t>číslo,</w:t>
      </w:r>
      <w:r>
        <w:t xml:space="preserve"> </w:t>
      </w:r>
      <w:r w:rsidRPr="008B0305">
        <w:t>pokud</w:t>
      </w:r>
      <w:r>
        <w:t xml:space="preserve"> </w:t>
      </w:r>
      <w:r w:rsidRPr="008B0305">
        <w:t>byla</w:t>
      </w:r>
      <w:r>
        <w:t xml:space="preserve"> </w:t>
      </w:r>
      <w:r w:rsidRPr="008B0305">
        <w:t>přidělena,</w:t>
      </w:r>
      <w:r>
        <w:t xml:space="preserve"> </w:t>
      </w:r>
      <w:r w:rsidRPr="008B0305">
        <w:t>nebo</w:t>
      </w:r>
      <w:r>
        <w:t xml:space="preserve"> </w:t>
      </w:r>
      <w:r w:rsidRPr="008B0305">
        <w:t>datum</w:t>
      </w:r>
      <w:r>
        <w:t xml:space="preserve"> </w:t>
      </w:r>
      <w:r w:rsidRPr="008B0305">
        <w:t>narození,</w:t>
      </w:r>
      <w:r>
        <w:t xml:space="preserve"> </w:t>
      </w:r>
      <w:r w:rsidRPr="008B0305">
        <w:t>a</w:t>
      </w:r>
      <w:r>
        <w:t xml:space="preserve"> </w:t>
      </w:r>
      <w:r w:rsidRPr="008B0305">
        <w:t>bydliště,</w:t>
      </w:r>
    </w:p>
    <w:p w14:paraId="5462DDB4" w14:textId="77777777" w:rsidR="008B568E" w:rsidRDefault="008B568E" w:rsidP="002E6AEA">
      <w:pPr>
        <w:pStyle w:val="Textparagrafu"/>
        <w:tabs>
          <w:tab w:val="left" w:pos="426"/>
          <w:tab w:val="left" w:pos="851"/>
        </w:tabs>
        <w:spacing w:before="0"/>
        <w:ind w:left="426" w:hanging="426"/>
      </w:pPr>
      <w:r w:rsidRPr="008B0305">
        <w:t>b)</w:t>
      </w:r>
      <w:r>
        <w:tab/>
      </w:r>
      <w:r w:rsidRPr="008B0305">
        <w:t>požadovanou</w:t>
      </w:r>
      <w:r>
        <w:t xml:space="preserve"> </w:t>
      </w:r>
      <w:r w:rsidRPr="008B0305">
        <w:t>dobu</w:t>
      </w:r>
      <w:r>
        <w:t xml:space="preserve"> </w:t>
      </w:r>
      <w:r w:rsidRPr="008B0305">
        <w:t>platnosti</w:t>
      </w:r>
      <w:r>
        <w:t xml:space="preserve"> </w:t>
      </w:r>
      <w:r w:rsidRPr="008B0305">
        <w:t>autorizace,</w:t>
      </w:r>
    </w:p>
    <w:p w14:paraId="6FE0334E" w14:textId="77777777" w:rsidR="008B568E" w:rsidRDefault="008B568E" w:rsidP="002E6AEA">
      <w:pPr>
        <w:pStyle w:val="Textparagrafu"/>
        <w:tabs>
          <w:tab w:val="left" w:pos="426"/>
          <w:tab w:val="left" w:pos="851"/>
        </w:tabs>
        <w:spacing w:before="0"/>
        <w:ind w:left="426" w:hanging="426"/>
      </w:pPr>
      <w:r w:rsidRPr="008B0305">
        <w:t>c)</w:t>
      </w:r>
      <w:r>
        <w:tab/>
      </w:r>
      <w:r w:rsidRPr="008B0305">
        <w:t>požadovanou</w:t>
      </w:r>
      <w:r>
        <w:t xml:space="preserve"> </w:t>
      </w:r>
      <w:r w:rsidRPr="008B0305">
        <w:t>charakteristiku</w:t>
      </w:r>
      <w:r>
        <w:t xml:space="preserve"> </w:t>
      </w:r>
      <w:r w:rsidRPr="008B0305">
        <w:t>vybraného</w:t>
      </w:r>
      <w:r>
        <w:t xml:space="preserve"> </w:t>
      </w:r>
      <w:r w:rsidRPr="008B0305">
        <w:t>plynového</w:t>
      </w:r>
      <w:r>
        <w:t xml:space="preserve"> </w:t>
      </w:r>
      <w:r w:rsidRPr="008B0305">
        <w:t>zařízení,</w:t>
      </w:r>
    </w:p>
    <w:p w14:paraId="071D2D47" w14:textId="77777777" w:rsidR="008B568E" w:rsidRDefault="008B568E" w:rsidP="002E6AEA">
      <w:pPr>
        <w:pStyle w:val="Textparagrafu"/>
        <w:tabs>
          <w:tab w:val="left" w:pos="426"/>
          <w:tab w:val="left" w:pos="851"/>
        </w:tabs>
        <w:spacing w:before="0"/>
        <w:ind w:left="426" w:hanging="426"/>
      </w:pPr>
      <w:r w:rsidRPr="008B0305">
        <w:t>d)</w:t>
      </w:r>
      <w:r>
        <w:tab/>
      </w:r>
      <w:r w:rsidRPr="008B0305">
        <w:t>předpokládané</w:t>
      </w:r>
      <w:r>
        <w:t xml:space="preserve"> </w:t>
      </w:r>
      <w:r w:rsidRPr="008B0305">
        <w:t>umístění</w:t>
      </w:r>
      <w:r>
        <w:t xml:space="preserve"> </w:t>
      </w:r>
      <w:r w:rsidRPr="008B0305">
        <w:t>vybraného</w:t>
      </w:r>
      <w:r>
        <w:t xml:space="preserve"> </w:t>
      </w:r>
      <w:r w:rsidRPr="008B0305">
        <w:t>plynového</w:t>
      </w:r>
      <w:r>
        <w:t xml:space="preserve"> </w:t>
      </w:r>
      <w:r w:rsidRPr="008B0305">
        <w:t>zařízení,</w:t>
      </w:r>
    </w:p>
    <w:p w14:paraId="055EACAD" w14:textId="77777777" w:rsidR="008B568E" w:rsidRDefault="008B568E" w:rsidP="002E6AEA">
      <w:pPr>
        <w:pStyle w:val="Textparagrafu"/>
        <w:tabs>
          <w:tab w:val="left" w:pos="426"/>
          <w:tab w:val="left" w:pos="851"/>
        </w:tabs>
        <w:spacing w:before="0"/>
        <w:ind w:left="426" w:hanging="426"/>
      </w:pPr>
      <w:r w:rsidRPr="008B0305">
        <w:lastRenderedPageBreak/>
        <w:t>e)</w:t>
      </w:r>
      <w:r>
        <w:t xml:space="preserve"> </w:t>
      </w:r>
      <w:r w:rsidRPr="008B0305">
        <w:t>stanovisko</w:t>
      </w:r>
      <w:r>
        <w:t xml:space="preserve"> </w:t>
      </w:r>
      <w:r w:rsidRPr="008B0305">
        <w:t>Ministerstva</w:t>
      </w:r>
      <w:r>
        <w:t xml:space="preserve"> </w:t>
      </w:r>
      <w:r w:rsidRPr="008B0305">
        <w:t>životního</w:t>
      </w:r>
      <w:r>
        <w:t xml:space="preserve"> </w:t>
      </w:r>
      <w:r w:rsidRPr="008B0305">
        <w:t>prostředí,</w:t>
      </w:r>
      <w:r>
        <w:t xml:space="preserve"> </w:t>
      </w:r>
      <w:r w:rsidRPr="008B0305">
        <w:t>že</w:t>
      </w:r>
      <w:r>
        <w:t xml:space="preserve"> </w:t>
      </w:r>
      <w:r w:rsidRPr="008B0305">
        <w:t>vybrané</w:t>
      </w:r>
      <w:r>
        <w:t xml:space="preserve"> </w:t>
      </w:r>
      <w:r w:rsidRPr="008B0305">
        <w:t>plynové</w:t>
      </w:r>
      <w:r>
        <w:t xml:space="preserve"> </w:t>
      </w:r>
      <w:r w:rsidRPr="008B0305">
        <w:t>zařízení</w:t>
      </w:r>
      <w:r>
        <w:t xml:space="preserve"> </w:t>
      </w:r>
      <w:r w:rsidRPr="008B0305">
        <w:t>odpovídá,</w:t>
      </w:r>
      <w:r>
        <w:t xml:space="preserve"> </w:t>
      </w:r>
      <w:r w:rsidRPr="008B0305">
        <w:t>pokud</w:t>
      </w:r>
      <w:r>
        <w:t xml:space="preserve"> </w:t>
      </w:r>
      <w:r w:rsidRPr="008B0305">
        <w:t>tak</w:t>
      </w:r>
      <w:r>
        <w:t xml:space="preserve"> </w:t>
      </w:r>
      <w:r w:rsidRPr="008B0305">
        <w:t>stanoví</w:t>
      </w:r>
      <w:r>
        <w:t xml:space="preserve"> </w:t>
      </w:r>
      <w:r w:rsidRPr="008B0305">
        <w:t>zvláštní</w:t>
      </w:r>
      <w:r>
        <w:t xml:space="preserve"> </w:t>
      </w:r>
      <w:r w:rsidRPr="008B0305">
        <w:t>právní</w:t>
      </w:r>
      <w:r>
        <w:t xml:space="preserve"> </w:t>
      </w:r>
      <w:r w:rsidRPr="008B0305">
        <w:t>předpis,</w:t>
      </w:r>
      <w:r>
        <w:t xml:space="preserve"> </w:t>
      </w:r>
      <w:r w:rsidRPr="008B0305">
        <w:t>zákonu</w:t>
      </w:r>
      <w:r>
        <w:t xml:space="preserve"> </w:t>
      </w:r>
      <w:r w:rsidRPr="008B0305">
        <w:t>o</w:t>
      </w:r>
      <w:r>
        <w:t xml:space="preserve"> </w:t>
      </w:r>
      <w:r w:rsidRPr="008B0305">
        <w:t>posuzování</w:t>
      </w:r>
      <w:r>
        <w:t xml:space="preserve"> </w:t>
      </w:r>
      <w:r w:rsidRPr="008B0305">
        <w:t>vlivů</w:t>
      </w:r>
      <w:r>
        <w:t xml:space="preserve"> </w:t>
      </w:r>
      <w:r w:rsidRPr="008B0305">
        <w:t>na</w:t>
      </w:r>
      <w:r>
        <w:t xml:space="preserve"> </w:t>
      </w:r>
      <w:r w:rsidRPr="008B0305">
        <w:t>ochranu</w:t>
      </w:r>
      <w:r>
        <w:t xml:space="preserve"> </w:t>
      </w:r>
      <w:r w:rsidRPr="008B0305">
        <w:t>životního</w:t>
      </w:r>
      <w:r>
        <w:t xml:space="preserve"> </w:t>
      </w:r>
      <w:r w:rsidRPr="008B0305">
        <w:t>prostředí,</w:t>
      </w:r>
    </w:p>
    <w:p w14:paraId="1C131EF3" w14:textId="77777777" w:rsidR="008B568E" w:rsidRDefault="008B568E" w:rsidP="002E6AEA">
      <w:pPr>
        <w:pStyle w:val="Textparagrafu"/>
        <w:tabs>
          <w:tab w:val="left" w:pos="426"/>
          <w:tab w:val="left" w:pos="851"/>
        </w:tabs>
        <w:spacing w:before="0"/>
        <w:ind w:left="426" w:hanging="426"/>
      </w:pPr>
      <w:r w:rsidRPr="008B0305">
        <w:t>f)</w:t>
      </w:r>
      <w:r>
        <w:tab/>
      </w:r>
      <w:r w:rsidRPr="008B0305">
        <w:t>stanovisko</w:t>
      </w:r>
      <w:r>
        <w:t xml:space="preserve"> </w:t>
      </w:r>
      <w:r w:rsidRPr="008B0305">
        <w:t>příslušného</w:t>
      </w:r>
      <w:r>
        <w:t xml:space="preserve"> </w:t>
      </w:r>
      <w:r w:rsidRPr="008B0305">
        <w:t>provozovatele</w:t>
      </w:r>
      <w:r>
        <w:t xml:space="preserve"> </w:t>
      </w:r>
      <w:r w:rsidRPr="008B0305">
        <w:t>přepravní</w:t>
      </w:r>
      <w:r>
        <w:t xml:space="preserve"> </w:t>
      </w:r>
      <w:r w:rsidRPr="008B0305">
        <w:t>soustavy</w:t>
      </w:r>
      <w:r>
        <w:t xml:space="preserve"> </w:t>
      </w:r>
      <w:r w:rsidRPr="008B0305">
        <w:t>nebo</w:t>
      </w:r>
      <w:r>
        <w:t xml:space="preserve"> </w:t>
      </w:r>
      <w:r w:rsidRPr="008B0305">
        <w:t>distribuční</w:t>
      </w:r>
      <w:r>
        <w:t xml:space="preserve"> </w:t>
      </w:r>
      <w:r w:rsidRPr="008B0305">
        <w:t>soustavy,</w:t>
      </w:r>
      <w:r>
        <w:t xml:space="preserve"> </w:t>
      </w:r>
      <w:r w:rsidRPr="008B0305">
        <w:t>že</w:t>
      </w:r>
      <w:r>
        <w:t xml:space="preserve"> </w:t>
      </w:r>
      <w:r w:rsidRPr="008B0305">
        <w:t>jsou</w:t>
      </w:r>
      <w:r>
        <w:t xml:space="preserve"> </w:t>
      </w:r>
      <w:r w:rsidRPr="008B0305">
        <w:t>dohodnuty</w:t>
      </w:r>
      <w:r>
        <w:t xml:space="preserve"> </w:t>
      </w:r>
      <w:r w:rsidRPr="008B0305">
        <w:t>podmínky</w:t>
      </w:r>
      <w:r>
        <w:t xml:space="preserve"> </w:t>
      </w:r>
      <w:r w:rsidRPr="008B0305">
        <w:t>připojení</w:t>
      </w:r>
      <w:r>
        <w:t xml:space="preserve"> </w:t>
      </w:r>
      <w:r w:rsidRPr="008B0305">
        <w:t>k</w:t>
      </w:r>
      <w:r>
        <w:t xml:space="preserve"> </w:t>
      </w:r>
      <w:r w:rsidRPr="008B0305">
        <w:t>této</w:t>
      </w:r>
      <w:r>
        <w:t xml:space="preserve"> </w:t>
      </w:r>
      <w:r w:rsidRPr="008B0305">
        <w:t>soustavě,</w:t>
      </w:r>
    </w:p>
    <w:p w14:paraId="2497094D" w14:textId="77777777" w:rsidR="008B568E" w:rsidRDefault="008B568E" w:rsidP="002E6AEA">
      <w:pPr>
        <w:pStyle w:val="Textparagrafu"/>
        <w:tabs>
          <w:tab w:val="left" w:pos="426"/>
          <w:tab w:val="left" w:pos="851"/>
        </w:tabs>
        <w:spacing w:before="0"/>
        <w:ind w:left="426" w:hanging="426"/>
      </w:pPr>
      <w:r w:rsidRPr="008B0305">
        <w:t>g)</w:t>
      </w:r>
      <w:r>
        <w:tab/>
      </w:r>
      <w:r w:rsidRPr="008B0305">
        <w:t>prokázání</w:t>
      </w:r>
      <w:r>
        <w:t xml:space="preserve"> </w:t>
      </w:r>
      <w:r w:rsidRPr="008B0305">
        <w:t>odmítnutí</w:t>
      </w:r>
      <w:r>
        <w:t xml:space="preserve"> </w:t>
      </w:r>
      <w:r w:rsidRPr="008B0305">
        <w:t>přístupu</w:t>
      </w:r>
      <w:r>
        <w:t xml:space="preserve"> </w:t>
      </w:r>
      <w:r w:rsidRPr="008B0305">
        <w:t>do</w:t>
      </w:r>
      <w:r>
        <w:t xml:space="preserve"> </w:t>
      </w:r>
      <w:r w:rsidRPr="008B0305">
        <w:t>přepravní</w:t>
      </w:r>
      <w:r>
        <w:t xml:space="preserve"> </w:t>
      </w:r>
      <w:r w:rsidRPr="008B0305">
        <w:t>soustavy</w:t>
      </w:r>
      <w:r>
        <w:t xml:space="preserve"> </w:t>
      </w:r>
      <w:r w:rsidRPr="008B0305">
        <w:t>nebo</w:t>
      </w:r>
      <w:r>
        <w:t xml:space="preserve"> </w:t>
      </w:r>
      <w:r w:rsidRPr="008B0305">
        <w:t>distribuční</w:t>
      </w:r>
      <w:r>
        <w:t xml:space="preserve"> </w:t>
      </w:r>
      <w:r w:rsidRPr="008B0305">
        <w:t>soustavy</w:t>
      </w:r>
      <w:r>
        <w:t xml:space="preserve"> </w:t>
      </w:r>
      <w:r w:rsidRPr="008B0305">
        <w:t>v</w:t>
      </w:r>
      <w:r>
        <w:t xml:space="preserve"> </w:t>
      </w:r>
      <w:r w:rsidRPr="008B0305">
        <w:t>případě</w:t>
      </w:r>
      <w:r>
        <w:t xml:space="preserve"> </w:t>
      </w:r>
      <w:r w:rsidRPr="008B0305">
        <w:t>výstavby</w:t>
      </w:r>
      <w:r>
        <w:t xml:space="preserve"> </w:t>
      </w:r>
      <w:r w:rsidRPr="008B0305">
        <w:t>přímého</w:t>
      </w:r>
      <w:r>
        <w:t xml:space="preserve"> </w:t>
      </w:r>
      <w:r w:rsidRPr="008B0305">
        <w:t>plynovodu,</w:t>
      </w:r>
    </w:p>
    <w:p w14:paraId="514C8B37" w14:textId="77777777" w:rsidR="008B568E" w:rsidRDefault="008B568E" w:rsidP="002E6AEA">
      <w:pPr>
        <w:pStyle w:val="Textparagrafu"/>
        <w:tabs>
          <w:tab w:val="left" w:pos="426"/>
          <w:tab w:val="left" w:pos="851"/>
        </w:tabs>
        <w:spacing w:before="0"/>
        <w:ind w:left="426" w:hanging="426"/>
      </w:pPr>
      <w:r w:rsidRPr="008B0305">
        <w:t>h)</w:t>
      </w:r>
      <w:r>
        <w:tab/>
      </w:r>
      <w:r w:rsidRPr="008B0305">
        <w:t>doklady</w:t>
      </w:r>
      <w:r>
        <w:t xml:space="preserve"> </w:t>
      </w:r>
      <w:r w:rsidRPr="008B0305">
        <w:t>prokazující</w:t>
      </w:r>
      <w:r>
        <w:t xml:space="preserve"> </w:t>
      </w:r>
      <w:r w:rsidRPr="008B0305">
        <w:t>finanční</w:t>
      </w:r>
      <w:r>
        <w:t xml:space="preserve"> </w:t>
      </w:r>
      <w:r w:rsidRPr="008B0305">
        <w:t>předpoklady</w:t>
      </w:r>
      <w:r>
        <w:t xml:space="preserve"> </w:t>
      </w:r>
      <w:r w:rsidRPr="008B0305">
        <w:t>k</w:t>
      </w:r>
      <w:r>
        <w:t xml:space="preserve"> </w:t>
      </w:r>
      <w:r w:rsidRPr="008B0305">
        <w:t>výstavbě</w:t>
      </w:r>
      <w:r>
        <w:t xml:space="preserve"> </w:t>
      </w:r>
      <w:r w:rsidRPr="008B0305">
        <w:t>vybraného</w:t>
      </w:r>
      <w:r>
        <w:t xml:space="preserve"> </w:t>
      </w:r>
      <w:r w:rsidRPr="008B0305">
        <w:t>plynového</w:t>
      </w:r>
      <w:r>
        <w:t xml:space="preserve"> </w:t>
      </w:r>
      <w:r w:rsidRPr="008B0305">
        <w:t>zařízení,</w:t>
      </w:r>
    </w:p>
    <w:p w14:paraId="00859852" w14:textId="77777777" w:rsidR="008B568E" w:rsidRDefault="008B568E" w:rsidP="002E6AEA">
      <w:pPr>
        <w:pStyle w:val="Textparagrafu"/>
        <w:tabs>
          <w:tab w:val="left" w:pos="426"/>
          <w:tab w:val="left" w:pos="851"/>
        </w:tabs>
        <w:spacing w:before="0"/>
        <w:ind w:left="426" w:hanging="426"/>
      </w:pPr>
      <w:r w:rsidRPr="008B0305">
        <w:t>i)</w:t>
      </w:r>
      <w:r>
        <w:tab/>
      </w:r>
      <w:r w:rsidRPr="008B0305">
        <w:t>u</w:t>
      </w:r>
      <w:r>
        <w:t xml:space="preserve"> </w:t>
      </w:r>
      <w:r w:rsidRPr="008B0305">
        <w:t>plynovodů</w:t>
      </w:r>
      <w:r>
        <w:t xml:space="preserve"> </w:t>
      </w:r>
      <w:r w:rsidRPr="008B0305">
        <w:t>spojujících</w:t>
      </w:r>
      <w:r>
        <w:t xml:space="preserve"> </w:t>
      </w:r>
      <w:r w:rsidRPr="008B0305">
        <w:t>plynárenskou</w:t>
      </w:r>
      <w:r>
        <w:t xml:space="preserve"> </w:t>
      </w:r>
      <w:r w:rsidRPr="008B0305">
        <w:t>soustavu</w:t>
      </w:r>
      <w:r>
        <w:t xml:space="preserve"> </w:t>
      </w:r>
      <w:r w:rsidRPr="008B0305">
        <w:t>se</w:t>
      </w:r>
      <w:r>
        <w:t xml:space="preserve"> </w:t>
      </w:r>
      <w:r w:rsidRPr="008B0305">
        <w:t>zahraničními</w:t>
      </w:r>
      <w:r>
        <w:t xml:space="preserve"> </w:t>
      </w:r>
      <w:r w:rsidRPr="008B0305">
        <w:t>plynárenskými</w:t>
      </w:r>
      <w:r>
        <w:t xml:space="preserve"> </w:t>
      </w:r>
      <w:r w:rsidRPr="008B0305">
        <w:t>soustavami</w:t>
      </w:r>
      <w:r>
        <w:t xml:space="preserve"> </w:t>
      </w:r>
      <w:r w:rsidRPr="008B0305">
        <w:t>doklady</w:t>
      </w:r>
      <w:r>
        <w:t xml:space="preserve"> </w:t>
      </w:r>
      <w:r w:rsidRPr="008B0305">
        <w:t>prokazující</w:t>
      </w:r>
      <w:r>
        <w:t xml:space="preserve"> </w:t>
      </w:r>
      <w:r w:rsidRPr="008B0305">
        <w:t>zajištění</w:t>
      </w:r>
      <w:r>
        <w:t xml:space="preserve"> </w:t>
      </w:r>
      <w:r w:rsidRPr="008B0305">
        <w:t>obousměrné</w:t>
      </w:r>
      <w:r>
        <w:t xml:space="preserve"> </w:t>
      </w:r>
      <w:r w:rsidRPr="008B0305">
        <w:t>kapacity</w:t>
      </w:r>
      <w:r>
        <w:t xml:space="preserve"> </w:t>
      </w:r>
      <w:r w:rsidRPr="008B0305">
        <w:t>nebo</w:t>
      </w:r>
      <w:r>
        <w:t xml:space="preserve"> </w:t>
      </w:r>
      <w:r w:rsidRPr="008B0305">
        <w:t>odůvodněnou</w:t>
      </w:r>
      <w:r>
        <w:t xml:space="preserve"> </w:t>
      </w:r>
      <w:r w:rsidRPr="008B0305">
        <w:t>žádost</w:t>
      </w:r>
      <w:r>
        <w:t xml:space="preserve"> </w:t>
      </w:r>
      <w:r w:rsidRPr="008B0305">
        <w:t>o</w:t>
      </w:r>
      <w:r>
        <w:t xml:space="preserve"> </w:t>
      </w:r>
      <w:r w:rsidRPr="008B0305">
        <w:t>udělení</w:t>
      </w:r>
      <w:r>
        <w:t xml:space="preserve"> </w:t>
      </w:r>
      <w:r w:rsidRPr="008B0305">
        <w:t>výjimky</w:t>
      </w:r>
      <w:r>
        <w:t xml:space="preserve"> </w:t>
      </w:r>
      <w:r w:rsidRPr="008B0305">
        <w:t>z</w:t>
      </w:r>
      <w:r>
        <w:t xml:space="preserve"> </w:t>
      </w:r>
      <w:r w:rsidRPr="008B0305">
        <w:t>tohoto</w:t>
      </w:r>
      <w:r>
        <w:t xml:space="preserve"> </w:t>
      </w:r>
      <w:r w:rsidRPr="008B0305">
        <w:t>požadavku.</w:t>
      </w:r>
    </w:p>
    <w:p w14:paraId="20314560" w14:textId="77777777" w:rsidR="008B568E" w:rsidRDefault="008B568E" w:rsidP="0010420C">
      <w:pPr>
        <w:pStyle w:val="Textparagrafu"/>
        <w:tabs>
          <w:tab w:val="left" w:pos="392"/>
          <w:tab w:val="left" w:pos="840"/>
        </w:tabs>
        <w:spacing w:before="120" w:after="120"/>
      </w:pPr>
      <w:r w:rsidRPr="008B0305">
        <w:t>(6)</w:t>
      </w:r>
      <w:r>
        <w:t xml:space="preserve"> </w:t>
      </w:r>
      <w:r w:rsidRPr="008B0305">
        <w:t>Finančními</w:t>
      </w:r>
      <w:r>
        <w:t xml:space="preserve"> </w:t>
      </w:r>
      <w:r w:rsidRPr="008B0305">
        <w:t>předpoklady</w:t>
      </w:r>
      <w:r>
        <w:t xml:space="preserve"> </w:t>
      </w:r>
      <w:r w:rsidRPr="008B0305">
        <w:t>je</w:t>
      </w:r>
      <w:r>
        <w:t xml:space="preserve"> </w:t>
      </w:r>
      <w:r w:rsidRPr="008B0305">
        <w:t>schopnost</w:t>
      </w:r>
      <w:r>
        <w:t xml:space="preserve"> </w:t>
      </w:r>
      <w:r w:rsidRPr="008B0305">
        <w:t>fyzické</w:t>
      </w:r>
      <w:r>
        <w:t xml:space="preserve"> </w:t>
      </w:r>
      <w:r w:rsidRPr="008B0305">
        <w:t>či</w:t>
      </w:r>
      <w:r>
        <w:t xml:space="preserve"> </w:t>
      </w:r>
      <w:r w:rsidRPr="008B0305">
        <w:t>právnické</w:t>
      </w:r>
      <w:r>
        <w:t xml:space="preserve"> </w:t>
      </w:r>
      <w:r w:rsidRPr="008B0305">
        <w:t>osoby</w:t>
      </w:r>
      <w:r>
        <w:t xml:space="preserve"> </w:t>
      </w:r>
      <w:r w:rsidRPr="008B0305">
        <w:t>žádající</w:t>
      </w:r>
      <w:r>
        <w:t xml:space="preserve"> </w:t>
      </w:r>
      <w:r w:rsidRPr="008B0305">
        <w:t>o</w:t>
      </w:r>
      <w:r>
        <w:t xml:space="preserve"> </w:t>
      </w:r>
      <w:r w:rsidRPr="008B0305">
        <w:t>udělení</w:t>
      </w:r>
      <w:r>
        <w:t xml:space="preserve"> </w:t>
      </w:r>
      <w:r w:rsidRPr="008B0305">
        <w:t>autorizace</w:t>
      </w:r>
      <w:r>
        <w:t xml:space="preserve"> </w:t>
      </w:r>
      <w:r w:rsidRPr="008B0305">
        <w:t>zabezpečit</w:t>
      </w:r>
      <w:r>
        <w:t xml:space="preserve"> </w:t>
      </w:r>
      <w:r w:rsidRPr="008B0305">
        <w:t>řádné</w:t>
      </w:r>
      <w:r>
        <w:t xml:space="preserve"> </w:t>
      </w:r>
      <w:r w:rsidRPr="008B0305">
        <w:t>zahájení</w:t>
      </w:r>
      <w:r>
        <w:t xml:space="preserve"> </w:t>
      </w:r>
      <w:r w:rsidRPr="008B0305">
        <w:t>a</w:t>
      </w:r>
      <w:r>
        <w:t xml:space="preserve"> </w:t>
      </w:r>
      <w:r w:rsidRPr="008B0305">
        <w:t>dokončení</w:t>
      </w:r>
      <w:r>
        <w:t xml:space="preserve"> </w:t>
      </w:r>
      <w:r w:rsidRPr="008B0305">
        <w:t>výstavby</w:t>
      </w:r>
      <w:r>
        <w:t xml:space="preserve"> </w:t>
      </w:r>
      <w:r w:rsidRPr="008B0305">
        <w:t>vybraného</w:t>
      </w:r>
      <w:r>
        <w:t xml:space="preserve"> </w:t>
      </w:r>
      <w:r w:rsidRPr="008B0305">
        <w:t>plynového</w:t>
      </w:r>
      <w:r>
        <w:t xml:space="preserve"> </w:t>
      </w:r>
      <w:r w:rsidRPr="008B0305">
        <w:t>zařízení</w:t>
      </w:r>
      <w:r>
        <w:t xml:space="preserve"> </w:t>
      </w:r>
      <w:r w:rsidRPr="008B0305">
        <w:t>a</w:t>
      </w:r>
      <w:r>
        <w:t xml:space="preserve"> </w:t>
      </w:r>
      <w:r w:rsidRPr="008B0305">
        <w:t>schopnost</w:t>
      </w:r>
      <w:r>
        <w:t xml:space="preserve"> </w:t>
      </w:r>
      <w:r w:rsidRPr="008B0305">
        <w:t>zabezpečit</w:t>
      </w:r>
      <w:r>
        <w:t xml:space="preserve"> </w:t>
      </w:r>
      <w:r w:rsidRPr="008B0305">
        <w:t>plnění</w:t>
      </w:r>
      <w:r>
        <w:t xml:space="preserve"> </w:t>
      </w:r>
      <w:r w:rsidRPr="008B0305">
        <w:t>z</w:t>
      </w:r>
      <w:r>
        <w:t xml:space="preserve"> </w:t>
      </w:r>
      <w:r w:rsidRPr="008B0305">
        <w:t>toho</w:t>
      </w:r>
      <w:r>
        <w:t xml:space="preserve"> </w:t>
      </w:r>
      <w:r w:rsidRPr="008B0305">
        <w:t>plynoucích</w:t>
      </w:r>
      <w:r>
        <w:t xml:space="preserve"> </w:t>
      </w:r>
      <w:r w:rsidRPr="008B0305">
        <w:t>závazků.</w:t>
      </w:r>
    </w:p>
    <w:p w14:paraId="791E7524" w14:textId="77777777" w:rsidR="002B7DCD" w:rsidRPr="00533343" w:rsidRDefault="008B568E" w:rsidP="0010420C">
      <w:pPr>
        <w:pStyle w:val="Odstavec"/>
      </w:pPr>
      <w:r w:rsidRPr="008B0305">
        <w:t>(7)</w:t>
      </w:r>
      <w:r>
        <w:t xml:space="preserve"> </w:t>
      </w:r>
      <w:r w:rsidR="002B7DCD" w:rsidRPr="00533343">
        <w:t xml:space="preserve">Finanční předpoklady se prokazují zejména obchodním majetkem a objemem dostupných finančních prostředků, </w:t>
      </w:r>
      <w:r w:rsidR="002B7DCD" w:rsidRPr="00533343">
        <w:rPr>
          <w:strike/>
        </w:rPr>
        <w:t>účetní závěrkou ověřenou auditorem včetně její přílohy v plném rozsahu</w:t>
      </w:r>
      <w:r w:rsidR="002B7DCD" w:rsidRPr="00533343">
        <w:t xml:space="preserve"> </w:t>
      </w:r>
      <w:r w:rsidR="002B7DCD" w:rsidRPr="00533343">
        <w:rPr>
          <w:b/>
        </w:rPr>
        <w:t>řádnou individuální</w:t>
      </w:r>
      <w:r w:rsidR="002B7DCD" w:rsidRPr="00533343">
        <w:t xml:space="preserve"> </w:t>
      </w:r>
      <w:r w:rsidR="002B7DCD" w:rsidRPr="00533343">
        <w:rPr>
          <w:b/>
          <w:bCs/>
        </w:rPr>
        <w:t>účetní závěrkou</w:t>
      </w:r>
      <w:r w:rsidR="002B7DCD" w:rsidRPr="00533343">
        <w:t xml:space="preserve"> v případě, že fyzická nebo právnická osoba v předchozím účetním období vykonávala podnikatelskou činnost</w:t>
      </w:r>
      <w:r w:rsidR="002B7DCD" w:rsidRPr="00533343">
        <w:rPr>
          <w:b/>
        </w:rPr>
        <w:t>;</w:t>
      </w:r>
      <w:r w:rsidR="002B7DCD" w:rsidRPr="00533343">
        <w:t xml:space="preserve"> </w:t>
      </w:r>
      <w:r w:rsidR="002B7DCD" w:rsidRPr="00533343">
        <w:rPr>
          <w:b/>
        </w:rPr>
        <w:t>pro tyto účely řádnou individuální účetní závěrku tvoří také příloha v rozsahu stanoveném pro velké účetní jednotky a fyzická nebo právnická osoba má povinnost auditu této řádné individuální účetní závěrky</w:t>
      </w:r>
      <w:r w:rsidR="002B7DCD" w:rsidRPr="00533343">
        <w:t>.</w:t>
      </w:r>
    </w:p>
    <w:p w14:paraId="1FA98D43" w14:textId="2080D6FF" w:rsidR="008B568E" w:rsidRDefault="002B7DCD" w:rsidP="0010420C">
      <w:pPr>
        <w:pStyle w:val="Textparagrafu"/>
        <w:tabs>
          <w:tab w:val="left" w:pos="392"/>
          <w:tab w:val="left" w:pos="840"/>
        </w:tabs>
        <w:spacing w:before="120" w:after="120"/>
      </w:pPr>
      <w:r w:rsidRPr="008B0305">
        <w:t xml:space="preserve"> </w:t>
      </w:r>
      <w:r w:rsidR="008B568E" w:rsidRPr="008B0305">
        <w:t>(8)</w:t>
      </w:r>
      <w:r w:rsidR="008B568E">
        <w:t xml:space="preserve"> </w:t>
      </w:r>
      <w:r w:rsidR="008B568E" w:rsidRPr="008B0305">
        <w:t>Držitel</w:t>
      </w:r>
      <w:r w:rsidR="008B568E">
        <w:t xml:space="preserve"> </w:t>
      </w:r>
      <w:r w:rsidR="008B568E" w:rsidRPr="008B0305">
        <w:t>autorizace</w:t>
      </w:r>
      <w:r w:rsidR="008B568E">
        <w:t xml:space="preserve"> </w:t>
      </w:r>
      <w:r w:rsidR="008B568E" w:rsidRPr="008B0305">
        <w:t>je</w:t>
      </w:r>
      <w:r w:rsidR="008B568E">
        <w:t xml:space="preserve"> </w:t>
      </w:r>
      <w:r w:rsidR="008B568E" w:rsidRPr="008B0305">
        <w:t>povinen</w:t>
      </w:r>
      <w:r w:rsidR="008B568E">
        <w:t xml:space="preserve"> </w:t>
      </w:r>
      <w:r w:rsidR="008B568E" w:rsidRPr="008B0305">
        <w:t>bezodkladně</w:t>
      </w:r>
      <w:r w:rsidR="008B568E">
        <w:t xml:space="preserve"> </w:t>
      </w:r>
      <w:r w:rsidR="008B568E" w:rsidRPr="008B0305">
        <w:t>písemně</w:t>
      </w:r>
      <w:r w:rsidR="008B568E">
        <w:t xml:space="preserve"> </w:t>
      </w:r>
      <w:r w:rsidR="008B568E" w:rsidRPr="008B0305">
        <w:t>oznámit</w:t>
      </w:r>
      <w:r w:rsidR="008B568E">
        <w:t xml:space="preserve"> </w:t>
      </w:r>
      <w:r w:rsidR="008B568E" w:rsidRPr="008B0305">
        <w:t>ministerstvu</w:t>
      </w:r>
      <w:r w:rsidR="008B568E">
        <w:t xml:space="preserve"> </w:t>
      </w:r>
      <w:r w:rsidR="008B568E" w:rsidRPr="008B0305">
        <w:t>veškeré</w:t>
      </w:r>
      <w:r w:rsidR="008B568E">
        <w:t xml:space="preserve"> </w:t>
      </w:r>
      <w:r w:rsidR="008B568E" w:rsidRPr="008B0305">
        <w:t>změny</w:t>
      </w:r>
      <w:r w:rsidR="008B568E">
        <w:t xml:space="preserve"> </w:t>
      </w:r>
      <w:r w:rsidR="008B568E" w:rsidRPr="008B0305">
        <w:t>údajů</w:t>
      </w:r>
      <w:r w:rsidR="008B568E">
        <w:t xml:space="preserve"> </w:t>
      </w:r>
      <w:r w:rsidR="008B568E" w:rsidRPr="008B0305">
        <w:t>uvedených</w:t>
      </w:r>
      <w:r w:rsidR="008B568E">
        <w:t xml:space="preserve"> </w:t>
      </w:r>
      <w:r w:rsidR="008B568E" w:rsidRPr="008B0305">
        <w:t>v</w:t>
      </w:r>
      <w:r w:rsidR="008B568E">
        <w:t xml:space="preserve"> </w:t>
      </w:r>
      <w:r w:rsidR="008B568E" w:rsidRPr="008B0305">
        <w:t>rozhodnutí</w:t>
      </w:r>
      <w:r w:rsidR="008B568E">
        <w:t xml:space="preserve"> </w:t>
      </w:r>
      <w:r w:rsidR="008B568E" w:rsidRPr="008B0305">
        <w:t>o</w:t>
      </w:r>
      <w:r w:rsidR="008B568E">
        <w:t xml:space="preserve"> </w:t>
      </w:r>
      <w:r w:rsidR="008B568E" w:rsidRPr="008B0305">
        <w:t>udělení</w:t>
      </w:r>
      <w:r w:rsidR="008B568E">
        <w:t xml:space="preserve"> </w:t>
      </w:r>
      <w:r w:rsidR="008B568E" w:rsidRPr="008B0305">
        <w:t>autorizace</w:t>
      </w:r>
      <w:r w:rsidR="008B568E">
        <w:t xml:space="preserve"> </w:t>
      </w:r>
      <w:r w:rsidR="008B568E" w:rsidRPr="008B0305">
        <w:t>či</w:t>
      </w:r>
      <w:r w:rsidR="008B568E">
        <w:t xml:space="preserve"> </w:t>
      </w:r>
      <w:r w:rsidR="008B568E" w:rsidRPr="008B0305">
        <w:t>jiné</w:t>
      </w:r>
      <w:r w:rsidR="008B568E">
        <w:t xml:space="preserve"> </w:t>
      </w:r>
      <w:r w:rsidR="008B568E" w:rsidRPr="008B0305">
        <w:t>závažné</w:t>
      </w:r>
      <w:r w:rsidR="008B568E">
        <w:t xml:space="preserve"> </w:t>
      </w:r>
      <w:r w:rsidR="008B568E" w:rsidRPr="008B0305">
        <w:t>údaje</w:t>
      </w:r>
      <w:r w:rsidR="008B568E">
        <w:t xml:space="preserve"> </w:t>
      </w:r>
      <w:r w:rsidR="008B568E" w:rsidRPr="008B0305">
        <w:t>vztahující</w:t>
      </w:r>
      <w:r w:rsidR="008B568E">
        <w:t xml:space="preserve"> </w:t>
      </w:r>
      <w:r w:rsidR="008B568E" w:rsidRPr="008B0305">
        <w:t>se</w:t>
      </w:r>
      <w:r w:rsidR="008B568E">
        <w:t xml:space="preserve"> </w:t>
      </w:r>
      <w:r w:rsidR="008B568E" w:rsidRPr="008B0305">
        <w:t>k</w:t>
      </w:r>
      <w:r w:rsidR="008B568E">
        <w:t xml:space="preserve"> </w:t>
      </w:r>
      <w:r w:rsidR="008B568E" w:rsidRPr="008B0305">
        <w:t>autorizaci.</w:t>
      </w:r>
    </w:p>
    <w:p w14:paraId="469CFDAC" w14:textId="77777777" w:rsidR="008B568E" w:rsidRDefault="008B568E" w:rsidP="0010420C">
      <w:pPr>
        <w:pStyle w:val="Textparagrafu"/>
        <w:tabs>
          <w:tab w:val="left" w:pos="392"/>
          <w:tab w:val="left" w:pos="840"/>
        </w:tabs>
        <w:spacing w:before="120" w:after="120"/>
      </w:pPr>
      <w:r w:rsidRPr="008B0305">
        <w:t>(9)</w:t>
      </w:r>
      <w:r>
        <w:t xml:space="preserve"> </w:t>
      </w:r>
      <w:r w:rsidRPr="008B0305">
        <w:t>Na</w:t>
      </w:r>
      <w:r>
        <w:t xml:space="preserve"> </w:t>
      </w:r>
      <w:r w:rsidRPr="008B0305">
        <w:t>základě</w:t>
      </w:r>
      <w:r>
        <w:t xml:space="preserve"> </w:t>
      </w:r>
      <w:r w:rsidRPr="008B0305">
        <w:t>oznámení</w:t>
      </w:r>
      <w:r>
        <w:t xml:space="preserve"> </w:t>
      </w:r>
      <w:r w:rsidRPr="008B0305">
        <w:t>podle</w:t>
      </w:r>
      <w:r>
        <w:t xml:space="preserve"> </w:t>
      </w:r>
      <w:r w:rsidRPr="008B0305">
        <w:t>odstavce</w:t>
      </w:r>
      <w:r>
        <w:t xml:space="preserve"> </w:t>
      </w:r>
      <w:r w:rsidRPr="008B0305">
        <w:t>8</w:t>
      </w:r>
      <w:r>
        <w:t xml:space="preserve"> </w:t>
      </w:r>
      <w:r w:rsidRPr="008B0305">
        <w:t>ministerstvo</w:t>
      </w:r>
      <w:r>
        <w:t xml:space="preserve"> </w:t>
      </w:r>
      <w:r w:rsidRPr="008B0305">
        <w:t>rozhodne</w:t>
      </w:r>
      <w:r>
        <w:t xml:space="preserve"> </w:t>
      </w:r>
      <w:r w:rsidRPr="008B0305">
        <w:t>z</w:t>
      </w:r>
      <w:r>
        <w:t xml:space="preserve"> </w:t>
      </w:r>
      <w:r w:rsidRPr="008B0305">
        <w:t>moci</w:t>
      </w:r>
      <w:r>
        <w:t xml:space="preserve"> </w:t>
      </w:r>
      <w:r w:rsidRPr="008B0305">
        <w:t>úřední</w:t>
      </w:r>
      <w:r>
        <w:t xml:space="preserve"> </w:t>
      </w:r>
      <w:r w:rsidRPr="008B0305">
        <w:t>o</w:t>
      </w:r>
      <w:r>
        <w:t xml:space="preserve"> </w:t>
      </w:r>
      <w:r w:rsidRPr="008B0305">
        <w:t>změně</w:t>
      </w:r>
      <w:r>
        <w:t xml:space="preserve"> </w:t>
      </w:r>
      <w:r w:rsidRPr="008B0305">
        <w:t>rozhodnutí</w:t>
      </w:r>
      <w:r>
        <w:t xml:space="preserve"> </w:t>
      </w:r>
      <w:r w:rsidRPr="008B0305">
        <w:t>o</w:t>
      </w:r>
      <w:r>
        <w:t xml:space="preserve"> </w:t>
      </w:r>
      <w:r w:rsidRPr="008B0305">
        <w:t>udělení</w:t>
      </w:r>
      <w:r>
        <w:t xml:space="preserve"> </w:t>
      </w:r>
      <w:r w:rsidRPr="008B0305">
        <w:t>autorizace.</w:t>
      </w:r>
    </w:p>
    <w:p w14:paraId="0FBC85C4" w14:textId="77777777" w:rsidR="008B568E" w:rsidRPr="008B0305" w:rsidRDefault="008B568E" w:rsidP="0010420C">
      <w:pPr>
        <w:pStyle w:val="Textparagrafu"/>
        <w:tabs>
          <w:tab w:val="left" w:pos="392"/>
          <w:tab w:val="left" w:pos="840"/>
        </w:tabs>
        <w:spacing w:before="120" w:after="120"/>
      </w:pPr>
      <w:r w:rsidRPr="008B0305">
        <w:t>(10)</w:t>
      </w:r>
      <w:r>
        <w:t xml:space="preserve"> </w:t>
      </w:r>
      <w:r w:rsidRPr="008B0305">
        <w:t>Rozhodnutí</w:t>
      </w:r>
      <w:r>
        <w:t xml:space="preserve"> </w:t>
      </w:r>
      <w:r w:rsidRPr="008B0305">
        <w:t>o</w:t>
      </w:r>
      <w:r>
        <w:t xml:space="preserve"> </w:t>
      </w:r>
      <w:r w:rsidRPr="008B0305">
        <w:t>udělení</w:t>
      </w:r>
      <w:r>
        <w:t xml:space="preserve"> </w:t>
      </w:r>
      <w:r w:rsidRPr="008B0305">
        <w:t>autorizace</w:t>
      </w:r>
      <w:r>
        <w:t xml:space="preserve"> </w:t>
      </w:r>
      <w:r w:rsidRPr="008B0305">
        <w:t>musí</w:t>
      </w:r>
      <w:r>
        <w:t xml:space="preserve"> </w:t>
      </w:r>
      <w:r w:rsidRPr="008B0305">
        <w:t>mít</w:t>
      </w:r>
      <w:r>
        <w:t xml:space="preserve"> </w:t>
      </w:r>
      <w:r w:rsidRPr="008B0305">
        <w:t>formu</w:t>
      </w:r>
      <w:r>
        <w:t xml:space="preserve"> </w:t>
      </w:r>
      <w:r w:rsidRPr="008B0305">
        <w:t>správního</w:t>
      </w:r>
      <w:r>
        <w:t xml:space="preserve"> </w:t>
      </w:r>
      <w:r w:rsidRPr="008B0305">
        <w:t>rozhodnutí</w:t>
      </w:r>
      <w:r>
        <w:t xml:space="preserve"> </w:t>
      </w:r>
      <w:r w:rsidRPr="008B0305">
        <w:t>a</w:t>
      </w:r>
      <w:r>
        <w:t xml:space="preserve"> </w:t>
      </w:r>
      <w:r w:rsidRPr="008B0305">
        <w:t>musí</w:t>
      </w:r>
      <w:r>
        <w:t xml:space="preserve"> </w:t>
      </w:r>
      <w:r w:rsidRPr="008B0305">
        <w:t>obsahovat</w:t>
      </w:r>
      <w:r>
        <w:t xml:space="preserve"> </w:t>
      </w:r>
      <w:r w:rsidRPr="008B0305">
        <w:t>zejména</w:t>
      </w:r>
    </w:p>
    <w:p w14:paraId="4E647CEE" w14:textId="77777777" w:rsidR="008B568E" w:rsidRDefault="008B568E" w:rsidP="002E6AEA">
      <w:pPr>
        <w:pStyle w:val="Textparagrafu"/>
        <w:tabs>
          <w:tab w:val="left" w:pos="426"/>
          <w:tab w:val="left" w:pos="840"/>
        </w:tabs>
        <w:spacing w:before="0"/>
        <w:ind w:left="426" w:hanging="426"/>
      </w:pPr>
      <w:r w:rsidRPr="008B0305">
        <w:t>a)</w:t>
      </w:r>
      <w:r>
        <w:tab/>
      </w:r>
      <w:r w:rsidRPr="008B0305">
        <w:t>obchodní</w:t>
      </w:r>
      <w:r>
        <w:t xml:space="preserve"> </w:t>
      </w:r>
      <w:r w:rsidRPr="008B0305">
        <w:t>firmu</w:t>
      </w:r>
      <w:r>
        <w:t xml:space="preserve"> </w:t>
      </w:r>
      <w:r w:rsidRPr="008B0305">
        <w:t>nebo</w:t>
      </w:r>
      <w:r>
        <w:t xml:space="preserve"> </w:t>
      </w:r>
      <w:r w:rsidRPr="008B0305">
        <w:t>název</w:t>
      </w:r>
      <w:r>
        <w:t xml:space="preserve"> </w:t>
      </w:r>
      <w:r w:rsidRPr="008B0305">
        <w:t>právnické</w:t>
      </w:r>
      <w:r>
        <w:t xml:space="preserve"> </w:t>
      </w:r>
      <w:r w:rsidRPr="008B0305">
        <w:t>osoby,</w:t>
      </w:r>
      <w:r>
        <w:t xml:space="preserve"> </w:t>
      </w:r>
      <w:r w:rsidRPr="008B0305">
        <w:t>její</w:t>
      </w:r>
      <w:r>
        <w:t xml:space="preserve"> </w:t>
      </w:r>
      <w:r w:rsidRPr="008B0305">
        <w:t>sídlo,</w:t>
      </w:r>
      <w:r>
        <w:t xml:space="preserve"> </w:t>
      </w:r>
      <w:r w:rsidRPr="008B0305">
        <w:t>identifikační</w:t>
      </w:r>
      <w:r>
        <w:t xml:space="preserve"> </w:t>
      </w:r>
      <w:r w:rsidRPr="008B0305">
        <w:t>číslo,</w:t>
      </w:r>
      <w:r>
        <w:t xml:space="preserve"> </w:t>
      </w:r>
      <w:r w:rsidRPr="008B0305">
        <w:t>bylo-li</w:t>
      </w:r>
      <w:r>
        <w:t xml:space="preserve"> </w:t>
      </w:r>
      <w:r w:rsidRPr="008B0305">
        <w:t>přiděleno,</w:t>
      </w:r>
      <w:r>
        <w:t xml:space="preserve"> </w:t>
      </w:r>
      <w:r w:rsidRPr="008B0305">
        <w:t>a</w:t>
      </w:r>
      <w:r>
        <w:t xml:space="preserve"> </w:t>
      </w:r>
      <w:r w:rsidRPr="008B0305">
        <w:t>údaje</w:t>
      </w:r>
      <w:r>
        <w:t xml:space="preserve"> </w:t>
      </w:r>
      <w:r w:rsidRPr="008B0305">
        <w:t>o</w:t>
      </w:r>
      <w:r>
        <w:t xml:space="preserve"> </w:t>
      </w:r>
      <w:r w:rsidRPr="008B0305">
        <w:t>jejím</w:t>
      </w:r>
      <w:r>
        <w:t xml:space="preserve"> </w:t>
      </w:r>
      <w:r w:rsidRPr="008B0305">
        <w:t>statutárním</w:t>
      </w:r>
      <w:r>
        <w:t xml:space="preserve"> </w:t>
      </w:r>
      <w:r w:rsidRPr="008B0305">
        <w:t>orgánu,</w:t>
      </w:r>
      <w:r>
        <w:t xml:space="preserve"> </w:t>
      </w:r>
      <w:r w:rsidRPr="008B0305">
        <w:t>u</w:t>
      </w:r>
      <w:r>
        <w:t xml:space="preserve"> </w:t>
      </w:r>
      <w:r w:rsidRPr="008B0305">
        <w:t>fyzické</w:t>
      </w:r>
      <w:r>
        <w:t xml:space="preserve"> </w:t>
      </w:r>
      <w:r w:rsidRPr="008B0305">
        <w:t>osoby</w:t>
      </w:r>
      <w:r>
        <w:t xml:space="preserve"> </w:t>
      </w:r>
      <w:r w:rsidRPr="008B0305">
        <w:t>jméno</w:t>
      </w:r>
      <w:r>
        <w:t xml:space="preserve"> </w:t>
      </w:r>
      <w:r w:rsidRPr="008B0305">
        <w:t>a</w:t>
      </w:r>
      <w:r>
        <w:t xml:space="preserve"> </w:t>
      </w:r>
      <w:r w:rsidRPr="008B0305">
        <w:t>příjmení</w:t>
      </w:r>
      <w:r>
        <w:t xml:space="preserve"> </w:t>
      </w:r>
      <w:r w:rsidRPr="008B0305">
        <w:t>nebo</w:t>
      </w:r>
      <w:r>
        <w:t xml:space="preserve"> </w:t>
      </w:r>
      <w:r w:rsidRPr="008B0305">
        <w:t>obchodní</w:t>
      </w:r>
      <w:r>
        <w:t xml:space="preserve"> </w:t>
      </w:r>
      <w:r w:rsidRPr="008B0305">
        <w:t>firmu,</w:t>
      </w:r>
      <w:r>
        <w:t xml:space="preserve"> </w:t>
      </w:r>
      <w:r w:rsidRPr="008B0305">
        <w:t>rodné</w:t>
      </w:r>
      <w:r>
        <w:t xml:space="preserve"> </w:t>
      </w:r>
      <w:r w:rsidRPr="008B0305">
        <w:t>číslo</w:t>
      </w:r>
      <w:r>
        <w:t xml:space="preserve"> </w:t>
      </w:r>
      <w:r w:rsidRPr="008B0305">
        <w:t>a</w:t>
      </w:r>
      <w:r>
        <w:t xml:space="preserve"> </w:t>
      </w:r>
      <w:r w:rsidRPr="008B0305">
        <w:t>identifikační</w:t>
      </w:r>
      <w:r>
        <w:t xml:space="preserve"> </w:t>
      </w:r>
      <w:r w:rsidRPr="008B0305">
        <w:t>číslo,</w:t>
      </w:r>
      <w:r>
        <w:t xml:space="preserve"> </w:t>
      </w:r>
      <w:r w:rsidRPr="008B0305">
        <w:t>pokud</w:t>
      </w:r>
      <w:r>
        <w:t xml:space="preserve"> </w:t>
      </w:r>
      <w:r w:rsidRPr="008B0305">
        <w:t>byla</w:t>
      </w:r>
      <w:r>
        <w:t xml:space="preserve"> </w:t>
      </w:r>
      <w:r w:rsidRPr="008B0305">
        <w:t>přidělena,</w:t>
      </w:r>
      <w:r>
        <w:t xml:space="preserve"> </w:t>
      </w:r>
      <w:r w:rsidRPr="008B0305">
        <w:t>nebo</w:t>
      </w:r>
      <w:r>
        <w:t xml:space="preserve"> </w:t>
      </w:r>
      <w:r w:rsidRPr="008B0305">
        <w:t>datum</w:t>
      </w:r>
      <w:r>
        <w:t xml:space="preserve"> </w:t>
      </w:r>
      <w:r w:rsidRPr="008B0305">
        <w:t>narození,</w:t>
      </w:r>
      <w:r>
        <w:t xml:space="preserve"> </w:t>
      </w:r>
      <w:r w:rsidRPr="008B0305">
        <w:t>a</w:t>
      </w:r>
      <w:r>
        <w:t xml:space="preserve"> </w:t>
      </w:r>
      <w:r w:rsidRPr="008B0305">
        <w:t>bydliště,</w:t>
      </w:r>
    </w:p>
    <w:p w14:paraId="0019904E" w14:textId="77777777" w:rsidR="008B568E" w:rsidRDefault="008B568E" w:rsidP="002E6AEA">
      <w:pPr>
        <w:pStyle w:val="Textparagrafu"/>
        <w:tabs>
          <w:tab w:val="left" w:pos="426"/>
          <w:tab w:val="left" w:pos="840"/>
        </w:tabs>
        <w:spacing w:before="0"/>
        <w:ind w:left="426" w:hanging="426"/>
      </w:pPr>
      <w:r w:rsidRPr="008B0305">
        <w:t>b)</w:t>
      </w:r>
      <w:r>
        <w:tab/>
      </w:r>
      <w:r w:rsidRPr="008B0305">
        <w:t>dobu</w:t>
      </w:r>
      <w:r>
        <w:t xml:space="preserve"> </w:t>
      </w:r>
      <w:r w:rsidRPr="008B0305">
        <w:t>platnosti</w:t>
      </w:r>
      <w:r>
        <w:t xml:space="preserve"> </w:t>
      </w:r>
      <w:r w:rsidRPr="008B0305">
        <w:t>autorizace,</w:t>
      </w:r>
    </w:p>
    <w:p w14:paraId="6FC1ABA4" w14:textId="77777777" w:rsidR="008B568E" w:rsidRDefault="008B568E" w:rsidP="002E6AEA">
      <w:pPr>
        <w:pStyle w:val="Textparagrafu"/>
        <w:tabs>
          <w:tab w:val="left" w:pos="426"/>
          <w:tab w:val="left" w:pos="840"/>
        </w:tabs>
        <w:spacing w:before="0"/>
        <w:ind w:left="426" w:hanging="426"/>
      </w:pPr>
      <w:r w:rsidRPr="008B0305">
        <w:t>c)</w:t>
      </w:r>
      <w:r>
        <w:tab/>
      </w:r>
      <w:r w:rsidRPr="008B0305">
        <w:t>dobu</w:t>
      </w:r>
      <w:r>
        <w:t xml:space="preserve"> </w:t>
      </w:r>
      <w:r w:rsidRPr="008B0305">
        <w:t>výstavby</w:t>
      </w:r>
      <w:r>
        <w:t xml:space="preserve"> </w:t>
      </w:r>
      <w:r w:rsidRPr="008B0305">
        <w:t>a</w:t>
      </w:r>
      <w:r>
        <w:t xml:space="preserve"> </w:t>
      </w:r>
      <w:r w:rsidRPr="008B0305">
        <w:t>předpokládaný</w:t>
      </w:r>
      <w:r>
        <w:t xml:space="preserve"> </w:t>
      </w:r>
      <w:r w:rsidRPr="008B0305">
        <w:t>termín</w:t>
      </w:r>
      <w:r>
        <w:t xml:space="preserve"> </w:t>
      </w:r>
      <w:r w:rsidRPr="008B0305">
        <w:t>zahájení</w:t>
      </w:r>
      <w:r>
        <w:t xml:space="preserve"> </w:t>
      </w:r>
      <w:r w:rsidRPr="008B0305">
        <w:t>provozu,</w:t>
      </w:r>
    </w:p>
    <w:p w14:paraId="73E2B254" w14:textId="77777777" w:rsidR="008B568E" w:rsidRDefault="008B568E" w:rsidP="002E6AEA">
      <w:pPr>
        <w:pStyle w:val="Textparagrafu"/>
        <w:tabs>
          <w:tab w:val="left" w:pos="426"/>
          <w:tab w:val="left" w:pos="840"/>
        </w:tabs>
        <w:spacing w:before="0"/>
        <w:ind w:left="426" w:hanging="426"/>
      </w:pPr>
      <w:r w:rsidRPr="008B0305">
        <w:t>d)</w:t>
      </w:r>
      <w:r>
        <w:tab/>
      </w:r>
      <w:r w:rsidRPr="008B0305">
        <w:t>základní</w:t>
      </w:r>
      <w:r>
        <w:t xml:space="preserve"> </w:t>
      </w:r>
      <w:r w:rsidRPr="008B0305">
        <w:t>údaje</w:t>
      </w:r>
      <w:r>
        <w:t xml:space="preserve"> </w:t>
      </w:r>
      <w:r w:rsidRPr="008B0305">
        <w:t>o</w:t>
      </w:r>
      <w:r>
        <w:t xml:space="preserve"> </w:t>
      </w:r>
      <w:r w:rsidRPr="008B0305">
        <w:t>vybraném</w:t>
      </w:r>
      <w:r>
        <w:t xml:space="preserve"> </w:t>
      </w:r>
      <w:r w:rsidRPr="008B0305">
        <w:t>plynovém</w:t>
      </w:r>
      <w:r>
        <w:t xml:space="preserve"> </w:t>
      </w:r>
      <w:r w:rsidRPr="008B0305">
        <w:t>zařízení,</w:t>
      </w:r>
    </w:p>
    <w:p w14:paraId="5AE042D1" w14:textId="77777777" w:rsidR="008B568E" w:rsidRDefault="008B568E" w:rsidP="002E6AEA">
      <w:pPr>
        <w:pStyle w:val="Textparagrafu"/>
        <w:tabs>
          <w:tab w:val="left" w:pos="426"/>
          <w:tab w:val="left" w:pos="840"/>
        </w:tabs>
        <w:spacing w:before="0"/>
        <w:ind w:left="426" w:hanging="426"/>
      </w:pPr>
      <w:r w:rsidRPr="008B0305">
        <w:t>e)</w:t>
      </w:r>
      <w:r>
        <w:tab/>
      </w:r>
      <w:r w:rsidRPr="008B0305">
        <w:t>umístění</w:t>
      </w:r>
      <w:r>
        <w:t xml:space="preserve"> </w:t>
      </w:r>
      <w:r w:rsidRPr="008B0305">
        <w:t>vybraného</w:t>
      </w:r>
      <w:r>
        <w:t xml:space="preserve"> </w:t>
      </w:r>
      <w:r w:rsidRPr="008B0305">
        <w:t>plynového</w:t>
      </w:r>
      <w:r>
        <w:t xml:space="preserve"> </w:t>
      </w:r>
      <w:r w:rsidRPr="008B0305">
        <w:t>zařízení.</w:t>
      </w:r>
    </w:p>
    <w:p w14:paraId="687020F8" w14:textId="77777777" w:rsidR="008B568E" w:rsidRDefault="008B568E" w:rsidP="0010420C">
      <w:pPr>
        <w:pStyle w:val="Textparagrafu"/>
        <w:tabs>
          <w:tab w:val="left" w:pos="392"/>
          <w:tab w:val="left" w:pos="840"/>
        </w:tabs>
        <w:spacing w:before="120" w:after="120"/>
      </w:pPr>
      <w:r w:rsidRPr="008B0305">
        <w:t>(11)</w:t>
      </w:r>
      <w:r>
        <w:t xml:space="preserve"> </w:t>
      </w:r>
      <w:r w:rsidRPr="008B0305">
        <w:t>Ministerstvo</w:t>
      </w:r>
      <w:r>
        <w:t xml:space="preserve"> </w:t>
      </w:r>
      <w:r w:rsidRPr="008B0305">
        <w:t>vede</w:t>
      </w:r>
      <w:r>
        <w:t xml:space="preserve"> </w:t>
      </w:r>
      <w:r w:rsidRPr="008B0305">
        <w:t>evidenci</w:t>
      </w:r>
      <w:r>
        <w:t xml:space="preserve"> </w:t>
      </w:r>
      <w:r w:rsidRPr="008B0305">
        <w:t>udělených</w:t>
      </w:r>
      <w:r>
        <w:t xml:space="preserve"> </w:t>
      </w:r>
      <w:r w:rsidRPr="008B0305">
        <w:t>autorizací.</w:t>
      </w:r>
    </w:p>
    <w:p w14:paraId="30ADAA27" w14:textId="77777777" w:rsidR="008B568E" w:rsidRDefault="008B568E" w:rsidP="0010420C">
      <w:pPr>
        <w:pStyle w:val="Textparagrafu"/>
        <w:tabs>
          <w:tab w:val="left" w:pos="392"/>
          <w:tab w:val="left" w:pos="840"/>
        </w:tabs>
        <w:spacing w:before="120" w:after="120"/>
      </w:pPr>
      <w:r w:rsidRPr="008B0305">
        <w:t>(12)</w:t>
      </w:r>
      <w:r>
        <w:t xml:space="preserve"> </w:t>
      </w:r>
      <w:r w:rsidRPr="008B0305">
        <w:t>Autorizace</w:t>
      </w:r>
      <w:r>
        <w:t xml:space="preserve"> </w:t>
      </w:r>
      <w:r w:rsidRPr="008B0305">
        <w:t>zaniká</w:t>
      </w:r>
    </w:p>
    <w:p w14:paraId="11656EC4" w14:textId="77777777" w:rsidR="008B568E" w:rsidRDefault="008B568E" w:rsidP="002E6AEA">
      <w:pPr>
        <w:pStyle w:val="Textparagrafu"/>
        <w:tabs>
          <w:tab w:val="left" w:pos="392"/>
          <w:tab w:val="left" w:pos="840"/>
        </w:tabs>
        <w:spacing w:before="0"/>
        <w:ind w:left="426" w:hanging="426"/>
      </w:pPr>
      <w:r w:rsidRPr="008B0305">
        <w:t>a)</w:t>
      </w:r>
      <w:r>
        <w:tab/>
      </w:r>
      <w:r w:rsidRPr="008B0305">
        <w:t>uplynutím</w:t>
      </w:r>
      <w:r>
        <w:t xml:space="preserve"> </w:t>
      </w:r>
      <w:r w:rsidRPr="008B0305">
        <w:t>doby,</w:t>
      </w:r>
      <w:r>
        <w:t xml:space="preserve"> </w:t>
      </w:r>
      <w:r w:rsidRPr="008B0305">
        <w:t>na</w:t>
      </w:r>
      <w:r>
        <w:t xml:space="preserve"> </w:t>
      </w:r>
      <w:r w:rsidRPr="008B0305">
        <w:t>kterou</w:t>
      </w:r>
      <w:r>
        <w:t xml:space="preserve"> </w:t>
      </w:r>
      <w:r w:rsidRPr="008B0305">
        <w:t>byla</w:t>
      </w:r>
      <w:r>
        <w:t xml:space="preserve"> </w:t>
      </w:r>
      <w:r w:rsidRPr="008B0305">
        <w:t>udělena,</w:t>
      </w:r>
      <w:r>
        <w:t xml:space="preserve"> </w:t>
      </w:r>
      <w:r w:rsidRPr="008B0305">
        <w:t>pokud</w:t>
      </w:r>
      <w:r>
        <w:t xml:space="preserve"> </w:t>
      </w:r>
      <w:r w:rsidRPr="008B0305">
        <w:t>nedošlo</w:t>
      </w:r>
      <w:r>
        <w:t xml:space="preserve"> </w:t>
      </w:r>
      <w:r w:rsidRPr="008B0305">
        <w:t>na</w:t>
      </w:r>
      <w:r>
        <w:t xml:space="preserve"> </w:t>
      </w:r>
      <w:r w:rsidRPr="008B0305">
        <w:t>základě</w:t>
      </w:r>
      <w:r>
        <w:t xml:space="preserve"> </w:t>
      </w:r>
      <w:r w:rsidRPr="008B0305">
        <w:t>žádosti</w:t>
      </w:r>
      <w:r>
        <w:t xml:space="preserve"> </w:t>
      </w:r>
      <w:r w:rsidRPr="008B0305">
        <w:t>držitele</w:t>
      </w:r>
      <w:r>
        <w:t xml:space="preserve"> </w:t>
      </w:r>
      <w:r w:rsidRPr="008B0305">
        <w:t>autorizace</w:t>
      </w:r>
      <w:r>
        <w:t xml:space="preserve"> </w:t>
      </w:r>
      <w:r w:rsidRPr="008B0305">
        <w:t>k</w:t>
      </w:r>
      <w:r>
        <w:t xml:space="preserve"> </w:t>
      </w:r>
      <w:r w:rsidRPr="008B0305">
        <w:t>jejímu</w:t>
      </w:r>
      <w:r>
        <w:t xml:space="preserve"> </w:t>
      </w:r>
      <w:r w:rsidRPr="008B0305">
        <w:t>prodloužení,</w:t>
      </w:r>
    </w:p>
    <w:p w14:paraId="7B570B73" w14:textId="77777777" w:rsidR="008B568E" w:rsidRDefault="008B568E" w:rsidP="002E6AEA">
      <w:pPr>
        <w:pStyle w:val="Textparagrafu"/>
        <w:tabs>
          <w:tab w:val="left" w:pos="392"/>
          <w:tab w:val="left" w:pos="840"/>
        </w:tabs>
        <w:spacing w:before="0"/>
        <w:ind w:left="426" w:hanging="426"/>
      </w:pPr>
      <w:r w:rsidRPr="008B0305">
        <w:t>b)</w:t>
      </w:r>
      <w:r>
        <w:tab/>
      </w:r>
      <w:r w:rsidRPr="008B0305">
        <w:t>u</w:t>
      </w:r>
      <w:r>
        <w:t xml:space="preserve"> </w:t>
      </w:r>
      <w:r w:rsidRPr="008B0305">
        <w:t>fyzických</w:t>
      </w:r>
      <w:r>
        <w:t xml:space="preserve"> </w:t>
      </w:r>
      <w:r w:rsidRPr="008B0305">
        <w:t>osob</w:t>
      </w:r>
      <w:r>
        <w:t xml:space="preserve"> </w:t>
      </w:r>
      <w:r w:rsidRPr="008B0305">
        <w:t>smrtí</w:t>
      </w:r>
      <w:r>
        <w:t xml:space="preserve"> </w:t>
      </w:r>
      <w:r w:rsidRPr="008B0305">
        <w:t>nebo</w:t>
      </w:r>
      <w:r>
        <w:t xml:space="preserve"> </w:t>
      </w:r>
      <w:r w:rsidRPr="008B0305">
        <w:t>prohlášením</w:t>
      </w:r>
      <w:r>
        <w:t xml:space="preserve"> </w:t>
      </w:r>
      <w:r w:rsidRPr="008B0305">
        <w:t>za</w:t>
      </w:r>
      <w:r>
        <w:t xml:space="preserve"> </w:t>
      </w:r>
      <w:r w:rsidRPr="008B0305">
        <w:t>mrtvého</w:t>
      </w:r>
      <w:r>
        <w:t xml:space="preserve"> </w:t>
      </w:r>
      <w:r w:rsidRPr="008B0305">
        <w:t>držitele</w:t>
      </w:r>
      <w:r>
        <w:t xml:space="preserve"> </w:t>
      </w:r>
      <w:r w:rsidRPr="008B0305">
        <w:t>autorizace,</w:t>
      </w:r>
    </w:p>
    <w:p w14:paraId="555F2819" w14:textId="77777777" w:rsidR="008B568E" w:rsidRDefault="008B568E" w:rsidP="002E6AEA">
      <w:pPr>
        <w:pStyle w:val="Textparagrafu"/>
        <w:tabs>
          <w:tab w:val="left" w:pos="392"/>
          <w:tab w:val="left" w:pos="840"/>
        </w:tabs>
        <w:spacing w:before="0"/>
        <w:ind w:left="426" w:hanging="426"/>
      </w:pPr>
      <w:r w:rsidRPr="008B0305">
        <w:t>c)</w:t>
      </w:r>
      <w:r>
        <w:tab/>
      </w:r>
      <w:r w:rsidRPr="008B0305">
        <w:t>vydáním</w:t>
      </w:r>
      <w:r>
        <w:t xml:space="preserve"> </w:t>
      </w:r>
      <w:r w:rsidRPr="008B0305">
        <w:t>rozhodnutí</w:t>
      </w:r>
      <w:r>
        <w:t xml:space="preserve"> </w:t>
      </w:r>
      <w:r w:rsidRPr="008B0305">
        <w:t>o</w:t>
      </w:r>
      <w:r>
        <w:t xml:space="preserve"> </w:t>
      </w:r>
      <w:r w:rsidRPr="008B0305">
        <w:t>úpadku</w:t>
      </w:r>
      <w:r>
        <w:t xml:space="preserve"> </w:t>
      </w:r>
      <w:r w:rsidRPr="008B0305">
        <w:t>ohledně</w:t>
      </w:r>
      <w:r>
        <w:t xml:space="preserve"> </w:t>
      </w:r>
      <w:r w:rsidRPr="008B0305">
        <w:t>majetku</w:t>
      </w:r>
      <w:r>
        <w:t xml:space="preserve"> </w:t>
      </w:r>
      <w:r w:rsidRPr="008B0305">
        <w:t>držitele</w:t>
      </w:r>
      <w:r>
        <w:t xml:space="preserve"> </w:t>
      </w:r>
      <w:r w:rsidRPr="008B0305">
        <w:t>autorizace</w:t>
      </w:r>
      <w:r>
        <w:t xml:space="preserve"> </w:t>
      </w:r>
      <w:r w:rsidRPr="008B0305">
        <w:t>nebo</w:t>
      </w:r>
      <w:r>
        <w:t xml:space="preserve"> </w:t>
      </w:r>
      <w:r w:rsidRPr="008B0305">
        <w:t>byl</w:t>
      </w:r>
      <w:r>
        <w:t xml:space="preserve"> </w:t>
      </w:r>
      <w:r w:rsidRPr="008B0305">
        <w:t>insolvenční</w:t>
      </w:r>
      <w:r>
        <w:t xml:space="preserve"> </w:t>
      </w:r>
      <w:r w:rsidRPr="008B0305">
        <w:t>návrh</w:t>
      </w:r>
      <w:r>
        <w:t xml:space="preserve"> </w:t>
      </w:r>
      <w:r w:rsidRPr="008B0305">
        <w:t>zamítnut</w:t>
      </w:r>
      <w:r>
        <w:t xml:space="preserve"> </w:t>
      </w:r>
      <w:r w:rsidRPr="008B0305">
        <w:t>proto,</w:t>
      </w:r>
      <w:r>
        <w:t xml:space="preserve"> </w:t>
      </w:r>
      <w:r w:rsidRPr="008B0305">
        <w:t>že</w:t>
      </w:r>
      <w:r>
        <w:t xml:space="preserve"> </w:t>
      </w:r>
      <w:r w:rsidRPr="008B0305">
        <w:t>majetek</w:t>
      </w:r>
      <w:r>
        <w:t xml:space="preserve"> </w:t>
      </w:r>
      <w:r w:rsidRPr="008B0305">
        <w:t>držitele</w:t>
      </w:r>
      <w:r>
        <w:t xml:space="preserve"> </w:t>
      </w:r>
      <w:r w:rsidRPr="008B0305">
        <w:t>autorizace</w:t>
      </w:r>
      <w:r>
        <w:t xml:space="preserve"> </w:t>
      </w:r>
      <w:r w:rsidRPr="008B0305">
        <w:t>nepostačuje</w:t>
      </w:r>
      <w:r>
        <w:t xml:space="preserve"> </w:t>
      </w:r>
      <w:r w:rsidRPr="008B0305">
        <w:t>k</w:t>
      </w:r>
      <w:r>
        <w:t xml:space="preserve"> </w:t>
      </w:r>
      <w:r w:rsidRPr="008B0305">
        <w:t>úhradě</w:t>
      </w:r>
      <w:r>
        <w:t xml:space="preserve"> </w:t>
      </w:r>
      <w:r w:rsidRPr="008B0305">
        <w:t>nákladů</w:t>
      </w:r>
      <w:r>
        <w:t xml:space="preserve"> </w:t>
      </w:r>
      <w:r w:rsidRPr="008B0305">
        <w:t>insolvenčního</w:t>
      </w:r>
      <w:r>
        <w:t xml:space="preserve"> </w:t>
      </w:r>
      <w:r w:rsidRPr="008B0305">
        <w:t>řízení,</w:t>
      </w:r>
    </w:p>
    <w:p w14:paraId="3E922185" w14:textId="77777777" w:rsidR="008B568E" w:rsidRDefault="008B568E" w:rsidP="002E6AEA">
      <w:pPr>
        <w:pStyle w:val="Textparagrafu"/>
        <w:tabs>
          <w:tab w:val="left" w:pos="392"/>
          <w:tab w:val="left" w:pos="840"/>
        </w:tabs>
        <w:spacing w:before="0"/>
        <w:ind w:left="426" w:hanging="426"/>
      </w:pPr>
      <w:r w:rsidRPr="008B0305">
        <w:t>d)</w:t>
      </w:r>
      <w:r>
        <w:tab/>
      </w:r>
      <w:r w:rsidRPr="008B0305">
        <w:t>zánikem</w:t>
      </w:r>
      <w:r>
        <w:t xml:space="preserve"> </w:t>
      </w:r>
      <w:r w:rsidRPr="008B0305">
        <w:t>právnické</w:t>
      </w:r>
      <w:r>
        <w:t xml:space="preserve"> </w:t>
      </w:r>
      <w:r w:rsidRPr="008B0305">
        <w:t>osoby,</w:t>
      </w:r>
      <w:r>
        <w:t xml:space="preserve"> </w:t>
      </w:r>
      <w:r w:rsidRPr="008B0305">
        <w:t>která</w:t>
      </w:r>
      <w:r>
        <w:t xml:space="preserve"> </w:t>
      </w:r>
      <w:r w:rsidRPr="008B0305">
        <w:t>je</w:t>
      </w:r>
      <w:r>
        <w:t xml:space="preserve"> </w:t>
      </w:r>
      <w:r w:rsidRPr="008B0305">
        <w:t>držitelem</w:t>
      </w:r>
      <w:r>
        <w:t xml:space="preserve"> </w:t>
      </w:r>
      <w:r w:rsidRPr="008B0305">
        <w:t>autorizace,</w:t>
      </w:r>
    </w:p>
    <w:p w14:paraId="071CCE60" w14:textId="77777777" w:rsidR="008B568E" w:rsidRDefault="008B568E" w:rsidP="002E6AEA">
      <w:pPr>
        <w:pStyle w:val="Textparagrafu"/>
        <w:tabs>
          <w:tab w:val="left" w:pos="392"/>
          <w:tab w:val="left" w:pos="840"/>
        </w:tabs>
        <w:spacing w:before="0"/>
        <w:ind w:left="426" w:hanging="426"/>
      </w:pPr>
      <w:r w:rsidRPr="008B0305">
        <w:lastRenderedPageBreak/>
        <w:t>e)</w:t>
      </w:r>
      <w:r>
        <w:tab/>
      </w:r>
      <w:r w:rsidRPr="008B0305">
        <w:t>na</w:t>
      </w:r>
      <w:r>
        <w:t xml:space="preserve"> </w:t>
      </w:r>
      <w:r w:rsidRPr="008B0305">
        <w:t>základě</w:t>
      </w:r>
      <w:r>
        <w:t xml:space="preserve"> </w:t>
      </w:r>
      <w:r w:rsidRPr="008B0305">
        <w:t>žádosti</w:t>
      </w:r>
      <w:r>
        <w:t xml:space="preserve"> </w:t>
      </w:r>
      <w:r w:rsidRPr="008B0305">
        <w:t>držitele</w:t>
      </w:r>
      <w:r>
        <w:t xml:space="preserve"> </w:t>
      </w:r>
      <w:r w:rsidRPr="008B0305">
        <w:t>autorizace</w:t>
      </w:r>
      <w:r>
        <w:t xml:space="preserve"> </w:t>
      </w:r>
      <w:r w:rsidRPr="008B0305">
        <w:t>o</w:t>
      </w:r>
      <w:r>
        <w:t xml:space="preserve"> </w:t>
      </w:r>
      <w:r w:rsidRPr="008B0305">
        <w:t>zrušení</w:t>
      </w:r>
      <w:r>
        <w:t xml:space="preserve"> </w:t>
      </w:r>
      <w:r w:rsidRPr="008B0305">
        <w:t>udělené</w:t>
      </w:r>
      <w:r>
        <w:t xml:space="preserve"> </w:t>
      </w:r>
      <w:r w:rsidRPr="008B0305">
        <w:t>autorizace,</w:t>
      </w:r>
    </w:p>
    <w:p w14:paraId="7725F14B" w14:textId="77777777" w:rsidR="008B568E" w:rsidRDefault="008B568E" w:rsidP="002E6AEA">
      <w:pPr>
        <w:pStyle w:val="Textparagrafu"/>
        <w:tabs>
          <w:tab w:val="left" w:pos="392"/>
          <w:tab w:val="left" w:pos="840"/>
        </w:tabs>
        <w:spacing w:before="0"/>
        <w:ind w:left="426" w:hanging="426"/>
      </w:pPr>
      <w:r w:rsidRPr="008B0305">
        <w:t>f)</w:t>
      </w:r>
      <w:r>
        <w:tab/>
      </w:r>
      <w:r w:rsidRPr="008B0305">
        <w:t>rozhodnutím</w:t>
      </w:r>
      <w:r>
        <w:t xml:space="preserve"> </w:t>
      </w:r>
      <w:r w:rsidRPr="008B0305">
        <w:t>ministerstva</w:t>
      </w:r>
      <w:r>
        <w:t xml:space="preserve"> </w:t>
      </w:r>
      <w:r w:rsidRPr="008B0305">
        <w:t>o</w:t>
      </w:r>
      <w:r>
        <w:t xml:space="preserve"> </w:t>
      </w:r>
      <w:r w:rsidRPr="008B0305">
        <w:t>odnětí</w:t>
      </w:r>
      <w:r>
        <w:t xml:space="preserve"> </w:t>
      </w:r>
      <w:r w:rsidRPr="008B0305">
        <w:t>autorizace</w:t>
      </w:r>
      <w:r>
        <w:t xml:space="preserve"> </w:t>
      </w:r>
      <w:r w:rsidRPr="008B0305">
        <w:t>pro</w:t>
      </w:r>
      <w:r>
        <w:t xml:space="preserve"> </w:t>
      </w:r>
      <w:r w:rsidRPr="008B0305">
        <w:t>závažné</w:t>
      </w:r>
      <w:r>
        <w:t xml:space="preserve"> </w:t>
      </w:r>
      <w:r w:rsidRPr="008B0305">
        <w:t>neplnění</w:t>
      </w:r>
      <w:r>
        <w:t xml:space="preserve"> </w:t>
      </w:r>
      <w:r w:rsidRPr="008B0305">
        <w:t>podmínek</w:t>
      </w:r>
      <w:r>
        <w:t xml:space="preserve"> </w:t>
      </w:r>
      <w:r w:rsidRPr="008B0305">
        <w:t>pro</w:t>
      </w:r>
      <w:r>
        <w:t xml:space="preserve"> </w:t>
      </w:r>
      <w:r w:rsidRPr="008B0305">
        <w:t>udělení</w:t>
      </w:r>
      <w:r>
        <w:t xml:space="preserve"> </w:t>
      </w:r>
      <w:r w:rsidRPr="008B0305">
        <w:t>této</w:t>
      </w:r>
      <w:r>
        <w:t xml:space="preserve"> </w:t>
      </w:r>
      <w:r w:rsidRPr="008B0305">
        <w:t>autorizace</w:t>
      </w:r>
      <w:r>
        <w:t xml:space="preserve"> </w:t>
      </w:r>
      <w:r w:rsidRPr="008B0305">
        <w:t>včetně</w:t>
      </w:r>
      <w:r>
        <w:t xml:space="preserve"> </w:t>
      </w:r>
      <w:r w:rsidRPr="008B0305">
        <w:t>vstupu</w:t>
      </w:r>
      <w:r>
        <w:t xml:space="preserve"> </w:t>
      </w:r>
      <w:r w:rsidRPr="008B0305">
        <w:t>držitele</w:t>
      </w:r>
      <w:r>
        <w:t xml:space="preserve"> </w:t>
      </w:r>
      <w:r w:rsidRPr="008B0305">
        <w:t>autorizace</w:t>
      </w:r>
      <w:r>
        <w:t xml:space="preserve"> </w:t>
      </w:r>
      <w:r w:rsidRPr="008B0305">
        <w:t>do</w:t>
      </w:r>
      <w:r>
        <w:t xml:space="preserve"> </w:t>
      </w:r>
      <w:r w:rsidRPr="008B0305">
        <w:t>likvidace.</w:t>
      </w:r>
    </w:p>
    <w:p w14:paraId="05A6C1D6" w14:textId="77777777" w:rsidR="008B568E" w:rsidRPr="008B0305" w:rsidRDefault="008B568E" w:rsidP="008B568E">
      <w:pPr>
        <w:pStyle w:val="Textparagrafu"/>
        <w:tabs>
          <w:tab w:val="left" w:pos="392"/>
          <w:tab w:val="left" w:pos="840"/>
        </w:tabs>
        <w:spacing w:after="120"/>
        <w:ind w:firstLine="0"/>
        <w:jc w:val="center"/>
      </w:pPr>
      <w:r w:rsidRPr="008B0305">
        <w:t>***</w:t>
      </w:r>
    </w:p>
    <w:p w14:paraId="6966DE52" w14:textId="77777777" w:rsidR="008B568E" w:rsidRDefault="008B568E" w:rsidP="008B568E">
      <w:pPr>
        <w:pStyle w:val="Textparagrafu"/>
        <w:tabs>
          <w:tab w:val="left" w:pos="392"/>
          <w:tab w:val="left" w:pos="840"/>
        </w:tabs>
        <w:spacing w:after="120"/>
        <w:ind w:firstLine="0"/>
        <w:jc w:val="center"/>
      </w:pPr>
      <w:r w:rsidRPr="008B0305">
        <w:t>§</w:t>
      </w:r>
      <w:r>
        <w:t xml:space="preserve"> </w:t>
      </w:r>
      <w:r w:rsidRPr="008B0305">
        <w:t>76</w:t>
      </w:r>
    </w:p>
    <w:p w14:paraId="2A6BD6BE" w14:textId="77777777" w:rsidR="008B568E" w:rsidRPr="00856047" w:rsidRDefault="008B568E" w:rsidP="008B568E">
      <w:pPr>
        <w:pStyle w:val="Textparagrafu"/>
        <w:tabs>
          <w:tab w:val="left" w:pos="392"/>
          <w:tab w:val="left" w:pos="840"/>
        </w:tabs>
        <w:spacing w:after="120"/>
        <w:ind w:firstLine="0"/>
        <w:jc w:val="center"/>
        <w:rPr>
          <w:b/>
        </w:rPr>
      </w:pPr>
      <w:r w:rsidRPr="00856047">
        <w:rPr>
          <w:b/>
        </w:rPr>
        <w:t>Výroba tepelné energie a rozvod tepelné energie</w:t>
      </w:r>
    </w:p>
    <w:p w14:paraId="061A0088" w14:textId="77777777" w:rsidR="008B568E" w:rsidRDefault="008B568E" w:rsidP="0010420C">
      <w:pPr>
        <w:pStyle w:val="Textparagrafu"/>
        <w:tabs>
          <w:tab w:val="left" w:pos="392"/>
          <w:tab w:val="left" w:pos="840"/>
        </w:tabs>
        <w:spacing w:before="120" w:after="120"/>
      </w:pPr>
      <w:r w:rsidRPr="008B0305">
        <w:t>(1)</w:t>
      </w:r>
      <w:r>
        <w:t xml:space="preserve"> </w:t>
      </w:r>
      <w:r w:rsidRPr="008B0305">
        <w:t>Držitel</w:t>
      </w:r>
      <w:r>
        <w:t xml:space="preserve"> </w:t>
      </w:r>
      <w:r w:rsidRPr="008B0305">
        <w:t>licence</w:t>
      </w:r>
      <w:r>
        <w:t xml:space="preserve"> </w:t>
      </w:r>
      <w:r w:rsidRPr="008B0305">
        <w:t>na</w:t>
      </w:r>
      <w:r>
        <w:t xml:space="preserve"> </w:t>
      </w:r>
      <w:r w:rsidRPr="008B0305">
        <w:t>výrobu</w:t>
      </w:r>
      <w:r>
        <w:t xml:space="preserve"> </w:t>
      </w:r>
      <w:r w:rsidRPr="008B0305">
        <w:t>nebo</w:t>
      </w:r>
      <w:r>
        <w:t xml:space="preserve"> </w:t>
      </w:r>
      <w:r w:rsidRPr="008B0305">
        <w:t>rozvod</w:t>
      </w:r>
      <w:r>
        <w:t xml:space="preserve"> </w:t>
      </w:r>
      <w:r w:rsidRPr="008B0305">
        <w:t>tepelné</w:t>
      </w:r>
      <w:r>
        <w:t xml:space="preserve"> </w:t>
      </w:r>
      <w:r w:rsidRPr="008B0305">
        <w:t>energie</w:t>
      </w:r>
      <w:r>
        <w:t xml:space="preserve"> </w:t>
      </w:r>
      <w:r w:rsidRPr="008B0305">
        <w:t>je</w:t>
      </w:r>
      <w:r>
        <w:t xml:space="preserve"> </w:t>
      </w:r>
      <w:r w:rsidRPr="008B0305">
        <w:t>povinen,</w:t>
      </w:r>
      <w:r>
        <w:t xml:space="preserve"> </w:t>
      </w:r>
      <w:r w:rsidRPr="008B0305">
        <w:t>pokud</w:t>
      </w:r>
      <w:r>
        <w:t xml:space="preserve"> </w:t>
      </w:r>
      <w:r w:rsidRPr="008B0305">
        <w:t>mu</w:t>
      </w:r>
      <w:r>
        <w:t xml:space="preserve"> </w:t>
      </w:r>
      <w:r w:rsidRPr="008B0305">
        <w:t>odběratel</w:t>
      </w:r>
      <w:r>
        <w:t xml:space="preserve"> </w:t>
      </w:r>
      <w:r w:rsidRPr="008B0305">
        <w:t>tepelné</w:t>
      </w:r>
      <w:r>
        <w:t xml:space="preserve"> </w:t>
      </w:r>
      <w:r w:rsidRPr="008B0305">
        <w:t>energie</w:t>
      </w:r>
      <w:r>
        <w:t xml:space="preserve"> </w:t>
      </w:r>
      <w:r w:rsidRPr="008B0305">
        <w:t>poskytne</w:t>
      </w:r>
      <w:r>
        <w:t xml:space="preserve"> </w:t>
      </w:r>
      <w:r w:rsidRPr="008B0305">
        <w:t>nezbytné</w:t>
      </w:r>
      <w:r>
        <w:t xml:space="preserve"> </w:t>
      </w:r>
      <w:r w:rsidRPr="008B0305">
        <w:t>technické</w:t>
      </w:r>
      <w:r>
        <w:t xml:space="preserve"> </w:t>
      </w:r>
      <w:r w:rsidRPr="008B0305">
        <w:t>údaje,</w:t>
      </w:r>
      <w:r>
        <w:t xml:space="preserve"> </w:t>
      </w:r>
      <w:r w:rsidRPr="008B0305">
        <w:t>uzavřít</w:t>
      </w:r>
      <w:r>
        <w:t xml:space="preserve"> </w:t>
      </w:r>
      <w:r w:rsidRPr="008B0305">
        <w:t>smlouvu</w:t>
      </w:r>
      <w:r>
        <w:t xml:space="preserve"> </w:t>
      </w:r>
      <w:r w:rsidRPr="008B0305">
        <w:t>o</w:t>
      </w:r>
      <w:r>
        <w:t xml:space="preserve"> </w:t>
      </w:r>
      <w:r w:rsidRPr="008B0305">
        <w:t>dodávce</w:t>
      </w:r>
      <w:r>
        <w:t xml:space="preserve"> </w:t>
      </w:r>
      <w:r w:rsidRPr="008B0305">
        <w:t>tepelné</w:t>
      </w:r>
      <w:r>
        <w:t xml:space="preserve"> </w:t>
      </w:r>
      <w:r w:rsidRPr="008B0305">
        <w:t>energie,</w:t>
      </w:r>
      <w:r>
        <w:t xml:space="preserve"> </w:t>
      </w:r>
      <w:r w:rsidRPr="008B0305">
        <w:t>na</w:t>
      </w:r>
      <w:r>
        <w:t xml:space="preserve"> </w:t>
      </w:r>
      <w:r w:rsidRPr="008B0305">
        <w:t>základě</w:t>
      </w:r>
      <w:r>
        <w:t xml:space="preserve"> </w:t>
      </w:r>
      <w:r w:rsidRPr="008B0305">
        <w:t>které</w:t>
      </w:r>
      <w:r>
        <w:t xml:space="preserve"> </w:t>
      </w:r>
      <w:r w:rsidRPr="008B0305">
        <w:t>zajistí</w:t>
      </w:r>
      <w:r>
        <w:t xml:space="preserve"> </w:t>
      </w:r>
      <w:r w:rsidRPr="008B0305">
        <w:t>dodávku</w:t>
      </w:r>
      <w:r>
        <w:t xml:space="preserve"> </w:t>
      </w:r>
      <w:r w:rsidRPr="008B0305">
        <w:t>tepelné</w:t>
      </w:r>
      <w:r>
        <w:t xml:space="preserve"> </w:t>
      </w:r>
      <w:r w:rsidRPr="008B0305">
        <w:t>energie,</w:t>
      </w:r>
      <w:r>
        <w:t xml:space="preserve"> </w:t>
      </w:r>
      <w:r w:rsidRPr="008B0305">
        <w:t>každému,</w:t>
      </w:r>
      <w:r>
        <w:t xml:space="preserve"> </w:t>
      </w:r>
      <w:r w:rsidRPr="008B0305">
        <w:t>kdo</w:t>
      </w:r>
    </w:p>
    <w:p w14:paraId="2E931C27" w14:textId="77777777" w:rsidR="008B568E" w:rsidRDefault="008B568E" w:rsidP="002E6AEA">
      <w:pPr>
        <w:pStyle w:val="Textparagrafu"/>
        <w:tabs>
          <w:tab w:val="left" w:pos="392"/>
          <w:tab w:val="left" w:pos="840"/>
        </w:tabs>
        <w:spacing w:before="0"/>
        <w:ind w:left="426" w:hanging="426"/>
      </w:pPr>
      <w:r w:rsidRPr="008B0305">
        <w:t>a)</w:t>
      </w:r>
      <w:r>
        <w:tab/>
      </w:r>
      <w:r w:rsidRPr="008B0305">
        <w:t>o</w:t>
      </w:r>
      <w:r>
        <w:t xml:space="preserve"> </w:t>
      </w:r>
      <w:r w:rsidRPr="008B0305">
        <w:t>to</w:t>
      </w:r>
      <w:r>
        <w:t xml:space="preserve"> </w:t>
      </w:r>
      <w:r w:rsidRPr="008B0305">
        <w:t>požádá</w:t>
      </w:r>
      <w:r>
        <w:t xml:space="preserve"> </w:t>
      </w:r>
      <w:r w:rsidRPr="008B0305">
        <w:t>a</w:t>
      </w:r>
      <w:r>
        <w:t xml:space="preserve"> </w:t>
      </w:r>
      <w:r w:rsidRPr="008B0305">
        <w:t>dodávka</w:t>
      </w:r>
      <w:r>
        <w:t xml:space="preserve"> </w:t>
      </w:r>
      <w:r w:rsidRPr="008B0305">
        <w:t>tepelné</w:t>
      </w:r>
      <w:r>
        <w:t xml:space="preserve"> </w:t>
      </w:r>
      <w:r w:rsidRPr="008B0305">
        <w:t>energie</w:t>
      </w:r>
      <w:r>
        <w:t xml:space="preserve"> </w:t>
      </w:r>
      <w:r w:rsidRPr="008B0305">
        <w:t>je</w:t>
      </w:r>
      <w:r>
        <w:t xml:space="preserve"> </w:t>
      </w:r>
      <w:r w:rsidRPr="008B0305">
        <w:t>v</w:t>
      </w:r>
      <w:r>
        <w:t xml:space="preserve"> </w:t>
      </w:r>
      <w:r w:rsidRPr="008B0305">
        <w:t>souladu</w:t>
      </w:r>
      <w:r>
        <w:t xml:space="preserve"> </w:t>
      </w:r>
      <w:r w:rsidRPr="008B0305">
        <w:t>s</w:t>
      </w:r>
      <w:r>
        <w:t xml:space="preserve"> </w:t>
      </w:r>
      <w:r w:rsidRPr="008B0305">
        <w:t>územní</w:t>
      </w:r>
      <w:r>
        <w:t xml:space="preserve"> </w:t>
      </w:r>
      <w:r w:rsidRPr="008B0305">
        <w:t>energetickou</w:t>
      </w:r>
      <w:r>
        <w:t xml:space="preserve"> </w:t>
      </w:r>
      <w:r w:rsidRPr="008B0305">
        <w:t>koncepcí</w:t>
      </w:r>
      <w:r w:rsidRPr="00856047">
        <w:rPr>
          <w:vertAlign w:val="superscript"/>
        </w:rPr>
        <w:t>11)</w:t>
      </w:r>
      <w:r w:rsidRPr="008B0305">
        <w:t>,</w:t>
      </w:r>
    </w:p>
    <w:p w14:paraId="5CABC73A" w14:textId="77777777" w:rsidR="008B568E" w:rsidRDefault="008B568E" w:rsidP="002E6AEA">
      <w:pPr>
        <w:pStyle w:val="Textparagrafu"/>
        <w:tabs>
          <w:tab w:val="left" w:pos="392"/>
          <w:tab w:val="left" w:pos="840"/>
        </w:tabs>
        <w:spacing w:before="0"/>
        <w:ind w:left="426" w:hanging="426"/>
      </w:pPr>
      <w:r w:rsidRPr="008B0305">
        <w:t>b)</w:t>
      </w:r>
      <w:r>
        <w:tab/>
      </w:r>
      <w:r w:rsidRPr="008B0305">
        <w:t>má</w:t>
      </w:r>
      <w:r>
        <w:t xml:space="preserve"> </w:t>
      </w:r>
      <w:r w:rsidRPr="008B0305">
        <w:t>rozvodné</w:t>
      </w:r>
      <w:r>
        <w:t xml:space="preserve"> </w:t>
      </w:r>
      <w:r w:rsidRPr="008B0305">
        <w:t>tepelné</w:t>
      </w:r>
      <w:r>
        <w:t xml:space="preserve"> </w:t>
      </w:r>
      <w:r w:rsidRPr="008B0305">
        <w:t>zařízení</w:t>
      </w:r>
      <w:r>
        <w:t xml:space="preserve"> </w:t>
      </w:r>
      <w:r w:rsidRPr="008B0305">
        <w:t>nebo</w:t>
      </w:r>
      <w:r>
        <w:t xml:space="preserve"> </w:t>
      </w:r>
      <w:r w:rsidRPr="008B0305">
        <w:t>tepelnou</w:t>
      </w:r>
      <w:r>
        <w:t xml:space="preserve"> </w:t>
      </w:r>
      <w:r w:rsidRPr="008B0305">
        <w:t>přípojku</w:t>
      </w:r>
      <w:r>
        <w:t xml:space="preserve"> </w:t>
      </w:r>
      <w:r w:rsidRPr="008B0305">
        <w:t>a</w:t>
      </w:r>
      <w:r>
        <w:t xml:space="preserve"> </w:t>
      </w:r>
      <w:r w:rsidRPr="008B0305">
        <w:t>odběrné</w:t>
      </w:r>
      <w:r>
        <w:t xml:space="preserve"> </w:t>
      </w:r>
      <w:r w:rsidRPr="008B0305">
        <w:t>tepelné</w:t>
      </w:r>
      <w:r>
        <w:t xml:space="preserve"> </w:t>
      </w:r>
      <w:r w:rsidRPr="008B0305">
        <w:t>zařízení,</w:t>
      </w:r>
      <w:r>
        <w:t xml:space="preserve"> </w:t>
      </w:r>
      <w:r w:rsidRPr="008B0305">
        <w:t>které</w:t>
      </w:r>
      <w:r>
        <w:t xml:space="preserve"> </w:t>
      </w:r>
      <w:r w:rsidRPr="008B0305">
        <w:t>zajišťují</w:t>
      </w:r>
      <w:r>
        <w:t xml:space="preserve"> </w:t>
      </w:r>
      <w:r w:rsidRPr="008B0305">
        <w:t>hospodárnost,</w:t>
      </w:r>
      <w:r>
        <w:t xml:space="preserve"> </w:t>
      </w:r>
      <w:r w:rsidRPr="008B0305">
        <w:t>bezpečnost</w:t>
      </w:r>
      <w:r>
        <w:t xml:space="preserve"> </w:t>
      </w:r>
      <w:r w:rsidRPr="008B0305">
        <w:t>a</w:t>
      </w:r>
      <w:r>
        <w:t xml:space="preserve"> </w:t>
      </w:r>
      <w:r w:rsidRPr="008B0305">
        <w:t>spolehlivou</w:t>
      </w:r>
      <w:r>
        <w:t xml:space="preserve"> </w:t>
      </w:r>
      <w:r w:rsidRPr="008B0305">
        <w:t>dodávku</w:t>
      </w:r>
      <w:r>
        <w:t xml:space="preserve"> </w:t>
      </w:r>
      <w:r w:rsidRPr="008B0305">
        <w:t>nebo</w:t>
      </w:r>
      <w:r>
        <w:t xml:space="preserve"> </w:t>
      </w:r>
      <w:r w:rsidRPr="008B0305">
        <w:t>spotřebu</w:t>
      </w:r>
      <w:r>
        <w:t xml:space="preserve"> </w:t>
      </w:r>
      <w:r w:rsidRPr="008B0305">
        <w:t>v</w:t>
      </w:r>
      <w:r>
        <w:t xml:space="preserve"> </w:t>
      </w:r>
      <w:r w:rsidRPr="008B0305">
        <w:t>souladu</w:t>
      </w:r>
      <w:r>
        <w:t xml:space="preserve"> </w:t>
      </w:r>
      <w:r w:rsidRPr="008B0305">
        <w:t>s</w:t>
      </w:r>
      <w:r>
        <w:t xml:space="preserve"> </w:t>
      </w:r>
      <w:r w:rsidRPr="008B0305">
        <w:t>technickými</w:t>
      </w:r>
      <w:r>
        <w:t xml:space="preserve"> </w:t>
      </w:r>
      <w:r w:rsidRPr="008B0305">
        <w:t>a</w:t>
      </w:r>
      <w:r>
        <w:t xml:space="preserve"> </w:t>
      </w:r>
      <w:r w:rsidRPr="008B0305">
        <w:t>bezpečnostními</w:t>
      </w:r>
      <w:r>
        <w:t xml:space="preserve"> </w:t>
      </w:r>
      <w:r w:rsidRPr="008B0305">
        <w:t>předpisy,</w:t>
      </w:r>
    </w:p>
    <w:p w14:paraId="4506EBB7" w14:textId="77777777" w:rsidR="008B568E" w:rsidRDefault="008B568E" w:rsidP="002E6AEA">
      <w:pPr>
        <w:pStyle w:val="Textparagrafu"/>
        <w:tabs>
          <w:tab w:val="left" w:pos="392"/>
          <w:tab w:val="left" w:pos="840"/>
        </w:tabs>
        <w:spacing w:before="0"/>
        <w:ind w:left="426" w:hanging="426"/>
      </w:pPr>
      <w:r w:rsidRPr="008B0305">
        <w:t>c)</w:t>
      </w:r>
      <w:r>
        <w:tab/>
      </w:r>
      <w:r w:rsidRPr="008B0305">
        <w:t>splňuje</w:t>
      </w:r>
      <w:r>
        <w:t xml:space="preserve"> </w:t>
      </w:r>
      <w:r w:rsidRPr="008B0305">
        <w:t>podmínky</w:t>
      </w:r>
      <w:r>
        <w:t xml:space="preserve"> </w:t>
      </w:r>
      <w:r w:rsidRPr="008B0305">
        <w:t>týkající</w:t>
      </w:r>
      <w:r>
        <w:t xml:space="preserve"> </w:t>
      </w:r>
      <w:r w:rsidRPr="008B0305">
        <w:t>se</w:t>
      </w:r>
      <w:r>
        <w:t xml:space="preserve"> </w:t>
      </w:r>
      <w:r w:rsidRPr="008B0305">
        <w:t>místa,</w:t>
      </w:r>
      <w:r>
        <w:t xml:space="preserve"> </w:t>
      </w:r>
      <w:r w:rsidRPr="008B0305">
        <w:t>způsobu</w:t>
      </w:r>
      <w:r>
        <w:t xml:space="preserve"> </w:t>
      </w:r>
      <w:r w:rsidRPr="008B0305">
        <w:t>a</w:t>
      </w:r>
      <w:r>
        <w:t xml:space="preserve"> </w:t>
      </w:r>
      <w:r w:rsidRPr="008B0305">
        <w:t>termínu</w:t>
      </w:r>
      <w:r>
        <w:t xml:space="preserve"> </w:t>
      </w:r>
      <w:r w:rsidRPr="008B0305">
        <w:t>připojení</w:t>
      </w:r>
      <w:r>
        <w:t xml:space="preserve"> </w:t>
      </w:r>
      <w:r w:rsidRPr="008B0305">
        <w:t>stanovené</w:t>
      </w:r>
      <w:r>
        <w:t xml:space="preserve"> </w:t>
      </w:r>
      <w:r w:rsidRPr="008B0305">
        <w:t>držitelem</w:t>
      </w:r>
      <w:r>
        <w:t xml:space="preserve"> </w:t>
      </w:r>
      <w:r w:rsidRPr="008B0305">
        <w:t>licence.</w:t>
      </w:r>
    </w:p>
    <w:p w14:paraId="358D97AF" w14:textId="77777777" w:rsidR="008B568E" w:rsidRDefault="008B568E" w:rsidP="0010420C">
      <w:pPr>
        <w:pStyle w:val="Textparagrafu"/>
        <w:tabs>
          <w:tab w:val="left" w:pos="392"/>
          <w:tab w:val="left" w:pos="840"/>
        </w:tabs>
        <w:spacing w:before="120" w:after="120"/>
      </w:pPr>
      <w:r w:rsidRPr="008B0305">
        <w:t>(2)</w:t>
      </w:r>
      <w:r>
        <w:t xml:space="preserve"> </w:t>
      </w:r>
      <w:r w:rsidRPr="008B0305">
        <w:t>Dodávat</w:t>
      </w:r>
      <w:r>
        <w:t xml:space="preserve"> </w:t>
      </w:r>
      <w:r w:rsidRPr="008B0305">
        <w:t>tepelnou</w:t>
      </w:r>
      <w:r>
        <w:t xml:space="preserve"> </w:t>
      </w:r>
      <w:r w:rsidRPr="008B0305">
        <w:t>energii</w:t>
      </w:r>
      <w:r>
        <w:t xml:space="preserve"> </w:t>
      </w:r>
      <w:r w:rsidRPr="008B0305">
        <w:t>jiné</w:t>
      </w:r>
      <w:r>
        <w:t xml:space="preserve"> </w:t>
      </w:r>
      <w:r w:rsidRPr="008B0305">
        <w:t>fyzické</w:t>
      </w:r>
      <w:r>
        <w:t xml:space="preserve"> </w:t>
      </w:r>
      <w:r w:rsidRPr="008B0305">
        <w:t>nebo</w:t>
      </w:r>
      <w:r>
        <w:t xml:space="preserve"> </w:t>
      </w:r>
      <w:r w:rsidRPr="008B0305">
        <w:t>právnické</w:t>
      </w:r>
      <w:r>
        <w:t xml:space="preserve"> </w:t>
      </w:r>
      <w:r w:rsidRPr="008B0305">
        <w:t>osobě</w:t>
      </w:r>
      <w:r>
        <w:t xml:space="preserve"> </w:t>
      </w:r>
      <w:r w:rsidRPr="008B0305">
        <w:t>lze</w:t>
      </w:r>
      <w:r>
        <w:t xml:space="preserve"> </w:t>
      </w:r>
      <w:r w:rsidRPr="008B0305">
        <w:t>pouze</w:t>
      </w:r>
      <w:r>
        <w:t xml:space="preserve"> </w:t>
      </w:r>
      <w:r w:rsidRPr="008B0305">
        <w:t>na</w:t>
      </w:r>
      <w:r>
        <w:t xml:space="preserve"> </w:t>
      </w:r>
      <w:r w:rsidRPr="008B0305">
        <w:t>základě</w:t>
      </w:r>
      <w:r>
        <w:t xml:space="preserve"> </w:t>
      </w:r>
      <w:r w:rsidRPr="008B0305">
        <w:t>smlouvy</w:t>
      </w:r>
      <w:r>
        <w:t xml:space="preserve"> </w:t>
      </w:r>
      <w:r w:rsidRPr="008B0305">
        <w:t>o</w:t>
      </w:r>
      <w:r>
        <w:t xml:space="preserve"> </w:t>
      </w:r>
      <w:r w:rsidRPr="008B0305">
        <w:t>dodávce</w:t>
      </w:r>
      <w:r>
        <w:t xml:space="preserve"> </w:t>
      </w:r>
      <w:r w:rsidRPr="008B0305">
        <w:t>tepelné</w:t>
      </w:r>
      <w:r>
        <w:t xml:space="preserve"> </w:t>
      </w:r>
      <w:r w:rsidRPr="008B0305">
        <w:t>energie</w:t>
      </w:r>
      <w:r>
        <w:t xml:space="preserve"> </w:t>
      </w:r>
      <w:r w:rsidRPr="008B0305">
        <w:t>nebo</w:t>
      </w:r>
      <w:r>
        <w:t xml:space="preserve"> </w:t>
      </w:r>
      <w:r w:rsidRPr="008B0305">
        <w:t>jako</w:t>
      </w:r>
      <w:r>
        <w:t xml:space="preserve"> </w:t>
      </w:r>
      <w:r w:rsidRPr="008B0305">
        <w:t>plnění</w:t>
      </w:r>
      <w:r>
        <w:t xml:space="preserve"> </w:t>
      </w:r>
      <w:r w:rsidRPr="008B0305">
        <w:t>poskytované</w:t>
      </w:r>
      <w:r>
        <w:t xml:space="preserve"> </w:t>
      </w:r>
      <w:r w:rsidRPr="008B0305">
        <w:t>v</w:t>
      </w:r>
      <w:r>
        <w:t xml:space="preserve"> </w:t>
      </w:r>
      <w:r w:rsidRPr="008B0305">
        <w:t>rámci</w:t>
      </w:r>
      <w:r>
        <w:t xml:space="preserve"> </w:t>
      </w:r>
      <w:r w:rsidRPr="008B0305">
        <w:t>smlouvy</w:t>
      </w:r>
      <w:r>
        <w:t xml:space="preserve"> </w:t>
      </w:r>
      <w:r w:rsidRPr="008B0305">
        <w:t>jiné.</w:t>
      </w:r>
      <w:r>
        <w:t xml:space="preserve"> </w:t>
      </w:r>
      <w:r w:rsidRPr="008B0305">
        <w:t>Dodavatel</w:t>
      </w:r>
      <w:r>
        <w:t xml:space="preserve"> </w:t>
      </w:r>
      <w:r w:rsidRPr="008B0305">
        <w:t>tepelné</w:t>
      </w:r>
      <w:r>
        <w:t xml:space="preserve"> </w:t>
      </w:r>
      <w:r w:rsidRPr="008B0305">
        <w:t>energie,</w:t>
      </w:r>
      <w:r>
        <w:t xml:space="preserve"> </w:t>
      </w:r>
      <w:r w:rsidRPr="008B0305">
        <w:t>který</w:t>
      </w:r>
      <w:r>
        <w:t xml:space="preserve"> </w:t>
      </w:r>
      <w:r w:rsidRPr="008B0305">
        <w:t>není</w:t>
      </w:r>
      <w:r>
        <w:t xml:space="preserve"> </w:t>
      </w:r>
      <w:r w:rsidRPr="008B0305">
        <w:t>držitelem</w:t>
      </w:r>
      <w:r>
        <w:t xml:space="preserve"> </w:t>
      </w:r>
      <w:r w:rsidRPr="008B0305">
        <w:t>licence</w:t>
      </w:r>
      <w:r>
        <w:t xml:space="preserve"> </w:t>
      </w:r>
      <w:r w:rsidRPr="008B0305">
        <w:t>na</w:t>
      </w:r>
      <w:r>
        <w:t xml:space="preserve"> </w:t>
      </w:r>
      <w:r w:rsidRPr="008B0305">
        <w:t>výrobu</w:t>
      </w:r>
      <w:r>
        <w:t xml:space="preserve"> </w:t>
      </w:r>
      <w:r w:rsidRPr="008B0305">
        <w:t>tepelné</w:t>
      </w:r>
      <w:r>
        <w:t xml:space="preserve"> </w:t>
      </w:r>
      <w:r w:rsidRPr="008B0305">
        <w:t>energie</w:t>
      </w:r>
      <w:r>
        <w:t xml:space="preserve"> </w:t>
      </w:r>
      <w:r w:rsidRPr="008B0305">
        <w:t>nebo</w:t>
      </w:r>
      <w:r>
        <w:t xml:space="preserve"> </w:t>
      </w:r>
      <w:r w:rsidRPr="008B0305">
        <w:t>licence</w:t>
      </w:r>
      <w:r>
        <w:t xml:space="preserve"> </w:t>
      </w:r>
      <w:r w:rsidRPr="008B0305">
        <w:t>na</w:t>
      </w:r>
      <w:r>
        <w:t xml:space="preserve"> </w:t>
      </w:r>
      <w:r w:rsidRPr="008B0305">
        <w:t>rozvod</w:t>
      </w:r>
      <w:r>
        <w:t xml:space="preserve"> </w:t>
      </w:r>
      <w:r w:rsidRPr="008B0305">
        <w:t>tepelné</w:t>
      </w:r>
      <w:r>
        <w:t xml:space="preserve"> </w:t>
      </w:r>
      <w:r w:rsidRPr="008B0305">
        <w:t>energie,</w:t>
      </w:r>
      <w:r>
        <w:t xml:space="preserve"> </w:t>
      </w:r>
      <w:r w:rsidRPr="008B0305">
        <w:t>je</w:t>
      </w:r>
      <w:r>
        <w:t xml:space="preserve"> </w:t>
      </w:r>
      <w:r w:rsidRPr="008B0305">
        <w:t>povinen</w:t>
      </w:r>
      <w:r>
        <w:t xml:space="preserve"> </w:t>
      </w:r>
      <w:r w:rsidRPr="008B0305">
        <w:t>poskytovat</w:t>
      </w:r>
      <w:r>
        <w:t xml:space="preserve"> </w:t>
      </w:r>
      <w:r w:rsidRPr="008B0305">
        <w:t>vyúčtování</w:t>
      </w:r>
      <w:r>
        <w:t xml:space="preserve"> </w:t>
      </w:r>
      <w:r w:rsidRPr="008B0305">
        <w:t>dodávky</w:t>
      </w:r>
      <w:r>
        <w:t xml:space="preserve"> </w:t>
      </w:r>
      <w:r w:rsidRPr="008B0305">
        <w:t>tepelné</w:t>
      </w:r>
      <w:r>
        <w:t xml:space="preserve"> </w:t>
      </w:r>
      <w:r w:rsidRPr="008B0305">
        <w:t>energie;</w:t>
      </w:r>
      <w:r>
        <w:t xml:space="preserve"> </w:t>
      </w:r>
      <w:r w:rsidRPr="008B0305">
        <w:t>pro</w:t>
      </w:r>
      <w:r>
        <w:t xml:space="preserve"> </w:t>
      </w:r>
      <w:r w:rsidRPr="008B0305">
        <w:t>stanovení</w:t>
      </w:r>
      <w:r>
        <w:t xml:space="preserve"> </w:t>
      </w:r>
      <w:r w:rsidRPr="008B0305">
        <w:t>délky</w:t>
      </w:r>
      <w:r>
        <w:t xml:space="preserve"> </w:t>
      </w:r>
      <w:r w:rsidRPr="008B0305">
        <w:t>zúčtovacího</w:t>
      </w:r>
      <w:r>
        <w:t xml:space="preserve"> </w:t>
      </w:r>
      <w:r w:rsidRPr="008B0305">
        <w:t>období</w:t>
      </w:r>
      <w:r>
        <w:t xml:space="preserve"> </w:t>
      </w:r>
      <w:r w:rsidRPr="008B0305">
        <w:t>a</w:t>
      </w:r>
      <w:r>
        <w:t xml:space="preserve"> </w:t>
      </w:r>
      <w:r w:rsidRPr="008B0305">
        <w:t>termín</w:t>
      </w:r>
      <w:r>
        <w:t xml:space="preserve"> </w:t>
      </w:r>
      <w:r w:rsidRPr="008B0305">
        <w:t>poskytnutí</w:t>
      </w:r>
      <w:r>
        <w:t xml:space="preserve"> </w:t>
      </w:r>
      <w:r w:rsidRPr="008B0305">
        <w:t>vyúčtování</w:t>
      </w:r>
      <w:r>
        <w:t xml:space="preserve"> </w:t>
      </w:r>
      <w:r w:rsidRPr="008B0305">
        <w:t>dodávky</w:t>
      </w:r>
      <w:r>
        <w:t xml:space="preserve"> </w:t>
      </w:r>
      <w:r w:rsidRPr="008B0305">
        <w:t>tepelné</w:t>
      </w:r>
      <w:r>
        <w:t xml:space="preserve"> </w:t>
      </w:r>
      <w:r w:rsidRPr="008B0305">
        <w:t>energie</w:t>
      </w:r>
      <w:r>
        <w:t xml:space="preserve"> </w:t>
      </w:r>
      <w:r w:rsidRPr="008B0305">
        <w:t>se</w:t>
      </w:r>
      <w:r>
        <w:t xml:space="preserve"> </w:t>
      </w:r>
      <w:r w:rsidRPr="008B0305">
        <w:t>ustanovení</w:t>
      </w:r>
      <w:r>
        <w:t xml:space="preserve"> </w:t>
      </w:r>
      <w:r w:rsidRPr="008B0305">
        <w:t>§</w:t>
      </w:r>
      <w:r>
        <w:t xml:space="preserve"> </w:t>
      </w:r>
      <w:r w:rsidRPr="008B0305">
        <w:t>11</w:t>
      </w:r>
      <w:r>
        <w:t xml:space="preserve"> </w:t>
      </w:r>
      <w:r w:rsidRPr="008B0305">
        <w:t>odst.</w:t>
      </w:r>
      <w:r>
        <w:t xml:space="preserve"> </w:t>
      </w:r>
      <w:r w:rsidRPr="008B0305">
        <w:t>11</w:t>
      </w:r>
      <w:r>
        <w:t xml:space="preserve"> </w:t>
      </w:r>
      <w:r w:rsidRPr="008B0305">
        <w:t>použije</w:t>
      </w:r>
      <w:r>
        <w:t xml:space="preserve"> </w:t>
      </w:r>
      <w:r w:rsidRPr="008B0305">
        <w:t>obdobně.</w:t>
      </w:r>
    </w:p>
    <w:p w14:paraId="1400E400" w14:textId="77777777" w:rsidR="008B568E" w:rsidRDefault="008B568E" w:rsidP="0010420C">
      <w:pPr>
        <w:pStyle w:val="Textparagrafu"/>
        <w:tabs>
          <w:tab w:val="left" w:pos="392"/>
          <w:tab w:val="left" w:pos="840"/>
        </w:tabs>
        <w:spacing w:before="120" w:after="120"/>
      </w:pPr>
      <w:r w:rsidRPr="008B0305">
        <w:t>(3)</w:t>
      </w:r>
      <w:r>
        <w:t xml:space="preserve"> </w:t>
      </w:r>
      <w:r w:rsidRPr="008B0305">
        <w:t>Smlouva</w:t>
      </w:r>
      <w:r>
        <w:t xml:space="preserve"> </w:t>
      </w:r>
      <w:r w:rsidRPr="008B0305">
        <w:t>o</w:t>
      </w:r>
      <w:r>
        <w:t xml:space="preserve"> </w:t>
      </w:r>
      <w:r w:rsidRPr="008B0305">
        <w:t>dodávce</w:t>
      </w:r>
      <w:r>
        <w:t xml:space="preserve"> </w:t>
      </w:r>
      <w:r w:rsidRPr="008B0305">
        <w:t>tepelné</w:t>
      </w:r>
      <w:r>
        <w:t xml:space="preserve"> </w:t>
      </w:r>
      <w:r w:rsidRPr="008B0305">
        <w:t>energie</w:t>
      </w:r>
      <w:r>
        <w:t xml:space="preserve"> </w:t>
      </w:r>
      <w:r w:rsidRPr="008B0305">
        <w:t>musí</w:t>
      </w:r>
      <w:r>
        <w:t xml:space="preserve"> </w:t>
      </w:r>
      <w:r w:rsidRPr="008B0305">
        <w:t>obsahovat</w:t>
      </w:r>
      <w:r>
        <w:t xml:space="preserve"> </w:t>
      </w:r>
      <w:r w:rsidRPr="008B0305">
        <w:t>pro</w:t>
      </w:r>
      <w:r>
        <w:t xml:space="preserve"> </w:t>
      </w:r>
      <w:r w:rsidRPr="008B0305">
        <w:t>každé</w:t>
      </w:r>
      <w:r>
        <w:t xml:space="preserve"> </w:t>
      </w:r>
      <w:r w:rsidRPr="008B0305">
        <w:t>odběrné</w:t>
      </w:r>
      <w:r>
        <w:t xml:space="preserve"> </w:t>
      </w:r>
      <w:r w:rsidRPr="008B0305">
        <w:t>místo</w:t>
      </w:r>
    </w:p>
    <w:p w14:paraId="01379C29" w14:textId="77777777" w:rsidR="008B568E" w:rsidRDefault="008B568E" w:rsidP="002E6AEA">
      <w:pPr>
        <w:pStyle w:val="Textparagrafu"/>
        <w:tabs>
          <w:tab w:val="left" w:pos="392"/>
          <w:tab w:val="left" w:pos="840"/>
        </w:tabs>
        <w:spacing w:before="0"/>
        <w:ind w:left="426" w:hanging="426"/>
      </w:pPr>
      <w:r w:rsidRPr="008B0305">
        <w:t>a)</w:t>
      </w:r>
      <w:r>
        <w:tab/>
      </w:r>
      <w:r w:rsidRPr="008B0305">
        <w:t>výkon,</w:t>
      </w:r>
      <w:r>
        <w:t xml:space="preserve"> </w:t>
      </w:r>
      <w:r w:rsidRPr="008B0305">
        <w:t>množství,</w:t>
      </w:r>
      <w:r>
        <w:t xml:space="preserve"> </w:t>
      </w:r>
      <w:r w:rsidRPr="008B0305">
        <w:t>časový</w:t>
      </w:r>
      <w:r>
        <w:t xml:space="preserve"> </w:t>
      </w:r>
      <w:r w:rsidRPr="008B0305">
        <w:t>průběh</w:t>
      </w:r>
      <w:r>
        <w:t xml:space="preserve"> </w:t>
      </w:r>
      <w:r w:rsidRPr="008B0305">
        <w:t>odběru</w:t>
      </w:r>
      <w:r>
        <w:t xml:space="preserve"> </w:t>
      </w:r>
      <w:r w:rsidRPr="008B0305">
        <w:t>tepelné</w:t>
      </w:r>
      <w:r>
        <w:t xml:space="preserve"> </w:t>
      </w:r>
      <w:r w:rsidRPr="008B0305">
        <w:t>energie</w:t>
      </w:r>
      <w:r>
        <w:t xml:space="preserve"> </w:t>
      </w:r>
      <w:r w:rsidRPr="008B0305">
        <w:t>a</w:t>
      </w:r>
      <w:r>
        <w:t xml:space="preserve"> </w:t>
      </w:r>
      <w:r w:rsidRPr="008B0305">
        <w:t>místo</w:t>
      </w:r>
      <w:r>
        <w:t xml:space="preserve"> </w:t>
      </w:r>
      <w:r w:rsidRPr="008B0305">
        <w:t>předání,</w:t>
      </w:r>
    </w:p>
    <w:p w14:paraId="4D6E814C" w14:textId="77777777" w:rsidR="008B568E" w:rsidRDefault="008B568E" w:rsidP="002E6AEA">
      <w:pPr>
        <w:pStyle w:val="Textparagrafu"/>
        <w:tabs>
          <w:tab w:val="left" w:pos="392"/>
          <w:tab w:val="left" w:pos="840"/>
        </w:tabs>
        <w:spacing w:before="0"/>
        <w:ind w:left="426" w:hanging="426"/>
      </w:pPr>
      <w:r w:rsidRPr="008B0305">
        <w:t>b)</w:t>
      </w:r>
      <w:r>
        <w:tab/>
      </w:r>
      <w:r w:rsidRPr="008B0305">
        <w:t>základní</w:t>
      </w:r>
      <w:r>
        <w:t xml:space="preserve"> </w:t>
      </w:r>
      <w:r w:rsidRPr="008B0305">
        <w:t>parametry</w:t>
      </w:r>
      <w:r>
        <w:t xml:space="preserve"> </w:t>
      </w:r>
      <w:r w:rsidRPr="008B0305">
        <w:t>dodávané</w:t>
      </w:r>
      <w:r>
        <w:t xml:space="preserve"> </w:t>
      </w:r>
      <w:r w:rsidRPr="008B0305">
        <w:t>a</w:t>
      </w:r>
      <w:r>
        <w:t xml:space="preserve"> </w:t>
      </w:r>
      <w:r w:rsidRPr="008B0305">
        <w:t>vracené</w:t>
      </w:r>
      <w:r>
        <w:t xml:space="preserve"> </w:t>
      </w:r>
      <w:r w:rsidRPr="008B0305">
        <w:t>teplonosné</w:t>
      </w:r>
      <w:r>
        <w:t xml:space="preserve"> </w:t>
      </w:r>
      <w:r w:rsidRPr="008B0305">
        <w:t>látky,</w:t>
      </w:r>
      <w:r>
        <w:t xml:space="preserve"> </w:t>
      </w:r>
      <w:r w:rsidRPr="008B0305">
        <w:t>kterými</w:t>
      </w:r>
      <w:r>
        <w:t xml:space="preserve"> </w:t>
      </w:r>
      <w:r w:rsidRPr="008B0305">
        <w:t>jsou</w:t>
      </w:r>
      <w:r>
        <w:t xml:space="preserve"> </w:t>
      </w:r>
      <w:r w:rsidRPr="008B0305">
        <w:t>teplota</w:t>
      </w:r>
      <w:r>
        <w:t xml:space="preserve"> </w:t>
      </w:r>
      <w:r w:rsidRPr="008B0305">
        <w:t>a</w:t>
      </w:r>
      <w:r>
        <w:t xml:space="preserve"> </w:t>
      </w:r>
      <w:r w:rsidRPr="008B0305">
        <w:t>tlak,</w:t>
      </w:r>
    </w:p>
    <w:p w14:paraId="2363277D" w14:textId="77777777" w:rsidR="008B568E" w:rsidRDefault="008B568E" w:rsidP="002E6AEA">
      <w:pPr>
        <w:pStyle w:val="Textparagrafu"/>
        <w:tabs>
          <w:tab w:val="left" w:pos="392"/>
          <w:tab w:val="left" w:pos="840"/>
        </w:tabs>
        <w:spacing w:before="0"/>
        <w:ind w:left="426" w:hanging="426"/>
      </w:pPr>
      <w:r w:rsidRPr="008B0305">
        <w:t>c)</w:t>
      </w:r>
      <w:r>
        <w:tab/>
      </w:r>
      <w:r w:rsidRPr="008B0305">
        <w:t>místo</w:t>
      </w:r>
      <w:r>
        <w:t xml:space="preserve"> </w:t>
      </w:r>
      <w:r w:rsidRPr="008B0305">
        <w:t>a</w:t>
      </w:r>
      <w:r>
        <w:t xml:space="preserve"> </w:t>
      </w:r>
      <w:r w:rsidRPr="008B0305">
        <w:t>způsob</w:t>
      </w:r>
      <w:r>
        <w:t xml:space="preserve"> </w:t>
      </w:r>
      <w:r w:rsidRPr="008B0305">
        <w:t>měření</w:t>
      </w:r>
      <w:r>
        <w:t xml:space="preserve"> </w:t>
      </w:r>
      <w:r w:rsidRPr="008B0305">
        <w:t>a</w:t>
      </w:r>
      <w:r>
        <w:t xml:space="preserve"> </w:t>
      </w:r>
      <w:r w:rsidRPr="008B0305">
        <w:t>náhradní</w:t>
      </w:r>
      <w:r>
        <w:t xml:space="preserve"> </w:t>
      </w:r>
      <w:r w:rsidRPr="008B0305">
        <w:t>způsob</w:t>
      </w:r>
      <w:r>
        <w:t xml:space="preserve"> </w:t>
      </w:r>
      <w:r w:rsidRPr="008B0305">
        <w:t>vyhodnocení</w:t>
      </w:r>
      <w:r>
        <w:t xml:space="preserve"> </w:t>
      </w:r>
      <w:r w:rsidRPr="008B0305">
        <w:t>dodávky</w:t>
      </w:r>
      <w:r>
        <w:t xml:space="preserve"> </w:t>
      </w:r>
      <w:r w:rsidRPr="008B0305">
        <w:t>tepelné</w:t>
      </w:r>
      <w:r>
        <w:t xml:space="preserve"> </w:t>
      </w:r>
      <w:r w:rsidRPr="008B0305">
        <w:t>energie,</w:t>
      </w:r>
      <w:r>
        <w:t xml:space="preserve"> </w:t>
      </w:r>
      <w:r w:rsidRPr="008B0305">
        <w:t>dojde-li</w:t>
      </w:r>
      <w:r>
        <w:t xml:space="preserve"> </w:t>
      </w:r>
      <w:r w:rsidRPr="008B0305">
        <w:t>k</w:t>
      </w:r>
      <w:r>
        <w:t xml:space="preserve"> </w:t>
      </w:r>
      <w:r w:rsidRPr="008B0305">
        <w:t>poruše</w:t>
      </w:r>
      <w:r>
        <w:t xml:space="preserve"> </w:t>
      </w:r>
      <w:r w:rsidRPr="008B0305">
        <w:t>měřicího</w:t>
      </w:r>
      <w:r>
        <w:t xml:space="preserve"> </w:t>
      </w:r>
      <w:r w:rsidRPr="008B0305">
        <w:t>zařízení</w:t>
      </w:r>
      <w:r>
        <w:t xml:space="preserve"> </w:t>
      </w:r>
      <w:r w:rsidRPr="008B0305">
        <w:t>nebo</w:t>
      </w:r>
      <w:r>
        <w:t xml:space="preserve"> </w:t>
      </w:r>
      <w:r w:rsidRPr="008B0305">
        <w:t>při</w:t>
      </w:r>
      <w:r>
        <w:t xml:space="preserve"> </w:t>
      </w:r>
      <w:r w:rsidRPr="008B0305">
        <w:t>jeho</w:t>
      </w:r>
      <w:r>
        <w:t xml:space="preserve"> </w:t>
      </w:r>
      <w:r w:rsidRPr="008B0305">
        <w:t>pravidelném</w:t>
      </w:r>
      <w:r>
        <w:t xml:space="preserve"> </w:t>
      </w:r>
      <w:r w:rsidRPr="008B0305">
        <w:t>ověřování,</w:t>
      </w:r>
      <w:r>
        <w:t xml:space="preserve"> </w:t>
      </w:r>
      <w:r w:rsidRPr="008B0305">
        <w:t>a</w:t>
      </w:r>
      <w:r>
        <w:t xml:space="preserve"> </w:t>
      </w:r>
      <w:r w:rsidRPr="008B0305">
        <w:t>dohodu</w:t>
      </w:r>
      <w:r>
        <w:t xml:space="preserve"> </w:t>
      </w:r>
      <w:r w:rsidRPr="008B0305">
        <w:t>o</w:t>
      </w:r>
      <w:r>
        <w:t xml:space="preserve"> </w:t>
      </w:r>
      <w:r w:rsidRPr="008B0305">
        <w:t>přístupu</w:t>
      </w:r>
      <w:r>
        <w:t xml:space="preserve"> </w:t>
      </w:r>
      <w:r w:rsidRPr="008B0305">
        <w:t>k</w:t>
      </w:r>
      <w:r>
        <w:t xml:space="preserve"> </w:t>
      </w:r>
      <w:r w:rsidRPr="008B0305">
        <w:t>měřicím</w:t>
      </w:r>
      <w:r>
        <w:t xml:space="preserve"> </w:t>
      </w:r>
      <w:r w:rsidRPr="008B0305">
        <w:t>a</w:t>
      </w:r>
      <w:r>
        <w:t xml:space="preserve"> </w:t>
      </w:r>
      <w:r w:rsidRPr="008B0305">
        <w:t>ovládacím</w:t>
      </w:r>
      <w:r>
        <w:t xml:space="preserve"> </w:t>
      </w:r>
      <w:r w:rsidRPr="008B0305">
        <w:t>zařízením,</w:t>
      </w:r>
    </w:p>
    <w:p w14:paraId="2DEEB469" w14:textId="77777777" w:rsidR="008B568E" w:rsidRDefault="008B568E" w:rsidP="002E6AEA">
      <w:pPr>
        <w:pStyle w:val="Textparagrafu"/>
        <w:tabs>
          <w:tab w:val="left" w:pos="392"/>
          <w:tab w:val="left" w:pos="840"/>
        </w:tabs>
        <w:spacing w:before="0"/>
        <w:ind w:left="426" w:hanging="426"/>
      </w:pPr>
      <w:r w:rsidRPr="008B0305">
        <w:t>d)</w:t>
      </w:r>
      <w:r>
        <w:tab/>
      </w:r>
      <w:r w:rsidRPr="008B0305">
        <w:t>cenu</w:t>
      </w:r>
      <w:r>
        <w:t xml:space="preserve"> </w:t>
      </w:r>
      <w:r w:rsidRPr="008B0305">
        <w:t>tepelné</w:t>
      </w:r>
      <w:r>
        <w:t xml:space="preserve"> </w:t>
      </w:r>
      <w:r w:rsidRPr="008B0305">
        <w:t>energie</w:t>
      </w:r>
      <w:r>
        <w:t xml:space="preserve"> </w:t>
      </w:r>
      <w:r w:rsidRPr="008B0305">
        <w:t>stanovenou</w:t>
      </w:r>
      <w:r>
        <w:t xml:space="preserve"> </w:t>
      </w:r>
      <w:r w:rsidRPr="008B0305">
        <w:t>v</w:t>
      </w:r>
      <w:r>
        <w:t xml:space="preserve"> </w:t>
      </w:r>
      <w:r w:rsidRPr="008B0305">
        <w:t>místě</w:t>
      </w:r>
      <w:r>
        <w:t xml:space="preserve"> </w:t>
      </w:r>
      <w:r w:rsidRPr="008B0305">
        <w:t>měření,</w:t>
      </w:r>
      <w:r>
        <w:t xml:space="preserve"> </w:t>
      </w:r>
      <w:r w:rsidRPr="008B0305">
        <w:t>termíny</w:t>
      </w:r>
      <w:r>
        <w:t xml:space="preserve"> </w:t>
      </w:r>
      <w:r w:rsidRPr="008B0305">
        <w:t>a</w:t>
      </w:r>
      <w:r>
        <w:t xml:space="preserve"> </w:t>
      </w:r>
      <w:r w:rsidRPr="008B0305">
        <w:t>způsob</w:t>
      </w:r>
      <w:r>
        <w:t xml:space="preserve"> </w:t>
      </w:r>
      <w:r w:rsidRPr="008B0305">
        <w:t>platby</w:t>
      </w:r>
      <w:r>
        <w:t xml:space="preserve"> </w:t>
      </w:r>
      <w:r w:rsidRPr="008B0305">
        <w:t>za</w:t>
      </w:r>
      <w:r>
        <w:t xml:space="preserve"> </w:t>
      </w:r>
      <w:r w:rsidRPr="008B0305">
        <w:t>odebranou</w:t>
      </w:r>
      <w:r>
        <w:t xml:space="preserve"> </w:t>
      </w:r>
      <w:r w:rsidRPr="008B0305">
        <w:t>tepelnou</w:t>
      </w:r>
      <w:r>
        <w:t xml:space="preserve"> </w:t>
      </w:r>
      <w:r w:rsidRPr="008B0305">
        <w:t>energii</w:t>
      </w:r>
      <w:r>
        <w:t xml:space="preserve"> </w:t>
      </w:r>
      <w:r w:rsidRPr="008B0305">
        <w:t>včetně</w:t>
      </w:r>
      <w:r>
        <w:t xml:space="preserve"> </w:t>
      </w:r>
      <w:r w:rsidRPr="008B0305">
        <w:t>záloh,</w:t>
      </w:r>
    </w:p>
    <w:p w14:paraId="398BFD5B" w14:textId="77777777" w:rsidR="008B568E" w:rsidRDefault="008B568E" w:rsidP="002E6AEA">
      <w:pPr>
        <w:pStyle w:val="Textparagrafu"/>
        <w:tabs>
          <w:tab w:val="left" w:pos="392"/>
          <w:tab w:val="left" w:pos="840"/>
        </w:tabs>
        <w:spacing w:before="0"/>
        <w:ind w:left="426" w:hanging="426"/>
      </w:pPr>
      <w:r w:rsidRPr="008B0305">
        <w:t>e)</w:t>
      </w:r>
      <w:r>
        <w:tab/>
      </w:r>
      <w:r w:rsidRPr="008B0305">
        <w:t>při</w:t>
      </w:r>
      <w:r>
        <w:t xml:space="preserve"> </w:t>
      </w:r>
      <w:r w:rsidRPr="008B0305">
        <w:t>společném</w:t>
      </w:r>
      <w:r>
        <w:t xml:space="preserve"> </w:t>
      </w:r>
      <w:r w:rsidRPr="008B0305">
        <w:t>měření</w:t>
      </w:r>
      <w:r>
        <w:t xml:space="preserve"> </w:t>
      </w:r>
      <w:r w:rsidRPr="008B0305">
        <w:t>množství</w:t>
      </w:r>
      <w:r>
        <w:t xml:space="preserve"> </w:t>
      </w:r>
      <w:r w:rsidRPr="008B0305">
        <w:t>odebrané</w:t>
      </w:r>
      <w:r>
        <w:t xml:space="preserve"> </w:t>
      </w:r>
      <w:r w:rsidRPr="008B0305">
        <w:t>tepelné</w:t>
      </w:r>
      <w:r>
        <w:t xml:space="preserve"> </w:t>
      </w:r>
      <w:r w:rsidRPr="008B0305">
        <w:t>energie</w:t>
      </w:r>
      <w:r>
        <w:t xml:space="preserve"> </w:t>
      </w:r>
      <w:r w:rsidRPr="008B0305">
        <w:t>na</w:t>
      </w:r>
      <w:r>
        <w:t xml:space="preserve"> </w:t>
      </w:r>
      <w:r w:rsidRPr="008B0305">
        <w:t>přípravu</w:t>
      </w:r>
      <w:r>
        <w:t xml:space="preserve"> </w:t>
      </w:r>
      <w:r w:rsidRPr="008B0305">
        <w:t>teplé</w:t>
      </w:r>
      <w:r>
        <w:t xml:space="preserve"> </w:t>
      </w:r>
      <w:r w:rsidRPr="008B0305">
        <w:t>vody</w:t>
      </w:r>
      <w:r>
        <w:t xml:space="preserve"> </w:t>
      </w:r>
      <w:r w:rsidRPr="008B0305">
        <w:t>pro</w:t>
      </w:r>
      <w:r>
        <w:t xml:space="preserve"> </w:t>
      </w:r>
      <w:r w:rsidRPr="008B0305">
        <w:t>více</w:t>
      </w:r>
      <w:r>
        <w:t xml:space="preserve"> </w:t>
      </w:r>
      <w:r w:rsidRPr="008B0305">
        <w:t>odběrných</w:t>
      </w:r>
      <w:r>
        <w:t xml:space="preserve"> </w:t>
      </w:r>
      <w:r w:rsidRPr="008B0305">
        <w:t>míst</w:t>
      </w:r>
      <w:r>
        <w:t xml:space="preserve"> </w:t>
      </w:r>
      <w:r w:rsidRPr="008B0305">
        <w:t>způsob</w:t>
      </w:r>
      <w:r>
        <w:t xml:space="preserve"> </w:t>
      </w:r>
      <w:r w:rsidRPr="008B0305">
        <w:t>rozdělení</w:t>
      </w:r>
      <w:r>
        <w:t xml:space="preserve"> </w:t>
      </w:r>
      <w:r w:rsidRPr="008B0305">
        <w:t>nákladů</w:t>
      </w:r>
      <w:r>
        <w:t xml:space="preserve"> </w:t>
      </w:r>
      <w:r w:rsidRPr="008B0305">
        <w:t>za</w:t>
      </w:r>
      <w:r>
        <w:t xml:space="preserve"> </w:t>
      </w:r>
      <w:r w:rsidRPr="008B0305">
        <w:t>dodávku</w:t>
      </w:r>
      <w:r>
        <w:t xml:space="preserve"> </w:t>
      </w:r>
      <w:r w:rsidRPr="008B0305">
        <w:t>tepelné</w:t>
      </w:r>
      <w:r>
        <w:t xml:space="preserve"> </w:t>
      </w:r>
      <w:r w:rsidRPr="008B0305">
        <w:t>energie</w:t>
      </w:r>
      <w:r>
        <w:t xml:space="preserve"> </w:t>
      </w:r>
      <w:r w:rsidRPr="008B0305">
        <w:t>na</w:t>
      </w:r>
      <w:r>
        <w:t xml:space="preserve"> </w:t>
      </w:r>
      <w:r w:rsidRPr="008B0305">
        <w:t>jednotlivá</w:t>
      </w:r>
      <w:r>
        <w:t xml:space="preserve"> </w:t>
      </w:r>
      <w:r w:rsidRPr="008B0305">
        <w:t>odběrná</w:t>
      </w:r>
      <w:r>
        <w:t xml:space="preserve"> </w:t>
      </w:r>
      <w:r w:rsidRPr="008B0305">
        <w:t>místa</w:t>
      </w:r>
      <w:r>
        <w:t xml:space="preserve"> </w:t>
      </w:r>
      <w:r w:rsidRPr="008B0305">
        <w:t>včetně</w:t>
      </w:r>
      <w:r>
        <w:t xml:space="preserve"> </w:t>
      </w:r>
      <w:r w:rsidRPr="008B0305">
        <w:t>získávání</w:t>
      </w:r>
      <w:r>
        <w:t xml:space="preserve"> </w:t>
      </w:r>
      <w:r w:rsidRPr="008B0305">
        <w:t>a</w:t>
      </w:r>
      <w:r>
        <w:t xml:space="preserve"> </w:t>
      </w:r>
      <w:r w:rsidRPr="008B0305">
        <w:t>ověřování</w:t>
      </w:r>
      <w:r>
        <w:t xml:space="preserve"> </w:t>
      </w:r>
      <w:r w:rsidRPr="008B0305">
        <w:t>vstupních</w:t>
      </w:r>
      <w:r>
        <w:t xml:space="preserve"> </w:t>
      </w:r>
      <w:r w:rsidRPr="008B0305">
        <w:t>údajů</w:t>
      </w:r>
      <w:r>
        <w:t xml:space="preserve"> </w:t>
      </w:r>
      <w:r w:rsidRPr="008B0305">
        <w:t>pro</w:t>
      </w:r>
      <w:r>
        <w:t xml:space="preserve"> </w:t>
      </w:r>
      <w:r w:rsidRPr="008B0305">
        <w:t>toto</w:t>
      </w:r>
      <w:r>
        <w:t xml:space="preserve"> </w:t>
      </w:r>
      <w:r w:rsidRPr="008B0305">
        <w:t>rozdělování,</w:t>
      </w:r>
    </w:p>
    <w:p w14:paraId="4A836466" w14:textId="77777777" w:rsidR="008B568E" w:rsidRDefault="008B568E" w:rsidP="002E6AEA">
      <w:pPr>
        <w:pStyle w:val="Textparagrafu"/>
        <w:tabs>
          <w:tab w:val="left" w:pos="392"/>
          <w:tab w:val="left" w:pos="840"/>
        </w:tabs>
        <w:spacing w:before="0"/>
        <w:ind w:left="426" w:hanging="426"/>
      </w:pPr>
      <w:r w:rsidRPr="008B0305">
        <w:t>f)</w:t>
      </w:r>
      <w:r>
        <w:tab/>
      </w:r>
      <w:r w:rsidRPr="008B0305">
        <w:t>v</w:t>
      </w:r>
      <w:r>
        <w:t xml:space="preserve"> </w:t>
      </w:r>
      <w:r w:rsidRPr="008B0305">
        <w:t>případě,</w:t>
      </w:r>
      <w:r>
        <w:t xml:space="preserve"> </w:t>
      </w:r>
      <w:r w:rsidRPr="008B0305">
        <w:t>že</w:t>
      </w:r>
      <w:r>
        <w:t xml:space="preserve"> </w:t>
      </w:r>
      <w:r w:rsidRPr="008B0305">
        <w:t>z</w:t>
      </w:r>
      <w:r>
        <w:t xml:space="preserve"> </w:t>
      </w:r>
      <w:r w:rsidRPr="008B0305">
        <w:t>odběrného</w:t>
      </w:r>
      <w:r>
        <w:t xml:space="preserve"> </w:t>
      </w:r>
      <w:r w:rsidRPr="008B0305">
        <w:t>místa</w:t>
      </w:r>
      <w:r>
        <w:t xml:space="preserve"> </w:t>
      </w:r>
      <w:r w:rsidRPr="008B0305">
        <w:t>jsou</w:t>
      </w:r>
      <w:r>
        <w:t xml:space="preserve"> </w:t>
      </w:r>
      <w:r w:rsidRPr="008B0305">
        <w:t>zásobovány</w:t>
      </w:r>
      <w:r>
        <w:t xml:space="preserve"> </w:t>
      </w:r>
      <w:r w:rsidRPr="008B0305">
        <w:t>tepelnou</w:t>
      </w:r>
      <w:r>
        <w:t xml:space="preserve"> </w:t>
      </w:r>
      <w:r w:rsidRPr="008B0305">
        <w:t>energií</w:t>
      </w:r>
      <w:r>
        <w:t xml:space="preserve"> </w:t>
      </w:r>
      <w:r w:rsidRPr="008B0305">
        <w:t>nebo</w:t>
      </w:r>
      <w:r>
        <w:t xml:space="preserve"> </w:t>
      </w:r>
      <w:r w:rsidRPr="008B0305">
        <w:t>teplou</w:t>
      </w:r>
      <w:r>
        <w:t xml:space="preserve"> </w:t>
      </w:r>
      <w:r w:rsidRPr="008B0305">
        <w:t>vodou</w:t>
      </w:r>
      <w:r>
        <w:t xml:space="preserve"> </w:t>
      </w:r>
      <w:r w:rsidRPr="008B0305">
        <w:t>objekty</w:t>
      </w:r>
      <w:r>
        <w:t xml:space="preserve"> </w:t>
      </w:r>
      <w:r w:rsidRPr="008B0305">
        <w:t>nebo</w:t>
      </w:r>
      <w:r>
        <w:t xml:space="preserve"> </w:t>
      </w:r>
      <w:r w:rsidRPr="008B0305">
        <w:t>části</w:t>
      </w:r>
      <w:r>
        <w:t xml:space="preserve"> </w:t>
      </w:r>
      <w:r w:rsidRPr="008B0305">
        <w:t>objektů</w:t>
      </w:r>
      <w:r>
        <w:t xml:space="preserve"> </w:t>
      </w:r>
      <w:r w:rsidRPr="008B0305">
        <w:t>různých</w:t>
      </w:r>
      <w:r>
        <w:t xml:space="preserve"> </w:t>
      </w:r>
      <w:r w:rsidRPr="008B0305">
        <w:t>vlastníků,</w:t>
      </w:r>
      <w:r>
        <w:t xml:space="preserve"> </w:t>
      </w:r>
      <w:r w:rsidRPr="008B0305">
        <w:t>kteří</w:t>
      </w:r>
      <w:r>
        <w:t xml:space="preserve"> </w:t>
      </w:r>
      <w:r w:rsidRPr="008B0305">
        <w:t>uzavírají</w:t>
      </w:r>
      <w:r>
        <w:t xml:space="preserve"> </w:t>
      </w:r>
      <w:r w:rsidRPr="008B0305">
        <w:t>smlouvu</w:t>
      </w:r>
      <w:r>
        <w:t xml:space="preserve"> </w:t>
      </w:r>
      <w:r w:rsidRPr="008B0305">
        <w:t>o</w:t>
      </w:r>
      <w:r>
        <w:t xml:space="preserve"> </w:t>
      </w:r>
      <w:r w:rsidRPr="008B0305">
        <w:t>dodávce</w:t>
      </w:r>
      <w:r>
        <w:t xml:space="preserve"> </w:t>
      </w:r>
      <w:r w:rsidRPr="008B0305">
        <w:t>tepelné</w:t>
      </w:r>
      <w:r>
        <w:t xml:space="preserve"> </w:t>
      </w:r>
      <w:r w:rsidRPr="008B0305">
        <w:t>energie,</w:t>
      </w:r>
      <w:r>
        <w:t xml:space="preserve"> </w:t>
      </w:r>
      <w:r w:rsidRPr="008B0305">
        <w:t>způsob</w:t>
      </w:r>
      <w:r>
        <w:t xml:space="preserve"> </w:t>
      </w:r>
      <w:r w:rsidRPr="008B0305">
        <w:t>rozdělení</w:t>
      </w:r>
      <w:r>
        <w:t xml:space="preserve"> </w:t>
      </w:r>
      <w:r w:rsidRPr="008B0305">
        <w:t>nákladů</w:t>
      </w:r>
      <w:r>
        <w:t xml:space="preserve"> </w:t>
      </w:r>
      <w:r w:rsidRPr="008B0305">
        <w:t>mezi</w:t>
      </w:r>
      <w:r>
        <w:t xml:space="preserve"> </w:t>
      </w:r>
      <w:r w:rsidRPr="008B0305">
        <w:t>ně.</w:t>
      </w:r>
    </w:p>
    <w:p w14:paraId="2DAF7CD1" w14:textId="77777777" w:rsidR="008B568E" w:rsidRDefault="008B568E" w:rsidP="0010420C">
      <w:pPr>
        <w:pStyle w:val="Textparagrafu"/>
        <w:tabs>
          <w:tab w:val="left" w:pos="392"/>
          <w:tab w:val="left" w:pos="840"/>
        </w:tabs>
        <w:spacing w:before="120" w:after="120"/>
      </w:pPr>
      <w:r w:rsidRPr="008B0305">
        <w:t>(4)</w:t>
      </w:r>
      <w:r>
        <w:t xml:space="preserve"> </w:t>
      </w:r>
      <w:r w:rsidRPr="008B0305">
        <w:t>Dodavatel</w:t>
      </w:r>
      <w:r>
        <w:t xml:space="preserve"> </w:t>
      </w:r>
      <w:r w:rsidRPr="008B0305">
        <w:t>tepelné</w:t>
      </w:r>
      <w:r>
        <w:t xml:space="preserve"> </w:t>
      </w:r>
      <w:r w:rsidRPr="008B0305">
        <w:t>energie</w:t>
      </w:r>
      <w:r>
        <w:t xml:space="preserve"> </w:t>
      </w:r>
      <w:r w:rsidRPr="008B0305">
        <w:t>má</w:t>
      </w:r>
      <w:r>
        <w:t xml:space="preserve"> </w:t>
      </w:r>
      <w:r w:rsidRPr="008B0305">
        <w:t>právo</w:t>
      </w:r>
      <w:r>
        <w:t xml:space="preserve"> </w:t>
      </w:r>
      <w:r w:rsidRPr="008B0305">
        <w:t>přerušit</w:t>
      </w:r>
      <w:r>
        <w:t xml:space="preserve"> </w:t>
      </w:r>
      <w:r w:rsidRPr="008B0305">
        <w:t>nebo</w:t>
      </w:r>
      <w:r>
        <w:t xml:space="preserve"> </w:t>
      </w:r>
      <w:r w:rsidRPr="008B0305">
        <w:t>omezit</w:t>
      </w:r>
      <w:r>
        <w:t xml:space="preserve"> </w:t>
      </w:r>
      <w:r w:rsidRPr="008B0305">
        <w:t>dodávku</w:t>
      </w:r>
      <w:r>
        <w:t xml:space="preserve"> </w:t>
      </w:r>
      <w:r w:rsidRPr="008B0305">
        <w:t>tepelné</w:t>
      </w:r>
      <w:r>
        <w:t xml:space="preserve"> </w:t>
      </w:r>
      <w:r w:rsidRPr="008B0305">
        <w:t>energie</w:t>
      </w:r>
      <w:r>
        <w:t xml:space="preserve"> </w:t>
      </w:r>
      <w:r w:rsidRPr="008B0305">
        <w:t>v</w:t>
      </w:r>
      <w:r>
        <w:t xml:space="preserve"> </w:t>
      </w:r>
      <w:r w:rsidRPr="008B0305">
        <w:t>nezbytném</w:t>
      </w:r>
      <w:r>
        <w:t xml:space="preserve"> </w:t>
      </w:r>
      <w:r w:rsidRPr="008B0305">
        <w:t>rozsahu</w:t>
      </w:r>
      <w:r>
        <w:t xml:space="preserve"> </w:t>
      </w:r>
      <w:r w:rsidRPr="008B0305">
        <w:t>a</w:t>
      </w:r>
      <w:r>
        <w:t xml:space="preserve"> </w:t>
      </w:r>
      <w:r w:rsidRPr="008B0305">
        <w:t>na</w:t>
      </w:r>
      <w:r>
        <w:t xml:space="preserve"> </w:t>
      </w:r>
      <w:r w:rsidRPr="008B0305">
        <w:t>nezbytně</w:t>
      </w:r>
      <w:r>
        <w:t xml:space="preserve"> </w:t>
      </w:r>
      <w:r w:rsidRPr="008B0305">
        <w:t>nutnou</w:t>
      </w:r>
      <w:r>
        <w:t xml:space="preserve"> </w:t>
      </w:r>
      <w:r w:rsidRPr="008B0305">
        <w:t>dobu</w:t>
      </w:r>
      <w:r>
        <w:t xml:space="preserve"> </w:t>
      </w:r>
      <w:r w:rsidRPr="008B0305">
        <w:t>v</w:t>
      </w:r>
      <w:r>
        <w:t xml:space="preserve"> </w:t>
      </w:r>
      <w:r w:rsidRPr="008B0305">
        <w:t>těchto</w:t>
      </w:r>
      <w:r>
        <w:t xml:space="preserve"> </w:t>
      </w:r>
      <w:r w:rsidRPr="008B0305">
        <w:t>případech:</w:t>
      </w:r>
    </w:p>
    <w:p w14:paraId="405416A6" w14:textId="77777777" w:rsidR="008B568E" w:rsidRDefault="008B568E" w:rsidP="002E6AEA">
      <w:pPr>
        <w:pStyle w:val="Textparagrafu"/>
        <w:tabs>
          <w:tab w:val="left" w:pos="392"/>
          <w:tab w:val="left" w:pos="840"/>
        </w:tabs>
        <w:spacing w:before="0"/>
        <w:ind w:left="426" w:hanging="426"/>
      </w:pPr>
      <w:r w:rsidRPr="008B0305">
        <w:t>a)</w:t>
      </w:r>
      <w:r>
        <w:tab/>
      </w:r>
      <w:r w:rsidRPr="008B0305">
        <w:t>při</w:t>
      </w:r>
      <w:r>
        <w:t xml:space="preserve"> </w:t>
      </w:r>
      <w:r w:rsidRPr="008B0305">
        <w:t>bezprostředním</w:t>
      </w:r>
      <w:r>
        <w:t xml:space="preserve"> </w:t>
      </w:r>
      <w:r w:rsidRPr="008B0305">
        <w:t>ohrožení</w:t>
      </w:r>
      <w:r>
        <w:t xml:space="preserve"> </w:t>
      </w:r>
      <w:r w:rsidRPr="008B0305">
        <w:t>zdraví</w:t>
      </w:r>
      <w:r>
        <w:t xml:space="preserve"> </w:t>
      </w:r>
      <w:r w:rsidRPr="008B0305">
        <w:t>nebo</w:t>
      </w:r>
      <w:r>
        <w:t xml:space="preserve"> </w:t>
      </w:r>
      <w:r w:rsidRPr="008B0305">
        <w:t>majetku</w:t>
      </w:r>
      <w:r>
        <w:t xml:space="preserve"> </w:t>
      </w:r>
      <w:r w:rsidRPr="008B0305">
        <w:t>osob</w:t>
      </w:r>
      <w:r>
        <w:t xml:space="preserve"> </w:t>
      </w:r>
      <w:r w:rsidRPr="008B0305">
        <w:t>a</w:t>
      </w:r>
      <w:r>
        <w:t xml:space="preserve"> </w:t>
      </w:r>
      <w:r w:rsidRPr="008B0305">
        <w:t>při</w:t>
      </w:r>
      <w:r>
        <w:t xml:space="preserve"> </w:t>
      </w:r>
      <w:r w:rsidRPr="008B0305">
        <w:t>likvidaci</w:t>
      </w:r>
      <w:r>
        <w:t xml:space="preserve"> </w:t>
      </w:r>
      <w:r w:rsidRPr="008B0305">
        <w:t>těchto</w:t>
      </w:r>
      <w:r>
        <w:t xml:space="preserve"> </w:t>
      </w:r>
      <w:r w:rsidRPr="008B0305">
        <w:t>stavů,</w:t>
      </w:r>
    </w:p>
    <w:p w14:paraId="74F5A509" w14:textId="77777777" w:rsidR="008B568E" w:rsidRDefault="008B568E" w:rsidP="002E6AEA">
      <w:pPr>
        <w:pStyle w:val="Textparagrafu"/>
        <w:tabs>
          <w:tab w:val="left" w:pos="392"/>
          <w:tab w:val="left" w:pos="840"/>
        </w:tabs>
        <w:spacing w:before="0"/>
        <w:ind w:left="426" w:hanging="426"/>
      </w:pPr>
      <w:r w:rsidRPr="008B0305">
        <w:t>b)</w:t>
      </w:r>
      <w:r>
        <w:tab/>
      </w:r>
      <w:r w:rsidRPr="008B0305">
        <w:t>při</w:t>
      </w:r>
      <w:r>
        <w:t xml:space="preserve"> </w:t>
      </w:r>
      <w:r w:rsidRPr="008B0305">
        <w:t>stavech</w:t>
      </w:r>
      <w:r>
        <w:t xml:space="preserve"> </w:t>
      </w:r>
      <w:r w:rsidRPr="008B0305">
        <w:t>nouze</w:t>
      </w:r>
      <w:r>
        <w:t xml:space="preserve"> </w:t>
      </w:r>
      <w:r w:rsidRPr="008B0305">
        <w:t>nebo</w:t>
      </w:r>
      <w:r>
        <w:t xml:space="preserve"> </w:t>
      </w:r>
      <w:r w:rsidRPr="008B0305">
        <w:t>činnostech</w:t>
      </w:r>
      <w:r>
        <w:t xml:space="preserve"> </w:t>
      </w:r>
      <w:r w:rsidRPr="008B0305">
        <w:t>bezprostředně</w:t>
      </w:r>
      <w:r>
        <w:t xml:space="preserve"> </w:t>
      </w:r>
      <w:r w:rsidRPr="008B0305">
        <w:t>zamezujících</w:t>
      </w:r>
      <w:r>
        <w:t xml:space="preserve"> </w:t>
      </w:r>
      <w:r w:rsidRPr="008B0305">
        <w:t>jejich</w:t>
      </w:r>
      <w:r>
        <w:t xml:space="preserve"> </w:t>
      </w:r>
      <w:r w:rsidRPr="008B0305">
        <w:t>vzniku,</w:t>
      </w:r>
    </w:p>
    <w:p w14:paraId="0EC93618" w14:textId="77777777" w:rsidR="008B568E" w:rsidRDefault="008B568E" w:rsidP="002E6AEA">
      <w:pPr>
        <w:pStyle w:val="Textparagrafu"/>
        <w:tabs>
          <w:tab w:val="left" w:pos="392"/>
          <w:tab w:val="left" w:pos="840"/>
        </w:tabs>
        <w:spacing w:before="0"/>
        <w:ind w:left="426" w:hanging="426"/>
      </w:pPr>
      <w:r w:rsidRPr="008B0305">
        <w:t>c)</w:t>
      </w:r>
      <w:r>
        <w:tab/>
      </w:r>
      <w:r w:rsidRPr="008B0305">
        <w:t>při</w:t>
      </w:r>
      <w:r>
        <w:t xml:space="preserve"> </w:t>
      </w:r>
      <w:r w:rsidRPr="008B0305">
        <w:t>provádění</w:t>
      </w:r>
      <w:r>
        <w:t xml:space="preserve"> </w:t>
      </w:r>
      <w:r w:rsidRPr="008B0305">
        <w:t>plánovaných</w:t>
      </w:r>
      <w:r>
        <w:t xml:space="preserve"> </w:t>
      </w:r>
      <w:r w:rsidRPr="008B0305">
        <w:t>stavebních</w:t>
      </w:r>
      <w:r>
        <w:t xml:space="preserve"> </w:t>
      </w:r>
      <w:r w:rsidRPr="008B0305">
        <w:t>úprav,</w:t>
      </w:r>
      <w:r>
        <w:t xml:space="preserve"> </w:t>
      </w:r>
      <w:r w:rsidRPr="008B0305">
        <w:t>oprav,</w:t>
      </w:r>
      <w:r>
        <w:t xml:space="preserve"> </w:t>
      </w:r>
      <w:r w:rsidRPr="008B0305">
        <w:t>údržbových</w:t>
      </w:r>
      <w:r>
        <w:t xml:space="preserve"> </w:t>
      </w:r>
      <w:r w:rsidRPr="008B0305">
        <w:t>a</w:t>
      </w:r>
      <w:r>
        <w:t xml:space="preserve"> </w:t>
      </w:r>
      <w:r w:rsidRPr="008B0305">
        <w:t>revizních</w:t>
      </w:r>
      <w:r>
        <w:t xml:space="preserve"> </w:t>
      </w:r>
      <w:r w:rsidRPr="008B0305">
        <w:t>prací</w:t>
      </w:r>
      <w:r>
        <w:t xml:space="preserve"> </w:t>
      </w:r>
      <w:r w:rsidRPr="008B0305">
        <w:t>a</w:t>
      </w:r>
      <w:r>
        <w:t xml:space="preserve"> </w:t>
      </w:r>
      <w:r w:rsidRPr="008B0305">
        <w:t>při</w:t>
      </w:r>
      <w:r>
        <w:t xml:space="preserve"> </w:t>
      </w:r>
      <w:r w:rsidRPr="008B0305">
        <w:t>připojování</w:t>
      </w:r>
      <w:r>
        <w:t xml:space="preserve"> </w:t>
      </w:r>
      <w:r w:rsidRPr="008B0305">
        <w:t>nového</w:t>
      </w:r>
      <w:r>
        <w:t xml:space="preserve"> </w:t>
      </w:r>
      <w:r w:rsidRPr="008B0305">
        <w:t>odběrného</w:t>
      </w:r>
      <w:r>
        <w:t xml:space="preserve"> </w:t>
      </w:r>
      <w:r w:rsidRPr="008B0305">
        <w:t>místa,</w:t>
      </w:r>
      <w:r>
        <w:t xml:space="preserve"> </w:t>
      </w:r>
      <w:r w:rsidRPr="008B0305">
        <w:t>pokud</w:t>
      </w:r>
      <w:r>
        <w:t xml:space="preserve"> </w:t>
      </w:r>
      <w:r w:rsidRPr="008B0305">
        <w:t>jsou</w:t>
      </w:r>
      <w:r>
        <w:t xml:space="preserve"> </w:t>
      </w:r>
      <w:r w:rsidRPr="008B0305">
        <w:t>oznámeny</w:t>
      </w:r>
      <w:r>
        <w:t xml:space="preserve"> </w:t>
      </w:r>
      <w:r w:rsidRPr="008B0305">
        <w:t>nejméně</w:t>
      </w:r>
      <w:r>
        <w:t xml:space="preserve"> </w:t>
      </w:r>
      <w:r w:rsidRPr="008B0305">
        <w:t>15</w:t>
      </w:r>
      <w:r>
        <w:t xml:space="preserve"> </w:t>
      </w:r>
      <w:r w:rsidRPr="008B0305">
        <w:t>dní</w:t>
      </w:r>
      <w:r>
        <w:t xml:space="preserve"> </w:t>
      </w:r>
      <w:r w:rsidRPr="008B0305">
        <w:t>předem,</w:t>
      </w:r>
    </w:p>
    <w:p w14:paraId="582CF8E1" w14:textId="77777777" w:rsidR="008B568E" w:rsidRDefault="008B568E" w:rsidP="002E6AEA">
      <w:pPr>
        <w:pStyle w:val="Textparagrafu"/>
        <w:tabs>
          <w:tab w:val="left" w:pos="392"/>
          <w:tab w:val="left" w:pos="840"/>
        </w:tabs>
        <w:spacing w:before="0"/>
        <w:ind w:left="426" w:hanging="426"/>
      </w:pPr>
      <w:r w:rsidRPr="008B0305">
        <w:t>d)</w:t>
      </w:r>
      <w:r>
        <w:tab/>
      </w:r>
      <w:r w:rsidRPr="008B0305">
        <w:t>při</w:t>
      </w:r>
      <w:r>
        <w:t xml:space="preserve"> </w:t>
      </w:r>
      <w:r w:rsidRPr="008B0305">
        <w:t>provádění</w:t>
      </w:r>
      <w:r>
        <w:t xml:space="preserve"> </w:t>
      </w:r>
      <w:r w:rsidRPr="008B0305">
        <w:t>nezbytných</w:t>
      </w:r>
      <w:r>
        <w:t xml:space="preserve"> </w:t>
      </w:r>
      <w:r w:rsidRPr="008B0305">
        <w:t>provozních</w:t>
      </w:r>
      <w:r>
        <w:t xml:space="preserve"> </w:t>
      </w:r>
      <w:r w:rsidRPr="008B0305">
        <w:t>manipulací</w:t>
      </w:r>
      <w:r>
        <w:t xml:space="preserve"> </w:t>
      </w:r>
      <w:r w:rsidRPr="008B0305">
        <w:t>na</w:t>
      </w:r>
      <w:r>
        <w:t xml:space="preserve"> </w:t>
      </w:r>
      <w:r w:rsidRPr="008B0305">
        <w:t>dobu</w:t>
      </w:r>
      <w:r>
        <w:t xml:space="preserve"> </w:t>
      </w:r>
      <w:r w:rsidRPr="008B0305">
        <w:t>4</w:t>
      </w:r>
      <w:r>
        <w:t xml:space="preserve"> </w:t>
      </w:r>
      <w:r w:rsidRPr="008B0305">
        <w:t>hodin,</w:t>
      </w:r>
    </w:p>
    <w:p w14:paraId="5054B87D" w14:textId="77777777" w:rsidR="008B568E" w:rsidRDefault="008B568E" w:rsidP="002E6AEA">
      <w:pPr>
        <w:pStyle w:val="Textparagrafu"/>
        <w:tabs>
          <w:tab w:val="left" w:pos="392"/>
          <w:tab w:val="left" w:pos="840"/>
        </w:tabs>
        <w:spacing w:before="0"/>
        <w:ind w:left="426" w:hanging="426"/>
      </w:pPr>
      <w:r w:rsidRPr="008B0305">
        <w:lastRenderedPageBreak/>
        <w:t>e)</w:t>
      </w:r>
      <w:r>
        <w:tab/>
      </w:r>
      <w:r w:rsidRPr="008B0305">
        <w:t>při</w:t>
      </w:r>
      <w:r>
        <w:t xml:space="preserve"> </w:t>
      </w:r>
      <w:r w:rsidRPr="008B0305">
        <w:t>havarijním</w:t>
      </w:r>
      <w:r>
        <w:t xml:space="preserve"> </w:t>
      </w:r>
      <w:r w:rsidRPr="008B0305">
        <w:t>přerušení</w:t>
      </w:r>
      <w:r>
        <w:t xml:space="preserve"> </w:t>
      </w:r>
      <w:r w:rsidRPr="008B0305">
        <w:t>či</w:t>
      </w:r>
      <w:r>
        <w:t xml:space="preserve"> </w:t>
      </w:r>
      <w:r w:rsidRPr="008B0305">
        <w:t>omezení</w:t>
      </w:r>
      <w:r>
        <w:t xml:space="preserve"> </w:t>
      </w:r>
      <w:r w:rsidRPr="008B0305">
        <w:t>nezbytných</w:t>
      </w:r>
      <w:r>
        <w:t xml:space="preserve"> </w:t>
      </w:r>
      <w:r w:rsidRPr="008B0305">
        <w:t>provozních</w:t>
      </w:r>
      <w:r>
        <w:t xml:space="preserve"> </w:t>
      </w:r>
      <w:r w:rsidRPr="008B0305">
        <w:t>dodávek</w:t>
      </w:r>
      <w:r>
        <w:t xml:space="preserve"> </w:t>
      </w:r>
      <w:r w:rsidRPr="008B0305">
        <w:t>teplonosné</w:t>
      </w:r>
      <w:r>
        <w:t xml:space="preserve"> </w:t>
      </w:r>
      <w:r w:rsidRPr="008B0305">
        <w:t>látky</w:t>
      </w:r>
      <w:r>
        <w:t xml:space="preserve"> </w:t>
      </w:r>
      <w:r w:rsidRPr="008B0305">
        <w:t>nebo</w:t>
      </w:r>
      <w:r>
        <w:t xml:space="preserve"> </w:t>
      </w:r>
      <w:r w:rsidRPr="008B0305">
        <w:t>paliv</w:t>
      </w:r>
      <w:r>
        <w:t xml:space="preserve"> </w:t>
      </w:r>
      <w:r w:rsidRPr="008B0305">
        <w:t>a</w:t>
      </w:r>
      <w:r>
        <w:t xml:space="preserve"> </w:t>
      </w:r>
      <w:r w:rsidRPr="008B0305">
        <w:t>energií</w:t>
      </w:r>
      <w:r>
        <w:t xml:space="preserve"> </w:t>
      </w:r>
      <w:r w:rsidRPr="008B0305">
        <w:t>poskytovaných</w:t>
      </w:r>
      <w:r>
        <w:t xml:space="preserve"> </w:t>
      </w:r>
      <w:r w:rsidRPr="008B0305">
        <w:t>jinými</w:t>
      </w:r>
      <w:r>
        <w:t xml:space="preserve"> </w:t>
      </w:r>
      <w:r w:rsidRPr="008B0305">
        <w:t>dodavateli</w:t>
      </w:r>
      <w:r>
        <w:t xml:space="preserve"> </w:t>
      </w:r>
      <w:r w:rsidRPr="008B0305">
        <w:t>tepelné</w:t>
      </w:r>
      <w:r>
        <w:t xml:space="preserve"> </w:t>
      </w:r>
      <w:r w:rsidRPr="008B0305">
        <w:t>energie,</w:t>
      </w:r>
    </w:p>
    <w:p w14:paraId="5D366AB3" w14:textId="77777777" w:rsidR="008B568E" w:rsidRDefault="008B568E" w:rsidP="002E6AEA">
      <w:pPr>
        <w:pStyle w:val="Textparagrafu"/>
        <w:tabs>
          <w:tab w:val="left" w:pos="392"/>
          <w:tab w:val="left" w:pos="840"/>
        </w:tabs>
        <w:spacing w:before="0"/>
        <w:ind w:left="426" w:hanging="426"/>
      </w:pPr>
      <w:r w:rsidRPr="008B0305">
        <w:t>f)</w:t>
      </w:r>
      <w:r>
        <w:tab/>
      </w:r>
      <w:r w:rsidRPr="008B0305">
        <w:t>při</w:t>
      </w:r>
      <w:r>
        <w:t xml:space="preserve"> </w:t>
      </w:r>
      <w:r w:rsidRPr="008B0305">
        <w:t>nedodržení</w:t>
      </w:r>
      <w:r>
        <w:t xml:space="preserve"> </w:t>
      </w:r>
      <w:r w:rsidRPr="008B0305">
        <w:t>povinností</w:t>
      </w:r>
      <w:r>
        <w:t xml:space="preserve"> </w:t>
      </w:r>
      <w:r w:rsidRPr="008B0305">
        <w:t>odběratele</w:t>
      </w:r>
      <w:r>
        <w:t xml:space="preserve"> </w:t>
      </w:r>
      <w:r w:rsidRPr="008B0305">
        <w:t>podle</w:t>
      </w:r>
      <w:r>
        <w:t xml:space="preserve"> </w:t>
      </w:r>
      <w:r w:rsidRPr="008B0305">
        <w:t>§</w:t>
      </w:r>
      <w:r>
        <w:t xml:space="preserve"> </w:t>
      </w:r>
      <w:r w:rsidRPr="008B0305">
        <w:t>77</w:t>
      </w:r>
      <w:r>
        <w:t xml:space="preserve"> </w:t>
      </w:r>
      <w:r w:rsidRPr="008B0305">
        <w:t>odst.</w:t>
      </w:r>
      <w:r>
        <w:t xml:space="preserve"> </w:t>
      </w:r>
      <w:r w:rsidRPr="008B0305">
        <w:t>4,</w:t>
      </w:r>
    </w:p>
    <w:p w14:paraId="0BA84653" w14:textId="77777777" w:rsidR="008B568E" w:rsidRDefault="008B568E" w:rsidP="002E6AEA">
      <w:pPr>
        <w:pStyle w:val="Textparagrafu"/>
        <w:tabs>
          <w:tab w:val="left" w:pos="392"/>
          <w:tab w:val="left" w:pos="840"/>
        </w:tabs>
        <w:spacing w:before="0"/>
        <w:ind w:left="426" w:hanging="426"/>
      </w:pPr>
      <w:r w:rsidRPr="008B0305">
        <w:t>g)</w:t>
      </w:r>
      <w:r>
        <w:tab/>
      </w:r>
      <w:r w:rsidRPr="008B0305">
        <w:t>při</w:t>
      </w:r>
      <w:r>
        <w:t xml:space="preserve"> </w:t>
      </w:r>
      <w:r w:rsidRPr="008B0305">
        <w:t>vzniku</w:t>
      </w:r>
      <w:r>
        <w:t xml:space="preserve"> </w:t>
      </w:r>
      <w:r w:rsidRPr="008B0305">
        <w:t>a</w:t>
      </w:r>
      <w:r>
        <w:t xml:space="preserve"> </w:t>
      </w:r>
      <w:r w:rsidRPr="008B0305">
        <w:t>odstraňování</w:t>
      </w:r>
      <w:r>
        <w:t xml:space="preserve"> </w:t>
      </w:r>
      <w:r w:rsidRPr="008B0305">
        <w:t>havárií</w:t>
      </w:r>
      <w:r>
        <w:t xml:space="preserve"> </w:t>
      </w:r>
      <w:r w:rsidRPr="008B0305">
        <w:t>a</w:t>
      </w:r>
      <w:r>
        <w:t xml:space="preserve"> </w:t>
      </w:r>
      <w:r w:rsidRPr="008B0305">
        <w:t>poruch</w:t>
      </w:r>
      <w:r>
        <w:t xml:space="preserve"> </w:t>
      </w:r>
      <w:r w:rsidRPr="008B0305">
        <w:t>na</w:t>
      </w:r>
      <w:r>
        <w:t xml:space="preserve"> </w:t>
      </w:r>
      <w:r w:rsidRPr="008B0305">
        <w:t>zařízeních</w:t>
      </w:r>
      <w:r>
        <w:t xml:space="preserve"> </w:t>
      </w:r>
      <w:r w:rsidRPr="008B0305">
        <w:t>pro</w:t>
      </w:r>
      <w:r>
        <w:t xml:space="preserve"> </w:t>
      </w:r>
      <w:r w:rsidRPr="008B0305">
        <w:t>rozvod</w:t>
      </w:r>
      <w:r>
        <w:t xml:space="preserve"> </w:t>
      </w:r>
      <w:r w:rsidRPr="008B0305">
        <w:t>a</w:t>
      </w:r>
      <w:r>
        <w:t xml:space="preserve"> </w:t>
      </w:r>
      <w:r w:rsidRPr="008B0305">
        <w:t>výrobu</w:t>
      </w:r>
      <w:r>
        <w:t xml:space="preserve"> </w:t>
      </w:r>
      <w:r w:rsidRPr="008B0305">
        <w:t>tepelné</w:t>
      </w:r>
      <w:r>
        <w:t xml:space="preserve"> </w:t>
      </w:r>
      <w:r w:rsidRPr="008B0305">
        <w:t>energie</w:t>
      </w:r>
      <w:r>
        <w:t xml:space="preserve"> </w:t>
      </w:r>
      <w:r w:rsidRPr="008B0305">
        <w:t>na</w:t>
      </w:r>
      <w:r>
        <w:t xml:space="preserve"> </w:t>
      </w:r>
      <w:r w:rsidRPr="008B0305">
        <w:t>dobu</w:t>
      </w:r>
      <w:r>
        <w:t xml:space="preserve"> </w:t>
      </w:r>
      <w:r w:rsidRPr="008B0305">
        <w:t>nezbytně</w:t>
      </w:r>
      <w:r>
        <w:t xml:space="preserve"> </w:t>
      </w:r>
      <w:r w:rsidRPr="008B0305">
        <w:t>nutnou,</w:t>
      </w:r>
    </w:p>
    <w:p w14:paraId="519E83D7" w14:textId="77777777" w:rsidR="008B568E" w:rsidRDefault="008B568E" w:rsidP="002E6AEA">
      <w:pPr>
        <w:pStyle w:val="Textparagrafu"/>
        <w:tabs>
          <w:tab w:val="left" w:pos="392"/>
          <w:tab w:val="left" w:pos="840"/>
        </w:tabs>
        <w:spacing w:before="0"/>
        <w:ind w:left="426" w:hanging="426"/>
      </w:pPr>
      <w:r w:rsidRPr="008B0305">
        <w:t>h)</w:t>
      </w:r>
      <w:r>
        <w:tab/>
      </w:r>
      <w:r w:rsidRPr="008B0305">
        <w:t>jestliže</w:t>
      </w:r>
      <w:r>
        <w:t xml:space="preserve"> </w:t>
      </w:r>
      <w:r w:rsidRPr="008B0305">
        <w:t>odběratel</w:t>
      </w:r>
      <w:r>
        <w:t xml:space="preserve"> </w:t>
      </w:r>
      <w:r w:rsidRPr="008B0305">
        <w:t>tepelné</w:t>
      </w:r>
      <w:r>
        <w:t xml:space="preserve"> </w:t>
      </w:r>
      <w:r w:rsidRPr="008B0305">
        <w:t>energie</w:t>
      </w:r>
      <w:r>
        <w:t xml:space="preserve"> </w:t>
      </w:r>
      <w:r w:rsidRPr="008B0305">
        <w:t>používá</w:t>
      </w:r>
      <w:r>
        <w:t xml:space="preserve"> </w:t>
      </w:r>
      <w:r w:rsidRPr="008B0305">
        <w:t>zařízení,</w:t>
      </w:r>
      <w:r>
        <w:t xml:space="preserve"> </w:t>
      </w:r>
      <w:r w:rsidRPr="008B0305">
        <w:t>která</w:t>
      </w:r>
      <w:r>
        <w:t xml:space="preserve"> </w:t>
      </w:r>
      <w:r w:rsidRPr="008B0305">
        <w:t>ohrožují</w:t>
      </w:r>
      <w:r>
        <w:t xml:space="preserve"> </w:t>
      </w:r>
      <w:r w:rsidRPr="008B0305">
        <w:t>život,</w:t>
      </w:r>
      <w:r>
        <w:t xml:space="preserve"> </w:t>
      </w:r>
      <w:r w:rsidRPr="008B0305">
        <w:t>zdraví</w:t>
      </w:r>
      <w:r>
        <w:t xml:space="preserve"> </w:t>
      </w:r>
      <w:r w:rsidRPr="008B0305">
        <w:t>nebo</w:t>
      </w:r>
      <w:r>
        <w:t xml:space="preserve"> </w:t>
      </w:r>
      <w:r w:rsidRPr="008B0305">
        <w:t>majetek</w:t>
      </w:r>
      <w:r>
        <w:t xml:space="preserve"> </w:t>
      </w:r>
      <w:r w:rsidRPr="008B0305">
        <w:t>osob</w:t>
      </w:r>
      <w:r>
        <w:t xml:space="preserve"> </w:t>
      </w:r>
      <w:r w:rsidRPr="008B0305">
        <w:t>nebo</w:t>
      </w:r>
      <w:r>
        <w:t xml:space="preserve"> </w:t>
      </w:r>
      <w:r w:rsidRPr="008B0305">
        <w:t>ovlivňují</w:t>
      </w:r>
      <w:r>
        <w:t xml:space="preserve"> </w:t>
      </w:r>
      <w:r w:rsidRPr="008B0305">
        <w:t>kvalitu</w:t>
      </w:r>
      <w:r>
        <w:t xml:space="preserve"> </w:t>
      </w:r>
      <w:r w:rsidRPr="008B0305">
        <w:t>dodávek</w:t>
      </w:r>
      <w:r>
        <w:t xml:space="preserve"> </w:t>
      </w:r>
      <w:r w:rsidRPr="008B0305">
        <w:t>v</w:t>
      </w:r>
      <w:r>
        <w:t xml:space="preserve"> </w:t>
      </w:r>
      <w:r w:rsidRPr="008B0305">
        <w:t>neprospěch</w:t>
      </w:r>
      <w:r>
        <w:t xml:space="preserve"> </w:t>
      </w:r>
      <w:r w:rsidRPr="008B0305">
        <w:t>dalších</w:t>
      </w:r>
      <w:r>
        <w:t xml:space="preserve"> </w:t>
      </w:r>
      <w:r w:rsidRPr="008B0305">
        <w:t>odběratelů</w:t>
      </w:r>
      <w:r>
        <w:t xml:space="preserve"> </w:t>
      </w:r>
      <w:r w:rsidRPr="008B0305">
        <w:t>tepelné</w:t>
      </w:r>
      <w:r>
        <w:t xml:space="preserve"> </w:t>
      </w:r>
      <w:r w:rsidRPr="008B0305">
        <w:t>energie,</w:t>
      </w:r>
    </w:p>
    <w:p w14:paraId="4934B6F5" w14:textId="77777777" w:rsidR="008B568E" w:rsidRDefault="008B568E" w:rsidP="002E6AEA">
      <w:pPr>
        <w:pStyle w:val="Textparagrafu"/>
        <w:tabs>
          <w:tab w:val="left" w:pos="392"/>
          <w:tab w:val="left" w:pos="840"/>
        </w:tabs>
        <w:spacing w:before="0"/>
        <w:ind w:left="426" w:hanging="426"/>
      </w:pPr>
      <w:r w:rsidRPr="008B0305">
        <w:t>i)</w:t>
      </w:r>
      <w:r>
        <w:tab/>
      </w:r>
      <w:r w:rsidRPr="008B0305">
        <w:t>při</w:t>
      </w:r>
      <w:r>
        <w:t xml:space="preserve"> </w:t>
      </w:r>
      <w:r w:rsidRPr="008B0305">
        <w:t>neoprávněném</w:t>
      </w:r>
      <w:r>
        <w:t xml:space="preserve"> </w:t>
      </w:r>
      <w:r w:rsidRPr="008B0305">
        <w:t>odběru.</w:t>
      </w:r>
    </w:p>
    <w:p w14:paraId="065BA568" w14:textId="77777777" w:rsidR="008B568E" w:rsidRDefault="008B568E" w:rsidP="0010420C">
      <w:pPr>
        <w:pStyle w:val="Textparagrafu"/>
        <w:tabs>
          <w:tab w:val="left" w:pos="392"/>
          <w:tab w:val="left" w:pos="840"/>
        </w:tabs>
        <w:spacing w:before="120" w:after="120"/>
      </w:pPr>
      <w:r w:rsidRPr="008B0305">
        <w:t>(5)</w:t>
      </w:r>
      <w:r>
        <w:t xml:space="preserve"> </w:t>
      </w:r>
      <w:r w:rsidRPr="008B0305">
        <w:t>Držitel</w:t>
      </w:r>
      <w:r>
        <w:t xml:space="preserve"> </w:t>
      </w:r>
      <w:r w:rsidRPr="008B0305">
        <w:t>licence</w:t>
      </w:r>
      <w:r>
        <w:t xml:space="preserve"> </w:t>
      </w:r>
      <w:r w:rsidRPr="008B0305">
        <w:t>na</w:t>
      </w:r>
      <w:r>
        <w:t xml:space="preserve"> </w:t>
      </w:r>
      <w:r w:rsidRPr="008B0305">
        <w:t>rozvod</w:t>
      </w:r>
      <w:r>
        <w:t xml:space="preserve"> </w:t>
      </w:r>
      <w:r w:rsidRPr="008B0305">
        <w:t>tepelné</w:t>
      </w:r>
      <w:r>
        <w:t xml:space="preserve"> </w:t>
      </w:r>
      <w:r w:rsidRPr="008B0305">
        <w:t>energie</w:t>
      </w:r>
      <w:r>
        <w:t xml:space="preserve"> </w:t>
      </w:r>
      <w:r w:rsidRPr="008B0305">
        <w:t>má</w:t>
      </w:r>
      <w:r>
        <w:t xml:space="preserve"> </w:t>
      </w:r>
      <w:r w:rsidRPr="008B0305">
        <w:t>právo</w:t>
      </w:r>
    </w:p>
    <w:p w14:paraId="04E53671" w14:textId="77777777" w:rsidR="008B568E" w:rsidRDefault="008B568E" w:rsidP="002E6AEA">
      <w:pPr>
        <w:pStyle w:val="Textparagrafu"/>
        <w:tabs>
          <w:tab w:val="left" w:pos="392"/>
          <w:tab w:val="left" w:pos="840"/>
        </w:tabs>
        <w:spacing w:before="0"/>
        <w:ind w:left="426" w:hanging="426"/>
      </w:pPr>
      <w:r w:rsidRPr="008B0305">
        <w:t>a)</w:t>
      </w:r>
      <w:r>
        <w:tab/>
      </w:r>
      <w:r w:rsidRPr="008B0305">
        <w:t>v</w:t>
      </w:r>
      <w:r>
        <w:t xml:space="preserve"> </w:t>
      </w:r>
      <w:r w:rsidRPr="008B0305">
        <w:t>souladu</w:t>
      </w:r>
      <w:r>
        <w:t xml:space="preserve"> </w:t>
      </w:r>
      <w:r w:rsidRPr="008B0305">
        <w:t>se</w:t>
      </w:r>
      <w:r>
        <w:t xml:space="preserve"> </w:t>
      </w:r>
      <w:r w:rsidRPr="008B0305">
        <w:t>zvláštním</w:t>
      </w:r>
      <w:r>
        <w:t xml:space="preserve"> </w:t>
      </w:r>
      <w:r w:rsidRPr="008B0305">
        <w:t>právním</w:t>
      </w:r>
      <w:r>
        <w:t xml:space="preserve"> </w:t>
      </w:r>
      <w:r w:rsidRPr="008B0305">
        <w:t>předpisem</w:t>
      </w:r>
      <w:r w:rsidRPr="00856047">
        <w:rPr>
          <w:vertAlign w:val="superscript"/>
        </w:rPr>
        <w:t>4d)</w:t>
      </w:r>
      <w:r>
        <w:t xml:space="preserve"> </w:t>
      </w:r>
      <w:r w:rsidRPr="008B0305">
        <w:t>zřizovat</w:t>
      </w:r>
      <w:r>
        <w:t xml:space="preserve"> </w:t>
      </w:r>
      <w:r w:rsidRPr="008B0305">
        <w:t>a</w:t>
      </w:r>
      <w:r>
        <w:t xml:space="preserve"> </w:t>
      </w:r>
      <w:r w:rsidRPr="008B0305">
        <w:t>provozovat</w:t>
      </w:r>
      <w:r>
        <w:t xml:space="preserve"> </w:t>
      </w:r>
      <w:r w:rsidRPr="008B0305">
        <w:t>na</w:t>
      </w:r>
      <w:r>
        <w:t xml:space="preserve"> </w:t>
      </w:r>
      <w:r w:rsidRPr="008B0305">
        <w:t>cizích</w:t>
      </w:r>
      <w:r>
        <w:t xml:space="preserve"> </w:t>
      </w:r>
      <w:r w:rsidRPr="008B0305">
        <w:t>nemovitostech</w:t>
      </w:r>
      <w:r>
        <w:t xml:space="preserve"> </w:t>
      </w:r>
      <w:r w:rsidRPr="008B0305">
        <w:t>rozvodná</w:t>
      </w:r>
      <w:r>
        <w:t xml:space="preserve"> </w:t>
      </w:r>
      <w:r w:rsidRPr="008B0305">
        <w:t>tepelná</w:t>
      </w:r>
      <w:r>
        <w:t xml:space="preserve"> </w:t>
      </w:r>
      <w:r w:rsidRPr="008B0305">
        <w:t>zařízení,</w:t>
      </w:r>
      <w:r>
        <w:t xml:space="preserve"> </w:t>
      </w:r>
      <w:r w:rsidRPr="008B0305">
        <w:t>stavět</w:t>
      </w:r>
      <w:r>
        <w:t xml:space="preserve"> </w:t>
      </w:r>
      <w:r w:rsidRPr="008B0305">
        <w:t>podpěrné</w:t>
      </w:r>
      <w:r>
        <w:t xml:space="preserve"> </w:t>
      </w:r>
      <w:r w:rsidRPr="008B0305">
        <w:t>body</w:t>
      </w:r>
      <w:r>
        <w:t xml:space="preserve"> </w:t>
      </w:r>
      <w:r w:rsidRPr="008B0305">
        <w:t>a</w:t>
      </w:r>
      <w:r>
        <w:t xml:space="preserve"> </w:t>
      </w:r>
      <w:r w:rsidRPr="008B0305">
        <w:t>přetínat</w:t>
      </w:r>
      <w:r>
        <w:t xml:space="preserve"> </w:t>
      </w:r>
      <w:r w:rsidRPr="008B0305">
        <w:t>tyto</w:t>
      </w:r>
      <w:r>
        <w:t xml:space="preserve"> </w:t>
      </w:r>
      <w:r w:rsidRPr="008B0305">
        <w:t>nemovitosti</w:t>
      </w:r>
      <w:r>
        <w:t xml:space="preserve"> </w:t>
      </w:r>
      <w:r w:rsidRPr="008B0305">
        <w:t>potrubními</w:t>
      </w:r>
      <w:r>
        <w:t xml:space="preserve"> </w:t>
      </w:r>
      <w:r w:rsidRPr="008B0305">
        <w:t>trasami,</w:t>
      </w:r>
    </w:p>
    <w:p w14:paraId="68662E3E" w14:textId="77777777" w:rsidR="008B568E" w:rsidRDefault="008B568E" w:rsidP="002E6AEA">
      <w:pPr>
        <w:pStyle w:val="Textparagrafu"/>
        <w:tabs>
          <w:tab w:val="left" w:pos="392"/>
          <w:tab w:val="left" w:pos="840"/>
        </w:tabs>
        <w:spacing w:before="0"/>
        <w:ind w:left="426" w:hanging="426"/>
      </w:pPr>
      <w:r w:rsidRPr="008B0305">
        <w:t>b)</w:t>
      </w:r>
      <w:r>
        <w:tab/>
      </w:r>
      <w:r w:rsidRPr="008B0305">
        <w:t>vstupovat</w:t>
      </w:r>
      <w:r>
        <w:t xml:space="preserve"> </w:t>
      </w:r>
      <w:r w:rsidRPr="008B0305">
        <w:t>a</w:t>
      </w:r>
      <w:r>
        <w:t xml:space="preserve"> </w:t>
      </w:r>
      <w:r w:rsidRPr="008B0305">
        <w:t>vjíždět</w:t>
      </w:r>
      <w:r>
        <w:t xml:space="preserve"> </w:t>
      </w:r>
      <w:r w:rsidRPr="008B0305">
        <w:t>na</w:t>
      </w:r>
      <w:r>
        <w:t xml:space="preserve"> </w:t>
      </w:r>
      <w:r w:rsidRPr="008B0305">
        <w:t>cizí</w:t>
      </w:r>
      <w:r>
        <w:t xml:space="preserve"> </w:t>
      </w:r>
      <w:r w:rsidRPr="008B0305">
        <w:t>nemovitosti</w:t>
      </w:r>
      <w:r>
        <w:t xml:space="preserve"> </w:t>
      </w:r>
      <w:r w:rsidRPr="008B0305">
        <w:t>v</w:t>
      </w:r>
      <w:r>
        <w:t xml:space="preserve"> </w:t>
      </w:r>
      <w:r w:rsidRPr="008B0305">
        <w:t>souvislosti</w:t>
      </w:r>
      <w:r>
        <w:t xml:space="preserve"> </w:t>
      </w:r>
      <w:r w:rsidRPr="008B0305">
        <w:t>se</w:t>
      </w:r>
      <w:r>
        <w:t xml:space="preserve"> </w:t>
      </w:r>
      <w:r w:rsidRPr="008B0305">
        <w:t>zřizováním</w:t>
      </w:r>
      <w:r>
        <w:t xml:space="preserve"> </w:t>
      </w:r>
      <w:r w:rsidRPr="008B0305">
        <w:t>a</w:t>
      </w:r>
      <w:r>
        <w:t xml:space="preserve"> </w:t>
      </w:r>
      <w:r w:rsidRPr="008B0305">
        <w:t>provozem</w:t>
      </w:r>
      <w:r>
        <w:t xml:space="preserve"> </w:t>
      </w:r>
      <w:r w:rsidRPr="008B0305">
        <w:t>rozvodných</w:t>
      </w:r>
      <w:r>
        <w:t xml:space="preserve"> </w:t>
      </w:r>
      <w:r w:rsidRPr="008B0305">
        <w:t>tepelných</w:t>
      </w:r>
      <w:r>
        <w:t xml:space="preserve"> </w:t>
      </w:r>
      <w:r w:rsidRPr="008B0305">
        <w:t>zařízení,</w:t>
      </w:r>
    </w:p>
    <w:p w14:paraId="3308EC45" w14:textId="77777777" w:rsidR="008B568E" w:rsidRDefault="008B568E" w:rsidP="002E6AEA">
      <w:pPr>
        <w:pStyle w:val="Textparagrafu"/>
        <w:tabs>
          <w:tab w:val="left" w:pos="392"/>
          <w:tab w:val="left" w:pos="840"/>
        </w:tabs>
        <w:spacing w:before="0"/>
        <w:ind w:left="426" w:hanging="426"/>
      </w:pPr>
      <w:r w:rsidRPr="008B0305">
        <w:t>c)</w:t>
      </w:r>
      <w:r>
        <w:tab/>
      </w:r>
      <w:r w:rsidRPr="008B0305">
        <w:t>odstraňovat</w:t>
      </w:r>
      <w:r>
        <w:t xml:space="preserve"> </w:t>
      </w:r>
      <w:r w:rsidRPr="008B0305">
        <w:t>porosty</w:t>
      </w:r>
      <w:r>
        <w:t xml:space="preserve"> </w:t>
      </w:r>
      <w:r w:rsidRPr="008B0305">
        <w:t>ohrožující</w:t>
      </w:r>
      <w:r>
        <w:t xml:space="preserve"> </w:t>
      </w:r>
      <w:r w:rsidRPr="008B0305">
        <w:t>provoz</w:t>
      </w:r>
      <w:r>
        <w:t xml:space="preserve"> </w:t>
      </w:r>
      <w:r w:rsidRPr="008B0305">
        <w:t>rozvodných</w:t>
      </w:r>
      <w:r>
        <w:t xml:space="preserve"> </w:t>
      </w:r>
      <w:r w:rsidRPr="008B0305">
        <w:t>tepelných</w:t>
      </w:r>
      <w:r>
        <w:t xml:space="preserve"> </w:t>
      </w:r>
      <w:r w:rsidRPr="008B0305">
        <w:t>zařízení,</w:t>
      </w:r>
      <w:r>
        <w:t xml:space="preserve"> </w:t>
      </w:r>
      <w:r w:rsidRPr="008B0305">
        <w:t>pokud</w:t>
      </w:r>
      <w:r>
        <w:t xml:space="preserve"> </w:t>
      </w:r>
      <w:r w:rsidRPr="008B0305">
        <w:t>tak</w:t>
      </w:r>
      <w:r>
        <w:t xml:space="preserve"> </w:t>
      </w:r>
      <w:r w:rsidRPr="008B0305">
        <w:t>neučinil</w:t>
      </w:r>
      <w:r>
        <w:t xml:space="preserve"> </w:t>
      </w:r>
      <w:r w:rsidRPr="008B0305">
        <w:t>po</w:t>
      </w:r>
      <w:r>
        <w:t xml:space="preserve"> </w:t>
      </w:r>
      <w:r w:rsidRPr="008B0305">
        <w:t>předchozím</w:t>
      </w:r>
      <w:r>
        <w:t xml:space="preserve"> </w:t>
      </w:r>
      <w:r w:rsidRPr="008B0305">
        <w:t>upozornění</w:t>
      </w:r>
      <w:r>
        <w:t xml:space="preserve"> </w:t>
      </w:r>
      <w:r w:rsidRPr="008B0305">
        <w:t>a</w:t>
      </w:r>
      <w:r>
        <w:t xml:space="preserve"> </w:t>
      </w:r>
      <w:r w:rsidRPr="008B0305">
        <w:t>stanovení</w:t>
      </w:r>
      <w:r>
        <w:t xml:space="preserve"> </w:t>
      </w:r>
      <w:r w:rsidRPr="008B0305">
        <w:t>rozsahu</w:t>
      </w:r>
      <w:r>
        <w:t xml:space="preserve"> </w:t>
      </w:r>
      <w:r w:rsidRPr="008B0305">
        <w:t>vlastník</w:t>
      </w:r>
      <w:r>
        <w:t xml:space="preserve"> </w:t>
      </w:r>
      <w:r w:rsidRPr="008B0305">
        <w:t>dotčené</w:t>
      </w:r>
      <w:r>
        <w:t xml:space="preserve"> </w:t>
      </w:r>
      <w:r w:rsidRPr="008B0305">
        <w:t>nemovitosti,</w:t>
      </w:r>
    </w:p>
    <w:p w14:paraId="785CF48C" w14:textId="77777777" w:rsidR="008B568E" w:rsidRDefault="008B568E" w:rsidP="002E6AEA">
      <w:pPr>
        <w:pStyle w:val="Textparagrafu"/>
        <w:tabs>
          <w:tab w:val="left" w:pos="392"/>
          <w:tab w:val="left" w:pos="840"/>
        </w:tabs>
        <w:spacing w:before="0"/>
        <w:ind w:left="426" w:hanging="426"/>
      </w:pPr>
      <w:r w:rsidRPr="008B0305">
        <w:t>d)</w:t>
      </w:r>
      <w:r>
        <w:tab/>
      </w:r>
      <w:r w:rsidRPr="008B0305">
        <w:t>vstupovat</w:t>
      </w:r>
      <w:r>
        <w:t xml:space="preserve"> </w:t>
      </w:r>
      <w:r w:rsidRPr="008B0305">
        <w:t>a</w:t>
      </w:r>
      <w:r>
        <w:t xml:space="preserve"> </w:t>
      </w:r>
      <w:r w:rsidRPr="008B0305">
        <w:t>vjíždět</w:t>
      </w:r>
      <w:r>
        <w:t xml:space="preserve"> </w:t>
      </w:r>
      <w:r w:rsidRPr="008B0305">
        <w:t>v</w:t>
      </w:r>
      <w:r>
        <w:t xml:space="preserve"> </w:t>
      </w:r>
      <w:r w:rsidRPr="008B0305">
        <w:t>souladu</w:t>
      </w:r>
      <w:r>
        <w:t xml:space="preserve"> </w:t>
      </w:r>
      <w:r w:rsidRPr="008B0305">
        <w:t>se</w:t>
      </w:r>
      <w:r>
        <w:t xml:space="preserve"> </w:t>
      </w:r>
      <w:r w:rsidRPr="008B0305">
        <w:t>zvláštními</w:t>
      </w:r>
      <w:r>
        <w:t xml:space="preserve"> </w:t>
      </w:r>
      <w:r w:rsidRPr="008B0305">
        <w:t>právními</w:t>
      </w:r>
      <w:r>
        <w:t xml:space="preserve"> </w:t>
      </w:r>
      <w:r w:rsidRPr="008B0305">
        <w:t>předpisy</w:t>
      </w:r>
      <w:r>
        <w:t xml:space="preserve"> </w:t>
      </w:r>
      <w:r w:rsidRPr="008B0305">
        <w:t>do</w:t>
      </w:r>
      <w:r>
        <w:t xml:space="preserve"> </w:t>
      </w:r>
      <w:r w:rsidRPr="008B0305">
        <w:t>uzavřených</w:t>
      </w:r>
      <w:r>
        <w:t xml:space="preserve"> </w:t>
      </w:r>
      <w:r w:rsidRPr="008B0305">
        <w:t>prostor</w:t>
      </w:r>
      <w:r>
        <w:t xml:space="preserve"> </w:t>
      </w:r>
      <w:r w:rsidRPr="008B0305">
        <w:t>a</w:t>
      </w:r>
      <w:r>
        <w:t xml:space="preserve"> </w:t>
      </w:r>
      <w:r w:rsidRPr="008B0305">
        <w:t>zařízení</w:t>
      </w:r>
      <w:r>
        <w:t xml:space="preserve"> </w:t>
      </w:r>
      <w:r w:rsidRPr="008B0305">
        <w:t>sloužících</w:t>
      </w:r>
      <w:r>
        <w:t xml:space="preserve"> </w:t>
      </w:r>
      <w:r w:rsidRPr="008B0305">
        <w:t>k</w:t>
      </w:r>
      <w:r>
        <w:t xml:space="preserve"> </w:t>
      </w:r>
      <w:r w:rsidRPr="008B0305">
        <w:t>výkonu</w:t>
      </w:r>
      <w:r>
        <w:t xml:space="preserve"> </w:t>
      </w:r>
      <w:r w:rsidRPr="008B0305">
        <w:t>činností</w:t>
      </w:r>
      <w:r>
        <w:t xml:space="preserve"> </w:t>
      </w:r>
      <w:r w:rsidRPr="008B0305">
        <w:t>a</w:t>
      </w:r>
      <w:r>
        <w:t xml:space="preserve"> </w:t>
      </w:r>
      <w:r w:rsidRPr="008B0305">
        <w:t>služeb</w:t>
      </w:r>
      <w:r>
        <w:t xml:space="preserve"> </w:t>
      </w:r>
      <w:r w:rsidRPr="008B0305">
        <w:t>orgánů</w:t>
      </w:r>
      <w:r>
        <w:t xml:space="preserve"> </w:t>
      </w:r>
      <w:r w:rsidRPr="008B0305">
        <w:t>Ministerstva</w:t>
      </w:r>
      <w:r>
        <w:t xml:space="preserve"> </w:t>
      </w:r>
      <w:r w:rsidRPr="008B0305">
        <w:t>obrany,</w:t>
      </w:r>
      <w:r>
        <w:t xml:space="preserve"> </w:t>
      </w:r>
      <w:r w:rsidRPr="008B0305">
        <w:t>Ministerstva</w:t>
      </w:r>
      <w:r>
        <w:t xml:space="preserve"> </w:t>
      </w:r>
      <w:r w:rsidRPr="008B0305">
        <w:t>vnitra,</w:t>
      </w:r>
      <w:r>
        <w:t xml:space="preserve"> </w:t>
      </w:r>
      <w:r w:rsidRPr="008B0305">
        <w:t>Ministerstva</w:t>
      </w:r>
      <w:r>
        <w:t xml:space="preserve"> </w:t>
      </w:r>
      <w:r w:rsidRPr="008B0305">
        <w:t>spravedlnosti,</w:t>
      </w:r>
      <w:r>
        <w:t xml:space="preserve"> </w:t>
      </w:r>
      <w:r w:rsidRPr="008B0305">
        <w:t>Bezpečnostní</w:t>
      </w:r>
      <w:r>
        <w:t xml:space="preserve"> </w:t>
      </w:r>
      <w:r w:rsidRPr="008B0305">
        <w:t>informační</w:t>
      </w:r>
      <w:r>
        <w:t xml:space="preserve"> </w:t>
      </w:r>
      <w:r w:rsidRPr="008B0305">
        <w:t>služby</w:t>
      </w:r>
      <w:r>
        <w:t xml:space="preserve"> </w:t>
      </w:r>
      <w:r w:rsidRPr="008B0305">
        <w:t>a</w:t>
      </w:r>
      <w:r>
        <w:t xml:space="preserve"> </w:t>
      </w:r>
      <w:r w:rsidRPr="008B0305">
        <w:t>do</w:t>
      </w:r>
      <w:r>
        <w:t xml:space="preserve"> </w:t>
      </w:r>
      <w:r w:rsidRPr="008B0305">
        <w:t>obvodu</w:t>
      </w:r>
      <w:r>
        <w:t xml:space="preserve"> </w:t>
      </w:r>
      <w:r w:rsidRPr="008B0305">
        <w:t>dráhy,</w:t>
      </w:r>
      <w:r>
        <w:t xml:space="preserve"> </w:t>
      </w:r>
      <w:r w:rsidRPr="008B0305">
        <w:t>jakož</w:t>
      </w:r>
      <w:r>
        <w:t xml:space="preserve"> </w:t>
      </w:r>
      <w:r w:rsidRPr="008B0305">
        <w:t>i</w:t>
      </w:r>
      <w:r>
        <w:t xml:space="preserve"> </w:t>
      </w:r>
      <w:r w:rsidRPr="008B0305">
        <w:t>vstupovat</w:t>
      </w:r>
      <w:r>
        <w:t xml:space="preserve"> </w:t>
      </w:r>
      <w:r w:rsidRPr="008B0305">
        <w:t>na</w:t>
      </w:r>
      <w:r>
        <w:t xml:space="preserve"> </w:t>
      </w:r>
      <w:r w:rsidRPr="008B0305">
        <w:t>nemovitosti,</w:t>
      </w:r>
      <w:r>
        <w:t xml:space="preserve"> </w:t>
      </w:r>
      <w:r w:rsidRPr="008B0305">
        <w:t>kde</w:t>
      </w:r>
      <w:r>
        <w:t xml:space="preserve"> </w:t>
      </w:r>
      <w:r w:rsidRPr="008B0305">
        <w:t>jsou</w:t>
      </w:r>
      <w:r>
        <w:t xml:space="preserve"> </w:t>
      </w:r>
      <w:r w:rsidRPr="008B0305">
        <w:t>umístěna</w:t>
      </w:r>
      <w:r>
        <w:t xml:space="preserve"> </w:t>
      </w:r>
      <w:r w:rsidRPr="008B0305">
        <w:t>zařízení</w:t>
      </w:r>
      <w:r>
        <w:t xml:space="preserve"> </w:t>
      </w:r>
      <w:r w:rsidRPr="008B0305">
        <w:t>telekomunikací,</w:t>
      </w:r>
      <w:r>
        <w:t xml:space="preserve"> </w:t>
      </w:r>
      <w:r w:rsidRPr="008B0305">
        <w:t>v</w:t>
      </w:r>
      <w:r>
        <w:t xml:space="preserve"> </w:t>
      </w:r>
      <w:r w:rsidRPr="008B0305">
        <w:t>rozsahu</w:t>
      </w:r>
      <w:r>
        <w:t xml:space="preserve"> </w:t>
      </w:r>
      <w:r w:rsidRPr="008B0305">
        <w:t>a</w:t>
      </w:r>
      <w:r>
        <w:t xml:space="preserve"> </w:t>
      </w:r>
      <w:r w:rsidRPr="008B0305">
        <w:t>způsobem</w:t>
      </w:r>
      <w:r>
        <w:t xml:space="preserve"> </w:t>
      </w:r>
      <w:r w:rsidRPr="008B0305">
        <w:t>nezbytným</w:t>
      </w:r>
      <w:r>
        <w:t xml:space="preserve"> </w:t>
      </w:r>
      <w:r w:rsidRPr="008B0305">
        <w:t>pro</w:t>
      </w:r>
      <w:r>
        <w:t xml:space="preserve"> </w:t>
      </w:r>
      <w:r w:rsidRPr="008B0305">
        <w:t>výkon</w:t>
      </w:r>
      <w:r>
        <w:t xml:space="preserve"> </w:t>
      </w:r>
      <w:r w:rsidRPr="008B0305">
        <w:t>licencované</w:t>
      </w:r>
      <w:r>
        <w:t xml:space="preserve"> </w:t>
      </w:r>
      <w:r w:rsidRPr="008B0305">
        <w:t>činnosti,</w:t>
      </w:r>
    </w:p>
    <w:p w14:paraId="211E84C4" w14:textId="77777777" w:rsidR="008B568E" w:rsidRDefault="008B568E" w:rsidP="002E6AEA">
      <w:pPr>
        <w:pStyle w:val="Textparagrafu"/>
        <w:tabs>
          <w:tab w:val="left" w:pos="392"/>
          <w:tab w:val="left" w:pos="840"/>
        </w:tabs>
        <w:spacing w:before="0"/>
        <w:ind w:left="426" w:hanging="426"/>
      </w:pPr>
      <w:r w:rsidRPr="008B0305">
        <w:t>e)</w:t>
      </w:r>
      <w:r>
        <w:tab/>
      </w:r>
      <w:r w:rsidRPr="008B0305">
        <w:t>vyžadovat</w:t>
      </w:r>
      <w:r>
        <w:t xml:space="preserve"> </w:t>
      </w:r>
      <w:r w:rsidRPr="008B0305">
        <w:t>zabezpečení</w:t>
      </w:r>
      <w:r>
        <w:t xml:space="preserve"> </w:t>
      </w:r>
      <w:r w:rsidRPr="008B0305">
        <w:t>ochrany</w:t>
      </w:r>
      <w:r>
        <w:t xml:space="preserve"> </w:t>
      </w:r>
      <w:r w:rsidRPr="008B0305">
        <w:t>rozvodných</w:t>
      </w:r>
      <w:r>
        <w:t xml:space="preserve"> </w:t>
      </w:r>
      <w:r w:rsidRPr="008B0305">
        <w:t>tepelných</w:t>
      </w:r>
      <w:r>
        <w:t xml:space="preserve"> </w:t>
      </w:r>
      <w:r w:rsidRPr="008B0305">
        <w:t>zařízení</w:t>
      </w:r>
      <w:r>
        <w:t xml:space="preserve"> </w:t>
      </w:r>
      <w:r w:rsidRPr="008B0305">
        <w:t>při</w:t>
      </w:r>
      <w:r>
        <w:t xml:space="preserve"> </w:t>
      </w:r>
      <w:r w:rsidRPr="008B0305">
        <w:t>provádění</w:t>
      </w:r>
      <w:r>
        <w:t xml:space="preserve"> </w:t>
      </w:r>
      <w:r w:rsidRPr="008B0305">
        <w:t>prací</w:t>
      </w:r>
      <w:r>
        <w:t xml:space="preserve"> </w:t>
      </w:r>
      <w:r w:rsidRPr="008B0305">
        <w:t>ohrožujících</w:t>
      </w:r>
      <w:r>
        <w:t xml:space="preserve"> </w:t>
      </w:r>
      <w:r w:rsidRPr="008B0305">
        <w:t>jejich</w:t>
      </w:r>
      <w:r>
        <w:t xml:space="preserve"> </w:t>
      </w:r>
      <w:r w:rsidRPr="008B0305">
        <w:t>bezpečný</w:t>
      </w:r>
      <w:r>
        <w:t xml:space="preserve"> </w:t>
      </w:r>
      <w:r w:rsidRPr="008B0305">
        <w:t>provoz;</w:t>
      </w:r>
      <w:r>
        <w:t xml:space="preserve"> </w:t>
      </w:r>
      <w:r w:rsidRPr="008B0305">
        <w:t>v</w:t>
      </w:r>
      <w:r>
        <w:t xml:space="preserve"> </w:t>
      </w:r>
      <w:r w:rsidRPr="008B0305">
        <w:t>případě</w:t>
      </w:r>
      <w:r>
        <w:t xml:space="preserve"> </w:t>
      </w:r>
      <w:r w:rsidRPr="008B0305">
        <w:t>poškození</w:t>
      </w:r>
      <w:r>
        <w:t xml:space="preserve"> </w:t>
      </w:r>
      <w:r w:rsidRPr="008B0305">
        <w:t>žádat</w:t>
      </w:r>
      <w:r>
        <w:t xml:space="preserve"> </w:t>
      </w:r>
      <w:r w:rsidRPr="008B0305">
        <w:t>náhradu</w:t>
      </w:r>
      <w:r>
        <w:t xml:space="preserve"> </w:t>
      </w:r>
      <w:r w:rsidRPr="008B0305">
        <w:t>veškerých</w:t>
      </w:r>
      <w:r>
        <w:t xml:space="preserve"> </w:t>
      </w:r>
      <w:r w:rsidRPr="008B0305">
        <w:t>nákladů</w:t>
      </w:r>
      <w:r>
        <w:t xml:space="preserve"> </w:t>
      </w:r>
      <w:r w:rsidRPr="008B0305">
        <w:t>spojených</w:t>
      </w:r>
      <w:r>
        <w:t xml:space="preserve"> </w:t>
      </w:r>
      <w:r w:rsidRPr="008B0305">
        <w:t>s</w:t>
      </w:r>
      <w:r>
        <w:t xml:space="preserve"> </w:t>
      </w:r>
      <w:r w:rsidRPr="008B0305">
        <w:t>neprodleným</w:t>
      </w:r>
      <w:r>
        <w:t xml:space="preserve"> </w:t>
      </w:r>
      <w:r w:rsidRPr="008B0305">
        <w:t>provedením</w:t>
      </w:r>
      <w:r>
        <w:t xml:space="preserve"> </w:t>
      </w:r>
      <w:r w:rsidRPr="008B0305">
        <w:t>oprav</w:t>
      </w:r>
      <w:r>
        <w:t xml:space="preserve"> </w:t>
      </w:r>
      <w:r w:rsidRPr="008B0305">
        <w:t>a</w:t>
      </w:r>
      <w:r>
        <w:t xml:space="preserve"> </w:t>
      </w:r>
      <w:r w:rsidRPr="008B0305">
        <w:t>uvedení</w:t>
      </w:r>
      <w:r>
        <w:t xml:space="preserve"> </w:t>
      </w:r>
      <w:r w:rsidRPr="008B0305">
        <w:t>do</w:t>
      </w:r>
      <w:r>
        <w:t xml:space="preserve"> </w:t>
      </w:r>
      <w:r w:rsidRPr="008B0305">
        <w:t>provozu,</w:t>
      </w:r>
    </w:p>
    <w:p w14:paraId="2AD807E1" w14:textId="77777777" w:rsidR="008B568E" w:rsidRDefault="008B568E" w:rsidP="002E6AEA">
      <w:pPr>
        <w:pStyle w:val="Textparagrafu"/>
        <w:tabs>
          <w:tab w:val="left" w:pos="392"/>
          <w:tab w:val="left" w:pos="840"/>
        </w:tabs>
        <w:spacing w:before="0"/>
        <w:ind w:left="426" w:hanging="426"/>
      </w:pPr>
      <w:r w:rsidRPr="008B0305">
        <w:t>f)</w:t>
      </w:r>
      <w:r>
        <w:tab/>
      </w:r>
      <w:r w:rsidRPr="008B0305">
        <w:t>na</w:t>
      </w:r>
      <w:r>
        <w:t xml:space="preserve"> </w:t>
      </w:r>
      <w:r w:rsidRPr="008B0305">
        <w:t>náhradu</w:t>
      </w:r>
      <w:r>
        <w:t xml:space="preserve"> </w:t>
      </w:r>
      <w:r w:rsidRPr="008B0305">
        <w:t>škody</w:t>
      </w:r>
      <w:r>
        <w:t xml:space="preserve"> </w:t>
      </w:r>
      <w:r w:rsidRPr="008B0305">
        <w:t>při</w:t>
      </w:r>
      <w:r>
        <w:t xml:space="preserve"> </w:t>
      </w:r>
      <w:r w:rsidRPr="008B0305">
        <w:t>nedodržení</w:t>
      </w:r>
      <w:r>
        <w:t xml:space="preserve"> </w:t>
      </w:r>
      <w:r w:rsidRPr="008B0305">
        <w:t>základních</w:t>
      </w:r>
      <w:r>
        <w:t xml:space="preserve"> </w:t>
      </w:r>
      <w:r w:rsidRPr="008B0305">
        <w:t>parametrů</w:t>
      </w:r>
      <w:r>
        <w:t xml:space="preserve"> </w:t>
      </w:r>
      <w:r w:rsidRPr="008B0305">
        <w:t>dodávky</w:t>
      </w:r>
      <w:r>
        <w:t xml:space="preserve"> </w:t>
      </w:r>
      <w:r w:rsidRPr="008B0305">
        <w:t>tepelné</w:t>
      </w:r>
      <w:r>
        <w:t xml:space="preserve"> </w:t>
      </w:r>
      <w:r w:rsidRPr="008B0305">
        <w:t>energie</w:t>
      </w:r>
      <w:r>
        <w:t xml:space="preserve"> </w:t>
      </w:r>
      <w:r w:rsidRPr="008B0305">
        <w:t>podle</w:t>
      </w:r>
      <w:r>
        <w:t xml:space="preserve"> </w:t>
      </w:r>
      <w:r w:rsidRPr="008B0305">
        <w:t>odstavce</w:t>
      </w:r>
      <w:r>
        <w:t xml:space="preserve"> </w:t>
      </w:r>
      <w:r w:rsidRPr="008B0305">
        <w:t>3</w:t>
      </w:r>
      <w:r>
        <w:t xml:space="preserve"> </w:t>
      </w:r>
      <w:r w:rsidRPr="008B0305">
        <w:t>písm.</w:t>
      </w:r>
      <w:r>
        <w:t xml:space="preserve"> </w:t>
      </w:r>
      <w:r w:rsidRPr="008B0305">
        <w:t>b),</w:t>
      </w:r>
    </w:p>
    <w:p w14:paraId="3CB310D0" w14:textId="77777777" w:rsidR="008B568E" w:rsidRDefault="008B568E" w:rsidP="002E6AEA">
      <w:pPr>
        <w:pStyle w:val="Textparagrafu"/>
        <w:tabs>
          <w:tab w:val="left" w:pos="392"/>
          <w:tab w:val="left" w:pos="840"/>
        </w:tabs>
        <w:spacing w:before="0"/>
        <w:ind w:left="426" w:hanging="426"/>
      </w:pPr>
      <w:r w:rsidRPr="008B0305">
        <w:t>g)</w:t>
      </w:r>
      <w:r>
        <w:tab/>
      </w:r>
      <w:r w:rsidRPr="008B0305">
        <w:t>zřizovat</w:t>
      </w:r>
      <w:r>
        <w:t xml:space="preserve"> </w:t>
      </w:r>
      <w:r w:rsidRPr="008B0305">
        <w:t>a</w:t>
      </w:r>
      <w:r>
        <w:t xml:space="preserve"> </w:t>
      </w:r>
      <w:r w:rsidRPr="008B0305">
        <w:t>provozovat</w:t>
      </w:r>
      <w:r>
        <w:t xml:space="preserve"> </w:t>
      </w:r>
      <w:r w:rsidRPr="008B0305">
        <w:t>vlastní</w:t>
      </w:r>
      <w:r>
        <w:t xml:space="preserve"> </w:t>
      </w:r>
      <w:r w:rsidRPr="008B0305">
        <w:t>telekomunikační</w:t>
      </w:r>
      <w:r>
        <w:t xml:space="preserve"> </w:t>
      </w:r>
      <w:r w:rsidRPr="008B0305">
        <w:t>síť</w:t>
      </w:r>
      <w:r>
        <w:t xml:space="preserve"> </w:t>
      </w:r>
      <w:r w:rsidRPr="008B0305">
        <w:t>k</w:t>
      </w:r>
      <w:r>
        <w:t xml:space="preserve"> </w:t>
      </w:r>
      <w:r w:rsidRPr="008B0305">
        <w:t>řízení,</w:t>
      </w:r>
      <w:r>
        <w:t xml:space="preserve"> </w:t>
      </w:r>
      <w:r w:rsidRPr="008B0305">
        <w:t>měření,</w:t>
      </w:r>
      <w:r>
        <w:t xml:space="preserve"> </w:t>
      </w:r>
      <w:r w:rsidRPr="008B0305">
        <w:t>zabezpečování</w:t>
      </w:r>
      <w:r>
        <w:t xml:space="preserve"> </w:t>
      </w:r>
      <w:r w:rsidRPr="008B0305">
        <w:t>a</w:t>
      </w:r>
      <w:r>
        <w:t xml:space="preserve"> </w:t>
      </w:r>
      <w:r w:rsidRPr="008B0305">
        <w:t>automatizaci</w:t>
      </w:r>
      <w:r>
        <w:t xml:space="preserve"> </w:t>
      </w:r>
      <w:r w:rsidRPr="008B0305">
        <w:t>provozu</w:t>
      </w:r>
      <w:r>
        <w:t xml:space="preserve"> </w:t>
      </w:r>
      <w:r w:rsidRPr="008B0305">
        <w:t>tepelných</w:t>
      </w:r>
      <w:r>
        <w:t xml:space="preserve"> </w:t>
      </w:r>
      <w:r w:rsidRPr="008B0305">
        <w:t>sítí</w:t>
      </w:r>
      <w:r>
        <w:t xml:space="preserve"> </w:t>
      </w:r>
      <w:r w:rsidRPr="008B0305">
        <w:t>a</w:t>
      </w:r>
      <w:r>
        <w:t xml:space="preserve"> </w:t>
      </w:r>
      <w:r w:rsidRPr="008B0305">
        <w:t>k</w:t>
      </w:r>
      <w:r>
        <w:t xml:space="preserve"> </w:t>
      </w:r>
      <w:r w:rsidRPr="008B0305">
        <w:t>přenosu</w:t>
      </w:r>
      <w:r>
        <w:t xml:space="preserve"> </w:t>
      </w:r>
      <w:r w:rsidRPr="008B0305">
        <w:t>informací</w:t>
      </w:r>
      <w:r>
        <w:t xml:space="preserve"> </w:t>
      </w:r>
      <w:r w:rsidRPr="008B0305">
        <w:t>pro</w:t>
      </w:r>
      <w:r>
        <w:t xml:space="preserve"> </w:t>
      </w:r>
      <w:r w:rsidRPr="008B0305">
        <w:t>činnost</w:t>
      </w:r>
      <w:r>
        <w:t xml:space="preserve"> </w:t>
      </w:r>
      <w:r w:rsidRPr="008B0305">
        <w:t>výpočetní</w:t>
      </w:r>
      <w:r>
        <w:t xml:space="preserve"> </w:t>
      </w:r>
      <w:r w:rsidRPr="008B0305">
        <w:t>techniky</w:t>
      </w:r>
      <w:r>
        <w:t xml:space="preserve"> </w:t>
      </w:r>
      <w:r w:rsidRPr="008B0305">
        <w:t>a</w:t>
      </w:r>
      <w:r>
        <w:t xml:space="preserve"> </w:t>
      </w:r>
      <w:r w:rsidRPr="008B0305">
        <w:t>informačních</w:t>
      </w:r>
      <w:r>
        <w:t xml:space="preserve"> </w:t>
      </w:r>
      <w:r w:rsidRPr="008B0305">
        <w:t>systémů.</w:t>
      </w:r>
    </w:p>
    <w:p w14:paraId="3C98DFBE" w14:textId="77777777" w:rsidR="008B568E" w:rsidRDefault="008B568E" w:rsidP="0010420C">
      <w:pPr>
        <w:pStyle w:val="Textparagrafu"/>
        <w:tabs>
          <w:tab w:val="left" w:pos="392"/>
          <w:tab w:val="left" w:pos="840"/>
        </w:tabs>
        <w:spacing w:before="120" w:after="120"/>
      </w:pPr>
      <w:r w:rsidRPr="008B0305">
        <w:t>(6)</w:t>
      </w:r>
      <w:r>
        <w:t xml:space="preserve"> </w:t>
      </w:r>
      <w:r w:rsidRPr="008B0305">
        <w:t>V</w:t>
      </w:r>
      <w:r>
        <w:t xml:space="preserve"> </w:t>
      </w:r>
      <w:r w:rsidRPr="008B0305">
        <w:t>případech</w:t>
      </w:r>
      <w:r>
        <w:t xml:space="preserve"> </w:t>
      </w:r>
      <w:r w:rsidRPr="008B0305">
        <w:t>uvedených</w:t>
      </w:r>
      <w:r>
        <w:t xml:space="preserve"> </w:t>
      </w:r>
      <w:r w:rsidRPr="008B0305">
        <w:t>v</w:t>
      </w:r>
      <w:r>
        <w:t xml:space="preserve"> </w:t>
      </w:r>
      <w:r w:rsidRPr="008B0305">
        <w:t>odstavci</w:t>
      </w:r>
      <w:r>
        <w:t xml:space="preserve"> </w:t>
      </w:r>
      <w:r w:rsidRPr="008B0305">
        <w:t>4</w:t>
      </w:r>
      <w:r>
        <w:t xml:space="preserve"> </w:t>
      </w:r>
      <w:r w:rsidRPr="008B0305">
        <w:t>je</w:t>
      </w:r>
      <w:r>
        <w:t xml:space="preserve"> </w:t>
      </w:r>
      <w:r w:rsidRPr="008B0305">
        <w:t>právo</w:t>
      </w:r>
      <w:r>
        <w:t xml:space="preserve"> </w:t>
      </w:r>
      <w:r w:rsidRPr="008B0305">
        <w:t>na</w:t>
      </w:r>
      <w:r>
        <w:t xml:space="preserve"> </w:t>
      </w:r>
      <w:r w:rsidRPr="008B0305">
        <w:t>náhradu</w:t>
      </w:r>
      <w:r>
        <w:t xml:space="preserve"> </w:t>
      </w:r>
      <w:r w:rsidRPr="008B0305">
        <w:t>škody</w:t>
      </w:r>
      <w:r>
        <w:t xml:space="preserve"> </w:t>
      </w:r>
      <w:r w:rsidRPr="008B0305">
        <w:t>vyloučeno.</w:t>
      </w:r>
      <w:r>
        <w:t xml:space="preserve"> </w:t>
      </w:r>
      <w:r w:rsidRPr="008B0305">
        <w:t>Toto</w:t>
      </w:r>
      <w:r>
        <w:t xml:space="preserve"> </w:t>
      </w:r>
      <w:r w:rsidRPr="008B0305">
        <w:t>neplatí,</w:t>
      </w:r>
      <w:r>
        <w:t xml:space="preserve"> </w:t>
      </w:r>
      <w:r w:rsidRPr="008B0305">
        <w:t>nesplní-li</w:t>
      </w:r>
      <w:r>
        <w:t xml:space="preserve"> </w:t>
      </w:r>
      <w:r w:rsidRPr="008B0305">
        <w:t>dodavatel</w:t>
      </w:r>
      <w:r>
        <w:t xml:space="preserve"> </w:t>
      </w:r>
      <w:r w:rsidRPr="008B0305">
        <w:t>tepelné</w:t>
      </w:r>
      <w:r>
        <w:t xml:space="preserve"> </w:t>
      </w:r>
      <w:r w:rsidRPr="008B0305">
        <w:t>energie</w:t>
      </w:r>
      <w:r>
        <w:t xml:space="preserve"> </w:t>
      </w:r>
      <w:r w:rsidRPr="008B0305">
        <w:t>oznamovací</w:t>
      </w:r>
      <w:r>
        <w:t xml:space="preserve"> </w:t>
      </w:r>
      <w:r w:rsidRPr="008B0305">
        <w:t>povinnost</w:t>
      </w:r>
      <w:r>
        <w:t xml:space="preserve"> </w:t>
      </w:r>
      <w:r w:rsidRPr="008B0305">
        <w:t>uloženou</w:t>
      </w:r>
      <w:r>
        <w:t xml:space="preserve"> </w:t>
      </w:r>
      <w:r w:rsidRPr="008B0305">
        <w:t>podle</w:t>
      </w:r>
      <w:r>
        <w:t xml:space="preserve"> </w:t>
      </w:r>
      <w:r w:rsidRPr="008B0305">
        <w:t>odstavce</w:t>
      </w:r>
      <w:r>
        <w:t xml:space="preserve"> </w:t>
      </w:r>
      <w:r w:rsidRPr="008B0305">
        <w:t>4</w:t>
      </w:r>
      <w:r>
        <w:t xml:space="preserve"> </w:t>
      </w:r>
      <w:r w:rsidRPr="008B0305">
        <w:t>písm.</w:t>
      </w:r>
      <w:r>
        <w:t xml:space="preserve"> </w:t>
      </w:r>
      <w:r w:rsidRPr="008B0305">
        <w:t>c)</w:t>
      </w:r>
      <w:r>
        <w:t xml:space="preserve"> </w:t>
      </w:r>
      <w:r w:rsidRPr="008B0305">
        <w:t>nebo</w:t>
      </w:r>
      <w:r>
        <w:t xml:space="preserve"> </w:t>
      </w:r>
      <w:r w:rsidRPr="008B0305">
        <w:t>v</w:t>
      </w:r>
      <w:r>
        <w:t xml:space="preserve"> </w:t>
      </w:r>
      <w:r w:rsidRPr="008B0305">
        <w:t>případech,</w:t>
      </w:r>
      <w:r>
        <w:t xml:space="preserve"> </w:t>
      </w:r>
      <w:r w:rsidRPr="008B0305">
        <w:t>kdy</w:t>
      </w:r>
      <w:r>
        <w:t xml:space="preserve"> </w:t>
      </w:r>
      <w:r w:rsidRPr="008B0305">
        <w:t>poruchu</w:t>
      </w:r>
      <w:r>
        <w:t xml:space="preserve"> </w:t>
      </w:r>
      <w:r w:rsidRPr="008B0305">
        <w:t>prokazatelně</w:t>
      </w:r>
      <w:r>
        <w:t xml:space="preserve"> </w:t>
      </w:r>
      <w:r w:rsidRPr="008B0305">
        <w:t>zavinil</w:t>
      </w:r>
      <w:r>
        <w:t xml:space="preserve"> </w:t>
      </w:r>
      <w:r w:rsidRPr="008B0305">
        <w:t>dodavatel</w:t>
      </w:r>
      <w:r>
        <w:t xml:space="preserve"> </w:t>
      </w:r>
      <w:r w:rsidRPr="008B0305">
        <w:t>tepelné</w:t>
      </w:r>
      <w:r>
        <w:t xml:space="preserve"> </w:t>
      </w:r>
      <w:r w:rsidRPr="008B0305">
        <w:t>energie.</w:t>
      </w:r>
    </w:p>
    <w:p w14:paraId="4FCC503E" w14:textId="3B963A23" w:rsidR="008B568E" w:rsidRDefault="008B568E" w:rsidP="0010420C">
      <w:pPr>
        <w:pStyle w:val="Textparagrafu"/>
        <w:tabs>
          <w:tab w:val="left" w:pos="392"/>
          <w:tab w:val="left" w:pos="840"/>
        </w:tabs>
        <w:spacing w:before="120" w:after="120"/>
      </w:pPr>
      <w:r w:rsidRPr="008B0305">
        <w:t>(7)</w:t>
      </w:r>
      <w:r>
        <w:t xml:space="preserve"> </w:t>
      </w:r>
      <w:r w:rsidRPr="008B0305">
        <w:t>Držitel</w:t>
      </w:r>
      <w:r>
        <w:t xml:space="preserve"> </w:t>
      </w:r>
      <w:r w:rsidRPr="008B0305">
        <w:t>licence</w:t>
      </w:r>
      <w:r>
        <w:t xml:space="preserve"> </w:t>
      </w:r>
      <w:r w:rsidRPr="008B0305">
        <w:t>na</w:t>
      </w:r>
      <w:r>
        <w:t xml:space="preserve"> </w:t>
      </w:r>
      <w:r w:rsidRPr="008B0305">
        <w:t>rozvod</w:t>
      </w:r>
      <w:r>
        <w:t xml:space="preserve"> </w:t>
      </w:r>
      <w:r w:rsidRPr="008B0305">
        <w:t>tepelné</w:t>
      </w:r>
      <w:r>
        <w:t xml:space="preserve"> </w:t>
      </w:r>
      <w:r w:rsidRPr="008B0305">
        <w:t>energie</w:t>
      </w:r>
      <w:r>
        <w:t xml:space="preserve"> </w:t>
      </w:r>
      <w:r w:rsidRPr="008B0305">
        <w:t>je</w:t>
      </w:r>
      <w:r>
        <w:t xml:space="preserve"> </w:t>
      </w:r>
      <w:r w:rsidRPr="008B0305">
        <w:t>povinen</w:t>
      </w:r>
      <w:r>
        <w:t xml:space="preserve"> </w:t>
      </w:r>
      <w:r w:rsidRPr="008B0305">
        <w:t>zřídit</w:t>
      </w:r>
      <w:r>
        <w:t xml:space="preserve"> </w:t>
      </w:r>
      <w:r w:rsidRPr="008B0305">
        <w:t>věcné</w:t>
      </w:r>
      <w:r>
        <w:t xml:space="preserve"> </w:t>
      </w:r>
      <w:r w:rsidRPr="008B0305">
        <w:t>břemeno</w:t>
      </w:r>
      <w:r>
        <w:t xml:space="preserve"> </w:t>
      </w:r>
      <w:r w:rsidRPr="008B0305">
        <w:t>umožňující</w:t>
      </w:r>
      <w:r>
        <w:t xml:space="preserve"> </w:t>
      </w:r>
      <w:r w:rsidRPr="008B0305">
        <w:t>využití</w:t>
      </w:r>
      <w:r>
        <w:t xml:space="preserve"> </w:t>
      </w:r>
      <w:r w:rsidRPr="008B0305">
        <w:t>cizí</w:t>
      </w:r>
      <w:r>
        <w:t xml:space="preserve"> </w:t>
      </w:r>
      <w:r w:rsidRPr="008B0305">
        <w:t>nemovitosti</w:t>
      </w:r>
      <w:r>
        <w:t xml:space="preserve"> </w:t>
      </w:r>
      <w:r w:rsidRPr="008B0305">
        <w:t>nebo</w:t>
      </w:r>
      <w:r>
        <w:t xml:space="preserve"> </w:t>
      </w:r>
      <w:r w:rsidRPr="008B0305">
        <w:t>její</w:t>
      </w:r>
      <w:r>
        <w:t xml:space="preserve"> </w:t>
      </w:r>
      <w:r w:rsidRPr="008B0305">
        <w:t>části</w:t>
      </w:r>
      <w:r>
        <w:t xml:space="preserve"> </w:t>
      </w:r>
      <w:r w:rsidRPr="008B0305">
        <w:t>pro</w:t>
      </w:r>
      <w:r>
        <w:t xml:space="preserve"> </w:t>
      </w:r>
      <w:r w:rsidRPr="008B0305">
        <w:t>účely</w:t>
      </w:r>
      <w:r>
        <w:t xml:space="preserve"> </w:t>
      </w:r>
      <w:r w:rsidRPr="008B0305">
        <w:t>uvedené</w:t>
      </w:r>
      <w:r>
        <w:t xml:space="preserve"> </w:t>
      </w:r>
      <w:r w:rsidRPr="008B0305">
        <w:t>v</w:t>
      </w:r>
      <w:r>
        <w:t xml:space="preserve"> </w:t>
      </w:r>
      <w:r w:rsidRPr="008B0305">
        <w:t>odstavci</w:t>
      </w:r>
      <w:r>
        <w:t xml:space="preserve"> </w:t>
      </w:r>
      <w:r w:rsidRPr="008B0305">
        <w:t>5</w:t>
      </w:r>
      <w:r>
        <w:t xml:space="preserve"> </w:t>
      </w:r>
      <w:r w:rsidRPr="008B0305">
        <w:t>písm.</w:t>
      </w:r>
      <w:r>
        <w:t xml:space="preserve"> </w:t>
      </w:r>
      <w:r w:rsidRPr="008B0305">
        <w:t>a),</w:t>
      </w:r>
      <w:r>
        <w:t xml:space="preserve"> </w:t>
      </w:r>
      <w:r w:rsidRPr="008B0305">
        <w:t>a</w:t>
      </w:r>
      <w:r>
        <w:t xml:space="preserve"> </w:t>
      </w:r>
      <w:r w:rsidRPr="008B0305">
        <w:t>to</w:t>
      </w:r>
      <w:r>
        <w:t xml:space="preserve"> </w:t>
      </w:r>
      <w:r w:rsidRPr="008B0305">
        <w:t>smluvně</w:t>
      </w:r>
      <w:r>
        <w:t xml:space="preserve"> </w:t>
      </w:r>
      <w:r w:rsidRPr="008B0305">
        <w:t>s</w:t>
      </w:r>
      <w:r>
        <w:t xml:space="preserve"> </w:t>
      </w:r>
      <w:r w:rsidRPr="008B0305">
        <w:t>vlastníkem</w:t>
      </w:r>
      <w:r>
        <w:t xml:space="preserve"> </w:t>
      </w:r>
      <w:r w:rsidRPr="008B0305">
        <w:t>nemovitosti</w:t>
      </w:r>
      <w:r>
        <w:t xml:space="preserve"> </w:t>
      </w:r>
      <w:r w:rsidRPr="008B0305">
        <w:t>za</w:t>
      </w:r>
      <w:r>
        <w:t xml:space="preserve"> </w:t>
      </w:r>
      <w:r w:rsidRPr="008B0305">
        <w:t>jednorázovou</w:t>
      </w:r>
      <w:r>
        <w:t xml:space="preserve"> </w:t>
      </w:r>
      <w:r w:rsidRPr="008B0305">
        <w:t>náhradu</w:t>
      </w:r>
      <w:r>
        <w:t xml:space="preserve"> </w:t>
      </w:r>
      <w:r w:rsidRPr="008B0305">
        <w:t>ve</w:t>
      </w:r>
      <w:r>
        <w:t xml:space="preserve"> </w:t>
      </w:r>
      <w:r w:rsidRPr="008B0305">
        <w:t>výši</w:t>
      </w:r>
      <w:r>
        <w:t xml:space="preserve"> </w:t>
      </w:r>
      <w:r w:rsidRPr="002B7DCD">
        <w:rPr>
          <w:strike/>
        </w:rPr>
        <w:t xml:space="preserve">ceny zjištěné podle oceňovacího předpisu </w:t>
      </w:r>
      <w:r w:rsidRPr="002B7DCD">
        <w:rPr>
          <w:strike/>
          <w:vertAlign w:val="superscript"/>
        </w:rPr>
        <w:t>47)</w:t>
      </w:r>
      <w:r w:rsidR="002B7DCD" w:rsidRPr="002B7DCD">
        <w:rPr>
          <w:b/>
          <w:bCs/>
        </w:rPr>
        <w:t xml:space="preserve"> </w:t>
      </w:r>
      <w:r w:rsidR="002B7DCD" w:rsidRPr="00533343">
        <w:rPr>
          <w:b/>
          <w:bCs/>
        </w:rPr>
        <w:t>zjištěné hodnoty podle zákona o oceňování</w:t>
      </w:r>
      <w:r w:rsidRPr="008B0305">
        <w:t>,</w:t>
      </w:r>
      <w:r>
        <w:t xml:space="preserve"> </w:t>
      </w:r>
      <w:r w:rsidRPr="008B0305">
        <w:t>pokud</w:t>
      </w:r>
      <w:r>
        <w:t xml:space="preserve"> </w:t>
      </w:r>
      <w:r w:rsidRPr="008B0305">
        <w:t>se</w:t>
      </w:r>
      <w:r>
        <w:t xml:space="preserve"> </w:t>
      </w:r>
      <w:r w:rsidRPr="008B0305">
        <w:t>strany</w:t>
      </w:r>
      <w:r>
        <w:t xml:space="preserve"> </w:t>
      </w:r>
      <w:r w:rsidRPr="008B0305">
        <w:t>nedohodnou</w:t>
      </w:r>
      <w:r>
        <w:t xml:space="preserve"> </w:t>
      </w:r>
      <w:r w:rsidRPr="008B0305">
        <w:t>jinak;</w:t>
      </w:r>
      <w:r>
        <w:t xml:space="preserve"> </w:t>
      </w:r>
      <w:r w:rsidRPr="008B0305">
        <w:t>to</w:t>
      </w:r>
      <w:r>
        <w:t xml:space="preserve"> </w:t>
      </w:r>
      <w:r w:rsidRPr="008B0305">
        <w:t>neplatí,</w:t>
      </w:r>
      <w:r>
        <w:t xml:space="preserve"> </w:t>
      </w:r>
      <w:r w:rsidRPr="008B0305">
        <w:t>pokud</w:t>
      </w:r>
      <w:r>
        <w:t xml:space="preserve"> </w:t>
      </w:r>
      <w:r w:rsidRPr="008B0305">
        <w:t>držitel</w:t>
      </w:r>
      <w:r>
        <w:t xml:space="preserve"> </w:t>
      </w:r>
      <w:r w:rsidRPr="008B0305">
        <w:t>licence</w:t>
      </w:r>
      <w:r>
        <w:t xml:space="preserve"> </w:t>
      </w:r>
      <w:r w:rsidRPr="008B0305">
        <w:t>na</w:t>
      </w:r>
      <w:r>
        <w:t xml:space="preserve"> </w:t>
      </w:r>
      <w:r w:rsidRPr="008B0305">
        <w:t>rozvod</w:t>
      </w:r>
      <w:r>
        <w:t xml:space="preserve"> </w:t>
      </w:r>
      <w:r w:rsidRPr="008B0305">
        <w:t>tepelné</w:t>
      </w:r>
      <w:r>
        <w:t xml:space="preserve"> </w:t>
      </w:r>
      <w:r w:rsidRPr="008B0305">
        <w:t>energie</w:t>
      </w:r>
      <w:r>
        <w:t xml:space="preserve"> </w:t>
      </w:r>
      <w:r w:rsidRPr="008B0305">
        <w:t>není</w:t>
      </w:r>
      <w:r>
        <w:t xml:space="preserve"> </w:t>
      </w:r>
      <w:r w:rsidRPr="008B0305">
        <w:t>vlastníkem</w:t>
      </w:r>
      <w:r>
        <w:t xml:space="preserve"> </w:t>
      </w:r>
      <w:r w:rsidRPr="008B0305">
        <w:t>dotčeného</w:t>
      </w:r>
      <w:r>
        <w:t xml:space="preserve"> </w:t>
      </w:r>
      <w:r w:rsidRPr="008B0305">
        <w:t>rozvodného</w:t>
      </w:r>
      <w:r>
        <w:t xml:space="preserve"> </w:t>
      </w:r>
      <w:r w:rsidRPr="008B0305">
        <w:t>tepelného</w:t>
      </w:r>
      <w:r>
        <w:t xml:space="preserve"> </w:t>
      </w:r>
      <w:r w:rsidRPr="008B0305">
        <w:t>zařízení;</w:t>
      </w:r>
      <w:r>
        <w:t xml:space="preserve"> </w:t>
      </w:r>
      <w:r w:rsidRPr="008B0305">
        <w:t>v</w:t>
      </w:r>
      <w:r>
        <w:t xml:space="preserve"> </w:t>
      </w:r>
      <w:r w:rsidRPr="008B0305">
        <w:t>takovém</w:t>
      </w:r>
      <w:r>
        <w:t xml:space="preserve"> </w:t>
      </w:r>
      <w:r w:rsidRPr="008B0305">
        <w:t>případě</w:t>
      </w:r>
      <w:r>
        <w:t xml:space="preserve"> </w:t>
      </w:r>
      <w:r w:rsidRPr="008B0305">
        <w:t>plní</w:t>
      </w:r>
      <w:r>
        <w:t xml:space="preserve"> </w:t>
      </w:r>
      <w:r w:rsidRPr="008B0305">
        <w:t>tuto</w:t>
      </w:r>
      <w:r>
        <w:t xml:space="preserve"> </w:t>
      </w:r>
      <w:r w:rsidRPr="008B0305">
        <w:t>povinnost</w:t>
      </w:r>
      <w:r>
        <w:t xml:space="preserve"> </w:t>
      </w:r>
      <w:r w:rsidRPr="008B0305">
        <w:t>vlastník</w:t>
      </w:r>
      <w:r>
        <w:t xml:space="preserve"> </w:t>
      </w:r>
      <w:r w:rsidRPr="008B0305">
        <w:t>rozvodného</w:t>
      </w:r>
      <w:r>
        <w:t xml:space="preserve"> </w:t>
      </w:r>
      <w:r w:rsidRPr="008B0305">
        <w:t>tepelného</w:t>
      </w:r>
      <w:r>
        <w:t xml:space="preserve"> </w:t>
      </w:r>
      <w:r w:rsidRPr="008B0305">
        <w:t>zařízení.</w:t>
      </w:r>
      <w:r>
        <w:t xml:space="preserve"> </w:t>
      </w:r>
      <w:r w:rsidRPr="008B0305">
        <w:t>V</w:t>
      </w:r>
      <w:r>
        <w:t xml:space="preserve"> </w:t>
      </w:r>
      <w:r w:rsidRPr="008B0305">
        <w:t>případě,</w:t>
      </w:r>
      <w:r>
        <w:t xml:space="preserve"> </w:t>
      </w:r>
      <w:r w:rsidRPr="008B0305">
        <w:t>že</w:t>
      </w:r>
      <w:r>
        <w:t xml:space="preserve"> </w:t>
      </w:r>
      <w:r w:rsidRPr="008B0305">
        <w:t>vlastník</w:t>
      </w:r>
      <w:r>
        <w:t xml:space="preserve"> </w:t>
      </w:r>
      <w:r w:rsidRPr="008B0305">
        <w:t>není</w:t>
      </w:r>
      <w:r>
        <w:t xml:space="preserve"> </w:t>
      </w:r>
      <w:r w:rsidRPr="008B0305">
        <w:t>znám</w:t>
      </w:r>
      <w:r>
        <w:t xml:space="preserve"> </w:t>
      </w:r>
      <w:r w:rsidRPr="008B0305">
        <w:t>nebo</w:t>
      </w:r>
      <w:r>
        <w:t xml:space="preserve"> </w:t>
      </w:r>
      <w:r w:rsidRPr="008B0305">
        <w:t>není</w:t>
      </w:r>
      <w:r>
        <w:t xml:space="preserve"> </w:t>
      </w:r>
      <w:r w:rsidRPr="008B0305">
        <w:t>určen</w:t>
      </w:r>
      <w:r>
        <w:t xml:space="preserve"> </w:t>
      </w:r>
      <w:r w:rsidRPr="008B0305">
        <w:t>nebo</w:t>
      </w:r>
      <w:r>
        <w:t xml:space="preserve"> </w:t>
      </w:r>
      <w:r w:rsidRPr="008B0305">
        <w:t>proto,</w:t>
      </w:r>
      <w:r>
        <w:t xml:space="preserve"> </w:t>
      </w:r>
      <w:r w:rsidRPr="008B0305">
        <w:t>že</w:t>
      </w:r>
      <w:r>
        <w:t xml:space="preserve"> </w:t>
      </w:r>
      <w:r w:rsidRPr="008B0305">
        <w:t>je</w:t>
      </w:r>
      <w:r>
        <w:t xml:space="preserve"> </w:t>
      </w:r>
      <w:r w:rsidRPr="008B0305">
        <w:t>prokazatelně</w:t>
      </w:r>
      <w:r>
        <w:t xml:space="preserve"> </w:t>
      </w:r>
      <w:r w:rsidRPr="008B0305">
        <w:t>nedosažitelný</w:t>
      </w:r>
      <w:r>
        <w:t xml:space="preserve"> </w:t>
      </w:r>
      <w:r w:rsidRPr="008B0305">
        <w:t>nebo</w:t>
      </w:r>
      <w:r>
        <w:t xml:space="preserve"> </w:t>
      </w:r>
      <w:r w:rsidRPr="008B0305">
        <w:t>nečinný</w:t>
      </w:r>
      <w:r>
        <w:t xml:space="preserve"> </w:t>
      </w:r>
      <w:r w:rsidRPr="008B0305">
        <w:t>nebo</w:t>
      </w:r>
      <w:r>
        <w:t xml:space="preserve"> </w:t>
      </w:r>
      <w:r w:rsidRPr="008B0305">
        <w:t>nedošlo</w:t>
      </w:r>
      <w:r>
        <w:t xml:space="preserve"> </w:t>
      </w:r>
      <w:r w:rsidRPr="008B0305">
        <w:t>k</w:t>
      </w:r>
      <w:r>
        <w:t xml:space="preserve"> </w:t>
      </w:r>
      <w:r w:rsidRPr="008B0305">
        <w:t>dohodě</w:t>
      </w:r>
      <w:r>
        <w:t xml:space="preserve"> </w:t>
      </w:r>
      <w:r w:rsidRPr="008B0305">
        <w:t>s</w:t>
      </w:r>
      <w:r>
        <w:t xml:space="preserve"> </w:t>
      </w:r>
      <w:r w:rsidRPr="008B0305">
        <w:t>ním</w:t>
      </w:r>
      <w:r>
        <w:t xml:space="preserve"> </w:t>
      </w:r>
      <w:r w:rsidRPr="008B0305">
        <w:t>a</w:t>
      </w:r>
      <w:r>
        <w:t xml:space="preserve"> </w:t>
      </w:r>
      <w:r w:rsidRPr="008B0305">
        <w:t>jsou-li</w:t>
      </w:r>
      <w:r>
        <w:t xml:space="preserve"> </w:t>
      </w:r>
      <w:r w:rsidRPr="008B0305">
        <w:t>dány</w:t>
      </w:r>
      <w:r>
        <w:t xml:space="preserve"> </w:t>
      </w:r>
      <w:r w:rsidRPr="008B0305">
        <w:t>podmínky</w:t>
      </w:r>
      <w:r>
        <w:t xml:space="preserve"> </w:t>
      </w:r>
      <w:r w:rsidRPr="008B0305">
        <w:t>pro</w:t>
      </w:r>
      <w:r>
        <w:t xml:space="preserve"> </w:t>
      </w:r>
      <w:r w:rsidRPr="008B0305">
        <w:t>omezení</w:t>
      </w:r>
      <w:r>
        <w:t xml:space="preserve"> </w:t>
      </w:r>
      <w:r w:rsidRPr="008B0305">
        <w:t>vlastnického</w:t>
      </w:r>
      <w:r>
        <w:t xml:space="preserve"> </w:t>
      </w:r>
      <w:r w:rsidRPr="008B0305">
        <w:t>práva</w:t>
      </w:r>
      <w:r>
        <w:t xml:space="preserve"> </w:t>
      </w:r>
      <w:r w:rsidRPr="008B0305">
        <w:t>k</w:t>
      </w:r>
      <w:r>
        <w:t xml:space="preserve"> </w:t>
      </w:r>
      <w:r w:rsidRPr="008B0305">
        <w:t>pozemku</w:t>
      </w:r>
      <w:r>
        <w:t xml:space="preserve"> </w:t>
      </w:r>
      <w:r w:rsidRPr="008B0305">
        <w:t>nebo</w:t>
      </w:r>
      <w:r>
        <w:t xml:space="preserve"> </w:t>
      </w:r>
      <w:r w:rsidRPr="008B0305">
        <w:t>ke</w:t>
      </w:r>
      <w:r>
        <w:t xml:space="preserve"> </w:t>
      </w:r>
      <w:r w:rsidRPr="008B0305">
        <w:t>stavbě</w:t>
      </w:r>
      <w:r>
        <w:t xml:space="preserve"> </w:t>
      </w:r>
      <w:r w:rsidRPr="008B0305">
        <w:t>podle</w:t>
      </w:r>
      <w:r>
        <w:t xml:space="preserve"> </w:t>
      </w:r>
      <w:r w:rsidRPr="008B0305">
        <w:t>zvláštního</w:t>
      </w:r>
      <w:r>
        <w:t xml:space="preserve"> </w:t>
      </w:r>
      <w:r w:rsidRPr="008B0305">
        <w:t>právního</w:t>
      </w:r>
      <w:r>
        <w:t xml:space="preserve"> </w:t>
      </w:r>
      <w:r w:rsidRPr="008B0305">
        <w:t>předpisu</w:t>
      </w:r>
      <w:r w:rsidRPr="005615B4">
        <w:rPr>
          <w:vertAlign w:val="superscript"/>
        </w:rPr>
        <w:t>4e)</w:t>
      </w:r>
      <w:r w:rsidRPr="008B0305">
        <w:t>,</w:t>
      </w:r>
      <w:r>
        <w:t xml:space="preserve"> </w:t>
      </w:r>
      <w:r w:rsidRPr="008B0305">
        <w:t>příslušný</w:t>
      </w:r>
      <w:r>
        <w:t xml:space="preserve"> </w:t>
      </w:r>
      <w:r w:rsidRPr="008B0305">
        <w:t>vyvlastňovací</w:t>
      </w:r>
      <w:r>
        <w:t xml:space="preserve"> </w:t>
      </w:r>
      <w:r w:rsidRPr="008B0305">
        <w:t>úřad</w:t>
      </w:r>
      <w:r>
        <w:t xml:space="preserve"> </w:t>
      </w:r>
      <w:r w:rsidRPr="008B0305">
        <w:t>rozhodne</w:t>
      </w:r>
      <w:r>
        <w:t xml:space="preserve"> </w:t>
      </w:r>
      <w:r w:rsidRPr="008B0305">
        <w:t>na</w:t>
      </w:r>
      <w:r>
        <w:t xml:space="preserve"> </w:t>
      </w:r>
      <w:r w:rsidRPr="008B0305">
        <w:t>návrh</w:t>
      </w:r>
      <w:r>
        <w:t xml:space="preserve"> </w:t>
      </w:r>
      <w:r w:rsidRPr="008B0305">
        <w:t>provozovatele</w:t>
      </w:r>
      <w:r>
        <w:t xml:space="preserve"> </w:t>
      </w:r>
      <w:r w:rsidRPr="008B0305">
        <w:t>rozvodného</w:t>
      </w:r>
      <w:r>
        <w:t xml:space="preserve"> </w:t>
      </w:r>
      <w:r w:rsidRPr="008B0305">
        <w:t>tepelného</w:t>
      </w:r>
      <w:r>
        <w:t xml:space="preserve"> </w:t>
      </w:r>
      <w:r w:rsidRPr="008B0305">
        <w:t>zařízení</w:t>
      </w:r>
      <w:r>
        <w:t xml:space="preserve"> </w:t>
      </w:r>
      <w:r w:rsidRPr="008B0305">
        <w:t>o</w:t>
      </w:r>
      <w:r>
        <w:t xml:space="preserve"> </w:t>
      </w:r>
      <w:r w:rsidRPr="008B0305">
        <w:t>zřízení</w:t>
      </w:r>
      <w:r>
        <w:t xml:space="preserve"> </w:t>
      </w:r>
      <w:r w:rsidRPr="008B0305">
        <w:t>věcného</w:t>
      </w:r>
      <w:r>
        <w:t xml:space="preserve"> </w:t>
      </w:r>
      <w:r w:rsidRPr="008B0305">
        <w:t>břemene</w:t>
      </w:r>
      <w:r>
        <w:t xml:space="preserve"> </w:t>
      </w:r>
      <w:r w:rsidRPr="008B0305">
        <w:t>umožňujícího</w:t>
      </w:r>
      <w:r>
        <w:t xml:space="preserve"> </w:t>
      </w:r>
      <w:r w:rsidRPr="008B0305">
        <w:t>využití</w:t>
      </w:r>
      <w:r>
        <w:t xml:space="preserve"> </w:t>
      </w:r>
      <w:r w:rsidRPr="008B0305">
        <w:t>této</w:t>
      </w:r>
      <w:r>
        <w:t xml:space="preserve"> </w:t>
      </w:r>
      <w:r w:rsidRPr="008B0305">
        <w:t>nemovitosti</w:t>
      </w:r>
      <w:r>
        <w:t xml:space="preserve"> </w:t>
      </w:r>
      <w:r w:rsidRPr="008B0305">
        <w:t>nebo</w:t>
      </w:r>
      <w:r>
        <w:t xml:space="preserve"> </w:t>
      </w:r>
      <w:r w:rsidRPr="008B0305">
        <w:t>její</w:t>
      </w:r>
      <w:r>
        <w:t xml:space="preserve"> </w:t>
      </w:r>
      <w:r w:rsidRPr="008B0305">
        <w:t>části.</w:t>
      </w:r>
      <w:r>
        <w:t xml:space="preserve"> </w:t>
      </w:r>
      <w:r w:rsidRPr="008B0305">
        <w:t>To</w:t>
      </w:r>
      <w:r>
        <w:t xml:space="preserve"> </w:t>
      </w:r>
      <w:r w:rsidRPr="008B0305">
        <w:t>platí</w:t>
      </w:r>
      <w:r>
        <w:t xml:space="preserve"> </w:t>
      </w:r>
      <w:r w:rsidRPr="008B0305">
        <w:t>i</w:t>
      </w:r>
      <w:r>
        <w:t xml:space="preserve"> </w:t>
      </w:r>
      <w:r w:rsidRPr="008B0305">
        <w:t>v</w:t>
      </w:r>
      <w:r>
        <w:t xml:space="preserve"> </w:t>
      </w:r>
      <w:r w:rsidRPr="008B0305">
        <w:t>případě,</w:t>
      </w:r>
      <w:r>
        <w:t xml:space="preserve"> </w:t>
      </w:r>
      <w:r w:rsidRPr="008B0305">
        <w:t>kdy</w:t>
      </w:r>
      <w:r>
        <w:t xml:space="preserve"> </w:t>
      </w:r>
      <w:r w:rsidRPr="008B0305">
        <w:t>je</w:t>
      </w:r>
      <w:r>
        <w:t xml:space="preserve"> </w:t>
      </w:r>
      <w:r w:rsidRPr="008B0305">
        <w:t>stavba,</w:t>
      </w:r>
      <w:r>
        <w:t xml:space="preserve"> </w:t>
      </w:r>
      <w:r w:rsidRPr="008B0305">
        <w:t>pro</w:t>
      </w:r>
      <w:r>
        <w:t xml:space="preserve"> </w:t>
      </w:r>
      <w:r w:rsidRPr="008B0305">
        <w:t>kterou</w:t>
      </w:r>
      <w:r>
        <w:t xml:space="preserve"> </w:t>
      </w:r>
      <w:r w:rsidRPr="008B0305">
        <w:t>se</w:t>
      </w:r>
      <w:r>
        <w:t xml:space="preserve"> </w:t>
      </w:r>
      <w:r w:rsidRPr="008B0305">
        <w:t>právo</w:t>
      </w:r>
      <w:r>
        <w:t xml:space="preserve"> </w:t>
      </w:r>
      <w:r w:rsidRPr="008B0305">
        <w:t>vyvlastňuje,</w:t>
      </w:r>
      <w:r>
        <w:t xml:space="preserve"> </w:t>
      </w:r>
      <w:r w:rsidRPr="008B0305">
        <w:t>zřizována</w:t>
      </w:r>
      <w:r>
        <w:t xml:space="preserve"> </w:t>
      </w:r>
      <w:r w:rsidRPr="008B0305">
        <w:t>nebo</w:t>
      </w:r>
      <w:r>
        <w:t xml:space="preserve"> </w:t>
      </w:r>
      <w:r w:rsidRPr="008B0305">
        <w:t>již</w:t>
      </w:r>
      <w:r>
        <w:t xml:space="preserve"> </w:t>
      </w:r>
      <w:r w:rsidRPr="008B0305">
        <w:t>byla</w:t>
      </w:r>
      <w:r>
        <w:t xml:space="preserve"> </w:t>
      </w:r>
      <w:r w:rsidRPr="008B0305">
        <w:t>zřízena</w:t>
      </w:r>
      <w:r>
        <w:t xml:space="preserve"> </w:t>
      </w:r>
      <w:r w:rsidRPr="008B0305">
        <w:t>a</w:t>
      </w:r>
      <w:r>
        <w:t xml:space="preserve"> </w:t>
      </w:r>
      <w:r w:rsidRPr="008B0305">
        <w:t>zřízení</w:t>
      </w:r>
      <w:r>
        <w:t xml:space="preserve"> </w:t>
      </w:r>
      <w:r w:rsidRPr="008B0305">
        <w:t>věcného</w:t>
      </w:r>
      <w:r>
        <w:t xml:space="preserve"> </w:t>
      </w:r>
      <w:r w:rsidRPr="008B0305">
        <w:t>břemene</w:t>
      </w:r>
      <w:r>
        <w:t xml:space="preserve"> </w:t>
      </w:r>
      <w:r w:rsidRPr="008B0305">
        <w:t>nezmařil</w:t>
      </w:r>
      <w:r>
        <w:t xml:space="preserve"> </w:t>
      </w:r>
      <w:r w:rsidRPr="008B0305">
        <w:t>držitel</w:t>
      </w:r>
      <w:r>
        <w:t xml:space="preserve"> </w:t>
      </w:r>
      <w:r w:rsidRPr="008B0305">
        <w:t>licence</w:t>
      </w:r>
      <w:r>
        <w:t xml:space="preserve"> </w:t>
      </w:r>
      <w:r w:rsidRPr="008B0305">
        <w:t>na</w:t>
      </w:r>
      <w:r>
        <w:t xml:space="preserve"> </w:t>
      </w:r>
      <w:r w:rsidRPr="008B0305">
        <w:t>rozvod</w:t>
      </w:r>
      <w:r>
        <w:t xml:space="preserve"> </w:t>
      </w:r>
      <w:r w:rsidRPr="008B0305">
        <w:t>tepelné</w:t>
      </w:r>
      <w:r>
        <w:t xml:space="preserve"> </w:t>
      </w:r>
      <w:r w:rsidRPr="008B0305">
        <w:t>energie</w:t>
      </w:r>
      <w:r>
        <w:t xml:space="preserve"> </w:t>
      </w:r>
      <w:r w:rsidRPr="008B0305">
        <w:t>nebo</w:t>
      </w:r>
      <w:r>
        <w:t xml:space="preserve"> </w:t>
      </w:r>
      <w:r w:rsidRPr="008B0305">
        <w:t>vlastník</w:t>
      </w:r>
      <w:r>
        <w:t xml:space="preserve"> </w:t>
      </w:r>
      <w:r w:rsidRPr="008B0305">
        <w:t>rozvodného</w:t>
      </w:r>
      <w:r>
        <w:t xml:space="preserve"> </w:t>
      </w:r>
      <w:r w:rsidRPr="008B0305">
        <w:t>tepelného</w:t>
      </w:r>
      <w:r>
        <w:t xml:space="preserve"> </w:t>
      </w:r>
      <w:r w:rsidRPr="008B0305">
        <w:t>zařízení.</w:t>
      </w:r>
    </w:p>
    <w:p w14:paraId="6C2F3AA7" w14:textId="77777777" w:rsidR="008B568E" w:rsidRDefault="008B568E" w:rsidP="0010420C">
      <w:pPr>
        <w:pStyle w:val="Textparagrafu"/>
        <w:tabs>
          <w:tab w:val="left" w:pos="392"/>
          <w:tab w:val="left" w:pos="840"/>
        </w:tabs>
        <w:spacing w:before="120" w:after="120"/>
      </w:pPr>
      <w:r w:rsidRPr="008B0305">
        <w:lastRenderedPageBreak/>
        <w:t>(8)</w:t>
      </w:r>
      <w:r>
        <w:t xml:space="preserve"> </w:t>
      </w:r>
      <w:r w:rsidRPr="008B0305">
        <w:t>Držitel</w:t>
      </w:r>
      <w:r>
        <w:t xml:space="preserve"> </w:t>
      </w:r>
      <w:r w:rsidRPr="008B0305">
        <w:t>licence</w:t>
      </w:r>
      <w:r>
        <w:t xml:space="preserve"> </w:t>
      </w:r>
      <w:r w:rsidRPr="008B0305">
        <w:t>na</w:t>
      </w:r>
      <w:r>
        <w:t xml:space="preserve"> </w:t>
      </w:r>
      <w:r w:rsidRPr="008B0305">
        <w:t>rozvod</w:t>
      </w:r>
      <w:r>
        <w:t xml:space="preserve"> </w:t>
      </w:r>
      <w:r w:rsidRPr="008B0305">
        <w:t>tepelné</w:t>
      </w:r>
      <w:r>
        <w:t xml:space="preserve"> </w:t>
      </w:r>
      <w:r w:rsidRPr="008B0305">
        <w:t>energie</w:t>
      </w:r>
      <w:r>
        <w:t xml:space="preserve"> </w:t>
      </w:r>
      <w:r w:rsidRPr="008B0305">
        <w:t>je</w:t>
      </w:r>
      <w:r>
        <w:t xml:space="preserve"> </w:t>
      </w:r>
      <w:r w:rsidRPr="008B0305">
        <w:t>povinen</w:t>
      </w:r>
      <w:r>
        <w:t xml:space="preserve"> </w:t>
      </w:r>
      <w:r w:rsidRPr="008B0305">
        <w:t>při</w:t>
      </w:r>
      <w:r>
        <w:t xml:space="preserve"> </w:t>
      </w:r>
      <w:r w:rsidRPr="008B0305">
        <w:t>výkonu</w:t>
      </w:r>
      <w:r>
        <w:t xml:space="preserve"> </w:t>
      </w:r>
      <w:r w:rsidRPr="008B0305">
        <w:t>oprávnění</w:t>
      </w:r>
      <w:r>
        <w:t xml:space="preserve"> </w:t>
      </w:r>
      <w:r w:rsidRPr="008B0305">
        <w:t>podle</w:t>
      </w:r>
      <w:r>
        <w:t xml:space="preserve"> </w:t>
      </w:r>
      <w:r w:rsidRPr="008B0305">
        <w:t>odstavce</w:t>
      </w:r>
      <w:r>
        <w:t xml:space="preserve"> </w:t>
      </w:r>
      <w:r w:rsidRPr="008B0305">
        <w:t>5</w:t>
      </w:r>
      <w:r>
        <w:t xml:space="preserve"> </w:t>
      </w:r>
      <w:r w:rsidRPr="008B0305">
        <w:t>písm.</w:t>
      </w:r>
      <w:r>
        <w:t xml:space="preserve"> </w:t>
      </w:r>
      <w:r w:rsidRPr="008B0305">
        <w:t>a)</w:t>
      </w:r>
      <w:r>
        <w:t xml:space="preserve"> </w:t>
      </w:r>
      <w:r w:rsidRPr="008B0305">
        <w:t>až</w:t>
      </w:r>
      <w:r>
        <w:t xml:space="preserve"> </w:t>
      </w:r>
      <w:r w:rsidRPr="008B0305">
        <w:t>d)</w:t>
      </w:r>
      <w:r>
        <w:t xml:space="preserve"> </w:t>
      </w:r>
      <w:r w:rsidRPr="008B0305">
        <w:t>co</w:t>
      </w:r>
      <w:r>
        <w:t xml:space="preserve"> </w:t>
      </w:r>
      <w:r w:rsidRPr="008B0305">
        <w:t>nejvíce</w:t>
      </w:r>
      <w:r>
        <w:t xml:space="preserve"> </w:t>
      </w:r>
      <w:r w:rsidRPr="008B0305">
        <w:t>šetřit</w:t>
      </w:r>
      <w:r>
        <w:t xml:space="preserve"> </w:t>
      </w:r>
      <w:r w:rsidRPr="008B0305">
        <w:t>práv</w:t>
      </w:r>
      <w:r>
        <w:t xml:space="preserve"> </w:t>
      </w:r>
      <w:r w:rsidRPr="008B0305">
        <w:t>vlastníků</w:t>
      </w:r>
      <w:r>
        <w:t xml:space="preserve"> </w:t>
      </w:r>
      <w:r w:rsidRPr="008B0305">
        <w:t>dotčených</w:t>
      </w:r>
      <w:r>
        <w:t xml:space="preserve"> </w:t>
      </w:r>
      <w:r w:rsidRPr="008B0305">
        <w:t>nemovitostí</w:t>
      </w:r>
      <w:r>
        <w:t xml:space="preserve"> </w:t>
      </w:r>
      <w:r w:rsidRPr="008B0305">
        <w:t>a</w:t>
      </w:r>
      <w:r>
        <w:t xml:space="preserve"> </w:t>
      </w:r>
      <w:r w:rsidRPr="008B0305">
        <w:t>vstup</w:t>
      </w:r>
      <w:r>
        <w:t xml:space="preserve"> </w:t>
      </w:r>
      <w:r w:rsidRPr="008B0305">
        <w:t>nebo</w:t>
      </w:r>
      <w:r>
        <w:t xml:space="preserve"> </w:t>
      </w:r>
      <w:r w:rsidRPr="008B0305">
        <w:t>vjezd</w:t>
      </w:r>
      <w:r>
        <w:t xml:space="preserve"> </w:t>
      </w:r>
      <w:r w:rsidRPr="008B0305">
        <w:t>na</w:t>
      </w:r>
      <w:r>
        <w:t xml:space="preserve"> </w:t>
      </w:r>
      <w:r w:rsidRPr="008B0305">
        <w:t>jejich</w:t>
      </w:r>
      <w:r>
        <w:t xml:space="preserve"> </w:t>
      </w:r>
      <w:r w:rsidRPr="008B0305">
        <w:t>nemovitosti</w:t>
      </w:r>
      <w:r>
        <w:t xml:space="preserve"> </w:t>
      </w:r>
      <w:r w:rsidRPr="008B0305">
        <w:t>jim</w:t>
      </w:r>
      <w:r>
        <w:t xml:space="preserve"> </w:t>
      </w:r>
      <w:r w:rsidRPr="008B0305">
        <w:t>oznámit.</w:t>
      </w:r>
      <w:r>
        <w:t xml:space="preserve"> </w:t>
      </w:r>
      <w:r w:rsidRPr="008B0305">
        <w:t>Po</w:t>
      </w:r>
      <w:r>
        <w:t xml:space="preserve"> </w:t>
      </w:r>
      <w:r w:rsidRPr="008B0305">
        <w:t>skončení</w:t>
      </w:r>
      <w:r>
        <w:t xml:space="preserve"> </w:t>
      </w:r>
      <w:r w:rsidRPr="008B0305">
        <w:t>prací</w:t>
      </w:r>
      <w:r>
        <w:t xml:space="preserve"> </w:t>
      </w:r>
      <w:r w:rsidRPr="008B0305">
        <w:t>je</w:t>
      </w:r>
      <w:r>
        <w:t xml:space="preserve"> </w:t>
      </w:r>
      <w:r w:rsidRPr="008B0305">
        <w:t>povinen</w:t>
      </w:r>
      <w:r>
        <w:t xml:space="preserve"> </w:t>
      </w:r>
      <w:r w:rsidRPr="008B0305">
        <w:t>uvést</w:t>
      </w:r>
      <w:r>
        <w:t xml:space="preserve"> </w:t>
      </w:r>
      <w:r w:rsidRPr="008B0305">
        <w:t>nemovitosti</w:t>
      </w:r>
      <w:r>
        <w:t xml:space="preserve"> </w:t>
      </w:r>
      <w:r w:rsidRPr="008B0305">
        <w:t>do</w:t>
      </w:r>
      <w:r>
        <w:t xml:space="preserve"> </w:t>
      </w:r>
      <w:r w:rsidRPr="008B0305">
        <w:t>původního</w:t>
      </w:r>
      <w:r>
        <w:t xml:space="preserve"> </w:t>
      </w:r>
      <w:r w:rsidRPr="008B0305">
        <w:t>stavu,</w:t>
      </w:r>
      <w:r>
        <w:t xml:space="preserve"> </w:t>
      </w:r>
      <w:r w:rsidRPr="008B0305">
        <w:t>nebo</w:t>
      </w:r>
      <w:r>
        <w:t xml:space="preserve"> </w:t>
      </w:r>
      <w:r w:rsidRPr="008B0305">
        <w:t>není-li</w:t>
      </w:r>
      <w:r>
        <w:t xml:space="preserve"> </w:t>
      </w:r>
      <w:r w:rsidRPr="008B0305">
        <w:t>to</w:t>
      </w:r>
      <w:r>
        <w:t xml:space="preserve"> </w:t>
      </w:r>
      <w:r w:rsidRPr="008B0305">
        <w:t>možné</w:t>
      </w:r>
      <w:r>
        <w:t xml:space="preserve"> </w:t>
      </w:r>
      <w:r w:rsidRPr="008B0305">
        <w:t>s</w:t>
      </w:r>
      <w:r>
        <w:t xml:space="preserve"> </w:t>
      </w:r>
      <w:r w:rsidRPr="008B0305">
        <w:t>ohledem</w:t>
      </w:r>
      <w:r>
        <w:t xml:space="preserve"> </w:t>
      </w:r>
      <w:r w:rsidRPr="008B0305">
        <w:t>na</w:t>
      </w:r>
      <w:r>
        <w:t xml:space="preserve"> </w:t>
      </w:r>
      <w:r w:rsidRPr="008B0305">
        <w:t>povahu</w:t>
      </w:r>
      <w:r>
        <w:t xml:space="preserve"> </w:t>
      </w:r>
      <w:r w:rsidRPr="008B0305">
        <w:t>provedených</w:t>
      </w:r>
      <w:r>
        <w:t xml:space="preserve"> </w:t>
      </w:r>
      <w:r w:rsidRPr="008B0305">
        <w:t>prací,</w:t>
      </w:r>
      <w:r>
        <w:t xml:space="preserve"> </w:t>
      </w:r>
      <w:r w:rsidRPr="008B0305">
        <w:t>do</w:t>
      </w:r>
      <w:r>
        <w:t xml:space="preserve"> </w:t>
      </w:r>
      <w:r w:rsidRPr="008B0305">
        <w:t>stavu</w:t>
      </w:r>
      <w:r>
        <w:t xml:space="preserve"> </w:t>
      </w:r>
      <w:r w:rsidRPr="008B0305">
        <w:t>odpovídajícího</w:t>
      </w:r>
      <w:r>
        <w:t xml:space="preserve"> </w:t>
      </w:r>
      <w:r w:rsidRPr="008B0305">
        <w:t>předchozímu</w:t>
      </w:r>
      <w:r>
        <w:t xml:space="preserve"> </w:t>
      </w:r>
      <w:r w:rsidRPr="008B0305">
        <w:t>účelu</w:t>
      </w:r>
      <w:r>
        <w:t xml:space="preserve"> </w:t>
      </w:r>
      <w:r w:rsidRPr="008B0305">
        <w:t>nebo</w:t>
      </w:r>
      <w:r>
        <w:t xml:space="preserve"> </w:t>
      </w:r>
      <w:r w:rsidRPr="008B0305">
        <w:t>užívání</w:t>
      </w:r>
      <w:r>
        <w:t xml:space="preserve"> </w:t>
      </w:r>
      <w:r w:rsidRPr="008B0305">
        <w:t>dotčené</w:t>
      </w:r>
      <w:r>
        <w:t xml:space="preserve"> </w:t>
      </w:r>
      <w:r w:rsidRPr="008B0305">
        <w:t>nemovitosti</w:t>
      </w:r>
      <w:r>
        <w:t xml:space="preserve"> </w:t>
      </w:r>
      <w:r w:rsidRPr="008B0305">
        <w:t>a</w:t>
      </w:r>
      <w:r>
        <w:t xml:space="preserve"> </w:t>
      </w:r>
      <w:r w:rsidRPr="008B0305">
        <w:t>oznámit</w:t>
      </w:r>
      <w:r>
        <w:t xml:space="preserve"> </w:t>
      </w:r>
      <w:r w:rsidRPr="008B0305">
        <w:t>tuto</w:t>
      </w:r>
      <w:r>
        <w:t xml:space="preserve"> </w:t>
      </w:r>
      <w:r w:rsidRPr="008B0305">
        <w:t>skutečnost</w:t>
      </w:r>
      <w:r>
        <w:t xml:space="preserve"> </w:t>
      </w:r>
      <w:r w:rsidRPr="008B0305">
        <w:t>vlastníku</w:t>
      </w:r>
      <w:r>
        <w:t xml:space="preserve"> </w:t>
      </w:r>
      <w:r w:rsidRPr="008B0305">
        <w:t>nemovitosti.</w:t>
      </w:r>
      <w:r>
        <w:t xml:space="preserve"> </w:t>
      </w:r>
      <w:r w:rsidRPr="008B0305">
        <w:t>Po</w:t>
      </w:r>
      <w:r>
        <w:t xml:space="preserve"> </w:t>
      </w:r>
      <w:r w:rsidRPr="008B0305">
        <w:t>provedení</w:t>
      </w:r>
      <w:r>
        <w:t xml:space="preserve"> </w:t>
      </w:r>
      <w:r w:rsidRPr="008B0305">
        <w:t>odstranění</w:t>
      </w:r>
      <w:r>
        <w:t xml:space="preserve"> </w:t>
      </w:r>
      <w:r w:rsidRPr="008B0305">
        <w:t>nebo</w:t>
      </w:r>
      <w:r>
        <w:t xml:space="preserve"> </w:t>
      </w:r>
      <w:r w:rsidRPr="008B0305">
        <w:t>okleštění</w:t>
      </w:r>
      <w:r>
        <w:t xml:space="preserve"> </w:t>
      </w:r>
      <w:r w:rsidRPr="008B0305">
        <w:t>stromoví</w:t>
      </w:r>
      <w:r>
        <w:t xml:space="preserve"> </w:t>
      </w:r>
      <w:r w:rsidRPr="008B0305">
        <w:t>je</w:t>
      </w:r>
      <w:r>
        <w:t xml:space="preserve"> </w:t>
      </w:r>
      <w:r w:rsidRPr="008B0305">
        <w:t>povinen</w:t>
      </w:r>
      <w:r>
        <w:t xml:space="preserve"> </w:t>
      </w:r>
      <w:r w:rsidRPr="008B0305">
        <w:t>na</w:t>
      </w:r>
      <w:r>
        <w:t xml:space="preserve"> </w:t>
      </w:r>
      <w:r w:rsidRPr="008B0305">
        <w:t>svůj</w:t>
      </w:r>
      <w:r>
        <w:t xml:space="preserve"> </w:t>
      </w:r>
      <w:r w:rsidRPr="008B0305">
        <w:t>náklad</w:t>
      </w:r>
      <w:r>
        <w:t xml:space="preserve"> </w:t>
      </w:r>
      <w:r w:rsidRPr="008B0305">
        <w:t>provést</w:t>
      </w:r>
      <w:r>
        <w:t xml:space="preserve"> </w:t>
      </w:r>
      <w:r w:rsidRPr="008B0305">
        <w:t>likvidaci</w:t>
      </w:r>
      <w:r>
        <w:t xml:space="preserve"> </w:t>
      </w:r>
      <w:r w:rsidRPr="008B0305">
        <w:t>vzniklého</w:t>
      </w:r>
      <w:r>
        <w:t xml:space="preserve"> </w:t>
      </w:r>
      <w:r w:rsidRPr="008B0305">
        <w:t>klestu</w:t>
      </w:r>
      <w:r>
        <w:t xml:space="preserve"> </w:t>
      </w:r>
      <w:r w:rsidRPr="008B0305">
        <w:t>a</w:t>
      </w:r>
      <w:r>
        <w:t xml:space="preserve"> </w:t>
      </w:r>
      <w:r w:rsidRPr="008B0305">
        <w:t>zbytků</w:t>
      </w:r>
      <w:r>
        <w:t xml:space="preserve"> </w:t>
      </w:r>
      <w:r w:rsidRPr="008B0305">
        <w:t>po</w:t>
      </w:r>
      <w:r>
        <w:t xml:space="preserve"> </w:t>
      </w:r>
      <w:r w:rsidRPr="008B0305">
        <w:t>těžbě.</w:t>
      </w:r>
    </w:p>
    <w:p w14:paraId="6AEA1A97" w14:textId="77777777" w:rsidR="008B568E" w:rsidRDefault="008B568E" w:rsidP="0010420C">
      <w:pPr>
        <w:pStyle w:val="Textparagrafu"/>
        <w:tabs>
          <w:tab w:val="left" w:pos="392"/>
          <w:tab w:val="left" w:pos="840"/>
        </w:tabs>
        <w:spacing w:before="120" w:after="120"/>
      </w:pPr>
      <w:r w:rsidRPr="008B0305">
        <w:t>(9)</w:t>
      </w:r>
      <w:r>
        <w:t xml:space="preserve"> </w:t>
      </w:r>
      <w:r w:rsidRPr="008B0305">
        <w:t>Držitel</w:t>
      </w:r>
      <w:r>
        <w:t xml:space="preserve"> </w:t>
      </w:r>
      <w:r w:rsidRPr="008B0305">
        <w:t>licence</w:t>
      </w:r>
      <w:r>
        <w:t xml:space="preserve"> </w:t>
      </w:r>
      <w:r w:rsidRPr="008B0305">
        <w:t>na</w:t>
      </w:r>
      <w:r>
        <w:t xml:space="preserve"> </w:t>
      </w:r>
      <w:r w:rsidRPr="008B0305">
        <w:t>výrobu</w:t>
      </w:r>
      <w:r>
        <w:t xml:space="preserve"> </w:t>
      </w:r>
      <w:r w:rsidRPr="008B0305">
        <w:t>tepelné</w:t>
      </w:r>
      <w:r>
        <w:t xml:space="preserve"> </w:t>
      </w:r>
      <w:r w:rsidRPr="008B0305">
        <w:t>energie</w:t>
      </w:r>
      <w:r>
        <w:t xml:space="preserve"> </w:t>
      </w:r>
      <w:r w:rsidRPr="008B0305">
        <w:t>a</w:t>
      </w:r>
      <w:r>
        <w:t xml:space="preserve"> </w:t>
      </w:r>
      <w:r w:rsidRPr="008B0305">
        <w:t>držitel</w:t>
      </w:r>
      <w:r>
        <w:t xml:space="preserve"> </w:t>
      </w:r>
      <w:r w:rsidRPr="008B0305">
        <w:t>licence</w:t>
      </w:r>
      <w:r>
        <w:t xml:space="preserve"> </w:t>
      </w:r>
      <w:r w:rsidRPr="008B0305">
        <w:t>na</w:t>
      </w:r>
      <w:r>
        <w:t xml:space="preserve"> </w:t>
      </w:r>
      <w:r w:rsidRPr="008B0305">
        <w:t>rozvod</w:t>
      </w:r>
      <w:r>
        <w:t xml:space="preserve"> </w:t>
      </w:r>
      <w:r w:rsidRPr="008B0305">
        <w:t>tepelné</w:t>
      </w:r>
      <w:r>
        <w:t xml:space="preserve"> </w:t>
      </w:r>
      <w:r w:rsidRPr="008B0305">
        <w:t>energie</w:t>
      </w:r>
      <w:r>
        <w:t xml:space="preserve"> </w:t>
      </w:r>
      <w:r w:rsidRPr="008B0305">
        <w:t>je</w:t>
      </w:r>
      <w:r>
        <w:t xml:space="preserve"> </w:t>
      </w:r>
      <w:r w:rsidRPr="008B0305">
        <w:t>povinen</w:t>
      </w:r>
    </w:p>
    <w:p w14:paraId="320B11DC" w14:textId="77777777" w:rsidR="008B568E" w:rsidRDefault="008B568E" w:rsidP="002E6AEA">
      <w:pPr>
        <w:pStyle w:val="Textparagrafu"/>
        <w:tabs>
          <w:tab w:val="left" w:pos="392"/>
          <w:tab w:val="left" w:pos="840"/>
        </w:tabs>
        <w:spacing w:before="0"/>
        <w:ind w:left="426" w:hanging="426"/>
      </w:pPr>
      <w:r w:rsidRPr="008B0305">
        <w:t>a)</w:t>
      </w:r>
      <w:r>
        <w:tab/>
      </w:r>
      <w:r w:rsidRPr="008B0305">
        <w:t>provádět</w:t>
      </w:r>
      <w:r>
        <w:t xml:space="preserve"> </w:t>
      </w:r>
      <w:r w:rsidRPr="008B0305">
        <w:t>činnosti</w:t>
      </w:r>
      <w:r>
        <w:t xml:space="preserve"> </w:t>
      </w:r>
      <w:r w:rsidRPr="008B0305">
        <w:t>spojené</w:t>
      </w:r>
      <w:r>
        <w:t xml:space="preserve"> </w:t>
      </w:r>
      <w:r w:rsidRPr="008B0305">
        <w:t>s</w:t>
      </w:r>
      <w:r>
        <w:t xml:space="preserve"> </w:t>
      </w:r>
      <w:r w:rsidRPr="008B0305">
        <w:t>udělenou</w:t>
      </w:r>
      <w:r>
        <w:t xml:space="preserve"> </w:t>
      </w:r>
      <w:r w:rsidRPr="008B0305">
        <w:t>licencí</w:t>
      </w:r>
      <w:r>
        <w:t xml:space="preserve"> </w:t>
      </w:r>
      <w:r w:rsidRPr="008B0305">
        <w:t>a</w:t>
      </w:r>
      <w:r>
        <w:t xml:space="preserve"> </w:t>
      </w:r>
      <w:r w:rsidRPr="008B0305">
        <w:t>vyžadující</w:t>
      </w:r>
      <w:r>
        <w:t xml:space="preserve"> </w:t>
      </w:r>
      <w:r w:rsidRPr="008B0305">
        <w:t>odbornou</w:t>
      </w:r>
      <w:r>
        <w:t xml:space="preserve"> </w:t>
      </w:r>
      <w:r w:rsidRPr="008B0305">
        <w:t>způsobilost</w:t>
      </w:r>
      <w:r>
        <w:t xml:space="preserve"> </w:t>
      </w:r>
      <w:r w:rsidRPr="008B0305">
        <w:t>podle</w:t>
      </w:r>
      <w:r>
        <w:t xml:space="preserve"> </w:t>
      </w:r>
      <w:r w:rsidRPr="008B0305">
        <w:t>zvláštních</w:t>
      </w:r>
      <w:r>
        <w:t xml:space="preserve"> </w:t>
      </w:r>
      <w:r w:rsidRPr="008B0305">
        <w:t>právních</w:t>
      </w:r>
      <w:r>
        <w:t xml:space="preserve"> </w:t>
      </w:r>
      <w:r w:rsidRPr="008B0305">
        <w:t>předpisů</w:t>
      </w:r>
      <w:r>
        <w:t xml:space="preserve"> </w:t>
      </w:r>
      <w:r w:rsidRPr="008B0305">
        <w:t>pouze</w:t>
      </w:r>
      <w:r>
        <w:t xml:space="preserve"> </w:t>
      </w:r>
      <w:r w:rsidRPr="008B0305">
        <w:t>kvalifikovanými</w:t>
      </w:r>
      <w:r>
        <w:t xml:space="preserve"> </w:t>
      </w:r>
      <w:r w:rsidRPr="008B0305">
        <w:t>pracovníky,</w:t>
      </w:r>
    </w:p>
    <w:p w14:paraId="6DB8FA43" w14:textId="77777777" w:rsidR="008B568E" w:rsidRDefault="008B568E" w:rsidP="002E6AEA">
      <w:pPr>
        <w:pStyle w:val="Textparagrafu"/>
        <w:tabs>
          <w:tab w:val="left" w:pos="392"/>
          <w:tab w:val="left" w:pos="840"/>
        </w:tabs>
        <w:spacing w:before="0"/>
        <w:ind w:left="426" w:hanging="426"/>
      </w:pPr>
      <w:r w:rsidRPr="008B0305">
        <w:t>b)</w:t>
      </w:r>
      <w:r>
        <w:tab/>
      </w:r>
      <w:r w:rsidRPr="008B0305">
        <w:t>zřizovat,</w:t>
      </w:r>
      <w:r>
        <w:t xml:space="preserve"> </w:t>
      </w:r>
      <w:r w:rsidRPr="008B0305">
        <w:t>provozovat</w:t>
      </w:r>
      <w:r>
        <w:t xml:space="preserve"> </w:t>
      </w:r>
      <w:r w:rsidRPr="008B0305">
        <w:t>a</w:t>
      </w:r>
      <w:r>
        <w:t xml:space="preserve"> </w:t>
      </w:r>
      <w:r w:rsidRPr="008B0305">
        <w:t>udržovat</w:t>
      </w:r>
      <w:r>
        <w:t xml:space="preserve"> </w:t>
      </w:r>
      <w:r w:rsidRPr="008B0305">
        <w:t>zařízení</w:t>
      </w:r>
      <w:r>
        <w:t xml:space="preserve"> </w:t>
      </w:r>
      <w:r w:rsidRPr="008B0305">
        <w:t>pro</w:t>
      </w:r>
      <w:r>
        <w:t xml:space="preserve"> </w:t>
      </w:r>
      <w:r w:rsidRPr="008B0305">
        <w:t>dodávky</w:t>
      </w:r>
      <w:r>
        <w:t xml:space="preserve"> </w:t>
      </w:r>
      <w:r w:rsidRPr="008B0305">
        <w:t>tepelné</w:t>
      </w:r>
      <w:r>
        <w:t xml:space="preserve"> </w:t>
      </w:r>
      <w:r w:rsidRPr="008B0305">
        <w:t>energie</w:t>
      </w:r>
      <w:r>
        <w:t xml:space="preserve"> </w:t>
      </w:r>
      <w:r w:rsidRPr="008B0305">
        <w:t>tak,</w:t>
      </w:r>
      <w:r>
        <w:t xml:space="preserve"> </w:t>
      </w:r>
      <w:r w:rsidRPr="008B0305">
        <w:t>aby</w:t>
      </w:r>
      <w:r>
        <w:t xml:space="preserve"> </w:t>
      </w:r>
      <w:r w:rsidRPr="008B0305">
        <w:t>splňovala</w:t>
      </w:r>
      <w:r>
        <w:t xml:space="preserve"> </w:t>
      </w:r>
      <w:r w:rsidRPr="008B0305">
        <w:t>požadavky</w:t>
      </w:r>
      <w:r>
        <w:t xml:space="preserve"> </w:t>
      </w:r>
      <w:r w:rsidRPr="008B0305">
        <w:t>stanovené</w:t>
      </w:r>
      <w:r>
        <w:t xml:space="preserve"> </w:t>
      </w:r>
      <w:r w:rsidRPr="008B0305">
        <w:t>pro</w:t>
      </w:r>
      <w:r>
        <w:t xml:space="preserve"> </w:t>
      </w:r>
      <w:r w:rsidRPr="008B0305">
        <w:t>zajištění</w:t>
      </w:r>
      <w:r>
        <w:t xml:space="preserve"> </w:t>
      </w:r>
      <w:r w:rsidRPr="008B0305">
        <w:t>bezpečného,</w:t>
      </w:r>
      <w:r>
        <w:t xml:space="preserve"> </w:t>
      </w:r>
      <w:r w:rsidRPr="008B0305">
        <w:t>hospodárného</w:t>
      </w:r>
      <w:r>
        <w:t xml:space="preserve"> </w:t>
      </w:r>
      <w:r w:rsidRPr="008B0305">
        <w:t>a</w:t>
      </w:r>
      <w:r>
        <w:t xml:space="preserve"> </w:t>
      </w:r>
      <w:r w:rsidRPr="008B0305">
        <w:t>spolehlivého</w:t>
      </w:r>
      <w:r>
        <w:t xml:space="preserve"> </w:t>
      </w:r>
      <w:r w:rsidRPr="008B0305">
        <w:t>provozu,</w:t>
      </w:r>
    </w:p>
    <w:p w14:paraId="6C65D845" w14:textId="77777777" w:rsidR="008B568E" w:rsidRDefault="008B568E" w:rsidP="002E6AEA">
      <w:pPr>
        <w:pStyle w:val="Textparagrafu"/>
        <w:tabs>
          <w:tab w:val="left" w:pos="392"/>
          <w:tab w:val="left" w:pos="840"/>
        </w:tabs>
        <w:spacing w:before="0"/>
        <w:ind w:left="426" w:hanging="426"/>
      </w:pPr>
      <w:r w:rsidRPr="008B0305">
        <w:t>c)</w:t>
      </w:r>
      <w:r>
        <w:tab/>
      </w:r>
      <w:r w:rsidRPr="008B0305">
        <w:t>poskytovat</w:t>
      </w:r>
      <w:r>
        <w:t xml:space="preserve"> </w:t>
      </w:r>
      <w:r w:rsidRPr="008B0305">
        <w:t>na</w:t>
      </w:r>
      <w:r>
        <w:t xml:space="preserve"> </w:t>
      </w:r>
      <w:r w:rsidRPr="008B0305">
        <w:t>vyžádání</w:t>
      </w:r>
      <w:r>
        <w:t xml:space="preserve"> </w:t>
      </w:r>
      <w:r w:rsidRPr="008B0305">
        <w:t>pověřeným</w:t>
      </w:r>
      <w:r>
        <w:t xml:space="preserve"> </w:t>
      </w:r>
      <w:r w:rsidRPr="008B0305">
        <w:t>pracovníkům</w:t>
      </w:r>
      <w:r>
        <w:t xml:space="preserve"> </w:t>
      </w:r>
      <w:r w:rsidRPr="008B0305">
        <w:t>ministerstva,</w:t>
      </w:r>
      <w:r>
        <w:t xml:space="preserve"> </w:t>
      </w:r>
      <w:r w:rsidRPr="008B0305">
        <w:t>Energetického</w:t>
      </w:r>
      <w:r>
        <w:t xml:space="preserve"> </w:t>
      </w:r>
      <w:r w:rsidRPr="008B0305">
        <w:t>regulačního</w:t>
      </w:r>
      <w:r>
        <w:t xml:space="preserve"> </w:t>
      </w:r>
      <w:r w:rsidRPr="008B0305">
        <w:t>úřadu</w:t>
      </w:r>
      <w:r>
        <w:t xml:space="preserve"> </w:t>
      </w:r>
      <w:r w:rsidRPr="008B0305">
        <w:t>pravdivé</w:t>
      </w:r>
      <w:r>
        <w:t xml:space="preserve"> </w:t>
      </w:r>
      <w:r w:rsidRPr="008B0305">
        <w:t>informace</w:t>
      </w:r>
      <w:r>
        <w:t xml:space="preserve"> </w:t>
      </w:r>
      <w:r w:rsidRPr="008B0305">
        <w:t>nezbytné</w:t>
      </w:r>
      <w:r>
        <w:t xml:space="preserve"> </w:t>
      </w:r>
      <w:r w:rsidRPr="008B0305">
        <w:t>pro</w:t>
      </w:r>
      <w:r>
        <w:t xml:space="preserve"> </w:t>
      </w:r>
      <w:r w:rsidRPr="008B0305">
        <w:t>výkon</w:t>
      </w:r>
      <w:r>
        <w:t xml:space="preserve"> </w:t>
      </w:r>
      <w:r w:rsidRPr="008B0305">
        <w:t>jejich</w:t>
      </w:r>
      <w:r>
        <w:t xml:space="preserve"> </w:t>
      </w:r>
      <w:r w:rsidRPr="008B0305">
        <w:t>práv</w:t>
      </w:r>
      <w:r>
        <w:t xml:space="preserve"> </w:t>
      </w:r>
      <w:r w:rsidRPr="008B0305">
        <w:t>a</w:t>
      </w:r>
      <w:r>
        <w:t xml:space="preserve"> </w:t>
      </w:r>
      <w:r w:rsidRPr="008B0305">
        <w:t>povinností</w:t>
      </w:r>
      <w:r>
        <w:t xml:space="preserve"> </w:t>
      </w:r>
      <w:r w:rsidRPr="008B0305">
        <w:t>a</w:t>
      </w:r>
      <w:r>
        <w:t xml:space="preserve"> </w:t>
      </w:r>
      <w:r w:rsidRPr="008B0305">
        <w:t>umožnit</w:t>
      </w:r>
      <w:r>
        <w:t xml:space="preserve"> </w:t>
      </w:r>
      <w:r w:rsidRPr="008B0305">
        <w:t>jim</w:t>
      </w:r>
      <w:r>
        <w:t xml:space="preserve"> </w:t>
      </w:r>
      <w:r w:rsidRPr="008B0305">
        <w:t>přístup</w:t>
      </w:r>
      <w:r>
        <w:t xml:space="preserve"> </w:t>
      </w:r>
      <w:r w:rsidRPr="008B0305">
        <w:t>k</w:t>
      </w:r>
      <w:r>
        <w:t xml:space="preserve"> </w:t>
      </w:r>
      <w:r w:rsidRPr="008B0305">
        <w:t>zařízením,</w:t>
      </w:r>
      <w:r>
        <w:t xml:space="preserve"> </w:t>
      </w:r>
      <w:r w:rsidRPr="008B0305">
        <w:t>která</w:t>
      </w:r>
      <w:r>
        <w:t xml:space="preserve"> </w:t>
      </w:r>
      <w:r w:rsidRPr="008B0305">
        <w:t>k</w:t>
      </w:r>
      <w:r>
        <w:t xml:space="preserve"> </w:t>
      </w:r>
      <w:r w:rsidRPr="008B0305">
        <w:t>výkonu</w:t>
      </w:r>
      <w:r>
        <w:t xml:space="preserve"> </w:t>
      </w:r>
      <w:r w:rsidRPr="008B0305">
        <w:t>licencované</w:t>
      </w:r>
      <w:r>
        <w:t xml:space="preserve"> </w:t>
      </w:r>
      <w:r w:rsidRPr="008B0305">
        <w:t>činnosti</w:t>
      </w:r>
      <w:r>
        <w:t xml:space="preserve"> </w:t>
      </w:r>
      <w:r w:rsidRPr="008B0305">
        <w:t>slouží,</w:t>
      </w:r>
    </w:p>
    <w:p w14:paraId="1A26B9B1" w14:textId="77777777" w:rsidR="008B568E" w:rsidRDefault="008B568E" w:rsidP="002E6AEA">
      <w:pPr>
        <w:pStyle w:val="Textparagrafu"/>
        <w:tabs>
          <w:tab w:val="left" w:pos="392"/>
          <w:tab w:val="left" w:pos="840"/>
        </w:tabs>
        <w:spacing w:before="0"/>
        <w:ind w:left="426" w:hanging="426"/>
      </w:pPr>
      <w:r w:rsidRPr="008B0305">
        <w:t>d)</w:t>
      </w:r>
      <w:r>
        <w:tab/>
      </w:r>
      <w:r w:rsidRPr="008B0305">
        <w:t>bilancovat</w:t>
      </w:r>
      <w:r>
        <w:t xml:space="preserve"> </w:t>
      </w:r>
      <w:r w:rsidRPr="008B0305">
        <w:t>pro</w:t>
      </w:r>
      <w:r>
        <w:t xml:space="preserve"> </w:t>
      </w:r>
      <w:r w:rsidRPr="008B0305">
        <w:t>každou</w:t>
      </w:r>
      <w:r>
        <w:t xml:space="preserve"> </w:t>
      </w:r>
      <w:r w:rsidRPr="008B0305">
        <w:t>teplonosnou</w:t>
      </w:r>
      <w:r>
        <w:t xml:space="preserve"> </w:t>
      </w:r>
      <w:r w:rsidRPr="008B0305">
        <w:t>látku</w:t>
      </w:r>
      <w:r>
        <w:t xml:space="preserve"> </w:t>
      </w:r>
      <w:r w:rsidRPr="008B0305">
        <w:t>výrobu,</w:t>
      </w:r>
      <w:r>
        <w:t xml:space="preserve"> </w:t>
      </w:r>
      <w:r w:rsidRPr="008B0305">
        <w:t>náklady,</w:t>
      </w:r>
      <w:r>
        <w:t xml:space="preserve"> </w:t>
      </w:r>
      <w:r w:rsidRPr="008B0305">
        <w:t>ztráty,</w:t>
      </w:r>
      <w:r>
        <w:t xml:space="preserve"> </w:t>
      </w:r>
      <w:r w:rsidRPr="008B0305">
        <w:t>vlastní</w:t>
      </w:r>
      <w:r>
        <w:t xml:space="preserve"> </w:t>
      </w:r>
      <w:r w:rsidRPr="008B0305">
        <w:t>spotřebu</w:t>
      </w:r>
      <w:r>
        <w:t xml:space="preserve"> </w:t>
      </w:r>
      <w:r w:rsidRPr="008B0305">
        <w:t>a</w:t>
      </w:r>
      <w:r>
        <w:t xml:space="preserve"> </w:t>
      </w:r>
      <w:r w:rsidRPr="008B0305">
        <w:t>dodávky</w:t>
      </w:r>
      <w:r>
        <w:t xml:space="preserve"> </w:t>
      </w:r>
      <w:r w:rsidRPr="008B0305">
        <w:t>odděleně</w:t>
      </w:r>
      <w:r>
        <w:t xml:space="preserve"> </w:t>
      </w:r>
      <w:r w:rsidRPr="008B0305">
        <w:t>pro</w:t>
      </w:r>
      <w:r>
        <w:t xml:space="preserve"> </w:t>
      </w:r>
      <w:r w:rsidRPr="008B0305">
        <w:t>výrobu</w:t>
      </w:r>
      <w:r>
        <w:t xml:space="preserve"> </w:t>
      </w:r>
      <w:r w:rsidRPr="008B0305">
        <w:t>tepelné</w:t>
      </w:r>
      <w:r>
        <w:t xml:space="preserve"> </w:t>
      </w:r>
      <w:r w:rsidRPr="008B0305">
        <w:t>energie</w:t>
      </w:r>
      <w:r>
        <w:t xml:space="preserve"> </w:t>
      </w:r>
      <w:r w:rsidRPr="008B0305">
        <w:t>a</w:t>
      </w:r>
      <w:r>
        <w:t xml:space="preserve"> </w:t>
      </w:r>
      <w:r w:rsidRPr="008B0305">
        <w:t>rozvod</w:t>
      </w:r>
      <w:r>
        <w:t xml:space="preserve"> </w:t>
      </w:r>
      <w:r w:rsidRPr="008B0305">
        <w:t>tepelné</w:t>
      </w:r>
      <w:r>
        <w:t xml:space="preserve"> </w:t>
      </w:r>
      <w:r w:rsidRPr="008B0305">
        <w:t>energie</w:t>
      </w:r>
      <w:r>
        <w:t xml:space="preserve"> </w:t>
      </w:r>
      <w:r w:rsidRPr="008B0305">
        <w:t>a</w:t>
      </w:r>
      <w:r>
        <w:t xml:space="preserve"> </w:t>
      </w:r>
      <w:r w:rsidRPr="008B0305">
        <w:t>poskytovat</w:t>
      </w:r>
      <w:r>
        <w:t xml:space="preserve"> </w:t>
      </w:r>
      <w:r w:rsidRPr="008B0305">
        <w:t>údaje</w:t>
      </w:r>
      <w:r>
        <w:t xml:space="preserve"> </w:t>
      </w:r>
      <w:r w:rsidRPr="008B0305">
        <w:t>pro</w:t>
      </w:r>
      <w:r>
        <w:t xml:space="preserve"> </w:t>
      </w:r>
      <w:r w:rsidRPr="008B0305">
        <w:t>účely</w:t>
      </w:r>
      <w:r>
        <w:t xml:space="preserve"> </w:t>
      </w:r>
      <w:r w:rsidRPr="008B0305">
        <w:t>regulace</w:t>
      </w:r>
      <w:r>
        <w:t xml:space="preserve"> </w:t>
      </w:r>
      <w:r w:rsidRPr="008B0305">
        <w:t>podle</w:t>
      </w:r>
      <w:r>
        <w:t xml:space="preserve"> </w:t>
      </w:r>
      <w:r w:rsidRPr="008B0305">
        <w:t>tohoto</w:t>
      </w:r>
      <w:r>
        <w:t xml:space="preserve"> </w:t>
      </w:r>
      <w:r w:rsidRPr="008B0305">
        <w:t>zákona</w:t>
      </w:r>
      <w:r>
        <w:t xml:space="preserve"> </w:t>
      </w:r>
      <w:r w:rsidRPr="008B0305">
        <w:t>a</w:t>
      </w:r>
      <w:r>
        <w:t xml:space="preserve"> </w:t>
      </w:r>
      <w:r w:rsidRPr="008B0305">
        <w:t>statistiky,</w:t>
      </w:r>
    </w:p>
    <w:p w14:paraId="5AAE810F" w14:textId="77777777" w:rsidR="008B568E" w:rsidRDefault="008B568E" w:rsidP="002E6AEA">
      <w:pPr>
        <w:pStyle w:val="Textparagrafu"/>
        <w:tabs>
          <w:tab w:val="left" w:pos="392"/>
          <w:tab w:val="left" w:pos="840"/>
        </w:tabs>
        <w:spacing w:before="0"/>
        <w:ind w:left="426" w:hanging="426"/>
      </w:pPr>
      <w:r w:rsidRPr="008B0305">
        <w:t>e)</w:t>
      </w:r>
      <w:r>
        <w:tab/>
      </w:r>
      <w:r w:rsidRPr="008B0305">
        <w:t>stanovit</w:t>
      </w:r>
      <w:r>
        <w:t xml:space="preserve"> </w:t>
      </w:r>
      <w:r w:rsidRPr="008B0305">
        <w:t>podmínky</w:t>
      </w:r>
      <w:r>
        <w:t xml:space="preserve"> </w:t>
      </w:r>
      <w:r w:rsidRPr="008B0305">
        <w:t>připojení</w:t>
      </w:r>
      <w:r>
        <w:t xml:space="preserve"> </w:t>
      </w:r>
      <w:r w:rsidRPr="008B0305">
        <w:t>k</w:t>
      </w:r>
      <w:r>
        <w:t xml:space="preserve"> </w:t>
      </w:r>
      <w:r w:rsidRPr="008B0305">
        <w:t>rozvodnému</w:t>
      </w:r>
      <w:r>
        <w:t xml:space="preserve"> </w:t>
      </w:r>
      <w:r w:rsidRPr="008B0305">
        <w:t>tepelnému</w:t>
      </w:r>
      <w:r>
        <w:t xml:space="preserve"> </w:t>
      </w:r>
      <w:r w:rsidRPr="008B0305">
        <w:t>zařízení</w:t>
      </w:r>
      <w:r>
        <w:t xml:space="preserve"> </w:t>
      </w:r>
      <w:r w:rsidRPr="008B0305">
        <w:t>nebo</w:t>
      </w:r>
      <w:r>
        <w:t xml:space="preserve"> </w:t>
      </w:r>
      <w:r w:rsidRPr="008B0305">
        <w:t>zdroji</w:t>
      </w:r>
      <w:r>
        <w:t xml:space="preserve"> </w:t>
      </w:r>
      <w:r w:rsidRPr="008B0305">
        <w:t>tepelné</w:t>
      </w:r>
      <w:r>
        <w:t xml:space="preserve"> </w:t>
      </w:r>
      <w:r w:rsidRPr="008B0305">
        <w:t>energie,</w:t>
      </w:r>
    </w:p>
    <w:p w14:paraId="7399FA68" w14:textId="77777777" w:rsidR="008B568E" w:rsidRDefault="008B568E" w:rsidP="002E6AEA">
      <w:pPr>
        <w:pStyle w:val="Textparagrafu"/>
        <w:tabs>
          <w:tab w:val="left" w:pos="392"/>
          <w:tab w:val="left" w:pos="840"/>
        </w:tabs>
        <w:spacing w:before="0"/>
        <w:ind w:left="426" w:hanging="426"/>
      </w:pPr>
      <w:r w:rsidRPr="008B0305">
        <w:t>f)</w:t>
      </w:r>
      <w:r>
        <w:tab/>
      </w:r>
      <w:r w:rsidRPr="008B0305">
        <w:t>v</w:t>
      </w:r>
      <w:r>
        <w:t xml:space="preserve"> </w:t>
      </w:r>
      <w:r w:rsidRPr="008B0305">
        <w:t>případech</w:t>
      </w:r>
      <w:r>
        <w:t xml:space="preserve"> </w:t>
      </w:r>
      <w:r w:rsidRPr="008B0305">
        <w:t>podle</w:t>
      </w:r>
      <w:r>
        <w:t xml:space="preserve"> </w:t>
      </w:r>
      <w:r w:rsidRPr="008B0305">
        <w:t>odstavce</w:t>
      </w:r>
      <w:r>
        <w:t xml:space="preserve"> </w:t>
      </w:r>
      <w:r w:rsidRPr="008B0305">
        <w:t>4</w:t>
      </w:r>
      <w:r>
        <w:t xml:space="preserve"> </w:t>
      </w:r>
      <w:r w:rsidRPr="008B0305">
        <w:t>obnovit</w:t>
      </w:r>
      <w:r>
        <w:t xml:space="preserve"> </w:t>
      </w:r>
      <w:r w:rsidRPr="008B0305">
        <w:t>dodávku</w:t>
      </w:r>
      <w:r>
        <w:t xml:space="preserve"> </w:t>
      </w:r>
      <w:r w:rsidRPr="008B0305">
        <w:t>tepelné</w:t>
      </w:r>
      <w:r>
        <w:t xml:space="preserve"> </w:t>
      </w:r>
      <w:r w:rsidRPr="008B0305">
        <w:t>energie</w:t>
      </w:r>
      <w:r>
        <w:t xml:space="preserve"> </w:t>
      </w:r>
      <w:r w:rsidRPr="008B0305">
        <w:t>bezprostředně</w:t>
      </w:r>
      <w:r>
        <w:t xml:space="preserve"> </w:t>
      </w:r>
      <w:r w:rsidRPr="008B0305">
        <w:t>po</w:t>
      </w:r>
      <w:r>
        <w:t xml:space="preserve"> </w:t>
      </w:r>
      <w:r w:rsidRPr="008B0305">
        <w:t>odstranění</w:t>
      </w:r>
      <w:r>
        <w:t xml:space="preserve"> </w:t>
      </w:r>
      <w:r w:rsidRPr="008B0305">
        <w:t>příčin,</w:t>
      </w:r>
      <w:r>
        <w:t xml:space="preserve"> </w:t>
      </w:r>
      <w:r w:rsidRPr="008B0305">
        <w:t>které</w:t>
      </w:r>
      <w:r>
        <w:t xml:space="preserve"> </w:t>
      </w:r>
      <w:r w:rsidRPr="008B0305">
        <w:t>vedly</w:t>
      </w:r>
      <w:r>
        <w:t xml:space="preserve"> </w:t>
      </w:r>
      <w:r w:rsidRPr="008B0305">
        <w:t>k</w:t>
      </w:r>
      <w:r>
        <w:t xml:space="preserve"> </w:t>
      </w:r>
      <w:r w:rsidRPr="008B0305">
        <w:t>jejímu</w:t>
      </w:r>
      <w:r>
        <w:t xml:space="preserve"> </w:t>
      </w:r>
      <w:r w:rsidRPr="008B0305">
        <w:t>přerušení</w:t>
      </w:r>
      <w:r>
        <w:t xml:space="preserve"> </w:t>
      </w:r>
      <w:r w:rsidRPr="008B0305">
        <w:t>či</w:t>
      </w:r>
      <w:r>
        <w:t xml:space="preserve"> </w:t>
      </w:r>
      <w:r w:rsidRPr="008B0305">
        <w:t>omezení,</w:t>
      </w:r>
    </w:p>
    <w:p w14:paraId="75285F70" w14:textId="77777777" w:rsidR="008B568E" w:rsidRDefault="008B568E" w:rsidP="002E6AEA">
      <w:pPr>
        <w:pStyle w:val="Textparagrafu"/>
        <w:tabs>
          <w:tab w:val="left" w:pos="392"/>
          <w:tab w:val="left" w:pos="840"/>
        </w:tabs>
        <w:spacing w:before="0"/>
        <w:ind w:left="426" w:hanging="426"/>
      </w:pPr>
      <w:r w:rsidRPr="008B0305">
        <w:t>g)</w:t>
      </w:r>
      <w:r>
        <w:tab/>
      </w:r>
      <w:r w:rsidRPr="008B0305">
        <w:t>vypracovat</w:t>
      </w:r>
      <w:r>
        <w:t xml:space="preserve"> </w:t>
      </w:r>
      <w:r w:rsidRPr="008B0305">
        <w:t>havarijní</w:t>
      </w:r>
      <w:r>
        <w:t xml:space="preserve"> </w:t>
      </w:r>
      <w:r w:rsidRPr="008B0305">
        <w:t>plán</w:t>
      </w:r>
      <w:r>
        <w:t xml:space="preserve"> </w:t>
      </w:r>
      <w:r w:rsidRPr="008B0305">
        <w:t>pro</w:t>
      </w:r>
      <w:r>
        <w:t xml:space="preserve"> </w:t>
      </w:r>
      <w:r w:rsidRPr="008B0305">
        <w:t>předcházení</w:t>
      </w:r>
      <w:r>
        <w:t xml:space="preserve"> </w:t>
      </w:r>
      <w:r w:rsidRPr="008B0305">
        <w:t>a</w:t>
      </w:r>
      <w:r>
        <w:t xml:space="preserve"> </w:t>
      </w:r>
      <w:r w:rsidRPr="008B0305">
        <w:t>řešení</w:t>
      </w:r>
      <w:r>
        <w:t xml:space="preserve"> </w:t>
      </w:r>
      <w:r w:rsidRPr="008B0305">
        <w:t>stavů</w:t>
      </w:r>
      <w:r>
        <w:t xml:space="preserve"> </w:t>
      </w:r>
      <w:r w:rsidRPr="008B0305">
        <w:t>nouze</w:t>
      </w:r>
      <w:r>
        <w:t xml:space="preserve"> </w:t>
      </w:r>
      <w:r w:rsidRPr="008B0305">
        <w:t>s</w:t>
      </w:r>
      <w:r>
        <w:t xml:space="preserve"> </w:t>
      </w:r>
      <w:r w:rsidRPr="008B0305">
        <w:t>výjimkou</w:t>
      </w:r>
      <w:r>
        <w:t xml:space="preserve"> </w:t>
      </w:r>
      <w:r w:rsidRPr="008B0305">
        <w:t>soustav</w:t>
      </w:r>
      <w:r>
        <w:t xml:space="preserve"> </w:t>
      </w:r>
      <w:r w:rsidRPr="008B0305">
        <w:t>zásobování</w:t>
      </w:r>
      <w:r>
        <w:t xml:space="preserve"> </w:t>
      </w:r>
      <w:r w:rsidRPr="008B0305">
        <w:t>tepelnou</w:t>
      </w:r>
      <w:r>
        <w:t xml:space="preserve"> </w:t>
      </w:r>
      <w:r w:rsidRPr="008B0305">
        <w:t>energií</w:t>
      </w:r>
      <w:r>
        <w:t xml:space="preserve"> </w:t>
      </w:r>
      <w:r w:rsidRPr="008B0305">
        <w:t>do</w:t>
      </w:r>
      <w:r>
        <w:t xml:space="preserve"> </w:t>
      </w:r>
      <w:r w:rsidRPr="008B0305">
        <w:t>výkonu</w:t>
      </w:r>
      <w:r>
        <w:t xml:space="preserve"> </w:t>
      </w:r>
      <w:r w:rsidRPr="008B0305">
        <w:t>10</w:t>
      </w:r>
      <w:r>
        <w:t xml:space="preserve"> </w:t>
      </w:r>
      <w:r w:rsidRPr="008B0305">
        <w:t>MW</w:t>
      </w:r>
      <w:r>
        <w:t xml:space="preserve"> </w:t>
      </w:r>
      <w:r w:rsidRPr="008B0305">
        <w:t>do</w:t>
      </w:r>
      <w:r>
        <w:t xml:space="preserve"> </w:t>
      </w:r>
      <w:r w:rsidRPr="008B0305">
        <w:t>6</w:t>
      </w:r>
      <w:r>
        <w:t xml:space="preserve"> </w:t>
      </w:r>
      <w:r w:rsidRPr="008B0305">
        <w:t>měsíců</w:t>
      </w:r>
      <w:r>
        <w:t xml:space="preserve"> </w:t>
      </w:r>
      <w:r w:rsidRPr="008B0305">
        <w:t>po</w:t>
      </w:r>
      <w:r>
        <w:t xml:space="preserve"> </w:t>
      </w:r>
      <w:r w:rsidRPr="008B0305">
        <w:t>obdržení</w:t>
      </w:r>
      <w:r>
        <w:t xml:space="preserve"> </w:t>
      </w:r>
      <w:r w:rsidRPr="008B0305">
        <w:t>licence,</w:t>
      </w:r>
    </w:p>
    <w:p w14:paraId="28E24F0A" w14:textId="77777777" w:rsidR="008B568E" w:rsidRDefault="008B568E" w:rsidP="002E6AEA">
      <w:pPr>
        <w:pStyle w:val="Textparagrafu"/>
        <w:tabs>
          <w:tab w:val="left" w:pos="392"/>
          <w:tab w:val="left" w:pos="840"/>
        </w:tabs>
        <w:spacing w:before="0"/>
        <w:ind w:left="426" w:hanging="426"/>
      </w:pPr>
      <w:r w:rsidRPr="008B0305">
        <w:t>h)</w:t>
      </w:r>
      <w:r>
        <w:tab/>
      </w:r>
      <w:r w:rsidRPr="008B0305">
        <w:t>zveřejňovat</w:t>
      </w:r>
      <w:r>
        <w:t xml:space="preserve"> </w:t>
      </w:r>
      <w:r w:rsidRPr="008B0305">
        <w:t>způsobem</w:t>
      </w:r>
      <w:r>
        <w:t xml:space="preserve"> </w:t>
      </w:r>
      <w:r w:rsidRPr="008B0305">
        <w:t>umožňujícím</w:t>
      </w:r>
      <w:r>
        <w:t xml:space="preserve"> </w:t>
      </w:r>
      <w:r w:rsidRPr="008B0305">
        <w:t>dálkový</w:t>
      </w:r>
      <w:r>
        <w:t xml:space="preserve"> </w:t>
      </w:r>
      <w:r w:rsidRPr="008B0305">
        <w:t>přístup</w:t>
      </w:r>
      <w:r>
        <w:t xml:space="preserve"> </w:t>
      </w:r>
      <w:r w:rsidRPr="008B0305">
        <w:t>informace</w:t>
      </w:r>
      <w:r>
        <w:t xml:space="preserve"> </w:t>
      </w:r>
      <w:r w:rsidRPr="008B0305">
        <w:t>o</w:t>
      </w:r>
      <w:r>
        <w:t xml:space="preserve"> </w:t>
      </w:r>
      <w:r w:rsidRPr="008B0305">
        <w:t>podílu</w:t>
      </w:r>
      <w:r>
        <w:t xml:space="preserve"> </w:t>
      </w:r>
      <w:r w:rsidRPr="008B0305">
        <w:t>tepla</w:t>
      </w:r>
      <w:r>
        <w:t xml:space="preserve"> </w:t>
      </w:r>
      <w:r w:rsidRPr="008B0305">
        <w:t>z</w:t>
      </w:r>
      <w:r>
        <w:t xml:space="preserve"> </w:t>
      </w:r>
      <w:r w:rsidRPr="008B0305">
        <w:t>obnovitelných</w:t>
      </w:r>
      <w:r>
        <w:t xml:space="preserve"> </w:t>
      </w:r>
      <w:r w:rsidRPr="008B0305">
        <w:t>zdrojů</w:t>
      </w:r>
      <w:r>
        <w:t xml:space="preserve"> </w:t>
      </w:r>
      <w:r w:rsidRPr="008B0305">
        <w:t>energie</w:t>
      </w:r>
      <w:r>
        <w:t xml:space="preserve"> </w:t>
      </w:r>
      <w:r w:rsidRPr="008B0305">
        <w:t>v</w:t>
      </w:r>
      <w:r>
        <w:t xml:space="preserve"> </w:t>
      </w:r>
      <w:r w:rsidRPr="008B0305">
        <w:t>dodávce</w:t>
      </w:r>
      <w:r>
        <w:t xml:space="preserve"> </w:t>
      </w:r>
      <w:r w:rsidRPr="008B0305">
        <w:t>tepla</w:t>
      </w:r>
      <w:r>
        <w:t xml:space="preserve"> </w:t>
      </w:r>
      <w:r w:rsidRPr="008B0305">
        <w:t>za</w:t>
      </w:r>
      <w:r>
        <w:t xml:space="preserve"> </w:t>
      </w:r>
      <w:r w:rsidRPr="008B0305">
        <w:t>předchozí</w:t>
      </w:r>
      <w:r>
        <w:t xml:space="preserve"> </w:t>
      </w:r>
      <w:r w:rsidRPr="008B0305">
        <w:t>kalendářní</w:t>
      </w:r>
      <w:r>
        <w:t xml:space="preserve"> </w:t>
      </w:r>
      <w:r w:rsidRPr="008B0305">
        <w:t>rok,</w:t>
      </w:r>
    </w:p>
    <w:p w14:paraId="0CFEF626" w14:textId="77777777" w:rsidR="008B568E" w:rsidRDefault="008B568E" w:rsidP="002E6AEA">
      <w:pPr>
        <w:pStyle w:val="Textparagrafu"/>
        <w:tabs>
          <w:tab w:val="left" w:pos="392"/>
          <w:tab w:val="left" w:pos="840"/>
        </w:tabs>
        <w:spacing w:before="0"/>
        <w:ind w:left="426" w:hanging="426"/>
      </w:pPr>
      <w:r w:rsidRPr="008B0305">
        <w:t>i)</w:t>
      </w:r>
      <w:r>
        <w:tab/>
      </w:r>
      <w:r w:rsidRPr="008B0305">
        <w:t>poskytnout</w:t>
      </w:r>
      <w:r>
        <w:t xml:space="preserve"> </w:t>
      </w:r>
      <w:r w:rsidRPr="008B0305">
        <w:t>provozovateli</w:t>
      </w:r>
      <w:r>
        <w:t xml:space="preserve"> </w:t>
      </w:r>
      <w:r w:rsidRPr="008B0305">
        <w:t>distribuční</w:t>
      </w:r>
      <w:r>
        <w:t xml:space="preserve"> </w:t>
      </w:r>
      <w:r w:rsidRPr="008B0305">
        <w:t>soustavy,</w:t>
      </w:r>
      <w:r>
        <w:t xml:space="preserve"> </w:t>
      </w:r>
      <w:r w:rsidRPr="008B0305">
        <w:t>na</w:t>
      </w:r>
      <w:r>
        <w:t xml:space="preserve"> </w:t>
      </w:r>
      <w:r w:rsidRPr="008B0305">
        <w:t>jehož</w:t>
      </w:r>
      <w:r>
        <w:t xml:space="preserve"> </w:t>
      </w:r>
      <w:r w:rsidRPr="008B0305">
        <w:t>vymezeném</w:t>
      </w:r>
      <w:r>
        <w:t xml:space="preserve"> </w:t>
      </w:r>
      <w:r w:rsidRPr="008B0305">
        <w:t>území</w:t>
      </w:r>
      <w:r>
        <w:t xml:space="preserve"> </w:t>
      </w:r>
      <w:r w:rsidRPr="008B0305">
        <w:t>vyrábí</w:t>
      </w:r>
      <w:r>
        <w:t xml:space="preserve"> </w:t>
      </w:r>
      <w:r w:rsidRPr="008B0305">
        <w:t>tepelnou</w:t>
      </w:r>
      <w:r>
        <w:t xml:space="preserve"> </w:t>
      </w:r>
      <w:r w:rsidRPr="008B0305">
        <w:t>energii,</w:t>
      </w:r>
      <w:r>
        <w:t xml:space="preserve"> </w:t>
      </w:r>
      <w:r w:rsidRPr="008B0305">
        <w:t>údaje</w:t>
      </w:r>
      <w:r>
        <w:t xml:space="preserve"> </w:t>
      </w:r>
      <w:r w:rsidRPr="008B0305">
        <w:t>vyžádané</w:t>
      </w:r>
      <w:r>
        <w:t xml:space="preserve"> </w:t>
      </w:r>
      <w:r w:rsidRPr="008B0305">
        <w:t>provozovatelem</w:t>
      </w:r>
      <w:r>
        <w:t xml:space="preserve"> </w:t>
      </w:r>
      <w:r w:rsidRPr="008B0305">
        <w:t>distribuční</w:t>
      </w:r>
      <w:r>
        <w:t xml:space="preserve"> </w:t>
      </w:r>
      <w:r w:rsidRPr="008B0305">
        <w:t>soustavy</w:t>
      </w:r>
      <w:r>
        <w:t xml:space="preserve"> </w:t>
      </w:r>
      <w:r w:rsidRPr="008B0305">
        <w:t>nezbytné</w:t>
      </w:r>
      <w:r>
        <w:t xml:space="preserve"> </w:t>
      </w:r>
      <w:r w:rsidRPr="008B0305">
        <w:t>pro</w:t>
      </w:r>
      <w:r>
        <w:t xml:space="preserve"> </w:t>
      </w:r>
      <w:r w:rsidRPr="008B0305">
        <w:t>vyhodnocení</w:t>
      </w:r>
      <w:r>
        <w:t xml:space="preserve"> </w:t>
      </w:r>
      <w:r w:rsidRPr="008B0305">
        <w:t>potenciálu</w:t>
      </w:r>
      <w:r>
        <w:t xml:space="preserve"> </w:t>
      </w:r>
      <w:r w:rsidRPr="008B0305">
        <w:t>tepelných</w:t>
      </w:r>
      <w:r>
        <w:t xml:space="preserve"> </w:t>
      </w:r>
      <w:r w:rsidRPr="008B0305">
        <w:t>zařízení</w:t>
      </w:r>
      <w:r>
        <w:t xml:space="preserve"> </w:t>
      </w:r>
      <w:r w:rsidRPr="008B0305">
        <w:t>pro</w:t>
      </w:r>
      <w:r>
        <w:t xml:space="preserve"> </w:t>
      </w:r>
      <w:r w:rsidRPr="008B0305">
        <w:t>poskytování</w:t>
      </w:r>
      <w:r>
        <w:t xml:space="preserve"> </w:t>
      </w:r>
      <w:r w:rsidRPr="008B0305">
        <w:t>flexibility</w:t>
      </w:r>
      <w:r>
        <w:t xml:space="preserve"> </w:t>
      </w:r>
      <w:r w:rsidRPr="008B0305">
        <w:t>pro</w:t>
      </w:r>
      <w:r>
        <w:t xml:space="preserve"> </w:t>
      </w:r>
      <w:r w:rsidRPr="008B0305">
        <w:t>zajištění</w:t>
      </w:r>
      <w:r>
        <w:t xml:space="preserve"> </w:t>
      </w:r>
      <w:r w:rsidRPr="008B0305">
        <w:t>služby</w:t>
      </w:r>
      <w:r>
        <w:t xml:space="preserve"> </w:t>
      </w:r>
      <w:r w:rsidRPr="008B0305">
        <w:t>distribuční</w:t>
      </w:r>
      <w:r>
        <w:t xml:space="preserve"> </w:t>
      </w:r>
      <w:r w:rsidRPr="008B0305">
        <w:t>soustavy.</w:t>
      </w:r>
    </w:p>
    <w:p w14:paraId="2C35B62B" w14:textId="77777777" w:rsidR="008B568E" w:rsidRDefault="008B568E" w:rsidP="0010420C">
      <w:pPr>
        <w:pStyle w:val="Textparagrafu"/>
        <w:tabs>
          <w:tab w:val="left" w:pos="392"/>
          <w:tab w:val="left" w:pos="840"/>
        </w:tabs>
        <w:spacing w:before="120" w:after="120"/>
      </w:pPr>
      <w:r w:rsidRPr="008B0305">
        <w:t>(10)</w:t>
      </w:r>
      <w:r>
        <w:t xml:space="preserve"> </w:t>
      </w:r>
      <w:r w:rsidRPr="008B0305">
        <w:t>Pokud</w:t>
      </w:r>
      <w:r>
        <w:t xml:space="preserve"> </w:t>
      </w:r>
      <w:r w:rsidRPr="008B0305">
        <w:t>byl</w:t>
      </w:r>
      <w:r>
        <w:t xml:space="preserve"> </w:t>
      </w:r>
      <w:r w:rsidRPr="008B0305">
        <w:t>vlastník</w:t>
      </w:r>
      <w:r>
        <w:t xml:space="preserve"> </w:t>
      </w:r>
      <w:r w:rsidRPr="008B0305">
        <w:t>nebo</w:t>
      </w:r>
      <w:r>
        <w:t xml:space="preserve"> </w:t>
      </w:r>
      <w:r w:rsidRPr="008B0305">
        <w:t>uživatel</w:t>
      </w:r>
      <w:r>
        <w:t xml:space="preserve"> </w:t>
      </w:r>
      <w:r w:rsidRPr="008B0305">
        <w:t>nemovitosti</w:t>
      </w:r>
      <w:r>
        <w:t xml:space="preserve"> </w:t>
      </w:r>
      <w:r w:rsidRPr="008B0305">
        <w:t>v</w:t>
      </w:r>
      <w:r>
        <w:t xml:space="preserve"> </w:t>
      </w:r>
      <w:r w:rsidRPr="008B0305">
        <w:t>důsledku</w:t>
      </w:r>
      <w:r>
        <w:t xml:space="preserve"> </w:t>
      </w:r>
      <w:r w:rsidRPr="008B0305">
        <w:t>výkonu</w:t>
      </w:r>
      <w:r>
        <w:t xml:space="preserve"> </w:t>
      </w:r>
      <w:r w:rsidRPr="008B0305">
        <w:t>práv</w:t>
      </w:r>
      <w:r>
        <w:t xml:space="preserve"> </w:t>
      </w:r>
      <w:r w:rsidRPr="008B0305">
        <w:t>držitele</w:t>
      </w:r>
      <w:r>
        <w:t xml:space="preserve"> </w:t>
      </w:r>
      <w:r w:rsidRPr="008B0305">
        <w:t>licence</w:t>
      </w:r>
      <w:r>
        <w:t xml:space="preserve"> </w:t>
      </w:r>
      <w:r w:rsidRPr="008B0305">
        <w:t>na</w:t>
      </w:r>
      <w:r>
        <w:t xml:space="preserve"> </w:t>
      </w:r>
      <w:r w:rsidRPr="008B0305">
        <w:t>rozvod</w:t>
      </w:r>
      <w:r>
        <w:t xml:space="preserve"> </w:t>
      </w:r>
      <w:r w:rsidRPr="008B0305">
        <w:t>tepelné</w:t>
      </w:r>
      <w:r>
        <w:t xml:space="preserve"> </w:t>
      </w:r>
      <w:r w:rsidRPr="008B0305">
        <w:t>energie</w:t>
      </w:r>
      <w:r>
        <w:t xml:space="preserve"> </w:t>
      </w:r>
      <w:r w:rsidRPr="008B0305">
        <w:t>podle</w:t>
      </w:r>
      <w:r>
        <w:t xml:space="preserve"> </w:t>
      </w:r>
      <w:r w:rsidRPr="008B0305">
        <w:t>odstavce</w:t>
      </w:r>
      <w:r>
        <w:t xml:space="preserve"> </w:t>
      </w:r>
      <w:r w:rsidRPr="008B0305">
        <w:t>5</w:t>
      </w:r>
      <w:r>
        <w:t xml:space="preserve"> </w:t>
      </w:r>
      <w:r w:rsidRPr="008B0305">
        <w:t>písm.</w:t>
      </w:r>
      <w:r>
        <w:t xml:space="preserve"> </w:t>
      </w:r>
      <w:r w:rsidRPr="008B0305">
        <w:t>a)</w:t>
      </w:r>
      <w:r>
        <w:t xml:space="preserve"> </w:t>
      </w:r>
      <w:r w:rsidRPr="008B0305">
        <w:t>nebo</w:t>
      </w:r>
      <w:r>
        <w:t xml:space="preserve"> </w:t>
      </w:r>
      <w:r w:rsidRPr="008B0305">
        <w:t>b)</w:t>
      </w:r>
      <w:r>
        <w:t xml:space="preserve"> </w:t>
      </w:r>
      <w:r w:rsidRPr="008B0305">
        <w:t>omezen</w:t>
      </w:r>
      <w:r>
        <w:t xml:space="preserve"> </w:t>
      </w:r>
      <w:r w:rsidRPr="008B0305">
        <w:t>v</w:t>
      </w:r>
      <w:r>
        <w:t xml:space="preserve"> </w:t>
      </w:r>
      <w:r w:rsidRPr="008B0305">
        <w:t>obvyklém</w:t>
      </w:r>
      <w:r>
        <w:t xml:space="preserve"> </w:t>
      </w:r>
      <w:r w:rsidRPr="008B0305">
        <w:t>užívání</w:t>
      </w:r>
      <w:r>
        <w:t xml:space="preserve"> </w:t>
      </w:r>
      <w:r w:rsidRPr="008B0305">
        <w:t>nemovitosti</w:t>
      </w:r>
      <w:r>
        <w:t xml:space="preserve"> </w:t>
      </w:r>
      <w:r w:rsidRPr="008B0305">
        <w:t>nebo</w:t>
      </w:r>
      <w:r>
        <w:t xml:space="preserve"> </w:t>
      </w:r>
      <w:r w:rsidRPr="008B0305">
        <w:t>mu</w:t>
      </w:r>
      <w:r>
        <w:t xml:space="preserve"> </w:t>
      </w:r>
      <w:r w:rsidRPr="008B0305">
        <w:t>vznikla</w:t>
      </w:r>
      <w:r>
        <w:t xml:space="preserve"> </w:t>
      </w:r>
      <w:r w:rsidRPr="008B0305">
        <w:t>újma</w:t>
      </w:r>
      <w:r>
        <w:t xml:space="preserve"> </w:t>
      </w:r>
      <w:r w:rsidRPr="008B0305">
        <w:t>na</w:t>
      </w:r>
      <w:r>
        <w:t xml:space="preserve"> </w:t>
      </w:r>
      <w:r w:rsidRPr="008B0305">
        <w:t>majetku,</w:t>
      </w:r>
      <w:r>
        <w:t xml:space="preserve"> </w:t>
      </w:r>
      <w:r w:rsidRPr="008B0305">
        <w:t>má</w:t>
      </w:r>
      <w:r>
        <w:t xml:space="preserve"> </w:t>
      </w:r>
      <w:r w:rsidRPr="008B0305">
        <w:t>právo</w:t>
      </w:r>
      <w:r>
        <w:t xml:space="preserve"> </w:t>
      </w:r>
      <w:r w:rsidRPr="008B0305">
        <w:t>na</w:t>
      </w:r>
      <w:r>
        <w:t xml:space="preserve"> </w:t>
      </w:r>
      <w:r w:rsidRPr="008B0305">
        <w:t>přiměřenou</w:t>
      </w:r>
      <w:r>
        <w:t xml:space="preserve"> </w:t>
      </w:r>
      <w:r w:rsidRPr="008B0305">
        <w:t>jednorázovou</w:t>
      </w:r>
      <w:r>
        <w:t xml:space="preserve"> </w:t>
      </w:r>
      <w:r w:rsidRPr="008B0305">
        <w:t>náhradu</w:t>
      </w:r>
      <w:r w:rsidRPr="005615B4">
        <w:rPr>
          <w:vertAlign w:val="superscript"/>
        </w:rPr>
        <w:t>5)</w:t>
      </w:r>
      <w:r w:rsidRPr="008B0305">
        <w:t>.</w:t>
      </w:r>
      <w:r>
        <w:t xml:space="preserve"> </w:t>
      </w:r>
      <w:r w:rsidRPr="008B0305">
        <w:t>Právo</w:t>
      </w:r>
      <w:r>
        <w:t xml:space="preserve"> </w:t>
      </w:r>
      <w:r w:rsidRPr="008B0305">
        <w:t>na</w:t>
      </w:r>
      <w:r>
        <w:t xml:space="preserve"> </w:t>
      </w:r>
      <w:r w:rsidRPr="008B0305">
        <w:t>náhradu</w:t>
      </w:r>
      <w:r>
        <w:t xml:space="preserve"> </w:t>
      </w:r>
      <w:r w:rsidRPr="008B0305">
        <w:t>podle</w:t>
      </w:r>
      <w:r>
        <w:t xml:space="preserve"> </w:t>
      </w:r>
      <w:r w:rsidRPr="008B0305">
        <w:t>věty</w:t>
      </w:r>
      <w:r>
        <w:t xml:space="preserve"> </w:t>
      </w:r>
      <w:r w:rsidRPr="008B0305">
        <w:t>první</w:t>
      </w:r>
      <w:r>
        <w:t xml:space="preserve"> </w:t>
      </w:r>
      <w:r w:rsidRPr="008B0305">
        <w:t>lze</w:t>
      </w:r>
      <w:r>
        <w:t xml:space="preserve"> </w:t>
      </w:r>
      <w:r w:rsidRPr="008B0305">
        <w:t>uplatnit</w:t>
      </w:r>
      <w:r>
        <w:t xml:space="preserve"> </w:t>
      </w:r>
      <w:r w:rsidRPr="008B0305">
        <w:t>u</w:t>
      </w:r>
      <w:r>
        <w:t xml:space="preserve"> </w:t>
      </w:r>
      <w:r w:rsidRPr="008B0305">
        <w:t>držitele</w:t>
      </w:r>
      <w:r>
        <w:t xml:space="preserve"> </w:t>
      </w:r>
      <w:r w:rsidRPr="008B0305">
        <w:t>licence</w:t>
      </w:r>
      <w:r>
        <w:t xml:space="preserve"> </w:t>
      </w:r>
      <w:r w:rsidRPr="008B0305">
        <w:t>na</w:t>
      </w:r>
      <w:r>
        <w:t xml:space="preserve"> </w:t>
      </w:r>
      <w:r w:rsidRPr="008B0305">
        <w:t>rozvod</w:t>
      </w:r>
      <w:r>
        <w:t xml:space="preserve"> </w:t>
      </w:r>
      <w:r w:rsidRPr="008B0305">
        <w:t>tepelné</w:t>
      </w:r>
      <w:r>
        <w:t xml:space="preserve"> </w:t>
      </w:r>
      <w:r w:rsidRPr="008B0305">
        <w:t>energie</w:t>
      </w:r>
      <w:r>
        <w:t xml:space="preserve"> </w:t>
      </w:r>
      <w:r w:rsidRPr="008B0305">
        <w:t>do</w:t>
      </w:r>
      <w:r>
        <w:t xml:space="preserve"> </w:t>
      </w:r>
      <w:r w:rsidRPr="008B0305">
        <w:t>2</w:t>
      </w:r>
      <w:r>
        <w:t xml:space="preserve"> </w:t>
      </w:r>
      <w:r w:rsidRPr="008B0305">
        <w:t>let</w:t>
      </w:r>
      <w:r>
        <w:t xml:space="preserve"> </w:t>
      </w:r>
      <w:r w:rsidRPr="008B0305">
        <w:t>ode</w:t>
      </w:r>
      <w:r>
        <w:t xml:space="preserve"> </w:t>
      </w:r>
      <w:r w:rsidRPr="008B0305">
        <w:t>dne,</w:t>
      </w:r>
      <w:r>
        <w:t xml:space="preserve"> </w:t>
      </w:r>
      <w:r w:rsidRPr="008B0305">
        <w:t>kdy</w:t>
      </w:r>
      <w:r>
        <w:t xml:space="preserve"> </w:t>
      </w:r>
      <w:r w:rsidRPr="008B0305">
        <w:t>k</w:t>
      </w:r>
      <w:r>
        <w:t xml:space="preserve"> </w:t>
      </w:r>
      <w:r w:rsidRPr="008B0305">
        <w:t>omezení</w:t>
      </w:r>
      <w:r>
        <w:t xml:space="preserve"> </w:t>
      </w:r>
      <w:r w:rsidRPr="008B0305">
        <w:t>nebo</w:t>
      </w:r>
      <w:r>
        <w:t xml:space="preserve"> </w:t>
      </w:r>
      <w:r w:rsidRPr="008B0305">
        <w:t>újmě</w:t>
      </w:r>
      <w:r>
        <w:t xml:space="preserve"> </w:t>
      </w:r>
      <w:r w:rsidRPr="008B0305">
        <w:t>došlo,</w:t>
      </w:r>
      <w:r>
        <w:t xml:space="preserve"> </w:t>
      </w:r>
      <w:r w:rsidRPr="008B0305">
        <w:t>jinak</w:t>
      </w:r>
      <w:r>
        <w:t xml:space="preserve"> </w:t>
      </w:r>
      <w:r w:rsidRPr="008B0305">
        <w:t>právo</w:t>
      </w:r>
      <w:r>
        <w:t xml:space="preserve"> </w:t>
      </w:r>
      <w:r w:rsidRPr="008B0305">
        <w:t>zaniká.</w:t>
      </w:r>
    </w:p>
    <w:p w14:paraId="239A6976" w14:textId="77777777" w:rsidR="008B568E" w:rsidRPr="008B0305" w:rsidRDefault="008B568E" w:rsidP="0010420C">
      <w:pPr>
        <w:pStyle w:val="Textparagrafu"/>
        <w:tabs>
          <w:tab w:val="left" w:pos="392"/>
          <w:tab w:val="left" w:pos="840"/>
        </w:tabs>
        <w:spacing w:before="120" w:after="120"/>
        <w:ind w:firstLine="426"/>
      </w:pPr>
      <w:r w:rsidRPr="008B0305">
        <w:t>(11)</w:t>
      </w:r>
      <w:r>
        <w:t xml:space="preserve"> </w:t>
      </w:r>
      <w:r w:rsidRPr="008B0305">
        <w:t>Rozvodné</w:t>
      </w:r>
      <w:r>
        <w:t xml:space="preserve"> </w:t>
      </w:r>
      <w:r w:rsidRPr="008B0305">
        <w:t>tepelné</w:t>
      </w:r>
      <w:r>
        <w:t xml:space="preserve"> </w:t>
      </w:r>
      <w:r w:rsidRPr="008B0305">
        <w:t>zařízení</w:t>
      </w:r>
      <w:r>
        <w:t xml:space="preserve"> </w:t>
      </w:r>
      <w:r w:rsidRPr="008B0305">
        <w:t>nebo</w:t>
      </w:r>
      <w:r>
        <w:t xml:space="preserve"> </w:t>
      </w:r>
      <w:r w:rsidRPr="008B0305">
        <w:t>jeho</w:t>
      </w:r>
      <w:r>
        <w:t xml:space="preserve"> </w:t>
      </w:r>
      <w:r w:rsidRPr="008B0305">
        <w:t>část</w:t>
      </w:r>
      <w:r>
        <w:t xml:space="preserve"> </w:t>
      </w:r>
      <w:r w:rsidRPr="008B0305">
        <w:t>může</w:t>
      </w:r>
      <w:r>
        <w:t xml:space="preserve"> </w:t>
      </w:r>
      <w:r w:rsidRPr="008B0305">
        <w:t>za</w:t>
      </w:r>
      <w:r>
        <w:t xml:space="preserve"> </w:t>
      </w:r>
      <w:r w:rsidRPr="008B0305">
        <w:t>předpokladu,</w:t>
      </w:r>
      <w:r>
        <w:t xml:space="preserve"> </w:t>
      </w:r>
      <w:r w:rsidRPr="008B0305">
        <w:t>že</w:t>
      </w:r>
      <w:r>
        <w:t xml:space="preserve"> </w:t>
      </w:r>
      <w:r w:rsidRPr="008B0305">
        <w:t>neohrozí</w:t>
      </w:r>
      <w:r>
        <w:t xml:space="preserve"> </w:t>
      </w:r>
      <w:r w:rsidRPr="008B0305">
        <w:t>jejich</w:t>
      </w:r>
      <w:r>
        <w:t xml:space="preserve"> </w:t>
      </w:r>
      <w:r w:rsidRPr="008B0305">
        <w:t>spolehlivost</w:t>
      </w:r>
      <w:r>
        <w:t xml:space="preserve"> </w:t>
      </w:r>
      <w:r w:rsidRPr="008B0305">
        <w:t>nebo</w:t>
      </w:r>
      <w:r>
        <w:t xml:space="preserve"> </w:t>
      </w:r>
      <w:r w:rsidRPr="008B0305">
        <w:t>bezpečnost</w:t>
      </w:r>
      <w:r>
        <w:t xml:space="preserve"> </w:t>
      </w:r>
      <w:r w:rsidRPr="008B0305">
        <w:t>provozu</w:t>
      </w:r>
      <w:r>
        <w:t xml:space="preserve"> </w:t>
      </w:r>
      <w:r w:rsidRPr="008B0305">
        <w:t>nebo</w:t>
      </w:r>
      <w:r>
        <w:t xml:space="preserve"> </w:t>
      </w:r>
      <w:r w:rsidRPr="008B0305">
        <w:t>že</w:t>
      </w:r>
      <w:r>
        <w:t xml:space="preserve"> </w:t>
      </w:r>
      <w:r w:rsidRPr="008B0305">
        <w:t>neohrozí</w:t>
      </w:r>
      <w:r>
        <w:t xml:space="preserve"> </w:t>
      </w:r>
      <w:r w:rsidRPr="008B0305">
        <w:t>život,</w:t>
      </w:r>
      <w:r>
        <w:t xml:space="preserve"> </w:t>
      </w:r>
      <w:r w:rsidRPr="008B0305">
        <w:t>zdraví</w:t>
      </w:r>
      <w:r>
        <w:t xml:space="preserve"> </w:t>
      </w:r>
      <w:r w:rsidRPr="008B0305">
        <w:t>či</w:t>
      </w:r>
      <w:r>
        <w:t xml:space="preserve"> </w:t>
      </w:r>
      <w:r w:rsidRPr="008B0305">
        <w:t>majetek</w:t>
      </w:r>
      <w:r>
        <w:t xml:space="preserve"> </w:t>
      </w:r>
      <w:r w:rsidRPr="008B0305">
        <w:t>osob,</w:t>
      </w:r>
      <w:r>
        <w:t xml:space="preserve"> </w:t>
      </w:r>
      <w:r w:rsidRPr="008B0305">
        <w:t>křížit</w:t>
      </w:r>
      <w:r>
        <w:t xml:space="preserve"> </w:t>
      </w:r>
      <w:r w:rsidRPr="008B0305">
        <w:t>pozemní</w:t>
      </w:r>
      <w:r>
        <w:t xml:space="preserve"> </w:t>
      </w:r>
      <w:r w:rsidRPr="008B0305">
        <w:t>komunikace,</w:t>
      </w:r>
      <w:r>
        <w:t xml:space="preserve"> </w:t>
      </w:r>
      <w:r w:rsidRPr="008B0305">
        <w:t>dráhy,</w:t>
      </w:r>
      <w:r>
        <w:t xml:space="preserve"> </w:t>
      </w:r>
      <w:r w:rsidRPr="008B0305">
        <w:t>vodní</w:t>
      </w:r>
      <w:r>
        <w:t xml:space="preserve"> </w:t>
      </w:r>
      <w:r w:rsidRPr="008B0305">
        <w:t>toky,</w:t>
      </w:r>
      <w:r>
        <w:t xml:space="preserve"> </w:t>
      </w:r>
      <w:r w:rsidRPr="008B0305">
        <w:t>telekomunikační</w:t>
      </w:r>
      <w:r>
        <w:t xml:space="preserve"> </w:t>
      </w:r>
      <w:r w:rsidRPr="008B0305">
        <w:t>vedení,</w:t>
      </w:r>
      <w:r>
        <w:t xml:space="preserve"> </w:t>
      </w:r>
      <w:r w:rsidRPr="008B0305">
        <w:t>veškeré</w:t>
      </w:r>
      <w:r>
        <w:t xml:space="preserve"> </w:t>
      </w:r>
      <w:r w:rsidRPr="008B0305">
        <w:t>potrubní</w:t>
      </w:r>
      <w:r>
        <w:t xml:space="preserve"> </w:t>
      </w:r>
      <w:r w:rsidRPr="008B0305">
        <w:t>systémy</w:t>
      </w:r>
      <w:r>
        <w:t xml:space="preserve"> </w:t>
      </w:r>
      <w:r w:rsidRPr="008B0305">
        <w:t>a</w:t>
      </w:r>
      <w:r>
        <w:t xml:space="preserve"> </w:t>
      </w:r>
      <w:r w:rsidRPr="008B0305">
        <w:t>ostatní</w:t>
      </w:r>
      <w:r>
        <w:t xml:space="preserve"> </w:t>
      </w:r>
      <w:r w:rsidRPr="008B0305">
        <w:t>zařízení</w:t>
      </w:r>
      <w:r>
        <w:t xml:space="preserve"> </w:t>
      </w:r>
      <w:r w:rsidRPr="008B0305">
        <w:t>nebo</w:t>
      </w:r>
      <w:r>
        <w:t xml:space="preserve"> </w:t>
      </w:r>
      <w:r w:rsidRPr="008B0305">
        <w:t>s</w:t>
      </w:r>
      <w:r>
        <w:t xml:space="preserve"> </w:t>
      </w:r>
      <w:r w:rsidRPr="008B0305">
        <w:t>nimi</w:t>
      </w:r>
      <w:r>
        <w:t xml:space="preserve"> </w:t>
      </w:r>
      <w:r w:rsidRPr="008B0305">
        <w:t>být</w:t>
      </w:r>
      <w:r>
        <w:t xml:space="preserve"> </w:t>
      </w:r>
      <w:r w:rsidRPr="008B0305">
        <w:t>v</w:t>
      </w:r>
      <w:r>
        <w:t xml:space="preserve"> </w:t>
      </w:r>
      <w:r w:rsidRPr="008B0305">
        <w:t>souběhu,</w:t>
      </w:r>
      <w:r>
        <w:t xml:space="preserve"> </w:t>
      </w:r>
      <w:r w:rsidRPr="008B0305">
        <w:t>a</w:t>
      </w:r>
      <w:r>
        <w:t xml:space="preserve"> </w:t>
      </w:r>
      <w:r w:rsidRPr="008B0305">
        <w:t>to</w:t>
      </w:r>
      <w:r>
        <w:t xml:space="preserve"> </w:t>
      </w:r>
      <w:r w:rsidRPr="008B0305">
        <w:t>způsobem</w:t>
      </w:r>
      <w:r>
        <w:t xml:space="preserve"> </w:t>
      </w:r>
      <w:r w:rsidRPr="008B0305">
        <w:t>přiměřeným</w:t>
      </w:r>
      <w:r>
        <w:t xml:space="preserve"> </w:t>
      </w:r>
      <w:r w:rsidRPr="008B0305">
        <w:t>ochraně</w:t>
      </w:r>
      <w:r>
        <w:t xml:space="preserve"> </w:t>
      </w:r>
      <w:r w:rsidRPr="008B0305">
        <w:t>životního</w:t>
      </w:r>
      <w:r>
        <w:t xml:space="preserve"> </w:t>
      </w:r>
      <w:r w:rsidRPr="008B0305">
        <w:t>prostředí</w:t>
      </w:r>
      <w:r>
        <w:t xml:space="preserve"> </w:t>
      </w:r>
      <w:r w:rsidRPr="008B0305">
        <w:t>tak,</w:t>
      </w:r>
      <w:r>
        <w:t xml:space="preserve"> </w:t>
      </w:r>
      <w:r w:rsidRPr="008B0305">
        <w:t>aby</w:t>
      </w:r>
      <w:r>
        <w:t xml:space="preserve"> </w:t>
      </w:r>
      <w:r w:rsidRPr="008B0305">
        <w:t>byly</w:t>
      </w:r>
      <w:r>
        <w:t xml:space="preserve"> </w:t>
      </w:r>
      <w:r w:rsidRPr="008B0305">
        <w:t>co</w:t>
      </w:r>
      <w:r>
        <w:t xml:space="preserve"> </w:t>
      </w:r>
      <w:r w:rsidRPr="008B0305">
        <w:t>nejméně</w:t>
      </w:r>
      <w:r>
        <w:t xml:space="preserve"> </w:t>
      </w:r>
      <w:r w:rsidRPr="008B0305">
        <w:t>dotčeny</w:t>
      </w:r>
      <w:r>
        <w:t xml:space="preserve"> </w:t>
      </w:r>
      <w:r w:rsidRPr="008B0305">
        <w:t>zájmy</w:t>
      </w:r>
      <w:r>
        <w:t xml:space="preserve"> </w:t>
      </w:r>
      <w:r w:rsidRPr="008B0305">
        <w:t>zúčastněných</w:t>
      </w:r>
      <w:r>
        <w:t xml:space="preserve"> </w:t>
      </w:r>
      <w:r w:rsidRPr="008B0305">
        <w:t>vlastníků.</w:t>
      </w:r>
      <w:r>
        <w:t xml:space="preserve"> </w:t>
      </w:r>
      <w:r w:rsidRPr="008B0305">
        <w:t>Souběhem</w:t>
      </w:r>
      <w:r>
        <w:t xml:space="preserve"> </w:t>
      </w:r>
      <w:r w:rsidRPr="008B0305">
        <w:t>je,</w:t>
      </w:r>
      <w:r>
        <w:t xml:space="preserve"> </w:t>
      </w:r>
      <w:r w:rsidRPr="008B0305">
        <w:t>když</w:t>
      </w:r>
      <w:r>
        <w:t xml:space="preserve"> </w:t>
      </w:r>
      <w:r w:rsidRPr="008B0305">
        <w:t>jedno</w:t>
      </w:r>
      <w:r>
        <w:t xml:space="preserve"> </w:t>
      </w:r>
      <w:r w:rsidRPr="008B0305">
        <w:t>zařízení</w:t>
      </w:r>
      <w:r>
        <w:t xml:space="preserve"> </w:t>
      </w:r>
      <w:r w:rsidRPr="008B0305">
        <w:t>zasahuje</w:t>
      </w:r>
      <w:r>
        <w:t xml:space="preserve"> </w:t>
      </w:r>
      <w:r w:rsidRPr="008B0305">
        <w:t>svým</w:t>
      </w:r>
      <w:r>
        <w:t xml:space="preserve"> </w:t>
      </w:r>
      <w:r w:rsidRPr="008B0305">
        <w:t>ochranným</w:t>
      </w:r>
      <w:r>
        <w:t xml:space="preserve"> </w:t>
      </w:r>
      <w:r w:rsidRPr="008B0305">
        <w:t>pásmem</w:t>
      </w:r>
      <w:r>
        <w:t xml:space="preserve"> </w:t>
      </w:r>
      <w:r w:rsidRPr="008B0305">
        <w:t>do</w:t>
      </w:r>
      <w:r>
        <w:t xml:space="preserve"> </w:t>
      </w:r>
      <w:r w:rsidRPr="008B0305">
        <w:t>ochranného,</w:t>
      </w:r>
      <w:r>
        <w:t xml:space="preserve"> </w:t>
      </w:r>
      <w:r w:rsidRPr="008B0305">
        <w:t>případně</w:t>
      </w:r>
      <w:r>
        <w:t xml:space="preserve"> </w:t>
      </w:r>
      <w:r w:rsidRPr="008B0305">
        <w:t>bezpečnostního</w:t>
      </w:r>
      <w:r>
        <w:t xml:space="preserve"> </w:t>
      </w:r>
      <w:r w:rsidRPr="008B0305">
        <w:t>pásma</w:t>
      </w:r>
      <w:r>
        <w:t xml:space="preserve"> </w:t>
      </w:r>
      <w:r w:rsidRPr="008B0305">
        <w:t>druhého</w:t>
      </w:r>
      <w:r>
        <w:t xml:space="preserve"> </w:t>
      </w:r>
      <w:r w:rsidRPr="008B0305">
        <w:t>zařízení.</w:t>
      </w:r>
      <w:r>
        <w:t xml:space="preserve"> </w:t>
      </w:r>
      <w:r w:rsidRPr="008B0305">
        <w:t>Při</w:t>
      </w:r>
      <w:r>
        <w:t xml:space="preserve"> </w:t>
      </w:r>
      <w:r w:rsidRPr="008B0305">
        <w:t>opravách</w:t>
      </w:r>
      <w:r>
        <w:t xml:space="preserve"> </w:t>
      </w:r>
      <w:r w:rsidRPr="008B0305">
        <w:t>poruch</w:t>
      </w:r>
      <w:r>
        <w:t xml:space="preserve"> </w:t>
      </w:r>
      <w:r w:rsidRPr="008B0305">
        <w:t>a</w:t>
      </w:r>
      <w:r>
        <w:t xml:space="preserve"> </w:t>
      </w:r>
      <w:r w:rsidRPr="008B0305">
        <w:t>při</w:t>
      </w:r>
      <w:r>
        <w:t xml:space="preserve"> </w:t>
      </w:r>
      <w:r w:rsidRPr="008B0305">
        <w:t>stavebních</w:t>
      </w:r>
      <w:r>
        <w:t xml:space="preserve"> </w:t>
      </w:r>
      <w:r w:rsidRPr="008B0305">
        <w:t>úpravách</w:t>
      </w:r>
      <w:r>
        <w:t xml:space="preserve"> </w:t>
      </w:r>
      <w:r w:rsidRPr="008B0305">
        <w:t>zařízení</w:t>
      </w:r>
      <w:r>
        <w:t xml:space="preserve"> </w:t>
      </w:r>
      <w:r w:rsidRPr="008B0305">
        <w:t>je</w:t>
      </w:r>
      <w:r>
        <w:t xml:space="preserve"> </w:t>
      </w:r>
      <w:r w:rsidRPr="008B0305">
        <w:t>provozovatel</w:t>
      </w:r>
      <w:r>
        <w:t xml:space="preserve"> </w:t>
      </w:r>
      <w:r w:rsidRPr="008B0305">
        <w:t>rozvodného</w:t>
      </w:r>
      <w:r>
        <w:t xml:space="preserve"> </w:t>
      </w:r>
      <w:r w:rsidRPr="008B0305">
        <w:t>tepelného</w:t>
      </w:r>
      <w:r>
        <w:t xml:space="preserve"> </w:t>
      </w:r>
      <w:r w:rsidRPr="008B0305">
        <w:t>zařízení</w:t>
      </w:r>
      <w:r>
        <w:t xml:space="preserve"> </w:t>
      </w:r>
      <w:r w:rsidRPr="008B0305">
        <w:t>povinen</w:t>
      </w:r>
      <w:r>
        <w:t xml:space="preserve"> </w:t>
      </w:r>
      <w:r w:rsidRPr="008B0305">
        <w:t>respektovat</w:t>
      </w:r>
      <w:r>
        <w:t xml:space="preserve"> </w:t>
      </w:r>
      <w:r w:rsidRPr="008B0305">
        <w:t>vyjádření</w:t>
      </w:r>
      <w:r>
        <w:t xml:space="preserve"> </w:t>
      </w:r>
      <w:r w:rsidRPr="008B0305">
        <w:t>ostatních</w:t>
      </w:r>
      <w:r>
        <w:t xml:space="preserve"> </w:t>
      </w:r>
      <w:r w:rsidRPr="008B0305">
        <w:t>uživatelů</w:t>
      </w:r>
      <w:r>
        <w:t xml:space="preserve"> </w:t>
      </w:r>
      <w:r w:rsidRPr="008B0305">
        <w:t>trasy,</w:t>
      </w:r>
      <w:r>
        <w:t xml:space="preserve"> </w:t>
      </w:r>
      <w:r w:rsidRPr="008B0305">
        <w:t>zejména</w:t>
      </w:r>
      <w:r>
        <w:t xml:space="preserve"> </w:t>
      </w:r>
      <w:r w:rsidRPr="008B0305">
        <w:t>předepsaný</w:t>
      </w:r>
      <w:r>
        <w:t xml:space="preserve"> </w:t>
      </w:r>
      <w:r w:rsidRPr="008B0305">
        <w:t>technologický</w:t>
      </w:r>
      <w:r>
        <w:t xml:space="preserve"> </w:t>
      </w:r>
      <w:r w:rsidRPr="008B0305">
        <w:t>postup</w:t>
      </w:r>
      <w:r>
        <w:t xml:space="preserve"> </w:t>
      </w:r>
      <w:r w:rsidRPr="008B0305">
        <w:t>při</w:t>
      </w:r>
      <w:r>
        <w:t xml:space="preserve"> </w:t>
      </w:r>
      <w:r w:rsidRPr="008B0305">
        <w:t>zemních</w:t>
      </w:r>
      <w:r>
        <w:t xml:space="preserve"> </w:t>
      </w:r>
      <w:r w:rsidRPr="008B0305">
        <w:t>pracích</w:t>
      </w:r>
      <w:r>
        <w:t xml:space="preserve"> </w:t>
      </w:r>
      <w:r w:rsidRPr="008B0305">
        <w:t>tak,</w:t>
      </w:r>
      <w:r>
        <w:t xml:space="preserve"> </w:t>
      </w:r>
      <w:r w:rsidRPr="008B0305">
        <w:t>aby</w:t>
      </w:r>
      <w:r>
        <w:t xml:space="preserve"> </w:t>
      </w:r>
      <w:r w:rsidRPr="008B0305">
        <w:t>byly</w:t>
      </w:r>
      <w:r>
        <w:t xml:space="preserve"> </w:t>
      </w:r>
      <w:r w:rsidRPr="008B0305">
        <w:t>co</w:t>
      </w:r>
      <w:r>
        <w:t xml:space="preserve"> </w:t>
      </w:r>
      <w:r w:rsidRPr="008B0305">
        <w:t>nejméně</w:t>
      </w:r>
      <w:r>
        <w:t xml:space="preserve"> </w:t>
      </w:r>
      <w:r w:rsidRPr="008B0305">
        <w:t>dotčeny</w:t>
      </w:r>
      <w:r>
        <w:t xml:space="preserve"> </w:t>
      </w:r>
      <w:r w:rsidRPr="008B0305">
        <w:t>zájmy</w:t>
      </w:r>
      <w:r>
        <w:t xml:space="preserve"> </w:t>
      </w:r>
      <w:r w:rsidRPr="008B0305">
        <w:t>zúčastněných</w:t>
      </w:r>
      <w:r>
        <w:t xml:space="preserve"> </w:t>
      </w:r>
      <w:r w:rsidRPr="008B0305">
        <w:t>vlastníků.</w:t>
      </w:r>
    </w:p>
    <w:p w14:paraId="1F3946B7" w14:textId="79C1B0E3" w:rsidR="00FF7A85" w:rsidRDefault="008B568E" w:rsidP="008B568E">
      <w:pPr>
        <w:pStyle w:val="Textparagrafu"/>
        <w:tabs>
          <w:tab w:val="left" w:pos="406"/>
          <w:tab w:val="left" w:pos="840"/>
          <w:tab w:val="left" w:pos="868"/>
        </w:tabs>
        <w:spacing w:after="120"/>
        <w:ind w:firstLine="0"/>
        <w:jc w:val="center"/>
      </w:pPr>
      <w:r>
        <w:t>***</w:t>
      </w:r>
    </w:p>
    <w:p w14:paraId="4AA3A1BA" w14:textId="77777777" w:rsidR="008B568E" w:rsidRDefault="008B568E" w:rsidP="008B568E">
      <w:pPr>
        <w:pStyle w:val="Textparagrafu"/>
        <w:tabs>
          <w:tab w:val="left" w:pos="392"/>
          <w:tab w:val="left" w:pos="840"/>
        </w:tabs>
        <w:spacing w:after="120"/>
        <w:ind w:firstLine="0"/>
        <w:jc w:val="center"/>
      </w:pPr>
      <w:r w:rsidRPr="005615B4">
        <w:lastRenderedPageBreak/>
        <w:t>§</w:t>
      </w:r>
      <w:r>
        <w:t xml:space="preserve"> </w:t>
      </w:r>
      <w:r w:rsidRPr="005615B4">
        <w:t>95j</w:t>
      </w:r>
    </w:p>
    <w:p w14:paraId="028034D7" w14:textId="77777777" w:rsidR="008B568E" w:rsidRPr="008B568E" w:rsidRDefault="008B568E" w:rsidP="008B568E">
      <w:pPr>
        <w:pStyle w:val="Textparagrafu"/>
        <w:tabs>
          <w:tab w:val="left" w:pos="392"/>
          <w:tab w:val="left" w:pos="840"/>
        </w:tabs>
        <w:spacing w:after="120"/>
        <w:ind w:firstLine="0"/>
        <w:jc w:val="center"/>
        <w:rPr>
          <w:b/>
        </w:rPr>
      </w:pPr>
      <w:r w:rsidRPr="008B568E">
        <w:rPr>
          <w:b/>
        </w:rPr>
        <w:t>Vyúčtování</w:t>
      </w:r>
    </w:p>
    <w:p w14:paraId="0B77CE89" w14:textId="77777777" w:rsidR="008B568E" w:rsidRDefault="008B568E" w:rsidP="0010420C">
      <w:pPr>
        <w:pStyle w:val="Textparagrafu"/>
        <w:tabs>
          <w:tab w:val="left" w:pos="392"/>
          <w:tab w:val="left" w:pos="840"/>
        </w:tabs>
        <w:spacing w:before="120" w:after="120"/>
      </w:pPr>
      <w:r w:rsidRPr="005615B4">
        <w:t>(1)</w:t>
      </w:r>
      <w:r>
        <w:t xml:space="preserve"> </w:t>
      </w:r>
      <w:r w:rsidRPr="005615B4">
        <w:t>Poplatník</w:t>
      </w:r>
      <w:r>
        <w:t xml:space="preserve"> </w:t>
      </w:r>
      <w:r w:rsidRPr="005615B4">
        <w:t>odvodu</w:t>
      </w:r>
      <w:r>
        <w:t xml:space="preserve"> </w:t>
      </w:r>
      <w:r w:rsidRPr="005615B4">
        <w:t>z</w:t>
      </w:r>
      <w:r>
        <w:t xml:space="preserve"> </w:t>
      </w:r>
      <w:r w:rsidRPr="005615B4">
        <w:t>nadměrných</w:t>
      </w:r>
      <w:r>
        <w:t xml:space="preserve"> </w:t>
      </w:r>
      <w:r w:rsidRPr="005615B4">
        <w:t>příjmů</w:t>
      </w:r>
      <w:r>
        <w:t xml:space="preserve"> </w:t>
      </w:r>
      <w:r w:rsidRPr="005615B4">
        <w:t>je</w:t>
      </w:r>
      <w:r>
        <w:t xml:space="preserve"> </w:t>
      </w:r>
      <w:r w:rsidRPr="005615B4">
        <w:t>povinen</w:t>
      </w:r>
      <w:r>
        <w:t xml:space="preserve"> </w:t>
      </w:r>
      <w:r w:rsidRPr="005615B4">
        <w:t>podat</w:t>
      </w:r>
      <w:r>
        <w:t xml:space="preserve"> </w:t>
      </w:r>
      <w:r w:rsidRPr="005615B4">
        <w:t>vyúčtování</w:t>
      </w:r>
      <w:r>
        <w:t xml:space="preserve"> </w:t>
      </w:r>
      <w:r w:rsidRPr="005615B4">
        <w:t>odvodu</w:t>
      </w:r>
      <w:r>
        <w:t xml:space="preserve"> </w:t>
      </w:r>
      <w:r w:rsidRPr="005615B4">
        <w:t>z</w:t>
      </w:r>
      <w:r>
        <w:t xml:space="preserve"> </w:t>
      </w:r>
      <w:r w:rsidRPr="005615B4">
        <w:t>nadměrných</w:t>
      </w:r>
      <w:r>
        <w:t xml:space="preserve"> </w:t>
      </w:r>
      <w:r w:rsidRPr="005615B4">
        <w:t>příjmů</w:t>
      </w:r>
      <w:r>
        <w:t xml:space="preserve"> </w:t>
      </w:r>
      <w:r w:rsidRPr="005615B4">
        <w:t>za</w:t>
      </w:r>
    </w:p>
    <w:p w14:paraId="0E3B1A9E" w14:textId="607263AE" w:rsidR="008B568E" w:rsidRDefault="008B568E" w:rsidP="008B568E">
      <w:pPr>
        <w:pStyle w:val="Textparagrafu"/>
        <w:tabs>
          <w:tab w:val="left" w:pos="392"/>
          <w:tab w:val="left" w:pos="840"/>
        </w:tabs>
        <w:spacing w:before="0"/>
        <w:ind w:firstLine="0"/>
      </w:pPr>
      <w:r w:rsidRPr="005615B4">
        <w:t>a)</w:t>
      </w:r>
      <w:r w:rsidR="002E6AEA">
        <w:tab/>
      </w:r>
      <w:r w:rsidRPr="005615B4">
        <w:t>první</w:t>
      </w:r>
      <w:r>
        <w:t xml:space="preserve"> </w:t>
      </w:r>
      <w:r w:rsidRPr="005615B4">
        <w:t>odvodové</w:t>
      </w:r>
      <w:r>
        <w:t xml:space="preserve"> </w:t>
      </w:r>
      <w:r w:rsidRPr="005615B4">
        <w:t>období</w:t>
      </w:r>
      <w:r>
        <w:t xml:space="preserve"> </w:t>
      </w:r>
      <w:r w:rsidRPr="005615B4">
        <w:t>do</w:t>
      </w:r>
      <w:r>
        <w:t xml:space="preserve"> </w:t>
      </w:r>
      <w:r w:rsidRPr="005615B4">
        <w:t>2</w:t>
      </w:r>
      <w:r>
        <w:t xml:space="preserve"> </w:t>
      </w:r>
      <w:r w:rsidRPr="005615B4">
        <w:t>měsíců</w:t>
      </w:r>
      <w:r>
        <w:t xml:space="preserve"> </w:t>
      </w:r>
      <w:r w:rsidRPr="005615B4">
        <w:t>po</w:t>
      </w:r>
      <w:r>
        <w:t xml:space="preserve"> </w:t>
      </w:r>
      <w:r w:rsidRPr="005615B4">
        <w:t>uplynutí</w:t>
      </w:r>
      <w:r>
        <w:t xml:space="preserve"> </w:t>
      </w:r>
      <w:r w:rsidRPr="005615B4">
        <w:t>tohoto</w:t>
      </w:r>
      <w:r>
        <w:t xml:space="preserve"> </w:t>
      </w:r>
      <w:r w:rsidRPr="005615B4">
        <w:t>odvodového</w:t>
      </w:r>
      <w:r>
        <w:t xml:space="preserve"> </w:t>
      </w:r>
      <w:r w:rsidRPr="005615B4">
        <w:t>období,</w:t>
      </w:r>
    </w:p>
    <w:p w14:paraId="0C78D664" w14:textId="197C87D6" w:rsidR="008B568E" w:rsidRDefault="008B568E" w:rsidP="008B568E">
      <w:pPr>
        <w:pStyle w:val="Textparagrafu"/>
        <w:tabs>
          <w:tab w:val="left" w:pos="392"/>
          <w:tab w:val="left" w:pos="840"/>
        </w:tabs>
        <w:spacing w:before="0"/>
        <w:ind w:firstLine="0"/>
      </w:pPr>
      <w:r w:rsidRPr="005615B4">
        <w:t>b)</w:t>
      </w:r>
      <w:r w:rsidR="002E6AEA">
        <w:tab/>
      </w:r>
      <w:r w:rsidRPr="005615B4">
        <w:t>druhé</w:t>
      </w:r>
      <w:r>
        <w:t xml:space="preserve"> </w:t>
      </w:r>
      <w:r w:rsidRPr="005615B4">
        <w:t>odvodové</w:t>
      </w:r>
      <w:r>
        <w:t xml:space="preserve"> </w:t>
      </w:r>
      <w:r w:rsidRPr="005615B4">
        <w:t>období</w:t>
      </w:r>
      <w:r>
        <w:t xml:space="preserve"> </w:t>
      </w:r>
      <w:r w:rsidRPr="005615B4">
        <w:t>do</w:t>
      </w:r>
      <w:r>
        <w:t xml:space="preserve"> </w:t>
      </w:r>
      <w:r w:rsidRPr="005615B4">
        <w:t>6</w:t>
      </w:r>
      <w:r>
        <w:t xml:space="preserve"> </w:t>
      </w:r>
      <w:r w:rsidRPr="005615B4">
        <w:t>měsíců</w:t>
      </w:r>
      <w:r>
        <w:t xml:space="preserve"> </w:t>
      </w:r>
      <w:r w:rsidRPr="005615B4">
        <w:t>po</w:t>
      </w:r>
      <w:r>
        <w:t xml:space="preserve"> </w:t>
      </w:r>
      <w:r w:rsidRPr="005615B4">
        <w:t>uplynutí</w:t>
      </w:r>
      <w:r>
        <w:t xml:space="preserve"> </w:t>
      </w:r>
      <w:r w:rsidRPr="005615B4">
        <w:t>tohoto</w:t>
      </w:r>
      <w:r>
        <w:t xml:space="preserve"> </w:t>
      </w:r>
      <w:r w:rsidRPr="005615B4">
        <w:t>odvodového</w:t>
      </w:r>
      <w:r>
        <w:t xml:space="preserve"> </w:t>
      </w:r>
      <w:r w:rsidRPr="005615B4">
        <w:t>období.</w:t>
      </w:r>
    </w:p>
    <w:p w14:paraId="12C56AFF" w14:textId="75515458" w:rsidR="008B568E" w:rsidRPr="005615B4" w:rsidRDefault="008B568E" w:rsidP="0010420C">
      <w:pPr>
        <w:pStyle w:val="Textparagrafu"/>
        <w:tabs>
          <w:tab w:val="left" w:pos="392"/>
          <w:tab w:val="left" w:pos="840"/>
        </w:tabs>
        <w:spacing w:before="120" w:after="120"/>
      </w:pPr>
      <w:r w:rsidRPr="005615B4">
        <w:t>(2)</w:t>
      </w:r>
      <w:r>
        <w:t xml:space="preserve"> </w:t>
      </w:r>
      <w:r w:rsidRPr="005615B4">
        <w:t>Poplatník</w:t>
      </w:r>
      <w:r>
        <w:t xml:space="preserve"> </w:t>
      </w:r>
      <w:r w:rsidRPr="005615B4">
        <w:t>odvodu,</w:t>
      </w:r>
      <w:r>
        <w:t xml:space="preserve"> </w:t>
      </w:r>
      <w:r w:rsidRPr="005615B4">
        <w:t>který</w:t>
      </w:r>
      <w:r>
        <w:t xml:space="preserve"> </w:t>
      </w:r>
      <w:r w:rsidRPr="005615B4">
        <w:t>má</w:t>
      </w:r>
      <w:r>
        <w:t xml:space="preserve"> </w:t>
      </w:r>
      <w:r w:rsidRPr="005615B4">
        <w:t>zákonem</w:t>
      </w:r>
      <w:r>
        <w:t xml:space="preserve"> </w:t>
      </w:r>
      <w:r w:rsidRPr="005615B4">
        <w:t>uloženou</w:t>
      </w:r>
      <w:r>
        <w:t xml:space="preserve"> </w:t>
      </w:r>
      <w:r w:rsidRPr="005615B4">
        <w:t>povinnost</w:t>
      </w:r>
      <w:r>
        <w:t xml:space="preserve"> </w:t>
      </w:r>
      <w:r w:rsidRPr="002B7DCD">
        <w:rPr>
          <w:strike/>
        </w:rPr>
        <w:t>mít účetní závěrku ověřenou auditorem</w:t>
      </w:r>
      <w:r w:rsidR="002B7DCD" w:rsidRPr="002B7DCD">
        <w:rPr>
          <w:b/>
          <w:bCs/>
        </w:rPr>
        <w:t xml:space="preserve"> </w:t>
      </w:r>
      <w:r w:rsidR="002B7DCD" w:rsidRPr="00533343">
        <w:rPr>
          <w:b/>
          <w:bCs/>
        </w:rPr>
        <w:t>auditu účetní závěrky</w:t>
      </w:r>
      <w:r w:rsidRPr="005615B4">
        <w:t>,</w:t>
      </w:r>
      <w:r>
        <w:t xml:space="preserve"> </w:t>
      </w:r>
      <w:r w:rsidRPr="005615B4">
        <w:t>je</w:t>
      </w:r>
      <w:r>
        <w:t xml:space="preserve"> </w:t>
      </w:r>
      <w:r w:rsidRPr="005615B4">
        <w:t>povinen</w:t>
      </w:r>
      <w:r>
        <w:t xml:space="preserve"> </w:t>
      </w:r>
      <w:r w:rsidRPr="005615B4">
        <w:t>zajistit,</w:t>
      </w:r>
      <w:r>
        <w:t xml:space="preserve"> </w:t>
      </w:r>
      <w:r w:rsidRPr="005615B4">
        <w:t>aby</w:t>
      </w:r>
      <w:r>
        <w:t xml:space="preserve"> </w:t>
      </w:r>
      <w:r w:rsidRPr="005615B4">
        <w:t>auditor</w:t>
      </w:r>
      <w:r>
        <w:t xml:space="preserve"> </w:t>
      </w:r>
      <w:r w:rsidRPr="005615B4">
        <w:t>provedl</w:t>
      </w:r>
      <w:r>
        <w:t xml:space="preserve"> </w:t>
      </w:r>
      <w:r w:rsidRPr="005615B4">
        <w:t>ověření</w:t>
      </w:r>
      <w:r>
        <w:t xml:space="preserve"> </w:t>
      </w:r>
      <w:r w:rsidRPr="005615B4">
        <w:t>správnosti</w:t>
      </w:r>
      <w:r>
        <w:t xml:space="preserve"> </w:t>
      </w:r>
      <w:r w:rsidRPr="005615B4">
        <w:t>a</w:t>
      </w:r>
      <w:r>
        <w:t xml:space="preserve"> </w:t>
      </w:r>
      <w:r w:rsidRPr="005615B4">
        <w:t>úplnosti</w:t>
      </w:r>
      <w:r>
        <w:t xml:space="preserve"> </w:t>
      </w:r>
      <w:r w:rsidRPr="005615B4">
        <w:t>vybraných</w:t>
      </w:r>
      <w:r>
        <w:t xml:space="preserve"> </w:t>
      </w:r>
      <w:r w:rsidRPr="005615B4">
        <w:t>údajů</w:t>
      </w:r>
      <w:r>
        <w:t xml:space="preserve"> </w:t>
      </w:r>
      <w:r w:rsidRPr="005615B4">
        <w:t>uváděných</w:t>
      </w:r>
      <w:r>
        <w:t xml:space="preserve"> </w:t>
      </w:r>
      <w:r w:rsidRPr="005615B4">
        <w:t>ve</w:t>
      </w:r>
      <w:r>
        <w:t xml:space="preserve"> </w:t>
      </w:r>
      <w:r w:rsidRPr="005615B4">
        <w:t>vyúčtování</w:t>
      </w:r>
      <w:r>
        <w:t xml:space="preserve"> </w:t>
      </w:r>
      <w:r w:rsidRPr="005615B4">
        <w:t>odvodu</w:t>
      </w:r>
      <w:r>
        <w:t xml:space="preserve"> </w:t>
      </w:r>
      <w:r w:rsidRPr="005615B4">
        <w:t>za</w:t>
      </w:r>
      <w:r>
        <w:t xml:space="preserve"> </w:t>
      </w:r>
      <w:r w:rsidRPr="005615B4">
        <w:t>druhé</w:t>
      </w:r>
      <w:r>
        <w:t xml:space="preserve"> </w:t>
      </w:r>
      <w:r w:rsidRPr="005615B4">
        <w:t>odvodové</w:t>
      </w:r>
      <w:r>
        <w:t xml:space="preserve"> </w:t>
      </w:r>
      <w:r w:rsidRPr="005615B4">
        <w:t>období.</w:t>
      </w:r>
      <w:r>
        <w:t xml:space="preserve"> </w:t>
      </w:r>
      <w:r w:rsidRPr="005615B4">
        <w:t>Vláda</w:t>
      </w:r>
      <w:r>
        <w:t xml:space="preserve"> </w:t>
      </w:r>
      <w:r w:rsidRPr="005615B4">
        <w:t>stanoví</w:t>
      </w:r>
      <w:r>
        <w:t xml:space="preserve"> </w:t>
      </w:r>
      <w:r w:rsidRPr="005615B4">
        <w:t>nařízením</w:t>
      </w:r>
      <w:r>
        <w:t xml:space="preserve"> </w:t>
      </w:r>
      <w:r w:rsidRPr="005615B4">
        <w:t>okruh</w:t>
      </w:r>
      <w:r>
        <w:t xml:space="preserve"> </w:t>
      </w:r>
      <w:r w:rsidRPr="005615B4">
        <w:t>těchto</w:t>
      </w:r>
      <w:r>
        <w:t xml:space="preserve"> </w:t>
      </w:r>
      <w:r w:rsidRPr="005615B4">
        <w:t>údajů</w:t>
      </w:r>
      <w:r>
        <w:t xml:space="preserve"> </w:t>
      </w:r>
      <w:r w:rsidRPr="005615B4">
        <w:t>a</w:t>
      </w:r>
      <w:r>
        <w:t xml:space="preserve"> </w:t>
      </w:r>
      <w:r w:rsidRPr="005615B4">
        <w:t>minimální</w:t>
      </w:r>
      <w:r>
        <w:t xml:space="preserve"> </w:t>
      </w:r>
      <w:r w:rsidRPr="005615B4">
        <w:t>rozsah</w:t>
      </w:r>
      <w:r>
        <w:t xml:space="preserve"> </w:t>
      </w:r>
      <w:r w:rsidRPr="005615B4">
        <w:t>jejich</w:t>
      </w:r>
      <w:r>
        <w:t xml:space="preserve"> </w:t>
      </w:r>
      <w:r w:rsidRPr="005615B4">
        <w:t>ověření.</w:t>
      </w:r>
    </w:p>
    <w:p w14:paraId="55321213" w14:textId="16783E80" w:rsidR="0083756D" w:rsidRDefault="008B568E" w:rsidP="002B7DCD">
      <w:pPr>
        <w:pStyle w:val="Textparagrafu"/>
        <w:tabs>
          <w:tab w:val="left" w:pos="406"/>
          <w:tab w:val="left" w:pos="840"/>
          <w:tab w:val="left" w:pos="868"/>
        </w:tabs>
        <w:spacing w:after="120"/>
        <w:ind w:firstLine="0"/>
        <w:jc w:val="center"/>
      </w:pPr>
      <w:r>
        <w:t>***</w:t>
      </w:r>
    </w:p>
    <w:p w14:paraId="00B1295D" w14:textId="77777777" w:rsidR="008B568E" w:rsidRDefault="008B568E" w:rsidP="002B7DCD">
      <w:pPr>
        <w:pStyle w:val="Textparagrafu"/>
        <w:tabs>
          <w:tab w:val="left" w:pos="392"/>
          <w:tab w:val="left" w:pos="840"/>
        </w:tabs>
        <w:spacing w:after="120"/>
        <w:ind w:firstLine="0"/>
        <w:jc w:val="center"/>
      </w:pPr>
      <w:r w:rsidRPr="005615B4">
        <w:t>§</w:t>
      </w:r>
      <w:r>
        <w:t xml:space="preserve"> </w:t>
      </w:r>
      <w:r w:rsidRPr="005615B4">
        <w:t>96</w:t>
      </w:r>
    </w:p>
    <w:p w14:paraId="278C7D06" w14:textId="77777777" w:rsidR="008B568E" w:rsidRDefault="008B568E" w:rsidP="0010420C">
      <w:pPr>
        <w:pStyle w:val="Textparagrafu"/>
        <w:tabs>
          <w:tab w:val="left" w:pos="392"/>
          <w:tab w:val="left" w:pos="840"/>
        </w:tabs>
        <w:spacing w:before="120" w:after="120"/>
      </w:pPr>
      <w:r w:rsidRPr="005615B4">
        <w:t>(1)</w:t>
      </w:r>
      <w:r>
        <w:t xml:space="preserve"> </w:t>
      </w:r>
      <w:r w:rsidRPr="005615B4">
        <w:t>Energetický</w:t>
      </w:r>
      <w:r>
        <w:t xml:space="preserve"> </w:t>
      </w:r>
      <w:r w:rsidRPr="005615B4">
        <w:t>regulační</w:t>
      </w:r>
      <w:r>
        <w:t xml:space="preserve"> </w:t>
      </w:r>
      <w:r w:rsidRPr="005615B4">
        <w:t>úřad</w:t>
      </w:r>
      <w:r>
        <w:t xml:space="preserve"> </w:t>
      </w:r>
      <w:r w:rsidRPr="005615B4">
        <w:t>je</w:t>
      </w:r>
      <w:r>
        <w:t xml:space="preserve"> </w:t>
      </w:r>
      <w:r w:rsidRPr="005615B4">
        <w:t>příslušný</w:t>
      </w:r>
      <w:r>
        <w:t xml:space="preserve"> </w:t>
      </w:r>
      <w:r w:rsidRPr="005615B4">
        <w:t>k</w:t>
      </w:r>
      <w:r>
        <w:t xml:space="preserve"> </w:t>
      </w:r>
      <w:r w:rsidRPr="005615B4">
        <w:t>rozhodování</w:t>
      </w:r>
      <w:r>
        <w:t xml:space="preserve"> </w:t>
      </w:r>
      <w:r w:rsidRPr="005615B4">
        <w:t>sporů</w:t>
      </w:r>
      <w:r>
        <w:t xml:space="preserve"> </w:t>
      </w:r>
      <w:r w:rsidRPr="005615B4">
        <w:t>o</w:t>
      </w:r>
      <w:r>
        <w:t xml:space="preserve"> </w:t>
      </w:r>
      <w:r w:rsidRPr="005615B4">
        <w:t>právech</w:t>
      </w:r>
      <w:r>
        <w:t xml:space="preserve"> </w:t>
      </w:r>
      <w:r w:rsidRPr="005615B4">
        <w:t>či</w:t>
      </w:r>
      <w:r>
        <w:t xml:space="preserve"> </w:t>
      </w:r>
      <w:r w:rsidRPr="005615B4">
        <w:t>povinnostech</w:t>
      </w:r>
      <w:r>
        <w:t xml:space="preserve"> </w:t>
      </w:r>
      <w:r w:rsidRPr="005615B4">
        <w:t>vyplývajících</w:t>
      </w:r>
      <w:r>
        <w:t xml:space="preserve"> </w:t>
      </w:r>
      <w:r w:rsidRPr="005615B4">
        <w:t>z</w:t>
      </w:r>
      <w:r>
        <w:t xml:space="preserve"> </w:t>
      </w:r>
      <w:r w:rsidRPr="005615B4">
        <w:t>právního</w:t>
      </w:r>
      <w:r>
        <w:t xml:space="preserve"> </w:t>
      </w:r>
      <w:r w:rsidRPr="005615B4">
        <w:t>vztahu</w:t>
      </w:r>
      <w:r>
        <w:t xml:space="preserve"> </w:t>
      </w:r>
      <w:r w:rsidRPr="005615B4">
        <w:t>podle</w:t>
      </w:r>
      <w:r>
        <w:t xml:space="preserve"> </w:t>
      </w:r>
      <w:r w:rsidRPr="005615B4">
        <w:t>§</w:t>
      </w:r>
      <w:r>
        <w:t xml:space="preserve"> </w:t>
      </w:r>
      <w:r w:rsidRPr="005615B4">
        <w:t>17</w:t>
      </w:r>
      <w:r>
        <w:t xml:space="preserve"> </w:t>
      </w:r>
      <w:r w:rsidRPr="005615B4">
        <w:t>odst.</w:t>
      </w:r>
      <w:r>
        <w:t xml:space="preserve"> </w:t>
      </w:r>
      <w:r w:rsidRPr="005615B4">
        <w:t>7</w:t>
      </w:r>
      <w:r>
        <w:t xml:space="preserve"> </w:t>
      </w:r>
      <w:r w:rsidRPr="005615B4">
        <w:t>písm.</w:t>
      </w:r>
      <w:r>
        <w:t xml:space="preserve"> </w:t>
      </w:r>
      <w:r w:rsidRPr="005615B4">
        <w:t>b)</w:t>
      </w:r>
      <w:r>
        <w:t xml:space="preserve"> </w:t>
      </w:r>
      <w:r w:rsidRPr="005615B4">
        <w:t>tehdy,</w:t>
      </w:r>
      <w:r>
        <w:t xml:space="preserve"> </w:t>
      </w:r>
      <w:r w:rsidRPr="005615B4">
        <w:t>pokud</w:t>
      </w:r>
      <w:r>
        <w:t xml:space="preserve"> </w:t>
      </w:r>
      <w:r w:rsidRPr="005615B4">
        <w:t>současně</w:t>
      </w:r>
      <w:r>
        <w:t xml:space="preserve"> </w:t>
      </w:r>
      <w:r w:rsidRPr="005615B4">
        <w:t>s</w:t>
      </w:r>
      <w:r>
        <w:t xml:space="preserve"> </w:t>
      </w:r>
      <w:r w:rsidRPr="005615B4">
        <w:t>podáním</w:t>
      </w:r>
      <w:r>
        <w:t xml:space="preserve"> </w:t>
      </w:r>
      <w:r w:rsidRPr="005615B4">
        <w:t>návrhu</w:t>
      </w:r>
      <w:r>
        <w:t xml:space="preserve"> </w:t>
      </w:r>
      <w:r w:rsidRPr="005615B4">
        <w:t>na</w:t>
      </w:r>
      <w:r>
        <w:t xml:space="preserve"> </w:t>
      </w:r>
      <w:r w:rsidRPr="005615B4">
        <w:t>rozhodnutí</w:t>
      </w:r>
      <w:r>
        <w:t xml:space="preserve"> </w:t>
      </w:r>
      <w:r w:rsidRPr="005615B4">
        <w:t>ve</w:t>
      </w:r>
      <w:r>
        <w:t xml:space="preserve"> </w:t>
      </w:r>
      <w:r w:rsidRPr="005615B4">
        <w:t>sporu</w:t>
      </w:r>
      <w:r>
        <w:t xml:space="preserve"> </w:t>
      </w:r>
      <w:r w:rsidRPr="005615B4">
        <w:t>nebo</w:t>
      </w:r>
      <w:r>
        <w:t xml:space="preserve"> </w:t>
      </w:r>
      <w:r w:rsidRPr="005615B4">
        <w:t>ve</w:t>
      </w:r>
      <w:r>
        <w:t xml:space="preserve"> </w:t>
      </w:r>
      <w:r w:rsidRPr="005615B4">
        <w:t>lhůtě</w:t>
      </w:r>
      <w:r>
        <w:t xml:space="preserve"> </w:t>
      </w:r>
      <w:r w:rsidRPr="005615B4">
        <w:t>do</w:t>
      </w:r>
      <w:r>
        <w:t xml:space="preserve"> </w:t>
      </w:r>
      <w:r w:rsidRPr="005615B4">
        <w:t>15</w:t>
      </w:r>
      <w:r>
        <w:t xml:space="preserve"> </w:t>
      </w:r>
      <w:r w:rsidRPr="005615B4">
        <w:t>dnů</w:t>
      </w:r>
      <w:r>
        <w:t xml:space="preserve"> </w:t>
      </w:r>
      <w:r w:rsidRPr="005615B4">
        <w:t>ode</w:t>
      </w:r>
      <w:r>
        <w:t xml:space="preserve"> </w:t>
      </w:r>
      <w:r w:rsidRPr="005615B4">
        <w:t>dne</w:t>
      </w:r>
      <w:r>
        <w:t xml:space="preserve"> </w:t>
      </w:r>
      <w:r w:rsidRPr="005615B4">
        <w:t>doručení</w:t>
      </w:r>
      <w:r>
        <w:t xml:space="preserve"> </w:t>
      </w:r>
      <w:r w:rsidRPr="005615B4">
        <w:t>oznámení</w:t>
      </w:r>
      <w:r>
        <w:t xml:space="preserve"> </w:t>
      </w:r>
      <w:r w:rsidRPr="005615B4">
        <w:t>o</w:t>
      </w:r>
      <w:r>
        <w:t xml:space="preserve"> </w:t>
      </w:r>
      <w:r w:rsidRPr="005615B4">
        <w:t>podání</w:t>
      </w:r>
      <w:r>
        <w:t xml:space="preserve"> </w:t>
      </w:r>
      <w:r w:rsidRPr="005615B4">
        <w:t>návrhu</w:t>
      </w:r>
      <w:r>
        <w:t xml:space="preserve"> </w:t>
      </w:r>
      <w:r w:rsidRPr="005615B4">
        <w:t>rozhodovat</w:t>
      </w:r>
      <w:r>
        <w:t xml:space="preserve"> </w:t>
      </w:r>
      <w:r w:rsidRPr="005615B4">
        <w:t>ve</w:t>
      </w:r>
      <w:r>
        <w:t xml:space="preserve"> </w:t>
      </w:r>
      <w:r w:rsidRPr="005615B4">
        <w:t>sporu</w:t>
      </w:r>
      <w:r>
        <w:t xml:space="preserve"> </w:t>
      </w:r>
      <w:r w:rsidRPr="005615B4">
        <w:t>vyjádří</w:t>
      </w:r>
      <w:r>
        <w:t xml:space="preserve"> </w:t>
      </w:r>
      <w:r w:rsidRPr="005615B4">
        <w:t>odpůrce</w:t>
      </w:r>
      <w:r>
        <w:t xml:space="preserve"> </w:t>
      </w:r>
      <w:r w:rsidRPr="005615B4">
        <w:t>s</w:t>
      </w:r>
      <w:r>
        <w:t xml:space="preserve"> </w:t>
      </w:r>
      <w:r w:rsidRPr="005615B4">
        <w:t>pravomocí</w:t>
      </w:r>
      <w:r>
        <w:t xml:space="preserve"> </w:t>
      </w:r>
      <w:r w:rsidRPr="005615B4">
        <w:t>Energetického</w:t>
      </w:r>
      <w:r>
        <w:t xml:space="preserve"> </w:t>
      </w:r>
      <w:r w:rsidRPr="005615B4">
        <w:t>regulačního</w:t>
      </w:r>
      <w:r>
        <w:t xml:space="preserve"> </w:t>
      </w:r>
      <w:r w:rsidRPr="005615B4">
        <w:t>úřadu</w:t>
      </w:r>
      <w:r>
        <w:t xml:space="preserve"> </w:t>
      </w:r>
      <w:r w:rsidRPr="005615B4">
        <w:t>souhlas.</w:t>
      </w:r>
      <w:r>
        <w:t xml:space="preserve"> </w:t>
      </w:r>
      <w:r w:rsidRPr="005615B4">
        <w:t>Řízení</w:t>
      </w:r>
      <w:r>
        <w:t xml:space="preserve"> </w:t>
      </w:r>
      <w:r w:rsidRPr="005615B4">
        <w:t>je</w:t>
      </w:r>
      <w:r>
        <w:t xml:space="preserve"> </w:t>
      </w:r>
      <w:r w:rsidRPr="005615B4">
        <w:t>zahájeno</w:t>
      </w:r>
      <w:r>
        <w:t xml:space="preserve"> </w:t>
      </w:r>
      <w:r w:rsidRPr="005615B4">
        <w:t>dnem,</w:t>
      </w:r>
      <w:r>
        <w:t xml:space="preserve"> </w:t>
      </w:r>
      <w:r w:rsidRPr="005615B4">
        <w:t>v</w:t>
      </w:r>
      <w:r>
        <w:t xml:space="preserve"> </w:t>
      </w:r>
      <w:r w:rsidRPr="005615B4">
        <w:t>němž</w:t>
      </w:r>
      <w:r>
        <w:t xml:space="preserve"> </w:t>
      </w:r>
      <w:r w:rsidRPr="005615B4">
        <w:t>je</w:t>
      </w:r>
      <w:r>
        <w:t xml:space="preserve"> </w:t>
      </w:r>
      <w:r w:rsidRPr="005615B4">
        <w:t>souhlas</w:t>
      </w:r>
      <w:r>
        <w:t xml:space="preserve"> </w:t>
      </w:r>
      <w:r w:rsidRPr="005615B4">
        <w:t>odpůrce</w:t>
      </w:r>
      <w:r>
        <w:t xml:space="preserve"> </w:t>
      </w:r>
      <w:r w:rsidRPr="005615B4">
        <w:t>s</w:t>
      </w:r>
      <w:r>
        <w:t xml:space="preserve"> </w:t>
      </w:r>
      <w:r w:rsidRPr="005615B4">
        <w:t>pravomocí</w:t>
      </w:r>
      <w:r>
        <w:t xml:space="preserve"> </w:t>
      </w:r>
      <w:r w:rsidRPr="005615B4">
        <w:t>Energetického</w:t>
      </w:r>
      <w:r>
        <w:t xml:space="preserve"> </w:t>
      </w:r>
      <w:r w:rsidRPr="005615B4">
        <w:t>regulačního</w:t>
      </w:r>
      <w:r>
        <w:t xml:space="preserve"> </w:t>
      </w:r>
      <w:r w:rsidRPr="005615B4">
        <w:t>úřadu</w:t>
      </w:r>
      <w:r>
        <w:t xml:space="preserve"> </w:t>
      </w:r>
      <w:r w:rsidRPr="005615B4">
        <w:t>doručen</w:t>
      </w:r>
      <w:r>
        <w:t xml:space="preserve"> </w:t>
      </w:r>
      <w:r w:rsidRPr="005615B4">
        <w:t>tomuto</w:t>
      </w:r>
      <w:r>
        <w:t xml:space="preserve"> </w:t>
      </w:r>
      <w:r w:rsidRPr="005615B4">
        <w:t>úřadu.</w:t>
      </w:r>
      <w:r>
        <w:t xml:space="preserve"> </w:t>
      </w:r>
      <w:r w:rsidRPr="005615B4">
        <w:t>V</w:t>
      </w:r>
      <w:r>
        <w:t xml:space="preserve"> </w:t>
      </w:r>
      <w:r w:rsidRPr="005615B4">
        <w:t>opačném</w:t>
      </w:r>
      <w:r>
        <w:t xml:space="preserve"> </w:t>
      </w:r>
      <w:r w:rsidRPr="005615B4">
        <w:t>případě</w:t>
      </w:r>
      <w:r>
        <w:t xml:space="preserve"> </w:t>
      </w:r>
      <w:r w:rsidRPr="005615B4">
        <w:t>Energetický</w:t>
      </w:r>
      <w:r>
        <w:t xml:space="preserve"> </w:t>
      </w:r>
      <w:r w:rsidRPr="005615B4">
        <w:t>regulační</w:t>
      </w:r>
      <w:r>
        <w:t xml:space="preserve"> </w:t>
      </w:r>
      <w:r w:rsidRPr="005615B4">
        <w:t>úřad</w:t>
      </w:r>
      <w:r>
        <w:t xml:space="preserve"> </w:t>
      </w:r>
      <w:r w:rsidRPr="005615B4">
        <w:t>návrh</w:t>
      </w:r>
      <w:r>
        <w:t xml:space="preserve"> </w:t>
      </w:r>
      <w:r w:rsidRPr="005615B4">
        <w:t>usnesením</w:t>
      </w:r>
      <w:r>
        <w:t xml:space="preserve"> </w:t>
      </w:r>
      <w:r w:rsidRPr="005615B4">
        <w:t>odloží.</w:t>
      </w:r>
    </w:p>
    <w:p w14:paraId="53A52511" w14:textId="77777777" w:rsidR="008B568E" w:rsidRDefault="008B568E" w:rsidP="0010420C">
      <w:pPr>
        <w:pStyle w:val="Textparagrafu"/>
        <w:tabs>
          <w:tab w:val="left" w:pos="392"/>
          <w:tab w:val="left" w:pos="840"/>
        </w:tabs>
        <w:spacing w:before="120" w:after="120"/>
      </w:pPr>
      <w:r w:rsidRPr="005615B4">
        <w:t>(2)</w:t>
      </w:r>
      <w:r>
        <w:t xml:space="preserve"> </w:t>
      </w:r>
      <w:r w:rsidRPr="005615B4">
        <w:t>V</w:t>
      </w:r>
      <w:r>
        <w:t xml:space="preserve"> </w:t>
      </w:r>
      <w:r w:rsidRPr="005615B4">
        <w:t>řízeních</w:t>
      </w:r>
      <w:r>
        <w:t xml:space="preserve"> </w:t>
      </w:r>
      <w:r w:rsidRPr="005615B4">
        <w:t>vedených</w:t>
      </w:r>
      <w:r>
        <w:t xml:space="preserve"> </w:t>
      </w:r>
      <w:r w:rsidRPr="005615B4">
        <w:t>Energetickým</w:t>
      </w:r>
      <w:r>
        <w:t xml:space="preserve"> </w:t>
      </w:r>
      <w:r w:rsidRPr="005615B4">
        <w:t>regulačním</w:t>
      </w:r>
      <w:r>
        <w:t xml:space="preserve"> </w:t>
      </w:r>
      <w:r w:rsidRPr="005615B4">
        <w:t>úřadem</w:t>
      </w:r>
      <w:r>
        <w:t xml:space="preserve"> </w:t>
      </w:r>
      <w:r w:rsidRPr="005615B4">
        <w:t>se</w:t>
      </w:r>
      <w:r>
        <w:t xml:space="preserve"> </w:t>
      </w:r>
      <w:r w:rsidRPr="005615B4">
        <w:t>nepoužije</w:t>
      </w:r>
      <w:r>
        <w:t xml:space="preserve"> </w:t>
      </w:r>
      <w:r w:rsidRPr="005615B4">
        <w:t>ustanovení</w:t>
      </w:r>
      <w:r>
        <w:t xml:space="preserve"> </w:t>
      </w:r>
      <w:r w:rsidRPr="005615B4">
        <w:t>správního</w:t>
      </w:r>
      <w:r>
        <w:t xml:space="preserve"> </w:t>
      </w:r>
      <w:r w:rsidRPr="005615B4">
        <w:t>řádu</w:t>
      </w:r>
      <w:r>
        <w:t xml:space="preserve"> </w:t>
      </w:r>
      <w:r w:rsidRPr="005615B4">
        <w:t>o</w:t>
      </w:r>
      <w:r>
        <w:t xml:space="preserve"> </w:t>
      </w:r>
      <w:r w:rsidRPr="005615B4">
        <w:t>možném</w:t>
      </w:r>
      <w:r>
        <w:t xml:space="preserve"> </w:t>
      </w:r>
      <w:r w:rsidRPr="005615B4">
        <w:t>způsobu</w:t>
      </w:r>
      <w:r>
        <w:t xml:space="preserve"> </w:t>
      </w:r>
      <w:r w:rsidRPr="005615B4">
        <w:t>ukončení</w:t>
      </w:r>
      <w:r>
        <w:t xml:space="preserve"> </w:t>
      </w:r>
      <w:r w:rsidRPr="005615B4">
        <w:t>řízení</w:t>
      </w:r>
      <w:r>
        <w:t xml:space="preserve"> </w:t>
      </w:r>
      <w:r w:rsidRPr="005615B4">
        <w:t>o</w:t>
      </w:r>
      <w:r>
        <w:t xml:space="preserve"> </w:t>
      </w:r>
      <w:r w:rsidRPr="005615B4">
        <w:t>rozkladu.</w:t>
      </w:r>
      <w:r>
        <w:t xml:space="preserve"> </w:t>
      </w:r>
      <w:r w:rsidRPr="005615B4">
        <w:t>Při</w:t>
      </w:r>
      <w:r>
        <w:t xml:space="preserve"> </w:t>
      </w:r>
      <w:r w:rsidRPr="005615B4">
        <w:t>vedení</w:t>
      </w:r>
      <w:r>
        <w:t xml:space="preserve"> </w:t>
      </w:r>
      <w:r w:rsidRPr="005615B4">
        <w:t>sporných</w:t>
      </w:r>
      <w:r>
        <w:t xml:space="preserve"> </w:t>
      </w:r>
      <w:r w:rsidRPr="005615B4">
        <w:t>správních</w:t>
      </w:r>
      <w:r>
        <w:t xml:space="preserve"> </w:t>
      </w:r>
      <w:r w:rsidRPr="005615B4">
        <w:t>řízení</w:t>
      </w:r>
      <w:r>
        <w:t xml:space="preserve"> </w:t>
      </w:r>
      <w:r w:rsidRPr="005615B4">
        <w:t>ve</w:t>
      </w:r>
      <w:r>
        <w:t xml:space="preserve"> </w:t>
      </w:r>
      <w:r w:rsidRPr="005615B4">
        <w:t>smyslu</w:t>
      </w:r>
      <w:r>
        <w:t xml:space="preserve"> </w:t>
      </w:r>
      <w:r w:rsidRPr="005615B4">
        <w:t>§</w:t>
      </w:r>
      <w:r>
        <w:t xml:space="preserve"> </w:t>
      </w:r>
      <w:r w:rsidRPr="005615B4">
        <w:t>141</w:t>
      </w:r>
      <w:r>
        <w:t xml:space="preserve"> </w:t>
      </w:r>
      <w:r w:rsidRPr="005615B4">
        <w:t>správního</w:t>
      </w:r>
      <w:r>
        <w:t xml:space="preserve"> </w:t>
      </w:r>
      <w:r w:rsidRPr="005615B4">
        <w:t>řádu</w:t>
      </w:r>
      <w:r>
        <w:t xml:space="preserve"> </w:t>
      </w:r>
      <w:r w:rsidRPr="005615B4">
        <w:t>a</w:t>
      </w:r>
      <w:r>
        <w:t xml:space="preserve"> </w:t>
      </w:r>
      <w:r w:rsidRPr="005615B4">
        <w:t>řízení</w:t>
      </w:r>
      <w:r>
        <w:t xml:space="preserve"> </w:t>
      </w:r>
      <w:r w:rsidRPr="005615B4">
        <w:t>schvalovacích</w:t>
      </w:r>
      <w:r>
        <w:t xml:space="preserve"> </w:t>
      </w:r>
      <w:r w:rsidRPr="005615B4">
        <w:t>a</w:t>
      </w:r>
      <w:r>
        <w:t xml:space="preserve"> </w:t>
      </w:r>
      <w:r w:rsidRPr="005615B4">
        <w:t>o</w:t>
      </w:r>
      <w:r>
        <w:t xml:space="preserve"> </w:t>
      </w:r>
      <w:r w:rsidRPr="005615B4">
        <w:t>stanovení</w:t>
      </w:r>
      <w:r>
        <w:t xml:space="preserve"> </w:t>
      </w:r>
      <w:r w:rsidRPr="005615B4">
        <w:t>řádu</w:t>
      </w:r>
      <w:r>
        <w:t xml:space="preserve"> </w:t>
      </w:r>
      <w:r w:rsidRPr="005615B4">
        <w:t>ve</w:t>
      </w:r>
      <w:r>
        <w:t xml:space="preserve"> </w:t>
      </w:r>
      <w:r w:rsidRPr="005615B4">
        <w:t>smyslu</w:t>
      </w:r>
      <w:r>
        <w:t xml:space="preserve"> </w:t>
      </w:r>
      <w:r w:rsidRPr="005615B4">
        <w:t>§</w:t>
      </w:r>
      <w:r>
        <w:t xml:space="preserve"> </w:t>
      </w:r>
      <w:r w:rsidRPr="005615B4">
        <w:t>97a</w:t>
      </w:r>
      <w:r>
        <w:t xml:space="preserve"> </w:t>
      </w:r>
      <w:r w:rsidRPr="005615B4">
        <w:t>činí</w:t>
      </w:r>
      <w:r>
        <w:t xml:space="preserve"> </w:t>
      </w:r>
      <w:r w:rsidRPr="005615B4">
        <w:t>lhůta</w:t>
      </w:r>
      <w:r>
        <w:t xml:space="preserve"> </w:t>
      </w:r>
      <w:r w:rsidRPr="005615B4">
        <w:t>pro</w:t>
      </w:r>
      <w:r>
        <w:t xml:space="preserve"> </w:t>
      </w:r>
      <w:r w:rsidRPr="005615B4">
        <w:t>vydání</w:t>
      </w:r>
      <w:r>
        <w:t xml:space="preserve"> </w:t>
      </w:r>
      <w:r w:rsidRPr="005615B4">
        <w:t>rozhodnutí</w:t>
      </w:r>
      <w:r>
        <w:t xml:space="preserve"> </w:t>
      </w:r>
      <w:r w:rsidRPr="005615B4">
        <w:t>4</w:t>
      </w:r>
      <w:r>
        <w:t xml:space="preserve"> </w:t>
      </w:r>
      <w:r w:rsidRPr="005615B4">
        <w:t>měsíce,</w:t>
      </w:r>
      <w:r>
        <w:t xml:space="preserve"> </w:t>
      </w:r>
      <w:r w:rsidRPr="005615B4">
        <w:t>ve</w:t>
      </w:r>
      <w:r>
        <w:t xml:space="preserve"> </w:t>
      </w:r>
      <w:r w:rsidRPr="005615B4">
        <w:t>zvláště</w:t>
      </w:r>
      <w:r>
        <w:t xml:space="preserve"> </w:t>
      </w:r>
      <w:r w:rsidRPr="005615B4">
        <w:t>složitých</w:t>
      </w:r>
      <w:r>
        <w:t xml:space="preserve"> </w:t>
      </w:r>
      <w:r w:rsidRPr="005615B4">
        <w:t>případech</w:t>
      </w:r>
      <w:r>
        <w:t xml:space="preserve"> </w:t>
      </w:r>
      <w:r w:rsidRPr="005615B4">
        <w:t>6</w:t>
      </w:r>
      <w:r>
        <w:t xml:space="preserve"> </w:t>
      </w:r>
      <w:r w:rsidRPr="005615B4">
        <w:t>měsíců.</w:t>
      </w:r>
      <w:r>
        <w:t xml:space="preserve"> </w:t>
      </w:r>
      <w:r w:rsidRPr="005615B4">
        <w:t>Lhůta</w:t>
      </w:r>
      <w:r>
        <w:t xml:space="preserve"> </w:t>
      </w:r>
      <w:r w:rsidRPr="005615B4">
        <w:t>pro</w:t>
      </w:r>
      <w:r>
        <w:t xml:space="preserve"> </w:t>
      </w:r>
      <w:r w:rsidRPr="005615B4">
        <w:t>vydání</w:t>
      </w:r>
      <w:r>
        <w:t xml:space="preserve"> </w:t>
      </w:r>
      <w:r w:rsidRPr="005615B4">
        <w:t>rozhodnutí</w:t>
      </w:r>
      <w:r>
        <w:t xml:space="preserve"> </w:t>
      </w:r>
      <w:r w:rsidRPr="005615B4">
        <w:t>ve</w:t>
      </w:r>
      <w:r>
        <w:t xml:space="preserve"> </w:t>
      </w:r>
      <w:r w:rsidRPr="005615B4">
        <w:t>sporu</w:t>
      </w:r>
      <w:r>
        <w:t xml:space="preserve"> </w:t>
      </w:r>
      <w:r w:rsidRPr="005615B4">
        <w:t>o</w:t>
      </w:r>
      <w:r>
        <w:t xml:space="preserve"> </w:t>
      </w:r>
      <w:r w:rsidRPr="005615B4">
        <w:t>připojení</w:t>
      </w:r>
      <w:r>
        <w:t xml:space="preserve"> </w:t>
      </w:r>
      <w:r w:rsidRPr="005615B4">
        <w:t>nebo</w:t>
      </w:r>
      <w:r>
        <w:t xml:space="preserve"> </w:t>
      </w:r>
      <w:r w:rsidRPr="005615B4">
        <w:t>přístup</w:t>
      </w:r>
      <w:r>
        <w:t xml:space="preserve"> </w:t>
      </w:r>
      <w:r w:rsidRPr="005615B4">
        <w:t>výrobny</w:t>
      </w:r>
      <w:r>
        <w:t xml:space="preserve"> </w:t>
      </w:r>
      <w:r w:rsidRPr="005615B4">
        <w:t>elektřiny</w:t>
      </w:r>
      <w:r>
        <w:t xml:space="preserve"> </w:t>
      </w:r>
      <w:r w:rsidRPr="005615B4">
        <w:t>k</w:t>
      </w:r>
      <w:r>
        <w:t xml:space="preserve"> </w:t>
      </w:r>
      <w:r w:rsidRPr="005615B4">
        <w:t>přenosové</w:t>
      </w:r>
      <w:r>
        <w:t xml:space="preserve"> </w:t>
      </w:r>
      <w:r w:rsidRPr="005615B4">
        <w:t>soustavě,</w:t>
      </w:r>
      <w:r>
        <w:t xml:space="preserve"> </w:t>
      </w:r>
      <w:r w:rsidRPr="005615B4">
        <w:t>přepravní</w:t>
      </w:r>
      <w:r>
        <w:t xml:space="preserve"> </w:t>
      </w:r>
      <w:r w:rsidRPr="005615B4">
        <w:t>soustavě</w:t>
      </w:r>
      <w:r>
        <w:t xml:space="preserve"> </w:t>
      </w:r>
      <w:r w:rsidRPr="005615B4">
        <w:t>nebo</w:t>
      </w:r>
      <w:r>
        <w:t xml:space="preserve"> </w:t>
      </w:r>
      <w:r w:rsidRPr="005615B4">
        <w:t>distribuční</w:t>
      </w:r>
      <w:r>
        <w:t xml:space="preserve"> </w:t>
      </w:r>
      <w:r w:rsidRPr="005615B4">
        <w:t>soustavě</w:t>
      </w:r>
      <w:r>
        <w:t xml:space="preserve"> </w:t>
      </w:r>
      <w:r w:rsidRPr="005615B4">
        <w:t>činí</w:t>
      </w:r>
      <w:r>
        <w:t xml:space="preserve"> </w:t>
      </w:r>
      <w:r w:rsidRPr="005615B4">
        <w:t>3</w:t>
      </w:r>
      <w:r>
        <w:t xml:space="preserve"> </w:t>
      </w:r>
      <w:r w:rsidRPr="005615B4">
        <w:t>měsíce,</w:t>
      </w:r>
      <w:r>
        <w:t xml:space="preserve"> </w:t>
      </w:r>
      <w:r w:rsidRPr="005615B4">
        <w:t>ve</w:t>
      </w:r>
      <w:r>
        <w:t xml:space="preserve"> </w:t>
      </w:r>
      <w:r w:rsidRPr="005615B4">
        <w:t>zvláště</w:t>
      </w:r>
      <w:r>
        <w:t xml:space="preserve"> </w:t>
      </w:r>
      <w:r w:rsidRPr="005615B4">
        <w:t>složitých</w:t>
      </w:r>
      <w:r>
        <w:t xml:space="preserve"> </w:t>
      </w:r>
      <w:r w:rsidRPr="005615B4">
        <w:t>případech</w:t>
      </w:r>
      <w:r>
        <w:t xml:space="preserve"> </w:t>
      </w:r>
      <w:r w:rsidRPr="005615B4">
        <w:t>6</w:t>
      </w:r>
      <w:r>
        <w:t xml:space="preserve"> </w:t>
      </w:r>
      <w:r w:rsidRPr="005615B4">
        <w:t>měsíců.</w:t>
      </w:r>
      <w:r>
        <w:t xml:space="preserve"> </w:t>
      </w:r>
      <w:r w:rsidRPr="005615B4">
        <w:t>Lhůta</w:t>
      </w:r>
      <w:r>
        <w:t xml:space="preserve"> </w:t>
      </w:r>
      <w:r w:rsidRPr="005615B4">
        <w:t>pro</w:t>
      </w:r>
      <w:r>
        <w:t xml:space="preserve"> </w:t>
      </w:r>
      <w:r w:rsidRPr="005615B4">
        <w:t>vydání</w:t>
      </w:r>
      <w:r>
        <w:t xml:space="preserve"> </w:t>
      </w:r>
      <w:r w:rsidRPr="005615B4">
        <w:t>rozhodnutí</w:t>
      </w:r>
      <w:r>
        <w:t xml:space="preserve"> </w:t>
      </w:r>
      <w:r w:rsidRPr="005615B4">
        <w:t>ve</w:t>
      </w:r>
      <w:r>
        <w:t xml:space="preserve"> </w:t>
      </w:r>
      <w:r w:rsidRPr="005615B4">
        <w:t>sporu</w:t>
      </w:r>
      <w:r>
        <w:t xml:space="preserve"> </w:t>
      </w:r>
      <w:r w:rsidRPr="005615B4">
        <w:t>zahájeném</w:t>
      </w:r>
      <w:r>
        <w:t xml:space="preserve"> </w:t>
      </w:r>
      <w:r w:rsidRPr="005615B4">
        <w:t>na</w:t>
      </w:r>
      <w:r>
        <w:t xml:space="preserve"> </w:t>
      </w:r>
      <w:r w:rsidRPr="005615B4">
        <w:t>návrh</w:t>
      </w:r>
      <w:r>
        <w:t xml:space="preserve"> </w:t>
      </w:r>
      <w:r w:rsidRPr="005615B4">
        <w:t>spotřebitele</w:t>
      </w:r>
      <w:r>
        <w:t xml:space="preserve"> </w:t>
      </w:r>
      <w:r w:rsidRPr="005615B4">
        <w:t>činí</w:t>
      </w:r>
      <w:r>
        <w:t xml:space="preserve"> </w:t>
      </w:r>
      <w:r w:rsidRPr="005615B4">
        <w:t>90</w:t>
      </w:r>
      <w:r>
        <w:t xml:space="preserve"> </w:t>
      </w:r>
      <w:r w:rsidRPr="005615B4">
        <w:t>dnů,</w:t>
      </w:r>
      <w:r>
        <w:t xml:space="preserve"> </w:t>
      </w:r>
      <w:r w:rsidRPr="005615B4">
        <w:t>ve</w:t>
      </w:r>
      <w:r>
        <w:t xml:space="preserve"> </w:t>
      </w:r>
      <w:r w:rsidRPr="005615B4">
        <w:t>zvláště</w:t>
      </w:r>
      <w:r>
        <w:t xml:space="preserve"> </w:t>
      </w:r>
      <w:r w:rsidRPr="005615B4">
        <w:t>složitých</w:t>
      </w:r>
      <w:r>
        <w:t xml:space="preserve"> </w:t>
      </w:r>
      <w:r w:rsidRPr="005615B4">
        <w:t>případech</w:t>
      </w:r>
      <w:r>
        <w:t xml:space="preserve"> </w:t>
      </w:r>
      <w:r w:rsidRPr="005615B4">
        <w:t>120</w:t>
      </w:r>
      <w:r>
        <w:t xml:space="preserve"> </w:t>
      </w:r>
      <w:r w:rsidRPr="005615B4">
        <w:t>dnů.</w:t>
      </w:r>
    </w:p>
    <w:p w14:paraId="018BCF90" w14:textId="77777777" w:rsidR="008B568E" w:rsidRDefault="008B568E" w:rsidP="0010420C">
      <w:pPr>
        <w:pStyle w:val="Textparagrafu"/>
        <w:tabs>
          <w:tab w:val="left" w:pos="392"/>
          <w:tab w:val="left" w:pos="840"/>
        </w:tabs>
        <w:spacing w:before="120" w:after="120"/>
      </w:pPr>
      <w:r w:rsidRPr="005615B4">
        <w:t>(3)</w:t>
      </w:r>
      <w:r>
        <w:t xml:space="preserve"> </w:t>
      </w:r>
      <w:r w:rsidRPr="005615B4">
        <w:t>Rozhoduje-li</w:t>
      </w:r>
      <w:r>
        <w:t xml:space="preserve"> </w:t>
      </w:r>
      <w:r w:rsidRPr="005615B4">
        <w:t>Energetický</w:t>
      </w:r>
      <w:r>
        <w:t xml:space="preserve"> </w:t>
      </w:r>
      <w:r w:rsidRPr="005615B4">
        <w:t>regulační</w:t>
      </w:r>
      <w:r>
        <w:t xml:space="preserve"> </w:t>
      </w:r>
      <w:r w:rsidRPr="005615B4">
        <w:t>úřad</w:t>
      </w:r>
      <w:r>
        <w:t xml:space="preserve"> </w:t>
      </w:r>
      <w:r w:rsidRPr="005615B4">
        <w:t>spor</w:t>
      </w:r>
      <w:r>
        <w:t xml:space="preserve"> </w:t>
      </w:r>
      <w:r w:rsidRPr="005615B4">
        <w:t>o</w:t>
      </w:r>
      <w:r>
        <w:t xml:space="preserve"> </w:t>
      </w:r>
      <w:r w:rsidRPr="005615B4">
        <w:t>uzavření</w:t>
      </w:r>
      <w:r>
        <w:t xml:space="preserve"> </w:t>
      </w:r>
      <w:r w:rsidRPr="005615B4">
        <w:t>nebo</w:t>
      </w:r>
      <w:r>
        <w:t xml:space="preserve"> </w:t>
      </w:r>
      <w:r w:rsidRPr="005615B4">
        <w:t>změnu</w:t>
      </w:r>
      <w:r>
        <w:t xml:space="preserve"> </w:t>
      </w:r>
      <w:r w:rsidRPr="005615B4">
        <w:t>smlouvy,</w:t>
      </w:r>
      <w:r>
        <w:t xml:space="preserve"> </w:t>
      </w:r>
      <w:r w:rsidRPr="005615B4">
        <w:t>jejímž</w:t>
      </w:r>
      <w:r>
        <w:t xml:space="preserve"> </w:t>
      </w:r>
      <w:r w:rsidRPr="005615B4">
        <w:t>předmětem</w:t>
      </w:r>
      <w:r>
        <w:t xml:space="preserve"> </w:t>
      </w:r>
      <w:r w:rsidRPr="005615B4">
        <w:t>je</w:t>
      </w:r>
      <w:r>
        <w:t xml:space="preserve"> </w:t>
      </w:r>
      <w:r w:rsidRPr="005615B4">
        <w:t>připojení</w:t>
      </w:r>
      <w:r>
        <w:t xml:space="preserve"> </w:t>
      </w:r>
      <w:r w:rsidRPr="005615B4">
        <w:t>nebo</w:t>
      </w:r>
      <w:r>
        <w:t xml:space="preserve"> </w:t>
      </w:r>
      <w:r w:rsidRPr="005615B4">
        <w:t>přístup</w:t>
      </w:r>
      <w:r>
        <w:t xml:space="preserve"> </w:t>
      </w:r>
      <w:r w:rsidRPr="005615B4">
        <w:t>k</w:t>
      </w:r>
      <w:r>
        <w:t xml:space="preserve"> </w:t>
      </w:r>
      <w:r w:rsidRPr="005615B4">
        <w:t>přenosové</w:t>
      </w:r>
      <w:r>
        <w:t xml:space="preserve"> </w:t>
      </w:r>
      <w:r w:rsidRPr="005615B4">
        <w:t>soustavě,</w:t>
      </w:r>
      <w:r>
        <w:t xml:space="preserve"> </w:t>
      </w:r>
      <w:r w:rsidRPr="005615B4">
        <w:t>přepravní</w:t>
      </w:r>
      <w:r>
        <w:t xml:space="preserve"> </w:t>
      </w:r>
      <w:r w:rsidRPr="005615B4">
        <w:t>soustavě</w:t>
      </w:r>
      <w:r>
        <w:t xml:space="preserve"> </w:t>
      </w:r>
      <w:r w:rsidRPr="005615B4">
        <w:t>nebo</w:t>
      </w:r>
      <w:r>
        <w:t xml:space="preserve"> </w:t>
      </w:r>
      <w:r w:rsidRPr="005615B4">
        <w:t>distribuční</w:t>
      </w:r>
      <w:r>
        <w:t xml:space="preserve"> </w:t>
      </w:r>
      <w:r w:rsidRPr="005615B4">
        <w:t>soustavě,</w:t>
      </w:r>
      <w:r>
        <w:t xml:space="preserve"> </w:t>
      </w:r>
      <w:r w:rsidRPr="005615B4">
        <w:t>těžebnímu</w:t>
      </w:r>
      <w:r>
        <w:t xml:space="preserve"> </w:t>
      </w:r>
      <w:r w:rsidRPr="005615B4">
        <w:t>plynovodu</w:t>
      </w:r>
      <w:r>
        <w:t xml:space="preserve"> </w:t>
      </w:r>
      <w:r w:rsidRPr="005615B4">
        <w:t>nebo</w:t>
      </w:r>
      <w:r>
        <w:t xml:space="preserve"> </w:t>
      </w:r>
      <w:r w:rsidRPr="005615B4">
        <w:t>zásobníku</w:t>
      </w:r>
      <w:r>
        <w:t xml:space="preserve"> </w:t>
      </w:r>
      <w:r w:rsidRPr="005615B4">
        <w:t>plynu</w:t>
      </w:r>
      <w:r>
        <w:t xml:space="preserve"> </w:t>
      </w:r>
      <w:r w:rsidRPr="005615B4">
        <w:t>nebo</w:t>
      </w:r>
      <w:r>
        <w:t xml:space="preserve"> </w:t>
      </w:r>
      <w:r w:rsidRPr="005615B4">
        <w:t>o</w:t>
      </w:r>
      <w:r>
        <w:t xml:space="preserve"> </w:t>
      </w:r>
      <w:r w:rsidRPr="005615B4">
        <w:t>uzavření</w:t>
      </w:r>
      <w:r>
        <w:t xml:space="preserve"> </w:t>
      </w:r>
      <w:r w:rsidRPr="005615B4">
        <w:t>jiné</w:t>
      </w:r>
      <w:r>
        <w:t xml:space="preserve"> </w:t>
      </w:r>
      <w:r w:rsidRPr="005615B4">
        <w:t>smlouvy</w:t>
      </w:r>
      <w:r>
        <w:t xml:space="preserve"> </w:t>
      </w:r>
      <w:r w:rsidRPr="005615B4">
        <w:t>podle</w:t>
      </w:r>
      <w:r>
        <w:t xml:space="preserve"> </w:t>
      </w:r>
      <w:r w:rsidRPr="005615B4">
        <w:t>§</w:t>
      </w:r>
      <w:r>
        <w:t xml:space="preserve"> </w:t>
      </w:r>
      <w:r w:rsidRPr="005615B4">
        <w:t>17</w:t>
      </w:r>
      <w:r>
        <w:t xml:space="preserve"> </w:t>
      </w:r>
      <w:r w:rsidRPr="005615B4">
        <w:t>odst.</w:t>
      </w:r>
      <w:r>
        <w:t xml:space="preserve"> </w:t>
      </w:r>
      <w:r w:rsidRPr="005615B4">
        <w:t>7,</w:t>
      </w:r>
      <w:r>
        <w:t xml:space="preserve"> </w:t>
      </w:r>
      <w:r w:rsidRPr="005615B4">
        <w:t>rozhodne</w:t>
      </w:r>
      <w:r>
        <w:t xml:space="preserve"> </w:t>
      </w:r>
      <w:r w:rsidRPr="005615B4">
        <w:t>Energetický</w:t>
      </w:r>
      <w:r>
        <w:t xml:space="preserve"> </w:t>
      </w:r>
      <w:r w:rsidRPr="005615B4">
        <w:t>regulační</w:t>
      </w:r>
      <w:r>
        <w:t xml:space="preserve"> </w:t>
      </w:r>
      <w:r w:rsidRPr="005615B4">
        <w:t>úřad</w:t>
      </w:r>
      <w:r>
        <w:t xml:space="preserve"> </w:t>
      </w:r>
      <w:r w:rsidRPr="005615B4">
        <w:t>o</w:t>
      </w:r>
      <w:r>
        <w:t xml:space="preserve"> </w:t>
      </w:r>
      <w:r w:rsidRPr="005615B4">
        <w:t>úpravě</w:t>
      </w:r>
      <w:r>
        <w:t xml:space="preserve"> </w:t>
      </w:r>
      <w:r w:rsidRPr="005615B4">
        <w:t>vzájemných</w:t>
      </w:r>
      <w:r>
        <w:t xml:space="preserve"> </w:t>
      </w:r>
      <w:r w:rsidRPr="005615B4">
        <w:t>práv</w:t>
      </w:r>
      <w:r>
        <w:t xml:space="preserve"> </w:t>
      </w:r>
      <w:r w:rsidRPr="005615B4">
        <w:t>a</w:t>
      </w:r>
      <w:r>
        <w:t xml:space="preserve"> </w:t>
      </w:r>
      <w:r w:rsidRPr="005615B4">
        <w:t>povinností</w:t>
      </w:r>
      <w:r>
        <w:t xml:space="preserve"> </w:t>
      </w:r>
      <w:r w:rsidRPr="005615B4">
        <w:t>stran</w:t>
      </w:r>
      <w:r>
        <w:t xml:space="preserve"> </w:t>
      </w:r>
      <w:r w:rsidRPr="005615B4">
        <w:t>sporu.</w:t>
      </w:r>
      <w:r>
        <w:t xml:space="preserve"> </w:t>
      </w:r>
      <w:r w:rsidRPr="005615B4">
        <w:t>Při</w:t>
      </w:r>
      <w:r>
        <w:t xml:space="preserve"> </w:t>
      </w:r>
      <w:r w:rsidRPr="005615B4">
        <w:t>rozhodování</w:t>
      </w:r>
      <w:r>
        <w:t xml:space="preserve"> </w:t>
      </w:r>
      <w:r w:rsidRPr="005615B4">
        <w:t>dbá,</w:t>
      </w:r>
      <w:r>
        <w:t xml:space="preserve"> </w:t>
      </w:r>
      <w:r w:rsidRPr="005615B4">
        <w:t>aby</w:t>
      </w:r>
      <w:r>
        <w:t xml:space="preserve"> </w:t>
      </w:r>
      <w:r w:rsidRPr="005615B4">
        <w:t>nedošlo</w:t>
      </w:r>
      <w:r>
        <w:t xml:space="preserve"> </w:t>
      </w:r>
      <w:r w:rsidRPr="005615B4">
        <w:t>k</w:t>
      </w:r>
      <w:r>
        <w:t xml:space="preserve"> </w:t>
      </w:r>
      <w:r w:rsidRPr="005615B4">
        <w:t>založení</w:t>
      </w:r>
      <w:r>
        <w:t xml:space="preserve"> </w:t>
      </w:r>
      <w:r w:rsidRPr="005615B4">
        <w:t>nerovnováhy</w:t>
      </w:r>
      <w:r>
        <w:t xml:space="preserve"> </w:t>
      </w:r>
      <w:r w:rsidRPr="005615B4">
        <w:t>v</w:t>
      </w:r>
      <w:r>
        <w:t xml:space="preserve"> </w:t>
      </w:r>
      <w:r w:rsidRPr="005615B4">
        <w:t>právech</w:t>
      </w:r>
      <w:r>
        <w:t xml:space="preserve"> </w:t>
      </w:r>
      <w:r w:rsidRPr="005615B4">
        <w:t>a</w:t>
      </w:r>
      <w:r>
        <w:t xml:space="preserve"> </w:t>
      </w:r>
      <w:r w:rsidRPr="005615B4">
        <w:t>povinnostech</w:t>
      </w:r>
      <w:r>
        <w:t xml:space="preserve"> </w:t>
      </w:r>
      <w:r w:rsidRPr="005615B4">
        <w:t>stran</w:t>
      </w:r>
      <w:r>
        <w:t xml:space="preserve"> </w:t>
      </w:r>
      <w:r w:rsidRPr="005615B4">
        <w:t>sporu.</w:t>
      </w:r>
    </w:p>
    <w:p w14:paraId="6BA682F4" w14:textId="77777777" w:rsidR="008B568E" w:rsidRDefault="008B568E" w:rsidP="0010420C">
      <w:pPr>
        <w:pStyle w:val="Textparagrafu"/>
        <w:tabs>
          <w:tab w:val="left" w:pos="392"/>
          <w:tab w:val="left" w:pos="840"/>
        </w:tabs>
        <w:spacing w:before="120" w:after="120"/>
      </w:pPr>
      <w:r w:rsidRPr="005615B4">
        <w:t>(4)</w:t>
      </w:r>
      <w:r>
        <w:t xml:space="preserve"> </w:t>
      </w:r>
      <w:r w:rsidRPr="005615B4">
        <w:t>V</w:t>
      </w:r>
      <w:r>
        <w:t xml:space="preserve"> </w:t>
      </w:r>
      <w:r w:rsidRPr="005615B4">
        <w:t>řízeních</w:t>
      </w:r>
      <w:r>
        <w:t xml:space="preserve"> </w:t>
      </w:r>
      <w:r w:rsidRPr="005615B4">
        <w:t>vedených</w:t>
      </w:r>
      <w:r>
        <w:t xml:space="preserve"> </w:t>
      </w:r>
      <w:r w:rsidRPr="005615B4">
        <w:t>Energetickým</w:t>
      </w:r>
      <w:r>
        <w:t xml:space="preserve"> </w:t>
      </w:r>
      <w:r w:rsidRPr="005615B4">
        <w:t>regulačním</w:t>
      </w:r>
      <w:r>
        <w:t xml:space="preserve"> </w:t>
      </w:r>
      <w:r w:rsidRPr="005615B4">
        <w:t>úřadem</w:t>
      </w:r>
      <w:r>
        <w:t xml:space="preserve"> </w:t>
      </w:r>
      <w:r w:rsidRPr="005615B4">
        <w:t>jsou</w:t>
      </w:r>
      <w:r>
        <w:t xml:space="preserve"> </w:t>
      </w:r>
      <w:r w:rsidRPr="005615B4">
        <w:t>při</w:t>
      </w:r>
      <w:r>
        <w:t xml:space="preserve"> </w:t>
      </w:r>
      <w:r w:rsidRPr="005615B4">
        <w:t>nahlížení</w:t>
      </w:r>
      <w:r>
        <w:t xml:space="preserve"> </w:t>
      </w:r>
      <w:r w:rsidRPr="005615B4">
        <w:t>do</w:t>
      </w:r>
      <w:r>
        <w:t xml:space="preserve"> </w:t>
      </w:r>
      <w:r w:rsidRPr="005615B4">
        <w:t>spisu</w:t>
      </w:r>
      <w:r>
        <w:t xml:space="preserve"> </w:t>
      </w:r>
      <w:r w:rsidRPr="005615B4">
        <w:t>zákonem</w:t>
      </w:r>
      <w:r>
        <w:t xml:space="preserve"> </w:t>
      </w:r>
      <w:r w:rsidRPr="005615B4">
        <w:t>vyloučeny</w:t>
      </w:r>
      <w:r>
        <w:t xml:space="preserve"> </w:t>
      </w:r>
      <w:r w:rsidRPr="005615B4">
        <w:t>chráněné</w:t>
      </w:r>
      <w:r>
        <w:t xml:space="preserve"> </w:t>
      </w:r>
      <w:r w:rsidRPr="005615B4">
        <w:t>informace.</w:t>
      </w:r>
      <w:r>
        <w:t xml:space="preserve"> </w:t>
      </w:r>
      <w:r w:rsidRPr="005615B4">
        <w:t>Spis</w:t>
      </w:r>
      <w:r>
        <w:t xml:space="preserve"> </w:t>
      </w:r>
      <w:r w:rsidRPr="005615B4">
        <w:t>musí</w:t>
      </w:r>
      <w:r>
        <w:t xml:space="preserve"> </w:t>
      </w:r>
      <w:r w:rsidRPr="005615B4">
        <w:t>zahrnovat</w:t>
      </w:r>
      <w:r>
        <w:t xml:space="preserve"> </w:t>
      </w:r>
      <w:r w:rsidRPr="005615B4">
        <w:t>vedle</w:t>
      </w:r>
      <w:r>
        <w:t xml:space="preserve"> </w:t>
      </w:r>
      <w:r w:rsidRPr="005615B4">
        <w:t>listin</w:t>
      </w:r>
      <w:r>
        <w:t xml:space="preserve"> </w:t>
      </w:r>
      <w:r w:rsidRPr="005615B4">
        <w:t>obsahujících</w:t>
      </w:r>
      <w:r>
        <w:t xml:space="preserve"> </w:t>
      </w:r>
      <w:r w:rsidRPr="005615B4">
        <w:t>takové</w:t>
      </w:r>
      <w:r>
        <w:t xml:space="preserve"> </w:t>
      </w:r>
      <w:r w:rsidRPr="005615B4">
        <w:t>skutečnosti</w:t>
      </w:r>
      <w:r>
        <w:t xml:space="preserve"> </w:t>
      </w:r>
      <w:r w:rsidRPr="005615B4">
        <w:t>i</w:t>
      </w:r>
      <w:r>
        <w:t xml:space="preserve"> </w:t>
      </w:r>
      <w:r w:rsidRPr="005615B4">
        <w:t>listiny,</w:t>
      </w:r>
      <w:r>
        <w:t xml:space="preserve"> </w:t>
      </w:r>
      <w:r w:rsidRPr="005615B4">
        <w:t>ze</w:t>
      </w:r>
      <w:r>
        <w:t xml:space="preserve"> </w:t>
      </w:r>
      <w:r w:rsidRPr="005615B4">
        <w:t>kterých</w:t>
      </w:r>
      <w:r>
        <w:t xml:space="preserve"> </w:t>
      </w:r>
      <w:r w:rsidRPr="005615B4">
        <w:t>byly</w:t>
      </w:r>
      <w:r>
        <w:t xml:space="preserve"> </w:t>
      </w:r>
      <w:r w:rsidRPr="005615B4">
        <w:t>chráněné</w:t>
      </w:r>
      <w:r>
        <w:t xml:space="preserve"> </w:t>
      </w:r>
      <w:r w:rsidRPr="005615B4">
        <w:t>informace</w:t>
      </w:r>
      <w:r>
        <w:t xml:space="preserve"> </w:t>
      </w:r>
      <w:r w:rsidRPr="005615B4">
        <w:t>odstraněny,</w:t>
      </w:r>
      <w:r>
        <w:t xml:space="preserve"> </w:t>
      </w:r>
      <w:r w:rsidRPr="005615B4">
        <w:t>případně</w:t>
      </w:r>
      <w:r>
        <w:t xml:space="preserve"> </w:t>
      </w:r>
      <w:r w:rsidRPr="005615B4">
        <w:t>dostatečně</w:t>
      </w:r>
      <w:r>
        <w:t xml:space="preserve"> </w:t>
      </w:r>
      <w:r w:rsidRPr="005615B4">
        <w:t>podrobný</w:t>
      </w:r>
      <w:r>
        <w:t xml:space="preserve"> </w:t>
      </w:r>
      <w:r w:rsidRPr="005615B4">
        <w:t>výpis,</w:t>
      </w:r>
      <w:r>
        <w:t xml:space="preserve"> </w:t>
      </w:r>
      <w:r w:rsidRPr="005615B4">
        <w:t>který</w:t>
      </w:r>
      <w:r>
        <w:t xml:space="preserve"> </w:t>
      </w:r>
      <w:r w:rsidRPr="005615B4">
        <w:t>chráněné</w:t>
      </w:r>
      <w:r>
        <w:t xml:space="preserve"> </w:t>
      </w:r>
      <w:r w:rsidRPr="005615B4">
        <w:t>informace</w:t>
      </w:r>
      <w:r>
        <w:t xml:space="preserve"> </w:t>
      </w:r>
      <w:r w:rsidRPr="005615B4">
        <w:t>neobsahuje.</w:t>
      </w:r>
      <w:r>
        <w:t xml:space="preserve"> </w:t>
      </w:r>
      <w:r w:rsidRPr="005615B4">
        <w:t>Na</w:t>
      </w:r>
      <w:r>
        <w:t xml:space="preserve"> </w:t>
      </w:r>
      <w:r w:rsidRPr="005615B4">
        <w:t>žádost</w:t>
      </w:r>
      <w:r>
        <w:t xml:space="preserve"> </w:t>
      </w:r>
      <w:r w:rsidRPr="005615B4">
        <w:t>Energetického</w:t>
      </w:r>
      <w:r>
        <w:t xml:space="preserve"> </w:t>
      </w:r>
      <w:r w:rsidRPr="005615B4">
        <w:t>regulačního</w:t>
      </w:r>
      <w:r>
        <w:t xml:space="preserve"> </w:t>
      </w:r>
      <w:r w:rsidRPr="005615B4">
        <w:t>úřadu</w:t>
      </w:r>
      <w:r>
        <w:t xml:space="preserve"> </w:t>
      </w:r>
      <w:r w:rsidRPr="005615B4">
        <w:t>je</w:t>
      </w:r>
      <w:r>
        <w:t xml:space="preserve"> </w:t>
      </w:r>
      <w:r w:rsidRPr="005615B4">
        <w:t>osoba,</w:t>
      </w:r>
      <w:r>
        <w:t xml:space="preserve"> </w:t>
      </w:r>
      <w:r w:rsidRPr="005615B4">
        <w:t>které</w:t>
      </w:r>
      <w:r>
        <w:t xml:space="preserve"> </w:t>
      </w:r>
      <w:r w:rsidRPr="005615B4">
        <w:t>ochrana</w:t>
      </w:r>
      <w:r>
        <w:t xml:space="preserve"> </w:t>
      </w:r>
      <w:r w:rsidRPr="005615B4">
        <w:t>těchto</w:t>
      </w:r>
      <w:r>
        <w:t xml:space="preserve"> </w:t>
      </w:r>
      <w:r w:rsidRPr="005615B4">
        <w:t>skutečností</w:t>
      </w:r>
      <w:r>
        <w:t xml:space="preserve"> </w:t>
      </w:r>
      <w:r w:rsidRPr="005615B4">
        <w:t>svědčí,</w:t>
      </w:r>
      <w:r>
        <w:t xml:space="preserve"> </w:t>
      </w:r>
      <w:r w:rsidRPr="005615B4">
        <w:t>povinna</w:t>
      </w:r>
      <w:r>
        <w:t xml:space="preserve"> </w:t>
      </w:r>
      <w:r w:rsidRPr="005615B4">
        <w:t>vedle</w:t>
      </w:r>
      <w:r>
        <w:t xml:space="preserve"> </w:t>
      </w:r>
      <w:r w:rsidRPr="005615B4">
        <w:t>listin</w:t>
      </w:r>
      <w:r>
        <w:t xml:space="preserve"> </w:t>
      </w:r>
      <w:r w:rsidRPr="005615B4">
        <w:t>obsahujících</w:t>
      </w:r>
      <w:r>
        <w:t xml:space="preserve"> </w:t>
      </w:r>
      <w:r w:rsidRPr="005615B4">
        <w:t>takové</w:t>
      </w:r>
      <w:r>
        <w:t xml:space="preserve"> </w:t>
      </w:r>
      <w:r w:rsidRPr="005615B4">
        <w:t>skutečnosti</w:t>
      </w:r>
      <w:r>
        <w:t xml:space="preserve"> </w:t>
      </w:r>
      <w:r w:rsidRPr="005615B4">
        <w:t>předložit</w:t>
      </w:r>
      <w:r>
        <w:t xml:space="preserve"> </w:t>
      </w:r>
      <w:r w:rsidRPr="005615B4">
        <w:t>i</w:t>
      </w:r>
      <w:r>
        <w:t xml:space="preserve"> </w:t>
      </w:r>
      <w:r w:rsidRPr="005615B4">
        <w:t>listiny,</w:t>
      </w:r>
      <w:r>
        <w:t xml:space="preserve"> </w:t>
      </w:r>
      <w:r w:rsidRPr="005615B4">
        <w:t>ze</w:t>
      </w:r>
      <w:r>
        <w:t xml:space="preserve"> </w:t>
      </w:r>
      <w:r w:rsidRPr="005615B4">
        <w:t>kterých</w:t>
      </w:r>
      <w:r>
        <w:t xml:space="preserve"> </w:t>
      </w:r>
      <w:r w:rsidRPr="005615B4">
        <w:t>byly</w:t>
      </w:r>
      <w:r>
        <w:t xml:space="preserve"> </w:t>
      </w:r>
      <w:r w:rsidRPr="005615B4">
        <w:t>takové</w:t>
      </w:r>
      <w:r>
        <w:t xml:space="preserve"> </w:t>
      </w:r>
      <w:r w:rsidRPr="005615B4">
        <w:t>skutečnosti</w:t>
      </w:r>
      <w:r>
        <w:t xml:space="preserve"> </w:t>
      </w:r>
      <w:r w:rsidRPr="005615B4">
        <w:t>odstraněny,</w:t>
      </w:r>
      <w:r>
        <w:t xml:space="preserve"> </w:t>
      </w:r>
      <w:r w:rsidRPr="005615B4">
        <w:t>případně</w:t>
      </w:r>
      <w:r>
        <w:t xml:space="preserve"> </w:t>
      </w:r>
      <w:r w:rsidRPr="005615B4">
        <w:t>pořídit</w:t>
      </w:r>
      <w:r>
        <w:t xml:space="preserve"> </w:t>
      </w:r>
      <w:r w:rsidRPr="005615B4">
        <w:t>z</w:t>
      </w:r>
      <w:r>
        <w:t xml:space="preserve"> </w:t>
      </w:r>
      <w:r w:rsidRPr="005615B4">
        <w:t>takových</w:t>
      </w:r>
      <w:r>
        <w:t xml:space="preserve"> </w:t>
      </w:r>
      <w:r w:rsidRPr="005615B4">
        <w:t>listin</w:t>
      </w:r>
      <w:r>
        <w:t xml:space="preserve"> </w:t>
      </w:r>
      <w:r w:rsidRPr="005615B4">
        <w:t>dostatečně</w:t>
      </w:r>
      <w:r>
        <w:t xml:space="preserve"> </w:t>
      </w:r>
      <w:r w:rsidRPr="005615B4">
        <w:t>podrobný</w:t>
      </w:r>
      <w:r>
        <w:t xml:space="preserve"> </w:t>
      </w:r>
      <w:r w:rsidRPr="005615B4">
        <w:t>výtah,</w:t>
      </w:r>
      <w:r>
        <w:t xml:space="preserve"> </w:t>
      </w:r>
      <w:r w:rsidRPr="005615B4">
        <w:t>který</w:t>
      </w:r>
      <w:r>
        <w:t xml:space="preserve"> </w:t>
      </w:r>
      <w:r w:rsidRPr="005615B4">
        <w:t>takové</w:t>
      </w:r>
      <w:r>
        <w:t xml:space="preserve"> </w:t>
      </w:r>
      <w:r w:rsidRPr="005615B4">
        <w:t>skutečnosti</w:t>
      </w:r>
      <w:r>
        <w:t xml:space="preserve"> </w:t>
      </w:r>
      <w:r w:rsidRPr="005615B4">
        <w:t>neobsahuje.</w:t>
      </w:r>
    </w:p>
    <w:p w14:paraId="6DFABAF5" w14:textId="77777777" w:rsidR="008B568E" w:rsidRDefault="008B568E" w:rsidP="0010420C">
      <w:pPr>
        <w:pStyle w:val="Textparagrafu"/>
        <w:tabs>
          <w:tab w:val="left" w:pos="392"/>
          <w:tab w:val="left" w:pos="840"/>
        </w:tabs>
        <w:spacing w:before="120" w:after="120"/>
      </w:pPr>
      <w:r w:rsidRPr="005615B4">
        <w:t>(5)</w:t>
      </w:r>
      <w:r>
        <w:t xml:space="preserve"> </w:t>
      </w:r>
      <w:r w:rsidRPr="005615B4">
        <w:t>Smlouvy</w:t>
      </w:r>
      <w:r>
        <w:t xml:space="preserve"> </w:t>
      </w:r>
      <w:r w:rsidRPr="005615B4">
        <w:t>upravené</w:t>
      </w:r>
      <w:r>
        <w:t xml:space="preserve"> </w:t>
      </w:r>
      <w:r w:rsidRPr="005615B4">
        <w:t>tímto</w:t>
      </w:r>
      <w:r>
        <w:t xml:space="preserve"> </w:t>
      </w:r>
      <w:r w:rsidRPr="005615B4">
        <w:t>zákonem</w:t>
      </w:r>
      <w:r>
        <w:t xml:space="preserve"> </w:t>
      </w:r>
      <w:r w:rsidRPr="005615B4">
        <w:t>se</w:t>
      </w:r>
      <w:r>
        <w:t xml:space="preserve"> </w:t>
      </w:r>
      <w:r w:rsidRPr="005615B4">
        <w:t>v</w:t>
      </w:r>
      <w:r>
        <w:t xml:space="preserve"> </w:t>
      </w:r>
      <w:r w:rsidRPr="005615B4">
        <w:t>ostatním</w:t>
      </w:r>
      <w:r>
        <w:t xml:space="preserve"> </w:t>
      </w:r>
      <w:r w:rsidRPr="005615B4">
        <w:t>řídí</w:t>
      </w:r>
      <w:r>
        <w:t xml:space="preserve"> </w:t>
      </w:r>
      <w:r w:rsidRPr="005615B4">
        <w:t>právní</w:t>
      </w:r>
      <w:r>
        <w:t xml:space="preserve"> </w:t>
      </w:r>
      <w:r w:rsidRPr="005615B4">
        <w:t>úpravou</w:t>
      </w:r>
      <w:r>
        <w:t xml:space="preserve"> </w:t>
      </w:r>
      <w:r w:rsidRPr="005615B4">
        <w:t>závazků</w:t>
      </w:r>
      <w:r>
        <w:t xml:space="preserve"> </w:t>
      </w:r>
      <w:r w:rsidRPr="005615B4">
        <w:t>a</w:t>
      </w:r>
      <w:r>
        <w:t xml:space="preserve"> </w:t>
      </w:r>
      <w:r w:rsidRPr="005615B4">
        <w:t>úpravou</w:t>
      </w:r>
      <w:r>
        <w:t xml:space="preserve"> </w:t>
      </w:r>
      <w:r w:rsidRPr="005615B4">
        <w:t>smluvních</w:t>
      </w:r>
      <w:r>
        <w:t xml:space="preserve"> </w:t>
      </w:r>
      <w:r w:rsidRPr="005615B4">
        <w:t>typů</w:t>
      </w:r>
      <w:r>
        <w:t xml:space="preserve"> </w:t>
      </w:r>
      <w:r w:rsidRPr="005615B4">
        <w:t>jim</w:t>
      </w:r>
      <w:r>
        <w:t xml:space="preserve"> </w:t>
      </w:r>
      <w:r w:rsidRPr="005615B4">
        <w:t>nejbližších</w:t>
      </w:r>
      <w:r>
        <w:t xml:space="preserve"> </w:t>
      </w:r>
      <w:r w:rsidRPr="005615B4">
        <w:t>podle</w:t>
      </w:r>
      <w:r>
        <w:t xml:space="preserve"> </w:t>
      </w:r>
      <w:r w:rsidRPr="005615B4">
        <w:t>občanského</w:t>
      </w:r>
      <w:r>
        <w:t xml:space="preserve"> </w:t>
      </w:r>
      <w:r w:rsidRPr="005615B4">
        <w:t>zákoníku,</w:t>
      </w:r>
      <w:r>
        <w:t xml:space="preserve"> </w:t>
      </w:r>
      <w:r w:rsidRPr="005615B4">
        <w:t>pokud</w:t>
      </w:r>
      <w:r>
        <w:t xml:space="preserve"> </w:t>
      </w:r>
      <w:r w:rsidRPr="005615B4">
        <w:t>z</w:t>
      </w:r>
      <w:r>
        <w:t xml:space="preserve"> </w:t>
      </w:r>
      <w:r w:rsidRPr="005615B4">
        <w:t>tohoto</w:t>
      </w:r>
      <w:r>
        <w:t xml:space="preserve"> </w:t>
      </w:r>
      <w:r w:rsidRPr="005615B4">
        <w:t>zákona</w:t>
      </w:r>
      <w:r>
        <w:t xml:space="preserve"> </w:t>
      </w:r>
      <w:r w:rsidRPr="005615B4">
        <w:t>nebo</w:t>
      </w:r>
      <w:r>
        <w:t xml:space="preserve"> </w:t>
      </w:r>
      <w:r w:rsidRPr="005615B4">
        <w:t>povahy</w:t>
      </w:r>
      <w:r>
        <w:t xml:space="preserve"> </w:t>
      </w:r>
      <w:r w:rsidRPr="005615B4">
        <w:t>věci</w:t>
      </w:r>
      <w:r>
        <w:t xml:space="preserve"> </w:t>
      </w:r>
      <w:r w:rsidRPr="005615B4">
        <w:t>nevyplývá</w:t>
      </w:r>
      <w:r>
        <w:t xml:space="preserve"> </w:t>
      </w:r>
      <w:r w:rsidRPr="005615B4">
        <w:t>něco</w:t>
      </w:r>
      <w:r>
        <w:t xml:space="preserve"> </w:t>
      </w:r>
      <w:r w:rsidRPr="005615B4">
        <w:t>jiného.</w:t>
      </w:r>
    </w:p>
    <w:p w14:paraId="46E3392C" w14:textId="77777777" w:rsidR="008B568E" w:rsidRDefault="008B568E" w:rsidP="0010420C">
      <w:pPr>
        <w:pStyle w:val="Textparagrafu"/>
        <w:tabs>
          <w:tab w:val="left" w:pos="392"/>
          <w:tab w:val="left" w:pos="840"/>
        </w:tabs>
        <w:spacing w:before="120" w:after="120"/>
      </w:pPr>
      <w:r w:rsidRPr="005615B4">
        <w:lastRenderedPageBreak/>
        <w:t>(6)</w:t>
      </w:r>
      <w:r>
        <w:t xml:space="preserve"> </w:t>
      </w:r>
      <w:r w:rsidRPr="005615B4">
        <w:t>Dodavatel</w:t>
      </w:r>
      <w:r>
        <w:t xml:space="preserve"> </w:t>
      </w:r>
      <w:r w:rsidRPr="005615B4">
        <w:t>paliva,</w:t>
      </w:r>
      <w:r>
        <w:t xml:space="preserve"> </w:t>
      </w:r>
      <w:r w:rsidRPr="005615B4">
        <w:t>energie</w:t>
      </w:r>
      <w:r>
        <w:t xml:space="preserve"> </w:t>
      </w:r>
      <w:r w:rsidRPr="005615B4">
        <w:t>a</w:t>
      </w:r>
      <w:r>
        <w:t xml:space="preserve"> </w:t>
      </w:r>
      <w:r w:rsidRPr="005615B4">
        <w:t>surovin,</w:t>
      </w:r>
      <w:r>
        <w:t xml:space="preserve"> </w:t>
      </w:r>
      <w:r w:rsidRPr="005615B4">
        <w:t>které</w:t>
      </w:r>
      <w:r>
        <w:t xml:space="preserve"> </w:t>
      </w:r>
      <w:r w:rsidRPr="005615B4">
        <w:t>jsou</w:t>
      </w:r>
      <w:r>
        <w:t xml:space="preserve"> </w:t>
      </w:r>
      <w:r w:rsidRPr="005615B4">
        <w:t>nezbytné</w:t>
      </w:r>
      <w:r>
        <w:t xml:space="preserve"> </w:t>
      </w:r>
      <w:r w:rsidRPr="005615B4">
        <w:t>pro</w:t>
      </w:r>
      <w:r>
        <w:t xml:space="preserve"> </w:t>
      </w:r>
      <w:r w:rsidRPr="005615B4">
        <w:t>plnění</w:t>
      </w:r>
      <w:r>
        <w:t xml:space="preserve"> </w:t>
      </w:r>
      <w:r w:rsidRPr="005615B4">
        <w:t>povinnosti</w:t>
      </w:r>
      <w:r>
        <w:t xml:space="preserve"> </w:t>
      </w:r>
      <w:r w:rsidRPr="005615B4">
        <w:t>nad</w:t>
      </w:r>
      <w:r>
        <w:t xml:space="preserve"> </w:t>
      </w:r>
      <w:r w:rsidRPr="005615B4">
        <w:t>rámec</w:t>
      </w:r>
      <w:r>
        <w:t xml:space="preserve"> </w:t>
      </w:r>
      <w:r w:rsidRPr="005615B4">
        <w:t>licence,</w:t>
      </w:r>
      <w:r>
        <w:t xml:space="preserve"> </w:t>
      </w:r>
      <w:r w:rsidRPr="005615B4">
        <w:t>je</w:t>
      </w:r>
      <w:r>
        <w:t xml:space="preserve"> </w:t>
      </w:r>
      <w:r w:rsidRPr="005615B4">
        <w:t>povinen</w:t>
      </w:r>
      <w:r>
        <w:t xml:space="preserve"> </w:t>
      </w:r>
      <w:r w:rsidRPr="005615B4">
        <w:t>v</w:t>
      </w:r>
      <w:r>
        <w:t xml:space="preserve"> </w:t>
      </w:r>
      <w:r w:rsidRPr="005615B4">
        <w:t>rozsahu</w:t>
      </w:r>
      <w:r>
        <w:t xml:space="preserve"> </w:t>
      </w:r>
      <w:r w:rsidRPr="005615B4">
        <w:t>požadovaném</w:t>
      </w:r>
      <w:r>
        <w:t xml:space="preserve"> </w:t>
      </w:r>
      <w:r w:rsidRPr="005615B4">
        <w:t>dodavatelem</w:t>
      </w:r>
      <w:r>
        <w:t xml:space="preserve"> </w:t>
      </w:r>
      <w:r w:rsidRPr="005615B4">
        <w:t>nad</w:t>
      </w:r>
      <w:r>
        <w:t xml:space="preserve"> </w:t>
      </w:r>
      <w:r w:rsidRPr="005615B4">
        <w:t>rámec</w:t>
      </w:r>
      <w:r>
        <w:t xml:space="preserve"> </w:t>
      </w:r>
      <w:r w:rsidRPr="005615B4">
        <w:t>licence</w:t>
      </w:r>
      <w:r>
        <w:t xml:space="preserve"> </w:t>
      </w:r>
      <w:r w:rsidRPr="005615B4">
        <w:t>pokračovat</w:t>
      </w:r>
      <w:r>
        <w:t xml:space="preserve"> </w:t>
      </w:r>
      <w:r w:rsidRPr="005615B4">
        <w:t>v</w:t>
      </w:r>
      <w:r>
        <w:t xml:space="preserve"> </w:t>
      </w:r>
      <w:r w:rsidRPr="005615B4">
        <w:t>plnění</w:t>
      </w:r>
      <w:r>
        <w:t xml:space="preserve"> </w:t>
      </w:r>
      <w:r w:rsidRPr="005615B4">
        <w:t>smluv</w:t>
      </w:r>
      <w:r>
        <w:t xml:space="preserve"> </w:t>
      </w:r>
      <w:r w:rsidRPr="005615B4">
        <w:t>uzavřených</w:t>
      </w:r>
      <w:r>
        <w:t xml:space="preserve"> </w:t>
      </w:r>
      <w:r w:rsidRPr="005615B4">
        <w:t>s</w:t>
      </w:r>
      <w:r>
        <w:t xml:space="preserve"> </w:t>
      </w:r>
      <w:r w:rsidRPr="005615B4">
        <w:t>držitelem</w:t>
      </w:r>
      <w:r>
        <w:t xml:space="preserve"> </w:t>
      </w:r>
      <w:r w:rsidRPr="005615B4">
        <w:t>licence</w:t>
      </w:r>
      <w:r>
        <w:t xml:space="preserve"> </w:t>
      </w:r>
      <w:r w:rsidRPr="005615B4">
        <w:t>i</w:t>
      </w:r>
      <w:r>
        <w:t xml:space="preserve"> </w:t>
      </w:r>
      <w:r w:rsidRPr="005615B4">
        <w:t>vůči</w:t>
      </w:r>
      <w:r>
        <w:t xml:space="preserve"> </w:t>
      </w:r>
      <w:r w:rsidRPr="005615B4">
        <w:t>dodavateli</w:t>
      </w:r>
      <w:r>
        <w:t xml:space="preserve"> </w:t>
      </w:r>
      <w:r w:rsidRPr="005615B4">
        <w:t>nad</w:t>
      </w:r>
      <w:r>
        <w:t xml:space="preserve"> </w:t>
      </w:r>
      <w:r w:rsidRPr="005615B4">
        <w:t>rámec</w:t>
      </w:r>
      <w:r>
        <w:t xml:space="preserve"> </w:t>
      </w:r>
      <w:r w:rsidRPr="005615B4">
        <w:t>licence</w:t>
      </w:r>
      <w:r>
        <w:t xml:space="preserve"> </w:t>
      </w:r>
      <w:r w:rsidRPr="005615B4">
        <w:t>po</w:t>
      </w:r>
      <w:r>
        <w:t xml:space="preserve"> </w:t>
      </w:r>
      <w:r w:rsidRPr="005615B4">
        <w:t>dobu</w:t>
      </w:r>
      <w:r>
        <w:t xml:space="preserve"> </w:t>
      </w:r>
      <w:r w:rsidRPr="005615B4">
        <w:t>vykonatelnosti</w:t>
      </w:r>
      <w:r>
        <w:t xml:space="preserve"> </w:t>
      </w:r>
      <w:r w:rsidRPr="005615B4">
        <w:t>rozhodnutí</w:t>
      </w:r>
      <w:r>
        <w:t xml:space="preserve"> </w:t>
      </w:r>
      <w:r w:rsidRPr="005615B4">
        <w:t>o</w:t>
      </w:r>
      <w:r>
        <w:t xml:space="preserve"> </w:t>
      </w:r>
      <w:r w:rsidRPr="005615B4">
        <w:t>uložení</w:t>
      </w:r>
      <w:r>
        <w:t xml:space="preserve"> </w:t>
      </w:r>
      <w:r w:rsidRPr="005615B4">
        <w:t>povinnosti</w:t>
      </w:r>
      <w:r>
        <w:t xml:space="preserve"> </w:t>
      </w:r>
      <w:r w:rsidRPr="005615B4">
        <w:t>nad</w:t>
      </w:r>
      <w:r>
        <w:t xml:space="preserve"> </w:t>
      </w:r>
      <w:r w:rsidRPr="005615B4">
        <w:t>rámec</w:t>
      </w:r>
      <w:r>
        <w:t xml:space="preserve"> </w:t>
      </w:r>
      <w:r w:rsidRPr="005615B4">
        <w:t>licence,</w:t>
      </w:r>
      <w:r>
        <w:t xml:space="preserve"> </w:t>
      </w:r>
      <w:r w:rsidRPr="005615B4">
        <w:t>pokud</w:t>
      </w:r>
      <w:r>
        <w:t xml:space="preserve"> </w:t>
      </w:r>
      <w:r w:rsidRPr="005615B4">
        <w:t>dodavatel</w:t>
      </w:r>
      <w:r>
        <w:t xml:space="preserve"> </w:t>
      </w:r>
      <w:r w:rsidRPr="005615B4">
        <w:t>nad</w:t>
      </w:r>
      <w:r>
        <w:t xml:space="preserve"> </w:t>
      </w:r>
      <w:r w:rsidRPr="005615B4">
        <w:t>rámec</w:t>
      </w:r>
      <w:r>
        <w:t xml:space="preserve"> </w:t>
      </w:r>
      <w:r w:rsidRPr="005615B4">
        <w:t>licence</w:t>
      </w:r>
      <w:r>
        <w:t xml:space="preserve"> </w:t>
      </w:r>
      <w:r w:rsidRPr="005615B4">
        <w:t>plní</w:t>
      </w:r>
      <w:r>
        <w:t xml:space="preserve"> </w:t>
      </w:r>
      <w:r w:rsidRPr="005615B4">
        <w:t>závazky</w:t>
      </w:r>
      <w:r>
        <w:t xml:space="preserve"> </w:t>
      </w:r>
      <w:r w:rsidRPr="005615B4">
        <w:t>vzniklé</w:t>
      </w:r>
      <w:r>
        <w:t xml:space="preserve"> </w:t>
      </w:r>
      <w:r w:rsidRPr="005615B4">
        <w:t>z</w:t>
      </w:r>
      <w:r>
        <w:t xml:space="preserve"> </w:t>
      </w:r>
      <w:r w:rsidRPr="005615B4">
        <w:t>těchto</w:t>
      </w:r>
      <w:r>
        <w:t xml:space="preserve"> </w:t>
      </w:r>
      <w:r w:rsidRPr="005615B4">
        <w:t>smluv</w:t>
      </w:r>
      <w:r>
        <w:t xml:space="preserve"> </w:t>
      </w:r>
      <w:r w:rsidRPr="005615B4">
        <w:t>od</w:t>
      </w:r>
      <w:r>
        <w:t xml:space="preserve"> </w:t>
      </w:r>
      <w:r w:rsidRPr="005615B4">
        <w:t>právní</w:t>
      </w:r>
      <w:r>
        <w:t xml:space="preserve"> </w:t>
      </w:r>
      <w:r w:rsidRPr="005615B4">
        <w:t>moci</w:t>
      </w:r>
      <w:r>
        <w:t xml:space="preserve"> </w:t>
      </w:r>
      <w:r w:rsidRPr="005615B4">
        <w:t>rozhodnutí</w:t>
      </w:r>
      <w:r>
        <w:t xml:space="preserve"> </w:t>
      </w:r>
      <w:r w:rsidRPr="005615B4">
        <w:t>o</w:t>
      </w:r>
      <w:r>
        <w:t xml:space="preserve"> </w:t>
      </w:r>
      <w:r w:rsidRPr="005615B4">
        <w:t>uložení</w:t>
      </w:r>
      <w:r>
        <w:t xml:space="preserve"> </w:t>
      </w:r>
      <w:r w:rsidRPr="005615B4">
        <w:t>povinnosti</w:t>
      </w:r>
      <w:r>
        <w:t xml:space="preserve"> </w:t>
      </w:r>
      <w:r w:rsidRPr="005615B4">
        <w:t>nad</w:t>
      </w:r>
      <w:r>
        <w:t xml:space="preserve"> </w:t>
      </w:r>
      <w:r w:rsidRPr="005615B4">
        <w:t>rámec</w:t>
      </w:r>
      <w:r>
        <w:t xml:space="preserve"> </w:t>
      </w:r>
      <w:r w:rsidRPr="005615B4">
        <w:t>licence.</w:t>
      </w:r>
    </w:p>
    <w:p w14:paraId="161523AE" w14:textId="77777777" w:rsidR="008B568E" w:rsidRDefault="008B568E" w:rsidP="0010420C">
      <w:pPr>
        <w:pStyle w:val="Textparagrafu"/>
        <w:tabs>
          <w:tab w:val="left" w:pos="392"/>
          <w:tab w:val="left" w:pos="840"/>
        </w:tabs>
        <w:spacing w:before="120" w:after="120"/>
      </w:pPr>
      <w:r w:rsidRPr="005615B4">
        <w:t>(7)</w:t>
      </w:r>
      <w:r>
        <w:t xml:space="preserve"> </w:t>
      </w:r>
      <w:r w:rsidRPr="005615B4">
        <w:t>Povinnost</w:t>
      </w:r>
      <w:r>
        <w:t xml:space="preserve"> </w:t>
      </w:r>
      <w:r w:rsidRPr="005615B4">
        <w:t>vyplývající</w:t>
      </w:r>
      <w:r>
        <w:t xml:space="preserve"> </w:t>
      </w:r>
      <w:r w:rsidRPr="005615B4">
        <w:t>z</w:t>
      </w:r>
      <w:r>
        <w:t xml:space="preserve"> </w:t>
      </w:r>
      <w:r w:rsidRPr="005615B4">
        <w:t>rozhodnutí</w:t>
      </w:r>
      <w:r>
        <w:t xml:space="preserve"> </w:t>
      </w:r>
      <w:r w:rsidRPr="005615B4">
        <w:t>Energetického</w:t>
      </w:r>
      <w:r>
        <w:t xml:space="preserve"> </w:t>
      </w:r>
      <w:r w:rsidRPr="005615B4">
        <w:t>regulačního</w:t>
      </w:r>
      <w:r>
        <w:t xml:space="preserve"> </w:t>
      </w:r>
      <w:r w:rsidRPr="005615B4">
        <w:t>úřadu</w:t>
      </w:r>
      <w:r>
        <w:t xml:space="preserve"> </w:t>
      </w:r>
      <w:r w:rsidRPr="005615B4">
        <w:t>podle</w:t>
      </w:r>
      <w:r>
        <w:t xml:space="preserve"> </w:t>
      </w:r>
      <w:r w:rsidRPr="005615B4">
        <w:t>§</w:t>
      </w:r>
      <w:r>
        <w:t xml:space="preserve"> </w:t>
      </w:r>
      <w:r w:rsidRPr="005615B4">
        <w:t>12</w:t>
      </w:r>
      <w:r>
        <w:t xml:space="preserve"> </w:t>
      </w:r>
      <w:r w:rsidRPr="005615B4">
        <w:t>odst.</w:t>
      </w:r>
      <w:r>
        <w:t xml:space="preserve"> </w:t>
      </w:r>
      <w:r w:rsidRPr="005615B4">
        <w:t>2</w:t>
      </w:r>
      <w:r>
        <w:t xml:space="preserve"> </w:t>
      </w:r>
      <w:r w:rsidRPr="005615B4">
        <w:t>nebo</w:t>
      </w:r>
      <w:r>
        <w:t xml:space="preserve"> </w:t>
      </w:r>
      <w:r w:rsidRPr="005615B4">
        <w:t>3,</w:t>
      </w:r>
      <w:r>
        <w:t xml:space="preserve"> </w:t>
      </w:r>
      <w:r w:rsidRPr="005615B4">
        <w:t>povinnost</w:t>
      </w:r>
      <w:r>
        <w:t xml:space="preserve"> </w:t>
      </w:r>
      <w:r w:rsidRPr="005615B4">
        <w:t>vyplývající</w:t>
      </w:r>
      <w:r>
        <w:t xml:space="preserve"> </w:t>
      </w:r>
      <w:r w:rsidRPr="005615B4">
        <w:t>z</w:t>
      </w:r>
      <w:r>
        <w:t xml:space="preserve"> </w:t>
      </w:r>
      <w:r w:rsidRPr="005615B4">
        <w:t>opatření</w:t>
      </w:r>
      <w:r>
        <w:t xml:space="preserve"> </w:t>
      </w:r>
      <w:r w:rsidRPr="005615B4">
        <w:t>uloženého</w:t>
      </w:r>
      <w:r>
        <w:t xml:space="preserve"> </w:t>
      </w:r>
      <w:r w:rsidRPr="005615B4">
        <w:t>rozhodnutím</w:t>
      </w:r>
      <w:r>
        <w:t xml:space="preserve"> </w:t>
      </w:r>
      <w:r w:rsidRPr="005615B4">
        <w:t>Energetického</w:t>
      </w:r>
      <w:r>
        <w:t xml:space="preserve"> </w:t>
      </w:r>
      <w:r w:rsidRPr="005615B4">
        <w:t>regulačního</w:t>
      </w:r>
      <w:r>
        <w:t xml:space="preserve"> </w:t>
      </w:r>
      <w:r w:rsidRPr="005615B4">
        <w:t>úřadu</w:t>
      </w:r>
      <w:r>
        <w:t xml:space="preserve"> </w:t>
      </w:r>
      <w:r w:rsidRPr="005615B4">
        <w:t>podle</w:t>
      </w:r>
      <w:r>
        <w:t xml:space="preserve"> </w:t>
      </w:r>
      <w:r w:rsidRPr="005615B4">
        <w:t>§</w:t>
      </w:r>
      <w:r>
        <w:t xml:space="preserve"> </w:t>
      </w:r>
      <w:r w:rsidRPr="005615B4">
        <w:t>18a</w:t>
      </w:r>
      <w:r>
        <w:t xml:space="preserve"> </w:t>
      </w:r>
      <w:r w:rsidRPr="005615B4">
        <w:t>odst.</w:t>
      </w:r>
      <w:r>
        <w:t xml:space="preserve"> </w:t>
      </w:r>
      <w:r w:rsidRPr="005615B4">
        <w:t>3</w:t>
      </w:r>
      <w:r>
        <w:t xml:space="preserve"> </w:t>
      </w:r>
      <w:r w:rsidRPr="005615B4">
        <w:t>nebo</w:t>
      </w:r>
      <w:r>
        <w:t xml:space="preserve"> </w:t>
      </w:r>
      <w:r w:rsidRPr="005615B4">
        <w:t>§</w:t>
      </w:r>
      <w:r>
        <w:t xml:space="preserve"> </w:t>
      </w:r>
      <w:r w:rsidRPr="005615B4">
        <w:t>58l</w:t>
      </w:r>
      <w:r>
        <w:t xml:space="preserve"> </w:t>
      </w:r>
      <w:r w:rsidRPr="005615B4">
        <w:t>odst.</w:t>
      </w:r>
      <w:r>
        <w:t xml:space="preserve"> </w:t>
      </w:r>
      <w:r w:rsidRPr="005615B4">
        <w:t>2</w:t>
      </w:r>
      <w:r>
        <w:t xml:space="preserve"> </w:t>
      </w:r>
      <w:r w:rsidRPr="005615B4">
        <w:t>přechází</w:t>
      </w:r>
      <w:r>
        <w:t xml:space="preserve"> </w:t>
      </w:r>
      <w:r w:rsidRPr="005615B4">
        <w:t>na</w:t>
      </w:r>
      <w:r>
        <w:t xml:space="preserve"> </w:t>
      </w:r>
      <w:r w:rsidRPr="005615B4">
        <w:t>právního</w:t>
      </w:r>
      <w:r>
        <w:t xml:space="preserve"> </w:t>
      </w:r>
      <w:r w:rsidRPr="005615B4">
        <w:t>nástupce.</w:t>
      </w:r>
      <w:r>
        <w:t xml:space="preserve"> </w:t>
      </w:r>
      <w:r w:rsidRPr="005615B4">
        <w:t>Povinnost</w:t>
      </w:r>
      <w:r>
        <w:t xml:space="preserve"> </w:t>
      </w:r>
      <w:r w:rsidRPr="005615B4">
        <w:t>vyplývající</w:t>
      </w:r>
      <w:r>
        <w:t xml:space="preserve"> </w:t>
      </w:r>
      <w:r w:rsidRPr="005615B4">
        <w:t>z</w:t>
      </w:r>
      <w:r>
        <w:t xml:space="preserve"> </w:t>
      </w:r>
      <w:r w:rsidRPr="005615B4">
        <w:t>rozhodnutí</w:t>
      </w:r>
      <w:r>
        <w:t xml:space="preserve"> </w:t>
      </w:r>
      <w:r w:rsidRPr="005615B4">
        <w:t>Energetického</w:t>
      </w:r>
      <w:r>
        <w:t xml:space="preserve"> </w:t>
      </w:r>
      <w:r w:rsidRPr="005615B4">
        <w:t>regulačního</w:t>
      </w:r>
      <w:r>
        <w:t xml:space="preserve"> </w:t>
      </w:r>
      <w:r w:rsidRPr="005615B4">
        <w:t>úřadu</w:t>
      </w:r>
      <w:r>
        <w:t xml:space="preserve"> </w:t>
      </w:r>
      <w:r w:rsidRPr="005615B4">
        <w:t>podle</w:t>
      </w:r>
      <w:r>
        <w:t xml:space="preserve"> </w:t>
      </w:r>
      <w:r w:rsidRPr="005615B4">
        <w:t>§</w:t>
      </w:r>
      <w:r>
        <w:t xml:space="preserve"> </w:t>
      </w:r>
      <w:r w:rsidRPr="005615B4">
        <w:t>10</w:t>
      </w:r>
      <w:r>
        <w:t xml:space="preserve"> </w:t>
      </w:r>
      <w:r w:rsidRPr="005615B4">
        <w:t>odst.</w:t>
      </w:r>
      <w:r>
        <w:t xml:space="preserve"> </w:t>
      </w:r>
      <w:r w:rsidRPr="005615B4">
        <w:t>7</w:t>
      </w:r>
      <w:r>
        <w:t xml:space="preserve"> </w:t>
      </w:r>
      <w:r w:rsidRPr="005615B4">
        <w:t>nebo</w:t>
      </w:r>
      <w:r>
        <w:t xml:space="preserve"> </w:t>
      </w:r>
      <w:r w:rsidRPr="005615B4">
        <w:t>§</w:t>
      </w:r>
      <w:r>
        <w:t xml:space="preserve"> </w:t>
      </w:r>
      <w:r w:rsidRPr="005615B4">
        <w:t>12</w:t>
      </w:r>
      <w:r>
        <w:t xml:space="preserve"> </w:t>
      </w:r>
      <w:r w:rsidRPr="005615B4">
        <w:t>odst.</w:t>
      </w:r>
      <w:r>
        <w:t xml:space="preserve"> </w:t>
      </w:r>
      <w:r w:rsidRPr="005615B4">
        <w:t>7</w:t>
      </w:r>
      <w:r>
        <w:t xml:space="preserve"> </w:t>
      </w:r>
      <w:r w:rsidRPr="005615B4">
        <w:t>tohoto</w:t>
      </w:r>
      <w:r>
        <w:t xml:space="preserve"> </w:t>
      </w:r>
      <w:r w:rsidRPr="005615B4">
        <w:t>zákona</w:t>
      </w:r>
      <w:r>
        <w:t xml:space="preserve"> </w:t>
      </w:r>
      <w:r w:rsidRPr="005615B4">
        <w:t>přechází</w:t>
      </w:r>
      <w:r>
        <w:t xml:space="preserve"> </w:t>
      </w:r>
      <w:r w:rsidRPr="005615B4">
        <w:t>podle</w:t>
      </w:r>
      <w:r>
        <w:t xml:space="preserve"> </w:t>
      </w:r>
      <w:r w:rsidRPr="005615B4">
        <w:t>povahy</w:t>
      </w:r>
      <w:r>
        <w:t xml:space="preserve"> </w:t>
      </w:r>
      <w:r w:rsidRPr="005615B4">
        <w:t>na</w:t>
      </w:r>
      <w:r>
        <w:t xml:space="preserve"> </w:t>
      </w:r>
      <w:r w:rsidRPr="005615B4">
        <w:t>právního</w:t>
      </w:r>
      <w:r>
        <w:t xml:space="preserve"> </w:t>
      </w:r>
      <w:r w:rsidRPr="005615B4">
        <w:t>nástupce</w:t>
      </w:r>
      <w:r>
        <w:t xml:space="preserve"> </w:t>
      </w:r>
      <w:r w:rsidRPr="005615B4">
        <w:t>nebo</w:t>
      </w:r>
      <w:r>
        <w:t xml:space="preserve"> </w:t>
      </w:r>
      <w:r w:rsidRPr="005615B4">
        <w:t>na</w:t>
      </w:r>
      <w:r>
        <w:t xml:space="preserve"> </w:t>
      </w:r>
      <w:r w:rsidRPr="005615B4">
        <w:t>nabyvatele</w:t>
      </w:r>
      <w:r>
        <w:t xml:space="preserve"> </w:t>
      </w:r>
      <w:r w:rsidRPr="005615B4">
        <w:t>energetického</w:t>
      </w:r>
      <w:r>
        <w:t xml:space="preserve"> </w:t>
      </w:r>
      <w:r w:rsidRPr="005615B4">
        <w:t>zařízení,</w:t>
      </w:r>
      <w:r>
        <w:t xml:space="preserve"> </w:t>
      </w:r>
      <w:r w:rsidRPr="005615B4">
        <w:t>k</w:t>
      </w:r>
      <w:r>
        <w:t xml:space="preserve"> </w:t>
      </w:r>
      <w:r w:rsidRPr="005615B4">
        <w:t>němuž</w:t>
      </w:r>
      <w:r>
        <w:t xml:space="preserve"> </w:t>
      </w:r>
      <w:r w:rsidRPr="005615B4">
        <w:t>je</w:t>
      </w:r>
      <w:r>
        <w:t xml:space="preserve"> </w:t>
      </w:r>
      <w:r w:rsidRPr="005615B4">
        <w:t>rozhodnutí</w:t>
      </w:r>
      <w:r>
        <w:t xml:space="preserve"> </w:t>
      </w:r>
      <w:r w:rsidRPr="005615B4">
        <w:t>Energetického</w:t>
      </w:r>
      <w:r>
        <w:t xml:space="preserve"> </w:t>
      </w:r>
      <w:r w:rsidRPr="005615B4">
        <w:t>regulačního</w:t>
      </w:r>
      <w:r>
        <w:t xml:space="preserve"> </w:t>
      </w:r>
      <w:r w:rsidRPr="005615B4">
        <w:t>úřadu</w:t>
      </w:r>
      <w:r>
        <w:t xml:space="preserve"> </w:t>
      </w:r>
      <w:r w:rsidRPr="005615B4">
        <w:t>vázáno.</w:t>
      </w:r>
      <w:r>
        <w:t xml:space="preserve"> </w:t>
      </w:r>
      <w:r w:rsidRPr="005615B4">
        <w:t>Je-li</w:t>
      </w:r>
      <w:r>
        <w:t xml:space="preserve"> </w:t>
      </w:r>
      <w:r w:rsidRPr="005615B4">
        <w:t>právních</w:t>
      </w:r>
      <w:r>
        <w:t xml:space="preserve"> </w:t>
      </w:r>
      <w:r w:rsidRPr="005615B4">
        <w:t>nástupců</w:t>
      </w:r>
      <w:r>
        <w:t xml:space="preserve"> </w:t>
      </w:r>
      <w:r w:rsidRPr="005615B4">
        <w:t>nebo</w:t>
      </w:r>
      <w:r>
        <w:t xml:space="preserve"> </w:t>
      </w:r>
      <w:r w:rsidRPr="005615B4">
        <w:t>nabyvatelů</w:t>
      </w:r>
      <w:r>
        <w:t xml:space="preserve"> </w:t>
      </w:r>
      <w:r w:rsidRPr="005615B4">
        <w:t>energetického</w:t>
      </w:r>
      <w:r>
        <w:t xml:space="preserve"> </w:t>
      </w:r>
      <w:r w:rsidRPr="005615B4">
        <w:t>zařízení</w:t>
      </w:r>
      <w:r>
        <w:t xml:space="preserve"> </w:t>
      </w:r>
      <w:r w:rsidRPr="005615B4">
        <w:t>více,</w:t>
      </w:r>
      <w:r>
        <w:t xml:space="preserve"> </w:t>
      </w:r>
      <w:r w:rsidRPr="005615B4">
        <w:t>odpovídají</w:t>
      </w:r>
      <w:r>
        <w:t xml:space="preserve"> </w:t>
      </w:r>
      <w:r w:rsidRPr="005615B4">
        <w:t>za</w:t>
      </w:r>
      <w:r>
        <w:t xml:space="preserve"> </w:t>
      </w:r>
      <w:r w:rsidRPr="005615B4">
        <w:t>splnění</w:t>
      </w:r>
      <w:r>
        <w:t xml:space="preserve"> </w:t>
      </w:r>
      <w:r w:rsidRPr="005615B4">
        <w:t>povinnosti</w:t>
      </w:r>
      <w:r>
        <w:t xml:space="preserve"> </w:t>
      </w:r>
      <w:r w:rsidRPr="005615B4">
        <w:t>společně</w:t>
      </w:r>
      <w:r>
        <w:t xml:space="preserve"> </w:t>
      </w:r>
      <w:r w:rsidRPr="005615B4">
        <w:t>a</w:t>
      </w:r>
      <w:r>
        <w:t xml:space="preserve"> </w:t>
      </w:r>
      <w:r w:rsidRPr="005615B4">
        <w:t>nerozdílně.</w:t>
      </w:r>
    </w:p>
    <w:p w14:paraId="440683C2" w14:textId="77777777" w:rsidR="008B568E" w:rsidRDefault="008B568E" w:rsidP="0010420C">
      <w:pPr>
        <w:pStyle w:val="Textparagrafu"/>
        <w:tabs>
          <w:tab w:val="left" w:pos="392"/>
          <w:tab w:val="left" w:pos="840"/>
        </w:tabs>
        <w:spacing w:before="120" w:after="120"/>
      </w:pPr>
      <w:r w:rsidRPr="005615B4">
        <w:t>(8)</w:t>
      </w:r>
      <w:r>
        <w:t xml:space="preserve"> </w:t>
      </w:r>
      <w:r w:rsidRPr="005615B4">
        <w:t>Dozor</w:t>
      </w:r>
      <w:r>
        <w:t xml:space="preserve"> </w:t>
      </w:r>
      <w:r w:rsidRPr="005615B4">
        <w:t>nad</w:t>
      </w:r>
      <w:r>
        <w:t xml:space="preserve"> </w:t>
      </w:r>
      <w:r w:rsidRPr="005615B4">
        <w:t>dodržováním</w:t>
      </w:r>
      <w:r>
        <w:t xml:space="preserve"> </w:t>
      </w:r>
      <w:r w:rsidRPr="005615B4">
        <w:t>tohoto</w:t>
      </w:r>
      <w:r>
        <w:t xml:space="preserve"> </w:t>
      </w:r>
      <w:r w:rsidRPr="005615B4">
        <w:t>zákona,</w:t>
      </w:r>
      <w:r>
        <w:t xml:space="preserve"> </w:t>
      </w:r>
      <w:r w:rsidRPr="005615B4">
        <w:t>zákona</w:t>
      </w:r>
      <w:r>
        <w:t xml:space="preserve"> </w:t>
      </w:r>
      <w:r w:rsidRPr="005615B4">
        <w:t>o</w:t>
      </w:r>
      <w:r>
        <w:t xml:space="preserve"> </w:t>
      </w:r>
      <w:r w:rsidRPr="005615B4">
        <w:t>hospodaření</w:t>
      </w:r>
      <w:r>
        <w:t xml:space="preserve"> </w:t>
      </w:r>
      <w:r w:rsidRPr="005615B4">
        <w:t>energií</w:t>
      </w:r>
      <w:r>
        <w:t xml:space="preserve"> </w:t>
      </w:r>
      <w:r w:rsidRPr="005615B4">
        <w:t>a</w:t>
      </w:r>
      <w:r>
        <w:t xml:space="preserve"> </w:t>
      </w:r>
      <w:r w:rsidRPr="005615B4">
        <w:t>zákona</w:t>
      </w:r>
      <w:r>
        <w:t xml:space="preserve"> </w:t>
      </w:r>
      <w:r w:rsidRPr="005615B4">
        <w:t>o</w:t>
      </w:r>
      <w:r>
        <w:t xml:space="preserve"> </w:t>
      </w:r>
      <w:r w:rsidRPr="005615B4">
        <w:t>podporovaných</w:t>
      </w:r>
      <w:r>
        <w:t xml:space="preserve"> </w:t>
      </w:r>
      <w:r w:rsidRPr="005615B4">
        <w:t>zdrojích</w:t>
      </w:r>
      <w:r>
        <w:t xml:space="preserve"> </w:t>
      </w:r>
      <w:r w:rsidRPr="005615B4">
        <w:t>energie</w:t>
      </w:r>
      <w:r>
        <w:t xml:space="preserve"> </w:t>
      </w:r>
      <w:r w:rsidRPr="005615B4">
        <w:t>a</w:t>
      </w:r>
      <w:r>
        <w:t xml:space="preserve"> </w:t>
      </w:r>
      <w:r w:rsidRPr="005615B4">
        <w:t>o</w:t>
      </w:r>
      <w:r>
        <w:t xml:space="preserve"> </w:t>
      </w:r>
      <w:r w:rsidRPr="005615B4">
        <w:t>změně</w:t>
      </w:r>
      <w:r>
        <w:t xml:space="preserve"> </w:t>
      </w:r>
      <w:r w:rsidRPr="005615B4">
        <w:t>některých</w:t>
      </w:r>
      <w:r>
        <w:t xml:space="preserve"> </w:t>
      </w:r>
      <w:r w:rsidRPr="005615B4">
        <w:t>zákonů</w:t>
      </w:r>
      <w:r>
        <w:t xml:space="preserve"> </w:t>
      </w:r>
      <w:r w:rsidRPr="005615B4">
        <w:t>v</w:t>
      </w:r>
      <w:r>
        <w:t xml:space="preserve"> </w:t>
      </w:r>
      <w:r w:rsidRPr="005615B4">
        <w:t>objektech</w:t>
      </w:r>
      <w:r>
        <w:t xml:space="preserve"> </w:t>
      </w:r>
      <w:r w:rsidRPr="005615B4">
        <w:t>důležitých</w:t>
      </w:r>
      <w:r>
        <w:t xml:space="preserve"> </w:t>
      </w:r>
      <w:r w:rsidRPr="005615B4">
        <w:t>pro</w:t>
      </w:r>
      <w:r>
        <w:t xml:space="preserve"> </w:t>
      </w:r>
      <w:r w:rsidRPr="005615B4">
        <w:t>obranu</w:t>
      </w:r>
      <w:r>
        <w:t xml:space="preserve"> </w:t>
      </w:r>
      <w:r w:rsidRPr="005615B4">
        <w:t>státu</w:t>
      </w:r>
      <w:r>
        <w:t xml:space="preserve"> </w:t>
      </w:r>
      <w:r w:rsidRPr="005615B4">
        <w:t>provádí</w:t>
      </w:r>
      <w:r>
        <w:t xml:space="preserve"> </w:t>
      </w:r>
      <w:r w:rsidRPr="005615B4">
        <w:t>Ministerstvo</w:t>
      </w:r>
      <w:r>
        <w:t xml:space="preserve"> </w:t>
      </w:r>
      <w:r w:rsidRPr="005615B4">
        <w:t>obrany,</w:t>
      </w:r>
      <w:r>
        <w:t xml:space="preserve"> </w:t>
      </w:r>
      <w:r w:rsidRPr="005615B4">
        <w:t>v</w:t>
      </w:r>
      <w:r>
        <w:t xml:space="preserve"> </w:t>
      </w:r>
      <w:r w:rsidRPr="005615B4">
        <w:t>objektech</w:t>
      </w:r>
      <w:r>
        <w:t xml:space="preserve"> </w:t>
      </w:r>
      <w:r w:rsidRPr="005615B4">
        <w:t>sloužících</w:t>
      </w:r>
      <w:r>
        <w:t xml:space="preserve"> </w:t>
      </w:r>
      <w:r w:rsidRPr="005615B4">
        <w:t>k</w:t>
      </w:r>
      <w:r>
        <w:t xml:space="preserve"> </w:t>
      </w:r>
      <w:r w:rsidRPr="005615B4">
        <w:t>plnění</w:t>
      </w:r>
      <w:r>
        <w:t xml:space="preserve"> </w:t>
      </w:r>
      <w:r w:rsidRPr="005615B4">
        <w:t>úkolů</w:t>
      </w:r>
      <w:r>
        <w:t xml:space="preserve"> </w:t>
      </w:r>
      <w:r w:rsidRPr="005615B4">
        <w:t>Ministerstva</w:t>
      </w:r>
      <w:r>
        <w:t xml:space="preserve"> </w:t>
      </w:r>
      <w:r w:rsidRPr="005615B4">
        <w:t>vnitra,</w:t>
      </w:r>
      <w:r>
        <w:t xml:space="preserve"> </w:t>
      </w:r>
      <w:r w:rsidRPr="005615B4">
        <w:t>Policie</w:t>
      </w:r>
      <w:r>
        <w:t xml:space="preserve"> </w:t>
      </w:r>
      <w:r w:rsidRPr="005615B4">
        <w:t>České</w:t>
      </w:r>
      <w:r>
        <w:t xml:space="preserve"> </w:t>
      </w:r>
      <w:r w:rsidRPr="005615B4">
        <w:t>republiky,</w:t>
      </w:r>
      <w:r>
        <w:t xml:space="preserve"> </w:t>
      </w:r>
      <w:r w:rsidRPr="005615B4">
        <w:t>Policejní</w:t>
      </w:r>
      <w:r>
        <w:t xml:space="preserve"> </w:t>
      </w:r>
      <w:r w:rsidRPr="005615B4">
        <w:t>akademie</w:t>
      </w:r>
      <w:r>
        <w:t xml:space="preserve"> </w:t>
      </w:r>
      <w:r w:rsidRPr="005615B4">
        <w:t>České</w:t>
      </w:r>
      <w:r>
        <w:t xml:space="preserve"> </w:t>
      </w:r>
      <w:r w:rsidRPr="005615B4">
        <w:t>republiky,</w:t>
      </w:r>
      <w:r>
        <w:t xml:space="preserve"> </w:t>
      </w:r>
      <w:r w:rsidRPr="005615B4">
        <w:t>Hasičského</w:t>
      </w:r>
      <w:r>
        <w:t xml:space="preserve"> </w:t>
      </w:r>
      <w:r w:rsidRPr="005615B4">
        <w:t>záchranného</w:t>
      </w:r>
      <w:r>
        <w:t xml:space="preserve"> </w:t>
      </w:r>
      <w:r w:rsidRPr="005615B4">
        <w:t>sboru</w:t>
      </w:r>
      <w:r>
        <w:t xml:space="preserve"> </w:t>
      </w:r>
      <w:r w:rsidRPr="005615B4">
        <w:t>České</w:t>
      </w:r>
      <w:r>
        <w:t xml:space="preserve"> </w:t>
      </w:r>
      <w:r w:rsidRPr="005615B4">
        <w:t>republiky,</w:t>
      </w:r>
      <w:r>
        <w:t xml:space="preserve"> </w:t>
      </w:r>
      <w:r w:rsidRPr="005615B4">
        <w:t>Úřadu</w:t>
      </w:r>
      <w:r>
        <w:t xml:space="preserve"> </w:t>
      </w:r>
      <w:r w:rsidRPr="005615B4">
        <w:t>pro</w:t>
      </w:r>
      <w:r>
        <w:t xml:space="preserve"> </w:t>
      </w:r>
      <w:r w:rsidRPr="005615B4">
        <w:t>zahraniční</w:t>
      </w:r>
      <w:r>
        <w:t xml:space="preserve"> </w:t>
      </w:r>
      <w:r w:rsidRPr="005615B4">
        <w:t>styky</w:t>
      </w:r>
      <w:r>
        <w:t xml:space="preserve"> </w:t>
      </w:r>
      <w:r w:rsidRPr="005615B4">
        <w:t>a</w:t>
      </w:r>
      <w:r>
        <w:t xml:space="preserve"> </w:t>
      </w:r>
      <w:r w:rsidRPr="005615B4">
        <w:t>informace,</w:t>
      </w:r>
      <w:r>
        <w:t xml:space="preserve"> </w:t>
      </w:r>
      <w:r w:rsidRPr="005615B4">
        <w:t>Bezpečnostní</w:t>
      </w:r>
      <w:r>
        <w:t xml:space="preserve"> </w:t>
      </w:r>
      <w:r w:rsidRPr="005615B4">
        <w:t>informační</w:t>
      </w:r>
      <w:r>
        <w:t xml:space="preserve"> </w:t>
      </w:r>
      <w:r w:rsidRPr="005615B4">
        <w:t>služby</w:t>
      </w:r>
      <w:r>
        <w:t xml:space="preserve"> </w:t>
      </w:r>
      <w:r w:rsidRPr="005615B4">
        <w:t>a</w:t>
      </w:r>
      <w:r>
        <w:t xml:space="preserve"> </w:t>
      </w:r>
      <w:r w:rsidRPr="005615B4">
        <w:t>v</w:t>
      </w:r>
      <w:r>
        <w:t xml:space="preserve"> </w:t>
      </w:r>
      <w:r w:rsidRPr="005615B4">
        <w:t>objektech</w:t>
      </w:r>
      <w:r>
        <w:t xml:space="preserve"> </w:t>
      </w:r>
      <w:r w:rsidRPr="005615B4">
        <w:t>organizačních</w:t>
      </w:r>
      <w:r>
        <w:t xml:space="preserve"> </w:t>
      </w:r>
      <w:r w:rsidRPr="005615B4">
        <w:t>složek</w:t>
      </w:r>
      <w:r>
        <w:t xml:space="preserve"> </w:t>
      </w:r>
      <w:r w:rsidRPr="005615B4">
        <w:t>státu</w:t>
      </w:r>
      <w:r>
        <w:t xml:space="preserve"> </w:t>
      </w:r>
      <w:r w:rsidRPr="005615B4">
        <w:t>a</w:t>
      </w:r>
      <w:r>
        <w:t xml:space="preserve"> </w:t>
      </w:r>
      <w:r w:rsidRPr="005615B4">
        <w:t>příspěvkových</w:t>
      </w:r>
      <w:r>
        <w:t xml:space="preserve"> </w:t>
      </w:r>
      <w:r w:rsidRPr="005615B4">
        <w:t>organizací</w:t>
      </w:r>
      <w:r>
        <w:t xml:space="preserve"> </w:t>
      </w:r>
      <w:r w:rsidRPr="005615B4">
        <w:t>zřízených</w:t>
      </w:r>
      <w:r>
        <w:t xml:space="preserve"> </w:t>
      </w:r>
      <w:r w:rsidRPr="005615B4">
        <w:t>Ministerstvem</w:t>
      </w:r>
      <w:r>
        <w:t xml:space="preserve"> </w:t>
      </w:r>
      <w:r w:rsidRPr="005615B4">
        <w:t>vnitra</w:t>
      </w:r>
      <w:r>
        <w:t xml:space="preserve"> </w:t>
      </w:r>
      <w:r w:rsidRPr="005615B4">
        <w:t>provádí</w:t>
      </w:r>
      <w:r>
        <w:t xml:space="preserve"> </w:t>
      </w:r>
      <w:r w:rsidRPr="005615B4">
        <w:t>Ministerstvo</w:t>
      </w:r>
      <w:r>
        <w:t xml:space="preserve"> </w:t>
      </w:r>
      <w:r w:rsidRPr="005615B4">
        <w:t>vnitra,</w:t>
      </w:r>
      <w:r>
        <w:t xml:space="preserve"> </w:t>
      </w:r>
      <w:r w:rsidRPr="005615B4">
        <w:t>v</w:t>
      </w:r>
      <w:r>
        <w:t xml:space="preserve"> </w:t>
      </w:r>
      <w:r w:rsidRPr="005615B4">
        <w:t>objektech</w:t>
      </w:r>
      <w:r>
        <w:t xml:space="preserve"> </w:t>
      </w:r>
      <w:r w:rsidRPr="005615B4">
        <w:t>Ministerstva</w:t>
      </w:r>
      <w:r>
        <w:t xml:space="preserve"> </w:t>
      </w:r>
      <w:r w:rsidRPr="005615B4">
        <w:t>spravedlnosti</w:t>
      </w:r>
      <w:r>
        <w:t xml:space="preserve"> </w:t>
      </w:r>
      <w:r w:rsidRPr="005615B4">
        <w:t>provádí</w:t>
      </w:r>
      <w:r>
        <w:t xml:space="preserve"> </w:t>
      </w:r>
      <w:r w:rsidRPr="005615B4">
        <w:t>Ministerstvo</w:t>
      </w:r>
      <w:r>
        <w:t xml:space="preserve"> </w:t>
      </w:r>
      <w:r w:rsidRPr="005615B4">
        <w:t>spravedlnosti.</w:t>
      </w:r>
      <w:r>
        <w:t xml:space="preserve"> </w:t>
      </w:r>
      <w:r w:rsidRPr="005615B4">
        <w:t>Při</w:t>
      </w:r>
      <w:r>
        <w:t xml:space="preserve"> </w:t>
      </w:r>
      <w:r w:rsidRPr="005615B4">
        <w:t>výkonu</w:t>
      </w:r>
      <w:r>
        <w:t xml:space="preserve"> </w:t>
      </w:r>
      <w:r w:rsidRPr="005615B4">
        <w:t>dozoru</w:t>
      </w:r>
      <w:r>
        <w:t xml:space="preserve"> </w:t>
      </w:r>
      <w:r w:rsidRPr="005615B4">
        <w:t>postupuje</w:t>
      </w:r>
      <w:r>
        <w:t xml:space="preserve"> </w:t>
      </w:r>
      <w:r w:rsidRPr="005615B4">
        <w:t>Ministerstvo</w:t>
      </w:r>
      <w:r>
        <w:t xml:space="preserve"> </w:t>
      </w:r>
      <w:r w:rsidRPr="005615B4">
        <w:t>obrany,</w:t>
      </w:r>
      <w:r>
        <w:t xml:space="preserve"> </w:t>
      </w:r>
      <w:r w:rsidRPr="005615B4">
        <w:t>Ministerstvo</w:t>
      </w:r>
      <w:r>
        <w:t xml:space="preserve"> </w:t>
      </w:r>
      <w:r w:rsidRPr="005615B4">
        <w:t>vnitra</w:t>
      </w:r>
      <w:r>
        <w:t xml:space="preserve"> </w:t>
      </w:r>
      <w:r w:rsidRPr="005615B4">
        <w:t>a</w:t>
      </w:r>
      <w:r>
        <w:t xml:space="preserve"> </w:t>
      </w:r>
      <w:r w:rsidRPr="005615B4">
        <w:t>Ministerstvo</w:t>
      </w:r>
      <w:r>
        <w:t xml:space="preserve"> </w:t>
      </w:r>
      <w:r w:rsidRPr="005615B4">
        <w:t>spravedlnosti</w:t>
      </w:r>
      <w:r>
        <w:t xml:space="preserve"> </w:t>
      </w:r>
      <w:r w:rsidRPr="005615B4">
        <w:t>podle</w:t>
      </w:r>
      <w:r>
        <w:t xml:space="preserve"> </w:t>
      </w:r>
      <w:r w:rsidRPr="005615B4">
        <w:t>§</w:t>
      </w:r>
      <w:r>
        <w:t xml:space="preserve"> </w:t>
      </w:r>
      <w:r w:rsidRPr="005615B4">
        <w:t>18</w:t>
      </w:r>
      <w:r>
        <w:t xml:space="preserve"> </w:t>
      </w:r>
      <w:r w:rsidRPr="005615B4">
        <w:t>tohoto</w:t>
      </w:r>
      <w:r>
        <w:t xml:space="preserve"> </w:t>
      </w:r>
      <w:r w:rsidRPr="005615B4">
        <w:t>zákona</w:t>
      </w:r>
      <w:r>
        <w:t xml:space="preserve"> </w:t>
      </w:r>
      <w:r w:rsidRPr="005615B4">
        <w:t>a</w:t>
      </w:r>
      <w:r>
        <w:t xml:space="preserve"> </w:t>
      </w:r>
      <w:r w:rsidRPr="005615B4">
        <w:t>v</w:t>
      </w:r>
      <w:r>
        <w:t xml:space="preserve"> </w:t>
      </w:r>
      <w:r w:rsidRPr="005615B4">
        <w:t>případě</w:t>
      </w:r>
      <w:r>
        <w:t xml:space="preserve"> </w:t>
      </w:r>
      <w:r w:rsidRPr="005615B4">
        <w:t>uložení</w:t>
      </w:r>
      <w:r>
        <w:t xml:space="preserve"> </w:t>
      </w:r>
      <w:r w:rsidRPr="005615B4">
        <w:t>pokuty</w:t>
      </w:r>
      <w:r>
        <w:t xml:space="preserve"> </w:t>
      </w:r>
      <w:r w:rsidRPr="005615B4">
        <w:t>podle</w:t>
      </w:r>
      <w:r>
        <w:t xml:space="preserve"> </w:t>
      </w:r>
      <w:r w:rsidRPr="005615B4">
        <w:t>hlavy</w:t>
      </w:r>
      <w:r>
        <w:t xml:space="preserve"> </w:t>
      </w:r>
      <w:r w:rsidRPr="005615B4">
        <w:t>třetí</w:t>
      </w:r>
      <w:r>
        <w:t xml:space="preserve"> </w:t>
      </w:r>
      <w:r w:rsidRPr="005615B4">
        <w:t>tohoto</w:t>
      </w:r>
      <w:r>
        <w:t xml:space="preserve"> </w:t>
      </w:r>
      <w:r w:rsidRPr="005615B4">
        <w:t>zákona</w:t>
      </w:r>
      <w:r>
        <w:t xml:space="preserve"> </w:t>
      </w:r>
      <w:r w:rsidRPr="005615B4">
        <w:t>nebo</w:t>
      </w:r>
      <w:r>
        <w:t xml:space="preserve"> </w:t>
      </w:r>
      <w:r w:rsidRPr="005615B4">
        <w:t>podle</w:t>
      </w:r>
      <w:r>
        <w:t xml:space="preserve"> </w:t>
      </w:r>
      <w:r w:rsidRPr="005615B4">
        <w:t>hlavy</w:t>
      </w:r>
      <w:r>
        <w:t xml:space="preserve"> </w:t>
      </w:r>
      <w:r w:rsidRPr="005615B4">
        <w:t>páté</w:t>
      </w:r>
      <w:r>
        <w:t xml:space="preserve"> </w:t>
      </w:r>
      <w:r w:rsidRPr="005615B4">
        <w:t>zákona</w:t>
      </w:r>
      <w:r>
        <w:t xml:space="preserve"> </w:t>
      </w:r>
      <w:r w:rsidRPr="005615B4">
        <w:t>o</w:t>
      </w:r>
      <w:r>
        <w:t xml:space="preserve"> </w:t>
      </w:r>
      <w:r w:rsidRPr="005615B4">
        <w:t>hospodaření</w:t>
      </w:r>
      <w:r>
        <w:t xml:space="preserve"> </w:t>
      </w:r>
      <w:r w:rsidRPr="005615B4">
        <w:t>energií</w:t>
      </w:r>
      <w:r>
        <w:t xml:space="preserve"> </w:t>
      </w:r>
      <w:r w:rsidRPr="005615B4">
        <w:t>nebo</w:t>
      </w:r>
      <w:r>
        <w:t xml:space="preserve"> </w:t>
      </w:r>
      <w:r w:rsidRPr="005615B4">
        <w:t>podle</w:t>
      </w:r>
      <w:r>
        <w:t xml:space="preserve"> </w:t>
      </w:r>
      <w:r w:rsidRPr="005615B4">
        <w:t>hlavy</w:t>
      </w:r>
      <w:r>
        <w:t xml:space="preserve"> </w:t>
      </w:r>
      <w:r w:rsidRPr="005615B4">
        <w:t>desáté</w:t>
      </w:r>
      <w:r>
        <w:t xml:space="preserve"> </w:t>
      </w:r>
      <w:r w:rsidRPr="005615B4">
        <w:t>zákona</w:t>
      </w:r>
      <w:r>
        <w:t xml:space="preserve"> </w:t>
      </w:r>
      <w:r w:rsidRPr="005615B4">
        <w:t>o</w:t>
      </w:r>
      <w:r>
        <w:t xml:space="preserve"> </w:t>
      </w:r>
      <w:r w:rsidRPr="005615B4">
        <w:t>podporovaných</w:t>
      </w:r>
      <w:r>
        <w:t xml:space="preserve"> </w:t>
      </w:r>
      <w:r w:rsidRPr="005615B4">
        <w:t>zdrojích</w:t>
      </w:r>
      <w:r>
        <w:t xml:space="preserve"> </w:t>
      </w:r>
      <w:r w:rsidRPr="005615B4">
        <w:t>energie.</w:t>
      </w:r>
    </w:p>
    <w:p w14:paraId="48F97022" w14:textId="77777777" w:rsidR="008B568E" w:rsidRDefault="008B568E" w:rsidP="0010420C">
      <w:pPr>
        <w:pStyle w:val="Textparagrafu"/>
        <w:tabs>
          <w:tab w:val="left" w:pos="392"/>
          <w:tab w:val="left" w:pos="840"/>
        </w:tabs>
        <w:spacing w:before="120" w:after="120"/>
      </w:pPr>
      <w:r w:rsidRPr="005615B4">
        <w:t>(9)</w:t>
      </w:r>
      <w:r>
        <w:t xml:space="preserve"> </w:t>
      </w:r>
      <w:r w:rsidRPr="005615B4">
        <w:t>Na</w:t>
      </w:r>
      <w:r>
        <w:t xml:space="preserve"> </w:t>
      </w:r>
      <w:r w:rsidRPr="005615B4">
        <w:t>oprávnění</w:t>
      </w:r>
      <w:r>
        <w:t xml:space="preserve"> </w:t>
      </w:r>
      <w:r w:rsidRPr="005615B4">
        <w:t>k</w:t>
      </w:r>
      <w:r>
        <w:t xml:space="preserve"> </w:t>
      </w:r>
      <w:r w:rsidRPr="005615B4">
        <w:t>cizím</w:t>
      </w:r>
      <w:r>
        <w:t xml:space="preserve"> </w:t>
      </w:r>
      <w:r w:rsidRPr="005615B4">
        <w:t>nemovitostem,</w:t>
      </w:r>
      <w:r>
        <w:t xml:space="preserve"> </w:t>
      </w:r>
      <w:r w:rsidRPr="005615B4">
        <w:t>pokud</w:t>
      </w:r>
      <w:r>
        <w:t xml:space="preserve"> </w:t>
      </w:r>
      <w:r w:rsidRPr="005615B4">
        <w:t>jde</w:t>
      </w:r>
      <w:r>
        <w:t xml:space="preserve"> </w:t>
      </w:r>
      <w:r w:rsidRPr="005615B4">
        <w:t>o</w:t>
      </w:r>
      <w:r>
        <w:t xml:space="preserve"> </w:t>
      </w:r>
      <w:r w:rsidRPr="005615B4">
        <w:t>energetická</w:t>
      </w:r>
      <w:r>
        <w:t xml:space="preserve"> </w:t>
      </w:r>
      <w:r w:rsidRPr="005615B4">
        <w:t>zařízení,</w:t>
      </w:r>
      <w:r>
        <w:t xml:space="preserve"> </w:t>
      </w:r>
      <w:r w:rsidRPr="005615B4">
        <w:t>jakož</w:t>
      </w:r>
      <w:r>
        <w:t xml:space="preserve"> </w:t>
      </w:r>
      <w:r w:rsidRPr="005615B4">
        <w:t>i</w:t>
      </w:r>
      <w:r>
        <w:t xml:space="preserve"> </w:t>
      </w:r>
      <w:r w:rsidRPr="005615B4">
        <w:t>omezení</w:t>
      </w:r>
      <w:r>
        <w:t xml:space="preserve"> </w:t>
      </w:r>
      <w:r w:rsidRPr="005615B4">
        <w:t>jejich</w:t>
      </w:r>
      <w:r>
        <w:t xml:space="preserve"> </w:t>
      </w:r>
      <w:r w:rsidRPr="005615B4">
        <w:t>užívání,</w:t>
      </w:r>
      <w:r>
        <w:t xml:space="preserve"> </w:t>
      </w:r>
      <w:r w:rsidRPr="005615B4">
        <w:t>které</w:t>
      </w:r>
      <w:r>
        <w:t xml:space="preserve"> </w:t>
      </w:r>
      <w:r w:rsidRPr="005615B4">
        <w:t>se</w:t>
      </w:r>
      <w:r>
        <w:t xml:space="preserve"> </w:t>
      </w:r>
      <w:r w:rsidRPr="005615B4">
        <w:t>nezapisovalo</w:t>
      </w:r>
      <w:r>
        <w:t xml:space="preserve"> </w:t>
      </w:r>
      <w:r w:rsidRPr="005615B4">
        <w:t>podle</w:t>
      </w:r>
      <w:r>
        <w:t xml:space="preserve"> </w:t>
      </w:r>
      <w:r w:rsidRPr="005615B4">
        <w:t>předchozích</w:t>
      </w:r>
      <w:r>
        <w:t xml:space="preserve"> </w:t>
      </w:r>
      <w:r w:rsidRPr="005615B4">
        <w:t>právních</w:t>
      </w:r>
      <w:r>
        <w:t xml:space="preserve"> </w:t>
      </w:r>
      <w:r w:rsidRPr="005615B4">
        <w:t>předpisů</w:t>
      </w:r>
      <w:r>
        <w:t xml:space="preserve"> </w:t>
      </w:r>
      <w:r w:rsidRPr="005615B4">
        <w:t>do</w:t>
      </w:r>
      <w:r>
        <w:t xml:space="preserve"> </w:t>
      </w:r>
      <w:r w:rsidRPr="005615B4">
        <w:t>veřejného</w:t>
      </w:r>
      <w:r>
        <w:t xml:space="preserve"> </w:t>
      </w:r>
      <w:r w:rsidRPr="005615B4">
        <w:t>seznamu,</w:t>
      </w:r>
      <w:r>
        <w:t xml:space="preserve"> </w:t>
      </w:r>
      <w:r w:rsidRPr="005615B4">
        <w:t>se</w:t>
      </w:r>
      <w:r>
        <w:t xml:space="preserve"> </w:t>
      </w:r>
      <w:r w:rsidRPr="005615B4">
        <w:t>nevztahuje</w:t>
      </w:r>
      <w:r>
        <w:t xml:space="preserve"> </w:t>
      </w:r>
      <w:r w:rsidRPr="005615B4">
        <w:t>zásada</w:t>
      </w:r>
      <w:r>
        <w:t xml:space="preserve"> </w:t>
      </w:r>
      <w:r w:rsidRPr="005615B4">
        <w:t>přednosti</w:t>
      </w:r>
      <w:r>
        <w:t xml:space="preserve"> </w:t>
      </w:r>
      <w:r w:rsidRPr="005615B4">
        <w:t>věcného</w:t>
      </w:r>
      <w:r>
        <w:t xml:space="preserve"> </w:t>
      </w:r>
      <w:r w:rsidRPr="005615B4">
        <w:t>práva</w:t>
      </w:r>
      <w:r>
        <w:t xml:space="preserve"> </w:t>
      </w:r>
      <w:r w:rsidRPr="005615B4">
        <w:t>k</w:t>
      </w:r>
      <w:r>
        <w:t xml:space="preserve"> </w:t>
      </w:r>
      <w:r w:rsidRPr="005615B4">
        <w:t>cizím</w:t>
      </w:r>
      <w:r>
        <w:t xml:space="preserve"> </w:t>
      </w:r>
      <w:r w:rsidRPr="005615B4">
        <w:t>nemovitostem</w:t>
      </w:r>
      <w:r>
        <w:t xml:space="preserve"> </w:t>
      </w:r>
      <w:r w:rsidRPr="005615B4">
        <w:t>zapsaného</w:t>
      </w:r>
      <w:r>
        <w:t xml:space="preserve"> </w:t>
      </w:r>
      <w:r w:rsidRPr="005615B4">
        <w:t>do</w:t>
      </w:r>
      <w:r>
        <w:t xml:space="preserve"> </w:t>
      </w:r>
      <w:r w:rsidRPr="005615B4">
        <w:t>veřejného</w:t>
      </w:r>
      <w:r>
        <w:t xml:space="preserve"> </w:t>
      </w:r>
      <w:r w:rsidRPr="005615B4">
        <w:t>seznamu</w:t>
      </w:r>
      <w:r>
        <w:t xml:space="preserve"> </w:t>
      </w:r>
      <w:r w:rsidRPr="005615B4">
        <w:t>před</w:t>
      </w:r>
      <w:r>
        <w:t xml:space="preserve"> </w:t>
      </w:r>
      <w:r w:rsidRPr="005615B4">
        <w:t>věcným</w:t>
      </w:r>
      <w:r>
        <w:t xml:space="preserve"> </w:t>
      </w:r>
      <w:r w:rsidRPr="005615B4">
        <w:t>právem,</w:t>
      </w:r>
      <w:r>
        <w:t xml:space="preserve"> </w:t>
      </w:r>
      <w:r w:rsidRPr="005615B4">
        <w:t>které</w:t>
      </w:r>
      <w:r>
        <w:t xml:space="preserve"> </w:t>
      </w:r>
      <w:r w:rsidRPr="005615B4">
        <w:t>není</w:t>
      </w:r>
      <w:r>
        <w:t xml:space="preserve"> </w:t>
      </w:r>
      <w:r w:rsidRPr="005615B4">
        <w:t>z</w:t>
      </w:r>
      <w:r>
        <w:t xml:space="preserve"> </w:t>
      </w:r>
      <w:r w:rsidRPr="005615B4">
        <w:t>veřejného</w:t>
      </w:r>
      <w:r>
        <w:t xml:space="preserve"> </w:t>
      </w:r>
      <w:r w:rsidRPr="005615B4">
        <w:t>seznamu</w:t>
      </w:r>
      <w:r>
        <w:t xml:space="preserve"> </w:t>
      </w:r>
      <w:r w:rsidRPr="005615B4">
        <w:t>zřejmé.</w:t>
      </w:r>
      <w:r>
        <w:t xml:space="preserve"> </w:t>
      </w:r>
      <w:r w:rsidRPr="005615B4">
        <w:t>V</w:t>
      </w:r>
      <w:r>
        <w:t xml:space="preserve"> </w:t>
      </w:r>
      <w:r w:rsidRPr="005615B4">
        <w:t>případě</w:t>
      </w:r>
      <w:r>
        <w:t xml:space="preserve"> </w:t>
      </w:r>
      <w:r w:rsidRPr="005615B4">
        <w:t>zápisu</w:t>
      </w:r>
      <w:r>
        <w:t xml:space="preserve"> </w:t>
      </w:r>
      <w:r w:rsidRPr="005615B4">
        <w:t>takového</w:t>
      </w:r>
      <w:r>
        <w:t xml:space="preserve"> </w:t>
      </w:r>
      <w:r w:rsidRPr="005615B4">
        <w:t>oprávnění</w:t>
      </w:r>
      <w:r>
        <w:t xml:space="preserve"> </w:t>
      </w:r>
      <w:r w:rsidRPr="005615B4">
        <w:t>k</w:t>
      </w:r>
      <w:r>
        <w:t xml:space="preserve"> </w:t>
      </w:r>
      <w:r w:rsidRPr="005615B4">
        <w:t>cizím</w:t>
      </w:r>
      <w:r>
        <w:t xml:space="preserve"> </w:t>
      </w:r>
      <w:r w:rsidRPr="005615B4">
        <w:t>nemovitostem</w:t>
      </w:r>
      <w:r>
        <w:t xml:space="preserve"> </w:t>
      </w:r>
      <w:r w:rsidRPr="005615B4">
        <w:t>do</w:t>
      </w:r>
      <w:r>
        <w:t xml:space="preserve"> </w:t>
      </w:r>
      <w:r w:rsidRPr="005615B4">
        <w:t>veřejného</w:t>
      </w:r>
      <w:r>
        <w:t xml:space="preserve"> </w:t>
      </w:r>
      <w:r w:rsidRPr="005615B4">
        <w:t>seznamu</w:t>
      </w:r>
      <w:r>
        <w:t xml:space="preserve"> </w:t>
      </w:r>
      <w:r w:rsidRPr="005615B4">
        <w:t>se</w:t>
      </w:r>
      <w:r>
        <w:t xml:space="preserve"> </w:t>
      </w:r>
      <w:r w:rsidRPr="005615B4">
        <w:t>při</w:t>
      </w:r>
      <w:r>
        <w:t xml:space="preserve"> </w:t>
      </w:r>
      <w:r w:rsidRPr="005615B4">
        <w:t>stanovení</w:t>
      </w:r>
      <w:r>
        <w:t xml:space="preserve"> </w:t>
      </w:r>
      <w:r w:rsidRPr="005615B4">
        <w:t>jeho</w:t>
      </w:r>
      <w:r>
        <w:t xml:space="preserve"> </w:t>
      </w:r>
      <w:r w:rsidRPr="005615B4">
        <w:t>pořadí</w:t>
      </w:r>
      <w:r>
        <w:t xml:space="preserve"> </w:t>
      </w:r>
      <w:r w:rsidRPr="005615B4">
        <w:t>vychází</w:t>
      </w:r>
      <w:r>
        <w:t xml:space="preserve"> </w:t>
      </w:r>
      <w:r w:rsidRPr="005615B4">
        <w:t>z</w:t>
      </w:r>
      <w:r>
        <w:t xml:space="preserve"> </w:t>
      </w:r>
      <w:r w:rsidRPr="005615B4">
        <w:t>okamžiku,</w:t>
      </w:r>
      <w:r>
        <w:t xml:space="preserve"> </w:t>
      </w:r>
      <w:r w:rsidRPr="005615B4">
        <w:t>kdy</w:t>
      </w:r>
      <w:r>
        <w:t xml:space="preserve"> </w:t>
      </w:r>
      <w:r w:rsidRPr="005615B4">
        <w:t>takové</w:t>
      </w:r>
      <w:r>
        <w:t xml:space="preserve"> </w:t>
      </w:r>
      <w:r w:rsidRPr="005615B4">
        <w:t>oprávnění</w:t>
      </w:r>
      <w:r>
        <w:t xml:space="preserve"> </w:t>
      </w:r>
      <w:r w:rsidRPr="005615B4">
        <w:t>k</w:t>
      </w:r>
      <w:r>
        <w:t xml:space="preserve"> </w:t>
      </w:r>
      <w:r w:rsidRPr="005615B4">
        <w:t>cizím</w:t>
      </w:r>
      <w:r>
        <w:t xml:space="preserve"> </w:t>
      </w:r>
      <w:r w:rsidRPr="005615B4">
        <w:t>nemovitostem</w:t>
      </w:r>
      <w:r>
        <w:t xml:space="preserve"> </w:t>
      </w:r>
      <w:r w:rsidRPr="005615B4">
        <w:t>vzniklo.</w:t>
      </w:r>
    </w:p>
    <w:p w14:paraId="244FAD35" w14:textId="77777777" w:rsidR="008B568E" w:rsidRDefault="008B568E" w:rsidP="0010420C">
      <w:pPr>
        <w:pStyle w:val="Textparagrafu"/>
        <w:tabs>
          <w:tab w:val="left" w:pos="392"/>
          <w:tab w:val="left" w:pos="840"/>
        </w:tabs>
        <w:spacing w:before="120" w:after="120"/>
      </w:pPr>
      <w:r w:rsidRPr="005615B4">
        <w:t>(10)</w:t>
      </w:r>
      <w:r>
        <w:t xml:space="preserve"> </w:t>
      </w:r>
      <w:r w:rsidRPr="005615B4">
        <w:t>Oprávnění</w:t>
      </w:r>
      <w:r>
        <w:t xml:space="preserve"> </w:t>
      </w:r>
      <w:r w:rsidRPr="005615B4">
        <w:t>k</w:t>
      </w:r>
      <w:r>
        <w:t xml:space="preserve"> </w:t>
      </w:r>
      <w:r w:rsidRPr="005615B4">
        <w:t>cizím</w:t>
      </w:r>
      <w:r>
        <w:t xml:space="preserve"> </w:t>
      </w:r>
      <w:r w:rsidRPr="005615B4">
        <w:t>nemovitostem,</w:t>
      </w:r>
      <w:r>
        <w:t xml:space="preserve"> </w:t>
      </w:r>
      <w:r w:rsidRPr="005615B4">
        <w:t>jakož</w:t>
      </w:r>
      <w:r>
        <w:t xml:space="preserve"> </w:t>
      </w:r>
      <w:r w:rsidRPr="005615B4">
        <w:t>i</w:t>
      </w:r>
      <w:r>
        <w:t xml:space="preserve"> </w:t>
      </w:r>
      <w:r w:rsidRPr="005615B4">
        <w:t>omezení</w:t>
      </w:r>
      <w:r>
        <w:t xml:space="preserve"> </w:t>
      </w:r>
      <w:r w:rsidRPr="005615B4">
        <w:t>jejich</w:t>
      </w:r>
      <w:r>
        <w:t xml:space="preserve"> </w:t>
      </w:r>
      <w:r w:rsidRPr="005615B4">
        <w:t>užívání</w:t>
      </w:r>
      <w:r>
        <w:t xml:space="preserve"> </w:t>
      </w:r>
      <w:r w:rsidRPr="005615B4">
        <w:t>vzniklá</w:t>
      </w:r>
      <w:r>
        <w:t xml:space="preserve"> </w:t>
      </w:r>
      <w:r w:rsidRPr="005615B4">
        <w:t>podle</w:t>
      </w:r>
      <w:r>
        <w:t xml:space="preserve"> </w:t>
      </w:r>
      <w:r w:rsidRPr="005615B4">
        <w:t>předchozích</w:t>
      </w:r>
      <w:r>
        <w:t xml:space="preserve"> </w:t>
      </w:r>
      <w:r w:rsidRPr="005615B4">
        <w:t>právních</w:t>
      </w:r>
      <w:r>
        <w:t xml:space="preserve"> </w:t>
      </w:r>
      <w:r w:rsidRPr="005615B4">
        <w:t>úprav</w:t>
      </w:r>
      <w:r>
        <w:t xml:space="preserve"> </w:t>
      </w:r>
      <w:r w:rsidRPr="005615B4">
        <w:t>nebo</w:t>
      </w:r>
      <w:r>
        <w:t xml:space="preserve"> </w:t>
      </w:r>
      <w:r w:rsidRPr="005615B4">
        <w:t>z</w:t>
      </w:r>
      <w:r>
        <w:t xml:space="preserve"> </w:t>
      </w:r>
      <w:r w:rsidRPr="005615B4">
        <w:t>věcného</w:t>
      </w:r>
      <w:r>
        <w:t xml:space="preserve"> </w:t>
      </w:r>
      <w:r w:rsidRPr="005615B4">
        <w:t>břemene</w:t>
      </w:r>
      <w:r>
        <w:t xml:space="preserve"> </w:t>
      </w:r>
      <w:r w:rsidRPr="005615B4">
        <w:t>vzniklá</w:t>
      </w:r>
      <w:r>
        <w:t xml:space="preserve"> </w:t>
      </w:r>
      <w:r w:rsidRPr="005615B4">
        <w:t>podle</w:t>
      </w:r>
      <w:r>
        <w:t xml:space="preserve"> </w:t>
      </w:r>
      <w:r w:rsidRPr="005615B4">
        <w:t>tohoto</w:t>
      </w:r>
      <w:r>
        <w:t xml:space="preserve"> </w:t>
      </w:r>
      <w:r w:rsidRPr="005615B4">
        <w:t>zákona</w:t>
      </w:r>
      <w:r>
        <w:t xml:space="preserve"> </w:t>
      </w:r>
      <w:r w:rsidRPr="005615B4">
        <w:t>přechází</w:t>
      </w:r>
      <w:r>
        <w:t xml:space="preserve"> </w:t>
      </w:r>
      <w:r w:rsidRPr="005615B4">
        <w:t>na</w:t>
      </w:r>
      <w:r>
        <w:t xml:space="preserve"> </w:t>
      </w:r>
      <w:r w:rsidRPr="005615B4">
        <w:t>nového</w:t>
      </w:r>
      <w:r>
        <w:t xml:space="preserve"> </w:t>
      </w:r>
      <w:r w:rsidRPr="005615B4">
        <w:t>držitele</w:t>
      </w:r>
      <w:r>
        <w:t xml:space="preserve"> </w:t>
      </w:r>
      <w:r w:rsidRPr="005615B4">
        <w:t>licence</w:t>
      </w:r>
      <w:r>
        <w:t xml:space="preserve"> </w:t>
      </w:r>
      <w:r w:rsidRPr="005615B4">
        <w:t>provozujícího</w:t>
      </w:r>
      <w:r>
        <w:t xml:space="preserve"> </w:t>
      </w:r>
      <w:r w:rsidRPr="005615B4">
        <w:t>příslušnou</w:t>
      </w:r>
      <w:r>
        <w:t xml:space="preserve"> </w:t>
      </w:r>
      <w:r w:rsidRPr="005615B4">
        <w:t>soustavu,</w:t>
      </w:r>
      <w:r>
        <w:t xml:space="preserve"> </w:t>
      </w:r>
      <w:r w:rsidRPr="005615B4">
        <w:t>zařízení</w:t>
      </w:r>
      <w:r>
        <w:t xml:space="preserve"> </w:t>
      </w:r>
      <w:r w:rsidRPr="005615B4">
        <w:t>nebo</w:t>
      </w:r>
      <w:r>
        <w:t xml:space="preserve"> </w:t>
      </w:r>
      <w:r w:rsidRPr="005615B4">
        <w:t>jejich</w:t>
      </w:r>
      <w:r>
        <w:t xml:space="preserve"> </w:t>
      </w:r>
      <w:r w:rsidRPr="005615B4">
        <w:t>část,</w:t>
      </w:r>
      <w:r>
        <w:t xml:space="preserve"> </w:t>
      </w:r>
      <w:r w:rsidRPr="005615B4">
        <w:t>na</w:t>
      </w:r>
      <w:r>
        <w:t xml:space="preserve"> </w:t>
      </w:r>
      <w:r w:rsidRPr="005615B4">
        <w:t>které</w:t>
      </w:r>
      <w:r>
        <w:t xml:space="preserve"> </w:t>
      </w:r>
      <w:r w:rsidRPr="005615B4">
        <w:t>se</w:t>
      </w:r>
      <w:r>
        <w:t xml:space="preserve"> </w:t>
      </w:r>
      <w:r w:rsidRPr="005615B4">
        <w:t>daná</w:t>
      </w:r>
      <w:r>
        <w:t xml:space="preserve"> </w:t>
      </w:r>
      <w:r w:rsidRPr="005615B4">
        <w:t>oprávnění</w:t>
      </w:r>
      <w:r>
        <w:t xml:space="preserve"> </w:t>
      </w:r>
      <w:r w:rsidRPr="005615B4">
        <w:t>vztahují.</w:t>
      </w:r>
    </w:p>
    <w:p w14:paraId="1FB49077" w14:textId="77777777" w:rsidR="008B568E" w:rsidRDefault="008B568E" w:rsidP="0010420C">
      <w:pPr>
        <w:pStyle w:val="Textparagrafu"/>
        <w:tabs>
          <w:tab w:val="left" w:pos="392"/>
          <w:tab w:val="left" w:pos="840"/>
        </w:tabs>
        <w:spacing w:before="120" w:after="120"/>
      </w:pPr>
      <w:r w:rsidRPr="005615B4">
        <w:t>(11)</w:t>
      </w:r>
      <w:r>
        <w:t xml:space="preserve"> </w:t>
      </w:r>
      <w:r w:rsidRPr="005615B4">
        <w:t>Kdo</w:t>
      </w:r>
      <w:r>
        <w:t xml:space="preserve"> </w:t>
      </w:r>
      <w:r w:rsidRPr="005615B4">
        <w:t>nabude</w:t>
      </w:r>
      <w:r>
        <w:t xml:space="preserve"> </w:t>
      </w:r>
      <w:r w:rsidRPr="005615B4">
        <w:t>vlastnické</w:t>
      </w:r>
      <w:r>
        <w:t xml:space="preserve"> </w:t>
      </w:r>
      <w:r w:rsidRPr="005615B4">
        <w:t>právo</w:t>
      </w:r>
      <w:r>
        <w:t xml:space="preserve"> </w:t>
      </w:r>
      <w:r w:rsidRPr="005615B4">
        <w:t>k</w:t>
      </w:r>
      <w:r>
        <w:t xml:space="preserve"> </w:t>
      </w:r>
      <w:r w:rsidRPr="005615B4">
        <w:t>nemovitosti,</w:t>
      </w:r>
      <w:r>
        <w:t xml:space="preserve"> </w:t>
      </w:r>
      <w:r w:rsidRPr="005615B4">
        <w:t>k</w:t>
      </w:r>
      <w:r>
        <w:t xml:space="preserve"> </w:t>
      </w:r>
      <w:r w:rsidRPr="005615B4">
        <w:t>níž</w:t>
      </w:r>
      <w:r>
        <w:t xml:space="preserve"> </w:t>
      </w:r>
      <w:r w:rsidRPr="005615B4">
        <w:t>se</w:t>
      </w:r>
      <w:r>
        <w:t xml:space="preserve"> </w:t>
      </w:r>
      <w:r w:rsidRPr="005615B4">
        <w:t>vztahuje</w:t>
      </w:r>
      <w:r>
        <w:t xml:space="preserve"> </w:t>
      </w:r>
      <w:r w:rsidRPr="005615B4">
        <w:t>oprávnění</w:t>
      </w:r>
      <w:r>
        <w:t xml:space="preserve"> </w:t>
      </w:r>
      <w:r w:rsidRPr="005615B4">
        <w:t>k</w:t>
      </w:r>
      <w:r>
        <w:t xml:space="preserve"> </w:t>
      </w:r>
      <w:r w:rsidRPr="005615B4">
        <w:t>cizím</w:t>
      </w:r>
      <w:r>
        <w:t xml:space="preserve"> </w:t>
      </w:r>
      <w:r w:rsidRPr="005615B4">
        <w:t>nemovitostem,</w:t>
      </w:r>
      <w:r>
        <w:t xml:space="preserve"> </w:t>
      </w:r>
      <w:r w:rsidRPr="005615B4">
        <w:t>které</w:t>
      </w:r>
      <w:r>
        <w:t xml:space="preserve"> </w:t>
      </w:r>
      <w:r w:rsidRPr="005615B4">
        <w:t>vzniklo</w:t>
      </w:r>
      <w:r>
        <w:t xml:space="preserve"> </w:t>
      </w:r>
      <w:r w:rsidRPr="005615B4">
        <w:t>na</w:t>
      </w:r>
      <w:r>
        <w:t xml:space="preserve"> </w:t>
      </w:r>
      <w:r w:rsidRPr="005615B4">
        <w:t>základě</w:t>
      </w:r>
      <w:r>
        <w:t xml:space="preserve"> </w:t>
      </w:r>
      <w:r w:rsidRPr="005615B4">
        <w:t>zákona,</w:t>
      </w:r>
      <w:r>
        <w:t xml:space="preserve"> </w:t>
      </w:r>
      <w:r w:rsidRPr="005615B4">
        <w:t>přejímá</w:t>
      </w:r>
      <w:r>
        <w:t xml:space="preserve"> </w:t>
      </w:r>
      <w:r w:rsidRPr="005615B4">
        <w:t>i</w:t>
      </w:r>
      <w:r>
        <w:t xml:space="preserve"> </w:t>
      </w:r>
      <w:r w:rsidRPr="005615B4">
        <w:t>povinnosti</w:t>
      </w:r>
      <w:r>
        <w:t xml:space="preserve"> </w:t>
      </w:r>
      <w:r w:rsidRPr="005615B4">
        <w:t>odpovídající</w:t>
      </w:r>
      <w:r>
        <w:t xml:space="preserve"> </w:t>
      </w:r>
      <w:r w:rsidRPr="005615B4">
        <w:t>tomuto</w:t>
      </w:r>
      <w:r>
        <w:t xml:space="preserve"> </w:t>
      </w:r>
      <w:r w:rsidRPr="005615B4">
        <w:t>oprávnění.</w:t>
      </w:r>
    </w:p>
    <w:p w14:paraId="6D16E046" w14:textId="01070DD0" w:rsidR="008B568E" w:rsidRDefault="008B568E" w:rsidP="0010420C">
      <w:pPr>
        <w:pStyle w:val="Textparagrafu"/>
        <w:tabs>
          <w:tab w:val="left" w:pos="392"/>
          <w:tab w:val="left" w:pos="840"/>
        </w:tabs>
        <w:spacing w:before="120" w:after="120"/>
      </w:pPr>
      <w:r w:rsidRPr="005615B4">
        <w:t>(12)</w:t>
      </w:r>
      <w:r>
        <w:t xml:space="preserve"> </w:t>
      </w:r>
      <w:r w:rsidRPr="005615B4">
        <w:t>Pokud</w:t>
      </w:r>
      <w:r>
        <w:t xml:space="preserve"> </w:t>
      </w:r>
      <w:r w:rsidRPr="005615B4">
        <w:t>se</w:t>
      </w:r>
      <w:r>
        <w:t xml:space="preserve"> </w:t>
      </w:r>
      <w:r w:rsidRPr="005615B4">
        <w:t>pro</w:t>
      </w:r>
      <w:r>
        <w:t xml:space="preserve"> </w:t>
      </w:r>
      <w:r w:rsidRPr="005615B4">
        <w:t>stanovení</w:t>
      </w:r>
      <w:r>
        <w:t xml:space="preserve"> </w:t>
      </w:r>
      <w:r w:rsidRPr="005615B4">
        <w:t>náhrady</w:t>
      </w:r>
      <w:r>
        <w:t xml:space="preserve"> </w:t>
      </w:r>
      <w:r w:rsidRPr="005615B4">
        <w:t>za</w:t>
      </w:r>
      <w:r>
        <w:t xml:space="preserve"> </w:t>
      </w:r>
      <w:r w:rsidRPr="005615B4">
        <w:t>zřízení</w:t>
      </w:r>
      <w:r>
        <w:t xml:space="preserve"> </w:t>
      </w:r>
      <w:r w:rsidRPr="005615B4">
        <w:t>věcného</w:t>
      </w:r>
      <w:r>
        <w:t xml:space="preserve"> </w:t>
      </w:r>
      <w:r w:rsidRPr="005615B4">
        <w:t>břemene</w:t>
      </w:r>
      <w:r>
        <w:t xml:space="preserve"> </w:t>
      </w:r>
      <w:r w:rsidRPr="005615B4">
        <w:t>podle</w:t>
      </w:r>
      <w:r>
        <w:t xml:space="preserve"> </w:t>
      </w:r>
      <w:r w:rsidRPr="005615B4">
        <w:t>tohoto</w:t>
      </w:r>
      <w:r>
        <w:t xml:space="preserve"> </w:t>
      </w:r>
      <w:r w:rsidRPr="005615B4">
        <w:t>zákona</w:t>
      </w:r>
      <w:r>
        <w:t xml:space="preserve"> </w:t>
      </w:r>
      <w:r w:rsidRPr="005615B4">
        <w:t>zpracovává</w:t>
      </w:r>
      <w:r>
        <w:t xml:space="preserve"> </w:t>
      </w:r>
      <w:r w:rsidRPr="005615B4">
        <w:t>znalecký</w:t>
      </w:r>
      <w:r>
        <w:t xml:space="preserve"> </w:t>
      </w:r>
      <w:r w:rsidRPr="005615B4">
        <w:t>posudek,</w:t>
      </w:r>
      <w:r>
        <w:t xml:space="preserve"> </w:t>
      </w:r>
      <w:r w:rsidRPr="005615B4">
        <w:t>určí</w:t>
      </w:r>
      <w:r>
        <w:t xml:space="preserve"> </w:t>
      </w:r>
      <w:r w:rsidRPr="005615B4">
        <w:t>se</w:t>
      </w:r>
      <w:r>
        <w:t xml:space="preserve"> </w:t>
      </w:r>
      <w:r w:rsidRPr="005615B4">
        <w:t>náhrada</w:t>
      </w:r>
      <w:r>
        <w:t xml:space="preserve"> </w:t>
      </w:r>
      <w:r w:rsidRPr="005615B4">
        <w:t>ve</w:t>
      </w:r>
      <w:r>
        <w:t xml:space="preserve"> </w:t>
      </w:r>
      <w:r w:rsidRPr="005615B4">
        <w:t>výši</w:t>
      </w:r>
      <w:r>
        <w:t xml:space="preserve"> </w:t>
      </w:r>
      <w:r w:rsidRPr="002B7DCD">
        <w:rPr>
          <w:strike/>
        </w:rPr>
        <w:t>ceny práva odpovídajícího věcnému břemenu zjištěné podle oceňovacího předpisu</w:t>
      </w:r>
      <w:r w:rsidRPr="002B7DCD">
        <w:rPr>
          <w:strike/>
          <w:vertAlign w:val="superscript"/>
        </w:rPr>
        <w:t>47)</w:t>
      </w:r>
      <w:bookmarkStart w:id="31" w:name="_Hlk160195578"/>
      <w:r w:rsidR="002B7DCD" w:rsidRPr="002B7DCD">
        <w:rPr>
          <w:b/>
        </w:rPr>
        <w:t xml:space="preserve"> </w:t>
      </w:r>
      <w:r w:rsidR="002B7DCD" w:rsidRPr="00533343">
        <w:rPr>
          <w:b/>
        </w:rPr>
        <w:t>zjištěné hodnoty práva odpovídajícího věcnému břemenu určené podle zákona o oceňování</w:t>
      </w:r>
      <w:bookmarkEnd w:id="31"/>
      <w:r w:rsidRPr="005615B4">
        <w:t>.</w:t>
      </w:r>
    </w:p>
    <w:p w14:paraId="21A6BC5E" w14:textId="77777777" w:rsidR="008B568E" w:rsidRPr="005615B4" w:rsidRDefault="008B568E" w:rsidP="0010420C">
      <w:pPr>
        <w:pStyle w:val="Textparagrafu"/>
        <w:tabs>
          <w:tab w:val="left" w:pos="392"/>
          <w:tab w:val="left" w:pos="840"/>
        </w:tabs>
        <w:spacing w:before="120" w:after="120"/>
      </w:pPr>
      <w:r w:rsidRPr="005615B4">
        <w:t>(13)</w:t>
      </w:r>
      <w:r>
        <w:t xml:space="preserve"> </w:t>
      </w:r>
      <w:r w:rsidRPr="005615B4">
        <w:t>Při</w:t>
      </w:r>
      <w:r>
        <w:t xml:space="preserve"> </w:t>
      </w:r>
      <w:r w:rsidRPr="005615B4">
        <w:t>zřizování</w:t>
      </w:r>
      <w:r>
        <w:t xml:space="preserve"> </w:t>
      </w:r>
      <w:r w:rsidRPr="005615B4">
        <w:t>věcného</w:t>
      </w:r>
      <w:r>
        <w:t xml:space="preserve"> </w:t>
      </w:r>
      <w:r w:rsidRPr="005615B4">
        <w:t>břemene</w:t>
      </w:r>
      <w:r>
        <w:t xml:space="preserve"> </w:t>
      </w:r>
      <w:r w:rsidRPr="005615B4">
        <w:t>umožňujícího</w:t>
      </w:r>
      <w:r>
        <w:t xml:space="preserve"> </w:t>
      </w:r>
      <w:r w:rsidRPr="005615B4">
        <w:t>využití</w:t>
      </w:r>
      <w:r>
        <w:t xml:space="preserve"> </w:t>
      </w:r>
      <w:r w:rsidRPr="005615B4">
        <w:t>cizí</w:t>
      </w:r>
      <w:r>
        <w:t xml:space="preserve"> </w:t>
      </w:r>
      <w:r w:rsidRPr="005615B4">
        <w:t>nemovitosti</w:t>
      </w:r>
      <w:r>
        <w:t xml:space="preserve"> </w:t>
      </w:r>
      <w:r w:rsidRPr="005615B4">
        <w:t>nebo</w:t>
      </w:r>
      <w:r>
        <w:t xml:space="preserve"> </w:t>
      </w:r>
      <w:r w:rsidRPr="005615B4">
        <w:t>její</w:t>
      </w:r>
      <w:r>
        <w:t xml:space="preserve"> </w:t>
      </w:r>
      <w:r w:rsidRPr="005615B4">
        <w:t>části</w:t>
      </w:r>
      <w:r>
        <w:t xml:space="preserve"> </w:t>
      </w:r>
      <w:r w:rsidRPr="005615B4">
        <w:t>pro</w:t>
      </w:r>
      <w:r>
        <w:t xml:space="preserve"> </w:t>
      </w:r>
      <w:r w:rsidRPr="005615B4">
        <w:t>účely</w:t>
      </w:r>
      <w:r>
        <w:t xml:space="preserve"> </w:t>
      </w:r>
      <w:r w:rsidRPr="005615B4">
        <w:t>uvedené</w:t>
      </w:r>
      <w:r>
        <w:t xml:space="preserve"> </w:t>
      </w:r>
      <w:r w:rsidRPr="005615B4">
        <w:t>v</w:t>
      </w:r>
      <w:r>
        <w:t xml:space="preserve"> </w:t>
      </w:r>
      <w:r w:rsidRPr="005615B4">
        <w:t>tomto</w:t>
      </w:r>
      <w:r>
        <w:t xml:space="preserve"> </w:t>
      </w:r>
      <w:r w:rsidRPr="005615B4">
        <w:t>zákoně</w:t>
      </w:r>
      <w:r>
        <w:t xml:space="preserve"> </w:t>
      </w:r>
      <w:r w:rsidRPr="005615B4">
        <w:t>se</w:t>
      </w:r>
      <w:r>
        <w:t xml:space="preserve"> </w:t>
      </w:r>
      <w:r w:rsidRPr="005615B4">
        <w:t>nepřihlíží</w:t>
      </w:r>
      <w:r>
        <w:t xml:space="preserve"> </w:t>
      </w:r>
      <w:r w:rsidRPr="005615B4">
        <w:t>k</w:t>
      </w:r>
      <w:r>
        <w:t xml:space="preserve"> </w:t>
      </w:r>
      <w:r w:rsidRPr="005615B4">
        <w:t>rozsahu</w:t>
      </w:r>
      <w:r>
        <w:t xml:space="preserve"> </w:t>
      </w:r>
      <w:r w:rsidRPr="005615B4">
        <w:t>ochranného</w:t>
      </w:r>
      <w:r>
        <w:t xml:space="preserve"> </w:t>
      </w:r>
      <w:r w:rsidRPr="005615B4">
        <w:t>pásma</w:t>
      </w:r>
      <w:r>
        <w:t xml:space="preserve"> </w:t>
      </w:r>
      <w:r w:rsidRPr="005615B4">
        <w:t>a</w:t>
      </w:r>
      <w:r>
        <w:t xml:space="preserve"> </w:t>
      </w:r>
      <w:r w:rsidRPr="005615B4">
        <w:t>bezpečnostního</w:t>
      </w:r>
      <w:r>
        <w:t xml:space="preserve"> </w:t>
      </w:r>
      <w:r w:rsidRPr="005615B4">
        <w:t>pásma</w:t>
      </w:r>
      <w:r>
        <w:t xml:space="preserve"> </w:t>
      </w:r>
      <w:r w:rsidRPr="005615B4">
        <w:t>zřizované</w:t>
      </w:r>
      <w:r>
        <w:t xml:space="preserve"> </w:t>
      </w:r>
      <w:r w:rsidRPr="005615B4">
        <w:t>stavby.</w:t>
      </w:r>
    </w:p>
    <w:p w14:paraId="5E6E6EF0" w14:textId="20BAAC3B" w:rsidR="008B568E" w:rsidRDefault="00D32F5D" w:rsidP="00D32F5D">
      <w:pPr>
        <w:pStyle w:val="Textparagrafu"/>
        <w:tabs>
          <w:tab w:val="left" w:pos="406"/>
          <w:tab w:val="left" w:pos="840"/>
          <w:tab w:val="left" w:pos="868"/>
        </w:tabs>
        <w:spacing w:after="120"/>
        <w:ind w:firstLine="0"/>
        <w:jc w:val="center"/>
      </w:pPr>
      <w:r>
        <w:lastRenderedPageBreak/>
        <w:t>***</w:t>
      </w:r>
    </w:p>
    <w:p w14:paraId="45655244" w14:textId="77777777" w:rsidR="00D32F5D" w:rsidRDefault="00D32F5D" w:rsidP="00D32F5D">
      <w:pPr>
        <w:pStyle w:val="Textparagrafu"/>
        <w:tabs>
          <w:tab w:val="left" w:pos="392"/>
          <w:tab w:val="left" w:pos="840"/>
        </w:tabs>
        <w:spacing w:after="120"/>
        <w:ind w:firstLine="0"/>
        <w:jc w:val="center"/>
      </w:pPr>
      <w:r w:rsidRPr="005615B4">
        <w:t>§</w:t>
      </w:r>
      <w:r>
        <w:t xml:space="preserve"> </w:t>
      </w:r>
      <w:r w:rsidRPr="005615B4">
        <w:t>97b</w:t>
      </w:r>
    </w:p>
    <w:p w14:paraId="5B11C734" w14:textId="77777777" w:rsidR="00D32F5D" w:rsidRPr="00D32F5D" w:rsidRDefault="00D32F5D" w:rsidP="00D32F5D">
      <w:pPr>
        <w:pStyle w:val="Textparagrafu"/>
        <w:tabs>
          <w:tab w:val="left" w:pos="392"/>
          <w:tab w:val="left" w:pos="840"/>
        </w:tabs>
        <w:spacing w:after="120"/>
        <w:ind w:firstLine="0"/>
        <w:jc w:val="center"/>
        <w:rPr>
          <w:b/>
        </w:rPr>
      </w:pPr>
      <w:r w:rsidRPr="00D32F5D">
        <w:rPr>
          <w:b/>
        </w:rPr>
        <w:t>Věcná břemena k nemovitostem ve vlastnictví státu, státní příspěvkové organizace, státního fondu a státního podniku</w:t>
      </w:r>
    </w:p>
    <w:p w14:paraId="54140130" w14:textId="77777777" w:rsidR="00D32F5D" w:rsidRDefault="00D32F5D" w:rsidP="0010420C">
      <w:pPr>
        <w:pStyle w:val="Textparagrafu"/>
        <w:tabs>
          <w:tab w:val="left" w:pos="392"/>
          <w:tab w:val="left" w:pos="840"/>
        </w:tabs>
        <w:spacing w:before="120" w:after="120"/>
      </w:pPr>
      <w:r w:rsidRPr="005615B4">
        <w:t>(1)</w:t>
      </w:r>
      <w:r>
        <w:t xml:space="preserve"> </w:t>
      </w:r>
      <w:r w:rsidRPr="005615B4">
        <w:t>Držiteli</w:t>
      </w:r>
      <w:r>
        <w:t xml:space="preserve"> </w:t>
      </w:r>
      <w:r w:rsidRPr="005615B4">
        <w:t>licence</w:t>
      </w:r>
      <w:r>
        <w:t xml:space="preserve"> </w:t>
      </w:r>
      <w:r w:rsidRPr="005615B4">
        <w:t>provozujícímu</w:t>
      </w:r>
      <w:r>
        <w:t xml:space="preserve"> </w:t>
      </w:r>
      <w:r w:rsidRPr="005615B4">
        <w:t>příslušnou</w:t>
      </w:r>
      <w:r>
        <w:t xml:space="preserve"> </w:t>
      </w:r>
      <w:r w:rsidRPr="005615B4">
        <w:t>soustavu</w:t>
      </w:r>
      <w:r>
        <w:t xml:space="preserve"> </w:t>
      </w:r>
      <w:r w:rsidRPr="005615B4">
        <w:t>nebo</w:t>
      </w:r>
      <w:r>
        <w:t xml:space="preserve"> </w:t>
      </w:r>
      <w:r w:rsidRPr="005615B4">
        <w:t>zařízení</w:t>
      </w:r>
      <w:r>
        <w:t xml:space="preserve"> </w:t>
      </w:r>
      <w:r w:rsidRPr="005615B4">
        <w:t>v</w:t>
      </w:r>
      <w:r>
        <w:t xml:space="preserve"> </w:t>
      </w:r>
      <w:r w:rsidRPr="005615B4">
        <w:t>elektroenergetice</w:t>
      </w:r>
      <w:r>
        <w:t xml:space="preserve"> </w:t>
      </w:r>
      <w:r w:rsidRPr="005615B4">
        <w:t>vzniká</w:t>
      </w:r>
      <w:r>
        <w:t xml:space="preserve"> </w:t>
      </w:r>
      <w:r w:rsidRPr="005615B4">
        <w:t>právní</w:t>
      </w:r>
      <w:r>
        <w:t xml:space="preserve"> </w:t>
      </w:r>
      <w:r w:rsidRPr="005615B4">
        <w:t>mocí</w:t>
      </w:r>
      <w:r>
        <w:t xml:space="preserve"> </w:t>
      </w:r>
      <w:r w:rsidRPr="005615B4">
        <w:t>povolení</w:t>
      </w:r>
      <w:r>
        <w:t xml:space="preserve"> </w:t>
      </w:r>
      <w:r w:rsidRPr="005615B4">
        <w:t>záměru</w:t>
      </w:r>
      <w:r>
        <w:t xml:space="preserve"> </w:t>
      </w:r>
      <w:r w:rsidRPr="005615B4">
        <w:t>umožňujícího</w:t>
      </w:r>
      <w:r>
        <w:t xml:space="preserve"> </w:t>
      </w:r>
      <w:r w:rsidRPr="005615B4">
        <w:t>umístit</w:t>
      </w:r>
      <w:r>
        <w:t xml:space="preserve"> </w:t>
      </w:r>
      <w:r w:rsidRPr="005615B4">
        <w:t>příslušnou</w:t>
      </w:r>
      <w:r>
        <w:t xml:space="preserve"> </w:t>
      </w:r>
      <w:r w:rsidRPr="005615B4">
        <w:t>soustavu</w:t>
      </w:r>
      <w:r>
        <w:t xml:space="preserve"> </w:t>
      </w:r>
      <w:r w:rsidRPr="005615B4">
        <w:t>nebo</w:t>
      </w:r>
      <w:r>
        <w:t xml:space="preserve"> </w:t>
      </w:r>
      <w:r w:rsidRPr="005615B4">
        <w:t>zařízení</w:t>
      </w:r>
      <w:r>
        <w:t xml:space="preserve"> </w:t>
      </w:r>
      <w:r w:rsidRPr="005615B4">
        <w:t>na</w:t>
      </w:r>
      <w:r>
        <w:t xml:space="preserve"> </w:t>
      </w:r>
      <w:r w:rsidRPr="005615B4">
        <w:t>nemovitostech</w:t>
      </w:r>
      <w:r>
        <w:t xml:space="preserve"> </w:t>
      </w:r>
      <w:r w:rsidRPr="005615B4">
        <w:t>ve</w:t>
      </w:r>
      <w:r>
        <w:t xml:space="preserve"> </w:t>
      </w:r>
      <w:r w:rsidRPr="005615B4">
        <w:t>vlastnictví</w:t>
      </w:r>
      <w:r>
        <w:t xml:space="preserve"> </w:t>
      </w:r>
      <w:r w:rsidRPr="005615B4">
        <w:t>České</w:t>
      </w:r>
      <w:r>
        <w:t xml:space="preserve"> </w:t>
      </w:r>
      <w:r w:rsidRPr="005615B4">
        <w:t>republiky,</w:t>
      </w:r>
      <w:r>
        <w:t xml:space="preserve"> </w:t>
      </w:r>
      <w:r w:rsidRPr="005615B4">
        <w:t>státní</w:t>
      </w:r>
      <w:r>
        <w:t xml:space="preserve"> </w:t>
      </w:r>
      <w:r w:rsidRPr="005615B4">
        <w:t>příspěvkové</w:t>
      </w:r>
      <w:r>
        <w:t xml:space="preserve"> </w:t>
      </w:r>
      <w:r w:rsidRPr="005615B4">
        <w:t>organizace,</w:t>
      </w:r>
      <w:r>
        <w:t xml:space="preserve"> </w:t>
      </w:r>
      <w:r w:rsidRPr="005615B4">
        <w:t>státního</w:t>
      </w:r>
      <w:r>
        <w:t xml:space="preserve"> </w:t>
      </w:r>
      <w:r w:rsidRPr="005615B4">
        <w:t>fondu</w:t>
      </w:r>
      <w:r>
        <w:t xml:space="preserve"> </w:t>
      </w:r>
      <w:r w:rsidRPr="005615B4">
        <w:t>nebo</w:t>
      </w:r>
      <w:r>
        <w:t xml:space="preserve"> </w:t>
      </w:r>
      <w:r w:rsidRPr="005615B4">
        <w:t>státního</w:t>
      </w:r>
      <w:r>
        <w:t xml:space="preserve"> </w:t>
      </w:r>
      <w:r w:rsidRPr="005615B4">
        <w:t>podniku</w:t>
      </w:r>
      <w:r>
        <w:t xml:space="preserve"> </w:t>
      </w:r>
      <w:r w:rsidRPr="005615B4">
        <w:t>ve</w:t>
      </w:r>
      <w:r>
        <w:t xml:space="preserve"> </w:t>
      </w:r>
      <w:r w:rsidRPr="005615B4">
        <w:t>veřejném</w:t>
      </w:r>
      <w:r>
        <w:t xml:space="preserve"> </w:t>
      </w:r>
      <w:r w:rsidRPr="005615B4">
        <w:t>zájmu</w:t>
      </w:r>
      <w:r>
        <w:t xml:space="preserve"> </w:t>
      </w:r>
      <w:r w:rsidRPr="005615B4">
        <w:t>věcné</w:t>
      </w:r>
      <w:r>
        <w:t xml:space="preserve"> </w:t>
      </w:r>
      <w:r w:rsidRPr="005615B4">
        <w:t>břemeno</w:t>
      </w:r>
      <w:r>
        <w:t xml:space="preserve"> </w:t>
      </w:r>
      <w:r w:rsidRPr="005615B4">
        <w:t>v</w:t>
      </w:r>
      <w:r>
        <w:t xml:space="preserve"> </w:t>
      </w:r>
      <w:r w:rsidRPr="005615B4">
        <w:t>nezbytném</w:t>
      </w:r>
      <w:r>
        <w:t xml:space="preserve"> </w:t>
      </w:r>
      <w:r w:rsidRPr="005615B4">
        <w:t>rozsahu</w:t>
      </w:r>
      <w:r>
        <w:t xml:space="preserve"> </w:t>
      </w:r>
      <w:r w:rsidRPr="005615B4">
        <w:t>podle</w:t>
      </w:r>
      <w:r>
        <w:t xml:space="preserve"> </w:t>
      </w:r>
      <w:r w:rsidRPr="005615B4">
        <w:t>příslušné</w:t>
      </w:r>
      <w:r>
        <w:t xml:space="preserve"> </w:t>
      </w:r>
      <w:r w:rsidRPr="005615B4">
        <w:t>technické</w:t>
      </w:r>
      <w:r>
        <w:t xml:space="preserve"> </w:t>
      </w:r>
      <w:r w:rsidRPr="005615B4">
        <w:t>normy</w:t>
      </w:r>
      <w:r>
        <w:rPr>
          <w:rStyle w:val="Znakapoznpodarou"/>
        </w:rPr>
        <w:footnoteReference w:customMarkFollows="1" w:id="394"/>
        <w:t>62)</w:t>
      </w:r>
      <w:r>
        <w:t xml:space="preserve"> </w:t>
      </w:r>
      <w:r w:rsidRPr="005615B4">
        <w:t>opravňující</w:t>
      </w:r>
    </w:p>
    <w:p w14:paraId="1E7E6C7A" w14:textId="74E5D554" w:rsidR="00D32F5D" w:rsidRDefault="00D32F5D" w:rsidP="002E6AEA">
      <w:pPr>
        <w:pStyle w:val="Textparagrafu"/>
        <w:tabs>
          <w:tab w:val="left" w:pos="392"/>
          <w:tab w:val="left" w:pos="840"/>
        </w:tabs>
        <w:spacing w:before="0"/>
        <w:ind w:left="426" w:hanging="426"/>
      </w:pPr>
      <w:r w:rsidRPr="005615B4">
        <w:t>a)</w:t>
      </w:r>
      <w:r>
        <w:tab/>
      </w:r>
      <w:r w:rsidRPr="005615B4">
        <w:t>zřizovat</w:t>
      </w:r>
      <w:r>
        <w:t xml:space="preserve"> </w:t>
      </w:r>
      <w:r w:rsidRPr="005615B4">
        <w:t>a</w:t>
      </w:r>
      <w:r>
        <w:t xml:space="preserve"> </w:t>
      </w:r>
      <w:r w:rsidRPr="005615B4">
        <w:t>provozovat</w:t>
      </w:r>
      <w:r>
        <w:t xml:space="preserve"> </w:t>
      </w:r>
      <w:r w:rsidRPr="005615B4">
        <w:t>příslušnou</w:t>
      </w:r>
      <w:r>
        <w:t xml:space="preserve"> </w:t>
      </w:r>
      <w:r w:rsidRPr="005615B4">
        <w:t>soustavu</w:t>
      </w:r>
      <w:r>
        <w:t xml:space="preserve"> </w:t>
      </w:r>
      <w:r w:rsidRPr="005615B4">
        <w:t>nebo</w:t>
      </w:r>
      <w:r>
        <w:t xml:space="preserve"> </w:t>
      </w:r>
      <w:r w:rsidRPr="005615B4">
        <w:t>zařízení,</w:t>
      </w:r>
      <w:r>
        <w:t xml:space="preserve"> </w:t>
      </w:r>
      <w:r w:rsidRPr="005615B4">
        <w:t>přetínat</w:t>
      </w:r>
      <w:r>
        <w:t xml:space="preserve"> </w:t>
      </w:r>
      <w:r w:rsidRPr="005615B4">
        <w:t>tyto</w:t>
      </w:r>
      <w:r>
        <w:t xml:space="preserve"> </w:t>
      </w:r>
      <w:r w:rsidRPr="005615B4">
        <w:t>nemovitosti</w:t>
      </w:r>
      <w:r>
        <w:t xml:space="preserve"> </w:t>
      </w:r>
      <w:r w:rsidRPr="005615B4">
        <w:t>vodiči</w:t>
      </w:r>
      <w:r>
        <w:t xml:space="preserve"> </w:t>
      </w:r>
      <w:r w:rsidRPr="005615B4">
        <w:t>a</w:t>
      </w:r>
      <w:r>
        <w:t xml:space="preserve"> </w:t>
      </w:r>
      <w:r w:rsidRPr="005615B4">
        <w:t>umísťovat</w:t>
      </w:r>
      <w:r>
        <w:t xml:space="preserve"> </w:t>
      </w:r>
      <w:r w:rsidRPr="005615B4">
        <w:t>v</w:t>
      </w:r>
      <w:r>
        <w:t xml:space="preserve"> </w:t>
      </w:r>
      <w:r w:rsidRPr="005615B4">
        <w:t>nich</w:t>
      </w:r>
      <w:r>
        <w:t xml:space="preserve"> </w:t>
      </w:r>
      <w:r w:rsidRPr="005615B4">
        <w:t>vedení</w:t>
      </w:r>
      <w:r>
        <w:t xml:space="preserve"> </w:t>
      </w:r>
      <w:r w:rsidRPr="005615B4">
        <w:t>nebo</w:t>
      </w:r>
      <w:r>
        <w:t xml:space="preserve"> </w:t>
      </w:r>
      <w:r w:rsidRPr="005615B4">
        <w:t>zařízení,</w:t>
      </w:r>
      <w:r>
        <w:t xml:space="preserve"> </w:t>
      </w:r>
      <w:r w:rsidRPr="005615B4">
        <w:t>jakož</w:t>
      </w:r>
      <w:r>
        <w:t xml:space="preserve"> </w:t>
      </w:r>
      <w:r w:rsidRPr="005615B4">
        <w:t>i</w:t>
      </w:r>
      <w:r>
        <w:t xml:space="preserve"> </w:t>
      </w:r>
      <w:r w:rsidRPr="005615B4">
        <w:t>souvisejících</w:t>
      </w:r>
      <w:r>
        <w:t xml:space="preserve"> </w:t>
      </w:r>
      <w:r w:rsidRPr="005615B4">
        <w:t>staveb</w:t>
      </w:r>
      <w:r>
        <w:t xml:space="preserve"> </w:t>
      </w:r>
      <w:r w:rsidRPr="005615B4">
        <w:t>a</w:t>
      </w:r>
      <w:r>
        <w:t xml:space="preserve"> </w:t>
      </w:r>
      <w:r w:rsidRPr="005615B4">
        <w:t>zařízení,</w:t>
      </w:r>
    </w:p>
    <w:p w14:paraId="73143638" w14:textId="1D1A7175" w:rsidR="00D32F5D" w:rsidRDefault="00D32F5D" w:rsidP="002E6AEA">
      <w:pPr>
        <w:pStyle w:val="Textparagrafu"/>
        <w:tabs>
          <w:tab w:val="left" w:pos="392"/>
          <w:tab w:val="left" w:pos="840"/>
        </w:tabs>
        <w:spacing w:before="0"/>
        <w:ind w:left="426" w:hanging="426"/>
      </w:pPr>
      <w:r w:rsidRPr="005615B4">
        <w:t>b)</w:t>
      </w:r>
      <w:r>
        <w:tab/>
      </w:r>
      <w:r w:rsidRPr="005615B4">
        <w:t>zřizovat</w:t>
      </w:r>
      <w:r>
        <w:t xml:space="preserve"> </w:t>
      </w:r>
      <w:r w:rsidRPr="005615B4">
        <w:t>a</w:t>
      </w:r>
      <w:r>
        <w:t xml:space="preserve"> </w:t>
      </w:r>
      <w:r w:rsidRPr="005615B4">
        <w:t>provozovat</w:t>
      </w:r>
      <w:r>
        <w:t xml:space="preserve"> </w:t>
      </w:r>
      <w:r w:rsidRPr="005615B4">
        <w:t>vlastní</w:t>
      </w:r>
      <w:r>
        <w:t xml:space="preserve"> </w:t>
      </w:r>
      <w:r w:rsidRPr="005615B4">
        <w:t>telekomunikační</w:t>
      </w:r>
      <w:r>
        <w:t xml:space="preserve"> </w:t>
      </w:r>
      <w:r w:rsidRPr="005615B4">
        <w:t>síť</w:t>
      </w:r>
      <w:r>
        <w:t xml:space="preserve"> </w:t>
      </w:r>
      <w:r w:rsidRPr="005615B4">
        <w:t>k</w:t>
      </w:r>
      <w:r>
        <w:t xml:space="preserve"> </w:t>
      </w:r>
      <w:r w:rsidRPr="005615B4">
        <w:t>řízení,</w:t>
      </w:r>
      <w:r>
        <w:t xml:space="preserve"> </w:t>
      </w:r>
      <w:r w:rsidRPr="005615B4">
        <w:t>měření,</w:t>
      </w:r>
      <w:r>
        <w:t xml:space="preserve"> </w:t>
      </w:r>
      <w:r w:rsidRPr="005615B4">
        <w:t>zabezpečování</w:t>
      </w:r>
      <w:r>
        <w:t xml:space="preserve"> </w:t>
      </w:r>
      <w:r w:rsidRPr="005615B4">
        <w:t>a</w:t>
      </w:r>
      <w:r>
        <w:t xml:space="preserve"> </w:t>
      </w:r>
      <w:r w:rsidRPr="005615B4">
        <w:t>automatizaci</w:t>
      </w:r>
      <w:r>
        <w:t xml:space="preserve"> </w:t>
      </w:r>
      <w:r w:rsidRPr="005615B4">
        <w:t>provozu</w:t>
      </w:r>
      <w:r>
        <w:t xml:space="preserve"> </w:t>
      </w:r>
      <w:r w:rsidRPr="005615B4">
        <w:t>příslušné</w:t>
      </w:r>
      <w:r>
        <w:t xml:space="preserve"> </w:t>
      </w:r>
      <w:r w:rsidRPr="005615B4">
        <w:t>soustavy</w:t>
      </w:r>
      <w:r>
        <w:t xml:space="preserve"> </w:t>
      </w:r>
      <w:r w:rsidRPr="005615B4">
        <w:t>a</w:t>
      </w:r>
      <w:r>
        <w:t xml:space="preserve"> </w:t>
      </w:r>
      <w:r w:rsidRPr="005615B4">
        <w:t>k</w:t>
      </w:r>
      <w:r>
        <w:t xml:space="preserve"> </w:t>
      </w:r>
      <w:r w:rsidRPr="005615B4">
        <w:t>přenosu</w:t>
      </w:r>
      <w:r>
        <w:t xml:space="preserve"> </w:t>
      </w:r>
      <w:r w:rsidRPr="005615B4">
        <w:t>informací</w:t>
      </w:r>
      <w:r>
        <w:t xml:space="preserve"> </w:t>
      </w:r>
      <w:r w:rsidRPr="005615B4">
        <w:t>pro</w:t>
      </w:r>
      <w:r>
        <w:t xml:space="preserve"> </w:t>
      </w:r>
      <w:r w:rsidRPr="005615B4">
        <w:t>činnost</w:t>
      </w:r>
      <w:r>
        <w:t xml:space="preserve"> </w:t>
      </w:r>
      <w:r w:rsidRPr="005615B4">
        <w:t>výpočetní</w:t>
      </w:r>
      <w:r>
        <w:t xml:space="preserve"> </w:t>
      </w:r>
      <w:r w:rsidRPr="005615B4">
        <w:t>techniky</w:t>
      </w:r>
      <w:r>
        <w:t xml:space="preserve"> </w:t>
      </w:r>
      <w:r w:rsidRPr="005615B4">
        <w:t>a</w:t>
      </w:r>
      <w:r>
        <w:t xml:space="preserve"> </w:t>
      </w:r>
      <w:r w:rsidRPr="005615B4">
        <w:t>informačních</w:t>
      </w:r>
      <w:r>
        <w:t xml:space="preserve"> </w:t>
      </w:r>
      <w:r w:rsidRPr="005615B4">
        <w:t>systémů.</w:t>
      </w:r>
    </w:p>
    <w:p w14:paraId="6971017F" w14:textId="77777777" w:rsidR="00D32F5D" w:rsidRDefault="00D32F5D" w:rsidP="0010420C">
      <w:pPr>
        <w:pStyle w:val="Textparagrafu"/>
        <w:tabs>
          <w:tab w:val="left" w:pos="392"/>
          <w:tab w:val="left" w:pos="840"/>
        </w:tabs>
        <w:spacing w:before="120" w:after="120"/>
      </w:pPr>
      <w:r w:rsidRPr="005615B4">
        <w:t>(2)</w:t>
      </w:r>
      <w:r>
        <w:t xml:space="preserve"> </w:t>
      </w:r>
      <w:r w:rsidRPr="005615B4">
        <w:t>Návrh</w:t>
      </w:r>
      <w:r>
        <w:t xml:space="preserve"> </w:t>
      </w:r>
      <w:r w:rsidRPr="005615B4">
        <w:t>na</w:t>
      </w:r>
      <w:r>
        <w:t xml:space="preserve"> </w:t>
      </w:r>
      <w:r w:rsidRPr="005615B4">
        <w:t>vklad</w:t>
      </w:r>
      <w:r>
        <w:t xml:space="preserve"> </w:t>
      </w:r>
      <w:r w:rsidRPr="005615B4">
        <w:t>věcného</w:t>
      </w:r>
      <w:r>
        <w:t xml:space="preserve"> </w:t>
      </w:r>
      <w:r w:rsidRPr="005615B4">
        <w:t>břemene</w:t>
      </w:r>
      <w:r>
        <w:t xml:space="preserve"> </w:t>
      </w:r>
      <w:r w:rsidRPr="005615B4">
        <w:t>do</w:t>
      </w:r>
      <w:r>
        <w:t xml:space="preserve"> </w:t>
      </w:r>
      <w:r w:rsidRPr="005615B4">
        <w:t>katastru</w:t>
      </w:r>
      <w:r>
        <w:t xml:space="preserve"> </w:t>
      </w:r>
      <w:r w:rsidRPr="005615B4">
        <w:t>nemovitostí</w:t>
      </w:r>
      <w:r>
        <w:t xml:space="preserve"> </w:t>
      </w:r>
      <w:r w:rsidRPr="005615B4">
        <w:t>po</w:t>
      </w:r>
      <w:r>
        <w:t xml:space="preserve"> </w:t>
      </w:r>
      <w:r w:rsidRPr="005615B4">
        <w:t>dokončení</w:t>
      </w:r>
      <w:r>
        <w:t xml:space="preserve"> </w:t>
      </w:r>
      <w:r w:rsidRPr="005615B4">
        <w:t>stavby</w:t>
      </w:r>
      <w:r>
        <w:t xml:space="preserve"> </w:t>
      </w:r>
      <w:r w:rsidRPr="005615B4">
        <w:t>příslušné</w:t>
      </w:r>
      <w:r>
        <w:t xml:space="preserve"> </w:t>
      </w:r>
      <w:r w:rsidRPr="005615B4">
        <w:t>soustavy</w:t>
      </w:r>
      <w:r>
        <w:t xml:space="preserve"> </w:t>
      </w:r>
      <w:r w:rsidRPr="005615B4">
        <w:t>nebo</w:t>
      </w:r>
      <w:r>
        <w:t xml:space="preserve"> </w:t>
      </w:r>
      <w:r w:rsidRPr="005615B4">
        <w:t>zařízení</w:t>
      </w:r>
      <w:r>
        <w:t xml:space="preserve"> </w:t>
      </w:r>
      <w:r w:rsidRPr="005615B4">
        <w:t>podává</w:t>
      </w:r>
      <w:r>
        <w:t xml:space="preserve"> </w:t>
      </w:r>
      <w:r w:rsidRPr="005615B4">
        <w:t>oprávněný</w:t>
      </w:r>
      <w:r>
        <w:t xml:space="preserve"> </w:t>
      </w:r>
      <w:r w:rsidRPr="005615B4">
        <w:t>z</w:t>
      </w:r>
      <w:r>
        <w:t xml:space="preserve"> </w:t>
      </w:r>
      <w:r w:rsidRPr="005615B4">
        <w:t>věcného</w:t>
      </w:r>
      <w:r>
        <w:t xml:space="preserve"> </w:t>
      </w:r>
      <w:r w:rsidRPr="005615B4">
        <w:t>břemene.</w:t>
      </w:r>
    </w:p>
    <w:p w14:paraId="2F53486B" w14:textId="46F583DD" w:rsidR="00D32F5D" w:rsidRDefault="00D32F5D" w:rsidP="0010420C">
      <w:pPr>
        <w:pStyle w:val="Textparagrafu"/>
        <w:tabs>
          <w:tab w:val="left" w:pos="392"/>
          <w:tab w:val="left" w:pos="840"/>
        </w:tabs>
        <w:spacing w:before="120" w:after="120"/>
      </w:pPr>
      <w:r w:rsidRPr="005615B4">
        <w:t>(3)</w:t>
      </w:r>
      <w:r>
        <w:t xml:space="preserve"> </w:t>
      </w:r>
      <w:r w:rsidRPr="005615B4">
        <w:t>Za</w:t>
      </w:r>
      <w:r>
        <w:t xml:space="preserve"> </w:t>
      </w:r>
      <w:r w:rsidRPr="005615B4">
        <w:t>zřízení</w:t>
      </w:r>
      <w:r>
        <w:t xml:space="preserve"> </w:t>
      </w:r>
      <w:r w:rsidRPr="005615B4">
        <w:t>věcného</w:t>
      </w:r>
      <w:r>
        <w:t xml:space="preserve"> </w:t>
      </w:r>
      <w:r w:rsidRPr="005615B4">
        <w:t>břemene</w:t>
      </w:r>
      <w:r>
        <w:t xml:space="preserve"> </w:t>
      </w:r>
      <w:r w:rsidRPr="005615B4">
        <w:t>podle</w:t>
      </w:r>
      <w:r>
        <w:t xml:space="preserve"> </w:t>
      </w:r>
      <w:r w:rsidRPr="005615B4">
        <w:t>odstavce</w:t>
      </w:r>
      <w:r>
        <w:t xml:space="preserve"> </w:t>
      </w:r>
      <w:r w:rsidRPr="005615B4">
        <w:t>1</w:t>
      </w:r>
      <w:r>
        <w:t xml:space="preserve"> </w:t>
      </w:r>
      <w:r w:rsidRPr="005615B4">
        <w:t>poskytne</w:t>
      </w:r>
      <w:r>
        <w:t xml:space="preserve"> </w:t>
      </w:r>
      <w:r w:rsidRPr="005615B4">
        <w:t>oprávněný</w:t>
      </w:r>
      <w:r>
        <w:t xml:space="preserve"> </w:t>
      </w:r>
      <w:r w:rsidRPr="005615B4">
        <w:t>z</w:t>
      </w:r>
      <w:r>
        <w:t xml:space="preserve"> </w:t>
      </w:r>
      <w:r w:rsidRPr="005615B4">
        <w:t>věcného</w:t>
      </w:r>
      <w:r>
        <w:t xml:space="preserve"> </w:t>
      </w:r>
      <w:r w:rsidRPr="005615B4">
        <w:t>břemene</w:t>
      </w:r>
      <w:r>
        <w:t xml:space="preserve"> </w:t>
      </w:r>
      <w:r w:rsidRPr="005615B4">
        <w:t>vlastníkovi</w:t>
      </w:r>
      <w:r>
        <w:t xml:space="preserve"> </w:t>
      </w:r>
      <w:r w:rsidRPr="005615B4">
        <w:t>nemovitosti</w:t>
      </w:r>
      <w:r>
        <w:t xml:space="preserve"> </w:t>
      </w:r>
      <w:r w:rsidRPr="005615B4">
        <w:t>jednorázovou</w:t>
      </w:r>
      <w:r>
        <w:t xml:space="preserve"> </w:t>
      </w:r>
      <w:r w:rsidRPr="005615B4">
        <w:t>náhradu</w:t>
      </w:r>
      <w:r>
        <w:t xml:space="preserve"> </w:t>
      </w:r>
      <w:r w:rsidRPr="005615B4">
        <w:t>až</w:t>
      </w:r>
      <w:r>
        <w:t xml:space="preserve"> </w:t>
      </w:r>
      <w:r w:rsidRPr="005615B4">
        <w:t>ve</w:t>
      </w:r>
      <w:r>
        <w:t xml:space="preserve"> </w:t>
      </w:r>
      <w:r w:rsidRPr="005615B4">
        <w:t>výši</w:t>
      </w:r>
      <w:r>
        <w:t xml:space="preserve"> </w:t>
      </w:r>
      <w:r w:rsidRPr="002B7DCD">
        <w:rPr>
          <w:strike/>
        </w:rPr>
        <w:t>ceny zjištěné podle oceňovacího předpisu</w:t>
      </w:r>
      <w:r w:rsidRPr="002B7DCD">
        <w:rPr>
          <w:strike/>
          <w:vertAlign w:val="superscript"/>
        </w:rPr>
        <w:t>47)</w:t>
      </w:r>
      <w:r w:rsidR="002B7DCD" w:rsidRPr="002B7DCD">
        <w:rPr>
          <w:b/>
          <w:bCs/>
        </w:rPr>
        <w:t xml:space="preserve"> </w:t>
      </w:r>
      <w:r w:rsidR="002B7DCD" w:rsidRPr="00533343">
        <w:rPr>
          <w:b/>
          <w:bCs/>
        </w:rPr>
        <w:t>zjištěné hodnoty podle zákona o oceňování</w:t>
      </w:r>
      <w:r w:rsidRPr="005615B4">
        <w:t>,</w:t>
      </w:r>
      <w:r>
        <w:t xml:space="preserve"> </w:t>
      </w:r>
      <w:r w:rsidRPr="005615B4">
        <w:t>pokud</w:t>
      </w:r>
      <w:r>
        <w:t xml:space="preserve"> </w:t>
      </w:r>
      <w:r w:rsidRPr="005615B4">
        <w:t>jej</w:t>
      </w:r>
      <w:r>
        <w:t xml:space="preserve"> </w:t>
      </w:r>
      <w:r w:rsidRPr="005615B4">
        <w:t>o</w:t>
      </w:r>
      <w:r>
        <w:t xml:space="preserve"> </w:t>
      </w:r>
      <w:r w:rsidRPr="005615B4">
        <w:t>to</w:t>
      </w:r>
      <w:r>
        <w:t xml:space="preserve"> </w:t>
      </w:r>
      <w:r w:rsidRPr="005615B4">
        <w:t>vlastník</w:t>
      </w:r>
      <w:r>
        <w:t xml:space="preserve"> </w:t>
      </w:r>
      <w:r w:rsidRPr="005615B4">
        <w:t>nemovitosti</w:t>
      </w:r>
      <w:r>
        <w:t xml:space="preserve"> </w:t>
      </w:r>
      <w:r w:rsidRPr="005615B4">
        <w:t>požádá.</w:t>
      </w:r>
    </w:p>
    <w:p w14:paraId="290DFE33" w14:textId="77777777" w:rsidR="00D32F5D" w:rsidRDefault="00D32F5D" w:rsidP="0010420C">
      <w:pPr>
        <w:pStyle w:val="Textparagrafu"/>
        <w:tabs>
          <w:tab w:val="left" w:pos="392"/>
          <w:tab w:val="left" w:pos="840"/>
        </w:tabs>
        <w:spacing w:before="120" w:after="120"/>
      </w:pPr>
      <w:r w:rsidRPr="005615B4">
        <w:t>(4)</w:t>
      </w:r>
      <w:r>
        <w:t xml:space="preserve"> </w:t>
      </w:r>
      <w:r w:rsidRPr="005615B4">
        <w:t>Žádost</w:t>
      </w:r>
      <w:r>
        <w:t xml:space="preserve"> </w:t>
      </w:r>
      <w:r w:rsidRPr="005615B4">
        <w:t>podle</w:t>
      </w:r>
      <w:r>
        <w:t xml:space="preserve"> </w:t>
      </w:r>
      <w:r w:rsidRPr="005615B4">
        <w:t>odstavce</w:t>
      </w:r>
      <w:r>
        <w:t xml:space="preserve"> </w:t>
      </w:r>
      <w:r w:rsidRPr="005615B4">
        <w:t>3</w:t>
      </w:r>
      <w:r>
        <w:t xml:space="preserve"> </w:t>
      </w:r>
      <w:r w:rsidRPr="005615B4">
        <w:t>musí</w:t>
      </w:r>
      <w:r>
        <w:t xml:space="preserve"> </w:t>
      </w:r>
      <w:r w:rsidRPr="005615B4">
        <w:t>být</w:t>
      </w:r>
      <w:r>
        <w:t xml:space="preserve"> </w:t>
      </w:r>
      <w:r w:rsidRPr="005615B4">
        <w:t>podána</w:t>
      </w:r>
      <w:r>
        <w:t xml:space="preserve"> </w:t>
      </w:r>
      <w:r w:rsidRPr="005615B4">
        <w:t>do</w:t>
      </w:r>
      <w:r>
        <w:t xml:space="preserve"> </w:t>
      </w:r>
      <w:r w:rsidRPr="005615B4">
        <w:t>3</w:t>
      </w:r>
      <w:r>
        <w:t xml:space="preserve"> </w:t>
      </w:r>
      <w:r w:rsidRPr="005615B4">
        <w:t>let</w:t>
      </w:r>
      <w:r>
        <w:t xml:space="preserve"> </w:t>
      </w:r>
      <w:r w:rsidRPr="005615B4">
        <w:t>ode</w:t>
      </w:r>
      <w:r>
        <w:t xml:space="preserve"> </w:t>
      </w:r>
      <w:r w:rsidRPr="005615B4">
        <w:t>dne,</w:t>
      </w:r>
      <w:r>
        <w:t xml:space="preserve"> </w:t>
      </w:r>
      <w:r w:rsidRPr="005615B4">
        <w:t>kdy</w:t>
      </w:r>
      <w:r>
        <w:t xml:space="preserve"> </w:t>
      </w:r>
      <w:r w:rsidRPr="005615B4">
        <w:t>byla</w:t>
      </w:r>
      <w:r>
        <w:t xml:space="preserve"> </w:t>
      </w:r>
      <w:r w:rsidRPr="005615B4">
        <w:t>dokončena</w:t>
      </w:r>
      <w:r>
        <w:t xml:space="preserve"> </w:t>
      </w:r>
      <w:r w:rsidRPr="005615B4">
        <w:t>stavba</w:t>
      </w:r>
      <w:r>
        <w:t xml:space="preserve"> </w:t>
      </w:r>
      <w:r w:rsidRPr="005615B4">
        <w:t>příslušné</w:t>
      </w:r>
      <w:r>
        <w:t xml:space="preserve"> </w:t>
      </w:r>
      <w:r w:rsidRPr="005615B4">
        <w:t>soustavy</w:t>
      </w:r>
      <w:r>
        <w:t xml:space="preserve"> </w:t>
      </w:r>
      <w:r w:rsidRPr="005615B4">
        <w:t>nebo</w:t>
      </w:r>
      <w:r>
        <w:t xml:space="preserve"> </w:t>
      </w:r>
      <w:r w:rsidRPr="005615B4">
        <w:t>zařízení</w:t>
      </w:r>
      <w:r>
        <w:t xml:space="preserve"> </w:t>
      </w:r>
      <w:r w:rsidRPr="005615B4">
        <w:t>na</w:t>
      </w:r>
      <w:r>
        <w:t xml:space="preserve"> </w:t>
      </w:r>
      <w:r w:rsidRPr="005615B4">
        <w:t>nemovitosti,</w:t>
      </w:r>
      <w:r>
        <w:t xml:space="preserve"> </w:t>
      </w:r>
      <w:r w:rsidRPr="005615B4">
        <w:t>jinak</w:t>
      </w:r>
      <w:r>
        <w:t xml:space="preserve"> </w:t>
      </w:r>
      <w:r w:rsidRPr="005615B4">
        <w:t>nárok</w:t>
      </w:r>
      <w:r>
        <w:t xml:space="preserve"> </w:t>
      </w:r>
      <w:r w:rsidRPr="005615B4">
        <w:t>zaniká.</w:t>
      </w:r>
      <w:r>
        <w:t xml:space="preserve"> </w:t>
      </w:r>
      <w:r w:rsidRPr="005615B4">
        <w:t>Oprávněný</w:t>
      </w:r>
      <w:r>
        <w:t xml:space="preserve"> </w:t>
      </w:r>
      <w:r w:rsidRPr="005615B4">
        <w:t>z</w:t>
      </w:r>
      <w:r>
        <w:t xml:space="preserve"> </w:t>
      </w:r>
      <w:r w:rsidRPr="005615B4">
        <w:t>věcného</w:t>
      </w:r>
      <w:r>
        <w:t xml:space="preserve"> </w:t>
      </w:r>
      <w:r w:rsidRPr="005615B4">
        <w:t>břemene</w:t>
      </w:r>
      <w:r>
        <w:t xml:space="preserve"> </w:t>
      </w:r>
      <w:r w:rsidRPr="005615B4">
        <w:t>zajistí</w:t>
      </w:r>
      <w:r>
        <w:t xml:space="preserve"> </w:t>
      </w:r>
      <w:r w:rsidRPr="005615B4">
        <w:t>odhad,</w:t>
      </w:r>
      <w:r>
        <w:t xml:space="preserve"> </w:t>
      </w:r>
      <w:r w:rsidRPr="005615B4">
        <w:t>který</w:t>
      </w:r>
      <w:r>
        <w:t xml:space="preserve"> </w:t>
      </w:r>
      <w:r w:rsidRPr="005615B4">
        <w:t>stanoví</w:t>
      </w:r>
      <w:r>
        <w:t xml:space="preserve"> </w:t>
      </w:r>
      <w:r w:rsidRPr="005615B4">
        <w:t>výši</w:t>
      </w:r>
      <w:r>
        <w:t xml:space="preserve"> </w:t>
      </w:r>
      <w:r w:rsidRPr="005615B4">
        <w:t>náhrady</w:t>
      </w:r>
      <w:r>
        <w:t xml:space="preserve"> </w:t>
      </w:r>
      <w:r w:rsidRPr="005615B4">
        <w:t>za</w:t>
      </w:r>
      <w:r>
        <w:t xml:space="preserve"> </w:t>
      </w:r>
      <w:r w:rsidRPr="005615B4">
        <w:t>věcné</w:t>
      </w:r>
      <w:r>
        <w:t xml:space="preserve"> </w:t>
      </w:r>
      <w:r w:rsidRPr="005615B4">
        <w:t>břemeno,</w:t>
      </w:r>
      <w:r>
        <w:t xml:space="preserve"> </w:t>
      </w:r>
      <w:r w:rsidRPr="005615B4">
        <w:t>kterou</w:t>
      </w:r>
      <w:r>
        <w:t xml:space="preserve"> </w:t>
      </w:r>
      <w:r w:rsidRPr="005615B4">
        <w:t>oprávněný</w:t>
      </w:r>
      <w:r>
        <w:t xml:space="preserve"> </w:t>
      </w:r>
      <w:r w:rsidRPr="005615B4">
        <w:t>z</w:t>
      </w:r>
      <w:r>
        <w:t xml:space="preserve"> </w:t>
      </w:r>
      <w:r w:rsidRPr="005615B4">
        <w:t>věcného</w:t>
      </w:r>
      <w:r>
        <w:t xml:space="preserve"> </w:t>
      </w:r>
      <w:r w:rsidRPr="005615B4">
        <w:t>břemene</w:t>
      </w:r>
      <w:r>
        <w:t xml:space="preserve"> </w:t>
      </w:r>
      <w:r w:rsidRPr="005615B4">
        <w:t>uhradí</w:t>
      </w:r>
      <w:r>
        <w:t xml:space="preserve"> </w:t>
      </w:r>
      <w:r w:rsidRPr="005615B4">
        <w:t>vlastníkovi</w:t>
      </w:r>
      <w:r>
        <w:t xml:space="preserve"> </w:t>
      </w:r>
      <w:r w:rsidRPr="005615B4">
        <w:t>nemovitosti</w:t>
      </w:r>
      <w:r>
        <w:t xml:space="preserve"> </w:t>
      </w:r>
      <w:r w:rsidRPr="005615B4">
        <w:t>do</w:t>
      </w:r>
      <w:r>
        <w:t xml:space="preserve"> </w:t>
      </w:r>
      <w:r w:rsidRPr="005615B4">
        <w:t>6</w:t>
      </w:r>
      <w:r>
        <w:t xml:space="preserve"> </w:t>
      </w:r>
      <w:r w:rsidRPr="005615B4">
        <w:t>měsíců</w:t>
      </w:r>
      <w:r>
        <w:t xml:space="preserve"> </w:t>
      </w:r>
      <w:r w:rsidRPr="005615B4">
        <w:t>od</w:t>
      </w:r>
      <w:r>
        <w:t xml:space="preserve"> </w:t>
      </w:r>
      <w:r w:rsidRPr="005615B4">
        <w:t>podání</w:t>
      </w:r>
      <w:r>
        <w:t xml:space="preserve"> </w:t>
      </w:r>
      <w:r w:rsidRPr="005615B4">
        <w:t>žádosti.</w:t>
      </w:r>
    </w:p>
    <w:p w14:paraId="18DDAF64" w14:textId="77777777" w:rsidR="00D32F5D" w:rsidRPr="005615B4" w:rsidRDefault="00D32F5D" w:rsidP="0010420C">
      <w:pPr>
        <w:pStyle w:val="Textparagrafu"/>
        <w:tabs>
          <w:tab w:val="left" w:pos="392"/>
          <w:tab w:val="left" w:pos="840"/>
        </w:tabs>
        <w:spacing w:before="120" w:after="120"/>
      </w:pPr>
      <w:r w:rsidRPr="005615B4">
        <w:t>(5)</w:t>
      </w:r>
      <w:r>
        <w:t xml:space="preserve"> </w:t>
      </w:r>
      <w:r w:rsidRPr="005615B4">
        <w:t>Věcné</w:t>
      </w:r>
      <w:r>
        <w:t xml:space="preserve"> </w:t>
      </w:r>
      <w:r w:rsidRPr="005615B4">
        <w:t>břemeno</w:t>
      </w:r>
      <w:r>
        <w:t xml:space="preserve"> </w:t>
      </w:r>
      <w:r w:rsidRPr="005615B4">
        <w:t>zaniká</w:t>
      </w:r>
      <w:r>
        <w:t xml:space="preserve"> </w:t>
      </w:r>
      <w:r w:rsidRPr="005615B4">
        <w:t>uplynutím</w:t>
      </w:r>
      <w:r>
        <w:t xml:space="preserve"> </w:t>
      </w:r>
      <w:r w:rsidRPr="005615B4">
        <w:t>5</w:t>
      </w:r>
      <w:r>
        <w:t xml:space="preserve"> </w:t>
      </w:r>
      <w:r w:rsidRPr="005615B4">
        <w:t>let</w:t>
      </w:r>
      <w:r>
        <w:t xml:space="preserve"> </w:t>
      </w:r>
      <w:r w:rsidRPr="005615B4">
        <w:t>od</w:t>
      </w:r>
      <w:r>
        <w:t xml:space="preserve"> </w:t>
      </w:r>
      <w:r w:rsidRPr="005615B4">
        <w:t>jeho</w:t>
      </w:r>
      <w:r>
        <w:t xml:space="preserve"> </w:t>
      </w:r>
      <w:r w:rsidRPr="005615B4">
        <w:t>vzniku,</w:t>
      </w:r>
      <w:r>
        <w:t xml:space="preserve"> </w:t>
      </w:r>
      <w:r w:rsidRPr="005615B4">
        <w:t>pokud</w:t>
      </w:r>
      <w:r>
        <w:t xml:space="preserve"> </w:t>
      </w:r>
      <w:r w:rsidRPr="005615B4">
        <w:t>nedojde</w:t>
      </w:r>
      <w:r>
        <w:t xml:space="preserve"> </w:t>
      </w:r>
      <w:r w:rsidRPr="005615B4">
        <w:t>k</w:t>
      </w:r>
      <w:r>
        <w:t xml:space="preserve"> </w:t>
      </w:r>
      <w:r w:rsidRPr="005615B4">
        <w:t>zahájení</w:t>
      </w:r>
      <w:r>
        <w:t xml:space="preserve"> </w:t>
      </w:r>
      <w:r w:rsidRPr="005615B4">
        <w:t>stavby</w:t>
      </w:r>
      <w:r>
        <w:t xml:space="preserve"> </w:t>
      </w:r>
      <w:r w:rsidRPr="005615B4">
        <w:t>na</w:t>
      </w:r>
      <w:r>
        <w:t xml:space="preserve"> </w:t>
      </w:r>
      <w:r w:rsidRPr="005615B4">
        <w:t>nemovitosti,</w:t>
      </w:r>
      <w:r>
        <w:t xml:space="preserve"> </w:t>
      </w:r>
      <w:r w:rsidRPr="005615B4">
        <w:t>a</w:t>
      </w:r>
      <w:r>
        <w:t xml:space="preserve"> </w:t>
      </w:r>
      <w:r w:rsidRPr="005615B4">
        <w:t>dále</w:t>
      </w:r>
      <w:r>
        <w:t xml:space="preserve"> </w:t>
      </w:r>
      <w:r w:rsidRPr="005615B4">
        <w:t>v</w:t>
      </w:r>
      <w:r>
        <w:t xml:space="preserve"> </w:t>
      </w:r>
      <w:r w:rsidRPr="005615B4">
        <w:t>případě</w:t>
      </w:r>
      <w:r>
        <w:t xml:space="preserve"> </w:t>
      </w:r>
      <w:r w:rsidRPr="005615B4">
        <w:t>trvalého</w:t>
      </w:r>
      <w:r>
        <w:t xml:space="preserve"> </w:t>
      </w:r>
      <w:r w:rsidRPr="005615B4">
        <w:t>odstranění</w:t>
      </w:r>
      <w:r>
        <w:t xml:space="preserve"> </w:t>
      </w:r>
      <w:r w:rsidRPr="005615B4">
        <w:t>příslušné</w:t>
      </w:r>
      <w:r>
        <w:t xml:space="preserve"> </w:t>
      </w:r>
      <w:r w:rsidRPr="005615B4">
        <w:t>soustavy</w:t>
      </w:r>
      <w:r>
        <w:t xml:space="preserve"> </w:t>
      </w:r>
      <w:r w:rsidRPr="005615B4">
        <w:t>nebo</w:t>
      </w:r>
      <w:r>
        <w:t xml:space="preserve"> </w:t>
      </w:r>
      <w:r w:rsidRPr="005615B4">
        <w:t>zařízení</w:t>
      </w:r>
      <w:r>
        <w:t xml:space="preserve"> </w:t>
      </w:r>
      <w:r w:rsidRPr="005615B4">
        <w:t>z</w:t>
      </w:r>
      <w:r>
        <w:t xml:space="preserve"> </w:t>
      </w:r>
      <w:r w:rsidRPr="005615B4">
        <w:t>nemovitosti.</w:t>
      </w:r>
      <w:r>
        <w:t xml:space="preserve"> </w:t>
      </w:r>
      <w:r w:rsidRPr="005615B4">
        <w:t>Oprávněný</w:t>
      </w:r>
      <w:r>
        <w:t xml:space="preserve"> </w:t>
      </w:r>
      <w:r w:rsidRPr="005615B4">
        <w:t>z</w:t>
      </w:r>
      <w:r>
        <w:t xml:space="preserve"> </w:t>
      </w:r>
      <w:r w:rsidRPr="005615B4">
        <w:t>věcného</w:t>
      </w:r>
      <w:r>
        <w:t xml:space="preserve"> </w:t>
      </w:r>
      <w:r w:rsidRPr="005615B4">
        <w:t>břemene</w:t>
      </w:r>
      <w:r>
        <w:t xml:space="preserve"> </w:t>
      </w:r>
      <w:r w:rsidRPr="005615B4">
        <w:t>zajistí</w:t>
      </w:r>
      <w:r>
        <w:t xml:space="preserve"> </w:t>
      </w:r>
      <w:r w:rsidRPr="005615B4">
        <w:t>bez</w:t>
      </w:r>
      <w:r>
        <w:t xml:space="preserve"> </w:t>
      </w:r>
      <w:r w:rsidRPr="005615B4">
        <w:t>zbytečného</w:t>
      </w:r>
      <w:r>
        <w:t xml:space="preserve"> </w:t>
      </w:r>
      <w:r w:rsidRPr="005615B4">
        <w:t>odkladu</w:t>
      </w:r>
      <w:r>
        <w:t xml:space="preserve"> </w:t>
      </w:r>
      <w:r w:rsidRPr="005615B4">
        <w:t>výmaz</w:t>
      </w:r>
      <w:r>
        <w:t xml:space="preserve"> </w:t>
      </w:r>
      <w:r w:rsidRPr="005615B4">
        <w:t>věcného</w:t>
      </w:r>
      <w:r>
        <w:t xml:space="preserve"> </w:t>
      </w:r>
      <w:r w:rsidRPr="005615B4">
        <w:t>břemene</w:t>
      </w:r>
      <w:r>
        <w:t xml:space="preserve"> </w:t>
      </w:r>
      <w:r w:rsidRPr="005615B4">
        <w:t>z</w:t>
      </w:r>
      <w:r>
        <w:t xml:space="preserve"> </w:t>
      </w:r>
      <w:r w:rsidRPr="005615B4">
        <w:t>katastru</w:t>
      </w:r>
      <w:r>
        <w:t xml:space="preserve"> </w:t>
      </w:r>
      <w:r w:rsidRPr="005615B4">
        <w:t>nemovitostí.</w:t>
      </w:r>
    </w:p>
    <w:p w14:paraId="319128A4" w14:textId="346E0869" w:rsidR="00C15607" w:rsidRDefault="00C15607" w:rsidP="001F50E6">
      <w:pPr>
        <w:pStyle w:val="Textparagrafu"/>
        <w:tabs>
          <w:tab w:val="left" w:pos="406"/>
          <w:tab w:val="left" w:pos="840"/>
          <w:tab w:val="left" w:pos="868"/>
        </w:tabs>
        <w:spacing w:after="120"/>
        <w:ind w:firstLine="0"/>
      </w:pPr>
    </w:p>
    <w:p w14:paraId="7C4567BA" w14:textId="77777777" w:rsidR="00D32F5D" w:rsidRDefault="00D32F5D" w:rsidP="001F50E6">
      <w:pPr>
        <w:pStyle w:val="Textparagrafu"/>
        <w:tabs>
          <w:tab w:val="left" w:pos="406"/>
          <w:tab w:val="left" w:pos="840"/>
          <w:tab w:val="left" w:pos="868"/>
        </w:tabs>
        <w:spacing w:after="120"/>
        <w:ind w:firstLine="0"/>
      </w:pPr>
    </w:p>
    <w:p w14:paraId="5FA3393D" w14:textId="77777777" w:rsidR="008B568E" w:rsidRDefault="008B568E" w:rsidP="001F50E6">
      <w:pPr>
        <w:pStyle w:val="Textparagrafu"/>
        <w:tabs>
          <w:tab w:val="left" w:pos="406"/>
          <w:tab w:val="left" w:pos="840"/>
          <w:tab w:val="left" w:pos="868"/>
        </w:tabs>
        <w:spacing w:after="120"/>
        <w:ind w:firstLine="0"/>
        <w:sectPr w:rsidR="008B568E" w:rsidSect="00A03F10">
          <w:footnotePr>
            <w:numStart w:val="3"/>
          </w:footnotePr>
          <w:endnotePr>
            <w:numFmt w:val="decimal"/>
          </w:endnotePr>
          <w:pgSz w:w="11906" w:h="16838"/>
          <w:pgMar w:top="1418" w:right="1418" w:bottom="1418" w:left="1418" w:header="709" w:footer="709" w:gutter="0"/>
          <w:cols w:space="708"/>
          <w:docGrid w:linePitch="360"/>
        </w:sectPr>
      </w:pPr>
    </w:p>
    <w:p w14:paraId="3D7D3004" w14:textId="17B8165E" w:rsidR="0060548E" w:rsidRPr="002E6AEA" w:rsidRDefault="0060548E" w:rsidP="0010420C">
      <w:pPr>
        <w:tabs>
          <w:tab w:val="left" w:pos="851"/>
        </w:tabs>
        <w:spacing w:before="120" w:after="120"/>
        <w:ind w:firstLine="0"/>
        <w:jc w:val="center"/>
        <w:outlineLvl w:val="0"/>
        <w:rPr>
          <w:szCs w:val="24"/>
        </w:rPr>
      </w:pPr>
      <w:r w:rsidRPr="002E6AEA">
        <w:rPr>
          <w:b/>
          <w:szCs w:val="24"/>
        </w:rPr>
        <w:lastRenderedPageBreak/>
        <w:t xml:space="preserve">K části padesáté </w:t>
      </w:r>
      <w:r w:rsidR="002E6AEA" w:rsidRPr="002E6AEA">
        <w:rPr>
          <w:b/>
          <w:szCs w:val="24"/>
        </w:rPr>
        <w:t>devátá</w:t>
      </w:r>
      <w:r w:rsidRPr="002E6AEA">
        <w:rPr>
          <w:b/>
          <w:szCs w:val="24"/>
        </w:rPr>
        <w:t xml:space="preserve"> návrhu zákona – </w:t>
      </w:r>
      <w:r w:rsidRPr="002E6AEA">
        <w:rPr>
          <w:szCs w:val="24"/>
        </w:rPr>
        <w:t>změna zákona</w:t>
      </w:r>
      <w:r w:rsidRPr="002E6AEA">
        <w:t xml:space="preserve"> </w:t>
      </w:r>
      <w:r w:rsidR="00450C69" w:rsidRPr="002E6AEA">
        <w:rPr>
          <w:szCs w:val="24"/>
        </w:rPr>
        <w:t>o podpoře sportu</w:t>
      </w:r>
    </w:p>
    <w:p w14:paraId="06A7D74F" w14:textId="2CE5ED07" w:rsidR="0060548E" w:rsidRPr="002E6AEA" w:rsidRDefault="0060548E" w:rsidP="00450C69">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2E6AEA">
        <w:rPr>
          <w:b/>
          <w:szCs w:val="24"/>
        </w:rPr>
        <w:t>Platné znění</w:t>
      </w:r>
      <w:r w:rsidRPr="002E6AEA">
        <w:rPr>
          <w:szCs w:val="24"/>
        </w:rPr>
        <w:t xml:space="preserve"> zákona č.</w:t>
      </w:r>
      <w:r w:rsidR="00450C69" w:rsidRPr="002E6AEA">
        <w:rPr>
          <w:szCs w:val="24"/>
        </w:rPr>
        <w:t>115</w:t>
      </w:r>
      <w:r w:rsidRPr="002E6AEA">
        <w:rPr>
          <w:szCs w:val="24"/>
        </w:rPr>
        <w:t>/</w:t>
      </w:r>
      <w:r w:rsidR="00450C69" w:rsidRPr="002E6AEA">
        <w:rPr>
          <w:szCs w:val="24"/>
        </w:rPr>
        <w:t>2001</w:t>
      </w:r>
      <w:r w:rsidRPr="002E6AEA">
        <w:rPr>
          <w:szCs w:val="24"/>
        </w:rPr>
        <w:t xml:space="preserve"> Sb., </w:t>
      </w:r>
      <w:r w:rsidR="00450C69" w:rsidRPr="002E6AEA">
        <w:rPr>
          <w:szCs w:val="24"/>
        </w:rPr>
        <w:t>o podpoře sportu</w:t>
      </w:r>
    </w:p>
    <w:p w14:paraId="6FFB9A9C" w14:textId="147E0332" w:rsidR="0060548E" w:rsidRPr="002E6AEA" w:rsidRDefault="003A11D0" w:rsidP="0060548E">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AE4818">
        <w:rPr>
          <w:b/>
          <w:szCs w:val="24"/>
          <w:lang w:eastAsia="en-US"/>
        </w:rPr>
        <w:t>s vyznačením navrhovaných změn a doplnění k 1. lednu 2025</w:t>
      </w:r>
    </w:p>
    <w:p w14:paraId="6C2623B2" w14:textId="77777777" w:rsidR="0060548E" w:rsidRPr="002E6AEA" w:rsidRDefault="0060548E" w:rsidP="0060548E">
      <w:pPr>
        <w:pStyle w:val="Textparagrafu"/>
        <w:tabs>
          <w:tab w:val="left" w:pos="406"/>
          <w:tab w:val="left" w:pos="840"/>
          <w:tab w:val="left" w:pos="868"/>
        </w:tabs>
        <w:spacing w:after="120"/>
        <w:ind w:firstLine="0"/>
        <w:jc w:val="center"/>
      </w:pPr>
      <w:r w:rsidRPr="002E6AEA">
        <w:t>***</w:t>
      </w:r>
    </w:p>
    <w:p w14:paraId="65D0405B" w14:textId="77777777" w:rsidR="002E6AEA" w:rsidRDefault="002E6AEA" w:rsidP="00747208">
      <w:pPr>
        <w:pStyle w:val="Paragraf"/>
        <w:numPr>
          <w:ilvl w:val="0"/>
          <w:numId w:val="29"/>
        </w:numPr>
        <w:spacing w:after="120"/>
      </w:pPr>
      <w:r>
        <w:t>§ 3</w:t>
      </w:r>
    </w:p>
    <w:p w14:paraId="0141BE07" w14:textId="77777777" w:rsidR="002E6AEA" w:rsidRPr="00542BDB" w:rsidRDefault="002E6AEA" w:rsidP="00747208">
      <w:pPr>
        <w:pStyle w:val="Nadpisparagrafu"/>
        <w:numPr>
          <w:ilvl w:val="0"/>
          <w:numId w:val="29"/>
        </w:numPr>
        <w:spacing w:after="120"/>
      </w:pPr>
      <w:r>
        <w:t>Národní sportovní agentura</w:t>
      </w:r>
    </w:p>
    <w:p w14:paraId="5223B349" w14:textId="77777777" w:rsidR="002E6AEA" w:rsidRDefault="002E6AEA" w:rsidP="003A11D0">
      <w:pPr>
        <w:tabs>
          <w:tab w:val="left" w:pos="782"/>
          <w:tab w:val="left" w:pos="851"/>
        </w:tabs>
        <w:spacing w:before="120" w:after="120"/>
        <w:outlineLvl w:val="6"/>
      </w:pPr>
      <w:r>
        <w:t xml:space="preserve">(1) </w:t>
      </w:r>
      <w:r w:rsidRPr="00B4159B">
        <w:t>Zřizuje se Národní sportovní agentura, jako ústřední správní úřad ve věcech podpory sportu, turistiky a sportovní reprezentace státu (dále jen "Agentura").</w:t>
      </w:r>
    </w:p>
    <w:p w14:paraId="3EA1DFD2" w14:textId="77777777" w:rsidR="002E6AEA" w:rsidRDefault="002E6AEA" w:rsidP="003A11D0">
      <w:pPr>
        <w:tabs>
          <w:tab w:val="left" w:pos="782"/>
          <w:tab w:val="left" w:pos="851"/>
        </w:tabs>
        <w:spacing w:before="120" w:after="120"/>
        <w:outlineLvl w:val="6"/>
      </w:pPr>
      <w:r>
        <w:t xml:space="preserve">(2) Agentura je organizační složkou státu </w:t>
      </w:r>
      <w:r w:rsidRPr="009E3706">
        <w:rPr>
          <w:strike/>
        </w:rPr>
        <w:t>a účetní jednotkou</w:t>
      </w:r>
      <w:r w:rsidRPr="009E3706">
        <w:t>.</w:t>
      </w:r>
    </w:p>
    <w:p w14:paraId="63145A99" w14:textId="77777777" w:rsidR="002E6AEA" w:rsidRDefault="002E6AEA" w:rsidP="003A11D0">
      <w:pPr>
        <w:tabs>
          <w:tab w:val="left" w:pos="782"/>
          <w:tab w:val="left" w:pos="851"/>
        </w:tabs>
        <w:spacing w:before="120" w:after="120"/>
        <w:outlineLvl w:val="6"/>
      </w:pPr>
      <w:r>
        <w:t>(3) Sídlem Agentury je Praha.</w:t>
      </w:r>
    </w:p>
    <w:p w14:paraId="1EE47B39" w14:textId="77777777" w:rsidR="002E6AEA" w:rsidRDefault="002E6AEA" w:rsidP="003A11D0">
      <w:pPr>
        <w:tabs>
          <w:tab w:val="left" w:pos="782"/>
          <w:tab w:val="left" w:pos="851"/>
        </w:tabs>
        <w:spacing w:before="120" w:after="120"/>
        <w:outlineLvl w:val="6"/>
      </w:pPr>
      <w:r>
        <w:t xml:space="preserve">(4) </w:t>
      </w:r>
      <w:r w:rsidRPr="009E3706">
        <w:t>V čele Agentury stojí rada Agentury (dále jen "rada") složená z předsedy Agentury, místopředsedy Agentury a člena rady. Za Agenturu jedná navenek předseda Agentury. Dalším orgánem Agentury je dozorčí komise Agentury (dále jen "dozorčí komise").</w:t>
      </w:r>
    </w:p>
    <w:p w14:paraId="3E57F2CE" w14:textId="77777777" w:rsidR="002E6AEA" w:rsidRDefault="002E6AEA" w:rsidP="00992796">
      <w:pPr>
        <w:pStyle w:val="Paragraf"/>
        <w:numPr>
          <w:ilvl w:val="0"/>
          <w:numId w:val="39"/>
        </w:numPr>
        <w:spacing w:after="120"/>
      </w:pPr>
      <w:r>
        <w:t>***</w:t>
      </w:r>
    </w:p>
    <w:p w14:paraId="4F0A8C0C" w14:textId="77777777" w:rsidR="002E6AEA" w:rsidRDefault="002E6AEA" w:rsidP="00992796">
      <w:pPr>
        <w:pStyle w:val="Paragraf"/>
        <w:numPr>
          <w:ilvl w:val="0"/>
          <w:numId w:val="39"/>
        </w:numPr>
        <w:spacing w:after="120"/>
      </w:pPr>
      <w:r>
        <w:t>§ 6b</w:t>
      </w:r>
    </w:p>
    <w:p w14:paraId="62AB7F93" w14:textId="77777777" w:rsidR="002E6AEA" w:rsidRPr="00542BDB" w:rsidRDefault="002E6AEA" w:rsidP="00747208">
      <w:pPr>
        <w:pStyle w:val="Nadpisparagrafu"/>
        <w:numPr>
          <w:ilvl w:val="0"/>
          <w:numId w:val="29"/>
        </w:numPr>
        <w:spacing w:after="120"/>
      </w:pPr>
      <w:r>
        <w:t>Podpora sportu ze státního rozpočtu</w:t>
      </w:r>
    </w:p>
    <w:p w14:paraId="684A14B9" w14:textId="77777777" w:rsidR="002E6AEA" w:rsidRDefault="002E6AEA" w:rsidP="003A11D0">
      <w:pPr>
        <w:tabs>
          <w:tab w:val="left" w:pos="782"/>
          <w:tab w:val="left" w:pos="851"/>
        </w:tabs>
        <w:spacing w:before="120" w:after="120"/>
        <w:outlineLvl w:val="6"/>
      </w:pPr>
      <w:r>
        <w:t xml:space="preserve">(1) </w:t>
      </w:r>
      <w:r w:rsidRPr="009D435D">
        <w:t>Agentura poskytuje ze státního rozpočtu podporu sportu, s výjimkou sportu školního a vysokoškolského, formou dotace</w:t>
      </w:r>
    </w:p>
    <w:p w14:paraId="7D09F3BD" w14:textId="77777777" w:rsidR="002E6AEA" w:rsidRPr="006119BF" w:rsidRDefault="002E6AEA" w:rsidP="00747208">
      <w:pPr>
        <w:spacing w:before="0"/>
        <w:ind w:left="425" w:hanging="425"/>
        <w:outlineLvl w:val="7"/>
      </w:pPr>
      <w:r>
        <w:t>a)</w:t>
      </w:r>
      <w:r>
        <w:tab/>
        <w:t xml:space="preserve">sportovním organizacím na podporu sportu, zejména na podporu sportu dětí a mládeže, sportu dospělých, sportu pro všechny, sportu zdravotně postižených osob, a na podporu úspěšných sportovních reprezentantů </w:t>
      </w:r>
      <w:r w:rsidRPr="006119BF">
        <w:t xml:space="preserve">České republiky, zahrnující též výdaje na zajištění činnosti sportovních organizací, na pořízení </w:t>
      </w:r>
      <w:r w:rsidRPr="006119BF">
        <w:rPr>
          <w:strike/>
        </w:rPr>
        <w:t>nebo technické zhodnocení hmotného a nehmotného dlouhodobého majetku</w:t>
      </w:r>
      <w:r w:rsidRPr="006119BF">
        <w:t xml:space="preserve"> </w:t>
      </w:r>
      <w:r w:rsidRPr="006119BF">
        <w:rPr>
          <w:b/>
        </w:rPr>
        <w:t>hmotného nebo nehmotného aktiva nebo na</w:t>
      </w:r>
      <w:r w:rsidRPr="006119BF">
        <w:t xml:space="preserve"> </w:t>
      </w:r>
      <w:r w:rsidRPr="006119BF">
        <w:rPr>
          <w:b/>
        </w:rPr>
        <w:t>následné pořizovací výdaje</w:t>
      </w:r>
      <w:r w:rsidRPr="006119BF">
        <w:t xml:space="preserve"> </w:t>
      </w:r>
      <w:r w:rsidRPr="006119BF">
        <w:rPr>
          <w:b/>
        </w:rPr>
        <w:t>tohoto</w:t>
      </w:r>
      <w:r w:rsidRPr="006119BF">
        <w:t xml:space="preserve"> </w:t>
      </w:r>
      <w:r w:rsidRPr="006119BF">
        <w:rPr>
          <w:b/>
        </w:rPr>
        <w:t>aktiva</w:t>
      </w:r>
      <w:r w:rsidRPr="006119BF">
        <w:t xml:space="preserve"> a na pořádání významných sportovních akcí a významných sportovních akcí mimořádné důležitosti podle § 6c,</w:t>
      </w:r>
    </w:p>
    <w:p w14:paraId="01D8A781" w14:textId="77777777" w:rsidR="002E6AEA" w:rsidRPr="006119BF" w:rsidRDefault="002E6AEA" w:rsidP="00747208">
      <w:pPr>
        <w:spacing w:before="0"/>
        <w:ind w:left="425" w:hanging="425"/>
        <w:outlineLvl w:val="7"/>
      </w:pPr>
      <w:r w:rsidRPr="006119BF">
        <w:t>b)</w:t>
      </w:r>
      <w:r w:rsidRPr="006119BF">
        <w:tab/>
        <w:t xml:space="preserve">osobám, které nejsou sportovní organizací, na pořízení </w:t>
      </w:r>
      <w:r w:rsidRPr="006119BF">
        <w:rPr>
          <w:strike/>
        </w:rPr>
        <w:t>nebo technické zhodnocení</w:t>
      </w:r>
      <w:r w:rsidRPr="006119BF">
        <w:t xml:space="preserve"> </w:t>
      </w:r>
      <w:r w:rsidRPr="006119BF">
        <w:rPr>
          <w:strike/>
        </w:rPr>
        <w:t>hmotného a nehmotného</w:t>
      </w:r>
      <w:r w:rsidRPr="006119BF">
        <w:t xml:space="preserve"> </w:t>
      </w:r>
      <w:r w:rsidRPr="006119BF">
        <w:rPr>
          <w:strike/>
        </w:rPr>
        <w:t>dlouhodobého</w:t>
      </w:r>
      <w:r w:rsidRPr="006119BF">
        <w:t xml:space="preserve"> </w:t>
      </w:r>
      <w:r w:rsidRPr="006119BF">
        <w:rPr>
          <w:strike/>
        </w:rPr>
        <w:t>majetku</w:t>
      </w:r>
      <w:r w:rsidRPr="006119BF">
        <w:t xml:space="preserve"> </w:t>
      </w:r>
      <w:r w:rsidRPr="006119BF">
        <w:rPr>
          <w:b/>
        </w:rPr>
        <w:t>hmotného nebo nehmotného aktiva nebo na následné pořizovací výdaje tohoto aktiva</w:t>
      </w:r>
      <w:r w:rsidRPr="006119BF">
        <w:t xml:space="preserve">, </w:t>
      </w:r>
    </w:p>
    <w:p w14:paraId="6F9EAD7E" w14:textId="77777777" w:rsidR="002E6AEA" w:rsidRDefault="002E6AEA" w:rsidP="00747208">
      <w:pPr>
        <w:spacing w:before="0"/>
        <w:ind w:left="425" w:hanging="425"/>
        <w:outlineLvl w:val="7"/>
      </w:pPr>
      <w:r>
        <w:t>c)</w:t>
      </w:r>
      <w:r>
        <w:tab/>
        <w:t>osobám, které nejsou sportovní organizací, na pořádání významných sportovních akcí mimořádné důležitosti podle § 6c.</w:t>
      </w:r>
    </w:p>
    <w:p w14:paraId="3572AC5E" w14:textId="77777777" w:rsidR="002E6AEA" w:rsidRDefault="002E6AEA" w:rsidP="003A11D0">
      <w:pPr>
        <w:tabs>
          <w:tab w:val="left" w:pos="782"/>
          <w:tab w:val="left" w:pos="851"/>
        </w:tabs>
        <w:spacing w:before="120" w:after="120"/>
        <w:outlineLvl w:val="6"/>
      </w:pPr>
      <w:r>
        <w:t>(2) Podporu sportu podle odstavce 1 lze poskytnout pouze žadateli zapsanému v rejstříku. Agentura neposkytne podporu sportu podle odstavce 1, pokud</w:t>
      </w:r>
    </w:p>
    <w:p w14:paraId="0B4B6ACB" w14:textId="77777777" w:rsidR="002E6AEA" w:rsidRDefault="002E6AEA" w:rsidP="00747208">
      <w:pPr>
        <w:spacing w:before="0"/>
        <w:ind w:left="425" w:hanging="425"/>
        <w:outlineLvl w:val="7"/>
      </w:pPr>
      <w:r>
        <w:t xml:space="preserve">a) </w:t>
      </w:r>
      <w:r>
        <w:tab/>
        <w:t xml:space="preserve">údaje žadatele uvedené v rejstříku neodpovídají skutečnosti, </w:t>
      </w:r>
    </w:p>
    <w:p w14:paraId="674C9CA6" w14:textId="77777777" w:rsidR="002E6AEA" w:rsidRDefault="002E6AEA" w:rsidP="00747208">
      <w:pPr>
        <w:spacing w:before="0"/>
        <w:ind w:left="425" w:hanging="425"/>
        <w:outlineLvl w:val="7"/>
      </w:pPr>
      <w:r>
        <w:t xml:space="preserve">b) </w:t>
      </w:r>
      <w:r>
        <w:tab/>
        <w:t>žadatel v uplynulých 3 letech</w:t>
      </w:r>
    </w:p>
    <w:p w14:paraId="01228146" w14:textId="77777777" w:rsidR="002E6AEA" w:rsidRDefault="002E6AEA" w:rsidP="00747208">
      <w:pPr>
        <w:tabs>
          <w:tab w:val="left" w:pos="782"/>
          <w:tab w:val="left" w:pos="851"/>
        </w:tabs>
        <w:spacing w:before="0"/>
        <w:ind w:left="850" w:hanging="425"/>
        <w:outlineLvl w:val="6"/>
      </w:pPr>
      <w:r>
        <w:t xml:space="preserve">1. </w:t>
      </w:r>
      <w:r>
        <w:tab/>
        <w:t>opakovaně nebo závažným způsobem porušil podmínky čerpání podpory poskytnuté ze státního rozpočtu podle tohoto zákona,</w:t>
      </w:r>
    </w:p>
    <w:p w14:paraId="23C5FC4D" w14:textId="77777777" w:rsidR="002E6AEA" w:rsidRDefault="002E6AEA" w:rsidP="00747208">
      <w:pPr>
        <w:tabs>
          <w:tab w:val="left" w:pos="782"/>
          <w:tab w:val="left" w:pos="851"/>
        </w:tabs>
        <w:spacing w:before="0"/>
        <w:ind w:left="850" w:hanging="425"/>
        <w:outlineLvl w:val="6"/>
      </w:pPr>
      <w:r>
        <w:t xml:space="preserve">2. </w:t>
      </w:r>
      <w:r>
        <w:tab/>
        <w:t>opakovaně nebo závažným způsobem porušil pravidla boje proti dopingu,</w:t>
      </w:r>
    </w:p>
    <w:p w14:paraId="520E973A" w14:textId="2F3680AC" w:rsidR="002E6AEA" w:rsidRDefault="002E6AEA" w:rsidP="00747208">
      <w:pPr>
        <w:tabs>
          <w:tab w:val="left" w:pos="782"/>
          <w:tab w:val="left" w:pos="851"/>
        </w:tabs>
        <w:spacing w:before="0"/>
        <w:ind w:left="850" w:hanging="425"/>
        <w:outlineLvl w:val="6"/>
      </w:pPr>
      <w:r>
        <w:lastRenderedPageBreak/>
        <w:t xml:space="preserve">3. </w:t>
      </w:r>
      <w:r>
        <w:tab/>
        <w:t>závažným způsobem ohrozil naplňování programu prevence ovlivňování výsledků sportovních soutěží, nebo</w:t>
      </w:r>
    </w:p>
    <w:p w14:paraId="14CC5DAC" w14:textId="77777777" w:rsidR="002E6AEA" w:rsidRDefault="002E6AEA" w:rsidP="00747208">
      <w:pPr>
        <w:spacing w:before="0"/>
        <w:ind w:left="425" w:hanging="425"/>
        <w:outlineLvl w:val="7"/>
      </w:pPr>
      <w:r>
        <w:t xml:space="preserve">c) </w:t>
      </w:r>
      <w:r>
        <w:tab/>
        <w:t xml:space="preserve">žadatel nebo stávající člen jeho statutárního orgánu byl pravomocně odsouzen pro trestný čin spáchaný v souvislosti s činností v oblasti sportu nebo pro trestný čin dotačního podvodu, pokud se na něj nehledí, jako by nebyl odsouzen. </w:t>
      </w:r>
    </w:p>
    <w:p w14:paraId="7F323B8A" w14:textId="77777777" w:rsidR="002E6AEA" w:rsidRDefault="002E6AEA" w:rsidP="003A11D0">
      <w:pPr>
        <w:tabs>
          <w:tab w:val="left" w:pos="782"/>
          <w:tab w:val="left" w:pos="851"/>
        </w:tabs>
        <w:spacing w:before="120" w:after="120"/>
        <w:outlineLvl w:val="6"/>
      </w:pPr>
      <w:r>
        <w:t>(3) Agentura může uzavřít se sportovní organizací smlouvu nebo memorandum o dlouhodobé spolupráci k realizaci víceletého projektu; tím není dotčeno ustanovení § 14 odst. 1 rozpočtových pravidel.</w:t>
      </w:r>
    </w:p>
    <w:p w14:paraId="452315D8" w14:textId="77777777" w:rsidR="002E6AEA" w:rsidRDefault="002E6AEA" w:rsidP="003A11D0">
      <w:pPr>
        <w:tabs>
          <w:tab w:val="left" w:pos="782"/>
          <w:tab w:val="left" w:pos="851"/>
        </w:tabs>
        <w:spacing w:before="120" w:after="120"/>
        <w:outlineLvl w:val="6"/>
      </w:pPr>
      <w:r>
        <w:t>(4) Okruh příjemců a podmínky poskytnutí podpory podle odstavce 1, včetně délky časového období, na něž je program na poskytování podpory vyhlášen, stanoví Agentura. Agentura při stanovení podmínek podpory není oprávněna vyloučit možnost jejího dalšího poskytnutí příjemcem podpory konečným příjemcům postupem podle odstavce 5.</w:t>
      </w:r>
    </w:p>
    <w:p w14:paraId="6E09CAEB" w14:textId="77777777" w:rsidR="002E6AEA" w:rsidRDefault="002E6AEA" w:rsidP="003A11D0">
      <w:pPr>
        <w:tabs>
          <w:tab w:val="left" w:pos="782"/>
          <w:tab w:val="left" w:pos="851"/>
        </w:tabs>
        <w:spacing w:before="120" w:after="120"/>
        <w:outlineLvl w:val="6"/>
      </w:pPr>
      <w:r>
        <w:t>(5) Sportovní organizace, která je příjemcem podpory sportu podle odstavce 1, může tuto podporu v souladu s podmínkami pro její použití stanovenými v programu dále poskytnout sportovní organizaci, která je v ní sdružena</w:t>
      </w:r>
      <w:r>
        <w:rPr>
          <w:rStyle w:val="Znakapoznpodarou"/>
        </w:rPr>
        <w:footnoteReference w:customMarkFollows="1" w:id="395"/>
        <w:t>6)</w:t>
      </w:r>
      <w:r>
        <w:t xml:space="preserve">, jako konečnému příjemci podpory. Příjemce podpory sportu podle odstavce 1 je povinen uvést v žádosti o podporu sportu podle odstavce 1 všechny konečné příjemce a účel, na který má být tato podpora poskytnuta jednotlivým konečným příjemcům; dále je povinen zavázat konečného příjemce k plnění podmínek poskytnuté podpory. Za plnění podmínek poskytnuté podpory Agentuře odpovídá příjemce podpory sportu podle odstavce 1. </w:t>
      </w:r>
      <w:r w:rsidRPr="006119BF">
        <w:t>Konečný příjemce poskytne Agentuře součinnost při kontrole podle § 3a odst. 1 písm. d).</w:t>
      </w:r>
    </w:p>
    <w:p w14:paraId="08BA9635" w14:textId="77777777" w:rsidR="002E6AEA" w:rsidRDefault="002E6AEA" w:rsidP="003A11D0">
      <w:pPr>
        <w:tabs>
          <w:tab w:val="left" w:pos="782"/>
          <w:tab w:val="left" w:pos="851"/>
        </w:tabs>
        <w:spacing w:before="120" w:after="120"/>
        <w:outlineLvl w:val="6"/>
      </w:pPr>
      <w:r>
        <w:t>(6) Výdaje na zajištění činnosti sportovních organizací nejsou projektem. Podmínky pro poskytnutí dotace na úhradu výdajů na zajištění činnosti sportovních organizací stanoví Agentura v programu. Agentura může poskytnout dotaci pro zajištění činnosti sportovní organizace podle předem stanovených kritérií.</w:t>
      </w:r>
    </w:p>
    <w:p w14:paraId="7921140A" w14:textId="77777777" w:rsidR="002E6AEA" w:rsidRDefault="002E6AEA" w:rsidP="003A11D0">
      <w:pPr>
        <w:tabs>
          <w:tab w:val="left" w:pos="782"/>
          <w:tab w:val="left" w:pos="851"/>
        </w:tabs>
        <w:spacing w:before="120" w:after="120"/>
        <w:outlineLvl w:val="6"/>
      </w:pPr>
      <w:r w:rsidRPr="006119BF">
        <w:t>(7) Agentura vyvíjí průběžné úsilí k iniciativní přípravě legislativních i nelegislativních návrhů i jiných finančních nástrojů pro podporu sportu, než jsou dotace ze státního rozpočtu podle odstavců 1 až 6; každý připravený zdůvodněný návrh podá Agentura předsedovi vlády.</w:t>
      </w:r>
    </w:p>
    <w:p w14:paraId="4B0FF4E5" w14:textId="77777777" w:rsidR="00450C69" w:rsidRDefault="00450C69" w:rsidP="00CB5381">
      <w:pPr>
        <w:pStyle w:val="Textparagrafu"/>
        <w:tabs>
          <w:tab w:val="left" w:pos="406"/>
          <w:tab w:val="left" w:pos="840"/>
          <w:tab w:val="left" w:pos="868"/>
        </w:tabs>
        <w:spacing w:after="120"/>
        <w:ind w:firstLine="0"/>
        <w:sectPr w:rsidR="00450C69" w:rsidSect="00554E2B">
          <w:footnotePr>
            <w:numStart w:val="3"/>
          </w:footnotePr>
          <w:endnotePr>
            <w:numFmt w:val="decimal"/>
          </w:endnotePr>
          <w:pgSz w:w="11906" w:h="16838"/>
          <w:pgMar w:top="1418" w:right="1418" w:bottom="1418" w:left="1418" w:header="709" w:footer="709" w:gutter="0"/>
          <w:cols w:space="708"/>
          <w:docGrid w:linePitch="360"/>
        </w:sectPr>
      </w:pPr>
    </w:p>
    <w:p w14:paraId="418F35F3" w14:textId="0DED1557" w:rsidR="00450C69" w:rsidRPr="00CF7D27" w:rsidRDefault="00450C69" w:rsidP="003A11D0">
      <w:pPr>
        <w:tabs>
          <w:tab w:val="left" w:pos="851"/>
        </w:tabs>
        <w:spacing w:before="120" w:after="120"/>
        <w:ind w:firstLine="0"/>
        <w:jc w:val="center"/>
        <w:outlineLvl w:val="0"/>
        <w:rPr>
          <w:szCs w:val="24"/>
        </w:rPr>
      </w:pPr>
      <w:r w:rsidRPr="00CF7D27">
        <w:rPr>
          <w:b/>
          <w:szCs w:val="24"/>
        </w:rPr>
        <w:lastRenderedPageBreak/>
        <w:t xml:space="preserve">K části </w:t>
      </w:r>
      <w:r w:rsidR="00747208">
        <w:rPr>
          <w:b/>
          <w:szCs w:val="24"/>
        </w:rPr>
        <w:t>šedesáté</w:t>
      </w:r>
      <w:r w:rsidRPr="00CF7D27">
        <w:rPr>
          <w:b/>
          <w:szCs w:val="24"/>
        </w:rPr>
        <w:t xml:space="preserve"> návrhu zákona – </w:t>
      </w:r>
      <w:r w:rsidRPr="00CF7D27">
        <w:rPr>
          <w:szCs w:val="24"/>
        </w:rPr>
        <w:t>změna zákona</w:t>
      </w:r>
      <w:r w:rsidRPr="00CF7D27">
        <w:t xml:space="preserve"> </w:t>
      </w:r>
      <w:r w:rsidRPr="00450C69">
        <w:rPr>
          <w:szCs w:val="24"/>
        </w:rPr>
        <w:t>o soudních exekutorech a exekuční činnosti</w:t>
      </w:r>
      <w:r>
        <w:rPr>
          <w:szCs w:val="24"/>
        </w:rPr>
        <w:t xml:space="preserve"> </w:t>
      </w:r>
      <w:r w:rsidRPr="00450C69">
        <w:rPr>
          <w:szCs w:val="24"/>
        </w:rPr>
        <w:t>(exekuční řád)</w:t>
      </w:r>
      <w:r>
        <w:rPr>
          <w:szCs w:val="24"/>
        </w:rPr>
        <w:t xml:space="preserve"> </w:t>
      </w:r>
      <w:r w:rsidRPr="00450C69">
        <w:rPr>
          <w:szCs w:val="24"/>
        </w:rPr>
        <w:t>a o změně dalších zákonů</w:t>
      </w:r>
    </w:p>
    <w:p w14:paraId="2E157169" w14:textId="5241AFD5" w:rsidR="00450C69" w:rsidRPr="00450C69" w:rsidRDefault="00450C69" w:rsidP="00450C69">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CF7D27">
        <w:rPr>
          <w:b/>
          <w:szCs w:val="24"/>
        </w:rPr>
        <w:t>Platné znění</w:t>
      </w:r>
      <w:r w:rsidRPr="00CF7D27">
        <w:rPr>
          <w:szCs w:val="24"/>
        </w:rPr>
        <w:t xml:space="preserve"> zákona č.</w:t>
      </w:r>
      <w:r>
        <w:rPr>
          <w:szCs w:val="24"/>
        </w:rPr>
        <w:t>120</w:t>
      </w:r>
      <w:r w:rsidRPr="00CF7D27">
        <w:rPr>
          <w:szCs w:val="24"/>
        </w:rPr>
        <w:t>/</w:t>
      </w:r>
      <w:r>
        <w:rPr>
          <w:szCs w:val="24"/>
        </w:rPr>
        <w:t>2001</w:t>
      </w:r>
      <w:r w:rsidRPr="00CF7D27">
        <w:rPr>
          <w:szCs w:val="24"/>
        </w:rPr>
        <w:t xml:space="preserve"> Sb., </w:t>
      </w:r>
      <w:r w:rsidRPr="00450C69">
        <w:rPr>
          <w:szCs w:val="24"/>
        </w:rPr>
        <w:t>o soudních exekutorech a exekuční činnosti</w:t>
      </w:r>
      <w:r>
        <w:rPr>
          <w:szCs w:val="24"/>
        </w:rPr>
        <w:t xml:space="preserve"> </w:t>
      </w:r>
      <w:r w:rsidRPr="00450C69">
        <w:rPr>
          <w:szCs w:val="24"/>
        </w:rPr>
        <w:t>(exekuční řád)</w:t>
      </w:r>
      <w:r>
        <w:rPr>
          <w:szCs w:val="24"/>
        </w:rPr>
        <w:t xml:space="preserve"> </w:t>
      </w:r>
      <w:r w:rsidRPr="00450C69">
        <w:rPr>
          <w:szCs w:val="24"/>
        </w:rPr>
        <w:t>a o změně dalších zákonů</w:t>
      </w:r>
    </w:p>
    <w:p w14:paraId="07ACA396" w14:textId="59A5B848" w:rsidR="00450C69" w:rsidRPr="00CF7D27" w:rsidRDefault="009B3F94" w:rsidP="00450C69">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AE4818">
        <w:rPr>
          <w:b/>
          <w:szCs w:val="24"/>
          <w:lang w:eastAsia="en-US"/>
        </w:rPr>
        <w:t>s vyznačením navrhovaných změn a doplnění k 1. lednu 2025</w:t>
      </w:r>
    </w:p>
    <w:p w14:paraId="072AA1C6" w14:textId="5EAB827A" w:rsidR="005D11A8" w:rsidRPr="00774FFC" w:rsidRDefault="00450C69" w:rsidP="00BF323B">
      <w:pPr>
        <w:pStyle w:val="Textparagrafu"/>
        <w:tabs>
          <w:tab w:val="left" w:pos="392"/>
          <w:tab w:val="left" w:pos="840"/>
          <w:tab w:val="left" w:pos="868"/>
        </w:tabs>
        <w:spacing w:after="120"/>
        <w:ind w:firstLine="0"/>
        <w:jc w:val="center"/>
      </w:pPr>
      <w:r w:rsidRPr="00CF7D27">
        <w:t>***</w:t>
      </w:r>
    </w:p>
    <w:p w14:paraId="098CE001" w14:textId="77777777" w:rsidR="005D11A8" w:rsidRPr="00774FFC" w:rsidRDefault="005D11A8" w:rsidP="005D11A8">
      <w:pPr>
        <w:pStyle w:val="Textparagrafu"/>
        <w:tabs>
          <w:tab w:val="left" w:pos="392"/>
          <w:tab w:val="left" w:pos="840"/>
        </w:tabs>
        <w:spacing w:after="120"/>
        <w:ind w:firstLine="0"/>
        <w:jc w:val="center"/>
      </w:pPr>
      <w:r w:rsidRPr="00774FFC">
        <w:t>§</w:t>
      </w:r>
      <w:r>
        <w:t xml:space="preserve"> </w:t>
      </w:r>
      <w:r w:rsidRPr="00774FFC">
        <w:t>66</w:t>
      </w:r>
    </w:p>
    <w:p w14:paraId="7C7A4D3E" w14:textId="77777777" w:rsidR="005D11A8" w:rsidRPr="00774FFC" w:rsidRDefault="005D11A8" w:rsidP="009B3F94">
      <w:pPr>
        <w:pStyle w:val="Textparagrafu"/>
        <w:tabs>
          <w:tab w:val="left" w:pos="392"/>
          <w:tab w:val="left" w:pos="840"/>
        </w:tabs>
        <w:spacing w:before="120" w:after="120"/>
      </w:pPr>
      <w:r w:rsidRPr="00774FFC">
        <w:t>(1)</w:t>
      </w:r>
      <w:r>
        <w:t xml:space="preserve"> </w:t>
      </w:r>
      <w:r w:rsidRPr="00774FFC">
        <w:t>Zjistí-li</w:t>
      </w:r>
      <w:r>
        <w:t xml:space="preserve"> </w:t>
      </w:r>
      <w:r w:rsidRPr="00774FFC">
        <w:t>exekutor,</w:t>
      </w:r>
      <w:r>
        <w:t xml:space="preserve"> </w:t>
      </w:r>
      <w:r w:rsidRPr="00774FFC">
        <w:t>že</w:t>
      </w:r>
      <w:r>
        <w:t xml:space="preserve"> </w:t>
      </w:r>
      <w:r w:rsidRPr="00774FFC">
        <w:t>ke</w:t>
      </w:r>
      <w:r>
        <w:t xml:space="preserve"> </w:t>
      </w:r>
      <w:r w:rsidRPr="00774FFC">
        <w:t>dni</w:t>
      </w:r>
      <w:r>
        <w:t xml:space="preserve"> </w:t>
      </w:r>
      <w:r w:rsidRPr="00774FFC">
        <w:t>vydání</w:t>
      </w:r>
      <w:r>
        <w:t xml:space="preserve"> </w:t>
      </w:r>
      <w:r w:rsidRPr="00774FFC">
        <w:t>exekučního</w:t>
      </w:r>
      <w:r>
        <w:t xml:space="preserve"> </w:t>
      </w:r>
      <w:r w:rsidRPr="00774FFC">
        <w:t>příkazu</w:t>
      </w:r>
      <w:r>
        <w:t xml:space="preserve"> </w:t>
      </w:r>
      <w:r w:rsidRPr="00774FFC">
        <w:t>k</w:t>
      </w:r>
      <w:r>
        <w:t xml:space="preserve"> </w:t>
      </w:r>
      <w:r w:rsidRPr="00774FFC">
        <w:t>provedení</w:t>
      </w:r>
      <w:r>
        <w:t xml:space="preserve"> </w:t>
      </w:r>
      <w:r w:rsidRPr="00774FFC">
        <w:t>exekuce</w:t>
      </w:r>
      <w:r>
        <w:t xml:space="preserve"> </w:t>
      </w:r>
      <w:r w:rsidRPr="00774FFC">
        <w:t>prodejem</w:t>
      </w:r>
      <w:r>
        <w:t xml:space="preserve"> </w:t>
      </w:r>
      <w:r w:rsidRPr="00774FFC">
        <w:t>movitých</w:t>
      </w:r>
      <w:r>
        <w:t xml:space="preserve"> </w:t>
      </w:r>
      <w:r w:rsidRPr="00774FFC">
        <w:t>věcí</w:t>
      </w:r>
      <w:r>
        <w:t xml:space="preserve"> </w:t>
      </w:r>
      <w:r w:rsidRPr="00774FFC">
        <w:t>není</w:t>
      </w:r>
      <w:r>
        <w:t xml:space="preserve"> </w:t>
      </w:r>
      <w:r w:rsidRPr="00774FFC">
        <w:t>proti</w:t>
      </w:r>
      <w:r>
        <w:t xml:space="preserve"> </w:t>
      </w:r>
      <w:r w:rsidRPr="00774FFC">
        <w:t>povinnému,</w:t>
      </w:r>
      <w:r>
        <w:t xml:space="preserve"> </w:t>
      </w:r>
      <w:r w:rsidRPr="00774FFC">
        <w:t>který</w:t>
      </w:r>
      <w:r>
        <w:t xml:space="preserve"> </w:t>
      </w:r>
      <w:r w:rsidRPr="00774FFC">
        <w:t>je</w:t>
      </w:r>
      <w:r>
        <w:t xml:space="preserve"> </w:t>
      </w:r>
      <w:r w:rsidRPr="00774FFC">
        <w:t>fyzickou</w:t>
      </w:r>
      <w:r>
        <w:t xml:space="preserve"> </w:t>
      </w:r>
      <w:r w:rsidRPr="00774FFC">
        <w:t>osobou,</w:t>
      </w:r>
      <w:r>
        <w:t xml:space="preserve"> </w:t>
      </w:r>
      <w:r w:rsidRPr="00774FFC">
        <w:t>vedena</w:t>
      </w:r>
      <w:r>
        <w:t xml:space="preserve"> </w:t>
      </w:r>
      <w:r w:rsidRPr="00774FFC">
        <w:t>exekuce</w:t>
      </w:r>
      <w:r>
        <w:t xml:space="preserve"> </w:t>
      </w:r>
      <w:r w:rsidRPr="00774FFC">
        <w:t>prodejem</w:t>
      </w:r>
      <w:r>
        <w:t xml:space="preserve"> </w:t>
      </w:r>
      <w:r w:rsidRPr="00774FFC">
        <w:t>movitých</w:t>
      </w:r>
      <w:r>
        <w:t xml:space="preserve"> </w:t>
      </w:r>
      <w:r w:rsidRPr="00774FFC">
        <w:t>věcí,</w:t>
      </w:r>
      <w:r>
        <w:t xml:space="preserve"> </w:t>
      </w:r>
      <w:r w:rsidRPr="00774FFC">
        <w:t>sepíše</w:t>
      </w:r>
      <w:r>
        <w:t xml:space="preserve"> </w:t>
      </w:r>
      <w:r w:rsidRPr="00774FFC">
        <w:t>všechny</w:t>
      </w:r>
      <w:r>
        <w:t xml:space="preserve"> </w:t>
      </w:r>
      <w:r w:rsidRPr="00774FFC">
        <w:t>movité</w:t>
      </w:r>
      <w:r>
        <w:t xml:space="preserve"> </w:t>
      </w:r>
      <w:r w:rsidRPr="00774FFC">
        <w:t>věci,</w:t>
      </w:r>
      <w:r>
        <w:t xml:space="preserve"> </w:t>
      </w:r>
      <w:r w:rsidRPr="00774FFC">
        <w:t>kterých</w:t>
      </w:r>
      <w:r>
        <w:t xml:space="preserve"> </w:t>
      </w:r>
      <w:r w:rsidRPr="00774FFC">
        <w:t>se</w:t>
      </w:r>
      <w:r>
        <w:t xml:space="preserve"> </w:t>
      </w:r>
      <w:r w:rsidRPr="00774FFC">
        <w:t>může</w:t>
      </w:r>
      <w:r>
        <w:t xml:space="preserve"> </w:t>
      </w:r>
      <w:r w:rsidRPr="00774FFC">
        <w:t>týkat</w:t>
      </w:r>
      <w:r>
        <w:t xml:space="preserve"> </w:t>
      </w:r>
      <w:r w:rsidRPr="00774FFC">
        <w:t>exekuce</w:t>
      </w:r>
      <w:r>
        <w:t xml:space="preserve"> </w:t>
      </w:r>
      <w:r w:rsidRPr="00774FFC">
        <w:t>prodejem</w:t>
      </w:r>
      <w:r>
        <w:t xml:space="preserve"> </w:t>
      </w:r>
      <w:r w:rsidRPr="00774FFC">
        <w:t>movitých</w:t>
      </w:r>
      <w:r>
        <w:t xml:space="preserve"> </w:t>
      </w:r>
      <w:r w:rsidRPr="00774FFC">
        <w:t>věcí</w:t>
      </w:r>
      <w:r>
        <w:t xml:space="preserve"> </w:t>
      </w:r>
      <w:r w:rsidRPr="00774FFC">
        <w:t>podle</w:t>
      </w:r>
      <w:r>
        <w:t xml:space="preserve"> </w:t>
      </w:r>
      <w:r w:rsidRPr="00774FFC">
        <w:t>občanského</w:t>
      </w:r>
      <w:r>
        <w:t xml:space="preserve"> </w:t>
      </w:r>
      <w:r w:rsidRPr="00774FFC">
        <w:t>soudního</w:t>
      </w:r>
      <w:r>
        <w:t xml:space="preserve"> </w:t>
      </w:r>
      <w:r w:rsidRPr="00774FFC">
        <w:t>řádu.</w:t>
      </w:r>
      <w:r>
        <w:t xml:space="preserve"> </w:t>
      </w:r>
      <w:r w:rsidRPr="00774FFC">
        <w:t>Zjistí-li</w:t>
      </w:r>
      <w:r>
        <w:t xml:space="preserve"> </w:t>
      </w:r>
      <w:r w:rsidRPr="00774FFC">
        <w:t>exekutor</w:t>
      </w:r>
      <w:r>
        <w:t xml:space="preserve"> </w:t>
      </w:r>
      <w:r w:rsidRPr="00774FFC">
        <w:t>z</w:t>
      </w:r>
      <w:r>
        <w:t xml:space="preserve"> </w:t>
      </w:r>
      <w:r w:rsidRPr="00774FFC">
        <w:t>rejstříku</w:t>
      </w:r>
      <w:r>
        <w:t xml:space="preserve"> </w:t>
      </w:r>
      <w:r w:rsidRPr="00774FFC">
        <w:t>zahájených</w:t>
      </w:r>
      <w:r>
        <w:t xml:space="preserve"> </w:t>
      </w:r>
      <w:r w:rsidRPr="00774FFC">
        <w:t>exekucí,</w:t>
      </w:r>
      <w:r>
        <w:t xml:space="preserve"> </w:t>
      </w:r>
      <w:r w:rsidRPr="00774FFC">
        <w:t>že</w:t>
      </w:r>
      <w:r>
        <w:t xml:space="preserve"> </w:t>
      </w:r>
      <w:r w:rsidRPr="00774FFC">
        <w:t>proti</w:t>
      </w:r>
      <w:r>
        <w:t xml:space="preserve"> </w:t>
      </w:r>
      <w:r w:rsidRPr="00774FFC">
        <w:t>povinnému</w:t>
      </w:r>
      <w:r>
        <w:t xml:space="preserve"> </w:t>
      </w:r>
      <w:r w:rsidRPr="00774FFC">
        <w:t>již</w:t>
      </w:r>
      <w:r>
        <w:t xml:space="preserve"> </w:t>
      </w:r>
      <w:r w:rsidRPr="00774FFC">
        <w:t>je</w:t>
      </w:r>
      <w:r>
        <w:t xml:space="preserve"> </w:t>
      </w:r>
      <w:r w:rsidRPr="00774FFC">
        <w:t>vedena</w:t>
      </w:r>
      <w:r>
        <w:t xml:space="preserve"> </w:t>
      </w:r>
      <w:r w:rsidRPr="00774FFC">
        <w:t>exekuce</w:t>
      </w:r>
      <w:r>
        <w:t xml:space="preserve"> </w:t>
      </w:r>
      <w:r w:rsidRPr="00774FFC">
        <w:t>prodejem</w:t>
      </w:r>
      <w:r>
        <w:t xml:space="preserve"> </w:t>
      </w:r>
      <w:r w:rsidRPr="00774FFC">
        <w:t>movitých</w:t>
      </w:r>
      <w:r>
        <w:t xml:space="preserve"> </w:t>
      </w:r>
      <w:r w:rsidRPr="00774FFC">
        <w:t>věcí,</w:t>
      </w:r>
      <w:r>
        <w:t xml:space="preserve"> </w:t>
      </w:r>
      <w:r w:rsidRPr="00774FFC">
        <w:t>může</w:t>
      </w:r>
      <w:r>
        <w:t xml:space="preserve"> </w:t>
      </w:r>
      <w:r w:rsidRPr="00774FFC">
        <w:t>povinnému</w:t>
      </w:r>
      <w:r>
        <w:t xml:space="preserve"> </w:t>
      </w:r>
      <w:r w:rsidRPr="00774FFC">
        <w:t>a</w:t>
      </w:r>
      <w:r>
        <w:t xml:space="preserve"> </w:t>
      </w:r>
      <w:r w:rsidRPr="00774FFC">
        <w:t>exekutorovi,</w:t>
      </w:r>
      <w:r>
        <w:t xml:space="preserve"> </w:t>
      </w:r>
      <w:r w:rsidRPr="00774FFC">
        <w:t>který</w:t>
      </w:r>
      <w:r>
        <w:t xml:space="preserve"> </w:t>
      </w:r>
      <w:r w:rsidRPr="00774FFC">
        <w:t>vede</w:t>
      </w:r>
      <w:r>
        <w:t xml:space="preserve"> </w:t>
      </w:r>
      <w:r w:rsidRPr="00774FFC">
        <w:t>tuto</w:t>
      </w:r>
      <w:r>
        <w:t xml:space="preserve"> </w:t>
      </w:r>
      <w:r w:rsidRPr="00774FFC">
        <w:t>exekuci,</w:t>
      </w:r>
      <w:r>
        <w:t xml:space="preserve"> </w:t>
      </w:r>
      <w:r w:rsidRPr="00774FFC">
        <w:t>doručit</w:t>
      </w:r>
      <w:r>
        <w:t xml:space="preserve"> </w:t>
      </w:r>
      <w:r w:rsidRPr="00774FFC">
        <w:t>exekuční</w:t>
      </w:r>
      <w:r>
        <w:t xml:space="preserve"> </w:t>
      </w:r>
      <w:r w:rsidRPr="00774FFC">
        <w:t>příkaz</w:t>
      </w:r>
      <w:r>
        <w:t xml:space="preserve"> </w:t>
      </w:r>
      <w:r w:rsidRPr="00774FFC">
        <w:t>k</w:t>
      </w:r>
      <w:r>
        <w:t xml:space="preserve"> </w:t>
      </w:r>
      <w:r w:rsidRPr="00774FFC">
        <w:t>provedení</w:t>
      </w:r>
      <w:r>
        <w:t xml:space="preserve"> </w:t>
      </w:r>
      <w:r w:rsidRPr="00774FFC">
        <w:t>exekuce</w:t>
      </w:r>
      <w:r>
        <w:t xml:space="preserve"> </w:t>
      </w:r>
      <w:r w:rsidRPr="00774FFC">
        <w:t>prodejem</w:t>
      </w:r>
      <w:r>
        <w:t xml:space="preserve"> </w:t>
      </w:r>
      <w:r w:rsidRPr="00774FFC">
        <w:t>movitých</w:t>
      </w:r>
      <w:r>
        <w:t xml:space="preserve"> </w:t>
      </w:r>
      <w:r w:rsidRPr="00774FFC">
        <w:t>věcí;</w:t>
      </w:r>
      <w:r>
        <w:t xml:space="preserve"> </w:t>
      </w:r>
      <w:r w:rsidRPr="00774FFC">
        <w:t>§</w:t>
      </w:r>
      <w:r>
        <w:t xml:space="preserve"> </w:t>
      </w:r>
      <w:r w:rsidRPr="00774FFC">
        <w:t>325</w:t>
      </w:r>
      <w:r>
        <w:t xml:space="preserve"> </w:t>
      </w:r>
      <w:r w:rsidRPr="00774FFC">
        <w:t>odst.</w:t>
      </w:r>
      <w:r>
        <w:t xml:space="preserve"> </w:t>
      </w:r>
      <w:r w:rsidRPr="00774FFC">
        <w:t>1</w:t>
      </w:r>
      <w:r>
        <w:t xml:space="preserve"> </w:t>
      </w:r>
      <w:r w:rsidRPr="00774FFC">
        <w:t>občanského</w:t>
      </w:r>
      <w:r>
        <w:t xml:space="preserve"> </w:t>
      </w:r>
      <w:r w:rsidRPr="00774FFC">
        <w:t>soudního</w:t>
      </w:r>
      <w:r>
        <w:t xml:space="preserve"> </w:t>
      </w:r>
      <w:r w:rsidRPr="00774FFC">
        <w:t>řádu</w:t>
      </w:r>
      <w:r>
        <w:t xml:space="preserve"> </w:t>
      </w:r>
      <w:r w:rsidRPr="00774FFC">
        <w:t>se</w:t>
      </w:r>
      <w:r>
        <w:t xml:space="preserve"> </w:t>
      </w:r>
      <w:r w:rsidRPr="00774FFC">
        <w:t>nepoužije.</w:t>
      </w:r>
      <w:r>
        <w:t xml:space="preserve"> </w:t>
      </w:r>
      <w:r w:rsidRPr="00774FFC">
        <w:t>Věta</w:t>
      </w:r>
      <w:r>
        <w:t xml:space="preserve"> </w:t>
      </w:r>
      <w:r w:rsidRPr="00774FFC">
        <w:t>druhá</w:t>
      </w:r>
      <w:r>
        <w:t xml:space="preserve"> </w:t>
      </w:r>
      <w:r w:rsidRPr="00774FFC">
        <w:t>se</w:t>
      </w:r>
      <w:r>
        <w:t xml:space="preserve"> </w:t>
      </w:r>
      <w:r w:rsidRPr="00774FFC">
        <w:t>použije</w:t>
      </w:r>
      <w:r>
        <w:t xml:space="preserve"> </w:t>
      </w:r>
      <w:r w:rsidRPr="00774FFC">
        <w:t>přiměřeně,</w:t>
      </w:r>
      <w:r>
        <w:t xml:space="preserve"> </w:t>
      </w:r>
      <w:r w:rsidRPr="00774FFC">
        <w:t>zjistí-li</w:t>
      </w:r>
      <w:r>
        <w:t xml:space="preserve"> </w:t>
      </w:r>
      <w:r w:rsidRPr="00774FFC">
        <w:t>exekutor,</w:t>
      </w:r>
      <w:r>
        <w:t xml:space="preserve"> </w:t>
      </w:r>
      <w:r w:rsidRPr="00774FFC">
        <w:t>že</w:t>
      </w:r>
      <w:r>
        <w:t xml:space="preserve"> </w:t>
      </w:r>
      <w:r w:rsidRPr="00774FFC">
        <w:t>movité</w:t>
      </w:r>
      <w:r>
        <w:t xml:space="preserve"> </w:t>
      </w:r>
      <w:r w:rsidRPr="00774FFC">
        <w:t>věci</w:t>
      </w:r>
      <w:r>
        <w:t xml:space="preserve"> </w:t>
      </w:r>
      <w:r w:rsidRPr="00774FFC">
        <w:t>povinného</w:t>
      </w:r>
      <w:r>
        <w:t xml:space="preserve"> </w:t>
      </w:r>
      <w:r w:rsidRPr="00774FFC">
        <w:t>již</w:t>
      </w:r>
      <w:r>
        <w:t xml:space="preserve"> </w:t>
      </w:r>
      <w:r w:rsidRPr="00774FFC">
        <w:t>byly</w:t>
      </w:r>
      <w:r>
        <w:t xml:space="preserve"> </w:t>
      </w:r>
      <w:r w:rsidRPr="00774FFC">
        <w:t>sepsány</w:t>
      </w:r>
      <w:r>
        <w:t xml:space="preserve"> </w:t>
      </w:r>
      <w:r w:rsidRPr="00774FFC">
        <w:t>jinak.</w:t>
      </w:r>
      <w:r>
        <w:t xml:space="preserve"> </w:t>
      </w:r>
      <w:r w:rsidRPr="00774FFC">
        <w:t>Na</w:t>
      </w:r>
      <w:r>
        <w:t xml:space="preserve"> </w:t>
      </w:r>
      <w:r w:rsidRPr="00774FFC">
        <w:t>doručení</w:t>
      </w:r>
      <w:r>
        <w:t xml:space="preserve"> </w:t>
      </w:r>
      <w:r w:rsidRPr="00774FFC">
        <w:t>exekučního</w:t>
      </w:r>
      <w:r>
        <w:t xml:space="preserve"> </w:t>
      </w:r>
      <w:r w:rsidRPr="00774FFC">
        <w:t>příkazu</w:t>
      </w:r>
      <w:r>
        <w:t xml:space="preserve"> </w:t>
      </w:r>
      <w:r w:rsidRPr="00774FFC">
        <w:t>k</w:t>
      </w:r>
      <w:r>
        <w:t xml:space="preserve"> </w:t>
      </w:r>
      <w:r w:rsidRPr="00774FFC">
        <w:t>provedení</w:t>
      </w:r>
      <w:r>
        <w:t xml:space="preserve"> </w:t>
      </w:r>
      <w:r w:rsidRPr="00774FFC">
        <w:t>exekuce</w:t>
      </w:r>
      <w:r>
        <w:t xml:space="preserve"> </w:t>
      </w:r>
      <w:r w:rsidRPr="00774FFC">
        <w:t>prodejem</w:t>
      </w:r>
      <w:r>
        <w:t xml:space="preserve"> </w:t>
      </w:r>
      <w:r w:rsidRPr="00774FFC">
        <w:t>movitých</w:t>
      </w:r>
      <w:r>
        <w:t xml:space="preserve"> </w:t>
      </w:r>
      <w:r w:rsidRPr="00774FFC">
        <w:t>věcí</w:t>
      </w:r>
      <w:r>
        <w:t xml:space="preserve"> </w:t>
      </w:r>
      <w:r w:rsidRPr="00774FFC">
        <w:t>v</w:t>
      </w:r>
      <w:r>
        <w:t xml:space="preserve"> </w:t>
      </w:r>
      <w:r w:rsidRPr="00774FFC">
        <w:t>řízení</w:t>
      </w:r>
      <w:r>
        <w:t xml:space="preserve"> </w:t>
      </w:r>
      <w:r w:rsidRPr="00774FFC">
        <w:t>podle</w:t>
      </w:r>
      <w:r>
        <w:t xml:space="preserve"> </w:t>
      </w:r>
      <w:r w:rsidRPr="00774FFC">
        <w:t>věty</w:t>
      </w:r>
      <w:r>
        <w:t xml:space="preserve"> </w:t>
      </w:r>
      <w:r w:rsidRPr="00774FFC">
        <w:t>druhé</w:t>
      </w:r>
      <w:r>
        <w:t xml:space="preserve"> </w:t>
      </w:r>
      <w:r w:rsidRPr="00774FFC">
        <w:t>povinnému</w:t>
      </w:r>
      <w:r>
        <w:t xml:space="preserve"> </w:t>
      </w:r>
      <w:r w:rsidRPr="00774FFC">
        <w:t>se</w:t>
      </w:r>
      <w:r>
        <w:t xml:space="preserve"> </w:t>
      </w:r>
      <w:r w:rsidRPr="00774FFC">
        <w:t>hledí</w:t>
      </w:r>
      <w:r>
        <w:t xml:space="preserve"> </w:t>
      </w:r>
      <w:r w:rsidRPr="00774FFC">
        <w:t>jako</w:t>
      </w:r>
      <w:r>
        <w:t xml:space="preserve"> </w:t>
      </w:r>
      <w:r w:rsidRPr="00774FFC">
        <w:t>na</w:t>
      </w:r>
      <w:r>
        <w:t xml:space="preserve"> </w:t>
      </w:r>
      <w:r w:rsidRPr="00774FFC">
        <w:t>sepsání</w:t>
      </w:r>
      <w:r>
        <w:t xml:space="preserve"> </w:t>
      </w:r>
      <w:r w:rsidRPr="00774FFC">
        <w:t>věci,</w:t>
      </w:r>
      <w:r>
        <w:t xml:space="preserve"> </w:t>
      </w:r>
      <w:r w:rsidRPr="00774FFC">
        <w:t>která</w:t>
      </w:r>
      <w:r>
        <w:t xml:space="preserve"> </w:t>
      </w:r>
      <w:r w:rsidRPr="00774FFC">
        <w:t>byla</w:t>
      </w:r>
      <w:r>
        <w:t xml:space="preserve"> </w:t>
      </w:r>
      <w:r w:rsidRPr="00774FFC">
        <w:t>sepsána</w:t>
      </w:r>
      <w:r>
        <w:t xml:space="preserve"> </w:t>
      </w:r>
      <w:r w:rsidRPr="00774FFC">
        <w:t>v</w:t>
      </w:r>
      <w:r>
        <w:t xml:space="preserve"> </w:t>
      </w:r>
      <w:r w:rsidRPr="00774FFC">
        <w:t>exekučním</w:t>
      </w:r>
      <w:r>
        <w:t xml:space="preserve"> </w:t>
      </w:r>
      <w:r w:rsidRPr="00774FFC">
        <w:t>řízení</w:t>
      </w:r>
      <w:r>
        <w:t xml:space="preserve"> </w:t>
      </w:r>
      <w:r w:rsidRPr="00774FFC">
        <w:t>podle</w:t>
      </w:r>
      <w:r>
        <w:t xml:space="preserve"> </w:t>
      </w:r>
      <w:r w:rsidRPr="00774FFC">
        <w:t>věty</w:t>
      </w:r>
      <w:r>
        <w:t xml:space="preserve"> </w:t>
      </w:r>
      <w:r w:rsidRPr="00774FFC">
        <w:t>první.</w:t>
      </w:r>
    </w:p>
    <w:p w14:paraId="7AF23D47" w14:textId="77777777" w:rsidR="005D11A8" w:rsidRPr="00774FFC" w:rsidRDefault="005D11A8" w:rsidP="009B3F94">
      <w:pPr>
        <w:pStyle w:val="Textparagrafu"/>
        <w:tabs>
          <w:tab w:val="left" w:pos="392"/>
          <w:tab w:val="left" w:pos="840"/>
        </w:tabs>
        <w:spacing w:before="120" w:after="120"/>
      </w:pPr>
      <w:r w:rsidRPr="00774FFC">
        <w:t>(2)</w:t>
      </w:r>
      <w:r>
        <w:t xml:space="preserve"> </w:t>
      </w:r>
      <w:r w:rsidRPr="00774FFC">
        <w:t>Do</w:t>
      </w:r>
      <w:r>
        <w:t xml:space="preserve"> </w:t>
      </w:r>
      <w:r w:rsidRPr="00774FFC">
        <w:t>skončení</w:t>
      </w:r>
      <w:r>
        <w:t xml:space="preserve"> </w:t>
      </w:r>
      <w:r w:rsidRPr="00774FFC">
        <w:t>exekuce</w:t>
      </w:r>
      <w:r>
        <w:t xml:space="preserve"> </w:t>
      </w:r>
      <w:r w:rsidRPr="00774FFC">
        <w:t>podle</w:t>
      </w:r>
      <w:r>
        <w:t xml:space="preserve"> </w:t>
      </w:r>
      <w:r w:rsidRPr="00774FFC">
        <w:t>odstavce</w:t>
      </w:r>
      <w:r>
        <w:t xml:space="preserve"> </w:t>
      </w:r>
      <w:r w:rsidRPr="00774FFC">
        <w:t>1</w:t>
      </w:r>
      <w:r>
        <w:t xml:space="preserve"> </w:t>
      </w:r>
      <w:r w:rsidRPr="00774FFC">
        <w:t>věty</w:t>
      </w:r>
      <w:r>
        <w:t xml:space="preserve"> </w:t>
      </w:r>
      <w:r w:rsidRPr="00774FFC">
        <w:t>první</w:t>
      </w:r>
      <w:r>
        <w:t xml:space="preserve"> </w:t>
      </w:r>
      <w:r w:rsidRPr="00774FFC">
        <w:t>jiný</w:t>
      </w:r>
      <w:r>
        <w:t xml:space="preserve"> </w:t>
      </w:r>
      <w:r w:rsidRPr="00774FFC">
        <w:t>exekutor</w:t>
      </w:r>
      <w:r>
        <w:t xml:space="preserve"> </w:t>
      </w:r>
      <w:r w:rsidRPr="00774FFC">
        <w:t>exekuci</w:t>
      </w:r>
      <w:r>
        <w:t xml:space="preserve"> </w:t>
      </w:r>
      <w:r w:rsidRPr="00774FFC">
        <w:t>prodejem</w:t>
      </w:r>
      <w:r>
        <w:t xml:space="preserve"> </w:t>
      </w:r>
      <w:r w:rsidRPr="00774FFC">
        <w:t>movitých</w:t>
      </w:r>
      <w:r>
        <w:t xml:space="preserve"> </w:t>
      </w:r>
      <w:r w:rsidRPr="00774FFC">
        <w:t>věcí</w:t>
      </w:r>
      <w:r>
        <w:t xml:space="preserve"> </w:t>
      </w:r>
      <w:r w:rsidRPr="00774FFC">
        <w:t>vůči</w:t>
      </w:r>
      <w:r>
        <w:t xml:space="preserve"> </w:t>
      </w:r>
      <w:r w:rsidRPr="00774FFC">
        <w:t>povinnému,</w:t>
      </w:r>
      <w:r>
        <w:t xml:space="preserve"> </w:t>
      </w:r>
      <w:r w:rsidRPr="00774FFC">
        <w:t>který</w:t>
      </w:r>
      <w:r>
        <w:t xml:space="preserve"> </w:t>
      </w:r>
      <w:r w:rsidRPr="00774FFC">
        <w:t>je</w:t>
      </w:r>
      <w:r>
        <w:t xml:space="preserve"> </w:t>
      </w:r>
      <w:r w:rsidRPr="00774FFC">
        <w:t>fyzickou</w:t>
      </w:r>
      <w:r>
        <w:t xml:space="preserve"> </w:t>
      </w:r>
      <w:r w:rsidRPr="00774FFC">
        <w:t>osobou</w:t>
      </w:r>
      <w:r>
        <w:t xml:space="preserve"> </w:t>
      </w:r>
      <w:r w:rsidRPr="00774FFC">
        <w:t>a</w:t>
      </w:r>
      <w:r>
        <w:t xml:space="preserve"> </w:t>
      </w:r>
      <w:r w:rsidRPr="00774FFC">
        <w:t>proti</w:t>
      </w:r>
      <w:r>
        <w:t xml:space="preserve"> </w:t>
      </w:r>
      <w:r w:rsidRPr="00774FFC">
        <w:t>němuž</w:t>
      </w:r>
      <w:r>
        <w:t xml:space="preserve"> </w:t>
      </w:r>
      <w:r w:rsidRPr="00774FFC">
        <w:t>je</w:t>
      </w:r>
      <w:r>
        <w:t xml:space="preserve"> </w:t>
      </w:r>
      <w:r w:rsidRPr="00774FFC">
        <w:t>vedena</w:t>
      </w:r>
      <w:r>
        <w:t xml:space="preserve"> </w:t>
      </w:r>
      <w:r w:rsidRPr="00774FFC">
        <w:t>exekuce</w:t>
      </w:r>
      <w:r>
        <w:t xml:space="preserve"> </w:t>
      </w:r>
      <w:r w:rsidRPr="00774FFC">
        <w:t>podle</w:t>
      </w:r>
      <w:r>
        <w:t xml:space="preserve"> </w:t>
      </w:r>
      <w:r w:rsidRPr="00774FFC">
        <w:t>odstavce</w:t>
      </w:r>
      <w:r>
        <w:t xml:space="preserve"> </w:t>
      </w:r>
      <w:r w:rsidRPr="00774FFC">
        <w:t>1</w:t>
      </w:r>
      <w:r>
        <w:t xml:space="preserve"> </w:t>
      </w:r>
      <w:r w:rsidRPr="00774FFC">
        <w:t>věty</w:t>
      </w:r>
      <w:r>
        <w:t xml:space="preserve"> </w:t>
      </w:r>
      <w:r w:rsidRPr="00774FFC">
        <w:t>první,</w:t>
      </w:r>
      <w:r>
        <w:t xml:space="preserve"> </w:t>
      </w:r>
      <w:r w:rsidRPr="00774FFC">
        <w:t>neprovádí,</w:t>
      </w:r>
      <w:r>
        <w:t xml:space="preserve"> </w:t>
      </w:r>
      <w:r w:rsidRPr="00774FFC">
        <w:t>movité</w:t>
      </w:r>
      <w:r>
        <w:t xml:space="preserve"> </w:t>
      </w:r>
      <w:r w:rsidRPr="00774FFC">
        <w:t>věci</w:t>
      </w:r>
      <w:r>
        <w:t xml:space="preserve"> </w:t>
      </w:r>
      <w:r w:rsidRPr="00774FFC">
        <w:t>nesepisuje</w:t>
      </w:r>
      <w:r>
        <w:t xml:space="preserve"> </w:t>
      </w:r>
      <w:r w:rsidRPr="00774FFC">
        <w:t>ani</w:t>
      </w:r>
      <w:r>
        <w:t xml:space="preserve"> </w:t>
      </w:r>
      <w:r w:rsidRPr="00774FFC">
        <w:t>nezajišťuje.</w:t>
      </w:r>
      <w:r>
        <w:t xml:space="preserve"> </w:t>
      </w:r>
      <w:r w:rsidRPr="00774FFC">
        <w:t>Po</w:t>
      </w:r>
      <w:r>
        <w:t xml:space="preserve"> </w:t>
      </w:r>
      <w:r w:rsidRPr="00774FFC">
        <w:t>skončení</w:t>
      </w:r>
      <w:r>
        <w:t xml:space="preserve"> </w:t>
      </w:r>
      <w:r w:rsidRPr="00774FFC">
        <w:t>exekuce</w:t>
      </w:r>
      <w:r>
        <w:t xml:space="preserve"> </w:t>
      </w:r>
      <w:r w:rsidRPr="00774FFC">
        <w:t>podle</w:t>
      </w:r>
      <w:r>
        <w:t xml:space="preserve"> </w:t>
      </w:r>
      <w:r w:rsidRPr="00774FFC">
        <w:t>odstavce</w:t>
      </w:r>
      <w:r>
        <w:t xml:space="preserve"> </w:t>
      </w:r>
      <w:r w:rsidRPr="00774FFC">
        <w:t>1</w:t>
      </w:r>
      <w:r>
        <w:t xml:space="preserve"> </w:t>
      </w:r>
      <w:r w:rsidRPr="00774FFC">
        <w:t>věty</w:t>
      </w:r>
      <w:r>
        <w:t xml:space="preserve"> </w:t>
      </w:r>
      <w:r w:rsidRPr="00774FFC">
        <w:t>první</w:t>
      </w:r>
      <w:r>
        <w:t xml:space="preserve"> </w:t>
      </w:r>
      <w:r w:rsidRPr="00774FFC">
        <w:t>může</w:t>
      </w:r>
      <w:r>
        <w:t xml:space="preserve"> </w:t>
      </w:r>
      <w:r w:rsidRPr="00774FFC">
        <w:t>být</w:t>
      </w:r>
      <w:r>
        <w:t xml:space="preserve"> </w:t>
      </w:r>
      <w:r w:rsidRPr="00774FFC">
        <w:t>ohledně</w:t>
      </w:r>
      <w:r>
        <w:t xml:space="preserve"> </w:t>
      </w:r>
      <w:r w:rsidRPr="00774FFC">
        <w:t>movitých</w:t>
      </w:r>
      <w:r>
        <w:t xml:space="preserve"> </w:t>
      </w:r>
      <w:r w:rsidRPr="00774FFC">
        <w:t>věcí,</w:t>
      </w:r>
      <w:r>
        <w:t xml:space="preserve"> </w:t>
      </w:r>
      <w:r w:rsidRPr="00774FFC">
        <w:t>kterých</w:t>
      </w:r>
      <w:r>
        <w:t xml:space="preserve"> </w:t>
      </w:r>
      <w:r w:rsidRPr="00774FFC">
        <w:t>se</w:t>
      </w:r>
      <w:r>
        <w:t xml:space="preserve"> </w:t>
      </w:r>
      <w:r w:rsidRPr="00774FFC">
        <w:t>může</w:t>
      </w:r>
      <w:r>
        <w:t xml:space="preserve"> </w:t>
      </w:r>
      <w:r w:rsidRPr="00774FFC">
        <w:t>týkat</w:t>
      </w:r>
      <w:r>
        <w:t xml:space="preserve"> </w:t>
      </w:r>
      <w:r w:rsidRPr="00774FFC">
        <w:t>exekuce</w:t>
      </w:r>
      <w:r>
        <w:t xml:space="preserve"> </w:t>
      </w:r>
      <w:r w:rsidRPr="00774FFC">
        <w:t>prodejem</w:t>
      </w:r>
      <w:r>
        <w:t xml:space="preserve"> </w:t>
      </w:r>
      <w:r w:rsidRPr="00774FFC">
        <w:t>movitých</w:t>
      </w:r>
      <w:r>
        <w:t xml:space="preserve"> </w:t>
      </w:r>
      <w:r w:rsidRPr="00774FFC">
        <w:t>věcí</w:t>
      </w:r>
      <w:r>
        <w:t xml:space="preserve"> </w:t>
      </w:r>
      <w:r w:rsidRPr="00774FFC">
        <w:t>podle</w:t>
      </w:r>
      <w:r>
        <w:t xml:space="preserve"> </w:t>
      </w:r>
      <w:r w:rsidRPr="00774FFC">
        <w:t>občanského</w:t>
      </w:r>
      <w:r>
        <w:t xml:space="preserve"> </w:t>
      </w:r>
      <w:r w:rsidRPr="00774FFC">
        <w:t>soudního</w:t>
      </w:r>
      <w:r>
        <w:t xml:space="preserve"> </w:t>
      </w:r>
      <w:r w:rsidRPr="00774FFC">
        <w:t>řádu,</w:t>
      </w:r>
      <w:r>
        <w:t xml:space="preserve"> </w:t>
      </w:r>
      <w:r w:rsidRPr="00774FFC">
        <w:t>prováděna</w:t>
      </w:r>
      <w:r>
        <w:t xml:space="preserve"> </w:t>
      </w:r>
      <w:r w:rsidRPr="00774FFC">
        <w:t>proti</w:t>
      </w:r>
      <w:r>
        <w:t xml:space="preserve"> </w:t>
      </w:r>
      <w:r w:rsidRPr="00774FFC">
        <w:t>témuž</w:t>
      </w:r>
      <w:r>
        <w:t xml:space="preserve"> </w:t>
      </w:r>
      <w:r w:rsidRPr="00774FFC">
        <w:t>povinnému,</w:t>
      </w:r>
      <w:r>
        <w:t xml:space="preserve"> </w:t>
      </w:r>
      <w:r w:rsidRPr="00774FFC">
        <w:t>který</w:t>
      </w:r>
      <w:r>
        <w:t xml:space="preserve"> </w:t>
      </w:r>
      <w:r w:rsidRPr="00774FFC">
        <w:t>je</w:t>
      </w:r>
      <w:r>
        <w:t xml:space="preserve"> </w:t>
      </w:r>
      <w:r w:rsidRPr="00774FFC">
        <w:t>fyzickou</w:t>
      </w:r>
      <w:r>
        <w:t xml:space="preserve"> </w:t>
      </w:r>
      <w:r w:rsidRPr="00774FFC">
        <w:t>osobou,</w:t>
      </w:r>
      <w:r>
        <w:t xml:space="preserve"> </w:t>
      </w:r>
      <w:r w:rsidRPr="00774FFC">
        <w:t>zároveň</w:t>
      </w:r>
      <w:r>
        <w:t xml:space="preserve"> </w:t>
      </w:r>
      <w:r w:rsidRPr="00774FFC">
        <w:t>pouze</w:t>
      </w:r>
      <w:r>
        <w:t xml:space="preserve"> </w:t>
      </w:r>
      <w:r w:rsidRPr="00774FFC">
        <w:t>jedna</w:t>
      </w:r>
      <w:r>
        <w:t xml:space="preserve"> </w:t>
      </w:r>
      <w:r w:rsidRPr="00774FFC">
        <w:t>exekuce</w:t>
      </w:r>
      <w:r>
        <w:t xml:space="preserve"> </w:t>
      </w:r>
      <w:r w:rsidRPr="00774FFC">
        <w:t>prodejem</w:t>
      </w:r>
      <w:r>
        <w:t xml:space="preserve"> </w:t>
      </w:r>
      <w:r w:rsidRPr="00774FFC">
        <w:t>movitých</w:t>
      </w:r>
      <w:r>
        <w:t xml:space="preserve"> </w:t>
      </w:r>
      <w:r w:rsidRPr="00774FFC">
        <w:t>věcí</w:t>
      </w:r>
      <w:r>
        <w:t xml:space="preserve"> </w:t>
      </w:r>
      <w:r w:rsidRPr="00774FFC">
        <w:t>podle</w:t>
      </w:r>
      <w:r>
        <w:t xml:space="preserve"> </w:t>
      </w:r>
      <w:r w:rsidRPr="00774FFC">
        <w:t>odstavce</w:t>
      </w:r>
      <w:r>
        <w:t xml:space="preserve"> </w:t>
      </w:r>
      <w:r w:rsidRPr="00774FFC">
        <w:t>1</w:t>
      </w:r>
      <w:r>
        <w:t xml:space="preserve"> </w:t>
      </w:r>
      <w:r w:rsidRPr="00774FFC">
        <w:t>věty</w:t>
      </w:r>
      <w:r>
        <w:t xml:space="preserve"> </w:t>
      </w:r>
      <w:r w:rsidRPr="00774FFC">
        <w:t>druhé</w:t>
      </w:r>
      <w:r>
        <w:t xml:space="preserve"> </w:t>
      </w:r>
      <w:r w:rsidRPr="00774FFC">
        <w:t>až</w:t>
      </w:r>
      <w:r>
        <w:t xml:space="preserve"> </w:t>
      </w:r>
      <w:r w:rsidRPr="00774FFC">
        <w:t>čtvrté.</w:t>
      </w:r>
    </w:p>
    <w:p w14:paraId="3A25D371" w14:textId="77777777" w:rsidR="005D11A8" w:rsidRPr="00774FFC" w:rsidRDefault="005D11A8" w:rsidP="009B3F94">
      <w:pPr>
        <w:pStyle w:val="Textparagrafu"/>
        <w:tabs>
          <w:tab w:val="left" w:pos="392"/>
          <w:tab w:val="left" w:pos="840"/>
        </w:tabs>
        <w:spacing w:before="120" w:after="120"/>
      </w:pPr>
      <w:r w:rsidRPr="00774FFC">
        <w:t>(3)</w:t>
      </w:r>
      <w:r>
        <w:t xml:space="preserve"> </w:t>
      </w:r>
      <w:r w:rsidRPr="00774FFC">
        <w:t>Odstavce</w:t>
      </w:r>
      <w:r>
        <w:t xml:space="preserve"> </w:t>
      </w:r>
      <w:r w:rsidRPr="00774FFC">
        <w:t>1</w:t>
      </w:r>
      <w:r>
        <w:t xml:space="preserve"> </w:t>
      </w:r>
      <w:r w:rsidRPr="00774FFC">
        <w:t>a</w:t>
      </w:r>
      <w:r>
        <w:t xml:space="preserve"> </w:t>
      </w:r>
      <w:r w:rsidRPr="00774FFC">
        <w:t>2</w:t>
      </w:r>
      <w:r>
        <w:t xml:space="preserve"> </w:t>
      </w:r>
      <w:r w:rsidRPr="00774FFC">
        <w:t>se</w:t>
      </w:r>
      <w:r>
        <w:t xml:space="preserve"> </w:t>
      </w:r>
      <w:r w:rsidRPr="00774FFC">
        <w:t>nepoužijí,</w:t>
      </w:r>
    </w:p>
    <w:p w14:paraId="582D5943" w14:textId="0C36C798" w:rsidR="005D11A8" w:rsidRPr="00774FFC" w:rsidRDefault="005D11A8" w:rsidP="005D11A8">
      <w:pPr>
        <w:pStyle w:val="Textparagrafu"/>
        <w:tabs>
          <w:tab w:val="left" w:pos="392"/>
          <w:tab w:val="left" w:pos="840"/>
        </w:tabs>
        <w:spacing w:before="0"/>
        <w:ind w:firstLine="0"/>
      </w:pPr>
      <w:r w:rsidRPr="00774FFC">
        <w:t>a)</w:t>
      </w:r>
      <w:r>
        <w:tab/>
      </w:r>
      <w:r w:rsidRPr="00774FFC">
        <w:t>jde-li</w:t>
      </w:r>
      <w:r>
        <w:t xml:space="preserve"> </w:t>
      </w:r>
      <w:r w:rsidRPr="00774FFC">
        <w:t>o</w:t>
      </w:r>
      <w:r>
        <w:t xml:space="preserve"> </w:t>
      </w:r>
      <w:r w:rsidRPr="00774FFC">
        <w:t>exekuci</w:t>
      </w:r>
      <w:r>
        <w:t xml:space="preserve"> </w:t>
      </w:r>
      <w:r w:rsidRPr="00774FFC">
        <w:t>podle</w:t>
      </w:r>
      <w:r>
        <w:t xml:space="preserve"> </w:t>
      </w:r>
      <w:r w:rsidRPr="00774FFC">
        <w:t>§</w:t>
      </w:r>
      <w:r>
        <w:t xml:space="preserve"> </w:t>
      </w:r>
      <w:r w:rsidRPr="00774FFC">
        <w:t>67</w:t>
      </w:r>
      <w:r>
        <w:t xml:space="preserve"> </w:t>
      </w:r>
      <w:r w:rsidRPr="00774FFC">
        <w:t>odst.</w:t>
      </w:r>
      <w:r>
        <w:t xml:space="preserve"> </w:t>
      </w:r>
      <w:r w:rsidRPr="00774FFC">
        <w:t>2,</w:t>
      </w:r>
      <w:r>
        <w:t xml:space="preserve"> </w:t>
      </w:r>
      <w:r w:rsidRPr="00774FFC">
        <w:t>nebo</w:t>
      </w:r>
    </w:p>
    <w:p w14:paraId="5EC6368E" w14:textId="0DB905B4" w:rsidR="005D11A8" w:rsidRPr="00774FFC" w:rsidRDefault="005D11A8" w:rsidP="005D11A8">
      <w:pPr>
        <w:pStyle w:val="Textparagrafu"/>
        <w:tabs>
          <w:tab w:val="left" w:pos="392"/>
          <w:tab w:val="left" w:pos="840"/>
        </w:tabs>
        <w:spacing w:before="0"/>
        <w:ind w:firstLine="0"/>
      </w:pPr>
      <w:r w:rsidRPr="00774FFC">
        <w:t>b)</w:t>
      </w:r>
      <w:r>
        <w:tab/>
      </w:r>
      <w:r w:rsidRPr="00774FFC">
        <w:t>jde-li</w:t>
      </w:r>
      <w:r>
        <w:t xml:space="preserve"> </w:t>
      </w:r>
      <w:r w:rsidRPr="00774FFC">
        <w:t>o</w:t>
      </w:r>
      <w:r>
        <w:t xml:space="preserve"> </w:t>
      </w:r>
      <w:r w:rsidRPr="00774FFC">
        <w:t>exekuci</w:t>
      </w:r>
      <w:r>
        <w:t xml:space="preserve"> </w:t>
      </w:r>
      <w:r w:rsidRPr="00774FFC">
        <w:t>vedenou</w:t>
      </w:r>
      <w:r>
        <w:t xml:space="preserve"> </w:t>
      </w:r>
      <w:r w:rsidRPr="00774FFC">
        <w:t>po</w:t>
      </w:r>
      <w:r>
        <w:t xml:space="preserve"> </w:t>
      </w:r>
      <w:r w:rsidRPr="00774FFC">
        <w:t>skončení</w:t>
      </w:r>
      <w:r>
        <w:t xml:space="preserve"> </w:t>
      </w:r>
      <w:r w:rsidRPr="00774FFC">
        <w:t>odkladu</w:t>
      </w:r>
      <w:r>
        <w:t xml:space="preserve"> </w:t>
      </w:r>
      <w:r w:rsidRPr="00774FFC">
        <w:t>exekuce</w:t>
      </w:r>
      <w:r>
        <w:t xml:space="preserve"> </w:t>
      </w:r>
      <w:r w:rsidRPr="00774FFC">
        <w:t>podle</w:t>
      </w:r>
      <w:r>
        <w:t xml:space="preserve"> </w:t>
      </w:r>
      <w:r w:rsidRPr="00774FFC">
        <w:t>§</w:t>
      </w:r>
      <w:r>
        <w:t xml:space="preserve"> </w:t>
      </w:r>
      <w:r w:rsidRPr="00774FFC">
        <w:t>54</w:t>
      </w:r>
      <w:r>
        <w:t xml:space="preserve"> </w:t>
      </w:r>
      <w:r w:rsidRPr="00774FFC">
        <w:t>odst.</w:t>
      </w:r>
      <w:r>
        <w:t xml:space="preserve"> </w:t>
      </w:r>
      <w:r w:rsidRPr="00774FFC">
        <w:t>9.</w:t>
      </w:r>
    </w:p>
    <w:p w14:paraId="7527CFE8" w14:textId="77777777" w:rsidR="005D11A8" w:rsidRPr="00774FFC" w:rsidRDefault="005D11A8" w:rsidP="009B3F94">
      <w:pPr>
        <w:pStyle w:val="Textparagrafu"/>
        <w:tabs>
          <w:tab w:val="left" w:pos="392"/>
          <w:tab w:val="left" w:pos="840"/>
        </w:tabs>
        <w:spacing w:before="120" w:after="120"/>
      </w:pPr>
      <w:r w:rsidRPr="00774FFC">
        <w:t>(4)</w:t>
      </w:r>
      <w:r>
        <w:t xml:space="preserve"> </w:t>
      </w:r>
      <w:r w:rsidRPr="00774FFC">
        <w:t>Exekutor</w:t>
      </w:r>
      <w:r>
        <w:t xml:space="preserve"> </w:t>
      </w:r>
      <w:r w:rsidRPr="00774FFC">
        <w:t>může</w:t>
      </w:r>
      <w:r>
        <w:t xml:space="preserve"> </w:t>
      </w:r>
      <w:r w:rsidRPr="00774FFC">
        <w:t>i</w:t>
      </w:r>
      <w:r>
        <w:t xml:space="preserve"> </w:t>
      </w:r>
      <w:r w:rsidRPr="00774FFC">
        <w:t>bez</w:t>
      </w:r>
      <w:r>
        <w:t xml:space="preserve"> </w:t>
      </w:r>
      <w:r w:rsidRPr="00774FFC">
        <w:t>návrhu</w:t>
      </w:r>
      <w:r>
        <w:t xml:space="preserve"> </w:t>
      </w:r>
      <w:r w:rsidRPr="00774FFC">
        <w:t>oprávněného</w:t>
      </w:r>
      <w:r>
        <w:t xml:space="preserve"> </w:t>
      </w:r>
      <w:r w:rsidRPr="00774FFC">
        <w:t>zajistit</w:t>
      </w:r>
      <w:r>
        <w:t xml:space="preserve"> </w:t>
      </w:r>
      <w:r w:rsidRPr="00774FFC">
        <w:t>movité</w:t>
      </w:r>
      <w:r>
        <w:t xml:space="preserve"> </w:t>
      </w:r>
      <w:r w:rsidRPr="00774FFC">
        <w:t>věci,</w:t>
      </w:r>
      <w:r>
        <w:t xml:space="preserve"> </w:t>
      </w:r>
      <w:r w:rsidRPr="00774FFC">
        <w:t>které</w:t>
      </w:r>
      <w:r>
        <w:t xml:space="preserve"> </w:t>
      </w:r>
      <w:r w:rsidRPr="00774FFC">
        <w:t>sepsal,</w:t>
      </w:r>
      <w:r>
        <w:t xml:space="preserve"> </w:t>
      </w:r>
      <w:r w:rsidRPr="00774FFC">
        <w:t>je-li</w:t>
      </w:r>
      <w:r>
        <w:t xml:space="preserve"> </w:t>
      </w:r>
      <w:r w:rsidRPr="00774FFC">
        <w:t>to</w:t>
      </w:r>
      <w:r>
        <w:t xml:space="preserve"> </w:t>
      </w:r>
      <w:r w:rsidRPr="00774FFC">
        <w:t>účelné</w:t>
      </w:r>
      <w:r>
        <w:t xml:space="preserve"> </w:t>
      </w:r>
      <w:r w:rsidRPr="00774FFC">
        <w:t>a</w:t>
      </w:r>
      <w:r>
        <w:t xml:space="preserve"> </w:t>
      </w:r>
      <w:r w:rsidRPr="00774FFC">
        <w:t>je-li</w:t>
      </w:r>
      <w:r>
        <w:t xml:space="preserve"> </w:t>
      </w:r>
      <w:r w:rsidRPr="00774FFC">
        <w:t>zde</w:t>
      </w:r>
      <w:r>
        <w:t xml:space="preserve"> </w:t>
      </w:r>
      <w:r w:rsidRPr="00774FFC">
        <w:t>obava</w:t>
      </w:r>
      <w:r>
        <w:t xml:space="preserve"> </w:t>
      </w:r>
      <w:r w:rsidRPr="00774FFC">
        <w:t>z</w:t>
      </w:r>
      <w:r>
        <w:t xml:space="preserve"> </w:t>
      </w:r>
      <w:r w:rsidRPr="00774FFC">
        <w:t>jejich</w:t>
      </w:r>
      <w:r>
        <w:t xml:space="preserve"> </w:t>
      </w:r>
      <w:r w:rsidRPr="00774FFC">
        <w:t>poškození</w:t>
      </w:r>
      <w:r>
        <w:t xml:space="preserve"> </w:t>
      </w:r>
      <w:r w:rsidRPr="00774FFC">
        <w:t>nebo</w:t>
      </w:r>
      <w:r>
        <w:t xml:space="preserve"> </w:t>
      </w:r>
      <w:r w:rsidRPr="00774FFC">
        <w:t>ztráty.</w:t>
      </w:r>
      <w:r>
        <w:t xml:space="preserve"> </w:t>
      </w:r>
      <w:r w:rsidRPr="00774FFC">
        <w:t>Zajištěné</w:t>
      </w:r>
      <w:r>
        <w:t xml:space="preserve"> </w:t>
      </w:r>
      <w:r w:rsidRPr="00774FFC">
        <w:t>věci</w:t>
      </w:r>
      <w:r>
        <w:t xml:space="preserve"> </w:t>
      </w:r>
      <w:r w:rsidRPr="00774FFC">
        <w:t>převezme</w:t>
      </w:r>
      <w:r>
        <w:t xml:space="preserve"> </w:t>
      </w:r>
      <w:r w:rsidRPr="00774FFC">
        <w:t>do</w:t>
      </w:r>
      <w:r>
        <w:t xml:space="preserve"> </w:t>
      </w:r>
      <w:r w:rsidRPr="00774FFC">
        <w:t>své</w:t>
      </w:r>
      <w:r>
        <w:t xml:space="preserve"> </w:t>
      </w:r>
      <w:r w:rsidRPr="00774FFC">
        <w:t>úschovy</w:t>
      </w:r>
      <w:r>
        <w:t xml:space="preserve"> </w:t>
      </w:r>
      <w:r w:rsidRPr="00774FFC">
        <w:t>nebo</w:t>
      </w:r>
      <w:r>
        <w:t xml:space="preserve"> </w:t>
      </w:r>
      <w:r w:rsidRPr="00774FFC">
        <w:t>je</w:t>
      </w:r>
      <w:r>
        <w:t xml:space="preserve"> </w:t>
      </w:r>
      <w:r w:rsidRPr="00774FFC">
        <w:t>uloží</w:t>
      </w:r>
      <w:r>
        <w:t xml:space="preserve"> </w:t>
      </w:r>
      <w:r w:rsidRPr="00774FFC">
        <w:t>u</w:t>
      </w:r>
      <w:r>
        <w:t xml:space="preserve"> </w:t>
      </w:r>
      <w:r w:rsidRPr="00774FFC">
        <w:t>vhodného</w:t>
      </w:r>
      <w:r>
        <w:t xml:space="preserve"> </w:t>
      </w:r>
      <w:r w:rsidRPr="00774FFC">
        <w:t>schovatele.</w:t>
      </w:r>
      <w:r>
        <w:t xml:space="preserve"> </w:t>
      </w:r>
      <w:r w:rsidRPr="00774FFC">
        <w:t>Zajistit</w:t>
      </w:r>
      <w:r>
        <w:t xml:space="preserve"> </w:t>
      </w:r>
      <w:r w:rsidRPr="00774FFC">
        <w:t>nelze</w:t>
      </w:r>
      <w:r>
        <w:t xml:space="preserve"> </w:t>
      </w:r>
      <w:r w:rsidRPr="00774FFC">
        <w:t>nosič</w:t>
      </w:r>
      <w:r>
        <w:t xml:space="preserve"> </w:t>
      </w:r>
      <w:r w:rsidRPr="00774FFC">
        <w:t>dat,</w:t>
      </w:r>
      <w:r>
        <w:t xml:space="preserve"> </w:t>
      </w:r>
      <w:r w:rsidRPr="00774FFC">
        <w:t>na</w:t>
      </w:r>
      <w:r>
        <w:t xml:space="preserve"> </w:t>
      </w:r>
      <w:r w:rsidRPr="00774FFC">
        <w:t>němž</w:t>
      </w:r>
      <w:r>
        <w:t xml:space="preserve"> </w:t>
      </w:r>
      <w:r w:rsidRPr="00774FFC">
        <w:t>povinný</w:t>
      </w:r>
      <w:r>
        <w:t xml:space="preserve"> </w:t>
      </w:r>
      <w:r w:rsidRPr="00774FFC">
        <w:t>pořídil</w:t>
      </w:r>
      <w:r>
        <w:t xml:space="preserve"> </w:t>
      </w:r>
      <w:r w:rsidRPr="00774FFC">
        <w:t>záznam</w:t>
      </w:r>
      <w:r>
        <w:t xml:space="preserve"> </w:t>
      </w:r>
      <w:r w:rsidRPr="00774FFC">
        <w:t>průběhu</w:t>
      </w:r>
      <w:r>
        <w:t xml:space="preserve"> </w:t>
      </w:r>
      <w:r w:rsidRPr="00774FFC">
        <w:t>soupisu</w:t>
      </w:r>
      <w:r>
        <w:t xml:space="preserve"> </w:t>
      </w:r>
      <w:r w:rsidRPr="00774FFC">
        <w:t>movitých</w:t>
      </w:r>
      <w:r>
        <w:t xml:space="preserve"> </w:t>
      </w:r>
      <w:r w:rsidRPr="00774FFC">
        <w:t>věcí.</w:t>
      </w:r>
    </w:p>
    <w:p w14:paraId="135FEDD2" w14:textId="77777777" w:rsidR="005D11A8" w:rsidRPr="00774FFC" w:rsidRDefault="005D11A8" w:rsidP="009B3F94">
      <w:pPr>
        <w:pStyle w:val="Textparagrafu"/>
        <w:tabs>
          <w:tab w:val="left" w:pos="392"/>
          <w:tab w:val="left" w:pos="840"/>
        </w:tabs>
        <w:spacing w:before="120" w:after="120"/>
      </w:pPr>
      <w:r w:rsidRPr="00774FFC">
        <w:t>(5)</w:t>
      </w:r>
      <w:r>
        <w:t xml:space="preserve"> </w:t>
      </w:r>
      <w:r w:rsidRPr="00774FFC">
        <w:t>K</w:t>
      </w:r>
      <w:r>
        <w:t xml:space="preserve"> </w:t>
      </w:r>
      <w:r w:rsidRPr="00774FFC">
        <w:t>exekuci</w:t>
      </w:r>
      <w:r>
        <w:t xml:space="preserve"> </w:t>
      </w:r>
      <w:r w:rsidRPr="00774FFC">
        <w:t>prodejem</w:t>
      </w:r>
      <w:r>
        <w:t xml:space="preserve"> </w:t>
      </w:r>
      <w:r w:rsidRPr="00774FFC">
        <w:t>nemovité</w:t>
      </w:r>
      <w:r>
        <w:t xml:space="preserve"> </w:t>
      </w:r>
      <w:r w:rsidRPr="00774FFC">
        <w:t>věci</w:t>
      </w:r>
      <w:r>
        <w:t xml:space="preserve"> </w:t>
      </w:r>
      <w:r w:rsidRPr="00774FFC">
        <w:t>povinného</w:t>
      </w:r>
      <w:r>
        <w:t xml:space="preserve"> </w:t>
      </w:r>
      <w:r w:rsidRPr="00774FFC">
        <w:t>může</w:t>
      </w:r>
      <w:r>
        <w:t xml:space="preserve"> </w:t>
      </w:r>
      <w:r w:rsidRPr="00774FFC">
        <w:t>exekutor</w:t>
      </w:r>
      <w:r>
        <w:t xml:space="preserve"> </w:t>
      </w:r>
      <w:r w:rsidRPr="00774FFC">
        <w:t>přistoupit,</w:t>
      </w:r>
      <w:r>
        <w:t xml:space="preserve"> </w:t>
      </w:r>
      <w:r w:rsidRPr="00774FFC">
        <w:t>jen</w:t>
      </w:r>
      <w:r>
        <w:t xml:space="preserve"> </w:t>
      </w:r>
      <w:r w:rsidRPr="00774FFC">
        <w:t>jestliže</w:t>
      </w:r>
      <w:r>
        <w:t xml:space="preserve"> </w:t>
      </w:r>
      <w:r w:rsidRPr="00774FFC">
        <w:t>bude</w:t>
      </w:r>
      <w:r>
        <w:t xml:space="preserve"> </w:t>
      </w:r>
      <w:r w:rsidRPr="00774FFC">
        <w:t>listinami</w:t>
      </w:r>
      <w:r>
        <w:t xml:space="preserve"> </w:t>
      </w:r>
      <w:r w:rsidRPr="00774FFC">
        <w:t>vydanými</w:t>
      </w:r>
      <w:r>
        <w:t xml:space="preserve"> </w:t>
      </w:r>
      <w:r w:rsidRPr="00774FFC">
        <w:t>nebo</w:t>
      </w:r>
      <w:r>
        <w:t xml:space="preserve"> </w:t>
      </w:r>
      <w:r w:rsidRPr="00774FFC">
        <w:t>ověřenými</w:t>
      </w:r>
      <w:r>
        <w:t xml:space="preserve"> </w:t>
      </w:r>
      <w:r w:rsidRPr="00774FFC">
        <w:t>státními</w:t>
      </w:r>
      <w:r>
        <w:t xml:space="preserve"> </w:t>
      </w:r>
      <w:r w:rsidRPr="00774FFC">
        <w:t>orgány,</w:t>
      </w:r>
      <w:r>
        <w:t xml:space="preserve"> </w:t>
      </w:r>
      <w:r w:rsidRPr="00774FFC">
        <w:t>popřípadě</w:t>
      </w:r>
      <w:r>
        <w:t xml:space="preserve"> </w:t>
      </w:r>
      <w:r w:rsidRPr="00774FFC">
        <w:t>též</w:t>
      </w:r>
      <w:r>
        <w:t xml:space="preserve"> </w:t>
      </w:r>
      <w:r w:rsidRPr="00774FFC">
        <w:t>veřejnými</w:t>
      </w:r>
      <w:r>
        <w:t xml:space="preserve"> </w:t>
      </w:r>
      <w:r w:rsidRPr="00774FFC">
        <w:t>listinami</w:t>
      </w:r>
      <w:r>
        <w:t xml:space="preserve"> </w:t>
      </w:r>
      <w:r w:rsidRPr="00774FFC">
        <w:t>notáře</w:t>
      </w:r>
      <w:r>
        <w:t xml:space="preserve"> </w:t>
      </w:r>
      <w:r w:rsidRPr="00774FFC">
        <w:t>doloženo,</w:t>
      </w:r>
      <w:r>
        <w:t xml:space="preserve"> </w:t>
      </w:r>
      <w:r w:rsidRPr="00774FFC">
        <w:t>že</w:t>
      </w:r>
      <w:r>
        <w:t xml:space="preserve"> </w:t>
      </w:r>
      <w:r w:rsidRPr="00774FFC">
        <w:t>nemovitá</w:t>
      </w:r>
      <w:r>
        <w:t xml:space="preserve"> </w:t>
      </w:r>
      <w:r w:rsidRPr="00774FFC">
        <w:t>věc</w:t>
      </w:r>
      <w:r>
        <w:t xml:space="preserve"> </w:t>
      </w:r>
      <w:r w:rsidRPr="00774FFC">
        <w:t>je</w:t>
      </w:r>
      <w:r>
        <w:t xml:space="preserve"> </w:t>
      </w:r>
      <w:r w:rsidRPr="00774FFC">
        <w:t>ve</w:t>
      </w:r>
      <w:r>
        <w:t xml:space="preserve"> </w:t>
      </w:r>
      <w:r w:rsidRPr="00774FFC">
        <w:t>vlastnictví</w:t>
      </w:r>
      <w:r>
        <w:t xml:space="preserve"> </w:t>
      </w:r>
      <w:r w:rsidRPr="00774FFC">
        <w:t>povinného.</w:t>
      </w:r>
    </w:p>
    <w:p w14:paraId="6233528D" w14:textId="77777777" w:rsidR="005D11A8" w:rsidRPr="00774FFC" w:rsidRDefault="005D11A8" w:rsidP="009B3F94">
      <w:pPr>
        <w:pStyle w:val="Textparagrafu"/>
        <w:tabs>
          <w:tab w:val="left" w:pos="392"/>
          <w:tab w:val="left" w:pos="840"/>
        </w:tabs>
        <w:spacing w:before="120" w:after="120"/>
      </w:pPr>
      <w:r w:rsidRPr="00774FFC">
        <w:t>(6)</w:t>
      </w:r>
      <w:r>
        <w:t xml:space="preserve"> </w:t>
      </w:r>
      <w:r w:rsidRPr="00774FFC">
        <w:t>Ustanovení</w:t>
      </w:r>
      <w:r>
        <w:t xml:space="preserve"> </w:t>
      </w:r>
      <w:r w:rsidRPr="00774FFC">
        <w:t>§</w:t>
      </w:r>
      <w:r>
        <w:t xml:space="preserve"> </w:t>
      </w:r>
      <w:r w:rsidRPr="00774FFC">
        <w:t>329</w:t>
      </w:r>
      <w:r>
        <w:t xml:space="preserve"> </w:t>
      </w:r>
      <w:r w:rsidRPr="00774FFC">
        <w:t>odst.</w:t>
      </w:r>
      <w:r>
        <w:t xml:space="preserve"> </w:t>
      </w:r>
      <w:r w:rsidRPr="00774FFC">
        <w:t>1</w:t>
      </w:r>
      <w:r>
        <w:t xml:space="preserve"> </w:t>
      </w:r>
      <w:r w:rsidRPr="00774FFC">
        <w:t>věty</w:t>
      </w:r>
      <w:r>
        <w:t xml:space="preserve"> </w:t>
      </w:r>
      <w:r w:rsidRPr="00774FFC">
        <w:t>druhé</w:t>
      </w:r>
      <w:r>
        <w:t xml:space="preserve"> </w:t>
      </w:r>
      <w:r w:rsidRPr="00774FFC">
        <w:t>a</w:t>
      </w:r>
      <w:r>
        <w:t xml:space="preserve"> </w:t>
      </w:r>
      <w:r w:rsidRPr="00774FFC">
        <w:t>§</w:t>
      </w:r>
      <w:r>
        <w:t xml:space="preserve"> </w:t>
      </w:r>
      <w:r w:rsidRPr="00774FFC">
        <w:t>336h</w:t>
      </w:r>
      <w:r>
        <w:t xml:space="preserve"> </w:t>
      </w:r>
      <w:r w:rsidRPr="00774FFC">
        <w:t>odst.</w:t>
      </w:r>
      <w:r>
        <w:t xml:space="preserve"> </w:t>
      </w:r>
      <w:r w:rsidRPr="00774FFC">
        <w:t>4</w:t>
      </w:r>
      <w:r>
        <w:t xml:space="preserve"> </w:t>
      </w:r>
      <w:r w:rsidRPr="00774FFC">
        <w:t>občanského</w:t>
      </w:r>
      <w:r>
        <w:t xml:space="preserve"> </w:t>
      </w:r>
      <w:r w:rsidRPr="00774FFC">
        <w:t>soudního</w:t>
      </w:r>
      <w:r>
        <w:t xml:space="preserve"> </w:t>
      </w:r>
      <w:r w:rsidRPr="00774FFC">
        <w:t>řádu</w:t>
      </w:r>
      <w:r>
        <w:t xml:space="preserve"> </w:t>
      </w:r>
      <w:r w:rsidRPr="00774FFC">
        <w:t>platí</w:t>
      </w:r>
      <w:r>
        <w:t xml:space="preserve"> </w:t>
      </w:r>
      <w:r w:rsidRPr="00774FFC">
        <w:t>obdobně</w:t>
      </w:r>
      <w:r>
        <w:t xml:space="preserve"> </w:t>
      </w:r>
      <w:r w:rsidRPr="00774FFC">
        <w:t>pro</w:t>
      </w:r>
      <w:r>
        <w:t xml:space="preserve"> </w:t>
      </w:r>
      <w:r w:rsidRPr="00774FFC">
        <w:t>exekutory</w:t>
      </w:r>
      <w:r>
        <w:t xml:space="preserve"> </w:t>
      </w:r>
      <w:r w:rsidRPr="00774FFC">
        <w:t>a</w:t>
      </w:r>
      <w:r>
        <w:t xml:space="preserve"> </w:t>
      </w:r>
      <w:r w:rsidRPr="00774FFC">
        <w:t>zaměstnance</w:t>
      </w:r>
      <w:r>
        <w:t xml:space="preserve"> </w:t>
      </w:r>
      <w:r w:rsidRPr="00774FFC">
        <w:t>exekutorských</w:t>
      </w:r>
      <w:r>
        <w:t xml:space="preserve"> </w:t>
      </w:r>
      <w:r w:rsidRPr="00774FFC">
        <w:t>úřadů.</w:t>
      </w:r>
    </w:p>
    <w:p w14:paraId="65F2CD14" w14:textId="77777777" w:rsidR="005D11A8" w:rsidRPr="00774FFC" w:rsidRDefault="005D11A8" w:rsidP="009B3F94">
      <w:pPr>
        <w:pStyle w:val="Textparagrafu"/>
        <w:tabs>
          <w:tab w:val="left" w:pos="392"/>
          <w:tab w:val="left" w:pos="840"/>
        </w:tabs>
        <w:spacing w:before="120" w:after="120"/>
      </w:pPr>
      <w:r w:rsidRPr="00774FFC">
        <w:t>(7)</w:t>
      </w:r>
      <w:r>
        <w:t xml:space="preserve"> </w:t>
      </w:r>
      <w:r w:rsidRPr="00774FFC">
        <w:t>Nepostačuje-li</w:t>
      </w:r>
      <w:r>
        <w:t xml:space="preserve"> </w:t>
      </w:r>
      <w:r w:rsidRPr="00774FFC">
        <w:t>k</w:t>
      </w:r>
      <w:r>
        <w:t xml:space="preserve"> </w:t>
      </w:r>
      <w:r w:rsidRPr="00774FFC">
        <w:t>úhradě</w:t>
      </w:r>
      <w:r>
        <w:t xml:space="preserve"> </w:t>
      </w:r>
      <w:r w:rsidRPr="00774FFC">
        <w:t>dluhů</w:t>
      </w:r>
      <w:r>
        <w:t xml:space="preserve"> </w:t>
      </w:r>
      <w:r w:rsidRPr="00774FFC">
        <w:t>podle</w:t>
      </w:r>
      <w:r>
        <w:t xml:space="preserve"> </w:t>
      </w:r>
      <w:r w:rsidRPr="00774FFC">
        <w:t>§</w:t>
      </w:r>
      <w:r>
        <w:t xml:space="preserve"> </w:t>
      </w:r>
      <w:r w:rsidRPr="00774FFC">
        <w:t>336n</w:t>
      </w:r>
      <w:r>
        <w:t xml:space="preserve"> </w:t>
      </w:r>
      <w:r w:rsidRPr="00774FFC">
        <w:t>odst.</w:t>
      </w:r>
      <w:r>
        <w:t xml:space="preserve"> </w:t>
      </w:r>
      <w:r w:rsidRPr="00774FFC">
        <w:t>1</w:t>
      </w:r>
      <w:r>
        <w:t xml:space="preserve"> </w:t>
      </w:r>
      <w:r w:rsidRPr="00774FFC">
        <w:t>občanského</w:t>
      </w:r>
      <w:r>
        <w:t xml:space="preserve"> </w:t>
      </w:r>
      <w:r w:rsidRPr="00774FFC">
        <w:t>soudního</w:t>
      </w:r>
      <w:r>
        <w:t xml:space="preserve"> </w:t>
      </w:r>
      <w:r w:rsidRPr="00774FFC">
        <w:t>řádu</w:t>
      </w:r>
      <w:r>
        <w:t xml:space="preserve"> </w:t>
      </w:r>
      <w:r w:rsidRPr="00774FFC">
        <w:t>složená</w:t>
      </w:r>
      <w:r>
        <w:t xml:space="preserve"> </w:t>
      </w:r>
      <w:r w:rsidRPr="00774FFC">
        <w:t>jistota,</w:t>
      </w:r>
      <w:r>
        <w:t xml:space="preserve"> </w:t>
      </w:r>
      <w:r w:rsidRPr="00774FFC">
        <w:t>exekutor</w:t>
      </w:r>
      <w:r>
        <w:t xml:space="preserve"> </w:t>
      </w:r>
      <w:r w:rsidRPr="00774FFC">
        <w:t>na</w:t>
      </w:r>
      <w:r>
        <w:t xml:space="preserve"> </w:t>
      </w:r>
      <w:r w:rsidRPr="00774FFC">
        <w:t>základě</w:t>
      </w:r>
      <w:r>
        <w:t xml:space="preserve"> </w:t>
      </w:r>
      <w:r w:rsidRPr="00774FFC">
        <w:t>vykonatelného</w:t>
      </w:r>
      <w:r>
        <w:t xml:space="preserve"> </w:t>
      </w:r>
      <w:r w:rsidRPr="00774FFC">
        <w:t>usnesení</w:t>
      </w:r>
      <w:r>
        <w:t xml:space="preserve"> </w:t>
      </w:r>
      <w:r w:rsidRPr="00774FFC">
        <w:t>podle</w:t>
      </w:r>
      <w:r>
        <w:t xml:space="preserve"> </w:t>
      </w:r>
      <w:r w:rsidRPr="00774FFC">
        <w:t>§</w:t>
      </w:r>
      <w:r>
        <w:t xml:space="preserve"> </w:t>
      </w:r>
      <w:r w:rsidRPr="00774FFC">
        <w:t>336n</w:t>
      </w:r>
      <w:r>
        <w:t xml:space="preserve"> </w:t>
      </w:r>
      <w:r w:rsidRPr="00774FFC">
        <w:t>odst.</w:t>
      </w:r>
      <w:r>
        <w:t xml:space="preserve"> </w:t>
      </w:r>
      <w:r w:rsidRPr="00774FFC">
        <w:t>2</w:t>
      </w:r>
      <w:r>
        <w:t xml:space="preserve"> </w:t>
      </w:r>
      <w:r w:rsidRPr="00774FFC">
        <w:t>občanského</w:t>
      </w:r>
      <w:r>
        <w:t xml:space="preserve"> </w:t>
      </w:r>
      <w:r w:rsidRPr="00774FFC">
        <w:t>soudního</w:t>
      </w:r>
      <w:r>
        <w:t xml:space="preserve"> </w:t>
      </w:r>
      <w:r w:rsidRPr="00774FFC">
        <w:t>řádu</w:t>
      </w:r>
      <w:r>
        <w:t xml:space="preserve"> </w:t>
      </w:r>
      <w:r w:rsidRPr="00774FFC">
        <w:t>bez</w:t>
      </w:r>
      <w:r>
        <w:t xml:space="preserve"> </w:t>
      </w:r>
      <w:r w:rsidRPr="00774FFC">
        <w:t>návrhu</w:t>
      </w:r>
      <w:r>
        <w:t xml:space="preserve"> </w:t>
      </w:r>
      <w:r w:rsidRPr="00774FFC">
        <w:t>zahájí</w:t>
      </w:r>
      <w:r>
        <w:t xml:space="preserve"> </w:t>
      </w:r>
      <w:r w:rsidRPr="00774FFC">
        <w:t>exekuční</w:t>
      </w:r>
      <w:r>
        <w:t xml:space="preserve"> </w:t>
      </w:r>
      <w:r w:rsidRPr="00774FFC">
        <w:t>řízení</w:t>
      </w:r>
      <w:r>
        <w:t xml:space="preserve"> </w:t>
      </w:r>
      <w:r w:rsidRPr="00774FFC">
        <w:t>na</w:t>
      </w:r>
      <w:r>
        <w:t xml:space="preserve"> </w:t>
      </w:r>
      <w:r w:rsidRPr="00774FFC">
        <w:t>majetek</w:t>
      </w:r>
      <w:r>
        <w:t xml:space="preserve"> </w:t>
      </w:r>
      <w:r w:rsidRPr="00774FFC">
        <w:t>vydražitele.</w:t>
      </w:r>
    </w:p>
    <w:p w14:paraId="2EB25AA6" w14:textId="10AE9B92" w:rsidR="005D11A8" w:rsidRPr="00774FFC" w:rsidRDefault="005D11A8" w:rsidP="009B3F94">
      <w:pPr>
        <w:pStyle w:val="Textparagrafu"/>
        <w:tabs>
          <w:tab w:val="left" w:pos="392"/>
          <w:tab w:val="left" w:pos="840"/>
        </w:tabs>
        <w:spacing w:before="120" w:after="120"/>
      </w:pPr>
      <w:r w:rsidRPr="00774FFC">
        <w:lastRenderedPageBreak/>
        <w:t>(8)</w:t>
      </w:r>
      <w:r>
        <w:t xml:space="preserve"> </w:t>
      </w:r>
      <w:r w:rsidRPr="00774FFC">
        <w:t>Při</w:t>
      </w:r>
      <w:r>
        <w:t xml:space="preserve"> </w:t>
      </w:r>
      <w:r w:rsidRPr="00C561D5">
        <w:rPr>
          <w:szCs w:val="24"/>
        </w:rPr>
        <w:t xml:space="preserve">oceňování nemovité věci, jejího příslušenství a jednotlivých práv a závad s nemovitou věcí spojených se použije obvyklá </w:t>
      </w:r>
      <w:r w:rsidRPr="00C561D5">
        <w:rPr>
          <w:strike/>
          <w:szCs w:val="24"/>
        </w:rPr>
        <w:t>cena podle zvláštního právního předpisu</w:t>
      </w:r>
      <w:r w:rsidRPr="00C561D5">
        <w:rPr>
          <w:rStyle w:val="Znakapoznpodarou"/>
          <w:strike/>
          <w:szCs w:val="24"/>
        </w:rPr>
        <w:footnoteReference w:customMarkFollows="1" w:id="396"/>
        <w:t>18)</w:t>
      </w:r>
      <w:r w:rsidRPr="00C561D5">
        <w:rPr>
          <w:szCs w:val="24"/>
        </w:rPr>
        <w:t>.</w:t>
      </w:r>
    </w:p>
    <w:p w14:paraId="0B4C58BE" w14:textId="77777777" w:rsidR="005D11A8" w:rsidRPr="00774FFC" w:rsidRDefault="005D11A8" w:rsidP="009B3F94">
      <w:pPr>
        <w:pStyle w:val="Textparagrafu"/>
        <w:tabs>
          <w:tab w:val="left" w:pos="392"/>
          <w:tab w:val="left" w:pos="840"/>
        </w:tabs>
        <w:spacing w:before="120" w:after="120"/>
      </w:pPr>
      <w:r w:rsidRPr="00774FFC">
        <w:t>(9)</w:t>
      </w:r>
      <w:r>
        <w:t xml:space="preserve"> </w:t>
      </w:r>
      <w:r w:rsidRPr="00774FFC">
        <w:t>Povinnost</w:t>
      </w:r>
      <w:r>
        <w:t xml:space="preserve"> </w:t>
      </w:r>
      <w:r w:rsidRPr="00774FFC">
        <w:t>podle</w:t>
      </w:r>
      <w:r>
        <w:t xml:space="preserve"> </w:t>
      </w:r>
      <w:r w:rsidRPr="00774FFC">
        <w:t>§</w:t>
      </w:r>
      <w:r>
        <w:t xml:space="preserve"> </w:t>
      </w:r>
      <w:r w:rsidRPr="00774FFC">
        <w:t>328a</w:t>
      </w:r>
      <w:r>
        <w:t xml:space="preserve"> </w:t>
      </w:r>
      <w:r w:rsidRPr="00774FFC">
        <w:t>odst.</w:t>
      </w:r>
      <w:r>
        <w:t xml:space="preserve"> </w:t>
      </w:r>
      <w:r w:rsidRPr="00774FFC">
        <w:t>1</w:t>
      </w:r>
      <w:r>
        <w:t xml:space="preserve"> </w:t>
      </w:r>
      <w:r w:rsidRPr="00774FFC">
        <w:t>občanského</w:t>
      </w:r>
      <w:r>
        <w:t xml:space="preserve"> </w:t>
      </w:r>
      <w:r w:rsidRPr="00774FFC">
        <w:t>soudního</w:t>
      </w:r>
      <w:r>
        <w:t xml:space="preserve"> </w:t>
      </w:r>
      <w:r w:rsidRPr="00774FFC">
        <w:t>řádu</w:t>
      </w:r>
      <w:r>
        <w:t xml:space="preserve"> </w:t>
      </w:r>
      <w:r w:rsidRPr="00774FFC">
        <w:t>je</w:t>
      </w:r>
      <w:r>
        <w:t xml:space="preserve"> </w:t>
      </w:r>
      <w:r w:rsidRPr="00774FFC">
        <w:t>splněna</w:t>
      </w:r>
      <w:r>
        <w:t xml:space="preserve"> </w:t>
      </w:r>
      <w:r w:rsidRPr="00774FFC">
        <w:t>vyvěšením</w:t>
      </w:r>
      <w:r>
        <w:t xml:space="preserve"> </w:t>
      </w:r>
      <w:r w:rsidRPr="00774FFC">
        <w:t>veřejné</w:t>
      </w:r>
      <w:r>
        <w:t xml:space="preserve"> </w:t>
      </w:r>
      <w:r w:rsidRPr="00774FFC">
        <w:t>vyhlášky</w:t>
      </w:r>
      <w:r>
        <w:t xml:space="preserve"> </w:t>
      </w:r>
      <w:r w:rsidRPr="00774FFC">
        <w:t>na</w:t>
      </w:r>
      <w:r>
        <w:t xml:space="preserve"> </w:t>
      </w:r>
      <w:r w:rsidRPr="00774FFC">
        <w:t>úřední</w:t>
      </w:r>
      <w:r>
        <w:t xml:space="preserve"> </w:t>
      </w:r>
      <w:r w:rsidRPr="00774FFC">
        <w:t>desce</w:t>
      </w:r>
      <w:r>
        <w:t xml:space="preserve"> </w:t>
      </w:r>
      <w:r w:rsidRPr="00774FFC">
        <w:t>exekutora</w:t>
      </w:r>
      <w:r>
        <w:t xml:space="preserve"> </w:t>
      </w:r>
      <w:r w:rsidRPr="00774FFC">
        <w:t>a</w:t>
      </w:r>
      <w:r>
        <w:t xml:space="preserve"> </w:t>
      </w:r>
      <w:r w:rsidRPr="00774FFC">
        <w:t>exekučního</w:t>
      </w:r>
      <w:r>
        <w:t xml:space="preserve"> </w:t>
      </w:r>
      <w:r w:rsidRPr="00774FFC">
        <w:t>soudu;</w:t>
      </w:r>
      <w:r>
        <w:t xml:space="preserve"> </w:t>
      </w:r>
      <w:r w:rsidRPr="00774FFC">
        <w:t>vedle</w:t>
      </w:r>
      <w:r>
        <w:t xml:space="preserve"> </w:t>
      </w:r>
      <w:r w:rsidRPr="00774FFC">
        <w:t>tohoto</w:t>
      </w:r>
      <w:r>
        <w:t xml:space="preserve"> </w:t>
      </w:r>
      <w:r w:rsidRPr="00774FFC">
        <w:t>zveřejnění</w:t>
      </w:r>
      <w:r>
        <w:t xml:space="preserve"> </w:t>
      </w:r>
      <w:r w:rsidRPr="00774FFC">
        <w:t>může</w:t>
      </w:r>
      <w:r>
        <w:t xml:space="preserve"> </w:t>
      </w:r>
      <w:r w:rsidRPr="00774FFC">
        <w:t>exekutor</w:t>
      </w:r>
      <w:r>
        <w:t xml:space="preserve"> </w:t>
      </w:r>
      <w:r w:rsidRPr="00774FFC">
        <w:t>nabídku</w:t>
      </w:r>
      <w:r>
        <w:t xml:space="preserve"> </w:t>
      </w:r>
      <w:r w:rsidRPr="00774FFC">
        <w:t>uveřejnit</w:t>
      </w:r>
      <w:r>
        <w:t xml:space="preserve"> </w:t>
      </w:r>
      <w:r w:rsidRPr="00774FFC">
        <w:t>prostřednictvím</w:t>
      </w:r>
      <w:r>
        <w:t xml:space="preserve"> </w:t>
      </w:r>
      <w:r w:rsidRPr="00774FFC">
        <w:t>hromadných</w:t>
      </w:r>
      <w:r>
        <w:t xml:space="preserve"> </w:t>
      </w:r>
      <w:r w:rsidRPr="00774FFC">
        <w:t>sdělovacích</w:t>
      </w:r>
      <w:r>
        <w:t xml:space="preserve"> </w:t>
      </w:r>
      <w:r w:rsidRPr="00774FFC">
        <w:t>prostředků</w:t>
      </w:r>
      <w:r>
        <w:t xml:space="preserve"> </w:t>
      </w:r>
      <w:r w:rsidRPr="00774FFC">
        <w:t>nebo</w:t>
      </w:r>
      <w:r>
        <w:t xml:space="preserve"> </w:t>
      </w:r>
      <w:r w:rsidRPr="00774FFC">
        <w:t>veřejně</w:t>
      </w:r>
      <w:r>
        <w:t xml:space="preserve"> </w:t>
      </w:r>
      <w:r w:rsidRPr="00774FFC">
        <w:t>přístupné</w:t>
      </w:r>
      <w:r>
        <w:t xml:space="preserve"> </w:t>
      </w:r>
      <w:r w:rsidRPr="00774FFC">
        <w:t>počítačové</w:t>
      </w:r>
      <w:r>
        <w:t xml:space="preserve"> </w:t>
      </w:r>
      <w:r w:rsidRPr="00774FFC">
        <w:t>sítě.</w:t>
      </w:r>
      <w:r>
        <w:t xml:space="preserve"> </w:t>
      </w:r>
      <w:r w:rsidRPr="00774FFC">
        <w:t>Povinnost</w:t>
      </w:r>
      <w:r>
        <w:t xml:space="preserve"> </w:t>
      </w:r>
      <w:r w:rsidRPr="00774FFC">
        <w:t>nabídky</w:t>
      </w:r>
      <w:r>
        <w:t xml:space="preserve"> </w:t>
      </w:r>
      <w:r w:rsidRPr="00774FFC">
        <w:t>se</w:t>
      </w:r>
      <w:r>
        <w:t xml:space="preserve"> </w:t>
      </w:r>
      <w:r w:rsidRPr="00774FFC">
        <w:t>vztahuje</w:t>
      </w:r>
      <w:r>
        <w:t xml:space="preserve"> </w:t>
      </w:r>
      <w:r w:rsidRPr="00774FFC">
        <w:t>na</w:t>
      </w:r>
      <w:r>
        <w:t xml:space="preserve"> </w:t>
      </w:r>
      <w:r w:rsidRPr="00774FFC">
        <w:t>instituce,</w:t>
      </w:r>
      <w:r>
        <w:t xml:space="preserve"> </w:t>
      </w:r>
      <w:r w:rsidRPr="00774FFC">
        <w:t>jejichž</w:t>
      </w:r>
      <w:r>
        <w:t xml:space="preserve"> </w:t>
      </w:r>
      <w:r w:rsidRPr="00774FFC">
        <w:t>zřizovatelem</w:t>
      </w:r>
      <w:r>
        <w:t xml:space="preserve"> </w:t>
      </w:r>
      <w:r w:rsidRPr="00774FFC">
        <w:t>je</w:t>
      </w:r>
      <w:r>
        <w:t xml:space="preserve"> </w:t>
      </w:r>
      <w:r w:rsidRPr="00774FFC">
        <w:t>stát</w:t>
      </w:r>
      <w:r>
        <w:t xml:space="preserve"> </w:t>
      </w:r>
      <w:r w:rsidRPr="00774FFC">
        <w:t>nebo</w:t>
      </w:r>
      <w:r>
        <w:t xml:space="preserve"> </w:t>
      </w:r>
      <w:r w:rsidRPr="00774FFC">
        <w:t>obec.</w:t>
      </w:r>
    </w:p>
    <w:p w14:paraId="0AF51A9D" w14:textId="77777777" w:rsidR="005D11A8" w:rsidRPr="00774FFC" w:rsidRDefault="005D11A8" w:rsidP="009B3F94">
      <w:pPr>
        <w:pStyle w:val="Textparagrafu"/>
        <w:tabs>
          <w:tab w:val="left" w:pos="392"/>
          <w:tab w:val="left" w:pos="840"/>
        </w:tabs>
        <w:spacing w:before="120" w:after="120"/>
      </w:pPr>
      <w:r w:rsidRPr="00774FFC">
        <w:t>(10)</w:t>
      </w:r>
      <w:r>
        <w:t xml:space="preserve"> </w:t>
      </w:r>
      <w:r w:rsidRPr="00774FFC">
        <w:t>Náklady</w:t>
      </w:r>
      <w:r>
        <w:t xml:space="preserve"> </w:t>
      </w:r>
      <w:r w:rsidRPr="00774FFC">
        <w:t>exekuce</w:t>
      </w:r>
      <w:r>
        <w:t xml:space="preserve"> </w:t>
      </w:r>
      <w:r w:rsidRPr="00774FFC">
        <w:t>se</w:t>
      </w:r>
      <w:r>
        <w:t xml:space="preserve"> </w:t>
      </w:r>
      <w:r w:rsidRPr="00774FFC">
        <w:t>uspokojují</w:t>
      </w:r>
      <w:r>
        <w:t xml:space="preserve"> </w:t>
      </w:r>
      <w:r w:rsidRPr="00774FFC">
        <w:t>jako</w:t>
      </w:r>
      <w:r>
        <w:t xml:space="preserve"> </w:t>
      </w:r>
      <w:r w:rsidRPr="00774FFC">
        <w:t>náklady</w:t>
      </w:r>
      <w:r>
        <w:t xml:space="preserve"> </w:t>
      </w:r>
      <w:r w:rsidRPr="00774FFC">
        <w:t>prodeje</w:t>
      </w:r>
      <w:r>
        <w:t xml:space="preserve"> </w:t>
      </w:r>
      <w:r w:rsidRPr="00774FFC">
        <w:t>movitých</w:t>
      </w:r>
      <w:r>
        <w:t xml:space="preserve"> </w:t>
      </w:r>
      <w:r w:rsidRPr="00774FFC">
        <w:t>věcí</w:t>
      </w:r>
      <w:r>
        <w:t xml:space="preserve"> </w:t>
      </w:r>
      <w:r w:rsidRPr="00774FFC">
        <w:t>podle</w:t>
      </w:r>
      <w:r>
        <w:t xml:space="preserve"> </w:t>
      </w:r>
      <w:r w:rsidRPr="00774FFC">
        <w:t>občanského</w:t>
      </w:r>
      <w:r>
        <w:t xml:space="preserve"> </w:t>
      </w:r>
      <w:r w:rsidRPr="00774FFC">
        <w:t>soudního</w:t>
      </w:r>
      <w:r>
        <w:t xml:space="preserve"> </w:t>
      </w:r>
      <w:r w:rsidRPr="00774FFC">
        <w:t>řádu</w:t>
      </w:r>
      <w:r>
        <w:t xml:space="preserve"> </w:t>
      </w:r>
      <w:r w:rsidRPr="00774FFC">
        <w:t>nebo</w:t>
      </w:r>
      <w:r>
        <w:t xml:space="preserve"> </w:t>
      </w:r>
      <w:r w:rsidRPr="00774FFC">
        <w:t>jako</w:t>
      </w:r>
      <w:r>
        <w:t xml:space="preserve"> </w:t>
      </w:r>
      <w:r w:rsidRPr="00774FFC">
        <w:t>pohledávky</w:t>
      </w:r>
      <w:r>
        <w:t xml:space="preserve"> </w:t>
      </w:r>
      <w:r w:rsidRPr="00774FFC">
        <w:t>nákladů</w:t>
      </w:r>
      <w:r>
        <w:t xml:space="preserve"> </w:t>
      </w:r>
      <w:r w:rsidRPr="00774FFC">
        <w:t>řízení</w:t>
      </w:r>
      <w:r>
        <w:t xml:space="preserve"> </w:t>
      </w:r>
      <w:r w:rsidRPr="00774FFC">
        <w:t>ve</w:t>
      </w:r>
      <w:r>
        <w:t xml:space="preserve"> </w:t>
      </w:r>
      <w:r w:rsidRPr="00774FFC">
        <w:t>skupině</w:t>
      </w:r>
      <w:r>
        <w:t xml:space="preserve"> </w:t>
      </w:r>
      <w:r w:rsidRPr="00774FFC">
        <w:t>uvedené</w:t>
      </w:r>
      <w:r>
        <w:t xml:space="preserve"> </w:t>
      </w:r>
      <w:r w:rsidRPr="00774FFC">
        <w:t>v</w:t>
      </w:r>
      <w:r>
        <w:t xml:space="preserve"> </w:t>
      </w:r>
      <w:r w:rsidRPr="00774FFC">
        <w:t>§</w:t>
      </w:r>
      <w:r>
        <w:t xml:space="preserve"> </w:t>
      </w:r>
      <w:r w:rsidRPr="00774FFC">
        <w:t>337c</w:t>
      </w:r>
      <w:r>
        <w:t xml:space="preserve"> </w:t>
      </w:r>
      <w:r w:rsidRPr="00774FFC">
        <w:t>odst.</w:t>
      </w:r>
      <w:r>
        <w:t xml:space="preserve"> </w:t>
      </w:r>
      <w:r w:rsidRPr="00774FFC">
        <w:t>1</w:t>
      </w:r>
      <w:r>
        <w:t xml:space="preserve"> </w:t>
      </w:r>
      <w:r w:rsidRPr="00774FFC">
        <w:t>písm.</w:t>
      </w:r>
      <w:r>
        <w:t xml:space="preserve"> </w:t>
      </w:r>
      <w:r w:rsidRPr="00774FFC">
        <w:t>a)</w:t>
      </w:r>
      <w:r>
        <w:t xml:space="preserve"> </w:t>
      </w:r>
      <w:r w:rsidRPr="00774FFC">
        <w:t>občanského</w:t>
      </w:r>
      <w:r>
        <w:t xml:space="preserve"> </w:t>
      </w:r>
      <w:r w:rsidRPr="00774FFC">
        <w:t>soudního</w:t>
      </w:r>
      <w:r>
        <w:t xml:space="preserve"> </w:t>
      </w:r>
      <w:r w:rsidRPr="00774FFC">
        <w:t>řádu.</w:t>
      </w:r>
    </w:p>
    <w:p w14:paraId="780AA53D" w14:textId="77777777" w:rsidR="005D11A8" w:rsidRPr="00774FFC" w:rsidRDefault="005D11A8" w:rsidP="005D11A8">
      <w:pPr>
        <w:pStyle w:val="Textparagrafu"/>
        <w:tabs>
          <w:tab w:val="left" w:pos="392"/>
          <w:tab w:val="left" w:pos="840"/>
        </w:tabs>
        <w:spacing w:after="120"/>
        <w:ind w:firstLine="0"/>
        <w:jc w:val="center"/>
      </w:pPr>
      <w:r w:rsidRPr="00774FFC">
        <w:t>***</w:t>
      </w:r>
    </w:p>
    <w:p w14:paraId="4B721BCE" w14:textId="77777777" w:rsidR="005D11A8" w:rsidRDefault="005D11A8" w:rsidP="005D11A8">
      <w:pPr>
        <w:pStyle w:val="Textparagrafu"/>
        <w:tabs>
          <w:tab w:val="left" w:pos="392"/>
          <w:tab w:val="left" w:pos="840"/>
        </w:tabs>
        <w:spacing w:after="120"/>
        <w:ind w:firstLine="0"/>
        <w:jc w:val="center"/>
      </w:pPr>
      <w:r w:rsidRPr="00774FFC">
        <w:t>§</w:t>
      </w:r>
      <w:r>
        <w:t xml:space="preserve"> </w:t>
      </w:r>
      <w:r w:rsidRPr="00774FFC">
        <w:t>70</w:t>
      </w:r>
    </w:p>
    <w:p w14:paraId="73A19768" w14:textId="77777777" w:rsidR="005D11A8" w:rsidRDefault="005D11A8" w:rsidP="009B3F94">
      <w:pPr>
        <w:pStyle w:val="Textparagrafu"/>
        <w:tabs>
          <w:tab w:val="left" w:pos="392"/>
          <w:tab w:val="left" w:pos="840"/>
        </w:tabs>
        <w:spacing w:before="120" w:after="120"/>
      </w:pPr>
      <w:r w:rsidRPr="00774FFC">
        <w:t>(1)</w:t>
      </w:r>
      <w:r>
        <w:t xml:space="preserve"> </w:t>
      </w:r>
      <w:r w:rsidRPr="00774FFC">
        <w:t>K</w:t>
      </w:r>
      <w:r>
        <w:t xml:space="preserve"> </w:t>
      </w:r>
      <w:r w:rsidRPr="00774FFC">
        <w:t>exekuci</w:t>
      </w:r>
      <w:r>
        <w:t xml:space="preserve"> </w:t>
      </w:r>
      <w:r w:rsidRPr="00774FFC">
        <w:t>postižením</w:t>
      </w:r>
      <w:r>
        <w:t xml:space="preserve"> </w:t>
      </w:r>
      <w:r w:rsidRPr="00774FFC">
        <w:t>závodu</w:t>
      </w:r>
      <w:r>
        <w:t xml:space="preserve"> </w:t>
      </w:r>
      <w:r w:rsidRPr="00774FFC">
        <w:t>nebo</w:t>
      </w:r>
      <w:r>
        <w:t xml:space="preserve"> </w:t>
      </w:r>
      <w:r w:rsidRPr="00774FFC">
        <w:t>části</w:t>
      </w:r>
      <w:r>
        <w:t xml:space="preserve"> </w:t>
      </w:r>
      <w:r w:rsidRPr="00774FFC">
        <w:t>závodu</w:t>
      </w:r>
      <w:r>
        <w:t xml:space="preserve"> </w:t>
      </w:r>
      <w:r w:rsidRPr="00774FFC">
        <w:t>povinného</w:t>
      </w:r>
      <w:r>
        <w:t xml:space="preserve"> </w:t>
      </w:r>
      <w:r w:rsidRPr="00774FFC">
        <w:t>může</w:t>
      </w:r>
      <w:r>
        <w:t xml:space="preserve"> </w:t>
      </w:r>
      <w:r w:rsidRPr="00774FFC">
        <w:t>exekutor</w:t>
      </w:r>
      <w:r>
        <w:t xml:space="preserve"> </w:t>
      </w:r>
      <w:r w:rsidRPr="00774FFC">
        <w:t>přistoupit,</w:t>
      </w:r>
      <w:r>
        <w:t xml:space="preserve"> </w:t>
      </w:r>
      <w:r w:rsidRPr="00774FFC">
        <w:t>jen</w:t>
      </w:r>
      <w:r>
        <w:t xml:space="preserve"> </w:t>
      </w:r>
      <w:r w:rsidRPr="00774FFC">
        <w:t>jestliže</w:t>
      </w:r>
      <w:r>
        <w:t xml:space="preserve"> </w:t>
      </w:r>
      <w:r w:rsidRPr="00774FFC">
        <w:t>bude</w:t>
      </w:r>
      <w:r>
        <w:t xml:space="preserve"> </w:t>
      </w:r>
      <w:r w:rsidRPr="00774FFC">
        <w:t>doloženo,</w:t>
      </w:r>
      <w:r>
        <w:t xml:space="preserve"> </w:t>
      </w:r>
      <w:r w:rsidRPr="00774FFC">
        <w:t>že</w:t>
      </w:r>
      <w:r>
        <w:t xml:space="preserve"> </w:t>
      </w:r>
      <w:r w:rsidRPr="00774FFC">
        <w:t>závod</w:t>
      </w:r>
      <w:r>
        <w:t xml:space="preserve"> </w:t>
      </w:r>
      <w:r w:rsidRPr="00774FFC">
        <w:t>nebo</w:t>
      </w:r>
      <w:r>
        <w:t xml:space="preserve"> </w:t>
      </w:r>
      <w:r w:rsidRPr="00774FFC">
        <w:t>část</w:t>
      </w:r>
      <w:r>
        <w:t xml:space="preserve"> </w:t>
      </w:r>
      <w:r w:rsidRPr="00774FFC">
        <w:t>závodu</w:t>
      </w:r>
      <w:r>
        <w:t xml:space="preserve"> </w:t>
      </w:r>
      <w:r w:rsidRPr="00774FFC">
        <w:t>je</w:t>
      </w:r>
      <w:r>
        <w:t xml:space="preserve"> </w:t>
      </w:r>
      <w:r w:rsidRPr="00774FFC">
        <w:t>majetkem</w:t>
      </w:r>
      <w:r>
        <w:t xml:space="preserve"> </w:t>
      </w:r>
      <w:r w:rsidRPr="00774FFC">
        <w:t>povinného.</w:t>
      </w:r>
    </w:p>
    <w:p w14:paraId="193A6E5D" w14:textId="77777777" w:rsidR="005D11A8" w:rsidRDefault="005D11A8" w:rsidP="009B3F94">
      <w:pPr>
        <w:pStyle w:val="Textparagrafu"/>
        <w:tabs>
          <w:tab w:val="left" w:pos="392"/>
          <w:tab w:val="left" w:pos="840"/>
        </w:tabs>
        <w:spacing w:before="120" w:after="120"/>
      </w:pPr>
      <w:r w:rsidRPr="00774FFC">
        <w:t>(2)</w:t>
      </w:r>
      <w:r>
        <w:t xml:space="preserve"> </w:t>
      </w:r>
      <w:r w:rsidRPr="00774FFC">
        <w:t>Exekutor</w:t>
      </w:r>
      <w:r>
        <w:t xml:space="preserve"> </w:t>
      </w:r>
      <w:r w:rsidRPr="00774FFC">
        <w:t>ustanoví</w:t>
      </w:r>
      <w:r>
        <w:t xml:space="preserve"> </w:t>
      </w:r>
      <w:r w:rsidRPr="00774FFC">
        <w:t>v</w:t>
      </w:r>
      <w:r>
        <w:t xml:space="preserve"> </w:t>
      </w:r>
      <w:r w:rsidRPr="00774FFC">
        <w:t>exekučním</w:t>
      </w:r>
      <w:r>
        <w:t xml:space="preserve"> </w:t>
      </w:r>
      <w:r w:rsidRPr="00774FFC">
        <w:t>příkazu</w:t>
      </w:r>
      <w:r>
        <w:t xml:space="preserve"> </w:t>
      </w:r>
      <w:r w:rsidRPr="00774FFC">
        <w:t>správce</w:t>
      </w:r>
      <w:r>
        <w:t xml:space="preserve"> </w:t>
      </w:r>
      <w:r w:rsidRPr="00774FFC">
        <w:t>závodu.</w:t>
      </w:r>
    </w:p>
    <w:p w14:paraId="71A8A9BE" w14:textId="77777777" w:rsidR="005D11A8" w:rsidRDefault="005D11A8" w:rsidP="009B3F94">
      <w:pPr>
        <w:pStyle w:val="Textparagrafu"/>
        <w:tabs>
          <w:tab w:val="left" w:pos="392"/>
          <w:tab w:val="left" w:pos="840"/>
        </w:tabs>
        <w:spacing w:before="120" w:after="120"/>
      </w:pPr>
      <w:r w:rsidRPr="00774FFC">
        <w:t>(3)</w:t>
      </w:r>
      <w:r>
        <w:t xml:space="preserve"> </w:t>
      </w:r>
      <w:r w:rsidRPr="00774FFC">
        <w:t>Ustanovení</w:t>
      </w:r>
      <w:r>
        <w:t xml:space="preserve"> </w:t>
      </w:r>
      <w:r w:rsidRPr="00774FFC">
        <w:t>§</w:t>
      </w:r>
      <w:r>
        <w:t xml:space="preserve"> </w:t>
      </w:r>
      <w:r w:rsidRPr="00774FFC">
        <w:t>338u</w:t>
      </w:r>
      <w:r>
        <w:t xml:space="preserve"> </w:t>
      </w:r>
      <w:r w:rsidRPr="00774FFC">
        <w:t>odst.</w:t>
      </w:r>
      <w:r>
        <w:t xml:space="preserve"> </w:t>
      </w:r>
      <w:r w:rsidRPr="00774FFC">
        <w:t>3</w:t>
      </w:r>
      <w:r>
        <w:t xml:space="preserve"> </w:t>
      </w:r>
      <w:r w:rsidRPr="00774FFC">
        <w:t>občanského</w:t>
      </w:r>
      <w:r>
        <w:t xml:space="preserve"> </w:t>
      </w:r>
      <w:r w:rsidRPr="00774FFC">
        <w:t>soudního</w:t>
      </w:r>
      <w:r>
        <w:t xml:space="preserve"> </w:t>
      </w:r>
      <w:r w:rsidRPr="00774FFC">
        <w:t>řádu</w:t>
      </w:r>
      <w:r>
        <w:t xml:space="preserve"> </w:t>
      </w:r>
      <w:r w:rsidRPr="00774FFC">
        <w:t>se</w:t>
      </w:r>
      <w:r>
        <w:t xml:space="preserve"> </w:t>
      </w:r>
      <w:r w:rsidRPr="00774FFC">
        <w:t>použije</w:t>
      </w:r>
      <w:r>
        <w:t xml:space="preserve"> </w:t>
      </w:r>
      <w:r w:rsidRPr="00774FFC">
        <w:t>obdobně</w:t>
      </w:r>
      <w:r>
        <w:t xml:space="preserve"> </w:t>
      </w:r>
      <w:r w:rsidRPr="00774FFC">
        <w:t>pro</w:t>
      </w:r>
      <w:r>
        <w:t xml:space="preserve"> </w:t>
      </w:r>
      <w:r w:rsidRPr="00774FFC">
        <w:t>exekutory</w:t>
      </w:r>
      <w:r>
        <w:t xml:space="preserve"> </w:t>
      </w:r>
      <w:r w:rsidRPr="00774FFC">
        <w:t>a</w:t>
      </w:r>
      <w:r>
        <w:t xml:space="preserve"> </w:t>
      </w:r>
      <w:r w:rsidRPr="00774FFC">
        <w:t>zaměstnance</w:t>
      </w:r>
      <w:r>
        <w:t xml:space="preserve"> </w:t>
      </w:r>
      <w:r w:rsidRPr="00774FFC">
        <w:t>exekutorských</w:t>
      </w:r>
      <w:r>
        <w:t xml:space="preserve"> </w:t>
      </w:r>
      <w:r w:rsidRPr="00774FFC">
        <w:t>úřadů.</w:t>
      </w:r>
    </w:p>
    <w:p w14:paraId="6E84D48F" w14:textId="77777777" w:rsidR="005D11A8" w:rsidRDefault="005D11A8" w:rsidP="009B3F94">
      <w:pPr>
        <w:pStyle w:val="Textparagrafu"/>
        <w:tabs>
          <w:tab w:val="left" w:pos="392"/>
          <w:tab w:val="left" w:pos="840"/>
        </w:tabs>
        <w:spacing w:before="120" w:after="120"/>
      </w:pPr>
      <w:r w:rsidRPr="00774FFC">
        <w:t>(4)</w:t>
      </w:r>
      <w:r>
        <w:t xml:space="preserve"> </w:t>
      </w:r>
      <w:r w:rsidRPr="00774FFC">
        <w:t>Náklady</w:t>
      </w:r>
      <w:r>
        <w:t xml:space="preserve"> </w:t>
      </w:r>
      <w:r w:rsidRPr="00774FFC">
        <w:t>exekuce</w:t>
      </w:r>
      <w:r>
        <w:t xml:space="preserve"> </w:t>
      </w:r>
      <w:r w:rsidRPr="00774FFC">
        <w:t>se</w:t>
      </w:r>
      <w:r>
        <w:t xml:space="preserve"> </w:t>
      </w:r>
      <w:r w:rsidRPr="00774FFC">
        <w:t>uspokojují</w:t>
      </w:r>
      <w:r>
        <w:t xml:space="preserve"> </w:t>
      </w:r>
      <w:r w:rsidRPr="00774FFC">
        <w:t>jako</w:t>
      </w:r>
      <w:r>
        <w:t xml:space="preserve"> </w:t>
      </w:r>
      <w:r w:rsidRPr="00774FFC">
        <w:t>pohledávky</w:t>
      </w:r>
      <w:r>
        <w:t xml:space="preserve"> </w:t>
      </w:r>
      <w:r w:rsidRPr="00774FFC">
        <w:t>nákladů</w:t>
      </w:r>
      <w:r>
        <w:t xml:space="preserve"> </w:t>
      </w:r>
      <w:r w:rsidRPr="00774FFC">
        <w:t>řízení</w:t>
      </w:r>
      <w:r>
        <w:t xml:space="preserve"> </w:t>
      </w:r>
      <w:r w:rsidRPr="00774FFC">
        <w:t>ve</w:t>
      </w:r>
      <w:r>
        <w:t xml:space="preserve"> </w:t>
      </w:r>
      <w:r w:rsidRPr="00774FFC">
        <w:t>skupině</w:t>
      </w:r>
      <w:r>
        <w:t xml:space="preserve"> </w:t>
      </w:r>
      <w:r w:rsidRPr="00774FFC">
        <w:t>uvedené</w:t>
      </w:r>
      <w:r>
        <w:t xml:space="preserve"> </w:t>
      </w:r>
      <w:r w:rsidRPr="00774FFC">
        <w:t>v</w:t>
      </w:r>
      <w:r>
        <w:t xml:space="preserve"> </w:t>
      </w:r>
      <w:r w:rsidRPr="00774FFC">
        <w:t>§</w:t>
      </w:r>
      <w:r>
        <w:t xml:space="preserve"> </w:t>
      </w:r>
      <w:r w:rsidRPr="00774FFC">
        <w:t>338ze</w:t>
      </w:r>
      <w:r>
        <w:t xml:space="preserve"> </w:t>
      </w:r>
      <w:r w:rsidRPr="00774FFC">
        <w:t>odst.</w:t>
      </w:r>
      <w:r>
        <w:t xml:space="preserve"> </w:t>
      </w:r>
      <w:r w:rsidRPr="00774FFC">
        <w:t>1</w:t>
      </w:r>
      <w:r>
        <w:t xml:space="preserve"> </w:t>
      </w:r>
      <w:r w:rsidRPr="00774FFC">
        <w:t>písm.</w:t>
      </w:r>
      <w:r>
        <w:t xml:space="preserve"> </w:t>
      </w:r>
      <w:r w:rsidRPr="00774FFC">
        <w:t>a)</w:t>
      </w:r>
      <w:r>
        <w:t xml:space="preserve"> </w:t>
      </w:r>
      <w:r w:rsidRPr="00774FFC">
        <w:t>občanského</w:t>
      </w:r>
      <w:r>
        <w:t xml:space="preserve"> </w:t>
      </w:r>
      <w:r w:rsidRPr="00774FFC">
        <w:t>soudního</w:t>
      </w:r>
      <w:r>
        <w:t xml:space="preserve"> </w:t>
      </w:r>
      <w:r w:rsidRPr="00774FFC">
        <w:t>řádu.</w:t>
      </w:r>
      <w:r>
        <w:t xml:space="preserve"> </w:t>
      </w:r>
      <w:r w:rsidRPr="00774FFC">
        <w:t>Na</w:t>
      </w:r>
      <w:r>
        <w:t xml:space="preserve"> </w:t>
      </w:r>
      <w:r w:rsidRPr="00774FFC">
        <w:t>náklady</w:t>
      </w:r>
      <w:r>
        <w:t xml:space="preserve"> </w:t>
      </w:r>
      <w:r w:rsidRPr="00774FFC">
        <w:t>exekuce</w:t>
      </w:r>
      <w:r>
        <w:t xml:space="preserve"> </w:t>
      </w:r>
      <w:r w:rsidRPr="00774FFC">
        <w:t>při</w:t>
      </w:r>
      <w:r>
        <w:t xml:space="preserve"> </w:t>
      </w:r>
      <w:r w:rsidRPr="00774FFC">
        <w:t>správě</w:t>
      </w:r>
      <w:r>
        <w:t xml:space="preserve"> </w:t>
      </w:r>
      <w:r w:rsidRPr="00774FFC">
        <w:t>závodu</w:t>
      </w:r>
      <w:r>
        <w:t xml:space="preserve"> </w:t>
      </w:r>
      <w:r w:rsidRPr="00774FFC">
        <w:t>se</w:t>
      </w:r>
      <w:r>
        <w:t xml:space="preserve"> </w:t>
      </w:r>
      <w:r w:rsidRPr="00774FFC">
        <w:t>§</w:t>
      </w:r>
      <w:r>
        <w:t xml:space="preserve"> </w:t>
      </w:r>
      <w:r w:rsidRPr="00774FFC">
        <w:t>65a</w:t>
      </w:r>
      <w:r>
        <w:t xml:space="preserve"> </w:t>
      </w:r>
      <w:r w:rsidRPr="00774FFC">
        <w:t>použije</w:t>
      </w:r>
      <w:r>
        <w:t xml:space="preserve"> </w:t>
      </w:r>
      <w:r w:rsidRPr="00774FFC">
        <w:t>obdobně.</w:t>
      </w:r>
    </w:p>
    <w:p w14:paraId="78DB5992" w14:textId="404E2357" w:rsidR="005D11A8" w:rsidRPr="00E76175" w:rsidRDefault="005D11A8" w:rsidP="009B3F94">
      <w:pPr>
        <w:pStyle w:val="Textparagrafu"/>
        <w:tabs>
          <w:tab w:val="left" w:pos="392"/>
          <w:tab w:val="left" w:pos="840"/>
        </w:tabs>
        <w:spacing w:before="120" w:after="120"/>
        <w:rPr>
          <w:vertAlign w:val="superscript"/>
        </w:rPr>
      </w:pPr>
      <w:r w:rsidRPr="00774FFC">
        <w:t>(5)</w:t>
      </w:r>
      <w:r>
        <w:t xml:space="preserve"> </w:t>
      </w:r>
      <w:r w:rsidRPr="00774FFC">
        <w:t>Při</w:t>
      </w:r>
      <w:r>
        <w:t xml:space="preserve"> </w:t>
      </w:r>
      <w:r w:rsidRPr="00774FFC">
        <w:t>oceňování</w:t>
      </w:r>
      <w:r>
        <w:t xml:space="preserve"> </w:t>
      </w:r>
      <w:r w:rsidRPr="00774FFC">
        <w:t>závodu</w:t>
      </w:r>
      <w:r>
        <w:t xml:space="preserve"> </w:t>
      </w:r>
      <w:r w:rsidRPr="00774FFC">
        <w:t>nebo</w:t>
      </w:r>
      <w:r>
        <w:t xml:space="preserve"> </w:t>
      </w:r>
      <w:r w:rsidRPr="00774FFC">
        <w:t>jeho</w:t>
      </w:r>
      <w:r>
        <w:t xml:space="preserve"> </w:t>
      </w:r>
      <w:r w:rsidRPr="00774FFC">
        <w:t>části</w:t>
      </w:r>
      <w:r>
        <w:t xml:space="preserve"> </w:t>
      </w:r>
      <w:r w:rsidRPr="00774FFC">
        <w:t>se</w:t>
      </w:r>
      <w:r>
        <w:t xml:space="preserve"> </w:t>
      </w:r>
      <w:r w:rsidRPr="00774FFC">
        <w:t>použije</w:t>
      </w:r>
      <w:r>
        <w:t xml:space="preserve"> </w:t>
      </w:r>
      <w:r w:rsidRPr="00C561D5">
        <w:t>obvyklá</w:t>
      </w:r>
      <w:r w:rsidRPr="00B40777">
        <w:t xml:space="preserve"> cena</w:t>
      </w:r>
      <w:r w:rsidRPr="00E76175">
        <w:rPr>
          <w:strike/>
        </w:rPr>
        <w:t xml:space="preserve"> podle zvláštního právního </w:t>
      </w:r>
      <w:proofErr w:type="gramStart"/>
      <w:r w:rsidRPr="00E76175">
        <w:rPr>
          <w:strike/>
        </w:rPr>
        <w:t>předpisu</w:t>
      </w:r>
      <w:r w:rsidRPr="00774FFC">
        <w:t>.</w:t>
      </w:r>
      <w:r w:rsidRPr="00E76175">
        <w:rPr>
          <w:strike/>
          <w:vertAlign w:val="superscript"/>
        </w:rPr>
        <w:t>18</w:t>
      </w:r>
      <w:proofErr w:type="gramEnd"/>
      <w:r w:rsidRPr="00E76175">
        <w:rPr>
          <w:strike/>
          <w:vertAlign w:val="superscript"/>
        </w:rPr>
        <w:t>)</w:t>
      </w:r>
    </w:p>
    <w:p w14:paraId="69190491" w14:textId="77777777" w:rsidR="005D11A8" w:rsidRDefault="005D11A8" w:rsidP="00CB5381">
      <w:pPr>
        <w:pStyle w:val="Textparagrafu"/>
        <w:tabs>
          <w:tab w:val="left" w:pos="406"/>
          <w:tab w:val="left" w:pos="840"/>
          <w:tab w:val="left" w:pos="868"/>
        </w:tabs>
        <w:spacing w:after="120"/>
        <w:ind w:firstLine="0"/>
        <w:sectPr w:rsidR="005D11A8" w:rsidSect="00554E2B">
          <w:footnotePr>
            <w:numStart w:val="3"/>
          </w:footnotePr>
          <w:endnotePr>
            <w:numFmt w:val="decimal"/>
          </w:endnotePr>
          <w:pgSz w:w="11906" w:h="16838"/>
          <w:pgMar w:top="1418" w:right="1418" w:bottom="1418" w:left="1418" w:header="709" w:footer="709" w:gutter="0"/>
          <w:cols w:space="708"/>
          <w:docGrid w:linePitch="360"/>
        </w:sectPr>
      </w:pPr>
    </w:p>
    <w:p w14:paraId="1E3A1D82" w14:textId="698BB238" w:rsidR="00450C69" w:rsidRPr="00747208" w:rsidRDefault="00450C69" w:rsidP="009B3F94">
      <w:pPr>
        <w:tabs>
          <w:tab w:val="left" w:pos="851"/>
        </w:tabs>
        <w:spacing w:before="120" w:after="120"/>
        <w:ind w:firstLine="0"/>
        <w:jc w:val="center"/>
        <w:outlineLvl w:val="0"/>
        <w:rPr>
          <w:szCs w:val="24"/>
        </w:rPr>
      </w:pPr>
      <w:r w:rsidRPr="00747208">
        <w:rPr>
          <w:b/>
          <w:szCs w:val="24"/>
        </w:rPr>
        <w:lastRenderedPageBreak/>
        <w:t xml:space="preserve">K části šedesáté </w:t>
      </w:r>
      <w:r w:rsidR="00747208" w:rsidRPr="00747208">
        <w:rPr>
          <w:b/>
          <w:szCs w:val="24"/>
        </w:rPr>
        <w:t xml:space="preserve">první </w:t>
      </w:r>
      <w:r w:rsidRPr="00747208">
        <w:rPr>
          <w:b/>
          <w:szCs w:val="24"/>
        </w:rPr>
        <w:t xml:space="preserve">návrhu zákona – </w:t>
      </w:r>
      <w:r w:rsidRPr="00747208">
        <w:rPr>
          <w:szCs w:val="24"/>
        </w:rPr>
        <w:t>změna zákona</w:t>
      </w:r>
      <w:r w:rsidRPr="00747208">
        <w:t xml:space="preserve"> </w:t>
      </w:r>
      <w:r w:rsidRPr="00747208">
        <w:rPr>
          <w:szCs w:val="24"/>
        </w:rPr>
        <w:t xml:space="preserve">o finanční kontrole </w:t>
      </w:r>
    </w:p>
    <w:p w14:paraId="368AD992" w14:textId="6B933CA7" w:rsidR="00450C69" w:rsidRPr="00747208" w:rsidRDefault="00450C69" w:rsidP="00450C69">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747208">
        <w:rPr>
          <w:b/>
          <w:szCs w:val="24"/>
        </w:rPr>
        <w:t>Platné znění</w:t>
      </w:r>
      <w:r w:rsidRPr="00747208">
        <w:rPr>
          <w:szCs w:val="24"/>
        </w:rPr>
        <w:t xml:space="preserve"> zákona č.</w:t>
      </w:r>
      <w:r w:rsidR="009B3F94">
        <w:rPr>
          <w:szCs w:val="24"/>
        </w:rPr>
        <w:t xml:space="preserve"> </w:t>
      </w:r>
      <w:r w:rsidRPr="00747208">
        <w:rPr>
          <w:szCs w:val="24"/>
        </w:rPr>
        <w:t>320/2001 Sb., o finanční kontrole ve veřejné správě a o změně některých zákonů (zákon o finanční kontrole)</w:t>
      </w:r>
    </w:p>
    <w:p w14:paraId="07C98B9C" w14:textId="2F40FF69" w:rsidR="00450C69" w:rsidRPr="00747208" w:rsidRDefault="009B3F94" w:rsidP="00450C69">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AE4818">
        <w:rPr>
          <w:b/>
          <w:szCs w:val="24"/>
          <w:lang w:eastAsia="en-US"/>
        </w:rPr>
        <w:t>s vyznačením navrhovaných změn a doplnění k 1. lednu 2025</w:t>
      </w:r>
    </w:p>
    <w:p w14:paraId="72810DC3" w14:textId="77777777" w:rsidR="00450C69" w:rsidRPr="00747208" w:rsidRDefault="00450C69" w:rsidP="00450C69">
      <w:pPr>
        <w:pStyle w:val="Textparagrafu"/>
        <w:tabs>
          <w:tab w:val="left" w:pos="406"/>
          <w:tab w:val="left" w:pos="840"/>
          <w:tab w:val="left" w:pos="868"/>
        </w:tabs>
        <w:spacing w:after="120"/>
        <w:ind w:firstLine="0"/>
        <w:jc w:val="center"/>
      </w:pPr>
      <w:r w:rsidRPr="00747208">
        <w:t>***</w:t>
      </w:r>
    </w:p>
    <w:p w14:paraId="3FE062CA" w14:textId="77777777" w:rsidR="00747208" w:rsidRPr="002D7CF5" w:rsidRDefault="00747208" w:rsidP="00F208FB">
      <w:pPr>
        <w:pStyle w:val="Odstavecseseznamem"/>
        <w:widowControl w:val="0"/>
        <w:numPr>
          <w:ilvl w:val="0"/>
          <w:numId w:val="29"/>
        </w:numPr>
        <w:autoSpaceDE w:val="0"/>
        <w:autoSpaceDN w:val="0"/>
        <w:adjustRightInd w:val="0"/>
        <w:spacing w:after="120"/>
        <w:contextualSpacing w:val="0"/>
        <w:jc w:val="center"/>
        <w:rPr>
          <w:rFonts w:eastAsiaTheme="minorEastAsia"/>
        </w:rPr>
      </w:pPr>
      <w:r w:rsidRPr="002D7CF5">
        <w:rPr>
          <w:rFonts w:eastAsiaTheme="minorEastAsia"/>
        </w:rPr>
        <w:t>§ 26</w:t>
      </w:r>
    </w:p>
    <w:p w14:paraId="1E3AC5D0" w14:textId="77777777" w:rsidR="00747208" w:rsidRPr="002D7CF5" w:rsidRDefault="00747208" w:rsidP="00F208FB">
      <w:pPr>
        <w:pStyle w:val="Nadpisparagrafu"/>
        <w:numPr>
          <w:ilvl w:val="0"/>
          <w:numId w:val="2"/>
        </w:numPr>
        <w:spacing w:after="120"/>
        <w:rPr>
          <w:rFonts w:eastAsiaTheme="minorEastAsia"/>
        </w:rPr>
      </w:pPr>
      <w:r w:rsidRPr="002D7CF5">
        <w:rPr>
          <w:rFonts w:eastAsiaTheme="minorEastAsia"/>
        </w:rPr>
        <w:t xml:space="preserve">Předběžná kontrola </w:t>
      </w:r>
    </w:p>
    <w:p w14:paraId="4FC37BA7" w14:textId="77777777" w:rsidR="00747208" w:rsidRPr="002D7CF5" w:rsidRDefault="00747208" w:rsidP="009B3F94">
      <w:pPr>
        <w:pStyle w:val="Textodstavce"/>
        <w:ind w:firstLine="425"/>
        <w:rPr>
          <w:rFonts w:eastAsiaTheme="minorEastAsia"/>
        </w:rPr>
      </w:pPr>
      <w:r w:rsidRPr="002D7CF5">
        <w:rPr>
          <w:rFonts w:eastAsiaTheme="minorEastAsia"/>
        </w:rPr>
        <w:t xml:space="preserve">(1) Uvnitř orgánu veřejné správy zajišťují předběžnou kontrolu plánovaných a připravovaných operací </w:t>
      </w:r>
    </w:p>
    <w:p w14:paraId="196B8D43" w14:textId="77777777" w:rsidR="00747208" w:rsidRPr="002D7CF5" w:rsidRDefault="00747208" w:rsidP="00F208FB">
      <w:pPr>
        <w:pStyle w:val="PZTextpsmene"/>
        <w:spacing w:before="0"/>
      </w:pPr>
      <w:r>
        <w:rPr>
          <w:rFonts w:eastAsiaTheme="minorEastAsia"/>
        </w:rPr>
        <w:t>a)</w:t>
      </w:r>
      <w:r>
        <w:rPr>
          <w:rFonts w:eastAsiaTheme="minorEastAsia"/>
        </w:rPr>
        <w:tab/>
      </w:r>
      <w:r w:rsidRPr="002D7CF5">
        <w:t xml:space="preserve">vedoucí tohoto orgánu nebo vedoucí zaměstnanci jím pověření k nakládání s veřejnými prostředky orgánu veřejné správy jako příkazci operací, </w:t>
      </w:r>
    </w:p>
    <w:p w14:paraId="4E1703C7" w14:textId="77777777" w:rsidR="00747208" w:rsidRPr="002D7CF5" w:rsidRDefault="00747208" w:rsidP="00F208FB">
      <w:pPr>
        <w:pStyle w:val="PZTextpsmene"/>
        <w:spacing w:before="0"/>
      </w:pPr>
      <w:r w:rsidRPr="002D7CF5">
        <w:t>b</w:t>
      </w:r>
      <w:r>
        <w:t>)</w:t>
      </w:r>
      <w:r>
        <w:tab/>
      </w:r>
      <w:r w:rsidRPr="002D7CF5">
        <w:t xml:space="preserve">vedoucí zaměstnanec organizačního útvaru odpovědný za správu rozpočtu orgánu veřejné správy nebo jiný zaměstnanec pověřený k tomu vedoucím tohoto orgánu jako správce rozpočtu, </w:t>
      </w:r>
    </w:p>
    <w:p w14:paraId="63F8CB39" w14:textId="77777777" w:rsidR="00747208" w:rsidRPr="002D7CF5" w:rsidRDefault="00747208" w:rsidP="00F208FB">
      <w:pPr>
        <w:pStyle w:val="PZTextpsmene"/>
        <w:spacing w:before="0"/>
        <w:rPr>
          <w:rFonts w:eastAsiaTheme="minorEastAsia"/>
        </w:rPr>
      </w:pPr>
      <w:r>
        <w:t>c)</w:t>
      </w:r>
      <w:r>
        <w:tab/>
      </w:r>
      <w:r w:rsidRPr="002D7CF5">
        <w:t>vedoucí zaměstnanec organizačního útvaru odpovědný za</w:t>
      </w:r>
      <w:r w:rsidRPr="002D7CF5">
        <w:rPr>
          <w:rFonts w:eastAsiaTheme="minorEastAsia"/>
        </w:rPr>
        <w:t xml:space="preserve"> </w:t>
      </w:r>
      <w:r w:rsidRPr="00D1411E">
        <w:rPr>
          <w:rFonts w:eastAsiaTheme="minorEastAsia"/>
          <w:strike/>
        </w:rPr>
        <w:t>vedení účetnictví</w:t>
      </w:r>
      <w:r w:rsidRPr="00D1411E">
        <w:rPr>
          <w:rFonts w:eastAsiaTheme="minorEastAsia"/>
        </w:rPr>
        <w:t xml:space="preserve"> </w:t>
      </w:r>
      <w:r w:rsidRPr="00D1411E">
        <w:rPr>
          <w:rFonts w:eastAsiaTheme="minorEastAsia"/>
          <w:b/>
        </w:rPr>
        <w:t>řádné plnění práv a povinností souvisejících s účetnictvím</w:t>
      </w:r>
      <w:r w:rsidRPr="00D1411E">
        <w:rPr>
          <w:rFonts w:eastAsiaTheme="minorEastAsia"/>
        </w:rPr>
        <w:t xml:space="preserve"> </w:t>
      </w:r>
      <w:r w:rsidRPr="002D7CF5">
        <w:rPr>
          <w:rFonts w:eastAsiaTheme="minorEastAsia"/>
        </w:rPr>
        <w:t xml:space="preserve">orgánu veřejné správy nebo </w:t>
      </w:r>
      <w:r w:rsidRPr="00D1411E">
        <w:rPr>
          <w:rFonts w:eastAsiaTheme="minorEastAsia"/>
          <w:strike/>
        </w:rPr>
        <w:t>jiný zaměstnanec pověřený</w:t>
      </w:r>
      <w:r w:rsidRPr="00D1411E">
        <w:rPr>
          <w:rFonts w:eastAsiaTheme="minorEastAsia"/>
        </w:rPr>
        <w:t xml:space="preserve"> </w:t>
      </w:r>
      <w:r w:rsidRPr="00D1411E">
        <w:rPr>
          <w:rFonts w:eastAsiaTheme="minorEastAsia"/>
          <w:b/>
        </w:rPr>
        <w:t>jiná fyzická osoba pověřená</w:t>
      </w:r>
      <w:r w:rsidRPr="00D1411E">
        <w:rPr>
          <w:rFonts w:eastAsiaTheme="minorEastAsia"/>
        </w:rPr>
        <w:t xml:space="preserve"> k </w:t>
      </w:r>
      <w:r w:rsidRPr="002D7CF5">
        <w:rPr>
          <w:rFonts w:eastAsiaTheme="minorEastAsia"/>
        </w:rPr>
        <w:t xml:space="preserve">tomu vedoucím tohoto orgánu jako hlavní účetní. </w:t>
      </w:r>
    </w:p>
    <w:p w14:paraId="5A99330E" w14:textId="77777777" w:rsidR="00747208" w:rsidRPr="002D7CF5" w:rsidRDefault="00747208" w:rsidP="009B3F94">
      <w:pPr>
        <w:pStyle w:val="Textodstavce"/>
        <w:ind w:firstLine="425"/>
        <w:rPr>
          <w:rFonts w:eastAsiaTheme="minorEastAsia"/>
        </w:rPr>
      </w:pPr>
      <w:r w:rsidRPr="002D7CF5">
        <w:rPr>
          <w:rFonts w:eastAsiaTheme="minorEastAsia"/>
        </w:rPr>
        <w:t xml:space="preserve">(2) Sloučení funkcí podle odstavce 1 je nepřípustné, není-li dále stanoveno jinak. </w:t>
      </w:r>
    </w:p>
    <w:p w14:paraId="424888C3" w14:textId="77777777" w:rsidR="00747208" w:rsidRPr="002D7CF5" w:rsidRDefault="00747208" w:rsidP="009B3F94">
      <w:pPr>
        <w:pStyle w:val="Textodstavce"/>
        <w:ind w:firstLine="425"/>
        <w:rPr>
          <w:rFonts w:eastAsiaTheme="minorEastAsia"/>
        </w:rPr>
      </w:pPr>
      <w:r w:rsidRPr="002D7CF5">
        <w:rPr>
          <w:rFonts w:eastAsiaTheme="minorEastAsia"/>
        </w:rPr>
        <w:t xml:space="preserve">(3) Sloučení funkcí podle odstavce 1 písm. b) a c) je možné v případech, kdy je to odůvodněno malou pravděpodobností výskytu nepřiměřených rizik pro hospodaření s veřejnými prostředky, zejména v návaznosti na povahu činnosti orgánu veřejné správy, stanovené úkoly, stupeň obtížnosti finančního řízení, strukturu a počet zaměstnanců. </w:t>
      </w:r>
    </w:p>
    <w:p w14:paraId="73B37129" w14:textId="77777777" w:rsidR="00747208" w:rsidRPr="002D7CF5" w:rsidRDefault="00747208" w:rsidP="009B3F94">
      <w:pPr>
        <w:pStyle w:val="Textodstavce"/>
        <w:ind w:firstLine="425"/>
        <w:rPr>
          <w:rFonts w:eastAsiaTheme="minorEastAsia"/>
        </w:rPr>
      </w:pPr>
      <w:r w:rsidRPr="002D7CF5">
        <w:rPr>
          <w:rFonts w:eastAsiaTheme="minorEastAsia"/>
        </w:rPr>
        <w:t xml:space="preserve">(4) Pro zaměření předběžné kontroly se použije obdobně ustanovení </w:t>
      </w:r>
      <w:hyperlink r:id="rId22" w:history="1">
        <w:r w:rsidRPr="002D7CF5">
          <w:rPr>
            <w:rFonts w:eastAsiaTheme="minorEastAsia"/>
          </w:rPr>
          <w:t>§ 11 odst. 1</w:t>
        </w:r>
      </w:hyperlink>
      <w:r w:rsidRPr="002D7CF5">
        <w:rPr>
          <w:rFonts w:eastAsiaTheme="minorEastAsia"/>
        </w:rPr>
        <w:t xml:space="preserve"> a pro její výkon se uplatní zejména kontrolní postupy podle </w:t>
      </w:r>
      <w:hyperlink r:id="rId23" w:history="1">
        <w:r w:rsidRPr="002D7CF5">
          <w:rPr>
            <w:rFonts w:eastAsiaTheme="minorEastAsia"/>
          </w:rPr>
          <w:t>§ 6 odst. 2 písm. a)</w:t>
        </w:r>
      </w:hyperlink>
      <w:r w:rsidRPr="002D7CF5">
        <w:rPr>
          <w:rFonts w:eastAsiaTheme="minorEastAsia"/>
        </w:rPr>
        <w:t xml:space="preserve">. </w:t>
      </w:r>
    </w:p>
    <w:p w14:paraId="4609274F" w14:textId="77777777" w:rsidR="00747208" w:rsidRPr="002D7CF5" w:rsidRDefault="00747208" w:rsidP="009B3F94">
      <w:pPr>
        <w:pStyle w:val="Textodstavce"/>
        <w:ind w:firstLine="425"/>
        <w:rPr>
          <w:rFonts w:eastAsiaTheme="minorEastAsia"/>
        </w:rPr>
      </w:pPr>
      <w:r w:rsidRPr="002D7CF5">
        <w:rPr>
          <w:rFonts w:eastAsiaTheme="minorEastAsia"/>
        </w:rPr>
        <w:t xml:space="preserve">(5) Zjistí-li osoby uvedené v odstavci 1 písm. b) a c), že operace byla provedena bez předběžné kontroly, oznámí své zjištění písemně vedoucímu orgánu veřejné správy. Ten je povinen přijmout opatření k prověření této nekontrolované operace a opatření k zabezpečení řádného výkonu předběžné kontroly. </w:t>
      </w:r>
    </w:p>
    <w:p w14:paraId="6835CD73" w14:textId="77777777" w:rsidR="00747208" w:rsidRPr="002D7CF5" w:rsidRDefault="00747208" w:rsidP="009B3F94">
      <w:pPr>
        <w:pStyle w:val="Textodstavce"/>
        <w:ind w:firstLine="425"/>
        <w:rPr>
          <w:rFonts w:eastAsiaTheme="minorEastAsia"/>
        </w:rPr>
      </w:pPr>
      <w:r w:rsidRPr="002D7CF5">
        <w:rPr>
          <w:rFonts w:eastAsiaTheme="minorEastAsia"/>
        </w:rPr>
        <w:t xml:space="preserve">(6) U dobrovolného svazku obcí mohou předběžnou řídicí kontrolu vykonávat i jiné fyzické osoby než zaměstnanci dobrovolného svazku obcí. </w:t>
      </w:r>
    </w:p>
    <w:p w14:paraId="7317A71D" w14:textId="77777777" w:rsidR="00747208" w:rsidRPr="002D7CF5" w:rsidRDefault="00747208" w:rsidP="009B3F94">
      <w:pPr>
        <w:pStyle w:val="Textodstavce"/>
        <w:ind w:firstLine="425"/>
        <w:rPr>
          <w:rFonts w:eastAsiaTheme="minorEastAsia"/>
        </w:rPr>
      </w:pPr>
      <w:r w:rsidRPr="002D7CF5">
        <w:rPr>
          <w:rFonts w:eastAsiaTheme="minorEastAsia"/>
        </w:rPr>
        <w:t xml:space="preserve">(7) U obcí, krajů, hlavního města Prahy, městských části hlavního města Prahy, městských obvodů a části statutárního města může být příkazcem operace člen zastupitelstva. </w:t>
      </w:r>
    </w:p>
    <w:p w14:paraId="6D730AC7" w14:textId="77777777" w:rsidR="00747208" w:rsidRPr="002D7CF5" w:rsidRDefault="00747208" w:rsidP="009B3F94">
      <w:pPr>
        <w:pStyle w:val="Textodstavce"/>
        <w:ind w:firstLine="425"/>
        <w:rPr>
          <w:rFonts w:eastAsiaTheme="minorEastAsia"/>
        </w:rPr>
      </w:pPr>
      <w:r w:rsidRPr="002D7CF5">
        <w:rPr>
          <w:rFonts w:eastAsiaTheme="minorEastAsia"/>
        </w:rPr>
        <w:t xml:space="preserve">(8) U orgánu veřejné správy, který nemá víc než 5 zaměstnanců, může být hlavním účetním nebo správcem rozpočtu jiná fyzická osoba než zaměstnanec orgánu veřejné správy. </w:t>
      </w:r>
    </w:p>
    <w:p w14:paraId="71716F3F" w14:textId="77777777" w:rsidR="00747208" w:rsidRPr="002D7CF5" w:rsidRDefault="00747208" w:rsidP="00F208FB">
      <w:pPr>
        <w:pStyle w:val="Odstavecseseznamem"/>
        <w:keepNext/>
        <w:keepLines/>
        <w:widowControl w:val="0"/>
        <w:numPr>
          <w:ilvl w:val="0"/>
          <w:numId w:val="29"/>
        </w:numPr>
        <w:autoSpaceDE w:val="0"/>
        <w:autoSpaceDN w:val="0"/>
        <w:adjustRightInd w:val="0"/>
        <w:spacing w:after="120"/>
        <w:contextualSpacing w:val="0"/>
        <w:jc w:val="center"/>
        <w:rPr>
          <w:rFonts w:eastAsiaTheme="minorEastAsia"/>
        </w:rPr>
      </w:pPr>
      <w:r w:rsidRPr="002D7CF5">
        <w:rPr>
          <w:rFonts w:eastAsiaTheme="minorEastAsia"/>
        </w:rPr>
        <w:lastRenderedPageBreak/>
        <w:t>§ 27</w:t>
      </w:r>
    </w:p>
    <w:p w14:paraId="27C5C6F0" w14:textId="77777777" w:rsidR="00747208" w:rsidRPr="002D7CF5" w:rsidRDefault="00747208" w:rsidP="00F208FB">
      <w:pPr>
        <w:pStyle w:val="Nadpisparagrafu"/>
        <w:numPr>
          <w:ilvl w:val="0"/>
          <w:numId w:val="2"/>
        </w:numPr>
        <w:spacing w:after="120"/>
        <w:rPr>
          <w:rFonts w:eastAsiaTheme="minorEastAsia"/>
        </w:rPr>
      </w:pPr>
      <w:r w:rsidRPr="002D7CF5">
        <w:rPr>
          <w:rFonts w:eastAsiaTheme="minorEastAsia"/>
        </w:rPr>
        <w:t>Průběžná a následná kontrola</w:t>
      </w:r>
    </w:p>
    <w:p w14:paraId="696DB330" w14:textId="77777777" w:rsidR="00747208" w:rsidRPr="002D7CF5" w:rsidRDefault="00747208" w:rsidP="009B3F94">
      <w:pPr>
        <w:pStyle w:val="Textodstavce"/>
        <w:ind w:firstLine="425"/>
        <w:rPr>
          <w:rFonts w:eastAsiaTheme="minorEastAsia"/>
        </w:rPr>
      </w:pPr>
      <w:r w:rsidRPr="002D7CF5">
        <w:rPr>
          <w:rFonts w:eastAsiaTheme="minorEastAsia"/>
        </w:rPr>
        <w:t xml:space="preserve">(1) Uvnitř orgánu veřejné správy zajišťují průběžnou a následnou kontrolu jeho vedoucí prostřednictvím vedoucích </w:t>
      </w:r>
      <w:r w:rsidRPr="00582D0E">
        <w:rPr>
          <w:rFonts w:eastAsiaTheme="minorEastAsia"/>
        </w:rPr>
        <w:t xml:space="preserve">zaměstnanců organizačních útvarů </w:t>
      </w:r>
      <w:r w:rsidRPr="00582D0E">
        <w:rPr>
          <w:rFonts w:eastAsiaTheme="minorEastAsia"/>
          <w:strike/>
        </w:rPr>
        <w:t>nebo k tomu pověřených zaměstnanců, kteří</w:t>
      </w:r>
      <w:r w:rsidRPr="00582D0E">
        <w:rPr>
          <w:rFonts w:eastAsiaTheme="minorEastAsia"/>
          <w:b/>
        </w:rPr>
        <w:t xml:space="preserve">, k tomu pověřených zaměstnanců nebo fyzických osob pověřených k řádnému plnění práv a povinností souvisejících s účetnictvím orgánu veřejné správy jako hlavní účetní, pokud </w:t>
      </w:r>
      <w:r w:rsidRPr="00582D0E">
        <w:rPr>
          <w:rFonts w:eastAsiaTheme="minorEastAsia"/>
        </w:rPr>
        <w:t xml:space="preserve">zajišťují </w:t>
      </w:r>
      <w:r w:rsidRPr="002D7CF5">
        <w:rPr>
          <w:rFonts w:eastAsiaTheme="minorEastAsia"/>
        </w:rPr>
        <w:t xml:space="preserve">přímé uskutečňování operací při hospodaření s veřejnými prostředky. </w:t>
      </w:r>
    </w:p>
    <w:p w14:paraId="308015A6" w14:textId="77777777" w:rsidR="00747208" w:rsidRPr="002D7CF5" w:rsidRDefault="00747208" w:rsidP="009B3F94">
      <w:pPr>
        <w:pStyle w:val="Textodstavce"/>
        <w:ind w:firstLine="425"/>
        <w:rPr>
          <w:rFonts w:eastAsiaTheme="minorEastAsia"/>
        </w:rPr>
      </w:pPr>
      <w:r w:rsidRPr="002D7CF5">
        <w:rPr>
          <w:rFonts w:eastAsiaTheme="minorEastAsia"/>
        </w:rPr>
        <w:t xml:space="preserve">(2) Pro zaměření průběžné a následné kontroly se použije obdobně ustanovení </w:t>
      </w:r>
      <w:hyperlink r:id="rId24" w:history="1">
        <w:r w:rsidRPr="002D7CF5">
          <w:rPr>
            <w:rFonts w:eastAsiaTheme="minorEastAsia"/>
          </w:rPr>
          <w:t>§ 11 odst. 3 a 4</w:t>
        </w:r>
      </w:hyperlink>
      <w:r w:rsidRPr="002D7CF5">
        <w:rPr>
          <w:rFonts w:eastAsiaTheme="minorEastAsia"/>
        </w:rPr>
        <w:t xml:space="preserve"> a pro její výkon se uplatní zejména kontrolní postupy podle </w:t>
      </w:r>
      <w:hyperlink r:id="rId25" w:history="1">
        <w:r w:rsidRPr="002D7CF5">
          <w:rPr>
            <w:rFonts w:eastAsiaTheme="minorEastAsia"/>
          </w:rPr>
          <w:t>§ 6 odst. 2 písm. b) až d)</w:t>
        </w:r>
      </w:hyperlink>
      <w:r w:rsidRPr="002D7CF5">
        <w:rPr>
          <w:rFonts w:eastAsiaTheme="minorEastAsia"/>
        </w:rPr>
        <w:t xml:space="preserve">. </w:t>
      </w:r>
    </w:p>
    <w:p w14:paraId="3CCB59A5" w14:textId="77777777" w:rsidR="00747208" w:rsidRPr="002D7CF5" w:rsidRDefault="00747208" w:rsidP="009B3F94">
      <w:pPr>
        <w:pStyle w:val="Textodstavce"/>
        <w:ind w:firstLine="425"/>
        <w:rPr>
          <w:rFonts w:eastAsiaTheme="minorEastAsia"/>
        </w:rPr>
      </w:pPr>
      <w:r w:rsidRPr="002D7CF5">
        <w:rPr>
          <w:rFonts w:eastAsiaTheme="minorEastAsia"/>
        </w:rPr>
        <w:t xml:space="preserve">(3) Zjistí-li osoby uvedené v odstavci 1 při výkonu průběžné a následné kontroly, že s veřejnými prostředky je nakládáno nehospodárně, neefektivně a neúčelně nebo v rozporu s právními předpisy, oznámí své zjištění písemně vedoucímu orgánu veřejné správy, který je povinen přijmout opatření k nápravě zjištěných nedostatků a opatření k zabezpečení řádného výkonu této kontroly. </w:t>
      </w:r>
    </w:p>
    <w:p w14:paraId="28495DE0" w14:textId="77777777" w:rsidR="00450C69" w:rsidRDefault="00450C69" w:rsidP="00CB5381">
      <w:pPr>
        <w:pStyle w:val="Textparagrafu"/>
        <w:tabs>
          <w:tab w:val="left" w:pos="406"/>
          <w:tab w:val="left" w:pos="840"/>
          <w:tab w:val="left" w:pos="868"/>
        </w:tabs>
        <w:spacing w:after="120"/>
        <w:ind w:firstLine="0"/>
        <w:sectPr w:rsidR="00450C69" w:rsidSect="00554E2B">
          <w:footnotePr>
            <w:numStart w:val="3"/>
          </w:footnotePr>
          <w:endnotePr>
            <w:numFmt w:val="decimal"/>
          </w:endnotePr>
          <w:pgSz w:w="11906" w:h="16838"/>
          <w:pgMar w:top="1418" w:right="1418" w:bottom="1418" w:left="1418" w:header="709" w:footer="709" w:gutter="0"/>
          <w:cols w:space="708"/>
          <w:docGrid w:linePitch="360"/>
        </w:sectPr>
      </w:pPr>
    </w:p>
    <w:p w14:paraId="1601C3E1" w14:textId="03063183" w:rsidR="00036C64" w:rsidRPr="00036C64" w:rsidRDefault="00036C64" w:rsidP="009B3F94">
      <w:pPr>
        <w:tabs>
          <w:tab w:val="left" w:pos="851"/>
        </w:tabs>
        <w:spacing w:before="120" w:after="120"/>
        <w:ind w:firstLine="0"/>
        <w:jc w:val="center"/>
        <w:outlineLvl w:val="0"/>
        <w:rPr>
          <w:szCs w:val="24"/>
        </w:rPr>
      </w:pPr>
      <w:r w:rsidRPr="00036C64">
        <w:rPr>
          <w:b/>
          <w:szCs w:val="24"/>
        </w:rPr>
        <w:lastRenderedPageBreak/>
        <w:t xml:space="preserve">K části šedesáté </w:t>
      </w:r>
      <w:r w:rsidR="00F208FB">
        <w:rPr>
          <w:b/>
          <w:szCs w:val="24"/>
        </w:rPr>
        <w:t>druhé</w:t>
      </w:r>
      <w:r>
        <w:rPr>
          <w:b/>
          <w:szCs w:val="24"/>
        </w:rPr>
        <w:t xml:space="preserve"> </w:t>
      </w:r>
      <w:r w:rsidRPr="00036C64">
        <w:rPr>
          <w:b/>
          <w:szCs w:val="24"/>
        </w:rPr>
        <w:t xml:space="preserve">návrhu zákona – </w:t>
      </w:r>
      <w:r w:rsidRPr="00036C64">
        <w:rPr>
          <w:szCs w:val="24"/>
        </w:rPr>
        <w:t>změna zákona</w:t>
      </w:r>
      <w:r w:rsidRPr="00036C64">
        <w:t xml:space="preserve"> </w:t>
      </w:r>
      <w:r w:rsidRPr="00036C64">
        <w:rPr>
          <w:szCs w:val="24"/>
        </w:rPr>
        <w:t xml:space="preserve">o </w:t>
      </w:r>
      <w:r>
        <w:rPr>
          <w:szCs w:val="24"/>
        </w:rPr>
        <w:t>myslivosti</w:t>
      </w:r>
    </w:p>
    <w:p w14:paraId="5CC4577E" w14:textId="3A0267F9" w:rsidR="00036C64" w:rsidRPr="00036C64" w:rsidRDefault="00036C64" w:rsidP="00036C64">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036C64">
        <w:rPr>
          <w:b/>
          <w:szCs w:val="24"/>
        </w:rPr>
        <w:t>Platné znění</w:t>
      </w:r>
      <w:r w:rsidRPr="00036C64">
        <w:rPr>
          <w:szCs w:val="24"/>
        </w:rPr>
        <w:t xml:space="preserve"> zákona č.</w:t>
      </w:r>
      <w:r>
        <w:rPr>
          <w:szCs w:val="24"/>
        </w:rPr>
        <w:t>449</w:t>
      </w:r>
      <w:r w:rsidRPr="00036C64">
        <w:rPr>
          <w:szCs w:val="24"/>
        </w:rPr>
        <w:t xml:space="preserve">/2001 Sb., o </w:t>
      </w:r>
      <w:r>
        <w:rPr>
          <w:szCs w:val="24"/>
        </w:rPr>
        <w:t>myslivosti</w:t>
      </w:r>
    </w:p>
    <w:p w14:paraId="735D64EC" w14:textId="605729C3" w:rsidR="00036C64" w:rsidRPr="00036C64" w:rsidRDefault="009B3F94" w:rsidP="00036C64">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AE4818">
        <w:rPr>
          <w:b/>
          <w:szCs w:val="24"/>
          <w:lang w:eastAsia="en-US"/>
        </w:rPr>
        <w:t>s vyznačením navrhovaných změn a doplnění k 1. lednu 2025</w:t>
      </w:r>
    </w:p>
    <w:p w14:paraId="49BB7856" w14:textId="77777777" w:rsidR="00036C64" w:rsidRPr="00036C64" w:rsidRDefault="00036C64" w:rsidP="00036C64">
      <w:pPr>
        <w:pStyle w:val="Textparagrafu"/>
        <w:tabs>
          <w:tab w:val="left" w:pos="406"/>
          <w:tab w:val="left" w:pos="840"/>
          <w:tab w:val="left" w:pos="868"/>
        </w:tabs>
        <w:spacing w:after="120"/>
        <w:ind w:firstLine="0"/>
        <w:jc w:val="center"/>
      </w:pPr>
      <w:r w:rsidRPr="00036C64">
        <w:t>***</w:t>
      </w:r>
    </w:p>
    <w:p w14:paraId="3696F39C" w14:textId="68D0958D" w:rsidR="0049360C" w:rsidRPr="0049360C" w:rsidRDefault="0049360C" w:rsidP="0049360C">
      <w:pPr>
        <w:pStyle w:val="Textparagrafu"/>
        <w:tabs>
          <w:tab w:val="left" w:pos="392"/>
          <w:tab w:val="left" w:pos="840"/>
        </w:tabs>
        <w:spacing w:after="120"/>
        <w:ind w:firstLine="0"/>
        <w:jc w:val="center"/>
      </w:pPr>
      <w:r w:rsidRPr="0049360C">
        <w:t>§ 27</w:t>
      </w:r>
    </w:p>
    <w:p w14:paraId="580C7F69" w14:textId="77777777" w:rsidR="0049360C" w:rsidRPr="0049360C" w:rsidRDefault="0049360C" w:rsidP="0049360C">
      <w:pPr>
        <w:pStyle w:val="Textparagrafu"/>
        <w:tabs>
          <w:tab w:val="left" w:pos="392"/>
          <w:tab w:val="left" w:pos="840"/>
        </w:tabs>
        <w:spacing w:after="120"/>
        <w:ind w:firstLine="0"/>
        <w:jc w:val="center"/>
        <w:rPr>
          <w:b/>
        </w:rPr>
      </w:pPr>
      <w:r w:rsidRPr="0049360C">
        <w:rPr>
          <w:b/>
        </w:rPr>
        <w:t>Majetek honebního společenstva</w:t>
      </w:r>
    </w:p>
    <w:p w14:paraId="7280D3E1" w14:textId="77777777" w:rsidR="0049360C" w:rsidRPr="0049360C" w:rsidRDefault="0049360C" w:rsidP="009B3F94">
      <w:pPr>
        <w:pStyle w:val="Textparagrafu"/>
        <w:tabs>
          <w:tab w:val="left" w:pos="392"/>
          <w:tab w:val="left" w:pos="840"/>
        </w:tabs>
        <w:spacing w:before="120" w:after="120"/>
        <w:rPr>
          <w:szCs w:val="24"/>
        </w:rPr>
      </w:pPr>
      <w:r w:rsidRPr="0049360C">
        <w:rPr>
          <w:szCs w:val="24"/>
        </w:rPr>
        <w:t>(1) Honební společenstvo odpovídá za své závazky celým svým majetkem. Členové honebního společenstva ručí za závazky honebního společenstva.</w:t>
      </w:r>
    </w:p>
    <w:p w14:paraId="534D5ECA" w14:textId="77777777" w:rsidR="0049360C" w:rsidRPr="0049360C" w:rsidRDefault="0049360C" w:rsidP="009B3F94">
      <w:pPr>
        <w:pStyle w:val="Textparagrafu"/>
        <w:tabs>
          <w:tab w:val="left" w:pos="392"/>
          <w:tab w:val="left" w:pos="840"/>
        </w:tabs>
        <w:spacing w:before="120" w:after="120"/>
        <w:rPr>
          <w:szCs w:val="24"/>
        </w:rPr>
      </w:pPr>
      <w:r w:rsidRPr="0049360C">
        <w:rPr>
          <w:szCs w:val="24"/>
        </w:rPr>
        <w:t>(2) Příjmem honebního společenstva mohou být</w:t>
      </w:r>
    </w:p>
    <w:p w14:paraId="5A3A558E" w14:textId="701D92CE" w:rsidR="0049360C" w:rsidRPr="0049360C" w:rsidRDefault="001D4EA6" w:rsidP="0049360C">
      <w:pPr>
        <w:pStyle w:val="Textparagrafu"/>
        <w:tabs>
          <w:tab w:val="left" w:pos="392"/>
          <w:tab w:val="left" w:pos="840"/>
        </w:tabs>
        <w:spacing w:before="0"/>
        <w:ind w:firstLine="0"/>
        <w:rPr>
          <w:szCs w:val="24"/>
        </w:rPr>
      </w:pPr>
      <w:r>
        <w:rPr>
          <w:szCs w:val="24"/>
        </w:rPr>
        <w:t>a)</w:t>
      </w:r>
      <w:r>
        <w:rPr>
          <w:szCs w:val="24"/>
        </w:rPr>
        <w:tab/>
      </w:r>
      <w:r w:rsidR="0049360C" w:rsidRPr="0049360C">
        <w:rPr>
          <w:szCs w:val="24"/>
        </w:rPr>
        <w:t>příjem z využití společenstevní honitby na vlastní účet,</w:t>
      </w:r>
    </w:p>
    <w:p w14:paraId="0AF11130" w14:textId="0FABAD61" w:rsidR="0049360C" w:rsidRPr="0049360C" w:rsidRDefault="001D4EA6" w:rsidP="0049360C">
      <w:pPr>
        <w:pStyle w:val="Textparagrafu"/>
        <w:tabs>
          <w:tab w:val="left" w:pos="392"/>
          <w:tab w:val="left" w:pos="840"/>
        </w:tabs>
        <w:spacing w:before="0"/>
        <w:ind w:firstLine="0"/>
        <w:rPr>
          <w:szCs w:val="24"/>
        </w:rPr>
      </w:pPr>
      <w:r>
        <w:rPr>
          <w:szCs w:val="24"/>
        </w:rPr>
        <w:t>b)</w:t>
      </w:r>
      <w:r>
        <w:rPr>
          <w:szCs w:val="24"/>
        </w:rPr>
        <w:tab/>
      </w:r>
      <w:r w:rsidR="0049360C" w:rsidRPr="0049360C">
        <w:rPr>
          <w:szCs w:val="24"/>
        </w:rPr>
        <w:t>příjmy z nájmu společenstevní honitby,</w:t>
      </w:r>
    </w:p>
    <w:p w14:paraId="5D2D27CA" w14:textId="06885527" w:rsidR="0049360C" w:rsidRPr="0049360C" w:rsidRDefault="001D4EA6" w:rsidP="0049360C">
      <w:pPr>
        <w:pStyle w:val="Textparagrafu"/>
        <w:tabs>
          <w:tab w:val="left" w:pos="392"/>
          <w:tab w:val="left" w:pos="840"/>
        </w:tabs>
        <w:spacing w:before="0"/>
        <w:ind w:firstLine="0"/>
        <w:rPr>
          <w:szCs w:val="24"/>
        </w:rPr>
      </w:pPr>
      <w:r>
        <w:rPr>
          <w:szCs w:val="24"/>
        </w:rPr>
        <w:t>c)</w:t>
      </w:r>
      <w:r>
        <w:rPr>
          <w:szCs w:val="24"/>
        </w:rPr>
        <w:tab/>
      </w:r>
      <w:r w:rsidR="0049360C" w:rsidRPr="0049360C">
        <w:rPr>
          <w:szCs w:val="24"/>
        </w:rPr>
        <w:t>dary a dědictví,</w:t>
      </w:r>
    </w:p>
    <w:p w14:paraId="285C69EB" w14:textId="3618795A" w:rsidR="0049360C" w:rsidRPr="0049360C" w:rsidRDefault="001D4EA6" w:rsidP="0049360C">
      <w:pPr>
        <w:pStyle w:val="Textparagrafu"/>
        <w:tabs>
          <w:tab w:val="left" w:pos="392"/>
          <w:tab w:val="left" w:pos="840"/>
        </w:tabs>
        <w:spacing w:before="0"/>
        <w:ind w:firstLine="0"/>
        <w:rPr>
          <w:szCs w:val="24"/>
        </w:rPr>
      </w:pPr>
      <w:r>
        <w:rPr>
          <w:szCs w:val="24"/>
        </w:rPr>
        <w:t>d)</w:t>
      </w:r>
      <w:r>
        <w:rPr>
          <w:szCs w:val="24"/>
        </w:rPr>
        <w:tab/>
      </w:r>
      <w:r w:rsidR="0049360C" w:rsidRPr="0049360C">
        <w:rPr>
          <w:szCs w:val="24"/>
        </w:rPr>
        <w:t>půjčky a úvěry a úroky z vkladů,</w:t>
      </w:r>
    </w:p>
    <w:p w14:paraId="7C5827AC" w14:textId="7F532100" w:rsidR="0049360C" w:rsidRPr="0049360C" w:rsidRDefault="001D4EA6" w:rsidP="0049360C">
      <w:pPr>
        <w:pStyle w:val="Textparagrafu"/>
        <w:tabs>
          <w:tab w:val="left" w:pos="392"/>
          <w:tab w:val="left" w:pos="840"/>
        </w:tabs>
        <w:spacing w:before="0"/>
        <w:ind w:firstLine="0"/>
        <w:rPr>
          <w:szCs w:val="24"/>
        </w:rPr>
      </w:pPr>
      <w:r>
        <w:rPr>
          <w:szCs w:val="24"/>
        </w:rPr>
        <w:t>e)</w:t>
      </w:r>
      <w:r>
        <w:rPr>
          <w:szCs w:val="24"/>
        </w:rPr>
        <w:tab/>
      </w:r>
      <w:r w:rsidR="0049360C" w:rsidRPr="0049360C">
        <w:rPr>
          <w:szCs w:val="24"/>
        </w:rPr>
        <w:t>jiné příjmy, stanoví-li tak zvláštní zákon.</w:t>
      </w:r>
    </w:p>
    <w:p w14:paraId="5CF6E060" w14:textId="1BD653F0" w:rsidR="0049360C" w:rsidRPr="0049360C" w:rsidRDefault="0049360C" w:rsidP="009B3F94">
      <w:pPr>
        <w:pStyle w:val="Textparagrafu"/>
        <w:tabs>
          <w:tab w:val="left" w:pos="392"/>
          <w:tab w:val="left" w:pos="840"/>
        </w:tabs>
        <w:spacing w:before="120" w:after="120"/>
        <w:rPr>
          <w:strike/>
          <w:szCs w:val="24"/>
        </w:rPr>
      </w:pPr>
      <w:r w:rsidRPr="0049360C">
        <w:rPr>
          <w:strike/>
          <w:szCs w:val="24"/>
        </w:rPr>
        <w:t>(3) Honební společenstvo vede účetnictví podle zvláštního zákona.</w:t>
      </w:r>
      <w:r w:rsidRPr="0049360C">
        <w:rPr>
          <w:rStyle w:val="Znakapoznpodarou"/>
          <w:strike/>
          <w:szCs w:val="24"/>
        </w:rPr>
        <w:footnoteReference w:customMarkFollows="1" w:id="397"/>
        <w:t>21)</w:t>
      </w:r>
    </w:p>
    <w:p w14:paraId="38044B44" w14:textId="77777777" w:rsidR="00036C64" w:rsidRPr="00F3373B" w:rsidRDefault="00036C64" w:rsidP="00036C64">
      <w:pPr>
        <w:pStyle w:val="Textparagrafu"/>
        <w:ind w:firstLine="0"/>
        <w:jc w:val="center"/>
      </w:pPr>
    </w:p>
    <w:p w14:paraId="6CE2304E" w14:textId="77777777" w:rsidR="0058529E" w:rsidRDefault="0058529E" w:rsidP="00CB5381">
      <w:pPr>
        <w:pStyle w:val="Textparagrafu"/>
        <w:tabs>
          <w:tab w:val="left" w:pos="406"/>
          <w:tab w:val="left" w:pos="840"/>
          <w:tab w:val="left" w:pos="868"/>
        </w:tabs>
        <w:spacing w:after="120"/>
        <w:ind w:firstLine="0"/>
        <w:sectPr w:rsidR="0058529E" w:rsidSect="00554E2B">
          <w:footnotePr>
            <w:numStart w:val="3"/>
          </w:footnotePr>
          <w:endnotePr>
            <w:numFmt w:val="decimal"/>
          </w:endnotePr>
          <w:pgSz w:w="11906" w:h="16838"/>
          <w:pgMar w:top="1418" w:right="1418" w:bottom="1418" w:left="1418" w:header="709" w:footer="709" w:gutter="0"/>
          <w:cols w:space="708"/>
          <w:docGrid w:linePitch="360"/>
        </w:sectPr>
      </w:pPr>
    </w:p>
    <w:p w14:paraId="3C6407BD" w14:textId="02FECE3C" w:rsidR="0058529E" w:rsidRPr="00036C64" w:rsidRDefault="0058529E" w:rsidP="009B3F94">
      <w:pPr>
        <w:tabs>
          <w:tab w:val="left" w:pos="851"/>
        </w:tabs>
        <w:spacing w:before="120" w:after="120"/>
        <w:ind w:firstLine="0"/>
        <w:jc w:val="center"/>
        <w:outlineLvl w:val="0"/>
        <w:rPr>
          <w:szCs w:val="24"/>
        </w:rPr>
      </w:pPr>
      <w:r w:rsidRPr="00036C64">
        <w:rPr>
          <w:b/>
          <w:szCs w:val="24"/>
        </w:rPr>
        <w:lastRenderedPageBreak/>
        <w:t>K části šedesáté</w:t>
      </w:r>
      <w:r w:rsidR="001D4EA6">
        <w:rPr>
          <w:b/>
          <w:szCs w:val="24"/>
        </w:rPr>
        <w:t xml:space="preserve"> třetí</w:t>
      </w:r>
      <w:r>
        <w:rPr>
          <w:b/>
          <w:szCs w:val="24"/>
        </w:rPr>
        <w:t xml:space="preserve"> </w:t>
      </w:r>
      <w:r w:rsidRPr="00036C64">
        <w:rPr>
          <w:b/>
          <w:szCs w:val="24"/>
        </w:rPr>
        <w:t xml:space="preserve">návrhu zákona – </w:t>
      </w:r>
      <w:r w:rsidRPr="00036C64">
        <w:rPr>
          <w:szCs w:val="24"/>
        </w:rPr>
        <w:t>změna zákona</w:t>
      </w:r>
      <w:r w:rsidRPr="00036C64">
        <w:t xml:space="preserve"> </w:t>
      </w:r>
      <w:r w:rsidRPr="00036C64">
        <w:rPr>
          <w:szCs w:val="24"/>
        </w:rPr>
        <w:t xml:space="preserve">o </w:t>
      </w:r>
      <w:r w:rsidRPr="0058529E">
        <w:rPr>
          <w:szCs w:val="24"/>
        </w:rPr>
        <w:t xml:space="preserve">obalech </w:t>
      </w:r>
    </w:p>
    <w:p w14:paraId="6489AA9C" w14:textId="697E0A0E" w:rsidR="0058529E" w:rsidRPr="0058529E" w:rsidRDefault="0058529E" w:rsidP="0058529E">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036C64">
        <w:rPr>
          <w:b/>
          <w:szCs w:val="24"/>
        </w:rPr>
        <w:t>Platné znění</w:t>
      </w:r>
      <w:r w:rsidRPr="00036C64">
        <w:rPr>
          <w:szCs w:val="24"/>
        </w:rPr>
        <w:t xml:space="preserve"> zákona č.</w:t>
      </w:r>
      <w:r>
        <w:rPr>
          <w:szCs w:val="24"/>
        </w:rPr>
        <w:t>477</w:t>
      </w:r>
      <w:r w:rsidRPr="00036C64">
        <w:rPr>
          <w:szCs w:val="24"/>
        </w:rPr>
        <w:t xml:space="preserve">/2001 Sb., </w:t>
      </w:r>
      <w:r w:rsidRPr="0058529E">
        <w:rPr>
          <w:szCs w:val="24"/>
        </w:rPr>
        <w:t>o obalech a o změně některých zákonů</w:t>
      </w:r>
      <w:r>
        <w:rPr>
          <w:szCs w:val="24"/>
        </w:rPr>
        <w:t xml:space="preserve"> </w:t>
      </w:r>
      <w:r w:rsidRPr="0058529E">
        <w:rPr>
          <w:szCs w:val="24"/>
        </w:rPr>
        <w:t>(zákon o obalech)</w:t>
      </w:r>
    </w:p>
    <w:p w14:paraId="1063116B" w14:textId="0F9FDD70" w:rsidR="0058529E" w:rsidRPr="00036C64" w:rsidRDefault="009B3F94" w:rsidP="0058529E">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AE4818">
        <w:rPr>
          <w:b/>
          <w:szCs w:val="24"/>
          <w:lang w:eastAsia="en-US"/>
        </w:rPr>
        <w:t>s vyznačením navrhovaných změn a doplnění k 1. lednu 2025</w:t>
      </w:r>
    </w:p>
    <w:p w14:paraId="6B73EE39" w14:textId="77777777" w:rsidR="0058529E" w:rsidRPr="00036C64" w:rsidRDefault="0058529E" w:rsidP="0058529E">
      <w:pPr>
        <w:pStyle w:val="Textparagrafu"/>
        <w:tabs>
          <w:tab w:val="left" w:pos="406"/>
          <w:tab w:val="left" w:pos="840"/>
          <w:tab w:val="left" w:pos="868"/>
        </w:tabs>
        <w:spacing w:after="120"/>
        <w:ind w:firstLine="0"/>
        <w:jc w:val="center"/>
      </w:pPr>
      <w:r w:rsidRPr="00036C64">
        <w:t>***</w:t>
      </w:r>
    </w:p>
    <w:p w14:paraId="36B7DDFD" w14:textId="55B2A27A" w:rsidR="000B4249" w:rsidRPr="000B4249" w:rsidRDefault="000B4249" w:rsidP="000B4249">
      <w:pPr>
        <w:pStyle w:val="Textparagrafu"/>
        <w:tabs>
          <w:tab w:val="left" w:pos="392"/>
          <w:tab w:val="left" w:pos="840"/>
        </w:tabs>
        <w:spacing w:after="120"/>
        <w:ind w:firstLine="0"/>
        <w:jc w:val="center"/>
        <w:rPr>
          <w:szCs w:val="24"/>
        </w:rPr>
      </w:pPr>
      <w:r w:rsidRPr="000B4249">
        <w:rPr>
          <w:szCs w:val="24"/>
        </w:rPr>
        <w:t>§ 17</w:t>
      </w:r>
    </w:p>
    <w:p w14:paraId="46CC02DC" w14:textId="77777777" w:rsidR="000B4249" w:rsidRPr="000B4249" w:rsidRDefault="000B4249" w:rsidP="000B4249">
      <w:pPr>
        <w:pStyle w:val="Textparagrafu"/>
        <w:tabs>
          <w:tab w:val="left" w:pos="392"/>
          <w:tab w:val="left" w:pos="840"/>
        </w:tabs>
        <w:spacing w:after="120"/>
        <w:ind w:firstLine="0"/>
        <w:jc w:val="center"/>
        <w:rPr>
          <w:b/>
          <w:szCs w:val="24"/>
        </w:rPr>
      </w:pPr>
      <w:r w:rsidRPr="000B4249">
        <w:rPr>
          <w:b/>
          <w:szCs w:val="24"/>
        </w:rPr>
        <w:t>Autorizace k zajišťování sdruženého plnění</w:t>
      </w:r>
    </w:p>
    <w:p w14:paraId="1B96847F" w14:textId="77777777" w:rsidR="000B4249" w:rsidRPr="000B4249" w:rsidRDefault="000B4249" w:rsidP="009B3F94">
      <w:pPr>
        <w:pStyle w:val="Textparagrafu"/>
        <w:tabs>
          <w:tab w:val="left" w:pos="392"/>
          <w:tab w:val="left" w:pos="840"/>
        </w:tabs>
        <w:spacing w:before="120" w:after="120"/>
        <w:rPr>
          <w:szCs w:val="24"/>
        </w:rPr>
      </w:pPr>
      <w:r w:rsidRPr="000B4249">
        <w:rPr>
          <w:szCs w:val="24"/>
        </w:rPr>
        <w:t>(1) Rozhodnutí o autorizaci vydává Ministerstvo životního prostředí na podkladě žádosti akciové společnosti a po projednání s Ministerstvem průmyslu a obchodu.</w:t>
      </w:r>
    </w:p>
    <w:p w14:paraId="7865B60E" w14:textId="77777777" w:rsidR="000B4249" w:rsidRPr="000B4249" w:rsidRDefault="000B4249" w:rsidP="009B3F94">
      <w:pPr>
        <w:pStyle w:val="Textparagrafu"/>
        <w:tabs>
          <w:tab w:val="left" w:pos="392"/>
          <w:tab w:val="left" w:pos="840"/>
        </w:tabs>
        <w:spacing w:before="120" w:after="120"/>
        <w:rPr>
          <w:szCs w:val="24"/>
        </w:rPr>
      </w:pPr>
      <w:r w:rsidRPr="000B4249">
        <w:rPr>
          <w:szCs w:val="24"/>
        </w:rPr>
        <w:t>(2) Žádost o vydání rozhodnutí o autorizaci se podává Ministerstvu životního prostředí ve 4 písemných vyhotoveních v českém jazyce a současně na technickém nosiči dat.</w:t>
      </w:r>
    </w:p>
    <w:p w14:paraId="71062095" w14:textId="77777777" w:rsidR="000B4249" w:rsidRPr="000B4249" w:rsidRDefault="000B4249" w:rsidP="009B3F94">
      <w:pPr>
        <w:pStyle w:val="Textparagrafu"/>
        <w:tabs>
          <w:tab w:val="left" w:pos="392"/>
          <w:tab w:val="left" w:pos="840"/>
        </w:tabs>
        <w:spacing w:before="120" w:after="120"/>
        <w:rPr>
          <w:szCs w:val="24"/>
        </w:rPr>
      </w:pPr>
      <w:r w:rsidRPr="000B4249">
        <w:rPr>
          <w:szCs w:val="24"/>
        </w:rPr>
        <w:t>(3) Žádost o vydání rozhodnutí o autorizaci obsahuje obchodní firmu a sídlo akciové společnosti, která žádá o vydání rozhodnutí o autorizaci, (dále jen "žadatel") a seznam všech akcionářů žadatele, včetně výše jejich podílu na základním kapitálu a podílu na hlasovacích právech s uvedením akcionářů jednajících ve shodě, a k žádosti se připojí</w:t>
      </w:r>
    </w:p>
    <w:p w14:paraId="131CEABE" w14:textId="64848BC1" w:rsidR="000B4249" w:rsidRPr="000B4249" w:rsidRDefault="000B4249" w:rsidP="001D4EA6">
      <w:pPr>
        <w:pStyle w:val="Textparagrafu"/>
        <w:tabs>
          <w:tab w:val="left" w:pos="392"/>
          <w:tab w:val="left" w:pos="840"/>
        </w:tabs>
        <w:spacing w:before="0"/>
        <w:ind w:left="426" w:hanging="426"/>
        <w:rPr>
          <w:szCs w:val="24"/>
        </w:rPr>
      </w:pPr>
      <w:r w:rsidRPr="000B4249">
        <w:rPr>
          <w:szCs w:val="24"/>
        </w:rPr>
        <w:t>a)</w:t>
      </w:r>
      <w:r w:rsidR="003B7C06">
        <w:rPr>
          <w:szCs w:val="24"/>
        </w:rPr>
        <w:tab/>
      </w:r>
      <w:r w:rsidRPr="000B4249">
        <w:rPr>
          <w:szCs w:val="24"/>
        </w:rPr>
        <w:t>aktuální znění stanov akciové společnosti, nejsou-li uloženy ve sbírce listin veřejného rejstříku;</w:t>
      </w:r>
    </w:p>
    <w:p w14:paraId="5766432E" w14:textId="2A73FD7C" w:rsidR="000B4249" w:rsidRPr="000B4249" w:rsidRDefault="000B4249" w:rsidP="001D4EA6">
      <w:pPr>
        <w:pStyle w:val="Textparagrafu"/>
        <w:tabs>
          <w:tab w:val="left" w:pos="392"/>
          <w:tab w:val="left" w:pos="840"/>
        </w:tabs>
        <w:spacing w:before="0"/>
        <w:ind w:left="426" w:hanging="426"/>
        <w:rPr>
          <w:szCs w:val="24"/>
        </w:rPr>
      </w:pPr>
      <w:r w:rsidRPr="000B4249">
        <w:rPr>
          <w:szCs w:val="24"/>
        </w:rPr>
        <w:t>b)</w:t>
      </w:r>
      <w:r w:rsidR="003B7C06">
        <w:rPr>
          <w:szCs w:val="24"/>
        </w:rPr>
        <w:tab/>
      </w:r>
      <w:r w:rsidRPr="000B4249">
        <w:rPr>
          <w:szCs w:val="24"/>
        </w:rPr>
        <w:t>prohlášení žadatele o splnění podmínek uvedených v § 20 odst. 7 a § 20a odst. 5;</w:t>
      </w:r>
    </w:p>
    <w:p w14:paraId="092C127B" w14:textId="09AA3DF2" w:rsidR="000B4249" w:rsidRPr="000B4249" w:rsidRDefault="000B4249" w:rsidP="001D4EA6">
      <w:pPr>
        <w:pStyle w:val="Textparagrafu"/>
        <w:tabs>
          <w:tab w:val="left" w:pos="392"/>
          <w:tab w:val="left" w:pos="840"/>
        </w:tabs>
        <w:spacing w:before="0"/>
        <w:ind w:left="426" w:hanging="426"/>
        <w:rPr>
          <w:szCs w:val="24"/>
        </w:rPr>
      </w:pPr>
      <w:r w:rsidRPr="000B4249">
        <w:rPr>
          <w:szCs w:val="24"/>
        </w:rPr>
        <w:t>c)</w:t>
      </w:r>
      <w:r w:rsidR="003B7C06">
        <w:rPr>
          <w:szCs w:val="24"/>
        </w:rPr>
        <w:tab/>
      </w:r>
      <w:r w:rsidRPr="000B4249">
        <w:rPr>
          <w:szCs w:val="24"/>
        </w:rPr>
        <w:t xml:space="preserve">poslední </w:t>
      </w:r>
      <w:r w:rsidRPr="00C26A17">
        <w:rPr>
          <w:strike/>
          <w:szCs w:val="24"/>
        </w:rPr>
        <w:t>výroční zpráva, pokud existuje</w:t>
      </w:r>
      <w:bookmarkStart w:id="32" w:name="_Hlk164756029"/>
      <w:r w:rsidR="00C26A17" w:rsidRPr="00C26A17">
        <w:rPr>
          <w:b/>
        </w:rPr>
        <w:t xml:space="preserve"> </w:t>
      </w:r>
      <w:r w:rsidR="00C26A17" w:rsidRPr="00552AEB">
        <w:rPr>
          <w:b/>
        </w:rPr>
        <w:t>individuální zpráva vedení žadatele a zpráva auditora o povinném auditu, pokud existují</w:t>
      </w:r>
      <w:bookmarkEnd w:id="32"/>
      <w:r w:rsidRPr="000B4249">
        <w:rPr>
          <w:szCs w:val="24"/>
        </w:rPr>
        <w:t>;</w:t>
      </w:r>
    </w:p>
    <w:p w14:paraId="7ACDB932" w14:textId="35D328EF" w:rsidR="000B4249" w:rsidRPr="000B4249" w:rsidRDefault="000B4249" w:rsidP="001D4EA6">
      <w:pPr>
        <w:pStyle w:val="Textparagrafu"/>
        <w:tabs>
          <w:tab w:val="left" w:pos="392"/>
          <w:tab w:val="left" w:pos="840"/>
        </w:tabs>
        <w:spacing w:before="0"/>
        <w:ind w:left="426" w:hanging="426"/>
        <w:rPr>
          <w:szCs w:val="24"/>
        </w:rPr>
      </w:pPr>
      <w:r w:rsidRPr="000B4249">
        <w:rPr>
          <w:szCs w:val="24"/>
        </w:rPr>
        <w:t>d)</w:t>
      </w:r>
      <w:r w:rsidR="003B7C06">
        <w:rPr>
          <w:szCs w:val="24"/>
        </w:rPr>
        <w:tab/>
      </w:r>
      <w:r w:rsidRPr="000B4249">
        <w:rPr>
          <w:szCs w:val="24"/>
        </w:rPr>
        <w:t>projekt zajišťování sdruženého plnění zahrnující zejména</w:t>
      </w:r>
    </w:p>
    <w:p w14:paraId="41469C10" w14:textId="2756F08E" w:rsidR="000B4249" w:rsidRPr="000B4249" w:rsidRDefault="000B4249" w:rsidP="009B3F94">
      <w:pPr>
        <w:pStyle w:val="Textparagrafu"/>
        <w:tabs>
          <w:tab w:val="left" w:pos="392"/>
          <w:tab w:val="left" w:pos="840"/>
        </w:tabs>
        <w:spacing w:before="0"/>
        <w:ind w:left="850" w:hanging="425"/>
        <w:rPr>
          <w:szCs w:val="24"/>
        </w:rPr>
      </w:pPr>
      <w:r w:rsidRPr="000B4249">
        <w:rPr>
          <w:szCs w:val="24"/>
        </w:rPr>
        <w:t>1.</w:t>
      </w:r>
      <w:r w:rsidR="003B7C06">
        <w:rPr>
          <w:szCs w:val="24"/>
        </w:rPr>
        <w:tab/>
      </w:r>
      <w:r w:rsidRPr="000B4249">
        <w:rPr>
          <w:szCs w:val="24"/>
        </w:rPr>
        <w:t>popis technických, organizačních a finančních opatření, která zajistí sdružené plnění, včetně popisu sběrné sítě a údaje, zda k zajišťování sdruženého plnění bude využívána spolupráce s obcemi,</w:t>
      </w:r>
    </w:p>
    <w:p w14:paraId="4CDDF70A" w14:textId="2549A8E8" w:rsidR="000B4249" w:rsidRPr="000B4249" w:rsidRDefault="000B4249" w:rsidP="009B3F94">
      <w:pPr>
        <w:pStyle w:val="Textparagrafu"/>
        <w:tabs>
          <w:tab w:val="left" w:pos="392"/>
          <w:tab w:val="left" w:pos="840"/>
        </w:tabs>
        <w:spacing w:before="0"/>
        <w:ind w:left="850" w:hanging="425"/>
        <w:rPr>
          <w:szCs w:val="24"/>
        </w:rPr>
      </w:pPr>
      <w:r w:rsidRPr="000B4249">
        <w:rPr>
          <w:szCs w:val="24"/>
        </w:rPr>
        <w:t>2.</w:t>
      </w:r>
      <w:r w:rsidR="003B7C06">
        <w:rPr>
          <w:szCs w:val="24"/>
        </w:rPr>
        <w:tab/>
      </w:r>
      <w:r w:rsidRPr="000B4249">
        <w:rPr>
          <w:szCs w:val="24"/>
        </w:rPr>
        <w:t>označení druhu, popřípadě typu obalů, pro které žadatel hodlá zajišťovat sdružené plnění v jednotlivých letech platnosti rozhodnutí o autorizaci,</w:t>
      </w:r>
    </w:p>
    <w:p w14:paraId="7A5B23AE" w14:textId="0B027835" w:rsidR="000B4249" w:rsidRPr="000B4249" w:rsidRDefault="000B4249" w:rsidP="009B3F94">
      <w:pPr>
        <w:pStyle w:val="Textparagrafu"/>
        <w:tabs>
          <w:tab w:val="left" w:pos="392"/>
          <w:tab w:val="left" w:pos="840"/>
        </w:tabs>
        <w:spacing w:before="0"/>
        <w:ind w:left="850" w:hanging="425"/>
        <w:rPr>
          <w:szCs w:val="24"/>
        </w:rPr>
      </w:pPr>
      <w:r w:rsidRPr="000B4249">
        <w:rPr>
          <w:szCs w:val="24"/>
        </w:rPr>
        <w:t>3.</w:t>
      </w:r>
      <w:r w:rsidR="003B7C06">
        <w:rPr>
          <w:szCs w:val="24"/>
        </w:rPr>
        <w:tab/>
      </w:r>
      <w:r w:rsidRPr="000B4249">
        <w:rPr>
          <w:szCs w:val="24"/>
        </w:rPr>
        <w:t>předpokládaný počet uzavřených smluv o sdruženém plnění a předpokládaná množství obalů, pro něž bude zajištěno sdružené plnění v jednotlivých letech platnosti autorizace,</w:t>
      </w:r>
    </w:p>
    <w:p w14:paraId="1574BD61" w14:textId="018003FF" w:rsidR="000B4249" w:rsidRPr="000B4249" w:rsidRDefault="000B4249" w:rsidP="009B3F94">
      <w:pPr>
        <w:pStyle w:val="Textparagrafu"/>
        <w:tabs>
          <w:tab w:val="left" w:pos="392"/>
          <w:tab w:val="left" w:pos="840"/>
        </w:tabs>
        <w:spacing w:before="0"/>
        <w:ind w:left="850" w:hanging="425"/>
        <w:rPr>
          <w:szCs w:val="24"/>
        </w:rPr>
      </w:pPr>
      <w:r w:rsidRPr="000B4249">
        <w:rPr>
          <w:szCs w:val="24"/>
        </w:rPr>
        <w:t>4.</w:t>
      </w:r>
      <w:r w:rsidR="003B7C06">
        <w:rPr>
          <w:szCs w:val="24"/>
        </w:rPr>
        <w:tab/>
      </w:r>
      <w:r w:rsidRPr="000B4249">
        <w:rPr>
          <w:szCs w:val="24"/>
        </w:rPr>
        <w:t>předpokládaná množství odpadů z obalů, pro které bude zajištěno využití procesem recyklace, energetického využití, biologického rozkladu nebo odstranění v jednotlivých letech platnosti rozhodnutí o autorizaci,</w:t>
      </w:r>
    </w:p>
    <w:p w14:paraId="3A91ECC2" w14:textId="79D17283" w:rsidR="000B4249" w:rsidRPr="000B4249" w:rsidRDefault="000B4249" w:rsidP="009B3F94">
      <w:pPr>
        <w:pStyle w:val="Textparagrafu"/>
        <w:tabs>
          <w:tab w:val="left" w:pos="392"/>
          <w:tab w:val="left" w:pos="840"/>
        </w:tabs>
        <w:spacing w:before="0"/>
        <w:ind w:left="850" w:hanging="425"/>
        <w:rPr>
          <w:szCs w:val="24"/>
        </w:rPr>
      </w:pPr>
      <w:r w:rsidRPr="000B4249">
        <w:rPr>
          <w:szCs w:val="24"/>
        </w:rPr>
        <w:t>5.</w:t>
      </w:r>
      <w:r w:rsidR="003B7C06">
        <w:rPr>
          <w:szCs w:val="24"/>
        </w:rPr>
        <w:tab/>
      </w:r>
      <w:r w:rsidRPr="000B4249">
        <w:rPr>
          <w:szCs w:val="24"/>
        </w:rPr>
        <w:t>navrhovanou strukturu evidence obalů a evidence odpadů z obalů,</w:t>
      </w:r>
    </w:p>
    <w:p w14:paraId="0B34A300" w14:textId="231C45DF" w:rsidR="000B4249" w:rsidRPr="000B4249" w:rsidRDefault="000B4249" w:rsidP="009B3F94">
      <w:pPr>
        <w:pStyle w:val="Textparagrafu"/>
        <w:tabs>
          <w:tab w:val="left" w:pos="392"/>
          <w:tab w:val="left" w:pos="840"/>
        </w:tabs>
        <w:spacing w:before="0"/>
        <w:ind w:left="850" w:hanging="425"/>
        <w:rPr>
          <w:szCs w:val="24"/>
        </w:rPr>
      </w:pPr>
      <w:r w:rsidRPr="000B4249">
        <w:rPr>
          <w:szCs w:val="24"/>
        </w:rPr>
        <w:t>6.</w:t>
      </w:r>
      <w:r w:rsidR="003B7C06">
        <w:rPr>
          <w:szCs w:val="24"/>
        </w:rPr>
        <w:tab/>
      </w:r>
      <w:r w:rsidRPr="000B4249">
        <w:rPr>
          <w:szCs w:val="24"/>
        </w:rPr>
        <w:t xml:space="preserve">podrobný popis předpokládaného finančního zajištění sdruženého plnění po dobu prvních 3 let platnosti rozhodnutí o autorizaci a dokumenty prokazující jeho pravdivost, zejména </w:t>
      </w:r>
      <w:r w:rsidR="00C26A17">
        <w:rPr>
          <w:b/>
          <w:szCs w:val="24"/>
        </w:rPr>
        <w:t xml:space="preserve">řádnou individuální </w:t>
      </w:r>
      <w:r w:rsidRPr="000B4249">
        <w:rPr>
          <w:szCs w:val="24"/>
        </w:rPr>
        <w:t>účetní závěrku a smlouvy o čerpání úvěru, pokud se jeho použití předpokládá; toto finanční zajištění musí být nezávislé na platební schopnosti osob uvádějících obaly na trh nebo do oběhu,</w:t>
      </w:r>
    </w:p>
    <w:p w14:paraId="7D5DE647" w14:textId="42AAAFB7" w:rsidR="000B4249" w:rsidRPr="000B4249" w:rsidRDefault="000B4249" w:rsidP="009B3F94">
      <w:pPr>
        <w:pStyle w:val="Textparagrafu"/>
        <w:tabs>
          <w:tab w:val="left" w:pos="392"/>
          <w:tab w:val="left" w:pos="840"/>
        </w:tabs>
        <w:spacing w:before="0"/>
        <w:ind w:left="850" w:hanging="425"/>
        <w:rPr>
          <w:szCs w:val="24"/>
        </w:rPr>
      </w:pPr>
      <w:r w:rsidRPr="000B4249">
        <w:rPr>
          <w:szCs w:val="24"/>
        </w:rPr>
        <w:t>7.</w:t>
      </w:r>
      <w:r w:rsidR="003B7C06">
        <w:rPr>
          <w:szCs w:val="24"/>
        </w:rPr>
        <w:tab/>
      </w:r>
      <w:r w:rsidRPr="000B4249">
        <w:rPr>
          <w:szCs w:val="24"/>
        </w:rPr>
        <w:t>podrobný popis funkčního mechanismu kompenzace nákladů na zajištění zpětného odběru odpadů z obalů ve sběrných místech, které žadatel nebude mít smluvně zajištěny do dne dosažení podílů podle § 10 odst. 2 a zpětný odběr v nich zajištují ostatní autorizované společnosti, a nákladů na využití odpadů z obalů, včetně doložení funkčnosti a reálnosti plnění tohoto navrženého mechanismu, a</w:t>
      </w:r>
    </w:p>
    <w:p w14:paraId="1658233D" w14:textId="5E40FCE0" w:rsidR="000B4249" w:rsidRPr="000B4249" w:rsidRDefault="000B4249" w:rsidP="009B3F94">
      <w:pPr>
        <w:pStyle w:val="Textparagrafu"/>
        <w:tabs>
          <w:tab w:val="left" w:pos="392"/>
          <w:tab w:val="left" w:pos="840"/>
        </w:tabs>
        <w:spacing w:before="0"/>
        <w:ind w:left="850" w:hanging="425"/>
        <w:rPr>
          <w:szCs w:val="24"/>
        </w:rPr>
      </w:pPr>
      <w:r w:rsidRPr="000B4249">
        <w:rPr>
          <w:szCs w:val="24"/>
        </w:rPr>
        <w:lastRenderedPageBreak/>
        <w:t>8.</w:t>
      </w:r>
      <w:r w:rsidR="003B7C06">
        <w:rPr>
          <w:szCs w:val="24"/>
        </w:rPr>
        <w:tab/>
      </w:r>
      <w:r w:rsidRPr="000B4249">
        <w:rPr>
          <w:szCs w:val="24"/>
        </w:rPr>
        <w:t>návrh metodiky výpočtu nákladů na úklid odpadu z jednorázových plastových obalů uvedených v částech C a D přílohy č. 4 k tomuto zákonu podle § 21 odst. 3, spolu s aktuálně platným výpočtem těchto nákladů, a</w:t>
      </w:r>
    </w:p>
    <w:p w14:paraId="4E4C8EEF" w14:textId="05BD6680" w:rsidR="000B4249" w:rsidRPr="000B4249" w:rsidRDefault="000B4249" w:rsidP="001D4EA6">
      <w:pPr>
        <w:pStyle w:val="Textparagrafu"/>
        <w:tabs>
          <w:tab w:val="left" w:pos="392"/>
          <w:tab w:val="left" w:pos="840"/>
        </w:tabs>
        <w:spacing w:before="0"/>
        <w:ind w:left="426" w:hanging="426"/>
        <w:rPr>
          <w:szCs w:val="24"/>
        </w:rPr>
      </w:pPr>
      <w:r w:rsidRPr="000B4249">
        <w:rPr>
          <w:szCs w:val="24"/>
        </w:rPr>
        <w:t>e)</w:t>
      </w:r>
      <w:r w:rsidR="003B7C06">
        <w:rPr>
          <w:szCs w:val="24"/>
        </w:rPr>
        <w:tab/>
      </w:r>
      <w:r w:rsidRPr="000B4249">
        <w:rPr>
          <w:szCs w:val="24"/>
        </w:rPr>
        <w:t>vzory smluv o</w:t>
      </w:r>
    </w:p>
    <w:p w14:paraId="6A14545E" w14:textId="288746E7" w:rsidR="000B4249" w:rsidRPr="000B4249" w:rsidRDefault="000B4249" w:rsidP="009B3F94">
      <w:pPr>
        <w:pStyle w:val="Textparagrafu"/>
        <w:tabs>
          <w:tab w:val="left" w:pos="392"/>
          <w:tab w:val="left" w:pos="840"/>
        </w:tabs>
        <w:spacing w:before="0"/>
        <w:ind w:left="850" w:hanging="425"/>
        <w:rPr>
          <w:szCs w:val="24"/>
        </w:rPr>
      </w:pPr>
      <w:r w:rsidRPr="000B4249">
        <w:rPr>
          <w:szCs w:val="24"/>
        </w:rPr>
        <w:t>1.</w:t>
      </w:r>
      <w:r w:rsidR="003B7C06">
        <w:rPr>
          <w:szCs w:val="24"/>
        </w:rPr>
        <w:tab/>
      </w:r>
      <w:r w:rsidRPr="000B4249">
        <w:rPr>
          <w:szCs w:val="24"/>
        </w:rPr>
        <w:t>sdruženém plnění,</w:t>
      </w:r>
    </w:p>
    <w:p w14:paraId="28F5896B" w14:textId="0CC69E81" w:rsidR="000B4249" w:rsidRPr="000B4249" w:rsidRDefault="000B4249" w:rsidP="009B3F94">
      <w:pPr>
        <w:pStyle w:val="Textparagrafu"/>
        <w:tabs>
          <w:tab w:val="left" w:pos="392"/>
          <w:tab w:val="left" w:pos="840"/>
        </w:tabs>
        <w:spacing w:before="0"/>
        <w:ind w:left="850" w:hanging="425"/>
        <w:rPr>
          <w:szCs w:val="24"/>
        </w:rPr>
      </w:pPr>
      <w:r w:rsidRPr="000B4249">
        <w:rPr>
          <w:szCs w:val="24"/>
        </w:rPr>
        <w:t>2.</w:t>
      </w:r>
      <w:r w:rsidR="003B7C06">
        <w:rPr>
          <w:szCs w:val="24"/>
        </w:rPr>
        <w:tab/>
      </w:r>
      <w:r w:rsidRPr="000B4249">
        <w:rPr>
          <w:szCs w:val="24"/>
        </w:rPr>
        <w:t>spolupráci při zajištění zpětného odběru a zařazení místa zpětného odběru do obecního systému odpadového hospodářství nastaveného obcí; to neplatí, pokud žadatel hodlá zajišťovat sdružené plnění pouze pro průmyslové obaly, a</w:t>
      </w:r>
    </w:p>
    <w:p w14:paraId="6EA59D98" w14:textId="41A7A6BF" w:rsidR="000B4249" w:rsidRPr="000B4249" w:rsidRDefault="000B4249" w:rsidP="009B3F94">
      <w:pPr>
        <w:pStyle w:val="Textparagrafu"/>
        <w:tabs>
          <w:tab w:val="left" w:pos="392"/>
          <w:tab w:val="left" w:pos="840"/>
        </w:tabs>
        <w:spacing w:before="0"/>
        <w:ind w:left="850" w:hanging="425"/>
        <w:rPr>
          <w:szCs w:val="24"/>
        </w:rPr>
      </w:pPr>
      <w:r w:rsidRPr="000B4249">
        <w:rPr>
          <w:szCs w:val="24"/>
        </w:rPr>
        <w:t>3.</w:t>
      </w:r>
      <w:r w:rsidR="003B7C06">
        <w:rPr>
          <w:szCs w:val="24"/>
        </w:rPr>
        <w:tab/>
      </w:r>
      <w:r w:rsidRPr="000B4249">
        <w:rPr>
          <w:szCs w:val="24"/>
        </w:rPr>
        <w:t>úhradě nákladů na úklid odpadu z jednorázových plastových obalů podle § 21 odst. 1 písm. d), pokud hodlá zajišťovat sdružené plnění pro tyto obaly; to neplatí, pokud jsou ujednání o úhradě těchto nákladů zahrnuta ve smlouvě podle bodu 2.</w:t>
      </w:r>
    </w:p>
    <w:p w14:paraId="629BB43F" w14:textId="77777777" w:rsidR="000B4249" w:rsidRPr="000B4249" w:rsidRDefault="000B4249" w:rsidP="009B3F94">
      <w:pPr>
        <w:pStyle w:val="Textparagrafu"/>
        <w:tabs>
          <w:tab w:val="left" w:pos="392"/>
          <w:tab w:val="left" w:pos="840"/>
        </w:tabs>
        <w:spacing w:before="120" w:after="120"/>
        <w:rPr>
          <w:szCs w:val="24"/>
        </w:rPr>
      </w:pPr>
      <w:r w:rsidRPr="000B4249">
        <w:rPr>
          <w:szCs w:val="24"/>
        </w:rPr>
        <w:t>(4) Rozhodnutí o autorizaci lze vydat pouze za předpokladu, že</w:t>
      </w:r>
    </w:p>
    <w:p w14:paraId="0A5EC19C" w14:textId="118B5531" w:rsidR="000B4249" w:rsidRPr="000B4249" w:rsidRDefault="000B4249" w:rsidP="001D4EA6">
      <w:pPr>
        <w:pStyle w:val="Textparagrafu"/>
        <w:tabs>
          <w:tab w:val="left" w:pos="392"/>
          <w:tab w:val="left" w:pos="840"/>
        </w:tabs>
        <w:spacing w:before="0"/>
        <w:ind w:left="426" w:hanging="426"/>
        <w:rPr>
          <w:szCs w:val="24"/>
        </w:rPr>
      </w:pPr>
      <w:r w:rsidRPr="000B4249">
        <w:rPr>
          <w:szCs w:val="24"/>
        </w:rPr>
        <w:t>a)</w:t>
      </w:r>
      <w:r w:rsidR="003B7C06">
        <w:rPr>
          <w:szCs w:val="24"/>
        </w:rPr>
        <w:tab/>
      </w:r>
      <w:r w:rsidRPr="000B4249">
        <w:rPr>
          <w:szCs w:val="24"/>
        </w:rPr>
        <w:t>žadatel má odchylně od § 10 odst. 2 smluvně zajištěn takový počet sběrných míst, aby podíl obyvatel žijících v obcích, na jejichž území bude žadatel povinen zajišťovat zpětný odběr podle § 10, činil z celkového počtu obyvatel České republiky minimálně 25 %, a aby podíl obcí, na jejichž území bude žadatel povinen zajišťovat zpětný odběr, činil z celkového počtu obcí v České republice minimálně 25 %; to neplatí, pokud je záměrem žadatele zajišťovat sdružené plnění výhradně pro vratné zálohované obaly,</w:t>
      </w:r>
    </w:p>
    <w:p w14:paraId="703646A6" w14:textId="7A47D00A" w:rsidR="000B4249" w:rsidRPr="000B4249" w:rsidRDefault="000B4249" w:rsidP="001D4EA6">
      <w:pPr>
        <w:pStyle w:val="Textparagrafu"/>
        <w:tabs>
          <w:tab w:val="left" w:pos="392"/>
          <w:tab w:val="left" w:pos="840"/>
        </w:tabs>
        <w:spacing w:before="0"/>
        <w:ind w:left="426" w:hanging="426"/>
        <w:rPr>
          <w:szCs w:val="24"/>
        </w:rPr>
      </w:pPr>
      <w:r w:rsidRPr="000B4249">
        <w:rPr>
          <w:szCs w:val="24"/>
        </w:rPr>
        <w:t>b)</w:t>
      </w:r>
      <w:r w:rsidR="003B7C06">
        <w:rPr>
          <w:szCs w:val="24"/>
        </w:rPr>
        <w:tab/>
      </w:r>
      <w:r w:rsidRPr="000B4249">
        <w:rPr>
          <w:szCs w:val="24"/>
        </w:rPr>
        <w:t>žadatel, jehož záměrem je zajišťovat sdružené plnění výhradně pro vratné zálohované obaly, má odchylně od § 10 odst. 2 smluvně zajištěno zapojení provozoven, kde je vratný zálohovaný obal prodáván spotřebiteli, do systému výkupu vratných zálohovaných obalů podle § 9 odst. 4,</w:t>
      </w:r>
    </w:p>
    <w:p w14:paraId="6D414B5C" w14:textId="4C20C338" w:rsidR="000B4249" w:rsidRPr="000B4249" w:rsidRDefault="000B4249" w:rsidP="001D4EA6">
      <w:pPr>
        <w:pStyle w:val="Textparagrafu"/>
        <w:tabs>
          <w:tab w:val="left" w:pos="392"/>
          <w:tab w:val="left" w:pos="840"/>
        </w:tabs>
        <w:spacing w:before="0"/>
        <w:ind w:left="426" w:hanging="426"/>
        <w:rPr>
          <w:szCs w:val="24"/>
        </w:rPr>
      </w:pPr>
      <w:r w:rsidRPr="000B4249">
        <w:rPr>
          <w:szCs w:val="24"/>
        </w:rPr>
        <w:t>c)</w:t>
      </w:r>
      <w:r w:rsidR="003B7C06">
        <w:rPr>
          <w:szCs w:val="24"/>
        </w:rPr>
        <w:tab/>
      </w:r>
      <w:r w:rsidRPr="000B4249">
        <w:rPr>
          <w:szCs w:val="24"/>
        </w:rPr>
        <w:t xml:space="preserve">žadatel projedná s autorizovanými společnostmi postupem podle § 21c všechny koordinované oblasti a o těch, ve kterých mezi žadatelem a autorizovanými společnostmi dojde ke shodě, uzavře písemnou smlouvu; o koordinovaných oblastech, ve kterých ke shodě nedojde ani do 9 měsíců ode dne zahájení jednání, rozhodne Ministerstvo životního prostředí na základě žádosti žadatele, jejímž obsahem musí být návrh na řešení koordinovaných oblastí, ve kterých mezi žadatelem a autorizovanými společnostmi nedošlo ke shodě, s výjimkou oblasti </w:t>
      </w:r>
      <w:proofErr w:type="spellStart"/>
      <w:r w:rsidRPr="000B4249">
        <w:rPr>
          <w:szCs w:val="24"/>
        </w:rPr>
        <w:t>ekomodulace</w:t>
      </w:r>
      <w:proofErr w:type="spellEnd"/>
      <w:r w:rsidRPr="000B4249">
        <w:rPr>
          <w:szCs w:val="24"/>
        </w:rPr>
        <w:t xml:space="preserve">, kterou je žadatel povinen nastavit tak, že převezme způsob provádění </w:t>
      </w:r>
      <w:proofErr w:type="spellStart"/>
      <w:r w:rsidRPr="000B4249">
        <w:rPr>
          <w:szCs w:val="24"/>
        </w:rPr>
        <w:t>ekomodulace</w:t>
      </w:r>
      <w:proofErr w:type="spellEnd"/>
      <w:r w:rsidRPr="000B4249">
        <w:rPr>
          <w:szCs w:val="24"/>
        </w:rPr>
        <w:t xml:space="preserve"> autorizovaných společností, a toto převzetí Ministerstvu životního prostředí doloží,</w:t>
      </w:r>
    </w:p>
    <w:p w14:paraId="7CF4E867" w14:textId="55D94ED4" w:rsidR="000B4249" w:rsidRPr="000B4249" w:rsidRDefault="000B4249" w:rsidP="001D4EA6">
      <w:pPr>
        <w:pStyle w:val="Textparagrafu"/>
        <w:tabs>
          <w:tab w:val="left" w:pos="392"/>
          <w:tab w:val="left" w:pos="840"/>
        </w:tabs>
        <w:spacing w:before="0"/>
        <w:ind w:left="426" w:hanging="426"/>
        <w:rPr>
          <w:szCs w:val="24"/>
        </w:rPr>
      </w:pPr>
      <w:r w:rsidRPr="000B4249">
        <w:rPr>
          <w:szCs w:val="24"/>
        </w:rPr>
        <w:t>d)</w:t>
      </w:r>
      <w:r w:rsidR="00771355">
        <w:rPr>
          <w:szCs w:val="24"/>
        </w:rPr>
        <w:tab/>
      </w:r>
      <w:r w:rsidRPr="000B4249">
        <w:rPr>
          <w:szCs w:val="24"/>
        </w:rPr>
        <w:t>stanovy žadatele, který je akciovou společností s monistickým systémem vnitřní struktury, vyžadují, aby správní rada měla alespoň tři členy a aby mezi jednotlivé členy správní rady byla rozdělena její řídící a kontrolní působnost.</w:t>
      </w:r>
    </w:p>
    <w:p w14:paraId="5A84AB7B" w14:textId="77777777" w:rsidR="000B4249" w:rsidRPr="000B4249" w:rsidRDefault="000B4249" w:rsidP="009B3F94">
      <w:pPr>
        <w:pStyle w:val="Textparagrafu"/>
        <w:tabs>
          <w:tab w:val="left" w:pos="392"/>
          <w:tab w:val="left" w:pos="840"/>
        </w:tabs>
        <w:spacing w:before="120" w:after="120"/>
        <w:rPr>
          <w:szCs w:val="24"/>
        </w:rPr>
      </w:pPr>
      <w:r w:rsidRPr="000B4249">
        <w:rPr>
          <w:szCs w:val="24"/>
        </w:rPr>
        <w:t>(5) Rozhodnutí o autorizaci vydává Ministerstvo životního prostředí na podkladě posouzení údajů uvedených v žádosti a podkladů k této žádosti připojených. Žádost o vydání rozhodnutí o autorizaci zamítne, pokud některý z akcionářů žadatele nesplňuje podmínky uvedené v § 18 odst. 1, 3 nebo 4 nebo žadatel nesplňuje podmínky uvedené v § 20 odst. 4 nebo 7 nebo § 20a odst. 5 nebo jestliže projekt zajišťování sdruženého plnění neposkytuje dostatečné záruky, že sdružené plnění bude provozováno řádně a dostatečně dlouhodobě, že projekt zajišťování sdruženého plnění je dostatečně finančně zajištěn a že neohrozí zajišťování plnění povinností zpětného odběru a využití realizované jinými osobami podle § 13 odst. 1. Žádost o vydání rozhodnutí o autorizaci zamítne také v případě, že žadatel nesplnil požadavky stanovené v § 17 odst. 4.</w:t>
      </w:r>
    </w:p>
    <w:p w14:paraId="2EB37576" w14:textId="77777777" w:rsidR="000B4249" w:rsidRPr="000B4249" w:rsidRDefault="000B4249" w:rsidP="009B3F94">
      <w:pPr>
        <w:pStyle w:val="Textparagrafu"/>
        <w:tabs>
          <w:tab w:val="left" w:pos="392"/>
          <w:tab w:val="left" w:pos="840"/>
        </w:tabs>
        <w:spacing w:before="120" w:after="120"/>
        <w:rPr>
          <w:szCs w:val="24"/>
        </w:rPr>
      </w:pPr>
      <w:r w:rsidRPr="000B4249">
        <w:rPr>
          <w:szCs w:val="24"/>
        </w:rPr>
        <w:t>(6) Rozhodnutí o autorizaci se uděluje na dobu určitou, nejdéle na dobu 10 let, a nepřechází na jinou osobu, ani jej nelze na jinou osobu převést.</w:t>
      </w:r>
    </w:p>
    <w:p w14:paraId="35ADF94C" w14:textId="77777777" w:rsidR="000B4249" w:rsidRPr="000B4249" w:rsidRDefault="000B4249" w:rsidP="009B3F94">
      <w:pPr>
        <w:pStyle w:val="Textparagrafu"/>
        <w:tabs>
          <w:tab w:val="left" w:pos="392"/>
          <w:tab w:val="left" w:pos="840"/>
        </w:tabs>
        <w:spacing w:before="120" w:after="120"/>
        <w:rPr>
          <w:szCs w:val="24"/>
        </w:rPr>
      </w:pPr>
      <w:r w:rsidRPr="000B4249">
        <w:rPr>
          <w:szCs w:val="24"/>
        </w:rPr>
        <w:t>(7) Rozhodnutí o autorizaci obsahuje</w:t>
      </w:r>
    </w:p>
    <w:p w14:paraId="6E41B2BF" w14:textId="0FCD7B26" w:rsidR="000B4249" w:rsidRPr="000B4249" w:rsidRDefault="000B4249" w:rsidP="001D4EA6">
      <w:pPr>
        <w:pStyle w:val="Textparagrafu"/>
        <w:tabs>
          <w:tab w:val="left" w:pos="392"/>
          <w:tab w:val="left" w:pos="840"/>
        </w:tabs>
        <w:spacing w:before="0"/>
        <w:ind w:left="426" w:hanging="426"/>
        <w:rPr>
          <w:szCs w:val="24"/>
        </w:rPr>
      </w:pPr>
      <w:r w:rsidRPr="000B4249">
        <w:rPr>
          <w:szCs w:val="24"/>
        </w:rPr>
        <w:lastRenderedPageBreak/>
        <w:t>a)</w:t>
      </w:r>
      <w:r w:rsidR="00771355">
        <w:rPr>
          <w:szCs w:val="24"/>
        </w:rPr>
        <w:tab/>
      </w:r>
      <w:r w:rsidRPr="000B4249">
        <w:rPr>
          <w:szCs w:val="24"/>
        </w:rPr>
        <w:t>obchodní firmu, identifikační číslo, a sídlo akciové společnosti, jíž se rozhodnutí o autorizaci vydává,</w:t>
      </w:r>
    </w:p>
    <w:p w14:paraId="697336EE" w14:textId="10473909" w:rsidR="000B4249" w:rsidRPr="000B4249" w:rsidRDefault="000B4249" w:rsidP="001D4EA6">
      <w:pPr>
        <w:pStyle w:val="Textparagrafu"/>
        <w:tabs>
          <w:tab w:val="left" w:pos="392"/>
          <w:tab w:val="left" w:pos="840"/>
        </w:tabs>
        <w:spacing w:before="0"/>
        <w:ind w:left="426" w:hanging="426"/>
        <w:rPr>
          <w:szCs w:val="24"/>
        </w:rPr>
      </w:pPr>
      <w:r w:rsidRPr="000B4249">
        <w:rPr>
          <w:szCs w:val="24"/>
        </w:rPr>
        <w:t>b)</w:t>
      </w:r>
      <w:r w:rsidR="00771355">
        <w:rPr>
          <w:szCs w:val="24"/>
        </w:rPr>
        <w:tab/>
      </w:r>
      <w:r w:rsidRPr="000B4249">
        <w:rPr>
          <w:szCs w:val="24"/>
        </w:rPr>
        <w:t>dobu platnosti rozhodnutí o autorizaci,</w:t>
      </w:r>
    </w:p>
    <w:p w14:paraId="040F37E2" w14:textId="67ADDDD6" w:rsidR="000B4249" w:rsidRPr="000B4249" w:rsidRDefault="000B4249" w:rsidP="001D4EA6">
      <w:pPr>
        <w:pStyle w:val="Textparagrafu"/>
        <w:tabs>
          <w:tab w:val="left" w:pos="392"/>
          <w:tab w:val="left" w:pos="840"/>
        </w:tabs>
        <w:spacing w:before="0"/>
        <w:ind w:left="426" w:hanging="426"/>
        <w:rPr>
          <w:szCs w:val="24"/>
        </w:rPr>
      </w:pPr>
      <w:r w:rsidRPr="000B4249">
        <w:rPr>
          <w:szCs w:val="24"/>
        </w:rPr>
        <w:t>c)</w:t>
      </w:r>
      <w:r w:rsidR="00771355">
        <w:rPr>
          <w:szCs w:val="24"/>
        </w:rPr>
        <w:tab/>
      </w:r>
      <w:r w:rsidRPr="000B4249">
        <w:rPr>
          <w:szCs w:val="24"/>
        </w:rPr>
        <w:t>druhy, popřípadě typy obalů, pro které je autorizovaná společnost oprávněna zajišťovat sdružené plnění,</w:t>
      </w:r>
    </w:p>
    <w:p w14:paraId="56DF9066" w14:textId="4C8C0398" w:rsidR="000B4249" w:rsidRPr="000B4249" w:rsidRDefault="000B4249" w:rsidP="001D4EA6">
      <w:pPr>
        <w:pStyle w:val="Textparagrafu"/>
        <w:tabs>
          <w:tab w:val="left" w:pos="392"/>
          <w:tab w:val="left" w:pos="840"/>
        </w:tabs>
        <w:spacing w:before="0"/>
        <w:ind w:left="426" w:hanging="426"/>
        <w:rPr>
          <w:szCs w:val="24"/>
        </w:rPr>
      </w:pPr>
      <w:r w:rsidRPr="000B4249">
        <w:rPr>
          <w:szCs w:val="24"/>
        </w:rPr>
        <w:t>d)</w:t>
      </w:r>
      <w:r w:rsidR="00771355">
        <w:rPr>
          <w:szCs w:val="24"/>
        </w:rPr>
        <w:tab/>
      </w:r>
      <w:r w:rsidRPr="000B4249">
        <w:rPr>
          <w:szCs w:val="24"/>
        </w:rPr>
        <w:t>požadovaný podíl využití a recyklace, popřípadě energetického využití a biologického rozkladu odpadů z celkového množství obalů uvedených na trh nebo do oběhu osobami, které budou mít s autorizovanou společností uzavřenu smlouvu o sdruženém plnění; tyto požadavky mohou být stanoveny odlišně pro jednotlivé roky platnosti rozhodnutí o autorizaci; při jejich stanovení se vychází z plánu odpadového hospodářství podle zvláštního právního předpisu,</w:t>
      </w:r>
      <w:r w:rsidR="003B7C06">
        <w:rPr>
          <w:rStyle w:val="Znakapoznpodarou"/>
          <w:szCs w:val="24"/>
        </w:rPr>
        <w:footnoteReference w:customMarkFollows="1" w:id="398"/>
        <w:t>4)</w:t>
      </w:r>
    </w:p>
    <w:p w14:paraId="59B374D7" w14:textId="7514B43D" w:rsidR="000B4249" w:rsidRPr="000B4249" w:rsidRDefault="000B4249" w:rsidP="001D4EA6">
      <w:pPr>
        <w:pStyle w:val="Textparagrafu"/>
        <w:tabs>
          <w:tab w:val="left" w:pos="392"/>
          <w:tab w:val="left" w:pos="840"/>
        </w:tabs>
        <w:spacing w:before="0"/>
        <w:ind w:left="426" w:hanging="426"/>
        <w:rPr>
          <w:szCs w:val="24"/>
        </w:rPr>
      </w:pPr>
      <w:r w:rsidRPr="000B4249">
        <w:rPr>
          <w:szCs w:val="24"/>
        </w:rPr>
        <w:t>e)</w:t>
      </w:r>
      <w:r w:rsidR="00771355">
        <w:rPr>
          <w:szCs w:val="24"/>
        </w:rPr>
        <w:tab/>
      </w:r>
      <w:r w:rsidRPr="000B4249">
        <w:rPr>
          <w:szCs w:val="24"/>
        </w:rPr>
        <w:t>požadavky na způsob vedení a předkládání evidence podle § 23,</w:t>
      </w:r>
    </w:p>
    <w:p w14:paraId="54964980" w14:textId="3EF09A88" w:rsidR="000B4249" w:rsidRPr="000B4249" w:rsidRDefault="000B4249" w:rsidP="001D4EA6">
      <w:pPr>
        <w:pStyle w:val="Textparagrafu"/>
        <w:tabs>
          <w:tab w:val="left" w:pos="392"/>
          <w:tab w:val="left" w:pos="840"/>
        </w:tabs>
        <w:spacing w:before="0"/>
        <w:ind w:left="426" w:hanging="426"/>
        <w:rPr>
          <w:szCs w:val="24"/>
        </w:rPr>
      </w:pPr>
      <w:r w:rsidRPr="000B4249">
        <w:rPr>
          <w:szCs w:val="24"/>
        </w:rPr>
        <w:t>f)</w:t>
      </w:r>
      <w:r w:rsidR="00771355">
        <w:rPr>
          <w:szCs w:val="24"/>
        </w:rPr>
        <w:tab/>
      </w:r>
      <w:r w:rsidRPr="000B4249">
        <w:rPr>
          <w:szCs w:val="24"/>
        </w:rPr>
        <w:t>požadavky na zajištění osvětové činnosti podle § 11.</w:t>
      </w:r>
    </w:p>
    <w:p w14:paraId="248E94D5" w14:textId="77777777" w:rsidR="000B4249" w:rsidRPr="000B4249" w:rsidRDefault="000B4249" w:rsidP="009B3F94">
      <w:pPr>
        <w:pStyle w:val="Textparagrafu"/>
        <w:tabs>
          <w:tab w:val="left" w:pos="392"/>
          <w:tab w:val="left" w:pos="840"/>
        </w:tabs>
        <w:spacing w:before="120" w:after="120"/>
        <w:rPr>
          <w:szCs w:val="24"/>
        </w:rPr>
      </w:pPr>
      <w:r w:rsidRPr="000B4249">
        <w:rPr>
          <w:szCs w:val="24"/>
        </w:rPr>
        <w:t>(8) Platnost rozhodnutí o autorizaci lze prodloužit, pokud autorizovaná společnost o toto požádá alespoň 1 rok před uplynutím doby platnosti rozhodnutí o autorizaci. Pro řízení o prodloužení platnosti rozhodnutí o autorizaci platí obdobně odstavce 1 až 6. Jestliže autorizovaná společnost prokáže, že splňuje zákonem stanovené podmínky a řádně hospodaří, má na prodloužení platnosti rozhodnutí o autorizaci nárok.</w:t>
      </w:r>
    </w:p>
    <w:p w14:paraId="0CF08759" w14:textId="77777777" w:rsidR="000B4249" w:rsidRPr="000B4249" w:rsidRDefault="000B4249" w:rsidP="008D4E3B">
      <w:pPr>
        <w:pStyle w:val="Textparagrafu"/>
        <w:tabs>
          <w:tab w:val="left" w:pos="392"/>
          <w:tab w:val="left" w:pos="840"/>
        </w:tabs>
        <w:spacing w:after="120"/>
        <w:ind w:firstLine="0"/>
        <w:jc w:val="center"/>
        <w:rPr>
          <w:szCs w:val="24"/>
        </w:rPr>
      </w:pPr>
      <w:r w:rsidRPr="000B4249">
        <w:rPr>
          <w:szCs w:val="24"/>
        </w:rPr>
        <w:t>***</w:t>
      </w:r>
    </w:p>
    <w:p w14:paraId="02851E41" w14:textId="77777777" w:rsidR="000B4249" w:rsidRPr="000B4249" w:rsidRDefault="000B4249" w:rsidP="008D4E3B">
      <w:pPr>
        <w:pStyle w:val="Textparagrafu"/>
        <w:tabs>
          <w:tab w:val="left" w:pos="392"/>
          <w:tab w:val="left" w:pos="840"/>
        </w:tabs>
        <w:spacing w:after="120"/>
        <w:ind w:firstLine="0"/>
        <w:jc w:val="center"/>
        <w:rPr>
          <w:szCs w:val="24"/>
        </w:rPr>
      </w:pPr>
      <w:r w:rsidRPr="000B4249">
        <w:rPr>
          <w:szCs w:val="24"/>
        </w:rPr>
        <w:t>§ 21a</w:t>
      </w:r>
    </w:p>
    <w:p w14:paraId="47E64A93" w14:textId="77777777" w:rsidR="000B4249" w:rsidRPr="008D4E3B" w:rsidRDefault="000B4249" w:rsidP="008D4E3B">
      <w:pPr>
        <w:pStyle w:val="Textparagrafu"/>
        <w:tabs>
          <w:tab w:val="left" w:pos="392"/>
          <w:tab w:val="left" w:pos="840"/>
        </w:tabs>
        <w:spacing w:after="120"/>
        <w:ind w:firstLine="0"/>
        <w:jc w:val="center"/>
        <w:rPr>
          <w:b/>
          <w:szCs w:val="24"/>
        </w:rPr>
      </w:pPr>
      <w:r w:rsidRPr="008D4E3B">
        <w:rPr>
          <w:b/>
          <w:szCs w:val="24"/>
        </w:rPr>
        <w:t>Rezerva</w:t>
      </w:r>
    </w:p>
    <w:p w14:paraId="68C7D4A0" w14:textId="77777777" w:rsidR="000B4249" w:rsidRPr="000B4249" w:rsidRDefault="000B4249" w:rsidP="009B3F94">
      <w:pPr>
        <w:pStyle w:val="Textparagrafu"/>
        <w:tabs>
          <w:tab w:val="left" w:pos="392"/>
          <w:tab w:val="left" w:pos="840"/>
        </w:tabs>
        <w:spacing w:before="120" w:after="120"/>
        <w:rPr>
          <w:szCs w:val="24"/>
        </w:rPr>
      </w:pPr>
      <w:r w:rsidRPr="000B4249">
        <w:rPr>
          <w:szCs w:val="24"/>
        </w:rPr>
        <w:t>(1) Autorizovaná společnost je povinna vytvořit rezervu určenou na krytí budoucích nákladů na sdružené plnění povinností osob uvádějících obaly na trh nebo do oběhu, zohledňující finanční rizika s tím spojená, jejímž cílem je zajistit kontinuitu a dostupnost poskytování služeb ze strany autorizované společnosti (dále jen "rezerva").</w:t>
      </w:r>
    </w:p>
    <w:p w14:paraId="5534EC32" w14:textId="77777777" w:rsidR="000B4249" w:rsidRPr="000B4249" w:rsidRDefault="000B4249" w:rsidP="009B3F94">
      <w:pPr>
        <w:pStyle w:val="Textparagrafu"/>
        <w:tabs>
          <w:tab w:val="left" w:pos="392"/>
          <w:tab w:val="left" w:pos="840"/>
        </w:tabs>
        <w:spacing w:before="120" w:after="120"/>
        <w:rPr>
          <w:szCs w:val="24"/>
        </w:rPr>
      </w:pPr>
      <w:r w:rsidRPr="000B4249">
        <w:rPr>
          <w:szCs w:val="24"/>
        </w:rPr>
        <w:t>(2) Autorizovaná společnost vytváří rezervu ukládáním peněžních prostředků na zvláštní vázaný účet vedený v České republice u banky nebo pobočky zahraniční banky se sídlem v jiném členském státě Evropské unie. Úroky z peněžních prostředků rezervy jsou její součástí.</w:t>
      </w:r>
    </w:p>
    <w:p w14:paraId="6A560D7B" w14:textId="70367E11" w:rsidR="000B4249" w:rsidRPr="000B4249" w:rsidRDefault="000B4249" w:rsidP="009B3F94">
      <w:pPr>
        <w:pStyle w:val="Textparagrafu"/>
        <w:tabs>
          <w:tab w:val="left" w:pos="392"/>
          <w:tab w:val="left" w:pos="840"/>
        </w:tabs>
        <w:spacing w:before="120" w:after="120"/>
        <w:rPr>
          <w:szCs w:val="24"/>
        </w:rPr>
      </w:pPr>
      <w:r w:rsidRPr="000B4249">
        <w:rPr>
          <w:szCs w:val="24"/>
        </w:rPr>
        <w:t xml:space="preserve">(3) Autorizovaná společnost rezervu vytváří, udržuje a v případě jejího čerpání doplňuje tak, aby po uplynutí 5 let ode dne vydání prvního rozhodnutí o autorizaci dosahovala její výše k poslednímu dni každého </w:t>
      </w:r>
      <w:r w:rsidR="00C26A17" w:rsidRPr="00C26A17">
        <w:rPr>
          <w:b/>
          <w:szCs w:val="24"/>
        </w:rPr>
        <w:t>individuálního</w:t>
      </w:r>
      <w:r w:rsidR="00C26A17">
        <w:rPr>
          <w:szCs w:val="24"/>
        </w:rPr>
        <w:t xml:space="preserve"> </w:t>
      </w:r>
      <w:r w:rsidRPr="000B4249">
        <w:rPr>
          <w:szCs w:val="24"/>
        </w:rPr>
        <w:t xml:space="preserve">účetního období nejméně 50 % celkových nákladů autorizované společnosti podle poslední schválené řádné </w:t>
      </w:r>
      <w:r w:rsidRPr="00C26A17">
        <w:rPr>
          <w:strike/>
          <w:szCs w:val="24"/>
        </w:rPr>
        <w:t>nebo mimořádné</w:t>
      </w:r>
      <w:r w:rsidRPr="000B4249">
        <w:rPr>
          <w:szCs w:val="24"/>
        </w:rPr>
        <w:t xml:space="preserve"> </w:t>
      </w:r>
      <w:r w:rsidR="00C26A17">
        <w:rPr>
          <w:b/>
          <w:szCs w:val="24"/>
        </w:rPr>
        <w:t xml:space="preserve">individuální </w:t>
      </w:r>
      <w:r w:rsidRPr="000B4249">
        <w:rPr>
          <w:szCs w:val="24"/>
        </w:rPr>
        <w:t>účetní závěrky. Do nákladů autorizované společnosti se pro účely tohoto ustanovení nezapočítávají zaplacená daň z příjmů a náklady na tvorbu rezervy.</w:t>
      </w:r>
    </w:p>
    <w:p w14:paraId="0250274A" w14:textId="77777777" w:rsidR="000B4249" w:rsidRPr="000B4249" w:rsidRDefault="000B4249" w:rsidP="009B3F94">
      <w:pPr>
        <w:pStyle w:val="Textparagrafu"/>
        <w:tabs>
          <w:tab w:val="left" w:pos="392"/>
          <w:tab w:val="left" w:pos="840"/>
        </w:tabs>
        <w:spacing w:before="120" w:after="120"/>
        <w:rPr>
          <w:szCs w:val="24"/>
        </w:rPr>
      </w:pPr>
      <w:r w:rsidRPr="000B4249">
        <w:rPr>
          <w:szCs w:val="24"/>
        </w:rPr>
        <w:t>(4) Nedosažení minimální výše rezervy stanovené v odstavci 3 je přípustné za podmínky, že</w:t>
      </w:r>
    </w:p>
    <w:p w14:paraId="5800022C" w14:textId="5BEDABC7" w:rsidR="000B4249" w:rsidRPr="000B4249" w:rsidRDefault="000B4249" w:rsidP="001D4EA6">
      <w:pPr>
        <w:pStyle w:val="Textparagrafu"/>
        <w:tabs>
          <w:tab w:val="left" w:pos="392"/>
          <w:tab w:val="left" w:pos="840"/>
        </w:tabs>
        <w:spacing w:before="0"/>
        <w:ind w:left="426" w:hanging="426"/>
        <w:rPr>
          <w:szCs w:val="24"/>
        </w:rPr>
      </w:pPr>
      <w:r w:rsidRPr="000B4249">
        <w:rPr>
          <w:szCs w:val="24"/>
        </w:rPr>
        <w:t>a)</w:t>
      </w:r>
      <w:r w:rsidR="00771355">
        <w:rPr>
          <w:szCs w:val="24"/>
        </w:rPr>
        <w:tab/>
      </w:r>
      <w:r w:rsidRPr="000B4249">
        <w:rPr>
          <w:szCs w:val="24"/>
        </w:rPr>
        <w:t xml:space="preserve">v předcházejícím </w:t>
      </w:r>
      <w:r w:rsidR="00C26A17">
        <w:rPr>
          <w:b/>
          <w:szCs w:val="24"/>
        </w:rPr>
        <w:t xml:space="preserve">individuálním </w:t>
      </w:r>
      <w:r w:rsidRPr="000B4249">
        <w:rPr>
          <w:szCs w:val="24"/>
        </w:rPr>
        <w:t>účetním období byla minimální výše rezervy dosažena a</w:t>
      </w:r>
    </w:p>
    <w:p w14:paraId="136025FC" w14:textId="185FAF11" w:rsidR="000B4249" w:rsidRPr="000B4249" w:rsidRDefault="000B4249" w:rsidP="001D4EA6">
      <w:pPr>
        <w:pStyle w:val="Textparagrafu"/>
        <w:tabs>
          <w:tab w:val="left" w:pos="392"/>
          <w:tab w:val="left" w:pos="840"/>
        </w:tabs>
        <w:spacing w:before="0"/>
        <w:ind w:left="426" w:hanging="426"/>
        <w:rPr>
          <w:szCs w:val="24"/>
        </w:rPr>
      </w:pPr>
      <w:r w:rsidRPr="000B4249">
        <w:rPr>
          <w:szCs w:val="24"/>
        </w:rPr>
        <w:t>b)</w:t>
      </w:r>
      <w:r w:rsidR="00771355">
        <w:rPr>
          <w:szCs w:val="24"/>
        </w:rPr>
        <w:tab/>
      </w:r>
      <w:r w:rsidRPr="000B4249">
        <w:rPr>
          <w:szCs w:val="24"/>
        </w:rPr>
        <w:t xml:space="preserve">autorizovaná společnost zajistí dosažení minimální výše rezervy v následujícím </w:t>
      </w:r>
      <w:r w:rsidR="00C26A17" w:rsidRPr="00C26A17">
        <w:rPr>
          <w:b/>
          <w:szCs w:val="24"/>
        </w:rPr>
        <w:t>individuálním</w:t>
      </w:r>
      <w:r w:rsidR="00C26A17">
        <w:rPr>
          <w:szCs w:val="24"/>
        </w:rPr>
        <w:t xml:space="preserve"> </w:t>
      </w:r>
      <w:r w:rsidRPr="000B4249">
        <w:rPr>
          <w:szCs w:val="24"/>
        </w:rPr>
        <w:t>účetním období.</w:t>
      </w:r>
    </w:p>
    <w:p w14:paraId="6A9DF06A" w14:textId="77777777" w:rsidR="000B4249" w:rsidRPr="000B4249" w:rsidRDefault="000B4249" w:rsidP="009B3F94">
      <w:pPr>
        <w:pStyle w:val="Textparagrafu"/>
        <w:tabs>
          <w:tab w:val="left" w:pos="392"/>
          <w:tab w:val="left" w:pos="840"/>
        </w:tabs>
        <w:spacing w:before="120" w:after="120"/>
        <w:rPr>
          <w:szCs w:val="24"/>
        </w:rPr>
      </w:pPr>
      <w:r w:rsidRPr="000B4249">
        <w:rPr>
          <w:szCs w:val="24"/>
        </w:rPr>
        <w:lastRenderedPageBreak/>
        <w:t>(5) Peněžní prostředky, které tvoří rezervu, mohou být použity pouze za účelem sdruženého plnění povinností osob, které obaly uvádí na trh nebo do oběhu, s nimiž autorizovaná společnost uzavřela smlouvu o sdruženém plnění. Peněžní prostředky rezervy nejsou součástí majetkové podstaty autorizované společnosti podle zákona upravujícího úpadek a způsoby jeho řešení a nelze je postihnout výkonem rozhodnutí a exekucí.</w:t>
      </w:r>
    </w:p>
    <w:p w14:paraId="481CF15E" w14:textId="77777777" w:rsidR="000B4249" w:rsidRPr="000B4249" w:rsidRDefault="000B4249" w:rsidP="009B3F94">
      <w:pPr>
        <w:pStyle w:val="Textparagrafu"/>
        <w:tabs>
          <w:tab w:val="left" w:pos="392"/>
          <w:tab w:val="left" w:pos="840"/>
        </w:tabs>
        <w:spacing w:before="120" w:after="120"/>
        <w:rPr>
          <w:szCs w:val="24"/>
        </w:rPr>
      </w:pPr>
      <w:r w:rsidRPr="000B4249">
        <w:rPr>
          <w:szCs w:val="24"/>
        </w:rPr>
        <w:t>(6) Údaje o stavu a čerpání peněžních prostředků rezervy uvádí autorizovaná společnost ve své výroční zprávě.</w:t>
      </w:r>
    </w:p>
    <w:p w14:paraId="19647B57" w14:textId="77777777" w:rsidR="000B4249" w:rsidRPr="000B4249" w:rsidRDefault="000B4249" w:rsidP="00771355">
      <w:pPr>
        <w:pStyle w:val="Textparagrafu"/>
        <w:tabs>
          <w:tab w:val="left" w:pos="392"/>
          <w:tab w:val="left" w:pos="840"/>
        </w:tabs>
        <w:spacing w:after="120"/>
        <w:ind w:firstLine="0"/>
        <w:jc w:val="center"/>
        <w:rPr>
          <w:szCs w:val="24"/>
        </w:rPr>
      </w:pPr>
      <w:r w:rsidRPr="000B4249">
        <w:rPr>
          <w:szCs w:val="24"/>
        </w:rPr>
        <w:t>***</w:t>
      </w:r>
    </w:p>
    <w:p w14:paraId="3EDC8A6D" w14:textId="77777777" w:rsidR="000B4249" w:rsidRPr="000B4249" w:rsidRDefault="000B4249" w:rsidP="00771355">
      <w:pPr>
        <w:pStyle w:val="Textparagrafu"/>
        <w:tabs>
          <w:tab w:val="left" w:pos="392"/>
          <w:tab w:val="left" w:pos="840"/>
        </w:tabs>
        <w:spacing w:after="120"/>
        <w:ind w:firstLine="0"/>
        <w:jc w:val="center"/>
        <w:rPr>
          <w:szCs w:val="24"/>
        </w:rPr>
      </w:pPr>
      <w:r w:rsidRPr="000B4249">
        <w:rPr>
          <w:szCs w:val="24"/>
        </w:rPr>
        <w:t>§ 23a</w:t>
      </w:r>
    </w:p>
    <w:p w14:paraId="2DB75EED" w14:textId="77777777" w:rsidR="000B4249" w:rsidRPr="00771355" w:rsidRDefault="000B4249" w:rsidP="00771355">
      <w:pPr>
        <w:pStyle w:val="Textparagrafu"/>
        <w:tabs>
          <w:tab w:val="left" w:pos="392"/>
          <w:tab w:val="left" w:pos="840"/>
        </w:tabs>
        <w:spacing w:after="120"/>
        <w:ind w:firstLine="0"/>
        <w:jc w:val="center"/>
        <w:rPr>
          <w:b/>
          <w:szCs w:val="24"/>
        </w:rPr>
      </w:pPr>
      <w:r w:rsidRPr="00771355">
        <w:rPr>
          <w:b/>
          <w:szCs w:val="24"/>
        </w:rPr>
        <w:t>Ověřování údajů</w:t>
      </w:r>
    </w:p>
    <w:p w14:paraId="6EC17014" w14:textId="7EC85AA1" w:rsidR="000B4249" w:rsidRPr="000B4249" w:rsidRDefault="000B4249" w:rsidP="009B3F94">
      <w:pPr>
        <w:pStyle w:val="Textparagrafu"/>
        <w:tabs>
          <w:tab w:val="left" w:pos="392"/>
          <w:tab w:val="left" w:pos="840"/>
        </w:tabs>
        <w:spacing w:before="120" w:after="120"/>
        <w:rPr>
          <w:szCs w:val="24"/>
        </w:rPr>
      </w:pPr>
      <w:r w:rsidRPr="000B4249">
        <w:rPr>
          <w:szCs w:val="24"/>
        </w:rPr>
        <w:t xml:space="preserve">(1) Autorizovaná společnost </w:t>
      </w:r>
      <w:r w:rsidRPr="00C26A17">
        <w:rPr>
          <w:strike/>
          <w:szCs w:val="24"/>
        </w:rPr>
        <w:t>je povinna mít ověřenou řádnou nebo mimořádnou účetní závěrku auditorem</w:t>
      </w:r>
      <w:r w:rsidR="00C26A17" w:rsidRPr="00C26A17">
        <w:rPr>
          <w:b/>
        </w:rPr>
        <w:t xml:space="preserve"> </w:t>
      </w:r>
      <w:r w:rsidR="00C26A17" w:rsidRPr="00552AEB">
        <w:rPr>
          <w:b/>
        </w:rPr>
        <w:t>má povinnost auditu řádné individuální účetní závěrky</w:t>
      </w:r>
      <w:r w:rsidRPr="000B4249">
        <w:rPr>
          <w:szCs w:val="24"/>
        </w:rPr>
        <w:t>.</w:t>
      </w:r>
    </w:p>
    <w:p w14:paraId="0DF5A222" w14:textId="77777777" w:rsidR="000B4249" w:rsidRPr="000B4249" w:rsidRDefault="000B4249" w:rsidP="009B3F94">
      <w:pPr>
        <w:pStyle w:val="Textparagrafu"/>
        <w:tabs>
          <w:tab w:val="left" w:pos="392"/>
          <w:tab w:val="left" w:pos="840"/>
        </w:tabs>
        <w:spacing w:before="120" w:after="120"/>
        <w:rPr>
          <w:szCs w:val="24"/>
        </w:rPr>
      </w:pPr>
      <w:r w:rsidRPr="000B4249">
        <w:rPr>
          <w:szCs w:val="24"/>
        </w:rPr>
        <w:t>(2) Autorizovaná společnost je povinna zajistit, aby auditor provedl ověření správnosti a úplnosti</w:t>
      </w:r>
    </w:p>
    <w:p w14:paraId="2359B75D" w14:textId="722D62B8" w:rsidR="000B4249" w:rsidRPr="000B4249" w:rsidRDefault="000B4249" w:rsidP="001D4EA6">
      <w:pPr>
        <w:pStyle w:val="Textparagrafu"/>
        <w:tabs>
          <w:tab w:val="left" w:pos="392"/>
          <w:tab w:val="left" w:pos="840"/>
        </w:tabs>
        <w:spacing w:before="0"/>
        <w:ind w:left="426" w:hanging="426"/>
        <w:rPr>
          <w:szCs w:val="24"/>
        </w:rPr>
      </w:pPr>
      <w:r w:rsidRPr="000B4249">
        <w:rPr>
          <w:szCs w:val="24"/>
        </w:rPr>
        <w:t>a)</w:t>
      </w:r>
      <w:r w:rsidR="00771355">
        <w:rPr>
          <w:szCs w:val="24"/>
        </w:rPr>
        <w:tab/>
      </w:r>
      <w:r w:rsidRPr="000B4249">
        <w:rPr>
          <w:szCs w:val="24"/>
        </w:rPr>
        <w:t>údajů o množství obalů uvedených na trh nebo do oběhu, které osoby, jež mají s autorizovanou společností uzavřenu smlouvu o sdruženém plnění, vykázaly autorizované společnosti,</w:t>
      </w:r>
    </w:p>
    <w:p w14:paraId="43DC296D" w14:textId="509CE9B8" w:rsidR="000B4249" w:rsidRPr="000B4249" w:rsidRDefault="000B4249" w:rsidP="001D4EA6">
      <w:pPr>
        <w:pStyle w:val="Textparagrafu"/>
        <w:tabs>
          <w:tab w:val="left" w:pos="392"/>
          <w:tab w:val="left" w:pos="840"/>
        </w:tabs>
        <w:spacing w:before="0"/>
        <w:ind w:left="426" w:hanging="426"/>
        <w:rPr>
          <w:szCs w:val="24"/>
        </w:rPr>
      </w:pPr>
      <w:r w:rsidRPr="000B4249">
        <w:rPr>
          <w:szCs w:val="24"/>
        </w:rPr>
        <w:t>b)</w:t>
      </w:r>
      <w:r w:rsidR="00771355">
        <w:rPr>
          <w:szCs w:val="24"/>
        </w:rPr>
        <w:tab/>
      </w:r>
      <w:r w:rsidRPr="000B4249">
        <w:rPr>
          <w:szCs w:val="24"/>
        </w:rPr>
        <w:t>vedení evidencí podle § 23 odst. 1,</w:t>
      </w:r>
    </w:p>
    <w:p w14:paraId="702E0EBD" w14:textId="2101E646" w:rsidR="000B4249" w:rsidRPr="000B4249" w:rsidRDefault="000B4249" w:rsidP="001D4EA6">
      <w:pPr>
        <w:pStyle w:val="Textparagrafu"/>
        <w:tabs>
          <w:tab w:val="left" w:pos="392"/>
          <w:tab w:val="left" w:pos="840"/>
        </w:tabs>
        <w:spacing w:before="0"/>
        <w:ind w:left="426" w:hanging="426"/>
        <w:rPr>
          <w:szCs w:val="24"/>
        </w:rPr>
      </w:pPr>
      <w:r w:rsidRPr="000B4249">
        <w:rPr>
          <w:szCs w:val="24"/>
        </w:rPr>
        <w:t>c)</w:t>
      </w:r>
      <w:r w:rsidR="00771355">
        <w:rPr>
          <w:szCs w:val="24"/>
        </w:rPr>
        <w:tab/>
      </w:r>
      <w:r w:rsidRPr="000B4249">
        <w:rPr>
          <w:szCs w:val="24"/>
        </w:rPr>
        <w:t>nákladů, které autorizovaná společnost vynaložila na</w:t>
      </w:r>
    </w:p>
    <w:p w14:paraId="31F86830" w14:textId="2FB36A48" w:rsidR="000B4249" w:rsidRPr="000B4249" w:rsidRDefault="00771355" w:rsidP="001D4EA6">
      <w:pPr>
        <w:pStyle w:val="Textparagrafu"/>
        <w:tabs>
          <w:tab w:val="left" w:pos="392"/>
          <w:tab w:val="left" w:pos="840"/>
        </w:tabs>
        <w:spacing w:before="0"/>
        <w:ind w:left="426" w:hanging="426"/>
        <w:rPr>
          <w:szCs w:val="24"/>
        </w:rPr>
      </w:pPr>
      <w:r>
        <w:rPr>
          <w:szCs w:val="24"/>
        </w:rPr>
        <w:tab/>
      </w:r>
      <w:r w:rsidR="000B4249" w:rsidRPr="000B4249">
        <w:rPr>
          <w:szCs w:val="24"/>
        </w:rPr>
        <w:t>1.</w:t>
      </w:r>
      <w:r>
        <w:rPr>
          <w:szCs w:val="24"/>
        </w:rPr>
        <w:tab/>
      </w:r>
      <w:r w:rsidR="000B4249" w:rsidRPr="000B4249">
        <w:rPr>
          <w:szCs w:val="24"/>
        </w:rPr>
        <w:t>sběr a využití odpadů z obalů pocházejících ze sběrných míst zařazených do obecního systému odpadového hospodářství nastaveného obcí a zajištění sběrné sítě,</w:t>
      </w:r>
    </w:p>
    <w:p w14:paraId="21C1D946" w14:textId="47AC1521" w:rsidR="000B4249" w:rsidRPr="000B4249" w:rsidRDefault="00771355" w:rsidP="001D4EA6">
      <w:pPr>
        <w:pStyle w:val="Textparagrafu"/>
        <w:tabs>
          <w:tab w:val="left" w:pos="392"/>
          <w:tab w:val="left" w:pos="840"/>
        </w:tabs>
        <w:spacing w:before="0"/>
        <w:ind w:left="426" w:hanging="426"/>
        <w:rPr>
          <w:szCs w:val="24"/>
        </w:rPr>
      </w:pPr>
      <w:r>
        <w:rPr>
          <w:szCs w:val="24"/>
        </w:rPr>
        <w:tab/>
      </w:r>
      <w:r w:rsidR="000B4249" w:rsidRPr="000B4249">
        <w:rPr>
          <w:szCs w:val="24"/>
        </w:rPr>
        <w:t>2.</w:t>
      </w:r>
      <w:r>
        <w:rPr>
          <w:szCs w:val="24"/>
        </w:rPr>
        <w:tab/>
      </w:r>
      <w:r w:rsidR="000B4249" w:rsidRPr="000B4249">
        <w:rPr>
          <w:szCs w:val="24"/>
        </w:rPr>
        <w:t>sběr a využití odpadů z průmyslových obalů,</w:t>
      </w:r>
    </w:p>
    <w:p w14:paraId="24B9121F" w14:textId="6EBC44E6" w:rsidR="000B4249" w:rsidRPr="000B4249" w:rsidRDefault="00771355" w:rsidP="001D4EA6">
      <w:pPr>
        <w:pStyle w:val="Textparagrafu"/>
        <w:tabs>
          <w:tab w:val="left" w:pos="392"/>
          <w:tab w:val="left" w:pos="840"/>
        </w:tabs>
        <w:spacing w:before="0"/>
        <w:ind w:left="426" w:hanging="426"/>
        <w:rPr>
          <w:szCs w:val="24"/>
        </w:rPr>
      </w:pPr>
      <w:r>
        <w:rPr>
          <w:szCs w:val="24"/>
        </w:rPr>
        <w:tab/>
      </w:r>
      <w:r w:rsidR="000B4249" w:rsidRPr="000B4249">
        <w:rPr>
          <w:szCs w:val="24"/>
        </w:rPr>
        <w:t>3.</w:t>
      </w:r>
      <w:r>
        <w:rPr>
          <w:szCs w:val="24"/>
        </w:rPr>
        <w:tab/>
      </w:r>
      <w:r w:rsidR="000B4249" w:rsidRPr="000B4249">
        <w:rPr>
          <w:szCs w:val="24"/>
        </w:rPr>
        <w:t>dotřídění odpadů z obalů,</w:t>
      </w:r>
    </w:p>
    <w:p w14:paraId="6AF8F1DF" w14:textId="4CBFA225" w:rsidR="000B4249" w:rsidRPr="000B4249" w:rsidRDefault="00771355" w:rsidP="001D4EA6">
      <w:pPr>
        <w:pStyle w:val="Textparagrafu"/>
        <w:tabs>
          <w:tab w:val="left" w:pos="392"/>
          <w:tab w:val="left" w:pos="840"/>
        </w:tabs>
        <w:spacing w:before="0"/>
        <w:ind w:left="426" w:hanging="426"/>
        <w:rPr>
          <w:szCs w:val="24"/>
        </w:rPr>
      </w:pPr>
      <w:r>
        <w:rPr>
          <w:szCs w:val="24"/>
        </w:rPr>
        <w:tab/>
      </w:r>
      <w:r w:rsidR="000B4249" w:rsidRPr="000B4249">
        <w:rPr>
          <w:szCs w:val="24"/>
        </w:rPr>
        <w:t>4.</w:t>
      </w:r>
      <w:r>
        <w:rPr>
          <w:szCs w:val="24"/>
        </w:rPr>
        <w:tab/>
      </w:r>
      <w:r w:rsidR="000B4249" w:rsidRPr="000B4249">
        <w:rPr>
          <w:szCs w:val="24"/>
        </w:rPr>
        <w:t>přímou podporu recyklace a využití odpadů z obalů,</w:t>
      </w:r>
    </w:p>
    <w:p w14:paraId="6B63E435" w14:textId="03B8346B" w:rsidR="000B4249" w:rsidRPr="000B4249" w:rsidRDefault="00771355" w:rsidP="001D4EA6">
      <w:pPr>
        <w:pStyle w:val="Textparagrafu"/>
        <w:tabs>
          <w:tab w:val="left" w:pos="392"/>
          <w:tab w:val="left" w:pos="840"/>
        </w:tabs>
        <w:spacing w:before="0"/>
        <w:ind w:left="426" w:hanging="426"/>
        <w:rPr>
          <w:szCs w:val="24"/>
        </w:rPr>
      </w:pPr>
      <w:r>
        <w:rPr>
          <w:szCs w:val="24"/>
        </w:rPr>
        <w:tab/>
      </w:r>
      <w:r w:rsidR="000B4249" w:rsidRPr="000B4249">
        <w:rPr>
          <w:szCs w:val="24"/>
        </w:rPr>
        <w:t>5.</w:t>
      </w:r>
      <w:r>
        <w:rPr>
          <w:szCs w:val="24"/>
        </w:rPr>
        <w:tab/>
      </w:r>
      <w:r w:rsidR="000B4249" w:rsidRPr="000B4249">
        <w:rPr>
          <w:szCs w:val="24"/>
        </w:rPr>
        <w:t>vedení evidencí obalů a odpadů z obalů a jejich ohlašování,</w:t>
      </w:r>
    </w:p>
    <w:p w14:paraId="7236AA2E" w14:textId="7F01D0E7" w:rsidR="000B4249" w:rsidRPr="000B4249" w:rsidRDefault="00771355" w:rsidP="001D4EA6">
      <w:pPr>
        <w:pStyle w:val="Textparagrafu"/>
        <w:tabs>
          <w:tab w:val="left" w:pos="392"/>
          <w:tab w:val="left" w:pos="840"/>
        </w:tabs>
        <w:spacing w:before="0"/>
        <w:ind w:left="426" w:hanging="426"/>
        <w:rPr>
          <w:szCs w:val="24"/>
        </w:rPr>
      </w:pPr>
      <w:r>
        <w:rPr>
          <w:szCs w:val="24"/>
        </w:rPr>
        <w:tab/>
      </w:r>
      <w:r w:rsidR="000B4249" w:rsidRPr="000B4249">
        <w:rPr>
          <w:szCs w:val="24"/>
        </w:rPr>
        <w:t>6.</w:t>
      </w:r>
      <w:r>
        <w:rPr>
          <w:szCs w:val="24"/>
        </w:rPr>
        <w:tab/>
      </w:r>
      <w:r w:rsidR="000B4249" w:rsidRPr="000B4249">
        <w:rPr>
          <w:szCs w:val="24"/>
        </w:rPr>
        <w:t>informování spotřebitelů,</w:t>
      </w:r>
    </w:p>
    <w:p w14:paraId="362B9A54" w14:textId="4E49C470" w:rsidR="000B4249" w:rsidRPr="000B4249" w:rsidRDefault="00771355" w:rsidP="001D4EA6">
      <w:pPr>
        <w:pStyle w:val="Textparagrafu"/>
        <w:tabs>
          <w:tab w:val="left" w:pos="392"/>
          <w:tab w:val="left" w:pos="840"/>
        </w:tabs>
        <w:spacing w:before="0"/>
        <w:ind w:left="426" w:hanging="426"/>
        <w:rPr>
          <w:szCs w:val="24"/>
        </w:rPr>
      </w:pPr>
      <w:r>
        <w:rPr>
          <w:szCs w:val="24"/>
        </w:rPr>
        <w:tab/>
      </w:r>
      <w:r w:rsidR="000B4249" w:rsidRPr="000B4249">
        <w:rPr>
          <w:szCs w:val="24"/>
        </w:rPr>
        <w:t>7.</w:t>
      </w:r>
      <w:r>
        <w:rPr>
          <w:szCs w:val="24"/>
        </w:rPr>
        <w:tab/>
      </w:r>
      <w:r w:rsidR="000B4249" w:rsidRPr="000B4249">
        <w:rPr>
          <w:szCs w:val="24"/>
        </w:rPr>
        <w:t>ověřování údajů podle § 23a,</w:t>
      </w:r>
    </w:p>
    <w:p w14:paraId="41CC467B" w14:textId="5E5426C0" w:rsidR="000B4249" w:rsidRPr="000B4249" w:rsidRDefault="00771355" w:rsidP="001D4EA6">
      <w:pPr>
        <w:pStyle w:val="Textparagrafu"/>
        <w:tabs>
          <w:tab w:val="left" w:pos="392"/>
          <w:tab w:val="left" w:pos="840"/>
        </w:tabs>
        <w:spacing w:before="0"/>
        <w:ind w:left="426" w:hanging="426"/>
        <w:rPr>
          <w:szCs w:val="24"/>
        </w:rPr>
      </w:pPr>
      <w:r>
        <w:rPr>
          <w:szCs w:val="24"/>
        </w:rPr>
        <w:tab/>
      </w:r>
      <w:r w:rsidR="000B4249" w:rsidRPr="000B4249">
        <w:rPr>
          <w:szCs w:val="24"/>
        </w:rPr>
        <w:t>8.</w:t>
      </w:r>
      <w:r>
        <w:rPr>
          <w:szCs w:val="24"/>
        </w:rPr>
        <w:tab/>
      </w:r>
      <w:r w:rsidR="000B4249" w:rsidRPr="000B4249">
        <w:rPr>
          <w:szCs w:val="24"/>
        </w:rPr>
        <w:t>administrativu a</w:t>
      </w:r>
    </w:p>
    <w:p w14:paraId="54B8BED7" w14:textId="616E44D9" w:rsidR="000B4249" w:rsidRPr="000B4249" w:rsidRDefault="00771355" w:rsidP="001D4EA6">
      <w:pPr>
        <w:pStyle w:val="Textparagrafu"/>
        <w:tabs>
          <w:tab w:val="left" w:pos="392"/>
          <w:tab w:val="left" w:pos="840"/>
        </w:tabs>
        <w:spacing w:before="0"/>
        <w:ind w:left="426" w:hanging="426"/>
        <w:rPr>
          <w:szCs w:val="24"/>
        </w:rPr>
      </w:pPr>
      <w:r>
        <w:rPr>
          <w:szCs w:val="24"/>
        </w:rPr>
        <w:tab/>
      </w:r>
      <w:r w:rsidR="000B4249" w:rsidRPr="000B4249">
        <w:rPr>
          <w:szCs w:val="24"/>
        </w:rPr>
        <w:t>9.</w:t>
      </w:r>
      <w:r>
        <w:rPr>
          <w:szCs w:val="24"/>
        </w:rPr>
        <w:tab/>
      </w:r>
      <w:r w:rsidR="000B4249" w:rsidRPr="000B4249">
        <w:rPr>
          <w:szCs w:val="24"/>
        </w:rPr>
        <w:t>daně a poplatky,</w:t>
      </w:r>
    </w:p>
    <w:p w14:paraId="4E7E15FF" w14:textId="7E0BFC83" w:rsidR="000B4249" w:rsidRPr="000B4249" w:rsidRDefault="000B4249" w:rsidP="001D4EA6">
      <w:pPr>
        <w:pStyle w:val="Textparagrafu"/>
        <w:tabs>
          <w:tab w:val="left" w:pos="392"/>
          <w:tab w:val="left" w:pos="840"/>
        </w:tabs>
        <w:spacing w:before="0"/>
        <w:ind w:left="426" w:hanging="426"/>
        <w:rPr>
          <w:szCs w:val="24"/>
        </w:rPr>
      </w:pPr>
      <w:r w:rsidRPr="000B4249">
        <w:rPr>
          <w:szCs w:val="24"/>
        </w:rPr>
        <w:t>d)</w:t>
      </w:r>
      <w:r w:rsidR="00771355">
        <w:rPr>
          <w:szCs w:val="24"/>
        </w:rPr>
        <w:tab/>
      </w:r>
      <w:r w:rsidRPr="000B4249">
        <w:rPr>
          <w:szCs w:val="24"/>
        </w:rPr>
        <w:t>nastavení cen sdruženého plnění pro jednotlivé druhy obalů; při tomto ověření je vyžadováno pouze ověření správnosti.</w:t>
      </w:r>
    </w:p>
    <w:p w14:paraId="561EB3F3" w14:textId="77777777" w:rsidR="000B4249" w:rsidRPr="000B4249" w:rsidRDefault="000B4249" w:rsidP="009B3F94">
      <w:pPr>
        <w:pStyle w:val="Textparagrafu"/>
        <w:tabs>
          <w:tab w:val="left" w:pos="392"/>
          <w:tab w:val="left" w:pos="840"/>
        </w:tabs>
        <w:spacing w:before="120" w:after="120"/>
        <w:rPr>
          <w:szCs w:val="24"/>
        </w:rPr>
      </w:pPr>
      <w:r w:rsidRPr="000B4249">
        <w:rPr>
          <w:szCs w:val="24"/>
        </w:rPr>
        <w:t>(3) Autorizovaná společnost je dále povinna zajistit, aby auditor ověřil správnost a úplnost údajů vykázaných autorizované společnosti osobami uvedenými v § 23 odst. 1 písm. c) a obcemi.</w:t>
      </w:r>
    </w:p>
    <w:p w14:paraId="72EA42B9" w14:textId="1EAE78E0" w:rsidR="000B4249" w:rsidRPr="000B4249" w:rsidRDefault="000B4249" w:rsidP="009B3F94">
      <w:pPr>
        <w:pStyle w:val="Textparagrafu"/>
        <w:tabs>
          <w:tab w:val="left" w:pos="392"/>
          <w:tab w:val="left" w:pos="840"/>
        </w:tabs>
        <w:spacing w:before="120" w:after="120"/>
        <w:rPr>
          <w:szCs w:val="24"/>
        </w:rPr>
      </w:pPr>
      <w:r w:rsidRPr="000B4249">
        <w:rPr>
          <w:szCs w:val="24"/>
        </w:rPr>
        <w:t xml:space="preserve">(4) Autorizovaná společnost je povinna zajistit ověření podle odstavců 2 a 3 v každém roce, ve kterém je oprávněna k zajišťování sdruženého plnění. Zprávu </w:t>
      </w:r>
      <w:r w:rsidRPr="00ED1C92">
        <w:rPr>
          <w:strike/>
          <w:szCs w:val="24"/>
        </w:rPr>
        <w:t>o ověření účetní závěrky</w:t>
      </w:r>
      <w:r w:rsidRPr="000B4249">
        <w:rPr>
          <w:szCs w:val="24"/>
        </w:rPr>
        <w:t xml:space="preserve"> </w:t>
      </w:r>
      <w:r w:rsidR="00ED1C92" w:rsidRPr="00552AEB">
        <w:rPr>
          <w:b/>
        </w:rPr>
        <w:t>auditora o povinném auditu</w:t>
      </w:r>
      <w:r w:rsidR="00ED1C92" w:rsidRPr="00552AEB">
        <w:t xml:space="preserve"> </w:t>
      </w:r>
      <w:r w:rsidRPr="000B4249">
        <w:rPr>
          <w:szCs w:val="24"/>
        </w:rPr>
        <w:t>podle odstavce 1 a zprávu nebo zprávy o ověření podle odstavců 2 a 3 je autorizovaná společnost povinna Ministerstvu životního prostředí zaslat nejpozději do 6 měsíců od skončení ověřovaného období.</w:t>
      </w:r>
    </w:p>
    <w:p w14:paraId="200E9E0F" w14:textId="77777777" w:rsidR="000B4249" w:rsidRPr="000B4249" w:rsidRDefault="000B4249" w:rsidP="009B3F94">
      <w:pPr>
        <w:pStyle w:val="Textparagrafu"/>
        <w:tabs>
          <w:tab w:val="left" w:pos="392"/>
          <w:tab w:val="left" w:pos="840"/>
        </w:tabs>
        <w:spacing w:before="120" w:after="120"/>
        <w:rPr>
          <w:szCs w:val="24"/>
        </w:rPr>
      </w:pPr>
      <w:r w:rsidRPr="000B4249">
        <w:rPr>
          <w:szCs w:val="24"/>
        </w:rPr>
        <w:t>(5) Osoby uvádějící obaly na trh nebo do oběhu a osoby uvedené v § 23 odst. 1 písm. c) jsou povinny poskytnout autorizované společnosti nezbytnou součinnost za účelem splnění její povinnosti stanovené v odstavcích 2 a 3.</w:t>
      </w:r>
    </w:p>
    <w:p w14:paraId="6BD259D2" w14:textId="77777777" w:rsidR="000B4249" w:rsidRPr="000B4249" w:rsidRDefault="000B4249" w:rsidP="009B3F94">
      <w:pPr>
        <w:pStyle w:val="Textparagrafu"/>
        <w:tabs>
          <w:tab w:val="left" w:pos="392"/>
          <w:tab w:val="left" w:pos="840"/>
        </w:tabs>
        <w:spacing w:before="120" w:after="120"/>
        <w:rPr>
          <w:szCs w:val="24"/>
        </w:rPr>
      </w:pPr>
      <w:r w:rsidRPr="000B4249">
        <w:rPr>
          <w:szCs w:val="24"/>
        </w:rPr>
        <w:lastRenderedPageBreak/>
        <w:t>(6) Prováděcí právní předpis stanoví minimální rozsah ověření podle odstavce 2 písm. a) a odstavce 3.</w:t>
      </w:r>
    </w:p>
    <w:p w14:paraId="6DA00631" w14:textId="77777777" w:rsidR="0058529E" w:rsidRDefault="0058529E" w:rsidP="00CB5381">
      <w:pPr>
        <w:pStyle w:val="Textparagrafu"/>
        <w:tabs>
          <w:tab w:val="left" w:pos="406"/>
          <w:tab w:val="left" w:pos="840"/>
          <w:tab w:val="left" w:pos="868"/>
        </w:tabs>
        <w:spacing w:after="120"/>
        <w:ind w:firstLine="0"/>
        <w:sectPr w:rsidR="0058529E" w:rsidSect="00554E2B">
          <w:footnotePr>
            <w:numStart w:val="3"/>
          </w:footnotePr>
          <w:endnotePr>
            <w:numFmt w:val="decimal"/>
          </w:endnotePr>
          <w:pgSz w:w="11906" w:h="16838"/>
          <w:pgMar w:top="1418" w:right="1418" w:bottom="1418" w:left="1418" w:header="709" w:footer="709" w:gutter="0"/>
          <w:cols w:space="708"/>
          <w:docGrid w:linePitch="360"/>
        </w:sectPr>
      </w:pPr>
    </w:p>
    <w:p w14:paraId="2F1A8242" w14:textId="5D3F4907" w:rsidR="0058529E" w:rsidRPr="00036C64" w:rsidRDefault="0058529E" w:rsidP="009B3F94">
      <w:pPr>
        <w:tabs>
          <w:tab w:val="left" w:pos="851"/>
        </w:tabs>
        <w:spacing w:before="120" w:after="120"/>
        <w:ind w:firstLine="0"/>
        <w:jc w:val="center"/>
        <w:outlineLvl w:val="0"/>
        <w:rPr>
          <w:szCs w:val="24"/>
        </w:rPr>
      </w:pPr>
      <w:r w:rsidRPr="00036C64">
        <w:rPr>
          <w:b/>
          <w:szCs w:val="24"/>
        </w:rPr>
        <w:lastRenderedPageBreak/>
        <w:t>K části šedesáté</w:t>
      </w:r>
      <w:r w:rsidR="001D4EA6">
        <w:rPr>
          <w:b/>
          <w:szCs w:val="24"/>
        </w:rPr>
        <w:t xml:space="preserve"> čtvrté</w:t>
      </w:r>
      <w:r>
        <w:rPr>
          <w:b/>
          <w:szCs w:val="24"/>
        </w:rPr>
        <w:t xml:space="preserve"> </w:t>
      </w:r>
      <w:r w:rsidRPr="00036C64">
        <w:rPr>
          <w:b/>
          <w:szCs w:val="24"/>
        </w:rPr>
        <w:t xml:space="preserve">návrhu zákona – </w:t>
      </w:r>
      <w:r w:rsidRPr="00036C64">
        <w:rPr>
          <w:szCs w:val="24"/>
        </w:rPr>
        <w:t>změna zákona</w:t>
      </w:r>
      <w:r w:rsidRPr="00036C64">
        <w:t xml:space="preserve"> </w:t>
      </w:r>
      <w:r w:rsidRPr="0058529E">
        <w:rPr>
          <w:szCs w:val="24"/>
        </w:rPr>
        <w:t>o církvích a nábožens</w:t>
      </w:r>
      <w:r w:rsidR="00D03F45">
        <w:rPr>
          <w:szCs w:val="24"/>
        </w:rPr>
        <w:t>kých společnostech</w:t>
      </w:r>
    </w:p>
    <w:p w14:paraId="2703EC94" w14:textId="4362AF5F" w:rsidR="0058529E" w:rsidRPr="0058529E" w:rsidRDefault="0058529E" w:rsidP="0058529E">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036C64">
        <w:rPr>
          <w:b/>
          <w:szCs w:val="24"/>
        </w:rPr>
        <w:t>Platné znění</w:t>
      </w:r>
      <w:r w:rsidRPr="00036C64">
        <w:rPr>
          <w:szCs w:val="24"/>
        </w:rPr>
        <w:t xml:space="preserve"> zákona č.</w:t>
      </w:r>
      <w:r>
        <w:rPr>
          <w:szCs w:val="24"/>
        </w:rPr>
        <w:t>3</w:t>
      </w:r>
      <w:r w:rsidRPr="00036C64">
        <w:rPr>
          <w:szCs w:val="24"/>
        </w:rPr>
        <w:t>/</w:t>
      </w:r>
      <w:r>
        <w:rPr>
          <w:szCs w:val="24"/>
        </w:rPr>
        <w:t>2002</w:t>
      </w:r>
      <w:r w:rsidRPr="00036C64">
        <w:rPr>
          <w:szCs w:val="24"/>
        </w:rPr>
        <w:t xml:space="preserve"> Sb., </w:t>
      </w:r>
      <w:r w:rsidRPr="0058529E">
        <w:rPr>
          <w:szCs w:val="24"/>
        </w:rPr>
        <w:t>o svobodě náboženského vyznání a postavení církví a náboženských společností a o změně některých zákonů</w:t>
      </w:r>
      <w:r>
        <w:rPr>
          <w:szCs w:val="24"/>
        </w:rPr>
        <w:t xml:space="preserve"> </w:t>
      </w:r>
      <w:r w:rsidRPr="0058529E">
        <w:rPr>
          <w:szCs w:val="24"/>
        </w:rPr>
        <w:t>(zákon o církvích a náboženských společnostech)</w:t>
      </w:r>
    </w:p>
    <w:p w14:paraId="5C97B1FF" w14:textId="5FE17113" w:rsidR="0058529E" w:rsidRPr="00036C64" w:rsidRDefault="00D03F45" w:rsidP="0058529E">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AE4818">
        <w:rPr>
          <w:b/>
          <w:szCs w:val="24"/>
          <w:lang w:eastAsia="en-US"/>
        </w:rPr>
        <w:t>s vyznačením navrhovaných změn a doplnění k 1. lednu 2025</w:t>
      </w:r>
    </w:p>
    <w:p w14:paraId="51685C44" w14:textId="77777777" w:rsidR="0058529E" w:rsidRPr="00036C64" w:rsidRDefault="0058529E" w:rsidP="0058529E">
      <w:pPr>
        <w:pStyle w:val="Textparagrafu"/>
        <w:tabs>
          <w:tab w:val="left" w:pos="406"/>
          <w:tab w:val="left" w:pos="840"/>
          <w:tab w:val="left" w:pos="868"/>
        </w:tabs>
        <w:spacing w:after="120"/>
        <w:ind w:firstLine="0"/>
        <w:jc w:val="center"/>
      </w:pPr>
      <w:r w:rsidRPr="00036C64">
        <w:t>***</w:t>
      </w:r>
    </w:p>
    <w:p w14:paraId="6D7C66DB" w14:textId="74D5D266" w:rsidR="00A41308" w:rsidRDefault="00A41308" w:rsidP="00A41308">
      <w:pPr>
        <w:pStyle w:val="Textparagrafu"/>
        <w:tabs>
          <w:tab w:val="left" w:pos="392"/>
          <w:tab w:val="left" w:pos="840"/>
        </w:tabs>
        <w:spacing w:after="120"/>
        <w:ind w:firstLine="0"/>
        <w:jc w:val="center"/>
      </w:pPr>
      <w:r w:rsidRPr="0072248A">
        <w:t>§</w:t>
      </w:r>
      <w:r>
        <w:t xml:space="preserve"> </w:t>
      </w:r>
      <w:r w:rsidRPr="0072248A">
        <w:t>11</w:t>
      </w:r>
    </w:p>
    <w:p w14:paraId="5882C2B0" w14:textId="77777777" w:rsidR="00A41308" w:rsidRPr="00A41308" w:rsidRDefault="00A41308" w:rsidP="00A41308">
      <w:pPr>
        <w:pStyle w:val="Textparagrafu"/>
        <w:tabs>
          <w:tab w:val="left" w:pos="392"/>
          <w:tab w:val="left" w:pos="840"/>
        </w:tabs>
        <w:spacing w:after="120"/>
        <w:ind w:firstLine="0"/>
        <w:jc w:val="center"/>
        <w:rPr>
          <w:b/>
        </w:rPr>
      </w:pPr>
      <w:r w:rsidRPr="00A41308">
        <w:rPr>
          <w:b/>
        </w:rPr>
        <w:t>Návrh na přiznání oprávnění k výkonu zvláštních práv</w:t>
      </w:r>
    </w:p>
    <w:p w14:paraId="2B73BFC4" w14:textId="77777777" w:rsidR="00A41308" w:rsidRPr="0072248A" w:rsidRDefault="00A41308" w:rsidP="005C4E21">
      <w:pPr>
        <w:pStyle w:val="Textparagrafu"/>
        <w:tabs>
          <w:tab w:val="left" w:pos="392"/>
          <w:tab w:val="left" w:pos="840"/>
        </w:tabs>
        <w:spacing w:before="120" w:after="120"/>
      </w:pPr>
      <w:proofErr w:type="gramStart"/>
      <w:r w:rsidRPr="0072248A">
        <w:t>(1)</w:t>
      </w:r>
      <w:r>
        <w:t xml:space="preserve"> </w:t>
      </w:r>
      <w:r w:rsidRPr="0072248A">
        <w:t>Návrh</w:t>
      </w:r>
      <w:proofErr w:type="gramEnd"/>
      <w:r>
        <w:t xml:space="preserve"> </w:t>
      </w:r>
      <w:r w:rsidRPr="0072248A">
        <w:t>na</w:t>
      </w:r>
      <w:r>
        <w:t xml:space="preserve"> </w:t>
      </w:r>
      <w:r w:rsidRPr="0072248A">
        <w:t>přiznání</w:t>
      </w:r>
      <w:r>
        <w:t xml:space="preserve"> </w:t>
      </w:r>
      <w:r w:rsidRPr="0072248A">
        <w:t>oprávnění</w:t>
      </w:r>
      <w:r>
        <w:t xml:space="preserve"> </w:t>
      </w:r>
      <w:r w:rsidRPr="0072248A">
        <w:t>k</w:t>
      </w:r>
      <w:r>
        <w:t xml:space="preserve"> </w:t>
      </w:r>
      <w:r w:rsidRPr="0072248A">
        <w:t>výkonu</w:t>
      </w:r>
      <w:r>
        <w:t xml:space="preserve"> </w:t>
      </w:r>
      <w:r w:rsidRPr="0072248A">
        <w:t>zvláštních</w:t>
      </w:r>
      <w:r>
        <w:t xml:space="preserve"> </w:t>
      </w:r>
      <w:r w:rsidRPr="0072248A">
        <w:t>práv</w:t>
      </w:r>
      <w:r>
        <w:t xml:space="preserve"> </w:t>
      </w:r>
      <w:r w:rsidRPr="0072248A">
        <w:t>může</w:t>
      </w:r>
      <w:r>
        <w:t xml:space="preserve"> </w:t>
      </w:r>
      <w:r w:rsidRPr="0072248A">
        <w:t>podat</w:t>
      </w:r>
      <w:r>
        <w:t xml:space="preserve"> </w:t>
      </w:r>
      <w:r w:rsidRPr="0072248A">
        <w:t>registrovaná</w:t>
      </w:r>
      <w:r>
        <w:t xml:space="preserve"> </w:t>
      </w:r>
      <w:r w:rsidRPr="0072248A">
        <w:t>církev</w:t>
      </w:r>
      <w:r>
        <w:t xml:space="preserve"> </w:t>
      </w:r>
      <w:r w:rsidRPr="0072248A">
        <w:t>a</w:t>
      </w:r>
      <w:r>
        <w:t xml:space="preserve"> </w:t>
      </w:r>
      <w:r w:rsidRPr="0072248A">
        <w:t>náboženská</w:t>
      </w:r>
      <w:r>
        <w:t xml:space="preserve"> </w:t>
      </w:r>
      <w:r w:rsidRPr="0072248A">
        <w:t>společnost,</w:t>
      </w:r>
      <w:r>
        <w:t xml:space="preserve"> </w:t>
      </w:r>
      <w:proofErr w:type="gramStart"/>
      <w:r w:rsidRPr="0072248A">
        <w:t>která</w:t>
      </w:r>
      <w:proofErr w:type="gramEnd"/>
    </w:p>
    <w:p w14:paraId="12909647" w14:textId="68858DBC" w:rsidR="00A41308" w:rsidRDefault="00A41308" w:rsidP="001D4EA6">
      <w:pPr>
        <w:pStyle w:val="Textparagrafu"/>
        <w:tabs>
          <w:tab w:val="left" w:pos="392"/>
          <w:tab w:val="left" w:pos="840"/>
        </w:tabs>
        <w:spacing w:before="0"/>
        <w:ind w:left="426" w:hanging="426"/>
      </w:pPr>
      <w:r w:rsidRPr="0072248A">
        <w:t>a)</w:t>
      </w:r>
      <w:r>
        <w:tab/>
      </w:r>
      <w:r w:rsidRPr="0072248A">
        <w:t>je</w:t>
      </w:r>
      <w:r>
        <w:t xml:space="preserve"> </w:t>
      </w:r>
      <w:r w:rsidRPr="0072248A">
        <w:t>registrována</w:t>
      </w:r>
      <w:r>
        <w:t xml:space="preserve"> </w:t>
      </w:r>
      <w:r w:rsidRPr="0072248A">
        <w:t>podle</w:t>
      </w:r>
      <w:r>
        <w:t xml:space="preserve"> </w:t>
      </w:r>
      <w:r w:rsidRPr="0072248A">
        <w:t>tohoto</w:t>
      </w:r>
      <w:r>
        <w:t xml:space="preserve"> </w:t>
      </w:r>
      <w:r w:rsidRPr="0072248A">
        <w:t>zákona</w:t>
      </w:r>
      <w:r>
        <w:t xml:space="preserve"> </w:t>
      </w:r>
      <w:r w:rsidRPr="0072248A">
        <w:t>nepřetržitě</w:t>
      </w:r>
      <w:r>
        <w:t xml:space="preserve"> </w:t>
      </w:r>
      <w:r w:rsidRPr="0072248A">
        <w:t>ke</w:t>
      </w:r>
      <w:r>
        <w:t xml:space="preserve"> </w:t>
      </w:r>
      <w:r w:rsidRPr="0072248A">
        <w:t>dni</w:t>
      </w:r>
      <w:r>
        <w:t xml:space="preserve"> </w:t>
      </w:r>
      <w:r w:rsidRPr="0072248A">
        <w:t>podání</w:t>
      </w:r>
      <w:r>
        <w:t xml:space="preserve"> </w:t>
      </w:r>
      <w:r w:rsidRPr="0072248A">
        <w:t>návrhu</w:t>
      </w:r>
      <w:r>
        <w:t xml:space="preserve"> </w:t>
      </w:r>
      <w:r w:rsidRPr="0072248A">
        <w:t>nejméně</w:t>
      </w:r>
      <w:r>
        <w:t xml:space="preserve"> </w:t>
      </w:r>
      <w:r w:rsidRPr="0072248A">
        <w:t>10</w:t>
      </w:r>
      <w:r>
        <w:t xml:space="preserve"> </w:t>
      </w:r>
      <w:r w:rsidRPr="0072248A">
        <w:t>let,</w:t>
      </w:r>
    </w:p>
    <w:p w14:paraId="4FE1CDA0" w14:textId="6D648CCA" w:rsidR="00A41308" w:rsidRDefault="00A41308" w:rsidP="001D4EA6">
      <w:pPr>
        <w:pStyle w:val="Textparagrafu"/>
        <w:tabs>
          <w:tab w:val="left" w:pos="392"/>
          <w:tab w:val="left" w:pos="840"/>
        </w:tabs>
        <w:spacing w:before="0"/>
        <w:ind w:left="426" w:hanging="426"/>
      </w:pPr>
      <w:r w:rsidRPr="0072248A">
        <w:t>b)</w:t>
      </w:r>
      <w:r>
        <w:tab/>
      </w:r>
      <w:r w:rsidRPr="0072248A">
        <w:t>zveřejňovala</w:t>
      </w:r>
      <w:r>
        <w:t xml:space="preserve"> </w:t>
      </w:r>
      <w:r w:rsidRPr="0072248A">
        <w:t>každoročně</w:t>
      </w:r>
      <w:r>
        <w:t xml:space="preserve"> </w:t>
      </w:r>
      <w:r w:rsidRPr="0072248A">
        <w:t>10</w:t>
      </w:r>
      <w:r>
        <w:t xml:space="preserve"> </w:t>
      </w:r>
      <w:r w:rsidRPr="0072248A">
        <w:t>let</w:t>
      </w:r>
      <w:r>
        <w:t xml:space="preserve"> </w:t>
      </w:r>
      <w:r w:rsidRPr="0072248A">
        <w:t>před</w:t>
      </w:r>
      <w:r>
        <w:t xml:space="preserve"> </w:t>
      </w:r>
      <w:r w:rsidRPr="0072248A">
        <w:t>podáním</w:t>
      </w:r>
      <w:r>
        <w:t xml:space="preserve"> </w:t>
      </w:r>
      <w:r w:rsidRPr="0072248A">
        <w:t>tohoto</w:t>
      </w:r>
      <w:r>
        <w:t xml:space="preserve"> </w:t>
      </w:r>
      <w:r w:rsidRPr="0072248A">
        <w:t>návrhu</w:t>
      </w:r>
      <w:r>
        <w:t xml:space="preserve"> </w:t>
      </w:r>
      <w:r w:rsidRPr="0072248A">
        <w:t>výroční</w:t>
      </w:r>
      <w:r>
        <w:t xml:space="preserve"> </w:t>
      </w:r>
      <w:r w:rsidRPr="0072248A">
        <w:t>zprávy</w:t>
      </w:r>
      <w:r>
        <w:t xml:space="preserve"> </w:t>
      </w:r>
      <w:r w:rsidRPr="0072248A">
        <w:t>o</w:t>
      </w:r>
      <w:r>
        <w:t xml:space="preserve"> </w:t>
      </w:r>
      <w:r w:rsidRPr="0072248A">
        <w:t>činnosti</w:t>
      </w:r>
      <w:r>
        <w:t xml:space="preserve"> </w:t>
      </w:r>
      <w:r w:rsidRPr="0072248A">
        <w:t>za</w:t>
      </w:r>
      <w:r>
        <w:t xml:space="preserve"> </w:t>
      </w:r>
      <w:r w:rsidRPr="0072248A">
        <w:t>kalendářní</w:t>
      </w:r>
      <w:r>
        <w:t xml:space="preserve"> </w:t>
      </w:r>
      <w:r w:rsidRPr="0072248A">
        <w:t>rok,</w:t>
      </w:r>
    </w:p>
    <w:p w14:paraId="249A56EE" w14:textId="7695C99F" w:rsidR="00A41308" w:rsidRDefault="00A41308" w:rsidP="001D4EA6">
      <w:pPr>
        <w:pStyle w:val="Textparagrafu"/>
        <w:tabs>
          <w:tab w:val="left" w:pos="392"/>
          <w:tab w:val="left" w:pos="840"/>
        </w:tabs>
        <w:spacing w:before="0"/>
        <w:ind w:left="426" w:hanging="426"/>
      </w:pPr>
      <w:r w:rsidRPr="0072248A">
        <w:t>c)</w:t>
      </w:r>
      <w:r>
        <w:tab/>
      </w:r>
      <w:r w:rsidRPr="0072248A">
        <w:t>plní</w:t>
      </w:r>
      <w:r>
        <w:t xml:space="preserve"> </w:t>
      </w:r>
      <w:r w:rsidRPr="0072248A">
        <w:t>řádně</w:t>
      </w:r>
      <w:r>
        <w:t xml:space="preserve"> </w:t>
      </w:r>
      <w:r w:rsidRPr="0072248A">
        <w:t>závazky</w:t>
      </w:r>
      <w:r>
        <w:t xml:space="preserve"> </w:t>
      </w:r>
      <w:r w:rsidRPr="0072248A">
        <w:t>vůči</w:t>
      </w:r>
      <w:r>
        <w:t xml:space="preserve"> státu</w:t>
      </w:r>
      <w:r>
        <w:rPr>
          <w:rStyle w:val="Znakapoznpodarou"/>
        </w:rPr>
        <w:footnoteReference w:customMarkFollows="1" w:id="399"/>
        <w:t>12)</w:t>
      </w:r>
      <w:r>
        <w:t xml:space="preserve"> </w:t>
      </w:r>
      <w:r w:rsidRPr="0072248A">
        <w:t>a</w:t>
      </w:r>
      <w:r>
        <w:t xml:space="preserve"> </w:t>
      </w:r>
      <w:r w:rsidRPr="0072248A">
        <w:t>třetím</w:t>
      </w:r>
      <w:r>
        <w:t xml:space="preserve"> </w:t>
      </w:r>
      <w:r w:rsidRPr="0072248A">
        <w:t>osobám,</w:t>
      </w:r>
    </w:p>
    <w:p w14:paraId="5005C034" w14:textId="169C70CA" w:rsidR="00A41308" w:rsidRDefault="00A41308" w:rsidP="001D4EA6">
      <w:pPr>
        <w:pStyle w:val="Textparagrafu"/>
        <w:tabs>
          <w:tab w:val="left" w:pos="392"/>
          <w:tab w:val="left" w:pos="840"/>
        </w:tabs>
        <w:spacing w:before="0"/>
        <w:ind w:left="426" w:hanging="426"/>
      </w:pPr>
      <w:r w:rsidRPr="0072248A">
        <w:t>d)</w:t>
      </w:r>
      <w:r>
        <w:tab/>
      </w:r>
      <w:r w:rsidRPr="0072248A">
        <w:t>je</w:t>
      </w:r>
      <w:r>
        <w:t xml:space="preserve"> </w:t>
      </w:r>
      <w:r w:rsidRPr="0072248A">
        <w:t>bezúhonná.</w:t>
      </w:r>
    </w:p>
    <w:p w14:paraId="07AB5945" w14:textId="77777777" w:rsidR="00A41308" w:rsidRDefault="00A41308" w:rsidP="005C4E21">
      <w:pPr>
        <w:pStyle w:val="Textparagrafu"/>
        <w:tabs>
          <w:tab w:val="left" w:pos="392"/>
          <w:tab w:val="left" w:pos="840"/>
        </w:tabs>
        <w:spacing w:before="120" w:after="120"/>
      </w:pPr>
      <w:r w:rsidRPr="0072248A">
        <w:t>(2)</w:t>
      </w:r>
      <w:r>
        <w:t xml:space="preserve"> </w:t>
      </w:r>
      <w:r w:rsidRPr="0072248A">
        <w:t>Návrh</w:t>
      </w:r>
      <w:r>
        <w:t xml:space="preserve"> </w:t>
      </w:r>
      <w:r w:rsidRPr="0072248A">
        <w:t>na</w:t>
      </w:r>
      <w:r>
        <w:t xml:space="preserve"> </w:t>
      </w:r>
      <w:r w:rsidRPr="0072248A">
        <w:t>přiznání</w:t>
      </w:r>
      <w:r>
        <w:t xml:space="preserve"> </w:t>
      </w:r>
      <w:r w:rsidRPr="0072248A">
        <w:t>oprávnění</w:t>
      </w:r>
      <w:r>
        <w:t xml:space="preserve"> </w:t>
      </w:r>
      <w:r w:rsidRPr="0072248A">
        <w:t>k</w:t>
      </w:r>
      <w:r>
        <w:t xml:space="preserve"> </w:t>
      </w:r>
      <w:r w:rsidRPr="0072248A">
        <w:t>výkonu</w:t>
      </w:r>
      <w:r>
        <w:t xml:space="preserve"> </w:t>
      </w:r>
      <w:r w:rsidRPr="0072248A">
        <w:t>zvláštních</w:t>
      </w:r>
      <w:r>
        <w:t xml:space="preserve"> </w:t>
      </w:r>
      <w:r w:rsidRPr="0072248A">
        <w:t>práv</w:t>
      </w:r>
      <w:r>
        <w:t xml:space="preserve"> </w:t>
      </w:r>
      <w:r w:rsidRPr="0072248A">
        <w:t>podává</w:t>
      </w:r>
      <w:r>
        <w:t xml:space="preserve"> </w:t>
      </w:r>
      <w:r w:rsidRPr="0072248A">
        <w:t>statutární</w:t>
      </w:r>
      <w:r>
        <w:t xml:space="preserve"> </w:t>
      </w:r>
      <w:r w:rsidRPr="0072248A">
        <w:t>orgán</w:t>
      </w:r>
      <w:r>
        <w:t xml:space="preserve"> </w:t>
      </w:r>
      <w:r w:rsidRPr="0072248A">
        <w:t>registrované</w:t>
      </w:r>
      <w:r>
        <w:t xml:space="preserve"> </w:t>
      </w:r>
      <w:r w:rsidRPr="0072248A">
        <w:t>církve</w:t>
      </w:r>
      <w:r>
        <w:t xml:space="preserve"> </w:t>
      </w:r>
      <w:r w:rsidRPr="0072248A">
        <w:t>a</w:t>
      </w:r>
      <w:r>
        <w:t xml:space="preserve"> </w:t>
      </w:r>
      <w:r w:rsidRPr="0072248A">
        <w:t>náboženské</w:t>
      </w:r>
      <w:r>
        <w:t xml:space="preserve"> </w:t>
      </w:r>
      <w:r w:rsidRPr="0072248A">
        <w:t>společnosti.</w:t>
      </w:r>
    </w:p>
    <w:p w14:paraId="538C5F64" w14:textId="77777777" w:rsidR="00A41308" w:rsidRDefault="00A41308" w:rsidP="005C4E21">
      <w:pPr>
        <w:pStyle w:val="Textparagrafu"/>
        <w:tabs>
          <w:tab w:val="left" w:pos="392"/>
          <w:tab w:val="left" w:pos="840"/>
        </w:tabs>
        <w:spacing w:before="120" w:after="120"/>
      </w:pPr>
      <w:r w:rsidRPr="0072248A">
        <w:t>(3)</w:t>
      </w:r>
      <w:r>
        <w:t xml:space="preserve"> </w:t>
      </w:r>
      <w:r w:rsidRPr="0072248A">
        <w:t>Návrh</w:t>
      </w:r>
      <w:r>
        <w:t xml:space="preserve"> </w:t>
      </w:r>
      <w:r w:rsidRPr="0072248A">
        <w:t>na</w:t>
      </w:r>
      <w:r>
        <w:t xml:space="preserve"> </w:t>
      </w:r>
      <w:r w:rsidRPr="0072248A">
        <w:t>přiznání</w:t>
      </w:r>
      <w:r>
        <w:t xml:space="preserve"> </w:t>
      </w:r>
      <w:r w:rsidRPr="0072248A">
        <w:t>zvláštních</w:t>
      </w:r>
      <w:r>
        <w:t xml:space="preserve"> </w:t>
      </w:r>
      <w:r w:rsidRPr="0072248A">
        <w:t>práv</w:t>
      </w:r>
      <w:r>
        <w:t xml:space="preserve"> </w:t>
      </w:r>
      <w:r w:rsidRPr="0072248A">
        <w:t>může</w:t>
      </w:r>
      <w:r>
        <w:t xml:space="preserve"> </w:t>
      </w:r>
      <w:r w:rsidRPr="0072248A">
        <w:t>být</w:t>
      </w:r>
      <w:r>
        <w:t xml:space="preserve"> </w:t>
      </w:r>
      <w:r w:rsidRPr="0072248A">
        <w:t>podán</w:t>
      </w:r>
      <w:r>
        <w:t xml:space="preserve"> </w:t>
      </w:r>
      <w:r w:rsidRPr="0072248A">
        <w:t>buď</w:t>
      </w:r>
      <w:r>
        <w:t xml:space="preserve"> </w:t>
      </w:r>
      <w:r w:rsidRPr="0072248A">
        <w:t>pro</w:t>
      </w:r>
      <w:r>
        <w:t xml:space="preserve"> </w:t>
      </w:r>
      <w:r w:rsidRPr="0072248A">
        <w:t>výkon</w:t>
      </w:r>
      <w:r>
        <w:t xml:space="preserve"> </w:t>
      </w:r>
      <w:r w:rsidRPr="0072248A">
        <w:t>všech</w:t>
      </w:r>
      <w:r>
        <w:t xml:space="preserve"> </w:t>
      </w:r>
      <w:r w:rsidRPr="0072248A">
        <w:t>zvláštních</w:t>
      </w:r>
      <w:r>
        <w:t xml:space="preserve"> </w:t>
      </w:r>
      <w:r w:rsidRPr="0072248A">
        <w:t>práv</w:t>
      </w:r>
      <w:r>
        <w:t xml:space="preserve"> </w:t>
      </w:r>
      <w:r w:rsidRPr="0072248A">
        <w:t>podle</w:t>
      </w:r>
      <w:r>
        <w:t xml:space="preserve"> </w:t>
      </w:r>
      <w:r w:rsidRPr="0072248A">
        <w:t>§</w:t>
      </w:r>
      <w:r>
        <w:t xml:space="preserve"> </w:t>
      </w:r>
      <w:r w:rsidRPr="0072248A">
        <w:t>7</w:t>
      </w:r>
      <w:r>
        <w:t xml:space="preserve"> </w:t>
      </w:r>
      <w:r w:rsidRPr="0072248A">
        <w:t>odst.</w:t>
      </w:r>
      <w:r>
        <w:t xml:space="preserve"> </w:t>
      </w:r>
      <w:r w:rsidRPr="0072248A">
        <w:t>1</w:t>
      </w:r>
      <w:r>
        <w:t xml:space="preserve"> </w:t>
      </w:r>
      <w:r w:rsidRPr="0072248A">
        <w:t>anebo</w:t>
      </w:r>
      <w:r>
        <w:t xml:space="preserve"> </w:t>
      </w:r>
      <w:r w:rsidRPr="0072248A">
        <w:t>pouze</w:t>
      </w:r>
      <w:r>
        <w:t xml:space="preserve"> </w:t>
      </w:r>
      <w:r w:rsidRPr="0072248A">
        <w:t>pro</w:t>
      </w:r>
      <w:r>
        <w:t xml:space="preserve"> </w:t>
      </w:r>
      <w:r w:rsidRPr="0072248A">
        <w:t>výkon</w:t>
      </w:r>
      <w:r>
        <w:t xml:space="preserve"> </w:t>
      </w:r>
      <w:r w:rsidRPr="0072248A">
        <w:t>zvláštních</w:t>
      </w:r>
      <w:r>
        <w:t xml:space="preserve"> </w:t>
      </w:r>
      <w:r w:rsidRPr="0072248A">
        <w:t>práv</w:t>
      </w:r>
      <w:r>
        <w:t xml:space="preserve"> </w:t>
      </w:r>
      <w:r w:rsidRPr="0072248A">
        <w:t>podle</w:t>
      </w:r>
      <w:r>
        <w:t xml:space="preserve"> </w:t>
      </w:r>
      <w:r w:rsidRPr="0072248A">
        <w:t>§</w:t>
      </w:r>
      <w:r>
        <w:t xml:space="preserve"> </w:t>
      </w:r>
      <w:r w:rsidRPr="0072248A">
        <w:t>7</w:t>
      </w:r>
      <w:r>
        <w:t xml:space="preserve"> </w:t>
      </w:r>
      <w:r w:rsidRPr="0072248A">
        <w:t>odst.</w:t>
      </w:r>
      <w:r>
        <w:t xml:space="preserve"> </w:t>
      </w:r>
      <w:r w:rsidRPr="0072248A">
        <w:t>1</w:t>
      </w:r>
      <w:r>
        <w:t xml:space="preserve"> </w:t>
      </w:r>
      <w:r w:rsidRPr="0072248A">
        <w:t>písm.</w:t>
      </w:r>
      <w:r>
        <w:t xml:space="preserve"> </w:t>
      </w:r>
      <w:r w:rsidRPr="0072248A">
        <w:t>a)</w:t>
      </w:r>
      <w:r>
        <w:t xml:space="preserve"> </w:t>
      </w:r>
      <w:r w:rsidRPr="0072248A">
        <w:t>až</w:t>
      </w:r>
      <w:r>
        <w:t xml:space="preserve"> </w:t>
      </w:r>
      <w:r w:rsidRPr="0072248A">
        <w:t>d).</w:t>
      </w:r>
    </w:p>
    <w:p w14:paraId="4B34696D" w14:textId="77777777" w:rsidR="00A41308" w:rsidRDefault="00A41308" w:rsidP="005C4E21">
      <w:pPr>
        <w:pStyle w:val="Textparagrafu"/>
        <w:tabs>
          <w:tab w:val="left" w:pos="392"/>
          <w:tab w:val="left" w:pos="840"/>
        </w:tabs>
        <w:spacing w:before="120" w:after="120"/>
      </w:pPr>
      <w:r w:rsidRPr="0072248A">
        <w:t>(4)</w:t>
      </w:r>
      <w:r>
        <w:t xml:space="preserve"> </w:t>
      </w:r>
      <w:r w:rsidRPr="0072248A">
        <w:t>Návrh</w:t>
      </w:r>
      <w:r>
        <w:t xml:space="preserve"> </w:t>
      </w:r>
      <w:r w:rsidRPr="0072248A">
        <w:t>na</w:t>
      </w:r>
      <w:r>
        <w:t xml:space="preserve"> </w:t>
      </w:r>
      <w:r w:rsidRPr="0072248A">
        <w:t>přiznání</w:t>
      </w:r>
      <w:r>
        <w:t xml:space="preserve"> </w:t>
      </w:r>
      <w:r w:rsidRPr="0072248A">
        <w:t>oprávnění</w:t>
      </w:r>
      <w:r>
        <w:t xml:space="preserve"> </w:t>
      </w:r>
      <w:r w:rsidRPr="0072248A">
        <w:t>k</w:t>
      </w:r>
      <w:r>
        <w:t xml:space="preserve"> </w:t>
      </w:r>
      <w:r w:rsidRPr="0072248A">
        <w:t>výkonu</w:t>
      </w:r>
      <w:r>
        <w:t xml:space="preserve"> </w:t>
      </w:r>
      <w:r w:rsidRPr="0072248A">
        <w:t>zvláštních</w:t>
      </w:r>
      <w:r>
        <w:t xml:space="preserve"> </w:t>
      </w:r>
      <w:r w:rsidRPr="0072248A">
        <w:t>práv</w:t>
      </w:r>
      <w:r>
        <w:t xml:space="preserve"> </w:t>
      </w:r>
      <w:r w:rsidRPr="0072248A">
        <w:t>podle</w:t>
      </w:r>
      <w:r>
        <w:t xml:space="preserve"> </w:t>
      </w:r>
      <w:r w:rsidRPr="0072248A">
        <w:t>§</w:t>
      </w:r>
      <w:r>
        <w:t xml:space="preserve"> </w:t>
      </w:r>
      <w:r w:rsidRPr="0072248A">
        <w:t>7</w:t>
      </w:r>
      <w:r>
        <w:t xml:space="preserve"> </w:t>
      </w:r>
      <w:r w:rsidRPr="0072248A">
        <w:t>odst.</w:t>
      </w:r>
      <w:r>
        <w:t xml:space="preserve"> </w:t>
      </w:r>
      <w:r w:rsidRPr="0072248A">
        <w:t>1</w:t>
      </w:r>
      <w:r>
        <w:t xml:space="preserve"> </w:t>
      </w:r>
      <w:r w:rsidRPr="0072248A">
        <w:t>písm.</w:t>
      </w:r>
      <w:r>
        <w:t xml:space="preserve"> </w:t>
      </w:r>
      <w:r w:rsidRPr="0072248A">
        <w:t>a)</w:t>
      </w:r>
      <w:r>
        <w:t xml:space="preserve"> </w:t>
      </w:r>
      <w:r w:rsidRPr="0072248A">
        <w:t>až</w:t>
      </w:r>
      <w:r>
        <w:t xml:space="preserve"> </w:t>
      </w:r>
      <w:r w:rsidRPr="0072248A">
        <w:t>d)</w:t>
      </w:r>
      <w:r>
        <w:t xml:space="preserve"> </w:t>
      </w:r>
      <w:r w:rsidRPr="0072248A">
        <w:t>musí</w:t>
      </w:r>
      <w:r>
        <w:t xml:space="preserve"> </w:t>
      </w:r>
      <w:r w:rsidRPr="0072248A">
        <w:t>obsahovat</w:t>
      </w:r>
    </w:p>
    <w:p w14:paraId="34BD5C3B" w14:textId="6E341472" w:rsidR="00A41308" w:rsidRDefault="00A41308" w:rsidP="001D4EA6">
      <w:pPr>
        <w:pStyle w:val="Textparagrafu"/>
        <w:tabs>
          <w:tab w:val="left" w:pos="392"/>
          <w:tab w:val="left" w:pos="840"/>
        </w:tabs>
        <w:spacing w:before="0"/>
        <w:ind w:left="426" w:hanging="426"/>
      </w:pPr>
      <w:r w:rsidRPr="0072248A">
        <w:t>a)</w:t>
      </w:r>
      <w:r w:rsidR="005651C1">
        <w:tab/>
      </w:r>
      <w:r w:rsidRPr="0072248A">
        <w:t>v</w:t>
      </w:r>
      <w:r>
        <w:t xml:space="preserve"> </w:t>
      </w:r>
      <w:r w:rsidRPr="0072248A">
        <w:t>originále</w:t>
      </w:r>
      <w:r>
        <w:t xml:space="preserve"> </w:t>
      </w:r>
      <w:r w:rsidRPr="0072248A">
        <w:t>podpisy</w:t>
      </w:r>
      <w:r>
        <w:t xml:space="preserve"> </w:t>
      </w:r>
      <w:r w:rsidRPr="0072248A">
        <w:t>tolika</w:t>
      </w:r>
      <w:r>
        <w:t xml:space="preserve"> </w:t>
      </w:r>
      <w:r w:rsidRPr="0072248A">
        <w:t>zletilých</w:t>
      </w:r>
      <w:r>
        <w:t xml:space="preserve"> </w:t>
      </w:r>
      <w:r w:rsidRPr="0072248A">
        <w:t>občanů</w:t>
      </w:r>
      <w:r>
        <w:t xml:space="preserve"> </w:t>
      </w:r>
      <w:r w:rsidRPr="0072248A">
        <w:t>České</w:t>
      </w:r>
      <w:r>
        <w:t xml:space="preserve"> </w:t>
      </w:r>
      <w:r w:rsidRPr="0072248A">
        <w:t>republiky</w:t>
      </w:r>
      <w:r>
        <w:t xml:space="preserve"> </w:t>
      </w:r>
      <w:r w:rsidRPr="0072248A">
        <w:t>nebo</w:t>
      </w:r>
      <w:r>
        <w:t xml:space="preserve"> </w:t>
      </w:r>
      <w:r w:rsidRPr="0072248A">
        <w:t>cizinců</w:t>
      </w:r>
      <w:r>
        <w:t xml:space="preserve"> </w:t>
      </w:r>
      <w:r w:rsidRPr="0072248A">
        <w:t>s</w:t>
      </w:r>
      <w:r>
        <w:t xml:space="preserve"> </w:t>
      </w:r>
      <w:r w:rsidRPr="0072248A">
        <w:t>trvalým</w:t>
      </w:r>
      <w:r>
        <w:t xml:space="preserve"> </w:t>
      </w:r>
      <w:r w:rsidRPr="0072248A">
        <w:t>pobytem</w:t>
      </w:r>
      <w:r>
        <w:t xml:space="preserve"> </w:t>
      </w:r>
      <w:r w:rsidRPr="0072248A">
        <w:t>v</w:t>
      </w:r>
      <w:r>
        <w:t xml:space="preserve"> </w:t>
      </w:r>
      <w:r w:rsidRPr="0072248A">
        <w:t>České</w:t>
      </w:r>
      <w:r>
        <w:t xml:space="preserve"> </w:t>
      </w:r>
      <w:r w:rsidRPr="0072248A">
        <w:t>republice</w:t>
      </w:r>
      <w:r>
        <w:t xml:space="preserve"> </w:t>
      </w:r>
      <w:r w:rsidRPr="0072248A">
        <w:t>hlásících</w:t>
      </w:r>
      <w:r>
        <w:t xml:space="preserve"> </w:t>
      </w:r>
      <w:r w:rsidRPr="0072248A">
        <w:t>se</w:t>
      </w:r>
      <w:r>
        <w:t xml:space="preserve"> </w:t>
      </w:r>
      <w:r w:rsidRPr="0072248A">
        <w:t>k</w:t>
      </w:r>
      <w:r>
        <w:t xml:space="preserve"> </w:t>
      </w:r>
      <w:r w:rsidRPr="0072248A">
        <w:t>této</w:t>
      </w:r>
      <w:r>
        <w:t xml:space="preserve"> </w:t>
      </w:r>
      <w:r w:rsidRPr="0072248A">
        <w:t>církvi</w:t>
      </w:r>
      <w:r>
        <w:t xml:space="preserve"> </w:t>
      </w:r>
      <w:r w:rsidRPr="0072248A">
        <w:t>a</w:t>
      </w:r>
      <w:r>
        <w:t xml:space="preserve"> </w:t>
      </w:r>
      <w:r w:rsidRPr="0072248A">
        <w:t>náboženské</w:t>
      </w:r>
      <w:r>
        <w:t xml:space="preserve"> </w:t>
      </w:r>
      <w:r w:rsidRPr="0072248A">
        <w:t>společnosti,</w:t>
      </w:r>
      <w:r>
        <w:t xml:space="preserve"> </w:t>
      </w:r>
      <w:r w:rsidRPr="0072248A">
        <w:t>kolik</w:t>
      </w:r>
      <w:r>
        <w:t xml:space="preserve"> </w:t>
      </w:r>
      <w:r w:rsidRPr="0072248A">
        <w:t>činí</w:t>
      </w:r>
      <w:r>
        <w:t xml:space="preserve"> </w:t>
      </w:r>
      <w:r w:rsidRPr="0072248A">
        <w:t>nejméně</w:t>
      </w:r>
      <w:r>
        <w:t xml:space="preserve"> </w:t>
      </w:r>
      <w:r w:rsidRPr="0072248A">
        <w:t>1</w:t>
      </w:r>
      <w:r>
        <w:t xml:space="preserve"> </w:t>
      </w:r>
      <w:r w:rsidRPr="0072248A">
        <w:t>promile</w:t>
      </w:r>
      <w:r>
        <w:t xml:space="preserve"> </w:t>
      </w:r>
      <w:r w:rsidRPr="0072248A">
        <w:t>obyvatel</w:t>
      </w:r>
      <w:r>
        <w:t xml:space="preserve"> </w:t>
      </w:r>
      <w:r w:rsidRPr="0072248A">
        <w:t>České</w:t>
      </w:r>
      <w:r>
        <w:t xml:space="preserve"> </w:t>
      </w:r>
      <w:r w:rsidRPr="0072248A">
        <w:t>republiky</w:t>
      </w:r>
      <w:r>
        <w:t xml:space="preserve"> </w:t>
      </w:r>
      <w:r w:rsidRPr="0072248A">
        <w:t>podle</w:t>
      </w:r>
      <w:r>
        <w:t xml:space="preserve"> </w:t>
      </w:r>
      <w:r w:rsidRPr="0072248A">
        <w:t>posledního</w:t>
      </w:r>
      <w:r>
        <w:t xml:space="preserve"> </w:t>
      </w:r>
      <w:r w:rsidRPr="0072248A">
        <w:t>sčítání</w:t>
      </w:r>
      <w:r>
        <w:t xml:space="preserve"> lidu,</w:t>
      </w:r>
      <w:r>
        <w:rPr>
          <w:rStyle w:val="Znakapoznpodarou"/>
        </w:rPr>
        <w:footnoteReference w:customMarkFollows="1" w:id="400"/>
        <w:t>13)</w:t>
      </w:r>
      <w:r>
        <w:t xml:space="preserve"> </w:t>
      </w:r>
      <w:r w:rsidRPr="0072248A">
        <w:t>s</w:t>
      </w:r>
      <w:r>
        <w:t xml:space="preserve"> </w:t>
      </w:r>
      <w:r w:rsidRPr="0072248A">
        <w:t>uvedením</w:t>
      </w:r>
      <w:r>
        <w:t xml:space="preserve"> </w:t>
      </w:r>
      <w:r w:rsidRPr="0072248A">
        <w:t>jejich</w:t>
      </w:r>
      <w:r>
        <w:t xml:space="preserve"> </w:t>
      </w:r>
      <w:r w:rsidRPr="0072248A">
        <w:t>identifikačních</w:t>
      </w:r>
      <w:r>
        <w:t xml:space="preserve"> </w:t>
      </w:r>
      <w:r w:rsidRPr="0072248A">
        <w:t>údajů</w:t>
      </w:r>
      <w:r>
        <w:t xml:space="preserve"> </w:t>
      </w:r>
      <w:r w:rsidRPr="0072248A">
        <w:t>podle</w:t>
      </w:r>
      <w:r>
        <w:t xml:space="preserve"> </w:t>
      </w:r>
      <w:r w:rsidRPr="0072248A">
        <w:t>tohoto</w:t>
      </w:r>
      <w:r>
        <w:t xml:space="preserve"> </w:t>
      </w:r>
      <w:r w:rsidRPr="0072248A">
        <w:t>zákona</w:t>
      </w:r>
      <w:r>
        <w:t xml:space="preserve"> </w:t>
      </w:r>
      <w:r w:rsidRPr="0072248A">
        <w:t>a</w:t>
      </w:r>
      <w:r>
        <w:t xml:space="preserve"> </w:t>
      </w:r>
      <w:r w:rsidRPr="0072248A">
        <w:t>s</w:t>
      </w:r>
      <w:r>
        <w:t xml:space="preserve"> </w:t>
      </w:r>
      <w:r w:rsidRPr="0072248A">
        <w:t>uvedením</w:t>
      </w:r>
      <w:r>
        <w:t xml:space="preserve"> </w:t>
      </w:r>
      <w:r w:rsidRPr="0072248A">
        <w:t>totožného</w:t>
      </w:r>
      <w:r>
        <w:t xml:space="preserve"> </w:t>
      </w:r>
      <w:r w:rsidRPr="0072248A">
        <w:t>textu</w:t>
      </w:r>
      <w:r>
        <w:t xml:space="preserve"> </w:t>
      </w:r>
      <w:r w:rsidRPr="0072248A">
        <w:t>na</w:t>
      </w:r>
      <w:r>
        <w:t xml:space="preserve"> </w:t>
      </w:r>
      <w:r w:rsidRPr="0072248A">
        <w:t>každém</w:t>
      </w:r>
      <w:r>
        <w:t xml:space="preserve"> </w:t>
      </w:r>
      <w:r w:rsidRPr="0072248A">
        <w:t>podpisovém</w:t>
      </w:r>
      <w:r>
        <w:t xml:space="preserve"> </w:t>
      </w:r>
      <w:r w:rsidRPr="0072248A">
        <w:t>archu,</w:t>
      </w:r>
      <w:r>
        <w:t xml:space="preserve"> </w:t>
      </w:r>
      <w:r w:rsidRPr="0072248A">
        <w:t>který</w:t>
      </w:r>
      <w:r>
        <w:t xml:space="preserve"> </w:t>
      </w:r>
      <w:r w:rsidRPr="0072248A">
        <w:t>uvádí</w:t>
      </w:r>
      <w:r>
        <w:t xml:space="preserve"> </w:t>
      </w:r>
      <w:r w:rsidRPr="0072248A">
        <w:t>plný</w:t>
      </w:r>
      <w:r>
        <w:t xml:space="preserve"> </w:t>
      </w:r>
      <w:r w:rsidRPr="0072248A">
        <w:t>název</w:t>
      </w:r>
      <w:r>
        <w:t xml:space="preserve"> </w:t>
      </w:r>
      <w:r w:rsidRPr="0072248A">
        <w:t>církve</w:t>
      </w:r>
      <w:r>
        <w:t xml:space="preserve"> </w:t>
      </w:r>
      <w:r w:rsidRPr="0072248A">
        <w:t>a</w:t>
      </w:r>
      <w:r>
        <w:t xml:space="preserve"> </w:t>
      </w:r>
      <w:r w:rsidRPr="0072248A">
        <w:t>náboženské</w:t>
      </w:r>
      <w:r>
        <w:t xml:space="preserve"> </w:t>
      </w:r>
      <w:r w:rsidRPr="0072248A">
        <w:t>společnosti,</w:t>
      </w:r>
      <w:r>
        <w:t xml:space="preserve"> </w:t>
      </w:r>
      <w:r w:rsidRPr="0072248A">
        <w:t>která</w:t>
      </w:r>
      <w:r>
        <w:t xml:space="preserve"> </w:t>
      </w:r>
      <w:r w:rsidRPr="0072248A">
        <w:t>sbírá</w:t>
      </w:r>
      <w:r>
        <w:t xml:space="preserve"> </w:t>
      </w:r>
      <w:r w:rsidRPr="0072248A">
        <w:t>podpisy</w:t>
      </w:r>
      <w:r>
        <w:t xml:space="preserve"> </w:t>
      </w:r>
      <w:r w:rsidRPr="0072248A">
        <w:t>pro</w:t>
      </w:r>
      <w:r>
        <w:t xml:space="preserve"> </w:t>
      </w:r>
      <w:r w:rsidRPr="0072248A">
        <w:t>účel</w:t>
      </w:r>
      <w:r>
        <w:t xml:space="preserve"> </w:t>
      </w:r>
      <w:r w:rsidRPr="0072248A">
        <w:t>její</w:t>
      </w:r>
      <w:r>
        <w:t xml:space="preserve"> </w:t>
      </w:r>
      <w:r w:rsidRPr="0072248A">
        <w:t>registrace,</w:t>
      </w:r>
      <w:r>
        <w:t xml:space="preserve"> </w:t>
      </w:r>
      <w:r w:rsidRPr="0072248A">
        <w:t>a</w:t>
      </w:r>
      <w:r>
        <w:t xml:space="preserve"> </w:t>
      </w:r>
      <w:r w:rsidRPr="0072248A">
        <w:t>z</w:t>
      </w:r>
      <w:r>
        <w:t xml:space="preserve"> </w:t>
      </w:r>
      <w:r w:rsidRPr="0072248A">
        <w:t>něhož</w:t>
      </w:r>
      <w:r>
        <w:t xml:space="preserve"> </w:t>
      </w:r>
      <w:r w:rsidRPr="0072248A">
        <w:t>je</w:t>
      </w:r>
      <w:r>
        <w:t xml:space="preserve"> </w:t>
      </w:r>
      <w:r w:rsidRPr="0072248A">
        <w:t>patrné,</w:t>
      </w:r>
      <w:r>
        <w:t xml:space="preserve"> </w:t>
      </w:r>
      <w:r w:rsidRPr="0072248A">
        <w:t>že</w:t>
      </w:r>
      <w:r>
        <w:t xml:space="preserve"> </w:t>
      </w:r>
      <w:r w:rsidRPr="0072248A">
        <w:t>podpisový</w:t>
      </w:r>
      <w:r>
        <w:t xml:space="preserve"> </w:t>
      </w:r>
      <w:r w:rsidRPr="0072248A">
        <w:t>arch</w:t>
      </w:r>
      <w:r>
        <w:t xml:space="preserve"> </w:t>
      </w:r>
      <w:r w:rsidRPr="0072248A">
        <w:t>je</w:t>
      </w:r>
      <w:r>
        <w:t xml:space="preserve"> </w:t>
      </w:r>
      <w:r w:rsidRPr="0072248A">
        <w:t>podepisován</w:t>
      </w:r>
      <w:r>
        <w:t xml:space="preserve"> </w:t>
      </w:r>
      <w:r w:rsidRPr="0072248A">
        <w:t>pouze</w:t>
      </w:r>
      <w:r>
        <w:t xml:space="preserve"> </w:t>
      </w:r>
      <w:r w:rsidRPr="0072248A">
        <w:t>osobou</w:t>
      </w:r>
      <w:r>
        <w:t xml:space="preserve"> </w:t>
      </w:r>
      <w:r w:rsidRPr="0072248A">
        <w:t>hlásící</w:t>
      </w:r>
      <w:r>
        <w:t xml:space="preserve"> </w:t>
      </w:r>
      <w:r w:rsidRPr="0072248A">
        <w:t>se</w:t>
      </w:r>
      <w:r>
        <w:t xml:space="preserve"> </w:t>
      </w:r>
      <w:r w:rsidRPr="0072248A">
        <w:t>k</w:t>
      </w:r>
      <w:r>
        <w:t xml:space="preserve"> </w:t>
      </w:r>
      <w:r w:rsidRPr="0072248A">
        <w:t>této</w:t>
      </w:r>
      <w:r>
        <w:t xml:space="preserve"> </w:t>
      </w:r>
      <w:r w:rsidRPr="0072248A">
        <w:t>církvi</w:t>
      </w:r>
      <w:r>
        <w:t xml:space="preserve"> </w:t>
      </w:r>
      <w:r w:rsidRPr="0072248A">
        <w:t>a</w:t>
      </w:r>
      <w:r>
        <w:t xml:space="preserve"> </w:t>
      </w:r>
      <w:r w:rsidRPr="0072248A">
        <w:t>náboženské</w:t>
      </w:r>
      <w:r>
        <w:t xml:space="preserve"> společnosti,</w:t>
      </w:r>
      <w:r>
        <w:rPr>
          <w:rStyle w:val="Znakapoznpodarou"/>
        </w:rPr>
        <w:footnoteReference w:customMarkFollows="1" w:id="401"/>
        <w:t>11)</w:t>
      </w:r>
    </w:p>
    <w:p w14:paraId="5F8810E8" w14:textId="4D544822" w:rsidR="00A41308" w:rsidRDefault="00A41308" w:rsidP="001D4EA6">
      <w:pPr>
        <w:pStyle w:val="Textparagrafu"/>
        <w:tabs>
          <w:tab w:val="left" w:pos="392"/>
          <w:tab w:val="left" w:pos="840"/>
        </w:tabs>
        <w:spacing w:before="0"/>
        <w:ind w:left="426" w:hanging="426"/>
      </w:pPr>
      <w:r w:rsidRPr="0072248A">
        <w:t>b)</w:t>
      </w:r>
      <w:r w:rsidR="005651C1">
        <w:tab/>
      </w:r>
      <w:r w:rsidRPr="0072248A">
        <w:t>prohlášení,</w:t>
      </w:r>
      <w:r>
        <w:t xml:space="preserve"> </w:t>
      </w:r>
      <w:r w:rsidRPr="0072248A">
        <w:t>že</w:t>
      </w:r>
      <w:r>
        <w:t xml:space="preserve"> </w:t>
      </w:r>
      <w:r w:rsidRPr="0072248A">
        <w:t>její</w:t>
      </w:r>
      <w:r>
        <w:t xml:space="preserve"> </w:t>
      </w:r>
      <w:r w:rsidRPr="0072248A">
        <w:t>dosavadní</w:t>
      </w:r>
      <w:r>
        <w:t xml:space="preserve"> </w:t>
      </w:r>
      <w:r w:rsidRPr="0072248A">
        <w:t>činnost</w:t>
      </w:r>
      <w:r>
        <w:t xml:space="preserve"> </w:t>
      </w:r>
      <w:r w:rsidRPr="0072248A">
        <w:t>jako</w:t>
      </w:r>
      <w:r>
        <w:t xml:space="preserve"> </w:t>
      </w:r>
      <w:r w:rsidRPr="0072248A">
        <w:t>právnické</w:t>
      </w:r>
      <w:r>
        <w:t xml:space="preserve"> </w:t>
      </w:r>
      <w:r w:rsidRPr="0072248A">
        <w:t>osoby</w:t>
      </w:r>
      <w:r>
        <w:t xml:space="preserve"> </w:t>
      </w:r>
      <w:r w:rsidRPr="0072248A">
        <w:t>podle</w:t>
      </w:r>
      <w:r>
        <w:t xml:space="preserve"> </w:t>
      </w:r>
      <w:r w:rsidRPr="0072248A">
        <w:t>tohoto</w:t>
      </w:r>
      <w:r>
        <w:t xml:space="preserve"> </w:t>
      </w:r>
      <w:r w:rsidRPr="0072248A">
        <w:t>zákona</w:t>
      </w:r>
      <w:r>
        <w:t xml:space="preserve"> </w:t>
      </w:r>
      <w:r w:rsidRPr="0072248A">
        <w:t>neodporuje</w:t>
      </w:r>
      <w:r>
        <w:t xml:space="preserve"> </w:t>
      </w:r>
      <w:r w:rsidRPr="0072248A">
        <w:t>podmínkám</w:t>
      </w:r>
      <w:r>
        <w:t xml:space="preserve"> </w:t>
      </w:r>
      <w:r w:rsidRPr="0072248A">
        <w:t>stanoveným</w:t>
      </w:r>
      <w:r>
        <w:t xml:space="preserve"> </w:t>
      </w:r>
      <w:r w:rsidRPr="0072248A">
        <w:t>tímto</w:t>
      </w:r>
      <w:r>
        <w:t xml:space="preserve"> </w:t>
      </w:r>
      <w:r w:rsidRPr="0072248A">
        <w:t>zákonem</w:t>
      </w:r>
      <w:r>
        <w:t xml:space="preserve"> </w:t>
      </w:r>
      <w:r w:rsidRPr="0072248A">
        <w:t>a</w:t>
      </w:r>
      <w:r>
        <w:t xml:space="preserve"> </w:t>
      </w:r>
      <w:r w:rsidRPr="0072248A">
        <w:t>že</w:t>
      </w:r>
      <w:r>
        <w:t xml:space="preserve"> </w:t>
      </w:r>
      <w:r w:rsidRPr="0072248A">
        <w:t>vyhovuje</w:t>
      </w:r>
      <w:r>
        <w:t xml:space="preserve"> </w:t>
      </w:r>
      <w:r w:rsidRPr="0072248A">
        <w:t>podmínkám</w:t>
      </w:r>
      <w:r>
        <w:t xml:space="preserve"> </w:t>
      </w:r>
      <w:r w:rsidRPr="0072248A">
        <w:t>podle</w:t>
      </w:r>
      <w:r>
        <w:t xml:space="preserve"> </w:t>
      </w:r>
      <w:r w:rsidRPr="0072248A">
        <w:t>odstavce</w:t>
      </w:r>
      <w:r>
        <w:t xml:space="preserve"> </w:t>
      </w:r>
      <w:r w:rsidRPr="0072248A">
        <w:t>1</w:t>
      </w:r>
      <w:r>
        <w:t xml:space="preserve"> </w:t>
      </w:r>
      <w:r w:rsidRPr="0072248A">
        <w:t>písm.</w:t>
      </w:r>
      <w:r>
        <w:t xml:space="preserve"> </w:t>
      </w:r>
      <w:r w:rsidRPr="0072248A">
        <w:t>c),</w:t>
      </w:r>
    </w:p>
    <w:p w14:paraId="01FD8D72" w14:textId="08F772CD" w:rsidR="00A41308" w:rsidRDefault="00A41308" w:rsidP="001D4EA6">
      <w:pPr>
        <w:pStyle w:val="Textparagrafu"/>
        <w:tabs>
          <w:tab w:val="left" w:pos="392"/>
          <w:tab w:val="left" w:pos="840"/>
        </w:tabs>
        <w:spacing w:before="0"/>
        <w:ind w:left="426" w:hanging="426"/>
      </w:pPr>
      <w:r w:rsidRPr="0072248A">
        <w:t>c)</w:t>
      </w:r>
      <w:r w:rsidR="005651C1">
        <w:tab/>
      </w:r>
      <w:r w:rsidRPr="0072248A">
        <w:t>texty</w:t>
      </w:r>
      <w:r>
        <w:t xml:space="preserve"> </w:t>
      </w:r>
      <w:r w:rsidRPr="0072248A">
        <w:t>výročních</w:t>
      </w:r>
      <w:r>
        <w:t xml:space="preserve"> </w:t>
      </w:r>
      <w:r w:rsidRPr="0072248A">
        <w:t>zpráv</w:t>
      </w:r>
      <w:r>
        <w:t xml:space="preserve"> </w:t>
      </w:r>
      <w:r w:rsidRPr="0072248A">
        <w:t>podle</w:t>
      </w:r>
      <w:r>
        <w:t xml:space="preserve"> </w:t>
      </w:r>
      <w:r w:rsidRPr="0072248A">
        <w:t>odstavce</w:t>
      </w:r>
      <w:r>
        <w:t xml:space="preserve"> </w:t>
      </w:r>
      <w:r w:rsidRPr="0072248A">
        <w:t>1</w:t>
      </w:r>
      <w:r>
        <w:t xml:space="preserve"> </w:t>
      </w:r>
      <w:r w:rsidRPr="0072248A">
        <w:t>písm.</w:t>
      </w:r>
      <w:r>
        <w:t xml:space="preserve"> </w:t>
      </w:r>
      <w:r w:rsidRPr="0072248A">
        <w:t>b)</w:t>
      </w:r>
      <w:r>
        <w:t xml:space="preserve"> </w:t>
      </w:r>
      <w:r w:rsidRPr="0072248A">
        <w:t>a</w:t>
      </w:r>
      <w:r>
        <w:t xml:space="preserve"> </w:t>
      </w:r>
      <w:r w:rsidRPr="004077B5">
        <w:rPr>
          <w:strike/>
        </w:rPr>
        <w:t xml:space="preserve">účetních </w:t>
      </w:r>
      <w:r w:rsidR="005651C1" w:rsidRPr="004077B5">
        <w:rPr>
          <w:strike/>
        </w:rPr>
        <w:t>závěrek</w:t>
      </w:r>
      <w:r w:rsidR="005651C1" w:rsidRPr="004077B5">
        <w:rPr>
          <w:rStyle w:val="Znakapoznpodarou"/>
          <w:strike/>
        </w:rPr>
        <w:footnoteReference w:customMarkFollows="1" w:id="402"/>
        <w:t>14)</w:t>
      </w:r>
      <w:r>
        <w:t xml:space="preserve"> </w:t>
      </w:r>
      <w:r w:rsidR="004077B5" w:rsidRPr="00307BFE">
        <w:rPr>
          <w:b/>
        </w:rPr>
        <w:t xml:space="preserve">řádných individuálních </w:t>
      </w:r>
      <w:r w:rsidR="004077B5" w:rsidRPr="00DB3515">
        <w:rPr>
          <w:b/>
        </w:rPr>
        <w:t>účetních závěrek</w:t>
      </w:r>
      <w:r w:rsidR="004077B5" w:rsidRPr="0072248A">
        <w:t xml:space="preserve"> </w:t>
      </w:r>
      <w:r w:rsidRPr="0072248A">
        <w:t>za</w:t>
      </w:r>
      <w:r>
        <w:t xml:space="preserve"> </w:t>
      </w:r>
      <w:r w:rsidRPr="0072248A">
        <w:t>dobu</w:t>
      </w:r>
      <w:r>
        <w:t xml:space="preserve"> </w:t>
      </w:r>
      <w:r w:rsidRPr="0072248A">
        <w:t>10</w:t>
      </w:r>
      <w:r>
        <w:t xml:space="preserve"> </w:t>
      </w:r>
      <w:r w:rsidRPr="0072248A">
        <w:t>let</w:t>
      </w:r>
      <w:r>
        <w:t xml:space="preserve"> </w:t>
      </w:r>
      <w:r w:rsidRPr="0072248A">
        <w:t>předcházející</w:t>
      </w:r>
      <w:r>
        <w:t xml:space="preserve"> </w:t>
      </w:r>
      <w:r w:rsidRPr="0072248A">
        <w:t>podání</w:t>
      </w:r>
      <w:r>
        <w:t xml:space="preserve"> </w:t>
      </w:r>
      <w:r w:rsidRPr="0072248A">
        <w:t>tohoto</w:t>
      </w:r>
      <w:r>
        <w:t xml:space="preserve"> </w:t>
      </w:r>
      <w:r w:rsidRPr="0072248A">
        <w:t>návrhu.</w:t>
      </w:r>
    </w:p>
    <w:p w14:paraId="7727F6DF" w14:textId="77777777" w:rsidR="00A41308" w:rsidRDefault="00A41308" w:rsidP="005C4E21">
      <w:pPr>
        <w:pStyle w:val="Textparagrafu"/>
        <w:tabs>
          <w:tab w:val="left" w:pos="392"/>
          <w:tab w:val="left" w:pos="840"/>
        </w:tabs>
        <w:spacing w:before="120" w:after="120"/>
      </w:pPr>
      <w:r w:rsidRPr="0072248A">
        <w:t>(5)</w:t>
      </w:r>
      <w:r>
        <w:t xml:space="preserve"> </w:t>
      </w:r>
      <w:r w:rsidRPr="0072248A">
        <w:t>Návrh</w:t>
      </w:r>
      <w:r>
        <w:t xml:space="preserve"> </w:t>
      </w:r>
      <w:r w:rsidRPr="0072248A">
        <w:t>na</w:t>
      </w:r>
      <w:r>
        <w:t xml:space="preserve"> </w:t>
      </w:r>
      <w:r w:rsidRPr="0072248A">
        <w:t>přiznání</w:t>
      </w:r>
      <w:r>
        <w:t xml:space="preserve"> </w:t>
      </w:r>
      <w:r w:rsidRPr="0072248A">
        <w:t>oprávnění</w:t>
      </w:r>
      <w:r>
        <w:t xml:space="preserve"> </w:t>
      </w:r>
      <w:r w:rsidRPr="0072248A">
        <w:t>k</w:t>
      </w:r>
      <w:r>
        <w:t xml:space="preserve"> </w:t>
      </w:r>
      <w:r w:rsidRPr="0072248A">
        <w:t>výkonu</w:t>
      </w:r>
      <w:r>
        <w:t xml:space="preserve"> </w:t>
      </w:r>
      <w:r w:rsidRPr="0072248A">
        <w:t>všech</w:t>
      </w:r>
      <w:r>
        <w:t xml:space="preserve"> </w:t>
      </w:r>
      <w:r w:rsidRPr="0072248A">
        <w:t>zvláštních</w:t>
      </w:r>
      <w:r>
        <w:t xml:space="preserve"> </w:t>
      </w:r>
      <w:r w:rsidRPr="0072248A">
        <w:t>práv</w:t>
      </w:r>
      <w:r>
        <w:t xml:space="preserve"> </w:t>
      </w:r>
      <w:r w:rsidRPr="0072248A">
        <w:t>podle</w:t>
      </w:r>
      <w:r>
        <w:t xml:space="preserve"> </w:t>
      </w:r>
      <w:r w:rsidRPr="0072248A">
        <w:t>§</w:t>
      </w:r>
      <w:r>
        <w:t xml:space="preserve"> </w:t>
      </w:r>
      <w:r w:rsidRPr="0072248A">
        <w:t>7</w:t>
      </w:r>
      <w:r>
        <w:t xml:space="preserve"> </w:t>
      </w:r>
      <w:r w:rsidRPr="0072248A">
        <w:t>odst.</w:t>
      </w:r>
      <w:r>
        <w:t xml:space="preserve"> </w:t>
      </w:r>
      <w:r w:rsidRPr="0072248A">
        <w:t>1</w:t>
      </w:r>
      <w:r>
        <w:t xml:space="preserve"> </w:t>
      </w:r>
      <w:r w:rsidRPr="0072248A">
        <w:t>musí</w:t>
      </w:r>
      <w:r>
        <w:t xml:space="preserve"> </w:t>
      </w:r>
      <w:r w:rsidRPr="0072248A">
        <w:t>obsahovat</w:t>
      </w:r>
      <w:r>
        <w:t xml:space="preserve"> </w:t>
      </w:r>
      <w:r w:rsidRPr="0072248A">
        <w:t>náležitosti</w:t>
      </w:r>
      <w:r>
        <w:t xml:space="preserve"> </w:t>
      </w:r>
      <w:r w:rsidRPr="0072248A">
        <w:t>podle</w:t>
      </w:r>
      <w:r>
        <w:t xml:space="preserve"> </w:t>
      </w:r>
      <w:r w:rsidRPr="0072248A">
        <w:t>odstavce</w:t>
      </w:r>
      <w:r>
        <w:t xml:space="preserve"> </w:t>
      </w:r>
      <w:r w:rsidRPr="0072248A">
        <w:t>4</w:t>
      </w:r>
      <w:r>
        <w:t xml:space="preserve"> </w:t>
      </w:r>
      <w:r w:rsidRPr="0072248A">
        <w:t>a</w:t>
      </w:r>
      <w:r>
        <w:t xml:space="preserve"> </w:t>
      </w:r>
      <w:r w:rsidRPr="0072248A">
        <w:t>navíc</w:t>
      </w:r>
      <w:r>
        <w:t xml:space="preserve"> </w:t>
      </w:r>
      <w:r w:rsidRPr="0072248A">
        <w:t>dokument</w:t>
      </w:r>
      <w:r>
        <w:t xml:space="preserve"> </w:t>
      </w:r>
      <w:r w:rsidRPr="0072248A">
        <w:t>potvrzující,</w:t>
      </w:r>
      <w:r>
        <w:t xml:space="preserve"> </w:t>
      </w:r>
      <w:r w:rsidRPr="0072248A">
        <w:t>že</w:t>
      </w:r>
      <w:r>
        <w:t xml:space="preserve"> </w:t>
      </w:r>
      <w:r w:rsidRPr="0072248A">
        <w:t>povinnost</w:t>
      </w:r>
      <w:r>
        <w:t xml:space="preserve"> </w:t>
      </w:r>
      <w:r w:rsidRPr="0072248A">
        <w:t>mlčenlivosti</w:t>
      </w:r>
      <w:r>
        <w:t xml:space="preserve"> </w:t>
      </w:r>
      <w:r w:rsidRPr="0072248A">
        <w:lastRenderedPageBreak/>
        <w:t>duchovních</w:t>
      </w:r>
      <w:r>
        <w:t xml:space="preserve"> </w:t>
      </w:r>
      <w:r w:rsidRPr="0072248A">
        <w:t>v</w:t>
      </w:r>
      <w:r>
        <w:t xml:space="preserve"> </w:t>
      </w:r>
      <w:r w:rsidRPr="0072248A">
        <w:t>souvislosti</w:t>
      </w:r>
      <w:r>
        <w:t xml:space="preserve"> </w:t>
      </w:r>
      <w:r w:rsidRPr="0072248A">
        <w:t>s</w:t>
      </w:r>
      <w:r>
        <w:t xml:space="preserve"> </w:t>
      </w:r>
      <w:r w:rsidRPr="0072248A">
        <w:t>výkonem</w:t>
      </w:r>
      <w:r>
        <w:t xml:space="preserve"> </w:t>
      </w:r>
      <w:r w:rsidRPr="0072248A">
        <w:t>zpovědního</w:t>
      </w:r>
      <w:r>
        <w:t xml:space="preserve"> </w:t>
      </w:r>
      <w:r w:rsidRPr="0072248A">
        <w:t>tajemství</w:t>
      </w:r>
      <w:r>
        <w:t xml:space="preserve"> </w:t>
      </w:r>
      <w:r w:rsidRPr="0072248A">
        <w:t>nebo</w:t>
      </w:r>
      <w:r>
        <w:t xml:space="preserve"> </w:t>
      </w:r>
      <w:r w:rsidRPr="0072248A">
        <w:t>v</w:t>
      </w:r>
      <w:r>
        <w:t xml:space="preserve"> </w:t>
      </w:r>
      <w:r w:rsidRPr="0072248A">
        <w:t>souvislosti</w:t>
      </w:r>
      <w:r>
        <w:t xml:space="preserve"> </w:t>
      </w:r>
      <w:r w:rsidRPr="0072248A">
        <w:t>s</w:t>
      </w:r>
      <w:r>
        <w:t xml:space="preserve"> </w:t>
      </w:r>
      <w:r w:rsidRPr="0072248A">
        <w:t>výkonem</w:t>
      </w:r>
      <w:r>
        <w:t xml:space="preserve"> </w:t>
      </w:r>
      <w:r w:rsidRPr="0072248A">
        <w:t>práva</w:t>
      </w:r>
      <w:r>
        <w:t xml:space="preserve"> </w:t>
      </w:r>
      <w:r w:rsidRPr="0072248A">
        <w:t>obdobného</w:t>
      </w:r>
      <w:r>
        <w:t xml:space="preserve"> </w:t>
      </w:r>
      <w:r w:rsidRPr="0072248A">
        <w:t>zpovědnímu</w:t>
      </w:r>
      <w:r>
        <w:t xml:space="preserve"> </w:t>
      </w:r>
      <w:r w:rsidRPr="0072248A">
        <w:t>tajemství</w:t>
      </w:r>
      <w:r>
        <w:t xml:space="preserve"> </w:t>
      </w:r>
      <w:r w:rsidRPr="0072248A">
        <w:t>je</w:t>
      </w:r>
      <w:r>
        <w:t xml:space="preserve"> </w:t>
      </w:r>
      <w:r w:rsidRPr="0072248A">
        <w:t>tradiční</w:t>
      </w:r>
      <w:r>
        <w:t xml:space="preserve"> </w:t>
      </w:r>
      <w:r w:rsidRPr="0072248A">
        <w:t>součástí</w:t>
      </w:r>
      <w:r>
        <w:t xml:space="preserve"> </w:t>
      </w:r>
      <w:r w:rsidRPr="0072248A">
        <w:t>učení</w:t>
      </w:r>
      <w:r>
        <w:t xml:space="preserve"> </w:t>
      </w:r>
      <w:r w:rsidRPr="0072248A">
        <w:t>církve</w:t>
      </w:r>
      <w:r>
        <w:t xml:space="preserve"> </w:t>
      </w:r>
      <w:r w:rsidRPr="0072248A">
        <w:t>a</w:t>
      </w:r>
      <w:r>
        <w:t xml:space="preserve"> </w:t>
      </w:r>
      <w:r w:rsidRPr="0072248A">
        <w:t>náboženské</w:t>
      </w:r>
      <w:r>
        <w:t xml:space="preserve"> </w:t>
      </w:r>
      <w:r w:rsidRPr="0072248A">
        <w:t>společnosti</w:t>
      </w:r>
      <w:r>
        <w:t xml:space="preserve"> </w:t>
      </w:r>
      <w:r w:rsidRPr="0072248A">
        <w:t>nejméně</w:t>
      </w:r>
      <w:r>
        <w:t xml:space="preserve"> </w:t>
      </w:r>
      <w:r w:rsidRPr="0072248A">
        <w:t>50</w:t>
      </w:r>
      <w:r>
        <w:t xml:space="preserve"> </w:t>
      </w:r>
      <w:r w:rsidRPr="0072248A">
        <w:t>let.</w:t>
      </w:r>
    </w:p>
    <w:p w14:paraId="5336CC83" w14:textId="77777777" w:rsidR="00A41308" w:rsidRDefault="00A41308" w:rsidP="005C4E21">
      <w:pPr>
        <w:pStyle w:val="Textparagrafu"/>
        <w:tabs>
          <w:tab w:val="left" w:pos="392"/>
          <w:tab w:val="left" w:pos="840"/>
        </w:tabs>
        <w:spacing w:before="120" w:after="120"/>
      </w:pPr>
      <w:r w:rsidRPr="0072248A">
        <w:t>(6)</w:t>
      </w:r>
      <w:r>
        <w:t xml:space="preserve"> </w:t>
      </w:r>
      <w:r w:rsidRPr="0072248A">
        <w:t>Za</w:t>
      </w:r>
      <w:r>
        <w:t xml:space="preserve"> </w:t>
      </w:r>
      <w:r w:rsidRPr="0072248A">
        <w:t>bezúhonnou</w:t>
      </w:r>
      <w:r>
        <w:t xml:space="preserve"> </w:t>
      </w:r>
      <w:r w:rsidRPr="0072248A">
        <w:t>se</w:t>
      </w:r>
      <w:r>
        <w:t xml:space="preserve"> </w:t>
      </w:r>
      <w:r w:rsidRPr="0072248A">
        <w:t>pro</w:t>
      </w:r>
      <w:r>
        <w:t xml:space="preserve"> </w:t>
      </w:r>
      <w:r w:rsidRPr="0072248A">
        <w:t>účely</w:t>
      </w:r>
      <w:r>
        <w:t xml:space="preserve"> </w:t>
      </w:r>
      <w:r w:rsidRPr="0072248A">
        <w:t>tohoto</w:t>
      </w:r>
      <w:r>
        <w:t xml:space="preserve"> </w:t>
      </w:r>
      <w:r w:rsidRPr="0072248A">
        <w:t>zákona</w:t>
      </w:r>
      <w:r>
        <w:t xml:space="preserve"> </w:t>
      </w:r>
      <w:r w:rsidRPr="0072248A">
        <w:t>nepovažuje</w:t>
      </w:r>
      <w:r>
        <w:t xml:space="preserve"> </w:t>
      </w:r>
      <w:r w:rsidRPr="0072248A">
        <w:t>registrovaná</w:t>
      </w:r>
      <w:r>
        <w:t xml:space="preserve"> </w:t>
      </w:r>
      <w:r w:rsidRPr="0072248A">
        <w:t>církev</w:t>
      </w:r>
      <w:r>
        <w:t xml:space="preserve"> </w:t>
      </w:r>
      <w:r w:rsidRPr="0072248A">
        <w:t>a</w:t>
      </w:r>
      <w:r>
        <w:t xml:space="preserve"> </w:t>
      </w:r>
      <w:r w:rsidRPr="0072248A">
        <w:t>náboženská</w:t>
      </w:r>
      <w:r>
        <w:t xml:space="preserve"> </w:t>
      </w:r>
      <w:r w:rsidRPr="0072248A">
        <w:t>společnost,</w:t>
      </w:r>
      <w:r>
        <w:t xml:space="preserve"> </w:t>
      </w:r>
      <w:r w:rsidRPr="0072248A">
        <w:t>která</w:t>
      </w:r>
      <w:r>
        <w:t xml:space="preserve"> </w:t>
      </w:r>
      <w:r w:rsidRPr="0072248A">
        <w:t>byla</w:t>
      </w:r>
      <w:r>
        <w:t xml:space="preserve"> </w:t>
      </w:r>
      <w:r w:rsidRPr="0072248A">
        <w:t>pravomocně</w:t>
      </w:r>
      <w:r>
        <w:t xml:space="preserve"> </w:t>
      </w:r>
      <w:r w:rsidRPr="0072248A">
        <w:t>odsouzena</w:t>
      </w:r>
      <w:r>
        <w:t xml:space="preserve"> </w:t>
      </w:r>
      <w:r w:rsidRPr="0072248A">
        <w:t>pro</w:t>
      </w:r>
      <w:r>
        <w:t xml:space="preserve"> </w:t>
      </w:r>
      <w:r w:rsidRPr="0072248A">
        <w:t>trestný</w:t>
      </w:r>
      <w:r>
        <w:t xml:space="preserve"> </w:t>
      </w:r>
      <w:r w:rsidRPr="0072248A">
        <w:t>čin</w:t>
      </w:r>
      <w:r>
        <w:t xml:space="preserve"> </w:t>
      </w:r>
      <w:r w:rsidRPr="0072248A">
        <w:t>související</w:t>
      </w:r>
      <w:r>
        <w:t xml:space="preserve"> </w:t>
      </w:r>
      <w:r w:rsidRPr="0072248A">
        <w:t>s</w:t>
      </w:r>
      <w:r>
        <w:t xml:space="preserve"> </w:t>
      </w:r>
      <w:r w:rsidRPr="0072248A">
        <w:t>výkonem</w:t>
      </w:r>
      <w:r>
        <w:t xml:space="preserve"> </w:t>
      </w:r>
      <w:r w:rsidRPr="0072248A">
        <w:t>zvláštních</w:t>
      </w:r>
      <w:r>
        <w:t xml:space="preserve"> </w:t>
      </w:r>
      <w:r w:rsidRPr="0072248A">
        <w:t>práv</w:t>
      </w:r>
      <w:r>
        <w:t xml:space="preserve"> </w:t>
      </w:r>
      <w:r w:rsidRPr="0072248A">
        <w:t>anebo</w:t>
      </w:r>
      <w:r>
        <w:t xml:space="preserve"> </w:t>
      </w:r>
      <w:r w:rsidRPr="0072248A">
        <w:t>pro</w:t>
      </w:r>
      <w:r>
        <w:t xml:space="preserve"> </w:t>
      </w:r>
      <w:r w:rsidRPr="0072248A">
        <w:t>zločin,</w:t>
      </w:r>
      <w:r>
        <w:t xml:space="preserve"> </w:t>
      </w:r>
      <w:r w:rsidRPr="0072248A">
        <w:t>pokud</w:t>
      </w:r>
      <w:r>
        <w:t xml:space="preserve"> </w:t>
      </w:r>
      <w:r w:rsidRPr="0072248A">
        <w:t>se</w:t>
      </w:r>
      <w:r>
        <w:t xml:space="preserve"> </w:t>
      </w:r>
      <w:r w:rsidRPr="0072248A">
        <w:t>na</w:t>
      </w:r>
      <w:r>
        <w:t xml:space="preserve"> </w:t>
      </w:r>
      <w:r w:rsidRPr="0072248A">
        <w:t>ni</w:t>
      </w:r>
      <w:r>
        <w:t xml:space="preserve"> </w:t>
      </w:r>
      <w:r w:rsidRPr="0072248A">
        <w:t>nehledí,</w:t>
      </w:r>
      <w:r>
        <w:t xml:space="preserve"> </w:t>
      </w:r>
      <w:r w:rsidRPr="0072248A">
        <w:t>jako</w:t>
      </w:r>
      <w:r>
        <w:t xml:space="preserve"> </w:t>
      </w:r>
      <w:r w:rsidRPr="0072248A">
        <w:t>by</w:t>
      </w:r>
      <w:r>
        <w:t xml:space="preserve"> </w:t>
      </w:r>
      <w:r w:rsidRPr="0072248A">
        <w:t>nebyla</w:t>
      </w:r>
      <w:r>
        <w:t xml:space="preserve"> </w:t>
      </w:r>
      <w:r w:rsidRPr="0072248A">
        <w:t>odsouzena.</w:t>
      </w:r>
    </w:p>
    <w:p w14:paraId="7850A5F6" w14:textId="2BFD0187" w:rsidR="00A41308" w:rsidRPr="0072248A" w:rsidRDefault="00A41308" w:rsidP="005C4E21">
      <w:pPr>
        <w:pStyle w:val="Textparagrafu"/>
        <w:tabs>
          <w:tab w:val="left" w:pos="392"/>
          <w:tab w:val="left" w:pos="840"/>
        </w:tabs>
        <w:spacing w:before="120" w:after="120"/>
      </w:pPr>
      <w:r w:rsidRPr="0072248A">
        <w:t>(7)</w:t>
      </w:r>
      <w:r>
        <w:t xml:space="preserve"> </w:t>
      </w:r>
      <w:r w:rsidRPr="0072248A">
        <w:t>Bezúhonnost</w:t>
      </w:r>
      <w:r>
        <w:t xml:space="preserve"> </w:t>
      </w:r>
      <w:r w:rsidRPr="0072248A">
        <w:t>se</w:t>
      </w:r>
      <w:r>
        <w:t xml:space="preserve"> </w:t>
      </w:r>
      <w:r w:rsidRPr="0072248A">
        <w:t>prokazuje</w:t>
      </w:r>
      <w:r>
        <w:t xml:space="preserve"> </w:t>
      </w:r>
      <w:r w:rsidRPr="0072248A">
        <w:t>výpisem</w:t>
      </w:r>
      <w:r>
        <w:t xml:space="preserve"> </w:t>
      </w:r>
      <w:r w:rsidRPr="0072248A">
        <w:t>z</w:t>
      </w:r>
      <w:r>
        <w:t xml:space="preserve"> </w:t>
      </w:r>
      <w:r w:rsidRPr="0072248A">
        <w:t>evidence</w:t>
      </w:r>
      <w:r>
        <w:t xml:space="preserve"> </w:t>
      </w:r>
      <w:r w:rsidRPr="0072248A">
        <w:t>Rejstříku</w:t>
      </w:r>
      <w:r>
        <w:t xml:space="preserve"> </w:t>
      </w:r>
      <w:r w:rsidRPr="0072248A">
        <w:t>trestů.</w:t>
      </w:r>
      <w:r>
        <w:t xml:space="preserve"> </w:t>
      </w:r>
      <w:r w:rsidRPr="0072248A">
        <w:t>Ministerstvo</w:t>
      </w:r>
      <w:r>
        <w:t xml:space="preserve"> </w:t>
      </w:r>
      <w:r w:rsidRPr="0072248A">
        <w:t>si</w:t>
      </w:r>
      <w:r>
        <w:t xml:space="preserve"> </w:t>
      </w:r>
      <w:r w:rsidRPr="0072248A">
        <w:t>vyžádá</w:t>
      </w:r>
      <w:r>
        <w:t xml:space="preserve"> </w:t>
      </w:r>
      <w:r w:rsidRPr="0072248A">
        <w:t>výpis</w:t>
      </w:r>
      <w:r>
        <w:t xml:space="preserve"> </w:t>
      </w:r>
      <w:r w:rsidRPr="0072248A">
        <w:t>z</w:t>
      </w:r>
      <w:r>
        <w:t xml:space="preserve"> </w:t>
      </w:r>
      <w:r w:rsidRPr="0072248A">
        <w:t>evidence</w:t>
      </w:r>
      <w:r>
        <w:t xml:space="preserve"> </w:t>
      </w:r>
      <w:r w:rsidRPr="0072248A">
        <w:t>Rejstříku</w:t>
      </w:r>
      <w:r>
        <w:t xml:space="preserve"> </w:t>
      </w:r>
      <w:r w:rsidRPr="0072248A">
        <w:t>trestů</w:t>
      </w:r>
      <w:r>
        <w:t xml:space="preserve"> </w:t>
      </w:r>
      <w:r w:rsidRPr="0072248A">
        <w:t>podle</w:t>
      </w:r>
      <w:r>
        <w:t xml:space="preserve"> </w:t>
      </w:r>
      <w:r w:rsidRPr="0072248A">
        <w:t>zvláštního</w:t>
      </w:r>
      <w:r>
        <w:t xml:space="preserve"> </w:t>
      </w:r>
      <w:r w:rsidRPr="0072248A">
        <w:t>právního</w:t>
      </w:r>
      <w:r>
        <w:t xml:space="preserve"> </w:t>
      </w:r>
      <w:r w:rsidR="005651C1">
        <w:t>předpisu</w:t>
      </w:r>
      <w:r w:rsidR="005651C1">
        <w:rPr>
          <w:rStyle w:val="Znakapoznpodarou"/>
        </w:rPr>
        <w:footnoteReference w:customMarkFollows="1" w:id="403"/>
        <w:t>20)</w:t>
      </w:r>
      <w:r w:rsidRPr="0072248A">
        <w:t>.</w:t>
      </w:r>
      <w:r>
        <w:t xml:space="preserve"> </w:t>
      </w:r>
      <w:r w:rsidRPr="0072248A">
        <w:t>Žádost</w:t>
      </w:r>
      <w:r>
        <w:t xml:space="preserve"> </w:t>
      </w:r>
      <w:r w:rsidRPr="0072248A">
        <w:t>o</w:t>
      </w:r>
      <w:r>
        <w:t xml:space="preserve"> </w:t>
      </w:r>
      <w:r w:rsidRPr="0072248A">
        <w:t>vydání</w:t>
      </w:r>
      <w:r>
        <w:t xml:space="preserve"> </w:t>
      </w:r>
      <w:r w:rsidRPr="0072248A">
        <w:t>výpisu</w:t>
      </w:r>
      <w:r>
        <w:t xml:space="preserve"> </w:t>
      </w:r>
      <w:r w:rsidRPr="0072248A">
        <w:t>z</w:t>
      </w:r>
      <w:r>
        <w:t xml:space="preserve"> </w:t>
      </w:r>
      <w:r w:rsidRPr="0072248A">
        <w:t>evidence</w:t>
      </w:r>
      <w:r>
        <w:t xml:space="preserve"> </w:t>
      </w:r>
      <w:r w:rsidRPr="0072248A">
        <w:t>Rejstříku</w:t>
      </w:r>
      <w:r>
        <w:t xml:space="preserve"> </w:t>
      </w:r>
      <w:r w:rsidRPr="0072248A">
        <w:t>trestů</w:t>
      </w:r>
      <w:r>
        <w:t xml:space="preserve"> </w:t>
      </w:r>
      <w:r w:rsidRPr="0072248A">
        <w:t>a</w:t>
      </w:r>
      <w:r>
        <w:t xml:space="preserve"> </w:t>
      </w:r>
      <w:r w:rsidRPr="0072248A">
        <w:t>výpis</w:t>
      </w:r>
      <w:r>
        <w:t xml:space="preserve"> </w:t>
      </w:r>
      <w:r w:rsidRPr="0072248A">
        <w:t>z</w:t>
      </w:r>
      <w:r>
        <w:t xml:space="preserve"> </w:t>
      </w:r>
      <w:r w:rsidRPr="0072248A">
        <w:t>evidence</w:t>
      </w:r>
      <w:r>
        <w:t xml:space="preserve"> </w:t>
      </w:r>
      <w:r w:rsidRPr="0072248A">
        <w:t>Rejstříku</w:t>
      </w:r>
      <w:r>
        <w:t xml:space="preserve"> </w:t>
      </w:r>
      <w:r w:rsidRPr="0072248A">
        <w:t>trestů</w:t>
      </w:r>
      <w:r>
        <w:t xml:space="preserve"> </w:t>
      </w:r>
      <w:r w:rsidRPr="0072248A">
        <w:t>se</w:t>
      </w:r>
      <w:r>
        <w:t xml:space="preserve"> </w:t>
      </w:r>
      <w:r w:rsidRPr="0072248A">
        <w:t>předávají</w:t>
      </w:r>
      <w:r>
        <w:t xml:space="preserve"> </w:t>
      </w:r>
      <w:r w:rsidRPr="0072248A">
        <w:t>v</w:t>
      </w:r>
      <w:r>
        <w:t xml:space="preserve"> </w:t>
      </w:r>
      <w:r w:rsidRPr="0072248A">
        <w:t>elektronické</w:t>
      </w:r>
      <w:r>
        <w:t xml:space="preserve"> </w:t>
      </w:r>
      <w:r w:rsidRPr="0072248A">
        <w:t>podobě,</w:t>
      </w:r>
      <w:r>
        <w:t xml:space="preserve"> </w:t>
      </w:r>
      <w:r w:rsidRPr="0072248A">
        <w:t>a</w:t>
      </w:r>
      <w:r>
        <w:t xml:space="preserve"> </w:t>
      </w:r>
      <w:r w:rsidRPr="0072248A">
        <w:t>to</w:t>
      </w:r>
      <w:r>
        <w:t xml:space="preserve"> </w:t>
      </w:r>
      <w:r w:rsidRPr="0072248A">
        <w:t>způsobem</w:t>
      </w:r>
      <w:r>
        <w:t xml:space="preserve"> </w:t>
      </w:r>
      <w:r w:rsidRPr="0072248A">
        <w:t>umožňujícím</w:t>
      </w:r>
      <w:r>
        <w:t xml:space="preserve"> </w:t>
      </w:r>
      <w:r w:rsidRPr="0072248A">
        <w:t>dálkový</w:t>
      </w:r>
      <w:r>
        <w:t xml:space="preserve"> </w:t>
      </w:r>
      <w:r w:rsidRPr="0072248A">
        <w:t>přístup.</w:t>
      </w:r>
    </w:p>
    <w:p w14:paraId="48FBCF8B" w14:textId="77777777" w:rsidR="00A41308" w:rsidRPr="0072248A" w:rsidRDefault="00A41308" w:rsidP="005651C1">
      <w:pPr>
        <w:pStyle w:val="Textparagrafu"/>
        <w:tabs>
          <w:tab w:val="left" w:pos="392"/>
          <w:tab w:val="left" w:pos="840"/>
        </w:tabs>
        <w:spacing w:after="120"/>
        <w:ind w:firstLine="0"/>
        <w:jc w:val="center"/>
      </w:pPr>
      <w:r w:rsidRPr="0072248A">
        <w:t>***</w:t>
      </w:r>
    </w:p>
    <w:p w14:paraId="7F55E707" w14:textId="77777777" w:rsidR="00A41308" w:rsidRDefault="00A41308" w:rsidP="005651C1">
      <w:pPr>
        <w:pStyle w:val="Textparagrafu"/>
        <w:tabs>
          <w:tab w:val="left" w:pos="392"/>
          <w:tab w:val="left" w:pos="840"/>
        </w:tabs>
        <w:spacing w:after="120"/>
        <w:ind w:firstLine="0"/>
        <w:jc w:val="center"/>
      </w:pPr>
      <w:r w:rsidRPr="0072248A">
        <w:t>§</w:t>
      </w:r>
      <w:r>
        <w:t xml:space="preserve"> </w:t>
      </w:r>
      <w:r w:rsidRPr="0072248A">
        <w:t>16a</w:t>
      </w:r>
    </w:p>
    <w:p w14:paraId="1D8CE816" w14:textId="77777777" w:rsidR="00A41308" w:rsidRPr="005651C1" w:rsidRDefault="00A41308" w:rsidP="005651C1">
      <w:pPr>
        <w:pStyle w:val="Textparagrafu"/>
        <w:tabs>
          <w:tab w:val="left" w:pos="392"/>
          <w:tab w:val="left" w:pos="840"/>
        </w:tabs>
        <w:spacing w:after="120"/>
        <w:ind w:firstLine="0"/>
        <w:jc w:val="center"/>
        <w:rPr>
          <w:b/>
        </w:rPr>
      </w:pPr>
      <w:r w:rsidRPr="005651C1">
        <w:rPr>
          <w:b/>
        </w:rPr>
        <w:t>Evidence právnických osob založených registrovanou církví a náboženskou společností podle § 15a odst. 1 písm. b)</w:t>
      </w:r>
    </w:p>
    <w:p w14:paraId="41B0673D" w14:textId="77777777" w:rsidR="00A41308" w:rsidRDefault="00A41308" w:rsidP="005C4E21">
      <w:pPr>
        <w:pStyle w:val="Textparagrafu"/>
        <w:tabs>
          <w:tab w:val="left" w:pos="392"/>
          <w:tab w:val="left" w:pos="840"/>
        </w:tabs>
        <w:spacing w:before="120" w:after="120"/>
      </w:pPr>
      <w:r w:rsidRPr="0072248A">
        <w:t>(1)</w:t>
      </w:r>
      <w:r>
        <w:t xml:space="preserve"> </w:t>
      </w:r>
      <w:r w:rsidRPr="0072248A">
        <w:t>Účelové</w:t>
      </w:r>
      <w:r>
        <w:t xml:space="preserve"> </w:t>
      </w:r>
      <w:r w:rsidRPr="0072248A">
        <w:t>zařízení</w:t>
      </w:r>
      <w:r>
        <w:t xml:space="preserve"> </w:t>
      </w:r>
      <w:r w:rsidRPr="0072248A">
        <w:t>registrované</w:t>
      </w:r>
      <w:r>
        <w:t xml:space="preserve"> </w:t>
      </w:r>
      <w:r w:rsidRPr="0072248A">
        <w:t>církve</w:t>
      </w:r>
      <w:r>
        <w:t xml:space="preserve"> </w:t>
      </w:r>
      <w:r w:rsidRPr="0072248A">
        <w:t>a</w:t>
      </w:r>
      <w:r>
        <w:t xml:space="preserve"> </w:t>
      </w:r>
      <w:r w:rsidRPr="0072248A">
        <w:t>náboženské</w:t>
      </w:r>
      <w:r>
        <w:t xml:space="preserve"> </w:t>
      </w:r>
      <w:r w:rsidRPr="0072248A">
        <w:t>společnosti</w:t>
      </w:r>
      <w:r>
        <w:t xml:space="preserve"> </w:t>
      </w:r>
      <w:r w:rsidRPr="0072248A">
        <w:t>pro</w:t>
      </w:r>
      <w:r>
        <w:t xml:space="preserve"> </w:t>
      </w:r>
      <w:r w:rsidRPr="0072248A">
        <w:t>poskytování</w:t>
      </w:r>
      <w:r>
        <w:t xml:space="preserve"> </w:t>
      </w:r>
      <w:r w:rsidRPr="0072248A">
        <w:t>služeb</w:t>
      </w:r>
      <w:r>
        <w:t xml:space="preserve"> </w:t>
      </w:r>
      <w:r w:rsidRPr="0072248A">
        <w:t>sociálních</w:t>
      </w:r>
      <w:r>
        <w:t xml:space="preserve"> </w:t>
      </w:r>
      <w:r w:rsidRPr="0072248A">
        <w:t>nebo</w:t>
      </w:r>
      <w:r>
        <w:t xml:space="preserve"> </w:t>
      </w:r>
      <w:r w:rsidRPr="0072248A">
        <w:t>zdravotnických</w:t>
      </w:r>
      <w:r>
        <w:t xml:space="preserve"> </w:t>
      </w:r>
      <w:r w:rsidRPr="0072248A">
        <w:t>nebo</w:t>
      </w:r>
      <w:r>
        <w:t xml:space="preserve"> </w:t>
      </w:r>
      <w:r w:rsidRPr="0072248A">
        <w:t>působící</w:t>
      </w:r>
      <w:r>
        <w:t xml:space="preserve"> </w:t>
      </w:r>
      <w:r w:rsidRPr="0072248A">
        <w:t>jako</w:t>
      </w:r>
      <w:r>
        <w:t xml:space="preserve"> </w:t>
      </w:r>
      <w:r w:rsidRPr="0072248A">
        <w:t>charita</w:t>
      </w:r>
      <w:r>
        <w:t xml:space="preserve"> </w:t>
      </w:r>
      <w:r w:rsidRPr="0072248A">
        <w:t>či</w:t>
      </w:r>
      <w:r>
        <w:t xml:space="preserve"> </w:t>
      </w:r>
      <w:r w:rsidRPr="0072248A">
        <w:t>diakonie,</w:t>
      </w:r>
      <w:r>
        <w:t xml:space="preserve"> </w:t>
      </w:r>
      <w:r w:rsidRPr="0072248A">
        <w:t>které</w:t>
      </w:r>
      <w:r>
        <w:t xml:space="preserve"> </w:t>
      </w:r>
      <w:r w:rsidRPr="0072248A">
        <w:t>bude</w:t>
      </w:r>
      <w:r>
        <w:t xml:space="preserve"> </w:t>
      </w:r>
      <w:r w:rsidRPr="0072248A">
        <w:t>navrženo</w:t>
      </w:r>
      <w:r>
        <w:t xml:space="preserve"> </w:t>
      </w:r>
      <w:r w:rsidRPr="0072248A">
        <w:t>k</w:t>
      </w:r>
      <w:r>
        <w:t xml:space="preserve"> </w:t>
      </w:r>
      <w:r w:rsidRPr="0072248A">
        <w:t>evidenci</w:t>
      </w:r>
      <w:r>
        <w:t xml:space="preserve"> </w:t>
      </w:r>
      <w:r w:rsidRPr="0072248A">
        <w:t>podle</w:t>
      </w:r>
      <w:r>
        <w:t xml:space="preserve"> </w:t>
      </w:r>
      <w:r w:rsidRPr="0072248A">
        <w:t>tohoto</w:t>
      </w:r>
      <w:r>
        <w:t xml:space="preserve"> </w:t>
      </w:r>
      <w:r w:rsidRPr="0072248A">
        <w:t>zákona,</w:t>
      </w:r>
      <w:r>
        <w:t xml:space="preserve"> </w:t>
      </w:r>
      <w:r w:rsidRPr="0072248A">
        <w:t>se</w:t>
      </w:r>
      <w:r>
        <w:t xml:space="preserve"> </w:t>
      </w:r>
      <w:r w:rsidRPr="0072248A">
        <w:t>zakládá</w:t>
      </w:r>
      <w:r>
        <w:t xml:space="preserve"> </w:t>
      </w:r>
      <w:r w:rsidRPr="0072248A">
        <w:t>zakládací</w:t>
      </w:r>
      <w:r>
        <w:t xml:space="preserve"> </w:t>
      </w:r>
      <w:r w:rsidRPr="0072248A">
        <w:t>listinou</w:t>
      </w:r>
      <w:r>
        <w:t xml:space="preserve"> </w:t>
      </w:r>
      <w:r w:rsidRPr="0072248A">
        <w:t>registrované</w:t>
      </w:r>
      <w:r>
        <w:t xml:space="preserve"> </w:t>
      </w:r>
      <w:r w:rsidRPr="0072248A">
        <w:t>církve</w:t>
      </w:r>
      <w:r>
        <w:t xml:space="preserve"> </w:t>
      </w:r>
      <w:r w:rsidRPr="0072248A">
        <w:t>a</w:t>
      </w:r>
      <w:r>
        <w:t xml:space="preserve"> </w:t>
      </w:r>
      <w:r w:rsidRPr="0072248A">
        <w:t>náboženské</w:t>
      </w:r>
      <w:r>
        <w:t xml:space="preserve"> </w:t>
      </w:r>
      <w:r w:rsidRPr="0072248A">
        <w:t>společnosti,</w:t>
      </w:r>
      <w:r>
        <w:t xml:space="preserve"> </w:t>
      </w:r>
      <w:r w:rsidRPr="0072248A">
        <w:t>podepsanou</w:t>
      </w:r>
      <w:r>
        <w:t xml:space="preserve"> </w:t>
      </w:r>
      <w:r w:rsidRPr="0072248A">
        <w:t>členem</w:t>
      </w:r>
      <w:r>
        <w:t xml:space="preserve"> </w:t>
      </w:r>
      <w:r w:rsidRPr="0072248A">
        <w:t>nebo</w:t>
      </w:r>
      <w:r>
        <w:t xml:space="preserve"> </w:t>
      </w:r>
      <w:r w:rsidRPr="0072248A">
        <w:t>členy</w:t>
      </w:r>
      <w:r>
        <w:t xml:space="preserve"> </w:t>
      </w:r>
      <w:r w:rsidRPr="0072248A">
        <w:t>orgánu</w:t>
      </w:r>
      <w:r>
        <w:t xml:space="preserve"> </w:t>
      </w:r>
      <w:r w:rsidRPr="0072248A">
        <w:t>registrované</w:t>
      </w:r>
      <w:r>
        <w:t xml:space="preserve"> </w:t>
      </w:r>
      <w:r w:rsidRPr="0072248A">
        <w:t>církve</w:t>
      </w:r>
      <w:r>
        <w:t xml:space="preserve"> </w:t>
      </w:r>
      <w:r w:rsidRPr="0072248A">
        <w:t>a</w:t>
      </w:r>
      <w:r>
        <w:t xml:space="preserve"> </w:t>
      </w:r>
      <w:r w:rsidRPr="0072248A">
        <w:t>náboženské</w:t>
      </w:r>
      <w:r>
        <w:t xml:space="preserve"> </w:t>
      </w:r>
      <w:r w:rsidRPr="0072248A">
        <w:t>společnosti</w:t>
      </w:r>
      <w:r>
        <w:t xml:space="preserve"> </w:t>
      </w:r>
      <w:r w:rsidRPr="0072248A">
        <w:t>podle</w:t>
      </w:r>
      <w:r>
        <w:t xml:space="preserve"> </w:t>
      </w:r>
      <w:r w:rsidRPr="0072248A">
        <w:t>§</w:t>
      </w:r>
      <w:r>
        <w:t xml:space="preserve"> </w:t>
      </w:r>
      <w:r w:rsidRPr="0072248A">
        <w:t>10</w:t>
      </w:r>
      <w:r>
        <w:t xml:space="preserve"> </w:t>
      </w:r>
      <w:r w:rsidRPr="0072248A">
        <w:t>odst.</w:t>
      </w:r>
      <w:r>
        <w:t xml:space="preserve"> </w:t>
      </w:r>
      <w:r w:rsidRPr="0072248A">
        <w:t>3</w:t>
      </w:r>
      <w:r>
        <w:t xml:space="preserve"> </w:t>
      </w:r>
      <w:r w:rsidRPr="0072248A">
        <w:t>písm.</w:t>
      </w:r>
      <w:r>
        <w:t xml:space="preserve"> </w:t>
      </w:r>
      <w:r w:rsidRPr="0072248A">
        <w:t>d).</w:t>
      </w:r>
      <w:r>
        <w:t xml:space="preserve"> </w:t>
      </w:r>
      <w:r w:rsidRPr="0072248A">
        <w:t>Podpisy</w:t>
      </w:r>
      <w:r>
        <w:t xml:space="preserve"> </w:t>
      </w:r>
      <w:r w:rsidRPr="0072248A">
        <w:t>musí</w:t>
      </w:r>
      <w:r>
        <w:t xml:space="preserve"> </w:t>
      </w:r>
      <w:r w:rsidRPr="0072248A">
        <w:t>být</w:t>
      </w:r>
      <w:r>
        <w:t xml:space="preserve"> </w:t>
      </w:r>
      <w:r w:rsidRPr="0072248A">
        <w:t>úředně</w:t>
      </w:r>
      <w:r>
        <w:t xml:space="preserve"> </w:t>
      </w:r>
      <w:r w:rsidRPr="0072248A">
        <w:t>ověřeny.</w:t>
      </w:r>
    </w:p>
    <w:p w14:paraId="2775616F" w14:textId="77777777" w:rsidR="00A41308" w:rsidRDefault="00A41308" w:rsidP="005C4E21">
      <w:pPr>
        <w:pStyle w:val="Textparagrafu"/>
        <w:tabs>
          <w:tab w:val="left" w:pos="392"/>
          <w:tab w:val="left" w:pos="840"/>
        </w:tabs>
        <w:spacing w:before="120" w:after="120"/>
      </w:pPr>
      <w:r w:rsidRPr="0072248A">
        <w:t>(2)</w:t>
      </w:r>
      <w:r>
        <w:t xml:space="preserve"> </w:t>
      </w:r>
      <w:r w:rsidRPr="0072248A">
        <w:t>Účelové</w:t>
      </w:r>
      <w:r>
        <w:t xml:space="preserve"> </w:t>
      </w:r>
      <w:r w:rsidRPr="0072248A">
        <w:t>zařízení</w:t>
      </w:r>
      <w:r>
        <w:t xml:space="preserve"> </w:t>
      </w:r>
      <w:r w:rsidRPr="0072248A">
        <w:t>poskytuje</w:t>
      </w:r>
      <w:r>
        <w:t xml:space="preserve"> </w:t>
      </w:r>
      <w:r w:rsidRPr="0072248A">
        <w:t>veřejnosti</w:t>
      </w:r>
      <w:r>
        <w:t xml:space="preserve"> </w:t>
      </w:r>
      <w:r w:rsidRPr="0072248A">
        <w:t>obecně</w:t>
      </w:r>
      <w:r>
        <w:t xml:space="preserve"> </w:t>
      </w:r>
      <w:r w:rsidRPr="0072248A">
        <w:t>prospěšné</w:t>
      </w:r>
      <w:r>
        <w:t xml:space="preserve"> </w:t>
      </w:r>
      <w:r w:rsidRPr="0072248A">
        <w:t>služby</w:t>
      </w:r>
      <w:r>
        <w:t xml:space="preserve"> </w:t>
      </w:r>
      <w:r w:rsidRPr="0072248A">
        <w:t>za</w:t>
      </w:r>
      <w:r>
        <w:t xml:space="preserve"> </w:t>
      </w:r>
      <w:r w:rsidRPr="0072248A">
        <w:t>předem</w:t>
      </w:r>
      <w:r>
        <w:t xml:space="preserve"> </w:t>
      </w:r>
      <w:r w:rsidRPr="0072248A">
        <w:t>stanovených</w:t>
      </w:r>
      <w:r>
        <w:t xml:space="preserve"> </w:t>
      </w:r>
      <w:r w:rsidRPr="0072248A">
        <w:t>a</w:t>
      </w:r>
      <w:r>
        <w:t xml:space="preserve"> </w:t>
      </w:r>
      <w:r w:rsidRPr="0072248A">
        <w:t>pro</w:t>
      </w:r>
      <w:r>
        <w:t xml:space="preserve"> </w:t>
      </w:r>
      <w:r w:rsidRPr="0072248A">
        <w:t>všechny</w:t>
      </w:r>
      <w:r>
        <w:t xml:space="preserve"> </w:t>
      </w:r>
      <w:r w:rsidRPr="0072248A">
        <w:t>uživatele</w:t>
      </w:r>
      <w:r>
        <w:t xml:space="preserve"> </w:t>
      </w:r>
      <w:r w:rsidRPr="0072248A">
        <w:t>stejných</w:t>
      </w:r>
      <w:r>
        <w:t xml:space="preserve"> </w:t>
      </w:r>
      <w:r w:rsidRPr="0072248A">
        <w:t>podmínek.</w:t>
      </w:r>
    </w:p>
    <w:p w14:paraId="5D27A3BB" w14:textId="77777777" w:rsidR="00A41308" w:rsidRDefault="00A41308" w:rsidP="005C4E21">
      <w:pPr>
        <w:pStyle w:val="Textparagrafu"/>
        <w:tabs>
          <w:tab w:val="left" w:pos="392"/>
          <w:tab w:val="left" w:pos="840"/>
        </w:tabs>
        <w:spacing w:before="120" w:after="120"/>
      </w:pPr>
      <w:r w:rsidRPr="0072248A">
        <w:t>(3)</w:t>
      </w:r>
      <w:r>
        <w:t xml:space="preserve"> </w:t>
      </w:r>
      <w:r w:rsidRPr="0072248A">
        <w:t>Zakládací</w:t>
      </w:r>
      <w:r>
        <w:t xml:space="preserve"> </w:t>
      </w:r>
      <w:r w:rsidRPr="0072248A">
        <w:t>listina</w:t>
      </w:r>
      <w:r>
        <w:t xml:space="preserve"> </w:t>
      </w:r>
      <w:r w:rsidRPr="0072248A">
        <w:t>účelového</w:t>
      </w:r>
      <w:r>
        <w:t xml:space="preserve"> </w:t>
      </w:r>
      <w:r w:rsidRPr="0072248A">
        <w:t>zařízení</w:t>
      </w:r>
      <w:r>
        <w:t xml:space="preserve"> </w:t>
      </w:r>
      <w:r w:rsidRPr="0072248A">
        <w:t>musí</w:t>
      </w:r>
      <w:r>
        <w:t xml:space="preserve"> </w:t>
      </w:r>
      <w:r w:rsidRPr="0072248A">
        <w:t>obsahovat</w:t>
      </w:r>
    </w:p>
    <w:p w14:paraId="54C136EA" w14:textId="5643574E" w:rsidR="00A41308" w:rsidRDefault="00A41308" w:rsidP="001D4EA6">
      <w:pPr>
        <w:pStyle w:val="Textparagrafu"/>
        <w:tabs>
          <w:tab w:val="left" w:pos="392"/>
          <w:tab w:val="left" w:pos="840"/>
        </w:tabs>
        <w:spacing w:before="0"/>
        <w:ind w:left="426" w:hanging="426"/>
      </w:pPr>
      <w:r w:rsidRPr="0072248A">
        <w:t>a)</w:t>
      </w:r>
      <w:r w:rsidR="005651C1">
        <w:tab/>
      </w:r>
      <w:r w:rsidRPr="0072248A">
        <w:t>název,</w:t>
      </w:r>
      <w:r>
        <w:t xml:space="preserve"> </w:t>
      </w:r>
      <w:r w:rsidRPr="0072248A">
        <w:t>sídlo</w:t>
      </w:r>
      <w:r>
        <w:t xml:space="preserve"> </w:t>
      </w:r>
      <w:r w:rsidRPr="0072248A">
        <w:t>a</w:t>
      </w:r>
      <w:r>
        <w:t xml:space="preserve"> </w:t>
      </w:r>
      <w:r w:rsidRPr="0072248A">
        <w:t>identifikační</w:t>
      </w:r>
      <w:r>
        <w:t xml:space="preserve"> </w:t>
      </w:r>
      <w:r w:rsidRPr="0072248A">
        <w:t>číslo</w:t>
      </w:r>
      <w:r>
        <w:t xml:space="preserve"> </w:t>
      </w:r>
      <w:r w:rsidRPr="0072248A">
        <w:t>osoby</w:t>
      </w:r>
      <w:r>
        <w:t xml:space="preserve"> </w:t>
      </w:r>
      <w:r w:rsidRPr="0072248A">
        <w:t>(dále</w:t>
      </w:r>
      <w:r>
        <w:t xml:space="preserve"> </w:t>
      </w:r>
      <w:r w:rsidRPr="0072248A">
        <w:t>jen</w:t>
      </w:r>
      <w:r>
        <w:t xml:space="preserve"> </w:t>
      </w:r>
      <w:r w:rsidRPr="0072248A">
        <w:t>"identifikační</w:t>
      </w:r>
      <w:r>
        <w:t xml:space="preserve"> </w:t>
      </w:r>
      <w:r w:rsidRPr="0072248A">
        <w:t>číslo")</w:t>
      </w:r>
      <w:r>
        <w:t xml:space="preserve"> </w:t>
      </w:r>
      <w:r w:rsidRPr="0072248A">
        <w:t>zakladatele,</w:t>
      </w:r>
    </w:p>
    <w:p w14:paraId="1364A420" w14:textId="71B0EB3C" w:rsidR="00A41308" w:rsidRDefault="00A41308" w:rsidP="001D4EA6">
      <w:pPr>
        <w:pStyle w:val="Textparagrafu"/>
        <w:tabs>
          <w:tab w:val="left" w:pos="392"/>
          <w:tab w:val="left" w:pos="840"/>
        </w:tabs>
        <w:spacing w:before="0"/>
        <w:ind w:left="426" w:hanging="426"/>
      </w:pPr>
      <w:r w:rsidRPr="0072248A">
        <w:t>b)</w:t>
      </w:r>
      <w:r w:rsidR="005651C1">
        <w:tab/>
      </w:r>
      <w:r w:rsidRPr="0072248A">
        <w:t>název</w:t>
      </w:r>
      <w:r>
        <w:t xml:space="preserve"> </w:t>
      </w:r>
      <w:r w:rsidRPr="0072248A">
        <w:t>a</w:t>
      </w:r>
      <w:r>
        <w:t xml:space="preserve"> </w:t>
      </w:r>
      <w:r w:rsidRPr="0072248A">
        <w:t>sídlo</w:t>
      </w:r>
      <w:r>
        <w:t xml:space="preserve"> </w:t>
      </w:r>
      <w:r w:rsidRPr="0072248A">
        <w:t>účelového</w:t>
      </w:r>
      <w:r>
        <w:t xml:space="preserve"> </w:t>
      </w:r>
      <w:r w:rsidRPr="0072248A">
        <w:t>zařízení</w:t>
      </w:r>
      <w:r>
        <w:t xml:space="preserve"> </w:t>
      </w:r>
      <w:r w:rsidRPr="0072248A">
        <w:t>na</w:t>
      </w:r>
      <w:r>
        <w:t xml:space="preserve"> </w:t>
      </w:r>
      <w:r w:rsidRPr="0072248A">
        <w:t>území</w:t>
      </w:r>
      <w:r>
        <w:t xml:space="preserve"> </w:t>
      </w:r>
      <w:r w:rsidRPr="0072248A">
        <w:t>České</w:t>
      </w:r>
      <w:r>
        <w:t xml:space="preserve"> </w:t>
      </w:r>
      <w:r w:rsidRPr="0072248A">
        <w:t>republiky,</w:t>
      </w:r>
    </w:p>
    <w:p w14:paraId="16F90F6F" w14:textId="69233D67" w:rsidR="00A41308" w:rsidRDefault="00A41308" w:rsidP="001D4EA6">
      <w:pPr>
        <w:pStyle w:val="Textparagrafu"/>
        <w:tabs>
          <w:tab w:val="left" w:pos="392"/>
          <w:tab w:val="left" w:pos="840"/>
        </w:tabs>
        <w:spacing w:before="0"/>
        <w:ind w:left="426" w:hanging="426"/>
      </w:pPr>
      <w:r w:rsidRPr="0072248A">
        <w:t>c)</w:t>
      </w:r>
      <w:r w:rsidR="005651C1">
        <w:tab/>
      </w:r>
      <w:r w:rsidRPr="0072248A">
        <w:t>dobu,</w:t>
      </w:r>
      <w:r>
        <w:t xml:space="preserve"> </w:t>
      </w:r>
      <w:r w:rsidRPr="0072248A">
        <w:t>na</w:t>
      </w:r>
      <w:r>
        <w:t xml:space="preserve"> </w:t>
      </w:r>
      <w:r w:rsidRPr="0072248A">
        <w:t>kterou</w:t>
      </w:r>
      <w:r>
        <w:t xml:space="preserve"> </w:t>
      </w:r>
      <w:r w:rsidRPr="0072248A">
        <w:t>se</w:t>
      </w:r>
      <w:r>
        <w:t xml:space="preserve"> </w:t>
      </w:r>
      <w:r w:rsidRPr="0072248A">
        <w:t>účelové</w:t>
      </w:r>
      <w:r>
        <w:t xml:space="preserve"> </w:t>
      </w:r>
      <w:r w:rsidRPr="0072248A">
        <w:t>zařízení</w:t>
      </w:r>
      <w:r>
        <w:t xml:space="preserve"> </w:t>
      </w:r>
      <w:r w:rsidRPr="0072248A">
        <w:t>zakládá,</w:t>
      </w:r>
      <w:r>
        <w:t xml:space="preserve"> </w:t>
      </w:r>
      <w:r w:rsidRPr="0072248A">
        <w:t>pokud</w:t>
      </w:r>
      <w:r>
        <w:t xml:space="preserve"> </w:t>
      </w:r>
      <w:r w:rsidRPr="0072248A">
        <w:t>není</w:t>
      </w:r>
      <w:r>
        <w:t xml:space="preserve"> </w:t>
      </w:r>
      <w:r w:rsidRPr="0072248A">
        <w:t>založeno</w:t>
      </w:r>
      <w:r>
        <w:t xml:space="preserve"> </w:t>
      </w:r>
      <w:r w:rsidRPr="0072248A">
        <w:t>na</w:t>
      </w:r>
      <w:r>
        <w:t xml:space="preserve"> </w:t>
      </w:r>
      <w:r w:rsidRPr="0072248A">
        <w:t>dobu</w:t>
      </w:r>
      <w:r>
        <w:t xml:space="preserve"> </w:t>
      </w:r>
      <w:r w:rsidRPr="0072248A">
        <w:t>neurčitou,</w:t>
      </w:r>
    </w:p>
    <w:p w14:paraId="6BD1C474" w14:textId="406A8026" w:rsidR="00A41308" w:rsidRDefault="00A41308" w:rsidP="001D4EA6">
      <w:pPr>
        <w:pStyle w:val="Textparagrafu"/>
        <w:tabs>
          <w:tab w:val="left" w:pos="392"/>
          <w:tab w:val="left" w:pos="840"/>
        </w:tabs>
        <w:spacing w:before="0"/>
        <w:ind w:left="426" w:hanging="426"/>
      </w:pPr>
      <w:r w:rsidRPr="0072248A">
        <w:t>d)</w:t>
      </w:r>
      <w:r w:rsidR="005651C1">
        <w:tab/>
      </w:r>
      <w:r w:rsidRPr="0072248A">
        <w:t>označení</w:t>
      </w:r>
      <w:r>
        <w:t xml:space="preserve"> </w:t>
      </w:r>
      <w:r w:rsidRPr="0072248A">
        <w:t>jeho</w:t>
      </w:r>
      <w:r>
        <w:t xml:space="preserve"> </w:t>
      </w:r>
      <w:r w:rsidRPr="0072248A">
        <w:t>statutárního</w:t>
      </w:r>
      <w:r>
        <w:t xml:space="preserve"> </w:t>
      </w:r>
      <w:r w:rsidRPr="0072248A">
        <w:t>orgánu</w:t>
      </w:r>
      <w:r>
        <w:t xml:space="preserve"> </w:t>
      </w:r>
      <w:r w:rsidRPr="0072248A">
        <w:t>na</w:t>
      </w:r>
      <w:r>
        <w:t xml:space="preserve"> </w:t>
      </w:r>
      <w:r w:rsidRPr="0072248A">
        <w:t>území</w:t>
      </w:r>
      <w:r>
        <w:t xml:space="preserve"> </w:t>
      </w:r>
      <w:r w:rsidRPr="0072248A">
        <w:t>České</w:t>
      </w:r>
      <w:r>
        <w:t xml:space="preserve"> </w:t>
      </w:r>
      <w:r w:rsidRPr="0072248A">
        <w:t>republiky,</w:t>
      </w:r>
    </w:p>
    <w:p w14:paraId="696A79A5" w14:textId="6709DA72" w:rsidR="00A41308" w:rsidRDefault="00A41308" w:rsidP="001D4EA6">
      <w:pPr>
        <w:pStyle w:val="Textparagrafu"/>
        <w:tabs>
          <w:tab w:val="left" w:pos="392"/>
          <w:tab w:val="left" w:pos="840"/>
        </w:tabs>
        <w:spacing w:before="0"/>
        <w:ind w:left="426" w:hanging="426"/>
      </w:pPr>
      <w:r w:rsidRPr="0072248A">
        <w:t>e)</w:t>
      </w:r>
      <w:r w:rsidR="005651C1">
        <w:tab/>
      </w:r>
      <w:r w:rsidRPr="0072248A">
        <w:t>identifikační</w:t>
      </w:r>
      <w:r>
        <w:t xml:space="preserve"> </w:t>
      </w:r>
      <w:r w:rsidRPr="0072248A">
        <w:t>údaje</w:t>
      </w:r>
      <w:r>
        <w:t xml:space="preserve"> </w:t>
      </w:r>
      <w:r w:rsidRPr="0072248A">
        <w:t>členů</w:t>
      </w:r>
      <w:r>
        <w:t xml:space="preserve"> </w:t>
      </w:r>
      <w:r w:rsidRPr="0072248A">
        <w:t>statutárního</w:t>
      </w:r>
      <w:r>
        <w:t xml:space="preserve"> </w:t>
      </w:r>
      <w:r w:rsidRPr="0072248A">
        <w:t>orgánu,</w:t>
      </w:r>
    </w:p>
    <w:p w14:paraId="34C9912C" w14:textId="3C57872B" w:rsidR="00A41308" w:rsidRDefault="00A41308" w:rsidP="001D4EA6">
      <w:pPr>
        <w:pStyle w:val="Textparagrafu"/>
        <w:tabs>
          <w:tab w:val="left" w:pos="392"/>
          <w:tab w:val="left" w:pos="840"/>
        </w:tabs>
        <w:spacing w:before="0"/>
        <w:ind w:left="426" w:hanging="426"/>
      </w:pPr>
      <w:r w:rsidRPr="0072248A">
        <w:t>f)</w:t>
      </w:r>
      <w:r w:rsidR="005651C1">
        <w:tab/>
      </w:r>
      <w:r w:rsidRPr="0072248A">
        <w:t>jeho</w:t>
      </w:r>
      <w:r>
        <w:t xml:space="preserve"> </w:t>
      </w:r>
      <w:r w:rsidRPr="0072248A">
        <w:t>stanovy,</w:t>
      </w:r>
    </w:p>
    <w:p w14:paraId="33D323D8" w14:textId="078FA1B4" w:rsidR="00A41308" w:rsidRDefault="00A41308" w:rsidP="001D4EA6">
      <w:pPr>
        <w:pStyle w:val="Textparagrafu"/>
        <w:tabs>
          <w:tab w:val="left" w:pos="392"/>
          <w:tab w:val="left" w:pos="840"/>
        </w:tabs>
        <w:spacing w:before="0"/>
        <w:ind w:left="426" w:hanging="426"/>
      </w:pPr>
      <w:r w:rsidRPr="0072248A">
        <w:t>g)</w:t>
      </w:r>
      <w:r w:rsidR="005651C1">
        <w:tab/>
      </w:r>
      <w:r w:rsidRPr="0072248A">
        <w:t>způsob</w:t>
      </w:r>
      <w:r>
        <w:t xml:space="preserve"> </w:t>
      </w:r>
      <w:r w:rsidRPr="0072248A">
        <w:t>zveřejňování</w:t>
      </w:r>
      <w:r>
        <w:t xml:space="preserve"> </w:t>
      </w:r>
      <w:r w:rsidRPr="0072248A">
        <w:t>výroční</w:t>
      </w:r>
      <w:r>
        <w:t xml:space="preserve"> </w:t>
      </w:r>
      <w:r w:rsidRPr="0072248A">
        <w:t>zprávy</w:t>
      </w:r>
      <w:r>
        <w:t xml:space="preserve"> </w:t>
      </w:r>
      <w:r w:rsidRPr="004077B5">
        <w:rPr>
          <w:strike/>
        </w:rPr>
        <w:t>o činnosti a hospodaření</w:t>
      </w:r>
      <w:r>
        <w:t xml:space="preserve"> </w:t>
      </w:r>
      <w:r w:rsidRPr="0072248A">
        <w:t>účelového</w:t>
      </w:r>
      <w:r>
        <w:t xml:space="preserve"> </w:t>
      </w:r>
      <w:r w:rsidRPr="0072248A">
        <w:t>zařízení</w:t>
      </w:r>
      <w:r>
        <w:t xml:space="preserve"> </w:t>
      </w:r>
      <w:r w:rsidRPr="0072248A">
        <w:t>za</w:t>
      </w:r>
      <w:r>
        <w:t xml:space="preserve"> </w:t>
      </w:r>
      <w:r w:rsidRPr="0072248A">
        <w:t>kalendářní</w:t>
      </w:r>
      <w:r>
        <w:t xml:space="preserve"> </w:t>
      </w:r>
      <w:r w:rsidRPr="0072248A">
        <w:t>rok,</w:t>
      </w:r>
    </w:p>
    <w:p w14:paraId="4612EDA9" w14:textId="76BEC46D" w:rsidR="00A41308" w:rsidRDefault="00A41308" w:rsidP="001D4EA6">
      <w:pPr>
        <w:pStyle w:val="Textparagrafu"/>
        <w:tabs>
          <w:tab w:val="left" w:pos="392"/>
          <w:tab w:val="left" w:pos="840"/>
        </w:tabs>
        <w:spacing w:before="0"/>
        <w:ind w:left="426" w:hanging="426"/>
      </w:pPr>
      <w:r w:rsidRPr="0072248A">
        <w:t>h)</w:t>
      </w:r>
      <w:r w:rsidR="005651C1">
        <w:tab/>
      </w:r>
      <w:r w:rsidRPr="0072248A">
        <w:t>způsob</w:t>
      </w:r>
      <w:r>
        <w:t xml:space="preserve"> </w:t>
      </w:r>
      <w:r w:rsidRPr="0072248A">
        <w:t>schvalování</w:t>
      </w:r>
      <w:r>
        <w:t xml:space="preserve"> </w:t>
      </w:r>
      <w:r w:rsidRPr="0072248A">
        <w:t>změn</w:t>
      </w:r>
      <w:r>
        <w:t xml:space="preserve"> </w:t>
      </w:r>
      <w:r w:rsidRPr="0072248A">
        <w:t>zakládací</w:t>
      </w:r>
      <w:r>
        <w:t xml:space="preserve"> </w:t>
      </w:r>
      <w:r w:rsidRPr="0072248A">
        <w:t>listiny.</w:t>
      </w:r>
    </w:p>
    <w:p w14:paraId="5F343E37" w14:textId="77777777" w:rsidR="00A41308" w:rsidRDefault="00A41308" w:rsidP="005C4E21">
      <w:pPr>
        <w:pStyle w:val="Textparagrafu"/>
        <w:tabs>
          <w:tab w:val="left" w:pos="392"/>
          <w:tab w:val="left" w:pos="840"/>
        </w:tabs>
        <w:spacing w:before="120" w:after="120"/>
      </w:pPr>
      <w:r w:rsidRPr="0072248A">
        <w:t>(4)</w:t>
      </w:r>
      <w:r>
        <w:t xml:space="preserve"> </w:t>
      </w:r>
      <w:r w:rsidRPr="0072248A">
        <w:t>Stanovy</w:t>
      </w:r>
      <w:r>
        <w:t xml:space="preserve"> </w:t>
      </w:r>
      <w:r w:rsidRPr="0072248A">
        <w:t>účelového</w:t>
      </w:r>
      <w:r>
        <w:t xml:space="preserve"> </w:t>
      </w:r>
      <w:r w:rsidRPr="0072248A">
        <w:t>zařízení</w:t>
      </w:r>
      <w:r>
        <w:t xml:space="preserve"> </w:t>
      </w:r>
      <w:r w:rsidRPr="0072248A">
        <w:t>podle</w:t>
      </w:r>
      <w:r>
        <w:t xml:space="preserve"> </w:t>
      </w:r>
      <w:r w:rsidRPr="0072248A">
        <w:t>odstavce</w:t>
      </w:r>
      <w:r>
        <w:t xml:space="preserve"> </w:t>
      </w:r>
      <w:r w:rsidRPr="0072248A">
        <w:t>3</w:t>
      </w:r>
      <w:r>
        <w:t xml:space="preserve"> </w:t>
      </w:r>
      <w:r w:rsidRPr="0072248A">
        <w:t>písm.</w:t>
      </w:r>
      <w:r>
        <w:t xml:space="preserve"> </w:t>
      </w:r>
      <w:r w:rsidRPr="0072248A">
        <w:t>f)</w:t>
      </w:r>
      <w:r>
        <w:t xml:space="preserve"> </w:t>
      </w:r>
      <w:r w:rsidRPr="0072248A">
        <w:t>musí</w:t>
      </w:r>
      <w:r>
        <w:t xml:space="preserve"> </w:t>
      </w:r>
      <w:r w:rsidRPr="0072248A">
        <w:t>obsahovat</w:t>
      </w:r>
    </w:p>
    <w:p w14:paraId="7243AB4E" w14:textId="2CCE5CBF" w:rsidR="00A41308" w:rsidRDefault="00A41308" w:rsidP="001D4EA6">
      <w:pPr>
        <w:pStyle w:val="Textparagrafu"/>
        <w:tabs>
          <w:tab w:val="left" w:pos="392"/>
          <w:tab w:val="left" w:pos="840"/>
        </w:tabs>
        <w:spacing w:before="0"/>
        <w:ind w:left="426" w:hanging="426"/>
      </w:pPr>
      <w:r w:rsidRPr="0072248A">
        <w:t>a)</w:t>
      </w:r>
      <w:r w:rsidR="005651C1">
        <w:tab/>
      </w:r>
      <w:r w:rsidRPr="0072248A">
        <w:t>údaje</w:t>
      </w:r>
      <w:r>
        <w:t xml:space="preserve"> </w:t>
      </w:r>
      <w:r w:rsidRPr="0072248A">
        <w:t>podle</w:t>
      </w:r>
      <w:r>
        <w:t xml:space="preserve"> </w:t>
      </w:r>
      <w:r w:rsidRPr="0072248A">
        <w:t>odstavce</w:t>
      </w:r>
      <w:r>
        <w:t xml:space="preserve"> </w:t>
      </w:r>
      <w:r w:rsidRPr="0072248A">
        <w:t>3</w:t>
      </w:r>
      <w:r>
        <w:t xml:space="preserve"> </w:t>
      </w:r>
      <w:r w:rsidRPr="0072248A">
        <w:t>písm.</w:t>
      </w:r>
      <w:r>
        <w:t xml:space="preserve"> </w:t>
      </w:r>
      <w:r w:rsidRPr="0072248A">
        <w:t>b)</w:t>
      </w:r>
      <w:r>
        <w:t xml:space="preserve"> </w:t>
      </w:r>
      <w:r w:rsidRPr="0072248A">
        <w:t>a</w:t>
      </w:r>
      <w:r>
        <w:t xml:space="preserve"> </w:t>
      </w:r>
      <w:r w:rsidRPr="0072248A">
        <w:t>d),</w:t>
      </w:r>
    </w:p>
    <w:p w14:paraId="290FBBAF" w14:textId="4BC142BE" w:rsidR="00A41308" w:rsidRDefault="00A41308" w:rsidP="001D4EA6">
      <w:pPr>
        <w:pStyle w:val="Textparagrafu"/>
        <w:tabs>
          <w:tab w:val="left" w:pos="392"/>
          <w:tab w:val="left" w:pos="840"/>
        </w:tabs>
        <w:spacing w:before="0"/>
        <w:ind w:left="426" w:hanging="426"/>
      </w:pPr>
      <w:r w:rsidRPr="0072248A">
        <w:t>b)</w:t>
      </w:r>
      <w:r w:rsidR="005651C1">
        <w:tab/>
      </w:r>
      <w:r w:rsidRPr="0072248A">
        <w:t>způsob</w:t>
      </w:r>
      <w:r>
        <w:t xml:space="preserve"> </w:t>
      </w:r>
      <w:r w:rsidRPr="0072248A">
        <w:t>ustavování</w:t>
      </w:r>
      <w:r>
        <w:t xml:space="preserve"> </w:t>
      </w:r>
      <w:r w:rsidRPr="0072248A">
        <w:t>a</w:t>
      </w:r>
      <w:r>
        <w:t xml:space="preserve"> </w:t>
      </w:r>
      <w:r w:rsidRPr="0072248A">
        <w:t>odvolávání</w:t>
      </w:r>
      <w:r>
        <w:t xml:space="preserve"> </w:t>
      </w:r>
      <w:r w:rsidRPr="0072248A">
        <w:t>členů</w:t>
      </w:r>
      <w:r>
        <w:t xml:space="preserve"> </w:t>
      </w:r>
      <w:r w:rsidRPr="0072248A">
        <w:t>statutárního</w:t>
      </w:r>
      <w:r>
        <w:t xml:space="preserve"> </w:t>
      </w:r>
      <w:r w:rsidRPr="0072248A">
        <w:t>orgánu</w:t>
      </w:r>
      <w:r>
        <w:t xml:space="preserve"> </w:t>
      </w:r>
      <w:r w:rsidRPr="0072248A">
        <w:t>a</w:t>
      </w:r>
      <w:r>
        <w:t xml:space="preserve"> </w:t>
      </w:r>
      <w:r w:rsidRPr="0072248A">
        <w:t>délku</w:t>
      </w:r>
      <w:r>
        <w:t xml:space="preserve"> </w:t>
      </w:r>
      <w:r w:rsidRPr="0072248A">
        <w:t>jejich</w:t>
      </w:r>
      <w:r>
        <w:t xml:space="preserve"> </w:t>
      </w:r>
      <w:r w:rsidRPr="0072248A">
        <w:t>funkčního</w:t>
      </w:r>
      <w:r>
        <w:t xml:space="preserve"> </w:t>
      </w:r>
      <w:r w:rsidRPr="0072248A">
        <w:t>období,</w:t>
      </w:r>
      <w:r>
        <w:t xml:space="preserve"> </w:t>
      </w:r>
      <w:r w:rsidRPr="0072248A">
        <w:t>je-li</w:t>
      </w:r>
      <w:r>
        <w:t xml:space="preserve"> </w:t>
      </w:r>
      <w:r w:rsidRPr="0072248A">
        <w:t>omezena,</w:t>
      </w:r>
    </w:p>
    <w:p w14:paraId="5B9FF539" w14:textId="0468AE37" w:rsidR="00A41308" w:rsidRDefault="00A41308" w:rsidP="001D4EA6">
      <w:pPr>
        <w:pStyle w:val="Textparagrafu"/>
        <w:tabs>
          <w:tab w:val="left" w:pos="392"/>
          <w:tab w:val="left" w:pos="840"/>
        </w:tabs>
        <w:spacing w:before="0"/>
        <w:ind w:left="426" w:hanging="426"/>
      </w:pPr>
      <w:r w:rsidRPr="0072248A">
        <w:t>c)</w:t>
      </w:r>
      <w:r w:rsidR="005651C1">
        <w:tab/>
      </w:r>
      <w:r w:rsidRPr="0072248A">
        <w:t>způsob,</w:t>
      </w:r>
      <w:r>
        <w:t xml:space="preserve"> </w:t>
      </w:r>
      <w:r w:rsidRPr="0072248A">
        <w:t>jakým</w:t>
      </w:r>
      <w:r>
        <w:t xml:space="preserve"> </w:t>
      </w:r>
      <w:r w:rsidRPr="0072248A">
        <w:t>statutární</w:t>
      </w:r>
      <w:r>
        <w:t xml:space="preserve"> </w:t>
      </w:r>
      <w:r w:rsidRPr="0072248A">
        <w:t>orgán</w:t>
      </w:r>
      <w:r>
        <w:t xml:space="preserve"> </w:t>
      </w:r>
      <w:r w:rsidRPr="0072248A">
        <w:t>jedná</w:t>
      </w:r>
      <w:r>
        <w:t xml:space="preserve"> </w:t>
      </w:r>
      <w:r w:rsidRPr="0072248A">
        <w:t>a</w:t>
      </w:r>
      <w:r>
        <w:t xml:space="preserve"> </w:t>
      </w:r>
      <w:r w:rsidRPr="0072248A">
        <w:t>činí</w:t>
      </w:r>
      <w:r>
        <w:t xml:space="preserve"> </w:t>
      </w:r>
      <w:r w:rsidRPr="0072248A">
        <w:t>právní</w:t>
      </w:r>
      <w:r>
        <w:t xml:space="preserve"> </w:t>
      </w:r>
      <w:r w:rsidRPr="0072248A">
        <w:t>jednání</w:t>
      </w:r>
      <w:r>
        <w:t xml:space="preserve"> </w:t>
      </w:r>
      <w:r w:rsidRPr="0072248A">
        <w:t>jménem</w:t>
      </w:r>
      <w:r>
        <w:t xml:space="preserve"> </w:t>
      </w:r>
      <w:r w:rsidRPr="0072248A">
        <w:t>účelového</w:t>
      </w:r>
      <w:r>
        <w:t xml:space="preserve"> </w:t>
      </w:r>
      <w:r w:rsidRPr="0072248A">
        <w:t>zařízení,</w:t>
      </w:r>
    </w:p>
    <w:p w14:paraId="228F84F1" w14:textId="1FC4728E" w:rsidR="00A41308" w:rsidRDefault="00A41308" w:rsidP="001D4EA6">
      <w:pPr>
        <w:pStyle w:val="Textparagrafu"/>
        <w:tabs>
          <w:tab w:val="left" w:pos="392"/>
          <w:tab w:val="left" w:pos="840"/>
        </w:tabs>
        <w:spacing w:before="0"/>
        <w:ind w:left="426" w:hanging="426"/>
      </w:pPr>
      <w:r w:rsidRPr="0072248A">
        <w:t>d)</w:t>
      </w:r>
      <w:r w:rsidR="005651C1">
        <w:tab/>
      </w:r>
      <w:r w:rsidRPr="0072248A">
        <w:t>druh</w:t>
      </w:r>
      <w:r>
        <w:t xml:space="preserve"> </w:t>
      </w:r>
      <w:r w:rsidRPr="0072248A">
        <w:t>obecně</w:t>
      </w:r>
      <w:r>
        <w:t xml:space="preserve"> </w:t>
      </w:r>
      <w:r w:rsidRPr="0072248A">
        <w:t>prospěšných</w:t>
      </w:r>
      <w:r>
        <w:t xml:space="preserve"> </w:t>
      </w:r>
      <w:r w:rsidRPr="0072248A">
        <w:t>služeb,</w:t>
      </w:r>
      <w:r>
        <w:t xml:space="preserve"> </w:t>
      </w:r>
      <w:r w:rsidRPr="0072248A">
        <w:t>které</w:t>
      </w:r>
      <w:r>
        <w:t xml:space="preserve"> </w:t>
      </w:r>
      <w:r w:rsidRPr="0072248A">
        <w:t>má</w:t>
      </w:r>
      <w:r>
        <w:t xml:space="preserve"> </w:t>
      </w:r>
      <w:r w:rsidRPr="0072248A">
        <w:t>účelové</w:t>
      </w:r>
      <w:r>
        <w:t xml:space="preserve"> </w:t>
      </w:r>
      <w:r w:rsidRPr="0072248A">
        <w:t>zařízení</w:t>
      </w:r>
      <w:r>
        <w:t xml:space="preserve"> </w:t>
      </w:r>
      <w:r w:rsidRPr="0072248A">
        <w:t>poskytovat,</w:t>
      </w:r>
      <w:r>
        <w:t xml:space="preserve"> </w:t>
      </w:r>
      <w:r w:rsidRPr="0072248A">
        <w:t>podmínky</w:t>
      </w:r>
      <w:r>
        <w:t xml:space="preserve"> </w:t>
      </w:r>
      <w:r w:rsidRPr="0072248A">
        <w:t>jejich</w:t>
      </w:r>
      <w:r>
        <w:t xml:space="preserve"> </w:t>
      </w:r>
      <w:r w:rsidRPr="0072248A">
        <w:t>poskytování</w:t>
      </w:r>
      <w:r>
        <w:t xml:space="preserve"> </w:t>
      </w:r>
      <w:r w:rsidRPr="0072248A">
        <w:t>a</w:t>
      </w:r>
      <w:r>
        <w:t xml:space="preserve"> </w:t>
      </w:r>
      <w:r w:rsidRPr="0072248A">
        <w:t>předmět</w:t>
      </w:r>
      <w:r>
        <w:t xml:space="preserve"> </w:t>
      </w:r>
      <w:r w:rsidRPr="0072248A">
        <w:t>podnikatelské</w:t>
      </w:r>
      <w:r>
        <w:t xml:space="preserve"> </w:t>
      </w:r>
      <w:r w:rsidRPr="0072248A">
        <w:t>a</w:t>
      </w:r>
      <w:r>
        <w:t xml:space="preserve"> </w:t>
      </w:r>
      <w:r w:rsidRPr="0072248A">
        <w:t>jiné</w:t>
      </w:r>
      <w:r>
        <w:t xml:space="preserve"> </w:t>
      </w:r>
      <w:r w:rsidRPr="0072248A">
        <w:t>doplňkové</w:t>
      </w:r>
      <w:r>
        <w:t xml:space="preserve"> </w:t>
      </w:r>
      <w:r w:rsidRPr="0072248A">
        <w:t>činnosti,</w:t>
      </w:r>
      <w:r>
        <w:t xml:space="preserve"> </w:t>
      </w:r>
      <w:r w:rsidRPr="0072248A">
        <w:t>budou-li</w:t>
      </w:r>
      <w:r>
        <w:t xml:space="preserve"> </w:t>
      </w:r>
      <w:r w:rsidRPr="0072248A">
        <w:t>provozovány,</w:t>
      </w:r>
    </w:p>
    <w:p w14:paraId="76EBE757" w14:textId="0C0D8616" w:rsidR="00A41308" w:rsidRDefault="00A41308" w:rsidP="001D4EA6">
      <w:pPr>
        <w:pStyle w:val="Textparagrafu"/>
        <w:tabs>
          <w:tab w:val="left" w:pos="392"/>
          <w:tab w:val="left" w:pos="840"/>
        </w:tabs>
        <w:spacing w:before="0"/>
        <w:ind w:left="426" w:hanging="426"/>
      </w:pPr>
      <w:r w:rsidRPr="0072248A">
        <w:t>e)</w:t>
      </w:r>
      <w:r w:rsidR="005651C1">
        <w:tab/>
      </w:r>
      <w:r w:rsidRPr="0072248A">
        <w:t>označení,</w:t>
      </w:r>
      <w:r>
        <w:t xml:space="preserve"> </w:t>
      </w:r>
      <w:r w:rsidRPr="0072248A">
        <w:t>složení</w:t>
      </w:r>
      <w:r>
        <w:t xml:space="preserve"> </w:t>
      </w:r>
      <w:r w:rsidRPr="0072248A">
        <w:t>a</w:t>
      </w:r>
      <w:r>
        <w:t xml:space="preserve"> </w:t>
      </w:r>
      <w:r w:rsidRPr="0072248A">
        <w:t>působnost</w:t>
      </w:r>
      <w:r>
        <w:t xml:space="preserve"> </w:t>
      </w:r>
      <w:r w:rsidRPr="0072248A">
        <w:t>kontrolního</w:t>
      </w:r>
      <w:r>
        <w:t xml:space="preserve"> </w:t>
      </w:r>
      <w:r w:rsidRPr="0072248A">
        <w:t>orgánu,</w:t>
      </w:r>
      <w:r>
        <w:t xml:space="preserve"> </w:t>
      </w:r>
      <w:r w:rsidRPr="0072248A">
        <w:t>je-li</w:t>
      </w:r>
      <w:r>
        <w:t xml:space="preserve"> </w:t>
      </w:r>
      <w:r w:rsidRPr="0072248A">
        <w:t>zřízen.</w:t>
      </w:r>
    </w:p>
    <w:p w14:paraId="5316F3FC" w14:textId="77777777" w:rsidR="00A41308" w:rsidRDefault="00A41308" w:rsidP="005C4E21">
      <w:pPr>
        <w:pStyle w:val="Textparagrafu"/>
        <w:tabs>
          <w:tab w:val="left" w:pos="392"/>
          <w:tab w:val="left" w:pos="840"/>
        </w:tabs>
        <w:spacing w:before="120" w:after="120"/>
      </w:pPr>
      <w:r w:rsidRPr="0072248A">
        <w:lastRenderedPageBreak/>
        <w:t>(5)</w:t>
      </w:r>
      <w:r>
        <w:t xml:space="preserve"> </w:t>
      </w:r>
      <w:r w:rsidRPr="0072248A">
        <w:t>Výroční</w:t>
      </w:r>
      <w:r>
        <w:t xml:space="preserve"> </w:t>
      </w:r>
      <w:r w:rsidRPr="0072248A">
        <w:t>zpráva</w:t>
      </w:r>
      <w:r>
        <w:t xml:space="preserve"> </w:t>
      </w:r>
      <w:r w:rsidRPr="0072248A">
        <w:t>účelového</w:t>
      </w:r>
      <w:r>
        <w:t xml:space="preserve"> </w:t>
      </w:r>
      <w:r w:rsidRPr="0072248A">
        <w:t>zařízení</w:t>
      </w:r>
      <w:r>
        <w:t xml:space="preserve"> </w:t>
      </w:r>
      <w:r w:rsidRPr="0072248A">
        <w:t>musí</w:t>
      </w:r>
      <w:r>
        <w:t xml:space="preserve"> </w:t>
      </w:r>
      <w:r w:rsidRPr="0072248A">
        <w:t>obsahovat</w:t>
      </w:r>
    </w:p>
    <w:p w14:paraId="329ADC4B" w14:textId="7CC6B51F" w:rsidR="00A41308" w:rsidRDefault="00A41308" w:rsidP="001D4EA6">
      <w:pPr>
        <w:pStyle w:val="Textparagrafu"/>
        <w:tabs>
          <w:tab w:val="left" w:pos="392"/>
          <w:tab w:val="left" w:pos="840"/>
        </w:tabs>
        <w:spacing w:before="0"/>
        <w:ind w:left="426" w:hanging="426"/>
      </w:pPr>
      <w:r w:rsidRPr="0072248A">
        <w:t>a)</w:t>
      </w:r>
      <w:r w:rsidR="005651C1">
        <w:tab/>
      </w:r>
      <w:r w:rsidRPr="0072248A">
        <w:t>přehled</w:t>
      </w:r>
      <w:r>
        <w:t xml:space="preserve"> </w:t>
      </w:r>
      <w:r w:rsidRPr="0072248A">
        <w:t>činností</w:t>
      </w:r>
      <w:r>
        <w:t xml:space="preserve"> </w:t>
      </w:r>
      <w:r w:rsidRPr="0072248A">
        <w:t>vykonávaných</w:t>
      </w:r>
      <w:r>
        <w:t xml:space="preserve"> </w:t>
      </w:r>
      <w:r w:rsidRPr="0072248A">
        <w:t>v</w:t>
      </w:r>
      <w:r>
        <w:t xml:space="preserve"> </w:t>
      </w:r>
      <w:r w:rsidRPr="0072248A">
        <w:t>průběhu</w:t>
      </w:r>
      <w:r>
        <w:t xml:space="preserve"> </w:t>
      </w:r>
      <w:r w:rsidRPr="0072248A">
        <w:t>předchozího</w:t>
      </w:r>
      <w:r>
        <w:t xml:space="preserve"> </w:t>
      </w:r>
      <w:r w:rsidRPr="0072248A">
        <w:t>kalendářního</w:t>
      </w:r>
      <w:r>
        <w:t xml:space="preserve"> </w:t>
      </w:r>
      <w:r w:rsidRPr="0072248A">
        <w:t>roku</w:t>
      </w:r>
      <w:r>
        <w:t xml:space="preserve"> </w:t>
      </w:r>
      <w:r w:rsidRPr="0072248A">
        <w:t>s</w:t>
      </w:r>
      <w:r>
        <w:t xml:space="preserve"> </w:t>
      </w:r>
      <w:r w:rsidRPr="0072248A">
        <w:t>uvedením</w:t>
      </w:r>
      <w:r>
        <w:t xml:space="preserve"> </w:t>
      </w:r>
      <w:r w:rsidRPr="0072248A">
        <w:t>vztahu</w:t>
      </w:r>
      <w:r>
        <w:t xml:space="preserve"> </w:t>
      </w:r>
      <w:r w:rsidRPr="0072248A">
        <w:t>k</w:t>
      </w:r>
      <w:r>
        <w:t xml:space="preserve"> </w:t>
      </w:r>
      <w:r w:rsidRPr="0072248A">
        <w:t>účelu</w:t>
      </w:r>
      <w:r>
        <w:t xml:space="preserve"> </w:t>
      </w:r>
      <w:r w:rsidRPr="0072248A">
        <w:t>založení</w:t>
      </w:r>
      <w:r>
        <w:t xml:space="preserve"> </w:t>
      </w:r>
      <w:r w:rsidRPr="0072248A">
        <w:t>účelového</w:t>
      </w:r>
      <w:r>
        <w:t xml:space="preserve"> </w:t>
      </w:r>
      <w:r w:rsidRPr="0072248A">
        <w:t>zařízení,</w:t>
      </w:r>
    </w:p>
    <w:p w14:paraId="7A02099A" w14:textId="68BC2512" w:rsidR="00A41308" w:rsidRPr="004077B5" w:rsidRDefault="00A41308" w:rsidP="001D4EA6">
      <w:pPr>
        <w:pStyle w:val="Textparagrafu"/>
        <w:tabs>
          <w:tab w:val="left" w:pos="392"/>
          <w:tab w:val="left" w:pos="840"/>
        </w:tabs>
        <w:spacing w:before="0"/>
        <w:ind w:left="426" w:hanging="426"/>
      </w:pPr>
      <w:r w:rsidRPr="0072248A">
        <w:t>b)</w:t>
      </w:r>
      <w:r w:rsidR="005651C1">
        <w:tab/>
      </w:r>
      <w:r w:rsidR="004077B5">
        <w:rPr>
          <w:b/>
        </w:rPr>
        <w:t xml:space="preserve">řádnou individuální </w:t>
      </w:r>
      <w:r w:rsidRPr="0072248A">
        <w:t>účetní</w:t>
      </w:r>
      <w:r>
        <w:t xml:space="preserve"> </w:t>
      </w:r>
      <w:r w:rsidRPr="0072248A">
        <w:t>závěrku</w:t>
      </w:r>
      <w:r>
        <w:t xml:space="preserve"> </w:t>
      </w:r>
      <w:r w:rsidRPr="0072248A">
        <w:t>a</w:t>
      </w:r>
      <w:r>
        <w:t xml:space="preserve"> </w:t>
      </w:r>
      <w:r w:rsidRPr="0072248A">
        <w:t>zhodnocení</w:t>
      </w:r>
      <w:r>
        <w:t xml:space="preserve"> </w:t>
      </w:r>
      <w:r w:rsidRPr="0072248A">
        <w:t>základních</w:t>
      </w:r>
      <w:r>
        <w:t xml:space="preserve"> </w:t>
      </w:r>
      <w:r w:rsidRPr="0072248A">
        <w:t>údajů</w:t>
      </w:r>
      <w:r>
        <w:t xml:space="preserve"> </w:t>
      </w:r>
      <w:r w:rsidRPr="0072248A">
        <w:t>v</w:t>
      </w:r>
      <w:r>
        <w:t xml:space="preserve"> </w:t>
      </w:r>
      <w:r w:rsidRPr="0072248A">
        <w:t>ní</w:t>
      </w:r>
      <w:r>
        <w:t xml:space="preserve"> </w:t>
      </w:r>
      <w:r w:rsidRPr="0072248A">
        <w:t>obsažených</w:t>
      </w:r>
      <w:r w:rsidRPr="004077B5">
        <w:rPr>
          <w:b/>
        </w:rPr>
        <w:t>,</w:t>
      </w:r>
      <w:r w:rsidR="004077B5" w:rsidRPr="004077B5">
        <w:t xml:space="preserve"> </w:t>
      </w:r>
      <w:r w:rsidR="004077B5">
        <w:rPr>
          <w:b/>
        </w:rPr>
        <w:t>je-li účetní jednotkou</w:t>
      </w:r>
      <w:r w:rsidR="004077B5">
        <w:t>,</w:t>
      </w:r>
    </w:p>
    <w:p w14:paraId="3B37496A" w14:textId="2E06A0C1" w:rsidR="00A41308" w:rsidRPr="004077B5" w:rsidRDefault="00A41308" w:rsidP="001D4EA6">
      <w:pPr>
        <w:pStyle w:val="Textparagrafu"/>
        <w:tabs>
          <w:tab w:val="left" w:pos="392"/>
          <w:tab w:val="left" w:pos="840"/>
        </w:tabs>
        <w:spacing w:before="0"/>
        <w:ind w:left="426" w:hanging="426"/>
        <w:rPr>
          <w:strike/>
        </w:rPr>
      </w:pPr>
      <w:r w:rsidRPr="004077B5">
        <w:rPr>
          <w:strike/>
        </w:rPr>
        <w:t>c)</w:t>
      </w:r>
      <w:r w:rsidR="005651C1" w:rsidRPr="004077B5">
        <w:rPr>
          <w:strike/>
        </w:rPr>
        <w:tab/>
      </w:r>
      <w:r w:rsidRPr="004077B5">
        <w:rPr>
          <w:strike/>
        </w:rPr>
        <w:t>výrok auditora k roční účetní závěrce u těch účelových zařízení, u kterých výše čistého obratu překročí 10 miliónů Kč,</w:t>
      </w:r>
    </w:p>
    <w:p w14:paraId="4F51D89E" w14:textId="2AB0A38E" w:rsidR="004077B5" w:rsidRPr="004077B5" w:rsidRDefault="004077B5" w:rsidP="001D4EA6">
      <w:pPr>
        <w:pStyle w:val="Textpsmene"/>
        <w:spacing w:before="0"/>
        <w:ind w:left="426" w:hanging="426"/>
        <w:rPr>
          <w:b/>
        </w:rPr>
      </w:pPr>
      <w:bookmarkStart w:id="33" w:name="_Hlk159406226"/>
      <w:r w:rsidRPr="00307BFE">
        <w:rPr>
          <w:b/>
        </w:rPr>
        <w:t xml:space="preserve">c) </w:t>
      </w:r>
      <w:r w:rsidRPr="00307BFE">
        <w:rPr>
          <w:b/>
        </w:rPr>
        <w:tab/>
        <w:t>zprávu auditora o povinném auditu, má-li účelové zařízení povinnost auditu účetní závěrky,</w:t>
      </w:r>
      <w:bookmarkEnd w:id="33"/>
    </w:p>
    <w:p w14:paraId="530833B6" w14:textId="60E8B143" w:rsidR="00A41308" w:rsidRDefault="00A41308" w:rsidP="001D4EA6">
      <w:pPr>
        <w:pStyle w:val="Textparagrafu"/>
        <w:tabs>
          <w:tab w:val="left" w:pos="392"/>
          <w:tab w:val="left" w:pos="840"/>
        </w:tabs>
        <w:spacing w:before="0"/>
        <w:ind w:left="426" w:hanging="426"/>
      </w:pPr>
      <w:r w:rsidRPr="0072248A">
        <w:t>d)</w:t>
      </w:r>
      <w:r w:rsidR="005651C1">
        <w:tab/>
      </w:r>
      <w:r w:rsidRPr="0072248A">
        <w:t>přehled</w:t>
      </w:r>
      <w:r>
        <w:t xml:space="preserve"> </w:t>
      </w:r>
      <w:r w:rsidRPr="0072248A">
        <w:t>o</w:t>
      </w:r>
      <w:r>
        <w:t xml:space="preserve"> </w:t>
      </w:r>
      <w:r w:rsidRPr="0072248A">
        <w:t>peněžních</w:t>
      </w:r>
      <w:r>
        <w:t xml:space="preserve"> </w:t>
      </w:r>
      <w:r w:rsidRPr="0072248A">
        <w:t>příjmech</w:t>
      </w:r>
      <w:r>
        <w:t xml:space="preserve"> </w:t>
      </w:r>
      <w:r w:rsidRPr="0072248A">
        <w:t>a</w:t>
      </w:r>
      <w:r>
        <w:t xml:space="preserve"> </w:t>
      </w:r>
      <w:r w:rsidRPr="0072248A">
        <w:t>výdajích,</w:t>
      </w:r>
    </w:p>
    <w:p w14:paraId="7CB49C8A" w14:textId="4B376561" w:rsidR="00A41308" w:rsidRDefault="00A41308" w:rsidP="001D4EA6">
      <w:pPr>
        <w:pStyle w:val="Textparagrafu"/>
        <w:tabs>
          <w:tab w:val="left" w:pos="392"/>
          <w:tab w:val="left" w:pos="840"/>
        </w:tabs>
        <w:spacing w:before="0"/>
        <w:ind w:left="426" w:hanging="426"/>
      </w:pPr>
      <w:r w:rsidRPr="0072248A">
        <w:t>e)</w:t>
      </w:r>
      <w:r w:rsidR="005651C1">
        <w:tab/>
      </w:r>
      <w:r w:rsidRPr="0072248A">
        <w:t>přehled</w:t>
      </w:r>
      <w:r>
        <w:t xml:space="preserve"> </w:t>
      </w:r>
      <w:r w:rsidRPr="0072248A">
        <w:t>rozsahu</w:t>
      </w:r>
      <w:r>
        <w:t xml:space="preserve"> </w:t>
      </w:r>
      <w:r w:rsidRPr="0072248A">
        <w:t>příjmů</w:t>
      </w:r>
      <w:r>
        <w:t xml:space="preserve"> </w:t>
      </w:r>
      <w:r w:rsidRPr="0072248A">
        <w:t>(výnosů)</w:t>
      </w:r>
      <w:r>
        <w:t xml:space="preserve"> </w:t>
      </w:r>
      <w:r w:rsidRPr="0072248A">
        <w:t>v</w:t>
      </w:r>
      <w:r>
        <w:t xml:space="preserve"> </w:t>
      </w:r>
      <w:r w:rsidRPr="0072248A">
        <w:t>členění</w:t>
      </w:r>
      <w:r>
        <w:t xml:space="preserve"> </w:t>
      </w:r>
      <w:r w:rsidRPr="0072248A">
        <w:t>podle</w:t>
      </w:r>
      <w:r>
        <w:t xml:space="preserve"> </w:t>
      </w:r>
      <w:r w:rsidRPr="0072248A">
        <w:t>zdrojů,</w:t>
      </w:r>
    </w:p>
    <w:p w14:paraId="37E648A7" w14:textId="5425D08A" w:rsidR="00A41308" w:rsidRDefault="00A41308" w:rsidP="001D4EA6">
      <w:pPr>
        <w:pStyle w:val="Textparagrafu"/>
        <w:tabs>
          <w:tab w:val="left" w:pos="392"/>
          <w:tab w:val="left" w:pos="840"/>
        </w:tabs>
        <w:spacing w:before="0"/>
        <w:ind w:left="426" w:hanging="426"/>
      </w:pPr>
      <w:r w:rsidRPr="0072248A">
        <w:t>f)</w:t>
      </w:r>
      <w:r w:rsidR="005651C1">
        <w:tab/>
      </w:r>
      <w:r w:rsidRPr="0072248A">
        <w:t>vývoj</w:t>
      </w:r>
      <w:r>
        <w:t xml:space="preserve"> </w:t>
      </w:r>
      <w:r w:rsidRPr="0072248A">
        <w:t>a</w:t>
      </w:r>
      <w:r>
        <w:t xml:space="preserve"> </w:t>
      </w:r>
      <w:r w:rsidRPr="0072248A">
        <w:t>konečný</w:t>
      </w:r>
      <w:r>
        <w:t xml:space="preserve"> </w:t>
      </w:r>
      <w:r w:rsidRPr="0072248A">
        <w:t>stav</w:t>
      </w:r>
      <w:r>
        <w:t xml:space="preserve"> </w:t>
      </w:r>
      <w:r w:rsidRPr="0072248A">
        <w:t>fondů</w:t>
      </w:r>
      <w:r>
        <w:t xml:space="preserve"> </w:t>
      </w:r>
      <w:r w:rsidRPr="0072248A">
        <w:t>účelového</w:t>
      </w:r>
      <w:r>
        <w:t xml:space="preserve"> </w:t>
      </w:r>
      <w:r w:rsidRPr="0072248A">
        <w:t>zařízení,</w:t>
      </w:r>
    </w:p>
    <w:p w14:paraId="187E0583" w14:textId="1E98E6E3" w:rsidR="00A41308" w:rsidRDefault="00A41308" w:rsidP="001D4EA6">
      <w:pPr>
        <w:pStyle w:val="Textparagrafu"/>
        <w:tabs>
          <w:tab w:val="left" w:pos="392"/>
          <w:tab w:val="left" w:pos="840"/>
        </w:tabs>
        <w:spacing w:before="0"/>
        <w:ind w:left="426" w:hanging="426"/>
      </w:pPr>
      <w:r w:rsidRPr="0072248A">
        <w:t>g)</w:t>
      </w:r>
      <w:r w:rsidR="005651C1">
        <w:tab/>
      </w:r>
      <w:r w:rsidRPr="0072248A">
        <w:t>stav</w:t>
      </w:r>
      <w:r>
        <w:t xml:space="preserve"> </w:t>
      </w:r>
      <w:r w:rsidRPr="0072248A">
        <w:t>a</w:t>
      </w:r>
      <w:r>
        <w:t xml:space="preserve"> </w:t>
      </w:r>
      <w:r w:rsidRPr="0072248A">
        <w:t>pohyb</w:t>
      </w:r>
      <w:r>
        <w:t xml:space="preserve"> </w:t>
      </w:r>
      <w:r w:rsidRPr="0072248A">
        <w:t>majetku</w:t>
      </w:r>
      <w:r>
        <w:t xml:space="preserve"> </w:t>
      </w:r>
      <w:r w:rsidRPr="0072248A">
        <w:t>účelového</w:t>
      </w:r>
      <w:r>
        <w:t xml:space="preserve"> </w:t>
      </w:r>
      <w:r w:rsidRPr="0072248A">
        <w:t>zařízení,</w:t>
      </w:r>
    </w:p>
    <w:p w14:paraId="35A63A13" w14:textId="6F1F1E56" w:rsidR="00A41308" w:rsidRDefault="00A41308" w:rsidP="001D4EA6">
      <w:pPr>
        <w:pStyle w:val="Textparagrafu"/>
        <w:tabs>
          <w:tab w:val="left" w:pos="392"/>
          <w:tab w:val="left" w:pos="840"/>
        </w:tabs>
        <w:spacing w:before="0"/>
        <w:ind w:left="426" w:hanging="426"/>
      </w:pPr>
      <w:r w:rsidRPr="0072248A">
        <w:t>h)</w:t>
      </w:r>
      <w:r w:rsidR="005651C1">
        <w:tab/>
      </w:r>
      <w:r w:rsidRPr="0072248A">
        <w:t>úplný</w:t>
      </w:r>
      <w:r>
        <w:t xml:space="preserve"> </w:t>
      </w:r>
      <w:r w:rsidRPr="0072248A">
        <w:t>objem</w:t>
      </w:r>
      <w:r>
        <w:t xml:space="preserve"> </w:t>
      </w:r>
      <w:r w:rsidRPr="0072248A">
        <w:t>výdajů</w:t>
      </w:r>
      <w:r>
        <w:t xml:space="preserve"> </w:t>
      </w:r>
      <w:r w:rsidRPr="0072248A">
        <w:t>(nákladů)</w:t>
      </w:r>
      <w:r>
        <w:t xml:space="preserve"> </w:t>
      </w:r>
      <w:r w:rsidRPr="0072248A">
        <w:t>v</w:t>
      </w:r>
      <w:r>
        <w:t xml:space="preserve"> </w:t>
      </w:r>
      <w:r w:rsidRPr="0072248A">
        <w:t>členění</w:t>
      </w:r>
      <w:r>
        <w:t xml:space="preserve"> </w:t>
      </w:r>
      <w:r w:rsidRPr="0072248A">
        <w:t>na</w:t>
      </w:r>
      <w:r>
        <w:t xml:space="preserve"> </w:t>
      </w:r>
      <w:r w:rsidRPr="0072248A">
        <w:t>výdaje</w:t>
      </w:r>
      <w:r>
        <w:t xml:space="preserve"> </w:t>
      </w:r>
      <w:r w:rsidRPr="0072248A">
        <w:t>(náklady)</w:t>
      </w:r>
      <w:r>
        <w:t xml:space="preserve"> </w:t>
      </w:r>
      <w:r w:rsidRPr="0072248A">
        <w:t>vynaložené</w:t>
      </w:r>
      <w:r>
        <w:t xml:space="preserve"> </w:t>
      </w:r>
      <w:r w:rsidRPr="0072248A">
        <w:t>pro</w:t>
      </w:r>
      <w:r>
        <w:t xml:space="preserve"> </w:t>
      </w:r>
      <w:r w:rsidRPr="0072248A">
        <w:t>plnění</w:t>
      </w:r>
      <w:r>
        <w:t xml:space="preserve"> </w:t>
      </w:r>
      <w:r w:rsidRPr="0072248A">
        <w:t>obecně</w:t>
      </w:r>
      <w:r>
        <w:t xml:space="preserve"> </w:t>
      </w:r>
      <w:r w:rsidRPr="0072248A">
        <w:t>prospěšných</w:t>
      </w:r>
      <w:r>
        <w:t xml:space="preserve"> </w:t>
      </w:r>
      <w:r w:rsidRPr="0072248A">
        <w:t>služeb,</w:t>
      </w:r>
      <w:r>
        <w:t xml:space="preserve"> </w:t>
      </w:r>
      <w:r w:rsidRPr="0072248A">
        <w:t>pro</w:t>
      </w:r>
      <w:r>
        <w:t xml:space="preserve"> </w:t>
      </w:r>
      <w:r w:rsidRPr="0072248A">
        <w:t>plnění</w:t>
      </w:r>
      <w:r>
        <w:t xml:space="preserve"> </w:t>
      </w:r>
      <w:r w:rsidRPr="0072248A">
        <w:t>činností</w:t>
      </w:r>
      <w:r>
        <w:t xml:space="preserve"> </w:t>
      </w:r>
      <w:r w:rsidRPr="0072248A">
        <w:t>doplňkových</w:t>
      </w:r>
      <w:r>
        <w:t xml:space="preserve"> </w:t>
      </w:r>
      <w:r w:rsidRPr="0072248A">
        <w:t>a</w:t>
      </w:r>
      <w:r>
        <w:t xml:space="preserve"> </w:t>
      </w:r>
      <w:r w:rsidRPr="0072248A">
        <w:t>na</w:t>
      </w:r>
      <w:r>
        <w:t xml:space="preserve"> </w:t>
      </w:r>
      <w:r w:rsidRPr="0072248A">
        <w:t>vlastní</w:t>
      </w:r>
      <w:r>
        <w:t xml:space="preserve"> </w:t>
      </w:r>
      <w:r w:rsidRPr="0072248A">
        <w:t>činnost</w:t>
      </w:r>
      <w:r>
        <w:t xml:space="preserve"> </w:t>
      </w:r>
      <w:r w:rsidRPr="0072248A">
        <w:t>(správu)</w:t>
      </w:r>
      <w:r>
        <w:t xml:space="preserve"> </w:t>
      </w:r>
      <w:r w:rsidRPr="0072248A">
        <w:t>účelového</w:t>
      </w:r>
      <w:r>
        <w:t xml:space="preserve"> </w:t>
      </w:r>
      <w:r w:rsidRPr="0072248A">
        <w:t>zařízení,</w:t>
      </w:r>
    </w:p>
    <w:p w14:paraId="450EA951" w14:textId="64E5F681" w:rsidR="00A41308" w:rsidRDefault="00A41308" w:rsidP="001D4EA6">
      <w:pPr>
        <w:pStyle w:val="Textparagrafu"/>
        <w:tabs>
          <w:tab w:val="left" w:pos="392"/>
          <w:tab w:val="left" w:pos="840"/>
        </w:tabs>
        <w:spacing w:before="0"/>
        <w:ind w:left="426" w:hanging="426"/>
      </w:pPr>
      <w:r w:rsidRPr="0072248A">
        <w:t>i)</w:t>
      </w:r>
      <w:r w:rsidR="005651C1">
        <w:tab/>
      </w:r>
      <w:r w:rsidRPr="0072248A">
        <w:t>změny</w:t>
      </w:r>
      <w:r>
        <w:t xml:space="preserve"> </w:t>
      </w:r>
      <w:r w:rsidRPr="0072248A">
        <w:t>zakládací</w:t>
      </w:r>
      <w:r>
        <w:t xml:space="preserve"> </w:t>
      </w:r>
      <w:r w:rsidRPr="0072248A">
        <w:t>listiny</w:t>
      </w:r>
      <w:r>
        <w:t xml:space="preserve"> </w:t>
      </w:r>
      <w:r w:rsidRPr="0072248A">
        <w:t>a</w:t>
      </w:r>
      <w:r>
        <w:t xml:space="preserve"> </w:t>
      </w:r>
      <w:r w:rsidRPr="0072248A">
        <w:t>složení</w:t>
      </w:r>
      <w:r>
        <w:t xml:space="preserve"> </w:t>
      </w:r>
      <w:r w:rsidRPr="0072248A">
        <w:t>statutárního</w:t>
      </w:r>
      <w:r>
        <w:t xml:space="preserve"> </w:t>
      </w:r>
      <w:r w:rsidRPr="0072248A">
        <w:t>orgánu</w:t>
      </w:r>
      <w:r>
        <w:t xml:space="preserve"> </w:t>
      </w:r>
      <w:r w:rsidRPr="0072248A">
        <w:t>účelového</w:t>
      </w:r>
      <w:r>
        <w:t xml:space="preserve"> </w:t>
      </w:r>
      <w:r w:rsidRPr="0072248A">
        <w:t>zařízení,</w:t>
      </w:r>
      <w:r>
        <w:t xml:space="preserve"> </w:t>
      </w:r>
      <w:r w:rsidRPr="0072248A">
        <w:t>k</w:t>
      </w:r>
      <w:r>
        <w:t xml:space="preserve"> </w:t>
      </w:r>
      <w:r w:rsidRPr="0072248A">
        <w:t>nimž</w:t>
      </w:r>
      <w:r>
        <w:t xml:space="preserve"> </w:t>
      </w:r>
      <w:r w:rsidRPr="0072248A">
        <w:t>došlo</w:t>
      </w:r>
      <w:r>
        <w:t xml:space="preserve"> </w:t>
      </w:r>
      <w:r w:rsidRPr="0072248A">
        <w:t>v</w:t>
      </w:r>
      <w:r>
        <w:t xml:space="preserve"> </w:t>
      </w:r>
      <w:r w:rsidRPr="0072248A">
        <w:t>průběhu</w:t>
      </w:r>
      <w:r>
        <w:t xml:space="preserve"> </w:t>
      </w:r>
      <w:r w:rsidRPr="0072248A">
        <w:t>předchozího</w:t>
      </w:r>
      <w:r>
        <w:t xml:space="preserve"> </w:t>
      </w:r>
      <w:r w:rsidRPr="0072248A">
        <w:t>kalendářního</w:t>
      </w:r>
      <w:r>
        <w:t xml:space="preserve"> </w:t>
      </w:r>
      <w:r w:rsidRPr="0072248A">
        <w:t>roku,</w:t>
      </w:r>
    </w:p>
    <w:p w14:paraId="5E826E07" w14:textId="4A3C947F" w:rsidR="00A41308" w:rsidRDefault="00A41308" w:rsidP="001D4EA6">
      <w:pPr>
        <w:pStyle w:val="Textparagrafu"/>
        <w:tabs>
          <w:tab w:val="left" w:pos="392"/>
          <w:tab w:val="left" w:pos="840"/>
        </w:tabs>
        <w:spacing w:before="0"/>
        <w:ind w:left="426" w:hanging="426"/>
      </w:pPr>
      <w:r w:rsidRPr="0072248A">
        <w:t>j)</w:t>
      </w:r>
      <w:r w:rsidR="005651C1">
        <w:tab/>
      </w:r>
      <w:r w:rsidRPr="0072248A">
        <w:t>další</w:t>
      </w:r>
      <w:r>
        <w:t xml:space="preserve"> </w:t>
      </w:r>
      <w:r w:rsidRPr="0072248A">
        <w:t>údaje</w:t>
      </w:r>
      <w:r>
        <w:t xml:space="preserve"> </w:t>
      </w:r>
      <w:r w:rsidRPr="0072248A">
        <w:t>stanovené</w:t>
      </w:r>
      <w:r>
        <w:t xml:space="preserve"> </w:t>
      </w:r>
      <w:r w:rsidRPr="0072248A">
        <w:t>stanovami.</w:t>
      </w:r>
    </w:p>
    <w:p w14:paraId="4CC3E812" w14:textId="77777777" w:rsidR="00A41308" w:rsidRDefault="00A41308" w:rsidP="005C4E21">
      <w:pPr>
        <w:pStyle w:val="Textparagrafu"/>
        <w:tabs>
          <w:tab w:val="left" w:pos="392"/>
          <w:tab w:val="left" w:pos="840"/>
        </w:tabs>
        <w:spacing w:before="120" w:after="120"/>
      </w:pPr>
      <w:r w:rsidRPr="0072248A">
        <w:t>(6)</w:t>
      </w:r>
      <w:r>
        <w:t xml:space="preserve"> </w:t>
      </w:r>
      <w:r w:rsidRPr="0072248A">
        <w:t>Návrh</w:t>
      </w:r>
      <w:r>
        <w:t xml:space="preserve"> </w:t>
      </w:r>
      <w:r w:rsidRPr="0072248A">
        <w:t>na</w:t>
      </w:r>
      <w:r>
        <w:t xml:space="preserve"> </w:t>
      </w:r>
      <w:r w:rsidRPr="0072248A">
        <w:t>evidenci</w:t>
      </w:r>
      <w:r>
        <w:t xml:space="preserve"> </w:t>
      </w:r>
      <w:r w:rsidRPr="0072248A">
        <w:t>účelového</w:t>
      </w:r>
      <w:r>
        <w:t xml:space="preserve"> </w:t>
      </w:r>
      <w:r w:rsidRPr="0072248A">
        <w:t>zařízení</w:t>
      </w:r>
      <w:r>
        <w:t xml:space="preserve"> </w:t>
      </w:r>
      <w:r w:rsidRPr="0072248A">
        <w:t>musí</w:t>
      </w:r>
      <w:r>
        <w:t xml:space="preserve"> </w:t>
      </w:r>
      <w:r w:rsidRPr="0072248A">
        <w:t>obsahovat</w:t>
      </w:r>
      <w:r>
        <w:t xml:space="preserve"> </w:t>
      </w:r>
      <w:r w:rsidRPr="0072248A">
        <w:t>zakládací</w:t>
      </w:r>
      <w:r>
        <w:t xml:space="preserve"> </w:t>
      </w:r>
      <w:r w:rsidRPr="0072248A">
        <w:t>listinu</w:t>
      </w:r>
      <w:r>
        <w:t xml:space="preserve"> </w:t>
      </w:r>
      <w:r w:rsidRPr="0072248A">
        <w:t>podle</w:t>
      </w:r>
      <w:r>
        <w:t xml:space="preserve"> </w:t>
      </w:r>
      <w:r w:rsidRPr="0072248A">
        <w:t>§</w:t>
      </w:r>
      <w:r>
        <w:t xml:space="preserve"> </w:t>
      </w:r>
      <w:r w:rsidRPr="0072248A">
        <w:t>16a</w:t>
      </w:r>
      <w:r>
        <w:t xml:space="preserve"> </w:t>
      </w:r>
      <w:r w:rsidRPr="0072248A">
        <w:t>odst.</w:t>
      </w:r>
      <w:r>
        <w:t xml:space="preserve"> </w:t>
      </w:r>
      <w:r w:rsidRPr="0072248A">
        <w:t>3.</w:t>
      </w:r>
    </w:p>
    <w:p w14:paraId="12AAD91A" w14:textId="77777777" w:rsidR="00A41308" w:rsidRDefault="00A41308" w:rsidP="005C4E21">
      <w:pPr>
        <w:pStyle w:val="Textparagrafu"/>
        <w:tabs>
          <w:tab w:val="left" w:pos="392"/>
          <w:tab w:val="left" w:pos="840"/>
        </w:tabs>
        <w:spacing w:before="120" w:after="120"/>
      </w:pPr>
      <w:r w:rsidRPr="0072248A">
        <w:t>(7)</w:t>
      </w:r>
      <w:r>
        <w:t xml:space="preserve"> </w:t>
      </w:r>
      <w:r w:rsidRPr="0072248A">
        <w:t>Neobsahuje-li</w:t>
      </w:r>
      <w:r>
        <w:t xml:space="preserve"> </w:t>
      </w:r>
      <w:r w:rsidRPr="0072248A">
        <w:t>návrh</w:t>
      </w:r>
      <w:r>
        <w:t xml:space="preserve"> </w:t>
      </w:r>
      <w:r w:rsidRPr="0072248A">
        <w:t>na</w:t>
      </w:r>
      <w:r>
        <w:t xml:space="preserve"> </w:t>
      </w:r>
      <w:r w:rsidRPr="0072248A">
        <w:t>evidenci</w:t>
      </w:r>
      <w:r>
        <w:t xml:space="preserve"> </w:t>
      </w:r>
      <w:r w:rsidRPr="0072248A">
        <w:t>účelového</w:t>
      </w:r>
      <w:r>
        <w:t xml:space="preserve"> </w:t>
      </w:r>
      <w:r w:rsidRPr="0072248A">
        <w:t>zařízení</w:t>
      </w:r>
      <w:r>
        <w:t xml:space="preserve"> </w:t>
      </w:r>
      <w:r w:rsidRPr="0072248A">
        <w:t>všechny</w:t>
      </w:r>
      <w:r>
        <w:t xml:space="preserve"> </w:t>
      </w:r>
      <w:r w:rsidRPr="0072248A">
        <w:t>náležitosti</w:t>
      </w:r>
      <w:r>
        <w:t xml:space="preserve"> </w:t>
      </w:r>
      <w:r w:rsidRPr="0072248A">
        <w:t>podle</w:t>
      </w:r>
      <w:r>
        <w:t xml:space="preserve"> </w:t>
      </w:r>
      <w:r w:rsidRPr="0072248A">
        <w:t>odstavců</w:t>
      </w:r>
      <w:r>
        <w:t xml:space="preserve"> </w:t>
      </w:r>
      <w:r w:rsidRPr="0072248A">
        <w:t>1,</w:t>
      </w:r>
      <w:r>
        <w:t xml:space="preserve"> </w:t>
      </w:r>
      <w:r w:rsidRPr="0072248A">
        <w:t>3</w:t>
      </w:r>
      <w:r>
        <w:t xml:space="preserve"> </w:t>
      </w:r>
      <w:r w:rsidRPr="0072248A">
        <w:t>a</w:t>
      </w:r>
      <w:r>
        <w:t xml:space="preserve"> </w:t>
      </w:r>
      <w:r w:rsidRPr="0072248A">
        <w:t>4,</w:t>
      </w:r>
      <w:r>
        <w:t xml:space="preserve"> </w:t>
      </w:r>
      <w:r w:rsidRPr="0072248A">
        <w:t>postupuje</w:t>
      </w:r>
      <w:r>
        <w:t xml:space="preserve"> </w:t>
      </w:r>
      <w:r w:rsidRPr="0072248A">
        <w:t>ministerstvo</w:t>
      </w:r>
      <w:r>
        <w:t xml:space="preserve"> </w:t>
      </w:r>
      <w:r w:rsidRPr="0072248A">
        <w:t>podle</w:t>
      </w:r>
      <w:r>
        <w:t xml:space="preserve"> </w:t>
      </w:r>
      <w:r w:rsidRPr="0072248A">
        <w:t>§</w:t>
      </w:r>
      <w:r>
        <w:t xml:space="preserve"> </w:t>
      </w:r>
      <w:r w:rsidRPr="0072248A">
        <w:t>16</w:t>
      </w:r>
      <w:r>
        <w:t xml:space="preserve"> </w:t>
      </w:r>
      <w:r w:rsidRPr="0072248A">
        <w:t>odst.</w:t>
      </w:r>
      <w:r>
        <w:t xml:space="preserve"> </w:t>
      </w:r>
      <w:r w:rsidRPr="0072248A">
        <w:t>5.</w:t>
      </w:r>
    </w:p>
    <w:p w14:paraId="3F5776C3" w14:textId="77777777" w:rsidR="00A41308" w:rsidRDefault="00A41308" w:rsidP="005C4E21">
      <w:pPr>
        <w:pStyle w:val="Textparagrafu"/>
        <w:tabs>
          <w:tab w:val="left" w:pos="392"/>
          <w:tab w:val="left" w:pos="840"/>
        </w:tabs>
        <w:spacing w:before="120" w:after="120"/>
      </w:pPr>
      <w:r w:rsidRPr="0072248A">
        <w:t>(8)</w:t>
      </w:r>
      <w:r>
        <w:t xml:space="preserve"> </w:t>
      </w:r>
      <w:r w:rsidRPr="0072248A">
        <w:t>Ministerstvo</w:t>
      </w:r>
      <w:r>
        <w:t xml:space="preserve"> </w:t>
      </w:r>
      <w:r w:rsidRPr="0072248A">
        <w:t>provede</w:t>
      </w:r>
      <w:r>
        <w:t xml:space="preserve"> </w:t>
      </w:r>
      <w:r w:rsidRPr="0072248A">
        <w:t>evidenci</w:t>
      </w:r>
      <w:r>
        <w:t xml:space="preserve"> </w:t>
      </w:r>
      <w:r w:rsidRPr="0072248A">
        <w:t>účelového</w:t>
      </w:r>
      <w:r>
        <w:t xml:space="preserve"> </w:t>
      </w:r>
      <w:r w:rsidRPr="0072248A">
        <w:t>zařízení</w:t>
      </w:r>
      <w:r>
        <w:t xml:space="preserve"> </w:t>
      </w:r>
      <w:r w:rsidRPr="0072248A">
        <w:t>zápisem</w:t>
      </w:r>
      <w:r>
        <w:t xml:space="preserve"> </w:t>
      </w:r>
      <w:r w:rsidRPr="0072248A">
        <w:t>do</w:t>
      </w:r>
      <w:r>
        <w:t xml:space="preserve"> </w:t>
      </w:r>
      <w:r w:rsidRPr="0072248A">
        <w:t>Rejstříku</w:t>
      </w:r>
      <w:r>
        <w:t xml:space="preserve"> </w:t>
      </w:r>
      <w:r w:rsidRPr="0072248A">
        <w:t>evidovaných</w:t>
      </w:r>
      <w:r>
        <w:t xml:space="preserve"> </w:t>
      </w:r>
      <w:r w:rsidRPr="0072248A">
        <w:t>právnických</w:t>
      </w:r>
      <w:r>
        <w:t xml:space="preserve"> </w:t>
      </w:r>
      <w:r w:rsidRPr="0072248A">
        <w:t>osob</w:t>
      </w:r>
      <w:r>
        <w:t xml:space="preserve"> </w:t>
      </w:r>
      <w:r w:rsidRPr="0072248A">
        <w:t>po</w:t>
      </w:r>
      <w:r>
        <w:t xml:space="preserve"> </w:t>
      </w:r>
      <w:r w:rsidRPr="0072248A">
        <w:t>předložení</w:t>
      </w:r>
      <w:r>
        <w:t xml:space="preserve"> </w:t>
      </w:r>
      <w:r w:rsidRPr="0072248A">
        <w:t>návrhu</w:t>
      </w:r>
      <w:r>
        <w:t xml:space="preserve"> </w:t>
      </w:r>
      <w:r w:rsidRPr="0072248A">
        <w:t>podle</w:t>
      </w:r>
      <w:r>
        <w:t xml:space="preserve"> </w:t>
      </w:r>
      <w:r w:rsidRPr="0072248A">
        <w:t>odstavců</w:t>
      </w:r>
      <w:r>
        <w:t xml:space="preserve"> </w:t>
      </w:r>
      <w:r w:rsidRPr="0072248A">
        <w:t>1</w:t>
      </w:r>
      <w:r>
        <w:t xml:space="preserve"> </w:t>
      </w:r>
      <w:r w:rsidRPr="0072248A">
        <w:t>a</w:t>
      </w:r>
      <w:r>
        <w:t xml:space="preserve"> </w:t>
      </w:r>
      <w:r w:rsidRPr="0072248A">
        <w:t>6</w:t>
      </w:r>
      <w:r>
        <w:t xml:space="preserve"> </w:t>
      </w:r>
      <w:r w:rsidRPr="0072248A">
        <w:t>nejpozději</w:t>
      </w:r>
      <w:r>
        <w:t xml:space="preserve"> </w:t>
      </w:r>
      <w:r w:rsidRPr="0072248A">
        <w:t>do</w:t>
      </w:r>
      <w:r>
        <w:t xml:space="preserve"> </w:t>
      </w:r>
      <w:r w:rsidRPr="0072248A">
        <w:t>30</w:t>
      </w:r>
      <w:r>
        <w:t xml:space="preserve"> </w:t>
      </w:r>
      <w:r w:rsidRPr="0072248A">
        <w:t>dnů</w:t>
      </w:r>
      <w:r>
        <w:t xml:space="preserve"> </w:t>
      </w:r>
      <w:r w:rsidRPr="0072248A">
        <w:t>ode</w:t>
      </w:r>
      <w:r>
        <w:t xml:space="preserve"> </w:t>
      </w:r>
      <w:r w:rsidRPr="0072248A">
        <w:t>dne,</w:t>
      </w:r>
      <w:r>
        <w:t xml:space="preserve"> </w:t>
      </w:r>
      <w:r w:rsidRPr="0072248A">
        <w:t>kdy</w:t>
      </w:r>
      <w:r>
        <w:t xml:space="preserve"> </w:t>
      </w:r>
      <w:r w:rsidRPr="0072248A">
        <w:t>byly</w:t>
      </w:r>
      <w:r>
        <w:t xml:space="preserve"> </w:t>
      </w:r>
      <w:r w:rsidRPr="0072248A">
        <w:t>splněny</w:t>
      </w:r>
      <w:r>
        <w:t xml:space="preserve"> </w:t>
      </w:r>
      <w:r w:rsidRPr="0072248A">
        <w:t>všechny</w:t>
      </w:r>
      <w:r>
        <w:t xml:space="preserve"> </w:t>
      </w:r>
      <w:r w:rsidRPr="0072248A">
        <w:t>náležitosti</w:t>
      </w:r>
      <w:r>
        <w:t xml:space="preserve"> </w:t>
      </w:r>
      <w:r w:rsidRPr="0072248A">
        <w:t>pro</w:t>
      </w:r>
      <w:r>
        <w:t xml:space="preserve"> </w:t>
      </w:r>
      <w:r w:rsidRPr="0072248A">
        <w:t>tento</w:t>
      </w:r>
      <w:r>
        <w:t xml:space="preserve"> </w:t>
      </w:r>
      <w:r w:rsidRPr="0072248A">
        <w:t>zápis.</w:t>
      </w:r>
    </w:p>
    <w:p w14:paraId="1973F926" w14:textId="77777777" w:rsidR="00A41308" w:rsidRPr="0072248A" w:rsidRDefault="00A41308" w:rsidP="005C4E21">
      <w:pPr>
        <w:pStyle w:val="Textparagrafu"/>
        <w:tabs>
          <w:tab w:val="left" w:pos="392"/>
          <w:tab w:val="left" w:pos="840"/>
        </w:tabs>
        <w:spacing w:before="120" w:after="120"/>
      </w:pPr>
      <w:r w:rsidRPr="0072248A">
        <w:t>(9)</w:t>
      </w:r>
      <w:r>
        <w:t xml:space="preserve"> </w:t>
      </w:r>
      <w:r w:rsidRPr="0072248A">
        <w:t>Nejde-li</w:t>
      </w:r>
      <w:r>
        <w:t xml:space="preserve"> </w:t>
      </w:r>
      <w:r w:rsidRPr="0072248A">
        <w:t>o</w:t>
      </w:r>
      <w:r>
        <w:t xml:space="preserve"> </w:t>
      </w:r>
      <w:r w:rsidRPr="0072248A">
        <w:t>právnickou</w:t>
      </w:r>
      <w:r>
        <w:t xml:space="preserve"> </w:t>
      </w:r>
      <w:r w:rsidRPr="0072248A">
        <w:t>osobu</w:t>
      </w:r>
      <w:r>
        <w:t xml:space="preserve"> </w:t>
      </w:r>
      <w:r w:rsidRPr="0072248A">
        <w:t>evidovanou</w:t>
      </w:r>
      <w:r>
        <w:t xml:space="preserve"> </w:t>
      </w:r>
      <w:r w:rsidRPr="0072248A">
        <w:t>podle</w:t>
      </w:r>
      <w:r>
        <w:t xml:space="preserve"> </w:t>
      </w:r>
      <w:r w:rsidRPr="0072248A">
        <w:t>tohoto</w:t>
      </w:r>
      <w:r>
        <w:t xml:space="preserve"> </w:t>
      </w:r>
      <w:r w:rsidRPr="0072248A">
        <w:t>zákona,</w:t>
      </w:r>
      <w:r>
        <w:t xml:space="preserve"> </w:t>
      </w:r>
      <w:r w:rsidRPr="0072248A">
        <w:t>ministerstvo</w:t>
      </w:r>
      <w:r>
        <w:t xml:space="preserve"> </w:t>
      </w:r>
      <w:r w:rsidRPr="0072248A">
        <w:t>návrh</w:t>
      </w:r>
      <w:r>
        <w:t xml:space="preserve"> </w:t>
      </w:r>
      <w:r w:rsidRPr="0072248A">
        <w:t>na</w:t>
      </w:r>
      <w:r>
        <w:t xml:space="preserve"> </w:t>
      </w:r>
      <w:r w:rsidRPr="0072248A">
        <w:t>evidenci</w:t>
      </w:r>
      <w:r>
        <w:t xml:space="preserve"> </w:t>
      </w:r>
      <w:r w:rsidRPr="0072248A">
        <w:t>účelového</w:t>
      </w:r>
      <w:r>
        <w:t xml:space="preserve"> </w:t>
      </w:r>
      <w:r w:rsidRPr="0072248A">
        <w:t>zařízení</w:t>
      </w:r>
      <w:r>
        <w:t xml:space="preserve"> </w:t>
      </w:r>
      <w:r w:rsidRPr="0072248A">
        <w:t>zamítne.</w:t>
      </w:r>
    </w:p>
    <w:p w14:paraId="1129E646" w14:textId="77777777" w:rsidR="00A41308" w:rsidRPr="0072248A" w:rsidRDefault="00A41308" w:rsidP="005651C1">
      <w:pPr>
        <w:pStyle w:val="Textparagrafu"/>
        <w:tabs>
          <w:tab w:val="left" w:pos="392"/>
          <w:tab w:val="left" w:pos="840"/>
        </w:tabs>
        <w:spacing w:after="120"/>
        <w:ind w:firstLine="0"/>
        <w:jc w:val="center"/>
      </w:pPr>
      <w:r w:rsidRPr="0072248A">
        <w:t>***</w:t>
      </w:r>
    </w:p>
    <w:p w14:paraId="0F73B924" w14:textId="1119A574" w:rsidR="00A41308" w:rsidRDefault="00A41308" w:rsidP="005651C1">
      <w:pPr>
        <w:pStyle w:val="Textparagrafu"/>
        <w:tabs>
          <w:tab w:val="left" w:pos="392"/>
          <w:tab w:val="left" w:pos="840"/>
        </w:tabs>
        <w:spacing w:after="120"/>
        <w:ind w:firstLine="0"/>
        <w:jc w:val="center"/>
      </w:pPr>
      <w:r w:rsidRPr="0072248A">
        <w:t>§</w:t>
      </w:r>
      <w:r>
        <w:t xml:space="preserve"> </w:t>
      </w:r>
      <w:r w:rsidRPr="0072248A">
        <w:t>27</w:t>
      </w:r>
    </w:p>
    <w:p w14:paraId="659245E9" w14:textId="77777777" w:rsidR="00A41308" w:rsidRPr="005651C1" w:rsidRDefault="00A41308" w:rsidP="005651C1">
      <w:pPr>
        <w:pStyle w:val="Textparagrafu"/>
        <w:tabs>
          <w:tab w:val="left" w:pos="392"/>
          <w:tab w:val="left" w:pos="840"/>
        </w:tabs>
        <w:spacing w:after="120"/>
        <w:ind w:firstLine="0"/>
        <w:jc w:val="center"/>
        <w:rPr>
          <w:b/>
        </w:rPr>
      </w:pPr>
      <w:r w:rsidRPr="005651C1">
        <w:rPr>
          <w:b/>
        </w:rPr>
        <w:t>Společná ustanovení</w:t>
      </w:r>
    </w:p>
    <w:p w14:paraId="3790DF73" w14:textId="1E3070E4" w:rsidR="00A41308" w:rsidRDefault="00A41308" w:rsidP="005C4E21">
      <w:pPr>
        <w:pStyle w:val="Textparagrafu"/>
        <w:tabs>
          <w:tab w:val="left" w:pos="392"/>
          <w:tab w:val="left" w:pos="840"/>
        </w:tabs>
        <w:spacing w:before="120" w:after="120"/>
      </w:pPr>
      <w:r w:rsidRPr="0072248A">
        <w:t>(1)</w:t>
      </w:r>
      <w:r>
        <w:t xml:space="preserve"> </w:t>
      </w:r>
      <w:r w:rsidRPr="0072248A">
        <w:t>Pro</w:t>
      </w:r>
      <w:r>
        <w:t xml:space="preserve"> </w:t>
      </w:r>
      <w:r w:rsidRPr="0072248A">
        <w:t>řízení</w:t>
      </w:r>
      <w:r>
        <w:t xml:space="preserve"> </w:t>
      </w:r>
      <w:r w:rsidRPr="0072248A">
        <w:t>podle</w:t>
      </w:r>
      <w:r>
        <w:t xml:space="preserve"> </w:t>
      </w:r>
      <w:r w:rsidRPr="0072248A">
        <w:t>tohoto</w:t>
      </w:r>
      <w:r>
        <w:t xml:space="preserve"> </w:t>
      </w:r>
      <w:r w:rsidRPr="0072248A">
        <w:t>zákona</w:t>
      </w:r>
      <w:r>
        <w:t xml:space="preserve"> </w:t>
      </w:r>
      <w:r w:rsidRPr="0072248A">
        <w:t>platí</w:t>
      </w:r>
      <w:r>
        <w:t xml:space="preserve"> </w:t>
      </w:r>
      <w:r w:rsidRPr="0072248A">
        <w:t>obecné</w:t>
      </w:r>
      <w:r>
        <w:t xml:space="preserve"> </w:t>
      </w:r>
      <w:r w:rsidRPr="0072248A">
        <w:t>předpisy</w:t>
      </w:r>
      <w:r>
        <w:t xml:space="preserve"> </w:t>
      </w:r>
      <w:r w:rsidRPr="0072248A">
        <w:t>o</w:t>
      </w:r>
      <w:r>
        <w:t xml:space="preserve"> </w:t>
      </w:r>
      <w:r w:rsidRPr="0072248A">
        <w:t>správním</w:t>
      </w:r>
      <w:r>
        <w:t xml:space="preserve"> </w:t>
      </w:r>
      <w:r w:rsidR="00472E37">
        <w:t>řízení,</w:t>
      </w:r>
      <w:r w:rsidR="00472E37">
        <w:rPr>
          <w:rStyle w:val="Znakapoznpodarou"/>
        </w:rPr>
        <w:footnoteReference w:customMarkFollows="1" w:id="404"/>
        <w:t xml:space="preserve">17) </w:t>
      </w:r>
      <w:r w:rsidRPr="0072248A">
        <w:t>pokud</w:t>
      </w:r>
      <w:r>
        <w:t xml:space="preserve"> </w:t>
      </w:r>
      <w:r w:rsidRPr="0072248A">
        <w:t>tento</w:t>
      </w:r>
      <w:r>
        <w:t xml:space="preserve"> </w:t>
      </w:r>
      <w:r w:rsidRPr="0072248A">
        <w:t>zákon</w:t>
      </w:r>
      <w:r>
        <w:t xml:space="preserve"> </w:t>
      </w:r>
      <w:r w:rsidRPr="0072248A">
        <w:t>nestanoví</w:t>
      </w:r>
      <w:r>
        <w:t xml:space="preserve"> </w:t>
      </w:r>
      <w:r w:rsidRPr="0072248A">
        <w:t>jinak.</w:t>
      </w:r>
    </w:p>
    <w:p w14:paraId="4BD91685" w14:textId="77777777" w:rsidR="00A41308" w:rsidRDefault="00A41308" w:rsidP="005C4E21">
      <w:pPr>
        <w:pStyle w:val="Textparagrafu"/>
        <w:tabs>
          <w:tab w:val="left" w:pos="392"/>
          <w:tab w:val="left" w:pos="840"/>
        </w:tabs>
        <w:spacing w:before="120" w:after="120"/>
      </w:pPr>
      <w:r w:rsidRPr="0072248A">
        <w:t>(2)</w:t>
      </w:r>
      <w:r>
        <w:t xml:space="preserve"> </w:t>
      </w:r>
      <w:r w:rsidRPr="0072248A">
        <w:t>Návrhy</w:t>
      </w:r>
      <w:r>
        <w:t xml:space="preserve"> </w:t>
      </w:r>
      <w:r w:rsidRPr="0072248A">
        <w:t>podle</w:t>
      </w:r>
      <w:r>
        <w:t xml:space="preserve"> </w:t>
      </w:r>
      <w:r w:rsidRPr="0072248A">
        <w:t>tohoto</w:t>
      </w:r>
      <w:r>
        <w:t xml:space="preserve"> </w:t>
      </w:r>
      <w:r w:rsidRPr="0072248A">
        <w:t>zákona</w:t>
      </w:r>
      <w:r>
        <w:t xml:space="preserve"> </w:t>
      </w:r>
      <w:r w:rsidRPr="0072248A">
        <w:t>se</w:t>
      </w:r>
      <w:r>
        <w:t xml:space="preserve"> </w:t>
      </w:r>
      <w:r w:rsidRPr="0072248A">
        <w:t>podávají</w:t>
      </w:r>
      <w:r>
        <w:t xml:space="preserve"> </w:t>
      </w:r>
      <w:r w:rsidRPr="0072248A">
        <w:t>písemně</w:t>
      </w:r>
      <w:r>
        <w:t xml:space="preserve"> </w:t>
      </w:r>
      <w:r w:rsidRPr="0072248A">
        <w:t>ve</w:t>
      </w:r>
      <w:r>
        <w:t xml:space="preserve"> </w:t>
      </w:r>
      <w:r w:rsidRPr="0072248A">
        <w:t>dvojím</w:t>
      </w:r>
      <w:r>
        <w:t xml:space="preserve"> </w:t>
      </w:r>
      <w:r w:rsidRPr="0072248A">
        <w:t>vyhotovení.</w:t>
      </w:r>
    </w:p>
    <w:p w14:paraId="6241BAB1" w14:textId="77777777" w:rsidR="00A41308" w:rsidRDefault="00A41308" w:rsidP="005C4E21">
      <w:pPr>
        <w:pStyle w:val="Textparagrafu"/>
        <w:tabs>
          <w:tab w:val="left" w:pos="392"/>
          <w:tab w:val="left" w:pos="840"/>
        </w:tabs>
        <w:spacing w:before="120" w:after="120"/>
      </w:pPr>
      <w:r w:rsidRPr="0072248A">
        <w:t>(3)</w:t>
      </w:r>
      <w:r>
        <w:t xml:space="preserve"> </w:t>
      </w:r>
      <w:r w:rsidRPr="0072248A">
        <w:t>Návrhy</w:t>
      </w:r>
      <w:r>
        <w:t xml:space="preserve"> </w:t>
      </w:r>
      <w:r w:rsidRPr="0072248A">
        <w:t>podle</w:t>
      </w:r>
      <w:r>
        <w:t xml:space="preserve"> </w:t>
      </w:r>
      <w:r w:rsidRPr="0072248A">
        <w:t>tohoto</w:t>
      </w:r>
      <w:r>
        <w:t xml:space="preserve"> </w:t>
      </w:r>
      <w:r w:rsidRPr="0072248A">
        <w:t>zákona</w:t>
      </w:r>
      <w:r>
        <w:t xml:space="preserve"> </w:t>
      </w:r>
      <w:r w:rsidRPr="0072248A">
        <w:t>se</w:t>
      </w:r>
      <w:r>
        <w:t xml:space="preserve"> </w:t>
      </w:r>
      <w:r w:rsidRPr="0072248A">
        <w:t>podávají</w:t>
      </w:r>
      <w:r>
        <w:t xml:space="preserve"> </w:t>
      </w:r>
      <w:r w:rsidRPr="0072248A">
        <w:t>v</w:t>
      </w:r>
      <w:r>
        <w:t xml:space="preserve"> </w:t>
      </w:r>
      <w:r w:rsidRPr="0072248A">
        <w:t>českém</w:t>
      </w:r>
      <w:r>
        <w:t xml:space="preserve"> </w:t>
      </w:r>
      <w:r w:rsidRPr="0072248A">
        <w:t>jazyce.</w:t>
      </w:r>
      <w:r>
        <w:t xml:space="preserve"> </w:t>
      </w:r>
      <w:r w:rsidRPr="0072248A">
        <w:t>Doklady</w:t>
      </w:r>
      <w:r>
        <w:t xml:space="preserve"> </w:t>
      </w:r>
      <w:r w:rsidRPr="0072248A">
        <w:t>v</w:t>
      </w:r>
      <w:r>
        <w:t xml:space="preserve"> </w:t>
      </w:r>
      <w:r w:rsidRPr="0072248A">
        <w:t>jiném</w:t>
      </w:r>
      <w:r>
        <w:t xml:space="preserve"> </w:t>
      </w:r>
      <w:r w:rsidRPr="0072248A">
        <w:t>než</w:t>
      </w:r>
      <w:r>
        <w:t xml:space="preserve"> </w:t>
      </w:r>
      <w:r w:rsidRPr="0072248A">
        <w:t>českém</w:t>
      </w:r>
      <w:r>
        <w:t xml:space="preserve"> </w:t>
      </w:r>
      <w:r w:rsidRPr="0072248A">
        <w:t>jazyce</w:t>
      </w:r>
      <w:r>
        <w:t xml:space="preserve"> </w:t>
      </w:r>
      <w:r w:rsidRPr="0072248A">
        <w:t>musí</w:t>
      </w:r>
      <w:r>
        <w:t xml:space="preserve"> </w:t>
      </w:r>
      <w:r w:rsidRPr="0072248A">
        <w:t>být</w:t>
      </w:r>
      <w:r>
        <w:t xml:space="preserve"> </w:t>
      </w:r>
      <w:r w:rsidRPr="0072248A">
        <w:t>přeloženy</w:t>
      </w:r>
      <w:r>
        <w:t xml:space="preserve"> </w:t>
      </w:r>
      <w:r w:rsidRPr="0072248A">
        <w:t>do</w:t>
      </w:r>
      <w:r>
        <w:t xml:space="preserve"> </w:t>
      </w:r>
      <w:r w:rsidRPr="0072248A">
        <w:t>českého</w:t>
      </w:r>
      <w:r>
        <w:t xml:space="preserve"> </w:t>
      </w:r>
      <w:r w:rsidRPr="0072248A">
        <w:t>jazyka</w:t>
      </w:r>
      <w:r>
        <w:t xml:space="preserve"> </w:t>
      </w:r>
      <w:r w:rsidRPr="0072248A">
        <w:t>a</w:t>
      </w:r>
      <w:r>
        <w:t xml:space="preserve"> </w:t>
      </w:r>
      <w:r w:rsidRPr="0072248A">
        <w:t>úředně</w:t>
      </w:r>
      <w:r>
        <w:t xml:space="preserve"> </w:t>
      </w:r>
      <w:r w:rsidRPr="0072248A">
        <w:t>ověřeny,</w:t>
      </w:r>
      <w:r>
        <w:t xml:space="preserve"> </w:t>
      </w:r>
      <w:r w:rsidRPr="0072248A">
        <w:t>nestanoví-li</w:t>
      </w:r>
      <w:r>
        <w:t xml:space="preserve"> </w:t>
      </w:r>
      <w:r w:rsidRPr="0072248A">
        <w:t>jinak</w:t>
      </w:r>
      <w:r>
        <w:t xml:space="preserve"> </w:t>
      </w:r>
      <w:r w:rsidRPr="0072248A">
        <w:t>mezinárodní</w:t>
      </w:r>
      <w:r>
        <w:t xml:space="preserve"> </w:t>
      </w:r>
      <w:r w:rsidRPr="0072248A">
        <w:t>smlouva,</w:t>
      </w:r>
      <w:r>
        <w:t xml:space="preserve"> </w:t>
      </w:r>
      <w:r w:rsidRPr="0072248A">
        <w:t>kterou</w:t>
      </w:r>
      <w:r>
        <w:t xml:space="preserve"> </w:t>
      </w:r>
      <w:r w:rsidRPr="0072248A">
        <w:t>je</w:t>
      </w:r>
      <w:r>
        <w:t xml:space="preserve"> </w:t>
      </w:r>
      <w:r w:rsidRPr="0072248A">
        <w:t>Česká</w:t>
      </w:r>
      <w:r>
        <w:t xml:space="preserve"> </w:t>
      </w:r>
      <w:r w:rsidRPr="0072248A">
        <w:t>republika</w:t>
      </w:r>
      <w:r>
        <w:t xml:space="preserve"> </w:t>
      </w:r>
      <w:r w:rsidRPr="0072248A">
        <w:t>vázána.</w:t>
      </w:r>
    </w:p>
    <w:p w14:paraId="0EA3F1FE" w14:textId="77777777" w:rsidR="00A41308" w:rsidRPr="0072248A" w:rsidRDefault="00A41308" w:rsidP="005C4E21">
      <w:pPr>
        <w:pStyle w:val="Textparagrafu"/>
        <w:tabs>
          <w:tab w:val="left" w:pos="392"/>
          <w:tab w:val="left" w:pos="840"/>
        </w:tabs>
        <w:spacing w:before="120" w:after="120"/>
      </w:pPr>
      <w:r w:rsidRPr="0072248A">
        <w:t>(4)</w:t>
      </w:r>
      <w:r>
        <w:t xml:space="preserve"> </w:t>
      </w:r>
      <w:r w:rsidRPr="0072248A">
        <w:t>Příjmy</w:t>
      </w:r>
      <w:r>
        <w:t xml:space="preserve"> </w:t>
      </w:r>
      <w:r w:rsidRPr="0072248A">
        <w:t>církve</w:t>
      </w:r>
      <w:r>
        <w:t xml:space="preserve"> </w:t>
      </w:r>
      <w:r w:rsidRPr="0072248A">
        <w:t>a</w:t>
      </w:r>
      <w:r>
        <w:t xml:space="preserve"> </w:t>
      </w:r>
      <w:r w:rsidRPr="0072248A">
        <w:t>náboženské</w:t>
      </w:r>
      <w:r>
        <w:t xml:space="preserve"> </w:t>
      </w:r>
      <w:r w:rsidRPr="0072248A">
        <w:t>společnosti</w:t>
      </w:r>
      <w:r>
        <w:t xml:space="preserve"> </w:t>
      </w:r>
      <w:r w:rsidRPr="0072248A">
        <w:t>tvoří</w:t>
      </w:r>
      <w:r>
        <w:t xml:space="preserve"> </w:t>
      </w:r>
      <w:r w:rsidRPr="0072248A">
        <w:t>zejména</w:t>
      </w:r>
    </w:p>
    <w:p w14:paraId="42876102" w14:textId="49269278" w:rsidR="00A41308" w:rsidRDefault="00A41308" w:rsidP="001D4EA6">
      <w:pPr>
        <w:pStyle w:val="Textparagrafu"/>
        <w:tabs>
          <w:tab w:val="left" w:pos="392"/>
          <w:tab w:val="left" w:pos="840"/>
        </w:tabs>
        <w:spacing w:before="0"/>
        <w:ind w:left="426" w:hanging="426"/>
      </w:pPr>
      <w:r w:rsidRPr="0072248A">
        <w:t>a)</w:t>
      </w:r>
      <w:r w:rsidR="00C51DBF">
        <w:tab/>
      </w:r>
      <w:r w:rsidRPr="0072248A">
        <w:t>příspěvky</w:t>
      </w:r>
      <w:r>
        <w:t xml:space="preserve"> </w:t>
      </w:r>
      <w:r w:rsidRPr="0072248A">
        <w:t>fyzických</w:t>
      </w:r>
      <w:r>
        <w:t xml:space="preserve"> </w:t>
      </w:r>
      <w:r w:rsidRPr="0072248A">
        <w:t>a</w:t>
      </w:r>
      <w:r>
        <w:t xml:space="preserve"> </w:t>
      </w:r>
      <w:r w:rsidRPr="0072248A">
        <w:t>právnických</w:t>
      </w:r>
      <w:r>
        <w:t xml:space="preserve"> </w:t>
      </w:r>
      <w:r w:rsidRPr="0072248A">
        <w:t>osob,</w:t>
      </w:r>
    </w:p>
    <w:p w14:paraId="5EA16B5B" w14:textId="62B07816" w:rsidR="00A41308" w:rsidRDefault="00A41308" w:rsidP="001D4EA6">
      <w:pPr>
        <w:pStyle w:val="Textparagrafu"/>
        <w:tabs>
          <w:tab w:val="left" w:pos="392"/>
          <w:tab w:val="left" w:pos="840"/>
        </w:tabs>
        <w:spacing w:before="0"/>
        <w:ind w:left="426" w:hanging="426"/>
      </w:pPr>
      <w:r w:rsidRPr="0072248A">
        <w:lastRenderedPageBreak/>
        <w:t>b)</w:t>
      </w:r>
      <w:r w:rsidR="00C51DBF">
        <w:tab/>
      </w:r>
      <w:r w:rsidRPr="0072248A">
        <w:t>příjmy</w:t>
      </w:r>
      <w:r>
        <w:t xml:space="preserve"> </w:t>
      </w:r>
      <w:r w:rsidRPr="0072248A">
        <w:t>z</w:t>
      </w:r>
      <w:r>
        <w:t xml:space="preserve"> </w:t>
      </w:r>
      <w:r w:rsidRPr="0072248A">
        <w:t>prodeje</w:t>
      </w:r>
      <w:r>
        <w:t xml:space="preserve"> </w:t>
      </w:r>
      <w:r w:rsidRPr="0072248A">
        <w:t>a</w:t>
      </w:r>
      <w:r>
        <w:t xml:space="preserve"> </w:t>
      </w:r>
      <w:r w:rsidRPr="0072248A">
        <w:t>z</w:t>
      </w:r>
      <w:r>
        <w:t xml:space="preserve"> </w:t>
      </w:r>
      <w:r w:rsidRPr="0072248A">
        <w:t>pronájmu</w:t>
      </w:r>
      <w:r>
        <w:t xml:space="preserve"> </w:t>
      </w:r>
      <w:r w:rsidRPr="0072248A">
        <w:t>movitého,</w:t>
      </w:r>
      <w:r>
        <w:t xml:space="preserve"> </w:t>
      </w:r>
      <w:r w:rsidRPr="0072248A">
        <w:t>nemovitého</w:t>
      </w:r>
      <w:r>
        <w:t xml:space="preserve"> </w:t>
      </w:r>
      <w:r w:rsidRPr="0072248A">
        <w:t>a</w:t>
      </w:r>
      <w:r>
        <w:t xml:space="preserve"> </w:t>
      </w:r>
      <w:r w:rsidRPr="0072248A">
        <w:t>nehmotného</w:t>
      </w:r>
      <w:r>
        <w:t xml:space="preserve"> </w:t>
      </w:r>
      <w:r w:rsidRPr="0072248A">
        <w:t>majetku</w:t>
      </w:r>
      <w:r>
        <w:t xml:space="preserve"> </w:t>
      </w:r>
      <w:r w:rsidRPr="0072248A">
        <w:t>církví</w:t>
      </w:r>
      <w:r>
        <w:t xml:space="preserve"> </w:t>
      </w:r>
      <w:r w:rsidRPr="0072248A">
        <w:t>a</w:t>
      </w:r>
      <w:r>
        <w:t xml:space="preserve"> </w:t>
      </w:r>
      <w:r w:rsidRPr="0072248A">
        <w:t>náboženských</w:t>
      </w:r>
      <w:r>
        <w:t xml:space="preserve"> </w:t>
      </w:r>
      <w:r w:rsidRPr="0072248A">
        <w:t>společností,</w:t>
      </w:r>
    </w:p>
    <w:p w14:paraId="71A075E5" w14:textId="247D313B" w:rsidR="00A41308" w:rsidRDefault="00A41308" w:rsidP="001D4EA6">
      <w:pPr>
        <w:pStyle w:val="Textparagrafu"/>
        <w:tabs>
          <w:tab w:val="left" w:pos="392"/>
          <w:tab w:val="left" w:pos="840"/>
        </w:tabs>
        <w:spacing w:before="0"/>
        <w:ind w:left="426" w:hanging="426"/>
      </w:pPr>
      <w:r w:rsidRPr="0072248A">
        <w:t>c)</w:t>
      </w:r>
      <w:r w:rsidR="00C51DBF">
        <w:tab/>
      </w:r>
      <w:r w:rsidRPr="0072248A">
        <w:t>úroky</w:t>
      </w:r>
      <w:r>
        <w:t xml:space="preserve"> </w:t>
      </w:r>
      <w:r w:rsidRPr="0072248A">
        <w:t>z</w:t>
      </w:r>
      <w:r>
        <w:t xml:space="preserve"> </w:t>
      </w:r>
      <w:r w:rsidRPr="0072248A">
        <w:t>vkladů,</w:t>
      </w:r>
    </w:p>
    <w:p w14:paraId="33D7CB5A" w14:textId="4AF3C968" w:rsidR="00A41308" w:rsidRDefault="00A41308" w:rsidP="001D4EA6">
      <w:pPr>
        <w:pStyle w:val="Textparagrafu"/>
        <w:tabs>
          <w:tab w:val="left" w:pos="392"/>
          <w:tab w:val="left" w:pos="840"/>
        </w:tabs>
        <w:spacing w:before="0"/>
        <w:ind w:left="426" w:hanging="426"/>
      </w:pPr>
      <w:r w:rsidRPr="0072248A">
        <w:t>d)</w:t>
      </w:r>
      <w:r w:rsidR="00C51DBF">
        <w:tab/>
      </w:r>
      <w:r w:rsidRPr="0072248A">
        <w:t>dary</w:t>
      </w:r>
      <w:r>
        <w:t xml:space="preserve"> </w:t>
      </w:r>
      <w:r w:rsidRPr="0072248A">
        <w:t>a</w:t>
      </w:r>
      <w:r>
        <w:t xml:space="preserve"> </w:t>
      </w:r>
      <w:r w:rsidRPr="0072248A">
        <w:t>dědictví,</w:t>
      </w:r>
    </w:p>
    <w:p w14:paraId="78A10A97" w14:textId="36A1E4CE" w:rsidR="00A41308" w:rsidRDefault="00A41308" w:rsidP="001D4EA6">
      <w:pPr>
        <w:pStyle w:val="Textparagrafu"/>
        <w:tabs>
          <w:tab w:val="left" w:pos="392"/>
          <w:tab w:val="left" w:pos="840"/>
        </w:tabs>
        <w:spacing w:before="0"/>
        <w:ind w:left="426" w:hanging="426"/>
      </w:pPr>
      <w:r w:rsidRPr="0072248A">
        <w:t>e)</w:t>
      </w:r>
      <w:r w:rsidR="00C51DBF">
        <w:tab/>
      </w:r>
      <w:r w:rsidRPr="0072248A">
        <w:t>sbírky</w:t>
      </w:r>
      <w:r>
        <w:t xml:space="preserve"> </w:t>
      </w:r>
      <w:r w:rsidRPr="0072248A">
        <w:t>a</w:t>
      </w:r>
      <w:r>
        <w:t xml:space="preserve"> </w:t>
      </w:r>
      <w:r w:rsidRPr="0072248A">
        <w:t>příspěvky</w:t>
      </w:r>
      <w:r>
        <w:t xml:space="preserve"> </w:t>
      </w:r>
      <w:r w:rsidRPr="0072248A">
        <w:t>z</w:t>
      </w:r>
      <w:r>
        <w:t xml:space="preserve"> </w:t>
      </w:r>
      <w:r w:rsidRPr="0072248A">
        <w:t>části</w:t>
      </w:r>
      <w:r>
        <w:t xml:space="preserve"> </w:t>
      </w:r>
      <w:r w:rsidRPr="0072248A">
        <w:t>výtěžků</w:t>
      </w:r>
      <w:r>
        <w:t xml:space="preserve"> </w:t>
      </w:r>
      <w:r w:rsidRPr="0072248A">
        <w:t>podle</w:t>
      </w:r>
      <w:r>
        <w:t xml:space="preserve"> </w:t>
      </w:r>
      <w:r w:rsidRPr="0072248A">
        <w:t>zvláštního</w:t>
      </w:r>
      <w:r>
        <w:t xml:space="preserve"> </w:t>
      </w:r>
      <w:r w:rsidRPr="0072248A">
        <w:t>zákona,</w:t>
      </w:r>
      <w:r w:rsidR="005651C1">
        <w:rPr>
          <w:rStyle w:val="Znakapoznpodarou"/>
        </w:rPr>
        <w:footnoteReference w:customMarkFollows="1" w:id="405"/>
        <w:t>18)</w:t>
      </w:r>
    </w:p>
    <w:p w14:paraId="55204D52" w14:textId="688FC32A" w:rsidR="00A41308" w:rsidRDefault="00A41308" w:rsidP="001D4EA6">
      <w:pPr>
        <w:pStyle w:val="Textparagrafu"/>
        <w:tabs>
          <w:tab w:val="left" w:pos="392"/>
          <w:tab w:val="left" w:pos="840"/>
        </w:tabs>
        <w:spacing w:before="0"/>
        <w:ind w:left="426" w:hanging="426"/>
      </w:pPr>
      <w:r w:rsidRPr="0072248A">
        <w:t>f)</w:t>
      </w:r>
      <w:r w:rsidR="00C51DBF">
        <w:tab/>
      </w:r>
      <w:r w:rsidRPr="0072248A">
        <w:t>půjčky</w:t>
      </w:r>
      <w:r>
        <w:t xml:space="preserve"> </w:t>
      </w:r>
      <w:r w:rsidRPr="0072248A">
        <w:t>a</w:t>
      </w:r>
      <w:r>
        <w:t xml:space="preserve"> </w:t>
      </w:r>
      <w:r w:rsidRPr="0072248A">
        <w:t>úvěry,</w:t>
      </w:r>
    </w:p>
    <w:p w14:paraId="53433667" w14:textId="762E24BB" w:rsidR="00A41308" w:rsidRDefault="00A41308" w:rsidP="001D4EA6">
      <w:pPr>
        <w:pStyle w:val="Textparagrafu"/>
        <w:tabs>
          <w:tab w:val="left" w:pos="392"/>
          <w:tab w:val="left" w:pos="840"/>
        </w:tabs>
        <w:spacing w:before="0"/>
        <w:ind w:left="426" w:hanging="426"/>
      </w:pPr>
      <w:r w:rsidRPr="0072248A">
        <w:t>g)</w:t>
      </w:r>
      <w:r w:rsidR="00C51DBF">
        <w:tab/>
      </w:r>
      <w:r w:rsidRPr="0072248A">
        <w:t>příjmy</w:t>
      </w:r>
      <w:r>
        <w:t xml:space="preserve"> </w:t>
      </w:r>
      <w:r w:rsidRPr="0072248A">
        <w:t>z</w:t>
      </w:r>
      <w:r>
        <w:t xml:space="preserve"> </w:t>
      </w:r>
      <w:r w:rsidRPr="0072248A">
        <w:t>podnikání</w:t>
      </w:r>
      <w:r>
        <w:t xml:space="preserve"> </w:t>
      </w:r>
      <w:r w:rsidRPr="0072248A">
        <w:t>nebo</w:t>
      </w:r>
      <w:r>
        <w:t xml:space="preserve"> </w:t>
      </w:r>
      <w:r w:rsidRPr="0072248A">
        <w:t>z</w:t>
      </w:r>
      <w:r>
        <w:t xml:space="preserve"> </w:t>
      </w:r>
      <w:r w:rsidRPr="0072248A">
        <w:t>jiné</w:t>
      </w:r>
      <w:r>
        <w:t xml:space="preserve"> </w:t>
      </w:r>
      <w:r w:rsidRPr="0072248A">
        <w:t>výdělečné</w:t>
      </w:r>
      <w:r>
        <w:t xml:space="preserve"> </w:t>
      </w:r>
      <w:r w:rsidRPr="0072248A">
        <w:t>činnosti,</w:t>
      </w:r>
    </w:p>
    <w:p w14:paraId="548AF1AC" w14:textId="48C09303" w:rsidR="00A41308" w:rsidRDefault="00A41308" w:rsidP="001D4EA6">
      <w:pPr>
        <w:pStyle w:val="Textparagrafu"/>
        <w:tabs>
          <w:tab w:val="left" w:pos="392"/>
          <w:tab w:val="left" w:pos="840"/>
        </w:tabs>
        <w:spacing w:before="0"/>
        <w:ind w:left="426" w:hanging="426"/>
      </w:pPr>
      <w:r w:rsidRPr="0072248A">
        <w:t>h)</w:t>
      </w:r>
      <w:r w:rsidR="00C51DBF">
        <w:tab/>
      </w:r>
      <w:r w:rsidRPr="0072248A">
        <w:t>dotace.</w:t>
      </w:r>
    </w:p>
    <w:p w14:paraId="71662EAB" w14:textId="77777777" w:rsidR="00A41308" w:rsidRDefault="00A41308" w:rsidP="005C4E21">
      <w:pPr>
        <w:pStyle w:val="Textparagrafu"/>
        <w:tabs>
          <w:tab w:val="left" w:pos="392"/>
          <w:tab w:val="left" w:pos="840"/>
        </w:tabs>
        <w:spacing w:before="120" w:after="120"/>
      </w:pPr>
      <w:r w:rsidRPr="0072248A">
        <w:t>(5)</w:t>
      </w:r>
      <w:r>
        <w:t xml:space="preserve"> </w:t>
      </w:r>
      <w:r w:rsidRPr="0072248A">
        <w:t>Předmět</w:t>
      </w:r>
      <w:r>
        <w:t xml:space="preserve"> </w:t>
      </w:r>
      <w:r w:rsidRPr="0072248A">
        <w:t>podnikání</w:t>
      </w:r>
      <w:r>
        <w:t xml:space="preserve"> </w:t>
      </w:r>
      <w:r w:rsidRPr="0072248A">
        <w:t>a</w:t>
      </w:r>
      <w:r>
        <w:t xml:space="preserve"> </w:t>
      </w:r>
      <w:r w:rsidRPr="0072248A">
        <w:t>jiné</w:t>
      </w:r>
      <w:r>
        <w:t xml:space="preserve"> </w:t>
      </w:r>
      <w:r w:rsidRPr="0072248A">
        <w:t>výdělečné</w:t>
      </w:r>
      <w:r>
        <w:t xml:space="preserve"> </w:t>
      </w:r>
      <w:r w:rsidRPr="0072248A">
        <w:t>činnosti</w:t>
      </w:r>
      <w:r>
        <w:t xml:space="preserve"> </w:t>
      </w:r>
      <w:r w:rsidRPr="0072248A">
        <w:t>musí</w:t>
      </w:r>
      <w:r>
        <w:t xml:space="preserve"> </w:t>
      </w:r>
      <w:r w:rsidRPr="0072248A">
        <w:t>být</w:t>
      </w:r>
      <w:r>
        <w:t xml:space="preserve"> </w:t>
      </w:r>
      <w:r w:rsidRPr="0072248A">
        <w:t>vymezen</w:t>
      </w:r>
      <w:r>
        <w:t xml:space="preserve"> </w:t>
      </w:r>
      <w:r w:rsidRPr="0072248A">
        <w:t>v</w:t>
      </w:r>
      <w:r>
        <w:t xml:space="preserve"> </w:t>
      </w:r>
      <w:r w:rsidRPr="0072248A">
        <w:t>základním</w:t>
      </w:r>
      <w:r>
        <w:t xml:space="preserve"> </w:t>
      </w:r>
      <w:r w:rsidRPr="0072248A">
        <w:t>dokumentu</w:t>
      </w:r>
      <w:r>
        <w:t xml:space="preserve"> </w:t>
      </w:r>
      <w:r w:rsidRPr="0072248A">
        <w:t>registrované</w:t>
      </w:r>
      <w:r>
        <w:t xml:space="preserve"> </w:t>
      </w:r>
      <w:r w:rsidRPr="0072248A">
        <w:t>církve</w:t>
      </w:r>
      <w:r>
        <w:t xml:space="preserve"> </w:t>
      </w:r>
      <w:r w:rsidRPr="0072248A">
        <w:t>a</w:t>
      </w:r>
      <w:r>
        <w:t xml:space="preserve"> </w:t>
      </w:r>
      <w:r w:rsidRPr="0072248A">
        <w:t>náboženské</w:t>
      </w:r>
      <w:r>
        <w:t xml:space="preserve"> </w:t>
      </w:r>
      <w:r w:rsidRPr="0072248A">
        <w:t>společnosti.</w:t>
      </w:r>
      <w:r>
        <w:t xml:space="preserve"> </w:t>
      </w:r>
      <w:r w:rsidRPr="0072248A">
        <w:t>Podnikání</w:t>
      </w:r>
      <w:r>
        <w:t xml:space="preserve"> </w:t>
      </w:r>
      <w:r w:rsidRPr="0072248A">
        <w:t>a</w:t>
      </w:r>
      <w:r>
        <w:t xml:space="preserve"> </w:t>
      </w:r>
      <w:r w:rsidRPr="0072248A">
        <w:t>jiná</w:t>
      </w:r>
      <w:r>
        <w:t xml:space="preserve"> </w:t>
      </w:r>
      <w:r w:rsidRPr="0072248A">
        <w:t>výdělečná</w:t>
      </w:r>
      <w:r>
        <w:t xml:space="preserve"> </w:t>
      </w:r>
      <w:r w:rsidRPr="0072248A">
        <w:t>činnost</w:t>
      </w:r>
      <w:r>
        <w:t xml:space="preserve"> </w:t>
      </w:r>
      <w:r w:rsidRPr="0072248A">
        <w:t>církve</w:t>
      </w:r>
      <w:r>
        <w:t xml:space="preserve"> </w:t>
      </w:r>
      <w:r w:rsidRPr="0072248A">
        <w:t>a</w:t>
      </w:r>
      <w:r>
        <w:t xml:space="preserve"> </w:t>
      </w:r>
      <w:r w:rsidRPr="0072248A">
        <w:t>náboženské</w:t>
      </w:r>
      <w:r>
        <w:t xml:space="preserve"> </w:t>
      </w:r>
      <w:r w:rsidRPr="0072248A">
        <w:t>společnosti</w:t>
      </w:r>
      <w:r>
        <w:t xml:space="preserve"> </w:t>
      </w:r>
      <w:r w:rsidRPr="0072248A">
        <w:t>mohou</w:t>
      </w:r>
      <w:r>
        <w:t xml:space="preserve"> </w:t>
      </w:r>
      <w:r w:rsidRPr="0072248A">
        <w:t>být</w:t>
      </w:r>
      <w:r>
        <w:t xml:space="preserve"> </w:t>
      </w:r>
      <w:r w:rsidRPr="0072248A">
        <w:t>pouze</w:t>
      </w:r>
      <w:r>
        <w:t xml:space="preserve"> </w:t>
      </w:r>
      <w:r w:rsidRPr="0072248A">
        <w:t>její</w:t>
      </w:r>
      <w:r>
        <w:t xml:space="preserve"> </w:t>
      </w:r>
      <w:r w:rsidRPr="0072248A">
        <w:t>doplňkovou</w:t>
      </w:r>
      <w:r>
        <w:t xml:space="preserve"> </w:t>
      </w:r>
      <w:r w:rsidRPr="0072248A">
        <w:t>výdělečnou</w:t>
      </w:r>
      <w:r>
        <w:t xml:space="preserve"> </w:t>
      </w:r>
      <w:r w:rsidRPr="0072248A">
        <w:t>činností.</w:t>
      </w:r>
    </w:p>
    <w:p w14:paraId="7819587E" w14:textId="77777777" w:rsidR="00A41308" w:rsidRPr="004077B5" w:rsidRDefault="00A41308" w:rsidP="005C4E21">
      <w:pPr>
        <w:pStyle w:val="Textparagrafu"/>
        <w:tabs>
          <w:tab w:val="left" w:pos="392"/>
          <w:tab w:val="left" w:pos="840"/>
        </w:tabs>
        <w:spacing w:before="120" w:after="120"/>
        <w:rPr>
          <w:strike/>
        </w:rPr>
      </w:pPr>
      <w:r w:rsidRPr="004077B5">
        <w:rPr>
          <w:strike/>
        </w:rPr>
        <w:t xml:space="preserve">(6) Církev a náboženská společnost vede účetnictví podle zvláštních </w:t>
      </w:r>
      <w:proofErr w:type="gramStart"/>
      <w:r w:rsidRPr="004077B5">
        <w:rPr>
          <w:strike/>
        </w:rPr>
        <w:t>předpisů.</w:t>
      </w:r>
      <w:r w:rsidRPr="004077B5">
        <w:rPr>
          <w:strike/>
          <w:vertAlign w:val="superscript"/>
        </w:rPr>
        <w:t>14</w:t>
      </w:r>
      <w:proofErr w:type="gramEnd"/>
      <w:r w:rsidRPr="004077B5">
        <w:rPr>
          <w:strike/>
          <w:vertAlign w:val="superscript"/>
        </w:rPr>
        <w:t>)</w:t>
      </w:r>
    </w:p>
    <w:p w14:paraId="7F64DC12" w14:textId="1C777223" w:rsidR="00A41308" w:rsidRDefault="00A41308" w:rsidP="005C4E21">
      <w:pPr>
        <w:pStyle w:val="Textparagrafu"/>
        <w:tabs>
          <w:tab w:val="left" w:pos="392"/>
          <w:tab w:val="left" w:pos="840"/>
        </w:tabs>
        <w:spacing w:before="120" w:after="120"/>
      </w:pPr>
      <w:proofErr w:type="gramStart"/>
      <w:r w:rsidRPr="004077B5">
        <w:rPr>
          <w:strike/>
        </w:rPr>
        <w:t>(7)</w:t>
      </w:r>
      <w:r w:rsidR="004077B5">
        <w:rPr>
          <w:b/>
        </w:rPr>
        <w:t>(6)</w:t>
      </w:r>
      <w:r>
        <w:t xml:space="preserve"> </w:t>
      </w:r>
      <w:r w:rsidRPr="0072248A">
        <w:t>Ministerstvo</w:t>
      </w:r>
      <w:proofErr w:type="gramEnd"/>
      <w:r>
        <w:t xml:space="preserve"> </w:t>
      </w:r>
      <w:r w:rsidRPr="0072248A">
        <w:t>může</w:t>
      </w:r>
      <w:r>
        <w:t xml:space="preserve"> </w:t>
      </w:r>
      <w:r w:rsidRPr="0072248A">
        <w:t>přidělit</w:t>
      </w:r>
      <w:r>
        <w:t xml:space="preserve"> </w:t>
      </w:r>
      <w:r w:rsidRPr="0072248A">
        <w:t>identifikační</w:t>
      </w:r>
      <w:r>
        <w:t xml:space="preserve"> </w:t>
      </w:r>
      <w:r w:rsidRPr="0072248A">
        <w:t>číslo</w:t>
      </w:r>
      <w:r>
        <w:t xml:space="preserve"> </w:t>
      </w:r>
      <w:r w:rsidRPr="0072248A">
        <w:t>pouze</w:t>
      </w:r>
      <w:r>
        <w:t xml:space="preserve"> </w:t>
      </w:r>
      <w:r w:rsidRPr="0072248A">
        <w:t>právnickým</w:t>
      </w:r>
      <w:r>
        <w:t xml:space="preserve"> </w:t>
      </w:r>
      <w:r w:rsidRPr="0072248A">
        <w:t>osobám</w:t>
      </w:r>
      <w:r>
        <w:t xml:space="preserve"> </w:t>
      </w:r>
      <w:r w:rsidRPr="0072248A">
        <w:t>podle</w:t>
      </w:r>
      <w:r>
        <w:t xml:space="preserve"> </w:t>
      </w:r>
      <w:r w:rsidRPr="0072248A">
        <w:t>tohoto</w:t>
      </w:r>
      <w:r>
        <w:t xml:space="preserve"> </w:t>
      </w:r>
      <w:r w:rsidRPr="0072248A">
        <w:t>zákona.</w:t>
      </w:r>
      <w:r>
        <w:t xml:space="preserve"> </w:t>
      </w:r>
      <w:r w:rsidRPr="0072248A">
        <w:t>Přidělování</w:t>
      </w:r>
      <w:r>
        <w:t xml:space="preserve"> </w:t>
      </w:r>
      <w:r w:rsidRPr="0072248A">
        <w:t>a</w:t>
      </w:r>
      <w:r>
        <w:t xml:space="preserve"> </w:t>
      </w:r>
      <w:r w:rsidRPr="0072248A">
        <w:t>zrušování</w:t>
      </w:r>
      <w:r>
        <w:t xml:space="preserve"> </w:t>
      </w:r>
      <w:r w:rsidRPr="0072248A">
        <w:t>identifikačních</w:t>
      </w:r>
      <w:r>
        <w:t xml:space="preserve"> </w:t>
      </w:r>
      <w:r w:rsidRPr="0072248A">
        <w:t>čísel</w:t>
      </w:r>
      <w:r>
        <w:t xml:space="preserve"> </w:t>
      </w:r>
      <w:r w:rsidRPr="0072248A">
        <w:t>se</w:t>
      </w:r>
      <w:r>
        <w:t xml:space="preserve"> </w:t>
      </w:r>
      <w:r w:rsidRPr="0072248A">
        <w:t>řídí</w:t>
      </w:r>
      <w:r>
        <w:t xml:space="preserve"> </w:t>
      </w:r>
      <w:r w:rsidRPr="0072248A">
        <w:t>zvláštním</w:t>
      </w:r>
      <w:r>
        <w:t xml:space="preserve"> </w:t>
      </w:r>
      <w:r w:rsidRPr="0072248A">
        <w:t>právním</w:t>
      </w:r>
      <w:r>
        <w:t xml:space="preserve"> </w:t>
      </w:r>
      <w:r w:rsidRPr="0072248A">
        <w:t>předpisem.</w:t>
      </w:r>
      <w:r w:rsidR="005651C1">
        <w:rPr>
          <w:rStyle w:val="Znakapoznpodarou"/>
        </w:rPr>
        <w:footnoteReference w:customMarkFollows="1" w:id="406"/>
        <w:t>15)</w:t>
      </w:r>
    </w:p>
    <w:p w14:paraId="5B5B99F2" w14:textId="3AF8FD9F" w:rsidR="00A41308" w:rsidRDefault="00A41308" w:rsidP="005C4E21">
      <w:pPr>
        <w:pStyle w:val="Textparagrafu"/>
        <w:tabs>
          <w:tab w:val="left" w:pos="392"/>
          <w:tab w:val="left" w:pos="840"/>
        </w:tabs>
        <w:spacing w:before="120" w:after="120"/>
      </w:pPr>
      <w:proofErr w:type="gramStart"/>
      <w:r w:rsidRPr="004077B5">
        <w:rPr>
          <w:strike/>
        </w:rPr>
        <w:t>(8)</w:t>
      </w:r>
      <w:r w:rsidR="004077B5">
        <w:rPr>
          <w:b/>
        </w:rPr>
        <w:t>(7)</w:t>
      </w:r>
      <w:r>
        <w:t xml:space="preserve"> </w:t>
      </w:r>
      <w:r w:rsidRPr="0072248A">
        <w:t>Ministerstvo</w:t>
      </w:r>
      <w:proofErr w:type="gramEnd"/>
      <w:r>
        <w:t xml:space="preserve"> </w:t>
      </w:r>
      <w:r w:rsidRPr="0072248A">
        <w:t>se</w:t>
      </w:r>
      <w:r>
        <w:t xml:space="preserve"> </w:t>
      </w:r>
      <w:r w:rsidRPr="0072248A">
        <w:t>souhlasem</w:t>
      </w:r>
      <w:r>
        <w:t xml:space="preserve"> </w:t>
      </w:r>
      <w:r w:rsidRPr="0072248A">
        <w:t>vlády</w:t>
      </w:r>
      <w:r>
        <w:t xml:space="preserve"> </w:t>
      </w:r>
      <w:r w:rsidRPr="0072248A">
        <w:t>může</w:t>
      </w:r>
      <w:r>
        <w:t xml:space="preserve"> </w:t>
      </w:r>
      <w:r w:rsidRPr="0072248A">
        <w:t>učinit</w:t>
      </w:r>
      <w:r>
        <w:t xml:space="preserve"> </w:t>
      </w:r>
      <w:r w:rsidRPr="0072248A">
        <w:t>výjimku</w:t>
      </w:r>
      <w:r>
        <w:t xml:space="preserve"> </w:t>
      </w:r>
      <w:r w:rsidRPr="0072248A">
        <w:t>a</w:t>
      </w:r>
      <w:r>
        <w:t xml:space="preserve"> </w:t>
      </w:r>
      <w:r w:rsidRPr="0072248A">
        <w:t>přiznat</w:t>
      </w:r>
      <w:r>
        <w:t xml:space="preserve"> </w:t>
      </w:r>
      <w:r w:rsidRPr="0072248A">
        <w:t>oprávnění</w:t>
      </w:r>
      <w:r>
        <w:t xml:space="preserve"> </w:t>
      </w:r>
      <w:r w:rsidRPr="0072248A">
        <w:t>ke</w:t>
      </w:r>
      <w:r>
        <w:t xml:space="preserve"> </w:t>
      </w:r>
      <w:r w:rsidRPr="0072248A">
        <w:t>zvláštním</w:t>
      </w:r>
      <w:r>
        <w:t xml:space="preserve"> </w:t>
      </w:r>
      <w:r w:rsidRPr="0072248A">
        <w:t>právům</w:t>
      </w:r>
      <w:r>
        <w:t xml:space="preserve"> </w:t>
      </w:r>
      <w:r w:rsidRPr="0072248A">
        <w:t>podle</w:t>
      </w:r>
      <w:r>
        <w:t xml:space="preserve"> </w:t>
      </w:r>
      <w:r w:rsidRPr="0072248A">
        <w:t>§</w:t>
      </w:r>
      <w:r>
        <w:t xml:space="preserve"> </w:t>
      </w:r>
      <w:r w:rsidRPr="0072248A">
        <w:t>7</w:t>
      </w:r>
      <w:r>
        <w:t xml:space="preserve"> </w:t>
      </w:r>
      <w:r w:rsidRPr="0072248A">
        <w:t>odst.</w:t>
      </w:r>
      <w:r>
        <w:t xml:space="preserve"> </w:t>
      </w:r>
      <w:r w:rsidRPr="0072248A">
        <w:t>1</w:t>
      </w:r>
      <w:r>
        <w:t xml:space="preserve"> </w:t>
      </w:r>
      <w:r w:rsidRPr="0072248A">
        <w:t>církvím</w:t>
      </w:r>
      <w:r>
        <w:t xml:space="preserve"> </w:t>
      </w:r>
      <w:r w:rsidRPr="0072248A">
        <w:t>a</w:t>
      </w:r>
      <w:r>
        <w:t xml:space="preserve"> </w:t>
      </w:r>
      <w:r w:rsidRPr="0072248A">
        <w:t>náboženským</w:t>
      </w:r>
      <w:r>
        <w:t xml:space="preserve"> </w:t>
      </w:r>
      <w:r w:rsidRPr="0072248A">
        <w:t>společnostem,</w:t>
      </w:r>
      <w:r>
        <w:t xml:space="preserve"> </w:t>
      </w:r>
      <w:r w:rsidRPr="0072248A">
        <w:t>které</w:t>
      </w:r>
      <w:r>
        <w:t xml:space="preserve"> </w:t>
      </w:r>
      <w:r w:rsidRPr="0072248A">
        <w:t>reprezentují</w:t>
      </w:r>
      <w:r>
        <w:t xml:space="preserve"> </w:t>
      </w:r>
      <w:r w:rsidRPr="0072248A">
        <w:t>významné</w:t>
      </w:r>
      <w:r>
        <w:t xml:space="preserve"> </w:t>
      </w:r>
      <w:r w:rsidRPr="0072248A">
        <w:t>světové</w:t>
      </w:r>
      <w:r>
        <w:t xml:space="preserve"> </w:t>
      </w:r>
      <w:r w:rsidRPr="0072248A">
        <w:t>náboženství</w:t>
      </w:r>
      <w:r>
        <w:t xml:space="preserve"> </w:t>
      </w:r>
      <w:r w:rsidRPr="0072248A">
        <w:t>s</w:t>
      </w:r>
      <w:r>
        <w:t xml:space="preserve"> </w:t>
      </w:r>
      <w:r w:rsidRPr="0072248A">
        <w:t>dlouhou</w:t>
      </w:r>
      <w:r>
        <w:t xml:space="preserve"> </w:t>
      </w:r>
      <w:r w:rsidRPr="0072248A">
        <w:t>historickou</w:t>
      </w:r>
      <w:r>
        <w:t xml:space="preserve"> </w:t>
      </w:r>
      <w:r w:rsidRPr="0072248A">
        <w:t>tradicí,</w:t>
      </w:r>
      <w:r>
        <w:t xml:space="preserve"> </w:t>
      </w:r>
      <w:r w:rsidRPr="0072248A">
        <w:t>působí</w:t>
      </w:r>
      <w:r>
        <w:t xml:space="preserve"> </w:t>
      </w:r>
      <w:r w:rsidRPr="0072248A">
        <w:t>na</w:t>
      </w:r>
      <w:r>
        <w:t xml:space="preserve"> </w:t>
      </w:r>
      <w:r w:rsidRPr="0072248A">
        <w:t>území</w:t>
      </w:r>
      <w:r>
        <w:t xml:space="preserve"> </w:t>
      </w:r>
      <w:r w:rsidRPr="0072248A">
        <w:t>České</w:t>
      </w:r>
      <w:r>
        <w:t xml:space="preserve"> </w:t>
      </w:r>
      <w:r w:rsidRPr="0072248A">
        <w:t>republiky</w:t>
      </w:r>
      <w:r>
        <w:t xml:space="preserve"> </w:t>
      </w:r>
      <w:r w:rsidRPr="0072248A">
        <w:t>a</w:t>
      </w:r>
      <w:r>
        <w:t xml:space="preserve"> </w:t>
      </w:r>
      <w:r w:rsidRPr="0072248A">
        <w:t>jsou</w:t>
      </w:r>
      <w:r>
        <w:t xml:space="preserve"> </w:t>
      </w:r>
      <w:r w:rsidRPr="0072248A">
        <w:t>registrovány</w:t>
      </w:r>
      <w:r>
        <w:t xml:space="preserve"> </w:t>
      </w:r>
      <w:r w:rsidRPr="0072248A">
        <w:t>podle</w:t>
      </w:r>
      <w:r>
        <w:t xml:space="preserve"> </w:t>
      </w:r>
      <w:r w:rsidRPr="0072248A">
        <w:t>tohoto</w:t>
      </w:r>
      <w:r>
        <w:t xml:space="preserve"> </w:t>
      </w:r>
      <w:r w:rsidRPr="0072248A">
        <w:t>zákona.</w:t>
      </w:r>
      <w:r>
        <w:t xml:space="preserve"> </w:t>
      </w:r>
      <w:r w:rsidRPr="0072248A">
        <w:t>V</w:t>
      </w:r>
      <w:r>
        <w:t xml:space="preserve"> </w:t>
      </w:r>
      <w:r w:rsidRPr="0072248A">
        <w:t>tomto</w:t>
      </w:r>
      <w:r>
        <w:t xml:space="preserve"> </w:t>
      </w:r>
      <w:r w:rsidRPr="0072248A">
        <w:t>případě</w:t>
      </w:r>
      <w:r>
        <w:t xml:space="preserve"> </w:t>
      </w:r>
      <w:r w:rsidRPr="0072248A">
        <w:t>se</w:t>
      </w:r>
      <w:r>
        <w:t xml:space="preserve"> </w:t>
      </w:r>
      <w:r w:rsidRPr="0072248A">
        <w:t>nevyžaduje</w:t>
      </w:r>
      <w:r>
        <w:t xml:space="preserve"> </w:t>
      </w:r>
      <w:r w:rsidRPr="0072248A">
        <w:t>splnění</w:t>
      </w:r>
      <w:r>
        <w:t xml:space="preserve"> </w:t>
      </w:r>
      <w:r w:rsidRPr="0072248A">
        <w:t>podmínek</w:t>
      </w:r>
      <w:r>
        <w:t xml:space="preserve"> </w:t>
      </w:r>
      <w:r w:rsidRPr="0072248A">
        <w:t>podle</w:t>
      </w:r>
      <w:r>
        <w:t xml:space="preserve"> </w:t>
      </w:r>
      <w:r w:rsidRPr="0072248A">
        <w:t>§</w:t>
      </w:r>
      <w:r>
        <w:t xml:space="preserve"> </w:t>
      </w:r>
      <w:r w:rsidRPr="0072248A">
        <w:t>11</w:t>
      </w:r>
      <w:r>
        <w:t xml:space="preserve"> </w:t>
      </w:r>
      <w:r w:rsidRPr="0072248A">
        <w:t>odst.</w:t>
      </w:r>
      <w:r>
        <w:t xml:space="preserve"> </w:t>
      </w:r>
      <w:r w:rsidRPr="0072248A">
        <w:t>1</w:t>
      </w:r>
      <w:r>
        <w:t xml:space="preserve"> </w:t>
      </w:r>
      <w:r w:rsidRPr="0072248A">
        <w:t>a</w:t>
      </w:r>
      <w:r>
        <w:t xml:space="preserve"> </w:t>
      </w:r>
      <w:r w:rsidRPr="0072248A">
        <w:t>4.</w:t>
      </w:r>
      <w:r>
        <w:t xml:space="preserve"> </w:t>
      </w:r>
      <w:r w:rsidRPr="0072248A">
        <w:t>Návrh</w:t>
      </w:r>
      <w:r>
        <w:t xml:space="preserve"> </w:t>
      </w:r>
      <w:r w:rsidRPr="0072248A">
        <w:t>na</w:t>
      </w:r>
      <w:r>
        <w:t xml:space="preserve"> </w:t>
      </w:r>
      <w:r w:rsidRPr="0072248A">
        <w:t>přiznání</w:t>
      </w:r>
      <w:r>
        <w:t xml:space="preserve"> </w:t>
      </w:r>
      <w:r w:rsidRPr="0072248A">
        <w:t>oprávnění</w:t>
      </w:r>
      <w:r>
        <w:t xml:space="preserve"> </w:t>
      </w:r>
      <w:r w:rsidRPr="0072248A">
        <w:t>k</w:t>
      </w:r>
      <w:r>
        <w:t xml:space="preserve"> </w:t>
      </w:r>
      <w:r w:rsidRPr="0072248A">
        <w:t>výkonu</w:t>
      </w:r>
      <w:r>
        <w:t xml:space="preserve"> </w:t>
      </w:r>
      <w:r w:rsidRPr="0072248A">
        <w:t>zvláštních</w:t>
      </w:r>
      <w:r>
        <w:t xml:space="preserve"> </w:t>
      </w:r>
      <w:r w:rsidRPr="0072248A">
        <w:t>práv</w:t>
      </w:r>
      <w:r>
        <w:t xml:space="preserve"> </w:t>
      </w:r>
      <w:r w:rsidRPr="0072248A">
        <w:t>může</w:t>
      </w:r>
      <w:r>
        <w:t xml:space="preserve"> </w:t>
      </w:r>
      <w:r w:rsidRPr="0072248A">
        <w:t>podat</w:t>
      </w:r>
      <w:r>
        <w:t xml:space="preserve"> </w:t>
      </w:r>
      <w:r w:rsidRPr="0072248A">
        <w:t>registrovaná</w:t>
      </w:r>
      <w:r>
        <w:t xml:space="preserve"> </w:t>
      </w:r>
      <w:r w:rsidRPr="0072248A">
        <w:t>církev</w:t>
      </w:r>
      <w:r>
        <w:t xml:space="preserve"> </w:t>
      </w:r>
      <w:r w:rsidRPr="0072248A">
        <w:t>a</w:t>
      </w:r>
      <w:r>
        <w:t xml:space="preserve"> </w:t>
      </w:r>
      <w:r w:rsidRPr="0072248A">
        <w:t>náboženská</w:t>
      </w:r>
      <w:r>
        <w:t xml:space="preserve"> </w:t>
      </w:r>
      <w:r w:rsidRPr="0072248A">
        <w:t>společnost,</w:t>
      </w:r>
      <w:r>
        <w:t xml:space="preserve"> </w:t>
      </w:r>
      <w:r w:rsidRPr="0072248A">
        <w:t>která</w:t>
      </w:r>
      <w:r>
        <w:t xml:space="preserve"> </w:t>
      </w:r>
      <w:r w:rsidRPr="0072248A">
        <w:t>plní</w:t>
      </w:r>
      <w:r>
        <w:t xml:space="preserve"> </w:t>
      </w:r>
      <w:r w:rsidRPr="0072248A">
        <w:t>řádně</w:t>
      </w:r>
      <w:r>
        <w:t xml:space="preserve"> </w:t>
      </w:r>
      <w:r w:rsidRPr="0072248A">
        <w:t>závazky</w:t>
      </w:r>
      <w:r>
        <w:t xml:space="preserve"> </w:t>
      </w:r>
      <w:r w:rsidRPr="0072248A">
        <w:t>vůči</w:t>
      </w:r>
      <w:r>
        <w:t xml:space="preserve"> </w:t>
      </w:r>
      <w:r w:rsidRPr="0072248A">
        <w:t>státu</w:t>
      </w:r>
      <w:r>
        <w:t xml:space="preserve"> </w:t>
      </w:r>
      <w:r w:rsidRPr="0072248A">
        <w:t>a</w:t>
      </w:r>
      <w:r>
        <w:t xml:space="preserve"> </w:t>
      </w:r>
      <w:r w:rsidRPr="0072248A">
        <w:t>třetím</w:t>
      </w:r>
      <w:r>
        <w:t xml:space="preserve"> </w:t>
      </w:r>
      <w:r w:rsidRPr="0072248A">
        <w:t>osobám.</w:t>
      </w:r>
      <w:r>
        <w:t xml:space="preserve"> </w:t>
      </w:r>
      <w:r w:rsidRPr="0072248A">
        <w:t>Výjimku</w:t>
      </w:r>
      <w:r>
        <w:t xml:space="preserve"> </w:t>
      </w:r>
      <w:r w:rsidRPr="0072248A">
        <w:t>podle</w:t>
      </w:r>
      <w:r>
        <w:t xml:space="preserve"> </w:t>
      </w:r>
      <w:r w:rsidRPr="0072248A">
        <w:t>tohoto</w:t>
      </w:r>
      <w:r>
        <w:t xml:space="preserve"> </w:t>
      </w:r>
      <w:r w:rsidRPr="0072248A">
        <w:t>odstavce</w:t>
      </w:r>
      <w:r>
        <w:t xml:space="preserve"> </w:t>
      </w:r>
      <w:r w:rsidRPr="0072248A">
        <w:t>lze</w:t>
      </w:r>
      <w:r>
        <w:t xml:space="preserve"> </w:t>
      </w:r>
      <w:r w:rsidRPr="0072248A">
        <w:t>udělit</w:t>
      </w:r>
      <w:r>
        <w:t xml:space="preserve"> </w:t>
      </w:r>
      <w:r w:rsidRPr="0072248A">
        <w:t>pouze</w:t>
      </w:r>
      <w:r>
        <w:t xml:space="preserve"> </w:t>
      </w:r>
      <w:r w:rsidRPr="0072248A">
        <w:t>do</w:t>
      </w:r>
      <w:r>
        <w:t xml:space="preserve"> </w:t>
      </w:r>
      <w:r w:rsidRPr="0072248A">
        <w:t>5</w:t>
      </w:r>
      <w:r>
        <w:t xml:space="preserve"> </w:t>
      </w:r>
      <w:r w:rsidRPr="0072248A">
        <w:t>let</w:t>
      </w:r>
      <w:r>
        <w:t xml:space="preserve"> </w:t>
      </w:r>
      <w:r w:rsidRPr="0072248A">
        <w:t>od</w:t>
      </w:r>
      <w:r>
        <w:t xml:space="preserve"> </w:t>
      </w:r>
      <w:r w:rsidRPr="0072248A">
        <w:t>nabytí</w:t>
      </w:r>
      <w:r>
        <w:t xml:space="preserve"> </w:t>
      </w:r>
      <w:r w:rsidRPr="0072248A">
        <w:t>účinnosti</w:t>
      </w:r>
      <w:r>
        <w:t xml:space="preserve"> </w:t>
      </w:r>
      <w:r w:rsidRPr="0072248A">
        <w:t>tohoto</w:t>
      </w:r>
      <w:r>
        <w:t xml:space="preserve"> </w:t>
      </w:r>
      <w:r w:rsidRPr="0072248A">
        <w:t>zákona.</w:t>
      </w:r>
    </w:p>
    <w:p w14:paraId="642DB90C" w14:textId="30F8562C" w:rsidR="00A41308" w:rsidRPr="0072248A" w:rsidRDefault="00A41308" w:rsidP="005C4E21">
      <w:pPr>
        <w:pStyle w:val="Textparagrafu"/>
        <w:tabs>
          <w:tab w:val="left" w:pos="392"/>
          <w:tab w:val="left" w:pos="840"/>
        </w:tabs>
        <w:spacing w:before="120" w:after="120"/>
      </w:pPr>
      <w:proofErr w:type="gramStart"/>
      <w:r w:rsidRPr="004077B5">
        <w:rPr>
          <w:strike/>
        </w:rPr>
        <w:t>(9)</w:t>
      </w:r>
      <w:r w:rsidR="004077B5">
        <w:rPr>
          <w:b/>
        </w:rPr>
        <w:t>(8)</w:t>
      </w:r>
      <w:r>
        <w:t xml:space="preserve"> </w:t>
      </w:r>
      <w:r w:rsidRPr="0072248A">
        <w:t>Ministerstvo</w:t>
      </w:r>
      <w:proofErr w:type="gramEnd"/>
      <w:r>
        <w:t xml:space="preserve"> </w:t>
      </w:r>
      <w:r w:rsidRPr="0072248A">
        <w:t>sdělí</w:t>
      </w:r>
      <w:r>
        <w:t xml:space="preserve"> </w:t>
      </w:r>
      <w:r w:rsidRPr="0072248A">
        <w:t>Českému</w:t>
      </w:r>
      <w:r>
        <w:t xml:space="preserve"> </w:t>
      </w:r>
      <w:r w:rsidRPr="0072248A">
        <w:t>statistickému</w:t>
      </w:r>
      <w:r>
        <w:t xml:space="preserve"> </w:t>
      </w:r>
      <w:r w:rsidRPr="0072248A">
        <w:t>úřadu</w:t>
      </w:r>
      <w:r>
        <w:t xml:space="preserve"> </w:t>
      </w:r>
      <w:r w:rsidRPr="0072248A">
        <w:t>údaje</w:t>
      </w:r>
      <w:r>
        <w:t xml:space="preserve"> </w:t>
      </w:r>
      <w:r w:rsidRPr="0072248A">
        <w:t>o</w:t>
      </w:r>
      <w:r>
        <w:t xml:space="preserve"> </w:t>
      </w:r>
      <w:r w:rsidRPr="0072248A">
        <w:t>zapsaných</w:t>
      </w:r>
      <w:r>
        <w:t xml:space="preserve"> </w:t>
      </w:r>
      <w:r w:rsidRPr="0072248A">
        <w:t>právnických</w:t>
      </w:r>
      <w:r>
        <w:t xml:space="preserve"> </w:t>
      </w:r>
      <w:r w:rsidRPr="0072248A">
        <w:t>osobách</w:t>
      </w:r>
      <w:r>
        <w:t xml:space="preserve"> </w:t>
      </w:r>
      <w:r w:rsidRPr="0072248A">
        <w:t>nejpozději</w:t>
      </w:r>
      <w:r>
        <w:t xml:space="preserve"> </w:t>
      </w:r>
      <w:r w:rsidRPr="0072248A">
        <w:t>do</w:t>
      </w:r>
      <w:r>
        <w:t xml:space="preserve"> </w:t>
      </w:r>
      <w:r w:rsidRPr="0072248A">
        <w:t>30</w:t>
      </w:r>
      <w:r>
        <w:t xml:space="preserve"> </w:t>
      </w:r>
      <w:r w:rsidRPr="0072248A">
        <w:t>pracovních</w:t>
      </w:r>
      <w:r>
        <w:t xml:space="preserve"> </w:t>
      </w:r>
      <w:r w:rsidRPr="0072248A">
        <w:t>dnů</w:t>
      </w:r>
      <w:r>
        <w:t xml:space="preserve"> </w:t>
      </w:r>
      <w:r w:rsidRPr="0072248A">
        <w:t>od</w:t>
      </w:r>
      <w:r>
        <w:t xml:space="preserve"> </w:t>
      </w:r>
      <w:r w:rsidRPr="0072248A">
        <w:t>provedení</w:t>
      </w:r>
      <w:r>
        <w:t xml:space="preserve"> </w:t>
      </w:r>
      <w:r w:rsidRPr="0072248A">
        <w:t>zápisu</w:t>
      </w:r>
      <w:r>
        <w:t xml:space="preserve"> </w:t>
      </w:r>
      <w:r w:rsidRPr="0072248A">
        <w:t>do</w:t>
      </w:r>
      <w:r>
        <w:t xml:space="preserve"> </w:t>
      </w:r>
      <w:r w:rsidRPr="0072248A">
        <w:t>rejstříku</w:t>
      </w:r>
      <w:r>
        <w:t xml:space="preserve"> </w:t>
      </w:r>
      <w:r w:rsidRPr="0072248A">
        <w:t>podle</w:t>
      </w:r>
      <w:r>
        <w:t xml:space="preserve"> </w:t>
      </w:r>
      <w:r w:rsidRPr="0072248A">
        <w:t>odstavce</w:t>
      </w:r>
      <w:r>
        <w:t xml:space="preserve"> </w:t>
      </w:r>
      <w:r w:rsidRPr="0072248A">
        <w:t>1</w:t>
      </w:r>
      <w:r>
        <w:t xml:space="preserve"> </w:t>
      </w:r>
      <w:r w:rsidRPr="0072248A">
        <w:t>v</w:t>
      </w:r>
      <w:r>
        <w:t xml:space="preserve"> </w:t>
      </w:r>
      <w:r w:rsidRPr="0072248A">
        <w:t>rozsahu</w:t>
      </w:r>
      <w:r>
        <w:t xml:space="preserve"> </w:t>
      </w:r>
      <w:r w:rsidRPr="0072248A">
        <w:t>údajů</w:t>
      </w:r>
      <w:r>
        <w:t xml:space="preserve"> </w:t>
      </w:r>
      <w:r w:rsidRPr="0072248A">
        <w:t>nezbytně</w:t>
      </w:r>
      <w:r>
        <w:t xml:space="preserve"> </w:t>
      </w:r>
      <w:r w:rsidRPr="0072248A">
        <w:t>nutných</w:t>
      </w:r>
      <w:r>
        <w:t xml:space="preserve"> </w:t>
      </w:r>
      <w:r w:rsidRPr="0072248A">
        <w:t>pro</w:t>
      </w:r>
      <w:r>
        <w:t xml:space="preserve"> </w:t>
      </w:r>
      <w:r w:rsidRPr="0072248A">
        <w:t>vedení</w:t>
      </w:r>
      <w:r>
        <w:t xml:space="preserve"> </w:t>
      </w:r>
      <w:r w:rsidRPr="0072248A">
        <w:t>statistických</w:t>
      </w:r>
      <w:r>
        <w:t xml:space="preserve"> </w:t>
      </w:r>
      <w:r w:rsidRPr="0072248A">
        <w:t>registrů.</w:t>
      </w:r>
    </w:p>
    <w:p w14:paraId="31D13517" w14:textId="77777777" w:rsidR="00351714" w:rsidRDefault="00351714" w:rsidP="00CB5381">
      <w:pPr>
        <w:pStyle w:val="Textparagrafu"/>
        <w:tabs>
          <w:tab w:val="left" w:pos="406"/>
          <w:tab w:val="left" w:pos="840"/>
          <w:tab w:val="left" w:pos="868"/>
        </w:tabs>
        <w:spacing w:after="120"/>
        <w:ind w:firstLine="0"/>
        <w:sectPr w:rsidR="00351714" w:rsidSect="00554E2B">
          <w:footnotePr>
            <w:numStart w:val="3"/>
          </w:footnotePr>
          <w:endnotePr>
            <w:numFmt w:val="decimal"/>
          </w:endnotePr>
          <w:pgSz w:w="11906" w:h="16838"/>
          <w:pgMar w:top="1418" w:right="1418" w:bottom="1418" w:left="1418" w:header="709" w:footer="709" w:gutter="0"/>
          <w:cols w:space="708"/>
          <w:docGrid w:linePitch="360"/>
        </w:sectPr>
      </w:pPr>
    </w:p>
    <w:p w14:paraId="41EE8DCB" w14:textId="211BC027" w:rsidR="00351714" w:rsidRPr="00F1500D" w:rsidRDefault="00351714" w:rsidP="005C4E21">
      <w:pPr>
        <w:tabs>
          <w:tab w:val="left" w:pos="851"/>
        </w:tabs>
        <w:spacing w:before="120" w:after="120"/>
        <w:ind w:firstLine="0"/>
        <w:jc w:val="center"/>
        <w:outlineLvl w:val="0"/>
        <w:rPr>
          <w:szCs w:val="24"/>
        </w:rPr>
      </w:pPr>
      <w:r w:rsidRPr="00F1500D">
        <w:rPr>
          <w:b/>
          <w:szCs w:val="24"/>
        </w:rPr>
        <w:lastRenderedPageBreak/>
        <w:t xml:space="preserve">K části šedesáté </w:t>
      </w:r>
      <w:r w:rsidR="001D4EA6">
        <w:rPr>
          <w:b/>
          <w:szCs w:val="24"/>
        </w:rPr>
        <w:t>páté</w:t>
      </w:r>
      <w:r w:rsidRPr="00F1500D">
        <w:rPr>
          <w:b/>
          <w:szCs w:val="24"/>
        </w:rPr>
        <w:t xml:space="preserve"> návrhu zákona – </w:t>
      </w:r>
      <w:r w:rsidRPr="00F1500D">
        <w:rPr>
          <w:szCs w:val="24"/>
        </w:rPr>
        <w:t>změna zákona</w:t>
      </w:r>
      <w:r w:rsidRPr="00F1500D">
        <w:t xml:space="preserve"> </w:t>
      </w:r>
      <w:r w:rsidR="005C4E21">
        <w:rPr>
          <w:szCs w:val="24"/>
        </w:rPr>
        <w:t>o soudech a soudcích</w:t>
      </w:r>
    </w:p>
    <w:p w14:paraId="77C287CC" w14:textId="3824F444" w:rsidR="00351714" w:rsidRPr="00F1500D" w:rsidRDefault="00351714" w:rsidP="00351714">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F1500D">
        <w:rPr>
          <w:b/>
          <w:szCs w:val="24"/>
        </w:rPr>
        <w:t>Platné znění</w:t>
      </w:r>
      <w:r w:rsidRPr="00F1500D">
        <w:rPr>
          <w:szCs w:val="24"/>
        </w:rPr>
        <w:t xml:space="preserve"> zákona č.6/2002 Sb., o soudech, soudcích, přísedících a státní správě soudů a o změně některých dalších zákonů (zákon o soudech a soudcích)</w:t>
      </w:r>
    </w:p>
    <w:p w14:paraId="7CE0A241" w14:textId="40A75F6D" w:rsidR="00351714" w:rsidRPr="00F1500D" w:rsidRDefault="005C4E21" w:rsidP="00351714">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AE4818">
        <w:rPr>
          <w:b/>
          <w:szCs w:val="24"/>
          <w:lang w:eastAsia="en-US"/>
        </w:rPr>
        <w:t>s vyznačením navrhovaných změn a doplnění k 1. lednu 2025</w:t>
      </w:r>
    </w:p>
    <w:p w14:paraId="132E4D6B" w14:textId="77777777" w:rsidR="00351714" w:rsidRPr="00F1500D" w:rsidRDefault="00351714" w:rsidP="00351714">
      <w:pPr>
        <w:pStyle w:val="Textparagrafu"/>
        <w:tabs>
          <w:tab w:val="left" w:pos="406"/>
          <w:tab w:val="left" w:pos="840"/>
          <w:tab w:val="left" w:pos="868"/>
        </w:tabs>
        <w:spacing w:after="120"/>
        <w:ind w:firstLine="0"/>
        <w:jc w:val="center"/>
      </w:pPr>
      <w:r w:rsidRPr="00F1500D">
        <w:t>***</w:t>
      </w:r>
    </w:p>
    <w:p w14:paraId="06593097" w14:textId="067339EF" w:rsidR="00F1500D" w:rsidRDefault="00F1500D" w:rsidP="00F1500D">
      <w:pPr>
        <w:ind w:firstLine="0"/>
        <w:jc w:val="center"/>
      </w:pPr>
      <w:r>
        <w:t>§ 8</w:t>
      </w:r>
    </w:p>
    <w:p w14:paraId="5987866E" w14:textId="25CAE1CC" w:rsidR="00F1500D" w:rsidRDefault="00F1500D" w:rsidP="005C4E21">
      <w:pPr>
        <w:spacing w:before="120" w:after="120"/>
        <w:rPr>
          <w:strike/>
        </w:rPr>
      </w:pPr>
      <w:r>
        <w:t xml:space="preserve">Soustavu soudů tvoří Nejvyšší soud, Nejvyšší správní soud, vrchní soudy, krajské soudy a okresní soudy. </w:t>
      </w:r>
      <w:r w:rsidRPr="009C5EB8">
        <w:rPr>
          <w:strike/>
        </w:rPr>
        <w:t>Soudy jsou účetními jednotkami.</w:t>
      </w:r>
    </w:p>
    <w:p w14:paraId="587B2988" w14:textId="016156DC" w:rsidR="00F1500D" w:rsidRPr="00F1500D" w:rsidRDefault="00F1500D" w:rsidP="00F1500D">
      <w:pPr>
        <w:spacing w:after="120"/>
        <w:ind w:firstLine="0"/>
        <w:jc w:val="center"/>
      </w:pPr>
      <w:r w:rsidRPr="00F1500D">
        <w:t>***</w:t>
      </w:r>
    </w:p>
    <w:p w14:paraId="23FE132E" w14:textId="2E2107F3" w:rsidR="00F1500D" w:rsidRDefault="00F1500D" w:rsidP="00F1500D">
      <w:pPr>
        <w:ind w:firstLine="0"/>
        <w:jc w:val="center"/>
      </w:pPr>
      <w:r>
        <w:t>§ 129</w:t>
      </w:r>
    </w:p>
    <w:p w14:paraId="5F7F4C80" w14:textId="3E522EAF" w:rsidR="00F1500D" w:rsidRDefault="00F1500D" w:rsidP="005C4E21">
      <w:pPr>
        <w:spacing w:before="120" w:after="120"/>
      </w:pPr>
      <w:r>
        <w:t xml:space="preserve">(1) Zřizuje se Justiční akademie se sídlem v Kroměříži. Justiční akademie je organizační složkou státu </w:t>
      </w:r>
      <w:r w:rsidRPr="000522DE">
        <w:rPr>
          <w:strike/>
        </w:rPr>
        <w:t>a účetní jednotkou</w:t>
      </w:r>
      <w:r>
        <w:t>. Dohled nad činností Justiční akademie vykonává ministerstvo.</w:t>
      </w:r>
    </w:p>
    <w:p w14:paraId="31A6BFEA" w14:textId="3112BF63" w:rsidR="00F1500D" w:rsidRDefault="00F1500D" w:rsidP="005C4E21">
      <w:pPr>
        <w:spacing w:before="120" w:after="120"/>
      </w:pPr>
      <w:r>
        <w:t>(2) Justiční akademie zejména připravuje a po organizační a odborné stránce zabezpečuje výchovně vzdělávací akce v rámci přípravy justičních kandidátů, právních čekatelů, asistentů soudců a soustavné vzdělávání soudců, státních zástupců a dalších osob, působících v justici. Justiční akademie může dále zabezpečovat vzdělávací akce pro osoby, které spolupracují s justicí, zejména policejní orgány a orgány sociálně-právní ochrany dětí. Tuto činnost vykonává Justiční akademie v úzké součinnosti se soudy a státními zastupitelstvími tak, aby co nejlépe odpovídala jejich potřebám.</w:t>
      </w:r>
    </w:p>
    <w:p w14:paraId="3E585D92" w14:textId="77777777" w:rsidR="005132B6" w:rsidRDefault="005132B6" w:rsidP="00CB5381">
      <w:pPr>
        <w:pStyle w:val="Textparagrafu"/>
        <w:tabs>
          <w:tab w:val="left" w:pos="406"/>
          <w:tab w:val="left" w:pos="840"/>
          <w:tab w:val="left" w:pos="868"/>
        </w:tabs>
        <w:spacing w:after="120"/>
        <w:ind w:firstLine="0"/>
        <w:sectPr w:rsidR="005132B6" w:rsidSect="00554E2B">
          <w:footnotePr>
            <w:numStart w:val="3"/>
          </w:footnotePr>
          <w:endnotePr>
            <w:numFmt w:val="decimal"/>
          </w:endnotePr>
          <w:pgSz w:w="11906" w:h="16838"/>
          <w:pgMar w:top="1418" w:right="1418" w:bottom="1418" w:left="1418" w:header="709" w:footer="709" w:gutter="0"/>
          <w:cols w:space="708"/>
          <w:docGrid w:linePitch="360"/>
        </w:sectPr>
      </w:pPr>
    </w:p>
    <w:p w14:paraId="5F0A763D" w14:textId="6AC04A77" w:rsidR="005132B6" w:rsidRPr="00D4116D" w:rsidRDefault="005132B6" w:rsidP="005C4E21">
      <w:pPr>
        <w:tabs>
          <w:tab w:val="left" w:pos="851"/>
        </w:tabs>
        <w:spacing w:before="120" w:after="120"/>
        <w:ind w:firstLine="0"/>
        <w:jc w:val="center"/>
        <w:outlineLvl w:val="0"/>
        <w:rPr>
          <w:szCs w:val="24"/>
        </w:rPr>
      </w:pPr>
      <w:r w:rsidRPr="00D4116D">
        <w:rPr>
          <w:b/>
          <w:szCs w:val="24"/>
        </w:rPr>
        <w:lastRenderedPageBreak/>
        <w:t xml:space="preserve">K části šedesáté </w:t>
      </w:r>
      <w:r w:rsidR="00C30B17">
        <w:rPr>
          <w:b/>
          <w:szCs w:val="24"/>
        </w:rPr>
        <w:t>šesté</w:t>
      </w:r>
      <w:r w:rsidRPr="00D4116D">
        <w:rPr>
          <w:b/>
          <w:szCs w:val="24"/>
        </w:rPr>
        <w:t xml:space="preserve"> návrhu zákona – </w:t>
      </w:r>
      <w:r w:rsidRPr="00D4116D">
        <w:rPr>
          <w:szCs w:val="24"/>
        </w:rPr>
        <w:t>změna zákona</w:t>
      </w:r>
      <w:r w:rsidRPr="00D4116D">
        <w:t xml:space="preserve"> </w:t>
      </w:r>
      <w:r w:rsidRPr="00D4116D">
        <w:rPr>
          <w:szCs w:val="24"/>
        </w:rPr>
        <w:t>o</w:t>
      </w:r>
      <w:r w:rsidR="005C4E21">
        <w:rPr>
          <w:szCs w:val="24"/>
        </w:rPr>
        <w:t xml:space="preserve"> státní pomoci při obnově území</w:t>
      </w:r>
    </w:p>
    <w:p w14:paraId="2F66F7F3" w14:textId="2518326A" w:rsidR="005132B6" w:rsidRPr="00D4116D" w:rsidRDefault="005132B6" w:rsidP="005132B6">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D4116D">
        <w:rPr>
          <w:b/>
          <w:szCs w:val="24"/>
        </w:rPr>
        <w:t>Platné znění</w:t>
      </w:r>
      <w:r w:rsidRPr="00D4116D">
        <w:rPr>
          <w:szCs w:val="24"/>
        </w:rPr>
        <w:t xml:space="preserve"> zákona č.12/2002 Sb., o státní pomoci při obnově území postiženého živelní nebo jinou pohromou a o změně zákona č. 363/1999 Sb., o pojišťovnictví a o změně některých souvisejících zákonů (zákon o pojišťovnictví), ve znění pozdějších předpisů, (zákon o státní pomoci při obnově území)</w:t>
      </w:r>
    </w:p>
    <w:p w14:paraId="1C42ED70" w14:textId="6DF59FAE" w:rsidR="005132B6" w:rsidRPr="00D4116D" w:rsidRDefault="005C4E21" w:rsidP="005132B6">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AE4818">
        <w:rPr>
          <w:b/>
          <w:szCs w:val="24"/>
          <w:lang w:eastAsia="en-US"/>
        </w:rPr>
        <w:t>s vyznačením navrhovaných změn a doplnění k 1. lednu 2025</w:t>
      </w:r>
    </w:p>
    <w:p w14:paraId="4140633B" w14:textId="77777777" w:rsidR="005132B6" w:rsidRPr="00D4116D" w:rsidRDefault="005132B6" w:rsidP="005132B6">
      <w:pPr>
        <w:pStyle w:val="Textparagrafu"/>
        <w:tabs>
          <w:tab w:val="left" w:pos="406"/>
          <w:tab w:val="left" w:pos="840"/>
          <w:tab w:val="left" w:pos="868"/>
        </w:tabs>
        <w:spacing w:after="120"/>
        <w:ind w:firstLine="0"/>
        <w:jc w:val="center"/>
      </w:pPr>
      <w:r w:rsidRPr="00D4116D">
        <w:t>***</w:t>
      </w:r>
    </w:p>
    <w:p w14:paraId="17298009" w14:textId="77777777" w:rsidR="00CB67BE" w:rsidRDefault="00CB67BE" w:rsidP="000467BB">
      <w:pPr>
        <w:pStyle w:val="Paragraf"/>
        <w:numPr>
          <w:ilvl w:val="0"/>
          <w:numId w:val="29"/>
        </w:numPr>
        <w:spacing w:after="120"/>
      </w:pPr>
      <w:r>
        <w:t>§ 2</w:t>
      </w:r>
    </w:p>
    <w:p w14:paraId="2E21960A" w14:textId="77777777" w:rsidR="00CB67BE" w:rsidRPr="00542BDB" w:rsidRDefault="00CB67BE" w:rsidP="000467BB">
      <w:pPr>
        <w:pStyle w:val="Nadpisparagrafu"/>
        <w:numPr>
          <w:ilvl w:val="0"/>
          <w:numId w:val="29"/>
        </w:numPr>
        <w:spacing w:after="120"/>
      </w:pPr>
      <w:r>
        <w:t>Zásady poskytnutí státní pomoci</w:t>
      </w:r>
    </w:p>
    <w:p w14:paraId="5985BD05" w14:textId="77777777" w:rsidR="00CB67BE" w:rsidRDefault="00CB67BE" w:rsidP="00423E87">
      <w:pPr>
        <w:pStyle w:val="Odstavec"/>
      </w:pPr>
      <w:r>
        <w:t xml:space="preserve">(1) </w:t>
      </w:r>
      <w:r w:rsidRPr="00223139">
        <w:t>Došlo-li k narušení základních funkcí zemí v důsledku živelní nebo jiné pohromy,</w:t>
      </w:r>
      <w:r>
        <w:t xml:space="preserve"> která je mimořádnou událostí,</w:t>
      </w:r>
      <w:r>
        <w:rPr>
          <w:rStyle w:val="Znakapoznpodarou"/>
        </w:rPr>
        <w:footnoteReference w:customMarkFollows="1" w:id="407"/>
        <w:t>1)</w:t>
      </w:r>
      <w:r w:rsidRPr="00223139">
        <w:t xml:space="preserve"> na základě níž byl vyhlášen stav nebezpečí</w:t>
      </w:r>
      <w:r>
        <w:rPr>
          <w:rStyle w:val="Znakapoznpodarou"/>
        </w:rPr>
        <w:footnoteReference w:customMarkFollows="1" w:id="408"/>
        <w:t>2)</w:t>
      </w:r>
      <w:r w:rsidRPr="00223139">
        <w:t xml:space="preserve"> nebo nouzový stav</w:t>
      </w:r>
      <w:r>
        <w:rPr>
          <w:rStyle w:val="Znakapoznpodarou"/>
        </w:rPr>
        <w:footnoteReference w:customMarkFollows="1" w:id="409"/>
        <w:t>3)</w:t>
      </w:r>
      <w:r>
        <w:t xml:space="preserve"> </w:t>
      </w:r>
      <w:r w:rsidRPr="00223139">
        <w:t>(dále jen "pohroma"), může stát poskytnout krajům, obcím, dalším právnickým osobám, s výjimkou právnických osob hospodařících s majetkem státu, a fyzickým osobám (dále jen "dotčené osoby") státní pomoc na obnovu majetku sloužícího k zabezpečení základních funkcí v území.</w:t>
      </w:r>
    </w:p>
    <w:p w14:paraId="7AB15C47" w14:textId="77777777" w:rsidR="00CB67BE" w:rsidRDefault="00CB67BE" w:rsidP="00423E87">
      <w:pPr>
        <w:pStyle w:val="Odstavec"/>
      </w:pPr>
      <w:r>
        <w:t>(2) Státní pomoc lze poskytnout až do výše nákladů, jež je nezbytné vynaložit na obnovu majetku poškozeného pohromou nebo na pořízení nového majetku, který bude plnit tutéž základní funkci jako majetek zničený pohromou.</w:t>
      </w:r>
    </w:p>
    <w:p w14:paraId="012E0C7A" w14:textId="77777777" w:rsidR="00CB67BE" w:rsidRDefault="00CB67BE" w:rsidP="00423E87">
      <w:pPr>
        <w:pStyle w:val="Odstavec"/>
      </w:pPr>
      <w:r>
        <w:t>(3) Státní pomoc může být poskytnuta, pokud o ni dotčená osoba požádá ministerstvo, které o jejím poskytnutí rozhoduje, a prokáže, že není schopna vlastními prostředky obnovit svůj majetek sloužící k zabezpečení základních funkcí v území.</w:t>
      </w:r>
    </w:p>
    <w:p w14:paraId="5EA16163" w14:textId="77777777" w:rsidR="00CB67BE" w:rsidRDefault="00CB67BE" w:rsidP="00423E87">
      <w:pPr>
        <w:pStyle w:val="Odstavec"/>
      </w:pPr>
      <w:r>
        <w:t>(4) K žádosti podle odstavce 3</w:t>
      </w:r>
    </w:p>
    <w:p w14:paraId="7021EE3A" w14:textId="77777777" w:rsidR="00CB67BE" w:rsidRDefault="00CB67BE" w:rsidP="00C30B17">
      <w:pPr>
        <w:pStyle w:val="Psmeno"/>
        <w:tabs>
          <w:tab w:val="left" w:pos="406"/>
        </w:tabs>
        <w:spacing w:before="0"/>
        <w:ind w:left="426" w:hanging="426"/>
      </w:pPr>
      <w:r>
        <w:t>a)</w:t>
      </w:r>
      <w:r>
        <w:tab/>
        <w:t>právnická osoba, s výjimkou kraje a obce, přiloží výpis z katastru nemovitostí, který nesmí být starší než 3 měsíce, potvrzující, že je vlastníkem nemovitosti nacházející se na území postiženém pohromou, a prokáže své příjmy dosažené za zdaňovací období bezprostředně předcházející kalendářnímu roku, v němž pohroma nastala,</w:t>
      </w:r>
    </w:p>
    <w:p w14:paraId="60BD1583" w14:textId="77777777" w:rsidR="00CB67BE" w:rsidRDefault="00CB67BE" w:rsidP="00C30B17">
      <w:pPr>
        <w:pStyle w:val="Psmeno"/>
        <w:tabs>
          <w:tab w:val="left" w:pos="406"/>
        </w:tabs>
        <w:spacing w:before="0"/>
        <w:ind w:left="426" w:hanging="426"/>
      </w:pPr>
      <w:r>
        <w:t>b)</w:t>
      </w:r>
      <w:r>
        <w:tab/>
        <w:t>fyzická osoba přiloží výpis z katastru nemovitostí, který nesmí být starší než 3 měsíce, potvrzující, že je vlastníkem nemovitosti nacházející se na území postiženém pohromou, a prokáže své příjmy dosažené za zdaňovací období bezprostředně předcházející kalendářnímu roku, v němž pohroma nastala, a to včetně příjmů plynoucích z dávek důchodového pojištění (zabezpečení) nebo nemocenského pojištění (péče).</w:t>
      </w:r>
    </w:p>
    <w:p w14:paraId="50EF38E7" w14:textId="77777777" w:rsidR="00CB67BE" w:rsidRDefault="00CB67BE" w:rsidP="00423E87">
      <w:pPr>
        <w:pStyle w:val="Odstavec"/>
      </w:pPr>
      <w:r>
        <w:t>(5) Podnikatel k žádosti o poskytnutí státní pomoci dále přiloží</w:t>
      </w:r>
    </w:p>
    <w:p w14:paraId="0466C87E" w14:textId="614D8D50" w:rsidR="00CB67BE" w:rsidRDefault="00CB67BE" w:rsidP="00C30B17">
      <w:pPr>
        <w:pStyle w:val="Psmeno"/>
        <w:tabs>
          <w:tab w:val="left" w:pos="406"/>
          <w:tab w:val="left" w:pos="854"/>
        </w:tabs>
        <w:spacing w:before="0"/>
        <w:ind w:left="426" w:hanging="426"/>
      </w:pPr>
      <w:r w:rsidRPr="00112C69">
        <w:t>a)</w:t>
      </w:r>
      <w:r w:rsidRPr="00FF3600">
        <w:tab/>
      </w:r>
      <w:r w:rsidRPr="00FF3600">
        <w:rPr>
          <w:strike/>
        </w:rPr>
        <w:t>účetní závěrku nebo přehled o majetku a závazcích a přehled o příjmech a výdajích, které byly sestaveny k poslednímu dni měsíce bezprostředně předcházejícího pohromě, pokud je povinen je podle zvláštního právního předpisu sestavovat; nelze-li tyto doklady přiložit, neboť byly včetně podkladů pro jejich sestavení zničeny v důsledku pohromy</w:t>
      </w:r>
      <w:r w:rsidR="00675DD0" w:rsidRPr="00675DD0">
        <w:rPr>
          <w:b/>
        </w:rPr>
        <w:t xml:space="preserve"> </w:t>
      </w:r>
      <w:r w:rsidR="00675DD0" w:rsidRPr="00FF3600">
        <w:rPr>
          <w:b/>
        </w:rPr>
        <w:t xml:space="preserve">individuální účetní závěrku sestavenou ke konci  měsíce bezprostředně předcházejícího pohromě, </w:t>
      </w:r>
      <w:r w:rsidR="00675DD0" w:rsidRPr="00FF3600">
        <w:rPr>
          <w:b/>
        </w:rPr>
        <w:lastRenderedPageBreak/>
        <w:t>pokud je podnikatel účetní jednotkou; nelze-li tuto účetní závěrku přiložit, neboť tato účetní závěrka nebo účetní záznamy pro její sestavení byly zničeny v důsledku pohr</w:t>
      </w:r>
      <w:r w:rsidR="00675DD0">
        <w:rPr>
          <w:b/>
        </w:rPr>
        <w:t>omy</w:t>
      </w:r>
      <w:r w:rsidRPr="00675DD0">
        <w:t>,</w:t>
      </w:r>
      <w:r w:rsidRPr="00FF3600">
        <w:t xml:space="preserve"> učiní o </w:t>
      </w:r>
      <w:r w:rsidRPr="00FF3600">
        <w:rPr>
          <w:strike/>
        </w:rPr>
        <w:t xml:space="preserve">jejich </w:t>
      </w:r>
      <w:r w:rsidRPr="00FF3600">
        <w:t>zničení čestné prohlášení,</w:t>
      </w:r>
    </w:p>
    <w:p w14:paraId="762643B1" w14:textId="77777777" w:rsidR="00CB67BE" w:rsidRDefault="00CB67BE" w:rsidP="00C30B17">
      <w:pPr>
        <w:pStyle w:val="Psmeno"/>
        <w:tabs>
          <w:tab w:val="left" w:pos="406"/>
          <w:tab w:val="left" w:pos="854"/>
        </w:tabs>
        <w:spacing w:before="0"/>
        <w:ind w:left="426" w:hanging="426"/>
      </w:pPr>
      <w:r>
        <w:t>b)</w:t>
      </w:r>
      <w:r>
        <w:tab/>
        <w:t>čestné prohlášení o tom, že</w:t>
      </w:r>
    </w:p>
    <w:p w14:paraId="34FFC6CD" w14:textId="186D9A73" w:rsidR="00CB67BE" w:rsidRDefault="00CB67BE" w:rsidP="00C30B17">
      <w:pPr>
        <w:pStyle w:val="Bod"/>
        <w:tabs>
          <w:tab w:val="clear" w:pos="851"/>
          <w:tab w:val="left" w:pos="406"/>
          <w:tab w:val="left" w:pos="854"/>
        </w:tabs>
        <w:spacing w:before="0"/>
        <w:ind w:left="426" w:hanging="426"/>
      </w:pPr>
      <w:r>
        <w:tab/>
        <w:t>1.</w:t>
      </w:r>
      <w:r>
        <w:tab/>
        <w:t xml:space="preserve">na jeho majetek nebyl prohlášen konkurs, nebylo povoleno vyrovnání, nebyl zamítnut návrh na prohlášení konkursu pro nedostatek </w:t>
      </w:r>
      <w:proofErr w:type="gramStart"/>
      <w:r>
        <w:t>majetku nebo</w:t>
      </w:r>
      <w:proofErr w:type="gramEnd"/>
      <w:r>
        <w:t xml:space="preserve"> že podnikatel není v likvidaci,</w:t>
      </w:r>
    </w:p>
    <w:p w14:paraId="537A76B8" w14:textId="3FCAE35A" w:rsidR="00CB67BE" w:rsidRDefault="00CB67BE" w:rsidP="00C30B17">
      <w:pPr>
        <w:pStyle w:val="Bod"/>
        <w:tabs>
          <w:tab w:val="clear" w:pos="851"/>
          <w:tab w:val="left" w:pos="406"/>
          <w:tab w:val="left" w:pos="854"/>
        </w:tabs>
        <w:spacing w:before="0"/>
        <w:ind w:left="426" w:hanging="426"/>
      </w:pPr>
      <w:r>
        <w:tab/>
        <w:t>2.</w:t>
      </w:r>
      <w:r>
        <w:tab/>
        <w:t>má vypořádány splatné závazky ve vztahu ke státnímu rozpočtu, státním fondům, rozpočtům územních samosprávných celků nebo ke zdravotní pojišťovně,</w:t>
      </w:r>
    </w:p>
    <w:p w14:paraId="1C295F4A" w14:textId="77777777" w:rsidR="00CB67BE" w:rsidRDefault="00CB67BE" w:rsidP="00C30B17">
      <w:pPr>
        <w:pStyle w:val="Psmeno"/>
        <w:tabs>
          <w:tab w:val="left" w:pos="406"/>
          <w:tab w:val="left" w:pos="854"/>
        </w:tabs>
        <w:spacing w:before="0"/>
        <w:ind w:left="426" w:hanging="426"/>
      </w:pPr>
      <w:r>
        <w:t>c)</w:t>
      </w:r>
      <w:r>
        <w:tab/>
        <w:t>další doklady, je-li jejich předložení nezbytné pro splnění podmínek stanovených pro poskytnutí státní pomoci.</w:t>
      </w:r>
    </w:p>
    <w:p w14:paraId="7A3969AE" w14:textId="77777777" w:rsidR="00CB67BE" w:rsidRDefault="00CB67BE" w:rsidP="00423E87">
      <w:pPr>
        <w:pStyle w:val="Odstavec"/>
      </w:pPr>
      <w:r>
        <w:t>(6) Kraj a obec přiloží k žádosti o poskytnutí státní pomoci pouze doklady požadované podle odstavce 5 písm. c).</w:t>
      </w:r>
    </w:p>
    <w:p w14:paraId="07982336" w14:textId="77777777" w:rsidR="00CB67BE" w:rsidRDefault="00CB67BE" w:rsidP="00423E87">
      <w:pPr>
        <w:pStyle w:val="Odstavec"/>
      </w:pPr>
      <w:r>
        <w:t>(7) Na poskytnutí státní pomoci není právní nárok. Státní pomoc lze poskytnout ve formě dotace nebo návratné finanční výpomoci</w:t>
      </w:r>
      <w:r>
        <w:rPr>
          <w:rStyle w:val="Znakapoznpodarou"/>
        </w:rPr>
        <w:footnoteReference w:customMarkFollows="1" w:id="410"/>
        <w:t>4)</w:t>
      </w:r>
      <w:r>
        <w:t>.</w:t>
      </w:r>
    </w:p>
    <w:p w14:paraId="728B90C7" w14:textId="77777777" w:rsidR="00CB67BE" w:rsidRDefault="00CB67BE" w:rsidP="00423E87">
      <w:pPr>
        <w:pStyle w:val="Odstavec"/>
      </w:pPr>
      <w:r>
        <w:t>(8) Státní pomoc na obnovu nebo pořízení téhož majetku poškozeného nebo zničeného určitou pohromou lze poskytnout pouze jednorázově na základě rozhodnutí jednoho z ministerstev určených ve strategii obnovy území [§ 4 odst. 2 písm. c)].</w:t>
      </w:r>
    </w:p>
    <w:p w14:paraId="6F3E0B0A" w14:textId="77777777" w:rsidR="00CB67BE" w:rsidRDefault="00CB67BE" w:rsidP="00423E87">
      <w:pPr>
        <w:pStyle w:val="Odstavec"/>
      </w:pPr>
      <w:r>
        <w:t>(9) Majetkem sloužícím k zabezpečení základních funkcí v území je majetek, který bezprostředně slouží k dopravě, hospodářským činnostem, bydlení, s výjimkou staveb pro individuální rekreaci</w:t>
      </w:r>
      <w:r>
        <w:rPr>
          <w:rStyle w:val="Znakapoznpodarou"/>
        </w:rPr>
        <w:footnoteReference w:customMarkFollows="1" w:id="411"/>
        <w:t>5)</w:t>
      </w:r>
      <w:r>
        <w:t>, k zajištění podmínek potřebných pro udržitelný rozvoj nebo jako technická infrastruktura a občanské vybavení nebo ten majetek, který je součástí národního kulturního pokladu</w:t>
      </w:r>
      <w:r>
        <w:rPr>
          <w:rStyle w:val="Znakapoznpodarou"/>
        </w:rPr>
        <w:footnoteReference w:customMarkFollows="1" w:id="412"/>
        <w:t>5a)</w:t>
      </w:r>
      <w:r>
        <w:t>, předmětem ochrany v rámci památkové rezervace</w:t>
      </w:r>
      <w:r>
        <w:rPr>
          <w:rStyle w:val="Znakapoznpodarou"/>
        </w:rPr>
        <w:footnoteReference w:customMarkFollows="1" w:id="413"/>
        <w:t>5b)</w:t>
      </w:r>
      <w:r>
        <w:t xml:space="preserve"> nebo památkové zóny</w:t>
      </w:r>
      <w:r>
        <w:rPr>
          <w:rStyle w:val="Znakapoznpodarou"/>
        </w:rPr>
        <w:footnoteReference w:customMarkFollows="1" w:id="414"/>
        <w:t>5c)</w:t>
      </w:r>
      <w:r>
        <w:t>.</w:t>
      </w:r>
    </w:p>
    <w:p w14:paraId="5E2BB755" w14:textId="4BDCA587" w:rsidR="005132B6" w:rsidRPr="00F3373B" w:rsidRDefault="00CB67BE" w:rsidP="00423E87">
      <w:pPr>
        <w:pStyle w:val="Odstavec"/>
      </w:pPr>
      <w:r>
        <w:t>(10) Pověřený obecní úřad</w:t>
      </w:r>
      <w:r>
        <w:rPr>
          <w:rStyle w:val="Znakapoznpodarou"/>
        </w:rPr>
        <w:footnoteReference w:customMarkFollows="1" w:id="415"/>
        <w:t>6)</w:t>
      </w:r>
      <w:r>
        <w:t xml:space="preserve"> v přenesené působnosti poskytne kraji na jeho žádost součinnost při zjišťování údajů potřebných k přípravě podkladů pro rozhodnutí o poskytnutí státní pomoci při obnově území postiženého pohromou a při odborné přípravě na toto zjišťování. Odborná příprava zahrnuje především způsob vyčíslení a registrace nákladů na obnovu majetku sloužícího k zabezpečení základních funkcí v území.</w:t>
      </w:r>
    </w:p>
    <w:p w14:paraId="7BBA2001" w14:textId="77777777" w:rsidR="00CE6F45" w:rsidRDefault="00CE6F45" w:rsidP="00CB5381">
      <w:pPr>
        <w:pStyle w:val="Textparagrafu"/>
        <w:tabs>
          <w:tab w:val="left" w:pos="406"/>
          <w:tab w:val="left" w:pos="840"/>
          <w:tab w:val="left" w:pos="868"/>
        </w:tabs>
        <w:spacing w:after="120"/>
        <w:ind w:firstLine="0"/>
        <w:sectPr w:rsidR="00CE6F45" w:rsidSect="00554E2B">
          <w:footnotePr>
            <w:numStart w:val="3"/>
          </w:footnotePr>
          <w:endnotePr>
            <w:numFmt w:val="decimal"/>
          </w:endnotePr>
          <w:pgSz w:w="11906" w:h="16838"/>
          <w:pgMar w:top="1418" w:right="1418" w:bottom="1418" w:left="1418" w:header="709" w:footer="709" w:gutter="0"/>
          <w:cols w:space="708"/>
          <w:docGrid w:linePitch="360"/>
        </w:sectPr>
      </w:pPr>
    </w:p>
    <w:p w14:paraId="2E6AB02A" w14:textId="6BD5838C" w:rsidR="00CE6F45" w:rsidRPr="00036C64" w:rsidRDefault="00CE6F45" w:rsidP="00423E87">
      <w:pPr>
        <w:tabs>
          <w:tab w:val="left" w:pos="851"/>
        </w:tabs>
        <w:spacing w:before="120" w:after="120"/>
        <w:ind w:firstLine="0"/>
        <w:jc w:val="center"/>
        <w:outlineLvl w:val="0"/>
        <w:rPr>
          <w:szCs w:val="24"/>
        </w:rPr>
      </w:pPr>
      <w:r w:rsidRPr="00036C64">
        <w:rPr>
          <w:b/>
          <w:szCs w:val="24"/>
        </w:rPr>
        <w:lastRenderedPageBreak/>
        <w:t xml:space="preserve">K části šedesáté </w:t>
      </w:r>
      <w:r w:rsidR="00C30B17">
        <w:rPr>
          <w:b/>
          <w:szCs w:val="24"/>
        </w:rPr>
        <w:t>sedmé</w:t>
      </w:r>
      <w:r>
        <w:rPr>
          <w:b/>
          <w:szCs w:val="24"/>
        </w:rPr>
        <w:t xml:space="preserve"> </w:t>
      </w:r>
      <w:r w:rsidRPr="00036C64">
        <w:rPr>
          <w:b/>
          <w:szCs w:val="24"/>
        </w:rPr>
        <w:t xml:space="preserve">návrhu zákona – </w:t>
      </w:r>
      <w:r w:rsidRPr="00036C64">
        <w:rPr>
          <w:szCs w:val="24"/>
        </w:rPr>
        <w:t>změna zákona</w:t>
      </w:r>
      <w:r w:rsidRPr="00036C64">
        <w:t xml:space="preserve"> </w:t>
      </w:r>
      <w:r w:rsidRPr="00CE6F45">
        <w:rPr>
          <w:szCs w:val="24"/>
        </w:rPr>
        <w:t>o akciové společnosti České dráhy, státní organizaci Správa železnic a o změně zákona č. 266/1994 Sb., o dráhách, ve znění pozdějších předpisů, a zákona č. 77/1997 Sb., o státním podniku, ve znění pozdějších předpisů</w:t>
      </w:r>
    </w:p>
    <w:p w14:paraId="4DF50104" w14:textId="605CA366" w:rsidR="00CE6F45" w:rsidRPr="0058529E" w:rsidRDefault="00CE6F45" w:rsidP="00CE6F45">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036C64">
        <w:rPr>
          <w:b/>
          <w:szCs w:val="24"/>
        </w:rPr>
        <w:t>Platné znění</w:t>
      </w:r>
      <w:r w:rsidRPr="00036C64">
        <w:rPr>
          <w:szCs w:val="24"/>
        </w:rPr>
        <w:t xml:space="preserve"> zákona č.</w:t>
      </w:r>
      <w:r>
        <w:rPr>
          <w:szCs w:val="24"/>
        </w:rPr>
        <w:t>77</w:t>
      </w:r>
      <w:r w:rsidRPr="00036C64">
        <w:rPr>
          <w:szCs w:val="24"/>
        </w:rPr>
        <w:t>/</w:t>
      </w:r>
      <w:r>
        <w:rPr>
          <w:szCs w:val="24"/>
        </w:rPr>
        <w:t>2002</w:t>
      </w:r>
      <w:r w:rsidRPr="00036C64">
        <w:rPr>
          <w:szCs w:val="24"/>
        </w:rPr>
        <w:t xml:space="preserve"> Sb., </w:t>
      </w:r>
      <w:r w:rsidRPr="00CE6F45">
        <w:rPr>
          <w:szCs w:val="24"/>
        </w:rPr>
        <w:t>o akciové společnosti České dráhy, státní organizaci Správa železnic a o změně zákona č. 266/1994 Sb., o dráhách, ve znění pozdějších předpisů, a zákona č. 77/1997 Sb., o státním podniku, ve znění pozdějších předpisů</w:t>
      </w:r>
    </w:p>
    <w:p w14:paraId="4B34D46A" w14:textId="39F32EEB" w:rsidR="00CE6F45" w:rsidRPr="00036C64" w:rsidRDefault="00423E87" w:rsidP="00CE6F45">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AE4818">
        <w:rPr>
          <w:b/>
          <w:szCs w:val="24"/>
          <w:lang w:eastAsia="en-US"/>
        </w:rPr>
        <w:t>s vyznačením navrhovaných změn a doplnění k 1. lednu 2025</w:t>
      </w:r>
    </w:p>
    <w:p w14:paraId="702936BF" w14:textId="77777777" w:rsidR="00CE6F45" w:rsidRPr="00036C64" w:rsidRDefault="00CE6F45" w:rsidP="00CE6F45">
      <w:pPr>
        <w:pStyle w:val="Textparagrafu"/>
        <w:tabs>
          <w:tab w:val="left" w:pos="406"/>
          <w:tab w:val="left" w:pos="840"/>
          <w:tab w:val="left" w:pos="868"/>
        </w:tabs>
        <w:spacing w:after="120"/>
        <w:ind w:firstLine="0"/>
        <w:jc w:val="center"/>
      </w:pPr>
      <w:r w:rsidRPr="00036C64">
        <w:t>***</w:t>
      </w:r>
    </w:p>
    <w:p w14:paraId="15587F24" w14:textId="085977A5" w:rsidR="00CE6F45" w:rsidRDefault="00CE6F45" w:rsidP="00CE6F45">
      <w:pPr>
        <w:pStyle w:val="Textparagrafu"/>
        <w:tabs>
          <w:tab w:val="left" w:pos="406"/>
          <w:tab w:val="left" w:pos="840"/>
          <w:tab w:val="left" w:pos="868"/>
        </w:tabs>
        <w:spacing w:after="120"/>
        <w:ind w:firstLine="0"/>
        <w:jc w:val="center"/>
      </w:pPr>
      <w:r>
        <w:t>§ 30</w:t>
      </w:r>
    </w:p>
    <w:p w14:paraId="7F12394D" w14:textId="6BCE8D97" w:rsidR="00CE6F45" w:rsidRPr="00CE6F45" w:rsidRDefault="00CE6F45" w:rsidP="00423E87">
      <w:pPr>
        <w:pStyle w:val="Textparagrafu"/>
        <w:tabs>
          <w:tab w:val="left" w:pos="406"/>
          <w:tab w:val="left" w:pos="840"/>
          <w:tab w:val="left" w:pos="868"/>
        </w:tabs>
        <w:spacing w:before="120" w:after="120"/>
      </w:pPr>
      <w:r w:rsidRPr="00CE6F45">
        <w:t>Správní rada</w:t>
      </w:r>
    </w:p>
    <w:p w14:paraId="59CEBCA5" w14:textId="05AE65CF" w:rsidR="00CE6F45" w:rsidRDefault="00CE6F45" w:rsidP="00C30B17">
      <w:pPr>
        <w:pStyle w:val="Textparagrafu"/>
        <w:tabs>
          <w:tab w:val="left" w:pos="426"/>
          <w:tab w:val="left" w:pos="840"/>
          <w:tab w:val="left" w:pos="868"/>
        </w:tabs>
        <w:spacing w:before="0"/>
        <w:ind w:left="426" w:hanging="426"/>
      </w:pPr>
      <w:r>
        <w:t>a)</w:t>
      </w:r>
      <w:r>
        <w:tab/>
        <w:t>schvaluje na návrh generálního ředitele zásadní otázky koncepce státní organizace Správa železnic a nakládání s majetkem státu k podnikatelské činnosti jí svěřeným (mimo určený majetek) v rozsahu, který určí zakladatel,</w:t>
      </w:r>
    </w:p>
    <w:p w14:paraId="7616B26D" w14:textId="07A3515C" w:rsidR="00CE6F45" w:rsidRDefault="00CE6F45" w:rsidP="00C30B17">
      <w:pPr>
        <w:pStyle w:val="Textparagrafu"/>
        <w:tabs>
          <w:tab w:val="left" w:pos="426"/>
          <w:tab w:val="left" w:pos="840"/>
          <w:tab w:val="left" w:pos="868"/>
        </w:tabs>
        <w:spacing w:before="0"/>
        <w:ind w:left="426" w:hanging="426"/>
      </w:pPr>
      <w:r>
        <w:t>b)</w:t>
      </w:r>
      <w:r>
        <w:tab/>
        <w:t>schvaluje statut státní organizace Správa železnic, organizační strukturu státní organizace Správa železnic a jednací řád správní rady,</w:t>
      </w:r>
    </w:p>
    <w:p w14:paraId="14A7C480" w14:textId="6B1A6618" w:rsidR="00CE6F45" w:rsidRDefault="00CE6F45" w:rsidP="00C30B17">
      <w:pPr>
        <w:pStyle w:val="Textparagrafu"/>
        <w:tabs>
          <w:tab w:val="left" w:pos="426"/>
          <w:tab w:val="left" w:pos="840"/>
          <w:tab w:val="left" w:pos="868"/>
        </w:tabs>
        <w:spacing w:before="0"/>
        <w:ind w:left="426" w:hanging="426"/>
      </w:pPr>
      <w:r>
        <w:t>c)</w:t>
      </w:r>
      <w:r>
        <w:tab/>
        <w:t>projednává výroční zprávu</w:t>
      </w:r>
      <w:r w:rsidR="00906965" w:rsidRPr="00906965">
        <w:rPr>
          <w:b/>
          <w:bCs/>
        </w:rPr>
        <w:t xml:space="preserve"> </w:t>
      </w:r>
      <w:r w:rsidR="00906965">
        <w:rPr>
          <w:b/>
          <w:bCs/>
        </w:rPr>
        <w:t>sestavenou podle pokynů zakladatele</w:t>
      </w:r>
      <w:r>
        <w:t xml:space="preserve">, roční finanční plán, pololetní výsledky hospodaření, schvaluje </w:t>
      </w:r>
      <w:r w:rsidRPr="00906965">
        <w:rPr>
          <w:strike/>
        </w:rPr>
        <w:t>roční</w:t>
      </w:r>
      <w:r>
        <w:t xml:space="preserve"> </w:t>
      </w:r>
      <w:r w:rsidR="00906965" w:rsidRPr="007E389E">
        <w:rPr>
          <w:b/>
        </w:rPr>
        <w:t xml:space="preserve">řádnou individuální </w:t>
      </w:r>
      <w:r>
        <w:t>účetní závěrku státní organizace Správa železnic,</w:t>
      </w:r>
    </w:p>
    <w:p w14:paraId="03826800" w14:textId="0964DF2E" w:rsidR="00CE6F45" w:rsidRDefault="00CE6F45" w:rsidP="00C30B17">
      <w:pPr>
        <w:pStyle w:val="Textparagrafu"/>
        <w:tabs>
          <w:tab w:val="left" w:pos="426"/>
          <w:tab w:val="left" w:pos="840"/>
          <w:tab w:val="left" w:pos="868"/>
        </w:tabs>
        <w:spacing w:before="0"/>
        <w:ind w:left="426" w:hanging="426"/>
      </w:pPr>
      <w:r>
        <w:t>d)</w:t>
      </w:r>
      <w:r>
        <w:tab/>
        <w:t>dohlíží na výkon působnosti generálního ředitele a uskutečňování činnosti státní organizace Správa železnic, a zda se činnost státní organizace Správa železnic uskutečňuje v souladu s právními předpisy,</w:t>
      </w:r>
    </w:p>
    <w:p w14:paraId="726E34FE" w14:textId="135BF4D4" w:rsidR="00CE6F45" w:rsidRDefault="00CE6F45" w:rsidP="00C30B17">
      <w:pPr>
        <w:pStyle w:val="Textparagrafu"/>
        <w:tabs>
          <w:tab w:val="left" w:pos="426"/>
          <w:tab w:val="left" w:pos="840"/>
          <w:tab w:val="left" w:pos="868"/>
        </w:tabs>
        <w:spacing w:before="0"/>
        <w:ind w:left="426" w:hanging="426"/>
      </w:pPr>
      <w:r>
        <w:t>e)</w:t>
      </w:r>
      <w:r>
        <w:tab/>
        <w:t>je oprávněna nahlížet do všech dokladů a záznamů týkajících se činnosti státní organizace Správa železnic a kontrolovat, zda účetní záznamy jsou vedeny řádně v souladu se skutečností,</w:t>
      </w:r>
    </w:p>
    <w:p w14:paraId="0D7EB18B" w14:textId="37D80F27" w:rsidR="00CE6F45" w:rsidRDefault="00CE6F45" w:rsidP="00C30B17">
      <w:pPr>
        <w:pStyle w:val="Textparagrafu"/>
        <w:tabs>
          <w:tab w:val="left" w:pos="426"/>
          <w:tab w:val="left" w:pos="840"/>
          <w:tab w:val="left" w:pos="868"/>
        </w:tabs>
        <w:spacing w:before="0"/>
        <w:ind w:left="426" w:hanging="426"/>
      </w:pPr>
      <w:r>
        <w:t>f)</w:t>
      </w:r>
      <w:r>
        <w:tab/>
        <w:t>je povinna upozornit generálního ředitele na zjištěné nedostatky; přitom mu může navrhnout opatření k nápravě,</w:t>
      </w:r>
    </w:p>
    <w:p w14:paraId="0CA29012" w14:textId="77777777" w:rsidR="00906965" w:rsidRDefault="00CE6F45" w:rsidP="00C30B17">
      <w:pPr>
        <w:pStyle w:val="Textparagrafu"/>
        <w:tabs>
          <w:tab w:val="left" w:pos="426"/>
          <w:tab w:val="left" w:pos="840"/>
          <w:tab w:val="left" w:pos="868"/>
        </w:tabs>
        <w:spacing w:before="0"/>
        <w:ind w:left="426" w:hanging="426"/>
        <w:sectPr w:rsidR="00906965" w:rsidSect="00554E2B">
          <w:footnotePr>
            <w:numStart w:val="3"/>
          </w:footnotePr>
          <w:endnotePr>
            <w:numFmt w:val="decimal"/>
          </w:endnotePr>
          <w:pgSz w:w="11906" w:h="16838"/>
          <w:pgMar w:top="1418" w:right="1418" w:bottom="1418" w:left="1418" w:header="709" w:footer="709" w:gutter="0"/>
          <w:cols w:space="708"/>
          <w:docGrid w:linePitch="360"/>
        </w:sectPr>
      </w:pPr>
      <w:r>
        <w:t>g)</w:t>
      </w:r>
      <w:r>
        <w:tab/>
        <w:t>uděluje předchozí souhlas k uzavření nájemních smluv o pronájmu pozemků, s nimiž státní organizace Správa železnic hospodaří, a k uzavření úvěrových smluv, přesahuje-li poskytnutý úvěr částku stanovenou správní radou.</w:t>
      </w:r>
    </w:p>
    <w:p w14:paraId="54A76F75" w14:textId="4767A7C7" w:rsidR="00906965" w:rsidRPr="00036C64" w:rsidRDefault="00906965" w:rsidP="00423E87">
      <w:pPr>
        <w:tabs>
          <w:tab w:val="left" w:pos="851"/>
        </w:tabs>
        <w:spacing w:before="120" w:after="120"/>
        <w:ind w:firstLine="0"/>
        <w:jc w:val="center"/>
        <w:outlineLvl w:val="0"/>
        <w:rPr>
          <w:szCs w:val="24"/>
        </w:rPr>
      </w:pPr>
      <w:r w:rsidRPr="00036C64">
        <w:rPr>
          <w:b/>
          <w:szCs w:val="24"/>
        </w:rPr>
        <w:lastRenderedPageBreak/>
        <w:t xml:space="preserve">K části šedesáté </w:t>
      </w:r>
      <w:r w:rsidR="00C30B17">
        <w:rPr>
          <w:b/>
          <w:szCs w:val="24"/>
        </w:rPr>
        <w:t>osmé</w:t>
      </w:r>
      <w:r>
        <w:rPr>
          <w:b/>
          <w:szCs w:val="24"/>
        </w:rPr>
        <w:t xml:space="preserve"> </w:t>
      </w:r>
      <w:r w:rsidRPr="00036C64">
        <w:rPr>
          <w:b/>
          <w:szCs w:val="24"/>
        </w:rPr>
        <w:t xml:space="preserve">návrhu zákona – </w:t>
      </w:r>
      <w:r w:rsidRPr="00036C64">
        <w:rPr>
          <w:szCs w:val="24"/>
        </w:rPr>
        <w:t>změna zákona</w:t>
      </w:r>
      <w:r w:rsidRPr="00036C64">
        <w:t xml:space="preserve"> </w:t>
      </w:r>
      <w:r w:rsidR="0078706D" w:rsidRPr="0078706D">
        <w:rPr>
          <w:szCs w:val="24"/>
        </w:rPr>
        <w:t>o podpoře výzkumu, ex</w:t>
      </w:r>
      <w:r w:rsidR="00423E87">
        <w:rPr>
          <w:szCs w:val="24"/>
        </w:rPr>
        <w:t>perimentálního vývoje a inovací</w:t>
      </w:r>
    </w:p>
    <w:p w14:paraId="5C04CF0E" w14:textId="01B0C6CE" w:rsidR="00906965" w:rsidRDefault="00906965" w:rsidP="0078706D">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78706D">
        <w:rPr>
          <w:b/>
          <w:szCs w:val="24"/>
        </w:rPr>
        <w:t>Platné znění</w:t>
      </w:r>
      <w:r w:rsidRPr="0078706D">
        <w:rPr>
          <w:szCs w:val="24"/>
        </w:rPr>
        <w:t xml:space="preserve"> zákona č.</w:t>
      </w:r>
      <w:r w:rsidR="0078706D" w:rsidRPr="0078706D">
        <w:rPr>
          <w:szCs w:val="24"/>
        </w:rPr>
        <w:t>130</w:t>
      </w:r>
      <w:r w:rsidRPr="0078706D">
        <w:rPr>
          <w:szCs w:val="24"/>
        </w:rPr>
        <w:t xml:space="preserve">/2002 Sb., </w:t>
      </w:r>
      <w:r w:rsidR="0078706D" w:rsidRPr="0078706D">
        <w:rPr>
          <w:szCs w:val="24"/>
        </w:rPr>
        <w:t>o podpoře výzkumu, experimentálního vývoje a inovací z veřejných prostředků a o změně některých souvisejících zákonů</w:t>
      </w:r>
      <w:r w:rsidR="0078706D">
        <w:rPr>
          <w:szCs w:val="24"/>
        </w:rPr>
        <w:t xml:space="preserve"> </w:t>
      </w:r>
      <w:r w:rsidR="0078706D" w:rsidRPr="0078706D">
        <w:rPr>
          <w:szCs w:val="24"/>
        </w:rPr>
        <w:t>(zákon o podpoře výzkumu, experimentálního vývoje a inovací)</w:t>
      </w:r>
    </w:p>
    <w:p w14:paraId="75C77C6A" w14:textId="6E9C68AA" w:rsidR="0078706D" w:rsidRPr="0078706D" w:rsidRDefault="00423E87" w:rsidP="0078706D">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AE4818">
        <w:rPr>
          <w:b/>
          <w:szCs w:val="24"/>
          <w:lang w:eastAsia="en-US"/>
        </w:rPr>
        <w:t>s vyznačením navrhovaných změn a doplnění k 1. lednu 2025</w:t>
      </w:r>
    </w:p>
    <w:p w14:paraId="66DE72DA" w14:textId="77777777" w:rsidR="00906965" w:rsidRPr="00036C64" w:rsidRDefault="00906965" w:rsidP="00906965">
      <w:pPr>
        <w:pStyle w:val="Textparagrafu"/>
        <w:tabs>
          <w:tab w:val="left" w:pos="406"/>
          <w:tab w:val="left" w:pos="840"/>
          <w:tab w:val="left" w:pos="868"/>
        </w:tabs>
        <w:spacing w:after="120"/>
        <w:ind w:firstLine="0"/>
        <w:jc w:val="center"/>
      </w:pPr>
      <w:r w:rsidRPr="00036C64">
        <w:t>***</w:t>
      </w:r>
    </w:p>
    <w:p w14:paraId="04945BF4" w14:textId="77777777" w:rsidR="00137BFD" w:rsidRDefault="00137BFD" w:rsidP="00137BFD">
      <w:pPr>
        <w:pStyle w:val="Textparagrafu"/>
        <w:tabs>
          <w:tab w:val="left" w:pos="392"/>
          <w:tab w:val="left" w:pos="840"/>
        </w:tabs>
        <w:spacing w:after="120"/>
        <w:ind w:firstLine="0"/>
        <w:jc w:val="center"/>
      </w:pPr>
      <w:r w:rsidRPr="00404EF4">
        <w:t>§</w:t>
      </w:r>
      <w:r>
        <w:t xml:space="preserve"> </w:t>
      </w:r>
      <w:r w:rsidRPr="00404EF4">
        <w:t>36</w:t>
      </w:r>
    </w:p>
    <w:p w14:paraId="4A98500B" w14:textId="77777777" w:rsidR="00137BFD" w:rsidRPr="00404EF4" w:rsidRDefault="00137BFD" w:rsidP="00137BFD">
      <w:pPr>
        <w:pStyle w:val="Textparagrafu"/>
        <w:tabs>
          <w:tab w:val="left" w:pos="392"/>
          <w:tab w:val="left" w:pos="840"/>
        </w:tabs>
        <w:spacing w:after="120"/>
        <w:ind w:firstLine="0"/>
        <w:jc w:val="center"/>
        <w:rPr>
          <w:b/>
        </w:rPr>
      </w:pPr>
      <w:r w:rsidRPr="00404EF4">
        <w:rPr>
          <w:b/>
        </w:rPr>
        <w:t>Grantová agentura České republiky</w:t>
      </w:r>
    </w:p>
    <w:p w14:paraId="50439CDF" w14:textId="77777777" w:rsidR="00137BFD" w:rsidRDefault="00137BFD" w:rsidP="00423E87">
      <w:pPr>
        <w:pStyle w:val="Textparagrafu"/>
        <w:tabs>
          <w:tab w:val="left" w:pos="392"/>
          <w:tab w:val="left" w:pos="840"/>
        </w:tabs>
        <w:spacing w:before="120" w:after="120"/>
      </w:pPr>
      <w:r w:rsidRPr="00404EF4">
        <w:t>(1)</w:t>
      </w:r>
      <w:r>
        <w:t xml:space="preserve"> </w:t>
      </w:r>
      <w:r w:rsidRPr="00404EF4">
        <w:t>Grantová</w:t>
      </w:r>
      <w:r>
        <w:t xml:space="preserve"> </w:t>
      </w:r>
      <w:r w:rsidRPr="00404EF4">
        <w:t>agentura</w:t>
      </w:r>
      <w:r>
        <w:t xml:space="preserve"> </w:t>
      </w:r>
      <w:r w:rsidRPr="00404EF4">
        <w:t>České</w:t>
      </w:r>
      <w:r>
        <w:t xml:space="preserve"> </w:t>
      </w:r>
      <w:r w:rsidRPr="00404EF4">
        <w:t>republiky</w:t>
      </w:r>
      <w:r>
        <w:t xml:space="preserve"> </w:t>
      </w:r>
      <w:r w:rsidRPr="00404EF4">
        <w:t>je</w:t>
      </w:r>
      <w:r>
        <w:t xml:space="preserve"> </w:t>
      </w:r>
      <w:r w:rsidRPr="00404EF4">
        <w:t>organizační</w:t>
      </w:r>
      <w:r>
        <w:t xml:space="preserve"> </w:t>
      </w:r>
      <w:r w:rsidRPr="00404EF4">
        <w:t>složkou</w:t>
      </w:r>
      <w:r>
        <w:t xml:space="preserve"> </w:t>
      </w:r>
      <w:r w:rsidRPr="00404EF4">
        <w:t>státu</w:t>
      </w:r>
      <w:r>
        <w:t xml:space="preserve"> </w:t>
      </w:r>
      <w:r w:rsidRPr="00404EF4">
        <w:t>a</w:t>
      </w:r>
      <w:r>
        <w:t xml:space="preserve"> </w:t>
      </w:r>
      <w:r w:rsidRPr="00404EF4">
        <w:t>správcem</w:t>
      </w:r>
      <w:r>
        <w:t xml:space="preserve"> </w:t>
      </w:r>
      <w:r w:rsidRPr="00404EF4">
        <w:t>rozpočtové</w:t>
      </w:r>
      <w:r>
        <w:t xml:space="preserve"> </w:t>
      </w:r>
      <w:r w:rsidRPr="00404EF4">
        <w:t>kapitoly.</w:t>
      </w:r>
      <w:r>
        <w:t xml:space="preserve"> </w:t>
      </w:r>
      <w:r w:rsidRPr="00404EF4">
        <w:t>Grantová</w:t>
      </w:r>
      <w:r>
        <w:t xml:space="preserve"> </w:t>
      </w:r>
      <w:r w:rsidRPr="00404EF4">
        <w:t>agentura</w:t>
      </w:r>
      <w:r>
        <w:t xml:space="preserve"> </w:t>
      </w:r>
      <w:r w:rsidRPr="00404EF4">
        <w:t>České</w:t>
      </w:r>
      <w:r>
        <w:t xml:space="preserve"> </w:t>
      </w:r>
      <w:r w:rsidRPr="00404EF4">
        <w:t>republiky</w:t>
      </w:r>
      <w:r>
        <w:t xml:space="preserve"> </w:t>
      </w:r>
      <w:r w:rsidRPr="00202DAA">
        <w:rPr>
          <w:strike/>
        </w:rPr>
        <w:t>je samostatnou účetní jednotkou</w:t>
      </w:r>
      <w:r>
        <w:t xml:space="preserve"> </w:t>
      </w:r>
      <w:r w:rsidRPr="00404EF4">
        <w:t>a</w:t>
      </w:r>
      <w:r>
        <w:t xml:space="preserve"> </w:t>
      </w:r>
      <w:r w:rsidRPr="00404EF4">
        <w:t>hospodaří</w:t>
      </w:r>
      <w:r>
        <w:t xml:space="preserve"> </w:t>
      </w:r>
      <w:r w:rsidRPr="00404EF4">
        <w:t>samostatně</w:t>
      </w:r>
      <w:r>
        <w:t xml:space="preserve"> </w:t>
      </w:r>
      <w:r w:rsidRPr="00404EF4">
        <w:t>s</w:t>
      </w:r>
      <w:r>
        <w:t xml:space="preserve"> </w:t>
      </w:r>
      <w:r w:rsidRPr="00404EF4">
        <w:t>účelovými</w:t>
      </w:r>
      <w:r>
        <w:t xml:space="preserve"> </w:t>
      </w:r>
      <w:r w:rsidRPr="00404EF4">
        <w:t>a</w:t>
      </w:r>
      <w:r>
        <w:t xml:space="preserve"> </w:t>
      </w:r>
      <w:r w:rsidRPr="00404EF4">
        <w:t>institucionálními</w:t>
      </w:r>
      <w:r>
        <w:t xml:space="preserve"> </w:t>
      </w:r>
      <w:r w:rsidRPr="00404EF4">
        <w:t>prostředky</w:t>
      </w:r>
      <w:r>
        <w:t xml:space="preserve"> </w:t>
      </w:r>
      <w:r w:rsidRPr="00404EF4">
        <w:t>přidělenými</w:t>
      </w:r>
      <w:r>
        <w:t xml:space="preserve"> </w:t>
      </w:r>
      <w:r w:rsidRPr="00404EF4">
        <w:t>zákonem</w:t>
      </w:r>
      <w:r>
        <w:t xml:space="preserve"> </w:t>
      </w:r>
      <w:r w:rsidRPr="00404EF4">
        <w:t>o</w:t>
      </w:r>
      <w:r>
        <w:t xml:space="preserve"> </w:t>
      </w:r>
      <w:r w:rsidRPr="00404EF4">
        <w:t>státním</w:t>
      </w:r>
      <w:r>
        <w:t xml:space="preserve"> </w:t>
      </w:r>
      <w:r w:rsidRPr="00404EF4">
        <w:t>rozpočtu</w:t>
      </w:r>
      <w:r>
        <w:t xml:space="preserve"> </w:t>
      </w:r>
      <w:r w:rsidRPr="00404EF4">
        <w:t>České</w:t>
      </w:r>
      <w:r>
        <w:t xml:space="preserve"> </w:t>
      </w:r>
      <w:r w:rsidRPr="00404EF4">
        <w:t>republiky.</w:t>
      </w:r>
      <w:r>
        <w:t xml:space="preserve"> </w:t>
      </w:r>
      <w:r w:rsidRPr="00404EF4">
        <w:t>Sídlem</w:t>
      </w:r>
      <w:r>
        <w:t xml:space="preserve"> </w:t>
      </w:r>
      <w:r w:rsidRPr="00404EF4">
        <w:t>Grantové</w:t>
      </w:r>
      <w:r>
        <w:t xml:space="preserve"> </w:t>
      </w:r>
      <w:r w:rsidRPr="00404EF4">
        <w:t>agentury</w:t>
      </w:r>
      <w:r>
        <w:t xml:space="preserve"> </w:t>
      </w:r>
      <w:r w:rsidRPr="00404EF4">
        <w:t>České</w:t>
      </w:r>
      <w:r>
        <w:t xml:space="preserve"> </w:t>
      </w:r>
      <w:r w:rsidRPr="00404EF4">
        <w:t>republiky</w:t>
      </w:r>
      <w:r>
        <w:t xml:space="preserve"> </w:t>
      </w:r>
      <w:r w:rsidRPr="00404EF4">
        <w:t>je</w:t>
      </w:r>
      <w:r>
        <w:t xml:space="preserve"> </w:t>
      </w:r>
      <w:r w:rsidRPr="00404EF4">
        <w:t>Praha.</w:t>
      </w:r>
    </w:p>
    <w:p w14:paraId="4CE5FFE9" w14:textId="77777777" w:rsidR="00137BFD" w:rsidRPr="00404EF4" w:rsidRDefault="00137BFD" w:rsidP="00423E87">
      <w:pPr>
        <w:pStyle w:val="Textparagrafu"/>
        <w:tabs>
          <w:tab w:val="left" w:pos="392"/>
          <w:tab w:val="left" w:pos="840"/>
        </w:tabs>
        <w:spacing w:before="120" w:after="120"/>
      </w:pPr>
      <w:r w:rsidRPr="00404EF4">
        <w:t>(2)</w:t>
      </w:r>
      <w:r>
        <w:t xml:space="preserve"> </w:t>
      </w:r>
      <w:r w:rsidRPr="00404EF4">
        <w:t>Grantová</w:t>
      </w:r>
      <w:r>
        <w:t xml:space="preserve"> </w:t>
      </w:r>
      <w:r w:rsidRPr="00404EF4">
        <w:t>agentura</w:t>
      </w:r>
      <w:r>
        <w:t xml:space="preserve"> </w:t>
      </w:r>
      <w:r w:rsidRPr="00404EF4">
        <w:t>České</w:t>
      </w:r>
      <w:r>
        <w:t xml:space="preserve"> </w:t>
      </w:r>
      <w:r w:rsidRPr="00404EF4">
        <w:t>republiky</w:t>
      </w:r>
      <w:r>
        <w:t xml:space="preserve"> </w:t>
      </w:r>
      <w:r w:rsidRPr="00404EF4">
        <w:t>zabezpečuje</w:t>
      </w:r>
    </w:p>
    <w:p w14:paraId="2E9772E0" w14:textId="77777777" w:rsidR="00137BFD" w:rsidRDefault="00137BFD" w:rsidP="00C30B17">
      <w:pPr>
        <w:pStyle w:val="Textparagrafu"/>
        <w:tabs>
          <w:tab w:val="left" w:pos="392"/>
          <w:tab w:val="left" w:pos="840"/>
        </w:tabs>
        <w:spacing w:before="0"/>
        <w:ind w:left="426" w:hanging="426"/>
      </w:pPr>
      <w:r w:rsidRPr="00404EF4">
        <w:t>a)</w:t>
      </w:r>
      <w:r>
        <w:tab/>
      </w:r>
      <w:r w:rsidRPr="00404EF4">
        <w:t>přípravu</w:t>
      </w:r>
      <w:r>
        <w:t xml:space="preserve"> </w:t>
      </w:r>
      <w:r w:rsidRPr="00404EF4">
        <w:t>a</w:t>
      </w:r>
      <w:r>
        <w:t xml:space="preserve"> </w:t>
      </w:r>
      <w:r w:rsidRPr="00404EF4">
        <w:t>realizaci</w:t>
      </w:r>
      <w:r>
        <w:t xml:space="preserve"> </w:t>
      </w:r>
      <w:r w:rsidRPr="00404EF4">
        <w:t>skupin</w:t>
      </w:r>
      <w:r>
        <w:t xml:space="preserve"> </w:t>
      </w:r>
      <w:r w:rsidRPr="00404EF4">
        <w:t>grantových</w:t>
      </w:r>
      <w:r>
        <w:t xml:space="preserve"> </w:t>
      </w:r>
      <w:r w:rsidRPr="00404EF4">
        <w:t>projektů</w:t>
      </w:r>
      <w:r>
        <w:t xml:space="preserve"> </w:t>
      </w:r>
      <w:r w:rsidRPr="00404EF4">
        <w:t>a</w:t>
      </w:r>
      <w:r>
        <w:t xml:space="preserve"> </w:t>
      </w:r>
      <w:r w:rsidRPr="00404EF4">
        <w:t>dalších</w:t>
      </w:r>
      <w:r>
        <w:t xml:space="preserve"> </w:t>
      </w:r>
      <w:r w:rsidRPr="00404EF4">
        <w:t>aktivit</w:t>
      </w:r>
      <w:r>
        <w:t xml:space="preserve"> </w:t>
      </w:r>
      <w:r w:rsidRPr="00404EF4">
        <w:t>v</w:t>
      </w:r>
      <w:r>
        <w:t xml:space="preserve"> </w:t>
      </w:r>
      <w:r w:rsidRPr="00404EF4">
        <w:t>oblasti</w:t>
      </w:r>
      <w:r>
        <w:t xml:space="preserve"> </w:t>
      </w:r>
      <w:r w:rsidRPr="00404EF4">
        <w:t>základního</w:t>
      </w:r>
      <w:r>
        <w:t xml:space="preserve"> </w:t>
      </w:r>
      <w:r w:rsidRPr="00404EF4">
        <w:t>výzkumu</w:t>
      </w:r>
      <w:r>
        <w:t xml:space="preserve"> </w:t>
      </w:r>
      <w:r w:rsidRPr="00404EF4">
        <w:t>včetně</w:t>
      </w:r>
      <w:r>
        <w:t xml:space="preserve"> </w:t>
      </w:r>
      <w:r w:rsidRPr="00404EF4">
        <w:t>veřejných</w:t>
      </w:r>
      <w:r>
        <w:t xml:space="preserve"> </w:t>
      </w:r>
      <w:r w:rsidRPr="00404EF4">
        <w:t>soutěží</w:t>
      </w:r>
      <w:r>
        <w:t xml:space="preserve"> </w:t>
      </w:r>
      <w:r w:rsidRPr="00404EF4">
        <w:t>ve</w:t>
      </w:r>
      <w:r>
        <w:t xml:space="preserve"> </w:t>
      </w:r>
      <w:r w:rsidRPr="00404EF4">
        <w:t>výzkumu,</w:t>
      </w:r>
      <w:r>
        <w:t xml:space="preserve"> </w:t>
      </w:r>
      <w:r w:rsidRPr="00404EF4">
        <w:t>vývoji</w:t>
      </w:r>
      <w:r>
        <w:t xml:space="preserve"> </w:t>
      </w:r>
      <w:r w:rsidRPr="00404EF4">
        <w:t>a</w:t>
      </w:r>
      <w:r>
        <w:t xml:space="preserve"> </w:t>
      </w:r>
      <w:r w:rsidRPr="00404EF4">
        <w:t>inovacích</w:t>
      </w:r>
      <w:r>
        <w:t xml:space="preserve"> </w:t>
      </w:r>
      <w:r w:rsidRPr="00404EF4">
        <w:t>na</w:t>
      </w:r>
      <w:r>
        <w:t xml:space="preserve"> </w:t>
      </w:r>
      <w:r w:rsidRPr="00404EF4">
        <w:t>podporu</w:t>
      </w:r>
      <w:r>
        <w:t xml:space="preserve"> </w:t>
      </w:r>
      <w:r w:rsidRPr="00404EF4">
        <w:t>grantových</w:t>
      </w:r>
      <w:r>
        <w:t xml:space="preserve"> </w:t>
      </w:r>
      <w:r w:rsidRPr="00404EF4">
        <w:t>projektů,</w:t>
      </w:r>
    </w:p>
    <w:p w14:paraId="031EBE11" w14:textId="77777777" w:rsidR="00137BFD" w:rsidRDefault="00137BFD" w:rsidP="00C30B17">
      <w:pPr>
        <w:pStyle w:val="Textparagrafu"/>
        <w:tabs>
          <w:tab w:val="left" w:pos="392"/>
          <w:tab w:val="left" w:pos="840"/>
        </w:tabs>
        <w:spacing w:before="0"/>
        <w:ind w:left="426" w:hanging="426"/>
      </w:pPr>
      <w:r w:rsidRPr="00404EF4">
        <w:t>b)</w:t>
      </w:r>
      <w:r>
        <w:tab/>
      </w:r>
      <w:r w:rsidRPr="00404EF4">
        <w:t>hodnocení</w:t>
      </w:r>
      <w:r>
        <w:t xml:space="preserve"> </w:t>
      </w:r>
      <w:r w:rsidRPr="00404EF4">
        <w:t>a</w:t>
      </w:r>
      <w:r>
        <w:t xml:space="preserve"> </w:t>
      </w:r>
      <w:r w:rsidRPr="00404EF4">
        <w:t>výběr</w:t>
      </w:r>
      <w:r>
        <w:t xml:space="preserve"> </w:t>
      </w:r>
      <w:r w:rsidRPr="00404EF4">
        <w:t>návrhů</w:t>
      </w:r>
      <w:r>
        <w:t xml:space="preserve"> </w:t>
      </w:r>
      <w:r w:rsidRPr="00404EF4">
        <w:t>grantových</w:t>
      </w:r>
      <w:r>
        <w:t xml:space="preserve"> </w:t>
      </w:r>
      <w:r w:rsidRPr="00404EF4">
        <w:t>projektů,</w:t>
      </w:r>
    </w:p>
    <w:p w14:paraId="4D6E389D" w14:textId="77777777" w:rsidR="00137BFD" w:rsidRDefault="00137BFD" w:rsidP="00C30B17">
      <w:pPr>
        <w:pStyle w:val="Textparagrafu"/>
        <w:tabs>
          <w:tab w:val="left" w:pos="392"/>
          <w:tab w:val="left" w:pos="840"/>
        </w:tabs>
        <w:spacing w:before="0"/>
        <w:ind w:left="426" w:hanging="426"/>
      </w:pPr>
      <w:r w:rsidRPr="00404EF4">
        <w:t>c)</w:t>
      </w:r>
      <w:r>
        <w:tab/>
      </w:r>
      <w:r w:rsidRPr="00404EF4">
        <w:t>poskytování</w:t>
      </w:r>
      <w:r>
        <w:t xml:space="preserve"> </w:t>
      </w:r>
      <w:r w:rsidRPr="00404EF4">
        <w:t>účelové</w:t>
      </w:r>
      <w:r>
        <w:t xml:space="preserve"> </w:t>
      </w:r>
      <w:r w:rsidRPr="00404EF4">
        <w:t>podpory</w:t>
      </w:r>
      <w:r>
        <w:t xml:space="preserve"> </w:t>
      </w:r>
      <w:r w:rsidRPr="00404EF4">
        <w:t>grantových</w:t>
      </w:r>
      <w:r>
        <w:t xml:space="preserve"> </w:t>
      </w:r>
      <w:r w:rsidRPr="00404EF4">
        <w:t>projektů</w:t>
      </w:r>
      <w:r>
        <w:t xml:space="preserve"> </w:t>
      </w:r>
      <w:r w:rsidRPr="00404EF4">
        <w:t>na</w:t>
      </w:r>
      <w:r>
        <w:t xml:space="preserve"> </w:t>
      </w:r>
      <w:r w:rsidRPr="00404EF4">
        <w:t>základě</w:t>
      </w:r>
      <w:r>
        <w:t xml:space="preserve"> </w:t>
      </w:r>
      <w:r w:rsidRPr="00404EF4">
        <w:t>smluv</w:t>
      </w:r>
      <w:r>
        <w:t xml:space="preserve"> </w:t>
      </w:r>
      <w:r w:rsidRPr="00404EF4">
        <w:t>o</w:t>
      </w:r>
      <w:r>
        <w:t xml:space="preserve"> </w:t>
      </w:r>
      <w:r w:rsidRPr="00404EF4">
        <w:t>poskytnutí</w:t>
      </w:r>
      <w:r>
        <w:t xml:space="preserve"> </w:t>
      </w:r>
      <w:r w:rsidRPr="00404EF4">
        <w:t>podpory</w:t>
      </w:r>
      <w:r>
        <w:t xml:space="preserve"> </w:t>
      </w:r>
      <w:r w:rsidRPr="00404EF4">
        <w:t>nebo</w:t>
      </w:r>
      <w:r>
        <w:t xml:space="preserve"> </w:t>
      </w:r>
      <w:r w:rsidRPr="00404EF4">
        <w:t>rozhodnutí</w:t>
      </w:r>
      <w:r>
        <w:t xml:space="preserve"> </w:t>
      </w:r>
      <w:r w:rsidRPr="00404EF4">
        <w:t>o</w:t>
      </w:r>
      <w:r>
        <w:t xml:space="preserve"> </w:t>
      </w:r>
      <w:r w:rsidRPr="00404EF4">
        <w:t>poskytnutí</w:t>
      </w:r>
      <w:r>
        <w:t xml:space="preserve"> </w:t>
      </w:r>
      <w:r w:rsidRPr="00404EF4">
        <w:t>podpory,</w:t>
      </w:r>
    </w:p>
    <w:p w14:paraId="187EBFD9" w14:textId="77777777" w:rsidR="00137BFD" w:rsidRDefault="00137BFD" w:rsidP="00C30B17">
      <w:pPr>
        <w:pStyle w:val="Textparagrafu"/>
        <w:tabs>
          <w:tab w:val="left" w:pos="392"/>
          <w:tab w:val="left" w:pos="840"/>
        </w:tabs>
        <w:spacing w:before="0"/>
        <w:ind w:left="426" w:hanging="426"/>
      </w:pPr>
      <w:r w:rsidRPr="00404EF4">
        <w:t>d)</w:t>
      </w:r>
      <w:r>
        <w:tab/>
      </w:r>
      <w:r w:rsidRPr="00404EF4">
        <w:t>kontrolu</w:t>
      </w:r>
      <w:r>
        <w:t xml:space="preserve"> </w:t>
      </w:r>
      <w:r w:rsidRPr="00404EF4">
        <w:t>plnění</w:t>
      </w:r>
      <w:r>
        <w:t xml:space="preserve"> </w:t>
      </w:r>
      <w:r w:rsidRPr="00404EF4">
        <w:t>smluv</w:t>
      </w:r>
      <w:r>
        <w:t xml:space="preserve"> </w:t>
      </w:r>
      <w:r w:rsidRPr="00404EF4">
        <w:t>o</w:t>
      </w:r>
      <w:r>
        <w:t xml:space="preserve"> </w:t>
      </w:r>
      <w:r w:rsidRPr="00404EF4">
        <w:t>poskytnutí</w:t>
      </w:r>
      <w:r>
        <w:t xml:space="preserve"> </w:t>
      </w:r>
      <w:r w:rsidRPr="00404EF4">
        <w:t>podpory</w:t>
      </w:r>
      <w:r>
        <w:t xml:space="preserve"> </w:t>
      </w:r>
      <w:r w:rsidRPr="00404EF4">
        <w:t>nebo</w:t>
      </w:r>
      <w:r>
        <w:t xml:space="preserve"> </w:t>
      </w:r>
      <w:r w:rsidRPr="00404EF4">
        <w:t>rozhodnutí</w:t>
      </w:r>
      <w:r>
        <w:t xml:space="preserve"> </w:t>
      </w:r>
      <w:r w:rsidRPr="00404EF4">
        <w:t>o</w:t>
      </w:r>
      <w:r>
        <w:t xml:space="preserve"> </w:t>
      </w:r>
      <w:r w:rsidRPr="00404EF4">
        <w:t>poskytnutí</w:t>
      </w:r>
      <w:r>
        <w:t xml:space="preserve"> </w:t>
      </w:r>
      <w:r w:rsidRPr="00404EF4">
        <w:t>podpory</w:t>
      </w:r>
      <w:r>
        <w:t xml:space="preserve"> </w:t>
      </w:r>
      <w:r w:rsidRPr="00404EF4">
        <w:t>a</w:t>
      </w:r>
      <w:r>
        <w:t xml:space="preserve"> </w:t>
      </w:r>
      <w:r w:rsidRPr="00404EF4">
        <w:t>čerpání</w:t>
      </w:r>
      <w:r>
        <w:t xml:space="preserve"> </w:t>
      </w:r>
      <w:r w:rsidRPr="00404EF4">
        <w:t>účelové</w:t>
      </w:r>
      <w:r>
        <w:t xml:space="preserve"> </w:t>
      </w:r>
      <w:r w:rsidRPr="00404EF4">
        <w:t>podpory,</w:t>
      </w:r>
    </w:p>
    <w:p w14:paraId="5192A606" w14:textId="77777777" w:rsidR="00137BFD" w:rsidRDefault="00137BFD" w:rsidP="00C30B17">
      <w:pPr>
        <w:pStyle w:val="Textparagrafu"/>
        <w:tabs>
          <w:tab w:val="left" w:pos="392"/>
          <w:tab w:val="left" w:pos="840"/>
        </w:tabs>
        <w:spacing w:before="0"/>
        <w:ind w:left="426" w:hanging="426"/>
      </w:pPr>
      <w:r w:rsidRPr="00404EF4">
        <w:t>e)</w:t>
      </w:r>
      <w:r>
        <w:tab/>
      </w:r>
      <w:r w:rsidRPr="00404EF4">
        <w:t>hodnocení</w:t>
      </w:r>
      <w:r>
        <w:t xml:space="preserve"> </w:t>
      </w:r>
      <w:r w:rsidRPr="00404EF4">
        <w:t>a</w:t>
      </w:r>
      <w:r>
        <w:t xml:space="preserve"> </w:t>
      </w:r>
      <w:r w:rsidRPr="00404EF4">
        <w:t>kontrolu</w:t>
      </w:r>
      <w:r>
        <w:t xml:space="preserve"> </w:t>
      </w:r>
      <w:r w:rsidRPr="00404EF4">
        <w:t>průběhu</w:t>
      </w:r>
      <w:r>
        <w:t xml:space="preserve"> </w:t>
      </w:r>
      <w:r w:rsidRPr="00404EF4">
        <w:t>řešení</w:t>
      </w:r>
      <w:r>
        <w:t xml:space="preserve"> </w:t>
      </w:r>
      <w:r w:rsidRPr="00404EF4">
        <w:t>a</w:t>
      </w:r>
      <w:r>
        <w:t xml:space="preserve"> </w:t>
      </w:r>
      <w:r w:rsidRPr="00404EF4">
        <w:t>plnění</w:t>
      </w:r>
      <w:r>
        <w:t xml:space="preserve"> </w:t>
      </w:r>
      <w:r w:rsidRPr="00404EF4">
        <w:t>cílů</w:t>
      </w:r>
      <w:r>
        <w:t xml:space="preserve"> </w:t>
      </w:r>
      <w:r w:rsidRPr="00404EF4">
        <w:t>grantových</w:t>
      </w:r>
      <w:r>
        <w:t xml:space="preserve"> </w:t>
      </w:r>
      <w:r w:rsidRPr="00404EF4">
        <w:t>projektů</w:t>
      </w:r>
      <w:r>
        <w:t xml:space="preserve"> </w:t>
      </w:r>
      <w:r w:rsidRPr="00404EF4">
        <w:t>a</w:t>
      </w:r>
      <w:r>
        <w:t xml:space="preserve"> </w:t>
      </w:r>
      <w:r w:rsidRPr="00404EF4">
        <w:t>kontrolu</w:t>
      </w:r>
      <w:r>
        <w:t xml:space="preserve"> </w:t>
      </w:r>
      <w:r w:rsidRPr="00404EF4">
        <w:t>jimi</w:t>
      </w:r>
      <w:r>
        <w:t xml:space="preserve"> </w:t>
      </w:r>
      <w:r w:rsidRPr="00404EF4">
        <w:t>dosažených</w:t>
      </w:r>
      <w:r>
        <w:t xml:space="preserve"> </w:t>
      </w:r>
      <w:r w:rsidRPr="00404EF4">
        <w:t>výsledků,</w:t>
      </w:r>
    </w:p>
    <w:p w14:paraId="01F804E2" w14:textId="77777777" w:rsidR="00137BFD" w:rsidRDefault="00137BFD" w:rsidP="00C30B17">
      <w:pPr>
        <w:pStyle w:val="Textparagrafu"/>
        <w:tabs>
          <w:tab w:val="left" w:pos="392"/>
          <w:tab w:val="left" w:pos="840"/>
        </w:tabs>
        <w:spacing w:before="0"/>
        <w:ind w:left="426" w:hanging="426"/>
      </w:pPr>
      <w:r w:rsidRPr="00404EF4">
        <w:t>f)</w:t>
      </w:r>
      <w:r>
        <w:tab/>
      </w:r>
      <w:r w:rsidRPr="00404EF4">
        <w:t>zpracování</w:t>
      </w:r>
      <w:r>
        <w:t xml:space="preserve"> </w:t>
      </w:r>
      <w:r w:rsidRPr="00404EF4">
        <w:t>návrhu</w:t>
      </w:r>
      <w:r>
        <w:t xml:space="preserve"> </w:t>
      </w:r>
      <w:r w:rsidRPr="00404EF4">
        <w:t>výdajů</w:t>
      </w:r>
      <w:r>
        <w:t xml:space="preserve"> </w:t>
      </w:r>
      <w:r w:rsidRPr="00404EF4">
        <w:t>Grantové</w:t>
      </w:r>
      <w:r>
        <w:t xml:space="preserve"> </w:t>
      </w:r>
      <w:r w:rsidRPr="00404EF4">
        <w:t>agentury</w:t>
      </w:r>
      <w:r>
        <w:t xml:space="preserve"> </w:t>
      </w:r>
      <w:r w:rsidRPr="00404EF4">
        <w:t>České</w:t>
      </w:r>
      <w:r>
        <w:t xml:space="preserve"> </w:t>
      </w:r>
      <w:r w:rsidRPr="00404EF4">
        <w:t>republiky</w:t>
      </w:r>
      <w:r>
        <w:t xml:space="preserve"> </w:t>
      </w:r>
      <w:r w:rsidRPr="00404EF4">
        <w:t>a</w:t>
      </w:r>
      <w:r>
        <w:t xml:space="preserve"> </w:t>
      </w:r>
      <w:r w:rsidRPr="00404EF4">
        <w:t>zpráv</w:t>
      </w:r>
      <w:r>
        <w:t xml:space="preserve"> </w:t>
      </w:r>
      <w:r w:rsidRPr="00404EF4">
        <w:t>o</w:t>
      </w:r>
      <w:r>
        <w:t xml:space="preserve"> </w:t>
      </w:r>
      <w:r w:rsidRPr="00404EF4">
        <w:t>její</w:t>
      </w:r>
      <w:r>
        <w:t xml:space="preserve"> </w:t>
      </w:r>
      <w:r w:rsidRPr="00404EF4">
        <w:t>činnosti,</w:t>
      </w:r>
    </w:p>
    <w:p w14:paraId="22DFF745" w14:textId="77777777" w:rsidR="00137BFD" w:rsidRDefault="00137BFD" w:rsidP="00C30B17">
      <w:pPr>
        <w:pStyle w:val="Textparagrafu"/>
        <w:tabs>
          <w:tab w:val="left" w:pos="392"/>
          <w:tab w:val="left" w:pos="840"/>
        </w:tabs>
        <w:spacing w:before="0"/>
        <w:ind w:left="426" w:hanging="426"/>
      </w:pPr>
      <w:r w:rsidRPr="00404EF4">
        <w:t>g)</w:t>
      </w:r>
      <w:r>
        <w:tab/>
      </w:r>
      <w:r w:rsidRPr="00404EF4">
        <w:t>jednání</w:t>
      </w:r>
      <w:r>
        <w:t xml:space="preserve"> </w:t>
      </w:r>
      <w:r w:rsidRPr="00404EF4">
        <w:t>s</w:t>
      </w:r>
      <w:r>
        <w:t xml:space="preserve"> </w:t>
      </w:r>
      <w:r w:rsidRPr="00404EF4">
        <w:t>příslušnými</w:t>
      </w:r>
      <w:r>
        <w:t xml:space="preserve"> </w:t>
      </w:r>
      <w:r w:rsidRPr="00404EF4">
        <w:t>orgány</w:t>
      </w:r>
      <w:r>
        <w:t xml:space="preserve"> </w:t>
      </w:r>
      <w:r w:rsidRPr="00404EF4">
        <w:t>České</w:t>
      </w:r>
      <w:r>
        <w:t xml:space="preserve"> </w:t>
      </w:r>
      <w:r w:rsidRPr="00404EF4">
        <w:t>republiky</w:t>
      </w:r>
      <w:r>
        <w:t xml:space="preserve"> </w:t>
      </w:r>
      <w:r w:rsidRPr="00404EF4">
        <w:t>nebo</w:t>
      </w:r>
      <w:r>
        <w:t xml:space="preserve"> </w:t>
      </w:r>
      <w:r w:rsidRPr="00404EF4">
        <w:t>Evropské</w:t>
      </w:r>
      <w:r>
        <w:t xml:space="preserve"> </w:t>
      </w:r>
      <w:r w:rsidRPr="00404EF4">
        <w:t>unie</w:t>
      </w:r>
      <w:r>
        <w:t xml:space="preserve"> </w:t>
      </w:r>
      <w:r w:rsidRPr="00404EF4">
        <w:t>v</w:t>
      </w:r>
      <w:r>
        <w:t xml:space="preserve"> </w:t>
      </w:r>
      <w:r w:rsidRPr="00404EF4">
        <w:t>otázce</w:t>
      </w:r>
      <w:r>
        <w:t xml:space="preserve"> </w:t>
      </w:r>
      <w:r w:rsidRPr="00404EF4">
        <w:t>posuzování</w:t>
      </w:r>
      <w:r>
        <w:t xml:space="preserve"> </w:t>
      </w:r>
      <w:r w:rsidRPr="00404EF4">
        <w:t>slučitelnosti</w:t>
      </w:r>
      <w:r>
        <w:t xml:space="preserve"> </w:t>
      </w:r>
      <w:r w:rsidRPr="00404EF4">
        <w:t>poskytované</w:t>
      </w:r>
      <w:r>
        <w:t xml:space="preserve"> </w:t>
      </w:r>
      <w:r w:rsidRPr="00404EF4">
        <w:t>podpory</w:t>
      </w:r>
      <w:r>
        <w:t xml:space="preserve"> </w:t>
      </w:r>
      <w:r w:rsidRPr="00404EF4">
        <w:t>se</w:t>
      </w:r>
      <w:r>
        <w:t xml:space="preserve"> </w:t>
      </w:r>
      <w:r w:rsidRPr="00404EF4">
        <w:t>společným</w:t>
      </w:r>
      <w:r>
        <w:t xml:space="preserve"> </w:t>
      </w:r>
      <w:r w:rsidRPr="00404EF4">
        <w:t>trhem,</w:t>
      </w:r>
    </w:p>
    <w:p w14:paraId="051DC925" w14:textId="77777777" w:rsidR="00137BFD" w:rsidRDefault="00137BFD" w:rsidP="00C30B17">
      <w:pPr>
        <w:pStyle w:val="Textparagrafu"/>
        <w:tabs>
          <w:tab w:val="left" w:pos="392"/>
          <w:tab w:val="left" w:pos="840"/>
        </w:tabs>
        <w:spacing w:before="0"/>
        <w:ind w:left="426" w:hanging="426"/>
      </w:pPr>
      <w:r w:rsidRPr="00404EF4">
        <w:t>h)</w:t>
      </w:r>
      <w:r>
        <w:tab/>
      </w:r>
      <w:r w:rsidRPr="00404EF4">
        <w:t>spolupráci</w:t>
      </w:r>
      <w:r>
        <w:t xml:space="preserve"> </w:t>
      </w:r>
      <w:r w:rsidRPr="00404EF4">
        <w:t>s</w:t>
      </w:r>
      <w:r>
        <w:t xml:space="preserve"> </w:t>
      </w:r>
      <w:r w:rsidRPr="00404EF4">
        <w:t>obdobnými</w:t>
      </w:r>
      <w:r>
        <w:t xml:space="preserve"> </w:t>
      </w:r>
      <w:r w:rsidRPr="00404EF4">
        <w:t>zahraničními</w:t>
      </w:r>
      <w:r>
        <w:t xml:space="preserve"> </w:t>
      </w:r>
      <w:r w:rsidRPr="00404EF4">
        <w:t>agenturami.</w:t>
      </w:r>
    </w:p>
    <w:p w14:paraId="62BA47F6" w14:textId="77777777" w:rsidR="00137BFD" w:rsidRDefault="00137BFD" w:rsidP="00423E87">
      <w:pPr>
        <w:pStyle w:val="Textparagrafu"/>
        <w:tabs>
          <w:tab w:val="left" w:pos="392"/>
          <w:tab w:val="left" w:pos="840"/>
        </w:tabs>
        <w:spacing w:before="120" w:after="120"/>
      </w:pPr>
      <w:r w:rsidRPr="00404EF4">
        <w:t>(3)</w:t>
      </w:r>
      <w:r>
        <w:t xml:space="preserve"> </w:t>
      </w:r>
      <w:r w:rsidRPr="00404EF4">
        <w:t>Orgány</w:t>
      </w:r>
      <w:r>
        <w:t xml:space="preserve"> </w:t>
      </w:r>
      <w:r w:rsidRPr="00404EF4">
        <w:t>Grantové</w:t>
      </w:r>
      <w:r>
        <w:t xml:space="preserve"> </w:t>
      </w:r>
      <w:r w:rsidRPr="00404EF4">
        <w:t>agentury</w:t>
      </w:r>
      <w:r>
        <w:t xml:space="preserve"> </w:t>
      </w:r>
      <w:r w:rsidRPr="00404EF4">
        <w:t>České</w:t>
      </w:r>
      <w:r>
        <w:t xml:space="preserve"> </w:t>
      </w:r>
      <w:r w:rsidRPr="00404EF4">
        <w:t>republiky</w:t>
      </w:r>
      <w:r>
        <w:t xml:space="preserve"> </w:t>
      </w:r>
      <w:r w:rsidRPr="00404EF4">
        <w:t>jsou</w:t>
      </w:r>
      <w:r>
        <w:t xml:space="preserve"> </w:t>
      </w:r>
      <w:r w:rsidRPr="00404EF4">
        <w:t>předseda,</w:t>
      </w:r>
      <w:r>
        <w:t xml:space="preserve"> </w:t>
      </w:r>
      <w:r w:rsidRPr="00404EF4">
        <w:t>předsednictvo,</w:t>
      </w:r>
      <w:r>
        <w:t xml:space="preserve"> </w:t>
      </w:r>
      <w:r w:rsidRPr="00404EF4">
        <w:t>vědecká</w:t>
      </w:r>
      <w:r>
        <w:t xml:space="preserve"> </w:t>
      </w:r>
      <w:r w:rsidRPr="00404EF4">
        <w:t>rada</w:t>
      </w:r>
      <w:r>
        <w:t xml:space="preserve"> </w:t>
      </w:r>
      <w:r w:rsidRPr="00404EF4">
        <w:t>a</w:t>
      </w:r>
      <w:r>
        <w:t xml:space="preserve"> </w:t>
      </w:r>
      <w:r w:rsidRPr="00404EF4">
        <w:t>kontrolní</w:t>
      </w:r>
      <w:r>
        <w:t xml:space="preserve"> </w:t>
      </w:r>
      <w:r w:rsidRPr="00404EF4">
        <w:t>rada</w:t>
      </w:r>
      <w:r>
        <w:t xml:space="preserve"> </w:t>
      </w:r>
      <w:r w:rsidRPr="00404EF4">
        <w:t>Grantové</w:t>
      </w:r>
      <w:r>
        <w:t xml:space="preserve"> </w:t>
      </w:r>
      <w:r w:rsidRPr="00404EF4">
        <w:t>agentury</w:t>
      </w:r>
      <w:r>
        <w:t xml:space="preserve"> </w:t>
      </w:r>
      <w:r w:rsidRPr="00404EF4">
        <w:t>České</w:t>
      </w:r>
      <w:r>
        <w:t xml:space="preserve"> </w:t>
      </w:r>
      <w:r w:rsidRPr="00404EF4">
        <w:t>republiky.</w:t>
      </w:r>
      <w:r>
        <w:t xml:space="preserve"> </w:t>
      </w:r>
      <w:r w:rsidRPr="00404EF4">
        <w:t>Funkce</w:t>
      </w:r>
      <w:r>
        <w:t xml:space="preserve"> </w:t>
      </w:r>
      <w:r w:rsidRPr="00404EF4">
        <w:t>členů</w:t>
      </w:r>
      <w:r>
        <w:t xml:space="preserve"> </w:t>
      </w:r>
      <w:r w:rsidRPr="00404EF4">
        <w:t>vědecké</w:t>
      </w:r>
      <w:r>
        <w:t xml:space="preserve"> </w:t>
      </w:r>
      <w:r w:rsidRPr="00404EF4">
        <w:t>rady</w:t>
      </w:r>
      <w:r>
        <w:t xml:space="preserve"> </w:t>
      </w:r>
      <w:r w:rsidRPr="00404EF4">
        <w:t>Grantové</w:t>
      </w:r>
      <w:r>
        <w:t xml:space="preserve"> </w:t>
      </w:r>
      <w:r w:rsidRPr="00404EF4">
        <w:t>agentury</w:t>
      </w:r>
      <w:r>
        <w:t xml:space="preserve"> </w:t>
      </w:r>
      <w:r w:rsidRPr="00404EF4">
        <w:t>České</w:t>
      </w:r>
      <w:r>
        <w:t xml:space="preserve"> </w:t>
      </w:r>
      <w:r w:rsidRPr="00404EF4">
        <w:t>republiky</w:t>
      </w:r>
      <w:r>
        <w:t xml:space="preserve"> </w:t>
      </w:r>
      <w:r w:rsidRPr="00404EF4">
        <w:t>je</w:t>
      </w:r>
      <w:r>
        <w:t xml:space="preserve"> </w:t>
      </w:r>
      <w:r w:rsidRPr="00404EF4">
        <w:t>veřejnou</w:t>
      </w:r>
      <w:r>
        <w:t xml:space="preserve"> </w:t>
      </w:r>
      <w:r w:rsidRPr="00404EF4">
        <w:t>funkcí,</w:t>
      </w:r>
      <w:r>
        <w:t xml:space="preserve"> </w:t>
      </w:r>
      <w:r w:rsidRPr="00404EF4">
        <w:t>která</w:t>
      </w:r>
      <w:r>
        <w:t xml:space="preserve"> </w:t>
      </w:r>
      <w:r w:rsidRPr="00404EF4">
        <w:t>nezakládá</w:t>
      </w:r>
      <w:r>
        <w:t xml:space="preserve"> </w:t>
      </w:r>
      <w:r w:rsidRPr="00404EF4">
        <w:t>pracovněprávní</w:t>
      </w:r>
      <w:r>
        <w:t xml:space="preserve"> vztah</w:t>
      </w:r>
      <w:r>
        <w:rPr>
          <w:rStyle w:val="Znakapoznpodarou"/>
        </w:rPr>
        <w:footnoteReference w:customMarkFollows="1" w:id="416"/>
        <w:t>33)</w:t>
      </w:r>
      <w:r>
        <w:t xml:space="preserve"> </w:t>
      </w:r>
      <w:r w:rsidRPr="00404EF4">
        <w:t>k</w:t>
      </w:r>
      <w:r>
        <w:t xml:space="preserve"> </w:t>
      </w:r>
      <w:r w:rsidRPr="00404EF4">
        <w:t>České</w:t>
      </w:r>
      <w:r>
        <w:t xml:space="preserve"> </w:t>
      </w:r>
      <w:r w:rsidRPr="00404EF4">
        <w:t>republice.</w:t>
      </w:r>
      <w:r>
        <w:t xml:space="preserve"> </w:t>
      </w:r>
      <w:r w:rsidRPr="00404EF4">
        <w:t>Za</w:t>
      </w:r>
      <w:r>
        <w:t xml:space="preserve"> </w:t>
      </w:r>
      <w:r w:rsidRPr="00404EF4">
        <w:t>výkon</w:t>
      </w:r>
      <w:r>
        <w:t xml:space="preserve"> </w:t>
      </w:r>
      <w:r w:rsidRPr="00404EF4">
        <w:t>této</w:t>
      </w:r>
      <w:r>
        <w:t xml:space="preserve"> </w:t>
      </w:r>
      <w:r w:rsidRPr="00404EF4">
        <w:t>veřejné</w:t>
      </w:r>
      <w:r>
        <w:t xml:space="preserve"> </w:t>
      </w:r>
      <w:r w:rsidRPr="00404EF4">
        <w:t>funkce</w:t>
      </w:r>
      <w:r>
        <w:t xml:space="preserve"> </w:t>
      </w:r>
      <w:r w:rsidRPr="00404EF4">
        <w:t>náleží</w:t>
      </w:r>
      <w:r>
        <w:t xml:space="preserve"> </w:t>
      </w:r>
      <w:r w:rsidRPr="00404EF4">
        <w:t>odměna,</w:t>
      </w:r>
      <w:r>
        <w:t xml:space="preserve"> </w:t>
      </w:r>
      <w:r w:rsidRPr="00404EF4">
        <w:t>jejíž</w:t>
      </w:r>
      <w:r>
        <w:t xml:space="preserve"> </w:t>
      </w:r>
      <w:r w:rsidRPr="00404EF4">
        <w:t>výši</w:t>
      </w:r>
      <w:r>
        <w:t xml:space="preserve"> </w:t>
      </w:r>
      <w:r w:rsidRPr="00404EF4">
        <w:t>stanoví</w:t>
      </w:r>
      <w:r>
        <w:t xml:space="preserve"> </w:t>
      </w:r>
      <w:r w:rsidRPr="00404EF4">
        <w:t>vláda,</w:t>
      </w:r>
      <w:r>
        <w:t xml:space="preserve"> </w:t>
      </w:r>
      <w:r w:rsidRPr="00404EF4">
        <w:t>a</w:t>
      </w:r>
      <w:r>
        <w:t xml:space="preserve"> </w:t>
      </w:r>
      <w:r w:rsidRPr="00404EF4">
        <w:t>cestovní</w:t>
      </w:r>
      <w:r>
        <w:t xml:space="preserve"> </w:t>
      </w:r>
      <w:r w:rsidRPr="00404EF4">
        <w:t>náhrady,</w:t>
      </w:r>
      <w:r>
        <w:t xml:space="preserve"> </w:t>
      </w:r>
      <w:r w:rsidRPr="00404EF4">
        <w:t>které</w:t>
      </w:r>
      <w:r>
        <w:t xml:space="preserve"> </w:t>
      </w:r>
      <w:r w:rsidRPr="00404EF4">
        <w:t>se</w:t>
      </w:r>
      <w:r>
        <w:t xml:space="preserve"> </w:t>
      </w:r>
      <w:r w:rsidRPr="00404EF4">
        <w:t>poskytují</w:t>
      </w:r>
      <w:r>
        <w:t xml:space="preserve"> </w:t>
      </w:r>
      <w:r w:rsidRPr="00404EF4">
        <w:t>ve</w:t>
      </w:r>
      <w:r>
        <w:t xml:space="preserve"> </w:t>
      </w:r>
      <w:r w:rsidRPr="00404EF4">
        <w:t>výši</w:t>
      </w:r>
      <w:r>
        <w:t xml:space="preserve"> </w:t>
      </w:r>
      <w:r w:rsidRPr="00404EF4">
        <w:t>a</w:t>
      </w:r>
      <w:r>
        <w:t xml:space="preserve"> </w:t>
      </w:r>
      <w:r w:rsidRPr="00404EF4">
        <w:t>za</w:t>
      </w:r>
      <w:r>
        <w:t xml:space="preserve"> </w:t>
      </w:r>
      <w:r w:rsidRPr="00404EF4">
        <w:t>podmínek</w:t>
      </w:r>
      <w:r>
        <w:t xml:space="preserve"> </w:t>
      </w:r>
      <w:r w:rsidRPr="00404EF4">
        <w:t>stanovených</w:t>
      </w:r>
      <w:r>
        <w:t xml:space="preserve"> </w:t>
      </w:r>
      <w:r w:rsidRPr="00404EF4">
        <w:t>zákoníkem</w:t>
      </w:r>
      <w:r>
        <w:t xml:space="preserve"> práce</w:t>
      </w:r>
      <w:r>
        <w:rPr>
          <w:rStyle w:val="Znakapoznpodarou"/>
        </w:rPr>
        <w:footnoteReference w:customMarkFollows="1" w:id="417"/>
        <w:t>34)</w:t>
      </w:r>
      <w:r w:rsidRPr="00404EF4">
        <w:t>.</w:t>
      </w:r>
      <w:r>
        <w:t xml:space="preserve"> </w:t>
      </w:r>
      <w:r w:rsidRPr="00404EF4">
        <w:t>Předseda</w:t>
      </w:r>
      <w:r>
        <w:t xml:space="preserve"> </w:t>
      </w:r>
      <w:r w:rsidRPr="00404EF4">
        <w:t>a</w:t>
      </w:r>
      <w:r>
        <w:t xml:space="preserve"> </w:t>
      </w:r>
      <w:r w:rsidRPr="00404EF4">
        <w:t>členové</w:t>
      </w:r>
      <w:r>
        <w:t xml:space="preserve"> </w:t>
      </w:r>
      <w:r w:rsidRPr="00404EF4">
        <w:t>předsednictva</w:t>
      </w:r>
      <w:r>
        <w:t xml:space="preserve"> </w:t>
      </w:r>
      <w:r w:rsidRPr="00404EF4">
        <w:t>Grantové</w:t>
      </w:r>
      <w:r>
        <w:t xml:space="preserve"> </w:t>
      </w:r>
      <w:r w:rsidRPr="00404EF4">
        <w:t>agentury</w:t>
      </w:r>
      <w:r>
        <w:t xml:space="preserve"> </w:t>
      </w:r>
      <w:r w:rsidRPr="00404EF4">
        <w:t>České</w:t>
      </w:r>
      <w:r>
        <w:t xml:space="preserve"> </w:t>
      </w:r>
      <w:r w:rsidRPr="00404EF4">
        <w:t>republiky</w:t>
      </w:r>
      <w:r>
        <w:t xml:space="preserve"> </w:t>
      </w:r>
      <w:r w:rsidRPr="00404EF4">
        <w:t>vykonávají</w:t>
      </w:r>
      <w:r>
        <w:t xml:space="preserve"> </w:t>
      </w:r>
      <w:r w:rsidRPr="00404EF4">
        <w:t>funkci</w:t>
      </w:r>
      <w:r>
        <w:t xml:space="preserve"> </w:t>
      </w:r>
      <w:r w:rsidRPr="00404EF4">
        <w:t>v</w:t>
      </w:r>
      <w:r>
        <w:t xml:space="preserve"> </w:t>
      </w:r>
      <w:r w:rsidRPr="00404EF4">
        <w:t>pracovním</w:t>
      </w:r>
      <w:r>
        <w:t xml:space="preserve"> </w:t>
      </w:r>
      <w:r w:rsidRPr="00404EF4">
        <w:t>poměru.</w:t>
      </w:r>
      <w:r>
        <w:t xml:space="preserve"> </w:t>
      </w:r>
      <w:r w:rsidRPr="00404EF4">
        <w:t>Platové</w:t>
      </w:r>
      <w:r>
        <w:t xml:space="preserve"> </w:t>
      </w:r>
      <w:r w:rsidRPr="00404EF4">
        <w:t>poměry</w:t>
      </w:r>
      <w:r>
        <w:t xml:space="preserve"> </w:t>
      </w:r>
      <w:r w:rsidRPr="00404EF4">
        <w:t>předsedy</w:t>
      </w:r>
      <w:r>
        <w:t xml:space="preserve"> </w:t>
      </w:r>
      <w:r w:rsidRPr="00404EF4">
        <w:t>a</w:t>
      </w:r>
      <w:r>
        <w:t xml:space="preserve"> </w:t>
      </w:r>
      <w:r w:rsidRPr="00404EF4">
        <w:t>členů</w:t>
      </w:r>
      <w:r>
        <w:t xml:space="preserve"> </w:t>
      </w:r>
      <w:r w:rsidRPr="00404EF4">
        <w:t>předsednictva</w:t>
      </w:r>
      <w:r>
        <w:t xml:space="preserve"> </w:t>
      </w:r>
      <w:r w:rsidRPr="00404EF4">
        <w:t>Grantové</w:t>
      </w:r>
      <w:r>
        <w:t xml:space="preserve"> </w:t>
      </w:r>
      <w:r w:rsidRPr="00404EF4">
        <w:t>agentury</w:t>
      </w:r>
      <w:r>
        <w:t xml:space="preserve"> </w:t>
      </w:r>
      <w:r w:rsidRPr="00404EF4">
        <w:t>České</w:t>
      </w:r>
      <w:r>
        <w:t xml:space="preserve"> </w:t>
      </w:r>
      <w:r w:rsidRPr="00404EF4">
        <w:t>republiky</w:t>
      </w:r>
      <w:r>
        <w:t xml:space="preserve"> </w:t>
      </w:r>
      <w:r w:rsidRPr="00404EF4">
        <w:t>se</w:t>
      </w:r>
      <w:r>
        <w:t xml:space="preserve"> </w:t>
      </w:r>
      <w:r w:rsidRPr="00404EF4">
        <w:t>řídí</w:t>
      </w:r>
      <w:r>
        <w:t xml:space="preserve"> </w:t>
      </w:r>
      <w:r w:rsidRPr="00404EF4">
        <w:t>právními</w:t>
      </w:r>
      <w:r>
        <w:t xml:space="preserve"> </w:t>
      </w:r>
      <w:r w:rsidRPr="00404EF4">
        <w:t>předpisy</w:t>
      </w:r>
      <w:r>
        <w:t xml:space="preserve"> </w:t>
      </w:r>
      <w:r w:rsidRPr="00404EF4">
        <w:t>upravujícími</w:t>
      </w:r>
      <w:r>
        <w:t xml:space="preserve"> </w:t>
      </w:r>
      <w:r w:rsidRPr="00404EF4">
        <w:t>platové</w:t>
      </w:r>
      <w:r>
        <w:t xml:space="preserve"> </w:t>
      </w:r>
      <w:r w:rsidRPr="00404EF4">
        <w:t>poměry</w:t>
      </w:r>
      <w:r>
        <w:t xml:space="preserve"> </w:t>
      </w:r>
      <w:r w:rsidRPr="00404EF4">
        <w:t>zaměstnanců</w:t>
      </w:r>
      <w:r>
        <w:t xml:space="preserve"> </w:t>
      </w:r>
      <w:r w:rsidRPr="00404EF4">
        <w:t>v</w:t>
      </w:r>
      <w:r>
        <w:t xml:space="preserve"> </w:t>
      </w:r>
      <w:r w:rsidRPr="00404EF4">
        <w:t>orgánech</w:t>
      </w:r>
      <w:r>
        <w:t xml:space="preserve"> </w:t>
      </w:r>
      <w:r w:rsidRPr="00404EF4">
        <w:t>státní</w:t>
      </w:r>
      <w:r>
        <w:t xml:space="preserve"> správy</w:t>
      </w:r>
      <w:r>
        <w:rPr>
          <w:rStyle w:val="Znakapoznpodarou"/>
        </w:rPr>
        <w:footnoteReference w:customMarkFollows="1" w:id="418"/>
        <w:t>35)</w:t>
      </w:r>
      <w:r w:rsidRPr="00404EF4">
        <w:t>.</w:t>
      </w:r>
    </w:p>
    <w:p w14:paraId="1F679910" w14:textId="77777777" w:rsidR="00137BFD" w:rsidRDefault="00137BFD" w:rsidP="00423E87">
      <w:pPr>
        <w:pStyle w:val="Textparagrafu"/>
        <w:tabs>
          <w:tab w:val="left" w:pos="392"/>
          <w:tab w:val="left" w:pos="840"/>
        </w:tabs>
        <w:spacing w:before="120" w:after="120"/>
      </w:pPr>
      <w:r w:rsidRPr="00404EF4">
        <w:lastRenderedPageBreak/>
        <w:t>(4)</w:t>
      </w:r>
      <w:r>
        <w:t xml:space="preserve"> </w:t>
      </w:r>
      <w:r w:rsidRPr="00404EF4">
        <w:t>Předseda</w:t>
      </w:r>
      <w:r>
        <w:t xml:space="preserve"> </w:t>
      </w:r>
      <w:r w:rsidRPr="00404EF4">
        <w:t>Grantové</w:t>
      </w:r>
      <w:r>
        <w:t xml:space="preserve"> </w:t>
      </w:r>
      <w:r w:rsidRPr="00404EF4">
        <w:t>agentury</w:t>
      </w:r>
      <w:r>
        <w:t xml:space="preserve"> </w:t>
      </w:r>
      <w:r w:rsidRPr="00404EF4">
        <w:t>České</w:t>
      </w:r>
      <w:r>
        <w:t xml:space="preserve"> </w:t>
      </w:r>
      <w:r w:rsidRPr="00404EF4">
        <w:t>republiky</w:t>
      </w:r>
      <w:r>
        <w:t xml:space="preserve"> </w:t>
      </w:r>
      <w:r w:rsidRPr="00404EF4">
        <w:t>zastupuje</w:t>
      </w:r>
      <w:r>
        <w:t xml:space="preserve"> </w:t>
      </w:r>
      <w:r w:rsidRPr="00404EF4">
        <w:t>Grantovou</w:t>
      </w:r>
      <w:r>
        <w:t xml:space="preserve"> </w:t>
      </w:r>
      <w:r w:rsidRPr="00404EF4">
        <w:t>agenturu</w:t>
      </w:r>
      <w:r>
        <w:t xml:space="preserve"> </w:t>
      </w:r>
      <w:r w:rsidRPr="00404EF4">
        <w:t>České</w:t>
      </w:r>
      <w:r>
        <w:t xml:space="preserve"> </w:t>
      </w:r>
      <w:r w:rsidRPr="00404EF4">
        <w:t>republiky</w:t>
      </w:r>
      <w:r>
        <w:t xml:space="preserve"> </w:t>
      </w:r>
      <w:r w:rsidRPr="00404EF4">
        <w:t>navenek</w:t>
      </w:r>
      <w:r>
        <w:t xml:space="preserve"> </w:t>
      </w:r>
      <w:r w:rsidRPr="00404EF4">
        <w:t>a</w:t>
      </w:r>
      <w:r>
        <w:t xml:space="preserve"> </w:t>
      </w:r>
      <w:r w:rsidRPr="00404EF4">
        <w:t>jedná</w:t>
      </w:r>
      <w:r>
        <w:t xml:space="preserve"> </w:t>
      </w:r>
      <w:r w:rsidRPr="00404EF4">
        <w:t>jejím</w:t>
      </w:r>
      <w:r>
        <w:t xml:space="preserve"> </w:t>
      </w:r>
      <w:r w:rsidRPr="00404EF4">
        <w:t>jménem</w:t>
      </w:r>
      <w:r>
        <w:t xml:space="preserve"> </w:t>
      </w:r>
      <w:r w:rsidRPr="00404EF4">
        <w:t>ve</w:t>
      </w:r>
      <w:r>
        <w:t xml:space="preserve"> </w:t>
      </w:r>
      <w:r w:rsidRPr="00404EF4">
        <w:t>všech</w:t>
      </w:r>
      <w:r>
        <w:t xml:space="preserve"> </w:t>
      </w:r>
      <w:r w:rsidRPr="00404EF4">
        <w:t>jejích</w:t>
      </w:r>
      <w:r>
        <w:t xml:space="preserve"> </w:t>
      </w:r>
      <w:r w:rsidRPr="00404EF4">
        <w:t>věcech.</w:t>
      </w:r>
      <w:r>
        <w:t xml:space="preserve"> </w:t>
      </w:r>
      <w:r w:rsidRPr="00404EF4">
        <w:t>Předsedu</w:t>
      </w:r>
      <w:r>
        <w:t xml:space="preserve"> </w:t>
      </w:r>
      <w:r w:rsidRPr="00404EF4">
        <w:t>Grantové</w:t>
      </w:r>
      <w:r>
        <w:t xml:space="preserve"> </w:t>
      </w:r>
      <w:r w:rsidRPr="00404EF4">
        <w:t>agentury</w:t>
      </w:r>
      <w:r>
        <w:t xml:space="preserve"> </w:t>
      </w:r>
      <w:r w:rsidRPr="00404EF4">
        <w:t>České</w:t>
      </w:r>
      <w:r>
        <w:t xml:space="preserve"> </w:t>
      </w:r>
      <w:r w:rsidRPr="00404EF4">
        <w:t>republiky</w:t>
      </w:r>
      <w:r>
        <w:t xml:space="preserve"> </w:t>
      </w:r>
      <w:r w:rsidRPr="00404EF4">
        <w:t>jmenuje</w:t>
      </w:r>
      <w:r>
        <w:t xml:space="preserve"> </w:t>
      </w:r>
      <w:r w:rsidRPr="00404EF4">
        <w:t>z</w:t>
      </w:r>
      <w:r>
        <w:t xml:space="preserve"> </w:t>
      </w:r>
      <w:r w:rsidRPr="00404EF4">
        <w:t>členů</w:t>
      </w:r>
      <w:r>
        <w:t xml:space="preserve"> </w:t>
      </w:r>
      <w:r w:rsidRPr="00404EF4">
        <w:t>předsednictva</w:t>
      </w:r>
      <w:r>
        <w:t xml:space="preserve"> </w:t>
      </w:r>
      <w:r w:rsidRPr="00404EF4">
        <w:t>Grantové</w:t>
      </w:r>
      <w:r>
        <w:t xml:space="preserve"> </w:t>
      </w:r>
      <w:r w:rsidRPr="00404EF4">
        <w:t>agentury</w:t>
      </w:r>
      <w:r>
        <w:t xml:space="preserve"> </w:t>
      </w:r>
      <w:r w:rsidRPr="00404EF4">
        <w:t>České</w:t>
      </w:r>
      <w:r>
        <w:t xml:space="preserve"> </w:t>
      </w:r>
      <w:r w:rsidRPr="00404EF4">
        <w:t>republiky</w:t>
      </w:r>
      <w:r>
        <w:t xml:space="preserve"> </w:t>
      </w:r>
      <w:r w:rsidRPr="00404EF4">
        <w:t>a</w:t>
      </w:r>
      <w:r>
        <w:t xml:space="preserve"> </w:t>
      </w:r>
      <w:r w:rsidRPr="00404EF4">
        <w:t>odvolává</w:t>
      </w:r>
      <w:r>
        <w:t xml:space="preserve"> </w:t>
      </w:r>
      <w:r w:rsidRPr="00404EF4">
        <w:t>na</w:t>
      </w:r>
      <w:r>
        <w:t xml:space="preserve"> </w:t>
      </w:r>
      <w:r w:rsidRPr="00404EF4">
        <w:t>návrh</w:t>
      </w:r>
      <w:r>
        <w:t xml:space="preserve"> </w:t>
      </w:r>
      <w:r w:rsidRPr="00404EF4">
        <w:t>Rady</w:t>
      </w:r>
      <w:r>
        <w:t xml:space="preserve"> </w:t>
      </w:r>
      <w:r w:rsidRPr="00404EF4">
        <w:t>pro</w:t>
      </w:r>
      <w:r>
        <w:t xml:space="preserve"> </w:t>
      </w:r>
      <w:r w:rsidRPr="00404EF4">
        <w:t>výzkum,</w:t>
      </w:r>
      <w:r>
        <w:t xml:space="preserve"> </w:t>
      </w:r>
      <w:r w:rsidRPr="00404EF4">
        <w:t>vývoj</w:t>
      </w:r>
      <w:r>
        <w:t xml:space="preserve"> </w:t>
      </w:r>
      <w:r w:rsidRPr="00404EF4">
        <w:t>a</w:t>
      </w:r>
      <w:r>
        <w:t xml:space="preserve"> </w:t>
      </w:r>
      <w:r w:rsidRPr="00404EF4">
        <w:t>inovace</w:t>
      </w:r>
      <w:r>
        <w:t xml:space="preserve"> </w:t>
      </w:r>
      <w:r w:rsidRPr="00404EF4">
        <w:t>vláda.</w:t>
      </w:r>
    </w:p>
    <w:p w14:paraId="6467B57B" w14:textId="77777777" w:rsidR="00137BFD" w:rsidRDefault="00137BFD" w:rsidP="00423E87">
      <w:pPr>
        <w:pStyle w:val="Textparagrafu"/>
        <w:tabs>
          <w:tab w:val="left" w:pos="392"/>
          <w:tab w:val="left" w:pos="840"/>
        </w:tabs>
        <w:spacing w:before="120" w:after="120"/>
      </w:pPr>
      <w:r w:rsidRPr="00404EF4">
        <w:t>(5)</w:t>
      </w:r>
      <w:r>
        <w:t xml:space="preserve"> </w:t>
      </w:r>
      <w:r w:rsidRPr="00404EF4">
        <w:t>Předsednictvo</w:t>
      </w:r>
      <w:r>
        <w:t xml:space="preserve"> </w:t>
      </w:r>
      <w:r w:rsidRPr="00404EF4">
        <w:t>Grantové</w:t>
      </w:r>
      <w:r>
        <w:t xml:space="preserve"> </w:t>
      </w:r>
      <w:r w:rsidRPr="00404EF4">
        <w:t>agentury</w:t>
      </w:r>
      <w:r>
        <w:t xml:space="preserve"> </w:t>
      </w:r>
      <w:r w:rsidRPr="00404EF4">
        <w:t>České</w:t>
      </w:r>
      <w:r>
        <w:t xml:space="preserve"> </w:t>
      </w:r>
      <w:r w:rsidRPr="00404EF4">
        <w:t>republiky</w:t>
      </w:r>
      <w:r>
        <w:t xml:space="preserve"> </w:t>
      </w:r>
      <w:r w:rsidRPr="00404EF4">
        <w:t>je</w:t>
      </w:r>
      <w:r>
        <w:t xml:space="preserve"> </w:t>
      </w:r>
      <w:r w:rsidRPr="00404EF4">
        <w:t>výkonným</w:t>
      </w:r>
      <w:r>
        <w:t xml:space="preserve"> </w:t>
      </w:r>
      <w:r w:rsidRPr="00404EF4">
        <w:t>orgánem</w:t>
      </w:r>
      <w:r>
        <w:t xml:space="preserve"> </w:t>
      </w:r>
      <w:r w:rsidRPr="00404EF4">
        <w:t>Grantové</w:t>
      </w:r>
      <w:r>
        <w:t xml:space="preserve"> </w:t>
      </w:r>
      <w:r w:rsidRPr="00404EF4">
        <w:t>agentury</w:t>
      </w:r>
      <w:r>
        <w:t xml:space="preserve"> </w:t>
      </w:r>
      <w:r w:rsidRPr="00404EF4">
        <w:t>České</w:t>
      </w:r>
      <w:r>
        <w:t xml:space="preserve"> </w:t>
      </w:r>
      <w:r w:rsidRPr="00404EF4">
        <w:t>republiky,</w:t>
      </w:r>
      <w:r>
        <w:t xml:space="preserve"> </w:t>
      </w:r>
      <w:r w:rsidRPr="00404EF4">
        <w:t>který</w:t>
      </w:r>
      <w:r>
        <w:t xml:space="preserve"> </w:t>
      </w:r>
      <w:r w:rsidRPr="00404EF4">
        <w:t>schvaluje</w:t>
      </w:r>
      <w:r>
        <w:t xml:space="preserve"> </w:t>
      </w:r>
      <w:r w:rsidRPr="00404EF4">
        <w:t>vyhlášení</w:t>
      </w:r>
      <w:r>
        <w:t xml:space="preserve"> </w:t>
      </w:r>
      <w:r w:rsidRPr="00404EF4">
        <w:t>veřejných</w:t>
      </w:r>
      <w:r>
        <w:t xml:space="preserve"> </w:t>
      </w:r>
      <w:r w:rsidRPr="00404EF4">
        <w:t>soutěží</w:t>
      </w:r>
      <w:r>
        <w:t xml:space="preserve"> </w:t>
      </w:r>
      <w:r w:rsidRPr="00404EF4">
        <w:t>ve</w:t>
      </w:r>
      <w:r>
        <w:t xml:space="preserve"> </w:t>
      </w:r>
      <w:r w:rsidRPr="00404EF4">
        <w:t>výzkumu,</w:t>
      </w:r>
      <w:r>
        <w:t xml:space="preserve"> </w:t>
      </w:r>
      <w:r w:rsidRPr="00404EF4">
        <w:t>vývoji</w:t>
      </w:r>
      <w:r>
        <w:t xml:space="preserve"> </w:t>
      </w:r>
      <w:r w:rsidRPr="00404EF4">
        <w:t>a</w:t>
      </w:r>
      <w:r>
        <w:t xml:space="preserve"> </w:t>
      </w:r>
      <w:r w:rsidRPr="00404EF4">
        <w:t>inovacích,</w:t>
      </w:r>
      <w:r>
        <w:t xml:space="preserve"> </w:t>
      </w:r>
      <w:r w:rsidRPr="00404EF4">
        <w:t>rozhoduje</w:t>
      </w:r>
      <w:r>
        <w:t xml:space="preserve"> </w:t>
      </w:r>
      <w:r w:rsidRPr="00404EF4">
        <w:t>o</w:t>
      </w:r>
      <w:r>
        <w:t xml:space="preserve"> </w:t>
      </w:r>
      <w:r w:rsidRPr="00404EF4">
        <w:t>uzavření</w:t>
      </w:r>
      <w:r>
        <w:t xml:space="preserve"> </w:t>
      </w:r>
      <w:r w:rsidRPr="00404EF4">
        <w:t>smluv</w:t>
      </w:r>
      <w:r>
        <w:t xml:space="preserve"> </w:t>
      </w:r>
      <w:r w:rsidRPr="00404EF4">
        <w:t>o</w:t>
      </w:r>
      <w:r>
        <w:t xml:space="preserve"> </w:t>
      </w:r>
      <w:r w:rsidRPr="00404EF4">
        <w:t>poskytnutí</w:t>
      </w:r>
      <w:r>
        <w:t xml:space="preserve"> </w:t>
      </w:r>
      <w:r w:rsidRPr="00404EF4">
        <w:t>podpory</w:t>
      </w:r>
      <w:r>
        <w:t xml:space="preserve"> </w:t>
      </w:r>
      <w:r w:rsidRPr="00404EF4">
        <w:t>nebo</w:t>
      </w:r>
      <w:r>
        <w:t xml:space="preserve"> </w:t>
      </w:r>
      <w:r w:rsidRPr="00404EF4">
        <w:t>o</w:t>
      </w:r>
      <w:r>
        <w:t xml:space="preserve"> </w:t>
      </w:r>
      <w:r w:rsidRPr="00404EF4">
        <w:t>vydání</w:t>
      </w:r>
      <w:r>
        <w:t xml:space="preserve"> </w:t>
      </w:r>
      <w:r w:rsidRPr="00404EF4">
        <w:t>rozhodnutí</w:t>
      </w:r>
      <w:r>
        <w:t xml:space="preserve"> </w:t>
      </w:r>
      <w:r w:rsidRPr="00404EF4">
        <w:t>o</w:t>
      </w:r>
      <w:r>
        <w:t xml:space="preserve"> </w:t>
      </w:r>
      <w:r w:rsidRPr="00404EF4">
        <w:t>poskytnutí</w:t>
      </w:r>
      <w:r>
        <w:t xml:space="preserve"> </w:t>
      </w:r>
      <w:r w:rsidRPr="00404EF4">
        <w:t>podpory,</w:t>
      </w:r>
      <w:r>
        <w:t xml:space="preserve"> </w:t>
      </w:r>
      <w:r w:rsidRPr="00404EF4">
        <w:t>předkládá</w:t>
      </w:r>
      <w:r>
        <w:t xml:space="preserve"> </w:t>
      </w:r>
      <w:r w:rsidRPr="00404EF4">
        <w:t>vládě</w:t>
      </w:r>
      <w:r>
        <w:t xml:space="preserve"> </w:t>
      </w:r>
      <w:r w:rsidRPr="00404EF4">
        <w:t>ke</w:t>
      </w:r>
      <w:r>
        <w:t xml:space="preserve"> </w:t>
      </w:r>
      <w:r w:rsidRPr="00404EF4">
        <w:t>schválení</w:t>
      </w:r>
      <w:r>
        <w:t xml:space="preserve"> </w:t>
      </w:r>
      <w:r w:rsidRPr="00404EF4">
        <w:t>návrh</w:t>
      </w:r>
      <w:r>
        <w:t xml:space="preserve"> </w:t>
      </w:r>
      <w:r w:rsidRPr="00404EF4">
        <w:t>statutu</w:t>
      </w:r>
      <w:r>
        <w:t xml:space="preserve"> </w:t>
      </w:r>
      <w:r w:rsidRPr="00404EF4">
        <w:t>Grantové</w:t>
      </w:r>
      <w:r>
        <w:t xml:space="preserve"> </w:t>
      </w:r>
      <w:r w:rsidRPr="00404EF4">
        <w:t>agentury</w:t>
      </w:r>
      <w:r>
        <w:t xml:space="preserve"> </w:t>
      </w:r>
      <w:r w:rsidRPr="00404EF4">
        <w:t>České</w:t>
      </w:r>
      <w:r>
        <w:t xml:space="preserve"> </w:t>
      </w:r>
      <w:r w:rsidRPr="00404EF4">
        <w:t>republiky</w:t>
      </w:r>
      <w:r>
        <w:t xml:space="preserve"> </w:t>
      </w:r>
      <w:r w:rsidRPr="00404EF4">
        <w:t>a</w:t>
      </w:r>
      <w:r>
        <w:t xml:space="preserve"> </w:t>
      </w:r>
      <w:r w:rsidRPr="00404EF4">
        <w:t>jeho</w:t>
      </w:r>
      <w:r>
        <w:t xml:space="preserve"> </w:t>
      </w:r>
      <w:r w:rsidRPr="00404EF4">
        <w:t>změn</w:t>
      </w:r>
      <w:r>
        <w:t xml:space="preserve"> </w:t>
      </w:r>
      <w:r w:rsidRPr="00404EF4">
        <w:t>a</w:t>
      </w:r>
      <w:r>
        <w:t xml:space="preserve"> </w:t>
      </w:r>
      <w:r w:rsidRPr="00404EF4">
        <w:t>předkládá</w:t>
      </w:r>
      <w:r>
        <w:t xml:space="preserve"> </w:t>
      </w:r>
      <w:r w:rsidRPr="00404EF4">
        <w:t>návrh</w:t>
      </w:r>
      <w:r>
        <w:t xml:space="preserve"> </w:t>
      </w:r>
      <w:r w:rsidRPr="00404EF4">
        <w:t>rozpočtu</w:t>
      </w:r>
      <w:r>
        <w:t xml:space="preserve"> </w:t>
      </w:r>
      <w:r w:rsidRPr="00404EF4">
        <w:t>Grantové</w:t>
      </w:r>
      <w:r>
        <w:t xml:space="preserve"> </w:t>
      </w:r>
      <w:r w:rsidRPr="00404EF4">
        <w:t>agentury</w:t>
      </w:r>
      <w:r>
        <w:t xml:space="preserve"> </w:t>
      </w:r>
      <w:r w:rsidRPr="00404EF4">
        <w:t>České</w:t>
      </w:r>
      <w:r>
        <w:t xml:space="preserve"> </w:t>
      </w:r>
      <w:r w:rsidRPr="00404EF4">
        <w:t>republiky.</w:t>
      </w:r>
      <w:r>
        <w:t xml:space="preserve"> </w:t>
      </w:r>
      <w:r w:rsidRPr="00404EF4">
        <w:t>Předsednictvo</w:t>
      </w:r>
      <w:r>
        <w:t xml:space="preserve"> </w:t>
      </w:r>
      <w:r w:rsidRPr="00404EF4">
        <w:t>Grantové</w:t>
      </w:r>
      <w:r>
        <w:t xml:space="preserve"> </w:t>
      </w:r>
      <w:r w:rsidRPr="00404EF4">
        <w:t>agentury</w:t>
      </w:r>
      <w:r>
        <w:t xml:space="preserve"> </w:t>
      </w:r>
      <w:r w:rsidRPr="00404EF4">
        <w:t>České</w:t>
      </w:r>
      <w:r>
        <w:t xml:space="preserve"> </w:t>
      </w:r>
      <w:r w:rsidRPr="00404EF4">
        <w:t>republiky</w:t>
      </w:r>
      <w:r>
        <w:t xml:space="preserve"> </w:t>
      </w:r>
      <w:r w:rsidRPr="00404EF4">
        <w:t>má</w:t>
      </w:r>
      <w:r>
        <w:t xml:space="preserve"> </w:t>
      </w:r>
      <w:r w:rsidRPr="00404EF4">
        <w:t>pět</w:t>
      </w:r>
      <w:r>
        <w:t xml:space="preserve"> </w:t>
      </w:r>
      <w:r w:rsidRPr="00404EF4">
        <w:t>členů.</w:t>
      </w:r>
      <w:r>
        <w:t xml:space="preserve"> </w:t>
      </w:r>
      <w:r w:rsidRPr="00404EF4">
        <w:t>Funkční</w:t>
      </w:r>
      <w:r>
        <w:t xml:space="preserve"> </w:t>
      </w:r>
      <w:r w:rsidRPr="00404EF4">
        <w:t>období</w:t>
      </w:r>
      <w:r>
        <w:t xml:space="preserve"> </w:t>
      </w:r>
      <w:r w:rsidRPr="00404EF4">
        <w:t>členů</w:t>
      </w:r>
      <w:r>
        <w:t xml:space="preserve"> </w:t>
      </w:r>
      <w:r w:rsidRPr="00404EF4">
        <w:t>předsednictva</w:t>
      </w:r>
      <w:r>
        <w:t xml:space="preserve"> </w:t>
      </w:r>
      <w:r w:rsidRPr="00404EF4">
        <w:t>Grantové</w:t>
      </w:r>
      <w:r>
        <w:t xml:space="preserve"> </w:t>
      </w:r>
      <w:r w:rsidRPr="00404EF4">
        <w:t>agentury</w:t>
      </w:r>
      <w:r>
        <w:t xml:space="preserve"> </w:t>
      </w:r>
      <w:r w:rsidRPr="00404EF4">
        <w:t>České</w:t>
      </w:r>
      <w:r>
        <w:t xml:space="preserve"> </w:t>
      </w:r>
      <w:r w:rsidRPr="00404EF4">
        <w:t>republiky</w:t>
      </w:r>
      <w:r>
        <w:t xml:space="preserve"> </w:t>
      </w:r>
      <w:r w:rsidRPr="00404EF4">
        <w:t>je</w:t>
      </w:r>
      <w:r>
        <w:t xml:space="preserve"> </w:t>
      </w:r>
      <w:r w:rsidRPr="00404EF4">
        <w:t>čtyřleté</w:t>
      </w:r>
      <w:r>
        <w:t xml:space="preserve"> </w:t>
      </w:r>
      <w:r w:rsidRPr="00404EF4">
        <w:t>s</w:t>
      </w:r>
      <w:r>
        <w:t xml:space="preserve"> </w:t>
      </w:r>
      <w:r w:rsidRPr="00404EF4">
        <w:t>možností</w:t>
      </w:r>
      <w:r>
        <w:t xml:space="preserve"> </w:t>
      </w:r>
      <w:r w:rsidRPr="00404EF4">
        <w:t>jmenování</w:t>
      </w:r>
      <w:r>
        <w:t xml:space="preserve"> </w:t>
      </w:r>
      <w:r w:rsidRPr="00404EF4">
        <w:t>nejvýše</w:t>
      </w:r>
      <w:r>
        <w:t xml:space="preserve"> </w:t>
      </w:r>
      <w:r w:rsidRPr="00404EF4">
        <w:t>na</w:t>
      </w:r>
      <w:r>
        <w:t xml:space="preserve"> </w:t>
      </w:r>
      <w:r w:rsidRPr="00404EF4">
        <w:t>dvě</w:t>
      </w:r>
      <w:r>
        <w:t xml:space="preserve"> </w:t>
      </w:r>
      <w:r w:rsidRPr="00404EF4">
        <w:t>období</w:t>
      </w:r>
      <w:r>
        <w:t xml:space="preserve"> </w:t>
      </w:r>
      <w:r w:rsidRPr="00404EF4">
        <w:t>po</w:t>
      </w:r>
      <w:r>
        <w:t xml:space="preserve"> </w:t>
      </w:r>
      <w:r w:rsidRPr="00404EF4">
        <w:t>sobě</w:t>
      </w:r>
      <w:r>
        <w:t xml:space="preserve"> </w:t>
      </w:r>
      <w:r w:rsidRPr="00404EF4">
        <w:t>následující.</w:t>
      </w:r>
      <w:r>
        <w:t xml:space="preserve"> </w:t>
      </w:r>
      <w:r w:rsidRPr="00404EF4">
        <w:t>Členy</w:t>
      </w:r>
      <w:r>
        <w:t xml:space="preserve"> </w:t>
      </w:r>
      <w:r w:rsidRPr="00404EF4">
        <w:t>předsednictva</w:t>
      </w:r>
      <w:r>
        <w:t xml:space="preserve"> </w:t>
      </w:r>
      <w:r w:rsidRPr="00404EF4">
        <w:t>Grantové</w:t>
      </w:r>
      <w:r>
        <w:t xml:space="preserve"> </w:t>
      </w:r>
      <w:r w:rsidRPr="00404EF4">
        <w:t>agentury</w:t>
      </w:r>
      <w:r>
        <w:t xml:space="preserve"> </w:t>
      </w:r>
      <w:r w:rsidRPr="00404EF4">
        <w:t>České</w:t>
      </w:r>
      <w:r>
        <w:t xml:space="preserve"> </w:t>
      </w:r>
      <w:r w:rsidRPr="00404EF4">
        <w:t>republiky</w:t>
      </w:r>
      <w:r>
        <w:t xml:space="preserve"> </w:t>
      </w:r>
      <w:r w:rsidRPr="00404EF4">
        <w:t>jmenuje</w:t>
      </w:r>
      <w:r>
        <w:t xml:space="preserve"> </w:t>
      </w:r>
      <w:r w:rsidRPr="00404EF4">
        <w:t>a</w:t>
      </w:r>
      <w:r>
        <w:t xml:space="preserve"> </w:t>
      </w:r>
      <w:r w:rsidRPr="00404EF4">
        <w:t>odvolává</w:t>
      </w:r>
      <w:r>
        <w:t xml:space="preserve"> </w:t>
      </w:r>
      <w:r w:rsidRPr="00404EF4">
        <w:t>vláda</w:t>
      </w:r>
      <w:r>
        <w:t xml:space="preserve"> </w:t>
      </w:r>
      <w:r w:rsidRPr="00404EF4">
        <w:t>na</w:t>
      </w:r>
      <w:r>
        <w:t xml:space="preserve"> </w:t>
      </w:r>
      <w:r w:rsidRPr="00404EF4">
        <w:t>návrh</w:t>
      </w:r>
      <w:r>
        <w:t xml:space="preserve"> </w:t>
      </w:r>
      <w:r w:rsidRPr="00404EF4">
        <w:t>Rady</w:t>
      </w:r>
      <w:r>
        <w:t xml:space="preserve"> </w:t>
      </w:r>
      <w:r w:rsidRPr="00404EF4">
        <w:t>pro</w:t>
      </w:r>
      <w:r>
        <w:t xml:space="preserve"> </w:t>
      </w:r>
      <w:r w:rsidRPr="00404EF4">
        <w:t>výzkum,</w:t>
      </w:r>
      <w:r>
        <w:t xml:space="preserve"> </w:t>
      </w:r>
      <w:r w:rsidRPr="00404EF4">
        <w:t>vývoj</w:t>
      </w:r>
      <w:r>
        <w:t xml:space="preserve"> </w:t>
      </w:r>
      <w:r w:rsidRPr="00404EF4">
        <w:t>a</w:t>
      </w:r>
      <w:r>
        <w:t xml:space="preserve"> </w:t>
      </w:r>
      <w:r w:rsidRPr="00404EF4">
        <w:t>inovace.</w:t>
      </w:r>
      <w:r>
        <w:t xml:space="preserve"> </w:t>
      </w:r>
      <w:r w:rsidRPr="00404EF4">
        <w:t>Předsednictvo</w:t>
      </w:r>
      <w:r>
        <w:t xml:space="preserve"> </w:t>
      </w:r>
      <w:r w:rsidRPr="00404EF4">
        <w:t>Grantové</w:t>
      </w:r>
      <w:r>
        <w:t xml:space="preserve"> </w:t>
      </w:r>
      <w:r w:rsidRPr="00404EF4">
        <w:t>agentury</w:t>
      </w:r>
      <w:r>
        <w:t xml:space="preserve"> </w:t>
      </w:r>
      <w:r w:rsidRPr="00404EF4">
        <w:t>České</w:t>
      </w:r>
      <w:r>
        <w:t xml:space="preserve"> </w:t>
      </w:r>
      <w:r w:rsidRPr="00404EF4">
        <w:t>republiky</w:t>
      </w:r>
      <w:r>
        <w:t xml:space="preserve"> </w:t>
      </w:r>
      <w:r w:rsidRPr="00404EF4">
        <w:t>koordinuje</w:t>
      </w:r>
      <w:r>
        <w:t xml:space="preserve"> </w:t>
      </w:r>
      <w:r w:rsidRPr="00404EF4">
        <w:t>činnost</w:t>
      </w:r>
      <w:r>
        <w:t xml:space="preserve"> </w:t>
      </w:r>
      <w:r w:rsidRPr="00404EF4">
        <w:t>oborových</w:t>
      </w:r>
      <w:r>
        <w:t xml:space="preserve"> </w:t>
      </w:r>
      <w:r w:rsidRPr="00404EF4">
        <w:t>komisí</w:t>
      </w:r>
      <w:r>
        <w:t xml:space="preserve"> </w:t>
      </w:r>
      <w:r w:rsidRPr="00404EF4">
        <w:t>jako</w:t>
      </w:r>
      <w:r>
        <w:t xml:space="preserve"> </w:t>
      </w:r>
      <w:r w:rsidRPr="00404EF4">
        <w:t>poradních</w:t>
      </w:r>
      <w:r>
        <w:t xml:space="preserve"> </w:t>
      </w:r>
      <w:r w:rsidRPr="00404EF4">
        <w:t>orgánů</w:t>
      </w:r>
      <w:r>
        <w:t xml:space="preserve"> </w:t>
      </w:r>
      <w:r w:rsidRPr="00404EF4">
        <w:t>Grantové</w:t>
      </w:r>
      <w:r>
        <w:t xml:space="preserve"> </w:t>
      </w:r>
      <w:r w:rsidRPr="00404EF4">
        <w:t>agentury</w:t>
      </w:r>
      <w:r>
        <w:t xml:space="preserve"> </w:t>
      </w:r>
      <w:r w:rsidRPr="00404EF4">
        <w:t>České</w:t>
      </w:r>
      <w:r>
        <w:t xml:space="preserve"> </w:t>
      </w:r>
      <w:r w:rsidRPr="00404EF4">
        <w:t>republiky,</w:t>
      </w:r>
      <w:r>
        <w:t xml:space="preserve"> </w:t>
      </w:r>
      <w:r w:rsidRPr="00404EF4">
        <w:t>které</w:t>
      </w:r>
      <w:r>
        <w:t xml:space="preserve"> </w:t>
      </w:r>
      <w:r w:rsidRPr="00404EF4">
        <w:t>posuzují</w:t>
      </w:r>
      <w:r>
        <w:t xml:space="preserve"> </w:t>
      </w:r>
      <w:r w:rsidRPr="00404EF4">
        <w:t>a</w:t>
      </w:r>
      <w:r>
        <w:t xml:space="preserve"> </w:t>
      </w:r>
      <w:r w:rsidRPr="00404EF4">
        <w:t>hodnotí</w:t>
      </w:r>
      <w:r>
        <w:t xml:space="preserve"> </w:t>
      </w:r>
      <w:r w:rsidRPr="00404EF4">
        <w:t>návrhy</w:t>
      </w:r>
      <w:r>
        <w:t xml:space="preserve"> </w:t>
      </w:r>
      <w:r w:rsidRPr="00404EF4">
        <w:t>grantových</w:t>
      </w:r>
      <w:r>
        <w:t xml:space="preserve"> </w:t>
      </w:r>
      <w:r w:rsidRPr="00404EF4">
        <w:t>projektů</w:t>
      </w:r>
      <w:r>
        <w:t xml:space="preserve"> </w:t>
      </w:r>
      <w:r w:rsidRPr="00404EF4">
        <w:t>s</w:t>
      </w:r>
      <w:r>
        <w:t xml:space="preserve"> </w:t>
      </w:r>
      <w:r w:rsidRPr="00404EF4">
        <w:t>žádostmi</w:t>
      </w:r>
      <w:r>
        <w:t xml:space="preserve"> </w:t>
      </w:r>
      <w:r w:rsidRPr="00404EF4">
        <w:t>o</w:t>
      </w:r>
      <w:r>
        <w:t xml:space="preserve"> </w:t>
      </w:r>
      <w:r w:rsidRPr="00404EF4">
        <w:t>udělení</w:t>
      </w:r>
      <w:r>
        <w:t xml:space="preserve"> </w:t>
      </w:r>
      <w:r w:rsidRPr="00404EF4">
        <w:t>podpory.</w:t>
      </w:r>
    </w:p>
    <w:p w14:paraId="79AA1223" w14:textId="77777777" w:rsidR="00137BFD" w:rsidRDefault="00137BFD" w:rsidP="00423E87">
      <w:pPr>
        <w:pStyle w:val="Textparagrafu"/>
        <w:tabs>
          <w:tab w:val="left" w:pos="392"/>
          <w:tab w:val="left" w:pos="840"/>
        </w:tabs>
        <w:spacing w:before="120" w:after="120"/>
      </w:pPr>
      <w:r w:rsidRPr="00404EF4">
        <w:t>(6)</w:t>
      </w:r>
      <w:r>
        <w:t xml:space="preserve"> </w:t>
      </w:r>
      <w:r w:rsidRPr="00404EF4">
        <w:t>Vědecká</w:t>
      </w:r>
      <w:r>
        <w:t xml:space="preserve"> </w:t>
      </w:r>
      <w:r w:rsidRPr="00404EF4">
        <w:t>rada</w:t>
      </w:r>
      <w:r>
        <w:t xml:space="preserve"> </w:t>
      </w:r>
      <w:r w:rsidRPr="00404EF4">
        <w:t>Grantové</w:t>
      </w:r>
      <w:r>
        <w:t xml:space="preserve"> </w:t>
      </w:r>
      <w:r w:rsidRPr="00404EF4">
        <w:t>agentury</w:t>
      </w:r>
      <w:r>
        <w:t xml:space="preserve"> </w:t>
      </w:r>
      <w:r w:rsidRPr="00404EF4">
        <w:t>České</w:t>
      </w:r>
      <w:r>
        <w:t xml:space="preserve"> </w:t>
      </w:r>
      <w:r w:rsidRPr="00404EF4">
        <w:t>republiky</w:t>
      </w:r>
      <w:r>
        <w:t xml:space="preserve"> </w:t>
      </w:r>
      <w:r w:rsidRPr="00404EF4">
        <w:t>je</w:t>
      </w:r>
      <w:r>
        <w:t xml:space="preserve"> </w:t>
      </w:r>
      <w:r w:rsidRPr="00404EF4">
        <w:t>koncepčním</w:t>
      </w:r>
      <w:r>
        <w:t xml:space="preserve"> </w:t>
      </w:r>
      <w:r w:rsidRPr="00404EF4">
        <w:t>orgánem</w:t>
      </w:r>
      <w:r>
        <w:t xml:space="preserve"> </w:t>
      </w:r>
      <w:r w:rsidRPr="00404EF4">
        <w:t>Grantové</w:t>
      </w:r>
      <w:r>
        <w:t xml:space="preserve"> </w:t>
      </w:r>
      <w:r w:rsidRPr="00404EF4">
        <w:t>agentury</w:t>
      </w:r>
      <w:r>
        <w:t xml:space="preserve"> </w:t>
      </w:r>
      <w:r w:rsidRPr="00404EF4">
        <w:t>České</w:t>
      </w:r>
      <w:r>
        <w:t xml:space="preserve"> </w:t>
      </w:r>
      <w:r w:rsidRPr="00404EF4">
        <w:t>republiky,</w:t>
      </w:r>
      <w:r>
        <w:t xml:space="preserve"> </w:t>
      </w:r>
      <w:r w:rsidRPr="00404EF4">
        <w:t>který</w:t>
      </w:r>
      <w:r>
        <w:t xml:space="preserve"> </w:t>
      </w:r>
      <w:r w:rsidRPr="00404EF4">
        <w:t>zejména</w:t>
      </w:r>
      <w:r>
        <w:t xml:space="preserve"> </w:t>
      </w:r>
      <w:r w:rsidRPr="00404EF4">
        <w:t>navrhuje</w:t>
      </w:r>
      <w:r>
        <w:t xml:space="preserve"> </w:t>
      </w:r>
      <w:r w:rsidRPr="00404EF4">
        <w:t>předsednictvu</w:t>
      </w:r>
      <w:r>
        <w:t xml:space="preserve"> </w:t>
      </w:r>
      <w:r w:rsidRPr="00404EF4">
        <w:t>Grantové</w:t>
      </w:r>
      <w:r>
        <w:t xml:space="preserve"> </w:t>
      </w:r>
      <w:r w:rsidRPr="00404EF4">
        <w:t>agentury</w:t>
      </w:r>
      <w:r>
        <w:t xml:space="preserve"> </w:t>
      </w:r>
      <w:r w:rsidRPr="00404EF4">
        <w:t>České</w:t>
      </w:r>
      <w:r>
        <w:t xml:space="preserve"> </w:t>
      </w:r>
      <w:r w:rsidRPr="00404EF4">
        <w:t>republiky</w:t>
      </w:r>
      <w:r>
        <w:t xml:space="preserve"> </w:t>
      </w:r>
      <w:r w:rsidRPr="00404EF4">
        <w:t>ustavení</w:t>
      </w:r>
      <w:r>
        <w:t xml:space="preserve"> </w:t>
      </w:r>
      <w:r w:rsidRPr="00404EF4">
        <w:t>a</w:t>
      </w:r>
      <w:r>
        <w:t xml:space="preserve"> </w:t>
      </w:r>
      <w:r w:rsidRPr="00404EF4">
        <w:t>zaměření</w:t>
      </w:r>
      <w:r>
        <w:t xml:space="preserve"> </w:t>
      </w:r>
      <w:r w:rsidRPr="00404EF4">
        <w:t>oborových</w:t>
      </w:r>
      <w:r>
        <w:t xml:space="preserve"> </w:t>
      </w:r>
      <w:r w:rsidRPr="00404EF4">
        <w:t>komisí,</w:t>
      </w:r>
      <w:r>
        <w:t xml:space="preserve"> </w:t>
      </w:r>
      <w:r w:rsidRPr="00404EF4">
        <w:t>skupiny</w:t>
      </w:r>
      <w:r>
        <w:t xml:space="preserve"> </w:t>
      </w:r>
      <w:r w:rsidRPr="00404EF4">
        <w:t>grantových</w:t>
      </w:r>
      <w:r>
        <w:t xml:space="preserve"> </w:t>
      </w:r>
      <w:r w:rsidRPr="00404EF4">
        <w:t>projektů</w:t>
      </w:r>
      <w:r>
        <w:t xml:space="preserve"> </w:t>
      </w:r>
      <w:r w:rsidRPr="00404EF4">
        <w:t>a</w:t>
      </w:r>
      <w:r>
        <w:t xml:space="preserve"> </w:t>
      </w:r>
      <w:r w:rsidRPr="00404EF4">
        <w:t>jejich</w:t>
      </w:r>
      <w:r>
        <w:t xml:space="preserve"> </w:t>
      </w:r>
      <w:r w:rsidRPr="00404EF4">
        <w:t>zaměření,</w:t>
      </w:r>
      <w:r>
        <w:t xml:space="preserve"> </w:t>
      </w:r>
      <w:r w:rsidRPr="00404EF4">
        <w:t>vyhodnocuje</w:t>
      </w:r>
      <w:r>
        <w:t xml:space="preserve"> </w:t>
      </w:r>
      <w:r w:rsidRPr="00404EF4">
        <w:t>vědeckou</w:t>
      </w:r>
      <w:r>
        <w:t xml:space="preserve"> </w:t>
      </w:r>
      <w:r w:rsidRPr="00404EF4">
        <w:t>úroveň</w:t>
      </w:r>
      <w:r>
        <w:t xml:space="preserve"> </w:t>
      </w:r>
      <w:r w:rsidRPr="00404EF4">
        <w:t>Grantové</w:t>
      </w:r>
      <w:r>
        <w:t xml:space="preserve"> </w:t>
      </w:r>
      <w:r w:rsidRPr="00404EF4">
        <w:t>agentury</w:t>
      </w:r>
      <w:r>
        <w:t xml:space="preserve"> </w:t>
      </w:r>
      <w:r w:rsidRPr="00404EF4">
        <w:t>České</w:t>
      </w:r>
      <w:r>
        <w:t xml:space="preserve"> </w:t>
      </w:r>
      <w:r w:rsidRPr="00404EF4">
        <w:t>republiky</w:t>
      </w:r>
      <w:r>
        <w:t xml:space="preserve"> </w:t>
      </w:r>
      <w:r w:rsidRPr="00404EF4">
        <w:t>a</w:t>
      </w:r>
      <w:r>
        <w:t xml:space="preserve"> </w:t>
      </w:r>
      <w:r w:rsidRPr="00404EF4">
        <w:t>navrhuje</w:t>
      </w:r>
      <w:r>
        <w:t xml:space="preserve"> </w:t>
      </w:r>
      <w:r w:rsidRPr="00404EF4">
        <w:t>potřebná</w:t>
      </w:r>
      <w:r>
        <w:t xml:space="preserve"> </w:t>
      </w:r>
      <w:r w:rsidRPr="00404EF4">
        <w:t>opatření.</w:t>
      </w:r>
      <w:r>
        <w:t xml:space="preserve"> </w:t>
      </w:r>
      <w:r w:rsidRPr="00404EF4">
        <w:t>Vědecká</w:t>
      </w:r>
      <w:r>
        <w:t xml:space="preserve"> </w:t>
      </w:r>
      <w:r w:rsidRPr="00404EF4">
        <w:t>rada</w:t>
      </w:r>
      <w:r>
        <w:t xml:space="preserve"> </w:t>
      </w:r>
      <w:r w:rsidRPr="00404EF4">
        <w:t>Grantové</w:t>
      </w:r>
      <w:r>
        <w:t xml:space="preserve"> </w:t>
      </w:r>
      <w:r w:rsidRPr="00404EF4">
        <w:t>agentury</w:t>
      </w:r>
      <w:r>
        <w:t xml:space="preserve"> </w:t>
      </w:r>
      <w:r w:rsidRPr="00404EF4">
        <w:t>České</w:t>
      </w:r>
      <w:r>
        <w:t xml:space="preserve"> </w:t>
      </w:r>
      <w:r w:rsidRPr="00404EF4">
        <w:t>republiky</w:t>
      </w:r>
      <w:r>
        <w:t xml:space="preserve"> </w:t>
      </w:r>
      <w:r w:rsidRPr="00404EF4">
        <w:t>má</w:t>
      </w:r>
      <w:r>
        <w:t xml:space="preserve"> </w:t>
      </w:r>
      <w:r w:rsidRPr="00404EF4">
        <w:t>dvanáct</w:t>
      </w:r>
      <w:r>
        <w:t xml:space="preserve"> </w:t>
      </w:r>
      <w:r w:rsidRPr="00404EF4">
        <w:t>členů,</w:t>
      </w:r>
      <w:r>
        <w:t xml:space="preserve"> </w:t>
      </w:r>
      <w:r w:rsidRPr="00404EF4">
        <w:t>které</w:t>
      </w:r>
      <w:r>
        <w:t xml:space="preserve"> </w:t>
      </w:r>
      <w:r w:rsidRPr="00404EF4">
        <w:t>z</w:t>
      </w:r>
      <w:r>
        <w:t xml:space="preserve"> </w:t>
      </w:r>
      <w:r w:rsidRPr="00404EF4">
        <w:t>řad</w:t>
      </w:r>
      <w:r>
        <w:t xml:space="preserve"> </w:t>
      </w:r>
      <w:r w:rsidRPr="00404EF4">
        <w:t>odborníků</w:t>
      </w:r>
      <w:r>
        <w:t xml:space="preserve"> </w:t>
      </w:r>
      <w:r w:rsidRPr="00404EF4">
        <w:t>jmenuje</w:t>
      </w:r>
      <w:r>
        <w:t xml:space="preserve"> </w:t>
      </w:r>
      <w:r w:rsidRPr="00404EF4">
        <w:t>a</w:t>
      </w:r>
      <w:r>
        <w:t xml:space="preserve"> </w:t>
      </w:r>
      <w:r w:rsidRPr="00404EF4">
        <w:t>odvolává</w:t>
      </w:r>
      <w:r>
        <w:t xml:space="preserve"> </w:t>
      </w:r>
      <w:r w:rsidRPr="00404EF4">
        <w:t>vláda</w:t>
      </w:r>
      <w:r>
        <w:t xml:space="preserve"> </w:t>
      </w:r>
      <w:r w:rsidRPr="00404EF4">
        <w:t>na</w:t>
      </w:r>
      <w:r>
        <w:t xml:space="preserve"> </w:t>
      </w:r>
      <w:r w:rsidRPr="00404EF4">
        <w:t>návrh</w:t>
      </w:r>
      <w:r>
        <w:t xml:space="preserve"> </w:t>
      </w:r>
      <w:r w:rsidRPr="00404EF4">
        <w:t>Rady</w:t>
      </w:r>
      <w:r>
        <w:t xml:space="preserve"> </w:t>
      </w:r>
      <w:r w:rsidRPr="00404EF4">
        <w:t>pro</w:t>
      </w:r>
      <w:r>
        <w:t xml:space="preserve"> </w:t>
      </w:r>
      <w:r w:rsidRPr="00404EF4">
        <w:t>výzkum,</w:t>
      </w:r>
      <w:r>
        <w:t xml:space="preserve"> </w:t>
      </w:r>
      <w:r w:rsidRPr="00404EF4">
        <w:t>vývoj</w:t>
      </w:r>
      <w:r>
        <w:t xml:space="preserve"> </w:t>
      </w:r>
      <w:r w:rsidRPr="00404EF4">
        <w:t>a</w:t>
      </w:r>
      <w:r>
        <w:t xml:space="preserve"> </w:t>
      </w:r>
      <w:r w:rsidRPr="00404EF4">
        <w:t>inovace.</w:t>
      </w:r>
    </w:p>
    <w:p w14:paraId="0C86BC7C" w14:textId="77777777" w:rsidR="00137BFD" w:rsidRDefault="00137BFD" w:rsidP="00423E87">
      <w:pPr>
        <w:pStyle w:val="Textparagrafu"/>
        <w:tabs>
          <w:tab w:val="left" w:pos="392"/>
          <w:tab w:val="left" w:pos="840"/>
        </w:tabs>
        <w:spacing w:before="120" w:after="120"/>
      </w:pPr>
      <w:r w:rsidRPr="00404EF4">
        <w:t>(7)</w:t>
      </w:r>
      <w:r>
        <w:t xml:space="preserve"> </w:t>
      </w:r>
      <w:r w:rsidRPr="00404EF4">
        <w:t>Kontrolní</w:t>
      </w:r>
      <w:r>
        <w:t xml:space="preserve"> </w:t>
      </w:r>
      <w:r w:rsidRPr="00404EF4">
        <w:t>rada</w:t>
      </w:r>
      <w:r>
        <w:t xml:space="preserve"> </w:t>
      </w:r>
      <w:r w:rsidRPr="00404EF4">
        <w:t>Grantové</w:t>
      </w:r>
      <w:r>
        <w:t xml:space="preserve"> </w:t>
      </w:r>
      <w:r w:rsidRPr="00404EF4">
        <w:t>agentury</w:t>
      </w:r>
      <w:r>
        <w:t xml:space="preserve"> </w:t>
      </w:r>
      <w:r w:rsidRPr="00404EF4">
        <w:t>České</w:t>
      </w:r>
      <w:r>
        <w:t xml:space="preserve"> </w:t>
      </w:r>
      <w:r w:rsidRPr="00404EF4">
        <w:t>republiky</w:t>
      </w:r>
      <w:r>
        <w:t xml:space="preserve"> </w:t>
      </w:r>
      <w:r w:rsidRPr="00404EF4">
        <w:t>je</w:t>
      </w:r>
      <w:r>
        <w:t xml:space="preserve"> </w:t>
      </w:r>
      <w:r w:rsidRPr="00404EF4">
        <w:t>kontrolním</w:t>
      </w:r>
      <w:r>
        <w:t xml:space="preserve"> </w:t>
      </w:r>
      <w:r w:rsidRPr="00404EF4">
        <w:t>orgánem</w:t>
      </w:r>
      <w:r>
        <w:t xml:space="preserve"> </w:t>
      </w:r>
      <w:r w:rsidRPr="00404EF4">
        <w:t>Grantové</w:t>
      </w:r>
      <w:r>
        <w:t xml:space="preserve"> </w:t>
      </w:r>
      <w:r w:rsidRPr="00404EF4">
        <w:t>agentury</w:t>
      </w:r>
      <w:r>
        <w:t xml:space="preserve"> </w:t>
      </w:r>
      <w:r w:rsidRPr="00404EF4">
        <w:t>České</w:t>
      </w:r>
      <w:r>
        <w:t xml:space="preserve"> </w:t>
      </w:r>
      <w:r w:rsidRPr="00404EF4">
        <w:t>republiky,</w:t>
      </w:r>
      <w:r>
        <w:t xml:space="preserve"> </w:t>
      </w:r>
      <w:r w:rsidRPr="00404EF4">
        <w:t>který</w:t>
      </w:r>
      <w:r>
        <w:t xml:space="preserve"> </w:t>
      </w:r>
      <w:r w:rsidRPr="00404EF4">
        <w:t>kontroluje</w:t>
      </w:r>
      <w:r>
        <w:t xml:space="preserve"> </w:t>
      </w:r>
      <w:r w:rsidRPr="00404EF4">
        <w:t>rozdělování</w:t>
      </w:r>
      <w:r>
        <w:t xml:space="preserve"> </w:t>
      </w:r>
      <w:r w:rsidRPr="00404EF4">
        <w:t>finančních</w:t>
      </w:r>
      <w:r>
        <w:t xml:space="preserve"> </w:t>
      </w:r>
      <w:r w:rsidRPr="00404EF4">
        <w:t>prostředků</w:t>
      </w:r>
      <w:r>
        <w:t xml:space="preserve"> </w:t>
      </w:r>
      <w:r w:rsidRPr="00404EF4">
        <w:t>Grantové</w:t>
      </w:r>
      <w:r>
        <w:t xml:space="preserve"> </w:t>
      </w:r>
      <w:r w:rsidRPr="00404EF4">
        <w:t>agentury</w:t>
      </w:r>
      <w:r>
        <w:t xml:space="preserve"> </w:t>
      </w:r>
      <w:r w:rsidRPr="00404EF4">
        <w:t>České</w:t>
      </w:r>
      <w:r>
        <w:t xml:space="preserve"> </w:t>
      </w:r>
      <w:r w:rsidRPr="00404EF4">
        <w:t>republiky</w:t>
      </w:r>
      <w:r>
        <w:t xml:space="preserve"> </w:t>
      </w:r>
      <w:r w:rsidRPr="00404EF4">
        <w:t>a</w:t>
      </w:r>
      <w:r>
        <w:t xml:space="preserve"> </w:t>
      </w:r>
      <w:r w:rsidRPr="00404EF4">
        <w:t>hospodaření</w:t>
      </w:r>
      <w:r>
        <w:t xml:space="preserve"> </w:t>
      </w:r>
      <w:r w:rsidRPr="00404EF4">
        <w:t>s</w:t>
      </w:r>
      <w:r>
        <w:t xml:space="preserve"> </w:t>
      </w:r>
      <w:r w:rsidRPr="00404EF4">
        <w:t>majetkem</w:t>
      </w:r>
      <w:r>
        <w:t xml:space="preserve"> </w:t>
      </w:r>
      <w:r w:rsidRPr="00404EF4">
        <w:t>státu,</w:t>
      </w:r>
      <w:r>
        <w:t xml:space="preserve"> </w:t>
      </w:r>
      <w:r w:rsidRPr="00404EF4">
        <w:t>k</w:t>
      </w:r>
      <w:r>
        <w:t xml:space="preserve"> </w:t>
      </w:r>
      <w:r w:rsidRPr="00404EF4">
        <w:t>němuž</w:t>
      </w:r>
      <w:r>
        <w:t xml:space="preserve"> </w:t>
      </w:r>
      <w:r w:rsidRPr="00404EF4">
        <w:t>má</w:t>
      </w:r>
      <w:r>
        <w:t xml:space="preserve"> </w:t>
      </w:r>
      <w:r w:rsidRPr="00404EF4">
        <w:t>Grantová</w:t>
      </w:r>
      <w:r>
        <w:t xml:space="preserve"> </w:t>
      </w:r>
      <w:r w:rsidRPr="00404EF4">
        <w:t>agentura</w:t>
      </w:r>
      <w:r>
        <w:t xml:space="preserve"> </w:t>
      </w:r>
      <w:r w:rsidRPr="00404EF4">
        <w:t>České</w:t>
      </w:r>
      <w:r>
        <w:t xml:space="preserve"> </w:t>
      </w:r>
      <w:r w:rsidRPr="00404EF4">
        <w:t>republiky</w:t>
      </w:r>
      <w:r>
        <w:t xml:space="preserve"> </w:t>
      </w:r>
      <w:r w:rsidRPr="00404EF4">
        <w:t>příslušnost</w:t>
      </w:r>
      <w:r>
        <w:t xml:space="preserve"> </w:t>
      </w:r>
      <w:r w:rsidRPr="00404EF4">
        <w:t>hospodaření,</w:t>
      </w:r>
      <w:r>
        <w:t xml:space="preserve"> </w:t>
      </w:r>
      <w:r w:rsidRPr="00404EF4">
        <w:t>projednává</w:t>
      </w:r>
      <w:r>
        <w:t xml:space="preserve"> </w:t>
      </w:r>
      <w:r w:rsidRPr="00404EF4">
        <w:t>stížnosti</w:t>
      </w:r>
      <w:r>
        <w:t xml:space="preserve"> </w:t>
      </w:r>
      <w:r w:rsidRPr="00404EF4">
        <w:t>na</w:t>
      </w:r>
      <w:r>
        <w:t xml:space="preserve"> </w:t>
      </w:r>
      <w:r w:rsidRPr="00404EF4">
        <w:t>postup</w:t>
      </w:r>
      <w:r>
        <w:t xml:space="preserve"> </w:t>
      </w:r>
      <w:r w:rsidRPr="00404EF4">
        <w:t>poskytovatele</w:t>
      </w:r>
      <w:r>
        <w:t xml:space="preserve"> </w:t>
      </w:r>
      <w:r w:rsidRPr="00404EF4">
        <w:t>při</w:t>
      </w:r>
      <w:r>
        <w:t xml:space="preserve"> </w:t>
      </w:r>
      <w:r w:rsidRPr="00404EF4">
        <w:t>hodnocení</w:t>
      </w:r>
      <w:r>
        <w:t xml:space="preserve"> </w:t>
      </w:r>
      <w:r w:rsidRPr="00404EF4">
        <w:t>návrhu</w:t>
      </w:r>
      <w:r>
        <w:t xml:space="preserve"> </w:t>
      </w:r>
      <w:r w:rsidRPr="00404EF4">
        <w:t>grantového</w:t>
      </w:r>
      <w:r>
        <w:t xml:space="preserve"> </w:t>
      </w:r>
      <w:r w:rsidRPr="00404EF4">
        <w:t>projektu,</w:t>
      </w:r>
      <w:r>
        <w:t xml:space="preserve"> </w:t>
      </w:r>
      <w:r w:rsidRPr="00404EF4">
        <w:t>a</w:t>
      </w:r>
      <w:r>
        <w:t xml:space="preserve"> </w:t>
      </w:r>
      <w:r w:rsidRPr="00404EF4">
        <w:t>který</w:t>
      </w:r>
      <w:r>
        <w:t xml:space="preserve"> </w:t>
      </w:r>
      <w:r w:rsidRPr="00404EF4">
        <w:t>předkládá</w:t>
      </w:r>
      <w:r>
        <w:t xml:space="preserve"> </w:t>
      </w:r>
      <w:r w:rsidRPr="00404EF4">
        <w:t>svá</w:t>
      </w:r>
      <w:r>
        <w:t xml:space="preserve"> </w:t>
      </w:r>
      <w:r w:rsidRPr="00404EF4">
        <w:t>stanoviska</w:t>
      </w:r>
      <w:r>
        <w:t xml:space="preserve"> </w:t>
      </w:r>
      <w:r w:rsidRPr="00404EF4">
        <w:t>předsednictvu</w:t>
      </w:r>
      <w:r>
        <w:t xml:space="preserve"> </w:t>
      </w:r>
      <w:r w:rsidRPr="00404EF4">
        <w:t>Grantové</w:t>
      </w:r>
      <w:r>
        <w:t xml:space="preserve"> </w:t>
      </w:r>
      <w:r w:rsidRPr="00404EF4">
        <w:t>agentury</w:t>
      </w:r>
      <w:r>
        <w:t xml:space="preserve"> </w:t>
      </w:r>
      <w:r w:rsidRPr="00404EF4">
        <w:t>České</w:t>
      </w:r>
      <w:r>
        <w:t xml:space="preserve"> </w:t>
      </w:r>
      <w:r w:rsidRPr="00404EF4">
        <w:t>republiky.</w:t>
      </w:r>
      <w:r>
        <w:t xml:space="preserve"> </w:t>
      </w:r>
      <w:r w:rsidRPr="00404EF4">
        <w:t>Stanoviska,</w:t>
      </w:r>
      <w:r>
        <w:t xml:space="preserve"> </w:t>
      </w:r>
      <w:r w:rsidRPr="00404EF4">
        <w:t>která</w:t>
      </w:r>
      <w:r>
        <w:t xml:space="preserve"> </w:t>
      </w:r>
      <w:r w:rsidRPr="00404EF4">
        <w:t>jsou</w:t>
      </w:r>
      <w:r>
        <w:t xml:space="preserve"> </w:t>
      </w:r>
      <w:r w:rsidRPr="00404EF4">
        <w:t>vydávána</w:t>
      </w:r>
      <w:r>
        <w:t xml:space="preserve"> </w:t>
      </w:r>
      <w:r w:rsidRPr="00404EF4">
        <w:t>v</w:t>
      </w:r>
      <w:r>
        <w:t xml:space="preserve"> </w:t>
      </w:r>
      <w:r w:rsidRPr="00404EF4">
        <w:t>rámci</w:t>
      </w:r>
      <w:r>
        <w:t xml:space="preserve"> </w:t>
      </w:r>
      <w:r w:rsidRPr="00404EF4">
        <w:t>kompetence</w:t>
      </w:r>
      <w:r>
        <w:t xml:space="preserve"> </w:t>
      </w:r>
      <w:r w:rsidRPr="00404EF4">
        <w:t>kontrolní</w:t>
      </w:r>
      <w:r>
        <w:t xml:space="preserve"> </w:t>
      </w:r>
      <w:r w:rsidRPr="00404EF4">
        <w:t>rady</w:t>
      </w:r>
      <w:r>
        <w:t xml:space="preserve"> </w:t>
      </w:r>
      <w:r w:rsidRPr="00404EF4">
        <w:t>Grantové</w:t>
      </w:r>
      <w:r>
        <w:t xml:space="preserve"> </w:t>
      </w:r>
      <w:r w:rsidRPr="00404EF4">
        <w:t>agentury</w:t>
      </w:r>
      <w:r>
        <w:t xml:space="preserve"> </w:t>
      </w:r>
      <w:r w:rsidRPr="00404EF4">
        <w:t>České</w:t>
      </w:r>
      <w:r>
        <w:t xml:space="preserve"> </w:t>
      </w:r>
      <w:r w:rsidRPr="00404EF4">
        <w:t>republiky,</w:t>
      </w:r>
      <w:r>
        <w:t xml:space="preserve"> </w:t>
      </w:r>
      <w:r w:rsidRPr="00404EF4">
        <w:t>jsou</w:t>
      </w:r>
      <w:r>
        <w:t xml:space="preserve"> </w:t>
      </w:r>
      <w:r w:rsidRPr="00404EF4">
        <w:t>pro</w:t>
      </w:r>
      <w:r>
        <w:t xml:space="preserve"> </w:t>
      </w:r>
      <w:r w:rsidRPr="00404EF4">
        <w:t>předsednictvo</w:t>
      </w:r>
      <w:r>
        <w:t xml:space="preserve"> </w:t>
      </w:r>
      <w:r w:rsidRPr="00404EF4">
        <w:t>Grantové</w:t>
      </w:r>
      <w:r>
        <w:t xml:space="preserve"> </w:t>
      </w:r>
      <w:r w:rsidRPr="00404EF4">
        <w:t>agentury</w:t>
      </w:r>
      <w:r>
        <w:t xml:space="preserve"> </w:t>
      </w:r>
      <w:r w:rsidRPr="00404EF4">
        <w:t>České</w:t>
      </w:r>
      <w:r>
        <w:t xml:space="preserve"> </w:t>
      </w:r>
      <w:r w:rsidRPr="00404EF4">
        <w:t>republiky</w:t>
      </w:r>
      <w:r>
        <w:t xml:space="preserve"> </w:t>
      </w:r>
      <w:r w:rsidRPr="00404EF4">
        <w:t>závazná.</w:t>
      </w:r>
      <w:r>
        <w:t xml:space="preserve"> </w:t>
      </w:r>
      <w:r w:rsidRPr="00404EF4">
        <w:t>Kontrolní</w:t>
      </w:r>
      <w:r>
        <w:t xml:space="preserve"> </w:t>
      </w:r>
      <w:r w:rsidRPr="00404EF4">
        <w:t>rada</w:t>
      </w:r>
      <w:r>
        <w:t xml:space="preserve"> </w:t>
      </w:r>
      <w:r w:rsidRPr="00404EF4">
        <w:t>Grantové</w:t>
      </w:r>
      <w:r>
        <w:t xml:space="preserve"> </w:t>
      </w:r>
      <w:r w:rsidRPr="00404EF4">
        <w:t>agentury</w:t>
      </w:r>
      <w:r>
        <w:t xml:space="preserve"> </w:t>
      </w:r>
      <w:r w:rsidRPr="00404EF4">
        <w:t>České</w:t>
      </w:r>
      <w:r>
        <w:t xml:space="preserve"> </w:t>
      </w:r>
      <w:r w:rsidRPr="00404EF4">
        <w:t>republiky</w:t>
      </w:r>
      <w:r>
        <w:t xml:space="preserve"> </w:t>
      </w:r>
      <w:r w:rsidRPr="00404EF4">
        <w:t>má</w:t>
      </w:r>
      <w:r>
        <w:t xml:space="preserve"> </w:t>
      </w:r>
      <w:r w:rsidRPr="00404EF4">
        <w:t>deset</w:t>
      </w:r>
      <w:r>
        <w:t xml:space="preserve"> </w:t>
      </w:r>
      <w:r w:rsidRPr="00404EF4">
        <w:t>členů,</w:t>
      </w:r>
      <w:r>
        <w:t xml:space="preserve"> </w:t>
      </w:r>
      <w:r w:rsidRPr="00404EF4">
        <w:t>které</w:t>
      </w:r>
      <w:r>
        <w:t xml:space="preserve"> </w:t>
      </w:r>
      <w:r w:rsidRPr="00404EF4">
        <w:t>z</w:t>
      </w:r>
      <w:r>
        <w:t xml:space="preserve"> </w:t>
      </w:r>
      <w:r w:rsidRPr="00404EF4">
        <w:t>řad</w:t>
      </w:r>
      <w:r>
        <w:t xml:space="preserve"> </w:t>
      </w:r>
      <w:r w:rsidRPr="00404EF4">
        <w:t>odborníků</w:t>
      </w:r>
      <w:r>
        <w:t xml:space="preserve"> </w:t>
      </w:r>
      <w:r w:rsidRPr="00404EF4">
        <w:t>jmenuje</w:t>
      </w:r>
      <w:r>
        <w:t xml:space="preserve"> </w:t>
      </w:r>
      <w:r w:rsidRPr="00404EF4">
        <w:t>Poslanecká</w:t>
      </w:r>
      <w:r>
        <w:t xml:space="preserve"> </w:t>
      </w:r>
      <w:r w:rsidRPr="00404EF4">
        <w:t>sněmovna</w:t>
      </w:r>
      <w:r>
        <w:t xml:space="preserve"> </w:t>
      </w:r>
      <w:r w:rsidRPr="00404EF4">
        <w:t>na</w:t>
      </w:r>
      <w:r>
        <w:t xml:space="preserve"> </w:t>
      </w:r>
      <w:r w:rsidRPr="00404EF4">
        <w:t>návrh</w:t>
      </w:r>
      <w:r>
        <w:t xml:space="preserve"> </w:t>
      </w:r>
      <w:r w:rsidRPr="00404EF4">
        <w:t>právnických</w:t>
      </w:r>
      <w:r>
        <w:t xml:space="preserve"> </w:t>
      </w:r>
      <w:r w:rsidRPr="00404EF4">
        <w:t>osob</w:t>
      </w:r>
      <w:r>
        <w:t xml:space="preserve"> </w:t>
      </w:r>
      <w:r w:rsidRPr="00404EF4">
        <w:t>zabývajících</w:t>
      </w:r>
      <w:r>
        <w:t xml:space="preserve"> </w:t>
      </w:r>
      <w:r w:rsidRPr="00404EF4">
        <w:t>se</w:t>
      </w:r>
      <w:r>
        <w:t xml:space="preserve"> </w:t>
      </w:r>
      <w:r w:rsidRPr="00404EF4">
        <w:t>výzkumem</w:t>
      </w:r>
      <w:r>
        <w:t xml:space="preserve"> </w:t>
      </w:r>
      <w:r w:rsidRPr="00404EF4">
        <w:t>a</w:t>
      </w:r>
      <w:r>
        <w:t xml:space="preserve"> </w:t>
      </w:r>
      <w:r w:rsidRPr="00404EF4">
        <w:t>vývojem.</w:t>
      </w:r>
      <w:r>
        <w:t xml:space="preserve"> </w:t>
      </w:r>
      <w:r w:rsidRPr="00404EF4">
        <w:t>Funkční</w:t>
      </w:r>
      <w:r>
        <w:t xml:space="preserve"> </w:t>
      </w:r>
      <w:r w:rsidRPr="00404EF4">
        <w:t>období</w:t>
      </w:r>
      <w:r>
        <w:t xml:space="preserve"> </w:t>
      </w:r>
      <w:r w:rsidRPr="00404EF4">
        <w:t>členů</w:t>
      </w:r>
      <w:r>
        <w:t xml:space="preserve"> </w:t>
      </w:r>
      <w:r w:rsidRPr="00404EF4">
        <w:t>kontrolní</w:t>
      </w:r>
      <w:r>
        <w:t xml:space="preserve"> </w:t>
      </w:r>
      <w:r w:rsidRPr="00404EF4">
        <w:t>rady</w:t>
      </w:r>
      <w:r>
        <w:t xml:space="preserve"> </w:t>
      </w:r>
      <w:r w:rsidRPr="00404EF4">
        <w:t>Grantové</w:t>
      </w:r>
      <w:r>
        <w:t xml:space="preserve"> </w:t>
      </w:r>
      <w:r w:rsidRPr="00404EF4">
        <w:t>agentury</w:t>
      </w:r>
      <w:r>
        <w:t xml:space="preserve"> </w:t>
      </w:r>
      <w:r w:rsidRPr="00404EF4">
        <w:t>České</w:t>
      </w:r>
      <w:r>
        <w:t xml:space="preserve"> </w:t>
      </w:r>
      <w:r w:rsidRPr="00404EF4">
        <w:t>republiky</w:t>
      </w:r>
      <w:r>
        <w:t xml:space="preserve"> </w:t>
      </w:r>
      <w:r w:rsidRPr="00404EF4">
        <w:t>je</w:t>
      </w:r>
      <w:r>
        <w:t xml:space="preserve"> </w:t>
      </w:r>
      <w:r w:rsidRPr="00404EF4">
        <w:t>čtyřleté</w:t>
      </w:r>
      <w:r>
        <w:t xml:space="preserve"> </w:t>
      </w:r>
      <w:r w:rsidRPr="00404EF4">
        <w:t>s</w:t>
      </w:r>
      <w:r>
        <w:t xml:space="preserve"> </w:t>
      </w:r>
      <w:r w:rsidRPr="00404EF4">
        <w:t>možností</w:t>
      </w:r>
      <w:r>
        <w:t xml:space="preserve"> </w:t>
      </w:r>
      <w:r w:rsidRPr="00404EF4">
        <w:t>jmenování</w:t>
      </w:r>
      <w:r>
        <w:t xml:space="preserve"> </w:t>
      </w:r>
      <w:r w:rsidRPr="00404EF4">
        <w:t>nejvýše</w:t>
      </w:r>
      <w:r>
        <w:t xml:space="preserve"> </w:t>
      </w:r>
      <w:r w:rsidRPr="00404EF4">
        <w:t>na</w:t>
      </w:r>
      <w:r>
        <w:t xml:space="preserve"> </w:t>
      </w:r>
      <w:r w:rsidRPr="00404EF4">
        <w:t>dvě</w:t>
      </w:r>
      <w:r>
        <w:t xml:space="preserve"> </w:t>
      </w:r>
      <w:r w:rsidRPr="00404EF4">
        <w:t>období</w:t>
      </w:r>
      <w:r>
        <w:t xml:space="preserve"> </w:t>
      </w:r>
      <w:r w:rsidRPr="00404EF4">
        <w:t>po</w:t>
      </w:r>
      <w:r>
        <w:t xml:space="preserve"> </w:t>
      </w:r>
      <w:r w:rsidRPr="00404EF4">
        <w:t>sobě</w:t>
      </w:r>
      <w:r>
        <w:t xml:space="preserve"> </w:t>
      </w:r>
      <w:r w:rsidRPr="00404EF4">
        <w:t>následující.</w:t>
      </w:r>
      <w:r>
        <w:t xml:space="preserve"> </w:t>
      </w:r>
      <w:r w:rsidRPr="00404EF4">
        <w:t>Kontrolní</w:t>
      </w:r>
      <w:r>
        <w:t xml:space="preserve"> </w:t>
      </w:r>
      <w:r w:rsidRPr="00404EF4">
        <w:t>rada</w:t>
      </w:r>
      <w:r>
        <w:t xml:space="preserve"> </w:t>
      </w:r>
      <w:r w:rsidRPr="00404EF4">
        <w:t>Grantové</w:t>
      </w:r>
      <w:r>
        <w:t xml:space="preserve"> </w:t>
      </w:r>
      <w:r w:rsidRPr="00404EF4">
        <w:t>agentury</w:t>
      </w:r>
      <w:r>
        <w:t xml:space="preserve"> </w:t>
      </w:r>
      <w:r w:rsidRPr="00404EF4">
        <w:t>České</w:t>
      </w:r>
      <w:r>
        <w:t xml:space="preserve"> </w:t>
      </w:r>
      <w:r w:rsidRPr="00404EF4">
        <w:t>republiky</w:t>
      </w:r>
      <w:r>
        <w:t xml:space="preserve"> </w:t>
      </w:r>
      <w:r w:rsidRPr="00404EF4">
        <w:t>předkládá</w:t>
      </w:r>
      <w:r>
        <w:t xml:space="preserve"> </w:t>
      </w:r>
      <w:r w:rsidRPr="00404EF4">
        <w:t>Poslanecké</w:t>
      </w:r>
      <w:r>
        <w:t xml:space="preserve"> </w:t>
      </w:r>
      <w:r w:rsidRPr="00404EF4">
        <w:t>sněmovně</w:t>
      </w:r>
      <w:r>
        <w:t xml:space="preserve"> </w:t>
      </w:r>
      <w:r w:rsidRPr="00404EF4">
        <w:t>výroční</w:t>
      </w:r>
      <w:r>
        <w:t xml:space="preserve"> </w:t>
      </w:r>
      <w:r w:rsidRPr="00404EF4">
        <w:t>zprávu</w:t>
      </w:r>
      <w:r>
        <w:t xml:space="preserve"> </w:t>
      </w:r>
      <w:r w:rsidRPr="00404EF4">
        <w:t>o</w:t>
      </w:r>
      <w:r>
        <w:t xml:space="preserve"> </w:t>
      </w:r>
      <w:r w:rsidRPr="00404EF4">
        <w:t>své</w:t>
      </w:r>
      <w:r>
        <w:t xml:space="preserve"> </w:t>
      </w:r>
      <w:r w:rsidRPr="00404EF4">
        <w:t>činnosti.</w:t>
      </w:r>
      <w:r>
        <w:t xml:space="preserve"> </w:t>
      </w:r>
      <w:r w:rsidRPr="00404EF4">
        <w:t>Poslanecká</w:t>
      </w:r>
      <w:r>
        <w:t xml:space="preserve"> </w:t>
      </w:r>
      <w:r w:rsidRPr="00404EF4">
        <w:t>sněmovna</w:t>
      </w:r>
      <w:r>
        <w:t xml:space="preserve"> </w:t>
      </w:r>
      <w:r w:rsidRPr="00404EF4">
        <w:t>může</w:t>
      </w:r>
      <w:r>
        <w:t xml:space="preserve"> </w:t>
      </w:r>
      <w:r w:rsidRPr="00404EF4">
        <w:t>odvolat</w:t>
      </w:r>
      <w:r>
        <w:t xml:space="preserve"> </w:t>
      </w:r>
      <w:r w:rsidRPr="00404EF4">
        <w:t>kontrolní</w:t>
      </w:r>
      <w:r>
        <w:t xml:space="preserve"> </w:t>
      </w:r>
      <w:r w:rsidRPr="00404EF4">
        <w:t>radu</w:t>
      </w:r>
      <w:r>
        <w:t xml:space="preserve"> </w:t>
      </w:r>
      <w:r w:rsidRPr="00404EF4">
        <w:t>Grantové</w:t>
      </w:r>
      <w:r>
        <w:t xml:space="preserve"> </w:t>
      </w:r>
      <w:r w:rsidRPr="00404EF4">
        <w:t>agentury</w:t>
      </w:r>
      <w:r>
        <w:t xml:space="preserve"> </w:t>
      </w:r>
      <w:r w:rsidRPr="00404EF4">
        <w:t>České</w:t>
      </w:r>
      <w:r>
        <w:t xml:space="preserve"> </w:t>
      </w:r>
      <w:r w:rsidRPr="00404EF4">
        <w:t>republiky,</w:t>
      </w:r>
      <w:r>
        <w:t xml:space="preserve"> </w:t>
      </w:r>
      <w:r w:rsidRPr="00404EF4">
        <w:t>pokud</w:t>
      </w:r>
      <w:r>
        <w:t xml:space="preserve"> </w:t>
      </w:r>
      <w:r w:rsidRPr="00404EF4">
        <w:t>opakovaně</w:t>
      </w:r>
      <w:r>
        <w:t xml:space="preserve"> </w:t>
      </w:r>
      <w:r w:rsidRPr="00404EF4">
        <w:t>neschválí</w:t>
      </w:r>
      <w:r>
        <w:t xml:space="preserve"> </w:t>
      </w:r>
      <w:r w:rsidRPr="00404EF4">
        <w:t>výroční</w:t>
      </w:r>
      <w:r>
        <w:t xml:space="preserve"> </w:t>
      </w:r>
      <w:r w:rsidRPr="00404EF4">
        <w:t>zprávu.</w:t>
      </w:r>
      <w:r>
        <w:t xml:space="preserve"> </w:t>
      </w:r>
      <w:r w:rsidRPr="00404EF4">
        <w:t>Členům</w:t>
      </w:r>
      <w:r>
        <w:t xml:space="preserve"> </w:t>
      </w:r>
      <w:r w:rsidRPr="00404EF4">
        <w:t>kontrolní</w:t>
      </w:r>
      <w:r>
        <w:t xml:space="preserve"> </w:t>
      </w:r>
      <w:r w:rsidRPr="00404EF4">
        <w:t>rady</w:t>
      </w:r>
      <w:r>
        <w:t xml:space="preserve"> </w:t>
      </w:r>
      <w:r w:rsidRPr="00404EF4">
        <w:t>Grantové</w:t>
      </w:r>
      <w:r>
        <w:t xml:space="preserve"> </w:t>
      </w:r>
      <w:r w:rsidRPr="00404EF4">
        <w:t>agentury</w:t>
      </w:r>
      <w:r>
        <w:t xml:space="preserve"> </w:t>
      </w:r>
      <w:r w:rsidRPr="00404EF4">
        <w:t>České</w:t>
      </w:r>
      <w:r>
        <w:t xml:space="preserve"> </w:t>
      </w:r>
      <w:r w:rsidRPr="00404EF4">
        <w:t>republiky</w:t>
      </w:r>
      <w:r>
        <w:t xml:space="preserve"> </w:t>
      </w:r>
      <w:r w:rsidRPr="00404EF4">
        <w:t>může</w:t>
      </w:r>
      <w:r>
        <w:t xml:space="preserve"> </w:t>
      </w:r>
      <w:r w:rsidRPr="00404EF4">
        <w:t>být</w:t>
      </w:r>
      <w:r>
        <w:t xml:space="preserve"> </w:t>
      </w:r>
      <w:r w:rsidRPr="00404EF4">
        <w:t>přiznána</w:t>
      </w:r>
      <w:r>
        <w:t xml:space="preserve"> </w:t>
      </w:r>
      <w:r w:rsidRPr="00404EF4">
        <w:t>za</w:t>
      </w:r>
      <w:r>
        <w:t xml:space="preserve"> </w:t>
      </w:r>
      <w:r w:rsidRPr="00404EF4">
        <w:t>výkon</w:t>
      </w:r>
      <w:r>
        <w:t xml:space="preserve"> </w:t>
      </w:r>
      <w:r w:rsidRPr="00404EF4">
        <w:t>jejich</w:t>
      </w:r>
      <w:r>
        <w:t xml:space="preserve"> </w:t>
      </w:r>
      <w:r w:rsidRPr="00404EF4">
        <w:t>funkce</w:t>
      </w:r>
      <w:r>
        <w:t xml:space="preserve"> </w:t>
      </w:r>
      <w:r w:rsidRPr="00404EF4">
        <w:t>odměna</w:t>
      </w:r>
      <w:r>
        <w:t xml:space="preserve"> </w:t>
      </w:r>
      <w:r w:rsidRPr="00404EF4">
        <w:t>a</w:t>
      </w:r>
      <w:r>
        <w:t xml:space="preserve"> </w:t>
      </w:r>
      <w:r w:rsidRPr="00404EF4">
        <w:t>cestovní</w:t>
      </w:r>
      <w:r>
        <w:t xml:space="preserve"> </w:t>
      </w:r>
      <w:r w:rsidRPr="00404EF4">
        <w:t>náhrady,</w:t>
      </w:r>
      <w:r>
        <w:t xml:space="preserve"> </w:t>
      </w:r>
      <w:r w:rsidRPr="00404EF4">
        <w:t>které</w:t>
      </w:r>
      <w:r>
        <w:t xml:space="preserve"> </w:t>
      </w:r>
      <w:r w:rsidRPr="00404EF4">
        <w:t>se</w:t>
      </w:r>
      <w:r>
        <w:t xml:space="preserve"> </w:t>
      </w:r>
      <w:r w:rsidRPr="00404EF4">
        <w:t>poskytují</w:t>
      </w:r>
      <w:r>
        <w:t xml:space="preserve"> </w:t>
      </w:r>
      <w:r w:rsidRPr="00404EF4">
        <w:t>ve</w:t>
      </w:r>
      <w:r>
        <w:t xml:space="preserve"> </w:t>
      </w:r>
      <w:r w:rsidRPr="00404EF4">
        <w:t>výši</w:t>
      </w:r>
      <w:r>
        <w:t xml:space="preserve"> </w:t>
      </w:r>
      <w:r w:rsidRPr="00404EF4">
        <w:t>a</w:t>
      </w:r>
      <w:r>
        <w:t xml:space="preserve"> </w:t>
      </w:r>
      <w:r w:rsidRPr="00404EF4">
        <w:t>za</w:t>
      </w:r>
      <w:r>
        <w:t xml:space="preserve"> </w:t>
      </w:r>
      <w:r w:rsidRPr="00404EF4">
        <w:t>podmínek</w:t>
      </w:r>
      <w:r>
        <w:t xml:space="preserve"> </w:t>
      </w:r>
      <w:r w:rsidRPr="00404EF4">
        <w:t>stanovených</w:t>
      </w:r>
      <w:r>
        <w:t xml:space="preserve"> </w:t>
      </w:r>
      <w:r w:rsidRPr="00404EF4">
        <w:t>zákoníkem</w:t>
      </w:r>
      <w:r>
        <w:t xml:space="preserve"> </w:t>
      </w:r>
      <w:r w:rsidRPr="00404EF4">
        <w:t>práce.</w:t>
      </w:r>
      <w:r>
        <w:t xml:space="preserve"> </w:t>
      </w:r>
      <w:r w:rsidRPr="00404EF4">
        <w:t>Výši</w:t>
      </w:r>
      <w:r>
        <w:t xml:space="preserve"> </w:t>
      </w:r>
      <w:r w:rsidRPr="00404EF4">
        <w:t>odměny</w:t>
      </w:r>
      <w:r>
        <w:t xml:space="preserve"> </w:t>
      </w:r>
      <w:r w:rsidRPr="00404EF4">
        <w:t>stanoví</w:t>
      </w:r>
      <w:r>
        <w:t xml:space="preserve"> </w:t>
      </w:r>
      <w:r w:rsidRPr="00404EF4">
        <w:t>na</w:t>
      </w:r>
      <w:r>
        <w:t xml:space="preserve"> </w:t>
      </w:r>
      <w:r w:rsidRPr="00404EF4">
        <w:t>základě</w:t>
      </w:r>
      <w:r>
        <w:t xml:space="preserve"> </w:t>
      </w:r>
      <w:r w:rsidRPr="00404EF4">
        <w:t>zprávy</w:t>
      </w:r>
      <w:r>
        <w:t xml:space="preserve"> </w:t>
      </w:r>
      <w:r w:rsidRPr="00404EF4">
        <w:t>o</w:t>
      </w:r>
      <w:r>
        <w:t xml:space="preserve"> </w:t>
      </w:r>
      <w:r w:rsidRPr="00404EF4">
        <w:t>činnosti</w:t>
      </w:r>
      <w:r>
        <w:t xml:space="preserve"> </w:t>
      </w:r>
      <w:r w:rsidRPr="00404EF4">
        <w:t>kontrolní</w:t>
      </w:r>
      <w:r>
        <w:t xml:space="preserve"> </w:t>
      </w:r>
      <w:r w:rsidRPr="00404EF4">
        <w:t>rady</w:t>
      </w:r>
      <w:r>
        <w:t xml:space="preserve"> </w:t>
      </w:r>
      <w:r w:rsidRPr="00404EF4">
        <w:t>Grantové</w:t>
      </w:r>
      <w:r>
        <w:t xml:space="preserve"> </w:t>
      </w:r>
      <w:r w:rsidRPr="00404EF4">
        <w:t>agentury</w:t>
      </w:r>
      <w:r>
        <w:t xml:space="preserve"> </w:t>
      </w:r>
      <w:r w:rsidRPr="00404EF4">
        <w:t>České</w:t>
      </w:r>
      <w:r>
        <w:t xml:space="preserve"> </w:t>
      </w:r>
      <w:r w:rsidRPr="00404EF4">
        <w:t>republiky</w:t>
      </w:r>
      <w:r>
        <w:t xml:space="preserve"> </w:t>
      </w:r>
      <w:r w:rsidRPr="00404EF4">
        <w:t>na</w:t>
      </w:r>
      <w:r>
        <w:t xml:space="preserve"> </w:t>
      </w:r>
      <w:r w:rsidRPr="00404EF4">
        <w:t>návrh</w:t>
      </w:r>
      <w:r>
        <w:t xml:space="preserve"> </w:t>
      </w:r>
      <w:r w:rsidRPr="00404EF4">
        <w:t>výboru</w:t>
      </w:r>
      <w:r>
        <w:t xml:space="preserve"> </w:t>
      </w:r>
      <w:r w:rsidRPr="00404EF4">
        <w:t>Poslanecké</w:t>
      </w:r>
      <w:r>
        <w:t xml:space="preserve"> </w:t>
      </w:r>
      <w:r w:rsidRPr="00404EF4">
        <w:t>sněmovny</w:t>
      </w:r>
      <w:r>
        <w:t xml:space="preserve"> </w:t>
      </w:r>
      <w:r w:rsidRPr="00404EF4">
        <w:t>příslušného</w:t>
      </w:r>
      <w:r>
        <w:t xml:space="preserve"> </w:t>
      </w:r>
      <w:r w:rsidRPr="00404EF4">
        <w:t>ve</w:t>
      </w:r>
      <w:r>
        <w:t xml:space="preserve"> </w:t>
      </w:r>
      <w:r w:rsidRPr="00404EF4">
        <w:t>věcech</w:t>
      </w:r>
      <w:r>
        <w:t xml:space="preserve"> </w:t>
      </w:r>
      <w:r w:rsidRPr="00404EF4">
        <w:t>vědy</w:t>
      </w:r>
      <w:r>
        <w:t xml:space="preserve"> </w:t>
      </w:r>
      <w:r w:rsidRPr="00404EF4">
        <w:t>Poslanecká</w:t>
      </w:r>
      <w:r>
        <w:t xml:space="preserve"> </w:t>
      </w:r>
      <w:r w:rsidRPr="00404EF4">
        <w:t>sněmovna.</w:t>
      </w:r>
      <w:r>
        <w:t xml:space="preserve"> </w:t>
      </w:r>
      <w:r w:rsidRPr="00404EF4">
        <w:t>Kontrolní</w:t>
      </w:r>
      <w:r>
        <w:t xml:space="preserve"> </w:t>
      </w:r>
      <w:r w:rsidRPr="00404EF4">
        <w:t>rada</w:t>
      </w:r>
      <w:r>
        <w:t xml:space="preserve"> </w:t>
      </w:r>
      <w:r w:rsidRPr="00404EF4">
        <w:t>Grantové</w:t>
      </w:r>
      <w:r>
        <w:t xml:space="preserve"> </w:t>
      </w:r>
      <w:r w:rsidRPr="00404EF4">
        <w:t>agentury</w:t>
      </w:r>
      <w:r>
        <w:t xml:space="preserve"> </w:t>
      </w:r>
      <w:r w:rsidRPr="00404EF4">
        <w:t>České</w:t>
      </w:r>
      <w:r>
        <w:t xml:space="preserve"> </w:t>
      </w:r>
      <w:r w:rsidRPr="00404EF4">
        <w:t>republiky</w:t>
      </w:r>
      <w:r>
        <w:t xml:space="preserve"> </w:t>
      </w:r>
      <w:r w:rsidRPr="00404EF4">
        <w:t>předkládá</w:t>
      </w:r>
      <w:r>
        <w:t xml:space="preserve"> </w:t>
      </w:r>
      <w:r w:rsidRPr="00404EF4">
        <w:t>výboru</w:t>
      </w:r>
      <w:r>
        <w:t xml:space="preserve"> </w:t>
      </w:r>
      <w:r w:rsidRPr="00404EF4">
        <w:t>Poslanecké</w:t>
      </w:r>
      <w:r>
        <w:t xml:space="preserve"> </w:t>
      </w:r>
      <w:r w:rsidRPr="00404EF4">
        <w:t>sněmovny</w:t>
      </w:r>
      <w:r>
        <w:t xml:space="preserve"> </w:t>
      </w:r>
      <w:r w:rsidRPr="00404EF4">
        <w:t>příslušnému</w:t>
      </w:r>
      <w:r>
        <w:t xml:space="preserve"> </w:t>
      </w:r>
      <w:r w:rsidRPr="00404EF4">
        <w:t>ve</w:t>
      </w:r>
      <w:r>
        <w:t xml:space="preserve"> </w:t>
      </w:r>
      <w:r w:rsidRPr="00404EF4">
        <w:t>věcech</w:t>
      </w:r>
      <w:r>
        <w:t xml:space="preserve"> </w:t>
      </w:r>
      <w:r w:rsidRPr="00404EF4">
        <w:t>vědy</w:t>
      </w:r>
      <w:r>
        <w:t xml:space="preserve"> </w:t>
      </w:r>
      <w:r w:rsidRPr="00404EF4">
        <w:t>nejméně</w:t>
      </w:r>
      <w:r>
        <w:t xml:space="preserve"> </w:t>
      </w:r>
      <w:r w:rsidRPr="00404EF4">
        <w:t>jednou</w:t>
      </w:r>
      <w:r>
        <w:t xml:space="preserve"> </w:t>
      </w:r>
      <w:r w:rsidRPr="00404EF4">
        <w:t>za</w:t>
      </w:r>
      <w:r>
        <w:t xml:space="preserve"> </w:t>
      </w:r>
      <w:r w:rsidRPr="00404EF4">
        <w:t>6</w:t>
      </w:r>
      <w:r>
        <w:t xml:space="preserve"> </w:t>
      </w:r>
      <w:r w:rsidRPr="00404EF4">
        <w:t>měsíců</w:t>
      </w:r>
      <w:r>
        <w:t xml:space="preserve"> </w:t>
      </w:r>
      <w:r w:rsidRPr="00404EF4">
        <w:t>informaci</w:t>
      </w:r>
      <w:r>
        <w:t xml:space="preserve"> </w:t>
      </w:r>
      <w:r w:rsidRPr="00404EF4">
        <w:t>o</w:t>
      </w:r>
      <w:r>
        <w:t xml:space="preserve"> </w:t>
      </w:r>
      <w:r w:rsidRPr="00404EF4">
        <w:t>činnosti</w:t>
      </w:r>
      <w:r>
        <w:t xml:space="preserve"> </w:t>
      </w:r>
      <w:r w:rsidRPr="00404EF4">
        <w:t>Grantové</w:t>
      </w:r>
      <w:r>
        <w:t xml:space="preserve"> </w:t>
      </w:r>
      <w:r w:rsidRPr="00404EF4">
        <w:t>agentury</w:t>
      </w:r>
      <w:r>
        <w:t xml:space="preserve"> </w:t>
      </w:r>
      <w:r w:rsidRPr="00404EF4">
        <w:t>České</w:t>
      </w:r>
      <w:r>
        <w:t xml:space="preserve"> </w:t>
      </w:r>
      <w:r w:rsidRPr="00404EF4">
        <w:t>republiky</w:t>
      </w:r>
      <w:r>
        <w:t xml:space="preserve"> </w:t>
      </w:r>
      <w:r w:rsidRPr="00404EF4">
        <w:t>včetně</w:t>
      </w:r>
      <w:r>
        <w:t xml:space="preserve"> </w:t>
      </w:r>
      <w:r w:rsidRPr="00404EF4">
        <w:t>informace</w:t>
      </w:r>
      <w:r>
        <w:t xml:space="preserve"> </w:t>
      </w:r>
      <w:r w:rsidRPr="00404EF4">
        <w:t>o</w:t>
      </w:r>
      <w:r>
        <w:t xml:space="preserve"> </w:t>
      </w:r>
      <w:r w:rsidRPr="00404EF4">
        <w:t>jednotlivých</w:t>
      </w:r>
      <w:r>
        <w:t xml:space="preserve"> </w:t>
      </w:r>
      <w:r w:rsidRPr="00404EF4">
        <w:t>veřejných</w:t>
      </w:r>
      <w:r>
        <w:t xml:space="preserve"> </w:t>
      </w:r>
      <w:r w:rsidRPr="00404EF4">
        <w:t>soutěžích</w:t>
      </w:r>
      <w:r>
        <w:t xml:space="preserve"> </w:t>
      </w:r>
      <w:r w:rsidRPr="00404EF4">
        <w:t>ve</w:t>
      </w:r>
      <w:r>
        <w:t xml:space="preserve"> </w:t>
      </w:r>
      <w:r w:rsidRPr="00404EF4">
        <w:t>výzkumu,</w:t>
      </w:r>
      <w:r>
        <w:t xml:space="preserve"> </w:t>
      </w:r>
      <w:r w:rsidRPr="00404EF4">
        <w:t>vývoji</w:t>
      </w:r>
      <w:r>
        <w:t xml:space="preserve"> </w:t>
      </w:r>
      <w:r w:rsidRPr="00404EF4">
        <w:t>a</w:t>
      </w:r>
      <w:r>
        <w:t xml:space="preserve"> </w:t>
      </w:r>
      <w:r w:rsidRPr="00404EF4">
        <w:t>inovacích.</w:t>
      </w:r>
    </w:p>
    <w:p w14:paraId="27F98696" w14:textId="77777777" w:rsidR="00137BFD" w:rsidRPr="00404EF4" w:rsidRDefault="00137BFD" w:rsidP="00137BFD">
      <w:pPr>
        <w:pStyle w:val="Textparagrafu"/>
        <w:tabs>
          <w:tab w:val="left" w:pos="392"/>
          <w:tab w:val="left" w:pos="840"/>
        </w:tabs>
        <w:spacing w:after="120"/>
        <w:ind w:firstLine="0"/>
        <w:jc w:val="center"/>
      </w:pPr>
      <w:r w:rsidRPr="00404EF4">
        <w:t>§</w:t>
      </w:r>
      <w:r>
        <w:t xml:space="preserve"> </w:t>
      </w:r>
      <w:r w:rsidRPr="00404EF4">
        <w:t>36a</w:t>
      </w:r>
    </w:p>
    <w:p w14:paraId="2AAD0268" w14:textId="77777777" w:rsidR="00137BFD" w:rsidRPr="00404EF4" w:rsidRDefault="00137BFD" w:rsidP="00137BFD">
      <w:pPr>
        <w:pStyle w:val="Textparagrafu"/>
        <w:tabs>
          <w:tab w:val="left" w:pos="392"/>
          <w:tab w:val="left" w:pos="840"/>
        </w:tabs>
        <w:spacing w:after="120"/>
        <w:ind w:firstLine="0"/>
        <w:jc w:val="center"/>
        <w:rPr>
          <w:b/>
        </w:rPr>
      </w:pPr>
      <w:r w:rsidRPr="00404EF4">
        <w:rPr>
          <w:b/>
        </w:rPr>
        <w:t>Technologická agentura České republiky</w:t>
      </w:r>
    </w:p>
    <w:p w14:paraId="4A42286C" w14:textId="77777777" w:rsidR="00137BFD" w:rsidRDefault="00137BFD" w:rsidP="00423E87">
      <w:pPr>
        <w:pStyle w:val="Textparagrafu"/>
        <w:tabs>
          <w:tab w:val="left" w:pos="392"/>
          <w:tab w:val="left" w:pos="840"/>
        </w:tabs>
        <w:spacing w:before="120" w:after="120"/>
      </w:pPr>
      <w:r w:rsidRPr="00404EF4">
        <w:lastRenderedPageBreak/>
        <w:t>(1)</w:t>
      </w:r>
      <w:r>
        <w:t xml:space="preserve"> </w:t>
      </w:r>
      <w:r w:rsidRPr="00404EF4">
        <w:t>Zřizuje</w:t>
      </w:r>
      <w:r>
        <w:t xml:space="preserve"> </w:t>
      </w:r>
      <w:r w:rsidRPr="00404EF4">
        <w:t>se</w:t>
      </w:r>
      <w:r>
        <w:t xml:space="preserve"> </w:t>
      </w:r>
      <w:r w:rsidRPr="00404EF4">
        <w:t>Technologická</w:t>
      </w:r>
      <w:r>
        <w:t xml:space="preserve"> </w:t>
      </w:r>
      <w:r w:rsidRPr="00404EF4">
        <w:t>agentura</w:t>
      </w:r>
      <w:r>
        <w:t xml:space="preserve"> </w:t>
      </w:r>
      <w:r w:rsidRPr="00404EF4">
        <w:t>České</w:t>
      </w:r>
      <w:r>
        <w:t xml:space="preserve"> </w:t>
      </w:r>
      <w:r w:rsidRPr="00404EF4">
        <w:t>republiky</w:t>
      </w:r>
      <w:r>
        <w:t xml:space="preserve"> </w:t>
      </w:r>
      <w:r w:rsidRPr="00404EF4">
        <w:t>se</w:t>
      </w:r>
      <w:r>
        <w:t xml:space="preserve"> </w:t>
      </w:r>
      <w:r w:rsidRPr="00404EF4">
        <w:t>sídlem</w:t>
      </w:r>
      <w:r>
        <w:t xml:space="preserve"> </w:t>
      </w:r>
      <w:r w:rsidRPr="00404EF4">
        <w:t>v</w:t>
      </w:r>
      <w:r>
        <w:t xml:space="preserve"> </w:t>
      </w:r>
      <w:r w:rsidRPr="00404EF4">
        <w:t>Praze.</w:t>
      </w:r>
    </w:p>
    <w:p w14:paraId="67158C80" w14:textId="75117140" w:rsidR="00137BFD" w:rsidRDefault="00137BFD" w:rsidP="00423E87">
      <w:pPr>
        <w:pStyle w:val="Textparagrafu"/>
        <w:tabs>
          <w:tab w:val="left" w:pos="392"/>
          <w:tab w:val="left" w:pos="840"/>
        </w:tabs>
        <w:spacing w:before="120" w:after="120"/>
      </w:pPr>
      <w:r w:rsidRPr="00404EF4">
        <w:t>(2)</w:t>
      </w:r>
      <w:r>
        <w:t xml:space="preserve"> </w:t>
      </w:r>
      <w:r w:rsidRPr="00404EF4">
        <w:t>Technologická</w:t>
      </w:r>
      <w:r>
        <w:t xml:space="preserve"> </w:t>
      </w:r>
      <w:r w:rsidRPr="00404EF4">
        <w:t>agentura</w:t>
      </w:r>
      <w:r>
        <w:t xml:space="preserve"> </w:t>
      </w:r>
      <w:r w:rsidRPr="00404EF4">
        <w:t>České</w:t>
      </w:r>
      <w:r>
        <w:t xml:space="preserve"> </w:t>
      </w:r>
      <w:r w:rsidRPr="00404EF4">
        <w:t>republiky</w:t>
      </w:r>
      <w:r>
        <w:t xml:space="preserve"> </w:t>
      </w:r>
      <w:r w:rsidRPr="00404EF4">
        <w:t>je</w:t>
      </w:r>
      <w:r>
        <w:t xml:space="preserve"> </w:t>
      </w:r>
      <w:r w:rsidRPr="00404EF4">
        <w:t>organizační</w:t>
      </w:r>
      <w:r>
        <w:t xml:space="preserve"> </w:t>
      </w:r>
      <w:r w:rsidRPr="00404EF4">
        <w:t>složkou</w:t>
      </w:r>
      <w:r>
        <w:t xml:space="preserve"> </w:t>
      </w:r>
      <w:r w:rsidRPr="00404EF4">
        <w:t>státu</w:t>
      </w:r>
      <w:r>
        <w:t xml:space="preserve"> </w:t>
      </w:r>
      <w:r w:rsidRPr="00404EF4">
        <w:t>a</w:t>
      </w:r>
      <w:r>
        <w:t xml:space="preserve"> </w:t>
      </w:r>
      <w:r w:rsidRPr="00404EF4">
        <w:t>správcem</w:t>
      </w:r>
      <w:r>
        <w:t xml:space="preserve"> </w:t>
      </w:r>
      <w:r w:rsidRPr="00404EF4">
        <w:t>rozpočtové</w:t>
      </w:r>
      <w:r>
        <w:t xml:space="preserve"> </w:t>
      </w:r>
      <w:r w:rsidRPr="00404EF4">
        <w:t>kapitoly.</w:t>
      </w:r>
      <w:r>
        <w:t xml:space="preserve"> </w:t>
      </w:r>
      <w:r w:rsidRPr="00404EF4">
        <w:t>Technologická</w:t>
      </w:r>
      <w:r>
        <w:t xml:space="preserve"> </w:t>
      </w:r>
      <w:r w:rsidRPr="00404EF4">
        <w:t>agentura</w:t>
      </w:r>
      <w:r>
        <w:t xml:space="preserve"> </w:t>
      </w:r>
      <w:r w:rsidRPr="00404EF4">
        <w:t>České</w:t>
      </w:r>
      <w:r>
        <w:t xml:space="preserve"> </w:t>
      </w:r>
      <w:r w:rsidRPr="00404EF4">
        <w:t>republiky</w:t>
      </w:r>
      <w:r>
        <w:t xml:space="preserve"> </w:t>
      </w:r>
      <w:r w:rsidRPr="00472E9C">
        <w:rPr>
          <w:strike/>
        </w:rPr>
        <w:t>je samostatnou účetní jednotkou</w:t>
      </w:r>
      <w:r>
        <w:t xml:space="preserve"> </w:t>
      </w:r>
      <w:r w:rsidRPr="00E47F95">
        <w:rPr>
          <w:strike/>
        </w:rPr>
        <w:t>a</w:t>
      </w:r>
      <w:r>
        <w:t xml:space="preserve"> </w:t>
      </w:r>
      <w:r w:rsidRPr="00404EF4">
        <w:t>hospodaří</w:t>
      </w:r>
      <w:r>
        <w:t xml:space="preserve"> </w:t>
      </w:r>
      <w:r w:rsidRPr="00404EF4">
        <w:t>samostatně</w:t>
      </w:r>
      <w:r>
        <w:t xml:space="preserve"> </w:t>
      </w:r>
      <w:r w:rsidRPr="00404EF4">
        <w:t>s</w:t>
      </w:r>
      <w:r>
        <w:t xml:space="preserve"> </w:t>
      </w:r>
      <w:r w:rsidRPr="00404EF4">
        <w:t>účelovými</w:t>
      </w:r>
      <w:r>
        <w:t xml:space="preserve"> </w:t>
      </w:r>
      <w:r w:rsidRPr="00404EF4">
        <w:t>a</w:t>
      </w:r>
      <w:r>
        <w:t xml:space="preserve"> </w:t>
      </w:r>
      <w:r w:rsidRPr="00404EF4">
        <w:t>institucionálními</w:t>
      </w:r>
      <w:r>
        <w:t xml:space="preserve"> </w:t>
      </w:r>
      <w:r w:rsidRPr="00404EF4">
        <w:t>prostředky</w:t>
      </w:r>
      <w:r>
        <w:t xml:space="preserve"> </w:t>
      </w:r>
      <w:r w:rsidRPr="00404EF4">
        <w:t>přidělenými</w:t>
      </w:r>
      <w:r>
        <w:t xml:space="preserve"> </w:t>
      </w:r>
      <w:r w:rsidRPr="00404EF4">
        <w:t>zákonem</w:t>
      </w:r>
      <w:r>
        <w:t xml:space="preserve"> </w:t>
      </w:r>
      <w:r w:rsidRPr="00404EF4">
        <w:t>o</w:t>
      </w:r>
      <w:r>
        <w:t xml:space="preserve"> </w:t>
      </w:r>
      <w:r w:rsidRPr="00404EF4">
        <w:t>státním</w:t>
      </w:r>
      <w:r>
        <w:t xml:space="preserve"> </w:t>
      </w:r>
      <w:r w:rsidRPr="00404EF4">
        <w:t>rozpočtu</w:t>
      </w:r>
      <w:r>
        <w:t xml:space="preserve"> </w:t>
      </w:r>
      <w:r w:rsidRPr="00404EF4">
        <w:t>České</w:t>
      </w:r>
      <w:r>
        <w:t xml:space="preserve"> </w:t>
      </w:r>
      <w:r w:rsidRPr="00404EF4">
        <w:t>republiky.</w:t>
      </w:r>
      <w:r>
        <w:t xml:space="preserve"> </w:t>
      </w:r>
      <w:r w:rsidRPr="00404EF4">
        <w:t>Technologická</w:t>
      </w:r>
      <w:r>
        <w:t xml:space="preserve"> </w:t>
      </w:r>
      <w:r w:rsidRPr="00404EF4">
        <w:t>agentura</w:t>
      </w:r>
      <w:r>
        <w:t xml:space="preserve"> </w:t>
      </w:r>
      <w:r w:rsidRPr="00404EF4">
        <w:t>České</w:t>
      </w:r>
      <w:r>
        <w:t xml:space="preserve"> </w:t>
      </w:r>
      <w:r w:rsidRPr="00404EF4">
        <w:t>republiky</w:t>
      </w:r>
      <w:r>
        <w:t xml:space="preserve"> </w:t>
      </w:r>
      <w:r w:rsidRPr="00472E9C">
        <w:rPr>
          <w:strike/>
        </w:rPr>
        <w:t>je povinna mít účetní závěrku ověřenou auditorem</w:t>
      </w:r>
      <w:r w:rsidR="00472E9C" w:rsidRPr="00472E9C">
        <w:rPr>
          <w:b/>
          <w:bCs/>
          <w:shd w:val="clear" w:color="auto" w:fill="FFFFFF"/>
        </w:rPr>
        <w:t xml:space="preserve"> </w:t>
      </w:r>
      <w:r w:rsidR="00472E9C" w:rsidRPr="006D5A97">
        <w:rPr>
          <w:b/>
          <w:bCs/>
          <w:shd w:val="clear" w:color="auto" w:fill="FFFFFF"/>
        </w:rPr>
        <w:t>má povinnost auditu řádné účetní závěrky</w:t>
      </w:r>
      <w:r w:rsidRPr="00404EF4">
        <w:t>.</w:t>
      </w:r>
    </w:p>
    <w:p w14:paraId="40BBFF77" w14:textId="77777777" w:rsidR="00137BFD" w:rsidRDefault="00137BFD" w:rsidP="00423E87">
      <w:pPr>
        <w:pStyle w:val="Textparagrafu"/>
        <w:tabs>
          <w:tab w:val="left" w:pos="392"/>
          <w:tab w:val="left" w:pos="840"/>
        </w:tabs>
        <w:spacing w:before="120" w:after="120"/>
      </w:pPr>
      <w:r w:rsidRPr="00404EF4">
        <w:t>(3)</w:t>
      </w:r>
      <w:r>
        <w:t xml:space="preserve"> </w:t>
      </w:r>
      <w:r w:rsidRPr="00404EF4">
        <w:t>Technologická</w:t>
      </w:r>
      <w:r>
        <w:t xml:space="preserve"> </w:t>
      </w:r>
      <w:r w:rsidRPr="00404EF4">
        <w:t>agentura</w:t>
      </w:r>
      <w:r>
        <w:t xml:space="preserve"> </w:t>
      </w:r>
      <w:r w:rsidRPr="00404EF4">
        <w:t>České</w:t>
      </w:r>
      <w:r>
        <w:t xml:space="preserve"> </w:t>
      </w:r>
      <w:r w:rsidRPr="00404EF4">
        <w:t>republiky</w:t>
      </w:r>
      <w:r>
        <w:t xml:space="preserve"> </w:t>
      </w:r>
      <w:r w:rsidRPr="00404EF4">
        <w:t>zabezpečuje:</w:t>
      </w:r>
    </w:p>
    <w:p w14:paraId="07444077" w14:textId="77777777" w:rsidR="00137BFD" w:rsidRDefault="00137BFD" w:rsidP="00423E87">
      <w:pPr>
        <w:pStyle w:val="Textparagrafu"/>
        <w:tabs>
          <w:tab w:val="left" w:pos="392"/>
          <w:tab w:val="left" w:pos="840"/>
        </w:tabs>
        <w:spacing w:before="0"/>
        <w:ind w:left="425" w:hanging="425"/>
      </w:pPr>
      <w:r w:rsidRPr="00404EF4">
        <w:t>a)</w:t>
      </w:r>
      <w:r>
        <w:tab/>
      </w:r>
      <w:r w:rsidRPr="00404EF4">
        <w:t>přípravu</w:t>
      </w:r>
      <w:r>
        <w:t xml:space="preserve"> </w:t>
      </w:r>
      <w:r w:rsidRPr="00404EF4">
        <w:t>a</w:t>
      </w:r>
      <w:r>
        <w:t xml:space="preserve"> </w:t>
      </w:r>
      <w:r w:rsidRPr="00404EF4">
        <w:t>realizaci</w:t>
      </w:r>
      <w:r>
        <w:t xml:space="preserve"> </w:t>
      </w:r>
      <w:r w:rsidRPr="00404EF4">
        <w:t>programů</w:t>
      </w:r>
      <w:r>
        <w:t xml:space="preserve"> </w:t>
      </w:r>
      <w:r w:rsidRPr="00404EF4">
        <w:t>aplikovaného</w:t>
      </w:r>
      <w:r>
        <w:t xml:space="preserve"> </w:t>
      </w:r>
      <w:r w:rsidRPr="00404EF4">
        <w:t>výzkumu,</w:t>
      </w:r>
      <w:r>
        <w:t xml:space="preserve"> </w:t>
      </w:r>
      <w:r w:rsidRPr="00404EF4">
        <w:t>vývoje</w:t>
      </w:r>
      <w:r>
        <w:t xml:space="preserve"> </w:t>
      </w:r>
      <w:r w:rsidRPr="00404EF4">
        <w:t>a</w:t>
      </w:r>
      <w:r>
        <w:t xml:space="preserve"> </w:t>
      </w:r>
      <w:r w:rsidRPr="00404EF4">
        <w:t>inovací</w:t>
      </w:r>
      <w:r>
        <w:t xml:space="preserve"> </w:t>
      </w:r>
      <w:r w:rsidRPr="00404EF4">
        <w:t>včetně</w:t>
      </w:r>
      <w:r>
        <w:t xml:space="preserve"> </w:t>
      </w:r>
      <w:r w:rsidRPr="00404EF4">
        <w:t>programů</w:t>
      </w:r>
      <w:r>
        <w:t xml:space="preserve"> </w:t>
      </w:r>
      <w:r w:rsidRPr="00404EF4">
        <w:t>pro</w:t>
      </w:r>
      <w:r>
        <w:t xml:space="preserve"> </w:t>
      </w:r>
      <w:r w:rsidRPr="00404EF4">
        <w:t>potřeby</w:t>
      </w:r>
      <w:r>
        <w:t xml:space="preserve"> </w:t>
      </w:r>
      <w:r w:rsidRPr="00404EF4">
        <w:t>státní</w:t>
      </w:r>
      <w:r>
        <w:t xml:space="preserve"> </w:t>
      </w:r>
      <w:r w:rsidRPr="00404EF4">
        <w:t>správy,</w:t>
      </w:r>
      <w:r>
        <w:t xml:space="preserve"> </w:t>
      </w:r>
      <w:r w:rsidRPr="00404EF4">
        <w:t>veřejných</w:t>
      </w:r>
      <w:r>
        <w:t xml:space="preserve"> </w:t>
      </w:r>
      <w:r w:rsidRPr="00404EF4">
        <w:t>soutěží</w:t>
      </w:r>
      <w:r>
        <w:t xml:space="preserve"> </w:t>
      </w:r>
      <w:r w:rsidRPr="00404EF4">
        <w:t>ve</w:t>
      </w:r>
      <w:r>
        <w:t xml:space="preserve"> </w:t>
      </w:r>
      <w:r w:rsidRPr="00404EF4">
        <w:t>výzkumu,</w:t>
      </w:r>
      <w:r>
        <w:t xml:space="preserve"> </w:t>
      </w:r>
      <w:r w:rsidRPr="00404EF4">
        <w:t>vývoji</w:t>
      </w:r>
      <w:r>
        <w:t xml:space="preserve"> </w:t>
      </w:r>
      <w:r w:rsidRPr="00404EF4">
        <w:t>a</w:t>
      </w:r>
      <w:r>
        <w:t xml:space="preserve"> </w:t>
      </w:r>
      <w:r w:rsidRPr="00404EF4">
        <w:t>inovacích</w:t>
      </w:r>
      <w:r>
        <w:t xml:space="preserve"> </w:t>
      </w:r>
      <w:r w:rsidRPr="00404EF4">
        <w:t>na</w:t>
      </w:r>
      <w:r>
        <w:t xml:space="preserve"> </w:t>
      </w:r>
      <w:r w:rsidRPr="00404EF4">
        <w:t>podporu</w:t>
      </w:r>
      <w:r>
        <w:t xml:space="preserve"> </w:t>
      </w:r>
      <w:r w:rsidRPr="00404EF4">
        <w:t>projektů</w:t>
      </w:r>
      <w:r>
        <w:t xml:space="preserve"> </w:t>
      </w:r>
      <w:r w:rsidRPr="00404EF4">
        <w:t>a</w:t>
      </w:r>
      <w:r>
        <w:t xml:space="preserve"> </w:t>
      </w:r>
      <w:r w:rsidRPr="00404EF4">
        <w:t>zadávání</w:t>
      </w:r>
      <w:r>
        <w:t xml:space="preserve"> </w:t>
      </w:r>
      <w:r w:rsidRPr="00404EF4">
        <w:t>veřejných</w:t>
      </w:r>
      <w:r>
        <w:t xml:space="preserve"> </w:t>
      </w:r>
      <w:r w:rsidRPr="00404EF4">
        <w:t>zakázek,</w:t>
      </w:r>
    </w:p>
    <w:p w14:paraId="6069CC9A" w14:textId="395FA323" w:rsidR="00137BFD" w:rsidRDefault="00137BFD" w:rsidP="00423E87">
      <w:pPr>
        <w:pStyle w:val="Textparagrafu"/>
        <w:tabs>
          <w:tab w:val="left" w:pos="392"/>
          <w:tab w:val="left" w:pos="840"/>
        </w:tabs>
        <w:spacing w:before="0"/>
        <w:ind w:left="425" w:hanging="425"/>
      </w:pPr>
      <w:r w:rsidRPr="00404EF4">
        <w:t>b)</w:t>
      </w:r>
      <w:r>
        <w:tab/>
      </w:r>
      <w:r w:rsidR="00423E87">
        <w:tab/>
      </w:r>
      <w:r w:rsidRPr="00404EF4">
        <w:t>hodnocení</w:t>
      </w:r>
      <w:r>
        <w:t xml:space="preserve"> </w:t>
      </w:r>
      <w:r w:rsidRPr="00404EF4">
        <w:t>a</w:t>
      </w:r>
      <w:r>
        <w:t xml:space="preserve"> </w:t>
      </w:r>
      <w:r w:rsidRPr="00404EF4">
        <w:t>výběr</w:t>
      </w:r>
      <w:r>
        <w:t xml:space="preserve"> </w:t>
      </w:r>
      <w:r w:rsidRPr="00404EF4">
        <w:t>návrhů</w:t>
      </w:r>
      <w:r>
        <w:t xml:space="preserve"> </w:t>
      </w:r>
      <w:r w:rsidRPr="00404EF4">
        <w:t>programových</w:t>
      </w:r>
      <w:r>
        <w:t xml:space="preserve"> </w:t>
      </w:r>
      <w:r w:rsidRPr="00404EF4">
        <w:t>projektů,</w:t>
      </w:r>
    </w:p>
    <w:p w14:paraId="55DB12B3" w14:textId="77777777" w:rsidR="00137BFD" w:rsidRDefault="00137BFD" w:rsidP="00423E87">
      <w:pPr>
        <w:pStyle w:val="Textparagrafu"/>
        <w:tabs>
          <w:tab w:val="left" w:pos="392"/>
          <w:tab w:val="left" w:pos="840"/>
        </w:tabs>
        <w:spacing w:before="0"/>
        <w:ind w:left="425" w:hanging="425"/>
      </w:pPr>
      <w:r w:rsidRPr="00404EF4">
        <w:t>c)</w:t>
      </w:r>
      <w:r>
        <w:tab/>
      </w:r>
      <w:r w:rsidRPr="00404EF4">
        <w:t>poskytování</w:t>
      </w:r>
      <w:r>
        <w:t xml:space="preserve"> </w:t>
      </w:r>
      <w:r w:rsidRPr="00404EF4">
        <w:t>účelové</w:t>
      </w:r>
      <w:r>
        <w:t xml:space="preserve"> </w:t>
      </w:r>
      <w:r w:rsidRPr="00404EF4">
        <w:t>podpory</w:t>
      </w:r>
      <w:r>
        <w:t xml:space="preserve"> </w:t>
      </w:r>
      <w:r w:rsidRPr="00404EF4">
        <w:t>na</w:t>
      </w:r>
      <w:r>
        <w:t xml:space="preserve"> </w:t>
      </w:r>
      <w:r w:rsidRPr="00404EF4">
        <w:t>řešení</w:t>
      </w:r>
      <w:r>
        <w:t xml:space="preserve"> </w:t>
      </w:r>
      <w:r w:rsidRPr="00404EF4">
        <w:t>programových</w:t>
      </w:r>
      <w:r>
        <w:t xml:space="preserve"> </w:t>
      </w:r>
      <w:r w:rsidRPr="00404EF4">
        <w:t>projektů</w:t>
      </w:r>
      <w:r>
        <w:t xml:space="preserve"> </w:t>
      </w:r>
      <w:r w:rsidRPr="00404EF4">
        <w:t>na</w:t>
      </w:r>
      <w:r>
        <w:t xml:space="preserve"> </w:t>
      </w:r>
      <w:r w:rsidRPr="00404EF4">
        <w:t>základě</w:t>
      </w:r>
      <w:r>
        <w:t xml:space="preserve"> </w:t>
      </w:r>
      <w:r w:rsidRPr="00404EF4">
        <w:t>smluv</w:t>
      </w:r>
      <w:r>
        <w:t xml:space="preserve"> </w:t>
      </w:r>
      <w:r w:rsidRPr="00404EF4">
        <w:t>o</w:t>
      </w:r>
      <w:r>
        <w:t xml:space="preserve"> </w:t>
      </w:r>
      <w:r w:rsidRPr="00404EF4">
        <w:t>poskytnutí</w:t>
      </w:r>
      <w:r>
        <w:t xml:space="preserve"> </w:t>
      </w:r>
      <w:r w:rsidRPr="00404EF4">
        <w:t>podpory</w:t>
      </w:r>
      <w:r>
        <w:t xml:space="preserve"> </w:t>
      </w:r>
      <w:r w:rsidRPr="00404EF4">
        <w:t>nebo</w:t>
      </w:r>
      <w:r>
        <w:t xml:space="preserve"> </w:t>
      </w:r>
      <w:r w:rsidRPr="00404EF4">
        <w:t>rozhodnutí</w:t>
      </w:r>
      <w:r>
        <w:t xml:space="preserve"> </w:t>
      </w:r>
      <w:r w:rsidRPr="00404EF4">
        <w:t>o</w:t>
      </w:r>
      <w:r>
        <w:t xml:space="preserve"> </w:t>
      </w:r>
      <w:r w:rsidRPr="00404EF4">
        <w:t>poskytnutí</w:t>
      </w:r>
      <w:r>
        <w:t xml:space="preserve"> </w:t>
      </w:r>
      <w:r w:rsidRPr="00404EF4">
        <w:t>podpory,</w:t>
      </w:r>
    </w:p>
    <w:p w14:paraId="5069464D" w14:textId="25025121" w:rsidR="00137BFD" w:rsidRDefault="00137BFD" w:rsidP="00423E87">
      <w:pPr>
        <w:pStyle w:val="Textparagrafu"/>
        <w:tabs>
          <w:tab w:val="left" w:pos="392"/>
          <w:tab w:val="left" w:pos="840"/>
        </w:tabs>
        <w:spacing w:before="0"/>
        <w:ind w:left="425" w:hanging="425"/>
      </w:pPr>
      <w:r w:rsidRPr="00404EF4">
        <w:t>d)</w:t>
      </w:r>
      <w:r>
        <w:tab/>
      </w:r>
      <w:r w:rsidR="00423E87">
        <w:tab/>
      </w:r>
      <w:r w:rsidRPr="00404EF4">
        <w:t>kontrolu</w:t>
      </w:r>
      <w:r>
        <w:t xml:space="preserve"> </w:t>
      </w:r>
      <w:r w:rsidRPr="00404EF4">
        <w:t>plnění</w:t>
      </w:r>
      <w:r>
        <w:t xml:space="preserve"> </w:t>
      </w:r>
      <w:r w:rsidRPr="00404EF4">
        <w:t>smluv</w:t>
      </w:r>
      <w:r>
        <w:t xml:space="preserve"> </w:t>
      </w:r>
      <w:r w:rsidRPr="00404EF4">
        <w:t>o</w:t>
      </w:r>
      <w:r>
        <w:t xml:space="preserve"> </w:t>
      </w:r>
      <w:r w:rsidRPr="00404EF4">
        <w:t>poskytnutí</w:t>
      </w:r>
      <w:r>
        <w:t xml:space="preserve"> </w:t>
      </w:r>
      <w:r w:rsidRPr="00404EF4">
        <w:t>podpory</w:t>
      </w:r>
      <w:r>
        <w:t xml:space="preserve"> </w:t>
      </w:r>
      <w:r w:rsidRPr="00404EF4">
        <w:t>nebo</w:t>
      </w:r>
      <w:r>
        <w:t xml:space="preserve"> </w:t>
      </w:r>
      <w:r w:rsidRPr="00404EF4">
        <w:t>rozhodnutí</w:t>
      </w:r>
      <w:r>
        <w:t xml:space="preserve"> </w:t>
      </w:r>
      <w:r w:rsidRPr="00404EF4">
        <w:t>o</w:t>
      </w:r>
      <w:r>
        <w:t xml:space="preserve"> </w:t>
      </w:r>
      <w:r w:rsidRPr="00404EF4">
        <w:t>poskytnutí</w:t>
      </w:r>
      <w:r>
        <w:t xml:space="preserve"> </w:t>
      </w:r>
      <w:r w:rsidRPr="00404EF4">
        <w:t>podpory</w:t>
      </w:r>
      <w:r>
        <w:t xml:space="preserve"> </w:t>
      </w:r>
      <w:r w:rsidRPr="00404EF4">
        <w:t>a</w:t>
      </w:r>
      <w:r>
        <w:t xml:space="preserve"> </w:t>
      </w:r>
      <w:r w:rsidRPr="00404EF4">
        <w:t>čerpání</w:t>
      </w:r>
      <w:r>
        <w:t xml:space="preserve"> </w:t>
      </w:r>
      <w:r w:rsidRPr="00404EF4">
        <w:t>účelové</w:t>
      </w:r>
      <w:r>
        <w:t xml:space="preserve"> </w:t>
      </w:r>
      <w:r w:rsidRPr="00404EF4">
        <w:t>podpory,</w:t>
      </w:r>
    </w:p>
    <w:p w14:paraId="71BAD9AD" w14:textId="64EF298A" w:rsidR="00137BFD" w:rsidRDefault="00137BFD" w:rsidP="00423E87">
      <w:pPr>
        <w:pStyle w:val="Textparagrafu"/>
        <w:tabs>
          <w:tab w:val="left" w:pos="392"/>
          <w:tab w:val="left" w:pos="840"/>
        </w:tabs>
        <w:spacing w:before="0"/>
        <w:ind w:left="425" w:hanging="425"/>
      </w:pPr>
      <w:r w:rsidRPr="00404EF4">
        <w:t>e)</w:t>
      </w:r>
      <w:r>
        <w:tab/>
      </w:r>
      <w:r w:rsidR="00423E87">
        <w:tab/>
      </w:r>
      <w:r w:rsidRPr="00404EF4">
        <w:t>hodnocení</w:t>
      </w:r>
      <w:r>
        <w:t xml:space="preserve"> </w:t>
      </w:r>
      <w:r w:rsidRPr="00404EF4">
        <w:t>a</w:t>
      </w:r>
      <w:r>
        <w:t xml:space="preserve"> </w:t>
      </w:r>
      <w:r w:rsidRPr="00404EF4">
        <w:t>kontrolu</w:t>
      </w:r>
      <w:r>
        <w:t xml:space="preserve"> </w:t>
      </w:r>
      <w:r w:rsidRPr="00404EF4">
        <w:t>průběhu</w:t>
      </w:r>
      <w:r>
        <w:t xml:space="preserve"> </w:t>
      </w:r>
      <w:r w:rsidRPr="00404EF4">
        <w:t>řešení</w:t>
      </w:r>
      <w:r>
        <w:t xml:space="preserve"> </w:t>
      </w:r>
      <w:r w:rsidRPr="00404EF4">
        <w:t>a</w:t>
      </w:r>
      <w:r>
        <w:t xml:space="preserve"> </w:t>
      </w:r>
      <w:r w:rsidRPr="00404EF4">
        <w:t>plnění</w:t>
      </w:r>
      <w:r>
        <w:t xml:space="preserve"> </w:t>
      </w:r>
      <w:r w:rsidRPr="00404EF4">
        <w:t>cílů</w:t>
      </w:r>
      <w:r>
        <w:t xml:space="preserve"> </w:t>
      </w:r>
      <w:r w:rsidRPr="00404EF4">
        <w:t>programových</w:t>
      </w:r>
      <w:r>
        <w:t xml:space="preserve"> </w:t>
      </w:r>
      <w:r w:rsidRPr="00404EF4">
        <w:t>projektů</w:t>
      </w:r>
      <w:r>
        <w:t xml:space="preserve"> </w:t>
      </w:r>
      <w:r w:rsidRPr="00404EF4">
        <w:t>a</w:t>
      </w:r>
      <w:r>
        <w:t xml:space="preserve"> </w:t>
      </w:r>
      <w:r w:rsidRPr="00404EF4">
        <w:t>kontrolu</w:t>
      </w:r>
      <w:r>
        <w:t xml:space="preserve"> </w:t>
      </w:r>
      <w:r w:rsidRPr="00404EF4">
        <w:t>jimi</w:t>
      </w:r>
      <w:r>
        <w:t xml:space="preserve"> </w:t>
      </w:r>
      <w:r w:rsidRPr="00404EF4">
        <w:t>dosažených</w:t>
      </w:r>
      <w:r>
        <w:t xml:space="preserve"> </w:t>
      </w:r>
      <w:r w:rsidRPr="00404EF4">
        <w:t>výsledků,</w:t>
      </w:r>
    </w:p>
    <w:p w14:paraId="283DBCA8" w14:textId="46198912" w:rsidR="00137BFD" w:rsidRDefault="00137BFD" w:rsidP="00423E87">
      <w:pPr>
        <w:pStyle w:val="Textparagrafu"/>
        <w:tabs>
          <w:tab w:val="left" w:pos="392"/>
          <w:tab w:val="left" w:pos="840"/>
        </w:tabs>
        <w:spacing w:before="0"/>
        <w:ind w:left="425" w:hanging="425"/>
      </w:pPr>
      <w:r w:rsidRPr="00404EF4">
        <w:t>f)</w:t>
      </w:r>
      <w:r>
        <w:tab/>
      </w:r>
      <w:r w:rsidR="00423E87">
        <w:tab/>
      </w:r>
      <w:r w:rsidRPr="00404EF4">
        <w:t>zpracování</w:t>
      </w:r>
      <w:r>
        <w:t xml:space="preserve"> </w:t>
      </w:r>
      <w:r w:rsidRPr="00404EF4">
        <w:t>návrhu</w:t>
      </w:r>
      <w:r>
        <w:t xml:space="preserve"> </w:t>
      </w:r>
      <w:r w:rsidRPr="00404EF4">
        <w:t>výdajů</w:t>
      </w:r>
      <w:r>
        <w:t xml:space="preserve"> </w:t>
      </w:r>
      <w:r w:rsidRPr="00404EF4">
        <w:t>Technologické</w:t>
      </w:r>
      <w:r>
        <w:t xml:space="preserve"> </w:t>
      </w:r>
      <w:r w:rsidRPr="00404EF4">
        <w:t>agentury</w:t>
      </w:r>
      <w:r>
        <w:t xml:space="preserve"> </w:t>
      </w:r>
      <w:r w:rsidRPr="00404EF4">
        <w:t>České</w:t>
      </w:r>
      <w:r>
        <w:t xml:space="preserve"> </w:t>
      </w:r>
      <w:r w:rsidRPr="00404EF4">
        <w:t>republiky</w:t>
      </w:r>
      <w:r>
        <w:t xml:space="preserve"> </w:t>
      </w:r>
      <w:r w:rsidRPr="00404EF4">
        <w:t>a</w:t>
      </w:r>
      <w:r>
        <w:t xml:space="preserve"> </w:t>
      </w:r>
      <w:r w:rsidRPr="00404EF4">
        <w:t>zpráv</w:t>
      </w:r>
      <w:r>
        <w:t xml:space="preserve"> </w:t>
      </w:r>
      <w:r w:rsidRPr="00404EF4">
        <w:t>o</w:t>
      </w:r>
      <w:r>
        <w:t xml:space="preserve"> </w:t>
      </w:r>
      <w:r w:rsidRPr="00404EF4">
        <w:t>její</w:t>
      </w:r>
      <w:r>
        <w:t xml:space="preserve"> </w:t>
      </w:r>
      <w:r w:rsidRPr="00404EF4">
        <w:t>činnosti,</w:t>
      </w:r>
    </w:p>
    <w:p w14:paraId="637B47C7" w14:textId="3F29F05B" w:rsidR="00137BFD" w:rsidRDefault="00137BFD" w:rsidP="00423E87">
      <w:pPr>
        <w:pStyle w:val="Textparagrafu"/>
        <w:tabs>
          <w:tab w:val="left" w:pos="392"/>
          <w:tab w:val="left" w:pos="840"/>
        </w:tabs>
        <w:spacing w:before="0"/>
        <w:ind w:left="425" w:hanging="425"/>
      </w:pPr>
      <w:r w:rsidRPr="00404EF4">
        <w:t>g)</w:t>
      </w:r>
      <w:r>
        <w:tab/>
      </w:r>
      <w:r w:rsidR="00423E87">
        <w:tab/>
      </w:r>
      <w:r w:rsidRPr="00404EF4">
        <w:t>poradenství</w:t>
      </w:r>
      <w:r>
        <w:t xml:space="preserve"> </w:t>
      </w:r>
      <w:r w:rsidRPr="00404EF4">
        <w:t>řešitelům</w:t>
      </w:r>
      <w:r>
        <w:t xml:space="preserve"> </w:t>
      </w:r>
      <w:r w:rsidRPr="00404EF4">
        <w:t>projektů</w:t>
      </w:r>
      <w:r>
        <w:t xml:space="preserve"> </w:t>
      </w:r>
      <w:r w:rsidRPr="00404EF4">
        <w:t>a</w:t>
      </w:r>
      <w:r>
        <w:t xml:space="preserve"> </w:t>
      </w:r>
      <w:r w:rsidRPr="00404EF4">
        <w:t>uživatelům</w:t>
      </w:r>
      <w:r>
        <w:t xml:space="preserve"> </w:t>
      </w:r>
      <w:r w:rsidRPr="00404EF4">
        <w:t>výsledků</w:t>
      </w:r>
      <w:r>
        <w:t xml:space="preserve"> </w:t>
      </w:r>
      <w:r w:rsidRPr="00404EF4">
        <w:t>aplikovaného</w:t>
      </w:r>
      <w:r>
        <w:t xml:space="preserve"> </w:t>
      </w:r>
      <w:r w:rsidRPr="00404EF4">
        <w:t>výzkumu,</w:t>
      </w:r>
      <w:r>
        <w:t xml:space="preserve"> </w:t>
      </w:r>
      <w:r w:rsidRPr="00404EF4">
        <w:t>vývoje</w:t>
      </w:r>
      <w:r>
        <w:t xml:space="preserve"> </w:t>
      </w:r>
      <w:r w:rsidRPr="00404EF4">
        <w:t>a</w:t>
      </w:r>
      <w:r>
        <w:t xml:space="preserve"> </w:t>
      </w:r>
      <w:r w:rsidRPr="00404EF4">
        <w:t>inovací,</w:t>
      </w:r>
      <w:r>
        <w:t xml:space="preserve"> </w:t>
      </w:r>
      <w:r w:rsidRPr="00404EF4">
        <w:t>zejména</w:t>
      </w:r>
      <w:r>
        <w:t xml:space="preserve"> </w:t>
      </w:r>
      <w:r w:rsidRPr="00404EF4">
        <w:t>v</w:t>
      </w:r>
      <w:r>
        <w:t xml:space="preserve"> </w:t>
      </w:r>
      <w:r w:rsidRPr="00404EF4">
        <w:t>oblasti</w:t>
      </w:r>
      <w:r>
        <w:t xml:space="preserve"> </w:t>
      </w:r>
      <w:r w:rsidRPr="00404EF4">
        <w:t>právní,</w:t>
      </w:r>
      <w:r>
        <w:t xml:space="preserve"> </w:t>
      </w:r>
      <w:r w:rsidRPr="00404EF4">
        <w:t>finanční</w:t>
      </w:r>
      <w:r>
        <w:t xml:space="preserve"> </w:t>
      </w:r>
      <w:r w:rsidRPr="00404EF4">
        <w:t>a</w:t>
      </w:r>
      <w:r>
        <w:t xml:space="preserve"> </w:t>
      </w:r>
      <w:r w:rsidRPr="00404EF4">
        <w:t>ochrany</w:t>
      </w:r>
      <w:r>
        <w:t xml:space="preserve"> </w:t>
      </w:r>
      <w:r w:rsidRPr="00404EF4">
        <w:t>duševního</w:t>
      </w:r>
      <w:r>
        <w:t xml:space="preserve"> </w:t>
      </w:r>
      <w:r w:rsidRPr="00404EF4">
        <w:t>vlastnictví,</w:t>
      </w:r>
    </w:p>
    <w:p w14:paraId="0B7D99D4" w14:textId="46F6B570" w:rsidR="00137BFD" w:rsidRDefault="00137BFD" w:rsidP="00423E87">
      <w:pPr>
        <w:pStyle w:val="Textparagrafu"/>
        <w:tabs>
          <w:tab w:val="left" w:pos="392"/>
          <w:tab w:val="left" w:pos="840"/>
        </w:tabs>
        <w:spacing w:before="0"/>
        <w:ind w:left="425" w:hanging="425"/>
      </w:pPr>
      <w:r w:rsidRPr="00404EF4">
        <w:t>h)</w:t>
      </w:r>
      <w:r>
        <w:tab/>
      </w:r>
      <w:r w:rsidR="00423E87">
        <w:tab/>
      </w:r>
      <w:r w:rsidRPr="00404EF4">
        <w:t>podporu</w:t>
      </w:r>
      <w:r>
        <w:t xml:space="preserve"> </w:t>
      </w:r>
      <w:r w:rsidRPr="00404EF4">
        <w:t>komunikace</w:t>
      </w:r>
      <w:r>
        <w:t xml:space="preserve"> </w:t>
      </w:r>
      <w:r w:rsidRPr="00404EF4">
        <w:t>mezi</w:t>
      </w:r>
      <w:r>
        <w:t xml:space="preserve"> </w:t>
      </w:r>
      <w:r w:rsidRPr="00404EF4">
        <w:t>výzkumnými</w:t>
      </w:r>
      <w:r>
        <w:t xml:space="preserve"> </w:t>
      </w:r>
      <w:r w:rsidRPr="00404EF4">
        <w:t>organizacemi</w:t>
      </w:r>
      <w:r>
        <w:t xml:space="preserve"> </w:t>
      </w:r>
      <w:r w:rsidRPr="00404EF4">
        <w:t>a</w:t>
      </w:r>
      <w:r>
        <w:t xml:space="preserve"> </w:t>
      </w:r>
      <w:r w:rsidRPr="00404EF4">
        <w:t>soukromým</w:t>
      </w:r>
      <w:r>
        <w:t xml:space="preserve"> </w:t>
      </w:r>
      <w:r w:rsidRPr="00404EF4">
        <w:t>sektorem</w:t>
      </w:r>
      <w:r>
        <w:t xml:space="preserve"> </w:t>
      </w:r>
      <w:r w:rsidRPr="00404EF4">
        <w:t>a</w:t>
      </w:r>
      <w:r>
        <w:t xml:space="preserve"> </w:t>
      </w:r>
      <w:r w:rsidRPr="00404EF4">
        <w:t>podílové</w:t>
      </w:r>
      <w:r>
        <w:t xml:space="preserve"> </w:t>
      </w:r>
      <w:r w:rsidRPr="00404EF4">
        <w:t>financování</w:t>
      </w:r>
      <w:r>
        <w:t xml:space="preserve"> </w:t>
      </w:r>
      <w:r w:rsidRPr="00404EF4">
        <w:t>programových</w:t>
      </w:r>
      <w:r>
        <w:t xml:space="preserve"> </w:t>
      </w:r>
      <w:r w:rsidRPr="00404EF4">
        <w:t>projektů,</w:t>
      </w:r>
    </w:p>
    <w:p w14:paraId="6C830925" w14:textId="019B767D" w:rsidR="00137BFD" w:rsidRDefault="00137BFD" w:rsidP="00423E87">
      <w:pPr>
        <w:pStyle w:val="Textparagrafu"/>
        <w:tabs>
          <w:tab w:val="left" w:pos="392"/>
          <w:tab w:val="left" w:pos="840"/>
        </w:tabs>
        <w:spacing w:before="0"/>
        <w:ind w:left="425" w:hanging="425"/>
      </w:pPr>
      <w:r w:rsidRPr="00404EF4">
        <w:t>i)</w:t>
      </w:r>
      <w:r>
        <w:tab/>
      </w:r>
      <w:r w:rsidR="00423E87">
        <w:tab/>
      </w:r>
      <w:r w:rsidRPr="00404EF4">
        <w:t>jedná</w:t>
      </w:r>
      <w:r>
        <w:t xml:space="preserve"> </w:t>
      </w:r>
      <w:r w:rsidRPr="00404EF4">
        <w:t>s</w:t>
      </w:r>
      <w:r>
        <w:t xml:space="preserve"> </w:t>
      </w:r>
      <w:r w:rsidRPr="00404EF4">
        <w:t>příslušnými</w:t>
      </w:r>
      <w:r>
        <w:t xml:space="preserve"> </w:t>
      </w:r>
      <w:r w:rsidRPr="00404EF4">
        <w:t>orgány</w:t>
      </w:r>
      <w:r>
        <w:t xml:space="preserve"> </w:t>
      </w:r>
      <w:r w:rsidRPr="00404EF4">
        <w:t>České</w:t>
      </w:r>
      <w:r>
        <w:t xml:space="preserve"> </w:t>
      </w:r>
      <w:r w:rsidRPr="00404EF4">
        <w:t>republiky</w:t>
      </w:r>
      <w:r>
        <w:t xml:space="preserve"> </w:t>
      </w:r>
      <w:r w:rsidRPr="00404EF4">
        <w:t>nebo</w:t>
      </w:r>
      <w:r>
        <w:t xml:space="preserve"> </w:t>
      </w:r>
      <w:r w:rsidRPr="00404EF4">
        <w:t>Evropské</w:t>
      </w:r>
      <w:r>
        <w:t xml:space="preserve"> </w:t>
      </w:r>
      <w:r w:rsidRPr="00404EF4">
        <w:t>unie</w:t>
      </w:r>
      <w:r>
        <w:t xml:space="preserve"> </w:t>
      </w:r>
      <w:r w:rsidRPr="00404EF4">
        <w:t>v</w:t>
      </w:r>
      <w:r>
        <w:t xml:space="preserve"> </w:t>
      </w:r>
      <w:r w:rsidRPr="00404EF4">
        <w:t>otázce</w:t>
      </w:r>
      <w:r>
        <w:t xml:space="preserve"> </w:t>
      </w:r>
      <w:r w:rsidRPr="00404EF4">
        <w:t>posuzování</w:t>
      </w:r>
      <w:r>
        <w:t xml:space="preserve"> </w:t>
      </w:r>
      <w:r w:rsidRPr="00404EF4">
        <w:t>slučitelnosti</w:t>
      </w:r>
      <w:r>
        <w:t xml:space="preserve"> </w:t>
      </w:r>
      <w:r w:rsidRPr="00404EF4">
        <w:t>poskytované</w:t>
      </w:r>
      <w:r>
        <w:t xml:space="preserve"> </w:t>
      </w:r>
      <w:r w:rsidRPr="00404EF4">
        <w:t>podpory</w:t>
      </w:r>
      <w:r>
        <w:t xml:space="preserve"> </w:t>
      </w:r>
      <w:r w:rsidRPr="00404EF4">
        <w:t>se</w:t>
      </w:r>
      <w:r>
        <w:t xml:space="preserve"> </w:t>
      </w:r>
      <w:r w:rsidRPr="00404EF4">
        <w:t>společným</w:t>
      </w:r>
      <w:r>
        <w:t xml:space="preserve"> </w:t>
      </w:r>
      <w:r w:rsidRPr="00404EF4">
        <w:t>trhem,</w:t>
      </w:r>
    </w:p>
    <w:p w14:paraId="7A02B3F1" w14:textId="441D42FF" w:rsidR="00137BFD" w:rsidRDefault="00137BFD" w:rsidP="00423E87">
      <w:pPr>
        <w:pStyle w:val="Textparagrafu"/>
        <w:tabs>
          <w:tab w:val="left" w:pos="392"/>
          <w:tab w:val="left" w:pos="840"/>
        </w:tabs>
        <w:spacing w:before="0"/>
        <w:ind w:left="425" w:hanging="425"/>
      </w:pPr>
      <w:r w:rsidRPr="00404EF4">
        <w:t>j)</w:t>
      </w:r>
      <w:r>
        <w:tab/>
      </w:r>
      <w:r w:rsidR="00423E87">
        <w:tab/>
      </w:r>
      <w:r w:rsidRPr="00404EF4">
        <w:t>spolupráci</w:t>
      </w:r>
      <w:r>
        <w:t xml:space="preserve"> </w:t>
      </w:r>
      <w:r w:rsidRPr="00404EF4">
        <w:t>s</w:t>
      </w:r>
      <w:r>
        <w:t xml:space="preserve"> </w:t>
      </w:r>
      <w:r w:rsidRPr="00404EF4">
        <w:t>obdobnými</w:t>
      </w:r>
      <w:r>
        <w:t xml:space="preserve"> </w:t>
      </w:r>
      <w:r w:rsidRPr="00404EF4">
        <w:t>zahraničními</w:t>
      </w:r>
      <w:r>
        <w:t xml:space="preserve"> </w:t>
      </w:r>
      <w:r w:rsidRPr="00404EF4">
        <w:t>agenturami.</w:t>
      </w:r>
    </w:p>
    <w:p w14:paraId="54BE2D25" w14:textId="77777777" w:rsidR="00137BFD" w:rsidRDefault="00137BFD" w:rsidP="00423E87">
      <w:pPr>
        <w:pStyle w:val="Textparagrafu"/>
        <w:tabs>
          <w:tab w:val="left" w:pos="392"/>
          <w:tab w:val="left" w:pos="840"/>
        </w:tabs>
        <w:spacing w:before="120" w:after="120"/>
      </w:pPr>
      <w:r w:rsidRPr="00404EF4">
        <w:t>(4)</w:t>
      </w:r>
      <w:r>
        <w:t xml:space="preserve"> </w:t>
      </w:r>
      <w:r w:rsidRPr="00404EF4">
        <w:t>Orgány</w:t>
      </w:r>
      <w:r>
        <w:t xml:space="preserve"> </w:t>
      </w:r>
      <w:r w:rsidRPr="00404EF4">
        <w:t>Technologické</w:t>
      </w:r>
      <w:r>
        <w:t xml:space="preserve"> </w:t>
      </w:r>
      <w:r w:rsidRPr="00404EF4">
        <w:t>agentury</w:t>
      </w:r>
      <w:r>
        <w:t xml:space="preserve"> </w:t>
      </w:r>
      <w:r w:rsidRPr="00404EF4">
        <w:t>České</w:t>
      </w:r>
      <w:r>
        <w:t xml:space="preserve"> </w:t>
      </w:r>
      <w:r w:rsidRPr="00404EF4">
        <w:t>republiky</w:t>
      </w:r>
      <w:r>
        <w:t xml:space="preserve"> </w:t>
      </w:r>
      <w:r w:rsidRPr="00404EF4">
        <w:t>jsou</w:t>
      </w:r>
      <w:r>
        <w:t xml:space="preserve"> </w:t>
      </w:r>
      <w:r w:rsidRPr="00404EF4">
        <w:t>předseda,</w:t>
      </w:r>
      <w:r>
        <w:t xml:space="preserve"> </w:t>
      </w:r>
      <w:r w:rsidRPr="00404EF4">
        <w:t>předsednictvo,</w:t>
      </w:r>
      <w:r>
        <w:t xml:space="preserve"> </w:t>
      </w:r>
      <w:r w:rsidRPr="00404EF4">
        <w:t>výzkumná</w:t>
      </w:r>
      <w:r>
        <w:t xml:space="preserve"> </w:t>
      </w:r>
      <w:r w:rsidRPr="00404EF4">
        <w:t>rada</w:t>
      </w:r>
      <w:r>
        <w:t xml:space="preserve"> </w:t>
      </w:r>
      <w:r w:rsidRPr="00404EF4">
        <w:t>a</w:t>
      </w:r>
      <w:r>
        <w:t xml:space="preserve"> </w:t>
      </w:r>
      <w:r w:rsidRPr="00404EF4">
        <w:t>kontrolní</w:t>
      </w:r>
      <w:r>
        <w:t xml:space="preserve"> </w:t>
      </w:r>
      <w:r w:rsidRPr="00404EF4">
        <w:t>rada</w:t>
      </w:r>
      <w:r>
        <w:t xml:space="preserve"> </w:t>
      </w:r>
      <w:r w:rsidRPr="00404EF4">
        <w:t>Technologické</w:t>
      </w:r>
      <w:r>
        <w:t xml:space="preserve"> </w:t>
      </w:r>
      <w:r w:rsidRPr="00404EF4">
        <w:t>agentury</w:t>
      </w:r>
      <w:r>
        <w:t xml:space="preserve"> </w:t>
      </w:r>
      <w:r w:rsidRPr="00404EF4">
        <w:t>České</w:t>
      </w:r>
      <w:r>
        <w:t xml:space="preserve"> </w:t>
      </w:r>
      <w:r w:rsidRPr="00404EF4">
        <w:t>republiky.</w:t>
      </w:r>
      <w:r>
        <w:t xml:space="preserve"> </w:t>
      </w:r>
      <w:r w:rsidRPr="00404EF4">
        <w:t>Funkce</w:t>
      </w:r>
      <w:r>
        <w:t xml:space="preserve"> </w:t>
      </w:r>
      <w:r w:rsidRPr="00404EF4">
        <w:t>členů</w:t>
      </w:r>
      <w:r>
        <w:t xml:space="preserve"> </w:t>
      </w:r>
      <w:r w:rsidRPr="00404EF4">
        <w:t>výzkumné</w:t>
      </w:r>
      <w:r>
        <w:t xml:space="preserve"> </w:t>
      </w:r>
      <w:r w:rsidRPr="00404EF4">
        <w:t>rady</w:t>
      </w:r>
      <w:r>
        <w:t xml:space="preserve"> </w:t>
      </w:r>
      <w:r w:rsidRPr="00404EF4">
        <w:t>Technologické</w:t>
      </w:r>
      <w:r>
        <w:t xml:space="preserve"> </w:t>
      </w:r>
      <w:r w:rsidRPr="00404EF4">
        <w:t>agentury</w:t>
      </w:r>
      <w:r>
        <w:t xml:space="preserve"> </w:t>
      </w:r>
      <w:r w:rsidRPr="00404EF4">
        <w:t>České</w:t>
      </w:r>
      <w:r>
        <w:t xml:space="preserve"> </w:t>
      </w:r>
      <w:r w:rsidRPr="00404EF4">
        <w:t>republiky</w:t>
      </w:r>
      <w:r>
        <w:t xml:space="preserve"> </w:t>
      </w:r>
      <w:r w:rsidRPr="00404EF4">
        <w:t>je</w:t>
      </w:r>
      <w:r>
        <w:t xml:space="preserve"> </w:t>
      </w:r>
      <w:r w:rsidRPr="00404EF4">
        <w:t>veřejnou</w:t>
      </w:r>
      <w:r>
        <w:t xml:space="preserve"> </w:t>
      </w:r>
      <w:r w:rsidRPr="00404EF4">
        <w:t>funkcí,</w:t>
      </w:r>
      <w:r>
        <w:t xml:space="preserve"> </w:t>
      </w:r>
      <w:r w:rsidRPr="00404EF4">
        <w:t>která</w:t>
      </w:r>
      <w:r>
        <w:t xml:space="preserve"> </w:t>
      </w:r>
      <w:r w:rsidRPr="00404EF4">
        <w:t>nezakládá</w:t>
      </w:r>
      <w:r>
        <w:t xml:space="preserve"> </w:t>
      </w:r>
      <w:r w:rsidRPr="00404EF4">
        <w:t>pracovněprávní</w:t>
      </w:r>
      <w:r>
        <w:t xml:space="preserve"> </w:t>
      </w:r>
      <w:r w:rsidRPr="00404EF4">
        <w:t>vztah</w:t>
      </w:r>
      <w:r w:rsidRPr="00404EF4">
        <w:rPr>
          <w:vertAlign w:val="superscript"/>
        </w:rPr>
        <w:t>33)</w:t>
      </w:r>
      <w:r>
        <w:t xml:space="preserve"> </w:t>
      </w:r>
      <w:r w:rsidRPr="00404EF4">
        <w:t>k</w:t>
      </w:r>
      <w:r>
        <w:t xml:space="preserve"> </w:t>
      </w:r>
      <w:r w:rsidRPr="00404EF4">
        <w:t>České</w:t>
      </w:r>
      <w:r>
        <w:t xml:space="preserve"> </w:t>
      </w:r>
      <w:r w:rsidRPr="00404EF4">
        <w:t>republice.</w:t>
      </w:r>
      <w:r>
        <w:t xml:space="preserve"> </w:t>
      </w:r>
      <w:r w:rsidRPr="00404EF4">
        <w:t>Za</w:t>
      </w:r>
      <w:r>
        <w:t xml:space="preserve"> </w:t>
      </w:r>
      <w:r w:rsidRPr="00404EF4">
        <w:t>výkon</w:t>
      </w:r>
      <w:r>
        <w:t xml:space="preserve"> </w:t>
      </w:r>
      <w:r w:rsidRPr="00404EF4">
        <w:t>této</w:t>
      </w:r>
      <w:r>
        <w:t xml:space="preserve"> </w:t>
      </w:r>
      <w:r w:rsidRPr="00404EF4">
        <w:t>veřejné</w:t>
      </w:r>
      <w:r>
        <w:t xml:space="preserve"> </w:t>
      </w:r>
      <w:r w:rsidRPr="00404EF4">
        <w:t>funkce</w:t>
      </w:r>
      <w:r>
        <w:t xml:space="preserve"> </w:t>
      </w:r>
      <w:r w:rsidRPr="00404EF4">
        <w:t>náleží</w:t>
      </w:r>
      <w:r>
        <w:t xml:space="preserve"> </w:t>
      </w:r>
      <w:r w:rsidRPr="00404EF4">
        <w:t>odměna,</w:t>
      </w:r>
      <w:r>
        <w:t xml:space="preserve"> </w:t>
      </w:r>
      <w:r w:rsidRPr="00404EF4">
        <w:t>jejíž</w:t>
      </w:r>
      <w:r>
        <w:t xml:space="preserve"> </w:t>
      </w:r>
      <w:r w:rsidRPr="00404EF4">
        <w:t>výši</w:t>
      </w:r>
      <w:r>
        <w:t xml:space="preserve"> </w:t>
      </w:r>
      <w:r w:rsidRPr="00404EF4">
        <w:t>stanoví</w:t>
      </w:r>
      <w:r>
        <w:t xml:space="preserve"> </w:t>
      </w:r>
      <w:r w:rsidRPr="00404EF4">
        <w:t>vláda,</w:t>
      </w:r>
      <w:r>
        <w:t xml:space="preserve"> </w:t>
      </w:r>
      <w:r w:rsidRPr="00404EF4">
        <w:t>a</w:t>
      </w:r>
      <w:r>
        <w:t xml:space="preserve"> </w:t>
      </w:r>
      <w:r w:rsidRPr="00404EF4">
        <w:t>cestovní</w:t>
      </w:r>
      <w:r>
        <w:t xml:space="preserve"> </w:t>
      </w:r>
      <w:r w:rsidRPr="00404EF4">
        <w:t>náhrady,</w:t>
      </w:r>
      <w:r>
        <w:t xml:space="preserve"> </w:t>
      </w:r>
      <w:r w:rsidRPr="00404EF4">
        <w:t>které</w:t>
      </w:r>
      <w:r>
        <w:t xml:space="preserve"> </w:t>
      </w:r>
      <w:r w:rsidRPr="00404EF4">
        <w:t>se</w:t>
      </w:r>
      <w:r>
        <w:t xml:space="preserve"> </w:t>
      </w:r>
      <w:r w:rsidRPr="00404EF4">
        <w:t>poskytují</w:t>
      </w:r>
      <w:r>
        <w:t xml:space="preserve"> </w:t>
      </w:r>
      <w:r w:rsidRPr="00404EF4">
        <w:t>ve</w:t>
      </w:r>
      <w:r>
        <w:t xml:space="preserve"> </w:t>
      </w:r>
      <w:r w:rsidRPr="00404EF4">
        <w:t>výši</w:t>
      </w:r>
      <w:r>
        <w:t xml:space="preserve"> </w:t>
      </w:r>
      <w:r w:rsidRPr="00404EF4">
        <w:t>a</w:t>
      </w:r>
      <w:r>
        <w:t xml:space="preserve"> </w:t>
      </w:r>
      <w:r w:rsidRPr="00404EF4">
        <w:t>za</w:t>
      </w:r>
      <w:r>
        <w:t xml:space="preserve"> </w:t>
      </w:r>
      <w:r w:rsidRPr="00404EF4">
        <w:t>podmínek</w:t>
      </w:r>
      <w:r>
        <w:t xml:space="preserve"> </w:t>
      </w:r>
      <w:r w:rsidRPr="00404EF4">
        <w:t>stanovených</w:t>
      </w:r>
      <w:r>
        <w:t xml:space="preserve"> </w:t>
      </w:r>
      <w:r w:rsidRPr="00404EF4">
        <w:t>zákoníkem</w:t>
      </w:r>
      <w:r>
        <w:t xml:space="preserve"> </w:t>
      </w:r>
      <w:r w:rsidRPr="00404EF4">
        <w:t>práce</w:t>
      </w:r>
      <w:r w:rsidRPr="00404EF4">
        <w:rPr>
          <w:vertAlign w:val="superscript"/>
        </w:rPr>
        <w:t>34)</w:t>
      </w:r>
      <w:r w:rsidRPr="00404EF4">
        <w:t>.</w:t>
      </w:r>
      <w:r>
        <w:t xml:space="preserve"> </w:t>
      </w:r>
      <w:r w:rsidRPr="00404EF4">
        <w:t>Předseda</w:t>
      </w:r>
      <w:r>
        <w:t xml:space="preserve"> </w:t>
      </w:r>
      <w:r w:rsidRPr="00404EF4">
        <w:t>a</w:t>
      </w:r>
      <w:r>
        <w:t xml:space="preserve"> </w:t>
      </w:r>
      <w:r w:rsidRPr="00404EF4">
        <w:t>členové</w:t>
      </w:r>
      <w:r>
        <w:t xml:space="preserve"> </w:t>
      </w:r>
      <w:r w:rsidRPr="00404EF4">
        <w:t>předsednictva</w:t>
      </w:r>
      <w:r>
        <w:t xml:space="preserve"> </w:t>
      </w:r>
      <w:r w:rsidRPr="00404EF4">
        <w:t>Technologické</w:t>
      </w:r>
      <w:r>
        <w:t xml:space="preserve"> </w:t>
      </w:r>
      <w:r w:rsidRPr="00404EF4">
        <w:t>agentury</w:t>
      </w:r>
      <w:r>
        <w:t xml:space="preserve"> </w:t>
      </w:r>
      <w:r w:rsidRPr="00404EF4">
        <w:t>České</w:t>
      </w:r>
      <w:r>
        <w:t xml:space="preserve"> </w:t>
      </w:r>
      <w:r w:rsidRPr="00404EF4">
        <w:t>republiky</w:t>
      </w:r>
      <w:r>
        <w:t xml:space="preserve"> </w:t>
      </w:r>
      <w:r w:rsidRPr="00404EF4">
        <w:t>vykonávají</w:t>
      </w:r>
      <w:r>
        <w:t xml:space="preserve"> </w:t>
      </w:r>
      <w:r w:rsidRPr="00404EF4">
        <w:t>funkci</w:t>
      </w:r>
      <w:r>
        <w:t xml:space="preserve"> </w:t>
      </w:r>
      <w:r w:rsidRPr="00404EF4">
        <w:t>v</w:t>
      </w:r>
      <w:r>
        <w:t xml:space="preserve"> </w:t>
      </w:r>
      <w:r w:rsidRPr="00404EF4">
        <w:t>pracovním</w:t>
      </w:r>
      <w:r>
        <w:t xml:space="preserve"> </w:t>
      </w:r>
      <w:r w:rsidRPr="00404EF4">
        <w:t>poměru.</w:t>
      </w:r>
      <w:r>
        <w:t xml:space="preserve"> </w:t>
      </w:r>
      <w:r w:rsidRPr="00404EF4">
        <w:t>Platové</w:t>
      </w:r>
      <w:r>
        <w:t xml:space="preserve"> </w:t>
      </w:r>
      <w:r w:rsidRPr="00404EF4">
        <w:t>poměry</w:t>
      </w:r>
      <w:r>
        <w:t xml:space="preserve"> </w:t>
      </w:r>
      <w:r w:rsidRPr="00404EF4">
        <w:t>předsedy</w:t>
      </w:r>
      <w:r>
        <w:t xml:space="preserve"> </w:t>
      </w:r>
      <w:r w:rsidRPr="00404EF4">
        <w:t>a</w:t>
      </w:r>
      <w:r>
        <w:t xml:space="preserve"> </w:t>
      </w:r>
      <w:r w:rsidRPr="00404EF4">
        <w:t>členů</w:t>
      </w:r>
      <w:r>
        <w:t xml:space="preserve"> </w:t>
      </w:r>
      <w:r w:rsidRPr="00404EF4">
        <w:t>předsednictva</w:t>
      </w:r>
      <w:r>
        <w:t xml:space="preserve"> </w:t>
      </w:r>
      <w:r w:rsidRPr="00404EF4">
        <w:t>Technologické</w:t>
      </w:r>
      <w:r>
        <w:t xml:space="preserve"> </w:t>
      </w:r>
      <w:r w:rsidRPr="00404EF4">
        <w:t>agentury</w:t>
      </w:r>
      <w:r>
        <w:t xml:space="preserve"> </w:t>
      </w:r>
      <w:r w:rsidRPr="00404EF4">
        <w:t>České</w:t>
      </w:r>
      <w:r>
        <w:t xml:space="preserve"> </w:t>
      </w:r>
      <w:r w:rsidRPr="00404EF4">
        <w:t>republiky</w:t>
      </w:r>
      <w:r>
        <w:t xml:space="preserve"> </w:t>
      </w:r>
      <w:r w:rsidRPr="00404EF4">
        <w:t>se</w:t>
      </w:r>
      <w:r>
        <w:t xml:space="preserve"> </w:t>
      </w:r>
      <w:r w:rsidRPr="00404EF4">
        <w:t>řídí</w:t>
      </w:r>
      <w:r>
        <w:t xml:space="preserve"> </w:t>
      </w:r>
      <w:r w:rsidRPr="00404EF4">
        <w:t>právními</w:t>
      </w:r>
      <w:r>
        <w:t xml:space="preserve"> </w:t>
      </w:r>
      <w:r w:rsidRPr="00404EF4">
        <w:t>předpisy</w:t>
      </w:r>
      <w:r>
        <w:t xml:space="preserve"> </w:t>
      </w:r>
      <w:r w:rsidRPr="00404EF4">
        <w:t>upravujícími</w:t>
      </w:r>
      <w:r>
        <w:t xml:space="preserve"> </w:t>
      </w:r>
      <w:r w:rsidRPr="00404EF4">
        <w:t>platové</w:t>
      </w:r>
      <w:r>
        <w:t xml:space="preserve"> </w:t>
      </w:r>
      <w:r w:rsidRPr="00404EF4">
        <w:t>poměry</w:t>
      </w:r>
      <w:r>
        <w:t xml:space="preserve"> </w:t>
      </w:r>
      <w:r w:rsidRPr="00404EF4">
        <w:t>zaměstnanců</w:t>
      </w:r>
      <w:r>
        <w:t xml:space="preserve"> </w:t>
      </w:r>
      <w:r w:rsidRPr="00404EF4">
        <w:t>v</w:t>
      </w:r>
      <w:r>
        <w:t xml:space="preserve"> </w:t>
      </w:r>
      <w:r w:rsidRPr="00404EF4">
        <w:t>orgánech</w:t>
      </w:r>
      <w:r>
        <w:t xml:space="preserve"> </w:t>
      </w:r>
      <w:r w:rsidRPr="00404EF4">
        <w:t>státní</w:t>
      </w:r>
      <w:r>
        <w:t xml:space="preserve"> </w:t>
      </w:r>
      <w:r w:rsidRPr="00404EF4">
        <w:t>správy</w:t>
      </w:r>
      <w:r w:rsidRPr="00404EF4">
        <w:rPr>
          <w:vertAlign w:val="superscript"/>
        </w:rPr>
        <w:t>35)</w:t>
      </w:r>
      <w:r w:rsidRPr="00404EF4">
        <w:t>.</w:t>
      </w:r>
    </w:p>
    <w:p w14:paraId="1ED6C361" w14:textId="77777777" w:rsidR="00137BFD" w:rsidRDefault="00137BFD" w:rsidP="00423E87">
      <w:pPr>
        <w:pStyle w:val="Textparagrafu"/>
        <w:tabs>
          <w:tab w:val="left" w:pos="392"/>
          <w:tab w:val="left" w:pos="840"/>
        </w:tabs>
        <w:spacing w:before="120" w:after="120"/>
      </w:pPr>
      <w:r w:rsidRPr="00404EF4">
        <w:t>(5)</w:t>
      </w:r>
      <w:r>
        <w:t xml:space="preserve"> </w:t>
      </w:r>
      <w:r w:rsidRPr="00404EF4">
        <w:t>Předseda</w:t>
      </w:r>
      <w:r>
        <w:t xml:space="preserve"> </w:t>
      </w:r>
      <w:r w:rsidRPr="00404EF4">
        <w:t>Technologické</w:t>
      </w:r>
      <w:r>
        <w:t xml:space="preserve"> </w:t>
      </w:r>
      <w:r w:rsidRPr="00404EF4">
        <w:t>agentury</w:t>
      </w:r>
      <w:r>
        <w:t xml:space="preserve"> </w:t>
      </w:r>
      <w:r w:rsidRPr="00404EF4">
        <w:t>České</w:t>
      </w:r>
      <w:r>
        <w:t xml:space="preserve"> </w:t>
      </w:r>
      <w:r w:rsidRPr="00404EF4">
        <w:t>republiky</w:t>
      </w:r>
      <w:r>
        <w:t xml:space="preserve"> </w:t>
      </w:r>
      <w:r w:rsidRPr="00404EF4">
        <w:t>zastupuje</w:t>
      </w:r>
      <w:r>
        <w:t xml:space="preserve"> </w:t>
      </w:r>
      <w:r w:rsidRPr="00404EF4">
        <w:t>Technologickou</w:t>
      </w:r>
      <w:r>
        <w:t xml:space="preserve"> </w:t>
      </w:r>
      <w:r w:rsidRPr="00404EF4">
        <w:t>agenturu</w:t>
      </w:r>
      <w:r>
        <w:t xml:space="preserve"> </w:t>
      </w:r>
      <w:r w:rsidRPr="00404EF4">
        <w:t>České</w:t>
      </w:r>
      <w:r>
        <w:t xml:space="preserve"> </w:t>
      </w:r>
      <w:r w:rsidRPr="00404EF4">
        <w:t>republiky</w:t>
      </w:r>
      <w:r>
        <w:t xml:space="preserve"> </w:t>
      </w:r>
      <w:r w:rsidRPr="00404EF4">
        <w:t>navenek</w:t>
      </w:r>
      <w:r>
        <w:t xml:space="preserve"> </w:t>
      </w:r>
      <w:r w:rsidRPr="00404EF4">
        <w:t>a</w:t>
      </w:r>
      <w:r>
        <w:t xml:space="preserve"> </w:t>
      </w:r>
      <w:r w:rsidRPr="00404EF4">
        <w:t>jedná</w:t>
      </w:r>
      <w:r>
        <w:t xml:space="preserve"> </w:t>
      </w:r>
      <w:r w:rsidRPr="00404EF4">
        <w:t>jejím</w:t>
      </w:r>
      <w:r>
        <w:t xml:space="preserve"> </w:t>
      </w:r>
      <w:r w:rsidRPr="00404EF4">
        <w:t>jménem</w:t>
      </w:r>
      <w:r>
        <w:t xml:space="preserve"> </w:t>
      </w:r>
      <w:r w:rsidRPr="00404EF4">
        <w:t>ve</w:t>
      </w:r>
      <w:r>
        <w:t xml:space="preserve"> </w:t>
      </w:r>
      <w:r w:rsidRPr="00404EF4">
        <w:t>všech</w:t>
      </w:r>
      <w:r>
        <w:t xml:space="preserve"> </w:t>
      </w:r>
      <w:r w:rsidRPr="00404EF4">
        <w:t>jejích</w:t>
      </w:r>
      <w:r>
        <w:t xml:space="preserve"> </w:t>
      </w:r>
      <w:r w:rsidRPr="00404EF4">
        <w:t>věcech.</w:t>
      </w:r>
      <w:r>
        <w:t xml:space="preserve"> </w:t>
      </w:r>
      <w:r w:rsidRPr="00404EF4">
        <w:t>Předsedu</w:t>
      </w:r>
      <w:r>
        <w:t xml:space="preserve"> </w:t>
      </w:r>
      <w:r w:rsidRPr="00404EF4">
        <w:t>Technologické</w:t>
      </w:r>
      <w:r>
        <w:t xml:space="preserve"> </w:t>
      </w:r>
      <w:r w:rsidRPr="00404EF4">
        <w:t>agentury</w:t>
      </w:r>
      <w:r>
        <w:t xml:space="preserve"> </w:t>
      </w:r>
      <w:r w:rsidRPr="00404EF4">
        <w:t>České</w:t>
      </w:r>
      <w:r>
        <w:t xml:space="preserve"> </w:t>
      </w:r>
      <w:r w:rsidRPr="00404EF4">
        <w:t>republiky</w:t>
      </w:r>
      <w:r>
        <w:t xml:space="preserve"> </w:t>
      </w:r>
      <w:r w:rsidRPr="00404EF4">
        <w:t>jmenuje</w:t>
      </w:r>
      <w:r>
        <w:t xml:space="preserve"> </w:t>
      </w:r>
      <w:r w:rsidRPr="00404EF4">
        <w:t>z</w:t>
      </w:r>
      <w:r>
        <w:t xml:space="preserve"> </w:t>
      </w:r>
      <w:r w:rsidRPr="00404EF4">
        <w:t>členů</w:t>
      </w:r>
      <w:r>
        <w:t xml:space="preserve"> </w:t>
      </w:r>
      <w:r w:rsidRPr="00404EF4">
        <w:t>předsednictva</w:t>
      </w:r>
      <w:r>
        <w:t xml:space="preserve"> </w:t>
      </w:r>
      <w:r w:rsidRPr="00404EF4">
        <w:t>Technologické</w:t>
      </w:r>
      <w:r>
        <w:t xml:space="preserve"> </w:t>
      </w:r>
      <w:r w:rsidRPr="00404EF4">
        <w:t>agentury</w:t>
      </w:r>
      <w:r>
        <w:t xml:space="preserve"> </w:t>
      </w:r>
      <w:r w:rsidRPr="00404EF4">
        <w:t>České</w:t>
      </w:r>
      <w:r>
        <w:t xml:space="preserve"> </w:t>
      </w:r>
      <w:r w:rsidRPr="00404EF4">
        <w:t>republiky</w:t>
      </w:r>
      <w:r>
        <w:t xml:space="preserve"> </w:t>
      </w:r>
      <w:r w:rsidRPr="00404EF4">
        <w:t>a</w:t>
      </w:r>
      <w:r>
        <w:t xml:space="preserve"> </w:t>
      </w:r>
      <w:r w:rsidRPr="00404EF4">
        <w:t>odvolává</w:t>
      </w:r>
      <w:r>
        <w:t xml:space="preserve"> </w:t>
      </w:r>
      <w:r w:rsidRPr="00404EF4">
        <w:t>na</w:t>
      </w:r>
      <w:r>
        <w:t xml:space="preserve"> </w:t>
      </w:r>
      <w:r w:rsidRPr="00404EF4">
        <w:t>návrh</w:t>
      </w:r>
      <w:r>
        <w:t xml:space="preserve"> </w:t>
      </w:r>
      <w:r w:rsidRPr="00404EF4">
        <w:t>Rady</w:t>
      </w:r>
      <w:r>
        <w:t xml:space="preserve"> </w:t>
      </w:r>
      <w:r w:rsidRPr="00404EF4">
        <w:t>pro</w:t>
      </w:r>
      <w:r>
        <w:t xml:space="preserve"> </w:t>
      </w:r>
      <w:r w:rsidRPr="00404EF4">
        <w:t>výzkum,</w:t>
      </w:r>
      <w:r>
        <w:t xml:space="preserve"> </w:t>
      </w:r>
      <w:r w:rsidRPr="00404EF4">
        <w:t>vývoj</w:t>
      </w:r>
      <w:r>
        <w:t xml:space="preserve"> </w:t>
      </w:r>
      <w:r w:rsidRPr="00404EF4">
        <w:t>a</w:t>
      </w:r>
      <w:r>
        <w:t xml:space="preserve"> </w:t>
      </w:r>
      <w:r w:rsidRPr="00404EF4">
        <w:t>inovace</w:t>
      </w:r>
      <w:r>
        <w:t xml:space="preserve"> </w:t>
      </w:r>
      <w:r w:rsidRPr="00404EF4">
        <w:t>vláda.</w:t>
      </w:r>
    </w:p>
    <w:p w14:paraId="30121909" w14:textId="77777777" w:rsidR="00137BFD" w:rsidRDefault="00137BFD" w:rsidP="00423E87">
      <w:pPr>
        <w:pStyle w:val="Textparagrafu"/>
        <w:tabs>
          <w:tab w:val="left" w:pos="392"/>
          <w:tab w:val="left" w:pos="840"/>
        </w:tabs>
        <w:spacing w:before="120" w:after="120"/>
      </w:pPr>
      <w:r w:rsidRPr="00404EF4">
        <w:t>(6)</w:t>
      </w:r>
      <w:r>
        <w:t xml:space="preserve"> </w:t>
      </w:r>
      <w:r w:rsidRPr="00404EF4">
        <w:t>Předsednictvo</w:t>
      </w:r>
      <w:r>
        <w:t xml:space="preserve"> </w:t>
      </w:r>
      <w:r w:rsidRPr="00404EF4">
        <w:t>Technologické</w:t>
      </w:r>
      <w:r>
        <w:t xml:space="preserve"> </w:t>
      </w:r>
      <w:r w:rsidRPr="00404EF4">
        <w:t>agentury</w:t>
      </w:r>
      <w:r>
        <w:t xml:space="preserve"> </w:t>
      </w:r>
      <w:r w:rsidRPr="00404EF4">
        <w:t>České</w:t>
      </w:r>
      <w:r>
        <w:t xml:space="preserve"> </w:t>
      </w:r>
      <w:r w:rsidRPr="00404EF4">
        <w:t>republiky</w:t>
      </w:r>
      <w:r>
        <w:t xml:space="preserve"> </w:t>
      </w:r>
      <w:r w:rsidRPr="00404EF4">
        <w:t>je</w:t>
      </w:r>
      <w:r>
        <w:t xml:space="preserve"> </w:t>
      </w:r>
      <w:r w:rsidRPr="00404EF4">
        <w:t>výkonným</w:t>
      </w:r>
      <w:r>
        <w:t xml:space="preserve"> </w:t>
      </w:r>
      <w:r w:rsidRPr="00404EF4">
        <w:t>orgánem</w:t>
      </w:r>
      <w:r>
        <w:t xml:space="preserve"> </w:t>
      </w:r>
      <w:r w:rsidRPr="00404EF4">
        <w:t>Technologické</w:t>
      </w:r>
      <w:r>
        <w:t xml:space="preserve"> </w:t>
      </w:r>
      <w:r w:rsidRPr="00404EF4">
        <w:t>agentury</w:t>
      </w:r>
      <w:r>
        <w:t xml:space="preserve"> </w:t>
      </w:r>
      <w:r w:rsidRPr="00404EF4">
        <w:t>České</w:t>
      </w:r>
      <w:r>
        <w:t xml:space="preserve"> </w:t>
      </w:r>
      <w:r w:rsidRPr="00404EF4">
        <w:t>republiky,</w:t>
      </w:r>
      <w:r>
        <w:t xml:space="preserve"> </w:t>
      </w:r>
      <w:r w:rsidRPr="00404EF4">
        <w:t>který</w:t>
      </w:r>
      <w:r>
        <w:t xml:space="preserve"> </w:t>
      </w:r>
      <w:r w:rsidRPr="00404EF4">
        <w:t>schvaluje</w:t>
      </w:r>
      <w:r>
        <w:t xml:space="preserve"> </w:t>
      </w:r>
      <w:r w:rsidRPr="00404EF4">
        <w:t>vyhlášení</w:t>
      </w:r>
      <w:r>
        <w:t xml:space="preserve"> </w:t>
      </w:r>
      <w:r w:rsidRPr="00404EF4">
        <w:t>veřejných</w:t>
      </w:r>
      <w:r>
        <w:t xml:space="preserve"> </w:t>
      </w:r>
      <w:r w:rsidRPr="00404EF4">
        <w:t>soutěží</w:t>
      </w:r>
      <w:r>
        <w:t xml:space="preserve"> </w:t>
      </w:r>
      <w:r w:rsidRPr="00404EF4">
        <w:t>ve</w:t>
      </w:r>
      <w:r>
        <w:t xml:space="preserve"> </w:t>
      </w:r>
      <w:r w:rsidRPr="00404EF4">
        <w:t>výzkumu,</w:t>
      </w:r>
      <w:r>
        <w:t xml:space="preserve"> </w:t>
      </w:r>
      <w:r w:rsidRPr="00404EF4">
        <w:t>vývoji</w:t>
      </w:r>
      <w:r>
        <w:t xml:space="preserve"> </w:t>
      </w:r>
      <w:r w:rsidRPr="00404EF4">
        <w:t>a</w:t>
      </w:r>
      <w:r>
        <w:t xml:space="preserve"> </w:t>
      </w:r>
      <w:r w:rsidRPr="00404EF4">
        <w:t>inovacích,</w:t>
      </w:r>
      <w:r>
        <w:t xml:space="preserve"> </w:t>
      </w:r>
      <w:r w:rsidRPr="00404EF4">
        <w:t>rozhoduje</w:t>
      </w:r>
      <w:r>
        <w:t xml:space="preserve"> </w:t>
      </w:r>
      <w:r w:rsidRPr="00404EF4">
        <w:t>o</w:t>
      </w:r>
      <w:r>
        <w:t xml:space="preserve"> </w:t>
      </w:r>
      <w:r w:rsidRPr="00404EF4">
        <w:t>uzavření</w:t>
      </w:r>
      <w:r>
        <w:t xml:space="preserve"> </w:t>
      </w:r>
      <w:r w:rsidRPr="00404EF4">
        <w:t>smluv</w:t>
      </w:r>
      <w:r>
        <w:t xml:space="preserve"> </w:t>
      </w:r>
      <w:r w:rsidRPr="00404EF4">
        <w:t>o</w:t>
      </w:r>
      <w:r>
        <w:t xml:space="preserve"> </w:t>
      </w:r>
      <w:r w:rsidRPr="00404EF4">
        <w:t>poskytnutí</w:t>
      </w:r>
      <w:r>
        <w:t xml:space="preserve"> </w:t>
      </w:r>
      <w:r w:rsidRPr="00404EF4">
        <w:t>podpory</w:t>
      </w:r>
      <w:r>
        <w:t xml:space="preserve"> </w:t>
      </w:r>
      <w:r w:rsidRPr="00404EF4">
        <w:t>nebo</w:t>
      </w:r>
      <w:r>
        <w:t xml:space="preserve"> </w:t>
      </w:r>
      <w:r w:rsidRPr="00404EF4">
        <w:t>o</w:t>
      </w:r>
      <w:r>
        <w:t xml:space="preserve"> </w:t>
      </w:r>
      <w:r w:rsidRPr="00404EF4">
        <w:t>vydání</w:t>
      </w:r>
      <w:r>
        <w:t xml:space="preserve"> </w:t>
      </w:r>
      <w:r w:rsidRPr="00404EF4">
        <w:t>rozhodnutí</w:t>
      </w:r>
      <w:r>
        <w:t xml:space="preserve"> </w:t>
      </w:r>
      <w:r w:rsidRPr="00404EF4">
        <w:t>o</w:t>
      </w:r>
      <w:r>
        <w:t xml:space="preserve"> </w:t>
      </w:r>
      <w:r w:rsidRPr="00404EF4">
        <w:t>poskytnutí</w:t>
      </w:r>
      <w:r>
        <w:t xml:space="preserve"> </w:t>
      </w:r>
      <w:r w:rsidRPr="00404EF4">
        <w:t>podpory,</w:t>
      </w:r>
      <w:r>
        <w:t xml:space="preserve"> </w:t>
      </w:r>
      <w:r w:rsidRPr="00404EF4">
        <w:t>předkládá</w:t>
      </w:r>
      <w:r>
        <w:t xml:space="preserve"> </w:t>
      </w:r>
      <w:r w:rsidRPr="00404EF4">
        <w:t>vládě</w:t>
      </w:r>
      <w:r>
        <w:t xml:space="preserve"> </w:t>
      </w:r>
      <w:r w:rsidRPr="00404EF4">
        <w:t>ke</w:t>
      </w:r>
      <w:r>
        <w:t xml:space="preserve"> </w:t>
      </w:r>
      <w:r w:rsidRPr="00404EF4">
        <w:t>schválení</w:t>
      </w:r>
      <w:r>
        <w:t xml:space="preserve"> </w:t>
      </w:r>
      <w:r w:rsidRPr="00404EF4">
        <w:t>návrh</w:t>
      </w:r>
      <w:r>
        <w:t xml:space="preserve"> </w:t>
      </w:r>
      <w:r w:rsidRPr="00404EF4">
        <w:t>statutu</w:t>
      </w:r>
      <w:r>
        <w:t xml:space="preserve"> </w:t>
      </w:r>
      <w:r w:rsidRPr="00404EF4">
        <w:t>Technologické</w:t>
      </w:r>
      <w:r>
        <w:t xml:space="preserve"> </w:t>
      </w:r>
      <w:r w:rsidRPr="00404EF4">
        <w:t>agentury</w:t>
      </w:r>
      <w:r>
        <w:t xml:space="preserve"> </w:t>
      </w:r>
      <w:r w:rsidRPr="00404EF4">
        <w:t>České</w:t>
      </w:r>
      <w:r>
        <w:t xml:space="preserve"> </w:t>
      </w:r>
      <w:r w:rsidRPr="00404EF4">
        <w:t>republiky</w:t>
      </w:r>
      <w:r>
        <w:t xml:space="preserve"> </w:t>
      </w:r>
      <w:r w:rsidRPr="00404EF4">
        <w:t>a</w:t>
      </w:r>
      <w:r>
        <w:t xml:space="preserve"> </w:t>
      </w:r>
      <w:r w:rsidRPr="00404EF4">
        <w:t>jeho</w:t>
      </w:r>
      <w:r>
        <w:t xml:space="preserve"> </w:t>
      </w:r>
      <w:r w:rsidRPr="00404EF4">
        <w:t>změn</w:t>
      </w:r>
      <w:r>
        <w:t xml:space="preserve"> </w:t>
      </w:r>
      <w:r w:rsidRPr="00404EF4">
        <w:t>a</w:t>
      </w:r>
      <w:r>
        <w:t xml:space="preserve"> </w:t>
      </w:r>
      <w:r w:rsidRPr="00404EF4">
        <w:t>předkládá</w:t>
      </w:r>
      <w:r>
        <w:t xml:space="preserve"> </w:t>
      </w:r>
      <w:r w:rsidRPr="00404EF4">
        <w:t>návrh</w:t>
      </w:r>
      <w:r>
        <w:t xml:space="preserve"> </w:t>
      </w:r>
      <w:r w:rsidRPr="00404EF4">
        <w:t>rozpočtu</w:t>
      </w:r>
      <w:r>
        <w:t xml:space="preserve"> </w:t>
      </w:r>
      <w:r w:rsidRPr="00404EF4">
        <w:t>Technologické</w:t>
      </w:r>
      <w:r>
        <w:t xml:space="preserve"> </w:t>
      </w:r>
      <w:r w:rsidRPr="00404EF4">
        <w:t>agentury</w:t>
      </w:r>
      <w:r>
        <w:t xml:space="preserve"> </w:t>
      </w:r>
      <w:r w:rsidRPr="00404EF4">
        <w:t>České</w:t>
      </w:r>
      <w:r>
        <w:t xml:space="preserve"> </w:t>
      </w:r>
      <w:r w:rsidRPr="00404EF4">
        <w:t>republiky.</w:t>
      </w:r>
      <w:r>
        <w:t xml:space="preserve"> </w:t>
      </w:r>
      <w:r w:rsidRPr="00404EF4">
        <w:t>Předsednictvo</w:t>
      </w:r>
      <w:r>
        <w:t xml:space="preserve"> </w:t>
      </w:r>
      <w:r w:rsidRPr="00404EF4">
        <w:t>Technologické</w:t>
      </w:r>
      <w:r>
        <w:t xml:space="preserve"> </w:t>
      </w:r>
      <w:r w:rsidRPr="00404EF4">
        <w:t>agentury</w:t>
      </w:r>
      <w:r>
        <w:t xml:space="preserve"> </w:t>
      </w:r>
      <w:r w:rsidRPr="00404EF4">
        <w:t>České</w:t>
      </w:r>
      <w:r>
        <w:t xml:space="preserve"> </w:t>
      </w:r>
      <w:r w:rsidRPr="00404EF4">
        <w:t>republiky</w:t>
      </w:r>
      <w:r>
        <w:t xml:space="preserve"> </w:t>
      </w:r>
      <w:r w:rsidRPr="00404EF4">
        <w:t>má</w:t>
      </w:r>
      <w:r>
        <w:t xml:space="preserve"> </w:t>
      </w:r>
      <w:r w:rsidRPr="00404EF4">
        <w:t>pět</w:t>
      </w:r>
      <w:r>
        <w:t xml:space="preserve"> </w:t>
      </w:r>
      <w:r w:rsidRPr="00404EF4">
        <w:t>členů.</w:t>
      </w:r>
      <w:r>
        <w:t xml:space="preserve"> </w:t>
      </w:r>
      <w:r w:rsidRPr="00404EF4">
        <w:t>Funkční</w:t>
      </w:r>
      <w:r>
        <w:t xml:space="preserve"> </w:t>
      </w:r>
      <w:r w:rsidRPr="00404EF4">
        <w:t>období</w:t>
      </w:r>
      <w:r>
        <w:t xml:space="preserve"> </w:t>
      </w:r>
      <w:r w:rsidRPr="00404EF4">
        <w:t>členů</w:t>
      </w:r>
      <w:r>
        <w:t xml:space="preserve"> </w:t>
      </w:r>
      <w:r w:rsidRPr="00404EF4">
        <w:t>předsednictva</w:t>
      </w:r>
      <w:r>
        <w:t xml:space="preserve"> </w:t>
      </w:r>
      <w:r w:rsidRPr="00404EF4">
        <w:t>Technologické</w:t>
      </w:r>
      <w:r>
        <w:t xml:space="preserve"> </w:t>
      </w:r>
      <w:r w:rsidRPr="00404EF4">
        <w:t>agentury</w:t>
      </w:r>
      <w:r>
        <w:t xml:space="preserve"> </w:t>
      </w:r>
      <w:r w:rsidRPr="00404EF4">
        <w:t>České</w:t>
      </w:r>
      <w:r>
        <w:t xml:space="preserve"> </w:t>
      </w:r>
      <w:r w:rsidRPr="00404EF4">
        <w:t>republiky</w:t>
      </w:r>
      <w:r>
        <w:t xml:space="preserve"> </w:t>
      </w:r>
      <w:r w:rsidRPr="00404EF4">
        <w:t>je</w:t>
      </w:r>
      <w:r>
        <w:t xml:space="preserve"> </w:t>
      </w:r>
      <w:r w:rsidRPr="00404EF4">
        <w:t>čtyřleté</w:t>
      </w:r>
      <w:r>
        <w:t xml:space="preserve"> </w:t>
      </w:r>
      <w:r w:rsidRPr="00404EF4">
        <w:t>s</w:t>
      </w:r>
      <w:r>
        <w:t xml:space="preserve"> </w:t>
      </w:r>
      <w:r w:rsidRPr="00404EF4">
        <w:t>možností</w:t>
      </w:r>
      <w:r>
        <w:t xml:space="preserve"> </w:t>
      </w:r>
      <w:r w:rsidRPr="00404EF4">
        <w:t>jmenování</w:t>
      </w:r>
      <w:r>
        <w:t xml:space="preserve"> </w:t>
      </w:r>
      <w:r w:rsidRPr="00404EF4">
        <w:t>nejvýše</w:t>
      </w:r>
      <w:r>
        <w:t xml:space="preserve"> </w:t>
      </w:r>
      <w:r w:rsidRPr="00404EF4">
        <w:t>na</w:t>
      </w:r>
      <w:r>
        <w:t xml:space="preserve"> </w:t>
      </w:r>
      <w:r w:rsidRPr="00404EF4">
        <w:t>dvě</w:t>
      </w:r>
      <w:r>
        <w:t xml:space="preserve"> </w:t>
      </w:r>
      <w:r w:rsidRPr="00404EF4">
        <w:t>období</w:t>
      </w:r>
      <w:r>
        <w:t xml:space="preserve"> </w:t>
      </w:r>
      <w:r w:rsidRPr="00404EF4">
        <w:t>po</w:t>
      </w:r>
      <w:r>
        <w:t xml:space="preserve"> </w:t>
      </w:r>
      <w:r w:rsidRPr="00404EF4">
        <w:t>sobě</w:t>
      </w:r>
      <w:r>
        <w:t xml:space="preserve"> </w:t>
      </w:r>
      <w:r w:rsidRPr="00404EF4">
        <w:t>následující.</w:t>
      </w:r>
      <w:r>
        <w:t xml:space="preserve"> </w:t>
      </w:r>
      <w:r w:rsidRPr="00404EF4">
        <w:t>Členy</w:t>
      </w:r>
      <w:r>
        <w:t xml:space="preserve"> </w:t>
      </w:r>
      <w:r w:rsidRPr="00404EF4">
        <w:t>předsednictva</w:t>
      </w:r>
      <w:r>
        <w:t xml:space="preserve"> </w:t>
      </w:r>
      <w:r w:rsidRPr="00404EF4">
        <w:lastRenderedPageBreak/>
        <w:t>Technologické</w:t>
      </w:r>
      <w:r>
        <w:t xml:space="preserve"> </w:t>
      </w:r>
      <w:r w:rsidRPr="00404EF4">
        <w:t>agentury</w:t>
      </w:r>
      <w:r>
        <w:t xml:space="preserve"> </w:t>
      </w:r>
      <w:r w:rsidRPr="00404EF4">
        <w:t>České</w:t>
      </w:r>
      <w:r>
        <w:t xml:space="preserve"> </w:t>
      </w:r>
      <w:r w:rsidRPr="00404EF4">
        <w:t>republiky</w:t>
      </w:r>
      <w:r>
        <w:t xml:space="preserve"> </w:t>
      </w:r>
      <w:r w:rsidRPr="00404EF4">
        <w:t>jmenuje</w:t>
      </w:r>
      <w:r>
        <w:t xml:space="preserve"> </w:t>
      </w:r>
      <w:r w:rsidRPr="00404EF4">
        <w:t>a</w:t>
      </w:r>
      <w:r>
        <w:t xml:space="preserve"> </w:t>
      </w:r>
      <w:r w:rsidRPr="00404EF4">
        <w:t>odvolává</w:t>
      </w:r>
      <w:r>
        <w:t xml:space="preserve"> </w:t>
      </w:r>
      <w:r w:rsidRPr="00404EF4">
        <w:t>vláda</w:t>
      </w:r>
      <w:r>
        <w:t xml:space="preserve"> </w:t>
      </w:r>
      <w:r w:rsidRPr="00404EF4">
        <w:t>na</w:t>
      </w:r>
      <w:r>
        <w:t xml:space="preserve"> </w:t>
      </w:r>
      <w:r w:rsidRPr="00404EF4">
        <w:t>návrh</w:t>
      </w:r>
      <w:r>
        <w:t xml:space="preserve"> </w:t>
      </w:r>
      <w:r w:rsidRPr="00404EF4">
        <w:t>Rady</w:t>
      </w:r>
      <w:r>
        <w:t xml:space="preserve"> </w:t>
      </w:r>
      <w:r w:rsidRPr="00404EF4">
        <w:t>pro</w:t>
      </w:r>
      <w:r>
        <w:t xml:space="preserve"> </w:t>
      </w:r>
      <w:r w:rsidRPr="00404EF4">
        <w:t>výzkum,</w:t>
      </w:r>
      <w:r>
        <w:t xml:space="preserve"> </w:t>
      </w:r>
      <w:r w:rsidRPr="00404EF4">
        <w:t>vývoj</w:t>
      </w:r>
      <w:r>
        <w:t xml:space="preserve"> </w:t>
      </w:r>
      <w:r w:rsidRPr="00404EF4">
        <w:t>a</w:t>
      </w:r>
      <w:r>
        <w:t xml:space="preserve"> </w:t>
      </w:r>
      <w:r w:rsidRPr="00404EF4">
        <w:t>inovace.</w:t>
      </w:r>
      <w:r>
        <w:t xml:space="preserve"> </w:t>
      </w:r>
      <w:r w:rsidRPr="00404EF4">
        <w:t>Předsednictvo</w:t>
      </w:r>
      <w:r>
        <w:t xml:space="preserve"> </w:t>
      </w:r>
      <w:r w:rsidRPr="00404EF4">
        <w:t>Technologické</w:t>
      </w:r>
      <w:r>
        <w:t xml:space="preserve"> </w:t>
      </w:r>
      <w:r w:rsidRPr="00404EF4">
        <w:t>agentury</w:t>
      </w:r>
      <w:r>
        <w:t xml:space="preserve"> </w:t>
      </w:r>
      <w:r w:rsidRPr="00404EF4">
        <w:t>České</w:t>
      </w:r>
      <w:r>
        <w:t xml:space="preserve"> </w:t>
      </w:r>
      <w:r w:rsidRPr="00404EF4">
        <w:t>republiky</w:t>
      </w:r>
      <w:r>
        <w:t xml:space="preserve"> </w:t>
      </w:r>
      <w:r w:rsidRPr="00404EF4">
        <w:t>koordinuje</w:t>
      </w:r>
      <w:r>
        <w:t xml:space="preserve"> </w:t>
      </w:r>
      <w:r w:rsidRPr="00404EF4">
        <w:t>činnost</w:t>
      </w:r>
      <w:r>
        <w:t xml:space="preserve"> </w:t>
      </w:r>
      <w:r w:rsidRPr="00404EF4">
        <w:t>odborných</w:t>
      </w:r>
      <w:r>
        <w:t xml:space="preserve"> </w:t>
      </w:r>
      <w:r w:rsidRPr="00404EF4">
        <w:t>poradních</w:t>
      </w:r>
      <w:r>
        <w:t xml:space="preserve"> </w:t>
      </w:r>
      <w:r w:rsidRPr="00404EF4">
        <w:t>orgánů</w:t>
      </w:r>
      <w:r>
        <w:t xml:space="preserve"> </w:t>
      </w:r>
      <w:r w:rsidRPr="00404EF4">
        <w:t>jako</w:t>
      </w:r>
      <w:r>
        <w:t xml:space="preserve"> </w:t>
      </w:r>
      <w:r w:rsidRPr="00404EF4">
        <w:t>poradních</w:t>
      </w:r>
      <w:r>
        <w:t xml:space="preserve"> </w:t>
      </w:r>
      <w:r w:rsidRPr="00404EF4">
        <w:t>orgánů</w:t>
      </w:r>
      <w:r>
        <w:t xml:space="preserve"> </w:t>
      </w:r>
      <w:r w:rsidRPr="00404EF4">
        <w:t>Technologické</w:t>
      </w:r>
      <w:r>
        <w:t xml:space="preserve"> </w:t>
      </w:r>
      <w:r w:rsidRPr="00404EF4">
        <w:t>agentury</w:t>
      </w:r>
      <w:r>
        <w:t xml:space="preserve"> </w:t>
      </w:r>
      <w:r w:rsidRPr="00404EF4">
        <w:t>České</w:t>
      </w:r>
      <w:r>
        <w:t xml:space="preserve"> </w:t>
      </w:r>
      <w:r w:rsidRPr="00404EF4">
        <w:t>republiky,</w:t>
      </w:r>
      <w:r>
        <w:t xml:space="preserve"> </w:t>
      </w:r>
      <w:r w:rsidRPr="00404EF4">
        <w:t>které</w:t>
      </w:r>
      <w:r>
        <w:t xml:space="preserve"> </w:t>
      </w:r>
      <w:r w:rsidRPr="00404EF4">
        <w:t>posuzují</w:t>
      </w:r>
      <w:r>
        <w:t xml:space="preserve"> </w:t>
      </w:r>
      <w:r w:rsidRPr="00404EF4">
        <w:t>a</w:t>
      </w:r>
      <w:r>
        <w:t xml:space="preserve"> </w:t>
      </w:r>
      <w:r w:rsidRPr="00404EF4">
        <w:t>hodnotí</w:t>
      </w:r>
      <w:r>
        <w:t xml:space="preserve"> </w:t>
      </w:r>
      <w:r w:rsidRPr="00404EF4">
        <w:t>návrhy</w:t>
      </w:r>
      <w:r>
        <w:t xml:space="preserve"> </w:t>
      </w:r>
      <w:r w:rsidRPr="00404EF4">
        <w:t>projektů</w:t>
      </w:r>
      <w:r>
        <w:t xml:space="preserve"> </w:t>
      </w:r>
      <w:r w:rsidRPr="00404EF4">
        <w:t>s</w:t>
      </w:r>
      <w:r>
        <w:t xml:space="preserve"> </w:t>
      </w:r>
      <w:r w:rsidRPr="00404EF4">
        <w:t>žádostmi</w:t>
      </w:r>
      <w:r>
        <w:t xml:space="preserve"> </w:t>
      </w:r>
      <w:r w:rsidRPr="00404EF4">
        <w:t>o</w:t>
      </w:r>
      <w:r>
        <w:t xml:space="preserve"> </w:t>
      </w:r>
      <w:r w:rsidRPr="00404EF4">
        <w:t>udělení</w:t>
      </w:r>
      <w:r>
        <w:t xml:space="preserve"> </w:t>
      </w:r>
      <w:r w:rsidRPr="00404EF4">
        <w:t>podpory.</w:t>
      </w:r>
    </w:p>
    <w:p w14:paraId="41573BF8" w14:textId="77777777" w:rsidR="00137BFD" w:rsidRDefault="00137BFD" w:rsidP="00423E87">
      <w:pPr>
        <w:pStyle w:val="Textparagrafu"/>
        <w:tabs>
          <w:tab w:val="left" w:pos="392"/>
          <w:tab w:val="left" w:pos="840"/>
        </w:tabs>
        <w:spacing w:before="120" w:after="120"/>
      </w:pPr>
      <w:r w:rsidRPr="00404EF4">
        <w:t>(7)</w:t>
      </w:r>
      <w:r>
        <w:t xml:space="preserve"> </w:t>
      </w:r>
      <w:r w:rsidRPr="00404EF4">
        <w:t>Výzkumná</w:t>
      </w:r>
      <w:r>
        <w:t xml:space="preserve"> </w:t>
      </w:r>
      <w:r w:rsidRPr="00404EF4">
        <w:t>rada</w:t>
      </w:r>
      <w:r>
        <w:t xml:space="preserve"> </w:t>
      </w:r>
      <w:r w:rsidRPr="00404EF4">
        <w:t>Technologické</w:t>
      </w:r>
      <w:r>
        <w:t xml:space="preserve"> </w:t>
      </w:r>
      <w:r w:rsidRPr="00404EF4">
        <w:t>agentury</w:t>
      </w:r>
      <w:r>
        <w:t xml:space="preserve"> </w:t>
      </w:r>
      <w:r w:rsidRPr="00404EF4">
        <w:t>České</w:t>
      </w:r>
      <w:r>
        <w:t xml:space="preserve"> </w:t>
      </w:r>
      <w:r w:rsidRPr="00404EF4">
        <w:t>republiky</w:t>
      </w:r>
      <w:r>
        <w:t xml:space="preserve"> </w:t>
      </w:r>
      <w:r w:rsidRPr="00404EF4">
        <w:t>je</w:t>
      </w:r>
      <w:r>
        <w:t xml:space="preserve"> </w:t>
      </w:r>
      <w:r w:rsidRPr="00404EF4">
        <w:t>koncepčním</w:t>
      </w:r>
      <w:r>
        <w:t xml:space="preserve"> </w:t>
      </w:r>
      <w:r w:rsidRPr="00404EF4">
        <w:t>orgánem</w:t>
      </w:r>
      <w:r>
        <w:t xml:space="preserve"> </w:t>
      </w:r>
      <w:r w:rsidRPr="00404EF4">
        <w:t>Technologické</w:t>
      </w:r>
      <w:r>
        <w:t xml:space="preserve"> </w:t>
      </w:r>
      <w:r w:rsidRPr="00404EF4">
        <w:t>agentury</w:t>
      </w:r>
      <w:r>
        <w:t xml:space="preserve"> </w:t>
      </w:r>
      <w:r w:rsidRPr="00404EF4">
        <w:t>České</w:t>
      </w:r>
      <w:r>
        <w:t xml:space="preserve"> </w:t>
      </w:r>
      <w:r w:rsidRPr="00404EF4">
        <w:t>republiky,</w:t>
      </w:r>
      <w:r>
        <w:t xml:space="preserve"> </w:t>
      </w:r>
      <w:r w:rsidRPr="00404EF4">
        <w:t>který</w:t>
      </w:r>
      <w:r>
        <w:t xml:space="preserve"> </w:t>
      </w:r>
      <w:r w:rsidRPr="00404EF4">
        <w:t>zejména</w:t>
      </w:r>
      <w:r>
        <w:t xml:space="preserve"> </w:t>
      </w:r>
      <w:r w:rsidRPr="00404EF4">
        <w:t>navrhuje</w:t>
      </w:r>
      <w:r>
        <w:t xml:space="preserve"> </w:t>
      </w:r>
      <w:r w:rsidRPr="00404EF4">
        <w:t>předsednictvu</w:t>
      </w:r>
      <w:r>
        <w:t xml:space="preserve"> </w:t>
      </w:r>
      <w:r w:rsidRPr="00404EF4">
        <w:t>Technologické</w:t>
      </w:r>
      <w:r>
        <w:t xml:space="preserve"> </w:t>
      </w:r>
      <w:r w:rsidRPr="00404EF4">
        <w:t>agentury</w:t>
      </w:r>
      <w:r>
        <w:t xml:space="preserve"> </w:t>
      </w:r>
      <w:r w:rsidRPr="00404EF4">
        <w:t>České</w:t>
      </w:r>
      <w:r>
        <w:t xml:space="preserve"> </w:t>
      </w:r>
      <w:r w:rsidRPr="00404EF4">
        <w:t>republiky</w:t>
      </w:r>
      <w:r>
        <w:t xml:space="preserve"> </w:t>
      </w:r>
      <w:r w:rsidRPr="00404EF4">
        <w:t>ustavení</w:t>
      </w:r>
      <w:r>
        <w:t xml:space="preserve"> </w:t>
      </w:r>
      <w:r w:rsidRPr="00404EF4">
        <w:t>a</w:t>
      </w:r>
      <w:r>
        <w:t xml:space="preserve"> </w:t>
      </w:r>
      <w:r w:rsidRPr="00404EF4">
        <w:t>zaměření</w:t>
      </w:r>
      <w:r>
        <w:t xml:space="preserve"> </w:t>
      </w:r>
      <w:r w:rsidRPr="00404EF4">
        <w:t>odborných</w:t>
      </w:r>
      <w:r>
        <w:t xml:space="preserve"> </w:t>
      </w:r>
      <w:r w:rsidRPr="00404EF4">
        <w:t>poradních</w:t>
      </w:r>
      <w:r>
        <w:t xml:space="preserve"> </w:t>
      </w:r>
      <w:r w:rsidRPr="00404EF4">
        <w:t>orgánů,</w:t>
      </w:r>
      <w:r>
        <w:t xml:space="preserve"> </w:t>
      </w:r>
      <w:r w:rsidRPr="00404EF4">
        <w:t>vyjadřuje</w:t>
      </w:r>
      <w:r>
        <w:t xml:space="preserve"> </w:t>
      </w:r>
      <w:r w:rsidRPr="00404EF4">
        <w:t>se</w:t>
      </w:r>
      <w:r>
        <w:t xml:space="preserve"> </w:t>
      </w:r>
      <w:r w:rsidRPr="00404EF4">
        <w:t>k</w:t>
      </w:r>
      <w:r>
        <w:t xml:space="preserve"> </w:t>
      </w:r>
      <w:r w:rsidRPr="00404EF4">
        <w:t>programům</w:t>
      </w:r>
      <w:r>
        <w:t xml:space="preserve"> </w:t>
      </w:r>
      <w:r w:rsidRPr="00404EF4">
        <w:t>aplikovaného</w:t>
      </w:r>
      <w:r>
        <w:t xml:space="preserve"> </w:t>
      </w:r>
      <w:r w:rsidRPr="00404EF4">
        <w:t>výzkumu,</w:t>
      </w:r>
      <w:r>
        <w:t xml:space="preserve"> </w:t>
      </w:r>
      <w:r w:rsidRPr="00404EF4">
        <w:t>vývoje</w:t>
      </w:r>
      <w:r>
        <w:t xml:space="preserve"> </w:t>
      </w:r>
      <w:r w:rsidRPr="00404EF4">
        <w:t>a</w:t>
      </w:r>
      <w:r>
        <w:t xml:space="preserve"> </w:t>
      </w:r>
      <w:r w:rsidRPr="00404EF4">
        <w:t>inovací,</w:t>
      </w:r>
      <w:r>
        <w:t xml:space="preserve"> </w:t>
      </w:r>
      <w:r w:rsidRPr="00404EF4">
        <w:t>vyhodnocuje</w:t>
      </w:r>
      <w:r>
        <w:t xml:space="preserve"> </w:t>
      </w:r>
      <w:r w:rsidRPr="00404EF4">
        <w:t>odbornou</w:t>
      </w:r>
      <w:r>
        <w:t xml:space="preserve"> </w:t>
      </w:r>
      <w:r w:rsidRPr="00404EF4">
        <w:t>úroveň</w:t>
      </w:r>
      <w:r>
        <w:t xml:space="preserve"> </w:t>
      </w:r>
      <w:r w:rsidRPr="00404EF4">
        <w:t>Technologické</w:t>
      </w:r>
      <w:r>
        <w:t xml:space="preserve"> </w:t>
      </w:r>
      <w:r w:rsidRPr="00404EF4">
        <w:t>agentury</w:t>
      </w:r>
      <w:r>
        <w:t xml:space="preserve"> </w:t>
      </w:r>
      <w:r w:rsidRPr="00404EF4">
        <w:t>České</w:t>
      </w:r>
      <w:r>
        <w:t xml:space="preserve"> </w:t>
      </w:r>
      <w:r w:rsidRPr="00404EF4">
        <w:t>republiky</w:t>
      </w:r>
      <w:r>
        <w:t xml:space="preserve"> </w:t>
      </w:r>
      <w:r w:rsidRPr="00404EF4">
        <w:t>a</w:t>
      </w:r>
      <w:r>
        <w:t xml:space="preserve"> </w:t>
      </w:r>
      <w:r w:rsidRPr="00404EF4">
        <w:t>navrhuje</w:t>
      </w:r>
      <w:r>
        <w:t xml:space="preserve"> </w:t>
      </w:r>
      <w:r w:rsidRPr="00404EF4">
        <w:t>potřebná</w:t>
      </w:r>
      <w:r>
        <w:t xml:space="preserve"> </w:t>
      </w:r>
      <w:r w:rsidRPr="00404EF4">
        <w:t>opatření.</w:t>
      </w:r>
      <w:r>
        <w:t xml:space="preserve"> </w:t>
      </w:r>
      <w:r w:rsidRPr="00404EF4">
        <w:t>Výzkumná</w:t>
      </w:r>
      <w:r>
        <w:t xml:space="preserve"> </w:t>
      </w:r>
      <w:r w:rsidRPr="00404EF4">
        <w:t>rada</w:t>
      </w:r>
      <w:r>
        <w:t xml:space="preserve"> </w:t>
      </w:r>
      <w:r w:rsidRPr="00404EF4">
        <w:t>Technologické</w:t>
      </w:r>
      <w:r>
        <w:t xml:space="preserve"> </w:t>
      </w:r>
      <w:r w:rsidRPr="00404EF4">
        <w:t>agentury</w:t>
      </w:r>
      <w:r>
        <w:t xml:space="preserve"> </w:t>
      </w:r>
      <w:r w:rsidRPr="00404EF4">
        <w:t>České</w:t>
      </w:r>
      <w:r>
        <w:t xml:space="preserve"> </w:t>
      </w:r>
      <w:r w:rsidRPr="00404EF4">
        <w:t>republiky</w:t>
      </w:r>
      <w:r>
        <w:t xml:space="preserve"> </w:t>
      </w:r>
      <w:r w:rsidRPr="00404EF4">
        <w:t>má</w:t>
      </w:r>
      <w:r>
        <w:t xml:space="preserve"> </w:t>
      </w:r>
      <w:r w:rsidRPr="00404EF4">
        <w:t>dvanáct</w:t>
      </w:r>
      <w:r>
        <w:t xml:space="preserve"> </w:t>
      </w:r>
      <w:r w:rsidRPr="00404EF4">
        <w:t>členů,</w:t>
      </w:r>
      <w:r>
        <w:t xml:space="preserve"> </w:t>
      </w:r>
      <w:r w:rsidRPr="00404EF4">
        <w:t>které</w:t>
      </w:r>
      <w:r>
        <w:t xml:space="preserve"> </w:t>
      </w:r>
      <w:r w:rsidRPr="00404EF4">
        <w:t>z</w:t>
      </w:r>
      <w:r>
        <w:t xml:space="preserve"> </w:t>
      </w:r>
      <w:r w:rsidRPr="00404EF4">
        <w:t>řad</w:t>
      </w:r>
      <w:r>
        <w:t xml:space="preserve"> </w:t>
      </w:r>
      <w:r w:rsidRPr="00404EF4">
        <w:t>odborníků</w:t>
      </w:r>
      <w:r>
        <w:t xml:space="preserve"> </w:t>
      </w:r>
      <w:r w:rsidRPr="00404EF4">
        <w:t>jmenuje</w:t>
      </w:r>
      <w:r>
        <w:t xml:space="preserve"> </w:t>
      </w:r>
      <w:r w:rsidRPr="00404EF4">
        <w:t>a</w:t>
      </w:r>
      <w:r>
        <w:t xml:space="preserve"> </w:t>
      </w:r>
      <w:r w:rsidRPr="00404EF4">
        <w:t>odvolává</w:t>
      </w:r>
      <w:r>
        <w:t xml:space="preserve"> </w:t>
      </w:r>
      <w:r w:rsidRPr="00404EF4">
        <w:t>vláda</w:t>
      </w:r>
      <w:r>
        <w:t xml:space="preserve"> </w:t>
      </w:r>
      <w:r w:rsidRPr="00404EF4">
        <w:t>na</w:t>
      </w:r>
      <w:r>
        <w:t xml:space="preserve"> </w:t>
      </w:r>
      <w:r w:rsidRPr="00404EF4">
        <w:t>návrh</w:t>
      </w:r>
      <w:r>
        <w:t xml:space="preserve"> </w:t>
      </w:r>
      <w:r w:rsidRPr="00404EF4">
        <w:t>Rady</w:t>
      </w:r>
      <w:r>
        <w:t xml:space="preserve"> </w:t>
      </w:r>
      <w:r w:rsidRPr="00404EF4">
        <w:t>pro</w:t>
      </w:r>
      <w:r>
        <w:t xml:space="preserve"> </w:t>
      </w:r>
      <w:r w:rsidRPr="00404EF4">
        <w:t>výzkum,</w:t>
      </w:r>
      <w:r>
        <w:t xml:space="preserve"> </w:t>
      </w:r>
      <w:r w:rsidRPr="00404EF4">
        <w:t>vývoj</w:t>
      </w:r>
      <w:r>
        <w:t xml:space="preserve"> </w:t>
      </w:r>
      <w:r w:rsidRPr="00404EF4">
        <w:t>a</w:t>
      </w:r>
      <w:r>
        <w:t xml:space="preserve"> </w:t>
      </w:r>
      <w:r w:rsidRPr="00404EF4">
        <w:t>inovace.</w:t>
      </w:r>
    </w:p>
    <w:p w14:paraId="4AA480CB" w14:textId="77777777" w:rsidR="00137BFD" w:rsidRDefault="00137BFD" w:rsidP="00423E87">
      <w:pPr>
        <w:pStyle w:val="Textparagrafu"/>
        <w:tabs>
          <w:tab w:val="left" w:pos="392"/>
          <w:tab w:val="left" w:pos="840"/>
        </w:tabs>
        <w:spacing w:before="120" w:after="120"/>
      </w:pPr>
      <w:r w:rsidRPr="00404EF4">
        <w:t>(8)</w:t>
      </w:r>
      <w:r>
        <w:t xml:space="preserve"> </w:t>
      </w:r>
      <w:r w:rsidRPr="00404EF4">
        <w:t>Kontrolní</w:t>
      </w:r>
      <w:r>
        <w:t xml:space="preserve"> </w:t>
      </w:r>
      <w:r w:rsidRPr="00404EF4">
        <w:t>rada</w:t>
      </w:r>
      <w:r>
        <w:t xml:space="preserve"> </w:t>
      </w:r>
      <w:r w:rsidRPr="00404EF4">
        <w:t>Technologické</w:t>
      </w:r>
      <w:r>
        <w:t xml:space="preserve"> </w:t>
      </w:r>
      <w:r w:rsidRPr="00404EF4">
        <w:t>agentury</w:t>
      </w:r>
      <w:r>
        <w:t xml:space="preserve"> </w:t>
      </w:r>
      <w:r w:rsidRPr="00404EF4">
        <w:t>České</w:t>
      </w:r>
      <w:r>
        <w:t xml:space="preserve"> </w:t>
      </w:r>
      <w:r w:rsidRPr="00404EF4">
        <w:t>republiky</w:t>
      </w:r>
      <w:r>
        <w:t xml:space="preserve"> </w:t>
      </w:r>
      <w:r w:rsidRPr="00404EF4">
        <w:t>je</w:t>
      </w:r>
      <w:r>
        <w:t xml:space="preserve"> </w:t>
      </w:r>
      <w:r w:rsidRPr="00404EF4">
        <w:t>kontrolním</w:t>
      </w:r>
      <w:r>
        <w:t xml:space="preserve"> </w:t>
      </w:r>
      <w:r w:rsidRPr="00404EF4">
        <w:t>orgánem</w:t>
      </w:r>
      <w:r>
        <w:t xml:space="preserve"> </w:t>
      </w:r>
      <w:r w:rsidRPr="00404EF4">
        <w:t>Technologické</w:t>
      </w:r>
      <w:r>
        <w:t xml:space="preserve"> </w:t>
      </w:r>
      <w:r w:rsidRPr="00404EF4">
        <w:t>agentury</w:t>
      </w:r>
      <w:r>
        <w:t xml:space="preserve"> </w:t>
      </w:r>
      <w:r w:rsidRPr="00404EF4">
        <w:t>České</w:t>
      </w:r>
      <w:r>
        <w:t xml:space="preserve"> </w:t>
      </w:r>
      <w:r w:rsidRPr="00404EF4">
        <w:t>republiky,</w:t>
      </w:r>
      <w:r>
        <w:t xml:space="preserve"> </w:t>
      </w:r>
      <w:r w:rsidRPr="00404EF4">
        <w:t>který</w:t>
      </w:r>
      <w:r>
        <w:t xml:space="preserve"> </w:t>
      </w:r>
      <w:r w:rsidRPr="00404EF4">
        <w:t>kontroluje</w:t>
      </w:r>
      <w:r>
        <w:t xml:space="preserve"> </w:t>
      </w:r>
      <w:r w:rsidRPr="00404EF4">
        <w:t>rozdělování</w:t>
      </w:r>
      <w:r>
        <w:t xml:space="preserve"> </w:t>
      </w:r>
      <w:r w:rsidRPr="00404EF4">
        <w:t>finančních</w:t>
      </w:r>
      <w:r>
        <w:t xml:space="preserve"> </w:t>
      </w:r>
      <w:r w:rsidRPr="00404EF4">
        <w:t>prostředků</w:t>
      </w:r>
      <w:r>
        <w:t xml:space="preserve"> </w:t>
      </w:r>
      <w:r w:rsidRPr="00404EF4">
        <w:t>Technologické</w:t>
      </w:r>
      <w:r>
        <w:t xml:space="preserve"> </w:t>
      </w:r>
      <w:r w:rsidRPr="00404EF4">
        <w:t>agentury</w:t>
      </w:r>
      <w:r>
        <w:t xml:space="preserve"> </w:t>
      </w:r>
      <w:r w:rsidRPr="00404EF4">
        <w:t>České</w:t>
      </w:r>
      <w:r>
        <w:t xml:space="preserve"> </w:t>
      </w:r>
      <w:r w:rsidRPr="00404EF4">
        <w:t>republiky</w:t>
      </w:r>
      <w:r>
        <w:t xml:space="preserve"> </w:t>
      </w:r>
      <w:r w:rsidRPr="00404EF4">
        <w:t>a</w:t>
      </w:r>
      <w:r>
        <w:t xml:space="preserve"> </w:t>
      </w:r>
      <w:r w:rsidRPr="00404EF4">
        <w:t>hospodaření</w:t>
      </w:r>
      <w:r>
        <w:t xml:space="preserve"> </w:t>
      </w:r>
      <w:r w:rsidRPr="00404EF4">
        <w:t>s</w:t>
      </w:r>
      <w:r>
        <w:t xml:space="preserve"> </w:t>
      </w:r>
      <w:r w:rsidRPr="00404EF4">
        <w:t>majetkem</w:t>
      </w:r>
      <w:r>
        <w:t xml:space="preserve"> </w:t>
      </w:r>
      <w:r w:rsidRPr="00404EF4">
        <w:t>státu,</w:t>
      </w:r>
      <w:r>
        <w:t xml:space="preserve"> </w:t>
      </w:r>
      <w:r w:rsidRPr="00404EF4">
        <w:t>k</w:t>
      </w:r>
      <w:r>
        <w:t xml:space="preserve"> </w:t>
      </w:r>
      <w:r w:rsidRPr="00404EF4">
        <w:t>němuž</w:t>
      </w:r>
      <w:r>
        <w:t xml:space="preserve"> </w:t>
      </w:r>
      <w:r w:rsidRPr="00404EF4">
        <w:t>má</w:t>
      </w:r>
      <w:r>
        <w:t xml:space="preserve"> </w:t>
      </w:r>
      <w:r w:rsidRPr="00404EF4">
        <w:t>Technologická</w:t>
      </w:r>
      <w:r>
        <w:t xml:space="preserve"> </w:t>
      </w:r>
      <w:r w:rsidRPr="00404EF4">
        <w:t>agentura</w:t>
      </w:r>
      <w:r>
        <w:t xml:space="preserve"> </w:t>
      </w:r>
      <w:r w:rsidRPr="00404EF4">
        <w:t>České</w:t>
      </w:r>
      <w:r>
        <w:t xml:space="preserve"> </w:t>
      </w:r>
      <w:r w:rsidRPr="00404EF4">
        <w:t>republiky</w:t>
      </w:r>
      <w:r>
        <w:t xml:space="preserve"> </w:t>
      </w:r>
      <w:r w:rsidRPr="00404EF4">
        <w:t>příslušnost</w:t>
      </w:r>
      <w:r>
        <w:t xml:space="preserve"> </w:t>
      </w:r>
      <w:r w:rsidRPr="00404EF4">
        <w:t>hospodaření,</w:t>
      </w:r>
      <w:r>
        <w:t xml:space="preserve"> </w:t>
      </w:r>
      <w:r w:rsidRPr="00404EF4">
        <w:t>projednává</w:t>
      </w:r>
      <w:r>
        <w:t xml:space="preserve"> </w:t>
      </w:r>
      <w:r w:rsidRPr="00404EF4">
        <w:t>stížnosti</w:t>
      </w:r>
      <w:r>
        <w:t xml:space="preserve"> </w:t>
      </w:r>
      <w:r w:rsidRPr="00404EF4">
        <w:t>na</w:t>
      </w:r>
      <w:r>
        <w:t xml:space="preserve"> </w:t>
      </w:r>
      <w:r w:rsidRPr="00404EF4">
        <w:t>postup</w:t>
      </w:r>
      <w:r>
        <w:t xml:space="preserve"> </w:t>
      </w:r>
      <w:r w:rsidRPr="00404EF4">
        <w:t>poskytovatele</w:t>
      </w:r>
      <w:r>
        <w:t xml:space="preserve"> </w:t>
      </w:r>
      <w:r w:rsidRPr="00404EF4">
        <w:t>při</w:t>
      </w:r>
      <w:r>
        <w:t xml:space="preserve"> </w:t>
      </w:r>
      <w:r w:rsidRPr="00404EF4">
        <w:t>hodnocení</w:t>
      </w:r>
      <w:r>
        <w:t xml:space="preserve"> </w:t>
      </w:r>
      <w:r w:rsidRPr="00404EF4">
        <w:t>návrhu</w:t>
      </w:r>
      <w:r>
        <w:t xml:space="preserve"> </w:t>
      </w:r>
      <w:r w:rsidRPr="00404EF4">
        <w:t>programového</w:t>
      </w:r>
      <w:r>
        <w:t xml:space="preserve"> </w:t>
      </w:r>
      <w:r w:rsidRPr="00404EF4">
        <w:t>projektu,</w:t>
      </w:r>
      <w:r>
        <w:t xml:space="preserve"> </w:t>
      </w:r>
      <w:r w:rsidRPr="00404EF4">
        <w:t>a</w:t>
      </w:r>
      <w:r>
        <w:t xml:space="preserve"> </w:t>
      </w:r>
      <w:r w:rsidRPr="00404EF4">
        <w:t>který</w:t>
      </w:r>
      <w:r>
        <w:t xml:space="preserve"> </w:t>
      </w:r>
      <w:r w:rsidRPr="00404EF4">
        <w:t>předkládá</w:t>
      </w:r>
      <w:r>
        <w:t xml:space="preserve"> </w:t>
      </w:r>
      <w:r w:rsidRPr="00404EF4">
        <w:t>svá</w:t>
      </w:r>
      <w:r>
        <w:t xml:space="preserve"> </w:t>
      </w:r>
      <w:r w:rsidRPr="00404EF4">
        <w:t>stanoviska</w:t>
      </w:r>
      <w:r>
        <w:t xml:space="preserve"> </w:t>
      </w:r>
      <w:r w:rsidRPr="00404EF4">
        <w:t>předsednictvu</w:t>
      </w:r>
      <w:r>
        <w:t xml:space="preserve"> </w:t>
      </w:r>
      <w:r w:rsidRPr="00404EF4">
        <w:t>Technologické</w:t>
      </w:r>
      <w:r>
        <w:t xml:space="preserve"> </w:t>
      </w:r>
      <w:r w:rsidRPr="00404EF4">
        <w:t>agentury</w:t>
      </w:r>
      <w:r>
        <w:t xml:space="preserve"> </w:t>
      </w:r>
      <w:r w:rsidRPr="00404EF4">
        <w:t>České</w:t>
      </w:r>
      <w:r>
        <w:t xml:space="preserve"> </w:t>
      </w:r>
      <w:r w:rsidRPr="00404EF4">
        <w:t>republiky.</w:t>
      </w:r>
      <w:r>
        <w:t xml:space="preserve"> </w:t>
      </w:r>
      <w:r w:rsidRPr="00404EF4">
        <w:t>Kontrolní</w:t>
      </w:r>
      <w:r>
        <w:t xml:space="preserve"> </w:t>
      </w:r>
      <w:r w:rsidRPr="00404EF4">
        <w:t>rada</w:t>
      </w:r>
      <w:r>
        <w:t xml:space="preserve"> </w:t>
      </w:r>
      <w:r w:rsidRPr="00404EF4">
        <w:t>Technologické</w:t>
      </w:r>
      <w:r>
        <w:t xml:space="preserve"> </w:t>
      </w:r>
      <w:r w:rsidRPr="00404EF4">
        <w:t>agentury</w:t>
      </w:r>
      <w:r>
        <w:t xml:space="preserve"> </w:t>
      </w:r>
      <w:r w:rsidRPr="00404EF4">
        <w:t>České</w:t>
      </w:r>
      <w:r>
        <w:t xml:space="preserve"> </w:t>
      </w:r>
      <w:r w:rsidRPr="00404EF4">
        <w:t>republiky</w:t>
      </w:r>
      <w:r>
        <w:t xml:space="preserve"> </w:t>
      </w:r>
      <w:r w:rsidRPr="00404EF4">
        <w:t>je</w:t>
      </w:r>
      <w:r>
        <w:t xml:space="preserve"> </w:t>
      </w:r>
      <w:r w:rsidRPr="00404EF4">
        <w:t>oprávněna</w:t>
      </w:r>
      <w:r>
        <w:t xml:space="preserve"> </w:t>
      </w:r>
      <w:r w:rsidRPr="00404EF4">
        <w:t>vyžádat</w:t>
      </w:r>
      <w:r>
        <w:t xml:space="preserve"> </w:t>
      </w:r>
      <w:r w:rsidRPr="00404EF4">
        <w:t>si</w:t>
      </w:r>
      <w:r>
        <w:t xml:space="preserve"> </w:t>
      </w:r>
      <w:r w:rsidRPr="00404EF4">
        <w:t>při</w:t>
      </w:r>
      <w:r>
        <w:t xml:space="preserve"> </w:t>
      </w:r>
      <w:r w:rsidRPr="00404EF4">
        <w:t>kontrole</w:t>
      </w:r>
      <w:r>
        <w:t xml:space="preserve"> </w:t>
      </w:r>
      <w:r w:rsidRPr="00404EF4">
        <w:t>rozdělování</w:t>
      </w:r>
      <w:r>
        <w:t xml:space="preserve"> </w:t>
      </w:r>
      <w:r w:rsidRPr="00404EF4">
        <w:t>finančních</w:t>
      </w:r>
      <w:r>
        <w:t xml:space="preserve"> </w:t>
      </w:r>
      <w:r w:rsidRPr="00404EF4">
        <w:t>prostředků</w:t>
      </w:r>
      <w:r>
        <w:t xml:space="preserve"> </w:t>
      </w:r>
      <w:r w:rsidRPr="00404EF4">
        <w:t>nezávislý</w:t>
      </w:r>
      <w:r>
        <w:t xml:space="preserve"> </w:t>
      </w:r>
      <w:r w:rsidRPr="00404EF4">
        <w:t>audit.</w:t>
      </w:r>
      <w:r>
        <w:t xml:space="preserve"> </w:t>
      </w:r>
      <w:r w:rsidRPr="00404EF4">
        <w:t>Stanoviska,</w:t>
      </w:r>
      <w:r>
        <w:t xml:space="preserve"> </w:t>
      </w:r>
      <w:r w:rsidRPr="00404EF4">
        <w:t>která</w:t>
      </w:r>
      <w:r>
        <w:t xml:space="preserve"> </w:t>
      </w:r>
      <w:r w:rsidRPr="00404EF4">
        <w:t>jsou</w:t>
      </w:r>
      <w:r>
        <w:t xml:space="preserve"> </w:t>
      </w:r>
      <w:r w:rsidRPr="00404EF4">
        <w:t>vydávána</w:t>
      </w:r>
      <w:r>
        <w:t xml:space="preserve"> </w:t>
      </w:r>
      <w:r w:rsidRPr="00404EF4">
        <w:t>v</w:t>
      </w:r>
      <w:r>
        <w:t xml:space="preserve"> </w:t>
      </w:r>
      <w:r w:rsidRPr="00404EF4">
        <w:t>rámci</w:t>
      </w:r>
      <w:r>
        <w:t xml:space="preserve"> </w:t>
      </w:r>
      <w:r w:rsidRPr="00404EF4">
        <w:t>kompetence</w:t>
      </w:r>
      <w:r>
        <w:t xml:space="preserve"> </w:t>
      </w:r>
      <w:r w:rsidRPr="00404EF4">
        <w:t>kontrolní</w:t>
      </w:r>
      <w:r>
        <w:t xml:space="preserve"> </w:t>
      </w:r>
      <w:r w:rsidRPr="00404EF4">
        <w:t>rady,</w:t>
      </w:r>
      <w:r>
        <w:t xml:space="preserve"> </w:t>
      </w:r>
      <w:r w:rsidRPr="00404EF4">
        <w:t>jsou</w:t>
      </w:r>
      <w:r>
        <w:t xml:space="preserve"> </w:t>
      </w:r>
      <w:r w:rsidRPr="00404EF4">
        <w:t>pro</w:t>
      </w:r>
      <w:r>
        <w:t xml:space="preserve"> </w:t>
      </w:r>
      <w:r w:rsidRPr="00404EF4">
        <w:t>předsednictvo</w:t>
      </w:r>
      <w:r>
        <w:t xml:space="preserve"> </w:t>
      </w:r>
      <w:r w:rsidRPr="00404EF4">
        <w:t>Technologické</w:t>
      </w:r>
      <w:r>
        <w:t xml:space="preserve"> </w:t>
      </w:r>
      <w:r w:rsidRPr="00404EF4">
        <w:t>agentury</w:t>
      </w:r>
      <w:r>
        <w:t xml:space="preserve"> </w:t>
      </w:r>
      <w:r w:rsidRPr="00404EF4">
        <w:t>České</w:t>
      </w:r>
      <w:r>
        <w:t xml:space="preserve"> </w:t>
      </w:r>
      <w:r w:rsidRPr="00404EF4">
        <w:t>republiky</w:t>
      </w:r>
      <w:r>
        <w:t xml:space="preserve"> </w:t>
      </w:r>
      <w:r w:rsidRPr="00404EF4">
        <w:t>závazná.</w:t>
      </w:r>
      <w:r>
        <w:t xml:space="preserve"> </w:t>
      </w:r>
      <w:r w:rsidRPr="00404EF4">
        <w:t>Kontrolní</w:t>
      </w:r>
      <w:r>
        <w:t xml:space="preserve"> </w:t>
      </w:r>
      <w:r w:rsidRPr="00404EF4">
        <w:t>rada</w:t>
      </w:r>
      <w:r>
        <w:t xml:space="preserve"> </w:t>
      </w:r>
      <w:r w:rsidRPr="00404EF4">
        <w:t>Technologické</w:t>
      </w:r>
      <w:r>
        <w:t xml:space="preserve"> </w:t>
      </w:r>
      <w:r w:rsidRPr="00404EF4">
        <w:t>agentury</w:t>
      </w:r>
      <w:r>
        <w:t xml:space="preserve"> </w:t>
      </w:r>
      <w:r w:rsidRPr="00404EF4">
        <w:t>České</w:t>
      </w:r>
      <w:r>
        <w:t xml:space="preserve"> </w:t>
      </w:r>
      <w:r w:rsidRPr="00404EF4">
        <w:t>republiky</w:t>
      </w:r>
      <w:r>
        <w:t xml:space="preserve"> </w:t>
      </w:r>
      <w:r w:rsidRPr="00404EF4">
        <w:t>má</w:t>
      </w:r>
      <w:r>
        <w:t xml:space="preserve"> </w:t>
      </w:r>
      <w:r w:rsidRPr="00404EF4">
        <w:t>deset</w:t>
      </w:r>
      <w:r>
        <w:t xml:space="preserve"> </w:t>
      </w:r>
      <w:r w:rsidRPr="00404EF4">
        <w:t>členů,</w:t>
      </w:r>
      <w:r>
        <w:t xml:space="preserve"> </w:t>
      </w:r>
      <w:r w:rsidRPr="00404EF4">
        <w:t>které</w:t>
      </w:r>
      <w:r>
        <w:t xml:space="preserve"> </w:t>
      </w:r>
      <w:r w:rsidRPr="00404EF4">
        <w:t>z</w:t>
      </w:r>
      <w:r>
        <w:t xml:space="preserve"> </w:t>
      </w:r>
      <w:r w:rsidRPr="00404EF4">
        <w:t>řad</w:t>
      </w:r>
      <w:r>
        <w:t xml:space="preserve"> </w:t>
      </w:r>
      <w:r w:rsidRPr="00404EF4">
        <w:t>odborníků</w:t>
      </w:r>
      <w:r>
        <w:t xml:space="preserve"> </w:t>
      </w:r>
      <w:r w:rsidRPr="00404EF4">
        <w:t>jmenuje</w:t>
      </w:r>
      <w:r>
        <w:t xml:space="preserve"> </w:t>
      </w:r>
      <w:r w:rsidRPr="00404EF4">
        <w:t>Poslanecká</w:t>
      </w:r>
      <w:r>
        <w:t xml:space="preserve"> </w:t>
      </w:r>
      <w:r w:rsidRPr="00404EF4">
        <w:t>sněmovna</w:t>
      </w:r>
      <w:r>
        <w:t xml:space="preserve"> </w:t>
      </w:r>
      <w:r w:rsidRPr="00404EF4">
        <w:t>na</w:t>
      </w:r>
      <w:r>
        <w:t xml:space="preserve"> </w:t>
      </w:r>
      <w:r w:rsidRPr="00404EF4">
        <w:t>návrh</w:t>
      </w:r>
      <w:r>
        <w:t xml:space="preserve"> </w:t>
      </w:r>
      <w:r w:rsidRPr="00404EF4">
        <w:t>právnických</w:t>
      </w:r>
      <w:r>
        <w:t xml:space="preserve"> </w:t>
      </w:r>
      <w:r w:rsidRPr="00404EF4">
        <w:t>osob</w:t>
      </w:r>
      <w:r>
        <w:t xml:space="preserve"> </w:t>
      </w:r>
      <w:r w:rsidRPr="00404EF4">
        <w:t>zabývajících</w:t>
      </w:r>
      <w:r>
        <w:t xml:space="preserve"> </w:t>
      </w:r>
      <w:r w:rsidRPr="00404EF4">
        <w:t>se</w:t>
      </w:r>
      <w:r>
        <w:t xml:space="preserve"> </w:t>
      </w:r>
      <w:r w:rsidRPr="00404EF4">
        <w:t>výzkumem</w:t>
      </w:r>
      <w:r>
        <w:t xml:space="preserve"> </w:t>
      </w:r>
      <w:r w:rsidRPr="00404EF4">
        <w:t>a</w:t>
      </w:r>
      <w:r>
        <w:t xml:space="preserve"> </w:t>
      </w:r>
      <w:r w:rsidRPr="00404EF4">
        <w:t>vývojem.</w:t>
      </w:r>
      <w:r>
        <w:t xml:space="preserve"> </w:t>
      </w:r>
      <w:r w:rsidRPr="00404EF4">
        <w:t>Funkční</w:t>
      </w:r>
      <w:r>
        <w:t xml:space="preserve"> </w:t>
      </w:r>
      <w:r w:rsidRPr="00404EF4">
        <w:t>období</w:t>
      </w:r>
      <w:r>
        <w:t xml:space="preserve"> </w:t>
      </w:r>
      <w:r w:rsidRPr="00404EF4">
        <w:t>členů</w:t>
      </w:r>
      <w:r>
        <w:t xml:space="preserve"> </w:t>
      </w:r>
      <w:r w:rsidRPr="00404EF4">
        <w:t>kontrolní</w:t>
      </w:r>
      <w:r>
        <w:t xml:space="preserve"> </w:t>
      </w:r>
      <w:r w:rsidRPr="00404EF4">
        <w:t>rady</w:t>
      </w:r>
      <w:r>
        <w:t xml:space="preserve"> </w:t>
      </w:r>
      <w:r w:rsidRPr="00404EF4">
        <w:t>Technologické</w:t>
      </w:r>
      <w:r>
        <w:t xml:space="preserve"> </w:t>
      </w:r>
      <w:r w:rsidRPr="00404EF4">
        <w:t>agentury</w:t>
      </w:r>
      <w:r>
        <w:t xml:space="preserve"> </w:t>
      </w:r>
      <w:r w:rsidRPr="00404EF4">
        <w:t>České</w:t>
      </w:r>
      <w:r>
        <w:t xml:space="preserve"> </w:t>
      </w:r>
      <w:r w:rsidRPr="00404EF4">
        <w:t>republiky</w:t>
      </w:r>
      <w:r>
        <w:t xml:space="preserve"> </w:t>
      </w:r>
      <w:r w:rsidRPr="00404EF4">
        <w:t>je</w:t>
      </w:r>
      <w:r>
        <w:t xml:space="preserve"> </w:t>
      </w:r>
      <w:r w:rsidRPr="00404EF4">
        <w:t>čtyřleté</w:t>
      </w:r>
      <w:r>
        <w:t xml:space="preserve"> </w:t>
      </w:r>
      <w:r w:rsidRPr="00404EF4">
        <w:t>s</w:t>
      </w:r>
      <w:r>
        <w:t xml:space="preserve"> </w:t>
      </w:r>
      <w:r w:rsidRPr="00404EF4">
        <w:t>možností</w:t>
      </w:r>
      <w:r>
        <w:t xml:space="preserve"> </w:t>
      </w:r>
      <w:r w:rsidRPr="00404EF4">
        <w:t>jmenování</w:t>
      </w:r>
      <w:r>
        <w:t xml:space="preserve"> </w:t>
      </w:r>
      <w:r w:rsidRPr="00404EF4">
        <w:t>nejvýše</w:t>
      </w:r>
      <w:r>
        <w:t xml:space="preserve"> </w:t>
      </w:r>
      <w:r w:rsidRPr="00404EF4">
        <w:t>na</w:t>
      </w:r>
      <w:r>
        <w:t xml:space="preserve"> </w:t>
      </w:r>
      <w:r w:rsidRPr="00404EF4">
        <w:t>dvě</w:t>
      </w:r>
      <w:r>
        <w:t xml:space="preserve"> </w:t>
      </w:r>
      <w:r w:rsidRPr="00404EF4">
        <w:t>období</w:t>
      </w:r>
      <w:r>
        <w:t xml:space="preserve"> </w:t>
      </w:r>
      <w:r w:rsidRPr="00404EF4">
        <w:t>po</w:t>
      </w:r>
      <w:r>
        <w:t xml:space="preserve"> </w:t>
      </w:r>
      <w:r w:rsidRPr="00404EF4">
        <w:t>sobě</w:t>
      </w:r>
      <w:r>
        <w:t xml:space="preserve"> </w:t>
      </w:r>
      <w:r w:rsidRPr="00404EF4">
        <w:t>následující.</w:t>
      </w:r>
      <w:r>
        <w:t xml:space="preserve"> </w:t>
      </w:r>
      <w:r w:rsidRPr="00404EF4">
        <w:t>Kontrolní</w:t>
      </w:r>
      <w:r>
        <w:t xml:space="preserve"> </w:t>
      </w:r>
      <w:r w:rsidRPr="00404EF4">
        <w:t>rada</w:t>
      </w:r>
      <w:r>
        <w:t xml:space="preserve"> </w:t>
      </w:r>
      <w:r w:rsidRPr="00404EF4">
        <w:t>Technologické</w:t>
      </w:r>
      <w:r>
        <w:t xml:space="preserve"> </w:t>
      </w:r>
      <w:r w:rsidRPr="00404EF4">
        <w:t>agentury</w:t>
      </w:r>
      <w:r>
        <w:t xml:space="preserve"> </w:t>
      </w:r>
      <w:r w:rsidRPr="00404EF4">
        <w:t>České</w:t>
      </w:r>
      <w:r>
        <w:t xml:space="preserve"> </w:t>
      </w:r>
      <w:r w:rsidRPr="00404EF4">
        <w:t>republiky</w:t>
      </w:r>
      <w:r>
        <w:t xml:space="preserve"> </w:t>
      </w:r>
      <w:r w:rsidRPr="00404EF4">
        <w:t>předkládá</w:t>
      </w:r>
      <w:r>
        <w:t xml:space="preserve"> </w:t>
      </w:r>
      <w:r w:rsidRPr="00404EF4">
        <w:t>Poslanecké</w:t>
      </w:r>
      <w:r>
        <w:t xml:space="preserve"> </w:t>
      </w:r>
      <w:r w:rsidRPr="00404EF4">
        <w:t>sněmovně</w:t>
      </w:r>
      <w:r>
        <w:t xml:space="preserve"> </w:t>
      </w:r>
      <w:r w:rsidRPr="00404EF4">
        <w:t>výroční</w:t>
      </w:r>
      <w:r>
        <w:t xml:space="preserve"> </w:t>
      </w:r>
      <w:r w:rsidRPr="00404EF4">
        <w:t>zprávu</w:t>
      </w:r>
      <w:r>
        <w:t xml:space="preserve"> </w:t>
      </w:r>
      <w:r w:rsidRPr="00404EF4">
        <w:t>o</w:t>
      </w:r>
      <w:r>
        <w:t xml:space="preserve"> </w:t>
      </w:r>
      <w:r w:rsidRPr="00404EF4">
        <w:t>své</w:t>
      </w:r>
      <w:r>
        <w:t xml:space="preserve"> </w:t>
      </w:r>
      <w:r w:rsidRPr="00404EF4">
        <w:t>činnosti.</w:t>
      </w:r>
      <w:r>
        <w:t xml:space="preserve"> </w:t>
      </w:r>
      <w:r w:rsidRPr="00404EF4">
        <w:t>Poslanecká</w:t>
      </w:r>
      <w:r>
        <w:t xml:space="preserve"> </w:t>
      </w:r>
      <w:r w:rsidRPr="00404EF4">
        <w:t>sněmovna</w:t>
      </w:r>
      <w:r>
        <w:t xml:space="preserve"> </w:t>
      </w:r>
      <w:r w:rsidRPr="00404EF4">
        <w:t>může</w:t>
      </w:r>
      <w:r>
        <w:t xml:space="preserve"> </w:t>
      </w:r>
      <w:r w:rsidRPr="00404EF4">
        <w:t>odvolat</w:t>
      </w:r>
      <w:r>
        <w:t xml:space="preserve"> </w:t>
      </w:r>
      <w:r w:rsidRPr="00404EF4">
        <w:t>kontrolní</w:t>
      </w:r>
      <w:r>
        <w:t xml:space="preserve"> </w:t>
      </w:r>
      <w:r w:rsidRPr="00404EF4">
        <w:t>radu</w:t>
      </w:r>
      <w:r>
        <w:t xml:space="preserve"> </w:t>
      </w:r>
      <w:r w:rsidRPr="00404EF4">
        <w:t>Technologické</w:t>
      </w:r>
      <w:r>
        <w:t xml:space="preserve"> </w:t>
      </w:r>
      <w:r w:rsidRPr="00404EF4">
        <w:t>agentury</w:t>
      </w:r>
      <w:r>
        <w:t xml:space="preserve"> </w:t>
      </w:r>
      <w:r w:rsidRPr="00404EF4">
        <w:t>České</w:t>
      </w:r>
      <w:r>
        <w:t xml:space="preserve"> </w:t>
      </w:r>
      <w:r w:rsidRPr="00404EF4">
        <w:t>republiky,</w:t>
      </w:r>
      <w:r>
        <w:t xml:space="preserve"> </w:t>
      </w:r>
      <w:r w:rsidRPr="00404EF4">
        <w:t>pokud</w:t>
      </w:r>
      <w:r>
        <w:t xml:space="preserve"> </w:t>
      </w:r>
      <w:r w:rsidRPr="00404EF4">
        <w:t>opakovaně</w:t>
      </w:r>
      <w:r>
        <w:t xml:space="preserve"> </w:t>
      </w:r>
      <w:r w:rsidRPr="00404EF4">
        <w:t>neschválí</w:t>
      </w:r>
      <w:r>
        <w:t xml:space="preserve"> </w:t>
      </w:r>
      <w:r w:rsidRPr="00404EF4">
        <w:t>výroční</w:t>
      </w:r>
      <w:r>
        <w:t xml:space="preserve"> </w:t>
      </w:r>
      <w:r w:rsidRPr="00404EF4">
        <w:t>zprávu.</w:t>
      </w:r>
      <w:r>
        <w:t xml:space="preserve"> </w:t>
      </w:r>
      <w:r w:rsidRPr="00404EF4">
        <w:t>Členům</w:t>
      </w:r>
      <w:r>
        <w:t xml:space="preserve"> </w:t>
      </w:r>
      <w:r w:rsidRPr="00404EF4">
        <w:t>kontrolní</w:t>
      </w:r>
      <w:r>
        <w:t xml:space="preserve"> </w:t>
      </w:r>
      <w:r w:rsidRPr="00404EF4">
        <w:t>rady</w:t>
      </w:r>
      <w:r>
        <w:t xml:space="preserve"> </w:t>
      </w:r>
      <w:r w:rsidRPr="00404EF4">
        <w:t>Technologické</w:t>
      </w:r>
      <w:r>
        <w:t xml:space="preserve"> </w:t>
      </w:r>
      <w:r w:rsidRPr="00404EF4">
        <w:t>agentury</w:t>
      </w:r>
      <w:r>
        <w:t xml:space="preserve"> </w:t>
      </w:r>
      <w:r w:rsidRPr="00404EF4">
        <w:t>České</w:t>
      </w:r>
      <w:r>
        <w:t xml:space="preserve"> </w:t>
      </w:r>
      <w:r w:rsidRPr="00404EF4">
        <w:t>republiky</w:t>
      </w:r>
      <w:r>
        <w:t xml:space="preserve"> </w:t>
      </w:r>
      <w:r w:rsidRPr="00404EF4">
        <w:t>může</w:t>
      </w:r>
      <w:r>
        <w:t xml:space="preserve"> </w:t>
      </w:r>
      <w:r w:rsidRPr="00404EF4">
        <w:t>být</w:t>
      </w:r>
      <w:r>
        <w:t xml:space="preserve"> </w:t>
      </w:r>
      <w:r w:rsidRPr="00404EF4">
        <w:t>přiznána</w:t>
      </w:r>
      <w:r>
        <w:t xml:space="preserve"> </w:t>
      </w:r>
      <w:r w:rsidRPr="00404EF4">
        <w:t>za</w:t>
      </w:r>
      <w:r>
        <w:t xml:space="preserve"> </w:t>
      </w:r>
      <w:r w:rsidRPr="00404EF4">
        <w:t>výkon</w:t>
      </w:r>
      <w:r>
        <w:t xml:space="preserve"> </w:t>
      </w:r>
      <w:r w:rsidRPr="00404EF4">
        <w:t>jejich</w:t>
      </w:r>
      <w:r>
        <w:t xml:space="preserve"> </w:t>
      </w:r>
      <w:r w:rsidRPr="00404EF4">
        <w:t>funkce</w:t>
      </w:r>
      <w:r>
        <w:t xml:space="preserve"> </w:t>
      </w:r>
      <w:r w:rsidRPr="00404EF4">
        <w:t>odměna</w:t>
      </w:r>
      <w:r>
        <w:t xml:space="preserve"> </w:t>
      </w:r>
      <w:r w:rsidRPr="00404EF4">
        <w:t>a</w:t>
      </w:r>
      <w:r>
        <w:t xml:space="preserve"> </w:t>
      </w:r>
      <w:r w:rsidRPr="00404EF4">
        <w:t>cestovní</w:t>
      </w:r>
      <w:r>
        <w:t xml:space="preserve"> </w:t>
      </w:r>
      <w:r w:rsidRPr="00404EF4">
        <w:t>náhrady,</w:t>
      </w:r>
      <w:r>
        <w:t xml:space="preserve"> </w:t>
      </w:r>
      <w:r w:rsidRPr="00404EF4">
        <w:t>které</w:t>
      </w:r>
      <w:r>
        <w:t xml:space="preserve"> </w:t>
      </w:r>
      <w:r w:rsidRPr="00404EF4">
        <w:t>se</w:t>
      </w:r>
      <w:r>
        <w:t xml:space="preserve"> </w:t>
      </w:r>
      <w:r w:rsidRPr="00404EF4">
        <w:t>poskytují</w:t>
      </w:r>
      <w:r>
        <w:t xml:space="preserve"> </w:t>
      </w:r>
      <w:r w:rsidRPr="00404EF4">
        <w:t>ve</w:t>
      </w:r>
      <w:r>
        <w:t xml:space="preserve"> </w:t>
      </w:r>
      <w:r w:rsidRPr="00404EF4">
        <w:t>výši</w:t>
      </w:r>
      <w:r>
        <w:t xml:space="preserve"> </w:t>
      </w:r>
      <w:r w:rsidRPr="00404EF4">
        <w:t>a</w:t>
      </w:r>
      <w:r>
        <w:t xml:space="preserve"> </w:t>
      </w:r>
      <w:r w:rsidRPr="00404EF4">
        <w:t>za</w:t>
      </w:r>
      <w:r>
        <w:t xml:space="preserve"> </w:t>
      </w:r>
      <w:r w:rsidRPr="00404EF4">
        <w:t>podmínek</w:t>
      </w:r>
      <w:r>
        <w:t xml:space="preserve"> </w:t>
      </w:r>
      <w:r w:rsidRPr="00404EF4">
        <w:t>stanovených</w:t>
      </w:r>
      <w:r>
        <w:t xml:space="preserve"> </w:t>
      </w:r>
      <w:r w:rsidRPr="00404EF4">
        <w:t>zákoníkem</w:t>
      </w:r>
      <w:r>
        <w:t xml:space="preserve"> </w:t>
      </w:r>
      <w:r w:rsidRPr="00404EF4">
        <w:t>práce.</w:t>
      </w:r>
      <w:r>
        <w:t xml:space="preserve"> </w:t>
      </w:r>
      <w:r w:rsidRPr="00404EF4">
        <w:t>Výši</w:t>
      </w:r>
      <w:r>
        <w:t xml:space="preserve"> </w:t>
      </w:r>
      <w:r w:rsidRPr="00404EF4">
        <w:t>odměny</w:t>
      </w:r>
      <w:r>
        <w:t xml:space="preserve"> </w:t>
      </w:r>
      <w:r w:rsidRPr="00404EF4">
        <w:t>stanoví</w:t>
      </w:r>
      <w:r>
        <w:t xml:space="preserve"> </w:t>
      </w:r>
      <w:r w:rsidRPr="00404EF4">
        <w:t>na</w:t>
      </w:r>
      <w:r>
        <w:t xml:space="preserve"> </w:t>
      </w:r>
      <w:r w:rsidRPr="00404EF4">
        <w:t>základě</w:t>
      </w:r>
      <w:r>
        <w:t xml:space="preserve"> </w:t>
      </w:r>
      <w:r w:rsidRPr="00404EF4">
        <w:t>zprávy</w:t>
      </w:r>
      <w:r>
        <w:t xml:space="preserve"> </w:t>
      </w:r>
      <w:r w:rsidRPr="00404EF4">
        <w:t>o</w:t>
      </w:r>
      <w:r>
        <w:t xml:space="preserve"> </w:t>
      </w:r>
      <w:r w:rsidRPr="00404EF4">
        <w:t>činnosti</w:t>
      </w:r>
      <w:r>
        <w:t xml:space="preserve"> </w:t>
      </w:r>
      <w:r w:rsidRPr="00404EF4">
        <w:t>kontrolní</w:t>
      </w:r>
      <w:r>
        <w:t xml:space="preserve"> </w:t>
      </w:r>
      <w:r w:rsidRPr="00404EF4">
        <w:t>rady</w:t>
      </w:r>
      <w:r>
        <w:t xml:space="preserve"> </w:t>
      </w:r>
      <w:r w:rsidRPr="00404EF4">
        <w:t>Technologické</w:t>
      </w:r>
      <w:r>
        <w:t xml:space="preserve"> </w:t>
      </w:r>
      <w:r w:rsidRPr="00404EF4">
        <w:t>agentury</w:t>
      </w:r>
      <w:r>
        <w:t xml:space="preserve"> </w:t>
      </w:r>
      <w:r w:rsidRPr="00404EF4">
        <w:t>České</w:t>
      </w:r>
      <w:r>
        <w:t xml:space="preserve"> </w:t>
      </w:r>
      <w:r w:rsidRPr="00404EF4">
        <w:t>republiky</w:t>
      </w:r>
      <w:r>
        <w:t xml:space="preserve"> </w:t>
      </w:r>
      <w:r w:rsidRPr="00404EF4">
        <w:t>na</w:t>
      </w:r>
      <w:r>
        <w:t xml:space="preserve"> </w:t>
      </w:r>
      <w:r w:rsidRPr="00404EF4">
        <w:t>návrh</w:t>
      </w:r>
      <w:r>
        <w:t xml:space="preserve"> </w:t>
      </w:r>
      <w:r w:rsidRPr="00404EF4">
        <w:t>výboru</w:t>
      </w:r>
      <w:r>
        <w:t xml:space="preserve"> </w:t>
      </w:r>
      <w:r w:rsidRPr="00404EF4">
        <w:t>Poslanecké</w:t>
      </w:r>
      <w:r>
        <w:t xml:space="preserve"> </w:t>
      </w:r>
      <w:r w:rsidRPr="00404EF4">
        <w:t>sněmovny</w:t>
      </w:r>
      <w:r>
        <w:t xml:space="preserve"> </w:t>
      </w:r>
      <w:r w:rsidRPr="00404EF4">
        <w:t>příslušného</w:t>
      </w:r>
      <w:r>
        <w:t xml:space="preserve"> </w:t>
      </w:r>
      <w:r w:rsidRPr="00404EF4">
        <w:t>ve</w:t>
      </w:r>
      <w:r>
        <w:t xml:space="preserve"> </w:t>
      </w:r>
      <w:r w:rsidRPr="00404EF4">
        <w:t>věcech</w:t>
      </w:r>
      <w:r>
        <w:t xml:space="preserve"> </w:t>
      </w:r>
      <w:r w:rsidRPr="00404EF4">
        <w:t>vědy</w:t>
      </w:r>
      <w:r>
        <w:t xml:space="preserve"> </w:t>
      </w:r>
      <w:r w:rsidRPr="00404EF4">
        <w:t>Poslanecká</w:t>
      </w:r>
      <w:r>
        <w:t xml:space="preserve"> </w:t>
      </w:r>
      <w:r w:rsidRPr="00404EF4">
        <w:t>sněmovna.</w:t>
      </w:r>
      <w:r>
        <w:t xml:space="preserve"> </w:t>
      </w:r>
      <w:r w:rsidRPr="00404EF4">
        <w:t>Kontrolní</w:t>
      </w:r>
      <w:r>
        <w:t xml:space="preserve"> </w:t>
      </w:r>
      <w:r w:rsidRPr="00404EF4">
        <w:t>rada</w:t>
      </w:r>
      <w:r>
        <w:t xml:space="preserve"> </w:t>
      </w:r>
      <w:r w:rsidRPr="00404EF4">
        <w:t>Technologické</w:t>
      </w:r>
      <w:r>
        <w:t xml:space="preserve"> </w:t>
      </w:r>
      <w:r w:rsidRPr="00404EF4">
        <w:t>agentury</w:t>
      </w:r>
      <w:r>
        <w:t xml:space="preserve"> </w:t>
      </w:r>
      <w:r w:rsidRPr="00404EF4">
        <w:t>České</w:t>
      </w:r>
      <w:r>
        <w:t xml:space="preserve"> </w:t>
      </w:r>
      <w:r w:rsidRPr="00404EF4">
        <w:t>republiky</w:t>
      </w:r>
      <w:r>
        <w:t xml:space="preserve"> </w:t>
      </w:r>
      <w:r w:rsidRPr="00404EF4">
        <w:t>předkládá</w:t>
      </w:r>
      <w:r>
        <w:t xml:space="preserve"> </w:t>
      </w:r>
      <w:r w:rsidRPr="00404EF4">
        <w:t>výboru</w:t>
      </w:r>
      <w:r>
        <w:t xml:space="preserve"> </w:t>
      </w:r>
      <w:r w:rsidRPr="00404EF4">
        <w:t>Poslanecké</w:t>
      </w:r>
      <w:r>
        <w:t xml:space="preserve"> </w:t>
      </w:r>
      <w:r w:rsidRPr="00404EF4">
        <w:t>sněmovny</w:t>
      </w:r>
      <w:r>
        <w:t xml:space="preserve"> </w:t>
      </w:r>
      <w:r w:rsidRPr="00404EF4">
        <w:t>příslušnému</w:t>
      </w:r>
      <w:r>
        <w:t xml:space="preserve"> </w:t>
      </w:r>
      <w:r w:rsidRPr="00404EF4">
        <w:t>ve</w:t>
      </w:r>
      <w:r>
        <w:t xml:space="preserve"> </w:t>
      </w:r>
      <w:r w:rsidRPr="00404EF4">
        <w:t>věcech</w:t>
      </w:r>
      <w:r>
        <w:t xml:space="preserve"> </w:t>
      </w:r>
      <w:r w:rsidRPr="00404EF4">
        <w:t>vědy</w:t>
      </w:r>
      <w:r>
        <w:t xml:space="preserve"> </w:t>
      </w:r>
      <w:r w:rsidRPr="00404EF4">
        <w:t>nejméně</w:t>
      </w:r>
      <w:r>
        <w:t xml:space="preserve"> </w:t>
      </w:r>
      <w:r w:rsidRPr="00404EF4">
        <w:t>jednou</w:t>
      </w:r>
      <w:r>
        <w:t xml:space="preserve"> </w:t>
      </w:r>
      <w:r w:rsidRPr="00404EF4">
        <w:t>za</w:t>
      </w:r>
      <w:r>
        <w:t xml:space="preserve"> </w:t>
      </w:r>
      <w:r w:rsidRPr="00404EF4">
        <w:t>6</w:t>
      </w:r>
      <w:r>
        <w:t xml:space="preserve"> </w:t>
      </w:r>
      <w:r w:rsidRPr="00404EF4">
        <w:t>měsíců</w:t>
      </w:r>
      <w:r>
        <w:t xml:space="preserve"> </w:t>
      </w:r>
      <w:r w:rsidRPr="00404EF4">
        <w:t>informaci</w:t>
      </w:r>
      <w:r>
        <w:t xml:space="preserve"> </w:t>
      </w:r>
      <w:r w:rsidRPr="00404EF4">
        <w:t>o</w:t>
      </w:r>
      <w:r>
        <w:t xml:space="preserve"> </w:t>
      </w:r>
      <w:r w:rsidRPr="00404EF4">
        <w:t>činnosti</w:t>
      </w:r>
      <w:r>
        <w:t xml:space="preserve"> </w:t>
      </w:r>
      <w:r w:rsidRPr="00404EF4">
        <w:t>Technologické</w:t>
      </w:r>
      <w:r>
        <w:t xml:space="preserve"> </w:t>
      </w:r>
      <w:r w:rsidRPr="00404EF4">
        <w:t>agentury</w:t>
      </w:r>
      <w:r>
        <w:t xml:space="preserve"> </w:t>
      </w:r>
      <w:r w:rsidRPr="00404EF4">
        <w:t>České</w:t>
      </w:r>
      <w:r>
        <w:t xml:space="preserve"> </w:t>
      </w:r>
      <w:r w:rsidRPr="00404EF4">
        <w:t>republiky</w:t>
      </w:r>
      <w:r>
        <w:t xml:space="preserve"> </w:t>
      </w:r>
      <w:r w:rsidRPr="00404EF4">
        <w:t>včetně</w:t>
      </w:r>
      <w:r>
        <w:t xml:space="preserve"> </w:t>
      </w:r>
      <w:r w:rsidRPr="00404EF4">
        <w:t>informace</w:t>
      </w:r>
      <w:r>
        <w:t xml:space="preserve"> </w:t>
      </w:r>
      <w:r w:rsidRPr="00404EF4">
        <w:t>o</w:t>
      </w:r>
      <w:r>
        <w:t xml:space="preserve"> </w:t>
      </w:r>
      <w:r w:rsidRPr="00404EF4">
        <w:t>jednotlivých</w:t>
      </w:r>
      <w:r>
        <w:t xml:space="preserve"> </w:t>
      </w:r>
      <w:r w:rsidRPr="00404EF4">
        <w:t>veřejných</w:t>
      </w:r>
      <w:r>
        <w:t xml:space="preserve"> </w:t>
      </w:r>
      <w:r w:rsidRPr="00404EF4">
        <w:t>soutěžích</w:t>
      </w:r>
      <w:r>
        <w:t xml:space="preserve"> </w:t>
      </w:r>
      <w:r w:rsidRPr="00404EF4">
        <w:t>ve</w:t>
      </w:r>
      <w:r>
        <w:t xml:space="preserve"> </w:t>
      </w:r>
      <w:r w:rsidRPr="00404EF4">
        <w:t>výzkumu,</w:t>
      </w:r>
      <w:r>
        <w:t xml:space="preserve"> </w:t>
      </w:r>
      <w:r w:rsidRPr="00404EF4">
        <w:t>vývoji</w:t>
      </w:r>
      <w:r>
        <w:t xml:space="preserve"> </w:t>
      </w:r>
      <w:r w:rsidRPr="00404EF4">
        <w:t>a</w:t>
      </w:r>
      <w:r>
        <w:t xml:space="preserve"> </w:t>
      </w:r>
      <w:r w:rsidRPr="00404EF4">
        <w:t>inovacích.</w:t>
      </w:r>
    </w:p>
    <w:p w14:paraId="63B9CBE4" w14:textId="77777777" w:rsidR="00472E9C" w:rsidRDefault="00472E9C" w:rsidP="00CE6F45">
      <w:pPr>
        <w:pStyle w:val="Textparagrafu"/>
        <w:tabs>
          <w:tab w:val="left" w:pos="406"/>
          <w:tab w:val="left" w:pos="840"/>
          <w:tab w:val="left" w:pos="868"/>
        </w:tabs>
        <w:spacing w:before="0"/>
        <w:ind w:firstLine="0"/>
        <w:sectPr w:rsidR="00472E9C" w:rsidSect="00554E2B">
          <w:footnotePr>
            <w:numStart w:val="3"/>
          </w:footnotePr>
          <w:endnotePr>
            <w:numFmt w:val="decimal"/>
          </w:endnotePr>
          <w:pgSz w:w="11906" w:h="16838"/>
          <w:pgMar w:top="1418" w:right="1418" w:bottom="1418" w:left="1418" w:header="709" w:footer="709" w:gutter="0"/>
          <w:cols w:space="708"/>
          <w:docGrid w:linePitch="360"/>
        </w:sectPr>
      </w:pPr>
    </w:p>
    <w:p w14:paraId="181C7937" w14:textId="34C8C152" w:rsidR="006476BD" w:rsidRPr="00036C64" w:rsidRDefault="006476BD" w:rsidP="00423E87">
      <w:pPr>
        <w:tabs>
          <w:tab w:val="left" w:pos="851"/>
        </w:tabs>
        <w:spacing w:before="120" w:after="120"/>
        <w:ind w:firstLine="0"/>
        <w:jc w:val="center"/>
        <w:outlineLvl w:val="0"/>
        <w:rPr>
          <w:szCs w:val="24"/>
        </w:rPr>
      </w:pPr>
      <w:r w:rsidRPr="00036C64">
        <w:rPr>
          <w:b/>
          <w:szCs w:val="24"/>
        </w:rPr>
        <w:lastRenderedPageBreak/>
        <w:t xml:space="preserve">K části šedesáté </w:t>
      </w:r>
      <w:r w:rsidR="00C30B17">
        <w:rPr>
          <w:b/>
          <w:szCs w:val="24"/>
        </w:rPr>
        <w:t>deváté</w:t>
      </w:r>
      <w:r>
        <w:rPr>
          <w:b/>
          <w:szCs w:val="24"/>
        </w:rPr>
        <w:t xml:space="preserve"> </w:t>
      </w:r>
      <w:r w:rsidRPr="00036C64">
        <w:rPr>
          <w:b/>
          <w:szCs w:val="24"/>
        </w:rPr>
        <w:t xml:space="preserve">návrhu zákona – </w:t>
      </w:r>
      <w:r w:rsidRPr="00036C64">
        <w:rPr>
          <w:szCs w:val="24"/>
        </w:rPr>
        <w:t>změna zákona</w:t>
      </w:r>
      <w:r w:rsidRPr="00036C64">
        <w:t xml:space="preserve"> </w:t>
      </w:r>
      <w:r w:rsidR="002C173F" w:rsidRPr="002C173F">
        <w:rPr>
          <w:szCs w:val="24"/>
        </w:rPr>
        <w:t xml:space="preserve">o pozemkových úpravách a pozemkových úřadech </w:t>
      </w:r>
    </w:p>
    <w:p w14:paraId="1762FF7C" w14:textId="4B26FD3B" w:rsidR="006476BD" w:rsidRDefault="006476BD" w:rsidP="002C173F">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78706D">
        <w:rPr>
          <w:b/>
          <w:szCs w:val="24"/>
        </w:rPr>
        <w:t>Platné znění</w:t>
      </w:r>
      <w:r w:rsidR="002C173F">
        <w:rPr>
          <w:szCs w:val="24"/>
        </w:rPr>
        <w:t xml:space="preserve"> zákona č.139</w:t>
      </w:r>
      <w:r w:rsidRPr="0078706D">
        <w:rPr>
          <w:szCs w:val="24"/>
        </w:rPr>
        <w:t xml:space="preserve">/2002 Sb., </w:t>
      </w:r>
      <w:r w:rsidR="002C173F" w:rsidRPr="002C173F">
        <w:rPr>
          <w:szCs w:val="24"/>
        </w:rPr>
        <w:t>o pozemkových úpravách a pozemkových úřadech a o změně zákona č. 229/1991 Sb., o úpravě vlastnických vztahů k půdě a jinému zemědělskému majetku, ve znění pozdějších předpisů</w:t>
      </w:r>
    </w:p>
    <w:p w14:paraId="4BEFFCFB" w14:textId="14AD45A7" w:rsidR="006476BD" w:rsidRPr="0078706D" w:rsidRDefault="00423E87" w:rsidP="006476BD">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AE4818">
        <w:rPr>
          <w:b/>
          <w:szCs w:val="24"/>
          <w:lang w:eastAsia="en-US"/>
        </w:rPr>
        <w:t>s vyznačením navrhovaných změn a doplnění k 1. lednu 2025</w:t>
      </w:r>
    </w:p>
    <w:p w14:paraId="4B26C79C" w14:textId="77777777" w:rsidR="006476BD" w:rsidRPr="00036C64" w:rsidRDefault="006476BD" w:rsidP="006476BD">
      <w:pPr>
        <w:pStyle w:val="Textparagrafu"/>
        <w:tabs>
          <w:tab w:val="left" w:pos="406"/>
          <w:tab w:val="left" w:pos="840"/>
          <w:tab w:val="left" w:pos="868"/>
        </w:tabs>
        <w:spacing w:after="120"/>
        <w:ind w:firstLine="0"/>
        <w:jc w:val="center"/>
      </w:pPr>
      <w:r w:rsidRPr="00036C64">
        <w:t>***</w:t>
      </w:r>
    </w:p>
    <w:p w14:paraId="7A8E4276" w14:textId="083893C7" w:rsidR="00832471" w:rsidRDefault="00832471" w:rsidP="00832471">
      <w:pPr>
        <w:pStyle w:val="Textparagrafu"/>
        <w:tabs>
          <w:tab w:val="left" w:pos="406"/>
          <w:tab w:val="left" w:pos="840"/>
          <w:tab w:val="left" w:pos="868"/>
        </w:tabs>
        <w:spacing w:after="120"/>
        <w:ind w:firstLine="0"/>
        <w:jc w:val="center"/>
      </w:pPr>
      <w:r>
        <w:t>§ 5</w:t>
      </w:r>
    </w:p>
    <w:p w14:paraId="7EA6EB38" w14:textId="2EF3F740" w:rsidR="00832471" w:rsidRPr="00832471" w:rsidRDefault="00832471" w:rsidP="00832471">
      <w:pPr>
        <w:pStyle w:val="Textparagrafu"/>
        <w:tabs>
          <w:tab w:val="left" w:pos="406"/>
          <w:tab w:val="left" w:pos="840"/>
          <w:tab w:val="left" w:pos="868"/>
        </w:tabs>
        <w:spacing w:after="120"/>
        <w:ind w:firstLine="0"/>
        <w:jc w:val="center"/>
        <w:rPr>
          <w:b/>
        </w:rPr>
      </w:pPr>
      <w:r w:rsidRPr="00832471">
        <w:rPr>
          <w:b/>
        </w:rPr>
        <w:t>Účastníci řízení o pozemkových úpravách</w:t>
      </w:r>
    </w:p>
    <w:p w14:paraId="21AE33C7" w14:textId="2ACC1B3B" w:rsidR="00832471" w:rsidRDefault="00832471" w:rsidP="0055341F">
      <w:pPr>
        <w:pStyle w:val="Textparagrafu"/>
        <w:tabs>
          <w:tab w:val="left" w:pos="406"/>
          <w:tab w:val="left" w:pos="840"/>
          <w:tab w:val="left" w:pos="868"/>
        </w:tabs>
        <w:spacing w:before="120" w:after="120"/>
      </w:pPr>
      <w:r>
        <w:t>(1) Účastníky řízení o pozemkových úpravách (dále jen "účastníci") jsou:</w:t>
      </w:r>
    </w:p>
    <w:p w14:paraId="6493CA0E" w14:textId="3E8BCFDD" w:rsidR="00832471" w:rsidRDefault="00832471" w:rsidP="00C30B17">
      <w:pPr>
        <w:pStyle w:val="Textparagrafu"/>
        <w:tabs>
          <w:tab w:val="left" w:pos="406"/>
          <w:tab w:val="left" w:pos="840"/>
          <w:tab w:val="left" w:pos="868"/>
        </w:tabs>
        <w:spacing w:before="0"/>
        <w:ind w:left="426" w:hanging="426"/>
      </w:pPr>
      <w:r>
        <w:t>a)</w:t>
      </w:r>
      <w:r>
        <w:tab/>
        <w:t>vlastníci pozemků, které jsou dotčeny řešením v pozemkových úpravách podle § 2 (dále jen "vlastníci pozemků") a fyzické a právnické osoby, jejichž vlastnická nebo jiná věcná práva k pozemkům mohou být řešením pozemkových úprav přímo dotčena; za takové osoby se nepovažují vlastníci, pro jejichž pozemky se v pozemkových úpravách pouze obnovuje soubor geodetických informací (§ 3 odst. 2),</w:t>
      </w:r>
    </w:p>
    <w:p w14:paraId="73C9A1D7" w14:textId="135DEE97" w:rsidR="00832471" w:rsidRDefault="00832471" w:rsidP="00C30B17">
      <w:pPr>
        <w:pStyle w:val="Textparagrafu"/>
        <w:tabs>
          <w:tab w:val="left" w:pos="406"/>
          <w:tab w:val="left" w:pos="840"/>
          <w:tab w:val="left" w:pos="868"/>
        </w:tabs>
        <w:spacing w:before="0"/>
        <w:ind w:left="426" w:hanging="426"/>
      </w:pPr>
      <w:r>
        <w:t>b)</w:t>
      </w:r>
      <w:r>
        <w:tab/>
        <w:t>stavebník, je-li provedení pozemkových úprav vyvoláno v důsledku stavební činnosti,</w:t>
      </w:r>
    </w:p>
    <w:p w14:paraId="15AC01E5" w14:textId="585248B8" w:rsidR="00832471" w:rsidRDefault="00832471" w:rsidP="00C30B17">
      <w:pPr>
        <w:pStyle w:val="Textparagrafu"/>
        <w:tabs>
          <w:tab w:val="left" w:pos="406"/>
          <w:tab w:val="left" w:pos="840"/>
          <w:tab w:val="left" w:pos="868"/>
        </w:tabs>
        <w:spacing w:before="0"/>
        <w:ind w:left="426" w:hanging="426"/>
      </w:pPr>
      <w:r>
        <w:t>c)</w:t>
      </w:r>
      <w:r>
        <w:tab/>
        <w:t>obce, v jejichž územním obvodu jsou pozemky zahrnuté do obvodu pozemkových úprav; účastníky mohou být i jiné obce, s jejichž územním obvodem sousedí pozemky zahrnuté do obvodu pozemkových úprav, pokud do 30 dnů od výzvy příslušného pozemkového úřadu přistoupí jako účastníci k řízení o pozemkových úpravách.</w:t>
      </w:r>
    </w:p>
    <w:p w14:paraId="35B0CDE3" w14:textId="0D185B1F" w:rsidR="00832471" w:rsidRDefault="00832471" w:rsidP="0055341F">
      <w:pPr>
        <w:pStyle w:val="Textparagrafu"/>
        <w:tabs>
          <w:tab w:val="left" w:pos="406"/>
          <w:tab w:val="left" w:pos="840"/>
          <w:tab w:val="left" w:pos="868"/>
        </w:tabs>
        <w:spacing w:before="120" w:after="120"/>
      </w:pPr>
      <w:r>
        <w:t>(2) V řízení o pozemkových úpravách se z důvodu využití výsledků pozemkových úprav pro obnovu katastrálního operátu používá v zájmu jednoznačné identifikace účastníka jeho jméno, příjmení, adresa místa trvalého pobytu a rodné číslo u fyzických osob a název, adresa sídla a identifikační číslo osoby u právnických osob.</w:t>
      </w:r>
    </w:p>
    <w:p w14:paraId="1399045E" w14:textId="45F97367" w:rsidR="00832471" w:rsidRDefault="00832471" w:rsidP="0055341F">
      <w:pPr>
        <w:pStyle w:val="Textparagrafu"/>
        <w:tabs>
          <w:tab w:val="left" w:pos="406"/>
          <w:tab w:val="left" w:pos="840"/>
          <w:tab w:val="left" w:pos="868"/>
        </w:tabs>
        <w:spacing w:before="120" w:after="120"/>
      </w:pPr>
      <w:r>
        <w:t>(3) Vlastníky pozemků, kteří se v důsledku změny obvodu pozemkových úprav (§ 9 odst. 6) stanou účastníky řízení, pozemkový úřad o této skutečnosti vhodným způsobem vyrozumí. Pokud vlastník pozemku přestane být účastníkem řízení podle odstavce 1 písm. a), postupuje se podle zákona č. 500/2004 Sb., správní řád, ve znění pozdějších předpisů.</w:t>
      </w:r>
    </w:p>
    <w:p w14:paraId="4363C518" w14:textId="546455BA" w:rsidR="00832471" w:rsidRDefault="00832471" w:rsidP="0055341F">
      <w:pPr>
        <w:pStyle w:val="Textparagrafu"/>
        <w:tabs>
          <w:tab w:val="left" w:pos="406"/>
          <w:tab w:val="left" w:pos="840"/>
          <w:tab w:val="left" w:pos="868"/>
        </w:tabs>
        <w:spacing w:before="120" w:after="120"/>
      </w:pPr>
      <w:r>
        <w:t>(4) Zemřel-li vlastník pozemku, který je předmětem pozemkových úprav, a soud o dědictví pravomoc</w:t>
      </w:r>
      <w:r w:rsidR="00B32E62">
        <w:t>ně usnesením ještě nerozhodl,</w:t>
      </w:r>
      <w:r w:rsidR="00B32E62">
        <w:rPr>
          <w:rStyle w:val="Znakapoznpodarou"/>
        </w:rPr>
        <w:footnoteReference w:customMarkFollows="1" w:id="419"/>
        <w:t>10)</w:t>
      </w:r>
      <w:r>
        <w:t xml:space="preserve"> jsou účastníky řízení o pozemkových úpravách osoby podle sdělení soudu nebo soudního komisaře. V případech, kdy soud nebo soudní komisař nepodá sdělení ve lhůtě stanovené pozemkovým úřadem, zastupuje tyto osoby v řízení o pozemkových úpravách opatrovník. Opatrovníkem v řízení o pozemkových úpravách může být i obec.</w:t>
      </w:r>
    </w:p>
    <w:p w14:paraId="6B10F62D" w14:textId="513B1FBB" w:rsidR="00832471" w:rsidRDefault="00832471" w:rsidP="0055341F">
      <w:pPr>
        <w:pStyle w:val="Textparagrafu"/>
        <w:tabs>
          <w:tab w:val="left" w:pos="406"/>
          <w:tab w:val="left" w:pos="840"/>
          <w:tab w:val="left" w:pos="868"/>
        </w:tabs>
        <w:spacing w:before="120" w:after="120"/>
      </w:pPr>
      <w:r>
        <w:t xml:space="preserve">(5) Vlastníci pozemků řešených v pozemkových úpravách si zvolí na úvodním jednání (§ 7) sbor zástupců (dále jen "sbor"), který zastupuje vlastníky v rozsahu činností uvedených v odstavci 8, popřípadě jedná za vlastníky v rozsahu stanoveném tímto zákonem. O průběhu úvodního jednání a volbě sboru pozemkový úřad učiní zápis, který doručí účastníkům řízení </w:t>
      </w:r>
      <w:r>
        <w:lastRenderedPageBreak/>
        <w:t>veřejnou vyhláškou. O volbě sboru pozemkový úřad učiní zápis. Při jednoduchých pozemkových úpravách lze od volby sboru upustit. Nepodaří-li se sbor při komplexních pozemkových úpravách ani opakovaně zvolit a trvá-li potřeba těchto úprav, lze od volby sboru upustit. Sbor zaniká dnem nabytí právní moci rozhodnutí podle § 11 odst. 8.</w:t>
      </w:r>
    </w:p>
    <w:p w14:paraId="7AD693FD" w14:textId="63FDC259" w:rsidR="00832471" w:rsidRDefault="00832471" w:rsidP="0055341F">
      <w:pPr>
        <w:pStyle w:val="Textparagrafu"/>
        <w:tabs>
          <w:tab w:val="left" w:pos="406"/>
          <w:tab w:val="left" w:pos="840"/>
          <w:tab w:val="left" w:pos="868"/>
        </w:tabs>
        <w:spacing w:before="120" w:after="120"/>
      </w:pPr>
      <w:r>
        <w:t>(6) Členství ve sboru nesmí být odmítnuto vlastníkovi, jehož pozemky zahrnují alespoň 10 % z výměry pozemků, na kterých budou prováděny pozemkové úpravy, pokud o to požádá nejpozději v den konání volby sboru. Dalším nevoleným členem sboru je vedoucí pozemkového úřadu nebo jím pověřený pracovník pozemkového úřadu a zástupce obce. Sbor zvolí ze svého středu předsedu, který svolává schůze sboru a řídí jejich jednání.</w:t>
      </w:r>
    </w:p>
    <w:p w14:paraId="1685E91D" w14:textId="481CB77B" w:rsidR="00832471" w:rsidRDefault="00832471" w:rsidP="0055341F">
      <w:pPr>
        <w:pStyle w:val="Textparagrafu"/>
        <w:tabs>
          <w:tab w:val="left" w:pos="406"/>
          <w:tab w:val="left" w:pos="840"/>
          <w:tab w:val="left" w:pos="868"/>
        </w:tabs>
        <w:spacing w:before="120" w:after="120"/>
      </w:pPr>
      <w:r>
        <w:t>(7) Počet členů sboru stanoví pozemkový úřad v rozsahu 5 až 15 členů podle celkového počtu vlastníků a podle rozsahu řešeného území. Pro případ úmrtí nebo odstoupení člena sboru se na úvodním jednání zvolí 1 náhradník sboru. Zvoleného člena sboru nemůže zastoupit ve sboru jiná osoba.</w:t>
      </w:r>
    </w:p>
    <w:p w14:paraId="618C7520" w14:textId="2E9EC564" w:rsidR="00CB5381" w:rsidRDefault="00832471" w:rsidP="0055341F">
      <w:pPr>
        <w:pStyle w:val="Textparagrafu"/>
        <w:tabs>
          <w:tab w:val="left" w:pos="406"/>
          <w:tab w:val="left" w:pos="840"/>
          <w:tab w:val="left" w:pos="868"/>
        </w:tabs>
        <w:spacing w:before="120" w:after="120"/>
      </w:pPr>
      <w:r>
        <w:t xml:space="preserve">(8) Sbor spolupracuje při zpracování návrhu pozemkových úprav, posuzuje jeho jednotlivé varianty a navrhovaná opatření, vyjadřuje se k plánu společných zařízení, k podaným připomínkám v průběhu pozemkových úprav, k návrhu pozemkových úprav a uděluje souhlas s ustoupením od požadavku na uhrazení rozdílu </w:t>
      </w:r>
      <w:r w:rsidRPr="003B3BA0">
        <w:rPr>
          <w:strike/>
        </w:rPr>
        <w:t>ceny</w:t>
      </w:r>
      <w:r>
        <w:t xml:space="preserve"> </w:t>
      </w:r>
      <w:r w:rsidR="003B3BA0">
        <w:rPr>
          <w:b/>
        </w:rPr>
        <w:t xml:space="preserve">hodnoty </w:t>
      </w:r>
      <w:r>
        <w:t>podle § 10 odst. 2.</w:t>
      </w:r>
    </w:p>
    <w:p w14:paraId="21E154EA" w14:textId="7C1471DC" w:rsidR="00832471" w:rsidRDefault="00832471" w:rsidP="00B32E62">
      <w:pPr>
        <w:pStyle w:val="Textparagrafu"/>
        <w:tabs>
          <w:tab w:val="left" w:pos="406"/>
          <w:tab w:val="left" w:pos="840"/>
          <w:tab w:val="left" w:pos="868"/>
        </w:tabs>
        <w:spacing w:after="120"/>
        <w:ind w:firstLine="0"/>
        <w:jc w:val="center"/>
      </w:pPr>
      <w:r>
        <w:t>***</w:t>
      </w:r>
    </w:p>
    <w:p w14:paraId="222623B0" w14:textId="732B507D" w:rsidR="00832471" w:rsidRDefault="00832471" w:rsidP="00B32E62">
      <w:pPr>
        <w:pStyle w:val="Textparagrafu"/>
        <w:tabs>
          <w:tab w:val="left" w:pos="406"/>
          <w:tab w:val="left" w:pos="840"/>
          <w:tab w:val="left" w:pos="868"/>
        </w:tabs>
        <w:spacing w:after="120"/>
        <w:ind w:firstLine="0"/>
        <w:jc w:val="center"/>
      </w:pPr>
      <w:r>
        <w:t>§ 8</w:t>
      </w:r>
    </w:p>
    <w:p w14:paraId="5E166612" w14:textId="41D85F48" w:rsidR="00832471" w:rsidRPr="00B32E62" w:rsidRDefault="00832471" w:rsidP="00B32E62">
      <w:pPr>
        <w:pStyle w:val="Textparagrafu"/>
        <w:tabs>
          <w:tab w:val="left" w:pos="406"/>
          <w:tab w:val="left" w:pos="840"/>
          <w:tab w:val="left" w:pos="868"/>
        </w:tabs>
        <w:spacing w:after="120"/>
        <w:ind w:firstLine="0"/>
        <w:jc w:val="center"/>
        <w:rPr>
          <w:b/>
        </w:rPr>
      </w:pPr>
      <w:r w:rsidRPr="00B32E62">
        <w:rPr>
          <w:b/>
        </w:rPr>
        <w:t>Soupis a ocenění nároků vlastníků</w:t>
      </w:r>
    </w:p>
    <w:p w14:paraId="41958B1A" w14:textId="3F3B9F49" w:rsidR="00832471" w:rsidRDefault="00832471" w:rsidP="0055341F">
      <w:pPr>
        <w:pStyle w:val="Textparagrafu"/>
        <w:tabs>
          <w:tab w:val="left" w:pos="406"/>
          <w:tab w:val="left" w:pos="840"/>
          <w:tab w:val="left" w:pos="868"/>
        </w:tabs>
        <w:spacing w:before="120" w:after="120"/>
      </w:pPr>
      <w:r>
        <w:t>(1) Pozemkový úřad zabezpečí vypracování soupisu nároků vlastníků pozemků (dále jen "soupi</w:t>
      </w:r>
      <w:r w:rsidR="00B32E62">
        <w:t xml:space="preserve">s nároků") podle jejich </w:t>
      </w:r>
      <w:r w:rsidR="00B32E62" w:rsidRPr="00075F97">
        <w:rPr>
          <w:strike/>
        </w:rPr>
        <w:t>ceny</w:t>
      </w:r>
      <w:r w:rsidR="00887928">
        <w:rPr>
          <w:b/>
        </w:rPr>
        <w:t xml:space="preserve"> tržní</w:t>
      </w:r>
      <w:r w:rsidR="00075F97">
        <w:t xml:space="preserve"> </w:t>
      </w:r>
      <w:r w:rsidR="00075F97">
        <w:rPr>
          <w:b/>
        </w:rPr>
        <w:t>hodnoty</w:t>
      </w:r>
      <w:r w:rsidR="00B32E62">
        <w:t>,</w:t>
      </w:r>
      <w:r w:rsidR="00B32E62">
        <w:rPr>
          <w:rStyle w:val="Znakapoznpodarou"/>
        </w:rPr>
        <w:footnoteReference w:customMarkFollows="1" w:id="420"/>
        <w:t>14)</w:t>
      </w:r>
      <w:r>
        <w:t xml:space="preserve"> výměry, vzdálenosti a druhu, a to včetně uvedení omezení vyplývajících ze zástavního práva, předkupního práva a věcného břemene; u pozemků, které nevyžadují řešení ve smyslu ustanovení § 2, pozemkový úřad zabezpečí vypracování soupisu nároků jen podle výměry pozemků. Pozemkový úřad informuje o průběhu zpracování soupisu nároků sbor, umožní mu spoluúčast při soupisu nároků včetně práva přítomnosti člena sboru při jednání s vlastníky. V případě zjištěného rozdílu mezi výměrou obvodu pozemkových úprav vypočtenou ze souřadnic (§ 9 odst. 4), která je rozhodující pro další zpracování návrhu, a výměrou podle katastru nemovitostí se nároky vlastníků úměrně upravují, aby rozdíl byl odstraněn. O případný přebytek výměry v obvodu pozemkových úprav se navýší nárok státu. Tento soupis nároků pozemkový úřad vyloží po dobu 15 dnů na místně příslušném obecním úřadě a zároveň doručí vlastníkům, jejichž pobyt je znám. K tomuto soupisu nároků mohou vlastníci uplatnit námitky ve lhůtě určené pozemkovým úřadem; k námitkám proti opravám výměr pozemků vyplývajícím z nového zaměření skutečného stavu v terénu se nepřihlíží. Námitky projedná pozemkový úřad se sborem, je-li zvolen, popřípadě s katastrálním úřadem. Vlastníci musí být o vyřízení námitek písemně vyrozuměni. Na jejich projednání a vyřízení se nevztahuje správní řád. Námitky podané k pozemkům neřešeným v pozemkových úpravách předá pozemkový úřad katastrálnímu úřadu k rozhodnutí podle </w:t>
      </w:r>
      <w:r w:rsidR="00B32E62">
        <w:t>zvláštního právního předpisu.</w:t>
      </w:r>
      <w:r w:rsidR="00B32E62">
        <w:rPr>
          <w:rStyle w:val="Znakapoznpodarou"/>
        </w:rPr>
        <w:footnoteReference w:customMarkFollows="1" w:id="421"/>
        <w:t>15)</w:t>
      </w:r>
      <w:r>
        <w:t xml:space="preserve"> Současně s vyložením soupisu nároků vyzve pozemkový úřad veřejnou vyhláškou, vyvěšenou na úřední desce pozemkového úřadu po dobu 1 roku, osoby </w:t>
      </w:r>
      <w:r>
        <w:lastRenderedPageBreak/>
        <w:t>oprávněné z věcných břemen, jejichž zápis byl do katastru nemovitostí převzat z pozemkové knihy, zemských desek nebo železniční knihy, které jsou v katastru nemovitostí zapsány s údaji neumožňujícími jejich dostatečnou identifikaci, aby se pozemkovému úřadu přihlásily nejpozději do jednoho roku od zveřejnění výzvy. Dále se postupuje podle § 11 odst. 15.</w:t>
      </w:r>
    </w:p>
    <w:p w14:paraId="04996A56" w14:textId="7FBBF01F" w:rsidR="00832471" w:rsidRDefault="00832471" w:rsidP="0055341F">
      <w:pPr>
        <w:pStyle w:val="Textparagrafu"/>
        <w:tabs>
          <w:tab w:val="left" w:pos="406"/>
          <w:tab w:val="left" w:pos="840"/>
          <w:tab w:val="left" w:pos="868"/>
        </w:tabs>
        <w:spacing w:before="120" w:after="120"/>
      </w:pPr>
      <w:r>
        <w:t xml:space="preserve">(2) Jsou-li zahájeny pozemkové úpravy v katastrálním území, jehož část se po roce 1958 stala součástí </w:t>
      </w:r>
      <w:r w:rsidR="00B32E62">
        <w:t xml:space="preserve">území Polské lidové </w:t>
      </w:r>
      <w:proofErr w:type="gramStart"/>
      <w:r w:rsidR="00B32E62">
        <w:t>republiky</w:t>
      </w:r>
      <w:r w:rsidR="00B32E62">
        <w:rPr>
          <w:rStyle w:val="Znakapoznpodarou"/>
        </w:rPr>
        <w:footnoteReference w:customMarkFollows="1" w:id="422"/>
        <w:t>54)</w:t>
      </w:r>
      <w:r>
        <w:t xml:space="preserve"> a tudíž</w:t>
      </w:r>
      <w:proofErr w:type="gramEnd"/>
      <w:r>
        <w:t xml:space="preserve"> pozemky této původní části katastrálního území nelze zahrnout do obvodu, lze o výměru těchto pozemků navýšit nárok jejich původních vlastníků. Tyto osoby jsou povinny prokázat, že před přechodem dotčených pozemků na území Polské lidové republiky byly vlastníky a bez svého přičinění pozbyly vlastnické právo k těmto pozemkům. Stejně bude postupováno i v případě dědiců původních vlastníků. Způsob oceňování těchto pozemků bude řešen prováděcím předpisem. Při navrhování nových pozemků se použijí pozemky ve vlastnictví státu.</w:t>
      </w:r>
    </w:p>
    <w:p w14:paraId="376DC57F" w14:textId="2600A710" w:rsidR="00832471" w:rsidRDefault="00832471" w:rsidP="0055341F">
      <w:pPr>
        <w:pStyle w:val="Textparagrafu"/>
        <w:tabs>
          <w:tab w:val="left" w:pos="406"/>
          <w:tab w:val="left" w:pos="840"/>
          <w:tab w:val="left" w:pos="868"/>
        </w:tabs>
        <w:spacing w:before="120" w:after="120"/>
        <w:ind w:firstLine="426"/>
      </w:pPr>
      <w:r>
        <w:t xml:space="preserve">(3) V řízení o pozemkových úpravách se pro oceňování použije </w:t>
      </w:r>
      <w:r w:rsidRPr="00C557FC">
        <w:rPr>
          <w:strike/>
        </w:rPr>
        <w:t>zvláštní právní předpis</w:t>
      </w:r>
      <w:r w:rsidRPr="00C557FC">
        <w:rPr>
          <w:strike/>
          <w:vertAlign w:val="superscript"/>
        </w:rPr>
        <w:t>14)</w:t>
      </w:r>
      <w:r w:rsidRPr="00C557FC">
        <w:rPr>
          <w:strike/>
        </w:rPr>
        <w:t xml:space="preserve"> platný</w:t>
      </w:r>
      <w:r>
        <w:t xml:space="preserve"> </w:t>
      </w:r>
      <w:r w:rsidR="00C557FC" w:rsidRPr="00166AF2">
        <w:rPr>
          <w:b/>
        </w:rPr>
        <w:t>ocenění zjištěnou hodnotou podle zákona o oceňování</w:t>
      </w:r>
      <w:r w:rsidR="00C557FC" w:rsidRPr="00166AF2">
        <w:rPr>
          <w:vertAlign w:val="superscript"/>
        </w:rPr>
        <w:t xml:space="preserve">14) </w:t>
      </w:r>
      <w:r w:rsidR="00C557FC" w:rsidRPr="00166AF2">
        <w:rPr>
          <w:b/>
        </w:rPr>
        <w:t>účinného</w:t>
      </w:r>
      <w:r w:rsidR="00C557FC">
        <w:t xml:space="preserve"> </w:t>
      </w:r>
      <w:r>
        <w:t>ke dni vyložení soupisu nároků podle odstavce 1. Pozemkový úřad stanoví, zda ocenění provede sám nebo tím pověří zpracovatele pozemkových úprav nebo znalce. V tomto případě nejde o postup podle správního řádu.</w:t>
      </w:r>
    </w:p>
    <w:p w14:paraId="3B0A3B49" w14:textId="4A52F8A5" w:rsidR="00832471" w:rsidRDefault="00832471" w:rsidP="0055341F">
      <w:pPr>
        <w:pStyle w:val="Textparagrafu"/>
        <w:tabs>
          <w:tab w:val="left" w:pos="406"/>
          <w:tab w:val="left" w:pos="840"/>
          <w:tab w:val="left" w:pos="868"/>
        </w:tabs>
        <w:spacing w:before="120" w:after="120"/>
      </w:pPr>
      <w:r>
        <w:t>(4) Základem pro ocenění zemědělského pozemku jsou bonitované půdně ekologické jednotky evidované v číselných a mapových podkladech. Bonitovaná půdně ekologická jednotka vyjadřuje pětimístným číselným kódem hlavní půdní a klimatické podmínky mající vliv na produkční schopnost zemědělské půdy a její ekonomické ohodnocení. Údaje o bonitovaných půdně ekologických jednotkách zajišťuje Státní pozemkový úřad v celostátní databázi bonitovaných půdně ekologických jednotek. Ministerstvo zemědělství (dále jen "ministerstvo") stanoví vyhláškou charakteristiku bonitovaných půdně ekologických jednotek a postup pro jejich vedení a aktualizaci.</w:t>
      </w:r>
    </w:p>
    <w:p w14:paraId="6A017CB1" w14:textId="670D75CE" w:rsidR="00832471" w:rsidRDefault="00832471" w:rsidP="0055341F">
      <w:pPr>
        <w:pStyle w:val="Textparagrafu"/>
        <w:tabs>
          <w:tab w:val="left" w:pos="406"/>
          <w:tab w:val="left" w:pos="840"/>
          <w:tab w:val="left" w:pos="868"/>
        </w:tabs>
        <w:spacing w:before="120" w:after="120"/>
      </w:pPr>
      <w:r>
        <w:t xml:space="preserve">(5) Při oceňování zemědělských pozemků se pro stanovení nároků v řízení o pozemkových úpravách použije základní cena podle </w:t>
      </w:r>
      <w:r w:rsidR="00B32E62">
        <w:t>zvláštního právního předpisu,</w:t>
      </w:r>
      <w:r w:rsidR="00B32E62">
        <w:rPr>
          <w:rStyle w:val="Znakapoznpodarou"/>
        </w:rPr>
        <w:footnoteReference w:customMarkFollows="1" w:id="423"/>
        <w:t>16)</w:t>
      </w:r>
      <w:r>
        <w:t xml:space="preserve"> která se zjistí podle bonitovaných půdně ekologických jednotek evidovaných v celostátní data</w:t>
      </w:r>
      <w:r w:rsidR="00B32E62">
        <w:t xml:space="preserve">bázi </w:t>
      </w:r>
      <w:r w:rsidR="00B32E62">
        <w:rPr>
          <w:rStyle w:val="Znakapoznpodarou"/>
        </w:rPr>
        <w:footnoteReference w:customMarkFollows="1" w:id="424"/>
        <w:t>17)</w:t>
      </w:r>
      <w:r>
        <w:t xml:space="preserve"> a vztažených k zaměření skutečného stavu v terénu. Údaje o bonitovaných půdně ekologických jednotkách vedených v katastru nemovitostí se použijí jen v případech pozemkových úprav, kde není účelné vycházet ze zaměření skutečného stavu (§ 9 odst. 4).</w:t>
      </w:r>
    </w:p>
    <w:p w14:paraId="2D5E38D0" w14:textId="072690E3" w:rsidR="00832471" w:rsidRDefault="00832471" w:rsidP="0055341F">
      <w:pPr>
        <w:pStyle w:val="Textparagrafu"/>
        <w:tabs>
          <w:tab w:val="left" w:pos="406"/>
          <w:tab w:val="left" w:pos="840"/>
          <w:tab w:val="left" w:pos="868"/>
        </w:tabs>
        <w:spacing w:before="120" w:after="120"/>
      </w:pPr>
      <w:r>
        <w:t xml:space="preserve">(6) U chmelnic, vinic, sadů, zahrad a pozemků s lesním porostem se v nárocích uvede </w:t>
      </w:r>
      <w:r w:rsidRPr="00C557FC">
        <w:rPr>
          <w:strike/>
        </w:rPr>
        <w:t>cena</w:t>
      </w:r>
      <w:r>
        <w:t xml:space="preserve"> </w:t>
      </w:r>
      <w:r w:rsidR="00C557FC">
        <w:rPr>
          <w:b/>
        </w:rPr>
        <w:t xml:space="preserve">hodnota </w:t>
      </w:r>
      <w:r>
        <w:t xml:space="preserve">pozemku a </w:t>
      </w:r>
      <w:r w:rsidRPr="00C557FC">
        <w:rPr>
          <w:strike/>
        </w:rPr>
        <w:t>cena</w:t>
      </w:r>
      <w:r>
        <w:t xml:space="preserve"> </w:t>
      </w:r>
      <w:r w:rsidR="00C557FC">
        <w:rPr>
          <w:b/>
        </w:rPr>
        <w:t xml:space="preserve">hodnota </w:t>
      </w:r>
      <w:r>
        <w:t xml:space="preserve">porostu odděleně a s členěním podle druhu porostu. U ostatních druhů pozemků se </w:t>
      </w:r>
      <w:r w:rsidRPr="00C557FC">
        <w:rPr>
          <w:strike/>
        </w:rPr>
        <w:t>cena</w:t>
      </w:r>
      <w:r>
        <w:t xml:space="preserve"> </w:t>
      </w:r>
      <w:r w:rsidR="00C557FC">
        <w:rPr>
          <w:b/>
        </w:rPr>
        <w:t xml:space="preserve">hodnota </w:t>
      </w:r>
      <w:r>
        <w:t>porostu uvede jen na žádost vlastníka pozemku. Tuto žádost může vlastník pozemku uplatnit nejpozději do konce doby pro vyložení soupisu nároků pozemkovým úřadem podle odstavce 1.</w:t>
      </w:r>
    </w:p>
    <w:p w14:paraId="3760FBC2" w14:textId="328EA702" w:rsidR="00832471" w:rsidRDefault="00832471" w:rsidP="0055341F">
      <w:pPr>
        <w:pStyle w:val="Textparagrafu"/>
        <w:tabs>
          <w:tab w:val="left" w:pos="406"/>
          <w:tab w:val="left" w:pos="840"/>
          <w:tab w:val="left" w:pos="868"/>
        </w:tabs>
        <w:spacing w:before="120" w:after="120"/>
        <w:rPr>
          <w:strike/>
          <w:vertAlign w:val="superscript"/>
        </w:rPr>
      </w:pPr>
      <w:r w:rsidRPr="00C557FC">
        <w:rPr>
          <w:strike/>
        </w:rPr>
        <w:t xml:space="preserve">(7) Pro účely pozemkových úprav se cena porostu podle odstavce 6, který se nachází na pozemcích nebo jejich částech sloučených do půdních celků, stanoví jako násobek výměry parcely vedené v katastru nemovitostí nebo její části určené zaměřením skutečného stavu v </w:t>
      </w:r>
      <w:r w:rsidRPr="00C557FC">
        <w:rPr>
          <w:strike/>
        </w:rPr>
        <w:lastRenderedPageBreak/>
        <w:t>terénu a průměrné ceny porostu za 1 m</w:t>
      </w:r>
      <w:r w:rsidRPr="00C557FC">
        <w:rPr>
          <w:strike/>
          <w:vertAlign w:val="superscript"/>
        </w:rPr>
        <w:t>2</w:t>
      </w:r>
      <w:r w:rsidRPr="00C557FC">
        <w:rPr>
          <w:strike/>
        </w:rPr>
        <w:t xml:space="preserve"> (dále jen "průměrná cena"). Průměrná cena zahrnuje i podíl na ceně věci, která je součástí porostu nebo příslušenstvím pozemku. Pro výpočet průměrné ceny se ocení porost, který se nachází na půdním celku, podle zvláštního právního </w:t>
      </w:r>
      <w:proofErr w:type="gramStart"/>
      <w:r w:rsidRPr="00C557FC">
        <w:rPr>
          <w:strike/>
        </w:rPr>
        <w:t>předpisu.</w:t>
      </w:r>
      <w:r w:rsidRPr="00C557FC">
        <w:rPr>
          <w:strike/>
          <w:vertAlign w:val="superscript"/>
        </w:rPr>
        <w:t>14</w:t>
      </w:r>
      <w:proofErr w:type="gramEnd"/>
      <w:r w:rsidRPr="00C557FC">
        <w:rPr>
          <w:strike/>
          <w:vertAlign w:val="superscript"/>
        </w:rPr>
        <w:t>)</w:t>
      </w:r>
    </w:p>
    <w:p w14:paraId="25A9BB17" w14:textId="674C9EAD" w:rsidR="00C557FC" w:rsidRPr="00C557FC" w:rsidRDefault="00C557FC" w:rsidP="0055341F">
      <w:pPr>
        <w:pStyle w:val="Textodstavce"/>
        <w:ind w:firstLine="425"/>
        <w:rPr>
          <w:b/>
        </w:rPr>
      </w:pPr>
      <w:bookmarkStart w:id="34" w:name="_Hlk164949309"/>
      <w:r w:rsidRPr="00166AF2">
        <w:rPr>
          <w:b/>
        </w:rPr>
        <w:t>(7) Pro účely pozemkových úprav se hodnota porostu podle odstavce 6, který se nachází na pozemcích nebo jejich částech sloučených do půdních celků, stanoví jako násobek výměry parcely vedené v katastru nemovitostí nebo její části určené zaměřením skutečného stavu v terénu a průměrné hodnoty porostu za 1 m</w:t>
      </w:r>
      <w:r w:rsidRPr="00166AF2">
        <w:rPr>
          <w:b/>
          <w:vertAlign w:val="superscript"/>
        </w:rPr>
        <w:t>2</w:t>
      </w:r>
      <w:r w:rsidRPr="00166AF2">
        <w:rPr>
          <w:b/>
        </w:rPr>
        <w:t xml:space="preserve"> (dále jen „průměrná hodnota“). Průměrná hodnota zahrnuje i podíl na hodnotě věci, která je součástí porostu nebo příslušenstvím pozemku. Pro výpočet průměrné hodnoty se ocení porost, který se nachází na půdním celku, podle zvláštního právního </w:t>
      </w:r>
      <w:proofErr w:type="gramStart"/>
      <w:r w:rsidRPr="00166AF2">
        <w:rPr>
          <w:b/>
        </w:rPr>
        <w:t>předpisu.</w:t>
      </w:r>
      <w:r w:rsidRPr="00166AF2">
        <w:rPr>
          <w:b/>
          <w:vertAlign w:val="superscript"/>
        </w:rPr>
        <w:t>14</w:t>
      </w:r>
      <w:proofErr w:type="gramEnd"/>
      <w:r w:rsidRPr="00166AF2">
        <w:rPr>
          <w:b/>
          <w:vertAlign w:val="superscript"/>
        </w:rPr>
        <w:t>)</w:t>
      </w:r>
      <w:bookmarkEnd w:id="34"/>
    </w:p>
    <w:p w14:paraId="3590F966" w14:textId="21A89CC6" w:rsidR="00832471" w:rsidRDefault="00832471" w:rsidP="005F4D0B">
      <w:pPr>
        <w:pStyle w:val="Textparagrafu"/>
        <w:tabs>
          <w:tab w:val="left" w:pos="406"/>
          <w:tab w:val="left" w:pos="840"/>
          <w:tab w:val="left" w:pos="868"/>
        </w:tabs>
        <w:spacing w:after="120"/>
        <w:ind w:firstLine="0"/>
        <w:jc w:val="center"/>
      </w:pPr>
      <w:r>
        <w:t>***</w:t>
      </w:r>
    </w:p>
    <w:p w14:paraId="307D8CCD" w14:textId="739166F3" w:rsidR="00832471" w:rsidRDefault="00832471" w:rsidP="005F4D0B">
      <w:pPr>
        <w:pStyle w:val="Textparagrafu"/>
        <w:tabs>
          <w:tab w:val="left" w:pos="406"/>
          <w:tab w:val="left" w:pos="840"/>
          <w:tab w:val="left" w:pos="868"/>
        </w:tabs>
        <w:spacing w:after="120"/>
        <w:ind w:firstLine="0"/>
        <w:jc w:val="center"/>
      </w:pPr>
      <w:r>
        <w:t>§ 9</w:t>
      </w:r>
    </w:p>
    <w:p w14:paraId="2596A69F" w14:textId="00FDFBBE" w:rsidR="00832471" w:rsidRPr="005F4D0B" w:rsidRDefault="00832471" w:rsidP="005F4D0B">
      <w:pPr>
        <w:pStyle w:val="Textparagrafu"/>
        <w:tabs>
          <w:tab w:val="left" w:pos="406"/>
          <w:tab w:val="left" w:pos="840"/>
          <w:tab w:val="left" w:pos="868"/>
        </w:tabs>
        <w:spacing w:after="120"/>
        <w:ind w:firstLine="0"/>
        <w:jc w:val="center"/>
        <w:rPr>
          <w:b/>
        </w:rPr>
      </w:pPr>
      <w:r w:rsidRPr="005F4D0B">
        <w:rPr>
          <w:b/>
        </w:rPr>
        <w:t>Návrh pozemkových úprav</w:t>
      </w:r>
    </w:p>
    <w:p w14:paraId="79FECE09" w14:textId="2B5A643E" w:rsidR="00832471" w:rsidRDefault="00832471" w:rsidP="0055341F">
      <w:pPr>
        <w:pStyle w:val="Textparagrafu"/>
        <w:tabs>
          <w:tab w:val="left" w:pos="406"/>
          <w:tab w:val="left" w:pos="840"/>
          <w:tab w:val="left" w:pos="868"/>
        </w:tabs>
        <w:spacing w:before="120" w:after="120"/>
      </w:pPr>
      <w:r>
        <w:t>(1) Pozemkový úřad zajistí odborné zpracování návrhu pozemkových úprav (dále jen "návrh") nebo návrh, popřípadě jeho část v nezbytných případech sám zpracuje.</w:t>
      </w:r>
    </w:p>
    <w:p w14:paraId="27DF5BA8" w14:textId="1D3EE57A" w:rsidR="00832471" w:rsidRDefault="00832471" w:rsidP="0055341F">
      <w:pPr>
        <w:pStyle w:val="Textparagrafu"/>
        <w:tabs>
          <w:tab w:val="left" w:pos="406"/>
          <w:tab w:val="left" w:pos="840"/>
          <w:tab w:val="left" w:pos="868"/>
        </w:tabs>
        <w:spacing w:before="120" w:after="120"/>
      </w:pPr>
      <w:r>
        <w:t>(2) Zpracovatelem návrhu je vždy držitel úředního oprávnění k projektování pozemkových úprav (§ 18).</w:t>
      </w:r>
    </w:p>
    <w:p w14:paraId="33FA5A02" w14:textId="53B90AE3" w:rsidR="00832471" w:rsidRDefault="00832471" w:rsidP="0055341F">
      <w:pPr>
        <w:pStyle w:val="Textparagrafu"/>
        <w:tabs>
          <w:tab w:val="left" w:pos="406"/>
          <w:tab w:val="left" w:pos="840"/>
          <w:tab w:val="left" w:pos="868"/>
        </w:tabs>
        <w:spacing w:before="120" w:after="120"/>
      </w:pPr>
      <w:r>
        <w:t>(3) Dotčené orgány, správci podzemních a nadzemních zařízení a správci dat potřebných pro zpracování návrhu pozemkových úprav jsou povinni po zahájení řízení o pozemkových úpravách v dohodnutých termínech poskytnout pozemkovému úřadu bezúplatně potřebné údaje a informace nezbytné pro řízení o pozemkových úpravách a pro vypracování návrhu.</w:t>
      </w:r>
    </w:p>
    <w:p w14:paraId="29C4448D" w14:textId="16D4734B" w:rsidR="00832471" w:rsidRDefault="00832471" w:rsidP="0055341F">
      <w:pPr>
        <w:pStyle w:val="Textparagrafu"/>
        <w:tabs>
          <w:tab w:val="left" w:pos="406"/>
          <w:tab w:val="left" w:pos="840"/>
          <w:tab w:val="left" w:pos="868"/>
        </w:tabs>
        <w:spacing w:before="120" w:after="120"/>
      </w:pPr>
      <w:r>
        <w:t>(4) Podkladem pro návrh pozemkových úprav je zaměření předmětů, které zůstanou obsahem souboru geodetických i</w:t>
      </w:r>
      <w:r w:rsidR="00122311">
        <w:t>nformací katastru nemovitostí</w:t>
      </w:r>
      <w:r w:rsidR="00122311">
        <w:rPr>
          <w:rStyle w:val="Znakapoznpodarou"/>
        </w:rPr>
        <w:footnoteReference w:customMarkFollows="1" w:id="425"/>
        <w:t>18)</w:t>
      </w:r>
      <w:r>
        <w:t xml:space="preserve"> i po ukončení pozemkových úprav a dalších polohopisných prvků potřebných pro zpracování návrhu pozemkových úprav, s geometrickým základem a přesností podle </w:t>
      </w:r>
      <w:r w:rsidR="00122311">
        <w:t>zvláštního právního předpisu,</w:t>
      </w:r>
      <w:r w:rsidR="00122311">
        <w:rPr>
          <w:rStyle w:val="Znakapoznpodarou"/>
        </w:rPr>
        <w:footnoteReference w:customMarkFollows="1" w:id="426"/>
        <w:t>19)</w:t>
      </w:r>
      <w:r>
        <w:t xml:space="preserve"> nejsou-li již se stejnou kvalitou geometricky a polohově určeny v katastru nemovitostí. Výsledky zeměměřických činností, které mají tvořit podklad pro návrh pozemkových úprav, musí být ověřeny fyzickou osobou, které bylo uděleno úřední oprávnění podle </w:t>
      </w:r>
      <w:r w:rsidR="00122311">
        <w:t>zvláštního právního předpisu.</w:t>
      </w:r>
      <w:r w:rsidR="00122311">
        <w:rPr>
          <w:rStyle w:val="Znakapoznpodarou"/>
        </w:rPr>
        <w:footnoteReference w:customMarkFollows="1" w:id="427"/>
        <w:t>20)</w:t>
      </w:r>
    </w:p>
    <w:p w14:paraId="6D72BBF1" w14:textId="48053561" w:rsidR="00832471" w:rsidRDefault="00832471" w:rsidP="0055341F">
      <w:pPr>
        <w:pStyle w:val="Textparagrafu"/>
        <w:tabs>
          <w:tab w:val="left" w:pos="406"/>
          <w:tab w:val="left" w:pos="840"/>
          <w:tab w:val="left" w:pos="868"/>
        </w:tabs>
        <w:spacing w:before="120" w:after="120"/>
      </w:pPr>
      <w:r>
        <w:t>(5) Zjišťování průběhu hranic pro účely pozemkových úprav provádí komise složená z pracovníků pozemkového úřadu, katastrálního úřadu, zpracovatele návrhu, zástupců obcí a podle potřeby i zástupců dalších úřadů. Předsedu komise a její členy jmenuje po dohodě s katastrálním úřadem vedoucí pozemkového úřadu.</w:t>
      </w:r>
    </w:p>
    <w:p w14:paraId="6B84DBB0" w14:textId="612A223D" w:rsidR="00832471" w:rsidRDefault="00832471" w:rsidP="0055341F">
      <w:pPr>
        <w:pStyle w:val="Textparagrafu"/>
        <w:tabs>
          <w:tab w:val="left" w:pos="406"/>
          <w:tab w:val="left" w:pos="840"/>
          <w:tab w:val="left" w:pos="868"/>
        </w:tabs>
        <w:spacing w:before="120" w:after="120"/>
      </w:pPr>
      <w:r>
        <w:t xml:space="preserve">(6) Na základě zaměření skutečného stavu v terénu (odstavec 4) se upřesní obvod pozemkových úprav a okruh účastníků řízení; pozdější změnu obvodu a okruhu účastníků řízení lze provést, pokud pro to pozemkový úřad shledá důvody. Pro vyznačení zjištěného průběhu </w:t>
      </w:r>
      <w:r>
        <w:lastRenderedPageBreak/>
        <w:t>hranic pozemků na upřesněném obvodu pozemkových úprav do katastru nemovitostí se vyhotoví geometrický plán. Ve zpracování návrhu je možné pokračovat pouze na základě kladného stanoviska katastrálního úřadu k převzetí výsledku zeměměřických činností provedených ve smyslu odstavce 5.</w:t>
      </w:r>
    </w:p>
    <w:p w14:paraId="331B5261" w14:textId="33AF010D" w:rsidR="00832471" w:rsidRDefault="00832471" w:rsidP="0055341F">
      <w:pPr>
        <w:pStyle w:val="Textparagrafu"/>
        <w:tabs>
          <w:tab w:val="left" w:pos="406"/>
          <w:tab w:val="left" w:pos="840"/>
          <w:tab w:val="left" w:pos="868"/>
        </w:tabs>
        <w:spacing w:before="120" w:after="120"/>
      </w:pPr>
      <w:r>
        <w:t>(7) Pozemkový úřad ohlásí obvod pozemkových úprav katastrálnímu úřadu k zápisu do katastru nemovitostí a přiloží geometrický plán podle odstavce 6. Neprodleně po zápisu obvodu pozemkových úprav do katastru nemovitostí předloží pozemkový úřad katastrálnímu úřadu seznam parcel, které jsou dotčeny pozemkovými úpravami, za účelem vyznačení poznámky o zahájení pozemkových úprav v katastru nemovitostí. Ode dne vyznačení této poznámky v katastru nemovitostí sděluje katastrální úřad průběžně pozemkovému úřadu všechny změny, a to až do vydání rozhodnutí podle § 11 odst. 8.</w:t>
      </w:r>
    </w:p>
    <w:p w14:paraId="3A342C1B" w14:textId="2856F1D7" w:rsidR="00832471" w:rsidRDefault="00832471" w:rsidP="0055341F">
      <w:pPr>
        <w:pStyle w:val="Textparagrafu"/>
        <w:tabs>
          <w:tab w:val="left" w:pos="406"/>
          <w:tab w:val="left" w:pos="840"/>
          <w:tab w:val="left" w:pos="868"/>
        </w:tabs>
        <w:spacing w:before="120" w:after="120"/>
      </w:pPr>
      <w:r>
        <w:t>(8) Návrhu nového uspořádání pozemků vlastníků předchází zpracování plánu společných zařízení, kterými jsou zejména</w:t>
      </w:r>
    </w:p>
    <w:p w14:paraId="7A6C54FF" w14:textId="23430ED9" w:rsidR="00832471" w:rsidRDefault="00832471" w:rsidP="00C30B17">
      <w:pPr>
        <w:pStyle w:val="Textparagrafu"/>
        <w:tabs>
          <w:tab w:val="left" w:pos="406"/>
          <w:tab w:val="left" w:pos="840"/>
          <w:tab w:val="left" w:pos="868"/>
        </w:tabs>
        <w:spacing w:before="0"/>
        <w:ind w:left="426" w:hanging="426"/>
      </w:pPr>
      <w:r>
        <w:t>a)</w:t>
      </w:r>
      <w:r w:rsidR="00122311">
        <w:tab/>
      </w:r>
      <w:r>
        <w:t>opatření sloužící ke zpřístupnění pozemků jako polní nebo lesní cesty, mostky, propustky, brody, železniční přejezdy a podobně,</w:t>
      </w:r>
    </w:p>
    <w:p w14:paraId="5965384D" w14:textId="58EDE387" w:rsidR="00832471" w:rsidRDefault="00832471" w:rsidP="00C30B17">
      <w:pPr>
        <w:pStyle w:val="Textparagrafu"/>
        <w:tabs>
          <w:tab w:val="left" w:pos="406"/>
          <w:tab w:val="left" w:pos="840"/>
          <w:tab w:val="left" w:pos="868"/>
        </w:tabs>
        <w:spacing w:before="0"/>
        <w:ind w:left="426" w:hanging="426"/>
      </w:pPr>
      <w:r>
        <w:t>b)</w:t>
      </w:r>
      <w:r w:rsidR="00122311">
        <w:tab/>
      </w:r>
      <w:r>
        <w:t xml:space="preserve">protierozní opatření pro ochranu půdního fondu jako protierozní meze, </w:t>
      </w:r>
      <w:proofErr w:type="spellStart"/>
      <w:r>
        <w:t>průlehy</w:t>
      </w:r>
      <w:proofErr w:type="spellEnd"/>
      <w:r>
        <w:t>, zasakovací pásy, záchytné příkopy, terasy, větrolamy, zatravnění, zalesnění a podobně,</w:t>
      </w:r>
    </w:p>
    <w:p w14:paraId="49285715" w14:textId="302D0767" w:rsidR="00832471" w:rsidRDefault="00832471" w:rsidP="00C30B17">
      <w:pPr>
        <w:pStyle w:val="Textparagrafu"/>
        <w:tabs>
          <w:tab w:val="left" w:pos="406"/>
          <w:tab w:val="left" w:pos="840"/>
          <w:tab w:val="left" w:pos="868"/>
        </w:tabs>
        <w:spacing w:before="0"/>
        <w:ind w:left="426" w:hanging="426"/>
      </w:pPr>
      <w:r>
        <w:t>c)</w:t>
      </w:r>
      <w:r w:rsidR="00122311">
        <w:tab/>
      </w:r>
      <w:r>
        <w:t>vodohospodářská opatření sloužící k neškodnému odvedení povrchových vod, ochraně území před záplavami, suchem a k zadržení vody v krajině včetně podzemních vod jako vodní nádrže, rybníky, úpravy koryt vodních toků, odvodnění, ochranné hráze, poldry a podobně,</w:t>
      </w:r>
    </w:p>
    <w:p w14:paraId="2BA19440" w14:textId="70F26292" w:rsidR="00832471" w:rsidRDefault="00832471" w:rsidP="00C30B17">
      <w:pPr>
        <w:pStyle w:val="Textparagrafu"/>
        <w:tabs>
          <w:tab w:val="left" w:pos="406"/>
          <w:tab w:val="left" w:pos="840"/>
          <w:tab w:val="left" w:pos="868"/>
        </w:tabs>
        <w:spacing w:before="0"/>
        <w:ind w:left="426" w:hanging="426"/>
      </w:pPr>
      <w:r>
        <w:t>d)</w:t>
      </w:r>
      <w:r w:rsidR="00122311">
        <w:tab/>
      </w:r>
      <w:r>
        <w:t>opatření k ochraně a tvorbě životního prostředí, podpoře biodiverzity a zvýšení ekologické stability prostřednictvím územního systému ekologické stability, založení, doplnění nebo obnovy trvalé vegetace, terénních úprav a podobně.</w:t>
      </w:r>
    </w:p>
    <w:p w14:paraId="3D75182B" w14:textId="1B7EA4B6" w:rsidR="00832471" w:rsidRDefault="00832471" w:rsidP="0055341F">
      <w:pPr>
        <w:pStyle w:val="Textparagrafu"/>
        <w:tabs>
          <w:tab w:val="left" w:pos="406"/>
          <w:tab w:val="left" w:pos="840"/>
          <w:tab w:val="left" w:pos="868"/>
        </w:tabs>
        <w:spacing w:before="120" w:after="120"/>
      </w:pPr>
      <w:r>
        <w:t>V případě společných zařízení technického charakteru jde o nové stavby nebo o rekonstrukce, popřípadě modernizace staveb stávajících.</w:t>
      </w:r>
    </w:p>
    <w:p w14:paraId="69499EC7" w14:textId="7B17D469" w:rsidR="00832471" w:rsidRDefault="00832471" w:rsidP="0055341F">
      <w:pPr>
        <w:pStyle w:val="Textparagrafu"/>
        <w:tabs>
          <w:tab w:val="left" w:pos="406"/>
          <w:tab w:val="left" w:pos="840"/>
          <w:tab w:val="left" w:pos="868"/>
        </w:tabs>
        <w:spacing w:before="120" w:after="120"/>
      </w:pPr>
      <w:r>
        <w:t>(9) Zaústění vodohospodářských opatření navržených podle odstavce 8 písm. c) lze navrhnout i mimo obvod pozemkových úprav, pokud toto opatření funkčně souvisí s opatřeními prováděnými v obvodu pozemkových úprav. Toto opatření nebude z důvodu svého umístění mimo obvod pozemkových úprav součástí návrhu nového uspořádání pozemků; rovněž jeho realizace nebude hrazena z prostředků určených pro pozemkové úpravy.</w:t>
      </w:r>
    </w:p>
    <w:p w14:paraId="3B52F18D" w14:textId="6581AF07" w:rsidR="00832471" w:rsidRDefault="00832471" w:rsidP="0055341F">
      <w:pPr>
        <w:pStyle w:val="Textparagrafu"/>
        <w:tabs>
          <w:tab w:val="left" w:pos="406"/>
          <w:tab w:val="left" w:pos="840"/>
          <w:tab w:val="left" w:pos="868"/>
        </w:tabs>
        <w:spacing w:before="120" w:after="120"/>
      </w:pPr>
      <w:r>
        <w:t>(10) Pozemkový úřad předloží zpracovaný plán společných zařízení dotčeným orgánům, které vyzve k uplatnění stanovisek ve lhůtě 30 dnů ode dne doručení výzvy. K později uplatněným stanoviskům se nepřihlíží. Souhlasné stanovisko nahrazuje opatření (rozhodnutí, souhlas, povolení výjimky) podle</w:t>
      </w:r>
      <w:r w:rsidR="00013E16">
        <w:t xml:space="preserve"> zvláštních právních předpisů</w:t>
      </w:r>
      <w:r w:rsidR="00013E16">
        <w:rPr>
          <w:rStyle w:val="Znakapoznpodarou"/>
        </w:rPr>
        <w:footnoteReference w:customMarkFollows="1" w:id="428"/>
        <w:t>21)</w:t>
      </w:r>
      <w:r>
        <w:t>.</w:t>
      </w:r>
    </w:p>
    <w:p w14:paraId="1F682E7D" w14:textId="701AAE9F" w:rsidR="00832471" w:rsidRDefault="00832471" w:rsidP="0055341F">
      <w:pPr>
        <w:pStyle w:val="Textparagrafu"/>
        <w:tabs>
          <w:tab w:val="left" w:pos="406"/>
          <w:tab w:val="left" w:pos="840"/>
          <w:tab w:val="left" w:pos="868"/>
        </w:tabs>
        <w:spacing w:before="120" w:after="120"/>
      </w:pPr>
      <w:r>
        <w:t>(11) Plán společných zařízení schválí zastupitelstvo obce. Pozemkový úřad před předložením plánu společných zařízení zastupitelstvu obce prokazatelně seznámí s tímto plánem sbor zástupců nebo vlastníky, není-li sbor zvolen. Tento postup platí i v případě změny již schváleného plánu společných zařízení. Zasahuje-li plán společných zařízení i do územního obvodu navazující obce [§ 5 odst. 1 písm. c)], je třeba předložit plán společných zařízení ke schválení také zastupitelstvu této obce.</w:t>
      </w:r>
    </w:p>
    <w:p w14:paraId="074ACC23" w14:textId="492077C9" w:rsidR="00832471" w:rsidRDefault="00832471" w:rsidP="0055341F">
      <w:pPr>
        <w:pStyle w:val="Textparagrafu"/>
        <w:tabs>
          <w:tab w:val="left" w:pos="406"/>
          <w:tab w:val="left" w:pos="840"/>
          <w:tab w:val="left" w:pos="868"/>
        </w:tabs>
        <w:spacing w:before="120" w:after="120"/>
      </w:pPr>
      <w:r>
        <w:lastRenderedPageBreak/>
        <w:t>(12) Pokud jsou společná zařízení navržena na pozemku,</w:t>
      </w:r>
      <w:r w:rsidR="00013E16">
        <w:t xml:space="preserve"> který je ve vlastnictví státu</w:t>
      </w:r>
      <w:r w:rsidR="00013E16">
        <w:rPr>
          <w:rStyle w:val="Znakapoznpodarou"/>
        </w:rPr>
        <w:footnoteReference w:customMarkFollows="1" w:id="429"/>
        <w:t>1)</w:t>
      </w:r>
      <w:r>
        <w:t>, převede jej stát po dokončení realizace navržených společných zařízení bezúplatně do vlastnictví obce [§ 5 odst. 1 písm. c)]. Takto získaný pozemek nesmí obec zcizit bez souhlasu ústředí. Současně s podáním návrhu na vklad vlastnického práva na základě smlouvy o bezúplatném převodu pozemku na obec požádá ústředí o zápis poznámky zákazu zcizení.</w:t>
      </w:r>
    </w:p>
    <w:p w14:paraId="4142BAD1" w14:textId="653BC434" w:rsidR="00832471" w:rsidRDefault="00832471" w:rsidP="0055341F">
      <w:pPr>
        <w:pStyle w:val="Textparagrafu"/>
        <w:tabs>
          <w:tab w:val="left" w:pos="406"/>
          <w:tab w:val="left" w:pos="840"/>
          <w:tab w:val="left" w:pos="868"/>
        </w:tabs>
        <w:spacing w:before="120" w:after="120"/>
      </w:pPr>
      <w:r>
        <w:t>(13) V soupisu nových pozemků bude u pozemků podle odstavce 12 věty první uvedena poznámka „pozemek je určen pro realizaci společných zařízení podle zákona č. 139/2002 Sb.“. Tato poznámka bude zapsána do katastru nemovitostí na základě rozhodnutí podle § 11 odst. 8. Pokud pominuly důvody pro vyznačení poznámky, katastrální úřad zruší poznámku na základě návrhu pozemkového úřadu. Převod těchto pozemků je možný pouze na základě vydání kladného stanoviska pozemkovým úřadem. V případě bezúplatného převodu do vlastnictví obce se stanovisko nevydává.</w:t>
      </w:r>
    </w:p>
    <w:p w14:paraId="500011DB" w14:textId="5358A828" w:rsidR="00832471" w:rsidRDefault="00832471" w:rsidP="0055341F">
      <w:pPr>
        <w:pStyle w:val="Textparagrafu"/>
        <w:tabs>
          <w:tab w:val="left" w:pos="406"/>
          <w:tab w:val="left" w:pos="840"/>
          <w:tab w:val="left" w:pos="868"/>
        </w:tabs>
        <w:spacing w:before="120" w:after="120"/>
      </w:pPr>
      <w:r>
        <w:t xml:space="preserve">(14) Odvody za odnětí půdy </w:t>
      </w:r>
      <w:r w:rsidR="00013E16">
        <w:t>ze zemědělského půdního fondu</w:t>
      </w:r>
      <w:r w:rsidR="00013E16">
        <w:rPr>
          <w:rStyle w:val="Znakapoznpodarou"/>
        </w:rPr>
        <w:footnoteReference w:customMarkFollows="1" w:id="430"/>
        <w:t>22)</w:t>
      </w:r>
      <w:r>
        <w:t xml:space="preserve"> a poplatky za odnětí pozemků </w:t>
      </w:r>
      <w:r w:rsidR="00013E16">
        <w:t>určených k plnění funkcí lesa</w:t>
      </w:r>
      <w:r w:rsidR="00013E16">
        <w:rPr>
          <w:rStyle w:val="Znakapoznpodarou"/>
        </w:rPr>
        <w:footnoteReference w:customMarkFollows="1" w:id="431"/>
        <w:t>23)</w:t>
      </w:r>
      <w:r>
        <w:t xml:space="preserve"> se v řízení o pozemkových úpravách nepředepisují.</w:t>
      </w:r>
    </w:p>
    <w:p w14:paraId="4F927D00" w14:textId="7F994A36" w:rsidR="00832471" w:rsidRDefault="00832471" w:rsidP="0055341F">
      <w:pPr>
        <w:pStyle w:val="Textparagrafu"/>
        <w:tabs>
          <w:tab w:val="left" w:pos="406"/>
          <w:tab w:val="left" w:pos="840"/>
          <w:tab w:val="left" w:pos="868"/>
        </w:tabs>
        <w:spacing w:before="120" w:after="120"/>
      </w:pPr>
      <w:r>
        <w:t>(15) Plán společných zařízení musí být v souladu s územně plánovací dokumentací. Není-li návrh plánu společných zařízení ze závažných důvodů v souladu s územně plánovací dokumentací, je jeho schválení podle odstavce 11 zároveň rozhodnutím o změně územního plánu podle § 109 odst. 1 stavebního zákona přijímaným z vlastního podnětu. Obsahem změny je požadavek na uvedení plánu společných zařízení a územního plánu do souladu. Tento postup není překážkou pro vydání rozhodnutí o pozemkových úpravách.</w:t>
      </w:r>
    </w:p>
    <w:p w14:paraId="3A04C7A8" w14:textId="68FC7F90" w:rsidR="00832471" w:rsidRDefault="00832471" w:rsidP="0055341F">
      <w:pPr>
        <w:pStyle w:val="Textparagrafu"/>
        <w:tabs>
          <w:tab w:val="left" w:pos="406"/>
          <w:tab w:val="left" w:pos="840"/>
          <w:tab w:val="left" w:pos="868"/>
        </w:tabs>
        <w:spacing w:before="120" w:after="120"/>
      </w:pPr>
      <w:r>
        <w:t xml:space="preserve">(16) Pozemkový úřad může, pokud to je s ohledem na dosažení cíle pozemkových úprav potřebné, v průběhu pozemkových úprav vykupovat se souhlasem vlastníka ve prospěch státu pozemky nebo spoluvlastnické podíly k </w:t>
      </w:r>
      <w:r w:rsidR="00013E16">
        <w:t xml:space="preserve">nim nejvýše za </w:t>
      </w:r>
      <w:r w:rsidR="00013E16" w:rsidRPr="00BD2602">
        <w:rPr>
          <w:strike/>
        </w:rPr>
        <w:t>cenu</w:t>
      </w:r>
      <w:r w:rsidR="00013E16">
        <w:t xml:space="preserve"> </w:t>
      </w:r>
      <w:r w:rsidR="00BD2602">
        <w:rPr>
          <w:b/>
        </w:rPr>
        <w:t xml:space="preserve">hodnotu </w:t>
      </w:r>
      <w:r w:rsidR="00013E16">
        <w:t xml:space="preserve">obvyklou </w:t>
      </w:r>
      <w:r w:rsidR="00013E16">
        <w:rPr>
          <w:rStyle w:val="Znakapoznpodarou"/>
        </w:rPr>
        <w:footnoteReference w:customMarkFollows="1" w:id="432"/>
        <w:t>59)</w:t>
      </w:r>
      <w:r w:rsidR="00731EEC">
        <w:t>, popřípadě přijmout dar</w:t>
      </w:r>
      <w:r w:rsidR="00731EEC">
        <w:rPr>
          <w:rStyle w:val="Znakapoznpodarou"/>
        </w:rPr>
        <w:footnoteReference w:customMarkFollows="1" w:id="433"/>
        <w:t>24)</w:t>
      </w:r>
      <w:r>
        <w:t xml:space="preserve"> pozemku. Rovněž může vypořádat spoluvlastnictví k pozemku tak, že spoluvlastníkům připočte k jejich nároku (§ 8 odst. 1) část odpovídající spoluvlastnickému podílu k předmětnému pozemku; jestliže spoluvlastník kromě spoluvlastnického podílu nevlastní jiný pozemek, tvoří tento spoluvlastnický podíl samostatný nárok. Pozemkový úřad může na základě dohody uzavřené mezi spoluvlastníky reálně rozdělit spoluvlastnické podíly i v případě, že spoluvlastníci nevlastní v obvodu pozemkových úprav jiný pozemek. Předmětem reálného rozdělení nemohou být pozemky ve společném jmění manželů a lesy ve vl</w:t>
      </w:r>
      <w:r w:rsidR="00731EEC">
        <w:t>astnictví spolku, společnosti</w:t>
      </w:r>
      <w:r w:rsidR="00731EEC">
        <w:rPr>
          <w:rStyle w:val="Znakapoznpodarou"/>
        </w:rPr>
        <w:footnoteReference w:customMarkFollows="1" w:id="434"/>
        <w:t>60)</w:t>
      </w:r>
      <w:r>
        <w:t xml:space="preserve"> nebo družstva. O pozemky, jejichž vlastník není znám, nebo o spoluvlastnické podíly k takovým pozemkům lze zvýšit nárok státu</w:t>
      </w:r>
      <w:r w:rsidRPr="00013E16">
        <w:rPr>
          <w:vertAlign w:val="superscript"/>
        </w:rPr>
        <w:t>1)</w:t>
      </w:r>
      <w:r>
        <w:t xml:space="preserve">. V případě, kdy k pozemku nelze podle údajů evidence katastru nemovitostí jednoznačně určit vlastníka a bude-li šetření nezbytných údajů o vlastníkovi pozemku prokazatelně bezvýsledné, posuzuje se takový pozemek jako pozemek, jehož vlastník není znám. Přihlásí-li se pozemkovému úřadu do 5 let od právní moci rozhodnutí pozemkového úřadu o výměně nebo přechodu vlastnických práv osoba, která prokáže, že byla k uvedenému dni vlastníkem předmětného pozemku nebo spoluvlastnického podílu k němu, pozemkový úřad jí poskytne finanční náhradu v </w:t>
      </w:r>
      <w:r w:rsidRPr="00BD2602">
        <w:rPr>
          <w:strike/>
        </w:rPr>
        <w:t xml:space="preserve">ceně podle </w:t>
      </w:r>
      <w:r w:rsidRPr="00BD2602">
        <w:rPr>
          <w:strike/>
        </w:rPr>
        <w:lastRenderedPageBreak/>
        <w:t>jiného právního předpisu</w:t>
      </w:r>
      <w:r w:rsidR="00BD2602" w:rsidRPr="00BD2602">
        <w:rPr>
          <w:b/>
        </w:rPr>
        <w:t xml:space="preserve"> </w:t>
      </w:r>
      <w:r w:rsidR="00BD2602" w:rsidRPr="00166AF2">
        <w:rPr>
          <w:b/>
        </w:rPr>
        <w:t>hodnotě podle zákona o oceňování</w:t>
      </w:r>
      <w:r w:rsidR="00BD2602" w:rsidRPr="00013E16">
        <w:rPr>
          <w:vertAlign w:val="superscript"/>
        </w:rPr>
        <w:t xml:space="preserve"> </w:t>
      </w:r>
      <w:r w:rsidRPr="00013E16">
        <w:rPr>
          <w:vertAlign w:val="superscript"/>
        </w:rPr>
        <w:t>14)</w:t>
      </w:r>
      <w:r>
        <w:t xml:space="preserve"> platného v době přechodu pozemku nebo spoluvlastnického podílu k tomuto pozemku na stát.</w:t>
      </w:r>
    </w:p>
    <w:p w14:paraId="2BC41BB8" w14:textId="6CD52F5C" w:rsidR="00832471" w:rsidRDefault="00832471" w:rsidP="0055341F">
      <w:pPr>
        <w:pStyle w:val="Textparagrafu"/>
        <w:tabs>
          <w:tab w:val="left" w:pos="406"/>
          <w:tab w:val="left" w:pos="840"/>
          <w:tab w:val="left" w:pos="868"/>
        </w:tabs>
        <w:spacing w:before="120" w:after="120"/>
      </w:pPr>
      <w:r>
        <w:t xml:space="preserve">(17) Je-li nutno pro společná zařízení vyčlenit nezbytnou výměru půdního fondu, použijí se nejprve pozemky ve vlastnictví státu a potom ve vlastnictví obce. Pro společná zařízení lze se souhlasem držitele dobývacího prostoru a dotčeného orgánu použít pozemky ve vlastnictví státu, které </w:t>
      </w:r>
      <w:r w:rsidR="007143B5">
        <w:t>jsou určeny pro těžbu nerostů,</w:t>
      </w:r>
      <w:r w:rsidR="007143B5">
        <w:rPr>
          <w:rStyle w:val="Znakapoznpodarou"/>
        </w:rPr>
        <w:footnoteReference w:customMarkFollows="1" w:id="435"/>
        <w:t>5)</w:t>
      </w:r>
      <w:r>
        <w:t xml:space="preserve"> pozemky v zastavěném území, pozemky v zastavitelných plochách a pozemky, které jsou určeny k vypořádání náhrad podle </w:t>
      </w:r>
      <w:r w:rsidR="007143B5">
        <w:t>zvláštního právního předpisu.</w:t>
      </w:r>
      <w:r w:rsidR="007143B5">
        <w:rPr>
          <w:rStyle w:val="Znakapoznpodarou"/>
        </w:rPr>
        <w:footnoteReference w:customMarkFollows="1" w:id="436"/>
        <w:t>25)</w:t>
      </w:r>
      <w:r>
        <w:t xml:space="preserve"> K využití pozemků ve vlastnictví státu, které jsou určeny k těžbě nerostů, je vyžadován rovněž souhlas subjektu, kterému byl stanoven dobývací prostor podle horního zákon</w:t>
      </w:r>
      <w:r w:rsidR="007143B5">
        <w:t>a</w:t>
      </w:r>
      <w:r w:rsidR="007143B5">
        <w:rPr>
          <w:rStyle w:val="Znakapoznpodarou"/>
        </w:rPr>
        <w:footnoteReference w:customMarkFollows="1" w:id="437"/>
        <w:t>61)</w:t>
      </w:r>
      <w:r>
        <w:t>. Pokud nelze pro společná zařízení použít jen pozemky ve vlastnictví státu, popřípadě obce, podílejí se na vyčlenění potřebné výměry půdního fondu ostatní vlastníci pozemků poměrnou částí podle celkové výměry jejich směňovaných pozemků. V tomto případě se nároky vlastníků vstupujících do pozemkových úprav úměrně snižují.</w:t>
      </w:r>
    </w:p>
    <w:p w14:paraId="3F3FE2DB" w14:textId="0330A0F0" w:rsidR="00832471" w:rsidRDefault="00832471" w:rsidP="0055341F">
      <w:pPr>
        <w:pStyle w:val="Textparagrafu"/>
        <w:tabs>
          <w:tab w:val="left" w:pos="406"/>
          <w:tab w:val="left" w:pos="840"/>
          <w:tab w:val="left" w:pos="868"/>
        </w:tabs>
        <w:spacing w:before="120" w:after="120"/>
      </w:pPr>
      <w:r>
        <w:t xml:space="preserve">(18) Zřídil-li pozemkový úřad podle schváleného návrhu věcné břemeno k pozemku, poskytne vlastníku takto zatíženého pozemku náhradu stanovenou podle </w:t>
      </w:r>
      <w:r w:rsidR="007143B5">
        <w:t>zvláštního právního předpisu,</w:t>
      </w:r>
      <w:r w:rsidR="007143B5">
        <w:rPr>
          <w:rStyle w:val="Znakapoznpodarou"/>
        </w:rPr>
        <w:footnoteReference w:customMarkFollows="1" w:id="438"/>
        <w:t>26)</w:t>
      </w:r>
      <w:r>
        <w:t xml:space="preserve"> pokud tento vlastník již neobdržel náhradu v jiném pozemku. Pozemky zatížené stávajícími věcnými břemeny lze směňovat jen se souhlasem dotčených vlastníků. Pokud se vlastníci ve lhůtě stanovené pozemkovým úřadem nevyjádří, má se za to, že se směnou souhlasí. Stávající věcná břemena související s inženýrskými sítěmi, vrty, důlními díly a stavbami nebo dočasnými stavbami se neoceňují a nejsou pozemkovými úpravami dotčena. Postup podle § 11 odst. 15 se nepoužije pro věcná břemena uvedená v předchozí větě.</w:t>
      </w:r>
    </w:p>
    <w:p w14:paraId="3179BE5A" w14:textId="3FCDC5AE" w:rsidR="00832471" w:rsidRDefault="00832471" w:rsidP="0055341F">
      <w:pPr>
        <w:pStyle w:val="Textparagrafu"/>
        <w:tabs>
          <w:tab w:val="left" w:pos="406"/>
          <w:tab w:val="left" w:pos="840"/>
          <w:tab w:val="left" w:pos="868"/>
        </w:tabs>
        <w:spacing w:before="120" w:after="120"/>
      </w:pPr>
      <w:r>
        <w:t>(19) V rámci stanovení nároků (§ 8 odst. 1) a tvorby obnoveného souboru geodetických informací (§ 11 odst. 8) zajistí pozemkový úřad pro pozemky v obvodu pozemkových úprav, které nevyžadují řešení ve smyslu ustanovení § 2, nezbytné zeměměřické činnosti pro obnovu katastrálního operátu, které se katastrálnímu úřadu předávají spolu s výsledky pozemkových úprav.</w:t>
      </w:r>
    </w:p>
    <w:p w14:paraId="5533A965" w14:textId="640E15DB" w:rsidR="00832471" w:rsidRDefault="00832471" w:rsidP="0055341F">
      <w:pPr>
        <w:pStyle w:val="Textparagrafu"/>
        <w:tabs>
          <w:tab w:val="left" w:pos="406"/>
          <w:tab w:val="left" w:pos="840"/>
          <w:tab w:val="left" w:pos="868"/>
        </w:tabs>
        <w:spacing w:before="120" w:after="120"/>
      </w:pPr>
      <w:r>
        <w:t>(20) Zpracovatel návrhu je povinen v průběhu jeho zpracovávání projednávat nové uspořádání pozemků s dotčenými vlastníky pozemků. Svůj souhlas, případně nesouhlas, vlastníci potvrdí podpisem na soupisu nových pozemků.</w:t>
      </w:r>
    </w:p>
    <w:p w14:paraId="3B2DF9E8" w14:textId="3CC71CDF" w:rsidR="00832471" w:rsidRDefault="00832471" w:rsidP="0055341F">
      <w:pPr>
        <w:pStyle w:val="Textparagrafu"/>
        <w:tabs>
          <w:tab w:val="left" w:pos="406"/>
          <w:tab w:val="left" w:pos="840"/>
          <w:tab w:val="left" w:pos="868"/>
        </w:tabs>
        <w:spacing w:before="120" w:after="120"/>
      </w:pPr>
      <w:r>
        <w:t>(21) V případě, kdy se vlastník pozemku k novému uspořádání pozemků nevyjádří ve smyslu odstavce 20, vyzve jej pozemkový úřad, aby tak učinil ve lhůtě 15 dnů. Pokud se vlastník v této lhůtě nevyjádří, má se za to, že s novým uspořádáním pozemků souhlasí.</w:t>
      </w:r>
    </w:p>
    <w:p w14:paraId="3C9F93D9" w14:textId="11533E24" w:rsidR="00832471" w:rsidRDefault="00832471" w:rsidP="0055341F">
      <w:pPr>
        <w:pStyle w:val="Textparagrafu"/>
        <w:tabs>
          <w:tab w:val="left" w:pos="406"/>
          <w:tab w:val="left" w:pos="840"/>
          <w:tab w:val="left" w:pos="868"/>
        </w:tabs>
        <w:spacing w:before="120" w:after="120"/>
      </w:pPr>
      <w:r>
        <w:t>(22) Pozemkový úřad svolá všechny vlastníky, požádá-li o to nejméně jedna třetina vlastníků nebo sbor, byl-li zvolen.</w:t>
      </w:r>
    </w:p>
    <w:p w14:paraId="4A284305" w14:textId="51586CDC" w:rsidR="00832471" w:rsidRDefault="00832471" w:rsidP="0055341F">
      <w:pPr>
        <w:pStyle w:val="Textparagrafu"/>
        <w:tabs>
          <w:tab w:val="left" w:pos="406"/>
          <w:tab w:val="left" w:pos="840"/>
          <w:tab w:val="left" w:pos="868"/>
        </w:tabs>
        <w:spacing w:before="120" w:after="120"/>
      </w:pPr>
      <w:r>
        <w:t>(23) Souhlasy učiněné podle tohoto zákona mohou vlastníci pozemků, popřípadě jejich právní nástupci vzít zpět jen se souhlasem pozemkového úřadu; ten může dát souhlas, jestliže to dovolí stav rozpracovanosti návrhu.</w:t>
      </w:r>
    </w:p>
    <w:p w14:paraId="5C243A94" w14:textId="111605D5" w:rsidR="00832471" w:rsidRDefault="00832471" w:rsidP="0055341F">
      <w:pPr>
        <w:pStyle w:val="Textparagrafu"/>
        <w:tabs>
          <w:tab w:val="left" w:pos="406"/>
          <w:tab w:val="left" w:pos="840"/>
          <w:tab w:val="left" w:pos="868"/>
        </w:tabs>
        <w:spacing w:before="120" w:after="120"/>
      </w:pPr>
      <w:r>
        <w:t>(24) Pozemkový úřad v průběhu řízení nejméně jednou za 12 měsíců svolá kontrolní den, na který přizve zástupce obce, sboru a dotčených orgánů, je-li jejich účast potřebná. O konání kontrolního dne pozemkový úřad sepíše zápis.</w:t>
      </w:r>
    </w:p>
    <w:p w14:paraId="45A47685" w14:textId="01397194" w:rsidR="00832471" w:rsidRDefault="00832471" w:rsidP="007143B5">
      <w:pPr>
        <w:pStyle w:val="Textparagrafu"/>
        <w:tabs>
          <w:tab w:val="left" w:pos="406"/>
          <w:tab w:val="left" w:pos="840"/>
          <w:tab w:val="left" w:pos="868"/>
        </w:tabs>
        <w:spacing w:after="120"/>
        <w:ind w:firstLine="0"/>
        <w:jc w:val="center"/>
      </w:pPr>
      <w:r>
        <w:lastRenderedPageBreak/>
        <w:t>§ 10</w:t>
      </w:r>
    </w:p>
    <w:p w14:paraId="745ABBB0" w14:textId="5260CA2D" w:rsidR="00832471" w:rsidRPr="007143B5" w:rsidRDefault="00832471" w:rsidP="007143B5">
      <w:pPr>
        <w:pStyle w:val="Textparagrafu"/>
        <w:tabs>
          <w:tab w:val="left" w:pos="406"/>
          <w:tab w:val="left" w:pos="840"/>
          <w:tab w:val="left" w:pos="868"/>
        </w:tabs>
        <w:spacing w:after="120"/>
        <w:ind w:firstLine="0"/>
        <w:jc w:val="center"/>
        <w:rPr>
          <w:b/>
        </w:rPr>
      </w:pPr>
      <w:r w:rsidRPr="007143B5">
        <w:rPr>
          <w:b/>
        </w:rPr>
        <w:t>Přiměřenost kvality, výměry a vzdálenosti původních a navrhovaných pozemků</w:t>
      </w:r>
    </w:p>
    <w:p w14:paraId="29EF4C3A" w14:textId="3CB94324" w:rsidR="00832471" w:rsidRDefault="00832471" w:rsidP="0055341F">
      <w:pPr>
        <w:pStyle w:val="Textparagrafu"/>
        <w:tabs>
          <w:tab w:val="left" w:pos="406"/>
          <w:tab w:val="left" w:pos="840"/>
          <w:tab w:val="left" w:pos="868"/>
        </w:tabs>
        <w:spacing w:before="120" w:after="120"/>
      </w:pPr>
      <w:r>
        <w:t xml:space="preserve">(1) Vlastníkům pozemků navrhne pozemkový úřad nové pozemky tak, aby odpovídaly jejich původním pozemkům přiměřeně </w:t>
      </w:r>
      <w:r w:rsidRPr="00C24775">
        <w:rPr>
          <w:strike/>
        </w:rPr>
        <w:t>cenou</w:t>
      </w:r>
      <w:r w:rsidR="00C24775">
        <w:rPr>
          <w:b/>
        </w:rPr>
        <w:t xml:space="preserve"> hodnotou</w:t>
      </w:r>
      <w:r>
        <w:t xml:space="preserve">, výměrou, vzdáleností a podle možností i druhem pozemku. Porovnání </w:t>
      </w:r>
      <w:r w:rsidRPr="00C24775">
        <w:rPr>
          <w:strike/>
        </w:rPr>
        <w:t>ceny</w:t>
      </w:r>
      <w:r w:rsidR="00C24775">
        <w:rPr>
          <w:b/>
        </w:rPr>
        <w:t xml:space="preserve"> hodnoty</w:t>
      </w:r>
      <w:r>
        <w:t>, výměry a vzdálenosti navrhovaných pozemků s původními pozemky se provádí za všechny pozemky vlastníka řešené v pozemkových úpravách (§ 2) vždy samostatně po jednotlivých listech vlastnictví.</w:t>
      </w:r>
    </w:p>
    <w:p w14:paraId="6F04FB41" w14:textId="54509D5A" w:rsidR="00832471" w:rsidRDefault="00832471" w:rsidP="0055341F">
      <w:pPr>
        <w:pStyle w:val="Textparagrafu"/>
        <w:tabs>
          <w:tab w:val="left" w:pos="406"/>
          <w:tab w:val="left" w:pos="840"/>
          <w:tab w:val="left" w:pos="868"/>
        </w:tabs>
        <w:spacing w:before="120" w:after="120"/>
      </w:pPr>
      <w:r>
        <w:t xml:space="preserve">(2) </w:t>
      </w:r>
      <w:r w:rsidRPr="00C24775">
        <w:rPr>
          <w:strike/>
        </w:rPr>
        <w:t>Cena</w:t>
      </w:r>
      <w:r>
        <w:t xml:space="preserve"> </w:t>
      </w:r>
      <w:r w:rsidR="00C24775">
        <w:rPr>
          <w:b/>
        </w:rPr>
        <w:t xml:space="preserve">Hodnota </w:t>
      </w:r>
      <w:r>
        <w:t xml:space="preserve">je přiměřená, pokud není ve srovnání s původní </w:t>
      </w:r>
      <w:r w:rsidRPr="00C24775">
        <w:rPr>
          <w:strike/>
        </w:rPr>
        <w:t>cenou</w:t>
      </w:r>
      <w:r>
        <w:t xml:space="preserve"> </w:t>
      </w:r>
      <w:r w:rsidR="00C24775">
        <w:rPr>
          <w:b/>
        </w:rPr>
        <w:t xml:space="preserve">hodnotou </w:t>
      </w:r>
      <w:r>
        <w:t xml:space="preserve">vyšší nebo nižší o více než 4 %. Překročení kritéria ve prospěch vlastníka lze jen za předpokladu, že vlastník souhlasí s uhrazením rozdílu </w:t>
      </w:r>
      <w:r w:rsidRPr="00C24775">
        <w:rPr>
          <w:strike/>
        </w:rPr>
        <w:t>ceny</w:t>
      </w:r>
      <w:r>
        <w:t xml:space="preserve"> </w:t>
      </w:r>
      <w:r w:rsidR="00C24775">
        <w:rPr>
          <w:b/>
        </w:rPr>
        <w:t>hodnoty</w:t>
      </w:r>
      <w:r w:rsidR="001B6C3F">
        <w:rPr>
          <w:b/>
        </w:rPr>
        <w:t xml:space="preserve"> </w:t>
      </w:r>
      <w:r>
        <w:t xml:space="preserve">přesahující toto kritérium. O výši rozdílu </w:t>
      </w:r>
      <w:r w:rsidRPr="00C24775">
        <w:rPr>
          <w:strike/>
        </w:rPr>
        <w:t>ceny</w:t>
      </w:r>
      <w:r>
        <w:t xml:space="preserve"> </w:t>
      </w:r>
      <w:r w:rsidR="00C24775">
        <w:rPr>
          <w:b/>
        </w:rPr>
        <w:t>hodnoty</w:t>
      </w:r>
      <w:r w:rsidR="001B6C3F">
        <w:rPr>
          <w:b/>
        </w:rPr>
        <w:t xml:space="preserve"> </w:t>
      </w:r>
      <w:r>
        <w:t xml:space="preserve">a o lhůtě k jejímu zaplacení rozhodne pozemkový úřad. K přijetí této částky je příslušné ústředí. Úhrada se nevztahuje na pozemky ve vlastnictví státu. V případě pozemků ve vlastnictví krajů se úhrada nevyžaduje v případě, že jsou na těchto pozemcích umístěny veřejně prospěšné stavby. V případě, že do pozemkových úprav vstupuje vlastník pouze s jedním pozemkem, který nelze z technických důvodů umístit tak, aby nebylo překročeno toto kritérium ve prospěch vlastníka, může pozemkový úřad se souhlasem sboru, je-li zvolen, od požadavku na uhrazení rozdílu </w:t>
      </w:r>
      <w:r w:rsidRPr="001B6C3F">
        <w:rPr>
          <w:strike/>
        </w:rPr>
        <w:t>ceny</w:t>
      </w:r>
      <w:r>
        <w:t xml:space="preserve"> </w:t>
      </w:r>
      <w:r w:rsidR="001B6C3F">
        <w:rPr>
          <w:b/>
        </w:rPr>
        <w:t xml:space="preserve">hodnoty </w:t>
      </w:r>
      <w:r>
        <w:t>ustoupit. Od úhrady částky nepřesahující 100 Kč se upouští vždy.</w:t>
      </w:r>
    </w:p>
    <w:p w14:paraId="700DFBBC" w14:textId="08DA8683" w:rsidR="00832471" w:rsidRDefault="00832471" w:rsidP="0055341F">
      <w:pPr>
        <w:pStyle w:val="Textparagrafu"/>
        <w:tabs>
          <w:tab w:val="left" w:pos="406"/>
          <w:tab w:val="left" w:pos="840"/>
          <w:tab w:val="left" w:pos="868"/>
        </w:tabs>
        <w:spacing w:before="120" w:after="120"/>
      </w:pPr>
      <w:r>
        <w:t>(3) Nově navrhované pozemky jsou v přiměřené výměře, pokud rozdíl výměry původních a navrhovaných pozemků nepřesahuje 10 % výměry původních pozemků.</w:t>
      </w:r>
    </w:p>
    <w:p w14:paraId="2805ADE7" w14:textId="7454D92B" w:rsidR="00832471" w:rsidRDefault="00832471" w:rsidP="0055341F">
      <w:pPr>
        <w:pStyle w:val="Textparagrafu"/>
        <w:tabs>
          <w:tab w:val="left" w:pos="406"/>
          <w:tab w:val="left" w:pos="840"/>
          <w:tab w:val="left" w:pos="868"/>
        </w:tabs>
        <w:spacing w:before="120" w:after="120"/>
      </w:pPr>
      <w:r>
        <w:t>(4) Nově navrhované pozemky jsou v přiměřené vzdálenosti, pokud rozdíl ve vzdálenosti původních a navrhovaných pozemků není vyšší nebo nižší než 20 %. Vzdálenost se měří od bodu dohodnutého na úvodním jednání.</w:t>
      </w:r>
    </w:p>
    <w:p w14:paraId="327A4B1D" w14:textId="2D44D2CA" w:rsidR="00832471" w:rsidRDefault="00832471" w:rsidP="0055341F">
      <w:pPr>
        <w:pStyle w:val="Textparagrafu"/>
        <w:tabs>
          <w:tab w:val="left" w:pos="406"/>
          <w:tab w:val="left" w:pos="840"/>
          <w:tab w:val="left" w:pos="868"/>
        </w:tabs>
        <w:spacing w:before="120" w:after="120"/>
      </w:pPr>
      <w:r>
        <w:t xml:space="preserve">(5) Snížení nebo zvýšení </w:t>
      </w:r>
      <w:r w:rsidRPr="00AE2F35">
        <w:rPr>
          <w:strike/>
        </w:rPr>
        <w:t>ceny</w:t>
      </w:r>
      <w:r w:rsidR="00AE2F35">
        <w:rPr>
          <w:b/>
        </w:rPr>
        <w:t xml:space="preserve"> hodnoty</w:t>
      </w:r>
      <w:r>
        <w:t>, výměry a vzdálenosti nově navrhovaných pozemků oproti původním pozemkům nad rámec stanovených kritérií přiměřenosti lze provést jen se souhlasem vlastníka. Za tento souhlas se nepovažuje postup podle § 9 odst. 21. Souhlas vlastníka není třeba u pozemků ve vlastnictví státu.</w:t>
      </w:r>
    </w:p>
    <w:p w14:paraId="3F08098C" w14:textId="77C9D012" w:rsidR="00832471" w:rsidRDefault="00832471" w:rsidP="0055341F">
      <w:pPr>
        <w:pStyle w:val="Textparagrafu"/>
        <w:tabs>
          <w:tab w:val="left" w:pos="406"/>
          <w:tab w:val="left" w:pos="840"/>
          <w:tab w:val="left" w:pos="868"/>
        </w:tabs>
        <w:spacing w:before="120" w:after="120"/>
      </w:pPr>
      <w:r>
        <w:t xml:space="preserve">(6) Překročení výměry, </w:t>
      </w:r>
      <w:r w:rsidRPr="00AE2F35">
        <w:rPr>
          <w:strike/>
        </w:rPr>
        <w:t>ceny</w:t>
      </w:r>
      <w:r>
        <w:t xml:space="preserve"> </w:t>
      </w:r>
      <w:r w:rsidR="00AE2F35">
        <w:rPr>
          <w:b/>
        </w:rPr>
        <w:t xml:space="preserve">hodnoty </w:t>
      </w:r>
      <w:r>
        <w:t>a vzdálenosti pozemků nabytých obcí pro společná zařízení se nepovažuje za porušení kritérií podle odstavců 2 až 4.</w:t>
      </w:r>
    </w:p>
    <w:p w14:paraId="30122926" w14:textId="55BB7E82" w:rsidR="00832471" w:rsidRDefault="00832471" w:rsidP="0076604A">
      <w:pPr>
        <w:pStyle w:val="Textparagrafu"/>
        <w:tabs>
          <w:tab w:val="left" w:pos="406"/>
          <w:tab w:val="left" w:pos="840"/>
          <w:tab w:val="left" w:pos="868"/>
        </w:tabs>
        <w:spacing w:after="120"/>
        <w:ind w:firstLine="0"/>
        <w:jc w:val="center"/>
      </w:pPr>
      <w:r>
        <w:t>***</w:t>
      </w:r>
    </w:p>
    <w:p w14:paraId="627CE4FD" w14:textId="6057FB0C" w:rsidR="00832471" w:rsidRDefault="00832471" w:rsidP="0076604A">
      <w:pPr>
        <w:pStyle w:val="Textparagrafu"/>
        <w:tabs>
          <w:tab w:val="left" w:pos="406"/>
          <w:tab w:val="left" w:pos="840"/>
          <w:tab w:val="left" w:pos="868"/>
        </w:tabs>
        <w:spacing w:after="120"/>
        <w:ind w:firstLine="0"/>
        <w:jc w:val="center"/>
      </w:pPr>
      <w:r>
        <w:t>§ 14</w:t>
      </w:r>
    </w:p>
    <w:p w14:paraId="2CF4AFA2" w14:textId="0119064E" w:rsidR="00832471" w:rsidRPr="0076604A" w:rsidRDefault="00832471" w:rsidP="0076604A">
      <w:pPr>
        <w:pStyle w:val="Textparagrafu"/>
        <w:tabs>
          <w:tab w:val="left" w:pos="406"/>
          <w:tab w:val="left" w:pos="840"/>
          <w:tab w:val="left" w:pos="868"/>
        </w:tabs>
        <w:spacing w:after="120"/>
        <w:ind w:firstLine="0"/>
        <w:jc w:val="center"/>
        <w:rPr>
          <w:b/>
        </w:rPr>
      </w:pPr>
      <w:r w:rsidRPr="0076604A">
        <w:rPr>
          <w:b/>
        </w:rPr>
        <w:t>Pozemkové úpravy v územích s nedokončeným scelovacím řízením</w:t>
      </w:r>
    </w:p>
    <w:p w14:paraId="7D3E58C3" w14:textId="6F3F9318" w:rsidR="00832471" w:rsidRDefault="00832471" w:rsidP="0055341F">
      <w:pPr>
        <w:pStyle w:val="Textparagrafu"/>
        <w:tabs>
          <w:tab w:val="left" w:pos="406"/>
          <w:tab w:val="left" w:pos="840"/>
          <w:tab w:val="left" w:pos="868"/>
        </w:tabs>
        <w:spacing w:before="120" w:after="120"/>
      </w:pPr>
      <w:r>
        <w:t xml:space="preserve">(1) Předmětem pozemkových úprav v katastrálních územích s nedokončeným scelovacím řízením jsou všechny pozemky nacházející se v katastrálním území, ve kterém nebylo dokončeno scelovací řízení podle dříve platných </w:t>
      </w:r>
      <w:r w:rsidR="001747F0">
        <w:t xml:space="preserve">zvláštních právních předpisů </w:t>
      </w:r>
      <w:r w:rsidR="001747F0">
        <w:rPr>
          <w:rStyle w:val="Znakapoznpodarou"/>
        </w:rPr>
        <w:footnoteReference w:customMarkFollows="1" w:id="439"/>
        <w:t>35)</w:t>
      </w:r>
      <w:r>
        <w:t xml:space="preserve"> (dále jen "scelování"), bez ohledu na dosavadní způsob jejich využití a existující vlastnické a užívací vztahy k nim. Ustanovení § 3 odst. 3 se nepoužije. Do obvodu pozemkové úpravy lze zahrnout i pozemky, které nebyly dotčeny nedokončeným scelovacím řízením.</w:t>
      </w:r>
    </w:p>
    <w:p w14:paraId="41CF0FDD" w14:textId="676E05C6" w:rsidR="00832471" w:rsidRDefault="00832471" w:rsidP="0055341F">
      <w:pPr>
        <w:pStyle w:val="Textparagrafu"/>
        <w:tabs>
          <w:tab w:val="left" w:pos="406"/>
          <w:tab w:val="left" w:pos="840"/>
          <w:tab w:val="left" w:pos="868"/>
        </w:tabs>
        <w:spacing w:before="120" w:after="120"/>
      </w:pPr>
      <w:r>
        <w:lastRenderedPageBreak/>
        <w:t xml:space="preserve">(2) V katastrálním území, ve kterém nebylo dokončeno scelování a katastr nemovitostí vede vlastnictví k pozemkům v souladu s návrhem scelovacího </w:t>
      </w:r>
      <w:proofErr w:type="gramStart"/>
      <w:r>
        <w:t>plánu,</w:t>
      </w:r>
      <w:r w:rsidRPr="001747F0">
        <w:rPr>
          <w:vertAlign w:val="superscript"/>
        </w:rPr>
        <w:t>35</w:t>
      </w:r>
      <w:proofErr w:type="gramEnd"/>
      <w:r w:rsidRPr="001747F0">
        <w:rPr>
          <w:vertAlign w:val="superscript"/>
        </w:rPr>
        <w:t>)</w:t>
      </w:r>
      <w:r>
        <w:t xml:space="preserve"> platí, že vzniklo vlastnictví k pozemkům podle tohoto návrhu.</w:t>
      </w:r>
    </w:p>
    <w:p w14:paraId="0A934145" w14:textId="0D9C089B" w:rsidR="00832471" w:rsidRDefault="00832471" w:rsidP="0055341F">
      <w:pPr>
        <w:pStyle w:val="Textparagrafu"/>
        <w:tabs>
          <w:tab w:val="left" w:pos="406"/>
          <w:tab w:val="left" w:pos="840"/>
          <w:tab w:val="left" w:pos="868"/>
        </w:tabs>
        <w:spacing w:before="120" w:after="120"/>
      </w:pPr>
      <w:r>
        <w:t>(3) Po projednání s katastrálním úřadem může pozemkový úřad vyloučit z pozemkových úprav pozemky, které nejsou třeba pro dosažení účelu pozemkových úprav, a stanoví obvod pozemkových úprav.</w:t>
      </w:r>
    </w:p>
    <w:p w14:paraId="64ADCD9A" w14:textId="32E86064" w:rsidR="00832471" w:rsidRDefault="00832471" w:rsidP="0055341F">
      <w:pPr>
        <w:pStyle w:val="Textparagrafu"/>
        <w:tabs>
          <w:tab w:val="left" w:pos="406"/>
          <w:tab w:val="left" w:pos="840"/>
          <w:tab w:val="left" w:pos="868"/>
        </w:tabs>
        <w:spacing w:before="120" w:after="120"/>
      </w:pPr>
      <w:r>
        <w:t xml:space="preserve">(4) Pozemkový úřad zabezpečí vypracování soupisu nároků vlastníků pozemků (dále jen "soupis nároků") podle jejich výměry a </w:t>
      </w:r>
      <w:r w:rsidRPr="00423C22">
        <w:rPr>
          <w:strike/>
        </w:rPr>
        <w:t>ceny</w:t>
      </w:r>
      <w:r w:rsidR="00423C22">
        <w:t xml:space="preserve"> </w:t>
      </w:r>
      <w:r w:rsidR="00423C22">
        <w:rPr>
          <w:b/>
        </w:rPr>
        <w:t>hodnoty</w:t>
      </w:r>
      <w:r>
        <w:t xml:space="preserve">. Podkladem pro vypracování soupisu nároků jsou údaje o vlastnických vztazích k pozemkům vedené v katastru nemovitostí. </w:t>
      </w:r>
      <w:r w:rsidRPr="00423C22">
        <w:rPr>
          <w:strike/>
        </w:rPr>
        <w:t xml:space="preserve">Cena pozemků se </w:t>
      </w:r>
      <w:proofErr w:type="gramStart"/>
      <w:r w:rsidRPr="00423C22">
        <w:rPr>
          <w:strike/>
        </w:rPr>
        <w:t>určuje</w:t>
      </w:r>
      <w:proofErr w:type="gramEnd"/>
      <w:r w:rsidRPr="00423C22">
        <w:rPr>
          <w:strike/>
        </w:rPr>
        <w:t xml:space="preserve"> podle zvláštního právního předpisu</w:t>
      </w:r>
      <w:r w:rsidR="00423C22" w:rsidRPr="00423C22">
        <w:rPr>
          <w:b/>
        </w:rPr>
        <w:t xml:space="preserve"> </w:t>
      </w:r>
      <w:r w:rsidR="00423C22" w:rsidRPr="00166AF2">
        <w:rPr>
          <w:b/>
        </w:rPr>
        <w:t xml:space="preserve">Hodnota pozemků se </w:t>
      </w:r>
      <w:proofErr w:type="gramStart"/>
      <w:r w:rsidR="00423C22" w:rsidRPr="00166AF2">
        <w:rPr>
          <w:b/>
        </w:rPr>
        <w:t>určuje</w:t>
      </w:r>
      <w:proofErr w:type="gramEnd"/>
      <w:r w:rsidR="00423C22" w:rsidRPr="00166AF2">
        <w:rPr>
          <w:b/>
        </w:rPr>
        <w:t xml:space="preserve"> jako zjištěná hodnota podle zákona o oceňování</w:t>
      </w:r>
      <w:r w:rsidR="00423C22" w:rsidRPr="001747F0">
        <w:rPr>
          <w:vertAlign w:val="superscript"/>
        </w:rPr>
        <w:t xml:space="preserve"> </w:t>
      </w:r>
      <w:r w:rsidRPr="001747F0">
        <w:rPr>
          <w:vertAlign w:val="superscript"/>
        </w:rPr>
        <w:t>14)</w:t>
      </w:r>
      <w:r>
        <w:t xml:space="preserve"> platného ke dni vyložení soupisu nároků podle § 8 odst. 1 nebo podle druhu pozemku vedeného v bývalém pozemkovém katastru před zahájením scelování, oceněného podle zvláštního právního předpisu platného ke dni vyložení nároků podle § 8 odst. 1. Pozemkový úřad na úvodním jednání stanoví, podle kterého z uvedených způsobů ocenění se bude postupovat.</w:t>
      </w:r>
    </w:p>
    <w:p w14:paraId="1EC74114" w14:textId="71DC646C" w:rsidR="00832471" w:rsidRDefault="00832471" w:rsidP="0055341F">
      <w:pPr>
        <w:pStyle w:val="Textparagrafu"/>
        <w:tabs>
          <w:tab w:val="left" w:pos="406"/>
          <w:tab w:val="left" w:pos="840"/>
          <w:tab w:val="left" w:pos="868"/>
        </w:tabs>
        <w:spacing w:before="120" w:after="120"/>
      </w:pPr>
      <w:r>
        <w:t>(5) Pokud z údajů scelovacího operátu, který je založen u katastrálního úřadu, vyplývá, že některý účastník scelování neobdržel náhradu za své pozemky pojaté do scelování, může pozemkový úřad po projednání s katastrálním úřadem tomuto účastníkovi, popřípadě jeho dědici stanovit nárok na pozemky ve výměře odpovídající neposkytnuté náhradě, je-li potřebná výměra pozemků v obvodu pozemkových úprav k dispozici.</w:t>
      </w:r>
    </w:p>
    <w:p w14:paraId="5D185EBA" w14:textId="0A12EE08" w:rsidR="00832471" w:rsidRDefault="00832471" w:rsidP="0055341F">
      <w:pPr>
        <w:pStyle w:val="Textparagrafu"/>
        <w:tabs>
          <w:tab w:val="left" w:pos="406"/>
          <w:tab w:val="left" w:pos="840"/>
          <w:tab w:val="left" w:pos="868"/>
        </w:tabs>
        <w:spacing w:before="120" w:after="120"/>
      </w:pPr>
      <w:r>
        <w:t xml:space="preserve">(6) Jsou-li v důsledku nedokončeného scelování u některých pozemků nebo jejich částí zapsány v katastru nemovitostí jako vlastníci 2 nebo více osob a </w:t>
      </w:r>
      <w:r w:rsidR="001747F0">
        <w:t>nejde-li o spoluvlastnictví,</w:t>
      </w:r>
      <w:r w:rsidR="001747F0">
        <w:rPr>
          <w:rStyle w:val="Znakapoznpodarou"/>
        </w:rPr>
        <w:footnoteReference w:customMarkFollows="1" w:id="440"/>
        <w:t xml:space="preserve">36) </w:t>
      </w:r>
      <w:r>
        <w:t>potom</w:t>
      </w:r>
    </w:p>
    <w:p w14:paraId="3C8F2930" w14:textId="4BD38DC6" w:rsidR="00832471" w:rsidRDefault="00832471" w:rsidP="0055341F">
      <w:pPr>
        <w:pStyle w:val="Textparagrafu"/>
        <w:tabs>
          <w:tab w:val="left" w:pos="406"/>
          <w:tab w:val="left" w:pos="840"/>
          <w:tab w:val="left" w:pos="868"/>
        </w:tabs>
        <w:spacing w:before="0"/>
        <w:ind w:left="425" w:hanging="425"/>
      </w:pPr>
      <w:r>
        <w:t>a)</w:t>
      </w:r>
      <w:r w:rsidR="00211970">
        <w:tab/>
      </w:r>
      <w:r>
        <w:t>je vlastníkem takového pozemku osoba nebo její právní nástupce, která sama pozemek nepřetržitě užívá od doby jeho převzetí ve scelování, nebo</w:t>
      </w:r>
    </w:p>
    <w:p w14:paraId="3DAB1C9D" w14:textId="326B35D0" w:rsidR="00832471" w:rsidRDefault="00832471" w:rsidP="0055341F">
      <w:pPr>
        <w:pStyle w:val="Textparagrafu"/>
        <w:tabs>
          <w:tab w:val="left" w:pos="406"/>
          <w:tab w:val="left" w:pos="840"/>
          <w:tab w:val="left" w:pos="868"/>
        </w:tabs>
        <w:spacing w:before="0"/>
        <w:ind w:left="425" w:hanging="425"/>
      </w:pPr>
      <w:r>
        <w:t>b)</w:t>
      </w:r>
      <w:r w:rsidR="00211970">
        <w:tab/>
      </w:r>
      <w:r>
        <w:t>je vlastníkem takového pozemku osoba nebo její právní nástupce, které vlastnické právo k předmětným pozemkům náleželo před zahájením scelování.</w:t>
      </w:r>
    </w:p>
    <w:p w14:paraId="01E950B2" w14:textId="21964741" w:rsidR="00832471" w:rsidRDefault="00832471" w:rsidP="0055341F">
      <w:pPr>
        <w:pStyle w:val="Textparagrafu"/>
        <w:tabs>
          <w:tab w:val="left" w:pos="406"/>
          <w:tab w:val="left" w:pos="840"/>
          <w:tab w:val="left" w:pos="868"/>
        </w:tabs>
        <w:spacing w:before="120" w:after="120"/>
      </w:pPr>
      <w:r>
        <w:t>(7) Osoby, jimž není založeno vlastnictví podle odstavce 6 písm. a) nebo b), mají právo na náhradu.</w:t>
      </w:r>
    </w:p>
    <w:p w14:paraId="413EC27C" w14:textId="12C665F5" w:rsidR="00832471" w:rsidRDefault="00832471" w:rsidP="0055341F">
      <w:pPr>
        <w:pStyle w:val="Textparagrafu"/>
        <w:tabs>
          <w:tab w:val="left" w:pos="406"/>
          <w:tab w:val="left" w:pos="840"/>
          <w:tab w:val="left" w:pos="868"/>
        </w:tabs>
        <w:spacing w:before="120" w:after="120"/>
      </w:pPr>
      <w:r>
        <w:t>(8) Osoba, které vzniklo právo na náhradu podle odstavce 7, obdrží</w:t>
      </w:r>
    </w:p>
    <w:p w14:paraId="6DAD5B4A" w14:textId="1CEC11E6" w:rsidR="00832471" w:rsidRDefault="00211970" w:rsidP="0055341F">
      <w:pPr>
        <w:pStyle w:val="Textparagrafu"/>
        <w:tabs>
          <w:tab w:val="left" w:pos="406"/>
          <w:tab w:val="left" w:pos="840"/>
          <w:tab w:val="left" w:pos="868"/>
        </w:tabs>
        <w:spacing w:before="0"/>
        <w:ind w:left="425" w:hanging="425"/>
      </w:pPr>
      <w:r>
        <w:t>a)</w:t>
      </w:r>
      <w:r>
        <w:tab/>
      </w:r>
      <w:r w:rsidR="00832471">
        <w:t xml:space="preserve">za pozemek v zastavěném území nebo v zastavitelných plochách peněžitou náhradu, nebude-li jí možno poskytnout jako náhradu jiný přiměřený pozemek. Výši peněžité náhrady poskytne pozemkový úřad podle zvláštního právního </w:t>
      </w:r>
      <w:proofErr w:type="gramStart"/>
      <w:r w:rsidR="00832471">
        <w:t>předpisu,</w:t>
      </w:r>
      <w:r w:rsidR="00832471" w:rsidRPr="00211970">
        <w:rPr>
          <w:vertAlign w:val="superscript"/>
        </w:rPr>
        <w:t>14</w:t>
      </w:r>
      <w:proofErr w:type="gramEnd"/>
      <w:r w:rsidR="00832471" w:rsidRPr="00211970">
        <w:rPr>
          <w:vertAlign w:val="superscript"/>
        </w:rPr>
        <w:t>)</w:t>
      </w:r>
    </w:p>
    <w:p w14:paraId="025E0493" w14:textId="70DC5DA7" w:rsidR="00832471" w:rsidRDefault="00832471" w:rsidP="0055341F">
      <w:pPr>
        <w:pStyle w:val="Textparagrafu"/>
        <w:tabs>
          <w:tab w:val="left" w:pos="406"/>
          <w:tab w:val="left" w:pos="840"/>
          <w:tab w:val="left" w:pos="868"/>
        </w:tabs>
        <w:spacing w:before="0"/>
        <w:ind w:left="425" w:hanging="425"/>
      </w:pPr>
      <w:r>
        <w:t>b)</w:t>
      </w:r>
      <w:r w:rsidR="00211970">
        <w:tab/>
      </w:r>
      <w:r>
        <w:t xml:space="preserve">za zemědělský pozemek, popřípadě lesní pozemek náhradu v jiném přiměřeném pozemku podle původního druhu před zahájením scelování; nebude-li jí možno poskytnout jako náhradu jiný přiměřený pozemek z majetku České republiky, poskytne jí pozemkový úřad peněžitou náhradu ve výši stanovené podle zvláštního právního </w:t>
      </w:r>
      <w:proofErr w:type="gramStart"/>
      <w:r>
        <w:t>předpisu.</w:t>
      </w:r>
      <w:r w:rsidRPr="00211970">
        <w:rPr>
          <w:vertAlign w:val="superscript"/>
        </w:rPr>
        <w:t>14</w:t>
      </w:r>
      <w:proofErr w:type="gramEnd"/>
      <w:r w:rsidRPr="00211970">
        <w:rPr>
          <w:vertAlign w:val="superscript"/>
        </w:rPr>
        <w:t>)</w:t>
      </w:r>
    </w:p>
    <w:p w14:paraId="5DFF6CFD" w14:textId="657896A6" w:rsidR="00832471" w:rsidRDefault="00832471" w:rsidP="001A2F47">
      <w:pPr>
        <w:pStyle w:val="Textparagrafu"/>
        <w:tabs>
          <w:tab w:val="left" w:pos="406"/>
          <w:tab w:val="left" w:pos="840"/>
          <w:tab w:val="left" w:pos="868"/>
        </w:tabs>
        <w:spacing w:after="120"/>
      </w:pPr>
      <w:r>
        <w:t xml:space="preserve">(9) Pokud účastník scelování převzal podle návrhu scelovacího plánu do užívání za pozemky, s nimiž vstoupil do scelování a které doposud vlastní, pozemky náhradní ve vlastnictví jiných vlastníků a tyto pozemky sám nebo jeho právní nástupce dosud užívá a vlastní stavbu umístěnou na některém z těchto pozemků, nebo jde o pozemek s trvalým porostem (sad, vinice aj.), popřípadě zahradu, pozemkový úřad rozhodne o přechodu vlastnického práva </w:t>
      </w:r>
      <w:r>
        <w:lastRenderedPageBreak/>
        <w:t>předmětného pozemku na jeho uživatele. Dosavadní vlastník obdrží náhradu v jiném pozemku podle druhu před zahájením scelování. Nebude-li možno dosavadnímu vlastníkovi poskytnout jako náhradu jiný pozemek z majetku České republiky, poskytne mu pozemkový úřad peněžitou náhradu ve výši stanovené podle zvláštních právních předpisů</w:t>
      </w:r>
      <w:r w:rsidRPr="00211970">
        <w:rPr>
          <w:vertAlign w:val="superscript"/>
        </w:rPr>
        <w:t>14)</w:t>
      </w:r>
      <w:r>
        <w:t>.</w:t>
      </w:r>
    </w:p>
    <w:p w14:paraId="7ED080FF" w14:textId="7CC17B1C" w:rsidR="00832471" w:rsidRDefault="00832471" w:rsidP="0055341F">
      <w:pPr>
        <w:pStyle w:val="Textparagrafu"/>
        <w:tabs>
          <w:tab w:val="left" w:pos="406"/>
          <w:tab w:val="left" w:pos="840"/>
          <w:tab w:val="left" w:pos="868"/>
        </w:tabs>
        <w:spacing w:before="120" w:after="120"/>
      </w:pPr>
      <w:r>
        <w:t>(10) V případech, kdy došlo k prodeji, popřípadě k vyvlastnění podle zvláštních právních předpisů</w:t>
      </w:r>
      <w:r w:rsidRPr="0055341F">
        <w:rPr>
          <w:vertAlign w:val="superscript"/>
        </w:rPr>
        <w:t>4)</w:t>
      </w:r>
      <w:r>
        <w:t xml:space="preserve"> a náhrada byla vyplacena jen jedné z osob zapsané jako vlastník pozemku (odstavec 6) nebo uživateli pozemku, jde-li o případ podle odstavce 9, upraví se nároky vlastníků tak, že se nárok zvýší osobě, která neobdržela náhradu, a sníží osobě, která náhradu obdržela, a to o příslušnou výměru původního pozemku téhož druhu.</w:t>
      </w:r>
    </w:p>
    <w:p w14:paraId="18AF5475" w14:textId="238CAEE7" w:rsidR="00832471" w:rsidRDefault="00832471" w:rsidP="0055341F">
      <w:pPr>
        <w:pStyle w:val="Textparagrafu"/>
        <w:tabs>
          <w:tab w:val="left" w:pos="406"/>
          <w:tab w:val="left" w:pos="840"/>
          <w:tab w:val="left" w:pos="868"/>
        </w:tabs>
        <w:spacing w:before="120" w:after="120"/>
      </w:pPr>
      <w:r>
        <w:t>(11) V případě, že osoba uvedená v odstavcích 8 a 9 odmítne převzít peněžitou náhradu, pozemkový úřad zabezpečí složení příslušné peně</w:t>
      </w:r>
      <w:r w:rsidR="001A2F47">
        <w:t>žité částky do úschovy soudu.</w:t>
      </w:r>
      <w:r w:rsidR="001A2F47">
        <w:rPr>
          <w:rStyle w:val="Znakapoznpodarou"/>
        </w:rPr>
        <w:footnoteReference w:customMarkFollows="1" w:id="441"/>
        <w:t>38)</w:t>
      </w:r>
    </w:p>
    <w:p w14:paraId="70F02E1A" w14:textId="34E4493C" w:rsidR="00832471" w:rsidRDefault="00832471" w:rsidP="0055341F">
      <w:pPr>
        <w:pStyle w:val="Textparagrafu"/>
        <w:tabs>
          <w:tab w:val="left" w:pos="406"/>
          <w:tab w:val="left" w:pos="840"/>
          <w:tab w:val="left" w:pos="868"/>
        </w:tabs>
        <w:spacing w:before="120" w:after="120"/>
      </w:pPr>
      <w:r>
        <w:t>(12) Součástí výroku rozhodnutí o schválení návrhu je též ustanovení o poskytnutí peněžité náhrady podle odstavců 8 a 9.</w:t>
      </w:r>
    </w:p>
    <w:p w14:paraId="42162988" w14:textId="1F0C2BC3" w:rsidR="00832471" w:rsidRDefault="00832471" w:rsidP="0055341F">
      <w:pPr>
        <w:pStyle w:val="Textparagrafu"/>
        <w:tabs>
          <w:tab w:val="left" w:pos="406"/>
          <w:tab w:val="left" w:pos="840"/>
          <w:tab w:val="left" w:pos="868"/>
        </w:tabs>
        <w:spacing w:before="120" w:after="120"/>
      </w:pPr>
      <w:r>
        <w:t>(13) Jestliže v pozemkových úpravách, vznikne v celkové bilanci za obvod pozemkových úprav přebytek výměry řešených pozemků, jde o pozemky ve vlastnictví státu.</w:t>
      </w:r>
    </w:p>
    <w:p w14:paraId="3C5BABE6" w14:textId="77777777" w:rsidR="00423C22" w:rsidRDefault="00832471" w:rsidP="0055341F">
      <w:pPr>
        <w:pStyle w:val="Textparagrafu"/>
        <w:tabs>
          <w:tab w:val="left" w:pos="406"/>
          <w:tab w:val="left" w:pos="840"/>
          <w:tab w:val="left" w:pos="868"/>
        </w:tabs>
        <w:spacing w:before="120" w:after="120"/>
        <w:sectPr w:rsidR="00423C22" w:rsidSect="00554E2B">
          <w:footnotePr>
            <w:numStart w:val="3"/>
          </w:footnotePr>
          <w:endnotePr>
            <w:numFmt w:val="decimal"/>
          </w:endnotePr>
          <w:pgSz w:w="11906" w:h="16838"/>
          <w:pgMar w:top="1418" w:right="1418" w:bottom="1418" w:left="1418" w:header="709" w:footer="709" w:gutter="0"/>
          <w:cols w:space="708"/>
          <w:docGrid w:linePitch="360"/>
        </w:sectPr>
      </w:pPr>
      <w:r>
        <w:t>(14) Pokud není stanoveno jinak, postupuje se v řízení o pozemkových úpravách v území s nedokončeným scelováním podle ostatních ustanovení tohoto zákona.</w:t>
      </w:r>
    </w:p>
    <w:p w14:paraId="5106106E" w14:textId="0C266055" w:rsidR="00423C22" w:rsidRPr="00036C64" w:rsidRDefault="00423C22" w:rsidP="0055341F">
      <w:pPr>
        <w:tabs>
          <w:tab w:val="left" w:pos="851"/>
        </w:tabs>
        <w:spacing w:before="120" w:after="120"/>
        <w:ind w:firstLine="0"/>
        <w:jc w:val="center"/>
        <w:outlineLvl w:val="0"/>
        <w:rPr>
          <w:szCs w:val="24"/>
        </w:rPr>
      </w:pPr>
      <w:r w:rsidRPr="00036C64">
        <w:rPr>
          <w:b/>
          <w:szCs w:val="24"/>
        </w:rPr>
        <w:lastRenderedPageBreak/>
        <w:t xml:space="preserve">K části </w:t>
      </w:r>
      <w:r w:rsidR="00C30B17">
        <w:rPr>
          <w:b/>
          <w:szCs w:val="24"/>
        </w:rPr>
        <w:t>sedmdesáté</w:t>
      </w:r>
      <w:r>
        <w:rPr>
          <w:b/>
          <w:szCs w:val="24"/>
        </w:rPr>
        <w:t xml:space="preserve"> </w:t>
      </w:r>
      <w:r w:rsidRPr="00036C64">
        <w:rPr>
          <w:b/>
          <w:szCs w:val="24"/>
        </w:rPr>
        <w:t xml:space="preserve">návrhu zákona – </w:t>
      </w:r>
      <w:r w:rsidRPr="00036C64">
        <w:rPr>
          <w:szCs w:val="24"/>
        </w:rPr>
        <w:t>změna zákona</w:t>
      </w:r>
      <w:r w:rsidRPr="00036C64">
        <w:t xml:space="preserve"> </w:t>
      </w:r>
      <w:r w:rsidRPr="00423C22">
        <w:rPr>
          <w:szCs w:val="24"/>
        </w:rPr>
        <w:t>o Státní zemědělské a potravinářské inspekci a o změně některých souvisejících zákonů</w:t>
      </w:r>
    </w:p>
    <w:p w14:paraId="70B124C0" w14:textId="6CF332F3" w:rsidR="00423C22" w:rsidRDefault="00423C22" w:rsidP="00423C22">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78706D">
        <w:rPr>
          <w:b/>
          <w:szCs w:val="24"/>
        </w:rPr>
        <w:t>Platné znění</w:t>
      </w:r>
      <w:r>
        <w:rPr>
          <w:szCs w:val="24"/>
        </w:rPr>
        <w:t xml:space="preserve"> zákona č.146</w:t>
      </w:r>
      <w:r w:rsidRPr="0078706D">
        <w:rPr>
          <w:szCs w:val="24"/>
        </w:rPr>
        <w:t xml:space="preserve">/2002 Sb., </w:t>
      </w:r>
      <w:r w:rsidRPr="00423C22">
        <w:rPr>
          <w:szCs w:val="24"/>
        </w:rPr>
        <w:t>o Státní zemědělské a potravinářské inspekci a o změně některých souvisejících zákonů</w:t>
      </w:r>
    </w:p>
    <w:p w14:paraId="56DBBCF4" w14:textId="74B6AA07" w:rsidR="00423C22" w:rsidRPr="0078706D" w:rsidRDefault="0055341F" w:rsidP="00423C22">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AE4818">
        <w:rPr>
          <w:b/>
          <w:szCs w:val="24"/>
          <w:lang w:eastAsia="en-US"/>
        </w:rPr>
        <w:t>s vyznačením navrhovaných změn a doplnění k 1. lednu 2025</w:t>
      </w:r>
    </w:p>
    <w:p w14:paraId="06513730" w14:textId="77777777" w:rsidR="001B2667" w:rsidRDefault="001B2667" w:rsidP="001B2667">
      <w:pPr>
        <w:pStyle w:val="Textparagrafu"/>
        <w:numPr>
          <w:ilvl w:val="0"/>
          <w:numId w:val="27"/>
        </w:numPr>
        <w:tabs>
          <w:tab w:val="left" w:pos="392"/>
          <w:tab w:val="left" w:pos="840"/>
        </w:tabs>
        <w:spacing w:after="120"/>
        <w:jc w:val="center"/>
      </w:pPr>
      <w:r w:rsidRPr="001806D5">
        <w:t>§</w:t>
      </w:r>
      <w:r>
        <w:t xml:space="preserve"> </w:t>
      </w:r>
      <w:r w:rsidRPr="001806D5">
        <w:t>1</w:t>
      </w:r>
    </w:p>
    <w:p w14:paraId="74BECF34" w14:textId="77777777" w:rsidR="001B2667" w:rsidRDefault="001B2667" w:rsidP="0055341F">
      <w:pPr>
        <w:pStyle w:val="Textparagrafu"/>
        <w:tabs>
          <w:tab w:val="left" w:pos="392"/>
          <w:tab w:val="left" w:pos="840"/>
          <w:tab w:val="left" w:pos="868"/>
        </w:tabs>
        <w:spacing w:before="120" w:after="120"/>
      </w:pPr>
      <w:r w:rsidRPr="001806D5">
        <w:t>(1)</w:t>
      </w:r>
      <w:r>
        <w:t xml:space="preserve"> </w:t>
      </w:r>
      <w:r w:rsidRPr="001806D5">
        <w:t>Účelem</w:t>
      </w:r>
      <w:r>
        <w:t xml:space="preserve"> </w:t>
      </w:r>
      <w:r w:rsidRPr="001806D5">
        <w:t>zákona</w:t>
      </w:r>
      <w:r>
        <w:t xml:space="preserve"> </w:t>
      </w:r>
      <w:r w:rsidRPr="001806D5">
        <w:t>je</w:t>
      </w:r>
      <w:r>
        <w:t xml:space="preserve"> </w:t>
      </w:r>
      <w:r w:rsidRPr="001806D5">
        <w:t>zřízení</w:t>
      </w:r>
      <w:r>
        <w:t xml:space="preserve"> </w:t>
      </w:r>
      <w:r w:rsidRPr="001806D5">
        <w:t>Státní</w:t>
      </w:r>
      <w:r>
        <w:t xml:space="preserve"> </w:t>
      </w:r>
      <w:r w:rsidRPr="001806D5">
        <w:t>zemědělské</w:t>
      </w:r>
      <w:r>
        <w:t xml:space="preserve"> </w:t>
      </w:r>
      <w:r w:rsidRPr="001806D5">
        <w:t>a</w:t>
      </w:r>
      <w:r>
        <w:t xml:space="preserve"> </w:t>
      </w:r>
      <w:r w:rsidRPr="001806D5">
        <w:t>potravinářské</w:t>
      </w:r>
      <w:r>
        <w:t xml:space="preserve"> </w:t>
      </w:r>
      <w:r w:rsidRPr="001806D5">
        <w:t>inspekce</w:t>
      </w:r>
      <w:r>
        <w:t xml:space="preserve"> </w:t>
      </w:r>
      <w:r w:rsidRPr="001806D5">
        <w:t>(dále</w:t>
      </w:r>
      <w:r>
        <w:t xml:space="preserve"> </w:t>
      </w:r>
      <w:r w:rsidRPr="001806D5">
        <w:t>jen</w:t>
      </w:r>
      <w:r>
        <w:t xml:space="preserve"> </w:t>
      </w:r>
      <w:r w:rsidRPr="001806D5">
        <w:t>"inspekce"),</w:t>
      </w:r>
      <w:r>
        <w:t xml:space="preserve"> </w:t>
      </w:r>
      <w:r w:rsidRPr="001806D5">
        <w:t>která</w:t>
      </w:r>
      <w:r>
        <w:t xml:space="preserve"> </w:t>
      </w:r>
      <w:r w:rsidRPr="001806D5">
        <w:t>je</w:t>
      </w:r>
      <w:r>
        <w:t xml:space="preserve"> </w:t>
      </w:r>
      <w:r w:rsidRPr="001806D5">
        <w:t>správním</w:t>
      </w:r>
      <w:r>
        <w:t xml:space="preserve"> </w:t>
      </w:r>
      <w:r w:rsidRPr="001806D5">
        <w:t>úřadem</w:t>
      </w:r>
      <w:r>
        <w:t xml:space="preserve"> </w:t>
      </w:r>
      <w:r w:rsidRPr="001806D5">
        <w:t>podřízeným</w:t>
      </w:r>
      <w:r>
        <w:t xml:space="preserve"> </w:t>
      </w:r>
      <w:r w:rsidRPr="001806D5">
        <w:t>Ministerstvu</w:t>
      </w:r>
      <w:r>
        <w:t xml:space="preserve"> </w:t>
      </w:r>
      <w:r w:rsidRPr="001806D5">
        <w:t>zemědělství</w:t>
      </w:r>
      <w:r>
        <w:t xml:space="preserve"> </w:t>
      </w:r>
      <w:r w:rsidRPr="001806D5">
        <w:t>(dále</w:t>
      </w:r>
      <w:r>
        <w:t xml:space="preserve"> </w:t>
      </w:r>
      <w:r w:rsidRPr="001806D5">
        <w:t>jen</w:t>
      </w:r>
      <w:r>
        <w:t xml:space="preserve"> </w:t>
      </w:r>
      <w:r w:rsidRPr="001806D5">
        <w:t>"ministerstvo"),</w:t>
      </w:r>
      <w:r>
        <w:t xml:space="preserve"> </w:t>
      </w:r>
      <w:r w:rsidRPr="001806D5">
        <w:t>a</w:t>
      </w:r>
      <w:r>
        <w:t xml:space="preserve"> </w:t>
      </w:r>
      <w:r w:rsidRPr="001806D5">
        <w:t>stanovit</w:t>
      </w:r>
      <w:r>
        <w:t xml:space="preserve"> </w:t>
      </w:r>
      <w:r w:rsidRPr="001806D5">
        <w:t>její</w:t>
      </w:r>
      <w:r>
        <w:t xml:space="preserve"> </w:t>
      </w:r>
      <w:r w:rsidRPr="001806D5">
        <w:t>působnost</w:t>
      </w:r>
      <w:r>
        <w:t xml:space="preserve"> </w:t>
      </w:r>
      <w:r w:rsidRPr="001806D5">
        <w:t>pro</w:t>
      </w:r>
      <w:r>
        <w:t xml:space="preserve"> </w:t>
      </w:r>
      <w:r w:rsidRPr="001806D5">
        <w:t>výkon</w:t>
      </w:r>
      <w:r>
        <w:t xml:space="preserve"> </w:t>
      </w:r>
      <w:r w:rsidRPr="001806D5">
        <w:t>státního</w:t>
      </w:r>
      <w:r>
        <w:t xml:space="preserve"> </w:t>
      </w:r>
      <w:r w:rsidRPr="001806D5">
        <w:t>dozoru.</w:t>
      </w:r>
    </w:p>
    <w:p w14:paraId="571FE285" w14:textId="77777777" w:rsidR="001B2667" w:rsidRPr="001806D5" w:rsidRDefault="001B2667" w:rsidP="0055341F">
      <w:pPr>
        <w:pStyle w:val="Textparagrafu"/>
        <w:tabs>
          <w:tab w:val="left" w:pos="392"/>
          <w:tab w:val="left" w:pos="840"/>
          <w:tab w:val="left" w:pos="868"/>
        </w:tabs>
        <w:spacing w:before="120" w:after="120"/>
      </w:pPr>
      <w:r w:rsidRPr="001806D5">
        <w:t>(2)</w:t>
      </w:r>
      <w:r>
        <w:t xml:space="preserve"> </w:t>
      </w:r>
      <w:r w:rsidRPr="001806D5">
        <w:t>Zřizuje</w:t>
      </w:r>
      <w:r>
        <w:t xml:space="preserve"> </w:t>
      </w:r>
      <w:r w:rsidRPr="001806D5">
        <w:t>se</w:t>
      </w:r>
      <w:r>
        <w:t xml:space="preserve"> </w:t>
      </w:r>
      <w:r w:rsidRPr="001806D5">
        <w:t>inspekce,</w:t>
      </w:r>
      <w:r>
        <w:t xml:space="preserve"> </w:t>
      </w:r>
      <w:r w:rsidRPr="001806D5">
        <w:t>kterou</w:t>
      </w:r>
      <w:r>
        <w:t xml:space="preserve"> </w:t>
      </w:r>
      <w:r w:rsidRPr="001806D5">
        <w:t>tvoří</w:t>
      </w:r>
      <w:r>
        <w:t xml:space="preserve"> </w:t>
      </w:r>
      <w:r w:rsidRPr="001806D5">
        <w:t>ústřední</w:t>
      </w:r>
      <w:r>
        <w:t xml:space="preserve"> </w:t>
      </w:r>
      <w:r w:rsidRPr="001806D5">
        <w:t>inspektorát</w:t>
      </w:r>
      <w:r>
        <w:t xml:space="preserve"> </w:t>
      </w:r>
      <w:r w:rsidRPr="001806D5">
        <w:t>a</w:t>
      </w:r>
      <w:r>
        <w:t xml:space="preserve"> </w:t>
      </w:r>
      <w:r w:rsidRPr="001806D5">
        <w:t>jemu</w:t>
      </w:r>
      <w:r>
        <w:t xml:space="preserve"> </w:t>
      </w:r>
      <w:r w:rsidRPr="001806D5">
        <w:t>podřízené</w:t>
      </w:r>
      <w:r>
        <w:t xml:space="preserve"> </w:t>
      </w:r>
      <w:r w:rsidRPr="001806D5">
        <w:t>inspektoráty</w:t>
      </w:r>
      <w:r>
        <w:t xml:space="preserve"> </w:t>
      </w:r>
      <w:r w:rsidRPr="001806D5">
        <w:t>mající</w:t>
      </w:r>
      <w:r>
        <w:t xml:space="preserve"> </w:t>
      </w:r>
      <w:r w:rsidRPr="001806D5">
        <w:t>územní</w:t>
      </w:r>
      <w:r>
        <w:t xml:space="preserve"> </w:t>
      </w:r>
      <w:r w:rsidRPr="001806D5">
        <w:t>působnost</w:t>
      </w:r>
      <w:r>
        <w:t xml:space="preserve"> </w:t>
      </w:r>
      <w:r w:rsidRPr="001806D5">
        <w:t>pro</w:t>
      </w:r>
      <w:r>
        <w:t xml:space="preserve"> </w:t>
      </w:r>
      <w:r w:rsidRPr="001806D5">
        <w:t>tyto</w:t>
      </w:r>
      <w:r>
        <w:t xml:space="preserve"> </w:t>
      </w:r>
      <w:r w:rsidRPr="001806D5">
        <w:t>kraje</w:t>
      </w:r>
      <w:r>
        <w:t xml:space="preserve"> </w:t>
      </w:r>
      <w:r w:rsidRPr="001806D5">
        <w:t>(dále</w:t>
      </w:r>
      <w:r>
        <w:t xml:space="preserve"> </w:t>
      </w:r>
      <w:r w:rsidRPr="001806D5">
        <w:t>jen</w:t>
      </w:r>
      <w:r>
        <w:t xml:space="preserve"> </w:t>
      </w:r>
      <w:r w:rsidRPr="001806D5">
        <w:t>"inspektoráty")</w:t>
      </w:r>
      <w:r>
        <w:t xml:space="preserve"> </w:t>
      </w:r>
      <w:r w:rsidRPr="001806D5">
        <w:t>a</w:t>
      </w:r>
      <w:r>
        <w:t xml:space="preserve"> </w:t>
      </w:r>
      <w:r w:rsidRPr="001806D5">
        <w:t>toto</w:t>
      </w:r>
      <w:r>
        <w:t xml:space="preserve"> </w:t>
      </w:r>
      <w:r w:rsidRPr="001806D5">
        <w:t>sídlo:</w:t>
      </w:r>
    </w:p>
    <w:p w14:paraId="7D41E00E" w14:textId="77777777" w:rsidR="001B2667" w:rsidRDefault="001B2667" w:rsidP="001B2667">
      <w:pPr>
        <w:pStyle w:val="Textparagrafu"/>
        <w:numPr>
          <w:ilvl w:val="0"/>
          <w:numId w:val="27"/>
        </w:numPr>
        <w:tabs>
          <w:tab w:val="left" w:pos="392"/>
          <w:tab w:val="left" w:pos="840"/>
        </w:tabs>
        <w:spacing w:before="0"/>
      </w:pPr>
      <w:r w:rsidRPr="001806D5">
        <w:t>a)</w:t>
      </w:r>
      <w:r>
        <w:tab/>
      </w:r>
      <w:r w:rsidRPr="001806D5">
        <w:t>Středočeský</w:t>
      </w:r>
      <w:r>
        <w:t xml:space="preserve"> </w:t>
      </w:r>
      <w:r w:rsidRPr="001806D5">
        <w:t>a</w:t>
      </w:r>
      <w:r>
        <w:t xml:space="preserve"> </w:t>
      </w:r>
      <w:r w:rsidRPr="001806D5">
        <w:t>Hlavní</w:t>
      </w:r>
      <w:r>
        <w:t xml:space="preserve"> </w:t>
      </w:r>
      <w:r w:rsidRPr="001806D5">
        <w:t>město</w:t>
      </w:r>
      <w:r>
        <w:t xml:space="preserve"> </w:t>
      </w:r>
      <w:r w:rsidRPr="001806D5">
        <w:t>Prahu</w:t>
      </w:r>
      <w:r>
        <w:t xml:space="preserve"> </w:t>
      </w:r>
      <w:r w:rsidRPr="001806D5">
        <w:t>se</w:t>
      </w:r>
      <w:r>
        <w:t xml:space="preserve"> </w:t>
      </w:r>
      <w:r w:rsidRPr="001806D5">
        <w:t>sídlem</w:t>
      </w:r>
      <w:r>
        <w:t xml:space="preserve"> </w:t>
      </w:r>
      <w:r w:rsidRPr="001806D5">
        <w:t>v</w:t>
      </w:r>
      <w:r>
        <w:t xml:space="preserve"> </w:t>
      </w:r>
      <w:r w:rsidRPr="001806D5">
        <w:t>Praze,</w:t>
      </w:r>
    </w:p>
    <w:p w14:paraId="633D6DD3" w14:textId="77777777" w:rsidR="001B2667" w:rsidRDefault="001B2667" w:rsidP="001B2667">
      <w:pPr>
        <w:pStyle w:val="Textparagrafu"/>
        <w:numPr>
          <w:ilvl w:val="0"/>
          <w:numId w:val="27"/>
        </w:numPr>
        <w:tabs>
          <w:tab w:val="left" w:pos="392"/>
          <w:tab w:val="left" w:pos="840"/>
        </w:tabs>
        <w:spacing w:before="0"/>
      </w:pPr>
      <w:r w:rsidRPr="001806D5">
        <w:t>b)</w:t>
      </w:r>
      <w:r>
        <w:tab/>
      </w:r>
      <w:r w:rsidRPr="001806D5">
        <w:t>Jihočeský</w:t>
      </w:r>
      <w:r>
        <w:t xml:space="preserve"> </w:t>
      </w:r>
      <w:r w:rsidRPr="001806D5">
        <w:t>a</w:t>
      </w:r>
      <w:r>
        <w:t xml:space="preserve"> </w:t>
      </w:r>
      <w:r w:rsidRPr="001806D5">
        <w:t>Vysočina</w:t>
      </w:r>
      <w:r>
        <w:t xml:space="preserve"> </w:t>
      </w:r>
      <w:r w:rsidRPr="001806D5">
        <w:t>se</w:t>
      </w:r>
      <w:r>
        <w:t xml:space="preserve"> </w:t>
      </w:r>
      <w:r w:rsidRPr="001806D5">
        <w:t>sídlem</w:t>
      </w:r>
      <w:r>
        <w:t xml:space="preserve"> </w:t>
      </w:r>
      <w:r w:rsidRPr="001806D5">
        <w:t>v</w:t>
      </w:r>
      <w:r>
        <w:t xml:space="preserve"> </w:t>
      </w:r>
      <w:r w:rsidRPr="001806D5">
        <w:t>Táboře,</w:t>
      </w:r>
    </w:p>
    <w:p w14:paraId="46AB117E" w14:textId="77777777" w:rsidR="001B2667" w:rsidRDefault="001B2667" w:rsidP="001B2667">
      <w:pPr>
        <w:pStyle w:val="Textparagrafu"/>
        <w:numPr>
          <w:ilvl w:val="0"/>
          <w:numId w:val="27"/>
        </w:numPr>
        <w:tabs>
          <w:tab w:val="left" w:pos="392"/>
          <w:tab w:val="left" w:pos="840"/>
        </w:tabs>
        <w:spacing w:before="0"/>
      </w:pPr>
      <w:r w:rsidRPr="001806D5">
        <w:t>c)</w:t>
      </w:r>
      <w:r>
        <w:tab/>
      </w:r>
      <w:r w:rsidRPr="001806D5">
        <w:t>Plzeňský</w:t>
      </w:r>
      <w:r>
        <w:t xml:space="preserve"> </w:t>
      </w:r>
      <w:r w:rsidRPr="001806D5">
        <w:t>a</w:t>
      </w:r>
      <w:r>
        <w:t xml:space="preserve"> </w:t>
      </w:r>
      <w:r w:rsidRPr="001806D5">
        <w:t>Karlovarský</w:t>
      </w:r>
      <w:r>
        <w:t xml:space="preserve"> </w:t>
      </w:r>
      <w:r w:rsidRPr="001806D5">
        <w:t>se</w:t>
      </w:r>
      <w:r>
        <w:t xml:space="preserve"> </w:t>
      </w:r>
      <w:r w:rsidRPr="001806D5">
        <w:t>sídlem</w:t>
      </w:r>
      <w:r>
        <w:t xml:space="preserve"> </w:t>
      </w:r>
      <w:r w:rsidRPr="001806D5">
        <w:t>v</w:t>
      </w:r>
      <w:r>
        <w:t xml:space="preserve"> </w:t>
      </w:r>
      <w:r w:rsidRPr="001806D5">
        <w:t>Plzni,</w:t>
      </w:r>
    </w:p>
    <w:p w14:paraId="2BCAE072" w14:textId="77777777" w:rsidR="001B2667" w:rsidRDefault="001B2667" w:rsidP="001B2667">
      <w:pPr>
        <w:pStyle w:val="Textparagrafu"/>
        <w:numPr>
          <w:ilvl w:val="0"/>
          <w:numId w:val="27"/>
        </w:numPr>
        <w:tabs>
          <w:tab w:val="left" w:pos="392"/>
          <w:tab w:val="left" w:pos="840"/>
        </w:tabs>
        <w:spacing w:before="0"/>
      </w:pPr>
      <w:r w:rsidRPr="001806D5">
        <w:t>d)</w:t>
      </w:r>
      <w:r>
        <w:tab/>
      </w:r>
      <w:r w:rsidRPr="001806D5">
        <w:t>Ústecký</w:t>
      </w:r>
      <w:r>
        <w:t xml:space="preserve"> </w:t>
      </w:r>
      <w:r w:rsidRPr="001806D5">
        <w:t>a</w:t>
      </w:r>
      <w:r>
        <w:t xml:space="preserve"> </w:t>
      </w:r>
      <w:r w:rsidRPr="001806D5">
        <w:t>Liberecký</w:t>
      </w:r>
      <w:r>
        <w:t xml:space="preserve"> </w:t>
      </w:r>
      <w:r w:rsidRPr="001806D5">
        <w:t>se</w:t>
      </w:r>
      <w:r>
        <w:t xml:space="preserve"> </w:t>
      </w:r>
      <w:r w:rsidRPr="001806D5">
        <w:t>sídlem</w:t>
      </w:r>
      <w:r>
        <w:t xml:space="preserve"> </w:t>
      </w:r>
      <w:r w:rsidRPr="001806D5">
        <w:t>v</w:t>
      </w:r>
      <w:r>
        <w:t xml:space="preserve"> </w:t>
      </w:r>
      <w:r w:rsidRPr="001806D5">
        <w:t>Ústí</w:t>
      </w:r>
      <w:r>
        <w:t xml:space="preserve"> </w:t>
      </w:r>
      <w:r w:rsidRPr="001806D5">
        <w:t>nad</w:t>
      </w:r>
      <w:r>
        <w:t xml:space="preserve"> </w:t>
      </w:r>
      <w:r w:rsidRPr="001806D5">
        <w:t>Labem,</w:t>
      </w:r>
    </w:p>
    <w:p w14:paraId="21114ECE" w14:textId="77777777" w:rsidR="001B2667" w:rsidRDefault="001B2667" w:rsidP="001B2667">
      <w:pPr>
        <w:pStyle w:val="Textparagrafu"/>
        <w:numPr>
          <w:ilvl w:val="0"/>
          <w:numId w:val="27"/>
        </w:numPr>
        <w:tabs>
          <w:tab w:val="left" w:pos="392"/>
          <w:tab w:val="left" w:pos="840"/>
        </w:tabs>
        <w:spacing w:before="0"/>
      </w:pPr>
      <w:r w:rsidRPr="001806D5">
        <w:t>e)</w:t>
      </w:r>
      <w:r>
        <w:tab/>
      </w:r>
      <w:r w:rsidRPr="001806D5">
        <w:t>Královéhradecký</w:t>
      </w:r>
      <w:r>
        <w:t xml:space="preserve"> </w:t>
      </w:r>
      <w:r w:rsidRPr="001806D5">
        <w:t>a</w:t>
      </w:r>
      <w:r>
        <w:t xml:space="preserve"> </w:t>
      </w:r>
      <w:r w:rsidRPr="001806D5">
        <w:t>Pardubický</w:t>
      </w:r>
      <w:r>
        <w:t xml:space="preserve"> </w:t>
      </w:r>
      <w:r w:rsidRPr="001806D5">
        <w:t>se</w:t>
      </w:r>
      <w:r>
        <w:t xml:space="preserve"> </w:t>
      </w:r>
      <w:r w:rsidRPr="001806D5">
        <w:t>sídlem</w:t>
      </w:r>
      <w:r>
        <w:t xml:space="preserve"> </w:t>
      </w:r>
      <w:r w:rsidRPr="001806D5">
        <w:t>v</w:t>
      </w:r>
      <w:r>
        <w:t xml:space="preserve"> </w:t>
      </w:r>
      <w:r w:rsidRPr="001806D5">
        <w:t>Hradci</w:t>
      </w:r>
      <w:r>
        <w:t xml:space="preserve"> </w:t>
      </w:r>
      <w:r w:rsidRPr="001806D5">
        <w:t>Králové,</w:t>
      </w:r>
    </w:p>
    <w:p w14:paraId="30090310" w14:textId="77777777" w:rsidR="001B2667" w:rsidRDefault="001B2667" w:rsidP="001B2667">
      <w:pPr>
        <w:pStyle w:val="Textparagrafu"/>
        <w:numPr>
          <w:ilvl w:val="0"/>
          <w:numId w:val="27"/>
        </w:numPr>
        <w:tabs>
          <w:tab w:val="left" w:pos="392"/>
          <w:tab w:val="left" w:pos="840"/>
        </w:tabs>
        <w:spacing w:before="0"/>
      </w:pPr>
      <w:r w:rsidRPr="001806D5">
        <w:t>f)</w:t>
      </w:r>
      <w:r>
        <w:tab/>
      </w:r>
      <w:r w:rsidRPr="001806D5">
        <w:t>Jihomoravský</w:t>
      </w:r>
      <w:r>
        <w:t xml:space="preserve"> </w:t>
      </w:r>
      <w:r w:rsidRPr="001806D5">
        <w:t>a</w:t>
      </w:r>
      <w:r>
        <w:t xml:space="preserve"> </w:t>
      </w:r>
      <w:r w:rsidRPr="001806D5">
        <w:t>Zlínský</w:t>
      </w:r>
      <w:r>
        <w:t xml:space="preserve"> </w:t>
      </w:r>
      <w:r w:rsidRPr="001806D5">
        <w:t>se</w:t>
      </w:r>
      <w:r>
        <w:t xml:space="preserve"> </w:t>
      </w:r>
      <w:r w:rsidRPr="001806D5">
        <w:t>sídlem</w:t>
      </w:r>
      <w:r>
        <w:t xml:space="preserve"> </w:t>
      </w:r>
      <w:r w:rsidRPr="001806D5">
        <w:t>v</w:t>
      </w:r>
      <w:r>
        <w:t xml:space="preserve"> </w:t>
      </w:r>
      <w:r w:rsidRPr="001806D5">
        <w:t>Brně,</w:t>
      </w:r>
    </w:p>
    <w:p w14:paraId="64C74890" w14:textId="77777777" w:rsidR="001B2667" w:rsidRDefault="001B2667" w:rsidP="001B2667">
      <w:pPr>
        <w:pStyle w:val="Textparagrafu"/>
        <w:numPr>
          <w:ilvl w:val="0"/>
          <w:numId w:val="27"/>
        </w:numPr>
        <w:tabs>
          <w:tab w:val="left" w:pos="392"/>
          <w:tab w:val="left" w:pos="840"/>
        </w:tabs>
        <w:spacing w:before="0"/>
      </w:pPr>
      <w:r w:rsidRPr="001806D5">
        <w:t>g)</w:t>
      </w:r>
      <w:r>
        <w:tab/>
      </w:r>
      <w:r w:rsidRPr="001806D5">
        <w:t>Olomoucký</w:t>
      </w:r>
      <w:r>
        <w:t xml:space="preserve"> </w:t>
      </w:r>
      <w:r w:rsidRPr="001806D5">
        <w:t>a</w:t>
      </w:r>
      <w:r>
        <w:t xml:space="preserve"> </w:t>
      </w:r>
      <w:r w:rsidRPr="001806D5">
        <w:t>Moravskoslezský</w:t>
      </w:r>
      <w:r>
        <w:t xml:space="preserve"> </w:t>
      </w:r>
      <w:r w:rsidRPr="001806D5">
        <w:t>se</w:t>
      </w:r>
      <w:r>
        <w:t xml:space="preserve"> </w:t>
      </w:r>
      <w:r w:rsidRPr="001806D5">
        <w:t>sídlem</w:t>
      </w:r>
      <w:r>
        <w:t xml:space="preserve"> </w:t>
      </w:r>
      <w:r w:rsidRPr="001806D5">
        <w:t>v</w:t>
      </w:r>
      <w:r>
        <w:t xml:space="preserve"> </w:t>
      </w:r>
      <w:r w:rsidRPr="001806D5">
        <w:t>Olomouci.</w:t>
      </w:r>
    </w:p>
    <w:p w14:paraId="4C37AEA7" w14:textId="77777777" w:rsidR="001B2667" w:rsidRDefault="001B2667" w:rsidP="0055341F">
      <w:pPr>
        <w:pStyle w:val="Textparagrafu"/>
        <w:numPr>
          <w:ilvl w:val="0"/>
          <w:numId w:val="27"/>
        </w:numPr>
        <w:tabs>
          <w:tab w:val="left" w:pos="392"/>
          <w:tab w:val="left" w:pos="840"/>
        </w:tabs>
        <w:spacing w:before="120" w:after="120"/>
        <w:ind w:firstLine="425"/>
      </w:pPr>
      <w:r w:rsidRPr="001806D5">
        <w:t>(3)</w:t>
      </w:r>
      <w:r>
        <w:t xml:space="preserve"> </w:t>
      </w:r>
      <w:r w:rsidRPr="001806D5">
        <w:t>Inspekce</w:t>
      </w:r>
      <w:r>
        <w:t xml:space="preserve"> </w:t>
      </w:r>
      <w:r w:rsidRPr="001806D5">
        <w:t>je</w:t>
      </w:r>
      <w:r>
        <w:t xml:space="preserve"> </w:t>
      </w:r>
      <w:r w:rsidRPr="001806D5">
        <w:t>organizační</w:t>
      </w:r>
      <w:r>
        <w:t xml:space="preserve"> </w:t>
      </w:r>
      <w:r w:rsidRPr="001806D5">
        <w:t>složkou</w:t>
      </w:r>
      <w:r>
        <w:t xml:space="preserve"> státu</w:t>
      </w:r>
      <w:r w:rsidRPr="001B2667">
        <w:rPr>
          <w:strike/>
        </w:rPr>
        <w:t>,</w:t>
      </w:r>
      <w:r>
        <w:rPr>
          <w:rStyle w:val="Znakapoznpodarou"/>
        </w:rPr>
        <w:footnoteReference w:customMarkFollows="1" w:id="442"/>
        <w:t>1)</w:t>
      </w:r>
      <w:r>
        <w:t xml:space="preserve"> </w:t>
      </w:r>
      <w:r w:rsidRPr="001B2667">
        <w:rPr>
          <w:strike/>
        </w:rPr>
        <w:t>je účetní jednotkou</w:t>
      </w:r>
      <w:r w:rsidRPr="001806D5">
        <w:t>.</w:t>
      </w:r>
      <w:r w:rsidRPr="001B2667">
        <w:rPr>
          <w:rStyle w:val="Znakapoznpodarou"/>
          <w:strike/>
        </w:rPr>
        <w:footnoteReference w:customMarkFollows="1" w:id="443"/>
        <w:t>2)</w:t>
      </w:r>
    </w:p>
    <w:p w14:paraId="0F341D8E" w14:textId="77777777" w:rsidR="001B2667" w:rsidRDefault="001B2667" w:rsidP="0055341F">
      <w:pPr>
        <w:pStyle w:val="Textparagrafu"/>
        <w:numPr>
          <w:ilvl w:val="0"/>
          <w:numId w:val="27"/>
        </w:numPr>
        <w:tabs>
          <w:tab w:val="left" w:pos="392"/>
          <w:tab w:val="left" w:pos="840"/>
        </w:tabs>
        <w:spacing w:before="120" w:after="120"/>
        <w:ind w:firstLine="425"/>
      </w:pPr>
      <w:r w:rsidRPr="001806D5">
        <w:t>(4)</w:t>
      </w:r>
      <w:r>
        <w:t xml:space="preserve"> </w:t>
      </w:r>
      <w:r w:rsidRPr="001806D5">
        <w:t>Sídlem</w:t>
      </w:r>
      <w:r>
        <w:t xml:space="preserve"> </w:t>
      </w:r>
      <w:r w:rsidRPr="001806D5">
        <w:t>inspekce</w:t>
      </w:r>
      <w:r>
        <w:t xml:space="preserve"> </w:t>
      </w:r>
      <w:r w:rsidRPr="001806D5">
        <w:t>je</w:t>
      </w:r>
      <w:r>
        <w:t xml:space="preserve"> </w:t>
      </w:r>
      <w:r w:rsidRPr="001806D5">
        <w:t>Brno.</w:t>
      </w:r>
    </w:p>
    <w:p w14:paraId="5D5E7EBE" w14:textId="77777777" w:rsidR="001B2667" w:rsidRDefault="001B2667" w:rsidP="0055341F">
      <w:pPr>
        <w:pStyle w:val="Textparagrafu"/>
        <w:numPr>
          <w:ilvl w:val="0"/>
          <w:numId w:val="27"/>
        </w:numPr>
        <w:tabs>
          <w:tab w:val="left" w:pos="392"/>
          <w:tab w:val="left" w:pos="840"/>
        </w:tabs>
        <w:spacing w:before="120" w:after="120"/>
        <w:ind w:firstLine="425"/>
      </w:pPr>
      <w:r w:rsidRPr="001806D5">
        <w:t>(5)</w:t>
      </w:r>
      <w:r>
        <w:t xml:space="preserve"> </w:t>
      </w:r>
      <w:r w:rsidRPr="001806D5">
        <w:t>V</w:t>
      </w:r>
      <w:r>
        <w:t xml:space="preserve"> </w:t>
      </w:r>
      <w:r w:rsidRPr="001806D5">
        <w:t>čele</w:t>
      </w:r>
      <w:r>
        <w:t xml:space="preserve"> </w:t>
      </w:r>
      <w:r w:rsidRPr="001806D5">
        <w:t>inspekce</w:t>
      </w:r>
      <w:r>
        <w:t xml:space="preserve"> </w:t>
      </w:r>
      <w:r w:rsidRPr="001806D5">
        <w:t>je</w:t>
      </w:r>
      <w:r>
        <w:t xml:space="preserve"> </w:t>
      </w:r>
      <w:r w:rsidRPr="001806D5">
        <w:t>ústřední</w:t>
      </w:r>
      <w:r>
        <w:t xml:space="preserve"> </w:t>
      </w:r>
      <w:r w:rsidRPr="001806D5">
        <w:t>ředitel,</w:t>
      </w:r>
      <w:r>
        <w:t xml:space="preserve"> </w:t>
      </w:r>
      <w:r w:rsidRPr="001806D5">
        <w:t>který</w:t>
      </w:r>
      <w:r>
        <w:t xml:space="preserve"> </w:t>
      </w:r>
      <w:r w:rsidRPr="001806D5">
        <w:t>řídí</w:t>
      </w:r>
      <w:r>
        <w:t xml:space="preserve"> </w:t>
      </w:r>
      <w:r w:rsidRPr="001806D5">
        <w:t>ústřední</w:t>
      </w:r>
      <w:r>
        <w:t xml:space="preserve"> </w:t>
      </w:r>
      <w:r w:rsidRPr="001806D5">
        <w:t>inspektorát</w:t>
      </w:r>
      <w:r>
        <w:t xml:space="preserve"> </w:t>
      </w:r>
      <w:r w:rsidRPr="001806D5">
        <w:t>a</w:t>
      </w:r>
      <w:r>
        <w:t xml:space="preserve"> </w:t>
      </w:r>
      <w:r w:rsidRPr="001806D5">
        <w:t>ředitele</w:t>
      </w:r>
      <w:r>
        <w:t xml:space="preserve"> </w:t>
      </w:r>
      <w:r w:rsidRPr="001806D5">
        <w:t>inspektorátů.</w:t>
      </w:r>
      <w:r>
        <w:t xml:space="preserve"> </w:t>
      </w:r>
      <w:r w:rsidRPr="001806D5">
        <w:t>Výběr,</w:t>
      </w:r>
      <w:r>
        <w:t xml:space="preserve"> </w:t>
      </w:r>
      <w:r w:rsidRPr="001806D5">
        <w:t>jmenování</w:t>
      </w:r>
      <w:r>
        <w:t xml:space="preserve"> </w:t>
      </w:r>
      <w:r w:rsidRPr="001806D5">
        <w:t>a</w:t>
      </w:r>
      <w:r>
        <w:t xml:space="preserve"> </w:t>
      </w:r>
      <w:r w:rsidRPr="001806D5">
        <w:t>odvolání</w:t>
      </w:r>
      <w:r>
        <w:t xml:space="preserve"> </w:t>
      </w:r>
      <w:r w:rsidRPr="001806D5">
        <w:t>ústředního</w:t>
      </w:r>
      <w:r>
        <w:t xml:space="preserve"> </w:t>
      </w:r>
      <w:r w:rsidRPr="001806D5">
        <w:t>ředitele</w:t>
      </w:r>
      <w:r>
        <w:t xml:space="preserve"> </w:t>
      </w:r>
      <w:r w:rsidRPr="001806D5">
        <w:t>a</w:t>
      </w:r>
      <w:r>
        <w:t xml:space="preserve"> </w:t>
      </w:r>
      <w:r w:rsidRPr="001806D5">
        <w:t>ředitele</w:t>
      </w:r>
      <w:r>
        <w:t xml:space="preserve"> </w:t>
      </w:r>
      <w:r w:rsidRPr="001806D5">
        <w:t>inspektorátu</w:t>
      </w:r>
      <w:r>
        <w:t xml:space="preserve"> </w:t>
      </w:r>
      <w:r w:rsidRPr="001806D5">
        <w:t>se</w:t>
      </w:r>
      <w:r>
        <w:t xml:space="preserve"> </w:t>
      </w:r>
      <w:r w:rsidRPr="001806D5">
        <w:t>řídí</w:t>
      </w:r>
      <w:r>
        <w:t xml:space="preserve"> </w:t>
      </w:r>
      <w:r w:rsidRPr="001806D5">
        <w:t>zákonem</w:t>
      </w:r>
      <w:r>
        <w:t xml:space="preserve"> </w:t>
      </w:r>
      <w:r w:rsidRPr="001806D5">
        <w:t>o</w:t>
      </w:r>
      <w:r>
        <w:t xml:space="preserve"> </w:t>
      </w:r>
      <w:r w:rsidRPr="001806D5">
        <w:t>státní</w:t>
      </w:r>
      <w:r>
        <w:t xml:space="preserve"> </w:t>
      </w:r>
      <w:r w:rsidRPr="001806D5">
        <w:t>službě.</w:t>
      </w:r>
    </w:p>
    <w:p w14:paraId="0D3114AB" w14:textId="77777777" w:rsidR="001B2667" w:rsidRDefault="001B2667" w:rsidP="0055341F">
      <w:pPr>
        <w:pStyle w:val="Textparagrafu"/>
        <w:numPr>
          <w:ilvl w:val="0"/>
          <w:numId w:val="27"/>
        </w:numPr>
        <w:tabs>
          <w:tab w:val="left" w:pos="392"/>
          <w:tab w:val="left" w:pos="840"/>
        </w:tabs>
        <w:spacing w:before="120" w:after="120"/>
        <w:ind w:firstLine="425"/>
      </w:pPr>
      <w:r w:rsidRPr="001806D5">
        <w:t>(6)</w:t>
      </w:r>
      <w:r>
        <w:t xml:space="preserve"> </w:t>
      </w:r>
      <w:r w:rsidRPr="001806D5">
        <w:t>Jako</w:t>
      </w:r>
      <w:r>
        <w:t xml:space="preserve"> </w:t>
      </w:r>
      <w:r w:rsidRPr="001806D5">
        <w:t>orgán</w:t>
      </w:r>
      <w:r>
        <w:t xml:space="preserve"> </w:t>
      </w:r>
      <w:r w:rsidRPr="001806D5">
        <w:t>prvního</w:t>
      </w:r>
      <w:r>
        <w:t xml:space="preserve"> </w:t>
      </w:r>
      <w:r w:rsidRPr="001806D5">
        <w:t>stupně</w:t>
      </w:r>
      <w:r>
        <w:t xml:space="preserve"> </w:t>
      </w:r>
      <w:r w:rsidRPr="001806D5">
        <w:t>rozhoduje</w:t>
      </w:r>
      <w:r>
        <w:t xml:space="preserve"> </w:t>
      </w:r>
      <w:r w:rsidRPr="001806D5">
        <w:t>ve</w:t>
      </w:r>
      <w:r>
        <w:t xml:space="preserve"> </w:t>
      </w:r>
      <w:r w:rsidRPr="001806D5">
        <w:t>správním</w:t>
      </w:r>
      <w:r>
        <w:t xml:space="preserve"> </w:t>
      </w:r>
      <w:r w:rsidRPr="001806D5">
        <w:t>řízení</w:t>
      </w:r>
      <w:r>
        <w:t xml:space="preserve"> </w:t>
      </w:r>
      <w:r w:rsidRPr="001806D5">
        <w:t>inspektorát</w:t>
      </w:r>
      <w:r>
        <w:t xml:space="preserve"> </w:t>
      </w:r>
      <w:r w:rsidRPr="001806D5">
        <w:t>příslušný</w:t>
      </w:r>
      <w:r>
        <w:t xml:space="preserve"> </w:t>
      </w:r>
      <w:r w:rsidRPr="001806D5">
        <w:t>podle</w:t>
      </w:r>
      <w:r>
        <w:t xml:space="preserve"> </w:t>
      </w:r>
      <w:r w:rsidRPr="001806D5">
        <w:t>své</w:t>
      </w:r>
      <w:r>
        <w:t xml:space="preserve"> </w:t>
      </w:r>
      <w:r w:rsidRPr="001806D5">
        <w:t>územní</w:t>
      </w:r>
      <w:r>
        <w:t xml:space="preserve"> </w:t>
      </w:r>
      <w:r w:rsidRPr="001806D5">
        <w:t>působnosti,</w:t>
      </w:r>
      <w:r>
        <w:t xml:space="preserve"> </w:t>
      </w:r>
      <w:r w:rsidRPr="001806D5">
        <w:t>o</w:t>
      </w:r>
      <w:r>
        <w:t xml:space="preserve"> </w:t>
      </w:r>
      <w:r w:rsidRPr="001806D5">
        <w:t>odvolání</w:t>
      </w:r>
      <w:r>
        <w:t xml:space="preserve"> </w:t>
      </w:r>
      <w:r w:rsidRPr="001806D5">
        <w:t>proti</w:t>
      </w:r>
      <w:r>
        <w:t xml:space="preserve"> </w:t>
      </w:r>
      <w:r w:rsidRPr="001806D5">
        <w:t>rozhodnutí</w:t>
      </w:r>
      <w:r>
        <w:t xml:space="preserve"> </w:t>
      </w:r>
      <w:r w:rsidRPr="001806D5">
        <w:t>inspektorátu</w:t>
      </w:r>
      <w:r>
        <w:t xml:space="preserve"> </w:t>
      </w:r>
      <w:r w:rsidRPr="001806D5">
        <w:t>rozhoduje</w:t>
      </w:r>
      <w:r>
        <w:t xml:space="preserve"> </w:t>
      </w:r>
      <w:r w:rsidRPr="001806D5">
        <w:t>ústřední</w:t>
      </w:r>
      <w:r>
        <w:t xml:space="preserve"> </w:t>
      </w:r>
      <w:r w:rsidRPr="001806D5">
        <w:t>inspektorát.</w:t>
      </w:r>
    </w:p>
    <w:p w14:paraId="2EF2AF33" w14:textId="77777777" w:rsidR="001B2667" w:rsidRDefault="001B2667" w:rsidP="0055341F">
      <w:pPr>
        <w:pStyle w:val="Textparagrafu"/>
        <w:numPr>
          <w:ilvl w:val="0"/>
          <w:numId w:val="27"/>
        </w:numPr>
        <w:tabs>
          <w:tab w:val="left" w:pos="392"/>
          <w:tab w:val="left" w:pos="840"/>
        </w:tabs>
        <w:spacing w:before="120" w:after="120"/>
        <w:ind w:firstLine="425"/>
      </w:pPr>
      <w:r w:rsidRPr="001806D5">
        <w:t>(7)</w:t>
      </w:r>
      <w:r>
        <w:t xml:space="preserve"> </w:t>
      </w:r>
      <w:r w:rsidRPr="001806D5">
        <w:t>V</w:t>
      </w:r>
      <w:r>
        <w:t xml:space="preserve"> </w:t>
      </w:r>
      <w:r w:rsidRPr="001806D5">
        <w:t>řízení</w:t>
      </w:r>
      <w:r>
        <w:t xml:space="preserve"> </w:t>
      </w:r>
      <w:r w:rsidRPr="001806D5">
        <w:t>o</w:t>
      </w:r>
      <w:r>
        <w:t xml:space="preserve"> </w:t>
      </w:r>
      <w:r w:rsidRPr="001806D5">
        <w:t>přestupku</w:t>
      </w:r>
      <w:r>
        <w:t xml:space="preserve"> </w:t>
      </w:r>
      <w:r w:rsidRPr="001806D5">
        <w:t>zjištěném</w:t>
      </w:r>
      <w:r>
        <w:t xml:space="preserve"> </w:t>
      </w:r>
      <w:r w:rsidRPr="001806D5">
        <w:t>při</w:t>
      </w:r>
      <w:r>
        <w:t xml:space="preserve"> </w:t>
      </w:r>
      <w:r w:rsidRPr="001806D5">
        <w:t>kontrole,</w:t>
      </w:r>
      <w:r>
        <w:t xml:space="preserve"> </w:t>
      </w:r>
      <w:r w:rsidRPr="001806D5">
        <w:t>při</w:t>
      </w:r>
      <w:r>
        <w:t xml:space="preserve"> </w:t>
      </w:r>
      <w:r w:rsidRPr="001806D5">
        <w:t>níž</w:t>
      </w:r>
      <w:r>
        <w:t xml:space="preserve"> </w:t>
      </w:r>
      <w:r w:rsidRPr="001806D5">
        <w:t>inspektor</w:t>
      </w:r>
      <w:r>
        <w:t xml:space="preserve"> </w:t>
      </w:r>
      <w:r w:rsidRPr="001806D5">
        <w:t>postupoval</w:t>
      </w:r>
      <w:r>
        <w:t xml:space="preserve"> </w:t>
      </w:r>
      <w:r w:rsidRPr="001806D5">
        <w:t>podle</w:t>
      </w:r>
      <w:r>
        <w:t xml:space="preserve"> </w:t>
      </w:r>
      <w:r w:rsidRPr="001806D5">
        <w:t>§</w:t>
      </w:r>
      <w:r>
        <w:t xml:space="preserve"> </w:t>
      </w:r>
      <w:r w:rsidRPr="001806D5">
        <w:t>4</w:t>
      </w:r>
      <w:r>
        <w:t xml:space="preserve"> </w:t>
      </w:r>
      <w:r w:rsidRPr="001806D5">
        <w:t>odst.</w:t>
      </w:r>
      <w:r>
        <w:t xml:space="preserve"> </w:t>
      </w:r>
      <w:r w:rsidRPr="001806D5">
        <w:t>2,</w:t>
      </w:r>
      <w:r>
        <w:t xml:space="preserve"> </w:t>
      </w:r>
      <w:r w:rsidRPr="001806D5">
        <w:t>nebo</w:t>
      </w:r>
      <w:r>
        <w:t xml:space="preserve"> </w:t>
      </w:r>
      <w:r w:rsidRPr="001806D5">
        <w:t>spočívajícím</w:t>
      </w:r>
      <w:r>
        <w:t xml:space="preserve"> </w:t>
      </w:r>
      <w:r w:rsidRPr="001806D5">
        <w:t>v</w:t>
      </w:r>
      <w:r>
        <w:t xml:space="preserve"> </w:t>
      </w:r>
      <w:r w:rsidRPr="001806D5">
        <w:t>nesplnění</w:t>
      </w:r>
      <w:r>
        <w:t xml:space="preserve"> </w:t>
      </w:r>
      <w:r w:rsidRPr="001806D5">
        <w:t>povinnosti</w:t>
      </w:r>
      <w:r>
        <w:t xml:space="preserve"> </w:t>
      </w:r>
      <w:r w:rsidRPr="001806D5">
        <w:t>uložené</w:t>
      </w:r>
      <w:r>
        <w:t xml:space="preserve"> </w:t>
      </w:r>
      <w:r w:rsidRPr="001806D5">
        <w:t>opatřením,</w:t>
      </w:r>
      <w:r>
        <w:t xml:space="preserve"> </w:t>
      </w:r>
      <w:r w:rsidRPr="001806D5">
        <w:t>které</w:t>
      </w:r>
      <w:r>
        <w:t xml:space="preserve"> </w:t>
      </w:r>
      <w:r w:rsidRPr="001806D5">
        <w:t>bylo</w:t>
      </w:r>
      <w:r>
        <w:t xml:space="preserve"> </w:t>
      </w:r>
      <w:r w:rsidRPr="001806D5">
        <w:t>vydáno</w:t>
      </w:r>
      <w:r>
        <w:t xml:space="preserve"> </w:t>
      </w:r>
      <w:r w:rsidRPr="001806D5">
        <w:t>postupem</w:t>
      </w:r>
      <w:r>
        <w:t xml:space="preserve"> </w:t>
      </w:r>
      <w:r w:rsidRPr="001806D5">
        <w:t>podle</w:t>
      </w:r>
      <w:r>
        <w:t xml:space="preserve"> </w:t>
      </w:r>
      <w:r w:rsidRPr="001806D5">
        <w:t>§</w:t>
      </w:r>
      <w:r>
        <w:t xml:space="preserve"> </w:t>
      </w:r>
      <w:r w:rsidRPr="001806D5">
        <w:t>5</w:t>
      </w:r>
      <w:r>
        <w:t xml:space="preserve"> </w:t>
      </w:r>
      <w:r w:rsidRPr="001806D5">
        <w:t>odst.</w:t>
      </w:r>
      <w:r>
        <w:t xml:space="preserve"> </w:t>
      </w:r>
      <w:r w:rsidRPr="001806D5">
        <w:t>3,</w:t>
      </w:r>
      <w:r>
        <w:t xml:space="preserve"> </w:t>
      </w:r>
      <w:r w:rsidRPr="001806D5">
        <w:t>rozhoduje</w:t>
      </w:r>
      <w:r>
        <w:t xml:space="preserve"> </w:t>
      </w:r>
      <w:r w:rsidRPr="001806D5">
        <w:t>jako</w:t>
      </w:r>
      <w:r>
        <w:t xml:space="preserve"> </w:t>
      </w:r>
      <w:r w:rsidRPr="001806D5">
        <w:t>orgán</w:t>
      </w:r>
      <w:r>
        <w:t xml:space="preserve"> </w:t>
      </w:r>
      <w:r w:rsidRPr="001806D5">
        <w:t>prvního</w:t>
      </w:r>
      <w:r>
        <w:t xml:space="preserve"> </w:t>
      </w:r>
      <w:r w:rsidRPr="001806D5">
        <w:t>stupně</w:t>
      </w:r>
      <w:r>
        <w:t xml:space="preserve"> </w:t>
      </w:r>
      <w:r w:rsidRPr="001806D5">
        <w:t>inspektorát,</w:t>
      </w:r>
      <w:r>
        <w:t xml:space="preserve"> </w:t>
      </w:r>
      <w:r w:rsidRPr="001806D5">
        <w:t>jehož</w:t>
      </w:r>
      <w:r>
        <w:t xml:space="preserve"> </w:t>
      </w:r>
      <w:r w:rsidRPr="001806D5">
        <w:t>inspektor</w:t>
      </w:r>
      <w:r>
        <w:t xml:space="preserve"> </w:t>
      </w:r>
      <w:r w:rsidRPr="001806D5">
        <w:t>postupoval</w:t>
      </w:r>
      <w:r>
        <w:t xml:space="preserve"> </w:t>
      </w:r>
      <w:r w:rsidRPr="001806D5">
        <w:t>podle</w:t>
      </w:r>
      <w:r>
        <w:t xml:space="preserve"> </w:t>
      </w:r>
      <w:r w:rsidRPr="001806D5">
        <w:t>§</w:t>
      </w:r>
      <w:r>
        <w:t xml:space="preserve"> </w:t>
      </w:r>
      <w:r w:rsidRPr="001806D5">
        <w:t>4</w:t>
      </w:r>
      <w:r>
        <w:t xml:space="preserve"> </w:t>
      </w:r>
      <w:r w:rsidRPr="001806D5">
        <w:t>odst.</w:t>
      </w:r>
      <w:r>
        <w:t xml:space="preserve"> </w:t>
      </w:r>
      <w:r w:rsidRPr="001806D5">
        <w:t>2</w:t>
      </w:r>
      <w:r>
        <w:t xml:space="preserve"> </w:t>
      </w:r>
      <w:r w:rsidRPr="001806D5">
        <w:t>nebo</w:t>
      </w:r>
      <w:r>
        <w:t xml:space="preserve"> </w:t>
      </w:r>
      <w:r w:rsidRPr="001806D5">
        <w:t>uložil</w:t>
      </w:r>
      <w:r>
        <w:t xml:space="preserve"> </w:t>
      </w:r>
      <w:r w:rsidRPr="001806D5">
        <w:t>nesplněnou</w:t>
      </w:r>
      <w:r>
        <w:t xml:space="preserve"> </w:t>
      </w:r>
      <w:r w:rsidRPr="001806D5">
        <w:t>povinnost.</w:t>
      </w:r>
    </w:p>
    <w:p w14:paraId="7418FD53" w14:textId="77777777" w:rsidR="001B2667" w:rsidRDefault="001B2667" w:rsidP="0055341F">
      <w:pPr>
        <w:pStyle w:val="Textparagrafu"/>
        <w:numPr>
          <w:ilvl w:val="0"/>
          <w:numId w:val="27"/>
        </w:numPr>
        <w:tabs>
          <w:tab w:val="left" w:pos="392"/>
          <w:tab w:val="left" w:pos="840"/>
        </w:tabs>
        <w:spacing w:before="120" w:after="120"/>
        <w:ind w:firstLine="425"/>
        <w:sectPr w:rsidR="001B2667" w:rsidSect="00554E2B">
          <w:footnotePr>
            <w:numStart w:val="3"/>
          </w:footnotePr>
          <w:endnotePr>
            <w:numFmt w:val="decimal"/>
          </w:endnotePr>
          <w:pgSz w:w="11906" w:h="16838"/>
          <w:pgMar w:top="1418" w:right="1418" w:bottom="1418" w:left="1418" w:header="709" w:footer="709" w:gutter="0"/>
          <w:cols w:space="708"/>
          <w:docGrid w:linePitch="360"/>
        </w:sectPr>
      </w:pPr>
      <w:r w:rsidRPr="001806D5">
        <w:t>(8)</w:t>
      </w:r>
      <w:r>
        <w:t xml:space="preserve"> </w:t>
      </w:r>
      <w:r w:rsidRPr="001806D5">
        <w:t>Inspektorát</w:t>
      </w:r>
      <w:r>
        <w:t xml:space="preserve"> </w:t>
      </w:r>
      <w:r w:rsidRPr="001806D5">
        <w:t>neprojedná</w:t>
      </w:r>
      <w:r>
        <w:t xml:space="preserve"> </w:t>
      </w:r>
      <w:r w:rsidRPr="001806D5">
        <w:t>ve</w:t>
      </w:r>
      <w:r>
        <w:t xml:space="preserve"> </w:t>
      </w:r>
      <w:r w:rsidRPr="001806D5">
        <w:t>společném</w:t>
      </w:r>
      <w:r>
        <w:t xml:space="preserve"> </w:t>
      </w:r>
      <w:r w:rsidRPr="001806D5">
        <w:t>řízení</w:t>
      </w:r>
      <w:r>
        <w:t xml:space="preserve"> </w:t>
      </w:r>
      <w:r w:rsidRPr="001806D5">
        <w:t>přestupek,</w:t>
      </w:r>
      <w:r>
        <w:t xml:space="preserve"> </w:t>
      </w:r>
      <w:r w:rsidRPr="001806D5">
        <w:t>k</w:t>
      </w:r>
      <w:r>
        <w:t xml:space="preserve"> </w:t>
      </w:r>
      <w:r w:rsidRPr="001806D5">
        <w:t>jehož</w:t>
      </w:r>
      <w:r>
        <w:t xml:space="preserve"> </w:t>
      </w:r>
      <w:r w:rsidRPr="001806D5">
        <w:t>projednání</w:t>
      </w:r>
      <w:r>
        <w:t xml:space="preserve"> </w:t>
      </w:r>
      <w:r w:rsidRPr="001806D5">
        <w:t>je</w:t>
      </w:r>
      <w:r>
        <w:t xml:space="preserve"> </w:t>
      </w:r>
      <w:r w:rsidRPr="001806D5">
        <w:t>podle</w:t>
      </w:r>
      <w:r>
        <w:t xml:space="preserve"> </w:t>
      </w:r>
      <w:r w:rsidRPr="001806D5">
        <w:t>tohoto</w:t>
      </w:r>
      <w:r>
        <w:t xml:space="preserve"> </w:t>
      </w:r>
      <w:r w:rsidRPr="001806D5">
        <w:t>zákona</w:t>
      </w:r>
      <w:r>
        <w:t xml:space="preserve"> </w:t>
      </w:r>
      <w:r w:rsidRPr="001806D5">
        <w:t>příslušný</w:t>
      </w:r>
      <w:r>
        <w:t xml:space="preserve"> </w:t>
      </w:r>
      <w:r w:rsidRPr="001806D5">
        <w:t>jiný</w:t>
      </w:r>
      <w:r>
        <w:t xml:space="preserve"> </w:t>
      </w:r>
      <w:r w:rsidRPr="001806D5">
        <w:t>inspektorát,</w:t>
      </w:r>
      <w:r>
        <w:t xml:space="preserve"> </w:t>
      </w:r>
      <w:r w:rsidRPr="001806D5">
        <w:t>ani</w:t>
      </w:r>
      <w:r>
        <w:t xml:space="preserve"> </w:t>
      </w:r>
      <w:r w:rsidRPr="001806D5">
        <w:t>k</w:t>
      </w:r>
      <w:r>
        <w:t xml:space="preserve"> </w:t>
      </w:r>
      <w:r w:rsidRPr="001806D5">
        <w:t>takovému</w:t>
      </w:r>
      <w:r>
        <w:t xml:space="preserve"> </w:t>
      </w:r>
      <w:r w:rsidRPr="001806D5">
        <w:t>přestupku</w:t>
      </w:r>
      <w:r>
        <w:t xml:space="preserve"> </w:t>
      </w:r>
      <w:r w:rsidRPr="001806D5">
        <w:t>nepřihlédne</w:t>
      </w:r>
      <w:r>
        <w:t xml:space="preserve"> </w:t>
      </w:r>
      <w:r w:rsidRPr="001806D5">
        <w:t>při</w:t>
      </w:r>
      <w:r>
        <w:t xml:space="preserve"> </w:t>
      </w:r>
      <w:r w:rsidRPr="001806D5">
        <w:t>určení</w:t>
      </w:r>
      <w:r>
        <w:t xml:space="preserve"> </w:t>
      </w:r>
      <w:r w:rsidRPr="001806D5">
        <w:t>druhu</w:t>
      </w:r>
      <w:r>
        <w:t xml:space="preserve"> </w:t>
      </w:r>
      <w:r w:rsidRPr="001806D5">
        <w:t>a</w:t>
      </w:r>
      <w:r>
        <w:t xml:space="preserve"> </w:t>
      </w:r>
      <w:r w:rsidRPr="001806D5">
        <w:t>výměry</w:t>
      </w:r>
      <w:r>
        <w:t xml:space="preserve"> </w:t>
      </w:r>
      <w:r w:rsidRPr="001806D5">
        <w:t>správního</w:t>
      </w:r>
      <w:r>
        <w:t xml:space="preserve"> </w:t>
      </w:r>
      <w:r w:rsidRPr="001806D5">
        <w:t>trestu.</w:t>
      </w:r>
    </w:p>
    <w:p w14:paraId="4B67EEAD" w14:textId="27815ABB" w:rsidR="0055341F" w:rsidRPr="00036C64" w:rsidRDefault="003B058F" w:rsidP="0055341F">
      <w:pPr>
        <w:tabs>
          <w:tab w:val="left" w:pos="851"/>
        </w:tabs>
        <w:spacing w:before="120" w:after="120"/>
        <w:ind w:firstLine="0"/>
        <w:jc w:val="center"/>
        <w:outlineLvl w:val="0"/>
        <w:rPr>
          <w:szCs w:val="24"/>
        </w:rPr>
      </w:pPr>
      <w:r w:rsidRPr="00036C64">
        <w:rPr>
          <w:b/>
          <w:szCs w:val="24"/>
        </w:rPr>
        <w:lastRenderedPageBreak/>
        <w:t xml:space="preserve">K části </w:t>
      </w:r>
      <w:r>
        <w:rPr>
          <w:b/>
          <w:szCs w:val="24"/>
        </w:rPr>
        <w:t>sedmdesáté</w:t>
      </w:r>
      <w:r w:rsidR="00744F85">
        <w:rPr>
          <w:b/>
          <w:szCs w:val="24"/>
        </w:rPr>
        <w:t xml:space="preserve"> první</w:t>
      </w:r>
      <w:r>
        <w:rPr>
          <w:b/>
          <w:szCs w:val="24"/>
        </w:rPr>
        <w:t xml:space="preserve"> </w:t>
      </w:r>
      <w:r w:rsidRPr="00036C64">
        <w:rPr>
          <w:b/>
          <w:szCs w:val="24"/>
        </w:rPr>
        <w:t xml:space="preserve">návrhu zákona – </w:t>
      </w:r>
      <w:r w:rsidRPr="00036C64">
        <w:rPr>
          <w:szCs w:val="24"/>
        </w:rPr>
        <w:t>změna zákona</w:t>
      </w:r>
      <w:r w:rsidRPr="00036C64">
        <w:t xml:space="preserve"> </w:t>
      </w:r>
      <w:r w:rsidR="0055341F">
        <w:rPr>
          <w:szCs w:val="24"/>
        </w:rPr>
        <w:t>o</w:t>
      </w:r>
      <w:r w:rsidR="00F40F56" w:rsidRPr="00F40F56">
        <w:rPr>
          <w:szCs w:val="24"/>
        </w:rPr>
        <w:t xml:space="preserve"> Ústředním kontrolním</w:t>
      </w:r>
      <w:r w:rsidR="0055341F">
        <w:rPr>
          <w:szCs w:val="24"/>
        </w:rPr>
        <w:t xml:space="preserve"> a zkušebním ústavu zemědělském</w:t>
      </w:r>
    </w:p>
    <w:p w14:paraId="048D5A29" w14:textId="7D769C3E" w:rsidR="003B058F" w:rsidRDefault="003B058F" w:rsidP="00F40F56">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78706D">
        <w:rPr>
          <w:b/>
          <w:szCs w:val="24"/>
        </w:rPr>
        <w:t>Platné znění</w:t>
      </w:r>
      <w:r>
        <w:rPr>
          <w:szCs w:val="24"/>
        </w:rPr>
        <w:t xml:space="preserve"> zákona č.1</w:t>
      </w:r>
      <w:r w:rsidR="00F40F56">
        <w:rPr>
          <w:szCs w:val="24"/>
        </w:rPr>
        <w:t>47</w:t>
      </w:r>
      <w:r w:rsidRPr="0078706D">
        <w:rPr>
          <w:szCs w:val="24"/>
        </w:rPr>
        <w:t xml:space="preserve">/2002 Sb., </w:t>
      </w:r>
      <w:r w:rsidR="00F40F56" w:rsidRPr="00F40F56">
        <w:rPr>
          <w:szCs w:val="24"/>
        </w:rPr>
        <w:t>o Ústředním kontrolním a zkušebním ústavu zemědělském a o změně některých souvisejících zákonů (zákon o Ústředním kontrolním a zkušebním ústavu zemědělském)</w:t>
      </w:r>
    </w:p>
    <w:p w14:paraId="3DC88BB8" w14:textId="288282DD" w:rsidR="003B058F" w:rsidRPr="0078706D" w:rsidRDefault="0055341F" w:rsidP="003B058F">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AE4818">
        <w:rPr>
          <w:b/>
          <w:szCs w:val="24"/>
          <w:lang w:eastAsia="en-US"/>
        </w:rPr>
        <w:t>s vyznačením navrhovaných změn a doplnění k 1. lednu 2025</w:t>
      </w:r>
    </w:p>
    <w:p w14:paraId="5AA09B92" w14:textId="100ED4A2" w:rsidR="00F40F56" w:rsidRDefault="00F40F56" w:rsidP="007306B8">
      <w:pPr>
        <w:pStyle w:val="Textparagrafu"/>
        <w:numPr>
          <w:ilvl w:val="0"/>
          <w:numId w:val="27"/>
        </w:numPr>
        <w:tabs>
          <w:tab w:val="left" w:pos="392"/>
          <w:tab w:val="left" w:pos="840"/>
        </w:tabs>
        <w:spacing w:after="120"/>
        <w:jc w:val="center"/>
      </w:pPr>
      <w:r w:rsidRPr="00C24683">
        <w:t>§</w:t>
      </w:r>
      <w:r>
        <w:t xml:space="preserve"> </w:t>
      </w:r>
      <w:r w:rsidRPr="00C24683">
        <w:t>1</w:t>
      </w:r>
    </w:p>
    <w:p w14:paraId="5E7D18A3" w14:textId="77777777" w:rsidR="00F40F56" w:rsidRDefault="00F40F56" w:rsidP="0055341F">
      <w:pPr>
        <w:pStyle w:val="Textparagrafu"/>
        <w:numPr>
          <w:ilvl w:val="0"/>
          <w:numId w:val="27"/>
        </w:numPr>
        <w:tabs>
          <w:tab w:val="left" w:pos="392"/>
          <w:tab w:val="left" w:pos="840"/>
        </w:tabs>
        <w:spacing w:before="120" w:after="120"/>
        <w:ind w:firstLine="425"/>
      </w:pPr>
      <w:r w:rsidRPr="00C24683">
        <w:t>(1)</w:t>
      </w:r>
      <w:r>
        <w:t xml:space="preserve"> </w:t>
      </w:r>
      <w:r w:rsidRPr="00C24683">
        <w:t>Ústřední</w:t>
      </w:r>
      <w:r>
        <w:t xml:space="preserve"> </w:t>
      </w:r>
      <w:r w:rsidRPr="00C24683">
        <w:t>kontrolní</w:t>
      </w:r>
      <w:r>
        <w:t xml:space="preserve"> </w:t>
      </w:r>
      <w:r w:rsidRPr="00C24683">
        <w:t>a</w:t>
      </w:r>
      <w:r>
        <w:t xml:space="preserve"> </w:t>
      </w:r>
      <w:r w:rsidRPr="00C24683">
        <w:t>zkušební</w:t>
      </w:r>
      <w:r>
        <w:t xml:space="preserve"> </w:t>
      </w:r>
      <w:r w:rsidRPr="00C24683">
        <w:t>ústav</w:t>
      </w:r>
      <w:r>
        <w:t xml:space="preserve"> </w:t>
      </w:r>
      <w:r w:rsidRPr="00C24683">
        <w:t>zemědělský</w:t>
      </w:r>
      <w:r>
        <w:t xml:space="preserve"> </w:t>
      </w:r>
      <w:r w:rsidRPr="00C24683">
        <w:t>(dále</w:t>
      </w:r>
      <w:r>
        <w:t xml:space="preserve"> </w:t>
      </w:r>
      <w:r w:rsidRPr="00C24683">
        <w:t>jen</w:t>
      </w:r>
      <w:r>
        <w:t xml:space="preserve"> </w:t>
      </w:r>
      <w:r w:rsidRPr="00C24683">
        <w:t>"Ústav")</w:t>
      </w:r>
      <w:r>
        <w:t xml:space="preserve"> </w:t>
      </w:r>
      <w:r w:rsidRPr="00C24683">
        <w:t>je</w:t>
      </w:r>
      <w:r>
        <w:t xml:space="preserve"> </w:t>
      </w:r>
      <w:r w:rsidRPr="00C24683">
        <w:t>správním</w:t>
      </w:r>
      <w:r>
        <w:t xml:space="preserve"> </w:t>
      </w:r>
      <w:r w:rsidRPr="00C24683">
        <w:t>úřadem</w:t>
      </w:r>
      <w:r>
        <w:t xml:space="preserve"> </w:t>
      </w:r>
      <w:r w:rsidRPr="00C24683">
        <w:t>podřízeným</w:t>
      </w:r>
      <w:r>
        <w:t xml:space="preserve"> </w:t>
      </w:r>
      <w:r w:rsidRPr="00C24683">
        <w:t>Ministerstvu</w:t>
      </w:r>
      <w:r>
        <w:t xml:space="preserve"> </w:t>
      </w:r>
      <w:r w:rsidRPr="00C24683">
        <w:t>zemědělství</w:t>
      </w:r>
      <w:r>
        <w:t xml:space="preserve"> </w:t>
      </w:r>
      <w:r w:rsidRPr="00C24683">
        <w:t>(dále</w:t>
      </w:r>
      <w:r>
        <w:t xml:space="preserve"> </w:t>
      </w:r>
      <w:r w:rsidRPr="00C24683">
        <w:t>jen</w:t>
      </w:r>
      <w:r>
        <w:t xml:space="preserve"> </w:t>
      </w:r>
      <w:r w:rsidRPr="00C24683">
        <w:t>"ministerstvo").</w:t>
      </w:r>
      <w:r>
        <w:t xml:space="preserve"> </w:t>
      </w:r>
      <w:r w:rsidRPr="00C24683">
        <w:t>Ústav</w:t>
      </w:r>
      <w:r>
        <w:t xml:space="preserve"> </w:t>
      </w:r>
      <w:r w:rsidRPr="00C24683">
        <w:t>provádí</w:t>
      </w:r>
      <w:r>
        <w:t xml:space="preserve"> </w:t>
      </w:r>
      <w:r w:rsidRPr="00C24683">
        <w:t>rovněž</w:t>
      </w:r>
      <w:r>
        <w:t xml:space="preserve"> </w:t>
      </w:r>
      <w:r w:rsidRPr="00C24683">
        <w:t>odborné</w:t>
      </w:r>
      <w:r>
        <w:t xml:space="preserve"> </w:t>
      </w:r>
      <w:r w:rsidRPr="00C24683">
        <w:t>a</w:t>
      </w:r>
      <w:r>
        <w:t xml:space="preserve"> </w:t>
      </w:r>
      <w:r w:rsidRPr="00C24683">
        <w:t>zkušební</w:t>
      </w:r>
      <w:r>
        <w:t xml:space="preserve"> </w:t>
      </w:r>
      <w:r w:rsidRPr="00C24683">
        <w:t>úkony</w:t>
      </w:r>
      <w:r>
        <w:t xml:space="preserve"> </w:t>
      </w:r>
      <w:r w:rsidRPr="00C24683">
        <w:t>(§</w:t>
      </w:r>
      <w:r>
        <w:t xml:space="preserve"> </w:t>
      </w:r>
      <w:r w:rsidRPr="00C24683">
        <w:t>2)</w:t>
      </w:r>
      <w:r>
        <w:t xml:space="preserve"> </w:t>
      </w:r>
      <w:r w:rsidRPr="00C24683">
        <w:t>a</w:t>
      </w:r>
      <w:r>
        <w:t xml:space="preserve"> </w:t>
      </w:r>
      <w:r w:rsidRPr="00C24683">
        <w:t>odborné</w:t>
      </w:r>
      <w:r>
        <w:t xml:space="preserve"> </w:t>
      </w:r>
      <w:r w:rsidRPr="00C24683">
        <w:t>činnosti</w:t>
      </w:r>
      <w:r>
        <w:t xml:space="preserve"> </w:t>
      </w:r>
      <w:r w:rsidRPr="00C24683">
        <w:t>(§</w:t>
      </w:r>
      <w:r>
        <w:t xml:space="preserve"> </w:t>
      </w:r>
      <w:r w:rsidRPr="00C24683">
        <w:t>3).</w:t>
      </w:r>
    </w:p>
    <w:p w14:paraId="002714F0" w14:textId="41708B58" w:rsidR="00F40F56" w:rsidRDefault="00F40F56" w:rsidP="0055341F">
      <w:pPr>
        <w:pStyle w:val="Textparagrafu"/>
        <w:numPr>
          <w:ilvl w:val="0"/>
          <w:numId w:val="27"/>
        </w:numPr>
        <w:tabs>
          <w:tab w:val="left" w:pos="392"/>
          <w:tab w:val="left" w:pos="840"/>
        </w:tabs>
        <w:spacing w:before="120" w:after="120"/>
        <w:ind w:firstLine="425"/>
      </w:pPr>
      <w:r w:rsidRPr="00C24683">
        <w:t>(2)</w:t>
      </w:r>
      <w:r>
        <w:t xml:space="preserve"> </w:t>
      </w:r>
      <w:r w:rsidRPr="00C24683">
        <w:t>Ústav</w:t>
      </w:r>
      <w:r>
        <w:t xml:space="preserve"> </w:t>
      </w:r>
      <w:r w:rsidRPr="00C24683">
        <w:t>je</w:t>
      </w:r>
      <w:r>
        <w:t xml:space="preserve"> </w:t>
      </w:r>
      <w:r w:rsidRPr="00C24683">
        <w:t>organizační</w:t>
      </w:r>
      <w:r>
        <w:t xml:space="preserve"> </w:t>
      </w:r>
      <w:r w:rsidRPr="00C24683">
        <w:t>složkou</w:t>
      </w:r>
      <w:r>
        <w:t xml:space="preserve"> </w:t>
      </w:r>
      <w:r w:rsidRPr="00C24683">
        <w:t>státu</w:t>
      </w:r>
      <w:r w:rsidRPr="00F40F56">
        <w:rPr>
          <w:strike/>
        </w:rPr>
        <w:t>,</w:t>
      </w:r>
      <w:r>
        <w:rPr>
          <w:rStyle w:val="Znakapoznpodarou"/>
        </w:rPr>
        <w:footnoteReference w:customMarkFollows="1" w:id="444"/>
        <w:t>1)</w:t>
      </w:r>
      <w:r>
        <w:t xml:space="preserve"> </w:t>
      </w:r>
      <w:r w:rsidRPr="00F40F56">
        <w:rPr>
          <w:strike/>
        </w:rPr>
        <w:t>je účetní jednotkou</w:t>
      </w:r>
      <w:r>
        <w:t>.</w:t>
      </w:r>
      <w:r w:rsidRPr="00F40F56">
        <w:rPr>
          <w:rStyle w:val="Znakapoznpodarou"/>
          <w:strike/>
        </w:rPr>
        <w:footnoteReference w:customMarkFollows="1" w:id="445"/>
        <w:t>2)</w:t>
      </w:r>
      <w:r>
        <w:t xml:space="preserve"> </w:t>
      </w:r>
      <w:r w:rsidRPr="00C24683">
        <w:t>Sídlem</w:t>
      </w:r>
      <w:r>
        <w:t xml:space="preserve"> </w:t>
      </w:r>
      <w:r w:rsidRPr="00C24683">
        <w:t>Ústavu</w:t>
      </w:r>
      <w:r>
        <w:t xml:space="preserve"> </w:t>
      </w:r>
      <w:r w:rsidRPr="00C24683">
        <w:t>je</w:t>
      </w:r>
      <w:r>
        <w:t xml:space="preserve"> </w:t>
      </w:r>
      <w:r w:rsidRPr="00C24683">
        <w:t>Brno.</w:t>
      </w:r>
    </w:p>
    <w:p w14:paraId="51FA72B1" w14:textId="77777777" w:rsidR="007306B8" w:rsidRDefault="00F40F56" w:rsidP="0055341F">
      <w:pPr>
        <w:pStyle w:val="Textparagrafu"/>
        <w:numPr>
          <w:ilvl w:val="0"/>
          <w:numId w:val="27"/>
        </w:numPr>
        <w:tabs>
          <w:tab w:val="left" w:pos="392"/>
          <w:tab w:val="left" w:pos="840"/>
        </w:tabs>
        <w:spacing w:before="120" w:after="120"/>
        <w:ind w:firstLine="425"/>
        <w:sectPr w:rsidR="007306B8" w:rsidSect="00554E2B">
          <w:footnotePr>
            <w:numStart w:val="3"/>
          </w:footnotePr>
          <w:endnotePr>
            <w:numFmt w:val="decimal"/>
          </w:endnotePr>
          <w:pgSz w:w="11906" w:h="16838"/>
          <w:pgMar w:top="1418" w:right="1418" w:bottom="1418" w:left="1418" w:header="709" w:footer="709" w:gutter="0"/>
          <w:cols w:space="708"/>
          <w:docGrid w:linePitch="360"/>
        </w:sectPr>
      </w:pPr>
      <w:r w:rsidRPr="00C24683">
        <w:t>(3)</w:t>
      </w:r>
      <w:r>
        <w:t xml:space="preserve"> </w:t>
      </w:r>
      <w:r w:rsidRPr="00C24683">
        <w:t>V</w:t>
      </w:r>
      <w:r>
        <w:t xml:space="preserve"> </w:t>
      </w:r>
      <w:r w:rsidRPr="00C24683">
        <w:t>čele</w:t>
      </w:r>
      <w:r>
        <w:t xml:space="preserve"> </w:t>
      </w:r>
      <w:r w:rsidRPr="00C24683">
        <w:t>Ústavu</w:t>
      </w:r>
      <w:r>
        <w:t xml:space="preserve"> </w:t>
      </w:r>
      <w:r w:rsidRPr="00C24683">
        <w:t>je</w:t>
      </w:r>
      <w:r>
        <w:t xml:space="preserve"> </w:t>
      </w:r>
      <w:r w:rsidRPr="00C24683">
        <w:t>ředitel;</w:t>
      </w:r>
      <w:r>
        <w:t xml:space="preserve"> </w:t>
      </w:r>
      <w:r w:rsidRPr="00C24683">
        <w:t>jeho</w:t>
      </w:r>
      <w:r>
        <w:t xml:space="preserve"> </w:t>
      </w:r>
      <w:r w:rsidRPr="00C24683">
        <w:t>výběr,</w:t>
      </w:r>
      <w:r>
        <w:t xml:space="preserve"> </w:t>
      </w:r>
      <w:r w:rsidRPr="00C24683">
        <w:t>jmenování</w:t>
      </w:r>
      <w:r>
        <w:t xml:space="preserve"> </w:t>
      </w:r>
      <w:r w:rsidRPr="00C24683">
        <w:t>a</w:t>
      </w:r>
      <w:r>
        <w:t xml:space="preserve"> </w:t>
      </w:r>
      <w:r w:rsidRPr="00C24683">
        <w:t>odvolání</w:t>
      </w:r>
      <w:r>
        <w:t xml:space="preserve"> </w:t>
      </w:r>
      <w:r w:rsidRPr="00C24683">
        <w:t>se</w:t>
      </w:r>
      <w:r>
        <w:t xml:space="preserve"> </w:t>
      </w:r>
      <w:r w:rsidRPr="00C24683">
        <w:t>řídí</w:t>
      </w:r>
      <w:r>
        <w:t xml:space="preserve"> </w:t>
      </w:r>
      <w:r w:rsidRPr="00C24683">
        <w:t>zákonem</w:t>
      </w:r>
      <w:r>
        <w:t xml:space="preserve"> </w:t>
      </w:r>
      <w:r w:rsidRPr="00C24683">
        <w:t>o</w:t>
      </w:r>
      <w:r>
        <w:t xml:space="preserve"> </w:t>
      </w:r>
      <w:r w:rsidRPr="00C24683">
        <w:t>státní</w:t>
      </w:r>
      <w:r>
        <w:t xml:space="preserve"> </w:t>
      </w:r>
      <w:r w:rsidRPr="00C24683">
        <w:t>službě.</w:t>
      </w:r>
    </w:p>
    <w:p w14:paraId="1E1A6F99" w14:textId="4D2C602A" w:rsidR="007306B8" w:rsidRPr="004E367F" w:rsidRDefault="007306B8" w:rsidP="0055341F">
      <w:pPr>
        <w:tabs>
          <w:tab w:val="left" w:pos="851"/>
        </w:tabs>
        <w:spacing w:before="120" w:after="120"/>
        <w:ind w:firstLine="0"/>
        <w:jc w:val="center"/>
        <w:outlineLvl w:val="0"/>
        <w:rPr>
          <w:szCs w:val="24"/>
        </w:rPr>
      </w:pPr>
      <w:r w:rsidRPr="004E367F">
        <w:rPr>
          <w:b/>
          <w:szCs w:val="24"/>
        </w:rPr>
        <w:lastRenderedPageBreak/>
        <w:t xml:space="preserve">K části sedmdesáté </w:t>
      </w:r>
      <w:r w:rsidR="00744F85" w:rsidRPr="004E367F">
        <w:rPr>
          <w:b/>
          <w:szCs w:val="24"/>
        </w:rPr>
        <w:t>druhé</w:t>
      </w:r>
      <w:r w:rsidRPr="004E367F">
        <w:rPr>
          <w:b/>
          <w:szCs w:val="24"/>
        </w:rPr>
        <w:t xml:space="preserve"> návrhu zákona – </w:t>
      </w:r>
      <w:r w:rsidRPr="004E367F">
        <w:rPr>
          <w:szCs w:val="24"/>
        </w:rPr>
        <w:t>změna zákona</w:t>
      </w:r>
      <w:r w:rsidRPr="004E367F">
        <w:t xml:space="preserve"> </w:t>
      </w:r>
      <w:r w:rsidR="00A33B81" w:rsidRPr="004E367F">
        <w:rPr>
          <w:szCs w:val="24"/>
        </w:rPr>
        <w:t>o Úřadu pro zastupování státu ve věcech majetkových</w:t>
      </w:r>
    </w:p>
    <w:p w14:paraId="7737F0C2" w14:textId="14F85672" w:rsidR="007306B8" w:rsidRPr="004E367F" w:rsidRDefault="007306B8" w:rsidP="00A33B81">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4E367F">
        <w:rPr>
          <w:b/>
          <w:szCs w:val="24"/>
        </w:rPr>
        <w:t>Platné znění</w:t>
      </w:r>
      <w:r w:rsidRPr="004E367F">
        <w:rPr>
          <w:szCs w:val="24"/>
        </w:rPr>
        <w:t xml:space="preserve"> zákona č.</w:t>
      </w:r>
      <w:r w:rsidR="00A33B81" w:rsidRPr="004E367F">
        <w:rPr>
          <w:szCs w:val="24"/>
        </w:rPr>
        <w:t>201</w:t>
      </w:r>
      <w:r w:rsidRPr="004E367F">
        <w:rPr>
          <w:szCs w:val="24"/>
        </w:rPr>
        <w:t xml:space="preserve">/2002 Sb., </w:t>
      </w:r>
      <w:r w:rsidR="00A33B81" w:rsidRPr="004E367F">
        <w:rPr>
          <w:szCs w:val="24"/>
        </w:rPr>
        <w:t>o Úřadu pro zastupování státu ve věcech majetkových</w:t>
      </w:r>
    </w:p>
    <w:p w14:paraId="381C3AD0" w14:textId="54632ECC" w:rsidR="007306B8" w:rsidRPr="004E367F" w:rsidRDefault="0055341F" w:rsidP="007306B8">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AE4818">
        <w:rPr>
          <w:b/>
          <w:szCs w:val="24"/>
          <w:lang w:eastAsia="en-US"/>
        </w:rPr>
        <w:t>s vyznačením navrhovaných změn a doplnění k 1. lednu 2025</w:t>
      </w:r>
    </w:p>
    <w:p w14:paraId="31292C11" w14:textId="77777777" w:rsidR="004E367F" w:rsidRPr="00451769" w:rsidRDefault="004E367F" w:rsidP="002E5142">
      <w:pPr>
        <w:pStyle w:val="Paragraf"/>
        <w:numPr>
          <w:ilvl w:val="0"/>
          <w:numId w:val="29"/>
        </w:numPr>
        <w:spacing w:after="120"/>
      </w:pPr>
      <w:r>
        <w:t>§ 1</w:t>
      </w:r>
    </w:p>
    <w:p w14:paraId="138C5F52" w14:textId="77777777" w:rsidR="004E367F" w:rsidRDefault="004E367F" w:rsidP="0055341F">
      <w:pPr>
        <w:pStyle w:val="Textodstavce"/>
        <w:ind w:firstLine="425"/>
      </w:pPr>
      <w:r>
        <w:t xml:space="preserve">(1) </w:t>
      </w:r>
      <w:r w:rsidRPr="006A5271">
        <w:t>Zřizuje se Úřad pro zastupování státu ve věcech majetkových (dále jen "Úřad").</w:t>
      </w:r>
    </w:p>
    <w:p w14:paraId="0B3189C9" w14:textId="77777777" w:rsidR="004E367F" w:rsidRDefault="004E367F" w:rsidP="0055341F">
      <w:pPr>
        <w:pStyle w:val="Textodstavce"/>
        <w:ind w:firstLine="425"/>
      </w:pPr>
      <w:proofErr w:type="gramStart"/>
      <w:r>
        <w:t xml:space="preserve">(2) </w:t>
      </w:r>
      <w:r w:rsidRPr="006A5271">
        <w:t>Úřad</w:t>
      </w:r>
      <w:proofErr w:type="gramEnd"/>
      <w:r w:rsidRPr="006A5271">
        <w:t xml:space="preserve"> je orgánem České republiky (dále jen "stát"), </w:t>
      </w:r>
      <w:proofErr w:type="gramStart"/>
      <w:r w:rsidRPr="006A5271">
        <w:t>který</w:t>
      </w:r>
      <w:proofErr w:type="gramEnd"/>
    </w:p>
    <w:p w14:paraId="067F91F4" w14:textId="77777777" w:rsidR="004E367F" w:rsidRDefault="004E367F" w:rsidP="00C4511E">
      <w:pPr>
        <w:pStyle w:val="PZTextpsmene"/>
        <w:spacing w:before="0"/>
        <w:ind w:left="426" w:hanging="426"/>
      </w:pPr>
      <w:r>
        <w:t>a)</w:t>
      </w:r>
      <w:r>
        <w:tab/>
        <w:t>jedná v řízení před soudy, rozhodci nebo stálými rozhodčími soudy (dále jen "rozhodčí orgány"), správními úřady a jinými orgány,</w:t>
      </w:r>
      <w:r>
        <w:rPr>
          <w:rStyle w:val="Znakapoznpodarou"/>
        </w:rPr>
        <w:footnoteReference w:customMarkFollows="1" w:id="446"/>
        <w:t>1)</w:t>
      </w:r>
    </w:p>
    <w:p w14:paraId="670EFE60" w14:textId="77777777" w:rsidR="004E367F" w:rsidRDefault="004E367F" w:rsidP="00C4511E">
      <w:pPr>
        <w:pStyle w:val="PZTextpsmene"/>
        <w:spacing w:before="0"/>
        <w:ind w:left="426" w:hanging="426"/>
      </w:pPr>
      <w:r>
        <w:t>b)</w:t>
      </w:r>
      <w:r>
        <w:tab/>
        <w:t>zpracovává právní stanoviska,</w:t>
      </w:r>
    </w:p>
    <w:p w14:paraId="4541A6AE" w14:textId="77777777" w:rsidR="004E367F" w:rsidRDefault="004E367F" w:rsidP="00C4511E">
      <w:pPr>
        <w:pStyle w:val="PZTextpsmene"/>
        <w:spacing w:before="0"/>
        <w:ind w:left="426" w:hanging="426"/>
      </w:pPr>
      <w:r>
        <w:t>c)</w:t>
      </w:r>
      <w:r>
        <w:tab/>
        <w:t>plní další úkoly stanovené zvláštními právními předpisy a tímto zákonem.</w:t>
      </w:r>
    </w:p>
    <w:p w14:paraId="02A43A14" w14:textId="77777777" w:rsidR="004E367F" w:rsidRDefault="004E367F" w:rsidP="0055341F">
      <w:pPr>
        <w:pStyle w:val="Textodstavce"/>
        <w:ind w:firstLine="425"/>
      </w:pPr>
      <w:r>
        <w:t xml:space="preserve">(3) </w:t>
      </w:r>
      <w:r w:rsidRPr="006A5271">
        <w:t xml:space="preserve">Úřad je organizační složkou státu (dále jen "organizační složka") </w:t>
      </w:r>
      <w:r w:rsidRPr="00582D0E">
        <w:rPr>
          <w:strike/>
        </w:rPr>
        <w:t>a účetní jednotkou</w:t>
      </w:r>
      <w:r w:rsidRPr="006A5271">
        <w:t>.</w:t>
      </w:r>
    </w:p>
    <w:p w14:paraId="7154D513" w14:textId="77777777" w:rsidR="004E367F" w:rsidRDefault="004E367F" w:rsidP="0055341F">
      <w:pPr>
        <w:pStyle w:val="Textodstavce"/>
        <w:ind w:firstLine="425"/>
      </w:pPr>
      <w:r>
        <w:t xml:space="preserve">(4) </w:t>
      </w:r>
      <w:r w:rsidRPr="006A5271">
        <w:t>Sídlem Úřadu je Praha.</w:t>
      </w:r>
    </w:p>
    <w:p w14:paraId="5E7F2281" w14:textId="77777777" w:rsidR="004E367F" w:rsidRDefault="004E367F" w:rsidP="00C4511E">
      <w:pPr>
        <w:pStyle w:val="Paragraf"/>
        <w:numPr>
          <w:ilvl w:val="0"/>
          <w:numId w:val="29"/>
        </w:numPr>
        <w:spacing w:after="120"/>
      </w:pPr>
      <w:r>
        <w:t>***</w:t>
      </w:r>
    </w:p>
    <w:p w14:paraId="4E5B8F4C" w14:textId="77777777" w:rsidR="004E367F" w:rsidRDefault="004E367F" w:rsidP="00C4511E">
      <w:pPr>
        <w:pStyle w:val="Paragraf"/>
        <w:numPr>
          <w:ilvl w:val="0"/>
          <w:numId w:val="29"/>
        </w:numPr>
        <w:spacing w:after="120"/>
      </w:pPr>
      <w:r>
        <w:t>§ 3</w:t>
      </w:r>
    </w:p>
    <w:p w14:paraId="299527AF" w14:textId="77777777" w:rsidR="004E367F" w:rsidRDefault="004E367F" w:rsidP="0055341F">
      <w:pPr>
        <w:pStyle w:val="Textodstavce"/>
        <w:ind w:firstLine="425"/>
      </w:pPr>
      <w:r>
        <w:t xml:space="preserve">(1) </w:t>
      </w:r>
      <w:r w:rsidRPr="00871F4F">
        <w:t>Úřad jedná (§ 2) v</w:t>
      </w:r>
      <w:r>
        <w:t> </w:t>
      </w:r>
      <w:r w:rsidRPr="00871F4F">
        <w:t>řízení</w:t>
      </w:r>
    </w:p>
    <w:p w14:paraId="5A202C94" w14:textId="77777777" w:rsidR="004E367F" w:rsidRDefault="004E367F" w:rsidP="00C4511E">
      <w:pPr>
        <w:pStyle w:val="PZTextpsmene"/>
        <w:spacing w:before="0"/>
        <w:ind w:left="426" w:hanging="426"/>
      </w:pPr>
      <w:r>
        <w:t>a)</w:t>
      </w:r>
      <w:r>
        <w:tab/>
        <w:t>před tuzemskými soudy a rozhodčími orgány ve věci určení vlastnického práva státu</w:t>
      </w:r>
    </w:p>
    <w:p w14:paraId="1F5B18F6" w14:textId="1AA4BB5A" w:rsidR="004E367F" w:rsidRPr="008037B6" w:rsidRDefault="0055341F" w:rsidP="0055341F">
      <w:pPr>
        <w:pStyle w:val="Textpsmene"/>
        <w:spacing w:before="0"/>
        <w:ind w:left="850" w:hanging="425"/>
        <w:rPr>
          <w:strike/>
        </w:rPr>
      </w:pPr>
      <w:r>
        <w:rPr>
          <w:strike/>
        </w:rPr>
        <w:t xml:space="preserve">1. </w:t>
      </w:r>
      <w:r w:rsidR="004E367F" w:rsidRPr="008037B6">
        <w:rPr>
          <w:strike/>
        </w:rPr>
        <w:t>ke hmotné nemovité věci, jejíž ocenění podle zvláštního právního předpisu</w:t>
      </w:r>
      <w:r w:rsidR="004E367F" w:rsidRPr="008037B6">
        <w:rPr>
          <w:rStyle w:val="Znakapoznpodarou"/>
          <w:strike/>
        </w:rPr>
        <w:footnoteReference w:customMarkFollows="1" w:id="447"/>
        <w:t>4)</w:t>
      </w:r>
      <w:r w:rsidR="004E367F" w:rsidRPr="008037B6">
        <w:rPr>
          <w:strike/>
        </w:rPr>
        <w:t xml:space="preserve"> přesahuje v době zahájení řízení částku 25 000 000 Kč,</w:t>
      </w:r>
    </w:p>
    <w:p w14:paraId="04D95E20" w14:textId="77777777" w:rsidR="004E367F" w:rsidRPr="008037B6" w:rsidRDefault="004E367F" w:rsidP="0055341F">
      <w:pPr>
        <w:pStyle w:val="Textpsmene"/>
        <w:spacing w:before="0"/>
        <w:ind w:left="850" w:hanging="425"/>
      </w:pPr>
      <w:proofErr w:type="gramStart"/>
      <w:r w:rsidRPr="008037B6">
        <w:rPr>
          <w:strike/>
        </w:rPr>
        <w:t>2.</w:t>
      </w:r>
      <w:r w:rsidRPr="008037B6">
        <w:rPr>
          <w:b/>
        </w:rPr>
        <w:t>1.</w:t>
      </w:r>
      <w:r w:rsidRPr="008037B6">
        <w:t xml:space="preserve"> ke</w:t>
      </w:r>
      <w:proofErr w:type="gramEnd"/>
      <w:r w:rsidRPr="008037B6">
        <w:t xml:space="preserve"> hmotné nemovité nebo movité věci prohlášené za národní kulturní památku,</w:t>
      </w:r>
    </w:p>
    <w:p w14:paraId="21FCB36A" w14:textId="77777777" w:rsidR="004E367F" w:rsidRDefault="004E367F" w:rsidP="0055341F">
      <w:pPr>
        <w:pStyle w:val="Textpsmene"/>
        <w:spacing w:before="0"/>
        <w:ind w:left="850" w:hanging="425"/>
      </w:pPr>
      <w:proofErr w:type="gramStart"/>
      <w:r w:rsidRPr="008037B6">
        <w:rPr>
          <w:strike/>
        </w:rPr>
        <w:t>3.</w:t>
      </w:r>
      <w:r w:rsidRPr="008037B6">
        <w:rPr>
          <w:b/>
        </w:rPr>
        <w:t xml:space="preserve">2. </w:t>
      </w:r>
      <w:r w:rsidRPr="008037B6">
        <w:t>ke</w:t>
      </w:r>
      <w:proofErr w:type="gramEnd"/>
      <w:r w:rsidRPr="008037B6">
        <w:t xml:space="preserve"> </w:t>
      </w:r>
      <w:r>
        <w:t>stavbě, která je sídlem Parlamentu, prezidenta republiky, vlády, ministerstva nebo jiného ústředního správního úřadu, Ústavního soudu, Nejvyššího soudu, Nejvyššího správního soudu a Nejvyššího kontrolního úřadu, nebo pozemku touto stavbou zastavěnému,</w:t>
      </w:r>
    </w:p>
    <w:p w14:paraId="767BAF6A" w14:textId="77777777" w:rsidR="004E367F" w:rsidRDefault="004E367F" w:rsidP="0055341F">
      <w:pPr>
        <w:pStyle w:val="Textpsmene"/>
        <w:spacing w:before="0"/>
        <w:ind w:left="850" w:hanging="425"/>
      </w:pPr>
      <w:r>
        <w:t>anebo ve věci vyklizení uvedených nemovitých věcí, popřípadě vydání uvedené movité věci,</w:t>
      </w:r>
    </w:p>
    <w:p w14:paraId="02056169" w14:textId="77777777" w:rsidR="004E367F" w:rsidRDefault="004E367F" w:rsidP="00C4511E">
      <w:pPr>
        <w:pStyle w:val="PZTextpsmene"/>
        <w:spacing w:before="0"/>
        <w:ind w:left="426" w:hanging="426"/>
      </w:pPr>
      <w:r>
        <w:t>b)</w:t>
      </w:r>
      <w:r>
        <w:tab/>
        <w:t>před tuzemskými soudy a rozhodčími orgány ve věci peněžitého plnění převyšujícího 50 000 000 Kč a v obchodních věcech 250 000 000 Kč,</w:t>
      </w:r>
    </w:p>
    <w:p w14:paraId="23769BD7" w14:textId="77777777" w:rsidR="004E367F" w:rsidRDefault="004E367F" w:rsidP="00C4511E">
      <w:pPr>
        <w:pStyle w:val="PZTextpsmene"/>
        <w:spacing w:before="0"/>
        <w:ind w:left="426" w:hanging="426"/>
      </w:pPr>
      <w:r>
        <w:t>c)</w:t>
      </w:r>
      <w:r>
        <w:tab/>
        <w:t>před zahraničními a mezinárodními soudy a rozhodčími orgány ve věci peněžitého plnění převyšujícího 50 000 000 Kč a v obchodních věcech 100 000 000 Kč,</w:t>
      </w:r>
    </w:p>
    <w:p w14:paraId="18453E68" w14:textId="77777777" w:rsidR="004E367F" w:rsidRDefault="004E367F" w:rsidP="00C4511E">
      <w:pPr>
        <w:pStyle w:val="PZTextpsmene"/>
        <w:spacing w:before="0"/>
        <w:ind w:left="426" w:hanging="426"/>
      </w:pPr>
      <w:r>
        <w:t>d)</w:t>
      </w:r>
      <w:r>
        <w:tab/>
        <w:t>před Ústavním soudem o ústavní stížnosti v případech, kdy podaná ústavní stížnost souvisí s věcí týkající se majetku.</w:t>
      </w:r>
    </w:p>
    <w:p w14:paraId="3377E836" w14:textId="034F6A6F" w:rsidR="0006588E" w:rsidRDefault="004E367F" w:rsidP="0006588E">
      <w:pPr>
        <w:pStyle w:val="Textodstavce"/>
        <w:ind w:firstLine="425"/>
      </w:pPr>
      <w:r>
        <w:t xml:space="preserve">(2) </w:t>
      </w:r>
      <w:r w:rsidRPr="00871F4F">
        <w:t>Podává-li ústavní stížnost v případě uvedeném v odstavci 1 písm. d) Úřad, činí tak z vlastního nebo jiného podnětu. Nepovažuje-li podnět za opodstatněný, vyrozumí o tom s uvedením důvodů toho, kdo podnět podal, a příslušnou organizační složku.</w:t>
      </w:r>
    </w:p>
    <w:p w14:paraId="40E266E7" w14:textId="048928EC" w:rsidR="0006588E" w:rsidRDefault="004E367F" w:rsidP="0006588E">
      <w:pPr>
        <w:pStyle w:val="Textodstavce"/>
        <w:ind w:firstLine="425"/>
      </w:pPr>
      <w:r>
        <w:lastRenderedPageBreak/>
        <w:t xml:space="preserve">(3) </w:t>
      </w:r>
      <w:r w:rsidRPr="00871F4F">
        <w:t>V případech podle odstavce 1 písm. b) a c) se k příslušenství pohledávky nepřihlíží.</w:t>
      </w:r>
    </w:p>
    <w:p w14:paraId="41152980" w14:textId="579F7FC5" w:rsidR="00B600B5" w:rsidRPr="00C4511E" w:rsidRDefault="00B600B5" w:rsidP="0006588E">
      <w:pPr>
        <w:tabs>
          <w:tab w:val="left" w:pos="851"/>
        </w:tabs>
        <w:spacing w:before="120" w:after="120"/>
        <w:ind w:firstLine="0"/>
        <w:jc w:val="center"/>
        <w:outlineLvl w:val="0"/>
        <w:rPr>
          <w:szCs w:val="24"/>
        </w:rPr>
      </w:pPr>
      <w:r w:rsidRPr="00C4511E">
        <w:rPr>
          <w:b/>
          <w:szCs w:val="24"/>
        </w:rPr>
        <w:t xml:space="preserve">K části sedmdesáté </w:t>
      </w:r>
      <w:r w:rsidR="00C4511E" w:rsidRPr="00C4511E">
        <w:rPr>
          <w:b/>
          <w:szCs w:val="24"/>
        </w:rPr>
        <w:t>třetí</w:t>
      </w:r>
      <w:r w:rsidRPr="00C4511E">
        <w:rPr>
          <w:b/>
          <w:szCs w:val="24"/>
        </w:rPr>
        <w:t xml:space="preserve"> návrhu zákona – </w:t>
      </w:r>
      <w:r w:rsidRPr="00C4511E">
        <w:rPr>
          <w:szCs w:val="24"/>
        </w:rPr>
        <w:t>změna zákona</w:t>
      </w:r>
      <w:r w:rsidRPr="00C4511E">
        <w:t xml:space="preserve"> </w:t>
      </w:r>
      <w:r w:rsidRPr="00C4511E">
        <w:rPr>
          <w:szCs w:val="24"/>
        </w:rPr>
        <w:t>o finančním arbitrovi</w:t>
      </w:r>
    </w:p>
    <w:p w14:paraId="63E5F0B5" w14:textId="47628085" w:rsidR="00B600B5" w:rsidRPr="00C4511E" w:rsidRDefault="00B600B5" w:rsidP="00B600B5">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C4511E">
        <w:rPr>
          <w:b/>
          <w:szCs w:val="24"/>
        </w:rPr>
        <w:t>Platné znění</w:t>
      </w:r>
      <w:r w:rsidRPr="00C4511E">
        <w:rPr>
          <w:szCs w:val="24"/>
        </w:rPr>
        <w:t xml:space="preserve"> zákona č.229/2002 Sb., o finančním arbitrovi</w:t>
      </w:r>
    </w:p>
    <w:p w14:paraId="07504E76" w14:textId="3F239F24" w:rsidR="00B600B5" w:rsidRPr="00C4511E" w:rsidRDefault="0006588E" w:rsidP="00B600B5">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AE4818">
        <w:rPr>
          <w:b/>
          <w:szCs w:val="24"/>
          <w:lang w:eastAsia="en-US"/>
        </w:rPr>
        <w:t>s vyznačením navrhovaných změn a doplnění k 1. lednu 2025</w:t>
      </w:r>
    </w:p>
    <w:p w14:paraId="3235EF6D" w14:textId="77777777" w:rsidR="00B600B5" w:rsidRDefault="00B600B5" w:rsidP="00B600B5">
      <w:pPr>
        <w:pStyle w:val="Textparagrafu"/>
        <w:numPr>
          <w:ilvl w:val="0"/>
          <w:numId w:val="27"/>
        </w:numPr>
        <w:tabs>
          <w:tab w:val="left" w:pos="392"/>
          <w:tab w:val="left" w:pos="840"/>
        </w:tabs>
        <w:spacing w:after="120"/>
        <w:jc w:val="center"/>
      </w:pPr>
      <w:r>
        <w:t>***</w:t>
      </w:r>
    </w:p>
    <w:p w14:paraId="5F08DBFA" w14:textId="77777777" w:rsidR="00C4511E" w:rsidRPr="00451769" w:rsidRDefault="00C4511E" w:rsidP="00C4511E">
      <w:pPr>
        <w:pStyle w:val="Paragraf"/>
        <w:numPr>
          <w:ilvl w:val="0"/>
          <w:numId w:val="27"/>
        </w:numPr>
        <w:spacing w:after="120"/>
      </w:pPr>
      <w:r>
        <w:t>§ 1a</w:t>
      </w:r>
    </w:p>
    <w:p w14:paraId="71EBF576" w14:textId="77777777" w:rsidR="00C4511E" w:rsidRDefault="00C4511E" w:rsidP="0006588E">
      <w:pPr>
        <w:pStyle w:val="Textodstavce"/>
        <w:ind w:firstLine="425"/>
      </w:pPr>
      <w:r>
        <w:t xml:space="preserve">(1) </w:t>
      </w:r>
      <w:r w:rsidRPr="007A3FB0">
        <w:t>Úkoly spojené s odborným, organizačním a technickým zabezpečením činnosti arbitra plní Kancelář finančního arbitra, která je organizační složkou státu</w:t>
      </w:r>
      <w:r w:rsidRPr="002971D1">
        <w:t>,</w:t>
      </w:r>
      <w:r w:rsidRPr="002971D1">
        <w:rPr>
          <w:strike/>
        </w:rPr>
        <w:t xml:space="preserve"> účetní jednotkou a</w:t>
      </w:r>
      <w:r w:rsidRPr="002971D1">
        <w:t xml:space="preserve"> </w:t>
      </w:r>
      <w:r w:rsidRPr="007A3FB0">
        <w:t>jejíž příjmy a výdaje jsou součástí rozpočtové kapitoly Ministerstva financí.</w:t>
      </w:r>
    </w:p>
    <w:p w14:paraId="0434A270" w14:textId="77777777" w:rsidR="00C4511E" w:rsidRDefault="00C4511E" w:rsidP="0006588E">
      <w:pPr>
        <w:pStyle w:val="Textodstavce"/>
        <w:ind w:firstLine="425"/>
      </w:pPr>
      <w:r>
        <w:t xml:space="preserve">(2) </w:t>
      </w:r>
      <w:r w:rsidRPr="007A3FB0">
        <w:t>V čele Kanceláře finančního arbitra je arbitr.</w:t>
      </w:r>
    </w:p>
    <w:p w14:paraId="72484BD2" w14:textId="77777777" w:rsidR="00C4511E" w:rsidRDefault="00C4511E" w:rsidP="0006588E">
      <w:pPr>
        <w:pStyle w:val="Textodstavce"/>
        <w:ind w:firstLine="425"/>
      </w:pPr>
      <w:r>
        <w:t xml:space="preserve">(3) </w:t>
      </w:r>
      <w:r w:rsidRPr="007A3FB0">
        <w:t>Organizaci a úkoly Kanceláře finančního arbitra upravuje statut, který vydá arbitr.</w:t>
      </w:r>
    </w:p>
    <w:p w14:paraId="5A91ACC6" w14:textId="77777777" w:rsidR="00C4511E" w:rsidRDefault="00C4511E" w:rsidP="0006588E">
      <w:pPr>
        <w:pStyle w:val="Textodstavce"/>
        <w:ind w:firstLine="425"/>
      </w:pPr>
      <w:r>
        <w:t xml:space="preserve">(4) </w:t>
      </w:r>
      <w:r w:rsidRPr="007A3FB0">
        <w:t>Pracovní poměr a odměňování arbitra, zástupce arbitra a dalších zaměstnanců v Kanceláři finančního arbitra se řídí zákoníkem práce.</w:t>
      </w:r>
      <w:r>
        <w:t xml:space="preserve"> </w:t>
      </w:r>
    </w:p>
    <w:p w14:paraId="28FE81D4" w14:textId="46C762E7" w:rsidR="00B600B5" w:rsidRDefault="00B600B5" w:rsidP="00B600B5">
      <w:pPr>
        <w:pStyle w:val="Textparagrafu"/>
        <w:tabs>
          <w:tab w:val="left" w:pos="392"/>
          <w:tab w:val="left" w:pos="840"/>
        </w:tabs>
        <w:spacing w:after="120"/>
        <w:jc w:val="center"/>
      </w:pPr>
    </w:p>
    <w:p w14:paraId="59568D90" w14:textId="77777777" w:rsidR="00B600B5" w:rsidRDefault="00B600B5" w:rsidP="0006588E">
      <w:pPr>
        <w:pStyle w:val="Textparagrafu"/>
        <w:tabs>
          <w:tab w:val="left" w:pos="392"/>
          <w:tab w:val="left" w:pos="840"/>
        </w:tabs>
        <w:spacing w:after="120"/>
        <w:ind w:left="426" w:firstLine="0"/>
        <w:sectPr w:rsidR="00B600B5" w:rsidSect="00554E2B">
          <w:footnotePr>
            <w:numStart w:val="3"/>
          </w:footnotePr>
          <w:endnotePr>
            <w:numFmt w:val="decimal"/>
          </w:endnotePr>
          <w:pgSz w:w="11906" w:h="16838"/>
          <w:pgMar w:top="1418" w:right="1418" w:bottom="1418" w:left="1418" w:header="709" w:footer="709" w:gutter="0"/>
          <w:cols w:space="708"/>
          <w:docGrid w:linePitch="360"/>
        </w:sectPr>
      </w:pPr>
    </w:p>
    <w:p w14:paraId="2C52097A" w14:textId="2EF80732" w:rsidR="00B600B5" w:rsidRPr="00E46201" w:rsidRDefault="00B600B5" w:rsidP="0006588E">
      <w:pPr>
        <w:tabs>
          <w:tab w:val="left" w:pos="851"/>
        </w:tabs>
        <w:spacing w:before="120" w:after="120"/>
        <w:ind w:firstLine="0"/>
        <w:jc w:val="center"/>
        <w:outlineLvl w:val="0"/>
        <w:rPr>
          <w:szCs w:val="24"/>
        </w:rPr>
      </w:pPr>
      <w:r w:rsidRPr="00E46201">
        <w:rPr>
          <w:b/>
          <w:szCs w:val="24"/>
        </w:rPr>
        <w:lastRenderedPageBreak/>
        <w:t xml:space="preserve">K části sedmdesáté </w:t>
      </w:r>
      <w:r w:rsidR="00E46201" w:rsidRPr="00E46201">
        <w:rPr>
          <w:b/>
          <w:szCs w:val="24"/>
        </w:rPr>
        <w:t>čtvrté</w:t>
      </w:r>
      <w:r w:rsidRPr="00E46201">
        <w:rPr>
          <w:b/>
          <w:szCs w:val="24"/>
        </w:rPr>
        <w:t xml:space="preserve"> návrhu zákona – </w:t>
      </w:r>
      <w:r w:rsidRPr="00E46201">
        <w:rPr>
          <w:szCs w:val="24"/>
        </w:rPr>
        <w:t>změna zákona</w:t>
      </w:r>
      <w:r w:rsidRPr="00E46201">
        <w:t xml:space="preserve"> </w:t>
      </w:r>
      <w:r w:rsidRPr="00E46201">
        <w:rPr>
          <w:szCs w:val="24"/>
        </w:rPr>
        <w:t>o dluhopisech</w:t>
      </w:r>
    </w:p>
    <w:p w14:paraId="62425241" w14:textId="6A4E9717" w:rsidR="00B600B5" w:rsidRPr="00E46201" w:rsidRDefault="00B600B5" w:rsidP="00B600B5">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E46201">
        <w:rPr>
          <w:b/>
          <w:szCs w:val="24"/>
        </w:rPr>
        <w:t>Platné znění</w:t>
      </w:r>
      <w:r w:rsidRPr="00E46201">
        <w:rPr>
          <w:szCs w:val="24"/>
        </w:rPr>
        <w:t xml:space="preserve"> zákona č.190/2004 Sb., o dluhopisech</w:t>
      </w:r>
    </w:p>
    <w:p w14:paraId="255A65A6" w14:textId="7E7B834F" w:rsidR="00B600B5" w:rsidRPr="00E46201" w:rsidRDefault="0006588E" w:rsidP="00B600B5">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AE4818">
        <w:rPr>
          <w:b/>
          <w:szCs w:val="24"/>
          <w:lang w:eastAsia="en-US"/>
        </w:rPr>
        <w:t>s vyznačením navrhovaných změn a doplnění k 1. lednu 2025</w:t>
      </w:r>
    </w:p>
    <w:p w14:paraId="7CB0DED3" w14:textId="77777777" w:rsidR="00B600B5" w:rsidRDefault="00B600B5" w:rsidP="00B600B5">
      <w:pPr>
        <w:pStyle w:val="Textparagrafu"/>
        <w:numPr>
          <w:ilvl w:val="0"/>
          <w:numId w:val="27"/>
        </w:numPr>
        <w:tabs>
          <w:tab w:val="left" w:pos="392"/>
          <w:tab w:val="left" w:pos="840"/>
        </w:tabs>
        <w:spacing w:after="120"/>
        <w:jc w:val="center"/>
      </w:pPr>
      <w:r>
        <w:t>***</w:t>
      </w:r>
    </w:p>
    <w:p w14:paraId="6FF8D059" w14:textId="77777777" w:rsidR="00E46201" w:rsidRPr="00DC2721" w:rsidRDefault="00E46201" w:rsidP="00992796">
      <w:pPr>
        <w:pStyle w:val="Nadpisparagrafu"/>
        <w:numPr>
          <w:ilvl w:val="0"/>
          <w:numId w:val="39"/>
        </w:numPr>
        <w:spacing w:after="120"/>
        <w:rPr>
          <w:b w:val="0"/>
        </w:rPr>
      </w:pPr>
      <w:r>
        <w:rPr>
          <w:b w:val="0"/>
        </w:rPr>
        <w:t>§ 9a</w:t>
      </w:r>
    </w:p>
    <w:p w14:paraId="375DC784" w14:textId="77777777" w:rsidR="00E46201" w:rsidRDefault="00E46201" w:rsidP="00992796">
      <w:pPr>
        <w:pStyle w:val="Nadpisparagrafu"/>
        <w:numPr>
          <w:ilvl w:val="0"/>
          <w:numId w:val="39"/>
        </w:numPr>
        <w:spacing w:after="120"/>
      </w:pPr>
      <w:r>
        <w:t>Náležitosti emisních podmínek dluhopisu nabízeného v rámci podlimitní veřejné nabídky</w:t>
      </w:r>
    </w:p>
    <w:p w14:paraId="23BBDD0F" w14:textId="77777777" w:rsidR="00E46201" w:rsidRDefault="00E46201" w:rsidP="00272890">
      <w:pPr>
        <w:pStyle w:val="Textodstavce"/>
        <w:spacing w:before="240"/>
        <w:ind w:firstLine="425"/>
      </w:pPr>
      <w:r>
        <w:t>(1) Dluhopis je nabízen v rámci podlimitní veřejné nabídky, jestliže</w:t>
      </w:r>
    </w:p>
    <w:p w14:paraId="791C5493" w14:textId="77777777" w:rsidR="00E46201" w:rsidRDefault="00E46201" w:rsidP="0006588E">
      <w:pPr>
        <w:pStyle w:val="Textpsmene"/>
        <w:spacing w:before="0"/>
        <w:ind w:left="425" w:hanging="425"/>
      </w:pPr>
      <w:r>
        <w:t>a)</w:t>
      </w:r>
      <w:r>
        <w:tab/>
        <w:t>je jeho emitentem právnická osoba,</w:t>
      </w:r>
    </w:p>
    <w:p w14:paraId="4EE57A39" w14:textId="77777777" w:rsidR="00E46201" w:rsidRDefault="00E46201" w:rsidP="0006588E">
      <w:pPr>
        <w:pStyle w:val="Textpsmene"/>
        <w:spacing w:before="0"/>
        <w:ind w:left="425" w:hanging="425"/>
      </w:pPr>
      <w:r>
        <w:t>b)</w:t>
      </w:r>
      <w:r>
        <w:tab/>
        <w:t>je veřejně nabízen podle čl. 2 písm. d) nařízení Evropského parlamentu a Rady (EU) 2017/1129</w:t>
      </w:r>
      <w:r>
        <w:rPr>
          <w:rStyle w:val="Znakapoznpodarou"/>
        </w:rPr>
        <w:footnoteReference w:customMarkFollows="1" w:id="448"/>
        <w:t>12)</w:t>
      </w:r>
      <w:r>
        <w:t>,</w:t>
      </w:r>
    </w:p>
    <w:p w14:paraId="548EA90F" w14:textId="77777777" w:rsidR="00E46201" w:rsidRDefault="00E46201" w:rsidP="0006588E">
      <w:pPr>
        <w:pStyle w:val="Textpsmene"/>
        <w:spacing w:before="0"/>
        <w:ind w:left="425" w:hanging="425"/>
      </w:pPr>
      <w:r>
        <w:t>c)</w:t>
      </w:r>
      <w:r>
        <w:tab/>
        <w:t>není nejpozději k datu emise uveřejněn prospekt a</w:t>
      </w:r>
    </w:p>
    <w:p w14:paraId="7FF881CE" w14:textId="77777777" w:rsidR="00E46201" w:rsidRDefault="00E46201" w:rsidP="0006588E">
      <w:pPr>
        <w:pStyle w:val="Textpsmene"/>
        <w:spacing w:before="0"/>
        <w:ind w:left="425" w:hanging="425"/>
      </w:pPr>
      <w:r>
        <w:t>d)</w:t>
      </w:r>
      <w:r>
        <w:tab/>
        <w:t>je celková hodnota protiplnění nabízených dluhopisů k datu emise vyšší než částka odpovídající 100 000 EUR a nižší než částka odpovídající 1 000 000 EUR; tato částka se vypočítává za dluhopisy nabízené v členských státech Evropské unie v průběhu 12 měsíců.</w:t>
      </w:r>
    </w:p>
    <w:p w14:paraId="7B98C879" w14:textId="77777777" w:rsidR="00E46201" w:rsidRDefault="00E46201" w:rsidP="00272890">
      <w:pPr>
        <w:pStyle w:val="Textodstavce"/>
        <w:spacing w:before="240"/>
        <w:ind w:firstLine="425"/>
      </w:pPr>
      <w:r>
        <w:t>(2) Emisní podmínky dluhopisu nabízeného v rámci podlimitní veřejné nabídky obsahují kromě informací a údajů podle § 9 dále</w:t>
      </w:r>
    </w:p>
    <w:p w14:paraId="2F4FC7EA" w14:textId="77777777" w:rsidR="00E46201" w:rsidRDefault="00E46201" w:rsidP="0006588E">
      <w:pPr>
        <w:pStyle w:val="Textpsmene"/>
        <w:spacing w:before="0"/>
        <w:ind w:left="425" w:hanging="425"/>
      </w:pPr>
      <w:r>
        <w:t>a)</w:t>
      </w:r>
      <w:r>
        <w:tab/>
        <w:t>sídlo emitenta,</w:t>
      </w:r>
    </w:p>
    <w:p w14:paraId="22B51C86" w14:textId="77777777" w:rsidR="00E46201" w:rsidRDefault="00E46201" w:rsidP="0006588E">
      <w:pPr>
        <w:pStyle w:val="Textpsmene"/>
        <w:spacing w:before="0"/>
        <w:ind w:left="425" w:hanging="425"/>
      </w:pPr>
      <w:r>
        <w:t>b)</w:t>
      </w:r>
      <w:r>
        <w:tab/>
        <w:t>měsíc a rok zahájení činnosti emitenta; pokud je datum zahájení činnosti shodné se vznikem emitenta, uvede se namísto toho datum vzniku emitenta,</w:t>
      </w:r>
    </w:p>
    <w:p w14:paraId="19140338" w14:textId="77777777" w:rsidR="00E46201" w:rsidRDefault="00E46201" w:rsidP="0006588E">
      <w:pPr>
        <w:pStyle w:val="Textpsmene"/>
        <w:spacing w:before="0"/>
        <w:ind w:left="425" w:hanging="425"/>
      </w:pPr>
      <w:r>
        <w:t>c)</w:t>
      </w:r>
      <w:r>
        <w:tab/>
        <w:t>popis hlavních činností, které emitent vykonává,</w:t>
      </w:r>
    </w:p>
    <w:p w14:paraId="2FCC3A36" w14:textId="77777777" w:rsidR="00E46201" w:rsidRDefault="00E46201" w:rsidP="0006588E">
      <w:pPr>
        <w:pStyle w:val="Textpsmene"/>
        <w:spacing w:before="0"/>
        <w:ind w:left="425" w:hanging="425"/>
      </w:pPr>
      <w:r>
        <w:t>d)</w:t>
      </w:r>
      <w:r>
        <w:tab/>
        <w:t>výši minimální investice; pokud je výše minimální investice shodná se jmenovitou hodnotou dluhopisu jako dlužnou částkou, uvede se namísto toho jmenovitá hodnota dluhopisu,</w:t>
      </w:r>
    </w:p>
    <w:p w14:paraId="48E1EC4E" w14:textId="77777777" w:rsidR="00E46201" w:rsidRDefault="00E46201" w:rsidP="0006588E">
      <w:pPr>
        <w:pStyle w:val="Textpsmene"/>
        <w:spacing w:before="0"/>
        <w:ind w:left="425" w:hanging="425"/>
      </w:pPr>
      <w:r>
        <w:t>e)</w:t>
      </w:r>
      <w:r>
        <w:tab/>
        <w:t>předpokládaný objem emise,</w:t>
      </w:r>
    </w:p>
    <w:p w14:paraId="1E333924" w14:textId="77777777" w:rsidR="00E46201" w:rsidRDefault="00E46201" w:rsidP="0006588E">
      <w:pPr>
        <w:pStyle w:val="Textpsmene"/>
        <w:spacing w:before="0"/>
        <w:ind w:left="425" w:hanging="425"/>
      </w:pPr>
      <w:r>
        <w:t>f)</w:t>
      </w:r>
      <w:r>
        <w:tab/>
        <w:t>popis účelu využití peněžních prostředků získaných z emise,</w:t>
      </w:r>
    </w:p>
    <w:p w14:paraId="2E23D486" w14:textId="77777777" w:rsidR="00E46201" w:rsidRDefault="00E46201" w:rsidP="0006588E">
      <w:pPr>
        <w:pStyle w:val="Textpsmene"/>
        <w:spacing w:before="0"/>
        <w:ind w:left="425" w:hanging="425"/>
      </w:pPr>
      <w:r>
        <w:t>g)</w:t>
      </w:r>
      <w:r>
        <w:tab/>
        <w:t>plánovaný poměr cizích zdrojů k vlastnímu kapitálu alespoň do 12 měsíců před datem splatnosti,</w:t>
      </w:r>
    </w:p>
    <w:p w14:paraId="2F9CE63B" w14:textId="77777777" w:rsidR="00E46201" w:rsidRPr="0055632E" w:rsidRDefault="00E46201" w:rsidP="0006588E">
      <w:pPr>
        <w:pStyle w:val="Textpsmene"/>
        <w:spacing w:before="0"/>
        <w:ind w:left="425" w:hanging="425"/>
      </w:pPr>
      <w:r>
        <w:t>h)</w:t>
      </w:r>
      <w:r>
        <w:tab/>
        <w:t xml:space="preserve">informaci o tom, že k emisi dluhopisů nebyl schválen prospekt Českou národní bankou nebo </w:t>
      </w:r>
      <w:r w:rsidRPr="0055632E">
        <w:t>orgánem dohledu jiného členského státu Evropské unie,</w:t>
      </w:r>
    </w:p>
    <w:p w14:paraId="31393F33" w14:textId="77777777" w:rsidR="00E46201" w:rsidRPr="00AD6040" w:rsidRDefault="00E46201" w:rsidP="0006588E">
      <w:pPr>
        <w:pStyle w:val="Textpsmene"/>
        <w:spacing w:before="0"/>
        <w:ind w:left="425" w:hanging="425"/>
        <w:rPr>
          <w:strike/>
        </w:rPr>
      </w:pPr>
      <w:r w:rsidRPr="00AD6040">
        <w:rPr>
          <w:strike/>
        </w:rPr>
        <w:t>i)</w:t>
      </w:r>
      <w:r w:rsidRPr="00AD6040">
        <w:rPr>
          <w:strike/>
        </w:rPr>
        <w:tab/>
        <w:t>výroční zprávy a účetní závěrky emitenta za poslední 2 účetní období nebo období počínající vznikem emitenta, podle toho, která doba je kratší, a byla-li účetní závěrka ověřena auditorem, také zprávu auditora o ověření účetní závěrky;  výroční zprávy</w:t>
      </w:r>
      <w:r w:rsidRPr="00AD6040" w:rsidDel="00AB1104">
        <w:rPr>
          <w:strike/>
        </w:rPr>
        <w:t xml:space="preserve"> </w:t>
      </w:r>
      <w:r w:rsidRPr="00AD6040">
        <w:rPr>
          <w:strike/>
        </w:rPr>
        <w:t>účetní závěrky a zprávy auditora o ověření účetní závěrky lze připojit formou odkazu na internetové stránky emitenta nebo na sbírku listin, která je součástí veřejného rejstříku,</w:t>
      </w:r>
    </w:p>
    <w:p w14:paraId="7C3A523A" w14:textId="77777777" w:rsidR="00E46201" w:rsidRPr="00AD6040" w:rsidRDefault="00E46201" w:rsidP="0006588E">
      <w:pPr>
        <w:pStyle w:val="Textpsmene"/>
        <w:spacing w:before="0"/>
        <w:ind w:left="425" w:hanging="425"/>
        <w:rPr>
          <w:strike/>
        </w:rPr>
      </w:pPr>
      <w:r w:rsidRPr="00AD6040">
        <w:rPr>
          <w:strike/>
        </w:rPr>
        <w:t>j)</w:t>
      </w:r>
      <w:r w:rsidRPr="00AD6040">
        <w:rPr>
          <w:strike/>
        </w:rPr>
        <w:tab/>
        <w:t>v případě emitenta, který je součástí konsolidačního celku, rovněž výroční zprávy účetní závěrky</w:t>
      </w:r>
      <w:r w:rsidRPr="00AD6040">
        <w:rPr>
          <w:b/>
          <w:bCs/>
          <w:strike/>
        </w:rPr>
        <w:t xml:space="preserve">, </w:t>
      </w:r>
      <w:r w:rsidRPr="00AD6040">
        <w:rPr>
          <w:strike/>
        </w:rPr>
        <w:t xml:space="preserve">za poslední 2 účetní období nebo období počínající vznikem účetní jednotky </w:t>
      </w:r>
      <w:r w:rsidRPr="00AD6040">
        <w:rPr>
          <w:strike/>
        </w:rPr>
        <w:lastRenderedPageBreak/>
        <w:t>povinné sestavit konsolidovanou účetní závěrku, podle toho, která doba je kratší, i ve vztahu ke konsolidačnímu celku, jinak emitent uvede, že není součástí konsolidačního celku; výroční zprávy a účetní závěrky lze připojit formou odkazu na internetové stránky účetní jednotky povinné sestavit konsolidovanou účetní závěrku nebo na sbírku listin, která je součástí veřejného rejstříku,</w:t>
      </w:r>
    </w:p>
    <w:p w14:paraId="64717EF1" w14:textId="77777777" w:rsidR="00E46201" w:rsidRPr="00AD6040" w:rsidRDefault="00E46201" w:rsidP="0006588E">
      <w:pPr>
        <w:pStyle w:val="Textpsmene"/>
        <w:spacing w:before="0"/>
        <w:ind w:left="425" w:hanging="425"/>
        <w:rPr>
          <w:strike/>
        </w:rPr>
      </w:pPr>
      <w:r w:rsidRPr="00AD6040">
        <w:rPr>
          <w:strike/>
        </w:rPr>
        <w:t>k)</w:t>
      </w:r>
      <w:r w:rsidRPr="00AD6040">
        <w:rPr>
          <w:strike/>
        </w:rPr>
        <w:tab/>
        <w:t>v případě existence právnické osoby, která je ručitelem za dluhy emitenta z dluhopisů, rovněž výroční zprávy účetní závěrky</w:t>
      </w:r>
      <w:r w:rsidRPr="00AD6040">
        <w:rPr>
          <w:b/>
          <w:bCs/>
          <w:strike/>
        </w:rPr>
        <w:t xml:space="preserve">, </w:t>
      </w:r>
      <w:r w:rsidRPr="00AD6040">
        <w:rPr>
          <w:strike/>
        </w:rPr>
        <w:t>za poslední 2 účetní období nebo období počínající vznikem ručitele, podle toho, která doba je kratší, i ve vztahu k ručiteli, jinak emitent uvede, že ručitelem za jeho dluhy z dluhopisů není právnická osoba; výroční zprávy a účetní závěrky lze připojit formou odkazu na internetové stránky ručitele nebo na sbírku listin, která je součástí veřejného rejstříku,</w:t>
      </w:r>
    </w:p>
    <w:p w14:paraId="711FD7C3" w14:textId="77777777" w:rsidR="00E46201" w:rsidRPr="006E25D4" w:rsidRDefault="00E46201" w:rsidP="0006588E">
      <w:pPr>
        <w:pStyle w:val="Textpsmene"/>
        <w:spacing w:before="0"/>
        <w:ind w:left="425" w:hanging="425"/>
        <w:rPr>
          <w:b/>
          <w:bCs/>
        </w:rPr>
      </w:pPr>
      <w:r>
        <w:rPr>
          <w:b/>
          <w:bCs/>
        </w:rPr>
        <w:t>i)</w:t>
      </w:r>
      <w:r w:rsidRPr="006E25D4">
        <w:rPr>
          <w:b/>
          <w:bCs/>
        </w:rPr>
        <w:tab/>
        <w:t>individuální zprávy vedení a řádné individuální účetní závěrky emitenta</w:t>
      </w:r>
      <w:r>
        <w:rPr>
          <w:b/>
          <w:bCs/>
        </w:rPr>
        <w:t xml:space="preserve"> za poslední 2 </w:t>
      </w:r>
      <w:r w:rsidRPr="006E25D4">
        <w:rPr>
          <w:b/>
          <w:bCs/>
        </w:rPr>
        <w:t>individuální účetní období nebo období počínající vznikem emitenta, podle toho, která doba je kratší, a byl-li proveden audit účetní závěrky</w:t>
      </w:r>
      <w:r>
        <w:rPr>
          <w:b/>
          <w:bCs/>
        </w:rPr>
        <w:t>, také zprávu auditora o </w:t>
      </w:r>
      <w:r w:rsidRPr="006E25D4">
        <w:rPr>
          <w:b/>
          <w:bCs/>
        </w:rPr>
        <w:t xml:space="preserve">povinném auditu; individuální zprávy vedení, řádné individuální </w:t>
      </w:r>
      <w:r>
        <w:rPr>
          <w:b/>
          <w:bCs/>
        </w:rPr>
        <w:t>účetní závěrky a </w:t>
      </w:r>
      <w:r w:rsidRPr="006E25D4">
        <w:rPr>
          <w:b/>
          <w:bCs/>
        </w:rPr>
        <w:t>zprávy auditora o povinném auditu lze připojit formou odkazu na internetové stránky emitenta nebo na sbírku listin, která je součástí veřejného rejstříku,</w:t>
      </w:r>
    </w:p>
    <w:p w14:paraId="6DA5497A" w14:textId="77777777" w:rsidR="00E46201" w:rsidRPr="006E25D4" w:rsidRDefault="00E46201" w:rsidP="0006588E">
      <w:pPr>
        <w:pStyle w:val="Textpsmene"/>
        <w:spacing w:before="0"/>
        <w:ind w:left="425" w:hanging="425"/>
        <w:rPr>
          <w:b/>
          <w:bCs/>
        </w:rPr>
      </w:pPr>
      <w:r>
        <w:rPr>
          <w:b/>
          <w:bCs/>
        </w:rPr>
        <w:t>j)</w:t>
      </w:r>
      <w:r w:rsidRPr="006E25D4">
        <w:rPr>
          <w:b/>
          <w:bCs/>
        </w:rPr>
        <w:tab/>
        <w:t>v případě emitenta, který je součástí konsolidačního celku, rovněž konsolidované zprávy vedení a řádné konsolidované účetní závěrky za poslední 2 konsolidační účetní období nebo období počínající vznikem účetní jednotky povinné sestavit konsolidovanou účetní závěrku, podle toho, která doba je kratší, i ve vztahu ke konsolidačnímu celku, jinak emitent uvede, že není součástí konsolidačního celku; konsolidované zprávy vedení a řádné konsolidované účetní závěrky lze připojit formou odkazu na internetové stránky účetní jednotky povinné sestavit konsolidovanou účetní závěrku nebo na sbírku listin, která je součástí veřejného rejstříku,</w:t>
      </w:r>
    </w:p>
    <w:p w14:paraId="7900AE0D" w14:textId="77777777" w:rsidR="00E46201" w:rsidRPr="006E25D4" w:rsidRDefault="00E46201" w:rsidP="0006588E">
      <w:pPr>
        <w:pStyle w:val="Textpsmene"/>
        <w:spacing w:before="0"/>
        <w:ind w:left="425" w:hanging="425"/>
        <w:rPr>
          <w:b/>
          <w:bCs/>
        </w:rPr>
      </w:pPr>
      <w:r>
        <w:rPr>
          <w:b/>
          <w:bCs/>
        </w:rPr>
        <w:t>k)</w:t>
      </w:r>
      <w:r w:rsidRPr="006E25D4">
        <w:rPr>
          <w:b/>
          <w:bCs/>
        </w:rPr>
        <w:tab/>
        <w:t>v případě existence právnické osoby, která je ručitelem za dluhy emitenta z dluhopisů, rovněž individuální zprávy vedení a řádné individuální účetní závěrky</w:t>
      </w:r>
      <w:r>
        <w:rPr>
          <w:b/>
          <w:bCs/>
        </w:rPr>
        <w:t xml:space="preserve"> za poslední 2 </w:t>
      </w:r>
      <w:r w:rsidRPr="006E25D4">
        <w:rPr>
          <w:b/>
          <w:bCs/>
        </w:rPr>
        <w:t>individuální účetní období nebo období počínající vznikem ručitele, podle toho, která doba je kratší, i ve vztahu k ručiteli, jinak emitent uvede, že ručitelem za jeho dluhy z dluhopisů není právnická osoba; individuální zprávy vedení a řádné individuální účetní závěrky lze připojit formou odkazu na internetové stránky ručitele nebo na sbírku listin, která je součástí veřejného rejstříku,</w:t>
      </w:r>
    </w:p>
    <w:p w14:paraId="2A2215BF" w14:textId="77777777" w:rsidR="00E46201" w:rsidRDefault="00E46201" w:rsidP="0006588E">
      <w:pPr>
        <w:pStyle w:val="Textpsmene"/>
        <w:spacing w:before="0"/>
        <w:ind w:left="425" w:hanging="425"/>
      </w:pPr>
      <w:r>
        <w:t>l)</w:t>
      </w:r>
      <w:r>
        <w:tab/>
        <w:t>údaje identifikující osoby, které dluhopisy nabízí,</w:t>
      </w:r>
    </w:p>
    <w:p w14:paraId="78A8FEF3" w14:textId="77777777" w:rsidR="00E46201" w:rsidRDefault="00E46201" w:rsidP="0006588E">
      <w:pPr>
        <w:pStyle w:val="Textpsmene"/>
        <w:spacing w:before="0"/>
        <w:ind w:left="425" w:hanging="425"/>
      </w:pPr>
      <w:r>
        <w:t>m)</w:t>
      </w:r>
      <w:r>
        <w:tab/>
        <w:t>informaci o tom, čím je splacení dlužné částky zajištěno, nebo informaci, že splacení dlužné částky není nijak zajištěno,</w:t>
      </w:r>
    </w:p>
    <w:p w14:paraId="0649A3D2" w14:textId="77777777" w:rsidR="00E46201" w:rsidRDefault="00E46201" w:rsidP="0006588E">
      <w:pPr>
        <w:pStyle w:val="Textpsmene"/>
        <w:spacing w:before="0"/>
        <w:ind w:left="425" w:hanging="425"/>
      </w:pPr>
      <w:r>
        <w:t>n)</w:t>
      </w:r>
      <w:r>
        <w:tab/>
        <w:t>informaci o všech osobách ve vrcholném vedení emitenta podle zákona upravujícího evidenci skutečných majitelů, uvedením jejich jména, akademických titulů, jejich pracovní pozice v emitentovi, názvu právnické osoby, kde získaly nejdůležitější pracovní zkušenost, a počtu let jejich relevantní praxe z hlediska činnosti emitenta,</w:t>
      </w:r>
    </w:p>
    <w:p w14:paraId="521E665C" w14:textId="77777777" w:rsidR="00E46201" w:rsidRDefault="00E46201" w:rsidP="0006588E">
      <w:pPr>
        <w:pStyle w:val="Textpsmene"/>
        <w:spacing w:before="0"/>
        <w:ind w:left="425" w:hanging="425"/>
      </w:pPr>
      <w:r>
        <w:t>o)</w:t>
      </w:r>
      <w:r>
        <w:tab/>
        <w:t>v případě emitenta, který je součástí konsolidačního celku, informaci v grafické podobě o struktuře konsolidačního celku a</w:t>
      </w:r>
    </w:p>
    <w:p w14:paraId="7349C4AA" w14:textId="77777777" w:rsidR="00E46201" w:rsidRDefault="00E46201" w:rsidP="0006588E">
      <w:pPr>
        <w:pStyle w:val="Textpsmene"/>
        <w:spacing w:before="0"/>
        <w:ind w:left="425" w:hanging="425"/>
      </w:pPr>
      <w:r>
        <w:t>p)</w:t>
      </w:r>
      <w:r>
        <w:tab/>
        <w:t>údaje identifikující skutečného majitele emitenta podle zákona upravujícího evidenci skutečných majitelů.</w:t>
      </w:r>
    </w:p>
    <w:p w14:paraId="700AA784" w14:textId="77777777" w:rsidR="00E46201" w:rsidRDefault="00E46201" w:rsidP="0006588E">
      <w:pPr>
        <w:pStyle w:val="Textodstavce"/>
        <w:ind w:firstLine="425"/>
      </w:pPr>
      <w:r>
        <w:t>(3)</w:t>
      </w:r>
      <w:r>
        <w:tab/>
        <w:t>Emitent dluhopisu nabízeného v rámci podlimitní veřejné nabídky uveřejní na svých internetových stránkách nejpozději k datu emise emisní podmínky obsahující informace a údaje podle odstavce 2; § 3 odst. 2 věta druhá se použije obdobně.</w:t>
      </w:r>
    </w:p>
    <w:p w14:paraId="63C9533C" w14:textId="77777777" w:rsidR="00E46201" w:rsidRDefault="00E46201" w:rsidP="0006588E">
      <w:pPr>
        <w:pStyle w:val="Textodstavce"/>
        <w:ind w:firstLine="425"/>
      </w:pPr>
      <w:r>
        <w:lastRenderedPageBreak/>
        <w:t>(4) Osoba nabízející dluhopis v rámci podlimitní veřejné nabídky uveřejní na svých internetových stránkách nejpozději k datu zahájení nabízení emisní podmínky obsahující informace a údaje podle odstavce 2 a zajistí, aby tyto emisní podmínky byly zpřístupněny na těchto internetových stránkách bezplatně a v nezměněné podobě trvale alespoň po dobu nabízení a 12 měsíců od skončení nabízení a měly podobu datového souboru vhodného ke stažení v běžně používaném datovém formátu.</w:t>
      </w:r>
    </w:p>
    <w:p w14:paraId="3D8B0E5F" w14:textId="77777777" w:rsidR="00E46201" w:rsidRDefault="00E46201" w:rsidP="00992796">
      <w:pPr>
        <w:pStyle w:val="Nadpisparagrafu"/>
        <w:numPr>
          <w:ilvl w:val="0"/>
          <w:numId w:val="39"/>
        </w:numPr>
        <w:spacing w:after="120"/>
      </w:pPr>
      <w:r>
        <w:t>***</w:t>
      </w:r>
    </w:p>
    <w:p w14:paraId="1AB329BB" w14:textId="77777777" w:rsidR="00E46201" w:rsidRDefault="00E46201" w:rsidP="00272890">
      <w:pPr>
        <w:pStyle w:val="Paragraf"/>
        <w:numPr>
          <w:ilvl w:val="0"/>
          <w:numId w:val="29"/>
        </w:numPr>
        <w:spacing w:after="120"/>
      </w:pPr>
      <w:r>
        <w:t>§ 27</w:t>
      </w:r>
    </w:p>
    <w:p w14:paraId="6654AEE4" w14:textId="77777777" w:rsidR="00E46201" w:rsidRDefault="00E46201" w:rsidP="0006588E">
      <w:pPr>
        <w:pStyle w:val="Textodstavce"/>
        <w:ind w:firstLine="425"/>
      </w:pPr>
      <w:r>
        <w:t xml:space="preserve">(1) </w:t>
      </w:r>
      <w:r w:rsidRPr="005757D8">
        <w:t>Komunální dluhopis je dluhopis vydaný územním samosprávným celkem. Jeho název obsahuje označení „komunální“; jiný dluhopis nesmí ve svém názvu toto označení obsahovat.</w:t>
      </w:r>
    </w:p>
    <w:p w14:paraId="59C6575D" w14:textId="77777777" w:rsidR="00E46201" w:rsidRDefault="00E46201" w:rsidP="0006588E">
      <w:pPr>
        <w:pStyle w:val="Textodstavce"/>
        <w:ind w:firstLine="425"/>
      </w:pPr>
      <w:r>
        <w:t xml:space="preserve">(2) </w:t>
      </w:r>
      <w:r w:rsidRPr="005757D8">
        <w:t>Územní samosprávný celek musí mít k vydání komunálních dluhopisů předchozí souhlas ministerstva.</w:t>
      </w:r>
    </w:p>
    <w:p w14:paraId="29127243" w14:textId="77777777" w:rsidR="00E46201" w:rsidRDefault="00E46201" w:rsidP="0006588E">
      <w:pPr>
        <w:pStyle w:val="Textodstavce"/>
        <w:ind w:firstLine="425"/>
      </w:pPr>
      <w:r>
        <w:t xml:space="preserve">(3) </w:t>
      </w:r>
      <w:r w:rsidRPr="005757D8">
        <w:t>Ministerstvo udělí souhlas podle odstavce 2 územnímu samosprávnému celku, jestliže</w:t>
      </w:r>
    </w:p>
    <w:p w14:paraId="43B64842" w14:textId="77777777" w:rsidR="00E46201" w:rsidRDefault="00E46201" w:rsidP="00272890">
      <w:pPr>
        <w:pStyle w:val="Textpsmene"/>
        <w:spacing w:before="0"/>
        <w:ind w:left="425" w:hanging="425"/>
      </w:pPr>
      <w:r>
        <w:t>a)</w:t>
      </w:r>
      <w:r>
        <w:tab/>
        <w:t>ekonomická situace územního samosprávného celku umožňuje splnit dluhy vyplývající z komunálních dluhopisů a tyto dluhy nemají a nebudou mít výrazně negativní dopad na jeho hospodaření a rozvoj,</w:t>
      </w:r>
    </w:p>
    <w:p w14:paraId="42FEF69A" w14:textId="77777777" w:rsidR="00E46201" w:rsidRDefault="00E46201" w:rsidP="00272890">
      <w:pPr>
        <w:pStyle w:val="Textpsmene"/>
        <w:spacing w:before="0"/>
        <w:ind w:left="425" w:hanging="425"/>
      </w:pPr>
      <w:r>
        <w:t>b)</w:t>
      </w:r>
      <w:r>
        <w:tab/>
        <w:t>územní samosprávný celek hodlá získat peněžní prostředky vydáním komunálních dluhopisů pouze za účelem použití takto získaných peněžních prostředků na</w:t>
      </w:r>
    </w:p>
    <w:p w14:paraId="4A4737A1" w14:textId="77777777" w:rsidR="00E46201" w:rsidRDefault="00E46201" w:rsidP="00992796">
      <w:pPr>
        <w:pStyle w:val="Textpsmene"/>
        <w:numPr>
          <w:ilvl w:val="4"/>
          <w:numId w:val="63"/>
        </w:numPr>
        <w:spacing w:before="0"/>
      </w:pPr>
      <w:r>
        <w:t xml:space="preserve">investice </w:t>
      </w:r>
      <w:r w:rsidRPr="0055632E">
        <w:t xml:space="preserve">do </w:t>
      </w:r>
      <w:r w:rsidRPr="0055632E">
        <w:rPr>
          <w:strike/>
        </w:rPr>
        <w:t>dlouhodobého hmotného</w:t>
      </w:r>
      <w:r w:rsidRPr="006442A6">
        <w:rPr>
          <w:strike/>
        </w:rPr>
        <w:t xml:space="preserve"> </w:t>
      </w:r>
      <w:r w:rsidRPr="0055632E">
        <w:rPr>
          <w:strike/>
        </w:rPr>
        <w:t>majetku</w:t>
      </w:r>
      <w:r w:rsidRPr="0055632E">
        <w:t xml:space="preserve"> </w:t>
      </w:r>
      <w:r w:rsidRPr="0055632E">
        <w:rPr>
          <w:b/>
        </w:rPr>
        <w:t>stálého hmotného aktiva</w:t>
      </w:r>
      <w:r w:rsidRPr="0055632E">
        <w:t xml:space="preserve"> sloužícího </w:t>
      </w:r>
      <w:r>
        <w:t>k výkonu působnosti územního samosprávného celku,</w:t>
      </w:r>
    </w:p>
    <w:p w14:paraId="292DF27B" w14:textId="77777777" w:rsidR="00E46201" w:rsidRDefault="00E46201" w:rsidP="00992796">
      <w:pPr>
        <w:pStyle w:val="Textpsmene"/>
        <w:numPr>
          <w:ilvl w:val="4"/>
          <w:numId w:val="63"/>
        </w:numPr>
        <w:spacing w:before="0"/>
      </w:pPr>
      <w:r>
        <w:t>odstranění škod způsobených živelní nebo jinou pohromou, nebo</w:t>
      </w:r>
    </w:p>
    <w:p w14:paraId="62BC2E1A" w14:textId="77777777" w:rsidR="00E46201" w:rsidRDefault="00E46201" w:rsidP="00992796">
      <w:pPr>
        <w:pStyle w:val="Textpsmene"/>
        <w:numPr>
          <w:ilvl w:val="4"/>
          <w:numId w:val="63"/>
        </w:numPr>
        <w:spacing w:before="0"/>
      </w:pPr>
      <w:r>
        <w:t>financování projektu spolufinancovaného z prostředků Evropské unie a</w:t>
      </w:r>
    </w:p>
    <w:p w14:paraId="684177FB" w14:textId="77777777" w:rsidR="00E46201" w:rsidRDefault="00E46201" w:rsidP="00272890">
      <w:pPr>
        <w:pStyle w:val="Textpsmene"/>
        <w:spacing w:before="0"/>
        <w:ind w:left="425" w:hanging="425"/>
      </w:pPr>
      <w:r>
        <w:t>c)</w:t>
      </w:r>
      <w:r>
        <w:tab/>
        <w:t>lhůta splatnosti komunálních dluhopisů, které územní samosprávný celek hodlá vydat, není delší než 15 let od data emise.</w:t>
      </w:r>
    </w:p>
    <w:p w14:paraId="32A4BE89" w14:textId="39B78ACA" w:rsidR="00E46201" w:rsidRDefault="00272890" w:rsidP="0006588E">
      <w:pPr>
        <w:pStyle w:val="Textodstavce"/>
        <w:ind w:firstLine="425"/>
      </w:pPr>
      <w:r>
        <w:t xml:space="preserve">(4) </w:t>
      </w:r>
      <w:r w:rsidR="00E46201" w:rsidRPr="005757D8">
        <w:t>K žádosti o souhlas podle odstavce 2 žadatel přiloží doklady osvědčující splnění podmínek stanovených v odstavci 3. Vzor žádosti a obsah jejích příloh, včetně příloh prokazujících účel použití peněžních prostředků v souladu s odstavcem 3 písm. b) body 1 až 3, stanoví ministerstvo vyhláškou.</w:t>
      </w:r>
    </w:p>
    <w:p w14:paraId="752E6C40" w14:textId="17EA405A" w:rsidR="00E46201" w:rsidRDefault="00272890" w:rsidP="0006588E">
      <w:pPr>
        <w:pStyle w:val="Textodstavce"/>
        <w:ind w:firstLine="425"/>
      </w:pPr>
      <w:r>
        <w:t xml:space="preserve">(5) </w:t>
      </w:r>
      <w:r w:rsidR="00E46201" w:rsidRPr="005757D8">
        <w:t>Územní samosprávný celek vede peněžní prostředky získané vydáním komunálních dluhopisů na samostatném bankovním účtu nebo o nich účtuje odděleně tak, aby byl kdykoliv schopen doložit účel jejich použití.</w:t>
      </w:r>
    </w:p>
    <w:p w14:paraId="10FBD554" w14:textId="51FC09F7" w:rsidR="00E46201" w:rsidRDefault="00272890" w:rsidP="0006588E">
      <w:pPr>
        <w:pStyle w:val="Textodstavce"/>
        <w:ind w:firstLine="425"/>
      </w:pPr>
      <w:r>
        <w:t xml:space="preserve">(6) </w:t>
      </w:r>
      <w:r w:rsidR="00E46201" w:rsidRPr="005757D8">
        <w:t>Ustanovení § 7 odst. 1 písm. b) se na emisi komunálních dluhopisů nepoužije.</w:t>
      </w:r>
    </w:p>
    <w:p w14:paraId="2833B795" w14:textId="19C3CF36" w:rsidR="00E46201" w:rsidRDefault="00272890" w:rsidP="0006588E">
      <w:pPr>
        <w:pStyle w:val="Textodstavce"/>
        <w:ind w:firstLine="425"/>
      </w:pPr>
      <w:r>
        <w:t xml:space="preserve">(7) </w:t>
      </w:r>
      <w:r w:rsidR="00E46201" w:rsidRPr="005757D8">
        <w:t>Odstavce 2 až 5 se použijí i na komunální dluhopisy vydávané v zahraničí nebo obdobné cenné papíry představující právo na splacení dlužné částky vydávané územním samosprávným celkem podle práva cizího státu.</w:t>
      </w:r>
    </w:p>
    <w:p w14:paraId="63168E37" w14:textId="77777777" w:rsidR="00E46201" w:rsidRDefault="00E46201" w:rsidP="00992796">
      <w:pPr>
        <w:pStyle w:val="Nadpisparagrafu"/>
        <w:numPr>
          <w:ilvl w:val="0"/>
          <w:numId w:val="39"/>
        </w:numPr>
        <w:spacing w:after="120"/>
      </w:pPr>
      <w:r>
        <w:t>***</w:t>
      </w:r>
    </w:p>
    <w:p w14:paraId="735AD1EF" w14:textId="77777777" w:rsidR="00E46201" w:rsidRDefault="00E46201" w:rsidP="00272890">
      <w:pPr>
        <w:pStyle w:val="Paragraf"/>
        <w:numPr>
          <w:ilvl w:val="0"/>
          <w:numId w:val="29"/>
        </w:numPr>
        <w:spacing w:after="120"/>
      </w:pPr>
      <w:r>
        <w:t>§ 29</w:t>
      </w:r>
    </w:p>
    <w:p w14:paraId="7E34A49F" w14:textId="0C12D8A8" w:rsidR="00E46201" w:rsidRDefault="00272890" w:rsidP="0006588E">
      <w:pPr>
        <w:pStyle w:val="Textodstavce"/>
        <w:ind w:firstLine="425"/>
      </w:pPr>
      <w:r>
        <w:t xml:space="preserve">(1) </w:t>
      </w:r>
      <w:r w:rsidR="00E46201" w:rsidRPr="00E41FA1">
        <w:t>Zástavní hodnotu zastavených nemovitých věcí stanoví emitent krytých dluhopisů. Emitent krytých dluhopisů</w:t>
      </w:r>
      <w:r w:rsidR="00E46201">
        <w:t xml:space="preserve"> </w:t>
      </w:r>
      <w:r w:rsidR="00E46201" w:rsidRPr="00E41FA1">
        <w:t>je povinen upravit ve svých vnitřních předpisech pravidla pro stanovení zástavní hodnoty zastavovaných nemovitých věcí, která musí respektovat zásady uvedené v odstavci 2.</w:t>
      </w:r>
    </w:p>
    <w:p w14:paraId="449C700E" w14:textId="77777777" w:rsidR="00E46201" w:rsidRDefault="00E46201" w:rsidP="0006588E">
      <w:pPr>
        <w:pStyle w:val="Textodstavce"/>
        <w:ind w:firstLine="425"/>
      </w:pPr>
      <w:r>
        <w:lastRenderedPageBreak/>
        <w:t xml:space="preserve">(2) </w:t>
      </w:r>
      <w:r w:rsidRPr="00E41FA1">
        <w:t xml:space="preserve">Zastavené nemovité věci se oceňují </w:t>
      </w:r>
      <w:r w:rsidRPr="0055632E">
        <w:rPr>
          <w:strike/>
        </w:rPr>
        <w:t>cenou</w:t>
      </w:r>
      <w:r w:rsidRPr="0055632E">
        <w:t xml:space="preserve"> </w:t>
      </w:r>
      <w:r w:rsidRPr="00E41FA1">
        <w:t>obvyklou nebo tržní hodnotou</w:t>
      </w:r>
      <w:r w:rsidRPr="006442A6">
        <w:rPr>
          <w:strike/>
        </w:rPr>
        <w:t>, podle zvláštního právního předpisu upravujícího oceňování majetku,</w:t>
      </w:r>
      <w:r w:rsidRPr="00E41FA1">
        <w:t xml:space="preserve"> </w:t>
      </w:r>
      <w:r w:rsidRPr="006442A6">
        <w:rPr>
          <w:b/>
          <w:bCs/>
        </w:rPr>
        <w:t>podle</w:t>
      </w:r>
      <w:r w:rsidRPr="00E41FA1">
        <w:t xml:space="preserve"> </w:t>
      </w:r>
      <w:r w:rsidRPr="0055632E">
        <w:rPr>
          <w:b/>
        </w:rPr>
        <w:t xml:space="preserve">zákona </w:t>
      </w:r>
      <w:r>
        <w:rPr>
          <w:b/>
        </w:rPr>
        <w:t xml:space="preserve">upravujícího </w:t>
      </w:r>
      <w:r w:rsidRPr="0055632E">
        <w:rPr>
          <w:b/>
        </w:rPr>
        <w:t>oceňování</w:t>
      </w:r>
      <w:r>
        <w:rPr>
          <w:b/>
        </w:rPr>
        <w:t xml:space="preserve"> </w:t>
      </w:r>
      <w:r w:rsidRPr="00E41FA1">
        <w:t>se zohledněním</w:t>
      </w:r>
    </w:p>
    <w:p w14:paraId="4083B283" w14:textId="77777777" w:rsidR="00E46201" w:rsidRDefault="00E46201" w:rsidP="00272890">
      <w:pPr>
        <w:pStyle w:val="Textpsmene"/>
        <w:spacing w:before="0"/>
        <w:ind w:left="425" w:hanging="425"/>
      </w:pPr>
      <w:r>
        <w:t>a)</w:t>
      </w:r>
      <w:r>
        <w:tab/>
        <w:t>trvalých a dlouhodobě udržitelných vlastností nemovité věci,</w:t>
      </w:r>
    </w:p>
    <w:p w14:paraId="176414DF" w14:textId="77777777" w:rsidR="00E46201" w:rsidRDefault="00E46201" w:rsidP="00272890">
      <w:pPr>
        <w:pStyle w:val="Textpsmene"/>
        <w:spacing w:before="0"/>
        <w:ind w:left="425" w:hanging="425"/>
      </w:pPr>
      <w:r>
        <w:t>b)</w:t>
      </w:r>
      <w:r>
        <w:tab/>
        <w:t>výnosu dosažitelného třetí osobou při řádném hospodaření s nemovitou věcí,</w:t>
      </w:r>
    </w:p>
    <w:p w14:paraId="75817B36" w14:textId="77777777" w:rsidR="00E46201" w:rsidRDefault="00E46201" w:rsidP="00272890">
      <w:pPr>
        <w:pStyle w:val="Textpsmene"/>
        <w:spacing w:before="0"/>
        <w:ind w:left="425" w:hanging="425"/>
      </w:pPr>
      <w:r>
        <w:t>c)</w:t>
      </w:r>
      <w:r>
        <w:tab/>
        <w:t>práv a závad s nemovitou věcí spojených a</w:t>
      </w:r>
    </w:p>
    <w:p w14:paraId="0360BC69" w14:textId="77777777" w:rsidR="00E46201" w:rsidRDefault="00E46201" w:rsidP="00272890">
      <w:pPr>
        <w:pStyle w:val="Textpsmene"/>
        <w:spacing w:before="0"/>
        <w:ind w:left="425" w:hanging="425"/>
      </w:pPr>
      <w:r>
        <w:t>d)</w:t>
      </w:r>
      <w:r>
        <w:tab/>
        <w:t>místních podmínek trhu s nemovitými věcmi včetně jeho vlivů a předpokládaného vývoje.</w:t>
      </w:r>
    </w:p>
    <w:p w14:paraId="3128A9F0" w14:textId="5756CF38" w:rsidR="00E46201" w:rsidRDefault="00272890" w:rsidP="0006588E">
      <w:pPr>
        <w:pStyle w:val="Textodstavce"/>
        <w:ind w:firstLine="425"/>
      </w:pPr>
      <w:r>
        <w:t xml:space="preserve">(3) </w:t>
      </w:r>
      <w:r w:rsidR="00E46201" w:rsidRPr="00E41FA1">
        <w:t xml:space="preserve">Zástavní hodnota </w:t>
      </w:r>
      <w:r w:rsidR="00E46201" w:rsidRPr="0055632E">
        <w:t xml:space="preserve">zastavených nemovitých věcí, stanovená podle odstavce 2, nesmí převyšovat jejich </w:t>
      </w:r>
      <w:r w:rsidR="00E46201" w:rsidRPr="0055632E">
        <w:rPr>
          <w:strike/>
        </w:rPr>
        <w:t>cenu</w:t>
      </w:r>
      <w:r w:rsidR="00E46201" w:rsidRPr="0055632E">
        <w:t xml:space="preserve"> obvyklou nebo tržní hodnotu </w:t>
      </w:r>
      <w:r w:rsidR="00E46201" w:rsidRPr="0055632E">
        <w:rPr>
          <w:b/>
        </w:rPr>
        <w:t xml:space="preserve">podle zákona </w:t>
      </w:r>
      <w:r w:rsidR="00E46201">
        <w:rPr>
          <w:b/>
        </w:rPr>
        <w:t>upravujícího</w:t>
      </w:r>
      <w:r w:rsidR="00E46201" w:rsidRPr="0055632E">
        <w:rPr>
          <w:b/>
        </w:rPr>
        <w:t xml:space="preserve"> oceňování</w:t>
      </w:r>
      <w:r w:rsidR="00E46201" w:rsidRPr="0055632E">
        <w:t>.</w:t>
      </w:r>
    </w:p>
    <w:p w14:paraId="000C32F5" w14:textId="2233A018" w:rsidR="00E46201" w:rsidRDefault="00272890" w:rsidP="0006588E">
      <w:pPr>
        <w:pStyle w:val="Textodstavce"/>
        <w:ind w:firstLine="425"/>
      </w:pPr>
      <w:r>
        <w:t xml:space="preserve">(4) </w:t>
      </w:r>
      <w:r w:rsidR="00E46201" w:rsidRPr="00E41FA1">
        <w:t>Zástavní hodnota zastavených nemovitých věcí musí být stanovena osobou, která má potřebnou kvalifikaci, schopnosti a zkušenosti a která je nez</w:t>
      </w:r>
      <w:r w:rsidR="00E46201">
        <w:t>ávislá na procesu rozhodování o </w:t>
      </w:r>
      <w:r w:rsidR="00E46201" w:rsidRPr="00E41FA1">
        <w:t>úvěru. Při posuzování hodnoty nebere tato osoba v úvahu spekulativní prvky a hodnotu transparentně a jednoznačně dokumentuje.</w:t>
      </w:r>
    </w:p>
    <w:p w14:paraId="28614E39" w14:textId="36CCF5A7" w:rsidR="00B600B5" w:rsidRDefault="00B600B5" w:rsidP="0006588E">
      <w:pPr>
        <w:pStyle w:val="Textparagrafu"/>
        <w:numPr>
          <w:ilvl w:val="0"/>
          <w:numId w:val="27"/>
        </w:numPr>
        <w:tabs>
          <w:tab w:val="left" w:pos="392"/>
          <w:tab w:val="left" w:pos="840"/>
        </w:tabs>
        <w:spacing w:before="120" w:after="120"/>
        <w:jc w:val="center"/>
      </w:pPr>
      <w:r>
        <w:t xml:space="preserve"> </w:t>
      </w:r>
    </w:p>
    <w:p w14:paraId="283A377B" w14:textId="77777777" w:rsidR="00B600B5" w:rsidRDefault="00B600B5" w:rsidP="00832471">
      <w:pPr>
        <w:pStyle w:val="Textparagrafu"/>
        <w:tabs>
          <w:tab w:val="left" w:pos="406"/>
          <w:tab w:val="left" w:pos="840"/>
          <w:tab w:val="left" w:pos="868"/>
        </w:tabs>
        <w:spacing w:after="120"/>
        <w:sectPr w:rsidR="00B600B5" w:rsidSect="00554E2B">
          <w:footnotePr>
            <w:numStart w:val="3"/>
          </w:footnotePr>
          <w:endnotePr>
            <w:numFmt w:val="decimal"/>
          </w:endnotePr>
          <w:pgSz w:w="11906" w:h="16838"/>
          <w:pgMar w:top="1418" w:right="1418" w:bottom="1418" w:left="1418" w:header="709" w:footer="709" w:gutter="0"/>
          <w:cols w:space="708"/>
          <w:docGrid w:linePitch="360"/>
        </w:sectPr>
      </w:pPr>
    </w:p>
    <w:p w14:paraId="5C6F3A88" w14:textId="141BE123" w:rsidR="00B600B5" w:rsidRPr="00E55F2A" w:rsidRDefault="00B600B5" w:rsidP="00E4236C">
      <w:pPr>
        <w:tabs>
          <w:tab w:val="left" w:pos="851"/>
        </w:tabs>
        <w:spacing w:before="120" w:after="120"/>
        <w:ind w:firstLine="0"/>
        <w:jc w:val="center"/>
        <w:outlineLvl w:val="0"/>
        <w:rPr>
          <w:szCs w:val="24"/>
        </w:rPr>
      </w:pPr>
      <w:r w:rsidRPr="00E55F2A">
        <w:rPr>
          <w:b/>
          <w:szCs w:val="24"/>
        </w:rPr>
        <w:lastRenderedPageBreak/>
        <w:t>K části sedmdesáté</w:t>
      </w:r>
      <w:r w:rsidR="00272890" w:rsidRPr="00E55F2A">
        <w:rPr>
          <w:b/>
          <w:szCs w:val="24"/>
        </w:rPr>
        <w:t xml:space="preserve"> páté</w:t>
      </w:r>
      <w:r w:rsidRPr="00E55F2A">
        <w:rPr>
          <w:b/>
          <w:szCs w:val="24"/>
        </w:rPr>
        <w:t xml:space="preserve"> návrhu zákona – </w:t>
      </w:r>
      <w:r w:rsidRPr="00E55F2A">
        <w:rPr>
          <w:szCs w:val="24"/>
        </w:rPr>
        <w:t>změna zákona</w:t>
      </w:r>
      <w:r w:rsidRPr="00E55F2A">
        <w:t xml:space="preserve"> </w:t>
      </w:r>
      <w:r w:rsidR="00AD77CE" w:rsidRPr="00E55F2A">
        <w:rPr>
          <w:szCs w:val="24"/>
        </w:rPr>
        <w:t>o dani z přidané hodnoty</w:t>
      </w:r>
    </w:p>
    <w:p w14:paraId="5C02DC34" w14:textId="32370608" w:rsidR="00B600B5" w:rsidRPr="00E55F2A" w:rsidRDefault="00B600B5" w:rsidP="00E55F2A">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E55F2A">
        <w:rPr>
          <w:b/>
          <w:szCs w:val="24"/>
        </w:rPr>
        <w:t>Platné znění</w:t>
      </w:r>
      <w:r w:rsidRPr="00E55F2A">
        <w:rPr>
          <w:szCs w:val="24"/>
        </w:rPr>
        <w:t xml:space="preserve"> zákona č.</w:t>
      </w:r>
      <w:r w:rsidR="00AD77CE" w:rsidRPr="00E55F2A">
        <w:rPr>
          <w:szCs w:val="24"/>
        </w:rPr>
        <w:t>235</w:t>
      </w:r>
      <w:r w:rsidRPr="00E55F2A">
        <w:rPr>
          <w:szCs w:val="24"/>
        </w:rPr>
        <w:t xml:space="preserve">/2004 Sb., </w:t>
      </w:r>
      <w:r w:rsidR="00AD77CE" w:rsidRPr="00E55F2A">
        <w:rPr>
          <w:szCs w:val="24"/>
        </w:rPr>
        <w:t>o dani z přidané hodnoty</w:t>
      </w:r>
    </w:p>
    <w:p w14:paraId="738092BC" w14:textId="5E03402F" w:rsidR="00E55F2A" w:rsidRPr="00E55F2A" w:rsidRDefault="00E55F2A" w:rsidP="00E4236C">
      <w:pPr>
        <w:pStyle w:val="Nadpisparagrafu"/>
        <w:numPr>
          <w:ilvl w:val="0"/>
          <w:numId w:val="27"/>
        </w:numPr>
        <w:pBdr>
          <w:top w:val="single" w:sz="12" w:space="6" w:color="auto"/>
          <w:left w:val="single" w:sz="12" w:space="0" w:color="auto"/>
          <w:bottom w:val="single" w:sz="12" w:space="6" w:color="auto"/>
          <w:right w:val="single" w:sz="12" w:space="0" w:color="auto"/>
        </w:pBdr>
        <w:spacing w:before="0" w:after="120"/>
        <w:rPr>
          <w:lang w:eastAsia="en-US"/>
        </w:rPr>
      </w:pPr>
      <w:r w:rsidRPr="009A2644">
        <w:rPr>
          <w:color w:val="00B050"/>
          <w:szCs w:val="24"/>
          <w:lang w:eastAsia="en-US"/>
        </w:rPr>
        <w:t>s vyznačením navrhovaných změn a doplnění k 1. lednu 2025</w:t>
      </w:r>
      <w:r>
        <w:rPr>
          <w:rStyle w:val="Znakapoznpodarou"/>
          <w:color w:val="00B050"/>
          <w:szCs w:val="24"/>
          <w:lang w:eastAsia="en-US"/>
        </w:rPr>
        <w:footnoteReference w:id="449"/>
      </w:r>
    </w:p>
    <w:p w14:paraId="2FD3374A" w14:textId="77777777" w:rsidR="00E55F2A" w:rsidRDefault="00E55F2A" w:rsidP="00E55F2A">
      <w:pPr>
        <w:pStyle w:val="Nadpisparagrafu"/>
        <w:numPr>
          <w:ilvl w:val="0"/>
          <w:numId w:val="39"/>
        </w:numPr>
      </w:pPr>
      <w:r>
        <w:t>***</w:t>
      </w:r>
    </w:p>
    <w:p w14:paraId="54FCD564" w14:textId="77777777" w:rsidR="00E55F2A" w:rsidRDefault="00E55F2A" w:rsidP="00E55F2A">
      <w:pPr>
        <w:pStyle w:val="Paragraf"/>
        <w:spacing w:after="240"/>
      </w:pPr>
      <w:r>
        <w:t>§ 4</w:t>
      </w:r>
    </w:p>
    <w:p w14:paraId="0293506C" w14:textId="77777777" w:rsidR="00E55F2A" w:rsidRDefault="00E55F2A" w:rsidP="00E55F2A">
      <w:pPr>
        <w:pStyle w:val="Nadpisparagrafu"/>
        <w:numPr>
          <w:ilvl w:val="0"/>
          <w:numId w:val="39"/>
        </w:numPr>
      </w:pPr>
      <w:r>
        <w:t xml:space="preserve">Vymezení základních pojmů </w:t>
      </w:r>
    </w:p>
    <w:p w14:paraId="2158BE11" w14:textId="77777777" w:rsidR="00E4236C" w:rsidRDefault="00E4236C" w:rsidP="00E4236C">
      <w:pPr>
        <w:pStyle w:val="PZTextodstavce"/>
      </w:pPr>
      <w:r w:rsidRPr="00136DE5">
        <w:t>(1</w:t>
      </w:r>
      <w:r>
        <w:t>)</w:t>
      </w:r>
      <w:r>
        <w:tab/>
      </w:r>
      <w:r w:rsidRPr="00136DE5">
        <w:t>Pro</w:t>
      </w:r>
      <w:r>
        <w:t xml:space="preserve"> </w:t>
      </w:r>
      <w:r w:rsidRPr="00136DE5">
        <w:t>účely</w:t>
      </w:r>
      <w:r>
        <w:t xml:space="preserve"> </w:t>
      </w:r>
      <w:r w:rsidRPr="00136DE5">
        <w:t>tohoto</w:t>
      </w:r>
      <w:r>
        <w:t xml:space="preserve"> </w:t>
      </w:r>
      <w:r w:rsidRPr="00136DE5">
        <w:t>zákona</w:t>
      </w:r>
      <w:r>
        <w:t xml:space="preserve"> </w:t>
      </w:r>
      <w:r w:rsidRPr="00136DE5">
        <w:t>se</w:t>
      </w:r>
      <w:r>
        <w:t xml:space="preserve"> </w:t>
      </w:r>
      <w:r w:rsidRPr="00136DE5">
        <w:t>rozumí:</w:t>
      </w:r>
    </w:p>
    <w:p w14:paraId="64804C2B" w14:textId="77777777" w:rsidR="00E4236C" w:rsidRDefault="00E4236C" w:rsidP="00E4236C">
      <w:pPr>
        <w:pStyle w:val="PZTextpsmene"/>
        <w:spacing w:before="0"/>
      </w:pPr>
      <w:r w:rsidRPr="00136DE5">
        <w:t>a</w:t>
      </w:r>
      <w:r>
        <w:t>)</w:t>
      </w:r>
      <w:r>
        <w:tab/>
      </w:r>
      <w:r w:rsidRPr="00136DE5">
        <w:t>úplatou</w:t>
      </w:r>
    </w:p>
    <w:p w14:paraId="28F6FE17" w14:textId="77777777" w:rsidR="00E4236C" w:rsidRDefault="00E4236C" w:rsidP="00E4236C">
      <w:pPr>
        <w:pStyle w:val="PZTextbodu"/>
        <w:spacing w:before="0"/>
      </w:pPr>
      <w:r w:rsidRPr="00136DE5">
        <w:t>1</w:t>
      </w:r>
      <w:r>
        <w:t>.</w:t>
      </w:r>
      <w:r>
        <w:tab/>
      </w:r>
      <w:r w:rsidRPr="00136DE5">
        <w:t>částka</w:t>
      </w:r>
      <w:r>
        <w:t xml:space="preserve"> </w:t>
      </w:r>
      <w:r w:rsidRPr="00136DE5">
        <w:t>v</w:t>
      </w:r>
      <w:r>
        <w:t xml:space="preserve"> </w:t>
      </w:r>
      <w:r w:rsidRPr="00136DE5">
        <w:t>peněžních</w:t>
      </w:r>
      <w:r>
        <w:t xml:space="preserve"> </w:t>
      </w:r>
      <w:r w:rsidRPr="00136DE5">
        <w:t>prostředcích</w:t>
      </w:r>
      <w:r>
        <w:t xml:space="preserve"> </w:t>
      </w:r>
      <w:r w:rsidRPr="00136DE5">
        <w:t>nebo</w:t>
      </w:r>
      <w:r>
        <w:t xml:space="preserve"> </w:t>
      </w:r>
      <w:r w:rsidRPr="00136DE5">
        <w:t>hodnota</w:t>
      </w:r>
      <w:r>
        <w:t xml:space="preserve"> </w:t>
      </w:r>
      <w:r w:rsidRPr="00136DE5">
        <w:t>nepeněžitého</w:t>
      </w:r>
      <w:r>
        <w:t xml:space="preserve"> </w:t>
      </w:r>
      <w:r w:rsidRPr="00136DE5">
        <w:t>plnění,</w:t>
      </w:r>
      <w:r>
        <w:t xml:space="preserve"> </w:t>
      </w:r>
      <w:r w:rsidRPr="00136DE5">
        <w:t>které</w:t>
      </w:r>
      <w:r>
        <w:t xml:space="preserve"> </w:t>
      </w:r>
      <w:r w:rsidRPr="00136DE5">
        <w:t>jsou</w:t>
      </w:r>
      <w:r>
        <w:t xml:space="preserve"> </w:t>
      </w:r>
      <w:r w:rsidRPr="00136DE5">
        <w:t>poskytnuty</w:t>
      </w:r>
      <w:r>
        <w:t xml:space="preserve"> </w:t>
      </w:r>
      <w:r w:rsidRPr="00136DE5">
        <w:t>v</w:t>
      </w:r>
      <w:r>
        <w:t xml:space="preserve"> </w:t>
      </w:r>
      <w:r w:rsidRPr="00136DE5">
        <w:t>přímé</w:t>
      </w:r>
      <w:r>
        <w:t xml:space="preserve"> </w:t>
      </w:r>
      <w:r w:rsidRPr="00136DE5">
        <w:t>souvislosti</w:t>
      </w:r>
      <w:r>
        <w:t xml:space="preserve"> </w:t>
      </w:r>
      <w:r w:rsidRPr="00136DE5">
        <w:t>s</w:t>
      </w:r>
      <w:r>
        <w:t xml:space="preserve"> </w:t>
      </w:r>
      <w:r w:rsidRPr="00136DE5">
        <w:t>plněním,</w:t>
      </w:r>
    </w:p>
    <w:p w14:paraId="267E847C" w14:textId="77777777" w:rsidR="00E4236C" w:rsidRDefault="00E4236C" w:rsidP="00E4236C">
      <w:pPr>
        <w:pStyle w:val="PZTextbodu"/>
        <w:spacing w:before="0"/>
      </w:pPr>
      <w:r w:rsidRPr="00136DE5">
        <w:t>2</w:t>
      </w:r>
      <w:r>
        <w:t>.</w:t>
      </w:r>
      <w:r>
        <w:tab/>
      </w:r>
      <w:r w:rsidRPr="00136DE5">
        <w:t>dotace</w:t>
      </w:r>
      <w:r>
        <w:t xml:space="preserve"> </w:t>
      </w:r>
      <w:r w:rsidRPr="00136DE5">
        <w:t>k</w:t>
      </w:r>
      <w:r>
        <w:t xml:space="preserve"> </w:t>
      </w:r>
      <w:r w:rsidRPr="00136DE5">
        <w:t>ceně,</w:t>
      </w:r>
      <w:r>
        <w:t xml:space="preserve"> </w:t>
      </w:r>
      <w:r w:rsidRPr="00136DE5">
        <w:t>kterou</w:t>
      </w:r>
      <w:r>
        <w:t xml:space="preserve"> </w:t>
      </w:r>
      <w:r w:rsidRPr="00136DE5">
        <w:t>se</w:t>
      </w:r>
      <w:r>
        <w:t xml:space="preserve"> </w:t>
      </w:r>
      <w:r w:rsidRPr="00136DE5">
        <w:t>pro</w:t>
      </w:r>
      <w:r>
        <w:t xml:space="preserve"> </w:t>
      </w:r>
      <w:r w:rsidRPr="00136DE5">
        <w:t>účely</w:t>
      </w:r>
      <w:r>
        <w:t xml:space="preserve"> </w:t>
      </w:r>
      <w:r w:rsidRPr="00136DE5">
        <w:t>daně</w:t>
      </w:r>
      <w:r>
        <w:t xml:space="preserve"> </w:t>
      </w:r>
      <w:r w:rsidRPr="00136DE5">
        <w:t>z</w:t>
      </w:r>
      <w:r>
        <w:t xml:space="preserve"> </w:t>
      </w:r>
      <w:r w:rsidRPr="00136DE5">
        <w:t>přidané</w:t>
      </w:r>
      <w:r>
        <w:t xml:space="preserve"> </w:t>
      </w:r>
      <w:r w:rsidRPr="00136DE5">
        <w:t>hodnoty</w:t>
      </w:r>
      <w:r>
        <w:t xml:space="preserve"> </w:t>
      </w:r>
      <w:r w:rsidRPr="00136DE5">
        <w:t>rozumí</w:t>
      </w:r>
      <w:r>
        <w:t xml:space="preserve"> </w:t>
      </w:r>
      <w:r w:rsidRPr="00136DE5">
        <w:t>přijaté</w:t>
      </w:r>
      <w:r>
        <w:t xml:space="preserve"> </w:t>
      </w:r>
      <w:r w:rsidRPr="00136DE5">
        <w:t>finanční</w:t>
      </w:r>
      <w:r>
        <w:t xml:space="preserve"> </w:t>
      </w:r>
      <w:r w:rsidRPr="00136DE5">
        <w:t>prostředky</w:t>
      </w:r>
      <w:r>
        <w:t xml:space="preserve"> </w:t>
      </w:r>
      <w:r w:rsidRPr="00136DE5">
        <w:t>poskytované</w:t>
      </w:r>
      <w:r>
        <w:t xml:space="preserve"> </w:t>
      </w:r>
      <w:r w:rsidRPr="00136DE5">
        <w:t>ze</w:t>
      </w:r>
      <w:r>
        <w:t xml:space="preserve"> </w:t>
      </w:r>
      <w:r w:rsidRPr="00136DE5">
        <w:t>státního</w:t>
      </w:r>
      <w:r>
        <w:t xml:space="preserve"> </w:t>
      </w:r>
      <w:r w:rsidRPr="00136DE5">
        <w:t>rozpočtu,</w:t>
      </w:r>
      <w:r>
        <w:t xml:space="preserve"> </w:t>
      </w:r>
      <w:r w:rsidRPr="00136DE5">
        <w:t>z</w:t>
      </w:r>
      <w:r>
        <w:t xml:space="preserve"> </w:t>
      </w:r>
      <w:r w:rsidRPr="00136DE5">
        <w:t>rozpočtů</w:t>
      </w:r>
      <w:r>
        <w:t xml:space="preserve"> </w:t>
      </w:r>
      <w:r w:rsidRPr="00136DE5">
        <w:t>územních</w:t>
      </w:r>
      <w:r>
        <w:t xml:space="preserve"> </w:t>
      </w:r>
      <w:r w:rsidRPr="00136DE5">
        <w:t>samosprávných</w:t>
      </w:r>
      <w:r>
        <w:t xml:space="preserve"> </w:t>
      </w:r>
      <w:r w:rsidRPr="00136DE5">
        <w:t>celků,</w:t>
      </w:r>
      <w:r>
        <w:t xml:space="preserve"> </w:t>
      </w:r>
      <w:r w:rsidRPr="00136DE5">
        <w:t>státních</w:t>
      </w:r>
      <w:r>
        <w:t xml:space="preserve"> </w:t>
      </w:r>
      <w:r w:rsidRPr="00136DE5">
        <w:t>fondů,</w:t>
      </w:r>
      <w:r>
        <w:t xml:space="preserve"> </w:t>
      </w:r>
      <w:r w:rsidRPr="00136DE5">
        <w:t>z</w:t>
      </w:r>
      <w:r>
        <w:t xml:space="preserve"> </w:t>
      </w:r>
      <w:r w:rsidRPr="00136DE5">
        <w:t>grantů</w:t>
      </w:r>
      <w:r>
        <w:t xml:space="preserve"> </w:t>
      </w:r>
      <w:r w:rsidRPr="00136DE5">
        <w:t>přidělených</w:t>
      </w:r>
      <w:r>
        <w:t xml:space="preserve"> </w:t>
      </w:r>
      <w:r w:rsidRPr="00136DE5">
        <w:t>podle</w:t>
      </w:r>
      <w:r>
        <w:t xml:space="preserve"> </w:t>
      </w:r>
      <w:r w:rsidRPr="00136DE5">
        <w:t>zvláštního</w:t>
      </w:r>
      <w:r>
        <w:t xml:space="preserve"> </w:t>
      </w:r>
      <w:r w:rsidRPr="00136DE5">
        <w:t>zákona,</w:t>
      </w:r>
      <w:r>
        <w:t xml:space="preserve"> </w:t>
      </w:r>
      <w:r w:rsidRPr="00136DE5">
        <w:t>z</w:t>
      </w:r>
      <w:r>
        <w:t xml:space="preserve"> </w:t>
      </w:r>
      <w:r w:rsidRPr="00136DE5">
        <w:t>rozpočtu</w:t>
      </w:r>
      <w:r>
        <w:t xml:space="preserve"> </w:t>
      </w:r>
      <w:r w:rsidRPr="00136DE5">
        <w:t>cizího</w:t>
      </w:r>
      <w:r>
        <w:t xml:space="preserve"> </w:t>
      </w:r>
      <w:r w:rsidRPr="00136DE5">
        <w:t>státu,</w:t>
      </w:r>
      <w:r>
        <w:t xml:space="preserve"> </w:t>
      </w:r>
      <w:r w:rsidRPr="00136DE5">
        <w:t>z</w:t>
      </w:r>
      <w:r>
        <w:t xml:space="preserve"> </w:t>
      </w:r>
      <w:r w:rsidRPr="00136DE5">
        <w:t>grantů</w:t>
      </w:r>
      <w:r>
        <w:t xml:space="preserve"> </w:t>
      </w:r>
      <w:r w:rsidRPr="00136DE5">
        <w:t>Evropské</w:t>
      </w:r>
      <w:r>
        <w:t xml:space="preserve"> </w:t>
      </w:r>
      <w:r w:rsidRPr="00136DE5">
        <w:t>unie</w:t>
      </w:r>
      <w:r>
        <w:t xml:space="preserve"> </w:t>
      </w:r>
      <w:r w:rsidRPr="00136DE5">
        <w:t>či</w:t>
      </w:r>
      <w:r>
        <w:t xml:space="preserve"> </w:t>
      </w:r>
      <w:r w:rsidRPr="00136DE5">
        <w:t>podle</w:t>
      </w:r>
      <w:r>
        <w:t xml:space="preserve"> </w:t>
      </w:r>
      <w:r w:rsidRPr="00136DE5">
        <w:t>programů</w:t>
      </w:r>
      <w:r>
        <w:t xml:space="preserve"> </w:t>
      </w:r>
      <w:r w:rsidRPr="00136DE5">
        <w:t>obdobných,</w:t>
      </w:r>
      <w:r>
        <w:t xml:space="preserve"> </w:t>
      </w:r>
      <w:r w:rsidRPr="00136DE5">
        <w:t>pokud</w:t>
      </w:r>
      <w:r>
        <w:t xml:space="preserve"> </w:t>
      </w:r>
      <w:r w:rsidRPr="00136DE5">
        <w:t>je</w:t>
      </w:r>
      <w:r>
        <w:t xml:space="preserve"> </w:t>
      </w:r>
      <w:r w:rsidRPr="00136DE5">
        <w:t>příjemci</w:t>
      </w:r>
      <w:r>
        <w:t xml:space="preserve"> </w:t>
      </w:r>
      <w:r w:rsidRPr="00136DE5">
        <w:t>dotace</w:t>
      </w:r>
      <w:r>
        <w:t xml:space="preserve"> </w:t>
      </w:r>
      <w:r w:rsidRPr="00136DE5">
        <w:t>stanovena</w:t>
      </w:r>
      <w:r>
        <w:t xml:space="preserve"> </w:t>
      </w:r>
      <w:r w:rsidRPr="00136DE5">
        <w:t>povinnost</w:t>
      </w:r>
      <w:r>
        <w:t xml:space="preserve"> </w:t>
      </w:r>
      <w:r w:rsidRPr="00136DE5">
        <w:t>poskytovat</w:t>
      </w:r>
      <w:r>
        <w:t xml:space="preserve"> </w:t>
      </w:r>
      <w:r w:rsidRPr="00136DE5">
        <w:t>plnění</w:t>
      </w:r>
      <w:r>
        <w:t xml:space="preserve"> </w:t>
      </w:r>
      <w:r w:rsidRPr="00136DE5">
        <w:t>se</w:t>
      </w:r>
      <w:r>
        <w:t xml:space="preserve"> </w:t>
      </w:r>
      <w:r w:rsidRPr="00136DE5">
        <w:t>slevou</w:t>
      </w:r>
      <w:r>
        <w:t xml:space="preserve"> </w:t>
      </w:r>
      <w:r w:rsidRPr="00136DE5">
        <w:t>z</w:t>
      </w:r>
      <w:r>
        <w:t xml:space="preserve"> </w:t>
      </w:r>
      <w:r w:rsidRPr="00136DE5">
        <w:t>ceny</w:t>
      </w:r>
      <w:r>
        <w:t xml:space="preserve"> </w:t>
      </w:r>
      <w:r w:rsidRPr="00136DE5">
        <w:t>a</w:t>
      </w:r>
      <w:r>
        <w:t xml:space="preserve"> </w:t>
      </w:r>
      <w:r w:rsidRPr="00136DE5">
        <w:t>výše</w:t>
      </w:r>
      <w:r>
        <w:t xml:space="preserve"> </w:t>
      </w:r>
      <w:r w:rsidRPr="00136DE5">
        <w:t>slevy</w:t>
      </w:r>
      <w:r>
        <w:t xml:space="preserve"> </w:t>
      </w:r>
      <w:r w:rsidRPr="00136DE5">
        <w:t>se</w:t>
      </w:r>
      <w:r>
        <w:t xml:space="preserve"> </w:t>
      </w:r>
      <w:r w:rsidRPr="00136DE5">
        <w:t>váže</w:t>
      </w:r>
      <w:r>
        <w:t xml:space="preserve"> </w:t>
      </w:r>
      <w:r w:rsidRPr="00136DE5">
        <w:t>k</w:t>
      </w:r>
      <w:r>
        <w:t xml:space="preserve"> </w:t>
      </w:r>
      <w:r w:rsidRPr="00136DE5">
        <w:t>jednotkové</w:t>
      </w:r>
      <w:r>
        <w:t xml:space="preserve"> </w:t>
      </w:r>
      <w:r w:rsidRPr="00136DE5">
        <w:t>ceně</w:t>
      </w:r>
      <w:r>
        <w:t xml:space="preserve"> </w:t>
      </w:r>
      <w:r w:rsidRPr="00136DE5">
        <w:t>plnění;</w:t>
      </w:r>
      <w:r>
        <w:t xml:space="preserve"> </w:t>
      </w:r>
      <w:r w:rsidRPr="00136DE5">
        <w:t>za</w:t>
      </w:r>
      <w:r>
        <w:t xml:space="preserve"> </w:t>
      </w:r>
      <w:r w:rsidRPr="00136DE5">
        <w:t>dotaci</w:t>
      </w:r>
      <w:r>
        <w:t xml:space="preserve"> </w:t>
      </w:r>
      <w:r w:rsidRPr="00136DE5">
        <w:t>k</w:t>
      </w:r>
      <w:r>
        <w:t xml:space="preserve"> </w:t>
      </w:r>
      <w:r w:rsidRPr="00136DE5">
        <w:t>ceně</w:t>
      </w:r>
      <w:r>
        <w:t xml:space="preserve"> </w:t>
      </w:r>
      <w:r w:rsidRPr="00136DE5">
        <w:t>se</w:t>
      </w:r>
      <w:r>
        <w:t xml:space="preserve"> </w:t>
      </w:r>
      <w:r w:rsidRPr="00136DE5">
        <w:t>nepovažuje</w:t>
      </w:r>
      <w:r>
        <w:t xml:space="preserve"> </w:t>
      </w:r>
      <w:r w:rsidRPr="00136DE5">
        <w:t>zejména</w:t>
      </w:r>
      <w:r>
        <w:t xml:space="preserve"> </w:t>
      </w:r>
      <w:r w:rsidRPr="00136DE5">
        <w:t>dotace</w:t>
      </w:r>
      <w:r>
        <w:t xml:space="preserve"> </w:t>
      </w:r>
      <w:r w:rsidRPr="00136DE5">
        <w:t>k</w:t>
      </w:r>
      <w:r>
        <w:t xml:space="preserve"> </w:t>
      </w:r>
      <w:r w:rsidRPr="00136DE5">
        <w:t>výsledku</w:t>
      </w:r>
      <w:r>
        <w:t xml:space="preserve"> </w:t>
      </w:r>
      <w:r w:rsidRPr="00136DE5">
        <w:t>hospodaření</w:t>
      </w:r>
      <w:r>
        <w:t xml:space="preserve"> </w:t>
      </w:r>
      <w:r w:rsidRPr="00136DE5">
        <w:t>a</w:t>
      </w:r>
      <w:r>
        <w:t xml:space="preserve"> </w:t>
      </w:r>
      <w:r w:rsidRPr="00136DE5">
        <w:t>na</w:t>
      </w:r>
      <w:r>
        <w:t xml:space="preserve"> </w:t>
      </w:r>
      <w:r w:rsidRPr="00136DE5">
        <w:t>pořízení</w:t>
      </w:r>
      <w:r>
        <w:t xml:space="preserve"> </w:t>
      </w:r>
      <w:r w:rsidRPr="00136DE5">
        <w:t>dlouhodobého</w:t>
      </w:r>
      <w:r>
        <w:t xml:space="preserve"> </w:t>
      </w:r>
      <w:r w:rsidRPr="00136DE5">
        <w:t>hmotného</w:t>
      </w:r>
      <w:r>
        <w:t xml:space="preserve"> </w:t>
      </w:r>
      <w:r w:rsidRPr="00136DE5">
        <w:t>a</w:t>
      </w:r>
      <w:r>
        <w:t xml:space="preserve"> </w:t>
      </w:r>
      <w:r w:rsidRPr="00136DE5">
        <w:t>dlouhodobého</w:t>
      </w:r>
      <w:r>
        <w:t xml:space="preserve"> </w:t>
      </w:r>
      <w:r w:rsidRPr="00136DE5">
        <w:t>nehmotného</w:t>
      </w:r>
      <w:r>
        <w:t xml:space="preserve"> </w:t>
      </w:r>
      <w:r w:rsidRPr="00136DE5">
        <w:t>majetku,</w:t>
      </w:r>
    </w:p>
    <w:p w14:paraId="5EAD5180" w14:textId="77777777" w:rsidR="00E4236C" w:rsidRDefault="00E4236C" w:rsidP="00E4236C">
      <w:pPr>
        <w:pStyle w:val="PZTextpsmene"/>
        <w:spacing w:before="0"/>
      </w:pPr>
      <w:r w:rsidRPr="00136DE5">
        <w:t>b</w:t>
      </w:r>
      <w:r>
        <w:t>)</w:t>
      </w:r>
      <w:r>
        <w:tab/>
      </w:r>
      <w:r w:rsidRPr="00136DE5">
        <w:t>jednotkovou</w:t>
      </w:r>
      <w:r>
        <w:t xml:space="preserve"> </w:t>
      </w:r>
      <w:r w:rsidRPr="00136DE5">
        <w:t>cenou</w:t>
      </w:r>
      <w:r>
        <w:t xml:space="preserve"> </w:t>
      </w:r>
      <w:r w:rsidRPr="00136DE5">
        <w:t>cena</w:t>
      </w:r>
      <w:r>
        <w:t xml:space="preserve"> </w:t>
      </w:r>
      <w:r w:rsidRPr="00136DE5">
        <w:t>za</w:t>
      </w:r>
      <w:r>
        <w:t xml:space="preserve"> </w:t>
      </w:r>
      <w:r w:rsidRPr="00136DE5">
        <w:t>jednotku</w:t>
      </w:r>
      <w:r>
        <w:t xml:space="preserve"> </w:t>
      </w:r>
      <w:r w:rsidRPr="00136DE5">
        <w:t>množství</w:t>
      </w:r>
      <w:r>
        <w:t xml:space="preserve"> </w:t>
      </w:r>
      <w:r w:rsidRPr="00136DE5">
        <w:t>zboží</w:t>
      </w:r>
      <w:r>
        <w:t xml:space="preserve"> </w:t>
      </w:r>
      <w:r w:rsidRPr="00136DE5">
        <w:t>nebo</w:t>
      </w:r>
      <w:r>
        <w:t xml:space="preserve"> </w:t>
      </w:r>
      <w:r w:rsidRPr="00136DE5">
        <w:t>cena</w:t>
      </w:r>
      <w:r>
        <w:t xml:space="preserve"> </w:t>
      </w:r>
      <w:r w:rsidRPr="00136DE5">
        <w:t>za</w:t>
      </w:r>
      <w:r>
        <w:t xml:space="preserve"> </w:t>
      </w:r>
      <w:r w:rsidRPr="00136DE5">
        <w:t>službu,</w:t>
      </w:r>
    </w:p>
    <w:p w14:paraId="3A1C8E24" w14:textId="77777777" w:rsidR="00E4236C" w:rsidRDefault="00E4236C" w:rsidP="00E4236C">
      <w:pPr>
        <w:pStyle w:val="PZTextpsmene"/>
        <w:spacing w:before="0"/>
      </w:pPr>
      <w:r w:rsidRPr="00136DE5">
        <w:t>c</w:t>
      </w:r>
      <w:r>
        <w:t>)</w:t>
      </w:r>
      <w:r>
        <w:tab/>
      </w:r>
      <w:r w:rsidRPr="00136DE5">
        <w:t>daní</w:t>
      </w:r>
      <w:r>
        <w:t xml:space="preserve"> </w:t>
      </w:r>
      <w:r w:rsidRPr="00136DE5">
        <w:t>na</w:t>
      </w:r>
      <w:r>
        <w:t xml:space="preserve"> </w:t>
      </w:r>
      <w:r w:rsidRPr="00136DE5">
        <w:t>výstupu</w:t>
      </w:r>
      <w:r>
        <w:t xml:space="preserve"> </w:t>
      </w:r>
      <w:r w:rsidRPr="00136DE5">
        <w:t>daň</w:t>
      </w:r>
      <w:r>
        <w:t xml:space="preserve"> </w:t>
      </w:r>
      <w:r w:rsidRPr="00136DE5">
        <w:t>uplatněná</w:t>
      </w:r>
      <w:r>
        <w:t xml:space="preserve"> </w:t>
      </w:r>
      <w:r w:rsidRPr="00136DE5">
        <w:t>plátcem</w:t>
      </w:r>
      <w:r>
        <w:t xml:space="preserve"> </w:t>
      </w:r>
      <w:r w:rsidRPr="00136DE5">
        <w:t>za</w:t>
      </w:r>
      <w:r>
        <w:t xml:space="preserve"> </w:t>
      </w:r>
      <w:r w:rsidRPr="00136DE5">
        <w:t>zdanitelné</w:t>
      </w:r>
      <w:r>
        <w:t xml:space="preserve"> </w:t>
      </w:r>
      <w:r w:rsidRPr="00136DE5">
        <w:t>plnění</w:t>
      </w:r>
      <w:r>
        <w:t xml:space="preserve"> </w:t>
      </w:r>
      <w:r w:rsidRPr="00136DE5">
        <w:t>podle</w:t>
      </w:r>
      <w:r>
        <w:t xml:space="preserve"> </w:t>
      </w:r>
      <w:r w:rsidRPr="00136DE5">
        <w:t>§</w:t>
      </w:r>
      <w:r>
        <w:t xml:space="preserve"> </w:t>
      </w:r>
      <w:r w:rsidRPr="00136DE5">
        <w:t>13</w:t>
      </w:r>
      <w:r>
        <w:t xml:space="preserve"> </w:t>
      </w:r>
      <w:r w:rsidRPr="00136DE5">
        <w:t>až</w:t>
      </w:r>
      <w:r>
        <w:t xml:space="preserve"> </w:t>
      </w:r>
      <w:r w:rsidRPr="00136DE5">
        <w:t>20</w:t>
      </w:r>
      <w:r>
        <w:t xml:space="preserve"> </w:t>
      </w:r>
      <w:r w:rsidRPr="00136DE5">
        <w:t>nebo</w:t>
      </w:r>
      <w:r>
        <w:t xml:space="preserve"> </w:t>
      </w:r>
      <w:r w:rsidRPr="00136DE5">
        <w:t>z</w:t>
      </w:r>
      <w:r>
        <w:t xml:space="preserve"> </w:t>
      </w:r>
      <w:r w:rsidRPr="00136DE5">
        <w:t>přijaté</w:t>
      </w:r>
      <w:r>
        <w:t xml:space="preserve"> </w:t>
      </w:r>
      <w:r w:rsidRPr="00136DE5">
        <w:t>úplaty</w:t>
      </w:r>
      <w:r>
        <w:t xml:space="preserve"> </w:t>
      </w:r>
      <w:r w:rsidRPr="00136DE5">
        <w:t>vztahující</w:t>
      </w:r>
      <w:r>
        <w:t xml:space="preserve"> </w:t>
      </w:r>
      <w:r w:rsidRPr="00136DE5">
        <w:t>se</w:t>
      </w:r>
      <w:r>
        <w:t xml:space="preserve"> </w:t>
      </w:r>
      <w:r w:rsidRPr="00136DE5">
        <w:t>k</w:t>
      </w:r>
      <w:r>
        <w:t xml:space="preserve"> </w:t>
      </w:r>
      <w:r w:rsidRPr="00136DE5">
        <w:t>tomuto</w:t>
      </w:r>
      <w:r>
        <w:t xml:space="preserve"> </w:t>
      </w:r>
      <w:r w:rsidRPr="00136DE5">
        <w:t>plnění,</w:t>
      </w:r>
    </w:p>
    <w:p w14:paraId="7485D178" w14:textId="77777777" w:rsidR="00E4236C" w:rsidRDefault="00E4236C" w:rsidP="00E4236C">
      <w:pPr>
        <w:pStyle w:val="PZTextpsmene"/>
        <w:spacing w:before="0"/>
      </w:pPr>
      <w:r w:rsidRPr="00136DE5">
        <w:t>d</w:t>
      </w:r>
      <w:r>
        <w:t>)</w:t>
      </w:r>
      <w:r>
        <w:tab/>
      </w:r>
      <w:r w:rsidRPr="00136DE5">
        <w:t>nadměrným</w:t>
      </w:r>
      <w:r>
        <w:t xml:space="preserve"> </w:t>
      </w:r>
      <w:r w:rsidRPr="00136DE5">
        <w:t>odpočtem</w:t>
      </w:r>
      <w:r>
        <w:t xml:space="preserve"> </w:t>
      </w:r>
      <w:r w:rsidRPr="00136DE5">
        <w:t>daň</w:t>
      </w:r>
      <w:r>
        <w:t xml:space="preserve"> </w:t>
      </w:r>
      <w:r w:rsidRPr="00136DE5">
        <w:t>odpovídající</w:t>
      </w:r>
      <w:r>
        <w:t xml:space="preserve"> </w:t>
      </w:r>
      <w:r w:rsidRPr="00136DE5">
        <w:t>rozdílu</w:t>
      </w:r>
      <w:r>
        <w:t xml:space="preserve"> </w:t>
      </w:r>
      <w:r w:rsidRPr="00136DE5">
        <w:t>mezi</w:t>
      </w:r>
      <w:r>
        <w:t xml:space="preserve"> </w:t>
      </w:r>
      <w:r w:rsidRPr="00136DE5">
        <w:t>daní</w:t>
      </w:r>
      <w:r>
        <w:t xml:space="preserve"> </w:t>
      </w:r>
      <w:r w:rsidRPr="00136DE5">
        <w:t>na</w:t>
      </w:r>
      <w:r>
        <w:t xml:space="preserve"> </w:t>
      </w:r>
      <w:r w:rsidRPr="00136DE5">
        <w:t>výstupu</w:t>
      </w:r>
      <w:r>
        <w:t xml:space="preserve"> </w:t>
      </w:r>
      <w:r w:rsidRPr="00136DE5">
        <w:t>a</w:t>
      </w:r>
      <w:r>
        <w:t xml:space="preserve"> </w:t>
      </w:r>
      <w:r w:rsidRPr="00136DE5">
        <w:t>odpočtem</w:t>
      </w:r>
      <w:r>
        <w:t xml:space="preserve"> </w:t>
      </w:r>
      <w:r w:rsidRPr="00136DE5">
        <w:t>daně</w:t>
      </w:r>
      <w:r>
        <w:t xml:space="preserve"> </w:t>
      </w:r>
      <w:r w:rsidRPr="00136DE5">
        <w:t>za</w:t>
      </w:r>
      <w:r>
        <w:t xml:space="preserve"> </w:t>
      </w:r>
      <w:r w:rsidRPr="00136DE5">
        <w:t>zdaňovací</w:t>
      </w:r>
      <w:r>
        <w:t xml:space="preserve"> </w:t>
      </w:r>
      <w:r w:rsidRPr="00136DE5">
        <w:t>období</w:t>
      </w:r>
      <w:r>
        <w:t xml:space="preserve"> </w:t>
      </w:r>
      <w:r w:rsidRPr="00136DE5">
        <w:t>v</w:t>
      </w:r>
      <w:r>
        <w:t xml:space="preserve"> </w:t>
      </w:r>
      <w:r w:rsidRPr="00136DE5">
        <w:t>případě,</w:t>
      </w:r>
      <w:r>
        <w:t xml:space="preserve"> </w:t>
      </w:r>
      <w:r w:rsidRPr="00136DE5">
        <w:t>že</w:t>
      </w:r>
      <w:r>
        <w:t xml:space="preserve"> </w:t>
      </w:r>
      <w:r w:rsidRPr="00136DE5">
        <w:t>daň</w:t>
      </w:r>
      <w:r>
        <w:t xml:space="preserve"> </w:t>
      </w:r>
      <w:r w:rsidRPr="00136DE5">
        <w:t>na</w:t>
      </w:r>
      <w:r>
        <w:t xml:space="preserve"> </w:t>
      </w:r>
      <w:r w:rsidRPr="00136DE5">
        <w:t>výstupu</w:t>
      </w:r>
      <w:r>
        <w:t xml:space="preserve"> </w:t>
      </w:r>
      <w:r w:rsidRPr="00136DE5">
        <w:t>je</w:t>
      </w:r>
      <w:r>
        <w:t xml:space="preserve"> </w:t>
      </w:r>
      <w:r w:rsidRPr="00136DE5">
        <w:t>nižší</w:t>
      </w:r>
      <w:r>
        <w:t xml:space="preserve"> </w:t>
      </w:r>
      <w:r w:rsidRPr="00136DE5">
        <w:t>než</w:t>
      </w:r>
      <w:r>
        <w:t xml:space="preserve"> </w:t>
      </w:r>
      <w:r w:rsidRPr="00136DE5">
        <w:t>odpočet</w:t>
      </w:r>
      <w:r>
        <w:t xml:space="preserve"> </w:t>
      </w:r>
      <w:r w:rsidRPr="00136DE5">
        <w:t>daně,</w:t>
      </w:r>
    </w:p>
    <w:p w14:paraId="4CC1D2FE" w14:textId="77777777" w:rsidR="00E4236C" w:rsidRDefault="00E4236C" w:rsidP="00E4236C">
      <w:pPr>
        <w:pStyle w:val="PZTextpsmene"/>
        <w:spacing w:before="0"/>
      </w:pPr>
      <w:r w:rsidRPr="00136DE5">
        <w:t>e</w:t>
      </w:r>
      <w:r>
        <w:t>)</w:t>
      </w:r>
      <w:r>
        <w:tab/>
      </w:r>
      <w:r w:rsidRPr="00136DE5">
        <w:t>uskutečněným</w:t>
      </w:r>
      <w:r>
        <w:t xml:space="preserve"> </w:t>
      </w:r>
      <w:r w:rsidRPr="00136DE5">
        <w:t>plněním</w:t>
      </w:r>
      <w:r>
        <w:t xml:space="preserve"> </w:t>
      </w:r>
      <w:r w:rsidRPr="00136DE5">
        <w:t>dodání</w:t>
      </w:r>
      <w:r>
        <w:t xml:space="preserve"> </w:t>
      </w:r>
      <w:r w:rsidRPr="00136DE5">
        <w:t>zboží</w:t>
      </w:r>
      <w:r>
        <w:t xml:space="preserve"> </w:t>
      </w:r>
      <w:r w:rsidRPr="00136DE5">
        <w:t>nebo</w:t>
      </w:r>
      <w:r>
        <w:t xml:space="preserve"> </w:t>
      </w:r>
      <w:r w:rsidRPr="00136DE5">
        <w:t>poskytnutí</w:t>
      </w:r>
      <w:r>
        <w:t xml:space="preserve"> </w:t>
      </w:r>
      <w:r w:rsidRPr="00136DE5">
        <w:t>služby</w:t>
      </w:r>
      <w:r>
        <w:t xml:space="preserve"> </w:t>
      </w:r>
      <w:r w:rsidRPr="00136DE5">
        <w:t>za</w:t>
      </w:r>
      <w:r>
        <w:t xml:space="preserve"> </w:t>
      </w:r>
      <w:r w:rsidRPr="00136DE5">
        <w:t>úplatu</w:t>
      </w:r>
      <w:r>
        <w:t xml:space="preserve"> </w:t>
      </w:r>
      <w:r w:rsidRPr="00136DE5">
        <w:t>osobou</w:t>
      </w:r>
      <w:r>
        <w:t xml:space="preserve"> </w:t>
      </w:r>
      <w:r w:rsidRPr="00136DE5">
        <w:t>povinnou</w:t>
      </w:r>
      <w:r>
        <w:t xml:space="preserve"> </w:t>
      </w:r>
      <w:r w:rsidRPr="00136DE5">
        <w:t>k</w:t>
      </w:r>
      <w:r>
        <w:t xml:space="preserve"> </w:t>
      </w:r>
      <w:r w:rsidRPr="00136DE5">
        <w:t>dani,</w:t>
      </w:r>
      <w:r>
        <w:t xml:space="preserve"> </w:t>
      </w:r>
      <w:r w:rsidRPr="00136DE5">
        <w:t>která</w:t>
      </w:r>
      <w:r>
        <w:t xml:space="preserve"> </w:t>
      </w:r>
      <w:r w:rsidRPr="00136DE5">
        <w:t>jedná</w:t>
      </w:r>
      <w:r>
        <w:t xml:space="preserve"> </w:t>
      </w:r>
      <w:r w:rsidRPr="00136DE5">
        <w:t>jako</w:t>
      </w:r>
      <w:r>
        <w:t xml:space="preserve"> </w:t>
      </w:r>
      <w:r w:rsidRPr="00136DE5">
        <w:t>taková,</w:t>
      </w:r>
    </w:p>
    <w:p w14:paraId="42C8316A" w14:textId="77777777" w:rsidR="00E4236C" w:rsidRDefault="00E4236C" w:rsidP="00E4236C">
      <w:pPr>
        <w:pStyle w:val="PZTextpsmene"/>
        <w:spacing w:before="0"/>
      </w:pPr>
      <w:r w:rsidRPr="00136DE5">
        <w:t>f</w:t>
      </w:r>
      <w:r>
        <w:t>)</w:t>
      </w:r>
      <w:r>
        <w:tab/>
      </w:r>
      <w:r w:rsidRPr="00136DE5">
        <w:t>osobou</w:t>
      </w:r>
      <w:r>
        <w:t xml:space="preserve"> </w:t>
      </w:r>
      <w:r w:rsidRPr="00136DE5">
        <w:t>registrovanou</w:t>
      </w:r>
      <w:r>
        <w:t xml:space="preserve"> </w:t>
      </w:r>
      <w:r w:rsidRPr="00136DE5">
        <w:t>k</w:t>
      </w:r>
      <w:r>
        <w:t xml:space="preserve"> </w:t>
      </w:r>
      <w:r w:rsidRPr="00136DE5">
        <w:t>dani</w:t>
      </w:r>
      <w:r>
        <w:t xml:space="preserve"> </w:t>
      </w:r>
      <w:r w:rsidRPr="00136DE5">
        <w:t>osoba,</w:t>
      </w:r>
      <w:r>
        <w:t xml:space="preserve"> </w:t>
      </w:r>
      <w:r w:rsidRPr="00136DE5">
        <w:t>které</w:t>
      </w:r>
      <w:r>
        <w:t xml:space="preserve"> </w:t>
      </w:r>
      <w:r w:rsidRPr="00136DE5">
        <w:t>bylo</w:t>
      </w:r>
      <w:r>
        <w:t xml:space="preserve"> </w:t>
      </w:r>
      <w:r w:rsidRPr="00136DE5">
        <w:t>přiděleno</w:t>
      </w:r>
      <w:r>
        <w:t xml:space="preserve"> </w:t>
      </w:r>
      <w:r w:rsidRPr="00136DE5">
        <w:t>daňové</w:t>
      </w:r>
      <w:r>
        <w:t xml:space="preserve"> </w:t>
      </w:r>
      <w:r w:rsidRPr="00136DE5">
        <w:t>identifikační</w:t>
      </w:r>
      <w:r>
        <w:t xml:space="preserve"> </w:t>
      </w:r>
      <w:r w:rsidRPr="00136DE5">
        <w:t>číslo</w:t>
      </w:r>
      <w:r>
        <w:t xml:space="preserve"> </w:t>
      </w:r>
      <w:r w:rsidRPr="00136DE5">
        <w:t>pro</w:t>
      </w:r>
      <w:r>
        <w:t xml:space="preserve"> </w:t>
      </w:r>
      <w:r w:rsidRPr="00136DE5">
        <w:t>účely</w:t>
      </w:r>
      <w:r>
        <w:t xml:space="preserve"> </w:t>
      </w:r>
      <w:r w:rsidRPr="00136DE5">
        <w:t>daně</w:t>
      </w:r>
      <w:r>
        <w:t xml:space="preserve"> </w:t>
      </w:r>
      <w:r w:rsidRPr="00136DE5">
        <w:t>z</w:t>
      </w:r>
      <w:r>
        <w:t xml:space="preserve"> </w:t>
      </w:r>
      <w:r w:rsidRPr="00136DE5">
        <w:t>přidané</w:t>
      </w:r>
      <w:r>
        <w:t xml:space="preserve"> </w:t>
      </w:r>
      <w:r w:rsidRPr="00136DE5">
        <w:t>hodnoty</w:t>
      </w:r>
      <w:r>
        <w:t xml:space="preserve"> </w:t>
      </w:r>
      <w:r w:rsidRPr="00136DE5">
        <w:t>v</w:t>
      </w:r>
      <w:r>
        <w:t xml:space="preserve"> </w:t>
      </w:r>
      <w:r w:rsidRPr="00136DE5">
        <w:t>rámci</w:t>
      </w:r>
      <w:r>
        <w:t xml:space="preserve"> </w:t>
      </w:r>
      <w:r w:rsidRPr="00136DE5">
        <w:t>obchodování</w:t>
      </w:r>
      <w:r>
        <w:t xml:space="preserve"> </w:t>
      </w:r>
      <w:r w:rsidRPr="00136DE5">
        <w:t>mezi</w:t>
      </w:r>
      <w:r>
        <w:t xml:space="preserve"> </w:t>
      </w:r>
      <w:r w:rsidRPr="00136DE5">
        <w:t>členskými</w:t>
      </w:r>
      <w:r>
        <w:t xml:space="preserve"> </w:t>
      </w:r>
      <w:r w:rsidRPr="00136DE5">
        <w:t>státy,</w:t>
      </w:r>
    </w:p>
    <w:p w14:paraId="151C92DE" w14:textId="77777777" w:rsidR="00E4236C" w:rsidRDefault="00E4236C" w:rsidP="00E4236C">
      <w:pPr>
        <w:pStyle w:val="PZTextpsmene"/>
        <w:spacing w:before="0"/>
      </w:pPr>
      <w:r w:rsidRPr="00136DE5">
        <w:t>g</w:t>
      </w:r>
      <w:r>
        <w:t>)</w:t>
      </w:r>
      <w:r>
        <w:tab/>
      </w:r>
      <w:r w:rsidRPr="00136DE5">
        <w:t>zahraniční</w:t>
      </w:r>
      <w:r>
        <w:t xml:space="preserve"> </w:t>
      </w:r>
      <w:r w:rsidRPr="00136DE5">
        <w:t>osobou</w:t>
      </w:r>
      <w:r>
        <w:t xml:space="preserve"> </w:t>
      </w:r>
      <w:r w:rsidRPr="00136DE5">
        <w:t>osoba</w:t>
      </w:r>
      <w:r>
        <w:t xml:space="preserve"> </w:t>
      </w:r>
      <w:r w:rsidRPr="00136DE5">
        <w:t>povinná</w:t>
      </w:r>
      <w:r>
        <w:t xml:space="preserve"> </w:t>
      </w:r>
      <w:r w:rsidRPr="00136DE5">
        <w:t>k</w:t>
      </w:r>
      <w:r>
        <w:t xml:space="preserve"> </w:t>
      </w:r>
      <w:r w:rsidRPr="00136DE5">
        <w:t>dani,</w:t>
      </w:r>
      <w:r>
        <w:t xml:space="preserve"> </w:t>
      </w:r>
      <w:r w:rsidRPr="00136DE5">
        <w:t>která</w:t>
      </w:r>
      <w:r>
        <w:t xml:space="preserve"> </w:t>
      </w:r>
      <w:r w:rsidRPr="00136DE5">
        <w:t>nemá</w:t>
      </w:r>
      <w:r>
        <w:t xml:space="preserve"> </w:t>
      </w:r>
      <w:r w:rsidRPr="00136DE5">
        <w:t>na</w:t>
      </w:r>
      <w:r>
        <w:t xml:space="preserve"> </w:t>
      </w:r>
      <w:r w:rsidRPr="00136DE5">
        <w:t>území</w:t>
      </w:r>
      <w:r>
        <w:t xml:space="preserve"> </w:t>
      </w:r>
      <w:r w:rsidRPr="00136DE5">
        <w:t>Evropské</w:t>
      </w:r>
      <w:r>
        <w:t xml:space="preserve"> </w:t>
      </w:r>
      <w:r w:rsidRPr="00136DE5">
        <w:t>unie</w:t>
      </w:r>
      <w:r>
        <w:t xml:space="preserve"> </w:t>
      </w:r>
      <w:r w:rsidRPr="00136DE5">
        <w:t>sídlo</w:t>
      </w:r>
      <w:r>
        <w:t xml:space="preserve"> </w:t>
      </w:r>
      <w:r w:rsidRPr="00136DE5">
        <w:t>ani</w:t>
      </w:r>
      <w:r>
        <w:t xml:space="preserve"> </w:t>
      </w:r>
      <w:r w:rsidRPr="00136DE5">
        <w:t>provozovnu,</w:t>
      </w:r>
    </w:p>
    <w:p w14:paraId="043AFC95" w14:textId="77777777" w:rsidR="00E4236C" w:rsidRDefault="00E4236C" w:rsidP="00E4236C">
      <w:pPr>
        <w:pStyle w:val="PZTextpsmene"/>
        <w:spacing w:before="0"/>
      </w:pPr>
      <w:r w:rsidRPr="00136DE5">
        <w:t>h</w:t>
      </w:r>
      <w:r>
        <w:t>)</w:t>
      </w:r>
      <w:r>
        <w:tab/>
      </w:r>
      <w:r w:rsidRPr="00136DE5">
        <w:t>u</w:t>
      </w:r>
      <w:r>
        <w:t xml:space="preserve"> </w:t>
      </w:r>
      <w:r w:rsidRPr="00136DE5">
        <w:t>fyzické</w:t>
      </w:r>
      <w:r>
        <w:t xml:space="preserve"> </w:t>
      </w:r>
      <w:r w:rsidRPr="00136DE5">
        <w:t>osoby</w:t>
      </w:r>
    </w:p>
    <w:p w14:paraId="65F8A0DD" w14:textId="77777777" w:rsidR="00E4236C" w:rsidRDefault="00E4236C" w:rsidP="00E4236C">
      <w:pPr>
        <w:pStyle w:val="PZTextbodu"/>
        <w:spacing w:before="0"/>
      </w:pPr>
      <w:r w:rsidRPr="00136DE5">
        <w:t>1</w:t>
      </w:r>
      <w:r>
        <w:t>.</w:t>
      </w:r>
      <w:r>
        <w:tab/>
      </w:r>
      <w:r w:rsidRPr="00136DE5">
        <w:t>bydlištěm</w:t>
      </w:r>
      <w:r>
        <w:t xml:space="preserve"> </w:t>
      </w:r>
      <w:r w:rsidRPr="00136DE5">
        <w:t>adresa</w:t>
      </w:r>
      <w:r>
        <w:t xml:space="preserve"> </w:t>
      </w:r>
      <w:r w:rsidRPr="00136DE5">
        <w:t>vedená</w:t>
      </w:r>
      <w:r>
        <w:t xml:space="preserve"> </w:t>
      </w:r>
      <w:r w:rsidRPr="00136DE5">
        <w:t>v</w:t>
      </w:r>
      <w:r>
        <w:t xml:space="preserve"> </w:t>
      </w:r>
      <w:r w:rsidRPr="00136DE5">
        <w:t>základním</w:t>
      </w:r>
      <w:r>
        <w:t xml:space="preserve"> </w:t>
      </w:r>
      <w:r w:rsidRPr="00136DE5">
        <w:t>registru</w:t>
      </w:r>
      <w:r>
        <w:t xml:space="preserve"> </w:t>
      </w:r>
      <w:r w:rsidRPr="00136DE5">
        <w:t>obyvatel</w:t>
      </w:r>
      <w:r>
        <w:t xml:space="preserve"> </w:t>
      </w:r>
      <w:r w:rsidRPr="00136DE5">
        <w:t>nebo</w:t>
      </w:r>
      <w:r>
        <w:t xml:space="preserve"> </w:t>
      </w:r>
      <w:r w:rsidRPr="00136DE5">
        <w:t>v</w:t>
      </w:r>
      <w:r>
        <w:t xml:space="preserve"> </w:t>
      </w:r>
      <w:r w:rsidRPr="00136DE5">
        <w:t>jiné</w:t>
      </w:r>
      <w:r>
        <w:t xml:space="preserve"> </w:t>
      </w:r>
      <w:r w:rsidRPr="00136DE5">
        <w:t>obdobné</w:t>
      </w:r>
      <w:r>
        <w:t xml:space="preserve"> </w:t>
      </w:r>
      <w:r w:rsidRPr="00136DE5">
        <w:t>evidenci,</w:t>
      </w:r>
      <w:r>
        <w:t xml:space="preserve"> </w:t>
      </w:r>
      <w:r w:rsidRPr="00136DE5">
        <w:t>anebo</w:t>
      </w:r>
      <w:r>
        <w:t xml:space="preserve"> </w:t>
      </w:r>
      <w:r w:rsidRPr="00136DE5">
        <w:t>adresa,</w:t>
      </w:r>
      <w:r>
        <w:t xml:space="preserve"> </w:t>
      </w:r>
      <w:r w:rsidRPr="00136DE5">
        <w:t>kterou</w:t>
      </w:r>
      <w:r>
        <w:t xml:space="preserve"> </w:t>
      </w:r>
      <w:r w:rsidRPr="00136DE5">
        <w:t>fyzická</w:t>
      </w:r>
      <w:r>
        <w:t xml:space="preserve"> </w:t>
      </w:r>
      <w:r w:rsidRPr="00136DE5">
        <w:t>osoba</w:t>
      </w:r>
      <w:r>
        <w:t xml:space="preserve"> </w:t>
      </w:r>
      <w:r w:rsidRPr="00136DE5">
        <w:t>uvedla</w:t>
      </w:r>
      <w:r>
        <w:t xml:space="preserve"> </w:t>
      </w:r>
      <w:r w:rsidRPr="00136DE5">
        <w:t>správci</w:t>
      </w:r>
      <w:r>
        <w:t xml:space="preserve"> </w:t>
      </w:r>
      <w:r w:rsidRPr="00136DE5">
        <w:t>daně,</w:t>
      </w:r>
      <w:r>
        <w:t xml:space="preserve"> </w:t>
      </w:r>
      <w:r w:rsidRPr="00136DE5">
        <w:t>pokud</w:t>
      </w:r>
      <w:r>
        <w:t xml:space="preserve"> </w:t>
      </w:r>
      <w:r w:rsidRPr="00136DE5">
        <w:t>neexistuje</w:t>
      </w:r>
      <w:r>
        <w:t xml:space="preserve"> </w:t>
      </w:r>
      <w:r w:rsidRPr="00136DE5">
        <w:t>důkaz,</w:t>
      </w:r>
      <w:r>
        <w:t xml:space="preserve"> </w:t>
      </w:r>
      <w:r w:rsidRPr="00136DE5">
        <w:t>že</w:t>
      </w:r>
      <w:r>
        <w:t xml:space="preserve"> </w:t>
      </w:r>
      <w:r w:rsidRPr="00136DE5">
        <w:t>tato</w:t>
      </w:r>
      <w:r>
        <w:t xml:space="preserve"> </w:t>
      </w:r>
      <w:r w:rsidRPr="00136DE5">
        <w:t>adresa</w:t>
      </w:r>
      <w:r>
        <w:t xml:space="preserve"> </w:t>
      </w:r>
      <w:r w:rsidRPr="00136DE5">
        <w:t>neodpovídá</w:t>
      </w:r>
      <w:r>
        <w:t xml:space="preserve"> </w:t>
      </w:r>
      <w:r w:rsidRPr="00136DE5">
        <w:t>skutečnosti,</w:t>
      </w:r>
    </w:p>
    <w:p w14:paraId="0E403C18" w14:textId="77777777" w:rsidR="00E4236C" w:rsidRDefault="00E4236C" w:rsidP="00E4236C">
      <w:pPr>
        <w:pStyle w:val="PZTextbodu"/>
        <w:spacing w:before="0"/>
      </w:pPr>
      <w:r w:rsidRPr="00136DE5">
        <w:t>2</w:t>
      </w:r>
      <w:r>
        <w:t>.</w:t>
      </w:r>
      <w:r>
        <w:tab/>
      </w:r>
      <w:r w:rsidRPr="00136DE5">
        <w:t>místem,</w:t>
      </w:r>
      <w:r>
        <w:t xml:space="preserve"> </w:t>
      </w:r>
      <w:r w:rsidRPr="00136DE5">
        <w:t>kde</w:t>
      </w:r>
      <w:r>
        <w:t xml:space="preserve"> </w:t>
      </w:r>
      <w:r w:rsidRPr="00136DE5">
        <w:t>se</w:t>
      </w:r>
      <w:r>
        <w:t xml:space="preserve"> </w:t>
      </w:r>
      <w:r w:rsidRPr="00136DE5">
        <w:t>obvykle</w:t>
      </w:r>
      <w:r>
        <w:t xml:space="preserve"> </w:t>
      </w:r>
      <w:r w:rsidRPr="00136DE5">
        <w:t>zdržuje,</w:t>
      </w:r>
      <w:r>
        <w:t xml:space="preserve"> </w:t>
      </w:r>
      <w:r w:rsidRPr="00136DE5">
        <w:t>místo,</w:t>
      </w:r>
      <w:r>
        <w:t xml:space="preserve"> </w:t>
      </w:r>
      <w:r w:rsidRPr="00136DE5">
        <w:t>kde</w:t>
      </w:r>
      <w:r>
        <w:t xml:space="preserve"> </w:t>
      </w:r>
      <w:r w:rsidRPr="00136DE5">
        <w:t>fyzická</w:t>
      </w:r>
      <w:r>
        <w:t xml:space="preserve"> </w:t>
      </w:r>
      <w:r w:rsidRPr="00136DE5">
        <w:t>osoba</w:t>
      </w:r>
      <w:r>
        <w:t xml:space="preserve"> </w:t>
      </w:r>
      <w:r w:rsidRPr="00136DE5">
        <w:t>obvykle</w:t>
      </w:r>
      <w:r>
        <w:t xml:space="preserve"> </w:t>
      </w:r>
      <w:r w:rsidRPr="00136DE5">
        <w:t>žije</w:t>
      </w:r>
      <w:r>
        <w:t xml:space="preserve"> </w:t>
      </w:r>
      <w:r w:rsidRPr="00136DE5">
        <w:t>z</w:t>
      </w:r>
      <w:r>
        <w:t xml:space="preserve"> </w:t>
      </w:r>
      <w:r w:rsidRPr="00136DE5">
        <w:t>důvodu</w:t>
      </w:r>
      <w:r>
        <w:t xml:space="preserve"> </w:t>
      </w:r>
      <w:r w:rsidRPr="00136DE5">
        <w:t>osobních</w:t>
      </w:r>
      <w:r>
        <w:t xml:space="preserve"> </w:t>
      </w:r>
      <w:r w:rsidRPr="00136DE5">
        <w:t>nebo</w:t>
      </w:r>
      <w:r>
        <w:t xml:space="preserve"> </w:t>
      </w:r>
      <w:r w:rsidRPr="00136DE5">
        <w:t>profesních</w:t>
      </w:r>
      <w:r>
        <w:t xml:space="preserve"> </w:t>
      </w:r>
      <w:r w:rsidRPr="00136DE5">
        <w:t>vazeb;</w:t>
      </w:r>
      <w:r>
        <w:t xml:space="preserve"> </w:t>
      </w:r>
      <w:r w:rsidRPr="00136DE5">
        <w:t>má-li</w:t>
      </w:r>
      <w:r>
        <w:t xml:space="preserve"> </w:t>
      </w:r>
      <w:r w:rsidRPr="00136DE5">
        <w:t>tato</w:t>
      </w:r>
      <w:r>
        <w:t xml:space="preserve"> </w:t>
      </w:r>
      <w:r w:rsidRPr="00136DE5">
        <w:t>osoba</w:t>
      </w:r>
      <w:r>
        <w:t xml:space="preserve"> </w:t>
      </w:r>
      <w:r w:rsidRPr="00136DE5">
        <w:t>profesní</w:t>
      </w:r>
      <w:r>
        <w:t xml:space="preserve"> </w:t>
      </w:r>
      <w:r w:rsidRPr="00136DE5">
        <w:t>vazby</w:t>
      </w:r>
      <w:r>
        <w:t xml:space="preserve"> </w:t>
      </w:r>
      <w:r w:rsidRPr="00136DE5">
        <w:t>v</w:t>
      </w:r>
      <w:r>
        <w:t xml:space="preserve"> </w:t>
      </w:r>
      <w:r w:rsidRPr="00136DE5">
        <w:t>jiné</w:t>
      </w:r>
      <w:r>
        <w:t xml:space="preserve"> </w:t>
      </w:r>
      <w:r w:rsidRPr="00136DE5">
        <w:t>zemi,</w:t>
      </w:r>
      <w:r>
        <w:t xml:space="preserve"> </w:t>
      </w:r>
      <w:r w:rsidRPr="00136DE5">
        <w:t>než</w:t>
      </w:r>
      <w:r>
        <w:t xml:space="preserve"> </w:t>
      </w:r>
      <w:r w:rsidRPr="00136DE5">
        <w:t>ve</w:t>
      </w:r>
      <w:r>
        <w:t xml:space="preserve"> </w:t>
      </w:r>
      <w:r w:rsidRPr="00136DE5">
        <w:t>které</w:t>
      </w:r>
      <w:r>
        <w:t xml:space="preserve"> </w:t>
      </w:r>
      <w:r w:rsidRPr="00136DE5">
        <w:t>má</w:t>
      </w:r>
      <w:r>
        <w:t xml:space="preserve"> </w:t>
      </w:r>
      <w:r w:rsidRPr="00136DE5">
        <w:t>své</w:t>
      </w:r>
      <w:r>
        <w:t xml:space="preserve"> </w:t>
      </w:r>
      <w:r w:rsidRPr="00136DE5">
        <w:t>osobní</w:t>
      </w:r>
      <w:r>
        <w:t xml:space="preserve"> </w:t>
      </w:r>
      <w:r w:rsidRPr="00136DE5">
        <w:t>vazby,</w:t>
      </w:r>
      <w:r>
        <w:t xml:space="preserve"> </w:t>
      </w:r>
      <w:r w:rsidRPr="00136DE5">
        <w:t>je</w:t>
      </w:r>
      <w:r>
        <w:t xml:space="preserve"> </w:t>
      </w:r>
      <w:r w:rsidRPr="00136DE5">
        <w:t>místo,</w:t>
      </w:r>
      <w:r>
        <w:t xml:space="preserve"> </w:t>
      </w:r>
      <w:r w:rsidRPr="00136DE5">
        <w:t>kde</w:t>
      </w:r>
      <w:r>
        <w:t xml:space="preserve"> </w:t>
      </w:r>
      <w:r w:rsidRPr="00136DE5">
        <w:t>se</w:t>
      </w:r>
      <w:r>
        <w:t xml:space="preserve"> </w:t>
      </w:r>
      <w:r w:rsidRPr="00136DE5">
        <w:t>fyzická</w:t>
      </w:r>
      <w:r>
        <w:t xml:space="preserve"> </w:t>
      </w:r>
      <w:r w:rsidRPr="00136DE5">
        <w:t>osoba</w:t>
      </w:r>
      <w:r>
        <w:t xml:space="preserve"> </w:t>
      </w:r>
      <w:r w:rsidRPr="00136DE5">
        <w:t>obvykle</w:t>
      </w:r>
      <w:r>
        <w:t xml:space="preserve"> </w:t>
      </w:r>
      <w:r w:rsidRPr="00136DE5">
        <w:t>zdržuje,</w:t>
      </w:r>
      <w:r>
        <w:t xml:space="preserve"> </w:t>
      </w:r>
      <w:r w:rsidRPr="00136DE5">
        <w:t>určeno</w:t>
      </w:r>
      <w:r>
        <w:t xml:space="preserve"> </w:t>
      </w:r>
      <w:r w:rsidRPr="00136DE5">
        <w:t>osobními</w:t>
      </w:r>
      <w:r>
        <w:t xml:space="preserve"> </w:t>
      </w:r>
      <w:r w:rsidRPr="00136DE5">
        <w:t>vazbami,</w:t>
      </w:r>
    </w:p>
    <w:p w14:paraId="514E1738" w14:textId="77777777" w:rsidR="00E4236C" w:rsidRDefault="00E4236C" w:rsidP="00E4236C">
      <w:pPr>
        <w:pStyle w:val="PZTextbodu"/>
        <w:spacing w:before="0"/>
      </w:pPr>
      <w:r w:rsidRPr="00136DE5">
        <w:t>3</w:t>
      </w:r>
      <w:r>
        <w:t>.</w:t>
      </w:r>
      <w:r>
        <w:tab/>
      </w:r>
      <w:r w:rsidRPr="00136DE5">
        <w:t>místem</w:t>
      </w:r>
      <w:r>
        <w:t xml:space="preserve"> </w:t>
      </w:r>
      <w:r w:rsidRPr="00136DE5">
        <w:t>pobytu</w:t>
      </w:r>
      <w:r>
        <w:t xml:space="preserve"> </w:t>
      </w:r>
      <w:r w:rsidRPr="00136DE5">
        <w:t>bydliště,</w:t>
      </w:r>
      <w:r>
        <w:t xml:space="preserve"> </w:t>
      </w:r>
      <w:r w:rsidRPr="00136DE5">
        <w:t>nebo</w:t>
      </w:r>
      <w:r>
        <w:t xml:space="preserve"> </w:t>
      </w:r>
      <w:r w:rsidRPr="00136DE5">
        <w:t>místo,</w:t>
      </w:r>
      <w:r>
        <w:t xml:space="preserve"> </w:t>
      </w:r>
      <w:r w:rsidRPr="00136DE5">
        <w:t>kde</w:t>
      </w:r>
      <w:r>
        <w:t xml:space="preserve"> </w:t>
      </w:r>
      <w:r w:rsidRPr="00136DE5">
        <w:t>se</w:t>
      </w:r>
      <w:r>
        <w:t xml:space="preserve"> </w:t>
      </w:r>
      <w:r w:rsidRPr="00136DE5">
        <w:t>obvykle</w:t>
      </w:r>
      <w:r>
        <w:t xml:space="preserve"> </w:t>
      </w:r>
      <w:r w:rsidRPr="00136DE5">
        <w:t>zdržuje,</w:t>
      </w:r>
    </w:p>
    <w:p w14:paraId="3BDDA985" w14:textId="77777777" w:rsidR="00E4236C" w:rsidRDefault="00E4236C" w:rsidP="00E4236C">
      <w:pPr>
        <w:pStyle w:val="PZTextpsmene"/>
        <w:spacing w:before="0"/>
      </w:pPr>
      <w:r w:rsidRPr="00136DE5">
        <w:t>i</w:t>
      </w:r>
      <w:r>
        <w:t>)</w:t>
      </w:r>
      <w:r>
        <w:tab/>
      </w:r>
      <w:r w:rsidRPr="00136DE5">
        <w:t>sídlem</w:t>
      </w:r>
      <w:r>
        <w:t xml:space="preserve"> </w:t>
      </w:r>
      <w:r w:rsidRPr="00136DE5">
        <w:t>u</w:t>
      </w:r>
      <w:r>
        <w:t xml:space="preserve"> </w:t>
      </w:r>
      <w:r w:rsidRPr="00136DE5">
        <w:t>osoby</w:t>
      </w:r>
      <w:r>
        <w:t xml:space="preserve"> </w:t>
      </w:r>
      <w:r w:rsidRPr="00136DE5">
        <w:t>povinné</w:t>
      </w:r>
      <w:r>
        <w:t xml:space="preserve"> </w:t>
      </w:r>
      <w:r w:rsidRPr="00136DE5">
        <w:t>k</w:t>
      </w:r>
      <w:r>
        <w:t xml:space="preserve"> </w:t>
      </w:r>
      <w:r w:rsidRPr="00136DE5">
        <w:t>dani</w:t>
      </w:r>
      <w:r>
        <w:t xml:space="preserve"> </w:t>
      </w:r>
      <w:r w:rsidRPr="00136DE5">
        <w:t>adresa</w:t>
      </w:r>
      <w:r>
        <w:t xml:space="preserve"> </w:t>
      </w:r>
      <w:r w:rsidRPr="00136DE5">
        <w:t>místa</w:t>
      </w:r>
      <w:r>
        <w:t xml:space="preserve"> </w:t>
      </w:r>
      <w:r w:rsidRPr="00136DE5">
        <w:t>jejího</w:t>
      </w:r>
      <w:r>
        <w:t xml:space="preserve"> </w:t>
      </w:r>
      <w:r w:rsidRPr="00136DE5">
        <w:t>vedení,</w:t>
      </w:r>
      <w:r>
        <w:t xml:space="preserve"> </w:t>
      </w:r>
      <w:r w:rsidRPr="00136DE5">
        <w:t>kterým</w:t>
      </w:r>
      <w:r>
        <w:t xml:space="preserve"> </w:t>
      </w:r>
      <w:r w:rsidRPr="00136DE5">
        <w:t>se</w:t>
      </w:r>
      <w:r>
        <w:t xml:space="preserve"> </w:t>
      </w:r>
      <w:r w:rsidRPr="00136DE5">
        <w:t>rozumí</w:t>
      </w:r>
      <w:r>
        <w:t xml:space="preserve"> </w:t>
      </w:r>
      <w:r w:rsidRPr="00136DE5">
        <w:t>místo,</w:t>
      </w:r>
      <w:r>
        <w:t xml:space="preserve"> </w:t>
      </w:r>
      <w:r w:rsidRPr="00136DE5">
        <w:t>kde</w:t>
      </w:r>
      <w:r>
        <w:t xml:space="preserve"> </w:t>
      </w:r>
      <w:r w:rsidRPr="00136DE5">
        <w:t>jsou</w:t>
      </w:r>
      <w:r>
        <w:t xml:space="preserve"> </w:t>
      </w:r>
      <w:r w:rsidRPr="00136DE5">
        <w:t>přijímána</w:t>
      </w:r>
      <w:r>
        <w:t xml:space="preserve"> </w:t>
      </w:r>
      <w:r w:rsidRPr="00136DE5">
        <w:t>zásadní</w:t>
      </w:r>
      <w:r>
        <w:t xml:space="preserve"> </w:t>
      </w:r>
      <w:r w:rsidRPr="00136DE5">
        <w:t>rozhodnutí</w:t>
      </w:r>
      <w:r>
        <w:t xml:space="preserve"> </w:t>
      </w:r>
      <w:r w:rsidRPr="00136DE5">
        <w:t>týkající</w:t>
      </w:r>
      <w:r>
        <w:t xml:space="preserve"> </w:t>
      </w:r>
      <w:r w:rsidRPr="00136DE5">
        <w:t>se</w:t>
      </w:r>
      <w:r>
        <w:t xml:space="preserve"> </w:t>
      </w:r>
      <w:r w:rsidRPr="00136DE5">
        <w:t>řízení</w:t>
      </w:r>
      <w:r>
        <w:t xml:space="preserve"> </w:t>
      </w:r>
      <w:r w:rsidRPr="00136DE5">
        <w:t>osoby</w:t>
      </w:r>
      <w:r>
        <w:t xml:space="preserve"> </w:t>
      </w:r>
      <w:r w:rsidRPr="00136DE5">
        <w:t>povinné</w:t>
      </w:r>
      <w:r>
        <w:t xml:space="preserve"> </w:t>
      </w:r>
      <w:r w:rsidRPr="00136DE5">
        <w:t>k</w:t>
      </w:r>
      <w:r>
        <w:t xml:space="preserve"> </w:t>
      </w:r>
      <w:r w:rsidRPr="00136DE5">
        <w:t>dani,</w:t>
      </w:r>
      <w:r>
        <w:t xml:space="preserve"> </w:t>
      </w:r>
      <w:r w:rsidRPr="00136DE5">
        <w:t>popřípadě</w:t>
      </w:r>
      <w:r>
        <w:t xml:space="preserve"> </w:t>
      </w:r>
      <w:r w:rsidRPr="00136DE5">
        <w:t>místo,</w:t>
      </w:r>
      <w:r>
        <w:t xml:space="preserve"> </w:t>
      </w:r>
      <w:r w:rsidRPr="00136DE5">
        <w:lastRenderedPageBreak/>
        <w:t>kde</w:t>
      </w:r>
      <w:r>
        <w:t xml:space="preserve"> </w:t>
      </w:r>
      <w:r w:rsidRPr="00136DE5">
        <w:t>se</w:t>
      </w:r>
      <w:r>
        <w:t xml:space="preserve"> </w:t>
      </w:r>
      <w:r w:rsidRPr="00136DE5">
        <w:t>schází</w:t>
      </w:r>
      <w:r>
        <w:t xml:space="preserve"> </w:t>
      </w:r>
      <w:r w:rsidRPr="00136DE5">
        <w:t>její</w:t>
      </w:r>
      <w:r>
        <w:t xml:space="preserve"> </w:t>
      </w:r>
      <w:r w:rsidRPr="00136DE5">
        <w:t>vedení;</w:t>
      </w:r>
      <w:r>
        <w:t xml:space="preserve"> </w:t>
      </w:r>
      <w:r w:rsidRPr="00136DE5">
        <w:t>nemá-li</w:t>
      </w:r>
      <w:r>
        <w:t xml:space="preserve"> </w:t>
      </w:r>
      <w:r w:rsidRPr="00136DE5">
        <w:t>fyzická</w:t>
      </w:r>
      <w:r>
        <w:t xml:space="preserve"> </w:t>
      </w:r>
      <w:r w:rsidRPr="00136DE5">
        <w:t>osoba</w:t>
      </w:r>
      <w:r>
        <w:t xml:space="preserve"> </w:t>
      </w:r>
      <w:r w:rsidRPr="00136DE5">
        <w:t>místo</w:t>
      </w:r>
      <w:r>
        <w:t xml:space="preserve"> </w:t>
      </w:r>
      <w:r w:rsidRPr="00136DE5">
        <w:t>svého</w:t>
      </w:r>
      <w:r>
        <w:t xml:space="preserve"> </w:t>
      </w:r>
      <w:r w:rsidRPr="00136DE5">
        <w:t>vedení,</w:t>
      </w:r>
      <w:r>
        <w:t xml:space="preserve"> </w:t>
      </w:r>
      <w:r w:rsidRPr="00136DE5">
        <w:t>rozumí</w:t>
      </w:r>
      <w:r>
        <w:t xml:space="preserve"> </w:t>
      </w:r>
      <w:r w:rsidRPr="00136DE5">
        <w:t>se</w:t>
      </w:r>
      <w:r>
        <w:t xml:space="preserve"> </w:t>
      </w:r>
      <w:r w:rsidRPr="00136DE5">
        <w:t>sídlem</w:t>
      </w:r>
      <w:r>
        <w:t xml:space="preserve"> </w:t>
      </w:r>
      <w:r w:rsidRPr="00136DE5">
        <w:t>u</w:t>
      </w:r>
      <w:r>
        <w:t xml:space="preserve"> </w:t>
      </w:r>
      <w:r w:rsidRPr="00136DE5">
        <w:t>této</w:t>
      </w:r>
      <w:r>
        <w:t xml:space="preserve"> </w:t>
      </w:r>
      <w:r w:rsidRPr="00136DE5">
        <w:t>osoby</w:t>
      </w:r>
      <w:r>
        <w:t xml:space="preserve"> </w:t>
      </w:r>
      <w:r w:rsidRPr="00136DE5">
        <w:t>místo</w:t>
      </w:r>
      <w:r>
        <w:t xml:space="preserve"> </w:t>
      </w:r>
      <w:r w:rsidRPr="00136DE5">
        <w:t>jejího</w:t>
      </w:r>
      <w:r>
        <w:t xml:space="preserve"> </w:t>
      </w:r>
      <w:r w:rsidRPr="00136DE5">
        <w:t>pobytu,</w:t>
      </w:r>
    </w:p>
    <w:p w14:paraId="41BD158E" w14:textId="77777777" w:rsidR="00E4236C" w:rsidRDefault="00E4236C" w:rsidP="00E4236C">
      <w:pPr>
        <w:pStyle w:val="PZTextpsmene"/>
        <w:spacing w:before="0"/>
      </w:pPr>
      <w:r w:rsidRPr="00136DE5">
        <w:t>j</w:t>
      </w:r>
      <w:r>
        <w:t>)</w:t>
      </w:r>
      <w:r>
        <w:tab/>
      </w:r>
      <w:r w:rsidRPr="00136DE5">
        <w:t>provozovnou</w:t>
      </w:r>
      <w:r>
        <w:t xml:space="preserve"> </w:t>
      </w:r>
      <w:r w:rsidRPr="00136DE5">
        <w:t>organizační</w:t>
      </w:r>
      <w:r>
        <w:t xml:space="preserve"> </w:t>
      </w:r>
      <w:r w:rsidRPr="00136DE5">
        <w:t>složka</w:t>
      </w:r>
      <w:r>
        <w:t xml:space="preserve"> </w:t>
      </w:r>
      <w:r w:rsidRPr="00136DE5">
        <w:t>osoby</w:t>
      </w:r>
      <w:r>
        <w:t xml:space="preserve"> </w:t>
      </w:r>
      <w:r w:rsidRPr="00136DE5">
        <w:t>povinné</w:t>
      </w:r>
      <w:r>
        <w:t xml:space="preserve"> </w:t>
      </w:r>
      <w:r w:rsidRPr="00136DE5">
        <w:t>k</w:t>
      </w:r>
      <w:r>
        <w:t xml:space="preserve"> </w:t>
      </w:r>
      <w:r w:rsidRPr="00136DE5">
        <w:t>dani,</w:t>
      </w:r>
      <w:r>
        <w:t xml:space="preserve"> </w:t>
      </w:r>
      <w:r w:rsidRPr="00136DE5">
        <w:t>která</w:t>
      </w:r>
      <w:r>
        <w:t xml:space="preserve"> </w:t>
      </w:r>
      <w:r w:rsidRPr="00136DE5">
        <w:t>může</w:t>
      </w:r>
      <w:r>
        <w:t xml:space="preserve"> </w:t>
      </w:r>
      <w:r w:rsidRPr="00136DE5">
        <w:t>uskutečňovat</w:t>
      </w:r>
      <w:r>
        <w:t xml:space="preserve"> </w:t>
      </w:r>
      <w:r w:rsidRPr="00136DE5">
        <w:t>dodání</w:t>
      </w:r>
      <w:r>
        <w:t xml:space="preserve"> </w:t>
      </w:r>
      <w:r w:rsidRPr="00136DE5">
        <w:t>zboží</w:t>
      </w:r>
      <w:r>
        <w:t xml:space="preserve"> </w:t>
      </w:r>
      <w:r w:rsidRPr="00136DE5">
        <w:t>nebo</w:t>
      </w:r>
      <w:r>
        <w:t xml:space="preserve"> </w:t>
      </w:r>
      <w:r w:rsidRPr="00136DE5">
        <w:t>poskytnutí</w:t>
      </w:r>
      <w:r>
        <w:t xml:space="preserve"> </w:t>
      </w:r>
      <w:r w:rsidRPr="00136DE5">
        <w:t>služby,</w:t>
      </w:r>
      <w:r>
        <w:t xml:space="preserve"> </w:t>
      </w:r>
      <w:r w:rsidRPr="00136DE5">
        <w:t>neboť</w:t>
      </w:r>
      <w:r>
        <w:t xml:space="preserve"> </w:t>
      </w:r>
      <w:r w:rsidRPr="00136DE5">
        <w:t>je</w:t>
      </w:r>
      <w:r>
        <w:t xml:space="preserve"> </w:t>
      </w:r>
      <w:r w:rsidRPr="00136DE5">
        <w:t>dostatečně</w:t>
      </w:r>
      <w:r>
        <w:t xml:space="preserve"> </w:t>
      </w:r>
      <w:r w:rsidRPr="00136DE5">
        <w:t>stálá</w:t>
      </w:r>
      <w:r>
        <w:t xml:space="preserve"> </w:t>
      </w:r>
      <w:r w:rsidRPr="00136DE5">
        <w:t>a</w:t>
      </w:r>
      <w:r>
        <w:t xml:space="preserve"> </w:t>
      </w:r>
      <w:r w:rsidRPr="00136DE5">
        <w:t>má</w:t>
      </w:r>
      <w:r>
        <w:t xml:space="preserve"> </w:t>
      </w:r>
      <w:r w:rsidRPr="00136DE5">
        <w:t>vhodné</w:t>
      </w:r>
      <w:r>
        <w:t xml:space="preserve"> </w:t>
      </w:r>
      <w:r w:rsidRPr="00136DE5">
        <w:t>personální</w:t>
      </w:r>
      <w:r>
        <w:t xml:space="preserve"> </w:t>
      </w:r>
      <w:r w:rsidRPr="00136DE5">
        <w:t>a</w:t>
      </w:r>
      <w:r>
        <w:t xml:space="preserve"> </w:t>
      </w:r>
      <w:r w:rsidRPr="00136DE5">
        <w:t>technické</w:t>
      </w:r>
      <w:r>
        <w:t xml:space="preserve"> </w:t>
      </w:r>
      <w:r w:rsidRPr="00136DE5">
        <w:t>zdroje,</w:t>
      </w:r>
    </w:p>
    <w:p w14:paraId="0DF0B1F2" w14:textId="77777777" w:rsidR="00E4236C" w:rsidRDefault="00E4236C" w:rsidP="00E4236C">
      <w:pPr>
        <w:pStyle w:val="PZTextpsmene"/>
        <w:spacing w:before="0"/>
      </w:pPr>
      <w:r w:rsidRPr="00136DE5">
        <w:t>k</w:t>
      </w:r>
      <w:r>
        <w:t>)</w:t>
      </w:r>
      <w:r>
        <w:tab/>
      </w:r>
      <w:r w:rsidRPr="00136DE5">
        <w:t>zbožím,</w:t>
      </w:r>
      <w:r>
        <w:t xml:space="preserve"> </w:t>
      </w:r>
      <w:r w:rsidRPr="00136DE5">
        <w:t>které</w:t>
      </w:r>
      <w:r>
        <w:t xml:space="preserve"> </w:t>
      </w:r>
      <w:r w:rsidRPr="00136DE5">
        <w:t>je</w:t>
      </w:r>
      <w:r>
        <w:t xml:space="preserve"> </w:t>
      </w:r>
      <w:r w:rsidRPr="00136DE5">
        <w:t>předmětem</w:t>
      </w:r>
      <w:r>
        <w:t xml:space="preserve"> </w:t>
      </w:r>
      <w:r w:rsidRPr="00136DE5">
        <w:t>spotřební</w:t>
      </w:r>
      <w:r>
        <w:t xml:space="preserve"> </w:t>
      </w:r>
      <w:r w:rsidRPr="00136DE5">
        <w:t>daně,</w:t>
      </w:r>
      <w:r>
        <w:t xml:space="preserve"> </w:t>
      </w:r>
      <w:r w:rsidRPr="00136DE5">
        <w:t>zboží,</w:t>
      </w:r>
      <w:r>
        <w:t xml:space="preserve"> </w:t>
      </w:r>
      <w:r w:rsidRPr="00136DE5">
        <w:t>které</w:t>
      </w:r>
      <w:r>
        <w:t xml:space="preserve"> </w:t>
      </w:r>
      <w:r w:rsidRPr="00136DE5">
        <w:t>je</w:t>
      </w:r>
      <w:r>
        <w:t xml:space="preserve"> </w:t>
      </w:r>
      <w:r w:rsidRPr="00136DE5">
        <w:t>předmětem</w:t>
      </w:r>
      <w:r>
        <w:t xml:space="preserve"> </w:t>
      </w:r>
      <w:r w:rsidRPr="00136DE5">
        <w:t>některé</w:t>
      </w:r>
      <w:r>
        <w:t xml:space="preserve"> </w:t>
      </w:r>
      <w:r w:rsidRPr="00136DE5">
        <w:t>ze</w:t>
      </w:r>
      <w:r>
        <w:t xml:space="preserve"> </w:t>
      </w:r>
      <w:r w:rsidRPr="00136DE5">
        <w:t>spotřebních</w:t>
      </w:r>
      <w:r>
        <w:t xml:space="preserve"> </w:t>
      </w:r>
      <w:r w:rsidRPr="00136DE5">
        <w:t>daní,</w:t>
      </w:r>
      <w:r>
        <w:t xml:space="preserve"> </w:t>
      </w:r>
      <w:r w:rsidRPr="00136DE5">
        <w:t>předmětem</w:t>
      </w:r>
      <w:r>
        <w:t xml:space="preserve"> </w:t>
      </w:r>
      <w:r w:rsidRPr="00136DE5">
        <w:t>daně</w:t>
      </w:r>
      <w:r>
        <w:t xml:space="preserve"> </w:t>
      </w:r>
      <w:r w:rsidRPr="00136DE5">
        <w:t>z</w:t>
      </w:r>
      <w:r>
        <w:t xml:space="preserve"> </w:t>
      </w:r>
      <w:r w:rsidRPr="00136DE5">
        <w:t>pevných</w:t>
      </w:r>
      <w:r>
        <w:t xml:space="preserve"> </w:t>
      </w:r>
      <w:r w:rsidRPr="00136DE5">
        <w:t>paliv</w:t>
      </w:r>
      <w:r>
        <w:t xml:space="preserve"> </w:t>
      </w:r>
      <w:r w:rsidRPr="00136DE5">
        <w:t>nebo</w:t>
      </w:r>
      <w:r>
        <w:t xml:space="preserve"> </w:t>
      </w:r>
      <w:r w:rsidRPr="00136DE5">
        <w:t>předmětem</w:t>
      </w:r>
      <w:r>
        <w:t xml:space="preserve"> </w:t>
      </w:r>
      <w:r w:rsidRPr="00136DE5">
        <w:t>daně</w:t>
      </w:r>
      <w:r>
        <w:t xml:space="preserve"> </w:t>
      </w:r>
      <w:r w:rsidRPr="00136DE5">
        <w:t>ze</w:t>
      </w:r>
      <w:r>
        <w:t xml:space="preserve"> </w:t>
      </w:r>
      <w:r w:rsidRPr="00136DE5">
        <w:t>zemního</w:t>
      </w:r>
      <w:r>
        <w:t xml:space="preserve"> </w:t>
      </w:r>
      <w:r w:rsidRPr="00136DE5">
        <w:t>plynu</w:t>
      </w:r>
      <w:r>
        <w:t xml:space="preserve"> </w:t>
      </w:r>
      <w:r w:rsidRPr="00136DE5">
        <w:t>a</w:t>
      </w:r>
      <w:r>
        <w:t xml:space="preserve"> </w:t>
      </w:r>
      <w:r w:rsidRPr="00136DE5">
        <w:t>některých</w:t>
      </w:r>
      <w:r>
        <w:t xml:space="preserve"> </w:t>
      </w:r>
      <w:r w:rsidRPr="00136DE5">
        <w:t>dalších</w:t>
      </w:r>
      <w:r>
        <w:t xml:space="preserve"> </w:t>
      </w:r>
      <w:r w:rsidRPr="00136DE5">
        <w:t>plynů,</w:t>
      </w:r>
      <w:r>
        <w:t xml:space="preserve"> </w:t>
      </w:r>
      <w:r w:rsidRPr="00136DE5">
        <w:t>s</w:t>
      </w:r>
      <w:r>
        <w:t xml:space="preserve"> </w:t>
      </w:r>
      <w:r w:rsidRPr="00136DE5">
        <w:t>výjimkou</w:t>
      </w:r>
      <w:r>
        <w:t xml:space="preserve"> </w:t>
      </w:r>
      <w:r w:rsidRPr="00136DE5">
        <w:t>plynu</w:t>
      </w:r>
      <w:r>
        <w:t xml:space="preserve"> </w:t>
      </w:r>
      <w:r w:rsidRPr="00136DE5">
        <w:t>dodávaného</w:t>
      </w:r>
      <w:r>
        <w:t xml:space="preserve"> </w:t>
      </w:r>
      <w:r w:rsidRPr="00136DE5">
        <w:t>prostřednictvím</w:t>
      </w:r>
      <w:r>
        <w:t xml:space="preserve"> </w:t>
      </w:r>
      <w:r w:rsidRPr="00136DE5">
        <w:t>přepravní</w:t>
      </w:r>
      <w:r>
        <w:t xml:space="preserve"> </w:t>
      </w:r>
      <w:r w:rsidRPr="00136DE5">
        <w:t>nebo</w:t>
      </w:r>
      <w:r>
        <w:t xml:space="preserve"> </w:t>
      </w:r>
      <w:r w:rsidRPr="00136DE5">
        <w:t>distribuční</w:t>
      </w:r>
      <w:r>
        <w:t xml:space="preserve"> </w:t>
      </w:r>
      <w:r w:rsidRPr="00136DE5">
        <w:t>soustavy</w:t>
      </w:r>
      <w:r>
        <w:t xml:space="preserve"> </w:t>
      </w:r>
      <w:r w:rsidRPr="00136DE5">
        <w:t>nacházející</w:t>
      </w:r>
      <w:r>
        <w:t xml:space="preserve"> </w:t>
      </w:r>
      <w:r w:rsidRPr="00136DE5">
        <w:t>se</w:t>
      </w:r>
      <w:r>
        <w:t xml:space="preserve"> </w:t>
      </w:r>
      <w:r w:rsidRPr="00136DE5">
        <w:t>na</w:t>
      </w:r>
      <w:r>
        <w:t xml:space="preserve"> </w:t>
      </w:r>
      <w:r w:rsidRPr="00136DE5">
        <w:t>území</w:t>
      </w:r>
      <w:r>
        <w:t xml:space="preserve"> </w:t>
      </w:r>
      <w:r w:rsidRPr="00136DE5">
        <w:t>Evropské</w:t>
      </w:r>
      <w:r>
        <w:t xml:space="preserve"> </w:t>
      </w:r>
      <w:r w:rsidRPr="00136DE5">
        <w:t>unie</w:t>
      </w:r>
      <w:r>
        <w:t xml:space="preserve"> </w:t>
      </w:r>
      <w:r w:rsidRPr="00136DE5">
        <w:t>anebo</w:t>
      </w:r>
      <w:r>
        <w:t xml:space="preserve"> </w:t>
      </w:r>
      <w:r w:rsidRPr="00136DE5">
        <w:t>jakékoli</w:t>
      </w:r>
      <w:r>
        <w:t xml:space="preserve"> </w:t>
      </w:r>
      <w:r w:rsidRPr="00136DE5">
        <w:t>sítě</w:t>
      </w:r>
      <w:r>
        <w:t xml:space="preserve"> </w:t>
      </w:r>
      <w:r w:rsidRPr="00136DE5">
        <w:t>k</w:t>
      </w:r>
      <w:r>
        <w:t xml:space="preserve"> </w:t>
      </w:r>
      <w:r w:rsidRPr="00136DE5">
        <w:t>takové</w:t>
      </w:r>
      <w:r>
        <w:t xml:space="preserve"> </w:t>
      </w:r>
      <w:r w:rsidRPr="00136DE5">
        <w:t>soustavě</w:t>
      </w:r>
      <w:r>
        <w:t xml:space="preserve"> </w:t>
      </w:r>
      <w:r w:rsidRPr="00136DE5">
        <w:t>připojené,</w:t>
      </w:r>
    </w:p>
    <w:p w14:paraId="65E73DB8" w14:textId="77777777" w:rsidR="00E4236C" w:rsidRDefault="00E4236C" w:rsidP="00E4236C">
      <w:pPr>
        <w:pStyle w:val="PZTextpsmene"/>
        <w:spacing w:before="0"/>
      </w:pPr>
      <w:proofErr w:type="gramStart"/>
      <w:r w:rsidRPr="00136DE5">
        <w:t>l</w:t>
      </w:r>
      <w:r>
        <w:t>)</w:t>
      </w:r>
      <w:r>
        <w:tab/>
      </w:r>
      <w:r w:rsidRPr="00136DE5">
        <w:t>osobou</w:t>
      </w:r>
      <w:proofErr w:type="gramEnd"/>
      <w:r>
        <w:t xml:space="preserve"> </w:t>
      </w:r>
      <w:r w:rsidRPr="00136DE5">
        <w:t>neusazenou</w:t>
      </w:r>
      <w:r>
        <w:t xml:space="preserve"> </w:t>
      </w:r>
      <w:r w:rsidRPr="00136DE5">
        <w:t>v</w:t>
      </w:r>
      <w:r>
        <w:t xml:space="preserve"> </w:t>
      </w:r>
      <w:r w:rsidRPr="00136DE5">
        <w:t>tuzemsku</w:t>
      </w:r>
      <w:r>
        <w:t xml:space="preserve"> </w:t>
      </w:r>
      <w:r w:rsidRPr="00136DE5">
        <w:t>osoba</w:t>
      </w:r>
      <w:r>
        <w:t xml:space="preserve"> </w:t>
      </w:r>
      <w:r w:rsidRPr="00136DE5">
        <w:t>povinná</w:t>
      </w:r>
      <w:r>
        <w:t xml:space="preserve"> </w:t>
      </w:r>
      <w:r w:rsidRPr="00136DE5">
        <w:t>k</w:t>
      </w:r>
      <w:r>
        <w:t xml:space="preserve"> </w:t>
      </w:r>
      <w:r w:rsidRPr="00136DE5">
        <w:t>dani,</w:t>
      </w:r>
      <w:r>
        <w:t xml:space="preserve"> </w:t>
      </w:r>
      <w:proofErr w:type="gramStart"/>
      <w:r w:rsidRPr="00136DE5">
        <w:t>která</w:t>
      </w:r>
      <w:proofErr w:type="gramEnd"/>
    </w:p>
    <w:p w14:paraId="7337AD82" w14:textId="77777777" w:rsidR="00E4236C" w:rsidRDefault="00E4236C" w:rsidP="00E4236C">
      <w:pPr>
        <w:pStyle w:val="PZTextbodu"/>
        <w:spacing w:before="0"/>
      </w:pPr>
      <w:r w:rsidRPr="00136DE5">
        <w:t>1</w:t>
      </w:r>
      <w:r>
        <w:t>.</w:t>
      </w:r>
      <w:r>
        <w:tab/>
      </w:r>
      <w:r w:rsidRPr="00136DE5">
        <w:t>nemá</w:t>
      </w:r>
      <w:r>
        <w:t xml:space="preserve"> </w:t>
      </w:r>
      <w:r w:rsidRPr="00136DE5">
        <w:t>sídlo</w:t>
      </w:r>
      <w:r>
        <w:t xml:space="preserve"> </w:t>
      </w:r>
      <w:r w:rsidRPr="00136DE5">
        <w:t>v</w:t>
      </w:r>
      <w:r>
        <w:t xml:space="preserve"> </w:t>
      </w:r>
      <w:r w:rsidRPr="00136DE5">
        <w:t>tuzemsku,</w:t>
      </w:r>
    </w:p>
    <w:p w14:paraId="3A08431F" w14:textId="77777777" w:rsidR="00E4236C" w:rsidRDefault="00E4236C" w:rsidP="00E4236C">
      <w:pPr>
        <w:pStyle w:val="PZTextbodu"/>
        <w:spacing w:before="0"/>
      </w:pPr>
      <w:r w:rsidRPr="00136DE5">
        <w:t>2</w:t>
      </w:r>
      <w:r>
        <w:t>.</w:t>
      </w:r>
      <w:r>
        <w:tab/>
      </w:r>
      <w:r w:rsidRPr="00136DE5">
        <w:t>uskuteční</w:t>
      </w:r>
      <w:r>
        <w:t xml:space="preserve"> </w:t>
      </w:r>
      <w:r w:rsidRPr="00136DE5">
        <w:t>zdanitelné</w:t>
      </w:r>
      <w:r>
        <w:t xml:space="preserve"> </w:t>
      </w:r>
      <w:r w:rsidRPr="00136DE5">
        <w:t>plnění</w:t>
      </w:r>
      <w:r>
        <w:t xml:space="preserve"> </w:t>
      </w:r>
      <w:r w:rsidRPr="00136DE5">
        <w:t>dodání</w:t>
      </w:r>
      <w:r>
        <w:t xml:space="preserve"> </w:t>
      </w:r>
      <w:r w:rsidRPr="00136DE5">
        <w:t>zboží</w:t>
      </w:r>
      <w:r>
        <w:t xml:space="preserve"> </w:t>
      </w:r>
      <w:r w:rsidRPr="00136DE5">
        <w:t>nebo</w:t>
      </w:r>
      <w:r>
        <w:t xml:space="preserve"> </w:t>
      </w:r>
      <w:r w:rsidRPr="00136DE5">
        <w:t>poskytnutí</w:t>
      </w:r>
      <w:r>
        <w:t xml:space="preserve"> </w:t>
      </w:r>
      <w:r w:rsidRPr="00136DE5">
        <w:t>služby</w:t>
      </w:r>
      <w:r>
        <w:t xml:space="preserve"> </w:t>
      </w:r>
      <w:r w:rsidRPr="00136DE5">
        <w:t>s</w:t>
      </w:r>
      <w:r>
        <w:t xml:space="preserve"> </w:t>
      </w:r>
      <w:r w:rsidRPr="00136DE5">
        <w:t>místem</w:t>
      </w:r>
      <w:r>
        <w:t xml:space="preserve"> </w:t>
      </w:r>
      <w:r w:rsidRPr="00136DE5">
        <w:t>plnění</w:t>
      </w:r>
      <w:r>
        <w:t xml:space="preserve"> </w:t>
      </w:r>
      <w:r w:rsidRPr="00136DE5">
        <w:t>v</w:t>
      </w:r>
      <w:r>
        <w:t xml:space="preserve"> </w:t>
      </w:r>
      <w:r w:rsidRPr="00136DE5">
        <w:t>tuzemsku</w:t>
      </w:r>
      <w:r>
        <w:t xml:space="preserve"> </w:t>
      </w:r>
      <w:r w:rsidRPr="00136DE5">
        <w:t>a</w:t>
      </w:r>
    </w:p>
    <w:p w14:paraId="6A03CF81" w14:textId="77777777" w:rsidR="00E4236C" w:rsidRDefault="00E4236C" w:rsidP="00E4236C">
      <w:pPr>
        <w:pStyle w:val="PZTextbodu"/>
        <w:spacing w:before="0"/>
      </w:pPr>
      <w:r w:rsidRPr="00136DE5">
        <w:t>3</w:t>
      </w:r>
      <w:r>
        <w:t>.</w:t>
      </w:r>
      <w:r>
        <w:tab/>
      </w:r>
      <w:r w:rsidRPr="00136DE5">
        <w:t>v</w:t>
      </w:r>
      <w:r>
        <w:t xml:space="preserve"> </w:t>
      </w:r>
      <w:r w:rsidRPr="00136DE5">
        <w:t>tuzemsku</w:t>
      </w:r>
      <w:r>
        <w:t xml:space="preserve"> </w:t>
      </w:r>
      <w:r w:rsidRPr="00136DE5">
        <w:t>nemá</w:t>
      </w:r>
      <w:r>
        <w:t xml:space="preserve"> </w:t>
      </w:r>
      <w:r w:rsidRPr="00136DE5">
        <w:t>provozovnu</w:t>
      </w:r>
      <w:r>
        <w:t xml:space="preserve"> </w:t>
      </w:r>
      <w:r w:rsidRPr="00136DE5">
        <w:t>nebo</w:t>
      </w:r>
      <w:r>
        <w:t xml:space="preserve"> </w:t>
      </w:r>
      <w:r w:rsidRPr="00136DE5">
        <w:t>v</w:t>
      </w:r>
      <w:r>
        <w:t xml:space="preserve"> </w:t>
      </w:r>
      <w:r w:rsidRPr="00136DE5">
        <w:t>tuzemsku</w:t>
      </w:r>
      <w:r>
        <w:t xml:space="preserve"> </w:t>
      </w:r>
      <w:r w:rsidRPr="00136DE5">
        <w:t>má</w:t>
      </w:r>
      <w:r>
        <w:t xml:space="preserve"> </w:t>
      </w:r>
      <w:r w:rsidRPr="00136DE5">
        <w:t>provozovnu,</w:t>
      </w:r>
      <w:r>
        <w:t xml:space="preserve"> </w:t>
      </w:r>
      <w:r w:rsidRPr="00136DE5">
        <w:t>která</w:t>
      </w:r>
      <w:r>
        <w:t xml:space="preserve"> </w:t>
      </w:r>
      <w:r w:rsidRPr="00136DE5">
        <w:t>se</w:t>
      </w:r>
      <w:r>
        <w:t xml:space="preserve"> </w:t>
      </w:r>
      <w:r w:rsidRPr="00136DE5">
        <w:t>tohoto</w:t>
      </w:r>
      <w:r>
        <w:t xml:space="preserve"> </w:t>
      </w:r>
      <w:r w:rsidRPr="00136DE5">
        <w:t>plnění</w:t>
      </w:r>
      <w:r>
        <w:t xml:space="preserve"> </w:t>
      </w:r>
      <w:r w:rsidRPr="00136DE5">
        <w:t>neúčastní,</w:t>
      </w:r>
    </w:p>
    <w:p w14:paraId="2F3C8080" w14:textId="77777777" w:rsidR="00E4236C" w:rsidRDefault="00E4236C" w:rsidP="00E4236C">
      <w:pPr>
        <w:pStyle w:val="PZTextpsmene"/>
        <w:spacing w:before="0"/>
      </w:pPr>
      <w:r w:rsidRPr="00136DE5">
        <w:t>m</w:t>
      </w:r>
      <w:r>
        <w:t>)</w:t>
      </w:r>
      <w:r>
        <w:tab/>
      </w:r>
      <w:r w:rsidRPr="00136DE5">
        <w:t>osvobozenou</w:t>
      </w:r>
      <w:r>
        <w:t xml:space="preserve"> </w:t>
      </w:r>
      <w:r w:rsidRPr="00136DE5">
        <w:t>osobou</w:t>
      </w:r>
      <w:r>
        <w:t xml:space="preserve"> </w:t>
      </w:r>
      <w:r w:rsidRPr="00136DE5">
        <w:t>osoba</w:t>
      </w:r>
      <w:r>
        <w:t xml:space="preserve"> </w:t>
      </w:r>
      <w:r w:rsidRPr="00136DE5">
        <w:t>povinná</w:t>
      </w:r>
      <w:r>
        <w:t xml:space="preserve"> </w:t>
      </w:r>
      <w:r w:rsidRPr="00136DE5">
        <w:t>k</w:t>
      </w:r>
      <w:r>
        <w:t xml:space="preserve"> </w:t>
      </w:r>
      <w:r w:rsidRPr="00136DE5">
        <w:t>dani</w:t>
      </w:r>
      <w:r>
        <w:t xml:space="preserve"> </w:t>
      </w:r>
      <w:r w:rsidRPr="00136DE5">
        <w:t>se</w:t>
      </w:r>
      <w:r>
        <w:t xml:space="preserve"> </w:t>
      </w:r>
      <w:r w:rsidRPr="00136DE5">
        <w:t>sídlem</w:t>
      </w:r>
      <w:r>
        <w:t xml:space="preserve"> </w:t>
      </w:r>
      <w:r w:rsidRPr="00136DE5">
        <w:t>nebo</w:t>
      </w:r>
      <w:r>
        <w:t xml:space="preserve"> </w:t>
      </w:r>
      <w:r w:rsidRPr="00136DE5">
        <w:t>provozovnou</w:t>
      </w:r>
      <w:r>
        <w:t xml:space="preserve"> </w:t>
      </w:r>
      <w:r w:rsidRPr="00136DE5">
        <w:t>v</w:t>
      </w:r>
      <w:r>
        <w:t xml:space="preserve"> </w:t>
      </w:r>
      <w:r w:rsidRPr="00136DE5">
        <w:t>jiném</w:t>
      </w:r>
      <w:r>
        <w:t xml:space="preserve"> </w:t>
      </w:r>
      <w:r w:rsidRPr="00136DE5">
        <w:t>členském</w:t>
      </w:r>
      <w:r>
        <w:t xml:space="preserve"> </w:t>
      </w:r>
      <w:r w:rsidRPr="00136DE5">
        <w:t>státě,</w:t>
      </w:r>
      <w:r>
        <w:t xml:space="preserve"> </w:t>
      </w:r>
      <w:r w:rsidRPr="00136DE5">
        <w:t>která</w:t>
      </w:r>
      <w:r>
        <w:t xml:space="preserve"> </w:t>
      </w:r>
      <w:r w:rsidRPr="00136DE5">
        <w:t>je</w:t>
      </w:r>
      <w:r>
        <w:t xml:space="preserve"> </w:t>
      </w:r>
      <w:r w:rsidRPr="00136DE5">
        <w:t>v</w:t>
      </w:r>
      <w:r>
        <w:t xml:space="preserve"> </w:t>
      </w:r>
      <w:r w:rsidRPr="00136DE5">
        <w:t>tomto</w:t>
      </w:r>
      <w:r>
        <w:t xml:space="preserve"> </w:t>
      </w:r>
      <w:r w:rsidRPr="00136DE5">
        <w:t>státě</w:t>
      </w:r>
      <w:r>
        <w:t xml:space="preserve"> </w:t>
      </w:r>
      <w:r w:rsidRPr="00136DE5">
        <w:t>osobou</w:t>
      </w:r>
      <w:r>
        <w:t xml:space="preserve"> </w:t>
      </w:r>
      <w:r w:rsidRPr="00136DE5">
        <w:t>s</w:t>
      </w:r>
      <w:r>
        <w:t xml:space="preserve"> </w:t>
      </w:r>
      <w:r w:rsidRPr="00136DE5">
        <w:t>obdobným</w:t>
      </w:r>
      <w:r>
        <w:t xml:space="preserve"> </w:t>
      </w:r>
      <w:r w:rsidRPr="00136DE5">
        <w:t>postavením</w:t>
      </w:r>
      <w:r>
        <w:t xml:space="preserve"> </w:t>
      </w:r>
      <w:r w:rsidRPr="00136DE5">
        <w:t>jako</w:t>
      </w:r>
      <w:r>
        <w:t xml:space="preserve"> </w:t>
      </w:r>
      <w:r w:rsidRPr="00136DE5">
        <w:t>v</w:t>
      </w:r>
      <w:r>
        <w:t xml:space="preserve"> </w:t>
      </w:r>
      <w:r w:rsidRPr="00136DE5">
        <w:t>tuzemsku</w:t>
      </w:r>
      <w:r>
        <w:t xml:space="preserve"> </w:t>
      </w:r>
      <w:r w:rsidRPr="00136DE5">
        <w:t>osoba</w:t>
      </w:r>
      <w:r>
        <w:t xml:space="preserve"> </w:t>
      </w:r>
      <w:r w:rsidRPr="00136DE5">
        <w:t>povinná</w:t>
      </w:r>
      <w:r>
        <w:t xml:space="preserve"> </w:t>
      </w:r>
      <w:r w:rsidRPr="00136DE5">
        <w:t>k</w:t>
      </w:r>
      <w:r>
        <w:t xml:space="preserve"> </w:t>
      </w:r>
      <w:r w:rsidRPr="00136DE5">
        <w:t>dani</w:t>
      </w:r>
      <w:r>
        <w:t xml:space="preserve"> </w:t>
      </w:r>
      <w:r w:rsidRPr="00136DE5">
        <w:t>se</w:t>
      </w:r>
      <w:r>
        <w:t xml:space="preserve"> </w:t>
      </w:r>
      <w:r w:rsidRPr="00136DE5">
        <w:t>sídlem</w:t>
      </w:r>
      <w:r>
        <w:t xml:space="preserve"> </w:t>
      </w:r>
      <w:r w:rsidRPr="00136DE5">
        <w:t>v</w:t>
      </w:r>
      <w:r>
        <w:t xml:space="preserve"> </w:t>
      </w:r>
      <w:r w:rsidRPr="00136DE5">
        <w:t>tuzemsku,</w:t>
      </w:r>
      <w:r>
        <w:t xml:space="preserve"> </w:t>
      </w:r>
      <w:r w:rsidRPr="00136DE5">
        <w:t>která</w:t>
      </w:r>
      <w:r>
        <w:t xml:space="preserve"> </w:t>
      </w:r>
      <w:r w:rsidRPr="00136DE5">
        <w:t>není</w:t>
      </w:r>
      <w:r>
        <w:t xml:space="preserve"> </w:t>
      </w:r>
      <w:r w:rsidRPr="00136DE5">
        <w:t>plátcem,</w:t>
      </w:r>
    </w:p>
    <w:p w14:paraId="3F1A72E9" w14:textId="228B2619" w:rsidR="00E4236C" w:rsidRDefault="00E4236C" w:rsidP="00E4236C">
      <w:pPr>
        <w:pStyle w:val="PZTextpsmene"/>
        <w:spacing w:before="0"/>
      </w:pPr>
      <w:r w:rsidRPr="00136DE5">
        <w:t>n</w:t>
      </w:r>
      <w:r>
        <w:t>)</w:t>
      </w:r>
      <w:r>
        <w:tab/>
      </w:r>
      <w:r w:rsidRPr="00136DE5">
        <w:t>provozovatelem</w:t>
      </w:r>
      <w:r>
        <w:t xml:space="preserve"> </w:t>
      </w:r>
      <w:r w:rsidRPr="00136DE5">
        <w:t>elektronického</w:t>
      </w:r>
      <w:r>
        <w:t xml:space="preserve"> </w:t>
      </w:r>
      <w:r w:rsidRPr="00136DE5">
        <w:t>rozhraní</w:t>
      </w:r>
      <w:r>
        <w:t xml:space="preserve"> </w:t>
      </w:r>
      <w:r w:rsidRPr="00136DE5">
        <w:t>osoba</w:t>
      </w:r>
      <w:r>
        <w:t xml:space="preserve"> </w:t>
      </w:r>
      <w:r w:rsidRPr="00136DE5">
        <w:t>povinná</w:t>
      </w:r>
      <w:r>
        <w:t xml:space="preserve"> </w:t>
      </w:r>
      <w:r w:rsidRPr="00136DE5">
        <w:t>k</w:t>
      </w:r>
      <w:r>
        <w:t xml:space="preserve"> </w:t>
      </w:r>
      <w:r w:rsidRPr="00136DE5">
        <w:t>dani,</w:t>
      </w:r>
      <w:r>
        <w:t xml:space="preserve"> </w:t>
      </w:r>
      <w:r w:rsidRPr="00136DE5">
        <w:t>která</w:t>
      </w:r>
      <w:r>
        <w:t xml:space="preserve"> </w:t>
      </w:r>
      <w:r w:rsidRPr="00136DE5">
        <w:t>za</w:t>
      </w:r>
      <w:r>
        <w:t xml:space="preserve"> </w:t>
      </w:r>
      <w:r w:rsidRPr="00136DE5">
        <w:t>použití</w:t>
      </w:r>
      <w:r>
        <w:t xml:space="preserve"> </w:t>
      </w:r>
      <w:r w:rsidRPr="00136DE5">
        <w:t>elektronického</w:t>
      </w:r>
      <w:r>
        <w:t xml:space="preserve"> </w:t>
      </w:r>
      <w:r w:rsidRPr="00136DE5">
        <w:t>rozhraní,</w:t>
      </w:r>
      <w:r>
        <w:t xml:space="preserve"> </w:t>
      </w:r>
      <w:r w:rsidRPr="00136DE5">
        <w:t>zejména</w:t>
      </w:r>
      <w:r>
        <w:t xml:space="preserve"> </w:t>
      </w:r>
      <w:r w:rsidRPr="00136DE5">
        <w:t>elektronického</w:t>
      </w:r>
      <w:r>
        <w:t xml:space="preserve"> </w:t>
      </w:r>
      <w:r w:rsidRPr="00136DE5">
        <w:t>tržiště,</w:t>
      </w:r>
      <w:r>
        <w:t xml:space="preserve"> </w:t>
      </w:r>
      <w:r w:rsidRPr="00136DE5">
        <w:t>platformy,</w:t>
      </w:r>
      <w:r>
        <w:t xml:space="preserve"> </w:t>
      </w:r>
      <w:r w:rsidRPr="00136DE5">
        <w:t>portálu</w:t>
      </w:r>
      <w:r>
        <w:t xml:space="preserve"> </w:t>
      </w:r>
      <w:r w:rsidRPr="00136DE5">
        <w:t>nebo</w:t>
      </w:r>
      <w:r>
        <w:t xml:space="preserve"> </w:t>
      </w:r>
      <w:r w:rsidRPr="00136DE5">
        <w:t>obdobného</w:t>
      </w:r>
      <w:r>
        <w:t xml:space="preserve"> </w:t>
      </w:r>
      <w:r w:rsidRPr="00136DE5">
        <w:t>prostředku,</w:t>
      </w:r>
      <w:r>
        <w:t xml:space="preserve"> </w:t>
      </w:r>
      <w:r w:rsidRPr="00136DE5">
        <w:t>usnadňuje</w:t>
      </w:r>
      <w:r>
        <w:t xml:space="preserve"> </w:t>
      </w:r>
      <w:r w:rsidRPr="00136DE5">
        <w:t>dodání</w:t>
      </w:r>
      <w:r>
        <w:t xml:space="preserve"> </w:t>
      </w:r>
      <w:r w:rsidRPr="00136DE5">
        <w:t>zboží</w:t>
      </w:r>
      <w:r>
        <w:t xml:space="preserve"> </w:t>
      </w:r>
      <w:r w:rsidRPr="00136DE5">
        <w:t>nebo</w:t>
      </w:r>
      <w:r>
        <w:t xml:space="preserve"> </w:t>
      </w:r>
      <w:r w:rsidRPr="00136DE5">
        <w:t>poskytnutí</w:t>
      </w:r>
      <w:r>
        <w:t xml:space="preserve"> </w:t>
      </w:r>
      <w:r w:rsidRPr="00136DE5">
        <w:t>služby</w:t>
      </w:r>
      <w:r>
        <w:t xml:space="preserve"> </w:t>
      </w:r>
      <w:r w:rsidRPr="00136DE5">
        <w:t>podle</w:t>
      </w:r>
      <w:r>
        <w:t xml:space="preserve"> </w:t>
      </w:r>
      <w:r w:rsidRPr="00136DE5">
        <w:t>přímo</w:t>
      </w:r>
      <w:r>
        <w:t xml:space="preserve"> </w:t>
      </w:r>
      <w:r w:rsidRPr="00136DE5">
        <w:t>použitelného</w:t>
      </w:r>
      <w:r>
        <w:t xml:space="preserve"> </w:t>
      </w:r>
      <w:r w:rsidRPr="00136DE5">
        <w:t>předpisu</w:t>
      </w:r>
      <w:r>
        <w:t xml:space="preserve"> </w:t>
      </w:r>
      <w:r w:rsidRPr="00136DE5">
        <w:t>Evropské</w:t>
      </w:r>
      <w:r>
        <w:t xml:space="preserve"> </w:t>
      </w:r>
      <w:r w:rsidRPr="00136DE5">
        <w:t>unie,</w:t>
      </w:r>
      <w:r>
        <w:t xml:space="preserve"> </w:t>
      </w:r>
      <w:r w:rsidRPr="00136DE5">
        <w:t>kterým</w:t>
      </w:r>
      <w:r>
        <w:t xml:space="preserve"> </w:t>
      </w:r>
      <w:r w:rsidRPr="00136DE5">
        <w:t>se</w:t>
      </w:r>
      <w:r>
        <w:t xml:space="preserve"> </w:t>
      </w:r>
      <w:r w:rsidRPr="00136DE5">
        <w:t>stanoví</w:t>
      </w:r>
      <w:r>
        <w:t xml:space="preserve"> </w:t>
      </w:r>
      <w:r w:rsidRPr="00136DE5">
        <w:t>prováděcí</w:t>
      </w:r>
      <w:r>
        <w:t xml:space="preserve"> </w:t>
      </w:r>
      <w:r w:rsidRPr="00136DE5">
        <w:t>opatření</w:t>
      </w:r>
      <w:r>
        <w:t xml:space="preserve"> </w:t>
      </w:r>
      <w:r w:rsidRPr="00136DE5">
        <w:t>ke</w:t>
      </w:r>
      <w:r>
        <w:t xml:space="preserve"> </w:t>
      </w:r>
      <w:r w:rsidRPr="00136DE5">
        <w:t>směrnici</w:t>
      </w:r>
      <w:r>
        <w:t xml:space="preserve"> </w:t>
      </w:r>
      <w:r w:rsidRPr="00136DE5">
        <w:t>o</w:t>
      </w:r>
      <w:r>
        <w:t xml:space="preserve"> </w:t>
      </w:r>
      <w:r w:rsidRPr="00136DE5">
        <w:t>společném</w:t>
      </w:r>
      <w:r>
        <w:t xml:space="preserve"> </w:t>
      </w:r>
      <w:r w:rsidRPr="00136DE5">
        <w:t>systému</w:t>
      </w:r>
      <w:r>
        <w:t xml:space="preserve"> </w:t>
      </w:r>
      <w:r w:rsidRPr="00136DE5">
        <w:t>daně</w:t>
      </w:r>
      <w:r>
        <w:t xml:space="preserve"> </w:t>
      </w:r>
      <w:r w:rsidRPr="00136DE5">
        <w:t>z</w:t>
      </w:r>
      <w:r>
        <w:t xml:space="preserve"> </w:t>
      </w:r>
      <w:r w:rsidRPr="00136DE5">
        <w:t>přidané</w:t>
      </w:r>
      <w:r>
        <w:t xml:space="preserve"> </w:t>
      </w:r>
      <w:r w:rsidRPr="00136DE5">
        <w:t>hodnoty</w:t>
      </w:r>
      <w:r>
        <w:rPr>
          <w:rStyle w:val="Znakapoznpodarou"/>
        </w:rPr>
        <w:footnoteReference w:customMarkFollows="1" w:id="450"/>
        <w:t>7e)</w:t>
      </w:r>
      <w:r w:rsidRPr="00136DE5">
        <w:t>.</w:t>
      </w:r>
    </w:p>
    <w:p w14:paraId="74B72843" w14:textId="77777777" w:rsidR="00E4236C" w:rsidRDefault="00E4236C" w:rsidP="00E4236C">
      <w:pPr>
        <w:pStyle w:val="PZTextodstavce"/>
      </w:pPr>
      <w:r w:rsidRPr="00136DE5">
        <w:t>(2</w:t>
      </w:r>
      <w:r>
        <w:t>)</w:t>
      </w:r>
      <w:r>
        <w:tab/>
      </w:r>
      <w:r w:rsidRPr="00136DE5">
        <w:t>Zbožím</w:t>
      </w:r>
      <w:r>
        <w:t xml:space="preserve"> </w:t>
      </w:r>
      <w:r w:rsidRPr="00136DE5">
        <w:t>se</w:t>
      </w:r>
      <w:r>
        <w:t xml:space="preserve"> </w:t>
      </w:r>
      <w:r w:rsidRPr="00136DE5">
        <w:t>pro</w:t>
      </w:r>
      <w:r>
        <w:t xml:space="preserve"> </w:t>
      </w:r>
      <w:r w:rsidRPr="00136DE5">
        <w:t>účely</w:t>
      </w:r>
      <w:r>
        <w:t xml:space="preserve"> </w:t>
      </w:r>
      <w:r w:rsidRPr="00136DE5">
        <w:t>tohoto</w:t>
      </w:r>
      <w:r>
        <w:t xml:space="preserve"> </w:t>
      </w:r>
      <w:r w:rsidRPr="00136DE5">
        <w:t>zákona</w:t>
      </w:r>
      <w:r>
        <w:t xml:space="preserve"> </w:t>
      </w:r>
      <w:r w:rsidRPr="00136DE5">
        <w:t>rozumí</w:t>
      </w:r>
    </w:p>
    <w:p w14:paraId="31908774" w14:textId="77777777" w:rsidR="00E4236C" w:rsidRDefault="00E4236C" w:rsidP="00E4236C">
      <w:pPr>
        <w:pStyle w:val="PZTextpsmene"/>
        <w:spacing w:before="0"/>
      </w:pPr>
      <w:r w:rsidRPr="00136DE5">
        <w:t>a</w:t>
      </w:r>
      <w:r>
        <w:t>)</w:t>
      </w:r>
      <w:r>
        <w:tab/>
      </w:r>
      <w:r w:rsidRPr="00136DE5">
        <w:t>hmotná</w:t>
      </w:r>
      <w:r>
        <w:t xml:space="preserve"> </w:t>
      </w:r>
      <w:r w:rsidRPr="00136DE5">
        <w:t>věc,</w:t>
      </w:r>
      <w:r>
        <w:t xml:space="preserve"> </w:t>
      </w:r>
      <w:r w:rsidRPr="00136DE5">
        <w:t>s</w:t>
      </w:r>
      <w:r>
        <w:t xml:space="preserve"> </w:t>
      </w:r>
      <w:r w:rsidRPr="00136DE5">
        <w:t>výjimkou</w:t>
      </w:r>
      <w:r>
        <w:t xml:space="preserve"> </w:t>
      </w:r>
      <w:r w:rsidRPr="00136DE5">
        <w:t>peněz</w:t>
      </w:r>
      <w:r>
        <w:t xml:space="preserve"> </w:t>
      </w:r>
      <w:r w:rsidRPr="00136DE5">
        <w:t>a</w:t>
      </w:r>
      <w:r>
        <w:t xml:space="preserve"> </w:t>
      </w:r>
      <w:r w:rsidRPr="00136DE5">
        <w:t>cenných</w:t>
      </w:r>
      <w:r>
        <w:t xml:space="preserve"> </w:t>
      </w:r>
      <w:r w:rsidRPr="00136DE5">
        <w:t>papírů,</w:t>
      </w:r>
    </w:p>
    <w:p w14:paraId="10A94363" w14:textId="77777777" w:rsidR="00E4236C" w:rsidRDefault="00E4236C" w:rsidP="00E4236C">
      <w:pPr>
        <w:pStyle w:val="PZTextpsmene"/>
        <w:spacing w:before="0"/>
      </w:pPr>
      <w:r w:rsidRPr="00136DE5">
        <w:t>b</w:t>
      </w:r>
      <w:r>
        <w:t>)</w:t>
      </w:r>
      <w:r>
        <w:tab/>
      </w:r>
      <w:r w:rsidRPr="00136DE5">
        <w:t>právo</w:t>
      </w:r>
      <w:r>
        <w:t xml:space="preserve"> </w:t>
      </w:r>
      <w:r w:rsidRPr="00136DE5">
        <w:t>stavby,</w:t>
      </w:r>
    </w:p>
    <w:p w14:paraId="488AE310" w14:textId="77777777" w:rsidR="00E4236C" w:rsidRDefault="00E4236C" w:rsidP="00E4236C">
      <w:pPr>
        <w:pStyle w:val="PZTextpsmene"/>
        <w:spacing w:before="0"/>
      </w:pPr>
      <w:r w:rsidRPr="00136DE5">
        <w:t>c</w:t>
      </w:r>
      <w:r>
        <w:t>)</w:t>
      </w:r>
      <w:r>
        <w:tab/>
      </w:r>
      <w:r w:rsidRPr="00136DE5">
        <w:t>živé</w:t>
      </w:r>
      <w:r>
        <w:t xml:space="preserve"> </w:t>
      </w:r>
      <w:r w:rsidRPr="00136DE5">
        <w:t>zvíře,</w:t>
      </w:r>
    </w:p>
    <w:p w14:paraId="1335BC33" w14:textId="77777777" w:rsidR="00E4236C" w:rsidRDefault="00E4236C" w:rsidP="00E4236C">
      <w:pPr>
        <w:pStyle w:val="PZTextpsmene"/>
        <w:spacing w:before="0"/>
      </w:pPr>
      <w:r w:rsidRPr="00136DE5">
        <w:t>d</w:t>
      </w:r>
      <w:r>
        <w:t>)</w:t>
      </w:r>
      <w:r>
        <w:tab/>
      </w:r>
      <w:r w:rsidRPr="00136DE5">
        <w:t>lidské</w:t>
      </w:r>
      <w:r>
        <w:t xml:space="preserve"> </w:t>
      </w:r>
      <w:r w:rsidRPr="00136DE5">
        <w:t>tělo</w:t>
      </w:r>
      <w:r>
        <w:t xml:space="preserve"> </w:t>
      </w:r>
      <w:r w:rsidRPr="00136DE5">
        <w:t>a</w:t>
      </w:r>
      <w:r>
        <w:t xml:space="preserve"> </w:t>
      </w:r>
      <w:r w:rsidRPr="00136DE5">
        <w:t>část</w:t>
      </w:r>
      <w:r>
        <w:t xml:space="preserve"> </w:t>
      </w:r>
      <w:r w:rsidRPr="00136DE5">
        <w:t>lidského</w:t>
      </w:r>
      <w:r>
        <w:t xml:space="preserve"> </w:t>
      </w:r>
      <w:r w:rsidRPr="00136DE5">
        <w:t>těla,</w:t>
      </w:r>
    </w:p>
    <w:p w14:paraId="0F81ACC6" w14:textId="77777777" w:rsidR="00E4236C" w:rsidRDefault="00E4236C" w:rsidP="00E4236C">
      <w:pPr>
        <w:pStyle w:val="PZTextpsmene"/>
        <w:spacing w:before="0"/>
      </w:pPr>
      <w:r w:rsidRPr="00136DE5">
        <w:t>e</w:t>
      </w:r>
      <w:r>
        <w:t>)</w:t>
      </w:r>
      <w:r>
        <w:tab/>
      </w:r>
      <w:r w:rsidRPr="00136DE5">
        <w:t>plyn,</w:t>
      </w:r>
      <w:r>
        <w:t xml:space="preserve"> </w:t>
      </w:r>
      <w:r w:rsidRPr="00136DE5">
        <w:t>elektřina,</w:t>
      </w:r>
      <w:r>
        <w:t xml:space="preserve"> </w:t>
      </w:r>
      <w:r w:rsidRPr="00136DE5">
        <w:t>teplo</w:t>
      </w:r>
      <w:r>
        <w:t xml:space="preserve"> </w:t>
      </w:r>
      <w:r w:rsidRPr="00136DE5">
        <w:t>a</w:t>
      </w:r>
      <w:r>
        <w:t xml:space="preserve"> </w:t>
      </w:r>
      <w:r w:rsidRPr="00136DE5">
        <w:t>chlad.</w:t>
      </w:r>
    </w:p>
    <w:p w14:paraId="7CCDDCE7" w14:textId="77777777" w:rsidR="00E4236C" w:rsidRDefault="00E4236C" w:rsidP="00E4236C">
      <w:pPr>
        <w:pStyle w:val="PZTextodstavce"/>
      </w:pPr>
      <w:r w:rsidRPr="00136DE5">
        <w:t>(3</w:t>
      </w:r>
      <w:r>
        <w:t>)</w:t>
      </w:r>
      <w:r>
        <w:tab/>
      </w:r>
      <w:r w:rsidRPr="00136DE5">
        <w:t>Za</w:t>
      </w:r>
      <w:r>
        <w:t xml:space="preserve"> </w:t>
      </w:r>
      <w:r w:rsidRPr="00136DE5">
        <w:t>zboží</w:t>
      </w:r>
      <w:r>
        <w:t xml:space="preserve"> </w:t>
      </w:r>
      <w:r w:rsidRPr="00136DE5">
        <w:t>se</w:t>
      </w:r>
      <w:r>
        <w:t xml:space="preserve"> </w:t>
      </w:r>
      <w:r w:rsidRPr="00136DE5">
        <w:t>dále</w:t>
      </w:r>
      <w:r>
        <w:t xml:space="preserve"> </w:t>
      </w:r>
      <w:r w:rsidRPr="00136DE5">
        <w:t>považují</w:t>
      </w:r>
    </w:p>
    <w:p w14:paraId="00A073DF" w14:textId="77777777" w:rsidR="00E4236C" w:rsidRDefault="00E4236C" w:rsidP="00E4236C">
      <w:pPr>
        <w:pStyle w:val="PZTextpsmene"/>
        <w:spacing w:before="0"/>
      </w:pPr>
      <w:r w:rsidRPr="00136DE5">
        <w:t>a</w:t>
      </w:r>
      <w:r>
        <w:t>)</w:t>
      </w:r>
      <w:r>
        <w:tab/>
      </w:r>
      <w:r w:rsidRPr="00136DE5">
        <w:t>bankovky</w:t>
      </w:r>
      <w:r>
        <w:t xml:space="preserve"> </w:t>
      </w:r>
      <w:r w:rsidRPr="00136DE5">
        <w:t>a</w:t>
      </w:r>
      <w:r>
        <w:t xml:space="preserve"> </w:t>
      </w:r>
      <w:r w:rsidRPr="00136DE5">
        <w:t>mince</w:t>
      </w:r>
      <w:r>
        <w:t xml:space="preserve"> </w:t>
      </w:r>
      <w:r w:rsidRPr="00136DE5">
        <w:t>české</w:t>
      </w:r>
      <w:r>
        <w:t xml:space="preserve"> </w:t>
      </w:r>
      <w:r w:rsidRPr="00136DE5">
        <w:t>měny</w:t>
      </w:r>
      <w:r>
        <w:t xml:space="preserve"> </w:t>
      </w:r>
      <w:r w:rsidRPr="00136DE5">
        <w:t>při</w:t>
      </w:r>
      <w:r>
        <w:t xml:space="preserve"> </w:t>
      </w:r>
      <w:r w:rsidRPr="00136DE5">
        <w:t>jejich</w:t>
      </w:r>
      <w:r>
        <w:t xml:space="preserve"> </w:t>
      </w:r>
      <w:r w:rsidRPr="00136DE5">
        <w:t>dodání</w:t>
      </w:r>
      <w:r>
        <w:t xml:space="preserve"> </w:t>
      </w:r>
      <w:r w:rsidRPr="00136DE5">
        <w:t>výrobcem</w:t>
      </w:r>
      <w:r>
        <w:t xml:space="preserve"> </w:t>
      </w:r>
      <w:r w:rsidRPr="00136DE5">
        <w:t>České</w:t>
      </w:r>
      <w:r>
        <w:t xml:space="preserve"> </w:t>
      </w:r>
      <w:r w:rsidRPr="00136DE5">
        <w:t>národní</w:t>
      </w:r>
      <w:r>
        <w:t xml:space="preserve"> </w:t>
      </w:r>
      <w:r w:rsidRPr="00136DE5">
        <w:t>bance,</w:t>
      </w:r>
      <w:r>
        <w:t xml:space="preserve"> </w:t>
      </w:r>
      <w:r w:rsidRPr="00136DE5">
        <w:t>nebo</w:t>
      </w:r>
      <w:r>
        <w:t xml:space="preserve"> </w:t>
      </w:r>
      <w:r w:rsidRPr="00136DE5">
        <w:t>při</w:t>
      </w:r>
      <w:r>
        <w:t xml:space="preserve"> </w:t>
      </w:r>
      <w:r w:rsidRPr="00136DE5">
        <w:t>jejich</w:t>
      </w:r>
      <w:r>
        <w:t xml:space="preserve"> </w:t>
      </w:r>
      <w:r w:rsidRPr="00136DE5">
        <w:t>pořízení</w:t>
      </w:r>
      <w:r>
        <w:t xml:space="preserve"> </w:t>
      </w:r>
      <w:r w:rsidRPr="00136DE5">
        <w:t>z</w:t>
      </w:r>
      <w:r>
        <w:t xml:space="preserve"> </w:t>
      </w:r>
      <w:r w:rsidRPr="00136DE5">
        <w:t>jiného</w:t>
      </w:r>
      <w:r>
        <w:t xml:space="preserve"> </w:t>
      </w:r>
      <w:r w:rsidRPr="00136DE5">
        <w:t>členského</w:t>
      </w:r>
      <w:r>
        <w:t xml:space="preserve"> </w:t>
      </w:r>
      <w:r w:rsidRPr="00136DE5">
        <w:t>státu,</w:t>
      </w:r>
      <w:r>
        <w:t xml:space="preserve"> </w:t>
      </w:r>
      <w:r w:rsidRPr="00136DE5">
        <w:t>nebo</w:t>
      </w:r>
      <w:r>
        <w:t xml:space="preserve"> </w:t>
      </w:r>
      <w:r w:rsidRPr="00136DE5">
        <w:t>jejich</w:t>
      </w:r>
      <w:r>
        <w:t xml:space="preserve"> </w:t>
      </w:r>
      <w:r w:rsidRPr="00136DE5">
        <w:t>dovoz</w:t>
      </w:r>
      <w:r>
        <w:t xml:space="preserve"> </w:t>
      </w:r>
      <w:r w:rsidRPr="00136DE5">
        <w:t>Českou</w:t>
      </w:r>
      <w:r>
        <w:t xml:space="preserve"> </w:t>
      </w:r>
      <w:r w:rsidRPr="00136DE5">
        <w:t>národní</w:t>
      </w:r>
      <w:r>
        <w:t xml:space="preserve"> </w:t>
      </w:r>
      <w:r w:rsidRPr="00136DE5">
        <w:t>bankou,</w:t>
      </w:r>
    </w:p>
    <w:p w14:paraId="2689DF7F" w14:textId="77777777" w:rsidR="00E4236C" w:rsidRDefault="00E4236C" w:rsidP="00E4236C">
      <w:pPr>
        <w:pStyle w:val="PZTextpsmene"/>
        <w:spacing w:before="0"/>
      </w:pPr>
      <w:r w:rsidRPr="00136DE5">
        <w:t>b</w:t>
      </w:r>
      <w:r>
        <w:t>)</w:t>
      </w:r>
      <w:r>
        <w:tab/>
      </w:r>
      <w:r w:rsidRPr="00136DE5">
        <w:t>bankovky,</w:t>
      </w:r>
      <w:r>
        <w:t xml:space="preserve"> </w:t>
      </w:r>
      <w:r w:rsidRPr="00136DE5">
        <w:t>státovky</w:t>
      </w:r>
      <w:r>
        <w:t xml:space="preserve"> </w:t>
      </w:r>
      <w:r w:rsidRPr="00136DE5">
        <w:t>a</w:t>
      </w:r>
      <w:r>
        <w:t xml:space="preserve"> </w:t>
      </w:r>
      <w:r w:rsidRPr="00136DE5">
        <w:t>mince</w:t>
      </w:r>
      <w:r>
        <w:t xml:space="preserve"> </w:t>
      </w:r>
      <w:r w:rsidRPr="00136DE5">
        <w:t>české</w:t>
      </w:r>
      <w:r>
        <w:t xml:space="preserve"> </w:t>
      </w:r>
      <w:r w:rsidRPr="00136DE5">
        <w:t>nebo</w:t>
      </w:r>
      <w:r>
        <w:t xml:space="preserve"> </w:t>
      </w:r>
      <w:r w:rsidRPr="00136DE5">
        <w:t>cizí</w:t>
      </w:r>
      <w:r>
        <w:t xml:space="preserve"> </w:t>
      </w:r>
      <w:r w:rsidRPr="00136DE5">
        <w:t>měny</w:t>
      </w:r>
      <w:r>
        <w:t xml:space="preserve"> </w:t>
      </w:r>
      <w:r w:rsidRPr="00136DE5">
        <w:t>prodávané</w:t>
      </w:r>
      <w:r>
        <w:t xml:space="preserve"> </w:t>
      </w:r>
      <w:r w:rsidRPr="00136DE5">
        <w:t>pro</w:t>
      </w:r>
      <w:r>
        <w:t xml:space="preserve"> </w:t>
      </w:r>
      <w:r w:rsidRPr="00136DE5">
        <w:t>sběratelské</w:t>
      </w:r>
      <w:r>
        <w:t xml:space="preserve"> </w:t>
      </w:r>
      <w:r w:rsidRPr="00136DE5">
        <w:t>účely</w:t>
      </w:r>
      <w:r>
        <w:t xml:space="preserve"> </w:t>
      </w:r>
      <w:r w:rsidRPr="00136DE5">
        <w:t>za</w:t>
      </w:r>
      <w:r>
        <w:t xml:space="preserve"> </w:t>
      </w:r>
      <w:r w:rsidRPr="00136DE5">
        <w:t>ceny</w:t>
      </w:r>
      <w:r>
        <w:t xml:space="preserve"> </w:t>
      </w:r>
      <w:r w:rsidRPr="00136DE5">
        <w:t>vyšší,</w:t>
      </w:r>
      <w:r>
        <w:t xml:space="preserve"> </w:t>
      </w:r>
      <w:r w:rsidRPr="00136DE5">
        <w:t>než</w:t>
      </w:r>
      <w:r>
        <w:t xml:space="preserve"> </w:t>
      </w:r>
      <w:r w:rsidRPr="00136DE5">
        <w:t>je</w:t>
      </w:r>
      <w:r>
        <w:t xml:space="preserve"> </w:t>
      </w:r>
      <w:r w:rsidRPr="00136DE5">
        <w:t>jejich</w:t>
      </w:r>
      <w:r>
        <w:t xml:space="preserve"> </w:t>
      </w:r>
      <w:r w:rsidRPr="00136DE5">
        <w:t>nominální</w:t>
      </w:r>
      <w:r>
        <w:t xml:space="preserve"> </w:t>
      </w:r>
      <w:r w:rsidRPr="00136DE5">
        <w:t>hodnota</w:t>
      </w:r>
      <w:r>
        <w:t xml:space="preserve"> </w:t>
      </w:r>
      <w:r w:rsidRPr="00136DE5">
        <w:t>nebo</w:t>
      </w:r>
      <w:r>
        <w:t xml:space="preserve"> </w:t>
      </w:r>
      <w:r w:rsidRPr="00136DE5">
        <w:t>přepočet</w:t>
      </w:r>
      <w:r>
        <w:t xml:space="preserve"> </w:t>
      </w:r>
      <w:r w:rsidRPr="00136DE5">
        <w:t>jejich</w:t>
      </w:r>
      <w:r>
        <w:t xml:space="preserve"> </w:t>
      </w:r>
      <w:r w:rsidRPr="00136DE5">
        <w:t>nominální</w:t>
      </w:r>
      <w:r>
        <w:t xml:space="preserve"> </w:t>
      </w:r>
      <w:r w:rsidRPr="00136DE5">
        <w:t>hodnoty</w:t>
      </w:r>
      <w:r>
        <w:t xml:space="preserve"> </w:t>
      </w:r>
      <w:r w:rsidRPr="00136DE5">
        <w:t>na</w:t>
      </w:r>
      <w:r>
        <w:t xml:space="preserve"> </w:t>
      </w:r>
      <w:r w:rsidRPr="00136DE5">
        <w:t>českou</w:t>
      </w:r>
      <w:r>
        <w:t xml:space="preserve"> </w:t>
      </w:r>
      <w:r w:rsidRPr="00136DE5">
        <w:t>měnu</w:t>
      </w:r>
      <w:r>
        <w:t xml:space="preserve"> </w:t>
      </w:r>
      <w:r w:rsidRPr="00136DE5">
        <w:t>podle</w:t>
      </w:r>
      <w:r>
        <w:t xml:space="preserve"> </w:t>
      </w:r>
      <w:r w:rsidRPr="00136DE5">
        <w:t>směnného</w:t>
      </w:r>
      <w:r>
        <w:t xml:space="preserve"> </w:t>
      </w:r>
      <w:r w:rsidRPr="00136DE5">
        <w:t>kurzu</w:t>
      </w:r>
      <w:r>
        <w:t xml:space="preserve"> </w:t>
      </w:r>
      <w:r w:rsidRPr="00136DE5">
        <w:t>vyhlašovaného</w:t>
      </w:r>
      <w:r>
        <w:t xml:space="preserve"> </w:t>
      </w:r>
      <w:r w:rsidRPr="00136DE5">
        <w:t>Českou</w:t>
      </w:r>
      <w:r>
        <w:t xml:space="preserve"> </w:t>
      </w:r>
      <w:r w:rsidRPr="00136DE5">
        <w:t>národní</w:t>
      </w:r>
      <w:r>
        <w:t xml:space="preserve"> </w:t>
      </w:r>
      <w:r w:rsidRPr="00136DE5">
        <w:t>bankou,</w:t>
      </w:r>
    </w:p>
    <w:p w14:paraId="124FC86F" w14:textId="77777777" w:rsidR="00E4236C" w:rsidRDefault="00E4236C" w:rsidP="00E4236C">
      <w:pPr>
        <w:pStyle w:val="PZTextpsmene"/>
        <w:spacing w:before="0"/>
      </w:pPr>
      <w:r w:rsidRPr="00136DE5">
        <w:t>c</w:t>
      </w:r>
      <w:r>
        <w:t>)</w:t>
      </w:r>
      <w:r>
        <w:tab/>
      </w:r>
      <w:r w:rsidRPr="00136DE5">
        <w:t>cenné</w:t>
      </w:r>
      <w:r>
        <w:t xml:space="preserve"> </w:t>
      </w:r>
      <w:r w:rsidRPr="00136DE5">
        <w:t>papíry</w:t>
      </w:r>
      <w:r>
        <w:t xml:space="preserve"> </w:t>
      </w:r>
      <w:r w:rsidRPr="00136DE5">
        <w:t>při</w:t>
      </w:r>
      <w:r>
        <w:t xml:space="preserve"> </w:t>
      </w:r>
      <w:r w:rsidRPr="00136DE5">
        <w:t>jejich</w:t>
      </w:r>
      <w:r>
        <w:t xml:space="preserve"> </w:t>
      </w:r>
      <w:r w:rsidRPr="00136DE5">
        <w:t>dodání</w:t>
      </w:r>
      <w:r>
        <w:t xml:space="preserve"> </w:t>
      </w:r>
      <w:r w:rsidRPr="00136DE5">
        <w:t>výrobcem</w:t>
      </w:r>
      <w:r>
        <w:t xml:space="preserve"> </w:t>
      </w:r>
      <w:r w:rsidRPr="00136DE5">
        <w:t>emitentovi</w:t>
      </w:r>
      <w:r>
        <w:t xml:space="preserve"> </w:t>
      </w:r>
      <w:r w:rsidRPr="00136DE5">
        <w:t>v</w:t>
      </w:r>
      <w:r>
        <w:t xml:space="preserve"> </w:t>
      </w:r>
      <w:r w:rsidRPr="00136DE5">
        <w:t>tuzemsku,</w:t>
      </w:r>
      <w:r>
        <w:t xml:space="preserve"> </w:t>
      </w:r>
      <w:r w:rsidRPr="00136DE5">
        <w:t>nebo</w:t>
      </w:r>
      <w:r>
        <w:t xml:space="preserve"> </w:t>
      </w:r>
      <w:r w:rsidRPr="00136DE5">
        <w:t>při</w:t>
      </w:r>
      <w:r>
        <w:t xml:space="preserve"> </w:t>
      </w:r>
      <w:r w:rsidRPr="00136DE5">
        <w:t>jejich</w:t>
      </w:r>
      <w:r>
        <w:t xml:space="preserve"> </w:t>
      </w:r>
      <w:r w:rsidRPr="00136DE5">
        <w:t>pořízení</w:t>
      </w:r>
      <w:r>
        <w:t xml:space="preserve"> </w:t>
      </w:r>
      <w:r w:rsidRPr="00136DE5">
        <w:t>z</w:t>
      </w:r>
      <w:r>
        <w:t xml:space="preserve"> </w:t>
      </w:r>
      <w:r w:rsidRPr="00136DE5">
        <w:t>jiného</w:t>
      </w:r>
      <w:r>
        <w:t xml:space="preserve"> </w:t>
      </w:r>
      <w:r w:rsidRPr="00136DE5">
        <w:t>členského</w:t>
      </w:r>
      <w:r>
        <w:t xml:space="preserve"> </w:t>
      </w:r>
      <w:r w:rsidRPr="00136DE5">
        <w:t>státu</w:t>
      </w:r>
      <w:r>
        <w:t xml:space="preserve"> </w:t>
      </w:r>
      <w:r w:rsidRPr="00136DE5">
        <w:t>nebo</w:t>
      </w:r>
      <w:r>
        <w:t xml:space="preserve"> </w:t>
      </w:r>
      <w:r w:rsidRPr="00136DE5">
        <w:t>jejich</w:t>
      </w:r>
      <w:r>
        <w:t xml:space="preserve"> </w:t>
      </w:r>
      <w:r w:rsidRPr="00136DE5">
        <w:t>dovozu</w:t>
      </w:r>
      <w:r>
        <w:t xml:space="preserve"> </w:t>
      </w:r>
      <w:r w:rsidRPr="00136DE5">
        <w:t>a</w:t>
      </w:r>
      <w:r>
        <w:t xml:space="preserve"> </w:t>
      </w:r>
      <w:r w:rsidRPr="00136DE5">
        <w:t>vývozu</w:t>
      </w:r>
      <w:r>
        <w:t xml:space="preserve"> </w:t>
      </w:r>
      <w:r w:rsidRPr="00136DE5">
        <w:t>jako</w:t>
      </w:r>
      <w:r>
        <w:t xml:space="preserve"> </w:t>
      </w:r>
      <w:r w:rsidRPr="00136DE5">
        <w:t>výrobku.</w:t>
      </w:r>
    </w:p>
    <w:p w14:paraId="35EC01CB" w14:textId="4F414FB1" w:rsidR="00E55F2A" w:rsidRPr="006B40B4" w:rsidRDefault="00E55F2A" w:rsidP="00E4236C">
      <w:pPr>
        <w:keepNext/>
        <w:widowControl w:val="0"/>
        <w:autoSpaceDE w:val="0"/>
        <w:autoSpaceDN w:val="0"/>
        <w:adjustRightInd w:val="0"/>
        <w:spacing w:before="120" w:after="120"/>
        <w:rPr>
          <w:szCs w:val="24"/>
        </w:rPr>
      </w:pPr>
      <w:r w:rsidRPr="006B40B4">
        <w:rPr>
          <w:szCs w:val="24"/>
        </w:rPr>
        <w:t>(4) Pro účely tohoto zákona se dále rozumí</w:t>
      </w:r>
    </w:p>
    <w:p w14:paraId="3A0D92C7" w14:textId="77777777" w:rsidR="00E55F2A" w:rsidRPr="006B40B4" w:rsidRDefault="00E55F2A" w:rsidP="007D5326">
      <w:pPr>
        <w:pStyle w:val="PZTextpsmene"/>
        <w:spacing w:before="0"/>
        <w:rPr>
          <w:szCs w:val="24"/>
        </w:rPr>
      </w:pPr>
      <w:r w:rsidRPr="006B40B4">
        <w:rPr>
          <w:szCs w:val="24"/>
        </w:rPr>
        <w:t>a)</w:t>
      </w:r>
      <w:r w:rsidRPr="006B40B4">
        <w:rPr>
          <w:szCs w:val="24"/>
        </w:rPr>
        <w:tab/>
        <w:t>dopravním prostředkem vozidlo, jiný prostředek nebo zařízení, které jsou určené k přepravě osob nebo zboží z jednoho místa na jiné a které jsou obvykle konstruované pro použití k přepravě a mohou k ní být skutečně použity; za dopravní prostředek se nepovažuje vozidlo, které je trvale znehybněno, ani kontejner,</w:t>
      </w:r>
    </w:p>
    <w:p w14:paraId="35C4A174" w14:textId="77777777" w:rsidR="00E55F2A" w:rsidRPr="009A2D8F" w:rsidRDefault="00E55F2A" w:rsidP="007D5326">
      <w:pPr>
        <w:pStyle w:val="PZTextpsmene"/>
        <w:spacing w:before="0"/>
        <w:rPr>
          <w:strike/>
          <w:color w:val="00B050"/>
          <w:szCs w:val="24"/>
        </w:rPr>
      </w:pPr>
      <w:r w:rsidRPr="009A2D8F">
        <w:rPr>
          <w:strike/>
          <w:color w:val="00B050"/>
          <w:szCs w:val="24"/>
        </w:rPr>
        <w:lastRenderedPageBreak/>
        <w:t>b)</w:t>
      </w:r>
      <w:r w:rsidRPr="009A2D8F">
        <w:rPr>
          <w:strike/>
          <w:color w:val="00B050"/>
          <w:szCs w:val="24"/>
        </w:rPr>
        <w:tab/>
      </w:r>
      <w:r w:rsidRPr="007D5326">
        <w:rPr>
          <w:color w:val="00B050"/>
          <w:szCs w:val="24"/>
        </w:rPr>
        <w:t>novým dopravním prostředkem</w:t>
      </w:r>
    </w:p>
    <w:p w14:paraId="5372ABB7" w14:textId="77777777" w:rsidR="00E55F2A" w:rsidRPr="00A348E3" w:rsidRDefault="00E55F2A" w:rsidP="00A348E3">
      <w:pPr>
        <w:pStyle w:val="PZTextbodu"/>
        <w:spacing w:before="0"/>
        <w:rPr>
          <w:strike/>
          <w:color w:val="00B050"/>
          <w:szCs w:val="24"/>
        </w:rPr>
      </w:pPr>
      <w:r w:rsidRPr="00A348E3">
        <w:rPr>
          <w:strike/>
          <w:color w:val="00B050"/>
          <w:szCs w:val="24"/>
        </w:rPr>
        <w:t>1.</w:t>
      </w:r>
      <w:r w:rsidRPr="00A348E3">
        <w:rPr>
          <w:strike/>
          <w:color w:val="00B050"/>
          <w:szCs w:val="24"/>
        </w:rPr>
        <w:tab/>
        <w:t>motorové pozemní vozidlo s obsahem válců větším než 48 cm3 nebo s výkonem větším než 7,2 kW, pokud bylo dodáno do 6 měsíců ode dne prvního uvedení do provozu nebo má najeto méně než 6 000 km,</w:t>
      </w:r>
    </w:p>
    <w:p w14:paraId="71327DBE" w14:textId="77777777" w:rsidR="00E55F2A" w:rsidRPr="00A348E3" w:rsidRDefault="00E55F2A" w:rsidP="00A348E3">
      <w:pPr>
        <w:pStyle w:val="PZTextbodu"/>
        <w:spacing w:before="0"/>
        <w:rPr>
          <w:strike/>
          <w:color w:val="00B050"/>
          <w:szCs w:val="24"/>
        </w:rPr>
      </w:pPr>
      <w:r w:rsidRPr="00A348E3">
        <w:rPr>
          <w:strike/>
          <w:color w:val="00B050"/>
          <w:szCs w:val="24"/>
        </w:rPr>
        <w:t>2.</w:t>
      </w:r>
      <w:r w:rsidRPr="00A348E3">
        <w:rPr>
          <w:strike/>
          <w:color w:val="00B050"/>
          <w:szCs w:val="24"/>
        </w:rPr>
        <w:tab/>
        <w:t>loď delší než 7,5 m, pokud byla dodána do 3 měsíců ode dne prvního uvedení do provozu nebo má najeto méně než 100 hodin, s výjimkou námořních lodí užívaných k obchodní, průmyslové, rybářské nebo záchranářské činnosti, nebo</w:t>
      </w:r>
    </w:p>
    <w:p w14:paraId="390EE24D" w14:textId="77777777" w:rsidR="00E55F2A" w:rsidRPr="00A348E3" w:rsidRDefault="00E55F2A" w:rsidP="00A348E3">
      <w:pPr>
        <w:pStyle w:val="PZTextbodu"/>
        <w:spacing w:before="0"/>
        <w:rPr>
          <w:strike/>
          <w:color w:val="00B050"/>
          <w:szCs w:val="24"/>
        </w:rPr>
      </w:pPr>
      <w:r w:rsidRPr="00A348E3">
        <w:rPr>
          <w:strike/>
          <w:color w:val="00B050"/>
          <w:szCs w:val="24"/>
        </w:rPr>
        <w:t>3.</w:t>
      </w:r>
      <w:r w:rsidRPr="00A348E3">
        <w:rPr>
          <w:strike/>
          <w:color w:val="00B050"/>
          <w:szCs w:val="24"/>
        </w:rPr>
        <w:tab/>
        <w:t>letadlo o maximální vzletové hmotnosti větší než 1 550 kg, pokud bylo dodáno do 3 měsíců ode dne prvního uvedení do provozu nebo má nalétáno méně než 40 hodin, s výjimkou letadel využívaných leteckými společnostmi pro mezinárodní leteckou přepravu,</w:t>
      </w:r>
    </w:p>
    <w:p w14:paraId="0B0C7C9E" w14:textId="77777777" w:rsidR="00E55F2A" w:rsidRDefault="00E55F2A" w:rsidP="007D5326">
      <w:pPr>
        <w:pStyle w:val="PZTextpsmene"/>
        <w:spacing w:before="0"/>
        <w:ind w:left="851" w:hanging="851"/>
      </w:pPr>
      <w:r w:rsidRPr="009A2D8F">
        <w:rPr>
          <w:strike/>
          <w:color w:val="00B050"/>
          <w:szCs w:val="24"/>
        </w:rPr>
        <w:t>c)</w:t>
      </w:r>
      <w:r>
        <w:rPr>
          <w:b/>
          <w:color w:val="00B050"/>
          <w:szCs w:val="24"/>
        </w:rPr>
        <w:t xml:space="preserve"> </w:t>
      </w:r>
      <w:r w:rsidRPr="009A2D8F">
        <w:rPr>
          <w:b/>
          <w:color w:val="00B050"/>
          <w:szCs w:val="24"/>
        </w:rPr>
        <w:t>b)</w:t>
      </w:r>
      <w:r>
        <w:rPr>
          <w:color w:val="00B050"/>
          <w:szCs w:val="24"/>
        </w:rPr>
        <w:tab/>
      </w:r>
      <w:r w:rsidRPr="006B40B4">
        <w:rPr>
          <w:szCs w:val="24"/>
        </w:rPr>
        <w:t xml:space="preserve">obchodním majetkem majetkové hodnoty, které slouží osobě povinné k dani a jsou touto osobou určeny k uskutečňování </w:t>
      </w:r>
      <w:r w:rsidRPr="008455BB">
        <w:rPr>
          <w:strike/>
          <w:color w:val="00B050"/>
          <w:szCs w:val="24"/>
        </w:rPr>
        <w:t>ekonomických činností</w:t>
      </w:r>
      <w:r w:rsidRPr="008455BB">
        <w:rPr>
          <w:b/>
          <w:color w:val="00B050"/>
          <w:szCs w:val="24"/>
        </w:rPr>
        <w:t xml:space="preserve"> ekonomické činnosti</w:t>
      </w:r>
      <w:r w:rsidRPr="006B40B4">
        <w:rPr>
          <w:szCs w:val="24"/>
        </w:rPr>
        <w:t>,</w:t>
      </w:r>
    </w:p>
    <w:p w14:paraId="7915684D" w14:textId="77777777" w:rsidR="00E55F2A" w:rsidRPr="00485B77" w:rsidRDefault="00E55F2A" w:rsidP="007D5326">
      <w:pPr>
        <w:pStyle w:val="PZTextpsmene"/>
        <w:spacing w:before="0"/>
        <w:rPr>
          <w:strike/>
          <w:szCs w:val="24"/>
        </w:rPr>
      </w:pPr>
      <w:r w:rsidRPr="00485B77">
        <w:rPr>
          <w:strike/>
          <w:color w:val="00B050"/>
          <w:szCs w:val="24"/>
        </w:rPr>
        <w:t>d)</w:t>
      </w:r>
      <w:r>
        <w:rPr>
          <w:b/>
          <w:strike/>
          <w:color w:val="00B050"/>
          <w:szCs w:val="24"/>
        </w:rPr>
        <w:t xml:space="preserve"> </w:t>
      </w:r>
      <w:r w:rsidRPr="00485B77">
        <w:rPr>
          <w:b/>
          <w:strike/>
          <w:color w:val="00B050"/>
          <w:szCs w:val="24"/>
        </w:rPr>
        <w:t>c)</w:t>
      </w:r>
      <w:r w:rsidRPr="007D5326">
        <w:rPr>
          <w:strike/>
          <w:szCs w:val="24"/>
        </w:rPr>
        <w:tab/>
        <w:t>dlouhodobým</w:t>
      </w:r>
      <w:r w:rsidRPr="00485B77">
        <w:rPr>
          <w:strike/>
          <w:szCs w:val="24"/>
        </w:rPr>
        <w:t xml:space="preserve"> majetkem obchodní majetek, který je</w:t>
      </w:r>
    </w:p>
    <w:p w14:paraId="454F46F0" w14:textId="77777777" w:rsidR="00E55F2A" w:rsidRPr="00485B77" w:rsidRDefault="00E55F2A" w:rsidP="00A348E3">
      <w:pPr>
        <w:pStyle w:val="PZTextbodu"/>
        <w:spacing w:before="0"/>
        <w:rPr>
          <w:strike/>
          <w:szCs w:val="24"/>
        </w:rPr>
      </w:pPr>
      <w:r w:rsidRPr="00485B77">
        <w:rPr>
          <w:strike/>
          <w:szCs w:val="24"/>
        </w:rPr>
        <w:t>1.</w:t>
      </w:r>
      <w:r w:rsidRPr="00485B77">
        <w:rPr>
          <w:strike/>
          <w:szCs w:val="24"/>
        </w:rPr>
        <w:tab/>
        <w:t xml:space="preserve">hmotným majetkem podle zákona upravujícího daně z příjmů; hmotný majetek přenechaný k užití na základě smlouvy, pokud je ujednáno a ke dni uzavření této smlouvy je zřejmé, že vlastnické právo k užívanému hmotnému majetku bude za obvyklých okolností převedeno na jeho </w:t>
      </w:r>
      <w:r w:rsidRPr="00A348E3">
        <w:rPr>
          <w:szCs w:val="24"/>
        </w:rPr>
        <w:t>uživatele</w:t>
      </w:r>
      <w:r w:rsidRPr="00485B77">
        <w:rPr>
          <w:strike/>
          <w:szCs w:val="24"/>
        </w:rPr>
        <w:t>, se pro účely daně z přidané hodnoty považuje za dlouhodobý majetek uživatele,</w:t>
      </w:r>
    </w:p>
    <w:p w14:paraId="0D612D7F" w14:textId="77777777" w:rsidR="00E55F2A" w:rsidRPr="00485B77" w:rsidRDefault="00E55F2A" w:rsidP="00A348E3">
      <w:pPr>
        <w:pStyle w:val="PZTextbodu"/>
        <w:spacing w:before="0"/>
        <w:rPr>
          <w:strike/>
          <w:szCs w:val="24"/>
        </w:rPr>
      </w:pPr>
      <w:r w:rsidRPr="00485B77">
        <w:rPr>
          <w:strike/>
          <w:szCs w:val="24"/>
        </w:rPr>
        <w:t>2.</w:t>
      </w:r>
      <w:r w:rsidRPr="00485B77">
        <w:rPr>
          <w:strike/>
          <w:szCs w:val="24"/>
        </w:rPr>
        <w:tab/>
        <w:t xml:space="preserve">odpisovaným nehmotným majetkem podle </w:t>
      </w:r>
      <w:r w:rsidRPr="00A348E3">
        <w:rPr>
          <w:szCs w:val="24"/>
        </w:rPr>
        <w:t>právních</w:t>
      </w:r>
      <w:r w:rsidRPr="00485B77">
        <w:rPr>
          <w:strike/>
          <w:szCs w:val="24"/>
        </w:rPr>
        <w:t xml:space="preserve"> předpisů upravujících účetnictví,</w:t>
      </w:r>
    </w:p>
    <w:p w14:paraId="641B1F7A" w14:textId="6658AB13" w:rsidR="00E55F2A" w:rsidRPr="00485B77" w:rsidRDefault="00E55F2A" w:rsidP="00A348E3">
      <w:pPr>
        <w:pStyle w:val="PZTextbodu"/>
        <w:spacing w:before="0"/>
        <w:rPr>
          <w:strike/>
          <w:szCs w:val="24"/>
        </w:rPr>
      </w:pPr>
      <w:r w:rsidRPr="00485B77">
        <w:rPr>
          <w:strike/>
          <w:szCs w:val="24"/>
        </w:rPr>
        <w:t>3.</w:t>
      </w:r>
      <w:r w:rsidRPr="00485B77">
        <w:rPr>
          <w:strike/>
          <w:szCs w:val="24"/>
        </w:rPr>
        <w:tab/>
        <w:t xml:space="preserve">pozemkem, který je dlouhodobým hmotným majetkem podle právních předpisů upravujících </w:t>
      </w:r>
      <w:r w:rsidRPr="00485B77">
        <w:rPr>
          <w:strike/>
          <w:color w:val="00B050"/>
          <w:szCs w:val="24"/>
        </w:rPr>
        <w:t>účetnictví</w:t>
      </w:r>
      <w:r w:rsidR="00E4236C">
        <w:rPr>
          <w:rStyle w:val="Znakapoznpodarou"/>
          <w:strike/>
          <w:color w:val="00B050"/>
          <w:szCs w:val="24"/>
        </w:rPr>
        <w:footnoteReference w:customMarkFollows="1" w:id="451"/>
        <w:t>7d)</w:t>
      </w:r>
      <w:r w:rsidRPr="00485B77">
        <w:rPr>
          <w:strike/>
          <w:color w:val="00B050"/>
          <w:szCs w:val="24"/>
        </w:rPr>
        <w:t xml:space="preserve"> </w:t>
      </w:r>
      <w:r w:rsidRPr="00485B77">
        <w:rPr>
          <w:b/>
          <w:strike/>
          <w:color w:val="00B050"/>
          <w:szCs w:val="24"/>
        </w:rPr>
        <w:t>účetnictví</w:t>
      </w:r>
      <w:r w:rsidRPr="00485B77">
        <w:rPr>
          <w:strike/>
          <w:szCs w:val="24"/>
        </w:rPr>
        <w:t>; pozemek přenechaný k užití na základě smlouvy, pokud je ujednáno, že vlastnické právo k </w:t>
      </w:r>
      <w:r w:rsidRPr="00A348E3">
        <w:rPr>
          <w:szCs w:val="24"/>
        </w:rPr>
        <w:t>užívanému</w:t>
      </w:r>
      <w:r w:rsidRPr="00485B77">
        <w:rPr>
          <w:strike/>
          <w:szCs w:val="24"/>
        </w:rPr>
        <w:t xml:space="preserve"> pozemku bude převedeno na jeho uživatele, se pro účely daně z přidané hodnoty považuje za dlouhodobý majetek uživatele, nebo</w:t>
      </w:r>
    </w:p>
    <w:p w14:paraId="7F9369F4" w14:textId="77777777" w:rsidR="00E55F2A" w:rsidRPr="00485B77" w:rsidRDefault="00E55F2A" w:rsidP="00A348E3">
      <w:pPr>
        <w:pStyle w:val="PZTextbodu"/>
        <w:spacing w:before="0"/>
        <w:rPr>
          <w:strike/>
        </w:rPr>
      </w:pPr>
      <w:r w:rsidRPr="00485B77">
        <w:rPr>
          <w:strike/>
          <w:szCs w:val="24"/>
        </w:rPr>
        <w:t>4.</w:t>
      </w:r>
      <w:r w:rsidRPr="00485B77">
        <w:rPr>
          <w:strike/>
          <w:szCs w:val="24"/>
        </w:rPr>
        <w:tab/>
        <w:t>technickým zhodnocením podle zákona upravujícího daně z příjmů v případě technického zhodnocení hmotného majetku, nebo technickým zhodnocením podle právních předpisů upravujících účetnictví v </w:t>
      </w:r>
      <w:r w:rsidRPr="00A348E3">
        <w:rPr>
          <w:szCs w:val="24"/>
        </w:rPr>
        <w:t>případě</w:t>
      </w:r>
      <w:r w:rsidRPr="00485B77">
        <w:rPr>
          <w:strike/>
          <w:szCs w:val="24"/>
        </w:rPr>
        <w:t xml:space="preserve"> technického zhodnocení dlouhodobého nehmotného majetku,</w:t>
      </w:r>
    </w:p>
    <w:p w14:paraId="55549F4A" w14:textId="77777777" w:rsidR="00E55F2A" w:rsidRPr="00485B77" w:rsidRDefault="00E55F2A" w:rsidP="007D5326">
      <w:pPr>
        <w:pStyle w:val="PZTextpsmene"/>
        <w:spacing w:before="0"/>
        <w:rPr>
          <w:b/>
          <w:szCs w:val="24"/>
        </w:rPr>
      </w:pPr>
      <w:r w:rsidRPr="00485B77">
        <w:rPr>
          <w:b/>
          <w:szCs w:val="24"/>
        </w:rPr>
        <w:t>c)</w:t>
      </w:r>
      <w:r w:rsidRPr="00485B77">
        <w:rPr>
          <w:b/>
          <w:szCs w:val="24"/>
        </w:rPr>
        <w:tab/>
        <w:t>dlouhodobým majetkem obchodní majetek, který je</w:t>
      </w:r>
    </w:p>
    <w:p w14:paraId="2A6FB838" w14:textId="77777777" w:rsidR="00E55F2A" w:rsidRPr="00485B77" w:rsidRDefault="00E55F2A" w:rsidP="007D5326">
      <w:pPr>
        <w:pStyle w:val="PZTextbodu"/>
        <w:spacing w:before="0"/>
        <w:rPr>
          <w:b/>
          <w:szCs w:val="24"/>
        </w:rPr>
      </w:pPr>
      <w:r w:rsidRPr="00485B77">
        <w:rPr>
          <w:b/>
          <w:szCs w:val="24"/>
        </w:rPr>
        <w:t>1.</w:t>
      </w:r>
      <w:r w:rsidRPr="00485B77">
        <w:rPr>
          <w:b/>
          <w:szCs w:val="24"/>
        </w:rPr>
        <w:tab/>
        <w:t>stálým hmotným aktivem podle zákona upravujícího účetnictví, jehož pořizovací výdaj převýšil 100 000 Kč; tato částka neplatí pro pozemek,</w:t>
      </w:r>
    </w:p>
    <w:p w14:paraId="1AFB0A1F" w14:textId="77777777" w:rsidR="00E55F2A" w:rsidRPr="00485B77" w:rsidRDefault="00E55F2A" w:rsidP="007D5326">
      <w:pPr>
        <w:pStyle w:val="PZTextbodu"/>
        <w:spacing w:before="0"/>
        <w:rPr>
          <w:b/>
          <w:szCs w:val="24"/>
        </w:rPr>
      </w:pPr>
      <w:r w:rsidRPr="00485B77">
        <w:rPr>
          <w:b/>
          <w:szCs w:val="24"/>
        </w:rPr>
        <w:t>2.</w:t>
      </w:r>
      <w:r w:rsidRPr="00485B77">
        <w:rPr>
          <w:b/>
          <w:szCs w:val="24"/>
        </w:rPr>
        <w:tab/>
        <w:t xml:space="preserve">stálým nehmotným aktivem podle </w:t>
      </w:r>
      <w:r>
        <w:rPr>
          <w:b/>
          <w:szCs w:val="24"/>
        </w:rPr>
        <w:t>zákona upravujícího</w:t>
      </w:r>
      <w:r w:rsidRPr="00485B77">
        <w:rPr>
          <w:b/>
          <w:szCs w:val="24"/>
        </w:rPr>
        <w:t xml:space="preserve"> účetnictví, nebo</w:t>
      </w:r>
    </w:p>
    <w:p w14:paraId="2BC00F92" w14:textId="77777777" w:rsidR="00E55F2A" w:rsidRPr="00485B77" w:rsidRDefault="00E55F2A" w:rsidP="007D5326">
      <w:pPr>
        <w:pStyle w:val="PZTextbodu"/>
        <w:spacing w:before="0"/>
        <w:rPr>
          <w:b/>
          <w:szCs w:val="24"/>
        </w:rPr>
      </w:pPr>
      <w:r w:rsidRPr="00485B77">
        <w:rPr>
          <w:b/>
          <w:szCs w:val="24"/>
        </w:rPr>
        <w:t>3.</w:t>
      </w:r>
      <w:r w:rsidRPr="00485B77">
        <w:rPr>
          <w:b/>
          <w:szCs w:val="24"/>
        </w:rPr>
        <w:tab/>
        <w:t xml:space="preserve">dodatečným zhodnocením podle zákona upravujícího daně z příjmů v případě dodatečného zhodnocení hmotného aktiva, nebo následným pořizovacím výdajem podle </w:t>
      </w:r>
      <w:r>
        <w:rPr>
          <w:b/>
          <w:szCs w:val="24"/>
        </w:rPr>
        <w:t>zákona upravujícího</w:t>
      </w:r>
      <w:r w:rsidRPr="00485B77">
        <w:rPr>
          <w:b/>
          <w:szCs w:val="24"/>
        </w:rPr>
        <w:t xml:space="preserve"> účetnictví v případě následného pořizovacího výdaje na nehmotné aktivum,</w:t>
      </w:r>
    </w:p>
    <w:p w14:paraId="02221262" w14:textId="77777777" w:rsidR="00E55F2A" w:rsidRPr="009A2D8F" w:rsidRDefault="00E55F2A" w:rsidP="007D5326">
      <w:pPr>
        <w:pStyle w:val="PZTextpsmene"/>
        <w:spacing w:before="0"/>
        <w:rPr>
          <w:strike/>
          <w:color w:val="00B050"/>
          <w:szCs w:val="24"/>
        </w:rPr>
      </w:pPr>
      <w:r w:rsidRPr="009A2D8F">
        <w:rPr>
          <w:strike/>
          <w:color w:val="00B050"/>
          <w:szCs w:val="24"/>
        </w:rPr>
        <w:t>e)</w:t>
      </w:r>
      <w:r>
        <w:rPr>
          <w:b/>
          <w:strike/>
          <w:color w:val="00B050"/>
          <w:szCs w:val="24"/>
        </w:rPr>
        <w:t xml:space="preserve"> </w:t>
      </w:r>
      <w:r w:rsidRPr="009A2D8F">
        <w:rPr>
          <w:b/>
          <w:strike/>
          <w:color w:val="00B050"/>
          <w:szCs w:val="24"/>
        </w:rPr>
        <w:t>d)</w:t>
      </w:r>
      <w:r>
        <w:rPr>
          <w:strike/>
          <w:color w:val="00B050"/>
          <w:szCs w:val="24"/>
        </w:rPr>
        <w:tab/>
      </w:r>
      <w:r w:rsidRPr="009A2D8F">
        <w:rPr>
          <w:strike/>
          <w:color w:val="00B050"/>
          <w:szCs w:val="24"/>
        </w:rPr>
        <w:t>dlouhodobým majetkem vytvořeným vlastní činností dlouhodobý majetek, který plátce v rámci svých ekonomických činností vyrobil, postavil nebo jinak vytvořil; technické zhodnocení podle písmene d) bodu 4 se považuje za samostatný dlouhodobý majetek vytvořený vlastní činností,</w:t>
      </w:r>
    </w:p>
    <w:p w14:paraId="7027F1DF" w14:textId="09AF0081" w:rsidR="00E55F2A" w:rsidRPr="006B40B4" w:rsidRDefault="00E55F2A" w:rsidP="007D5326">
      <w:pPr>
        <w:pStyle w:val="PZTextpsmene"/>
        <w:spacing w:before="0"/>
        <w:rPr>
          <w:szCs w:val="24"/>
        </w:rPr>
      </w:pPr>
      <w:r w:rsidRPr="009A2D8F">
        <w:rPr>
          <w:strike/>
          <w:color w:val="00B050"/>
          <w:szCs w:val="24"/>
        </w:rPr>
        <w:t>f)</w:t>
      </w:r>
      <w:r w:rsidRPr="009A2D8F">
        <w:rPr>
          <w:b/>
          <w:color w:val="00B050"/>
          <w:szCs w:val="24"/>
        </w:rPr>
        <w:t xml:space="preserve"> </w:t>
      </w:r>
      <w:r w:rsidRPr="009A2D8F">
        <w:rPr>
          <w:b/>
          <w:strike/>
          <w:color w:val="00B050"/>
          <w:szCs w:val="24"/>
        </w:rPr>
        <w:t>e)</w:t>
      </w:r>
      <w:r w:rsidRPr="009A2D8F">
        <w:rPr>
          <w:b/>
          <w:color w:val="00B050"/>
          <w:szCs w:val="24"/>
        </w:rPr>
        <w:t xml:space="preserve"> d)</w:t>
      </w:r>
      <w:r w:rsidRPr="009A2D8F">
        <w:rPr>
          <w:color w:val="00B050"/>
          <w:szCs w:val="24"/>
        </w:rPr>
        <w:tab/>
      </w:r>
      <w:r w:rsidRPr="006B40B4">
        <w:rPr>
          <w:szCs w:val="24"/>
        </w:rPr>
        <w:t>osobním automobilem dopravní prostředek, který má v registru silničních vozidel</w:t>
      </w:r>
      <w:r w:rsidRPr="006B40B4">
        <w:rPr>
          <w:b/>
          <w:color w:val="7030A0"/>
          <w:szCs w:val="24"/>
        </w:rPr>
        <w:t xml:space="preserve"> </w:t>
      </w:r>
      <w:r w:rsidRPr="006B40B4">
        <w:rPr>
          <w:szCs w:val="24"/>
        </w:rPr>
        <w:t>zapsanou kategorii M1 nebo M1G; pokud zápis kategorie chybí, vymezuje se tato kategorie zvláštním právním předpisem</w:t>
      </w:r>
      <w:r w:rsidR="00E4236C">
        <w:rPr>
          <w:rStyle w:val="Znakapoznpodarou"/>
          <w:szCs w:val="24"/>
        </w:rPr>
        <w:footnoteReference w:customMarkFollows="1" w:id="452"/>
        <w:t>4a)</w:t>
      </w:r>
      <w:r w:rsidRPr="006B40B4">
        <w:rPr>
          <w:szCs w:val="24"/>
        </w:rPr>
        <w:t>,</w:t>
      </w:r>
    </w:p>
    <w:p w14:paraId="4776E1AA" w14:textId="77777777" w:rsidR="00E55F2A" w:rsidRPr="006B40B4" w:rsidRDefault="00E55F2A" w:rsidP="007D5326">
      <w:pPr>
        <w:pStyle w:val="PZTextpsmene"/>
        <w:spacing w:before="0"/>
        <w:rPr>
          <w:szCs w:val="24"/>
        </w:rPr>
      </w:pPr>
      <w:r w:rsidRPr="009A2D8F">
        <w:rPr>
          <w:strike/>
          <w:color w:val="00B050"/>
          <w:szCs w:val="24"/>
        </w:rPr>
        <w:lastRenderedPageBreak/>
        <w:t>g)</w:t>
      </w:r>
      <w:r w:rsidRPr="009A2D8F">
        <w:rPr>
          <w:b/>
          <w:color w:val="00B050"/>
          <w:szCs w:val="24"/>
        </w:rPr>
        <w:t xml:space="preserve"> </w:t>
      </w:r>
      <w:r w:rsidRPr="009A2D8F">
        <w:rPr>
          <w:b/>
          <w:strike/>
          <w:color w:val="00B050"/>
          <w:szCs w:val="24"/>
        </w:rPr>
        <w:t>f)</w:t>
      </w:r>
      <w:r w:rsidRPr="009A2D8F">
        <w:rPr>
          <w:b/>
          <w:color w:val="00B050"/>
          <w:szCs w:val="24"/>
        </w:rPr>
        <w:t xml:space="preserve"> e)</w:t>
      </w:r>
      <w:r w:rsidRPr="009A2D8F">
        <w:rPr>
          <w:color w:val="00B050"/>
          <w:szCs w:val="24"/>
        </w:rPr>
        <w:tab/>
      </w:r>
      <w:r w:rsidRPr="006B40B4">
        <w:rPr>
          <w:szCs w:val="24"/>
        </w:rPr>
        <w:t>nájmem také podnájem, pacht a </w:t>
      </w:r>
      <w:proofErr w:type="spellStart"/>
      <w:r w:rsidRPr="006B40B4">
        <w:rPr>
          <w:szCs w:val="24"/>
        </w:rPr>
        <w:t>podpacht</w:t>
      </w:r>
      <w:proofErr w:type="spellEnd"/>
      <w:r w:rsidRPr="006B40B4">
        <w:rPr>
          <w:szCs w:val="24"/>
        </w:rPr>
        <w:t>; nájmem se rozumí také zřízení, trvání nebo zánik věcného břemene zřízeného k nemovité věci, pokud jsou naplněny znaky nájmu,</w:t>
      </w:r>
    </w:p>
    <w:p w14:paraId="36BC05A8" w14:textId="77777777" w:rsidR="00E55F2A" w:rsidRPr="006B40B4" w:rsidRDefault="00E55F2A" w:rsidP="007D5326">
      <w:pPr>
        <w:pStyle w:val="PZTextpsmene"/>
        <w:spacing w:before="0"/>
        <w:rPr>
          <w:szCs w:val="24"/>
        </w:rPr>
      </w:pPr>
      <w:r w:rsidRPr="009A2D8F">
        <w:rPr>
          <w:strike/>
          <w:color w:val="00B050"/>
          <w:szCs w:val="24"/>
        </w:rPr>
        <w:t>h)</w:t>
      </w:r>
      <w:r w:rsidRPr="009A2D8F">
        <w:rPr>
          <w:b/>
          <w:strike/>
          <w:color w:val="00B050"/>
          <w:szCs w:val="24"/>
        </w:rPr>
        <w:t xml:space="preserve"> g) f)</w:t>
      </w:r>
      <w:r w:rsidRPr="009A2D8F">
        <w:rPr>
          <w:color w:val="00B050"/>
          <w:szCs w:val="24"/>
        </w:rPr>
        <w:tab/>
      </w:r>
      <w:r w:rsidRPr="006B40B4">
        <w:rPr>
          <w:szCs w:val="24"/>
        </w:rPr>
        <w:t>přepravou zboží také přeprava peněz a cenných papírů.</w:t>
      </w:r>
    </w:p>
    <w:p w14:paraId="6631E222" w14:textId="77777777" w:rsidR="00E55F2A" w:rsidRPr="006B40B4" w:rsidRDefault="00E55F2A" w:rsidP="007D5326">
      <w:pPr>
        <w:pStyle w:val="PZTextpsmene"/>
        <w:spacing w:before="0"/>
        <w:rPr>
          <w:szCs w:val="24"/>
        </w:rPr>
      </w:pPr>
      <w:r w:rsidRPr="009A2D8F">
        <w:rPr>
          <w:strike/>
          <w:color w:val="00B050"/>
          <w:szCs w:val="24"/>
        </w:rPr>
        <w:t>i)</w:t>
      </w:r>
      <w:r w:rsidRPr="009A2D8F">
        <w:rPr>
          <w:b/>
          <w:color w:val="00B050"/>
          <w:szCs w:val="24"/>
        </w:rPr>
        <w:t xml:space="preserve"> </w:t>
      </w:r>
      <w:r w:rsidRPr="009A2D8F">
        <w:rPr>
          <w:b/>
          <w:strike/>
          <w:color w:val="00B050"/>
          <w:szCs w:val="24"/>
        </w:rPr>
        <w:t>h)</w:t>
      </w:r>
      <w:r w:rsidRPr="009A2D8F">
        <w:rPr>
          <w:b/>
          <w:color w:val="00B050"/>
          <w:szCs w:val="24"/>
        </w:rPr>
        <w:t xml:space="preserve"> g)</w:t>
      </w:r>
      <w:r w:rsidRPr="006B40B4">
        <w:rPr>
          <w:szCs w:val="24"/>
        </w:rPr>
        <w:tab/>
        <w:t>dodáním zboží s instalací nebo montáží dodání zboží spojené s instalací nebo montáží osobou povinnou k dani, která zboží dodává, nebo jí zmocněnou třetí osobou,</w:t>
      </w:r>
    </w:p>
    <w:p w14:paraId="22BD25F8" w14:textId="77777777" w:rsidR="00E55F2A" w:rsidRPr="006B40B4" w:rsidRDefault="00E55F2A" w:rsidP="007D5326">
      <w:pPr>
        <w:pStyle w:val="PZTextpsmene"/>
        <w:spacing w:before="0"/>
        <w:rPr>
          <w:szCs w:val="24"/>
        </w:rPr>
      </w:pPr>
      <w:r w:rsidRPr="009A2D8F">
        <w:rPr>
          <w:strike/>
          <w:color w:val="00B050"/>
          <w:szCs w:val="24"/>
        </w:rPr>
        <w:t>j)</w:t>
      </w:r>
      <w:r w:rsidRPr="009A2D8F">
        <w:rPr>
          <w:b/>
          <w:color w:val="00B050"/>
          <w:szCs w:val="24"/>
        </w:rPr>
        <w:t xml:space="preserve"> </w:t>
      </w:r>
      <w:r w:rsidRPr="009A2D8F">
        <w:rPr>
          <w:b/>
          <w:strike/>
          <w:color w:val="00B050"/>
          <w:szCs w:val="24"/>
        </w:rPr>
        <w:t>i)</w:t>
      </w:r>
      <w:r w:rsidRPr="009A2D8F">
        <w:rPr>
          <w:b/>
          <w:color w:val="00B050"/>
          <w:szCs w:val="24"/>
        </w:rPr>
        <w:t xml:space="preserve"> h)</w:t>
      </w:r>
      <w:r w:rsidRPr="006B40B4">
        <w:rPr>
          <w:szCs w:val="24"/>
        </w:rPr>
        <w:tab/>
        <w:t>dodáním zboží soustavami nebo sítěmi dodání</w:t>
      </w:r>
    </w:p>
    <w:p w14:paraId="4D6658FC" w14:textId="77777777" w:rsidR="00E55F2A" w:rsidRPr="006B40B4" w:rsidRDefault="00E55F2A" w:rsidP="007D5326">
      <w:pPr>
        <w:pStyle w:val="PZTextbodu"/>
        <w:spacing w:before="0"/>
        <w:rPr>
          <w:szCs w:val="24"/>
        </w:rPr>
      </w:pPr>
      <w:r w:rsidRPr="006B40B4">
        <w:rPr>
          <w:szCs w:val="24"/>
        </w:rPr>
        <w:t>1.</w:t>
      </w:r>
      <w:r w:rsidRPr="006B40B4">
        <w:rPr>
          <w:szCs w:val="24"/>
        </w:rPr>
        <w:tab/>
        <w:t>plynu prostřednictvím přepravní nebo distribuční soustavy nacházející se na území Evropské unie anebo jakékoli sítě k takové soustavě připojené,</w:t>
      </w:r>
    </w:p>
    <w:p w14:paraId="6A7096BB" w14:textId="77777777" w:rsidR="00E55F2A" w:rsidRDefault="00E55F2A" w:rsidP="007D5326">
      <w:pPr>
        <w:pStyle w:val="PZTextbodu"/>
        <w:spacing w:before="0"/>
        <w:rPr>
          <w:szCs w:val="24"/>
        </w:rPr>
      </w:pPr>
      <w:r w:rsidRPr="006B40B4">
        <w:rPr>
          <w:szCs w:val="24"/>
        </w:rPr>
        <w:t>2.</w:t>
      </w:r>
      <w:r w:rsidRPr="006B40B4">
        <w:rPr>
          <w:szCs w:val="24"/>
        </w:rPr>
        <w:tab/>
        <w:t>elektřiny, tepla nebo chladu sítěmi.</w:t>
      </w:r>
    </w:p>
    <w:p w14:paraId="28F7A408" w14:textId="77777777" w:rsidR="00E4236C" w:rsidRPr="00E4236C" w:rsidRDefault="00E4236C" w:rsidP="00E4236C">
      <w:pPr>
        <w:tabs>
          <w:tab w:val="left" w:pos="782"/>
          <w:tab w:val="left" w:pos="851"/>
        </w:tabs>
        <w:spacing w:before="120" w:after="120"/>
        <w:outlineLvl w:val="6"/>
      </w:pPr>
      <w:r w:rsidRPr="00E4236C">
        <w:t>(5)</w:t>
      </w:r>
      <w:r w:rsidRPr="00E4236C">
        <w:tab/>
        <w:t>Přemístěním zboží se pro účely tohoto zákona rozumí odeslání nebo přeprava zboží, které je součástí obchodního majetku osoby povinné k dani, mezi členskými státy do členského státu, do něhož je zboží odesláno nebo přepraveno pro účely uskutečňování ekonomické činnosti této osoby, pokud je toto zboží odesláno nebo přepraveno touto osobou nebo jí zmocněnou třetí osobou.</w:t>
      </w:r>
    </w:p>
    <w:p w14:paraId="3F5C8C97" w14:textId="77777777" w:rsidR="00E4236C" w:rsidRPr="00E4236C" w:rsidRDefault="00E4236C" w:rsidP="00E4236C">
      <w:pPr>
        <w:tabs>
          <w:tab w:val="left" w:pos="782"/>
          <w:tab w:val="left" w:pos="851"/>
        </w:tabs>
        <w:spacing w:before="120" w:after="120"/>
        <w:outlineLvl w:val="6"/>
      </w:pPr>
      <w:r w:rsidRPr="00E4236C">
        <w:t>(6)</w:t>
      </w:r>
      <w:r w:rsidRPr="00E4236C">
        <w:tab/>
        <w:t>Za přemístění zboží se pro účely tohoto zákona nepovažuje odeslání nebo přeprava zboží pro účely</w:t>
      </w:r>
    </w:p>
    <w:p w14:paraId="5C8A53D9" w14:textId="77777777" w:rsidR="00E4236C" w:rsidRPr="00E4236C" w:rsidRDefault="00E4236C" w:rsidP="00E4236C">
      <w:pPr>
        <w:spacing w:before="0"/>
        <w:ind w:left="425" w:hanging="425"/>
        <w:outlineLvl w:val="7"/>
      </w:pPr>
      <w:r w:rsidRPr="00E4236C">
        <w:t>a)</w:t>
      </w:r>
      <w:r w:rsidRPr="00E4236C">
        <w:tab/>
        <w:t>prodeje zboží na dálku do členského státu ukončení odeslání nebo přepravy zboží,</w:t>
      </w:r>
    </w:p>
    <w:p w14:paraId="41BF8140" w14:textId="77777777" w:rsidR="00E4236C" w:rsidRPr="00E4236C" w:rsidRDefault="00E4236C" w:rsidP="00E4236C">
      <w:pPr>
        <w:spacing w:before="0"/>
        <w:ind w:left="425" w:hanging="425"/>
        <w:outlineLvl w:val="7"/>
      </w:pPr>
      <w:r w:rsidRPr="00E4236C">
        <w:t>b)</w:t>
      </w:r>
      <w:r w:rsidRPr="00E4236C">
        <w:tab/>
        <w:t>dodání zboží s instalací nebo montáží v členském státě ukončení odeslání nebo přepravy zboží,</w:t>
      </w:r>
    </w:p>
    <w:p w14:paraId="6ACE50C9" w14:textId="77777777" w:rsidR="00E4236C" w:rsidRPr="00E4236C" w:rsidRDefault="00E4236C" w:rsidP="00E4236C">
      <w:pPr>
        <w:spacing w:before="0"/>
        <w:ind w:left="425" w:hanging="425"/>
        <w:outlineLvl w:val="7"/>
      </w:pPr>
      <w:r w:rsidRPr="00E4236C">
        <w:t>c)</w:t>
      </w:r>
      <w:r w:rsidRPr="00E4236C">
        <w:tab/>
        <w:t>dodání zboží na palubě lodi, letadla nebo vlaku během přepravy osob uskutečněné na území Evropské unie,</w:t>
      </w:r>
    </w:p>
    <w:p w14:paraId="07FE1560" w14:textId="77777777" w:rsidR="00E4236C" w:rsidRPr="00E4236C" w:rsidRDefault="00E4236C" w:rsidP="00E4236C">
      <w:pPr>
        <w:spacing w:before="0"/>
        <w:ind w:left="425" w:hanging="425"/>
        <w:outlineLvl w:val="7"/>
      </w:pPr>
      <w:r w:rsidRPr="00E4236C">
        <w:t>d)</w:t>
      </w:r>
      <w:r w:rsidRPr="00E4236C">
        <w:tab/>
        <w:t>dodání zboží soustavami nebo sítěmi,</w:t>
      </w:r>
    </w:p>
    <w:p w14:paraId="3986BC26" w14:textId="77777777" w:rsidR="00E4236C" w:rsidRPr="00E4236C" w:rsidRDefault="00E4236C" w:rsidP="00E4236C">
      <w:pPr>
        <w:spacing w:before="0"/>
        <w:ind w:left="425" w:hanging="425"/>
        <w:outlineLvl w:val="7"/>
      </w:pPr>
      <w:r w:rsidRPr="00E4236C">
        <w:t>e)</w:t>
      </w:r>
      <w:r w:rsidRPr="00E4236C">
        <w:tab/>
        <w:t>uskutečnění plnění osvobozeného od daně podle § 64, 66 nebo 68, nebo obdobně osvobozeného od daně podle právního předpisu členského státu zahájení odeslání nebo přepravy zboží,</w:t>
      </w:r>
    </w:p>
    <w:p w14:paraId="00ECC118" w14:textId="77777777" w:rsidR="00E4236C" w:rsidRPr="00E4236C" w:rsidRDefault="00E4236C" w:rsidP="00E4236C">
      <w:pPr>
        <w:spacing w:before="0"/>
        <w:ind w:left="425" w:hanging="425"/>
        <w:outlineLvl w:val="7"/>
      </w:pPr>
      <w:r w:rsidRPr="00E4236C">
        <w:t>f)</w:t>
      </w:r>
      <w:r w:rsidRPr="00E4236C">
        <w:tab/>
        <w:t>poskytnutí služby pro osobu povinnou k dani, zahrnující práce na zboží fyzicky uskutečněné v členském státě ukončení odeslání nebo přepravy zboží za podmínky, že zboží po provedení prací je vráceno zpět osobě povinné k dani do členského státu, ze kterého bylo zboží původně odesláno nebo přepraveno,</w:t>
      </w:r>
    </w:p>
    <w:p w14:paraId="15B86D8B" w14:textId="77777777" w:rsidR="00E4236C" w:rsidRPr="00E4236C" w:rsidRDefault="00E4236C" w:rsidP="00E4236C">
      <w:pPr>
        <w:spacing w:before="0"/>
        <w:ind w:left="425" w:hanging="425"/>
        <w:outlineLvl w:val="7"/>
      </w:pPr>
      <w:r w:rsidRPr="00E4236C">
        <w:t>g)</w:t>
      </w:r>
      <w:r w:rsidRPr="00E4236C">
        <w:tab/>
        <w:t>přechodného užití zboží v členském státě ukončení odeslání nebo přepravy zboží pro účely poskytnutí služby osobou povinnou k dani, nebo</w:t>
      </w:r>
    </w:p>
    <w:p w14:paraId="5F4F2D56" w14:textId="77777777" w:rsidR="00E4236C" w:rsidRPr="00E4236C" w:rsidRDefault="00E4236C" w:rsidP="00E4236C">
      <w:pPr>
        <w:spacing w:before="0"/>
        <w:ind w:left="425" w:hanging="425"/>
        <w:outlineLvl w:val="7"/>
      </w:pPr>
      <w:r w:rsidRPr="00E4236C">
        <w:t>h)</w:t>
      </w:r>
      <w:r w:rsidRPr="00E4236C">
        <w:tab/>
        <w:t>přechodného užití zboží na dobu nepřekračující 24 měsíců na území členského státu, ve kterém by se na dovoz stejného zboží ze třetí země pro přechodné užití vztahoval celní režim dočasného použití s úplným osvobozením od cla.</w:t>
      </w:r>
    </w:p>
    <w:p w14:paraId="7B8B184A" w14:textId="77777777" w:rsidR="00E4236C" w:rsidRPr="00E4236C" w:rsidRDefault="00E4236C" w:rsidP="00E4236C">
      <w:pPr>
        <w:tabs>
          <w:tab w:val="left" w:pos="782"/>
          <w:tab w:val="left" w:pos="851"/>
        </w:tabs>
        <w:spacing w:before="120" w:after="120"/>
        <w:outlineLvl w:val="6"/>
      </w:pPr>
      <w:r w:rsidRPr="00E4236C">
        <w:t>(7)</w:t>
      </w:r>
      <w:r w:rsidRPr="00E4236C">
        <w:tab/>
        <w:t>Nejde-li nadále o odeslání nebo přepravu zboží pro účely, pro které se odeslání nebo přeprava zboží nepovažují podle odstavce 6 za přemístění zboží, považují se takové odeslání nebo přeprava zboží za přemístění zboží. V takovém případě se má za to, že přemístění zboží nastává v okamžiku, kdy dotčená podmínka přestane být plněna.</w:t>
      </w:r>
    </w:p>
    <w:p w14:paraId="222FC186" w14:textId="77777777" w:rsidR="00E4236C" w:rsidRPr="00E4236C" w:rsidRDefault="00E4236C" w:rsidP="00E4236C">
      <w:pPr>
        <w:tabs>
          <w:tab w:val="left" w:pos="782"/>
          <w:tab w:val="left" w:pos="851"/>
        </w:tabs>
        <w:spacing w:before="120" w:after="120"/>
        <w:outlineLvl w:val="6"/>
      </w:pPr>
      <w:r w:rsidRPr="00E4236C">
        <w:t>(8)</w:t>
      </w:r>
      <w:r w:rsidRPr="00E4236C">
        <w:tab/>
        <w:t>Pro přepočet cizí měny na českou měnu se použije kurz platný pro osobu provádějící přepočet ke dni vzniku povinnosti přiznat daň, nebo přiznat uskutečnění plnění, a to</w:t>
      </w:r>
    </w:p>
    <w:p w14:paraId="1D200839" w14:textId="77777777" w:rsidR="00E4236C" w:rsidRPr="00E4236C" w:rsidRDefault="00E4236C" w:rsidP="00E4236C">
      <w:pPr>
        <w:spacing w:before="0"/>
        <w:ind w:left="425" w:hanging="425"/>
        <w:outlineLvl w:val="7"/>
      </w:pPr>
      <w:r w:rsidRPr="00E4236C">
        <w:t>a)</w:t>
      </w:r>
      <w:r w:rsidRPr="00E4236C">
        <w:tab/>
        <w:t>kurz devizového trhu vyhlášený Českou národní bankou, nebo</w:t>
      </w:r>
    </w:p>
    <w:p w14:paraId="70E844AD" w14:textId="77777777" w:rsidR="00E4236C" w:rsidRPr="00E4236C" w:rsidRDefault="00E4236C" w:rsidP="00E4236C">
      <w:pPr>
        <w:spacing w:before="0"/>
        <w:ind w:left="425" w:hanging="425"/>
        <w:outlineLvl w:val="7"/>
      </w:pPr>
      <w:r w:rsidRPr="00E4236C">
        <w:t>b)</w:t>
      </w:r>
      <w:r w:rsidRPr="00E4236C">
        <w:tab/>
        <w:t>poslední směnný kurz zveřejněný Evropskou centrální bankou; přepočet mezi měnami jinými než euro se provede za použití směnného kurzu každé z těchto měn vůči euru.</w:t>
      </w:r>
    </w:p>
    <w:p w14:paraId="199F961D" w14:textId="77777777" w:rsidR="00E4236C" w:rsidRPr="00E4236C" w:rsidRDefault="00E4236C" w:rsidP="00E4236C">
      <w:pPr>
        <w:tabs>
          <w:tab w:val="left" w:pos="782"/>
          <w:tab w:val="left" w:pos="851"/>
        </w:tabs>
        <w:spacing w:before="120" w:after="120"/>
        <w:outlineLvl w:val="6"/>
      </w:pPr>
      <w:r w:rsidRPr="00E4236C">
        <w:lastRenderedPageBreak/>
        <w:t>(9)</w:t>
      </w:r>
      <w:r w:rsidRPr="00E4236C">
        <w:tab/>
        <w:t>Prodejem zboží na dálku se pro účely tohoto zákona rozumí dodání zboží, pokud</w:t>
      </w:r>
    </w:p>
    <w:p w14:paraId="1A4E945B" w14:textId="77777777" w:rsidR="00E4236C" w:rsidRPr="00E4236C" w:rsidRDefault="00E4236C" w:rsidP="00E4236C">
      <w:pPr>
        <w:spacing w:before="0"/>
        <w:ind w:left="425" w:hanging="425"/>
        <w:outlineLvl w:val="7"/>
      </w:pPr>
      <w:r w:rsidRPr="00E4236C">
        <w:t>a)</w:t>
      </w:r>
      <w:r w:rsidRPr="00E4236C">
        <w:tab/>
        <w:t>je zboží odesláno nebo přepraveno z členského státu odlišného od členského státu ukončení jeho odeslání nebo přepravy</w:t>
      </w:r>
    </w:p>
    <w:p w14:paraId="539E14EA" w14:textId="77777777" w:rsidR="00E4236C" w:rsidRPr="00E4236C" w:rsidRDefault="00E4236C" w:rsidP="00E4236C">
      <w:pPr>
        <w:tabs>
          <w:tab w:val="left" w:pos="851"/>
        </w:tabs>
        <w:spacing w:before="0"/>
        <w:ind w:left="850" w:hanging="425"/>
        <w:outlineLvl w:val="8"/>
      </w:pPr>
      <w:r w:rsidRPr="00E4236C">
        <w:t>1.</w:t>
      </w:r>
      <w:r w:rsidRPr="00E4236C">
        <w:tab/>
        <w:t>osobou povinnou k dani, která zboží dodává, nebo</w:t>
      </w:r>
    </w:p>
    <w:p w14:paraId="72953523" w14:textId="77777777" w:rsidR="00E4236C" w:rsidRPr="00E4236C" w:rsidRDefault="00E4236C" w:rsidP="00E4236C">
      <w:pPr>
        <w:tabs>
          <w:tab w:val="left" w:pos="851"/>
        </w:tabs>
        <w:spacing w:before="0"/>
        <w:ind w:left="850" w:hanging="425"/>
        <w:outlineLvl w:val="8"/>
      </w:pPr>
      <w:r w:rsidRPr="00E4236C">
        <w:t>2.</w:t>
      </w:r>
      <w:r w:rsidRPr="00E4236C">
        <w:tab/>
        <w:t>třetí osobou, zasahuje-li podle přímo použitelného předpisu Evropské unie, kterým se stanoví prováděcí opatření ke směrnici o společném systému daně z přidané hodnoty</w:t>
      </w:r>
      <w:r w:rsidRPr="00E4236C">
        <w:rPr>
          <w:vertAlign w:val="superscript"/>
        </w:rPr>
        <w:t>7e)</w:t>
      </w:r>
      <w:r w:rsidRPr="00E4236C">
        <w:t>, osoba povinná k dani, která zboží dodává, do tohoto odeslání nebo přepravy,</w:t>
      </w:r>
    </w:p>
    <w:p w14:paraId="612481A4" w14:textId="77777777" w:rsidR="00E4236C" w:rsidRPr="00E4236C" w:rsidRDefault="00E4236C" w:rsidP="00E4236C">
      <w:pPr>
        <w:spacing w:before="0"/>
        <w:ind w:left="425" w:hanging="425"/>
        <w:outlineLvl w:val="7"/>
      </w:pPr>
      <w:r w:rsidRPr="00E4236C">
        <w:t>b)</w:t>
      </w:r>
      <w:r w:rsidRPr="00E4236C">
        <w:tab/>
        <w:t>je zboží dodáno osobě, pro kterou pořízení zboží není v členském státě ukončení jeho odeslání nebo přepravy předmětem daně, a</w:t>
      </w:r>
    </w:p>
    <w:p w14:paraId="508E4938" w14:textId="77777777" w:rsidR="00E4236C" w:rsidRPr="00E4236C" w:rsidRDefault="00E4236C" w:rsidP="00E4236C">
      <w:pPr>
        <w:spacing w:before="0"/>
        <w:ind w:left="425" w:hanging="425"/>
        <w:outlineLvl w:val="7"/>
      </w:pPr>
      <w:r w:rsidRPr="00E4236C">
        <w:t>c)</w:t>
      </w:r>
      <w:r w:rsidRPr="00E4236C">
        <w:tab/>
        <w:t>nejde o dodání nového dopravního prostředku ani o dodání zboží s instalací nebo montáží.</w:t>
      </w:r>
    </w:p>
    <w:p w14:paraId="38844485" w14:textId="77777777" w:rsidR="00E4236C" w:rsidRPr="00E4236C" w:rsidRDefault="00E4236C" w:rsidP="00E4236C">
      <w:pPr>
        <w:tabs>
          <w:tab w:val="left" w:pos="782"/>
          <w:tab w:val="left" w:pos="851"/>
        </w:tabs>
        <w:spacing w:before="120" w:after="120"/>
        <w:outlineLvl w:val="6"/>
      </w:pPr>
      <w:r w:rsidRPr="00E4236C">
        <w:t>(10)</w:t>
      </w:r>
      <w:r w:rsidRPr="00E4236C">
        <w:tab/>
        <w:t>Prodejem dovezeného zboží na dálku se pro účely tohoto zákona rozumí prodej zboží na dálku s tím, že je zboží odesláno nebo přepraveno ze třetí země na území Evropské unie.</w:t>
      </w:r>
    </w:p>
    <w:p w14:paraId="2B5460A3" w14:textId="45458705" w:rsidR="00E55F2A" w:rsidRPr="00986E61" w:rsidRDefault="00E55F2A" w:rsidP="00E4236C">
      <w:pPr>
        <w:tabs>
          <w:tab w:val="left" w:pos="782"/>
          <w:tab w:val="left" w:pos="851"/>
        </w:tabs>
        <w:spacing w:before="120" w:after="120"/>
        <w:outlineLvl w:val="6"/>
        <w:rPr>
          <w:b/>
          <w:szCs w:val="24"/>
        </w:rPr>
      </w:pPr>
      <w:r w:rsidRPr="00986E61">
        <w:rPr>
          <w:b/>
          <w:szCs w:val="24"/>
        </w:rPr>
        <w:t xml:space="preserve">(11) Stálé hmotné aktivum přenechané k užití na základě smlouvy, pokud je ujednáno a ke dni uzavření této smlouvy je zřejmé, že vlastnické právo k užívanému aktivu bude za obvyklých okolností převedeno na jeho uživatele, se pro účely daně z přidané hodnoty považuje za dlouhodobý majetek </w:t>
      </w:r>
      <w:r>
        <w:rPr>
          <w:b/>
          <w:szCs w:val="24"/>
        </w:rPr>
        <w:t xml:space="preserve">tohoto </w:t>
      </w:r>
      <w:r w:rsidRPr="00986E61">
        <w:rPr>
          <w:b/>
          <w:szCs w:val="24"/>
        </w:rPr>
        <w:t>uživatele.</w:t>
      </w:r>
    </w:p>
    <w:p w14:paraId="5F0C2242" w14:textId="77777777" w:rsidR="00E55F2A" w:rsidRDefault="00E55F2A" w:rsidP="00E55F2A">
      <w:pPr>
        <w:pStyle w:val="nadpis"/>
        <w:outlineLvl w:val="9"/>
      </w:pPr>
      <w:r>
        <w:t>***</w:t>
      </w:r>
    </w:p>
    <w:p w14:paraId="6F8B1E08" w14:textId="77777777" w:rsidR="00E55F2A" w:rsidRDefault="00E55F2A" w:rsidP="00E55F2A">
      <w:pPr>
        <w:pStyle w:val="Paragraf"/>
        <w:spacing w:after="240"/>
      </w:pPr>
      <w:r>
        <w:t>§ 13</w:t>
      </w:r>
    </w:p>
    <w:p w14:paraId="470C13DD" w14:textId="77777777" w:rsidR="00E55F2A" w:rsidRPr="005A587D" w:rsidRDefault="00E55F2A" w:rsidP="00E55F2A">
      <w:pPr>
        <w:pStyle w:val="Nadpisparagrafu"/>
        <w:numPr>
          <w:ilvl w:val="0"/>
          <w:numId w:val="39"/>
        </w:numPr>
      </w:pPr>
      <w:r>
        <w:t>Dodání zboží</w:t>
      </w:r>
    </w:p>
    <w:p w14:paraId="09009435" w14:textId="77777777" w:rsidR="005329E9" w:rsidRDefault="005329E9" w:rsidP="005329E9">
      <w:pPr>
        <w:pStyle w:val="PZTextodstavce"/>
      </w:pPr>
      <w:r w:rsidRPr="00136DE5">
        <w:t>(1</w:t>
      </w:r>
      <w:r>
        <w:t>)</w:t>
      </w:r>
      <w:r>
        <w:tab/>
      </w:r>
      <w:r w:rsidRPr="00136DE5">
        <w:t>Dodáním</w:t>
      </w:r>
      <w:r>
        <w:t xml:space="preserve"> </w:t>
      </w:r>
      <w:r w:rsidRPr="00136DE5">
        <w:t>zboží</w:t>
      </w:r>
      <w:r>
        <w:t xml:space="preserve"> </w:t>
      </w:r>
      <w:r w:rsidRPr="00136DE5">
        <w:t>se</w:t>
      </w:r>
      <w:r>
        <w:t xml:space="preserve"> </w:t>
      </w:r>
      <w:r w:rsidRPr="00136DE5">
        <w:t>pro</w:t>
      </w:r>
      <w:r>
        <w:t xml:space="preserve"> </w:t>
      </w:r>
      <w:r w:rsidRPr="00136DE5">
        <w:t>účely</w:t>
      </w:r>
      <w:r>
        <w:t xml:space="preserve"> </w:t>
      </w:r>
      <w:r w:rsidRPr="00136DE5">
        <w:t>tohoto</w:t>
      </w:r>
      <w:r>
        <w:t xml:space="preserve"> </w:t>
      </w:r>
      <w:r w:rsidRPr="00136DE5">
        <w:t>zákona</w:t>
      </w:r>
      <w:r>
        <w:t xml:space="preserve"> </w:t>
      </w:r>
      <w:r w:rsidRPr="00136DE5">
        <w:t>rozumí</w:t>
      </w:r>
      <w:r>
        <w:t xml:space="preserve"> </w:t>
      </w:r>
      <w:r w:rsidRPr="00136DE5">
        <w:t>převod</w:t>
      </w:r>
      <w:r>
        <w:t xml:space="preserve"> </w:t>
      </w:r>
      <w:r w:rsidRPr="00136DE5">
        <w:t>práva</w:t>
      </w:r>
      <w:r>
        <w:t xml:space="preserve"> </w:t>
      </w:r>
      <w:r w:rsidRPr="00136DE5">
        <w:t>nakládat</w:t>
      </w:r>
      <w:r>
        <w:t xml:space="preserve"> </w:t>
      </w:r>
      <w:r w:rsidRPr="00136DE5">
        <w:t>se</w:t>
      </w:r>
      <w:r>
        <w:t xml:space="preserve"> </w:t>
      </w:r>
      <w:r w:rsidRPr="00136DE5">
        <w:t>zbožím</w:t>
      </w:r>
      <w:r>
        <w:t xml:space="preserve"> </w:t>
      </w:r>
      <w:r w:rsidRPr="00136DE5">
        <w:t>jako</w:t>
      </w:r>
      <w:r>
        <w:t xml:space="preserve"> </w:t>
      </w:r>
      <w:r w:rsidRPr="00136DE5">
        <w:t>vlastník.</w:t>
      </w:r>
    </w:p>
    <w:p w14:paraId="76426A26" w14:textId="77777777" w:rsidR="005329E9" w:rsidRDefault="005329E9" w:rsidP="005329E9">
      <w:pPr>
        <w:pStyle w:val="PZTextodstavce"/>
      </w:pPr>
      <w:r w:rsidRPr="00136DE5">
        <w:t>(2</w:t>
      </w:r>
      <w:r>
        <w:t>)</w:t>
      </w:r>
      <w:r>
        <w:tab/>
      </w:r>
      <w:r w:rsidRPr="00136DE5">
        <w:t>Dodáním</w:t>
      </w:r>
      <w:r>
        <w:t xml:space="preserve"> </w:t>
      </w:r>
      <w:r w:rsidRPr="00136DE5">
        <w:t>zboží</w:t>
      </w:r>
      <w:r>
        <w:t xml:space="preserve"> </w:t>
      </w:r>
      <w:r w:rsidRPr="00136DE5">
        <w:t>do</w:t>
      </w:r>
      <w:r>
        <w:t xml:space="preserve"> </w:t>
      </w:r>
      <w:r w:rsidRPr="00136DE5">
        <w:t>jiného</w:t>
      </w:r>
      <w:r>
        <w:t xml:space="preserve"> </w:t>
      </w:r>
      <w:r w:rsidRPr="00136DE5">
        <w:t>členského</w:t>
      </w:r>
      <w:r>
        <w:t xml:space="preserve"> </w:t>
      </w:r>
      <w:r w:rsidRPr="00136DE5">
        <w:t>státu</w:t>
      </w:r>
      <w:r>
        <w:t xml:space="preserve"> </w:t>
      </w:r>
      <w:r w:rsidRPr="00136DE5">
        <w:t>se</w:t>
      </w:r>
      <w:r>
        <w:t xml:space="preserve"> </w:t>
      </w:r>
      <w:r w:rsidRPr="00136DE5">
        <w:t>pro</w:t>
      </w:r>
      <w:r>
        <w:t xml:space="preserve"> </w:t>
      </w:r>
      <w:r w:rsidRPr="00136DE5">
        <w:t>účely</w:t>
      </w:r>
      <w:r>
        <w:t xml:space="preserve"> </w:t>
      </w:r>
      <w:r w:rsidRPr="00136DE5">
        <w:t>tohoto</w:t>
      </w:r>
      <w:r>
        <w:t xml:space="preserve"> </w:t>
      </w:r>
      <w:r w:rsidRPr="00136DE5">
        <w:t>zákona</w:t>
      </w:r>
      <w:r>
        <w:t xml:space="preserve"> </w:t>
      </w:r>
      <w:r w:rsidRPr="00136DE5">
        <w:t>rozumí</w:t>
      </w:r>
      <w:r>
        <w:t xml:space="preserve"> </w:t>
      </w:r>
      <w:r w:rsidRPr="00136DE5">
        <w:t>dodání</w:t>
      </w:r>
      <w:r>
        <w:t xml:space="preserve"> </w:t>
      </w:r>
      <w:r w:rsidRPr="00136DE5">
        <w:t>zboží,</w:t>
      </w:r>
      <w:r>
        <w:t xml:space="preserve"> </w:t>
      </w:r>
      <w:r w:rsidRPr="00136DE5">
        <w:t>které</w:t>
      </w:r>
      <w:r>
        <w:t xml:space="preserve"> </w:t>
      </w:r>
      <w:r w:rsidRPr="00136DE5">
        <w:t>je</w:t>
      </w:r>
      <w:r>
        <w:t xml:space="preserve"> </w:t>
      </w:r>
      <w:r w:rsidRPr="00136DE5">
        <w:t>skutečně</w:t>
      </w:r>
      <w:r>
        <w:t xml:space="preserve"> </w:t>
      </w:r>
      <w:r w:rsidRPr="00136DE5">
        <w:t>odesláno</w:t>
      </w:r>
      <w:r>
        <w:t xml:space="preserve"> </w:t>
      </w:r>
      <w:r w:rsidRPr="00136DE5">
        <w:t>nebo</w:t>
      </w:r>
      <w:r>
        <w:t xml:space="preserve"> </w:t>
      </w:r>
      <w:r w:rsidRPr="00136DE5">
        <w:t>přepraveno</w:t>
      </w:r>
      <w:r>
        <w:t xml:space="preserve"> </w:t>
      </w:r>
      <w:r w:rsidRPr="00136DE5">
        <w:t>do</w:t>
      </w:r>
      <w:r>
        <w:t xml:space="preserve"> </w:t>
      </w:r>
      <w:r w:rsidRPr="00136DE5">
        <w:t>jiného</w:t>
      </w:r>
      <w:r>
        <w:t xml:space="preserve"> </w:t>
      </w:r>
      <w:r w:rsidRPr="00136DE5">
        <w:t>členského</w:t>
      </w:r>
      <w:r>
        <w:t xml:space="preserve"> </w:t>
      </w:r>
      <w:r w:rsidRPr="00136DE5">
        <w:t>státu.</w:t>
      </w:r>
    </w:p>
    <w:p w14:paraId="6CEF3D25" w14:textId="77777777" w:rsidR="005329E9" w:rsidRDefault="005329E9" w:rsidP="005329E9">
      <w:pPr>
        <w:pStyle w:val="PZTextodstavce"/>
      </w:pPr>
      <w:r w:rsidRPr="00136DE5">
        <w:t>(3</w:t>
      </w:r>
      <w:r>
        <w:t>)</w:t>
      </w:r>
      <w:r>
        <w:tab/>
      </w:r>
      <w:r w:rsidRPr="00136DE5">
        <w:t>Za</w:t>
      </w:r>
      <w:r>
        <w:t xml:space="preserve"> </w:t>
      </w:r>
      <w:r w:rsidRPr="00136DE5">
        <w:t>dodání</w:t>
      </w:r>
      <w:r>
        <w:t xml:space="preserve"> </w:t>
      </w:r>
      <w:r w:rsidRPr="00136DE5">
        <w:t>zboží</w:t>
      </w:r>
      <w:r>
        <w:t xml:space="preserve"> </w:t>
      </w:r>
      <w:r w:rsidRPr="00136DE5">
        <w:t>se</w:t>
      </w:r>
      <w:r>
        <w:t xml:space="preserve"> </w:t>
      </w:r>
      <w:r w:rsidRPr="00136DE5">
        <w:t>pro</w:t>
      </w:r>
      <w:r>
        <w:t xml:space="preserve"> </w:t>
      </w:r>
      <w:r w:rsidRPr="00136DE5">
        <w:t>účely</w:t>
      </w:r>
      <w:r>
        <w:t xml:space="preserve"> </w:t>
      </w:r>
      <w:r w:rsidRPr="00136DE5">
        <w:t>tohoto</w:t>
      </w:r>
      <w:r>
        <w:t xml:space="preserve"> </w:t>
      </w:r>
      <w:r w:rsidRPr="00136DE5">
        <w:t>zákona</w:t>
      </w:r>
      <w:r>
        <w:t xml:space="preserve"> </w:t>
      </w:r>
      <w:r w:rsidRPr="00136DE5">
        <w:t>považuje</w:t>
      </w:r>
    </w:p>
    <w:p w14:paraId="3109B2B2" w14:textId="77777777" w:rsidR="005329E9" w:rsidRDefault="005329E9" w:rsidP="005329E9">
      <w:pPr>
        <w:pStyle w:val="PZTextpsmene"/>
        <w:spacing w:before="0"/>
      </w:pPr>
      <w:r w:rsidRPr="00136DE5">
        <w:t>a</w:t>
      </w:r>
      <w:r>
        <w:t>)</w:t>
      </w:r>
      <w:r>
        <w:tab/>
      </w:r>
      <w:r w:rsidRPr="00136DE5">
        <w:t>převod</w:t>
      </w:r>
      <w:r>
        <w:t xml:space="preserve"> </w:t>
      </w:r>
      <w:r w:rsidRPr="00136DE5">
        <w:t>vlastnického</w:t>
      </w:r>
      <w:r>
        <w:t xml:space="preserve"> </w:t>
      </w:r>
      <w:r w:rsidRPr="00136DE5">
        <w:t>práva</w:t>
      </w:r>
      <w:r>
        <w:t xml:space="preserve"> </w:t>
      </w:r>
      <w:r w:rsidRPr="00136DE5">
        <w:t>k</w:t>
      </w:r>
      <w:r>
        <w:t xml:space="preserve"> </w:t>
      </w:r>
      <w:r w:rsidRPr="00136DE5">
        <w:t>majetku</w:t>
      </w:r>
      <w:r>
        <w:t xml:space="preserve"> </w:t>
      </w:r>
      <w:r w:rsidRPr="00136DE5">
        <w:t>za</w:t>
      </w:r>
      <w:r>
        <w:t xml:space="preserve"> </w:t>
      </w:r>
      <w:r w:rsidRPr="00136DE5">
        <w:t>úplatu</w:t>
      </w:r>
      <w:r>
        <w:t xml:space="preserve"> </w:t>
      </w:r>
      <w:r w:rsidRPr="00136DE5">
        <w:t>i</w:t>
      </w:r>
      <w:r>
        <w:t xml:space="preserve"> </w:t>
      </w:r>
      <w:r w:rsidRPr="00136DE5">
        <w:t>na</w:t>
      </w:r>
      <w:r>
        <w:t xml:space="preserve"> </w:t>
      </w:r>
      <w:r w:rsidRPr="00136DE5">
        <w:t>základě</w:t>
      </w:r>
      <w:r>
        <w:t xml:space="preserve"> </w:t>
      </w:r>
      <w:r w:rsidRPr="00136DE5">
        <w:t>rozhodnutí</w:t>
      </w:r>
      <w:r>
        <w:t xml:space="preserve"> </w:t>
      </w:r>
      <w:r w:rsidRPr="00136DE5">
        <w:t>státního</w:t>
      </w:r>
      <w:r>
        <w:t xml:space="preserve"> </w:t>
      </w:r>
      <w:r w:rsidRPr="00136DE5">
        <w:t>orgánu</w:t>
      </w:r>
      <w:r>
        <w:t xml:space="preserve"> </w:t>
      </w:r>
      <w:r w:rsidRPr="00136DE5">
        <w:t>nebo</w:t>
      </w:r>
      <w:r>
        <w:t xml:space="preserve"> </w:t>
      </w:r>
      <w:r w:rsidRPr="00136DE5">
        <w:t>vyplývající</w:t>
      </w:r>
      <w:r>
        <w:t xml:space="preserve"> </w:t>
      </w:r>
      <w:r w:rsidRPr="00136DE5">
        <w:t>ze</w:t>
      </w:r>
      <w:r>
        <w:t xml:space="preserve"> </w:t>
      </w:r>
      <w:r w:rsidRPr="00136DE5">
        <w:t>zvláštního</w:t>
      </w:r>
      <w:r>
        <w:t xml:space="preserve"> </w:t>
      </w:r>
      <w:r w:rsidRPr="00136DE5">
        <w:t>právního</w:t>
      </w:r>
      <w:r>
        <w:t xml:space="preserve"> </w:t>
      </w:r>
      <w:r w:rsidRPr="00136DE5">
        <w:t>předpisu,</w:t>
      </w:r>
    </w:p>
    <w:p w14:paraId="5C19330D" w14:textId="77777777" w:rsidR="005329E9" w:rsidRDefault="005329E9" w:rsidP="005329E9">
      <w:pPr>
        <w:pStyle w:val="PZTextpsmene"/>
        <w:spacing w:before="0"/>
      </w:pPr>
      <w:r w:rsidRPr="00136DE5">
        <w:t>b</w:t>
      </w:r>
      <w:r>
        <w:t>)</w:t>
      </w:r>
      <w:r>
        <w:tab/>
      </w:r>
      <w:r w:rsidRPr="00136DE5">
        <w:t>dodání</w:t>
      </w:r>
      <w:r>
        <w:t xml:space="preserve"> </w:t>
      </w:r>
      <w:r w:rsidRPr="00136DE5">
        <w:t>zboží</w:t>
      </w:r>
      <w:r>
        <w:t xml:space="preserve"> </w:t>
      </w:r>
      <w:r w:rsidRPr="00136DE5">
        <w:t>prostřednictvím</w:t>
      </w:r>
      <w:r>
        <w:t xml:space="preserve"> </w:t>
      </w:r>
      <w:r w:rsidRPr="00136DE5">
        <w:t>komisionáře</w:t>
      </w:r>
      <w:r>
        <w:t xml:space="preserve"> </w:t>
      </w:r>
      <w:r w:rsidRPr="00136DE5">
        <w:t>na</w:t>
      </w:r>
      <w:r>
        <w:t xml:space="preserve"> </w:t>
      </w:r>
      <w:r w:rsidRPr="00136DE5">
        <w:t>základě</w:t>
      </w:r>
      <w:r>
        <w:t xml:space="preserve"> </w:t>
      </w:r>
      <w:r w:rsidRPr="00136DE5">
        <w:t>komisionářské</w:t>
      </w:r>
      <w:r>
        <w:t xml:space="preserve"> </w:t>
      </w:r>
      <w:r w:rsidRPr="00136DE5">
        <w:t>smlouvy</w:t>
      </w:r>
      <w:r>
        <w:t xml:space="preserve"> </w:t>
      </w:r>
      <w:r w:rsidRPr="00136DE5">
        <w:t>nebo</w:t>
      </w:r>
      <w:r>
        <w:t xml:space="preserve"> </w:t>
      </w:r>
      <w:r w:rsidRPr="00136DE5">
        <w:t>smlouvy</w:t>
      </w:r>
      <w:r>
        <w:t xml:space="preserve"> </w:t>
      </w:r>
      <w:r w:rsidRPr="00136DE5">
        <w:t>obdobného</w:t>
      </w:r>
      <w:r>
        <w:t xml:space="preserve"> </w:t>
      </w:r>
      <w:r w:rsidRPr="00136DE5">
        <w:t>typu;</w:t>
      </w:r>
      <w:r>
        <w:t xml:space="preserve"> </w:t>
      </w:r>
      <w:r w:rsidRPr="00136DE5">
        <w:t>toto</w:t>
      </w:r>
      <w:r>
        <w:t xml:space="preserve"> </w:t>
      </w:r>
      <w:r w:rsidRPr="00136DE5">
        <w:t>dodání</w:t>
      </w:r>
      <w:r>
        <w:t xml:space="preserve"> </w:t>
      </w:r>
      <w:r w:rsidRPr="00136DE5">
        <w:t>zboží</w:t>
      </w:r>
      <w:r>
        <w:t xml:space="preserve"> </w:t>
      </w:r>
      <w:r w:rsidRPr="00136DE5">
        <w:t>se</w:t>
      </w:r>
      <w:r>
        <w:t xml:space="preserve"> </w:t>
      </w:r>
      <w:r w:rsidRPr="00136DE5">
        <w:t>považuje</w:t>
      </w:r>
      <w:r>
        <w:t xml:space="preserve"> </w:t>
      </w:r>
      <w:r w:rsidRPr="00136DE5">
        <w:t>za</w:t>
      </w:r>
      <w:r>
        <w:t xml:space="preserve"> </w:t>
      </w:r>
      <w:r w:rsidRPr="00136DE5">
        <w:t>samostatné</w:t>
      </w:r>
      <w:r>
        <w:t xml:space="preserve"> </w:t>
      </w:r>
      <w:r w:rsidRPr="00136DE5">
        <w:t>dodání</w:t>
      </w:r>
      <w:r>
        <w:t xml:space="preserve"> </w:t>
      </w:r>
      <w:r w:rsidRPr="00136DE5">
        <w:t>zboží</w:t>
      </w:r>
      <w:r>
        <w:t xml:space="preserve"> </w:t>
      </w:r>
      <w:r w:rsidRPr="00136DE5">
        <w:t>komitentem</w:t>
      </w:r>
      <w:r>
        <w:t xml:space="preserve"> </w:t>
      </w:r>
      <w:r w:rsidRPr="00136DE5">
        <w:t>nebo</w:t>
      </w:r>
      <w:r>
        <w:t xml:space="preserve"> </w:t>
      </w:r>
      <w:r w:rsidRPr="00136DE5">
        <w:t>třetí</w:t>
      </w:r>
      <w:r>
        <w:t xml:space="preserve"> </w:t>
      </w:r>
      <w:r w:rsidRPr="00136DE5">
        <w:t>osobou</w:t>
      </w:r>
      <w:r>
        <w:t xml:space="preserve"> </w:t>
      </w:r>
      <w:r w:rsidRPr="00136DE5">
        <w:t>komisionáři</w:t>
      </w:r>
      <w:r>
        <w:t xml:space="preserve"> </w:t>
      </w:r>
      <w:r w:rsidRPr="00136DE5">
        <w:t>a</w:t>
      </w:r>
      <w:r>
        <w:t xml:space="preserve"> </w:t>
      </w:r>
      <w:r w:rsidRPr="00136DE5">
        <w:t>samostatné</w:t>
      </w:r>
      <w:r>
        <w:t xml:space="preserve"> </w:t>
      </w:r>
      <w:r w:rsidRPr="00136DE5">
        <w:t>dodání</w:t>
      </w:r>
      <w:r>
        <w:t xml:space="preserve"> </w:t>
      </w:r>
      <w:r w:rsidRPr="00136DE5">
        <w:t>zboží</w:t>
      </w:r>
      <w:r>
        <w:t xml:space="preserve"> </w:t>
      </w:r>
      <w:r w:rsidRPr="00136DE5">
        <w:t>komisionářem</w:t>
      </w:r>
      <w:r>
        <w:t xml:space="preserve"> </w:t>
      </w:r>
      <w:r w:rsidRPr="00136DE5">
        <w:t>třetí</w:t>
      </w:r>
      <w:r>
        <w:t xml:space="preserve"> </w:t>
      </w:r>
      <w:r w:rsidRPr="00136DE5">
        <w:t>osobě</w:t>
      </w:r>
      <w:r>
        <w:t xml:space="preserve"> </w:t>
      </w:r>
      <w:r w:rsidRPr="00136DE5">
        <w:t>nebo</w:t>
      </w:r>
      <w:r>
        <w:t xml:space="preserve"> </w:t>
      </w:r>
      <w:r w:rsidRPr="00136DE5">
        <w:t>komitentovi,</w:t>
      </w:r>
    </w:p>
    <w:p w14:paraId="4DC85223" w14:textId="77777777" w:rsidR="005329E9" w:rsidRDefault="005329E9" w:rsidP="005329E9">
      <w:pPr>
        <w:pStyle w:val="PZTextpsmene"/>
        <w:spacing w:before="0"/>
      </w:pPr>
      <w:r w:rsidRPr="00136DE5">
        <w:t>c</w:t>
      </w:r>
      <w:r>
        <w:t>)</w:t>
      </w:r>
      <w:r>
        <w:tab/>
      </w:r>
      <w:r w:rsidRPr="00136DE5">
        <w:t>přenechání</w:t>
      </w:r>
      <w:r>
        <w:t xml:space="preserve"> </w:t>
      </w:r>
      <w:r w:rsidRPr="00136DE5">
        <w:t>zboží</w:t>
      </w:r>
      <w:r>
        <w:t xml:space="preserve"> </w:t>
      </w:r>
      <w:r w:rsidRPr="00136DE5">
        <w:t>k</w:t>
      </w:r>
      <w:r>
        <w:t xml:space="preserve"> </w:t>
      </w:r>
      <w:r w:rsidRPr="00136DE5">
        <w:t>užití</w:t>
      </w:r>
      <w:r>
        <w:t xml:space="preserve"> </w:t>
      </w:r>
      <w:r w:rsidRPr="00136DE5">
        <w:t>na</w:t>
      </w:r>
      <w:r>
        <w:t xml:space="preserve"> </w:t>
      </w:r>
      <w:r w:rsidRPr="00136DE5">
        <w:t>základě</w:t>
      </w:r>
      <w:r>
        <w:t xml:space="preserve"> </w:t>
      </w:r>
      <w:r w:rsidRPr="00136DE5">
        <w:t>smlouvy,</w:t>
      </w:r>
      <w:r>
        <w:t xml:space="preserve"> </w:t>
      </w:r>
      <w:r w:rsidRPr="00136DE5">
        <w:t>pokud</w:t>
      </w:r>
      <w:r>
        <w:t xml:space="preserve"> </w:t>
      </w:r>
      <w:r w:rsidRPr="00136DE5">
        <w:t>je</w:t>
      </w:r>
      <w:r>
        <w:t xml:space="preserve"> </w:t>
      </w:r>
      <w:r w:rsidRPr="00136DE5">
        <w:t>ujednáno</w:t>
      </w:r>
      <w:r>
        <w:t xml:space="preserve"> </w:t>
      </w:r>
      <w:r w:rsidRPr="00136DE5">
        <w:t>a</w:t>
      </w:r>
      <w:r>
        <w:t xml:space="preserve"> </w:t>
      </w:r>
      <w:r w:rsidRPr="00136DE5">
        <w:t>ke</w:t>
      </w:r>
      <w:r>
        <w:t xml:space="preserve"> </w:t>
      </w:r>
      <w:r w:rsidRPr="00136DE5">
        <w:t>dni</w:t>
      </w:r>
      <w:r>
        <w:t xml:space="preserve"> </w:t>
      </w:r>
      <w:r w:rsidRPr="00136DE5">
        <w:t>uzavření</w:t>
      </w:r>
      <w:r>
        <w:t xml:space="preserve"> </w:t>
      </w:r>
      <w:r w:rsidRPr="00136DE5">
        <w:t>této</w:t>
      </w:r>
      <w:r>
        <w:t xml:space="preserve"> </w:t>
      </w:r>
      <w:r w:rsidRPr="00136DE5">
        <w:t>smlouvy</w:t>
      </w:r>
      <w:r>
        <w:t xml:space="preserve"> </w:t>
      </w:r>
      <w:r w:rsidRPr="00136DE5">
        <w:t>je</w:t>
      </w:r>
      <w:r>
        <w:t xml:space="preserve"> </w:t>
      </w:r>
      <w:r w:rsidRPr="00136DE5">
        <w:t>zřejmé,</w:t>
      </w:r>
      <w:r>
        <w:t xml:space="preserve"> </w:t>
      </w:r>
      <w:r w:rsidRPr="00136DE5">
        <w:t>že</w:t>
      </w:r>
      <w:r>
        <w:t xml:space="preserve"> </w:t>
      </w:r>
      <w:r w:rsidRPr="00136DE5">
        <w:t>vlastnické</w:t>
      </w:r>
      <w:r>
        <w:t xml:space="preserve"> </w:t>
      </w:r>
      <w:r w:rsidRPr="00136DE5">
        <w:t>právo</w:t>
      </w:r>
      <w:r>
        <w:t xml:space="preserve"> </w:t>
      </w:r>
      <w:r w:rsidRPr="00136DE5">
        <w:t>k</w:t>
      </w:r>
      <w:r>
        <w:t xml:space="preserve"> </w:t>
      </w:r>
      <w:r w:rsidRPr="00136DE5">
        <w:t>užívanému</w:t>
      </w:r>
      <w:r>
        <w:t xml:space="preserve"> </w:t>
      </w:r>
      <w:r w:rsidRPr="00136DE5">
        <w:t>zboží</w:t>
      </w:r>
      <w:r>
        <w:t xml:space="preserve"> </w:t>
      </w:r>
      <w:r w:rsidRPr="00136DE5">
        <w:t>bude</w:t>
      </w:r>
      <w:r>
        <w:t xml:space="preserve"> </w:t>
      </w:r>
      <w:r w:rsidRPr="00136DE5">
        <w:t>za</w:t>
      </w:r>
      <w:r>
        <w:t xml:space="preserve"> </w:t>
      </w:r>
      <w:r w:rsidRPr="00136DE5">
        <w:t>obvyklých</w:t>
      </w:r>
      <w:r>
        <w:t xml:space="preserve"> </w:t>
      </w:r>
      <w:r w:rsidRPr="00136DE5">
        <w:t>okolností</w:t>
      </w:r>
      <w:r>
        <w:t xml:space="preserve"> </w:t>
      </w:r>
      <w:r w:rsidRPr="00136DE5">
        <w:t>převedeno</w:t>
      </w:r>
      <w:r>
        <w:t xml:space="preserve"> </w:t>
      </w:r>
      <w:r w:rsidRPr="00136DE5">
        <w:t>na</w:t>
      </w:r>
      <w:r>
        <w:t xml:space="preserve"> </w:t>
      </w:r>
      <w:r w:rsidRPr="00136DE5">
        <w:t>jeho</w:t>
      </w:r>
      <w:r>
        <w:t xml:space="preserve"> </w:t>
      </w:r>
      <w:r w:rsidRPr="00136DE5">
        <w:t>uživatele.</w:t>
      </w:r>
    </w:p>
    <w:p w14:paraId="2D83DB62" w14:textId="79781A17" w:rsidR="00E55F2A" w:rsidRPr="005F722F" w:rsidRDefault="00E55F2A" w:rsidP="005329E9">
      <w:pPr>
        <w:keepNext/>
        <w:widowControl w:val="0"/>
        <w:autoSpaceDE w:val="0"/>
        <w:autoSpaceDN w:val="0"/>
        <w:adjustRightInd w:val="0"/>
        <w:spacing w:before="120" w:after="120"/>
        <w:rPr>
          <w:rFonts w:eastAsiaTheme="minorEastAsia"/>
          <w:szCs w:val="24"/>
        </w:rPr>
      </w:pPr>
      <w:r w:rsidRPr="005F722F">
        <w:rPr>
          <w:rFonts w:eastAsiaTheme="minorEastAsia"/>
          <w:szCs w:val="24"/>
        </w:rPr>
        <w:t>(4) Za dodání zboží za úplatu se také považuje</w:t>
      </w:r>
    </w:p>
    <w:p w14:paraId="368414D8" w14:textId="77777777" w:rsidR="00E55F2A" w:rsidRDefault="00E55F2A" w:rsidP="00E55F2A">
      <w:pPr>
        <w:widowControl w:val="0"/>
        <w:numPr>
          <w:ilvl w:val="0"/>
          <w:numId w:val="39"/>
        </w:numPr>
        <w:autoSpaceDE w:val="0"/>
        <w:autoSpaceDN w:val="0"/>
        <w:adjustRightInd w:val="0"/>
        <w:spacing w:before="0"/>
        <w:ind w:left="284" w:hanging="284"/>
        <w:rPr>
          <w:szCs w:val="24"/>
        </w:rPr>
      </w:pPr>
      <w:r w:rsidRPr="005F722F">
        <w:rPr>
          <w:szCs w:val="24"/>
        </w:rPr>
        <w:t>a)</w:t>
      </w:r>
      <w:r w:rsidRPr="005F722F">
        <w:rPr>
          <w:szCs w:val="24"/>
        </w:rPr>
        <w:tab/>
      </w:r>
      <w:r w:rsidRPr="005F722F">
        <w:rPr>
          <w:rFonts w:eastAsiaTheme="minorEastAsia"/>
          <w:szCs w:val="24"/>
        </w:rPr>
        <w:t>použití</w:t>
      </w:r>
      <w:r w:rsidRPr="005F722F">
        <w:rPr>
          <w:szCs w:val="24"/>
        </w:rPr>
        <w:t xml:space="preserve"> </w:t>
      </w:r>
      <w:r w:rsidRPr="005F722F">
        <w:rPr>
          <w:strike/>
          <w:color w:val="00B050"/>
          <w:szCs w:val="24"/>
        </w:rPr>
        <w:t>hmotného majetku</w:t>
      </w:r>
      <w:r w:rsidRPr="005F722F">
        <w:rPr>
          <w:color w:val="00B050"/>
          <w:szCs w:val="24"/>
        </w:rPr>
        <w:t xml:space="preserve"> </w:t>
      </w:r>
      <w:r w:rsidRPr="005F722F">
        <w:rPr>
          <w:b/>
          <w:color w:val="00B050"/>
          <w:szCs w:val="24"/>
        </w:rPr>
        <w:t>zboží</w:t>
      </w:r>
      <w:r w:rsidRPr="005F722F">
        <w:rPr>
          <w:color w:val="00B050"/>
          <w:szCs w:val="24"/>
        </w:rPr>
        <w:t xml:space="preserve"> </w:t>
      </w:r>
      <w:r w:rsidRPr="005F722F">
        <w:rPr>
          <w:szCs w:val="24"/>
        </w:rPr>
        <w:t xml:space="preserve">pro účely nesouvisející s uskutečňováním </w:t>
      </w:r>
      <w:r w:rsidRPr="005F722F">
        <w:rPr>
          <w:strike/>
          <w:color w:val="00B050"/>
          <w:szCs w:val="24"/>
        </w:rPr>
        <w:t>ekonomických činností</w:t>
      </w:r>
      <w:r w:rsidRPr="005F722F">
        <w:rPr>
          <w:color w:val="00B050"/>
          <w:szCs w:val="24"/>
        </w:rPr>
        <w:t xml:space="preserve"> </w:t>
      </w:r>
      <w:r w:rsidRPr="005F722F">
        <w:rPr>
          <w:b/>
          <w:color w:val="00B050"/>
          <w:szCs w:val="24"/>
        </w:rPr>
        <w:t>ekonomické činnosti</w:t>
      </w:r>
      <w:r w:rsidRPr="005F722F">
        <w:rPr>
          <w:b/>
          <w:szCs w:val="24"/>
        </w:rPr>
        <w:t xml:space="preserve"> </w:t>
      </w:r>
      <w:r w:rsidRPr="005F722F">
        <w:rPr>
          <w:szCs w:val="24"/>
        </w:rPr>
        <w:t>plátce</w:t>
      </w:r>
      <w:r w:rsidRPr="005F722F">
        <w:rPr>
          <w:b/>
          <w:color w:val="00B050"/>
          <w:szCs w:val="24"/>
        </w:rPr>
        <w:t>, pokud byl u tohoto zboží nebo jeho části uplatněn odpočet daně</w:t>
      </w:r>
      <w:r w:rsidRPr="005F722F">
        <w:rPr>
          <w:szCs w:val="24"/>
        </w:rPr>
        <w:t>,</w:t>
      </w:r>
    </w:p>
    <w:p w14:paraId="04207EEF" w14:textId="3DE387DA" w:rsidR="00E55F2A" w:rsidRPr="005F722F" w:rsidRDefault="00E55F2A" w:rsidP="00E55F2A">
      <w:pPr>
        <w:widowControl w:val="0"/>
        <w:numPr>
          <w:ilvl w:val="0"/>
          <w:numId w:val="39"/>
        </w:numPr>
        <w:autoSpaceDE w:val="0"/>
        <w:autoSpaceDN w:val="0"/>
        <w:adjustRightInd w:val="0"/>
        <w:spacing w:before="0"/>
        <w:ind w:left="284" w:hanging="284"/>
        <w:rPr>
          <w:color w:val="00B050"/>
          <w:szCs w:val="24"/>
        </w:rPr>
      </w:pPr>
      <w:r w:rsidRPr="005F722F">
        <w:rPr>
          <w:strike/>
          <w:color w:val="00B050"/>
          <w:szCs w:val="24"/>
        </w:rPr>
        <w:lastRenderedPageBreak/>
        <w:t>b)</w:t>
      </w:r>
      <w:r w:rsidRPr="005F722F">
        <w:rPr>
          <w:strike/>
          <w:color w:val="00B050"/>
          <w:szCs w:val="24"/>
        </w:rPr>
        <w:tab/>
        <w:t>uvedení do stavu způsobilého k užívání</w:t>
      </w:r>
      <w:r w:rsidR="005329E9">
        <w:rPr>
          <w:rStyle w:val="Znakapoznpodarou"/>
          <w:strike/>
          <w:color w:val="00B050"/>
          <w:szCs w:val="24"/>
        </w:rPr>
        <w:footnoteReference w:customMarkFollows="1" w:id="453"/>
        <w:t>74)</w:t>
      </w:r>
      <w:r w:rsidRPr="005F722F">
        <w:rPr>
          <w:strike/>
          <w:color w:val="00B050"/>
          <w:szCs w:val="24"/>
        </w:rPr>
        <w:t xml:space="preserve"> dlouhodobého majetku vytvořeného vlastní činností, pokud plátce použije tento majetek pro účely, pro které má nárok na odpočet daně podle § 72 odst. 8,</w:t>
      </w:r>
    </w:p>
    <w:p w14:paraId="6DB24FD8" w14:textId="4B12486B" w:rsidR="00E55F2A" w:rsidRPr="005F722F" w:rsidRDefault="00E55F2A" w:rsidP="00E55F2A">
      <w:pPr>
        <w:widowControl w:val="0"/>
        <w:numPr>
          <w:ilvl w:val="0"/>
          <w:numId w:val="39"/>
        </w:numPr>
        <w:autoSpaceDE w:val="0"/>
        <w:autoSpaceDN w:val="0"/>
        <w:adjustRightInd w:val="0"/>
        <w:spacing w:before="0"/>
        <w:ind w:left="284" w:hanging="284"/>
        <w:rPr>
          <w:szCs w:val="24"/>
        </w:rPr>
      </w:pPr>
      <w:r w:rsidRPr="005F722F">
        <w:rPr>
          <w:strike/>
          <w:color w:val="00B050"/>
          <w:szCs w:val="24"/>
        </w:rPr>
        <w:t>c)</w:t>
      </w:r>
      <w:r w:rsidRPr="005F722F">
        <w:rPr>
          <w:b/>
          <w:color w:val="00B050"/>
          <w:szCs w:val="24"/>
        </w:rPr>
        <w:tab/>
        <w:t>b)</w:t>
      </w:r>
      <w:r w:rsidRPr="005F722F">
        <w:rPr>
          <w:color w:val="00B050"/>
          <w:szCs w:val="24"/>
        </w:rPr>
        <w:t> </w:t>
      </w:r>
      <w:r w:rsidRPr="005F722F">
        <w:rPr>
          <w:rFonts w:eastAsiaTheme="minorEastAsia"/>
          <w:szCs w:val="24"/>
        </w:rPr>
        <w:t>vydání</w:t>
      </w:r>
      <w:r w:rsidRPr="005F722F">
        <w:rPr>
          <w:szCs w:val="24"/>
        </w:rPr>
        <w:t xml:space="preserve"> vypořádacího podílu na obchodní korporaci nebo podílu na likvidačním zůstatku v nepeněžité podobě ve </w:t>
      </w:r>
      <w:r w:rsidRPr="005F722F">
        <w:rPr>
          <w:strike/>
          <w:color w:val="00B050"/>
          <w:szCs w:val="24"/>
        </w:rPr>
        <w:t>hmotném majetku,</w:t>
      </w:r>
      <w:r w:rsidR="005329E9">
        <w:rPr>
          <w:rStyle w:val="Znakapoznpodarou"/>
          <w:strike/>
          <w:color w:val="00B050"/>
          <w:szCs w:val="24"/>
        </w:rPr>
        <w:footnoteReference w:customMarkFollows="1" w:id="454"/>
        <w:t>2)</w:t>
      </w:r>
      <w:r w:rsidRPr="005F722F">
        <w:rPr>
          <w:color w:val="00B050"/>
          <w:szCs w:val="24"/>
        </w:rPr>
        <w:t xml:space="preserve"> </w:t>
      </w:r>
      <w:r w:rsidRPr="005F722F">
        <w:rPr>
          <w:b/>
          <w:color w:val="00B050"/>
          <w:szCs w:val="24"/>
        </w:rPr>
        <w:t>zboží</w:t>
      </w:r>
      <w:r w:rsidRPr="00140783">
        <w:rPr>
          <w:b/>
          <w:color w:val="00B050"/>
          <w:szCs w:val="24"/>
        </w:rPr>
        <w:t>,</w:t>
      </w:r>
      <w:r w:rsidRPr="005F722F">
        <w:rPr>
          <w:szCs w:val="24"/>
        </w:rPr>
        <w:t xml:space="preserve"> pokud byl u </w:t>
      </w:r>
      <w:r w:rsidRPr="005F722F">
        <w:rPr>
          <w:strike/>
          <w:color w:val="00B050"/>
          <w:szCs w:val="24"/>
        </w:rPr>
        <w:t>tohoto majetku</w:t>
      </w:r>
      <w:r w:rsidRPr="005F722F">
        <w:rPr>
          <w:color w:val="00B050"/>
          <w:szCs w:val="24"/>
        </w:rPr>
        <w:t xml:space="preserve"> </w:t>
      </w:r>
      <w:r w:rsidRPr="005F722F">
        <w:rPr>
          <w:b/>
          <w:color w:val="00B050"/>
          <w:szCs w:val="24"/>
        </w:rPr>
        <w:t>tohoto zboží</w:t>
      </w:r>
      <w:r w:rsidRPr="005F722F">
        <w:rPr>
          <w:color w:val="00B050"/>
          <w:szCs w:val="24"/>
        </w:rPr>
        <w:t xml:space="preserve"> </w:t>
      </w:r>
      <w:r w:rsidRPr="005F722F">
        <w:rPr>
          <w:szCs w:val="24"/>
        </w:rPr>
        <w:t>nebo jeho části uplatněn odpočet daně,</w:t>
      </w:r>
    </w:p>
    <w:p w14:paraId="6CADF412" w14:textId="77777777" w:rsidR="00E55F2A" w:rsidRPr="005F722F" w:rsidRDefault="00E55F2A" w:rsidP="00E55F2A">
      <w:pPr>
        <w:widowControl w:val="0"/>
        <w:numPr>
          <w:ilvl w:val="0"/>
          <w:numId w:val="39"/>
        </w:numPr>
        <w:autoSpaceDE w:val="0"/>
        <w:autoSpaceDN w:val="0"/>
        <w:adjustRightInd w:val="0"/>
        <w:spacing w:before="0"/>
        <w:ind w:left="284" w:hanging="284"/>
        <w:rPr>
          <w:szCs w:val="24"/>
        </w:rPr>
      </w:pPr>
      <w:r w:rsidRPr="005F722F">
        <w:rPr>
          <w:strike/>
          <w:color w:val="00B050"/>
          <w:szCs w:val="24"/>
        </w:rPr>
        <w:t>d)</w:t>
      </w:r>
      <w:r w:rsidRPr="005F722F">
        <w:rPr>
          <w:b/>
          <w:color w:val="00B050"/>
          <w:szCs w:val="24"/>
        </w:rPr>
        <w:tab/>
        <w:t>c)</w:t>
      </w:r>
      <w:r w:rsidRPr="005F722F">
        <w:rPr>
          <w:color w:val="00B050"/>
          <w:szCs w:val="24"/>
        </w:rPr>
        <w:t> </w:t>
      </w:r>
      <w:r w:rsidRPr="005F722F">
        <w:rPr>
          <w:rFonts w:eastAsiaTheme="minorEastAsia"/>
          <w:szCs w:val="24"/>
        </w:rPr>
        <w:t>vložení</w:t>
      </w:r>
      <w:r w:rsidRPr="005F722F">
        <w:rPr>
          <w:szCs w:val="24"/>
        </w:rPr>
        <w:t xml:space="preserve"> nepeněžitého vkladu ve </w:t>
      </w:r>
      <w:r w:rsidRPr="005F722F">
        <w:rPr>
          <w:strike/>
          <w:color w:val="00B050"/>
          <w:szCs w:val="24"/>
        </w:rPr>
        <w:t>hmotném majetku</w:t>
      </w:r>
      <w:r w:rsidRPr="005F722F">
        <w:rPr>
          <w:b/>
          <w:color w:val="00B050"/>
          <w:szCs w:val="24"/>
        </w:rPr>
        <w:t xml:space="preserve"> zboží</w:t>
      </w:r>
      <w:r w:rsidRPr="005F722F">
        <w:rPr>
          <w:szCs w:val="24"/>
        </w:rPr>
        <w:t xml:space="preserve">, pokud vkladatel při </w:t>
      </w:r>
      <w:r w:rsidRPr="005F722F">
        <w:rPr>
          <w:strike/>
          <w:color w:val="00B050"/>
          <w:szCs w:val="24"/>
        </w:rPr>
        <w:t>nabytí</w:t>
      </w:r>
      <w:r w:rsidRPr="005F722F">
        <w:rPr>
          <w:color w:val="00B050"/>
          <w:szCs w:val="24"/>
        </w:rPr>
        <w:t xml:space="preserve"> </w:t>
      </w:r>
      <w:r w:rsidRPr="005F722F">
        <w:rPr>
          <w:strike/>
          <w:color w:val="00B050"/>
          <w:szCs w:val="24"/>
        </w:rPr>
        <w:t>majetku</w:t>
      </w:r>
      <w:r w:rsidRPr="005F722F">
        <w:rPr>
          <w:color w:val="00B050"/>
          <w:szCs w:val="24"/>
        </w:rPr>
        <w:t xml:space="preserve"> </w:t>
      </w:r>
      <w:r w:rsidRPr="005F722F">
        <w:rPr>
          <w:b/>
          <w:color w:val="00B050"/>
          <w:szCs w:val="24"/>
        </w:rPr>
        <w:t>nabytí</w:t>
      </w:r>
      <w:r w:rsidRPr="005F722F">
        <w:rPr>
          <w:color w:val="00B050"/>
          <w:szCs w:val="24"/>
        </w:rPr>
        <w:t xml:space="preserve"> </w:t>
      </w:r>
      <w:r w:rsidRPr="005F722F">
        <w:rPr>
          <w:b/>
          <w:color w:val="00B050"/>
          <w:szCs w:val="24"/>
        </w:rPr>
        <w:t>tohoto zboží</w:t>
      </w:r>
      <w:r w:rsidRPr="005F722F">
        <w:rPr>
          <w:color w:val="00B050"/>
          <w:szCs w:val="24"/>
        </w:rPr>
        <w:t xml:space="preserve"> </w:t>
      </w:r>
      <w:r w:rsidRPr="005F722F">
        <w:rPr>
          <w:szCs w:val="24"/>
        </w:rPr>
        <w:t xml:space="preserve">uplatnil u něj nebo u jeho části odpočet daně, s výjimkou vložení </w:t>
      </w:r>
      <w:r w:rsidRPr="005F722F">
        <w:rPr>
          <w:strike/>
          <w:color w:val="00B050"/>
          <w:szCs w:val="24"/>
        </w:rPr>
        <w:t>hmotného majetku, který</w:t>
      </w:r>
      <w:r w:rsidRPr="005F722F">
        <w:rPr>
          <w:color w:val="00B050"/>
          <w:szCs w:val="24"/>
        </w:rPr>
        <w:t xml:space="preserve"> </w:t>
      </w:r>
      <w:r w:rsidRPr="005F722F">
        <w:rPr>
          <w:b/>
          <w:color w:val="00B050"/>
          <w:szCs w:val="24"/>
        </w:rPr>
        <w:t xml:space="preserve">zboží, které </w:t>
      </w:r>
      <w:r w:rsidRPr="005F722F">
        <w:rPr>
          <w:szCs w:val="24"/>
        </w:rPr>
        <w:t xml:space="preserve">je součástí vkladu </w:t>
      </w:r>
      <w:r w:rsidRPr="005F722F">
        <w:rPr>
          <w:strike/>
          <w:color w:val="00B050"/>
          <w:szCs w:val="24"/>
        </w:rPr>
        <w:t>obchodního závodu</w:t>
      </w:r>
      <w:r w:rsidRPr="005F722F">
        <w:rPr>
          <w:color w:val="00B050"/>
          <w:szCs w:val="24"/>
        </w:rPr>
        <w:t xml:space="preserve"> </w:t>
      </w:r>
      <w:r w:rsidRPr="005F722F">
        <w:rPr>
          <w:b/>
          <w:color w:val="00B050"/>
          <w:szCs w:val="24"/>
        </w:rPr>
        <w:t>souhrnu majetku</w:t>
      </w:r>
      <w:r w:rsidRPr="005F722F">
        <w:rPr>
          <w:szCs w:val="24"/>
        </w:rPr>
        <w:t>; vkladatel i nabyvatel v takovém případě odpovídají za splnění povinnosti přiznat daň společně a nerozdílně,</w:t>
      </w:r>
    </w:p>
    <w:p w14:paraId="6879583D" w14:textId="7339B29A" w:rsidR="00E55F2A" w:rsidRPr="005F722F" w:rsidRDefault="00E55F2A" w:rsidP="00E55F2A">
      <w:pPr>
        <w:widowControl w:val="0"/>
        <w:numPr>
          <w:ilvl w:val="0"/>
          <w:numId w:val="39"/>
        </w:numPr>
        <w:autoSpaceDE w:val="0"/>
        <w:autoSpaceDN w:val="0"/>
        <w:adjustRightInd w:val="0"/>
        <w:spacing w:before="0"/>
        <w:ind w:left="284" w:hanging="284"/>
        <w:rPr>
          <w:szCs w:val="24"/>
        </w:rPr>
      </w:pPr>
      <w:r w:rsidRPr="00466CA7">
        <w:rPr>
          <w:strike/>
          <w:color w:val="00B050"/>
          <w:szCs w:val="24"/>
        </w:rPr>
        <w:t>e)</w:t>
      </w:r>
      <w:r w:rsidRPr="00466CA7">
        <w:rPr>
          <w:b/>
          <w:color w:val="00B050"/>
          <w:szCs w:val="24"/>
        </w:rPr>
        <w:tab/>
        <w:t>d)</w:t>
      </w:r>
      <w:r w:rsidRPr="00466CA7">
        <w:rPr>
          <w:color w:val="00B050"/>
          <w:szCs w:val="24"/>
        </w:rPr>
        <w:t> </w:t>
      </w:r>
      <w:r w:rsidRPr="005F722F">
        <w:rPr>
          <w:rFonts w:eastAsiaTheme="minorEastAsia"/>
          <w:szCs w:val="24"/>
        </w:rPr>
        <w:t>dodání</w:t>
      </w:r>
      <w:r w:rsidRPr="005F722F">
        <w:rPr>
          <w:szCs w:val="24"/>
        </w:rPr>
        <w:t xml:space="preserve"> vratného obalu spolu se zbožím v tuzemsku plátcem, který uvádí vratné obaly spolu se zbožím na trh</w:t>
      </w:r>
      <w:r w:rsidR="005329E9">
        <w:rPr>
          <w:rStyle w:val="Znakapoznpodarou"/>
          <w:szCs w:val="24"/>
        </w:rPr>
        <w:footnoteReference w:customMarkFollows="1" w:id="455"/>
        <w:t>10a)</w:t>
      </w:r>
      <w:r w:rsidRPr="005F722F">
        <w:rPr>
          <w:szCs w:val="24"/>
        </w:rPr>
        <w:t>, jestliže vratný obal stejného druhu nebyl tomuto plátci vrácen k poslednímu dni příslušného účetního období</w:t>
      </w:r>
      <w:r w:rsidRPr="00140783">
        <w:rPr>
          <w:strike/>
          <w:color w:val="00B050"/>
          <w:szCs w:val="24"/>
          <w:vertAlign w:val="superscript"/>
        </w:rPr>
        <w:t>7d)</w:t>
      </w:r>
      <w:r w:rsidRPr="00140783">
        <w:rPr>
          <w:color w:val="00B050"/>
          <w:szCs w:val="24"/>
        </w:rPr>
        <w:t xml:space="preserve"> </w:t>
      </w:r>
      <w:r w:rsidRPr="005F722F">
        <w:rPr>
          <w:szCs w:val="24"/>
        </w:rPr>
        <w:t xml:space="preserve">daného plátce nebo k poslednímu dni příslušného kalendářního roku u plátce, </w:t>
      </w:r>
      <w:r w:rsidRPr="00986E61">
        <w:rPr>
          <w:szCs w:val="24"/>
        </w:rPr>
        <w:t xml:space="preserve">který </w:t>
      </w:r>
      <w:proofErr w:type="gramStart"/>
      <w:r w:rsidRPr="00986E61">
        <w:rPr>
          <w:strike/>
        </w:rPr>
        <w:t>nevede</w:t>
      </w:r>
      <w:proofErr w:type="gramEnd"/>
      <w:r w:rsidRPr="00986E61">
        <w:rPr>
          <w:strike/>
        </w:rPr>
        <w:t xml:space="preserve"> účetnictví</w:t>
      </w:r>
      <w:r w:rsidRPr="00986E61">
        <w:rPr>
          <w:b/>
        </w:rPr>
        <w:t xml:space="preserve"> </w:t>
      </w:r>
      <w:proofErr w:type="gramStart"/>
      <w:r w:rsidRPr="00986E61">
        <w:rPr>
          <w:b/>
        </w:rPr>
        <w:t>není</w:t>
      </w:r>
      <w:proofErr w:type="gramEnd"/>
      <w:r w:rsidRPr="00986E61">
        <w:rPr>
          <w:b/>
        </w:rPr>
        <w:t xml:space="preserve"> účetní jednotkou</w:t>
      </w:r>
      <w:r w:rsidRPr="00986E61">
        <w:rPr>
          <w:szCs w:val="24"/>
        </w:rPr>
        <w:t xml:space="preserve">. Pro </w:t>
      </w:r>
      <w:r w:rsidRPr="005F722F">
        <w:rPr>
          <w:szCs w:val="24"/>
        </w:rPr>
        <w:t>účely tohoto zákona jsou za vratné obaly stejného druhu považovány také vratné obaly se shodnou výší zvláštní peněžní částky účtované při dodání vratného obalu spolu se zbožím. Toto ustanovení se nevztahuje na dodání vratných obalů spolu se zbožím, u kterého by se uplatnilo osvobození od daně podle § </w:t>
      </w:r>
      <w:proofErr w:type="gramStart"/>
      <w:r w:rsidRPr="005F722F">
        <w:rPr>
          <w:szCs w:val="24"/>
        </w:rPr>
        <w:t>63</w:t>
      </w:r>
      <w:r w:rsidRPr="00B755B6">
        <w:rPr>
          <w:strike/>
          <w:color w:val="00B050"/>
          <w:szCs w:val="24"/>
        </w:rPr>
        <w:t>,</w:t>
      </w:r>
      <w:r w:rsidRPr="00B755B6">
        <w:rPr>
          <w:b/>
          <w:color w:val="00B050"/>
          <w:szCs w:val="24"/>
        </w:rPr>
        <w:t>.</w:t>
      </w:r>
      <w:proofErr w:type="gramEnd"/>
    </w:p>
    <w:p w14:paraId="123B0630" w14:textId="47E45413" w:rsidR="00E55F2A" w:rsidRPr="005329E9" w:rsidRDefault="00E55F2A" w:rsidP="00E55F2A">
      <w:pPr>
        <w:widowControl w:val="0"/>
        <w:numPr>
          <w:ilvl w:val="0"/>
          <w:numId w:val="39"/>
        </w:numPr>
        <w:autoSpaceDE w:val="0"/>
        <w:autoSpaceDN w:val="0"/>
        <w:adjustRightInd w:val="0"/>
        <w:spacing w:before="0"/>
        <w:ind w:left="284" w:hanging="284"/>
        <w:rPr>
          <w:color w:val="00B050"/>
        </w:rPr>
      </w:pPr>
      <w:r w:rsidRPr="00466CA7">
        <w:rPr>
          <w:strike/>
          <w:color w:val="00B050"/>
          <w:szCs w:val="24"/>
        </w:rPr>
        <w:t>f)</w:t>
      </w:r>
      <w:r w:rsidRPr="00466CA7">
        <w:rPr>
          <w:b/>
          <w:strike/>
          <w:color w:val="00B050"/>
          <w:szCs w:val="24"/>
        </w:rPr>
        <w:tab/>
        <w:t>e)</w:t>
      </w:r>
      <w:r w:rsidRPr="00466CA7">
        <w:rPr>
          <w:strike/>
          <w:color w:val="00B050"/>
          <w:szCs w:val="24"/>
        </w:rPr>
        <w:t> předání dovezeného zboží, které bylo propuštěno do celního režimu volného oběhu, v tuzemsku bez změny vlastnického práva do okamžiku dodání tohoto zboží podle odstavce 1.</w:t>
      </w:r>
    </w:p>
    <w:p w14:paraId="20776B75" w14:textId="63517CB5" w:rsidR="005329E9" w:rsidRPr="005329E9" w:rsidRDefault="005329E9" w:rsidP="005329E9">
      <w:pPr>
        <w:keepNext/>
        <w:widowControl w:val="0"/>
        <w:autoSpaceDE w:val="0"/>
        <w:autoSpaceDN w:val="0"/>
        <w:adjustRightInd w:val="0"/>
        <w:spacing w:before="120" w:after="120"/>
        <w:rPr>
          <w:rFonts w:eastAsiaTheme="minorEastAsia"/>
          <w:szCs w:val="24"/>
        </w:rPr>
      </w:pPr>
      <w:r w:rsidRPr="005329E9">
        <w:rPr>
          <w:rFonts w:eastAsiaTheme="minorEastAsia"/>
          <w:szCs w:val="24"/>
        </w:rPr>
        <w:t>(5) Použitím hmotného majetku pro účely nesouvisející s uskutečňováním ekonomických činností plátce se pro účely tohoto zákona rozumí trvalé použití obchodního majetku plátcem pro jeho osobní spotřebu nebo jeho zaměstnanců, trvalé použití pro jiné účely než související s uskutečňováním jeho ekonomických činností, a poskytnutí obchodního majetku bez úplaty, pokud byl u tohoto majetku nebo je</w:t>
      </w:r>
      <w:r>
        <w:rPr>
          <w:rFonts w:eastAsiaTheme="minorEastAsia"/>
          <w:szCs w:val="24"/>
        </w:rPr>
        <w:t>ho části uplatněn odpočet daně.</w:t>
      </w:r>
    </w:p>
    <w:p w14:paraId="72E2109D" w14:textId="73727306" w:rsidR="005329E9" w:rsidRPr="005329E9" w:rsidRDefault="005329E9" w:rsidP="005329E9">
      <w:pPr>
        <w:keepNext/>
        <w:widowControl w:val="0"/>
        <w:autoSpaceDE w:val="0"/>
        <w:autoSpaceDN w:val="0"/>
        <w:adjustRightInd w:val="0"/>
        <w:spacing w:before="120" w:after="120"/>
        <w:rPr>
          <w:rFonts w:eastAsiaTheme="minorEastAsia"/>
          <w:szCs w:val="24"/>
        </w:rPr>
      </w:pPr>
      <w:r w:rsidRPr="005329E9">
        <w:rPr>
          <w:rFonts w:eastAsiaTheme="minorEastAsia"/>
          <w:szCs w:val="24"/>
        </w:rPr>
        <w:t>(6) Za dodání zboží za úplatu se pro účely tohoto zákona považuje také přemístění zboží plátcem z tuze</w:t>
      </w:r>
      <w:r>
        <w:rPr>
          <w:rFonts w:eastAsiaTheme="minorEastAsia"/>
          <w:szCs w:val="24"/>
        </w:rPr>
        <w:t>mska do jiného členského státu.</w:t>
      </w:r>
    </w:p>
    <w:p w14:paraId="6C3DB648" w14:textId="3094DD3A" w:rsidR="005329E9" w:rsidRPr="005329E9" w:rsidRDefault="005329E9" w:rsidP="005329E9">
      <w:pPr>
        <w:keepNext/>
        <w:widowControl w:val="0"/>
        <w:autoSpaceDE w:val="0"/>
        <w:autoSpaceDN w:val="0"/>
        <w:adjustRightInd w:val="0"/>
        <w:spacing w:before="120" w:after="120"/>
        <w:rPr>
          <w:rFonts w:eastAsiaTheme="minorEastAsia"/>
          <w:szCs w:val="24"/>
        </w:rPr>
      </w:pPr>
      <w:r w:rsidRPr="005329E9">
        <w:rPr>
          <w:rFonts w:eastAsiaTheme="minorEastAsia"/>
          <w:szCs w:val="24"/>
        </w:rPr>
        <w:t>(7) Za dodání zboží se však pro</w:t>
      </w:r>
      <w:r>
        <w:rPr>
          <w:rFonts w:eastAsiaTheme="minorEastAsia"/>
          <w:szCs w:val="24"/>
        </w:rPr>
        <w:t xml:space="preserve"> účely tohoto zákona nepovažuje</w:t>
      </w:r>
    </w:p>
    <w:p w14:paraId="4F259369" w14:textId="3D3B3281" w:rsidR="005329E9" w:rsidRPr="005329E9" w:rsidRDefault="005329E9" w:rsidP="005329E9">
      <w:pPr>
        <w:pStyle w:val="PZTextpsmene"/>
        <w:spacing w:before="0"/>
      </w:pPr>
      <w:r w:rsidRPr="005329E9">
        <w:t xml:space="preserve">a) </w:t>
      </w:r>
      <w:r w:rsidRPr="005329E9">
        <w:tab/>
        <w:t>pozbytí obchodního závodu, pokud se jedná o hmotný majetek,</w:t>
      </w:r>
    </w:p>
    <w:p w14:paraId="40754FD5" w14:textId="5AD64F68" w:rsidR="005329E9" w:rsidRPr="005329E9" w:rsidRDefault="005329E9" w:rsidP="005329E9">
      <w:pPr>
        <w:pStyle w:val="PZTextpsmene"/>
        <w:spacing w:before="0"/>
      </w:pPr>
      <w:r w:rsidRPr="005329E9">
        <w:t xml:space="preserve">b) </w:t>
      </w:r>
      <w:r w:rsidRPr="005329E9">
        <w:tab/>
        <w:t>vydání nebo poskytnutí majetku v nepeněžité podobě ve hmotném majetku jako náhrady nebo vypořádání podle zvláštního právního předpisu,</w:t>
      </w:r>
      <w:r>
        <w:rPr>
          <w:rStyle w:val="Znakapoznpodarou"/>
        </w:rPr>
        <w:footnoteReference w:customMarkFollows="1" w:id="456"/>
        <w:t>11)</w:t>
      </w:r>
    </w:p>
    <w:p w14:paraId="48C2857B" w14:textId="51AF0775" w:rsidR="005329E9" w:rsidRPr="005329E9" w:rsidRDefault="005329E9" w:rsidP="005329E9">
      <w:pPr>
        <w:pStyle w:val="PZTextpsmene"/>
        <w:spacing w:before="0"/>
      </w:pPr>
      <w:r w:rsidRPr="005329E9">
        <w:t xml:space="preserve">c) </w:t>
      </w:r>
      <w:r w:rsidRPr="005329E9">
        <w:tab/>
        <w:t>poskytnutí dárku v rámci ekonomické činnosti, pokud jeho pořizovací cena bez daně nepřesahuje 500 Kč, nebo poskytnutí obchodních vzorků bez úplaty v rámci ekonomické činnosti,</w:t>
      </w:r>
    </w:p>
    <w:p w14:paraId="11840214" w14:textId="0EF5F03A" w:rsidR="005329E9" w:rsidRPr="005329E9" w:rsidRDefault="005329E9" w:rsidP="005329E9">
      <w:pPr>
        <w:pStyle w:val="PZTextpsmene"/>
        <w:spacing w:before="0"/>
      </w:pPr>
      <w:r w:rsidRPr="005329E9">
        <w:t>d)</w:t>
      </w:r>
      <w:r w:rsidRPr="005329E9">
        <w:tab/>
        <w:t>dodání vratného obalu, který je dodáván spolu se zbožím kupujícímu za úplatu, pokud je tato úplata přímo vázána k vratnému obalu a kupujícímu je při dodání zboží zaručeno vrácení této úplaty v plné výši po vrácení vratného obalu</w:t>
      </w:r>
      <w:r w:rsidRPr="005329E9">
        <w:rPr>
          <w:vertAlign w:val="superscript"/>
        </w:rPr>
        <w:t>10a)</w:t>
      </w:r>
      <w:r w:rsidRPr="005329E9">
        <w:t>, nebo</w:t>
      </w:r>
    </w:p>
    <w:p w14:paraId="2F781997" w14:textId="2AFC001A" w:rsidR="005329E9" w:rsidRDefault="005329E9" w:rsidP="005329E9">
      <w:pPr>
        <w:pStyle w:val="PZTextpsmene"/>
        <w:spacing w:before="0"/>
      </w:pPr>
      <w:r w:rsidRPr="005329E9">
        <w:lastRenderedPageBreak/>
        <w:t xml:space="preserve">e) </w:t>
      </w:r>
      <w:r w:rsidRPr="005329E9">
        <w:tab/>
        <w:t>vrácení vratného obalu bez úplaty či za úplatu.</w:t>
      </w:r>
    </w:p>
    <w:p w14:paraId="7D6913BC" w14:textId="0785B4DC" w:rsidR="00E55F2A" w:rsidRDefault="00E55F2A" w:rsidP="00E55F2A">
      <w:pPr>
        <w:pStyle w:val="Nadpisparagrafu"/>
        <w:numPr>
          <w:ilvl w:val="0"/>
          <w:numId w:val="39"/>
        </w:numPr>
      </w:pPr>
      <w:r>
        <w:t>***</w:t>
      </w:r>
    </w:p>
    <w:p w14:paraId="43270B42" w14:textId="77777777" w:rsidR="00E55F2A" w:rsidRDefault="00E55F2A" w:rsidP="00E55F2A">
      <w:pPr>
        <w:pStyle w:val="Paragraf"/>
        <w:spacing w:after="240"/>
      </w:pPr>
      <w:r>
        <w:t>§ 21</w:t>
      </w:r>
    </w:p>
    <w:p w14:paraId="4BE7B579" w14:textId="77777777" w:rsidR="00E55F2A" w:rsidRPr="005A587D" w:rsidRDefault="00E55F2A" w:rsidP="00E55F2A">
      <w:pPr>
        <w:pStyle w:val="Nadpisparagrafu"/>
        <w:numPr>
          <w:ilvl w:val="0"/>
          <w:numId w:val="39"/>
        </w:numPr>
      </w:pPr>
      <w:r>
        <w:t>Uskutečnění zdanitelného plnění při dodání zboží a poskytnutí služby</w:t>
      </w:r>
    </w:p>
    <w:p w14:paraId="01B6DC4F" w14:textId="729C548B" w:rsidR="001D06F7" w:rsidRDefault="001D06F7" w:rsidP="001D06F7">
      <w:pPr>
        <w:pStyle w:val="PZTextodstavce"/>
      </w:pPr>
      <w:r w:rsidRPr="008020DE">
        <w:t>(1</w:t>
      </w:r>
      <w:r>
        <w:t>)</w:t>
      </w:r>
      <w:r>
        <w:tab/>
      </w:r>
      <w:r w:rsidRPr="008020DE">
        <w:t>Při</w:t>
      </w:r>
      <w:r>
        <w:t xml:space="preserve"> </w:t>
      </w:r>
      <w:r w:rsidRPr="008020DE">
        <w:t>dodání</w:t>
      </w:r>
      <w:r>
        <w:t xml:space="preserve"> </w:t>
      </w:r>
      <w:r w:rsidRPr="008020DE">
        <w:t>zboží</w:t>
      </w:r>
      <w:r>
        <w:t xml:space="preserve"> </w:t>
      </w:r>
      <w:r w:rsidRPr="008020DE">
        <w:t>se</w:t>
      </w:r>
      <w:r>
        <w:t xml:space="preserve"> </w:t>
      </w:r>
      <w:r w:rsidRPr="008020DE">
        <w:t>zdanitelné</w:t>
      </w:r>
      <w:r>
        <w:t xml:space="preserve"> </w:t>
      </w:r>
      <w:r w:rsidRPr="008020DE">
        <w:t>plnění</w:t>
      </w:r>
      <w:r>
        <w:t xml:space="preserve"> </w:t>
      </w:r>
      <w:r w:rsidRPr="008020DE">
        <w:t>považuje</w:t>
      </w:r>
      <w:r>
        <w:t xml:space="preserve"> </w:t>
      </w:r>
      <w:r w:rsidRPr="008020DE">
        <w:t>za</w:t>
      </w:r>
      <w:r>
        <w:t xml:space="preserve"> </w:t>
      </w:r>
      <w:r w:rsidRPr="008020DE">
        <w:t>uskutečněné</w:t>
      </w:r>
    </w:p>
    <w:p w14:paraId="5F2E82E9" w14:textId="77777777" w:rsidR="001D06F7" w:rsidRDefault="001D06F7" w:rsidP="001D06F7">
      <w:pPr>
        <w:pStyle w:val="PZTextpsmene"/>
        <w:spacing w:before="0"/>
      </w:pPr>
      <w:r w:rsidRPr="008020DE">
        <w:t>a</w:t>
      </w:r>
      <w:r>
        <w:t>)</w:t>
      </w:r>
      <w:r>
        <w:tab/>
      </w:r>
      <w:r w:rsidRPr="008020DE">
        <w:t>dnem</w:t>
      </w:r>
      <w:r>
        <w:t xml:space="preserve"> </w:t>
      </w:r>
      <w:r w:rsidRPr="008020DE">
        <w:t>dodání</w:t>
      </w:r>
      <w:r>
        <w:t xml:space="preserve"> </w:t>
      </w:r>
      <w:r w:rsidRPr="008020DE">
        <w:t>tohoto</w:t>
      </w:r>
      <w:r>
        <w:t xml:space="preserve"> </w:t>
      </w:r>
      <w:r w:rsidRPr="008020DE">
        <w:t>zboží,</w:t>
      </w:r>
      <w:r>
        <w:t xml:space="preserve"> </w:t>
      </w:r>
      <w:r w:rsidRPr="008020DE">
        <w:t>nebo</w:t>
      </w:r>
    </w:p>
    <w:p w14:paraId="1661180A" w14:textId="77777777" w:rsidR="001D06F7" w:rsidRDefault="001D06F7" w:rsidP="001D06F7">
      <w:pPr>
        <w:pStyle w:val="PZTextpsmene"/>
        <w:spacing w:before="0"/>
      </w:pPr>
      <w:r w:rsidRPr="008020DE">
        <w:t>b</w:t>
      </w:r>
      <w:r>
        <w:t>)</w:t>
      </w:r>
      <w:r>
        <w:tab/>
      </w:r>
      <w:r w:rsidRPr="008020DE">
        <w:t>dnem</w:t>
      </w:r>
      <w:r>
        <w:t xml:space="preserve"> </w:t>
      </w:r>
      <w:r w:rsidRPr="008020DE">
        <w:t>přenechání</w:t>
      </w:r>
      <w:r>
        <w:t xml:space="preserve"> </w:t>
      </w:r>
      <w:r w:rsidRPr="008020DE">
        <w:t>zboží</w:t>
      </w:r>
      <w:r>
        <w:t xml:space="preserve"> </w:t>
      </w:r>
      <w:r w:rsidRPr="008020DE">
        <w:t>k</w:t>
      </w:r>
      <w:r>
        <w:t xml:space="preserve"> </w:t>
      </w:r>
      <w:r w:rsidRPr="008020DE">
        <w:t>užívání</w:t>
      </w:r>
      <w:r>
        <w:t xml:space="preserve"> </w:t>
      </w:r>
      <w:r w:rsidRPr="008020DE">
        <w:t>podle</w:t>
      </w:r>
      <w:r>
        <w:t xml:space="preserve"> </w:t>
      </w:r>
      <w:r w:rsidRPr="008020DE">
        <w:t>§</w:t>
      </w:r>
      <w:r>
        <w:t xml:space="preserve"> </w:t>
      </w:r>
      <w:r w:rsidRPr="008020DE">
        <w:t>13</w:t>
      </w:r>
      <w:r>
        <w:t xml:space="preserve"> </w:t>
      </w:r>
      <w:r w:rsidRPr="008020DE">
        <w:t>odst.</w:t>
      </w:r>
      <w:r>
        <w:t xml:space="preserve"> </w:t>
      </w:r>
      <w:r w:rsidRPr="008020DE">
        <w:t>3</w:t>
      </w:r>
      <w:r>
        <w:t xml:space="preserve"> </w:t>
      </w:r>
      <w:r w:rsidRPr="008020DE">
        <w:t>písm.</w:t>
      </w:r>
      <w:r>
        <w:t xml:space="preserve"> </w:t>
      </w:r>
      <w:r w:rsidRPr="008020DE">
        <w:t>c).</w:t>
      </w:r>
    </w:p>
    <w:p w14:paraId="25E3F7A0" w14:textId="77777777" w:rsidR="001D06F7" w:rsidRDefault="001D06F7" w:rsidP="001D06F7">
      <w:pPr>
        <w:pStyle w:val="PZTextodstavce"/>
      </w:pPr>
      <w:r w:rsidRPr="008020DE">
        <w:t>(2</w:t>
      </w:r>
      <w:r>
        <w:t>)</w:t>
      </w:r>
      <w:r>
        <w:tab/>
      </w:r>
      <w:r w:rsidRPr="008020DE">
        <w:t>Při</w:t>
      </w:r>
      <w:r>
        <w:t xml:space="preserve"> </w:t>
      </w:r>
      <w:r w:rsidRPr="008020DE">
        <w:t>dodání</w:t>
      </w:r>
      <w:r>
        <w:t xml:space="preserve"> </w:t>
      </w:r>
      <w:r w:rsidRPr="008020DE">
        <w:t>nemovité</w:t>
      </w:r>
      <w:r>
        <w:t xml:space="preserve"> </w:t>
      </w:r>
      <w:r w:rsidRPr="008020DE">
        <w:t>věci</w:t>
      </w:r>
      <w:r>
        <w:t xml:space="preserve"> </w:t>
      </w:r>
      <w:r w:rsidRPr="008020DE">
        <w:t>se</w:t>
      </w:r>
      <w:r>
        <w:t xml:space="preserve"> </w:t>
      </w:r>
      <w:r w:rsidRPr="008020DE">
        <w:t>zdanitelné</w:t>
      </w:r>
      <w:r>
        <w:t xml:space="preserve"> </w:t>
      </w:r>
      <w:r w:rsidRPr="008020DE">
        <w:t>plnění</w:t>
      </w:r>
      <w:r>
        <w:t xml:space="preserve"> </w:t>
      </w:r>
      <w:r w:rsidRPr="008020DE">
        <w:t>považuje</w:t>
      </w:r>
      <w:r>
        <w:t xml:space="preserve"> </w:t>
      </w:r>
      <w:r w:rsidRPr="008020DE">
        <w:t>za</w:t>
      </w:r>
      <w:r>
        <w:t xml:space="preserve"> </w:t>
      </w:r>
      <w:r w:rsidRPr="008020DE">
        <w:t>uskutečněné</w:t>
      </w:r>
      <w:r>
        <w:t xml:space="preserve"> </w:t>
      </w:r>
      <w:r w:rsidRPr="008020DE">
        <w:t>dnem</w:t>
      </w:r>
      <w:r>
        <w:t xml:space="preserve"> </w:t>
      </w:r>
      <w:r w:rsidRPr="008020DE">
        <w:t>předání</w:t>
      </w:r>
      <w:r>
        <w:t xml:space="preserve"> </w:t>
      </w:r>
      <w:r w:rsidRPr="008020DE">
        <w:t>nemovité</w:t>
      </w:r>
      <w:r>
        <w:t xml:space="preserve"> </w:t>
      </w:r>
      <w:r w:rsidRPr="008020DE">
        <w:t>věci</w:t>
      </w:r>
      <w:r>
        <w:t xml:space="preserve"> </w:t>
      </w:r>
      <w:r w:rsidRPr="008020DE">
        <w:t>nabyvateli</w:t>
      </w:r>
      <w:r>
        <w:t xml:space="preserve"> </w:t>
      </w:r>
      <w:r w:rsidRPr="008020DE">
        <w:t>do</w:t>
      </w:r>
      <w:r>
        <w:t xml:space="preserve"> </w:t>
      </w:r>
      <w:r w:rsidRPr="008020DE">
        <w:t>užívání</w:t>
      </w:r>
      <w:r>
        <w:t xml:space="preserve"> </w:t>
      </w:r>
      <w:r w:rsidRPr="008020DE">
        <w:t>nebo</w:t>
      </w:r>
      <w:r>
        <w:t xml:space="preserve"> </w:t>
      </w:r>
      <w:r w:rsidRPr="008020DE">
        <w:t>dnem</w:t>
      </w:r>
      <w:r>
        <w:t xml:space="preserve"> </w:t>
      </w:r>
      <w:r w:rsidRPr="008020DE">
        <w:t>doručení</w:t>
      </w:r>
      <w:r>
        <w:t xml:space="preserve"> </w:t>
      </w:r>
      <w:r w:rsidRPr="008020DE">
        <w:t>vyrozumění,</w:t>
      </w:r>
      <w:r>
        <w:t xml:space="preserve"> </w:t>
      </w:r>
      <w:r w:rsidRPr="008020DE">
        <w:t>ve</w:t>
      </w:r>
      <w:r>
        <w:t xml:space="preserve"> </w:t>
      </w:r>
      <w:r w:rsidRPr="008020DE">
        <w:t>kterém</w:t>
      </w:r>
      <w:r>
        <w:t xml:space="preserve"> </w:t>
      </w:r>
      <w:r w:rsidRPr="008020DE">
        <w:t>je</w:t>
      </w:r>
      <w:r>
        <w:t xml:space="preserve"> </w:t>
      </w:r>
      <w:r w:rsidRPr="008020DE">
        <w:t>uveden</w:t>
      </w:r>
      <w:r>
        <w:t xml:space="preserve"> </w:t>
      </w:r>
      <w:r w:rsidRPr="008020DE">
        <w:t>den</w:t>
      </w:r>
      <w:r>
        <w:t xml:space="preserve"> </w:t>
      </w:r>
      <w:r w:rsidRPr="008020DE">
        <w:t>zápisu</w:t>
      </w:r>
      <w:r>
        <w:t xml:space="preserve"> </w:t>
      </w:r>
      <w:r w:rsidRPr="008020DE">
        <w:t>změny</w:t>
      </w:r>
      <w:r>
        <w:t xml:space="preserve"> </w:t>
      </w:r>
      <w:r w:rsidRPr="008020DE">
        <w:t>vlastnického</w:t>
      </w:r>
      <w:r>
        <w:t xml:space="preserve"> </w:t>
      </w:r>
      <w:r w:rsidRPr="008020DE">
        <w:t>práva,</w:t>
      </w:r>
      <w:r>
        <w:t xml:space="preserve"> </w:t>
      </w:r>
      <w:r w:rsidRPr="008020DE">
        <w:t>a</w:t>
      </w:r>
      <w:r>
        <w:t xml:space="preserve"> </w:t>
      </w:r>
      <w:r w:rsidRPr="008020DE">
        <w:t>to</w:t>
      </w:r>
      <w:r>
        <w:t xml:space="preserve"> </w:t>
      </w:r>
      <w:r w:rsidRPr="008020DE">
        <w:t>tím</w:t>
      </w:r>
      <w:r>
        <w:t xml:space="preserve"> </w:t>
      </w:r>
      <w:r w:rsidRPr="008020DE">
        <w:t>dnem,</w:t>
      </w:r>
      <w:r>
        <w:t xml:space="preserve"> </w:t>
      </w:r>
      <w:r w:rsidRPr="008020DE">
        <w:t>který</w:t>
      </w:r>
      <w:r>
        <w:t xml:space="preserve"> </w:t>
      </w:r>
      <w:r w:rsidRPr="008020DE">
        <w:t>nastane</w:t>
      </w:r>
      <w:r>
        <w:t xml:space="preserve"> </w:t>
      </w:r>
      <w:r w:rsidRPr="008020DE">
        <w:t>dříve.</w:t>
      </w:r>
      <w:r>
        <w:t xml:space="preserve"> </w:t>
      </w:r>
      <w:r w:rsidRPr="008020DE">
        <w:t>Při</w:t>
      </w:r>
      <w:r>
        <w:t xml:space="preserve"> </w:t>
      </w:r>
      <w:r w:rsidRPr="008020DE">
        <w:t>přenechání</w:t>
      </w:r>
      <w:r>
        <w:t xml:space="preserve"> </w:t>
      </w:r>
      <w:r w:rsidRPr="008020DE">
        <w:t>nemovité</w:t>
      </w:r>
      <w:r>
        <w:t xml:space="preserve"> </w:t>
      </w:r>
      <w:r w:rsidRPr="008020DE">
        <w:t>věci</w:t>
      </w:r>
      <w:r>
        <w:t xml:space="preserve"> </w:t>
      </w:r>
      <w:r w:rsidRPr="008020DE">
        <w:t>k</w:t>
      </w:r>
      <w:r>
        <w:t xml:space="preserve"> </w:t>
      </w:r>
      <w:r w:rsidRPr="008020DE">
        <w:t>užívání</w:t>
      </w:r>
      <w:r>
        <w:t xml:space="preserve"> </w:t>
      </w:r>
      <w:r w:rsidRPr="008020DE">
        <w:t>podle</w:t>
      </w:r>
      <w:r>
        <w:t xml:space="preserve"> </w:t>
      </w:r>
      <w:r w:rsidRPr="008020DE">
        <w:t>§</w:t>
      </w:r>
      <w:r>
        <w:t xml:space="preserve"> </w:t>
      </w:r>
      <w:r w:rsidRPr="008020DE">
        <w:t>13</w:t>
      </w:r>
      <w:r>
        <w:t xml:space="preserve"> </w:t>
      </w:r>
      <w:r w:rsidRPr="008020DE">
        <w:t>odst.</w:t>
      </w:r>
      <w:r>
        <w:t xml:space="preserve"> </w:t>
      </w:r>
      <w:r w:rsidRPr="008020DE">
        <w:t>3</w:t>
      </w:r>
      <w:r>
        <w:t xml:space="preserve"> </w:t>
      </w:r>
      <w:r w:rsidRPr="008020DE">
        <w:t>písm.</w:t>
      </w:r>
      <w:r>
        <w:t xml:space="preserve"> </w:t>
      </w:r>
      <w:r w:rsidRPr="008020DE">
        <w:t>c)</w:t>
      </w:r>
      <w:r>
        <w:t xml:space="preserve"> </w:t>
      </w:r>
      <w:r w:rsidRPr="008020DE">
        <w:t>se</w:t>
      </w:r>
      <w:r>
        <w:t xml:space="preserve"> </w:t>
      </w:r>
      <w:r w:rsidRPr="008020DE">
        <w:t>zdanitelné</w:t>
      </w:r>
      <w:r>
        <w:t xml:space="preserve"> </w:t>
      </w:r>
      <w:r w:rsidRPr="008020DE">
        <w:t>plnění</w:t>
      </w:r>
      <w:r>
        <w:t xml:space="preserve"> </w:t>
      </w:r>
      <w:r w:rsidRPr="008020DE">
        <w:t>považuje</w:t>
      </w:r>
      <w:r>
        <w:t xml:space="preserve"> </w:t>
      </w:r>
      <w:r w:rsidRPr="008020DE">
        <w:t>za</w:t>
      </w:r>
      <w:r>
        <w:t xml:space="preserve"> </w:t>
      </w:r>
      <w:r w:rsidRPr="008020DE">
        <w:t>uskutečněné</w:t>
      </w:r>
      <w:r>
        <w:t xml:space="preserve"> </w:t>
      </w:r>
      <w:r w:rsidRPr="008020DE">
        <w:t>dnem</w:t>
      </w:r>
      <w:r>
        <w:t xml:space="preserve"> </w:t>
      </w:r>
      <w:r w:rsidRPr="008020DE">
        <w:t>přenechání</w:t>
      </w:r>
      <w:r>
        <w:t xml:space="preserve"> </w:t>
      </w:r>
      <w:r w:rsidRPr="008020DE">
        <w:t>nemovité</w:t>
      </w:r>
      <w:r>
        <w:t xml:space="preserve"> </w:t>
      </w:r>
      <w:r w:rsidRPr="008020DE">
        <w:t>věci</w:t>
      </w:r>
      <w:r>
        <w:t xml:space="preserve"> </w:t>
      </w:r>
      <w:r w:rsidRPr="008020DE">
        <w:t>k</w:t>
      </w:r>
      <w:r>
        <w:t xml:space="preserve"> </w:t>
      </w:r>
      <w:r w:rsidRPr="008020DE">
        <w:t>užívání.</w:t>
      </w:r>
    </w:p>
    <w:p w14:paraId="359F6D3F" w14:textId="77777777" w:rsidR="001D06F7" w:rsidRDefault="001D06F7" w:rsidP="001D06F7">
      <w:pPr>
        <w:pStyle w:val="PZTextodstavce"/>
      </w:pPr>
      <w:r w:rsidRPr="008020DE">
        <w:t>(3</w:t>
      </w:r>
      <w:r>
        <w:t>)</w:t>
      </w:r>
      <w:r>
        <w:tab/>
      </w:r>
      <w:r w:rsidRPr="008020DE">
        <w:t>Při</w:t>
      </w:r>
      <w:r>
        <w:t xml:space="preserve"> </w:t>
      </w:r>
      <w:r w:rsidRPr="008020DE">
        <w:t>poskytnutí</w:t>
      </w:r>
      <w:r>
        <w:t xml:space="preserve"> </w:t>
      </w:r>
      <w:r w:rsidRPr="008020DE">
        <w:t>služby</w:t>
      </w:r>
      <w:r>
        <w:t xml:space="preserve"> </w:t>
      </w:r>
      <w:r w:rsidRPr="008020DE">
        <w:t>se</w:t>
      </w:r>
      <w:r>
        <w:t xml:space="preserve"> </w:t>
      </w:r>
      <w:r w:rsidRPr="008020DE">
        <w:t>zdanitelné</w:t>
      </w:r>
      <w:r>
        <w:t xml:space="preserve"> </w:t>
      </w:r>
      <w:r w:rsidRPr="008020DE">
        <w:t>plnění</w:t>
      </w:r>
      <w:r>
        <w:t xml:space="preserve"> </w:t>
      </w:r>
      <w:r w:rsidRPr="008020DE">
        <w:t>považuje</w:t>
      </w:r>
      <w:r>
        <w:t xml:space="preserve"> </w:t>
      </w:r>
      <w:r w:rsidRPr="008020DE">
        <w:t>za</w:t>
      </w:r>
      <w:r>
        <w:t xml:space="preserve"> </w:t>
      </w:r>
      <w:r w:rsidRPr="008020DE">
        <w:t>uskutečněné</w:t>
      </w:r>
      <w:r>
        <w:t xml:space="preserve"> </w:t>
      </w:r>
      <w:r w:rsidRPr="008020DE">
        <w:t>dnem</w:t>
      </w:r>
      <w:r>
        <w:t xml:space="preserve"> </w:t>
      </w:r>
      <w:r w:rsidRPr="008020DE">
        <w:t>jejího</w:t>
      </w:r>
      <w:r>
        <w:t xml:space="preserve"> </w:t>
      </w:r>
      <w:r w:rsidRPr="008020DE">
        <w:t>poskytnutí</w:t>
      </w:r>
      <w:r>
        <w:t xml:space="preserve"> </w:t>
      </w:r>
      <w:r w:rsidRPr="008020DE">
        <w:t>nebo</w:t>
      </w:r>
      <w:r>
        <w:t xml:space="preserve"> </w:t>
      </w:r>
      <w:r w:rsidRPr="008020DE">
        <w:t>dnem</w:t>
      </w:r>
      <w:r>
        <w:t xml:space="preserve"> </w:t>
      </w:r>
      <w:r w:rsidRPr="008020DE">
        <w:t>vystavení</w:t>
      </w:r>
      <w:r>
        <w:t xml:space="preserve"> </w:t>
      </w:r>
      <w:r w:rsidRPr="008020DE">
        <w:t>daňového</w:t>
      </w:r>
      <w:r>
        <w:t xml:space="preserve"> </w:t>
      </w:r>
      <w:r w:rsidRPr="008020DE">
        <w:t>dokladu</w:t>
      </w:r>
      <w:r>
        <w:t xml:space="preserve"> </w:t>
      </w:r>
      <w:r w:rsidRPr="008020DE">
        <w:t>s</w:t>
      </w:r>
      <w:r>
        <w:t xml:space="preserve"> </w:t>
      </w:r>
      <w:r w:rsidRPr="008020DE">
        <w:t>výjimkou</w:t>
      </w:r>
      <w:r>
        <w:t xml:space="preserve"> </w:t>
      </w:r>
      <w:r w:rsidRPr="008020DE">
        <w:t>splátkového</w:t>
      </w:r>
      <w:r>
        <w:t xml:space="preserve"> </w:t>
      </w:r>
      <w:r w:rsidRPr="008020DE">
        <w:t>nebo</w:t>
      </w:r>
      <w:r>
        <w:t xml:space="preserve"> </w:t>
      </w:r>
      <w:r w:rsidRPr="008020DE">
        <w:t>platebního</w:t>
      </w:r>
      <w:r>
        <w:t xml:space="preserve"> </w:t>
      </w:r>
      <w:r w:rsidRPr="008020DE">
        <w:t>kalendáře</w:t>
      </w:r>
      <w:r>
        <w:t xml:space="preserve"> </w:t>
      </w:r>
      <w:r w:rsidRPr="008020DE">
        <w:t>nebo</w:t>
      </w:r>
      <w:r>
        <w:t xml:space="preserve"> </w:t>
      </w:r>
      <w:r w:rsidRPr="008020DE">
        <w:t>dokladu</w:t>
      </w:r>
      <w:r>
        <w:t xml:space="preserve"> </w:t>
      </w:r>
      <w:r w:rsidRPr="008020DE">
        <w:t>na</w:t>
      </w:r>
      <w:r>
        <w:t xml:space="preserve"> </w:t>
      </w:r>
      <w:r w:rsidRPr="008020DE">
        <w:t>přijatou</w:t>
      </w:r>
      <w:r>
        <w:t xml:space="preserve"> </w:t>
      </w:r>
      <w:r w:rsidRPr="008020DE">
        <w:t>úplatu,</w:t>
      </w:r>
      <w:r>
        <w:t xml:space="preserve"> </w:t>
      </w:r>
      <w:r w:rsidRPr="008020DE">
        <w:t>a</w:t>
      </w:r>
      <w:r>
        <w:t xml:space="preserve"> </w:t>
      </w:r>
      <w:r w:rsidRPr="008020DE">
        <w:t>to</w:t>
      </w:r>
      <w:r>
        <w:t xml:space="preserve"> </w:t>
      </w:r>
      <w:r w:rsidRPr="008020DE">
        <w:t>tím</w:t>
      </w:r>
      <w:r>
        <w:t xml:space="preserve"> </w:t>
      </w:r>
      <w:r w:rsidRPr="008020DE">
        <w:t>dnem,</w:t>
      </w:r>
      <w:r>
        <w:t xml:space="preserve"> </w:t>
      </w:r>
      <w:r w:rsidRPr="008020DE">
        <w:t>který</w:t>
      </w:r>
      <w:r>
        <w:t xml:space="preserve"> </w:t>
      </w:r>
      <w:r w:rsidRPr="008020DE">
        <w:t>nastane</w:t>
      </w:r>
      <w:r>
        <w:t xml:space="preserve"> </w:t>
      </w:r>
      <w:r w:rsidRPr="008020DE">
        <w:t>dříve.</w:t>
      </w:r>
    </w:p>
    <w:p w14:paraId="402EE599" w14:textId="77777777" w:rsidR="001D06F7" w:rsidRDefault="001D06F7" w:rsidP="001D06F7">
      <w:pPr>
        <w:pStyle w:val="PZTextodstavce"/>
      </w:pPr>
      <w:r w:rsidRPr="008020DE">
        <w:t>(4</w:t>
      </w:r>
      <w:r>
        <w:t>)</w:t>
      </w:r>
      <w:r>
        <w:tab/>
      </w:r>
      <w:r w:rsidRPr="008020DE">
        <w:t>Zdanitelné</w:t>
      </w:r>
      <w:r>
        <w:t xml:space="preserve"> </w:t>
      </w:r>
      <w:r w:rsidRPr="008020DE">
        <w:t>plnění</w:t>
      </w:r>
      <w:r>
        <w:t xml:space="preserve"> </w:t>
      </w:r>
      <w:r w:rsidRPr="008020DE">
        <w:t>se</w:t>
      </w:r>
      <w:r>
        <w:t xml:space="preserve"> </w:t>
      </w:r>
      <w:r w:rsidRPr="008020DE">
        <w:t>považuje</w:t>
      </w:r>
      <w:r>
        <w:t xml:space="preserve"> </w:t>
      </w:r>
      <w:r w:rsidRPr="008020DE">
        <w:t>za</w:t>
      </w:r>
      <w:r>
        <w:t xml:space="preserve"> </w:t>
      </w:r>
      <w:r w:rsidRPr="008020DE">
        <w:t>uskutečněné</w:t>
      </w:r>
    </w:p>
    <w:p w14:paraId="622B0502" w14:textId="77777777" w:rsidR="001D06F7" w:rsidRDefault="001D06F7" w:rsidP="001D06F7">
      <w:pPr>
        <w:pStyle w:val="PZTextpsmene"/>
        <w:spacing w:before="0"/>
      </w:pPr>
      <w:r w:rsidRPr="008020DE">
        <w:t>a</w:t>
      </w:r>
      <w:r>
        <w:t>)</w:t>
      </w:r>
      <w:r>
        <w:tab/>
      </w:r>
      <w:r w:rsidRPr="008020DE">
        <w:t>dnem</w:t>
      </w:r>
      <w:r>
        <w:t xml:space="preserve"> </w:t>
      </w:r>
      <w:r w:rsidRPr="008020DE">
        <w:t>převzetí</w:t>
      </w:r>
      <w:r>
        <w:t xml:space="preserve"> </w:t>
      </w:r>
      <w:r w:rsidRPr="008020DE">
        <w:t>díla</w:t>
      </w:r>
      <w:r>
        <w:t xml:space="preserve"> </w:t>
      </w:r>
      <w:r w:rsidRPr="008020DE">
        <w:t>nebo</w:t>
      </w:r>
      <w:r>
        <w:t xml:space="preserve"> </w:t>
      </w:r>
      <w:r w:rsidRPr="008020DE">
        <w:t>jeho</w:t>
      </w:r>
      <w:r>
        <w:t xml:space="preserve"> </w:t>
      </w:r>
      <w:r w:rsidRPr="008020DE">
        <w:t>dílčí</w:t>
      </w:r>
      <w:r>
        <w:t xml:space="preserve"> </w:t>
      </w:r>
      <w:r w:rsidRPr="008020DE">
        <w:t>části</w:t>
      </w:r>
      <w:r>
        <w:t xml:space="preserve"> </w:t>
      </w:r>
      <w:r w:rsidRPr="008020DE">
        <w:t>při</w:t>
      </w:r>
      <w:r>
        <w:t xml:space="preserve"> </w:t>
      </w:r>
      <w:r w:rsidRPr="008020DE">
        <w:t>zdanitelném</w:t>
      </w:r>
      <w:r>
        <w:t xml:space="preserve"> </w:t>
      </w:r>
      <w:r w:rsidRPr="008020DE">
        <w:t>plnění</w:t>
      </w:r>
      <w:r>
        <w:t xml:space="preserve"> </w:t>
      </w:r>
      <w:r w:rsidRPr="008020DE">
        <w:t>uskutečněném</w:t>
      </w:r>
      <w:r>
        <w:t xml:space="preserve"> </w:t>
      </w:r>
      <w:r w:rsidRPr="008020DE">
        <w:t>podle</w:t>
      </w:r>
      <w:r>
        <w:t xml:space="preserve"> </w:t>
      </w:r>
      <w:r w:rsidRPr="008020DE">
        <w:t>smlouvy</w:t>
      </w:r>
      <w:r>
        <w:t xml:space="preserve"> </w:t>
      </w:r>
      <w:r w:rsidRPr="008020DE">
        <w:t>o</w:t>
      </w:r>
      <w:r>
        <w:t xml:space="preserve"> </w:t>
      </w:r>
      <w:r w:rsidRPr="008020DE">
        <w:t>dílo,</w:t>
      </w:r>
    </w:p>
    <w:p w14:paraId="276C032E" w14:textId="77777777" w:rsidR="001D06F7" w:rsidRDefault="001D06F7" w:rsidP="001D06F7">
      <w:pPr>
        <w:pStyle w:val="PZTextpsmene"/>
        <w:spacing w:before="0"/>
      </w:pPr>
      <w:r w:rsidRPr="008020DE">
        <w:t>b</w:t>
      </w:r>
      <w:r>
        <w:t>)</w:t>
      </w:r>
      <w:r>
        <w:tab/>
      </w:r>
      <w:r w:rsidRPr="008020DE">
        <w:t>dnem</w:t>
      </w:r>
    </w:p>
    <w:p w14:paraId="75C2D34D" w14:textId="77777777" w:rsidR="001D06F7" w:rsidRDefault="001D06F7" w:rsidP="001D06F7">
      <w:pPr>
        <w:pStyle w:val="PZTextbodu"/>
        <w:spacing w:before="0"/>
      </w:pPr>
      <w:r w:rsidRPr="008020DE">
        <w:t>1</w:t>
      </w:r>
      <w:r>
        <w:t>.</w:t>
      </w:r>
      <w:r>
        <w:tab/>
      </w:r>
      <w:r w:rsidRPr="008020DE">
        <w:t>vyhotovení</w:t>
      </w:r>
      <w:r>
        <w:t xml:space="preserve"> </w:t>
      </w:r>
      <w:r w:rsidRPr="008020DE">
        <w:t>dokladu</w:t>
      </w:r>
      <w:r>
        <w:t xml:space="preserve"> </w:t>
      </w:r>
      <w:r w:rsidRPr="008020DE">
        <w:t>o</w:t>
      </w:r>
      <w:r>
        <w:t xml:space="preserve"> </w:t>
      </w:r>
      <w:r w:rsidRPr="008020DE">
        <w:t>vyúčtování</w:t>
      </w:r>
      <w:r>
        <w:t xml:space="preserve"> </w:t>
      </w:r>
      <w:r w:rsidRPr="008020DE">
        <w:t>při</w:t>
      </w:r>
      <w:r>
        <w:t xml:space="preserve"> </w:t>
      </w:r>
      <w:r w:rsidRPr="008020DE">
        <w:t>dodání</w:t>
      </w:r>
      <w:r>
        <w:t xml:space="preserve"> </w:t>
      </w:r>
      <w:r w:rsidRPr="008020DE">
        <w:t>elektřiny,</w:t>
      </w:r>
      <w:r>
        <w:t xml:space="preserve"> </w:t>
      </w:r>
      <w:r w:rsidRPr="008020DE">
        <w:t>plynu,</w:t>
      </w:r>
      <w:r>
        <w:t xml:space="preserve"> </w:t>
      </w:r>
      <w:r w:rsidRPr="008020DE">
        <w:t>tepla</w:t>
      </w:r>
      <w:r>
        <w:t xml:space="preserve"> </w:t>
      </w:r>
      <w:r w:rsidRPr="008020DE">
        <w:t>nebo</w:t>
      </w:r>
      <w:r>
        <w:t xml:space="preserve"> </w:t>
      </w:r>
      <w:r w:rsidRPr="008020DE">
        <w:t>chladu,</w:t>
      </w:r>
      <w:r>
        <w:t xml:space="preserve"> </w:t>
      </w:r>
      <w:r w:rsidRPr="008020DE">
        <w:t>sdílení</w:t>
      </w:r>
      <w:r>
        <w:t xml:space="preserve"> </w:t>
      </w:r>
      <w:r w:rsidRPr="008020DE">
        <w:t>elektřiny</w:t>
      </w:r>
      <w:r>
        <w:t xml:space="preserve"> </w:t>
      </w:r>
      <w:r w:rsidRPr="008020DE">
        <w:t>nebo</w:t>
      </w:r>
      <w:r>
        <w:t xml:space="preserve"> </w:t>
      </w:r>
      <w:r w:rsidRPr="008020DE">
        <w:t>poskytnutí</w:t>
      </w:r>
      <w:r>
        <w:t xml:space="preserve"> </w:t>
      </w:r>
      <w:r w:rsidRPr="008020DE">
        <w:t>související</w:t>
      </w:r>
      <w:r>
        <w:t xml:space="preserve"> </w:t>
      </w:r>
      <w:r w:rsidRPr="008020DE">
        <w:t>služby</w:t>
      </w:r>
      <w:r>
        <w:t xml:space="preserve"> </w:t>
      </w:r>
      <w:r w:rsidRPr="008020DE">
        <w:t>v</w:t>
      </w:r>
      <w:r>
        <w:t xml:space="preserve"> </w:t>
      </w:r>
      <w:r w:rsidRPr="008020DE">
        <w:t>elektroenergetice,</w:t>
      </w:r>
      <w:r>
        <w:t xml:space="preserve"> </w:t>
      </w:r>
      <w:r w:rsidRPr="008020DE">
        <w:t>související</w:t>
      </w:r>
      <w:r>
        <w:t xml:space="preserve"> </w:t>
      </w:r>
      <w:r w:rsidRPr="008020DE">
        <w:t>služby</w:t>
      </w:r>
      <w:r>
        <w:t xml:space="preserve"> </w:t>
      </w:r>
      <w:r w:rsidRPr="008020DE">
        <w:t>v</w:t>
      </w:r>
      <w:r>
        <w:t xml:space="preserve"> </w:t>
      </w:r>
      <w:r w:rsidRPr="008020DE">
        <w:t>plynárenství</w:t>
      </w:r>
      <w:r>
        <w:t xml:space="preserve"> </w:t>
      </w:r>
      <w:r w:rsidRPr="008020DE">
        <w:t>nebo</w:t>
      </w:r>
      <w:r>
        <w:t xml:space="preserve"> </w:t>
      </w:r>
      <w:r w:rsidRPr="008020DE">
        <w:t>jiné</w:t>
      </w:r>
      <w:r>
        <w:t xml:space="preserve"> </w:t>
      </w:r>
      <w:r w:rsidRPr="008020DE">
        <w:t>služby</w:t>
      </w:r>
      <w:r>
        <w:t xml:space="preserve"> </w:t>
      </w:r>
      <w:r w:rsidRPr="008020DE">
        <w:t>poskytované</w:t>
      </w:r>
      <w:r>
        <w:t xml:space="preserve"> </w:t>
      </w:r>
      <w:r w:rsidRPr="008020DE">
        <w:t>za</w:t>
      </w:r>
      <w:r>
        <w:t xml:space="preserve"> </w:t>
      </w:r>
      <w:r w:rsidRPr="008020DE">
        <w:t>podmínek</w:t>
      </w:r>
      <w:r>
        <w:t xml:space="preserve"> </w:t>
      </w:r>
      <w:r w:rsidRPr="008020DE">
        <w:t>stanovených</w:t>
      </w:r>
      <w:r>
        <w:t xml:space="preserve"> </w:t>
      </w:r>
      <w:r w:rsidRPr="008020DE">
        <w:t>energetickým</w:t>
      </w:r>
      <w:r>
        <w:t xml:space="preserve"> </w:t>
      </w:r>
      <w:r w:rsidRPr="008020DE">
        <w:t>zákonem,</w:t>
      </w:r>
      <w:r>
        <w:t xml:space="preserve"> </w:t>
      </w:r>
      <w:r w:rsidRPr="008020DE">
        <w:t>nejpozději</w:t>
      </w:r>
      <w:r>
        <w:t xml:space="preserve"> </w:t>
      </w:r>
      <w:r w:rsidRPr="008020DE">
        <w:t>však</w:t>
      </w:r>
      <w:r>
        <w:t xml:space="preserve"> </w:t>
      </w:r>
      <w:r w:rsidRPr="008020DE">
        <w:t>uplynutím</w:t>
      </w:r>
      <w:r>
        <w:t xml:space="preserve"> </w:t>
      </w:r>
      <w:r w:rsidRPr="008020DE">
        <w:t>lhůty</w:t>
      </w:r>
      <w:r>
        <w:t xml:space="preserve"> </w:t>
      </w:r>
      <w:r w:rsidRPr="008020DE">
        <w:t>pro</w:t>
      </w:r>
      <w:r>
        <w:t xml:space="preserve"> </w:t>
      </w:r>
      <w:r w:rsidRPr="008020DE">
        <w:t>poskytnutí</w:t>
      </w:r>
      <w:r>
        <w:t xml:space="preserve"> </w:t>
      </w:r>
      <w:r w:rsidRPr="008020DE">
        <w:t>takového</w:t>
      </w:r>
      <w:r>
        <w:t xml:space="preserve"> </w:t>
      </w:r>
      <w:r w:rsidRPr="008020DE">
        <w:t>vyúčtování</w:t>
      </w:r>
      <w:r>
        <w:t xml:space="preserve"> </w:t>
      </w:r>
      <w:r w:rsidRPr="008020DE">
        <w:t>podle</w:t>
      </w:r>
      <w:r>
        <w:t xml:space="preserve"> </w:t>
      </w:r>
      <w:r w:rsidRPr="008020DE">
        <w:t>energetického</w:t>
      </w:r>
      <w:r>
        <w:t xml:space="preserve"> </w:t>
      </w:r>
      <w:r w:rsidRPr="008020DE">
        <w:t>zákona,</w:t>
      </w:r>
      <w:r>
        <w:t xml:space="preserve"> </w:t>
      </w:r>
      <w:r w:rsidRPr="008020DE">
        <w:t>nebo</w:t>
      </w:r>
      <w:r>
        <w:t xml:space="preserve"> </w:t>
      </w:r>
      <w:r w:rsidRPr="008020DE">
        <w:t>dnem</w:t>
      </w:r>
      <w:r>
        <w:t xml:space="preserve"> </w:t>
      </w:r>
      <w:r w:rsidRPr="008020DE">
        <w:t>zjištění</w:t>
      </w:r>
      <w:r>
        <w:t xml:space="preserve"> </w:t>
      </w:r>
      <w:r w:rsidRPr="008020DE">
        <w:t>skutečné</w:t>
      </w:r>
      <w:r>
        <w:t xml:space="preserve"> </w:t>
      </w:r>
      <w:r w:rsidRPr="008020DE">
        <w:t>spotřeby,</w:t>
      </w:r>
      <w:r>
        <w:t xml:space="preserve"> </w:t>
      </w:r>
      <w:r w:rsidRPr="008020DE">
        <w:t>pokud</w:t>
      </w:r>
      <w:r>
        <w:t xml:space="preserve"> </w:t>
      </w:r>
      <w:r w:rsidRPr="008020DE">
        <w:t>energetický</w:t>
      </w:r>
      <w:r>
        <w:t xml:space="preserve"> </w:t>
      </w:r>
      <w:r w:rsidRPr="008020DE">
        <w:t>zákon</w:t>
      </w:r>
      <w:r>
        <w:t xml:space="preserve"> </w:t>
      </w:r>
      <w:r w:rsidRPr="008020DE">
        <w:t>nestanoví</w:t>
      </w:r>
      <w:r>
        <w:t xml:space="preserve"> </w:t>
      </w:r>
      <w:r w:rsidRPr="008020DE">
        <w:t>povinnost</w:t>
      </w:r>
      <w:r>
        <w:t xml:space="preserve"> </w:t>
      </w:r>
      <w:r w:rsidRPr="008020DE">
        <w:t>poskytovat</w:t>
      </w:r>
      <w:r>
        <w:t xml:space="preserve"> </w:t>
      </w:r>
      <w:r w:rsidRPr="008020DE">
        <w:t>takové</w:t>
      </w:r>
      <w:r>
        <w:t xml:space="preserve"> </w:t>
      </w:r>
      <w:r w:rsidRPr="008020DE">
        <w:t>vyúčtování,</w:t>
      </w:r>
    </w:p>
    <w:p w14:paraId="4E3117C6" w14:textId="77777777" w:rsidR="001D06F7" w:rsidRDefault="001D06F7" w:rsidP="001D06F7">
      <w:pPr>
        <w:pStyle w:val="PZTextbodu"/>
        <w:spacing w:before="0"/>
      </w:pPr>
      <w:r w:rsidRPr="008020DE">
        <w:t>2</w:t>
      </w:r>
      <w:r>
        <w:t>.</w:t>
      </w:r>
      <w:r>
        <w:tab/>
      </w:r>
      <w:r w:rsidRPr="008020DE">
        <w:t>zjištění</w:t>
      </w:r>
      <w:r>
        <w:t xml:space="preserve"> </w:t>
      </w:r>
      <w:r w:rsidRPr="008020DE">
        <w:t>skutečné</w:t>
      </w:r>
      <w:r>
        <w:t xml:space="preserve"> </w:t>
      </w:r>
      <w:r w:rsidRPr="008020DE">
        <w:t>spotřeby</w:t>
      </w:r>
      <w:r>
        <w:t xml:space="preserve"> </w:t>
      </w:r>
      <w:r w:rsidRPr="008020DE">
        <w:t>při</w:t>
      </w:r>
      <w:r>
        <w:t xml:space="preserve"> </w:t>
      </w:r>
      <w:r w:rsidRPr="008020DE">
        <w:t>dodání</w:t>
      </w:r>
      <w:r>
        <w:t xml:space="preserve"> </w:t>
      </w:r>
      <w:r w:rsidRPr="008020DE">
        <w:t>vody</w:t>
      </w:r>
      <w:r>
        <w:t xml:space="preserve"> </w:t>
      </w:r>
      <w:r w:rsidRPr="008020DE">
        <w:t>nebo</w:t>
      </w:r>
      <w:r>
        <w:t xml:space="preserve"> </w:t>
      </w:r>
      <w:r w:rsidRPr="008020DE">
        <w:t>odstranění</w:t>
      </w:r>
      <w:r>
        <w:t xml:space="preserve"> </w:t>
      </w:r>
      <w:r w:rsidRPr="008020DE">
        <w:t>odpadních</w:t>
      </w:r>
      <w:r>
        <w:t xml:space="preserve"> </w:t>
      </w:r>
      <w:r w:rsidRPr="008020DE">
        <w:t>vod,</w:t>
      </w:r>
      <w:r>
        <w:t xml:space="preserve"> </w:t>
      </w:r>
      <w:r w:rsidRPr="008020DE">
        <w:t>nebo</w:t>
      </w:r>
    </w:p>
    <w:p w14:paraId="4C69E8DC" w14:textId="77777777" w:rsidR="001D06F7" w:rsidRDefault="001D06F7" w:rsidP="001D06F7">
      <w:pPr>
        <w:pStyle w:val="PZTextbodu"/>
        <w:spacing w:before="0"/>
      </w:pPr>
      <w:r w:rsidRPr="008020DE">
        <w:t>3</w:t>
      </w:r>
      <w:r>
        <w:t>.</w:t>
      </w:r>
      <w:r>
        <w:tab/>
      </w:r>
      <w:r w:rsidRPr="008020DE">
        <w:t>zjištění</w:t>
      </w:r>
      <w:r>
        <w:t xml:space="preserve"> </w:t>
      </w:r>
      <w:r w:rsidRPr="008020DE">
        <w:t>rozsahu</w:t>
      </w:r>
      <w:r>
        <w:t xml:space="preserve"> </w:t>
      </w:r>
      <w:r w:rsidRPr="008020DE">
        <w:t>poskytnutých</w:t>
      </w:r>
      <w:r>
        <w:t xml:space="preserve"> </w:t>
      </w:r>
      <w:r w:rsidRPr="008020DE">
        <w:t>služeb</w:t>
      </w:r>
      <w:r>
        <w:t xml:space="preserve"> </w:t>
      </w:r>
      <w:r w:rsidRPr="008020DE">
        <w:t>při</w:t>
      </w:r>
      <w:r>
        <w:t xml:space="preserve"> </w:t>
      </w:r>
      <w:r w:rsidRPr="008020DE">
        <w:t>poskytnutí</w:t>
      </w:r>
      <w:r>
        <w:t xml:space="preserve"> </w:t>
      </w:r>
      <w:r w:rsidRPr="008020DE">
        <w:t>služeb</w:t>
      </w:r>
      <w:r>
        <w:t xml:space="preserve"> </w:t>
      </w:r>
      <w:r w:rsidRPr="008020DE">
        <w:t>elektronických</w:t>
      </w:r>
      <w:r>
        <w:t xml:space="preserve"> </w:t>
      </w:r>
      <w:r w:rsidRPr="008020DE">
        <w:t>komunikací,</w:t>
      </w:r>
    </w:p>
    <w:p w14:paraId="16172946" w14:textId="77777777" w:rsidR="001D06F7" w:rsidRDefault="001D06F7" w:rsidP="001D06F7">
      <w:pPr>
        <w:pStyle w:val="PZTextpsmene"/>
        <w:spacing w:before="0"/>
      </w:pPr>
      <w:r w:rsidRPr="008020DE">
        <w:t>c</w:t>
      </w:r>
      <w:r>
        <w:t>)</w:t>
      </w:r>
      <w:r>
        <w:tab/>
      </w:r>
      <w:r w:rsidRPr="008020DE">
        <w:t>dnem</w:t>
      </w:r>
      <w:r>
        <w:t xml:space="preserve"> </w:t>
      </w:r>
      <w:r w:rsidRPr="008020DE">
        <w:t>zjištění</w:t>
      </w:r>
      <w:r>
        <w:t xml:space="preserve"> </w:t>
      </w:r>
      <w:r w:rsidRPr="008020DE">
        <w:t>skutečné</w:t>
      </w:r>
      <w:r>
        <w:t xml:space="preserve"> </w:t>
      </w:r>
      <w:r w:rsidRPr="008020DE">
        <w:t>výše</w:t>
      </w:r>
      <w:r>
        <w:t xml:space="preserve"> </w:t>
      </w:r>
      <w:r w:rsidRPr="008020DE">
        <w:t>částky</w:t>
      </w:r>
      <w:r>
        <w:t xml:space="preserve"> </w:t>
      </w:r>
      <w:r w:rsidRPr="008020DE">
        <w:t>za</w:t>
      </w:r>
      <w:r>
        <w:t xml:space="preserve"> </w:t>
      </w:r>
      <w:r w:rsidRPr="008020DE">
        <w:t>službu</w:t>
      </w:r>
      <w:r>
        <w:t xml:space="preserve"> </w:t>
      </w:r>
      <w:r w:rsidRPr="008020DE">
        <w:t>poskytovanou</w:t>
      </w:r>
      <w:r>
        <w:t xml:space="preserve"> </w:t>
      </w:r>
      <w:r w:rsidRPr="008020DE">
        <w:t>v</w:t>
      </w:r>
      <w:r>
        <w:t xml:space="preserve"> </w:t>
      </w:r>
      <w:r w:rsidRPr="008020DE">
        <w:t>přímé</w:t>
      </w:r>
      <w:r>
        <w:t xml:space="preserve"> </w:t>
      </w:r>
      <w:r w:rsidRPr="008020DE">
        <w:t>souvislosti</w:t>
      </w:r>
      <w:r>
        <w:t xml:space="preserve"> </w:t>
      </w:r>
      <w:r w:rsidRPr="008020DE">
        <w:t>s</w:t>
      </w:r>
      <w:r>
        <w:t xml:space="preserve"> </w:t>
      </w:r>
      <w:r w:rsidRPr="008020DE">
        <w:t>nájmem</w:t>
      </w:r>
      <w:r>
        <w:t xml:space="preserve"> </w:t>
      </w:r>
      <w:r w:rsidRPr="008020DE">
        <w:t>nemovité</w:t>
      </w:r>
      <w:r>
        <w:t xml:space="preserve"> </w:t>
      </w:r>
      <w:r w:rsidRPr="008020DE">
        <w:t>věci,</w:t>
      </w:r>
      <w:r>
        <w:t xml:space="preserve"> </w:t>
      </w:r>
      <w:r w:rsidRPr="008020DE">
        <w:t>která</w:t>
      </w:r>
      <w:r>
        <w:t xml:space="preserve"> </w:t>
      </w:r>
      <w:r w:rsidRPr="008020DE">
        <w:t>byla</w:t>
      </w:r>
      <w:r>
        <w:t xml:space="preserve"> </w:t>
      </w:r>
      <w:r w:rsidRPr="008020DE">
        <w:t>v</w:t>
      </w:r>
      <w:r>
        <w:t xml:space="preserve"> </w:t>
      </w:r>
      <w:r w:rsidRPr="008020DE">
        <w:t>souvislosti</w:t>
      </w:r>
      <w:r>
        <w:t xml:space="preserve"> </w:t>
      </w:r>
      <w:r w:rsidRPr="008020DE">
        <w:t>s</w:t>
      </w:r>
      <w:r>
        <w:t xml:space="preserve"> </w:t>
      </w:r>
      <w:r w:rsidRPr="008020DE">
        <w:t>tímto</w:t>
      </w:r>
      <w:r>
        <w:t xml:space="preserve"> </w:t>
      </w:r>
      <w:r w:rsidRPr="008020DE">
        <w:t>nájmem</w:t>
      </w:r>
      <w:r>
        <w:t xml:space="preserve"> </w:t>
      </w:r>
      <w:r w:rsidRPr="008020DE">
        <w:t>přijata,</w:t>
      </w:r>
      <w:r>
        <w:t xml:space="preserve"> </w:t>
      </w:r>
      <w:r w:rsidRPr="008020DE">
        <w:t>pokud</w:t>
      </w:r>
      <w:r>
        <w:t xml:space="preserve"> </w:t>
      </w:r>
      <w:r w:rsidRPr="008020DE">
        <w:t>se</w:t>
      </w:r>
      <w:r>
        <w:t xml:space="preserve"> </w:t>
      </w:r>
      <w:r w:rsidRPr="008020DE">
        <w:t>nejedná</w:t>
      </w:r>
      <w:r>
        <w:t xml:space="preserve"> </w:t>
      </w:r>
      <w:r w:rsidRPr="008020DE">
        <w:t>o</w:t>
      </w:r>
      <w:r>
        <w:t xml:space="preserve"> </w:t>
      </w:r>
      <w:r w:rsidRPr="008020DE">
        <w:t>službu</w:t>
      </w:r>
      <w:r>
        <w:t xml:space="preserve"> </w:t>
      </w:r>
      <w:r w:rsidRPr="008020DE">
        <w:t>podle</w:t>
      </w:r>
      <w:r>
        <w:t xml:space="preserve"> </w:t>
      </w:r>
      <w:r w:rsidRPr="008020DE">
        <w:t>písmene</w:t>
      </w:r>
      <w:r>
        <w:t xml:space="preserve"> </w:t>
      </w:r>
      <w:r w:rsidRPr="008020DE">
        <w:t>b),</w:t>
      </w:r>
    </w:p>
    <w:p w14:paraId="119724BF" w14:textId="77777777" w:rsidR="001D06F7" w:rsidRDefault="001D06F7" w:rsidP="001D06F7">
      <w:pPr>
        <w:pStyle w:val="PZTextpsmene"/>
        <w:spacing w:before="0"/>
      </w:pPr>
      <w:r w:rsidRPr="008020DE">
        <w:t>d</w:t>
      </w:r>
      <w:r>
        <w:t>)</w:t>
      </w:r>
      <w:r>
        <w:tab/>
      </w:r>
      <w:r w:rsidRPr="008020DE">
        <w:t>dnem</w:t>
      </w:r>
      <w:r>
        <w:t xml:space="preserve"> </w:t>
      </w:r>
      <w:r w:rsidRPr="008020DE">
        <w:t>použití</w:t>
      </w:r>
      <w:r>
        <w:t xml:space="preserve"> </w:t>
      </w:r>
      <w:r w:rsidRPr="008020DE">
        <w:t>majetku</w:t>
      </w:r>
      <w:r>
        <w:t xml:space="preserve"> </w:t>
      </w:r>
      <w:r w:rsidRPr="008020DE">
        <w:t>nebo</w:t>
      </w:r>
      <w:r>
        <w:t xml:space="preserve"> </w:t>
      </w:r>
      <w:r w:rsidRPr="008020DE">
        <w:t>využití</w:t>
      </w:r>
      <w:r>
        <w:t xml:space="preserve"> </w:t>
      </w:r>
      <w:r w:rsidRPr="008020DE">
        <w:t>služby</w:t>
      </w:r>
      <w:r>
        <w:t xml:space="preserve"> </w:t>
      </w:r>
      <w:r w:rsidRPr="008020DE">
        <w:t>při</w:t>
      </w:r>
      <w:r>
        <w:t xml:space="preserve"> </w:t>
      </w:r>
      <w:r w:rsidRPr="008020DE">
        <w:t>použití</w:t>
      </w:r>
      <w:r>
        <w:t xml:space="preserve"> </w:t>
      </w:r>
      <w:r w:rsidRPr="008020DE">
        <w:t>hmotného</w:t>
      </w:r>
      <w:r>
        <w:t xml:space="preserve"> </w:t>
      </w:r>
      <w:r w:rsidRPr="008020DE">
        <w:t>majetku</w:t>
      </w:r>
      <w:r>
        <w:t xml:space="preserve"> </w:t>
      </w:r>
      <w:r w:rsidRPr="008020DE">
        <w:t>nebo</w:t>
      </w:r>
      <w:r>
        <w:t xml:space="preserve"> </w:t>
      </w:r>
      <w:r w:rsidRPr="008020DE">
        <w:t>poskytnutí</w:t>
      </w:r>
      <w:r>
        <w:t xml:space="preserve"> </w:t>
      </w:r>
      <w:r w:rsidRPr="008020DE">
        <w:t>služby</w:t>
      </w:r>
      <w:r>
        <w:t xml:space="preserve"> </w:t>
      </w:r>
      <w:r w:rsidRPr="008020DE">
        <w:t>pro</w:t>
      </w:r>
      <w:r>
        <w:t xml:space="preserve"> </w:t>
      </w:r>
      <w:r w:rsidRPr="008020DE">
        <w:t>účely</w:t>
      </w:r>
      <w:r>
        <w:t xml:space="preserve"> </w:t>
      </w:r>
      <w:r w:rsidRPr="008020DE">
        <w:t>nesouvisející</w:t>
      </w:r>
      <w:r>
        <w:t xml:space="preserve"> </w:t>
      </w:r>
      <w:r w:rsidRPr="008020DE">
        <w:t>s</w:t>
      </w:r>
      <w:r>
        <w:t xml:space="preserve"> </w:t>
      </w:r>
      <w:r w:rsidRPr="008020DE">
        <w:t>uskutečňováním</w:t>
      </w:r>
      <w:r>
        <w:t xml:space="preserve"> </w:t>
      </w:r>
      <w:r w:rsidRPr="008020DE">
        <w:t>ekonomických</w:t>
      </w:r>
      <w:r>
        <w:t xml:space="preserve"> </w:t>
      </w:r>
      <w:r w:rsidRPr="008020DE">
        <w:t>činností</w:t>
      </w:r>
      <w:r>
        <w:t xml:space="preserve"> </w:t>
      </w:r>
      <w:r w:rsidRPr="008020DE">
        <w:t>plátce,</w:t>
      </w:r>
    </w:p>
    <w:p w14:paraId="6E695D58" w14:textId="77777777" w:rsidR="001D06F7" w:rsidRDefault="001D06F7" w:rsidP="001D06F7">
      <w:pPr>
        <w:pStyle w:val="PZTextpsmene"/>
        <w:spacing w:before="0"/>
      </w:pPr>
      <w:r w:rsidRPr="008020DE">
        <w:t>e</w:t>
      </w:r>
      <w:r>
        <w:t>)</w:t>
      </w:r>
      <w:r>
        <w:tab/>
      </w:r>
      <w:r w:rsidRPr="008020DE">
        <w:t>dnem</w:t>
      </w:r>
      <w:r>
        <w:t xml:space="preserve"> </w:t>
      </w:r>
      <w:r w:rsidRPr="008020DE">
        <w:t>uvedení</w:t>
      </w:r>
      <w:r>
        <w:t xml:space="preserve"> </w:t>
      </w:r>
      <w:r w:rsidRPr="008020DE">
        <w:t>do</w:t>
      </w:r>
      <w:r>
        <w:t xml:space="preserve"> </w:t>
      </w:r>
      <w:r w:rsidRPr="008020DE">
        <w:t>stavu</w:t>
      </w:r>
      <w:r>
        <w:t xml:space="preserve"> </w:t>
      </w:r>
      <w:r w:rsidRPr="008020DE">
        <w:t>způsobilého</w:t>
      </w:r>
      <w:r>
        <w:t xml:space="preserve"> </w:t>
      </w:r>
      <w:r w:rsidRPr="008020DE">
        <w:t>k</w:t>
      </w:r>
      <w:r>
        <w:t xml:space="preserve"> </w:t>
      </w:r>
      <w:r w:rsidRPr="008020DE">
        <w:t>užívání</w:t>
      </w:r>
      <w:r w:rsidRPr="008020DE">
        <w:rPr>
          <w:vertAlign w:val="superscript"/>
        </w:rPr>
        <w:t>74)</w:t>
      </w:r>
      <w:r>
        <w:t xml:space="preserve"> </w:t>
      </w:r>
      <w:r w:rsidRPr="008020DE">
        <w:t>při</w:t>
      </w:r>
      <w:r>
        <w:t xml:space="preserve"> </w:t>
      </w:r>
      <w:r w:rsidRPr="008020DE">
        <w:t>plnění</w:t>
      </w:r>
      <w:r>
        <w:t xml:space="preserve"> </w:t>
      </w:r>
      <w:r w:rsidRPr="008020DE">
        <w:t>vymezeném</w:t>
      </w:r>
      <w:r>
        <w:t xml:space="preserve"> </w:t>
      </w:r>
      <w:r w:rsidRPr="008020DE">
        <w:t>v</w:t>
      </w:r>
      <w:r>
        <w:t xml:space="preserve"> </w:t>
      </w:r>
      <w:r w:rsidRPr="008020DE">
        <w:t>§</w:t>
      </w:r>
      <w:r>
        <w:t xml:space="preserve"> </w:t>
      </w:r>
      <w:r w:rsidRPr="008020DE">
        <w:t>13</w:t>
      </w:r>
      <w:r>
        <w:t xml:space="preserve"> </w:t>
      </w:r>
      <w:r w:rsidRPr="008020DE">
        <w:t>odst.</w:t>
      </w:r>
      <w:r>
        <w:t xml:space="preserve"> </w:t>
      </w:r>
      <w:r w:rsidRPr="008020DE">
        <w:t>4</w:t>
      </w:r>
      <w:r>
        <w:t xml:space="preserve"> </w:t>
      </w:r>
      <w:r w:rsidRPr="008020DE">
        <w:t>písm.</w:t>
      </w:r>
      <w:r>
        <w:t xml:space="preserve"> </w:t>
      </w:r>
      <w:r w:rsidRPr="008020DE">
        <w:t>b),</w:t>
      </w:r>
    </w:p>
    <w:p w14:paraId="5B2EEE61" w14:textId="77777777" w:rsidR="001D06F7" w:rsidRDefault="001D06F7" w:rsidP="001D06F7">
      <w:pPr>
        <w:pStyle w:val="PZTextpsmene"/>
        <w:spacing w:before="0"/>
      </w:pPr>
      <w:r w:rsidRPr="008020DE">
        <w:t>f</w:t>
      </w:r>
      <w:r>
        <w:t>)</w:t>
      </w:r>
      <w:r>
        <w:tab/>
      </w:r>
      <w:r w:rsidRPr="008020DE">
        <w:t>dnem,</w:t>
      </w:r>
      <w:r>
        <w:t xml:space="preserve"> </w:t>
      </w:r>
      <w:r w:rsidRPr="008020DE">
        <w:t>ke</w:t>
      </w:r>
      <w:r>
        <w:t xml:space="preserve"> </w:t>
      </w:r>
      <w:r w:rsidRPr="008020DE">
        <w:t>kterému</w:t>
      </w:r>
      <w:r>
        <w:t xml:space="preserve"> </w:t>
      </w:r>
      <w:r w:rsidRPr="008020DE">
        <w:t>dochází</w:t>
      </w:r>
      <w:r>
        <w:t xml:space="preserve"> </w:t>
      </w:r>
      <w:r w:rsidRPr="008020DE">
        <w:t>k</w:t>
      </w:r>
      <w:r>
        <w:t xml:space="preserve"> </w:t>
      </w:r>
      <w:r w:rsidRPr="008020DE">
        <w:t>pozbytí</w:t>
      </w:r>
      <w:r>
        <w:t xml:space="preserve"> </w:t>
      </w:r>
      <w:r w:rsidRPr="008020DE">
        <w:t>vlastnického</w:t>
      </w:r>
      <w:r>
        <w:t xml:space="preserve"> </w:t>
      </w:r>
      <w:r w:rsidRPr="008020DE">
        <w:t>práva</w:t>
      </w:r>
      <w:r>
        <w:t xml:space="preserve"> </w:t>
      </w:r>
      <w:r w:rsidRPr="008020DE">
        <w:t>k</w:t>
      </w:r>
      <w:r>
        <w:t xml:space="preserve"> </w:t>
      </w:r>
      <w:r w:rsidRPr="008020DE">
        <w:t>nepeněžitému</w:t>
      </w:r>
      <w:r>
        <w:t xml:space="preserve"> </w:t>
      </w:r>
      <w:r w:rsidRPr="008020DE">
        <w:t>vkladu,</w:t>
      </w:r>
      <w:r>
        <w:t xml:space="preserve"> </w:t>
      </w:r>
      <w:r w:rsidRPr="008020DE">
        <w:t>popřípadě</w:t>
      </w:r>
      <w:r>
        <w:t xml:space="preserve"> </w:t>
      </w:r>
      <w:r w:rsidRPr="008020DE">
        <w:t>jiných</w:t>
      </w:r>
      <w:r>
        <w:t xml:space="preserve"> </w:t>
      </w:r>
      <w:r w:rsidRPr="008020DE">
        <w:t>práv</w:t>
      </w:r>
      <w:r>
        <w:t xml:space="preserve"> </w:t>
      </w:r>
      <w:r w:rsidRPr="008020DE">
        <w:t>k</w:t>
      </w:r>
      <w:r>
        <w:t xml:space="preserve"> </w:t>
      </w:r>
      <w:r w:rsidRPr="008020DE">
        <w:t>tomuto</w:t>
      </w:r>
      <w:r>
        <w:t xml:space="preserve"> </w:t>
      </w:r>
      <w:r w:rsidRPr="008020DE">
        <w:t>vkladu,</w:t>
      </w:r>
      <w:r>
        <w:t xml:space="preserve"> </w:t>
      </w:r>
      <w:r w:rsidRPr="008020DE">
        <w:t>při</w:t>
      </w:r>
      <w:r>
        <w:t xml:space="preserve"> </w:t>
      </w:r>
      <w:r w:rsidRPr="008020DE">
        <w:t>vložení</w:t>
      </w:r>
      <w:r>
        <w:t xml:space="preserve"> </w:t>
      </w:r>
      <w:r w:rsidRPr="008020DE">
        <w:t>majetkového</w:t>
      </w:r>
      <w:r>
        <w:t xml:space="preserve"> </w:t>
      </w:r>
      <w:r w:rsidRPr="008020DE">
        <w:t>vkladu</w:t>
      </w:r>
      <w:r>
        <w:t xml:space="preserve"> </w:t>
      </w:r>
      <w:r w:rsidRPr="008020DE">
        <w:t>v</w:t>
      </w:r>
      <w:r>
        <w:t xml:space="preserve"> </w:t>
      </w:r>
      <w:r w:rsidRPr="008020DE">
        <w:t>nepeněžité</w:t>
      </w:r>
      <w:r>
        <w:t xml:space="preserve"> </w:t>
      </w:r>
      <w:r w:rsidRPr="008020DE">
        <w:t>podobě,</w:t>
      </w:r>
      <w:r>
        <w:t xml:space="preserve"> </w:t>
      </w:r>
      <w:r w:rsidRPr="008020DE">
        <w:t>s</w:t>
      </w:r>
      <w:r>
        <w:t xml:space="preserve"> </w:t>
      </w:r>
      <w:r w:rsidRPr="008020DE">
        <w:t>výjimkou</w:t>
      </w:r>
      <w:r>
        <w:t xml:space="preserve"> </w:t>
      </w:r>
      <w:r w:rsidRPr="008020DE">
        <w:t>nemovité</w:t>
      </w:r>
      <w:r>
        <w:t xml:space="preserve"> </w:t>
      </w:r>
      <w:r w:rsidRPr="008020DE">
        <w:t>věci,</w:t>
      </w:r>
      <w:r>
        <w:t xml:space="preserve"> </w:t>
      </w:r>
      <w:r w:rsidRPr="008020DE">
        <w:t>kdy</w:t>
      </w:r>
      <w:r>
        <w:t xml:space="preserve"> </w:t>
      </w:r>
      <w:r w:rsidRPr="008020DE">
        <w:t>se</w:t>
      </w:r>
      <w:r>
        <w:t xml:space="preserve"> </w:t>
      </w:r>
      <w:r w:rsidRPr="008020DE">
        <w:t>postupuje</w:t>
      </w:r>
      <w:r>
        <w:t xml:space="preserve"> </w:t>
      </w:r>
      <w:r w:rsidRPr="008020DE">
        <w:t>podle</w:t>
      </w:r>
      <w:r>
        <w:t xml:space="preserve"> </w:t>
      </w:r>
      <w:r w:rsidRPr="008020DE">
        <w:t>odstavce</w:t>
      </w:r>
      <w:r>
        <w:t xml:space="preserve"> </w:t>
      </w:r>
      <w:r w:rsidRPr="008020DE">
        <w:t>2,</w:t>
      </w:r>
    </w:p>
    <w:p w14:paraId="327BF15B" w14:textId="77777777" w:rsidR="001D06F7" w:rsidRDefault="001D06F7" w:rsidP="001D06F7">
      <w:pPr>
        <w:pStyle w:val="PZTextpsmene"/>
        <w:spacing w:before="0"/>
      </w:pPr>
      <w:r w:rsidRPr="008020DE">
        <w:t>g</w:t>
      </w:r>
      <w:r>
        <w:t>)</w:t>
      </w:r>
      <w:r>
        <w:tab/>
      </w:r>
      <w:r w:rsidRPr="008020DE">
        <w:t>dnem,</w:t>
      </w:r>
      <w:r>
        <w:t xml:space="preserve"> </w:t>
      </w:r>
      <w:r w:rsidRPr="008020DE">
        <w:t>ke</w:t>
      </w:r>
      <w:r>
        <w:t xml:space="preserve"> </w:t>
      </w:r>
      <w:r w:rsidRPr="008020DE">
        <w:t>kterému</w:t>
      </w:r>
      <w:r>
        <w:t xml:space="preserve"> </w:t>
      </w:r>
      <w:r w:rsidRPr="008020DE">
        <w:t>dochází</w:t>
      </w:r>
      <w:r>
        <w:t xml:space="preserve"> </w:t>
      </w:r>
      <w:r w:rsidRPr="008020DE">
        <w:t>k</w:t>
      </w:r>
      <w:r>
        <w:t xml:space="preserve"> </w:t>
      </w:r>
      <w:r w:rsidRPr="008020DE">
        <w:t>pozbytí</w:t>
      </w:r>
      <w:r>
        <w:t xml:space="preserve"> </w:t>
      </w:r>
      <w:r w:rsidRPr="008020DE">
        <w:t>vlastnického</w:t>
      </w:r>
      <w:r>
        <w:t xml:space="preserve"> </w:t>
      </w:r>
      <w:r w:rsidRPr="008020DE">
        <w:t>práva,</w:t>
      </w:r>
      <w:r>
        <w:t xml:space="preserve"> </w:t>
      </w:r>
      <w:r w:rsidRPr="008020DE">
        <w:t>popřípadě</w:t>
      </w:r>
      <w:r>
        <w:t xml:space="preserve"> </w:t>
      </w:r>
      <w:r w:rsidRPr="008020DE">
        <w:t>jiných</w:t>
      </w:r>
      <w:r>
        <w:t xml:space="preserve"> </w:t>
      </w:r>
      <w:r w:rsidRPr="008020DE">
        <w:t>práv</w:t>
      </w:r>
      <w:r>
        <w:t xml:space="preserve"> </w:t>
      </w:r>
      <w:r w:rsidRPr="008020DE">
        <w:t>k</w:t>
      </w:r>
      <w:r>
        <w:t xml:space="preserve"> </w:t>
      </w:r>
      <w:r w:rsidRPr="008020DE">
        <w:t>vydávanému</w:t>
      </w:r>
      <w:r>
        <w:t xml:space="preserve"> </w:t>
      </w:r>
      <w:r w:rsidRPr="008020DE">
        <w:t>majetku,</w:t>
      </w:r>
      <w:r>
        <w:t xml:space="preserve"> </w:t>
      </w:r>
      <w:r w:rsidRPr="008020DE">
        <w:t>při</w:t>
      </w:r>
      <w:r>
        <w:t xml:space="preserve"> </w:t>
      </w:r>
      <w:r w:rsidRPr="008020DE">
        <w:t>vydání</w:t>
      </w:r>
      <w:r>
        <w:t xml:space="preserve"> </w:t>
      </w:r>
      <w:r w:rsidRPr="008020DE">
        <w:t>vypořádacího</w:t>
      </w:r>
      <w:r>
        <w:t xml:space="preserve"> </w:t>
      </w:r>
      <w:r w:rsidRPr="008020DE">
        <w:t>podílu</w:t>
      </w:r>
      <w:r>
        <w:t xml:space="preserve"> </w:t>
      </w:r>
      <w:r w:rsidRPr="008020DE">
        <w:t>na</w:t>
      </w:r>
      <w:r>
        <w:t xml:space="preserve"> </w:t>
      </w:r>
      <w:r w:rsidRPr="008020DE">
        <w:t>obchodní</w:t>
      </w:r>
      <w:r>
        <w:t xml:space="preserve"> </w:t>
      </w:r>
      <w:r w:rsidRPr="008020DE">
        <w:t>korporaci</w:t>
      </w:r>
      <w:r>
        <w:t xml:space="preserve"> </w:t>
      </w:r>
      <w:r w:rsidRPr="008020DE">
        <w:t>nebo</w:t>
      </w:r>
      <w:r>
        <w:t xml:space="preserve"> </w:t>
      </w:r>
      <w:r w:rsidRPr="008020DE">
        <w:t>podílu</w:t>
      </w:r>
      <w:r>
        <w:t xml:space="preserve"> </w:t>
      </w:r>
      <w:r w:rsidRPr="008020DE">
        <w:t>na</w:t>
      </w:r>
      <w:r>
        <w:t xml:space="preserve"> </w:t>
      </w:r>
      <w:r w:rsidRPr="008020DE">
        <w:t>likvidačním</w:t>
      </w:r>
      <w:r>
        <w:t xml:space="preserve"> </w:t>
      </w:r>
      <w:r w:rsidRPr="008020DE">
        <w:t>zůstatku,</w:t>
      </w:r>
      <w:r>
        <w:t xml:space="preserve"> </w:t>
      </w:r>
      <w:r w:rsidRPr="008020DE">
        <w:t>s</w:t>
      </w:r>
      <w:r>
        <w:t xml:space="preserve"> </w:t>
      </w:r>
      <w:r w:rsidRPr="008020DE">
        <w:t>výjimkou</w:t>
      </w:r>
      <w:r>
        <w:t xml:space="preserve"> </w:t>
      </w:r>
      <w:r w:rsidRPr="008020DE">
        <w:t>nemovité</w:t>
      </w:r>
      <w:r>
        <w:t xml:space="preserve"> </w:t>
      </w:r>
      <w:r w:rsidRPr="008020DE">
        <w:t>věci,</w:t>
      </w:r>
      <w:r>
        <w:t xml:space="preserve"> </w:t>
      </w:r>
      <w:r w:rsidRPr="008020DE">
        <w:t>kdy</w:t>
      </w:r>
      <w:r>
        <w:t xml:space="preserve"> </w:t>
      </w:r>
      <w:r w:rsidRPr="008020DE">
        <w:t>se</w:t>
      </w:r>
      <w:r>
        <w:t xml:space="preserve"> </w:t>
      </w:r>
      <w:r w:rsidRPr="008020DE">
        <w:t>postupuje</w:t>
      </w:r>
      <w:r>
        <w:t xml:space="preserve"> </w:t>
      </w:r>
      <w:r w:rsidRPr="008020DE">
        <w:t>podle</w:t>
      </w:r>
      <w:r>
        <w:t xml:space="preserve"> </w:t>
      </w:r>
      <w:r w:rsidRPr="008020DE">
        <w:t>odstavce</w:t>
      </w:r>
      <w:r>
        <w:t xml:space="preserve"> </w:t>
      </w:r>
      <w:r w:rsidRPr="008020DE">
        <w:t>2,</w:t>
      </w:r>
    </w:p>
    <w:p w14:paraId="57E6FC09" w14:textId="77777777" w:rsidR="001D06F7" w:rsidRDefault="001D06F7" w:rsidP="001D06F7">
      <w:pPr>
        <w:pStyle w:val="PZTextpsmene"/>
        <w:spacing w:before="0"/>
      </w:pPr>
      <w:r w:rsidRPr="008020DE">
        <w:t>h</w:t>
      </w:r>
      <w:r>
        <w:t>)</w:t>
      </w:r>
      <w:r>
        <w:tab/>
      </w:r>
      <w:r w:rsidRPr="008020DE">
        <w:t>dnem</w:t>
      </w:r>
      <w:r>
        <w:t xml:space="preserve"> </w:t>
      </w:r>
      <w:r w:rsidRPr="008020DE">
        <w:t>dodání</w:t>
      </w:r>
      <w:r>
        <w:t xml:space="preserve"> </w:t>
      </w:r>
      <w:r w:rsidRPr="008020DE">
        <w:t>třetí</w:t>
      </w:r>
      <w:r>
        <w:t xml:space="preserve"> </w:t>
      </w:r>
      <w:r w:rsidRPr="008020DE">
        <w:t>osobě,</w:t>
      </w:r>
      <w:r>
        <w:t xml:space="preserve"> </w:t>
      </w:r>
      <w:r w:rsidRPr="008020DE">
        <w:t>a</w:t>
      </w:r>
      <w:r>
        <w:t xml:space="preserve"> </w:t>
      </w:r>
      <w:r w:rsidRPr="008020DE">
        <w:t>to</w:t>
      </w:r>
      <w:r>
        <w:t xml:space="preserve"> </w:t>
      </w:r>
      <w:r w:rsidRPr="008020DE">
        <w:t>jak</w:t>
      </w:r>
      <w:r>
        <w:t xml:space="preserve"> </w:t>
      </w:r>
      <w:r w:rsidRPr="008020DE">
        <w:t>u</w:t>
      </w:r>
      <w:r>
        <w:t xml:space="preserve"> </w:t>
      </w:r>
      <w:r w:rsidRPr="008020DE">
        <w:t>komitenta,</w:t>
      </w:r>
      <w:r>
        <w:t xml:space="preserve"> </w:t>
      </w:r>
      <w:r w:rsidRPr="008020DE">
        <w:t>tak</w:t>
      </w:r>
      <w:r>
        <w:t xml:space="preserve"> </w:t>
      </w:r>
      <w:r w:rsidRPr="008020DE">
        <w:t>u</w:t>
      </w:r>
      <w:r>
        <w:t xml:space="preserve"> </w:t>
      </w:r>
      <w:r w:rsidRPr="008020DE">
        <w:t>komisionáře,</w:t>
      </w:r>
      <w:r>
        <w:t xml:space="preserve"> </w:t>
      </w:r>
      <w:r w:rsidRPr="008020DE">
        <w:t>popřípadě</w:t>
      </w:r>
      <w:r>
        <w:t xml:space="preserve"> </w:t>
      </w:r>
      <w:r w:rsidRPr="008020DE">
        <w:t>dnem</w:t>
      </w:r>
      <w:r>
        <w:t xml:space="preserve"> </w:t>
      </w:r>
      <w:r w:rsidRPr="008020DE">
        <w:t>dodání</w:t>
      </w:r>
      <w:r>
        <w:t xml:space="preserve"> </w:t>
      </w:r>
      <w:r w:rsidRPr="008020DE">
        <w:t>třetí</w:t>
      </w:r>
      <w:r>
        <w:t xml:space="preserve"> </w:t>
      </w:r>
      <w:r w:rsidRPr="008020DE">
        <w:t>osobou,</w:t>
      </w:r>
      <w:r>
        <w:t xml:space="preserve"> </w:t>
      </w:r>
      <w:r w:rsidRPr="008020DE">
        <w:t>při</w:t>
      </w:r>
      <w:r>
        <w:t xml:space="preserve"> </w:t>
      </w:r>
      <w:r w:rsidRPr="008020DE">
        <w:t>dodání</w:t>
      </w:r>
      <w:r>
        <w:t xml:space="preserve"> </w:t>
      </w:r>
      <w:r w:rsidRPr="008020DE">
        <w:t>zboží</w:t>
      </w:r>
      <w:r>
        <w:t xml:space="preserve"> </w:t>
      </w:r>
      <w:r w:rsidRPr="008020DE">
        <w:t>na</w:t>
      </w:r>
      <w:r>
        <w:t xml:space="preserve"> </w:t>
      </w:r>
      <w:r w:rsidRPr="008020DE">
        <w:t>základě</w:t>
      </w:r>
      <w:r>
        <w:t xml:space="preserve"> </w:t>
      </w:r>
      <w:r w:rsidRPr="008020DE">
        <w:t>komisionářské</w:t>
      </w:r>
      <w:r>
        <w:t xml:space="preserve"> </w:t>
      </w:r>
      <w:r w:rsidRPr="008020DE">
        <w:t>smlouvy</w:t>
      </w:r>
      <w:r>
        <w:t xml:space="preserve"> </w:t>
      </w:r>
      <w:r w:rsidRPr="008020DE">
        <w:t>nebo</w:t>
      </w:r>
      <w:r>
        <w:t xml:space="preserve"> </w:t>
      </w:r>
      <w:r w:rsidRPr="008020DE">
        <w:t>smlouvy</w:t>
      </w:r>
      <w:r>
        <w:t xml:space="preserve"> </w:t>
      </w:r>
      <w:r w:rsidRPr="008020DE">
        <w:t>obdobného</w:t>
      </w:r>
      <w:r>
        <w:t xml:space="preserve"> </w:t>
      </w:r>
      <w:r w:rsidRPr="008020DE">
        <w:t>typu,</w:t>
      </w:r>
    </w:p>
    <w:p w14:paraId="535FC627" w14:textId="77777777" w:rsidR="001D06F7" w:rsidRDefault="001D06F7" w:rsidP="001D06F7">
      <w:pPr>
        <w:pStyle w:val="PZTextpsmene"/>
        <w:spacing w:before="0"/>
      </w:pPr>
      <w:r w:rsidRPr="008020DE">
        <w:lastRenderedPageBreak/>
        <w:t>i</w:t>
      </w:r>
      <w:r>
        <w:t>)</w:t>
      </w:r>
      <w:r>
        <w:tab/>
      </w:r>
      <w:r w:rsidRPr="008020DE">
        <w:t>dnem</w:t>
      </w:r>
      <w:r>
        <w:t xml:space="preserve"> </w:t>
      </w:r>
      <w:r w:rsidRPr="008020DE">
        <w:t>poskytnutí</w:t>
      </w:r>
      <w:r>
        <w:t xml:space="preserve"> </w:t>
      </w:r>
      <w:r w:rsidRPr="008020DE">
        <w:t>služby</w:t>
      </w:r>
      <w:r>
        <w:t xml:space="preserve"> </w:t>
      </w:r>
      <w:r w:rsidRPr="008020DE">
        <w:t>třetí</w:t>
      </w:r>
      <w:r>
        <w:t xml:space="preserve"> </w:t>
      </w:r>
      <w:r w:rsidRPr="008020DE">
        <w:t>osobě,</w:t>
      </w:r>
      <w:r>
        <w:t xml:space="preserve"> </w:t>
      </w:r>
      <w:r w:rsidRPr="008020DE">
        <w:t>a</w:t>
      </w:r>
      <w:r>
        <w:t xml:space="preserve"> </w:t>
      </w:r>
      <w:r w:rsidRPr="008020DE">
        <w:t>to</w:t>
      </w:r>
      <w:r>
        <w:t xml:space="preserve"> </w:t>
      </w:r>
      <w:r w:rsidRPr="008020DE">
        <w:t>jak</w:t>
      </w:r>
      <w:r>
        <w:t xml:space="preserve"> </w:t>
      </w:r>
      <w:r w:rsidRPr="008020DE">
        <w:t>u</w:t>
      </w:r>
      <w:r>
        <w:t xml:space="preserve"> </w:t>
      </w:r>
      <w:r w:rsidRPr="008020DE">
        <w:t>komitenta,</w:t>
      </w:r>
      <w:r>
        <w:t xml:space="preserve"> </w:t>
      </w:r>
      <w:r w:rsidRPr="008020DE">
        <w:t>tak</w:t>
      </w:r>
      <w:r>
        <w:t xml:space="preserve"> </w:t>
      </w:r>
      <w:r w:rsidRPr="008020DE">
        <w:t>u</w:t>
      </w:r>
      <w:r>
        <w:t xml:space="preserve"> </w:t>
      </w:r>
      <w:r w:rsidRPr="008020DE">
        <w:t>komisionáře,</w:t>
      </w:r>
      <w:r>
        <w:t xml:space="preserve"> </w:t>
      </w:r>
      <w:r w:rsidRPr="008020DE">
        <w:t>popřípadě</w:t>
      </w:r>
      <w:r>
        <w:t xml:space="preserve"> </w:t>
      </w:r>
      <w:r w:rsidRPr="008020DE">
        <w:t>dnem</w:t>
      </w:r>
      <w:r>
        <w:t xml:space="preserve"> </w:t>
      </w:r>
      <w:r w:rsidRPr="008020DE">
        <w:t>poskytnutí</w:t>
      </w:r>
      <w:r>
        <w:t xml:space="preserve"> </w:t>
      </w:r>
      <w:r w:rsidRPr="008020DE">
        <w:t>služby</w:t>
      </w:r>
      <w:r>
        <w:t xml:space="preserve"> </w:t>
      </w:r>
      <w:r w:rsidRPr="008020DE">
        <w:t>třetí</w:t>
      </w:r>
      <w:r>
        <w:t xml:space="preserve"> </w:t>
      </w:r>
      <w:r w:rsidRPr="008020DE">
        <w:t>osobou,</w:t>
      </w:r>
      <w:r>
        <w:t xml:space="preserve"> </w:t>
      </w:r>
      <w:r w:rsidRPr="008020DE">
        <w:t>při</w:t>
      </w:r>
      <w:r>
        <w:t xml:space="preserve"> </w:t>
      </w:r>
      <w:r w:rsidRPr="008020DE">
        <w:t>poskytnutí</w:t>
      </w:r>
      <w:r>
        <w:t xml:space="preserve"> </w:t>
      </w:r>
      <w:r w:rsidRPr="008020DE">
        <w:t>služby</w:t>
      </w:r>
      <w:r>
        <w:t xml:space="preserve"> </w:t>
      </w:r>
      <w:r w:rsidRPr="008020DE">
        <w:t>na</w:t>
      </w:r>
      <w:r>
        <w:t xml:space="preserve"> </w:t>
      </w:r>
      <w:r w:rsidRPr="008020DE">
        <w:t>základě</w:t>
      </w:r>
      <w:r>
        <w:t xml:space="preserve"> </w:t>
      </w:r>
      <w:r w:rsidRPr="008020DE">
        <w:t>komisionářské</w:t>
      </w:r>
      <w:r>
        <w:t xml:space="preserve"> </w:t>
      </w:r>
      <w:r w:rsidRPr="008020DE">
        <w:t>smlouvy</w:t>
      </w:r>
      <w:r>
        <w:t xml:space="preserve"> </w:t>
      </w:r>
      <w:r w:rsidRPr="008020DE">
        <w:t>nebo</w:t>
      </w:r>
      <w:r>
        <w:t xml:space="preserve"> </w:t>
      </w:r>
      <w:r w:rsidRPr="008020DE">
        <w:t>smlouvy</w:t>
      </w:r>
      <w:r>
        <w:t xml:space="preserve"> </w:t>
      </w:r>
      <w:r w:rsidRPr="008020DE">
        <w:t>obdobného</w:t>
      </w:r>
      <w:r>
        <w:t xml:space="preserve"> </w:t>
      </w:r>
      <w:r w:rsidRPr="008020DE">
        <w:t>typu,</w:t>
      </w:r>
    </w:p>
    <w:p w14:paraId="1C419AB1" w14:textId="77777777" w:rsidR="001D06F7" w:rsidRDefault="001D06F7" w:rsidP="001D06F7">
      <w:pPr>
        <w:pStyle w:val="PZTextpsmene"/>
        <w:spacing w:before="0"/>
      </w:pPr>
      <w:r w:rsidRPr="008020DE">
        <w:t>j</w:t>
      </w:r>
      <w:r>
        <w:t>)</w:t>
      </w:r>
      <w:r>
        <w:tab/>
      </w:r>
      <w:r w:rsidRPr="008020DE">
        <w:t>dnem</w:t>
      </w:r>
      <w:r>
        <w:t xml:space="preserve"> </w:t>
      </w:r>
      <w:r w:rsidRPr="008020DE">
        <w:t>převodu</w:t>
      </w:r>
      <w:r>
        <w:t xml:space="preserve"> </w:t>
      </w:r>
      <w:r w:rsidRPr="008020DE">
        <w:t>jednoúčelového</w:t>
      </w:r>
      <w:r>
        <w:t xml:space="preserve"> </w:t>
      </w:r>
      <w:r w:rsidRPr="008020DE">
        <w:t>poukazu,</w:t>
      </w:r>
      <w:r>
        <w:t xml:space="preserve"> </w:t>
      </w:r>
      <w:r w:rsidRPr="008020DE">
        <w:t>nebo</w:t>
      </w:r>
    </w:p>
    <w:p w14:paraId="1BD82795" w14:textId="77777777" w:rsidR="001D06F7" w:rsidRDefault="001D06F7" w:rsidP="001D06F7">
      <w:pPr>
        <w:pStyle w:val="PZTextpsmene"/>
        <w:spacing w:before="0"/>
      </w:pPr>
      <w:r w:rsidRPr="008020DE">
        <w:t>k</w:t>
      </w:r>
      <w:r>
        <w:t>)</w:t>
      </w:r>
      <w:r>
        <w:tab/>
      </w:r>
      <w:r w:rsidRPr="008020DE">
        <w:t>dnem</w:t>
      </w:r>
      <w:r>
        <w:t xml:space="preserve"> </w:t>
      </w:r>
      <w:r w:rsidRPr="008020DE">
        <w:t>přijetí</w:t>
      </w:r>
      <w:r>
        <w:t xml:space="preserve"> </w:t>
      </w:r>
      <w:r w:rsidRPr="008020DE">
        <w:t>úplaty</w:t>
      </w:r>
      <w:r>
        <w:t xml:space="preserve"> </w:t>
      </w:r>
      <w:r w:rsidRPr="008020DE">
        <w:t>určeným</w:t>
      </w:r>
      <w:r>
        <w:t xml:space="preserve"> </w:t>
      </w:r>
      <w:r w:rsidRPr="008020DE">
        <w:t>podle</w:t>
      </w:r>
      <w:r>
        <w:t xml:space="preserve"> </w:t>
      </w:r>
      <w:r w:rsidRPr="008020DE">
        <w:t>přímo</w:t>
      </w:r>
      <w:r>
        <w:t xml:space="preserve"> </w:t>
      </w:r>
      <w:r w:rsidRPr="008020DE">
        <w:t>použitelného</w:t>
      </w:r>
      <w:r>
        <w:t xml:space="preserve"> </w:t>
      </w:r>
      <w:r w:rsidRPr="008020DE">
        <w:t>předpisu</w:t>
      </w:r>
      <w:r>
        <w:t xml:space="preserve"> </w:t>
      </w:r>
      <w:r w:rsidRPr="008020DE">
        <w:t>Evropské</w:t>
      </w:r>
      <w:r>
        <w:t xml:space="preserve"> </w:t>
      </w:r>
      <w:r w:rsidRPr="008020DE">
        <w:t>unie,</w:t>
      </w:r>
      <w:r>
        <w:t xml:space="preserve"> </w:t>
      </w:r>
      <w:r w:rsidRPr="008020DE">
        <w:t>kterým</w:t>
      </w:r>
      <w:r>
        <w:t xml:space="preserve"> </w:t>
      </w:r>
      <w:r w:rsidRPr="008020DE">
        <w:t>se</w:t>
      </w:r>
      <w:r>
        <w:t xml:space="preserve"> </w:t>
      </w:r>
      <w:r w:rsidRPr="008020DE">
        <w:t>stanoví</w:t>
      </w:r>
      <w:r>
        <w:t xml:space="preserve"> </w:t>
      </w:r>
      <w:r w:rsidRPr="008020DE">
        <w:t>prováděcí</w:t>
      </w:r>
      <w:r>
        <w:t xml:space="preserve"> </w:t>
      </w:r>
      <w:r w:rsidRPr="008020DE">
        <w:t>opatření</w:t>
      </w:r>
      <w:r>
        <w:t xml:space="preserve"> </w:t>
      </w:r>
      <w:r w:rsidRPr="008020DE">
        <w:t>ke</w:t>
      </w:r>
      <w:r>
        <w:t xml:space="preserve"> </w:t>
      </w:r>
      <w:r w:rsidRPr="008020DE">
        <w:t>směrnici</w:t>
      </w:r>
      <w:r>
        <w:t xml:space="preserve"> </w:t>
      </w:r>
      <w:r w:rsidRPr="008020DE">
        <w:t>o</w:t>
      </w:r>
      <w:r>
        <w:t xml:space="preserve"> </w:t>
      </w:r>
      <w:r w:rsidRPr="008020DE">
        <w:t>společném</w:t>
      </w:r>
      <w:r>
        <w:t xml:space="preserve"> </w:t>
      </w:r>
      <w:r w:rsidRPr="008020DE">
        <w:t>systému</w:t>
      </w:r>
      <w:r>
        <w:t xml:space="preserve"> </w:t>
      </w:r>
      <w:r w:rsidRPr="008020DE">
        <w:t>daně</w:t>
      </w:r>
      <w:r>
        <w:t xml:space="preserve"> </w:t>
      </w:r>
      <w:r w:rsidRPr="008020DE">
        <w:t>z</w:t>
      </w:r>
      <w:r>
        <w:t xml:space="preserve"> </w:t>
      </w:r>
      <w:r w:rsidRPr="008020DE">
        <w:t>přidané</w:t>
      </w:r>
      <w:r>
        <w:t xml:space="preserve"> </w:t>
      </w:r>
      <w:r w:rsidRPr="008020DE">
        <w:t>hodnoty</w:t>
      </w:r>
      <w:r w:rsidRPr="008020DE">
        <w:rPr>
          <w:vertAlign w:val="superscript"/>
        </w:rPr>
        <w:t>7e)</w:t>
      </w:r>
      <w:r w:rsidRPr="008020DE">
        <w:t>,</w:t>
      </w:r>
      <w:r>
        <w:t xml:space="preserve"> </w:t>
      </w:r>
      <w:r w:rsidRPr="008020DE">
        <w:t>v</w:t>
      </w:r>
      <w:r>
        <w:t xml:space="preserve"> </w:t>
      </w:r>
      <w:r w:rsidRPr="008020DE">
        <w:t>případě</w:t>
      </w:r>
    </w:p>
    <w:p w14:paraId="4E734A35" w14:textId="77777777" w:rsidR="001D06F7" w:rsidRDefault="001D06F7" w:rsidP="001D06F7">
      <w:pPr>
        <w:pStyle w:val="PZTextbodu"/>
        <w:spacing w:before="0"/>
      </w:pPr>
      <w:r w:rsidRPr="008020DE">
        <w:t>1</w:t>
      </w:r>
      <w:r>
        <w:t>.</w:t>
      </w:r>
      <w:r>
        <w:tab/>
      </w:r>
      <w:r w:rsidRPr="008020DE">
        <w:t>dodání</w:t>
      </w:r>
      <w:r>
        <w:t xml:space="preserve"> </w:t>
      </w:r>
      <w:r w:rsidRPr="008020DE">
        <w:t>zboží</w:t>
      </w:r>
      <w:r>
        <w:t xml:space="preserve"> </w:t>
      </w:r>
      <w:r w:rsidRPr="008020DE">
        <w:t>podle</w:t>
      </w:r>
      <w:r>
        <w:t xml:space="preserve"> </w:t>
      </w:r>
      <w:r w:rsidRPr="008020DE">
        <w:t>§</w:t>
      </w:r>
      <w:r>
        <w:t xml:space="preserve"> </w:t>
      </w:r>
      <w:r w:rsidRPr="008020DE">
        <w:t>13a,</w:t>
      </w:r>
    </w:p>
    <w:p w14:paraId="37F2AD3E" w14:textId="77777777" w:rsidR="001D06F7" w:rsidRDefault="001D06F7" w:rsidP="001D06F7">
      <w:pPr>
        <w:pStyle w:val="PZTextbodu"/>
        <w:spacing w:before="0"/>
      </w:pPr>
      <w:r w:rsidRPr="008020DE">
        <w:t>2</w:t>
      </w:r>
      <w:r>
        <w:t>.</w:t>
      </w:r>
      <w:r>
        <w:tab/>
      </w:r>
      <w:r w:rsidRPr="008020DE">
        <w:t>prodeje</w:t>
      </w:r>
      <w:r>
        <w:t xml:space="preserve"> </w:t>
      </w:r>
      <w:r w:rsidRPr="008020DE">
        <w:t>dovezeného</w:t>
      </w:r>
      <w:r>
        <w:t xml:space="preserve"> </w:t>
      </w:r>
      <w:r w:rsidRPr="008020DE">
        <w:t>zboží</w:t>
      </w:r>
      <w:r>
        <w:t xml:space="preserve"> </w:t>
      </w:r>
      <w:r w:rsidRPr="008020DE">
        <w:t>na</w:t>
      </w:r>
      <w:r>
        <w:t xml:space="preserve"> </w:t>
      </w:r>
      <w:r w:rsidRPr="008020DE">
        <w:t>dálku,</w:t>
      </w:r>
      <w:r>
        <w:t xml:space="preserve"> </w:t>
      </w:r>
      <w:r w:rsidRPr="008020DE">
        <w:t>na</w:t>
      </w:r>
      <w:r>
        <w:t xml:space="preserve"> </w:t>
      </w:r>
      <w:r w:rsidRPr="008020DE">
        <w:t>který</w:t>
      </w:r>
      <w:r>
        <w:t xml:space="preserve"> </w:t>
      </w:r>
      <w:r w:rsidRPr="008020DE">
        <w:t>je</w:t>
      </w:r>
      <w:r>
        <w:t xml:space="preserve"> </w:t>
      </w:r>
      <w:r w:rsidRPr="008020DE">
        <w:t>použit</w:t>
      </w:r>
      <w:r>
        <w:t xml:space="preserve"> </w:t>
      </w:r>
      <w:r w:rsidRPr="008020DE">
        <w:t>dovozní</w:t>
      </w:r>
      <w:r>
        <w:t xml:space="preserve"> </w:t>
      </w:r>
      <w:r w:rsidRPr="008020DE">
        <w:t>režim</w:t>
      </w:r>
      <w:r>
        <w:t xml:space="preserve"> </w:t>
      </w:r>
      <w:r w:rsidRPr="008020DE">
        <w:t>zvláštního</w:t>
      </w:r>
      <w:r>
        <w:t xml:space="preserve"> </w:t>
      </w:r>
      <w:r w:rsidRPr="008020DE">
        <w:t>režimu</w:t>
      </w:r>
      <w:r>
        <w:t xml:space="preserve"> </w:t>
      </w:r>
      <w:r w:rsidRPr="008020DE">
        <w:t>jednoho</w:t>
      </w:r>
      <w:r>
        <w:t xml:space="preserve"> </w:t>
      </w:r>
      <w:r w:rsidRPr="008020DE">
        <w:t>správního</w:t>
      </w:r>
      <w:r>
        <w:t xml:space="preserve"> </w:t>
      </w:r>
      <w:r w:rsidRPr="008020DE">
        <w:t>místa.</w:t>
      </w:r>
    </w:p>
    <w:p w14:paraId="13DB25D9" w14:textId="73ED0321" w:rsidR="001D06F7" w:rsidRDefault="001D06F7" w:rsidP="001D06F7">
      <w:pPr>
        <w:widowControl w:val="0"/>
        <w:autoSpaceDE w:val="0"/>
        <w:autoSpaceDN w:val="0"/>
        <w:adjustRightInd w:val="0"/>
        <w:spacing w:before="120" w:after="120"/>
        <w:rPr>
          <w:szCs w:val="24"/>
        </w:rPr>
      </w:pPr>
      <w:r w:rsidRPr="008020DE">
        <w:t>(5</w:t>
      </w:r>
      <w:r>
        <w:t>)</w:t>
      </w:r>
      <w:r>
        <w:tab/>
      </w:r>
      <w:r w:rsidRPr="008020DE">
        <w:t>Zdanitelné</w:t>
      </w:r>
      <w:r>
        <w:t xml:space="preserve"> </w:t>
      </w:r>
      <w:r w:rsidRPr="008020DE">
        <w:t>plnění</w:t>
      </w:r>
      <w:r>
        <w:t xml:space="preserve"> </w:t>
      </w:r>
      <w:r w:rsidRPr="008020DE">
        <w:t>uskutečňované</w:t>
      </w:r>
      <w:r>
        <w:t xml:space="preserve"> </w:t>
      </w:r>
      <w:r w:rsidRPr="008020DE">
        <w:t>prostřednictvím</w:t>
      </w:r>
      <w:r>
        <w:t xml:space="preserve"> </w:t>
      </w:r>
      <w:r w:rsidRPr="008020DE">
        <w:t>prodejních</w:t>
      </w:r>
      <w:r>
        <w:t xml:space="preserve"> </w:t>
      </w:r>
      <w:r w:rsidRPr="008020DE">
        <w:t>automatů,</w:t>
      </w:r>
      <w:r>
        <w:t xml:space="preserve"> </w:t>
      </w:r>
      <w:r w:rsidRPr="008020DE">
        <w:t>popřípadě</w:t>
      </w:r>
      <w:r>
        <w:t xml:space="preserve"> </w:t>
      </w:r>
      <w:r w:rsidRPr="008020DE">
        <w:t>jiných</w:t>
      </w:r>
      <w:r>
        <w:t xml:space="preserve"> </w:t>
      </w:r>
      <w:r w:rsidRPr="008020DE">
        <w:t>obdobných</w:t>
      </w:r>
      <w:r>
        <w:t xml:space="preserve"> </w:t>
      </w:r>
      <w:r w:rsidRPr="008020DE">
        <w:t>přístrojů</w:t>
      </w:r>
      <w:r>
        <w:t xml:space="preserve"> </w:t>
      </w:r>
      <w:r w:rsidRPr="008020DE">
        <w:t>uváděných</w:t>
      </w:r>
      <w:r>
        <w:t xml:space="preserve"> </w:t>
      </w:r>
      <w:r w:rsidRPr="008020DE">
        <w:t>do</w:t>
      </w:r>
      <w:r>
        <w:t xml:space="preserve"> </w:t>
      </w:r>
      <w:r w:rsidRPr="008020DE">
        <w:t>chodu</w:t>
      </w:r>
      <w:r>
        <w:t xml:space="preserve"> </w:t>
      </w:r>
      <w:r w:rsidRPr="008020DE">
        <w:t>mincemi,</w:t>
      </w:r>
      <w:r>
        <w:t xml:space="preserve"> </w:t>
      </w:r>
      <w:r w:rsidRPr="008020DE">
        <w:t>bankovkami,</w:t>
      </w:r>
      <w:r>
        <w:t xml:space="preserve"> </w:t>
      </w:r>
      <w:r w:rsidRPr="008020DE">
        <w:t>známkami</w:t>
      </w:r>
      <w:r>
        <w:t xml:space="preserve"> </w:t>
      </w:r>
      <w:r w:rsidRPr="008020DE">
        <w:t>nebo</w:t>
      </w:r>
      <w:r>
        <w:t xml:space="preserve"> </w:t>
      </w:r>
      <w:r w:rsidRPr="008020DE">
        <w:t>jinými</w:t>
      </w:r>
      <w:r>
        <w:t xml:space="preserve"> </w:t>
      </w:r>
      <w:r w:rsidRPr="008020DE">
        <w:t>platebními</w:t>
      </w:r>
      <w:r>
        <w:t xml:space="preserve"> </w:t>
      </w:r>
      <w:r w:rsidRPr="008020DE">
        <w:t>prostředky</w:t>
      </w:r>
      <w:r>
        <w:t xml:space="preserve"> </w:t>
      </w:r>
      <w:r w:rsidRPr="008020DE">
        <w:t>nahrazujícími</w:t>
      </w:r>
      <w:r>
        <w:t xml:space="preserve"> </w:t>
      </w:r>
      <w:r w:rsidRPr="008020DE">
        <w:t>peníze,</w:t>
      </w:r>
      <w:r>
        <w:t xml:space="preserve"> </w:t>
      </w:r>
      <w:r w:rsidRPr="008020DE">
        <w:t>a</w:t>
      </w:r>
      <w:r>
        <w:t xml:space="preserve"> </w:t>
      </w:r>
      <w:r w:rsidRPr="008020DE">
        <w:t>v</w:t>
      </w:r>
      <w:r>
        <w:t xml:space="preserve"> </w:t>
      </w:r>
      <w:r w:rsidRPr="008020DE">
        <w:t>případech,</w:t>
      </w:r>
      <w:r>
        <w:t xml:space="preserve"> </w:t>
      </w:r>
      <w:r w:rsidRPr="008020DE">
        <w:t>kdy</w:t>
      </w:r>
      <w:r>
        <w:t xml:space="preserve"> </w:t>
      </w:r>
      <w:r w:rsidRPr="008020DE">
        <w:t>se</w:t>
      </w:r>
      <w:r>
        <w:t xml:space="preserve"> </w:t>
      </w:r>
      <w:r w:rsidRPr="008020DE">
        <w:t>úplata</w:t>
      </w:r>
      <w:r>
        <w:t xml:space="preserve"> </w:t>
      </w:r>
      <w:r w:rsidRPr="008020DE">
        <w:t>za</w:t>
      </w:r>
      <w:r>
        <w:t xml:space="preserve"> </w:t>
      </w:r>
      <w:r w:rsidRPr="008020DE">
        <w:t>zdanitelná</w:t>
      </w:r>
      <w:r>
        <w:t xml:space="preserve"> </w:t>
      </w:r>
      <w:r w:rsidRPr="008020DE">
        <w:t>plnění</w:t>
      </w:r>
      <w:r>
        <w:t xml:space="preserve"> </w:t>
      </w:r>
      <w:r w:rsidRPr="008020DE">
        <w:t>uskutečňuje</w:t>
      </w:r>
      <w:r>
        <w:t xml:space="preserve"> </w:t>
      </w:r>
      <w:r w:rsidRPr="008020DE">
        <w:t>platebními</w:t>
      </w:r>
      <w:r>
        <w:t xml:space="preserve"> </w:t>
      </w:r>
      <w:r w:rsidRPr="008020DE">
        <w:t>prostředky</w:t>
      </w:r>
      <w:r>
        <w:t xml:space="preserve"> </w:t>
      </w:r>
      <w:r w:rsidRPr="008020DE">
        <w:t>nahrazujícími</w:t>
      </w:r>
      <w:r>
        <w:t xml:space="preserve"> </w:t>
      </w:r>
      <w:r w:rsidRPr="008020DE">
        <w:t>peníze,</w:t>
      </w:r>
      <w:r>
        <w:t xml:space="preserve"> </w:t>
      </w:r>
      <w:r w:rsidRPr="008020DE">
        <w:t>se</w:t>
      </w:r>
      <w:r>
        <w:t xml:space="preserve"> </w:t>
      </w:r>
      <w:r w:rsidRPr="008020DE">
        <w:t>považuje</w:t>
      </w:r>
      <w:r>
        <w:t xml:space="preserve"> </w:t>
      </w:r>
      <w:r w:rsidRPr="008020DE">
        <w:t>za</w:t>
      </w:r>
      <w:r>
        <w:t xml:space="preserve"> </w:t>
      </w:r>
      <w:r w:rsidRPr="008020DE">
        <w:t>uskutečněné</w:t>
      </w:r>
      <w:r>
        <w:t xml:space="preserve"> </w:t>
      </w:r>
      <w:r w:rsidRPr="008020DE">
        <w:t>dnem,</w:t>
      </w:r>
      <w:r>
        <w:t xml:space="preserve"> </w:t>
      </w:r>
      <w:r w:rsidRPr="008020DE">
        <w:t>kdy</w:t>
      </w:r>
      <w:r>
        <w:t xml:space="preserve"> </w:t>
      </w:r>
      <w:r w:rsidRPr="008020DE">
        <w:t>plátce</w:t>
      </w:r>
      <w:r>
        <w:t xml:space="preserve"> </w:t>
      </w:r>
      <w:r w:rsidRPr="008020DE">
        <w:t>vyjme</w:t>
      </w:r>
      <w:r>
        <w:t xml:space="preserve"> </w:t>
      </w:r>
      <w:r w:rsidRPr="008020DE">
        <w:t>peníze</w:t>
      </w:r>
      <w:r>
        <w:t xml:space="preserve"> </w:t>
      </w:r>
      <w:r w:rsidRPr="008020DE">
        <w:t>nebo</w:t>
      </w:r>
      <w:r>
        <w:t xml:space="preserve"> </w:t>
      </w:r>
      <w:r w:rsidRPr="008020DE">
        <w:t>platební</w:t>
      </w:r>
      <w:r>
        <w:t xml:space="preserve"> </w:t>
      </w:r>
      <w:r w:rsidRPr="008020DE">
        <w:t>prostředky</w:t>
      </w:r>
      <w:r>
        <w:t xml:space="preserve"> </w:t>
      </w:r>
      <w:r w:rsidRPr="008020DE">
        <w:t>nahrazující</w:t>
      </w:r>
      <w:r>
        <w:t xml:space="preserve"> </w:t>
      </w:r>
      <w:r w:rsidRPr="008020DE">
        <w:t>peníze</w:t>
      </w:r>
      <w:r>
        <w:t xml:space="preserve"> </w:t>
      </w:r>
      <w:r w:rsidRPr="008020DE">
        <w:t>z</w:t>
      </w:r>
      <w:r>
        <w:t xml:space="preserve"> </w:t>
      </w:r>
      <w:r w:rsidRPr="008020DE">
        <w:t>přístroje</w:t>
      </w:r>
      <w:r>
        <w:t xml:space="preserve"> </w:t>
      </w:r>
      <w:r w:rsidRPr="008020DE">
        <w:t>nebo</w:t>
      </w:r>
      <w:r>
        <w:t xml:space="preserve"> </w:t>
      </w:r>
      <w:r w:rsidRPr="008020DE">
        <w:t>jiným</w:t>
      </w:r>
      <w:r>
        <w:t xml:space="preserve"> </w:t>
      </w:r>
      <w:r w:rsidRPr="008020DE">
        <w:t>způsobem</w:t>
      </w:r>
      <w:r>
        <w:t xml:space="preserve"> </w:t>
      </w:r>
      <w:r w:rsidRPr="008020DE">
        <w:t>zjistí</w:t>
      </w:r>
      <w:r>
        <w:t xml:space="preserve"> </w:t>
      </w:r>
      <w:r w:rsidRPr="008020DE">
        <w:t>výši</w:t>
      </w:r>
      <w:r>
        <w:t xml:space="preserve"> </w:t>
      </w:r>
      <w:r w:rsidRPr="008020DE">
        <w:t>obratu.</w:t>
      </w:r>
    </w:p>
    <w:p w14:paraId="432890B0" w14:textId="5618E377" w:rsidR="00E55F2A" w:rsidRDefault="00E55F2A" w:rsidP="001D06F7">
      <w:pPr>
        <w:widowControl w:val="0"/>
        <w:autoSpaceDE w:val="0"/>
        <w:autoSpaceDN w:val="0"/>
        <w:adjustRightInd w:val="0"/>
        <w:spacing w:before="120" w:after="120"/>
      </w:pPr>
      <w:r w:rsidRPr="00D34546">
        <w:rPr>
          <w:szCs w:val="24"/>
        </w:rPr>
        <w:t xml:space="preserve">(6) U zdanitelného plnění podle § 13 odst. 4 písm. </w:t>
      </w:r>
      <w:r w:rsidRPr="00D34546">
        <w:rPr>
          <w:strike/>
          <w:color w:val="00B050"/>
          <w:szCs w:val="24"/>
        </w:rPr>
        <w:t>e)</w:t>
      </w:r>
      <w:r w:rsidRPr="00D34546">
        <w:rPr>
          <w:color w:val="00B050"/>
          <w:szCs w:val="24"/>
        </w:rPr>
        <w:t xml:space="preserve"> </w:t>
      </w:r>
      <w:r w:rsidRPr="00D34546">
        <w:rPr>
          <w:b/>
          <w:color w:val="00B050"/>
          <w:szCs w:val="24"/>
        </w:rPr>
        <w:t>d)</w:t>
      </w:r>
      <w:r w:rsidRPr="00D34546">
        <w:rPr>
          <w:color w:val="00B050"/>
          <w:szCs w:val="24"/>
        </w:rPr>
        <w:t xml:space="preserve"> </w:t>
      </w:r>
      <w:r w:rsidRPr="00D34546">
        <w:rPr>
          <w:szCs w:val="24"/>
        </w:rPr>
        <w:t xml:space="preserve">vzniká povinnost přiznat daň ke dni jeho uskutečnění. Zdanitelné plnění podle § 13 odst. 4 písm. </w:t>
      </w:r>
      <w:r w:rsidRPr="00D34546">
        <w:rPr>
          <w:strike/>
          <w:color w:val="00B050"/>
          <w:szCs w:val="24"/>
        </w:rPr>
        <w:t>e)</w:t>
      </w:r>
      <w:r w:rsidRPr="00D34546">
        <w:rPr>
          <w:color w:val="00B050"/>
          <w:szCs w:val="24"/>
        </w:rPr>
        <w:t xml:space="preserve"> </w:t>
      </w:r>
      <w:r w:rsidRPr="00D34546">
        <w:rPr>
          <w:b/>
          <w:color w:val="00B050"/>
          <w:szCs w:val="24"/>
        </w:rPr>
        <w:t xml:space="preserve">d) </w:t>
      </w:r>
      <w:r w:rsidRPr="00D34546">
        <w:rPr>
          <w:szCs w:val="24"/>
        </w:rPr>
        <w:t xml:space="preserve">se považuje za uskutečněné k poslednímu dni účetního období daného plátce nebo k poslednímu dni kalendářního roku u plátce, který </w:t>
      </w:r>
      <w:proofErr w:type="gramStart"/>
      <w:r w:rsidRPr="00D34546">
        <w:rPr>
          <w:strike/>
        </w:rPr>
        <w:t>nevede</w:t>
      </w:r>
      <w:proofErr w:type="gramEnd"/>
      <w:r w:rsidRPr="00D34546">
        <w:rPr>
          <w:strike/>
        </w:rPr>
        <w:t xml:space="preserve"> účetnictví</w:t>
      </w:r>
      <w:r w:rsidRPr="00986E61">
        <w:t xml:space="preserve"> </w:t>
      </w:r>
      <w:proofErr w:type="gramStart"/>
      <w:r w:rsidRPr="00D34546">
        <w:rPr>
          <w:b/>
        </w:rPr>
        <w:t>není</w:t>
      </w:r>
      <w:proofErr w:type="gramEnd"/>
      <w:r w:rsidRPr="00D34546">
        <w:rPr>
          <w:b/>
        </w:rPr>
        <w:t xml:space="preserve"> účetní jednotkou</w:t>
      </w:r>
      <w:r w:rsidRPr="00D34546">
        <w:rPr>
          <w:szCs w:val="24"/>
        </w:rPr>
        <w:t>.</w:t>
      </w:r>
    </w:p>
    <w:p w14:paraId="384CAD24" w14:textId="77777777" w:rsidR="001D06F7" w:rsidRDefault="001D06F7" w:rsidP="001D06F7">
      <w:pPr>
        <w:pStyle w:val="PZTextodstavce"/>
      </w:pPr>
      <w:r w:rsidRPr="008020DE">
        <w:t>(7</w:t>
      </w:r>
      <w:r>
        <w:t>)</w:t>
      </w:r>
      <w:r>
        <w:tab/>
      </w:r>
      <w:r w:rsidRPr="008020DE">
        <w:t>Dílčím</w:t>
      </w:r>
      <w:r>
        <w:t xml:space="preserve"> </w:t>
      </w:r>
      <w:r w:rsidRPr="008020DE">
        <w:t>plněním</w:t>
      </w:r>
      <w:r>
        <w:t xml:space="preserve"> </w:t>
      </w:r>
      <w:r w:rsidRPr="008020DE">
        <w:t>se</w:t>
      </w:r>
      <w:r>
        <w:t xml:space="preserve"> </w:t>
      </w:r>
      <w:r w:rsidRPr="008020DE">
        <w:t>rozumí</w:t>
      </w:r>
      <w:r>
        <w:t xml:space="preserve"> </w:t>
      </w:r>
      <w:r w:rsidRPr="008020DE">
        <w:t>zdanitelné</w:t>
      </w:r>
      <w:r>
        <w:t xml:space="preserve"> </w:t>
      </w:r>
      <w:r w:rsidRPr="008020DE">
        <w:t>plnění,</w:t>
      </w:r>
      <w:r>
        <w:t xml:space="preserve"> </w:t>
      </w:r>
      <w:r w:rsidRPr="008020DE">
        <w:t>které</w:t>
      </w:r>
      <w:r>
        <w:t xml:space="preserve"> </w:t>
      </w:r>
      <w:r w:rsidRPr="008020DE">
        <w:t>se</w:t>
      </w:r>
      <w:r>
        <w:t xml:space="preserve"> </w:t>
      </w:r>
      <w:r w:rsidRPr="008020DE">
        <w:t>podle</w:t>
      </w:r>
      <w:r>
        <w:t xml:space="preserve"> </w:t>
      </w:r>
      <w:r w:rsidRPr="008020DE">
        <w:t>smlouvy</w:t>
      </w:r>
      <w:r>
        <w:t xml:space="preserve"> </w:t>
      </w:r>
      <w:r w:rsidRPr="008020DE">
        <w:t>uskutečňuje</w:t>
      </w:r>
      <w:r>
        <w:t xml:space="preserve"> </w:t>
      </w:r>
      <w:r w:rsidRPr="008020DE">
        <w:t>ve</w:t>
      </w:r>
      <w:r>
        <w:t xml:space="preserve"> </w:t>
      </w:r>
      <w:r w:rsidRPr="008020DE">
        <w:t>sjednaném</w:t>
      </w:r>
      <w:r>
        <w:t xml:space="preserve"> </w:t>
      </w:r>
      <w:r w:rsidRPr="008020DE">
        <w:t>rozsahu</w:t>
      </w:r>
      <w:r>
        <w:t xml:space="preserve"> </w:t>
      </w:r>
      <w:r w:rsidRPr="008020DE">
        <w:t>a</w:t>
      </w:r>
      <w:r>
        <w:t xml:space="preserve"> </w:t>
      </w:r>
      <w:r w:rsidRPr="008020DE">
        <w:t>ve</w:t>
      </w:r>
      <w:r>
        <w:t xml:space="preserve"> </w:t>
      </w:r>
      <w:r w:rsidRPr="008020DE">
        <w:t>sjednaných</w:t>
      </w:r>
      <w:r>
        <w:t xml:space="preserve"> </w:t>
      </w:r>
      <w:r w:rsidRPr="008020DE">
        <w:t>lhůtách</w:t>
      </w:r>
      <w:r>
        <w:t xml:space="preserve"> </w:t>
      </w:r>
      <w:r w:rsidRPr="008020DE">
        <w:t>a</w:t>
      </w:r>
      <w:r>
        <w:t xml:space="preserve"> </w:t>
      </w:r>
      <w:r w:rsidRPr="008020DE">
        <w:t>nejedná</w:t>
      </w:r>
      <w:r>
        <w:t xml:space="preserve"> </w:t>
      </w:r>
      <w:r w:rsidRPr="008020DE">
        <w:t>se</w:t>
      </w:r>
      <w:r>
        <w:t xml:space="preserve"> </w:t>
      </w:r>
      <w:r w:rsidRPr="008020DE">
        <w:t>přitom</w:t>
      </w:r>
      <w:r>
        <w:t xml:space="preserve"> </w:t>
      </w:r>
      <w:r w:rsidRPr="008020DE">
        <w:t>o</w:t>
      </w:r>
      <w:r>
        <w:t xml:space="preserve"> </w:t>
      </w:r>
      <w:r w:rsidRPr="008020DE">
        <w:t>celkové</w:t>
      </w:r>
      <w:r>
        <w:t xml:space="preserve"> </w:t>
      </w:r>
      <w:r w:rsidRPr="008020DE">
        <w:t>plnění,</w:t>
      </w:r>
      <w:r>
        <w:t xml:space="preserve"> </w:t>
      </w:r>
      <w:r w:rsidRPr="008020DE">
        <w:t>na</w:t>
      </w:r>
      <w:r>
        <w:t xml:space="preserve"> </w:t>
      </w:r>
      <w:r w:rsidRPr="008020DE">
        <w:t>které</w:t>
      </w:r>
      <w:r>
        <w:t xml:space="preserve"> </w:t>
      </w:r>
      <w:r w:rsidRPr="008020DE">
        <w:t>je</w:t>
      </w:r>
      <w:r>
        <w:t xml:space="preserve"> </w:t>
      </w:r>
      <w:r w:rsidRPr="008020DE">
        <w:t>uzavřena</w:t>
      </w:r>
      <w:r>
        <w:t xml:space="preserve"> </w:t>
      </w:r>
      <w:r w:rsidRPr="008020DE">
        <w:t>smlouva.</w:t>
      </w:r>
      <w:r>
        <w:t xml:space="preserve"> </w:t>
      </w:r>
      <w:r w:rsidRPr="008020DE">
        <w:t>Dílčí</w:t>
      </w:r>
      <w:r>
        <w:t xml:space="preserve"> </w:t>
      </w:r>
      <w:r w:rsidRPr="008020DE">
        <w:t>plnění</w:t>
      </w:r>
      <w:r>
        <w:t xml:space="preserve"> </w:t>
      </w:r>
      <w:r w:rsidRPr="008020DE">
        <w:t>se</w:t>
      </w:r>
      <w:r>
        <w:t xml:space="preserve"> </w:t>
      </w:r>
      <w:r w:rsidRPr="008020DE">
        <w:t>považuje</w:t>
      </w:r>
      <w:r>
        <w:t xml:space="preserve"> </w:t>
      </w:r>
      <w:r w:rsidRPr="008020DE">
        <w:t>za</w:t>
      </w:r>
      <w:r>
        <w:t xml:space="preserve"> </w:t>
      </w:r>
      <w:r w:rsidRPr="008020DE">
        <w:t>uskutečněné</w:t>
      </w:r>
      <w:r>
        <w:t xml:space="preserve"> </w:t>
      </w:r>
      <w:r w:rsidRPr="008020DE">
        <w:t>dnem</w:t>
      </w:r>
      <w:r>
        <w:t xml:space="preserve"> </w:t>
      </w:r>
      <w:r w:rsidRPr="008020DE">
        <w:t>uvedeným</w:t>
      </w:r>
      <w:r>
        <w:t xml:space="preserve"> </w:t>
      </w:r>
      <w:r w:rsidRPr="008020DE">
        <w:t>ve</w:t>
      </w:r>
      <w:r>
        <w:t xml:space="preserve"> </w:t>
      </w:r>
      <w:r w:rsidRPr="008020DE">
        <w:t>smlouvě.</w:t>
      </w:r>
      <w:r>
        <w:t xml:space="preserve"> </w:t>
      </w:r>
      <w:r w:rsidRPr="008020DE">
        <w:t>U</w:t>
      </w:r>
      <w:r>
        <w:t xml:space="preserve"> </w:t>
      </w:r>
      <w:r w:rsidRPr="008020DE">
        <w:t>dílčích</w:t>
      </w:r>
      <w:r>
        <w:t xml:space="preserve"> </w:t>
      </w:r>
      <w:r w:rsidRPr="008020DE">
        <w:t>plnění</w:t>
      </w:r>
      <w:r>
        <w:t xml:space="preserve"> </w:t>
      </w:r>
      <w:r w:rsidRPr="008020DE">
        <w:t>uskutečněných</w:t>
      </w:r>
      <w:r>
        <w:t xml:space="preserve"> </w:t>
      </w:r>
      <w:r w:rsidRPr="008020DE">
        <w:t>podle</w:t>
      </w:r>
      <w:r>
        <w:t xml:space="preserve"> </w:t>
      </w:r>
      <w:r w:rsidRPr="008020DE">
        <w:t>smlouvy</w:t>
      </w:r>
      <w:r>
        <w:t xml:space="preserve"> </w:t>
      </w:r>
      <w:r w:rsidRPr="008020DE">
        <w:t>o</w:t>
      </w:r>
      <w:r>
        <w:t xml:space="preserve"> </w:t>
      </w:r>
      <w:r w:rsidRPr="008020DE">
        <w:t>dílo</w:t>
      </w:r>
      <w:r>
        <w:t xml:space="preserve"> </w:t>
      </w:r>
      <w:r w:rsidRPr="008020DE">
        <w:t>se</w:t>
      </w:r>
      <w:r>
        <w:t xml:space="preserve"> </w:t>
      </w:r>
      <w:r w:rsidRPr="008020DE">
        <w:t>zdanitelné</w:t>
      </w:r>
      <w:r>
        <w:t xml:space="preserve"> </w:t>
      </w:r>
      <w:r w:rsidRPr="008020DE">
        <w:t>plnění</w:t>
      </w:r>
      <w:r>
        <w:t xml:space="preserve"> </w:t>
      </w:r>
      <w:r w:rsidRPr="008020DE">
        <w:t>považuje</w:t>
      </w:r>
      <w:r>
        <w:t xml:space="preserve"> </w:t>
      </w:r>
      <w:r w:rsidRPr="008020DE">
        <w:t>za</w:t>
      </w:r>
      <w:r>
        <w:t xml:space="preserve"> </w:t>
      </w:r>
      <w:r w:rsidRPr="008020DE">
        <w:t>uskutečněné</w:t>
      </w:r>
      <w:r>
        <w:t xml:space="preserve"> </w:t>
      </w:r>
      <w:r w:rsidRPr="008020DE">
        <w:t>i</w:t>
      </w:r>
      <w:r>
        <w:t xml:space="preserve"> </w:t>
      </w:r>
      <w:r w:rsidRPr="008020DE">
        <w:t>dnem</w:t>
      </w:r>
      <w:r>
        <w:t xml:space="preserve"> </w:t>
      </w:r>
      <w:r w:rsidRPr="008020DE">
        <w:t>podle</w:t>
      </w:r>
      <w:r>
        <w:t xml:space="preserve"> </w:t>
      </w:r>
      <w:r w:rsidRPr="008020DE">
        <w:t>odstavce</w:t>
      </w:r>
      <w:r>
        <w:t xml:space="preserve"> </w:t>
      </w:r>
      <w:r w:rsidRPr="008020DE">
        <w:t>4</w:t>
      </w:r>
      <w:r>
        <w:t xml:space="preserve"> </w:t>
      </w:r>
      <w:r w:rsidRPr="008020DE">
        <w:t>písm.</w:t>
      </w:r>
      <w:r>
        <w:t xml:space="preserve"> </w:t>
      </w:r>
      <w:r w:rsidRPr="008020DE">
        <w:t>a),</w:t>
      </w:r>
      <w:r>
        <w:t xml:space="preserve"> </w:t>
      </w:r>
      <w:r w:rsidRPr="008020DE">
        <w:t>a</w:t>
      </w:r>
      <w:r>
        <w:t xml:space="preserve"> </w:t>
      </w:r>
      <w:r w:rsidRPr="008020DE">
        <w:t>dnem</w:t>
      </w:r>
      <w:r>
        <w:t xml:space="preserve"> </w:t>
      </w:r>
      <w:r w:rsidRPr="008020DE">
        <w:t>uskutečnění</w:t>
      </w:r>
      <w:r>
        <w:t xml:space="preserve"> </w:t>
      </w:r>
      <w:r w:rsidRPr="008020DE">
        <w:t>zdanitelného</w:t>
      </w:r>
      <w:r>
        <w:t xml:space="preserve"> </w:t>
      </w:r>
      <w:r w:rsidRPr="008020DE">
        <w:t>plnění</w:t>
      </w:r>
      <w:r>
        <w:t xml:space="preserve"> </w:t>
      </w:r>
      <w:r w:rsidRPr="008020DE">
        <w:t>je</w:t>
      </w:r>
      <w:r>
        <w:t xml:space="preserve"> </w:t>
      </w:r>
      <w:r w:rsidRPr="008020DE">
        <w:t>ten</w:t>
      </w:r>
      <w:r>
        <w:t xml:space="preserve"> </w:t>
      </w:r>
      <w:r w:rsidRPr="008020DE">
        <w:t>den,</w:t>
      </w:r>
      <w:r>
        <w:t xml:space="preserve"> </w:t>
      </w:r>
      <w:r w:rsidRPr="008020DE">
        <w:t>který</w:t>
      </w:r>
      <w:r>
        <w:t xml:space="preserve"> </w:t>
      </w:r>
      <w:r w:rsidRPr="008020DE">
        <w:t>nastane</w:t>
      </w:r>
      <w:r>
        <w:t xml:space="preserve"> </w:t>
      </w:r>
      <w:r w:rsidRPr="008020DE">
        <w:t>dříve.</w:t>
      </w:r>
    </w:p>
    <w:p w14:paraId="709B18F7" w14:textId="77777777" w:rsidR="001D06F7" w:rsidRDefault="001D06F7" w:rsidP="001D06F7">
      <w:pPr>
        <w:pStyle w:val="PZTextodstavce"/>
      </w:pPr>
      <w:r w:rsidRPr="008020DE">
        <w:t>(8</w:t>
      </w:r>
      <w:r>
        <w:t>)</w:t>
      </w:r>
      <w:r>
        <w:tab/>
      </w:r>
      <w:r w:rsidRPr="008020DE">
        <w:t>Je-li</w:t>
      </w:r>
      <w:r>
        <w:t xml:space="preserve"> </w:t>
      </w:r>
      <w:r w:rsidRPr="008020DE">
        <w:t>poskytováno</w:t>
      </w:r>
      <w:r>
        <w:t xml:space="preserve"> </w:t>
      </w:r>
      <w:r w:rsidRPr="008020DE">
        <w:t>zdanitelné</w:t>
      </w:r>
      <w:r>
        <w:t xml:space="preserve"> </w:t>
      </w:r>
      <w:r w:rsidRPr="008020DE">
        <w:t>plnění</w:t>
      </w:r>
      <w:r>
        <w:t xml:space="preserve"> </w:t>
      </w:r>
      <w:r w:rsidRPr="008020DE">
        <w:t>s</w:t>
      </w:r>
      <w:r>
        <w:t xml:space="preserve"> </w:t>
      </w:r>
      <w:r w:rsidRPr="008020DE">
        <w:t>místem</w:t>
      </w:r>
      <w:r>
        <w:t xml:space="preserve"> </w:t>
      </w:r>
      <w:r w:rsidRPr="008020DE">
        <w:t>plnění</w:t>
      </w:r>
      <w:r>
        <w:t xml:space="preserve"> </w:t>
      </w:r>
      <w:r w:rsidRPr="008020DE">
        <w:t>v</w:t>
      </w:r>
      <w:r>
        <w:t xml:space="preserve"> </w:t>
      </w:r>
      <w:r w:rsidRPr="008020DE">
        <w:t>tuzemsku</w:t>
      </w:r>
      <w:r>
        <w:t xml:space="preserve"> </w:t>
      </w:r>
      <w:r w:rsidRPr="008020DE">
        <w:t>po</w:t>
      </w:r>
      <w:r>
        <w:t xml:space="preserve"> </w:t>
      </w:r>
      <w:r w:rsidRPr="008020DE">
        <w:t>dobu</w:t>
      </w:r>
      <w:r>
        <w:t xml:space="preserve"> </w:t>
      </w:r>
      <w:r w:rsidRPr="008020DE">
        <w:t>delší</w:t>
      </w:r>
      <w:r>
        <w:t xml:space="preserve"> </w:t>
      </w:r>
      <w:r w:rsidRPr="008020DE">
        <w:t>než</w:t>
      </w:r>
      <w:r>
        <w:t xml:space="preserve"> </w:t>
      </w:r>
      <w:r w:rsidRPr="008020DE">
        <w:t>12</w:t>
      </w:r>
      <w:r>
        <w:t xml:space="preserve"> </w:t>
      </w:r>
      <w:r w:rsidRPr="008020DE">
        <w:t>měsíců,</w:t>
      </w:r>
      <w:r>
        <w:t xml:space="preserve"> </w:t>
      </w:r>
      <w:r w:rsidRPr="008020DE">
        <w:t>považuje</w:t>
      </w:r>
      <w:r>
        <w:t xml:space="preserve"> </w:t>
      </w:r>
      <w:r w:rsidRPr="008020DE">
        <w:t>se</w:t>
      </w:r>
      <w:r>
        <w:t xml:space="preserve"> </w:t>
      </w:r>
      <w:r w:rsidRPr="008020DE">
        <w:t>zdanitelné</w:t>
      </w:r>
      <w:r>
        <w:t xml:space="preserve"> </w:t>
      </w:r>
      <w:r w:rsidRPr="008020DE">
        <w:t>plnění</w:t>
      </w:r>
      <w:r>
        <w:t xml:space="preserve"> </w:t>
      </w:r>
      <w:r w:rsidRPr="008020DE">
        <w:t>za</w:t>
      </w:r>
      <w:r>
        <w:t xml:space="preserve"> </w:t>
      </w:r>
      <w:r w:rsidRPr="008020DE">
        <w:t>uskutečněné</w:t>
      </w:r>
      <w:r>
        <w:t xml:space="preserve"> </w:t>
      </w:r>
      <w:r w:rsidRPr="008020DE">
        <w:t>nejpozději</w:t>
      </w:r>
      <w:r>
        <w:t xml:space="preserve"> </w:t>
      </w:r>
      <w:r w:rsidRPr="008020DE">
        <w:t>posledním</w:t>
      </w:r>
      <w:r>
        <w:t xml:space="preserve"> </w:t>
      </w:r>
      <w:r w:rsidRPr="008020DE">
        <w:t>dnem</w:t>
      </w:r>
      <w:r>
        <w:t xml:space="preserve"> </w:t>
      </w:r>
      <w:r w:rsidRPr="008020DE">
        <w:t>každého</w:t>
      </w:r>
      <w:r>
        <w:t xml:space="preserve"> </w:t>
      </w:r>
      <w:r w:rsidRPr="008020DE">
        <w:t>kalendářního</w:t>
      </w:r>
      <w:r>
        <w:t xml:space="preserve"> </w:t>
      </w:r>
      <w:r w:rsidRPr="008020DE">
        <w:t>roku</w:t>
      </w:r>
      <w:r>
        <w:t xml:space="preserve"> </w:t>
      </w:r>
      <w:r w:rsidRPr="008020DE">
        <w:t>následujícího</w:t>
      </w:r>
      <w:r>
        <w:t xml:space="preserve"> </w:t>
      </w:r>
      <w:r w:rsidRPr="008020DE">
        <w:t>po</w:t>
      </w:r>
      <w:r>
        <w:t xml:space="preserve"> </w:t>
      </w:r>
      <w:r w:rsidRPr="008020DE">
        <w:t>kalendářním</w:t>
      </w:r>
      <w:r>
        <w:t xml:space="preserve"> </w:t>
      </w:r>
      <w:r w:rsidRPr="008020DE">
        <w:t>roce,</w:t>
      </w:r>
      <w:r>
        <w:t xml:space="preserve"> </w:t>
      </w:r>
      <w:r w:rsidRPr="008020DE">
        <w:t>ve</w:t>
      </w:r>
      <w:r>
        <w:t xml:space="preserve"> </w:t>
      </w:r>
      <w:r w:rsidRPr="008020DE">
        <w:t>kterém</w:t>
      </w:r>
      <w:r>
        <w:t xml:space="preserve"> </w:t>
      </w:r>
      <w:r w:rsidRPr="008020DE">
        <w:t>bylo</w:t>
      </w:r>
      <w:r>
        <w:t xml:space="preserve"> </w:t>
      </w:r>
      <w:r w:rsidRPr="008020DE">
        <w:t>poskytování</w:t>
      </w:r>
      <w:r>
        <w:t xml:space="preserve"> </w:t>
      </w:r>
      <w:r w:rsidRPr="008020DE">
        <w:t>tohoto</w:t>
      </w:r>
      <w:r>
        <w:t xml:space="preserve"> </w:t>
      </w:r>
      <w:r w:rsidRPr="008020DE">
        <w:t>plnění</w:t>
      </w:r>
      <w:r>
        <w:t xml:space="preserve"> </w:t>
      </w:r>
      <w:r w:rsidRPr="008020DE">
        <w:t>započato;</w:t>
      </w:r>
      <w:r>
        <w:t xml:space="preserve"> </w:t>
      </w:r>
      <w:r w:rsidRPr="008020DE">
        <w:t>to</w:t>
      </w:r>
      <w:r>
        <w:t xml:space="preserve"> </w:t>
      </w:r>
      <w:r w:rsidRPr="008020DE">
        <w:t>neplatí</w:t>
      </w:r>
    </w:p>
    <w:p w14:paraId="0919A23C" w14:textId="77777777" w:rsidR="001D06F7" w:rsidRDefault="001D06F7" w:rsidP="001D06F7">
      <w:pPr>
        <w:pStyle w:val="PZTextpsmene"/>
        <w:spacing w:before="0"/>
      </w:pPr>
      <w:r w:rsidRPr="008020DE">
        <w:t>a</w:t>
      </w:r>
      <w:r>
        <w:t>)</w:t>
      </w:r>
      <w:r>
        <w:tab/>
      </w:r>
      <w:r w:rsidRPr="008020DE">
        <w:t>pro</w:t>
      </w:r>
      <w:r>
        <w:t xml:space="preserve"> </w:t>
      </w:r>
      <w:r w:rsidRPr="008020DE">
        <w:t>kalendářní</w:t>
      </w:r>
      <w:r>
        <w:t xml:space="preserve"> </w:t>
      </w:r>
      <w:r w:rsidRPr="008020DE">
        <w:t>rok,</w:t>
      </w:r>
      <w:r>
        <w:t xml:space="preserve"> </w:t>
      </w:r>
      <w:r w:rsidRPr="008020DE">
        <w:t>v</w:t>
      </w:r>
      <w:r>
        <w:t xml:space="preserve"> </w:t>
      </w:r>
      <w:r w:rsidRPr="008020DE">
        <w:t>němž</w:t>
      </w:r>
      <w:r>
        <w:t xml:space="preserve"> </w:t>
      </w:r>
      <w:r w:rsidRPr="008020DE">
        <w:t>došlo</w:t>
      </w:r>
      <w:r>
        <w:t xml:space="preserve"> </w:t>
      </w:r>
      <w:r w:rsidRPr="008020DE">
        <w:t>k</w:t>
      </w:r>
      <w:r>
        <w:t xml:space="preserve"> </w:t>
      </w:r>
      <w:r w:rsidRPr="008020DE">
        <w:t>přijetí</w:t>
      </w:r>
      <w:r>
        <w:t xml:space="preserve"> </w:t>
      </w:r>
      <w:r w:rsidRPr="008020DE">
        <w:t>úplaty,</w:t>
      </w:r>
      <w:r>
        <w:t xml:space="preserve"> </w:t>
      </w:r>
      <w:r w:rsidRPr="008020DE">
        <w:t>ze</w:t>
      </w:r>
      <w:r>
        <w:t xml:space="preserve"> </w:t>
      </w:r>
      <w:r w:rsidRPr="008020DE">
        <w:t>které</w:t>
      </w:r>
      <w:r>
        <w:t xml:space="preserve"> </w:t>
      </w:r>
      <w:r w:rsidRPr="008020DE">
        <w:t>plátci</w:t>
      </w:r>
      <w:r>
        <w:t xml:space="preserve"> </w:t>
      </w:r>
      <w:r w:rsidRPr="008020DE">
        <w:t>vznikla</w:t>
      </w:r>
      <w:r>
        <w:t xml:space="preserve"> </w:t>
      </w:r>
      <w:r w:rsidRPr="008020DE">
        <w:t>povinnost</w:t>
      </w:r>
      <w:r>
        <w:t xml:space="preserve"> </w:t>
      </w:r>
      <w:r w:rsidRPr="008020DE">
        <w:t>přiznat</w:t>
      </w:r>
      <w:r>
        <w:t xml:space="preserve"> </w:t>
      </w:r>
      <w:r w:rsidRPr="008020DE">
        <w:t>daň,</w:t>
      </w:r>
    </w:p>
    <w:p w14:paraId="37719DDB" w14:textId="77777777" w:rsidR="001D06F7" w:rsidRDefault="001D06F7" w:rsidP="001D06F7">
      <w:pPr>
        <w:pStyle w:val="PZTextpsmene"/>
        <w:spacing w:before="0"/>
      </w:pPr>
      <w:r w:rsidRPr="008020DE">
        <w:t>b</w:t>
      </w:r>
      <w:r>
        <w:t>)</w:t>
      </w:r>
      <w:r>
        <w:tab/>
      </w:r>
      <w:r w:rsidRPr="008020DE">
        <w:t>v</w:t>
      </w:r>
      <w:r>
        <w:t xml:space="preserve"> </w:t>
      </w:r>
      <w:r w:rsidRPr="008020DE">
        <w:t>případech</w:t>
      </w:r>
      <w:r>
        <w:t xml:space="preserve"> </w:t>
      </w:r>
      <w:r w:rsidRPr="008020DE">
        <w:t>podle</w:t>
      </w:r>
      <w:r>
        <w:t xml:space="preserve"> </w:t>
      </w:r>
      <w:r w:rsidRPr="008020DE">
        <w:t>odstavce</w:t>
      </w:r>
      <w:r>
        <w:t xml:space="preserve"> </w:t>
      </w:r>
      <w:r w:rsidRPr="008020DE">
        <w:t>4</w:t>
      </w:r>
      <w:r>
        <w:t xml:space="preserve"> </w:t>
      </w:r>
      <w:r w:rsidRPr="008020DE">
        <w:t>písm.</w:t>
      </w:r>
      <w:r>
        <w:t xml:space="preserve"> </w:t>
      </w:r>
      <w:r w:rsidRPr="008020DE">
        <w:t>b)</w:t>
      </w:r>
      <w:r>
        <w:t xml:space="preserve"> </w:t>
      </w:r>
      <w:r w:rsidRPr="008020DE">
        <w:t>nebo</w:t>
      </w:r>
      <w:r>
        <w:t xml:space="preserve"> </w:t>
      </w:r>
      <w:r w:rsidRPr="008020DE">
        <w:t>k),</w:t>
      </w:r>
      <w:r>
        <w:t xml:space="preserve"> </w:t>
      </w:r>
      <w:r w:rsidRPr="008020DE">
        <w:t>nebo</w:t>
      </w:r>
    </w:p>
    <w:p w14:paraId="1CC1AE08" w14:textId="77777777" w:rsidR="001D06F7" w:rsidRDefault="001D06F7" w:rsidP="001D06F7">
      <w:pPr>
        <w:pStyle w:val="PZTextpsmene"/>
        <w:spacing w:before="0"/>
      </w:pPr>
      <w:r w:rsidRPr="008020DE">
        <w:t>c</w:t>
      </w:r>
      <w:r>
        <w:t>)</w:t>
      </w:r>
      <w:r>
        <w:tab/>
      </w:r>
      <w:r w:rsidRPr="008020DE">
        <w:t>v</w:t>
      </w:r>
      <w:r>
        <w:t xml:space="preserve"> </w:t>
      </w:r>
      <w:r w:rsidRPr="008020DE">
        <w:t>případě</w:t>
      </w:r>
      <w:r>
        <w:t xml:space="preserve"> </w:t>
      </w:r>
      <w:r w:rsidRPr="008020DE">
        <w:t>služby,</w:t>
      </w:r>
      <w:r>
        <w:t xml:space="preserve"> </w:t>
      </w:r>
      <w:r w:rsidRPr="008020DE">
        <w:t>která</w:t>
      </w:r>
      <w:r>
        <w:t xml:space="preserve"> </w:t>
      </w:r>
      <w:r w:rsidRPr="008020DE">
        <w:t>je</w:t>
      </w:r>
      <w:r>
        <w:t xml:space="preserve"> </w:t>
      </w:r>
      <w:r w:rsidRPr="008020DE">
        <w:t>poskytována</w:t>
      </w:r>
      <w:r>
        <w:t xml:space="preserve"> </w:t>
      </w:r>
      <w:r w:rsidRPr="008020DE">
        <w:t>na</w:t>
      </w:r>
      <w:r>
        <w:t xml:space="preserve"> </w:t>
      </w:r>
      <w:r w:rsidRPr="008020DE">
        <w:t>základě</w:t>
      </w:r>
      <w:r>
        <w:t xml:space="preserve"> </w:t>
      </w:r>
      <w:r w:rsidRPr="008020DE">
        <w:t>zákona</w:t>
      </w:r>
      <w:r>
        <w:t xml:space="preserve"> </w:t>
      </w:r>
      <w:r w:rsidRPr="008020DE">
        <w:t>nebo</w:t>
      </w:r>
      <w:r>
        <w:t xml:space="preserve"> </w:t>
      </w:r>
      <w:r w:rsidRPr="008020DE">
        <w:t>na</w:t>
      </w:r>
      <w:r>
        <w:t xml:space="preserve"> </w:t>
      </w:r>
      <w:r w:rsidRPr="008020DE">
        <w:t>základě</w:t>
      </w:r>
      <w:r>
        <w:t xml:space="preserve"> </w:t>
      </w:r>
      <w:r w:rsidRPr="008020DE">
        <w:t>rozhodnutí</w:t>
      </w:r>
      <w:r>
        <w:t xml:space="preserve"> </w:t>
      </w:r>
      <w:r w:rsidRPr="008020DE">
        <w:t>orgánu</w:t>
      </w:r>
      <w:r>
        <w:t xml:space="preserve"> </w:t>
      </w:r>
      <w:r w:rsidRPr="008020DE">
        <w:t>veřejné</w:t>
      </w:r>
      <w:r>
        <w:t xml:space="preserve"> </w:t>
      </w:r>
      <w:r w:rsidRPr="008020DE">
        <w:t>moci</w:t>
      </w:r>
      <w:r>
        <w:t xml:space="preserve"> </w:t>
      </w:r>
      <w:r w:rsidRPr="008020DE">
        <w:t>třetí</w:t>
      </w:r>
      <w:r>
        <w:t xml:space="preserve"> </w:t>
      </w:r>
      <w:r w:rsidRPr="008020DE">
        <w:t>osobě,</w:t>
      </w:r>
      <w:r>
        <w:t xml:space="preserve"> </w:t>
      </w:r>
      <w:r w:rsidRPr="008020DE">
        <w:t>pokud</w:t>
      </w:r>
      <w:r>
        <w:t xml:space="preserve"> </w:t>
      </w:r>
      <w:r w:rsidRPr="008020DE">
        <w:t>úplatu</w:t>
      </w:r>
      <w:r>
        <w:t xml:space="preserve"> </w:t>
      </w:r>
      <w:r w:rsidRPr="008020DE">
        <w:t>za</w:t>
      </w:r>
      <w:r>
        <w:t xml:space="preserve"> </w:t>
      </w:r>
      <w:r w:rsidRPr="008020DE">
        <w:t>poskytnutí</w:t>
      </w:r>
      <w:r>
        <w:t xml:space="preserve"> </w:t>
      </w:r>
      <w:r w:rsidRPr="008020DE">
        <w:t>této</w:t>
      </w:r>
      <w:r>
        <w:t xml:space="preserve"> </w:t>
      </w:r>
      <w:r w:rsidRPr="008020DE">
        <w:t>služby</w:t>
      </w:r>
      <w:r>
        <w:t xml:space="preserve"> </w:t>
      </w:r>
      <w:r w:rsidRPr="008020DE">
        <w:t>hradí</w:t>
      </w:r>
      <w:r>
        <w:t xml:space="preserve"> </w:t>
      </w:r>
      <w:r w:rsidRPr="008020DE">
        <w:t>stát</w:t>
      </w:r>
      <w:r>
        <w:t xml:space="preserve"> </w:t>
      </w:r>
      <w:r w:rsidRPr="008020DE">
        <w:t>nebo</w:t>
      </w:r>
      <w:r>
        <w:t xml:space="preserve"> </w:t>
      </w:r>
      <w:r w:rsidRPr="008020DE">
        <w:t>jde-li</w:t>
      </w:r>
      <w:r>
        <w:t xml:space="preserve"> </w:t>
      </w:r>
      <w:r w:rsidRPr="008020DE">
        <w:t>o</w:t>
      </w:r>
      <w:r>
        <w:t xml:space="preserve"> </w:t>
      </w:r>
      <w:r w:rsidRPr="008020DE">
        <w:t>službu</w:t>
      </w:r>
      <w:r>
        <w:t xml:space="preserve"> </w:t>
      </w:r>
      <w:r w:rsidRPr="008020DE">
        <w:t>spočívající</w:t>
      </w:r>
      <w:r>
        <w:t xml:space="preserve"> </w:t>
      </w:r>
      <w:r w:rsidRPr="008020DE">
        <w:t>ve</w:t>
      </w:r>
      <w:r>
        <w:t xml:space="preserve"> </w:t>
      </w:r>
      <w:r w:rsidRPr="008020DE">
        <w:t>výkonu</w:t>
      </w:r>
      <w:r>
        <w:t xml:space="preserve"> </w:t>
      </w:r>
      <w:r w:rsidRPr="008020DE">
        <w:t>funkce</w:t>
      </w:r>
      <w:r>
        <w:t xml:space="preserve"> </w:t>
      </w:r>
      <w:r w:rsidRPr="008020DE">
        <w:t>insolvenčního</w:t>
      </w:r>
      <w:r>
        <w:t xml:space="preserve"> </w:t>
      </w:r>
      <w:r w:rsidRPr="008020DE">
        <w:t>správce</w:t>
      </w:r>
      <w:r>
        <w:t xml:space="preserve"> </w:t>
      </w:r>
      <w:r w:rsidRPr="008020DE">
        <w:t>podle</w:t>
      </w:r>
      <w:r>
        <w:t xml:space="preserve"> </w:t>
      </w:r>
      <w:r w:rsidRPr="008020DE">
        <w:t>ustanovení</w:t>
      </w:r>
      <w:r>
        <w:t xml:space="preserve"> </w:t>
      </w:r>
      <w:r w:rsidRPr="008020DE">
        <w:t>zákona</w:t>
      </w:r>
      <w:r>
        <w:t xml:space="preserve"> </w:t>
      </w:r>
      <w:r w:rsidRPr="008020DE">
        <w:t>č.</w:t>
      </w:r>
      <w:r>
        <w:t xml:space="preserve"> </w:t>
      </w:r>
      <w:r w:rsidRPr="008020DE">
        <w:t>182/2006</w:t>
      </w:r>
      <w:r>
        <w:t xml:space="preserve"> </w:t>
      </w:r>
      <w:r w:rsidRPr="008020DE">
        <w:t>Sb.,</w:t>
      </w:r>
      <w:r>
        <w:t xml:space="preserve"> </w:t>
      </w:r>
      <w:r w:rsidRPr="008020DE">
        <w:t>insolvenční</w:t>
      </w:r>
      <w:r>
        <w:t xml:space="preserve"> </w:t>
      </w:r>
      <w:r w:rsidRPr="008020DE">
        <w:t>zákon,</w:t>
      </w:r>
      <w:r>
        <w:t xml:space="preserve"> </w:t>
      </w:r>
      <w:r w:rsidRPr="008020DE">
        <w:t>ve</w:t>
      </w:r>
      <w:r>
        <w:t xml:space="preserve"> </w:t>
      </w:r>
      <w:r w:rsidRPr="008020DE">
        <w:t>znění</w:t>
      </w:r>
      <w:r>
        <w:t xml:space="preserve"> </w:t>
      </w:r>
      <w:r w:rsidRPr="008020DE">
        <w:t>pozdějších</w:t>
      </w:r>
      <w:r>
        <w:t xml:space="preserve"> </w:t>
      </w:r>
      <w:r w:rsidRPr="008020DE">
        <w:t>předpisů.</w:t>
      </w:r>
    </w:p>
    <w:p w14:paraId="46B475E7" w14:textId="494C6C34" w:rsidR="001D06F7" w:rsidRDefault="001D06F7" w:rsidP="00014CCA">
      <w:pPr>
        <w:pStyle w:val="PZTextodstavce"/>
      </w:pPr>
      <w:r w:rsidRPr="008020DE">
        <w:t>(9</w:t>
      </w:r>
      <w:r>
        <w:t>)</w:t>
      </w:r>
      <w:r>
        <w:tab/>
      </w:r>
      <w:r w:rsidRPr="008020DE">
        <w:t>Pro</w:t>
      </w:r>
      <w:r>
        <w:t xml:space="preserve"> </w:t>
      </w:r>
      <w:r w:rsidRPr="008020DE">
        <w:t>stanovení</w:t>
      </w:r>
      <w:r>
        <w:t xml:space="preserve"> </w:t>
      </w:r>
      <w:r w:rsidRPr="008020DE">
        <w:t>dne</w:t>
      </w:r>
      <w:r>
        <w:t xml:space="preserve"> </w:t>
      </w:r>
      <w:r w:rsidRPr="008020DE">
        <w:t>uskutečnění</w:t>
      </w:r>
      <w:r>
        <w:t xml:space="preserve"> </w:t>
      </w:r>
      <w:r w:rsidRPr="008020DE">
        <w:t>plnění</w:t>
      </w:r>
      <w:r>
        <w:t xml:space="preserve"> </w:t>
      </w:r>
      <w:r w:rsidRPr="008020DE">
        <w:t>u</w:t>
      </w:r>
      <w:r>
        <w:t xml:space="preserve"> </w:t>
      </w:r>
      <w:r w:rsidRPr="008020DE">
        <w:t>plnění</w:t>
      </w:r>
      <w:r>
        <w:t xml:space="preserve"> </w:t>
      </w:r>
      <w:r w:rsidRPr="008020DE">
        <w:t>osvobozených</w:t>
      </w:r>
      <w:r>
        <w:t xml:space="preserve"> </w:t>
      </w:r>
      <w:r w:rsidRPr="008020DE">
        <w:t>od</w:t>
      </w:r>
      <w:r>
        <w:t xml:space="preserve"> </w:t>
      </w:r>
      <w:r w:rsidRPr="008020DE">
        <w:t>daně</w:t>
      </w:r>
      <w:r>
        <w:t xml:space="preserve"> </w:t>
      </w:r>
      <w:r w:rsidRPr="008020DE">
        <w:t>platí</w:t>
      </w:r>
      <w:r>
        <w:t xml:space="preserve"> </w:t>
      </w:r>
      <w:r w:rsidRPr="008020DE">
        <w:t>odstavce</w:t>
      </w:r>
      <w:r>
        <w:t xml:space="preserve"> </w:t>
      </w:r>
      <w:r w:rsidRPr="008020DE">
        <w:t>1</w:t>
      </w:r>
      <w:r>
        <w:t xml:space="preserve"> </w:t>
      </w:r>
      <w:r w:rsidRPr="008020DE">
        <w:t>až</w:t>
      </w:r>
      <w:r>
        <w:t xml:space="preserve"> </w:t>
      </w:r>
      <w:r w:rsidRPr="008020DE">
        <w:t>8</w:t>
      </w:r>
      <w:r>
        <w:t xml:space="preserve"> </w:t>
      </w:r>
      <w:r w:rsidRPr="008020DE">
        <w:t>obdobně.</w:t>
      </w:r>
      <w:r>
        <w:t xml:space="preserve"> </w:t>
      </w:r>
      <w:r w:rsidRPr="008020DE">
        <w:t>U</w:t>
      </w:r>
      <w:r>
        <w:t xml:space="preserve"> </w:t>
      </w:r>
      <w:r w:rsidRPr="008020DE">
        <w:t>nájmu</w:t>
      </w:r>
      <w:r>
        <w:t xml:space="preserve"> </w:t>
      </w:r>
      <w:r w:rsidRPr="008020DE">
        <w:t>nemovité</w:t>
      </w:r>
      <w:r>
        <w:t xml:space="preserve"> </w:t>
      </w:r>
      <w:r w:rsidRPr="008020DE">
        <w:t>věci</w:t>
      </w:r>
      <w:r>
        <w:t xml:space="preserve"> </w:t>
      </w:r>
      <w:r w:rsidRPr="008020DE">
        <w:t>osvobozeného</w:t>
      </w:r>
      <w:r>
        <w:t xml:space="preserve"> </w:t>
      </w:r>
      <w:r w:rsidRPr="008020DE">
        <w:t>od</w:t>
      </w:r>
      <w:r>
        <w:t xml:space="preserve"> </w:t>
      </w:r>
      <w:r w:rsidRPr="008020DE">
        <w:t>daně</w:t>
      </w:r>
      <w:r>
        <w:t xml:space="preserve"> </w:t>
      </w:r>
      <w:r w:rsidRPr="008020DE">
        <w:t>bez</w:t>
      </w:r>
      <w:r>
        <w:t xml:space="preserve"> </w:t>
      </w:r>
      <w:r w:rsidRPr="008020DE">
        <w:t>nároku</w:t>
      </w:r>
      <w:r>
        <w:t xml:space="preserve"> </w:t>
      </w:r>
      <w:r w:rsidRPr="008020DE">
        <w:t>na</w:t>
      </w:r>
      <w:r>
        <w:t xml:space="preserve"> </w:t>
      </w:r>
      <w:r w:rsidRPr="008020DE">
        <w:t>odpočet</w:t>
      </w:r>
      <w:r>
        <w:t xml:space="preserve"> </w:t>
      </w:r>
      <w:r w:rsidRPr="008020DE">
        <w:t>daně</w:t>
      </w:r>
      <w:r>
        <w:t xml:space="preserve"> </w:t>
      </w:r>
      <w:r w:rsidRPr="008020DE">
        <w:t>se</w:t>
      </w:r>
      <w:r>
        <w:t xml:space="preserve"> </w:t>
      </w:r>
      <w:r w:rsidRPr="008020DE">
        <w:t>považuje</w:t>
      </w:r>
      <w:r>
        <w:t xml:space="preserve"> </w:t>
      </w:r>
      <w:r w:rsidRPr="008020DE">
        <w:t>plnění</w:t>
      </w:r>
      <w:r>
        <w:t xml:space="preserve"> </w:t>
      </w:r>
      <w:r w:rsidRPr="008020DE">
        <w:t>za</w:t>
      </w:r>
      <w:r>
        <w:t xml:space="preserve"> </w:t>
      </w:r>
      <w:r w:rsidRPr="008020DE">
        <w:t>uskutečněné</w:t>
      </w:r>
      <w:r>
        <w:t xml:space="preserve"> </w:t>
      </w:r>
      <w:r w:rsidRPr="008020DE">
        <w:t>nejpozději</w:t>
      </w:r>
      <w:r>
        <w:t xml:space="preserve"> </w:t>
      </w:r>
      <w:r w:rsidRPr="008020DE">
        <w:t>posledním</w:t>
      </w:r>
      <w:r>
        <w:t xml:space="preserve"> </w:t>
      </w:r>
      <w:r w:rsidRPr="008020DE">
        <w:t>dnem</w:t>
      </w:r>
      <w:r>
        <w:t xml:space="preserve"> </w:t>
      </w:r>
      <w:r w:rsidRPr="008020DE">
        <w:t>každého</w:t>
      </w:r>
      <w:r>
        <w:t xml:space="preserve"> </w:t>
      </w:r>
      <w:r w:rsidRPr="008020DE">
        <w:t>kalendářního</w:t>
      </w:r>
      <w:r>
        <w:t xml:space="preserve"> </w:t>
      </w:r>
      <w:r w:rsidRPr="008020DE">
        <w:t>roku.</w:t>
      </w:r>
    </w:p>
    <w:p w14:paraId="06437FD1" w14:textId="33EA831B" w:rsidR="00E55F2A" w:rsidRDefault="00E55F2A" w:rsidP="00E55F2A">
      <w:pPr>
        <w:pStyle w:val="Nadpisparagrafu"/>
        <w:numPr>
          <w:ilvl w:val="0"/>
          <w:numId w:val="71"/>
        </w:numPr>
      </w:pPr>
      <w:r>
        <w:lastRenderedPageBreak/>
        <w:t>***</w:t>
      </w:r>
    </w:p>
    <w:p w14:paraId="668B1A2A" w14:textId="77777777" w:rsidR="00E55F2A" w:rsidRDefault="00E55F2A" w:rsidP="00E55F2A">
      <w:pPr>
        <w:pStyle w:val="Paragraf"/>
        <w:spacing w:after="240"/>
      </w:pPr>
      <w:r>
        <w:t>§ 36</w:t>
      </w:r>
    </w:p>
    <w:p w14:paraId="0177A1AA" w14:textId="77777777" w:rsidR="00E55F2A" w:rsidRPr="005A587D" w:rsidRDefault="00E55F2A" w:rsidP="00E55F2A">
      <w:pPr>
        <w:pStyle w:val="Nadpisparagrafu"/>
        <w:numPr>
          <w:ilvl w:val="0"/>
          <w:numId w:val="71"/>
        </w:numPr>
      </w:pPr>
      <w:r>
        <w:t>Základ daně</w:t>
      </w:r>
    </w:p>
    <w:p w14:paraId="1F28AB9D" w14:textId="561B1A9F" w:rsidR="005329E9" w:rsidRDefault="00E55F2A" w:rsidP="005329E9">
      <w:pPr>
        <w:pStyle w:val="nadpis"/>
        <w:numPr>
          <w:ilvl w:val="0"/>
          <w:numId w:val="71"/>
        </w:numPr>
        <w:outlineLvl w:val="9"/>
      </w:pPr>
      <w:r>
        <w:t>***</w:t>
      </w:r>
    </w:p>
    <w:p w14:paraId="79B3C7E6" w14:textId="77777777" w:rsidR="005329E9" w:rsidRDefault="005329E9" w:rsidP="005329E9">
      <w:pPr>
        <w:pStyle w:val="PZTextodstavce"/>
      </w:pPr>
      <w:r w:rsidRPr="00136DE5">
        <w:t>(1</w:t>
      </w:r>
      <w:r>
        <w:t>)</w:t>
      </w:r>
      <w:r>
        <w:tab/>
      </w:r>
      <w:r w:rsidRPr="00136DE5">
        <w:t>Základem</w:t>
      </w:r>
      <w:r>
        <w:t xml:space="preserve"> </w:t>
      </w:r>
      <w:r w:rsidRPr="00136DE5">
        <w:t>daně</w:t>
      </w:r>
      <w:r>
        <w:t xml:space="preserve"> </w:t>
      </w:r>
      <w:r w:rsidRPr="00136DE5">
        <w:t>je</w:t>
      </w:r>
      <w:r>
        <w:t xml:space="preserve"> </w:t>
      </w:r>
      <w:r w:rsidRPr="00136DE5">
        <w:t>vše,</w:t>
      </w:r>
      <w:r>
        <w:t xml:space="preserve"> </w:t>
      </w:r>
      <w:r w:rsidRPr="00136DE5">
        <w:t>co</w:t>
      </w:r>
      <w:r>
        <w:t xml:space="preserve"> </w:t>
      </w:r>
      <w:r w:rsidRPr="00136DE5">
        <w:t>jako</w:t>
      </w:r>
      <w:r>
        <w:t xml:space="preserve"> </w:t>
      </w:r>
      <w:r w:rsidRPr="00136DE5">
        <w:t>úplatu</w:t>
      </w:r>
      <w:r>
        <w:t xml:space="preserve"> </w:t>
      </w:r>
      <w:r w:rsidRPr="00136DE5">
        <w:t>obdržel</w:t>
      </w:r>
      <w:r>
        <w:t xml:space="preserve"> </w:t>
      </w:r>
      <w:r w:rsidRPr="00136DE5">
        <w:t>nebo</w:t>
      </w:r>
      <w:r>
        <w:t xml:space="preserve"> </w:t>
      </w:r>
      <w:r w:rsidRPr="00136DE5">
        <w:t>má</w:t>
      </w:r>
      <w:r>
        <w:t xml:space="preserve"> </w:t>
      </w:r>
      <w:r w:rsidRPr="00136DE5">
        <w:t>obdržet</w:t>
      </w:r>
      <w:r>
        <w:t xml:space="preserve"> </w:t>
      </w:r>
      <w:r w:rsidRPr="00136DE5">
        <w:t>plátce</w:t>
      </w:r>
      <w:r>
        <w:t xml:space="preserve"> </w:t>
      </w:r>
      <w:r w:rsidRPr="00136DE5">
        <w:t>za</w:t>
      </w:r>
      <w:r>
        <w:t xml:space="preserve"> </w:t>
      </w:r>
      <w:r w:rsidRPr="00136DE5">
        <w:t>uskutečněné</w:t>
      </w:r>
      <w:r>
        <w:t xml:space="preserve"> </w:t>
      </w:r>
      <w:r w:rsidRPr="00136DE5">
        <w:t>zdanitelné</w:t>
      </w:r>
      <w:r>
        <w:t xml:space="preserve"> </w:t>
      </w:r>
      <w:r w:rsidRPr="00136DE5">
        <w:t>plnění,</w:t>
      </w:r>
      <w:r>
        <w:t xml:space="preserve"> </w:t>
      </w:r>
      <w:r w:rsidRPr="00136DE5">
        <w:t>včetně</w:t>
      </w:r>
      <w:r>
        <w:t xml:space="preserve"> </w:t>
      </w:r>
      <w:r w:rsidRPr="00136DE5">
        <w:t>částky</w:t>
      </w:r>
      <w:r>
        <w:t xml:space="preserve"> </w:t>
      </w:r>
      <w:r w:rsidRPr="00136DE5">
        <w:t>na</w:t>
      </w:r>
      <w:r>
        <w:t xml:space="preserve"> </w:t>
      </w:r>
      <w:r w:rsidRPr="00136DE5">
        <w:t>úhradu</w:t>
      </w:r>
      <w:r>
        <w:t xml:space="preserve"> </w:t>
      </w:r>
      <w:r w:rsidRPr="00136DE5">
        <w:t>spotřební</w:t>
      </w:r>
      <w:r>
        <w:t xml:space="preserve"> </w:t>
      </w:r>
      <w:r w:rsidRPr="00136DE5">
        <w:t>daně</w:t>
      </w:r>
      <w:r>
        <w:t xml:space="preserve"> </w:t>
      </w:r>
      <w:r w:rsidRPr="00136DE5">
        <w:t>od</w:t>
      </w:r>
      <w:r>
        <w:t xml:space="preserve"> </w:t>
      </w:r>
      <w:r w:rsidRPr="00136DE5">
        <w:t>osoby,</w:t>
      </w:r>
      <w:r>
        <w:t xml:space="preserve"> </w:t>
      </w:r>
      <w:r w:rsidRPr="00136DE5">
        <w:t>pro</w:t>
      </w:r>
      <w:r>
        <w:t xml:space="preserve"> </w:t>
      </w:r>
      <w:r w:rsidRPr="00136DE5">
        <w:t>kterou</w:t>
      </w:r>
      <w:r>
        <w:t xml:space="preserve"> </w:t>
      </w:r>
      <w:r w:rsidRPr="00136DE5">
        <w:t>je</w:t>
      </w:r>
      <w:r>
        <w:t xml:space="preserve"> </w:t>
      </w:r>
      <w:r w:rsidRPr="00136DE5">
        <w:t>zdanitelné</w:t>
      </w:r>
      <w:r>
        <w:t xml:space="preserve"> </w:t>
      </w:r>
      <w:r w:rsidRPr="00136DE5">
        <w:t>plnění</w:t>
      </w:r>
      <w:r>
        <w:t xml:space="preserve"> </w:t>
      </w:r>
      <w:r w:rsidRPr="00136DE5">
        <w:t>uskutečněno,</w:t>
      </w:r>
      <w:r>
        <w:t xml:space="preserve"> </w:t>
      </w:r>
      <w:r w:rsidRPr="00136DE5">
        <w:t>nebo</w:t>
      </w:r>
      <w:r>
        <w:t xml:space="preserve"> </w:t>
      </w:r>
      <w:r w:rsidRPr="00136DE5">
        <w:t>od</w:t>
      </w:r>
      <w:r>
        <w:t xml:space="preserve"> </w:t>
      </w:r>
      <w:r w:rsidRPr="00136DE5">
        <w:t>třetí</w:t>
      </w:r>
      <w:r>
        <w:t xml:space="preserve"> </w:t>
      </w:r>
      <w:r w:rsidRPr="00136DE5">
        <w:t>osoby,</w:t>
      </w:r>
      <w:r>
        <w:t xml:space="preserve"> </w:t>
      </w:r>
      <w:r w:rsidRPr="00136DE5">
        <w:t>a</w:t>
      </w:r>
      <w:r>
        <w:t xml:space="preserve"> </w:t>
      </w:r>
      <w:r w:rsidRPr="00136DE5">
        <w:t>to</w:t>
      </w:r>
      <w:r>
        <w:t xml:space="preserve"> </w:t>
      </w:r>
      <w:r w:rsidRPr="00136DE5">
        <w:t>bez</w:t>
      </w:r>
      <w:r>
        <w:t xml:space="preserve"> </w:t>
      </w:r>
      <w:r w:rsidRPr="00136DE5">
        <w:t>daně</w:t>
      </w:r>
      <w:r>
        <w:t xml:space="preserve"> </w:t>
      </w:r>
      <w:r w:rsidRPr="00136DE5">
        <w:t>za</w:t>
      </w:r>
      <w:r>
        <w:t xml:space="preserve"> </w:t>
      </w:r>
      <w:r w:rsidRPr="00136DE5">
        <w:t>toto</w:t>
      </w:r>
      <w:r>
        <w:t xml:space="preserve"> </w:t>
      </w:r>
      <w:r w:rsidRPr="00136DE5">
        <w:t>zdanitelné</w:t>
      </w:r>
      <w:r>
        <w:t xml:space="preserve"> </w:t>
      </w:r>
      <w:r w:rsidRPr="00136DE5">
        <w:t>plnění.</w:t>
      </w:r>
    </w:p>
    <w:p w14:paraId="0108C921" w14:textId="77777777" w:rsidR="005329E9" w:rsidRDefault="005329E9" w:rsidP="005329E9">
      <w:pPr>
        <w:pStyle w:val="PZTextodstavce"/>
      </w:pPr>
      <w:r w:rsidRPr="00136DE5">
        <w:t>(2</w:t>
      </w:r>
      <w:r>
        <w:t>)</w:t>
      </w:r>
      <w:r>
        <w:tab/>
      </w:r>
      <w:r w:rsidRPr="00136DE5">
        <w:t>Základem</w:t>
      </w:r>
      <w:r>
        <w:t xml:space="preserve"> </w:t>
      </w:r>
      <w:r w:rsidRPr="00136DE5">
        <w:t>daně</w:t>
      </w:r>
      <w:r>
        <w:t xml:space="preserve"> </w:t>
      </w:r>
      <w:r w:rsidRPr="00136DE5">
        <w:t>v</w:t>
      </w:r>
      <w:r>
        <w:t xml:space="preserve"> </w:t>
      </w:r>
      <w:r w:rsidRPr="00136DE5">
        <w:t>případě</w:t>
      </w:r>
      <w:r>
        <w:t xml:space="preserve"> </w:t>
      </w:r>
      <w:r w:rsidRPr="00136DE5">
        <w:t>přijetí</w:t>
      </w:r>
      <w:r>
        <w:t xml:space="preserve"> </w:t>
      </w:r>
      <w:r w:rsidRPr="00136DE5">
        <w:t>úplaty</w:t>
      </w:r>
      <w:r>
        <w:t xml:space="preserve"> </w:t>
      </w:r>
      <w:r w:rsidRPr="00136DE5">
        <w:t>před</w:t>
      </w:r>
      <w:r>
        <w:t xml:space="preserve"> </w:t>
      </w:r>
      <w:r w:rsidRPr="00136DE5">
        <w:t>uskutečněním</w:t>
      </w:r>
      <w:r>
        <w:t xml:space="preserve"> </w:t>
      </w:r>
      <w:r w:rsidRPr="00136DE5">
        <w:t>zdanitelného</w:t>
      </w:r>
      <w:r>
        <w:t xml:space="preserve"> </w:t>
      </w:r>
      <w:r w:rsidRPr="00136DE5">
        <w:t>plnění</w:t>
      </w:r>
      <w:r>
        <w:t xml:space="preserve"> </w:t>
      </w:r>
      <w:r w:rsidRPr="00136DE5">
        <w:t>je</w:t>
      </w:r>
      <w:r>
        <w:t xml:space="preserve"> </w:t>
      </w:r>
      <w:r w:rsidRPr="00136DE5">
        <w:t>částka</w:t>
      </w:r>
      <w:r>
        <w:t xml:space="preserve"> </w:t>
      </w:r>
      <w:r w:rsidRPr="00136DE5">
        <w:t>přijaté</w:t>
      </w:r>
      <w:r>
        <w:t xml:space="preserve"> </w:t>
      </w:r>
      <w:r w:rsidRPr="00136DE5">
        <w:t>úplaty</w:t>
      </w:r>
      <w:r>
        <w:t xml:space="preserve"> </w:t>
      </w:r>
      <w:r w:rsidRPr="00136DE5">
        <w:t>snížená</w:t>
      </w:r>
      <w:r>
        <w:t xml:space="preserve"> </w:t>
      </w:r>
      <w:r w:rsidRPr="00136DE5">
        <w:t>o</w:t>
      </w:r>
      <w:r>
        <w:t xml:space="preserve"> </w:t>
      </w:r>
      <w:r w:rsidRPr="00136DE5">
        <w:t>daň.</w:t>
      </w:r>
    </w:p>
    <w:p w14:paraId="4918B328" w14:textId="77777777" w:rsidR="005329E9" w:rsidRDefault="005329E9" w:rsidP="005329E9">
      <w:pPr>
        <w:pStyle w:val="PZTextodstavce"/>
      </w:pPr>
      <w:r w:rsidRPr="00136DE5">
        <w:t>(3</w:t>
      </w:r>
      <w:r>
        <w:t>)</w:t>
      </w:r>
      <w:r>
        <w:tab/>
      </w:r>
      <w:r w:rsidRPr="00136DE5">
        <w:t>Základ</w:t>
      </w:r>
      <w:r>
        <w:t xml:space="preserve"> </w:t>
      </w:r>
      <w:r w:rsidRPr="00136DE5">
        <w:t>daně</w:t>
      </w:r>
      <w:r>
        <w:t xml:space="preserve"> </w:t>
      </w:r>
      <w:r w:rsidRPr="00136DE5">
        <w:t>také</w:t>
      </w:r>
      <w:r>
        <w:t xml:space="preserve"> </w:t>
      </w:r>
      <w:r w:rsidRPr="00136DE5">
        <w:t>zahrnuje</w:t>
      </w:r>
    </w:p>
    <w:p w14:paraId="539DD9E7" w14:textId="77777777" w:rsidR="005329E9" w:rsidRDefault="005329E9" w:rsidP="005329E9">
      <w:pPr>
        <w:pStyle w:val="PZTextpsmene"/>
        <w:spacing w:before="0"/>
      </w:pPr>
      <w:r w:rsidRPr="00136DE5">
        <w:t>a</w:t>
      </w:r>
      <w:r>
        <w:t>)</w:t>
      </w:r>
      <w:r>
        <w:tab/>
      </w:r>
      <w:r w:rsidRPr="00136DE5">
        <w:t>jiné</w:t>
      </w:r>
      <w:r>
        <w:t xml:space="preserve"> </w:t>
      </w:r>
      <w:r w:rsidRPr="00136DE5">
        <w:t>daně,</w:t>
      </w:r>
      <w:r>
        <w:t xml:space="preserve"> </w:t>
      </w:r>
      <w:r w:rsidRPr="00136DE5">
        <w:t>poplatky</w:t>
      </w:r>
      <w:r>
        <w:t xml:space="preserve"> </w:t>
      </w:r>
      <w:r w:rsidRPr="00136DE5">
        <w:t>nebo</w:t>
      </w:r>
      <w:r>
        <w:t xml:space="preserve"> </w:t>
      </w:r>
      <w:r w:rsidRPr="00136DE5">
        <w:t>jiná</w:t>
      </w:r>
      <w:r>
        <w:t xml:space="preserve"> </w:t>
      </w:r>
      <w:r w:rsidRPr="00136DE5">
        <w:t>obdobná</w:t>
      </w:r>
      <w:r>
        <w:t xml:space="preserve"> </w:t>
      </w:r>
      <w:r w:rsidRPr="00136DE5">
        <w:t>peněžitá</w:t>
      </w:r>
      <w:r>
        <w:t xml:space="preserve"> </w:t>
      </w:r>
      <w:r w:rsidRPr="00136DE5">
        <w:t>plnění,</w:t>
      </w:r>
    </w:p>
    <w:p w14:paraId="69BD4616" w14:textId="77777777" w:rsidR="005329E9" w:rsidRDefault="005329E9" w:rsidP="005329E9">
      <w:pPr>
        <w:pStyle w:val="PZTextpsmene"/>
        <w:spacing w:before="0"/>
      </w:pPr>
      <w:r w:rsidRPr="00136DE5">
        <w:t>b</w:t>
      </w:r>
      <w:r>
        <w:t>)</w:t>
      </w:r>
      <w:r>
        <w:tab/>
      </w:r>
      <w:r w:rsidRPr="00136DE5">
        <w:t>vedlejší</w:t>
      </w:r>
      <w:r>
        <w:t xml:space="preserve"> </w:t>
      </w:r>
      <w:r w:rsidRPr="00136DE5">
        <w:t>výdaje,</w:t>
      </w:r>
      <w:r>
        <w:t xml:space="preserve"> </w:t>
      </w:r>
      <w:r w:rsidRPr="00136DE5">
        <w:t>které</w:t>
      </w:r>
      <w:r>
        <w:t xml:space="preserve"> </w:t>
      </w:r>
      <w:r w:rsidRPr="00136DE5">
        <w:t>jsou</w:t>
      </w:r>
      <w:r>
        <w:t xml:space="preserve"> </w:t>
      </w:r>
      <w:r w:rsidRPr="00136DE5">
        <w:t>účtovány</w:t>
      </w:r>
      <w:r>
        <w:t xml:space="preserve"> </w:t>
      </w:r>
      <w:r w:rsidRPr="00136DE5">
        <w:t>osobě,</w:t>
      </w:r>
      <w:r>
        <w:t xml:space="preserve"> </w:t>
      </w:r>
      <w:r w:rsidRPr="00136DE5">
        <w:t>pro</w:t>
      </w:r>
      <w:r>
        <w:t xml:space="preserve"> </w:t>
      </w:r>
      <w:r w:rsidRPr="00136DE5">
        <w:t>kterou</w:t>
      </w:r>
      <w:r>
        <w:t xml:space="preserve"> </w:t>
      </w:r>
      <w:r w:rsidRPr="00136DE5">
        <w:t>je</w:t>
      </w:r>
      <w:r>
        <w:t xml:space="preserve"> </w:t>
      </w:r>
      <w:r w:rsidRPr="00136DE5">
        <w:t>uskutečňováno</w:t>
      </w:r>
      <w:r>
        <w:t xml:space="preserve"> </w:t>
      </w:r>
      <w:r w:rsidRPr="00136DE5">
        <w:t>zdanitelné</w:t>
      </w:r>
      <w:r>
        <w:t xml:space="preserve"> </w:t>
      </w:r>
      <w:r w:rsidRPr="00136DE5">
        <w:t>plnění,</w:t>
      </w:r>
      <w:r>
        <w:t xml:space="preserve"> </w:t>
      </w:r>
      <w:r w:rsidRPr="00136DE5">
        <w:t>při</w:t>
      </w:r>
      <w:r>
        <w:t xml:space="preserve"> </w:t>
      </w:r>
      <w:r w:rsidRPr="00136DE5">
        <w:t>jeho</w:t>
      </w:r>
      <w:r>
        <w:t xml:space="preserve"> </w:t>
      </w:r>
      <w:r w:rsidRPr="00136DE5">
        <w:t>uskutečnění,</w:t>
      </w:r>
    </w:p>
    <w:p w14:paraId="1D36ABA9" w14:textId="77777777" w:rsidR="005329E9" w:rsidRDefault="005329E9" w:rsidP="005329E9">
      <w:pPr>
        <w:pStyle w:val="PZTextpsmene"/>
        <w:spacing w:before="0"/>
      </w:pPr>
      <w:r w:rsidRPr="00136DE5">
        <w:t>c</w:t>
      </w:r>
      <w:r>
        <w:t>)</w:t>
      </w:r>
      <w:r>
        <w:tab/>
      </w:r>
      <w:r w:rsidRPr="00136DE5">
        <w:t>při</w:t>
      </w:r>
      <w:r>
        <w:t xml:space="preserve"> </w:t>
      </w:r>
      <w:r w:rsidRPr="00136DE5">
        <w:t>poskytnutí</w:t>
      </w:r>
      <w:r>
        <w:t xml:space="preserve"> </w:t>
      </w:r>
      <w:r w:rsidRPr="00136DE5">
        <w:t>služby</w:t>
      </w:r>
      <w:r>
        <w:t xml:space="preserve"> </w:t>
      </w:r>
      <w:r w:rsidRPr="00136DE5">
        <w:t>i</w:t>
      </w:r>
      <w:r>
        <w:t xml:space="preserve"> </w:t>
      </w:r>
      <w:r w:rsidRPr="00136DE5">
        <w:t>materiál</w:t>
      </w:r>
      <w:r>
        <w:t xml:space="preserve"> </w:t>
      </w:r>
      <w:r w:rsidRPr="00136DE5">
        <w:t>přímo</w:t>
      </w:r>
      <w:r>
        <w:t xml:space="preserve"> </w:t>
      </w:r>
      <w:r w:rsidRPr="00136DE5">
        <w:t>související</w:t>
      </w:r>
      <w:r>
        <w:t xml:space="preserve"> </w:t>
      </w:r>
      <w:r w:rsidRPr="00136DE5">
        <w:t>s</w:t>
      </w:r>
      <w:r>
        <w:t xml:space="preserve"> </w:t>
      </w:r>
      <w:r w:rsidRPr="00136DE5">
        <w:t>poskytovanou</w:t>
      </w:r>
      <w:r>
        <w:t xml:space="preserve"> </w:t>
      </w:r>
      <w:r w:rsidRPr="00136DE5">
        <w:t>službou,</w:t>
      </w:r>
    </w:p>
    <w:p w14:paraId="55643AED" w14:textId="77777777" w:rsidR="005329E9" w:rsidRDefault="005329E9" w:rsidP="005329E9">
      <w:pPr>
        <w:pStyle w:val="PZTextpsmene"/>
        <w:spacing w:before="0"/>
      </w:pPr>
      <w:r w:rsidRPr="00136DE5">
        <w:t>d</w:t>
      </w:r>
      <w:r>
        <w:t>)</w:t>
      </w:r>
      <w:r>
        <w:tab/>
      </w:r>
      <w:r w:rsidRPr="00136DE5">
        <w:t>při</w:t>
      </w:r>
      <w:r>
        <w:t xml:space="preserve"> </w:t>
      </w:r>
      <w:r w:rsidRPr="00136DE5">
        <w:t>poskytnutí</w:t>
      </w:r>
      <w:r>
        <w:t xml:space="preserve"> </w:t>
      </w:r>
      <w:r w:rsidRPr="00136DE5">
        <w:t>stavebních</w:t>
      </w:r>
      <w:r>
        <w:t xml:space="preserve"> </w:t>
      </w:r>
      <w:r w:rsidRPr="00136DE5">
        <w:t>a</w:t>
      </w:r>
      <w:r>
        <w:t xml:space="preserve"> </w:t>
      </w:r>
      <w:r w:rsidRPr="00136DE5">
        <w:t>montážních</w:t>
      </w:r>
      <w:r>
        <w:t xml:space="preserve"> </w:t>
      </w:r>
      <w:r w:rsidRPr="00136DE5">
        <w:t>prací</w:t>
      </w:r>
      <w:r>
        <w:t xml:space="preserve"> </w:t>
      </w:r>
      <w:r w:rsidRPr="00136DE5">
        <w:t>provedených</w:t>
      </w:r>
      <w:r>
        <w:t xml:space="preserve"> </w:t>
      </w:r>
      <w:r w:rsidRPr="00136DE5">
        <w:t>na</w:t>
      </w:r>
      <w:r>
        <w:t xml:space="preserve"> </w:t>
      </w:r>
      <w:r w:rsidRPr="00136DE5">
        <w:t>dokončené</w:t>
      </w:r>
      <w:r>
        <w:t xml:space="preserve"> </w:t>
      </w:r>
      <w:r w:rsidRPr="00136DE5">
        <w:t>stavbě</w:t>
      </w:r>
      <w:r>
        <w:t xml:space="preserve"> </w:t>
      </w:r>
      <w:r w:rsidRPr="00136DE5">
        <w:t>nebo</w:t>
      </w:r>
      <w:r>
        <w:t xml:space="preserve"> </w:t>
      </w:r>
      <w:r w:rsidRPr="00136DE5">
        <w:t>spojených</w:t>
      </w:r>
      <w:r>
        <w:t xml:space="preserve"> </w:t>
      </w:r>
      <w:r w:rsidRPr="00136DE5">
        <w:t>s</w:t>
      </w:r>
      <w:r>
        <w:t xml:space="preserve"> </w:t>
      </w:r>
      <w:r w:rsidRPr="00136DE5">
        <w:t>výstavbou</w:t>
      </w:r>
      <w:r>
        <w:t xml:space="preserve"> </w:t>
      </w:r>
      <w:r w:rsidRPr="00136DE5">
        <w:t>stavby,</w:t>
      </w:r>
      <w:r>
        <w:t xml:space="preserve"> </w:t>
      </w:r>
      <w:r w:rsidRPr="00136DE5">
        <w:t>konstrukce,</w:t>
      </w:r>
      <w:r>
        <w:t xml:space="preserve"> </w:t>
      </w:r>
      <w:r w:rsidRPr="00136DE5">
        <w:t>materiál,</w:t>
      </w:r>
      <w:r>
        <w:t xml:space="preserve"> </w:t>
      </w:r>
      <w:r w:rsidRPr="00136DE5">
        <w:t>stroje</w:t>
      </w:r>
      <w:r>
        <w:t xml:space="preserve"> </w:t>
      </w:r>
      <w:r w:rsidRPr="00136DE5">
        <w:t>a</w:t>
      </w:r>
      <w:r>
        <w:t xml:space="preserve"> </w:t>
      </w:r>
      <w:r w:rsidRPr="00136DE5">
        <w:t>zařízení,</w:t>
      </w:r>
      <w:r>
        <w:t xml:space="preserve"> </w:t>
      </w:r>
      <w:r w:rsidRPr="00136DE5">
        <w:t>které</w:t>
      </w:r>
      <w:r>
        <w:t xml:space="preserve"> </w:t>
      </w:r>
      <w:r w:rsidRPr="00136DE5">
        <w:t>se</w:t>
      </w:r>
      <w:r>
        <w:t xml:space="preserve"> </w:t>
      </w:r>
      <w:r w:rsidRPr="00136DE5">
        <w:t>do</w:t>
      </w:r>
      <w:r>
        <w:t xml:space="preserve"> </w:t>
      </w:r>
      <w:r w:rsidRPr="00136DE5">
        <w:t>stavby</w:t>
      </w:r>
      <w:r>
        <w:t xml:space="preserve"> </w:t>
      </w:r>
      <w:r w:rsidRPr="00136DE5">
        <w:t>jako</w:t>
      </w:r>
      <w:r>
        <w:t xml:space="preserve"> </w:t>
      </w:r>
      <w:r w:rsidRPr="00136DE5">
        <w:t>její</w:t>
      </w:r>
      <w:r>
        <w:t xml:space="preserve"> </w:t>
      </w:r>
      <w:r w:rsidRPr="00136DE5">
        <w:t>součást</w:t>
      </w:r>
      <w:r>
        <w:t xml:space="preserve"> </w:t>
      </w:r>
      <w:r w:rsidRPr="00136DE5">
        <w:t>montážními</w:t>
      </w:r>
      <w:r>
        <w:t xml:space="preserve"> </w:t>
      </w:r>
      <w:r w:rsidRPr="00136DE5">
        <w:t>a</w:t>
      </w:r>
      <w:r>
        <w:t xml:space="preserve"> </w:t>
      </w:r>
      <w:r w:rsidRPr="00136DE5">
        <w:t>stavebními</w:t>
      </w:r>
      <w:r>
        <w:t xml:space="preserve"> </w:t>
      </w:r>
      <w:r w:rsidRPr="00136DE5">
        <w:t>pracemi</w:t>
      </w:r>
      <w:r>
        <w:t xml:space="preserve"> </w:t>
      </w:r>
      <w:r w:rsidRPr="00136DE5">
        <w:t>zabudují</w:t>
      </w:r>
      <w:r>
        <w:t xml:space="preserve"> </w:t>
      </w:r>
      <w:r w:rsidRPr="00136DE5">
        <w:t>nebo</w:t>
      </w:r>
      <w:r>
        <w:t xml:space="preserve"> </w:t>
      </w:r>
      <w:r w:rsidRPr="00136DE5">
        <w:t>zamontují.</w:t>
      </w:r>
    </w:p>
    <w:p w14:paraId="01356959" w14:textId="77777777" w:rsidR="005329E9" w:rsidRDefault="005329E9" w:rsidP="005329E9">
      <w:pPr>
        <w:pStyle w:val="PZTextodstavce"/>
      </w:pPr>
      <w:r w:rsidRPr="00136DE5">
        <w:t>(4</w:t>
      </w:r>
      <w:r>
        <w:t>)</w:t>
      </w:r>
      <w:r>
        <w:tab/>
      </w:r>
      <w:r w:rsidRPr="00136DE5">
        <w:t>Za</w:t>
      </w:r>
      <w:r>
        <w:t xml:space="preserve"> </w:t>
      </w:r>
      <w:r w:rsidRPr="00136DE5">
        <w:t>vedlejší</w:t>
      </w:r>
      <w:r>
        <w:t xml:space="preserve"> </w:t>
      </w:r>
      <w:r w:rsidRPr="00136DE5">
        <w:t>výdaje</w:t>
      </w:r>
      <w:r>
        <w:t xml:space="preserve"> </w:t>
      </w:r>
      <w:r w:rsidRPr="00136DE5">
        <w:t>se</w:t>
      </w:r>
      <w:r>
        <w:t xml:space="preserve"> </w:t>
      </w:r>
      <w:r w:rsidRPr="00136DE5">
        <w:t>pro</w:t>
      </w:r>
      <w:r>
        <w:t xml:space="preserve"> </w:t>
      </w:r>
      <w:r w:rsidRPr="00136DE5">
        <w:t>účely</w:t>
      </w:r>
      <w:r>
        <w:t xml:space="preserve"> </w:t>
      </w:r>
      <w:r w:rsidRPr="00136DE5">
        <w:t>základu</w:t>
      </w:r>
      <w:r>
        <w:t xml:space="preserve"> </w:t>
      </w:r>
      <w:r w:rsidRPr="00136DE5">
        <w:t>daně</w:t>
      </w:r>
      <w:r>
        <w:t xml:space="preserve"> </w:t>
      </w:r>
      <w:r w:rsidRPr="00136DE5">
        <w:t>považují</w:t>
      </w:r>
      <w:r>
        <w:t xml:space="preserve"> </w:t>
      </w:r>
      <w:r w:rsidRPr="00136DE5">
        <w:t>zejména</w:t>
      </w:r>
      <w:r>
        <w:t xml:space="preserve"> </w:t>
      </w:r>
      <w:r w:rsidRPr="00136DE5">
        <w:t>náklady</w:t>
      </w:r>
      <w:r>
        <w:t xml:space="preserve"> </w:t>
      </w:r>
      <w:r w:rsidRPr="00136DE5">
        <w:t>na</w:t>
      </w:r>
      <w:r>
        <w:t xml:space="preserve"> </w:t>
      </w:r>
      <w:r w:rsidRPr="00136DE5">
        <w:t>balení,</w:t>
      </w:r>
      <w:r>
        <w:t xml:space="preserve"> </w:t>
      </w:r>
      <w:r w:rsidRPr="00136DE5">
        <w:t>přepravu,</w:t>
      </w:r>
      <w:r>
        <w:t xml:space="preserve"> </w:t>
      </w:r>
      <w:r w:rsidRPr="00136DE5">
        <w:t>pojištění</w:t>
      </w:r>
      <w:r>
        <w:t xml:space="preserve"> </w:t>
      </w:r>
      <w:r w:rsidRPr="00136DE5">
        <w:t>a</w:t>
      </w:r>
      <w:r>
        <w:t xml:space="preserve"> </w:t>
      </w:r>
      <w:r w:rsidRPr="00136DE5">
        <w:t>provize.</w:t>
      </w:r>
    </w:p>
    <w:p w14:paraId="7917273D" w14:textId="77777777" w:rsidR="005329E9" w:rsidRDefault="005329E9" w:rsidP="005329E9">
      <w:pPr>
        <w:pStyle w:val="PZTextodstavce"/>
      </w:pPr>
      <w:r w:rsidRPr="00136DE5">
        <w:t>(5</w:t>
      </w:r>
      <w:r>
        <w:t>)</w:t>
      </w:r>
      <w:r>
        <w:tab/>
      </w:r>
      <w:r w:rsidRPr="00136DE5">
        <w:t>Základ</w:t>
      </w:r>
      <w:r>
        <w:t xml:space="preserve"> </w:t>
      </w:r>
      <w:r w:rsidRPr="00136DE5">
        <w:t>daně</w:t>
      </w:r>
      <w:r>
        <w:t xml:space="preserve"> </w:t>
      </w:r>
      <w:r w:rsidRPr="00136DE5">
        <w:t>se</w:t>
      </w:r>
      <w:r>
        <w:t xml:space="preserve"> </w:t>
      </w:r>
      <w:r w:rsidRPr="00136DE5">
        <w:t>sníží</w:t>
      </w:r>
      <w:r>
        <w:t xml:space="preserve"> </w:t>
      </w:r>
      <w:r w:rsidRPr="00136DE5">
        <w:t>o</w:t>
      </w:r>
      <w:r>
        <w:t xml:space="preserve"> </w:t>
      </w:r>
      <w:r w:rsidRPr="00136DE5">
        <w:t>slevu</w:t>
      </w:r>
      <w:r>
        <w:t xml:space="preserve"> </w:t>
      </w:r>
      <w:r w:rsidRPr="00136DE5">
        <w:t>z</w:t>
      </w:r>
      <w:r>
        <w:t xml:space="preserve"> </w:t>
      </w:r>
      <w:r w:rsidRPr="00136DE5">
        <w:t>ceny,</w:t>
      </w:r>
      <w:r>
        <w:t xml:space="preserve"> </w:t>
      </w:r>
      <w:r w:rsidRPr="00136DE5">
        <w:t>pokud</w:t>
      </w:r>
      <w:r>
        <w:t xml:space="preserve"> </w:t>
      </w:r>
      <w:r w:rsidRPr="00136DE5">
        <w:t>je</w:t>
      </w:r>
      <w:r>
        <w:t xml:space="preserve"> </w:t>
      </w:r>
      <w:r w:rsidRPr="00136DE5">
        <w:t>poskytnuta</w:t>
      </w:r>
      <w:r>
        <w:t xml:space="preserve"> </w:t>
      </w:r>
      <w:r w:rsidRPr="00136DE5">
        <w:t>ke</w:t>
      </w:r>
      <w:r>
        <w:t xml:space="preserve"> </w:t>
      </w:r>
      <w:r w:rsidRPr="00136DE5">
        <w:t>dni</w:t>
      </w:r>
      <w:r>
        <w:t xml:space="preserve"> </w:t>
      </w:r>
      <w:r w:rsidRPr="00136DE5">
        <w:t>uskutečnění</w:t>
      </w:r>
      <w:r>
        <w:t xml:space="preserve"> </w:t>
      </w:r>
      <w:r w:rsidRPr="00136DE5">
        <w:t>zdanitelného</w:t>
      </w:r>
      <w:r>
        <w:t xml:space="preserve"> </w:t>
      </w:r>
      <w:r w:rsidRPr="00136DE5">
        <w:t>plnění.</w:t>
      </w:r>
      <w:r>
        <w:t xml:space="preserve"> </w:t>
      </w:r>
      <w:r w:rsidRPr="00136DE5">
        <w:t>Do</w:t>
      </w:r>
      <w:r>
        <w:t xml:space="preserve"> </w:t>
      </w:r>
      <w:r w:rsidRPr="00136DE5">
        <w:t>základu</w:t>
      </w:r>
      <w:r>
        <w:t xml:space="preserve"> </w:t>
      </w:r>
      <w:r w:rsidRPr="00136DE5">
        <w:t>daně</w:t>
      </w:r>
      <w:r>
        <w:t xml:space="preserve"> </w:t>
      </w:r>
      <w:r w:rsidRPr="00136DE5">
        <w:t>se</w:t>
      </w:r>
      <w:r>
        <w:t xml:space="preserve"> </w:t>
      </w:r>
      <w:r w:rsidRPr="00136DE5">
        <w:t>nezahrnuje</w:t>
      </w:r>
      <w:r>
        <w:t xml:space="preserve"> </w:t>
      </w:r>
      <w:r w:rsidRPr="00136DE5">
        <w:t>částka</w:t>
      </w:r>
      <w:r>
        <w:t xml:space="preserve"> </w:t>
      </w:r>
      <w:r w:rsidRPr="00136DE5">
        <w:t>vzniklá</w:t>
      </w:r>
      <w:r>
        <w:t xml:space="preserve"> </w:t>
      </w:r>
      <w:r w:rsidRPr="00136DE5">
        <w:t>zaokrouhlením</w:t>
      </w:r>
      <w:r>
        <w:t xml:space="preserve"> </w:t>
      </w:r>
      <w:r w:rsidRPr="00136DE5">
        <w:t>celkové</w:t>
      </w:r>
      <w:r>
        <w:t xml:space="preserve"> </w:t>
      </w:r>
      <w:r w:rsidRPr="00136DE5">
        <w:t>výše</w:t>
      </w:r>
      <w:r>
        <w:t xml:space="preserve"> </w:t>
      </w:r>
      <w:r w:rsidRPr="00136DE5">
        <w:t>úplaty</w:t>
      </w:r>
      <w:r>
        <w:t xml:space="preserve"> </w:t>
      </w:r>
      <w:r w:rsidRPr="00136DE5">
        <w:t>při</w:t>
      </w:r>
      <w:r>
        <w:t xml:space="preserve"> </w:t>
      </w:r>
      <w:r w:rsidRPr="00136DE5">
        <w:t>dodání</w:t>
      </w:r>
      <w:r>
        <w:t xml:space="preserve"> </w:t>
      </w:r>
      <w:r w:rsidRPr="00136DE5">
        <w:t>zboží</w:t>
      </w:r>
      <w:r>
        <w:t xml:space="preserve"> </w:t>
      </w:r>
      <w:r w:rsidRPr="00136DE5">
        <w:t>nebo</w:t>
      </w:r>
      <w:r>
        <w:t xml:space="preserve"> </w:t>
      </w:r>
      <w:r w:rsidRPr="00136DE5">
        <w:t>poskytnutí</w:t>
      </w:r>
      <w:r>
        <w:t xml:space="preserve"> </w:t>
      </w:r>
      <w:r w:rsidRPr="00136DE5">
        <w:t>služby</w:t>
      </w:r>
      <w:r>
        <w:t xml:space="preserve"> </w:t>
      </w:r>
      <w:r w:rsidRPr="00136DE5">
        <w:t>na</w:t>
      </w:r>
      <w:r>
        <w:t xml:space="preserve"> </w:t>
      </w:r>
      <w:r w:rsidRPr="00136DE5">
        <w:t>celou</w:t>
      </w:r>
      <w:r>
        <w:t xml:space="preserve"> </w:t>
      </w:r>
      <w:r w:rsidRPr="00136DE5">
        <w:t>korunu.</w:t>
      </w:r>
    </w:p>
    <w:p w14:paraId="084939F0" w14:textId="77777777" w:rsidR="005329E9" w:rsidRDefault="005329E9" w:rsidP="005329E9">
      <w:pPr>
        <w:pStyle w:val="PZTextodstavce"/>
      </w:pPr>
      <w:r w:rsidRPr="00136DE5">
        <w:t>(6</w:t>
      </w:r>
      <w:r>
        <w:t>)</w:t>
      </w:r>
      <w:r>
        <w:tab/>
      </w:r>
      <w:r w:rsidRPr="00136DE5">
        <w:t>Základem</w:t>
      </w:r>
      <w:r>
        <w:t xml:space="preserve"> </w:t>
      </w:r>
      <w:r w:rsidRPr="00136DE5">
        <w:t>daně</w:t>
      </w:r>
      <w:r>
        <w:t xml:space="preserve"> </w:t>
      </w:r>
      <w:r w:rsidRPr="00136DE5">
        <w:t>je</w:t>
      </w:r>
      <w:r>
        <w:t xml:space="preserve"> </w:t>
      </w:r>
      <w:r w:rsidRPr="00136DE5">
        <w:t>v</w:t>
      </w:r>
      <w:r>
        <w:t xml:space="preserve"> </w:t>
      </w:r>
      <w:r w:rsidRPr="00136DE5">
        <w:t>případě,</w:t>
      </w:r>
      <w:r>
        <w:t xml:space="preserve"> </w:t>
      </w:r>
      <w:r w:rsidRPr="00136DE5">
        <w:t>že</w:t>
      </w:r>
      <w:r>
        <w:t xml:space="preserve"> </w:t>
      </w:r>
      <w:r w:rsidRPr="00136DE5">
        <w:t>se</w:t>
      </w:r>
      <w:r>
        <w:t xml:space="preserve"> </w:t>
      </w:r>
      <w:r w:rsidRPr="00136DE5">
        <w:t>jedná</w:t>
      </w:r>
      <w:r>
        <w:t xml:space="preserve"> </w:t>
      </w:r>
      <w:r w:rsidRPr="00136DE5">
        <w:t>o</w:t>
      </w:r>
    </w:p>
    <w:p w14:paraId="7C40650E" w14:textId="77777777" w:rsidR="005329E9" w:rsidRDefault="005329E9" w:rsidP="005329E9">
      <w:pPr>
        <w:pStyle w:val="PZTextpsmene"/>
        <w:spacing w:before="0"/>
      </w:pPr>
      <w:r w:rsidRPr="00136DE5">
        <w:t>a</w:t>
      </w:r>
      <w:r>
        <w:t>)</w:t>
      </w:r>
      <w:r>
        <w:tab/>
      </w:r>
      <w:r w:rsidRPr="00136DE5">
        <w:t>dodání</w:t>
      </w:r>
      <w:r>
        <w:t xml:space="preserve"> </w:t>
      </w:r>
      <w:r w:rsidRPr="00136DE5">
        <w:t>zboží</w:t>
      </w:r>
      <w:r>
        <w:t xml:space="preserve"> </w:t>
      </w:r>
      <w:r w:rsidRPr="00136DE5">
        <w:t>podle</w:t>
      </w:r>
      <w:r>
        <w:t xml:space="preserve"> </w:t>
      </w:r>
      <w:r w:rsidRPr="00136DE5">
        <w:t>§</w:t>
      </w:r>
      <w:r>
        <w:t xml:space="preserve"> </w:t>
      </w:r>
      <w:r w:rsidRPr="00136DE5">
        <w:t>13</w:t>
      </w:r>
      <w:r>
        <w:t xml:space="preserve"> </w:t>
      </w:r>
      <w:r w:rsidRPr="00136DE5">
        <w:t>odst.</w:t>
      </w:r>
      <w:r>
        <w:t xml:space="preserve"> </w:t>
      </w:r>
      <w:r w:rsidRPr="00136DE5">
        <w:t>4</w:t>
      </w:r>
      <w:r>
        <w:t xml:space="preserve"> </w:t>
      </w:r>
      <w:r w:rsidRPr="00136DE5">
        <w:t>písm.</w:t>
      </w:r>
      <w:r>
        <w:t xml:space="preserve"> </w:t>
      </w:r>
      <w:r w:rsidRPr="00136DE5">
        <w:t>a)</w:t>
      </w:r>
      <w:r>
        <w:t xml:space="preserve"> </w:t>
      </w:r>
      <w:r w:rsidRPr="00136DE5">
        <w:t>až</w:t>
      </w:r>
      <w:r>
        <w:t xml:space="preserve"> </w:t>
      </w:r>
      <w:r w:rsidRPr="00136DE5">
        <w:t>d)</w:t>
      </w:r>
      <w:r>
        <w:t xml:space="preserve"> </w:t>
      </w:r>
      <w:r w:rsidRPr="00136DE5">
        <w:t>a</w:t>
      </w:r>
      <w:r>
        <w:t xml:space="preserve"> </w:t>
      </w:r>
      <w:r w:rsidRPr="00136DE5">
        <w:t>f)</w:t>
      </w:r>
      <w:r>
        <w:t xml:space="preserve"> </w:t>
      </w:r>
      <w:r w:rsidRPr="00136DE5">
        <w:t>a</w:t>
      </w:r>
      <w:r>
        <w:t xml:space="preserve"> </w:t>
      </w:r>
      <w:r w:rsidRPr="00136DE5">
        <w:t>§</w:t>
      </w:r>
      <w:r>
        <w:t xml:space="preserve"> </w:t>
      </w:r>
      <w:r w:rsidRPr="00136DE5">
        <w:t>13</w:t>
      </w:r>
      <w:r>
        <w:t xml:space="preserve"> </w:t>
      </w:r>
      <w:r w:rsidRPr="00136DE5">
        <w:t>odst.</w:t>
      </w:r>
      <w:r>
        <w:t xml:space="preserve"> </w:t>
      </w:r>
      <w:r w:rsidRPr="00136DE5">
        <w:t>6,</w:t>
      </w:r>
      <w:r>
        <w:t xml:space="preserve"> </w:t>
      </w:r>
      <w:r w:rsidRPr="00136DE5">
        <w:t>cena</w:t>
      </w:r>
      <w:r>
        <w:t xml:space="preserve"> </w:t>
      </w:r>
      <w:r w:rsidRPr="00136DE5">
        <w:t>zboží</w:t>
      </w:r>
      <w:r>
        <w:t xml:space="preserve"> </w:t>
      </w:r>
      <w:r w:rsidRPr="00136DE5">
        <w:t>nebo</w:t>
      </w:r>
      <w:r>
        <w:t xml:space="preserve"> </w:t>
      </w:r>
      <w:r w:rsidRPr="00136DE5">
        <w:t>cena</w:t>
      </w:r>
      <w:r>
        <w:t xml:space="preserve"> </w:t>
      </w:r>
      <w:r w:rsidRPr="00136DE5">
        <w:t>obdobného</w:t>
      </w:r>
      <w:r>
        <w:t xml:space="preserve"> </w:t>
      </w:r>
      <w:r w:rsidRPr="00136DE5">
        <w:t>zboží,</w:t>
      </w:r>
      <w:r>
        <w:t xml:space="preserve"> </w:t>
      </w:r>
      <w:r w:rsidRPr="00136DE5">
        <w:t>za</w:t>
      </w:r>
      <w:r>
        <w:t xml:space="preserve"> </w:t>
      </w:r>
      <w:r w:rsidRPr="00136DE5">
        <w:t>kterou</w:t>
      </w:r>
      <w:r>
        <w:t xml:space="preserve"> </w:t>
      </w:r>
      <w:r w:rsidRPr="00136DE5">
        <w:t>by</w:t>
      </w:r>
      <w:r>
        <w:t xml:space="preserve"> </w:t>
      </w:r>
      <w:r w:rsidRPr="00136DE5">
        <w:t>bylo</w:t>
      </w:r>
      <w:r>
        <w:t xml:space="preserve"> </w:t>
      </w:r>
      <w:r w:rsidRPr="00136DE5">
        <w:t>možné</w:t>
      </w:r>
      <w:r>
        <w:t xml:space="preserve"> </w:t>
      </w:r>
      <w:r w:rsidRPr="00136DE5">
        <w:t>zboží</w:t>
      </w:r>
      <w:r>
        <w:t xml:space="preserve"> </w:t>
      </w:r>
      <w:r w:rsidRPr="00136DE5">
        <w:t>pořídit</w:t>
      </w:r>
      <w:r>
        <w:t xml:space="preserve"> </w:t>
      </w:r>
      <w:r w:rsidRPr="00136DE5">
        <w:t>ke</w:t>
      </w:r>
      <w:r>
        <w:t xml:space="preserve"> </w:t>
      </w:r>
      <w:r w:rsidRPr="00136DE5">
        <w:t>dni</w:t>
      </w:r>
      <w:r>
        <w:t xml:space="preserve"> </w:t>
      </w:r>
      <w:r w:rsidRPr="00136DE5">
        <w:t>uskutečnění</w:t>
      </w:r>
      <w:r>
        <w:t xml:space="preserve"> </w:t>
      </w:r>
      <w:r w:rsidRPr="00136DE5">
        <w:t>zdanitelného</w:t>
      </w:r>
      <w:r>
        <w:t xml:space="preserve"> </w:t>
      </w:r>
      <w:r w:rsidRPr="00136DE5">
        <w:t>plnění,</w:t>
      </w:r>
      <w:r>
        <w:t xml:space="preserve"> </w:t>
      </w:r>
      <w:r w:rsidRPr="00136DE5">
        <w:t>a</w:t>
      </w:r>
      <w:r>
        <w:t xml:space="preserve"> </w:t>
      </w:r>
      <w:r w:rsidRPr="00136DE5">
        <w:t>pokud</w:t>
      </w:r>
      <w:r>
        <w:t xml:space="preserve"> </w:t>
      </w:r>
      <w:r w:rsidRPr="00136DE5">
        <w:t>takovou</w:t>
      </w:r>
      <w:r>
        <w:t xml:space="preserve"> </w:t>
      </w:r>
      <w:r w:rsidRPr="00136DE5">
        <w:t>cenu</w:t>
      </w:r>
      <w:r>
        <w:t xml:space="preserve"> </w:t>
      </w:r>
      <w:r w:rsidRPr="00136DE5">
        <w:t>nelze</w:t>
      </w:r>
      <w:r>
        <w:t xml:space="preserve"> </w:t>
      </w:r>
      <w:r w:rsidRPr="00136DE5">
        <w:t>určit,</w:t>
      </w:r>
      <w:r>
        <w:t xml:space="preserve"> </w:t>
      </w:r>
      <w:r w:rsidRPr="00136DE5">
        <w:t>výše</w:t>
      </w:r>
      <w:r>
        <w:t xml:space="preserve"> </w:t>
      </w:r>
      <w:r w:rsidRPr="00136DE5">
        <w:t>celkových</w:t>
      </w:r>
      <w:r>
        <w:t xml:space="preserve"> </w:t>
      </w:r>
      <w:r w:rsidRPr="00136DE5">
        <w:t>nákladů</w:t>
      </w:r>
      <w:r>
        <w:t xml:space="preserve"> </w:t>
      </w:r>
      <w:r w:rsidRPr="00136DE5">
        <w:t>vynaložených</w:t>
      </w:r>
      <w:r>
        <w:t xml:space="preserve"> </w:t>
      </w:r>
      <w:r w:rsidRPr="00136DE5">
        <w:t>na</w:t>
      </w:r>
      <w:r>
        <w:t xml:space="preserve"> </w:t>
      </w:r>
      <w:r w:rsidRPr="00136DE5">
        <w:t>dodání</w:t>
      </w:r>
      <w:r>
        <w:t xml:space="preserve"> </w:t>
      </w:r>
      <w:r w:rsidRPr="00136DE5">
        <w:t>zboží</w:t>
      </w:r>
      <w:r>
        <w:t xml:space="preserve"> </w:t>
      </w:r>
      <w:r w:rsidRPr="00136DE5">
        <w:t>ke</w:t>
      </w:r>
      <w:r>
        <w:t xml:space="preserve"> </w:t>
      </w:r>
      <w:r w:rsidRPr="00136DE5">
        <w:t>dni</w:t>
      </w:r>
      <w:r>
        <w:t xml:space="preserve"> </w:t>
      </w:r>
      <w:r w:rsidRPr="00136DE5">
        <w:t>uskutečnění</w:t>
      </w:r>
      <w:r>
        <w:t xml:space="preserve"> </w:t>
      </w:r>
      <w:r w:rsidRPr="00136DE5">
        <w:t>zdanitelného</w:t>
      </w:r>
      <w:r>
        <w:t xml:space="preserve"> </w:t>
      </w:r>
      <w:r w:rsidRPr="00136DE5">
        <w:t>plnění,</w:t>
      </w:r>
    </w:p>
    <w:p w14:paraId="4D71C51E" w14:textId="77777777" w:rsidR="005329E9" w:rsidRDefault="005329E9" w:rsidP="005329E9">
      <w:pPr>
        <w:pStyle w:val="PZTextpsmene"/>
        <w:spacing w:before="0"/>
      </w:pPr>
      <w:r w:rsidRPr="00136DE5">
        <w:t>b</w:t>
      </w:r>
      <w:r>
        <w:t>)</w:t>
      </w:r>
      <w:r>
        <w:tab/>
      </w:r>
      <w:r w:rsidRPr="00136DE5">
        <w:t>poskytnutí</w:t>
      </w:r>
      <w:r>
        <w:t xml:space="preserve"> </w:t>
      </w:r>
      <w:r w:rsidRPr="00136DE5">
        <w:t>služby</w:t>
      </w:r>
      <w:r>
        <w:t xml:space="preserve"> </w:t>
      </w:r>
      <w:r w:rsidRPr="00136DE5">
        <w:t>podle</w:t>
      </w:r>
      <w:r>
        <w:t xml:space="preserve"> </w:t>
      </w:r>
      <w:r w:rsidRPr="00136DE5">
        <w:t>§</w:t>
      </w:r>
      <w:r>
        <w:t xml:space="preserve"> </w:t>
      </w:r>
      <w:r w:rsidRPr="00136DE5">
        <w:t>14</w:t>
      </w:r>
      <w:r>
        <w:t xml:space="preserve"> </w:t>
      </w:r>
      <w:r w:rsidRPr="00136DE5">
        <w:t>odst.</w:t>
      </w:r>
      <w:r>
        <w:t xml:space="preserve"> </w:t>
      </w:r>
      <w:r w:rsidRPr="00136DE5">
        <w:t>3</w:t>
      </w:r>
      <w:r>
        <w:t xml:space="preserve"> </w:t>
      </w:r>
      <w:r w:rsidRPr="00136DE5">
        <w:t>a</w:t>
      </w:r>
      <w:r>
        <w:t xml:space="preserve"> </w:t>
      </w:r>
      <w:r w:rsidRPr="00136DE5">
        <w:t>4,</w:t>
      </w:r>
      <w:r>
        <w:t xml:space="preserve"> </w:t>
      </w:r>
      <w:r w:rsidRPr="00136DE5">
        <w:t>výše</w:t>
      </w:r>
      <w:r>
        <w:t xml:space="preserve"> </w:t>
      </w:r>
      <w:r w:rsidRPr="00136DE5">
        <w:t>celkových</w:t>
      </w:r>
      <w:r>
        <w:t xml:space="preserve"> </w:t>
      </w:r>
      <w:r w:rsidRPr="00136DE5">
        <w:t>nákladů</w:t>
      </w:r>
      <w:r>
        <w:t xml:space="preserve"> </w:t>
      </w:r>
      <w:r w:rsidRPr="00136DE5">
        <w:t>vynaložených</w:t>
      </w:r>
      <w:r>
        <w:t xml:space="preserve"> </w:t>
      </w:r>
      <w:r w:rsidRPr="00136DE5">
        <w:t>na</w:t>
      </w:r>
      <w:r>
        <w:t xml:space="preserve"> </w:t>
      </w:r>
      <w:r w:rsidRPr="00136DE5">
        <w:t>poskytnutí</w:t>
      </w:r>
      <w:r>
        <w:t xml:space="preserve"> </w:t>
      </w:r>
      <w:r w:rsidRPr="00136DE5">
        <w:t>služby</w:t>
      </w:r>
      <w:r>
        <w:t xml:space="preserve"> </w:t>
      </w:r>
      <w:r w:rsidRPr="00136DE5">
        <w:t>ke</w:t>
      </w:r>
      <w:r>
        <w:t xml:space="preserve"> </w:t>
      </w:r>
      <w:r w:rsidRPr="00136DE5">
        <w:t>dni</w:t>
      </w:r>
      <w:r>
        <w:t xml:space="preserve"> </w:t>
      </w:r>
      <w:r w:rsidRPr="00136DE5">
        <w:t>uskutečnění</w:t>
      </w:r>
      <w:r>
        <w:t xml:space="preserve"> </w:t>
      </w:r>
      <w:r w:rsidRPr="00136DE5">
        <w:t>zdanitelného</w:t>
      </w:r>
      <w:r>
        <w:t xml:space="preserve"> </w:t>
      </w:r>
      <w:r w:rsidRPr="00136DE5">
        <w:t>plnění,</w:t>
      </w:r>
    </w:p>
    <w:p w14:paraId="20A3F3A1" w14:textId="77777777" w:rsidR="005329E9" w:rsidRDefault="005329E9" w:rsidP="005329E9">
      <w:pPr>
        <w:pStyle w:val="PZTextpsmene"/>
        <w:spacing w:before="0"/>
      </w:pPr>
      <w:r w:rsidRPr="00136DE5">
        <w:t>c</w:t>
      </w:r>
      <w:r>
        <w:t>)</w:t>
      </w:r>
      <w:r>
        <w:tab/>
      </w:r>
      <w:r w:rsidRPr="00136DE5">
        <w:t>dodání</w:t>
      </w:r>
      <w:r>
        <w:t xml:space="preserve"> </w:t>
      </w:r>
      <w:r w:rsidRPr="00136DE5">
        <w:t>zboží</w:t>
      </w:r>
      <w:r>
        <w:t xml:space="preserve"> </w:t>
      </w:r>
      <w:r w:rsidRPr="00136DE5">
        <w:t>nebo</w:t>
      </w:r>
      <w:r>
        <w:t xml:space="preserve"> </w:t>
      </w:r>
      <w:r w:rsidRPr="00136DE5">
        <w:t>poskytnutí</w:t>
      </w:r>
      <w:r>
        <w:t xml:space="preserve"> </w:t>
      </w:r>
      <w:r w:rsidRPr="00136DE5">
        <w:t>služby</w:t>
      </w:r>
      <w:r>
        <w:t xml:space="preserve"> </w:t>
      </w:r>
      <w:r w:rsidRPr="00136DE5">
        <w:t>v</w:t>
      </w:r>
      <w:r>
        <w:t xml:space="preserve"> </w:t>
      </w:r>
      <w:r w:rsidRPr="00136DE5">
        <w:t>případech,</w:t>
      </w:r>
      <w:r>
        <w:t xml:space="preserve"> </w:t>
      </w:r>
      <w:r w:rsidRPr="00136DE5">
        <w:t>kdy</w:t>
      </w:r>
      <w:r>
        <w:t xml:space="preserve"> </w:t>
      </w:r>
      <w:r w:rsidRPr="00136DE5">
        <w:t>byla</w:t>
      </w:r>
      <w:r>
        <w:t xml:space="preserve"> </w:t>
      </w:r>
      <w:r w:rsidRPr="00136DE5">
        <w:t>úplata</w:t>
      </w:r>
      <w:r>
        <w:t xml:space="preserve"> </w:t>
      </w:r>
      <w:r w:rsidRPr="00136DE5">
        <w:t>poskytnuta</w:t>
      </w:r>
      <w:r>
        <w:t xml:space="preserve"> </w:t>
      </w:r>
      <w:r w:rsidRPr="00136DE5">
        <w:t>formou</w:t>
      </w:r>
      <w:r>
        <w:t xml:space="preserve"> </w:t>
      </w:r>
      <w:r w:rsidRPr="00136DE5">
        <w:t>nepeněžitého</w:t>
      </w:r>
      <w:r>
        <w:t xml:space="preserve"> </w:t>
      </w:r>
      <w:r w:rsidRPr="00136DE5">
        <w:t>plnění,</w:t>
      </w:r>
      <w:r>
        <w:t xml:space="preserve"> </w:t>
      </w:r>
      <w:r w:rsidRPr="00136DE5">
        <w:t>obvyklá</w:t>
      </w:r>
      <w:r>
        <w:t xml:space="preserve"> </w:t>
      </w:r>
      <w:r w:rsidRPr="00136DE5">
        <w:t>cena</w:t>
      </w:r>
      <w:r>
        <w:t xml:space="preserve"> </w:t>
      </w:r>
      <w:r w:rsidRPr="00136DE5">
        <w:t>bez</w:t>
      </w:r>
      <w:r>
        <w:t xml:space="preserve"> </w:t>
      </w:r>
      <w:r w:rsidRPr="00136DE5">
        <w:t>daně</w:t>
      </w:r>
      <w:r>
        <w:t xml:space="preserve"> </w:t>
      </w:r>
      <w:r w:rsidRPr="00136DE5">
        <w:t>tohoto</w:t>
      </w:r>
      <w:r>
        <w:t xml:space="preserve"> </w:t>
      </w:r>
      <w:r w:rsidRPr="00136DE5">
        <w:t>dodání</w:t>
      </w:r>
      <w:r>
        <w:t xml:space="preserve"> </w:t>
      </w:r>
      <w:r w:rsidRPr="00136DE5">
        <w:t>nebo</w:t>
      </w:r>
      <w:r>
        <w:t xml:space="preserve"> </w:t>
      </w:r>
      <w:r w:rsidRPr="00136DE5">
        <w:t>poskytnutí,</w:t>
      </w:r>
    </w:p>
    <w:p w14:paraId="4CC63843" w14:textId="77777777" w:rsidR="005329E9" w:rsidRDefault="005329E9" w:rsidP="005329E9">
      <w:pPr>
        <w:pStyle w:val="PZTextpsmene"/>
        <w:spacing w:before="0"/>
      </w:pPr>
      <w:r w:rsidRPr="00136DE5">
        <w:t>d</w:t>
      </w:r>
      <w:r>
        <w:t>)</w:t>
      </w:r>
      <w:r>
        <w:tab/>
      </w:r>
      <w:r w:rsidRPr="00136DE5">
        <w:t>dodání</w:t>
      </w:r>
      <w:r>
        <w:t xml:space="preserve"> </w:t>
      </w:r>
      <w:r w:rsidRPr="00136DE5">
        <w:t>zboží</w:t>
      </w:r>
      <w:r>
        <w:t xml:space="preserve"> </w:t>
      </w:r>
      <w:r w:rsidRPr="00136DE5">
        <w:t>nebo</w:t>
      </w:r>
      <w:r>
        <w:t xml:space="preserve"> </w:t>
      </w:r>
      <w:r w:rsidRPr="00136DE5">
        <w:t>poskytnutí</w:t>
      </w:r>
      <w:r>
        <w:t xml:space="preserve"> </w:t>
      </w:r>
      <w:r w:rsidRPr="00136DE5">
        <w:t>služby</w:t>
      </w:r>
      <w:r>
        <w:t xml:space="preserve"> </w:t>
      </w:r>
      <w:r w:rsidRPr="00136DE5">
        <w:t>v</w:t>
      </w:r>
      <w:r>
        <w:t xml:space="preserve"> </w:t>
      </w:r>
      <w:r w:rsidRPr="00136DE5">
        <w:t>případech,</w:t>
      </w:r>
      <w:r>
        <w:t xml:space="preserve"> </w:t>
      </w:r>
      <w:r w:rsidRPr="00136DE5">
        <w:t>kdy</w:t>
      </w:r>
      <w:r>
        <w:t xml:space="preserve"> </w:t>
      </w:r>
      <w:r w:rsidRPr="00136DE5">
        <w:t>byla</w:t>
      </w:r>
      <w:r>
        <w:t xml:space="preserve"> </w:t>
      </w:r>
      <w:r w:rsidRPr="00136DE5">
        <w:t>úplata</w:t>
      </w:r>
      <w:r>
        <w:t xml:space="preserve"> </w:t>
      </w:r>
      <w:r w:rsidRPr="00136DE5">
        <w:t>poskytnuta</w:t>
      </w:r>
      <w:r>
        <w:t xml:space="preserve"> </w:t>
      </w:r>
      <w:r w:rsidRPr="00136DE5">
        <w:t>zcela</w:t>
      </w:r>
      <w:r>
        <w:t xml:space="preserve"> </w:t>
      </w:r>
      <w:r w:rsidRPr="00136DE5">
        <w:t>nebo</w:t>
      </w:r>
      <w:r>
        <w:t xml:space="preserve"> </w:t>
      </w:r>
      <w:r w:rsidRPr="00136DE5">
        <w:t>zčásti</w:t>
      </w:r>
      <w:r>
        <w:t xml:space="preserve"> </w:t>
      </w:r>
      <w:r w:rsidRPr="00136DE5">
        <w:t>virtuálním</w:t>
      </w:r>
      <w:r>
        <w:t xml:space="preserve"> </w:t>
      </w:r>
      <w:r w:rsidRPr="00136DE5">
        <w:t>aktivem</w:t>
      </w:r>
      <w:r>
        <w:t xml:space="preserve"> </w:t>
      </w:r>
      <w:r w:rsidRPr="00136DE5">
        <w:t>podle</w:t>
      </w:r>
      <w:r>
        <w:t xml:space="preserve"> </w:t>
      </w:r>
      <w:r w:rsidRPr="00136DE5">
        <w:t>právního</w:t>
      </w:r>
      <w:r>
        <w:t xml:space="preserve"> </w:t>
      </w:r>
      <w:r w:rsidRPr="00136DE5">
        <w:t>předpisu</w:t>
      </w:r>
      <w:r>
        <w:t xml:space="preserve"> </w:t>
      </w:r>
      <w:r w:rsidRPr="00136DE5">
        <w:t>upravujícího</w:t>
      </w:r>
      <w:r>
        <w:t xml:space="preserve"> </w:t>
      </w:r>
      <w:r w:rsidRPr="00136DE5">
        <w:t>některá</w:t>
      </w:r>
      <w:r>
        <w:t xml:space="preserve"> </w:t>
      </w:r>
      <w:r w:rsidRPr="00136DE5">
        <w:t>opatření</w:t>
      </w:r>
      <w:r>
        <w:t xml:space="preserve"> </w:t>
      </w:r>
      <w:r w:rsidRPr="00136DE5">
        <w:t>proti</w:t>
      </w:r>
      <w:r>
        <w:t xml:space="preserve"> </w:t>
      </w:r>
      <w:r w:rsidRPr="00136DE5">
        <w:t>legalizaci</w:t>
      </w:r>
      <w:r>
        <w:t xml:space="preserve"> </w:t>
      </w:r>
      <w:r w:rsidRPr="00136DE5">
        <w:t>výnosů</w:t>
      </w:r>
      <w:r>
        <w:t xml:space="preserve"> </w:t>
      </w:r>
      <w:r w:rsidRPr="00136DE5">
        <w:t>z</w:t>
      </w:r>
      <w:r>
        <w:t xml:space="preserve"> </w:t>
      </w:r>
      <w:r w:rsidRPr="00136DE5">
        <w:t>trestné</w:t>
      </w:r>
      <w:r>
        <w:t xml:space="preserve"> </w:t>
      </w:r>
      <w:r w:rsidRPr="00136DE5">
        <w:t>činnosti</w:t>
      </w:r>
      <w:r>
        <w:t xml:space="preserve"> </w:t>
      </w:r>
      <w:r w:rsidRPr="00136DE5">
        <w:t>a</w:t>
      </w:r>
      <w:r>
        <w:t xml:space="preserve"> </w:t>
      </w:r>
      <w:r w:rsidRPr="00136DE5">
        <w:t>financování</w:t>
      </w:r>
      <w:r>
        <w:t xml:space="preserve"> </w:t>
      </w:r>
      <w:r w:rsidRPr="00136DE5">
        <w:t>terorismu</w:t>
      </w:r>
      <w:r>
        <w:t xml:space="preserve"> </w:t>
      </w:r>
      <w:r w:rsidRPr="00136DE5">
        <w:t>s</w:t>
      </w:r>
      <w:r>
        <w:t xml:space="preserve"> </w:t>
      </w:r>
      <w:r w:rsidRPr="00136DE5">
        <w:t>výjimkou</w:t>
      </w:r>
      <w:r>
        <w:t xml:space="preserve"> </w:t>
      </w:r>
      <w:r w:rsidRPr="00136DE5">
        <w:t>poskytnutí</w:t>
      </w:r>
      <w:r>
        <w:t xml:space="preserve"> </w:t>
      </w:r>
      <w:r w:rsidRPr="00136DE5">
        <w:t>úplaty</w:t>
      </w:r>
      <w:r>
        <w:t xml:space="preserve"> </w:t>
      </w:r>
      <w:r w:rsidRPr="00136DE5">
        <w:t>virtuálním</w:t>
      </w:r>
      <w:r>
        <w:t xml:space="preserve"> </w:t>
      </w:r>
      <w:r w:rsidRPr="00136DE5">
        <w:t>aktivem,</w:t>
      </w:r>
      <w:r>
        <w:t xml:space="preserve"> </w:t>
      </w:r>
      <w:r w:rsidRPr="00136DE5">
        <w:t>které</w:t>
      </w:r>
      <w:r>
        <w:t xml:space="preserve"> </w:t>
      </w:r>
      <w:r w:rsidRPr="00136DE5">
        <w:t>je</w:t>
      </w:r>
      <w:r>
        <w:t xml:space="preserve"> </w:t>
      </w:r>
      <w:r w:rsidRPr="00136DE5">
        <w:t>plněním</w:t>
      </w:r>
      <w:r>
        <w:t xml:space="preserve"> </w:t>
      </w:r>
      <w:r w:rsidRPr="00136DE5">
        <w:t>osvobozeným</w:t>
      </w:r>
      <w:r>
        <w:t xml:space="preserve"> </w:t>
      </w:r>
      <w:r w:rsidRPr="00136DE5">
        <w:t>od</w:t>
      </w:r>
      <w:r>
        <w:t xml:space="preserve"> </w:t>
      </w:r>
      <w:r w:rsidRPr="00136DE5">
        <w:t>daně</w:t>
      </w:r>
      <w:r>
        <w:t xml:space="preserve"> </w:t>
      </w:r>
      <w:r w:rsidRPr="00136DE5">
        <w:t>podle</w:t>
      </w:r>
      <w:r>
        <w:t xml:space="preserve"> </w:t>
      </w:r>
      <w:r w:rsidRPr="00136DE5">
        <w:t>§</w:t>
      </w:r>
      <w:r>
        <w:t xml:space="preserve"> </w:t>
      </w:r>
      <w:r w:rsidRPr="00136DE5">
        <w:t>54</w:t>
      </w:r>
      <w:r>
        <w:t xml:space="preserve"> </w:t>
      </w:r>
      <w:r w:rsidRPr="00136DE5">
        <w:t>až</w:t>
      </w:r>
      <w:r>
        <w:t xml:space="preserve"> </w:t>
      </w:r>
      <w:r w:rsidRPr="00136DE5">
        <w:t>55,</w:t>
      </w:r>
      <w:r>
        <w:t xml:space="preserve"> </w:t>
      </w:r>
      <w:r w:rsidRPr="00136DE5">
        <w:t>obvyklá</w:t>
      </w:r>
      <w:r>
        <w:t xml:space="preserve"> </w:t>
      </w:r>
      <w:r w:rsidRPr="00136DE5">
        <w:t>cena</w:t>
      </w:r>
      <w:r>
        <w:t xml:space="preserve"> </w:t>
      </w:r>
      <w:r w:rsidRPr="00136DE5">
        <w:t>bez</w:t>
      </w:r>
      <w:r>
        <w:t xml:space="preserve"> </w:t>
      </w:r>
      <w:r w:rsidRPr="00136DE5">
        <w:t>daně</w:t>
      </w:r>
      <w:r>
        <w:t xml:space="preserve"> </w:t>
      </w:r>
      <w:r w:rsidRPr="00136DE5">
        <w:t>tohoto</w:t>
      </w:r>
      <w:r>
        <w:t xml:space="preserve"> </w:t>
      </w:r>
      <w:r w:rsidRPr="00136DE5">
        <w:t>dodání</w:t>
      </w:r>
      <w:r>
        <w:t xml:space="preserve"> </w:t>
      </w:r>
      <w:r w:rsidRPr="00136DE5">
        <w:t>nebo</w:t>
      </w:r>
      <w:r>
        <w:t xml:space="preserve"> </w:t>
      </w:r>
      <w:r w:rsidRPr="00136DE5">
        <w:t>poskytnutí.</w:t>
      </w:r>
    </w:p>
    <w:p w14:paraId="6B6934D5" w14:textId="77777777" w:rsidR="005329E9" w:rsidRDefault="005329E9" w:rsidP="005329E9">
      <w:pPr>
        <w:pStyle w:val="PZTextodstavce"/>
      </w:pPr>
      <w:r w:rsidRPr="00136DE5">
        <w:t>(7</w:t>
      </w:r>
      <w:r>
        <w:t>)</w:t>
      </w:r>
      <w:r>
        <w:tab/>
      </w:r>
      <w:r w:rsidRPr="00136DE5">
        <w:t>Základem</w:t>
      </w:r>
      <w:r>
        <w:t xml:space="preserve"> </w:t>
      </w:r>
      <w:r w:rsidRPr="00136DE5">
        <w:t>daně</w:t>
      </w:r>
      <w:r>
        <w:t xml:space="preserve"> </w:t>
      </w:r>
      <w:r w:rsidRPr="00136DE5">
        <w:t>při</w:t>
      </w:r>
      <w:r>
        <w:t xml:space="preserve"> </w:t>
      </w:r>
      <w:r w:rsidRPr="00136DE5">
        <w:t>dodání</w:t>
      </w:r>
      <w:r>
        <w:t xml:space="preserve"> </w:t>
      </w:r>
      <w:r w:rsidRPr="00136DE5">
        <w:t>zboží</w:t>
      </w:r>
      <w:r>
        <w:t xml:space="preserve"> </w:t>
      </w:r>
      <w:r w:rsidRPr="00136DE5">
        <w:t>nebo</w:t>
      </w:r>
      <w:r>
        <w:t xml:space="preserve"> </w:t>
      </w:r>
      <w:r w:rsidRPr="00136DE5">
        <w:t>poskytnutí</w:t>
      </w:r>
      <w:r>
        <w:t xml:space="preserve"> </w:t>
      </w:r>
      <w:r w:rsidRPr="00136DE5">
        <w:t>služby</w:t>
      </w:r>
      <w:r>
        <w:t xml:space="preserve"> </w:t>
      </w:r>
      <w:r w:rsidRPr="00136DE5">
        <w:t>na</w:t>
      </w:r>
      <w:r>
        <w:t xml:space="preserve"> </w:t>
      </w:r>
      <w:r w:rsidRPr="00136DE5">
        <w:t>základě</w:t>
      </w:r>
      <w:r>
        <w:t xml:space="preserve"> </w:t>
      </w:r>
      <w:r w:rsidRPr="00136DE5">
        <w:t>víceúčelového</w:t>
      </w:r>
      <w:r>
        <w:t xml:space="preserve"> </w:t>
      </w:r>
      <w:r w:rsidRPr="00136DE5">
        <w:t>poukazu</w:t>
      </w:r>
      <w:r>
        <w:t xml:space="preserve"> </w:t>
      </w:r>
      <w:r w:rsidRPr="00136DE5">
        <w:t>je</w:t>
      </w:r>
      <w:r>
        <w:t xml:space="preserve"> </w:t>
      </w:r>
      <w:r w:rsidRPr="00136DE5">
        <w:t>vše,</w:t>
      </w:r>
      <w:r>
        <w:t xml:space="preserve"> </w:t>
      </w:r>
      <w:r w:rsidRPr="00136DE5">
        <w:t>co</w:t>
      </w:r>
      <w:r>
        <w:t xml:space="preserve"> </w:t>
      </w:r>
      <w:r w:rsidRPr="00136DE5">
        <w:t>jako</w:t>
      </w:r>
      <w:r>
        <w:t xml:space="preserve"> </w:t>
      </w:r>
      <w:r w:rsidRPr="00136DE5">
        <w:t>úplatu</w:t>
      </w:r>
      <w:r>
        <w:t xml:space="preserve"> </w:t>
      </w:r>
      <w:r w:rsidRPr="00136DE5">
        <w:t>za</w:t>
      </w:r>
      <w:r>
        <w:t xml:space="preserve"> </w:t>
      </w:r>
      <w:r w:rsidRPr="00136DE5">
        <w:t>víceúčelový</w:t>
      </w:r>
      <w:r>
        <w:t xml:space="preserve"> </w:t>
      </w:r>
      <w:r w:rsidRPr="00136DE5">
        <w:t>poukaz</w:t>
      </w:r>
      <w:r>
        <w:t xml:space="preserve"> </w:t>
      </w:r>
      <w:r w:rsidRPr="00136DE5">
        <w:t>uhradila</w:t>
      </w:r>
      <w:r>
        <w:t xml:space="preserve"> </w:t>
      </w:r>
      <w:r w:rsidRPr="00136DE5">
        <w:t>nebo</w:t>
      </w:r>
      <w:r>
        <w:t xml:space="preserve"> </w:t>
      </w:r>
      <w:r w:rsidRPr="00136DE5">
        <w:t>má</w:t>
      </w:r>
      <w:r>
        <w:t xml:space="preserve"> </w:t>
      </w:r>
      <w:r w:rsidRPr="00136DE5">
        <w:t>uhradit</w:t>
      </w:r>
      <w:r>
        <w:t xml:space="preserve"> </w:t>
      </w:r>
      <w:r w:rsidRPr="00136DE5">
        <w:t>osoba,</w:t>
      </w:r>
      <w:r>
        <w:t xml:space="preserve"> </w:t>
      </w:r>
      <w:r w:rsidRPr="00136DE5">
        <w:t>pro</w:t>
      </w:r>
      <w:r>
        <w:t xml:space="preserve"> </w:t>
      </w:r>
      <w:r w:rsidRPr="00136DE5">
        <w:t>kterou</w:t>
      </w:r>
      <w:r>
        <w:t xml:space="preserve"> </w:t>
      </w:r>
      <w:r w:rsidRPr="00136DE5">
        <w:t>je</w:t>
      </w:r>
      <w:r>
        <w:t xml:space="preserve"> </w:t>
      </w:r>
      <w:r w:rsidRPr="00136DE5">
        <w:t>zdanitelné</w:t>
      </w:r>
      <w:r>
        <w:t xml:space="preserve"> </w:t>
      </w:r>
      <w:r w:rsidRPr="00136DE5">
        <w:t>plnění</w:t>
      </w:r>
      <w:r>
        <w:t xml:space="preserve"> </w:t>
      </w:r>
      <w:r w:rsidRPr="00136DE5">
        <w:t>uskutečněno,</w:t>
      </w:r>
      <w:r>
        <w:t xml:space="preserve"> </w:t>
      </w:r>
      <w:r w:rsidRPr="00136DE5">
        <w:t>nebo</w:t>
      </w:r>
      <w:r>
        <w:t xml:space="preserve"> </w:t>
      </w:r>
      <w:r w:rsidRPr="00136DE5">
        <w:t>třetí</w:t>
      </w:r>
      <w:r>
        <w:t xml:space="preserve"> </w:t>
      </w:r>
      <w:r w:rsidRPr="00136DE5">
        <w:t>osoba,</w:t>
      </w:r>
      <w:r>
        <w:t xml:space="preserve"> </w:t>
      </w:r>
      <w:r w:rsidRPr="00136DE5">
        <w:t>a</w:t>
      </w:r>
      <w:r>
        <w:t xml:space="preserve"> </w:t>
      </w:r>
      <w:r w:rsidRPr="00136DE5">
        <w:t>to</w:t>
      </w:r>
      <w:r>
        <w:t xml:space="preserve"> </w:t>
      </w:r>
      <w:r w:rsidRPr="00136DE5">
        <w:t>bez</w:t>
      </w:r>
      <w:r>
        <w:t xml:space="preserve"> </w:t>
      </w:r>
      <w:r w:rsidRPr="00136DE5">
        <w:t>daně</w:t>
      </w:r>
      <w:r>
        <w:t xml:space="preserve"> </w:t>
      </w:r>
      <w:r w:rsidRPr="00136DE5">
        <w:t>za</w:t>
      </w:r>
      <w:r>
        <w:t xml:space="preserve"> </w:t>
      </w:r>
      <w:r w:rsidRPr="00136DE5">
        <w:t>toto</w:t>
      </w:r>
      <w:r>
        <w:t xml:space="preserve"> </w:t>
      </w:r>
      <w:r w:rsidRPr="00136DE5">
        <w:t>zdanitelné</w:t>
      </w:r>
      <w:r>
        <w:t xml:space="preserve"> </w:t>
      </w:r>
      <w:r w:rsidRPr="00136DE5">
        <w:t>plnění.</w:t>
      </w:r>
      <w:r>
        <w:t xml:space="preserve"> </w:t>
      </w:r>
      <w:r w:rsidRPr="00136DE5">
        <w:t>Není-li</w:t>
      </w:r>
      <w:r>
        <w:t xml:space="preserve"> </w:t>
      </w:r>
      <w:r w:rsidRPr="00136DE5">
        <w:t>tato</w:t>
      </w:r>
      <w:r>
        <w:t xml:space="preserve"> </w:t>
      </w:r>
      <w:r w:rsidRPr="00136DE5">
        <w:t>úplata</w:t>
      </w:r>
      <w:r>
        <w:t xml:space="preserve"> </w:t>
      </w:r>
      <w:r w:rsidRPr="00136DE5">
        <w:t>známa,</w:t>
      </w:r>
      <w:r>
        <w:t xml:space="preserve"> </w:t>
      </w:r>
      <w:r w:rsidRPr="00136DE5">
        <w:t>je</w:t>
      </w:r>
      <w:r>
        <w:t xml:space="preserve"> </w:t>
      </w:r>
      <w:r w:rsidRPr="00136DE5">
        <w:t>základem</w:t>
      </w:r>
      <w:r>
        <w:t xml:space="preserve"> </w:t>
      </w:r>
      <w:r w:rsidRPr="00136DE5">
        <w:t>daně</w:t>
      </w:r>
      <w:r>
        <w:t xml:space="preserve"> </w:t>
      </w:r>
      <w:r w:rsidRPr="00136DE5">
        <w:t>částka</w:t>
      </w:r>
      <w:r>
        <w:t xml:space="preserve"> </w:t>
      </w:r>
      <w:r w:rsidRPr="00136DE5">
        <w:t>uvedená</w:t>
      </w:r>
      <w:r>
        <w:t xml:space="preserve"> </w:t>
      </w:r>
      <w:r w:rsidRPr="00136DE5">
        <w:t>na</w:t>
      </w:r>
      <w:r>
        <w:t xml:space="preserve"> </w:t>
      </w:r>
      <w:r w:rsidRPr="00136DE5">
        <w:t>víceúčelovém</w:t>
      </w:r>
      <w:r>
        <w:t xml:space="preserve"> </w:t>
      </w:r>
      <w:r w:rsidRPr="00136DE5">
        <w:t>poukazu</w:t>
      </w:r>
      <w:r>
        <w:t xml:space="preserve"> </w:t>
      </w:r>
      <w:r w:rsidRPr="00136DE5">
        <w:t>nebo</w:t>
      </w:r>
      <w:r>
        <w:t xml:space="preserve"> </w:t>
      </w:r>
      <w:r w:rsidRPr="00136DE5">
        <w:t>v</w:t>
      </w:r>
      <w:r>
        <w:t xml:space="preserve"> </w:t>
      </w:r>
      <w:r w:rsidRPr="00136DE5">
        <w:t>související</w:t>
      </w:r>
      <w:r>
        <w:t xml:space="preserve"> </w:t>
      </w:r>
      <w:r w:rsidRPr="00136DE5">
        <w:t>dokumentaci</w:t>
      </w:r>
      <w:r>
        <w:t xml:space="preserve"> </w:t>
      </w:r>
      <w:r w:rsidRPr="00136DE5">
        <w:t>snížená</w:t>
      </w:r>
      <w:r>
        <w:t xml:space="preserve"> </w:t>
      </w:r>
      <w:r w:rsidRPr="00136DE5">
        <w:t>o</w:t>
      </w:r>
      <w:r>
        <w:t xml:space="preserve"> </w:t>
      </w:r>
      <w:r w:rsidRPr="00136DE5">
        <w:t>daň.</w:t>
      </w:r>
    </w:p>
    <w:p w14:paraId="68D93C25" w14:textId="3E1CCF0F" w:rsidR="005329E9" w:rsidRDefault="005329E9" w:rsidP="005329E9">
      <w:pPr>
        <w:pStyle w:val="PZTextodstavce"/>
      </w:pPr>
      <w:r w:rsidRPr="00136DE5">
        <w:lastRenderedPageBreak/>
        <w:t>(8</w:t>
      </w:r>
      <w:r>
        <w:t>)</w:t>
      </w:r>
      <w:r>
        <w:tab/>
      </w:r>
      <w:r w:rsidRPr="00136DE5">
        <w:t>Je-li</w:t>
      </w:r>
      <w:r>
        <w:t xml:space="preserve"> </w:t>
      </w:r>
      <w:r w:rsidRPr="00136DE5">
        <w:t>víceúčelový</w:t>
      </w:r>
      <w:r>
        <w:t xml:space="preserve"> </w:t>
      </w:r>
      <w:r w:rsidRPr="00136DE5">
        <w:t>poukaz</w:t>
      </w:r>
      <w:r>
        <w:t xml:space="preserve"> </w:t>
      </w:r>
      <w:r w:rsidRPr="00136DE5">
        <w:t>přijat</w:t>
      </w:r>
      <w:r>
        <w:t xml:space="preserve"> </w:t>
      </w:r>
      <w:r w:rsidRPr="00136DE5">
        <w:t>jako</w:t>
      </w:r>
      <w:r>
        <w:t xml:space="preserve"> </w:t>
      </w:r>
      <w:r w:rsidRPr="00136DE5">
        <w:t>část</w:t>
      </w:r>
      <w:r>
        <w:t xml:space="preserve"> </w:t>
      </w:r>
      <w:r w:rsidRPr="00136DE5">
        <w:t>úplaty</w:t>
      </w:r>
      <w:r>
        <w:t xml:space="preserve"> </w:t>
      </w:r>
      <w:r w:rsidRPr="00136DE5">
        <w:t>za</w:t>
      </w:r>
      <w:r>
        <w:t xml:space="preserve"> </w:t>
      </w:r>
      <w:r w:rsidRPr="00136DE5">
        <w:t>uskutečněné</w:t>
      </w:r>
      <w:r>
        <w:t xml:space="preserve"> </w:t>
      </w:r>
      <w:r w:rsidRPr="00136DE5">
        <w:t>zdanitelné</w:t>
      </w:r>
      <w:r>
        <w:t xml:space="preserve"> </w:t>
      </w:r>
      <w:r w:rsidRPr="00136DE5">
        <w:t>plnění,</w:t>
      </w:r>
      <w:r>
        <w:t xml:space="preserve"> </w:t>
      </w:r>
      <w:r w:rsidRPr="00136DE5">
        <w:t>stanoví</w:t>
      </w:r>
      <w:r>
        <w:t xml:space="preserve"> </w:t>
      </w:r>
      <w:r w:rsidRPr="00136DE5">
        <w:t>se</w:t>
      </w:r>
      <w:r>
        <w:t xml:space="preserve"> </w:t>
      </w:r>
      <w:r w:rsidRPr="00136DE5">
        <w:t>základ</w:t>
      </w:r>
      <w:r>
        <w:t xml:space="preserve"> </w:t>
      </w:r>
      <w:r w:rsidRPr="00136DE5">
        <w:t>daně</w:t>
      </w:r>
      <w:r>
        <w:t xml:space="preserve"> </w:t>
      </w:r>
      <w:r w:rsidRPr="00136DE5">
        <w:t>za</w:t>
      </w:r>
      <w:r>
        <w:t xml:space="preserve"> </w:t>
      </w:r>
      <w:r w:rsidRPr="00136DE5">
        <w:t>toto</w:t>
      </w:r>
      <w:r>
        <w:t xml:space="preserve"> </w:t>
      </w:r>
      <w:r w:rsidRPr="00136DE5">
        <w:t>plnění</w:t>
      </w:r>
      <w:r>
        <w:t xml:space="preserve"> </w:t>
      </w:r>
      <w:r w:rsidRPr="00136DE5">
        <w:t>jako</w:t>
      </w:r>
      <w:r>
        <w:t xml:space="preserve"> </w:t>
      </w:r>
      <w:r w:rsidRPr="00136DE5">
        <w:t>součet</w:t>
      </w:r>
      <w:r>
        <w:t xml:space="preserve"> </w:t>
      </w:r>
      <w:r w:rsidRPr="00136DE5">
        <w:t>částky</w:t>
      </w:r>
      <w:r>
        <w:t xml:space="preserve"> </w:t>
      </w:r>
      <w:r w:rsidRPr="00136DE5">
        <w:t>stanovené</w:t>
      </w:r>
      <w:r>
        <w:t xml:space="preserve"> </w:t>
      </w:r>
      <w:r w:rsidRPr="00136DE5">
        <w:t>podle</w:t>
      </w:r>
      <w:r>
        <w:t xml:space="preserve"> </w:t>
      </w:r>
      <w:r w:rsidRPr="00136DE5">
        <w:t>odstavce</w:t>
      </w:r>
      <w:r>
        <w:t xml:space="preserve"> </w:t>
      </w:r>
      <w:r w:rsidRPr="00136DE5">
        <w:t>7</w:t>
      </w:r>
      <w:r>
        <w:t xml:space="preserve"> </w:t>
      </w:r>
      <w:r w:rsidRPr="00136DE5">
        <w:t>pro</w:t>
      </w:r>
      <w:r>
        <w:t xml:space="preserve"> </w:t>
      </w:r>
      <w:r w:rsidRPr="00136DE5">
        <w:t>část</w:t>
      </w:r>
      <w:r>
        <w:t xml:space="preserve"> </w:t>
      </w:r>
      <w:r w:rsidRPr="00136DE5">
        <w:t>úplaty</w:t>
      </w:r>
      <w:r>
        <w:t xml:space="preserve"> </w:t>
      </w:r>
      <w:r w:rsidRPr="00136DE5">
        <w:t>odpovídající</w:t>
      </w:r>
      <w:r>
        <w:t xml:space="preserve"> </w:t>
      </w:r>
      <w:r w:rsidRPr="00136DE5">
        <w:t>víceúčelovému</w:t>
      </w:r>
      <w:r>
        <w:t xml:space="preserve"> </w:t>
      </w:r>
      <w:r w:rsidRPr="00136DE5">
        <w:t>poukazu</w:t>
      </w:r>
      <w:r>
        <w:t xml:space="preserve"> </w:t>
      </w:r>
      <w:r w:rsidRPr="00136DE5">
        <w:t>a</w:t>
      </w:r>
      <w:r>
        <w:t xml:space="preserve"> </w:t>
      </w:r>
      <w:r w:rsidRPr="00136DE5">
        <w:t>částky</w:t>
      </w:r>
      <w:r>
        <w:t xml:space="preserve"> </w:t>
      </w:r>
      <w:r w:rsidRPr="00136DE5">
        <w:t>stanovené</w:t>
      </w:r>
      <w:r>
        <w:t xml:space="preserve"> </w:t>
      </w:r>
      <w:r w:rsidRPr="00136DE5">
        <w:t>podle</w:t>
      </w:r>
      <w:r>
        <w:t xml:space="preserve"> </w:t>
      </w:r>
      <w:r w:rsidRPr="00136DE5">
        <w:t>odstavce</w:t>
      </w:r>
      <w:r>
        <w:t xml:space="preserve"> </w:t>
      </w:r>
      <w:r w:rsidRPr="00136DE5">
        <w:t>1</w:t>
      </w:r>
      <w:r>
        <w:t xml:space="preserve"> </w:t>
      </w:r>
      <w:r w:rsidRPr="00136DE5">
        <w:t>pro</w:t>
      </w:r>
      <w:r>
        <w:t xml:space="preserve"> </w:t>
      </w:r>
      <w:r w:rsidRPr="00136DE5">
        <w:t>zbývající</w:t>
      </w:r>
      <w:r>
        <w:t xml:space="preserve"> </w:t>
      </w:r>
      <w:r w:rsidRPr="00136DE5">
        <w:t>část</w:t>
      </w:r>
      <w:r>
        <w:t xml:space="preserve"> </w:t>
      </w:r>
      <w:r w:rsidRPr="00136DE5">
        <w:t>úplaty.</w:t>
      </w:r>
    </w:p>
    <w:p w14:paraId="3CB6F717" w14:textId="77777777" w:rsidR="00E55F2A" w:rsidRDefault="00E55F2A" w:rsidP="005329E9">
      <w:pPr>
        <w:pStyle w:val="PZTextodstavce"/>
      </w:pPr>
      <w:r>
        <w:t xml:space="preserve"> (9) </w:t>
      </w:r>
      <w:r w:rsidRPr="005A587D">
        <w:t xml:space="preserve">Pokud </w:t>
      </w:r>
      <w:r w:rsidRPr="00661F57">
        <w:rPr>
          <w:szCs w:val="24"/>
        </w:rPr>
        <w:t>se</w:t>
      </w:r>
      <w:r w:rsidRPr="005A587D">
        <w:t xml:space="preserve"> za uskutečněná plnění stanoví celková cena nebo hodnota, která zahrnuje dodání </w:t>
      </w:r>
      <w:r w:rsidRPr="00986E61">
        <w:t xml:space="preserve">zboží nebo poskytnutí služby s různými sazbami daně, popřípadě osvobozená od daně, základ daně se pro </w:t>
      </w:r>
      <w:r w:rsidRPr="0024631A">
        <w:rPr>
          <w:szCs w:val="24"/>
        </w:rPr>
        <w:t>jednotlivá</w:t>
      </w:r>
      <w:r w:rsidRPr="00986E61">
        <w:t xml:space="preserve"> zdanitelná plnění stanoví v poměrné výši odpovídající poměru</w:t>
      </w:r>
      <w:r w:rsidRPr="00661F57">
        <w:rPr>
          <w:strike/>
        </w:rPr>
        <w:t xml:space="preserve"> cen určených podle právních předpisů upravujících oceňování majetku jednotlivých plnění k celkovému součtu těchto určených cen</w:t>
      </w:r>
      <w:r w:rsidRPr="00986E61">
        <w:t xml:space="preserve"> </w:t>
      </w:r>
      <w:r w:rsidRPr="00661F57">
        <w:rPr>
          <w:b/>
        </w:rPr>
        <w:t>hodnot určených podle zákona upravujícího oceňování věcí, služeb a dluhů jednotlivých plnění k celkovému součtu těchto určených hodnot</w:t>
      </w:r>
      <w:r w:rsidRPr="00986E61">
        <w:t xml:space="preserve">. Tato celková </w:t>
      </w:r>
      <w:r w:rsidRPr="005A587D">
        <w:t>cena nebo hodnota se považuje za částku obsahující daň.</w:t>
      </w:r>
    </w:p>
    <w:p w14:paraId="5231EF24" w14:textId="77777777" w:rsidR="00E55F2A" w:rsidRPr="006B40B4" w:rsidRDefault="00E55F2A" w:rsidP="005329E9">
      <w:pPr>
        <w:pStyle w:val="PZTextodstavce"/>
        <w:rPr>
          <w:szCs w:val="24"/>
        </w:rPr>
      </w:pPr>
      <w:r w:rsidRPr="006B40B4">
        <w:rPr>
          <w:szCs w:val="24"/>
        </w:rPr>
        <w:t>(10) Pokud je při oceňování majetku vyžadován posudek více znalců, použije se pro zjištění poměru cen cena z posudku, v němž je cena nejvyšší, která se považuje za cenu obsahující daň.</w:t>
      </w:r>
    </w:p>
    <w:p w14:paraId="60B02459" w14:textId="77777777" w:rsidR="00E55F2A" w:rsidRPr="006556C1" w:rsidRDefault="00E55F2A" w:rsidP="005329E9">
      <w:pPr>
        <w:pStyle w:val="PZTextodstavce"/>
        <w:rPr>
          <w:b/>
          <w:color w:val="00B050"/>
        </w:rPr>
      </w:pPr>
      <w:r w:rsidRPr="006556C1">
        <w:rPr>
          <w:b/>
          <w:color w:val="00B050"/>
        </w:rPr>
        <w:t>(11) U zdanitelného plnění podle § 21 odst. 8 nebo § 24 odst. 4 se základ daně připadající na příslušný kalendářní rok stanoví kvalifikovaným odhadem.</w:t>
      </w:r>
    </w:p>
    <w:p w14:paraId="606F563A" w14:textId="77777777" w:rsidR="00E55F2A" w:rsidRDefault="00E55F2A" w:rsidP="005329E9">
      <w:pPr>
        <w:pStyle w:val="PZTextodstavce"/>
      </w:pPr>
      <w:r w:rsidRPr="006556C1">
        <w:rPr>
          <w:strike/>
          <w:color w:val="00B050"/>
          <w:szCs w:val="24"/>
        </w:rPr>
        <w:t>(</w:t>
      </w:r>
      <w:proofErr w:type="gramStart"/>
      <w:r w:rsidRPr="006556C1">
        <w:rPr>
          <w:strike/>
          <w:color w:val="00B050"/>
          <w:szCs w:val="24"/>
        </w:rPr>
        <w:t>11)</w:t>
      </w:r>
      <w:r w:rsidRPr="006556C1">
        <w:rPr>
          <w:color w:val="00B050"/>
          <w:szCs w:val="24"/>
        </w:rPr>
        <w:t xml:space="preserve"> </w:t>
      </w:r>
      <w:r w:rsidRPr="006556C1">
        <w:rPr>
          <w:b/>
          <w:color w:val="00B050"/>
          <w:szCs w:val="24"/>
        </w:rPr>
        <w:t>(12</w:t>
      </w:r>
      <w:proofErr w:type="gramEnd"/>
      <w:r w:rsidRPr="006556C1">
        <w:rPr>
          <w:b/>
          <w:color w:val="00B050"/>
          <w:szCs w:val="24"/>
        </w:rPr>
        <w:t>)</w:t>
      </w:r>
      <w:r w:rsidRPr="006556C1">
        <w:rPr>
          <w:color w:val="00B050"/>
          <w:szCs w:val="24"/>
        </w:rPr>
        <w:t xml:space="preserve"> </w:t>
      </w:r>
      <w:r w:rsidRPr="006B40B4">
        <w:rPr>
          <w:szCs w:val="24"/>
        </w:rPr>
        <w:t>Základem daně při dodání platných mincí, které jsou pro sběratelské účely prodávány za cenu vyšší, než je jejich nominální hodnota, nebo za cenu vyšší, než je přepočet jejich nominální hodnoty na českou měnu, je rozdíl mezi cenou, za kterou jsou prodávány, a jejich nominální hodnotou. Tento rozdíl se považuje za částku obsahující daň. Pokud jsou prodávány za cenu nižší, než je jejich nominální hodnota, nebo za cenu nižší, než je přepočet jejich nominální hodnoty na českou měnu, základem daně je nula.</w:t>
      </w:r>
    </w:p>
    <w:p w14:paraId="2A4BDE7E" w14:textId="7624A7D2" w:rsidR="00E55F2A" w:rsidRDefault="00E55F2A" w:rsidP="005329E9">
      <w:pPr>
        <w:widowControl w:val="0"/>
        <w:tabs>
          <w:tab w:val="left" w:pos="3324"/>
        </w:tabs>
        <w:autoSpaceDE w:val="0"/>
        <w:autoSpaceDN w:val="0"/>
        <w:adjustRightInd w:val="0"/>
        <w:spacing w:before="120" w:after="120"/>
      </w:pPr>
      <w:r w:rsidRPr="006556C1">
        <w:rPr>
          <w:strike/>
          <w:color w:val="00B050"/>
          <w:szCs w:val="24"/>
        </w:rPr>
        <w:t>(</w:t>
      </w:r>
      <w:proofErr w:type="gramStart"/>
      <w:r w:rsidRPr="006556C1">
        <w:rPr>
          <w:strike/>
          <w:color w:val="00B050"/>
          <w:szCs w:val="24"/>
        </w:rPr>
        <w:t>12)</w:t>
      </w:r>
      <w:r w:rsidRPr="006556C1">
        <w:rPr>
          <w:color w:val="00B050"/>
          <w:szCs w:val="24"/>
        </w:rPr>
        <w:t xml:space="preserve"> </w:t>
      </w:r>
      <w:r w:rsidRPr="006556C1">
        <w:rPr>
          <w:b/>
          <w:color w:val="00B050"/>
          <w:szCs w:val="24"/>
        </w:rPr>
        <w:t>(13</w:t>
      </w:r>
      <w:proofErr w:type="gramEnd"/>
      <w:r w:rsidRPr="006556C1">
        <w:rPr>
          <w:b/>
          <w:color w:val="00B050"/>
          <w:szCs w:val="24"/>
        </w:rPr>
        <w:t xml:space="preserve">) </w:t>
      </w:r>
      <w:r w:rsidRPr="005A587D">
        <w:t xml:space="preserve">U </w:t>
      </w:r>
      <w:r w:rsidRPr="006556C1">
        <w:rPr>
          <w:szCs w:val="24"/>
        </w:rPr>
        <w:t>zdanitelného</w:t>
      </w:r>
      <w:r w:rsidRPr="005A587D">
        <w:t xml:space="preserve"> plnění podle § 13 odst. 4 písm. </w:t>
      </w:r>
      <w:r w:rsidRPr="006556C1">
        <w:rPr>
          <w:strike/>
          <w:color w:val="00B050"/>
          <w:szCs w:val="24"/>
        </w:rPr>
        <w:t>e)</w:t>
      </w:r>
      <w:r w:rsidRPr="006556C1">
        <w:rPr>
          <w:color w:val="00B050"/>
          <w:szCs w:val="24"/>
        </w:rPr>
        <w:t xml:space="preserve"> </w:t>
      </w:r>
      <w:r w:rsidRPr="006556C1">
        <w:rPr>
          <w:b/>
          <w:color w:val="00B050"/>
          <w:szCs w:val="24"/>
        </w:rPr>
        <w:t>d)</w:t>
      </w:r>
      <w:r w:rsidRPr="006556C1">
        <w:rPr>
          <w:color w:val="00B050"/>
        </w:rPr>
        <w:t xml:space="preserve"> </w:t>
      </w:r>
      <w:r w:rsidRPr="005A587D">
        <w:t xml:space="preserve">je základem daně peněžní částka, za kterou plátce vratný obal, který je dodáván spolu se zbožím, dodává, bez daně. Základem daně je tato peněžní částka i v případě, že vratný obal je dodán plátcem spolu se zbožím </w:t>
      </w:r>
      <w:r w:rsidRPr="00986E61">
        <w:t xml:space="preserve">bezúplatně, pokud zákon dále nestanoví jinak. Jestliže plátce dodává v tuzemsku vratné obaly stejného druhu spolu se zbožím všem svým odběratelům bezúplatně, je základem daně peněžní částka, za kterou je obal stejného druhu plátcem pořízen, snížená o daň. V případě, že peněžní částka není známa, je základem daně </w:t>
      </w:r>
      <w:r w:rsidRPr="00986E61">
        <w:rPr>
          <w:strike/>
        </w:rPr>
        <w:t>cena vratného obalu stejného druhu určená podle právních předpisů upravujících oceňování majetku</w:t>
      </w:r>
      <w:r w:rsidRPr="00986E61">
        <w:rPr>
          <w:b/>
        </w:rPr>
        <w:t xml:space="preserve"> hodnota vratného obalu stejného druhu určená podle zákona upravujícího oceňování věcí, služeb a dluhů</w:t>
      </w:r>
      <w:r w:rsidRPr="00986E61">
        <w:t xml:space="preserve">. Celkový základ daně u vratných obalů stejného druhu, z kterého se zjistí daň, se vypočte jako rozdíl mezi celkovým počtem vratných obalů stejného druhu dodaných plátcem všem svým odběratelům během příslušného účetního období nebo příslušného kalendářního roku u plátce, který </w:t>
      </w:r>
      <w:r w:rsidRPr="00986E61">
        <w:rPr>
          <w:strike/>
        </w:rPr>
        <w:t>nevede účetnictví</w:t>
      </w:r>
      <w:r w:rsidRPr="00986E61">
        <w:t xml:space="preserve"> </w:t>
      </w:r>
      <w:r w:rsidRPr="00986E61">
        <w:rPr>
          <w:b/>
        </w:rPr>
        <w:t>není účetní jednotkou</w:t>
      </w:r>
      <w:r w:rsidRPr="00986E61">
        <w:t>, a celkovým počtem vratných obalů stejného druhu, které byly tomuto plátci vráceny během příslušného účetního období</w:t>
      </w:r>
      <w:r w:rsidRPr="00986E61">
        <w:rPr>
          <w:strike/>
          <w:vertAlign w:val="superscript"/>
        </w:rPr>
        <w:t>7d)</w:t>
      </w:r>
      <w:r w:rsidRPr="00986E61">
        <w:t xml:space="preserve"> nebo během příslušného kalendářního roku u plátce, který </w:t>
      </w:r>
      <w:r w:rsidRPr="00986E61">
        <w:rPr>
          <w:strike/>
        </w:rPr>
        <w:t>nevede účetnictví</w:t>
      </w:r>
      <w:r w:rsidRPr="00986E61">
        <w:t xml:space="preserve"> </w:t>
      </w:r>
      <w:r w:rsidRPr="00986E61">
        <w:rPr>
          <w:b/>
        </w:rPr>
        <w:t>není účetní jednotkou</w:t>
      </w:r>
      <w:r w:rsidRPr="00986E61">
        <w:t xml:space="preserve">, přičemž tento rozdíl je vynásoben částkou platnou pro vratný obal stejného druhu dodávaný v tuzemsku společně se zbožím, zjištěnou podle tohoto ustanovení. V případě, že celkový počet vratných obalů stejného druhu dodaných plátcem všem svým odběratelům během příslušného účetního období nebo příslušného kalendářního roku u plátce, který </w:t>
      </w:r>
      <w:r w:rsidRPr="00986E61">
        <w:rPr>
          <w:strike/>
        </w:rPr>
        <w:t>nevede účetnictví</w:t>
      </w:r>
      <w:r w:rsidRPr="00986E61">
        <w:t xml:space="preserve"> </w:t>
      </w:r>
      <w:r w:rsidRPr="00986E61">
        <w:rPr>
          <w:b/>
        </w:rPr>
        <w:t>není účetní jednotkou</w:t>
      </w:r>
      <w:r w:rsidRPr="00986E61">
        <w:t>, je nižší než celkový počet vratných obalů stejného druhu, které byly tomuto plátci vráceny během příslušného účetního období</w:t>
      </w:r>
      <w:r w:rsidRPr="00986E61">
        <w:rPr>
          <w:strike/>
          <w:vertAlign w:val="superscript"/>
        </w:rPr>
        <w:t>7d)</w:t>
      </w:r>
      <w:r w:rsidRPr="00986E61">
        <w:t xml:space="preserve"> nebo během příslušného kalendářního roku u plátce, který </w:t>
      </w:r>
      <w:proofErr w:type="gramStart"/>
      <w:r w:rsidRPr="00986E61">
        <w:rPr>
          <w:strike/>
        </w:rPr>
        <w:t>nevede</w:t>
      </w:r>
      <w:proofErr w:type="gramEnd"/>
      <w:r w:rsidRPr="00986E61">
        <w:rPr>
          <w:strike/>
        </w:rPr>
        <w:t xml:space="preserve"> účetnictví</w:t>
      </w:r>
      <w:r w:rsidRPr="00986E61">
        <w:t xml:space="preserve"> </w:t>
      </w:r>
      <w:proofErr w:type="gramStart"/>
      <w:r w:rsidRPr="00986E61">
        <w:rPr>
          <w:b/>
        </w:rPr>
        <w:t>není</w:t>
      </w:r>
      <w:proofErr w:type="gramEnd"/>
      <w:r w:rsidRPr="00986E61">
        <w:rPr>
          <w:b/>
        </w:rPr>
        <w:t xml:space="preserve"> účetní jednotkou</w:t>
      </w:r>
      <w:r w:rsidRPr="00986E61">
        <w:t xml:space="preserve">, jsou </w:t>
      </w:r>
      <w:r w:rsidRPr="005A587D">
        <w:t xml:space="preserve">základ daně a příslušná daň uváděné na </w:t>
      </w:r>
      <w:r w:rsidRPr="006556C1">
        <w:rPr>
          <w:strike/>
          <w:color w:val="00B050"/>
          <w:szCs w:val="24"/>
        </w:rPr>
        <w:t>daňovém dokladu vystaveném podle § 32 odst. 1</w:t>
      </w:r>
      <w:r w:rsidRPr="006556C1">
        <w:rPr>
          <w:color w:val="00B050"/>
          <w:szCs w:val="24"/>
        </w:rPr>
        <w:t xml:space="preserve"> </w:t>
      </w:r>
      <w:r w:rsidRPr="006556C1">
        <w:rPr>
          <w:b/>
          <w:color w:val="00B050"/>
          <w:szCs w:val="24"/>
        </w:rPr>
        <w:t>dokladu o použití</w:t>
      </w:r>
      <w:r w:rsidRPr="006556C1">
        <w:rPr>
          <w:color w:val="00B050"/>
        </w:rPr>
        <w:t xml:space="preserve"> </w:t>
      </w:r>
      <w:r w:rsidRPr="005A587D">
        <w:t>se záporným znaménkem. Stejným způsobem se záporný základ daně a daň zohlední i v daňovém přiznání podle § 101.</w:t>
      </w:r>
    </w:p>
    <w:p w14:paraId="31D46058" w14:textId="77777777" w:rsidR="005329E9" w:rsidRPr="005329E9" w:rsidRDefault="005329E9" w:rsidP="005329E9">
      <w:pPr>
        <w:tabs>
          <w:tab w:val="left" w:pos="782"/>
          <w:tab w:val="left" w:pos="851"/>
        </w:tabs>
        <w:spacing w:before="120" w:after="120"/>
        <w:outlineLvl w:val="6"/>
      </w:pPr>
      <w:r w:rsidRPr="005329E9">
        <w:lastRenderedPageBreak/>
        <w:t>(14)</w:t>
      </w:r>
      <w:r w:rsidRPr="005329E9">
        <w:tab/>
        <w:t>Obvyklou cenou se pro účely daně z přidané hodnoty rozumí celá částka, kterou by za účelem pořízení zboží nebo přijetí služby musela osoba, pro kterou se plnění uskutečnilo, nacházející se na stejném obchodním stupni, na jakém se dodání zboží nebo poskytnutí služby uskutečňuje, zaplatit v podmínkách volné hospodářské soutěže nezávislému dodavateli nebo poskytovateli v tuzemsku, aby v daném okamžiku toto zboží pořídila nebo tuto službu přijala; pokud nelze srovnatelné dodání zboží nebo poskytnutí služby zjistit, rozumí se obvyklou cenou</w:t>
      </w:r>
    </w:p>
    <w:p w14:paraId="3B80DA86" w14:textId="77777777" w:rsidR="005329E9" w:rsidRPr="005329E9" w:rsidRDefault="005329E9" w:rsidP="005329E9">
      <w:pPr>
        <w:spacing w:before="0"/>
        <w:ind w:left="425" w:hanging="425"/>
        <w:outlineLvl w:val="7"/>
      </w:pPr>
      <w:proofErr w:type="gramStart"/>
      <w:r w:rsidRPr="005329E9">
        <w:t>a)</w:t>
      </w:r>
      <w:r w:rsidRPr="005329E9">
        <w:tab/>
        <w:t>v případě</w:t>
      </w:r>
      <w:proofErr w:type="gramEnd"/>
      <w:r w:rsidRPr="005329E9">
        <w:t xml:space="preserve"> zboží částka, </w:t>
      </w:r>
      <w:proofErr w:type="gramStart"/>
      <w:r w:rsidRPr="005329E9">
        <w:t>která</w:t>
      </w:r>
      <w:proofErr w:type="gramEnd"/>
    </w:p>
    <w:p w14:paraId="594C1641" w14:textId="77777777" w:rsidR="005329E9" w:rsidRPr="005329E9" w:rsidRDefault="005329E9" w:rsidP="005329E9">
      <w:pPr>
        <w:tabs>
          <w:tab w:val="left" w:pos="851"/>
        </w:tabs>
        <w:spacing w:before="0"/>
        <w:ind w:left="850" w:hanging="425"/>
        <w:outlineLvl w:val="8"/>
      </w:pPr>
      <w:r w:rsidRPr="005329E9">
        <w:t>1.</w:t>
      </w:r>
      <w:r w:rsidRPr="005329E9">
        <w:tab/>
        <w:t>není nižší než kupní cena daného nebo podobného zboží, nebo</w:t>
      </w:r>
    </w:p>
    <w:p w14:paraId="56FE91B4" w14:textId="77777777" w:rsidR="005329E9" w:rsidRPr="005329E9" w:rsidRDefault="005329E9" w:rsidP="005329E9">
      <w:pPr>
        <w:tabs>
          <w:tab w:val="left" w:pos="851"/>
        </w:tabs>
        <w:spacing w:before="0"/>
        <w:ind w:left="850" w:hanging="425"/>
        <w:outlineLvl w:val="8"/>
      </w:pPr>
      <w:r w:rsidRPr="005329E9">
        <w:t>2.</w:t>
      </w:r>
      <w:r w:rsidRPr="005329E9">
        <w:tab/>
        <w:t>odpovídá nákladové ceně určené k okamžiku dodání zboží, pokud nelze určit částku podle bodu 1,</w:t>
      </w:r>
    </w:p>
    <w:p w14:paraId="77472B81" w14:textId="679D1CCD" w:rsidR="005329E9" w:rsidRDefault="005329E9" w:rsidP="005329E9">
      <w:pPr>
        <w:spacing w:before="0"/>
        <w:ind w:left="425" w:hanging="425"/>
        <w:outlineLvl w:val="7"/>
      </w:pPr>
      <w:r w:rsidRPr="005329E9">
        <w:t>b)</w:t>
      </w:r>
      <w:r w:rsidRPr="005329E9">
        <w:tab/>
        <w:t>v případě služby částka, která není nižší než výše celkových nákladů osoby povinné k dani na toto poskytnutí služby.</w:t>
      </w:r>
    </w:p>
    <w:p w14:paraId="3BA33F12" w14:textId="77777777" w:rsidR="00E55F2A" w:rsidRDefault="00E55F2A" w:rsidP="00E55F2A">
      <w:pPr>
        <w:pStyle w:val="Nadpisparagrafu"/>
        <w:numPr>
          <w:ilvl w:val="0"/>
          <w:numId w:val="70"/>
        </w:numPr>
      </w:pPr>
      <w:r>
        <w:t>***</w:t>
      </w:r>
    </w:p>
    <w:p w14:paraId="26F64B7D" w14:textId="7DA34054" w:rsidR="001D06F7" w:rsidRPr="001D06F7" w:rsidRDefault="00E55F2A" w:rsidP="001D06F7">
      <w:pPr>
        <w:pStyle w:val="Paragraf"/>
        <w:spacing w:after="240"/>
      </w:pPr>
      <w:r w:rsidRPr="001D06F7">
        <w:t>§ 75</w:t>
      </w:r>
    </w:p>
    <w:p w14:paraId="18836A8D" w14:textId="77777777" w:rsidR="00E55F2A" w:rsidRPr="001D06F7" w:rsidRDefault="00E55F2A" w:rsidP="001D06F7">
      <w:pPr>
        <w:pStyle w:val="Paragraf"/>
        <w:spacing w:after="240"/>
        <w:rPr>
          <w:b/>
        </w:rPr>
      </w:pPr>
      <w:r w:rsidRPr="001D06F7">
        <w:rPr>
          <w:b/>
        </w:rPr>
        <w:t>Způsob výpočtu odpočtu daně v poměrné výši</w:t>
      </w:r>
    </w:p>
    <w:p w14:paraId="049B5E32" w14:textId="77777777" w:rsidR="00E55F2A" w:rsidRPr="0089133F" w:rsidRDefault="00E55F2A" w:rsidP="00E55F2A">
      <w:pPr>
        <w:pStyle w:val="Nadpisparagrafu"/>
        <w:numPr>
          <w:ilvl w:val="0"/>
          <w:numId w:val="70"/>
        </w:numPr>
      </w:pPr>
      <w:r>
        <w:t>***</w:t>
      </w:r>
    </w:p>
    <w:p w14:paraId="2BCAE69E" w14:textId="77777777" w:rsidR="001D06F7" w:rsidRDefault="001D06F7" w:rsidP="001D06F7">
      <w:pPr>
        <w:pStyle w:val="PZTextodstavce"/>
      </w:pPr>
      <w:r w:rsidRPr="00136DE5">
        <w:t>(1</w:t>
      </w:r>
      <w:r>
        <w:t>)</w:t>
      </w:r>
      <w:r>
        <w:tab/>
      </w:r>
      <w:r w:rsidRPr="00136DE5">
        <w:t>Použije-li</w:t>
      </w:r>
      <w:r>
        <w:t xml:space="preserve"> </w:t>
      </w:r>
      <w:r w:rsidRPr="00136DE5">
        <w:t>plátce</w:t>
      </w:r>
      <w:r>
        <w:t xml:space="preserve"> </w:t>
      </w:r>
      <w:r w:rsidRPr="00136DE5">
        <w:t>přijaté</w:t>
      </w:r>
      <w:r>
        <w:t xml:space="preserve"> </w:t>
      </w:r>
      <w:r w:rsidRPr="00136DE5">
        <w:t>zdanitelné</w:t>
      </w:r>
      <w:r>
        <w:t xml:space="preserve"> </w:t>
      </w:r>
      <w:r w:rsidRPr="00136DE5">
        <w:t>plnění</w:t>
      </w:r>
      <w:r>
        <w:t xml:space="preserve"> </w:t>
      </w:r>
      <w:r w:rsidRPr="00136DE5">
        <w:t>jak</w:t>
      </w:r>
      <w:r>
        <w:t xml:space="preserve"> </w:t>
      </w:r>
      <w:r w:rsidRPr="00136DE5">
        <w:t>pro</w:t>
      </w:r>
      <w:r>
        <w:t xml:space="preserve"> </w:t>
      </w:r>
      <w:r w:rsidRPr="00136DE5">
        <w:t>účely</w:t>
      </w:r>
      <w:r>
        <w:t xml:space="preserve"> </w:t>
      </w:r>
      <w:r w:rsidRPr="00136DE5">
        <w:t>svých</w:t>
      </w:r>
      <w:r>
        <w:t xml:space="preserve"> </w:t>
      </w:r>
      <w:r w:rsidRPr="00136DE5">
        <w:t>uskutečněných</w:t>
      </w:r>
      <w:r>
        <w:t xml:space="preserve"> </w:t>
      </w:r>
      <w:r w:rsidRPr="00136DE5">
        <w:t>plnění,</w:t>
      </w:r>
      <w:r>
        <w:t xml:space="preserve"> </w:t>
      </w:r>
      <w:r w:rsidRPr="00136DE5">
        <w:t>tak</w:t>
      </w:r>
      <w:r>
        <w:t xml:space="preserve"> </w:t>
      </w:r>
      <w:r w:rsidRPr="00136DE5">
        <w:t>pro</w:t>
      </w:r>
      <w:r>
        <w:t xml:space="preserve"> </w:t>
      </w:r>
      <w:r w:rsidRPr="00136DE5">
        <w:t>jiné</w:t>
      </w:r>
      <w:r>
        <w:t xml:space="preserve"> </w:t>
      </w:r>
      <w:r w:rsidRPr="00136DE5">
        <w:t>účely,</w:t>
      </w:r>
      <w:r>
        <w:t xml:space="preserve"> </w:t>
      </w:r>
      <w:r w:rsidRPr="00136DE5">
        <w:t>má</w:t>
      </w:r>
      <w:r>
        <w:t xml:space="preserve"> </w:t>
      </w:r>
      <w:r w:rsidRPr="00136DE5">
        <w:t>nárok</w:t>
      </w:r>
      <w:r>
        <w:t xml:space="preserve"> </w:t>
      </w:r>
      <w:r w:rsidRPr="00136DE5">
        <w:t>na</w:t>
      </w:r>
      <w:r>
        <w:t xml:space="preserve"> </w:t>
      </w:r>
      <w:r w:rsidRPr="00136DE5">
        <w:t>odpočet</w:t>
      </w:r>
      <w:r>
        <w:t xml:space="preserve"> </w:t>
      </w:r>
      <w:r w:rsidRPr="00136DE5">
        <w:t>daně</w:t>
      </w:r>
      <w:r>
        <w:t xml:space="preserve"> </w:t>
      </w:r>
      <w:r w:rsidRPr="00136DE5">
        <w:t>pouze</w:t>
      </w:r>
      <w:r>
        <w:t xml:space="preserve"> </w:t>
      </w:r>
      <w:r w:rsidRPr="00136DE5">
        <w:t>v</w:t>
      </w:r>
      <w:r>
        <w:t xml:space="preserve"> </w:t>
      </w:r>
      <w:r w:rsidRPr="00136DE5">
        <w:t>poměrné</w:t>
      </w:r>
      <w:r>
        <w:t xml:space="preserve"> </w:t>
      </w:r>
      <w:r w:rsidRPr="00136DE5">
        <w:t>výši</w:t>
      </w:r>
      <w:r>
        <w:t xml:space="preserve"> </w:t>
      </w:r>
      <w:r w:rsidRPr="00136DE5">
        <w:t>odpovídající</w:t>
      </w:r>
      <w:r>
        <w:t xml:space="preserve"> </w:t>
      </w:r>
      <w:r w:rsidRPr="00136DE5">
        <w:t>rozsahu</w:t>
      </w:r>
      <w:r>
        <w:t xml:space="preserve"> </w:t>
      </w:r>
      <w:r w:rsidRPr="00136DE5">
        <w:t>použití</w:t>
      </w:r>
      <w:r>
        <w:t xml:space="preserve"> </w:t>
      </w:r>
      <w:r w:rsidRPr="00136DE5">
        <w:t>pro</w:t>
      </w:r>
      <w:r>
        <w:t xml:space="preserve"> </w:t>
      </w:r>
      <w:r w:rsidRPr="00136DE5">
        <w:t>účely</w:t>
      </w:r>
      <w:r>
        <w:t xml:space="preserve"> </w:t>
      </w:r>
      <w:r w:rsidRPr="00136DE5">
        <w:t>svých</w:t>
      </w:r>
      <w:r>
        <w:t xml:space="preserve"> </w:t>
      </w:r>
      <w:r w:rsidRPr="00136DE5">
        <w:t>uskutečněných</w:t>
      </w:r>
      <w:r>
        <w:t xml:space="preserve"> </w:t>
      </w:r>
      <w:r w:rsidRPr="00136DE5">
        <w:t>plnění.</w:t>
      </w:r>
      <w:r>
        <w:t xml:space="preserve"> </w:t>
      </w:r>
      <w:r w:rsidRPr="00136DE5">
        <w:t>Tím</w:t>
      </w:r>
      <w:r>
        <w:t xml:space="preserve"> </w:t>
      </w:r>
      <w:r w:rsidRPr="00136DE5">
        <w:t>není</w:t>
      </w:r>
      <w:r>
        <w:t xml:space="preserve"> </w:t>
      </w:r>
      <w:r w:rsidRPr="00136DE5">
        <w:t>dotčeno</w:t>
      </w:r>
      <w:r>
        <w:t xml:space="preserve"> </w:t>
      </w:r>
      <w:r w:rsidRPr="00136DE5">
        <w:t>ustanovení</w:t>
      </w:r>
      <w:r>
        <w:t xml:space="preserve"> </w:t>
      </w:r>
      <w:r w:rsidRPr="00136DE5">
        <w:t>§</w:t>
      </w:r>
      <w:r>
        <w:t xml:space="preserve"> </w:t>
      </w:r>
      <w:r w:rsidRPr="00136DE5">
        <w:t>76.</w:t>
      </w:r>
    </w:p>
    <w:p w14:paraId="21FE140A" w14:textId="77777777" w:rsidR="001D06F7" w:rsidRDefault="001D06F7" w:rsidP="001D06F7">
      <w:pPr>
        <w:pStyle w:val="PZTextodstavce"/>
      </w:pPr>
      <w:r w:rsidRPr="00136DE5">
        <w:t>(2</w:t>
      </w:r>
      <w:r>
        <w:t>)</w:t>
      </w:r>
      <w:r>
        <w:tab/>
      </w:r>
      <w:r w:rsidRPr="00136DE5">
        <w:t>V</w:t>
      </w:r>
      <w:r>
        <w:t xml:space="preserve"> </w:t>
      </w:r>
      <w:r w:rsidRPr="00136DE5">
        <w:t>případě</w:t>
      </w:r>
      <w:r>
        <w:t xml:space="preserve"> </w:t>
      </w:r>
      <w:r w:rsidRPr="00136DE5">
        <w:t>přijatého</w:t>
      </w:r>
      <w:r>
        <w:t xml:space="preserve"> </w:t>
      </w:r>
      <w:r w:rsidRPr="00136DE5">
        <w:t>zdanitelného</w:t>
      </w:r>
      <w:r>
        <w:t xml:space="preserve"> </w:t>
      </w:r>
      <w:r w:rsidRPr="00136DE5">
        <w:t>plnění,</w:t>
      </w:r>
      <w:r>
        <w:t xml:space="preserve"> </w:t>
      </w:r>
      <w:r w:rsidRPr="00136DE5">
        <w:t>které</w:t>
      </w:r>
      <w:r>
        <w:t xml:space="preserve"> </w:t>
      </w:r>
      <w:r w:rsidRPr="00136DE5">
        <w:t>není</w:t>
      </w:r>
      <w:r>
        <w:t xml:space="preserve"> </w:t>
      </w:r>
      <w:r w:rsidRPr="00136DE5">
        <w:t>pořízením</w:t>
      </w:r>
      <w:r>
        <w:t xml:space="preserve"> </w:t>
      </w:r>
      <w:r w:rsidRPr="00136DE5">
        <w:t>dlouhodobého</w:t>
      </w:r>
      <w:r>
        <w:t xml:space="preserve"> </w:t>
      </w:r>
      <w:r w:rsidRPr="00136DE5">
        <w:t>majetku,</w:t>
      </w:r>
      <w:r>
        <w:t xml:space="preserve"> </w:t>
      </w:r>
      <w:r w:rsidRPr="00136DE5">
        <w:t>určeného</w:t>
      </w:r>
      <w:r>
        <w:t xml:space="preserve"> </w:t>
      </w:r>
      <w:r w:rsidRPr="00136DE5">
        <w:t>pro</w:t>
      </w:r>
      <w:r>
        <w:t xml:space="preserve"> </w:t>
      </w:r>
      <w:r w:rsidRPr="00136DE5">
        <w:t>uskutečněná</w:t>
      </w:r>
      <w:r>
        <w:t xml:space="preserve"> </w:t>
      </w:r>
      <w:r w:rsidRPr="00136DE5">
        <w:t>plnění,</w:t>
      </w:r>
      <w:r>
        <w:t xml:space="preserve"> </w:t>
      </w:r>
      <w:r w:rsidRPr="00136DE5">
        <w:t>které</w:t>
      </w:r>
      <w:r>
        <w:t xml:space="preserve"> </w:t>
      </w:r>
      <w:r w:rsidRPr="00136DE5">
        <w:t>plátce</w:t>
      </w:r>
      <w:r>
        <w:t xml:space="preserve"> </w:t>
      </w:r>
      <w:r w:rsidRPr="00136DE5">
        <w:t>použije</w:t>
      </w:r>
      <w:r>
        <w:t xml:space="preserve"> </w:t>
      </w:r>
      <w:r w:rsidRPr="00136DE5">
        <w:t>zčásti</w:t>
      </w:r>
      <w:r>
        <w:t xml:space="preserve"> </w:t>
      </w:r>
      <w:r w:rsidRPr="00136DE5">
        <w:t>rovněž</w:t>
      </w:r>
      <w:r>
        <w:t xml:space="preserve"> </w:t>
      </w:r>
      <w:r w:rsidRPr="00136DE5">
        <w:t>pro</w:t>
      </w:r>
      <w:r>
        <w:t xml:space="preserve"> </w:t>
      </w:r>
      <w:r w:rsidRPr="00136DE5">
        <w:t>svou</w:t>
      </w:r>
      <w:r>
        <w:t xml:space="preserve"> </w:t>
      </w:r>
      <w:r w:rsidRPr="00136DE5">
        <w:t>osobní</w:t>
      </w:r>
      <w:r>
        <w:t xml:space="preserve"> </w:t>
      </w:r>
      <w:r w:rsidRPr="00136DE5">
        <w:t>spotřebu</w:t>
      </w:r>
      <w:r>
        <w:t xml:space="preserve"> </w:t>
      </w:r>
      <w:r w:rsidRPr="00136DE5">
        <w:t>nebo</w:t>
      </w:r>
      <w:r>
        <w:t xml:space="preserve"> </w:t>
      </w:r>
      <w:r w:rsidRPr="00136DE5">
        <w:t>pro</w:t>
      </w:r>
      <w:r>
        <w:t xml:space="preserve"> </w:t>
      </w:r>
      <w:r w:rsidRPr="00136DE5">
        <w:t>osobní</w:t>
      </w:r>
      <w:r>
        <w:t xml:space="preserve"> </w:t>
      </w:r>
      <w:r w:rsidRPr="00136DE5">
        <w:t>spotřebu</w:t>
      </w:r>
      <w:r>
        <w:t xml:space="preserve"> </w:t>
      </w:r>
      <w:r w:rsidRPr="00136DE5">
        <w:t>svých</w:t>
      </w:r>
      <w:r>
        <w:t xml:space="preserve"> </w:t>
      </w:r>
      <w:r w:rsidRPr="00136DE5">
        <w:t>zaměstnanců,</w:t>
      </w:r>
      <w:r>
        <w:t xml:space="preserve"> </w:t>
      </w:r>
      <w:r w:rsidRPr="00136DE5">
        <w:t>si</w:t>
      </w:r>
      <w:r>
        <w:t xml:space="preserve"> </w:t>
      </w:r>
      <w:r w:rsidRPr="00136DE5">
        <w:t>plátce</w:t>
      </w:r>
      <w:r>
        <w:t xml:space="preserve"> </w:t>
      </w:r>
      <w:r w:rsidRPr="00136DE5">
        <w:t>může</w:t>
      </w:r>
      <w:r>
        <w:t xml:space="preserve"> </w:t>
      </w:r>
      <w:r w:rsidRPr="00136DE5">
        <w:t>zvolit,</w:t>
      </w:r>
      <w:r>
        <w:t xml:space="preserve"> </w:t>
      </w:r>
      <w:r w:rsidRPr="00136DE5">
        <w:t>že</w:t>
      </w:r>
      <w:r>
        <w:t xml:space="preserve"> </w:t>
      </w:r>
      <w:r w:rsidRPr="00136DE5">
        <w:t>uplatní</w:t>
      </w:r>
      <w:r>
        <w:t xml:space="preserve"> </w:t>
      </w:r>
      <w:r w:rsidRPr="00136DE5">
        <w:t>nárok</w:t>
      </w:r>
      <w:r>
        <w:t xml:space="preserve"> </w:t>
      </w:r>
      <w:r w:rsidRPr="00136DE5">
        <w:t>na</w:t>
      </w:r>
      <w:r>
        <w:t xml:space="preserve"> </w:t>
      </w:r>
      <w:r w:rsidRPr="00136DE5">
        <w:t>odpočet</w:t>
      </w:r>
      <w:r>
        <w:t xml:space="preserve"> </w:t>
      </w:r>
      <w:r w:rsidRPr="00136DE5">
        <w:t>daně</w:t>
      </w:r>
      <w:r>
        <w:t xml:space="preserve"> </w:t>
      </w:r>
      <w:r w:rsidRPr="00136DE5">
        <w:t>v</w:t>
      </w:r>
      <w:r>
        <w:t xml:space="preserve"> </w:t>
      </w:r>
      <w:r w:rsidRPr="00136DE5">
        <w:t>plné</w:t>
      </w:r>
      <w:r>
        <w:t xml:space="preserve"> </w:t>
      </w:r>
      <w:r w:rsidRPr="00136DE5">
        <w:t>výši.</w:t>
      </w:r>
      <w:r>
        <w:t xml:space="preserve"> </w:t>
      </w:r>
      <w:r w:rsidRPr="00136DE5">
        <w:t>Část</w:t>
      </w:r>
      <w:r>
        <w:t xml:space="preserve"> </w:t>
      </w:r>
      <w:r w:rsidRPr="00136DE5">
        <w:t>přijatého</w:t>
      </w:r>
      <w:r>
        <w:t xml:space="preserve"> </w:t>
      </w:r>
      <w:r w:rsidRPr="00136DE5">
        <w:t>zdanitelného</w:t>
      </w:r>
      <w:r>
        <w:t xml:space="preserve"> </w:t>
      </w:r>
      <w:r w:rsidRPr="00136DE5">
        <w:t>plnění,</w:t>
      </w:r>
      <w:r>
        <w:t xml:space="preserve"> </w:t>
      </w:r>
      <w:r w:rsidRPr="00136DE5">
        <w:t>kterou</w:t>
      </w:r>
      <w:r>
        <w:t xml:space="preserve"> </w:t>
      </w:r>
      <w:r w:rsidRPr="00136DE5">
        <w:t>použije</w:t>
      </w:r>
      <w:r>
        <w:t xml:space="preserve"> </w:t>
      </w:r>
      <w:r w:rsidRPr="00136DE5">
        <w:t>pro</w:t>
      </w:r>
      <w:r>
        <w:t xml:space="preserve"> </w:t>
      </w:r>
      <w:r w:rsidRPr="00136DE5">
        <w:t>svou</w:t>
      </w:r>
      <w:r>
        <w:t xml:space="preserve"> </w:t>
      </w:r>
      <w:r w:rsidRPr="00136DE5">
        <w:t>osobní</w:t>
      </w:r>
      <w:r>
        <w:t xml:space="preserve"> </w:t>
      </w:r>
      <w:r w:rsidRPr="00136DE5">
        <w:t>spotřebu</w:t>
      </w:r>
      <w:r>
        <w:t xml:space="preserve"> </w:t>
      </w:r>
      <w:r w:rsidRPr="00136DE5">
        <w:t>nebo</w:t>
      </w:r>
      <w:r>
        <w:t xml:space="preserve"> </w:t>
      </w:r>
      <w:r w:rsidRPr="00136DE5">
        <w:t>pro</w:t>
      </w:r>
      <w:r>
        <w:t xml:space="preserve"> </w:t>
      </w:r>
      <w:r w:rsidRPr="00136DE5">
        <w:t>osobní</w:t>
      </w:r>
      <w:r>
        <w:t xml:space="preserve"> </w:t>
      </w:r>
      <w:r w:rsidRPr="00136DE5">
        <w:t>spotřebu</w:t>
      </w:r>
      <w:r>
        <w:t xml:space="preserve"> </w:t>
      </w:r>
      <w:r w:rsidRPr="00136DE5">
        <w:t>svých</w:t>
      </w:r>
      <w:r>
        <w:t xml:space="preserve"> </w:t>
      </w:r>
      <w:r w:rsidRPr="00136DE5">
        <w:t>zaměstnanců,</w:t>
      </w:r>
      <w:r>
        <w:t xml:space="preserve"> </w:t>
      </w:r>
      <w:r w:rsidRPr="00136DE5">
        <w:t>se</w:t>
      </w:r>
      <w:r>
        <w:t xml:space="preserve"> </w:t>
      </w:r>
      <w:r w:rsidRPr="00136DE5">
        <w:t>poté</w:t>
      </w:r>
      <w:r>
        <w:t xml:space="preserve"> </w:t>
      </w:r>
      <w:r w:rsidRPr="00136DE5">
        <w:t>považuje</w:t>
      </w:r>
      <w:r>
        <w:t xml:space="preserve"> </w:t>
      </w:r>
      <w:r w:rsidRPr="00136DE5">
        <w:t>za</w:t>
      </w:r>
      <w:r>
        <w:t xml:space="preserve"> </w:t>
      </w:r>
      <w:r w:rsidRPr="00136DE5">
        <w:t>dodání</w:t>
      </w:r>
      <w:r>
        <w:t xml:space="preserve"> </w:t>
      </w:r>
      <w:r w:rsidRPr="00136DE5">
        <w:t>zboží</w:t>
      </w:r>
      <w:r>
        <w:t xml:space="preserve"> </w:t>
      </w:r>
      <w:r w:rsidRPr="00136DE5">
        <w:t>podle</w:t>
      </w:r>
      <w:r>
        <w:t xml:space="preserve"> </w:t>
      </w:r>
      <w:r w:rsidRPr="00136DE5">
        <w:t>§</w:t>
      </w:r>
      <w:r>
        <w:t xml:space="preserve"> </w:t>
      </w:r>
      <w:r w:rsidRPr="00136DE5">
        <w:t>13</w:t>
      </w:r>
      <w:r>
        <w:t xml:space="preserve"> </w:t>
      </w:r>
      <w:r w:rsidRPr="00136DE5">
        <w:t>odst.</w:t>
      </w:r>
      <w:r>
        <w:t xml:space="preserve"> </w:t>
      </w:r>
      <w:r w:rsidRPr="00136DE5">
        <w:t>4</w:t>
      </w:r>
      <w:r>
        <w:t xml:space="preserve"> </w:t>
      </w:r>
      <w:r w:rsidRPr="00136DE5">
        <w:t>písm.</w:t>
      </w:r>
      <w:r>
        <w:t xml:space="preserve"> </w:t>
      </w:r>
      <w:r w:rsidRPr="00136DE5">
        <w:t>a)</w:t>
      </w:r>
      <w:r>
        <w:t xml:space="preserve"> </w:t>
      </w:r>
      <w:r w:rsidRPr="00136DE5">
        <w:t>nebo</w:t>
      </w:r>
      <w:r>
        <w:t xml:space="preserve"> </w:t>
      </w:r>
      <w:r w:rsidRPr="00136DE5">
        <w:t>za</w:t>
      </w:r>
      <w:r>
        <w:t xml:space="preserve"> </w:t>
      </w:r>
      <w:r w:rsidRPr="00136DE5">
        <w:t>poskytnutí</w:t>
      </w:r>
      <w:r>
        <w:t xml:space="preserve"> </w:t>
      </w:r>
      <w:r w:rsidRPr="00136DE5">
        <w:t>služby</w:t>
      </w:r>
      <w:r>
        <w:t xml:space="preserve"> </w:t>
      </w:r>
      <w:r w:rsidRPr="00136DE5">
        <w:t>podle</w:t>
      </w:r>
      <w:r>
        <w:t xml:space="preserve"> </w:t>
      </w:r>
      <w:r w:rsidRPr="00136DE5">
        <w:t>§</w:t>
      </w:r>
      <w:r>
        <w:t xml:space="preserve"> </w:t>
      </w:r>
      <w:r w:rsidRPr="00136DE5">
        <w:t>14</w:t>
      </w:r>
      <w:r>
        <w:t xml:space="preserve"> </w:t>
      </w:r>
      <w:r w:rsidRPr="00136DE5">
        <w:t>odst.</w:t>
      </w:r>
      <w:r>
        <w:t xml:space="preserve"> </w:t>
      </w:r>
      <w:r w:rsidRPr="00136DE5">
        <w:t>3</w:t>
      </w:r>
      <w:r>
        <w:t xml:space="preserve"> </w:t>
      </w:r>
      <w:r w:rsidRPr="00136DE5">
        <w:t>písm.</w:t>
      </w:r>
      <w:r>
        <w:t xml:space="preserve"> </w:t>
      </w:r>
      <w:r w:rsidRPr="00136DE5">
        <w:t>a).</w:t>
      </w:r>
    </w:p>
    <w:p w14:paraId="2B5398E7" w14:textId="77777777" w:rsidR="001D06F7" w:rsidRDefault="001D06F7" w:rsidP="001D06F7">
      <w:pPr>
        <w:pStyle w:val="PZTextodstavce"/>
      </w:pPr>
      <w:r w:rsidRPr="00136DE5">
        <w:t>(3</w:t>
      </w:r>
      <w:r>
        <w:t>)</w:t>
      </w:r>
      <w:r>
        <w:tab/>
      </w:r>
      <w:r w:rsidRPr="00136DE5">
        <w:t>Příslušná</w:t>
      </w:r>
      <w:r>
        <w:t xml:space="preserve"> </w:t>
      </w:r>
      <w:r w:rsidRPr="00136DE5">
        <w:t>výše</w:t>
      </w:r>
      <w:r>
        <w:t xml:space="preserve"> </w:t>
      </w:r>
      <w:r w:rsidRPr="00136DE5">
        <w:t>odpočtu</w:t>
      </w:r>
      <w:r>
        <w:t xml:space="preserve"> </w:t>
      </w:r>
      <w:r w:rsidRPr="00136DE5">
        <w:t>daně</w:t>
      </w:r>
      <w:r>
        <w:t xml:space="preserve"> </w:t>
      </w:r>
      <w:r w:rsidRPr="00136DE5">
        <w:t>v</w:t>
      </w:r>
      <w:r>
        <w:t xml:space="preserve"> </w:t>
      </w:r>
      <w:r w:rsidRPr="00136DE5">
        <w:t>poměrné</w:t>
      </w:r>
      <w:r>
        <w:t xml:space="preserve"> </w:t>
      </w:r>
      <w:r w:rsidRPr="00136DE5">
        <w:t>výši</w:t>
      </w:r>
      <w:r>
        <w:t xml:space="preserve"> </w:t>
      </w:r>
      <w:r w:rsidRPr="00136DE5">
        <w:t>se</w:t>
      </w:r>
      <w:r>
        <w:t xml:space="preserve"> </w:t>
      </w:r>
      <w:r w:rsidRPr="00136DE5">
        <w:t>vypočte</w:t>
      </w:r>
      <w:r>
        <w:t xml:space="preserve"> </w:t>
      </w:r>
      <w:r w:rsidRPr="00136DE5">
        <w:t>jako</w:t>
      </w:r>
      <w:r>
        <w:t xml:space="preserve"> </w:t>
      </w:r>
      <w:r w:rsidRPr="00136DE5">
        <w:t>součin</w:t>
      </w:r>
      <w:r>
        <w:t xml:space="preserve"> </w:t>
      </w:r>
      <w:r w:rsidRPr="00136DE5">
        <w:t>daně</w:t>
      </w:r>
      <w:r>
        <w:t xml:space="preserve"> </w:t>
      </w:r>
      <w:r w:rsidRPr="00136DE5">
        <w:t>na</w:t>
      </w:r>
      <w:r>
        <w:t xml:space="preserve"> </w:t>
      </w:r>
      <w:r w:rsidRPr="00136DE5">
        <w:t>vstupu</w:t>
      </w:r>
      <w:r>
        <w:t xml:space="preserve"> </w:t>
      </w:r>
      <w:r w:rsidRPr="00136DE5">
        <w:t>u</w:t>
      </w:r>
      <w:r>
        <w:t xml:space="preserve"> </w:t>
      </w:r>
      <w:r w:rsidRPr="00136DE5">
        <w:t>přijatého</w:t>
      </w:r>
      <w:r>
        <w:t xml:space="preserve"> </w:t>
      </w:r>
      <w:r w:rsidRPr="00136DE5">
        <w:t>zdanitelného</w:t>
      </w:r>
      <w:r>
        <w:t xml:space="preserve"> </w:t>
      </w:r>
      <w:r w:rsidRPr="00136DE5">
        <w:t>plnění,</w:t>
      </w:r>
      <w:r>
        <w:t xml:space="preserve"> </w:t>
      </w:r>
      <w:r w:rsidRPr="00136DE5">
        <w:t>u</w:t>
      </w:r>
      <w:r>
        <w:t xml:space="preserve"> </w:t>
      </w:r>
      <w:r w:rsidRPr="00136DE5">
        <w:t>kterého</w:t>
      </w:r>
      <w:r>
        <w:t xml:space="preserve"> </w:t>
      </w:r>
      <w:r w:rsidRPr="00136DE5">
        <w:t>má</w:t>
      </w:r>
      <w:r>
        <w:t xml:space="preserve"> </w:t>
      </w:r>
      <w:r w:rsidRPr="00136DE5">
        <w:t>plátce</w:t>
      </w:r>
      <w:r>
        <w:t xml:space="preserve"> </w:t>
      </w:r>
      <w:r w:rsidRPr="00136DE5">
        <w:t>nárok</w:t>
      </w:r>
      <w:r>
        <w:t xml:space="preserve"> </w:t>
      </w:r>
      <w:r w:rsidRPr="00136DE5">
        <w:t>na</w:t>
      </w:r>
      <w:r>
        <w:t xml:space="preserve"> </w:t>
      </w:r>
      <w:r w:rsidRPr="00136DE5">
        <w:t>odpočet</w:t>
      </w:r>
      <w:r>
        <w:t xml:space="preserve"> </w:t>
      </w:r>
      <w:r w:rsidRPr="00136DE5">
        <w:t>daně</w:t>
      </w:r>
      <w:r>
        <w:t xml:space="preserve"> </w:t>
      </w:r>
      <w:r w:rsidRPr="00136DE5">
        <w:t>v</w:t>
      </w:r>
      <w:r>
        <w:t xml:space="preserve"> </w:t>
      </w:r>
      <w:r w:rsidRPr="00136DE5">
        <w:t>poměrné</w:t>
      </w:r>
      <w:r>
        <w:t xml:space="preserve"> </w:t>
      </w:r>
      <w:r w:rsidRPr="00136DE5">
        <w:t>výši,</w:t>
      </w:r>
      <w:r>
        <w:t xml:space="preserve"> </w:t>
      </w:r>
      <w:r w:rsidRPr="00136DE5">
        <w:t>a</w:t>
      </w:r>
      <w:r>
        <w:t xml:space="preserve"> </w:t>
      </w:r>
      <w:r w:rsidRPr="00136DE5">
        <w:t>podílu</w:t>
      </w:r>
      <w:r>
        <w:t xml:space="preserve"> </w:t>
      </w:r>
      <w:r w:rsidRPr="00136DE5">
        <w:t>použití</w:t>
      </w:r>
      <w:r>
        <w:t xml:space="preserve"> </w:t>
      </w:r>
      <w:r w:rsidRPr="00136DE5">
        <w:t>tohoto</w:t>
      </w:r>
      <w:r>
        <w:t xml:space="preserve"> </w:t>
      </w:r>
      <w:r w:rsidRPr="00136DE5">
        <w:t>plnění</w:t>
      </w:r>
      <w:r>
        <w:t xml:space="preserve"> </w:t>
      </w:r>
      <w:r w:rsidRPr="00136DE5">
        <w:t>pro</w:t>
      </w:r>
      <w:r>
        <w:t xml:space="preserve"> </w:t>
      </w:r>
      <w:r w:rsidRPr="00136DE5">
        <w:t>účely</w:t>
      </w:r>
      <w:r>
        <w:t xml:space="preserve"> </w:t>
      </w:r>
      <w:r w:rsidRPr="00136DE5">
        <w:t>svých</w:t>
      </w:r>
      <w:r>
        <w:t xml:space="preserve"> </w:t>
      </w:r>
      <w:r w:rsidRPr="00136DE5">
        <w:t>uskutečněných</w:t>
      </w:r>
      <w:r>
        <w:t xml:space="preserve"> </w:t>
      </w:r>
      <w:r w:rsidRPr="00136DE5">
        <w:t>plnění</w:t>
      </w:r>
      <w:r>
        <w:t xml:space="preserve"> </w:t>
      </w:r>
      <w:r w:rsidRPr="00136DE5">
        <w:t>(dále</w:t>
      </w:r>
      <w:r>
        <w:t xml:space="preserve"> </w:t>
      </w:r>
      <w:r w:rsidRPr="00136DE5">
        <w:t>jen</w:t>
      </w:r>
      <w:r>
        <w:t xml:space="preserve"> </w:t>
      </w:r>
      <w:r w:rsidRPr="00136DE5">
        <w:t>"poměrný</w:t>
      </w:r>
      <w:r>
        <w:t xml:space="preserve"> </w:t>
      </w:r>
      <w:r w:rsidRPr="00136DE5">
        <w:t>koeficient").</w:t>
      </w:r>
      <w:r>
        <w:t xml:space="preserve"> </w:t>
      </w:r>
      <w:r w:rsidRPr="00136DE5">
        <w:t>Poměrný</w:t>
      </w:r>
      <w:r>
        <w:t xml:space="preserve"> </w:t>
      </w:r>
      <w:r w:rsidRPr="00136DE5">
        <w:t>koeficient</w:t>
      </w:r>
      <w:r>
        <w:t xml:space="preserve"> </w:t>
      </w:r>
      <w:r w:rsidRPr="00136DE5">
        <w:t>se</w:t>
      </w:r>
      <w:r>
        <w:t xml:space="preserve"> </w:t>
      </w:r>
      <w:r w:rsidRPr="00136DE5">
        <w:t>vypočítá</w:t>
      </w:r>
      <w:r>
        <w:t xml:space="preserve"> </w:t>
      </w:r>
      <w:r w:rsidRPr="00136DE5">
        <w:t>jako</w:t>
      </w:r>
      <w:r>
        <w:t xml:space="preserve"> </w:t>
      </w:r>
      <w:r w:rsidRPr="00136DE5">
        <w:t>procentní</w:t>
      </w:r>
      <w:r>
        <w:t xml:space="preserve"> </w:t>
      </w:r>
      <w:r w:rsidRPr="00136DE5">
        <w:t>podíl</w:t>
      </w:r>
      <w:r>
        <w:t xml:space="preserve"> </w:t>
      </w:r>
      <w:r w:rsidRPr="00136DE5">
        <w:t>zaokrouhlený</w:t>
      </w:r>
      <w:r>
        <w:t xml:space="preserve"> </w:t>
      </w:r>
      <w:r w:rsidRPr="00136DE5">
        <w:t>na</w:t>
      </w:r>
      <w:r>
        <w:t xml:space="preserve"> </w:t>
      </w:r>
      <w:r w:rsidRPr="00136DE5">
        <w:t>celé</w:t>
      </w:r>
      <w:r>
        <w:t xml:space="preserve"> </w:t>
      </w:r>
      <w:r w:rsidRPr="00136DE5">
        <w:t>procento</w:t>
      </w:r>
      <w:r>
        <w:t xml:space="preserve"> </w:t>
      </w:r>
      <w:r w:rsidRPr="00136DE5">
        <w:t>nahoru.</w:t>
      </w:r>
    </w:p>
    <w:p w14:paraId="411DA485" w14:textId="77777777" w:rsidR="001D06F7" w:rsidRDefault="001D06F7" w:rsidP="001D06F7">
      <w:pPr>
        <w:pStyle w:val="PZTextodstavce"/>
      </w:pPr>
      <w:r w:rsidRPr="00136DE5">
        <w:t>(4</w:t>
      </w:r>
      <w:r>
        <w:t>)</w:t>
      </w:r>
      <w:r>
        <w:tab/>
      </w:r>
      <w:r w:rsidRPr="00136DE5">
        <w:t>Nelze-li</w:t>
      </w:r>
      <w:r>
        <w:t xml:space="preserve"> </w:t>
      </w:r>
      <w:r w:rsidRPr="00136DE5">
        <w:t>v</w:t>
      </w:r>
      <w:r>
        <w:t xml:space="preserve"> </w:t>
      </w:r>
      <w:r w:rsidRPr="00136DE5">
        <w:t>okamžiku</w:t>
      </w:r>
      <w:r>
        <w:t xml:space="preserve"> </w:t>
      </w:r>
      <w:r w:rsidRPr="00136DE5">
        <w:t>uplatnění</w:t>
      </w:r>
      <w:r>
        <w:t xml:space="preserve"> </w:t>
      </w:r>
      <w:r w:rsidRPr="00136DE5">
        <w:t>odpočtu</w:t>
      </w:r>
      <w:r>
        <w:t xml:space="preserve"> </w:t>
      </w:r>
      <w:r w:rsidRPr="00136DE5">
        <w:t>daně</w:t>
      </w:r>
      <w:r>
        <w:t xml:space="preserve"> </w:t>
      </w:r>
      <w:r w:rsidRPr="00136DE5">
        <w:t>stanovit</w:t>
      </w:r>
      <w:r>
        <w:t xml:space="preserve"> </w:t>
      </w:r>
      <w:r w:rsidRPr="00136DE5">
        <w:t>výši</w:t>
      </w:r>
      <w:r>
        <w:t xml:space="preserve"> </w:t>
      </w:r>
      <w:r w:rsidRPr="00136DE5">
        <w:t>poměrného</w:t>
      </w:r>
      <w:r>
        <w:t xml:space="preserve"> </w:t>
      </w:r>
      <w:r w:rsidRPr="00136DE5">
        <w:t>koeficientu</w:t>
      </w:r>
      <w:r>
        <w:t xml:space="preserve"> </w:t>
      </w:r>
      <w:r w:rsidRPr="00136DE5">
        <w:t>podle</w:t>
      </w:r>
      <w:r>
        <w:t xml:space="preserve"> </w:t>
      </w:r>
      <w:r w:rsidRPr="00136DE5">
        <w:t>skutečného</w:t>
      </w:r>
      <w:r>
        <w:t xml:space="preserve"> </w:t>
      </w:r>
      <w:r w:rsidRPr="00136DE5">
        <w:t>podílu</w:t>
      </w:r>
      <w:r>
        <w:t xml:space="preserve"> </w:t>
      </w:r>
      <w:r w:rsidRPr="00136DE5">
        <w:t>použití,</w:t>
      </w:r>
      <w:r>
        <w:t xml:space="preserve"> </w:t>
      </w:r>
      <w:r w:rsidRPr="00136DE5">
        <w:t>stanoví</w:t>
      </w:r>
      <w:r>
        <w:t xml:space="preserve"> </w:t>
      </w:r>
      <w:r w:rsidRPr="00136DE5">
        <w:t>ji</w:t>
      </w:r>
      <w:r>
        <w:t xml:space="preserve"> </w:t>
      </w:r>
      <w:r w:rsidRPr="00136DE5">
        <w:t>plátce</w:t>
      </w:r>
      <w:r>
        <w:t xml:space="preserve"> </w:t>
      </w:r>
      <w:r w:rsidRPr="00136DE5">
        <w:t>kvalifikovaným</w:t>
      </w:r>
      <w:r>
        <w:t xml:space="preserve"> </w:t>
      </w:r>
      <w:r w:rsidRPr="00136DE5">
        <w:t>odhadem.</w:t>
      </w:r>
      <w:r>
        <w:t xml:space="preserve"> </w:t>
      </w:r>
      <w:r w:rsidRPr="00136DE5">
        <w:t>Po</w:t>
      </w:r>
      <w:r>
        <w:t xml:space="preserve"> </w:t>
      </w:r>
      <w:r w:rsidRPr="00136DE5">
        <w:t>skončení</w:t>
      </w:r>
      <w:r>
        <w:t xml:space="preserve"> </w:t>
      </w:r>
      <w:r w:rsidRPr="00136DE5">
        <w:t>kalendářního</w:t>
      </w:r>
      <w:r>
        <w:t xml:space="preserve"> </w:t>
      </w:r>
      <w:r w:rsidRPr="00136DE5">
        <w:t>roku,</w:t>
      </w:r>
      <w:r>
        <w:t xml:space="preserve"> </w:t>
      </w:r>
      <w:r w:rsidRPr="00136DE5">
        <w:t>ve</w:t>
      </w:r>
      <w:r>
        <w:t xml:space="preserve"> </w:t>
      </w:r>
      <w:r w:rsidRPr="00136DE5">
        <w:t>kterém</w:t>
      </w:r>
      <w:r>
        <w:t xml:space="preserve"> </w:t>
      </w:r>
      <w:r w:rsidRPr="00136DE5">
        <w:t>po</w:t>
      </w:r>
      <w:r>
        <w:t xml:space="preserve"> </w:t>
      </w:r>
      <w:r w:rsidRPr="00136DE5">
        <w:t>uskutečnění</w:t>
      </w:r>
      <w:r>
        <w:t xml:space="preserve"> </w:t>
      </w:r>
      <w:r w:rsidRPr="00136DE5">
        <w:t>zdanitelného</w:t>
      </w:r>
      <w:r>
        <w:t xml:space="preserve"> </w:t>
      </w:r>
      <w:r w:rsidRPr="00136DE5">
        <w:t>plnění</w:t>
      </w:r>
      <w:r>
        <w:t xml:space="preserve"> </w:t>
      </w:r>
      <w:r w:rsidRPr="00136DE5">
        <w:t>plátce</w:t>
      </w:r>
      <w:r>
        <w:t xml:space="preserve"> </w:t>
      </w:r>
      <w:r w:rsidRPr="00136DE5">
        <w:t>byl</w:t>
      </w:r>
      <w:r>
        <w:t xml:space="preserve"> </w:t>
      </w:r>
      <w:r w:rsidRPr="00136DE5">
        <w:t>oprávněn</w:t>
      </w:r>
      <w:r>
        <w:t xml:space="preserve"> </w:t>
      </w:r>
      <w:r w:rsidRPr="00136DE5">
        <w:t>uplatnit</w:t>
      </w:r>
      <w:r>
        <w:t xml:space="preserve"> </w:t>
      </w:r>
      <w:r w:rsidRPr="00136DE5">
        <w:t>nárok</w:t>
      </w:r>
      <w:r>
        <w:t xml:space="preserve"> </w:t>
      </w:r>
      <w:r w:rsidRPr="00136DE5">
        <w:t>na</w:t>
      </w:r>
      <w:r>
        <w:t xml:space="preserve"> </w:t>
      </w:r>
      <w:r w:rsidRPr="00136DE5">
        <w:t>odpočet</w:t>
      </w:r>
      <w:r>
        <w:t xml:space="preserve"> </w:t>
      </w:r>
      <w:r w:rsidRPr="00136DE5">
        <w:t>daně,</w:t>
      </w:r>
      <w:r>
        <w:t xml:space="preserve"> </w:t>
      </w:r>
      <w:r w:rsidRPr="00136DE5">
        <w:t>tento</w:t>
      </w:r>
      <w:r>
        <w:t xml:space="preserve"> </w:t>
      </w:r>
      <w:r w:rsidRPr="00136DE5">
        <w:t>nárok</w:t>
      </w:r>
      <w:r>
        <w:t xml:space="preserve"> </w:t>
      </w:r>
      <w:r w:rsidRPr="00136DE5">
        <w:t>uplatnil</w:t>
      </w:r>
      <w:r>
        <w:t xml:space="preserve"> </w:t>
      </w:r>
      <w:r w:rsidRPr="00136DE5">
        <w:t>a</w:t>
      </w:r>
      <w:r>
        <w:t xml:space="preserve"> </w:t>
      </w:r>
      <w:r w:rsidRPr="00136DE5">
        <w:t>přijaté</w:t>
      </w:r>
      <w:r>
        <w:t xml:space="preserve"> </w:t>
      </w:r>
      <w:r w:rsidRPr="00136DE5">
        <w:t>zdanitelné</w:t>
      </w:r>
      <w:r>
        <w:t xml:space="preserve"> </w:t>
      </w:r>
      <w:r w:rsidRPr="00136DE5">
        <w:t>plnění</w:t>
      </w:r>
      <w:r>
        <w:t xml:space="preserve"> </w:t>
      </w:r>
      <w:r w:rsidRPr="00136DE5">
        <w:t>použil,</w:t>
      </w:r>
      <w:r>
        <w:t xml:space="preserve"> </w:t>
      </w:r>
      <w:r w:rsidRPr="00136DE5">
        <w:t>plátce</w:t>
      </w:r>
      <w:r>
        <w:t xml:space="preserve"> </w:t>
      </w:r>
      <w:r w:rsidRPr="00136DE5">
        <w:t>do</w:t>
      </w:r>
      <w:r>
        <w:t xml:space="preserve"> </w:t>
      </w:r>
      <w:r w:rsidRPr="00136DE5">
        <w:t>hodnoty</w:t>
      </w:r>
      <w:r>
        <w:t xml:space="preserve"> </w:t>
      </w:r>
      <w:r w:rsidRPr="00136DE5">
        <w:t>poměrného</w:t>
      </w:r>
      <w:r>
        <w:t xml:space="preserve"> </w:t>
      </w:r>
      <w:r w:rsidRPr="00136DE5">
        <w:t>koeficientu</w:t>
      </w:r>
      <w:r>
        <w:t xml:space="preserve"> </w:t>
      </w:r>
      <w:r w:rsidRPr="00136DE5">
        <w:t>zohlední</w:t>
      </w:r>
      <w:r>
        <w:t xml:space="preserve"> </w:t>
      </w:r>
      <w:r w:rsidRPr="00136DE5">
        <w:t>skutečný</w:t>
      </w:r>
      <w:r>
        <w:t xml:space="preserve"> </w:t>
      </w:r>
      <w:r w:rsidRPr="00136DE5">
        <w:t>podíl</w:t>
      </w:r>
      <w:r>
        <w:t xml:space="preserve"> </w:t>
      </w:r>
      <w:r w:rsidRPr="00136DE5">
        <w:t>použití</w:t>
      </w:r>
      <w:r>
        <w:t xml:space="preserve"> </w:t>
      </w:r>
      <w:r w:rsidRPr="00136DE5">
        <w:t>tohoto</w:t>
      </w:r>
      <w:r>
        <w:t xml:space="preserve"> </w:t>
      </w:r>
      <w:r w:rsidRPr="00136DE5">
        <w:t>zdanitelného</w:t>
      </w:r>
      <w:r>
        <w:t xml:space="preserve"> </w:t>
      </w:r>
      <w:r w:rsidRPr="00136DE5">
        <w:t>plnění</w:t>
      </w:r>
      <w:r>
        <w:t xml:space="preserve"> </w:t>
      </w:r>
      <w:r w:rsidRPr="00136DE5">
        <w:t>pro</w:t>
      </w:r>
      <w:r>
        <w:t xml:space="preserve"> </w:t>
      </w:r>
      <w:r w:rsidRPr="00136DE5">
        <w:t>účely</w:t>
      </w:r>
      <w:r>
        <w:t xml:space="preserve"> </w:t>
      </w:r>
      <w:r w:rsidRPr="00136DE5">
        <w:t>uskutečněných</w:t>
      </w:r>
      <w:r>
        <w:t xml:space="preserve"> </w:t>
      </w:r>
      <w:r w:rsidRPr="00136DE5">
        <w:t>plnění</w:t>
      </w:r>
      <w:r>
        <w:t xml:space="preserve"> </w:t>
      </w:r>
      <w:r w:rsidRPr="00136DE5">
        <w:t>v</w:t>
      </w:r>
      <w:r>
        <w:t xml:space="preserve"> </w:t>
      </w:r>
      <w:r w:rsidRPr="00136DE5">
        <w:t>daném</w:t>
      </w:r>
      <w:r>
        <w:t xml:space="preserve"> </w:t>
      </w:r>
      <w:r w:rsidRPr="00136DE5">
        <w:t>roce.</w:t>
      </w:r>
      <w:r>
        <w:t xml:space="preserve"> </w:t>
      </w:r>
      <w:r w:rsidRPr="00136DE5">
        <w:t>Odchyluje-li</w:t>
      </w:r>
      <w:r>
        <w:t xml:space="preserve"> </w:t>
      </w:r>
      <w:r w:rsidRPr="00136DE5">
        <w:t>se</w:t>
      </w:r>
      <w:r>
        <w:t xml:space="preserve"> </w:t>
      </w:r>
      <w:r w:rsidRPr="00136DE5">
        <w:t>poměrný</w:t>
      </w:r>
      <w:r>
        <w:t xml:space="preserve"> </w:t>
      </w:r>
      <w:r w:rsidRPr="00136DE5">
        <w:t>koeficient</w:t>
      </w:r>
      <w:r>
        <w:t xml:space="preserve"> </w:t>
      </w:r>
      <w:r w:rsidRPr="00136DE5">
        <w:t>vypočtený</w:t>
      </w:r>
      <w:r>
        <w:t xml:space="preserve"> </w:t>
      </w:r>
      <w:r w:rsidRPr="00136DE5">
        <w:t>podle</w:t>
      </w:r>
      <w:r>
        <w:t xml:space="preserve"> </w:t>
      </w:r>
      <w:r w:rsidRPr="00136DE5">
        <w:t>skutečného</w:t>
      </w:r>
      <w:r>
        <w:t xml:space="preserve"> </w:t>
      </w:r>
      <w:r w:rsidRPr="00136DE5">
        <w:t>použití</w:t>
      </w:r>
      <w:r>
        <w:t xml:space="preserve"> </w:t>
      </w:r>
      <w:r w:rsidRPr="00136DE5">
        <w:t>od</w:t>
      </w:r>
      <w:r>
        <w:t xml:space="preserve"> </w:t>
      </w:r>
      <w:r w:rsidRPr="00136DE5">
        <w:t>poměrného</w:t>
      </w:r>
      <w:r>
        <w:t xml:space="preserve"> </w:t>
      </w:r>
      <w:r w:rsidRPr="00136DE5">
        <w:t>koeficientu</w:t>
      </w:r>
      <w:r>
        <w:t xml:space="preserve"> </w:t>
      </w:r>
      <w:r w:rsidRPr="00136DE5">
        <w:t>stanoveného</w:t>
      </w:r>
      <w:r>
        <w:t xml:space="preserve"> </w:t>
      </w:r>
      <w:r w:rsidRPr="00136DE5">
        <w:t>odhadem</w:t>
      </w:r>
      <w:r>
        <w:t xml:space="preserve"> </w:t>
      </w:r>
      <w:r w:rsidRPr="00136DE5">
        <w:t>o</w:t>
      </w:r>
      <w:r>
        <w:t xml:space="preserve"> </w:t>
      </w:r>
      <w:r w:rsidRPr="00136DE5">
        <w:t>více</w:t>
      </w:r>
      <w:r>
        <w:t xml:space="preserve"> </w:t>
      </w:r>
      <w:r w:rsidRPr="00136DE5">
        <w:t>než</w:t>
      </w:r>
      <w:r>
        <w:t xml:space="preserve"> </w:t>
      </w:r>
      <w:r w:rsidRPr="00136DE5">
        <w:t>10</w:t>
      </w:r>
      <w:r>
        <w:t xml:space="preserve"> </w:t>
      </w:r>
      <w:r w:rsidRPr="00136DE5">
        <w:t>procentních</w:t>
      </w:r>
      <w:r>
        <w:t xml:space="preserve"> </w:t>
      </w:r>
      <w:r w:rsidRPr="00136DE5">
        <w:t>bodů,</w:t>
      </w:r>
      <w:r>
        <w:t xml:space="preserve"> </w:t>
      </w:r>
      <w:r w:rsidRPr="00136DE5">
        <w:t>výše</w:t>
      </w:r>
      <w:r>
        <w:t xml:space="preserve"> </w:t>
      </w:r>
      <w:r w:rsidRPr="00136DE5">
        <w:t>uplatněného</w:t>
      </w:r>
      <w:r>
        <w:t xml:space="preserve"> </w:t>
      </w:r>
      <w:r w:rsidRPr="00136DE5">
        <w:t>odpočtu</w:t>
      </w:r>
      <w:r>
        <w:t xml:space="preserve"> </w:t>
      </w:r>
      <w:r w:rsidRPr="00136DE5">
        <w:t>daně</w:t>
      </w:r>
      <w:r>
        <w:t xml:space="preserve"> </w:t>
      </w:r>
      <w:r w:rsidRPr="00136DE5">
        <w:t>se</w:t>
      </w:r>
      <w:r>
        <w:t xml:space="preserve"> </w:t>
      </w:r>
      <w:r w:rsidRPr="00136DE5">
        <w:t>opraví.</w:t>
      </w:r>
    </w:p>
    <w:p w14:paraId="05A85EE4" w14:textId="3EDAEFA4" w:rsidR="001D06F7" w:rsidRPr="001D06F7" w:rsidRDefault="001D06F7" w:rsidP="001D06F7">
      <w:pPr>
        <w:pStyle w:val="PZTextodstavce"/>
      </w:pPr>
      <w:r w:rsidRPr="00136DE5">
        <w:t>(5</w:t>
      </w:r>
      <w:r>
        <w:t>)</w:t>
      </w:r>
      <w:r>
        <w:tab/>
      </w:r>
      <w:r w:rsidRPr="00136DE5">
        <w:t>V</w:t>
      </w:r>
      <w:r>
        <w:t xml:space="preserve"> </w:t>
      </w:r>
      <w:r w:rsidRPr="00136DE5">
        <w:t>případě,</w:t>
      </w:r>
      <w:r>
        <w:t xml:space="preserve"> </w:t>
      </w:r>
      <w:r w:rsidRPr="00136DE5">
        <w:t>že</w:t>
      </w:r>
      <w:r>
        <w:t xml:space="preserve"> </w:t>
      </w:r>
      <w:r w:rsidRPr="00136DE5">
        <w:t>plátce</w:t>
      </w:r>
      <w:r>
        <w:t xml:space="preserve"> </w:t>
      </w:r>
      <w:r w:rsidRPr="00136DE5">
        <w:t>uplatnil</w:t>
      </w:r>
      <w:r>
        <w:t xml:space="preserve"> </w:t>
      </w:r>
      <w:r w:rsidRPr="00136DE5">
        <w:t>odpočet</w:t>
      </w:r>
      <w:r>
        <w:t xml:space="preserve"> </w:t>
      </w:r>
      <w:r w:rsidRPr="00136DE5">
        <w:t>daně</w:t>
      </w:r>
      <w:r>
        <w:t xml:space="preserve"> </w:t>
      </w:r>
      <w:r w:rsidRPr="00136DE5">
        <w:t>z</w:t>
      </w:r>
      <w:r>
        <w:t xml:space="preserve"> </w:t>
      </w:r>
      <w:r w:rsidRPr="00136DE5">
        <w:t>poskytnuté</w:t>
      </w:r>
      <w:r>
        <w:t xml:space="preserve"> </w:t>
      </w:r>
      <w:r w:rsidRPr="00136DE5">
        <w:t>úplaty</w:t>
      </w:r>
      <w:r>
        <w:t xml:space="preserve"> </w:t>
      </w:r>
      <w:r w:rsidRPr="00136DE5">
        <w:t>před</w:t>
      </w:r>
      <w:r>
        <w:t xml:space="preserve"> </w:t>
      </w:r>
      <w:r w:rsidRPr="00136DE5">
        <w:t>pořízením</w:t>
      </w:r>
      <w:r>
        <w:t xml:space="preserve"> </w:t>
      </w:r>
      <w:r w:rsidRPr="00136DE5">
        <w:t>dlouhodobého</w:t>
      </w:r>
      <w:r>
        <w:t xml:space="preserve"> </w:t>
      </w:r>
      <w:r w:rsidRPr="00136DE5">
        <w:t>majetku,</w:t>
      </w:r>
      <w:r>
        <w:t xml:space="preserve"> </w:t>
      </w:r>
      <w:r w:rsidRPr="00136DE5">
        <w:t>u</w:t>
      </w:r>
      <w:r>
        <w:t xml:space="preserve"> </w:t>
      </w:r>
      <w:r w:rsidRPr="00136DE5">
        <w:t>kterého</w:t>
      </w:r>
      <w:r>
        <w:t xml:space="preserve"> </w:t>
      </w:r>
      <w:r w:rsidRPr="00136DE5">
        <w:t>má</w:t>
      </w:r>
      <w:r>
        <w:t xml:space="preserve"> </w:t>
      </w:r>
      <w:r w:rsidRPr="00136DE5">
        <w:t>nárok</w:t>
      </w:r>
      <w:r>
        <w:t xml:space="preserve"> </w:t>
      </w:r>
      <w:r w:rsidRPr="00136DE5">
        <w:t>na</w:t>
      </w:r>
      <w:r>
        <w:t xml:space="preserve"> </w:t>
      </w:r>
      <w:r w:rsidRPr="00136DE5">
        <w:t>odpočet</w:t>
      </w:r>
      <w:r>
        <w:t xml:space="preserve"> </w:t>
      </w:r>
      <w:r w:rsidRPr="00136DE5">
        <w:t>daně</w:t>
      </w:r>
      <w:r>
        <w:t xml:space="preserve"> </w:t>
      </w:r>
      <w:r w:rsidRPr="00136DE5">
        <w:t>v</w:t>
      </w:r>
      <w:r>
        <w:t xml:space="preserve"> </w:t>
      </w:r>
      <w:r w:rsidRPr="00136DE5">
        <w:t>poměrné</w:t>
      </w:r>
      <w:r>
        <w:t xml:space="preserve"> </w:t>
      </w:r>
      <w:r w:rsidRPr="00136DE5">
        <w:t>výši,</w:t>
      </w:r>
      <w:r>
        <w:t xml:space="preserve"> </w:t>
      </w:r>
      <w:r w:rsidRPr="00136DE5">
        <w:t>v</w:t>
      </w:r>
      <w:r>
        <w:t xml:space="preserve"> </w:t>
      </w:r>
      <w:r w:rsidRPr="00136DE5">
        <w:t>jiném</w:t>
      </w:r>
      <w:r>
        <w:t xml:space="preserve"> </w:t>
      </w:r>
      <w:r w:rsidRPr="00136DE5">
        <w:t>roce,</w:t>
      </w:r>
      <w:r>
        <w:t xml:space="preserve"> </w:t>
      </w:r>
      <w:r w:rsidRPr="00136DE5">
        <w:t>než</w:t>
      </w:r>
      <w:r>
        <w:t xml:space="preserve"> </w:t>
      </w:r>
      <w:r w:rsidRPr="00136DE5">
        <w:t>ve</w:t>
      </w:r>
      <w:r>
        <w:t xml:space="preserve"> </w:t>
      </w:r>
      <w:r w:rsidRPr="00136DE5">
        <w:t>kterém</w:t>
      </w:r>
      <w:r>
        <w:t xml:space="preserve"> </w:t>
      </w:r>
      <w:r w:rsidRPr="00136DE5">
        <w:t>je</w:t>
      </w:r>
      <w:r>
        <w:t xml:space="preserve"> </w:t>
      </w:r>
      <w:r w:rsidRPr="00136DE5">
        <w:t>po</w:t>
      </w:r>
      <w:r>
        <w:t xml:space="preserve"> </w:t>
      </w:r>
      <w:r w:rsidRPr="00136DE5">
        <w:t>pořízení</w:t>
      </w:r>
      <w:r>
        <w:t xml:space="preserve"> </w:t>
      </w:r>
      <w:r w:rsidRPr="00136DE5">
        <w:t>tohoto</w:t>
      </w:r>
      <w:r>
        <w:t xml:space="preserve"> </w:t>
      </w:r>
      <w:r w:rsidRPr="00136DE5">
        <w:t>majetku</w:t>
      </w:r>
      <w:r>
        <w:t xml:space="preserve"> </w:t>
      </w:r>
      <w:r w:rsidRPr="00136DE5">
        <w:t>nárok</w:t>
      </w:r>
      <w:r>
        <w:t xml:space="preserve"> </w:t>
      </w:r>
      <w:r w:rsidRPr="00136DE5">
        <w:t>na</w:t>
      </w:r>
      <w:r>
        <w:t xml:space="preserve"> </w:t>
      </w:r>
      <w:r w:rsidRPr="00136DE5">
        <w:t>odpočet</w:t>
      </w:r>
      <w:r>
        <w:t xml:space="preserve"> </w:t>
      </w:r>
      <w:r w:rsidRPr="00136DE5">
        <w:t>daně</w:t>
      </w:r>
      <w:r>
        <w:t xml:space="preserve"> </w:t>
      </w:r>
      <w:r w:rsidRPr="00136DE5">
        <w:t>oprávněn</w:t>
      </w:r>
      <w:r>
        <w:t xml:space="preserve"> </w:t>
      </w:r>
      <w:r w:rsidRPr="00136DE5">
        <w:t>uplatnit,</w:t>
      </w:r>
      <w:r>
        <w:t xml:space="preserve"> </w:t>
      </w:r>
      <w:r w:rsidRPr="00136DE5">
        <w:t>zahrne</w:t>
      </w:r>
      <w:r>
        <w:t xml:space="preserve"> </w:t>
      </w:r>
      <w:r w:rsidRPr="00136DE5">
        <w:t>do</w:t>
      </w:r>
      <w:r>
        <w:t xml:space="preserve"> </w:t>
      </w:r>
      <w:r w:rsidRPr="00136DE5">
        <w:t>částky</w:t>
      </w:r>
      <w:r>
        <w:t xml:space="preserve"> </w:t>
      </w:r>
      <w:r w:rsidRPr="00136DE5">
        <w:t>opravy</w:t>
      </w:r>
      <w:r>
        <w:t xml:space="preserve"> </w:t>
      </w:r>
      <w:r w:rsidRPr="00136DE5">
        <w:t>podle</w:t>
      </w:r>
      <w:r>
        <w:t xml:space="preserve"> </w:t>
      </w:r>
      <w:r w:rsidRPr="00136DE5">
        <w:t>odstavce</w:t>
      </w:r>
      <w:r>
        <w:t xml:space="preserve"> </w:t>
      </w:r>
      <w:r w:rsidRPr="00136DE5">
        <w:t>4</w:t>
      </w:r>
      <w:r>
        <w:t xml:space="preserve"> </w:t>
      </w:r>
      <w:r w:rsidRPr="00136DE5">
        <w:t>rovněž</w:t>
      </w:r>
      <w:r>
        <w:t xml:space="preserve"> </w:t>
      </w:r>
      <w:r w:rsidRPr="00136DE5">
        <w:t>rozdíl</w:t>
      </w:r>
      <w:r>
        <w:t xml:space="preserve"> </w:t>
      </w:r>
      <w:r w:rsidRPr="00136DE5">
        <w:t>ve</w:t>
      </w:r>
      <w:r>
        <w:t xml:space="preserve"> </w:t>
      </w:r>
      <w:r w:rsidRPr="00136DE5">
        <w:t>výši</w:t>
      </w:r>
      <w:r>
        <w:t xml:space="preserve"> </w:t>
      </w:r>
      <w:r w:rsidRPr="00136DE5">
        <w:t>nároku</w:t>
      </w:r>
      <w:r>
        <w:t xml:space="preserve"> </w:t>
      </w:r>
      <w:r w:rsidRPr="00136DE5">
        <w:t>na</w:t>
      </w:r>
      <w:r>
        <w:t xml:space="preserve"> </w:t>
      </w:r>
      <w:r w:rsidRPr="00136DE5">
        <w:t>odpočet</w:t>
      </w:r>
      <w:r>
        <w:t xml:space="preserve"> </w:t>
      </w:r>
      <w:r w:rsidRPr="00136DE5">
        <w:t>daně</w:t>
      </w:r>
      <w:r>
        <w:t xml:space="preserve"> </w:t>
      </w:r>
      <w:r w:rsidRPr="00136DE5">
        <w:t>vyplývající</w:t>
      </w:r>
      <w:r>
        <w:t xml:space="preserve"> </w:t>
      </w:r>
      <w:r w:rsidRPr="00136DE5">
        <w:t>z</w:t>
      </w:r>
      <w:r>
        <w:t xml:space="preserve"> </w:t>
      </w:r>
      <w:r w:rsidRPr="00136DE5">
        <w:t>rozdílu</w:t>
      </w:r>
      <w:r>
        <w:t xml:space="preserve"> </w:t>
      </w:r>
      <w:r w:rsidRPr="00136DE5">
        <w:t>mezi</w:t>
      </w:r>
      <w:r>
        <w:t xml:space="preserve"> </w:t>
      </w:r>
      <w:r w:rsidRPr="00136DE5">
        <w:t>hodnotami</w:t>
      </w:r>
      <w:r>
        <w:t xml:space="preserve"> </w:t>
      </w:r>
      <w:r w:rsidRPr="00136DE5">
        <w:t>poměrných</w:t>
      </w:r>
      <w:r>
        <w:t xml:space="preserve"> </w:t>
      </w:r>
      <w:r w:rsidRPr="00136DE5">
        <w:t>koeficientů</w:t>
      </w:r>
      <w:r>
        <w:t xml:space="preserve"> </w:t>
      </w:r>
      <w:r w:rsidRPr="00136DE5">
        <w:t>za</w:t>
      </w:r>
      <w:r>
        <w:t xml:space="preserve"> </w:t>
      </w:r>
      <w:r w:rsidRPr="00136DE5">
        <w:t>příslušné</w:t>
      </w:r>
      <w:r>
        <w:t xml:space="preserve"> </w:t>
      </w:r>
      <w:r w:rsidRPr="00136DE5">
        <w:t>roky,</w:t>
      </w:r>
      <w:r>
        <w:t xml:space="preserve"> </w:t>
      </w:r>
      <w:r w:rsidRPr="00136DE5">
        <w:t>pokud</w:t>
      </w:r>
      <w:r>
        <w:t xml:space="preserve"> </w:t>
      </w:r>
      <w:r w:rsidRPr="00136DE5">
        <w:t>se</w:t>
      </w:r>
      <w:r>
        <w:t xml:space="preserve"> </w:t>
      </w:r>
      <w:r w:rsidRPr="00136DE5">
        <w:t>tyto</w:t>
      </w:r>
      <w:r>
        <w:t xml:space="preserve"> </w:t>
      </w:r>
      <w:r w:rsidRPr="00136DE5">
        <w:t>hodnoty</w:t>
      </w:r>
      <w:r>
        <w:t xml:space="preserve"> </w:t>
      </w:r>
      <w:r w:rsidRPr="00136DE5">
        <w:lastRenderedPageBreak/>
        <w:t>odchylují</w:t>
      </w:r>
      <w:r>
        <w:t xml:space="preserve"> </w:t>
      </w:r>
      <w:r w:rsidRPr="00136DE5">
        <w:t>o</w:t>
      </w:r>
      <w:r>
        <w:t xml:space="preserve"> </w:t>
      </w:r>
      <w:r w:rsidRPr="00136DE5">
        <w:t>více</w:t>
      </w:r>
      <w:r>
        <w:t xml:space="preserve"> </w:t>
      </w:r>
      <w:r w:rsidRPr="00136DE5">
        <w:t>než</w:t>
      </w:r>
      <w:r>
        <w:t xml:space="preserve"> </w:t>
      </w:r>
      <w:r w:rsidRPr="00136DE5">
        <w:t>10</w:t>
      </w:r>
      <w:r>
        <w:t xml:space="preserve"> </w:t>
      </w:r>
      <w:r w:rsidRPr="00136DE5">
        <w:t>procentních</w:t>
      </w:r>
      <w:r>
        <w:t xml:space="preserve"> </w:t>
      </w:r>
      <w:r w:rsidRPr="00136DE5">
        <w:t>bodů.</w:t>
      </w:r>
      <w:r>
        <w:t xml:space="preserve"> </w:t>
      </w:r>
      <w:r w:rsidRPr="00136DE5">
        <w:t>Obdobně</w:t>
      </w:r>
      <w:r>
        <w:t xml:space="preserve"> </w:t>
      </w:r>
      <w:r w:rsidRPr="00136DE5">
        <w:t>plátce</w:t>
      </w:r>
      <w:r>
        <w:t xml:space="preserve"> </w:t>
      </w:r>
      <w:r w:rsidRPr="00136DE5">
        <w:t>postupuje</w:t>
      </w:r>
      <w:r>
        <w:t xml:space="preserve"> </w:t>
      </w:r>
      <w:r w:rsidRPr="00136DE5">
        <w:t>i</w:t>
      </w:r>
      <w:r>
        <w:t xml:space="preserve"> </w:t>
      </w:r>
      <w:r w:rsidRPr="00136DE5">
        <w:t>v</w:t>
      </w:r>
      <w:r>
        <w:t xml:space="preserve"> </w:t>
      </w:r>
      <w:r w:rsidRPr="00136DE5">
        <w:t>případě</w:t>
      </w:r>
      <w:r>
        <w:t xml:space="preserve"> </w:t>
      </w:r>
      <w:r w:rsidRPr="00136DE5">
        <w:t>uplatnění</w:t>
      </w:r>
      <w:r>
        <w:t xml:space="preserve"> </w:t>
      </w:r>
      <w:r w:rsidRPr="00136DE5">
        <w:t>odpočtu</w:t>
      </w:r>
      <w:r>
        <w:t xml:space="preserve"> </w:t>
      </w:r>
      <w:r w:rsidRPr="00136DE5">
        <w:t>daně</w:t>
      </w:r>
      <w:r>
        <w:t xml:space="preserve"> </w:t>
      </w:r>
      <w:r w:rsidRPr="00136DE5">
        <w:t>u</w:t>
      </w:r>
      <w:r>
        <w:t xml:space="preserve"> </w:t>
      </w:r>
      <w:r w:rsidRPr="00136DE5">
        <w:t>každého</w:t>
      </w:r>
      <w:r>
        <w:t xml:space="preserve"> </w:t>
      </w:r>
      <w:r w:rsidRPr="00136DE5">
        <w:t>jednotlivého</w:t>
      </w:r>
      <w:r>
        <w:t xml:space="preserve"> </w:t>
      </w:r>
      <w:r w:rsidRPr="00136DE5">
        <w:t>přijatého</w:t>
      </w:r>
      <w:r>
        <w:t xml:space="preserve"> </w:t>
      </w:r>
      <w:r w:rsidRPr="00136DE5">
        <w:t>plnění,</w:t>
      </w:r>
      <w:r>
        <w:t xml:space="preserve"> </w:t>
      </w:r>
      <w:r w:rsidRPr="00136DE5">
        <w:t>které</w:t>
      </w:r>
      <w:r>
        <w:t xml:space="preserve"> </w:t>
      </w:r>
      <w:r w:rsidRPr="00136DE5">
        <w:t>se</w:t>
      </w:r>
      <w:r>
        <w:t xml:space="preserve"> </w:t>
      </w:r>
      <w:r w:rsidRPr="00136DE5">
        <w:t>stalo</w:t>
      </w:r>
      <w:r>
        <w:t xml:space="preserve"> </w:t>
      </w:r>
      <w:r w:rsidRPr="00136DE5">
        <w:t>součástí</w:t>
      </w:r>
      <w:r>
        <w:t xml:space="preserve"> </w:t>
      </w:r>
      <w:r w:rsidRPr="00136DE5">
        <w:t>pořízeného</w:t>
      </w:r>
      <w:r>
        <w:t xml:space="preserve"> </w:t>
      </w:r>
      <w:r w:rsidRPr="00136DE5">
        <w:t>dlouhodobého</w:t>
      </w:r>
      <w:r>
        <w:t xml:space="preserve"> </w:t>
      </w:r>
      <w:r w:rsidRPr="00136DE5">
        <w:t>majetku.</w:t>
      </w:r>
    </w:p>
    <w:p w14:paraId="57796144" w14:textId="6673DB13" w:rsidR="00E55F2A" w:rsidRDefault="00E55F2A" w:rsidP="00E55F2A">
      <w:pPr>
        <w:widowControl w:val="0"/>
        <w:tabs>
          <w:tab w:val="left" w:pos="3324"/>
        </w:tabs>
        <w:autoSpaceDE w:val="0"/>
        <w:autoSpaceDN w:val="0"/>
        <w:adjustRightInd w:val="0"/>
        <w:spacing w:before="120" w:after="120"/>
        <w:ind w:firstLine="709"/>
        <w:rPr>
          <w:b/>
          <w:color w:val="00B050"/>
          <w:szCs w:val="24"/>
        </w:rPr>
      </w:pPr>
      <w:r w:rsidRPr="00EC1B83">
        <w:rPr>
          <w:b/>
          <w:color w:val="00B050"/>
          <w:szCs w:val="24"/>
        </w:rPr>
        <w:t>(6) Plátce, který uplatnil odpočet daně z úplaty poskytnuté před pořízením dlouhodobého majetku, u kterého má nárok na odpočet daně v poměrné výši, v jednom z 9 kalendářních let bezprostředně předcházejících kalendářnímu roku pořízení tohoto majetku s použitím jiného poměrného koeficientu než poměrného koeficientu, který odpovídá poměrnému koeficientu tohoto pořízeného majetku, je povinen provést opravu odpočtu daně, ve výši nároku na odpočet daně vyplývajícího z rozdílu mezi koeficientem, který odpovídá poměrnému koeficientu tohoto majetku v kalendářním roce jeho pořízení, a koeficientem, který použil u poskytnuté úplaty. Obdobně se postupuje v případě uplatnění odpočtu daně u každého jednotlivého přijatého zdanitelného plnění, které se stalo součástí pořízeného dlouhodobého majetku.</w:t>
      </w:r>
    </w:p>
    <w:p w14:paraId="66955FA1" w14:textId="77777777" w:rsidR="00E55F2A" w:rsidRPr="00744672" w:rsidRDefault="00E55F2A" w:rsidP="00E55F2A">
      <w:pPr>
        <w:widowControl w:val="0"/>
        <w:tabs>
          <w:tab w:val="left" w:pos="3324"/>
        </w:tabs>
        <w:autoSpaceDE w:val="0"/>
        <w:autoSpaceDN w:val="0"/>
        <w:adjustRightInd w:val="0"/>
        <w:spacing w:before="120" w:after="120"/>
        <w:ind w:firstLine="709"/>
        <w:rPr>
          <w:strike/>
          <w:szCs w:val="24"/>
        </w:rPr>
      </w:pPr>
      <w:r w:rsidRPr="00744672">
        <w:rPr>
          <w:strike/>
          <w:szCs w:val="24"/>
        </w:rPr>
        <w:t>(6) Plátce, který uplatnil odpočet daně z úplaty poskytnuté před pořízením dlouhodobého majetku, u kterého má nárok na odpočet daně v poměrné výši, v jednom z 9 kalendářních let bezprostředně předcházejících kalendářnímu roku pořízení tohoto majetku s použitím jiného poměrného koeficientu než poměrného koeficientu, který odpovídá poměrnému koeficientu tohoto pořízeného majetku, je povinen provést opravu odpočtu daně, ve výši nároku na odpočet daně vyplývajícího z rozdílu mezi koeficientem, který odpovídá poměrnému koeficientu tohoto majetku v kalendářním roce jeho pořízení, a koeficientem, který použil u poskytnuté úplaty. Obdobně se postupuje v případě uplatnění odpočtu daně u každého jednotlivého přijatého zdanitelného plnění, které se stalo součástí pořízeného dlouhodobého majetku.</w:t>
      </w:r>
    </w:p>
    <w:p w14:paraId="0B8297A1" w14:textId="77777777" w:rsidR="00E55F2A" w:rsidRPr="008B6DF6" w:rsidRDefault="00E55F2A" w:rsidP="00E55F2A">
      <w:pPr>
        <w:widowControl w:val="0"/>
        <w:tabs>
          <w:tab w:val="left" w:pos="3324"/>
        </w:tabs>
        <w:autoSpaceDE w:val="0"/>
        <w:autoSpaceDN w:val="0"/>
        <w:adjustRightInd w:val="0"/>
        <w:spacing w:before="120" w:after="120"/>
        <w:ind w:firstLine="709"/>
        <w:rPr>
          <w:b/>
          <w:szCs w:val="24"/>
        </w:rPr>
      </w:pPr>
      <w:r w:rsidRPr="008B6DF6">
        <w:rPr>
          <w:b/>
          <w:szCs w:val="24"/>
        </w:rPr>
        <w:t xml:space="preserve">(6) Plátce, který uplatnil odpočet daně z úplaty poskytnuté </w:t>
      </w:r>
      <w:r>
        <w:rPr>
          <w:b/>
          <w:szCs w:val="24"/>
        </w:rPr>
        <w:t xml:space="preserve">přede dnem </w:t>
      </w:r>
      <w:r w:rsidRPr="0089133F">
        <w:rPr>
          <w:b/>
          <w:szCs w:val="24"/>
        </w:rPr>
        <w:t>uznání majetku za aktivum, které je dlouhodobým majetkem a</w:t>
      </w:r>
      <w:r w:rsidRPr="008B6DF6">
        <w:rPr>
          <w:b/>
          <w:szCs w:val="24"/>
        </w:rPr>
        <w:t xml:space="preserve"> u kterého má nárok na odpočet daně v poměrné výši, v jednom z 9 kalendářních let bezprostředně předcházejících kalendářnímu roku </w:t>
      </w:r>
      <w:r>
        <w:rPr>
          <w:b/>
          <w:szCs w:val="24"/>
        </w:rPr>
        <w:t>tohoto uznání</w:t>
      </w:r>
      <w:r w:rsidRPr="008B6DF6">
        <w:rPr>
          <w:b/>
          <w:szCs w:val="24"/>
        </w:rPr>
        <w:t xml:space="preserve"> s použitím jiného poměrného koeficientu než poměrného koeficientu, který odpovídá poměrnému koeficientu tohoto </w:t>
      </w:r>
      <w:r>
        <w:rPr>
          <w:b/>
          <w:szCs w:val="24"/>
        </w:rPr>
        <w:t>uznání</w:t>
      </w:r>
      <w:r w:rsidRPr="008B6DF6">
        <w:rPr>
          <w:b/>
          <w:szCs w:val="24"/>
        </w:rPr>
        <w:t xml:space="preserve">, je povinen provést opravu odpočtu daně, ve výši nároku na odpočet daně vyplývajícího z rozdílu mezi koeficientem, který odpovídá poměrnému koeficientu tohoto majetku v kalendářním roce </w:t>
      </w:r>
      <w:r>
        <w:rPr>
          <w:b/>
          <w:szCs w:val="24"/>
        </w:rPr>
        <w:t>tohoto uznání</w:t>
      </w:r>
      <w:r w:rsidRPr="008B6DF6">
        <w:rPr>
          <w:b/>
          <w:szCs w:val="24"/>
        </w:rPr>
        <w:t xml:space="preserve">, a koeficientem, který použil u poskytnuté úplaty. Obdobně se postupuje v případě uplatnění odpočtu daně u každého jednotlivého přijatého zdanitelného plnění, které se stalo součástí </w:t>
      </w:r>
      <w:r>
        <w:rPr>
          <w:b/>
          <w:szCs w:val="24"/>
        </w:rPr>
        <w:t>tohoto</w:t>
      </w:r>
      <w:r w:rsidRPr="008B6DF6">
        <w:rPr>
          <w:b/>
          <w:szCs w:val="24"/>
        </w:rPr>
        <w:t xml:space="preserve"> majetku.</w:t>
      </w:r>
    </w:p>
    <w:p w14:paraId="2BFFC3CC" w14:textId="77777777" w:rsidR="00E55F2A" w:rsidRPr="00EC1B83" w:rsidRDefault="00E55F2A" w:rsidP="00E55F2A">
      <w:pPr>
        <w:widowControl w:val="0"/>
        <w:tabs>
          <w:tab w:val="left" w:pos="3324"/>
        </w:tabs>
        <w:autoSpaceDE w:val="0"/>
        <w:autoSpaceDN w:val="0"/>
        <w:adjustRightInd w:val="0"/>
        <w:spacing w:before="120" w:after="120"/>
        <w:ind w:firstLine="709"/>
        <w:rPr>
          <w:b/>
          <w:color w:val="00B050"/>
          <w:szCs w:val="24"/>
        </w:rPr>
      </w:pPr>
      <w:r w:rsidRPr="00EC1B83">
        <w:rPr>
          <w:b/>
          <w:color w:val="00B050"/>
          <w:szCs w:val="24"/>
        </w:rPr>
        <w:t>(7) V případě, že plátce z</w:t>
      </w:r>
      <w:r w:rsidRPr="00EC1B83" w:rsidDel="00385BA9">
        <w:rPr>
          <w:b/>
          <w:color w:val="00B050"/>
          <w:szCs w:val="24"/>
        </w:rPr>
        <w:t> </w:t>
      </w:r>
      <w:r w:rsidRPr="00EC1B83">
        <w:rPr>
          <w:b/>
          <w:color w:val="00B050"/>
          <w:szCs w:val="24"/>
        </w:rPr>
        <w:t>úplaty uvedené v odstavci 6 neuplatnil nárok na odpočet daně v poměrné výši, ale v souladu s tímto zákonem v plné výši, považuje se poměrný koeficient u tohoto odpočtu za roven 100 %.</w:t>
      </w:r>
    </w:p>
    <w:p w14:paraId="0E072774" w14:textId="77777777" w:rsidR="00E55F2A" w:rsidRPr="0089133F" w:rsidRDefault="00E55F2A" w:rsidP="00E55F2A">
      <w:pPr>
        <w:widowControl w:val="0"/>
        <w:tabs>
          <w:tab w:val="left" w:pos="3324"/>
        </w:tabs>
        <w:autoSpaceDE w:val="0"/>
        <w:autoSpaceDN w:val="0"/>
        <w:adjustRightInd w:val="0"/>
        <w:spacing w:before="120" w:after="120"/>
        <w:ind w:firstLine="709"/>
        <w:rPr>
          <w:b/>
          <w:color w:val="00B050"/>
          <w:szCs w:val="24"/>
        </w:rPr>
      </w:pPr>
      <w:r w:rsidRPr="00EC1B83">
        <w:rPr>
          <w:b/>
          <w:color w:val="00B050"/>
          <w:szCs w:val="24"/>
        </w:rPr>
        <w:t xml:space="preserve">(8) Oprava uvedená v odstavci 6 se provede za poslední zdaňovací období kalendářního roku, ve kterém byl </w:t>
      </w:r>
      <w:r w:rsidRPr="00744672">
        <w:rPr>
          <w:strike/>
          <w:szCs w:val="24"/>
        </w:rPr>
        <w:t>dlouhodobý majetek pořízen</w:t>
      </w:r>
      <w:r w:rsidRPr="00EC1B83">
        <w:rPr>
          <w:b/>
          <w:szCs w:val="24"/>
        </w:rPr>
        <w:t xml:space="preserve"> majetek uznán za aktivum</w:t>
      </w:r>
      <w:r w:rsidRPr="00EC1B83">
        <w:rPr>
          <w:b/>
          <w:color w:val="00B050"/>
          <w:szCs w:val="24"/>
        </w:rPr>
        <w:t>.</w:t>
      </w:r>
    </w:p>
    <w:p w14:paraId="43814569" w14:textId="77777777" w:rsidR="00E55F2A" w:rsidRPr="004076B0" w:rsidRDefault="00E55F2A" w:rsidP="00E55F2A">
      <w:pPr>
        <w:keepNext/>
        <w:widowControl w:val="0"/>
        <w:numPr>
          <w:ilvl w:val="0"/>
          <w:numId w:val="70"/>
        </w:numPr>
        <w:autoSpaceDE w:val="0"/>
        <w:autoSpaceDN w:val="0"/>
        <w:adjustRightInd w:val="0"/>
        <w:jc w:val="center"/>
        <w:outlineLvl w:val="5"/>
        <w:rPr>
          <w:szCs w:val="24"/>
        </w:rPr>
      </w:pPr>
      <w:r w:rsidRPr="004076B0">
        <w:rPr>
          <w:szCs w:val="24"/>
        </w:rPr>
        <w:t>§ </w:t>
      </w:r>
      <w:r w:rsidRPr="005600A4">
        <w:rPr>
          <w:rFonts w:eastAsiaTheme="minorEastAsia"/>
          <w:szCs w:val="24"/>
        </w:rPr>
        <w:t>76</w:t>
      </w:r>
    </w:p>
    <w:p w14:paraId="5150B6CB" w14:textId="77777777" w:rsidR="00E55F2A" w:rsidRPr="004076B0" w:rsidRDefault="00E55F2A" w:rsidP="00E55F2A">
      <w:pPr>
        <w:keepNext/>
        <w:widowControl w:val="0"/>
        <w:numPr>
          <w:ilvl w:val="0"/>
          <w:numId w:val="70"/>
        </w:numPr>
        <w:autoSpaceDE w:val="0"/>
        <w:autoSpaceDN w:val="0"/>
        <w:adjustRightInd w:val="0"/>
        <w:jc w:val="center"/>
        <w:rPr>
          <w:b/>
          <w:bCs/>
          <w:szCs w:val="24"/>
        </w:rPr>
      </w:pPr>
      <w:r w:rsidRPr="004076B0">
        <w:rPr>
          <w:b/>
          <w:bCs/>
          <w:szCs w:val="24"/>
        </w:rPr>
        <w:t xml:space="preserve">Způsob výpočtu nároku na </w:t>
      </w:r>
      <w:r w:rsidRPr="005600A4">
        <w:rPr>
          <w:rFonts w:eastAsiaTheme="minorEastAsia"/>
          <w:b/>
          <w:bCs/>
          <w:szCs w:val="24"/>
        </w:rPr>
        <w:t>odpočet</w:t>
      </w:r>
      <w:r w:rsidRPr="004076B0">
        <w:rPr>
          <w:b/>
          <w:bCs/>
          <w:szCs w:val="24"/>
        </w:rPr>
        <w:t xml:space="preserve"> daně v krácené výši</w:t>
      </w:r>
    </w:p>
    <w:p w14:paraId="208167EF" w14:textId="77777777" w:rsidR="00E55F2A" w:rsidRDefault="00E55F2A" w:rsidP="00E55F2A">
      <w:pPr>
        <w:pStyle w:val="Nadpisparagrafu"/>
        <w:numPr>
          <w:ilvl w:val="0"/>
          <w:numId w:val="70"/>
        </w:numPr>
      </w:pPr>
      <w:r>
        <w:t>***</w:t>
      </w:r>
    </w:p>
    <w:p w14:paraId="3A194261" w14:textId="77777777" w:rsidR="001D06F7" w:rsidRDefault="001D06F7" w:rsidP="001D06F7">
      <w:pPr>
        <w:pStyle w:val="PZTextodstavce"/>
      </w:pPr>
      <w:r w:rsidRPr="008020DE">
        <w:t>(1</w:t>
      </w:r>
      <w:r>
        <w:t>)</w:t>
      </w:r>
      <w:r>
        <w:tab/>
      </w:r>
      <w:r w:rsidRPr="008020DE">
        <w:t>Použije-li</w:t>
      </w:r>
      <w:r>
        <w:t xml:space="preserve"> </w:t>
      </w:r>
      <w:r w:rsidRPr="008020DE">
        <w:t>plátce</w:t>
      </w:r>
      <w:r>
        <w:t xml:space="preserve"> </w:t>
      </w:r>
      <w:r w:rsidRPr="008020DE">
        <w:t>přijaté</w:t>
      </w:r>
      <w:r>
        <w:t xml:space="preserve"> </w:t>
      </w:r>
      <w:r w:rsidRPr="008020DE">
        <w:t>zdanitelné</w:t>
      </w:r>
      <w:r>
        <w:t xml:space="preserve"> </w:t>
      </w:r>
      <w:r w:rsidRPr="008020DE">
        <w:t>plnění</w:t>
      </w:r>
      <w:r>
        <w:t xml:space="preserve"> </w:t>
      </w:r>
      <w:r w:rsidRPr="008020DE">
        <w:t>v</w:t>
      </w:r>
      <w:r>
        <w:t xml:space="preserve"> </w:t>
      </w:r>
      <w:r w:rsidRPr="008020DE">
        <w:t>rámci</w:t>
      </w:r>
      <w:r>
        <w:t xml:space="preserve"> </w:t>
      </w:r>
      <w:r w:rsidRPr="008020DE">
        <w:t>svých</w:t>
      </w:r>
      <w:r>
        <w:t xml:space="preserve"> </w:t>
      </w:r>
      <w:r w:rsidRPr="008020DE">
        <w:t>ekonomických</w:t>
      </w:r>
      <w:r>
        <w:t xml:space="preserve"> </w:t>
      </w:r>
      <w:r w:rsidRPr="008020DE">
        <w:t>činností</w:t>
      </w:r>
      <w:r>
        <w:t xml:space="preserve"> </w:t>
      </w:r>
      <w:r w:rsidRPr="008020DE">
        <w:t>jak</w:t>
      </w:r>
      <w:r>
        <w:t xml:space="preserve"> </w:t>
      </w:r>
      <w:r w:rsidRPr="008020DE">
        <w:t>pro</w:t>
      </w:r>
      <w:r>
        <w:t xml:space="preserve"> </w:t>
      </w:r>
      <w:r w:rsidRPr="008020DE">
        <w:t>plnění</w:t>
      </w:r>
      <w:r>
        <w:t xml:space="preserve"> </w:t>
      </w:r>
      <w:r w:rsidRPr="008020DE">
        <w:t>s</w:t>
      </w:r>
      <w:r>
        <w:t xml:space="preserve"> </w:t>
      </w:r>
      <w:r w:rsidRPr="008020DE">
        <w:t>nárokem</w:t>
      </w:r>
      <w:r>
        <w:t xml:space="preserve"> </w:t>
      </w:r>
      <w:r w:rsidRPr="008020DE">
        <w:t>na</w:t>
      </w:r>
      <w:r>
        <w:t xml:space="preserve"> </w:t>
      </w:r>
      <w:r w:rsidRPr="008020DE">
        <w:t>odpočet</w:t>
      </w:r>
      <w:r>
        <w:t xml:space="preserve"> </w:t>
      </w:r>
      <w:r w:rsidRPr="008020DE">
        <w:t>daně</w:t>
      </w:r>
      <w:r>
        <w:t xml:space="preserve"> </w:t>
      </w:r>
      <w:r w:rsidRPr="008020DE">
        <w:t>uvedená</w:t>
      </w:r>
      <w:r>
        <w:t xml:space="preserve"> </w:t>
      </w:r>
      <w:r w:rsidRPr="008020DE">
        <w:t>v</w:t>
      </w:r>
      <w:r>
        <w:t xml:space="preserve"> </w:t>
      </w:r>
      <w:r w:rsidRPr="008020DE">
        <w:t>§</w:t>
      </w:r>
      <w:r>
        <w:t xml:space="preserve"> </w:t>
      </w:r>
      <w:r w:rsidRPr="008020DE">
        <w:t>72</w:t>
      </w:r>
      <w:r>
        <w:t xml:space="preserve"> </w:t>
      </w:r>
      <w:r w:rsidRPr="008020DE">
        <w:t>odst.</w:t>
      </w:r>
      <w:r>
        <w:t xml:space="preserve"> </w:t>
      </w:r>
      <w:r w:rsidRPr="008020DE">
        <w:t>1,</w:t>
      </w:r>
      <w:r>
        <w:t xml:space="preserve"> </w:t>
      </w:r>
      <w:r w:rsidRPr="008020DE">
        <w:t>tak</w:t>
      </w:r>
      <w:r>
        <w:t xml:space="preserve"> </w:t>
      </w:r>
      <w:r w:rsidRPr="008020DE">
        <w:t>pro</w:t>
      </w:r>
      <w:r>
        <w:t xml:space="preserve"> </w:t>
      </w:r>
      <w:r w:rsidRPr="008020DE">
        <w:t>plnění</w:t>
      </w:r>
      <w:r>
        <w:t xml:space="preserve"> </w:t>
      </w:r>
      <w:r w:rsidRPr="008020DE">
        <w:t>osvobozená</w:t>
      </w:r>
      <w:r>
        <w:t xml:space="preserve"> </w:t>
      </w:r>
      <w:r w:rsidRPr="008020DE">
        <w:t>od</w:t>
      </w:r>
      <w:r>
        <w:t xml:space="preserve"> </w:t>
      </w:r>
      <w:r w:rsidRPr="008020DE">
        <w:t>daně</w:t>
      </w:r>
      <w:r>
        <w:t xml:space="preserve"> </w:t>
      </w:r>
      <w:r w:rsidRPr="008020DE">
        <w:t>bez</w:t>
      </w:r>
      <w:r>
        <w:t xml:space="preserve"> </w:t>
      </w:r>
      <w:r w:rsidRPr="008020DE">
        <w:t>nároku</w:t>
      </w:r>
      <w:r>
        <w:t xml:space="preserve"> </w:t>
      </w:r>
      <w:r w:rsidRPr="008020DE">
        <w:t>na</w:t>
      </w:r>
      <w:r>
        <w:t xml:space="preserve"> </w:t>
      </w:r>
      <w:r w:rsidRPr="008020DE">
        <w:t>odpočet</w:t>
      </w:r>
      <w:r>
        <w:t xml:space="preserve"> </w:t>
      </w:r>
      <w:r w:rsidRPr="008020DE">
        <w:t>daně</w:t>
      </w:r>
      <w:r>
        <w:t xml:space="preserve"> </w:t>
      </w:r>
      <w:r w:rsidRPr="008020DE">
        <w:t>s</w:t>
      </w:r>
      <w:r>
        <w:t xml:space="preserve"> </w:t>
      </w:r>
      <w:r w:rsidRPr="008020DE">
        <w:t>místem</w:t>
      </w:r>
      <w:r>
        <w:t xml:space="preserve"> </w:t>
      </w:r>
      <w:r w:rsidRPr="008020DE">
        <w:t>plnění</w:t>
      </w:r>
      <w:r>
        <w:t xml:space="preserve"> </w:t>
      </w:r>
      <w:r w:rsidRPr="008020DE">
        <w:t>v</w:t>
      </w:r>
      <w:r>
        <w:t xml:space="preserve"> </w:t>
      </w:r>
      <w:r w:rsidRPr="008020DE">
        <w:t>tuzemsku</w:t>
      </w:r>
      <w:r>
        <w:t xml:space="preserve"> </w:t>
      </w:r>
      <w:r w:rsidRPr="008020DE">
        <w:t>i</w:t>
      </w:r>
      <w:r>
        <w:t xml:space="preserve"> </w:t>
      </w:r>
      <w:r w:rsidRPr="008020DE">
        <w:t>mimo</w:t>
      </w:r>
      <w:r>
        <w:t xml:space="preserve"> </w:t>
      </w:r>
      <w:r w:rsidRPr="008020DE">
        <w:t>tuzemsko,</w:t>
      </w:r>
      <w:r>
        <w:t xml:space="preserve"> </w:t>
      </w:r>
      <w:r w:rsidRPr="008020DE">
        <w:t>s</w:t>
      </w:r>
      <w:r>
        <w:t xml:space="preserve"> </w:t>
      </w:r>
      <w:r w:rsidRPr="008020DE">
        <w:t>výjimkou</w:t>
      </w:r>
      <w:r>
        <w:t xml:space="preserve"> </w:t>
      </w:r>
      <w:r w:rsidRPr="008020DE">
        <w:t>plnění</w:t>
      </w:r>
      <w:r>
        <w:t xml:space="preserve"> </w:t>
      </w:r>
      <w:r w:rsidRPr="008020DE">
        <w:lastRenderedPageBreak/>
        <w:t>uvedených</w:t>
      </w:r>
      <w:r>
        <w:t xml:space="preserve"> </w:t>
      </w:r>
      <w:r w:rsidRPr="008020DE">
        <w:t>v</w:t>
      </w:r>
      <w:r>
        <w:t xml:space="preserve"> </w:t>
      </w:r>
      <w:r w:rsidRPr="008020DE">
        <w:t>§</w:t>
      </w:r>
      <w:r>
        <w:t xml:space="preserve"> </w:t>
      </w:r>
      <w:r w:rsidRPr="008020DE">
        <w:t>72</w:t>
      </w:r>
      <w:r>
        <w:t xml:space="preserve"> </w:t>
      </w:r>
      <w:r w:rsidRPr="008020DE">
        <w:t>odst.</w:t>
      </w:r>
      <w:r>
        <w:t xml:space="preserve"> </w:t>
      </w:r>
      <w:r w:rsidRPr="008020DE">
        <w:t>1</w:t>
      </w:r>
      <w:r>
        <w:t xml:space="preserve"> </w:t>
      </w:r>
      <w:r w:rsidRPr="008020DE">
        <w:t>písm.</w:t>
      </w:r>
      <w:r>
        <w:t xml:space="preserve"> </w:t>
      </w:r>
      <w:r w:rsidRPr="008020DE">
        <w:t>d),</w:t>
      </w:r>
      <w:r>
        <w:t xml:space="preserve"> </w:t>
      </w:r>
      <w:r w:rsidRPr="008020DE">
        <w:t>má</w:t>
      </w:r>
      <w:r>
        <w:t xml:space="preserve"> </w:t>
      </w:r>
      <w:r w:rsidRPr="008020DE">
        <w:t>nárok</w:t>
      </w:r>
      <w:r>
        <w:t xml:space="preserve"> </w:t>
      </w:r>
      <w:r w:rsidRPr="008020DE">
        <w:t>na</w:t>
      </w:r>
      <w:r>
        <w:t xml:space="preserve"> </w:t>
      </w:r>
      <w:r w:rsidRPr="008020DE">
        <w:t>odpočet</w:t>
      </w:r>
      <w:r>
        <w:t xml:space="preserve"> </w:t>
      </w:r>
      <w:r w:rsidRPr="008020DE">
        <w:t>daně</w:t>
      </w:r>
      <w:r>
        <w:t xml:space="preserve"> </w:t>
      </w:r>
      <w:r w:rsidRPr="008020DE">
        <w:t>pouze</w:t>
      </w:r>
      <w:r>
        <w:t xml:space="preserve"> </w:t>
      </w:r>
      <w:r w:rsidRPr="008020DE">
        <w:t>v</w:t>
      </w:r>
      <w:r>
        <w:t xml:space="preserve"> </w:t>
      </w:r>
      <w:r w:rsidRPr="008020DE">
        <w:t>krácené</w:t>
      </w:r>
      <w:r>
        <w:t xml:space="preserve"> </w:t>
      </w:r>
      <w:r w:rsidRPr="008020DE">
        <w:t>výši</w:t>
      </w:r>
      <w:r>
        <w:t xml:space="preserve"> </w:t>
      </w:r>
      <w:r w:rsidRPr="008020DE">
        <w:t>odpovídající</w:t>
      </w:r>
      <w:r>
        <w:t xml:space="preserve"> </w:t>
      </w:r>
      <w:r w:rsidRPr="008020DE">
        <w:t>rozsahu</w:t>
      </w:r>
      <w:r>
        <w:t xml:space="preserve"> </w:t>
      </w:r>
      <w:r w:rsidRPr="008020DE">
        <w:t>použití</w:t>
      </w:r>
      <w:r>
        <w:t xml:space="preserve"> </w:t>
      </w:r>
      <w:r w:rsidRPr="008020DE">
        <w:t>pro</w:t>
      </w:r>
      <w:r>
        <w:t xml:space="preserve"> </w:t>
      </w:r>
      <w:r w:rsidRPr="008020DE">
        <w:t>plnění</w:t>
      </w:r>
      <w:r>
        <w:t xml:space="preserve"> </w:t>
      </w:r>
      <w:r w:rsidRPr="008020DE">
        <w:t>s</w:t>
      </w:r>
      <w:r>
        <w:t xml:space="preserve"> </w:t>
      </w:r>
      <w:r w:rsidRPr="008020DE">
        <w:t>nárokem</w:t>
      </w:r>
      <w:r>
        <w:t xml:space="preserve"> </w:t>
      </w:r>
      <w:r w:rsidRPr="008020DE">
        <w:t>na</w:t>
      </w:r>
      <w:r>
        <w:t xml:space="preserve"> </w:t>
      </w:r>
      <w:r w:rsidRPr="008020DE">
        <w:t>odpočet</w:t>
      </w:r>
      <w:r>
        <w:t xml:space="preserve"> </w:t>
      </w:r>
      <w:r w:rsidRPr="008020DE">
        <w:t>daně.</w:t>
      </w:r>
    </w:p>
    <w:p w14:paraId="76145D00" w14:textId="77777777" w:rsidR="001D06F7" w:rsidRDefault="001D06F7" w:rsidP="001D06F7">
      <w:pPr>
        <w:pStyle w:val="PZTextodstavce"/>
      </w:pPr>
      <w:r w:rsidRPr="008020DE">
        <w:t>(2</w:t>
      </w:r>
      <w:r>
        <w:t>)</w:t>
      </w:r>
      <w:r>
        <w:tab/>
      </w:r>
      <w:r w:rsidRPr="008020DE">
        <w:t>Příslušná</w:t>
      </w:r>
      <w:r>
        <w:t xml:space="preserve"> </w:t>
      </w:r>
      <w:r w:rsidRPr="008020DE">
        <w:t>výše</w:t>
      </w:r>
      <w:r>
        <w:t xml:space="preserve"> </w:t>
      </w:r>
      <w:r w:rsidRPr="008020DE">
        <w:t>odpočtu</w:t>
      </w:r>
      <w:r>
        <w:t xml:space="preserve"> </w:t>
      </w:r>
      <w:r w:rsidRPr="008020DE">
        <w:t>daně</w:t>
      </w:r>
      <w:r>
        <w:t xml:space="preserve"> </w:t>
      </w:r>
      <w:r w:rsidRPr="008020DE">
        <w:t>v</w:t>
      </w:r>
      <w:r>
        <w:t xml:space="preserve"> </w:t>
      </w:r>
      <w:r w:rsidRPr="008020DE">
        <w:t>krácené</w:t>
      </w:r>
      <w:r>
        <w:t xml:space="preserve"> </w:t>
      </w:r>
      <w:r w:rsidRPr="008020DE">
        <w:t>výši</w:t>
      </w:r>
      <w:r>
        <w:t xml:space="preserve"> </w:t>
      </w:r>
      <w:r w:rsidRPr="008020DE">
        <w:t>se</w:t>
      </w:r>
      <w:r>
        <w:t xml:space="preserve"> </w:t>
      </w:r>
      <w:r w:rsidRPr="008020DE">
        <w:t>vypočte</w:t>
      </w:r>
      <w:r>
        <w:t xml:space="preserve"> </w:t>
      </w:r>
      <w:r w:rsidRPr="008020DE">
        <w:t>jako</w:t>
      </w:r>
      <w:r>
        <w:t xml:space="preserve"> </w:t>
      </w:r>
      <w:r w:rsidRPr="008020DE">
        <w:t>součin</w:t>
      </w:r>
      <w:r>
        <w:t xml:space="preserve"> </w:t>
      </w:r>
      <w:r w:rsidRPr="008020DE">
        <w:t>daně</w:t>
      </w:r>
      <w:r>
        <w:t xml:space="preserve"> </w:t>
      </w:r>
      <w:r w:rsidRPr="008020DE">
        <w:t>na</w:t>
      </w:r>
      <w:r>
        <w:t xml:space="preserve"> </w:t>
      </w:r>
      <w:r w:rsidRPr="008020DE">
        <w:t>vstupu</w:t>
      </w:r>
      <w:r>
        <w:t xml:space="preserve"> </w:t>
      </w:r>
      <w:r w:rsidRPr="008020DE">
        <w:t>u</w:t>
      </w:r>
      <w:r>
        <w:t xml:space="preserve"> </w:t>
      </w:r>
      <w:r w:rsidRPr="008020DE">
        <w:t>přijatého</w:t>
      </w:r>
      <w:r>
        <w:t xml:space="preserve"> </w:t>
      </w:r>
      <w:r w:rsidRPr="008020DE">
        <w:t>zdanitelného</w:t>
      </w:r>
      <w:r>
        <w:t xml:space="preserve"> </w:t>
      </w:r>
      <w:r w:rsidRPr="008020DE">
        <w:t>plnění,</w:t>
      </w:r>
      <w:r>
        <w:t xml:space="preserve"> </w:t>
      </w:r>
      <w:r w:rsidRPr="008020DE">
        <w:t>u</w:t>
      </w:r>
      <w:r>
        <w:t xml:space="preserve"> </w:t>
      </w:r>
      <w:r w:rsidRPr="008020DE">
        <w:t>kterého</w:t>
      </w:r>
      <w:r>
        <w:t xml:space="preserve"> </w:t>
      </w:r>
      <w:r w:rsidRPr="008020DE">
        <w:t>má</w:t>
      </w:r>
      <w:r>
        <w:t xml:space="preserve"> </w:t>
      </w:r>
      <w:r w:rsidRPr="008020DE">
        <w:t>plátce</w:t>
      </w:r>
      <w:r>
        <w:t xml:space="preserve"> </w:t>
      </w:r>
      <w:r w:rsidRPr="008020DE">
        <w:t>nárok</w:t>
      </w:r>
      <w:r>
        <w:t xml:space="preserve"> </w:t>
      </w:r>
      <w:r w:rsidRPr="008020DE">
        <w:t>na</w:t>
      </w:r>
      <w:r>
        <w:t xml:space="preserve"> </w:t>
      </w:r>
      <w:r w:rsidRPr="008020DE">
        <w:t>odpočet</w:t>
      </w:r>
      <w:r>
        <w:t xml:space="preserve"> </w:t>
      </w:r>
      <w:r w:rsidRPr="008020DE">
        <w:t>daně</w:t>
      </w:r>
      <w:r>
        <w:t xml:space="preserve"> </w:t>
      </w:r>
      <w:r w:rsidRPr="008020DE">
        <w:t>v</w:t>
      </w:r>
      <w:r>
        <w:t xml:space="preserve"> </w:t>
      </w:r>
      <w:r w:rsidRPr="008020DE">
        <w:t>krácené</w:t>
      </w:r>
      <w:r>
        <w:t xml:space="preserve"> </w:t>
      </w:r>
      <w:r w:rsidRPr="008020DE">
        <w:t>výši,</w:t>
      </w:r>
      <w:r>
        <w:t xml:space="preserve"> </w:t>
      </w:r>
      <w:r w:rsidRPr="008020DE">
        <w:t>a</w:t>
      </w:r>
      <w:r>
        <w:t xml:space="preserve"> </w:t>
      </w:r>
      <w:r w:rsidRPr="008020DE">
        <w:t>koeficientu.</w:t>
      </w:r>
      <w:r>
        <w:t xml:space="preserve"> </w:t>
      </w:r>
      <w:r w:rsidRPr="008020DE">
        <w:t>Dojde-li</w:t>
      </w:r>
      <w:r>
        <w:t xml:space="preserve"> </w:t>
      </w:r>
      <w:r w:rsidRPr="008020DE">
        <w:t>k</w:t>
      </w:r>
      <w:r>
        <w:t xml:space="preserve"> </w:t>
      </w:r>
      <w:r w:rsidRPr="008020DE">
        <w:t>souběhu</w:t>
      </w:r>
      <w:r>
        <w:t xml:space="preserve"> </w:t>
      </w:r>
      <w:r w:rsidRPr="008020DE">
        <w:t>nároku</w:t>
      </w:r>
      <w:r>
        <w:t xml:space="preserve"> </w:t>
      </w:r>
      <w:r w:rsidRPr="008020DE">
        <w:t>na</w:t>
      </w:r>
      <w:r>
        <w:t xml:space="preserve"> </w:t>
      </w:r>
      <w:r w:rsidRPr="008020DE">
        <w:t>odpočet</w:t>
      </w:r>
      <w:r>
        <w:t xml:space="preserve"> </w:t>
      </w:r>
      <w:r w:rsidRPr="008020DE">
        <w:t>daně</w:t>
      </w:r>
      <w:r>
        <w:t xml:space="preserve"> </w:t>
      </w:r>
      <w:r w:rsidRPr="008020DE">
        <w:t>v</w:t>
      </w:r>
      <w:r>
        <w:t xml:space="preserve"> </w:t>
      </w:r>
      <w:r w:rsidRPr="008020DE">
        <w:t>krácené</w:t>
      </w:r>
      <w:r>
        <w:t xml:space="preserve"> </w:t>
      </w:r>
      <w:r w:rsidRPr="008020DE">
        <w:t>výši</w:t>
      </w:r>
      <w:r>
        <w:t xml:space="preserve"> </w:t>
      </w:r>
      <w:r w:rsidRPr="008020DE">
        <w:t>podle</w:t>
      </w:r>
      <w:r>
        <w:t xml:space="preserve"> </w:t>
      </w:r>
      <w:r w:rsidRPr="008020DE">
        <w:t>tohoto</w:t>
      </w:r>
      <w:r>
        <w:t xml:space="preserve"> </w:t>
      </w:r>
      <w:r w:rsidRPr="008020DE">
        <w:t>ustanovení</w:t>
      </w:r>
      <w:r>
        <w:t xml:space="preserve"> </w:t>
      </w:r>
      <w:r w:rsidRPr="008020DE">
        <w:t>a</w:t>
      </w:r>
      <w:r>
        <w:t xml:space="preserve"> </w:t>
      </w:r>
      <w:r w:rsidRPr="008020DE">
        <w:t>nároku</w:t>
      </w:r>
      <w:r>
        <w:t xml:space="preserve"> </w:t>
      </w:r>
      <w:r w:rsidRPr="008020DE">
        <w:t>na</w:t>
      </w:r>
      <w:r>
        <w:t xml:space="preserve"> </w:t>
      </w:r>
      <w:r w:rsidRPr="008020DE">
        <w:t>odpočet</w:t>
      </w:r>
      <w:r>
        <w:t xml:space="preserve"> </w:t>
      </w:r>
      <w:r w:rsidRPr="008020DE">
        <w:t>daně</w:t>
      </w:r>
      <w:r>
        <w:t xml:space="preserve"> </w:t>
      </w:r>
      <w:r w:rsidRPr="008020DE">
        <w:t>v</w:t>
      </w:r>
      <w:r>
        <w:t xml:space="preserve"> </w:t>
      </w:r>
      <w:r w:rsidRPr="008020DE">
        <w:t>poměrné</w:t>
      </w:r>
      <w:r>
        <w:t xml:space="preserve"> </w:t>
      </w:r>
      <w:r w:rsidRPr="008020DE">
        <w:t>výši</w:t>
      </w:r>
      <w:r>
        <w:t xml:space="preserve"> </w:t>
      </w:r>
      <w:r w:rsidRPr="008020DE">
        <w:t>podle</w:t>
      </w:r>
      <w:r>
        <w:t xml:space="preserve"> </w:t>
      </w:r>
      <w:r w:rsidRPr="008020DE">
        <w:t>§</w:t>
      </w:r>
      <w:r>
        <w:t xml:space="preserve"> </w:t>
      </w:r>
      <w:r w:rsidRPr="008020DE">
        <w:t>75,</w:t>
      </w:r>
      <w:r>
        <w:t xml:space="preserve"> </w:t>
      </w:r>
      <w:r w:rsidRPr="008020DE">
        <w:t>použije</w:t>
      </w:r>
      <w:r>
        <w:t xml:space="preserve"> </w:t>
      </w:r>
      <w:r w:rsidRPr="008020DE">
        <w:t>se</w:t>
      </w:r>
      <w:r>
        <w:t xml:space="preserve"> </w:t>
      </w:r>
      <w:r w:rsidRPr="008020DE">
        <w:t>pro</w:t>
      </w:r>
      <w:r>
        <w:t xml:space="preserve"> </w:t>
      </w:r>
      <w:r w:rsidRPr="008020DE">
        <w:t>výpočet</w:t>
      </w:r>
      <w:r>
        <w:t xml:space="preserve"> </w:t>
      </w:r>
      <w:r w:rsidRPr="008020DE">
        <w:t>výše</w:t>
      </w:r>
      <w:r>
        <w:t xml:space="preserve"> </w:t>
      </w:r>
      <w:r w:rsidRPr="008020DE">
        <w:t>odpočtu</w:t>
      </w:r>
      <w:r>
        <w:t xml:space="preserve"> </w:t>
      </w:r>
      <w:r w:rsidRPr="008020DE">
        <w:t>daně</w:t>
      </w:r>
      <w:r>
        <w:t xml:space="preserve"> </w:t>
      </w:r>
      <w:r w:rsidRPr="008020DE">
        <w:t>v</w:t>
      </w:r>
      <w:r>
        <w:t xml:space="preserve"> </w:t>
      </w:r>
      <w:r w:rsidRPr="008020DE">
        <w:t>krácené</w:t>
      </w:r>
      <w:r>
        <w:t xml:space="preserve"> </w:t>
      </w:r>
      <w:r w:rsidRPr="008020DE">
        <w:t>výši</w:t>
      </w:r>
      <w:r>
        <w:t xml:space="preserve"> </w:t>
      </w:r>
      <w:r w:rsidRPr="008020DE">
        <w:t>namísto</w:t>
      </w:r>
      <w:r>
        <w:t xml:space="preserve"> </w:t>
      </w:r>
      <w:r w:rsidRPr="008020DE">
        <w:t>částky</w:t>
      </w:r>
      <w:r>
        <w:t xml:space="preserve"> </w:t>
      </w:r>
      <w:r w:rsidRPr="008020DE">
        <w:t>daně</w:t>
      </w:r>
      <w:r>
        <w:t xml:space="preserve"> </w:t>
      </w:r>
      <w:r w:rsidRPr="008020DE">
        <w:t>na</w:t>
      </w:r>
      <w:r>
        <w:t xml:space="preserve"> </w:t>
      </w:r>
      <w:r w:rsidRPr="008020DE">
        <w:t>vstupu</w:t>
      </w:r>
      <w:r>
        <w:t xml:space="preserve"> </w:t>
      </w:r>
      <w:r w:rsidRPr="008020DE">
        <w:t>částka</w:t>
      </w:r>
      <w:r>
        <w:t xml:space="preserve"> </w:t>
      </w:r>
      <w:r w:rsidRPr="008020DE">
        <w:t>odpočtu</w:t>
      </w:r>
      <w:r>
        <w:t xml:space="preserve"> </w:t>
      </w:r>
      <w:r w:rsidRPr="008020DE">
        <w:t>daně</w:t>
      </w:r>
      <w:r>
        <w:t xml:space="preserve"> </w:t>
      </w:r>
      <w:r w:rsidRPr="008020DE">
        <w:t>v</w:t>
      </w:r>
      <w:r>
        <w:t xml:space="preserve"> </w:t>
      </w:r>
      <w:r w:rsidRPr="008020DE">
        <w:t>poměrné</w:t>
      </w:r>
      <w:r>
        <w:t xml:space="preserve"> </w:t>
      </w:r>
      <w:r w:rsidRPr="008020DE">
        <w:t>výši</w:t>
      </w:r>
      <w:r>
        <w:t xml:space="preserve"> </w:t>
      </w:r>
      <w:r w:rsidRPr="008020DE">
        <w:t>stanovená</w:t>
      </w:r>
      <w:r>
        <w:t xml:space="preserve"> </w:t>
      </w:r>
      <w:r w:rsidRPr="008020DE">
        <w:t>postupem</w:t>
      </w:r>
      <w:r>
        <w:t xml:space="preserve"> </w:t>
      </w:r>
      <w:r w:rsidRPr="008020DE">
        <w:t>podle</w:t>
      </w:r>
      <w:r>
        <w:t xml:space="preserve"> </w:t>
      </w:r>
      <w:r w:rsidRPr="008020DE">
        <w:t>§</w:t>
      </w:r>
      <w:r>
        <w:t xml:space="preserve"> </w:t>
      </w:r>
      <w:r w:rsidRPr="008020DE">
        <w:t>75.</w:t>
      </w:r>
    </w:p>
    <w:p w14:paraId="0640BA12" w14:textId="77777777" w:rsidR="001D06F7" w:rsidRDefault="001D06F7" w:rsidP="001D06F7">
      <w:pPr>
        <w:pStyle w:val="PZTextodstavce"/>
      </w:pPr>
      <w:r w:rsidRPr="008020DE">
        <w:t>(3</w:t>
      </w:r>
      <w:r>
        <w:t>)</w:t>
      </w:r>
      <w:r>
        <w:tab/>
      </w:r>
      <w:r w:rsidRPr="008020DE">
        <w:t>Koeficient</w:t>
      </w:r>
      <w:r>
        <w:t xml:space="preserve"> </w:t>
      </w:r>
      <w:r w:rsidRPr="008020DE">
        <w:t>podle</w:t>
      </w:r>
      <w:r>
        <w:t xml:space="preserve"> </w:t>
      </w:r>
      <w:r w:rsidRPr="008020DE">
        <w:t>odstavce</w:t>
      </w:r>
      <w:r>
        <w:t xml:space="preserve"> </w:t>
      </w:r>
      <w:r w:rsidRPr="008020DE">
        <w:t>2</w:t>
      </w:r>
      <w:r>
        <w:t xml:space="preserve"> </w:t>
      </w:r>
      <w:r w:rsidRPr="008020DE">
        <w:t>věty</w:t>
      </w:r>
      <w:r>
        <w:t xml:space="preserve"> </w:t>
      </w:r>
      <w:r w:rsidRPr="008020DE">
        <w:t>první</w:t>
      </w:r>
      <w:r>
        <w:t xml:space="preserve"> </w:t>
      </w:r>
      <w:r w:rsidRPr="008020DE">
        <w:t>se</w:t>
      </w:r>
      <w:r>
        <w:t xml:space="preserve"> </w:t>
      </w:r>
      <w:r w:rsidRPr="008020DE">
        <w:t>vypočte</w:t>
      </w:r>
      <w:r>
        <w:t xml:space="preserve"> </w:t>
      </w:r>
      <w:r w:rsidRPr="008020DE">
        <w:t>jako</w:t>
      </w:r>
      <w:r>
        <w:t xml:space="preserve"> </w:t>
      </w:r>
      <w:r w:rsidRPr="008020DE">
        <w:t>procentní</w:t>
      </w:r>
      <w:r>
        <w:t xml:space="preserve"> </w:t>
      </w:r>
      <w:r w:rsidRPr="008020DE">
        <w:t>podíl,</w:t>
      </w:r>
      <w:r>
        <w:t xml:space="preserve"> </w:t>
      </w:r>
      <w:r w:rsidRPr="008020DE">
        <w:t>v</w:t>
      </w:r>
      <w:r>
        <w:t xml:space="preserve"> </w:t>
      </w:r>
      <w:r w:rsidRPr="008020DE">
        <w:t>jehož</w:t>
      </w:r>
    </w:p>
    <w:p w14:paraId="7C2EFBC2" w14:textId="77777777" w:rsidR="001D06F7" w:rsidRDefault="001D06F7" w:rsidP="001D06F7">
      <w:pPr>
        <w:pStyle w:val="PZTextpsmene"/>
        <w:spacing w:before="0"/>
      </w:pPr>
      <w:r w:rsidRPr="008020DE">
        <w:t>a</w:t>
      </w:r>
      <w:r>
        <w:t>)</w:t>
      </w:r>
      <w:r>
        <w:tab/>
      </w:r>
      <w:r w:rsidRPr="008020DE">
        <w:t>čitateli</w:t>
      </w:r>
      <w:r>
        <w:t xml:space="preserve"> </w:t>
      </w:r>
      <w:r w:rsidRPr="008020DE">
        <w:t>je</w:t>
      </w:r>
      <w:r>
        <w:t xml:space="preserve"> </w:t>
      </w:r>
      <w:r w:rsidRPr="008020DE">
        <w:t>součet</w:t>
      </w:r>
      <w:r>
        <w:t xml:space="preserve"> </w:t>
      </w:r>
      <w:r w:rsidRPr="008020DE">
        <w:t>částek</w:t>
      </w:r>
      <w:r>
        <w:t xml:space="preserve"> </w:t>
      </w:r>
      <w:r w:rsidRPr="008020DE">
        <w:t>základů</w:t>
      </w:r>
      <w:r>
        <w:t xml:space="preserve"> </w:t>
      </w:r>
      <w:r w:rsidRPr="008020DE">
        <w:t>daně</w:t>
      </w:r>
      <w:r>
        <w:t xml:space="preserve"> </w:t>
      </w:r>
      <w:r w:rsidRPr="008020DE">
        <w:t>nebo</w:t>
      </w:r>
      <w:r>
        <w:t xml:space="preserve"> </w:t>
      </w:r>
      <w:r w:rsidRPr="008020DE">
        <w:t>hodnot</w:t>
      </w:r>
      <w:r>
        <w:t xml:space="preserve"> </w:t>
      </w:r>
      <w:r w:rsidRPr="008020DE">
        <w:t>plnění</w:t>
      </w:r>
      <w:r>
        <w:t xml:space="preserve"> </w:t>
      </w:r>
      <w:r w:rsidRPr="008020DE">
        <w:t>plátcem</w:t>
      </w:r>
      <w:r>
        <w:t xml:space="preserve"> </w:t>
      </w:r>
      <w:r w:rsidRPr="008020DE">
        <w:t>uskutečněných</w:t>
      </w:r>
      <w:r>
        <w:t xml:space="preserve"> </w:t>
      </w:r>
      <w:r w:rsidRPr="008020DE">
        <w:t>plnění</w:t>
      </w:r>
      <w:r>
        <w:t xml:space="preserve"> </w:t>
      </w:r>
      <w:r w:rsidRPr="008020DE">
        <w:t>s</w:t>
      </w:r>
      <w:r>
        <w:t xml:space="preserve"> </w:t>
      </w:r>
      <w:r w:rsidRPr="008020DE">
        <w:t>nárokem</w:t>
      </w:r>
      <w:r>
        <w:t xml:space="preserve"> </w:t>
      </w:r>
      <w:r w:rsidRPr="008020DE">
        <w:t>na</w:t>
      </w:r>
      <w:r>
        <w:t xml:space="preserve"> </w:t>
      </w:r>
      <w:r w:rsidRPr="008020DE">
        <w:t>odpočet</w:t>
      </w:r>
      <w:r>
        <w:t xml:space="preserve"> </w:t>
      </w:r>
      <w:r w:rsidRPr="008020DE">
        <w:t>daně</w:t>
      </w:r>
      <w:r>
        <w:t xml:space="preserve"> </w:t>
      </w:r>
      <w:r w:rsidRPr="008020DE">
        <w:t>uvedených</w:t>
      </w:r>
      <w:r>
        <w:t xml:space="preserve"> </w:t>
      </w:r>
      <w:r w:rsidRPr="008020DE">
        <w:t>v</w:t>
      </w:r>
      <w:r>
        <w:t xml:space="preserve"> </w:t>
      </w:r>
      <w:r w:rsidRPr="008020DE">
        <w:t>§</w:t>
      </w:r>
      <w:r>
        <w:t xml:space="preserve"> </w:t>
      </w:r>
      <w:r w:rsidRPr="008020DE">
        <w:t>72</w:t>
      </w:r>
      <w:r>
        <w:t xml:space="preserve"> </w:t>
      </w:r>
      <w:r w:rsidRPr="008020DE">
        <w:t>odst.</w:t>
      </w:r>
      <w:r>
        <w:t xml:space="preserve"> </w:t>
      </w:r>
      <w:r w:rsidRPr="008020DE">
        <w:t>1,</w:t>
      </w:r>
    </w:p>
    <w:p w14:paraId="317D3CA9" w14:textId="77777777" w:rsidR="001D06F7" w:rsidRDefault="001D06F7" w:rsidP="001D06F7">
      <w:pPr>
        <w:pStyle w:val="PZTextpsmene"/>
        <w:spacing w:before="0"/>
      </w:pPr>
      <w:r w:rsidRPr="008020DE">
        <w:t>b</w:t>
      </w:r>
      <w:r>
        <w:t>)</w:t>
      </w:r>
      <w:r>
        <w:tab/>
      </w:r>
      <w:r w:rsidRPr="008020DE">
        <w:t>jmenovateli</w:t>
      </w:r>
      <w:r>
        <w:t xml:space="preserve"> </w:t>
      </w:r>
      <w:r w:rsidRPr="008020DE">
        <w:t>je</w:t>
      </w:r>
      <w:r>
        <w:t xml:space="preserve"> </w:t>
      </w:r>
      <w:r w:rsidRPr="008020DE">
        <w:t>celkový</w:t>
      </w:r>
      <w:r>
        <w:t xml:space="preserve"> </w:t>
      </w:r>
      <w:r w:rsidRPr="008020DE">
        <w:t>součet</w:t>
      </w:r>
      <w:r>
        <w:t xml:space="preserve"> </w:t>
      </w:r>
      <w:r w:rsidRPr="008020DE">
        <w:t>hodnoty</w:t>
      </w:r>
      <w:r>
        <w:t xml:space="preserve"> </w:t>
      </w:r>
      <w:r w:rsidRPr="008020DE">
        <w:t>v</w:t>
      </w:r>
      <w:r>
        <w:t xml:space="preserve"> </w:t>
      </w:r>
      <w:r w:rsidRPr="008020DE">
        <w:t>čitateli</w:t>
      </w:r>
      <w:r>
        <w:t xml:space="preserve"> </w:t>
      </w:r>
      <w:r w:rsidRPr="008020DE">
        <w:t>a</w:t>
      </w:r>
      <w:r>
        <w:t xml:space="preserve"> </w:t>
      </w:r>
      <w:r w:rsidRPr="008020DE">
        <w:t>součtu</w:t>
      </w:r>
      <w:r>
        <w:t xml:space="preserve"> </w:t>
      </w:r>
      <w:r w:rsidRPr="008020DE">
        <w:t>hodnot</w:t>
      </w:r>
      <w:r>
        <w:t xml:space="preserve"> </w:t>
      </w:r>
      <w:r w:rsidRPr="008020DE">
        <w:t>plnění</w:t>
      </w:r>
      <w:r>
        <w:t xml:space="preserve"> </w:t>
      </w:r>
      <w:r w:rsidRPr="008020DE">
        <w:t>plátcem</w:t>
      </w:r>
      <w:r>
        <w:t xml:space="preserve"> </w:t>
      </w:r>
      <w:r w:rsidRPr="008020DE">
        <w:t>uskutečněných</w:t>
      </w:r>
      <w:r>
        <w:t xml:space="preserve"> </w:t>
      </w:r>
      <w:r w:rsidRPr="008020DE">
        <w:t>plnění</w:t>
      </w:r>
      <w:r>
        <w:t xml:space="preserve"> </w:t>
      </w:r>
      <w:r w:rsidRPr="008020DE">
        <w:t>osvobozených</w:t>
      </w:r>
      <w:r>
        <w:t xml:space="preserve"> </w:t>
      </w:r>
      <w:r w:rsidRPr="008020DE">
        <w:t>od</w:t>
      </w:r>
      <w:r>
        <w:t xml:space="preserve"> </w:t>
      </w:r>
      <w:r w:rsidRPr="008020DE">
        <w:t>daně</w:t>
      </w:r>
      <w:r>
        <w:t xml:space="preserve"> </w:t>
      </w:r>
      <w:r w:rsidRPr="008020DE">
        <w:t>bez</w:t>
      </w:r>
      <w:r>
        <w:t xml:space="preserve"> </w:t>
      </w:r>
      <w:r w:rsidRPr="008020DE">
        <w:t>nároku</w:t>
      </w:r>
      <w:r>
        <w:t xml:space="preserve"> </w:t>
      </w:r>
      <w:r w:rsidRPr="008020DE">
        <w:t>na</w:t>
      </w:r>
      <w:r>
        <w:t xml:space="preserve"> </w:t>
      </w:r>
      <w:r w:rsidRPr="008020DE">
        <w:t>odpočet</w:t>
      </w:r>
      <w:r>
        <w:t xml:space="preserve"> </w:t>
      </w:r>
      <w:r w:rsidRPr="008020DE">
        <w:t>daně.</w:t>
      </w:r>
    </w:p>
    <w:p w14:paraId="2C8CEA8D" w14:textId="77777777" w:rsidR="001D06F7" w:rsidRDefault="001D06F7" w:rsidP="001D06F7">
      <w:pPr>
        <w:pStyle w:val="Textparagrafu"/>
      </w:pPr>
      <w:r w:rsidRPr="008020DE">
        <w:t>Do</w:t>
      </w:r>
      <w:r>
        <w:t xml:space="preserve"> </w:t>
      </w:r>
      <w:r w:rsidRPr="008020DE">
        <w:t>součtu</w:t>
      </w:r>
      <w:r>
        <w:t xml:space="preserve"> </w:t>
      </w:r>
      <w:r w:rsidRPr="008020DE">
        <w:t>částek</w:t>
      </w:r>
      <w:r>
        <w:t xml:space="preserve"> </w:t>
      </w:r>
      <w:r w:rsidRPr="008020DE">
        <w:t>základů</w:t>
      </w:r>
      <w:r>
        <w:t xml:space="preserve"> </w:t>
      </w:r>
      <w:r w:rsidRPr="008020DE">
        <w:t>daně</w:t>
      </w:r>
      <w:r>
        <w:t xml:space="preserve"> </w:t>
      </w:r>
      <w:r w:rsidRPr="008020DE">
        <w:t>nebo</w:t>
      </w:r>
      <w:r>
        <w:t xml:space="preserve"> </w:t>
      </w:r>
      <w:r w:rsidRPr="008020DE">
        <w:t>hodnot</w:t>
      </w:r>
      <w:r>
        <w:t xml:space="preserve"> </w:t>
      </w:r>
      <w:r w:rsidRPr="008020DE">
        <w:t>plnění</w:t>
      </w:r>
      <w:r>
        <w:t xml:space="preserve"> </w:t>
      </w:r>
      <w:r w:rsidRPr="008020DE">
        <w:t>plátcem</w:t>
      </w:r>
      <w:r>
        <w:t xml:space="preserve"> </w:t>
      </w:r>
      <w:r w:rsidRPr="008020DE">
        <w:t>uskutečněných</w:t>
      </w:r>
      <w:r>
        <w:t xml:space="preserve"> </w:t>
      </w:r>
      <w:r w:rsidRPr="008020DE">
        <w:t>plnění</w:t>
      </w:r>
      <w:r>
        <w:t xml:space="preserve"> </w:t>
      </w:r>
      <w:r w:rsidRPr="008020DE">
        <w:t>se</w:t>
      </w:r>
      <w:r>
        <w:t xml:space="preserve"> </w:t>
      </w:r>
      <w:r w:rsidRPr="008020DE">
        <w:t>započítávají</w:t>
      </w:r>
      <w:r>
        <w:t xml:space="preserve"> </w:t>
      </w:r>
      <w:r w:rsidRPr="008020DE">
        <w:t>také</w:t>
      </w:r>
      <w:r>
        <w:t xml:space="preserve"> </w:t>
      </w:r>
      <w:r w:rsidRPr="008020DE">
        <w:t>přijaté</w:t>
      </w:r>
      <w:r>
        <w:t xml:space="preserve"> </w:t>
      </w:r>
      <w:r w:rsidRPr="008020DE">
        <w:t>úplaty,</w:t>
      </w:r>
      <w:r>
        <w:t xml:space="preserve"> </w:t>
      </w:r>
      <w:r w:rsidRPr="008020DE">
        <w:t>pokud</w:t>
      </w:r>
      <w:r>
        <w:t xml:space="preserve"> </w:t>
      </w:r>
      <w:r w:rsidRPr="008020DE">
        <w:t>z</w:t>
      </w:r>
      <w:r>
        <w:t xml:space="preserve"> </w:t>
      </w:r>
      <w:r w:rsidRPr="008020DE">
        <w:t>těchto</w:t>
      </w:r>
      <w:r>
        <w:t xml:space="preserve"> </w:t>
      </w:r>
      <w:r w:rsidRPr="008020DE">
        <w:t>přijatých</w:t>
      </w:r>
      <w:r>
        <w:t xml:space="preserve"> </w:t>
      </w:r>
      <w:r w:rsidRPr="008020DE">
        <w:t>úplat</w:t>
      </w:r>
      <w:r>
        <w:t xml:space="preserve"> </w:t>
      </w:r>
      <w:r w:rsidRPr="008020DE">
        <w:t>plátci</w:t>
      </w:r>
      <w:r>
        <w:t xml:space="preserve"> </w:t>
      </w:r>
      <w:r w:rsidRPr="008020DE">
        <w:t>vznikla</w:t>
      </w:r>
      <w:r>
        <w:t xml:space="preserve"> </w:t>
      </w:r>
      <w:r w:rsidRPr="008020DE">
        <w:t>povinnost</w:t>
      </w:r>
      <w:r>
        <w:t xml:space="preserve"> </w:t>
      </w:r>
      <w:r w:rsidRPr="008020DE">
        <w:t>přiznat</w:t>
      </w:r>
      <w:r>
        <w:t xml:space="preserve"> </w:t>
      </w:r>
      <w:r w:rsidRPr="008020DE">
        <w:t>daň</w:t>
      </w:r>
      <w:r>
        <w:t xml:space="preserve"> </w:t>
      </w:r>
      <w:r w:rsidRPr="008020DE">
        <w:t>nebo</w:t>
      </w:r>
      <w:r>
        <w:t xml:space="preserve"> </w:t>
      </w:r>
      <w:r w:rsidRPr="008020DE">
        <w:t>přiznat</w:t>
      </w:r>
      <w:r>
        <w:t xml:space="preserve"> </w:t>
      </w:r>
      <w:r w:rsidRPr="008020DE">
        <w:t>plnění.</w:t>
      </w:r>
      <w:r>
        <w:t xml:space="preserve"> </w:t>
      </w:r>
      <w:r w:rsidRPr="008020DE">
        <w:t>Vypočtený</w:t>
      </w:r>
      <w:r>
        <w:t xml:space="preserve"> </w:t>
      </w:r>
      <w:r w:rsidRPr="008020DE">
        <w:t>koeficient</w:t>
      </w:r>
      <w:r>
        <w:t xml:space="preserve"> </w:t>
      </w:r>
      <w:r w:rsidRPr="008020DE">
        <w:t>se</w:t>
      </w:r>
      <w:r>
        <w:t xml:space="preserve"> </w:t>
      </w:r>
      <w:r w:rsidRPr="008020DE">
        <w:t>zaokrouhlí</w:t>
      </w:r>
      <w:r>
        <w:t xml:space="preserve"> </w:t>
      </w:r>
      <w:r w:rsidRPr="008020DE">
        <w:t>na</w:t>
      </w:r>
      <w:r>
        <w:t xml:space="preserve"> </w:t>
      </w:r>
      <w:r w:rsidRPr="008020DE">
        <w:t>celé</w:t>
      </w:r>
      <w:r>
        <w:t xml:space="preserve"> </w:t>
      </w:r>
      <w:r w:rsidRPr="008020DE">
        <w:t>procento</w:t>
      </w:r>
      <w:r>
        <w:t xml:space="preserve"> </w:t>
      </w:r>
      <w:r w:rsidRPr="008020DE">
        <w:t>nahoru.</w:t>
      </w:r>
    </w:p>
    <w:p w14:paraId="350EDDD1" w14:textId="77777777" w:rsidR="001D06F7" w:rsidRDefault="001D06F7" w:rsidP="001D06F7">
      <w:pPr>
        <w:pStyle w:val="PZTextodstavce"/>
      </w:pPr>
      <w:r w:rsidRPr="008020DE">
        <w:t>(4</w:t>
      </w:r>
      <w:r>
        <w:t>)</w:t>
      </w:r>
      <w:r>
        <w:tab/>
      </w:r>
      <w:r w:rsidRPr="008020DE">
        <w:t>Do</w:t>
      </w:r>
      <w:r>
        <w:t xml:space="preserve"> </w:t>
      </w:r>
      <w:r w:rsidRPr="008020DE">
        <w:t>výpočtu</w:t>
      </w:r>
      <w:r>
        <w:t xml:space="preserve"> </w:t>
      </w:r>
      <w:r w:rsidRPr="008020DE">
        <w:t>koeficientu</w:t>
      </w:r>
      <w:r>
        <w:t xml:space="preserve"> </w:t>
      </w:r>
      <w:r w:rsidRPr="008020DE">
        <w:t>se</w:t>
      </w:r>
      <w:r>
        <w:t xml:space="preserve"> </w:t>
      </w:r>
      <w:r w:rsidRPr="008020DE">
        <w:t>nezapočítávají</w:t>
      </w:r>
    </w:p>
    <w:p w14:paraId="1660766B" w14:textId="77777777" w:rsidR="001D06F7" w:rsidRDefault="001D06F7" w:rsidP="001D06F7">
      <w:pPr>
        <w:pStyle w:val="PZTextpsmene"/>
        <w:spacing w:before="0"/>
      </w:pPr>
      <w:r w:rsidRPr="008020DE">
        <w:t>a</w:t>
      </w:r>
      <w:r>
        <w:t>)</w:t>
      </w:r>
      <w:r>
        <w:tab/>
      </w:r>
      <w:r w:rsidRPr="008020DE">
        <w:t>dodání</w:t>
      </w:r>
      <w:r>
        <w:t xml:space="preserve"> </w:t>
      </w:r>
      <w:r w:rsidRPr="008020DE">
        <w:t>nebo</w:t>
      </w:r>
      <w:r>
        <w:t xml:space="preserve"> </w:t>
      </w:r>
      <w:r w:rsidRPr="008020DE">
        <w:t>poskytnutí</w:t>
      </w:r>
      <w:r>
        <w:t xml:space="preserve"> </w:t>
      </w:r>
      <w:r w:rsidRPr="008020DE">
        <w:t>dlouhodobého</w:t>
      </w:r>
      <w:r>
        <w:t xml:space="preserve"> </w:t>
      </w:r>
      <w:r w:rsidRPr="008020DE">
        <w:t>majetku,</w:t>
      </w:r>
      <w:r>
        <w:t xml:space="preserve"> </w:t>
      </w:r>
      <w:r w:rsidRPr="008020DE">
        <w:t>pokud</w:t>
      </w:r>
      <w:r>
        <w:t xml:space="preserve"> </w:t>
      </w:r>
      <w:r w:rsidRPr="008020DE">
        <w:t>tento</w:t>
      </w:r>
      <w:r>
        <w:t xml:space="preserve"> </w:t>
      </w:r>
      <w:r w:rsidRPr="008020DE">
        <w:t>majetek</w:t>
      </w:r>
      <w:r>
        <w:t xml:space="preserve"> </w:t>
      </w:r>
      <w:r w:rsidRPr="008020DE">
        <w:t>plátce</w:t>
      </w:r>
      <w:r>
        <w:t xml:space="preserve"> </w:t>
      </w:r>
      <w:r w:rsidRPr="008020DE">
        <w:t>využíval</w:t>
      </w:r>
      <w:r>
        <w:t xml:space="preserve"> </w:t>
      </w:r>
      <w:r w:rsidRPr="008020DE">
        <w:t>pro</w:t>
      </w:r>
      <w:r>
        <w:t xml:space="preserve"> </w:t>
      </w:r>
      <w:r w:rsidRPr="008020DE">
        <w:t>svou</w:t>
      </w:r>
      <w:r>
        <w:t xml:space="preserve"> </w:t>
      </w:r>
      <w:r w:rsidRPr="008020DE">
        <w:t>ekonomickou</w:t>
      </w:r>
      <w:r>
        <w:t xml:space="preserve"> </w:t>
      </w:r>
      <w:r w:rsidRPr="008020DE">
        <w:t>činnost;</w:t>
      </w:r>
      <w:r>
        <w:t xml:space="preserve"> </w:t>
      </w:r>
      <w:r w:rsidRPr="008020DE">
        <w:t>to</w:t>
      </w:r>
      <w:r>
        <w:t xml:space="preserve"> </w:t>
      </w:r>
      <w:r w:rsidRPr="008020DE">
        <w:t>neplatí,</w:t>
      </w:r>
      <w:r>
        <w:t xml:space="preserve"> </w:t>
      </w:r>
      <w:r w:rsidRPr="008020DE">
        <w:t>je-li</w:t>
      </w:r>
      <w:r>
        <w:t xml:space="preserve"> </w:t>
      </w:r>
      <w:r w:rsidRPr="008020DE">
        <w:t>toto</w:t>
      </w:r>
      <w:r>
        <w:t xml:space="preserve"> </w:t>
      </w:r>
      <w:r w:rsidRPr="008020DE">
        <w:t>uskutečněné</w:t>
      </w:r>
      <w:r>
        <w:t xml:space="preserve"> </w:t>
      </w:r>
      <w:r w:rsidRPr="008020DE">
        <w:t>plnění</w:t>
      </w:r>
      <w:r>
        <w:t xml:space="preserve"> </w:t>
      </w:r>
      <w:r w:rsidRPr="008020DE">
        <w:t>nedílnou</w:t>
      </w:r>
      <w:r>
        <w:t xml:space="preserve"> </w:t>
      </w:r>
      <w:r w:rsidRPr="008020DE">
        <w:t>součástí</w:t>
      </w:r>
      <w:r>
        <w:t xml:space="preserve"> </w:t>
      </w:r>
      <w:r w:rsidRPr="008020DE">
        <w:t>obvyklé</w:t>
      </w:r>
      <w:r>
        <w:t xml:space="preserve"> </w:t>
      </w:r>
      <w:r w:rsidRPr="008020DE">
        <w:t>ekonomické</w:t>
      </w:r>
      <w:r>
        <w:t xml:space="preserve"> </w:t>
      </w:r>
      <w:r w:rsidRPr="008020DE">
        <w:t>činnosti</w:t>
      </w:r>
      <w:r>
        <w:t xml:space="preserve"> </w:t>
      </w:r>
      <w:r w:rsidRPr="008020DE">
        <w:t>plátce,</w:t>
      </w:r>
    </w:p>
    <w:p w14:paraId="0DAB9208" w14:textId="77777777" w:rsidR="001D06F7" w:rsidRDefault="001D06F7" w:rsidP="001D06F7">
      <w:pPr>
        <w:pStyle w:val="PZTextpsmene"/>
        <w:spacing w:before="0"/>
      </w:pPr>
      <w:r w:rsidRPr="008020DE">
        <w:t>b</w:t>
      </w:r>
      <w:r>
        <w:t>)</w:t>
      </w:r>
      <w:r>
        <w:tab/>
      </w:r>
      <w:r w:rsidRPr="008020DE">
        <w:t>poskytnutí</w:t>
      </w:r>
      <w:r>
        <w:t xml:space="preserve"> </w:t>
      </w:r>
      <w:r w:rsidRPr="008020DE">
        <w:t>finančních</w:t>
      </w:r>
      <w:r>
        <w:t xml:space="preserve"> </w:t>
      </w:r>
      <w:r w:rsidRPr="008020DE">
        <w:t>služeb,</w:t>
      </w:r>
      <w:r>
        <w:t xml:space="preserve"> </w:t>
      </w:r>
      <w:r w:rsidRPr="008020DE">
        <w:t>dodání</w:t>
      </w:r>
      <w:r>
        <w:t xml:space="preserve"> </w:t>
      </w:r>
      <w:r w:rsidRPr="008020DE">
        <w:t>nemovité</w:t>
      </w:r>
      <w:r>
        <w:t xml:space="preserve"> </w:t>
      </w:r>
      <w:r w:rsidRPr="008020DE">
        <w:t>věci</w:t>
      </w:r>
      <w:r>
        <w:t xml:space="preserve"> </w:t>
      </w:r>
      <w:r w:rsidRPr="008020DE">
        <w:t>a</w:t>
      </w:r>
      <w:r>
        <w:t xml:space="preserve"> </w:t>
      </w:r>
      <w:r w:rsidRPr="008020DE">
        <w:t>nájem</w:t>
      </w:r>
      <w:r>
        <w:t xml:space="preserve"> </w:t>
      </w:r>
      <w:r w:rsidRPr="008020DE">
        <w:t>nemovité</w:t>
      </w:r>
      <w:r>
        <w:t xml:space="preserve"> </w:t>
      </w:r>
      <w:r w:rsidRPr="008020DE">
        <w:t>věci,</w:t>
      </w:r>
      <w:r>
        <w:t xml:space="preserve"> </w:t>
      </w:r>
      <w:r w:rsidRPr="008020DE">
        <w:t>a</w:t>
      </w:r>
      <w:r>
        <w:t xml:space="preserve"> </w:t>
      </w:r>
      <w:r w:rsidRPr="008020DE">
        <w:t>to</w:t>
      </w:r>
      <w:r>
        <w:t xml:space="preserve"> </w:t>
      </w:r>
      <w:r w:rsidRPr="008020DE">
        <w:t>pouze</w:t>
      </w:r>
      <w:r>
        <w:t xml:space="preserve"> </w:t>
      </w:r>
      <w:r w:rsidRPr="008020DE">
        <w:t>pokud</w:t>
      </w:r>
      <w:r>
        <w:t xml:space="preserve"> </w:t>
      </w:r>
      <w:r w:rsidRPr="008020DE">
        <w:t>jsou</w:t>
      </w:r>
      <w:r>
        <w:t xml:space="preserve"> </w:t>
      </w:r>
      <w:r w:rsidRPr="008020DE">
        <w:t>doplňkovou</w:t>
      </w:r>
      <w:r>
        <w:t xml:space="preserve"> </w:t>
      </w:r>
      <w:r w:rsidRPr="008020DE">
        <w:t>činností</w:t>
      </w:r>
      <w:r>
        <w:t xml:space="preserve"> </w:t>
      </w:r>
      <w:r w:rsidRPr="008020DE">
        <w:t>plátce</w:t>
      </w:r>
      <w:r>
        <w:t xml:space="preserve"> </w:t>
      </w:r>
      <w:r w:rsidRPr="008020DE">
        <w:t>uskutečňovanou</w:t>
      </w:r>
      <w:r>
        <w:t xml:space="preserve"> </w:t>
      </w:r>
      <w:r w:rsidRPr="008020DE">
        <w:t>příležitostně,</w:t>
      </w:r>
    </w:p>
    <w:p w14:paraId="0A0E085D" w14:textId="77777777" w:rsidR="001D06F7" w:rsidRDefault="001D06F7" w:rsidP="001D06F7">
      <w:pPr>
        <w:pStyle w:val="PZTextpsmene"/>
        <w:spacing w:before="0"/>
      </w:pPr>
      <w:r w:rsidRPr="008020DE">
        <w:t>c</w:t>
      </w:r>
      <w:r>
        <w:t>)</w:t>
      </w:r>
      <w:r>
        <w:tab/>
      </w:r>
      <w:r w:rsidRPr="008020DE">
        <w:t>plnění</w:t>
      </w:r>
      <w:r>
        <w:t xml:space="preserve"> </w:t>
      </w:r>
      <w:r w:rsidRPr="008020DE">
        <w:t>podle</w:t>
      </w:r>
      <w:r>
        <w:t xml:space="preserve"> </w:t>
      </w:r>
      <w:r w:rsidRPr="008020DE">
        <w:t>§</w:t>
      </w:r>
      <w:r>
        <w:t xml:space="preserve"> </w:t>
      </w:r>
      <w:r w:rsidRPr="008020DE">
        <w:t>13</w:t>
      </w:r>
      <w:r>
        <w:t xml:space="preserve"> </w:t>
      </w:r>
      <w:r w:rsidRPr="008020DE">
        <w:t>odst.</w:t>
      </w:r>
      <w:r>
        <w:t xml:space="preserve"> </w:t>
      </w:r>
      <w:r w:rsidRPr="008020DE">
        <w:t>4</w:t>
      </w:r>
      <w:r>
        <w:t xml:space="preserve"> </w:t>
      </w:r>
      <w:r w:rsidRPr="008020DE">
        <w:t>písm.</w:t>
      </w:r>
      <w:r>
        <w:t xml:space="preserve"> </w:t>
      </w:r>
      <w:r w:rsidRPr="008020DE">
        <w:t>b).</w:t>
      </w:r>
    </w:p>
    <w:p w14:paraId="576387E3" w14:textId="77777777" w:rsidR="001D06F7" w:rsidRDefault="001D06F7" w:rsidP="001D06F7">
      <w:pPr>
        <w:pStyle w:val="PZTextodstavce"/>
      </w:pPr>
      <w:r w:rsidRPr="008020DE">
        <w:t>(5</w:t>
      </w:r>
      <w:r>
        <w:t>)</w:t>
      </w:r>
      <w:r>
        <w:tab/>
      </w:r>
      <w:r w:rsidRPr="008020DE">
        <w:t>Je-li</w:t>
      </w:r>
      <w:r>
        <w:t xml:space="preserve"> </w:t>
      </w:r>
      <w:r w:rsidRPr="008020DE">
        <w:t>hodnota</w:t>
      </w:r>
      <w:r>
        <w:t xml:space="preserve"> </w:t>
      </w:r>
      <w:r w:rsidRPr="008020DE">
        <w:t>ve</w:t>
      </w:r>
      <w:r>
        <w:t xml:space="preserve"> </w:t>
      </w:r>
      <w:r w:rsidRPr="008020DE">
        <w:t>jmenovateli</w:t>
      </w:r>
      <w:r>
        <w:t xml:space="preserve"> </w:t>
      </w:r>
      <w:r w:rsidRPr="008020DE">
        <w:t>podílu</w:t>
      </w:r>
      <w:r>
        <w:t xml:space="preserve"> </w:t>
      </w:r>
      <w:r w:rsidRPr="008020DE">
        <w:t>vypočteného</w:t>
      </w:r>
      <w:r>
        <w:t xml:space="preserve"> </w:t>
      </w:r>
      <w:r w:rsidRPr="008020DE">
        <w:t>podle</w:t>
      </w:r>
      <w:r>
        <w:t xml:space="preserve"> </w:t>
      </w:r>
      <w:r w:rsidRPr="008020DE">
        <w:t>odstavce</w:t>
      </w:r>
      <w:r>
        <w:t xml:space="preserve"> </w:t>
      </w:r>
      <w:r w:rsidRPr="008020DE">
        <w:t>3</w:t>
      </w:r>
      <w:r>
        <w:t xml:space="preserve"> </w:t>
      </w:r>
      <w:r w:rsidRPr="008020DE">
        <w:t>kladné</w:t>
      </w:r>
      <w:r>
        <w:t xml:space="preserve"> </w:t>
      </w:r>
      <w:r w:rsidRPr="008020DE">
        <w:t>číslo</w:t>
      </w:r>
      <w:r>
        <w:t xml:space="preserve"> </w:t>
      </w:r>
      <w:r w:rsidRPr="008020DE">
        <w:t>a</w:t>
      </w:r>
      <w:r>
        <w:t xml:space="preserve"> </w:t>
      </w:r>
      <w:r w:rsidRPr="008020DE">
        <w:t>hodnota</w:t>
      </w:r>
      <w:r>
        <w:t xml:space="preserve"> </w:t>
      </w:r>
      <w:r w:rsidRPr="008020DE">
        <w:t>v</w:t>
      </w:r>
      <w:r>
        <w:t xml:space="preserve"> </w:t>
      </w:r>
      <w:r w:rsidRPr="008020DE">
        <w:t>jeho</w:t>
      </w:r>
      <w:r>
        <w:t xml:space="preserve"> </w:t>
      </w:r>
      <w:r w:rsidRPr="008020DE">
        <w:t>čitateli</w:t>
      </w:r>
      <w:r>
        <w:t xml:space="preserve"> </w:t>
      </w:r>
      <w:r w:rsidRPr="008020DE">
        <w:t>nula</w:t>
      </w:r>
      <w:r>
        <w:t xml:space="preserve"> </w:t>
      </w:r>
      <w:r w:rsidRPr="008020DE">
        <w:t>nebo</w:t>
      </w:r>
      <w:r>
        <w:t xml:space="preserve"> </w:t>
      </w:r>
      <w:r w:rsidRPr="008020DE">
        <w:t>záporné</w:t>
      </w:r>
      <w:r>
        <w:t xml:space="preserve"> </w:t>
      </w:r>
      <w:r w:rsidRPr="008020DE">
        <w:t>číslo,</w:t>
      </w:r>
      <w:r>
        <w:t xml:space="preserve"> </w:t>
      </w:r>
      <w:r w:rsidRPr="008020DE">
        <w:t>je</w:t>
      </w:r>
      <w:r>
        <w:t xml:space="preserve"> </w:t>
      </w:r>
      <w:r w:rsidRPr="008020DE">
        <w:t>koeficient</w:t>
      </w:r>
      <w:r>
        <w:t xml:space="preserve"> </w:t>
      </w:r>
      <w:r w:rsidRPr="008020DE">
        <w:t>0</w:t>
      </w:r>
      <w:r>
        <w:t xml:space="preserve"> </w:t>
      </w:r>
      <w:r w:rsidRPr="008020DE">
        <w:t>%.</w:t>
      </w:r>
      <w:r>
        <w:t xml:space="preserve"> </w:t>
      </w:r>
      <w:r w:rsidRPr="008020DE">
        <w:t>Je-li</w:t>
      </w:r>
      <w:r>
        <w:t xml:space="preserve"> </w:t>
      </w:r>
      <w:r w:rsidRPr="008020DE">
        <w:t>hodnota</w:t>
      </w:r>
      <w:r>
        <w:t xml:space="preserve"> </w:t>
      </w:r>
      <w:r w:rsidRPr="008020DE">
        <w:t>ve</w:t>
      </w:r>
      <w:r>
        <w:t xml:space="preserve"> </w:t>
      </w:r>
      <w:r w:rsidRPr="008020DE">
        <w:t>jmenovateli</w:t>
      </w:r>
      <w:r>
        <w:t xml:space="preserve"> </w:t>
      </w:r>
      <w:r w:rsidRPr="008020DE">
        <w:t>tohoto</w:t>
      </w:r>
      <w:r>
        <w:t xml:space="preserve"> </w:t>
      </w:r>
      <w:r w:rsidRPr="008020DE">
        <w:t>podílu</w:t>
      </w:r>
      <w:r>
        <w:t xml:space="preserve"> </w:t>
      </w:r>
      <w:r w:rsidRPr="008020DE">
        <w:t>nula</w:t>
      </w:r>
      <w:r>
        <w:t xml:space="preserve"> </w:t>
      </w:r>
      <w:r w:rsidRPr="008020DE">
        <w:t>nebo</w:t>
      </w:r>
      <w:r>
        <w:t xml:space="preserve"> </w:t>
      </w:r>
      <w:r w:rsidRPr="008020DE">
        <w:t>záporné</w:t>
      </w:r>
      <w:r>
        <w:t xml:space="preserve"> </w:t>
      </w:r>
      <w:r w:rsidRPr="008020DE">
        <w:t>číslo</w:t>
      </w:r>
      <w:r>
        <w:t xml:space="preserve"> </w:t>
      </w:r>
      <w:r w:rsidRPr="008020DE">
        <w:t>a</w:t>
      </w:r>
      <w:r>
        <w:t xml:space="preserve"> </w:t>
      </w:r>
      <w:r w:rsidRPr="008020DE">
        <w:t>hodnota</w:t>
      </w:r>
      <w:r>
        <w:t xml:space="preserve"> </w:t>
      </w:r>
      <w:r w:rsidRPr="008020DE">
        <w:t>v</w:t>
      </w:r>
      <w:r>
        <w:t xml:space="preserve"> </w:t>
      </w:r>
      <w:r w:rsidRPr="008020DE">
        <w:t>jeho</w:t>
      </w:r>
      <w:r>
        <w:t xml:space="preserve"> </w:t>
      </w:r>
      <w:r w:rsidRPr="008020DE">
        <w:t>čitateli</w:t>
      </w:r>
      <w:r>
        <w:t xml:space="preserve"> </w:t>
      </w:r>
      <w:r w:rsidRPr="008020DE">
        <w:t>nula</w:t>
      </w:r>
      <w:r>
        <w:t xml:space="preserve"> </w:t>
      </w:r>
      <w:r w:rsidRPr="008020DE">
        <w:t>nebo</w:t>
      </w:r>
      <w:r>
        <w:t xml:space="preserve"> </w:t>
      </w:r>
      <w:r w:rsidRPr="008020DE">
        <w:t>kladné</w:t>
      </w:r>
      <w:r>
        <w:t xml:space="preserve"> </w:t>
      </w:r>
      <w:r w:rsidRPr="008020DE">
        <w:t>číslo,</w:t>
      </w:r>
      <w:r>
        <w:t xml:space="preserve"> </w:t>
      </w:r>
      <w:r w:rsidRPr="008020DE">
        <w:t>je</w:t>
      </w:r>
      <w:r>
        <w:t xml:space="preserve"> </w:t>
      </w:r>
      <w:r w:rsidRPr="008020DE">
        <w:t>koeficient</w:t>
      </w:r>
      <w:r>
        <w:t xml:space="preserve"> </w:t>
      </w:r>
      <w:r w:rsidRPr="008020DE">
        <w:t>100</w:t>
      </w:r>
      <w:r>
        <w:t xml:space="preserve"> </w:t>
      </w:r>
      <w:r w:rsidRPr="008020DE">
        <w:t>%.</w:t>
      </w:r>
      <w:r>
        <w:t xml:space="preserve"> </w:t>
      </w:r>
      <w:r w:rsidRPr="008020DE">
        <w:t>Je-li</w:t>
      </w:r>
      <w:r>
        <w:t xml:space="preserve"> </w:t>
      </w:r>
      <w:r w:rsidRPr="008020DE">
        <w:t>koeficient</w:t>
      </w:r>
      <w:r>
        <w:t xml:space="preserve"> </w:t>
      </w:r>
      <w:r w:rsidRPr="008020DE">
        <w:t>vypočtený</w:t>
      </w:r>
      <w:r>
        <w:t xml:space="preserve"> </w:t>
      </w:r>
      <w:r w:rsidRPr="008020DE">
        <w:t>podle</w:t>
      </w:r>
      <w:r>
        <w:t xml:space="preserve"> </w:t>
      </w:r>
      <w:r w:rsidRPr="008020DE">
        <w:t>odstavce</w:t>
      </w:r>
      <w:r>
        <w:t xml:space="preserve"> </w:t>
      </w:r>
      <w:r w:rsidRPr="008020DE">
        <w:t>3</w:t>
      </w:r>
      <w:r>
        <w:t xml:space="preserve"> </w:t>
      </w:r>
      <w:r w:rsidRPr="008020DE">
        <w:t>roven</w:t>
      </w:r>
      <w:r>
        <w:t xml:space="preserve"> </w:t>
      </w:r>
      <w:r w:rsidRPr="008020DE">
        <w:t>nebo</w:t>
      </w:r>
      <w:r>
        <w:t xml:space="preserve"> </w:t>
      </w:r>
      <w:r w:rsidRPr="008020DE">
        <w:t>vyšší</w:t>
      </w:r>
      <w:r>
        <w:t xml:space="preserve"> </w:t>
      </w:r>
      <w:r w:rsidRPr="008020DE">
        <w:t>než</w:t>
      </w:r>
      <w:r>
        <w:t xml:space="preserve"> </w:t>
      </w:r>
      <w:r w:rsidRPr="008020DE">
        <w:t>95</w:t>
      </w:r>
      <w:r>
        <w:t xml:space="preserve"> </w:t>
      </w:r>
      <w:r w:rsidRPr="008020DE">
        <w:t>%,</w:t>
      </w:r>
      <w:r>
        <w:t xml:space="preserve"> </w:t>
      </w:r>
      <w:r w:rsidRPr="008020DE">
        <w:t>považuje</w:t>
      </w:r>
      <w:r>
        <w:t xml:space="preserve"> </w:t>
      </w:r>
      <w:r w:rsidRPr="008020DE">
        <w:t>se</w:t>
      </w:r>
      <w:r>
        <w:t xml:space="preserve"> </w:t>
      </w:r>
      <w:r w:rsidRPr="008020DE">
        <w:t>za</w:t>
      </w:r>
      <w:r>
        <w:t xml:space="preserve"> </w:t>
      </w:r>
      <w:r w:rsidRPr="008020DE">
        <w:t>roven</w:t>
      </w:r>
      <w:r>
        <w:t xml:space="preserve"> </w:t>
      </w:r>
      <w:r w:rsidRPr="008020DE">
        <w:t>100</w:t>
      </w:r>
      <w:r>
        <w:t xml:space="preserve"> </w:t>
      </w:r>
      <w:r w:rsidRPr="008020DE">
        <w:t>%.</w:t>
      </w:r>
    </w:p>
    <w:p w14:paraId="206100D5" w14:textId="77777777" w:rsidR="001D06F7" w:rsidRDefault="001D06F7" w:rsidP="001D06F7">
      <w:pPr>
        <w:pStyle w:val="PZTextodstavce"/>
      </w:pPr>
      <w:r w:rsidRPr="008020DE">
        <w:t>(6</w:t>
      </w:r>
      <w:r>
        <w:t>)</w:t>
      </w:r>
      <w:r>
        <w:tab/>
      </w:r>
      <w:r w:rsidRPr="008020DE">
        <w:t>Pro</w:t>
      </w:r>
      <w:r>
        <w:t xml:space="preserve"> </w:t>
      </w:r>
      <w:r w:rsidRPr="008020DE">
        <w:t>výpočet</w:t>
      </w:r>
      <w:r>
        <w:t xml:space="preserve"> </w:t>
      </w:r>
      <w:r w:rsidRPr="008020DE">
        <w:t>nároku</w:t>
      </w:r>
      <w:r>
        <w:t xml:space="preserve"> </w:t>
      </w:r>
      <w:r w:rsidRPr="008020DE">
        <w:t>na</w:t>
      </w:r>
      <w:r>
        <w:t xml:space="preserve"> </w:t>
      </w:r>
      <w:r w:rsidRPr="008020DE">
        <w:t>odpočet</w:t>
      </w:r>
      <w:r>
        <w:t xml:space="preserve"> </w:t>
      </w:r>
      <w:r w:rsidRPr="008020DE">
        <w:t>daně</w:t>
      </w:r>
      <w:r>
        <w:t xml:space="preserve"> </w:t>
      </w:r>
      <w:r w:rsidRPr="008020DE">
        <w:t>v</w:t>
      </w:r>
      <w:r>
        <w:t xml:space="preserve"> </w:t>
      </w:r>
      <w:r w:rsidRPr="008020DE">
        <w:t>krácené</w:t>
      </w:r>
      <w:r>
        <w:t xml:space="preserve"> </w:t>
      </w:r>
      <w:r w:rsidRPr="008020DE">
        <w:t>výši</w:t>
      </w:r>
      <w:r>
        <w:t xml:space="preserve"> </w:t>
      </w:r>
      <w:r w:rsidRPr="008020DE">
        <w:t>ve</w:t>
      </w:r>
      <w:r>
        <w:t xml:space="preserve"> </w:t>
      </w:r>
      <w:r w:rsidRPr="008020DE">
        <w:t>zdaňovacích</w:t>
      </w:r>
      <w:r>
        <w:t xml:space="preserve"> </w:t>
      </w:r>
      <w:r w:rsidRPr="008020DE">
        <w:t>obdobích</w:t>
      </w:r>
      <w:r>
        <w:t xml:space="preserve"> </w:t>
      </w:r>
      <w:r w:rsidRPr="008020DE">
        <w:t>aktuálního</w:t>
      </w:r>
      <w:r>
        <w:t xml:space="preserve"> </w:t>
      </w:r>
      <w:r w:rsidRPr="008020DE">
        <w:t>kalendářního</w:t>
      </w:r>
      <w:r>
        <w:t xml:space="preserve"> </w:t>
      </w:r>
      <w:r w:rsidRPr="008020DE">
        <w:t>roku</w:t>
      </w:r>
      <w:r>
        <w:t xml:space="preserve"> </w:t>
      </w:r>
      <w:r w:rsidRPr="008020DE">
        <w:t>plátce</w:t>
      </w:r>
      <w:r>
        <w:t xml:space="preserve"> </w:t>
      </w:r>
      <w:r w:rsidRPr="008020DE">
        <w:t>použije</w:t>
      </w:r>
      <w:r>
        <w:t xml:space="preserve"> </w:t>
      </w:r>
      <w:r w:rsidRPr="008020DE">
        <w:t>koeficient</w:t>
      </w:r>
      <w:r>
        <w:t xml:space="preserve"> </w:t>
      </w:r>
      <w:r w:rsidRPr="008020DE">
        <w:t>vypočtený</w:t>
      </w:r>
      <w:r>
        <w:t xml:space="preserve"> </w:t>
      </w:r>
      <w:r w:rsidRPr="008020DE">
        <w:t>z</w:t>
      </w:r>
      <w:r>
        <w:t xml:space="preserve"> </w:t>
      </w:r>
      <w:r w:rsidRPr="008020DE">
        <w:t>údajů</w:t>
      </w:r>
      <w:r>
        <w:t xml:space="preserve"> </w:t>
      </w:r>
      <w:r w:rsidRPr="008020DE">
        <w:t>za</w:t>
      </w:r>
      <w:r>
        <w:t xml:space="preserve"> </w:t>
      </w:r>
      <w:r w:rsidRPr="008020DE">
        <w:t>zdaňovací</w:t>
      </w:r>
      <w:r>
        <w:t xml:space="preserve"> </w:t>
      </w:r>
      <w:r w:rsidRPr="008020DE">
        <w:t>období</w:t>
      </w:r>
      <w:r>
        <w:t xml:space="preserve"> </w:t>
      </w:r>
      <w:r w:rsidRPr="008020DE">
        <w:t>předcházejícího</w:t>
      </w:r>
      <w:r>
        <w:t xml:space="preserve"> </w:t>
      </w:r>
      <w:r w:rsidRPr="008020DE">
        <w:t>kalendářního</w:t>
      </w:r>
      <w:r>
        <w:t xml:space="preserve"> </w:t>
      </w:r>
      <w:r w:rsidRPr="008020DE">
        <w:t>roku</w:t>
      </w:r>
      <w:r>
        <w:t xml:space="preserve"> </w:t>
      </w:r>
      <w:r w:rsidRPr="008020DE">
        <w:t>při</w:t>
      </w:r>
      <w:r>
        <w:t xml:space="preserve"> </w:t>
      </w:r>
      <w:r w:rsidRPr="008020DE">
        <w:t>vypořádání</w:t>
      </w:r>
      <w:r>
        <w:t xml:space="preserve"> </w:t>
      </w:r>
      <w:r w:rsidRPr="008020DE">
        <w:t>odpočtu</w:t>
      </w:r>
      <w:r>
        <w:t xml:space="preserve"> </w:t>
      </w:r>
      <w:r w:rsidRPr="008020DE">
        <w:t>daně.</w:t>
      </w:r>
      <w:r>
        <w:t xml:space="preserve"> </w:t>
      </w:r>
      <w:r w:rsidRPr="008020DE">
        <w:t>Pokud</w:t>
      </w:r>
      <w:r>
        <w:t xml:space="preserve"> </w:t>
      </w:r>
      <w:r w:rsidRPr="008020DE">
        <w:t>plnění</w:t>
      </w:r>
      <w:r>
        <w:t xml:space="preserve"> </w:t>
      </w:r>
      <w:r w:rsidRPr="008020DE">
        <w:t>pro</w:t>
      </w:r>
      <w:r>
        <w:t xml:space="preserve"> </w:t>
      </w:r>
      <w:r w:rsidRPr="008020DE">
        <w:t>výpočet</w:t>
      </w:r>
      <w:r>
        <w:t xml:space="preserve"> </w:t>
      </w:r>
      <w:r w:rsidRPr="008020DE">
        <w:t>koeficientu</w:t>
      </w:r>
      <w:r>
        <w:t xml:space="preserve"> </w:t>
      </w:r>
      <w:r w:rsidRPr="008020DE">
        <w:t>za</w:t>
      </w:r>
      <w:r>
        <w:t xml:space="preserve"> </w:t>
      </w:r>
      <w:r w:rsidRPr="008020DE">
        <w:t>předcházející</w:t>
      </w:r>
      <w:r>
        <w:t xml:space="preserve"> </w:t>
      </w:r>
      <w:r w:rsidRPr="008020DE">
        <w:t>kalendářní</w:t>
      </w:r>
      <w:r>
        <w:t xml:space="preserve"> </w:t>
      </w:r>
      <w:r w:rsidRPr="008020DE">
        <w:t>rok</w:t>
      </w:r>
      <w:r>
        <w:t xml:space="preserve"> </w:t>
      </w:r>
      <w:r w:rsidRPr="008020DE">
        <w:t>neexistují,</w:t>
      </w:r>
      <w:r>
        <w:t xml:space="preserve"> </w:t>
      </w:r>
      <w:r w:rsidRPr="008020DE">
        <w:t>stanoví</w:t>
      </w:r>
      <w:r>
        <w:t xml:space="preserve"> </w:t>
      </w:r>
      <w:r w:rsidRPr="008020DE">
        <w:t>výši</w:t>
      </w:r>
      <w:r>
        <w:t xml:space="preserve"> </w:t>
      </w:r>
      <w:r w:rsidRPr="008020DE">
        <w:t>tohoto</w:t>
      </w:r>
      <w:r>
        <w:t xml:space="preserve"> </w:t>
      </w:r>
      <w:r w:rsidRPr="008020DE">
        <w:t>koeficientu</w:t>
      </w:r>
      <w:r>
        <w:t xml:space="preserve"> </w:t>
      </w:r>
      <w:r w:rsidRPr="008020DE">
        <w:t>plátce</w:t>
      </w:r>
      <w:r>
        <w:t xml:space="preserve"> </w:t>
      </w:r>
      <w:r w:rsidRPr="008020DE">
        <w:t>kvalifikovaným</w:t>
      </w:r>
      <w:r>
        <w:t xml:space="preserve"> </w:t>
      </w:r>
      <w:r w:rsidRPr="008020DE">
        <w:t>odhadem.</w:t>
      </w:r>
      <w:r>
        <w:t xml:space="preserve"> </w:t>
      </w:r>
      <w:r w:rsidRPr="008020DE">
        <w:t>Dojde-li</w:t>
      </w:r>
      <w:r>
        <w:t xml:space="preserve"> </w:t>
      </w:r>
      <w:r w:rsidRPr="008020DE">
        <w:t>ke</w:t>
      </w:r>
      <w:r>
        <w:t xml:space="preserve"> </w:t>
      </w:r>
      <w:r w:rsidRPr="008020DE">
        <w:t>změně</w:t>
      </w:r>
      <w:r>
        <w:t xml:space="preserve"> </w:t>
      </w:r>
      <w:r w:rsidRPr="008020DE">
        <w:t>hodnoty</w:t>
      </w:r>
      <w:r>
        <w:t xml:space="preserve"> </w:t>
      </w:r>
      <w:r w:rsidRPr="008020DE">
        <w:t>koeficientu</w:t>
      </w:r>
      <w:r>
        <w:t xml:space="preserve"> </w:t>
      </w:r>
      <w:r w:rsidRPr="008020DE">
        <w:t>za</w:t>
      </w:r>
      <w:r>
        <w:t xml:space="preserve"> </w:t>
      </w:r>
      <w:r w:rsidRPr="008020DE">
        <w:t>předcházející</w:t>
      </w:r>
      <w:r>
        <w:t xml:space="preserve"> </w:t>
      </w:r>
      <w:r w:rsidRPr="008020DE">
        <w:t>kalendářní</w:t>
      </w:r>
      <w:r>
        <w:t xml:space="preserve"> </w:t>
      </w:r>
      <w:r w:rsidRPr="008020DE">
        <w:t>rok</w:t>
      </w:r>
      <w:r>
        <w:t xml:space="preserve"> </w:t>
      </w:r>
      <w:r w:rsidRPr="008020DE">
        <w:t>na</w:t>
      </w:r>
      <w:r>
        <w:t xml:space="preserve"> </w:t>
      </w:r>
      <w:r w:rsidRPr="008020DE">
        <w:t>základě</w:t>
      </w:r>
      <w:r>
        <w:t xml:space="preserve"> </w:t>
      </w:r>
      <w:r w:rsidRPr="008020DE">
        <w:t>vyměření</w:t>
      </w:r>
      <w:r>
        <w:t xml:space="preserve"> </w:t>
      </w:r>
      <w:r w:rsidRPr="008020DE">
        <w:t>daně</w:t>
      </w:r>
      <w:r>
        <w:t xml:space="preserve"> </w:t>
      </w:r>
      <w:r w:rsidRPr="008020DE">
        <w:t>za</w:t>
      </w:r>
      <w:r>
        <w:t xml:space="preserve"> </w:t>
      </w:r>
      <w:r w:rsidRPr="008020DE">
        <w:t>poslední</w:t>
      </w:r>
      <w:r>
        <w:t xml:space="preserve"> </w:t>
      </w:r>
      <w:r w:rsidRPr="008020DE">
        <w:t>zdaňovací</w:t>
      </w:r>
      <w:r>
        <w:t xml:space="preserve"> </w:t>
      </w:r>
      <w:r w:rsidRPr="008020DE">
        <w:t>období</w:t>
      </w:r>
      <w:r>
        <w:t xml:space="preserve"> </w:t>
      </w:r>
      <w:r w:rsidRPr="008020DE">
        <w:t>předcházejícího</w:t>
      </w:r>
      <w:r>
        <w:t xml:space="preserve"> </w:t>
      </w:r>
      <w:r w:rsidRPr="008020DE">
        <w:t>kalendářního</w:t>
      </w:r>
      <w:r>
        <w:t xml:space="preserve"> </w:t>
      </w:r>
      <w:r w:rsidRPr="008020DE">
        <w:t>roku,</w:t>
      </w:r>
      <w:r>
        <w:t xml:space="preserve"> </w:t>
      </w:r>
      <w:r w:rsidRPr="008020DE">
        <w:t>je</w:t>
      </w:r>
      <w:r>
        <w:t xml:space="preserve"> </w:t>
      </w:r>
      <w:r w:rsidRPr="008020DE">
        <w:t>plátce</w:t>
      </w:r>
      <w:r>
        <w:t xml:space="preserve"> </w:t>
      </w:r>
      <w:r w:rsidRPr="008020DE">
        <w:t>povinen</w:t>
      </w:r>
      <w:r>
        <w:t xml:space="preserve"> </w:t>
      </w:r>
      <w:r w:rsidRPr="008020DE">
        <w:t>použít</w:t>
      </w:r>
      <w:r>
        <w:t xml:space="preserve"> </w:t>
      </w:r>
      <w:r w:rsidRPr="008020DE">
        <w:t>novou</w:t>
      </w:r>
      <w:r>
        <w:t xml:space="preserve"> </w:t>
      </w:r>
      <w:r w:rsidRPr="008020DE">
        <w:t>hodnotu</w:t>
      </w:r>
      <w:r>
        <w:t xml:space="preserve"> </w:t>
      </w:r>
      <w:r w:rsidRPr="008020DE">
        <w:t>tohoto</w:t>
      </w:r>
      <w:r>
        <w:t xml:space="preserve"> </w:t>
      </w:r>
      <w:r w:rsidRPr="008020DE">
        <w:t>koeficientu</w:t>
      </w:r>
      <w:r>
        <w:t xml:space="preserve"> </w:t>
      </w:r>
      <w:r w:rsidRPr="008020DE">
        <w:t>pro</w:t>
      </w:r>
      <w:r>
        <w:t xml:space="preserve"> </w:t>
      </w:r>
      <w:r w:rsidRPr="008020DE">
        <w:t>výpočet</w:t>
      </w:r>
      <w:r>
        <w:t xml:space="preserve"> </w:t>
      </w:r>
      <w:r w:rsidRPr="008020DE">
        <w:t>nároku</w:t>
      </w:r>
      <w:r>
        <w:t xml:space="preserve"> </w:t>
      </w:r>
      <w:r w:rsidRPr="008020DE">
        <w:t>na</w:t>
      </w:r>
      <w:r>
        <w:t xml:space="preserve"> </w:t>
      </w:r>
      <w:r w:rsidRPr="008020DE">
        <w:t>odpočet</w:t>
      </w:r>
      <w:r>
        <w:t xml:space="preserve"> </w:t>
      </w:r>
      <w:r w:rsidRPr="008020DE">
        <w:t>daně</w:t>
      </w:r>
      <w:r>
        <w:t xml:space="preserve"> </w:t>
      </w:r>
      <w:r w:rsidRPr="008020DE">
        <w:t>v</w:t>
      </w:r>
      <w:r>
        <w:t xml:space="preserve"> </w:t>
      </w:r>
      <w:r w:rsidRPr="008020DE">
        <w:t>krácené</w:t>
      </w:r>
      <w:r>
        <w:t xml:space="preserve"> </w:t>
      </w:r>
      <w:r w:rsidRPr="008020DE">
        <w:t>výši</w:t>
      </w:r>
      <w:r>
        <w:t xml:space="preserve"> </w:t>
      </w:r>
      <w:r w:rsidRPr="008020DE">
        <w:t>v</w:t>
      </w:r>
      <w:r>
        <w:t xml:space="preserve"> </w:t>
      </w:r>
      <w:r w:rsidRPr="008020DE">
        <w:t>aktuálním</w:t>
      </w:r>
      <w:r>
        <w:t xml:space="preserve"> </w:t>
      </w:r>
      <w:r w:rsidRPr="008020DE">
        <w:t>kalendářním</w:t>
      </w:r>
      <w:r>
        <w:t xml:space="preserve"> </w:t>
      </w:r>
      <w:r w:rsidRPr="008020DE">
        <w:t>roce</w:t>
      </w:r>
      <w:r>
        <w:t xml:space="preserve"> </w:t>
      </w:r>
      <w:r w:rsidRPr="008020DE">
        <w:t>od</w:t>
      </w:r>
      <w:r>
        <w:t xml:space="preserve"> </w:t>
      </w:r>
      <w:r w:rsidRPr="008020DE">
        <w:t>zdaňovacího</w:t>
      </w:r>
      <w:r>
        <w:t xml:space="preserve"> </w:t>
      </w:r>
      <w:r w:rsidRPr="008020DE">
        <w:t>období</w:t>
      </w:r>
      <w:r>
        <w:t xml:space="preserve"> </w:t>
      </w:r>
      <w:r w:rsidRPr="008020DE">
        <w:t>následujícího</w:t>
      </w:r>
      <w:r>
        <w:t xml:space="preserve"> </w:t>
      </w:r>
      <w:r w:rsidRPr="008020DE">
        <w:t>po</w:t>
      </w:r>
      <w:r>
        <w:t xml:space="preserve"> </w:t>
      </w:r>
      <w:r w:rsidRPr="008020DE">
        <w:t>zdaňovacím</w:t>
      </w:r>
      <w:r>
        <w:t xml:space="preserve"> </w:t>
      </w:r>
      <w:r w:rsidRPr="008020DE">
        <w:t>období,</w:t>
      </w:r>
      <w:r>
        <w:t xml:space="preserve"> </w:t>
      </w:r>
      <w:r w:rsidRPr="008020DE">
        <w:t>v</w:t>
      </w:r>
      <w:r>
        <w:t xml:space="preserve"> </w:t>
      </w:r>
      <w:r w:rsidRPr="008020DE">
        <w:t>němž</w:t>
      </w:r>
      <w:r>
        <w:t xml:space="preserve"> </w:t>
      </w:r>
      <w:r w:rsidRPr="008020DE">
        <w:t>platební</w:t>
      </w:r>
      <w:r>
        <w:t xml:space="preserve"> </w:t>
      </w:r>
      <w:r w:rsidRPr="008020DE">
        <w:t>výměr,</w:t>
      </w:r>
      <w:r>
        <w:t xml:space="preserve"> </w:t>
      </w:r>
      <w:r w:rsidRPr="008020DE">
        <w:t>kterým</w:t>
      </w:r>
      <w:r>
        <w:t xml:space="preserve"> </w:t>
      </w:r>
      <w:r w:rsidRPr="008020DE">
        <w:t>se</w:t>
      </w:r>
      <w:r>
        <w:t xml:space="preserve"> </w:t>
      </w:r>
      <w:r w:rsidRPr="008020DE">
        <w:t>vyměřuje</w:t>
      </w:r>
      <w:r>
        <w:t xml:space="preserve"> </w:t>
      </w:r>
      <w:r w:rsidRPr="008020DE">
        <w:t>daň</w:t>
      </w:r>
      <w:r>
        <w:t xml:space="preserve"> </w:t>
      </w:r>
      <w:r w:rsidRPr="008020DE">
        <w:t>za</w:t>
      </w:r>
      <w:r>
        <w:t xml:space="preserve"> </w:t>
      </w:r>
      <w:r w:rsidRPr="008020DE">
        <w:t>poslední</w:t>
      </w:r>
      <w:r>
        <w:t xml:space="preserve"> </w:t>
      </w:r>
      <w:r w:rsidRPr="008020DE">
        <w:t>zdaňovací</w:t>
      </w:r>
      <w:r>
        <w:t xml:space="preserve"> </w:t>
      </w:r>
      <w:r w:rsidRPr="008020DE">
        <w:t>období</w:t>
      </w:r>
      <w:r>
        <w:t xml:space="preserve"> </w:t>
      </w:r>
      <w:r w:rsidRPr="008020DE">
        <w:t>předcházejícího</w:t>
      </w:r>
      <w:r>
        <w:t xml:space="preserve"> </w:t>
      </w:r>
      <w:r w:rsidRPr="008020DE">
        <w:t>kalendářního</w:t>
      </w:r>
      <w:r>
        <w:t xml:space="preserve"> </w:t>
      </w:r>
      <w:r w:rsidRPr="008020DE">
        <w:t>roku,</w:t>
      </w:r>
      <w:r>
        <w:t xml:space="preserve"> </w:t>
      </w:r>
      <w:r w:rsidRPr="008020DE">
        <w:t>nabyl</w:t>
      </w:r>
      <w:r>
        <w:t xml:space="preserve"> </w:t>
      </w:r>
      <w:r w:rsidRPr="008020DE">
        <w:t>právní</w:t>
      </w:r>
      <w:r>
        <w:t xml:space="preserve"> </w:t>
      </w:r>
      <w:r w:rsidRPr="008020DE">
        <w:t>moci.</w:t>
      </w:r>
    </w:p>
    <w:p w14:paraId="4469BE66" w14:textId="77777777" w:rsidR="001D06F7" w:rsidRDefault="001D06F7" w:rsidP="001D06F7">
      <w:pPr>
        <w:pStyle w:val="PZTextodstavce"/>
      </w:pPr>
      <w:r w:rsidRPr="008020DE">
        <w:t>(7</w:t>
      </w:r>
      <w:r>
        <w:t>)</w:t>
      </w:r>
      <w:r>
        <w:tab/>
      </w:r>
      <w:r w:rsidRPr="008020DE">
        <w:t>Po</w:t>
      </w:r>
      <w:r>
        <w:t xml:space="preserve"> </w:t>
      </w:r>
      <w:r w:rsidRPr="008020DE">
        <w:t>skončení</w:t>
      </w:r>
      <w:r>
        <w:t xml:space="preserve"> </w:t>
      </w:r>
      <w:r w:rsidRPr="008020DE">
        <w:t>aktuálního</w:t>
      </w:r>
      <w:r>
        <w:t xml:space="preserve"> </w:t>
      </w:r>
      <w:r w:rsidRPr="008020DE">
        <w:t>kalendářního</w:t>
      </w:r>
      <w:r>
        <w:t xml:space="preserve"> </w:t>
      </w:r>
      <w:r w:rsidRPr="008020DE">
        <w:t>roku</w:t>
      </w:r>
      <w:r>
        <w:t xml:space="preserve"> </w:t>
      </w:r>
      <w:r w:rsidRPr="008020DE">
        <w:t>plátce</w:t>
      </w:r>
      <w:r>
        <w:t xml:space="preserve"> </w:t>
      </w:r>
      <w:r w:rsidRPr="008020DE">
        <w:t>provede</w:t>
      </w:r>
      <w:r>
        <w:t xml:space="preserve"> </w:t>
      </w:r>
      <w:r w:rsidRPr="008020DE">
        <w:t>vypořádání</w:t>
      </w:r>
      <w:r>
        <w:t xml:space="preserve"> </w:t>
      </w:r>
      <w:r w:rsidRPr="008020DE">
        <w:t>odpočtu</w:t>
      </w:r>
      <w:r>
        <w:t xml:space="preserve"> </w:t>
      </w:r>
      <w:r w:rsidRPr="008020DE">
        <w:t>daně</w:t>
      </w:r>
      <w:r>
        <w:t xml:space="preserve"> </w:t>
      </w:r>
      <w:r w:rsidRPr="008020DE">
        <w:t>v</w:t>
      </w:r>
      <w:r>
        <w:t xml:space="preserve"> </w:t>
      </w:r>
      <w:r w:rsidRPr="008020DE">
        <w:t>krácené</w:t>
      </w:r>
      <w:r>
        <w:t xml:space="preserve"> </w:t>
      </w:r>
      <w:r w:rsidRPr="008020DE">
        <w:t>výši</w:t>
      </w:r>
      <w:r>
        <w:t xml:space="preserve"> </w:t>
      </w:r>
      <w:r w:rsidRPr="008020DE">
        <w:t>za</w:t>
      </w:r>
      <w:r>
        <w:t xml:space="preserve"> </w:t>
      </w:r>
      <w:r w:rsidRPr="008020DE">
        <w:t>všechna</w:t>
      </w:r>
      <w:r>
        <w:t xml:space="preserve"> </w:t>
      </w:r>
      <w:r w:rsidRPr="008020DE">
        <w:t>zdaňovací</w:t>
      </w:r>
      <w:r>
        <w:t xml:space="preserve"> </w:t>
      </w:r>
      <w:r w:rsidRPr="008020DE">
        <w:t>období</w:t>
      </w:r>
      <w:r>
        <w:t xml:space="preserve"> </w:t>
      </w:r>
      <w:r w:rsidRPr="008020DE">
        <w:t>tohoto</w:t>
      </w:r>
      <w:r>
        <w:t xml:space="preserve"> </w:t>
      </w:r>
      <w:r w:rsidRPr="008020DE">
        <w:t>roku</w:t>
      </w:r>
      <w:r>
        <w:t xml:space="preserve"> </w:t>
      </w:r>
      <w:r w:rsidRPr="008020DE">
        <w:t>(dále</w:t>
      </w:r>
      <w:r>
        <w:t xml:space="preserve"> </w:t>
      </w:r>
      <w:r w:rsidRPr="008020DE">
        <w:t>jen</w:t>
      </w:r>
      <w:r>
        <w:t xml:space="preserve"> </w:t>
      </w:r>
      <w:r w:rsidRPr="008020DE">
        <w:t>„vypořádávané</w:t>
      </w:r>
      <w:r>
        <w:t xml:space="preserve"> </w:t>
      </w:r>
      <w:r w:rsidRPr="008020DE">
        <w:t>období“).</w:t>
      </w:r>
      <w:r>
        <w:t xml:space="preserve"> </w:t>
      </w:r>
      <w:r w:rsidRPr="008020DE">
        <w:t>Vypořádání</w:t>
      </w:r>
      <w:r>
        <w:t xml:space="preserve"> </w:t>
      </w:r>
      <w:r w:rsidRPr="008020DE">
        <w:t>se</w:t>
      </w:r>
      <w:r>
        <w:t xml:space="preserve"> </w:t>
      </w:r>
      <w:r w:rsidRPr="008020DE">
        <w:t>vypočte</w:t>
      </w:r>
      <w:r>
        <w:t xml:space="preserve"> </w:t>
      </w:r>
      <w:r w:rsidRPr="008020DE">
        <w:t>jako</w:t>
      </w:r>
      <w:r>
        <w:t xml:space="preserve"> </w:t>
      </w:r>
      <w:r w:rsidRPr="008020DE">
        <w:t>rozdíl</w:t>
      </w:r>
      <w:r>
        <w:t xml:space="preserve"> </w:t>
      </w:r>
      <w:r w:rsidRPr="008020DE">
        <w:t>mezi</w:t>
      </w:r>
      <w:r>
        <w:t xml:space="preserve"> </w:t>
      </w:r>
      <w:r w:rsidRPr="008020DE">
        <w:t>celkovým</w:t>
      </w:r>
      <w:r>
        <w:t xml:space="preserve"> </w:t>
      </w:r>
      <w:r w:rsidRPr="008020DE">
        <w:t>nárokem</w:t>
      </w:r>
      <w:r>
        <w:t xml:space="preserve"> </w:t>
      </w:r>
      <w:r w:rsidRPr="008020DE">
        <w:t>na</w:t>
      </w:r>
      <w:r>
        <w:t xml:space="preserve"> </w:t>
      </w:r>
      <w:r w:rsidRPr="008020DE">
        <w:t>odpočet</w:t>
      </w:r>
      <w:r>
        <w:t xml:space="preserve"> </w:t>
      </w:r>
      <w:r w:rsidRPr="008020DE">
        <w:t>daně</w:t>
      </w:r>
      <w:r>
        <w:t xml:space="preserve"> </w:t>
      </w:r>
      <w:r w:rsidRPr="008020DE">
        <w:t>v</w:t>
      </w:r>
      <w:r>
        <w:t xml:space="preserve"> </w:t>
      </w:r>
      <w:r w:rsidRPr="008020DE">
        <w:t>krácené</w:t>
      </w:r>
      <w:r>
        <w:t xml:space="preserve"> </w:t>
      </w:r>
      <w:r w:rsidRPr="008020DE">
        <w:t>výši</w:t>
      </w:r>
      <w:r>
        <w:t xml:space="preserve"> </w:t>
      </w:r>
      <w:r w:rsidRPr="008020DE">
        <w:t>vypočteným</w:t>
      </w:r>
      <w:r>
        <w:t xml:space="preserve"> </w:t>
      </w:r>
      <w:r w:rsidRPr="008020DE">
        <w:t>z</w:t>
      </w:r>
      <w:r>
        <w:t xml:space="preserve"> </w:t>
      </w:r>
      <w:r w:rsidRPr="008020DE">
        <w:t>údajů</w:t>
      </w:r>
      <w:r>
        <w:t xml:space="preserve"> </w:t>
      </w:r>
      <w:r w:rsidRPr="008020DE">
        <w:t>za</w:t>
      </w:r>
      <w:r>
        <w:t xml:space="preserve"> </w:t>
      </w:r>
      <w:r w:rsidRPr="008020DE">
        <w:t>vypořádávané</w:t>
      </w:r>
      <w:r>
        <w:t xml:space="preserve"> </w:t>
      </w:r>
      <w:r w:rsidRPr="008020DE">
        <w:t>období</w:t>
      </w:r>
      <w:r>
        <w:t xml:space="preserve"> </w:t>
      </w:r>
      <w:r w:rsidRPr="008020DE">
        <w:t>a</w:t>
      </w:r>
      <w:r>
        <w:t xml:space="preserve"> </w:t>
      </w:r>
      <w:r w:rsidRPr="008020DE">
        <w:t>součtem</w:t>
      </w:r>
      <w:r>
        <w:t xml:space="preserve"> </w:t>
      </w:r>
      <w:r w:rsidRPr="008020DE">
        <w:t>uplatněných</w:t>
      </w:r>
      <w:r>
        <w:t xml:space="preserve"> </w:t>
      </w:r>
      <w:r w:rsidRPr="008020DE">
        <w:t>nároků</w:t>
      </w:r>
      <w:r>
        <w:t xml:space="preserve"> </w:t>
      </w:r>
      <w:r w:rsidRPr="008020DE">
        <w:t>na</w:t>
      </w:r>
      <w:r>
        <w:t xml:space="preserve"> </w:t>
      </w:r>
      <w:r w:rsidRPr="008020DE">
        <w:t>odpočet</w:t>
      </w:r>
      <w:r>
        <w:t xml:space="preserve"> </w:t>
      </w:r>
      <w:r w:rsidRPr="008020DE">
        <w:t>daně</w:t>
      </w:r>
      <w:r>
        <w:t xml:space="preserve"> </w:t>
      </w:r>
      <w:r w:rsidRPr="008020DE">
        <w:t>v</w:t>
      </w:r>
      <w:r>
        <w:t xml:space="preserve"> </w:t>
      </w:r>
      <w:r w:rsidRPr="008020DE">
        <w:t>krácené</w:t>
      </w:r>
      <w:r>
        <w:t xml:space="preserve"> </w:t>
      </w:r>
      <w:r w:rsidRPr="008020DE">
        <w:t>výši</w:t>
      </w:r>
      <w:r>
        <w:t xml:space="preserve"> </w:t>
      </w:r>
      <w:r w:rsidRPr="008020DE">
        <w:t>v</w:t>
      </w:r>
      <w:r>
        <w:t xml:space="preserve"> </w:t>
      </w:r>
      <w:r w:rsidRPr="008020DE">
        <w:t>jednotlivých</w:t>
      </w:r>
      <w:r>
        <w:t xml:space="preserve"> </w:t>
      </w:r>
      <w:r w:rsidRPr="008020DE">
        <w:t>zdaňovacích</w:t>
      </w:r>
      <w:r>
        <w:t xml:space="preserve"> </w:t>
      </w:r>
      <w:r w:rsidRPr="008020DE">
        <w:t>obdobích</w:t>
      </w:r>
      <w:r>
        <w:t xml:space="preserve"> </w:t>
      </w:r>
      <w:r w:rsidRPr="008020DE">
        <w:t>zahrnovaných</w:t>
      </w:r>
      <w:r>
        <w:t xml:space="preserve"> </w:t>
      </w:r>
      <w:r w:rsidRPr="008020DE">
        <w:t>do</w:t>
      </w:r>
      <w:r>
        <w:t xml:space="preserve"> </w:t>
      </w:r>
      <w:r w:rsidRPr="008020DE">
        <w:t>vypořádání.</w:t>
      </w:r>
      <w:r>
        <w:t xml:space="preserve"> </w:t>
      </w:r>
      <w:r w:rsidRPr="008020DE">
        <w:t>Pro</w:t>
      </w:r>
      <w:r>
        <w:t xml:space="preserve"> </w:t>
      </w:r>
      <w:r w:rsidRPr="008020DE">
        <w:t>výpočet</w:t>
      </w:r>
      <w:r>
        <w:t xml:space="preserve"> </w:t>
      </w:r>
      <w:r w:rsidRPr="008020DE">
        <w:t>celkového</w:t>
      </w:r>
      <w:r>
        <w:t xml:space="preserve"> </w:t>
      </w:r>
      <w:r w:rsidRPr="008020DE">
        <w:t>nároku</w:t>
      </w:r>
      <w:r>
        <w:t xml:space="preserve"> </w:t>
      </w:r>
      <w:r w:rsidRPr="008020DE">
        <w:t>na</w:t>
      </w:r>
      <w:r>
        <w:t xml:space="preserve"> </w:t>
      </w:r>
      <w:r w:rsidRPr="008020DE">
        <w:t>odpočet</w:t>
      </w:r>
      <w:r>
        <w:t xml:space="preserve"> </w:t>
      </w:r>
      <w:r w:rsidRPr="008020DE">
        <w:t>daně</w:t>
      </w:r>
      <w:r>
        <w:t xml:space="preserve"> </w:t>
      </w:r>
      <w:r w:rsidRPr="008020DE">
        <w:t>v</w:t>
      </w:r>
      <w:r>
        <w:t xml:space="preserve"> </w:t>
      </w:r>
      <w:r w:rsidRPr="008020DE">
        <w:t>krácené</w:t>
      </w:r>
      <w:r>
        <w:t xml:space="preserve"> </w:t>
      </w:r>
      <w:r w:rsidRPr="008020DE">
        <w:t>výši</w:t>
      </w:r>
      <w:r>
        <w:t xml:space="preserve"> </w:t>
      </w:r>
      <w:r w:rsidRPr="008020DE">
        <w:t>za</w:t>
      </w:r>
      <w:r>
        <w:t xml:space="preserve"> </w:t>
      </w:r>
      <w:r w:rsidRPr="008020DE">
        <w:t>vypořádávané</w:t>
      </w:r>
      <w:r>
        <w:t xml:space="preserve"> </w:t>
      </w:r>
      <w:r w:rsidRPr="008020DE">
        <w:t>období</w:t>
      </w:r>
      <w:r>
        <w:t xml:space="preserve"> </w:t>
      </w:r>
      <w:r w:rsidRPr="008020DE">
        <w:t>plátce</w:t>
      </w:r>
      <w:r>
        <w:t xml:space="preserve"> </w:t>
      </w:r>
      <w:r w:rsidRPr="008020DE">
        <w:t>použije</w:t>
      </w:r>
      <w:r>
        <w:t xml:space="preserve"> </w:t>
      </w:r>
      <w:r w:rsidRPr="008020DE">
        <w:t>koeficient</w:t>
      </w:r>
      <w:r>
        <w:t xml:space="preserve"> </w:t>
      </w:r>
      <w:r w:rsidRPr="008020DE">
        <w:t>vypočtený</w:t>
      </w:r>
      <w:r>
        <w:t xml:space="preserve"> </w:t>
      </w:r>
      <w:r w:rsidRPr="008020DE">
        <w:t>z</w:t>
      </w:r>
      <w:r>
        <w:t xml:space="preserve"> </w:t>
      </w:r>
      <w:r w:rsidRPr="008020DE">
        <w:t>údajů</w:t>
      </w:r>
      <w:r>
        <w:t xml:space="preserve"> </w:t>
      </w:r>
      <w:r w:rsidRPr="008020DE">
        <w:t>o</w:t>
      </w:r>
      <w:r>
        <w:t xml:space="preserve"> </w:t>
      </w:r>
      <w:r w:rsidRPr="008020DE">
        <w:t>uskutečněných</w:t>
      </w:r>
      <w:r>
        <w:t xml:space="preserve"> </w:t>
      </w:r>
      <w:r w:rsidRPr="008020DE">
        <w:t>plněních</w:t>
      </w:r>
      <w:r>
        <w:t xml:space="preserve"> </w:t>
      </w:r>
      <w:r w:rsidRPr="008020DE">
        <w:t>za</w:t>
      </w:r>
      <w:r>
        <w:t xml:space="preserve"> </w:t>
      </w:r>
      <w:r w:rsidRPr="008020DE">
        <w:t>celé</w:t>
      </w:r>
      <w:r>
        <w:t xml:space="preserve"> </w:t>
      </w:r>
      <w:r w:rsidRPr="008020DE">
        <w:t>vypořádávané</w:t>
      </w:r>
      <w:r>
        <w:t xml:space="preserve"> </w:t>
      </w:r>
      <w:r w:rsidRPr="008020DE">
        <w:t>období</w:t>
      </w:r>
      <w:r>
        <w:t xml:space="preserve"> </w:t>
      </w:r>
      <w:r w:rsidRPr="008020DE">
        <w:t>(dále</w:t>
      </w:r>
      <w:r>
        <w:t xml:space="preserve"> </w:t>
      </w:r>
      <w:r w:rsidRPr="008020DE">
        <w:t>jen</w:t>
      </w:r>
      <w:r>
        <w:t xml:space="preserve"> </w:t>
      </w:r>
      <w:r w:rsidRPr="008020DE">
        <w:lastRenderedPageBreak/>
        <w:t>„vypořádací</w:t>
      </w:r>
      <w:r>
        <w:t xml:space="preserve"> </w:t>
      </w:r>
      <w:r w:rsidRPr="008020DE">
        <w:t>koeficient“).</w:t>
      </w:r>
      <w:r>
        <w:t xml:space="preserve"> </w:t>
      </w:r>
      <w:r w:rsidRPr="008020DE">
        <w:t>Vypořádání</w:t>
      </w:r>
      <w:r>
        <w:t xml:space="preserve"> </w:t>
      </w:r>
      <w:r w:rsidRPr="008020DE">
        <w:t>odpočtu</w:t>
      </w:r>
      <w:r>
        <w:t xml:space="preserve"> </w:t>
      </w:r>
      <w:r w:rsidRPr="008020DE">
        <w:t>daně</w:t>
      </w:r>
      <w:r>
        <w:t xml:space="preserve"> </w:t>
      </w:r>
      <w:r w:rsidRPr="008020DE">
        <w:t>plátce</w:t>
      </w:r>
      <w:r>
        <w:t xml:space="preserve"> </w:t>
      </w:r>
      <w:r w:rsidRPr="008020DE">
        <w:t>provede</w:t>
      </w:r>
      <w:r>
        <w:t xml:space="preserve"> </w:t>
      </w:r>
      <w:r w:rsidRPr="008020DE">
        <w:t>za</w:t>
      </w:r>
      <w:r>
        <w:t xml:space="preserve"> </w:t>
      </w:r>
      <w:r w:rsidRPr="008020DE">
        <w:t>poslední</w:t>
      </w:r>
      <w:r>
        <w:t xml:space="preserve"> </w:t>
      </w:r>
      <w:r w:rsidRPr="008020DE">
        <w:t>zdaňovací</w:t>
      </w:r>
      <w:r>
        <w:t xml:space="preserve"> </w:t>
      </w:r>
      <w:r w:rsidRPr="008020DE">
        <w:t>období</w:t>
      </w:r>
      <w:r>
        <w:t xml:space="preserve"> </w:t>
      </w:r>
      <w:r w:rsidRPr="008020DE">
        <w:t>vypořádávaného</w:t>
      </w:r>
      <w:r>
        <w:t xml:space="preserve"> </w:t>
      </w:r>
      <w:r w:rsidRPr="008020DE">
        <w:t>období.</w:t>
      </w:r>
    </w:p>
    <w:p w14:paraId="27BA32C9" w14:textId="77777777" w:rsidR="001D06F7" w:rsidRDefault="001D06F7" w:rsidP="001D06F7">
      <w:pPr>
        <w:pStyle w:val="PZTextodstavce"/>
      </w:pPr>
      <w:r w:rsidRPr="008020DE">
        <w:t>(8</w:t>
      </w:r>
      <w:r>
        <w:t>)</w:t>
      </w:r>
      <w:r>
        <w:tab/>
      </w:r>
      <w:r w:rsidRPr="008020DE">
        <w:t>Pro</w:t>
      </w:r>
      <w:r>
        <w:t xml:space="preserve"> </w:t>
      </w:r>
      <w:r w:rsidRPr="008020DE">
        <w:t>vypořádání</w:t>
      </w:r>
      <w:r>
        <w:t xml:space="preserve"> </w:t>
      </w:r>
      <w:r w:rsidRPr="008020DE">
        <w:t>odpočtu</w:t>
      </w:r>
      <w:r>
        <w:t xml:space="preserve"> </w:t>
      </w:r>
      <w:r w:rsidRPr="008020DE">
        <w:t>daně</w:t>
      </w:r>
      <w:r>
        <w:t xml:space="preserve"> </w:t>
      </w:r>
      <w:r w:rsidRPr="008020DE">
        <w:t>v</w:t>
      </w:r>
      <w:r>
        <w:t xml:space="preserve"> </w:t>
      </w:r>
      <w:r w:rsidRPr="008020DE">
        <w:t>krácené</w:t>
      </w:r>
      <w:r>
        <w:t xml:space="preserve"> </w:t>
      </w:r>
      <w:r w:rsidRPr="008020DE">
        <w:t>výši</w:t>
      </w:r>
      <w:r>
        <w:t xml:space="preserve"> </w:t>
      </w:r>
      <w:r w:rsidRPr="008020DE">
        <w:t>při</w:t>
      </w:r>
      <w:r>
        <w:t xml:space="preserve"> </w:t>
      </w:r>
      <w:r w:rsidRPr="008020DE">
        <w:t>zrušení</w:t>
      </w:r>
      <w:r>
        <w:t xml:space="preserve"> </w:t>
      </w:r>
      <w:r w:rsidRPr="008020DE">
        <w:t>registrace</w:t>
      </w:r>
      <w:r>
        <w:t xml:space="preserve"> </w:t>
      </w:r>
      <w:r w:rsidRPr="008020DE">
        <w:t>se</w:t>
      </w:r>
      <w:r>
        <w:t xml:space="preserve"> </w:t>
      </w:r>
      <w:r w:rsidRPr="008020DE">
        <w:t>použije</w:t>
      </w:r>
      <w:r>
        <w:t xml:space="preserve"> </w:t>
      </w:r>
      <w:r w:rsidRPr="008020DE">
        <w:t>obdobně</w:t>
      </w:r>
      <w:r>
        <w:t xml:space="preserve"> </w:t>
      </w:r>
      <w:r w:rsidRPr="008020DE">
        <w:t>odstavec</w:t>
      </w:r>
      <w:r>
        <w:t xml:space="preserve"> </w:t>
      </w:r>
      <w:r w:rsidRPr="008020DE">
        <w:t>7</w:t>
      </w:r>
      <w:r>
        <w:t xml:space="preserve"> </w:t>
      </w:r>
      <w:r w:rsidRPr="008020DE">
        <w:t>s</w:t>
      </w:r>
      <w:r>
        <w:t xml:space="preserve"> </w:t>
      </w:r>
      <w:r w:rsidRPr="008020DE">
        <w:t>tím,</w:t>
      </w:r>
      <w:r>
        <w:t xml:space="preserve"> </w:t>
      </w:r>
      <w:r w:rsidRPr="008020DE">
        <w:t>že</w:t>
      </w:r>
      <w:r>
        <w:t xml:space="preserve"> </w:t>
      </w:r>
      <w:r w:rsidRPr="008020DE">
        <w:t>vypořádávané</w:t>
      </w:r>
      <w:r>
        <w:t xml:space="preserve"> </w:t>
      </w:r>
      <w:r w:rsidRPr="008020DE">
        <w:t>období</w:t>
      </w:r>
      <w:r>
        <w:t xml:space="preserve"> </w:t>
      </w:r>
      <w:r w:rsidRPr="008020DE">
        <w:t>je</w:t>
      </w:r>
      <w:r>
        <w:t xml:space="preserve"> </w:t>
      </w:r>
      <w:r w:rsidRPr="008020DE">
        <w:t>od</w:t>
      </w:r>
      <w:r>
        <w:t xml:space="preserve"> </w:t>
      </w:r>
      <w:r w:rsidRPr="008020DE">
        <w:t>1.</w:t>
      </w:r>
      <w:r>
        <w:t xml:space="preserve"> </w:t>
      </w:r>
      <w:r w:rsidRPr="008020DE">
        <w:t>ledna</w:t>
      </w:r>
      <w:r>
        <w:t xml:space="preserve"> </w:t>
      </w:r>
      <w:r w:rsidRPr="008020DE">
        <w:t>kalendářního</w:t>
      </w:r>
      <w:r>
        <w:t xml:space="preserve"> </w:t>
      </w:r>
      <w:r w:rsidRPr="008020DE">
        <w:t>roku,</w:t>
      </w:r>
      <w:r>
        <w:t xml:space="preserve"> </w:t>
      </w:r>
      <w:r w:rsidRPr="008020DE">
        <w:t>ve</w:t>
      </w:r>
      <w:r>
        <w:t xml:space="preserve"> </w:t>
      </w:r>
      <w:r w:rsidRPr="008020DE">
        <w:t>kterém</w:t>
      </w:r>
      <w:r>
        <w:t xml:space="preserve"> </w:t>
      </w:r>
      <w:r w:rsidRPr="008020DE">
        <w:t>došlo</w:t>
      </w:r>
      <w:r>
        <w:t xml:space="preserve"> </w:t>
      </w:r>
      <w:r w:rsidRPr="008020DE">
        <w:t>ke</w:t>
      </w:r>
      <w:r>
        <w:t xml:space="preserve"> </w:t>
      </w:r>
      <w:r w:rsidRPr="008020DE">
        <w:t>zrušení</w:t>
      </w:r>
      <w:r>
        <w:t xml:space="preserve"> </w:t>
      </w:r>
      <w:r w:rsidRPr="008020DE">
        <w:t>registrace,</w:t>
      </w:r>
      <w:r>
        <w:t xml:space="preserve"> </w:t>
      </w:r>
      <w:r w:rsidRPr="008020DE">
        <w:t>do</w:t>
      </w:r>
      <w:r>
        <w:t xml:space="preserve"> </w:t>
      </w:r>
      <w:r w:rsidRPr="008020DE">
        <w:t>dne</w:t>
      </w:r>
      <w:r>
        <w:t xml:space="preserve"> </w:t>
      </w:r>
      <w:r w:rsidRPr="008020DE">
        <w:t>zrušení</w:t>
      </w:r>
      <w:r>
        <w:t xml:space="preserve"> </w:t>
      </w:r>
      <w:r w:rsidRPr="008020DE">
        <w:t>registrace.</w:t>
      </w:r>
    </w:p>
    <w:p w14:paraId="552094E7" w14:textId="30DB4AD7" w:rsidR="001D06F7" w:rsidRPr="001D06F7" w:rsidRDefault="001D06F7" w:rsidP="001D06F7">
      <w:pPr>
        <w:pStyle w:val="PZTextodstavce"/>
      </w:pPr>
      <w:r w:rsidRPr="008020DE">
        <w:t>(9</w:t>
      </w:r>
      <w:r>
        <w:t>)</w:t>
      </w:r>
      <w:r>
        <w:tab/>
      </w:r>
      <w:r w:rsidRPr="008020DE">
        <w:t>Dojde-li</w:t>
      </w:r>
      <w:r>
        <w:t xml:space="preserve"> </w:t>
      </w:r>
      <w:r w:rsidRPr="008020DE">
        <w:t>po</w:t>
      </w:r>
      <w:r>
        <w:t xml:space="preserve"> </w:t>
      </w:r>
      <w:r w:rsidRPr="008020DE">
        <w:t>vypořádání</w:t>
      </w:r>
      <w:r>
        <w:t xml:space="preserve"> </w:t>
      </w:r>
      <w:r w:rsidRPr="008020DE">
        <w:t>odpočtu</w:t>
      </w:r>
      <w:r>
        <w:t xml:space="preserve"> </w:t>
      </w:r>
      <w:r w:rsidRPr="008020DE">
        <w:t>daně</w:t>
      </w:r>
      <w:r>
        <w:t xml:space="preserve"> </w:t>
      </w:r>
      <w:r w:rsidRPr="008020DE">
        <w:t>k</w:t>
      </w:r>
      <w:r>
        <w:t xml:space="preserve"> </w:t>
      </w:r>
      <w:r w:rsidRPr="008020DE">
        <w:t>opravě</w:t>
      </w:r>
      <w:r>
        <w:t xml:space="preserve"> </w:t>
      </w:r>
      <w:r w:rsidRPr="008020DE">
        <w:t>uskutečněných</w:t>
      </w:r>
      <w:r>
        <w:t xml:space="preserve"> </w:t>
      </w:r>
      <w:r w:rsidRPr="008020DE">
        <w:t>plnění</w:t>
      </w:r>
      <w:r>
        <w:t xml:space="preserve"> </w:t>
      </w:r>
      <w:r w:rsidRPr="008020DE">
        <w:t>za</w:t>
      </w:r>
      <w:r>
        <w:t xml:space="preserve"> </w:t>
      </w:r>
      <w:r w:rsidRPr="008020DE">
        <w:t>některé</w:t>
      </w:r>
      <w:r>
        <w:t xml:space="preserve"> </w:t>
      </w:r>
      <w:r w:rsidRPr="008020DE">
        <w:t>ze</w:t>
      </w:r>
      <w:r>
        <w:t xml:space="preserve"> </w:t>
      </w:r>
      <w:r w:rsidRPr="008020DE">
        <w:t>zdaňovacích</w:t>
      </w:r>
      <w:r>
        <w:t xml:space="preserve"> </w:t>
      </w:r>
      <w:r w:rsidRPr="008020DE">
        <w:t>období</w:t>
      </w:r>
      <w:r>
        <w:t xml:space="preserve"> </w:t>
      </w:r>
      <w:r w:rsidRPr="008020DE">
        <w:t>již</w:t>
      </w:r>
      <w:r>
        <w:t xml:space="preserve"> </w:t>
      </w:r>
      <w:r w:rsidRPr="008020DE">
        <w:t>vypořádaného</w:t>
      </w:r>
      <w:r>
        <w:t xml:space="preserve"> </w:t>
      </w:r>
      <w:r w:rsidRPr="008020DE">
        <w:t>roku,</w:t>
      </w:r>
      <w:r>
        <w:t xml:space="preserve"> </w:t>
      </w:r>
      <w:r w:rsidRPr="008020DE">
        <w:t>výše</w:t>
      </w:r>
      <w:r>
        <w:t xml:space="preserve"> </w:t>
      </w:r>
      <w:r w:rsidRPr="008020DE">
        <w:t>nároku</w:t>
      </w:r>
      <w:r>
        <w:t xml:space="preserve"> </w:t>
      </w:r>
      <w:r w:rsidRPr="008020DE">
        <w:t>na</w:t>
      </w:r>
      <w:r>
        <w:t xml:space="preserve"> </w:t>
      </w:r>
      <w:r w:rsidRPr="008020DE">
        <w:t>odpočet</w:t>
      </w:r>
      <w:r>
        <w:t xml:space="preserve"> </w:t>
      </w:r>
      <w:r w:rsidRPr="008020DE">
        <w:t>daně</w:t>
      </w:r>
      <w:r>
        <w:t xml:space="preserve"> </w:t>
      </w:r>
      <w:r w:rsidRPr="008020DE">
        <w:t>v</w:t>
      </w:r>
      <w:r>
        <w:t xml:space="preserve"> </w:t>
      </w:r>
      <w:r w:rsidRPr="008020DE">
        <w:t>krácené</w:t>
      </w:r>
      <w:r>
        <w:t xml:space="preserve"> </w:t>
      </w:r>
      <w:r w:rsidRPr="008020DE">
        <w:t>výši</w:t>
      </w:r>
      <w:r>
        <w:t xml:space="preserve"> </w:t>
      </w:r>
      <w:r w:rsidRPr="008020DE">
        <w:t>se</w:t>
      </w:r>
      <w:r>
        <w:t xml:space="preserve"> </w:t>
      </w:r>
      <w:r w:rsidRPr="008020DE">
        <w:t>přepočte</w:t>
      </w:r>
      <w:r>
        <w:t xml:space="preserve"> </w:t>
      </w:r>
      <w:r w:rsidRPr="008020DE">
        <w:t>novým</w:t>
      </w:r>
      <w:r>
        <w:t xml:space="preserve"> </w:t>
      </w:r>
      <w:r w:rsidRPr="008020DE">
        <w:t>vypořádacím</w:t>
      </w:r>
      <w:r>
        <w:t xml:space="preserve"> </w:t>
      </w:r>
      <w:r w:rsidRPr="008020DE">
        <w:t>koeficientem</w:t>
      </w:r>
      <w:r>
        <w:t xml:space="preserve"> </w:t>
      </w:r>
      <w:r w:rsidRPr="008020DE">
        <w:t>vypočteným</w:t>
      </w:r>
      <w:r>
        <w:t xml:space="preserve"> </w:t>
      </w:r>
      <w:r w:rsidRPr="008020DE">
        <w:t>z</w:t>
      </w:r>
      <w:r>
        <w:t xml:space="preserve"> </w:t>
      </w:r>
      <w:r w:rsidRPr="008020DE">
        <w:t>údajů</w:t>
      </w:r>
      <w:r>
        <w:t xml:space="preserve"> </w:t>
      </w:r>
      <w:r w:rsidRPr="008020DE">
        <w:t>za</w:t>
      </w:r>
      <w:r>
        <w:t xml:space="preserve"> </w:t>
      </w:r>
      <w:r w:rsidRPr="008020DE">
        <w:t>celé</w:t>
      </w:r>
      <w:r>
        <w:t xml:space="preserve"> </w:t>
      </w:r>
      <w:r w:rsidRPr="008020DE">
        <w:t>vypořádávané</w:t>
      </w:r>
      <w:r>
        <w:t xml:space="preserve"> </w:t>
      </w:r>
      <w:r w:rsidRPr="008020DE">
        <w:t>období</w:t>
      </w:r>
      <w:r>
        <w:t xml:space="preserve"> </w:t>
      </w:r>
      <w:r w:rsidRPr="008020DE">
        <w:t>s</w:t>
      </w:r>
      <w:r>
        <w:t xml:space="preserve"> </w:t>
      </w:r>
      <w:r w:rsidRPr="008020DE">
        <w:t>promítnutím</w:t>
      </w:r>
      <w:r>
        <w:t xml:space="preserve"> </w:t>
      </w:r>
      <w:r w:rsidRPr="008020DE">
        <w:t>všech</w:t>
      </w:r>
      <w:r>
        <w:t xml:space="preserve"> </w:t>
      </w:r>
      <w:r w:rsidRPr="008020DE">
        <w:t>oprav.</w:t>
      </w:r>
    </w:p>
    <w:p w14:paraId="1F7CFBAA" w14:textId="652B9C85" w:rsidR="00E55F2A" w:rsidRPr="00744672" w:rsidRDefault="00E55F2A" w:rsidP="001D06F7">
      <w:pPr>
        <w:pStyle w:val="PZTextodstavce"/>
        <w:rPr>
          <w:strike/>
          <w:color w:val="00B050"/>
          <w:szCs w:val="24"/>
        </w:rPr>
      </w:pPr>
      <w:r w:rsidRPr="00744672">
        <w:rPr>
          <w:strike/>
          <w:color w:val="00B050"/>
          <w:szCs w:val="24"/>
        </w:rPr>
        <w:t>(10) V případě, že plátce uplatnil odpočet daně z poskytnuté úplaty před pořízením dlouhodobého majetku, u kterého má nárok na odpočet daně v krácené výši, v jiném roce, než ve kterém je po pořízení tohoto majetku nárok na odpočet daně oprávněn uplatnit, zahrne do částky vypořádání nároku na odpočet daně podle odstavce 7 za rok, ve kterém po pořízení tohoto majetku je oprávněn nárok na odpočet daně uplatnit, rovněž rozdíl ve výši nároku na odpočet daně vyplývající z případného rozdílu mezi hodnotami vypořádacích koeficientů za příslušné roky. Obdobně plátce postupuje i v případě uplatnění odpočtu daně u každého jednotlivého přijatého plnění, které se stalo součástí pořízeného dlouhodobého majetku.</w:t>
      </w:r>
    </w:p>
    <w:p w14:paraId="18CF794F" w14:textId="77777777" w:rsidR="00E55F2A" w:rsidRDefault="00E55F2A" w:rsidP="001D06F7">
      <w:pPr>
        <w:widowControl w:val="0"/>
        <w:numPr>
          <w:ilvl w:val="0"/>
          <w:numId w:val="70"/>
        </w:numPr>
        <w:tabs>
          <w:tab w:val="left" w:pos="3324"/>
        </w:tabs>
        <w:autoSpaceDE w:val="0"/>
        <w:autoSpaceDN w:val="0"/>
        <w:adjustRightInd w:val="0"/>
        <w:spacing w:before="120" w:after="120"/>
        <w:ind w:firstLine="425"/>
        <w:rPr>
          <w:rFonts w:eastAsiaTheme="minorEastAsia"/>
          <w:b/>
          <w:color w:val="00B050"/>
          <w:szCs w:val="24"/>
        </w:rPr>
      </w:pPr>
      <w:r w:rsidRPr="00744672">
        <w:rPr>
          <w:rFonts w:eastAsiaTheme="minorEastAsia"/>
          <w:b/>
          <w:color w:val="00B050"/>
          <w:szCs w:val="24"/>
        </w:rPr>
        <w:t>(10) Plátce, který uplatnil odpočet daně z poskytnuté úplaty před pořízením dlouhodobého majetku, u kterého má nárok na odpočet daně v krácené výši, v jednom z 9 kalendářních let bezprostředně předcházejících kalendářnímu roku pořízení tohoto majetku s použitím vypořádacího koeficientu v jiné výši než je výše vypořádacího koeficientu pro kalendářní rok pořízení tohoto majetku, zahrne do částky vypořádání nároku na odpočet daně podle odstavce 7 za rok, ve kterém byl tento dlouhodobý majetek pořízen, rovněž rozdíl ve výši nároku na odpočet daně vyplývající z případného rozdílu mezi hodnotami vypořádacích koeficientů za příslušné roky. V případě, že plátce z takové poskytnuté úplaty neuplatnil nárok na odpočet daně v krácené výši, ale v souladu s tímto zákonem v plné výši, považuje se vypořádací koeficient u tohoto odpočtu za roven 100 %. Obdobně se postupuje v případě uplatnění odpočtu daně u každého jednotlivého přijatého zdanitelného plnění, které se stalo součástí pořízeného dlouhodobého majetku.</w:t>
      </w:r>
    </w:p>
    <w:p w14:paraId="6A6D894A" w14:textId="77777777" w:rsidR="00E55F2A" w:rsidRPr="00744672" w:rsidRDefault="00E55F2A" w:rsidP="001D06F7">
      <w:pPr>
        <w:widowControl w:val="0"/>
        <w:numPr>
          <w:ilvl w:val="0"/>
          <w:numId w:val="70"/>
        </w:numPr>
        <w:tabs>
          <w:tab w:val="left" w:pos="3324"/>
        </w:tabs>
        <w:autoSpaceDE w:val="0"/>
        <w:autoSpaceDN w:val="0"/>
        <w:adjustRightInd w:val="0"/>
        <w:spacing w:before="120" w:after="120"/>
        <w:ind w:firstLine="425"/>
        <w:rPr>
          <w:rFonts w:eastAsiaTheme="minorEastAsia"/>
          <w:strike/>
          <w:szCs w:val="24"/>
        </w:rPr>
      </w:pPr>
      <w:r w:rsidRPr="00744672">
        <w:rPr>
          <w:rFonts w:eastAsiaTheme="minorEastAsia"/>
          <w:strike/>
          <w:szCs w:val="24"/>
        </w:rPr>
        <w:t>(10) Plátce, který uplatnil odpočet daně z poskytnuté úplaty před pořízením dlouhodobého majetku, u kterého má nárok na odpočet daně v krácené výši, v jednom z 9 kalendářních let bezprostředně předcházejících kalendářnímu roku pořízení tohoto majetku s použitím vypořádacího koeficientu v jiné výši než je výše vypořádacího koeficientu pro kalendářní rok pořízení tohoto majetku, zahrne do částky vypořádání nároku na odpočet daně podle odstavce 7 za rok, ve kterém byl tento dlouhodobý majetek pořízen, rovněž rozdíl ve výši nároku na odpočet daně vyplývající z případného rozdílu mezi hodnotami vypořádacích koeficientů za příslušné roky. V případě, že plátce z takové poskytnuté úplaty neuplatnil nárok na odpočet daně v krácené výši, ale v souladu s tímto zákonem v plné výši, považuje se vypořádací koeficient u tohoto odpočtu za roven 100 %. Obdobně se postupuje v případě uplatnění odpočtu daně u každého jednotlivého přijatého zdanitelného plnění, které se stalo součástí pořízeného dlouhodobého majetku.</w:t>
      </w:r>
    </w:p>
    <w:p w14:paraId="0738C190" w14:textId="6A85FA8C" w:rsidR="00E55F2A" w:rsidRPr="00744672" w:rsidRDefault="00E55F2A" w:rsidP="001D06F7">
      <w:pPr>
        <w:widowControl w:val="0"/>
        <w:tabs>
          <w:tab w:val="left" w:pos="3324"/>
        </w:tabs>
        <w:autoSpaceDE w:val="0"/>
        <w:autoSpaceDN w:val="0"/>
        <w:adjustRightInd w:val="0"/>
        <w:spacing w:before="120" w:after="120"/>
        <w:rPr>
          <w:b/>
          <w:szCs w:val="24"/>
        </w:rPr>
      </w:pPr>
      <w:r w:rsidRPr="00744672">
        <w:rPr>
          <w:b/>
          <w:szCs w:val="24"/>
        </w:rPr>
        <w:t>(10) Plátce, který uplatnil odpočet daně z poskytnuté úplaty přede dnem uznání majetku za aktivum, které je dlouhodobým majetkem a</w:t>
      </w:r>
      <w:r w:rsidR="00245F3B">
        <w:rPr>
          <w:b/>
          <w:szCs w:val="24"/>
        </w:rPr>
        <w:t xml:space="preserve"> </w:t>
      </w:r>
      <w:r w:rsidRPr="00744672">
        <w:rPr>
          <w:b/>
          <w:szCs w:val="24"/>
        </w:rPr>
        <w:t xml:space="preserve">u kterého má nárok na odpočet daně v krácené výši, v jednom z 8 kalendářních let bezprostředně předcházejících kalendářnímu roku tohoto uznání s použitím vypořádacího koeficientu v jiné výši než je výše vypořádacího koeficientu pro kalendářní rok tohoto uznání, zahrne do částky </w:t>
      </w:r>
      <w:r w:rsidRPr="00744672">
        <w:rPr>
          <w:b/>
          <w:szCs w:val="24"/>
        </w:rPr>
        <w:lastRenderedPageBreak/>
        <w:t>vypořádání nároku na odpočet daně podle odstavce 7 za rok</w:t>
      </w:r>
      <w:r>
        <w:rPr>
          <w:b/>
          <w:szCs w:val="24"/>
        </w:rPr>
        <w:t xml:space="preserve"> </w:t>
      </w:r>
      <w:r w:rsidRPr="00744672">
        <w:rPr>
          <w:b/>
          <w:szCs w:val="24"/>
        </w:rPr>
        <w:t xml:space="preserve">tohoto uznání, rovněž rozdíl ve výši nároku na odpočet daně vyplývající z případného rozdílu mezi hodnotami vypořádacích koeficientů za příslušné roky. V případě, že plátce z takové poskytnuté úplaty neuplatnil nárok na odpočet daně v krácené výši, ale v souladu s tímto zákonem v plné výši, považuje se vypořádací koeficient u tohoto odpočtu za roven 100 %. Obdobně se postupuje v případě uplatnění odpočtu daně u každého jednotlivého přijatého zdanitelného plnění, které se </w:t>
      </w:r>
      <w:r>
        <w:rPr>
          <w:b/>
          <w:szCs w:val="24"/>
        </w:rPr>
        <w:t>stalo</w:t>
      </w:r>
      <w:r w:rsidRPr="00744672">
        <w:rPr>
          <w:b/>
          <w:szCs w:val="24"/>
        </w:rPr>
        <w:t xml:space="preserve"> součástí </w:t>
      </w:r>
      <w:r>
        <w:rPr>
          <w:b/>
          <w:szCs w:val="24"/>
        </w:rPr>
        <w:t>tohoto majetku</w:t>
      </w:r>
      <w:r w:rsidRPr="00744672">
        <w:rPr>
          <w:b/>
          <w:szCs w:val="24"/>
        </w:rPr>
        <w:t>.</w:t>
      </w:r>
    </w:p>
    <w:p w14:paraId="6AB550E4" w14:textId="77777777" w:rsidR="007D5326" w:rsidRDefault="007D5326" w:rsidP="007D5326">
      <w:pPr>
        <w:pStyle w:val="Nadpisparagrafu"/>
        <w:numPr>
          <w:ilvl w:val="0"/>
          <w:numId w:val="70"/>
        </w:numPr>
      </w:pPr>
      <w:r>
        <w:t>***</w:t>
      </w:r>
    </w:p>
    <w:p w14:paraId="21012ADB" w14:textId="77777777" w:rsidR="00E55F2A" w:rsidRDefault="00E55F2A" w:rsidP="00E55F2A">
      <w:pPr>
        <w:pStyle w:val="Paragraf"/>
        <w:spacing w:after="240"/>
      </w:pPr>
      <w:r>
        <w:t>§ 78da</w:t>
      </w:r>
    </w:p>
    <w:p w14:paraId="44D5D040" w14:textId="77777777" w:rsidR="00E55F2A" w:rsidRDefault="00E55F2A" w:rsidP="001D06F7">
      <w:pPr>
        <w:keepNext/>
        <w:widowControl w:val="0"/>
        <w:tabs>
          <w:tab w:val="left" w:pos="3324"/>
        </w:tabs>
        <w:autoSpaceDE w:val="0"/>
        <w:autoSpaceDN w:val="0"/>
        <w:adjustRightInd w:val="0"/>
        <w:spacing w:before="120" w:after="120"/>
      </w:pPr>
      <w:r>
        <w:t xml:space="preserve">(1) </w:t>
      </w:r>
      <w:r w:rsidRPr="0082360A">
        <w:t>Dojde-li ve lhůtě pro úpravu odpočtu daně k dodání nemovité věci, na které byla dokončena významná oprava, podléhá tato oprava úpravě odpočtu daně.</w:t>
      </w:r>
    </w:p>
    <w:p w14:paraId="59A30608" w14:textId="77777777" w:rsidR="00E55F2A" w:rsidRDefault="00E55F2A" w:rsidP="001D06F7">
      <w:pPr>
        <w:keepNext/>
        <w:widowControl w:val="0"/>
        <w:tabs>
          <w:tab w:val="left" w:pos="3324"/>
        </w:tabs>
        <w:autoSpaceDE w:val="0"/>
        <w:autoSpaceDN w:val="0"/>
        <w:adjustRightInd w:val="0"/>
        <w:spacing w:before="120" w:after="120"/>
      </w:pPr>
      <w:r>
        <w:t xml:space="preserve">(2) </w:t>
      </w:r>
      <w:r w:rsidRPr="0082360A">
        <w:t>Lhůta pro úpravu odpočtu daně v případě opravy nemovité věci činí 10 let a počíná běžet kalendářním rokem, ve kterém byla oprava dokončena.</w:t>
      </w:r>
    </w:p>
    <w:p w14:paraId="5E2B587E" w14:textId="77777777" w:rsidR="00E55F2A" w:rsidRDefault="00E55F2A" w:rsidP="001D06F7">
      <w:pPr>
        <w:keepNext/>
        <w:widowControl w:val="0"/>
        <w:tabs>
          <w:tab w:val="left" w:pos="3324"/>
        </w:tabs>
        <w:autoSpaceDE w:val="0"/>
        <w:autoSpaceDN w:val="0"/>
        <w:adjustRightInd w:val="0"/>
        <w:spacing w:before="120" w:after="120"/>
      </w:pPr>
      <w:r>
        <w:t xml:space="preserve">(3) </w:t>
      </w:r>
      <w:r w:rsidRPr="0082360A">
        <w:t>Při úpravě odpočtu daně v případě opravy nemovité věci se postupuje obdobně podle § 78d s tím, že při stanovení částky jednorázové úpravy odpočtu se použije ukazatel původního nároku na odpočet daně ve výši podílu skutečně uplatněného odpočtu daně na celkové částce daně na vstupu u příslušné opravy.</w:t>
      </w:r>
    </w:p>
    <w:p w14:paraId="3FEEAFB7" w14:textId="16B72193" w:rsidR="00E55F2A" w:rsidRDefault="00E55F2A" w:rsidP="001D06F7">
      <w:pPr>
        <w:keepNext/>
        <w:widowControl w:val="0"/>
        <w:tabs>
          <w:tab w:val="left" w:pos="3324"/>
        </w:tabs>
        <w:autoSpaceDE w:val="0"/>
        <w:autoSpaceDN w:val="0"/>
        <w:adjustRightInd w:val="0"/>
        <w:spacing w:before="120" w:after="120"/>
      </w:pPr>
      <w:r>
        <w:t xml:space="preserve">(4) </w:t>
      </w:r>
      <w:r w:rsidRPr="0082360A">
        <w:t xml:space="preserve">Významnou opravou podle odstavce 1 se pro účely </w:t>
      </w:r>
      <w:r w:rsidRPr="00F472C2">
        <w:t xml:space="preserve">odpočtu daně rozumí </w:t>
      </w:r>
      <w:r w:rsidRPr="00EC1B83">
        <w:t xml:space="preserve">oprava podle </w:t>
      </w:r>
      <w:r w:rsidRPr="00744672">
        <w:rPr>
          <w:strike/>
        </w:rPr>
        <w:t>právních předpisů upravujících účetnictví</w:t>
      </w:r>
      <w:r w:rsidR="001D06F7" w:rsidRPr="001D06F7">
        <w:rPr>
          <w:strike/>
          <w:vertAlign w:val="superscript"/>
        </w:rPr>
        <w:t>7i)</w:t>
      </w:r>
      <w:r w:rsidRPr="001D06F7">
        <w:rPr>
          <w:b/>
          <w:vertAlign w:val="superscript"/>
        </w:rPr>
        <w:t xml:space="preserve"> </w:t>
      </w:r>
      <w:r>
        <w:rPr>
          <w:b/>
        </w:rPr>
        <w:t xml:space="preserve">zákona upravujícího </w:t>
      </w:r>
      <w:r w:rsidRPr="00EC1B83">
        <w:rPr>
          <w:b/>
        </w:rPr>
        <w:t>účetnictví</w:t>
      </w:r>
      <w:r w:rsidRPr="00F472C2">
        <w:t>, pokud</w:t>
      </w:r>
      <w:r w:rsidRPr="0082360A">
        <w:t xml:space="preserve"> hodnota veškerých přijatých zdanitelných plnění vztahující se k této opravě bez daně je vyšší než 200 000 Kč.</w:t>
      </w:r>
    </w:p>
    <w:p w14:paraId="42D7E66F" w14:textId="77777777" w:rsidR="00E55F2A" w:rsidRPr="006B40B4" w:rsidRDefault="00E55F2A" w:rsidP="00E55F2A">
      <w:pPr>
        <w:keepNext/>
        <w:widowControl w:val="0"/>
        <w:autoSpaceDE w:val="0"/>
        <w:autoSpaceDN w:val="0"/>
        <w:adjustRightInd w:val="0"/>
        <w:jc w:val="center"/>
        <w:outlineLvl w:val="5"/>
        <w:rPr>
          <w:szCs w:val="24"/>
        </w:rPr>
      </w:pPr>
      <w:r w:rsidRPr="006B40B4">
        <w:rPr>
          <w:szCs w:val="24"/>
        </w:rPr>
        <w:t>§ 79</w:t>
      </w:r>
    </w:p>
    <w:p w14:paraId="6FAFF9D4" w14:textId="77777777" w:rsidR="00E55F2A" w:rsidRPr="006B40B4" w:rsidRDefault="00E55F2A" w:rsidP="001D06F7">
      <w:pPr>
        <w:widowControl w:val="0"/>
        <w:tabs>
          <w:tab w:val="left" w:pos="3324"/>
        </w:tabs>
        <w:autoSpaceDE w:val="0"/>
        <w:autoSpaceDN w:val="0"/>
        <w:adjustRightInd w:val="0"/>
        <w:spacing w:before="120" w:after="120"/>
        <w:rPr>
          <w:szCs w:val="24"/>
        </w:rPr>
      </w:pPr>
      <w:r w:rsidRPr="006B40B4">
        <w:rPr>
          <w:szCs w:val="24"/>
        </w:rPr>
        <w:t xml:space="preserve">(1) Osoba povinná k dani má nárok na odpočet daně u přijatého zdanitelného plnění, pokud </w:t>
      </w:r>
      <w:r w:rsidRPr="00744672">
        <w:rPr>
          <w:strike/>
          <w:color w:val="00B050"/>
          <w:szCs w:val="24"/>
        </w:rPr>
        <w:t>toto plnění</w:t>
      </w:r>
    </w:p>
    <w:p w14:paraId="4D101B1F" w14:textId="77777777" w:rsidR="00E55F2A" w:rsidRPr="006B40B4" w:rsidRDefault="00E55F2A" w:rsidP="001D06F7">
      <w:pPr>
        <w:widowControl w:val="0"/>
        <w:autoSpaceDE w:val="0"/>
        <w:autoSpaceDN w:val="0"/>
        <w:adjustRightInd w:val="0"/>
        <w:spacing w:before="0"/>
        <w:ind w:left="284" w:hanging="284"/>
        <w:rPr>
          <w:szCs w:val="24"/>
        </w:rPr>
      </w:pPr>
      <w:r w:rsidRPr="006B40B4">
        <w:rPr>
          <w:szCs w:val="24"/>
        </w:rPr>
        <w:t>a)</w:t>
      </w:r>
      <w:r w:rsidRPr="006B40B4">
        <w:rPr>
          <w:szCs w:val="24"/>
        </w:rPr>
        <w:tab/>
      </w:r>
      <w:proofErr w:type="gramStart"/>
      <w:r w:rsidRPr="00EC1B83">
        <w:rPr>
          <w:strike/>
          <w:color w:val="00B050"/>
          <w:szCs w:val="24"/>
        </w:rPr>
        <w:t>pořídila</w:t>
      </w:r>
      <w:proofErr w:type="gramEnd"/>
      <w:r w:rsidRPr="00EC1B83">
        <w:rPr>
          <w:color w:val="00B050"/>
          <w:szCs w:val="24"/>
        </w:rPr>
        <w:t xml:space="preserve"> </w:t>
      </w:r>
      <w:r w:rsidRPr="00EC1B83">
        <w:rPr>
          <w:b/>
          <w:color w:val="00B050"/>
          <w:szCs w:val="24"/>
        </w:rPr>
        <w:t xml:space="preserve">se toto plnění </w:t>
      </w:r>
      <w:proofErr w:type="gramStart"/>
      <w:r w:rsidRPr="00EC1B83">
        <w:rPr>
          <w:b/>
          <w:color w:val="00B050"/>
          <w:szCs w:val="24"/>
        </w:rPr>
        <w:t>uskutečnilo</w:t>
      </w:r>
      <w:proofErr w:type="gramEnd"/>
      <w:r w:rsidRPr="006B40B4">
        <w:rPr>
          <w:szCs w:val="24"/>
        </w:rPr>
        <w:t xml:space="preserve"> v období zahrnujícím 12 po sobě jdoucích měsíců přede dnem, kdy se stala plátcem, a</w:t>
      </w:r>
    </w:p>
    <w:p w14:paraId="7DED5DAF" w14:textId="77777777" w:rsidR="00E55F2A" w:rsidRPr="006B40B4" w:rsidRDefault="00E55F2A" w:rsidP="001D06F7">
      <w:pPr>
        <w:widowControl w:val="0"/>
        <w:autoSpaceDE w:val="0"/>
        <w:autoSpaceDN w:val="0"/>
        <w:adjustRightInd w:val="0"/>
        <w:spacing w:before="0"/>
        <w:ind w:left="284" w:hanging="284"/>
        <w:rPr>
          <w:szCs w:val="24"/>
        </w:rPr>
      </w:pPr>
      <w:r w:rsidRPr="006B40B4">
        <w:rPr>
          <w:szCs w:val="24"/>
        </w:rPr>
        <w:t>b)</w:t>
      </w:r>
      <w:r w:rsidRPr="006B40B4">
        <w:rPr>
          <w:szCs w:val="24"/>
        </w:rPr>
        <w:tab/>
        <w:t xml:space="preserve">je </w:t>
      </w:r>
      <w:r w:rsidRPr="00EC1B83">
        <w:rPr>
          <w:b/>
          <w:color w:val="00B050"/>
          <w:szCs w:val="24"/>
        </w:rPr>
        <w:t xml:space="preserve">toto plnění </w:t>
      </w:r>
      <w:r w:rsidRPr="006B40B4">
        <w:rPr>
          <w:szCs w:val="24"/>
        </w:rPr>
        <w:t>ke dni, kdy se tato osoba stala plátcem, součástí jejího obchodního majetku.</w:t>
      </w:r>
    </w:p>
    <w:p w14:paraId="162FF238" w14:textId="77777777" w:rsidR="00E55F2A" w:rsidRPr="00EC1B83" w:rsidRDefault="00E55F2A" w:rsidP="00E55F2A">
      <w:pPr>
        <w:widowControl w:val="0"/>
        <w:tabs>
          <w:tab w:val="left" w:pos="3324"/>
        </w:tabs>
        <w:autoSpaceDE w:val="0"/>
        <w:autoSpaceDN w:val="0"/>
        <w:adjustRightInd w:val="0"/>
        <w:spacing w:before="120" w:after="120"/>
        <w:ind w:firstLine="709"/>
        <w:rPr>
          <w:strike/>
          <w:color w:val="00B050"/>
          <w:szCs w:val="24"/>
        </w:rPr>
      </w:pPr>
      <w:r w:rsidRPr="00EC1B83">
        <w:rPr>
          <w:strike/>
          <w:color w:val="00B050"/>
          <w:szCs w:val="24"/>
        </w:rPr>
        <w:t>(2) Osoba povinná k dani má nárok na odpočet daně rovněž u přijatého zdanitelného plnění, pokud</w:t>
      </w:r>
    </w:p>
    <w:p w14:paraId="486C1AB2" w14:textId="77777777" w:rsidR="00E55F2A" w:rsidRPr="00EC1B83" w:rsidRDefault="00E55F2A" w:rsidP="007D5326">
      <w:pPr>
        <w:pStyle w:val="PZTextpsmene"/>
        <w:spacing w:before="0"/>
        <w:rPr>
          <w:strike/>
          <w:color w:val="00B050"/>
          <w:szCs w:val="24"/>
        </w:rPr>
      </w:pPr>
      <w:r w:rsidRPr="00EC1B83">
        <w:rPr>
          <w:strike/>
          <w:color w:val="00B050"/>
          <w:szCs w:val="24"/>
        </w:rPr>
        <w:t>a)</w:t>
      </w:r>
      <w:r w:rsidRPr="00EC1B83">
        <w:rPr>
          <w:strike/>
          <w:color w:val="00B050"/>
          <w:szCs w:val="24"/>
        </w:rPr>
        <w:tab/>
        <w:t>toto plnění pořídila v období zahrnujícím 60 po sobě jdoucích měsíců přede dnem, kdy se stala plátcem,</w:t>
      </w:r>
    </w:p>
    <w:p w14:paraId="7648FC06" w14:textId="77777777" w:rsidR="00E55F2A" w:rsidRPr="00EC1B83" w:rsidRDefault="00E55F2A" w:rsidP="007D5326">
      <w:pPr>
        <w:pStyle w:val="PZTextpsmene"/>
        <w:spacing w:before="0"/>
        <w:rPr>
          <w:strike/>
          <w:color w:val="00B050"/>
          <w:szCs w:val="24"/>
        </w:rPr>
      </w:pPr>
      <w:r w:rsidRPr="00EC1B83">
        <w:rPr>
          <w:strike/>
          <w:color w:val="00B050"/>
          <w:szCs w:val="24"/>
        </w:rPr>
        <w:t>b)</w:t>
      </w:r>
      <w:r w:rsidRPr="00EC1B83">
        <w:rPr>
          <w:strike/>
          <w:color w:val="00B050"/>
          <w:szCs w:val="24"/>
        </w:rPr>
        <w:tab/>
        <w:t>toto plnění se stalo součástí dlouhodobého majetku, který byl uveden do stavu způsobilého k užívání v období 12 po sobě jdoucích měsíců přede dnem, kdy se stala plátcem, a to před uvedením tohoto dlouhodobého majetku do stavu způsobilého k užívání a</w:t>
      </w:r>
    </w:p>
    <w:p w14:paraId="68F95874" w14:textId="77777777" w:rsidR="00E55F2A" w:rsidRPr="00EC1B83" w:rsidRDefault="00E55F2A" w:rsidP="007D5326">
      <w:pPr>
        <w:pStyle w:val="PZTextpsmene"/>
        <w:spacing w:before="0"/>
        <w:rPr>
          <w:strike/>
          <w:color w:val="00B050"/>
          <w:szCs w:val="24"/>
        </w:rPr>
      </w:pPr>
      <w:r w:rsidRPr="00EC1B83">
        <w:rPr>
          <w:strike/>
          <w:color w:val="00B050"/>
          <w:szCs w:val="24"/>
        </w:rPr>
        <w:t>c)</w:t>
      </w:r>
      <w:r w:rsidRPr="00EC1B83">
        <w:rPr>
          <w:strike/>
          <w:color w:val="00B050"/>
          <w:szCs w:val="24"/>
        </w:rPr>
        <w:tab/>
        <w:t>tento dlouhodobý majetek</w:t>
      </w:r>
      <w:r w:rsidRPr="00EC1B83">
        <w:rPr>
          <w:b/>
          <w:strike/>
          <w:color w:val="00B050"/>
          <w:szCs w:val="24"/>
        </w:rPr>
        <w:t xml:space="preserve"> </w:t>
      </w:r>
      <w:r w:rsidRPr="00EC1B83">
        <w:rPr>
          <w:strike/>
          <w:color w:val="00B050"/>
          <w:szCs w:val="24"/>
        </w:rPr>
        <w:t>je ke dni, kdy se stala plátcem, součástí jejího obchodního majetku.</w:t>
      </w:r>
    </w:p>
    <w:p w14:paraId="40C35818" w14:textId="77777777" w:rsidR="00E55F2A" w:rsidRPr="00EC1B83" w:rsidRDefault="00E55F2A" w:rsidP="001D06F7">
      <w:pPr>
        <w:widowControl w:val="0"/>
        <w:tabs>
          <w:tab w:val="left" w:pos="3324"/>
        </w:tabs>
        <w:autoSpaceDE w:val="0"/>
        <w:autoSpaceDN w:val="0"/>
        <w:adjustRightInd w:val="0"/>
        <w:spacing w:before="120" w:after="120"/>
        <w:rPr>
          <w:b/>
          <w:color w:val="00B050"/>
          <w:szCs w:val="24"/>
        </w:rPr>
      </w:pPr>
      <w:r w:rsidRPr="00EC1B83">
        <w:rPr>
          <w:b/>
          <w:color w:val="00B050"/>
          <w:szCs w:val="24"/>
        </w:rPr>
        <w:t>(2) Osoba povinná k dani má nárok na odpočet daně rovněž u přijatého zdanitelného plnění, pokud</w:t>
      </w:r>
    </w:p>
    <w:p w14:paraId="21177786" w14:textId="77777777" w:rsidR="00E55F2A" w:rsidRPr="006B40B4" w:rsidRDefault="00E55F2A" w:rsidP="007D5326">
      <w:pPr>
        <w:pStyle w:val="PZTextpsmene"/>
        <w:spacing w:before="0"/>
        <w:rPr>
          <w:b/>
          <w:szCs w:val="24"/>
        </w:rPr>
      </w:pPr>
      <w:r w:rsidRPr="00EC1B83">
        <w:rPr>
          <w:b/>
          <w:color w:val="00B050"/>
          <w:szCs w:val="24"/>
        </w:rPr>
        <w:t>a)</w:t>
      </w:r>
      <w:r w:rsidRPr="00EC1B83">
        <w:rPr>
          <w:b/>
          <w:color w:val="00B050"/>
          <w:szCs w:val="24"/>
        </w:rPr>
        <w:tab/>
        <w:t>se dodání zboží nebo poskytnutí služby uskutečnily v období zahrnujícím 60 po sobě jdoucích měsíců přede dnem, kdy se stala plátcem,</w:t>
      </w:r>
    </w:p>
    <w:p w14:paraId="1C510B40" w14:textId="77777777" w:rsidR="00E55F2A" w:rsidRPr="006B40B4" w:rsidRDefault="00E55F2A" w:rsidP="007D5326">
      <w:pPr>
        <w:pStyle w:val="PZTextpsmene"/>
        <w:spacing w:before="0"/>
        <w:rPr>
          <w:b/>
          <w:szCs w:val="24"/>
        </w:rPr>
      </w:pPr>
      <w:r w:rsidRPr="00EC1B83">
        <w:rPr>
          <w:b/>
          <w:color w:val="00B050"/>
          <w:szCs w:val="24"/>
        </w:rPr>
        <w:lastRenderedPageBreak/>
        <w:t>b)</w:t>
      </w:r>
      <w:r w:rsidRPr="00EC1B83">
        <w:rPr>
          <w:b/>
          <w:color w:val="00B050"/>
          <w:szCs w:val="24"/>
        </w:rPr>
        <w:tab/>
        <w:t>se dodané zboží nebo poskytnutá služba staly součástí nedokončeného dlouhodobého majetku a tento majetek</w:t>
      </w:r>
      <w:r w:rsidRPr="006B40B4">
        <w:rPr>
          <w:b/>
          <w:szCs w:val="24"/>
        </w:rPr>
        <w:t xml:space="preserve"> </w:t>
      </w:r>
      <w:proofErr w:type="gramStart"/>
      <w:r w:rsidRPr="00744672">
        <w:rPr>
          <w:strike/>
          <w:szCs w:val="24"/>
        </w:rPr>
        <w:t>je</w:t>
      </w:r>
      <w:proofErr w:type="gramEnd"/>
      <w:r w:rsidRPr="00744672">
        <w:rPr>
          <w:strike/>
          <w:szCs w:val="24"/>
        </w:rPr>
        <w:t xml:space="preserve"> uveden do stavu způsobilého k užívání</w:t>
      </w:r>
      <w:r w:rsidRPr="00EC1B83">
        <w:rPr>
          <w:b/>
          <w:szCs w:val="24"/>
        </w:rPr>
        <w:t xml:space="preserve"> </w:t>
      </w:r>
      <w:r>
        <w:rPr>
          <w:b/>
          <w:szCs w:val="24"/>
        </w:rPr>
        <w:t>byl uznán</w:t>
      </w:r>
      <w:r w:rsidRPr="00EC1B83">
        <w:rPr>
          <w:b/>
          <w:szCs w:val="24"/>
        </w:rPr>
        <w:t xml:space="preserve"> stálým aktivem</w:t>
      </w:r>
    </w:p>
    <w:p w14:paraId="6C29593C" w14:textId="77777777" w:rsidR="00E55F2A" w:rsidRPr="00EC1B83" w:rsidRDefault="00E55F2A" w:rsidP="007D5326">
      <w:pPr>
        <w:pStyle w:val="PZTextbodu"/>
        <w:spacing w:before="0"/>
        <w:rPr>
          <w:b/>
          <w:color w:val="00B050"/>
          <w:szCs w:val="24"/>
        </w:rPr>
      </w:pPr>
      <w:r w:rsidRPr="00EC1B83">
        <w:rPr>
          <w:b/>
          <w:color w:val="00B050"/>
          <w:szCs w:val="24"/>
        </w:rPr>
        <w:t>1.</w:t>
      </w:r>
      <w:r w:rsidRPr="00EC1B83">
        <w:rPr>
          <w:b/>
          <w:color w:val="00B050"/>
          <w:szCs w:val="24"/>
        </w:rPr>
        <w:tab/>
        <w:t xml:space="preserve">v období </w:t>
      </w:r>
      <w:r w:rsidRPr="007D5326">
        <w:rPr>
          <w:b/>
          <w:color w:val="00B050"/>
          <w:szCs w:val="24"/>
        </w:rPr>
        <w:t xml:space="preserve">zahrnujícím </w:t>
      </w:r>
      <w:r w:rsidRPr="00EC1B83">
        <w:rPr>
          <w:b/>
          <w:color w:val="00B050"/>
          <w:szCs w:val="24"/>
        </w:rPr>
        <w:t>12 po sobě jdoucích měsíců přede dnem, kdy se stala plátcem, nebo</w:t>
      </w:r>
    </w:p>
    <w:p w14:paraId="09513B7A" w14:textId="77777777" w:rsidR="00E55F2A" w:rsidRPr="00EC1B83" w:rsidRDefault="00E55F2A" w:rsidP="007D5326">
      <w:pPr>
        <w:pStyle w:val="PZTextbodu"/>
        <w:spacing w:before="0"/>
        <w:rPr>
          <w:b/>
          <w:color w:val="00B050"/>
          <w:szCs w:val="24"/>
        </w:rPr>
      </w:pPr>
      <w:r w:rsidRPr="00EC1B83">
        <w:rPr>
          <w:b/>
          <w:color w:val="00B050"/>
          <w:szCs w:val="24"/>
        </w:rPr>
        <w:t>2.</w:t>
      </w:r>
      <w:r w:rsidRPr="00EC1B83">
        <w:rPr>
          <w:b/>
          <w:color w:val="00B050"/>
          <w:szCs w:val="24"/>
        </w:rPr>
        <w:tab/>
        <w:t>nejdříve ke dni, kdy se stala plátcem, a</w:t>
      </w:r>
    </w:p>
    <w:p w14:paraId="0C63615C" w14:textId="77777777" w:rsidR="00E55F2A" w:rsidRPr="006B40B4" w:rsidRDefault="00E55F2A" w:rsidP="007D5326">
      <w:pPr>
        <w:pStyle w:val="PZTextpsmene"/>
        <w:spacing w:before="0"/>
        <w:rPr>
          <w:szCs w:val="24"/>
        </w:rPr>
      </w:pPr>
      <w:r w:rsidRPr="00EC1B83">
        <w:rPr>
          <w:b/>
          <w:color w:val="00B050"/>
          <w:szCs w:val="24"/>
        </w:rPr>
        <w:t>c)</w:t>
      </w:r>
      <w:r w:rsidRPr="00EC1B83">
        <w:rPr>
          <w:b/>
          <w:color w:val="00B050"/>
          <w:szCs w:val="24"/>
        </w:rPr>
        <w:tab/>
        <w:t>majetek, jehož se zboží nebo služba staly součástí, je ke dni, kdy se stala plátcem, součástí jejího obchodního majetku.</w:t>
      </w:r>
    </w:p>
    <w:p w14:paraId="5B9AB613" w14:textId="77777777" w:rsidR="00E55F2A" w:rsidRPr="006B40B4" w:rsidRDefault="00E55F2A" w:rsidP="001D06F7">
      <w:pPr>
        <w:widowControl w:val="0"/>
        <w:tabs>
          <w:tab w:val="left" w:pos="3324"/>
        </w:tabs>
        <w:autoSpaceDE w:val="0"/>
        <w:autoSpaceDN w:val="0"/>
        <w:adjustRightInd w:val="0"/>
        <w:spacing w:before="120" w:after="120"/>
        <w:rPr>
          <w:szCs w:val="24"/>
        </w:rPr>
      </w:pPr>
      <w:r w:rsidRPr="006B40B4">
        <w:rPr>
          <w:szCs w:val="24"/>
        </w:rPr>
        <w:t>(3) Osoba povinná k dani má nárok na odpočet daně rovněž u přijatého zdanitelného plnění, které není ke dni, kdy se stala plátcem, součástí jejího obchodního majetku, pokud v období zahrnujícím 6 po sobě jdoucích měsíců přede dnem, kdy se stala plátcem, toto plnění přijala a použila jej k vývozu zboží, který je osvobozen od daně.</w:t>
      </w:r>
    </w:p>
    <w:p w14:paraId="5947E4D2" w14:textId="77777777" w:rsidR="00E55F2A" w:rsidRPr="006B40B4" w:rsidRDefault="00E55F2A" w:rsidP="001D06F7">
      <w:pPr>
        <w:widowControl w:val="0"/>
        <w:tabs>
          <w:tab w:val="left" w:pos="3324"/>
        </w:tabs>
        <w:autoSpaceDE w:val="0"/>
        <w:autoSpaceDN w:val="0"/>
        <w:adjustRightInd w:val="0"/>
        <w:spacing w:before="120" w:after="120"/>
        <w:rPr>
          <w:szCs w:val="24"/>
        </w:rPr>
      </w:pPr>
      <w:r w:rsidRPr="006B40B4">
        <w:rPr>
          <w:szCs w:val="24"/>
        </w:rPr>
        <w:t>(4) Osoba povinná k dani má nárok na odpočet daně rovněž u přijatého zdanitelného plnění, pokud</w:t>
      </w:r>
    </w:p>
    <w:p w14:paraId="36223809" w14:textId="77777777" w:rsidR="00E55F2A" w:rsidRPr="006B40B4" w:rsidRDefault="00E55F2A" w:rsidP="007D5326">
      <w:pPr>
        <w:pStyle w:val="PZTextpsmene"/>
        <w:spacing w:before="0"/>
        <w:rPr>
          <w:szCs w:val="24"/>
        </w:rPr>
      </w:pPr>
      <w:r w:rsidRPr="006B40B4">
        <w:rPr>
          <w:szCs w:val="24"/>
        </w:rPr>
        <w:t>a)</w:t>
      </w:r>
      <w:r w:rsidRPr="006B40B4">
        <w:rPr>
          <w:szCs w:val="24"/>
        </w:rPr>
        <w:tab/>
        <w:t>toto plnění pořídila přede dnem, kdy se stala plátcem,</w:t>
      </w:r>
    </w:p>
    <w:p w14:paraId="59CC92C0" w14:textId="77777777" w:rsidR="00E55F2A" w:rsidRPr="006B40B4" w:rsidRDefault="00E55F2A" w:rsidP="007D5326">
      <w:pPr>
        <w:pStyle w:val="PZTextpsmene"/>
        <w:spacing w:before="0"/>
        <w:rPr>
          <w:szCs w:val="24"/>
        </w:rPr>
      </w:pPr>
      <w:r w:rsidRPr="006B40B4">
        <w:rPr>
          <w:szCs w:val="24"/>
        </w:rPr>
        <w:t>b)</w:t>
      </w:r>
      <w:r w:rsidRPr="006B40B4">
        <w:rPr>
          <w:szCs w:val="24"/>
        </w:rPr>
        <w:tab/>
        <w:t>toto plnění není ke dni, kdy se stala plátcem, součástí jejího obchodního majetku a</w:t>
      </w:r>
    </w:p>
    <w:p w14:paraId="1826B5A8" w14:textId="77777777" w:rsidR="00E55F2A" w:rsidRPr="006B40B4" w:rsidRDefault="00E55F2A" w:rsidP="007D5326">
      <w:pPr>
        <w:pStyle w:val="PZTextpsmene"/>
        <w:spacing w:before="0"/>
        <w:rPr>
          <w:szCs w:val="24"/>
        </w:rPr>
      </w:pPr>
      <w:r w:rsidRPr="006B40B4">
        <w:rPr>
          <w:szCs w:val="24"/>
        </w:rPr>
        <w:t>c)</w:t>
      </w:r>
      <w:r w:rsidRPr="006B40B4">
        <w:rPr>
          <w:szCs w:val="24"/>
        </w:rPr>
        <w:tab/>
        <w:t xml:space="preserve">měla by u tohoto plnění nárok na vrácení daně podle § 82a </w:t>
      </w:r>
      <w:r w:rsidRPr="00EC1B83">
        <w:rPr>
          <w:strike/>
          <w:color w:val="00B050"/>
          <w:szCs w:val="24"/>
        </w:rPr>
        <w:t>nebo 83</w:t>
      </w:r>
      <w:r w:rsidRPr="00EC1B83">
        <w:rPr>
          <w:b/>
          <w:color w:val="00B050"/>
          <w:szCs w:val="24"/>
        </w:rPr>
        <w:t>, 83 nebo 83a</w:t>
      </w:r>
      <w:r w:rsidRPr="006B40B4">
        <w:rPr>
          <w:szCs w:val="24"/>
        </w:rPr>
        <w:t xml:space="preserve">, který nemohla uplatnit, neboť pro </w:t>
      </w:r>
      <w:r w:rsidRPr="00EC1B83">
        <w:rPr>
          <w:strike/>
          <w:color w:val="00B050"/>
          <w:szCs w:val="24"/>
        </w:rPr>
        <w:t>podání žádosti o</w:t>
      </w:r>
      <w:r w:rsidRPr="00EC1B83">
        <w:rPr>
          <w:color w:val="00B050"/>
          <w:szCs w:val="24"/>
        </w:rPr>
        <w:t> </w:t>
      </w:r>
      <w:r w:rsidRPr="00EC1B83">
        <w:rPr>
          <w:b/>
          <w:color w:val="00B050"/>
          <w:szCs w:val="24"/>
        </w:rPr>
        <w:t>uplatnění nároku na</w:t>
      </w:r>
      <w:r w:rsidRPr="00EC1B83">
        <w:rPr>
          <w:color w:val="00B050"/>
          <w:szCs w:val="24"/>
        </w:rPr>
        <w:t xml:space="preserve"> </w:t>
      </w:r>
      <w:r w:rsidRPr="006B40B4">
        <w:rPr>
          <w:szCs w:val="24"/>
        </w:rPr>
        <w:t>vrácení daně nesplnila podmínku minimální délky období pro uplatnění vrácení daně</w:t>
      </w:r>
      <w:r w:rsidRPr="00EC1B83">
        <w:rPr>
          <w:b/>
          <w:color w:val="00B050"/>
          <w:szCs w:val="24"/>
        </w:rPr>
        <w:t>, nebo protože se plátcem stala dříve, než jej mohla uplatnit</w:t>
      </w:r>
      <w:r w:rsidRPr="006B40B4">
        <w:rPr>
          <w:szCs w:val="24"/>
        </w:rPr>
        <w:t>.</w:t>
      </w:r>
    </w:p>
    <w:p w14:paraId="2013A2B5" w14:textId="77777777" w:rsidR="00E55F2A" w:rsidRPr="00EC1B83" w:rsidRDefault="00E55F2A" w:rsidP="001D06F7">
      <w:pPr>
        <w:widowControl w:val="0"/>
        <w:tabs>
          <w:tab w:val="left" w:pos="3324"/>
        </w:tabs>
        <w:autoSpaceDE w:val="0"/>
        <w:autoSpaceDN w:val="0"/>
        <w:adjustRightInd w:val="0"/>
        <w:spacing w:before="120" w:after="120"/>
        <w:rPr>
          <w:b/>
          <w:color w:val="00B050"/>
          <w:szCs w:val="24"/>
        </w:rPr>
      </w:pPr>
      <w:r w:rsidRPr="00EC1B83">
        <w:rPr>
          <w:b/>
          <w:color w:val="00B050"/>
          <w:szCs w:val="24"/>
        </w:rPr>
        <w:t>(5) Plátce má za obdobných podmínek jako podmínek stanovených v odstavcích 1 až 4 nárok na odpočet daně v případě jmění převáděného nebo přecházejícího při přeměně právnické osoby nabytého od osoby povinné k dani, která nebyla plátcem ke dni předcházejícímu dni zápisu přeměny do veřejného rejstříku nebo obdobné evidence podle právních předpisů jiného státu. Tento nárok lze uplatnit za zdaňovací období, do něhož spadá den tohoto zápisu.</w:t>
      </w:r>
    </w:p>
    <w:p w14:paraId="2C55C7D5" w14:textId="77777777" w:rsidR="00E55F2A" w:rsidRPr="006B40B4" w:rsidRDefault="00E55F2A" w:rsidP="001D06F7">
      <w:pPr>
        <w:widowControl w:val="0"/>
        <w:tabs>
          <w:tab w:val="left" w:pos="3324"/>
        </w:tabs>
        <w:autoSpaceDE w:val="0"/>
        <w:autoSpaceDN w:val="0"/>
        <w:adjustRightInd w:val="0"/>
        <w:spacing w:before="120" w:after="120"/>
        <w:rPr>
          <w:szCs w:val="24"/>
        </w:rPr>
      </w:pPr>
      <w:proofErr w:type="gramStart"/>
      <w:r w:rsidRPr="00EC1B83">
        <w:rPr>
          <w:strike/>
          <w:color w:val="00B050"/>
          <w:szCs w:val="24"/>
        </w:rPr>
        <w:t>(5)</w:t>
      </w:r>
      <w:r w:rsidRPr="00EC1B83">
        <w:rPr>
          <w:color w:val="00B050"/>
          <w:szCs w:val="24"/>
        </w:rPr>
        <w:t xml:space="preserve"> </w:t>
      </w:r>
      <w:r w:rsidRPr="00EC1B83">
        <w:rPr>
          <w:b/>
          <w:color w:val="00B050"/>
          <w:szCs w:val="24"/>
        </w:rPr>
        <w:t>(6)</w:t>
      </w:r>
      <w:r w:rsidRPr="00EC1B83">
        <w:rPr>
          <w:color w:val="00B050"/>
          <w:szCs w:val="24"/>
        </w:rPr>
        <w:t xml:space="preserve"> </w:t>
      </w:r>
      <w:r w:rsidRPr="006B40B4">
        <w:rPr>
          <w:szCs w:val="24"/>
        </w:rPr>
        <w:t>Nárok</w:t>
      </w:r>
      <w:proofErr w:type="gramEnd"/>
      <w:r w:rsidRPr="006B40B4">
        <w:rPr>
          <w:szCs w:val="24"/>
        </w:rPr>
        <w:t xml:space="preserve"> na odpočet daně podle odstavců 1 až</w:t>
      </w:r>
      <w:r w:rsidRPr="006B40B4">
        <w:rPr>
          <w:strike/>
          <w:szCs w:val="24"/>
        </w:rPr>
        <w:t xml:space="preserve"> </w:t>
      </w:r>
      <w:r w:rsidRPr="00EC1B83">
        <w:rPr>
          <w:strike/>
          <w:color w:val="00B050"/>
          <w:szCs w:val="24"/>
        </w:rPr>
        <w:t>4 </w:t>
      </w:r>
      <w:r w:rsidRPr="00EC1B83">
        <w:rPr>
          <w:b/>
          <w:color w:val="00B050"/>
          <w:szCs w:val="24"/>
        </w:rPr>
        <w:t>5</w:t>
      </w:r>
      <w:r w:rsidRPr="006B40B4">
        <w:rPr>
          <w:b/>
          <w:szCs w:val="24"/>
        </w:rPr>
        <w:t> </w:t>
      </w:r>
      <w:r w:rsidRPr="006B40B4">
        <w:rPr>
          <w:szCs w:val="24"/>
        </w:rPr>
        <w:t>se uplatní způsobem, v rozsahu a za podmínek stanovených v § 72 až 78d. Pro výpočet částky nároku na odpočet daně u dlouhodobého majetku se přiměřeně použije § 78d odst. 2.</w:t>
      </w:r>
    </w:p>
    <w:p w14:paraId="71DFF431" w14:textId="77777777" w:rsidR="00E55F2A" w:rsidRPr="006B40B4" w:rsidRDefault="00E55F2A" w:rsidP="001D06F7">
      <w:pPr>
        <w:widowControl w:val="0"/>
        <w:tabs>
          <w:tab w:val="left" w:pos="3324"/>
        </w:tabs>
        <w:autoSpaceDE w:val="0"/>
        <w:autoSpaceDN w:val="0"/>
        <w:adjustRightInd w:val="0"/>
        <w:spacing w:before="120" w:after="120"/>
        <w:rPr>
          <w:szCs w:val="24"/>
        </w:rPr>
      </w:pPr>
      <w:proofErr w:type="gramStart"/>
      <w:r w:rsidRPr="00EC1B83">
        <w:rPr>
          <w:strike/>
          <w:color w:val="00B050"/>
          <w:szCs w:val="24"/>
        </w:rPr>
        <w:t>(6)</w:t>
      </w:r>
      <w:r w:rsidRPr="00EC1B83">
        <w:rPr>
          <w:color w:val="00B050"/>
          <w:szCs w:val="24"/>
        </w:rPr>
        <w:t xml:space="preserve"> </w:t>
      </w:r>
      <w:r w:rsidRPr="00EC1B83">
        <w:rPr>
          <w:b/>
          <w:color w:val="00B050"/>
          <w:szCs w:val="24"/>
        </w:rPr>
        <w:t>(7)</w:t>
      </w:r>
      <w:r w:rsidRPr="006B40B4">
        <w:rPr>
          <w:b/>
          <w:szCs w:val="24"/>
        </w:rPr>
        <w:t xml:space="preserve"> </w:t>
      </w:r>
      <w:r w:rsidRPr="006B40B4">
        <w:rPr>
          <w:szCs w:val="24"/>
        </w:rPr>
        <w:t>Nárok</w:t>
      </w:r>
      <w:proofErr w:type="gramEnd"/>
      <w:r w:rsidRPr="006B40B4">
        <w:rPr>
          <w:szCs w:val="24"/>
        </w:rPr>
        <w:t xml:space="preserve"> na odpočet daně podle odstavců 1 až 4 lze uplatnit za zdaňovací období, do něhož spadá den, kdy se osoba povinná k dani stala plátcem.</w:t>
      </w:r>
      <w:r w:rsidRPr="006B40B4">
        <w:t xml:space="preserve"> </w:t>
      </w:r>
      <w:r w:rsidRPr="00EC1B83">
        <w:rPr>
          <w:b/>
          <w:color w:val="00B050"/>
          <w:szCs w:val="24"/>
        </w:rPr>
        <w:t>V tomto daňovém přiznání uvede plátce, který byl bezprostředně předtím, než se stal plátcem, v režimu pro malé podniky, rovněž hodnoty plnění, u kterých by měl nárok na odpočet daně, pokud by byl plátcem, která uskutečnil v režimu pro malé podniky v příslušném kalendářním roce.</w:t>
      </w:r>
    </w:p>
    <w:p w14:paraId="37A7F662" w14:textId="77777777" w:rsidR="00E55F2A" w:rsidRPr="00AE444E" w:rsidRDefault="00E55F2A" w:rsidP="001D06F7">
      <w:pPr>
        <w:widowControl w:val="0"/>
        <w:tabs>
          <w:tab w:val="left" w:pos="3324"/>
        </w:tabs>
        <w:autoSpaceDE w:val="0"/>
        <w:autoSpaceDN w:val="0"/>
        <w:adjustRightInd w:val="0"/>
        <w:spacing w:before="120" w:after="120"/>
      </w:pPr>
      <w:proofErr w:type="gramStart"/>
      <w:r w:rsidRPr="00EC1B83">
        <w:rPr>
          <w:strike/>
          <w:color w:val="00B050"/>
          <w:szCs w:val="24"/>
        </w:rPr>
        <w:t>(7)</w:t>
      </w:r>
      <w:r w:rsidRPr="00EC1B83">
        <w:rPr>
          <w:color w:val="00B050"/>
          <w:szCs w:val="24"/>
        </w:rPr>
        <w:t xml:space="preserve"> </w:t>
      </w:r>
      <w:r w:rsidRPr="00EC1B83">
        <w:rPr>
          <w:b/>
          <w:color w:val="00B050"/>
          <w:szCs w:val="24"/>
        </w:rPr>
        <w:t>(8)</w:t>
      </w:r>
      <w:r w:rsidRPr="006B40B4">
        <w:rPr>
          <w:szCs w:val="24"/>
        </w:rPr>
        <w:t xml:space="preserve"> Plátce</w:t>
      </w:r>
      <w:proofErr w:type="gramEnd"/>
      <w:r w:rsidRPr="006B40B4">
        <w:rPr>
          <w:szCs w:val="24"/>
        </w:rPr>
        <w:t xml:space="preserve"> nemá nárok na odpočet daně u přijatého zdanitelného plnění podle odstavců 1 až</w:t>
      </w:r>
      <w:r w:rsidRPr="006B40B4">
        <w:rPr>
          <w:strike/>
          <w:szCs w:val="24"/>
        </w:rPr>
        <w:t xml:space="preserve"> </w:t>
      </w:r>
      <w:r w:rsidRPr="00EC1B83">
        <w:rPr>
          <w:strike/>
          <w:color w:val="00B050"/>
          <w:szCs w:val="24"/>
        </w:rPr>
        <w:t>4 </w:t>
      </w:r>
      <w:r w:rsidRPr="00EC1B83">
        <w:rPr>
          <w:b/>
          <w:color w:val="00B050"/>
          <w:szCs w:val="24"/>
        </w:rPr>
        <w:t>5</w:t>
      </w:r>
      <w:r w:rsidRPr="006B40B4">
        <w:rPr>
          <w:szCs w:val="24"/>
        </w:rPr>
        <w:t>, pokud mu z tohoto plnění vznikl nárok na vrácení částky podle § 79d nebo nárok na vrácení daně.</w:t>
      </w:r>
    </w:p>
    <w:p w14:paraId="159FD5A1" w14:textId="77777777" w:rsidR="00E55F2A" w:rsidRDefault="00E55F2A" w:rsidP="00B600B5">
      <w:pPr>
        <w:pStyle w:val="Textparagrafu"/>
        <w:numPr>
          <w:ilvl w:val="0"/>
          <w:numId w:val="27"/>
        </w:numPr>
        <w:tabs>
          <w:tab w:val="left" w:pos="392"/>
          <w:tab w:val="left" w:pos="840"/>
        </w:tabs>
        <w:spacing w:after="120"/>
        <w:jc w:val="center"/>
      </w:pPr>
    </w:p>
    <w:p w14:paraId="14F12A5B" w14:textId="3D574B4B" w:rsidR="00832471" w:rsidRDefault="00832471" w:rsidP="00832471">
      <w:pPr>
        <w:pStyle w:val="Textparagrafu"/>
        <w:tabs>
          <w:tab w:val="left" w:pos="406"/>
          <w:tab w:val="left" w:pos="840"/>
          <w:tab w:val="left" w:pos="868"/>
        </w:tabs>
        <w:spacing w:after="120"/>
      </w:pPr>
    </w:p>
    <w:p w14:paraId="373626DF" w14:textId="77777777" w:rsidR="00AD77CE" w:rsidRDefault="00AD77CE" w:rsidP="00832471">
      <w:pPr>
        <w:pStyle w:val="Textparagrafu"/>
        <w:tabs>
          <w:tab w:val="left" w:pos="406"/>
          <w:tab w:val="left" w:pos="840"/>
          <w:tab w:val="left" w:pos="868"/>
        </w:tabs>
        <w:spacing w:after="120"/>
        <w:sectPr w:rsidR="00AD77CE" w:rsidSect="00554E2B">
          <w:footnotePr>
            <w:numStart w:val="3"/>
          </w:footnotePr>
          <w:endnotePr>
            <w:numFmt w:val="decimal"/>
          </w:endnotePr>
          <w:pgSz w:w="11906" w:h="16838"/>
          <w:pgMar w:top="1418" w:right="1418" w:bottom="1418" w:left="1418" w:header="709" w:footer="709" w:gutter="0"/>
          <w:cols w:space="708"/>
          <w:docGrid w:linePitch="360"/>
        </w:sectPr>
      </w:pPr>
    </w:p>
    <w:p w14:paraId="337E110E" w14:textId="03EE0CCC" w:rsidR="00AD77CE" w:rsidRPr="00892D65" w:rsidRDefault="00AD77CE" w:rsidP="0006588E">
      <w:pPr>
        <w:tabs>
          <w:tab w:val="left" w:pos="851"/>
        </w:tabs>
        <w:spacing w:before="120" w:after="120"/>
        <w:ind w:firstLine="0"/>
        <w:jc w:val="center"/>
        <w:outlineLvl w:val="0"/>
        <w:rPr>
          <w:szCs w:val="24"/>
        </w:rPr>
      </w:pPr>
      <w:r w:rsidRPr="00892D65">
        <w:rPr>
          <w:b/>
          <w:szCs w:val="24"/>
        </w:rPr>
        <w:lastRenderedPageBreak/>
        <w:t xml:space="preserve">K části sedmdesáté </w:t>
      </w:r>
      <w:r w:rsidR="00272890" w:rsidRPr="00892D65">
        <w:rPr>
          <w:b/>
          <w:szCs w:val="24"/>
        </w:rPr>
        <w:t>šesté</w:t>
      </w:r>
      <w:r w:rsidRPr="00892D65">
        <w:rPr>
          <w:b/>
          <w:szCs w:val="24"/>
        </w:rPr>
        <w:t xml:space="preserve"> návrhu zákona – </w:t>
      </w:r>
      <w:r w:rsidRPr="00892D65">
        <w:rPr>
          <w:szCs w:val="24"/>
        </w:rPr>
        <w:t>změna zákona</w:t>
      </w:r>
      <w:r w:rsidRPr="00892D65">
        <w:t xml:space="preserve"> </w:t>
      </w:r>
      <w:r w:rsidRPr="00892D65">
        <w:rPr>
          <w:szCs w:val="24"/>
        </w:rPr>
        <w:t>o podnikání na kapitálovém trhu</w:t>
      </w:r>
    </w:p>
    <w:p w14:paraId="066109FA" w14:textId="6909F537" w:rsidR="00AD77CE" w:rsidRPr="00892D65" w:rsidRDefault="00AD77CE" w:rsidP="00AD77CE">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892D65">
        <w:rPr>
          <w:b/>
          <w:szCs w:val="24"/>
        </w:rPr>
        <w:t>Platné znění</w:t>
      </w:r>
      <w:r w:rsidRPr="00892D65">
        <w:rPr>
          <w:szCs w:val="24"/>
        </w:rPr>
        <w:t xml:space="preserve"> zákona č.256/2004 Sb., o podnikání na kapitálovém trhu</w:t>
      </w:r>
    </w:p>
    <w:p w14:paraId="53C85EA9" w14:textId="08E8B12C" w:rsidR="00AD77CE" w:rsidRPr="00892D65" w:rsidRDefault="0006588E" w:rsidP="00AD77CE">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AE4818">
        <w:rPr>
          <w:b/>
          <w:szCs w:val="24"/>
          <w:lang w:eastAsia="en-US"/>
        </w:rPr>
        <w:t>s vyznačením navrhovaných změn a doplnění k 1. lednu 2025</w:t>
      </w:r>
    </w:p>
    <w:p w14:paraId="7D0337D1" w14:textId="77777777" w:rsidR="00AD77CE" w:rsidRDefault="00AD77CE" w:rsidP="00AD77CE">
      <w:pPr>
        <w:pStyle w:val="Textparagrafu"/>
        <w:numPr>
          <w:ilvl w:val="0"/>
          <w:numId w:val="27"/>
        </w:numPr>
        <w:tabs>
          <w:tab w:val="left" w:pos="392"/>
          <w:tab w:val="left" w:pos="840"/>
        </w:tabs>
        <w:spacing w:after="120"/>
        <w:jc w:val="center"/>
      </w:pPr>
      <w:r>
        <w:t>***</w:t>
      </w:r>
    </w:p>
    <w:p w14:paraId="10A83520" w14:textId="77777777" w:rsidR="00272890" w:rsidRPr="00F50C9D" w:rsidRDefault="00272890" w:rsidP="00272890">
      <w:pPr>
        <w:widowControl w:val="0"/>
        <w:autoSpaceDE w:val="0"/>
        <w:autoSpaceDN w:val="0"/>
        <w:adjustRightInd w:val="0"/>
        <w:spacing w:after="120"/>
        <w:ind w:firstLine="0"/>
        <w:jc w:val="center"/>
        <w:rPr>
          <w:szCs w:val="24"/>
        </w:rPr>
      </w:pPr>
      <w:r w:rsidRPr="00F50C9D">
        <w:rPr>
          <w:szCs w:val="24"/>
        </w:rPr>
        <w:t xml:space="preserve">§ 2a </w:t>
      </w:r>
    </w:p>
    <w:p w14:paraId="200ACC9E" w14:textId="77777777" w:rsidR="00272890" w:rsidRPr="00F50C9D" w:rsidRDefault="00272890" w:rsidP="00272890">
      <w:pPr>
        <w:widowControl w:val="0"/>
        <w:autoSpaceDE w:val="0"/>
        <w:autoSpaceDN w:val="0"/>
        <w:adjustRightInd w:val="0"/>
        <w:spacing w:after="120"/>
        <w:ind w:firstLine="0"/>
        <w:jc w:val="center"/>
        <w:rPr>
          <w:b/>
          <w:bCs/>
          <w:szCs w:val="24"/>
        </w:rPr>
      </w:pPr>
      <w:r w:rsidRPr="00F50C9D">
        <w:rPr>
          <w:b/>
          <w:bCs/>
          <w:szCs w:val="24"/>
        </w:rPr>
        <w:t>Profesionální zákazník</w:t>
      </w:r>
    </w:p>
    <w:p w14:paraId="59588185" w14:textId="050A8D00" w:rsidR="00272890" w:rsidRPr="00F50C9D" w:rsidRDefault="00272890" w:rsidP="00272890">
      <w:pPr>
        <w:pStyle w:val="PZTextodstavce"/>
        <w:spacing w:before="240"/>
        <w:rPr>
          <w:szCs w:val="24"/>
        </w:rPr>
      </w:pPr>
      <w:r w:rsidRPr="00F50C9D">
        <w:rPr>
          <w:szCs w:val="24"/>
        </w:rPr>
        <w:t>(1)</w:t>
      </w:r>
      <w:r w:rsidR="0090130C">
        <w:rPr>
          <w:szCs w:val="24"/>
        </w:rPr>
        <w:t xml:space="preserve"> </w:t>
      </w:r>
      <w:r w:rsidRPr="00F50C9D">
        <w:rPr>
          <w:szCs w:val="24"/>
        </w:rPr>
        <w:t xml:space="preserve">Profesionálním zákazníkem se v tomto zákoně rozumí </w:t>
      </w:r>
    </w:p>
    <w:p w14:paraId="336DA708" w14:textId="77777777" w:rsidR="00272890" w:rsidRPr="00F50C9D" w:rsidRDefault="00272890" w:rsidP="0090130C">
      <w:pPr>
        <w:pStyle w:val="PZTextpsmene"/>
        <w:spacing w:before="0"/>
        <w:rPr>
          <w:szCs w:val="24"/>
        </w:rPr>
      </w:pPr>
      <w:r w:rsidRPr="00F50C9D">
        <w:rPr>
          <w:szCs w:val="24"/>
        </w:rPr>
        <w:t>a)</w:t>
      </w:r>
      <w:r w:rsidRPr="00F50C9D">
        <w:rPr>
          <w:szCs w:val="24"/>
        </w:rPr>
        <w:tab/>
        <w:t>banka,</w:t>
      </w:r>
    </w:p>
    <w:p w14:paraId="10AD9DF9" w14:textId="77777777" w:rsidR="00272890" w:rsidRPr="00F50C9D" w:rsidRDefault="00272890" w:rsidP="0090130C">
      <w:pPr>
        <w:pStyle w:val="PZTextpsmene"/>
        <w:spacing w:before="0"/>
        <w:rPr>
          <w:szCs w:val="24"/>
        </w:rPr>
      </w:pPr>
      <w:r w:rsidRPr="00F50C9D">
        <w:rPr>
          <w:szCs w:val="24"/>
        </w:rPr>
        <w:t>b)</w:t>
      </w:r>
      <w:r w:rsidRPr="00F50C9D">
        <w:rPr>
          <w:szCs w:val="24"/>
        </w:rPr>
        <w:tab/>
        <w:t>spořitelní a úvěrní družstvo,</w:t>
      </w:r>
    </w:p>
    <w:p w14:paraId="6F92188B" w14:textId="77777777" w:rsidR="00272890" w:rsidRPr="00F50C9D" w:rsidRDefault="00272890" w:rsidP="0090130C">
      <w:pPr>
        <w:pStyle w:val="PZTextpsmene"/>
        <w:spacing w:before="0"/>
        <w:rPr>
          <w:szCs w:val="24"/>
        </w:rPr>
      </w:pPr>
      <w:r w:rsidRPr="00F50C9D">
        <w:rPr>
          <w:szCs w:val="24"/>
        </w:rPr>
        <w:t xml:space="preserve">c) </w:t>
      </w:r>
      <w:r w:rsidRPr="00F50C9D">
        <w:rPr>
          <w:szCs w:val="24"/>
        </w:rPr>
        <w:tab/>
        <w:t>obchodník s cennými papíry,</w:t>
      </w:r>
    </w:p>
    <w:p w14:paraId="52C48A73" w14:textId="77777777" w:rsidR="00272890" w:rsidRPr="00F50C9D" w:rsidRDefault="00272890" w:rsidP="0090130C">
      <w:pPr>
        <w:pStyle w:val="PZTextpsmene"/>
        <w:spacing w:before="0"/>
        <w:rPr>
          <w:szCs w:val="24"/>
        </w:rPr>
      </w:pPr>
      <w:r w:rsidRPr="00F50C9D">
        <w:rPr>
          <w:szCs w:val="24"/>
        </w:rPr>
        <w:t>d)</w:t>
      </w:r>
      <w:r w:rsidRPr="00F50C9D">
        <w:rPr>
          <w:szCs w:val="24"/>
        </w:rPr>
        <w:tab/>
        <w:t>pojišťovna,</w:t>
      </w:r>
    </w:p>
    <w:p w14:paraId="590044A7" w14:textId="77777777" w:rsidR="00272890" w:rsidRPr="00F50C9D" w:rsidRDefault="00272890" w:rsidP="0090130C">
      <w:pPr>
        <w:pStyle w:val="PZTextpsmene"/>
        <w:spacing w:before="0"/>
        <w:rPr>
          <w:szCs w:val="24"/>
        </w:rPr>
      </w:pPr>
      <w:r w:rsidRPr="00F50C9D">
        <w:rPr>
          <w:szCs w:val="24"/>
        </w:rPr>
        <w:t>e)</w:t>
      </w:r>
      <w:r w:rsidRPr="00F50C9D">
        <w:rPr>
          <w:szCs w:val="24"/>
        </w:rPr>
        <w:tab/>
        <w:t>zajišťovna,</w:t>
      </w:r>
    </w:p>
    <w:p w14:paraId="7A56A390" w14:textId="77777777" w:rsidR="00272890" w:rsidRPr="00F50C9D" w:rsidRDefault="00272890" w:rsidP="0090130C">
      <w:pPr>
        <w:pStyle w:val="PZTextpsmene"/>
        <w:spacing w:before="0"/>
        <w:rPr>
          <w:szCs w:val="24"/>
        </w:rPr>
      </w:pPr>
      <w:r w:rsidRPr="00F50C9D">
        <w:rPr>
          <w:szCs w:val="24"/>
        </w:rPr>
        <w:t>f)</w:t>
      </w:r>
      <w:r w:rsidRPr="00F50C9D">
        <w:rPr>
          <w:szCs w:val="24"/>
        </w:rPr>
        <w:tab/>
        <w:t>investiční společnost,</w:t>
      </w:r>
    </w:p>
    <w:p w14:paraId="68CDD6E7" w14:textId="77777777" w:rsidR="00272890" w:rsidRPr="00F50C9D" w:rsidRDefault="00272890" w:rsidP="0090130C">
      <w:pPr>
        <w:pStyle w:val="PZTextpsmene"/>
        <w:spacing w:before="0"/>
        <w:rPr>
          <w:szCs w:val="24"/>
        </w:rPr>
      </w:pPr>
      <w:r w:rsidRPr="00F50C9D">
        <w:rPr>
          <w:szCs w:val="24"/>
        </w:rPr>
        <w:t>g)</w:t>
      </w:r>
      <w:r w:rsidRPr="00F50C9D">
        <w:rPr>
          <w:szCs w:val="24"/>
        </w:rPr>
        <w:tab/>
        <w:t>investiční fond,</w:t>
      </w:r>
    </w:p>
    <w:p w14:paraId="3BBA450B" w14:textId="77777777" w:rsidR="00272890" w:rsidRPr="00F50C9D" w:rsidRDefault="00272890" w:rsidP="0090130C">
      <w:pPr>
        <w:pStyle w:val="PZTextpsmene"/>
        <w:spacing w:before="0"/>
        <w:rPr>
          <w:szCs w:val="24"/>
        </w:rPr>
      </w:pPr>
      <w:r w:rsidRPr="00F50C9D">
        <w:rPr>
          <w:szCs w:val="24"/>
        </w:rPr>
        <w:t>h)</w:t>
      </w:r>
      <w:r w:rsidRPr="00F50C9D">
        <w:rPr>
          <w:szCs w:val="24"/>
        </w:rPr>
        <w:tab/>
        <w:t>penzijní společnost,</w:t>
      </w:r>
    </w:p>
    <w:p w14:paraId="73F78AC3" w14:textId="77777777" w:rsidR="00272890" w:rsidRPr="00F50C9D" w:rsidRDefault="00272890" w:rsidP="0090130C">
      <w:pPr>
        <w:pStyle w:val="PZTextpsmene"/>
        <w:spacing w:before="0"/>
        <w:rPr>
          <w:szCs w:val="24"/>
        </w:rPr>
      </w:pPr>
      <w:r w:rsidRPr="00F50C9D">
        <w:rPr>
          <w:szCs w:val="24"/>
        </w:rPr>
        <w:t>i)</w:t>
      </w:r>
      <w:r w:rsidRPr="00F50C9D">
        <w:rPr>
          <w:szCs w:val="24"/>
        </w:rPr>
        <w:tab/>
        <w:t>jiná osoba, která podniká na finančním trhu na základě oprávnění uděleného orgánem dohledu nad finančním trhem, s výjimkou</w:t>
      </w:r>
    </w:p>
    <w:p w14:paraId="7A935DE3" w14:textId="77777777" w:rsidR="00272890" w:rsidRPr="00F50C9D" w:rsidRDefault="00272890" w:rsidP="0090130C">
      <w:pPr>
        <w:pStyle w:val="PZTextbodu"/>
        <w:spacing w:before="0"/>
        <w:rPr>
          <w:szCs w:val="24"/>
        </w:rPr>
      </w:pPr>
      <w:r w:rsidRPr="00F50C9D">
        <w:rPr>
          <w:szCs w:val="24"/>
        </w:rPr>
        <w:t>1.</w:t>
      </w:r>
      <w:r w:rsidRPr="00F50C9D">
        <w:rPr>
          <w:szCs w:val="24"/>
        </w:rPr>
        <w:tab/>
        <w:t>vázaného zástupce podle tohoto zákona,</w:t>
      </w:r>
    </w:p>
    <w:p w14:paraId="0285C1D5" w14:textId="77777777" w:rsidR="00272890" w:rsidRPr="00F50C9D" w:rsidRDefault="00272890" w:rsidP="0090130C">
      <w:pPr>
        <w:pStyle w:val="PZTextbodu"/>
        <w:spacing w:before="0"/>
        <w:rPr>
          <w:szCs w:val="24"/>
        </w:rPr>
      </w:pPr>
      <w:r w:rsidRPr="00F50C9D">
        <w:rPr>
          <w:szCs w:val="24"/>
        </w:rPr>
        <w:t>2.</w:t>
      </w:r>
      <w:r w:rsidRPr="00F50C9D">
        <w:rPr>
          <w:szCs w:val="24"/>
        </w:rPr>
        <w:tab/>
        <w:t>vázaného zástupce a zprostředkovatele vázaného spotřebitelského úvěru podle zákona upravujícího spotřebitelský úvěr,</w:t>
      </w:r>
    </w:p>
    <w:p w14:paraId="6069BF4D" w14:textId="77777777" w:rsidR="00272890" w:rsidRPr="00F50C9D" w:rsidRDefault="00272890" w:rsidP="0090130C">
      <w:pPr>
        <w:pStyle w:val="PZTextbodu"/>
        <w:spacing w:before="0"/>
        <w:rPr>
          <w:szCs w:val="24"/>
        </w:rPr>
      </w:pPr>
      <w:r w:rsidRPr="00F50C9D">
        <w:rPr>
          <w:szCs w:val="24"/>
        </w:rPr>
        <w:t>3.</w:t>
      </w:r>
      <w:r w:rsidRPr="00F50C9D">
        <w:rPr>
          <w:szCs w:val="24"/>
        </w:rPr>
        <w:tab/>
        <w:t>vázaného zástupce podle zákona upravujícího doplňkové penzijní spoření a</w:t>
      </w:r>
    </w:p>
    <w:p w14:paraId="53DCCC48" w14:textId="77777777" w:rsidR="00272890" w:rsidRPr="00F50C9D" w:rsidRDefault="00272890" w:rsidP="0090130C">
      <w:pPr>
        <w:pStyle w:val="PZTextbodu"/>
        <w:spacing w:before="0"/>
        <w:rPr>
          <w:szCs w:val="24"/>
        </w:rPr>
      </w:pPr>
      <w:r w:rsidRPr="00F50C9D">
        <w:rPr>
          <w:szCs w:val="24"/>
        </w:rPr>
        <w:t>4.</w:t>
      </w:r>
      <w:r w:rsidRPr="00F50C9D">
        <w:rPr>
          <w:szCs w:val="24"/>
        </w:rPr>
        <w:tab/>
        <w:t>vázaného zástupce a doplňkového pojišťovacího zprostředkovatele podle zákona upravujícího distribuci pojištění a zajištění,</w:t>
      </w:r>
    </w:p>
    <w:p w14:paraId="5895D8CC" w14:textId="77777777" w:rsidR="00272890" w:rsidRPr="00F50C9D" w:rsidRDefault="00272890" w:rsidP="0090130C">
      <w:pPr>
        <w:pStyle w:val="PZTextpsmene"/>
        <w:spacing w:before="0"/>
        <w:rPr>
          <w:szCs w:val="24"/>
        </w:rPr>
      </w:pPr>
      <w:r w:rsidRPr="00F50C9D">
        <w:rPr>
          <w:szCs w:val="24"/>
        </w:rPr>
        <w:t>j)</w:t>
      </w:r>
      <w:r w:rsidRPr="00F50C9D">
        <w:rPr>
          <w:szCs w:val="24"/>
        </w:rPr>
        <w:tab/>
        <w:t xml:space="preserve">osoba, která jako svou rozhodující činnost provádí </w:t>
      </w:r>
      <w:proofErr w:type="spellStart"/>
      <w:r w:rsidRPr="00F50C9D">
        <w:rPr>
          <w:szCs w:val="24"/>
        </w:rPr>
        <w:t>sekuritizaci</w:t>
      </w:r>
      <w:proofErr w:type="spellEnd"/>
      <w:r w:rsidRPr="00F50C9D">
        <w:rPr>
          <w:szCs w:val="24"/>
        </w:rPr>
        <w:t>,</w:t>
      </w:r>
    </w:p>
    <w:p w14:paraId="07AAE081" w14:textId="77777777" w:rsidR="00272890" w:rsidRPr="00F50C9D" w:rsidRDefault="00272890" w:rsidP="0090130C">
      <w:pPr>
        <w:pStyle w:val="PZTextpsmene"/>
        <w:spacing w:before="0"/>
        <w:rPr>
          <w:szCs w:val="24"/>
        </w:rPr>
      </w:pPr>
      <w:r w:rsidRPr="00F50C9D">
        <w:rPr>
          <w:szCs w:val="24"/>
        </w:rPr>
        <w:t>k)</w:t>
      </w:r>
      <w:r w:rsidRPr="00F50C9D">
        <w:rPr>
          <w:szCs w:val="24"/>
        </w:rPr>
        <w:tab/>
        <w:t>osoba, která obchoduje na vlastní účet s investičními nástroji za účelem snížení rizika (</w:t>
      </w:r>
      <w:proofErr w:type="spellStart"/>
      <w:r w:rsidRPr="00F50C9D">
        <w:rPr>
          <w:szCs w:val="24"/>
        </w:rPr>
        <w:t>hedging</w:t>
      </w:r>
      <w:proofErr w:type="spellEnd"/>
      <w:r w:rsidRPr="00F50C9D">
        <w:rPr>
          <w:szCs w:val="24"/>
        </w:rPr>
        <w:t xml:space="preserve">) z obchodů s investičními nástroji uvedenými v </w:t>
      </w:r>
      <w:hyperlink r:id="rId26" w:history="1">
        <w:r w:rsidRPr="00F50C9D">
          <w:rPr>
            <w:szCs w:val="24"/>
          </w:rPr>
          <w:t>§ 3 odst. 1 písm. d) až k)</w:t>
        </w:r>
      </w:hyperlink>
      <w:r w:rsidRPr="00F50C9D">
        <w:rPr>
          <w:szCs w:val="24"/>
        </w:rPr>
        <w:t xml:space="preserve"> a tato činnost patří mezi její rozhodující činnosti,</w:t>
      </w:r>
    </w:p>
    <w:p w14:paraId="417378E6" w14:textId="77777777" w:rsidR="00272890" w:rsidRPr="00F50C9D" w:rsidRDefault="00272890" w:rsidP="0090130C">
      <w:pPr>
        <w:pStyle w:val="PZTextpsmene"/>
        <w:spacing w:before="0"/>
        <w:rPr>
          <w:szCs w:val="24"/>
        </w:rPr>
      </w:pPr>
      <w:r w:rsidRPr="00F50C9D">
        <w:rPr>
          <w:szCs w:val="24"/>
        </w:rPr>
        <w:t>l)</w:t>
      </w:r>
      <w:r w:rsidRPr="00F50C9D">
        <w:rPr>
          <w:szCs w:val="24"/>
        </w:rPr>
        <w:tab/>
        <w:t xml:space="preserve">osoba, která obchoduje na vlastní účet s investičními nástroji uvedenými v </w:t>
      </w:r>
      <w:hyperlink r:id="rId27" w:history="1">
        <w:r w:rsidRPr="00F50C9D">
          <w:rPr>
            <w:szCs w:val="24"/>
          </w:rPr>
          <w:t>§ 3 odst. 1 písm. g) až i)</w:t>
        </w:r>
      </w:hyperlink>
      <w:r w:rsidRPr="00F50C9D">
        <w:rPr>
          <w:szCs w:val="24"/>
        </w:rPr>
        <w:t xml:space="preserve"> nebo komoditami a tato činnost patří mezi její rozhodující činnosti,</w:t>
      </w:r>
    </w:p>
    <w:p w14:paraId="05F1E6B3" w14:textId="77777777" w:rsidR="00272890" w:rsidRPr="00F50C9D" w:rsidRDefault="00272890" w:rsidP="0090130C">
      <w:pPr>
        <w:pStyle w:val="PZTextpsmene"/>
        <w:spacing w:before="0"/>
        <w:rPr>
          <w:szCs w:val="24"/>
        </w:rPr>
      </w:pPr>
      <w:r w:rsidRPr="00F50C9D">
        <w:rPr>
          <w:szCs w:val="24"/>
        </w:rPr>
        <w:t>m)</w:t>
      </w:r>
      <w:r w:rsidRPr="00F50C9D">
        <w:rPr>
          <w:szCs w:val="24"/>
        </w:rPr>
        <w:tab/>
        <w:t>právnická osoba, která je příslušná hospodařit s majetkem státu při zajišťování nákupu, prodeje nebo správy jeho pohledávek nebo jiných aktiv, anebo při restrukturalizaci obchodních společností nebo jiných právnických osob s majetkovou účastí státu,</w:t>
      </w:r>
    </w:p>
    <w:p w14:paraId="2C2C1E05" w14:textId="77777777" w:rsidR="00272890" w:rsidRPr="00F50C9D" w:rsidRDefault="00272890" w:rsidP="0090130C">
      <w:pPr>
        <w:pStyle w:val="PZTextpsmene"/>
        <w:spacing w:before="0"/>
        <w:rPr>
          <w:szCs w:val="24"/>
        </w:rPr>
      </w:pPr>
      <w:r w:rsidRPr="00F50C9D">
        <w:rPr>
          <w:szCs w:val="24"/>
        </w:rPr>
        <w:t>n)</w:t>
      </w:r>
      <w:r w:rsidRPr="00F50C9D">
        <w:rPr>
          <w:szCs w:val="24"/>
        </w:rPr>
        <w:tab/>
        <w:t>zahraniční osoba s obdobnou činností jako některá z osob uvedených v písmenech a) až m),</w:t>
      </w:r>
    </w:p>
    <w:p w14:paraId="33887A1D" w14:textId="77777777" w:rsidR="00272890" w:rsidRPr="00F50C9D" w:rsidRDefault="00272890" w:rsidP="0090130C">
      <w:pPr>
        <w:pStyle w:val="PZTextpsmene"/>
        <w:spacing w:before="0"/>
        <w:rPr>
          <w:szCs w:val="24"/>
        </w:rPr>
      </w:pPr>
      <w:r w:rsidRPr="00F50C9D">
        <w:rPr>
          <w:szCs w:val="24"/>
        </w:rPr>
        <w:t>o)</w:t>
      </w:r>
      <w:r w:rsidRPr="00F50C9D">
        <w:rPr>
          <w:szCs w:val="24"/>
        </w:rPr>
        <w:tab/>
        <w:t>stát nebo členský stát federace,</w:t>
      </w:r>
    </w:p>
    <w:p w14:paraId="15C16B47" w14:textId="77777777" w:rsidR="00272890" w:rsidRPr="00F50C9D" w:rsidRDefault="00272890" w:rsidP="0090130C">
      <w:pPr>
        <w:pStyle w:val="PZTextpsmene"/>
        <w:spacing w:before="0"/>
        <w:rPr>
          <w:szCs w:val="24"/>
        </w:rPr>
      </w:pPr>
      <w:r w:rsidRPr="00F50C9D">
        <w:rPr>
          <w:szCs w:val="24"/>
        </w:rPr>
        <w:t>p)</w:t>
      </w:r>
      <w:r w:rsidRPr="00F50C9D">
        <w:rPr>
          <w:szCs w:val="24"/>
        </w:rPr>
        <w:tab/>
        <w:t>Česká národní banka, zahraniční centrální banka nebo Evropská centrální banka a</w:t>
      </w:r>
    </w:p>
    <w:p w14:paraId="383D33DF" w14:textId="77777777" w:rsidR="00272890" w:rsidRPr="00F50C9D" w:rsidRDefault="00272890" w:rsidP="0090130C">
      <w:pPr>
        <w:pStyle w:val="PZTextpsmene"/>
        <w:spacing w:before="0"/>
        <w:rPr>
          <w:szCs w:val="24"/>
        </w:rPr>
      </w:pPr>
      <w:r w:rsidRPr="00F50C9D">
        <w:rPr>
          <w:szCs w:val="24"/>
        </w:rPr>
        <w:t>q)</w:t>
      </w:r>
      <w:r w:rsidRPr="00F50C9D">
        <w:rPr>
          <w:szCs w:val="24"/>
        </w:rPr>
        <w:tab/>
        <w:t>Světová banka, Mezinárodní měnový fond, Evropská investiční banka nebo jiná mezinárodní finanční instituce.</w:t>
      </w:r>
    </w:p>
    <w:p w14:paraId="1EFBCAE1" w14:textId="7035B20D" w:rsidR="00272890" w:rsidRPr="00F50C9D" w:rsidRDefault="00272890" w:rsidP="00272890">
      <w:pPr>
        <w:pStyle w:val="PZTextodstavce"/>
        <w:spacing w:before="240"/>
        <w:rPr>
          <w:szCs w:val="24"/>
        </w:rPr>
      </w:pPr>
      <w:r w:rsidRPr="00F50C9D">
        <w:rPr>
          <w:szCs w:val="24"/>
        </w:rPr>
        <w:t>(</w:t>
      </w:r>
      <w:r w:rsidR="0090130C">
        <w:rPr>
          <w:szCs w:val="24"/>
        </w:rPr>
        <w:t xml:space="preserve">2) </w:t>
      </w:r>
      <w:r w:rsidRPr="00F50C9D">
        <w:rPr>
          <w:szCs w:val="24"/>
        </w:rPr>
        <w:t>Profesionálním zákazníkem se v tomto zákoně dále rozumí</w:t>
      </w:r>
    </w:p>
    <w:p w14:paraId="3CA2DD8D" w14:textId="77777777" w:rsidR="00272890" w:rsidRPr="00F50C9D" w:rsidRDefault="00272890" w:rsidP="0090130C">
      <w:pPr>
        <w:pStyle w:val="PZTextpsmene"/>
        <w:spacing w:before="0"/>
        <w:rPr>
          <w:szCs w:val="24"/>
        </w:rPr>
      </w:pPr>
      <w:r w:rsidRPr="00F50C9D">
        <w:rPr>
          <w:szCs w:val="24"/>
        </w:rPr>
        <w:t>a)</w:t>
      </w:r>
      <w:r w:rsidRPr="00F50C9D">
        <w:rPr>
          <w:szCs w:val="24"/>
        </w:rPr>
        <w:tab/>
        <w:t xml:space="preserve">právnická osoba založená za účelem podnikání, která podle poslední </w:t>
      </w:r>
      <w:r w:rsidRPr="00F50C9D">
        <w:rPr>
          <w:b/>
          <w:szCs w:val="24"/>
        </w:rPr>
        <w:t xml:space="preserve">řádné individuální </w:t>
      </w:r>
      <w:r w:rsidRPr="00F50C9D">
        <w:rPr>
          <w:szCs w:val="24"/>
        </w:rPr>
        <w:t xml:space="preserve">účetní závěrky splňuje alespoň 2 </w:t>
      </w:r>
      <w:proofErr w:type="gramStart"/>
      <w:r w:rsidRPr="00F50C9D">
        <w:rPr>
          <w:szCs w:val="24"/>
        </w:rPr>
        <w:t>ze</w:t>
      </w:r>
      <w:proofErr w:type="gramEnd"/>
      <w:r w:rsidRPr="00F50C9D">
        <w:rPr>
          <w:szCs w:val="24"/>
        </w:rPr>
        <w:t xml:space="preserve"> 3 kritérií, kterými jsou</w:t>
      </w:r>
    </w:p>
    <w:p w14:paraId="4F1A2C75" w14:textId="77777777" w:rsidR="00272890" w:rsidRPr="00F50C9D" w:rsidRDefault="00272890" w:rsidP="0090130C">
      <w:pPr>
        <w:pStyle w:val="PZTextbodu"/>
        <w:spacing w:before="0"/>
        <w:rPr>
          <w:szCs w:val="24"/>
        </w:rPr>
      </w:pPr>
      <w:r w:rsidRPr="00F50C9D">
        <w:rPr>
          <w:szCs w:val="24"/>
        </w:rPr>
        <w:t>1.</w:t>
      </w:r>
      <w:r w:rsidRPr="00F50C9D">
        <w:rPr>
          <w:szCs w:val="24"/>
        </w:rPr>
        <w:tab/>
        <w:t>aktiva celkem odpovídající částce alespoň 20 000 000 EUR,</w:t>
      </w:r>
    </w:p>
    <w:p w14:paraId="3A287439" w14:textId="77777777" w:rsidR="00272890" w:rsidRPr="00F50C9D" w:rsidRDefault="00272890" w:rsidP="0090130C">
      <w:pPr>
        <w:pStyle w:val="PZTextbodu"/>
        <w:spacing w:before="0"/>
        <w:rPr>
          <w:szCs w:val="24"/>
        </w:rPr>
      </w:pPr>
      <w:r w:rsidRPr="00F50C9D">
        <w:rPr>
          <w:szCs w:val="24"/>
        </w:rPr>
        <w:lastRenderedPageBreak/>
        <w:t>2.</w:t>
      </w:r>
      <w:r w:rsidRPr="00F50C9D">
        <w:rPr>
          <w:szCs w:val="24"/>
        </w:rPr>
        <w:tab/>
        <w:t>roční úhrn čistého obratu odpovídající částce alespoň 40 000 000 EUR,</w:t>
      </w:r>
    </w:p>
    <w:p w14:paraId="3CFF81E1" w14:textId="77777777" w:rsidR="00272890" w:rsidRPr="00F50C9D" w:rsidRDefault="00272890" w:rsidP="0090130C">
      <w:pPr>
        <w:pStyle w:val="PZTextbodu"/>
        <w:spacing w:before="0"/>
        <w:rPr>
          <w:szCs w:val="24"/>
        </w:rPr>
      </w:pPr>
      <w:r w:rsidRPr="00F50C9D">
        <w:rPr>
          <w:szCs w:val="24"/>
        </w:rPr>
        <w:t>3.</w:t>
      </w:r>
      <w:r w:rsidRPr="00F50C9D">
        <w:rPr>
          <w:szCs w:val="24"/>
        </w:rPr>
        <w:tab/>
        <w:t>vlastní kapitál odpovídající částce alespoň 2 000 000 EUR,</w:t>
      </w:r>
    </w:p>
    <w:p w14:paraId="3126600B" w14:textId="77777777" w:rsidR="00272890" w:rsidRPr="00F50C9D" w:rsidRDefault="00272890" w:rsidP="0090130C">
      <w:pPr>
        <w:pStyle w:val="PZTextpsmene"/>
        <w:spacing w:before="0"/>
        <w:rPr>
          <w:szCs w:val="24"/>
        </w:rPr>
      </w:pPr>
      <w:r w:rsidRPr="00F50C9D">
        <w:rPr>
          <w:szCs w:val="24"/>
        </w:rPr>
        <w:t>b)</w:t>
      </w:r>
      <w:r w:rsidRPr="00F50C9D">
        <w:rPr>
          <w:szCs w:val="24"/>
        </w:rPr>
        <w:tab/>
        <w:t>zahraniční osoba založená za účelem podnikání, která splňuje podmínky stanovené v písmenu a).</w:t>
      </w:r>
    </w:p>
    <w:p w14:paraId="283F4E87" w14:textId="2CB425A8" w:rsidR="00272890" w:rsidRPr="00F50C9D" w:rsidRDefault="00272890" w:rsidP="00272890">
      <w:pPr>
        <w:pStyle w:val="PZTextodstavce"/>
        <w:spacing w:before="240"/>
        <w:rPr>
          <w:szCs w:val="24"/>
        </w:rPr>
      </w:pPr>
      <w:r w:rsidRPr="00F50C9D">
        <w:rPr>
          <w:szCs w:val="24"/>
        </w:rPr>
        <w:t>(3)</w:t>
      </w:r>
      <w:r w:rsidRPr="00F50C9D">
        <w:rPr>
          <w:szCs w:val="24"/>
        </w:rPr>
        <w:tab/>
        <w:t xml:space="preserve">Zákazník podle odstavce 1 nebo 2 se považuje za zákazníka, který není profesionálním zákazníkem v rozsahu obchodů s investičním nástrojem nebo investičních služeb, na kterém se s obchodníkem s cennými papíry dohodnou. V případě, že tato </w:t>
      </w:r>
      <w:r w:rsidRPr="00F50C9D">
        <w:t>dohoda</w:t>
      </w:r>
      <w:r w:rsidRPr="00F50C9D">
        <w:rPr>
          <w:szCs w:val="24"/>
        </w:rPr>
        <w:t xml:space="preserve"> nebyla uzavřena v písemné formě, je obchodník s cennými papíry povinen tomuto zákazníkovi vydat na jeho žádost potvrzení o skutečnostech uvedených ve větě první. </w:t>
      </w:r>
    </w:p>
    <w:p w14:paraId="1FB4644A" w14:textId="77777777" w:rsidR="00272890" w:rsidRPr="00F50C9D" w:rsidRDefault="00272890" w:rsidP="00FB33F7">
      <w:pPr>
        <w:widowControl w:val="0"/>
        <w:autoSpaceDE w:val="0"/>
        <w:autoSpaceDN w:val="0"/>
        <w:adjustRightInd w:val="0"/>
        <w:spacing w:after="120"/>
        <w:ind w:firstLine="0"/>
        <w:jc w:val="center"/>
        <w:rPr>
          <w:szCs w:val="24"/>
        </w:rPr>
      </w:pPr>
      <w:r w:rsidRPr="00F50C9D">
        <w:rPr>
          <w:szCs w:val="24"/>
        </w:rPr>
        <w:t>§ 12e</w:t>
      </w:r>
    </w:p>
    <w:p w14:paraId="66783D27" w14:textId="77777777" w:rsidR="00272890" w:rsidRPr="00F50C9D" w:rsidRDefault="00272890" w:rsidP="00FB33F7">
      <w:pPr>
        <w:widowControl w:val="0"/>
        <w:autoSpaceDE w:val="0"/>
        <w:autoSpaceDN w:val="0"/>
        <w:adjustRightInd w:val="0"/>
        <w:spacing w:after="120"/>
        <w:ind w:firstLine="0"/>
        <w:jc w:val="center"/>
        <w:rPr>
          <w:b/>
          <w:szCs w:val="24"/>
        </w:rPr>
      </w:pPr>
      <w:r w:rsidRPr="00F50C9D">
        <w:rPr>
          <w:b/>
          <w:szCs w:val="24"/>
        </w:rPr>
        <w:t>Ochrana majetku zákazníka</w:t>
      </w:r>
    </w:p>
    <w:p w14:paraId="2DCEEBF1" w14:textId="05193C16" w:rsidR="00272890" w:rsidRPr="00F50C9D" w:rsidRDefault="00FB33F7" w:rsidP="0006588E">
      <w:pPr>
        <w:pStyle w:val="PZTextodstavce"/>
      </w:pPr>
      <w:r>
        <w:t xml:space="preserve">(1) </w:t>
      </w:r>
      <w:r w:rsidR="00272890" w:rsidRPr="00F50C9D">
        <w:t>Obchodník s cennými papíry je povinen při nakládání s investičními nástroji zákazníka zavést opatření k ochraně vlastnického práva zákazníka, zejména pro případ úpadku obchodníka s cennými papíry, a k vyloučení použití investičních nástrojů zákazníka k obchodům na vlastní účet nebo na účet jiného zákazníka, s výjimkou případu, kdy zákazník k takovému postupu udělil obchodníkovi s cennými papíry výslovný souhlas.</w:t>
      </w:r>
    </w:p>
    <w:p w14:paraId="763E502B" w14:textId="1D8E8FF2" w:rsidR="00272890" w:rsidRPr="00F50C9D" w:rsidRDefault="00FB33F7" w:rsidP="0006588E">
      <w:pPr>
        <w:pStyle w:val="PZTextodstavce"/>
      </w:pPr>
      <w:r>
        <w:t xml:space="preserve">(2) </w:t>
      </w:r>
      <w:r w:rsidR="00272890" w:rsidRPr="00F50C9D">
        <w:t>Obchodník s cennými papíry je povinen při nakládání s peněžními prostředky zákazníka zavést opatření k ochraně práv zákazníka k tomuto majetku a, s výjimkou vkladů u obchodníka s cennými papíry, který je bankou, k vyloučení použití tohoto majetku k obchodům na vlastní účet nebo na účet jiného zákazníka.</w:t>
      </w:r>
    </w:p>
    <w:p w14:paraId="4F9676BC" w14:textId="64DDD591" w:rsidR="00272890" w:rsidRPr="00F50C9D" w:rsidRDefault="00FB33F7" w:rsidP="0006588E">
      <w:pPr>
        <w:pStyle w:val="PZTextodstavce"/>
        <w:rPr>
          <w:strike/>
        </w:rPr>
      </w:pPr>
      <w:r>
        <w:rPr>
          <w:strike/>
        </w:rPr>
        <w:t xml:space="preserve">(3) </w:t>
      </w:r>
      <w:r w:rsidR="00272890" w:rsidRPr="00F50C9D">
        <w:rPr>
          <w:strike/>
        </w:rPr>
        <w:t>Obchodník s cennými papíry je povinen mít osobou oprávněnou provádět auditorskou činnost podle zákona o auditorech (dále jen „auditor“) ověřenou přiměřenost opatření přijatých za účelem ochrany majetku zákazníka; o ověření přiměřenosti opatření přijatých obchodníkem s cennými papíry za účelem ochrany majetku zákazníka vypracuje auditor nejméně jednou ročně zprávu o ověření přiměřenosti opatření přijatých obchodníkem s cennými papíry za účelem ochrany majetku zákazníka, kterou poskytne České národní bance.</w:t>
      </w:r>
    </w:p>
    <w:p w14:paraId="5A55E08A" w14:textId="0CA4469C" w:rsidR="00272890" w:rsidRPr="00F50C9D" w:rsidRDefault="00FB33F7" w:rsidP="0006588E">
      <w:pPr>
        <w:pStyle w:val="PZTextodstavce"/>
        <w:rPr>
          <w:b/>
        </w:rPr>
      </w:pPr>
      <w:r>
        <w:rPr>
          <w:b/>
        </w:rPr>
        <w:t xml:space="preserve">(3) </w:t>
      </w:r>
      <w:r w:rsidR="00272890" w:rsidRPr="00F50C9D">
        <w:rPr>
          <w:b/>
        </w:rPr>
        <w:t>Obchodník s cennými papíry zajistí ověření přiměřenosti opatření přijatých za účelem ochrany majetku zákazníka auditorem podle zákona upravujícího auditorskou činnost; nejméně jednou ročně zprávu o ověření přiměřenosti opatření přijatých obchodníkem s cennými papíry za účelem ochrany majetku zákazníka, poskytne obchodník s cennými papíry České národní bance.</w:t>
      </w:r>
    </w:p>
    <w:p w14:paraId="2B93EA99" w14:textId="77777777" w:rsidR="00272890" w:rsidRPr="00F50C9D" w:rsidRDefault="00272890" w:rsidP="00FB33F7">
      <w:pPr>
        <w:widowControl w:val="0"/>
        <w:autoSpaceDE w:val="0"/>
        <w:autoSpaceDN w:val="0"/>
        <w:adjustRightInd w:val="0"/>
        <w:spacing w:after="120"/>
        <w:ind w:firstLine="0"/>
        <w:jc w:val="center"/>
        <w:rPr>
          <w:szCs w:val="24"/>
        </w:rPr>
      </w:pPr>
      <w:r w:rsidRPr="00F50C9D">
        <w:rPr>
          <w:szCs w:val="24"/>
        </w:rPr>
        <w:t>§ 16</w:t>
      </w:r>
    </w:p>
    <w:p w14:paraId="649BA89A" w14:textId="77777777" w:rsidR="00272890" w:rsidRPr="00F50C9D" w:rsidRDefault="00272890" w:rsidP="00FB33F7">
      <w:pPr>
        <w:widowControl w:val="0"/>
        <w:autoSpaceDE w:val="0"/>
        <w:autoSpaceDN w:val="0"/>
        <w:adjustRightInd w:val="0"/>
        <w:spacing w:after="120"/>
        <w:ind w:firstLine="0"/>
        <w:jc w:val="center"/>
        <w:rPr>
          <w:b/>
          <w:bCs/>
          <w:szCs w:val="24"/>
        </w:rPr>
      </w:pPr>
      <w:r w:rsidRPr="00F50C9D">
        <w:rPr>
          <w:b/>
          <w:bCs/>
          <w:szCs w:val="24"/>
        </w:rPr>
        <w:t xml:space="preserve">nadpis vypuštěn </w:t>
      </w:r>
    </w:p>
    <w:p w14:paraId="429FFE8D" w14:textId="727706CF" w:rsidR="00272890" w:rsidRPr="00F50C9D" w:rsidRDefault="00FB33F7" w:rsidP="0006588E">
      <w:pPr>
        <w:pStyle w:val="PZTextodstavce"/>
        <w:rPr>
          <w:szCs w:val="24"/>
        </w:rPr>
      </w:pPr>
      <w:r>
        <w:rPr>
          <w:strike/>
          <w:szCs w:val="24"/>
        </w:rPr>
        <w:t xml:space="preserve">(1) </w:t>
      </w:r>
      <w:r w:rsidR="00272890" w:rsidRPr="00F50C9D">
        <w:rPr>
          <w:strike/>
          <w:szCs w:val="24"/>
        </w:rPr>
        <w:t>Obchodník s cennými papíry nejpozději do 4 měsíců po skončení účetního období předloží České národní bance a uveřejní na svých internetových stránkách svou výroční zprávu a konsolidovanou výroční zprávu podle zákona upravujícího účetnictví, jejichž součástí je účetní závěrka nebo konsolidovaná účetní závěrka ověřená auditorem a údaj o výši základu pro výpočet příspěvku do Garančního fondu (</w:t>
      </w:r>
      <w:hyperlink r:id="rId28" w:history="1">
        <w:r w:rsidR="00272890" w:rsidRPr="00F50C9D">
          <w:rPr>
            <w:strike/>
            <w:szCs w:val="24"/>
          </w:rPr>
          <w:t>§ 129 odst. 1</w:t>
        </w:r>
      </w:hyperlink>
      <w:r w:rsidR="00272890" w:rsidRPr="00F50C9D">
        <w:rPr>
          <w:strike/>
          <w:szCs w:val="24"/>
        </w:rPr>
        <w:t>). Tím nejsou dotčeny povinnosti akciové společnosti nebo společnosti s ručením omezeným při zveřejňování účetní závěrky a výroční zprávy podle jiných právních předpisů.</w:t>
      </w:r>
      <w:r w:rsidR="00272890" w:rsidRPr="00F50C9D">
        <w:rPr>
          <w:szCs w:val="24"/>
        </w:rPr>
        <w:t xml:space="preserve"> </w:t>
      </w:r>
    </w:p>
    <w:p w14:paraId="720751E5" w14:textId="0BC21DF1" w:rsidR="00272890" w:rsidRPr="00FB33F7" w:rsidRDefault="00FB33F7" w:rsidP="0006588E">
      <w:pPr>
        <w:pStyle w:val="PZTextodstavce"/>
        <w:rPr>
          <w:b/>
          <w:szCs w:val="24"/>
        </w:rPr>
      </w:pPr>
      <w:r>
        <w:rPr>
          <w:b/>
          <w:szCs w:val="24"/>
        </w:rPr>
        <w:t xml:space="preserve">(1) </w:t>
      </w:r>
      <w:r w:rsidR="00272890" w:rsidRPr="00F50C9D">
        <w:rPr>
          <w:b/>
          <w:szCs w:val="24"/>
        </w:rPr>
        <w:t>Obchodník s cennými papíry</w:t>
      </w:r>
      <w:r w:rsidR="00272890" w:rsidRPr="00F50C9D">
        <w:t xml:space="preserve"> </w:t>
      </w:r>
      <w:r w:rsidR="00272890" w:rsidRPr="00F50C9D">
        <w:rPr>
          <w:b/>
          <w:szCs w:val="24"/>
        </w:rPr>
        <w:t xml:space="preserve">má povinnost auditu řádné účetní. K řádné individuální účetní závěrce obchodník s cennými papíry připojí také údaj o výši základu </w:t>
      </w:r>
      <w:r w:rsidR="00272890" w:rsidRPr="00F50C9D">
        <w:rPr>
          <w:b/>
          <w:szCs w:val="24"/>
        </w:rPr>
        <w:lastRenderedPageBreak/>
        <w:t xml:space="preserve">pro výpočet příspěvku do Garančního fondu (§ 129 odst. 1). Obchodník s cennými papíry zveřejní </w:t>
      </w:r>
      <w:r w:rsidR="00272890" w:rsidRPr="00F50C9D">
        <w:rPr>
          <w:b/>
        </w:rPr>
        <w:t xml:space="preserve">řádnou účetní závěrku, zprávy podle zákona upravujícího účetnictví, jsou-li vyhotovovány, a zprávy o jejich ověření, jsou-li ověřovány, </w:t>
      </w:r>
      <w:r w:rsidR="00272890" w:rsidRPr="00F50C9D">
        <w:rPr>
          <w:b/>
          <w:szCs w:val="24"/>
        </w:rPr>
        <w:t xml:space="preserve">do 4 měsíců od konce účetního období. V této lhůtě tento obchodník rovněž uveřejní tyto dokumenty na svých internetových stránkách. </w:t>
      </w:r>
    </w:p>
    <w:p w14:paraId="1DDDB841" w14:textId="074DB428" w:rsidR="00272890" w:rsidRPr="00730C0F" w:rsidRDefault="00272890" w:rsidP="0006588E">
      <w:pPr>
        <w:pStyle w:val="PZTextodstavce"/>
        <w:rPr>
          <w:strike/>
          <w:szCs w:val="24"/>
        </w:rPr>
      </w:pPr>
      <w:r w:rsidRPr="00F50C9D">
        <w:rPr>
          <w:szCs w:val="24"/>
        </w:rPr>
        <w:t>(</w:t>
      </w:r>
      <w:r w:rsidR="00FB33F7">
        <w:rPr>
          <w:szCs w:val="24"/>
        </w:rPr>
        <w:t xml:space="preserve">2) </w:t>
      </w:r>
      <w:r w:rsidRPr="00F50C9D">
        <w:rPr>
          <w:szCs w:val="24"/>
        </w:rPr>
        <w:t>Neschválí-li valná hromada obchodníka s cennými papíry ve lhůtě podle odstavce 1 účetní závěrku</w:t>
      </w:r>
      <w:r w:rsidRPr="00F50C9D">
        <w:rPr>
          <w:strike/>
          <w:szCs w:val="24"/>
        </w:rPr>
        <w:t xml:space="preserve"> nebo konsolidovanou účetní závěrku</w:t>
      </w:r>
      <w:r w:rsidRPr="00F50C9D">
        <w:rPr>
          <w:szCs w:val="24"/>
        </w:rPr>
        <w:t>, obchodník s cennými papíry ji předloží České národní bance spolu s důvody, pro které nebyla schválena, a způsobem řešení připomínek valné hromady; tyto informace současně uveřejní na svých internetových stránkách. Obchodník s cennými papíry poté bez zbytečného odkladu po jejím schválení účetní závěrku</w:t>
      </w:r>
      <w:r w:rsidRPr="00F50C9D">
        <w:rPr>
          <w:strike/>
          <w:szCs w:val="24"/>
        </w:rPr>
        <w:t xml:space="preserve"> nebo konsolidovanou účetní závěrku předloží České národní bance a </w:t>
      </w:r>
      <w:r w:rsidRPr="00F50C9D">
        <w:rPr>
          <w:szCs w:val="24"/>
        </w:rPr>
        <w:t>uveřejní na svých internetových stránkách</w:t>
      </w:r>
      <w:r w:rsidRPr="00F50C9D">
        <w:rPr>
          <w:b/>
          <w:szCs w:val="24"/>
        </w:rPr>
        <w:t xml:space="preserve"> a zveřejní ve veřejném rejstříku, ve kterém je zapsán</w:t>
      </w:r>
      <w:r w:rsidRPr="00F50C9D">
        <w:rPr>
          <w:szCs w:val="24"/>
        </w:rPr>
        <w:t>.</w:t>
      </w:r>
      <w:r w:rsidRPr="00F50C9D">
        <w:rPr>
          <w:strike/>
          <w:szCs w:val="24"/>
        </w:rPr>
        <w:t xml:space="preserve"> </w:t>
      </w:r>
      <w:r w:rsidRPr="00F50C9D">
        <w:rPr>
          <w:iCs/>
          <w:szCs w:val="24"/>
        </w:rPr>
        <w:t xml:space="preserve"> </w:t>
      </w:r>
    </w:p>
    <w:p w14:paraId="5DF2450B" w14:textId="55B2B14F" w:rsidR="00272890" w:rsidRPr="00F50C9D" w:rsidRDefault="00FB33F7" w:rsidP="0006588E">
      <w:pPr>
        <w:pStyle w:val="PZTextodstavce"/>
        <w:rPr>
          <w:szCs w:val="24"/>
        </w:rPr>
      </w:pPr>
      <w:r>
        <w:rPr>
          <w:szCs w:val="24"/>
        </w:rPr>
        <w:t xml:space="preserve">(3) </w:t>
      </w:r>
      <w:r w:rsidR="00272890" w:rsidRPr="00F50C9D">
        <w:rPr>
          <w:szCs w:val="24"/>
        </w:rPr>
        <w:t>Obchodník s cennými papíry informuje Českou národní banku o</w:t>
      </w:r>
    </w:p>
    <w:p w14:paraId="324F9003" w14:textId="77777777" w:rsidR="00272890" w:rsidRPr="00F50C9D" w:rsidRDefault="00272890" w:rsidP="00FB33F7">
      <w:pPr>
        <w:pStyle w:val="PZTextpsmene"/>
        <w:spacing w:before="0"/>
        <w:rPr>
          <w:szCs w:val="24"/>
        </w:rPr>
      </w:pPr>
      <w:r w:rsidRPr="00F50C9D">
        <w:rPr>
          <w:szCs w:val="24"/>
        </w:rPr>
        <w:t>a)</w:t>
      </w:r>
      <w:r w:rsidRPr="00F50C9D">
        <w:rPr>
          <w:szCs w:val="24"/>
        </w:rPr>
        <w:tab/>
        <w:t>uzavřených, vypořádaných a zrušených obchodech s investičními nástroji,</w:t>
      </w:r>
    </w:p>
    <w:p w14:paraId="315494D6" w14:textId="77777777" w:rsidR="00272890" w:rsidRPr="00F50C9D" w:rsidRDefault="00272890" w:rsidP="00FB33F7">
      <w:pPr>
        <w:pStyle w:val="PZTextpsmene"/>
        <w:spacing w:before="0"/>
        <w:rPr>
          <w:szCs w:val="24"/>
        </w:rPr>
      </w:pPr>
      <w:r w:rsidRPr="00F50C9D">
        <w:rPr>
          <w:szCs w:val="24"/>
        </w:rPr>
        <w:t>b)</w:t>
      </w:r>
      <w:r w:rsidRPr="00F50C9D">
        <w:rPr>
          <w:szCs w:val="24"/>
        </w:rPr>
        <w:tab/>
        <w:t>všech přijatých pokynech k obstarání koupě, prodeje nebo jiného převodu investičního nástroje,</w:t>
      </w:r>
    </w:p>
    <w:p w14:paraId="14DEB61A" w14:textId="77777777" w:rsidR="00272890" w:rsidRPr="00F50C9D" w:rsidRDefault="00272890" w:rsidP="00FB33F7">
      <w:pPr>
        <w:pStyle w:val="PZTextpsmene"/>
        <w:spacing w:before="0"/>
        <w:rPr>
          <w:szCs w:val="24"/>
        </w:rPr>
      </w:pPr>
      <w:r w:rsidRPr="00F50C9D">
        <w:rPr>
          <w:szCs w:val="24"/>
        </w:rPr>
        <w:t>c)</w:t>
      </w:r>
      <w:r w:rsidRPr="00F50C9D">
        <w:rPr>
          <w:szCs w:val="24"/>
        </w:rPr>
        <w:tab/>
        <w:t>investičních nástrojích, kterých se týkaly pokyny a obchody,</w:t>
      </w:r>
    </w:p>
    <w:p w14:paraId="3EFCCD8D" w14:textId="77777777" w:rsidR="00272890" w:rsidRPr="00F50C9D" w:rsidRDefault="00272890" w:rsidP="00FB33F7">
      <w:pPr>
        <w:pStyle w:val="PZTextpsmene"/>
        <w:spacing w:before="0"/>
        <w:rPr>
          <w:szCs w:val="24"/>
        </w:rPr>
      </w:pPr>
      <w:r w:rsidRPr="00F50C9D">
        <w:rPr>
          <w:szCs w:val="24"/>
        </w:rPr>
        <w:t>d)</w:t>
      </w:r>
      <w:r w:rsidRPr="00F50C9D">
        <w:rPr>
          <w:szCs w:val="24"/>
        </w:rPr>
        <w:tab/>
        <w:t>zadavatelích pokynů, zákaznících, protistranách, vázaných zástupcích a jiných osobách, které prováděly odborné obchodní činnosti související s pokynem a obchodem, a</w:t>
      </w:r>
    </w:p>
    <w:p w14:paraId="0366665B" w14:textId="77777777" w:rsidR="00272890" w:rsidRPr="00F50C9D" w:rsidRDefault="00272890" w:rsidP="00FB33F7">
      <w:pPr>
        <w:pStyle w:val="PZTextpsmene"/>
        <w:spacing w:before="0"/>
        <w:rPr>
          <w:szCs w:val="24"/>
        </w:rPr>
      </w:pPr>
      <w:r w:rsidRPr="00F50C9D">
        <w:rPr>
          <w:szCs w:val="24"/>
        </w:rPr>
        <w:t>e)</w:t>
      </w:r>
      <w:r w:rsidRPr="00F50C9D">
        <w:rPr>
          <w:szCs w:val="24"/>
        </w:rPr>
        <w:tab/>
        <w:t>cenných papírech, jiných investičních nástrojích a peněžních prostředcích v majetku zákazníka.</w:t>
      </w:r>
    </w:p>
    <w:p w14:paraId="0A715328" w14:textId="40F48325" w:rsidR="00272890" w:rsidRPr="00F50C9D" w:rsidRDefault="00FB33F7" w:rsidP="0006588E">
      <w:pPr>
        <w:pStyle w:val="PZTextodstavce"/>
        <w:rPr>
          <w:szCs w:val="24"/>
        </w:rPr>
      </w:pPr>
      <w:r>
        <w:rPr>
          <w:szCs w:val="24"/>
        </w:rPr>
        <w:t xml:space="preserve">(4) </w:t>
      </w:r>
      <w:r w:rsidR="00272890" w:rsidRPr="0006588E">
        <w:rPr>
          <w:strike/>
          <w:szCs w:val="24"/>
        </w:rPr>
        <w:t>Obchodník</w:t>
      </w:r>
      <w:r w:rsidR="00272890" w:rsidRPr="00F50C9D">
        <w:rPr>
          <w:szCs w:val="24"/>
        </w:rPr>
        <w:t xml:space="preserve"> s cennými papíry, který není bankou, informuje Českou národní banku též o</w:t>
      </w:r>
    </w:p>
    <w:p w14:paraId="388FCB72" w14:textId="77777777" w:rsidR="00272890" w:rsidRPr="00F50C9D" w:rsidRDefault="00272890" w:rsidP="00FB33F7">
      <w:pPr>
        <w:pStyle w:val="PZTextpsmene"/>
        <w:spacing w:before="0"/>
        <w:rPr>
          <w:szCs w:val="24"/>
        </w:rPr>
      </w:pPr>
      <w:r w:rsidRPr="00F50C9D">
        <w:rPr>
          <w:szCs w:val="24"/>
        </w:rPr>
        <w:t>a)</w:t>
      </w:r>
      <w:r w:rsidRPr="00F50C9D">
        <w:rPr>
          <w:szCs w:val="24"/>
        </w:rPr>
        <w:tab/>
        <w:t>své organizační struktuře, včetně informací o pobočkách v zahraničí, členech vedoucího orgánu, kontaktních osobách, základním kapitálu, hlasovacích právech a pracovnících,</w:t>
      </w:r>
    </w:p>
    <w:p w14:paraId="7F7CAACE" w14:textId="77777777" w:rsidR="00272890" w:rsidRPr="00F50C9D" w:rsidRDefault="00272890" w:rsidP="00FB33F7">
      <w:pPr>
        <w:pStyle w:val="PZTextpsmene"/>
        <w:spacing w:before="0"/>
        <w:rPr>
          <w:szCs w:val="24"/>
        </w:rPr>
      </w:pPr>
      <w:r w:rsidRPr="00F50C9D">
        <w:rPr>
          <w:szCs w:val="24"/>
        </w:rPr>
        <w:t>b)</w:t>
      </w:r>
      <w:r w:rsidRPr="00F50C9D">
        <w:rPr>
          <w:szCs w:val="24"/>
        </w:rPr>
        <w:tab/>
        <w:t xml:space="preserve">osobách s kvalifikovanou účastí a osobách, na kterých má kvalifikovanou účast, </w:t>
      </w:r>
    </w:p>
    <w:p w14:paraId="6CB18B3B" w14:textId="77777777" w:rsidR="00272890" w:rsidRPr="00F50C9D" w:rsidRDefault="00272890" w:rsidP="00FB33F7">
      <w:pPr>
        <w:pStyle w:val="PZTextpsmene"/>
        <w:spacing w:before="0"/>
        <w:rPr>
          <w:szCs w:val="24"/>
        </w:rPr>
      </w:pPr>
      <w:r w:rsidRPr="00F50C9D">
        <w:rPr>
          <w:szCs w:val="24"/>
        </w:rPr>
        <w:t>c)</w:t>
      </w:r>
      <w:r w:rsidRPr="00F50C9D">
        <w:rPr>
          <w:szCs w:val="24"/>
        </w:rPr>
        <w:tab/>
        <w:t xml:space="preserve">své finanční a ekonomické situaci, včetně informací o svých aktivech, dluzích </w:t>
      </w:r>
      <w:r w:rsidRPr="00F50C9D">
        <w:rPr>
          <w:b/>
          <w:szCs w:val="24"/>
        </w:rPr>
        <w:t>podle zákona upravujícího účetnictví</w:t>
      </w:r>
      <w:r w:rsidRPr="00F50C9D">
        <w:rPr>
          <w:szCs w:val="24"/>
        </w:rPr>
        <w:t>, vlastním kapitálu, pohledávkách</w:t>
      </w:r>
      <w:r w:rsidRPr="00F50C9D">
        <w:rPr>
          <w:b/>
          <w:szCs w:val="24"/>
        </w:rPr>
        <w:t xml:space="preserve"> podle zákona upravujícího účetnictví</w:t>
      </w:r>
      <w:r w:rsidRPr="00F50C9D">
        <w:rPr>
          <w:szCs w:val="24"/>
        </w:rPr>
        <w:t xml:space="preserve">, cenných papírech po splatnosti, struktuře derivátových nástrojů, </w:t>
      </w:r>
      <w:proofErr w:type="spellStart"/>
      <w:r w:rsidRPr="00F50C9D">
        <w:rPr>
          <w:szCs w:val="24"/>
        </w:rPr>
        <w:t>repo</w:t>
      </w:r>
      <w:proofErr w:type="spellEnd"/>
      <w:r w:rsidRPr="00F50C9D">
        <w:rPr>
          <w:szCs w:val="24"/>
        </w:rPr>
        <w:t xml:space="preserve"> obchodech, výnosech, nákladech, účetním zisku, účetní ztrátě, finančních aktivech poskytnutých jako zajištění nebo o </w:t>
      </w:r>
      <w:r w:rsidRPr="00F50C9D">
        <w:rPr>
          <w:strike/>
          <w:szCs w:val="24"/>
        </w:rPr>
        <w:t>opravných položkách</w:t>
      </w:r>
      <w:r w:rsidRPr="00F50C9D">
        <w:rPr>
          <w:szCs w:val="24"/>
        </w:rPr>
        <w:t xml:space="preserve"> </w:t>
      </w:r>
      <w:r w:rsidRPr="00F50C9D">
        <w:rPr>
          <w:b/>
          <w:szCs w:val="24"/>
        </w:rPr>
        <w:t>znehodnocení aktiv</w:t>
      </w:r>
      <w:r w:rsidRPr="00F50C9D">
        <w:rPr>
          <w:szCs w:val="24"/>
        </w:rPr>
        <w:t>,</w:t>
      </w:r>
    </w:p>
    <w:p w14:paraId="723753F0" w14:textId="77777777" w:rsidR="00272890" w:rsidRPr="00F50C9D" w:rsidRDefault="00272890" w:rsidP="00FB33F7">
      <w:pPr>
        <w:pStyle w:val="PZTextpsmene"/>
        <w:spacing w:before="0"/>
        <w:rPr>
          <w:szCs w:val="24"/>
        </w:rPr>
      </w:pPr>
      <w:r w:rsidRPr="00F50C9D">
        <w:rPr>
          <w:szCs w:val="24"/>
        </w:rPr>
        <w:t>d)</w:t>
      </w:r>
      <w:r w:rsidRPr="00F50C9D">
        <w:rPr>
          <w:szCs w:val="24"/>
        </w:rPr>
        <w:tab/>
        <w:t>ekonomické situaci skupiny, jejíž je součástí, včetně informací o aktivech, závazcích, vlastním kapitálu, poskytnutých a přijatých příslibech, zárukách, pohledávkách a závazcích z derivátů,</w:t>
      </w:r>
    </w:p>
    <w:p w14:paraId="4F9C019E" w14:textId="77777777" w:rsidR="00272890" w:rsidRPr="00F50C9D" w:rsidRDefault="00272890" w:rsidP="00FB33F7">
      <w:pPr>
        <w:pStyle w:val="PZTextpsmene"/>
        <w:spacing w:before="0"/>
        <w:rPr>
          <w:szCs w:val="24"/>
        </w:rPr>
      </w:pPr>
      <w:r w:rsidRPr="00F50C9D">
        <w:rPr>
          <w:szCs w:val="24"/>
        </w:rPr>
        <w:t>e)</w:t>
      </w:r>
      <w:r w:rsidRPr="00F50C9D">
        <w:rPr>
          <w:szCs w:val="24"/>
        </w:rPr>
        <w:tab/>
        <w:t>struktuře skupiny, jejíž je součástí, a o osobách do ní zahrnutých, včetně údajů o členech vedoucích orgánů,</w:t>
      </w:r>
    </w:p>
    <w:p w14:paraId="2EF6E5BD" w14:textId="77777777" w:rsidR="00272890" w:rsidRPr="00F50C9D" w:rsidRDefault="00272890" w:rsidP="00FB33F7">
      <w:pPr>
        <w:pStyle w:val="PZTextpsmene"/>
        <w:spacing w:before="0"/>
        <w:rPr>
          <w:szCs w:val="24"/>
        </w:rPr>
      </w:pPr>
      <w:r w:rsidRPr="00F50C9D">
        <w:rPr>
          <w:szCs w:val="24"/>
        </w:rPr>
        <w:t>f)</w:t>
      </w:r>
      <w:r w:rsidRPr="00F50C9D">
        <w:rPr>
          <w:szCs w:val="24"/>
        </w:rPr>
        <w:tab/>
        <w:t>obchodech s kontrolující smíšenou holdingovou osobou a jí kontrolovanými osobami a</w:t>
      </w:r>
    </w:p>
    <w:p w14:paraId="50D8473F" w14:textId="77777777" w:rsidR="00272890" w:rsidRPr="00F50C9D" w:rsidRDefault="00272890" w:rsidP="00FB33F7">
      <w:pPr>
        <w:pStyle w:val="PZTextpsmene"/>
        <w:spacing w:before="0"/>
        <w:rPr>
          <w:szCs w:val="24"/>
        </w:rPr>
      </w:pPr>
      <w:r w:rsidRPr="00F50C9D">
        <w:rPr>
          <w:szCs w:val="24"/>
        </w:rPr>
        <w:t>g)</w:t>
      </w:r>
      <w:r w:rsidRPr="00F50C9D">
        <w:rPr>
          <w:szCs w:val="24"/>
        </w:rPr>
        <w:tab/>
        <w:t>vnitřně stanoveném kapitálu a likvidních aktivech; to neplatí pro malého a nepropojeného obchodníka s cennými papíry, ledaže Česká národní banka rozhodnutím nebo opatřením obecné povahy určila, že malý a nepropojený obchodník s cennými papíry plní povinnosti podle § 9a odst. 1 a 2.</w:t>
      </w:r>
    </w:p>
    <w:p w14:paraId="14320F96" w14:textId="078A4AF7" w:rsidR="00272890" w:rsidRPr="00F50C9D" w:rsidRDefault="00FB33F7" w:rsidP="0006588E">
      <w:pPr>
        <w:pStyle w:val="PZTextodstavce"/>
        <w:rPr>
          <w:szCs w:val="24"/>
        </w:rPr>
      </w:pPr>
      <w:r>
        <w:rPr>
          <w:szCs w:val="24"/>
        </w:rPr>
        <w:t xml:space="preserve">(5) </w:t>
      </w:r>
      <w:r w:rsidR="00272890" w:rsidRPr="00F50C9D">
        <w:rPr>
          <w:szCs w:val="24"/>
        </w:rPr>
        <w:t>Součástí informací podle odstavců 3 a 4 může být i údaj o rodném čísle zákazníka nebo osoby s kvalifikovanou účastí nebo osoby s úzkým propojením. Obchodník s cennými papíry je za tímto účelem oprávněn vést rodná čísla těchto osob.</w:t>
      </w:r>
    </w:p>
    <w:p w14:paraId="5F8C9CD8" w14:textId="7230B29E" w:rsidR="00272890" w:rsidRPr="00F50C9D" w:rsidRDefault="00FB33F7" w:rsidP="0006588E">
      <w:pPr>
        <w:pStyle w:val="PZTextodstavce"/>
        <w:rPr>
          <w:szCs w:val="24"/>
        </w:rPr>
      </w:pPr>
      <w:r>
        <w:rPr>
          <w:szCs w:val="24"/>
        </w:rPr>
        <w:t xml:space="preserve">(6) </w:t>
      </w:r>
      <w:r w:rsidR="00272890" w:rsidRPr="00F50C9D">
        <w:rPr>
          <w:szCs w:val="24"/>
        </w:rPr>
        <w:t>Obchodník s cennými papíry, který není bankou, informuje Českou národní banku bez zbytečného odkladu o tom, že</w:t>
      </w:r>
    </w:p>
    <w:p w14:paraId="306A02E1" w14:textId="77777777" w:rsidR="00272890" w:rsidRPr="00F50C9D" w:rsidRDefault="00272890" w:rsidP="00FB33F7">
      <w:pPr>
        <w:pStyle w:val="PZTextpsmene"/>
        <w:spacing w:before="0"/>
        <w:rPr>
          <w:szCs w:val="24"/>
        </w:rPr>
      </w:pPr>
      <w:r w:rsidRPr="00F50C9D">
        <w:rPr>
          <w:szCs w:val="24"/>
        </w:rPr>
        <w:lastRenderedPageBreak/>
        <w:t>a)</w:t>
      </w:r>
      <w:r w:rsidRPr="00F50C9D">
        <w:rPr>
          <w:szCs w:val="24"/>
        </w:rPr>
        <w:tab/>
        <w:t>pozbyl oprávnění podle jiného právního předpisu k výkonu činnosti, která byla zaregistrována podle § 6a,</w:t>
      </w:r>
    </w:p>
    <w:p w14:paraId="6DFD479B" w14:textId="77777777" w:rsidR="00272890" w:rsidRPr="00F50C9D" w:rsidRDefault="00272890" w:rsidP="00FB33F7">
      <w:pPr>
        <w:pStyle w:val="PZTextpsmene"/>
        <w:spacing w:before="0"/>
        <w:rPr>
          <w:szCs w:val="24"/>
        </w:rPr>
      </w:pPr>
      <w:r w:rsidRPr="00F50C9D">
        <w:rPr>
          <w:szCs w:val="24"/>
        </w:rPr>
        <w:t>b)</w:t>
      </w:r>
      <w:r w:rsidRPr="00F50C9D">
        <w:rPr>
          <w:szCs w:val="24"/>
        </w:rPr>
        <w:tab/>
        <w:t xml:space="preserve">se dozvěděl o změně, k níž je třeba souhlas podle § 10b odst. 1, a </w:t>
      </w:r>
    </w:p>
    <w:p w14:paraId="28B0E54B" w14:textId="77777777" w:rsidR="00272890" w:rsidRPr="00F50C9D" w:rsidRDefault="00272890" w:rsidP="00FB33F7">
      <w:pPr>
        <w:pStyle w:val="PZTextpsmene"/>
        <w:spacing w:before="0"/>
        <w:rPr>
          <w:szCs w:val="24"/>
        </w:rPr>
      </w:pPr>
      <w:r w:rsidRPr="00F50C9D">
        <w:rPr>
          <w:szCs w:val="24"/>
        </w:rPr>
        <w:t>c)</w:t>
      </w:r>
      <w:r w:rsidRPr="00F50C9D">
        <w:rPr>
          <w:szCs w:val="24"/>
        </w:rPr>
        <w:tab/>
        <w:t xml:space="preserve">se dozvěděl o změně, která má být oznámena podle § 10e odst. 1. </w:t>
      </w:r>
    </w:p>
    <w:p w14:paraId="25593BF3" w14:textId="2278FC5C" w:rsidR="00272890" w:rsidRPr="00F50C9D" w:rsidRDefault="00FB33F7" w:rsidP="0006588E">
      <w:pPr>
        <w:pStyle w:val="PZTextodstavce"/>
        <w:rPr>
          <w:b/>
          <w:bCs/>
          <w:szCs w:val="24"/>
        </w:rPr>
      </w:pPr>
      <w:r>
        <w:rPr>
          <w:szCs w:val="24"/>
        </w:rPr>
        <w:t xml:space="preserve">(7) </w:t>
      </w:r>
      <w:r w:rsidR="00272890" w:rsidRPr="00F50C9D">
        <w:rPr>
          <w:szCs w:val="24"/>
        </w:rPr>
        <w:t>Prováděcí právní předpis stanoví podrobnosti, formu, způsob a strukturu plnění informačních povinností podle odstavců 1 až 4. Prováděcí právní předpis rovněž stanoví periodicitu a lhůty plnění informačních povinností podle odstavců 3 a 4.</w:t>
      </w:r>
    </w:p>
    <w:p w14:paraId="6B5D9A9D" w14:textId="77777777" w:rsidR="00272890" w:rsidRPr="00F50C9D" w:rsidRDefault="00272890" w:rsidP="00FB33F7">
      <w:pPr>
        <w:widowControl w:val="0"/>
        <w:autoSpaceDE w:val="0"/>
        <w:autoSpaceDN w:val="0"/>
        <w:adjustRightInd w:val="0"/>
        <w:spacing w:after="120"/>
        <w:ind w:firstLine="0"/>
        <w:jc w:val="center"/>
        <w:rPr>
          <w:szCs w:val="24"/>
        </w:rPr>
      </w:pPr>
      <w:r w:rsidRPr="00F50C9D">
        <w:rPr>
          <w:szCs w:val="24"/>
        </w:rPr>
        <w:t>§ 16b</w:t>
      </w:r>
    </w:p>
    <w:p w14:paraId="010161DD" w14:textId="77777777" w:rsidR="00272890" w:rsidRPr="00F50C9D" w:rsidRDefault="00272890" w:rsidP="00FB33F7">
      <w:pPr>
        <w:keepNext/>
        <w:spacing w:after="120"/>
        <w:ind w:firstLine="0"/>
        <w:jc w:val="center"/>
        <w:rPr>
          <w:b/>
          <w:szCs w:val="24"/>
        </w:rPr>
      </w:pPr>
      <w:r w:rsidRPr="00F50C9D">
        <w:rPr>
          <w:b/>
          <w:szCs w:val="24"/>
        </w:rPr>
        <w:t>Podávání zpráv podle jednotlivých zemí</w:t>
      </w:r>
    </w:p>
    <w:p w14:paraId="2D141342" w14:textId="7BD6BE61" w:rsidR="00272890" w:rsidRPr="00F50C9D" w:rsidRDefault="00FB33F7" w:rsidP="0006588E">
      <w:pPr>
        <w:pStyle w:val="PZTextodstavce"/>
        <w:rPr>
          <w:szCs w:val="24"/>
        </w:rPr>
      </w:pPr>
      <w:r>
        <w:rPr>
          <w:szCs w:val="24"/>
        </w:rPr>
        <w:t xml:space="preserve">(1) </w:t>
      </w:r>
      <w:r w:rsidR="00272890" w:rsidRPr="00F50C9D">
        <w:rPr>
          <w:szCs w:val="24"/>
        </w:rPr>
        <w:t>Obchodník s cennými papíry, který má pobočku nebo kontrolovanou osobu, která je finanční institucí podle čl. 4 odst. 1 bodu 26 nařízení Evropského parlamentu a Rady (EU) č. 575/2013</w:t>
      </w:r>
      <w:r w:rsidR="00272890" w:rsidRPr="00F50C9D">
        <w:rPr>
          <w:szCs w:val="24"/>
          <w:vertAlign w:val="superscript"/>
        </w:rPr>
        <w:t>77)</w:t>
      </w:r>
      <w:r w:rsidR="00272890" w:rsidRPr="00F50C9D">
        <w:rPr>
          <w:szCs w:val="24"/>
        </w:rPr>
        <w:t xml:space="preserve">, v jiném členském státě Evropské unie nebo ve státě, který není členským státem Evropské unie, </w:t>
      </w:r>
      <w:r w:rsidR="00272890" w:rsidRPr="00F50C9D">
        <w:rPr>
          <w:strike/>
          <w:szCs w:val="24"/>
        </w:rPr>
        <w:t xml:space="preserve">každoročně </w:t>
      </w:r>
      <w:proofErr w:type="gramStart"/>
      <w:r w:rsidR="00272890" w:rsidRPr="00F50C9D">
        <w:rPr>
          <w:strike/>
          <w:szCs w:val="24"/>
        </w:rPr>
        <w:t>zveřejňuje</w:t>
      </w:r>
      <w:r w:rsidR="00272890" w:rsidRPr="00F50C9D">
        <w:rPr>
          <w:szCs w:val="24"/>
        </w:rPr>
        <w:t xml:space="preserve"> </w:t>
      </w:r>
      <w:r w:rsidR="00272890" w:rsidRPr="00F50C9D">
        <w:rPr>
          <w:b/>
        </w:rPr>
        <w:t>uvede</w:t>
      </w:r>
      <w:proofErr w:type="gramEnd"/>
      <w:r w:rsidR="00272890" w:rsidRPr="00F50C9D">
        <w:rPr>
          <w:b/>
        </w:rPr>
        <w:t xml:space="preserve"> </w:t>
      </w:r>
      <w:r w:rsidR="00272890" w:rsidRPr="00F50C9D">
        <w:rPr>
          <w:szCs w:val="24"/>
        </w:rPr>
        <w:t>tyto informace v členění podle členského státu Evropské unie nebo podle státu, který není členským státem Evropské unie:</w:t>
      </w:r>
    </w:p>
    <w:p w14:paraId="763398C0" w14:textId="77777777" w:rsidR="00272890" w:rsidRPr="00F50C9D" w:rsidRDefault="00272890" w:rsidP="00FB33F7">
      <w:pPr>
        <w:pStyle w:val="PZTextpsmene"/>
        <w:spacing w:before="0"/>
        <w:rPr>
          <w:szCs w:val="24"/>
        </w:rPr>
      </w:pPr>
      <w:r w:rsidRPr="00F50C9D">
        <w:rPr>
          <w:szCs w:val="24"/>
        </w:rPr>
        <w:t>a)</w:t>
      </w:r>
      <w:r w:rsidRPr="00F50C9D">
        <w:rPr>
          <w:szCs w:val="24"/>
        </w:rPr>
        <w:tab/>
        <w:t>výčet činností, které vykonává, a jejich zeměpisné umístění,</w:t>
      </w:r>
    </w:p>
    <w:p w14:paraId="3477F7EC" w14:textId="77777777" w:rsidR="00272890" w:rsidRPr="00F50C9D" w:rsidRDefault="00272890" w:rsidP="00FB33F7">
      <w:pPr>
        <w:pStyle w:val="PZTextpsmene"/>
        <w:spacing w:before="0"/>
        <w:rPr>
          <w:szCs w:val="24"/>
        </w:rPr>
      </w:pPr>
      <w:r w:rsidRPr="00F50C9D">
        <w:rPr>
          <w:szCs w:val="24"/>
        </w:rPr>
        <w:t>b)</w:t>
      </w:r>
      <w:r w:rsidRPr="00F50C9D">
        <w:rPr>
          <w:szCs w:val="24"/>
        </w:rPr>
        <w:tab/>
        <w:t>roční úhrn čistého obratu,</w:t>
      </w:r>
    </w:p>
    <w:p w14:paraId="796EE5D5" w14:textId="77777777" w:rsidR="00272890" w:rsidRPr="00F50C9D" w:rsidRDefault="00272890" w:rsidP="00FB33F7">
      <w:pPr>
        <w:pStyle w:val="PZTextpsmene"/>
        <w:spacing w:before="0"/>
        <w:rPr>
          <w:szCs w:val="24"/>
        </w:rPr>
      </w:pPr>
      <w:r w:rsidRPr="00F50C9D">
        <w:rPr>
          <w:szCs w:val="24"/>
        </w:rPr>
        <w:t>c)</w:t>
      </w:r>
      <w:r w:rsidRPr="00F50C9D">
        <w:rPr>
          <w:szCs w:val="24"/>
        </w:rPr>
        <w:tab/>
        <w:t>průměrný počet pracovníků,</w:t>
      </w:r>
    </w:p>
    <w:p w14:paraId="2E741910" w14:textId="77777777" w:rsidR="00272890" w:rsidRPr="00F50C9D" w:rsidRDefault="00272890" w:rsidP="00FB33F7">
      <w:pPr>
        <w:pStyle w:val="PZTextpsmene"/>
        <w:spacing w:before="0"/>
        <w:rPr>
          <w:szCs w:val="24"/>
        </w:rPr>
      </w:pPr>
      <w:r w:rsidRPr="00F50C9D">
        <w:rPr>
          <w:szCs w:val="24"/>
        </w:rPr>
        <w:t>d)</w:t>
      </w:r>
      <w:r w:rsidRPr="00F50C9D">
        <w:rPr>
          <w:szCs w:val="24"/>
        </w:rPr>
        <w:tab/>
        <w:t>zisk nebo ztrátu před zdaněním,</w:t>
      </w:r>
    </w:p>
    <w:p w14:paraId="36F237E1" w14:textId="77777777" w:rsidR="00272890" w:rsidRPr="00F50C9D" w:rsidRDefault="00272890" w:rsidP="00FB33F7">
      <w:pPr>
        <w:pStyle w:val="PZTextpsmene"/>
        <w:spacing w:before="0"/>
        <w:rPr>
          <w:szCs w:val="24"/>
        </w:rPr>
      </w:pPr>
      <w:r w:rsidRPr="00F50C9D">
        <w:rPr>
          <w:szCs w:val="24"/>
        </w:rPr>
        <w:t>e)</w:t>
      </w:r>
      <w:r w:rsidRPr="00F50C9D">
        <w:rPr>
          <w:szCs w:val="24"/>
        </w:rPr>
        <w:tab/>
        <w:t>daň z příjmů právnických osob nebo obdobnou daň placenou v zahraničí a</w:t>
      </w:r>
    </w:p>
    <w:p w14:paraId="05568E01" w14:textId="77777777" w:rsidR="00272890" w:rsidRPr="00F50C9D" w:rsidRDefault="00272890" w:rsidP="00FB33F7">
      <w:pPr>
        <w:pStyle w:val="PZTextpsmene"/>
        <w:spacing w:before="0"/>
        <w:rPr>
          <w:szCs w:val="24"/>
        </w:rPr>
      </w:pPr>
      <w:r w:rsidRPr="00F50C9D">
        <w:rPr>
          <w:szCs w:val="24"/>
        </w:rPr>
        <w:t>f)</w:t>
      </w:r>
      <w:r w:rsidRPr="00F50C9D">
        <w:rPr>
          <w:szCs w:val="24"/>
        </w:rPr>
        <w:tab/>
        <w:t>získané veřejné podpory.</w:t>
      </w:r>
    </w:p>
    <w:p w14:paraId="649278FA" w14:textId="6431E3C7" w:rsidR="00272890" w:rsidRPr="00F50C9D" w:rsidRDefault="00272890" w:rsidP="00272890">
      <w:pPr>
        <w:pStyle w:val="PZTextodstavce"/>
        <w:spacing w:before="240"/>
        <w:rPr>
          <w:strike/>
          <w:szCs w:val="24"/>
        </w:rPr>
      </w:pPr>
      <w:r w:rsidRPr="00F50C9D">
        <w:rPr>
          <w:strike/>
          <w:szCs w:val="24"/>
        </w:rPr>
        <w:t>(2)</w:t>
      </w:r>
      <w:r w:rsidRPr="00F50C9D">
        <w:rPr>
          <w:strike/>
          <w:szCs w:val="24"/>
        </w:rPr>
        <w:tab/>
      </w:r>
      <w:r w:rsidR="00FB33F7">
        <w:rPr>
          <w:strike/>
          <w:szCs w:val="24"/>
        </w:rPr>
        <w:t xml:space="preserve"> </w:t>
      </w:r>
      <w:r w:rsidRPr="00F50C9D">
        <w:rPr>
          <w:strike/>
          <w:szCs w:val="24"/>
        </w:rPr>
        <w:t>Informace podle odstavce 1 se uveřejňují v příloze účetní závěrky, nebo pokud se sestavuje konsolidovaná účetní závěrka v příloze konsolidované účetní závěrky.</w:t>
      </w:r>
    </w:p>
    <w:p w14:paraId="62380CFF" w14:textId="4AC525D9" w:rsidR="00272890" w:rsidRPr="00F50C9D" w:rsidRDefault="00FB33F7" w:rsidP="0006588E">
      <w:pPr>
        <w:pStyle w:val="PZTextodstavce"/>
        <w:spacing w:before="240"/>
        <w:rPr>
          <w:b/>
        </w:rPr>
      </w:pPr>
      <w:r>
        <w:rPr>
          <w:b/>
        </w:rPr>
        <w:t xml:space="preserve">(2) </w:t>
      </w:r>
      <w:r w:rsidR="00272890" w:rsidRPr="00F50C9D">
        <w:rPr>
          <w:b/>
        </w:rPr>
        <w:t>Informace podle odstavce 1 se připojí k řádné konsolidované účetní závěrce, nebo řádné individuální účetní závěrce, není-li konsolidovaná účetní závěrka sestavována.</w:t>
      </w:r>
    </w:p>
    <w:p w14:paraId="1B578E59" w14:textId="77777777" w:rsidR="00272890" w:rsidRPr="00F50C9D" w:rsidRDefault="00272890" w:rsidP="00FB33F7">
      <w:pPr>
        <w:pStyle w:val="Paragraf"/>
        <w:keepNext w:val="0"/>
        <w:keepLines w:val="0"/>
        <w:numPr>
          <w:ilvl w:val="0"/>
          <w:numId w:val="0"/>
        </w:numPr>
        <w:spacing w:after="120"/>
      </w:pPr>
      <w:r w:rsidRPr="00F50C9D">
        <w:t>§ 28b</w:t>
      </w:r>
    </w:p>
    <w:p w14:paraId="08FC9B8A" w14:textId="3DF6358C" w:rsidR="00272890" w:rsidRPr="00F50C9D" w:rsidRDefault="00FB33F7" w:rsidP="0006588E">
      <w:pPr>
        <w:pStyle w:val="PZTextodstavce"/>
      </w:pPr>
      <w:r>
        <w:t xml:space="preserve">(1) </w:t>
      </w:r>
      <w:r w:rsidR="00272890" w:rsidRPr="00F50C9D">
        <w:t>Zahraniční osoba podle § 28 odst. 1 trvale dodržuje požadavky podle § 28a odst. 1.</w:t>
      </w:r>
    </w:p>
    <w:p w14:paraId="5DE7C13E" w14:textId="7132ED33" w:rsidR="00272890" w:rsidRPr="00F50C9D" w:rsidRDefault="00FB33F7" w:rsidP="0006588E">
      <w:pPr>
        <w:pStyle w:val="PZTextodstavce"/>
      </w:pPr>
      <w:r>
        <w:t xml:space="preserve">(2) </w:t>
      </w:r>
      <w:r w:rsidR="00272890" w:rsidRPr="00F50C9D">
        <w:t>Zahraniční osoba podle § 28 odst. 1 oznámí České národní bance bez zbytečného odkladu poté, co nastane, každou významnou změnu ve skutečnostech, na jejichž základě získala povolení podle § 28a odst. 1.</w:t>
      </w:r>
    </w:p>
    <w:p w14:paraId="1EED45A3" w14:textId="163A9D81" w:rsidR="00272890" w:rsidRPr="00F50C9D" w:rsidRDefault="00FB33F7" w:rsidP="0006588E">
      <w:pPr>
        <w:pStyle w:val="PZTextodstavce"/>
      </w:pPr>
      <w:r>
        <w:t xml:space="preserve">(3) </w:t>
      </w:r>
      <w:r w:rsidR="00272890" w:rsidRPr="00F50C9D">
        <w:t xml:space="preserve">Zahraniční osoba podle odstavce 1 dodržuje v rozsahu, v jakém poskytuje investiční služby v České republice prostřednictvím pobočky, obdobně povinnosti uložené tímto zákonem obchodníkovi s cennými papíry, zejména povinnosti podle § 10 odst. 2 až 7, § 10a, 12 až 14b, 15 až 17i, 69 až 73a a 73d až 73k </w:t>
      </w:r>
      <w:r w:rsidR="00272890" w:rsidRPr="00F50C9D">
        <w:rPr>
          <w:b/>
        </w:rPr>
        <w:t>s výjimkou povinnosti auditu řádné účetní závěrky</w:t>
      </w:r>
      <w:r w:rsidR="00272890" w:rsidRPr="00F50C9D">
        <w:t xml:space="preserve">. </w:t>
      </w:r>
    </w:p>
    <w:p w14:paraId="0F953717" w14:textId="35006B83" w:rsidR="00272890" w:rsidRPr="00F50C9D" w:rsidRDefault="00FB33F7" w:rsidP="0006588E">
      <w:pPr>
        <w:pStyle w:val="PZTextodstavce"/>
      </w:pPr>
      <w:r>
        <w:t xml:space="preserve">(4) </w:t>
      </w:r>
      <w:r w:rsidR="00272890" w:rsidRPr="00F50C9D">
        <w:t xml:space="preserve">Pro zahraniční osobu podle odstavce 1 se čl. 3 až 26 nařízení Evropského parlamentu a Rady (EU) č. 600/2014 použijí obdobně. </w:t>
      </w:r>
    </w:p>
    <w:p w14:paraId="6A6F1BA9" w14:textId="5C5BC964" w:rsidR="00272890" w:rsidRPr="00F50C9D" w:rsidRDefault="00FB33F7" w:rsidP="0006588E">
      <w:pPr>
        <w:pStyle w:val="PZTextodstavce"/>
      </w:pPr>
      <w:r>
        <w:t xml:space="preserve">(5) </w:t>
      </w:r>
      <w:r w:rsidR="00272890" w:rsidRPr="00F50C9D">
        <w:t>Zahraniční osoba podle § 28 odst. 1, která získala povolení České národní banky k poskytování investičních služeb prostřednictvím pobočky, poskytne České národní bance každý rok tyto informace:</w:t>
      </w:r>
    </w:p>
    <w:p w14:paraId="438505F9" w14:textId="77777777" w:rsidR="00272890" w:rsidRPr="00F50C9D" w:rsidRDefault="00272890" w:rsidP="00FB33F7">
      <w:pPr>
        <w:pStyle w:val="PZTextpsmene"/>
        <w:spacing w:before="0"/>
        <w:rPr>
          <w:szCs w:val="24"/>
        </w:rPr>
      </w:pPr>
      <w:r w:rsidRPr="00F50C9D">
        <w:rPr>
          <w:szCs w:val="24"/>
        </w:rPr>
        <w:t>a)</w:t>
      </w:r>
      <w:r w:rsidRPr="00F50C9D">
        <w:rPr>
          <w:szCs w:val="24"/>
        </w:rPr>
        <w:tab/>
        <w:t>rozsah a účel investičních služeb poskytovaných pobočkou v České republice,</w:t>
      </w:r>
    </w:p>
    <w:p w14:paraId="61430AA8" w14:textId="77777777" w:rsidR="00272890" w:rsidRPr="00F50C9D" w:rsidRDefault="00272890" w:rsidP="00FB33F7">
      <w:pPr>
        <w:pStyle w:val="PZTextpsmene"/>
        <w:spacing w:before="0"/>
        <w:rPr>
          <w:szCs w:val="24"/>
        </w:rPr>
      </w:pPr>
      <w:r w:rsidRPr="00F50C9D">
        <w:rPr>
          <w:szCs w:val="24"/>
        </w:rPr>
        <w:t>b)</w:t>
      </w:r>
      <w:r w:rsidRPr="00F50C9D">
        <w:rPr>
          <w:szCs w:val="24"/>
        </w:rPr>
        <w:tab/>
        <w:t>poskytuje-li hlavní investiční službu podle § 4 odst. 2 písm. c), jejich měsíční minimální, průměrnou a maximální expozici vůči protistranám v Evropské unii,</w:t>
      </w:r>
    </w:p>
    <w:p w14:paraId="63FCA9C4" w14:textId="77777777" w:rsidR="00272890" w:rsidRPr="00F50C9D" w:rsidRDefault="00272890" w:rsidP="00FB33F7">
      <w:pPr>
        <w:pStyle w:val="PZTextpsmene"/>
        <w:spacing w:before="0"/>
        <w:rPr>
          <w:szCs w:val="24"/>
        </w:rPr>
      </w:pPr>
      <w:r w:rsidRPr="00F50C9D">
        <w:rPr>
          <w:szCs w:val="24"/>
        </w:rPr>
        <w:lastRenderedPageBreak/>
        <w:t>c)</w:t>
      </w:r>
      <w:r w:rsidRPr="00F50C9D">
        <w:rPr>
          <w:szCs w:val="24"/>
        </w:rPr>
        <w:tab/>
        <w:t>poskytuje-li hlavní investiční službu podle § 4 odst. 2 písm. h), celkovou hodnotu investičních nástrojů pocházejících od protistran v Evropské unii, které byly upsány nebo umístěny na základě pevného závazku převzetí v posledních 12 měsících,</w:t>
      </w:r>
    </w:p>
    <w:p w14:paraId="6F09C321" w14:textId="77777777" w:rsidR="00272890" w:rsidRPr="00F50C9D" w:rsidRDefault="00272890" w:rsidP="00FB33F7">
      <w:pPr>
        <w:pStyle w:val="PZTextpsmene"/>
        <w:spacing w:before="0"/>
        <w:rPr>
          <w:szCs w:val="24"/>
        </w:rPr>
      </w:pPr>
      <w:r w:rsidRPr="00F50C9D">
        <w:rPr>
          <w:szCs w:val="24"/>
        </w:rPr>
        <w:t>d)</w:t>
      </w:r>
      <w:r w:rsidRPr="00F50C9D">
        <w:rPr>
          <w:szCs w:val="24"/>
        </w:rPr>
        <w:tab/>
        <w:t>obrat a souhrnnou hodnotu aktiv odpovídající službám a činnostem podle písmene a),</w:t>
      </w:r>
    </w:p>
    <w:p w14:paraId="648FBDA6" w14:textId="77777777" w:rsidR="00272890" w:rsidRPr="00F50C9D" w:rsidRDefault="00272890" w:rsidP="00FB33F7">
      <w:pPr>
        <w:pStyle w:val="PZTextpsmene"/>
        <w:spacing w:before="0"/>
        <w:rPr>
          <w:szCs w:val="24"/>
        </w:rPr>
      </w:pPr>
      <w:r w:rsidRPr="00F50C9D">
        <w:rPr>
          <w:szCs w:val="24"/>
        </w:rPr>
        <w:t>e)</w:t>
      </w:r>
      <w:r w:rsidRPr="00F50C9D">
        <w:rPr>
          <w:szCs w:val="24"/>
        </w:rPr>
        <w:tab/>
        <w:t>podrobný popis opatření na ochranu investorů nabízených zákazníkům pobočky, včetně práv těchto zákazníků vyplývajících ze systému pro odškodnění investorů,</w:t>
      </w:r>
    </w:p>
    <w:p w14:paraId="796B8276" w14:textId="77777777" w:rsidR="00272890" w:rsidRPr="00F50C9D" w:rsidRDefault="00272890" w:rsidP="00FB33F7">
      <w:pPr>
        <w:pStyle w:val="PZTextpsmene"/>
        <w:spacing w:before="0"/>
        <w:rPr>
          <w:szCs w:val="24"/>
        </w:rPr>
      </w:pPr>
      <w:r w:rsidRPr="00F50C9D">
        <w:rPr>
          <w:szCs w:val="24"/>
        </w:rPr>
        <w:t>f)</w:t>
      </w:r>
      <w:r w:rsidRPr="00F50C9D">
        <w:rPr>
          <w:szCs w:val="24"/>
        </w:rPr>
        <w:tab/>
        <w:t>svou politiku a systémy v oblasti řízení rizik, jež pobočka uplatňuje na služby a činnosti podle písmene a),</w:t>
      </w:r>
    </w:p>
    <w:p w14:paraId="2C78DE0E" w14:textId="77777777" w:rsidR="00272890" w:rsidRPr="00F50C9D" w:rsidRDefault="00272890" w:rsidP="00FB33F7">
      <w:pPr>
        <w:pStyle w:val="PZTextpsmene"/>
        <w:spacing w:before="0"/>
        <w:rPr>
          <w:szCs w:val="24"/>
        </w:rPr>
      </w:pPr>
      <w:r w:rsidRPr="00F50C9D">
        <w:rPr>
          <w:szCs w:val="24"/>
        </w:rPr>
        <w:t>g)</w:t>
      </w:r>
      <w:r w:rsidRPr="00F50C9D">
        <w:rPr>
          <w:szCs w:val="24"/>
        </w:rPr>
        <w:tab/>
        <w:t>systém správy a řízení včetně osob zastávajících klíčové funkce pro činnosti pobočky a</w:t>
      </w:r>
    </w:p>
    <w:p w14:paraId="33EB9C39" w14:textId="77777777" w:rsidR="00272890" w:rsidRPr="00F50C9D" w:rsidRDefault="00272890" w:rsidP="00FB33F7">
      <w:pPr>
        <w:pStyle w:val="PZTextpsmene"/>
        <w:spacing w:before="0"/>
        <w:rPr>
          <w:szCs w:val="24"/>
        </w:rPr>
      </w:pPr>
      <w:r w:rsidRPr="00F50C9D">
        <w:rPr>
          <w:szCs w:val="24"/>
        </w:rPr>
        <w:t>h)</w:t>
      </w:r>
      <w:r w:rsidRPr="00F50C9D">
        <w:rPr>
          <w:szCs w:val="24"/>
        </w:rPr>
        <w:tab/>
        <w:t>další informace, které Česká národní banka pro účely sledování činností pobočky určí.</w:t>
      </w:r>
    </w:p>
    <w:p w14:paraId="70D50814" w14:textId="1854C38F" w:rsidR="00272890" w:rsidRPr="00F50C9D" w:rsidRDefault="00FB33F7" w:rsidP="0006588E">
      <w:pPr>
        <w:pStyle w:val="PZTextodstavce"/>
        <w:rPr>
          <w:b/>
        </w:rPr>
      </w:pPr>
      <w:r>
        <w:rPr>
          <w:b/>
        </w:rPr>
        <w:t xml:space="preserve">(6) </w:t>
      </w:r>
      <w:r w:rsidR="00272890" w:rsidRPr="00F50C9D">
        <w:rPr>
          <w:b/>
        </w:rPr>
        <w:t>Zahraniční osoba podle § 28 odst. 1 používá pro účely plnění povinností vůči České národní bance vybrané účetní postupy podle zákona upravujícího účetnictví.</w:t>
      </w:r>
    </w:p>
    <w:p w14:paraId="37A3CB25" w14:textId="54087D90" w:rsidR="00272890" w:rsidRPr="00F50C9D" w:rsidRDefault="00FB33F7" w:rsidP="0006588E">
      <w:pPr>
        <w:pStyle w:val="PZTextodstavce"/>
        <w:rPr>
          <w:b/>
        </w:rPr>
      </w:pPr>
      <w:r>
        <w:rPr>
          <w:b/>
        </w:rPr>
        <w:t xml:space="preserve">(7) </w:t>
      </w:r>
      <w:r w:rsidR="00272890" w:rsidRPr="00F50C9D">
        <w:rPr>
          <w:b/>
        </w:rPr>
        <w:t xml:space="preserve">Řádná účetní závěrka, zprávy podle zákona o účetnictví, jsou-li vyhotovovány, a zprávy o jejich ověření, jsou-li ověřovány, musí být zveřejněny a uveřejněny bez zbytečného odkladu po zveřejnění či uveřejnění těchto dokumentů podle právní úpravy ve státě, ve kterém má tato zahraniční osoba sídlo. </w:t>
      </w:r>
    </w:p>
    <w:p w14:paraId="21B5293A" w14:textId="2EEFAD06" w:rsidR="00272890" w:rsidRPr="00F50C9D" w:rsidRDefault="00FB33F7" w:rsidP="0006588E">
      <w:pPr>
        <w:pStyle w:val="PZTextodstavce"/>
        <w:rPr>
          <w:b/>
        </w:rPr>
      </w:pPr>
      <w:r>
        <w:rPr>
          <w:b/>
        </w:rPr>
        <w:t xml:space="preserve">(8) </w:t>
      </w:r>
      <w:r w:rsidR="00272890" w:rsidRPr="00F50C9D">
        <w:rPr>
          <w:b/>
        </w:rPr>
        <w:t>Zahraniční osoba podle § 28 odst. 1</w:t>
      </w:r>
      <w:r w:rsidR="00272890" w:rsidRPr="00F50C9D">
        <w:rPr>
          <w:b/>
          <w:color w:val="FF0000"/>
        </w:rPr>
        <w:t xml:space="preserve"> </w:t>
      </w:r>
      <w:r w:rsidR="00272890" w:rsidRPr="00F50C9D">
        <w:rPr>
          <w:b/>
        </w:rPr>
        <w:t>také uveřejní její řádnou individuální účetní závěrku a zprávu o jejím ověření, je-li ověřována, v českém nebo anglickém jazyce, a to bez zbytečného odkladu poté, co zpřístupní svoji účetní závěrku podle právní úpravy ve státě, ve kterém má tato zahraniční osoba sídlo. Jsou-li řádná individuální účetní závěrka zahraniční osoby a zpráva o jejím ověření, je-li ověřována, ve slovenském jazyce, jejich překlad do českého nebo anglického jazyka nemusí být uveřejněn.</w:t>
      </w:r>
    </w:p>
    <w:p w14:paraId="3DFB674B" w14:textId="77777777" w:rsidR="00272890" w:rsidRPr="00F50C9D" w:rsidRDefault="00272890" w:rsidP="00FB33F7">
      <w:pPr>
        <w:widowControl w:val="0"/>
        <w:autoSpaceDE w:val="0"/>
        <w:autoSpaceDN w:val="0"/>
        <w:adjustRightInd w:val="0"/>
        <w:spacing w:after="120"/>
        <w:ind w:firstLine="0"/>
        <w:jc w:val="center"/>
        <w:rPr>
          <w:szCs w:val="24"/>
        </w:rPr>
      </w:pPr>
      <w:r w:rsidRPr="00F50C9D">
        <w:rPr>
          <w:szCs w:val="24"/>
        </w:rPr>
        <w:t>§ 50</w:t>
      </w:r>
    </w:p>
    <w:p w14:paraId="70B67E30" w14:textId="77777777" w:rsidR="00272890" w:rsidRPr="00F50C9D" w:rsidRDefault="00272890" w:rsidP="00FB33F7">
      <w:pPr>
        <w:widowControl w:val="0"/>
        <w:autoSpaceDE w:val="0"/>
        <w:autoSpaceDN w:val="0"/>
        <w:adjustRightInd w:val="0"/>
        <w:spacing w:after="120"/>
        <w:ind w:firstLine="0"/>
        <w:jc w:val="center"/>
        <w:rPr>
          <w:b/>
          <w:bCs/>
          <w:szCs w:val="24"/>
        </w:rPr>
      </w:pPr>
      <w:r w:rsidRPr="00F50C9D">
        <w:rPr>
          <w:b/>
          <w:bCs/>
          <w:szCs w:val="24"/>
        </w:rPr>
        <w:t>Informační povinnosti organizátora regulovaného trhu</w:t>
      </w:r>
    </w:p>
    <w:p w14:paraId="2413DE64" w14:textId="731A5F54" w:rsidR="00272890" w:rsidRPr="00F50C9D" w:rsidRDefault="00FB33F7" w:rsidP="0006588E">
      <w:pPr>
        <w:pStyle w:val="PZTextodstavce"/>
        <w:rPr>
          <w:strike/>
          <w:szCs w:val="24"/>
        </w:rPr>
      </w:pPr>
      <w:r>
        <w:rPr>
          <w:strike/>
          <w:szCs w:val="24"/>
        </w:rPr>
        <w:t xml:space="preserve">(1) </w:t>
      </w:r>
      <w:r w:rsidR="00272890" w:rsidRPr="00F50C9D">
        <w:rPr>
          <w:strike/>
          <w:szCs w:val="24"/>
        </w:rPr>
        <w:t>Organizátor regulovaného trhu předkládá České národní bance</w:t>
      </w:r>
    </w:p>
    <w:p w14:paraId="29476BFC" w14:textId="77777777" w:rsidR="00272890" w:rsidRPr="00F50C9D" w:rsidRDefault="00272890" w:rsidP="00FB33F7">
      <w:pPr>
        <w:pStyle w:val="PZTextpsmene"/>
        <w:spacing w:before="0"/>
        <w:rPr>
          <w:strike/>
          <w:szCs w:val="24"/>
        </w:rPr>
      </w:pPr>
      <w:r w:rsidRPr="00F50C9D">
        <w:rPr>
          <w:strike/>
          <w:szCs w:val="24"/>
        </w:rPr>
        <w:t>a)</w:t>
      </w:r>
      <w:r w:rsidRPr="00F50C9D">
        <w:rPr>
          <w:strike/>
          <w:szCs w:val="24"/>
        </w:rPr>
        <w:tab/>
        <w:t>nejpozději do 4 měsíců po skončení účetního období svou výroční zprávu a konsolidovanou výroční zprávu podle zákona upravujícího účetnictví, je-li podle tohoto zákona povinen tuto zprávu sestavovat, jejichž součástí je účetní závěrka ověřená auditorem,</w:t>
      </w:r>
    </w:p>
    <w:p w14:paraId="34066B3A" w14:textId="77777777" w:rsidR="00272890" w:rsidRPr="00F50C9D" w:rsidRDefault="00272890" w:rsidP="00FB33F7">
      <w:pPr>
        <w:pStyle w:val="PZTextpsmene"/>
        <w:spacing w:before="0"/>
        <w:rPr>
          <w:strike/>
          <w:szCs w:val="24"/>
        </w:rPr>
      </w:pPr>
      <w:r w:rsidRPr="00F50C9D">
        <w:rPr>
          <w:strike/>
          <w:szCs w:val="24"/>
        </w:rPr>
        <w:t>b)</w:t>
      </w:r>
      <w:r w:rsidRPr="00F50C9D">
        <w:rPr>
          <w:strike/>
          <w:szCs w:val="24"/>
        </w:rPr>
        <w:tab/>
        <w:t>nejpozději do 1 měsíce po uplynutí kalendářního čtvrtletí výsledky svého hospodaření v uplynulém čtvrtletí.</w:t>
      </w:r>
    </w:p>
    <w:p w14:paraId="754C7140" w14:textId="5EA769E1" w:rsidR="00272890" w:rsidRPr="00F50C9D" w:rsidRDefault="00FB33F7" w:rsidP="0006588E">
      <w:pPr>
        <w:pStyle w:val="PZTextodstavce"/>
        <w:rPr>
          <w:strike/>
          <w:szCs w:val="24"/>
        </w:rPr>
      </w:pPr>
      <w:r>
        <w:rPr>
          <w:strike/>
          <w:szCs w:val="24"/>
        </w:rPr>
        <w:t xml:space="preserve">(2) </w:t>
      </w:r>
      <w:r w:rsidR="00272890" w:rsidRPr="00F50C9D">
        <w:rPr>
          <w:strike/>
          <w:szCs w:val="24"/>
        </w:rPr>
        <w:t>Organizátor regulovaného trhu uveřejní zprávy a údaje podle odstavce 1</w:t>
      </w:r>
      <w:r w:rsidR="00272890" w:rsidRPr="00F50C9D">
        <w:rPr>
          <w:b/>
          <w:strike/>
          <w:szCs w:val="24"/>
        </w:rPr>
        <w:t xml:space="preserve"> </w:t>
      </w:r>
      <w:r w:rsidR="00272890" w:rsidRPr="00F50C9D">
        <w:rPr>
          <w:strike/>
          <w:szCs w:val="24"/>
        </w:rPr>
        <w:t>bez zbytečného odkladu po jejich předložení České národní bance na svých internetových stránkách.</w:t>
      </w:r>
    </w:p>
    <w:p w14:paraId="10A194A5" w14:textId="5A318CD3" w:rsidR="00272890" w:rsidRPr="00F50C9D" w:rsidRDefault="00FB33F7" w:rsidP="0006588E">
      <w:pPr>
        <w:pStyle w:val="PZTextodstavce"/>
        <w:rPr>
          <w:strike/>
          <w:szCs w:val="24"/>
        </w:rPr>
      </w:pPr>
      <w:r>
        <w:rPr>
          <w:b/>
          <w:szCs w:val="24"/>
        </w:rPr>
        <w:t xml:space="preserve">(1) </w:t>
      </w:r>
      <w:r w:rsidR="00272890" w:rsidRPr="00F50C9D">
        <w:rPr>
          <w:b/>
          <w:szCs w:val="24"/>
        </w:rPr>
        <w:t>Organizátor regulovaného trhu</w:t>
      </w:r>
      <w:r w:rsidR="00272890" w:rsidRPr="00F50C9D" w:rsidDel="008A09AA">
        <w:rPr>
          <w:b/>
          <w:szCs w:val="24"/>
        </w:rPr>
        <w:t xml:space="preserve"> </w:t>
      </w:r>
      <w:r w:rsidR="00272890" w:rsidRPr="00F50C9D">
        <w:rPr>
          <w:b/>
          <w:szCs w:val="24"/>
        </w:rPr>
        <w:t>má povinnosti auditu řádné účetní závěrky. Organizátor regulovaného trhu</w:t>
      </w:r>
      <w:r w:rsidR="00272890" w:rsidRPr="00F50C9D">
        <w:rPr>
          <w:szCs w:val="24"/>
        </w:rPr>
        <w:t xml:space="preserve"> </w:t>
      </w:r>
      <w:r w:rsidR="00272890" w:rsidRPr="00F50C9D">
        <w:rPr>
          <w:b/>
          <w:szCs w:val="24"/>
        </w:rPr>
        <w:t>zveřejní řádnou účetní závěrku, zprávy podle zákona upravujícího účetnictví, jsou-li vyhotovovány, a zprávy o jejich ověření, jsou-li ověřovány, a to do 4 měsíců od konce účetního období. V této lhůtě organizátor regulovaného trhu</w:t>
      </w:r>
      <w:r w:rsidR="00272890" w:rsidRPr="00F50C9D" w:rsidDel="008A09AA">
        <w:rPr>
          <w:b/>
          <w:szCs w:val="24"/>
        </w:rPr>
        <w:t xml:space="preserve"> </w:t>
      </w:r>
      <w:r w:rsidR="00272890" w:rsidRPr="00F50C9D">
        <w:rPr>
          <w:b/>
          <w:szCs w:val="24"/>
        </w:rPr>
        <w:t>rovněž uveřejní</w:t>
      </w:r>
      <w:r w:rsidR="00272890" w:rsidRPr="00F50C9D">
        <w:rPr>
          <w:b/>
          <w:color w:val="000000" w:themeColor="text1"/>
          <w:szCs w:val="24"/>
        </w:rPr>
        <w:t xml:space="preserve"> tyto dokumenty na svých inter</w:t>
      </w:r>
      <w:r w:rsidR="00272890" w:rsidRPr="00F50C9D">
        <w:rPr>
          <w:b/>
          <w:szCs w:val="24"/>
        </w:rPr>
        <w:t>netových stránkách.</w:t>
      </w:r>
    </w:p>
    <w:p w14:paraId="21D0431A" w14:textId="1171EEAC" w:rsidR="00272890" w:rsidRPr="00F50C9D" w:rsidRDefault="00FB33F7" w:rsidP="0006588E">
      <w:pPr>
        <w:pStyle w:val="PZTextodstavce"/>
        <w:rPr>
          <w:b/>
          <w:szCs w:val="24"/>
        </w:rPr>
      </w:pPr>
      <w:r>
        <w:rPr>
          <w:b/>
          <w:szCs w:val="24"/>
        </w:rPr>
        <w:t xml:space="preserve">(2) </w:t>
      </w:r>
      <w:r w:rsidR="00272890" w:rsidRPr="00F50C9D">
        <w:rPr>
          <w:b/>
          <w:szCs w:val="24"/>
        </w:rPr>
        <w:t>Organizátor regulovaného trhu je povinen předat České národní bance do 1 měsíce od konce kalendářního čtvrtletí výsledky svého hospodaření za toto čtvrtletí a tyto výsledky bez zbytečného odkladu po jejich předložení České národní bance uveřejnit na svých internetových stránkách.</w:t>
      </w:r>
    </w:p>
    <w:p w14:paraId="4DAB0906" w14:textId="1DB603E3" w:rsidR="00272890" w:rsidRPr="00F50C9D" w:rsidRDefault="00FB33F7" w:rsidP="0006588E">
      <w:pPr>
        <w:pStyle w:val="PZTextodstavce"/>
        <w:rPr>
          <w:szCs w:val="24"/>
        </w:rPr>
      </w:pPr>
      <w:r>
        <w:rPr>
          <w:szCs w:val="24"/>
        </w:rPr>
        <w:lastRenderedPageBreak/>
        <w:t xml:space="preserve">(3) </w:t>
      </w:r>
      <w:r w:rsidR="00272890" w:rsidRPr="00F50C9D">
        <w:rPr>
          <w:szCs w:val="24"/>
        </w:rPr>
        <w:t>Organizátor regulovaného trhu uveřejňuje v aktuálním znění na svých internetových stránkách pravidla obchodování, pravidla pro přijímání investičních nástrojů k obchodování a pravidla přístupu.</w:t>
      </w:r>
    </w:p>
    <w:p w14:paraId="3585F715" w14:textId="53060C59" w:rsidR="00272890" w:rsidRPr="00F50C9D" w:rsidRDefault="00FB33F7" w:rsidP="0006588E">
      <w:pPr>
        <w:pStyle w:val="PZTextodstavce"/>
        <w:rPr>
          <w:szCs w:val="24"/>
        </w:rPr>
      </w:pPr>
      <w:r>
        <w:rPr>
          <w:szCs w:val="24"/>
        </w:rPr>
        <w:t xml:space="preserve">(4) </w:t>
      </w:r>
      <w:r w:rsidR="00272890" w:rsidRPr="00F50C9D">
        <w:rPr>
          <w:szCs w:val="24"/>
        </w:rPr>
        <w:t>Organizátor regulovaného trhu zasílá České národní bance rovněž další informace o účastnících, podmínkách, průběhu a výsledcích obchodování na jím organizovaném trhu, investičních nástrojích přijatých k obchodování na jím organizovaném trhu a jejich emitentech a o poskytnutých službách, které jsou potřebné pro výkon dohledu.</w:t>
      </w:r>
    </w:p>
    <w:p w14:paraId="6F64BA8A" w14:textId="05AA6EA3" w:rsidR="00272890" w:rsidRPr="00F50C9D" w:rsidRDefault="00FB33F7" w:rsidP="0006588E">
      <w:pPr>
        <w:pStyle w:val="PZTextodstavce"/>
        <w:rPr>
          <w:szCs w:val="24"/>
        </w:rPr>
      </w:pPr>
      <w:r>
        <w:rPr>
          <w:szCs w:val="24"/>
        </w:rPr>
        <w:t xml:space="preserve">(5) </w:t>
      </w:r>
      <w:r w:rsidR="00272890" w:rsidRPr="00F50C9D">
        <w:rPr>
          <w:szCs w:val="24"/>
        </w:rPr>
        <w:t xml:space="preserve">Organizátor regulovaného trhu oznámí České národní bance bez zbytečného odkladu </w:t>
      </w:r>
    </w:p>
    <w:p w14:paraId="06553F24" w14:textId="77777777" w:rsidR="00272890" w:rsidRPr="00F50C9D" w:rsidRDefault="00272890" w:rsidP="00FB33F7">
      <w:pPr>
        <w:pStyle w:val="PZTextpsmene"/>
        <w:spacing w:before="0"/>
      </w:pPr>
      <w:r w:rsidRPr="00F50C9D">
        <w:t>a)</w:t>
      </w:r>
      <w:r w:rsidRPr="00F50C9D">
        <w:tab/>
        <w:t>všechny změny ve skutečnostech, na jejichž základě mu bylo uděleno povolení k činnosti organizátora regulovaného trhu,</w:t>
      </w:r>
    </w:p>
    <w:p w14:paraId="0F63F710" w14:textId="77777777" w:rsidR="00272890" w:rsidRPr="00F50C9D" w:rsidRDefault="00272890" w:rsidP="00FB33F7">
      <w:pPr>
        <w:pStyle w:val="PZTextpsmene"/>
        <w:spacing w:before="0"/>
      </w:pPr>
      <w:r w:rsidRPr="00F50C9D">
        <w:t>b)</w:t>
      </w:r>
      <w:r w:rsidRPr="00F50C9D">
        <w:tab/>
        <w:t xml:space="preserve">pozbytí oprávnění podle jiného právního předpisu k výkonu další činnosti, která byla zaregistrována podle </w:t>
      </w:r>
      <w:hyperlink r:id="rId29" w:history="1">
        <w:r w:rsidRPr="00F50C9D">
          <w:t>§ 39</w:t>
        </w:r>
      </w:hyperlink>
      <w:r w:rsidRPr="00F50C9D">
        <w:t>.</w:t>
      </w:r>
    </w:p>
    <w:p w14:paraId="0909D005" w14:textId="01A4E5C1" w:rsidR="00272890" w:rsidRPr="00F50C9D" w:rsidRDefault="00FB33F7" w:rsidP="0006588E">
      <w:pPr>
        <w:pStyle w:val="PZTextodstavce"/>
        <w:rPr>
          <w:szCs w:val="24"/>
        </w:rPr>
      </w:pPr>
      <w:r>
        <w:rPr>
          <w:szCs w:val="24"/>
        </w:rPr>
        <w:t xml:space="preserve">(6) </w:t>
      </w:r>
      <w:r w:rsidR="00272890" w:rsidRPr="00F50C9D">
        <w:rPr>
          <w:szCs w:val="24"/>
        </w:rPr>
        <w:t>Změnu pravidel obchodování, pravidel pro přijímání investičních nástrojů k obchodování nebo pravidel přístupu zasílá organizátor regulovaného trhu bez zbytečného odkladu po jejich schválení na vědomí České národní bance.</w:t>
      </w:r>
    </w:p>
    <w:p w14:paraId="587E13ED" w14:textId="32D52A49" w:rsidR="00272890" w:rsidRPr="00F50C9D" w:rsidRDefault="00FB33F7" w:rsidP="0006588E">
      <w:pPr>
        <w:pStyle w:val="PZTextodstavce"/>
        <w:rPr>
          <w:szCs w:val="24"/>
        </w:rPr>
      </w:pPr>
      <w:r>
        <w:rPr>
          <w:szCs w:val="24"/>
        </w:rPr>
        <w:t xml:space="preserve">(7) </w:t>
      </w:r>
      <w:r w:rsidR="00272890" w:rsidRPr="00F50C9D">
        <w:rPr>
          <w:szCs w:val="24"/>
        </w:rPr>
        <w:t xml:space="preserve">Organizátor regulovaného trhu informuje Českou národní banku o obsahu smluv podle </w:t>
      </w:r>
      <w:hyperlink r:id="rId30" w:history="1">
        <w:r w:rsidR="00272890" w:rsidRPr="00F50C9D">
          <w:rPr>
            <w:szCs w:val="24"/>
          </w:rPr>
          <w:t>§ 50g odst. 1</w:t>
        </w:r>
      </w:hyperlink>
      <w:r w:rsidR="00272890" w:rsidRPr="00F50C9D">
        <w:rPr>
          <w:szCs w:val="24"/>
        </w:rPr>
        <w:t>.</w:t>
      </w:r>
    </w:p>
    <w:p w14:paraId="77CF4934" w14:textId="11E10F70" w:rsidR="00272890" w:rsidRPr="00F50C9D" w:rsidRDefault="00FB33F7" w:rsidP="0006588E">
      <w:pPr>
        <w:pStyle w:val="PZTextodstavce"/>
        <w:rPr>
          <w:szCs w:val="24"/>
        </w:rPr>
      </w:pPr>
      <w:r>
        <w:rPr>
          <w:szCs w:val="24"/>
        </w:rPr>
        <w:t xml:space="preserve">(8) </w:t>
      </w:r>
      <w:r w:rsidR="00272890" w:rsidRPr="00F50C9D">
        <w:rPr>
          <w:szCs w:val="24"/>
        </w:rPr>
        <w:t>Prováděcí právní předpis stanoví obsah informačních povinností stanovených v odstavcích 1 a 4 a lhůty, formu a způsob jejich plnění.</w:t>
      </w:r>
    </w:p>
    <w:p w14:paraId="6638557C" w14:textId="77777777" w:rsidR="00272890" w:rsidRPr="00F50C9D" w:rsidRDefault="00272890" w:rsidP="00FB33F7">
      <w:pPr>
        <w:keepNext/>
        <w:keepLines/>
        <w:widowControl w:val="0"/>
        <w:autoSpaceDE w:val="0"/>
        <w:autoSpaceDN w:val="0"/>
        <w:adjustRightInd w:val="0"/>
        <w:spacing w:after="120"/>
        <w:ind w:firstLine="0"/>
        <w:jc w:val="center"/>
        <w:rPr>
          <w:szCs w:val="24"/>
        </w:rPr>
      </w:pPr>
      <w:r w:rsidRPr="00F50C9D">
        <w:rPr>
          <w:szCs w:val="24"/>
        </w:rPr>
        <w:t>§ 65</w:t>
      </w:r>
    </w:p>
    <w:p w14:paraId="1A347128" w14:textId="77777777" w:rsidR="00272890" w:rsidRPr="00F50C9D" w:rsidRDefault="00272890" w:rsidP="00FB33F7">
      <w:pPr>
        <w:keepNext/>
        <w:keepLines/>
        <w:widowControl w:val="0"/>
        <w:autoSpaceDE w:val="0"/>
        <w:autoSpaceDN w:val="0"/>
        <w:adjustRightInd w:val="0"/>
        <w:spacing w:after="120"/>
        <w:ind w:firstLine="0"/>
        <w:jc w:val="center"/>
        <w:rPr>
          <w:b/>
          <w:bCs/>
          <w:szCs w:val="24"/>
        </w:rPr>
      </w:pPr>
      <w:r w:rsidRPr="00F50C9D">
        <w:rPr>
          <w:b/>
          <w:bCs/>
          <w:szCs w:val="24"/>
        </w:rPr>
        <w:t>Podmínky pro přijetí cenného papíru k obchodování na oficiálním trhu</w:t>
      </w:r>
    </w:p>
    <w:p w14:paraId="68E5CFB7" w14:textId="38AFFAA5" w:rsidR="00272890" w:rsidRPr="00F50C9D" w:rsidRDefault="00FB33F7" w:rsidP="0006588E">
      <w:pPr>
        <w:pStyle w:val="PZTextodstavce"/>
        <w:rPr>
          <w:szCs w:val="24"/>
        </w:rPr>
      </w:pPr>
      <w:r>
        <w:rPr>
          <w:szCs w:val="24"/>
        </w:rPr>
        <w:t xml:space="preserve">(1) </w:t>
      </w:r>
      <w:r w:rsidR="00272890" w:rsidRPr="00F50C9D">
        <w:rPr>
          <w:szCs w:val="24"/>
        </w:rPr>
        <w:t>Organizátor regulovaného trhu může k obchodování na oficiálním trhu přijmout pouze akcie nebo dluhopisy, jestliže</w:t>
      </w:r>
    </w:p>
    <w:p w14:paraId="535E848F" w14:textId="77777777" w:rsidR="00272890" w:rsidRPr="00F50C9D" w:rsidRDefault="00272890" w:rsidP="00FB33F7">
      <w:pPr>
        <w:pStyle w:val="PZTextpsmene"/>
        <w:spacing w:before="0"/>
        <w:rPr>
          <w:szCs w:val="24"/>
        </w:rPr>
      </w:pPr>
      <w:r w:rsidRPr="00F50C9D">
        <w:rPr>
          <w:szCs w:val="24"/>
        </w:rPr>
        <w:t>a)</w:t>
      </w:r>
      <w:r w:rsidRPr="00F50C9D">
        <w:rPr>
          <w:szCs w:val="24"/>
        </w:rPr>
        <w:tab/>
        <w:t xml:space="preserve">jsou splněny podmínky podle </w:t>
      </w:r>
      <w:hyperlink r:id="rId31" w:history="1">
        <w:r w:rsidRPr="00F50C9D">
          <w:rPr>
            <w:szCs w:val="24"/>
          </w:rPr>
          <w:t>§ 56</w:t>
        </w:r>
      </w:hyperlink>
      <w:r w:rsidRPr="00F50C9D">
        <w:rPr>
          <w:szCs w:val="24"/>
        </w:rPr>
        <w:t xml:space="preserve"> a podle přímo použitelného předpisu Evropské unie upravujícího prospekt, který má být uveřejněn při veřejné nabídce nebo přijetí cenných papírů k obchodování na regulovaném trhu</w:t>
      </w:r>
      <w:r w:rsidRPr="00F50C9D">
        <w:rPr>
          <w:szCs w:val="24"/>
          <w:vertAlign w:val="superscript"/>
        </w:rPr>
        <w:t>66)</w:t>
      </w:r>
      <w:r w:rsidRPr="00F50C9D">
        <w:rPr>
          <w:szCs w:val="24"/>
        </w:rPr>
        <w:t>,</w:t>
      </w:r>
    </w:p>
    <w:p w14:paraId="6C103D0F" w14:textId="77777777" w:rsidR="00272890" w:rsidRPr="00F50C9D" w:rsidRDefault="00272890" w:rsidP="00FB33F7">
      <w:pPr>
        <w:pStyle w:val="PZTextpsmene"/>
        <w:spacing w:before="0"/>
        <w:rPr>
          <w:szCs w:val="24"/>
        </w:rPr>
      </w:pPr>
      <w:r w:rsidRPr="00F50C9D">
        <w:rPr>
          <w:szCs w:val="24"/>
        </w:rPr>
        <w:t>b)</w:t>
      </w:r>
      <w:r w:rsidRPr="00F50C9D">
        <w:rPr>
          <w:szCs w:val="24"/>
        </w:rPr>
        <w:tab/>
        <w:t>právní postavení emitenta těchto akcií nebo dluhopisů je v souladu s právem státu, ve kterém má emitent sídlo,</w:t>
      </w:r>
    </w:p>
    <w:p w14:paraId="460363DB" w14:textId="77777777" w:rsidR="00272890" w:rsidRPr="00F50C9D" w:rsidRDefault="00272890" w:rsidP="00FB33F7">
      <w:pPr>
        <w:pStyle w:val="PZTextpsmene"/>
        <w:spacing w:before="0"/>
        <w:rPr>
          <w:szCs w:val="24"/>
        </w:rPr>
      </w:pPr>
      <w:r w:rsidRPr="00F50C9D">
        <w:rPr>
          <w:szCs w:val="24"/>
        </w:rPr>
        <w:t>c)</w:t>
      </w:r>
      <w:r w:rsidRPr="00F50C9D">
        <w:rPr>
          <w:szCs w:val="24"/>
        </w:rPr>
        <w:tab/>
        <w:t>kurz akcie nebo její předpokládaný kurz násobený počtem vydávaných akcií dosahují v korunách českých částky odpovídající alespoň 1 000 000 EUR; pokud nelze předpokládaný kurz odhadem určit, musí dosahovat alespoň uvedené částky vlastní kapitál emitenta akcií; podmínka nejnižší částky nemusí být splněna, pokud již emitent vydal akcie stejného druhu a tyto akcie byly přijaty k obchodování na regulovaném trhu, na kterém se o přijetí akcií k obchodování žádá, nebo pokud bude zajištěno bezproblémové obchodování s těmito akciemi,</w:t>
      </w:r>
    </w:p>
    <w:p w14:paraId="0B1AA8B2" w14:textId="77777777" w:rsidR="00272890" w:rsidRPr="00F50C9D" w:rsidRDefault="00272890" w:rsidP="00FB33F7">
      <w:pPr>
        <w:pStyle w:val="PZTextpsmene"/>
        <w:spacing w:before="0"/>
        <w:rPr>
          <w:szCs w:val="24"/>
        </w:rPr>
      </w:pPr>
      <w:r w:rsidRPr="00F50C9D">
        <w:rPr>
          <w:szCs w:val="24"/>
        </w:rPr>
        <w:t>d)</w:t>
      </w:r>
      <w:r w:rsidRPr="00F50C9D">
        <w:rPr>
          <w:szCs w:val="24"/>
        </w:rPr>
        <w:tab/>
        <w:t>celková jmenovitá hodnota emise dluhopisu dosahuje v korunách českých hodnoty odpovídající alespoň 200 000 EUR; podmínka nejnižší celkové jmenovité hodnoty nemusí být splněna, pokud bude zajištěno bezproblémové obchodování s těmito dluhopisy,</w:t>
      </w:r>
    </w:p>
    <w:p w14:paraId="18C669DE" w14:textId="77777777" w:rsidR="00272890" w:rsidRPr="00F50C9D" w:rsidRDefault="00272890" w:rsidP="00FB33F7">
      <w:pPr>
        <w:pStyle w:val="PZTextpsmene"/>
        <w:spacing w:before="0"/>
        <w:rPr>
          <w:szCs w:val="24"/>
        </w:rPr>
      </w:pPr>
      <w:r w:rsidRPr="00F50C9D">
        <w:rPr>
          <w:szCs w:val="24"/>
        </w:rPr>
        <w:t>e)</w:t>
      </w:r>
      <w:r w:rsidRPr="00F50C9D">
        <w:rPr>
          <w:szCs w:val="24"/>
        </w:rPr>
        <w:tab/>
        <w:t xml:space="preserve">emitent těchto akcií nebo dluhopisů zveřejnil </w:t>
      </w:r>
      <w:r w:rsidRPr="00F50C9D">
        <w:rPr>
          <w:b/>
          <w:bCs/>
          <w:szCs w:val="24"/>
        </w:rPr>
        <w:t xml:space="preserve">řádnou individuální </w:t>
      </w:r>
      <w:r w:rsidRPr="00F50C9D">
        <w:rPr>
          <w:szCs w:val="24"/>
        </w:rPr>
        <w:t xml:space="preserve">účetní závěrku podle zákona upravujícího účetnictví nejméně za tři po sobě následující </w:t>
      </w:r>
      <w:r w:rsidRPr="00F50C9D">
        <w:rPr>
          <w:b/>
          <w:szCs w:val="24"/>
        </w:rPr>
        <w:t xml:space="preserve">individuální </w:t>
      </w:r>
      <w:r w:rsidRPr="00F50C9D">
        <w:rPr>
          <w:szCs w:val="24"/>
        </w:rPr>
        <w:t xml:space="preserve">účetní období předcházející </w:t>
      </w:r>
      <w:r w:rsidRPr="00F50C9D">
        <w:rPr>
          <w:b/>
          <w:szCs w:val="24"/>
        </w:rPr>
        <w:t xml:space="preserve">individuálnímu </w:t>
      </w:r>
      <w:r w:rsidRPr="00F50C9D">
        <w:rPr>
          <w:szCs w:val="24"/>
        </w:rPr>
        <w:t xml:space="preserve">účetnímu období, ve kterém je podána žádost o přijetí cenného papíru k obchodování na regulovaném trhu; podmínka zveřejnění účetní závěrky za tři po sobě následující </w:t>
      </w:r>
      <w:r w:rsidRPr="00F50C9D">
        <w:rPr>
          <w:b/>
          <w:szCs w:val="24"/>
        </w:rPr>
        <w:t xml:space="preserve">individuální </w:t>
      </w:r>
      <w:r w:rsidRPr="00F50C9D">
        <w:rPr>
          <w:szCs w:val="24"/>
        </w:rPr>
        <w:t>účetní období</w:t>
      </w:r>
      <w:r w:rsidRPr="00F50C9D">
        <w:rPr>
          <w:b/>
          <w:szCs w:val="24"/>
        </w:rPr>
        <w:t xml:space="preserve"> </w:t>
      </w:r>
      <w:r w:rsidRPr="00F50C9D">
        <w:rPr>
          <w:szCs w:val="24"/>
        </w:rPr>
        <w:t xml:space="preserve">nemusí být splněna, jestliže </w:t>
      </w:r>
      <w:r w:rsidRPr="00F50C9D">
        <w:rPr>
          <w:szCs w:val="24"/>
        </w:rPr>
        <w:lastRenderedPageBreak/>
        <w:t xml:space="preserve">emitent existuje podle zápisu do příslušného rejstříku méně než 3 roky a přijetí akcií nebo dluhopisů k obchodování na oficiálním trhu je v zájmu emitenta nebo investorů a jestliže </w:t>
      </w:r>
    </w:p>
    <w:p w14:paraId="0ED81BC7" w14:textId="77777777" w:rsidR="00272890" w:rsidRPr="00F50C9D" w:rsidRDefault="00272890" w:rsidP="00FB33F7">
      <w:pPr>
        <w:pStyle w:val="PZTextpsmene"/>
        <w:spacing w:before="0"/>
        <w:rPr>
          <w:szCs w:val="24"/>
        </w:rPr>
      </w:pPr>
      <w:r w:rsidRPr="00F50C9D">
        <w:rPr>
          <w:szCs w:val="24"/>
        </w:rPr>
        <w:t>f)</w:t>
      </w:r>
      <w:r w:rsidRPr="00F50C9D">
        <w:rPr>
          <w:szCs w:val="24"/>
        </w:rPr>
        <w:tab/>
        <w:t>tyto akcie nebo dluhopisy splňují požadavky práva státu, podle kterého byly vydány,</w:t>
      </w:r>
    </w:p>
    <w:p w14:paraId="13AE68A1" w14:textId="77777777" w:rsidR="00272890" w:rsidRPr="00F50C9D" w:rsidRDefault="00272890" w:rsidP="00FB33F7">
      <w:pPr>
        <w:pStyle w:val="PZTextpsmene"/>
        <w:spacing w:before="0"/>
        <w:rPr>
          <w:szCs w:val="24"/>
        </w:rPr>
      </w:pPr>
      <w:r w:rsidRPr="00F50C9D">
        <w:rPr>
          <w:szCs w:val="24"/>
        </w:rPr>
        <w:t>g)</w:t>
      </w:r>
      <w:r w:rsidRPr="00F50C9D">
        <w:rPr>
          <w:szCs w:val="24"/>
        </w:rPr>
        <w:tab/>
        <w:t xml:space="preserve">není vyloučena ani omezena převoditelnost těchto akcií nebo dluhopisů; akcie mohou být též přijaty k obchodování na oficiálním trhu, pokud je jejich převoditelnost omezena pouze požadavkem souhlasu orgánů společnosti a pokud jejich přijetí k obchodování nenaruší obchodování na tomto trhu, </w:t>
      </w:r>
    </w:p>
    <w:p w14:paraId="24F098F8" w14:textId="77777777" w:rsidR="00272890" w:rsidRPr="00F50C9D" w:rsidRDefault="00272890" w:rsidP="00FB33F7">
      <w:pPr>
        <w:pStyle w:val="PZTextpsmene"/>
        <w:spacing w:before="0"/>
        <w:rPr>
          <w:szCs w:val="24"/>
        </w:rPr>
      </w:pPr>
      <w:r w:rsidRPr="00F50C9D">
        <w:rPr>
          <w:szCs w:val="24"/>
        </w:rPr>
        <w:t>h</w:t>
      </w:r>
      <w:r w:rsidRPr="00F50C9D">
        <w:rPr>
          <w:szCs w:val="24"/>
        </w:rPr>
        <w:tab/>
        <w:t>je plně splacen emisní kurz těchto akcií nebo dluhopisů; emisní kurz nemusí být plně splacen, pokud to jiný právní předpis dovoluje a pokud je zajištěno bezproblémové obchodování s nimi a pokud je v jejich prospektu výslovně uvedeno, že emisní kurz nebyl splacen a jsou uvedena opatření, která byla v souvislosti s tím přijata,</w:t>
      </w:r>
    </w:p>
    <w:p w14:paraId="3D292993" w14:textId="77777777" w:rsidR="00272890" w:rsidRPr="00F50C9D" w:rsidRDefault="00272890" w:rsidP="00FB33F7">
      <w:pPr>
        <w:pStyle w:val="PZTextpsmene"/>
        <w:spacing w:before="0"/>
        <w:rPr>
          <w:szCs w:val="24"/>
        </w:rPr>
      </w:pPr>
      <w:r w:rsidRPr="00F50C9D">
        <w:rPr>
          <w:szCs w:val="24"/>
        </w:rPr>
        <w:t>i)</w:t>
      </w:r>
      <w:r w:rsidRPr="00F50C9D">
        <w:rPr>
          <w:szCs w:val="24"/>
        </w:rPr>
        <w:tab/>
        <w:t>alespoň 25 % akcií, které mají být přijaty k obchodování na oficiálním trhu, je ve vlastnictví veřejnosti členských států Evropské unie, nebo je-li ve vlastnictví veřejnosti členských států Evropské unie alespoň takové procento akcií, které zaručuje bezproblémové obchodování na oficiálním trhu; to není třeba, jestliže</w:t>
      </w:r>
    </w:p>
    <w:p w14:paraId="6F2CD12E" w14:textId="77777777" w:rsidR="00272890" w:rsidRPr="00F50C9D" w:rsidRDefault="00272890" w:rsidP="00FB33F7">
      <w:pPr>
        <w:pStyle w:val="PZTextbodu"/>
        <w:spacing w:before="0"/>
        <w:rPr>
          <w:szCs w:val="24"/>
        </w:rPr>
      </w:pPr>
      <w:r w:rsidRPr="00F50C9D">
        <w:rPr>
          <w:szCs w:val="24"/>
        </w:rPr>
        <w:t>1.</w:t>
      </w:r>
      <w:r w:rsidRPr="00F50C9D">
        <w:rPr>
          <w:szCs w:val="24"/>
        </w:rPr>
        <w:tab/>
        <w:t>vlastnictví akcií veřejností členských států Evropské unie má být zajištěno teprve obchodováním na tomto trhu a organizátor regulovaného trhu usoudí, že požadovaného vlastnictví veřejností bude dosaženo během krátké doby po přijetí akcií k obchodování, nebo</w:t>
      </w:r>
    </w:p>
    <w:p w14:paraId="2561B751" w14:textId="77777777" w:rsidR="00272890" w:rsidRPr="00F50C9D" w:rsidRDefault="00272890" w:rsidP="00FB33F7">
      <w:pPr>
        <w:pStyle w:val="PZTextbodu"/>
        <w:spacing w:before="0"/>
        <w:rPr>
          <w:szCs w:val="24"/>
        </w:rPr>
      </w:pPr>
      <w:r w:rsidRPr="00F50C9D">
        <w:rPr>
          <w:szCs w:val="24"/>
        </w:rPr>
        <w:t>2.</w:t>
      </w:r>
      <w:r w:rsidRPr="00F50C9D">
        <w:rPr>
          <w:szCs w:val="24"/>
        </w:rPr>
        <w:tab/>
        <w:t xml:space="preserve">akcie téhož emitenta a druhu jsou přijaty k obchodování na obdobném oficiálním trhu státu, který není členským státem Evropské unie, a v tomto státě je ve vlastnictví veřejnosti takový jejich objem, který zaručuje bezproblémové obchodování na oficiálním trhu, </w:t>
      </w:r>
    </w:p>
    <w:p w14:paraId="30C25D97" w14:textId="77777777" w:rsidR="00272890" w:rsidRPr="00F50C9D" w:rsidRDefault="00272890" w:rsidP="00FB33F7">
      <w:pPr>
        <w:pStyle w:val="PZTextpsmene"/>
        <w:spacing w:before="0"/>
        <w:rPr>
          <w:szCs w:val="24"/>
        </w:rPr>
      </w:pPr>
      <w:r w:rsidRPr="00F50C9D">
        <w:rPr>
          <w:szCs w:val="24"/>
        </w:rPr>
        <w:t>j)</w:t>
      </w:r>
      <w:r w:rsidRPr="00F50C9D">
        <w:rPr>
          <w:szCs w:val="24"/>
        </w:rPr>
        <w:tab/>
        <w:t xml:space="preserve">se žádost o přijetí k obchodování vztahuje na všechny dluhopisy stejné emise nebo na všechny akcie stejného druhu; žádost o přijetí k obchodování nemusí zahrnovat akcie držené za účelem ovládání emitenta nebo na akcie, se kterými nelze na základě dohody po určitou dobu obchodovat, pokud obchodováním pouze s částí akcií stejného druhu nevzniknou investorům žádné nevýhody; skutečnost, že se žádost o přijetí k obchodování na oficiálním trhu vztahuje pouze na část akcií stejného druhu, musí být výslovně uvedena v prospektu spolu s uvedením důvodu, </w:t>
      </w:r>
    </w:p>
    <w:p w14:paraId="2B8D486B" w14:textId="77777777" w:rsidR="00272890" w:rsidRPr="00F50C9D" w:rsidRDefault="00272890" w:rsidP="00FB33F7">
      <w:pPr>
        <w:pStyle w:val="PZTextpsmene"/>
        <w:spacing w:before="0"/>
        <w:rPr>
          <w:szCs w:val="24"/>
        </w:rPr>
      </w:pPr>
      <w:r w:rsidRPr="00F50C9D">
        <w:rPr>
          <w:szCs w:val="24"/>
        </w:rPr>
        <w:t>k)</w:t>
      </w:r>
      <w:r w:rsidRPr="00F50C9D">
        <w:rPr>
          <w:szCs w:val="24"/>
        </w:rPr>
        <w:tab/>
        <w:t xml:space="preserve">akcie nebo dluhopisy, které jsou listinnými cennými papíry, jsou vytištěny v souladu s požadavky kladenými na tisk listinných cenných papírů podle práva státu, ve kterém má emitent sídlo, </w:t>
      </w:r>
    </w:p>
    <w:p w14:paraId="661FED30" w14:textId="77777777" w:rsidR="00272890" w:rsidRPr="00F50C9D" w:rsidRDefault="00272890" w:rsidP="00FB33F7">
      <w:pPr>
        <w:pStyle w:val="PZTextpsmene"/>
        <w:spacing w:before="0"/>
        <w:rPr>
          <w:szCs w:val="24"/>
        </w:rPr>
      </w:pPr>
      <w:r w:rsidRPr="00F50C9D">
        <w:rPr>
          <w:szCs w:val="24"/>
        </w:rPr>
        <w:t>l)</w:t>
      </w:r>
      <w:r w:rsidRPr="00F50C9D">
        <w:rPr>
          <w:szCs w:val="24"/>
        </w:rPr>
        <w:tab/>
        <w:t xml:space="preserve">emitentem těchto akcií nebo dluhopisů je osoba se sídlem ve státě, který není členským státem Evropské unie, a tyto akcie nebo dluhopisy nebyly přijaty k obchodování na oficiálním trhu ve státě, ve kterém má emitent sídlo a skutečné sídlo, ani ve státě, ve kterém je ve vlastnictví veřejnosti největší podíl těchto akcií nebo dluhopisů, a organizátor regulovaného trhu, na kterém se žádá o přijetí, je přesvědčen, že důvodem nepřijetí k obchodování není ochrana investorů, </w:t>
      </w:r>
    </w:p>
    <w:p w14:paraId="71DB2CBE" w14:textId="77777777" w:rsidR="00272890" w:rsidRPr="00F50C9D" w:rsidRDefault="00272890" w:rsidP="00FB33F7">
      <w:pPr>
        <w:pStyle w:val="PZTextpsmene"/>
        <w:spacing w:before="0"/>
        <w:rPr>
          <w:szCs w:val="24"/>
        </w:rPr>
      </w:pPr>
      <w:r w:rsidRPr="00F50C9D">
        <w:rPr>
          <w:szCs w:val="24"/>
        </w:rPr>
        <w:t>m)</w:t>
      </w:r>
      <w:r w:rsidRPr="00F50C9D">
        <w:rPr>
          <w:szCs w:val="24"/>
        </w:rPr>
        <w:tab/>
        <w:t xml:space="preserve">se jedná o vyměnitelné dluhopisy, prioritní dluhopisy nebo dluhopisy s opčním listem, které mají být vyměněny za akcie, a akcie stejného druhu jsou již přijaté k obchodování na oficiálním trhu nebo investorům jsou k dispozici všechny informace nezbytné k posouzení hodnoty těchto akcií, </w:t>
      </w:r>
    </w:p>
    <w:p w14:paraId="00505ADB" w14:textId="77777777" w:rsidR="00272890" w:rsidRPr="00F50C9D" w:rsidRDefault="00272890" w:rsidP="00FB33F7">
      <w:pPr>
        <w:pStyle w:val="PZTextpsmene"/>
        <w:spacing w:before="0"/>
        <w:rPr>
          <w:szCs w:val="24"/>
        </w:rPr>
      </w:pPr>
      <w:r w:rsidRPr="00F50C9D">
        <w:rPr>
          <w:szCs w:val="24"/>
        </w:rPr>
        <w:t>n)</w:t>
      </w:r>
      <w:r w:rsidRPr="00F50C9D">
        <w:rPr>
          <w:szCs w:val="24"/>
        </w:rPr>
        <w:tab/>
        <w:t xml:space="preserve">emise těchto akcií nebo dluhopisů byla vydána jako cenné papíry, nebo jako zaknihované cenné papíry a všechny její kusy mají stejnou jmenovitou hodnotu a stejné identifikační označení podle mezinárodního systému číslování pro identifikaci cenných papírů (ISIN), </w:t>
      </w:r>
    </w:p>
    <w:p w14:paraId="25BA3157" w14:textId="77777777" w:rsidR="00272890" w:rsidRPr="00F50C9D" w:rsidRDefault="00272890" w:rsidP="00FB33F7">
      <w:pPr>
        <w:pStyle w:val="PZTextpsmene"/>
        <w:spacing w:before="0"/>
        <w:rPr>
          <w:szCs w:val="24"/>
        </w:rPr>
      </w:pPr>
      <w:r w:rsidRPr="00F50C9D">
        <w:rPr>
          <w:szCs w:val="24"/>
        </w:rPr>
        <w:t>o)</w:t>
      </w:r>
      <w:r w:rsidRPr="00F50C9D">
        <w:rPr>
          <w:szCs w:val="24"/>
        </w:rPr>
        <w:tab/>
        <w:t xml:space="preserve">organizátorovi regulovaného trhu nejsou známy okolnosti, které by v případě přijetí těchto akcií nebo dluhopisů k obchodování na oficiálním trhu mohly vést k poškození investorů, k ohrožení jejich zájmů nebo k ohrožení důležitých veřejných zájmů. </w:t>
      </w:r>
    </w:p>
    <w:p w14:paraId="7303AFC5" w14:textId="3E41E37A" w:rsidR="00272890" w:rsidRPr="00F50C9D" w:rsidRDefault="00FB33F7" w:rsidP="0006588E">
      <w:pPr>
        <w:pStyle w:val="PZTextodstavce"/>
        <w:rPr>
          <w:szCs w:val="24"/>
        </w:rPr>
      </w:pPr>
      <w:r>
        <w:rPr>
          <w:szCs w:val="24"/>
        </w:rPr>
        <w:lastRenderedPageBreak/>
        <w:t xml:space="preserve">(2) </w:t>
      </w:r>
      <w:r w:rsidR="00272890" w:rsidRPr="00F50C9D">
        <w:rPr>
          <w:szCs w:val="24"/>
        </w:rPr>
        <w:t>Cenné papíry zastupující akcie mohou být přijaty k obchodování na oficiálním trhu, jestliže</w:t>
      </w:r>
    </w:p>
    <w:p w14:paraId="6F7B06A2" w14:textId="77777777" w:rsidR="00272890" w:rsidRPr="00F50C9D" w:rsidRDefault="00272890" w:rsidP="00FB33F7">
      <w:pPr>
        <w:pStyle w:val="PZTextpsmene"/>
        <w:spacing w:before="0"/>
        <w:rPr>
          <w:szCs w:val="24"/>
        </w:rPr>
      </w:pPr>
      <w:r w:rsidRPr="00F50C9D">
        <w:rPr>
          <w:szCs w:val="24"/>
        </w:rPr>
        <w:t>a)</w:t>
      </w:r>
      <w:r w:rsidRPr="00F50C9D">
        <w:rPr>
          <w:szCs w:val="24"/>
        </w:rPr>
        <w:tab/>
        <w:t>emitent akcií, které cenný papír zastupuje, splňuje podmínky stanovené v odstavci 1 písm. b) a e) a plní pro zastupované akcie informační povinnosti emitenta akcií přijatých k obchodování na oficiálním trhu,</w:t>
      </w:r>
    </w:p>
    <w:p w14:paraId="5DBA6E9C" w14:textId="77777777" w:rsidR="00272890" w:rsidRPr="00F50C9D" w:rsidRDefault="00272890" w:rsidP="00FB33F7">
      <w:pPr>
        <w:pStyle w:val="PZTextpsmene"/>
        <w:spacing w:before="0"/>
        <w:rPr>
          <w:szCs w:val="24"/>
        </w:rPr>
      </w:pPr>
      <w:r w:rsidRPr="00F50C9D">
        <w:rPr>
          <w:szCs w:val="24"/>
        </w:rPr>
        <w:t>b)</w:t>
      </w:r>
      <w:r w:rsidRPr="00F50C9D">
        <w:rPr>
          <w:szCs w:val="24"/>
        </w:rPr>
        <w:tab/>
        <w:t>splňují podmínky stanovené v odstavci 1 písm. f), g), i) až k) a v odstavci 4,</w:t>
      </w:r>
    </w:p>
    <w:p w14:paraId="543236F4" w14:textId="77777777" w:rsidR="00272890" w:rsidRPr="00F50C9D" w:rsidRDefault="00272890" w:rsidP="00FB33F7">
      <w:pPr>
        <w:pStyle w:val="PZTextpsmene"/>
        <w:spacing w:before="0"/>
        <w:rPr>
          <w:szCs w:val="24"/>
        </w:rPr>
      </w:pPr>
      <w:r w:rsidRPr="00F50C9D">
        <w:rPr>
          <w:szCs w:val="24"/>
        </w:rPr>
        <w:t>c)</w:t>
      </w:r>
      <w:r w:rsidRPr="00F50C9D">
        <w:rPr>
          <w:szCs w:val="24"/>
        </w:rPr>
        <w:tab/>
        <w:t>akcie, které cenný papír zastupuje, splňují podmínku stanovenou v odstavci 1 písm. c).</w:t>
      </w:r>
    </w:p>
    <w:p w14:paraId="25731824" w14:textId="6CFE3AE5" w:rsidR="00272890" w:rsidRPr="00F50C9D" w:rsidRDefault="00FB33F7" w:rsidP="0006588E">
      <w:pPr>
        <w:pStyle w:val="PZTextodstavce"/>
        <w:rPr>
          <w:szCs w:val="24"/>
        </w:rPr>
      </w:pPr>
      <w:r>
        <w:rPr>
          <w:szCs w:val="24"/>
        </w:rPr>
        <w:t xml:space="preserve">(3) </w:t>
      </w:r>
      <w:r w:rsidR="00272890" w:rsidRPr="00F50C9D">
        <w:rPr>
          <w:szCs w:val="24"/>
        </w:rPr>
        <w:t>Jestliže předmětem žádosti o přijetí k obchodování na oficiálním trhu jsou cenné papíry, se kterými je spojeno právo na získání cenných papírů představujících podíl na společnosti se sídlem v jiném členském státě Evropské unie, a cenné papíry představující podíl na společnosti jsou přijaty k obchodování na oficiálním trhu ve státě, ve kterém má jejich emitent sídlo, organizátor regulovaného trhu si před rozhodnutím o žádosti vyžádá stanovisko orgánu, který rozhodl o jejich přijetí k obchodování.</w:t>
      </w:r>
    </w:p>
    <w:p w14:paraId="4B71ED53" w14:textId="3FF270F3" w:rsidR="00272890" w:rsidRPr="00F50C9D" w:rsidRDefault="00FB33F7" w:rsidP="0006588E">
      <w:pPr>
        <w:pStyle w:val="PZTextodstavce"/>
        <w:rPr>
          <w:szCs w:val="24"/>
        </w:rPr>
      </w:pPr>
      <w:r>
        <w:rPr>
          <w:szCs w:val="24"/>
        </w:rPr>
        <w:t xml:space="preserve">(4) </w:t>
      </w:r>
      <w:r w:rsidR="00272890" w:rsidRPr="00F50C9D">
        <w:rPr>
          <w:szCs w:val="24"/>
        </w:rPr>
        <w:t>Jestliže jsou akcie nebo dluhopisy upisovány na základě veřejné nabídky, lze obchodování s nimi zahájit až po uplynutí lhůty pro upisování uvedené ve veřejné nabídce; to neplatí, pokud lhůta nebyla stanovena.</w:t>
      </w:r>
    </w:p>
    <w:p w14:paraId="6CAA7798" w14:textId="2BB02571" w:rsidR="00272890" w:rsidRPr="00F50C9D" w:rsidRDefault="00FB33F7" w:rsidP="0006588E">
      <w:pPr>
        <w:pStyle w:val="PZTextodstavce"/>
        <w:rPr>
          <w:szCs w:val="24"/>
        </w:rPr>
      </w:pPr>
      <w:r>
        <w:rPr>
          <w:szCs w:val="24"/>
        </w:rPr>
        <w:t xml:space="preserve">(5) </w:t>
      </w:r>
      <w:r w:rsidR="00272890" w:rsidRPr="00F50C9D">
        <w:rPr>
          <w:szCs w:val="24"/>
        </w:rPr>
        <w:t>Podmínky pro přijímání cenných papírů k obchodování na oficiálním trhu stanovené v odstavci 1 písm. b) až f), h), i) a l) až o) se nevztahují na státní dluhopisy vydané Českou republikou, členským státem Evropské unie nebo členským státem Organizace pro hospodářskou spolupráci a rozvoj, komunální dluhopisy nebo dluhopisy vydané subjekty mezinárodního práva.</w:t>
      </w:r>
    </w:p>
    <w:p w14:paraId="62BAF861" w14:textId="77777777" w:rsidR="00272890" w:rsidRPr="00F50C9D" w:rsidRDefault="00272890" w:rsidP="00FB33F7">
      <w:pPr>
        <w:widowControl w:val="0"/>
        <w:autoSpaceDE w:val="0"/>
        <w:autoSpaceDN w:val="0"/>
        <w:adjustRightInd w:val="0"/>
        <w:spacing w:after="120"/>
        <w:ind w:firstLine="0"/>
        <w:jc w:val="center"/>
        <w:rPr>
          <w:szCs w:val="24"/>
        </w:rPr>
      </w:pPr>
      <w:r w:rsidRPr="00F50C9D">
        <w:rPr>
          <w:szCs w:val="24"/>
        </w:rPr>
        <w:t>§ 73b</w:t>
      </w:r>
    </w:p>
    <w:p w14:paraId="39D78C50" w14:textId="6F18593E" w:rsidR="00272890" w:rsidRPr="00F50C9D" w:rsidRDefault="00FB33F7" w:rsidP="0006588E">
      <w:pPr>
        <w:pStyle w:val="PZTextodstavce"/>
        <w:rPr>
          <w:szCs w:val="24"/>
        </w:rPr>
      </w:pPr>
      <w:r>
        <w:rPr>
          <w:szCs w:val="24"/>
        </w:rPr>
        <w:t xml:space="preserve">(1) </w:t>
      </w:r>
      <w:r w:rsidR="00272890" w:rsidRPr="00F50C9D">
        <w:rPr>
          <w:szCs w:val="24"/>
        </w:rPr>
        <w:t xml:space="preserve">Trhem malých a středních podniků je mnohostranný obchodní systém zapsaný v seznamu trhů malých a středních podniků vedeném Českou národní bankou nebo orgánem dohledu jiného členského státu Evropské unie. Trhy malých a středních podniků jsou zapsány rovněž v seznamu trhů malých a středních podniků vedeném Evropským orgánem pro cenné papíry a trhy. Označení "trh malých a středních podniků" anebo srovnatelné nebo zaměnitelné označení smí být použito jen ve vztahu k trhu malých a středních podniků. </w:t>
      </w:r>
    </w:p>
    <w:p w14:paraId="1D2EA232" w14:textId="4772DBBC" w:rsidR="00272890" w:rsidRPr="00F50C9D" w:rsidRDefault="00FB33F7" w:rsidP="0006588E">
      <w:pPr>
        <w:pStyle w:val="PZTextodstavce"/>
        <w:rPr>
          <w:szCs w:val="24"/>
        </w:rPr>
      </w:pPr>
      <w:r>
        <w:rPr>
          <w:szCs w:val="24"/>
        </w:rPr>
        <w:t xml:space="preserve">(2) </w:t>
      </w:r>
      <w:r w:rsidR="00272890" w:rsidRPr="00F50C9D">
        <w:rPr>
          <w:szCs w:val="24"/>
        </w:rPr>
        <w:t xml:space="preserve">Česká národní banka zapíše mnohostranný obchodní systém do seznamu trhů malých a středních podniků na žádost provozovatele tohoto systému, jestliže jsou splněny tyto podmínky: </w:t>
      </w:r>
    </w:p>
    <w:p w14:paraId="2111166F" w14:textId="77777777" w:rsidR="00272890" w:rsidRPr="00F50C9D" w:rsidRDefault="00272890" w:rsidP="00FB33F7">
      <w:pPr>
        <w:pStyle w:val="PZTextpsmene"/>
        <w:spacing w:before="0"/>
        <w:rPr>
          <w:szCs w:val="24"/>
        </w:rPr>
      </w:pPr>
      <w:r w:rsidRPr="00F50C9D">
        <w:rPr>
          <w:szCs w:val="24"/>
        </w:rPr>
        <w:t>a)</w:t>
      </w:r>
      <w:r w:rsidRPr="00F50C9D">
        <w:rPr>
          <w:szCs w:val="24"/>
        </w:rPr>
        <w:tab/>
        <w:t xml:space="preserve">tento provozovatel systému má sídlo nebo skutečné sídlo v České republice, </w:t>
      </w:r>
    </w:p>
    <w:p w14:paraId="279651A1" w14:textId="77777777" w:rsidR="00272890" w:rsidRPr="00F50C9D" w:rsidRDefault="00272890" w:rsidP="00FB33F7">
      <w:pPr>
        <w:pStyle w:val="PZTextpsmene"/>
        <w:spacing w:before="0"/>
        <w:rPr>
          <w:szCs w:val="24"/>
        </w:rPr>
      </w:pPr>
      <w:r w:rsidRPr="00F50C9D">
        <w:rPr>
          <w:szCs w:val="24"/>
        </w:rPr>
        <w:t>b)</w:t>
      </w:r>
      <w:r w:rsidRPr="00F50C9D">
        <w:rPr>
          <w:szCs w:val="24"/>
        </w:rPr>
        <w:tab/>
        <w:t xml:space="preserve">alespoň polovina emitentů, jimiž vydávané investiční nástroje jsou přijaty k obchodování v tomto systému, jsou malé a střední podniky, </w:t>
      </w:r>
    </w:p>
    <w:p w14:paraId="4CC654E5" w14:textId="77777777" w:rsidR="00272890" w:rsidRPr="00F50C9D" w:rsidRDefault="00272890" w:rsidP="00FB33F7">
      <w:pPr>
        <w:pStyle w:val="PZTextpsmene"/>
        <w:spacing w:before="0"/>
        <w:rPr>
          <w:szCs w:val="24"/>
        </w:rPr>
      </w:pPr>
      <w:r w:rsidRPr="00F50C9D">
        <w:rPr>
          <w:szCs w:val="24"/>
        </w:rPr>
        <w:t>c)</w:t>
      </w:r>
      <w:r w:rsidRPr="00F50C9D">
        <w:rPr>
          <w:szCs w:val="24"/>
        </w:rPr>
        <w:tab/>
        <w:t xml:space="preserve">jsou stanovena vhodná kritéria pro počáteční a průběžné přijetí investičních nástrojů vydávaných emitenty podle písmene b) k obchodování v tomto systému, </w:t>
      </w:r>
    </w:p>
    <w:p w14:paraId="6FB3B300" w14:textId="77777777" w:rsidR="00272890" w:rsidRPr="00F50C9D" w:rsidRDefault="00272890" w:rsidP="00FB33F7">
      <w:pPr>
        <w:pStyle w:val="PZTextpsmene"/>
        <w:spacing w:before="0"/>
        <w:rPr>
          <w:szCs w:val="24"/>
        </w:rPr>
      </w:pPr>
      <w:r w:rsidRPr="00F50C9D">
        <w:rPr>
          <w:szCs w:val="24"/>
        </w:rPr>
        <w:t>d)</w:t>
      </w:r>
      <w:r w:rsidRPr="00F50C9D">
        <w:rPr>
          <w:szCs w:val="24"/>
        </w:rPr>
        <w:tab/>
        <w:t xml:space="preserve">při počátečním přijetí investičních nástrojů k obchodování v tomto systému je k dispozici dostatek uveřejněných informací, které investorům umožní učinit si informovaný úsudek o tom, zda do těchto investičních nástrojů investovat, a to v podobě buď </w:t>
      </w:r>
    </w:p>
    <w:p w14:paraId="5BE6F0B9" w14:textId="77777777" w:rsidR="00272890" w:rsidRPr="00F50C9D" w:rsidRDefault="00272890" w:rsidP="00FB33F7">
      <w:pPr>
        <w:pStyle w:val="PZTextbodu"/>
        <w:spacing w:before="0"/>
        <w:rPr>
          <w:szCs w:val="24"/>
        </w:rPr>
      </w:pPr>
      <w:r w:rsidRPr="00F50C9D">
        <w:rPr>
          <w:szCs w:val="24"/>
        </w:rPr>
        <w:t>1.</w:t>
      </w:r>
      <w:r w:rsidRPr="00F50C9D">
        <w:rPr>
          <w:szCs w:val="24"/>
        </w:rPr>
        <w:tab/>
        <w:t xml:space="preserve">prospektu, je-li nutno jej vyhotovit pro veřejnou nabídku činěnou v souvislosti s počátečním přijetím investičního nástroje k obchodování v tomto systému, nebo </w:t>
      </w:r>
    </w:p>
    <w:p w14:paraId="45ADCE6F" w14:textId="77777777" w:rsidR="00272890" w:rsidRPr="00F50C9D" w:rsidRDefault="00272890" w:rsidP="00FB33F7">
      <w:pPr>
        <w:pStyle w:val="PZTextbodu"/>
        <w:spacing w:before="0"/>
        <w:rPr>
          <w:szCs w:val="24"/>
        </w:rPr>
      </w:pPr>
      <w:r w:rsidRPr="00F50C9D">
        <w:rPr>
          <w:szCs w:val="24"/>
        </w:rPr>
        <w:t>2.</w:t>
      </w:r>
      <w:r w:rsidRPr="00F50C9D">
        <w:rPr>
          <w:szCs w:val="24"/>
        </w:rPr>
        <w:tab/>
        <w:t xml:space="preserve">řádného přijímacího dokumentu, </w:t>
      </w:r>
    </w:p>
    <w:p w14:paraId="37D56160" w14:textId="77777777" w:rsidR="00272890" w:rsidRPr="00F50C9D" w:rsidRDefault="00272890" w:rsidP="00FB33F7">
      <w:pPr>
        <w:pStyle w:val="PZTextpsmene"/>
        <w:spacing w:before="0"/>
        <w:rPr>
          <w:szCs w:val="24"/>
        </w:rPr>
      </w:pPr>
      <w:r w:rsidRPr="00F50C9D">
        <w:rPr>
          <w:szCs w:val="24"/>
        </w:rPr>
        <w:t>e)</w:t>
      </w:r>
      <w:r w:rsidRPr="00F50C9D">
        <w:rPr>
          <w:szCs w:val="24"/>
        </w:rPr>
        <w:tab/>
        <w:t xml:space="preserve">emitenti podle písmene b), nebo osoby jednající jejich jménem, pravidelně hlásí přiměřené finanční údaje, zejména </w:t>
      </w:r>
      <w:r w:rsidRPr="00F50C9D">
        <w:rPr>
          <w:strike/>
          <w:szCs w:val="24"/>
        </w:rPr>
        <w:t>auditorem ověřené</w:t>
      </w:r>
      <w:r w:rsidRPr="00F50C9D">
        <w:rPr>
          <w:szCs w:val="24"/>
        </w:rPr>
        <w:t xml:space="preserve"> </w:t>
      </w:r>
      <w:r w:rsidRPr="00F50C9D">
        <w:rPr>
          <w:strike/>
          <w:szCs w:val="24"/>
        </w:rPr>
        <w:t>výroční zprávy a konsolidované výroční zprávy</w:t>
      </w:r>
      <w:r w:rsidRPr="00F50C9D">
        <w:rPr>
          <w:b/>
          <w:szCs w:val="24"/>
        </w:rPr>
        <w:t xml:space="preserve"> řádné</w:t>
      </w:r>
      <w:r w:rsidRPr="00F50C9D">
        <w:rPr>
          <w:szCs w:val="24"/>
        </w:rPr>
        <w:t xml:space="preserve"> </w:t>
      </w:r>
      <w:r w:rsidRPr="00F50C9D">
        <w:rPr>
          <w:b/>
          <w:szCs w:val="24"/>
        </w:rPr>
        <w:t xml:space="preserve">účetní závěrky a zprávy podle zákona upravujícího účetnictví, jsou-li </w:t>
      </w:r>
      <w:r w:rsidRPr="00F50C9D">
        <w:rPr>
          <w:b/>
          <w:szCs w:val="24"/>
        </w:rPr>
        <w:lastRenderedPageBreak/>
        <w:t>vyhotovovány, a to ve znění, v jakém byly ověřeny auditorem, a zprávy o jejich ověření, jsou-li ověřovány</w:t>
      </w:r>
      <w:r w:rsidRPr="00F50C9D">
        <w:rPr>
          <w:szCs w:val="24"/>
        </w:rPr>
        <w:t>,</w:t>
      </w:r>
    </w:p>
    <w:p w14:paraId="10056CAE" w14:textId="77777777" w:rsidR="00272890" w:rsidRPr="00F50C9D" w:rsidRDefault="00272890" w:rsidP="00FB33F7">
      <w:pPr>
        <w:pStyle w:val="PZTextpsmene"/>
        <w:spacing w:before="0"/>
        <w:rPr>
          <w:szCs w:val="24"/>
        </w:rPr>
      </w:pPr>
      <w:r w:rsidRPr="00F50C9D">
        <w:rPr>
          <w:szCs w:val="24"/>
        </w:rPr>
        <w:t>f)</w:t>
      </w:r>
      <w:r w:rsidRPr="00F50C9D">
        <w:rPr>
          <w:szCs w:val="24"/>
        </w:rPr>
        <w:tab/>
        <w:t xml:space="preserve">emitenti podle </w:t>
      </w:r>
      <w:hyperlink r:id="rId32" w:history="1">
        <w:r w:rsidRPr="00F50C9D">
          <w:rPr>
            <w:szCs w:val="24"/>
          </w:rPr>
          <w:t>čl. 3 odst. 1</w:t>
        </w:r>
      </w:hyperlink>
      <w:r w:rsidRPr="00F50C9D">
        <w:rPr>
          <w:szCs w:val="24"/>
        </w:rPr>
        <w:t xml:space="preserve"> bodu 21 nařízení Evropského parlamentu a Rady (EU) č. </w:t>
      </w:r>
      <w:hyperlink r:id="rId33" w:history="1">
        <w:r w:rsidRPr="00F50C9D">
          <w:rPr>
            <w:szCs w:val="24"/>
          </w:rPr>
          <w:t>596/2014</w:t>
        </w:r>
      </w:hyperlink>
      <w:r w:rsidRPr="00F50C9D">
        <w:rPr>
          <w:szCs w:val="24"/>
        </w:rPr>
        <w:t xml:space="preserve"> uvedení v písmeni b), osoby s řídící pravomocí těchto emitentů podle </w:t>
      </w:r>
      <w:hyperlink r:id="rId34" w:history="1">
        <w:r w:rsidRPr="00F50C9D">
          <w:rPr>
            <w:szCs w:val="24"/>
          </w:rPr>
          <w:t>čl. 3 odst. 1</w:t>
        </w:r>
      </w:hyperlink>
      <w:r w:rsidRPr="00F50C9D">
        <w:rPr>
          <w:szCs w:val="24"/>
        </w:rPr>
        <w:t xml:space="preserve"> bodu 25 nařízení Evropského parlamentu a Rady (EU) č. </w:t>
      </w:r>
      <w:hyperlink r:id="rId35" w:history="1">
        <w:r w:rsidRPr="00F50C9D">
          <w:rPr>
            <w:szCs w:val="24"/>
          </w:rPr>
          <w:t>596/2014</w:t>
        </w:r>
      </w:hyperlink>
      <w:r w:rsidRPr="00F50C9D">
        <w:rPr>
          <w:szCs w:val="24"/>
        </w:rPr>
        <w:t xml:space="preserve"> a osoby úzce propojené s těmito emitenty podle </w:t>
      </w:r>
      <w:hyperlink r:id="rId36" w:history="1">
        <w:r w:rsidRPr="00F50C9D">
          <w:rPr>
            <w:szCs w:val="24"/>
          </w:rPr>
          <w:t>čl. 3 odst. 1</w:t>
        </w:r>
      </w:hyperlink>
      <w:r w:rsidRPr="00F50C9D">
        <w:rPr>
          <w:szCs w:val="24"/>
        </w:rPr>
        <w:t xml:space="preserve"> bodu 26 nařízení Evropského parlamentu a Rady (EU) č. </w:t>
      </w:r>
      <w:hyperlink r:id="rId37" w:history="1">
        <w:r w:rsidRPr="00F50C9D">
          <w:rPr>
            <w:szCs w:val="24"/>
          </w:rPr>
          <w:t>596/2014</w:t>
        </w:r>
      </w:hyperlink>
      <w:r w:rsidRPr="00F50C9D">
        <w:rPr>
          <w:szCs w:val="24"/>
        </w:rPr>
        <w:t xml:space="preserve"> dodržují požadavky podle tohoto nařízení,</w:t>
      </w:r>
    </w:p>
    <w:p w14:paraId="3B2709A8" w14:textId="77777777" w:rsidR="00272890" w:rsidRPr="00F50C9D" w:rsidRDefault="00272890" w:rsidP="00FB33F7">
      <w:pPr>
        <w:pStyle w:val="PZTextpsmene"/>
        <w:spacing w:before="0"/>
        <w:rPr>
          <w:szCs w:val="24"/>
        </w:rPr>
      </w:pPr>
      <w:r w:rsidRPr="00F50C9D">
        <w:rPr>
          <w:szCs w:val="24"/>
        </w:rPr>
        <w:t>g)</w:t>
      </w:r>
      <w:r w:rsidRPr="00F50C9D">
        <w:rPr>
          <w:szCs w:val="24"/>
        </w:rPr>
        <w:tab/>
        <w:t>informace týkající se emitentů podle písmene b), které mají být povinně uveřejňovány, jsou ukládány a veřejně šířeny, a</w:t>
      </w:r>
    </w:p>
    <w:p w14:paraId="63AA3F95" w14:textId="77777777" w:rsidR="00272890" w:rsidRPr="00F50C9D" w:rsidRDefault="00272890" w:rsidP="00FB33F7">
      <w:pPr>
        <w:pStyle w:val="PZTextpsmene"/>
        <w:spacing w:before="0"/>
        <w:rPr>
          <w:szCs w:val="24"/>
        </w:rPr>
      </w:pPr>
      <w:r w:rsidRPr="00F50C9D">
        <w:rPr>
          <w:szCs w:val="24"/>
        </w:rPr>
        <w:t>h)</w:t>
      </w:r>
      <w:r w:rsidRPr="00F50C9D">
        <w:rPr>
          <w:szCs w:val="24"/>
        </w:rPr>
        <w:tab/>
        <w:t>provozovatel tohoto systému má zavedeny, udržovány a uplatňovány účinné systémy a kontroly za účelem zabránění a odhalení zneužívání trhu podle nařízení Evropského parlamentu a Rady č. 596/2014.</w:t>
      </w:r>
    </w:p>
    <w:p w14:paraId="155610E5" w14:textId="00619102" w:rsidR="00272890" w:rsidRPr="00F50C9D" w:rsidRDefault="00FB33F7" w:rsidP="0006588E">
      <w:pPr>
        <w:pStyle w:val="PZTextodstavce"/>
        <w:rPr>
          <w:szCs w:val="24"/>
        </w:rPr>
      </w:pPr>
      <w:r>
        <w:rPr>
          <w:szCs w:val="24"/>
        </w:rPr>
        <w:t xml:space="preserve">(3) </w:t>
      </w:r>
      <w:r w:rsidR="00272890" w:rsidRPr="00F50C9D">
        <w:rPr>
          <w:szCs w:val="24"/>
        </w:rPr>
        <w:t>Provozovatel mnohostranného obchodního systému, který je zapsaný v seznamu trhů malých a středních podniků vedeném Českou národní bankou, trvale dodržuje podmínky podle odstavce 2.</w:t>
      </w:r>
    </w:p>
    <w:p w14:paraId="21D2EBE6" w14:textId="61E61ED3" w:rsidR="00272890" w:rsidRPr="00F50C9D" w:rsidRDefault="00FB33F7" w:rsidP="0006588E">
      <w:pPr>
        <w:pStyle w:val="PZTextodstavce"/>
        <w:rPr>
          <w:i/>
          <w:szCs w:val="24"/>
        </w:rPr>
      </w:pPr>
      <w:r>
        <w:rPr>
          <w:szCs w:val="24"/>
        </w:rPr>
        <w:t xml:space="preserve">(4) </w:t>
      </w:r>
      <w:r w:rsidR="00272890" w:rsidRPr="00F50C9D">
        <w:rPr>
          <w:szCs w:val="24"/>
        </w:rPr>
        <w:t xml:space="preserve">Malým a středním podnikem se pro účely tohoto zákona rozumí takový emitent, který má na základě kotací na konci roku za předchozí 3 kalendářní roky průměrnou tržní kapitalizaci nižší než 200 000 000 EUR. </w:t>
      </w:r>
    </w:p>
    <w:p w14:paraId="33B08DB4" w14:textId="710AD66D" w:rsidR="00272890" w:rsidRPr="00F50C9D" w:rsidRDefault="00FB33F7" w:rsidP="0006588E">
      <w:pPr>
        <w:pStyle w:val="PZTextodstavce"/>
        <w:rPr>
          <w:color w:val="000000" w:themeColor="text1"/>
          <w:szCs w:val="24"/>
        </w:rPr>
      </w:pPr>
      <w:r>
        <w:rPr>
          <w:color w:val="000000" w:themeColor="text1"/>
          <w:szCs w:val="24"/>
        </w:rPr>
        <w:t xml:space="preserve">(5) </w:t>
      </w:r>
      <w:r w:rsidR="00272890" w:rsidRPr="00F50C9D">
        <w:rPr>
          <w:color w:val="000000" w:themeColor="text1"/>
          <w:szCs w:val="24"/>
        </w:rPr>
        <w:t>Upřesnění podmínek podle odstavce 2 upravují čl. 78 a 79 nařízení Komise v přenesené pravomoci (EU) 2017/565.</w:t>
      </w:r>
    </w:p>
    <w:p w14:paraId="1739003E" w14:textId="77777777" w:rsidR="00272890" w:rsidRPr="00F50C9D" w:rsidRDefault="00272890" w:rsidP="00FB33F7">
      <w:pPr>
        <w:keepNext/>
        <w:widowControl w:val="0"/>
        <w:spacing w:after="120"/>
        <w:ind w:firstLine="0"/>
        <w:jc w:val="center"/>
        <w:rPr>
          <w:bCs/>
          <w:strike/>
          <w:szCs w:val="24"/>
        </w:rPr>
      </w:pPr>
      <w:r w:rsidRPr="00F50C9D">
        <w:rPr>
          <w:bCs/>
          <w:strike/>
          <w:szCs w:val="24"/>
        </w:rPr>
        <w:t>§ 90k</w:t>
      </w:r>
    </w:p>
    <w:p w14:paraId="00CB19CD" w14:textId="77777777" w:rsidR="00272890" w:rsidRPr="00F50C9D" w:rsidRDefault="00272890" w:rsidP="00272890">
      <w:pPr>
        <w:pStyle w:val="PZTextodstavce"/>
        <w:spacing w:before="240"/>
        <w:rPr>
          <w:b/>
          <w:bCs/>
          <w:strike/>
          <w:szCs w:val="24"/>
        </w:rPr>
      </w:pPr>
      <w:r w:rsidRPr="00F50C9D">
        <w:rPr>
          <w:bCs/>
          <w:strike/>
          <w:szCs w:val="24"/>
        </w:rPr>
        <w:t>Poskytovatel služeb skupinového financování nejpozději do 4 měsíců po skončení účetního období předloží České národní bance</w:t>
      </w:r>
      <w:r w:rsidRPr="00F50C9D">
        <w:rPr>
          <w:b/>
          <w:bCs/>
          <w:strike/>
          <w:szCs w:val="24"/>
        </w:rPr>
        <w:t xml:space="preserve"> </w:t>
      </w:r>
      <w:r w:rsidRPr="00F50C9D">
        <w:rPr>
          <w:bCs/>
          <w:strike/>
          <w:szCs w:val="24"/>
        </w:rPr>
        <w:t>účetní závěrku</w:t>
      </w:r>
      <w:r w:rsidRPr="00F50C9D">
        <w:rPr>
          <w:b/>
          <w:bCs/>
          <w:strike/>
          <w:szCs w:val="24"/>
        </w:rPr>
        <w:t xml:space="preserve"> </w:t>
      </w:r>
      <w:r w:rsidRPr="00F50C9D">
        <w:rPr>
          <w:bCs/>
          <w:strike/>
          <w:szCs w:val="24"/>
        </w:rPr>
        <w:t>nebo konsolidovanou účetní závěrku ověřenou auditorem</w:t>
      </w:r>
      <w:r w:rsidRPr="00F50C9D">
        <w:rPr>
          <w:strike/>
          <w:szCs w:val="24"/>
        </w:rPr>
        <w:t>.</w:t>
      </w:r>
    </w:p>
    <w:p w14:paraId="0AA987B2" w14:textId="77777777" w:rsidR="00272890" w:rsidRPr="00F50C9D" w:rsidRDefault="00272890" w:rsidP="00FB33F7">
      <w:pPr>
        <w:spacing w:after="120"/>
        <w:ind w:firstLine="0"/>
        <w:jc w:val="center"/>
        <w:rPr>
          <w:b/>
          <w:bCs/>
          <w:szCs w:val="24"/>
        </w:rPr>
      </w:pPr>
      <w:r w:rsidRPr="00F50C9D">
        <w:rPr>
          <w:b/>
          <w:bCs/>
          <w:szCs w:val="24"/>
        </w:rPr>
        <w:t xml:space="preserve">§ </w:t>
      </w:r>
      <w:r w:rsidRPr="00F50C9D">
        <w:rPr>
          <w:b/>
          <w:szCs w:val="24"/>
        </w:rPr>
        <w:t>90k</w:t>
      </w:r>
    </w:p>
    <w:p w14:paraId="24C77050" w14:textId="77777777" w:rsidR="00272890" w:rsidRPr="00F50C9D" w:rsidRDefault="00272890" w:rsidP="00272890">
      <w:pPr>
        <w:pStyle w:val="PZTextodstavce"/>
        <w:spacing w:before="240"/>
        <w:rPr>
          <w:i/>
          <w:szCs w:val="24"/>
        </w:rPr>
      </w:pPr>
      <w:r w:rsidRPr="00F50C9D">
        <w:rPr>
          <w:b/>
          <w:bCs/>
          <w:szCs w:val="24"/>
        </w:rPr>
        <w:t>Poskytovatel služeb skupinového financování má povinnost auditu řádné účetní závěrky. Poskytovatel služeb skupinového financování nejpozději do 4 měsíců po skončení účetního období zveřejní svou řádnou účetní závěrku, zprávy podle zákona upravujícího účetnictví, jsou-li vyhotovovány, a zprávy o jejich ověření, jsou-li ověřovány.</w:t>
      </w:r>
    </w:p>
    <w:p w14:paraId="122C7855" w14:textId="77777777" w:rsidR="00272890" w:rsidRPr="00F50C9D" w:rsidRDefault="00272890" w:rsidP="00FB33F7">
      <w:pPr>
        <w:spacing w:after="120"/>
        <w:ind w:firstLine="0"/>
        <w:jc w:val="center"/>
        <w:rPr>
          <w:szCs w:val="24"/>
        </w:rPr>
      </w:pPr>
      <w:r w:rsidRPr="00F50C9D">
        <w:rPr>
          <w:szCs w:val="24"/>
        </w:rPr>
        <w:t>§ 118</w:t>
      </w:r>
    </w:p>
    <w:p w14:paraId="4F1106BE" w14:textId="77777777" w:rsidR="00272890" w:rsidRPr="00F50C9D" w:rsidRDefault="00272890" w:rsidP="00FB33F7">
      <w:pPr>
        <w:spacing w:after="120"/>
        <w:ind w:firstLine="0"/>
        <w:jc w:val="center"/>
        <w:rPr>
          <w:b/>
          <w:szCs w:val="24"/>
        </w:rPr>
      </w:pPr>
      <w:r w:rsidRPr="00F50C9D">
        <w:rPr>
          <w:b/>
          <w:szCs w:val="24"/>
        </w:rPr>
        <w:t>Výroční finanční zpráva emitenta</w:t>
      </w:r>
    </w:p>
    <w:p w14:paraId="5B3C8F82" w14:textId="299A2C6B" w:rsidR="00272890" w:rsidRPr="00F50C9D" w:rsidRDefault="00FB33F7" w:rsidP="0006588E">
      <w:pPr>
        <w:pStyle w:val="PZTextodstavce"/>
        <w:rPr>
          <w:szCs w:val="24"/>
        </w:rPr>
      </w:pPr>
      <w:r>
        <w:rPr>
          <w:szCs w:val="24"/>
        </w:rPr>
        <w:t xml:space="preserve">(1) </w:t>
      </w:r>
      <w:r w:rsidR="00272890" w:rsidRPr="00F50C9D">
        <w:rPr>
          <w:szCs w:val="24"/>
        </w:rPr>
        <w:t>Výroční finanční zprávu je povinen nejpozději do 4 měsíců po skončení účetního období uveřejnit emitent</w:t>
      </w:r>
    </w:p>
    <w:p w14:paraId="3D5A66B6" w14:textId="77777777" w:rsidR="00272890" w:rsidRPr="00F50C9D" w:rsidRDefault="00272890" w:rsidP="00FB33F7">
      <w:pPr>
        <w:pStyle w:val="PZTextpsmene"/>
        <w:spacing w:before="0"/>
        <w:rPr>
          <w:szCs w:val="24"/>
        </w:rPr>
      </w:pPr>
      <w:r w:rsidRPr="00F50C9D">
        <w:rPr>
          <w:szCs w:val="24"/>
        </w:rPr>
        <w:t>a)</w:t>
      </w:r>
      <w:r w:rsidRPr="00F50C9D">
        <w:rPr>
          <w:szCs w:val="24"/>
        </w:rPr>
        <w:tab/>
        <w:t>akcie nebo obdobného cenného papíru představujícího podíl na tomto emitentovi, je-li tento cenný papír přijat k obchodování na evropském regulovaném trhu a má-li tento emitent sídlo na území</w:t>
      </w:r>
    </w:p>
    <w:p w14:paraId="502330F4" w14:textId="77777777" w:rsidR="00272890" w:rsidRPr="00F50C9D" w:rsidRDefault="00272890" w:rsidP="00FB33F7">
      <w:pPr>
        <w:pStyle w:val="PZTextbodu"/>
        <w:spacing w:before="0"/>
        <w:rPr>
          <w:szCs w:val="24"/>
        </w:rPr>
      </w:pPr>
      <w:r w:rsidRPr="00F50C9D">
        <w:rPr>
          <w:szCs w:val="24"/>
        </w:rPr>
        <w:t>1.</w:t>
      </w:r>
      <w:r w:rsidRPr="00F50C9D">
        <w:rPr>
          <w:szCs w:val="24"/>
        </w:rPr>
        <w:tab/>
        <w:t>České republiky, nebo</w:t>
      </w:r>
    </w:p>
    <w:p w14:paraId="7119DC80" w14:textId="77777777" w:rsidR="00272890" w:rsidRPr="00F50C9D" w:rsidRDefault="00272890" w:rsidP="00FB33F7">
      <w:pPr>
        <w:pStyle w:val="PZTextbodu"/>
        <w:spacing w:before="0"/>
        <w:rPr>
          <w:szCs w:val="24"/>
        </w:rPr>
      </w:pPr>
      <w:r w:rsidRPr="00F50C9D">
        <w:rPr>
          <w:szCs w:val="24"/>
        </w:rPr>
        <w:t>2.</w:t>
      </w:r>
      <w:r w:rsidRPr="00F50C9D">
        <w:rPr>
          <w:szCs w:val="24"/>
        </w:rPr>
        <w:tab/>
        <w:t xml:space="preserve">státu, který není členským státem Evropské unie, zvolil-li si tento emitent Českou republiku za referenční stát (§ 123), </w:t>
      </w:r>
    </w:p>
    <w:p w14:paraId="082D0EDE" w14:textId="77777777" w:rsidR="00272890" w:rsidRPr="00F50C9D" w:rsidRDefault="00272890" w:rsidP="00FB33F7">
      <w:pPr>
        <w:pStyle w:val="PZTextpsmene"/>
        <w:spacing w:before="0"/>
        <w:rPr>
          <w:szCs w:val="24"/>
        </w:rPr>
      </w:pPr>
      <w:r w:rsidRPr="00F50C9D">
        <w:rPr>
          <w:szCs w:val="24"/>
        </w:rPr>
        <w:t>b)</w:t>
      </w:r>
      <w:r w:rsidRPr="00F50C9D">
        <w:rPr>
          <w:szCs w:val="24"/>
        </w:rPr>
        <w:tab/>
        <w:t xml:space="preserve">dluhopisu nebo obdobného cenného papíru představujícího právo na splacení dlužné částky tímto emitentem nebo jiného investičního cenného papíru, jehož hodnota se vztahuje ke splacení dlužné částky tímto emitentem, včetně </w:t>
      </w:r>
      <w:proofErr w:type="spellStart"/>
      <w:r w:rsidRPr="00F50C9D">
        <w:rPr>
          <w:szCs w:val="24"/>
        </w:rPr>
        <w:t>sekuritizovaného</w:t>
      </w:r>
      <w:proofErr w:type="spellEnd"/>
      <w:r w:rsidRPr="00F50C9D">
        <w:rPr>
          <w:szCs w:val="24"/>
        </w:rPr>
        <w:t xml:space="preserve"> dluhu, není-li jmenovitá </w:t>
      </w:r>
      <w:r w:rsidRPr="00F50C9D">
        <w:rPr>
          <w:szCs w:val="24"/>
        </w:rPr>
        <w:lastRenderedPageBreak/>
        <w:t>hodnota tohoto cenného papíru k datu jeho emise téměř rovna nebo vyšší než částka odpovídající 1 000 EUR, je-li tento cenný papír přijat k obchodování na evropském regulovaném trhu a má-li tento emitent sídlo na území</w:t>
      </w:r>
    </w:p>
    <w:p w14:paraId="43A01192" w14:textId="77777777" w:rsidR="00272890" w:rsidRPr="00F50C9D" w:rsidRDefault="00272890" w:rsidP="00FB33F7">
      <w:pPr>
        <w:pStyle w:val="PZTextbodu"/>
        <w:spacing w:before="0"/>
        <w:rPr>
          <w:szCs w:val="24"/>
        </w:rPr>
      </w:pPr>
      <w:r w:rsidRPr="00F50C9D">
        <w:rPr>
          <w:szCs w:val="24"/>
        </w:rPr>
        <w:t>1.</w:t>
      </w:r>
      <w:r w:rsidRPr="00F50C9D">
        <w:rPr>
          <w:szCs w:val="24"/>
        </w:rPr>
        <w:tab/>
        <w:t>České republiky, nebo</w:t>
      </w:r>
    </w:p>
    <w:p w14:paraId="6ECEED58" w14:textId="77777777" w:rsidR="00272890" w:rsidRPr="00F50C9D" w:rsidRDefault="00272890" w:rsidP="00FB33F7">
      <w:pPr>
        <w:pStyle w:val="PZTextbodu"/>
        <w:spacing w:before="0"/>
        <w:rPr>
          <w:szCs w:val="24"/>
        </w:rPr>
      </w:pPr>
      <w:r w:rsidRPr="00F50C9D">
        <w:rPr>
          <w:szCs w:val="24"/>
        </w:rPr>
        <w:t>2.</w:t>
      </w:r>
      <w:r w:rsidRPr="00F50C9D">
        <w:rPr>
          <w:szCs w:val="24"/>
        </w:rPr>
        <w:tab/>
        <w:t>státu, který není členským státem Evropské unie, zvolil-li si tento emitent Českou republiku za referenční stát,</w:t>
      </w:r>
    </w:p>
    <w:p w14:paraId="13744AF9" w14:textId="77777777" w:rsidR="00272890" w:rsidRPr="00F50C9D" w:rsidRDefault="00272890" w:rsidP="00FB33F7">
      <w:pPr>
        <w:pStyle w:val="PZTextpsmene"/>
        <w:spacing w:before="0"/>
        <w:rPr>
          <w:szCs w:val="24"/>
        </w:rPr>
      </w:pPr>
      <w:r w:rsidRPr="00F50C9D">
        <w:rPr>
          <w:szCs w:val="24"/>
        </w:rPr>
        <w:t>c)</w:t>
      </w:r>
      <w:r w:rsidRPr="00F50C9D">
        <w:rPr>
          <w:szCs w:val="24"/>
        </w:rPr>
        <w:tab/>
        <w:t xml:space="preserve">dluhopisu nebo obdobného cenného papíru představujícího právo na splacení dlužné částky tímto emitentem nebo jiného investičního cenného papíru, jehož hodnota se vztahuje ke splacení dlužné částky tímto emitentem, včetně </w:t>
      </w:r>
      <w:proofErr w:type="spellStart"/>
      <w:r w:rsidRPr="00F50C9D">
        <w:rPr>
          <w:szCs w:val="24"/>
        </w:rPr>
        <w:t>sekuritizovaného</w:t>
      </w:r>
      <w:proofErr w:type="spellEnd"/>
      <w:r w:rsidRPr="00F50C9D">
        <w:rPr>
          <w:szCs w:val="24"/>
        </w:rPr>
        <w:t xml:space="preserve"> dluhu, je-li jmenovitá hodnota tohoto cenného papíru k datu jeho emise téměř rovna nebo vyšší než částka odpovídající 1 000 EUR, je-li tento cenný papír přijat k obchodování na evropském regulovaném trhu a zvolil-li si tento emitent Českou republiku za referenční stát, nebo</w:t>
      </w:r>
    </w:p>
    <w:p w14:paraId="6F6CEBA0" w14:textId="77777777" w:rsidR="00272890" w:rsidRPr="00F50C9D" w:rsidRDefault="00272890" w:rsidP="00FB33F7">
      <w:pPr>
        <w:pStyle w:val="PZTextpsmene"/>
        <w:spacing w:before="0"/>
        <w:rPr>
          <w:szCs w:val="24"/>
        </w:rPr>
      </w:pPr>
      <w:r w:rsidRPr="00F50C9D">
        <w:rPr>
          <w:szCs w:val="24"/>
        </w:rPr>
        <w:t>d)</w:t>
      </w:r>
      <w:r w:rsidRPr="00F50C9D">
        <w:rPr>
          <w:szCs w:val="24"/>
        </w:rPr>
        <w:tab/>
        <w:t xml:space="preserve">jiného investičního cenného papíru, je-li tento cenný papír přijat k obchodování na evropském regulovaném trhu a zvolil-li si tento emitent Českou republiku za referenční stát. </w:t>
      </w:r>
    </w:p>
    <w:p w14:paraId="409849AB" w14:textId="36AFE4EB" w:rsidR="00272890" w:rsidRPr="00F50C9D" w:rsidRDefault="00FB33F7" w:rsidP="0006588E">
      <w:pPr>
        <w:pStyle w:val="PZTextodstavce"/>
        <w:rPr>
          <w:strike/>
          <w:szCs w:val="24"/>
        </w:rPr>
      </w:pPr>
      <w:r>
        <w:rPr>
          <w:strike/>
          <w:szCs w:val="24"/>
        </w:rPr>
        <w:t xml:space="preserve">(2) </w:t>
      </w:r>
      <w:r w:rsidR="00272890" w:rsidRPr="00F50C9D">
        <w:rPr>
          <w:strike/>
          <w:szCs w:val="24"/>
        </w:rPr>
        <w:t>Výroční finanční zpráva emitenta je nedílný celek a tvoří ji vždy</w:t>
      </w:r>
    </w:p>
    <w:p w14:paraId="2D4EF85E" w14:textId="77777777" w:rsidR="00272890" w:rsidRPr="00F50C9D" w:rsidRDefault="00272890" w:rsidP="00FB33F7">
      <w:pPr>
        <w:pStyle w:val="PZTextpsmene"/>
        <w:spacing w:before="0"/>
        <w:rPr>
          <w:strike/>
          <w:szCs w:val="24"/>
        </w:rPr>
      </w:pPr>
      <w:r w:rsidRPr="00F50C9D">
        <w:rPr>
          <w:strike/>
          <w:szCs w:val="24"/>
        </w:rPr>
        <w:t>a)</w:t>
      </w:r>
      <w:r w:rsidRPr="00F50C9D">
        <w:rPr>
          <w:strike/>
          <w:szCs w:val="24"/>
        </w:rPr>
        <w:tab/>
        <w:t>účetní závěrka ověřená auditorem a konsolidovaná účetní závěrka ověřená auditorem, má-li emitent povinnost ji sestavovat,</w:t>
      </w:r>
    </w:p>
    <w:p w14:paraId="499B006B" w14:textId="77777777" w:rsidR="00272890" w:rsidRPr="00F50C9D" w:rsidRDefault="00272890" w:rsidP="00FB33F7">
      <w:pPr>
        <w:pStyle w:val="PZTextpsmene"/>
        <w:spacing w:before="0"/>
        <w:rPr>
          <w:strike/>
          <w:szCs w:val="24"/>
        </w:rPr>
      </w:pPr>
      <w:r w:rsidRPr="00F50C9D">
        <w:rPr>
          <w:strike/>
          <w:szCs w:val="24"/>
        </w:rPr>
        <w:t>b)</w:t>
      </w:r>
      <w:r w:rsidRPr="00F50C9D">
        <w:rPr>
          <w:strike/>
          <w:szCs w:val="24"/>
        </w:rPr>
        <w:tab/>
        <w:t>výroční zpráva podle zákona upravujícího účetnictví nebo konsolidovaná výroční zpráva podle zákona upravujícího účetnictví, má-li emitent povinnost sestavovat konsolidovanou účetní závěrku; na výroční finanční zprávu emitenta se hledí jako na výroční zprávu podle zákona upravujícího účetnictví nebo jako na konsolidovanou výroční zprávu podle zákona upravujícího účetnictví, má-li emitent povinnost sestavovat konsolidovanou účetní závěrku, a</w:t>
      </w:r>
    </w:p>
    <w:p w14:paraId="5A6BF3A5" w14:textId="77777777" w:rsidR="00272890" w:rsidRPr="00F50C9D" w:rsidRDefault="00272890" w:rsidP="00FB33F7">
      <w:pPr>
        <w:pStyle w:val="PZTextpsmene"/>
        <w:spacing w:before="0"/>
        <w:rPr>
          <w:strike/>
          <w:szCs w:val="24"/>
        </w:rPr>
      </w:pPr>
      <w:r w:rsidRPr="00F50C9D">
        <w:rPr>
          <w:strike/>
          <w:szCs w:val="24"/>
        </w:rPr>
        <w:t xml:space="preserve">c) </w:t>
      </w:r>
      <w:r w:rsidRPr="00F50C9D">
        <w:rPr>
          <w:strike/>
          <w:szCs w:val="24"/>
        </w:rPr>
        <w:tab/>
        <w:t>prohlášení odpovědných osob emitenta, spolu s uvedením jejich jmen a funkcí, že podle jejich nejlepšího vědomí</w:t>
      </w:r>
    </w:p>
    <w:p w14:paraId="7A6ED48F" w14:textId="77777777" w:rsidR="00272890" w:rsidRPr="00F50C9D" w:rsidRDefault="00272890" w:rsidP="00FB33F7">
      <w:pPr>
        <w:pStyle w:val="PZTextbodu"/>
        <w:spacing w:before="0"/>
        <w:rPr>
          <w:strike/>
          <w:szCs w:val="24"/>
        </w:rPr>
      </w:pPr>
      <w:r w:rsidRPr="00F50C9D">
        <w:rPr>
          <w:strike/>
          <w:szCs w:val="24"/>
        </w:rPr>
        <w:t>1.</w:t>
      </w:r>
      <w:r w:rsidRPr="00F50C9D">
        <w:rPr>
          <w:strike/>
          <w:szCs w:val="24"/>
        </w:rPr>
        <w:tab/>
        <w:t>účetní závěrka a konsolidovaná účetní závěrka, má-li emitent povinnost ji sestavovat, vypracovaná v souladu s platným souborem účetních standardů, podává věrný a poctivý obraz o majetku, závazcích, finanční situaci a výsledku hospodaření emitenta a jednotek zahrnutých do konsolidace jako celku,</w:t>
      </w:r>
    </w:p>
    <w:p w14:paraId="08DD6711" w14:textId="77777777" w:rsidR="00272890" w:rsidRPr="00F50C9D" w:rsidRDefault="00272890" w:rsidP="00FB33F7">
      <w:pPr>
        <w:pStyle w:val="PZTextbodu"/>
        <w:spacing w:before="0"/>
        <w:rPr>
          <w:strike/>
          <w:szCs w:val="24"/>
        </w:rPr>
      </w:pPr>
      <w:r w:rsidRPr="00F50C9D">
        <w:rPr>
          <w:strike/>
          <w:szCs w:val="24"/>
        </w:rPr>
        <w:t>2.</w:t>
      </w:r>
      <w:r w:rsidRPr="00F50C9D">
        <w:rPr>
          <w:strike/>
          <w:szCs w:val="24"/>
        </w:rPr>
        <w:tab/>
        <w:t>výroční zpráva podle zákona upravujícího účetnictví nebo konsolidovaná výroční zpráva podle zákona upravujícího účetnictví obsahuje věrný přehled vývoje a výsledků emitenta a postavení emitenta a jednotek zahrnutých do konsolidace jako celku, spolu s popisem hlavních rizik a nejistot, kterým čelí, a</w:t>
      </w:r>
    </w:p>
    <w:p w14:paraId="30C7A70E" w14:textId="77777777" w:rsidR="00272890" w:rsidRPr="00F50C9D" w:rsidRDefault="00272890" w:rsidP="00FB33F7">
      <w:pPr>
        <w:pStyle w:val="PZTextbodu"/>
        <w:spacing w:before="0"/>
        <w:rPr>
          <w:strike/>
          <w:szCs w:val="24"/>
        </w:rPr>
      </w:pPr>
      <w:r w:rsidRPr="00F50C9D">
        <w:rPr>
          <w:strike/>
          <w:szCs w:val="24"/>
        </w:rPr>
        <w:t>3.</w:t>
      </w:r>
      <w:r w:rsidRPr="00F50C9D">
        <w:rPr>
          <w:strike/>
          <w:szCs w:val="24"/>
        </w:rPr>
        <w:tab/>
        <w:t>zpráva o udržitelnosti nebo konsolidovaná zpráva o udržitelnosti, má-li emitent povinnost ji vyhotovovat, je vyhotovena v souladu se standardy pro podávání zpráv o udržitelnosti přijatými Evropskou komisí a požadavky stanovenými na základě čl. 8 odst. 4 přímo použitelného předpisu Evropské unie upravujícího rámec pro usnadnění udržitelných investic</w:t>
      </w:r>
      <w:r w:rsidRPr="00F50C9D">
        <w:rPr>
          <w:strike/>
          <w:szCs w:val="24"/>
          <w:vertAlign w:val="superscript"/>
        </w:rPr>
        <w:t>74)</w:t>
      </w:r>
      <w:r w:rsidRPr="00F50C9D">
        <w:rPr>
          <w:strike/>
          <w:szCs w:val="24"/>
        </w:rPr>
        <w:t>.</w:t>
      </w:r>
    </w:p>
    <w:p w14:paraId="7660A08B" w14:textId="77777777" w:rsidR="00272890" w:rsidRPr="00F50C9D" w:rsidRDefault="00272890" w:rsidP="0006588E">
      <w:pPr>
        <w:pStyle w:val="PZTextodstavce"/>
        <w:rPr>
          <w:b/>
        </w:rPr>
      </w:pPr>
      <w:r w:rsidRPr="00F50C9D">
        <w:rPr>
          <w:b/>
        </w:rPr>
        <w:t>(2) Výroční finanční zpráva je označením pro soubor</w:t>
      </w:r>
    </w:p>
    <w:p w14:paraId="73FBFA3E" w14:textId="77777777" w:rsidR="00272890" w:rsidRPr="00F50C9D" w:rsidRDefault="00272890" w:rsidP="00FB33F7">
      <w:pPr>
        <w:pStyle w:val="PZTextpsmene"/>
        <w:spacing w:before="0"/>
        <w:rPr>
          <w:b/>
        </w:rPr>
      </w:pPr>
      <w:r w:rsidRPr="00F50C9D">
        <w:rPr>
          <w:b/>
        </w:rPr>
        <w:t>a)</w:t>
      </w:r>
      <w:r w:rsidRPr="00F50C9D">
        <w:rPr>
          <w:b/>
        </w:rPr>
        <w:tab/>
        <w:t>dokumentů ve znění, v jakém byly ověřeny, a po jejich schválení orgánem emitenta k tomu příslušným na základě jiného právního předpisu, podléhají-li takovému schválení, pokud jde o</w:t>
      </w:r>
    </w:p>
    <w:p w14:paraId="24BBFF35" w14:textId="77777777" w:rsidR="00272890" w:rsidRPr="00F50C9D" w:rsidRDefault="00272890" w:rsidP="00FB33F7">
      <w:pPr>
        <w:pStyle w:val="PZTextbodu"/>
        <w:spacing w:before="0"/>
        <w:rPr>
          <w:b/>
        </w:rPr>
      </w:pPr>
      <w:r w:rsidRPr="00F50C9D">
        <w:rPr>
          <w:b/>
        </w:rPr>
        <w:t>1.</w:t>
      </w:r>
      <w:r w:rsidRPr="00F50C9D">
        <w:rPr>
          <w:b/>
        </w:rPr>
        <w:tab/>
        <w:t>řádnou individuální účetní závěrku a řádnou konsolidovanou účetní závěrku, má-li emitent povinnost tuto konsolidovanou účetní závěrku sestavit,</w:t>
      </w:r>
    </w:p>
    <w:p w14:paraId="5B3A5045" w14:textId="77777777" w:rsidR="00272890" w:rsidRPr="00F50C9D" w:rsidRDefault="00272890" w:rsidP="00FB33F7">
      <w:pPr>
        <w:pStyle w:val="PZTextbodu"/>
        <w:spacing w:before="0"/>
        <w:rPr>
          <w:b/>
        </w:rPr>
      </w:pPr>
      <w:r w:rsidRPr="00F50C9D">
        <w:rPr>
          <w:b/>
        </w:rPr>
        <w:t>2.</w:t>
      </w:r>
      <w:r w:rsidRPr="00F50C9D">
        <w:rPr>
          <w:b/>
        </w:rPr>
        <w:tab/>
        <w:t>individuální zprávu vedení a konsolidovanou zprávu vedení, má-li emitent povinnost sestavit konsolidovanou účetní závěrku,</w:t>
      </w:r>
    </w:p>
    <w:p w14:paraId="672653DC" w14:textId="77777777" w:rsidR="00272890" w:rsidRPr="00F50C9D" w:rsidRDefault="00272890" w:rsidP="00FB33F7">
      <w:pPr>
        <w:pStyle w:val="PZTextpsmene"/>
        <w:spacing w:before="0"/>
      </w:pPr>
      <w:r w:rsidRPr="00F50C9D">
        <w:rPr>
          <w:b/>
        </w:rPr>
        <w:lastRenderedPageBreak/>
        <w:t>b)</w:t>
      </w:r>
      <w:r w:rsidRPr="00F50C9D">
        <w:rPr>
          <w:b/>
        </w:rPr>
        <w:tab/>
        <w:t>prohlášení odpovědných osob emitenta, spolu s uvedením jejich jmen a funkcí, že podle jejich nejlepšího vědomí</w:t>
      </w:r>
    </w:p>
    <w:p w14:paraId="446C153C" w14:textId="77777777" w:rsidR="00272890" w:rsidRPr="00F50C9D" w:rsidRDefault="00272890" w:rsidP="00FB33F7">
      <w:pPr>
        <w:pStyle w:val="PZTextbodu"/>
        <w:spacing w:before="0"/>
        <w:rPr>
          <w:b/>
        </w:rPr>
      </w:pPr>
      <w:r w:rsidRPr="00F50C9D">
        <w:rPr>
          <w:b/>
        </w:rPr>
        <w:t>1.</w:t>
      </w:r>
      <w:r w:rsidRPr="00F50C9D">
        <w:rPr>
          <w:b/>
        </w:rPr>
        <w:tab/>
        <w:t>řádná</w:t>
      </w:r>
      <w:r w:rsidRPr="00F50C9D">
        <w:t xml:space="preserve"> </w:t>
      </w:r>
      <w:r w:rsidRPr="00F50C9D">
        <w:rPr>
          <w:b/>
        </w:rPr>
        <w:t>účetní závěrka naplňuje požadavek věrného a poctivého zobrazení finanční situace, finanční výkonnosti a jiných vykazovaných změn finanční situace a je sestavena v souladu s příslušným účetním rámcem,</w:t>
      </w:r>
    </w:p>
    <w:p w14:paraId="0177715F" w14:textId="77777777" w:rsidR="00272890" w:rsidRPr="00F50C9D" w:rsidRDefault="00272890" w:rsidP="00FB33F7">
      <w:pPr>
        <w:pStyle w:val="PZTextbodu"/>
        <w:spacing w:before="0"/>
        <w:rPr>
          <w:b/>
        </w:rPr>
      </w:pPr>
      <w:r w:rsidRPr="00F50C9D">
        <w:rPr>
          <w:b/>
        </w:rPr>
        <w:t>2.</w:t>
      </w:r>
      <w:r w:rsidRPr="00F50C9D">
        <w:rPr>
          <w:b/>
        </w:rPr>
        <w:tab/>
        <w:t>zpráva vedení poskytuje informace naplňující její účel a</w:t>
      </w:r>
    </w:p>
    <w:p w14:paraId="5E45036E" w14:textId="77777777" w:rsidR="00272890" w:rsidRPr="00F50C9D" w:rsidRDefault="00272890" w:rsidP="00FB33F7">
      <w:pPr>
        <w:pStyle w:val="PZTextbodu"/>
        <w:spacing w:before="0"/>
        <w:rPr>
          <w:b/>
        </w:rPr>
      </w:pPr>
      <w:r w:rsidRPr="00F50C9D">
        <w:rPr>
          <w:b/>
        </w:rPr>
        <w:t>3.</w:t>
      </w:r>
      <w:r w:rsidRPr="00F50C9D">
        <w:rPr>
          <w:b/>
        </w:rPr>
        <w:tab/>
        <w:t xml:space="preserve">zpráva o udržitelnosti, je-li součástí zprávy vedení, byla vypracována v souladu s příslušnými standardy pro podávání zpráv o udržitelnosti přijatými Evropskou komisí a v souladu s požadavky stanovenými na základě čl. 8 odst. 4 </w:t>
      </w:r>
      <w:r w:rsidRPr="00F50C9D">
        <w:rPr>
          <w:b/>
          <w:bCs/>
          <w:szCs w:val="24"/>
        </w:rPr>
        <w:t>přímo použitelného předpisu Evropské unie upravujícího rámec pro usnadnění udržitelných investic</w:t>
      </w:r>
      <w:r w:rsidRPr="00F50C9D">
        <w:rPr>
          <w:b/>
          <w:bCs/>
          <w:szCs w:val="24"/>
          <w:vertAlign w:val="superscript"/>
        </w:rPr>
        <w:t>74)</w:t>
      </w:r>
      <w:r w:rsidRPr="00F50C9D">
        <w:rPr>
          <w:b/>
        </w:rPr>
        <w:t>.</w:t>
      </w:r>
    </w:p>
    <w:p w14:paraId="18A17C77" w14:textId="0D2F62C4" w:rsidR="00272890" w:rsidRPr="00F50C9D" w:rsidRDefault="00FB33F7" w:rsidP="0006588E">
      <w:pPr>
        <w:pStyle w:val="PZTextodstavce"/>
        <w:rPr>
          <w:szCs w:val="24"/>
        </w:rPr>
      </w:pPr>
      <w:r>
        <w:rPr>
          <w:szCs w:val="24"/>
        </w:rPr>
        <w:t xml:space="preserve">(3) </w:t>
      </w:r>
      <w:r w:rsidR="00272890" w:rsidRPr="00F50C9D">
        <w:t xml:space="preserve">Emitent vyhotovuje výroční finanční zprávu </w:t>
      </w:r>
      <w:r w:rsidR="00272890" w:rsidRPr="00F50C9D">
        <w:rPr>
          <w:szCs w:val="24"/>
        </w:rPr>
        <w:t>v souladu s přímo použitelným předpisem Evropské unie upravujícím jednotný elektronický formát pro podávání zpráv</w:t>
      </w:r>
      <w:r w:rsidR="00272890" w:rsidRPr="00F50C9D">
        <w:rPr>
          <w:szCs w:val="24"/>
          <w:vertAlign w:val="superscript"/>
        </w:rPr>
        <w:t>67)</w:t>
      </w:r>
      <w:r w:rsidR="00272890" w:rsidRPr="00F50C9D">
        <w:rPr>
          <w:szCs w:val="24"/>
        </w:rPr>
        <w:t xml:space="preserve">. </w:t>
      </w:r>
      <w:r w:rsidR="00272890" w:rsidRPr="00F50C9D">
        <w:rPr>
          <w:b/>
          <w:szCs w:val="24"/>
        </w:rPr>
        <w:t xml:space="preserve">Spolu s výroční finanční zprávou se uveřejňují zprávy o ověření řádné účetní závěrky nebo ověření zprávy vedení nebo její části, podléhají-li tyto dokumenty nebo jejich části ověření. </w:t>
      </w:r>
      <w:r w:rsidR="00272890" w:rsidRPr="00F50C9D">
        <w:rPr>
          <w:szCs w:val="24"/>
        </w:rPr>
        <w:t xml:space="preserve">Emitent zajistí, aby uveřejněná výroční finanční zpráva byla veřejně přístupná po dobu nejméně 10 let. </w:t>
      </w:r>
    </w:p>
    <w:p w14:paraId="06309695" w14:textId="4E3F5F64" w:rsidR="00272890" w:rsidRPr="00F50C9D" w:rsidRDefault="00FB33F7" w:rsidP="0006588E">
      <w:pPr>
        <w:pStyle w:val="PZTextodstavce"/>
        <w:rPr>
          <w:szCs w:val="24"/>
        </w:rPr>
      </w:pPr>
      <w:r>
        <w:rPr>
          <w:szCs w:val="24"/>
        </w:rPr>
        <w:t xml:space="preserve">(4) </w:t>
      </w:r>
      <w:r w:rsidR="00272890" w:rsidRPr="00F50C9D">
        <w:rPr>
          <w:szCs w:val="24"/>
        </w:rPr>
        <w:t xml:space="preserve">Součástí </w:t>
      </w:r>
      <w:r w:rsidR="00272890" w:rsidRPr="00F50C9D">
        <w:rPr>
          <w:strike/>
        </w:rPr>
        <w:t>výroční zprávy nebo konsolidované výroční zprávy podle odstavce 2 písm. b)</w:t>
      </w:r>
      <w:r w:rsidR="00272890" w:rsidRPr="00F50C9D">
        <w:t xml:space="preserve"> </w:t>
      </w:r>
      <w:r w:rsidR="00272890" w:rsidRPr="00F50C9D">
        <w:rPr>
          <w:strike/>
          <w:szCs w:val="24"/>
        </w:rPr>
        <w:t>emitenta podle odstavce 1 je také výkaz o řízení a správě společnosti, který</w:t>
      </w:r>
      <w:r w:rsidR="00272890" w:rsidRPr="00F50C9D">
        <w:rPr>
          <w:szCs w:val="24"/>
        </w:rPr>
        <w:t xml:space="preserve"> </w:t>
      </w:r>
      <w:r w:rsidR="00272890" w:rsidRPr="00F50C9D">
        <w:rPr>
          <w:b/>
        </w:rPr>
        <w:t xml:space="preserve">zprávy vedení </w:t>
      </w:r>
      <w:r w:rsidR="00272890" w:rsidRPr="00F50C9D">
        <w:rPr>
          <w:b/>
          <w:bCs/>
          <w:szCs w:val="24"/>
        </w:rPr>
        <w:t>emitenta podle odstavce 1 je</w:t>
      </w:r>
      <w:r w:rsidR="00272890" w:rsidRPr="00F50C9D">
        <w:rPr>
          <w:szCs w:val="24"/>
        </w:rPr>
        <w:t xml:space="preserve"> </w:t>
      </w:r>
      <w:r w:rsidR="00272890" w:rsidRPr="00F50C9D">
        <w:rPr>
          <w:b/>
          <w:szCs w:val="24"/>
        </w:rPr>
        <w:t>jako samostatný oddíl</w:t>
      </w:r>
      <w:r w:rsidR="00272890" w:rsidRPr="00F50C9D">
        <w:rPr>
          <w:szCs w:val="24"/>
        </w:rPr>
        <w:t xml:space="preserve"> </w:t>
      </w:r>
      <w:r w:rsidR="00272890" w:rsidRPr="00F50C9D">
        <w:rPr>
          <w:b/>
          <w:szCs w:val="24"/>
        </w:rPr>
        <w:t>zpráva o správě a řízení společnosti,</w:t>
      </w:r>
      <w:r w:rsidR="00272890" w:rsidRPr="00F50C9D">
        <w:rPr>
          <w:szCs w:val="24"/>
        </w:rPr>
        <w:t xml:space="preserve"> </w:t>
      </w:r>
      <w:r w:rsidR="00272890" w:rsidRPr="00F50C9D">
        <w:rPr>
          <w:b/>
          <w:bCs/>
          <w:szCs w:val="24"/>
        </w:rPr>
        <w:t>která</w:t>
      </w:r>
      <w:r w:rsidR="00272890" w:rsidRPr="00F50C9D">
        <w:rPr>
          <w:szCs w:val="24"/>
        </w:rPr>
        <w:t xml:space="preserve"> obsahuje</w:t>
      </w:r>
    </w:p>
    <w:p w14:paraId="110D9232" w14:textId="77777777" w:rsidR="00272890" w:rsidRPr="00F50C9D" w:rsidRDefault="00272890" w:rsidP="00FB33F7">
      <w:pPr>
        <w:pStyle w:val="PZTextpsmene"/>
        <w:spacing w:before="0"/>
        <w:rPr>
          <w:szCs w:val="24"/>
        </w:rPr>
      </w:pPr>
      <w:r w:rsidRPr="00F50C9D">
        <w:rPr>
          <w:szCs w:val="24"/>
        </w:rPr>
        <w:t>a)</w:t>
      </w:r>
      <w:r w:rsidRPr="00F50C9D">
        <w:rPr>
          <w:szCs w:val="24"/>
        </w:rPr>
        <w:tab/>
        <w:t xml:space="preserve">informace o kodexech </w:t>
      </w:r>
      <w:r w:rsidRPr="00F50C9D">
        <w:rPr>
          <w:strike/>
          <w:szCs w:val="24"/>
        </w:rPr>
        <w:t>řízení a správy</w:t>
      </w:r>
      <w:r w:rsidRPr="00F50C9D">
        <w:rPr>
          <w:b/>
          <w:bCs/>
          <w:szCs w:val="24"/>
        </w:rPr>
        <w:t xml:space="preserve"> </w:t>
      </w:r>
      <w:proofErr w:type="spellStart"/>
      <w:r w:rsidRPr="00F50C9D">
        <w:rPr>
          <w:b/>
          <w:bCs/>
          <w:szCs w:val="24"/>
        </w:rPr>
        <w:t>správy</w:t>
      </w:r>
      <w:proofErr w:type="spellEnd"/>
      <w:r w:rsidRPr="00F50C9D">
        <w:rPr>
          <w:szCs w:val="24"/>
        </w:rPr>
        <w:t xml:space="preserve"> </w:t>
      </w:r>
      <w:r w:rsidRPr="00F50C9D">
        <w:rPr>
          <w:b/>
          <w:szCs w:val="24"/>
        </w:rPr>
        <w:t xml:space="preserve">a řízení </w:t>
      </w:r>
      <w:r w:rsidRPr="00F50C9D">
        <w:rPr>
          <w:szCs w:val="24"/>
        </w:rPr>
        <w:t>společnosti, které</w:t>
      </w:r>
    </w:p>
    <w:p w14:paraId="50AE4741" w14:textId="77777777" w:rsidR="00272890" w:rsidRPr="00F50C9D" w:rsidRDefault="00272890" w:rsidP="00FB33F7">
      <w:pPr>
        <w:pStyle w:val="PZTextbodu"/>
        <w:spacing w:before="0"/>
        <w:rPr>
          <w:szCs w:val="24"/>
        </w:rPr>
      </w:pPr>
      <w:r w:rsidRPr="00F50C9D">
        <w:rPr>
          <w:szCs w:val="24"/>
        </w:rPr>
        <w:t>1.</w:t>
      </w:r>
      <w:r w:rsidRPr="00F50C9D">
        <w:rPr>
          <w:szCs w:val="24"/>
        </w:rPr>
        <w:tab/>
        <w:t>jsou pro něj závazné a informaci o tom, kde je možno do kodexu nahlédnout, a</w:t>
      </w:r>
    </w:p>
    <w:p w14:paraId="48F06034" w14:textId="77777777" w:rsidR="00272890" w:rsidRPr="00F50C9D" w:rsidRDefault="00272890" w:rsidP="00FB33F7">
      <w:pPr>
        <w:pStyle w:val="PZTextbodu"/>
        <w:spacing w:before="0"/>
        <w:rPr>
          <w:szCs w:val="24"/>
        </w:rPr>
      </w:pPr>
      <w:r w:rsidRPr="00F50C9D">
        <w:rPr>
          <w:szCs w:val="24"/>
        </w:rPr>
        <w:t>2.</w:t>
      </w:r>
      <w:r w:rsidRPr="00F50C9D">
        <w:rPr>
          <w:szCs w:val="24"/>
        </w:rPr>
        <w:tab/>
        <w:t>dobrovolně dodržuje a informaci o tom, kde je možno do kodexu nahlédnout,</w:t>
      </w:r>
    </w:p>
    <w:p w14:paraId="48A791B1" w14:textId="77777777" w:rsidR="00272890" w:rsidRPr="00F50C9D" w:rsidRDefault="00272890" w:rsidP="00FB33F7">
      <w:pPr>
        <w:pStyle w:val="PZTextpsmene"/>
        <w:spacing w:before="0"/>
        <w:rPr>
          <w:szCs w:val="24"/>
        </w:rPr>
      </w:pPr>
      <w:r w:rsidRPr="00F50C9D">
        <w:rPr>
          <w:szCs w:val="24"/>
        </w:rPr>
        <w:t>b)</w:t>
      </w:r>
      <w:r w:rsidRPr="00F50C9D">
        <w:rPr>
          <w:szCs w:val="24"/>
        </w:rPr>
        <w:tab/>
        <w:t xml:space="preserve">informace o postupech </w:t>
      </w:r>
      <w:r w:rsidRPr="00F50C9D">
        <w:rPr>
          <w:strike/>
          <w:szCs w:val="24"/>
        </w:rPr>
        <w:t>řízení a správy</w:t>
      </w:r>
      <w:r w:rsidRPr="00F50C9D">
        <w:rPr>
          <w:b/>
          <w:bCs/>
          <w:szCs w:val="24"/>
        </w:rPr>
        <w:t xml:space="preserve"> </w:t>
      </w:r>
      <w:proofErr w:type="spellStart"/>
      <w:r w:rsidRPr="00F50C9D">
        <w:rPr>
          <w:b/>
          <w:bCs/>
          <w:szCs w:val="24"/>
        </w:rPr>
        <w:t>správy</w:t>
      </w:r>
      <w:proofErr w:type="spellEnd"/>
      <w:r w:rsidRPr="00F50C9D">
        <w:rPr>
          <w:szCs w:val="24"/>
        </w:rPr>
        <w:t xml:space="preserve"> </w:t>
      </w:r>
      <w:r w:rsidRPr="00F50C9D">
        <w:rPr>
          <w:b/>
          <w:szCs w:val="24"/>
        </w:rPr>
        <w:t xml:space="preserve">a řízení </w:t>
      </w:r>
      <w:r w:rsidRPr="00F50C9D">
        <w:rPr>
          <w:szCs w:val="24"/>
        </w:rPr>
        <w:t>společnosti používaných nad rámec požadavků tohoto zákona a jejich podrobný popis, pokud je používá,</w:t>
      </w:r>
    </w:p>
    <w:p w14:paraId="5F8D153B" w14:textId="77777777" w:rsidR="00272890" w:rsidRPr="00F50C9D" w:rsidRDefault="00272890" w:rsidP="00FB33F7">
      <w:pPr>
        <w:pStyle w:val="PZTextpsmene"/>
        <w:spacing w:before="0"/>
        <w:rPr>
          <w:szCs w:val="24"/>
        </w:rPr>
      </w:pPr>
      <w:r w:rsidRPr="00F50C9D">
        <w:rPr>
          <w:szCs w:val="24"/>
        </w:rPr>
        <w:t>c)</w:t>
      </w:r>
      <w:r w:rsidRPr="00F50C9D">
        <w:rPr>
          <w:szCs w:val="24"/>
        </w:rPr>
        <w:tab/>
        <w:t xml:space="preserve">namísto informací podle písmen a) a b) informaci o tom, že některé ustanovení kodexu </w:t>
      </w:r>
      <w:r w:rsidRPr="00F50C9D">
        <w:rPr>
          <w:strike/>
          <w:szCs w:val="24"/>
        </w:rPr>
        <w:t>řízení a správy</w:t>
      </w:r>
      <w:r w:rsidRPr="00F50C9D">
        <w:rPr>
          <w:b/>
          <w:bCs/>
          <w:szCs w:val="24"/>
        </w:rPr>
        <w:t xml:space="preserve"> </w:t>
      </w:r>
      <w:proofErr w:type="spellStart"/>
      <w:r w:rsidRPr="00F50C9D">
        <w:rPr>
          <w:b/>
          <w:bCs/>
          <w:szCs w:val="24"/>
        </w:rPr>
        <w:t>správy</w:t>
      </w:r>
      <w:proofErr w:type="spellEnd"/>
      <w:r w:rsidRPr="00F50C9D">
        <w:rPr>
          <w:szCs w:val="24"/>
        </w:rPr>
        <w:t xml:space="preserve"> </w:t>
      </w:r>
      <w:r w:rsidRPr="00F50C9D">
        <w:rPr>
          <w:b/>
          <w:szCs w:val="24"/>
        </w:rPr>
        <w:t xml:space="preserve">a řízení </w:t>
      </w:r>
      <w:r w:rsidRPr="00F50C9D">
        <w:rPr>
          <w:szCs w:val="24"/>
        </w:rPr>
        <w:t>společnosti nedodržuje, nebo o tom, že žádný kodex nedodržuje, včetně zdůvodnění, proč toto ustanovení nebo žádný kodex nedodržuje,</w:t>
      </w:r>
    </w:p>
    <w:p w14:paraId="427461C8" w14:textId="77777777" w:rsidR="00272890" w:rsidRPr="00F50C9D" w:rsidRDefault="00272890" w:rsidP="00FB33F7">
      <w:pPr>
        <w:pStyle w:val="PZTextpsmene"/>
        <w:spacing w:before="0"/>
        <w:rPr>
          <w:szCs w:val="24"/>
        </w:rPr>
      </w:pPr>
      <w:r w:rsidRPr="00F50C9D">
        <w:rPr>
          <w:szCs w:val="24"/>
        </w:rPr>
        <w:t>d)</w:t>
      </w:r>
      <w:r w:rsidRPr="00F50C9D">
        <w:rPr>
          <w:szCs w:val="24"/>
        </w:rPr>
        <w:tab/>
        <w:t>popis hlavních parametrů systémů vnitřní kontroly a řízení rizik ve vztahu k procesu účetního výkaznictví,</w:t>
      </w:r>
    </w:p>
    <w:p w14:paraId="05D81E56" w14:textId="77777777" w:rsidR="00272890" w:rsidRPr="00F50C9D" w:rsidRDefault="00272890" w:rsidP="00FB33F7">
      <w:pPr>
        <w:pStyle w:val="PZTextpsmene"/>
        <w:spacing w:before="0"/>
        <w:rPr>
          <w:szCs w:val="24"/>
        </w:rPr>
      </w:pPr>
      <w:r w:rsidRPr="00F50C9D">
        <w:rPr>
          <w:szCs w:val="24"/>
        </w:rPr>
        <w:t>e) popis práv spojených s příslušným druhem akcie nebo obdobného cenného papíru představujícího podíl na emitentovi, a to alespoň odkazem na</w:t>
      </w:r>
    </w:p>
    <w:p w14:paraId="4F107334" w14:textId="77777777" w:rsidR="00272890" w:rsidRPr="00F50C9D" w:rsidRDefault="00272890" w:rsidP="00FB33F7">
      <w:pPr>
        <w:pStyle w:val="PZTextbodu"/>
        <w:spacing w:before="0"/>
        <w:rPr>
          <w:szCs w:val="24"/>
        </w:rPr>
      </w:pPr>
      <w:r w:rsidRPr="00F50C9D">
        <w:rPr>
          <w:szCs w:val="24"/>
        </w:rPr>
        <w:t>1.</w:t>
      </w:r>
      <w:r w:rsidRPr="00F50C9D">
        <w:rPr>
          <w:szCs w:val="24"/>
        </w:rPr>
        <w:tab/>
        <w:t>zákon upravující právní poměry obchodních společností a družstev a stanovy emitenta, pokud se jedná o druh akcie, nebo</w:t>
      </w:r>
    </w:p>
    <w:p w14:paraId="452060F1" w14:textId="77777777" w:rsidR="00272890" w:rsidRPr="00F50C9D" w:rsidRDefault="00272890" w:rsidP="00FB33F7">
      <w:pPr>
        <w:pStyle w:val="PZTextbodu"/>
        <w:spacing w:before="0"/>
        <w:rPr>
          <w:szCs w:val="24"/>
        </w:rPr>
      </w:pPr>
      <w:r w:rsidRPr="00F50C9D">
        <w:rPr>
          <w:szCs w:val="24"/>
        </w:rPr>
        <w:t>2.</w:t>
      </w:r>
      <w:r w:rsidRPr="00F50C9D">
        <w:rPr>
          <w:szCs w:val="24"/>
        </w:rPr>
        <w:tab/>
        <w:t>srovnatelný zahraniční právní předpis a stanovám obdobný dokument emitenta, pokud se jedná o druh obdobného cenného papíru představujícího podíl na emitentovi,</w:t>
      </w:r>
    </w:p>
    <w:p w14:paraId="0633C93B" w14:textId="77777777" w:rsidR="00272890" w:rsidRPr="00F50C9D" w:rsidRDefault="00272890" w:rsidP="00FB33F7">
      <w:pPr>
        <w:pStyle w:val="PZTextpsmene"/>
        <w:spacing w:before="0"/>
        <w:rPr>
          <w:szCs w:val="24"/>
        </w:rPr>
      </w:pPr>
      <w:r w:rsidRPr="00F50C9D">
        <w:rPr>
          <w:szCs w:val="24"/>
        </w:rPr>
        <w:t>f)</w:t>
      </w:r>
      <w:r w:rsidRPr="00F50C9D">
        <w:rPr>
          <w:szCs w:val="24"/>
        </w:rPr>
        <w:tab/>
        <w:t>popis složení a postupů rozhodování vedoucího orgánu emitenta a jeho výborů, jsou-li zřízeny,</w:t>
      </w:r>
    </w:p>
    <w:p w14:paraId="0BBBA172" w14:textId="77777777" w:rsidR="00272890" w:rsidRPr="00F50C9D" w:rsidRDefault="00272890" w:rsidP="00FB33F7">
      <w:pPr>
        <w:pStyle w:val="PZTextpsmene"/>
        <w:spacing w:before="0"/>
        <w:rPr>
          <w:szCs w:val="24"/>
        </w:rPr>
      </w:pPr>
      <w:r w:rsidRPr="00F50C9D">
        <w:rPr>
          <w:szCs w:val="24"/>
        </w:rPr>
        <w:t>g)</w:t>
      </w:r>
      <w:r w:rsidRPr="00F50C9D">
        <w:rPr>
          <w:szCs w:val="24"/>
        </w:rPr>
        <w:tab/>
        <w:t>popis postupů rozhodování a základního rozsahu působnosti valné hromady emitenta nebo obdobného shromáždění vlastníků cenných papírů představujících podíl na emitentovi,</w:t>
      </w:r>
    </w:p>
    <w:p w14:paraId="382D510E" w14:textId="77777777" w:rsidR="00272890" w:rsidRPr="00F50C9D" w:rsidRDefault="00272890" w:rsidP="00FB33F7">
      <w:pPr>
        <w:pStyle w:val="PZTextpsmene"/>
        <w:spacing w:before="0"/>
        <w:rPr>
          <w:szCs w:val="24"/>
        </w:rPr>
      </w:pPr>
      <w:r w:rsidRPr="00F50C9D">
        <w:rPr>
          <w:szCs w:val="24"/>
        </w:rPr>
        <w:t>h)</w:t>
      </w:r>
      <w:r w:rsidRPr="00F50C9D">
        <w:rPr>
          <w:szCs w:val="24"/>
        </w:rPr>
        <w:tab/>
        <w:t xml:space="preserve">v případě emitenta, který </w:t>
      </w:r>
      <w:r w:rsidRPr="00F50C9D">
        <w:rPr>
          <w:strike/>
        </w:rPr>
        <w:t>k rozvahovému dni překračuje alespoň 2 hraniční hodnoty podle § 1b odst. 3 zákona o účetnictví</w:t>
      </w:r>
      <w:r w:rsidRPr="00F50C9D">
        <w:t xml:space="preserve"> </w:t>
      </w:r>
      <w:r w:rsidRPr="00F50C9D">
        <w:rPr>
          <w:b/>
        </w:rPr>
        <w:t>splňuje podmínky pro zařazení do kategorie velkých účetních jednotek</w:t>
      </w:r>
      <w:r w:rsidRPr="00F50C9D">
        <w:rPr>
          <w:szCs w:val="24"/>
        </w:rPr>
        <w:t>, také popis politiky rozmanitosti uplatňované na vedoucí orgán emitenta, a to s ohledem na pohlaví a další kritéria, jako jsou například kritéria věku, zdravotního postižení nebo vzdělání a odborných znalostí a zkušeností, včetně informace o</w:t>
      </w:r>
    </w:p>
    <w:p w14:paraId="3D8B5A3B" w14:textId="77777777" w:rsidR="00272890" w:rsidRPr="00F50C9D" w:rsidRDefault="00272890" w:rsidP="00FB33F7">
      <w:pPr>
        <w:pStyle w:val="PZTextbodu"/>
        <w:spacing w:before="0"/>
        <w:rPr>
          <w:szCs w:val="24"/>
        </w:rPr>
      </w:pPr>
      <w:r w:rsidRPr="00F50C9D">
        <w:rPr>
          <w:szCs w:val="24"/>
        </w:rPr>
        <w:t>1.</w:t>
      </w:r>
      <w:r w:rsidRPr="00F50C9D">
        <w:rPr>
          <w:szCs w:val="24"/>
        </w:rPr>
        <w:tab/>
        <w:t>cílech této politiky,</w:t>
      </w:r>
    </w:p>
    <w:p w14:paraId="2611629A" w14:textId="77777777" w:rsidR="00272890" w:rsidRPr="00F50C9D" w:rsidRDefault="00272890" w:rsidP="00FB33F7">
      <w:pPr>
        <w:pStyle w:val="PZTextbodu"/>
        <w:spacing w:before="0"/>
        <w:rPr>
          <w:szCs w:val="24"/>
        </w:rPr>
      </w:pPr>
      <w:r w:rsidRPr="00F50C9D">
        <w:rPr>
          <w:szCs w:val="24"/>
        </w:rPr>
        <w:lastRenderedPageBreak/>
        <w:t>2.</w:t>
      </w:r>
      <w:r w:rsidRPr="00F50C9D">
        <w:rPr>
          <w:szCs w:val="24"/>
        </w:rPr>
        <w:tab/>
        <w:t>způsobech jejího uplatňování a</w:t>
      </w:r>
    </w:p>
    <w:p w14:paraId="04006745" w14:textId="77777777" w:rsidR="00272890" w:rsidRPr="00F50C9D" w:rsidRDefault="00272890" w:rsidP="00FB33F7">
      <w:pPr>
        <w:pStyle w:val="PZTextbodu"/>
        <w:spacing w:before="0"/>
        <w:rPr>
          <w:szCs w:val="24"/>
        </w:rPr>
      </w:pPr>
      <w:r w:rsidRPr="00F50C9D">
        <w:rPr>
          <w:szCs w:val="24"/>
        </w:rPr>
        <w:t>3.</w:t>
      </w:r>
      <w:r w:rsidRPr="00F50C9D">
        <w:rPr>
          <w:szCs w:val="24"/>
        </w:rPr>
        <w:tab/>
        <w:t xml:space="preserve">výsledcích jejího uplatňování v příslušném </w:t>
      </w:r>
      <w:r w:rsidRPr="00F50C9D">
        <w:rPr>
          <w:b/>
          <w:szCs w:val="24"/>
        </w:rPr>
        <w:t xml:space="preserve">individuálním </w:t>
      </w:r>
      <w:r w:rsidRPr="00F50C9D">
        <w:rPr>
          <w:szCs w:val="24"/>
        </w:rPr>
        <w:t>účetním období,</w:t>
      </w:r>
    </w:p>
    <w:p w14:paraId="1E8673D2" w14:textId="77777777" w:rsidR="00272890" w:rsidRPr="00F50C9D" w:rsidRDefault="00272890" w:rsidP="00FB33F7">
      <w:pPr>
        <w:pStyle w:val="PZTextpsmene"/>
        <w:spacing w:before="0"/>
        <w:rPr>
          <w:szCs w:val="24"/>
        </w:rPr>
      </w:pPr>
      <w:r w:rsidRPr="00F50C9D">
        <w:rPr>
          <w:szCs w:val="24"/>
        </w:rPr>
        <w:t>i)</w:t>
      </w:r>
      <w:r w:rsidRPr="00F50C9D">
        <w:rPr>
          <w:szCs w:val="24"/>
        </w:rPr>
        <w:tab/>
        <w:t>namísto informací podle písmene h) informaci, že emitent neuplatňuje politiku rozmanitosti podle písmene h), včetně zdůvodnění, proč tuto politiku neuplatňuje,</w:t>
      </w:r>
      <w:r w:rsidRPr="00F50C9D">
        <w:rPr>
          <w:bCs/>
          <w:szCs w:val="24"/>
        </w:rPr>
        <w:t xml:space="preserve"> </w:t>
      </w:r>
      <w:r w:rsidRPr="00F50C9D">
        <w:rPr>
          <w:szCs w:val="24"/>
        </w:rPr>
        <w:t>a</w:t>
      </w:r>
    </w:p>
    <w:p w14:paraId="27160A25" w14:textId="77777777" w:rsidR="00272890" w:rsidRPr="00F50C9D" w:rsidRDefault="00272890" w:rsidP="00FB33F7">
      <w:pPr>
        <w:pStyle w:val="PZTextpsmene"/>
        <w:spacing w:before="0"/>
        <w:rPr>
          <w:szCs w:val="24"/>
        </w:rPr>
      </w:pPr>
      <w:r w:rsidRPr="00F50C9D">
        <w:rPr>
          <w:szCs w:val="24"/>
        </w:rPr>
        <w:t>j)</w:t>
      </w:r>
      <w:r w:rsidRPr="00F50C9D">
        <w:rPr>
          <w:szCs w:val="24"/>
        </w:rPr>
        <w:tab/>
        <w:t xml:space="preserve">namísto informací podle písmene h) a i) informaci o tom, že tyto informace jsou uvedeny ve zprávě o udržitelnosti, jsou-li tyto informace jejím obsahem.  </w:t>
      </w:r>
    </w:p>
    <w:p w14:paraId="138FF287" w14:textId="77777777" w:rsidR="00272890" w:rsidRPr="00F50C9D" w:rsidRDefault="00272890" w:rsidP="0006588E">
      <w:pPr>
        <w:pStyle w:val="PZTextodstavce"/>
        <w:rPr>
          <w:szCs w:val="24"/>
        </w:rPr>
      </w:pPr>
      <w:r w:rsidRPr="00F50C9D">
        <w:rPr>
          <w:szCs w:val="24"/>
        </w:rPr>
        <w:t xml:space="preserve">(5) </w:t>
      </w:r>
      <w:r w:rsidRPr="00F50C9D">
        <w:rPr>
          <w:strike/>
          <w:szCs w:val="24"/>
        </w:rPr>
        <w:t>Výkaz o řízení a správě</w:t>
      </w:r>
      <w:r w:rsidRPr="00F50C9D">
        <w:rPr>
          <w:szCs w:val="24"/>
        </w:rPr>
        <w:t xml:space="preserve"> </w:t>
      </w:r>
      <w:r w:rsidRPr="00F50C9D">
        <w:rPr>
          <w:b/>
          <w:szCs w:val="24"/>
        </w:rPr>
        <w:t xml:space="preserve">Zpráva o správě a řízení </w:t>
      </w:r>
      <w:r w:rsidRPr="00F50C9D">
        <w:rPr>
          <w:szCs w:val="24"/>
        </w:rPr>
        <w:t>podle odstavce 4 emitenta podle odstavce 1 písm. a) obsahuje také číselné údaje a informace o</w:t>
      </w:r>
    </w:p>
    <w:p w14:paraId="1457EAA8" w14:textId="77777777" w:rsidR="00272890" w:rsidRPr="00F50C9D" w:rsidRDefault="00272890" w:rsidP="00FB33F7">
      <w:pPr>
        <w:pStyle w:val="PZTextpsmene"/>
        <w:spacing w:before="0"/>
        <w:rPr>
          <w:szCs w:val="24"/>
        </w:rPr>
      </w:pPr>
      <w:r w:rsidRPr="00F50C9D">
        <w:rPr>
          <w:szCs w:val="24"/>
        </w:rPr>
        <w:t>a)</w:t>
      </w:r>
      <w:r w:rsidRPr="00F50C9D">
        <w:rPr>
          <w:szCs w:val="24"/>
        </w:rPr>
        <w:tab/>
        <w:t>struktuře vlastního kapitálu emitenta, včetně cenných papírů nepřijatých k obchodování na evropském regulovaném trhu a včetně případného určení různých druhů akcií nebo obdobných cenných papírů představujících podíl na emitentovi a podílu na základním kapitálu každého druhu akcií nebo obdobných cenných papírů představujících podíl na emitentovi, spolu s uvedením práv a povinností s takovými cennými papíry spojenými a s uvedením procenta celkového akciového kapitálu, který představuje,</w:t>
      </w:r>
    </w:p>
    <w:p w14:paraId="0BD1D8B2" w14:textId="77777777" w:rsidR="00272890" w:rsidRPr="00F50C9D" w:rsidRDefault="00272890" w:rsidP="00FB33F7">
      <w:pPr>
        <w:pStyle w:val="PZTextpsmene"/>
        <w:spacing w:before="0"/>
        <w:rPr>
          <w:szCs w:val="24"/>
        </w:rPr>
      </w:pPr>
      <w:r w:rsidRPr="00F50C9D">
        <w:rPr>
          <w:szCs w:val="24"/>
        </w:rPr>
        <w:t>b)</w:t>
      </w:r>
      <w:r w:rsidRPr="00F50C9D">
        <w:rPr>
          <w:szCs w:val="24"/>
        </w:rPr>
        <w:tab/>
        <w:t>omezení převoditelnosti cenných papírů,</w:t>
      </w:r>
    </w:p>
    <w:p w14:paraId="0C72D7D8" w14:textId="77777777" w:rsidR="00272890" w:rsidRPr="00F50C9D" w:rsidRDefault="00272890" w:rsidP="00FB33F7">
      <w:pPr>
        <w:pStyle w:val="PZTextpsmene"/>
        <w:spacing w:before="0"/>
        <w:rPr>
          <w:szCs w:val="24"/>
        </w:rPr>
      </w:pPr>
      <w:r w:rsidRPr="00F50C9D">
        <w:rPr>
          <w:szCs w:val="24"/>
        </w:rPr>
        <w:t>c)</w:t>
      </w:r>
      <w:r w:rsidRPr="00F50C9D">
        <w:rPr>
          <w:szCs w:val="24"/>
        </w:rPr>
        <w:tab/>
        <w:t>významných přímých a nepřímých podílech na hlasovacích právech emitenta,</w:t>
      </w:r>
    </w:p>
    <w:p w14:paraId="2CCF2F45" w14:textId="77777777" w:rsidR="00272890" w:rsidRPr="00F50C9D" w:rsidRDefault="00272890" w:rsidP="00FB33F7">
      <w:pPr>
        <w:pStyle w:val="PZTextpsmene"/>
        <w:spacing w:before="0"/>
        <w:rPr>
          <w:szCs w:val="24"/>
        </w:rPr>
      </w:pPr>
      <w:r w:rsidRPr="00F50C9D">
        <w:rPr>
          <w:szCs w:val="24"/>
        </w:rPr>
        <w:t>d)</w:t>
      </w:r>
      <w:r w:rsidRPr="00F50C9D">
        <w:rPr>
          <w:szCs w:val="24"/>
        </w:rPr>
        <w:tab/>
        <w:t>vlastnících cenných papírů se zvláštními právy, včetně popisu těchto práv,</w:t>
      </w:r>
    </w:p>
    <w:p w14:paraId="23552D94" w14:textId="77777777" w:rsidR="00272890" w:rsidRPr="00F50C9D" w:rsidRDefault="00272890" w:rsidP="00FB33F7">
      <w:pPr>
        <w:pStyle w:val="PZTextpsmene"/>
        <w:spacing w:before="0"/>
        <w:rPr>
          <w:szCs w:val="24"/>
        </w:rPr>
      </w:pPr>
      <w:r w:rsidRPr="00F50C9D">
        <w:rPr>
          <w:szCs w:val="24"/>
        </w:rPr>
        <w:t>e)</w:t>
      </w:r>
      <w:r w:rsidRPr="00F50C9D">
        <w:rPr>
          <w:szCs w:val="24"/>
        </w:rPr>
        <w:tab/>
        <w:t>omezení hlasovacích práv,</w:t>
      </w:r>
    </w:p>
    <w:p w14:paraId="15C2537F" w14:textId="77777777" w:rsidR="00272890" w:rsidRPr="00F50C9D" w:rsidRDefault="00272890" w:rsidP="00FB33F7">
      <w:pPr>
        <w:pStyle w:val="PZTextpsmene"/>
        <w:spacing w:before="0"/>
        <w:rPr>
          <w:szCs w:val="24"/>
        </w:rPr>
      </w:pPr>
      <w:r w:rsidRPr="00F50C9D">
        <w:rPr>
          <w:szCs w:val="24"/>
        </w:rPr>
        <w:t>f)</w:t>
      </w:r>
      <w:r w:rsidRPr="00F50C9D">
        <w:rPr>
          <w:szCs w:val="24"/>
        </w:rPr>
        <w:tab/>
        <w:t>smlouvách mezi akcionáři nebo obdobnými vlastníky cenných papírů představujících podíl na emitentovi, které mohou mít za následek ztížení převoditelnosti akcií nebo obdobných cenných papírů představujících podíl na emitentovi nebo hlasovacích práv, pokud jsou emitentovi známy,</w:t>
      </w:r>
    </w:p>
    <w:p w14:paraId="5B09E29C" w14:textId="77777777" w:rsidR="00272890" w:rsidRPr="00F50C9D" w:rsidRDefault="00272890" w:rsidP="00FB33F7">
      <w:pPr>
        <w:pStyle w:val="PZTextpsmene"/>
        <w:spacing w:before="0"/>
        <w:rPr>
          <w:szCs w:val="24"/>
        </w:rPr>
      </w:pPr>
      <w:r w:rsidRPr="00F50C9D">
        <w:rPr>
          <w:szCs w:val="24"/>
        </w:rPr>
        <w:t>g)</w:t>
      </w:r>
      <w:r w:rsidRPr="00F50C9D">
        <w:rPr>
          <w:szCs w:val="24"/>
        </w:rPr>
        <w:tab/>
        <w:t xml:space="preserve">zvláštních pravidlech určujících volbu a odvolání členů řídicího orgánu emitenta a změnu stanov nebo obdobného dokumentu emitenta, </w:t>
      </w:r>
    </w:p>
    <w:p w14:paraId="254772B5" w14:textId="77777777" w:rsidR="00272890" w:rsidRPr="00F50C9D" w:rsidRDefault="00272890" w:rsidP="00FB33F7">
      <w:pPr>
        <w:pStyle w:val="PZTextpsmene"/>
        <w:spacing w:before="0"/>
        <w:rPr>
          <w:szCs w:val="24"/>
        </w:rPr>
      </w:pPr>
      <w:r w:rsidRPr="00F50C9D">
        <w:rPr>
          <w:szCs w:val="24"/>
        </w:rPr>
        <w:t>h)</w:t>
      </w:r>
      <w:r w:rsidRPr="00F50C9D">
        <w:rPr>
          <w:szCs w:val="24"/>
        </w:rPr>
        <w:tab/>
        <w:t>zvláštní působnosti řídicího orgánu emitenta,</w:t>
      </w:r>
    </w:p>
    <w:p w14:paraId="41086325" w14:textId="77777777" w:rsidR="00272890" w:rsidRPr="00F50C9D" w:rsidRDefault="00272890" w:rsidP="00FB33F7">
      <w:pPr>
        <w:pStyle w:val="PZTextpsmene"/>
        <w:spacing w:before="0"/>
        <w:rPr>
          <w:szCs w:val="24"/>
        </w:rPr>
      </w:pPr>
      <w:r w:rsidRPr="00F50C9D">
        <w:rPr>
          <w:szCs w:val="24"/>
        </w:rPr>
        <w:t>i)</w:t>
      </w:r>
      <w:r w:rsidRPr="00F50C9D">
        <w:rPr>
          <w:szCs w:val="24"/>
        </w:rPr>
        <w:tab/>
        <w:t xml:space="preserve">významných smlouvách, ve kterých je emitent smluvní stranou a které </w:t>
      </w:r>
      <w:proofErr w:type="spellStart"/>
      <w:r w:rsidRPr="00F50C9D">
        <w:rPr>
          <w:szCs w:val="24"/>
        </w:rPr>
        <w:t>nabudou</w:t>
      </w:r>
      <w:proofErr w:type="spellEnd"/>
      <w:r w:rsidRPr="00F50C9D">
        <w:rPr>
          <w:szCs w:val="24"/>
        </w:rPr>
        <w:t xml:space="preserve"> účinnosti, změní se nebo zaniknou v případě změny ovládání podle zákona o obchodních korporacích emitenta v důsledku nabídky převzetí, a o účincích z nich vyplývajících, s výjimkou takových smluv, jejichž uveřejnění by bylo pro emitenta vážně poškozující; tím není omezena jiná povinnost uveřejnit takovou informaci podle tohoto zákona nebo jiných právních předpisů,</w:t>
      </w:r>
    </w:p>
    <w:p w14:paraId="79D050AA" w14:textId="77777777" w:rsidR="00272890" w:rsidRPr="00F50C9D" w:rsidRDefault="00272890" w:rsidP="00FB33F7">
      <w:pPr>
        <w:pStyle w:val="PZTextpsmene"/>
        <w:spacing w:before="0"/>
        <w:rPr>
          <w:szCs w:val="24"/>
        </w:rPr>
      </w:pPr>
      <w:r w:rsidRPr="00F50C9D">
        <w:rPr>
          <w:szCs w:val="24"/>
        </w:rPr>
        <w:t>j)</w:t>
      </w:r>
      <w:r w:rsidRPr="00F50C9D">
        <w:rPr>
          <w:szCs w:val="24"/>
        </w:rPr>
        <w:tab/>
        <w:t>smlouvách mezi emitentem a členy jeho řídicího orgánu nebo zaměstnanci, kterými je emitent zavázán k plnění pro případ skončení jejich funkce nebo zaměstnání v souvislosti s nabídkou převzetí, a</w:t>
      </w:r>
    </w:p>
    <w:p w14:paraId="47B37BE0" w14:textId="77777777" w:rsidR="00272890" w:rsidRPr="00F50C9D" w:rsidRDefault="00272890" w:rsidP="00FB33F7">
      <w:pPr>
        <w:pStyle w:val="PZTextpsmene"/>
        <w:spacing w:before="0"/>
        <w:rPr>
          <w:szCs w:val="24"/>
        </w:rPr>
      </w:pPr>
      <w:r w:rsidRPr="00F50C9D">
        <w:rPr>
          <w:szCs w:val="24"/>
        </w:rPr>
        <w:t>k)</w:t>
      </w:r>
      <w:r w:rsidRPr="00F50C9D">
        <w:rPr>
          <w:szCs w:val="24"/>
        </w:rPr>
        <w:tab/>
        <w:t>systému kontroly programu, na jehož základě členové řídicího orgánu nebo zaměstnanci emitenta nabývají účastnické cenné papíry společnosti, opce na tyto cenné papíry nebo jiná práva k nim, pokud tato práva sami nevykonávají.</w:t>
      </w:r>
    </w:p>
    <w:p w14:paraId="4BA40C6D" w14:textId="473FA3D9" w:rsidR="00272890" w:rsidRPr="00F50C9D" w:rsidRDefault="00FB33F7" w:rsidP="0006588E">
      <w:pPr>
        <w:pStyle w:val="PZTextodstavce"/>
        <w:rPr>
          <w:szCs w:val="24"/>
        </w:rPr>
      </w:pPr>
      <w:r>
        <w:rPr>
          <w:szCs w:val="24"/>
        </w:rPr>
        <w:t xml:space="preserve">(6) </w:t>
      </w:r>
      <w:r w:rsidR="00272890" w:rsidRPr="00F50C9D">
        <w:rPr>
          <w:szCs w:val="24"/>
        </w:rPr>
        <w:t>Řídicí orgán emitenta uvedeného v odstavci 1 písm. a) na řádné valné hromadě nebo obdobném řádném shromáždění vlastníků cenných papírů představujících podíl na emitentovi předloží akcionářům nebo obdobným vlastníkům cenných papírů představujících podíl na emitentovi souhrnnou vysvětlující zprávu týkající se záležitostí podle odstavce 5.</w:t>
      </w:r>
    </w:p>
    <w:p w14:paraId="6F7D9972" w14:textId="4DDA4050" w:rsidR="00272890" w:rsidRPr="00F50C9D" w:rsidRDefault="00FB33F7" w:rsidP="0006588E">
      <w:pPr>
        <w:pStyle w:val="PZTextodstavce"/>
        <w:rPr>
          <w:szCs w:val="24"/>
        </w:rPr>
      </w:pPr>
      <w:r>
        <w:rPr>
          <w:szCs w:val="24"/>
        </w:rPr>
        <w:t xml:space="preserve">(7) </w:t>
      </w:r>
      <w:r w:rsidR="00272890" w:rsidRPr="00F50C9D">
        <w:rPr>
          <w:strike/>
          <w:szCs w:val="24"/>
        </w:rPr>
        <w:t>Výkaz o řízení a správě</w:t>
      </w:r>
      <w:r w:rsidR="00272890" w:rsidRPr="00F50C9D">
        <w:rPr>
          <w:szCs w:val="24"/>
        </w:rPr>
        <w:t xml:space="preserve"> </w:t>
      </w:r>
      <w:r w:rsidR="00272890" w:rsidRPr="00F50C9D">
        <w:rPr>
          <w:b/>
          <w:szCs w:val="24"/>
        </w:rPr>
        <w:t>Zpráva o správě a řízení</w:t>
      </w:r>
      <w:r w:rsidR="00272890" w:rsidRPr="00F50C9D">
        <w:rPr>
          <w:szCs w:val="24"/>
        </w:rPr>
        <w:t xml:space="preserve"> podle odstavce 4 emitenta podle § 134m obsahuje také informaci o zastoupení žen a mužů mezi členy vedoucího orgánu emitenta podle § 134l, přičemž rozlišuje mezi výkonnými a nevýkonnými členy vedoucího orgánu emitenta podle § 134l, jakož i informaci o opatřeních přijatých za účelem plnění emitentem stanoveného cíle vyváženého zastoupení žen a mužů podle § 134n odst. 1 a 2. Neplní-li emitent zvolený cíl vyváženého zastoupení žen a mužů podle § 134n odst. 1 a 2, uvede </w:t>
      </w:r>
      <w:r w:rsidR="00272890" w:rsidRPr="00F50C9D">
        <w:rPr>
          <w:szCs w:val="24"/>
        </w:rPr>
        <w:lastRenderedPageBreak/>
        <w:t>tuto skutečnost spolu s důvody neplnění cíle a s přijatými a plánovanými postupy vedoucími k plnění stanoveného cíle.</w:t>
      </w:r>
    </w:p>
    <w:p w14:paraId="4074A12D" w14:textId="18732BF1" w:rsidR="00272890" w:rsidRPr="00F50C9D" w:rsidRDefault="00FB33F7" w:rsidP="0006588E">
      <w:pPr>
        <w:pStyle w:val="PZTextodstavce"/>
        <w:rPr>
          <w:szCs w:val="24"/>
        </w:rPr>
      </w:pPr>
      <w:r>
        <w:rPr>
          <w:szCs w:val="24"/>
        </w:rPr>
        <w:t xml:space="preserve">(8) </w:t>
      </w:r>
      <w:r w:rsidR="00272890" w:rsidRPr="00F50C9D">
        <w:rPr>
          <w:strike/>
        </w:rPr>
        <w:t xml:space="preserve">Výroční zpráva nebo konsolidovaná výroční zpráva </w:t>
      </w:r>
      <w:r w:rsidR="00272890" w:rsidRPr="00F50C9D">
        <w:rPr>
          <w:b/>
        </w:rPr>
        <w:t>Řádná účetní závěrka a zpráva vedení</w:t>
      </w:r>
      <w:r w:rsidR="00272890" w:rsidRPr="00F50C9D">
        <w:rPr>
          <w:szCs w:val="24"/>
        </w:rPr>
        <w:t xml:space="preserve"> emitenta podle odstavce 1 se sídlem ve státě, který není členským státem Evropské unie, musí obsahovat informace rovnocenné informacím, které obsahuje </w:t>
      </w:r>
      <w:r w:rsidR="00272890" w:rsidRPr="00F50C9D">
        <w:rPr>
          <w:strike/>
        </w:rPr>
        <w:t>výroční zpráva podle zákona upravujícího účetnictví nebo konsolidovaná výroční zpráva podle zákona upravujícího účetnictví</w:t>
      </w:r>
      <w:r w:rsidR="00272890" w:rsidRPr="00F50C9D">
        <w:rPr>
          <w:b/>
        </w:rPr>
        <w:t xml:space="preserve"> řádná účetní závěrka a zpráva vedení emitenta, který je účetní jednotkou podle zákona upravujícího účetnictví</w:t>
      </w:r>
      <w:r w:rsidR="00272890" w:rsidRPr="00F50C9D">
        <w:rPr>
          <w:szCs w:val="24"/>
        </w:rPr>
        <w:t>.</w:t>
      </w:r>
    </w:p>
    <w:p w14:paraId="55581170" w14:textId="65F0B592" w:rsidR="00272890" w:rsidRPr="00F50C9D" w:rsidRDefault="00FB33F7" w:rsidP="0006588E">
      <w:pPr>
        <w:pStyle w:val="PZTextodstavce"/>
        <w:rPr>
          <w:b/>
        </w:rPr>
      </w:pPr>
      <w:r>
        <w:t xml:space="preserve">(9) </w:t>
      </w:r>
      <w:r w:rsidR="00272890" w:rsidRPr="00F50C9D">
        <w:t xml:space="preserve">Pokud valná hromada nebo obdobné shromáždění vlastníků cenných papírů představujících podíl na emitentovi </w:t>
      </w:r>
      <w:r w:rsidR="00272890" w:rsidRPr="00F50C9D">
        <w:rPr>
          <w:strike/>
        </w:rPr>
        <w:t xml:space="preserve">účetní závěrku nebo konsolidovanou účetní závěrku </w:t>
      </w:r>
      <w:proofErr w:type="gramStart"/>
      <w:r w:rsidR="00272890" w:rsidRPr="00F50C9D">
        <w:rPr>
          <w:strike/>
        </w:rPr>
        <w:t>neschválí</w:t>
      </w:r>
      <w:proofErr w:type="gramEnd"/>
      <w:r w:rsidR="00272890" w:rsidRPr="00F50C9D">
        <w:t xml:space="preserve"> </w:t>
      </w:r>
      <w:r w:rsidR="00272890" w:rsidRPr="00F50C9D">
        <w:rPr>
          <w:b/>
        </w:rPr>
        <w:t>řádnou</w:t>
      </w:r>
      <w:r w:rsidR="00272890" w:rsidRPr="00F50C9D">
        <w:t xml:space="preserve"> </w:t>
      </w:r>
      <w:r w:rsidR="00272890" w:rsidRPr="00F50C9D">
        <w:rPr>
          <w:b/>
          <w:bCs/>
        </w:rPr>
        <w:t>účetní závěrku</w:t>
      </w:r>
      <w:r w:rsidR="00272890" w:rsidRPr="00F50C9D">
        <w:t xml:space="preserve"> </w:t>
      </w:r>
      <w:proofErr w:type="gramStart"/>
      <w:r w:rsidR="00272890" w:rsidRPr="00F50C9D">
        <w:rPr>
          <w:b/>
          <w:bCs/>
        </w:rPr>
        <w:t>neschválí</w:t>
      </w:r>
      <w:proofErr w:type="gramEnd"/>
      <w:r w:rsidR="00272890" w:rsidRPr="00F50C9D">
        <w:t xml:space="preserve"> </w:t>
      </w:r>
      <w:r w:rsidR="00272890" w:rsidRPr="00F50C9D">
        <w:rPr>
          <w:b/>
        </w:rPr>
        <w:t>ve lhůtě podle odstavce 1</w:t>
      </w:r>
      <w:r w:rsidR="00272890" w:rsidRPr="00F50C9D">
        <w:t xml:space="preserve"> nebo pokud soudní orgán rozhodne o neplatnosti valné hromady nebo obdobného shromáždění vlastníků cenných papírů představujících podíl na emitentovi, které schválilo </w:t>
      </w:r>
      <w:r w:rsidR="00272890" w:rsidRPr="00F50C9D">
        <w:rPr>
          <w:strike/>
        </w:rPr>
        <w:t>účetní závěrku nebo konsolidovanou účetní závěrku</w:t>
      </w:r>
      <w:r w:rsidR="00272890" w:rsidRPr="00F50C9D">
        <w:rPr>
          <w:b/>
        </w:rPr>
        <w:t xml:space="preserve"> řádnou</w:t>
      </w:r>
      <w:r w:rsidR="00272890" w:rsidRPr="00F50C9D">
        <w:t xml:space="preserve"> </w:t>
      </w:r>
      <w:r w:rsidR="00272890" w:rsidRPr="00F50C9D">
        <w:rPr>
          <w:b/>
          <w:bCs/>
        </w:rPr>
        <w:t>účetní závěrku</w:t>
      </w:r>
      <w:r w:rsidR="00272890" w:rsidRPr="00F50C9D">
        <w:t xml:space="preserve">, emitent bez zbytečného odkladu tyto skutečnosti uveřejní; v informaci se uvede též způsob řešení připomínek valné hromady nebo obdobného shromáždění vlastníků cenných papírů představujících podíl na emitentovi. </w:t>
      </w:r>
      <w:r w:rsidR="00272890" w:rsidRPr="00F50C9D">
        <w:rPr>
          <w:b/>
        </w:rPr>
        <w:t>Emitent podle odstavce 1 bez zbytečného odkladu po jejím schválení účetní závěrku uveřejní a je-li účetní jednotkou, zveřejní ve veřejném rejstříku, ve kterém je zapsán.</w:t>
      </w:r>
    </w:p>
    <w:p w14:paraId="2EA1EA94" w14:textId="77777777" w:rsidR="00272890" w:rsidRPr="00F50C9D" w:rsidRDefault="00272890" w:rsidP="0006588E">
      <w:pPr>
        <w:tabs>
          <w:tab w:val="left" w:pos="782"/>
          <w:tab w:val="left" w:pos="851"/>
        </w:tabs>
        <w:spacing w:before="120" w:after="120"/>
        <w:outlineLvl w:val="6"/>
        <w:rPr>
          <w:szCs w:val="24"/>
          <w:highlight w:val="green"/>
        </w:rPr>
      </w:pPr>
      <w:r w:rsidRPr="00F50C9D">
        <w:rPr>
          <w:b/>
          <w:szCs w:val="24"/>
        </w:rPr>
        <w:t>(10)</w:t>
      </w:r>
      <w:r w:rsidRPr="00F50C9D">
        <w:rPr>
          <w:szCs w:val="24"/>
        </w:rPr>
        <w:t xml:space="preserve"> </w:t>
      </w:r>
      <w:r w:rsidRPr="00F50C9D">
        <w:rPr>
          <w:b/>
          <w:szCs w:val="24"/>
        </w:rPr>
        <w:t xml:space="preserve">Emitent podle odstavce 1, který je účetní jednotkou podle zákona upravujícího účetnictví, </w:t>
      </w:r>
      <w:r w:rsidRPr="00F50C9D">
        <w:rPr>
          <w:b/>
        </w:rPr>
        <w:t xml:space="preserve">zveřejní řádnou účetní závěrku, zprávu vedení a další zprávy vyhotovované podle zákona upravujícího účetnictví a zprávy o jejich ověření, jsou-li ověřovány, a to do 4 měsíců od konce účetního období. </w:t>
      </w:r>
    </w:p>
    <w:p w14:paraId="14B0F108" w14:textId="77777777" w:rsidR="00272890" w:rsidRPr="00F50C9D" w:rsidRDefault="00272890" w:rsidP="00FB33F7">
      <w:pPr>
        <w:spacing w:after="120"/>
        <w:ind w:firstLine="0"/>
        <w:jc w:val="center"/>
        <w:rPr>
          <w:szCs w:val="24"/>
        </w:rPr>
      </w:pPr>
      <w:r w:rsidRPr="00F50C9D">
        <w:rPr>
          <w:szCs w:val="24"/>
        </w:rPr>
        <w:t>§ 119</w:t>
      </w:r>
    </w:p>
    <w:p w14:paraId="631B7B66" w14:textId="77777777" w:rsidR="00272890" w:rsidRPr="00F50C9D" w:rsidRDefault="00272890" w:rsidP="00FB33F7">
      <w:pPr>
        <w:spacing w:after="120"/>
        <w:ind w:firstLine="0"/>
        <w:jc w:val="center"/>
        <w:rPr>
          <w:b/>
          <w:szCs w:val="24"/>
        </w:rPr>
      </w:pPr>
      <w:r w:rsidRPr="00F50C9D">
        <w:rPr>
          <w:b/>
          <w:szCs w:val="24"/>
        </w:rPr>
        <w:t>Pololetní finanční zpráva</w:t>
      </w:r>
    </w:p>
    <w:p w14:paraId="3059DA70" w14:textId="52A58927" w:rsidR="00272890" w:rsidRPr="00F50C9D" w:rsidRDefault="00FB33F7" w:rsidP="0006588E">
      <w:pPr>
        <w:pStyle w:val="PZTextodstavce"/>
        <w:rPr>
          <w:szCs w:val="24"/>
        </w:rPr>
      </w:pPr>
      <w:r>
        <w:rPr>
          <w:szCs w:val="24"/>
        </w:rPr>
        <w:t xml:space="preserve">(1) </w:t>
      </w:r>
      <w:r w:rsidR="00272890" w:rsidRPr="00F50C9D">
        <w:rPr>
          <w:szCs w:val="24"/>
        </w:rPr>
        <w:t>Emitent podle § 118 odst. 1 písm. a), b) nebo c) do 3 měsíců po uplynutí prvních 6 měsíců účetního období uveřejní svou pololetní finanční zprávu a zajistí, aby uveřejněná pololetní finanční zpráva byla veřejně přístupná po dobu nejméně 10 let.</w:t>
      </w:r>
    </w:p>
    <w:p w14:paraId="021DC120" w14:textId="77777777" w:rsidR="00272890" w:rsidRPr="00F50C9D" w:rsidRDefault="00272890" w:rsidP="0006588E">
      <w:pPr>
        <w:pStyle w:val="PZTextodstavce"/>
        <w:rPr>
          <w:szCs w:val="24"/>
        </w:rPr>
      </w:pPr>
      <w:r w:rsidRPr="00F50C9D">
        <w:rPr>
          <w:szCs w:val="24"/>
        </w:rPr>
        <w:t>(2) Pololetní finanční zpráva obsahuje vždy</w:t>
      </w:r>
    </w:p>
    <w:p w14:paraId="4A869236" w14:textId="77777777" w:rsidR="00272890" w:rsidRPr="00730C0F" w:rsidRDefault="00272890" w:rsidP="00FB33F7">
      <w:pPr>
        <w:pStyle w:val="PZTextpsmene"/>
        <w:spacing w:before="0"/>
        <w:rPr>
          <w:strike/>
        </w:rPr>
      </w:pPr>
      <w:r w:rsidRPr="00F50C9D">
        <w:rPr>
          <w:strike/>
        </w:rPr>
        <w:t>a)</w:t>
      </w:r>
      <w:r w:rsidRPr="00F50C9D">
        <w:rPr>
          <w:strike/>
        </w:rPr>
        <w:tab/>
        <w:t>zkrácený soubor účetní závěrky,</w:t>
      </w:r>
    </w:p>
    <w:p w14:paraId="27A3F431" w14:textId="77777777" w:rsidR="00272890" w:rsidRPr="00F50C9D" w:rsidRDefault="00272890" w:rsidP="00FB33F7">
      <w:pPr>
        <w:pStyle w:val="PZTextpsmene"/>
        <w:spacing w:before="0"/>
        <w:rPr>
          <w:szCs w:val="24"/>
        </w:rPr>
      </w:pPr>
      <w:r w:rsidRPr="00F50C9D">
        <w:t>b)</w:t>
      </w:r>
      <w:r w:rsidRPr="00F50C9D">
        <w:tab/>
        <w:t>popis důležitých událostí, ke kterým došlo v prvních 6 měsících účetního období a jejich dopadu na zkrácený soubor účetní závěrky, spolu s popisem hlavních rizik a nejistot pro zbývajících 6 měsíců účetního období, a u emitentů podle § 118 odst. 1 písm. a) rovněž popis transakcí se spřízněnými stranami v prvních 6 měsících účetního období, které podstatně ovlivnily výsledky hospodaření emitenta</w:t>
      </w:r>
      <w:r w:rsidRPr="00F50C9D">
        <w:rPr>
          <w:szCs w:val="24"/>
        </w:rPr>
        <w:t xml:space="preserve"> nebo jeho konsolidačního celku</w:t>
      </w:r>
      <w:r w:rsidRPr="00F50C9D">
        <w:rPr>
          <w:b/>
          <w:bCs/>
          <w:szCs w:val="24"/>
        </w:rPr>
        <w:t xml:space="preserve">, jakož i jakékoli změny v transakcích se spřízněnou stranou, které byly uvedeny v příloze řádné účetní závěrky emitenta bezprostředně předcházejícího účetního období, pokud tyto změny mohou podstatně ovlivnit výsledky hospodaření emitenta a jeho konsolidačního celku v prvních 6 měsících účetního období, </w:t>
      </w:r>
      <w:r w:rsidRPr="00F50C9D">
        <w:rPr>
          <w:szCs w:val="24"/>
        </w:rPr>
        <w:t xml:space="preserve">a </w:t>
      </w:r>
    </w:p>
    <w:p w14:paraId="57DBCCB9" w14:textId="77777777" w:rsidR="00272890" w:rsidRPr="00F50C9D" w:rsidRDefault="00272890" w:rsidP="00FB33F7">
      <w:pPr>
        <w:pStyle w:val="PZTextpsmene"/>
        <w:spacing w:before="0"/>
        <w:rPr>
          <w:szCs w:val="24"/>
        </w:rPr>
      </w:pPr>
      <w:r w:rsidRPr="00F50C9D">
        <w:rPr>
          <w:szCs w:val="24"/>
        </w:rPr>
        <w:t>c)</w:t>
      </w:r>
      <w:r w:rsidRPr="00F50C9D">
        <w:rPr>
          <w:szCs w:val="24"/>
        </w:rPr>
        <w:tab/>
        <w:t xml:space="preserve">prohlášení odpovědných osob emitenta, spolu s uvedením jejich jmen a funkcí, že podle jejich nejlepšího vědomí </w:t>
      </w:r>
      <w:r w:rsidRPr="00F50C9D">
        <w:rPr>
          <w:strike/>
          <w:szCs w:val="24"/>
        </w:rPr>
        <w:t xml:space="preserve">podává </w:t>
      </w:r>
      <w:r w:rsidRPr="00F50C9D">
        <w:rPr>
          <w:szCs w:val="24"/>
        </w:rPr>
        <w:t xml:space="preserve">zkrácený soubor účetní závěrky </w:t>
      </w:r>
      <w:r w:rsidRPr="00F50C9D">
        <w:rPr>
          <w:strike/>
          <w:szCs w:val="24"/>
        </w:rPr>
        <w:t xml:space="preserve">věrný a poctivý obraz o majetku, závazcích, finanční situaci a výsledku hospodaření emitenta a jeho konsolidačního celku </w:t>
      </w:r>
      <w:r w:rsidRPr="00F50C9D">
        <w:rPr>
          <w:b/>
        </w:rPr>
        <w:t>naplňuje požadavek věrného a poctivého zobrazení finanční situace, finanční výkonnosti a jiných vykazovaných změn finanční situace a je sestaven v souladu s příslušným účetním rámcem</w:t>
      </w:r>
      <w:r w:rsidRPr="00F50C9D">
        <w:rPr>
          <w:b/>
          <w:szCs w:val="24"/>
        </w:rPr>
        <w:t xml:space="preserve"> </w:t>
      </w:r>
      <w:r w:rsidRPr="00F50C9D">
        <w:rPr>
          <w:szCs w:val="24"/>
        </w:rPr>
        <w:t xml:space="preserve">a popis podle písmene b) obsahuje věrný přehled informací požadovaných podle písmene b). </w:t>
      </w:r>
    </w:p>
    <w:p w14:paraId="2649B5A4" w14:textId="50CBF608" w:rsidR="00272890" w:rsidRPr="00F50C9D" w:rsidRDefault="00FB33F7" w:rsidP="0006588E">
      <w:pPr>
        <w:pStyle w:val="PZTextodstavce"/>
        <w:rPr>
          <w:szCs w:val="24"/>
        </w:rPr>
      </w:pPr>
      <w:r>
        <w:rPr>
          <w:szCs w:val="24"/>
        </w:rPr>
        <w:lastRenderedPageBreak/>
        <w:t xml:space="preserve">(3) </w:t>
      </w:r>
      <w:r w:rsidR="00272890" w:rsidRPr="00F50C9D">
        <w:rPr>
          <w:szCs w:val="24"/>
        </w:rPr>
        <w:t>Byla-li pololetní finanční zpráva ověřena auditorem a není-li zpráva auditora o </w:t>
      </w:r>
      <w:r w:rsidR="00272890" w:rsidRPr="00F50C9D">
        <w:rPr>
          <w:strike/>
          <w:szCs w:val="24"/>
        </w:rPr>
        <w:t>přezkumu</w:t>
      </w:r>
      <w:r w:rsidR="00272890" w:rsidRPr="00F50C9D">
        <w:rPr>
          <w:b/>
          <w:szCs w:val="24"/>
        </w:rPr>
        <w:t xml:space="preserve"> jejím ověření </w:t>
      </w:r>
      <w:r w:rsidR="00272890" w:rsidRPr="00F50C9D">
        <w:rPr>
          <w:szCs w:val="24"/>
        </w:rPr>
        <w:t xml:space="preserve">obsahovou součástí pololetní finanční zprávy, uveřejní emitent zprávu auditora </w:t>
      </w:r>
      <w:r w:rsidR="00272890" w:rsidRPr="00F50C9D">
        <w:rPr>
          <w:b/>
          <w:bCs/>
          <w:szCs w:val="24"/>
        </w:rPr>
        <w:t xml:space="preserve">v plném znění </w:t>
      </w:r>
      <w:r w:rsidR="00272890" w:rsidRPr="00F50C9D">
        <w:rPr>
          <w:szCs w:val="24"/>
        </w:rPr>
        <w:t xml:space="preserve">spolu s pololetní finanční zprávou. Nebyla-li pololetní finanční zpráva ověřena auditorem, uvede to emitent v pololetní finanční zprávě. </w:t>
      </w:r>
    </w:p>
    <w:p w14:paraId="74CA25A6" w14:textId="401A8EB6" w:rsidR="00272890" w:rsidRPr="00F50C9D" w:rsidRDefault="00FB33F7" w:rsidP="0006588E">
      <w:pPr>
        <w:pStyle w:val="PZTextodstavce"/>
        <w:rPr>
          <w:szCs w:val="24"/>
        </w:rPr>
      </w:pPr>
      <w:r>
        <w:rPr>
          <w:szCs w:val="24"/>
        </w:rPr>
        <w:t xml:space="preserve"> (4) </w:t>
      </w:r>
      <w:r w:rsidR="00272890" w:rsidRPr="00F50C9D">
        <w:rPr>
          <w:strike/>
          <w:szCs w:val="24"/>
        </w:rPr>
        <w:t xml:space="preserve">Má-li emitent povinnost sestavovat konsolidovanou účetní závěrku, </w:t>
      </w:r>
      <w:proofErr w:type="gramStart"/>
      <w:r w:rsidR="00272890" w:rsidRPr="00F50C9D">
        <w:rPr>
          <w:strike/>
          <w:szCs w:val="24"/>
        </w:rPr>
        <w:t>obsahuje</w:t>
      </w:r>
      <w:proofErr w:type="gramEnd"/>
      <w:r w:rsidR="00272890" w:rsidRPr="00F50C9D">
        <w:rPr>
          <w:strike/>
          <w:szCs w:val="24"/>
        </w:rPr>
        <w:t xml:space="preserve"> zkrácený soubor účetní závěrky</w:t>
      </w:r>
      <w:r w:rsidR="00272890" w:rsidRPr="00F50C9D">
        <w:rPr>
          <w:szCs w:val="24"/>
        </w:rPr>
        <w:t xml:space="preserve"> </w:t>
      </w:r>
      <w:r w:rsidR="00272890" w:rsidRPr="00F50C9D">
        <w:rPr>
          <w:b/>
          <w:szCs w:val="24"/>
        </w:rPr>
        <w:t xml:space="preserve">Zkrácený soubor účetní závěrky </w:t>
      </w:r>
      <w:proofErr w:type="gramStart"/>
      <w:r w:rsidR="00272890" w:rsidRPr="00F50C9D">
        <w:rPr>
          <w:b/>
          <w:szCs w:val="24"/>
        </w:rPr>
        <w:t>obsahuje</w:t>
      </w:r>
      <w:proofErr w:type="gramEnd"/>
      <w:r w:rsidR="00272890" w:rsidRPr="00F50C9D">
        <w:rPr>
          <w:b/>
          <w:szCs w:val="24"/>
        </w:rPr>
        <w:t xml:space="preserve"> </w:t>
      </w:r>
      <w:r w:rsidR="00272890" w:rsidRPr="00F50C9D">
        <w:rPr>
          <w:szCs w:val="24"/>
        </w:rPr>
        <w:t>číselné údaje a informace v rozsahu mezitímní účetní závěrky podle mezinárodního účetního standardu IAS 34 – Mezitímní účetní výkaznictví, podle přílohy nařízení Komise (ES) č. 1126/2008</w:t>
      </w:r>
      <w:r w:rsidR="00272890" w:rsidRPr="00F50C9D">
        <w:rPr>
          <w:b/>
          <w:szCs w:val="24"/>
          <w:vertAlign w:val="superscript"/>
        </w:rPr>
        <w:t xml:space="preserve"> </w:t>
      </w:r>
      <w:r w:rsidR="00272890" w:rsidRPr="00F50C9D">
        <w:rPr>
          <w:b/>
          <w:szCs w:val="24"/>
        </w:rPr>
        <w:t>nebo pravidelně sestavované mezitímní účetní závěrky, nepoužívá-li emitent při individuálním účetním výkaznictví mezinárodní účetní standardy podle zákona upravujícího účetnictví</w:t>
      </w:r>
      <w:r w:rsidR="00272890" w:rsidRPr="00F50C9D">
        <w:rPr>
          <w:szCs w:val="24"/>
        </w:rPr>
        <w:t xml:space="preserve">. </w:t>
      </w:r>
    </w:p>
    <w:p w14:paraId="0A133FAD" w14:textId="56813166" w:rsidR="00272890" w:rsidRPr="00F50C9D" w:rsidRDefault="00FB33F7" w:rsidP="0006588E">
      <w:pPr>
        <w:pStyle w:val="PZTextodstavce"/>
        <w:rPr>
          <w:strike/>
          <w:szCs w:val="24"/>
        </w:rPr>
      </w:pPr>
      <w:r>
        <w:rPr>
          <w:strike/>
          <w:szCs w:val="24"/>
        </w:rPr>
        <w:t xml:space="preserve">(5) </w:t>
      </w:r>
      <w:r w:rsidR="00272890" w:rsidRPr="00F50C9D">
        <w:rPr>
          <w:strike/>
          <w:szCs w:val="24"/>
        </w:rPr>
        <w:t>Nemá-li emitent povinnost sestavovat konsolidovanou účetní závěrku, obsahuje zkrácený soubor účetní závěrky alespoň číselné údaje a informace v rozsahu zkrácené rozvahy, zkrácené výsledovky a vybraných vysvětlujících poznámek. Při přípravě zkrácené rozvahy a zkrácené výsledovky dodržuje emitent stejné zásady účtování a oceňování jako při přípravě výroční finanční zprávy.</w:t>
      </w:r>
    </w:p>
    <w:p w14:paraId="1F7E98C1" w14:textId="77777777" w:rsidR="00272890" w:rsidRPr="00F50C9D" w:rsidRDefault="00272890" w:rsidP="00FB33F7">
      <w:pPr>
        <w:keepNext/>
        <w:keepLines/>
        <w:widowControl w:val="0"/>
        <w:autoSpaceDE w:val="0"/>
        <w:autoSpaceDN w:val="0"/>
        <w:adjustRightInd w:val="0"/>
        <w:spacing w:after="120"/>
        <w:ind w:firstLine="0"/>
        <w:jc w:val="center"/>
        <w:rPr>
          <w:szCs w:val="24"/>
        </w:rPr>
      </w:pPr>
      <w:r w:rsidRPr="00F50C9D">
        <w:rPr>
          <w:szCs w:val="24"/>
        </w:rPr>
        <w:t>§ 119a</w:t>
      </w:r>
    </w:p>
    <w:p w14:paraId="56B6F3D6" w14:textId="77777777" w:rsidR="00272890" w:rsidRPr="00F50C9D" w:rsidRDefault="00272890" w:rsidP="00FB33F7">
      <w:pPr>
        <w:keepNext/>
        <w:keepLines/>
        <w:widowControl w:val="0"/>
        <w:autoSpaceDE w:val="0"/>
        <w:autoSpaceDN w:val="0"/>
        <w:adjustRightInd w:val="0"/>
        <w:spacing w:after="120"/>
        <w:ind w:firstLine="0"/>
        <w:jc w:val="center"/>
        <w:rPr>
          <w:b/>
          <w:bCs/>
          <w:szCs w:val="24"/>
        </w:rPr>
      </w:pPr>
      <w:r w:rsidRPr="00F50C9D">
        <w:rPr>
          <w:b/>
          <w:bCs/>
          <w:szCs w:val="24"/>
        </w:rPr>
        <w:t xml:space="preserve">Zpráva o </w:t>
      </w:r>
      <w:r w:rsidRPr="00F50C9D">
        <w:rPr>
          <w:b/>
          <w:bCs/>
          <w:strike/>
          <w:szCs w:val="24"/>
        </w:rPr>
        <w:t>úhradách placených státu</w:t>
      </w:r>
      <w:r w:rsidRPr="00F50C9D">
        <w:rPr>
          <w:b/>
          <w:bCs/>
          <w:szCs w:val="24"/>
        </w:rPr>
        <w:t xml:space="preserve"> platbách do veřejných rozpočtů</w:t>
      </w:r>
    </w:p>
    <w:p w14:paraId="43B53CC6" w14:textId="4DFC507D" w:rsidR="00272890" w:rsidRPr="00F50C9D" w:rsidRDefault="00272890" w:rsidP="0006588E">
      <w:pPr>
        <w:pStyle w:val="PZTextodstavce"/>
        <w:rPr>
          <w:szCs w:val="24"/>
        </w:rPr>
      </w:pPr>
      <w:r w:rsidRPr="00B62F4D">
        <w:rPr>
          <w:bCs/>
          <w:szCs w:val="24"/>
        </w:rPr>
        <w:t>(1)</w:t>
      </w:r>
      <w:r w:rsidR="00FB33F7">
        <w:rPr>
          <w:b/>
          <w:szCs w:val="24"/>
        </w:rPr>
        <w:t xml:space="preserve"> </w:t>
      </w:r>
      <w:r w:rsidRPr="00F50C9D">
        <w:rPr>
          <w:szCs w:val="24"/>
        </w:rPr>
        <w:t xml:space="preserve">Emitent uvedený v </w:t>
      </w:r>
      <w:hyperlink r:id="rId38" w:history="1">
        <w:r w:rsidRPr="00F50C9D">
          <w:rPr>
            <w:szCs w:val="24"/>
          </w:rPr>
          <w:t>§ 118 odst. 1</w:t>
        </w:r>
      </w:hyperlink>
      <w:r w:rsidRPr="00F50C9D">
        <w:rPr>
          <w:szCs w:val="24"/>
        </w:rPr>
        <w:t xml:space="preserve">, který </w:t>
      </w:r>
      <w:r w:rsidRPr="00F50C9D">
        <w:rPr>
          <w:strike/>
          <w:szCs w:val="24"/>
        </w:rPr>
        <w:t xml:space="preserve">působí v těžebním průmyslu, dřevařství nebo lesnictví </w:t>
      </w:r>
      <w:r w:rsidRPr="00F50C9D">
        <w:rPr>
          <w:b/>
          <w:szCs w:val="24"/>
        </w:rPr>
        <w:t>vykonává činnost rozhodnou pro vznik povinnosti vyhotovit zprávu o platbách do veřejných rozpočtů podle zákona upravujícího účetnictví</w:t>
      </w:r>
      <w:r w:rsidRPr="00F50C9D">
        <w:rPr>
          <w:szCs w:val="24"/>
        </w:rPr>
        <w:t xml:space="preserve">, uveřejní nejpozději do 6 měsíců po skončení účetního období zprávu na konsolidovaném základě obsahující číselné údaje a informace o platbách placených </w:t>
      </w:r>
      <w:r w:rsidRPr="00F50C9D">
        <w:rPr>
          <w:strike/>
          <w:szCs w:val="24"/>
        </w:rPr>
        <w:t xml:space="preserve">orgánům správy státu </w:t>
      </w:r>
      <w:r w:rsidRPr="00F50C9D">
        <w:rPr>
          <w:b/>
          <w:szCs w:val="24"/>
        </w:rPr>
        <w:t>správním entitám</w:t>
      </w:r>
      <w:r w:rsidRPr="00F50C9D">
        <w:rPr>
          <w:szCs w:val="24"/>
        </w:rPr>
        <w:t xml:space="preserve"> podle zákona upravujícího účetnictví. Emitent zabezpečí, aby tato uveřejněná zpráva byla veřejně přístupná po dobu nejméně 10 let. </w:t>
      </w:r>
    </w:p>
    <w:p w14:paraId="1AE93E37" w14:textId="768C7E8C" w:rsidR="00272890" w:rsidRPr="00F50C9D" w:rsidRDefault="00FB33F7" w:rsidP="0006588E">
      <w:pPr>
        <w:pStyle w:val="PZTextodstavce"/>
        <w:rPr>
          <w:b/>
        </w:rPr>
      </w:pPr>
      <w:r>
        <w:rPr>
          <w:b/>
          <w:szCs w:val="24"/>
        </w:rPr>
        <w:t xml:space="preserve">(2) </w:t>
      </w:r>
      <w:r w:rsidR="00272890" w:rsidRPr="00F50C9D">
        <w:rPr>
          <w:b/>
          <w:szCs w:val="24"/>
        </w:rPr>
        <w:t xml:space="preserve">Emitent podle odstavce 1, který je účetní jednotkou podle zákona upravujícího účetnictví, </w:t>
      </w:r>
      <w:r w:rsidR="00272890" w:rsidRPr="00F50C9D">
        <w:rPr>
          <w:b/>
        </w:rPr>
        <w:t>zveřejní zprávu o platbách do veřejných rozpočtů do 6 měsíců od konce účetního období.</w:t>
      </w:r>
    </w:p>
    <w:p w14:paraId="010485FF" w14:textId="77777777" w:rsidR="00272890" w:rsidRPr="00F50C9D" w:rsidRDefault="00272890" w:rsidP="00FB33F7">
      <w:pPr>
        <w:keepNext/>
        <w:widowControl w:val="0"/>
        <w:autoSpaceDE w:val="0"/>
        <w:autoSpaceDN w:val="0"/>
        <w:adjustRightInd w:val="0"/>
        <w:spacing w:after="120"/>
        <w:ind w:firstLine="0"/>
        <w:jc w:val="center"/>
        <w:rPr>
          <w:szCs w:val="24"/>
        </w:rPr>
      </w:pPr>
      <w:r w:rsidRPr="00F50C9D">
        <w:rPr>
          <w:szCs w:val="24"/>
        </w:rPr>
        <w:t>§ 121k</w:t>
      </w:r>
    </w:p>
    <w:p w14:paraId="25953C17" w14:textId="77777777" w:rsidR="00272890" w:rsidRPr="00F50C9D" w:rsidRDefault="00272890" w:rsidP="00FB33F7">
      <w:pPr>
        <w:keepNext/>
        <w:widowControl w:val="0"/>
        <w:autoSpaceDE w:val="0"/>
        <w:autoSpaceDN w:val="0"/>
        <w:adjustRightInd w:val="0"/>
        <w:spacing w:after="120"/>
        <w:ind w:firstLine="0"/>
        <w:jc w:val="center"/>
        <w:rPr>
          <w:b/>
          <w:bCs/>
          <w:szCs w:val="24"/>
        </w:rPr>
      </w:pPr>
      <w:r w:rsidRPr="00F50C9D">
        <w:rPr>
          <w:b/>
          <w:bCs/>
          <w:szCs w:val="24"/>
        </w:rPr>
        <w:t>Předložení, schválení a uveřejnění politiky odměňování</w:t>
      </w:r>
    </w:p>
    <w:p w14:paraId="692EF786" w14:textId="4CC41337" w:rsidR="00272890" w:rsidRPr="00F50C9D" w:rsidRDefault="00FB33F7" w:rsidP="0006588E">
      <w:pPr>
        <w:pStyle w:val="PZTextodstavce"/>
        <w:keepNext/>
        <w:rPr>
          <w:szCs w:val="24"/>
        </w:rPr>
      </w:pPr>
      <w:r>
        <w:rPr>
          <w:szCs w:val="24"/>
        </w:rPr>
        <w:t xml:space="preserve">(1) </w:t>
      </w:r>
      <w:r w:rsidR="00272890" w:rsidRPr="00F50C9D">
        <w:rPr>
          <w:szCs w:val="24"/>
        </w:rPr>
        <w:t xml:space="preserve">Emitent vyhotoví politiku odměňování podle </w:t>
      </w:r>
      <w:hyperlink r:id="rId39" w:history="1">
        <w:r w:rsidR="00272890" w:rsidRPr="00F50C9D">
          <w:rPr>
            <w:szCs w:val="24"/>
          </w:rPr>
          <w:t>§ 121l</w:t>
        </w:r>
      </w:hyperlink>
      <w:r w:rsidR="00272890" w:rsidRPr="00F50C9D">
        <w:rPr>
          <w:szCs w:val="24"/>
        </w:rPr>
        <w:t xml:space="preserve">. Představenstvo nebo správní rada emitenta ji předloží ke schválení nejpozději první valné hromadě konané po uplynutí 90 dnů ode dne přijetí akcií k obchodování na evropském regulovaném trhu, která schvaluje </w:t>
      </w:r>
      <w:r w:rsidR="00272890" w:rsidRPr="00F50C9D">
        <w:rPr>
          <w:b/>
          <w:szCs w:val="24"/>
        </w:rPr>
        <w:t>řádnou</w:t>
      </w:r>
      <w:r w:rsidR="00272890" w:rsidRPr="00F50C9D">
        <w:rPr>
          <w:szCs w:val="24"/>
        </w:rPr>
        <w:t xml:space="preserve"> účetní závěrku emitenta. Nepředloží-li představenstvo nebo správní rada emitenta politiku odměňování podle věty druhé, je výkon funkce členů představenstva nebo členů správní rady bezplatný, a to ode dne konání valné hromady podle věty druhé až do dne konání valné hromady, které byla předložena politika odměňování ke schválení. </w:t>
      </w:r>
    </w:p>
    <w:p w14:paraId="49DACBB9" w14:textId="472E3859" w:rsidR="00272890" w:rsidRPr="00F50C9D" w:rsidRDefault="00FB33F7" w:rsidP="0006588E">
      <w:pPr>
        <w:pStyle w:val="PZTextodstavce"/>
        <w:rPr>
          <w:szCs w:val="24"/>
        </w:rPr>
      </w:pPr>
      <w:r>
        <w:rPr>
          <w:szCs w:val="24"/>
        </w:rPr>
        <w:t xml:space="preserve">(2) </w:t>
      </w:r>
      <w:r w:rsidR="00272890" w:rsidRPr="00F50C9D">
        <w:rPr>
          <w:szCs w:val="24"/>
        </w:rPr>
        <w:t xml:space="preserve">Představenstvo nebo správní rada emitenta předloží valné hromadě politiku odměňování ke schválení při každé její podstatné změně nebo alespoň jednou za 4 roky. </w:t>
      </w:r>
    </w:p>
    <w:p w14:paraId="69C659E9" w14:textId="654AD524" w:rsidR="00272890" w:rsidRPr="00F50C9D" w:rsidRDefault="00FB33F7" w:rsidP="0006588E">
      <w:pPr>
        <w:pStyle w:val="PZTextodstavce"/>
        <w:rPr>
          <w:szCs w:val="24"/>
        </w:rPr>
      </w:pPr>
      <w:r>
        <w:rPr>
          <w:szCs w:val="24"/>
        </w:rPr>
        <w:t xml:space="preserve">(3) </w:t>
      </w:r>
      <w:r w:rsidR="00272890" w:rsidRPr="00F50C9D">
        <w:rPr>
          <w:szCs w:val="24"/>
        </w:rPr>
        <w:t xml:space="preserve">Neschválí-li valná hromada emitenta předloženou politiku odměňování, předloží představenstvo nebo správní rada následující valné hromadě ke schválení upravenou politiku odměňování. </w:t>
      </w:r>
    </w:p>
    <w:p w14:paraId="79743A73" w14:textId="4872E6F2" w:rsidR="00272890" w:rsidRPr="00F50C9D" w:rsidRDefault="00272890" w:rsidP="0006588E">
      <w:pPr>
        <w:pStyle w:val="PZTextodstavce"/>
        <w:rPr>
          <w:szCs w:val="24"/>
        </w:rPr>
      </w:pPr>
      <w:r w:rsidRPr="00F50C9D">
        <w:rPr>
          <w:szCs w:val="24"/>
        </w:rPr>
        <w:lastRenderedPageBreak/>
        <w:t>(4</w:t>
      </w:r>
      <w:r w:rsidR="00FB33F7">
        <w:rPr>
          <w:szCs w:val="24"/>
        </w:rPr>
        <w:t xml:space="preserve">) </w:t>
      </w:r>
      <w:r w:rsidRPr="00F50C9D">
        <w:rPr>
          <w:szCs w:val="24"/>
        </w:rPr>
        <w:t xml:space="preserve">Emitent bez zbytečného odkladu po konání valné hromady bezplatně uveřejní schválenou politiku odměňování spolu s datem jejího schválení a údaji podle </w:t>
      </w:r>
      <w:hyperlink r:id="rId40" w:history="1">
        <w:r w:rsidRPr="00F50C9D">
          <w:rPr>
            <w:szCs w:val="24"/>
          </w:rPr>
          <w:t>§ 120b odst. 2</w:t>
        </w:r>
      </w:hyperlink>
      <w:r w:rsidRPr="00F50C9D">
        <w:rPr>
          <w:szCs w:val="24"/>
        </w:rPr>
        <w:t xml:space="preserve"> na svých internetových stránkách a ponechá ji uveřejněnou po dobu jejího uplatňování. </w:t>
      </w:r>
    </w:p>
    <w:p w14:paraId="7AF342D0" w14:textId="77777777" w:rsidR="00272890" w:rsidRPr="00F50C9D" w:rsidRDefault="00272890" w:rsidP="00FB33F7">
      <w:pPr>
        <w:widowControl w:val="0"/>
        <w:autoSpaceDE w:val="0"/>
        <w:autoSpaceDN w:val="0"/>
        <w:adjustRightInd w:val="0"/>
        <w:spacing w:after="120"/>
        <w:ind w:firstLine="0"/>
        <w:jc w:val="center"/>
        <w:rPr>
          <w:szCs w:val="24"/>
        </w:rPr>
      </w:pPr>
      <w:r w:rsidRPr="00F50C9D">
        <w:rPr>
          <w:szCs w:val="24"/>
        </w:rPr>
        <w:t>§ 121o</w:t>
      </w:r>
    </w:p>
    <w:p w14:paraId="61571B46" w14:textId="77777777" w:rsidR="00272890" w:rsidRPr="00F50C9D" w:rsidRDefault="00272890" w:rsidP="00FB33F7">
      <w:pPr>
        <w:widowControl w:val="0"/>
        <w:autoSpaceDE w:val="0"/>
        <w:autoSpaceDN w:val="0"/>
        <w:adjustRightInd w:val="0"/>
        <w:spacing w:after="120"/>
        <w:ind w:firstLine="0"/>
        <w:jc w:val="center"/>
        <w:rPr>
          <w:b/>
          <w:bCs/>
          <w:szCs w:val="24"/>
        </w:rPr>
      </w:pPr>
      <w:r w:rsidRPr="00F50C9D">
        <w:rPr>
          <w:b/>
          <w:bCs/>
          <w:szCs w:val="24"/>
        </w:rPr>
        <w:t>Vyhotovení, schválení a uveřejnění zprávy o odměňování</w:t>
      </w:r>
    </w:p>
    <w:p w14:paraId="65BE340E" w14:textId="6CD3D02B" w:rsidR="00272890" w:rsidRPr="00F50C9D" w:rsidRDefault="00FB33F7" w:rsidP="0006588E">
      <w:pPr>
        <w:pStyle w:val="PZTextodstavce"/>
        <w:rPr>
          <w:szCs w:val="24"/>
        </w:rPr>
      </w:pPr>
      <w:r>
        <w:rPr>
          <w:szCs w:val="24"/>
        </w:rPr>
        <w:t xml:space="preserve">(1) </w:t>
      </w:r>
      <w:r w:rsidR="00272890" w:rsidRPr="00F50C9D">
        <w:rPr>
          <w:szCs w:val="24"/>
        </w:rPr>
        <w:t xml:space="preserve">Emitent vyhotoví přehlednou a srozumitelnou zprávu o odměňování, která poskytuje úplný přehled odměn, včetně všech výhod v jakékoliv formě, poskytnutých nebo splatných v průběhu posledního skončeného </w:t>
      </w:r>
      <w:r w:rsidR="00272890" w:rsidRPr="00F50C9D">
        <w:rPr>
          <w:b/>
          <w:szCs w:val="24"/>
        </w:rPr>
        <w:t>individuálního</w:t>
      </w:r>
      <w:r w:rsidR="00272890" w:rsidRPr="00F50C9D">
        <w:rPr>
          <w:szCs w:val="24"/>
        </w:rPr>
        <w:t xml:space="preserve"> účetního období osobám podle § 121m odst. 1.</w:t>
      </w:r>
    </w:p>
    <w:p w14:paraId="4CDFDEF1" w14:textId="6D6CF902" w:rsidR="00272890" w:rsidRPr="00F50C9D" w:rsidRDefault="00FB33F7" w:rsidP="0006588E">
      <w:pPr>
        <w:pStyle w:val="PZTextodstavce"/>
        <w:rPr>
          <w:szCs w:val="24"/>
        </w:rPr>
      </w:pPr>
      <w:r>
        <w:rPr>
          <w:szCs w:val="24"/>
        </w:rPr>
        <w:t xml:space="preserve">(2) </w:t>
      </w:r>
      <w:r w:rsidR="00272890" w:rsidRPr="00F50C9D">
        <w:rPr>
          <w:szCs w:val="24"/>
        </w:rPr>
        <w:t xml:space="preserve">Osoba podle § 121m odst. 1 sdělí emitentovi bez zbytečného odkladu po skončení </w:t>
      </w:r>
      <w:r w:rsidR="00272890" w:rsidRPr="00F50C9D">
        <w:rPr>
          <w:b/>
          <w:szCs w:val="24"/>
        </w:rPr>
        <w:t xml:space="preserve">individuálního </w:t>
      </w:r>
      <w:r w:rsidR="00272890" w:rsidRPr="00F50C9D">
        <w:rPr>
          <w:szCs w:val="24"/>
        </w:rPr>
        <w:t>účetního období veškeré odměny, které jí byly poskytnuty nebo jsou splatné v </w:t>
      </w:r>
      <w:r w:rsidR="00272890" w:rsidRPr="00F50C9D">
        <w:rPr>
          <w:b/>
          <w:szCs w:val="24"/>
        </w:rPr>
        <w:t xml:space="preserve">individuálním </w:t>
      </w:r>
      <w:r w:rsidR="00272890" w:rsidRPr="00F50C9D">
        <w:rPr>
          <w:szCs w:val="24"/>
        </w:rPr>
        <w:t>účetním období, za něž se vypracovává zpráva o odměňování, osobou, která patří do stejné skupiny jako emitent.</w:t>
      </w:r>
    </w:p>
    <w:p w14:paraId="4378A5EF" w14:textId="71CBDB09" w:rsidR="00272890" w:rsidRPr="00F50C9D" w:rsidRDefault="00FB33F7" w:rsidP="0006588E">
      <w:pPr>
        <w:pStyle w:val="PZTextodstavce"/>
        <w:rPr>
          <w:i/>
          <w:szCs w:val="24"/>
        </w:rPr>
      </w:pPr>
      <w:r>
        <w:rPr>
          <w:szCs w:val="24"/>
        </w:rPr>
        <w:t xml:space="preserve">(3) </w:t>
      </w:r>
      <w:r w:rsidR="00272890" w:rsidRPr="00F50C9D">
        <w:rPr>
          <w:szCs w:val="24"/>
        </w:rPr>
        <w:t xml:space="preserve">Zprávu o odměňování představenstvo nebo správní rada předloží ke schválení nejpozději valné hromadě, která schvaluje </w:t>
      </w:r>
      <w:r w:rsidR="00272890" w:rsidRPr="00F50C9D">
        <w:rPr>
          <w:b/>
          <w:szCs w:val="24"/>
        </w:rPr>
        <w:t>řádnou</w:t>
      </w:r>
      <w:r w:rsidR="00272890" w:rsidRPr="00F50C9D">
        <w:rPr>
          <w:szCs w:val="24"/>
        </w:rPr>
        <w:t xml:space="preserve"> účetní závěrku za </w:t>
      </w:r>
      <w:r w:rsidR="00272890" w:rsidRPr="00F50C9D">
        <w:rPr>
          <w:b/>
          <w:szCs w:val="24"/>
        </w:rPr>
        <w:t xml:space="preserve">individuální </w:t>
      </w:r>
      <w:r w:rsidR="00272890" w:rsidRPr="00F50C9D">
        <w:rPr>
          <w:szCs w:val="24"/>
        </w:rPr>
        <w:t>účetní období, za které se vypracovává zpráva o odměňování. Neschválí-li valná hromada zprávu o odměňování, představenstvo nebo správní rada v příští zprávě o odměňování vysvětlí, jakým způsobem byl výsledek hlasování na valné hromadě zohledněn při vypracování nové zprávy.</w:t>
      </w:r>
    </w:p>
    <w:p w14:paraId="06828843" w14:textId="7DFF3D73" w:rsidR="00272890" w:rsidRPr="00F50C9D" w:rsidRDefault="00FB33F7" w:rsidP="0006588E">
      <w:pPr>
        <w:pStyle w:val="PZTextodstavce"/>
        <w:rPr>
          <w:szCs w:val="24"/>
        </w:rPr>
      </w:pPr>
      <w:r>
        <w:rPr>
          <w:szCs w:val="24"/>
        </w:rPr>
        <w:t xml:space="preserve">(4) </w:t>
      </w:r>
      <w:r w:rsidR="00272890" w:rsidRPr="00F50C9D">
        <w:rPr>
          <w:szCs w:val="24"/>
        </w:rPr>
        <w:t xml:space="preserve">Emitent bez zbytečného odkladu po konání valné hromady podle odstavce 3 bezplatně uveřejní zprávu o odměňování spolu </w:t>
      </w:r>
      <w:r w:rsidR="00272890" w:rsidRPr="00F50C9D">
        <w:rPr>
          <w:b/>
          <w:szCs w:val="24"/>
        </w:rPr>
        <w:t>se zprávou o jejím ověření a</w:t>
      </w:r>
      <w:r w:rsidR="00272890" w:rsidRPr="00F50C9D">
        <w:rPr>
          <w:szCs w:val="24"/>
        </w:rPr>
        <w:t xml:space="preserve"> s informací, zda byla zpráva o odměňování schválena valnou hromadou, na svých internetových stránkách a ponechá ji uveřejněnou</w:t>
      </w:r>
      <w:r w:rsidR="00272890" w:rsidRPr="00F50C9D">
        <w:rPr>
          <w:b/>
          <w:szCs w:val="24"/>
        </w:rPr>
        <w:t xml:space="preserve"> </w:t>
      </w:r>
      <w:r w:rsidR="00272890" w:rsidRPr="00F50C9D">
        <w:rPr>
          <w:szCs w:val="24"/>
        </w:rPr>
        <w:t>po dobu 10 let.</w:t>
      </w:r>
    </w:p>
    <w:p w14:paraId="58B21BED" w14:textId="29EEB2E8" w:rsidR="00272890" w:rsidRPr="00F50C9D" w:rsidRDefault="00FB33F7" w:rsidP="0006588E">
      <w:pPr>
        <w:pStyle w:val="PZTextodstavce"/>
        <w:rPr>
          <w:szCs w:val="24"/>
        </w:rPr>
      </w:pPr>
      <w:r>
        <w:rPr>
          <w:szCs w:val="24"/>
        </w:rPr>
        <w:t xml:space="preserve">(5) </w:t>
      </w:r>
      <w:r w:rsidR="00272890" w:rsidRPr="00F50C9D">
        <w:rPr>
          <w:szCs w:val="24"/>
        </w:rPr>
        <w:t>Emitent může rozhodnout, že zpráva o odměňování bude dostupná na internetových stránkách i po uplynutí doby podle odstavce 4; v takovém případě nesmí zpráva o odměňování obsahovat osobní údaje osob podle § 121m odst. 1.</w:t>
      </w:r>
    </w:p>
    <w:p w14:paraId="43E625AB" w14:textId="77777777" w:rsidR="00272890" w:rsidRPr="003172BB" w:rsidRDefault="00272890" w:rsidP="00FB33F7">
      <w:pPr>
        <w:widowControl w:val="0"/>
        <w:autoSpaceDE w:val="0"/>
        <w:autoSpaceDN w:val="0"/>
        <w:adjustRightInd w:val="0"/>
        <w:spacing w:after="120"/>
        <w:ind w:firstLine="0"/>
        <w:jc w:val="center"/>
        <w:rPr>
          <w:strike/>
          <w:szCs w:val="24"/>
        </w:rPr>
      </w:pPr>
      <w:r w:rsidRPr="003172BB">
        <w:rPr>
          <w:strike/>
          <w:szCs w:val="24"/>
        </w:rPr>
        <w:t xml:space="preserve">§ 121q </w:t>
      </w:r>
    </w:p>
    <w:p w14:paraId="6F3FF167" w14:textId="77777777" w:rsidR="00272890" w:rsidRDefault="00272890" w:rsidP="00272890">
      <w:pPr>
        <w:pStyle w:val="PZTextodstavce"/>
        <w:spacing w:before="240"/>
        <w:rPr>
          <w:szCs w:val="24"/>
        </w:rPr>
      </w:pPr>
      <w:r w:rsidRPr="003172BB">
        <w:rPr>
          <w:strike/>
          <w:szCs w:val="24"/>
        </w:rPr>
        <w:t>Auditor ověří, zda zpráva o odměňování obsahuje informace podle § 121p odst. 1.</w:t>
      </w:r>
    </w:p>
    <w:p w14:paraId="031CE5EC" w14:textId="77777777" w:rsidR="00272890" w:rsidRPr="003172BB" w:rsidRDefault="00272890" w:rsidP="00FB33F7">
      <w:pPr>
        <w:widowControl w:val="0"/>
        <w:autoSpaceDE w:val="0"/>
        <w:autoSpaceDN w:val="0"/>
        <w:adjustRightInd w:val="0"/>
        <w:spacing w:after="120"/>
        <w:ind w:firstLine="0"/>
        <w:jc w:val="center"/>
        <w:rPr>
          <w:b/>
          <w:szCs w:val="24"/>
        </w:rPr>
      </w:pPr>
      <w:r w:rsidRPr="003172BB">
        <w:rPr>
          <w:b/>
          <w:szCs w:val="24"/>
        </w:rPr>
        <w:t xml:space="preserve">§ 121q </w:t>
      </w:r>
    </w:p>
    <w:p w14:paraId="3E61F3D8" w14:textId="16AECA29" w:rsidR="00272890" w:rsidRDefault="00272890" w:rsidP="0006588E">
      <w:pPr>
        <w:pStyle w:val="PZTextodstavce"/>
        <w:rPr>
          <w:szCs w:val="24"/>
        </w:rPr>
      </w:pPr>
      <w:r>
        <w:rPr>
          <w:b/>
          <w:szCs w:val="24"/>
        </w:rPr>
        <w:t>Auditor ověří, že v souladu s § 121o byly prostřednictvím zprávy o odměňování poskytnuty informace vyžadované v § 121p</w:t>
      </w:r>
      <w:r w:rsidRPr="004E6913">
        <w:rPr>
          <w:b/>
          <w:szCs w:val="24"/>
        </w:rPr>
        <w:t>.</w:t>
      </w:r>
    </w:p>
    <w:p w14:paraId="4ED48C43" w14:textId="77777777" w:rsidR="00272890" w:rsidRPr="00F50C9D" w:rsidRDefault="00272890" w:rsidP="00FB33F7">
      <w:pPr>
        <w:widowControl w:val="0"/>
        <w:autoSpaceDE w:val="0"/>
        <w:autoSpaceDN w:val="0"/>
        <w:adjustRightInd w:val="0"/>
        <w:spacing w:after="120"/>
        <w:ind w:firstLine="0"/>
        <w:jc w:val="center"/>
        <w:rPr>
          <w:szCs w:val="24"/>
        </w:rPr>
      </w:pPr>
      <w:r w:rsidRPr="00F50C9D">
        <w:rPr>
          <w:szCs w:val="24"/>
        </w:rPr>
        <w:t>§ 121s</w:t>
      </w:r>
    </w:p>
    <w:p w14:paraId="4B15B8FC" w14:textId="77777777" w:rsidR="00272890" w:rsidRPr="00F50C9D" w:rsidRDefault="00272890" w:rsidP="00FB33F7">
      <w:pPr>
        <w:widowControl w:val="0"/>
        <w:autoSpaceDE w:val="0"/>
        <w:autoSpaceDN w:val="0"/>
        <w:adjustRightInd w:val="0"/>
        <w:spacing w:after="120"/>
        <w:ind w:firstLine="0"/>
        <w:jc w:val="center"/>
        <w:rPr>
          <w:b/>
          <w:bCs/>
          <w:szCs w:val="24"/>
        </w:rPr>
      </w:pPr>
      <w:r w:rsidRPr="00F50C9D">
        <w:rPr>
          <w:b/>
          <w:bCs/>
          <w:szCs w:val="24"/>
        </w:rPr>
        <w:t>Významné transakce uzavírané emitentem</w:t>
      </w:r>
    </w:p>
    <w:p w14:paraId="1B6682CD" w14:textId="46546630" w:rsidR="00272890" w:rsidRPr="00F50C9D" w:rsidRDefault="00FB33F7" w:rsidP="00272890">
      <w:pPr>
        <w:pStyle w:val="PZTextodstavce"/>
        <w:spacing w:before="240"/>
        <w:rPr>
          <w:szCs w:val="24"/>
        </w:rPr>
      </w:pPr>
      <w:r>
        <w:rPr>
          <w:szCs w:val="24"/>
        </w:rPr>
        <w:t xml:space="preserve">(1) </w:t>
      </w:r>
      <w:r w:rsidR="00272890" w:rsidRPr="00F50C9D">
        <w:rPr>
          <w:szCs w:val="24"/>
        </w:rPr>
        <w:t>Významnou transakcí uzavíranou emitentem je smlouva nebo dohoda, na základě které dochází ke</w:t>
      </w:r>
    </w:p>
    <w:p w14:paraId="46B4B17D" w14:textId="77777777" w:rsidR="00272890" w:rsidRPr="00F50C9D" w:rsidRDefault="00272890" w:rsidP="00FB33F7">
      <w:pPr>
        <w:pStyle w:val="PZTextpsmene"/>
        <w:spacing w:before="0"/>
        <w:rPr>
          <w:szCs w:val="24"/>
        </w:rPr>
      </w:pPr>
      <w:r w:rsidRPr="00F50C9D">
        <w:rPr>
          <w:szCs w:val="24"/>
        </w:rPr>
        <w:t>a)</w:t>
      </w:r>
      <w:r w:rsidRPr="00F50C9D">
        <w:rPr>
          <w:szCs w:val="24"/>
        </w:rPr>
        <w:tab/>
        <w:t>zcizení nebo nabytí majetku emitentem ve výši přesahující 10 % aktiv vyplývajících z </w:t>
      </w:r>
      <w:r w:rsidRPr="00F50C9D">
        <w:rPr>
          <w:b/>
          <w:szCs w:val="24"/>
        </w:rPr>
        <w:t xml:space="preserve">řádné individuální </w:t>
      </w:r>
      <w:r w:rsidRPr="00F50C9D">
        <w:rPr>
          <w:szCs w:val="24"/>
        </w:rPr>
        <w:t xml:space="preserve">účetní závěrky za </w:t>
      </w:r>
      <w:r w:rsidRPr="00F50C9D">
        <w:rPr>
          <w:b/>
          <w:szCs w:val="24"/>
        </w:rPr>
        <w:t xml:space="preserve">individuální </w:t>
      </w:r>
      <w:r w:rsidRPr="00F50C9D">
        <w:rPr>
          <w:szCs w:val="24"/>
        </w:rPr>
        <w:t xml:space="preserve">účetní období bezprostředně předcházející </w:t>
      </w:r>
      <w:r w:rsidRPr="00F50C9D">
        <w:rPr>
          <w:b/>
          <w:szCs w:val="24"/>
        </w:rPr>
        <w:t xml:space="preserve">individuálnímu </w:t>
      </w:r>
      <w:r w:rsidRPr="00F50C9D">
        <w:rPr>
          <w:szCs w:val="24"/>
        </w:rPr>
        <w:t>účetnímu období, ve kterém se transakce uzavírá, nebo</w:t>
      </w:r>
    </w:p>
    <w:p w14:paraId="1D09D909" w14:textId="77777777" w:rsidR="00272890" w:rsidRPr="00F50C9D" w:rsidRDefault="00272890" w:rsidP="00FB33F7">
      <w:pPr>
        <w:pStyle w:val="PZTextpsmene"/>
        <w:spacing w:before="0"/>
        <w:rPr>
          <w:szCs w:val="24"/>
        </w:rPr>
      </w:pPr>
      <w:r w:rsidRPr="00F50C9D">
        <w:rPr>
          <w:szCs w:val="24"/>
        </w:rPr>
        <w:t>b)</w:t>
      </w:r>
      <w:r w:rsidRPr="00F50C9D">
        <w:rPr>
          <w:szCs w:val="24"/>
        </w:rPr>
        <w:tab/>
        <w:t>zvýšení pouze</w:t>
      </w:r>
      <w:r w:rsidRPr="00F50C9D">
        <w:rPr>
          <w:b/>
          <w:szCs w:val="24"/>
        </w:rPr>
        <w:t xml:space="preserve"> </w:t>
      </w:r>
      <w:r w:rsidRPr="00F50C9D">
        <w:rPr>
          <w:szCs w:val="24"/>
        </w:rPr>
        <w:t xml:space="preserve">dluhů emitenta </w:t>
      </w:r>
      <w:r w:rsidRPr="00F50C9D">
        <w:rPr>
          <w:strike/>
          <w:szCs w:val="24"/>
        </w:rPr>
        <w:t>o dluh</w:t>
      </w:r>
      <w:r w:rsidRPr="00F50C9D">
        <w:rPr>
          <w:szCs w:val="24"/>
        </w:rPr>
        <w:t xml:space="preserve"> </w:t>
      </w:r>
      <w:r w:rsidRPr="00F50C9D">
        <w:rPr>
          <w:b/>
          <w:szCs w:val="24"/>
        </w:rPr>
        <w:t xml:space="preserve">podle zákona upravujícího účetnictví o dluh podle zákona upravujícího účetnictví </w:t>
      </w:r>
      <w:r w:rsidRPr="00F50C9D">
        <w:rPr>
          <w:szCs w:val="24"/>
        </w:rPr>
        <w:t xml:space="preserve">nebo podmíněný dluh ve výši přesahující 10 % aktiv </w:t>
      </w:r>
      <w:r w:rsidRPr="00F50C9D">
        <w:rPr>
          <w:szCs w:val="24"/>
        </w:rPr>
        <w:lastRenderedPageBreak/>
        <w:t>vyplývajících z </w:t>
      </w:r>
      <w:r w:rsidRPr="00F50C9D">
        <w:rPr>
          <w:b/>
          <w:szCs w:val="24"/>
        </w:rPr>
        <w:t>řádné individuální</w:t>
      </w:r>
      <w:r w:rsidRPr="00F50C9D">
        <w:rPr>
          <w:szCs w:val="24"/>
        </w:rPr>
        <w:t xml:space="preserve"> účetní závěrky za</w:t>
      </w:r>
      <w:r w:rsidRPr="00F50C9D">
        <w:rPr>
          <w:b/>
          <w:szCs w:val="24"/>
        </w:rPr>
        <w:t xml:space="preserve"> individuální</w:t>
      </w:r>
      <w:r w:rsidRPr="00F50C9D">
        <w:rPr>
          <w:szCs w:val="24"/>
        </w:rPr>
        <w:t xml:space="preserve"> účetní období bezprostředně předcházející </w:t>
      </w:r>
      <w:r w:rsidRPr="00F50C9D">
        <w:rPr>
          <w:b/>
          <w:szCs w:val="24"/>
        </w:rPr>
        <w:t xml:space="preserve">individuálnímu </w:t>
      </w:r>
      <w:r w:rsidRPr="00F50C9D">
        <w:rPr>
          <w:szCs w:val="24"/>
        </w:rPr>
        <w:t>účetnímu období, ve kterém se transakce uzavírá.</w:t>
      </w:r>
    </w:p>
    <w:p w14:paraId="1DD7F2D5" w14:textId="51DFC6F8" w:rsidR="00272890" w:rsidRPr="00F50C9D" w:rsidRDefault="00FB33F7" w:rsidP="00272890">
      <w:pPr>
        <w:pStyle w:val="PZTextodstavce"/>
        <w:spacing w:before="240"/>
        <w:rPr>
          <w:szCs w:val="24"/>
        </w:rPr>
      </w:pPr>
      <w:r>
        <w:rPr>
          <w:szCs w:val="24"/>
        </w:rPr>
        <w:t xml:space="preserve">(2) </w:t>
      </w:r>
      <w:r w:rsidR="00272890" w:rsidRPr="00F50C9D">
        <w:rPr>
          <w:szCs w:val="24"/>
        </w:rPr>
        <w:t xml:space="preserve">Transakce s toutéž spřízněnou stranou uzavřené v průběhu téhož </w:t>
      </w:r>
      <w:r w:rsidR="00272890" w:rsidRPr="00F50C9D">
        <w:rPr>
          <w:b/>
          <w:szCs w:val="24"/>
        </w:rPr>
        <w:t xml:space="preserve">individuálního </w:t>
      </w:r>
      <w:r w:rsidR="00272890" w:rsidRPr="00F50C9D">
        <w:rPr>
          <w:szCs w:val="24"/>
        </w:rPr>
        <w:t>účetního období se pro účely odstavce 1 sčítají.</w:t>
      </w:r>
    </w:p>
    <w:p w14:paraId="008B9094" w14:textId="77777777" w:rsidR="00272890" w:rsidRPr="00F50C9D" w:rsidRDefault="00272890" w:rsidP="00272890">
      <w:pPr>
        <w:pStyle w:val="Paragraf"/>
        <w:spacing w:after="120"/>
      </w:pPr>
      <w:r w:rsidRPr="00F50C9D">
        <w:t>§ 130</w:t>
      </w:r>
    </w:p>
    <w:p w14:paraId="05361DEA" w14:textId="502F5C0E" w:rsidR="00272890" w:rsidRPr="00F50C9D" w:rsidRDefault="00FB33F7" w:rsidP="00272890">
      <w:pPr>
        <w:pStyle w:val="PZTextodstavce"/>
        <w:spacing w:before="240"/>
      </w:pPr>
      <w:r>
        <w:t xml:space="preserve">(1) </w:t>
      </w:r>
      <w:r w:rsidR="00272890" w:rsidRPr="00F50C9D">
        <w:t>Česká národní banka bez zbytečného odkladu oznámí Garančnímu fondu, že</w:t>
      </w:r>
    </w:p>
    <w:p w14:paraId="08264A91" w14:textId="77777777" w:rsidR="00272890" w:rsidRPr="00F50C9D" w:rsidRDefault="00272890" w:rsidP="00FB33F7">
      <w:pPr>
        <w:pStyle w:val="PZTextpsmene"/>
        <w:spacing w:before="0"/>
      </w:pPr>
      <w:r w:rsidRPr="00F50C9D">
        <w:t>a)</w:t>
      </w:r>
      <w:r w:rsidRPr="00F50C9D">
        <w:tab/>
        <w:t>obchodník s cennými papíry z důvodu své finanční situace není schopen plnit své dluhy spočívající ve vydání majetku zákazníkům a není pravděpodobné, že je splní do 1 roku, nebo</w:t>
      </w:r>
    </w:p>
    <w:p w14:paraId="40075042" w14:textId="77777777" w:rsidR="00272890" w:rsidRPr="00F50C9D" w:rsidRDefault="00272890" w:rsidP="00FB33F7">
      <w:pPr>
        <w:pStyle w:val="PZTextpsmene"/>
        <w:spacing w:before="0"/>
      </w:pPr>
      <w:r w:rsidRPr="00F50C9D">
        <w:t>b)</w:t>
      </w:r>
      <w:r w:rsidRPr="00F50C9D">
        <w:tab/>
        <w:t>soud vydal rozhodnutí o úpadku obchodníka s cennými papíry nebo vydal jiné rozhodnutí, které má za následek, že zákazníci obchodníka s cennými papíry se nemohou účinně domáhat vydání svého majetku vůči obchodníkovi s cennými papíry.</w:t>
      </w:r>
    </w:p>
    <w:p w14:paraId="739EDBA8" w14:textId="1662BA96" w:rsidR="00272890" w:rsidRPr="00F50C9D" w:rsidRDefault="00FB33F7" w:rsidP="00272890">
      <w:pPr>
        <w:pStyle w:val="PZTextodstavce"/>
        <w:spacing w:before="240"/>
      </w:pPr>
      <w:r>
        <w:t xml:space="preserve">(2) </w:t>
      </w:r>
      <w:r w:rsidR="00272890" w:rsidRPr="00F50C9D">
        <w:t>Garanční fond v dohodě s Českou národní bankou neprodleně uveřejní vhodným způsobem oznámení, které obsahuje</w:t>
      </w:r>
    </w:p>
    <w:p w14:paraId="305DACBA" w14:textId="77777777" w:rsidR="00272890" w:rsidRPr="00F50C9D" w:rsidRDefault="00272890" w:rsidP="00FB33F7">
      <w:pPr>
        <w:pStyle w:val="PZTextpsmene"/>
        <w:spacing w:before="0"/>
      </w:pPr>
      <w:r w:rsidRPr="00F50C9D">
        <w:t>a)</w:t>
      </w:r>
      <w:r w:rsidRPr="00F50C9D">
        <w:tab/>
        <w:t>skutečnost, že obchodník s cennými papíry není schopen plnit své dluhy,</w:t>
      </w:r>
    </w:p>
    <w:p w14:paraId="14B8163E" w14:textId="77777777" w:rsidR="00272890" w:rsidRPr="00F50C9D" w:rsidRDefault="00272890" w:rsidP="00FB33F7">
      <w:pPr>
        <w:pStyle w:val="PZTextpsmene"/>
        <w:spacing w:before="0"/>
      </w:pPr>
      <w:r w:rsidRPr="00F50C9D">
        <w:t>b)</w:t>
      </w:r>
      <w:r w:rsidRPr="00F50C9D">
        <w:tab/>
        <w:t>místo, způsob a lhůtu pro přihlášení nároků na náhradu a zahájení výplaty náhrad z Garančního fondu, a</w:t>
      </w:r>
    </w:p>
    <w:p w14:paraId="753A049D" w14:textId="77777777" w:rsidR="00272890" w:rsidRPr="00F50C9D" w:rsidRDefault="00272890" w:rsidP="00FB33F7">
      <w:pPr>
        <w:pStyle w:val="PZTextpsmene"/>
        <w:spacing w:before="0"/>
      </w:pPr>
      <w:r w:rsidRPr="00F50C9D">
        <w:t>c)</w:t>
      </w:r>
      <w:r w:rsidRPr="00F50C9D">
        <w:tab/>
        <w:t>případné další skutečnosti související s přihlášením nároků.</w:t>
      </w:r>
    </w:p>
    <w:p w14:paraId="4DCFEECD" w14:textId="1CF320A1" w:rsidR="00272890" w:rsidRPr="00F50C9D" w:rsidRDefault="00FB33F7" w:rsidP="0006588E">
      <w:pPr>
        <w:pStyle w:val="PZTextodstavce"/>
      </w:pPr>
      <w:r>
        <w:t xml:space="preserve">(3) </w:t>
      </w:r>
      <w:r w:rsidR="00272890" w:rsidRPr="00F50C9D">
        <w:t>Lhůta pro přihlášení nároků nesmí být kratší než 5 měsíců ode dne uveřejnění oznámení podle odstavce 2. Skutečnosti, že tato lhůta uplynula, se nelze dovolávat k odepření výplaty náhrady z Garančního fondu.</w:t>
      </w:r>
    </w:p>
    <w:p w14:paraId="3D08FA60" w14:textId="6D2C647F" w:rsidR="00272890" w:rsidRPr="00F50C9D" w:rsidRDefault="00FB33F7" w:rsidP="00272890">
      <w:pPr>
        <w:pStyle w:val="PZTextodstavce"/>
        <w:spacing w:before="240"/>
      </w:pPr>
      <w:r>
        <w:t xml:space="preserve">(4) </w:t>
      </w:r>
      <w:r w:rsidR="00272890" w:rsidRPr="00F50C9D">
        <w:t>Na náhradu z Garančního fondu nemá nárok</w:t>
      </w:r>
    </w:p>
    <w:p w14:paraId="1C7A0ECB" w14:textId="77777777" w:rsidR="00272890" w:rsidRPr="00F50C9D" w:rsidRDefault="00272890" w:rsidP="00FB33F7">
      <w:pPr>
        <w:pStyle w:val="PZTextpsmene"/>
        <w:spacing w:before="0"/>
      </w:pPr>
      <w:r w:rsidRPr="00F50C9D">
        <w:t>a)</w:t>
      </w:r>
      <w:r w:rsidRPr="00F50C9D">
        <w:tab/>
        <w:t>Česká konsolidační agentura,</w:t>
      </w:r>
    </w:p>
    <w:p w14:paraId="11963407" w14:textId="77777777" w:rsidR="00272890" w:rsidRPr="00F50C9D" w:rsidRDefault="00272890" w:rsidP="00FB33F7">
      <w:pPr>
        <w:pStyle w:val="PZTextpsmene"/>
        <w:spacing w:before="0"/>
      </w:pPr>
      <w:r w:rsidRPr="00F50C9D">
        <w:t>b)</w:t>
      </w:r>
      <w:r w:rsidRPr="00F50C9D">
        <w:tab/>
        <w:t>územní samosprávný celek,</w:t>
      </w:r>
    </w:p>
    <w:p w14:paraId="4A569F73" w14:textId="77777777" w:rsidR="00272890" w:rsidRPr="00F50C9D" w:rsidRDefault="00272890" w:rsidP="00FB33F7">
      <w:pPr>
        <w:pStyle w:val="PZTextpsmene"/>
        <w:spacing w:before="0"/>
      </w:pPr>
      <w:proofErr w:type="gramStart"/>
      <w:r>
        <w:t>c) o</w:t>
      </w:r>
      <w:r w:rsidRPr="00F50C9D">
        <w:t>soba</w:t>
      </w:r>
      <w:proofErr w:type="gramEnd"/>
      <w:r w:rsidRPr="00F50C9D">
        <w:t xml:space="preserve">, která v průběhu 3 let předcházejících oznámení podle </w:t>
      </w:r>
      <w:proofErr w:type="gramStart"/>
      <w:r w:rsidRPr="00F50C9D">
        <w:t>odstavce 2</w:t>
      </w:r>
      <w:proofErr w:type="gramEnd"/>
    </w:p>
    <w:p w14:paraId="782FCD60" w14:textId="77777777" w:rsidR="00272890" w:rsidRPr="00F50C9D" w:rsidRDefault="00272890" w:rsidP="00FB33F7">
      <w:pPr>
        <w:pStyle w:val="PZTextbodu"/>
        <w:spacing w:before="0"/>
      </w:pPr>
      <w:r w:rsidRPr="00F50C9D">
        <w:t>1.</w:t>
      </w:r>
      <w:r w:rsidRPr="00F50C9D">
        <w:tab/>
        <w:t>prováděla audit nebo se podílela na provádění auditu obchodníka s cennými papíry, jehož zákazníkům se vyplácí náhrada z Garančního fondu,</w:t>
      </w:r>
    </w:p>
    <w:p w14:paraId="5CE6CA78" w14:textId="77777777" w:rsidR="00272890" w:rsidRPr="00F50C9D" w:rsidRDefault="00272890" w:rsidP="00FB33F7">
      <w:pPr>
        <w:pStyle w:val="PZTextbodu"/>
        <w:spacing w:before="0"/>
      </w:pPr>
      <w:r w:rsidRPr="00F50C9D">
        <w:t>2.</w:t>
      </w:r>
      <w:r w:rsidRPr="00F50C9D">
        <w:tab/>
        <w:t>byla členem vedoucího orgánu obchodníka s cennými papíry, jehož zákazníkům se vyplácí náhrada z Garančního fondu,</w:t>
      </w:r>
    </w:p>
    <w:p w14:paraId="1CF23B55" w14:textId="77777777" w:rsidR="00272890" w:rsidRPr="00F50C9D" w:rsidRDefault="00272890" w:rsidP="00FB33F7">
      <w:pPr>
        <w:pStyle w:val="PZTextbodu"/>
        <w:spacing w:before="0"/>
      </w:pPr>
      <w:r w:rsidRPr="00F50C9D">
        <w:t>3.</w:t>
      </w:r>
      <w:r w:rsidRPr="00F50C9D">
        <w:tab/>
        <w:t>byla osobou s kvalifikovanou účastí na obchodníkovi s cennými papíry, jehož zákazníkům se vyplácí náhrada z Garančního fondu,</w:t>
      </w:r>
    </w:p>
    <w:p w14:paraId="13DAE846" w14:textId="77777777" w:rsidR="00272890" w:rsidRPr="00F50C9D" w:rsidRDefault="00272890" w:rsidP="00FB33F7">
      <w:pPr>
        <w:pStyle w:val="PZTextbodu"/>
        <w:spacing w:before="0"/>
      </w:pPr>
      <w:r w:rsidRPr="00F50C9D">
        <w:t>4.</w:t>
      </w:r>
      <w:r w:rsidRPr="00F50C9D">
        <w:tab/>
        <w:t>byla osobou blízkou podle občanského zákoníku osobě podle bodů 1 až 3,</w:t>
      </w:r>
    </w:p>
    <w:p w14:paraId="500D8857" w14:textId="77777777" w:rsidR="00272890" w:rsidRPr="00F50C9D" w:rsidRDefault="00272890" w:rsidP="00FB33F7">
      <w:pPr>
        <w:pStyle w:val="PZTextbodu"/>
        <w:spacing w:before="0"/>
      </w:pPr>
      <w:r w:rsidRPr="00F50C9D">
        <w:t>5.</w:t>
      </w:r>
      <w:r w:rsidRPr="00F50C9D">
        <w:tab/>
        <w:t>byla osobou, která patří do stejného podnikatelského seskupení jako obchodník s cennými papíry, jehož zákazníkům se vyplácí náhrada z Garančního fondu,</w:t>
      </w:r>
    </w:p>
    <w:p w14:paraId="32345350" w14:textId="77777777" w:rsidR="00272890" w:rsidRPr="00F50C9D" w:rsidRDefault="00272890" w:rsidP="00FB33F7">
      <w:pPr>
        <w:pStyle w:val="PZTextbodu"/>
        <w:spacing w:before="0"/>
      </w:pPr>
      <w:r w:rsidRPr="00F50C9D">
        <w:t>6.</w:t>
      </w:r>
      <w:r w:rsidRPr="00F50C9D">
        <w:tab/>
        <w:t xml:space="preserve">prováděla audit nebo se podílela na provádění auditu </w:t>
      </w:r>
      <w:r w:rsidRPr="00F50C9D">
        <w:rPr>
          <w:b/>
        </w:rPr>
        <w:t xml:space="preserve">účetní závěrky </w:t>
      </w:r>
      <w:r w:rsidRPr="00F50C9D">
        <w:t>osoby, která patří do stejného podnikatelského seskupení jako obchodník s cennými papíry, jehož zákazníkům se vyplácí náhrada z Garančního fondu,</w:t>
      </w:r>
    </w:p>
    <w:p w14:paraId="1C6CF882" w14:textId="77777777" w:rsidR="00272890" w:rsidRPr="00F50C9D" w:rsidRDefault="00272890" w:rsidP="00FB33F7">
      <w:pPr>
        <w:pStyle w:val="PZTextbodu"/>
        <w:spacing w:before="0"/>
      </w:pPr>
      <w:r w:rsidRPr="00F50C9D">
        <w:t>7.</w:t>
      </w:r>
      <w:r w:rsidRPr="00F50C9D">
        <w:tab/>
        <w:t>byla členem vedoucího orgánu osoby, která patří do stejného podnikatelského seskupení jako obchodník s cennými papíry, jehož zákazníkům se vyplácí náhrada z Garančního fondu,</w:t>
      </w:r>
    </w:p>
    <w:p w14:paraId="1B8661E7" w14:textId="77777777" w:rsidR="00272890" w:rsidRPr="00F50C9D" w:rsidRDefault="00272890" w:rsidP="00FB33F7">
      <w:pPr>
        <w:pStyle w:val="PZTextpsmene"/>
        <w:spacing w:before="0"/>
      </w:pPr>
      <w:r w:rsidRPr="00F50C9D">
        <w:t>d)</w:t>
      </w:r>
      <w:r w:rsidRPr="00F50C9D">
        <w:tab/>
        <w:t xml:space="preserve">osoba, ve které má nebo měl kdykoli během posledních 12 měsíců bezprostředně předcházejících dni, ve kterém bylo učiněno oznámení podle odstavce 1, obchodník </w:t>
      </w:r>
      <w:r w:rsidRPr="00F50C9D">
        <w:lastRenderedPageBreak/>
        <w:t>s cennými papíry, jehož zákazníkům se vyplácí náhrada z Garančního fondu, nebo osoba s kvalifikovanou účastí na tomto obchodníkovi s cennými papíry vyšší než 50% podíl na základním kapitálu nebo hlasovacích právech,</w:t>
      </w:r>
    </w:p>
    <w:p w14:paraId="0D66AA1F" w14:textId="77777777" w:rsidR="00272890" w:rsidRPr="00F50C9D" w:rsidRDefault="00272890" w:rsidP="00FB33F7">
      <w:pPr>
        <w:pStyle w:val="PZTextpsmene"/>
        <w:spacing w:before="0"/>
      </w:pPr>
      <w:r w:rsidRPr="00F50C9D">
        <w:t>e)</w:t>
      </w:r>
      <w:r w:rsidRPr="00F50C9D">
        <w:tab/>
        <w:t>osoba, která v souvislosti s legalizací výnosů z trestné činnosti svěřila obchodníkovi s cennými papíry, jehož zákazníkům se vyplácí náhrada z Garančního fondu, prostředky získané trestným činem,</w:t>
      </w:r>
    </w:p>
    <w:p w14:paraId="36991A83" w14:textId="77777777" w:rsidR="00272890" w:rsidRPr="00F50C9D" w:rsidRDefault="00272890" w:rsidP="00FB33F7">
      <w:pPr>
        <w:pStyle w:val="PZTextpsmene"/>
        <w:spacing w:before="0"/>
      </w:pPr>
      <w:r w:rsidRPr="00F50C9D">
        <w:t>f)</w:t>
      </w:r>
      <w:r w:rsidRPr="00F50C9D">
        <w:tab/>
        <w:t>osoba, která trestným činem způsobila neschopnost obchodníka s cennými papíry, jehož zákazníkům se vyplácí náhrada z Garančního fondu, splnit své závazky vůči zákazníkům,</w:t>
      </w:r>
    </w:p>
    <w:p w14:paraId="2A9AF6B9" w14:textId="77777777" w:rsidR="00272890" w:rsidRPr="00F50C9D" w:rsidRDefault="00272890" w:rsidP="00FB33F7">
      <w:pPr>
        <w:pStyle w:val="PZTextpsmene"/>
        <w:spacing w:before="0"/>
      </w:pPr>
      <w:r w:rsidRPr="00F50C9D">
        <w:t>g)</w:t>
      </w:r>
      <w:r w:rsidRPr="00F50C9D">
        <w:tab/>
        <w:t>účastník sdružení podle § 829 zákona č. 40/1964 Sb., ve znění zákona č. 509/1991 Sb., nebo společník společnosti podle § 2719 občanského zákoníku, o němž nebylo před vydáním rozhodnutí o úpadku obchodníka s cennými papíry nebo oznámením podle odstavce 1 písm. a) obchodníkovi s cennými papíry prokazatelným způsobem sděleno, že je účastníkem sdružení nebo společníkem společnosti.</w:t>
      </w:r>
    </w:p>
    <w:p w14:paraId="15F7D699" w14:textId="6B5EF6C1" w:rsidR="00272890" w:rsidRPr="00F50C9D" w:rsidRDefault="00FB33F7" w:rsidP="00272890">
      <w:pPr>
        <w:pStyle w:val="PZTextodstavce"/>
        <w:spacing w:before="240"/>
      </w:pPr>
      <w:r>
        <w:t xml:space="preserve">(5) </w:t>
      </w:r>
      <w:r w:rsidR="00272890" w:rsidRPr="00F50C9D">
        <w:t>Garanční fond pozastaví výplatu náhrad</w:t>
      </w:r>
    </w:p>
    <w:p w14:paraId="5FF078AE" w14:textId="77777777" w:rsidR="00272890" w:rsidRPr="00F50C9D" w:rsidRDefault="00272890" w:rsidP="00FB33F7">
      <w:pPr>
        <w:pStyle w:val="PZTextpsmene"/>
        <w:spacing w:before="0"/>
      </w:pPr>
      <w:r w:rsidRPr="00F50C9D">
        <w:t>a)</w:t>
      </w:r>
      <w:r w:rsidRPr="00F50C9D">
        <w:tab/>
        <w:t>za majetek zákazníka, o kterém je z průběhu trestního řízení zřejmé, že může jít o majetek podle odstavce 4 písm. e), nebo</w:t>
      </w:r>
    </w:p>
    <w:p w14:paraId="2752A7E5" w14:textId="77777777" w:rsidR="00272890" w:rsidRPr="00F50C9D" w:rsidRDefault="00272890" w:rsidP="00FB33F7">
      <w:pPr>
        <w:pStyle w:val="PZTextpsmene"/>
        <w:spacing w:before="0"/>
      </w:pPr>
      <w:r w:rsidRPr="00F50C9D">
        <w:t>b)</w:t>
      </w:r>
      <w:r w:rsidRPr="00F50C9D">
        <w:tab/>
        <w:t>osobě podezřelé ze spáchání trestného činu, který způsobil neschopnost obchodníka s cennými papíry splnit své závazky vůči zákazníkům, a to po dobu trestního řízení vedeného proti této osobě.</w:t>
      </w:r>
    </w:p>
    <w:p w14:paraId="28FFB942" w14:textId="7C61D5F4" w:rsidR="00272890" w:rsidRPr="00F50C9D" w:rsidRDefault="00FB33F7" w:rsidP="0006588E">
      <w:pPr>
        <w:pStyle w:val="PZTextodstavce"/>
      </w:pPr>
      <w:r>
        <w:t xml:space="preserve">(6) </w:t>
      </w:r>
      <w:r w:rsidR="00272890" w:rsidRPr="00F50C9D">
        <w:t>Garanční fond pozastaví výplatu náhrad podle odstavce 5 bez zbytečného odkladu poté, kdy se o uvedených skutečnostech dozvěděl.</w:t>
      </w:r>
    </w:p>
    <w:p w14:paraId="7572F43C" w14:textId="2777BE07" w:rsidR="00272890" w:rsidRPr="00F50C9D" w:rsidRDefault="00FB33F7" w:rsidP="0006588E">
      <w:pPr>
        <w:pStyle w:val="PZTextodstavce"/>
      </w:pPr>
      <w:r>
        <w:t xml:space="preserve">(7) </w:t>
      </w:r>
      <w:r w:rsidR="00272890" w:rsidRPr="00F50C9D">
        <w:t>Náhrada z Garančního fondu se poskytuje za majetek zákazníka, který mu nemohl být vydán z důvodů přímo souvisejících s finanční situací obchodníka s cennými papíry. Pro výpočet náhrady se ke dni, ke kterému Garanční fond obdržel oznámení České národní banky podle odstavce 1, sečtou hodnoty všech složek majetku zákazníka, které nemohly být vydány z důvodů přímo souvisejících s finanční situací obchodníka s cennými papíry, a to včetně jeho spoluvlastnického podílu na majetku ve spoluvlastnictví s jinými zákazníky, s výjimkou hodnoty peněžních prostředků svěřených obchodníkovi s cennými papíry, který je bankou nebo pobočkou zahraniční banky, a vedených jím na účtech pojištěných podle zákona upravujícího činnost bank. Od výsledné částky se odečte hodnota závazků zákazníka vůči obchodníkovi s cennými papíry splatných ke dni, ke kterému Garanční fond obdržel oznámení České národní banky podle odstavce 1.</w:t>
      </w:r>
    </w:p>
    <w:p w14:paraId="5610AB24" w14:textId="72777438" w:rsidR="00272890" w:rsidRPr="00F50C9D" w:rsidRDefault="00FB33F7" w:rsidP="0006588E">
      <w:pPr>
        <w:pStyle w:val="PZTextodstavce"/>
      </w:pPr>
      <w:r>
        <w:t xml:space="preserve">(8) </w:t>
      </w:r>
      <w:r w:rsidR="00272890" w:rsidRPr="00F50C9D">
        <w:t>Pro výpočet náhrady podle odstavce 7 jsou určující reálné hodnoty investičních nástrojů platné ke dni, ke kterému Garanční fond obdrží oznámení České národní banky podle odstavce 1. Při výpočtu náhrady může Garanční fond přihlédnout i ke smluvním ujednáním mezi obchodníkem s cennými papíry a zákazníkem, jsou-li obvyklá, zejména ke skutečně připsaným úrokům nebo jiným výnosům, na které vznikl zákazníkovi nárok ke dni, kdy Garanční fond obdržel oznámení České národní banky podle odstavce 1.</w:t>
      </w:r>
    </w:p>
    <w:p w14:paraId="58825BF8" w14:textId="06324F96" w:rsidR="00272890" w:rsidRPr="00F50C9D" w:rsidRDefault="00FB33F7" w:rsidP="0006588E">
      <w:pPr>
        <w:pStyle w:val="PZTextodstavce"/>
      </w:pPr>
      <w:r>
        <w:t xml:space="preserve">(9) </w:t>
      </w:r>
      <w:r w:rsidR="00272890" w:rsidRPr="00F50C9D">
        <w:t>Náhrada se zákazníkovi poskytuje ve výši 90 % částky vypočtené podle odstavců 7 a 8, nejvýše se však vyplatí částka v korunách českých odpovídající 20 000 EUR pro jednoho zákazníka u jednoho obchodníka s cennými papíry.</w:t>
      </w:r>
    </w:p>
    <w:p w14:paraId="1C0F1568" w14:textId="77777777" w:rsidR="00272890" w:rsidRPr="00F50C9D" w:rsidRDefault="00272890" w:rsidP="0006588E">
      <w:pPr>
        <w:pStyle w:val="PZTextodstavce"/>
      </w:pPr>
      <w:r w:rsidRPr="00F50C9D">
        <w:t>(10) Náhrada z Garančního fondu musí být vyplacena do 3 měsíců ode dne ověření přihlášeného nároku a vypočtení výše náhrady. Česká národní banka může ve výjimečných případech na žádost Garančního fondu prodloužit tuto lhůtu nejvýše o 3 měsíce.</w:t>
      </w:r>
    </w:p>
    <w:p w14:paraId="09B5083B" w14:textId="77777777" w:rsidR="00272890" w:rsidRPr="00F50C9D" w:rsidRDefault="00272890" w:rsidP="0006588E">
      <w:pPr>
        <w:pStyle w:val="PZTextodstavce"/>
      </w:pPr>
      <w:r w:rsidRPr="00F50C9D">
        <w:lastRenderedPageBreak/>
        <w:t>(11) Obchodník s cennými papíry poskytne Garančnímu fondu na jeho žádost ve lhůtě stanovené Garančním fondem podklady potřebné pro výpočet náhrady podle odstavců 7 a 8. Je-li u obchodníka s cennými papíry zavedena dočasná správa nebo správa pro řešení krize podle zákona upravujícího ozdravné postupy a řešení krize na finančním trhu, má tuto povinnost osoba určená podle zákona upravujícího ozdravné postupy a řešení krize na finančním trhu. Je-li u obchodníka s cennými papíry zavedena nucená správa, má tuto povinnost nucený správce, je-li na majetek obchodníka s cennými papíry prohlášen konkurs, má tuto povinnost insolvenční správce tohoto obchodníka s cennými papíry. Tutéž povinnost má, pokud ji k tomu Garanční fond vyzve, i jiná osoba, pokud má tyto podklady u sebe.</w:t>
      </w:r>
    </w:p>
    <w:p w14:paraId="010983EC" w14:textId="77777777" w:rsidR="00272890" w:rsidRPr="00F50C9D" w:rsidRDefault="00272890" w:rsidP="0006588E">
      <w:pPr>
        <w:pStyle w:val="PZTextodstavce"/>
      </w:pPr>
      <w:r w:rsidRPr="00F50C9D">
        <w:t>(12) Podklady podle odstavce 11 obsahují za každého zákazníka zejména tyto údaje:</w:t>
      </w:r>
    </w:p>
    <w:p w14:paraId="6516A8F5" w14:textId="77777777" w:rsidR="00272890" w:rsidRPr="00F50C9D" w:rsidRDefault="00272890" w:rsidP="00FB33F7">
      <w:pPr>
        <w:pStyle w:val="PZTextpsmene"/>
        <w:spacing w:before="0"/>
      </w:pPr>
      <w:r w:rsidRPr="00F50C9D">
        <w:t>a)</w:t>
      </w:r>
      <w:r w:rsidRPr="00F50C9D">
        <w:tab/>
        <w:t>měnu a částku peněžních prostředků a druh, počet a jednoznačnou identifikaci investičních nástrojů, které tvoří majetek zákazníka, a které nemohly být vydány postupem podle § 132,</w:t>
      </w:r>
    </w:p>
    <w:p w14:paraId="315CB000" w14:textId="77777777" w:rsidR="00272890" w:rsidRPr="00F50C9D" w:rsidRDefault="00272890" w:rsidP="00FB33F7">
      <w:pPr>
        <w:pStyle w:val="PZTextpsmene"/>
        <w:spacing w:before="0"/>
      </w:pPr>
      <w:r w:rsidRPr="00F50C9D">
        <w:t>b)</w:t>
      </w:r>
      <w:r w:rsidRPr="00F50C9D">
        <w:tab/>
        <w:t>výši pohledávek zákazníka za obchodníkem s cennými papíry, vzniklých na základě smluvních ustanovení, zejména skutečně připsaných úroků nebo jiných výnosů, na které zákazníkovi vznikl nárok,</w:t>
      </w:r>
    </w:p>
    <w:p w14:paraId="4BD8ABA4" w14:textId="77777777" w:rsidR="00272890" w:rsidRPr="00F50C9D" w:rsidRDefault="00272890" w:rsidP="00FB33F7">
      <w:pPr>
        <w:pStyle w:val="PZTextpsmene"/>
        <w:spacing w:before="0"/>
      </w:pPr>
      <w:r w:rsidRPr="00F50C9D">
        <w:t>c)</w:t>
      </w:r>
      <w:r w:rsidRPr="00F50C9D">
        <w:tab/>
        <w:t>výši započitatelných pohledávek obchodníka s cennými papíry vůči zákazníkovi.</w:t>
      </w:r>
    </w:p>
    <w:p w14:paraId="523DA2E5" w14:textId="77777777" w:rsidR="00272890" w:rsidRPr="00F50C9D" w:rsidRDefault="00272890" w:rsidP="00FB33F7">
      <w:pPr>
        <w:keepNext/>
        <w:keepLines/>
        <w:spacing w:after="120"/>
        <w:ind w:firstLine="0"/>
        <w:jc w:val="center"/>
        <w:outlineLvl w:val="5"/>
      </w:pPr>
      <w:r w:rsidRPr="00F50C9D">
        <w:t>§ 134a</w:t>
      </w:r>
    </w:p>
    <w:p w14:paraId="219F0FBF" w14:textId="646FEC37" w:rsidR="00272890" w:rsidRPr="00F50C9D" w:rsidRDefault="00FB33F7" w:rsidP="0006588E">
      <w:pPr>
        <w:tabs>
          <w:tab w:val="left" w:pos="782"/>
          <w:tab w:val="left" w:pos="851"/>
        </w:tabs>
        <w:spacing w:before="120" w:after="120"/>
        <w:outlineLvl w:val="6"/>
      </w:pPr>
      <w:r>
        <w:t xml:space="preserve">(1) </w:t>
      </w:r>
      <w:r w:rsidR="00272890" w:rsidRPr="00F50C9D">
        <w:t>Česká národní banka opatřením obecné povahy stanoví limity velikosti čisté pozice, kterou může osoba kdykoli držet v derivátech zemědělských komodit a v zásadních nebo významných komoditních derivátech obchodovaných v obchodních systémech a v ekonomicky rovnocenných OTC derivátech.</w:t>
      </w:r>
    </w:p>
    <w:p w14:paraId="6E2BE315" w14:textId="36ED1E93" w:rsidR="00272890" w:rsidRPr="00F50C9D" w:rsidRDefault="00FB33F7" w:rsidP="0006588E">
      <w:pPr>
        <w:tabs>
          <w:tab w:val="left" w:pos="782"/>
          <w:tab w:val="left" w:pos="851"/>
        </w:tabs>
        <w:spacing w:before="120" w:after="120"/>
        <w:outlineLvl w:val="6"/>
      </w:pPr>
      <w:r>
        <w:t xml:space="preserve">(2) </w:t>
      </w:r>
      <w:r w:rsidR="00272890" w:rsidRPr="00F50C9D">
        <w:t>Zásadním nebo významným komoditním derivátem podle odstavce 1 se rozumí komoditní derivát, u kterého součet objemu všech čistých otevřených pozic konečných držitelů pozic dosahuje průměrně alespoň 300 000 lotů za období jednoho kalendářního roku.</w:t>
      </w:r>
    </w:p>
    <w:p w14:paraId="24B38E86" w14:textId="25E9F493" w:rsidR="00272890" w:rsidRPr="00F50C9D" w:rsidRDefault="00FB33F7" w:rsidP="0006588E">
      <w:pPr>
        <w:tabs>
          <w:tab w:val="left" w:pos="782"/>
          <w:tab w:val="left" w:pos="851"/>
        </w:tabs>
        <w:spacing w:before="120" w:after="120"/>
        <w:outlineLvl w:val="6"/>
      </w:pPr>
      <w:r>
        <w:t xml:space="preserve">(3) </w:t>
      </w:r>
      <w:r w:rsidR="00272890" w:rsidRPr="00F50C9D">
        <w:t>Limity podle odstavce 1 jsou stanoveny na základě všech pozic držených osobou a pozic, které jsou jménem této osoby drženy na úrovni celé skupiny, s cílem</w:t>
      </w:r>
    </w:p>
    <w:p w14:paraId="176F61C1" w14:textId="77777777" w:rsidR="00272890" w:rsidRPr="00F50C9D" w:rsidRDefault="00272890" w:rsidP="00FB33F7">
      <w:pPr>
        <w:spacing w:before="0"/>
        <w:ind w:left="425" w:hanging="425"/>
        <w:outlineLvl w:val="7"/>
      </w:pPr>
      <w:r w:rsidRPr="00F50C9D">
        <w:t>a)</w:t>
      </w:r>
      <w:r w:rsidRPr="00F50C9D">
        <w:tab/>
        <w:t>zabránit zneužívání trhu a</w:t>
      </w:r>
    </w:p>
    <w:p w14:paraId="2705EFFF" w14:textId="77777777" w:rsidR="00272890" w:rsidRPr="00F50C9D" w:rsidRDefault="00272890" w:rsidP="00FB33F7">
      <w:pPr>
        <w:spacing w:before="0"/>
        <w:ind w:left="425" w:hanging="425"/>
        <w:outlineLvl w:val="7"/>
      </w:pPr>
      <w:r w:rsidRPr="00F50C9D">
        <w:t>b)</w:t>
      </w:r>
      <w:r w:rsidRPr="00F50C9D">
        <w:tab/>
        <w:t>podpořit řádné stanovení cen a podmínky vypořádání, včetně předcházení vytváření pozic narušujících trh, a zejména zajistit sbližování mezi cenami derivátů v měsíci plnění a okamžitými cenami podkladové komodity, k níž se hodnota derivátů vztahuje, aniž je dotčeno určování cen této komodity na trhu.</w:t>
      </w:r>
    </w:p>
    <w:p w14:paraId="29D4DD09" w14:textId="30E50593" w:rsidR="00272890" w:rsidRPr="00F50C9D" w:rsidRDefault="00FB33F7" w:rsidP="0006588E">
      <w:pPr>
        <w:tabs>
          <w:tab w:val="left" w:pos="782"/>
          <w:tab w:val="left" w:pos="851"/>
        </w:tabs>
        <w:spacing w:before="120" w:after="120"/>
        <w:outlineLvl w:val="6"/>
      </w:pPr>
      <w:r>
        <w:t xml:space="preserve">(4) </w:t>
      </w:r>
      <w:r w:rsidR="00272890" w:rsidRPr="00F50C9D">
        <w:t>Limity podle odstavce 1 se nepoužijí na</w:t>
      </w:r>
    </w:p>
    <w:p w14:paraId="66305C1D" w14:textId="77777777" w:rsidR="00272890" w:rsidRPr="00F50C9D" w:rsidRDefault="00272890" w:rsidP="00FB33F7">
      <w:pPr>
        <w:spacing w:before="0"/>
        <w:ind w:left="425" w:hanging="425"/>
        <w:outlineLvl w:val="7"/>
      </w:pPr>
      <w:r w:rsidRPr="00F50C9D">
        <w:t>a)</w:t>
      </w:r>
      <w:r w:rsidRPr="00F50C9D">
        <w:tab/>
        <w:t>pozice držené nefinančním subjektem nebo jeho jménem, které jsou objektivně měřitelné jako snižující rizika přímo související s obchodní činností tohoto nefinančního subjektu, pokud o to subjekt požádá Českou národní banku,</w:t>
      </w:r>
    </w:p>
    <w:p w14:paraId="684AA710" w14:textId="77777777" w:rsidR="00272890" w:rsidRPr="00F50C9D" w:rsidRDefault="00272890" w:rsidP="00FB33F7">
      <w:pPr>
        <w:spacing w:before="0"/>
        <w:ind w:left="425" w:hanging="425"/>
        <w:outlineLvl w:val="7"/>
      </w:pPr>
      <w:r w:rsidRPr="00F50C9D">
        <w:t>b)</w:t>
      </w:r>
      <w:r w:rsidRPr="00F50C9D">
        <w:tab/>
        <w:t>pozice držené finančním subjektem, který je součástí převážně obchodní skupiny a jedná jménem nebo na účet nefinančního subjektu této skupiny, jsou-li tyto pozice objektivně měřitelné jako pozice snižující rizika přímo související s obchodní činností tohoto nefinančního subjektu,</w:t>
      </w:r>
    </w:p>
    <w:p w14:paraId="12F80B8C" w14:textId="77777777" w:rsidR="00272890" w:rsidRPr="00F50C9D" w:rsidRDefault="00272890" w:rsidP="00FB33F7">
      <w:pPr>
        <w:spacing w:before="0"/>
        <w:ind w:left="425" w:hanging="425"/>
        <w:outlineLvl w:val="7"/>
      </w:pPr>
      <w:r w:rsidRPr="00F50C9D">
        <w:t>c)</w:t>
      </w:r>
      <w:r w:rsidRPr="00F50C9D">
        <w:tab/>
        <w:t>pozice držené finančními a nefinančními protistranami, které jsou objektivně měřitelné jako vyplývající z obchodů, které byly uzavřeny za účelem splnění povinnosti poskytnout likviditu v obchodním systému, pokud splnění této povinnosti vyžadují příslušné orgány nebo obchodní systémy, a</w:t>
      </w:r>
    </w:p>
    <w:p w14:paraId="50DFC191" w14:textId="77777777" w:rsidR="00272890" w:rsidRPr="00F50C9D" w:rsidRDefault="00272890" w:rsidP="00FB33F7">
      <w:pPr>
        <w:spacing w:before="0"/>
        <w:ind w:left="425" w:hanging="425"/>
        <w:outlineLvl w:val="7"/>
      </w:pPr>
      <w:r w:rsidRPr="00F50C9D">
        <w:t>d)</w:t>
      </w:r>
      <w:r w:rsidRPr="00F50C9D">
        <w:tab/>
        <w:t>investiční cenné papíry uvedené v § 3 odst. 2 písm. d) a e), které souvisí s komoditou nebo s podkladovým aktivem uvedeným v § 3 odst. 1 písm. j).</w:t>
      </w:r>
    </w:p>
    <w:p w14:paraId="3311AAFF" w14:textId="21D8667A" w:rsidR="00272890" w:rsidRPr="00F50C9D" w:rsidRDefault="00FB33F7" w:rsidP="0006588E">
      <w:pPr>
        <w:tabs>
          <w:tab w:val="left" w:pos="782"/>
          <w:tab w:val="left" w:pos="851"/>
        </w:tabs>
        <w:spacing w:before="120" w:after="120"/>
        <w:outlineLvl w:val="6"/>
      </w:pPr>
      <w:r>
        <w:lastRenderedPageBreak/>
        <w:t xml:space="preserve">(5) </w:t>
      </w:r>
      <w:r w:rsidR="00272890" w:rsidRPr="00F50C9D">
        <w:t>Limity podle odstavce 1 jasně určí množstevní prahové hodnoty maximální velikosti pozice v komoditním derivátu, jež mohou osoby držet.</w:t>
      </w:r>
    </w:p>
    <w:p w14:paraId="47D9D1E0" w14:textId="036157AE" w:rsidR="00272890" w:rsidRPr="00F50C9D" w:rsidRDefault="00FB33F7" w:rsidP="0006588E">
      <w:pPr>
        <w:tabs>
          <w:tab w:val="left" w:pos="782"/>
          <w:tab w:val="left" w:pos="851"/>
        </w:tabs>
        <w:spacing w:before="120" w:after="120"/>
        <w:outlineLvl w:val="6"/>
      </w:pPr>
      <w:r>
        <w:t xml:space="preserve">(6) </w:t>
      </w:r>
      <w:r w:rsidR="00272890" w:rsidRPr="00F50C9D">
        <w:t xml:space="preserve">Limity podle odstavce 1 Česká národní banka stanoví s ohledem na ustanovení § 136 odst. 1 písm. </w:t>
      </w:r>
      <w:r w:rsidR="00272890" w:rsidRPr="00F50C9D">
        <w:rPr>
          <w:strike/>
        </w:rPr>
        <w:t>q)</w:t>
      </w:r>
      <w:r w:rsidR="00272890" w:rsidRPr="00F50C9D">
        <w:t xml:space="preserve"> </w:t>
      </w:r>
      <w:r w:rsidR="00272890" w:rsidRPr="00F50C9D">
        <w:rPr>
          <w:b/>
        </w:rPr>
        <w:t>p)</w:t>
      </w:r>
      <w:r w:rsidR="00272890" w:rsidRPr="00F50C9D">
        <w:t>.</w:t>
      </w:r>
    </w:p>
    <w:p w14:paraId="0A556508" w14:textId="4E73CD53" w:rsidR="00272890" w:rsidRPr="00F50C9D" w:rsidRDefault="00FB33F7" w:rsidP="0006588E">
      <w:pPr>
        <w:tabs>
          <w:tab w:val="left" w:pos="782"/>
          <w:tab w:val="left" w:pos="851"/>
        </w:tabs>
        <w:spacing w:before="120" w:after="120"/>
        <w:outlineLvl w:val="6"/>
      </w:pPr>
      <w:r>
        <w:t xml:space="preserve">(7) </w:t>
      </w:r>
      <w:r w:rsidR="00272890" w:rsidRPr="00F50C9D">
        <w:t>Dojde-li k významné změně na trhu včetně významné změny v reálné nabídce nebo v čistých otevřených pozicích nebo k jakékoli jiné významné změně na trhu, Česká národní banka na základě vlastního zjištění reálné nabídky a čistých otevřených pozic přezkoumá limity podle odstavce 1 a stanoví nové limity pozic v souladu s metodikou výpočtu vypracovanou Evropským orgánem pro cenné papíry a trhy.</w:t>
      </w:r>
    </w:p>
    <w:p w14:paraId="0911918B" w14:textId="1326CA81" w:rsidR="00272890" w:rsidRPr="00F50C9D" w:rsidRDefault="00FB33F7" w:rsidP="0006588E">
      <w:pPr>
        <w:tabs>
          <w:tab w:val="left" w:pos="782"/>
          <w:tab w:val="left" w:pos="851"/>
        </w:tabs>
        <w:spacing w:before="120" w:after="120"/>
        <w:outlineLvl w:val="6"/>
      </w:pPr>
      <w:r>
        <w:t xml:space="preserve">(8) </w:t>
      </w:r>
      <w:r w:rsidR="00272890" w:rsidRPr="00F50C9D">
        <w:t>Jestliže jsou limity podle odstavce 1 posouzeny Evropským orgánem pro cenné papíry a trhy jako neslučitelné s cíli podle odstavce 2 a se stanovenou metodikou výpočtu, Česká národní banka</w:t>
      </w:r>
    </w:p>
    <w:p w14:paraId="0209265D" w14:textId="77777777" w:rsidR="00272890" w:rsidRPr="00F50C9D" w:rsidRDefault="00272890" w:rsidP="00FB33F7">
      <w:pPr>
        <w:spacing w:before="0"/>
        <w:ind w:left="425" w:hanging="425"/>
        <w:outlineLvl w:val="7"/>
      </w:pPr>
      <w:r w:rsidRPr="00F50C9D">
        <w:t>a)</w:t>
      </w:r>
      <w:r w:rsidRPr="00F50C9D">
        <w:tab/>
        <w:t>upraví limity pozic v souladu se stanoviskem Evropského orgánu pro cenné papíry a trhy, nebo</w:t>
      </w:r>
    </w:p>
    <w:p w14:paraId="34117F59" w14:textId="77777777" w:rsidR="00272890" w:rsidRPr="00F50C9D" w:rsidRDefault="00272890" w:rsidP="00FB33F7">
      <w:pPr>
        <w:spacing w:before="0"/>
        <w:ind w:left="425" w:hanging="425"/>
        <w:outlineLvl w:val="7"/>
      </w:pPr>
      <w:r w:rsidRPr="00F50C9D">
        <w:t>b)</w:t>
      </w:r>
      <w:r w:rsidRPr="00F50C9D">
        <w:tab/>
        <w:t>bez zbytečného odkladu zveřejní na svých internetových stránkách důvody, proč tuto úpravu nepovažuje za nezbytnou.</w:t>
      </w:r>
    </w:p>
    <w:p w14:paraId="1E4F50B4" w14:textId="4DE4B013" w:rsidR="00272890" w:rsidRPr="00F50C9D" w:rsidRDefault="00FB33F7" w:rsidP="0006588E">
      <w:pPr>
        <w:tabs>
          <w:tab w:val="left" w:pos="782"/>
          <w:tab w:val="left" w:pos="851"/>
        </w:tabs>
        <w:spacing w:before="120" w:after="120"/>
        <w:outlineLvl w:val="6"/>
      </w:pPr>
      <w:r>
        <w:t xml:space="preserve">(9) </w:t>
      </w:r>
      <w:r w:rsidR="00272890" w:rsidRPr="00F50C9D">
        <w:t>Pravidla pro výpočet čisté pozice držené určitou osobou v komoditním derivátu a metodiku výpočtu limitů pozice vztahujících se na velikost této pozice pro účely odstavců 1 až 8 a § 134b až 134d upravují čl. 2 až 21 nařízení Komise v přenesené pravomoci (EU) 2017/591.</w:t>
      </w:r>
    </w:p>
    <w:p w14:paraId="63D7CBED" w14:textId="77777777" w:rsidR="00272890" w:rsidRPr="00F50C9D" w:rsidRDefault="00272890" w:rsidP="00FB33F7">
      <w:pPr>
        <w:keepNext/>
        <w:keepLines/>
        <w:spacing w:after="120"/>
        <w:ind w:firstLine="0"/>
        <w:jc w:val="center"/>
        <w:outlineLvl w:val="5"/>
      </w:pPr>
      <w:r w:rsidRPr="00F50C9D">
        <w:t>§ 136</w:t>
      </w:r>
    </w:p>
    <w:p w14:paraId="68B72853" w14:textId="77777777" w:rsidR="00272890" w:rsidRPr="00F50C9D" w:rsidRDefault="00272890" w:rsidP="00FB33F7">
      <w:pPr>
        <w:keepNext/>
        <w:keepLines/>
        <w:spacing w:after="120"/>
        <w:ind w:firstLine="0"/>
        <w:jc w:val="center"/>
        <w:outlineLvl w:val="5"/>
        <w:rPr>
          <w:b/>
        </w:rPr>
      </w:pPr>
      <w:r w:rsidRPr="00F50C9D">
        <w:rPr>
          <w:b/>
        </w:rPr>
        <w:t>Základní ustanovení</w:t>
      </w:r>
    </w:p>
    <w:p w14:paraId="5592E133" w14:textId="6D224CDD" w:rsidR="00272890" w:rsidRPr="00F50C9D" w:rsidRDefault="00FB33F7" w:rsidP="0006588E">
      <w:pPr>
        <w:tabs>
          <w:tab w:val="left" w:pos="782"/>
          <w:tab w:val="left" w:pos="851"/>
        </w:tabs>
        <w:spacing w:before="120" w:after="120"/>
        <w:outlineLvl w:val="6"/>
      </w:pPr>
      <w:r>
        <w:t xml:space="preserve">(1) </w:t>
      </w:r>
      <w:r w:rsidR="00272890" w:rsidRPr="00F50C9D">
        <w:t>Česká národní banka může uložit osobě podléhající dohledu, která porušila tento zákon, rozhodnutí vydané podle tohoto zákona nebo přímo použitelný předpis Evropské unie v oblasti činností na finančních trzích</w:t>
      </w:r>
      <w:r w:rsidR="00272890" w:rsidRPr="00F50C9D">
        <w:rPr>
          <w:vertAlign w:val="superscript"/>
        </w:rPr>
        <w:t>2)</w:t>
      </w:r>
      <w:r w:rsidR="00272890" w:rsidRPr="00F50C9D">
        <w:t>, opatření k nápravě zjištěného nedostatku odpovídající povaze porušení a jeho závažnosti. Česká národní banka může dále</w:t>
      </w:r>
    </w:p>
    <w:p w14:paraId="7ED654B0" w14:textId="77777777" w:rsidR="00272890" w:rsidRPr="00F50C9D" w:rsidRDefault="00272890" w:rsidP="00272890">
      <w:pPr>
        <w:spacing w:after="120"/>
        <w:ind w:left="425" w:hanging="425"/>
        <w:outlineLvl w:val="7"/>
        <w:rPr>
          <w:strike/>
        </w:rPr>
      </w:pPr>
      <w:r w:rsidRPr="00F50C9D">
        <w:rPr>
          <w:strike/>
        </w:rPr>
        <w:t>a)</w:t>
      </w:r>
      <w:r w:rsidRPr="00F50C9D">
        <w:rPr>
          <w:strike/>
        </w:rPr>
        <w:tab/>
        <w:t>nařídit mimořádné provedení auditu,</w:t>
      </w:r>
    </w:p>
    <w:p w14:paraId="7F7BEB1B" w14:textId="77777777" w:rsidR="00272890" w:rsidRPr="00F50C9D" w:rsidRDefault="00272890" w:rsidP="00FB33F7">
      <w:pPr>
        <w:spacing w:before="0"/>
        <w:ind w:left="425" w:hanging="425"/>
        <w:outlineLvl w:val="7"/>
      </w:pPr>
      <w:r w:rsidRPr="00F50C9D">
        <w:rPr>
          <w:b/>
        </w:rPr>
        <w:t>a)</w:t>
      </w:r>
      <w:r w:rsidRPr="00F50C9D">
        <w:tab/>
      </w:r>
      <w:r w:rsidRPr="00F50C9D">
        <w:rPr>
          <w:b/>
        </w:rPr>
        <w:t>nařídit změnu auditora, pokud auditor nesplní povinnost informovat Českou národní banku o skutečnostech zjištěných podle § 21 odst. 3 nebo 4 zákona o auditorech,</w:t>
      </w:r>
    </w:p>
    <w:p w14:paraId="4FF75EB9" w14:textId="77777777" w:rsidR="00272890" w:rsidRPr="00F50C9D" w:rsidRDefault="00272890" w:rsidP="00FB33F7">
      <w:pPr>
        <w:spacing w:before="0"/>
        <w:ind w:left="425" w:hanging="425"/>
        <w:outlineLvl w:val="7"/>
        <w:rPr>
          <w:b/>
          <w:strike/>
          <w:shd w:val="clear" w:color="auto" w:fill="FFDDFF"/>
        </w:rPr>
      </w:pPr>
      <w:r w:rsidRPr="00F50C9D">
        <w:rPr>
          <w:strike/>
        </w:rPr>
        <w:t>b)</w:t>
      </w:r>
      <w:r w:rsidRPr="00F50C9D">
        <w:rPr>
          <w:bCs/>
          <w:strike/>
        </w:rPr>
        <w:tab/>
      </w:r>
      <w:r w:rsidRPr="00F50C9D">
        <w:rPr>
          <w:strike/>
        </w:rPr>
        <w:t>nařídit změnu auditora,</w:t>
      </w:r>
    </w:p>
    <w:p w14:paraId="5FF9B90B" w14:textId="77777777" w:rsidR="00272890" w:rsidRPr="00F50C9D" w:rsidRDefault="00272890" w:rsidP="00FB33F7">
      <w:pPr>
        <w:spacing w:before="0"/>
        <w:ind w:left="425" w:hanging="425"/>
        <w:outlineLvl w:val="7"/>
      </w:pPr>
      <w:r w:rsidRPr="00F50C9D">
        <w:rPr>
          <w:strike/>
        </w:rPr>
        <w:t>c)</w:t>
      </w:r>
      <w:r w:rsidRPr="00F50C9D">
        <w:tab/>
      </w:r>
      <w:r w:rsidRPr="00F50C9D">
        <w:rPr>
          <w:b/>
        </w:rPr>
        <w:t>b)</w:t>
      </w:r>
      <w:r w:rsidRPr="00F50C9D">
        <w:rPr>
          <w:b/>
        </w:rPr>
        <w:tab/>
      </w:r>
      <w:r w:rsidRPr="00F50C9D">
        <w:t>pozastavit nejdéle na dobu 5 let některou činnost podléhající dohledu,</w:t>
      </w:r>
    </w:p>
    <w:p w14:paraId="0A3CD309" w14:textId="77777777" w:rsidR="00272890" w:rsidRPr="00F50C9D" w:rsidRDefault="00272890" w:rsidP="00FB33F7">
      <w:pPr>
        <w:spacing w:before="0"/>
        <w:ind w:left="425" w:hanging="425"/>
        <w:outlineLvl w:val="7"/>
      </w:pPr>
      <w:r w:rsidRPr="00F50C9D">
        <w:rPr>
          <w:strike/>
        </w:rPr>
        <w:t>d)</w:t>
      </w:r>
      <w:r w:rsidRPr="00F50C9D">
        <w:tab/>
      </w:r>
      <w:r w:rsidRPr="00F50C9D">
        <w:rPr>
          <w:b/>
        </w:rPr>
        <w:t>c)</w:t>
      </w:r>
      <w:r w:rsidRPr="00F50C9D">
        <w:rPr>
          <w:b/>
        </w:rPr>
        <w:tab/>
      </w:r>
      <w:r w:rsidRPr="00F50C9D">
        <w:t>zakázat činnost podléhající dohledu,</w:t>
      </w:r>
    </w:p>
    <w:p w14:paraId="5A78B34B" w14:textId="77777777" w:rsidR="00272890" w:rsidRPr="00F50C9D" w:rsidRDefault="00272890" w:rsidP="00FB33F7">
      <w:pPr>
        <w:spacing w:before="0"/>
        <w:ind w:left="425" w:hanging="425"/>
        <w:outlineLvl w:val="7"/>
      </w:pPr>
      <w:r w:rsidRPr="00F50C9D">
        <w:rPr>
          <w:strike/>
        </w:rPr>
        <w:t>e)</w:t>
      </w:r>
      <w:r w:rsidRPr="00F50C9D">
        <w:tab/>
      </w:r>
      <w:r w:rsidRPr="00F50C9D">
        <w:rPr>
          <w:b/>
        </w:rPr>
        <w:t>d)</w:t>
      </w:r>
      <w:r w:rsidRPr="00F50C9D">
        <w:tab/>
        <w:t>pozastavit obchodování s investičními nástroji podle § 137,</w:t>
      </w:r>
    </w:p>
    <w:p w14:paraId="638338D5" w14:textId="77777777" w:rsidR="00272890" w:rsidRPr="00F50C9D" w:rsidRDefault="00272890" w:rsidP="00FB33F7">
      <w:pPr>
        <w:spacing w:before="0"/>
        <w:ind w:left="425" w:hanging="425"/>
        <w:outlineLvl w:val="7"/>
      </w:pPr>
      <w:r w:rsidRPr="00F50C9D">
        <w:rPr>
          <w:strike/>
        </w:rPr>
        <w:t>f)</w:t>
      </w:r>
      <w:r w:rsidRPr="00F50C9D">
        <w:tab/>
      </w:r>
      <w:r w:rsidRPr="00F50C9D">
        <w:rPr>
          <w:b/>
        </w:rPr>
        <w:t>e)</w:t>
      </w:r>
      <w:r w:rsidRPr="00F50C9D">
        <w:tab/>
        <w:t>zavést nucenou správu podle § 138 až 143,</w:t>
      </w:r>
    </w:p>
    <w:p w14:paraId="3C28357F" w14:textId="77777777" w:rsidR="00272890" w:rsidRPr="00F50C9D" w:rsidRDefault="00272890" w:rsidP="00FB33F7">
      <w:pPr>
        <w:spacing w:before="0"/>
        <w:ind w:left="425" w:hanging="425"/>
        <w:outlineLvl w:val="7"/>
      </w:pPr>
      <w:r w:rsidRPr="00F50C9D">
        <w:rPr>
          <w:strike/>
        </w:rPr>
        <w:t>g)</w:t>
      </w:r>
      <w:r w:rsidRPr="00F50C9D">
        <w:tab/>
      </w:r>
      <w:r w:rsidRPr="00F50C9D">
        <w:rPr>
          <w:b/>
        </w:rPr>
        <w:t>f)</w:t>
      </w:r>
      <w:r w:rsidRPr="00F50C9D">
        <w:tab/>
        <w:t>změnit rozsah povolení uděleného podle tohoto zákona podle § 144,</w:t>
      </w:r>
    </w:p>
    <w:p w14:paraId="6D99151D" w14:textId="77777777" w:rsidR="00272890" w:rsidRPr="00F50C9D" w:rsidRDefault="00272890" w:rsidP="00FB33F7">
      <w:pPr>
        <w:spacing w:before="0"/>
        <w:ind w:left="425" w:hanging="425"/>
        <w:outlineLvl w:val="7"/>
      </w:pPr>
      <w:r w:rsidRPr="00F50C9D">
        <w:rPr>
          <w:strike/>
        </w:rPr>
        <w:t>h)</w:t>
      </w:r>
      <w:r w:rsidRPr="00F50C9D">
        <w:tab/>
      </w:r>
      <w:r w:rsidRPr="00F50C9D">
        <w:rPr>
          <w:b/>
        </w:rPr>
        <w:t>g)</w:t>
      </w:r>
      <w:r w:rsidRPr="00F50C9D">
        <w:tab/>
        <w:t>odejmout povolení, souhlas nebo zrušit registraci podle § 145 nebo odejmout oprávnění k činnosti vázaného zástupce podle § 32i odst. 1,</w:t>
      </w:r>
    </w:p>
    <w:p w14:paraId="24CBDA6B" w14:textId="77777777" w:rsidR="00272890" w:rsidRPr="00F50C9D" w:rsidRDefault="00272890" w:rsidP="00FB33F7">
      <w:pPr>
        <w:spacing w:before="0"/>
        <w:ind w:left="425" w:hanging="425"/>
        <w:outlineLvl w:val="7"/>
      </w:pPr>
      <w:r w:rsidRPr="00F50C9D">
        <w:rPr>
          <w:strike/>
        </w:rPr>
        <w:t>i)</w:t>
      </w:r>
      <w:r w:rsidRPr="00F50C9D">
        <w:tab/>
      </w:r>
      <w:r w:rsidRPr="00F50C9D">
        <w:rPr>
          <w:b/>
        </w:rPr>
        <w:t>h)</w:t>
      </w:r>
      <w:r w:rsidRPr="00F50C9D">
        <w:rPr>
          <w:b/>
        </w:rPr>
        <w:tab/>
      </w:r>
      <w:r w:rsidRPr="00F50C9D">
        <w:t>zakázat nebo pozastavit nejdéle na dobu 10 pracovních dnů veřejné nabízení investičních cenných papírů, obchodování s investičním cenným papírem na regulovaném trhu nebo v mnohostranném obchodním systému nebo přijetí investičního cenného papíru k obchodování na regulovaném trhu nebo v mnohostranném obchodním systému,</w:t>
      </w:r>
    </w:p>
    <w:p w14:paraId="3B870F77" w14:textId="77777777" w:rsidR="00272890" w:rsidRPr="00F50C9D" w:rsidRDefault="00272890" w:rsidP="00FB33F7">
      <w:pPr>
        <w:spacing w:before="0"/>
        <w:ind w:left="425" w:hanging="425"/>
        <w:outlineLvl w:val="7"/>
      </w:pPr>
      <w:r w:rsidRPr="00F50C9D">
        <w:rPr>
          <w:strike/>
        </w:rPr>
        <w:t>j)</w:t>
      </w:r>
      <w:r w:rsidRPr="00F50C9D">
        <w:tab/>
      </w:r>
      <w:r w:rsidRPr="00F50C9D">
        <w:rPr>
          <w:b/>
        </w:rPr>
        <w:t>i)</w:t>
      </w:r>
      <w:r w:rsidRPr="00F50C9D">
        <w:tab/>
        <w:t>zakázat nebo pozastavit propagaci nebo oznámení týkající se veřejné nabídky nebo přijetí investičního cenného papíru k obchodování na regulovaném trhu,</w:t>
      </w:r>
    </w:p>
    <w:p w14:paraId="476924D7" w14:textId="77777777" w:rsidR="00272890" w:rsidRPr="00F50C9D" w:rsidRDefault="00272890" w:rsidP="00FB33F7">
      <w:pPr>
        <w:spacing w:before="0"/>
        <w:ind w:left="425" w:hanging="425"/>
        <w:outlineLvl w:val="7"/>
      </w:pPr>
      <w:r w:rsidRPr="00F50C9D">
        <w:rPr>
          <w:strike/>
        </w:rPr>
        <w:lastRenderedPageBreak/>
        <w:t>k)</w:t>
      </w:r>
      <w:r w:rsidRPr="00F50C9D">
        <w:tab/>
      </w:r>
      <w:r w:rsidRPr="00F50C9D">
        <w:rPr>
          <w:b/>
        </w:rPr>
        <w:t>j)</w:t>
      </w:r>
      <w:r w:rsidRPr="00F50C9D">
        <w:tab/>
        <w:t>nařídit výměnu člena vedoucího orgánu osob podléhajících dohledu podle § 135 odst. 1,</w:t>
      </w:r>
    </w:p>
    <w:p w14:paraId="27B7396D" w14:textId="77777777" w:rsidR="00272890" w:rsidRPr="00F50C9D" w:rsidRDefault="00272890" w:rsidP="00FB33F7">
      <w:pPr>
        <w:spacing w:before="0"/>
        <w:ind w:left="425" w:hanging="425"/>
        <w:outlineLvl w:val="7"/>
      </w:pPr>
      <w:r w:rsidRPr="00F50C9D">
        <w:rPr>
          <w:strike/>
        </w:rPr>
        <w:t>l)</w:t>
      </w:r>
      <w:r w:rsidRPr="00F50C9D">
        <w:tab/>
      </w:r>
      <w:r w:rsidRPr="00F50C9D">
        <w:rPr>
          <w:b/>
        </w:rPr>
        <w:t>k)</w:t>
      </w:r>
      <w:r w:rsidRPr="00F50C9D">
        <w:tab/>
        <w:t>nařídit uveřejnění povinně uveřejňované informace nebo ji sama uveřejnit,</w:t>
      </w:r>
    </w:p>
    <w:p w14:paraId="3B22E4F6" w14:textId="77777777" w:rsidR="00272890" w:rsidRPr="00F50C9D" w:rsidRDefault="00272890" w:rsidP="00FB33F7">
      <w:pPr>
        <w:spacing w:before="0"/>
        <w:ind w:left="425" w:hanging="425"/>
        <w:outlineLvl w:val="7"/>
      </w:pPr>
      <w:r w:rsidRPr="00F50C9D">
        <w:rPr>
          <w:strike/>
        </w:rPr>
        <w:t>m)</w:t>
      </w:r>
      <w:r w:rsidRPr="00F50C9D">
        <w:tab/>
      </w:r>
      <w:r w:rsidRPr="00F50C9D">
        <w:rPr>
          <w:b/>
        </w:rPr>
        <w:t>l)</w:t>
      </w:r>
      <w:r w:rsidRPr="00F50C9D">
        <w:rPr>
          <w:b/>
        </w:rPr>
        <w:tab/>
      </w:r>
      <w:r w:rsidRPr="00F50C9D">
        <w:t>uložit opatření</w:t>
      </w:r>
    </w:p>
    <w:p w14:paraId="44B68D74" w14:textId="77777777" w:rsidR="00272890" w:rsidRPr="00F50C9D" w:rsidRDefault="00272890" w:rsidP="00FB33F7">
      <w:pPr>
        <w:tabs>
          <w:tab w:val="left" w:pos="851"/>
        </w:tabs>
        <w:spacing w:before="0"/>
        <w:ind w:left="850" w:hanging="425"/>
        <w:outlineLvl w:val="8"/>
      </w:pPr>
      <w:r w:rsidRPr="00F50C9D">
        <w:t>1.</w:t>
      </w:r>
      <w:r w:rsidRPr="00F50C9D">
        <w:tab/>
        <w:t>podle čl. 63 odst. 2 písm. a)</w:t>
      </w:r>
      <w:r w:rsidRPr="00F50C9D">
        <w:tab/>
        <w:t>až c) nařízení Evropského parlamentu a Rady (EU) č. 909/2014,</w:t>
      </w:r>
    </w:p>
    <w:p w14:paraId="2A5D7E0C" w14:textId="77777777" w:rsidR="00272890" w:rsidRPr="00F50C9D" w:rsidRDefault="00272890" w:rsidP="00FB33F7">
      <w:pPr>
        <w:tabs>
          <w:tab w:val="left" w:pos="851"/>
        </w:tabs>
        <w:spacing w:before="0"/>
        <w:ind w:left="850" w:hanging="425"/>
        <w:outlineLvl w:val="8"/>
      </w:pPr>
      <w:r w:rsidRPr="00F50C9D">
        <w:t>2.</w:t>
      </w:r>
      <w:r w:rsidRPr="00F50C9D">
        <w:tab/>
        <w:t>podle čl. 22 odst. 4 písm. a) až c) nařízení Evropského parlamentu a Rady (EU) 2015/2365,</w:t>
      </w:r>
    </w:p>
    <w:p w14:paraId="5FB96335" w14:textId="77777777" w:rsidR="00272890" w:rsidRPr="00F50C9D" w:rsidRDefault="00272890" w:rsidP="00FB33F7">
      <w:pPr>
        <w:tabs>
          <w:tab w:val="left" w:pos="851"/>
        </w:tabs>
        <w:spacing w:before="0"/>
        <w:ind w:left="850" w:hanging="425"/>
        <w:outlineLvl w:val="8"/>
      </w:pPr>
      <w:r w:rsidRPr="00F50C9D">
        <w:t>3.</w:t>
      </w:r>
      <w:r w:rsidRPr="00F50C9D">
        <w:tab/>
        <w:t>podle čl. 24 odst. 2 písm. a), b) nebo d) nařízení Evropského parlamentu a Rady (EU) č. 1286/2014,</w:t>
      </w:r>
    </w:p>
    <w:p w14:paraId="661FC1B7" w14:textId="77777777" w:rsidR="00272890" w:rsidRPr="00F50C9D" w:rsidRDefault="00272890" w:rsidP="00FB33F7">
      <w:pPr>
        <w:tabs>
          <w:tab w:val="left" w:pos="851"/>
        </w:tabs>
        <w:spacing w:before="0"/>
        <w:ind w:left="850" w:hanging="425"/>
        <w:outlineLvl w:val="8"/>
      </w:pPr>
      <w:r w:rsidRPr="00F50C9D">
        <w:t>4.</w:t>
      </w:r>
      <w:r w:rsidRPr="00F50C9D">
        <w:tab/>
        <w:t>podle čl. 42 odst. 2 písm. a) až e) nařízení Evropského parlamentu a Rady (EU) 2016/1011,</w:t>
      </w:r>
    </w:p>
    <w:p w14:paraId="6B578509" w14:textId="77777777" w:rsidR="00272890" w:rsidRPr="00F50C9D" w:rsidRDefault="00272890" w:rsidP="00FB33F7">
      <w:pPr>
        <w:tabs>
          <w:tab w:val="left" w:pos="851"/>
        </w:tabs>
        <w:spacing w:before="0"/>
        <w:ind w:left="850" w:hanging="425"/>
        <w:outlineLvl w:val="8"/>
      </w:pPr>
      <w:r w:rsidRPr="00F50C9D">
        <w:t>5.</w:t>
      </w:r>
      <w:r w:rsidRPr="00F50C9D">
        <w:tab/>
        <w:t>podle čl. 32 odst. 2 písm. d) nařízení Evropského parlamentu a Rady (EU) 2017/2402,</w:t>
      </w:r>
    </w:p>
    <w:p w14:paraId="17979844" w14:textId="77777777" w:rsidR="00272890" w:rsidRPr="00F50C9D" w:rsidRDefault="00272890" w:rsidP="00FB33F7">
      <w:pPr>
        <w:tabs>
          <w:tab w:val="left" w:pos="851"/>
        </w:tabs>
        <w:spacing w:before="0"/>
        <w:ind w:left="850" w:hanging="425"/>
        <w:outlineLvl w:val="8"/>
      </w:pPr>
      <w:r w:rsidRPr="00F50C9D">
        <w:t>6.</w:t>
      </w:r>
      <w:r w:rsidRPr="00F50C9D">
        <w:tab/>
        <w:t>podle čl. 32 odst. 1 písm. a), d) až h) a j) až m) nařízení Evropského parlamentu a Rady (EU) 2017/1129, nebo</w:t>
      </w:r>
    </w:p>
    <w:p w14:paraId="2DB9350E" w14:textId="77777777" w:rsidR="00272890" w:rsidRPr="00F50C9D" w:rsidRDefault="00272890" w:rsidP="00FB33F7">
      <w:pPr>
        <w:tabs>
          <w:tab w:val="left" w:pos="851"/>
        </w:tabs>
        <w:spacing w:before="0"/>
        <w:ind w:left="850" w:hanging="425"/>
        <w:outlineLvl w:val="8"/>
      </w:pPr>
      <w:r w:rsidRPr="00F50C9D">
        <w:t>7.</w:t>
      </w:r>
      <w:r w:rsidRPr="00F50C9D">
        <w:tab/>
        <w:t>podle čl. 30 odst. 2 písm. a) až e) a g) až i) nebo čl. 39 odst. 2 písm. a) až c) nařízení Evropského parlamentu a Rady (EU) 2020/1503</w:t>
      </w:r>
      <w:r w:rsidRPr="00F50C9D">
        <w:rPr>
          <w:vertAlign w:val="superscript"/>
        </w:rPr>
        <w:t>75)</w:t>
      </w:r>
      <w:r w:rsidRPr="00F50C9D">
        <w:t>,</w:t>
      </w:r>
    </w:p>
    <w:p w14:paraId="35353773" w14:textId="77777777" w:rsidR="00272890" w:rsidRPr="00F50C9D" w:rsidRDefault="00272890" w:rsidP="00FB33F7">
      <w:pPr>
        <w:tabs>
          <w:tab w:val="left" w:pos="851"/>
        </w:tabs>
        <w:spacing w:before="0"/>
        <w:ind w:left="850" w:hanging="425"/>
        <w:outlineLvl w:val="8"/>
      </w:pPr>
      <w:r w:rsidRPr="00F50C9D">
        <w:t>8.</w:t>
      </w:r>
      <w:r w:rsidRPr="00F50C9D">
        <w:tab/>
        <w:t>podle čl. 82 odst. 2 písm. a) až c) nařízení Evropského parlamentu a Rady (EU) 2021/23,</w:t>
      </w:r>
    </w:p>
    <w:p w14:paraId="559CF6B1" w14:textId="77777777" w:rsidR="00272890" w:rsidRPr="00F50C9D" w:rsidRDefault="00272890" w:rsidP="00FB33F7">
      <w:pPr>
        <w:spacing w:before="0"/>
        <w:ind w:left="425" w:hanging="425"/>
        <w:outlineLvl w:val="7"/>
      </w:pPr>
      <w:r w:rsidRPr="00F50C9D">
        <w:rPr>
          <w:strike/>
        </w:rPr>
        <w:t>n)</w:t>
      </w:r>
      <w:r w:rsidRPr="00F50C9D">
        <w:tab/>
      </w:r>
      <w:r w:rsidRPr="00F50C9D">
        <w:rPr>
          <w:b/>
        </w:rPr>
        <w:t xml:space="preserve">m) </w:t>
      </w:r>
      <w:r w:rsidRPr="00F50C9D">
        <w:t>uveřejnit informaci o tom, jaká je povaha protiprávního jednání a identifikaci osoby, která takto jednala, včetně identifikace osoby, která jednala za právnickou osobu,</w:t>
      </w:r>
    </w:p>
    <w:p w14:paraId="01B0BBD2" w14:textId="77777777" w:rsidR="00272890" w:rsidRPr="00F50C9D" w:rsidRDefault="00272890" w:rsidP="00FB33F7">
      <w:pPr>
        <w:spacing w:before="0"/>
        <w:ind w:left="425" w:hanging="425"/>
        <w:outlineLvl w:val="7"/>
      </w:pPr>
      <w:r w:rsidRPr="00F50C9D">
        <w:rPr>
          <w:strike/>
        </w:rPr>
        <w:t>o)</w:t>
      </w:r>
      <w:r w:rsidRPr="00F50C9D">
        <w:tab/>
      </w:r>
      <w:r w:rsidRPr="00F50C9D">
        <w:rPr>
          <w:b/>
        </w:rPr>
        <w:t>n)</w:t>
      </w:r>
      <w:r w:rsidRPr="00F50C9D">
        <w:rPr>
          <w:b/>
        </w:rPr>
        <w:tab/>
      </w:r>
      <w:r w:rsidRPr="00F50C9D">
        <w:t>nařídit stažení investičního nástroje z obchodování na regulovaném trhu, v mnohostranném obchodním systému nebo v organizovaném obchodním systému,</w:t>
      </w:r>
    </w:p>
    <w:p w14:paraId="742220C2" w14:textId="77777777" w:rsidR="00272890" w:rsidRPr="00F50C9D" w:rsidRDefault="00272890" w:rsidP="00FB33F7">
      <w:pPr>
        <w:spacing w:before="0"/>
        <w:ind w:left="425" w:hanging="425"/>
        <w:outlineLvl w:val="7"/>
      </w:pPr>
      <w:r w:rsidRPr="00F50C9D">
        <w:rPr>
          <w:strike/>
        </w:rPr>
        <w:t>p)</w:t>
      </w:r>
      <w:r w:rsidRPr="00F50C9D">
        <w:tab/>
      </w:r>
      <w:r w:rsidRPr="00F50C9D">
        <w:rPr>
          <w:b/>
        </w:rPr>
        <w:t>o)</w:t>
      </w:r>
      <w:r w:rsidRPr="00F50C9D">
        <w:tab/>
        <w:t>nařídit omezení pozice nebo expozice,</w:t>
      </w:r>
    </w:p>
    <w:p w14:paraId="5C4F9888" w14:textId="77777777" w:rsidR="00272890" w:rsidRPr="00F50C9D" w:rsidRDefault="00272890" w:rsidP="00FB33F7">
      <w:pPr>
        <w:spacing w:before="0"/>
        <w:ind w:left="425" w:hanging="425"/>
        <w:outlineLvl w:val="7"/>
      </w:pPr>
      <w:r w:rsidRPr="00F50C9D">
        <w:rPr>
          <w:strike/>
        </w:rPr>
        <w:t>q)</w:t>
      </w:r>
      <w:r w:rsidRPr="00F50C9D">
        <w:tab/>
      </w:r>
      <w:r w:rsidRPr="00F50C9D">
        <w:rPr>
          <w:b/>
        </w:rPr>
        <w:t>p)</w:t>
      </w:r>
      <w:r w:rsidRPr="00F50C9D">
        <w:tab/>
        <w:t>omezit možnost sjednat komoditní derivát zavedením limitů na velikost pozice, kterou může kterákoli osoba v kterémkoli okamžiku držet,</w:t>
      </w:r>
    </w:p>
    <w:p w14:paraId="749B7318" w14:textId="77777777" w:rsidR="00272890" w:rsidRPr="00F50C9D" w:rsidRDefault="00272890" w:rsidP="00FB33F7">
      <w:pPr>
        <w:spacing w:before="0"/>
        <w:ind w:left="425" w:hanging="425"/>
        <w:outlineLvl w:val="7"/>
      </w:pPr>
      <w:r w:rsidRPr="00F50C9D">
        <w:rPr>
          <w:strike/>
        </w:rPr>
        <w:t>r)</w:t>
      </w:r>
      <w:r w:rsidRPr="00F50C9D">
        <w:tab/>
      </w:r>
      <w:r w:rsidRPr="00F50C9D">
        <w:rPr>
          <w:b/>
        </w:rPr>
        <w:t>q)</w:t>
      </w:r>
      <w:r w:rsidRPr="00F50C9D">
        <w:tab/>
        <w:t>pozastavit uvádění na trh nebo prodej investičních nástrojů nebo strukturovaných vkladů, pokud jsou splněny podmínky stanovené v čl. 40 až 42 nařízení Evropského parlamentu a Rady (EU) č. 600/2014, nebo</w:t>
      </w:r>
    </w:p>
    <w:p w14:paraId="0A9B49D2" w14:textId="77777777" w:rsidR="00272890" w:rsidRPr="00F50C9D" w:rsidRDefault="00272890" w:rsidP="00FB33F7">
      <w:pPr>
        <w:spacing w:before="0"/>
        <w:ind w:left="425" w:hanging="425"/>
        <w:outlineLvl w:val="7"/>
      </w:pPr>
      <w:r w:rsidRPr="00F50C9D">
        <w:rPr>
          <w:strike/>
        </w:rPr>
        <w:t>s)</w:t>
      </w:r>
      <w:r w:rsidRPr="00F50C9D">
        <w:tab/>
      </w:r>
      <w:r w:rsidRPr="00F50C9D">
        <w:rPr>
          <w:b/>
        </w:rPr>
        <w:t>r)</w:t>
      </w:r>
      <w:r w:rsidRPr="00F50C9D">
        <w:tab/>
        <w:t>pozastavit uvádění na trh nebo prodej investičních nástrojů, pokud obchodník s cennými papíry nedodržel postup stanovený v § 12a odst. 3, § 12ba nebo 12bb.</w:t>
      </w:r>
    </w:p>
    <w:p w14:paraId="026BB890" w14:textId="7D5EBF28" w:rsidR="00272890" w:rsidRPr="00F50C9D" w:rsidRDefault="00FB33F7" w:rsidP="00272890">
      <w:pPr>
        <w:tabs>
          <w:tab w:val="left" w:pos="782"/>
          <w:tab w:val="left" w:pos="851"/>
        </w:tabs>
        <w:spacing w:after="120"/>
        <w:outlineLvl w:val="6"/>
      </w:pPr>
      <w:r>
        <w:t xml:space="preserve">(2) </w:t>
      </w:r>
      <w:r w:rsidR="00272890" w:rsidRPr="00F50C9D">
        <w:t>Česká národní banka může obchodníkovi s cennými papíry pro účely nařízení Evropského parlamentu a Rady (EU) 2019/2033 a § 135a nebo 135b nebo který porušil tento zákon, právní předpis jej provádějící, rozhodnutí vydané podle tohoto zákona, opatření obecné povahy vydané podle tohoto zákona, přímo použitelný předpis Evropské unie upravující obezřetnostní požadavky na investiční podniky také</w:t>
      </w:r>
    </w:p>
    <w:p w14:paraId="7994136C" w14:textId="77777777" w:rsidR="00272890" w:rsidRPr="00F50C9D" w:rsidRDefault="00272890" w:rsidP="00FB33F7">
      <w:pPr>
        <w:spacing w:before="0"/>
        <w:ind w:left="425" w:hanging="425"/>
        <w:outlineLvl w:val="7"/>
      </w:pPr>
      <w:r w:rsidRPr="00F50C9D">
        <w:t>a)</w:t>
      </w:r>
      <w:r w:rsidRPr="00F50C9D">
        <w:tab/>
        <w:t>nařídit, aby měl kapitál nad rámec požadavků podle čl. 11 nařízení Evropského parlamentu a Rady (EU) 2019/2033 za podmínek podle § 137a, nebo nařídit, aby upravil kapitál a likvidní aktiva požadované v případě významných změn v podnikání tohoto obchodníka s cennými papíry,</w:t>
      </w:r>
    </w:p>
    <w:p w14:paraId="40BA0F65" w14:textId="77777777" w:rsidR="00272890" w:rsidRPr="00F50C9D" w:rsidRDefault="00272890" w:rsidP="00FB33F7">
      <w:pPr>
        <w:spacing w:before="0"/>
        <w:ind w:left="425" w:hanging="425"/>
        <w:outlineLvl w:val="7"/>
      </w:pPr>
      <w:r w:rsidRPr="00F50C9D">
        <w:t>b)</w:t>
      </w:r>
      <w:r w:rsidRPr="00F50C9D">
        <w:tab/>
        <w:t>nařídit posílení jeho systémů, postupů, mechanismů a strategií prováděných podle § 9a a 12ab,</w:t>
      </w:r>
    </w:p>
    <w:p w14:paraId="3CED7B85" w14:textId="77777777" w:rsidR="00272890" w:rsidRPr="00F50C9D" w:rsidRDefault="00272890" w:rsidP="00FB33F7">
      <w:pPr>
        <w:spacing w:before="0"/>
        <w:ind w:left="425" w:hanging="425"/>
        <w:outlineLvl w:val="7"/>
      </w:pPr>
      <w:r w:rsidRPr="00F50C9D">
        <w:t>c)</w:t>
      </w:r>
      <w:r w:rsidRPr="00F50C9D">
        <w:tab/>
        <w:t>nařídit, aby do 1 roku předložil plán na obnovení souladu s požadavky dohledu podle tohoto zákona a podle nařízení Evropského parlamentu a Rady (EU) 2019/2033,</w:t>
      </w:r>
    </w:p>
    <w:p w14:paraId="7DA87162" w14:textId="77777777" w:rsidR="00272890" w:rsidRPr="00F50C9D" w:rsidRDefault="00272890" w:rsidP="00FB33F7">
      <w:pPr>
        <w:spacing w:before="0"/>
        <w:ind w:left="425" w:hanging="425"/>
        <w:outlineLvl w:val="7"/>
      </w:pPr>
      <w:r w:rsidRPr="00F50C9D">
        <w:t>d)</w:t>
      </w:r>
      <w:r w:rsidRPr="00F50C9D">
        <w:tab/>
        <w:t xml:space="preserve">nařídit, aby používal specifický systém </w:t>
      </w:r>
      <w:r w:rsidRPr="00F50C9D">
        <w:rPr>
          <w:strike/>
        </w:rPr>
        <w:t>tvorby opravných položek a</w:t>
      </w:r>
      <w:r w:rsidRPr="00F50C9D">
        <w:rPr>
          <w:b/>
        </w:rPr>
        <w:t xml:space="preserve"> snižování účetní hodnoty aktiva o jeho znehodnocení a tvorby </w:t>
      </w:r>
      <w:r w:rsidRPr="00F50C9D">
        <w:t>rezerv nebo zacházení s aktivy z hlediska kapitálových požadavků,</w:t>
      </w:r>
    </w:p>
    <w:p w14:paraId="4212B529" w14:textId="77777777" w:rsidR="00272890" w:rsidRPr="00F50C9D" w:rsidRDefault="00272890" w:rsidP="00FB33F7">
      <w:pPr>
        <w:spacing w:before="0"/>
        <w:ind w:left="425" w:hanging="425"/>
        <w:outlineLvl w:val="7"/>
      </w:pPr>
      <w:r w:rsidRPr="00F50C9D">
        <w:lastRenderedPageBreak/>
        <w:t>e)</w:t>
      </w:r>
      <w:r w:rsidRPr="00F50C9D">
        <w:tab/>
        <w:t>zakázat nebo omezit jeho obchody, operace nebo jeho síť nebo požadovat upuštění od činností, které znamenají nadměrné riziko pro jeho finanční spolehlivost,</w:t>
      </w:r>
    </w:p>
    <w:p w14:paraId="62BCC9C6" w14:textId="77777777" w:rsidR="00272890" w:rsidRPr="00F50C9D" w:rsidRDefault="00272890" w:rsidP="00FB33F7">
      <w:pPr>
        <w:spacing w:before="0"/>
        <w:ind w:left="425" w:hanging="425"/>
        <w:outlineLvl w:val="7"/>
      </w:pPr>
      <w:r w:rsidRPr="00F50C9D">
        <w:t>f)</w:t>
      </w:r>
      <w:r w:rsidRPr="00F50C9D">
        <w:tab/>
        <w:t>nařídit, aby snížil riziko obsažené v činnostech a produktech, včetně činností vykonávaných prostřednictvím jiné osoby podle § 12d,</w:t>
      </w:r>
    </w:p>
    <w:p w14:paraId="7F958FA3" w14:textId="77777777" w:rsidR="00272890" w:rsidRPr="00F50C9D" w:rsidRDefault="00272890" w:rsidP="00FB33F7">
      <w:pPr>
        <w:spacing w:before="0"/>
        <w:ind w:left="425" w:hanging="425"/>
        <w:outlineLvl w:val="7"/>
      </w:pPr>
      <w:r w:rsidRPr="00F50C9D">
        <w:t>g)</w:t>
      </w:r>
      <w:r w:rsidRPr="00F50C9D">
        <w:tab/>
        <w:t>nařídit, aby omezil pohyblivou složku odměny stanovením její výše jako procentního podílu z čistých výnosů v případě, že je tato složka odměny neslučitelná s udržováním spolehlivého kapitálového základu,</w:t>
      </w:r>
    </w:p>
    <w:p w14:paraId="27B450D5" w14:textId="77777777" w:rsidR="00272890" w:rsidRPr="00F50C9D" w:rsidRDefault="00272890" w:rsidP="00FB33F7">
      <w:pPr>
        <w:spacing w:before="0"/>
        <w:ind w:left="425" w:hanging="425"/>
        <w:outlineLvl w:val="7"/>
      </w:pPr>
      <w:r w:rsidRPr="00F50C9D">
        <w:t>h)</w:t>
      </w:r>
      <w:r w:rsidRPr="00F50C9D">
        <w:tab/>
        <w:t>nařídit, aby použil čistý zisk k posílení kapitálu,</w:t>
      </w:r>
    </w:p>
    <w:p w14:paraId="4B8DD584" w14:textId="77777777" w:rsidR="00272890" w:rsidRPr="00F50C9D" w:rsidRDefault="00272890" w:rsidP="00FB33F7">
      <w:pPr>
        <w:spacing w:before="0"/>
        <w:ind w:left="425" w:hanging="425"/>
        <w:outlineLvl w:val="7"/>
      </w:pPr>
      <w:r w:rsidRPr="00F50C9D">
        <w:t>i)</w:t>
      </w:r>
      <w:r w:rsidRPr="00F50C9D">
        <w:tab/>
        <w:t xml:space="preserve">omezit nebo zakázat rozdělení výnosů nebo vyplácení úroků akcionářům, společníkům nebo držitelům nástrojů vedlejšího kapitálu </w:t>
      </w:r>
      <w:proofErr w:type="spellStart"/>
      <w:r w:rsidRPr="00F50C9D">
        <w:t>tier</w:t>
      </w:r>
      <w:proofErr w:type="spellEnd"/>
      <w:r w:rsidRPr="00F50C9D">
        <w:t xml:space="preserve"> 1, pokud takové omezení nebo zákaz nepředstavuje nesplnění jeho závazků,</w:t>
      </w:r>
    </w:p>
    <w:p w14:paraId="1B451680" w14:textId="77777777" w:rsidR="00272890" w:rsidRPr="00F50C9D" w:rsidRDefault="00272890" w:rsidP="00FB33F7">
      <w:pPr>
        <w:spacing w:before="0"/>
        <w:ind w:left="425" w:hanging="425"/>
        <w:outlineLvl w:val="7"/>
      </w:pPr>
      <w:r w:rsidRPr="00F50C9D">
        <w:t>j)</w:t>
      </w:r>
      <w:r w:rsidRPr="00F50C9D">
        <w:tab/>
        <w:t>uložit dodatečné nebo častější požadavky na podávání zpráv, než jsou požadavky stanovené v tomto zákoně a v nařízení Evropského parlamentu a Rady (EU) 2019/2033, včetně podávání zpráv o kapitálové a likviditní pozici,</w:t>
      </w:r>
    </w:p>
    <w:p w14:paraId="447CF568" w14:textId="77777777" w:rsidR="00272890" w:rsidRPr="00F50C9D" w:rsidRDefault="00272890" w:rsidP="00FB33F7">
      <w:pPr>
        <w:spacing w:before="0"/>
        <w:ind w:left="425" w:hanging="425"/>
        <w:outlineLvl w:val="7"/>
      </w:pPr>
      <w:r w:rsidRPr="00F50C9D">
        <w:t>k)</w:t>
      </w:r>
      <w:r w:rsidRPr="00F50C9D">
        <w:tab/>
        <w:t>uložit zvláštní požadavky na likviditu podle § 137c,</w:t>
      </w:r>
    </w:p>
    <w:p w14:paraId="08DF6682" w14:textId="77777777" w:rsidR="00272890" w:rsidRPr="00F50C9D" w:rsidRDefault="00272890" w:rsidP="00FB33F7">
      <w:pPr>
        <w:spacing w:before="0"/>
        <w:ind w:left="425" w:hanging="425"/>
        <w:outlineLvl w:val="7"/>
      </w:pPr>
      <w:r w:rsidRPr="00F50C9D">
        <w:t>l)</w:t>
      </w:r>
      <w:r w:rsidRPr="00F50C9D">
        <w:tab/>
        <w:t>nařídit zpřístupnění doplňujících informací, nebo</w:t>
      </w:r>
    </w:p>
    <w:p w14:paraId="7D6C46E4" w14:textId="77777777" w:rsidR="00272890" w:rsidRPr="00F50C9D" w:rsidRDefault="00272890" w:rsidP="00FB33F7">
      <w:pPr>
        <w:spacing w:before="0"/>
        <w:ind w:left="425" w:hanging="425"/>
        <w:outlineLvl w:val="7"/>
      </w:pPr>
      <w:r w:rsidRPr="00F50C9D">
        <w:t>m)</w:t>
      </w:r>
      <w:r w:rsidRPr="00F50C9D">
        <w:tab/>
        <w:t>nařídit, aby snížil rizika spojená s bezpečností jeho sítí a informačních systémů s cílem zajistit důvěrnost, celistvost a dostupnost jeho procesů, údajů a aktiv.</w:t>
      </w:r>
    </w:p>
    <w:p w14:paraId="3DE8857A" w14:textId="2AC03020" w:rsidR="00272890" w:rsidRPr="00F50C9D" w:rsidRDefault="00FB33F7" w:rsidP="0006588E">
      <w:pPr>
        <w:tabs>
          <w:tab w:val="left" w:pos="782"/>
          <w:tab w:val="left" w:pos="851"/>
        </w:tabs>
        <w:spacing w:before="120" w:after="120"/>
        <w:outlineLvl w:val="6"/>
      </w:pPr>
      <w:r>
        <w:t xml:space="preserve">(3) </w:t>
      </w:r>
      <w:r w:rsidR="00272890" w:rsidRPr="00F50C9D">
        <w:t>Osoba, které Česká národní banka uložila opatření k nápravě podle odstavce 1 nebo 2, informuje Českou národní banku o odstranění nedostatku a způsobu zjednání nápravy.</w:t>
      </w:r>
    </w:p>
    <w:p w14:paraId="1C555B7C" w14:textId="7BE72C39" w:rsidR="00272890" w:rsidRPr="00F50C9D" w:rsidRDefault="00FB33F7" w:rsidP="0006588E">
      <w:pPr>
        <w:tabs>
          <w:tab w:val="left" w:pos="782"/>
          <w:tab w:val="left" w:pos="851"/>
        </w:tabs>
        <w:spacing w:before="120" w:after="120"/>
        <w:outlineLvl w:val="6"/>
      </w:pPr>
      <w:r>
        <w:t xml:space="preserve">(4) </w:t>
      </w:r>
      <w:r w:rsidR="00272890" w:rsidRPr="00F50C9D">
        <w:t>Česká národní banka zakáže osobě nebo osobám jednajícím ve shodě, kterým udělila souhlas k nabytí kvalifikované účasti nebo ke zvýšení kvalifikované účasti na obchodníkovi s cennými papíry, organizátorovi regulovaného trhu anebo k tomu, aby se staly osobami ovládajícími obchodníka s cennými papíry, organizátora regulovaného trhu, a které přestaly splňovat podmínky pro udělení souhlasu, vykonávat tato hlasovací práva nebo jinak uplatňovat významný vliv na jejich řízení.</w:t>
      </w:r>
    </w:p>
    <w:p w14:paraId="11A36670" w14:textId="00549B52" w:rsidR="00272890" w:rsidRPr="00F50C9D" w:rsidRDefault="00FB33F7" w:rsidP="0006588E">
      <w:pPr>
        <w:tabs>
          <w:tab w:val="left" w:pos="782"/>
          <w:tab w:val="left" w:pos="851"/>
        </w:tabs>
        <w:spacing w:before="120" w:after="120"/>
        <w:outlineLvl w:val="6"/>
      </w:pPr>
      <w:r>
        <w:t xml:space="preserve">(5) </w:t>
      </w:r>
      <w:r w:rsidR="00272890" w:rsidRPr="00F50C9D">
        <w:t>Česká národní banka může dále</w:t>
      </w:r>
    </w:p>
    <w:p w14:paraId="449D879E" w14:textId="77777777" w:rsidR="00272890" w:rsidRPr="00F50C9D" w:rsidRDefault="00272890" w:rsidP="00D60636">
      <w:pPr>
        <w:spacing w:before="0"/>
        <w:ind w:left="425" w:hanging="425"/>
        <w:outlineLvl w:val="7"/>
      </w:pPr>
      <w:r w:rsidRPr="00F50C9D">
        <w:t>a)</w:t>
      </w:r>
      <w:r w:rsidRPr="00F50C9D">
        <w:tab/>
        <w:t>nařídit, aby velký nebo propojený obchodník s cennými papíry nebo obchodník s cennými papíry podle čl. 46 odst. 2 nařízení Evropského parlamentu a Rady (EU) 2019/2033</w:t>
      </w:r>
    </w:p>
    <w:p w14:paraId="6A688353" w14:textId="77777777" w:rsidR="00272890" w:rsidRPr="00F50C9D" w:rsidRDefault="00272890" w:rsidP="00D60636">
      <w:pPr>
        <w:tabs>
          <w:tab w:val="left" w:pos="851"/>
        </w:tabs>
        <w:spacing w:before="0"/>
        <w:ind w:left="850" w:hanging="425"/>
        <w:outlineLvl w:val="8"/>
      </w:pPr>
      <w:r w:rsidRPr="00F50C9D">
        <w:t>1.</w:t>
      </w:r>
      <w:r w:rsidRPr="00F50C9D">
        <w:tab/>
        <w:t>uveřejňoval informace podle čl. 46 nařízení Evropského parlamentu a Rady (EU) 2019/2033 častěji než jednou ročně, a stanovit lhůty tohoto uveřejňování, nebo</w:t>
      </w:r>
    </w:p>
    <w:p w14:paraId="4682F991" w14:textId="77777777" w:rsidR="00272890" w:rsidRPr="00F50C9D" w:rsidRDefault="00272890" w:rsidP="00D60636">
      <w:pPr>
        <w:tabs>
          <w:tab w:val="left" w:pos="851"/>
        </w:tabs>
        <w:spacing w:before="0"/>
        <w:ind w:left="850" w:hanging="425"/>
        <w:outlineLvl w:val="8"/>
      </w:pPr>
      <w:r w:rsidRPr="00F50C9D">
        <w:t>2.</w:t>
      </w:r>
      <w:r w:rsidRPr="00F50C9D">
        <w:tab/>
        <w:t>využíval specifická místa a nosiče, zejména své internetové stránky, k uveřejnění jiných informací, než jsou účetní závěrky, a</w:t>
      </w:r>
    </w:p>
    <w:p w14:paraId="29AD1787" w14:textId="77777777" w:rsidR="00272890" w:rsidRPr="00F50C9D" w:rsidRDefault="00272890" w:rsidP="00D60636">
      <w:pPr>
        <w:spacing w:before="0"/>
        <w:ind w:left="425" w:hanging="425"/>
        <w:outlineLvl w:val="7"/>
      </w:pPr>
      <w:r w:rsidRPr="00F50C9D">
        <w:t>b)</w:t>
      </w:r>
      <w:r w:rsidRPr="00F50C9D">
        <w:tab/>
        <w:t>nařídit, aby kontrolující osoba ve skupině obchodníka s cennými papíry každoročně uveřejňovala ve formě úplných informací nebo odpovídajících odkazů na ně popis své právní struktury, struktury systému správy a řízení a organizační struktury dané skupiny obchodníka s cennými papíry podle § 12ab odst. 1 a § 10b až 10e.</w:t>
      </w:r>
    </w:p>
    <w:p w14:paraId="706C6670" w14:textId="57A670E3" w:rsidR="00272890" w:rsidRPr="00F50C9D" w:rsidRDefault="00D60636" w:rsidP="0006588E">
      <w:pPr>
        <w:tabs>
          <w:tab w:val="left" w:pos="782"/>
          <w:tab w:val="left" w:pos="851"/>
        </w:tabs>
        <w:spacing w:before="120" w:after="120"/>
        <w:outlineLvl w:val="6"/>
      </w:pPr>
      <w:r>
        <w:t xml:space="preserve">(6) </w:t>
      </w:r>
      <w:r w:rsidR="00272890" w:rsidRPr="00F50C9D">
        <w:t>Česká národní banka může uložit fyzické osobě nebo právnické osobě nepodléhající jejímu dohledu, která neplní povinnost uloženou tímto zákonem, právním předpisem jej provádějícím rozhodnutím vydaným podle tohoto zákona, přímo použitelným předpisem Evropské unie upravujícím obezřetnostní požadavky na úvěrové instituce a investiční podniky</w:t>
      </w:r>
      <w:r w:rsidR="00272890" w:rsidRPr="00F50C9D">
        <w:rPr>
          <w:vertAlign w:val="superscript"/>
        </w:rPr>
        <w:t>50)</w:t>
      </w:r>
      <w:r w:rsidR="00272890" w:rsidRPr="00F50C9D">
        <w:t xml:space="preserve"> nebo nařízením nebo rozhodnutím Evropské komise, aby upustila od tohoto protiprávního jednání a zdržela se jeho opakování; Česká národní banka může dále</w:t>
      </w:r>
    </w:p>
    <w:p w14:paraId="09A2D312" w14:textId="77777777" w:rsidR="00272890" w:rsidRPr="00F50C9D" w:rsidRDefault="00272890" w:rsidP="00D60636">
      <w:pPr>
        <w:spacing w:before="0"/>
        <w:ind w:left="425" w:hanging="425"/>
        <w:outlineLvl w:val="7"/>
      </w:pPr>
      <w:r w:rsidRPr="00F50C9D">
        <w:t>a)</w:t>
      </w:r>
      <w:r w:rsidRPr="00F50C9D">
        <w:tab/>
        <w:t>pozastavit výkon hlasovacích práv akcionáři nebo akcionářům odpovědným za protiprávní jednání,</w:t>
      </w:r>
    </w:p>
    <w:p w14:paraId="46882118" w14:textId="77777777" w:rsidR="00272890" w:rsidRPr="00F50C9D" w:rsidRDefault="00272890" w:rsidP="00D60636">
      <w:pPr>
        <w:spacing w:before="0"/>
        <w:ind w:left="425" w:hanging="425"/>
        <w:outlineLvl w:val="7"/>
      </w:pPr>
      <w:r w:rsidRPr="00F50C9D">
        <w:lastRenderedPageBreak/>
        <w:t>b)</w:t>
      </w:r>
      <w:r w:rsidRPr="00F50C9D">
        <w:tab/>
        <w:t>dočasně zakázat členu statutárního orgánu, správní rady nebo dozorčí rady obchodníka s cennými papíry nebo jiné odpovědné fyzické osobě výkon funkce v obchodníkovi s cennými papíry nebo výkon funkce v zahraničním obchodníkovi s cennými papíry,</w:t>
      </w:r>
    </w:p>
    <w:p w14:paraId="6F6A8177" w14:textId="77777777" w:rsidR="00272890" w:rsidRPr="00F50C9D" w:rsidRDefault="00272890" w:rsidP="00D60636">
      <w:pPr>
        <w:spacing w:before="0"/>
        <w:ind w:left="425" w:hanging="425"/>
        <w:outlineLvl w:val="7"/>
      </w:pPr>
      <w:r w:rsidRPr="00F50C9D">
        <w:t>c)</w:t>
      </w:r>
      <w:r w:rsidRPr="00F50C9D">
        <w:tab/>
        <w:t>uveřejnit informaci o tom, která osoba je odpovědná za protiprávní jednání a jaká je jeho povaha.</w:t>
      </w:r>
    </w:p>
    <w:p w14:paraId="63F593B6" w14:textId="77777777" w:rsidR="00272890" w:rsidRPr="00F50C9D" w:rsidRDefault="00272890" w:rsidP="00272890">
      <w:pPr>
        <w:pStyle w:val="Paragraf"/>
        <w:spacing w:after="120"/>
      </w:pPr>
      <w:r w:rsidRPr="00F50C9D">
        <w:t>§ 143</w:t>
      </w:r>
    </w:p>
    <w:p w14:paraId="5F309318" w14:textId="77777777" w:rsidR="00272890" w:rsidRPr="00F50C9D" w:rsidRDefault="00272890" w:rsidP="00272890">
      <w:pPr>
        <w:pStyle w:val="Textparagrafu"/>
        <w:spacing w:after="120"/>
      </w:pPr>
      <w:r w:rsidRPr="00F50C9D">
        <w:t>Nuceným správcem může být pouze fyzická osoba zapsaná do seznamu likvidátorů a nucených správců vedeného Českou národní bankou,</w:t>
      </w:r>
    </w:p>
    <w:p w14:paraId="6587E1B9" w14:textId="77777777" w:rsidR="00272890" w:rsidRPr="00F50C9D" w:rsidRDefault="00272890" w:rsidP="00D60636">
      <w:pPr>
        <w:pStyle w:val="PZTextpsmene"/>
        <w:spacing w:before="0"/>
      </w:pPr>
      <w:r w:rsidRPr="00F50C9D">
        <w:t>a)</w:t>
      </w:r>
      <w:r w:rsidRPr="00F50C9D">
        <w:tab/>
        <w:t>jejíž zájmy nejsou v rozporu se zájmy osoby, u které se zavádí nucená správa, nebo osob, které využívají jejích služeb,</w:t>
      </w:r>
    </w:p>
    <w:p w14:paraId="28EB6687" w14:textId="77777777" w:rsidR="00272890" w:rsidRPr="00F50C9D" w:rsidRDefault="00272890" w:rsidP="00D60636">
      <w:pPr>
        <w:pStyle w:val="PZTextpsmene"/>
        <w:spacing w:before="0"/>
      </w:pPr>
      <w:r w:rsidRPr="00F50C9D">
        <w:t>b)</w:t>
      </w:r>
      <w:r w:rsidRPr="00F50C9D">
        <w:tab/>
        <w:t>která nemá kvalifikovanou účast na osobě, u které se zavádí nucená správa, nebo není s touto osobou úzce propojená,</w:t>
      </w:r>
    </w:p>
    <w:p w14:paraId="69C9073B" w14:textId="77777777" w:rsidR="00272890" w:rsidRPr="00F50C9D" w:rsidRDefault="00272890" w:rsidP="00D60636">
      <w:pPr>
        <w:pStyle w:val="PZTextpsmene"/>
        <w:spacing w:before="0"/>
      </w:pPr>
      <w:r w:rsidRPr="00F50C9D">
        <w:t>c)</w:t>
      </w:r>
      <w:r w:rsidRPr="00F50C9D">
        <w:tab/>
        <w:t>která v posledních 3 letech neprováděla audit nebo se nepodílela na provedení</w:t>
      </w:r>
      <w:r w:rsidRPr="00F50C9D">
        <w:rPr>
          <w:b/>
        </w:rPr>
        <w:t xml:space="preserve"> </w:t>
      </w:r>
      <w:r w:rsidRPr="00F50C9D">
        <w:t xml:space="preserve">auditu </w:t>
      </w:r>
      <w:r w:rsidRPr="00F50C9D">
        <w:rPr>
          <w:b/>
        </w:rPr>
        <w:t xml:space="preserve">účetní závěrky </w:t>
      </w:r>
      <w:r w:rsidRPr="00F50C9D">
        <w:t>osoby, u které se zavádí nucená správa.</w:t>
      </w:r>
    </w:p>
    <w:p w14:paraId="6027597E" w14:textId="77777777" w:rsidR="00272890" w:rsidRPr="00F50C9D" w:rsidRDefault="00272890" w:rsidP="00272890">
      <w:pPr>
        <w:widowControl w:val="0"/>
        <w:autoSpaceDE w:val="0"/>
        <w:autoSpaceDN w:val="0"/>
        <w:adjustRightInd w:val="0"/>
        <w:spacing w:after="120"/>
        <w:jc w:val="center"/>
        <w:rPr>
          <w:szCs w:val="24"/>
        </w:rPr>
      </w:pPr>
      <w:r w:rsidRPr="00F50C9D">
        <w:rPr>
          <w:szCs w:val="24"/>
        </w:rPr>
        <w:t>§ 158</w:t>
      </w:r>
    </w:p>
    <w:p w14:paraId="60A128AA" w14:textId="48237E61" w:rsidR="00272890" w:rsidRPr="00F50C9D" w:rsidRDefault="00D60636" w:rsidP="00272890">
      <w:pPr>
        <w:pStyle w:val="PZTextodstavce"/>
        <w:spacing w:before="240"/>
        <w:rPr>
          <w:szCs w:val="24"/>
        </w:rPr>
      </w:pPr>
      <w:r>
        <w:rPr>
          <w:szCs w:val="24"/>
        </w:rPr>
        <w:t xml:space="preserve">(1) </w:t>
      </w:r>
      <w:r w:rsidR="00272890" w:rsidRPr="00F50C9D">
        <w:rPr>
          <w:szCs w:val="24"/>
        </w:rPr>
        <w:t>Fyzická osoba se dopustí přestupku tím, že</w:t>
      </w:r>
    </w:p>
    <w:p w14:paraId="21A1DF32" w14:textId="77777777" w:rsidR="00272890" w:rsidRPr="00F50C9D" w:rsidRDefault="00272890" w:rsidP="00D60636">
      <w:pPr>
        <w:pStyle w:val="PZTextpsmene"/>
        <w:spacing w:before="0"/>
        <w:rPr>
          <w:b/>
          <w:szCs w:val="24"/>
        </w:rPr>
      </w:pPr>
      <w:r w:rsidRPr="00F50C9D">
        <w:rPr>
          <w:szCs w:val="24"/>
        </w:rPr>
        <w:t>a)</w:t>
      </w:r>
      <w:r w:rsidRPr="00F50C9D">
        <w:rPr>
          <w:szCs w:val="24"/>
        </w:rPr>
        <w:tab/>
        <w:t>jako emitent podle § 118 odst. 1 neuveřejní výroční finanční</w:t>
      </w:r>
      <w:r w:rsidRPr="00F50C9D">
        <w:rPr>
          <w:b/>
          <w:szCs w:val="24"/>
        </w:rPr>
        <w:t xml:space="preserve"> </w:t>
      </w:r>
      <w:r w:rsidRPr="00F50C9D">
        <w:rPr>
          <w:strike/>
          <w:szCs w:val="24"/>
        </w:rPr>
        <w:t>zprávu podle § 118</w:t>
      </w:r>
      <w:r w:rsidRPr="00F50C9D">
        <w:rPr>
          <w:szCs w:val="24"/>
        </w:rPr>
        <w:t xml:space="preserve"> </w:t>
      </w:r>
      <w:r w:rsidRPr="00F50C9D">
        <w:rPr>
          <w:b/>
          <w:bCs/>
          <w:szCs w:val="24"/>
        </w:rPr>
        <w:t>zprávu</w:t>
      </w:r>
      <w:r w:rsidRPr="00F50C9D">
        <w:rPr>
          <w:szCs w:val="24"/>
        </w:rPr>
        <w:t xml:space="preserve"> </w:t>
      </w:r>
      <w:r w:rsidRPr="00F50C9D">
        <w:rPr>
          <w:b/>
          <w:szCs w:val="24"/>
        </w:rPr>
        <w:t>nebo zprávu o ověření</w:t>
      </w:r>
      <w:r w:rsidRPr="00F50C9D">
        <w:rPr>
          <w:szCs w:val="24"/>
        </w:rPr>
        <w:t xml:space="preserve"> </w:t>
      </w:r>
      <w:r w:rsidRPr="00F50C9D">
        <w:rPr>
          <w:b/>
          <w:bCs/>
          <w:szCs w:val="24"/>
        </w:rPr>
        <w:t>podle § 118</w:t>
      </w:r>
      <w:r w:rsidRPr="00F50C9D">
        <w:rPr>
          <w:szCs w:val="24"/>
        </w:rPr>
        <w:t xml:space="preserve"> </w:t>
      </w:r>
      <w:r w:rsidRPr="00F50C9D">
        <w:rPr>
          <w:b/>
          <w:szCs w:val="24"/>
        </w:rPr>
        <w:t>nebo nezveřejní řádnou účetní závěrku, zprávu podle zákona upravujícího účetnictví, je-li vyhotovována, nebo zprávu o jejich ověření, jsou-li ověřovány, ve lhůtě podle § 118 odst. 9</w:t>
      </w:r>
      <w:r w:rsidRPr="00F50C9D">
        <w:rPr>
          <w:bCs/>
          <w:szCs w:val="24"/>
        </w:rPr>
        <w:t>,</w:t>
      </w:r>
    </w:p>
    <w:p w14:paraId="59FC480C" w14:textId="77777777" w:rsidR="00272890" w:rsidRPr="00F50C9D" w:rsidRDefault="00272890" w:rsidP="00D60636">
      <w:pPr>
        <w:pStyle w:val="PZTextpsmene"/>
        <w:spacing w:before="0"/>
        <w:rPr>
          <w:szCs w:val="24"/>
        </w:rPr>
      </w:pPr>
      <w:r w:rsidRPr="00F50C9D">
        <w:rPr>
          <w:szCs w:val="24"/>
        </w:rPr>
        <w:t>b)</w:t>
      </w:r>
      <w:r w:rsidRPr="00F50C9D">
        <w:rPr>
          <w:szCs w:val="24"/>
        </w:rPr>
        <w:tab/>
        <w:t>jako osoba podle § 122 odst. 1 nesplní některou z oznamovacích povinností podle § 122 odst. 1, nebo</w:t>
      </w:r>
    </w:p>
    <w:p w14:paraId="3E64C7C1" w14:textId="77777777" w:rsidR="00272890" w:rsidRPr="00F50C9D" w:rsidRDefault="00272890" w:rsidP="00D60636">
      <w:pPr>
        <w:pStyle w:val="PZTextpsmene"/>
        <w:spacing w:before="0"/>
        <w:rPr>
          <w:szCs w:val="24"/>
        </w:rPr>
      </w:pPr>
      <w:r w:rsidRPr="00F50C9D">
        <w:rPr>
          <w:szCs w:val="24"/>
        </w:rPr>
        <w:t>c)</w:t>
      </w:r>
      <w:r w:rsidRPr="00F50C9D">
        <w:rPr>
          <w:szCs w:val="24"/>
        </w:rPr>
        <w:tab/>
        <w:t>jako osoba, která požádala o přijetí investičních cenných papírů k obchodování na regulovaném trhu bez souhlasu emitenta, nesplní některou z povinností podle § 127 odst. 2.</w:t>
      </w:r>
    </w:p>
    <w:p w14:paraId="3B501752" w14:textId="0C04E1C1" w:rsidR="00272890" w:rsidRPr="00F50C9D" w:rsidRDefault="00272890" w:rsidP="0006588E">
      <w:pPr>
        <w:pStyle w:val="PZTextodstavce"/>
        <w:rPr>
          <w:szCs w:val="24"/>
        </w:rPr>
      </w:pPr>
      <w:proofErr w:type="gramStart"/>
      <w:r w:rsidRPr="00F50C9D">
        <w:rPr>
          <w:szCs w:val="24"/>
        </w:rPr>
        <w:t>(2)</w:t>
      </w:r>
      <w:r w:rsidR="00D60636">
        <w:rPr>
          <w:szCs w:val="24"/>
        </w:rPr>
        <w:t xml:space="preserve"> </w:t>
      </w:r>
      <w:r w:rsidR="00D60636" w:rsidRPr="00F50C9D">
        <w:rPr>
          <w:szCs w:val="24"/>
        </w:rPr>
        <w:t xml:space="preserve"> </w:t>
      </w:r>
      <w:r w:rsidRPr="00F50C9D">
        <w:rPr>
          <w:szCs w:val="24"/>
        </w:rPr>
        <w:t>Fyzická</w:t>
      </w:r>
      <w:proofErr w:type="gramEnd"/>
      <w:r w:rsidRPr="00F50C9D">
        <w:rPr>
          <w:szCs w:val="24"/>
        </w:rPr>
        <w:t xml:space="preserve"> osoba se jako nucený správce nebo insolvenční správce obchodníka s cennými papíry, nebo osoba, která má tyto podklady u sebe, dopustí přestupku tím, že neposkytne Garančnímu fondu podklady podle § 130 odst. 11.</w:t>
      </w:r>
    </w:p>
    <w:p w14:paraId="0A9B8753" w14:textId="3CB0E0DA" w:rsidR="00272890" w:rsidRPr="00F50C9D" w:rsidRDefault="00D60636" w:rsidP="0006588E">
      <w:pPr>
        <w:pStyle w:val="PZTextodstavce"/>
        <w:rPr>
          <w:szCs w:val="24"/>
        </w:rPr>
      </w:pPr>
      <w:r>
        <w:rPr>
          <w:szCs w:val="24"/>
        </w:rPr>
        <w:t xml:space="preserve">(3) </w:t>
      </w:r>
      <w:r w:rsidR="00272890" w:rsidRPr="00F50C9D">
        <w:rPr>
          <w:szCs w:val="24"/>
        </w:rPr>
        <w:t>Fyzická osoba se jako nucený správce obchodníka s cennými papíry, který není bankou, organizátora regulovaného trhu, provozovatele vypořádacího systému s neodvolatelností vypořádání se sídlem v České republice nebo centrálního depozitáře dopustí přestupku tím, že nesplní některou z povinností podle § 139 odst. 7.</w:t>
      </w:r>
    </w:p>
    <w:p w14:paraId="0BA32929" w14:textId="25417101" w:rsidR="00272890" w:rsidRPr="00F50C9D" w:rsidRDefault="00D60636" w:rsidP="0006588E">
      <w:pPr>
        <w:pStyle w:val="PZTextodstavce"/>
        <w:rPr>
          <w:szCs w:val="24"/>
        </w:rPr>
      </w:pPr>
      <w:r>
        <w:rPr>
          <w:szCs w:val="24"/>
        </w:rPr>
        <w:t xml:space="preserve">(4) </w:t>
      </w:r>
      <w:r w:rsidR="00272890" w:rsidRPr="00F50C9D">
        <w:rPr>
          <w:szCs w:val="24"/>
        </w:rPr>
        <w:t>Za přestupek podle odstavce 1 lze uložit pokutu do</w:t>
      </w:r>
    </w:p>
    <w:p w14:paraId="0D6ED19B" w14:textId="77777777" w:rsidR="00272890" w:rsidRPr="00F50C9D" w:rsidRDefault="00272890" w:rsidP="00D60636">
      <w:pPr>
        <w:pStyle w:val="PZTextpsmene"/>
        <w:spacing w:before="0"/>
        <w:rPr>
          <w:szCs w:val="24"/>
        </w:rPr>
      </w:pPr>
      <w:r w:rsidRPr="00F50C9D">
        <w:rPr>
          <w:szCs w:val="24"/>
        </w:rPr>
        <w:t>a)</w:t>
      </w:r>
      <w:r w:rsidRPr="00F50C9D">
        <w:rPr>
          <w:szCs w:val="24"/>
        </w:rPr>
        <w:tab/>
        <w:t>60 000 000 Kč, nebo</w:t>
      </w:r>
    </w:p>
    <w:p w14:paraId="6F6BD443" w14:textId="77777777" w:rsidR="00272890" w:rsidRPr="00F50C9D" w:rsidRDefault="00272890" w:rsidP="00D60636">
      <w:pPr>
        <w:pStyle w:val="PZTextpsmene"/>
        <w:spacing w:before="0"/>
        <w:rPr>
          <w:szCs w:val="24"/>
        </w:rPr>
      </w:pPr>
      <w:r w:rsidRPr="00F50C9D">
        <w:rPr>
          <w:szCs w:val="24"/>
        </w:rPr>
        <w:t>b)</w:t>
      </w:r>
      <w:r w:rsidRPr="00F50C9D">
        <w:rPr>
          <w:szCs w:val="24"/>
        </w:rPr>
        <w:tab/>
        <w:t>výše dvojnásobku neoprávněného prospěchu získaného spácháním tohoto přestupku, je-li možné výši neoprávněného prospěchu zjistit a přesahuje-li takto určená výše pokuty 60 000 000 Kč.</w:t>
      </w:r>
    </w:p>
    <w:p w14:paraId="16BB0DF2" w14:textId="77777777" w:rsidR="00272890" w:rsidRPr="00F50C9D" w:rsidRDefault="00272890" w:rsidP="0006588E">
      <w:pPr>
        <w:pStyle w:val="PZTextodstavce"/>
        <w:rPr>
          <w:szCs w:val="24"/>
        </w:rPr>
      </w:pPr>
      <w:r w:rsidRPr="00F50C9D">
        <w:rPr>
          <w:szCs w:val="24"/>
        </w:rPr>
        <w:t>(5) Za přestupek podle odstavce 2 nebo 3 lze uložit pokutu do 5 000 000 Kč.</w:t>
      </w:r>
    </w:p>
    <w:p w14:paraId="2112BD48" w14:textId="77777777" w:rsidR="00272890" w:rsidRPr="00F50C9D" w:rsidRDefault="00272890" w:rsidP="00D60636">
      <w:pPr>
        <w:keepNext/>
        <w:keepLines/>
        <w:widowControl w:val="0"/>
        <w:autoSpaceDE w:val="0"/>
        <w:autoSpaceDN w:val="0"/>
        <w:adjustRightInd w:val="0"/>
        <w:spacing w:after="120"/>
        <w:ind w:firstLine="0"/>
        <w:jc w:val="center"/>
        <w:rPr>
          <w:szCs w:val="24"/>
        </w:rPr>
      </w:pPr>
      <w:r w:rsidRPr="00F50C9D">
        <w:rPr>
          <w:szCs w:val="24"/>
        </w:rPr>
        <w:t>§ 162</w:t>
      </w:r>
    </w:p>
    <w:p w14:paraId="66F427C1" w14:textId="75399846" w:rsidR="00272890" w:rsidRPr="00F50C9D" w:rsidRDefault="00D60636" w:rsidP="0006588E">
      <w:pPr>
        <w:pStyle w:val="PZTextodstavce"/>
        <w:rPr>
          <w:szCs w:val="24"/>
        </w:rPr>
      </w:pPr>
      <w:r>
        <w:rPr>
          <w:szCs w:val="24"/>
        </w:rPr>
        <w:t xml:space="preserve">(1) </w:t>
      </w:r>
      <w:r w:rsidR="00272890" w:rsidRPr="00F50C9D">
        <w:rPr>
          <w:szCs w:val="24"/>
        </w:rPr>
        <w:t>Právnická nebo podnikající fyzická osoba se dopustí přestupku tím, že</w:t>
      </w:r>
    </w:p>
    <w:p w14:paraId="3FA60495" w14:textId="77777777" w:rsidR="00272890" w:rsidRPr="00F50C9D" w:rsidRDefault="00272890" w:rsidP="00D60636">
      <w:pPr>
        <w:pStyle w:val="PZTextpsmene"/>
        <w:spacing w:before="0"/>
        <w:rPr>
          <w:szCs w:val="24"/>
        </w:rPr>
      </w:pPr>
      <w:r w:rsidRPr="00F50C9D">
        <w:rPr>
          <w:szCs w:val="24"/>
        </w:rPr>
        <w:lastRenderedPageBreak/>
        <w:t>a)</w:t>
      </w:r>
      <w:r w:rsidRPr="00F50C9D">
        <w:rPr>
          <w:szCs w:val="24"/>
        </w:rPr>
        <w:tab/>
        <w:t>neoprávněně vykonává činnost podle tohoto zákona, ke které je třeba povolení České národní banky, akreditace udělená Českou národní bankou, zápis do seznamu vedeného Českou národní bankou, souhlas České národní banky nebo sdělení orgánu dohledu jiného členského státu Evropské unie,</w:t>
      </w:r>
    </w:p>
    <w:p w14:paraId="5F0AB06D" w14:textId="77777777" w:rsidR="00272890" w:rsidRPr="00F50C9D" w:rsidRDefault="00272890" w:rsidP="00D60636">
      <w:pPr>
        <w:pStyle w:val="PZTextpsmene"/>
        <w:spacing w:before="0"/>
        <w:rPr>
          <w:szCs w:val="24"/>
        </w:rPr>
      </w:pPr>
      <w:r w:rsidRPr="00F50C9D">
        <w:rPr>
          <w:szCs w:val="24"/>
        </w:rPr>
        <w:t>b)</w:t>
      </w:r>
      <w:r w:rsidRPr="00F50C9D">
        <w:rPr>
          <w:szCs w:val="24"/>
        </w:rPr>
        <w:tab/>
        <w:t>uvede nepravdivý nebo zavádějící údaj nebo neuvede veškeré skutečnosti v souvislosti se žádostí podle tohoto zákona,</w:t>
      </w:r>
    </w:p>
    <w:p w14:paraId="381F3FCE" w14:textId="77777777" w:rsidR="00272890" w:rsidRPr="00F50C9D" w:rsidRDefault="00272890" w:rsidP="00D60636">
      <w:pPr>
        <w:pStyle w:val="PZTextpsmene"/>
        <w:spacing w:before="0"/>
        <w:rPr>
          <w:szCs w:val="24"/>
        </w:rPr>
      </w:pPr>
      <w:r w:rsidRPr="00F50C9D">
        <w:rPr>
          <w:szCs w:val="24"/>
        </w:rPr>
        <w:t>c)</w:t>
      </w:r>
      <w:r w:rsidRPr="00F50C9D">
        <w:rPr>
          <w:szCs w:val="24"/>
        </w:rPr>
        <w:tab/>
        <w:t xml:space="preserve">nabude na obchodníkovi s cennými papíry nebo organizátorovi regulovaného trhu kvalifikovanou účast nebo jej ovládne v rozporu s </w:t>
      </w:r>
      <w:hyperlink r:id="rId41" w:history="1">
        <w:r w:rsidRPr="00F50C9D">
          <w:rPr>
            <w:szCs w:val="24"/>
          </w:rPr>
          <w:t>§ 10b odst. 1</w:t>
        </w:r>
      </w:hyperlink>
      <w:r w:rsidRPr="00F50C9D">
        <w:rPr>
          <w:szCs w:val="24"/>
        </w:rPr>
        <w:t xml:space="preserve"> nebo </w:t>
      </w:r>
      <w:hyperlink r:id="rId42" w:history="1">
        <w:r w:rsidRPr="00F50C9D">
          <w:rPr>
            <w:szCs w:val="24"/>
          </w:rPr>
          <w:t>§ 47 odst. 1</w:t>
        </w:r>
      </w:hyperlink>
      <w:r w:rsidRPr="00F50C9D">
        <w:rPr>
          <w:szCs w:val="24"/>
        </w:rPr>
        <w:t>,</w:t>
      </w:r>
    </w:p>
    <w:p w14:paraId="21DFA57E" w14:textId="77777777" w:rsidR="00272890" w:rsidRPr="00F50C9D" w:rsidRDefault="00272890" w:rsidP="00D60636">
      <w:pPr>
        <w:pStyle w:val="PZTextpsmene"/>
        <w:spacing w:before="0"/>
        <w:rPr>
          <w:szCs w:val="24"/>
        </w:rPr>
      </w:pPr>
      <w:r w:rsidRPr="00F50C9D">
        <w:rPr>
          <w:szCs w:val="24"/>
        </w:rPr>
        <w:t>d)</w:t>
      </w:r>
      <w:r w:rsidRPr="00F50C9D">
        <w:rPr>
          <w:szCs w:val="24"/>
        </w:rPr>
        <w:tab/>
        <w:t xml:space="preserve">nesplní některou z oznamovacích povinností podle </w:t>
      </w:r>
      <w:hyperlink r:id="rId43" w:history="1">
        <w:r w:rsidRPr="00F50C9D">
          <w:rPr>
            <w:szCs w:val="24"/>
          </w:rPr>
          <w:t>§ 10e odst. 1</w:t>
        </w:r>
      </w:hyperlink>
      <w:r w:rsidRPr="00F50C9D">
        <w:rPr>
          <w:szCs w:val="24"/>
        </w:rPr>
        <w:t xml:space="preserve"> nebo </w:t>
      </w:r>
      <w:hyperlink r:id="rId44" w:history="1">
        <w:r w:rsidRPr="00F50C9D">
          <w:rPr>
            <w:szCs w:val="24"/>
          </w:rPr>
          <w:t>§ 47 odst. 3</w:t>
        </w:r>
      </w:hyperlink>
      <w:r w:rsidRPr="00F50C9D">
        <w:rPr>
          <w:szCs w:val="24"/>
        </w:rPr>
        <w:t>,</w:t>
      </w:r>
    </w:p>
    <w:p w14:paraId="1BDC9C95" w14:textId="77777777" w:rsidR="00272890" w:rsidRPr="00F50C9D" w:rsidRDefault="00272890" w:rsidP="00D60636">
      <w:pPr>
        <w:pStyle w:val="PZTextpsmene"/>
        <w:spacing w:before="0"/>
        <w:rPr>
          <w:szCs w:val="24"/>
        </w:rPr>
      </w:pPr>
      <w:r w:rsidRPr="00F50C9D">
        <w:rPr>
          <w:szCs w:val="24"/>
        </w:rPr>
        <w:t>e)</w:t>
      </w:r>
      <w:r w:rsidRPr="00F50C9D">
        <w:rPr>
          <w:szCs w:val="24"/>
        </w:rPr>
        <w:tab/>
        <w:t xml:space="preserve">jako osoba, jejíž povolení k činnosti nebo akreditace byly odejmuty nebo zanikly, nebo jako osoba, která je právním nástupcem osoby, jejíž povolení k činnosti nebo akreditace byly odejmuty nebo zanikly, neuchová dokumenty a záznamy podle </w:t>
      </w:r>
      <w:hyperlink r:id="rId45" w:history="1">
        <w:r w:rsidRPr="00F50C9D">
          <w:rPr>
            <w:szCs w:val="24"/>
          </w:rPr>
          <w:t>§ 14g</w:t>
        </w:r>
      </w:hyperlink>
      <w:r w:rsidRPr="00F50C9D">
        <w:rPr>
          <w:szCs w:val="24"/>
        </w:rPr>
        <w:t xml:space="preserve">, </w:t>
      </w:r>
      <w:hyperlink r:id="rId46" w:history="1">
        <w:r w:rsidRPr="00F50C9D">
          <w:rPr>
            <w:szCs w:val="24"/>
          </w:rPr>
          <w:t>§ 17 odst. 6</w:t>
        </w:r>
      </w:hyperlink>
      <w:r w:rsidRPr="00F50C9D">
        <w:rPr>
          <w:szCs w:val="24"/>
        </w:rPr>
        <w:t xml:space="preserve"> nebo </w:t>
      </w:r>
      <w:hyperlink r:id="rId47" w:history="1">
        <w:r w:rsidRPr="00F50C9D">
          <w:rPr>
            <w:szCs w:val="24"/>
          </w:rPr>
          <w:t>§ 32 odst. 7</w:t>
        </w:r>
      </w:hyperlink>
      <w:r w:rsidRPr="00F50C9D">
        <w:rPr>
          <w:szCs w:val="24"/>
        </w:rPr>
        <w:t>,</w:t>
      </w:r>
    </w:p>
    <w:p w14:paraId="796FB061" w14:textId="77777777" w:rsidR="00272890" w:rsidRPr="00F50C9D" w:rsidRDefault="00272890" w:rsidP="00D60636">
      <w:pPr>
        <w:pStyle w:val="PZTextpsmene"/>
        <w:spacing w:before="0"/>
        <w:rPr>
          <w:szCs w:val="24"/>
        </w:rPr>
      </w:pPr>
      <w:r w:rsidRPr="00F50C9D">
        <w:rPr>
          <w:szCs w:val="24"/>
        </w:rPr>
        <w:t>f)</w:t>
      </w:r>
      <w:r w:rsidRPr="00F50C9D">
        <w:rPr>
          <w:szCs w:val="24"/>
        </w:rPr>
        <w:tab/>
        <w:t xml:space="preserve">jako osoba podle </w:t>
      </w:r>
      <w:hyperlink r:id="rId48" w:history="1">
        <w:r w:rsidRPr="00F50C9D">
          <w:rPr>
            <w:szCs w:val="24"/>
          </w:rPr>
          <w:t>§ 4b odst. 1 písm. a)</w:t>
        </w:r>
      </w:hyperlink>
      <w:r w:rsidRPr="00F50C9D">
        <w:rPr>
          <w:szCs w:val="24"/>
        </w:rPr>
        <w:t xml:space="preserve">, </w:t>
      </w:r>
      <w:hyperlink r:id="rId49" w:history="1">
        <w:r w:rsidRPr="00F50C9D">
          <w:rPr>
            <w:szCs w:val="24"/>
          </w:rPr>
          <w:t>e)</w:t>
        </w:r>
      </w:hyperlink>
      <w:r w:rsidRPr="00F50C9D">
        <w:rPr>
          <w:szCs w:val="24"/>
        </w:rPr>
        <w:t xml:space="preserve">, </w:t>
      </w:r>
      <w:hyperlink r:id="rId50" w:history="1">
        <w:r w:rsidRPr="00F50C9D">
          <w:rPr>
            <w:szCs w:val="24"/>
          </w:rPr>
          <w:t>i)</w:t>
        </w:r>
      </w:hyperlink>
      <w:r w:rsidRPr="00F50C9D">
        <w:rPr>
          <w:szCs w:val="24"/>
        </w:rPr>
        <w:t xml:space="preserve"> nebo </w:t>
      </w:r>
      <w:hyperlink r:id="rId51" w:history="1">
        <w:r w:rsidRPr="00F50C9D">
          <w:rPr>
            <w:szCs w:val="24"/>
          </w:rPr>
          <w:t>j)</w:t>
        </w:r>
      </w:hyperlink>
      <w:r w:rsidRPr="00F50C9D">
        <w:rPr>
          <w:szCs w:val="24"/>
        </w:rPr>
        <w:t xml:space="preserve"> v rozporu s </w:t>
      </w:r>
      <w:hyperlink r:id="rId52" w:history="1">
        <w:r w:rsidRPr="00F50C9D">
          <w:rPr>
            <w:szCs w:val="24"/>
          </w:rPr>
          <w:t>§ 17j</w:t>
        </w:r>
      </w:hyperlink>
      <w:r w:rsidRPr="00F50C9D">
        <w:rPr>
          <w:szCs w:val="24"/>
        </w:rPr>
        <w:t xml:space="preserve"> nesplní některou z povinností podle </w:t>
      </w:r>
      <w:hyperlink r:id="rId53" w:history="1">
        <w:r w:rsidRPr="00F50C9D">
          <w:rPr>
            <w:szCs w:val="24"/>
          </w:rPr>
          <w:t>§ 17c</w:t>
        </w:r>
      </w:hyperlink>
      <w:r w:rsidRPr="00F50C9D">
        <w:rPr>
          <w:szCs w:val="24"/>
        </w:rPr>
        <w:t xml:space="preserve">, </w:t>
      </w:r>
      <w:hyperlink r:id="rId54" w:history="1">
        <w:r w:rsidRPr="00F50C9D">
          <w:rPr>
            <w:szCs w:val="24"/>
          </w:rPr>
          <w:t>17d</w:t>
        </w:r>
      </w:hyperlink>
      <w:r w:rsidRPr="00F50C9D">
        <w:rPr>
          <w:szCs w:val="24"/>
        </w:rPr>
        <w:t xml:space="preserve">, </w:t>
      </w:r>
      <w:hyperlink r:id="rId55" w:history="1">
        <w:r w:rsidRPr="00F50C9D">
          <w:rPr>
            <w:szCs w:val="24"/>
          </w:rPr>
          <w:t>17e</w:t>
        </w:r>
      </w:hyperlink>
      <w:r w:rsidRPr="00F50C9D">
        <w:rPr>
          <w:szCs w:val="24"/>
        </w:rPr>
        <w:t xml:space="preserve">, </w:t>
      </w:r>
      <w:hyperlink r:id="rId56" w:history="1">
        <w:r w:rsidRPr="00F50C9D">
          <w:rPr>
            <w:szCs w:val="24"/>
          </w:rPr>
          <w:t>17f</w:t>
        </w:r>
      </w:hyperlink>
      <w:r w:rsidRPr="00F50C9D">
        <w:rPr>
          <w:szCs w:val="24"/>
        </w:rPr>
        <w:t xml:space="preserve">, </w:t>
      </w:r>
      <w:hyperlink r:id="rId57" w:history="1">
        <w:r w:rsidRPr="00F50C9D">
          <w:rPr>
            <w:szCs w:val="24"/>
          </w:rPr>
          <w:t>17g</w:t>
        </w:r>
      </w:hyperlink>
      <w:r w:rsidRPr="00F50C9D">
        <w:rPr>
          <w:szCs w:val="24"/>
        </w:rPr>
        <w:t xml:space="preserve">, </w:t>
      </w:r>
      <w:hyperlink r:id="rId58" w:history="1">
        <w:r w:rsidRPr="00F50C9D">
          <w:rPr>
            <w:szCs w:val="24"/>
          </w:rPr>
          <w:t>17h</w:t>
        </w:r>
      </w:hyperlink>
      <w:r w:rsidRPr="00F50C9D">
        <w:rPr>
          <w:szCs w:val="24"/>
        </w:rPr>
        <w:t xml:space="preserve"> nebo </w:t>
      </w:r>
      <w:hyperlink r:id="rId59" w:history="1">
        <w:r w:rsidRPr="00F50C9D">
          <w:rPr>
            <w:szCs w:val="24"/>
          </w:rPr>
          <w:t>17i</w:t>
        </w:r>
      </w:hyperlink>
      <w:r w:rsidRPr="00F50C9D">
        <w:rPr>
          <w:szCs w:val="24"/>
        </w:rPr>
        <w:t>,</w:t>
      </w:r>
    </w:p>
    <w:p w14:paraId="4CCE788A" w14:textId="77777777" w:rsidR="00272890" w:rsidRPr="00F50C9D" w:rsidRDefault="00272890" w:rsidP="00D60636">
      <w:pPr>
        <w:pStyle w:val="PZTextpsmene"/>
        <w:spacing w:before="0"/>
        <w:rPr>
          <w:szCs w:val="24"/>
        </w:rPr>
      </w:pPr>
      <w:r w:rsidRPr="00F50C9D">
        <w:rPr>
          <w:szCs w:val="24"/>
        </w:rPr>
        <w:t>g)</w:t>
      </w:r>
      <w:r w:rsidRPr="00F50C9D">
        <w:rPr>
          <w:szCs w:val="24"/>
        </w:rPr>
        <w:tab/>
        <w:t xml:space="preserve">jako účastník obchodního systému nesplní povinnost provést testování algoritmů podle </w:t>
      </w:r>
      <w:hyperlink r:id="rId60" w:history="1">
        <w:r w:rsidRPr="00F50C9D">
          <w:rPr>
            <w:szCs w:val="24"/>
          </w:rPr>
          <w:t>§ 73m</w:t>
        </w:r>
      </w:hyperlink>
      <w:r w:rsidRPr="00F50C9D">
        <w:rPr>
          <w:szCs w:val="24"/>
        </w:rPr>
        <w:t>, nebo</w:t>
      </w:r>
    </w:p>
    <w:p w14:paraId="27F3375A" w14:textId="77777777" w:rsidR="00272890" w:rsidRPr="00F50C9D" w:rsidRDefault="00272890" w:rsidP="00D60636">
      <w:pPr>
        <w:pStyle w:val="PZTextpsmene"/>
        <w:spacing w:before="0"/>
        <w:rPr>
          <w:szCs w:val="24"/>
        </w:rPr>
      </w:pPr>
      <w:r w:rsidRPr="00F50C9D">
        <w:rPr>
          <w:szCs w:val="24"/>
        </w:rPr>
        <w:t>h)</w:t>
      </w:r>
      <w:r w:rsidRPr="00F50C9D">
        <w:rPr>
          <w:szCs w:val="24"/>
        </w:rPr>
        <w:tab/>
        <w:t xml:space="preserve">jako účastník obchodního systému nepodá zprávu podle </w:t>
      </w:r>
      <w:hyperlink r:id="rId61" w:history="1">
        <w:r w:rsidRPr="00F50C9D">
          <w:rPr>
            <w:szCs w:val="24"/>
          </w:rPr>
          <w:t>§ 73k</w:t>
        </w:r>
      </w:hyperlink>
      <w:r w:rsidRPr="00F50C9D">
        <w:rPr>
          <w:szCs w:val="24"/>
        </w:rPr>
        <w:t>.</w:t>
      </w:r>
    </w:p>
    <w:p w14:paraId="389F3CC8" w14:textId="02AAF327" w:rsidR="00272890" w:rsidRPr="00F50C9D" w:rsidRDefault="00D60636" w:rsidP="00272890">
      <w:pPr>
        <w:pStyle w:val="PZTextodstavce"/>
        <w:spacing w:before="240"/>
        <w:rPr>
          <w:szCs w:val="24"/>
        </w:rPr>
      </w:pPr>
      <w:r>
        <w:rPr>
          <w:szCs w:val="24"/>
        </w:rPr>
        <w:t xml:space="preserve">(2) </w:t>
      </w:r>
      <w:r w:rsidR="00272890" w:rsidRPr="00F50C9D">
        <w:rPr>
          <w:szCs w:val="24"/>
        </w:rPr>
        <w:t xml:space="preserve">Právnická nebo podnikající fyzická osoba se jako vázaný zástupce dopustí přestupku tím, že nevypoví smluvní závazek v rozporu s </w:t>
      </w:r>
      <w:hyperlink r:id="rId62" w:history="1">
        <w:r w:rsidR="00272890" w:rsidRPr="00F50C9D">
          <w:rPr>
            <w:szCs w:val="24"/>
          </w:rPr>
          <w:t>§ 32b odst. 2</w:t>
        </w:r>
      </w:hyperlink>
      <w:r w:rsidR="00272890" w:rsidRPr="00F50C9D">
        <w:rPr>
          <w:szCs w:val="24"/>
        </w:rPr>
        <w:t>.</w:t>
      </w:r>
    </w:p>
    <w:p w14:paraId="4FEB8A44" w14:textId="3D460710" w:rsidR="00272890" w:rsidRPr="00F50C9D" w:rsidRDefault="00D60636" w:rsidP="00272890">
      <w:pPr>
        <w:pStyle w:val="PZTextodstavce"/>
        <w:spacing w:before="240"/>
        <w:rPr>
          <w:szCs w:val="24"/>
        </w:rPr>
      </w:pPr>
      <w:r>
        <w:rPr>
          <w:szCs w:val="24"/>
        </w:rPr>
        <w:t xml:space="preserve">(3) </w:t>
      </w:r>
      <w:r w:rsidR="00272890" w:rsidRPr="00F50C9D">
        <w:rPr>
          <w:szCs w:val="24"/>
        </w:rPr>
        <w:t xml:space="preserve">Právnická nebo podnikající fyzická osoba se dopustí přestupku tím, že nezavede, neudržuje nebo neuplatňuje mechanismus k hlášení podle </w:t>
      </w:r>
      <w:hyperlink r:id="rId63" w:history="1">
        <w:r w:rsidR="00272890" w:rsidRPr="00F50C9D">
          <w:rPr>
            <w:szCs w:val="24"/>
          </w:rPr>
          <w:t>§ 124</w:t>
        </w:r>
      </w:hyperlink>
      <w:r w:rsidR="00272890" w:rsidRPr="00F50C9D">
        <w:rPr>
          <w:szCs w:val="24"/>
        </w:rPr>
        <w:t xml:space="preserve"> a </w:t>
      </w:r>
      <w:hyperlink r:id="rId64" w:history="1">
        <w:r w:rsidR="00272890" w:rsidRPr="00F50C9D">
          <w:rPr>
            <w:szCs w:val="24"/>
          </w:rPr>
          <w:t>§ 12i odst. 1</w:t>
        </w:r>
      </w:hyperlink>
      <w:r w:rsidR="00272890" w:rsidRPr="00F50C9D">
        <w:rPr>
          <w:szCs w:val="24"/>
        </w:rPr>
        <w:t>.</w:t>
      </w:r>
    </w:p>
    <w:p w14:paraId="1A2422BB" w14:textId="4234F3D3" w:rsidR="00272890" w:rsidRPr="00F50C9D" w:rsidRDefault="00D60636" w:rsidP="0006588E">
      <w:pPr>
        <w:pStyle w:val="PZTextodstavce"/>
        <w:rPr>
          <w:szCs w:val="24"/>
        </w:rPr>
      </w:pPr>
      <w:r>
        <w:rPr>
          <w:szCs w:val="24"/>
        </w:rPr>
        <w:t xml:space="preserve">(4) </w:t>
      </w:r>
      <w:r w:rsidR="00272890" w:rsidRPr="00F50C9D">
        <w:rPr>
          <w:szCs w:val="24"/>
        </w:rPr>
        <w:t xml:space="preserve">Právnická nebo podnikající fyzická osoba se dopustí přestupku tím, že v rozporu s </w:t>
      </w:r>
      <w:hyperlink r:id="rId65" w:history="1">
        <w:r w:rsidR="00272890" w:rsidRPr="00F50C9D">
          <w:rPr>
            <w:szCs w:val="24"/>
          </w:rPr>
          <w:t>§ 53</w:t>
        </w:r>
      </w:hyperlink>
      <w:r w:rsidR="00272890" w:rsidRPr="00F50C9D">
        <w:rPr>
          <w:szCs w:val="24"/>
        </w:rPr>
        <w:t xml:space="preserve">, </w:t>
      </w:r>
      <w:hyperlink r:id="rId66" w:history="1">
        <w:r w:rsidR="00272890" w:rsidRPr="00F50C9D">
          <w:rPr>
            <w:szCs w:val="24"/>
          </w:rPr>
          <w:t>§ 73b odst. 1</w:t>
        </w:r>
      </w:hyperlink>
      <w:r w:rsidR="00272890" w:rsidRPr="00F50C9D">
        <w:rPr>
          <w:szCs w:val="24"/>
        </w:rPr>
        <w:t xml:space="preserve"> nebo </w:t>
      </w:r>
      <w:hyperlink r:id="rId67" w:history="1">
        <w:r w:rsidR="00272890" w:rsidRPr="00F50C9D">
          <w:rPr>
            <w:szCs w:val="24"/>
          </w:rPr>
          <w:t>§ 100 odst. 2</w:t>
        </w:r>
      </w:hyperlink>
      <w:r w:rsidR="00272890" w:rsidRPr="00F50C9D">
        <w:rPr>
          <w:szCs w:val="24"/>
        </w:rPr>
        <w:t xml:space="preserve"> neoprávněně používá označení „regulovaný trh“, „trh malých a středních podniků“, „burza cenných papírů“ nebo obdobné označení nebo označení „centrální depozitář cenných papírů“.</w:t>
      </w:r>
    </w:p>
    <w:p w14:paraId="7755131B" w14:textId="7FD6C9E5" w:rsidR="00272890" w:rsidRPr="00F50C9D" w:rsidRDefault="00D60636" w:rsidP="0006588E">
      <w:pPr>
        <w:pStyle w:val="PZTextodstavce"/>
        <w:rPr>
          <w:szCs w:val="24"/>
        </w:rPr>
      </w:pPr>
      <w:r>
        <w:rPr>
          <w:szCs w:val="24"/>
        </w:rPr>
        <w:t xml:space="preserve">(5) </w:t>
      </w:r>
      <w:r w:rsidR="00272890" w:rsidRPr="00F50C9D">
        <w:rPr>
          <w:szCs w:val="24"/>
        </w:rPr>
        <w:t xml:space="preserve">Podnikající fyzická osoba se jako osoba podle </w:t>
      </w:r>
      <w:hyperlink r:id="rId68" w:history="1">
        <w:r w:rsidR="00272890" w:rsidRPr="00F50C9D">
          <w:rPr>
            <w:szCs w:val="24"/>
          </w:rPr>
          <w:t>§ 116 odst. 1</w:t>
        </w:r>
      </w:hyperlink>
      <w:r w:rsidR="00272890" w:rsidRPr="00F50C9D">
        <w:rPr>
          <w:szCs w:val="24"/>
        </w:rPr>
        <w:t xml:space="preserve"> dopustí přestupku tím, že nesplní povinnost mlčenlivosti podle </w:t>
      </w:r>
      <w:hyperlink r:id="rId69" w:history="1">
        <w:r w:rsidR="00272890" w:rsidRPr="00F50C9D">
          <w:rPr>
            <w:szCs w:val="24"/>
          </w:rPr>
          <w:t>§ 116</w:t>
        </w:r>
      </w:hyperlink>
      <w:r w:rsidR="00272890" w:rsidRPr="00F50C9D">
        <w:rPr>
          <w:szCs w:val="24"/>
        </w:rPr>
        <w:t>.</w:t>
      </w:r>
    </w:p>
    <w:p w14:paraId="15CAF556" w14:textId="678E716C" w:rsidR="00272890" w:rsidRPr="00F50C9D" w:rsidRDefault="00D60636" w:rsidP="0006588E">
      <w:pPr>
        <w:pStyle w:val="PZTextodstavce"/>
        <w:rPr>
          <w:szCs w:val="24"/>
        </w:rPr>
      </w:pPr>
      <w:r>
        <w:rPr>
          <w:szCs w:val="24"/>
        </w:rPr>
        <w:t xml:space="preserve">(6) </w:t>
      </w:r>
      <w:r w:rsidR="00272890" w:rsidRPr="00F50C9D">
        <w:rPr>
          <w:szCs w:val="24"/>
        </w:rPr>
        <w:t>Za přestupek podle odstavce 1 se uloží pokuta do</w:t>
      </w:r>
    </w:p>
    <w:p w14:paraId="2632A7E8" w14:textId="77777777" w:rsidR="00272890" w:rsidRPr="00F50C9D" w:rsidRDefault="00272890" w:rsidP="00D60636">
      <w:pPr>
        <w:pStyle w:val="PZTextpsmene"/>
        <w:spacing w:before="0"/>
        <w:rPr>
          <w:szCs w:val="24"/>
        </w:rPr>
      </w:pPr>
      <w:r w:rsidRPr="00F50C9D">
        <w:rPr>
          <w:szCs w:val="24"/>
        </w:rPr>
        <w:t>a)</w:t>
      </w:r>
      <w:r w:rsidRPr="00F50C9D">
        <w:rPr>
          <w:szCs w:val="24"/>
        </w:rPr>
        <w:tab/>
        <w:t>150 000 000 Kč,</w:t>
      </w:r>
    </w:p>
    <w:p w14:paraId="00602396" w14:textId="77777777" w:rsidR="00272890" w:rsidRPr="00F50C9D" w:rsidRDefault="00272890" w:rsidP="00D60636">
      <w:pPr>
        <w:pStyle w:val="PZTextpsmene"/>
        <w:spacing w:before="0"/>
        <w:rPr>
          <w:szCs w:val="24"/>
        </w:rPr>
      </w:pPr>
      <w:r w:rsidRPr="00F50C9D">
        <w:rPr>
          <w:szCs w:val="24"/>
        </w:rPr>
        <w:t>b)</w:t>
      </w:r>
      <w:r w:rsidRPr="00F50C9D">
        <w:rPr>
          <w:szCs w:val="24"/>
        </w:rPr>
        <w:tab/>
        <w:t xml:space="preserve">výše 10 % celkového ročního obratu této právnické osoby podle </w:t>
      </w:r>
      <w:r w:rsidRPr="00F50C9D">
        <w:rPr>
          <w:strike/>
          <w:szCs w:val="24"/>
        </w:rPr>
        <w:t>její poslední řádné účetní závěrky nebo konsolidované účetní závěrky</w:t>
      </w:r>
      <w:r w:rsidRPr="00F50C9D">
        <w:rPr>
          <w:b/>
          <w:szCs w:val="24"/>
        </w:rPr>
        <w:t xml:space="preserve"> </w:t>
      </w:r>
      <w:r w:rsidRPr="00F50C9D">
        <w:rPr>
          <w:b/>
          <w:bCs/>
          <w:szCs w:val="24"/>
        </w:rPr>
        <w:t>poslední řádné konsolidované účetní závěrky</w:t>
      </w:r>
      <w:r w:rsidRPr="00F50C9D">
        <w:rPr>
          <w:b/>
          <w:szCs w:val="24"/>
        </w:rPr>
        <w:t xml:space="preserve"> konsolidačního celku, v němž je zahrnuta,</w:t>
      </w:r>
      <w:r w:rsidRPr="00F50C9D">
        <w:rPr>
          <w:szCs w:val="24"/>
        </w:rPr>
        <w:t xml:space="preserve"> </w:t>
      </w:r>
      <w:r w:rsidRPr="00F50C9D">
        <w:rPr>
          <w:b/>
          <w:szCs w:val="24"/>
        </w:rPr>
        <w:t>nebo řádné individuální účetní závěrky, není-li taková konsolidovaná účetní závěrka</w:t>
      </w:r>
      <w:r w:rsidRPr="00F50C9D">
        <w:rPr>
          <w:szCs w:val="24"/>
        </w:rPr>
        <w:t>, nebo</w:t>
      </w:r>
    </w:p>
    <w:p w14:paraId="0341DCBB" w14:textId="77777777" w:rsidR="00272890" w:rsidRPr="00F50C9D" w:rsidRDefault="00272890" w:rsidP="00D60636">
      <w:pPr>
        <w:pStyle w:val="PZTextpsmene"/>
        <w:spacing w:before="0"/>
        <w:rPr>
          <w:szCs w:val="24"/>
        </w:rPr>
      </w:pPr>
      <w:r w:rsidRPr="00F50C9D">
        <w:rPr>
          <w:szCs w:val="24"/>
        </w:rPr>
        <w:t>c)</w:t>
      </w:r>
      <w:r w:rsidRPr="00F50C9D">
        <w:rPr>
          <w:szCs w:val="24"/>
        </w:rPr>
        <w:tab/>
        <w:t>výše dvojnásobku neoprávněného prospěchu získaného spácháním tohoto přestupku.</w:t>
      </w:r>
    </w:p>
    <w:p w14:paraId="10BD9DFF" w14:textId="085502F4" w:rsidR="00272890" w:rsidRPr="00F50C9D" w:rsidRDefault="00D60636" w:rsidP="0006588E">
      <w:pPr>
        <w:pStyle w:val="PZTextodstavce"/>
        <w:rPr>
          <w:szCs w:val="24"/>
        </w:rPr>
      </w:pPr>
      <w:r>
        <w:rPr>
          <w:szCs w:val="24"/>
        </w:rPr>
        <w:t xml:space="preserve">(7) </w:t>
      </w:r>
      <w:r w:rsidR="00272890" w:rsidRPr="00F50C9D">
        <w:rPr>
          <w:szCs w:val="24"/>
        </w:rPr>
        <w:t>Za přestupek podle odstavce 3 nebo 4 lze uložit pokutu do 10 000 000 Kč.</w:t>
      </w:r>
    </w:p>
    <w:p w14:paraId="5562F9FE" w14:textId="2A725001" w:rsidR="00272890" w:rsidRPr="00F50C9D" w:rsidRDefault="00D60636" w:rsidP="0006588E">
      <w:pPr>
        <w:pStyle w:val="PZTextodstavce"/>
        <w:rPr>
          <w:szCs w:val="24"/>
        </w:rPr>
      </w:pPr>
      <w:r>
        <w:rPr>
          <w:szCs w:val="24"/>
        </w:rPr>
        <w:t xml:space="preserve">(8) </w:t>
      </w:r>
      <w:r w:rsidR="00272890" w:rsidRPr="00F50C9D">
        <w:rPr>
          <w:szCs w:val="24"/>
        </w:rPr>
        <w:t>Za přestupek podle odstavce 2 nebo 5 lze uložit pokutu do 500 000 Kč.</w:t>
      </w:r>
    </w:p>
    <w:p w14:paraId="511D7255" w14:textId="2E98010B" w:rsidR="00272890" w:rsidRPr="00F50C9D" w:rsidRDefault="00D60636" w:rsidP="0006588E">
      <w:pPr>
        <w:pStyle w:val="PZTextodstavce"/>
        <w:rPr>
          <w:szCs w:val="24"/>
        </w:rPr>
      </w:pPr>
      <w:r>
        <w:rPr>
          <w:szCs w:val="24"/>
        </w:rPr>
        <w:t xml:space="preserve">(9) </w:t>
      </w:r>
      <w:r w:rsidR="00272890" w:rsidRPr="00F50C9D">
        <w:rPr>
          <w:szCs w:val="24"/>
        </w:rPr>
        <w:t>Za přestupek podle odstavce 1 písm. b) lze namísto pokuty nebo spolu s pokutou uložit též zákaz činnosti až na 5 let.</w:t>
      </w:r>
    </w:p>
    <w:p w14:paraId="71B7FBFF" w14:textId="77777777" w:rsidR="00272890" w:rsidRPr="00F50C9D" w:rsidRDefault="00272890" w:rsidP="00D60636">
      <w:pPr>
        <w:widowControl w:val="0"/>
        <w:autoSpaceDE w:val="0"/>
        <w:autoSpaceDN w:val="0"/>
        <w:adjustRightInd w:val="0"/>
        <w:spacing w:after="120"/>
        <w:ind w:firstLine="0"/>
        <w:jc w:val="center"/>
        <w:rPr>
          <w:szCs w:val="24"/>
        </w:rPr>
      </w:pPr>
      <w:r w:rsidRPr="00F50C9D">
        <w:rPr>
          <w:szCs w:val="24"/>
        </w:rPr>
        <w:t>§ 163</w:t>
      </w:r>
    </w:p>
    <w:p w14:paraId="3A4B4CAA" w14:textId="0C1982D0" w:rsidR="00272890" w:rsidRPr="00F50C9D" w:rsidRDefault="00D60636" w:rsidP="0006588E">
      <w:pPr>
        <w:pStyle w:val="PZTextodstavce"/>
        <w:rPr>
          <w:szCs w:val="24"/>
        </w:rPr>
      </w:pPr>
      <w:r>
        <w:rPr>
          <w:szCs w:val="24"/>
        </w:rPr>
        <w:t xml:space="preserve">(1) </w:t>
      </w:r>
      <w:r w:rsidR="00272890" w:rsidRPr="00F50C9D">
        <w:rPr>
          <w:szCs w:val="24"/>
        </w:rPr>
        <w:t xml:space="preserve">Právnická nebo podnikající fyzická osoba se dopustí přestupku tím, že </w:t>
      </w:r>
    </w:p>
    <w:p w14:paraId="75C8E64E" w14:textId="77777777" w:rsidR="00272890" w:rsidRPr="00F50C9D" w:rsidRDefault="00272890" w:rsidP="00D60636">
      <w:pPr>
        <w:pStyle w:val="PZTextpsmene"/>
        <w:spacing w:before="0"/>
        <w:rPr>
          <w:szCs w:val="24"/>
        </w:rPr>
      </w:pPr>
      <w:r w:rsidRPr="00F50C9D">
        <w:rPr>
          <w:szCs w:val="24"/>
        </w:rPr>
        <w:t>a)</w:t>
      </w:r>
      <w:r w:rsidRPr="00F50C9D">
        <w:rPr>
          <w:szCs w:val="24"/>
        </w:rPr>
        <w:tab/>
        <w:t xml:space="preserve">jako osoba podle </w:t>
      </w:r>
      <w:hyperlink r:id="rId70" w:history="1">
        <w:r w:rsidRPr="00F50C9D">
          <w:rPr>
            <w:szCs w:val="24"/>
          </w:rPr>
          <w:t>§ 122 odst. 1</w:t>
        </w:r>
      </w:hyperlink>
      <w:r w:rsidRPr="00F50C9D">
        <w:rPr>
          <w:szCs w:val="24"/>
        </w:rPr>
        <w:t xml:space="preserve"> nesplní některou z oznamovacích povinností podle </w:t>
      </w:r>
      <w:hyperlink r:id="rId71" w:history="1">
        <w:r w:rsidRPr="00F50C9D">
          <w:rPr>
            <w:szCs w:val="24"/>
          </w:rPr>
          <w:t>§ 122 odst. 1</w:t>
        </w:r>
      </w:hyperlink>
      <w:r w:rsidRPr="00F50C9D">
        <w:rPr>
          <w:szCs w:val="24"/>
        </w:rPr>
        <w:t xml:space="preserve">, nebo </w:t>
      </w:r>
    </w:p>
    <w:p w14:paraId="3738224B" w14:textId="77777777" w:rsidR="00272890" w:rsidRPr="00F50C9D" w:rsidRDefault="00272890" w:rsidP="00D60636">
      <w:pPr>
        <w:pStyle w:val="PZTextpsmene"/>
        <w:spacing w:before="0"/>
        <w:rPr>
          <w:szCs w:val="24"/>
        </w:rPr>
      </w:pPr>
      <w:r w:rsidRPr="00F50C9D">
        <w:rPr>
          <w:szCs w:val="24"/>
        </w:rPr>
        <w:lastRenderedPageBreak/>
        <w:t>b)</w:t>
      </w:r>
      <w:r w:rsidRPr="00F50C9D">
        <w:rPr>
          <w:szCs w:val="24"/>
        </w:rPr>
        <w:tab/>
        <w:t xml:space="preserve">jako osoba, která požádala o přijetí investičních cenných papírů k obchodování na regulovaném trhu bez souhlasu emitenta, nesplní některou z povinností podle </w:t>
      </w:r>
      <w:hyperlink r:id="rId72" w:history="1">
        <w:r w:rsidRPr="00F50C9D">
          <w:rPr>
            <w:szCs w:val="24"/>
          </w:rPr>
          <w:t>§ 127 odst. 2</w:t>
        </w:r>
      </w:hyperlink>
      <w:r w:rsidRPr="00F50C9D">
        <w:rPr>
          <w:szCs w:val="24"/>
        </w:rPr>
        <w:t xml:space="preserve">. </w:t>
      </w:r>
    </w:p>
    <w:p w14:paraId="7F8856B5" w14:textId="015AD79A" w:rsidR="00272890" w:rsidRPr="00F50C9D" w:rsidRDefault="00D60636" w:rsidP="0006588E">
      <w:pPr>
        <w:pStyle w:val="PZTextodstavce"/>
        <w:rPr>
          <w:szCs w:val="24"/>
        </w:rPr>
      </w:pPr>
      <w:r>
        <w:rPr>
          <w:szCs w:val="24"/>
        </w:rPr>
        <w:t xml:space="preserve">(2) </w:t>
      </w:r>
      <w:r w:rsidR="00272890" w:rsidRPr="00F50C9D">
        <w:rPr>
          <w:szCs w:val="24"/>
        </w:rPr>
        <w:t xml:space="preserve">Právnická nebo podnikající fyzická osoba se jako nucený správce nebo insolvenční správce obchodníka s cennými papíry nebo osoba, která má tyto podklady u sebe, dopustí přestupku tím, že neposkytne Garančnímu fondu podklady podle </w:t>
      </w:r>
      <w:hyperlink r:id="rId73" w:history="1">
        <w:r w:rsidR="00272890" w:rsidRPr="00F50C9D">
          <w:rPr>
            <w:szCs w:val="24"/>
          </w:rPr>
          <w:t>§ 130 odst. 11</w:t>
        </w:r>
      </w:hyperlink>
      <w:r w:rsidR="00272890" w:rsidRPr="00F50C9D">
        <w:rPr>
          <w:szCs w:val="24"/>
        </w:rPr>
        <w:t xml:space="preserve">. </w:t>
      </w:r>
    </w:p>
    <w:p w14:paraId="2C735830" w14:textId="149C294A" w:rsidR="00272890" w:rsidRPr="00F50C9D" w:rsidRDefault="00D60636" w:rsidP="0006588E">
      <w:pPr>
        <w:pStyle w:val="PZTextodstavce"/>
        <w:rPr>
          <w:szCs w:val="24"/>
        </w:rPr>
      </w:pPr>
      <w:r>
        <w:rPr>
          <w:szCs w:val="24"/>
        </w:rPr>
        <w:t xml:space="preserve">(3) </w:t>
      </w:r>
      <w:r w:rsidR="00272890" w:rsidRPr="00F50C9D">
        <w:rPr>
          <w:szCs w:val="24"/>
        </w:rPr>
        <w:t xml:space="preserve">Právnická nebo podnikající fyzická osoba se jako nucený správce obchodníka s cennými papíry, který není bankou, organizátora regulovaného trhu, provozovatele vypořádacího systému s neodvolatelností vypořádání se sídlem v České republice nebo centrálního depozitáře dopustí přestupku tím, že nesplní některou z povinností podle </w:t>
      </w:r>
      <w:hyperlink r:id="rId74" w:history="1">
        <w:r w:rsidR="00272890" w:rsidRPr="00F50C9D">
          <w:rPr>
            <w:szCs w:val="24"/>
          </w:rPr>
          <w:t>§ 139 odst. 7</w:t>
        </w:r>
      </w:hyperlink>
      <w:r w:rsidR="00272890" w:rsidRPr="00F50C9D">
        <w:rPr>
          <w:szCs w:val="24"/>
        </w:rPr>
        <w:t xml:space="preserve">. </w:t>
      </w:r>
    </w:p>
    <w:p w14:paraId="600AFBC8" w14:textId="462D7043" w:rsidR="00272890" w:rsidRPr="00F50C9D" w:rsidRDefault="00D60636" w:rsidP="0006588E">
      <w:pPr>
        <w:pStyle w:val="PZTextodstavce"/>
        <w:rPr>
          <w:szCs w:val="24"/>
        </w:rPr>
      </w:pPr>
      <w:r>
        <w:rPr>
          <w:szCs w:val="24"/>
        </w:rPr>
        <w:t xml:space="preserve">(4) </w:t>
      </w:r>
      <w:r w:rsidR="00272890" w:rsidRPr="00F50C9D">
        <w:rPr>
          <w:szCs w:val="24"/>
        </w:rPr>
        <w:t>Právnická osoba se jako poskytovatel dlouhodobého investičního produktu dopustí přestupku tím, že</w:t>
      </w:r>
    </w:p>
    <w:p w14:paraId="206A1966" w14:textId="77777777" w:rsidR="00272890" w:rsidRPr="00F50C9D" w:rsidRDefault="00272890" w:rsidP="00D60636">
      <w:pPr>
        <w:pStyle w:val="PZTextpsmene"/>
        <w:spacing w:before="0"/>
        <w:rPr>
          <w:szCs w:val="24"/>
        </w:rPr>
      </w:pPr>
      <w:r w:rsidRPr="00F50C9D">
        <w:rPr>
          <w:szCs w:val="24"/>
        </w:rPr>
        <w:t>a)</w:t>
      </w:r>
      <w:r w:rsidRPr="00F50C9D">
        <w:rPr>
          <w:szCs w:val="24"/>
        </w:rPr>
        <w:tab/>
        <w:t>v rozporu s § 134g odst. 3 uloží peněžní prostředky majitele dlouhodobého investičního produktu u osoby, která není oprávněna přijímat vklady od veřejnosti podle zákona upravujícího činnost bank, nebo neeviduje výši práv na výplatu peněžních prostředků v rámci jím poskytovaném dlouhodobém investičním produktu,</w:t>
      </w:r>
    </w:p>
    <w:p w14:paraId="215D2D8E" w14:textId="77777777" w:rsidR="00272890" w:rsidRPr="00F50C9D" w:rsidRDefault="00272890" w:rsidP="00D60636">
      <w:pPr>
        <w:pStyle w:val="PZTextpsmene"/>
        <w:spacing w:before="0"/>
        <w:rPr>
          <w:szCs w:val="24"/>
        </w:rPr>
      </w:pPr>
      <w:r w:rsidRPr="00F50C9D">
        <w:rPr>
          <w:szCs w:val="24"/>
        </w:rPr>
        <w:t>b)</w:t>
      </w:r>
      <w:r w:rsidRPr="00F50C9D">
        <w:rPr>
          <w:szCs w:val="24"/>
        </w:rPr>
        <w:tab/>
        <w:t>v rozporu s § 134g odst. 4 pověří vedením evidence investičních nástrojů osobu, která není oprávněna vést tuto evidenci nebo neeviduje počet a druh investičních nástrojů v rámci jím poskytovaném dlouhodobém investičním produktu,</w:t>
      </w:r>
    </w:p>
    <w:p w14:paraId="0EA96FB7" w14:textId="77777777" w:rsidR="00272890" w:rsidRPr="00F50C9D" w:rsidRDefault="00272890" w:rsidP="00D60636">
      <w:pPr>
        <w:pStyle w:val="PZTextpsmene"/>
        <w:spacing w:before="0"/>
        <w:rPr>
          <w:szCs w:val="24"/>
        </w:rPr>
      </w:pPr>
      <w:r w:rsidRPr="00F50C9D">
        <w:rPr>
          <w:szCs w:val="24"/>
        </w:rPr>
        <w:t>c)</w:t>
      </w:r>
      <w:r w:rsidRPr="00F50C9D">
        <w:rPr>
          <w:szCs w:val="24"/>
        </w:rPr>
        <w:tab/>
        <w:t>provede pokyn majitele dlouhodobého investičního produktu v rozporu s § 134h odst. 1,</w:t>
      </w:r>
    </w:p>
    <w:p w14:paraId="152F6BC4" w14:textId="77777777" w:rsidR="00272890" w:rsidRPr="00F50C9D" w:rsidRDefault="00272890" w:rsidP="00D60636">
      <w:pPr>
        <w:pStyle w:val="PZTextpsmene"/>
        <w:spacing w:before="0"/>
        <w:rPr>
          <w:szCs w:val="24"/>
        </w:rPr>
      </w:pPr>
      <w:r w:rsidRPr="00F50C9D">
        <w:rPr>
          <w:szCs w:val="24"/>
        </w:rPr>
        <w:t>d)</w:t>
      </w:r>
      <w:r w:rsidRPr="00F50C9D">
        <w:rPr>
          <w:szCs w:val="24"/>
        </w:rPr>
        <w:tab/>
        <w:t>nesplní oznamovací povinnost podle § 134hodst. 4,</w:t>
      </w:r>
    </w:p>
    <w:p w14:paraId="5745FF17" w14:textId="77777777" w:rsidR="00272890" w:rsidRPr="00F50C9D" w:rsidRDefault="00272890" w:rsidP="00D60636">
      <w:pPr>
        <w:pStyle w:val="PZTextpsmene"/>
        <w:spacing w:before="0"/>
        <w:rPr>
          <w:szCs w:val="24"/>
        </w:rPr>
      </w:pPr>
      <w:r w:rsidRPr="00F50C9D">
        <w:rPr>
          <w:szCs w:val="24"/>
        </w:rPr>
        <w:t>e)</w:t>
      </w:r>
      <w:r w:rsidRPr="00F50C9D">
        <w:rPr>
          <w:szCs w:val="24"/>
        </w:rPr>
        <w:tab/>
        <w:t>nezajistí, aby majetek v rámci dlouhodobého investičního produktu tvořily pouze věci uvedené v § 134i odst. 1, nebo</w:t>
      </w:r>
    </w:p>
    <w:p w14:paraId="3357FABC" w14:textId="77777777" w:rsidR="00272890" w:rsidRPr="00F50C9D" w:rsidRDefault="00272890" w:rsidP="00D60636">
      <w:pPr>
        <w:pStyle w:val="PZTextpsmene"/>
        <w:spacing w:before="0"/>
        <w:rPr>
          <w:szCs w:val="24"/>
        </w:rPr>
      </w:pPr>
      <w:r w:rsidRPr="00F50C9D">
        <w:rPr>
          <w:szCs w:val="24"/>
        </w:rPr>
        <w:t>f)</w:t>
      </w:r>
      <w:r w:rsidRPr="00F50C9D">
        <w:rPr>
          <w:szCs w:val="24"/>
        </w:rPr>
        <w:tab/>
        <w:t>v rozporu s § 134i odst. 2 nezajistí, aby získané peněžní prostředky zůstaly součástí majetku v rámci dlouhodobého investičního produktu.</w:t>
      </w:r>
    </w:p>
    <w:p w14:paraId="513ACEEB" w14:textId="302E3A89" w:rsidR="00272890" w:rsidRPr="00F50C9D" w:rsidRDefault="00D60636" w:rsidP="0006588E">
      <w:pPr>
        <w:pStyle w:val="PZTextodstavce"/>
        <w:rPr>
          <w:szCs w:val="24"/>
        </w:rPr>
      </w:pPr>
      <w:r>
        <w:rPr>
          <w:szCs w:val="24"/>
        </w:rPr>
        <w:t xml:space="preserve">(5) </w:t>
      </w:r>
      <w:r w:rsidR="00272890" w:rsidRPr="00F50C9D">
        <w:rPr>
          <w:szCs w:val="24"/>
        </w:rPr>
        <w:t>Za přestupek právnické osoby podle odstavce 1 lze uložit pokutu do</w:t>
      </w:r>
    </w:p>
    <w:p w14:paraId="5820F84B" w14:textId="77777777" w:rsidR="00272890" w:rsidRPr="00F50C9D" w:rsidRDefault="00272890" w:rsidP="00D60636">
      <w:pPr>
        <w:pStyle w:val="PZTextpsmene"/>
        <w:spacing w:before="0"/>
        <w:rPr>
          <w:szCs w:val="24"/>
        </w:rPr>
      </w:pPr>
      <w:r w:rsidRPr="00F50C9D">
        <w:rPr>
          <w:szCs w:val="24"/>
        </w:rPr>
        <w:t>a)</w:t>
      </w:r>
      <w:r w:rsidRPr="00F50C9D">
        <w:rPr>
          <w:szCs w:val="24"/>
        </w:rPr>
        <w:tab/>
        <w:t xml:space="preserve">300 000 000 Kč, </w:t>
      </w:r>
    </w:p>
    <w:p w14:paraId="03E236CF" w14:textId="77777777" w:rsidR="00272890" w:rsidRPr="00F50C9D" w:rsidRDefault="00272890" w:rsidP="00D60636">
      <w:pPr>
        <w:pStyle w:val="PZTextpsmene"/>
        <w:spacing w:before="0"/>
        <w:rPr>
          <w:szCs w:val="24"/>
        </w:rPr>
      </w:pPr>
      <w:r w:rsidRPr="00F50C9D">
        <w:rPr>
          <w:szCs w:val="24"/>
        </w:rPr>
        <w:t>b)</w:t>
      </w:r>
      <w:r w:rsidRPr="00F50C9D">
        <w:rPr>
          <w:szCs w:val="24"/>
        </w:rPr>
        <w:tab/>
        <w:t xml:space="preserve">výše 5 % celkového ročního obratu této právnické osoby podle </w:t>
      </w:r>
      <w:r w:rsidRPr="00F50C9D">
        <w:rPr>
          <w:strike/>
          <w:szCs w:val="24"/>
        </w:rPr>
        <w:t>její poslední řádné účetní závěrky nebo konsolidované účetní závěrky</w:t>
      </w:r>
      <w:r w:rsidRPr="00F50C9D">
        <w:rPr>
          <w:b/>
          <w:szCs w:val="24"/>
        </w:rPr>
        <w:t xml:space="preserve"> </w:t>
      </w:r>
      <w:r w:rsidRPr="00F50C9D">
        <w:rPr>
          <w:b/>
          <w:bCs/>
          <w:szCs w:val="24"/>
        </w:rPr>
        <w:t>poslední řádné konsolidované účetní závěrky</w:t>
      </w:r>
      <w:r w:rsidRPr="00F50C9D">
        <w:rPr>
          <w:b/>
          <w:szCs w:val="24"/>
        </w:rPr>
        <w:t xml:space="preserve"> konsolidačního</w:t>
      </w:r>
      <w:r w:rsidRPr="00F50C9D" w:rsidDel="0014455D">
        <w:rPr>
          <w:szCs w:val="24"/>
        </w:rPr>
        <w:t xml:space="preserve"> </w:t>
      </w:r>
      <w:r w:rsidRPr="00F50C9D">
        <w:rPr>
          <w:b/>
          <w:szCs w:val="24"/>
        </w:rPr>
        <w:t>celku, v němž je zahrnuta,</w:t>
      </w:r>
      <w:r w:rsidRPr="00F50C9D">
        <w:rPr>
          <w:szCs w:val="24"/>
        </w:rPr>
        <w:t xml:space="preserve"> </w:t>
      </w:r>
      <w:r w:rsidRPr="00F50C9D">
        <w:rPr>
          <w:b/>
          <w:szCs w:val="24"/>
        </w:rPr>
        <w:t>nebo řádné individuální účetní závěrky, není-li taková konsolidovaná účetní závěrka</w:t>
      </w:r>
      <w:r w:rsidRPr="00F50C9D">
        <w:rPr>
          <w:szCs w:val="24"/>
        </w:rPr>
        <w:t xml:space="preserve">, přesahuje-li takto určená výše pokuty částku 300 000 000 Kč, nebo </w:t>
      </w:r>
    </w:p>
    <w:p w14:paraId="185D4359" w14:textId="77777777" w:rsidR="00272890" w:rsidRPr="00F50C9D" w:rsidRDefault="00272890" w:rsidP="00D60636">
      <w:pPr>
        <w:pStyle w:val="PZTextpsmene"/>
        <w:spacing w:before="0"/>
        <w:rPr>
          <w:szCs w:val="24"/>
        </w:rPr>
      </w:pPr>
      <w:r w:rsidRPr="00F50C9D">
        <w:rPr>
          <w:szCs w:val="24"/>
        </w:rPr>
        <w:t>c)</w:t>
      </w:r>
      <w:r w:rsidRPr="00F50C9D">
        <w:rPr>
          <w:szCs w:val="24"/>
        </w:rPr>
        <w:tab/>
        <w:t xml:space="preserve">výše dvojnásobku neoprávněného prospěchu získaného spácháním tohoto přestupku, je-li možné výši neoprávněného prospěchu zjistit a přesahuje-li takto určená výše pokuty částku 300 000 000 Kč. </w:t>
      </w:r>
    </w:p>
    <w:p w14:paraId="4CED5DE3" w14:textId="1DDA5660" w:rsidR="00272890" w:rsidRPr="00F50C9D" w:rsidRDefault="00272890" w:rsidP="0006588E">
      <w:pPr>
        <w:pStyle w:val="PZTextodstavce"/>
        <w:rPr>
          <w:szCs w:val="24"/>
        </w:rPr>
      </w:pPr>
      <w:r w:rsidRPr="00F50C9D">
        <w:rPr>
          <w:szCs w:val="24"/>
        </w:rPr>
        <w:t>(6)</w:t>
      </w:r>
      <w:r w:rsidRPr="00F50C9D">
        <w:rPr>
          <w:szCs w:val="24"/>
        </w:rPr>
        <w:tab/>
        <w:t xml:space="preserve">Za přestupek podnikající fyzické osoby podle odstavce 1 lze uložit pokutu do </w:t>
      </w:r>
    </w:p>
    <w:p w14:paraId="49379BEA" w14:textId="77777777" w:rsidR="00272890" w:rsidRPr="00F50C9D" w:rsidRDefault="00272890" w:rsidP="00D60636">
      <w:pPr>
        <w:pStyle w:val="PZTextpsmene"/>
        <w:spacing w:before="0"/>
        <w:rPr>
          <w:szCs w:val="24"/>
        </w:rPr>
      </w:pPr>
      <w:r w:rsidRPr="00F50C9D">
        <w:rPr>
          <w:szCs w:val="24"/>
        </w:rPr>
        <w:t>a)</w:t>
      </w:r>
      <w:r w:rsidRPr="00F50C9D">
        <w:rPr>
          <w:szCs w:val="24"/>
        </w:rPr>
        <w:tab/>
        <w:t xml:space="preserve">60 000 000 Kč, nebo </w:t>
      </w:r>
    </w:p>
    <w:p w14:paraId="756540AA" w14:textId="77777777" w:rsidR="00272890" w:rsidRPr="00F50C9D" w:rsidRDefault="00272890" w:rsidP="00D60636">
      <w:pPr>
        <w:pStyle w:val="PZTextpsmene"/>
        <w:spacing w:before="0"/>
        <w:rPr>
          <w:szCs w:val="24"/>
        </w:rPr>
      </w:pPr>
      <w:r w:rsidRPr="00F50C9D">
        <w:rPr>
          <w:szCs w:val="24"/>
        </w:rPr>
        <w:t>b)</w:t>
      </w:r>
      <w:r w:rsidRPr="00F50C9D">
        <w:rPr>
          <w:szCs w:val="24"/>
        </w:rPr>
        <w:tab/>
        <w:t xml:space="preserve">výše dvojnásobku neoprávněného prospěchu získaného spácháním tohoto přestupku, je-li možné výši neoprávněného prospěchu zjistit a přesahuje-li takto určená výše pokuty částku 60 000 000 Kč. </w:t>
      </w:r>
    </w:p>
    <w:p w14:paraId="486E9FBC" w14:textId="77777777" w:rsidR="00272890" w:rsidRPr="00F50C9D" w:rsidRDefault="00272890" w:rsidP="0006588E">
      <w:pPr>
        <w:pStyle w:val="PZTextodstavce"/>
        <w:rPr>
          <w:szCs w:val="24"/>
        </w:rPr>
      </w:pPr>
      <w:r w:rsidRPr="00F50C9D">
        <w:rPr>
          <w:szCs w:val="24"/>
        </w:rPr>
        <w:t>(7)</w:t>
      </w:r>
      <w:r w:rsidRPr="00F50C9D">
        <w:rPr>
          <w:szCs w:val="24"/>
        </w:rPr>
        <w:tab/>
        <w:t xml:space="preserve">Za přestupek podle odstavce 2, 3 nebo 4 lze uložit pokutu do 5 000 000 Kč. </w:t>
      </w:r>
    </w:p>
    <w:p w14:paraId="56F2D160" w14:textId="77777777" w:rsidR="00272890" w:rsidRPr="00F50C9D" w:rsidRDefault="00272890" w:rsidP="00D60636">
      <w:pPr>
        <w:spacing w:after="120"/>
        <w:ind w:firstLine="0"/>
        <w:jc w:val="center"/>
        <w:rPr>
          <w:szCs w:val="24"/>
        </w:rPr>
      </w:pPr>
      <w:r w:rsidRPr="00F50C9D">
        <w:rPr>
          <w:szCs w:val="24"/>
        </w:rPr>
        <w:t>§ 163a</w:t>
      </w:r>
    </w:p>
    <w:p w14:paraId="3C574729" w14:textId="38B6FDA2" w:rsidR="00272890" w:rsidRPr="00F50C9D" w:rsidRDefault="00D60636" w:rsidP="0006588E">
      <w:pPr>
        <w:pStyle w:val="PZTextodstavce"/>
        <w:rPr>
          <w:szCs w:val="24"/>
        </w:rPr>
      </w:pPr>
      <w:r>
        <w:rPr>
          <w:szCs w:val="24"/>
        </w:rPr>
        <w:lastRenderedPageBreak/>
        <w:t xml:space="preserve">(1) </w:t>
      </w:r>
      <w:r w:rsidR="00272890" w:rsidRPr="00F50C9D">
        <w:rPr>
          <w:szCs w:val="24"/>
        </w:rPr>
        <w:t>Právnická osoba nebo podnikající fyzická osoba se jako člen rady nebo vrcholného vedení ústřední protistrany dopustí přestupku tím, že nesplní oznamovací povinnost podle § 115b.</w:t>
      </w:r>
    </w:p>
    <w:p w14:paraId="7B51D053" w14:textId="510EDCD1" w:rsidR="00272890" w:rsidRPr="00F50C9D" w:rsidRDefault="00D60636" w:rsidP="0006588E">
      <w:pPr>
        <w:pStyle w:val="PZTextodstavce"/>
        <w:rPr>
          <w:szCs w:val="24"/>
        </w:rPr>
      </w:pPr>
      <w:r>
        <w:rPr>
          <w:szCs w:val="24"/>
        </w:rPr>
        <w:t xml:space="preserve">(2) </w:t>
      </w:r>
      <w:r w:rsidR="00272890" w:rsidRPr="00F50C9D">
        <w:rPr>
          <w:szCs w:val="24"/>
        </w:rPr>
        <w:t>Za přestupek právnické osoby podle odstavce 1 lze uložit pokutu do</w:t>
      </w:r>
    </w:p>
    <w:p w14:paraId="0CB1F797" w14:textId="77777777" w:rsidR="00272890" w:rsidRPr="00F50C9D" w:rsidRDefault="00272890" w:rsidP="00D60636">
      <w:pPr>
        <w:pStyle w:val="PZTextpsmene"/>
        <w:spacing w:before="0"/>
        <w:rPr>
          <w:szCs w:val="24"/>
        </w:rPr>
      </w:pPr>
      <w:r w:rsidRPr="00F50C9D">
        <w:rPr>
          <w:szCs w:val="24"/>
        </w:rPr>
        <w:t>a)</w:t>
      </w:r>
      <w:r w:rsidRPr="00F50C9D">
        <w:rPr>
          <w:szCs w:val="24"/>
        </w:rPr>
        <w:tab/>
        <w:t>128 850 000 Kč,</w:t>
      </w:r>
    </w:p>
    <w:p w14:paraId="22742403" w14:textId="77777777" w:rsidR="00272890" w:rsidRPr="00F50C9D" w:rsidRDefault="00272890" w:rsidP="00D60636">
      <w:pPr>
        <w:pStyle w:val="PZTextpsmene"/>
        <w:spacing w:before="0"/>
        <w:rPr>
          <w:color w:val="000000" w:themeColor="text1"/>
          <w:szCs w:val="24"/>
        </w:rPr>
      </w:pPr>
      <w:r w:rsidRPr="00F50C9D">
        <w:rPr>
          <w:szCs w:val="24"/>
        </w:rPr>
        <w:t>b)</w:t>
      </w:r>
      <w:r w:rsidRPr="00F50C9D">
        <w:rPr>
          <w:szCs w:val="24"/>
        </w:rPr>
        <w:tab/>
        <w:t>výše 10 % celkového</w:t>
      </w:r>
      <w:r w:rsidRPr="00F50C9D">
        <w:rPr>
          <w:color w:val="000000" w:themeColor="text1"/>
          <w:szCs w:val="24"/>
        </w:rPr>
        <w:t xml:space="preserve"> ročního obratu této právnické osoby podle </w:t>
      </w:r>
      <w:r w:rsidRPr="00F50C9D">
        <w:rPr>
          <w:strike/>
          <w:szCs w:val="24"/>
        </w:rPr>
        <w:t>její poslední řádné účetní závěrky nebo konsolidované účetní závěrky</w:t>
      </w:r>
      <w:r w:rsidRPr="00F50C9D">
        <w:rPr>
          <w:b/>
          <w:szCs w:val="24"/>
        </w:rPr>
        <w:t xml:space="preserve"> </w:t>
      </w:r>
      <w:r w:rsidRPr="00F50C9D">
        <w:rPr>
          <w:b/>
          <w:bCs/>
          <w:szCs w:val="24"/>
        </w:rPr>
        <w:t>poslední řádné konsolidované účetní závěrky</w:t>
      </w:r>
      <w:r w:rsidRPr="00F50C9D">
        <w:rPr>
          <w:b/>
          <w:szCs w:val="24"/>
        </w:rPr>
        <w:t xml:space="preserve"> konsolidačního celku, v němž je zahrnuta,</w:t>
      </w:r>
      <w:r w:rsidRPr="00F50C9D">
        <w:rPr>
          <w:szCs w:val="24"/>
        </w:rPr>
        <w:t xml:space="preserve"> </w:t>
      </w:r>
      <w:r w:rsidRPr="00F50C9D">
        <w:rPr>
          <w:b/>
          <w:szCs w:val="24"/>
        </w:rPr>
        <w:t>nebo řádné individuální účetní závěrky, není-li taková konsolidovaná účetní závěrka</w:t>
      </w:r>
      <w:r w:rsidRPr="00F50C9D">
        <w:rPr>
          <w:color w:val="000000" w:themeColor="text1"/>
          <w:szCs w:val="24"/>
        </w:rPr>
        <w:t>, přesahuje-li tato částka částku stanovenou v písmenu a), nebo</w:t>
      </w:r>
    </w:p>
    <w:p w14:paraId="5C965DDB" w14:textId="77777777" w:rsidR="00272890" w:rsidRPr="00F50C9D" w:rsidRDefault="00272890" w:rsidP="00D60636">
      <w:pPr>
        <w:pStyle w:val="PZTextpsmene"/>
        <w:spacing w:before="0"/>
        <w:rPr>
          <w:szCs w:val="24"/>
        </w:rPr>
      </w:pPr>
      <w:r w:rsidRPr="00F50C9D">
        <w:rPr>
          <w:szCs w:val="24"/>
        </w:rPr>
        <w:t>c)</w:t>
      </w:r>
      <w:r w:rsidRPr="00F50C9D">
        <w:rPr>
          <w:szCs w:val="24"/>
        </w:rPr>
        <w:tab/>
        <w:t>výše dvojnásobku neoprávněného prospěchu získaného spácháním tohoto přestupku, je-li možné výši neoprávněného prospěchu zjistit a přesahuje-li tato částka částku stanovenou v písmenech a) a b).</w:t>
      </w:r>
    </w:p>
    <w:p w14:paraId="0F9B8170" w14:textId="3CF0AA63" w:rsidR="00272890" w:rsidRPr="00F50C9D" w:rsidRDefault="00D60636" w:rsidP="0006588E">
      <w:pPr>
        <w:pStyle w:val="PZTextodstavce"/>
        <w:rPr>
          <w:szCs w:val="24"/>
        </w:rPr>
      </w:pPr>
      <w:r>
        <w:rPr>
          <w:szCs w:val="24"/>
        </w:rPr>
        <w:t xml:space="preserve">(3) </w:t>
      </w:r>
      <w:r w:rsidR="00272890" w:rsidRPr="00F50C9D">
        <w:rPr>
          <w:szCs w:val="24"/>
        </w:rPr>
        <w:t>Za přestupek podnikající fyzické osoby podle odstavce 1 lze uložit pokutu do</w:t>
      </w:r>
    </w:p>
    <w:p w14:paraId="5BC16839" w14:textId="77777777" w:rsidR="00272890" w:rsidRPr="00F50C9D" w:rsidRDefault="00272890" w:rsidP="00D60636">
      <w:pPr>
        <w:pStyle w:val="PZTextpsmene"/>
        <w:spacing w:before="0"/>
        <w:rPr>
          <w:szCs w:val="24"/>
        </w:rPr>
      </w:pPr>
      <w:r w:rsidRPr="00F50C9D">
        <w:rPr>
          <w:szCs w:val="24"/>
        </w:rPr>
        <w:t>a)</w:t>
      </w:r>
      <w:r w:rsidRPr="00F50C9D">
        <w:rPr>
          <w:szCs w:val="24"/>
        </w:rPr>
        <w:tab/>
        <w:t>128 850 000 Kč, nebo</w:t>
      </w:r>
    </w:p>
    <w:p w14:paraId="25C837F0" w14:textId="77777777" w:rsidR="00272890" w:rsidRPr="00F50C9D" w:rsidRDefault="00272890" w:rsidP="00D60636">
      <w:pPr>
        <w:pStyle w:val="PZTextpsmene"/>
        <w:spacing w:before="0"/>
        <w:rPr>
          <w:szCs w:val="24"/>
        </w:rPr>
      </w:pPr>
      <w:r w:rsidRPr="00F50C9D">
        <w:rPr>
          <w:szCs w:val="24"/>
        </w:rPr>
        <w:t>b)</w:t>
      </w:r>
      <w:r w:rsidRPr="00F50C9D">
        <w:rPr>
          <w:szCs w:val="24"/>
        </w:rPr>
        <w:tab/>
        <w:t>výše dvojnásobku neoprávněného prospěchu získaného spácháním tohoto přestupku, je-li možné výši neoprávněného prospěchu zjistit a přesahuje-li tato částka částku stanovenou v písmenu a).</w:t>
      </w:r>
    </w:p>
    <w:p w14:paraId="0D16B4E1" w14:textId="77777777" w:rsidR="00272890" w:rsidRPr="00F50C9D" w:rsidRDefault="00272890" w:rsidP="00D60636">
      <w:pPr>
        <w:widowControl w:val="0"/>
        <w:autoSpaceDE w:val="0"/>
        <w:autoSpaceDN w:val="0"/>
        <w:adjustRightInd w:val="0"/>
        <w:spacing w:after="120"/>
        <w:ind w:firstLine="0"/>
        <w:jc w:val="center"/>
        <w:rPr>
          <w:szCs w:val="24"/>
        </w:rPr>
      </w:pPr>
      <w:r w:rsidRPr="00F50C9D">
        <w:rPr>
          <w:szCs w:val="24"/>
        </w:rPr>
        <w:t>§ 164</w:t>
      </w:r>
    </w:p>
    <w:p w14:paraId="3B25C22D" w14:textId="77777777" w:rsidR="00272890" w:rsidRPr="00F50C9D" w:rsidRDefault="00272890" w:rsidP="00D60636">
      <w:pPr>
        <w:widowControl w:val="0"/>
        <w:autoSpaceDE w:val="0"/>
        <w:autoSpaceDN w:val="0"/>
        <w:adjustRightInd w:val="0"/>
        <w:spacing w:after="120"/>
        <w:ind w:firstLine="0"/>
        <w:jc w:val="center"/>
        <w:rPr>
          <w:b/>
          <w:bCs/>
          <w:szCs w:val="24"/>
        </w:rPr>
      </w:pPr>
      <w:r w:rsidRPr="00F50C9D">
        <w:rPr>
          <w:b/>
          <w:bCs/>
          <w:szCs w:val="24"/>
        </w:rPr>
        <w:t>Přestupky obchodníka s cennými papíry</w:t>
      </w:r>
    </w:p>
    <w:p w14:paraId="32971928" w14:textId="7D6EDEF7" w:rsidR="00272890" w:rsidRPr="00F50C9D" w:rsidRDefault="00D60636" w:rsidP="0006588E">
      <w:pPr>
        <w:pStyle w:val="PZTextodstavce"/>
        <w:rPr>
          <w:szCs w:val="24"/>
        </w:rPr>
      </w:pPr>
      <w:r>
        <w:rPr>
          <w:szCs w:val="24"/>
        </w:rPr>
        <w:t xml:space="preserve">(1) </w:t>
      </w:r>
      <w:r w:rsidR="00272890" w:rsidRPr="00F50C9D">
        <w:rPr>
          <w:szCs w:val="24"/>
        </w:rPr>
        <w:t>Obchodník s cennými papíry se dopustí přestupku tím, že</w:t>
      </w:r>
    </w:p>
    <w:p w14:paraId="69ACE114" w14:textId="77777777" w:rsidR="00272890" w:rsidRPr="00F50C9D" w:rsidRDefault="00272890" w:rsidP="0006588E">
      <w:pPr>
        <w:pStyle w:val="PZTextpsmene"/>
        <w:spacing w:before="0"/>
        <w:rPr>
          <w:szCs w:val="24"/>
        </w:rPr>
      </w:pPr>
      <w:r w:rsidRPr="00F50C9D">
        <w:rPr>
          <w:szCs w:val="24"/>
        </w:rPr>
        <w:t>a)</w:t>
      </w:r>
      <w:r w:rsidRPr="00F50C9D">
        <w:rPr>
          <w:szCs w:val="24"/>
        </w:rPr>
        <w:tab/>
        <w:t>nesplní povinnost podle § 6 odst. 3,</w:t>
      </w:r>
    </w:p>
    <w:p w14:paraId="2843BC65" w14:textId="77777777" w:rsidR="00272890" w:rsidRPr="00F50C9D" w:rsidRDefault="00272890" w:rsidP="0006588E">
      <w:pPr>
        <w:pStyle w:val="PZTextpsmene"/>
        <w:spacing w:before="0"/>
        <w:rPr>
          <w:szCs w:val="24"/>
        </w:rPr>
      </w:pPr>
      <w:r w:rsidRPr="00F50C9D">
        <w:rPr>
          <w:szCs w:val="24"/>
        </w:rPr>
        <w:t>b)</w:t>
      </w:r>
      <w:r w:rsidRPr="00F50C9D">
        <w:rPr>
          <w:szCs w:val="24"/>
        </w:rPr>
        <w:tab/>
        <w:t>nesplní některou z povinností týkající se vedoucího orgánu podle § 10 odst. 3 nebo § 10a odst. 1,</w:t>
      </w:r>
    </w:p>
    <w:p w14:paraId="499F3965" w14:textId="77777777" w:rsidR="00272890" w:rsidRPr="00F50C9D" w:rsidRDefault="00272890" w:rsidP="0006588E">
      <w:pPr>
        <w:pStyle w:val="PZTextpsmene"/>
        <w:spacing w:before="0"/>
        <w:rPr>
          <w:szCs w:val="24"/>
        </w:rPr>
      </w:pPr>
      <w:r w:rsidRPr="00F50C9D">
        <w:rPr>
          <w:szCs w:val="24"/>
        </w:rPr>
        <w:t>c)</w:t>
      </w:r>
      <w:r w:rsidRPr="00F50C9D">
        <w:rPr>
          <w:szCs w:val="24"/>
        </w:rPr>
        <w:tab/>
        <w:t>nezajistí zavedení odpovídajícího systému správy a řízení podle § 12,</w:t>
      </w:r>
    </w:p>
    <w:p w14:paraId="7C69B533" w14:textId="77777777" w:rsidR="00272890" w:rsidRPr="00F50C9D" w:rsidRDefault="00272890" w:rsidP="0006588E">
      <w:pPr>
        <w:spacing w:before="0"/>
        <w:ind w:left="425" w:hanging="425"/>
      </w:pPr>
      <w:r w:rsidRPr="00F50C9D">
        <w:rPr>
          <w:szCs w:val="24"/>
        </w:rPr>
        <w:t>d)</w:t>
      </w:r>
      <w:r w:rsidRPr="00F50C9D">
        <w:rPr>
          <w:szCs w:val="24"/>
        </w:rPr>
        <w:tab/>
        <w:t xml:space="preserve">nesplní některou z povinností týkající se organizačních požadavků na činnost obchodníka s cennými papíry podle § 12a, </w:t>
      </w:r>
    </w:p>
    <w:p w14:paraId="7E5959BD" w14:textId="77777777" w:rsidR="00272890" w:rsidRPr="00F50C9D" w:rsidRDefault="00272890" w:rsidP="0006588E">
      <w:pPr>
        <w:pStyle w:val="PZTextpsmene"/>
        <w:spacing w:before="0"/>
        <w:rPr>
          <w:szCs w:val="24"/>
        </w:rPr>
      </w:pPr>
      <w:r w:rsidRPr="00F50C9D">
        <w:rPr>
          <w:szCs w:val="24"/>
        </w:rPr>
        <w:t>e)</w:t>
      </w:r>
      <w:r w:rsidRPr="00F50C9D">
        <w:rPr>
          <w:szCs w:val="24"/>
        </w:rPr>
        <w:tab/>
        <w:t>v rozporu s § 12ba odst. 1 nezavede, neudržuje nebo neuplatňuje postupy pro schvalování investičního nástroje nebo jeho významných změn,</w:t>
      </w:r>
    </w:p>
    <w:p w14:paraId="44D49D5F" w14:textId="77777777" w:rsidR="00272890" w:rsidRPr="00F50C9D" w:rsidRDefault="00272890" w:rsidP="0006588E">
      <w:pPr>
        <w:pStyle w:val="PZTextpsmene"/>
        <w:spacing w:before="0"/>
        <w:rPr>
          <w:szCs w:val="24"/>
        </w:rPr>
      </w:pPr>
      <w:r w:rsidRPr="00F50C9D">
        <w:rPr>
          <w:szCs w:val="24"/>
        </w:rPr>
        <w:t>f)</w:t>
      </w:r>
      <w:r w:rsidRPr="00F50C9D">
        <w:rPr>
          <w:szCs w:val="24"/>
        </w:rPr>
        <w:tab/>
        <w:t>v rozporu s § 12ba odst. 2 neověří nebo nezhodnotí postupy pro schvalování investičního nástroje nebo jeho významných změn anebo nezjedná nápravu,</w:t>
      </w:r>
    </w:p>
    <w:p w14:paraId="2BA62D24" w14:textId="77777777" w:rsidR="00272890" w:rsidRPr="00F50C9D" w:rsidRDefault="00272890" w:rsidP="0006588E">
      <w:pPr>
        <w:pStyle w:val="PZTextpsmene"/>
        <w:spacing w:before="0"/>
        <w:rPr>
          <w:szCs w:val="24"/>
        </w:rPr>
      </w:pPr>
      <w:r w:rsidRPr="00F50C9D">
        <w:rPr>
          <w:szCs w:val="24"/>
        </w:rPr>
        <w:t>g)</w:t>
      </w:r>
      <w:r w:rsidRPr="00F50C9D">
        <w:rPr>
          <w:szCs w:val="24"/>
        </w:rPr>
        <w:tab/>
        <w:t>v rozporu s § 12ba odst. 5 neověří nebo nezhodnotí investiční nástroje, které nabízí, anebo nezjedná nápravu,</w:t>
      </w:r>
    </w:p>
    <w:p w14:paraId="211E7993" w14:textId="77777777" w:rsidR="00272890" w:rsidRPr="00F50C9D" w:rsidRDefault="00272890" w:rsidP="0006588E">
      <w:pPr>
        <w:pStyle w:val="PZTextpsmene"/>
        <w:spacing w:before="0"/>
        <w:rPr>
          <w:szCs w:val="24"/>
        </w:rPr>
      </w:pPr>
      <w:r w:rsidRPr="00F50C9D">
        <w:rPr>
          <w:szCs w:val="24"/>
        </w:rPr>
        <w:t>h)</w:t>
      </w:r>
      <w:r w:rsidRPr="00F50C9D">
        <w:rPr>
          <w:szCs w:val="24"/>
        </w:rPr>
        <w:tab/>
        <w:t>nesplní informační povinnost podle § 12ba odst. 6,</w:t>
      </w:r>
    </w:p>
    <w:p w14:paraId="292AB86C" w14:textId="77777777" w:rsidR="00272890" w:rsidRPr="00F50C9D" w:rsidRDefault="00272890" w:rsidP="0006588E">
      <w:pPr>
        <w:pStyle w:val="PZTextpsmene"/>
        <w:spacing w:before="0"/>
        <w:rPr>
          <w:szCs w:val="24"/>
        </w:rPr>
      </w:pPr>
      <w:r w:rsidRPr="00F50C9D">
        <w:rPr>
          <w:szCs w:val="24"/>
        </w:rPr>
        <w:t>i)</w:t>
      </w:r>
      <w:r w:rsidRPr="00F50C9D">
        <w:rPr>
          <w:szCs w:val="24"/>
        </w:rPr>
        <w:tab/>
        <w:t>nezavede postupy podle § 12bb,</w:t>
      </w:r>
    </w:p>
    <w:p w14:paraId="66F1CDAA" w14:textId="77777777" w:rsidR="00272890" w:rsidRPr="00F50C9D" w:rsidRDefault="00272890" w:rsidP="0006588E">
      <w:pPr>
        <w:pStyle w:val="PZTextpsmene"/>
        <w:spacing w:before="0"/>
        <w:rPr>
          <w:szCs w:val="24"/>
        </w:rPr>
      </w:pPr>
      <w:r w:rsidRPr="00F50C9D">
        <w:rPr>
          <w:szCs w:val="24"/>
        </w:rPr>
        <w:t>j)</w:t>
      </w:r>
      <w:r w:rsidRPr="00F50C9D">
        <w:rPr>
          <w:szCs w:val="24"/>
        </w:rPr>
        <w:tab/>
        <w:t>nezajistí vedení některé z evidencí podle § 12c,</w:t>
      </w:r>
    </w:p>
    <w:p w14:paraId="656BE911" w14:textId="77777777" w:rsidR="00272890" w:rsidRPr="00F50C9D" w:rsidRDefault="00272890" w:rsidP="0006588E">
      <w:pPr>
        <w:pStyle w:val="PZTextpsmene"/>
        <w:spacing w:before="0"/>
        <w:rPr>
          <w:szCs w:val="24"/>
        </w:rPr>
      </w:pPr>
      <w:r w:rsidRPr="00F50C9D">
        <w:rPr>
          <w:szCs w:val="24"/>
        </w:rPr>
        <w:t>k)</w:t>
      </w:r>
      <w:r w:rsidRPr="00F50C9D">
        <w:rPr>
          <w:szCs w:val="24"/>
        </w:rPr>
        <w:tab/>
        <w:t>pověří jinou osobu výkonem činnosti bez toho, aby zavedl, udržoval nebo uplatňoval odpovídající opatření podle § 12d,</w:t>
      </w:r>
    </w:p>
    <w:p w14:paraId="77D92A1B" w14:textId="77777777" w:rsidR="00272890" w:rsidRPr="00F50C9D" w:rsidRDefault="00272890" w:rsidP="0006588E">
      <w:pPr>
        <w:pStyle w:val="PZTextpsmene"/>
        <w:spacing w:before="0"/>
        <w:rPr>
          <w:szCs w:val="24"/>
        </w:rPr>
      </w:pPr>
      <w:r w:rsidRPr="00F50C9D">
        <w:rPr>
          <w:szCs w:val="24"/>
        </w:rPr>
        <w:t>l)</w:t>
      </w:r>
      <w:r w:rsidRPr="00F50C9D">
        <w:rPr>
          <w:szCs w:val="24"/>
        </w:rPr>
        <w:tab/>
        <w:t>nezavede opatření k ochraně majetku zákazníka podle § 12e odst. 1 nebo 2,</w:t>
      </w:r>
    </w:p>
    <w:p w14:paraId="61315474" w14:textId="77777777" w:rsidR="00272890" w:rsidRPr="00F50C9D" w:rsidRDefault="00272890" w:rsidP="0006588E">
      <w:pPr>
        <w:pStyle w:val="PZTextpsmene"/>
        <w:spacing w:before="0"/>
        <w:rPr>
          <w:szCs w:val="24"/>
        </w:rPr>
      </w:pPr>
      <w:r w:rsidRPr="00F50C9D">
        <w:rPr>
          <w:szCs w:val="24"/>
        </w:rPr>
        <w:t>m)</w:t>
      </w:r>
      <w:r w:rsidRPr="00F50C9D">
        <w:rPr>
          <w:szCs w:val="24"/>
        </w:rPr>
        <w:tab/>
        <w:t xml:space="preserve">nemá ověřenu přiměřenost opatření přijatých za účelem ochrany majetku zákazníka podle § 12e odst. 3, </w:t>
      </w:r>
    </w:p>
    <w:p w14:paraId="3C81CFB7" w14:textId="77777777" w:rsidR="00272890" w:rsidRPr="00F50C9D" w:rsidRDefault="00272890" w:rsidP="0006588E">
      <w:pPr>
        <w:pStyle w:val="PZTextpsmene"/>
        <w:spacing w:before="0"/>
        <w:rPr>
          <w:szCs w:val="24"/>
        </w:rPr>
      </w:pPr>
      <w:r w:rsidRPr="00F50C9D">
        <w:rPr>
          <w:szCs w:val="24"/>
        </w:rPr>
        <w:t>n)</w:t>
      </w:r>
      <w:r w:rsidRPr="00F50C9D">
        <w:rPr>
          <w:szCs w:val="24"/>
        </w:rPr>
        <w:tab/>
        <w:t>nevede deník obchodníka s cennými papíry podle § 13,</w:t>
      </w:r>
    </w:p>
    <w:p w14:paraId="5B0A76B2" w14:textId="77777777" w:rsidR="00272890" w:rsidRPr="00F50C9D" w:rsidRDefault="00272890" w:rsidP="0006588E">
      <w:pPr>
        <w:pStyle w:val="PZTextpsmene"/>
        <w:spacing w:before="0"/>
        <w:rPr>
          <w:szCs w:val="24"/>
        </w:rPr>
      </w:pPr>
      <w:r w:rsidRPr="00F50C9D">
        <w:rPr>
          <w:szCs w:val="24"/>
        </w:rPr>
        <w:t>o)</w:t>
      </w:r>
      <w:r w:rsidRPr="00F50C9D">
        <w:rPr>
          <w:szCs w:val="24"/>
        </w:rPr>
        <w:tab/>
        <w:t>nezajistí, aby jeho personální zdroje splňovaly požadavky podle § 14,</w:t>
      </w:r>
    </w:p>
    <w:p w14:paraId="3B7874FD" w14:textId="77777777" w:rsidR="00272890" w:rsidRPr="00F50C9D" w:rsidRDefault="00272890" w:rsidP="0006588E">
      <w:pPr>
        <w:pStyle w:val="PZTextpsmene"/>
        <w:spacing w:before="0"/>
        <w:rPr>
          <w:szCs w:val="24"/>
        </w:rPr>
      </w:pPr>
      <w:r w:rsidRPr="00F50C9D">
        <w:rPr>
          <w:szCs w:val="24"/>
        </w:rPr>
        <w:t>p)</w:t>
      </w:r>
      <w:r w:rsidRPr="00F50C9D">
        <w:rPr>
          <w:szCs w:val="24"/>
        </w:rPr>
        <w:tab/>
        <w:t>v rozporu s § 14a odst. 1 je při své činnosti zastoupen jinou osobou,</w:t>
      </w:r>
    </w:p>
    <w:p w14:paraId="172CDE16" w14:textId="77777777" w:rsidR="00272890" w:rsidRPr="00F50C9D" w:rsidRDefault="00272890" w:rsidP="0006588E">
      <w:pPr>
        <w:pStyle w:val="PZTextpsmene"/>
        <w:spacing w:before="0"/>
        <w:rPr>
          <w:szCs w:val="24"/>
        </w:rPr>
      </w:pPr>
      <w:r w:rsidRPr="00F50C9D">
        <w:rPr>
          <w:szCs w:val="24"/>
        </w:rPr>
        <w:lastRenderedPageBreak/>
        <w:t>q)</w:t>
      </w:r>
      <w:r w:rsidRPr="00F50C9D">
        <w:rPr>
          <w:szCs w:val="24"/>
        </w:rPr>
        <w:tab/>
        <w:t>v rozporu s § 14a odst. 2 provozuje svoji činnost prostřednictvím osob, které nesplňují podmínky odborné způsobilosti nebo důvěryhodnosti,</w:t>
      </w:r>
    </w:p>
    <w:p w14:paraId="2F50B31B" w14:textId="77777777" w:rsidR="00272890" w:rsidRPr="00F50C9D" w:rsidRDefault="00272890" w:rsidP="0006588E">
      <w:pPr>
        <w:pStyle w:val="PZTextpsmene"/>
        <w:spacing w:before="0"/>
        <w:rPr>
          <w:szCs w:val="24"/>
        </w:rPr>
      </w:pPr>
      <w:r w:rsidRPr="00F50C9D">
        <w:rPr>
          <w:szCs w:val="24"/>
        </w:rPr>
        <w:t>r)</w:t>
      </w:r>
      <w:r w:rsidRPr="00F50C9D">
        <w:rPr>
          <w:szCs w:val="24"/>
        </w:rPr>
        <w:tab/>
        <w:t xml:space="preserve">neposkytuje investiční služby s odbornou péčí podle § 15 odst. 1, </w:t>
      </w:r>
    </w:p>
    <w:p w14:paraId="45F3E6BA" w14:textId="77777777" w:rsidR="00272890" w:rsidRPr="00F50C9D" w:rsidRDefault="00272890" w:rsidP="0006588E">
      <w:pPr>
        <w:pStyle w:val="PZTextpsmene"/>
        <w:spacing w:before="0"/>
        <w:rPr>
          <w:szCs w:val="24"/>
        </w:rPr>
      </w:pPr>
      <w:r w:rsidRPr="00F50C9D">
        <w:rPr>
          <w:szCs w:val="24"/>
        </w:rPr>
        <w:t>s)</w:t>
      </w:r>
      <w:r w:rsidRPr="00F50C9D">
        <w:rPr>
          <w:szCs w:val="24"/>
        </w:rPr>
        <w:tab/>
        <w:t xml:space="preserve">v rozporu s § 16 odst. 1 nebo 2 </w:t>
      </w:r>
      <w:r w:rsidRPr="00F50C9D">
        <w:rPr>
          <w:strike/>
          <w:szCs w:val="24"/>
        </w:rPr>
        <w:t>nepředloží</w:t>
      </w:r>
      <w:r w:rsidRPr="00F50C9D">
        <w:rPr>
          <w:szCs w:val="24"/>
        </w:rPr>
        <w:t xml:space="preserve"> </w:t>
      </w:r>
      <w:r w:rsidRPr="00F50C9D">
        <w:rPr>
          <w:strike/>
          <w:szCs w:val="24"/>
        </w:rPr>
        <w:t xml:space="preserve">nebo </w:t>
      </w:r>
      <w:proofErr w:type="gramStart"/>
      <w:r w:rsidRPr="00F50C9D">
        <w:rPr>
          <w:strike/>
          <w:szCs w:val="24"/>
        </w:rPr>
        <w:t>neuveřejní</w:t>
      </w:r>
      <w:proofErr w:type="gramEnd"/>
      <w:r w:rsidRPr="00F50C9D">
        <w:rPr>
          <w:szCs w:val="24"/>
        </w:rPr>
        <w:t xml:space="preserve"> </w:t>
      </w:r>
      <w:r w:rsidRPr="00F50C9D">
        <w:rPr>
          <w:strike/>
          <w:szCs w:val="24"/>
        </w:rPr>
        <w:t>výroční zprávu</w:t>
      </w:r>
      <w:r w:rsidRPr="00F50C9D">
        <w:rPr>
          <w:szCs w:val="24"/>
        </w:rPr>
        <w:t xml:space="preserve"> </w:t>
      </w:r>
      <w:proofErr w:type="gramStart"/>
      <w:r w:rsidRPr="00F50C9D">
        <w:rPr>
          <w:b/>
          <w:szCs w:val="24"/>
        </w:rPr>
        <w:t>nezveřejní</w:t>
      </w:r>
      <w:proofErr w:type="gramEnd"/>
      <w:r w:rsidRPr="00F50C9D">
        <w:rPr>
          <w:b/>
          <w:szCs w:val="24"/>
        </w:rPr>
        <w:t xml:space="preserve"> nebo neuveřejní řádnou účetní závěrku, zprávu podle zákona upravujícího účetnictví, je-li vyhotovována, nebo zprávu o jejich ověření, jsou-li ověřovány, </w:t>
      </w:r>
      <w:r w:rsidRPr="00F50C9D">
        <w:rPr>
          <w:szCs w:val="24"/>
        </w:rPr>
        <w:t>nebo související informace,</w:t>
      </w:r>
    </w:p>
    <w:p w14:paraId="38E75832" w14:textId="77777777" w:rsidR="00272890" w:rsidRPr="00F50C9D" w:rsidRDefault="00272890" w:rsidP="0006588E">
      <w:pPr>
        <w:pStyle w:val="PZTextpsmene"/>
        <w:spacing w:before="0"/>
        <w:rPr>
          <w:szCs w:val="24"/>
        </w:rPr>
      </w:pPr>
      <w:r w:rsidRPr="00F50C9D">
        <w:rPr>
          <w:szCs w:val="24"/>
        </w:rPr>
        <w:t>t)</w:t>
      </w:r>
      <w:r w:rsidRPr="00F50C9D">
        <w:rPr>
          <w:szCs w:val="24"/>
        </w:rPr>
        <w:tab/>
        <w:t>nesplní informační povinnost podle § 16 odst. 6,</w:t>
      </w:r>
    </w:p>
    <w:p w14:paraId="1E2F3BDA" w14:textId="77777777" w:rsidR="00272890" w:rsidRPr="00F50C9D" w:rsidRDefault="00272890" w:rsidP="0006588E">
      <w:pPr>
        <w:pStyle w:val="PZTextpsmene"/>
        <w:spacing w:before="0"/>
        <w:rPr>
          <w:szCs w:val="24"/>
        </w:rPr>
      </w:pPr>
      <w:r w:rsidRPr="00F50C9D">
        <w:rPr>
          <w:szCs w:val="24"/>
        </w:rPr>
        <w:t>u)</w:t>
      </w:r>
      <w:r w:rsidRPr="00F50C9D">
        <w:rPr>
          <w:szCs w:val="24"/>
        </w:rPr>
        <w:tab/>
        <w:t>neuchová dokumenty nebo záznamy podle § 17,</w:t>
      </w:r>
    </w:p>
    <w:p w14:paraId="1517CAD4" w14:textId="77777777" w:rsidR="00272890" w:rsidRPr="00F50C9D" w:rsidRDefault="00272890" w:rsidP="0006588E">
      <w:pPr>
        <w:pStyle w:val="PZTextpsmene"/>
        <w:spacing w:before="0"/>
        <w:rPr>
          <w:szCs w:val="24"/>
        </w:rPr>
      </w:pPr>
      <w:r w:rsidRPr="00F50C9D">
        <w:rPr>
          <w:szCs w:val="24"/>
        </w:rPr>
        <w:t>v)</w:t>
      </w:r>
      <w:r w:rsidRPr="00F50C9D">
        <w:rPr>
          <w:szCs w:val="24"/>
        </w:rPr>
        <w:tab/>
        <w:t>nesplní při algoritmickém obchodování některou z povinností podle § 17c nebo § 17d odst. 1, 2 nebo 4,</w:t>
      </w:r>
    </w:p>
    <w:p w14:paraId="4CCCD612" w14:textId="77777777" w:rsidR="00272890" w:rsidRPr="00F50C9D" w:rsidRDefault="00272890" w:rsidP="0006588E">
      <w:pPr>
        <w:pStyle w:val="PZTextpsmene"/>
        <w:spacing w:before="0"/>
        <w:rPr>
          <w:szCs w:val="24"/>
        </w:rPr>
      </w:pPr>
      <w:r w:rsidRPr="00F50C9D">
        <w:rPr>
          <w:szCs w:val="24"/>
        </w:rPr>
        <w:t>w)</w:t>
      </w:r>
      <w:r w:rsidRPr="00F50C9D">
        <w:rPr>
          <w:szCs w:val="24"/>
        </w:rPr>
        <w:tab/>
        <w:t>neuchová nebo neposkytne při algoritmickém obchodování s vysokou frekvencí v rozporu s § 17e záznamy v obchodních systémech,</w:t>
      </w:r>
    </w:p>
    <w:p w14:paraId="693D4D13" w14:textId="77777777" w:rsidR="00272890" w:rsidRPr="00F50C9D" w:rsidRDefault="00272890" w:rsidP="0006588E">
      <w:pPr>
        <w:pStyle w:val="PZTextpsmene"/>
        <w:spacing w:before="0"/>
        <w:rPr>
          <w:szCs w:val="24"/>
        </w:rPr>
      </w:pPr>
      <w:r w:rsidRPr="00F50C9D">
        <w:rPr>
          <w:szCs w:val="24"/>
        </w:rPr>
        <w:t>x)</w:t>
      </w:r>
      <w:r w:rsidRPr="00F50C9D">
        <w:rPr>
          <w:szCs w:val="24"/>
        </w:rPr>
        <w:tab/>
        <w:t>nesplní při algoritmickém obchodování za účelem uskutečňování strategie tvorby trhu některou z povinností podle § 17f odst. 1,</w:t>
      </w:r>
    </w:p>
    <w:p w14:paraId="6FC2B840" w14:textId="77777777" w:rsidR="00272890" w:rsidRPr="00F50C9D" w:rsidRDefault="00272890" w:rsidP="0006588E">
      <w:pPr>
        <w:pStyle w:val="PZTextpsmene"/>
        <w:spacing w:before="0"/>
        <w:rPr>
          <w:szCs w:val="24"/>
        </w:rPr>
      </w:pPr>
      <w:r w:rsidRPr="00F50C9D">
        <w:rPr>
          <w:szCs w:val="24"/>
        </w:rPr>
        <w:t>y)</w:t>
      </w:r>
      <w:r w:rsidRPr="00F50C9D">
        <w:rPr>
          <w:szCs w:val="24"/>
        </w:rPr>
        <w:tab/>
        <w:t>nesplní při poskytování přímého elektronického přístupu k obchodnímu systému některou z povinností podle § 17g odst. 1, 3, 4 nebo 5 nebo § 17h odst. 1, 2 nebo 4,</w:t>
      </w:r>
    </w:p>
    <w:p w14:paraId="1C23741A" w14:textId="77777777" w:rsidR="00272890" w:rsidRPr="00F50C9D" w:rsidRDefault="00272890" w:rsidP="0006588E">
      <w:pPr>
        <w:pStyle w:val="PZTextpsmene"/>
        <w:spacing w:before="0"/>
        <w:rPr>
          <w:szCs w:val="24"/>
        </w:rPr>
      </w:pPr>
      <w:r w:rsidRPr="00F50C9D">
        <w:rPr>
          <w:szCs w:val="24"/>
        </w:rPr>
        <w:t>z)</w:t>
      </w:r>
      <w:r w:rsidRPr="00F50C9D">
        <w:rPr>
          <w:szCs w:val="24"/>
        </w:rPr>
        <w:tab/>
        <w:t>nesplní při nabízení služby zúčtování jiným osobám některou z povinností podle § 17i,</w:t>
      </w:r>
    </w:p>
    <w:p w14:paraId="1729BEDF" w14:textId="77777777" w:rsidR="00272890" w:rsidRPr="00F50C9D" w:rsidRDefault="00272890" w:rsidP="0006588E">
      <w:pPr>
        <w:pStyle w:val="PZTextpsmene"/>
        <w:spacing w:before="0"/>
        <w:rPr>
          <w:szCs w:val="24"/>
        </w:rPr>
      </w:pPr>
      <w:r w:rsidRPr="00F50C9D">
        <w:rPr>
          <w:szCs w:val="24"/>
        </w:rPr>
        <w:t>za)</w:t>
      </w:r>
      <w:r w:rsidRPr="00F50C9D">
        <w:rPr>
          <w:szCs w:val="24"/>
        </w:rPr>
        <w:tab/>
        <w:t>nesplní oznamovací povinnost podle § 21 odst. 1 nebo 6 nebo podle § 22 odst. 1 nebo 5,</w:t>
      </w:r>
    </w:p>
    <w:p w14:paraId="378C380B" w14:textId="77777777" w:rsidR="00272890" w:rsidRPr="00F50C9D" w:rsidRDefault="00272890" w:rsidP="0006588E">
      <w:pPr>
        <w:pStyle w:val="PZTextpsmene"/>
        <w:spacing w:before="0"/>
        <w:rPr>
          <w:szCs w:val="24"/>
        </w:rPr>
      </w:pPr>
      <w:proofErr w:type="spellStart"/>
      <w:r w:rsidRPr="00F50C9D">
        <w:rPr>
          <w:szCs w:val="24"/>
        </w:rPr>
        <w:t>zb</w:t>
      </w:r>
      <w:proofErr w:type="spellEnd"/>
      <w:r w:rsidRPr="00F50C9D">
        <w:rPr>
          <w:szCs w:val="24"/>
        </w:rPr>
        <w:t>)</w:t>
      </w:r>
      <w:r w:rsidRPr="00F50C9D">
        <w:rPr>
          <w:szCs w:val="24"/>
        </w:rPr>
        <w:tab/>
        <w:t>umístí pobočku v rozporu s rozhodnutím České národní banky podle § 21 odst. 5,</w:t>
      </w:r>
    </w:p>
    <w:p w14:paraId="194EDF55" w14:textId="77777777" w:rsidR="00272890" w:rsidRPr="00F50C9D" w:rsidRDefault="00272890" w:rsidP="0006588E">
      <w:pPr>
        <w:pStyle w:val="PZTextpsmene"/>
        <w:spacing w:before="0"/>
        <w:rPr>
          <w:szCs w:val="24"/>
        </w:rPr>
      </w:pPr>
      <w:proofErr w:type="spellStart"/>
      <w:r w:rsidRPr="00F50C9D">
        <w:rPr>
          <w:szCs w:val="24"/>
        </w:rPr>
        <w:t>zc</w:t>
      </w:r>
      <w:proofErr w:type="spellEnd"/>
      <w:r w:rsidRPr="00F50C9D">
        <w:rPr>
          <w:szCs w:val="24"/>
        </w:rPr>
        <w:t>)</w:t>
      </w:r>
      <w:r w:rsidRPr="00F50C9D">
        <w:rPr>
          <w:szCs w:val="24"/>
        </w:rPr>
        <w:tab/>
        <w:t>jako zastoupený nesplní některou z povinností podle § 32k písm. a), b), d), f) nebo g),</w:t>
      </w:r>
    </w:p>
    <w:p w14:paraId="01DA717C" w14:textId="77777777" w:rsidR="00272890" w:rsidRPr="00F50C9D" w:rsidRDefault="00272890" w:rsidP="0006588E">
      <w:pPr>
        <w:pStyle w:val="PZTextpsmene"/>
        <w:spacing w:before="0"/>
        <w:rPr>
          <w:szCs w:val="24"/>
        </w:rPr>
      </w:pPr>
      <w:proofErr w:type="spellStart"/>
      <w:r w:rsidRPr="00F50C9D">
        <w:rPr>
          <w:szCs w:val="24"/>
        </w:rPr>
        <w:t>zd</w:t>
      </w:r>
      <w:proofErr w:type="spellEnd"/>
      <w:r w:rsidRPr="00F50C9D">
        <w:rPr>
          <w:szCs w:val="24"/>
        </w:rPr>
        <w:t>)</w:t>
      </w:r>
      <w:r w:rsidRPr="00F50C9D">
        <w:rPr>
          <w:szCs w:val="24"/>
        </w:rPr>
        <w:tab/>
        <w:t>jako osoba, která provozuje strategii tvorby trhu, nemá smlouvu podle § 50g odst. 1, nebo</w:t>
      </w:r>
    </w:p>
    <w:p w14:paraId="34405EF7" w14:textId="77777777" w:rsidR="00272890" w:rsidRPr="00F50C9D" w:rsidRDefault="00272890" w:rsidP="0006588E">
      <w:pPr>
        <w:pStyle w:val="PZTextpsmene"/>
        <w:spacing w:before="0"/>
        <w:rPr>
          <w:szCs w:val="24"/>
        </w:rPr>
      </w:pPr>
      <w:proofErr w:type="gramStart"/>
      <w:r w:rsidRPr="00F50C9D">
        <w:rPr>
          <w:szCs w:val="24"/>
        </w:rPr>
        <w:t>ze</w:t>
      </w:r>
      <w:proofErr w:type="gramEnd"/>
      <w:r w:rsidRPr="00F50C9D">
        <w:rPr>
          <w:szCs w:val="24"/>
        </w:rPr>
        <w:t>)</w:t>
      </w:r>
      <w:r w:rsidRPr="00F50C9D">
        <w:rPr>
          <w:szCs w:val="24"/>
        </w:rPr>
        <w:tab/>
        <w:t>nesplní informační povinnost podle § 134e odst. 2.</w:t>
      </w:r>
    </w:p>
    <w:p w14:paraId="2487F710" w14:textId="2BE24AB6" w:rsidR="00272890" w:rsidRPr="00F50C9D" w:rsidRDefault="00D60636" w:rsidP="0006588E">
      <w:pPr>
        <w:pStyle w:val="PZTextodstavce"/>
        <w:rPr>
          <w:szCs w:val="24"/>
        </w:rPr>
      </w:pPr>
      <w:r>
        <w:rPr>
          <w:szCs w:val="24"/>
        </w:rPr>
        <w:t xml:space="preserve">(2) </w:t>
      </w:r>
      <w:r w:rsidR="00272890" w:rsidRPr="00F50C9D">
        <w:rPr>
          <w:szCs w:val="24"/>
        </w:rPr>
        <w:t>Obchodník s cennými papíry se dále dopustí přestupku tím, že nezajistí zavedení odpovídajícího systému správy a řízení podle § 12ab.</w:t>
      </w:r>
    </w:p>
    <w:p w14:paraId="0F1DD651" w14:textId="74A4D20A" w:rsidR="00272890" w:rsidRPr="00F50C9D" w:rsidRDefault="00D60636" w:rsidP="0006588E">
      <w:pPr>
        <w:pStyle w:val="PZTextodstavce"/>
        <w:rPr>
          <w:szCs w:val="24"/>
        </w:rPr>
      </w:pPr>
      <w:r>
        <w:rPr>
          <w:szCs w:val="24"/>
        </w:rPr>
        <w:t xml:space="preserve">(3) </w:t>
      </w:r>
      <w:r w:rsidR="00272890" w:rsidRPr="00F50C9D">
        <w:rPr>
          <w:szCs w:val="24"/>
        </w:rPr>
        <w:t>Obchodník s cennými papíry se dále dopustí přestupku tím, že</w:t>
      </w:r>
    </w:p>
    <w:p w14:paraId="06B38911" w14:textId="77777777" w:rsidR="00272890" w:rsidRPr="00F50C9D" w:rsidRDefault="00272890" w:rsidP="00D60636">
      <w:pPr>
        <w:pStyle w:val="PZTextpsmene"/>
        <w:spacing w:before="0"/>
        <w:rPr>
          <w:szCs w:val="24"/>
        </w:rPr>
      </w:pPr>
      <w:r w:rsidRPr="00F50C9D">
        <w:rPr>
          <w:szCs w:val="24"/>
        </w:rPr>
        <w:t>a)</w:t>
      </w:r>
      <w:r w:rsidRPr="00F50C9D">
        <w:rPr>
          <w:szCs w:val="24"/>
        </w:rPr>
        <w:tab/>
        <w:t>nezavede, neudržuje nebo neuplatňuje mechanismus k hlášení podle § 12i odst. 1,</w:t>
      </w:r>
    </w:p>
    <w:p w14:paraId="309E0806" w14:textId="77777777" w:rsidR="00272890" w:rsidRPr="00F50C9D" w:rsidRDefault="00272890" w:rsidP="00D60636">
      <w:pPr>
        <w:pStyle w:val="PZTextpsmene"/>
        <w:spacing w:before="0"/>
        <w:rPr>
          <w:szCs w:val="24"/>
        </w:rPr>
      </w:pPr>
      <w:r w:rsidRPr="00F50C9D">
        <w:rPr>
          <w:szCs w:val="24"/>
        </w:rPr>
        <w:t>b)</w:t>
      </w:r>
      <w:r w:rsidRPr="00F50C9D">
        <w:rPr>
          <w:szCs w:val="24"/>
        </w:rPr>
        <w:tab/>
        <w:t>nesplní informační povinnost podle § 16 odst. 3 nebo 4 nebo § 16a,</w:t>
      </w:r>
    </w:p>
    <w:p w14:paraId="39A6A685" w14:textId="77777777" w:rsidR="00272890" w:rsidRPr="00F50C9D" w:rsidRDefault="00272890" w:rsidP="00D60636">
      <w:pPr>
        <w:pStyle w:val="PZTextpsmene"/>
        <w:spacing w:before="0"/>
        <w:rPr>
          <w:szCs w:val="24"/>
        </w:rPr>
      </w:pPr>
      <w:r w:rsidRPr="00F50C9D">
        <w:rPr>
          <w:szCs w:val="24"/>
        </w:rPr>
        <w:t>c)</w:t>
      </w:r>
      <w:r w:rsidRPr="00F50C9D">
        <w:rPr>
          <w:szCs w:val="24"/>
        </w:rPr>
        <w:tab/>
        <w:t>jako zastoupený nevypoví smluvní závazek podle § 32b odst. 1,</w:t>
      </w:r>
    </w:p>
    <w:p w14:paraId="494F1C13" w14:textId="77777777" w:rsidR="00272890" w:rsidRPr="00F50C9D" w:rsidRDefault="00272890" w:rsidP="00D60636">
      <w:pPr>
        <w:pStyle w:val="PZTextpsmene"/>
        <w:spacing w:before="0"/>
        <w:rPr>
          <w:szCs w:val="24"/>
        </w:rPr>
      </w:pPr>
      <w:r w:rsidRPr="00F50C9D">
        <w:rPr>
          <w:szCs w:val="24"/>
        </w:rPr>
        <w:t>d)</w:t>
      </w:r>
      <w:r w:rsidRPr="00F50C9D">
        <w:rPr>
          <w:szCs w:val="24"/>
        </w:rPr>
        <w:tab/>
        <w:t>jako zastoupený nesplní některou z povinností podle § 32k písm. c) nebo e),</w:t>
      </w:r>
    </w:p>
    <w:p w14:paraId="7AF4E3FC" w14:textId="77777777" w:rsidR="00272890" w:rsidRPr="00F50C9D" w:rsidRDefault="00272890" w:rsidP="00D60636">
      <w:pPr>
        <w:pStyle w:val="PZTextpsmene"/>
        <w:spacing w:before="0"/>
        <w:rPr>
          <w:szCs w:val="24"/>
        </w:rPr>
      </w:pPr>
      <w:r w:rsidRPr="00F50C9D">
        <w:rPr>
          <w:szCs w:val="24"/>
        </w:rPr>
        <w:t>e)</w:t>
      </w:r>
      <w:r w:rsidRPr="00F50C9D">
        <w:rPr>
          <w:szCs w:val="24"/>
        </w:rPr>
        <w:tab/>
        <w:t>jako dražebník cenných papírů organizuje veřejnou dražbu cenných papírů v rozporu s § 33,</w:t>
      </w:r>
    </w:p>
    <w:p w14:paraId="1FDB27A5" w14:textId="77777777" w:rsidR="00272890" w:rsidRPr="00F50C9D" w:rsidRDefault="00272890" w:rsidP="00D60636">
      <w:pPr>
        <w:pStyle w:val="PZTextpsmene"/>
        <w:spacing w:before="0"/>
        <w:rPr>
          <w:szCs w:val="24"/>
        </w:rPr>
      </w:pPr>
      <w:r w:rsidRPr="00F50C9D">
        <w:rPr>
          <w:szCs w:val="24"/>
        </w:rPr>
        <w:t>f)</w:t>
      </w:r>
      <w:r w:rsidRPr="00F50C9D">
        <w:rPr>
          <w:szCs w:val="24"/>
        </w:rPr>
        <w:tab/>
        <w:t>nezaplatí příspěvek do Garančního fondu podle § 129, nebo</w:t>
      </w:r>
    </w:p>
    <w:p w14:paraId="358CAA67" w14:textId="77777777" w:rsidR="00272890" w:rsidRPr="00F50C9D" w:rsidRDefault="00272890" w:rsidP="00D60636">
      <w:pPr>
        <w:pStyle w:val="PZTextpsmene"/>
        <w:spacing w:before="0"/>
        <w:rPr>
          <w:szCs w:val="24"/>
        </w:rPr>
      </w:pPr>
      <w:r w:rsidRPr="00F50C9D">
        <w:rPr>
          <w:szCs w:val="24"/>
        </w:rPr>
        <w:t>g)</w:t>
      </w:r>
      <w:r w:rsidRPr="00F50C9D">
        <w:rPr>
          <w:szCs w:val="24"/>
        </w:rPr>
        <w:tab/>
        <w:t>neposkytne Garančnímu fondu podklady podle věty první § 130 odst. 11.</w:t>
      </w:r>
    </w:p>
    <w:p w14:paraId="7071F381" w14:textId="52FB16D9" w:rsidR="00272890" w:rsidRPr="00F50C9D" w:rsidRDefault="00D60636" w:rsidP="0006588E">
      <w:pPr>
        <w:pStyle w:val="PZTextodstavce"/>
        <w:rPr>
          <w:szCs w:val="24"/>
        </w:rPr>
      </w:pPr>
      <w:r>
        <w:rPr>
          <w:szCs w:val="24"/>
        </w:rPr>
        <w:t xml:space="preserve">(4) </w:t>
      </w:r>
      <w:r w:rsidR="00272890" w:rsidRPr="00F50C9D">
        <w:rPr>
          <w:szCs w:val="24"/>
        </w:rPr>
        <w:t>Za přestupek podle odstavce 1 lze uložit pokutu do</w:t>
      </w:r>
    </w:p>
    <w:p w14:paraId="5E977DA5" w14:textId="77777777" w:rsidR="00272890" w:rsidRPr="00F50C9D" w:rsidRDefault="00272890" w:rsidP="00D60636">
      <w:pPr>
        <w:pStyle w:val="PZTextpsmene"/>
        <w:spacing w:before="0"/>
        <w:rPr>
          <w:szCs w:val="24"/>
        </w:rPr>
      </w:pPr>
      <w:r w:rsidRPr="00F50C9D">
        <w:rPr>
          <w:szCs w:val="24"/>
        </w:rPr>
        <w:t>a)</w:t>
      </w:r>
      <w:r w:rsidRPr="00F50C9D">
        <w:rPr>
          <w:szCs w:val="24"/>
        </w:rPr>
        <w:tab/>
        <w:t xml:space="preserve">150 000 000 Kč, </w:t>
      </w:r>
    </w:p>
    <w:p w14:paraId="74BBFE6D" w14:textId="77777777" w:rsidR="00272890" w:rsidRPr="00F50C9D" w:rsidRDefault="00272890" w:rsidP="00D60636">
      <w:pPr>
        <w:pStyle w:val="PZTextpsmene"/>
        <w:spacing w:before="0"/>
        <w:rPr>
          <w:szCs w:val="24"/>
        </w:rPr>
      </w:pPr>
      <w:r w:rsidRPr="00F50C9D">
        <w:rPr>
          <w:szCs w:val="24"/>
        </w:rPr>
        <w:t>b)</w:t>
      </w:r>
      <w:r w:rsidRPr="00F50C9D">
        <w:rPr>
          <w:szCs w:val="24"/>
        </w:rPr>
        <w:tab/>
        <w:t xml:space="preserve">výše 10 % celkového ročního obratu obchodníka s cennými papíry podle </w:t>
      </w:r>
      <w:r w:rsidRPr="00F50C9D">
        <w:rPr>
          <w:strike/>
          <w:szCs w:val="24"/>
        </w:rPr>
        <w:t>jeho poslední řádné účetní závěrky nebo konsolidované účetní závěrky</w:t>
      </w:r>
      <w:r w:rsidRPr="00F50C9D">
        <w:rPr>
          <w:b/>
          <w:szCs w:val="24"/>
        </w:rPr>
        <w:t xml:space="preserve"> </w:t>
      </w:r>
      <w:r w:rsidRPr="00F50C9D">
        <w:rPr>
          <w:b/>
          <w:bCs/>
          <w:szCs w:val="24"/>
        </w:rPr>
        <w:t>poslední řádné konsolidované účetní závěrky</w:t>
      </w:r>
      <w:r w:rsidRPr="00F50C9D">
        <w:rPr>
          <w:b/>
          <w:szCs w:val="24"/>
        </w:rPr>
        <w:t xml:space="preserve"> konsolidačního celku, v němž je zahrnutý, </w:t>
      </w:r>
      <w:r w:rsidRPr="00F50C9D">
        <w:rPr>
          <w:b/>
          <w:color w:val="000000"/>
          <w:szCs w:val="24"/>
        </w:rPr>
        <w:t>nebo řádné individuální účetní závěrky, není-li taková konsolidovaná účetní závěrka</w:t>
      </w:r>
      <w:r w:rsidRPr="00F50C9D">
        <w:rPr>
          <w:szCs w:val="24"/>
        </w:rPr>
        <w:t xml:space="preserve">, nebo </w:t>
      </w:r>
    </w:p>
    <w:p w14:paraId="6B1C937B" w14:textId="77777777" w:rsidR="00272890" w:rsidRPr="00F50C9D" w:rsidRDefault="00272890" w:rsidP="00D60636">
      <w:pPr>
        <w:pStyle w:val="PZTextpsmene"/>
        <w:spacing w:before="0"/>
        <w:rPr>
          <w:szCs w:val="24"/>
        </w:rPr>
      </w:pPr>
      <w:r w:rsidRPr="00F50C9D">
        <w:rPr>
          <w:szCs w:val="24"/>
        </w:rPr>
        <w:t>c)</w:t>
      </w:r>
      <w:r w:rsidRPr="00F50C9D">
        <w:rPr>
          <w:szCs w:val="24"/>
        </w:rPr>
        <w:tab/>
        <w:t>výše dvojnásobku neoprávněného prospěchu, je-li možné výši neoprávněného prospěchu zjistit.</w:t>
      </w:r>
    </w:p>
    <w:p w14:paraId="4252C780" w14:textId="20A126E7" w:rsidR="00272890" w:rsidRPr="00F50C9D" w:rsidRDefault="00D60636" w:rsidP="0006588E">
      <w:pPr>
        <w:pStyle w:val="PZTextodstavce"/>
        <w:rPr>
          <w:szCs w:val="24"/>
        </w:rPr>
      </w:pPr>
      <w:r>
        <w:rPr>
          <w:szCs w:val="24"/>
        </w:rPr>
        <w:t xml:space="preserve">(5) </w:t>
      </w:r>
      <w:r w:rsidR="00272890" w:rsidRPr="00F50C9D">
        <w:rPr>
          <w:szCs w:val="24"/>
        </w:rPr>
        <w:t xml:space="preserve">Za přestupek podle odstavce 2 lze uložit pokutu do </w:t>
      </w:r>
    </w:p>
    <w:p w14:paraId="7CBC500A" w14:textId="77777777" w:rsidR="00272890" w:rsidRPr="00F50C9D" w:rsidRDefault="00272890" w:rsidP="00D60636">
      <w:pPr>
        <w:pStyle w:val="PZTextpsmene"/>
        <w:spacing w:before="0"/>
        <w:rPr>
          <w:szCs w:val="24"/>
        </w:rPr>
      </w:pPr>
      <w:r w:rsidRPr="00F50C9D">
        <w:rPr>
          <w:szCs w:val="24"/>
        </w:rPr>
        <w:t>a)</w:t>
      </w:r>
      <w:r w:rsidRPr="00F50C9D">
        <w:rPr>
          <w:szCs w:val="24"/>
        </w:rPr>
        <w:tab/>
        <w:t xml:space="preserve">20 000 000 Kč, </w:t>
      </w:r>
    </w:p>
    <w:p w14:paraId="5F5787F7" w14:textId="77777777" w:rsidR="00272890" w:rsidRPr="00F50C9D" w:rsidRDefault="00272890" w:rsidP="00D60636">
      <w:pPr>
        <w:pStyle w:val="PZTextpsmene"/>
        <w:spacing w:before="0"/>
        <w:rPr>
          <w:b/>
          <w:szCs w:val="24"/>
        </w:rPr>
      </w:pPr>
      <w:r w:rsidRPr="00F50C9D">
        <w:rPr>
          <w:szCs w:val="24"/>
        </w:rPr>
        <w:t>b)</w:t>
      </w:r>
      <w:r w:rsidRPr="00F50C9D">
        <w:rPr>
          <w:szCs w:val="24"/>
        </w:rPr>
        <w:tab/>
        <w:t xml:space="preserve">výše 10 % celkového ročního obratu obchodníka s cennými papíry podle </w:t>
      </w:r>
      <w:r w:rsidRPr="00F50C9D">
        <w:rPr>
          <w:strike/>
          <w:szCs w:val="24"/>
        </w:rPr>
        <w:t>jeho poslední řádné účetní závěrky nebo konsolidované účetní závěrky</w:t>
      </w:r>
      <w:r w:rsidRPr="00F50C9D">
        <w:rPr>
          <w:b/>
          <w:szCs w:val="24"/>
        </w:rPr>
        <w:t xml:space="preserve"> </w:t>
      </w:r>
      <w:r w:rsidRPr="00F50C9D">
        <w:rPr>
          <w:b/>
          <w:bCs/>
          <w:szCs w:val="24"/>
        </w:rPr>
        <w:t xml:space="preserve">poslední řádné konsolidované </w:t>
      </w:r>
      <w:r w:rsidRPr="00F50C9D">
        <w:rPr>
          <w:b/>
          <w:bCs/>
          <w:szCs w:val="24"/>
        </w:rPr>
        <w:lastRenderedPageBreak/>
        <w:t>účetní závěrky</w:t>
      </w:r>
      <w:r w:rsidRPr="00F50C9D">
        <w:rPr>
          <w:b/>
          <w:szCs w:val="24"/>
        </w:rPr>
        <w:t xml:space="preserve"> konsolidačního celku, v němž je zahrnutý,</w:t>
      </w:r>
      <w:r w:rsidRPr="00F50C9D">
        <w:rPr>
          <w:szCs w:val="24"/>
        </w:rPr>
        <w:t xml:space="preserve"> </w:t>
      </w:r>
      <w:r w:rsidRPr="00F50C9D">
        <w:rPr>
          <w:b/>
          <w:szCs w:val="24"/>
        </w:rPr>
        <w:t xml:space="preserve">nebo řádné individuální účetní závěrky, není-li taková konsolidovaná účetní závěrka, </w:t>
      </w:r>
      <w:r w:rsidRPr="00F50C9D">
        <w:rPr>
          <w:szCs w:val="24"/>
        </w:rPr>
        <w:t>nebo</w:t>
      </w:r>
    </w:p>
    <w:p w14:paraId="3C080425" w14:textId="4729E825" w:rsidR="00272890" w:rsidRPr="00F50C9D" w:rsidRDefault="00D60636" w:rsidP="00D60636">
      <w:pPr>
        <w:pStyle w:val="PZTextpsmene"/>
        <w:spacing w:before="0"/>
        <w:rPr>
          <w:szCs w:val="24"/>
        </w:rPr>
      </w:pPr>
      <w:r>
        <w:rPr>
          <w:szCs w:val="24"/>
        </w:rPr>
        <w:t>c)</w:t>
      </w:r>
      <w:r>
        <w:rPr>
          <w:szCs w:val="24"/>
        </w:rPr>
        <w:tab/>
      </w:r>
      <w:r w:rsidR="00272890" w:rsidRPr="00F50C9D">
        <w:rPr>
          <w:szCs w:val="24"/>
        </w:rPr>
        <w:t xml:space="preserve">výše dvojnásobku neoprávněného prospěchu, je-li možné výši neoprávněného prospěchu zjistit. </w:t>
      </w:r>
    </w:p>
    <w:p w14:paraId="1A93CB1F" w14:textId="3CC33344" w:rsidR="00272890" w:rsidRPr="00F50C9D" w:rsidRDefault="00D60636" w:rsidP="0006588E">
      <w:pPr>
        <w:pStyle w:val="PZTextodstavce"/>
        <w:rPr>
          <w:szCs w:val="24"/>
        </w:rPr>
      </w:pPr>
      <w:r>
        <w:rPr>
          <w:szCs w:val="24"/>
        </w:rPr>
        <w:t xml:space="preserve">(6) </w:t>
      </w:r>
      <w:r w:rsidR="00272890" w:rsidRPr="00F50C9D">
        <w:rPr>
          <w:szCs w:val="24"/>
        </w:rPr>
        <w:t xml:space="preserve">Za přestupek podle odstavce 3 lze uložit pokutu do 10 000 000 Kč. </w:t>
      </w:r>
    </w:p>
    <w:p w14:paraId="32E42946" w14:textId="77777777" w:rsidR="00272890" w:rsidRPr="00F50C9D" w:rsidRDefault="00272890" w:rsidP="00D60636">
      <w:pPr>
        <w:widowControl w:val="0"/>
        <w:autoSpaceDE w:val="0"/>
        <w:autoSpaceDN w:val="0"/>
        <w:adjustRightInd w:val="0"/>
        <w:spacing w:after="120"/>
        <w:ind w:firstLine="0"/>
        <w:jc w:val="center"/>
        <w:rPr>
          <w:szCs w:val="24"/>
        </w:rPr>
      </w:pPr>
      <w:r w:rsidRPr="00F50C9D">
        <w:rPr>
          <w:szCs w:val="24"/>
        </w:rPr>
        <w:t>§ 165</w:t>
      </w:r>
    </w:p>
    <w:p w14:paraId="76102111" w14:textId="77777777" w:rsidR="00272890" w:rsidRPr="00F50C9D" w:rsidRDefault="00272890" w:rsidP="00D60636">
      <w:pPr>
        <w:widowControl w:val="0"/>
        <w:autoSpaceDE w:val="0"/>
        <w:autoSpaceDN w:val="0"/>
        <w:adjustRightInd w:val="0"/>
        <w:spacing w:after="120"/>
        <w:ind w:firstLine="0"/>
        <w:jc w:val="center"/>
        <w:rPr>
          <w:b/>
          <w:bCs/>
          <w:szCs w:val="24"/>
        </w:rPr>
      </w:pPr>
      <w:r w:rsidRPr="00F50C9D">
        <w:rPr>
          <w:b/>
          <w:bCs/>
          <w:szCs w:val="24"/>
        </w:rPr>
        <w:t>Přestupky zahraniční osoby</w:t>
      </w:r>
    </w:p>
    <w:p w14:paraId="63D183AF" w14:textId="6063E0FA" w:rsidR="00272890" w:rsidRPr="00F50C9D" w:rsidRDefault="00D60636" w:rsidP="00272890">
      <w:pPr>
        <w:pStyle w:val="PZTextodstavce"/>
        <w:spacing w:before="240"/>
        <w:rPr>
          <w:szCs w:val="24"/>
        </w:rPr>
      </w:pPr>
      <w:r>
        <w:rPr>
          <w:szCs w:val="24"/>
        </w:rPr>
        <w:t xml:space="preserve">(1) </w:t>
      </w:r>
      <w:r w:rsidR="00272890" w:rsidRPr="00F50C9D">
        <w:rPr>
          <w:szCs w:val="24"/>
        </w:rPr>
        <w:t>Zahraniční osoba se jako osoba podle § 24 dopustí přestupku tím, že</w:t>
      </w:r>
    </w:p>
    <w:p w14:paraId="77B5A9D0" w14:textId="77777777" w:rsidR="00272890" w:rsidRPr="00F50C9D" w:rsidRDefault="00272890" w:rsidP="00D60636">
      <w:pPr>
        <w:pStyle w:val="PZTextpsmene"/>
        <w:spacing w:before="0"/>
        <w:rPr>
          <w:szCs w:val="24"/>
        </w:rPr>
      </w:pPr>
      <w:r w:rsidRPr="00F50C9D">
        <w:rPr>
          <w:szCs w:val="24"/>
        </w:rPr>
        <w:t>a)</w:t>
      </w:r>
      <w:r w:rsidRPr="00F50C9D">
        <w:rPr>
          <w:szCs w:val="24"/>
        </w:rPr>
        <w:tab/>
        <w:t>nevede deník obchodníka s cennými papíry podle § 24 odst. 5 písm. a) a § 13,</w:t>
      </w:r>
    </w:p>
    <w:p w14:paraId="0F407738" w14:textId="77777777" w:rsidR="00272890" w:rsidRPr="00F50C9D" w:rsidRDefault="00272890" w:rsidP="00D60636">
      <w:pPr>
        <w:pStyle w:val="PZTextpsmene"/>
        <w:spacing w:before="0"/>
        <w:rPr>
          <w:szCs w:val="24"/>
        </w:rPr>
      </w:pPr>
      <w:r w:rsidRPr="00F50C9D">
        <w:rPr>
          <w:szCs w:val="24"/>
        </w:rPr>
        <w:t>b)</w:t>
      </w:r>
      <w:r w:rsidRPr="00F50C9D">
        <w:rPr>
          <w:szCs w:val="24"/>
        </w:rPr>
        <w:tab/>
        <w:t>neuveřejní údaje podle § 24 odst. 5 písm. b) a § 16b,</w:t>
      </w:r>
    </w:p>
    <w:p w14:paraId="372A4D20" w14:textId="77777777" w:rsidR="00272890" w:rsidRPr="00F50C9D" w:rsidRDefault="00272890" w:rsidP="00D60636">
      <w:pPr>
        <w:pStyle w:val="PZTextpsmene"/>
        <w:spacing w:before="0"/>
        <w:rPr>
          <w:szCs w:val="24"/>
        </w:rPr>
      </w:pPr>
      <w:r w:rsidRPr="00F50C9D">
        <w:rPr>
          <w:szCs w:val="24"/>
        </w:rPr>
        <w:t>c)</w:t>
      </w:r>
      <w:r w:rsidRPr="00F50C9D">
        <w:rPr>
          <w:szCs w:val="24"/>
        </w:rPr>
        <w:tab/>
        <w:t>neposkytuje investiční služby s odbornou péčí podle § 24 odst. 5 písm. c) a § 15 odst. 1, nebo</w:t>
      </w:r>
    </w:p>
    <w:p w14:paraId="6CDD9DCA" w14:textId="77777777" w:rsidR="00272890" w:rsidRPr="00F50C9D" w:rsidRDefault="00272890" w:rsidP="00D60636">
      <w:pPr>
        <w:pStyle w:val="PZTextpsmene"/>
        <w:spacing w:before="0"/>
        <w:rPr>
          <w:szCs w:val="24"/>
        </w:rPr>
      </w:pPr>
      <w:r w:rsidRPr="00F50C9D">
        <w:rPr>
          <w:szCs w:val="24"/>
        </w:rPr>
        <w:t>d)</w:t>
      </w:r>
      <w:r w:rsidRPr="00F50C9D">
        <w:rPr>
          <w:szCs w:val="24"/>
        </w:rPr>
        <w:tab/>
        <w:t>neuchová dokumenty nebo záznamy podle § 24 odst. 5 písm. e) a § 17.</w:t>
      </w:r>
    </w:p>
    <w:p w14:paraId="0CFB2E12" w14:textId="589DE04B" w:rsidR="00272890" w:rsidRPr="00F50C9D" w:rsidRDefault="00D60636" w:rsidP="00272890">
      <w:pPr>
        <w:pStyle w:val="PZTextodstavce"/>
        <w:spacing w:before="240"/>
        <w:rPr>
          <w:szCs w:val="24"/>
        </w:rPr>
      </w:pPr>
      <w:r>
        <w:rPr>
          <w:szCs w:val="24"/>
        </w:rPr>
        <w:t xml:space="preserve">(2) </w:t>
      </w:r>
      <w:r w:rsidR="00272890" w:rsidRPr="00F50C9D">
        <w:rPr>
          <w:szCs w:val="24"/>
        </w:rPr>
        <w:t>Zahraniční osoba se jako osoba podle § 28 dopustí přestupku tím, že</w:t>
      </w:r>
    </w:p>
    <w:p w14:paraId="1B231A5E" w14:textId="77777777" w:rsidR="00272890" w:rsidRPr="00F50C9D" w:rsidRDefault="00272890" w:rsidP="00D60636">
      <w:pPr>
        <w:pStyle w:val="PZTextpsmene"/>
        <w:spacing w:before="0"/>
        <w:rPr>
          <w:szCs w:val="24"/>
        </w:rPr>
      </w:pPr>
      <w:r w:rsidRPr="00F50C9D">
        <w:rPr>
          <w:szCs w:val="24"/>
        </w:rPr>
        <w:t>a)</w:t>
      </w:r>
      <w:r w:rsidRPr="00F50C9D">
        <w:rPr>
          <w:szCs w:val="24"/>
        </w:rPr>
        <w:tab/>
        <w:t>nesplní některou z povinností týkající se vedoucího orgánu podle § 28b odst. 3 a § 10 odst. 3 nebo § 10a odst. 1,</w:t>
      </w:r>
    </w:p>
    <w:p w14:paraId="2CB759F9" w14:textId="77777777" w:rsidR="00272890" w:rsidRPr="00F50C9D" w:rsidRDefault="00272890" w:rsidP="00D60636">
      <w:pPr>
        <w:pStyle w:val="PZTextpsmene"/>
        <w:spacing w:before="0"/>
        <w:rPr>
          <w:szCs w:val="24"/>
        </w:rPr>
      </w:pPr>
      <w:r w:rsidRPr="00F50C9D">
        <w:rPr>
          <w:szCs w:val="24"/>
        </w:rPr>
        <w:t>b)</w:t>
      </w:r>
      <w:r w:rsidRPr="00F50C9D">
        <w:rPr>
          <w:szCs w:val="24"/>
        </w:rPr>
        <w:tab/>
        <w:t>v rozporu s § 28b odst. 3 a § 12 nezajistí zavedení odpovídajícího systému správy a řízení,</w:t>
      </w:r>
    </w:p>
    <w:p w14:paraId="1103666C" w14:textId="77777777" w:rsidR="00272890" w:rsidRPr="00F50C9D" w:rsidRDefault="00272890" w:rsidP="00D60636">
      <w:pPr>
        <w:pStyle w:val="PZTextpsmene"/>
        <w:spacing w:before="0"/>
        <w:rPr>
          <w:szCs w:val="24"/>
        </w:rPr>
      </w:pPr>
      <w:r w:rsidRPr="00F50C9D">
        <w:rPr>
          <w:szCs w:val="24"/>
        </w:rPr>
        <w:t>c)</w:t>
      </w:r>
      <w:r w:rsidRPr="00F50C9D">
        <w:rPr>
          <w:szCs w:val="24"/>
        </w:rPr>
        <w:tab/>
        <w:t>v rozporu s § 28b odst. 3 a § 12a nesplní některou z povinností týkající se organizačních požadavků,</w:t>
      </w:r>
    </w:p>
    <w:p w14:paraId="4A7D0338" w14:textId="77777777" w:rsidR="00272890" w:rsidRPr="00F50C9D" w:rsidRDefault="00272890" w:rsidP="00D60636">
      <w:pPr>
        <w:pStyle w:val="PZTextpsmene"/>
        <w:spacing w:before="0"/>
        <w:rPr>
          <w:szCs w:val="24"/>
        </w:rPr>
      </w:pPr>
      <w:r w:rsidRPr="00F50C9D">
        <w:rPr>
          <w:szCs w:val="24"/>
        </w:rPr>
        <w:t>d)</w:t>
      </w:r>
      <w:r w:rsidRPr="00F50C9D">
        <w:rPr>
          <w:szCs w:val="24"/>
        </w:rPr>
        <w:tab/>
        <w:t>v rozporu s § 28b odst. 3 a § 12ba odst. 1 nezavede, neudržuje nebo neuplatňuje postupy pro schvalování investičního nástroje nebo jeho významných změn,</w:t>
      </w:r>
    </w:p>
    <w:p w14:paraId="38F147D9" w14:textId="77777777" w:rsidR="00272890" w:rsidRPr="00F50C9D" w:rsidRDefault="00272890" w:rsidP="00D60636">
      <w:pPr>
        <w:pStyle w:val="PZTextpsmene"/>
        <w:spacing w:before="0"/>
        <w:rPr>
          <w:szCs w:val="24"/>
        </w:rPr>
      </w:pPr>
      <w:r w:rsidRPr="00F50C9D">
        <w:rPr>
          <w:szCs w:val="24"/>
        </w:rPr>
        <w:t>e)</w:t>
      </w:r>
      <w:r w:rsidRPr="00F50C9D">
        <w:rPr>
          <w:szCs w:val="24"/>
        </w:rPr>
        <w:tab/>
        <w:t>v rozporu s § 28b odst. 3 a § 12ba odst. 2 neověří nebo nezhodnotí postupy pro schvalování investičního nástroje nebo jeho významných změn anebo nezjedná nápravu,</w:t>
      </w:r>
    </w:p>
    <w:p w14:paraId="1B5E14C5" w14:textId="77777777" w:rsidR="00272890" w:rsidRPr="00F50C9D" w:rsidRDefault="00272890" w:rsidP="00D60636">
      <w:pPr>
        <w:pStyle w:val="PZTextpsmene"/>
        <w:spacing w:before="0"/>
        <w:rPr>
          <w:szCs w:val="24"/>
        </w:rPr>
      </w:pPr>
      <w:r w:rsidRPr="00F50C9D">
        <w:rPr>
          <w:szCs w:val="24"/>
        </w:rPr>
        <w:t>f)</w:t>
      </w:r>
      <w:r w:rsidRPr="00F50C9D">
        <w:rPr>
          <w:szCs w:val="24"/>
        </w:rPr>
        <w:tab/>
        <w:t>v rozporu s § 28b odst. 3 a § 12ba odst. 5 neověří nebo nezhodnotí investiční nástroje, které nabízí, anebo nezjedná nápravu,</w:t>
      </w:r>
    </w:p>
    <w:p w14:paraId="034F813E" w14:textId="77777777" w:rsidR="00272890" w:rsidRPr="00F50C9D" w:rsidRDefault="00272890" w:rsidP="00D60636">
      <w:pPr>
        <w:pStyle w:val="PZTextpsmene"/>
        <w:spacing w:before="0"/>
        <w:rPr>
          <w:szCs w:val="24"/>
        </w:rPr>
      </w:pPr>
      <w:r w:rsidRPr="00F50C9D">
        <w:rPr>
          <w:szCs w:val="24"/>
        </w:rPr>
        <w:t>g)</w:t>
      </w:r>
      <w:r w:rsidRPr="00F50C9D">
        <w:rPr>
          <w:szCs w:val="24"/>
        </w:rPr>
        <w:tab/>
        <w:t>nesplní informační povinnost podle § 28b odst. 3 a § 12ba odst. 6,</w:t>
      </w:r>
    </w:p>
    <w:p w14:paraId="1C1DD96E" w14:textId="77777777" w:rsidR="00272890" w:rsidRPr="00F50C9D" w:rsidRDefault="00272890" w:rsidP="00D60636">
      <w:pPr>
        <w:pStyle w:val="PZTextpsmene"/>
        <w:spacing w:before="0"/>
        <w:rPr>
          <w:szCs w:val="24"/>
        </w:rPr>
      </w:pPr>
      <w:r w:rsidRPr="00F50C9D">
        <w:rPr>
          <w:szCs w:val="24"/>
        </w:rPr>
        <w:t>h)</w:t>
      </w:r>
      <w:r w:rsidRPr="00F50C9D">
        <w:rPr>
          <w:szCs w:val="24"/>
        </w:rPr>
        <w:tab/>
        <w:t>nezavede postupy podle § 28b odst. 3 a § 12bb,</w:t>
      </w:r>
    </w:p>
    <w:p w14:paraId="402B0364" w14:textId="77777777" w:rsidR="00272890" w:rsidRPr="00F50C9D" w:rsidRDefault="00272890" w:rsidP="00D60636">
      <w:pPr>
        <w:pStyle w:val="PZTextpsmene"/>
        <w:spacing w:before="0"/>
        <w:rPr>
          <w:szCs w:val="24"/>
        </w:rPr>
      </w:pPr>
      <w:r w:rsidRPr="00F50C9D">
        <w:rPr>
          <w:szCs w:val="24"/>
        </w:rPr>
        <w:t>i)</w:t>
      </w:r>
      <w:r w:rsidRPr="00F50C9D">
        <w:rPr>
          <w:szCs w:val="24"/>
        </w:rPr>
        <w:tab/>
        <w:t>nezajistí vedení některé z evidencí podle § 28b odst. 3 a § 12c,</w:t>
      </w:r>
    </w:p>
    <w:p w14:paraId="4D2DE72C" w14:textId="77777777" w:rsidR="00272890" w:rsidRPr="00F50C9D" w:rsidRDefault="00272890" w:rsidP="00D60636">
      <w:pPr>
        <w:pStyle w:val="PZTextpsmene"/>
        <w:spacing w:before="0"/>
        <w:rPr>
          <w:szCs w:val="24"/>
        </w:rPr>
      </w:pPr>
      <w:r w:rsidRPr="00F50C9D">
        <w:rPr>
          <w:szCs w:val="24"/>
        </w:rPr>
        <w:t>j)</w:t>
      </w:r>
      <w:r w:rsidRPr="00F50C9D">
        <w:rPr>
          <w:szCs w:val="24"/>
        </w:rPr>
        <w:tab/>
        <w:t>pověří jinou osobu výkonem činnosti bez toho, aby zavedla, udržovala nebo uplatňovala odpovídající opatření podle § 28b odst. 3 a § 12d,</w:t>
      </w:r>
    </w:p>
    <w:p w14:paraId="750A66A3" w14:textId="77777777" w:rsidR="00272890" w:rsidRPr="00F50C9D" w:rsidRDefault="00272890" w:rsidP="00D60636">
      <w:pPr>
        <w:pStyle w:val="PZTextpsmene"/>
        <w:spacing w:before="0"/>
        <w:rPr>
          <w:szCs w:val="24"/>
        </w:rPr>
      </w:pPr>
      <w:r w:rsidRPr="00F50C9D">
        <w:rPr>
          <w:szCs w:val="24"/>
        </w:rPr>
        <w:t>k)</w:t>
      </w:r>
      <w:r w:rsidRPr="00F50C9D">
        <w:rPr>
          <w:szCs w:val="24"/>
        </w:rPr>
        <w:tab/>
        <w:t>nezavede opatření k ochraně majetku zákazníka podle § 28b odst. 3 a § 12e odst. 1 nebo 2,</w:t>
      </w:r>
    </w:p>
    <w:p w14:paraId="2B106B62" w14:textId="77777777" w:rsidR="00272890" w:rsidRPr="00F50C9D" w:rsidRDefault="00272890" w:rsidP="00D60636">
      <w:pPr>
        <w:pStyle w:val="PZTextpsmene"/>
        <w:spacing w:before="0"/>
        <w:rPr>
          <w:szCs w:val="24"/>
        </w:rPr>
      </w:pPr>
      <w:r w:rsidRPr="00F50C9D">
        <w:rPr>
          <w:szCs w:val="24"/>
        </w:rPr>
        <w:t>l)</w:t>
      </w:r>
      <w:r w:rsidRPr="00F50C9D">
        <w:rPr>
          <w:szCs w:val="24"/>
        </w:rPr>
        <w:tab/>
        <w:t>nemá ověřenu přiměřenost opatření přijatých za účelem ochrany majetku zákazníka podle § 28b odst. 3 a § 12e odst. 3,</w:t>
      </w:r>
    </w:p>
    <w:p w14:paraId="2FF4654B" w14:textId="77777777" w:rsidR="00272890" w:rsidRPr="00F50C9D" w:rsidRDefault="00272890" w:rsidP="00D60636">
      <w:pPr>
        <w:pStyle w:val="PZTextpsmene"/>
        <w:spacing w:before="0"/>
        <w:rPr>
          <w:szCs w:val="24"/>
        </w:rPr>
      </w:pPr>
      <w:r w:rsidRPr="00F50C9D">
        <w:rPr>
          <w:szCs w:val="24"/>
        </w:rPr>
        <w:t>m)</w:t>
      </w:r>
      <w:r w:rsidRPr="00F50C9D">
        <w:rPr>
          <w:szCs w:val="24"/>
        </w:rPr>
        <w:tab/>
        <w:t>nevede deník obchodníka s cennými papíry podle § 28b odst. 3 a § 13,</w:t>
      </w:r>
    </w:p>
    <w:p w14:paraId="4DDECE27" w14:textId="77777777" w:rsidR="00272890" w:rsidRPr="00F50C9D" w:rsidRDefault="00272890" w:rsidP="00D60636">
      <w:pPr>
        <w:pStyle w:val="PZTextpsmene"/>
        <w:spacing w:before="0"/>
        <w:rPr>
          <w:szCs w:val="24"/>
        </w:rPr>
      </w:pPr>
      <w:r w:rsidRPr="00F50C9D">
        <w:rPr>
          <w:szCs w:val="24"/>
        </w:rPr>
        <w:t>n)</w:t>
      </w:r>
      <w:r w:rsidRPr="00F50C9D">
        <w:rPr>
          <w:szCs w:val="24"/>
        </w:rPr>
        <w:tab/>
        <w:t>nezajistí, aby jeho personální zdroje splňovaly požadavky podle § 28b odst. 3 a § 14,</w:t>
      </w:r>
    </w:p>
    <w:p w14:paraId="77979B30" w14:textId="77777777" w:rsidR="00272890" w:rsidRPr="00F50C9D" w:rsidRDefault="00272890" w:rsidP="00D60636">
      <w:pPr>
        <w:pStyle w:val="PZTextpsmene"/>
        <w:spacing w:before="0"/>
        <w:rPr>
          <w:szCs w:val="24"/>
        </w:rPr>
      </w:pPr>
      <w:r w:rsidRPr="00F50C9D">
        <w:rPr>
          <w:szCs w:val="24"/>
        </w:rPr>
        <w:t>o)</w:t>
      </w:r>
      <w:r w:rsidRPr="00F50C9D">
        <w:rPr>
          <w:szCs w:val="24"/>
        </w:rPr>
        <w:tab/>
        <w:t>neposkytuje investiční služby s odbornou péčí podle § 28b odst. 3 a § 15 odst. 1,</w:t>
      </w:r>
    </w:p>
    <w:p w14:paraId="0E29654B" w14:textId="77777777" w:rsidR="00272890" w:rsidRPr="00F50C9D" w:rsidRDefault="00272890" w:rsidP="00D60636">
      <w:pPr>
        <w:pStyle w:val="PZTextpsmene"/>
        <w:spacing w:before="0"/>
        <w:rPr>
          <w:szCs w:val="24"/>
        </w:rPr>
      </w:pPr>
      <w:r w:rsidRPr="00F50C9D">
        <w:rPr>
          <w:szCs w:val="24"/>
        </w:rPr>
        <w:t>p)</w:t>
      </w:r>
      <w:r w:rsidRPr="00F50C9D">
        <w:rPr>
          <w:szCs w:val="24"/>
        </w:rPr>
        <w:tab/>
        <w:t>v rozporu s § 28b odst. 3</w:t>
      </w:r>
      <w:r w:rsidRPr="00F50C9D">
        <w:rPr>
          <w:b/>
          <w:bCs/>
          <w:szCs w:val="24"/>
        </w:rPr>
        <w:t>, 7 a 8</w:t>
      </w:r>
      <w:r w:rsidRPr="00F50C9D">
        <w:rPr>
          <w:szCs w:val="24"/>
        </w:rPr>
        <w:t xml:space="preserve"> a § 16 odst. 1 nebo 2 </w:t>
      </w:r>
      <w:r w:rsidRPr="00F50C9D">
        <w:rPr>
          <w:strike/>
          <w:szCs w:val="24"/>
        </w:rPr>
        <w:t>nepředloží nebo neuveřejní výroční zprávu nebo související informace</w:t>
      </w:r>
      <w:r w:rsidRPr="00F50C9D">
        <w:rPr>
          <w:b/>
          <w:szCs w:val="24"/>
        </w:rPr>
        <w:t xml:space="preserve"> neuveřejní řádnou účetní závěrku, zprávu podle zákona upravujícího účetnictví, je-li vyhotovována, nebo zprávu o jejich ověření, jsou-li ověřovány, nebo související informace</w:t>
      </w:r>
      <w:r w:rsidRPr="00F50C9D">
        <w:rPr>
          <w:szCs w:val="24"/>
        </w:rPr>
        <w:t>,</w:t>
      </w:r>
    </w:p>
    <w:p w14:paraId="651FB49A" w14:textId="77777777" w:rsidR="00272890" w:rsidRPr="00F50C9D" w:rsidRDefault="00272890" w:rsidP="00D60636">
      <w:pPr>
        <w:pStyle w:val="PZTextpsmene"/>
        <w:spacing w:before="0"/>
        <w:rPr>
          <w:szCs w:val="24"/>
        </w:rPr>
      </w:pPr>
      <w:r w:rsidRPr="00F50C9D">
        <w:rPr>
          <w:szCs w:val="24"/>
        </w:rPr>
        <w:t>q)</w:t>
      </w:r>
      <w:r w:rsidRPr="00F50C9D">
        <w:rPr>
          <w:szCs w:val="24"/>
        </w:rPr>
        <w:tab/>
        <w:t>nesplní informační povinnost podle § 28b odst. 3 a § 16 odst. 6,</w:t>
      </w:r>
    </w:p>
    <w:p w14:paraId="0C60674B" w14:textId="77777777" w:rsidR="00272890" w:rsidRPr="00F50C9D" w:rsidRDefault="00272890" w:rsidP="00D60636">
      <w:pPr>
        <w:pStyle w:val="PZTextpsmene"/>
        <w:spacing w:before="0"/>
        <w:rPr>
          <w:szCs w:val="24"/>
        </w:rPr>
      </w:pPr>
      <w:r w:rsidRPr="00F50C9D">
        <w:rPr>
          <w:szCs w:val="24"/>
        </w:rPr>
        <w:t>r)</w:t>
      </w:r>
      <w:r w:rsidRPr="00F50C9D">
        <w:rPr>
          <w:szCs w:val="24"/>
        </w:rPr>
        <w:tab/>
        <w:t>neuchová dokumenty nebo záznamy podle § 28b odst. 3 a § 17,</w:t>
      </w:r>
    </w:p>
    <w:p w14:paraId="69675893" w14:textId="77777777" w:rsidR="00272890" w:rsidRPr="00F50C9D" w:rsidRDefault="00272890" w:rsidP="00D60636">
      <w:pPr>
        <w:pStyle w:val="PZTextpsmene"/>
        <w:spacing w:before="0"/>
        <w:rPr>
          <w:szCs w:val="24"/>
        </w:rPr>
      </w:pPr>
      <w:r w:rsidRPr="00F50C9D">
        <w:rPr>
          <w:szCs w:val="24"/>
        </w:rPr>
        <w:t>s)</w:t>
      </w:r>
      <w:r w:rsidRPr="00F50C9D">
        <w:rPr>
          <w:szCs w:val="24"/>
        </w:rPr>
        <w:tab/>
        <w:t>v rozporu s § 28b odst. 3 nesplní při algoritmickém obchodování některou z povinností podle § 17c nebo § 17d odst. 1, 2 nebo 4,</w:t>
      </w:r>
    </w:p>
    <w:p w14:paraId="3CBDDF50" w14:textId="77777777" w:rsidR="00272890" w:rsidRPr="00F50C9D" w:rsidRDefault="00272890" w:rsidP="00D60636">
      <w:pPr>
        <w:pStyle w:val="PZTextpsmene"/>
        <w:spacing w:before="0"/>
        <w:rPr>
          <w:szCs w:val="24"/>
        </w:rPr>
      </w:pPr>
      <w:r w:rsidRPr="00F50C9D">
        <w:rPr>
          <w:szCs w:val="24"/>
        </w:rPr>
        <w:lastRenderedPageBreak/>
        <w:t>t)</w:t>
      </w:r>
      <w:r w:rsidRPr="00F50C9D">
        <w:rPr>
          <w:szCs w:val="24"/>
        </w:rPr>
        <w:tab/>
        <w:t>neuchová nebo neposkytne při algoritmickém obchodování s vysokou frekvencí v rozporu s § 28b odst. 3 a § 17e záznamy v obchodních systémech,</w:t>
      </w:r>
    </w:p>
    <w:p w14:paraId="5B2CC6B8" w14:textId="77777777" w:rsidR="00272890" w:rsidRPr="00F50C9D" w:rsidRDefault="00272890" w:rsidP="00D60636">
      <w:pPr>
        <w:pStyle w:val="PZTextpsmene"/>
        <w:spacing w:before="0"/>
        <w:rPr>
          <w:szCs w:val="24"/>
        </w:rPr>
      </w:pPr>
      <w:r w:rsidRPr="00F50C9D">
        <w:rPr>
          <w:szCs w:val="24"/>
        </w:rPr>
        <w:t>u)</w:t>
      </w:r>
      <w:r w:rsidRPr="00F50C9D">
        <w:rPr>
          <w:szCs w:val="24"/>
        </w:rPr>
        <w:tab/>
        <w:t>v rozporu s § 28b odst. 3 nesplní při algoritmickém obchodování za účelem uskutečňování strategie tvorby trhu některou z povinností podle § 17f odst. 1,</w:t>
      </w:r>
    </w:p>
    <w:p w14:paraId="5FD065B2" w14:textId="77777777" w:rsidR="00272890" w:rsidRPr="00F50C9D" w:rsidRDefault="00272890" w:rsidP="00D60636">
      <w:pPr>
        <w:pStyle w:val="PZTextpsmene"/>
        <w:spacing w:before="0"/>
        <w:rPr>
          <w:szCs w:val="24"/>
        </w:rPr>
      </w:pPr>
      <w:r w:rsidRPr="00F50C9D">
        <w:rPr>
          <w:szCs w:val="24"/>
        </w:rPr>
        <w:t>v)</w:t>
      </w:r>
      <w:r w:rsidRPr="00F50C9D">
        <w:rPr>
          <w:szCs w:val="24"/>
        </w:rPr>
        <w:tab/>
        <w:t>v rozporu s § 28b odst. 3 nesplní při poskytování přímého elektronického přístupu k obchodnímu systému některou z povinností podle § 17g odst. 1, 3, 4 nebo 5 nebo § 17h odst. 1, 2 nebo 4,</w:t>
      </w:r>
    </w:p>
    <w:p w14:paraId="58DA4A3C" w14:textId="77777777" w:rsidR="00272890" w:rsidRPr="00F50C9D" w:rsidRDefault="00272890" w:rsidP="00D60636">
      <w:pPr>
        <w:pStyle w:val="PZTextpsmene"/>
        <w:spacing w:before="0"/>
        <w:rPr>
          <w:szCs w:val="24"/>
        </w:rPr>
      </w:pPr>
      <w:r w:rsidRPr="00F50C9D">
        <w:rPr>
          <w:szCs w:val="24"/>
        </w:rPr>
        <w:t>w)</w:t>
      </w:r>
      <w:r w:rsidRPr="00F50C9D">
        <w:rPr>
          <w:szCs w:val="24"/>
        </w:rPr>
        <w:tab/>
        <w:t xml:space="preserve">v rozporu s § 28b odst. 3 nesplní při nabízení služby zúčtování jiným osobám některou z povinností podle § 17i, </w:t>
      </w:r>
      <w:r w:rsidRPr="00F50C9D">
        <w:rPr>
          <w:strike/>
          <w:szCs w:val="24"/>
        </w:rPr>
        <w:t>nebo</w:t>
      </w:r>
    </w:p>
    <w:p w14:paraId="495EC134" w14:textId="77777777" w:rsidR="00272890" w:rsidRPr="00F50C9D" w:rsidRDefault="00272890" w:rsidP="00D60636">
      <w:pPr>
        <w:pStyle w:val="PZTextpsmene"/>
        <w:spacing w:before="0"/>
        <w:rPr>
          <w:b/>
          <w:szCs w:val="24"/>
        </w:rPr>
      </w:pPr>
      <w:r w:rsidRPr="00F50C9D">
        <w:rPr>
          <w:szCs w:val="24"/>
        </w:rPr>
        <w:t>x)</w:t>
      </w:r>
      <w:r w:rsidRPr="00F50C9D">
        <w:rPr>
          <w:szCs w:val="24"/>
        </w:rPr>
        <w:tab/>
        <w:t>jako zastoupený nesplní některou z povinností podle § 32k písm. a), b), d), f) nebo g)</w:t>
      </w:r>
      <w:r w:rsidRPr="00F50C9D">
        <w:rPr>
          <w:strike/>
          <w:szCs w:val="24"/>
        </w:rPr>
        <w:t>.</w:t>
      </w:r>
      <w:r w:rsidRPr="00F50C9D">
        <w:rPr>
          <w:b/>
          <w:szCs w:val="24"/>
        </w:rPr>
        <w:t>, nebo</w:t>
      </w:r>
    </w:p>
    <w:p w14:paraId="5326C6D3" w14:textId="77777777" w:rsidR="00272890" w:rsidRPr="00F50C9D" w:rsidRDefault="00272890" w:rsidP="00D60636">
      <w:pPr>
        <w:tabs>
          <w:tab w:val="left" w:pos="425"/>
          <w:tab w:val="left" w:pos="851"/>
        </w:tabs>
        <w:spacing w:before="0"/>
        <w:ind w:left="426" w:hanging="426"/>
        <w:rPr>
          <w:szCs w:val="24"/>
        </w:rPr>
      </w:pPr>
      <w:r w:rsidRPr="00F50C9D">
        <w:rPr>
          <w:b/>
          <w:szCs w:val="24"/>
        </w:rPr>
        <w:t>y)</w:t>
      </w:r>
      <w:r w:rsidRPr="00F50C9D">
        <w:rPr>
          <w:b/>
          <w:szCs w:val="24"/>
        </w:rPr>
        <w:tab/>
        <w:t>nepoužije pro účely plnění povinností vůči České národní bance vybrané účetní postupy podle § 28b odst. 6.</w:t>
      </w:r>
    </w:p>
    <w:p w14:paraId="11A66BD0" w14:textId="5EC8B5E0" w:rsidR="00272890" w:rsidRPr="00F50C9D" w:rsidRDefault="00D60636" w:rsidP="00272890">
      <w:pPr>
        <w:pStyle w:val="PZTextodstavce"/>
        <w:spacing w:before="240"/>
        <w:rPr>
          <w:szCs w:val="24"/>
        </w:rPr>
      </w:pPr>
      <w:r>
        <w:rPr>
          <w:szCs w:val="24"/>
        </w:rPr>
        <w:t xml:space="preserve">(3) </w:t>
      </w:r>
      <w:r w:rsidR="00272890" w:rsidRPr="00F50C9D">
        <w:rPr>
          <w:szCs w:val="24"/>
        </w:rPr>
        <w:t xml:space="preserve">Zahraniční osoba se dopustí přestupku tím, že </w:t>
      </w:r>
    </w:p>
    <w:p w14:paraId="3882D844" w14:textId="77777777" w:rsidR="00272890" w:rsidRPr="00F50C9D" w:rsidRDefault="00272890" w:rsidP="00D60636">
      <w:pPr>
        <w:pStyle w:val="PZTextpsmene"/>
        <w:spacing w:before="0"/>
        <w:rPr>
          <w:szCs w:val="24"/>
        </w:rPr>
      </w:pPr>
      <w:r w:rsidRPr="00F50C9D">
        <w:rPr>
          <w:szCs w:val="24"/>
        </w:rPr>
        <w:t>a)</w:t>
      </w:r>
      <w:r w:rsidRPr="00F50C9D">
        <w:rPr>
          <w:szCs w:val="24"/>
        </w:rPr>
        <w:tab/>
        <w:t xml:space="preserve">jako osoba podle </w:t>
      </w:r>
      <w:hyperlink r:id="rId75" w:history="1">
        <w:r w:rsidRPr="00F50C9D">
          <w:rPr>
            <w:szCs w:val="24"/>
          </w:rPr>
          <w:t>§ 24</w:t>
        </w:r>
      </w:hyperlink>
      <w:r w:rsidRPr="00F50C9D">
        <w:rPr>
          <w:szCs w:val="24"/>
        </w:rPr>
        <w:t xml:space="preserve"> nesplní některou z informačních povinností podle </w:t>
      </w:r>
      <w:hyperlink r:id="rId76" w:history="1">
        <w:r w:rsidRPr="00F50C9D">
          <w:rPr>
            <w:szCs w:val="24"/>
          </w:rPr>
          <w:t>§ 24 odst. 5 písm. b)</w:t>
        </w:r>
      </w:hyperlink>
      <w:r w:rsidRPr="00F50C9D">
        <w:rPr>
          <w:szCs w:val="24"/>
        </w:rPr>
        <w:t xml:space="preserve"> a </w:t>
      </w:r>
      <w:hyperlink r:id="rId77" w:history="1">
        <w:r w:rsidRPr="00F50C9D">
          <w:rPr>
            <w:szCs w:val="24"/>
          </w:rPr>
          <w:t>§ 16 odst. 4 písm. a)</w:t>
        </w:r>
      </w:hyperlink>
      <w:r w:rsidRPr="00F50C9D">
        <w:rPr>
          <w:szCs w:val="24"/>
        </w:rPr>
        <w:t xml:space="preserve">, </w:t>
      </w:r>
      <w:hyperlink r:id="rId78" w:history="1">
        <w:r w:rsidRPr="00F50C9D">
          <w:rPr>
            <w:szCs w:val="24"/>
          </w:rPr>
          <w:t>b)</w:t>
        </w:r>
      </w:hyperlink>
      <w:r w:rsidRPr="00F50C9D">
        <w:rPr>
          <w:szCs w:val="24"/>
        </w:rPr>
        <w:t xml:space="preserve"> nebo </w:t>
      </w:r>
      <w:hyperlink r:id="rId79" w:history="1">
        <w:r w:rsidRPr="00F50C9D">
          <w:rPr>
            <w:szCs w:val="24"/>
          </w:rPr>
          <w:t>c)</w:t>
        </w:r>
      </w:hyperlink>
      <w:r w:rsidRPr="00F50C9D">
        <w:rPr>
          <w:szCs w:val="24"/>
        </w:rPr>
        <w:t xml:space="preserve">, nebo </w:t>
      </w:r>
    </w:p>
    <w:p w14:paraId="0EAF6A0B" w14:textId="77777777" w:rsidR="00272890" w:rsidRPr="00F50C9D" w:rsidRDefault="00272890" w:rsidP="00D60636">
      <w:pPr>
        <w:pStyle w:val="PZTextpsmene"/>
        <w:spacing w:before="0"/>
        <w:rPr>
          <w:szCs w:val="24"/>
        </w:rPr>
      </w:pPr>
      <w:r w:rsidRPr="00F50C9D">
        <w:rPr>
          <w:szCs w:val="24"/>
        </w:rPr>
        <w:t>b)</w:t>
      </w:r>
      <w:r w:rsidRPr="00F50C9D">
        <w:rPr>
          <w:szCs w:val="24"/>
        </w:rPr>
        <w:tab/>
        <w:t xml:space="preserve">jako osoba podle </w:t>
      </w:r>
      <w:hyperlink r:id="rId80" w:history="1">
        <w:r w:rsidRPr="00F50C9D">
          <w:rPr>
            <w:szCs w:val="24"/>
          </w:rPr>
          <w:t>§ 28</w:t>
        </w:r>
      </w:hyperlink>
      <w:r w:rsidRPr="00F50C9D">
        <w:rPr>
          <w:szCs w:val="24"/>
        </w:rPr>
        <w:t xml:space="preserve"> nesplní některou z informačních povinností podle </w:t>
      </w:r>
      <w:hyperlink r:id="rId81" w:history="1">
        <w:r w:rsidRPr="00F50C9D">
          <w:rPr>
            <w:szCs w:val="24"/>
          </w:rPr>
          <w:t>§ 28b odst. 3</w:t>
        </w:r>
      </w:hyperlink>
      <w:r w:rsidRPr="00F50C9D">
        <w:rPr>
          <w:szCs w:val="24"/>
        </w:rPr>
        <w:t xml:space="preserve"> a </w:t>
      </w:r>
      <w:hyperlink r:id="rId82" w:history="1">
        <w:r w:rsidRPr="00F50C9D">
          <w:rPr>
            <w:szCs w:val="24"/>
          </w:rPr>
          <w:t>§ 16 odst. 4 písm. a)</w:t>
        </w:r>
      </w:hyperlink>
      <w:r w:rsidRPr="00F50C9D">
        <w:rPr>
          <w:szCs w:val="24"/>
        </w:rPr>
        <w:t xml:space="preserve">, </w:t>
      </w:r>
      <w:hyperlink r:id="rId83" w:history="1">
        <w:r w:rsidRPr="00F50C9D">
          <w:rPr>
            <w:szCs w:val="24"/>
          </w:rPr>
          <w:t>b)</w:t>
        </w:r>
      </w:hyperlink>
      <w:r w:rsidRPr="00F50C9D">
        <w:rPr>
          <w:szCs w:val="24"/>
        </w:rPr>
        <w:t xml:space="preserve"> nebo </w:t>
      </w:r>
      <w:hyperlink r:id="rId84" w:history="1">
        <w:r w:rsidRPr="00F50C9D">
          <w:rPr>
            <w:szCs w:val="24"/>
          </w:rPr>
          <w:t>c)</w:t>
        </w:r>
      </w:hyperlink>
      <w:r w:rsidRPr="00F50C9D">
        <w:rPr>
          <w:szCs w:val="24"/>
        </w:rPr>
        <w:t xml:space="preserve">. </w:t>
      </w:r>
    </w:p>
    <w:p w14:paraId="7A83EA74" w14:textId="159A68CC" w:rsidR="00272890" w:rsidRPr="00F50C9D" w:rsidRDefault="00D60636" w:rsidP="00272890">
      <w:pPr>
        <w:pStyle w:val="PZTextodstavce"/>
        <w:spacing w:before="240"/>
        <w:rPr>
          <w:szCs w:val="24"/>
        </w:rPr>
      </w:pPr>
      <w:r>
        <w:rPr>
          <w:szCs w:val="24"/>
        </w:rPr>
        <w:t xml:space="preserve">(4) </w:t>
      </w:r>
      <w:r w:rsidR="00272890" w:rsidRPr="00F50C9D">
        <w:rPr>
          <w:szCs w:val="24"/>
        </w:rPr>
        <w:t xml:space="preserve">Zahraniční osoba se dopustí přestupku tím, že </w:t>
      </w:r>
    </w:p>
    <w:p w14:paraId="31C668C4" w14:textId="77777777" w:rsidR="00272890" w:rsidRPr="00F50C9D" w:rsidRDefault="00272890" w:rsidP="00D60636">
      <w:pPr>
        <w:pStyle w:val="PZTextpsmene"/>
        <w:spacing w:before="0"/>
        <w:rPr>
          <w:szCs w:val="24"/>
        </w:rPr>
      </w:pPr>
      <w:r w:rsidRPr="00F50C9D">
        <w:rPr>
          <w:szCs w:val="24"/>
        </w:rPr>
        <w:t>a)</w:t>
      </w:r>
      <w:r w:rsidRPr="00F50C9D">
        <w:rPr>
          <w:szCs w:val="24"/>
        </w:rPr>
        <w:tab/>
        <w:t xml:space="preserve">jako osoba podle </w:t>
      </w:r>
      <w:hyperlink r:id="rId85" w:history="1">
        <w:r w:rsidRPr="00F50C9D">
          <w:rPr>
            <w:szCs w:val="24"/>
          </w:rPr>
          <w:t>§ 24</w:t>
        </w:r>
      </w:hyperlink>
      <w:r w:rsidRPr="00F50C9D">
        <w:rPr>
          <w:szCs w:val="24"/>
        </w:rPr>
        <w:t xml:space="preserve"> nesplní informační povinnost podle </w:t>
      </w:r>
      <w:hyperlink r:id="rId86" w:history="1">
        <w:r w:rsidRPr="00F50C9D">
          <w:rPr>
            <w:szCs w:val="24"/>
          </w:rPr>
          <w:t>§ 24 odst. 5 písm. b)</w:t>
        </w:r>
      </w:hyperlink>
      <w:r w:rsidRPr="00F50C9D">
        <w:rPr>
          <w:szCs w:val="24"/>
        </w:rPr>
        <w:t xml:space="preserve"> a </w:t>
      </w:r>
      <w:hyperlink r:id="rId87" w:history="1">
        <w:r w:rsidRPr="00F50C9D">
          <w:rPr>
            <w:szCs w:val="24"/>
          </w:rPr>
          <w:t>§ 16 odst. 3</w:t>
        </w:r>
      </w:hyperlink>
      <w:r w:rsidRPr="00F50C9D">
        <w:rPr>
          <w:szCs w:val="24"/>
        </w:rPr>
        <w:t xml:space="preserve">, </w:t>
      </w:r>
    </w:p>
    <w:p w14:paraId="23ADEE2A" w14:textId="77777777" w:rsidR="00272890" w:rsidRPr="00F50C9D" w:rsidRDefault="00272890" w:rsidP="00D60636">
      <w:pPr>
        <w:pStyle w:val="PZTextpsmene"/>
        <w:spacing w:before="0"/>
        <w:rPr>
          <w:szCs w:val="24"/>
        </w:rPr>
      </w:pPr>
      <w:r w:rsidRPr="00F50C9D">
        <w:rPr>
          <w:szCs w:val="24"/>
        </w:rPr>
        <w:t>b)</w:t>
      </w:r>
      <w:r w:rsidRPr="00F50C9D">
        <w:rPr>
          <w:szCs w:val="24"/>
        </w:rPr>
        <w:tab/>
        <w:t xml:space="preserve">jako osoba podle </w:t>
      </w:r>
      <w:hyperlink r:id="rId88" w:history="1">
        <w:r w:rsidRPr="00F50C9D">
          <w:rPr>
            <w:szCs w:val="24"/>
          </w:rPr>
          <w:t>§ 28</w:t>
        </w:r>
      </w:hyperlink>
      <w:r w:rsidRPr="00F50C9D">
        <w:rPr>
          <w:szCs w:val="24"/>
        </w:rPr>
        <w:t xml:space="preserve"> nezavede, neudržuje nebo neuplatňuje mechanismus k hlášení podle </w:t>
      </w:r>
      <w:hyperlink r:id="rId89" w:history="1">
        <w:r w:rsidRPr="00F50C9D">
          <w:rPr>
            <w:szCs w:val="24"/>
          </w:rPr>
          <w:t>§ 28b odst. 3</w:t>
        </w:r>
      </w:hyperlink>
      <w:r w:rsidRPr="00F50C9D">
        <w:rPr>
          <w:szCs w:val="24"/>
        </w:rPr>
        <w:t xml:space="preserve"> a </w:t>
      </w:r>
      <w:hyperlink r:id="rId90" w:history="1">
        <w:r w:rsidRPr="00F50C9D">
          <w:rPr>
            <w:szCs w:val="24"/>
          </w:rPr>
          <w:t>§ 12i odst. 1</w:t>
        </w:r>
      </w:hyperlink>
      <w:r w:rsidRPr="00F50C9D">
        <w:rPr>
          <w:szCs w:val="24"/>
        </w:rPr>
        <w:t xml:space="preserve">, </w:t>
      </w:r>
    </w:p>
    <w:p w14:paraId="62967542" w14:textId="77777777" w:rsidR="00272890" w:rsidRPr="00F50C9D" w:rsidRDefault="00272890" w:rsidP="00D60636">
      <w:pPr>
        <w:pStyle w:val="PZTextpsmene"/>
        <w:spacing w:before="0"/>
        <w:rPr>
          <w:szCs w:val="24"/>
        </w:rPr>
      </w:pPr>
      <w:r w:rsidRPr="00F50C9D">
        <w:rPr>
          <w:szCs w:val="24"/>
        </w:rPr>
        <w:t>c)</w:t>
      </w:r>
      <w:r w:rsidRPr="00F50C9D">
        <w:rPr>
          <w:szCs w:val="24"/>
        </w:rPr>
        <w:tab/>
        <w:t xml:space="preserve">jako osoba podle </w:t>
      </w:r>
      <w:hyperlink r:id="rId91" w:history="1">
        <w:r w:rsidRPr="00F50C9D">
          <w:rPr>
            <w:szCs w:val="24"/>
          </w:rPr>
          <w:t>§ 28</w:t>
        </w:r>
      </w:hyperlink>
      <w:r w:rsidRPr="00F50C9D">
        <w:rPr>
          <w:szCs w:val="24"/>
        </w:rPr>
        <w:t xml:space="preserve"> nesplní informační povinnost podle </w:t>
      </w:r>
      <w:hyperlink r:id="rId92" w:history="1">
        <w:r w:rsidRPr="00F50C9D">
          <w:rPr>
            <w:szCs w:val="24"/>
          </w:rPr>
          <w:t>§ 28b odst. 3</w:t>
        </w:r>
      </w:hyperlink>
      <w:r w:rsidRPr="00F50C9D">
        <w:rPr>
          <w:szCs w:val="24"/>
        </w:rPr>
        <w:t xml:space="preserve"> a </w:t>
      </w:r>
      <w:hyperlink r:id="rId93" w:history="1">
        <w:r w:rsidRPr="00F50C9D">
          <w:rPr>
            <w:szCs w:val="24"/>
          </w:rPr>
          <w:t>§ 16 odst. 3</w:t>
        </w:r>
      </w:hyperlink>
      <w:r w:rsidRPr="00F50C9D">
        <w:rPr>
          <w:szCs w:val="24"/>
        </w:rPr>
        <w:t xml:space="preserve">, </w:t>
      </w:r>
    </w:p>
    <w:p w14:paraId="411D4110" w14:textId="77777777" w:rsidR="00272890" w:rsidRPr="00F50C9D" w:rsidRDefault="00272890" w:rsidP="00D60636">
      <w:pPr>
        <w:pStyle w:val="PZTextpsmene"/>
        <w:spacing w:before="0"/>
        <w:rPr>
          <w:szCs w:val="24"/>
        </w:rPr>
      </w:pPr>
      <w:r w:rsidRPr="00F50C9D">
        <w:rPr>
          <w:szCs w:val="24"/>
        </w:rPr>
        <w:t>d)</w:t>
      </w:r>
      <w:r w:rsidRPr="00F50C9D">
        <w:rPr>
          <w:szCs w:val="24"/>
        </w:rPr>
        <w:tab/>
        <w:t xml:space="preserve">jako zastoupený nevypoví smluvní závazek podle </w:t>
      </w:r>
      <w:hyperlink r:id="rId94" w:history="1">
        <w:r w:rsidRPr="00F50C9D">
          <w:rPr>
            <w:szCs w:val="24"/>
          </w:rPr>
          <w:t>§ 32b odst. 1</w:t>
        </w:r>
      </w:hyperlink>
      <w:r w:rsidRPr="00F50C9D">
        <w:rPr>
          <w:szCs w:val="24"/>
        </w:rPr>
        <w:t xml:space="preserve">, </w:t>
      </w:r>
    </w:p>
    <w:p w14:paraId="1A55E5B8" w14:textId="77777777" w:rsidR="00272890" w:rsidRPr="00F50C9D" w:rsidRDefault="00272890" w:rsidP="00D60636">
      <w:pPr>
        <w:pStyle w:val="PZTextpsmene"/>
        <w:spacing w:before="0"/>
        <w:rPr>
          <w:szCs w:val="24"/>
        </w:rPr>
      </w:pPr>
      <w:r w:rsidRPr="00F50C9D">
        <w:rPr>
          <w:szCs w:val="24"/>
        </w:rPr>
        <w:t>e)</w:t>
      </w:r>
      <w:r w:rsidRPr="00F50C9D">
        <w:rPr>
          <w:szCs w:val="24"/>
        </w:rPr>
        <w:tab/>
        <w:t xml:space="preserve">jako zastoupený nesplní některou z povinností podle </w:t>
      </w:r>
      <w:hyperlink r:id="rId95" w:history="1">
        <w:r w:rsidRPr="00F50C9D">
          <w:rPr>
            <w:szCs w:val="24"/>
          </w:rPr>
          <w:t>§ 32k písm. c)</w:t>
        </w:r>
      </w:hyperlink>
      <w:r w:rsidRPr="00F50C9D">
        <w:rPr>
          <w:szCs w:val="24"/>
        </w:rPr>
        <w:t xml:space="preserve"> nebo </w:t>
      </w:r>
      <w:hyperlink r:id="rId96" w:history="1">
        <w:r w:rsidRPr="00F50C9D">
          <w:rPr>
            <w:szCs w:val="24"/>
          </w:rPr>
          <w:t>e)</w:t>
        </w:r>
      </w:hyperlink>
      <w:r w:rsidRPr="00F50C9D">
        <w:rPr>
          <w:szCs w:val="24"/>
        </w:rPr>
        <w:t xml:space="preserve">, </w:t>
      </w:r>
    </w:p>
    <w:p w14:paraId="6C5A94B0" w14:textId="77777777" w:rsidR="00272890" w:rsidRPr="00F50C9D" w:rsidRDefault="00272890" w:rsidP="00D60636">
      <w:pPr>
        <w:pStyle w:val="PZTextpsmene"/>
        <w:spacing w:before="0"/>
        <w:rPr>
          <w:szCs w:val="24"/>
        </w:rPr>
      </w:pPr>
      <w:r w:rsidRPr="00F50C9D">
        <w:rPr>
          <w:szCs w:val="24"/>
        </w:rPr>
        <w:t>f)</w:t>
      </w:r>
      <w:r w:rsidRPr="00F50C9D">
        <w:rPr>
          <w:szCs w:val="24"/>
        </w:rPr>
        <w:tab/>
        <w:t>jako dražebník cenných papírů organizuje veřejnou dražbu cenných papírů v rozporu s </w:t>
      </w:r>
      <w:hyperlink r:id="rId97" w:history="1">
        <w:r w:rsidRPr="00F50C9D">
          <w:rPr>
            <w:szCs w:val="24"/>
          </w:rPr>
          <w:t>§ 33</w:t>
        </w:r>
      </w:hyperlink>
      <w:r w:rsidRPr="00F50C9D">
        <w:rPr>
          <w:szCs w:val="24"/>
        </w:rPr>
        <w:t xml:space="preserve">, nebo </w:t>
      </w:r>
    </w:p>
    <w:p w14:paraId="6A0723C3" w14:textId="77777777" w:rsidR="00272890" w:rsidRPr="00F50C9D" w:rsidRDefault="00272890" w:rsidP="00D60636">
      <w:pPr>
        <w:pStyle w:val="PZTextpsmene"/>
        <w:spacing w:before="0"/>
        <w:rPr>
          <w:szCs w:val="24"/>
        </w:rPr>
      </w:pPr>
      <w:r w:rsidRPr="00F50C9D">
        <w:rPr>
          <w:szCs w:val="24"/>
        </w:rPr>
        <w:t>g)</w:t>
      </w:r>
      <w:r w:rsidRPr="00F50C9D">
        <w:rPr>
          <w:szCs w:val="24"/>
        </w:rPr>
        <w:tab/>
        <w:t xml:space="preserve">jako osoba podle </w:t>
      </w:r>
      <w:hyperlink r:id="rId98" w:history="1">
        <w:r w:rsidRPr="00F50C9D">
          <w:rPr>
            <w:szCs w:val="24"/>
          </w:rPr>
          <w:t>§ 133</w:t>
        </w:r>
      </w:hyperlink>
      <w:r w:rsidRPr="00F50C9D">
        <w:rPr>
          <w:szCs w:val="24"/>
        </w:rPr>
        <w:t xml:space="preserve"> nezaplatí příspěvek do Garančního fondu podle </w:t>
      </w:r>
      <w:hyperlink r:id="rId99" w:history="1">
        <w:r w:rsidRPr="00F50C9D">
          <w:rPr>
            <w:szCs w:val="24"/>
          </w:rPr>
          <w:t>§ 133</w:t>
        </w:r>
      </w:hyperlink>
      <w:r w:rsidRPr="00F50C9D">
        <w:rPr>
          <w:szCs w:val="24"/>
        </w:rPr>
        <w:t xml:space="preserve">. </w:t>
      </w:r>
    </w:p>
    <w:p w14:paraId="2EF3EB8C" w14:textId="74EBA522" w:rsidR="00272890" w:rsidRPr="00F50C9D" w:rsidRDefault="00D60636" w:rsidP="00272890">
      <w:pPr>
        <w:pStyle w:val="PZTextodstavce"/>
        <w:spacing w:before="240"/>
        <w:rPr>
          <w:szCs w:val="24"/>
        </w:rPr>
      </w:pPr>
      <w:r>
        <w:rPr>
          <w:szCs w:val="24"/>
        </w:rPr>
        <w:t xml:space="preserve">(5) </w:t>
      </w:r>
      <w:r w:rsidR="00272890" w:rsidRPr="00F50C9D">
        <w:rPr>
          <w:szCs w:val="24"/>
        </w:rPr>
        <w:t xml:space="preserve">Za přestupek podle odstavce 1 nebo 2 lze uložit pokutu do </w:t>
      </w:r>
    </w:p>
    <w:p w14:paraId="5EA02F6D" w14:textId="77777777" w:rsidR="00272890" w:rsidRPr="00F50C9D" w:rsidRDefault="00272890" w:rsidP="00D60636">
      <w:pPr>
        <w:pStyle w:val="PZTextpsmene"/>
        <w:spacing w:before="0"/>
        <w:rPr>
          <w:szCs w:val="24"/>
        </w:rPr>
      </w:pPr>
      <w:r w:rsidRPr="00F50C9D">
        <w:rPr>
          <w:szCs w:val="24"/>
        </w:rPr>
        <w:t>a)</w:t>
      </w:r>
      <w:r w:rsidRPr="00F50C9D">
        <w:rPr>
          <w:szCs w:val="24"/>
        </w:rPr>
        <w:tab/>
        <w:t xml:space="preserve">150 000 000 Kč, </w:t>
      </w:r>
    </w:p>
    <w:p w14:paraId="42485312" w14:textId="77777777" w:rsidR="00272890" w:rsidRPr="00F50C9D" w:rsidRDefault="00272890" w:rsidP="00D60636">
      <w:pPr>
        <w:pStyle w:val="PZTextpsmene"/>
        <w:spacing w:before="0"/>
        <w:rPr>
          <w:szCs w:val="24"/>
        </w:rPr>
      </w:pPr>
      <w:r w:rsidRPr="00F50C9D">
        <w:rPr>
          <w:szCs w:val="24"/>
        </w:rPr>
        <w:t>b)</w:t>
      </w:r>
      <w:r w:rsidRPr="00F50C9D">
        <w:rPr>
          <w:szCs w:val="24"/>
        </w:rPr>
        <w:tab/>
        <w:t xml:space="preserve">výše 10 % celkového ročního obratu zahraniční osoby podle </w:t>
      </w:r>
      <w:r w:rsidRPr="00F50C9D">
        <w:rPr>
          <w:strike/>
          <w:szCs w:val="24"/>
        </w:rPr>
        <w:t>její poslední řádné účetní závěrky nebo konsolidované účetní závěrky</w:t>
      </w:r>
      <w:r w:rsidRPr="00F50C9D">
        <w:rPr>
          <w:b/>
          <w:szCs w:val="24"/>
        </w:rPr>
        <w:t xml:space="preserve"> </w:t>
      </w:r>
      <w:r w:rsidRPr="00F50C9D">
        <w:rPr>
          <w:b/>
          <w:bCs/>
          <w:szCs w:val="24"/>
        </w:rPr>
        <w:t>poslední řádné konsolidované účetní závěrky</w:t>
      </w:r>
      <w:r w:rsidRPr="00F50C9D">
        <w:rPr>
          <w:b/>
          <w:szCs w:val="24"/>
        </w:rPr>
        <w:t xml:space="preserve"> konsolidačního celku, v němž je zahrnuta,</w:t>
      </w:r>
      <w:r w:rsidRPr="00F50C9D">
        <w:rPr>
          <w:szCs w:val="24"/>
        </w:rPr>
        <w:t xml:space="preserve"> </w:t>
      </w:r>
      <w:r w:rsidRPr="00F50C9D">
        <w:rPr>
          <w:b/>
          <w:szCs w:val="24"/>
        </w:rPr>
        <w:t>nebo řádné individuální účetní závěrky, není-li taková konsolidovaná účetní závěrka</w:t>
      </w:r>
      <w:r w:rsidRPr="00F50C9D">
        <w:rPr>
          <w:szCs w:val="24"/>
        </w:rPr>
        <w:t xml:space="preserve">, nebo </w:t>
      </w:r>
    </w:p>
    <w:p w14:paraId="6BA7B7A6" w14:textId="77777777" w:rsidR="00272890" w:rsidRPr="00F50C9D" w:rsidRDefault="00272890" w:rsidP="00D60636">
      <w:pPr>
        <w:pStyle w:val="PZTextpsmene"/>
        <w:spacing w:before="0"/>
        <w:rPr>
          <w:szCs w:val="24"/>
        </w:rPr>
      </w:pPr>
      <w:r w:rsidRPr="00F50C9D">
        <w:rPr>
          <w:szCs w:val="24"/>
        </w:rPr>
        <w:t>c)</w:t>
      </w:r>
      <w:r w:rsidRPr="00F50C9D">
        <w:rPr>
          <w:szCs w:val="24"/>
        </w:rPr>
        <w:tab/>
        <w:t xml:space="preserve">výše dvojnásobku neoprávněného prospěchu, je-li možné výši neoprávněného prospěchu zjistit. </w:t>
      </w:r>
    </w:p>
    <w:p w14:paraId="1C3D3A8B" w14:textId="2C1C48EE" w:rsidR="00272890" w:rsidRPr="00F50C9D" w:rsidRDefault="00D60636" w:rsidP="00272890">
      <w:pPr>
        <w:pStyle w:val="PZTextodstavce"/>
        <w:spacing w:before="240"/>
        <w:rPr>
          <w:szCs w:val="24"/>
        </w:rPr>
      </w:pPr>
      <w:r>
        <w:rPr>
          <w:szCs w:val="24"/>
        </w:rPr>
        <w:t xml:space="preserve">(6) </w:t>
      </w:r>
      <w:r w:rsidR="00272890" w:rsidRPr="00F50C9D">
        <w:rPr>
          <w:szCs w:val="24"/>
        </w:rPr>
        <w:t xml:space="preserve">Za přestupek podle odstavce 3 lze uložit pokutu do </w:t>
      </w:r>
    </w:p>
    <w:p w14:paraId="73FB94E0" w14:textId="77777777" w:rsidR="00272890" w:rsidRPr="00F50C9D" w:rsidRDefault="00272890" w:rsidP="00D60636">
      <w:pPr>
        <w:pStyle w:val="PZTextpsmene"/>
        <w:spacing w:before="0"/>
        <w:rPr>
          <w:szCs w:val="24"/>
        </w:rPr>
      </w:pPr>
      <w:r w:rsidRPr="00F50C9D">
        <w:rPr>
          <w:szCs w:val="24"/>
        </w:rPr>
        <w:t>a)</w:t>
      </w:r>
      <w:r w:rsidRPr="00F50C9D">
        <w:rPr>
          <w:szCs w:val="24"/>
        </w:rPr>
        <w:tab/>
        <w:t xml:space="preserve">20 000 000 Kč, </w:t>
      </w:r>
    </w:p>
    <w:p w14:paraId="158B3FED" w14:textId="77777777" w:rsidR="00272890" w:rsidRPr="00F50C9D" w:rsidRDefault="00272890" w:rsidP="00D60636">
      <w:pPr>
        <w:pStyle w:val="PZTextpsmene"/>
        <w:spacing w:before="0"/>
        <w:rPr>
          <w:szCs w:val="24"/>
        </w:rPr>
      </w:pPr>
      <w:r w:rsidRPr="00F50C9D">
        <w:rPr>
          <w:szCs w:val="24"/>
        </w:rPr>
        <w:t>b)</w:t>
      </w:r>
      <w:r w:rsidRPr="00F50C9D">
        <w:rPr>
          <w:szCs w:val="24"/>
        </w:rPr>
        <w:tab/>
        <w:t xml:space="preserve">výše 10 % celkového ročního obratu zahraniční osoby podle </w:t>
      </w:r>
      <w:r w:rsidRPr="00F50C9D">
        <w:rPr>
          <w:strike/>
          <w:szCs w:val="24"/>
        </w:rPr>
        <w:t>její poslední řádné účetní závěrky nebo konsolidované účetní závěrky</w:t>
      </w:r>
      <w:r w:rsidRPr="00F50C9D">
        <w:rPr>
          <w:b/>
          <w:szCs w:val="24"/>
        </w:rPr>
        <w:t xml:space="preserve"> </w:t>
      </w:r>
      <w:r w:rsidRPr="00F50C9D">
        <w:rPr>
          <w:b/>
          <w:bCs/>
          <w:szCs w:val="24"/>
        </w:rPr>
        <w:t>poslední řádné konsolidované účetní závěrky</w:t>
      </w:r>
      <w:r w:rsidRPr="00F50C9D">
        <w:rPr>
          <w:b/>
          <w:szCs w:val="24"/>
        </w:rPr>
        <w:t xml:space="preserve"> konsolidačního celku, v němž je zahrnuta,</w:t>
      </w:r>
      <w:r w:rsidRPr="00F50C9D">
        <w:rPr>
          <w:szCs w:val="24"/>
        </w:rPr>
        <w:t xml:space="preserve"> </w:t>
      </w:r>
      <w:r w:rsidRPr="00F50C9D">
        <w:rPr>
          <w:b/>
          <w:szCs w:val="24"/>
        </w:rPr>
        <w:t>nebo řádné individuální účetní závěrky, není-li taková konsolidovaná účetní závěrka</w:t>
      </w:r>
      <w:r w:rsidRPr="00F50C9D">
        <w:rPr>
          <w:szCs w:val="24"/>
        </w:rPr>
        <w:t xml:space="preserve">, který zahrnuje položky uvedené v </w:t>
      </w:r>
      <w:hyperlink r:id="rId100" w:history="1">
        <w:r w:rsidRPr="00F50C9D">
          <w:rPr>
            <w:szCs w:val="24"/>
          </w:rPr>
          <w:t>čl. 316</w:t>
        </w:r>
      </w:hyperlink>
      <w:r w:rsidRPr="00F50C9D">
        <w:rPr>
          <w:szCs w:val="24"/>
        </w:rPr>
        <w:t xml:space="preserve"> nařízení Evropského parlamentu a Rady (EU) č. </w:t>
      </w:r>
      <w:hyperlink r:id="rId101" w:history="1">
        <w:r w:rsidRPr="00F50C9D">
          <w:rPr>
            <w:szCs w:val="24"/>
          </w:rPr>
          <w:t>575/2013</w:t>
        </w:r>
      </w:hyperlink>
      <w:r w:rsidRPr="00F50C9D">
        <w:rPr>
          <w:szCs w:val="24"/>
        </w:rPr>
        <w:t xml:space="preserve">, nebo </w:t>
      </w:r>
    </w:p>
    <w:p w14:paraId="1A2025F7" w14:textId="77777777" w:rsidR="00272890" w:rsidRPr="00F50C9D" w:rsidRDefault="00272890" w:rsidP="00D60636">
      <w:pPr>
        <w:pStyle w:val="PZTextpsmene"/>
        <w:spacing w:before="0"/>
        <w:rPr>
          <w:szCs w:val="24"/>
        </w:rPr>
      </w:pPr>
      <w:r w:rsidRPr="00F50C9D">
        <w:rPr>
          <w:szCs w:val="24"/>
        </w:rPr>
        <w:lastRenderedPageBreak/>
        <w:t>c)</w:t>
      </w:r>
      <w:r w:rsidRPr="00F50C9D">
        <w:rPr>
          <w:szCs w:val="24"/>
        </w:rPr>
        <w:tab/>
        <w:t xml:space="preserve">výše dvojnásobku neoprávněného prospěchu, je-li možné výši neoprávněného prospěchu zjistit. </w:t>
      </w:r>
    </w:p>
    <w:p w14:paraId="5E5D376A" w14:textId="6866AAE9" w:rsidR="00272890" w:rsidRPr="00F50C9D" w:rsidRDefault="00D60636" w:rsidP="00272890">
      <w:pPr>
        <w:pStyle w:val="PZTextodstavce"/>
        <w:spacing w:before="240"/>
        <w:rPr>
          <w:szCs w:val="24"/>
        </w:rPr>
      </w:pPr>
      <w:r>
        <w:rPr>
          <w:szCs w:val="24"/>
        </w:rPr>
        <w:t xml:space="preserve">(7) </w:t>
      </w:r>
      <w:r w:rsidR="00272890" w:rsidRPr="00F50C9D">
        <w:rPr>
          <w:szCs w:val="24"/>
        </w:rPr>
        <w:t>Za přestupek podle odstavce 4 lze uložit pokutu do 10 000 000 Kč.</w:t>
      </w:r>
    </w:p>
    <w:p w14:paraId="3923D0AC" w14:textId="77777777" w:rsidR="00272890" w:rsidRPr="00F50C9D" w:rsidRDefault="00272890" w:rsidP="00D60636">
      <w:pPr>
        <w:widowControl w:val="0"/>
        <w:autoSpaceDE w:val="0"/>
        <w:autoSpaceDN w:val="0"/>
        <w:adjustRightInd w:val="0"/>
        <w:spacing w:after="120"/>
        <w:ind w:firstLine="0"/>
        <w:jc w:val="center"/>
        <w:rPr>
          <w:szCs w:val="24"/>
        </w:rPr>
      </w:pPr>
      <w:r w:rsidRPr="00F50C9D">
        <w:rPr>
          <w:szCs w:val="24"/>
        </w:rPr>
        <w:t xml:space="preserve">§ 166 </w:t>
      </w:r>
    </w:p>
    <w:p w14:paraId="2E09374B" w14:textId="77777777" w:rsidR="00272890" w:rsidRPr="00F50C9D" w:rsidRDefault="00272890" w:rsidP="00D60636">
      <w:pPr>
        <w:widowControl w:val="0"/>
        <w:autoSpaceDE w:val="0"/>
        <w:autoSpaceDN w:val="0"/>
        <w:adjustRightInd w:val="0"/>
        <w:spacing w:after="120"/>
        <w:ind w:firstLine="0"/>
        <w:jc w:val="center"/>
        <w:rPr>
          <w:b/>
          <w:bCs/>
          <w:szCs w:val="24"/>
        </w:rPr>
      </w:pPr>
      <w:r w:rsidRPr="00F50C9D">
        <w:rPr>
          <w:b/>
          <w:bCs/>
          <w:szCs w:val="24"/>
        </w:rPr>
        <w:t xml:space="preserve">Přestupky investičního zprostředkovatele </w:t>
      </w:r>
    </w:p>
    <w:p w14:paraId="329B05CC" w14:textId="2B2D5E59" w:rsidR="00272890" w:rsidRPr="00F50C9D" w:rsidRDefault="00D60636" w:rsidP="00272890">
      <w:pPr>
        <w:pStyle w:val="PZTextodstavce"/>
        <w:spacing w:before="240"/>
        <w:rPr>
          <w:szCs w:val="24"/>
        </w:rPr>
      </w:pPr>
      <w:r>
        <w:rPr>
          <w:szCs w:val="24"/>
        </w:rPr>
        <w:t xml:space="preserve">(1) </w:t>
      </w:r>
      <w:r w:rsidR="00272890" w:rsidRPr="00F50C9D">
        <w:rPr>
          <w:szCs w:val="24"/>
        </w:rPr>
        <w:t>Investiční zprostředkovatel se dopustí přestupku tím, že</w:t>
      </w:r>
    </w:p>
    <w:p w14:paraId="003A3CE1" w14:textId="77777777" w:rsidR="00272890" w:rsidRPr="00F50C9D" w:rsidRDefault="00272890" w:rsidP="00D60636">
      <w:pPr>
        <w:pStyle w:val="PZTextpsmene"/>
        <w:spacing w:before="0"/>
        <w:rPr>
          <w:szCs w:val="24"/>
        </w:rPr>
      </w:pPr>
      <w:r w:rsidRPr="00F50C9D">
        <w:rPr>
          <w:szCs w:val="24"/>
        </w:rPr>
        <w:t>a)</w:t>
      </w:r>
      <w:r w:rsidRPr="00F50C9D">
        <w:rPr>
          <w:szCs w:val="24"/>
        </w:rPr>
        <w:tab/>
        <w:t>nesplní některou z povinností týkající se vedoucího orgánu podle § 32 odst. 1 a § 10 odst. 3 nebo § 10a odst. 1,</w:t>
      </w:r>
    </w:p>
    <w:p w14:paraId="553E2814" w14:textId="77777777" w:rsidR="00272890" w:rsidRPr="00F50C9D" w:rsidRDefault="00272890" w:rsidP="00D60636">
      <w:pPr>
        <w:pStyle w:val="PZTextpsmene"/>
        <w:spacing w:before="0"/>
        <w:rPr>
          <w:szCs w:val="24"/>
        </w:rPr>
      </w:pPr>
      <w:r w:rsidRPr="00F50C9D">
        <w:rPr>
          <w:szCs w:val="24"/>
        </w:rPr>
        <w:t>b)</w:t>
      </w:r>
      <w:r w:rsidRPr="00F50C9D">
        <w:rPr>
          <w:szCs w:val="24"/>
        </w:rPr>
        <w:tab/>
        <w:t>v rozporu s § 32 odst. 2 a § 12 nezajistí zavedení odpovídajícího systému správy a řízení,</w:t>
      </w:r>
    </w:p>
    <w:p w14:paraId="4C9464C7" w14:textId="77777777" w:rsidR="00272890" w:rsidRPr="00F50C9D" w:rsidRDefault="00272890" w:rsidP="00D60636">
      <w:pPr>
        <w:pStyle w:val="PZTextpsmene"/>
        <w:spacing w:before="0"/>
        <w:rPr>
          <w:szCs w:val="24"/>
        </w:rPr>
      </w:pPr>
      <w:r w:rsidRPr="00F50C9D">
        <w:rPr>
          <w:szCs w:val="24"/>
        </w:rPr>
        <w:t>c)</w:t>
      </w:r>
      <w:r w:rsidRPr="00F50C9D">
        <w:rPr>
          <w:szCs w:val="24"/>
        </w:rPr>
        <w:tab/>
        <w:t>v rozporu s § 32 odst. 2 a § 12a nesplní některou z povinností týkající se organizačních požadavků,</w:t>
      </w:r>
    </w:p>
    <w:p w14:paraId="73EB0287" w14:textId="77777777" w:rsidR="00272890" w:rsidRPr="00F50C9D" w:rsidRDefault="00272890" w:rsidP="00D60636">
      <w:pPr>
        <w:pStyle w:val="PZTextpsmene"/>
        <w:spacing w:before="0"/>
        <w:rPr>
          <w:szCs w:val="24"/>
        </w:rPr>
      </w:pPr>
      <w:r w:rsidRPr="00F50C9D">
        <w:rPr>
          <w:szCs w:val="24"/>
        </w:rPr>
        <w:t>d)</w:t>
      </w:r>
      <w:r w:rsidRPr="00F50C9D">
        <w:rPr>
          <w:szCs w:val="24"/>
        </w:rPr>
        <w:tab/>
        <w:t>není pojištěn podle § 31,</w:t>
      </w:r>
    </w:p>
    <w:p w14:paraId="19CCE5E3" w14:textId="77777777" w:rsidR="00272890" w:rsidRPr="00F50C9D" w:rsidRDefault="00272890" w:rsidP="00D60636">
      <w:pPr>
        <w:pStyle w:val="PZTextpsmene"/>
        <w:spacing w:before="0"/>
        <w:rPr>
          <w:szCs w:val="24"/>
        </w:rPr>
      </w:pPr>
      <w:r w:rsidRPr="00F50C9D">
        <w:rPr>
          <w:szCs w:val="24"/>
        </w:rPr>
        <w:t>e)</w:t>
      </w:r>
      <w:r w:rsidRPr="00F50C9D">
        <w:rPr>
          <w:szCs w:val="24"/>
        </w:rPr>
        <w:tab/>
        <w:t>nezavede postupy podle § 32 odst. 3 a § 12bb,</w:t>
      </w:r>
    </w:p>
    <w:p w14:paraId="649BFE38" w14:textId="77777777" w:rsidR="00272890" w:rsidRPr="00F50C9D" w:rsidRDefault="00272890" w:rsidP="00D60636">
      <w:pPr>
        <w:pStyle w:val="PZTextpsmene"/>
        <w:spacing w:before="0"/>
        <w:rPr>
          <w:szCs w:val="24"/>
        </w:rPr>
      </w:pPr>
      <w:r w:rsidRPr="00F50C9D">
        <w:rPr>
          <w:szCs w:val="24"/>
        </w:rPr>
        <w:t>f)</w:t>
      </w:r>
      <w:r w:rsidRPr="00F50C9D">
        <w:rPr>
          <w:szCs w:val="24"/>
        </w:rPr>
        <w:tab/>
        <w:t>nevede evidenci přijatých a předaných pokynů nebo evidenci smluv podle § 32 odst. 4 a § 13,</w:t>
      </w:r>
    </w:p>
    <w:p w14:paraId="4F74927E" w14:textId="77777777" w:rsidR="00272890" w:rsidRPr="00F50C9D" w:rsidRDefault="00272890" w:rsidP="00D60636">
      <w:pPr>
        <w:pStyle w:val="PZTextpsmene"/>
        <w:spacing w:before="0"/>
        <w:rPr>
          <w:szCs w:val="24"/>
        </w:rPr>
      </w:pPr>
      <w:r w:rsidRPr="00F50C9D">
        <w:rPr>
          <w:szCs w:val="24"/>
        </w:rPr>
        <w:t>g)</w:t>
      </w:r>
      <w:r w:rsidRPr="00F50C9D">
        <w:rPr>
          <w:szCs w:val="24"/>
        </w:rPr>
        <w:tab/>
        <w:t>v rozporu s § 32 odst. 5 a § 14a odst. 1 je při své činnosti zastoupen jinou osobou,</w:t>
      </w:r>
    </w:p>
    <w:p w14:paraId="4624D80B" w14:textId="77777777" w:rsidR="00272890" w:rsidRPr="00F50C9D" w:rsidRDefault="00272890" w:rsidP="00D60636">
      <w:pPr>
        <w:pStyle w:val="PZTextpsmene"/>
        <w:spacing w:before="0"/>
        <w:rPr>
          <w:szCs w:val="24"/>
        </w:rPr>
      </w:pPr>
      <w:r w:rsidRPr="00F50C9D">
        <w:rPr>
          <w:szCs w:val="24"/>
        </w:rPr>
        <w:t>h)</w:t>
      </w:r>
      <w:r w:rsidRPr="00F50C9D">
        <w:rPr>
          <w:szCs w:val="24"/>
        </w:rPr>
        <w:tab/>
        <w:t>v rozporu s § 32 odst. 5 a § 14a odst. 2 provozuje svoji činnost prostřednictvím osob, které nesplňují podmínky odborné způsobilosti nebo důvěryhodnosti,</w:t>
      </w:r>
    </w:p>
    <w:p w14:paraId="0E8109E5" w14:textId="77777777" w:rsidR="00272890" w:rsidRPr="00F50C9D" w:rsidRDefault="00272890" w:rsidP="00D60636">
      <w:pPr>
        <w:pStyle w:val="PZTextpsmene"/>
        <w:spacing w:before="0"/>
        <w:rPr>
          <w:szCs w:val="24"/>
        </w:rPr>
      </w:pPr>
      <w:r w:rsidRPr="00F50C9D">
        <w:rPr>
          <w:szCs w:val="24"/>
        </w:rPr>
        <w:t>i)</w:t>
      </w:r>
      <w:r w:rsidRPr="00F50C9D">
        <w:rPr>
          <w:szCs w:val="24"/>
        </w:rPr>
        <w:tab/>
        <w:t xml:space="preserve">neposkytuje investiční služby s odbornou péčí podle § 32 odst. 6 a § 15 odst. 1, </w:t>
      </w:r>
    </w:p>
    <w:p w14:paraId="07655F40" w14:textId="77777777" w:rsidR="00272890" w:rsidRPr="00F50C9D" w:rsidRDefault="00272890" w:rsidP="00D60636">
      <w:pPr>
        <w:pStyle w:val="PZTextpsmene"/>
        <w:spacing w:before="0"/>
        <w:rPr>
          <w:szCs w:val="24"/>
        </w:rPr>
      </w:pPr>
      <w:r w:rsidRPr="00F50C9D">
        <w:rPr>
          <w:szCs w:val="24"/>
        </w:rPr>
        <w:t>j)</w:t>
      </w:r>
      <w:r w:rsidRPr="00F50C9D">
        <w:rPr>
          <w:szCs w:val="24"/>
        </w:rPr>
        <w:tab/>
        <w:t>neuchová dokumenty nebo záznamy podle § 32 odst. 4 a § 17 odst. 1 nebo 6, nebo</w:t>
      </w:r>
    </w:p>
    <w:p w14:paraId="5703D18C" w14:textId="77777777" w:rsidR="00272890" w:rsidRPr="00F50C9D" w:rsidRDefault="00272890" w:rsidP="00D60636">
      <w:pPr>
        <w:pStyle w:val="PZTextpsmene"/>
        <w:spacing w:before="0"/>
        <w:rPr>
          <w:szCs w:val="24"/>
        </w:rPr>
      </w:pPr>
      <w:r w:rsidRPr="00F50C9D">
        <w:rPr>
          <w:szCs w:val="24"/>
        </w:rPr>
        <w:t>k)</w:t>
      </w:r>
      <w:r w:rsidRPr="00F50C9D">
        <w:rPr>
          <w:szCs w:val="24"/>
        </w:rPr>
        <w:tab/>
        <w:t>jako zastoupený nesplní některou z povinností podle § 32k písm. a), b), d), f) nebo g).</w:t>
      </w:r>
    </w:p>
    <w:p w14:paraId="488AC3A5" w14:textId="68301864" w:rsidR="00272890" w:rsidRPr="00F50C9D" w:rsidRDefault="00D60636" w:rsidP="00D60636">
      <w:pPr>
        <w:pStyle w:val="PZTextodstavce"/>
        <w:spacing w:before="240"/>
        <w:rPr>
          <w:szCs w:val="24"/>
        </w:rPr>
      </w:pPr>
      <w:r>
        <w:rPr>
          <w:szCs w:val="24"/>
        </w:rPr>
        <w:t xml:space="preserve">(2) </w:t>
      </w:r>
      <w:r w:rsidR="00272890" w:rsidRPr="00F50C9D">
        <w:rPr>
          <w:szCs w:val="24"/>
        </w:rPr>
        <w:t xml:space="preserve">Investiční zprostředkovatel se dále dopustí přestupku tím, že </w:t>
      </w:r>
    </w:p>
    <w:p w14:paraId="0E807E57" w14:textId="77777777" w:rsidR="00272890" w:rsidRPr="00F50C9D" w:rsidRDefault="00272890" w:rsidP="00D60636">
      <w:pPr>
        <w:pStyle w:val="PZTextpsmene"/>
        <w:spacing w:before="0"/>
        <w:rPr>
          <w:szCs w:val="24"/>
        </w:rPr>
      </w:pPr>
      <w:r w:rsidRPr="00F50C9D">
        <w:rPr>
          <w:szCs w:val="24"/>
        </w:rPr>
        <w:t>a)</w:t>
      </w:r>
      <w:r w:rsidRPr="00F50C9D">
        <w:rPr>
          <w:szCs w:val="24"/>
        </w:rPr>
        <w:tab/>
        <w:t xml:space="preserve">nesplní informační povinnost podle </w:t>
      </w:r>
      <w:hyperlink r:id="rId102" w:history="1">
        <w:r w:rsidRPr="00F50C9D">
          <w:rPr>
            <w:szCs w:val="24"/>
          </w:rPr>
          <w:t>§ 30 odst. 5</w:t>
        </w:r>
      </w:hyperlink>
      <w:r w:rsidRPr="00F50C9D">
        <w:rPr>
          <w:szCs w:val="24"/>
        </w:rPr>
        <w:t xml:space="preserve">, </w:t>
      </w:r>
    </w:p>
    <w:p w14:paraId="727B8A92" w14:textId="77777777" w:rsidR="00272890" w:rsidRPr="00F50C9D" w:rsidRDefault="00272890" w:rsidP="00D60636">
      <w:pPr>
        <w:pStyle w:val="PZTextpsmene"/>
        <w:spacing w:before="0"/>
        <w:rPr>
          <w:szCs w:val="24"/>
        </w:rPr>
      </w:pPr>
      <w:r w:rsidRPr="00F50C9D">
        <w:rPr>
          <w:szCs w:val="24"/>
        </w:rPr>
        <w:t>b)</w:t>
      </w:r>
      <w:r w:rsidRPr="00F50C9D">
        <w:rPr>
          <w:szCs w:val="24"/>
        </w:rPr>
        <w:tab/>
        <w:t xml:space="preserve">při poskytování hlavních investičních služeb je zastoupen v rozporu s </w:t>
      </w:r>
      <w:hyperlink r:id="rId103" w:history="1">
        <w:r w:rsidRPr="00F50C9D">
          <w:rPr>
            <w:szCs w:val="24"/>
          </w:rPr>
          <w:t>§ 30c</w:t>
        </w:r>
      </w:hyperlink>
      <w:r w:rsidRPr="00F50C9D">
        <w:rPr>
          <w:szCs w:val="24"/>
        </w:rPr>
        <w:t xml:space="preserve">, </w:t>
      </w:r>
    </w:p>
    <w:p w14:paraId="0880015F" w14:textId="77777777" w:rsidR="00272890" w:rsidRPr="00F50C9D" w:rsidRDefault="00272890" w:rsidP="00D60636">
      <w:pPr>
        <w:pStyle w:val="PZTextpsmene"/>
        <w:spacing w:before="0"/>
        <w:rPr>
          <w:szCs w:val="24"/>
        </w:rPr>
      </w:pPr>
      <w:r w:rsidRPr="00F50C9D">
        <w:rPr>
          <w:szCs w:val="24"/>
        </w:rPr>
        <w:t>c)</w:t>
      </w:r>
      <w:r w:rsidRPr="00F50C9D">
        <w:rPr>
          <w:szCs w:val="24"/>
        </w:rPr>
        <w:tab/>
        <w:t xml:space="preserve">jako zastoupený nevypoví smluvní závazek podle </w:t>
      </w:r>
      <w:hyperlink r:id="rId104" w:history="1">
        <w:r w:rsidRPr="00F50C9D">
          <w:rPr>
            <w:szCs w:val="24"/>
          </w:rPr>
          <w:t>§ 32b odst. 1</w:t>
        </w:r>
      </w:hyperlink>
      <w:r w:rsidRPr="00F50C9D">
        <w:rPr>
          <w:szCs w:val="24"/>
        </w:rPr>
        <w:t xml:space="preserve">, nebo </w:t>
      </w:r>
    </w:p>
    <w:p w14:paraId="31C15694" w14:textId="77777777" w:rsidR="00272890" w:rsidRPr="00F50C9D" w:rsidRDefault="00272890" w:rsidP="00D60636">
      <w:pPr>
        <w:pStyle w:val="PZTextpsmene"/>
        <w:spacing w:before="0"/>
        <w:rPr>
          <w:szCs w:val="24"/>
        </w:rPr>
      </w:pPr>
      <w:r w:rsidRPr="00F50C9D">
        <w:rPr>
          <w:szCs w:val="24"/>
        </w:rPr>
        <w:t>d)</w:t>
      </w:r>
      <w:r w:rsidRPr="00F50C9D">
        <w:rPr>
          <w:szCs w:val="24"/>
        </w:rPr>
        <w:tab/>
        <w:t xml:space="preserve">jako zastoupený nesplní některou z povinností podle </w:t>
      </w:r>
      <w:hyperlink r:id="rId105" w:history="1">
        <w:r w:rsidRPr="00F50C9D">
          <w:rPr>
            <w:szCs w:val="24"/>
          </w:rPr>
          <w:t>§ 32k písm. c)</w:t>
        </w:r>
      </w:hyperlink>
      <w:r w:rsidRPr="00F50C9D">
        <w:rPr>
          <w:szCs w:val="24"/>
        </w:rPr>
        <w:t xml:space="preserve"> nebo </w:t>
      </w:r>
      <w:hyperlink r:id="rId106" w:history="1">
        <w:r w:rsidRPr="00F50C9D">
          <w:rPr>
            <w:szCs w:val="24"/>
          </w:rPr>
          <w:t>e)</w:t>
        </w:r>
      </w:hyperlink>
      <w:r w:rsidRPr="00F50C9D">
        <w:rPr>
          <w:szCs w:val="24"/>
        </w:rPr>
        <w:t xml:space="preserve">. </w:t>
      </w:r>
    </w:p>
    <w:p w14:paraId="61234707" w14:textId="3A347D10" w:rsidR="00272890" w:rsidRPr="00F50C9D" w:rsidRDefault="00D60636" w:rsidP="00272890">
      <w:pPr>
        <w:pStyle w:val="PZTextodstavce"/>
        <w:spacing w:before="240"/>
        <w:rPr>
          <w:szCs w:val="24"/>
        </w:rPr>
      </w:pPr>
      <w:r>
        <w:rPr>
          <w:szCs w:val="24"/>
        </w:rPr>
        <w:t xml:space="preserve">(3) </w:t>
      </w:r>
      <w:r w:rsidR="00272890" w:rsidRPr="00F50C9D">
        <w:rPr>
          <w:szCs w:val="24"/>
        </w:rPr>
        <w:t xml:space="preserve">Za přestupek podle odstavce 1 lze uložit pokutu do </w:t>
      </w:r>
    </w:p>
    <w:p w14:paraId="2168BA87" w14:textId="77777777" w:rsidR="00272890" w:rsidRPr="00F50C9D" w:rsidRDefault="00272890" w:rsidP="00D60636">
      <w:pPr>
        <w:pStyle w:val="PZTextpsmene"/>
        <w:spacing w:before="0"/>
        <w:rPr>
          <w:szCs w:val="24"/>
        </w:rPr>
      </w:pPr>
      <w:r w:rsidRPr="00F50C9D">
        <w:rPr>
          <w:szCs w:val="24"/>
        </w:rPr>
        <w:t>a)</w:t>
      </w:r>
      <w:r w:rsidRPr="00F50C9D">
        <w:rPr>
          <w:szCs w:val="24"/>
        </w:rPr>
        <w:tab/>
        <w:t xml:space="preserve">150 000 000 Kč, </w:t>
      </w:r>
    </w:p>
    <w:p w14:paraId="49C87E7F" w14:textId="77777777" w:rsidR="00272890" w:rsidRPr="00F50C9D" w:rsidRDefault="00272890" w:rsidP="00D60636">
      <w:pPr>
        <w:pStyle w:val="PZTextpsmene"/>
        <w:spacing w:before="0"/>
        <w:rPr>
          <w:szCs w:val="24"/>
        </w:rPr>
      </w:pPr>
      <w:r w:rsidRPr="00F50C9D">
        <w:rPr>
          <w:szCs w:val="24"/>
        </w:rPr>
        <w:t>b)</w:t>
      </w:r>
      <w:r w:rsidRPr="00F50C9D">
        <w:rPr>
          <w:szCs w:val="24"/>
        </w:rPr>
        <w:tab/>
        <w:t xml:space="preserve">výše 10 % celkového ročního obratu investičního zprostředkovatele podle </w:t>
      </w:r>
      <w:r w:rsidRPr="00D33224">
        <w:rPr>
          <w:strike/>
          <w:szCs w:val="24"/>
        </w:rPr>
        <w:t>jeho poslední řádné účetní závěrky nebo konsolidované účetní závěrky</w:t>
      </w:r>
      <w:r w:rsidRPr="00F50C9D">
        <w:rPr>
          <w:b/>
          <w:szCs w:val="24"/>
        </w:rPr>
        <w:t xml:space="preserve"> </w:t>
      </w:r>
      <w:r w:rsidRPr="00D33224">
        <w:rPr>
          <w:b/>
          <w:szCs w:val="24"/>
        </w:rPr>
        <w:t>poslední řádné konsolidované účetní závěrky</w:t>
      </w:r>
      <w:r>
        <w:rPr>
          <w:szCs w:val="24"/>
        </w:rPr>
        <w:t xml:space="preserve"> </w:t>
      </w:r>
      <w:r w:rsidRPr="00F50C9D">
        <w:rPr>
          <w:b/>
          <w:szCs w:val="24"/>
        </w:rPr>
        <w:t>konsolidačního celku, v němž je zahrnutý,</w:t>
      </w:r>
      <w:r w:rsidRPr="00F50C9D">
        <w:rPr>
          <w:szCs w:val="24"/>
        </w:rPr>
        <w:t xml:space="preserve"> </w:t>
      </w:r>
      <w:r w:rsidRPr="00F50C9D">
        <w:rPr>
          <w:b/>
          <w:szCs w:val="24"/>
        </w:rPr>
        <w:t>nebo řádné individuální účetní závěrky, není-li taková konsolidovaná účetní závěrka</w:t>
      </w:r>
      <w:r w:rsidRPr="00F50C9D">
        <w:rPr>
          <w:szCs w:val="24"/>
        </w:rPr>
        <w:t xml:space="preserve">, nebo </w:t>
      </w:r>
    </w:p>
    <w:p w14:paraId="2BA9A37B" w14:textId="77777777" w:rsidR="00272890" w:rsidRPr="00F50C9D" w:rsidRDefault="00272890" w:rsidP="00D60636">
      <w:pPr>
        <w:pStyle w:val="PZTextpsmene"/>
        <w:spacing w:before="0"/>
        <w:rPr>
          <w:szCs w:val="24"/>
        </w:rPr>
      </w:pPr>
      <w:r w:rsidRPr="00F50C9D">
        <w:rPr>
          <w:szCs w:val="24"/>
        </w:rPr>
        <w:t>c)</w:t>
      </w:r>
      <w:r w:rsidRPr="00F50C9D">
        <w:rPr>
          <w:szCs w:val="24"/>
        </w:rPr>
        <w:tab/>
        <w:t xml:space="preserve">výše dvojnásobku neoprávněného prospěchu, je-li možné výši neoprávněného prospěchu zjistit. </w:t>
      </w:r>
    </w:p>
    <w:p w14:paraId="25F17B41" w14:textId="0530EF4D" w:rsidR="00272890" w:rsidRPr="00F50C9D" w:rsidRDefault="00D60636" w:rsidP="00272890">
      <w:pPr>
        <w:pStyle w:val="PZTextodstavce"/>
        <w:spacing w:before="240"/>
        <w:rPr>
          <w:szCs w:val="24"/>
        </w:rPr>
      </w:pPr>
      <w:r>
        <w:rPr>
          <w:szCs w:val="24"/>
        </w:rPr>
        <w:t xml:space="preserve">(4) </w:t>
      </w:r>
      <w:r w:rsidR="00272890" w:rsidRPr="00F50C9D">
        <w:rPr>
          <w:szCs w:val="24"/>
        </w:rPr>
        <w:t xml:space="preserve">Za přestupek podle odstavce 2 lze uložit pokutu do 10 000 000 Kč. </w:t>
      </w:r>
    </w:p>
    <w:p w14:paraId="3C1230B9" w14:textId="77777777" w:rsidR="00272890" w:rsidRPr="00F50C9D" w:rsidRDefault="00272890" w:rsidP="00D60636">
      <w:pPr>
        <w:widowControl w:val="0"/>
        <w:autoSpaceDE w:val="0"/>
        <w:autoSpaceDN w:val="0"/>
        <w:adjustRightInd w:val="0"/>
        <w:spacing w:after="120"/>
        <w:ind w:firstLine="0"/>
        <w:jc w:val="center"/>
        <w:rPr>
          <w:szCs w:val="24"/>
        </w:rPr>
      </w:pPr>
      <w:r w:rsidRPr="00F50C9D">
        <w:rPr>
          <w:szCs w:val="24"/>
        </w:rPr>
        <w:t xml:space="preserve">§ 168 </w:t>
      </w:r>
    </w:p>
    <w:p w14:paraId="20E40752" w14:textId="77777777" w:rsidR="00272890" w:rsidRPr="00F50C9D" w:rsidRDefault="00272890" w:rsidP="00D60636">
      <w:pPr>
        <w:widowControl w:val="0"/>
        <w:autoSpaceDE w:val="0"/>
        <w:autoSpaceDN w:val="0"/>
        <w:adjustRightInd w:val="0"/>
        <w:spacing w:after="120"/>
        <w:ind w:firstLine="0"/>
        <w:jc w:val="center"/>
        <w:rPr>
          <w:b/>
          <w:bCs/>
          <w:szCs w:val="24"/>
        </w:rPr>
      </w:pPr>
      <w:r w:rsidRPr="00F50C9D">
        <w:rPr>
          <w:b/>
          <w:bCs/>
          <w:szCs w:val="24"/>
        </w:rPr>
        <w:t>Přestupky provozovatele obchodního systému</w:t>
      </w:r>
    </w:p>
    <w:p w14:paraId="66F98DA8" w14:textId="26460967" w:rsidR="00272890" w:rsidRPr="00F50C9D" w:rsidRDefault="00D60636" w:rsidP="00272890">
      <w:pPr>
        <w:pStyle w:val="PZTextodstavce"/>
        <w:spacing w:before="240"/>
        <w:rPr>
          <w:szCs w:val="24"/>
        </w:rPr>
      </w:pPr>
      <w:r>
        <w:rPr>
          <w:szCs w:val="24"/>
        </w:rPr>
        <w:t xml:space="preserve">(1) </w:t>
      </w:r>
      <w:r w:rsidR="00272890" w:rsidRPr="00F50C9D">
        <w:rPr>
          <w:szCs w:val="24"/>
        </w:rPr>
        <w:t xml:space="preserve">Organizátor regulovaného trhu se dopustí přestupku tím, že </w:t>
      </w:r>
    </w:p>
    <w:p w14:paraId="0EBC6111" w14:textId="77777777" w:rsidR="00272890" w:rsidRPr="00F50C9D" w:rsidRDefault="00272890" w:rsidP="00D60636">
      <w:pPr>
        <w:pStyle w:val="PZTextpsmene"/>
        <w:spacing w:before="0"/>
        <w:rPr>
          <w:szCs w:val="24"/>
        </w:rPr>
      </w:pPr>
      <w:r w:rsidRPr="00F50C9D">
        <w:rPr>
          <w:szCs w:val="24"/>
        </w:rPr>
        <w:lastRenderedPageBreak/>
        <w:t>a)</w:t>
      </w:r>
      <w:r w:rsidRPr="00F50C9D">
        <w:rPr>
          <w:szCs w:val="24"/>
        </w:rPr>
        <w:tab/>
        <w:t xml:space="preserve">umožní osobě, která nesplňuje požadavky tohoto zákona na člena vedoucího orgánu organizátora regulovaného trhu, stát se nebo zůstat členem tohoto orgánu, </w:t>
      </w:r>
    </w:p>
    <w:p w14:paraId="6BE48664" w14:textId="77777777" w:rsidR="00272890" w:rsidRPr="00F50C9D" w:rsidRDefault="00272890" w:rsidP="00D60636">
      <w:pPr>
        <w:pStyle w:val="PZTextpsmene"/>
        <w:spacing w:before="0"/>
        <w:rPr>
          <w:szCs w:val="24"/>
        </w:rPr>
      </w:pPr>
      <w:r w:rsidRPr="00F50C9D">
        <w:rPr>
          <w:szCs w:val="24"/>
        </w:rPr>
        <w:t>b)</w:t>
      </w:r>
      <w:r w:rsidRPr="00F50C9D">
        <w:rPr>
          <w:szCs w:val="24"/>
        </w:rPr>
        <w:tab/>
        <w:t xml:space="preserve">nesplní povinnost podle </w:t>
      </w:r>
      <w:hyperlink r:id="rId107" w:history="1">
        <w:r w:rsidRPr="00F50C9D">
          <w:rPr>
            <w:szCs w:val="24"/>
          </w:rPr>
          <w:t>§ 38 odst. 6</w:t>
        </w:r>
      </w:hyperlink>
      <w:r w:rsidRPr="00F50C9D">
        <w:rPr>
          <w:szCs w:val="24"/>
        </w:rPr>
        <w:t xml:space="preserve">, </w:t>
      </w:r>
    </w:p>
    <w:p w14:paraId="39049387" w14:textId="77777777" w:rsidR="00272890" w:rsidRPr="00F50C9D" w:rsidRDefault="00272890" w:rsidP="00D60636">
      <w:pPr>
        <w:pStyle w:val="PZTextpsmene"/>
        <w:spacing w:before="0"/>
        <w:rPr>
          <w:szCs w:val="24"/>
        </w:rPr>
      </w:pPr>
      <w:r w:rsidRPr="00F50C9D">
        <w:rPr>
          <w:szCs w:val="24"/>
        </w:rPr>
        <w:t>c)</w:t>
      </w:r>
      <w:r w:rsidRPr="00F50C9D">
        <w:rPr>
          <w:szCs w:val="24"/>
        </w:rPr>
        <w:tab/>
        <w:t xml:space="preserve">nesplní některou z povinností týkající se vedoucího orgánu podle </w:t>
      </w:r>
      <w:hyperlink r:id="rId108" w:history="1">
        <w:r w:rsidRPr="00F50C9D">
          <w:rPr>
            <w:szCs w:val="24"/>
          </w:rPr>
          <w:t>§ 38 odst. 8</w:t>
        </w:r>
      </w:hyperlink>
      <w:r w:rsidRPr="00F50C9D">
        <w:rPr>
          <w:szCs w:val="24"/>
        </w:rPr>
        <w:t xml:space="preserve"> a </w:t>
      </w:r>
      <w:hyperlink r:id="rId109" w:history="1">
        <w:r w:rsidRPr="00F50C9D">
          <w:rPr>
            <w:szCs w:val="24"/>
          </w:rPr>
          <w:t>§ 10 odst. 3</w:t>
        </w:r>
      </w:hyperlink>
      <w:r w:rsidRPr="00F50C9D">
        <w:rPr>
          <w:szCs w:val="24"/>
        </w:rPr>
        <w:t xml:space="preserve"> nebo </w:t>
      </w:r>
      <w:hyperlink r:id="rId110" w:history="1">
        <w:r w:rsidRPr="00F50C9D">
          <w:rPr>
            <w:szCs w:val="24"/>
          </w:rPr>
          <w:t>§ 10a odst. 1</w:t>
        </w:r>
      </w:hyperlink>
      <w:r w:rsidRPr="00F50C9D">
        <w:rPr>
          <w:szCs w:val="24"/>
        </w:rPr>
        <w:t xml:space="preserve">, </w:t>
      </w:r>
    </w:p>
    <w:p w14:paraId="7F9C7CC7" w14:textId="77777777" w:rsidR="00272890" w:rsidRPr="00F50C9D" w:rsidRDefault="00272890" w:rsidP="00D60636">
      <w:pPr>
        <w:pStyle w:val="PZTextpsmene"/>
        <w:spacing w:before="0"/>
        <w:rPr>
          <w:szCs w:val="24"/>
        </w:rPr>
      </w:pPr>
      <w:r w:rsidRPr="00F50C9D">
        <w:rPr>
          <w:szCs w:val="24"/>
        </w:rPr>
        <w:t>d)</w:t>
      </w:r>
      <w:r w:rsidRPr="00F50C9D">
        <w:rPr>
          <w:szCs w:val="24"/>
        </w:rPr>
        <w:tab/>
        <w:t xml:space="preserve">podnikatelsky vykonává činnost v rozporu s </w:t>
      </w:r>
      <w:hyperlink r:id="rId111" w:history="1">
        <w:r w:rsidRPr="00F50C9D">
          <w:rPr>
            <w:szCs w:val="24"/>
          </w:rPr>
          <w:t>§ 40</w:t>
        </w:r>
      </w:hyperlink>
      <w:r w:rsidRPr="00F50C9D">
        <w:rPr>
          <w:szCs w:val="24"/>
        </w:rPr>
        <w:t xml:space="preserve">, </w:t>
      </w:r>
    </w:p>
    <w:p w14:paraId="316BDD39" w14:textId="77777777" w:rsidR="00272890" w:rsidRPr="00F50C9D" w:rsidRDefault="00272890" w:rsidP="00D60636">
      <w:pPr>
        <w:pStyle w:val="PZTextpsmene"/>
        <w:spacing w:before="0"/>
        <w:rPr>
          <w:szCs w:val="24"/>
        </w:rPr>
      </w:pPr>
      <w:r w:rsidRPr="00F50C9D">
        <w:rPr>
          <w:szCs w:val="24"/>
        </w:rPr>
        <w:t>e)</w:t>
      </w:r>
      <w:r w:rsidRPr="00F50C9D">
        <w:rPr>
          <w:szCs w:val="24"/>
        </w:rPr>
        <w:tab/>
        <w:t xml:space="preserve">neorganizuje regulovaný trh s odbornou péčí podle </w:t>
      </w:r>
      <w:hyperlink r:id="rId112" w:history="1">
        <w:r w:rsidRPr="00F50C9D">
          <w:rPr>
            <w:szCs w:val="24"/>
          </w:rPr>
          <w:t>§ 41 odst. 1</w:t>
        </w:r>
      </w:hyperlink>
      <w:r w:rsidRPr="00F50C9D">
        <w:rPr>
          <w:szCs w:val="24"/>
        </w:rPr>
        <w:t xml:space="preserve">, </w:t>
      </w:r>
    </w:p>
    <w:p w14:paraId="1212A229" w14:textId="77777777" w:rsidR="00272890" w:rsidRPr="00F50C9D" w:rsidRDefault="00272890" w:rsidP="00D60636">
      <w:pPr>
        <w:pStyle w:val="PZTextpsmene"/>
        <w:spacing w:before="0"/>
        <w:rPr>
          <w:szCs w:val="24"/>
        </w:rPr>
      </w:pPr>
      <w:r w:rsidRPr="00F50C9D">
        <w:rPr>
          <w:szCs w:val="24"/>
        </w:rPr>
        <w:t>f)</w:t>
      </w:r>
      <w:r w:rsidRPr="00F50C9D">
        <w:rPr>
          <w:szCs w:val="24"/>
        </w:rPr>
        <w:tab/>
        <w:t>provede pokyn účastníka nebo obchoduje párováním pokynů na vlastní účet v rozporu s </w:t>
      </w:r>
      <w:hyperlink r:id="rId113" w:history="1">
        <w:r w:rsidRPr="00F50C9D">
          <w:rPr>
            <w:szCs w:val="24"/>
          </w:rPr>
          <w:t>§ 41 odst. 3</w:t>
        </w:r>
      </w:hyperlink>
      <w:r w:rsidRPr="00F50C9D">
        <w:rPr>
          <w:szCs w:val="24"/>
        </w:rPr>
        <w:t xml:space="preserve">, </w:t>
      </w:r>
    </w:p>
    <w:p w14:paraId="6FE3B930" w14:textId="77777777" w:rsidR="00272890" w:rsidRPr="00F50C9D" w:rsidRDefault="00272890" w:rsidP="00D60636">
      <w:pPr>
        <w:pStyle w:val="PZTextpsmene"/>
        <w:spacing w:before="0"/>
        <w:rPr>
          <w:szCs w:val="24"/>
        </w:rPr>
      </w:pPr>
      <w:r w:rsidRPr="00F50C9D">
        <w:rPr>
          <w:szCs w:val="24"/>
        </w:rPr>
        <w:t>g)</w:t>
      </w:r>
      <w:r w:rsidRPr="00F50C9D">
        <w:rPr>
          <w:szCs w:val="24"/>
        </w:rPr>
        <w:tab/>
        <w:t xml:space="preserve">nezřídí výbor pro jmenování podle </w:t>
      </w:r>
      <w:hyperlink r:id="rId114" w:history="1">
        <w:r w:rsidRPr="00F50C9D">
          <w:rPr>
            <w:szCs w:val="24"/>
          </w:rPr>
          <w:t>§ 43</w:t>
        </w:r>
      </w:hyperlink>
      <w:r w:rsidRPr="00F50C9D">
        <w:rPr>
          <w:szCs w:val="24"/>
        </w:rPr>
        <w:t xml:space="preserve">, </w:t>
      </w:r>
    </w:p>
    <w:p w14:paraId="0E444C6B" w14:textId="77777777" w:rsidR="00272890" w:rsidRPr="00F50C9D" w:rsidRDefault="00272890" w:rsidP="00D60636">
      <w:pPr>
        <w:pStyle w:val="PZTextpsmene"/>
        <w:spacing w:before="0"/>
        <w:rPr>
          <w:szCs w:val="24"/>
        </w:rPr>
      </w:pPr>
      <w:r w:rsidRPr="00F50C9D">
        <w:rPr>
          <w:szCs w:val="24"/>
        </w:rPr>
        <w:t>h)</w:t>
      </w:r>
      <w:r w:rsidRPr="00F50C9D">
        <w:rPr>
          <w:szCs w:val="24"/>
        </w:rPr>
        <w:tab/>
        <w:t xml:space="preserve">nesplní některou z povinností při nabývání, zvyšování a pozbývání kvalifikované účasti na organizátorovi regulovaného trhu podle </w:t>
      </w:r>
      <w:hyperlink r:id="rId115" w:history="1">
        <w:r w:rsidRPr="00F50C9D">
          <w:rPr>
            <w:szCs w:val="24"/>
          </w:rPr>
          <w:t>§ 47</w:t>
        </w:r>
      </w:hyperlink>
      <w:r w:rsidRPr="00F50C9D">
        <w:rPr>
          <w:szCs w:val="24"/>
        </w:rPr>
        <w:t xml:space="preserve">, </w:t>
      </w:r>
    </w:p>
    <w:p w14:paraId="6D346096" w14:textId="77777777" w:rsidR="00272890" w:rsidRPr="00F50C9D" w:rsidRDefault="00272890" w:rsidP="00D60636">
      <w:pPr>
        <w:pStyle w:val="PZTextpsmene"/>
        <w:spacing w:before="0"/>
        <w:rPr>
          <w:szCs w:val="24"/>
        </w:rPr>
      </w:pPr>
      <w:r w:rsidRPr="00F50C9D">
        <w:rPr>
          <w:szCs w:val="24"/>
        </w:rPr>
        <w:t>i)</w:t>
      </w:r>
      <w:r w:rsidRPr="00F50C9D">
        <w:rPr>
          <w:szCs w:val="24"/>
        </w:rPr>
        <w:tab/>
        <w:t xml:space="preserve">nesplní některý z organizačních požadavků podle </w:t>
      </w:r>
      <w:hyperlink r:id="rId116" w:history="1">
        <w:r w:rsidRPr="00F50C9D">
          <w:rPr>
            <w:szCs w:val="24"/>
          </w:rPr>
          <w:t>§ 48</w:t>
        </w:r>
      </w:hyperlink>
      <w:r w:rsidRPr="00F50C9D">
        <w:rPr>
          <w:szCs w:val="24"/>
        </w:rPr>
        <w:t xml:space="preserve">, </w:t>
      </w:r>
    </w:p>
    <w:p w14:paraId="0D6A51C8" w14:textId="77777777" w:rsidR="00272890" w:rsidRPr="00F50C9D" w:rsidRDefault="00272890" w:rsidP="00D60636">
      <w:pPr>
        <w:pStyle w:val="PZTextpsmene"/>
        <w:spacing w:before="0"/>
        <w:rPr>
          <w:szCs w:val="24"/>
        </w:rPr>
      </w:pPr>
      <w:r w:rsidRPr="00F50C9D">
        <w:rPr>
          <w:szCs w:val="24"/>
        </w:rPr>
        <w:t>j)</w:t>
      </w:r>
      <w:r w:rsidRPr="00F50C9D">
        <w:rPr>
          <w:szCs w:val="24"/>
        </w:rPr>
        <w:tab/>
        <w:t xml:space="preserve">nesplní některou z oznamovacích povinností podle </w:t>
      </w:r>
      <w:hyperlink r:id="rId117" w:history="1">
        <w:r w:rsidRPr="00F50C9D">
          <w:rPr>
            <w:szCs w:val="24"/>
          </w:rPr>
          <w:t>§ 49</w:t>
        </w:r>
      </w:hyperlink>
      <w:r w:rsidRPr="00F50C9D">
        <w:rPr>
          <w:szCs w:val="24"/>
        </w:rPr>
        <w:t xml:space="preserve">, </w:t>
      </w:r>
    </w:p>
    <w:p w14:paraId="42D01FBA" w14:textId="77777777" w:rsidR="00272890" w:rsidRPr="00F50C9D" w:rsidRDefault="00272890" w:rsidP="00D60636">
      <w:pPr>
        <w:pStyle w:val="PZTextpsmene"/>
        <w:spacing w:before="0"/>
        <w:rPr>
          <w:szCs w:val="24"/>
        </w:rPr>
      </w:pPr>
      <w:r w:rsidRPr="00F50C9D">
        <w:rPr>
          <w:szCs w:val="24"/>
        </w:rPr>
        <w:t>k)</w:t>
      </w:r>
      <w:r w:rsidRPr="00F50C9D">
        <w:rPr>
          <w:szCs w:val="24"/>
        </w:rPr>
        <w:tab/>
        <w:t xml:space="preserve">nesplní některou z informačních povinností podle </w:t>
      </w:r>
      <w:hyperlink r:id="rId118" w:history="1">
        <w:r w:rsidRPr="00F50C9D">
          <w:rPr>
            <w:szCs w:val="24"/>
          </w:rPr>
          <w:t>§ 50</w:t>
        </w:r>
      </w:hyperlink>
      <w:r w:rsidRPr="00F50C9D">
        <w:rPr>
          <w:szCs w:val="24"/>
        </w:rPr>
        <w:t xml:space="preserve">, </w:t>
      </w:r>
    </w:p>
    <w:p w14:paraId="455DF3A5" w14:textId="77777777" w:rsidR="00272890" w:rsidRPr="00F50C9D" w:rsidRDefault="00272890" w:rsidP="00D60636">
      <w:pPr>
        <w:pStyle w:val="PZTextpsmene"/>
        <w:spacing w:before="0"/>
        <w:rPr>
          <w:szCs w:val="24"/>
        </w:rPr>
      </w:pPr>
      <w:r w:rsidRPr="00F50C9D">
        <w:rPr>
          <w:szCs w:val="24"/>
        </w:rPr>
        <w:t>l)</w:t>
      </w:r>
      <w:r w:rsidRPr="00F50C9D">
        <w:rPr>
          <w:szCs w:val="24"/>
        </w:rPr>
        <w:tab/>
        <w:t xml:space="preserve">nezajistí, aby jeho systémy splňovaly požadavky podle </w:t>
      </w:r>
      <w:hyperlink r:id="rId119" w:history="1">
        <w:r w:rsidRPr="00F50C9D">
          <w:rPr>
            <w:szCs w:val="24"/>
          </w:rPr>
          <w:t>§ 50a</w:t>
        </w:r>
      </w:hyperlink>
      <w:r w:rsidRPr="00F50C9D">
        <w:rPr>
          <w:szCs w:val="24"/>
        </w:rPr>
        <w:t xml:space="preserve">, </w:t>
      </w:r>
    </w:p>
    <w:p w14:paraId="4058C8F3" w14:textId="77777777" w:rsidR="00272890" w:rsidRPr="00F50C9D" w:rsidRDefault="00272890" w:rsidP="00D60636">
      <w:pPr>
        <w:pStyle w:val="PZTextpsmene"/>
        <w:spacing w:before="0"/>
        <w:rPr>
          <w:szCs w:val="24"/>
        </w:rPr>
      </w:pPr>
      <w:r w:rsidRPr="00F50C9D">
        <w:rPr>
          <w:szCs w:val="24"/>
        </w:rPr>
        <w:t>m)</w:t>
      </w:r>
      <w:r w:rsidRPr="00F50C9D">
        <w:rPr>
          <w:szCs w:val="24"/>
        </w:rPr>
        <w:tab/>
        <w:t xml:space="preserve">nesplní některou ze svých povinností při pozastavení nebo omezení obchodování podle </w:t>
      </w:r>
      <w:hyperlink r:id="rId120" w:history="1">
        <w:r w:rsidRPr="00F50C9D">
          <w:rPr>
            <w:szCs w:val="24"/>
          </w:rPr>
          <w:t>§ 50b</w:t>
        </w:r>
      </w:hyperlink>
      <w:r w:rsidRPr="00F50C9D">
        <w:rPr>
          <w:szCs w:val="24"/>
        </w:rPr>
        <w:t xml:space="preserve">, </w:t>
      </w:r>
    </w:p>
    <w:p w14:paraId="2921DB1C" w14:textId="77777777" w:rsidR="00272890" w:rsidRPr="00F50C9D" w:rsidRDefault="00272890" w:rsidP="00D60636">
      <w:pPr>
        <w:pStyle w:val="PZTextpsmene"/>
        <w:spacing w:before="0"/>
        <w:rPr>
          <w:szCs w:val="24"/>
        </w:rPr>
      </w:pPr>
      <w:r w:rsidRPr="00F50C9D">
        <w:rPr>
          <w:szCs w:val="24"/>
        </w:rPr>
        <w:t>n)</w:t>
      </w:r>
      <w:r w:rsidRPr="00F50C9D">
        <w:rPr>
          <w:szCs w:val="24"/>
        </w:rPr>
        <w:tab/>
        <w:t xml:space="preserve">nesplní při algoritmickém obchodování některou z povinností podle </w:t>
      </w:r>
      <w:hyperlink r:id="rId121" w:history="1">
        <w:r w:rsidRPr="00F50C9D">
          <w:rPr>
            <w:szCs w:val="24"/>
          </w:rPr>
          <w:t>§ 50c</w:t>
        </w:r>
      </w:hyperlink>
      <w:r w:rsidRPr="00F50C9D">
        <w:rPr>
          <w:szCs w:val="24"/>
        </w:rPr>
        <w:t xml:space="preserve">, </w:t>
      </w:r>
    </w:p>
    <w:p w14:paraId="12DF89EE" w14:textId="77777777" w:rsidR="00272890" w:rsidRPr="00F50C9D" w:rsidRDefault="00272890" w:rsidP="00D60636">
      <w:pPr>
        <w:pStyle w:val="PZTextpsmene"/>
        <w:spacing w:before="0"/>
        <w:rPr>
          <w:szCs w:val="24"/>
        </w:rPr>
      </w:pPr>
      <w:r w:rsidRPr="00F50C9D">
        <w:rPr>
          <w:szCs w:val="24"/>
        </w:rPr>
        <w:t>o)</w:t>
      </w:r>
      <w:r w:rsidRPr="00F50C9D">
        <w:rPr>
          <w:szCs w:val="24"/>
        </w:rPr>
        <w:tab/>
        <w:t xml:space="preserve">nesplní některou z povinností při poskytování přímého elektronického přístupu podle </w:t>
      </w:r>
      <w:hyperlink r:id="rId122" w:history="1">
        <w:r w:rsidRPr="00F50C9D">
          <w:rPr>
            <w:szCs w:val="24"/>
          </w:rPr>
          <w:t>§ 50d</w:t>
        </w:r>
      </w:hyperlink>
      <w:r w:rsidRPr="00F50C9D">
        <w:rPr>
          <w:szCs w:val="24"/>
        </w:rPr>
        <w:t xml:space="preserve">, </w:t>
      </w:r>
    </w:p>
    <w:p w14:paraId="24BB3140" w14:textId="77777777" w:rsidR="00272890" w:rsidRPr="00F50C9D" w:rsidRDefault="00272890" w:rsidP="00D60636">
      <w:pPr>
        <w:pStyle w:val="PZTextpsmene"/>
        <w:spacing w:before="0"/>
        <w:rPr>
          <w:szCs w:val="24"/>
        </w:rPr>
      </w:pPr>
      <w:r w:rsidRPr="00F50C9D">
        <w:rPr>
          <w:szCs w:val="24"/>
        </w:rPr>
        <w:t>p)</w:t>
      </w:r>
      <w:r w:rsidRPr="00F50C9D">
        <w:rPr>
          <w:szCs w:val="24"/>
        </w:rPr>
        <w:tab/>
        <w:t xml:space="preserve">nezajistí, aby úplaty jím stanovené splňovaly požadavky podle </w:t>
      </w:r>
      <w:hyperlink r:id="rId123" w:history="1">
        <w:r w:rsidRPr="00F50C9D">
          <w:rPr>
            <w:szCs w:val="24"/>
          </w:rPr>
          <w:t>§ 50e</w:t>
        </w:r>
      </w:hyperlink>
      <w:r w:rsidRPr="00F50C9D">
        <w:rPr>
          <w:szCs w:val="24"/>
        </w:rPr>
        <w:t xml:space="preserve">, </w:t>
      </w:r>
    </w:p>
    <w:p w14:paraId="3C5D2A29" w14:textId="77777777" w:rsidR="00272890" w:rsidRPr="00F50C9D" w:rsidRDefault="00272890" w:rsidP="00D60636">
      <w:pPr>
        <w:pStyle w:val="PZTextpsmene"/>
        <w:spacing w:before="0"/>
        <w:rPr>
          <w:szCs w:val="24"/>
        </w:rPr>
      </w:pPr>
      <w:r w:rsidRPr="00F50C9D">
        <w:rPr>
          <w:szCs w:val="24"/>
        </w:rPr>
        <w:t>q)</w:t>
      </w:r>
      <w:r w:rsidRPr="00F50C9D">
        <w:rPr>
          <w:szCs w:val="24"/>
        </w:rPr>
        <w:tab/>
        <w:t xml:space="preserve">nesplní některou z povinností při kotaci podle </w:t>
      </w:r>
      <w:hyperlink r:id="rId124" w:history="1">
        <w:r w:rsidRPr="00F50C9D">
          <w:rPr>
            <w:szCs w:val="24"/>
          </w:rPr>
          <w:t>§ 50f</w:t>
        </w:r>
      </w:hyperlink>
      <w:r w:rsidRPr="00F50C9D">
        <w:rPr>
          <w:szCs w:val="24"/>
        </w:rPr>
        <w:t xml:space="preserve">, </w:t>
      </w:r>
    </w:p>
    <w:p w14:paraId="5D272C6D" w14:textId="77777777" w:rsidR="00272890" w:rsidRPr="00F50C9D" w:rsidRDefault="00272890" w:rsidP="00D60636">
      <w:pPr>
        <w:pStyle w:val="PZTextpsmene"/>
        <w:spacing w:before="0"/>
        <w:rPr>
          <w:szCs w:val="24"/>
        </w:rPr>
      </w:pPr>
      <w:r w:rsidRPr="00F50C9D">
        <w:rPr>
          <w:szCs w:val="24"/>
        </w:rPr>
        <w:t>r)</w:t>
      </w:r>
      <w:r w:rsidRPr="00F50C9D">
        <w:rPr>
          <w:szCs w:val="24"/>
        </w:rPr>
        <w:tab/>
        <w:t xml:space="preserve">nezavede, neudržuje nebo neuplatňuje postupy podle </w:t>
      </w:r>
      <w:hyperlink r:id="rId125" w:history="1">
        <w:r w:rsidRPr="00F50C9D">
          <w:rPr>
            <w:szCs w:val="24"/>
          </w:rPr>
          <w:t>§ 50g odst. 2</w:t>
        </w:r>
      </w:hyperlink>
      <w:r w:rsidRPr="00F50C9D">
        <w:rPr>
          <w:szCs w:val="24"/>
        </w:rPr>
        <w:t xml:space="preserve">, </w:t>
      </w:r>
    </w:p>
    <w:p w14:paraId="42E04104" w14:textId="77777777" w:rsidR="00272890" w:rsidRPr="00F50C9D" w:rsidRDefault="00272890" w:rsidP="00D60636">
      <w:pPr>
        <w:pStyle w:val="PZTextpsmene"/>
        <w:spacing w:before="0"/>
        <w:rPr>
          <w:szCs w:val="24"/>
        </w:rPr>
      </w:pPr>
      <w:r w:rsidRPr="00F50C9D">
        <w:rPr>
          <w:szCs w:val="24"/>
        </w:rPr>
        <w:t>s)</w:t>
      </w:r>
      <w:r w:rsidRPr="00F50C9D">
        <w:rPr>
          <w:szCs w:val="24"/>
        </w:rPr>
        <w:tab/>
        <w:t xml:space="preserve">neumožní účastníkům regulovaného trhu zvolit jiný vypořádací systém podle </w:t>
      </w:r>
      <w:hyperlink r:id="rId126" w:history="1">
        <w:r w:rsidRPr="00F50C9D">
          <w:rPr>
            <w:szCs w:val="24"/>
          </w:rPr>
          <w:t>§ 51 odst. 1</w:t>
        </w:r>
      </w:hyperlink>
      <w:r w:rsidRPr="00F50C9D">
        <w:rPr>
          <w:szCs w:val="24"/>
        </w:rPr>
        <w:t xml:space="preserve">, </w:t>
      </w:r>
    </w:p>
    <w:p w14:paraId="302B141D" w14:textId="77777777" w:rsidR="00272890" w:rsidRPr="00F50C9D" w:rsidRDefault="00272890" w:rsidP="00D60636">
      <w:pPr>
        <w:pStyle w:val="PZTextpsmene"/>
        <w:spacing w:before="0"/>
        <w:rPr>
          <w:szCs w:val="24"/>
        </w:rPr>
      </w:pPr>
      <w:r w:rsidRPr="00F50C9D">
        <w:rPr>
          <w:szCs w:val="24"/>
        </w:rPr>
        <w:t>t)</w:t>
      </w:r>
      <w:r w:rsidRPr="00F50C9D">
        <w:rPr>
          <w:szCs w:val="24"/>
        </w:rPr>
        <w:tab/>
        <w:t xml:space="preserve">poruší omezení nebo zákaz České národní banky podle </w:t>
      </w:r>
      <w:hyperlink r:id="rId127" w:history="1">
        <w:r w:rsidRPr="00F50C9D">
          <w:rPr>
            <w:szCs w:val="24"/>
          </w:rPr>
          <w:t>§ 52</w:t>
        </w:r>
      </w:hyperlink>
      <w:r w:rsidRPr="00F50C9D">
        <w:rPr>
          <w:szCs w:val="24"/>
        </w:rPr>
        <w:t xml:space="preserve">, </w:t>
      </w:r>
    </w:p>
    <w:p w14:paraId="7FAF7852" w14:textId="77777777" w:rsidR="00272890" w:rsidRPr="00F50C9D" w:rsidRDefault="00272890" w:rsidP="00D60636">
      <w:pPr>
        <w:pStyle w:val="PZTextpsmene"/>
        <w:spacing w:before="0"/>
        <w:rPr>
          <w:szCs w:val="24"/>
        </w:rPr>
      </w:pPr>
      <w:r w:rsidRPr="00F50C9D">
        <w:rPr>
          <w:szCs w:val="24"/>
        </w:rPr>
        <w:t>u)</w:t>
      </w:r>
      <w:r w:rsidRPr="00F50C9D">
        <w:rPr>
          <w:szCs w:val="24"/>
        </w:rPr>
        <w:tab/>
        <w:t xml:space="preserve">přijme k obchodování na regulovaný trh investiční nástroj v rozporu s </w:t>
      </w:r>
      <w:hyperlink r:id="rId128" w:history="1">
        <w:r w:rsidRPr="00F50C9D">
          <w:rPr>
            <w:szCs w:val="24"/>
          </w:rPr>
          <w:t>§ 56</w:t>
        </w:r>
      </w:hyperlink>
      <w:r w:rsidRPr="00F50C9D">
        <w:rPr>
          <w:szCs w:val="24"/>
        </w:rPr>
        <w:t xml:space="preserve"> nebo </w:t>
      </w:r>
      <w:hyperlink r:id="rId129" w:history="1">
        <w:r w:rsidRPr="00F50C9D">
          <w:rPr>
            <w:szCs w:val="24"/>
          </w:rPr>
          <w:t>57</w:t>
        </w:r>
      </w:hyperlink>
      <w:r w:rsidRPr="00F50C9D">
        <w:rPr>
          <w:szCs w:val="24"/>
        </w:rPr>
        <w:t xml:space="preserve">, </w:t>
      </w:r>
    </w:p>
    <w:p w14:paraId="09A7CF30" w14:textId="77777777" w:rsidR="00272890" w:rsidRPr="00F50C9D" w:rsidRDefault="00272890" w:rsidP="00D60636">
      <w:pPr>
        <w:pStyle w:val="PZTextpsmene"/>
        <w:spacing w:before="0"/>
        <w:rPr>
          <w:szCs w:val="24"/>
        </w:rPr>
      </w:pPr>
      <w:r w:rsidRPr="00F50C9D">
        <w:rPr>
          <w:szCs w:val="24"/>
        </w:rPr>
        <w:t>v)</w:t>
      </w:r>
      <w:r w:rsidRPr="00F50C9D">
        <w:rPr>
          <w:szCs w:val="24"/>
        </w:rPr>
        <w:tab/>
        <w:t xml:space="preserve">nesplní některou z povinností při pozastavení nebo obnovení obchodování s investičním nástrojem nebo při vyloučení investičního nástroje z obchodování na regulovaném trhu podle </w:t>
      </w:r>
      <w:hyperlink r:id="rId130" w:history="1">
        <w:r w:rsidRPr="00F50C9D">
          <w:rPr>
            <w:szCs w:val="24"/>
          </w:rPr>
          <w:t>§ 61</w:t>
        </w:r>
      </w:hyperlink>
      <w:r w:rsidRPr="00F50C9D">
        <w:rPr>
          <w:szCs w:val="24"/>
        </w:rPr>
        <w:t xml:space="preserve">, </w:t>
      </w:r>
    </w:p>
    <w:p w14:paraId="05C41F69" w14:textId="77777777" w:rsidR="00272890" w:rsidRPr="00F50C9D" w:rsidRDefault="00272890" w:rsidP="00D60636">
      <w:pPr>
        <w:pStyle w:val="PZTextpsmene"/>
        <w:spacing w:before="0"/>
        <w:rPr>
          <w:szCs w:val="24"/>
        </w:rPr>
      </w:pPr>
      <w:r w:rsidRPr="00F50C9D">
        <w:rPr>
          <w:szCs w:val="24"/>
        </w:rPr>
        <w:t>w)</w:t>
      </w:r>
      <w:r w:rsidRPr="00F50C9D">
        <w:rPr>
          <w:szCs w:val="24"/>
        </w:rPr>
        <w:tab/>
        <w:t xml:space="preserve">nestanoví nebo nedodržuje pravidla obchodování na regulovaném trhu nebo pravidla pro uzavírání obchodů s investičními nástroji na regulovaném trhu podle </w:t>
      </w:r>
      <w:hyperlink r:id="rId131" w:history="1">
        <w:r w:rsidRPr="00F50C9D">
          <w:rPr>
            <w:szCs w:val="24"/>
          </w:rPr>
          <w:t>§ 62</w:t>
        </w:r>
      </w:hyperlink>
      <w:r w:rsidRPr="00F50C9D">
        <w:rPr>
          <w:szCs w:val="24"/>
        </w:rPr>
        <w:t xml:space="preserve">, </w:t>
      </w:r>
    </w:p>
    <w:p w14:paraId="4FF5B0BF" w14:textId="77777777" w:rsidR="00272890" w:rsidRPr="00F50C9D" w:rsidRDefault="00272890" w:rsidP="00D60636">
      <w:pPr>
        <w:pStyle w:val="PZTextpsmene"/>
        <w:spacing w:before="0"/>
        <w:rPr>
          <w:szCs w:val="24"/>
        </w:rPr>
      </w:pPr>
      <w:r w:rsidRPr="00F50C9D">
        <w:rPr>
          <w:szCs w:val="24"/>
        </w:rPr>
        <w:t>x)</w:t>
      </w:r>
      <w:r w:rsidRPr="00F50C9D">
        <w:rPr>
          <w:szCs w:val="24"/>
        </w:rPr>
        <w:tab/>
        <w:t xml:space="preserve">nestanoví nebo nedodržuje pravidla přístupu na regulovaný trh podle </w:t>
      </w:r>
      <w:hyperlink r:id="rId132" w:history="1">
        <w:r w:rsidRPr="00F50C9D">
          <w:rPr>
            <w:szCs w:val="24"/>
          </w:rPr>
          <w:t>§ 63</w:t>
        </w:r>
      </w:hyperlink>
      <w:r w:rsidRPr="00F50C9D">
        <w:rPr>
          <w:szCs w:val="24"/>
        </w:rPr>
        <w:t xml:space="preserve">, </w:t>
      </w:r>
    </w:p>
    <w:p w14:paraId="1F8A72AB" w14:textId="77777777" w:rsidR="00272890" w:rsidRPr="00F50C9D" w:rsidRDefault="00272890" w:rsidP="00D60636">
      <w:pPr>
        <w:pStyle w:val="PZTextpsmene"/>
        <w:spacing w:before="0"/>
        <w:rPr>
          <w:szCs w:val="24"/>
        </w:rPr>
      </w:pPr>
      <w:r w:rsidRPr="00F50C9D">
        <w:rPr>
          <w:szCs w:val="24"/>
        </w:rPr>
        <w:t>y)</w:t>
      </w:r>
      <w:r w:rsidRPr="00F50C9D">
        <w:rPr>
          <w:szCs w:val="24"/>
        </w:rPr>
        <w:tab/>
        <w:t xml:space="preserve">nesplní některou z oznamovacích povinností podle </w:t>
      </w:r>
      <w:hyperlink r:id="rId133" w:history="1">
        <w:r w:rsidRPr="00F50C9D">
          <w:rPr>
            <w:szCs w:val="24"/>
          </w:rPr>
          <w:t>§ 63</w:t>
        </w:r>
      </w:hyperlink>
      <w:r w:rsidRPr="00F50C9D">
        <w:rPr>
          <w:szCs w:val="24"/>
        </w:rPr>
        <w:t xml:space="preserve">, </w:t>
      </w:r>
    </w:p>
    <w:p w14:paraId="1D5DD773" w14:textId="77777777" w:rsidR="00272890" w:rsidRPr="00F50C9D" w:rsidRDefault="00272890" w:rsidP="00D60636">
      <w:pPr>
        <w:pStyle w:val="PZTextpsmene"/>
        <w:spacing w:before="0"/>
        <w:rPr>
          <w:szCs w:val="24"/>
        </w:rPr>
      </w:pPr>
      <w:r w:rsidRPr="00F50C9D">
        <w:rPr>
          <w:szCs w:val="24"/>
        </w:rPr>
        <w:t>z)</w:t>
      </w:r>
      <w:r w:rsidRPr="00F50C9D">
        <w:rPr>
          <w:szCs w:val="24"/>
        </w:rPr>
        <w:tab/>
        <w:t xml:space="preserve">nezajistí synchronizaci obchodních hodin podle </w:t>
      </w:r>
      <w:hyperlink r:id="rId134" w:history="1">
        <w:r w:rsidRPr="00F50C9D">
          <w:rPr>
            <w:szCs w:val="24"/>
          </w:rPr>
          <w:t>§ 73j</w:t>
        </w:r>
      </w:hyperlink>
      <w:r w:rsidRPr="00F50C9D">
        <w:rPr>
          <w:szCs w:val="24"/>
        </w:rPr>
        <w:t xml:space="preserve">, </w:t>
      </w:r>
    </w:p>
    <w:p w14:paraId="341F1BA3" w14:textId="77777777" w:rsidR="00272890" w:rsidRPr="00F50C9D" w:rsidRDefault="00272890" w:rsidP="00D60636">
      <w:pPr>
        <w:pStyle w:val="PZTextpsmene"/>
        <w:spacing w:before="0"/>
        <w:rPr>
          <w:szCs w:val="24"/>
        </w:rPr>
      </w:pPr>
      <w:r w:rsidRPr="00F50C9D">
        <w:rPr>
          <w:szCs w:val="24"/>
        </w:rPr>
        <w:t>za)</w:t>
      </w:r>
      <w:r w:rsidRPr="00F50C9D">
        <w:rPr>
          <w:szCs w:val="24"/>
        </w:rPr>
        <w:tab/>
        <w:t xml:space="preserve">jako osoba podle </w:t>
      </w:r>
      <w:hyperlink r:id="rId135" w:history="1">
        <w:r w:rsidRPr="00F50C9D">
          <w:rPr>
            <w:szCs w:val="24"/>
          </w:rPr>
          <w:t>§ 127 odst. 1</w:t>
        </w:r>
      </w:hyperlink>
      <w:r w:rsidRPr="00F50C9D">
        <w:rPr>
          <w:szCs w:val="24"/>
        </w:rPr>
        <w:t xml:space="preserve"> nesplní některou z povinností týkající se povinně uveřejňované informace podle </w:t>
      </w:r>
      <w:hyperlink r:id="rId136" w:history="1">
        <w:r w:rsidRPr="00F50C9D">
          <w:rPr>
            <w:szCs w:val="24"/>
          </w:rPr>
          <w:t>§ 127 odst. 2</w:t>
        </w:r>
      </w:hyperlink>
      <w:r w:rsidRPr="00F50C9D">
        <w:rPr>
          <w:szCs w:val="24"/>
        </w:rPr>
        <w:t xml:space="preserve">, </w:t>
      </w:r>
    </w:p>
    <w:p w14:paraId="28741349" w14:textId="77777777" w:rsidR="00272890" w:rsidRPr="00F50C9D" w:rsidRDefault="00272890" w:rsidP="00D60636">
      <w:pPr>
        <w:pStyle w:val="PZTextpsmene"/>
        <w:spacing w:before="0"/>
        <w:rPr>
          <w:szCs w:val="24"/>
        </w:rPr>
      </w:pPr>
      <w:proofErr w:type="spellStart"/>
      <w:r w:rsidRPr="00F50C9D">
        <w:rPr>
          <w:szCs w:val="24"/>
        </w:rPr>
        <w:t>zb</w:t>
      </w:r>
      <w:proofErr w:type="spellEnd"/>
      <w:r w:rsidRPr="00F50C9D">
        <w:rPr>
          <w:szCs w:val="24"/>
        </w:rPr>
        <w:t>)</w:t>
      </w:r>
      <w:r w:rsidRPr="00F50C9D">
        <w:rPr>
          <w:szCs w:val="24"/>
        </w:rPr>
        <w:tab/>
        <w:t xml:space="preserve">v rozporu s </w:t>
      </w:r>
      <w:hyperlink r:id="rId137" w:history="1">
        <w:r w:rsidRPr="00F50C9D">
          <w:rPr>
            <w:szCs w:val="24"/>
          </w:rPr>
          <w:t>§ 134c</w:t>
        </w:r>
      </w:hyperlink>
      <w:r w:rsidRPr="00F50C9D">
        <w:rPr>
          <w:szCs w:val="24"/>
        </w:rPr>
        <w:t xml:space="preserve"> neuplatňuje některý z limitů stanovených podle </w:t>
      </w:r>
      <w:hyperlink r:id="rId138" w:history="1">
        <w:r w:rsidRPr="00F50C9D">
          <w:rPr>
            <w:szCs w:val="24"/>
          </w:rPr>
          <w:t>§ 134a odst. 1</w:t>
        </w:r>
      </w:hyperlink>
      <w:r w:rsidRPr="00F50C9D">
        <w:rPr>
          <w:szCs w:val="24"/>
        </w:rPr>
        <w:t xml:space="preserve"> nebo </w:t>
      </w:r>
      <w:hyperlink r:id="rId139" w:history="1">
        <w:r w:rsidRPr="00F50C9D">
          <w:rPr>
            <w:szCs w:val="24"/>
          </w:rPr>
          <w:t>§ 134b odst. 1</w:t>
        </w:r>
      </w:hyperlink>
      <w:r w:rsidRPr="00F50C9D">
        <w:rPr>
          <w:szCs w:val="24"/>
        </w:rPr>
        <w:t xml:space="preserve">, nebo  </w:t>
      </w:r>
    </w:p>
    <w:p w14:paraId="08148D8C" w14:textId="77777777" w:rsidR="00272890" w:rsidRPr="00F50C9D" w:rsidRDefault="00272890" w:rsidP="00D60636">
      <w:pPr>
        <w:pStyle w:val="PZTextpsmene"/>
        <w:spacing w:before="0"/>
        <w:rPr>
          <w:szCs w:val="24"/>
        </w:rPr>
      </w:pPr>
      <w:proofErr w:type="spellStart"/>
      <w:r w:rsidRPr="00F50C9D">
        <w:rPr>
          <w:szCs w:val="24"/>
        </w:rPr>
        <w:t>zc</w:t>
      </w:r>
      <w:proofErr w:type="spellEnd"/>
      <w:r w:rsidRPr="00F50C9D">
        <w:rPr>
          <w:szCs w:val="24"/>
        </w:rPr>
        <w:t>)</w:t>
      </w:r>
      <w:r w:rsidRPr="00F50C9D">
        <w:rPr>
          <w:szCs w:val="24"/>
        </w:rPr>
        <w:tab/>
        <w:t xml:space="preserve">nesplní některou z informačních povinností podle </w:t>
      </w:r>
      <w:hyperlink r:id="rId140" w:history="1">
        <w:r w:rsidRPr="00F50C9D">
          <w:rPr>
            <w:szCs w:val="24"/>
          </w:rPr>
          <w:t>§ 134c odst. 3</w:t>
        </w:r>
      </w:hyperlink>
      <w:r w:rsidRPr="00F50C9D">
        <w:rPr>
          <w:szCs w:val="24"/>
        </w:rPr>
        <w:t xml:space="preserve"> nebo </w:t>
      </w:r>
      <w:hyperlink r:id="rId141" w:history="1">
        <w:r w:rsidRPr="00F50C9D">
          <w:rPr>
            <w:szCs w:val="24"/>
          </w:rPr>
          <w:t>§ 134e</w:t>
        </w:r>
      </w:hyperlink>
      <w:r w:rsidRPr="00F50C9D">
        <w:rPr>
          <w:szCs w:val="24"/>
        </w:rPr>
        <w:t xml:space="preserve">. </w:t>
      </w:r>
    </w:p>
    <w:p w14:paraId="1786E5EA" w14:textId="79B06661" w:rsidR="00272890" w:rsidRPr="00F50C9D" w:rsidRDefault="00D60636" w:rsidP="00272890">
      <w:pPr>
        <w:pStyle w:val="PZTextodstavce"/>
        <w:spacing w:before="240"/>
        <w:rPr>
          <w:szCs w:val="24"/>
        </w:rPr>
      </w:pPr>
      <w:r>
        <w:rPr>
          <w:szCs w:val="24"/>
        </w:rPr>
        <w:t xml:space="preserve">(2) </w:t>
      </w:r>
      <w:r w:rsidR="00272890" w:rsidRPr="00F50C9D">
        <w:rPr>
          <w:szCs w:val="24"/>
        </w:rPr>
        <w:t xml:space="preserve">Provozovatel mnohostranného obchodního systému se dopustí přestupku tím, že </w:t>
      </w:r>
    </w:p>
    <w:p w14:paraId="2D2F025F" w14:textId="77777777" w:rsidR="00272890" w:rsidRPr="00F50C9D" w:rsidRDefault="00272890" w:rsidP="00D60636">
      <w:pPr>
        <w:pStyle w:val="PZTextpsmene"/>
        <w:spacing w:before="0"/>
        <w:rPr>
          <w:szCs w:val="24"/>
        </w:rPr>
      </w:pPr>
      <w:r w:rsidRPr="00F50C9D">
        <w:rPr>
          <w:szCs w:val="24"/>
        </w:rPr>
        <w:t>a)</w:t>
      </w:r>
      <w:r w:rsidRPr="00F50C9D">
        <w:rPr>
          <w:szCs w:val="24"/>
        </w:rPr>
        <w:tab/>
        <w:t xml:space="preserve">nezavede, neudržuje nebo neuplatňuje pravidla opatření nebo postupy podle </w:t>
      </w:r>
      <w:hyperlink r:id="rId142" w:history="1">
        <w:r w:rsidRPr="00F50C9D">
          <w:rPr>
            <w:szCs w:val="24"/>
          </w:rPr>
          <w:t>§ 69 odst. 2</w:t>
        </w:r>
      </w:hyperlink>
      <w:r w:rsidRPr="00F50C9D">
        <w:rPr>
          <w:szCs w:val="24"/>
        </w:rPr>
        <w:t xml:space="preserve">, </w:t>
      </w:r>
    </w:p>
    <w:p w14:paraId="7F7AD179" w14:textId="77777777" w:rsidR="00272890" w:rsidRPr="00F50C9D" w:rsidRDefault="00272890" w:rsidP="00D60636">
      <w:pPr>
        <w:pStyle w:val="PZTextpsmene"/>
        <w:spacing w:before="0"/>
        <w:rPr>
          <w:szCs w:val="24"/>
        </w:rPr>
      </w:pPr>
      <w:r w:rsidRPr="00F50C9D">
        <w:rPr>
          <w:szCs w:val="24"/>
        </w:rPr>
        <w:t>b)</w:t>
      </w:r>
      <w:r w:rsidRPr="00F50C9D">
        <w:rPr>
          <w:szCs w:val="24"/>
        </w:rPr>
        <w:tab/>
        <w:t xml:space="preserve">nemá k dispozici dostatečné finanční zdroje podle </w:t>
      </w:r>
      <w:hyperlink r:id="rId143" w:history="1">
        <w:r w:rsidRPr="00F50C9D">
          <w:rPr>
            <w:szCs w:val="24"/>
          </w:rPr>
          <w:t>§ 69 odst. 3</w:t>
        </w:r>
      </w:hyperlink>
      <w:r w:rsidRPr="00F50C9D">
        <w:rPr>
          <w:szCs w:val="24"/>
        </w:rPr>
        <w:t xml:space="preserve">, </w:t>
      </w:r>
    </w:p>
    <w:p w14:paraId="25C2FC6E" w14:textId="77777777" w:rsidR="00272890" w:rsidRPr="00F50C9D" w:rsidRDefault="00272890" w:rsidP="00D60636">
      <w:pPr>
        <w:pStyle w:val="PZTextpsmene"/>
        <w:spacing w:before="0"/>
        <w:rPr>
          <w:szCs w:val="24"/>
        </w:rPr>
      </w:pPr>
      <w:r w:rsidRPr="00F50C9D">
        <w:rPr>
          <w:szCs w:val="24"/>
        </w:rPr>
        <w:t>c)</w:t>
      </w:r>
      <w:r w:rsidRPr="00F50C9D">
        <w:rPr>
          <w:szCs w:val="24"/>
        </w:rPr>
        <w:tab/>
        <w:t xml:space="preserve">jeho systém nemá alespoň 3 aktivní účastníky podle </w:t>
      </w:r>
      <w:hyperlink r:id="rId144" w:history="1">
        <w:r w:rsidRPr="00F50C9D">
          <w:rPr>
            <w:szCs w:val="24"/>
          </w:rPr>
          <w:t>§ 69 odst. 4</w:t>
        </w:r>
      </w:hyperlink>
      <w:r w:rsidRPr="00F50C9D">
        <w:rPr>
          <w:szCs w:val="24"/>
        </w:rPr>
        <w:t xml:space="preserve">, </w:t>
      </w:r>
    </w:p>
    <w:p w14:paraId="445AC9F9" w14:textId="77777777" w:rsidR="00272890" w:rsidRPr="00F50C9D" w:rsidRDefault="00272890" w:rsidP="00D60636">
      <w:pPr>
        <w:pStyle w:val="PZTextpsmene"/>
        <w:spacing w:before="0"/>
        <w:rPr>
          <w:szCs w:val="24"/>
        </w:rPr>
      </w:pPr>
      <w:r w:rsidRPr="00F50C9D">
        <w:rPr>
          <w:szCs w:val="24"/>
        </w:rPr>
        <w:t>d)</w:t>
      </w:r>
      <w:r w:rsidRPr="00F50C9D">
        <w:rPr>
          <w:szCs w:val="24"/>
        </w:rPr>
        <w:tab/>
        <w:t xml:space="preserve">nezajistí účastníkům přístup k údajům podle </w:t>
      </w:r>
      <w:hyperlink r:id="rId145" w:history="1">
        <w:r w:rsidRPr="00F50C9D">
          <w:rPr>
            <w:szCs w:val="24"/>
          </w:rPr>
          <w:t>§ 69 odst. 5</w:t>
        </w:r>
      </w:hyperlink>
      <w:r w:rsidRPr="00F50C9D">
        <w:rPr>
          <w:szCs w:val="24"/>
        </w:rPr>
        <w:t xml:space="preserve">, </w:t>
      </w:r>
    </w:p>
    <w:p w14:paraId="6A033045" w14:textId="77777777" w:rsidR="00272890" w:rsidRPr="00F50C9D" w:rsidRDefault="00272890" w:rsidP="00D60636">
      <w:pPr>
        <w:pStyle w:val="PZTextpsmene"/>
        <w:spacing w:before="0"/>
        <w:rPr>
          <w:szCs w:val="24"/>
        </w:rPr>
      </w:pPr>
      <w:r w:rsidRPr="00F50C9D">
        <w:rPr>
          <w:szCs w:val="24"/>
        </w:rPr>
        <w:t>e)</w:t>
      </w:r>
      <w:r w:rsidRPr="00F50C9D">
        <w:rPr>
          <w:szCs w:val="24"/>
        </w:rPr>
        <w:tab/>
        <w:t xml:space="preserve">nesplní informační povinnost podle </w:t>
      </w:r>
      <w:hyperlink r:id="rId146" w:history="1">
        <w:r w:rsidRPr="00F50C9D">
          <w:rPr>
            <w:szCs w:val="24"/>
          </w:rPr>
          <w:t>§ 69 odst. 10</w:t>
        </w:r>
      </w:hyperlink>
      <w:r w:rsidRPr="00F50C9D">
        <w:rPr>
          <w:szCs w:val="24"/>
        </w:rPr>
        <w:t xml:space="preserve">, </w:t>
      </w:r>
    </w:p>
    <w:p w14:paraId="175FA69A" w14:textId="77777777" w:rsidR="00272890" w:rsidRPr="00F50C9D" w:rsidRDefault="00272890" w:rsidP="00D60636">
      <w:pPr>
        <w:pStyle w:val="PZTextpsmene"/>
        <w:spacing w:before="0"/>
        <w:rPr>
          <w:szCs w:val="24"/>
        </w:rPr>
      </w:pPr>
      <w:r w:rsidRPr="00F50C9D">
        <w:rPr>
          <w:szCs w:val="24"/>
        </w:rPr>
        <w:t>f)</w:t>
      </w:r>
      <w:r w:rsidRPr="00F50C9D">
        <w:rPr>
          <w:szCs w:val="24"/>
        </w:rPr>
        <w:tab/>
        <w:t xml:space="preserve">nepřijme nezbytná opatření k vypořádání obchodů nebo neinformuje účastníky podle </w:t>
      </w:r>
      <w:hyperlink r:id="rId147" w:history="1">
        <w:r w:rsidRPr="00F50C9D">
          <w:rPr>
            <w:szCs w:val="24"/>
          </w:rPr>
          <w:t>§ 70 odst. 1</w:t>
        </w:r>
      </w:hyperlink>
      <w:r w:rsidRPr="00F50C9D">
        <w:rPr>
          <w:szCs w:val="24"/>
        </w:rPr>
        <w:t xml:space="preserve">, </w:t>
      </w:r>
    </w:p>
    <w:p w14:paraId="4B872C20" w14:textId="77777777" w:rsidR="00272890" w:rsidRPr="00F50C9D" w:rsidRDefault="00272890" w:rsidP="00D60636">
      <w:pPr>
        <w:pStyle w:val="PZTextpsmene"/>
        <w:spacing w:before="0"/>
        <w:rPr>
          <w:szCs w:val="24"/>
        </w:rPr>
      </w:pPr>
      <w:r w:rsidRPr="00F50C9D">
        <w:rPr>
          <w:szCs w:val="24"/>
        </w:rPr>
        <w:lastRenderedPageBreak/>
        <w:t>g)</w:t>
      </w:r>
      <w:r w:rsidRPr="00F50C9D">
        <w:rPr>
          <w:szCs w:val="24"/>
        </w:rPr>
        <w:tab/>
        <w:t xml:space="preserve">poruší omezení nebo zákaz České národní banky podle </w:t>
      </w:r>
      <w:hyperlink r:id="rId148" w:history="1">
        <w:r w:rsidRPr="00F50C9D">
          <w:rPr>
            <w:szCs w:val="24"/>
          </w:rPr>
          <w:t>§ 70 odst. 2</w:t>
        </w:r>
      </w:hyperlink>
      <w:r w:rsidRPr="00F50C9D">
        <w:rPr>
          <w:szCs w:val="24"/>
        </w:rPr>
        <w:t xml:space="preserve">, </w:t>
      </w:r>
    </w:p>
    <w:p w14:paraId="1BB49AB9" w14:textId="77777777" w:rsidR="00272890" w:rsidRPr="00F50C9D" w:rsidRDefault="00272890" w:rsidP="00D60636">
      <w:pPr>
        <w:pStyle w:val="PZTextpsmene"/>
        <w:spacing w:before="0"/>
        <w:rPr>
          <w:szCs w:val="24"/>
        </w:rPr>
      </w:pPr>
      <w:r w:rsidRPr="00F50C9D">
        <w:rPr>
          <w:szCs w:val="24"/>
        </w:rPr>
        <w:t>h)</w:t>
      </w:r>
      <w:r w:rsidRPr="00F50C9D">
        <w:rPr>
          <w:szCs w:val="24"/>
        </w:rPr>
        <w:tab/>
        <w:t xml:space="preserve">nesleduje nebo nevyhodnocuje obchody podle </w:t>
      </w:r>
      <w:hyperlink r:id="rId149" w:history="1">
        <w:r w:rsidRPr="00F50C9D">
          <w:rPr>
            <w:szCs w:val="24"/>
          </w:rPr>
          <w:t>§ 71 odst. 2</w:t>
        </w:r>
      </w:hyperlink>
      <w:r w:rsidRPr="00F50C9D">
        <w:rPr>
          <w:szCs w:val="24"/>
        </w:rPr>
        <w:t xml:space="preserve">, </w:t>
      </w:r>
    </w:p>
    <w:p w14:paraId="7AA06F8A" w14:textId="77777777" w:rsidR="00272890" w:rsidRPr="00F50C9D" w:rsidRDefault="00272890" w:rsidP="00D60636">
      <w:pPr>
        <w:pStyle w:val="PZTextpsmene"/>
        <w:spacing w:before="0"/>
        <w:rPr>
          <w:szCs w:val="24"/>
        </w:rPr>
      </w:pPr>
      <w:r w:rsidRPr="00F50C9D">
        <w:rPr>
          <w:szCs w:val="24"/>
        </w:rPr>
        <w:t>i)</w:t>
      </w:r>
      <w:r w:rsidRPr="00F50C9D">
        <w:rPr>
          <w:szCs w:val="24"/>
        </w:rPr>
        <w:tab/>
        <w:t xml:space="preserve">nesplní oznamovací povinnost podle </w:t>
      </w:r>
      <w:hyperlink r:id="rId150" w:history="1">
        <w:r w:rsidRPr="00F50C9D">
          <w:rPr>
            <w:szCs w:val="24"/>
          </w:rPr>
          <w:t>§ 71 odst. 3</w:t>
        </w:r>
      </w:hyperlink>
      <w:r w:rsidRPr="00F50C9D">
        <w:rPr>
          <w:szCs w:val="24"/>
        </w:rPr>
        <w:t xml:space="preserve">, </w:t>
      </w:r>
    </w:p>
    <w:p w14:paraId="77E3F425" w14:textId="77777777" w:rsidR="00272890" w:rsidRPr="00F50C9D" w:rsidRDefault="00272890" w:rsidP="00D60636">
      <w:pPr>
        <w:pStyle w:val="PZTextpsmene"/>
        <w:spacing w:before="0"/>
        <w:rPr>
          <w:szCs w:val="24"/>
        </w:rPr>
      </w:pPr>
      <w:r w:rsidRPr="00F50C9D">
        <w:rPr>
          <w:szCs w:val="24"/>
        </w:rPr>
        <w:t>j)</w:t>
      </w:r>
      <w:r w:rsidRPr="00F50C9D">
        <w:rPr>
          <w:szCs w:val="24"/>
        </w:rPr>
        <w:tab/>
        <w:t xml:space="preserve">nesplní informační povinnost podle </w:t>
      </w:r>
      <w:hyperlink r:id="rId151" w:history="1">
        <w:r w:rsidRPr="00F50C9D">
          <w:rPr>
            <w:szCs w:val="24"/>
          </w:rPr>
          <w:t>§ 71 odst. 4</w:t>
        </w:r>
      </w:hyperlink>
      <w:r w:rsidRPr="00F50C9D">
        <w:rPr>
          <w:szCs w:val="24"/>
        </w:rPr>
        <w:t xml:space="preserve">, </w:t>
      </w:r>
    </w:p>
    <w:p w14:paraId="7F1A28BF" w14:textId="77777777" w:rsidR="00272890" w:rsidRPr="00F50C9D" w:rsidRDefault="00272890" w:rsidP="00D60636">
      <w:pPr>
        <w:pStyle w:val="PZTextpsmene"/>
        <w:spacing w:before="0"/>
        <w:rPr>
          <w:szCs w:val="24"/>
        </w:rPr>
      </w:pPr>
      <w:r w:rsidRPr="00F50C9D">
        <w:rPr>
          <w:szCs w:val="24"/>
        </w:rPr>
        <w:t>k)</w:t>
      </w:r>
      <w:r w:rsidRPr="00F50C9D">
        <w:rPr>
          <w:szCs w:val="24"/>
        </w:rPr>
        <w:tab/>
        <w:t>provede pokyn účastníka nebo obchoduje párováním pokynů na vlastní účet v rozporu s </w:t>
      </w:r>
      <w:hyperlink r:id="rId152" w:history="1">
        <w:r w:rsidRPr="00F50C9D">
          <w:rPr>
            <w:szCs w:val="24"/>
          </w:rPr>
          <w:t>§ 72</w:t>
        </w:r>
      </w:hyperlink>
      <w:r w:rsidRPr="00F50C9D">
        <w:rPr>
          <w:szCs w:val="24"/>
        </w:rPr>
        <w:t xml:space="preserve">, </w:t>
      </w:r>
    </w:p>
    <w:p w14:paraId="299A2A96" w14:textId="77777777" w:rsidR="00272890" w:rsidRPr="00F50C9D" w:rsidRDefault="00272890" w:rsidP="00D60636">
      <w:pPr>
        <w:pStyle w:val="PZTextpsmene"/>
        <w:spacing w:before="0"/>
        <w:rPr>
          <w:szCs w:val="24"/>
        </w:rPr>
      </w:pPr>
      <w:r w:rsidRPr="00F50C9D">
        <w:rPr>
          <w:szCs w:val="24"/>
        </w:rPr>
        <w:t>l)</w:t>
      </w:r>
      <w:r w:rsidRPr="00F50C9D">
        <w:rPr>
          <w:szCs w:val="24"/>
        </w:rPr>
        <w:tab/>
        <w:t xml:space="preserve">nezajistí, aby jeho systémy splňovaly požadavky podle </w:t>
      </w:r>
      <w:hyperlink r:id="rId153" w:history="1">
        <w:r w:rsidRPr="00F50C9D">
          <w:rPr>
            <w:szCs w:val="24"/>
          </w:rPr>
          <w:t>§ 73 odst. 2</w:t>
        </w:r>
      </w:hyperlink>
      <w:r w:rsidRPr="00F50C9D">
        <w:rPr>
          <w:szCs w:val="24"/>
        </w:rPr>
        <w:t xml:space="preserve"> a </w:t>
      </w:r>
      <w:hyperlink r:id="rId154" w:history="1">
        <w:r w:rsidRPr="00F50C9D">
          <w:rPr>
            <w:szCs w:val="24"/>
          </w:rPr>
          <w:t>§ 50a</w:t>
        </w:r>
      </w:hyperlink>
      <w:r w:rsidRPr="00F50C9D">
        <w:rPr>
          <w:szCs w:val="24"/>
        </w:rPr>
        <w:t xml:space="preserve">, </w:t>
      </w:r>
    </w:p>
    <w:p w14:paraId="1A60986F" w14:textId="77777777" w:rsidR="00272890" w:rsidRPr="00F50C9D" w:rsidRDefault="00272890" w:rsidP="00D60636">
      <w:pPr>
        <w:pStyle w:val="PZTextpsmene"/>
        <w:spacing w:before="0"/>
        <w:rPr>
          <w:szCs w:val="24"/>
        </w:rPr>
      </w:pPr>
      <w:r w:rsidRPr="00F50C9D">
        <w:rPr>
          <w:szCs w:val="24"/>
        </w:rPr>
        <w:t>m)</w:t>
      </w:r>
      <w:r w:rsidRPr="00F50C9D">
        <w:rPr>
          <w:szCs w:val="24"/>
        </w:rPr>
        <w:tab/>
        <w:t xml:space="preserve">nesplní některou ze svých povinností při pozastavení nebo omezení obchodování podle </w:t>
      </w:r>
      <w:hyperlink r:id="rId155" w:history="1">
        <w:r w:rsidRPr="00F50C9D">
          <w:rPr>
            <w:szCs w:val="24"/>
          </w:rPr>
          <w:t>§ 73 odst. 2</w:t>
        </w:r>
      </w:hyperlink>
      <w:r w:rsidRPr="00F50C9D">
        <w:rPr>
          <w:szCs w:val="24"/>
        </w:rPr>
        <w:t xml:space="preserve"> a </w:t>
      </w:r>
      <w:hyperlink r:id="rId156" w:history="1">
        <w:r w:rsidRPr="00F50C9D">
          <w:rPr>
            <w:szCs w:val="24"/>
          </w:rPr>
          <w:t>§ 50b</w:t>
        </w:r>
      </w:hyperlink>
      <w:r w:rsidRPr="00F50C9D">
        <w:rPr>
          <w:szCs w:val="24"/>
        </w:rPr>
        <w:t xml:space="preserve">, </w:t>
      </w:r>
    </w:p>
    <w:p w14:paraId="06C488EF" w14:textId="77777777" w:rsidR="00272890" w:rsidRPr="00F50C9D" w:rsidRDefault="00272890" w:rsidP="00D60636">
      <w:pPr>
        <w:pStyle w:val="PZTextpsmene"/>
        <w:spacing w:before="0"/>
        <w:rPr>
          <w:szCs w:val="24"/>
        </w:rPr>
      </w:pPr>
      <w:r w:rsidRPr="00F50C9D">
        <w:rPr>
          <w:szCs w:val="24"/>
        </w:rPr>
        <w:t>n)</w:t>
      </w:r>
      <w:r w:rsidRPr="00F50C9D">
        <w:rPr>
          <w:szCs w:val="24"/>
        </w:rPr>
        <w:tab/>
        <w:t xml:space="preserve">nesplní při algoritmickém obchodování některou z povinností podle </w:t>
      </w:r>
      <w:hyperlink r:id="rId157" w:history="1">
        <w:r w:rsidRPr="00F50C9D">
          <w:rPr>
            <w:szCs w:val="24"/>
          </w:rPr>
          <w:t>§ 73 odst. 2</w:t>
        </w:r>
      </w:hyperlink>
      <w:r w:rsidRPr="00F50C9D">
        <w:rPr>
          <w:szCs w:val="24"/>
        </w:rPr>
        <w:t xml:space="preserve"> a </w:t>
      </w:r>
      <w:hyperlink r:id="rId158" w:history="1">
        <w:r w:rsidRPr="00F50C9D">
          <w:rPr>
            <w:szCs w:val="24"/>
          </w:rPr>
          <w:t>§ 50c</w:t>
        </w:r>
      </w:hyperlink>
      <w:r w:rsidRPr="00F50C9D">
        <w:rPr>
          <w:szCs w:val="24"/>
        </w:rPr>
        <w:t xml:space="preserve">, </w:t>
      </w:r>
    </w:p>
    <w:p w14:paraId="3CC5EB8D" w14:textId="77777777" w:rsidR="00272890" w:rsidRPr="00F50C9D" w:rsidRDefault="00272890" w:rsidP="00D60636">
      <w:pPr>
        <w:pStyle w:val="PZTextpsmene"/>
        <w:spacing w:before="0"/>
        <w:rPr>
          <w:szCs w:val="24"/>
        </w:rPr>
      </w:pPr>
      <w:r w:rsidRPr="00F50C9D">
        <w:rPr>
          <w:szCs w:val="24"/>
        </w:rPr>
        <w:t>o)</w:t>
      </w:r>
      <w:r w:rsidRPr="00F50C9D">
        <w:rPr>
          <w:szCs w:val="24"/>
        </w:rPr>
        <w:tab/>
        <w:t xml:space="preserve">nesplní některou z povinností při poskytování přímého elektronického přístupu podle </w:t>
      </w:r>
      <w:hyperlink r:id="rId159" w:history="1">
        <w:r w:rsidRPr="00F50C9D">
          <w:rPr>
            <w:szCs w:val="24"/>
          </w:rPr>
          <w:t>§ 73 odst. 2</w:t>
        </w:r>
      </w:hyperlink>
      <w:r w:rsidRPr="00F50C9D">
        <w:rPr>
          <w:szCs w:val="24"/>
        </w:rPr>
        <w:t xml:space="preserve"> a </w:t>
      </w:r>
      <w:hyperlink r:id="rId160" w:history="1">
        <w:r w:rsidRPr="00F50C9D">
          <w:rPr>
            <w:szCs w:val="24"/>
          </w:rPr>
          <w:t>§ 50d</w:t>
        </w:r>
      </w:hyperlink>
      <w:r w:rsidRPr="00F50C9D">
        <w:rPr>
          <w:szCs w:val="24"/>
        </w:rPr>
        <w:t xml:space="preserve">, </w:t>
      </w:r>
    </w:p>
    <w:p w14:paraId="0FEA58F1" w14:textId="77777777" w:rsidR="00272890" w:rsidRPr="00F50C9D" w:rsidRDefault="00272890" w:rsidP="00D60636">
      <w:pPr>
        <w:pStyle w:val="PZTextpsmene"/>
        <w:spacing w:before="0"/>
        <w:rPr>
          <w:szCs w:val="24"/>
        </w:rPr>
      </w:pPr>
      <w:r w:rsidRPr="00F50C9D">
        <w:rPr>
          <w:szCs w:val="24"/>
        </w:rPr>
        <w:t>p)</w:t>
      </w:r>
      <w:r w:rsidRPr="00F50C9D">
        <w:rPr>
          <w:szCs w:val="24"/>
        </w:rPr>
        <w:tab/>
        <w:t xml:space="preserve">nezajistí, aby úplaty jím stanovené splňovaly požadavky podle </w:t>
      </w:r>
      <w:hyperlink r:id="rId161" w:history="1">
        <w:r w:rsidRPr="00F50C9D">
          <w:rPr>
            <w:szCs w:val="24"/>
          </w:rPr>
          <w:t>§ 73 odst. 2</w:t>
        </w:r>
      </w:hyperlink>
      <w:r w:rsidRPr="00F50C9D">
        <w:rPr>
          <w:szCs w:val="24"/>
        </w:rPr>
        <w:t xml:space="preserve"> a </w:t>
      </w:r>
      <w:hyperlink r:id="rId162" w:history="1">
        <w:r w:rsidRPr="00F50C9D">
          <w:rPr>
            <w:szCs w:val="24"/>
          </w:rPr>
          <w:t>§ 50e</w:t>
        </w:r>
      </w:hyperlink>
      <w:r w:rsidRPr="00F50C9D">
        <w:rPr>
          <w:szCs w:val="24"/>
        </w:rPr>
        <w:t xml:space="preserve">, </w:t>
      </w:r>
    </w:p>
    <w:p w14:paraId="2C62CB6D" w14:textId="77777777" w:rsidR="00272890" w:rsidRPr="00F50C9D" w:rsidRDefault="00272890" w:rsidP="00D60636">
      <w:pPr>
        <w:pStyle w:val="PZTextpsmene"/>
        <w:spacing w:before="0"/>
        <w:rPr>
          <w:szCs w:val="24"/>
        </w:rPr>
      </w:pPr>
      <w:r w:rsidRPr="00F50C9D">
        <w:rPr>
          <w:szCs w:val="24"/>
        </w:rPr>
        <w:t>q)</w:t>
      </w:r>
      <w:r w:rsidRPr="00F50C9D">
        <w:rPr>
          <w:szCs w:val="24"/>
        </w:rPr>
        <w:tab/>
        <w:t xml:space="preserve">nesplní některou z povinností při kotaci podle </w:t>
      </w:r>
      <w:hyperlink r:id="rId163" w:history="1">
        <w:r w:rsidRPr="00F50C9D">
          <w:rPr>
            <w:szCs w:val="24"/>
          </w:rPr>
          <w:t>§ 73 odst. 2</w:t>
        </w:r>
      </w:hyperlink>
      <w:r w:rsidRPr="00F50C9D">
        <w:rPr>
          <w:szCs w:val="24"/>
        </w:rPr>
        <w:t xml:space="preserve"> a </w:t>
      </w:r>
      <w:hyperlink r:id="rId164" w:history="1">
        <w:r w:rsidRPr="00F50C9D">
          <w:rPr>
            <w:szCs w:val="24"/>
          </w:rPr>
          <w:t>§ 50f</w:t>
        </w:r>
      </w:hyperlink>
      <w:r w:rsidRPr="00F50C9D">
        <w:rPr>
          <w:szCs w:val="24"/>
        </w:rPr>
        <w:t xml:space="preserve">, </w:t>
      </w:r>
    </w:p>
    <w:p w14:paraId="6522DF13" w14:textId="77777777" w:rsidR="00272890" w:rsidRPr="00F50C9D" w:rsidRDefault="00272890" w:rsidP="00D60636">
      <w:pPr>
        <w:pStyle w:val="PZTextpsmene"/>
        <w:spacing w:before="0"/>
        <w:rPr>
          <w:szCs w:val="24"/>
        </w:rPr>
      </w:pPr>
      <w:r w:rsidRPr="00F50C9D">
        <w:rPr>
          <w:szCs w:val="24"/>
        </w:rPr>
        <w:t>r)</w:t>
      </w:r>
      <w:r w:rsidRPr="00F50C9D">
        <w:rPr>
          <w:szCs w:val="24"/>
        </w:rPr>
        <w:tab/>
        <w:t xml:space="preserve">nezavede, neudržuje nebo neuplatňuje postupy podle </w:t>
      </w:r>
      <w:hyperlink r:id="rId165" w:history="1">
        <w:r w:rsidRPr="00F50C9D">
          <w:rPr>
            <w:szCs w:val="24"/>
          </w:rPr>
          <w:t>§ 73 odst. 2</w:t>
        </w:r>
      </w:hyperlink>
      <w:r w:rsidRPr="00F50C9D">
        <w:rPr>
          <w:szCs w:val="24"/>
        </w:rPr>
        <w:t xml:space="preserve"> a </w:t>
      </w:r>
      <w:hyperlink r:id="rId166" w:history="1">
        <w:r w:rsidRPr="00F50C9D">
          <w:rPr>
            <w:szCs w:val="24"/>
          </w:rPr>
          <w:t>§ 50g odst. 2</w:t>
        </w:r>
      </w:hyperlink>
      <w:r w:rsidRPr="00F50C9D">
        <w:rPr>
          <w:szCs w:val="24"/>
        </w:rPr>
        <w:t xml:space="preserve">, </w:t>
      </w:r>
    </w:p>
    <w:p w14:paraId="05D4CAE0" w14:textId="77777777" w:rsidR="00272890" w:rsidRPr="00F50C9D" w:rsidRDefault="00272890" w:rsidP="00D60636">
      <w:pPr>
        <w:pStyle w:val="PZTextpsmene"/>
        <w:spacing w:before="0"/>
        <w:rPr>
          <w:szCs w:val="24"/>
        </w:rPr>
      </w:pPr>
      <w:r w:rsidRPr="00F50C9D">
        <w:rPr>
          <w:szCs w:val="24"/>
        </w:rPr>
        <w:t>s)</w:t>
      </w:r>
      <w:r w:rsidRPr="00F50C9D">
        <w:rPr>
          <w:szCs w:val="24"/>
        </w:rPr>
        <w:tab/>
        <w:t xml:space="preserve">nesplní některou z povinností při pozastavení nebo obnovení obchodování s investičním nástrojem nebo při jeho vyloučení podle </w:t>
      </w:r>
      <w:hyperlink r:id="rId167" w:history="1">
        <w:r w:rsidRPr="00F50C9D">
          <w:rPr>
            <w:szCs w:val="24"/>
          </w:rPr>
          <w:t>§ 73a</w:t>
        </w:r>
      </w:hyperlink>
      <w:r w:rsidRPr="00F50C9D">
        <w:rPr>
          <w:szCs w:val="24"/>
        </w:rPr>
        <w:t xml:space="preserve"> a </w:t>
      </w:r>
      <w:hyperlink r:id="rId168" w:history="1">
        <w:r w:rsidRPr="00F50C9D">
          <w:rPr>
            <w:szCs w:val="24"/>
          </w:rPr>
          <w:t>61</w:t>
        </w:r>
      </w:hyperlink>
      <w:r w:rsidRPr="00F50C9D">
        <w:rPr>
          <w:szCs w:val="24"/>
        </w:rPr>
        <w:t xml:space="preserve">, </w:t>
      </w:r>
    </w:p>
    <w:p w14:paraId="4F77A73A" w14:textId="77777777" w:rsidR="00272890" w:rsidRPr="00F50C9D" w:rsidRDefault="00272890" w:rsidP="00D60636">
      <w:pPr>
        <w:pStyle w:val="PZTextpsmene"/>
        <w:spacing w:before="0"/>
        <w:rPr>
          <w:szCs w:val="24"/>
        </w:rPr>
      </w:pPr>
      <w:r w:rsidRPr="00F50C9D">
        <w:rPr>
          <w:szCs w:val="24"/>
        </w:rPr>
        <w:t>t)</w:t>
      </w:r>
      <w:r w:rsidRPr="00F50C9D">
        <w:rPr>
          <w:szCs w:val="24"/>
        </w:rPr>
        <w:tab/>
        <w:t xml:space="preserve">nezajistí synchronizaci obchodních hodin podle </w:t>
      </w:r>
      <w:hyperlink r:id="rId169" w:history="1">
        <w:r w:rsidRPr="00F50C9D">
          <w:rPr>
            <w:szCs w:val="24"/>
          </w:rPr>
          <w:t>§ 73j</w:t>
        </w:r>
      </w:hyperlink>
      <w:r w:rsidRPr="00F50C9D">
        <w:rPr>
          <w:szCs w:val="24"/>
        </w:rPr>
        <w:t xml:space="preserve">, </w:t>
      </w:r>
    </w:p>
    <w:p w14:paraId="3C572A39" w14:textId="77777777" w:rsidR="00272890" w:rsidRPr="00F50C9D" w:rsidRDefault="00272890" w:rsidP="00D60636">
      <w:pPr>
        <w:pStyle w:val="PZTextpsmene"/>
        <w:spacing w:before="0"/>
        <w:rPr>
          <w:szCs w:val="24"/>
        </w:rPr>
      </w:pPr>
      <w:r w:rsidRPr="00F50C9D">
        <w:rPr>
          <w:szCs w:val="24"/>
        </w:rPr>
        <w:t>u)</w:t>
      </w:r>
      <w:r w:rsidRPr="00F50C9D">
        <w:rPr>
          <w:szCs w:val="24"/>
        </w:rPr>
        <w:tab/>
        <w:t xml:space="preserve">v rozporu s </w:t>
      </w:r>
      <w:hyperlink r:id="rId170" w:history="1">
        <w:r w:rsidRPr="00F50C9D">
          <w:rPr>
            <w:szCs w:val="24"/>
          </w:rPr>
          <w:t>§ 134c</w:t>
        </w:r>
      </w:hyperlink>
      <w:r w:rsidRPr="00F50C9D">
        <w:rPr>
          <w:szCs w:val="24"/>
        </w:rPr>
        <w:t xml:space="preserve"> neuplatňuje některý z limitů stanovených podle </w:t>
      </w:r>
      <w:hyperlink r:id="rId171" w:history="1">
        <w:r w:rsidRPr="00F50C9D">
          <w:rPr>
            <w:szCs w:val="24"/>
          </w:rPr>
          <w:t>§ 134a odst. 1</w:t>
        </w:r>
      </w:hyperlink>
      <w:r w:rsidRPr="00F50C9D">
        <w:rPr>
          <w:szCs w:val="24"/>
        </w:rPr>
        <w:t xml:space="preserve"> nebo </w:t>
      </w:r>
      <w:hyperlink r:id="rId172" w:history="1">
        <w:r w:rsidRPr="00F50C9D">
          <w:rPr>
            <w:szCs w:val="24"/>
          </w:rPr>
          <w:t>§ 134b odst. 1</w:t>
        </w:r>
      </w:hyperlink>
      <w:r w:rsidRPr="00F50C9D">
        <w:rPr>
          <w:szCs w:val="24"/>
        </w:rPr>
        <w:t xml:space="preserve">, nebo </w:t>
      </w:r>
    </w:p>
    <w:p w14:paraId="76FB917D" w14:textId="77777777" w:rsidR="00272890" w:rsidRPr="00F50C9D" w:rsidRDefault="00272890" w:rsidP="00D60636">
      <w:pPr>
        <w:pStyle w:val="PZTextpsmene"/>
        <w:spacing w:before="0"/>
        <w:rPr>
          <w:szCs w:val="24"/>
        </w:rPr>
      </w:pPr>
      <w:r w:rsidRPr="00F50C9D">
        <w:rPr>
          <w:szCs w:val="24"/>
        </w:rPr>
        <w:t>v)</w:t>
      </w:r>
      <w:r w:rsidRPr="00F50C9D">
        <w:rPr>
          <w:szCs w:val="24"/>
        </w:rPr>
        <w:tab/>
        <w:t xml:space="preserve">nesplní některou z informačních povinností podle </w:t>
      </w:r>
      <w:hyperlink r:id="rId173" w:history="1">
        <w:r w:rsidRPr="00F50C9D">
          <w:rPr>
            <w:szCs w:val="24"/>
          </w:rPr>
          <w:t>§ 134c odst. 3</w:t>
        </w:r>
      </w:hyperlink>
      <w:r w:rsidRPr="00F50C9D">
        <w:rPr>
          <w:szCs w:val="24"/>
        </w:rPr>
        <w:t xml:space="preserve"> nebo </w:t>
      </w:r>
      <w:hyperlink r:id="rId174" w:history="1">
        <w:r w:rsidRPr="00F50C9D">
          <w:rPr>
            <w:szCs w:val="24"/>
          </w:rPr>
          <w:t>§ 134e</w:t>
        </w:r>
      </w:hyperlink>
      <w:r w:rsidRPr="00F50C9D">
        <w:rPr>
          <w:szCs w:val="24"/>
        </w:rPr>
        <w:t xml:space="preserve">. </w:t>
      </w:r>
    </w:p>
    <w:p w14:paraId="2C095EE0" w14:textId="3323FF9C" w:rsidR="00272890" w:rsidRPr="00F50C9D" w:rsidRDefault="00D60636" w:rsidP="00272890">
      <w:pPr>
        <w:pStyle w:val="PZTextodstavce"/>
        <w:spacing w:before="240"/>
        <w:rPr>
          <w:szCs w:val="24"/>
        </w:rPr>
      </w:pPr>
      <w:r>
        <w:rPr>
          <w:szCs w:val="24"/>
        </w:rPr>
        <w:t xml:space="preserve">(3) </w:t>
      </w:r>
      <w:r w:rsidR="00272890" w:rsidRPr="00F50C9D">
        <w:rPr>
          <w:szCs w:val="24"/>
        </w:rPr>
        <w:t xml:space="preserve">Provozovatel organizovaného obchodního systému se dopustí přestupku tím, že </w:t>
      </w:r>
    </w:p>
    <w:p w14:paraId="7E897197" w14:textId="77777777" w:rsidR="00272890" w:rsidRPr="00F50C9D" w:rsidRDefault="00272890" w:rsidP="00D60636">
      <w:pPr>
        <w:pStyle w:val="PZTextpsmene"/>
        <w:spacing w:before="0"/>
        <w:rPr>
          <w:szCs w:val="24"/>
        </w:rPr>
      </w:pPr>
      <w:r w:rsidRPr="00F50C9D">
        <w:rPr>
          <w:szCs w:val="24"/>
        </w:rPr>
        <w:t>a)</w:t>
      </w:r>
      <w:r w:rsidRPr="00F50C9D">
        <w:rPr>
          <w:szCs w:val="24"/>
        </w:rPr>
        <w:tab/>
        <w:t xml:space="preserve">provádí pokyny zákazníků v rozporu s </w:t>
      </w:r>
      <w:hyperlink r:id="rId175" w:history="1">
        <w:r w:rsidRPr="00F50C9D">
          <w:rPr>
            <w:szCs w:val="24"/>
          </w:rPr>
          <w:t>§ 73d odst. 3</w:t>
        </w:r>
      </w:hyperlink>
      <w:r w:rsidRPr="00F50C9D">
        <w:rPr>
          <w:szCs w:val="24"/>
        </w:rPr>
        <w:t xml:space="preserve">, </w:t>
      </w:r>
    </w:p>
    <w:p w14:paraId="79D7B33A" w14:textId="77777777" w:rsidR="00272890" w:rsidRPr="00F50C9D" w:rsidRDefault="00272890" w:rsidP="00D60636">
      <w:pPr>
        <w:pStyle w:val="PZTextpsmene"/>
        <w:spacing w:before="0"/>
        <w:rPr>
          <w:szCs w:val="24"/>
        </w:rPr>
      </w:pPr>
      <w:r w:rsidRPr="00F50C9D">
        <w:rPr>
          <w:szCs w:val="24"/>
        </w:rPr>
        <w:t>b)</w:t>
      </w:r>
      <w:r w:rsidRPr="00F50C9D">
        <w:rPr>
          <w:szCs w:val="24"/>
        </w:rPr>
        <w:tab/>
        <w:t xml:space="preserve">obchoduje párováním pokynů na vlastní účet v rozporu s </w:t>
      </w:r>
      <w:hyperlink r:id="rId176" w:history="1">
        <w:r w:rsidRPr="00F50C9D">
          <w:rPr>
            <w:szCs w:val="24"/>
          </w:rPr>
          <w:t>§ 73d odst. 4</w:t>
        </w:r>
      </w:hyperlink>
      <w:r w:rsidRPr="00F50C9D">
        <w:rPr>
          <w:szCs w:val="24"/>
        </w:rPr>
        <w:t xml:space="preserve">, </w:t>
      </w:r>
    </w:p>
    <w:p w14:paraId="63039E32" w14:textId="77777777" w:rsidR="00272890" w:rsidRPr="00F50C9D" w:rsidRDefault="00272890" w:rsidP="00D60636">
      <w:pPr>
        <w:pStyle w:val="PZTextpsmene"/>
        <w:spacing w:before="0"/>
        <w:rPr>
          <w:szCs w:val="24"/>
        </w:rPr>
      </w:pPr>
      <w:r w:rsidRPr="00F50C9D">
        <w:rPr>
          <w:szCs w:val="24"/>
        </w:rPr>
        <w:t>c)</w:t>
      </w:r>
      <w:r w:rsidRPr="00F50C9D">
        <w:rPr>
          <w:szCs w:val="24"/>
        </w:rPr>
        <w:tab/>
        <w:t xml:space="preserve">v rozporu s </w:t>
      </w:r>
      <w:hyperlink r:id="rId177" w:history="1">
        <w:r w:rsidRPr="00F50C9D">
          <w:rPr>
            <w:szCs w:val="24"/>
          </w:rPr>
          <w:t>§ 73d odst. 5</w:t>
        </w:r>
      </w:hyperlink>
      <w:r w:rsidRPr="00F50C9D">
        <w:rPr>
          <w:szCs w:val="24"/>
        </w:rPr>
        <w:t xml:space="preserve"> při obchodování párováním pokynů na vlastní účet nedodržuje požadavky podle </w:t>
      </w:r>
      <w:hyperlink r:id="rId178" w:history="1">
        <w:r w:rsidRPr="00F50C9D">
          <w:rPr>
            <w:szCs w:val="24"/>
          </w:rPr>
          <w:t>§ 2 odst. 1 písm. q)</w:t>
        </w:r>
      </w:hyperlink>
      <w:r w:rsidRPr="00F50C9D">
        <w:rPr>
          <w:szCs w:val="24"/>
        </w:rPr>
        <w:t xml:space="preserve">, </w:t>
      </w:r>
    </w:p>
    <w:p w14:paraId="1CD8D42F" w14:textId="77777777" w:rsidR="00272890" w:rsidRPr="00F50C9D" w:rsidRDefault="00272890" w:rsidP="00D60636">
      <w:pPr>
        <w:pStyle w:val="PZTextpsmene"/>
        <w:spacing w:before="0"/>
        <w:rPr>
          <w:szCs w:val="24"/>
        </w:rPr>
      </w:pPr>
      <w:r w:rsidRPr="00F50C9D">
        <w:rPr>
          <w:szCs w:val="24"/>
        </w:rPr>
        <w:t>d)</w:t>
      </w:r>
      <w:r w:rsidRPr="00F50C9D">
        <w:rPr>
          <w:szCs w:val="24"/>
        </w:rPr>
        <w:tab/>
        <w:t xml:space="preserve">obchoduje na vlastní účet v rozporu s </w:t>
      </w:r>
      <w:hyperlink r:id="rId179" w:history="1">
        <w:r w:rsidRPr="00F50C9D">
          <w:rPr>
            <w:szCs w:val="24"/>
          </w:rPr>
          <w:t>§ 73d odst. 6</w:t>
        </w:r>
      </w:hyperlink>
      <w:r w:rsidRPr="00F50C9D">
        <w:rPr>
          <w:szCs w:val="24"/>
        </w:rPr>
        <w:t xml:space="preserve">, </w:t>
      </w:r>
    </w:p>
    <w:p w14:paraId="4550D7C1" w14:textId="77777777" w:rsidR="00272890" w:rsidRPr="00F50C9D" w:rsidRDefault="00272890" w:rsidP="00D60636">
      <w:pPr>
        <w:pStyle w:val="PZTextpsmene"/>
        <w:spacing w:before="0"/>
        <w:rPr>
          <w:szCs w:val="24"/>
        </w:rPr>
      </w:pPr>
      <w:r w:rsidRPr="00F50C9D">
        <w:rPr>
          <w:szCs w:val="24"/>
        </w:rPr>
        <w:t>e)</w:t>
      </w:r>
      <w:r w:rsidRPr="00F50C9D">
        <w:rPr>
          <w:szCs w:val="24"/>
        </w:rPr>
        <w:tab/>
        <w:t xml:space="preserve">provede systematickou internalizaci v rozporu s </w:t>
      </w:r>
      <w:hyperlink r:id="rId180" w:history="1">
        <w:r w:rsidRPr="00F50C9D">
          <w:rPr>
            <w:szCs w:val="24"/>
          </w:rPr>
          <w:t>§ 73e odst. 2</w:t>
        </w:r>
      </w:hyperlink>
      <w:r w:rsidRPr="00F50C9D">
        <w:rPr>
          <w:szCs w:val="24"/>
        </w:rPr>
        <w:t xml:space="preserve">, </w:t>
      </w:r>
    </w:p>
    <w:p w14:paraId="4971E84C" w14:textId="77777777" w:rsidR="00272890" w:rsidRPr="00F50C9D" w:rsidRDefault="00272890" w:rsidP="00D60636">
      <w:pPr>
        <w:pStyle w:val="PZTextpsmene"/>
        <w:spacing w:before="0"/>
        <w:rPr>
          <w:szCs w:val="24"/>
        </w:rPr>
      </w:pPr>
      <w:r w:rsidRPr="00F50C9D">
        <w:rPr>
          <w:szCs w:val="24"/>
        </w:rPr>
        <w:t>f)</w:t>
      </w:r>
      <w:r w:rsidRPr="00F50C9D">
        <w:rPr>
          <w:szCs w:val="24"/>
        </w:rPr>
        <w:tab/>
        <w:t xml:space="preserve">nezajistí, aby organizovaný obchodní systém nebyl propojen podle </w:t>
      </w:r>
      <w:hyperlink r:id="rId181" w:history="1">
        <w:r w:rsidRPr="00F50C9D">
          <w:rPr>
            <w:szCs w:val="24"/>
          </w:rPr>
          <w:t>§ 73e odst. 3</w:t>
        </w:r>
      </w:hyperlink>
      <w:r w:rsidRPr="00F50C9D">
        <w:rPr>
          <w:szCs w:val="24"/>
        </w:rPr>
        <w:t xml:space="preserve">, </w:t>
      </w:r>
    </w:p>
    <w:p w14:paraId="31E975A4" w14:textId="77777777" w:rsidR="00272890" w:rsidRPr="00F50C9D" w:rsidRDefault="00272890" w:rsidP="00D60636">
      <w:pPr>
        <w:pStyle w:val="PZTextpsmene"/>
        <w:spacing w:before="0"/>
        <w:rPr>
          <w:szCs w:val="24"/>
        </w:rPr>
      </w:pPr>
      <w:r w:rsidRPr="00F50C9D">
        <w:rPr>
          <w:szCs w:val="24"/>
        </w:rPr>
        <w:t>g)</w:t>
      </w:r>
      <w:r w:rsidRPr="00F50C9D">
        <w:rPr>
          <w:szCs w:val="24"/>
        </w:rPr>
        <w:tab/>
        <w:t xml:space="preserve">nesplní informační povinnost podle </w:t>
      </w:r>
      <w:hyperlink r:id="rId182" w:history="1">
        <w:r w:rsidRPr="00F50C9D">
          <w:rPr>
            <w:szCs w:val="24"/>
          </w:rPr>
          <w:t>§ 73e odst. 4</w:t>
        </w:r>
      </w:hyperlink>
      <w:r w:rsidRPr="00F50C9D">
        <w:rPr>
          <w:szCs w:val="24"/>
        </w:rPr>
        <w:t xml:space="preserve">, </w:t>
      </w:r>
    </w:p>
    <w:p w14:paraId="6452D9BC" w14:textId="77777777" w:rsidR="00272890" w:rsidRPr="00F50C9D" w:rsidRDefault="00272890" w:rsidP="00D60636">
      <w:pPr>
        <w:pStyle w:val="PZTextpsmene"/>
        <w:spacing w:before="0"/>
        <w:rPr>
          <w:szCs w:val="24"/>
        </w:rPr>
      </w:pPr>
      <w:r w:rsidRPr="00F50C9D">
        <w:rPr>
          <w:szCs w:val="24"/>
        </w:rPr>
        <w:t>h)</w:t>
      </w:r>
      <w:r w:rsidRPr="00F50C9D">
        <w:rPr>
          <w:szCs w:val="24"/>
        </w:rPr>
        <w:tab/>
        <w:t xml:space="preserve">nezavede, neudržuje nebo neuplatňuje pravidla nebo opatření podle </w:t>
      </w:r>
      <w:hyperlink r:id="rId183" w:history="1">
        <w:r w:rsidRPr="00F50C9D">
          <w:rPr>
            <w:szCs w:val="24"/>
          </w:rPr>
          <w:t>§ 73f odst. 1</w:t>
        </w:r>
      </w:hyperlink>
      <w:r w:rsidRPr="00F50C9D">
        <w:rPr>
          <w:szCs w:val="24"/>
        </w:rPr>
        <w:t xml:space="preserve">, </w:t>
      </w:r>
    </w:p>
    <w:p w14:paraId="5977F43C" w14:textId="77777777" w:rsidR="00272890" w:rsidRPr="00F50C9D" w:rsidRDefault="00272890" w:rsidP="00D60636">
      <w:pPr>
        <w:pStyle w:val="PZTextpsmene"/>
        <w:spacing w:before="0"/>
        <w:rPr>
          <w:szCs w:val="24"/>
        </w:rPr>
      </w:pPr>
      <w:r w:rsidRPr="00F50C9D">
        <w:rPr>
          <w:szCs w:val="24"/>
        </w:rPr>
        <w:t>i)</w:t>
      </w:r>
      <w:r w:rsidRPr="00F50C9D">
        <w:rPr>
          <w:szCs w:val="24"/>
        </w:rPr>
        <w:tab/>
        <w:t xml:space="preserve">jeho systém nemá alespoň 3 aktivní účastníky podle </w:t>
      </w:r>
      <w:hyperlink r:id="rId184" w:history="1">
        <w:r w:rsidRPr="00F50C9D">
          <w:rPr>
            <w:szCs w:val="24"/>
          </w:rPr>
          <w:t>§ 73f odst. 2</w:t>
        </w:r>
      </w:hyperlink>
      <w:r w:rsidRPr="00F50C9D">
        <w:rPr>
          <w:szCs w:val="24"/>
        </w:rPr>
        <w:t xml:space="preserve">, </w:t>
      </w:r>
    </w:p>
    <w:p w14:paraId="69E1940F" w14:textId="77777777" w:rsidR="00272890" w:rsidRPr="00F50C9D" w:rsidRDefault="00272890" w:rsidP="00D60636">
      <w:pPr>
        <w:pStyle w:val="PZTextpsmene"/>
        <w:spacing w:before="0"/>
        <w:rPr>
          <w:szCs w:val="24"/>
        </w:rPr>
      </w:pPr>
      <w:r w:rsidRPr="00F50C9D">
        <w:rPr>
          <w:szCs w:val="24"/>
        </w:rPr>
        <w:t>j)</w:t>
      </w:r>
      <w:r w:rsidRPr="00F50C9D">
        <w:rPr>
          <w:szCs w:val="24"/>
        </w:rPr>
        <w:tab/>
        <w:t xml:space="preserve">nezajistí účastníkům přístup k údajům podle </w:t>
      </w:r>
      <w:hyperlink r:id="rId185" w:history="1">
        <w:r w:rsidRPr="00F50C9D">
          <w:rPr>
            <w:szCs w:val="24"/>
          </w:rPr>
          <w:t>§ 73f odst. 3</w:t>
        </w:r>
      </w:hyperlink>
      <w:r w:rsidRPr="00F50C9D">
        <w:rPr>
          <w:szCs w:val="24"/>
        </w:rPr>
        <w:t xml:space="preserve">, </w:t>
      </w:r>
    </w:p>
    <w:p w14:paraId="0DFA03BB" w14:textId="77777777" w:rsidR="00272890" w:rsidRPr="00F50C9D" w:rsidRDefault="00272890" w:rsidP="00D60636">
      <w:pPr>
        <w:pStyle w:val="PZTextpsmene"/>
        <w:spacing w:before="0"/>
        <w:rPr>
          <w:szCs w:val="24"/>
        </w:rPr>
      </w:pPr>
      <w:r w:rsidRPr="00F50C9D">
        <w:rPr>
          <w:szCs w:val="24"/>
        </w:rPr>
        <w:t>k)</w:t>
      </w:r>
      <w:r w:rsidRPr="00F50C9D">
        <w:rPr>
          <w:szCs w:val="24"/>
        </w:rPr>
        <w:tab/>
        <w:t xml:space="preserve">nesleduje nebo nevyhodnocuje obchody podle </w:t>
      </w:r>
      <w:hyperlink r:id="rId186" w:history="1">
        <w:r w:rsidRPr="00F50C9D">
          <w:rPr>
            <w:szCs w:val="24"/>
          </w:rPr>
          <w:t>§ 73f odst. 4</w:t>
        </w:r>
      </w:hyperlink>
      <w:r w:rsidRPr="00F50C9D">
        <w:rPr>
          <w:szCs w:val="24"/>
        </w:rPr>
        <w:t xml:space="preserve">, </w:t>
      </w:r>
    </w:p>
    <w:p w14:paraId="4B6DCF36" w14:textId="77777777" w:rsidR="00272890" w:rsidRPr="00F50C9D" w:rsidRDefault="00272890" w:rsidP="00D60636">
      <w:pPr>
        <w:pStyle w:val="PZTextpsmene"/>
        <w:spacing w:before="0"/>
        <w:rPr>
          <w:szCs w:val="24"/>
        </w:rPr>
      </w:pPr>
      <w:r w:rsidRPr="00F50C9D">
        <w:rPr>
          <w:szCs w:val="24"/>
        </w:rPr>
        <w:t>l)</w:t>
      </w:r>
      <w:r w:rsidRPr="00F50C9D">
        <w:rPr>
          <w:szCs w:val="24"/>
        </w:rPr>
        <w:tab/>
        <w:t xml:space="preserve">nesplní některou z oznamovacích povinností podle </w:t>
      </w:r>
      <w:hyperlink r:id="rId187" w:history="1">
        <w:r w:rsidRPr="00F50C9D">
          <w:rPr>
            <w:szCs w:val="24"/>
          </w:rPr>
          <w:t>§ 73f odst. 5</w:t>
        </w:r>
      </w:hyperlink>
      <w:r w:rsidRPr="00F50C9D">
        <w:rPr>
          <w:szCs w:val="24"/>
        </w:rPr>
        <w:t xml:space="preserve"> nebo </w:t>
      </w:r>
      <w:hyperlink r:id="rId188" w:history="1">
        <w:r w:rsidRPr="00F50C9D">
          <w:rPr>
            <w:szCs w:val="24"/>
          </w:rPr>
          <w:t>6</w:t>
        </w:r>
      </w:hyperlink>
      <w:r w:rsidRPr="00F50C9D">
        <w:rPr>
          <w:szCs w:val="24"/>
        </w:rPr>
        <w:t xml:space="preserve">, </w:t>
      </w:r>
    </w:p>
    <w:p w14:paraId="4EB31FE3" w14:textId="77777777" w:rsidR="00272890" w:rsidRPr="00F50C9D" w:rsidRDefault="00272890" w:rsidP="00D60636">
      <w:pPr>
        <w:pStyle w:val="PZTextpsmene"/>
        <w:spacing w:before="0"/>
        <w:rPr>
          <w:szCs w:val="24"/>
        </w:rPr>
      </w:pPr>
      <w:r w:rsidRPr="00F50C9D">
        <w:rPr>
          <w:szCs w:val="24"/>
        </w:rPr>
        <w:t>m)</w:t>
      </w:r>
      <w:r w:rsidRPr="00F50C9D">
        <w:rPr>
          <w:szCs w:val="24"/>
        </w:rPr>
        <w:tab/>
        <w:t xml:space="preserve">nesplní některou z povinností při obchodování v organizovaném obchodním systému podle </w:t>
      </w:r>
      <w:hyperlink r:id="rId189" w:history="1">
        <w:r w:rsidRPr="00F50C9D">
          <w:rPr>
            <w:szCs w:val="24"/>
          </w:rPr>
          <w:t>§ 73g</w:t>
        </w:r>
      </w:hyperlink>
      <w:r w:rsidRPr="00F50C9D">
        <w:rPr>
          <w:szCs w:val="24"/>
        </w:rPr>
        <w:t xml:space="preserve">, </w:t>
      </w:r>
    </w:p>
    <w:p w14:paraId="48DB1610" w14:textId="77777777" w:rsidR="00272890" w:rsidRPr="00F50C9D" w:rsidRDefault="00272890" w:rsidP="00D60636">
      <w:pPr>
        <w:pStyle w:val="PZTextpsmene"/>
        <w:spacing w:before="0"/>
        <w:rPr>
          <w:szCs w:val="24"/>
        </w:rPr>
      </w:pPr>
      <w:r w:rsidRPr="00F50C9D">
        <w:rPr>
          <w:szCs w:val="24"/>
        </w:rPr>
        <w:t>n)</w:t>
      </w:r>
      <w:r w:rsidRPr="00F50C9D">
        <w:rPr>
          <w:szCs w:val="24"/>
        </w:rPr>
        <w:tab/>
        <w:t xml:space="preserve">nesplní některou z povinností při pozastavení nebo obnovení obchodování s investičním nástrojem nebo při jeho vyloučení podle </w:t>
      </w:r>
      <w:hyperlink r:id="rId190" w:history="1">
        <w:r w:rsidRPr="00F50C9D">
          <w:rPr>
            <w:szCs w:val="24"/>
          </w:rPr>
          <w:t>§ 73h odst. 1</w:t>
        </w:r>
      </w:hyperlink>
      <w:r w:rsidRPr="00F50C9D">
        <w:rPr>
          <w:szCs w:val="24"/>
        </w:rPr>
        <w:t xml:space="preserve"> a </w:t>
      </w:r>
      <w:hyperlink r:id="rId191" w:history="1">
        <w:r w:rsidRPr="00F50C9D">
          <w:rPr>
            <w:szCs w:val="24"/>
          </w:rPr>
          <w:t>§ 61</w:t>
        </w:r>
      </w:hyperlink>
      <w:r w:rsidRPr="00F50C9D">
        <w:rPr>
          <w:szCs w:val="24"/>
        </w:rPr>
        <w:t xml:space="preserve">, </w:t>
      </w:r>
    </w:p>
    <w:p w14:paraId="17EA5269" w14:textId="77777777" w:rsidR="00272890" w:rsidRPr="00F50C9D" w:rsidRDefault="00272890" w:rsidP="00D60636">
      <w:pPr>
        <w:pStyle w:val="PZTextpsmene"/>
        <w:spacing w:before="0"/>
        <w:rPr>
          <w:szCs w:val="24"/>
        </w:rPr>
      </w:pPr>
      <w:r w:rsidRPr="00F50C9D">
        <w:rPr>
          <w:szCs w:val="24"/>
        </w:rPr>
        <w:t>o)</w:t>
      </w:r>
      <w:r w:rsidRPr="00F50C9D">
        <w:rPr>
          <w:szCs w:val="24"/>
        </w:rPr>
        <w:tab/>
        <w:t xml:space="preserve">nezajistí, aby jeho systémy splňovaly požadavky podle </w:t>
      </w:r>
      <w:hyperlink r:id="rId192" w:history="1">
        <w:r w:rsidRPr="00F50C9D">
          <w:rPr>
            <w:szCs w:val="24"/>
          </w:rPr>
          <w:t>§ 73h odst. 2</w:t>
        </w:r>
      </w:hyperlink>
      <w:r w:rsidRPr="00F50C9D">
        <w:rPr>
          <w:szCs w:val="24"/>
        </w:rPr>
        <w:t xml:space="preserve"> a </w:t>
      </w:r>
      <w:hyperlink r:id="rId193" w:history="1">
        <w:r w:rsidRPr="00F50C9D">
          <w:rPr>
            <w:szCs w:val="24"/>
          </w:rPr>
          <w:t>§ 50a</w:t>
        </w:r>
      </w:hyperlink>
      <w:r w:rsidRPr="00F50C9D">
        <w:rPr>
          <w:szCs w:val="24"/>
        </w:rPr>
        <w:t xml:space="preserve">, </w:t>
      </w:r>
    </w:p>
    <w:p w14:paraId="13683D85" w14:textId="77777777" w:rsidR="00272890" w:rsidRPr="00F50C9D" w:rsidRDefault="00272890" w:rsidP="00D60636">
      <w:pPr>
        <w:pStyle w:val="PZTextpsmene"/>
        <w:spacing w:before="0"/>
        <w:rPr>
          <w:szCs w:val="24"/>
        </w:rPr>
      </w:pPr>
      <w:r w:rsidRPr="00F50C9D">
        <w:rPr>
          <w:szCs w:val="24"/>
        </w:rPr>
        <w:t>p)</w:t>
      </w:r>
      <w:r w:rsidRPr="00F50C9D">
        <w:rPr>
          <w:szCs w:val="24"/>
        </w:rPr>
        <w:tab/>
        <w:t xml:space="preserve">nesplní některou ze svých povinností při pozastavení nebo omezení obchodování podle </w:t>
      </w:r>
      <w:hyperlink r:id="rId194" w:history="1">
        <w:r w:rsidRPr="00F50C9D">
          <w:rPr>
            <w:szCs w:val="24"/>
          </w:rPr>
          <w:t>§ 73h odst. 2</w:t>
        </w:r>
      </w:hyperlink>
      <w:r w:rsidRPr="00F50C9D">
        <w:rPr>
          <w:szCs w:val="24"/>
        </w:rPr>
        <w:t xml:space="preserve"> a </w:t>
      </w:r>
      <w:hyperlink r:id="rId195" w:history="1">
        <w:r w:rsidRPr="00F50C9D">
          <w:rPr>
            <w:szCs w:val="24"/>
          </w:rPr>
          <w:t>§ 50b</w:t>
        </w:r>
      </w:hyperlink>
      <w:r w:rsidRPr="00F50C9D">
        <w:rPr>
          <w:szCs w:val="24"/>
        </w:rPr>
        <w:t xml:space="preserve">, </w:t>
      </w:r>
    </w:p>
    <w:p w14:paraId="210CD3B6" w14:textId="77777777" w:rsidR="00272890" w:rsidRPr="00F50C9D" w:rsidRDefault="00272890" w:rsidP="00D60636">
      <w:pPr>
        <w:pStyle w:val="PZTextpsmene"/>
        <w:spacing w:before="0"/>
        <w:rPr>
          <w:szCs w:val="24"/>
        </w:rPr>
      </w:pPr>
      <w:r w:rsidRPr="00F50C9D">
        <w:rPr>
          <w:szCs w:val="24"/>
        </w:rPr>
        <w:t>q)</w:t>
      </w:r>
      <w:r w:rsidRPr="00F50C9D">
        <w:rPr>
          <w:szCs w:val="24"/>
        </w:rPr>
        <w:tab/>
        <w:t xml:space="preserve">nesplní při algoritmickém obchodování některou z povinností podle </w:t>
      </w:r>
      <w:hyperlink r:id="rId196" w:history="1">
        <w:r w:rsidRPr="00F50C9D">
          <w:rPr>
            <w:szCs w:val="24"/>
          </w:rPr>
          <w:t>§ 73h odst. 2</w:t>
        </w:r>
      </w:hyperlink>
      <w:r w:rsidRPr="00F50C9D">
        <w:rPr>
          <w:szCs w:val="24"/>
        </w:rPr>
        <w:t xml:space="preserve"> a </w:t>
      </w:r>
      <w:hyperlink r:id="rId197" w:history="1">
        <w:r w:rsidRPr="00F50C9D">
          <w:rPr>
            <w:szCs w:val="24"/>
          </w:rPr>
          <w:t>§ 50c</w:t>
        </w:r>
      </w:hyperlink>
      <w:r w:rsidRPr="00F50C9D">
        <w:rPr>
          <w:szCs w:val="24"/>
        </w:rPr>
        <w:t xml:space="preserve">, </w:t>
      </w:r>
    </w:p>
    <w:p w14:paraId="0422B008" w14:textId="77777777" w:rsidR="00272890" w:rsidRPr="00F50C9D" w:rsidRDefault="00272890" w:rsidP="00D60636">
      <w:pPr>
        <w:pStyle w:val="PZTextpsmene"/>
        <w:spacing w:before="0"/>
        <w:rPr>
          <w:szCs w:val="24"/>
        </w:rPr>
      </w:pPr>
      <w:r w:rsidRPr="00F50C9D">
        <w:rPr>
          <w:szCs w:val="24"/>
        </w:rPr>
        <w:t>r)</w:t>
      </w:r>
      <w:r w:rsidRPr="00F50C9D">
        <w:rPr>
          <w:szCs w:val="24"/>
        </w:rPr>
        <w:tab/>
        <w:t xml:space="preserve">nesplní některou z povinností při poskytování přímého elektronického přístupu podle </w:t>
      </w:r>
      <w:hyperlink r:id="rId198" w:history="1">
        <w:r w:rsidRPr="00F50C9D">
          <w:rPr>
            <w:szCs w:val="24"/>
          </w:rPr>
          <w:t>§ 73h odst. 2</w:t>
        </w:r>
      </w:hyperlink>
      <w:r w:rsidRPr="00F50C9D">
        <w:rPr>
          <w:szCs w:val="24"/>
        </w:rPr>
        <w:t xml:space="preserve"> a </w:t>
      </w:r>
      <w:hyperlink r:id="rId199" w:history="1">
        <w:r w:rsidRPr="00F50C9D">
          <w:rPr>
            <w:szCs w:val="24"/>
          </w:rPr>
          <w:t>§ 50d</w:t>
        </w:r>
      </w:hyperlink>
      <w:r w:rsidRPr="00F50C9D">
        <w:rPr>
          <w:szCs w:val="24"/>
        </w:rPr>
        <w:t xml:space="preserve">, </w:t>
      </w:r>
    </w:p>
    <w:p w14:paraId="41C7DE40" w14:textId="77777777" w:rsidR="00272890" w:rsidRPr="00F50C9D" w:rsidRDefault="00272890" w:rsidP="00D60636">
      <w:pPr>
        <w:pStyle w:val="PZTextpsmene"/>
        <w:spacing w:before="0"/>
        <w:rPr>
          <w:szCs w:val="24"/>
        </w:rPr>
      </w:pPr>
      <w:r w:rsidRPr="00F50C9D">
        <w:rPr>
          <w:szCs w:val="24"/>
        </w:rPr>
        <w:t>s)</w:t>
      </w:r>
      <w:r w:rsidRPr="00F50C9D">
        <w:rPr>
          <w:szCs w:val="24"/>
        </w:rPr>
        <w:tab/>
        <w:t xml:space="preserve">nezajistí, aby úplaty jím stanovené splňovaly požadavky podle </w:t>
      </w:r>
      <w:hyperlink r:id="rId200" w:history="1">
        <w:r w:rsidRPr="00F50C9D">
          <w:rPr>
            <w:szCs w:val="24"/>
          </w:rPr>
          <w:t>§ 73h odst. 2</w:t>
        </w:r>
      </w:hyperlink>
      <w:r w:rsidRPr="00F50C9D">
        <w:rPr>
          <w:szCs w:val="24"/>
        </w:rPr>
        <w:t xml:space="preserve"> a </w:t>
      </w:r>
      <w:hyperlink r:id="rId201" w:history="1">
        <w:r w:rsidRPr="00F50C9D">
          <w:rPr>
            <w:szCs w:val="24"/>
          </w:rPr>
          <w:t>§ 50e</w:t>
        </w:r>
      </w:hyperlink>
      <w:r w:rsidRPr="00F50C9D">
        <w:rPr>
          <w:szCs w:val="24"/>
        </w:rPr>
        <w:t xml:space="preserve">, </w:t>
      </w:r>
    </w:p>
    <w:p w14:paraId="2BA611B2" w14:textId="77777777" w:rsidR="00272890" w:rsidRPr="00F50C9D" w:rsidRDefault="00272890" w:rsidP="00D60636">
      <w:pPr>
        <w:pStyle w:val="PZTextpsmene"/>
        <w:spacing w:before="0"/>
        <w:rPr>
          <w:szCs w:val="24"/>
        </w:rPr>
      </w:pPr>
      <w:r w:rsidRPr="00F50C9D">
        <w:rPr>
          <w:szCs w:val="24"/>
        </w:rPr>
        <w:t>t)</w:t>
      </w:r>
      <w:r w:rsidRPr="00F50C9D">
        <w:rPr>
          <w:szCs w:val="24"/>
        </w:rPr>
        <w:tab/>
        <w:t xml:space="preserve">nesplní některou z povinností při kotaci podle </w:t>
      </w:r>
      <w:hyperlink r:id="rId202" w:history="1">
        <w:r w:rsidRPr="00F50C9D">
          <w:rPr>
            <w:szCs w:val="24"/>
          </w:rPr>
          <w:t>§ 73h odst. 2</w:t>
        </w:r>
      </w:hyperlink>
      <w:r w:rsidRPr="00F50C9D">
        <w:rPr>
          <w:szCs w:val="24"/>
        </w:rPr>
        <w:t xml:space="preserve"> a </w:t>
      </w:r>
      <w:hyperlink r:id="rId203" w:history="1">
        <w:r w:rsidRPr="00F50C9D">
          <w:rPr>
            <w:szCs w:val="24"/>
          </w:rPr>
          <w:t>§ 50f</w:t>
        </w:r>
      </w:hyperlink>
      <w:r w:rsidRPr="00F50C9D">
        <w:rPr>
          <w:szCs w:val="24"/>
        </w:rPr>
        <w:t xml:space="preserve">, </w:t>
      </w:r>
    </w:p>
    <w:p w14:paraId="1D01A857" w14:textId="77777777" w:rsidR="00272890" w:rsidRPr="00F50C9D" w:rsidRDefault="00272890" w:rsidP="00D60636">
      <w:pPr>
        <w:pStyle w:val="PZTextpsmene"/>
        <w:spacing w:before="0"/>
        <w:rPr>
          <w:szCs w:val="24"/>
        </w:rPr>
      </w:pPr>
      <w:r w:rsidRPr="00F50C9D">
        <w:rPr>
          <w:szCs w:val="24"/>
        </w:rPr>
        <w:t>u)</w:t>
      </w:r>
      <w:r w:rsidRPr="00F50C9D">
        <w:rPr>
          <w:szCs w:val="24"/>
        </w:rPr>
        <w:tab/>
        <w:t xml:space="preserve">nezavede, neudržuje nebo neuplatňuje postupy podle </w:t>
      </w:r>
      <w:hyperlink r:id="rId204" w:history="1">
        <w:r w:rsidRPr="00F50C9D">
          <w:rPr>
            <w:szCs w:val="24"/>
          </w:rPr>
          <w:t>§ 73h odst. 2</w:t>
        </w:r>
      </w:hyperlink>
      <w:r w:rsidRPr="00F50C9D">
        <w:rPr>
          <w:szCs w:val="24"/>
        </w:rPr>
        <w:t xml:space="preserve"> a </w:t>
      </w:r>
      <w:hyperlink r:id="rId205" w:history="1">
        <w:r w:rsidRPr="00F50C9D">
          <w:rPr>
            <w:szCs w:val="24"/>
          </w:rPr>
          <w:t>§ 50g odst. 2</w:t>
        </w:r>
      </w:hyperlink>
      <w:r w:rsidRPr="00F50C9D">
        <w:rPr>
          <w:szCs w:val="24"/>
        </w:rPr>
        <w:t xml:space="preserve">, </w:t>
      </w:r>
    </w:p>
    <w:p w14:paraId="63A3E0CE" w14:textId="77777777" w:rsidR="00272890" w:rsidRPr="00F50C9D" w:rsidRDefault="00272890" w:rsidP="00D60636">
      <w:pPr>
        <w:pStyle w:val="PZTextpsmene"/>
        <w:spacing w:before="0"/>
        <w:rPr>
          <w:szCs w:val="24"/>
        </w:rPr>
      </w:pPr>
      <w:r w:rsidRPr="00F50C9D">
        <w:rPr>
          <w:szCs w:val="24"/>
        </w:rPr>
        <w:lastRenderedPageBreak/>
        <w:t>v)</w:t>
      </w:r>
      <w:r w:rsidRPr="00F50C9D">
        <w:rPr>
          <w:szCs w:val="24"/>
        </w:rPr>
        <w:tab/>
        <w:t xml:space="preserve">nezajistí vypořádání obchodů nebo neinformuje účastníky organizovaného obchodního systému podle </w:t>
      </w:r>
      <w:hyperlink r:id="rId206" w:history="1">
        <w:r w:rsidRPr="00F50C9D">
          <w:rPr>
            <w:szCs w:val="24"/>
          </w:rPr>
          <w:t>§ 73i</w:t>
        </w:r>
      </w:hyperlink>
      <w:r w:rsidRPr="00F50C9D">
        <w:rPr>
          <w:szCs w:val="24"/>
        </w:rPr>
        <w:t xml:space="preserve">, </w:t>
      </w:r>
    </w:p>
    <w:p w14:paraId="20F41874" w14:textId="77777777" w:rsidR="00272890" w:rsidRPr="00F50C9D" w:rsidRDefault="00272890" w:rsidP="00D60636">
      <w:pPr>
        <w:pStyle w:val="PZTextpsmene"/>
        <w:spacing w:before="0"/>
        <w:rPr>
          <w:szCs w:val="24"/>
        </w:rPr>
      </w:pPr>
      <w:r w:rsidRPr="00F50C9D">
        <w:rPr>
          <w:szCs w:val="24"/>
        </w:rPr>
        <w:t>w)</w:t>
      </w:r>
      <w:r w:rsidRPr="00F50C9D">
        <w:rPr>
          <w:szCs w:val="24"/>
        </w:rPr>
        <w:tab/>
        <w:t xml:space="preserve">nezajistí synchronizaci obchodních hodin podle </w:t>
      </w:r>
      <w:hyperlink r:id="rId207" w:history="1">
        <w:r w:rsidRPr="00F50C9D">
          <w:rPr>
            <w:szCs w:val="24"/>
          </w:rPr>
          <w:t>§ 73j</w:t>
        </w:r>
      </w:hyperlink>
      <w:r w:rsidRPr="00F50C9D">
        <w:rPr>
          <w:szCs w:val="24"/>
        </w:rPr>
        <w:t xml:space="preserve">, </w:t>
      </w:r>
    </w:p>
    <w:p w14:paraId="4F5AD6E8" w14:textId="77777777" w:rsidR="00272890" w:rsidRPr="00F50C9D" w:rsidRDefault="00272890" w:rsidP="00D60636">
      <w:pPr>
        <w:pStyle w:val="PZTextpsmene"/>
        <w:spacing w:before="0"/>
        <w:rPr>
          <w:szCs w:val="24"/>
        </w:rPr>
      </w:pPr>
      <w:r w:rsidRPr="00F50C9D">
        <w:rPr>
          <w:szCs w:val="24"/>
        </w:rPr>
        <w:t>x)</w:t>
      </w:r>
      <w:r w:rsidRPr="00F50C9D">
        <w:rPr>
          <w:szCs w:val="24"/>
        </w:rPr>
        <w:tab/>
        <w:t xml:space="preserve">v rozporu s </w:t>
      </w:r>
      <w:hyperlink r:id="rId208" w:history="1">
        <w:r w:rsidRPr="00F50C9D">
          <w:rPr>
            <w:szCs w:val="24"/>
          </w:rPr>
          <w:t>§ 134c</w:t>
        </w:r>
      </w:hyperlink>
      <w:r w:rsidRPr="00F50C9D">
        <w:rPr>
          <w:szCs w:val="24"/>
        </w:rPr>
        <w:t xml:space="preserve"> neuplatňuje některý z limitů stanovených podle </w:t>
      </w:r>
      <w:hyperlink r:id="rId209" w:history="1">
        <w:r w:rsidRPr="00F50C9D">
          <w:rPr>
            <w:szCs w:val="24"/>
          </w:rPr>
          <w:t>§ 134a odst. 1</w:t>
        </w:r>
      </w:hyperlink>
      <w:r w:rsidRPr="00F50C9D">
        <w:rPr>
          <w:szCs w:val="24"/>
        </w:rPr>
        <w:t xml:space="preserve"> nebo </w:t>
      </w:r>
      <w:hyperlink r:id="rId210" w:history="1">
        <w:r w:rsidRPr="00F50C9D">
          <w:rPr>
            <w:szCs w:val="24"/>
          </w:rPr>
          <w:t>§ 134b odst. 1</w:t>
        </w:r>
      </w:hyperlink>
      <w:r w:rsidRPr="00F50C9D">
        <w:rPr>
          <w:szCs w:val="24"/>
        </w:rPr>
        <w:t xml:space="preserve">, nebo </w:t>
      </w:r>
    </w:p>
    <w:p w14:paraId="6AF36808" w14:textId="77777777" w:rsidR="00272890" w:rsidRPr="00F50C9D" w:rsidRDefault="00272890" w:rsidP="00D60636">
      <w:pPr>
        <w:pStyle w:val="PZTextpsmene"/>
        <w:spacing w:before="0"/>
        <w:rPr>
          <w:szCs w:val="24"/>
        </w:rPr>
      </w:pPr>
      <w:r w:rsidRPr="00F50C9D">
        <w:rPr>
          <w:szCs w:val="24"/>
        </w:rPr>
        <w:t>y)</w:t>
      </w:r>
      <w:r w:rsidRPr="00F50C9D">
        <w:rPr>
          <w:szCs w:val="24"/>
        </w:rPr>
        <w:tab/>
        <w:t xml:space="preserve">nesplní některou z informačních povinností podle </w:t>
      </w:r>
      <w:hyperlink r:id="rId211" w:history="1">
        <w:r w:rsidRPr="00F50C9D">
          <w:rPr>
            <w:szCs w:val="24"/>
          </w:rPr>
          <w:t>§ 134c odst. 3</w:t>
        </w:r>
      </w:hyperlink>
      <w:r w:rsidRPr="00F50C9D">
        <w:rPr>
          <w:szCs w:val="24"/>
        </w:rPr>
        <w:t xml:space="preserve"> nebo </w:t>
      </w:r>
      <w:hyperlink r:id="rId212" w:history="1">
        <w:r w:rsidRPr="00F50C9D">
          <w:rPr>
            <w:szCs w:val="24"/>
          </w:rPr>
          <w:t>§ 134e</w:t>
        </w:r>
      </w:hyperlink>
      <w:r w:rsidRPr="00F50C9D">
        <w:rPr>
          <w:szCs w:val="24"/>
        </w:rPr>
        <w:t xml:space="preserve">. </w:t>
      </w:r>
    </w:p>
    <w:p w14:paraId="16EAEE60" w14:textId="18EDFFC1" w:rsidR="00272890" w:rsidRPr="00F50C9D" w:rsidRDefault="00D60636" w:rsidP="00272890">
      <w:pPr>
        <w:pStyle w:val="PZTextodstavce"/>
        <w:spacing w:before="240"/>
        <w:rPr>
          <w:szCs w:val="24"/>
        </w:rPr>
      </w:pPr>
      <w:r>
        <w:rPr>
          <w:szCs w:val="24"/>
        </w:rPr>
        <w:t xml:space="preserve">(4) </w:t>
      </w:r>
      <w:r w:rsidR="00272890" w:rsidRPr="00F50C9D">
        <w:rPr>
          <w:szCs w:val="24"/>
        </w:rPr>
        <w:t xml:space="preserve">Provozovatel organizovaného obchodního systému se dopustí přestupku tím, že nezavede, neudržuje nebo neuplatňuje mechanismus k hlášení podle </w:t>
      </w:r>
      <w:hyperlink r:id="rId213" w:history="1">
        <w:r w:rsidR="00272890" w:rsidRPr="00F50C9D">
          <w:rPr>
            <w:szCs w:val="24"/>
          </w:rPr>
          <w:t>§ 48a</w:t>
        </w:r>
      </w:hyperlink>
      <w:r w:rsidR="00272890" w:rsidRPr="00F50C9D">
        <w:rPr>
          <w:szCs w:val="24"/>
        </w:rPr>
        <w:t xml:space="preserve"> a </w:t>
      </w:r>
      <w:hyperlink r:id="rId214" w:history="1">
        <w:r w:rsidR="00272890" w:rsidRPr="00F50C9D">
          <w:rPr>
            <w:szCs w:val="24"/>
          </w:rPr>
          <w:t>§ 12i odst. 1</w:t>
        </w:r>
      </w:hyperlink>
      <w:r w:rsidR="00272890" w:rsidRPr="00F50C9D">
        <w:rPr>
          <w:szCs w:val="24"/>
        </w:rPr>
        <w:t xml:space="preserve">. </w:t>
      </w:r>
    </w:p>
    <w:p w14:paraId="4DC788E7" w14:textId="73B2484F" w:rsidR="00272890" w:rsidRPr="00F50C9D" w:rsidRDefault="00D60636" w:rsidP="00272890">
      <w:pPr>
        <w:pStyle w:val="PZTextodstavce"/>
        <w:spacing w:before="240"/>
        <w:rPr>
          <w:szCs w:val="24"/>
        </w:rPr>
      </w:pPr>
      <w:r>
        <w:rPr>
          <w:szCs w:val="24"/>
        </w:rPr>
        <w:t xml:space="preserve">(5) </w:t>
      </w:r>
      <w:r w:rsidR="00272890" w:rsidRPr="00F50C9D">
        <w:rPr>
          <w:szCs w:val="24"/>
        </w:rPr>
        <w:t xml:space="preserve">Za přestupek podle odstavce 1, 2 nebo 3 lze uložit pokutu do </w:t>
      </w:r>
    </w:p>
    <w:p w14:paraId="7ADBF050" w14:textId="77777777" w:rsidR="00272890" w:rsidRPr="00F50C9D" w:rsidRDefault="00272890" w:rsidP="00D60636">
      <w:pPr>
        <w:pStyle w:val="PZTextpsmene"/>
        <w:spacing w:before="0"/>
        <w:rPr>
          <w:szCs w:val="24"/>
        </w:rPr>
      </w:pPr>
      <w:r w:rsidRPr="00F50C9D">
        <w:rPr>
          <w:szCs w:val="24"/>
        </w:rPr>
        <w:t>a)</w:t>
      </w:r>
      <w:r w:rsidRPr="00F50C9D">
        <w:rPr>
          <w:szCs w:val="24"/>
        </w:rPr>
        <w:tab/>
        <w:t xml:space="preserve">150 000 000 Kč, </w:t>
      </w:r>
    </w:p>
    <w:p w14:paraId="629F2A91" w14:textId="77777777" w:rsidR="00272890" w:rsidRPr="00F50C9D" w:rsidRDefault="00272890" w:rsidP="00D60636">
      <w:pPr>
        <w:pStyle w:val="PZTextpsmene"/>
        <w:spacing w:before="0"/>
        <w:rPr>
          <w:szCs w:val="24"/>
        </w:rPr>
      </w:pPr>
      <w:r w:rsidRPr="00F50C9D">
        <w:rPr>
          <w:szCs w:val="24"/>
        </w:rPr>
        <w:t>b)</w:t>
      </w:r>
      <w:r w:rsidRPr="00F50C9D">
        <w:rPr>
          <w:szCs w:val="24"/>
        </w:rPr>
        <w:tab/>
        <w:t xml:space="preserve">výše 10 % celkového ročního obratu provozovatele obchodního systému podle </w:t>
      </w:r>
      <w:r w:rsidRPr="00F50C9D">
        <w:rPr>
          <w:strike/>
          <w:szCs w:val="24"/>
        </w:rPr>
        <w:t>jeho poslední řádné účetní závěrky nebo konsolidované účetní závěrky</w:t>
      </w:r>
      <w:r w:rsidRPr="00F50C9D">
        <w:rPr>
          <w:b/>
          <w:szCs w:val="24"/>
        </w:rPr>
        <w:t xml:space="preserve"> </w:t>
      </w:r>
      <w:r w:rsidRPr="00F50C9D">
        <w:rPr>
          <w:b/>
          <w:bCs/>
          <w:szCs w:val="24"/>
        </w:rPr>
        <w:t>poslední řádné konsolidované účetní závěrky</w:t>
      </w:r>
      <w:r w:rsidRPr="00F50C9D">
        <w:rPr>
          <w:b/>
          <w:szCs w:val="24"/>
        </w:rPr>
        <w:t xml:space="preserve"> konsolidačního celku, v němž je zahrnutý,</w:t>
      </w:r>
      <w:r w:rsidRPr="00F50C9D">
        <w:rPr>
          <w:szCs w:val="24"/>
        </w:rPr>
        <w:t xml:space="preserve"> </w:t>
      </w:r>
      <w:r w:rsidRPr="00F50C9D">
        <w:rPr>
          <w:b/>
          <w:szCs w:val="24"/>
        </w:rPr>
        <w:t>nebo řádné individuální účetní závěrky, není-li taková konsolidovaná účetní závěrka</w:t>
      </w:r>
      <w:r w:rsidRPr="00F50C9D">
        <w:rPr>
          <w:szCs w:val="24"/>
        </w:rPr>
        <w:t xml:space="preserve">, nebo </w:t>
      </w:r>
    </w:p>
    <w:p w14:paraId="0F30E01C" w14:textId="77777777" w:rsidR="00272890" w:rsidRPr="00F50C9D" w:rsidRDefault="00272890" w:rsidP="00D60636">
      <w:pPr>
        <w:pStyle w:val="PZTextpsmene"/>
        <w:spacing w:before="0"/>
        <w:rPr>
          <w:szCs w:val="24"/>
        </w:rPr>
      </w:pPr>
      <w:r w:rsidRPr="00F50C9D">
        <w:rPr>
          <w:szCs w:val="24"/>
        </w:rPr>
        <w:t>c)</w:t>
      </w:r>
      <w:r w:rsidRPr="00F50C9D">
        <w:rPr>
          <w:szCs w:val="24"/>
        </w:rPr>
        <w:tab/>
        <w:t xml:space="preserve">výše dvojnásobku neoprávněného prospěchu získaného spácháním tohoto přestupku, je-li možné výši neoprávněného prospěchu zjistit. </w:t>
      </w:r>
    </w:p>
    <w:p w14:paraId="61124712" w14:textId="198ADD03" w:rsidR="00272890" w:rsidRPr="00F50C9D" w:rsidRDefault="00D60636" w:rsidP="00272890">
      <w:pPr>
        <w:pStyle w:val="PZTextodstavce"/>
        <w:spacing w:before="240"/>
        <w:rPr>
          <w:szCs w:val="24"/>
        </w:rPr>
      </w:pPr>
      <w:r>
        <w:rPr>
          <w:szCs w:val="24"/>
        </w:rPr>
        <w:t xml:space="preserve">(6) </w:t>
      </w:r>
      <w:r w:rsidR="00272890" w:rsidRPr="00F50C9D">
        <w:rPr>
          <w:szCs w:val="24"/>
        </w:rPr>
        <w:t xml:space="preserve">Za přestupek podle odstavce 4 lze uložit pokutu do 10 000 000 Kč. </w:t>
      </w:r>
    </w:p>
    <w:p w14:paraId="153D6086" w14:textId="77777777" w:rsidR="00272890" w:rsidRPr="00F50C9D" w:rsidRDefault="00272890" w:rsidP="00D60636">
      <w:pPr>
        <w:widowControl w:val="0"/>
        <w:autoSpaceDE w:val="0"/>
        <w:autoSpaceDN w:val="0"/>
        <w:adjustRightInd w:val="0"/>
        <w:spacing w:after="120"/>
        <w:ind w:firstLine="0"/>
        <w:jc w:val="center"/>
        <w:rPr>
          <w:szCs w:val="24"/>
        </w:rPr>
      </w:pPr>
      <w:r w:rsidRPr="00F50C9D">
        <w:rPr>
          <w:szCs w:val="24"/>
        </w:rPr>
        <w:t>§ 172</w:t>
      </w:r>
    </w:p>
    <w:p w14:paraId="6EACA621" w14:textId="77777777" w:rsidR="00272890" w:rsidRPr="00F50C9D" w:rsidRDefault="00272890" w:rsidP="00D60636">
      <w:pPr>
        <w:widowControl w:val="0"/>
        <w:autoSpaceDE w:val="0"/>
        <w:autoSpaceDN w:val="0"/>
        <w:adjustRightInd w:val="0"/>
        <w:spacing w:after="120"/>
        <w:ind w:firstLine="0"/>
        <w:jc w:val="center"/>
        <w:rPr>
          <w:b/>
          <w:bCs/>
          <w:szCs w:val="24"/>
        </w:rPr>
      </w:pPr>
      <w:r w:rsidRPr="00F50C9D">
        <w:rPr>
          <w:b/>
          <w:bCs/>
          <w:szCs w:val="24"/>
        </w:rPr>
        <w:t>Přestupky některých emitentů investičních nástrojů</w:t>
      </w:r>
    </w:p>
    <w:p w14:paraId="706E3BB1" w14:textId="6176565E" w:rsidR="00272890" w:rsidRPr="00F50C9D" w:rsidRDefault="00D60636" w:rsidP="00272890">
      <w:pPr>
        <w:pStyle w:val="PZTextodstavce"/>
        <w:spacing w:before="240"/>
        <w:rPr>
          <w:szCs w:val="24"/>
        </w:rPr>
      </w:pPr>
      <w:r>
        <w:rPr>
          <w:szCs w:val="24"/>
        </w:rPr>
        <w:t xml:space="preserve">(1) </w:t>
      </w:r>
      <w:r w:rsidR="00272890" w:rsidRPr="00F50C9D">
        <w:rPr>
          <w:szCs w:val="24"/>
        </w:rPr>
        <w:t>Právnická nebo podnikající fyzická osoba se jako emitent uvedený v § 118 odst. 1 nebo § 121a dopustí přestupku tím, že</w:t>
      </w:r>
    </w:p>
    <w:p w14:paraId="4FF4F14E" w14:textId="77777777" w:rsidR="00272890" w:rsidRPr="00F50C9D" w:rsidRDefault="00272890" w:rsidP="00D60636">
      <w:pPr>
        <w:pStyle w:val="PZTextpsmene"/>
        <w:spacing w:before="0"/>
        <w:rPr>
          <w:szCs w:val="24"/>
        </w:rPr>
      </w:pPr>
      <w:r w:rsidRPr="00F50C9D">
        <w:rPr>
          <w:szCs w:val="24"/>
        </w:rPr>
        <w:t>a)</w:t>
      </w:r>
      <w:r w:rsidRPr="00F50C9D">
        <w:rPr>
          <w:szCs w:val="24"/>
        </w:rPr>
        <w:tab/>
        <w:t xml:space="preserve">neuveřejní výroční finanční </w:t>
      </w:r>
      <w:r w:rsidRPr="00F50C9D">
        <w:rPr>
          <w:strike/>
          <w:szCs w:val="24"/>
        </w:rPr>
        <w:t>zprávu podle § 118</w:t>
      </w:r>
      <w:r w:rsidRPr="00F50C9D">
        <w:rPr>
          <w:szCs w:val="24"/>
        </w:rPr>
        <w:t xml:space="preserve"> </w:t>
      </w:r>
      <w:r w:rsidRPr="00F50C9D">
        <w:rPr>
          <w:b/>
          <w:bCs/>
          <w:szCs w:val="24"/>
        </w:rPr>
        <w:t>zprávu</w:t>
      </w:r>
      <w:r w:rsidRPr="00F50C9D">
        <w:rPr>
          <w:szCs w:val="24"/>
        </w:rPr>
        <w:t xml:space="preserve"> </w:t>
      </w:r>
      <w:r w:rsidRPr="00F50C9D">
        <w:rPr>
          <w:b/>
          <w:szCs w:val="24"/>
        </w:rPr>
        <w:t>nebo zprávu o ověření</w:t>
      </w:r>
      <w:r w:rsidRPr="00F50C9D">
        <w:rPr>
          <w:szCs w:val="24"/>
        </w:rPr>
        <w:t xml:space="preserve"> </w:t>
      </w:r>
      <w:r w:rsidRPr="00F50C9D">
        <w:rPr>
          <w:b/>
          <w:bCs/>
          <w:szCs w:val="24"/>
        </w:rPr>
        <w:t>podle § 118</w:t>
      </w:r>
      <w:r w:rsidRPr="00F50C9D">
        <w:rPr>
          <w:szCs w:val="24"/>
        </w:rPr>
        <w:t xml:space="preserve"> </w:t>
      </w:r>
      <w:r w:rsidRPr="00F50C9D">
        <w:rPr>
          <w:b/>
          <w:szCs w:val="24"/>
        </w:rPr>
        <w:t>nebo nezveřejní řádnou účetní závěrku, zprávu vedení, další zprávu vyhotovovanou podle zákona upravujícího účetnictví nebo zprávu o jejich ověření, jsou-li ověřovány, ve lhůtě podle § 118 odst. 9</w:t>
      </w:r>
      <w:r w:rsidRPr="00F50C9D">
        <w:rPr>
          <w:szCs w:val="24"/>
        </w:rPr>
        <w:t xml:space="preserve">, </w:t>
      </w:r>
    </w:p>
    <w:p w14:paraId="02DA2EDB" w14:textId="77777777" w:rsidR="00272890" w:rsidRPr="00F50C9D" w:rsidRDefault="00272890" w:rsidP="00D60636">
      <w:pPr>
        <w:pStyle w:val="PZTextpsmene"/>
        <w:spacing w:before="0"/>
        <w:rPr>
          <w:szCs w:val="24"/>
        </w:rPr>
      </w:pPr>
      <w:r w:rsidRPr="00F50C9D">
        <w:rPr>
          <w:szCs w:val="24"/>
        </w:rPr>
        <w:t>b)</w:t>
      </w:r>
      <w:r w:rsidRPr="00F50C9D">
        <w:rPr>
          <w:szCs w:val="24"/>
        </w:rPr>
        <w:tab/>
        <w:t xml:space="preserve">neuveřejní pololetní finanční zprávu podle § 119, </w:t>
      </w:r>
    </w:p>
    <w:p w14:paraId="07444228" w14:textId="77777777" w:rsidR="00272890" w:rsidRPr="00F50C9D" w:rsidRDefault="00272890" w:rsidP="00D60636">
      <w:pPr>
        <w:pStyle w:val="PZTextpsmene"/>
        <w:spacing w:before="0"/>
        <w:rPr>
          <w:szCs w:val="24"/>
        </w:rPr>
      </w:pPr>
      <w:r w:rsidRPr="00F50C9D">
        <w:rPr>
          <w:szCs w:val="24"/>
        </w:rPr>
        <w:t>c)</w:t>
      </w:r>
      <w:r w:rsidRPr="00F50C9D">
        <w:rPr>
          <w:szCs w:val="24"/>
        </w:rPr>
        <w:tab/>
        <w:t xml:space="preserve">neuveřejní zprávu podle § 119a, nebo </w:t>
      </w:r>
    </w:p>
    <w:p w14:paraId="60AAADA8" w14:textId="77777777" w:rsidR="00272890" w:rsidRPr="00F50C9D" w:rsidRDefault="00272890" w:rsidP="00D60636">
      <w:pPr>
        <w:pStyle w:val="PZTextpsmene"/>
        <w:spacing w:before="0"/>
        <w:rPr>
          <w:szCs w:val="24"/>
        </w:rPr>
      </w:pPr>
      <w:r w:rsidRPr="00F50C9D">
        <w:rPr>
          <w:szCs w:val="24"/>
        </w:rPr>
        <w:t>d)</w:t>
      </w:r>
      <w:r w:rsidRPr="00F50C9D">
        <w:rPr>
          <w:szCs w:val="24"/>
        </w:rPr>
        <w:tab/>
        <w:t>neuveřejní informaci podle § 119b nebo podle § 122b odst. 3 nebo 4.</w:t>
      </w:r>
    </w:p>
    <w:p w14:paraId="0ED4EE8D" w14:textId="14C14D3F" w:rsidR="00272890" w:rsidRPr="00F50C9D" w:rsidRDefault="00D60636" w:rsidP="00272890">
      <w:pPr>
        <w:pStyle w:val="PZTextodstavce"/>
        <w:spacing w:before="240"/>
        <w:rPr>
          <w:szCs w:val="24"/>
        </w:rPr>
      </w:pPr>
      <w:r>
        <w:rPr>
          <w:szCs w:val="24"/>
        </w:rPr>
        <w:t xml:space="preserve">(2) </w:t>
      </w:r>
      <w:r w:rsidR="00272890" w:rsidRPr="00F50C9D">
        <w:rPr>
          <w:szCs w:val="24"/>
        </w:rPr>
        <w:t xml:space="preserve">Právnická nebo podnikající fyzická osoba se dále jako emitent uvedený v </w:t>
      </w:r>
      <w:hyperlink r:id="rId215" w:history="1">
        <w:r w:rsidR="00272890" w:rsidRPr="00F50C9D">
          <w:rPr>
            <w:szCs w:val="24"/>
          </w:rPr>
          <w:t>§ 118 odst. 1</w:t>
        </w:r>
      </w:hyperlink>
      <w:r w:rsidR="00272890" w:rsidRPr="00F50C9D">
        <w:rPr>
          <w:szCs w:val="24"/>
        </w:rPr>
        <w:t xml:space="preserve"> nebo </w:t>
      </w:r>
      <w:hyperlink r:id="rId216" w:history="1">
        <w:r w:rsidR="00272890" w:rsidRPr="00F50C9D">
          <w:rPr>
            <w:szCs w:val="24"/>
          </w:rPr>
          <w:t>§ 121a</w:t>
        </w:r>
      </w:hyperlink>
      <w:r w:rsidR="00272890" w:rsidRPr="00F50C9D">
        <w:rPr>
          <w:szCs w:val="24"/>
        </w:rPr>
        <w:t xml:space="preserve"> dopustí přestupku dále tím, že </w:t>
      </w:r>
    </w:p>
    <w:p w14:paraId="19D04A54" w14:textId="77777777" w:rsidR="00272890" w:rsidRPr="00F50C9D" w:rsidRDefault="00272890" w:rsidP="00D60636">
      <w:pPr>
        <w:pStyle w:val="PZTextpsmene"/>
        <w:spacing w:before="0"/>
        <w:rPr>
          <w:szCs w:val="24"/>
        </w:rPr>
      </w:pPr>
      <w:r w:rsidRPr="00F50C9D">
        <w:rPr>
          <w:szCs w:val="24"/>
        </w:rPr>
        <w:t>a)</w:t>
      </w:r>
      <w:r w:rsidRPr="00F50C9D">
        <w:rPr>
          <w:szCs w:val="24"/>
        </w:rPr>
        <w:tab/>
        <w:t xml:space="preserve">nesplní některou z povinností podle </w:t>
      </w:r>
      <w:hyperlink r:id="rId217" w:history="1">
        <w:r w:rsidRPr="00F50C9D">
          <w:rPr>
            <w:szCs w:val="24"/>
          </w:rPr>
          <w:t>§ 120</w:t>
        </w:r>
      </w:hyperlink>
      <w:r w:rsidRPr="00F50C9D">
        <w:rPr>
          <w:szCs w:val="24"/>
        </w:rPr>
        <w:t xml:space="preserve">, </w:t>
      </w:r>
      <w:hyperlink r:id="rId218" w:history="1">
        <w:r w:rsidRPr="00F50C9D">
          <w:rPr>
            <w:szCs w:val="24"/>
          </w:rPr>
          <w:t>120a</w:t>
        </w:r>
      </w:hyperlink>
      <w:r w:rsidRPr="00F50C9D">
        <w:rPr>
          <w:szCs w:val="24"/>
        </w:rPr>
        <w:t xml:space="preserve">, </w:t>
      </w:r>
      <w:hyperlink r:id="rId219" w:history="1">
        <w:r w:rsidRPr="00F50C9D">
          <w:rPr>
            <w:szCs w:val="24"/>
          </w:rPr>
          <w:t>120b</w:t>
        </w:r>
      </w:hyperlink>
      <w:r w:rsidRPr="00F50C9D">
        <w:rPr>
          <w:szCs w:val="24"/>
        </w:rPr>
        <w:t xml:space="preserve"> nebo </w:t>
      </w:r>
      <w:hyperlink r:id="rId220" w:history="1">
        <w:r w:rsidRPr="00F50C9D">
          <w:rPr>
            <w:szCs w:val="24"/>
          </w:rPr>
          <w:t>120c</w:t>
        </w:r>
      </w:hyperlink>
      <w:r w:rsidRPr="00F50C9D">
        <w:rPr>
          <w:szCs w:val="24"/>
        </w:rPr>
        <w:t xml:space="preserve">, </w:t>
      </w:r>
    </w:p>
    <w:p w14:paraId="66C02758" w14:textId="77777777" w:rsidR="00272890" w:rsidRPr="00F50C9D" w:rsidRDefault="00272890" w:rsidP="00D60636">
      <w:pPr>
        <w:pStyle w:val="PZTextpsmene"/>
        <w:spacing w:before="0"/>
        <w:rPr>
          <w:szCs w:val="24"/>
        </w:rPr>
      </w:pPr>
      <w:r w:rsidRPr="00F50C9D">
        <w:rPr>
          <w:szCs w:val="24"/>
        </w:rPr>
        <w:t>b)</w:t>
      </w:r>
      <w:r w:rsidRPr="00F50C9D">
        <w:rPr>
          <w:szCs w:val="24"/>
        </w:rPr>
        <w:tab/>
        <w:t xml:space="preserve">poruší některý ze zákazů v rozporu s </w:t>
      </w:r>
      <w:hyperlink r:id="rId221" w:history="1">
        <w:r w:rsidRPr="00F50C9D">
          <w:rPr>
            <w:szCs w:val="24"/>
          </w:rPr>
          <w:t>§ 121</w:t>
        </w:r>
      </w:hyperlink>
      <w:r w:rsidRPr="00F50C9D">
        <w:rPr>
          <w:szCs w:val="24"/>
        </w:rPr>
        <w:t xml:space="preserve">, nebo </w:t>
      </w:r>
    </w:p>
    <w:p w14:paraId="74B248F6" w14:textId="77777777" w:rsidR="00272890" w:rsidRPr="00F50C9D" w:rsidRDefault="00272890" w:rsidP="00D60636">
      <w:pPr>
        <w:pStyle w:val="PZTextpsmene"/>
        <w:spacing w:before="0"/>
        <w:rPr>
          <w:szCs w:val="24"/>
        </w:rPr>
      </w:pPr>
      <w:r w:rsidRPr="00F50C9D">
        <w:rPr>
          <w:szCs w:val="24"/>
        </w:rPr>
        <w:t>c)</w:t>
      </w:r>
      <w:r w:rsidRPr="00F50C9D">
        <w:rPr>
          <w:szCs w:val="24"/>
        </w:rPr>
        <w:tab/>
        <w:t xml:space="preserve">nesplní některou z povinností týkající se povinně uveřejňované informace podle </w:t>
      </w:r>
      <w:hyperlink r:id="rId222" w:history="1">
        <w:r w:rsidRPr="00F50C9D">
          <w:rPr>
            <w:szCs w:val="24"/>
          </w:rPr>
          <w:t>§ 127 odst. 2</w:t>
        </w:r>
      </w:hyperlink>
      <w:r w:rsidRPr="00F50C9D">
        <w:rPr>
          <w:szCs w:val="24"/>
        </w:rPr>
        <w:t>.</w:t>
      </w:r>
    </w:p>
    <w:p w14:paraId="76A5F814" w14:textId="076DD1DD" w:rsidR="00272890" w:rsidRPr="00F50C9D" w:rsidRDefault="00D60636" w:rsidP="00272890">
      <w:pPr>
        <w:pStyle w:val="PZTextodstavce"/>
        <w:spacing w:before="240"/>
        <w:rPr>
          <w:szCs w:val="24"/>
        </w:rPr>
      </w:pPr>
      <w:r>
        <w:rPr>
          <w:szCs w:val="24"/>
        </w:rPr>
        <w:t xml:space="preserve">(3) </w:t>
      </w:r>
      <w:r w:rsidR="00272890" w:rsidRPr="00F50C9D">
        <w:rPr>
          <w:szCs w:val="24"/>
        </w:rPr>
        <w:t xml:space="preserve">Právnická osoba se dále jako emitent uvedený v </w:t>
      </w:r>
      <w:hyperlink r:id="rId223" w:history="1">
        <w:r w:rsidR="00272890" w:rsidRPr="00F50C9D">
          <w:rPr>
            <w:szCs w:val="24"/>
          </w:rPr>
          <w:t>§ 118 odst. 1 písm. a)</w:t>
        </w:r>
      </w:hyperlink>
      <w:r w:rsidR="00272890" w:rsidRPr="00F50C9D">
        <w:rPr>
          <w:szCs w:val="24"/>
        </w:rPr>
        <w:t xml:space="preserve"> dopustí přestupku tím, že </w:t>
      </w:r>
    </w:p>
    <w:p w14:paraId="582B1B10" w14:textId="77777777" w:rsidR="00272890" w:rsidRPr="00F50C9D" w:rsidRDefault="00272890" w:rsidP="00D60636">
      <w:pPr>
        <w:pStyle w:val="PZTextpsmene"/>
        <w:spacing w:before="0"/>
        <w:rPr>
          <w:szCs w:val="24"/>
        </w:rPr>
      </w:pPr>
      <w:r w:rsidRPr="00F50C9D">
        <w:rPr>
          <w:szCs w:val="24"/>
        </w:rPr>
        <w:t>a)</w:t>
      </w:r>
      <w:r w:rsidRPr="00F50C9D">
        <w:rPr>
          <w:szCs w:val="24"/>
        </w:rPr>
        <w:tab/>
        <w:t xml:space="preserve">neposkytne informace podle </w:t>
      </w:r>
      <w:hyperlink r:id="rId224" w:history="1">
        <w:r w:rsidRPr="00F50C9D">
          <w:rPr>
            <w:szCs w:val="24"/>
          </w:rPr>
          <w:t>§ 121e odst. 1</w:t>
        </w:r>
      </w:hyperlink>
      <w:r w:rsidRPr="00F50C9D">
        <w:rPr>
          <w:szCs w:val="24"/>
        </w:rPr>
        <w:t xml:space="preserve">, </w:t>
      </w:r>
      <w:r w:rsidRPr="00CE6378">
        <w:rPr>
          <w:strike/>
          <w:szCs w:val="24"/>
        </w:rPr>
        <w:t xml:space="preserve">nebo </w:t>
      </w:r>
    </w:p>
    <w:p w14:paraId="08BA2223" w14:textId="77777777" w:rsidR="00272890" w:rsidRDefault="00272890" w:rsidP="00D60636">
      <w:pPr>
        <w:pStyle w:val="PZTextpsmene"/>
        <w:spacing w:before="0"/>
        <w:rPr>
          <w:b/>
          <w:strike/>
          <w:szCs w:val="24"/>
        </w:rPr>
      </w:pPr>
      <w:r w:rsidRPr="00F50C9D">
        <w:rPr>
          <w:szCs w:val="24"/>
        </w:rPr>
        <w:t>b)</w:t>
      </w:r>
      <w:r w:rsidRPr="00F50C9D">
        <w:rPr>
          <w:szCs w:val="24"/>
        </w:rPr>
        <w:tab/>
        <w:t xml:space="preserve">poruší povinnost podle </w:t>
      </w:r>
      <w:hyperlink r:id="rId225" w:history="1">
        <w:r w:rsidRPr="00F50C9D">
          <w:rPr>
            <w:szCs w:val="24"/>
          </w:rPr>
          <w:t>§ 121k odst. 4</w:t>
        </w:r>
      </w:hyperlink>
      <w:r w:rsidRPr="00F50C9D">
        <w:rPr>
          <w:szCs w:val="24"/>
        </w:rPr>
        <w:t xml:space="preserve">, </w:t>
      </w:r>
      <w:hyperlink r:id="rId226" w:history="1">
        <w:r w:rsidRPr="00F50C9D">
          <w:rPr>
            <w:szCs w:val="24"/>
          </w:rPr>
          <w:t>§ 121o odst. 4</w:t>
        </w:r>
      </w:hyperlink>
      <w:r w:rsidRPr="00F50C9D">
        <w:rPr>
          <w:szCs w:val="24"/>
        </w:rPr>
        <w:t xml:space="preserve">, </w:t>
      </w:r>
      <w:hyperlink r:id="rId227" w:history="1">
        <w:r w:rsidRPr="00F50C9D">
          <w:rPr>
            <w:szCs w:val="24"/>
          </w:rPr>
          <w:t>§ 121u odst. 1</w:t>
        </w:r>
      </w:hyperlink>
      <w:r w:rsidRPr="00F50C9D">
        <w:rPr>
          <w:szCs w:val="24"/>
        </w:rPr>
        <w:t xml:space="preserve">, </w:t>
      </w:r>
      <w:hyperlink r:id="rId228" w:history="1">
        <w:r w:rsidRPr="00F50C9D">
          <w:rPr>
            <w:szCs w:val="24"/>
          </w:rPr>
          <w:t>§ 121u odst. 2 věty druhé</w:t>
        </w:r>
      </w:hyperlink>
      <w:r w:rsidRPr="00F50C9D">
        <w:rPr>
          <w:szCs w:val="24"/>
        </w:rPr>
        <w:t xml:space="preserve"> nebo </w:t>
      </w:r>
      <w:hyperlink r:id="rId229" w:history="1">
        <w:r w:rsidRPr="00F50C9D">
          <w:rPr>
            <w:szCs w:val="24"/>
          </w:rPr>
          <w:t>§ 121u odst. 3</w:t>
        </w:r>
      </w:hyperlink>
      <w:r w:rsidRPr="00A506CD">
        <w:rPr>
          <w:strike/>
          <w:szCs w:val="24"/>
        </w:rPr>
        <w:t>.</w:t>
      </w:r>
      <w:r>
        <w:rPr>
          <w:b/>
          <w:strike/>
          <w:szCs w:val="24"/>
        </w:rPr>
        <w:t>,</w:t>
      </w:r>
    </w:p>
    <w:p w14:paraId="67BC4CB7" w14:textId="77777777" w:rsidR="00272890" w:rsidRPr="00F50C9D" w:rsidRDefault="00272890" w:rsidP="00D60636">
      <w:pPr>
        <w:pStyle w:val="PZTextpsmene"/>
        <w:spacing w:before="0"/>
        <w:rPr>
          <w:szCs w:val="24"/>
        </w:rPr>
      </w:pPr>
      <w:r>
        <w:rPr>
          <w:b/>
          <w:szCs w:val="24"/>
        </w:rPr>
        <w:lastRenderedPageBreak/>
        <w:t>c)</w:t>
      </w:r>
      <w:r>
        <w:rPr>
          <w:b/>
          <w:szCs w:val="24"/>
        </w:rPr>
        <w:tab/>
      </w:r>
      <w:r w:rsidRPr="005F3602">
        <w:rPr>
          <w:b/>
          <w:szCs w:val="24"/>
        </w:rPr>
        <w:t>nezajistí, aby auditor ověřil</w:t>
      </w:r>
      <w:r>
        <w:rPr>
          <w:b/>
          <w:szCs w:val="24"/>
        </w:rPr>
        <w:t xml:space="preserve">, že </w:t>
      </w:r>
      <w:r w:rsidRPr="00A506CD">
        <w:rPr>
          <w:b/>
          <w:szCs w:val="24"/>
        </w:rPr>
        <w:t>v souladu s § 121o byly prostřednictvím zprávy o odměňování poskytnuty informace vyžadované v § 121p</w:t>
      </w:r>
      <w:r>
        <w:rPr>
          <w:b/>
          <w:szCs w:val="24"/>
        </w:rPr>
        <w:t>.</w:t>
      </w:r>
      <w:r w:rsidRPr="00F50C9D">
        <w:rPr>
          <w:szCs w:val="24"/>
        </w:rPr>
        <w:t xml:space="preserve"> </w:t>
      </w:r>
    </w:p>
    <w:p w14:paraId="3DD7E491" w14:textId="21F940B8" w:rsidR="00272890" w:rsidRPr="00F50C9D" w:rsidRDefault="00D60636" w:rsidP="00272890">
      <w:pPr>
        <w:pStyle w:val="PZTextodstavce"/>
        <w:spacing w:before="240"/>
        <w:rPr>
          <w:szCs w:val="24"/>
        </w:rPr>
      </w:pPr>
      <w:r>
        <w:rPr>
          <w:szCs w:val="24"/>
        </w:rPr>
        <w:t xml:space="preserve">(4) </w:t>
      </w:r>
      <w:r w:rsidR="00272890" w:rsidRPr="00F50C9D">
        <w:rPr>
          <w:szCs w:val="24"/>
        </w:rPr>
        <w:t xml:space="preserve">Právnická nebo podnikající fyzická osoba se jako emitent uvedený v </w:t>
      </w:r>
      <w:hyperlink r:id="rId230" w:history="1">
        <w:r w:rsidR="00272890" w:rsidRPr="00F50C9D">
          <w:rPr>
            <w:szCs w:val="24"/>
          </w:rPr>
          <w:t>§ 127d odst. 1</w:t>
        </w:r>
      </w:hyperlink>
      <w:r w:rsidR="00272890" w:rsidRPr="00F50C9D">
        <w:rPr>
          <w:szCs w:val="24"/>
        </w:rPr>
        <w:t xml:space="preserve"> nebo </w:t>
      </w:r>
      <w:hyperlink r:id="rId231" w:history="1">
        <w:r w:rsidR="00272890" w:rsidRPr="00F50C9D">
          <w:rPr>
            <w:szCs w:val="24"/>
          </w:rPr>
          <w:t>§ 121a</w:t>
        </w:r>
      </w:hyperlink>
      <w:r w:rsidR="00272890" w:rsidRPr="00F50C9D">
        <w:rPr>
          <w:szCs w:val="24"/>
        </w:rPr>
        <w:t xml:space="preserve"> dopustí přestupku tím, že </w:t>
      </w:r>
    </w:p>
    <w:p w14:paraId="1E687195" w14:textId="77777777" w:rsidR="00272890" w:rsidRPr="00F50C9D" w:rsidRDefault="00272890" w:rsidP="00D60636">
      <w:pPr>
        <w:pStyle w:val="PZTextpsmene"/>
        <w:spacing w:before="0"/>
        <w:rPr>
          <w:szCs w:val="24"/>
        </w:rPr>
      </w:pPr>
      <w:r w:rsidRPr="00F50C9D">
        <w:rPr>
          <w:szCs w:val="24"/>
        </w:rPr>
        <w:t>a)</w:t>
      </w:r>
      <w:r w:rsidRPr="00F50C9D">
        <w:rPr>
          <w:szCs w:val="24"/>
        </w:rPr>
        <w:tab/>
        <w:t xml:space="preserve">neuveřejní informaci způsobem podle </w:t>
      </w:r>
      <w:hyperlink r:id="rId232" w:history="1">
        <w:r w:rsidRPr="00F50C9D">
          <w:rPr>
            <w:szCs w:val="24"/>
          </w:rPr>
          <w:t>§ 127d odst. 3</w:t>
        </w:r>
      </w:hyperlink>
      <w:r w:rsidRPr="00F50C9D">
        <w:rPr>
          <w:szCs w:val="24"/>
        </w:rPr>
        <w:t xml:space="preserve">, nebo </w:t>
      </w:r>
    </w:p>
    <w:p w14:paraId="27DA31FA" w14:textId="77777777" w:rsidR="00272890" w:rsidRPr="00F50C9D" w:rsidRDefault="00272890" w:rsidP="00D60636">
      <w:pPr>
        <w:pStyle w:val="PZTextpsmene"/>
        <w:spacing w:before="0"/>
        <w:rPr>
          <w:szCs w:val="24"/>
        </w:rPr>
      </w:pPr>
      <w:r w:rsidRPr="00F50C9D">
        <w:rPr>
          <w:szCs w:val="24"/>
        </w:rPr>
        <w:t>b)</w:t>
      </w:r>
      <w:r w:rsidRPr="00F50C9D">
        <w:rPr>
          <w:szCs w:val="24"/>
        </w:rPr>
        <w:tab/>
        <w:t xml:space="preserve">nesplní oznamovací povinnost podle </w:t>
      </w:r>
      <w:hyperlink r:id="rId233" w:history="1">
        <w:r w:rsidRPr="00F50C9D">
          <w:rPr>
            <w:szCs w:val="24"/>
          </w:rPr>
          <w:t>§ 127d odst. 3</w:t>
        </w:r>
      </w:hyperlink>
      <w:r w:rsidRPr="00F50C9D">
        <w:rPr>
          <w:szCs w:val="24"/>
        </w:rPr>
        <w:t xml:space="preserve">. </w:t>
      </w:r>
    </w:p>
    <w:p w14:paraId="78BC1D48" w14:textId="7214DF51" w:rsidR="00272890" w:rsidRPr="00F50C9D" w:rsidRDefault="00D60636" w:rsidP="00272890">
      <w:pPr>
        <w:pStyle w:val="PZTextodstavce"/>
        <w:spacing w:before="240"/>
        <w:rPr>
          <w:szCs w:val="24"/>
        </w:rPr>
      </w:pPr>
      <w:r>
        <w:rPr>
          <w:szCs w:val="24"/>
        </w:rPr>
        <w:t xml:space="preserve">(5) </w:t>
      </w:r>
      <w:r w:rsidR="00272890" w:rsidRPr="00F50C9D">
        <w:rPr>
          <w:szCs w:val="24"/>
        </w:rPr>
        <w:t>Právnická osoba se jako emitent uvedený v § 134m dopustí přestupku tím, že</w:t>
      </w:r>
    </w:p>
    <w:p w14:paraId="63BC4EB6" w14:textId="77777777" w:rsidR="00272890" w:rsidRPr="00F50C9D" w:rsidRDefault="00272890" w:rsidP="00D60636">
      <w:pPr>
        <w:pStyle w:val="PZTextpsmene"/>
        <w:spacing w:before="0"/>
        <w:rPr>
          <w:szCs w:val="24"/>
        </w:rPr>
      </w:pPr>
      <w:r w:rsidRPr="00F50C9D">
        <w:rPr>
          <w:szCs w:val="24"/>
        </w:rPr>
        <w:t>a)</w:t>
      </w:r>
      <w:r w:rsidRPr="00F50C9D">
        <w:rPr>
          <w:szCs w:val="24"/>
        </w:rPr>
        <w:tab/>
        <w:t xml:space="preserve">nezajistí, aby </w:t>
      </w:r>
      <w:r w:rsidRPr="00F50C9D">
        <w:rPr>
          <w:strike/>
          <w:szCs w:val="24"/>
        </w:rPr>
        <w:t>výkaz o řízení a správě</w:t>
      </w:r>
      <w:r w:rsidRPr="00F50C9D">
        <w:rPr>
          <w:szCs w:val="24"/>
        </w:rPr>
        <w:t xml:space="preserve"> </w:t>
      </w:r>
      <w:r w:rsidRPr="00F50C9D">
        <w:rPr>
          <w:b/>
          <w:szCs w:val="24"/>
        </w:rPr>
        <w:t>zpráva o správě a řízení</w:t>
      </w:r>
      <w:r w:rsidRPr="00F50C9D">
        <w:rPr>
          <w:szCs w:val="24"/>
        </w:rPr>
        <w:t xml:space="preserve"> emitenta obsahoval informace podle § 118 odst. 7,</w:t>
      </w:r>
    </w:p>
    <w:p w14:paraId="4A248A30" w14:textId="77777777" w:rsidR="00272890" w:rsidRPr="00F50C9D" w:rsidRDefault="00272890" w:rsidP="00D60636">
      <w:pPr>
        <w:pStyle w:val="PZTextpsmene"/>
        <w:spacing w:before="0"/>
        <w:rPr>
          <w:szCs w:val="24"/>
        </w:rPr>
      </w:pPr>
      <w:r w:rsidRPr="00F50C9D">
        <w:rPr>
          <w:szCs w:val="24"/>
        </w:rPr>
        <w:t>b)</w:t>
      </w:r>
      <w:r w:rsidRPr="00F50C9D">
        <w:rPr>
          <w:szCs w:val="24"/>
        </w:rPr>
        <w:tab/>
        <w:t xml:space="preserve">si nestanoví cíl vyváženého zastoupení žen a mužů mezi členy vedoucího orgánu emitenta podle § 134n odst. 1 nebo 2, nebo </w:t>
      </w:r>
    </w:p>
    <w:p w14:paraId="76D626C1" w14:textId="77777777" w:rsidR="00272890" w:rsidRPr="00F50C9D" w:rsidRDefault="00272890" w:rsidP="00D60636">
      <w:pPr>
        <w:pStyle w:val="PZTextpsmene"/>
        <w:spacing w:before="0"/>
        <w:rPr>
          <w:szCs w:val="24"/>
        </w:rPr>
      </w:pPr>
      <w:r w:rsidRPr="00F50C9D">
        <w:rPr>
          <w:szCs w:val="24"/>
        </w:rPr>
        <w:t>c)</w:t>
      </w:r>
      <w:r w:rsidRPr="00F50C9D">
        <w:rPr>
          <w:szCs w:val="24"/>
        </w:rPr>
        <w:tab/>
        <w:t>neuveřejní informace na svých internetových stránkách podle § 134n odst. 3.</w:t>
      </w:r>
    </w:p>
    <w:p w14:paraId="1099B9B8" w14:textId="21A957BD" w:rsidR="00272890" w:rsidRPr="00F50C9D" w:rsidRDefault="00D60636" w:rsidP="00272890">
      <w:pPr>
        <w:pStyle w:val="PZTextodstavce"/>
        <w:spacing w:before="240"/>
        <w:rPr>
          <w:szCs w:val="24"/>
        </w:rPr>
      </w:pPr>
      <w:r>
        <w:rPr>
          <w:szCs w:val="24"/>
        </w:rPr>
        <w:t xml:space="preserve">(6) </w:t>
      </w:r>
      <w:r w:rsidR="00272890" w:rsidRPr="00F50C9D">
        <w:rPr>
          <w:szCs w:val="24"/>
        </w:rPr>
        <w:t>Právnická osoba se jako emitent uvedený v § 134m, který neplní nebo v den volby nebo jmenování člena vedoucího orgánu emitenta neplnil cíl vyváženého zastoupení žen a mužů mezi členy vedoucího orgánu emitenta podle § 134n odst. 1, dopustí přestupku tím, že</w:t>
      </w:r>
    </w:p>
    <w:p w14:paraId="74768834" w14:textId="77777777" w:rsidR="00272890" w:rsidRPr="00F50C9D" w:rsidRDefault="00272890" w:rsidP="00D60636">
      <w:pPr>
        <w:pStyle w:val="PZTextpsmene"/>
        <w:spacing w:before="0"/>
        <w:rPr>
          <w:szCs w:val="24"/>
        </w:rPr>
      </w:pPr>
      <w:r w:rsidRPr="00F50C9D">
        <w:rPr>
          <w:szCs w:val="24"/>
        </w:rPr>
        <w:t>a) nesplní některou z povinností při výběru kandidáta na člena vedoucího orgánu emitenta podle § 134o,</w:t>
      </w:r>
    </w:p>
    <w:p w14:paraId="02543439" w14:textId="77777777" w:rsidR="00272890" w:rsidRPr="00F50C9D" w:rsidRDefault="00272890" w:rsidP="00D60636">
      <w:pPr>
        <w:pStyle w:val="PZTextpsmene"/>
        <w:spacing w:before="0"/>
        <w:rPr>
          <w:szCs w:val="24"/>
        </w:rPr>
      </w:pPr>
      <w:r w:rsidRPr="00F50C9D">
        <w:rPr>
          <w:szCs w:val="24"/>
        </w:rPr>
        <w:t>b) neposkytne kandidátovi na člena vedoucího orgánu emitenta informace podle § 134p, nebo</w:t>
      </w:r>
    </w:p>
    <w:p w14:paraId="73640F99" w14:textId="77777777" w:rsidR="00272890" w:rsidRPr="00F50C9D" w:rsidRDefault="00272890" w:rsidP="00D60636">
      <w:pPr>
        <w:pStyle w:val="PZTextpsmene"/>
        <w:spacing w:before="0"/>
        <w:rPr>
          <w:szCs w:val="24"/>
        </w:rPr>
      </w:pPr>
      <w:r w:rsidRPr="00F50C9D">
        <w:rPr>
          <w:szCs w:val="24"/>
        </w:rPr>
        <w:t>c) nesplní oznamovací povinnost podle § 134o odst. 2.</w:t>
      </w:r>
    </w:p>
    <w:p w14:paraId="60B756D2" w14:textId="19B839C5" w:rsidR="00272890" w:rsidRPr="00F50C9D" w:rsidRDefault="00D60636" w:rsidP="00272890">
      <w:pPr>
        <w:pStyle w:val="PZTextodstavce"/>
        <w:spacing w:before="240"/>
        <w:rPr>
          <w:szCs w:val="24"/>
        </w:rPr>
      </w:pPr>
      <w:r>
        <w:rPr>
          <w:szCs w:val="24"/>
        </w:rPr>
        <w:t xml:space="preserve">(7) </w:t>
      </w:r>
      <w:r w:rsidR="00272890" w:rsidRPr="00F50C9D">
        <w:rPr>
          <w:szCs w:val="24"/>
        </w:rPr>
        <w:t xml:space="preserve">Za přestupek emitenta, který je právnickou osobou, podle odstavce 1 lze uložit pokutu do </w:t>
      </w:r>
    </w:p>
    <w:p w14:paraId="748A98F7" w14:textId="77777777" w:rsidR="00272890" w:rsidRPr="00F50C9D" w:rsidRDefault="00272890" w:rsidP="00D60636">
      <w:pPr>
        <w:pStyle w:val="PZTextpsmene"/>
        <w:spacing w:before="0"/>
        <w:rPr>
          <w:szCs w:val="24"/>
        </w:rPr>
      </w:pPr>
      <w:r w:rsidRPr="00F50C9D">
        <w:rPr>
          <w:szCs w:val="24"/>
        </w:rPr>
        <w:t>a)</w:t>
      </w:r>
      <w:r w:rsidRPr="00F50C9D">
        <w:rPr>
          <w:szCs w:val="24"/>
        </w:rPr>
        <w:tab/>
        <w:t xml:space="preserve">300 000 000 Kč, </w:t>
      </w:r>
    </w:p>
    <w:p w14:paraId="041B4467" w14:textId="77777777" w:rsidR="00272890" w:rsidRPr="00F50C9D" w:rsidRDefault="00272890" w:rsidP="00D60636">
      <w:pPr>
        <w:pStyle w:val="PZTextpsmene"/>
        <w:spacing w:before="0"/>
        <w:rPr>
          <w:szCs w:val="24"/>
        </w:rPr>
      </w:pPr>
      <w:r w:rsidRPr="00F50C9D">
        <w:rPr>
          <w:szCs w:val="24"/>
        </w:rPr>
        <w:t>b)</w:t>
      </w:r>
      <w:r w:rsidRPr="00F50C9D">
        <w:rPr>
          <w:szCs w:val="24"/>
        </w:rPr>
        <w:tab/>
        <w:t xml:space="preserve">výše 5 % celkového ročního obratu této právnické osoby podle </w:t>
      </w:r>
      <w:r w:rsidRPr="00F50C9D">
        <w:rPr>
          <w:strike/>
          <w:szCs w:val="24"/>
        </w:rPr>
        <w:t>její poslední řádné účetní závěrky nebo konsolidované účetní závěrky</w:t>
      </w:r>
      <w:r w:rsidRPr="00F50C9D">
        <w:rPr>
          <w:b/>
          <w:szCs w:val="24"/>
        </w:rPr>
        <w:t xml:space="preserve"> </w:t>
      </w:r>
      <w:r w:rsidRPr="00F50C9D">
        <w:rPr>
          <w:b/>
          <w:bCs/>
          <w:szCs w:val="24"/>
        </w:rPr>
        <w:t>poslední řádné konsolidované účetní závěrky</w:t>
      </w:r>
      <w:r w:rsidRPr="00F50C9D">
        <w:rPr>
          <w:b/>
          <w:szCs w:val="24"/>
        </w:rPr>
        <w:t xml:space="preserve"> konsolidačního</w:t>
      </w:r>
      <w:r w:rsidRPr="00F50C9D" w:rsidDel="0014455D">
        <w:rPr>
          <w:b/>
          <w:szCs w:val="24"/>
        </w:rPr>
        <w:t xml:space="preserve"> </w:t>
      </w:r>
      <w:r w:rsidRPr="00F50C9D">
        <w:rPr>
          <w:b/>
          <w:szCs w:val="24"/>
        </w:rPr>
        <w:t>celku, v němž je zahrnuta,</w:t>
      </w:r>
      <w:r w:rsidRPr="00F50C9D">
        <w:rPr>
          <w:szCs w:val="24"/>
        </w:rPr>
        <w:t xml:space="preserve"> </w:t>
      </w:r>
      <w:r w:rsidRPr="00F50C9D">
        <w:rPr>
          <w:b/>
          <w:szCs w:val="24"/>
        </w:rPr>
        <w:t>nebo řádné individuální účetní závěrky, není-li taková konsolidovaná účetní závěrka</w:t>
      </w:r>
      <w:r w:rsidRPr="00F50C9D">
        <w:rPr>
          <w:szCs w:val="24"/>
        </w:rPr>
        <w:t xml:space="preserve">, přesahuje-li takto určená výše pokuty částku 300 000 000 Kč, nebo </w:t>
      </w:r>
    </w:p>
    <w:p w14:paraId="251BE2E2" w14:textId="77777777" w:rsidR="00272890" w:rsidRPr="00F50C9D" w:rsidRDefault="00272890" w:rsidP="00D60636">
      <w:pPr>
        <w:pStyle w:val="PZTextpsmene"/>
        <w:spacing w:before="0"/>
        <w:rPr>
          <w:szCs w:val="24"/>
        </w:rPr>
      </w:pPr>
      <w:r w:rsidRPr="00F50C9D">
        <w:rPr>
          <w:szCs w:val="24"/>
        </w:rPr>
        <w:t>c)</w:t>
      </w:r>
      <w:r w:rsidRPr="00F50C9D">
        <w:rPr>
          <w:szCs w:val="24"/>
        </w:rPr>
        <w:tab/>
        <w:t xml:space="preserve">výše dvojnásobku neoprávněného prospěchu získaného spácháním tohoto přestupku, je-li možné výši neoprávněného prospěchu zjistit a přesahuje-li takto určená výše pokuty částku 300 000 000 Kč. </w:t>
      </w:r>
    </w:p>
    <w:p w14:paraId="39DBCC2C" w14:textId="0A3985CC" w:rsidR="00272890" w:rsidRPr="00F50C9D" w:rsidRDefault="00D60636" w:rsidP="00272890">
      <w:pPr>
        <w:pStyle w:val="PZTextodstavce"/>
        <w:spacing w:before="240"/>
        <w:rPr>
          <w:szCs w:val="24"/>
        </w:rPr>
      </w:pPr>
      <w:r>
        <w:rPr>
          <w:szCs w:val="24"/>
        </w:rPr>
        <w:t xml:space="preserve">(8) </w:t>
      </w:r>
      <w:r w:rsidR="00272890" w:rsidRPr="00F50C9D">
        <w:rPr>
          <w:szCs w:val="24"/>
        </w:rPr>
        <w:t xml:space="preserve">Za přestupek emitenta, který je podnikající fyzickou osobou, podle odstavce 1 lze uložit pokutu do </w:t>
      </w:r>
    </w:p>
    <w:p w14:paraId="4034862E" w14:textId="77777777" w:rsidR="00272890" w:rsidRPr="00F50C9D" w:rsidRDefault="00272890" w:rsidP="00D60636">
      <w:pPr>
        <w:pStyle w:val="PZTextpsmene"/>
        <w:spacing w:before="0"/>
        <w:rPr>
          <w:szCs w:val="24"/>
        </w:rPr>
      </w:pPr>
      <w:r w:rsidRPr="00F50C9D">
        <w:rPr>
          <w:szCs w:val="24"/>
        </w:rPr>
        <w:t>a)</w:t>
      </w:r>
      <w:r w:rsidRPr="00F50C9D">
        <w:rPr>
          <w:szCs w:val="24"/>
        </w:rPr>
        <w:tab/>
        <w:t xml:space="preserve">60 000 000 Kč, nebo </w:t>
      </w:r>
    </w:p>
    <w:p w14:paraId="3A0C7684" w14:textId="77777777" w:rsidR="00272890" w:rsidRPr="00F50C9D" w:rsidRDefault="00272890" w:rsidP="00D60636">
      <w:pPr>
        <w:pStyle w:val="PZTextpsmene"/>
        <w:spacing w:before="0"/>
        <w:rPr>
          <w:szCs w:val="24"/>
        </w:rPr>
      </w:pPr>
      <w:r w:rsidRPr="00F50C9D">
        <w:rPr>
          <w:szCs w:val="24"/>
        </w:rPr>
        <w:t>b)</w:t>
      </w:r>
      <w:r w:rsidRPr="00F50C9D">
        <w:rPr>
          <w:szCs w:val="24"/>
        </w:rPr>
        <w:tab/>
        <w:t xml:space="preserve">výše dvojnásobku neoprávněného prospěchu získaného spácháním tohoto přestupku, je-li možné výši neoprávněného prospěchu zjistit a přesahuje-li takto určená výše pokuty částku 60 000 000 Kč. </w:t>
      </w:r>
    </w:p>
    <w:p w14:paraId="0B2B7DB3" w14:textId="7C83697C" w:rsidR="00272890" w:rsidRPr="00F50C9D" w:rsidRDefault="00D60636" w:rsidP="00272890">
      <w:pPr>
        <w:pStyle w:val="PZTextodstavce"/>
        <w:spacing w:before="240"/>
        <w:rPr>
          <w:szCs w:val="24"/>
        </w:rPr>
      </w:pPr>
      <w:r>
        <w:rPr>
          <w:szCs w:val="24"/>
        </w:rPr>
        <w:t xml:space="preserve">(9) </w:t>
      </w:r>
      <w:r w:rsidR="00272890" w:rsidRPr="00F50C9D">
        <w:rPr>
          <w:szCs w:val="24"/>
        </w:rPr>
        <w:t xml:space="preserve">Za přestupek podle odstavce 2 až 6 lze uložit pokutu do 1 000 000 Kč. </w:t>
      </w:r>
    </w:p>
    <w:p w14:paraId="1E81E40B" w14:textId="77777777" w:rsidR="00272890" w:rsidRPr="00F50C9D" w:rsidRDefault="00272890" w:rsidP="00272890">
      <w:pPr>
        <w:keepNext/>
        <w:keepLines/>
        <w:spacing w:after="120"/>
        <w:jc w:val="center"/>
        <w:rPr>
          <w:szCs w:val="24"/>
        </w:rPr>
      </w:pPr>
      <w:r w:rsidRPr="00F50C9D">
        <w:rPr>
          <w:szCs w:val="24"/>
        </w:rPr>
        <w:lastRenderedPageBreak/>
        <w:t>§ 173</w:t>
      </w:r>
    </w:p>
    <w:p w14:paraId="78162D52" w14:textId="77777777" w:rsidR="00272890" w:rsidRPr="00F50C9D" w:rsidRDefault="00272890" w:rsidP="00272890">
      <w:pPr>
        <w:keepNext/>
        <w:keepLines/>
        <w:spacing w:after="120"/>
        <w:jc w:val="center"/>
        <w:rPr>
          <w:b/>
          <w:szCs w:val="24"/>
        </w:rPr>
      </w:pPr>
      <w:r w:rsidRPr="00F50C9D">
        <w:rPr>
          <w:b/>
          <w:szCs w:val="24"/>
        </w:rPr>
        <w:t>Přestupky investiční holdingové osoby, smíšené finanční holdingové osoby a smíšené holdingové osoby</w:t>
      </w:r>
    </w:p>
    <w:p w14:paraId="05D58CE4" w14:textId="6704C2E9" w:rsidR="00272890" w:rsidRPr="00F50C9D" w:rsidRDefault="000C1EA8" w:rsidP="0006588E">
      <w:pPr>
        <w:pStyle w:val="PZTextodstavce"/>
        <w:rPr>
          <w:szCs w:val="24"/>
        </w:rPr>
      </w:pPr>
      <w:r>
        <w:rPr>
          <w:szCs w:val="24"/>
        </w:rPr>
        <w:t xml:space="preserve">(1) </w:t>
      </w:r>
      <w:r w:rsidR="00272890" w:rsidRPr="00F50C9D">
        <w:rPr>
          <w:szCs w:val="24"/>
        </w:rPr>
        <w:t>Investiční holdingová osoba nebo smíšená finanční holdingová osoba se dopustí přestupku tím, že</w:t>
      </w:r>
    </w:p>
    <w:p w14:paraId="6C8AC218" w14:textId="77777777" w:rsidR="00272890" w:rsidRPr="00F50C9D" w:rsidRDefault="00272890" w:rsidP="0006588E">
      <w:pPr>
        <w:pStyle w:val="PZTextpsmene"/>
        <w:spacing w:before="0"/>
        <w:rPr>
          <w:szCs w:val="24"/>
        </w:rPr>
      </w:pPr>
      <w:r w:rsidRPr="00F50C9D">
        <w:rPr>
          <w:szCs w:val="24"/>
        </w:rPr>
        <w:t>a)</w:t>
      </w:r>
      <w:r w:rsidRPr="00F50C9D">
        <w:rPr>
          <w:szCs w:val="24"/>
        </w:rPr>
        <w:tab/>
        <w:t>člen jejího vedoucího orgánu nesplňuje požadavky podle § 155a odst. 1, nebo</w:t>
      </w:r>
    </w:p>
    <w:p w14:paraId="2245068F" w14:textId="77777777" w:rsidR="00272890" w:rsidRPr="00F50C9D" w:rsidRDefault="00272890" w:rsidP="0006588E">
      <w:pPr>
        <w:pStyle w:val="PZTextpsmene"/>
        <w:spacing w:before="0"/>
        <w:rPr>
          <w:szCs w:val="24"/>
        </w:rPr>
      </w:pPr>
      <w:r w:rsidRPr="00F50C9D">
        <w:rPr>
          <w:szCs w:val="24"/>
        </w:rPr>
        <w:t>b)</w:t>
      </w:r>
      <w:r w:rsidRPr="00F50C9D">
        <w:rPr>
          <w:szCs w:val="24"/>
        </w:rPr>
        <w:tab/>
        <w:t>nesplní informační povinnost nebo nepředloží příslušné podklady podle § 155a odst. 2.</w:t>
      </w:r>
    </w:p>
    <w:p w14:paraId="4D196EE5" w14:textId="2FFD30D2" w:rsidR="00272890" w:rsidRPr="00F50C9D" w:rsidRDefault="00272890" w:rsidP="0006588E">
      <w:pPr>
        <w:pStyle w:val="PZTextodstavce"/>
        <w:rPr>
          <w:szCs w:val="24"/>
        </w:rPr>
      </w:pPr>
      <w:proofErr w:type="gramStart"/>
      <w:r w:rsidRPr="00F50C9D">
        <w:rPr>
          <w:szCs w:val="24"/>
        </w:rPr>
        <w:t>(2)</w:t>
      </w:r>
      <w:r w:rsidR="000C1EA8">
        <w:rPr>
          <w:szCs w:val="24"/>
        </w:rPr>
        <w:t xml:space="preserve"> </w:t>
      </w:r>
      <w:r w:rsidR="000C1EA8" w:rsidRPr="00F50C9D">
        <w:rPr>
          <w:szCs w:val="24"/>
        </w:rPr>
        <w:t xml:space="preserve"> </w:t>
      </w:r>
      <w:r w:rsidRPr="00F50C9D">
        <w:rPr>
          <w:szCs w:val="24"/>
        </w:rPr>
        <w:t>Smíšená</w:t>
      </w:r>
      <w:proofErr w:type="gramEnd"/>
      <w:r w:rsidRPr="00F50C9D">
        <w:rPr>
          <w:szCs w:val="24"/>
        </w:rPr>
        <w:t xml:space="preserve"> holdingová osoba se dopustí přestupku tím, že neposkytne České národní bance informace podle § 155b odst. 1 písm. a).</w:t>
      </w:r>
    </w:p>
    <w:p w14:paraId="63C023F3" w14:textId="58B238BB" w:rsidR="00272890" w:rsidRPr="00F50C9D" w:rsidRDefault="000C1EA8" w:rsidP="0006588E">
      <w:pPr>
        <w:pStyle w:val="PZTextodstavce"/>
        <w:rPr>
          <w:szCs w:val="24"/>
        </w:rPr>
      </w:pPr>
      <w:r>
        <w:rPr>
          <w:szCs w:val="24"/>
        </w:rPr>
        <w:t xml:space="preserve">(3) </w:t>
      </w:r>
      <w:r w:rsidR="00272890" w:rsidRPr="00F50C9D">
        <w:rPr>
          <w:szCs w:val="24"/>
        </w:rPr>
        <w:t>Za přestupek investiční holdingové osoby, smíšené finanční holdingové osoby nebo smíšené holdingové osoby podle odstavce 1 a 2 lze uložit pokutu do</w:t>
      </w:r>
    </w:p>
    <w:p w14:paraId="5D301C88" w14:textId="77777777" w:rsidR="00272890" w:rsidRPr="00F50C9D" w:rsidRDefault="00272890" w:rsidP="000C1EA8">
      <w:pPr>
        <w:pStyle w:val="PZTextpsmene"/>
        <w:spacing w:before="0"/>
        <w:rPr>
          <w:szCs w:val="24"/>
        </w:rPr>
      </w:pPr>
      <w:r w:rsidRPr="00F50C9D">
        <w:rPr>
          <w:szCs w:val="24"/>
        </w:rPr>
        <w:t>a)</w:t>
      </w:r>
      <w:r w:rsidRPr="00F50C9D">
        <w:rPr>
          <w:szCs w:val="24"/>
        </w:rPr>
        <w:tab/>
        <w:t>10 000 000 Kč,</w:t>
      </w:r>
    </w:p>
    <w:p w14:paraId="19C385E5" w14:textId="77777777" w:rsidR="00272890" w:rsidRPr="00F50C9D" w:rsidRDefault="00272890" w:rsidP="000C1EA8">
      <w:pPr>
        <w:pStyle w:val="PZTextpsmene"/>
        <w:spacing w:before="0"/>
        <w:rPr>
          <w:szCs w:val="24"/>
        </w:rPr>
      </w:pPr>
      <w:r w:rsidRPr="00F50C9D">
        <w:rPr>
          <w:szCs w:val="24"/>
        </w:rPr>
        <w:t>b)</w:t>
      </w:r>
      <w:r w:rsidRPr="00F50C9D">
        <w:rPr>
          <w:szCs w:val="24"/>
        </w:rPr>
        <w:tab/>
        <w:t xml:space="preserve">výše 10 % celkového ročního obratu této osoby podle </w:t>
      </w:r>
      <w:r w:rsidRPr="00F50C9D">
        <w:rPr>
          <w:strike/>
          <w:szCs w:val="24"/>
        </w:rPr>
        <w:t>její poslední řádné účetní závěrky nebo konsolidované účetní závěrky</w:t>
      </w:r>
      <w:r w:rsidRPr="00F50C9D">
        <w:rPr>
          <w:b/>
          <w:szCs w:val="24"/>
        </w:rPr>
        <w:t xml:space="preserve"> </w:t>
      </w:r>
      <w:r w:rsidRPr="00F50C9D">
        <w:rPr>
          <w:b/>
          <w:bCs/>
          <w:szCs w:val="24"/>
        </w:rPr>
        <w:t>poslední řádné konsolidované účetní závěrky</w:t>
      </w:r>
      <w:r w:rsidRPr="00F50C9D">
        <w:rPr>
          <w:b/>
          <w:szCs w:val="24"/>
        </w:rPr>
        <w:t xml:space="preserve"> konsolidačního</w:t>
      </w:r>
      <w:r w:rsidRPr="00F50C9D" w:rsidDel="002D2408">
        <w:rPr>
          <w:b/>
          <w:szCs w:val="24"/>
        </w:rPr>
        <w:t xml:space="preserve"> </w:t>
      </w:r>
      <w:r w:rsidRPr="00F50C9D">
        <w:rPr>
          <w:b/>
          <w:szCs w:val="24"/>
        </w:rPr>
        <w:t>celku, v němž je zahrnuta,</w:t>
      </w:r>
      <w:r w:rsidRPr="00F50C9D">
        <w:rPr>
          <w:szCs w:val="24"/>
        </w:rPr>
        <w:t xml:space="preserve"> </w:t>
      </w:r>
      <w:r w:rsidRPr="00F50C9D">
        <w:rPr>
          <w:b/>
          <w:szCs w:val="24"/>
        </w:rPr>
        <w:t>nebo řádné individuální účetní závěrky, není-li taková konsolidovaná účetní závěrka</w:t>
      </w:r>
      <w:r w:rsidRPr="00F50C9D">
        <w:rPr>
          <w:szCs w:val="24"/>
        </w:rPr>
        <w:t>, přesahuje-li tato částka částku stanovenou v písmenu a), nebo</w:t>
      </w:r>
    </w:p>
    <w:p w14:paraId="7CF458A9" w14:textId="77777777" w:rsidR="00272890" w:rsidRPr="00F50C9D" w:rsidRDefault="00272890" w:rsidP="000C1EA8">
      <w:pPr>
        <w:pStyle w:val="PZTextpsmene"/>
        <w:widowControl w:val="0"/>
        <w:spacing w:before="0"/>
        <w:rPr>
          <w:szCs w:val="24"/>
        </w:rPr>
      </w:pPr>
      <w:r w:rsidRPr="00F50C9D">
        <w:rPr>
          <w:szCs w:val="24"/>
        </w:rPr>
        <w:t>c)</w:t>
      </w:r>
      <w:r w:rsidRPr="00F50C9D">
        <w:rPr>
          <w:szCs w:val="24"/>
        </w:rPr>
        <w:tab/>
        <w:t>výše dvojnásobku neoprávněného prospěchu získaného spácháním tohoto přestupku, je-li možné výši neoprávněného prospěchu zjistit a přesahuje-li tato částka částku stanovenou v písmenech a) a b).</w:t>
      </w:r>
    </w:p>
    <w:p w14:paraId="44FA4D9F" w14:textId="77777777" w:rsidR="00272890" w:rsidRPr="00F50C9D" w:rsidRDefault="00272890" w:rsidP="000C1EA8">
      <w:pPr>
        <w:keepNext/>
        <w:widowControl w:val="0"/>
        <w:spacing w:after="120"/>
        <w:ind w:firstLine="0"/>
        <w:jc w:val="center"/>
        <w:rPr>
          <w:bCs/>
          <w:szCs w:val="24"/>
        </w:rPr>
      </w:pPr>
      <w:r w:rsidRPr="00F50C9D">
        <w:rPr>
          <w:bCs/>
          <w:szCs w:val="24"/>
        </w:rPr>
        <w:t>§ 173b</w:t>
      </w:r>
    </w:p>
    <w:p w14:paraId="51809AE9" w14:textId="77777777" w:rsidR="00272890" w:rsidRPr="00F50C9D" w:rsidRDefault="00272890" w:rsidP="00272890">
      <w:pPr>
        <w:keepNext/>
        <w:widowControl w:val="0"/>
        <w:spacing w:after="120"/>
        <w:rPr>
          <w:bCs/>
          <w:strike/>
          <w:szCs w:val="24"/>
        </w:rPr>
      </w:pPr>
      <w:r w:rsidRPr="00F50C9D">
        <w:rPr>
          <w:bCs/>
          <w:strike/>
          <w:szCs w:val="24"/>
        </w:rPr>
        <w:t>(1) Poskytovatel služeb skupinového financování se dopustí přestupku tím, že nesplní informační povinnost podle § 90k.</w:t>
      </w:r>
    </w:p>
    <w:p w14:paraId="4DC3C7CB" w14:textId="5F2CF44B" w:rsidR="00272890" w:rsidRPr="00F50C9D" w:rsidRDefault="000C1EA8" w:rsidP="00272890">
      <w:pPr>
        <w:pStyle w:val="PZTextodstavce"/>
        <w:spacing w:before="240"/>
        <w:rPr>
          <w:b/>
          <w:bCs/>
          <w:szCs w:val="24"/>
        </w:rPr>
      </w:pPr>
      <w:r>
        <w:rPr>
          <w:b/>
          <w:bCs/>
          <w:szCs w:val="24"/>
        </w:rPr>
        <w:t xml:space="preserve">(1) </w:t>
      </w:r>
      <w:r w:rsidR="00272890" w:rsidRPr="00F50C9D">
        <w:rPr>
          <w:b/>
          <w:bCs/>
          <w:szCs w:val="24"/>
        </w:rPr>
        <w:t>Poskytovatel služeb skupinového financování se dopustí přestupku tím, že nesplní</w:t>
      </w:r>
    </w:p>
    <w:p w14:paraId="6AD486D8" w14:textId="77777777" w:rsidR="00272890" w:rsidRPr="00F50C9D" w:rsidRDefault="00272890" w:rsidP="000C1EA8">
      <w:pPr>
        <w:pStyle w:val="PZTextpsmene"/>
        <w:spacing w:before="0"/>
        <w:rPr>
          <w:b/>
          <w:szCs w:val="24"/>
        </w:rPr>
      </w:pPr>
      <w:r w:rsidRPr="00F50C9D">
        <w:rPr>
          <w:b/>
          <w:szCs w:val="24"/>
        </w:rPr>
        <w:t>a)</w:t>
      </w:r>
      <w:r w:rsidRPr="00F50C9D">
        <w:rPr>
          <w:b/>
          <w:szCs w:val="24"/>
        </w:rPr>
        <w:tab/>
        <w:t>povinnost auditu řádné účetní závěrky podle § 90k, nebo</w:t>
      </w:r>
    </w:p>
    <w:p w14:paraId="7645ECF9" w14:textId="77777777" w:rsidR="00272890" w:rsidRPr="00F50C9D" w:rsidRDefault="00272890" w:rsidP="000C1EA8">
      <w:pPr>
        <w:pStyle w:val="PZTextpsmene"/>
        <w:spacing w:before="0"/>
        <w:rPr>
          <w:b/>
          <w:szCs w:val="24"/>
        </w:rPr>
      </w:pPr>
      <w:r w:rsidRPr="00F50C9D">
        <w:rPr>
          <w:b/>
          <w:szCs w:val="24"/>
        </w:rPr>
        <w:t>b)</w:t>
      </w:r>
      <w:r w:rsidRPr="00F50C9D">
        <w:rPr>
          <w:b/>
          <w:szCs w:val="24"/>
        </w:rPr>
        <w:tab/>
        <w:t>informační povinnost podle § 90k.</w:t>
      </w:r>
    </w:p>
    <w:p w14:paraId="73A10ADC" w14:textId="37DD5468" w:rsidR="00272890" w:rsidRPr="00F50C9D" w:rsidRDefault="000C1EA8" w:rsidP="00272890">
      <w:pPr>
        <w:pStyle w:val="PZTextodstavce"/>
        <w:spacing w:before="240"/>
        <w:rPr>
          <w:bCs/>
          <w:szCs w:val="24"/>
        </w:rPr>
      </w:pPr>
      <w:r>
        <w:rPr>
          <w:bCs/>
          <w:szCs w:val="24"/>
        </w:rPr>
        <w:t xml:space="preserve">(2) </w:t>
      </w:r>
      <w:r w:rsidR="00272890" w:rsidRPr="00F50C9D">
        <w:rPr>
          <w:szCs w:val="24"/>
        </w:rPr>
        <w:t>Za</w:t>
      </w:r>
      <w:r w:rsidR="00272890" w:rsidRPr="00F50C9D">
        <w:rPr>
          <w:bCs/>
          <w:szCs w:val="24"/>
        </w:rPr>
        <w:t xml:space="preserve"> přestupek podle odstavce 1 lze uložit pokutu do 500 000 Kč.</w:t>
      </w:r>
    </w:p>
    <w:p w14:paraId="042A8440" w14:textId="77777777" w:rsidR="00272890" w:rsidRPr="00F50C9D" w:rsidRDefault="00272890" w:rsidP="000C1EA8">
      <w:pPr>
        <w:keepNext/>
        <w:keepLines/>
        <w:widowControl w:val="0"/>
        <w:autoSpaceDE w:val="0"/>
        <w:autoSpaceDN w:val="0"/>
        <w:adjustRightInd w:val="0"/>
        <w:spacing w:after="120"/>
        <w:ind w:firstLine="0"/>
        <w:jc w:val="center"/>
        <w:rPr>
          <w:szCs w:val="24"/>
        </w:rPr>
      </w:pPr>
      <w:r w:rsidRPr="00F50C9D">
        <w:rPr>
          <w:szCs w:val="24"/>
        </w:rPr>
        <w:t xml:space="preserve">§ 175 </w:t>
      </w:r>
    </w:p>
    <w:p w14:paraId="6E203522" w14:textId="77777777" w:rsidR="00272890" w:rsidRPr="00F50C9D" w:rsidRDefault="00272890" w:rsidP="000C1EA8">
      <w:pPr>
        <w:keepNext/>
        <w:keepLines/>
        <w:widowControl w:val="0"/>
        <w:autoSpaceDE w:val="0"/>
        <w:autoSpaceDN w:val="0"/>
        <w:adjustRightInd w:val="0"/>
        <w:spacing w:after="120"/>
        <w:ind w:firstLine="0"/>
        <w:jc w:val="center"/>
        <w:rPr>
          <w:b/>
          <w:bCs/>
          <w:szCs w:val="24"/>
        </w:rPr>
      </w:pPr>
      <w:r w:rsidRPr="00F50C9D">
        <w:rPr>
          <w:b/>
          <w:bCs/>
          <w:szCs w:val="24"/>
        </w:rPr>
        <w:t>Přestupky právnických osob spočívající v porušení nařízení Evropské unie o obezřetnostních požadavcích na úvěrové instituce a investiční podniky</w:t>
      </w:r>
    </w:p>
    <w:p w14:paraId="64A347CB" w14:textId="50282395" w:rsidR="00272890" w:rsidRPr="00F50C9D" w:rsidRDefault="000C1EA8" w:rsidP="0006588E">
      <w:pPr>
        <w:pStyle w:val="PZTextodstavce"/>
        <w:rPr>
          <w:szCs w:val="24"/>
        </w:rPr>
      </w:pPr>
      <w:r>
        <w:rPr>
          <w:szCs w:val="24"/>
        </w:rPr>
        <w:t xml:space="preserve">(1) </w:t>
      </w:r>
      <w:r w:rsidR="00272890" w:rsidRPr="00F50C9D">
        <w:rPr>
          <w:szCs w:val="24"/>
        </w:rPr>
        <w:t>Právnická osoba se dopustí přestupku tím, že nesplní některou z povinností nebo poruší některý ze zákazů uvedených v přímo použitelném předpisu Evropské unie upravujícím obezřetnostní požadavky na investiční podniky</w:t>
      </w:r>
      <w:r w:rsidR="00272890" w:rsidRPr="00F50C9D">
        <w:rPr>
          <w:szCs w:val="24"/>
          <w:vertAlign w:val="superscript"/>
        </w:rPr>
        <w:t>72)</w:t>
      </w:r>
      <w:r w:rsidR="00272890" w:rsidRPr="00F50C9D">
        <w:rPr>
          <w:i/>
          <w:szCs w:val="24"/>
        </w:rPr>
        <w:t>.</w:t>
      </w:r>
    </w:p>
    <w:p w14:paraId="67062D0E" w14:textId="0C9E6F1C" w:rsidR="00272890" w:rsidRPr="00F50C9D" w:rsidRDefault="000C1EA8" w:rsidP="0006588E">
      <w:pPr>
        <w:pStyle w:val="PZTextodstavce"/>
        <w:rPr>
          <w:szCs w:val="24"/>
        </w:rPr>
      </w:pPr>
      <w:r>
        <w:rPr>
          <w:szCs w:val="24"/>
        </w:rPr>
        <w:t xml:space="preserve">(2) </w:t>
      </w:r>
      <w:r w:rsidR="00272890" w:rsidRPr="00F50C9D">
        <w:rPr>
          <w:szCs w:val="24"/>
        </w:rPr>
        <w:t>Za přestupek podle odstavce 1 lze uložit pokutu do</w:t>
      </w:r>
    </w:p>
    <w:p w14:paraId="72FB6B04" w14:textId="77777777" w:rsidR="00272890" w:rsidRPr="00F50C9D" w:rsidRDefault="00272890" w:rsidP="000C1EA8">
      <w:pPr>
        <w:pStyle w:val="PZTextpsmene"/>
        <w:spacing w:before="0"/>
        <w:rPr>
          <w:szCs w:val="24"/>
        </w:rPr>
      </w:pPr>
      <w:r w:rsidRPr="00F50C9D">
        <w:rPr>
          <w:szCs w:val="24"/>
        </w:rPr>
        <w:t>a)</w:t>
      </w:r>
      <w:r w:rsidRPr="00F50C9D">
        <w:rPr>
          <w:szCs w:val="24"/>
        </w:rPr>
        <w:tab/>
        <w:t xml:space="preserve">20 000 000 Kč, </w:t>
      </w:r>
    </w:p>
    <w:p w14:paraId="32457F1A" w14:textId="77777777" w:rsidR="00272890" w:rsidRPr="00F50C9D" w:rsidRDefault="00272890" w:rsidP="000C1EA8">
      <w:pPr>
        <w:pStyle w:val="PZTextpsmene"/>
        <w:spacing w:before="0"/>
        <w:rPr>
          <w:szCs w:val="24"/>
        </w:rPr>
      </w:pPr>
      <w:r w:rsidRPr="00F50C9D">
        <w:rPr>
          <w:szCs w:val="24"/>
        </w:rPr>
        <w:t>b)</w:t>
      </w:r>
      <w:r w:rsidRPr="00F50C9D">
        <w:rPr>
          <w:szCs w:val="24"/>
        </w:rPr>
        <w:tab/>
        <w:t xml:space="preserve">výše 10 % celkového ročního obratu této právnické osoby podle </w:t>
      </w:r>
      <w:r w:rsidRPr="00F50C9D">
        <w:rPr>
          <w:strike/>
          <w:szCs w:val="24"/>
        </w:rPr>
        <w:t>její poslední řádné účetní závěrky nebo konsolidované účetní závěrky</w:t>
      </w:r>
      <w:r w:rsidRPr="00F50C9D">
        <w:rPr>
          <w:b/>
          <w:szCs w:val="24"/>
        </w:rPr>
        <w:t xml:space="preserve"> </w:t>
      </w:r>
      <w:r w:rsidRPr="00F50C9D">
        <w:rPr>
          <w:b/>
          <w:bCs/>
          <w:szCs w:val="24"/>
        </w:rPr>
        <w:t>poslední řádné konsolidované účetní závěrky</w:t>
      </w:r>
      <w:r w:rsidRPr="00F50C9D">
        <w:rPr>
          <w:b/>
          <w:szCs w:val="24"/>
        </w:rPr>
        <w:t xml:space="preserve"> konsolidačního celku, v němž je zahrnuta, nebo řádné individuální účetní </w:t>
      </w:r>
      <w:r w:rsidRPr="00F50C9D">
        <w:rPr>
          <w:b/>
          <w:szCs w:val="24"/>
        </w:rPr>
        <w:lastRenderedPageBreak/>
        <w:t>závěrky, není-li taková konsolidovaná účetní závěrka</w:t>
      </w:r>
      <w:r w:rsidRPr="00F50C9D">
        <w:rPr>
          <w:szCs w:val="24"/>
        </w:rPr>
        <w:t xml:space="preserve">, který zahrnuje položky uvedené v </w:t>
      </w:r>
      <w:hyperlink r:id="rId234" w:history="1">
        <w:r w:rsidRPr="00F50C9D">
          <w:rPr>
            <w:szCs w:val="24"/>
          </w:rPr>
          <w:t>čl. 316</w:t>
        </w:r>
      </w:hyperlink>
      <w:r w:rsidRPr="00F50C9D">
        <w:rPr>
          <w:szCs w:val="24"/>
        </w:rPr>
        <w:t xml:space="preserve"> nařízení Evropského parlamentu a Rady (EU) č. </w:t>
      </w:r>
      <w:hyperlink r:id="rId235" w:history="1">
        <w:r w:rsidRPr="00F50C9D">
          <w:rPr>
            <w:szCs w:val="24"/>
          </w:rPr>
          <w:t>575/2013</w:t>
        </w:r>
      </w:hyperlink>
      <w:r w:rsidRPr="00F50C9D">
        <w:rPr>
          <w:szCs w:val="24"/>
        </w:rPr>
        <w:t xml:space="preserve">, nebo </w:t>
      </w:r>
    </w:p>
    <w:p w14:paraId="2F29CBA8" w14:textId="77777777" w:rsidR="00272890" w:rsidRPr="00F50C9D" w:rsidRDefault="00272890" w:rsidP="000C1EA8">
      <w:pPr>
        <w:pStyle w:val="PZTextpsmene"/>
        <w:spacing w:before="0"/>
        <w:rPr>
          <w:szCs w:val="24"/>
        </w:rPr>
      </w:pPr>
      <w:r w:rsidRPr="00F50C9D">
        <w:rPr>
          <w:szCs w:val="24"/>
        </w:rPr>
        <w:t>c)</w:t>
      </w:r>
      <w:r w:rsidRPr="00F50C9D">
        <w:rPr>
          <w:szCs w:val="24"/>
        </w:rPr>
        <w:tab/>
        <w:t xml:space="preserve">výše dvojnásobku neoprávněného prospěchu, je-li možné výši neoprávněného prospěchu zjistit. </w:t>
      </w:r>
    </w:p>
    <w:p w14:paraId="7176C33F" w14:textId="77777777" w:rsidR="00272890" w:rsidRPr="00F50C9D" w:rsidRDefault="00272890" w:rsidP="000C1EA8">
      <w:pPr>
        <w:keepNext/>
        <w:keepLines/>
        <w:widowControl w:val="0"/>
        <w:autoSpaceDE w:val="0"/>
        <w:autoSpaceDN w:val="0"/>
        <w:adjustRightInd w:val="0"/>
        <w:spacing w:after="120"/>
        <w:ind w:firstLine="0"/>
        <w:jc w:val="center"/>
        <w:rPr>
          <w:szCs w:val="24"/>
        </w:rPr>
      </w:pPr>
      <w:r w:rsidRPr="00F50C9D">
        <w:rPr>
          <w:szCs w:val="24"/>
        </w:rPr>
        <w:t>§ 176</w:t>
      </w:r>
    </w:p>
    <w:p w14:paraId="742D3235" w14:textId="77777777" w:rsidR="00272890" w:rsidRPr="00F50C9D" w:rsidRDefault="00272890" w:rsidP="000C1EA8">
      <w:pPr>
        <w:keepNext/>
        <w:keepLines/>
        <w:widowControl w:val="0"/>
        <w:autoSpaceDE w:val="0"/>
        <w:autoSpaceDN w:val="0"/>
        <w:adjustRightInd w:val="0"/>
        <w:spacing w:after="120"/>
        <w:ind w:firstLine="0"/>
        <w:jc w:val="center"/>
        <w:rPr>
          <w:b/>
          <w:bCs/>
          <w:szCs w:val="24"/>
        </w:rPr>
      </w:pPr>
      <w:r w:rsidRPr="00F50C9D">
        <w:rPr>
          <w:b/>
          <w:bCs/>
          <w:szCs w:val="24"/>
        </w:rPr>
        <w:t>Přestupky právnických a podnikajících fyzických osob spočívající v porušení nařízení Evropské unie o zlepšení vypořádání obchodů s cennými papíry v Evropské unii a centrálních depozitářích cenných papírů</w:t>
      </w:r>
    </w:p>
    <w:p w14:paraId="04EC11DF" w14:textId="1940618F" w:rsidR="00272890" w:rsidRPr="00F50C9D" w:rsidRDefault="000C1EA8" w:rsidP="00272890">
      <w:pPr>
        <w:pStyle w:val="PZTextodstavce"/>
        <w:keepNext/>
        <w:keepLines/>
        <w:spacing w:before="240"/>
        <w:rPr>
          <w:szCs w:val="24"/>
        </w:rPr>
      </w:pPr>
      <w:r>
        <w:rPr>
          <w:szCs w:val="24"/>
        </w:rPr>
        <w:t xml:space="preserve">(1) </w:t>
      </w:r>
      <w:r w:rsidR="00272890" w:rsidRPr="00F50C9D">
        <w:rPr>
          <w:szCs w:val="24"/>
        </w:rPr>
        <w:t>Právnická nebo podnikající fyzická osoba se dopustí přestupku tím, že nesplní některou z povinností nebo poruší některý ze zákazů podle přímo použitelného předpisu Evropské unie upravujícím zlepšení vypořádání obchodů s cennými papíry v Evropské unii a centrální depozitáře cenných papírů</w:t>
      </w:r>
      <w:r w:rsidR="00272890" w:rsidRPr="00F50C9D">
        <w:rPr>
          <w:szCs w:val="24"/>
          <w:vertAlign w:val="superscript"/>
        </w:rPr>
        <w:t xml:space="preserve"> 51)</w:t>
      </w:r>
      <w:r w:rsidR="00272890" w:rsidRPr="00F50C9D">
        <w:rPr>
          <w:szCs w:val="24"/>
        </w:rPr>
        <w:t xml:space="preserve">. </w:t>
      </w:r>
    </w:p>
    <w:p w14:paraId="6F7639CD" w14:textId="0E2C47EC" w:rsidR="00272890" w:rsidRPr="00F50C9D" w:rsidRDefault="000C1EA8" w:rsidP="00272890">
      <w:pPr>
        <w:pStyle w:val="PZTextodstavce"/>
        <w:spacing w:before="240"/>
        <w:rPr>
          <w:szCs w:val="24"/>
        </w:rPr>
      </w:pPr>
      <w:r>
        <w:rPr>
          <w:szCs w:val="24"/>
        </w:rPr>
        <w:t xml:space="preserve">(2) </w:t>
      </w:r>
      <w:r w:rsidR="00272890" w:rsidRPr="00F50C9D">
        <w:rPr>
          <w:szCs w:val="24"/>
        </w:rPr>
        <w:t xml:space="preserve">Za přestupek právnické osoby podle odstavce 1 lze uložit pokutu do </w:t>
      </w:r>
    </w:p>
    <w:p w14:paraId="25946A9B" w14:textId="77777777" w:rsidR="00272890" w:rsidRPr="00F50C9D" w:rsidRDefault="00272890" w:rsidP="000C1EA8">
      <w:pPr>
        <w:pStyle w:val="PZTextpsmene"/>
        <w:spacing w:before="0"/>
        <w:rPr>
          <w:szCs w:val="24"/>
        </w:rPr>
      </w:pPr>
      <w:r w:rsidRPr="00F50C9D">
        <w:rPr>
          <w:szCs w:val="24"/>
        </w:rPr>
        <w:t>a)</w:t>
      </w:r>
      <w:r w:rsidRPr="00F50C9D">
        <w:rPr>
          <w:szCs w:val="24"/>
        </w:rPr>
        <w:tab/>
        <w:t xml:space="preserve">550 000 000 Kč, </w:t>
      </w:r>
    </w:p>
    <w:p w14:paraId="49CA7CF9" w14:textId="77777777" w:rsidR="00272890" w:rsidRPr="00F50C9D" w:rsidRDefault="00272890" w:rsidP="000C1EA8">
      <w:pPr>
        <w:pStyle w:val="PZTextpsmene"/>
        <w:spacing w:before="0"/>
        <w:rPr>
          <w:szCs w:val="24"/>
        </w:rPr>
      </w:pPr>
      <w:r w:rsidRPr="00F50C9D">
        <w:rPr>
          <w:szCs w:val="24"/>
        </w:rPr>
        <w:t>b)</w:t>
      </w:r>
      <w:r w:rsidRPr="00F50C9D">
        <w:rPr>
          <w:szCs w:val="24"/>
        </w:rPr>
        <w:tab/>
        <w:t xml:space="preserve">výše 10 % celkového ročního obratu této právnické osoby podle </w:t>
      </w:r>
      <w:r w:rsidRPr="00F50C9D">
        <w:rPr>
          <w:strike/>
          <w:szCs w:val="24"/>
        </w:rPr>
        <w:t>její poslední řádné účetní závěrky nebo konsolidované účetní závěrky</w:t>
      </w:r>
      <w:r w:rsidRPr="00F50C9D">
        <w:rPr>
          <w:b/>
          <w:szCs w:val="24"/>
        </w:rPr>
        <w:t xml:space="preserve"> </w:t>
      </w:r>
      <w:r w:rsidRPr="00F50C9D">
        <w:rPr>
          <w:b/>
          <w:bCs/>
          <w:szCs w:val="24"/>
        </w:rPr>
        <w:t>poslední řádné konsolidované účetní závěrky</w:t>
      </w:r>
      <w:r w:rsidRPr="00F50C9D">
        <w:rPr>
          <w:b/>
          <w:szCs w:val="24"/>
        </w:rPr>
        <w:t xml:space="preserve"> konsolidačního</w:t>
      </w:r>
      <w:r w:rsidRPr="00F50C9D" w:rsidDel="002D2408">
        <w:rPr>
          <w:b/>
          <w:szCs w:val="24"/>
        </w:rPr>
        <w:t xml:space="preserve"> </w:t>
      </w:r>
      <w:r w:rsidRPr="00F50C9D">
        <w:rPr>
          <w:b/>
          <w:szCs w:val="24"/>
        </w:rPr>
        <w:t>celku, v němž je zahrnuta,</w:t>
      </w:r>
      <w:r w:rsidRPr="00F50C9D">
        <w:rPr>
          <w:szCs w:val="24"/>
        </w:rPr>
        <w:t xml:space="preserve"> </w:t>
      </w:r>
      <w:r w:rsidRPr="00F50C9D">
        <w:rPr>
          <w:b/>
          <w:szCs w:val="24"/>
        </w:rPr>
        <w:t>nebo řádné individuální účetní závěrky, není-li taková konsolidovaná účetní závěrka</w:t>
      </w:r>
      <w:r w:rsidRPr="00F50C9D">
        <w:rPr>
          <w:szCs w:val="24"/>
        </w:rPr>
        <w:t xml:space="preserve">, nebo </w:t>
      </w:r>
    </w:p>
    <w:p w14:paraId="78292CED" w14:textId="77777777" w:rsidR="00272890" w:rsidRPr="00F50C9D" w:rsidRDefault="00272890" w:rsidP="000C1EA8">
      <w:pPr>
        <w:pStyle w:val="PZTextpsmene"/>
        <w:spacing w:before="0"/>
        <w:rPr>
          <w:szCs w:val="24"/>
        </w:rPr>
      </w:pPr>
      <w:r w:rsidRPr="00F50C9D">
        <w:rPr>
          <w:szCs w:val="24"/>
        </w:rPr>
        <w:t>c)</w:t>
      </w:r>
      <w:r w:rsidRPr="00F50C9D">
        <w:rPr>
          <w:szCs w:val="24"/>
        </w:rPr>
        <w:tab/>
        <w:t xml:space="preserve">výše dvojnásobku neoprávněného prospěchu získaného spácháním přestupku, je-li možné výši neoprávněného prospěchu zjistit. </w:t>
      </w:r>
    </w:p>
    <w:p w14:paraId="5EAD8372" w14:textId="1806DF39" w:rsidR="00272890" w:rsidRPr="00F50C9D" w:rsidRDefault="000C1EA8" w:rsidP="00272890">
      <w:pPr>
        <w:pStyle w:val="PZTextodstavce"/>
        <w:spacing w:before="240"/>
        <w:rPr>
          <w:szCs w:val="24"/>
        </w:rPr>
      </w:pPr>
      <w:r>
        <w:rPr>
          <w:szCs w:val="24"/>
        </w:rPr>
        <w:t xml:space="preserve">(3) </w:t>
      </w:r>
      <w:r w:rsidR="00272890" w:rsidRPr="00F50C9D">
        <w:rPr>
          <w:szCs w:val="24"/>
        </w:rPr>
        <w:t xml:space="preserve">Za přestupek podnikající fyzické osoby podle odstavce 1 lze uložit pokutu do </w:t>
      </w:r>
    </w:p>
    <w:p w14:paraId="4198964A" w14:textId="77777777" w:rsidR="00272890" w:rsidRPr="00F50C9D" w:rsidRDefault="00272890" w:rsidP="000C1EA8">
      <w:pPr>
        <w:pStyle w:val="PZTextpsmene"/>
        <w:spacing w:before="0"/>
        <w:rPr>
          <w:szCs w:val="24"/>
        </w:rPr>
      </w:pPr>
      <w:r w:rsidRPr="00F50C9D">
        <w:rPr>
          <w:szCs w:val="24"/>
        </w:rPr>
        <w:t>a)</w:t>
      </w:r>
      <w:r w:rsidRPr="00F50C9D">
        <w:rPr>
          <w:szCs w:val="24"/>
        </w:rPr>
        <w:tab/>
        <w:t xml:space="preserve">140 000 000 Kč, nebo </w:t>
      </w:r>
    </w:p>
    <w:p w14:paraId="15CA619D" w14:textId="77777777" w:rsidR="00272890" w:rsidRPr="00F50C9D" w:rsidRDefault="00272890" w:rsidP="000C1EA8">
      <w:pPr>
        <w:pStyle w:val="PZTextpsmene"/>
        <w:spacing w:before="0"/>
        <w:rPr>
          <w:szCs w:val="24"/>
        </w:rPr>
      </w:pPr>
      <w:r w:rsidRPr="00F50C9D">
        <w:rPr>
          <w:szCs w:val="24"/>
        </w:rPr>
        <w:t>b)</w:t>
      </w:r>
      <w:r w:rsidRPr="00F50C9D">
        <w:rPr>
          <w:szCs w:val="24"/>
        </w:rPr>
        <w:tab/>
        <w:t xml:space="preserve">výše dvojnásobku neoprávněného prospěchu získaného spácháním přestupku, je-li možné výši neoprávněného prospěchu zjistit. </w:t>
      </w:r>
    </w:p>
    <w:p w14:paraId="100F7784" w14:textId="77777777" w:rsidR="00272890" w:rsidRPr="00F50C9D" w:rsidRDefault="00272890" w:rsidP="00272890">
      <w:pPr>
        <w:widowControl w:val="0"/>
        <w:autoSpaceDE w:val="0"/>
        <w:autoSpaceDN w:val="0"/>
        <w:adjustRightInd w:val="0"/>
        <w:spacing w:after="120"/>
        <w:jc w:val="center"/>
        <w:rPr>
          <w:szCs w:val="24"/>
        </w:rPr>
      </w:pPr>
      <w:r w:rsidRPr="00F50C9D">
        <w:rPr>
          <w:szCs w:val="24"/>
        </w:rPr>
        <w:t>§ 177</w:t>
      </w:r>
    </w:p>
    <w:p w14:paraId="3C68AE43" w14:textId="77777777" w:rsidR="00272890" w:rsidRPr="00F50C9D" w:rsidRDefault="00272890" w:rsidP="00272890">
      <w:pPr>
        <w:widowControl w:val="0"/>
        <w:autoSpaceDE w:val="0"/>
        <w:autoSpaceDN w:val="0"/>
        <w:adjustRightInd w:val="0"/>
        <w:spacing w:after="120"/>
        <w:jc w:val="center"/>
        <w:rPr>
          <w:b/>
          <w:bCs/>
          <w:szCs w:val="24"/>
        </w:rPr>
      </w:pPr>
      <w:r w:rsidRPr="00F50C9D">
        <w:rPr>
          <w:b/>
          <w:bCs/>
          <w:szCs w:val="24"/>
        </w:rPr>
        <w:t>Přestupky právnických a podnikajících fyzických osob spočívající v porušení nařízení Evropské unie o zneužívání trhu</w:t>
      </w:r>
    </w:p>
    <w:p w14:paraId="16F219BB" w14:textId="5898C169" w:rsidR="00272890" w:rsidRPr="00F50C9D" w:rsidRDefault="000C1EA8" w:rsidP="00272890">
      <w:pPr>
        <w:pStyle w:val="PZTextodstavce"/>
        <w:spacing w:before="240"/>
        <w:rPr>
          <w:szCs w:val="24"/>
        </w:rPr>
      </w:pPr>
      <w:r>
        <w:rPr>
          <w:szCs w:val="24"/>
        </w:rPr>
        <w:t xml:space="preserve">(1) </w:t>
      </w:r>
      <w:r w:rsidR="00272890" w:rsidRPr="00F50C9D">
        <w:rPr>
          <w:szCs w:val="24"/>
        </w:rPr>
        <w:t xml:space="preserve">Právnická nebo podnikající fyzická osoba se dopustí přestupku tím, že nesplní některou z povinností nebo poruší některý ze zákazů </w:t>
      </w:r>
    </w:p>
    <w:p w14:paraId="60D1E928" w14:textId="77777777" w:rsidR="00272890" w:rsidRPr="00F50C9D" w:rsidRDefault="00272890" w:rsidP="000C1EA8">
      <w:pPr>
        <w:pStyle w:val="PZTextpsmene"/>
        <w:spacing w:before="0"/>
        <w:rPr>
          <w:szCs w:val="24"/>
        </w:rPr>
      </w:pPr>
      <w:r w:rsidRPr="00F50C9D">
        <w:rPr>
          <w:szCs w:val="24"/>
        </w:rPr>
        <w:t>a)</w:t>
      </w:r>
      <w:r w:rsidRPr="00F50C9D">
        <w:rPr>
          <w:szCs w:val="24"/>
        </w:rPr>
        <w:tab/>
        <w:t xml:space="preserve">podle </w:t>
      </w:r>
      <w:hyperlink r:id="rId236" w:history="1">
        <w:r w:rsidRPr="00F50C9D">
          <w:rPr>
            <w:szCs w:val="24"/>
          </w:rPr>
          <w:t>čl. 14</w:t>
        </w:r>
      </w:hyperlink>
      <w:r w:rsidRPr="00F50C9D">
        <w:rPr>
          <w:szCs w:val="24"/>
        </w:rPr>
        <w:t xml:space="preserve"> nebo </w:t>
      </w:r>
      <w:hyperlink r:id="rId237" w:history="1">
        <w:r w:rsidRPr="00F50C9D">
          <w:rPr>
            <w:szCs w:val="24"/>
          </w:rPr>
          <w:t>čl. 15</w:t>
        </w:r>
      </w:hyperlink>
      <w:r w:rsidRPr="00F50C9D">
        <w:rPr>
          <w:szCs w:val="24"/>
        </w:rPr>
        <w:t xml:space="preserve"> nařízení Evropského parlamentu a Rady (EU) č. </w:t>
      </w:r>
      <w:hyperlink r:id="rId238" w:history="1">
        <w:r w:rsidRPr="00F50C9D">
          <w:rPr>
            <w:szCs w:val="24"/>
          </w:rPr>
          <w:t>596/2014</w:t>
        </w:r>
      </w:hyperlink>
      <w:r w:rsidRPr="00F50C9D">
        <w:rPr>
          <w:szCs w:val="24"/>
        </w:rPr>
        <w:t xml:space="preserve">, </w:t>
      </w:r>
    </w:p>
    <w:p w14:paraId="6FEA95A5" w14:textId="77777777" w:rsidR="00272890" w:rsidRPr="00F50C9D" w:rsidRDefault="00272890" w:rsidP="000C1EA8">
      <w:pPr>
        <w:pStyle w:val="PZTextpsmene"/>
        <w:spacing w:before="0"/>
        <w:rPr>
          <w:szCs w:val="24"/>
        </w:rPr>
      </w:pPr>
      <w:r w:rsidRPr="00F50C9D">
        <w:rPr>
          <w:szCs w:val="24"/>
        </w:rPr>
        <w:t>b)</w:t>
      </w:r>
      <w:r w:rsidRPr="00F50C9D">
        <w:rPr>
          <w:szCs w:val="24"/>
        </w:rPr>
        <w:tab/>
        <w:t xml:space="preserve">podle </w:t>
      </w:r>
      <w:hyperlink r:id="rId239" w:history="1">
        <w:r w:rsidRPr="00F50C9D">
          <w:rPr>
            <w:szCs w:val="24"/>
          </w:rPr>
          <w:t>čl. 16</w:t>
        </w:r>
      </w:hyperlink>
      <w:r w:rsidRPr="00F50C9D">
        <w:rPr>
          <w:szCs w:val="24"/>
        </w:rPr>
        <w:t xml:space="preserve"> nebo </w:t>
      </w:r>
      <w:hyperlink r:id="rId240" w:history="1">
        <w:r w:rsidRPr="00F50C9D">
          <w:rPr>
            <w:szCs w:val="24"/>
          </w:rPr>
          <w:t>čl. 17</w:t>
        </w:r>
      </w:hyperlink>
      <w:r w:rsidRPr="00F50C9D">
        <w:rPr>
          <w:szCs w:val="24"/>
        </w:rPr>
        <w:t xml:space="preserve"> nařízení Evropského parlamentu a Rady (EU) č. </w:t>
      </w:r>
      <w:hyperlink r:id="rId241" w:history="1">
        <w:r w:rsidRPr="00F50C9D">
          <w:rPr>
            <w:szCs w:val="24"/>
          </w:rPr>
          <w:t>596/2014</w:t>
        </w:r>
      </w:hyperlink>
      <w:r w:rsidRPr="00F50C9D">
        <w:rPr>
          <w:szCs w:val="24"/>
        </w:rPr>
        <w:t xml:space="preserve">, nebo </w:t>
      </w:r>
    </w:p>
    <w:p w14:paraId="157BCD49" w14:textId="77777777" w:rsidR="00272890" w:rsidRPr="00F50C9D" w:rsidRDefault="00272890" w:rsidP="000C1EA8">
      <w:pPr>
        <w:pStyle w:val="PZTextpsmene"/>
        <w:spacing w:before="0"/>
        <w:rPr>
          <w:szCs w:val="24"/>
        </w:rPr>
      </w:pPr>
      <w:r w:rsidRPr="00F50C9D">
        <w:rPr>
          <w:szCs w:val="24"/>
        </w:rPr>
        <w:t>c)</w:t>
      </w:r>
      <w:r w:rsidRPr="00F50C9D">
        <w:rPr>
          <w:szCs w:val="24"/>
        </w:rPr>
        <w:tab/>
        <w:t xml:space="preserve">podle </w:t>
      </w:r>
      <w:hyperlink r:id="rId242" w:history="1">
        <w:r w:rsidRPr="00F50C9D">
          <w:rPr>
            <w:szCs w:val="24"/>
          </w:rPr>
          <w:t>čl. 18</w:t>
        </w:r>
      </w:hyperlink>
      <w:r w:rsidRPr="00F50C9D">
        <w:rPr>
          <w:szCs w:val="24"/>
        </w:rPr>
        <w:t xml:space="preserve">, </w:t>
      </w:r>
      <w:hyperlink r:id="rId243" w:history="1">
        <w:r w:rsidRPr="00F50C9D">
          <w:rPr>
            <w:szCs w:val="24"/>
          </w:rPr>
          <w:t>19</w:t>
        </w:r>
      </w:hyperlink>
      <w:r w:rsidRPr="00F50C9D">
        <w:rPr>
          <w:szCs w:val="24"/>
        </w:rPr>
        <w:t xml:space="preserve"> nebo </w:t>
      </w:r>
      <w:hyperlink r:id="rId244" w:history="1">
        <w:r w:rsidRPr="00F50C9D">
          <w:rPr>
            <w:szCs w:val="24"/>
          </w:rPr>
          <w:t>čl. 20</w:t>
        </w:r>
      </w:hyperlink>
      <w:r w:rsidRPr="00F50C9D">
        <w:rPr>
          <w:szCs w:val="24"/>
        </w:rPr>
        <w:t xml:space="preserve"> nařízení Evropského parlamentu a Rady (EU) č. </w:t>
      </w:r>
      <w:hyperlink r:id="rId245" w:history="1">
        <w:r w:rsidRPr="00F50C9D">
          <w:rPr>
            <w:szCs w:val="24"/>
          </w:rPr>
          <w:t>596/2014</w:t>
        </w:r>
      </w:hyperlink>
      <w:r w:rsidRPr="00F50C9D">
        <w:rPr>
          <w:szCs w:val="24"/>
        </w:rPr>
        <w:t xml:space="preserve">. </w:t>
      </w:r>
    </w:p>
    <w:p w14:paraId="497F2430" w14:textId="229B3327" w:rsidR="00272890" w:rsidRPr="00F50C9D" w:rsidRDefault="000C1EA8" w:rsidP="00272890">
      <w:pPr>
        <w:pStyle w:val="PZTextodstavce"/>
        <w:spacing w:before="240"/>
        <w:rPr>
          <w:szCs w:val="24"/>
        </w:rPr>
      </w:pPr>
      <w:r>
        <w:rPr>
          <w:szCs w:val="24"/>
        </w:rPr>
        <w:t xml:space="preserve">(2) </w:t>
      </w:r>
      <w:r w:rsidR="00272890" w:rsidRPr="00F50C9D">
        <w:rPr>
          <w:szCs w:val="24"/>
        </w:rPr>
        <w:t xml:space="preserve">Za přestupek právnické osoby podle odstavce 1 písm. a) lze uložit pokutu do </w:t>
      </w:r>
    </w:p>
    <w:p w14:paraId="2D9C27E5" w14:textId="77777777" w:rsidR="00272890" w:rsidRPr="00F50C9D" w:rsidRDefault="00272890" w:rsidP="000C1EA8">
      <w:pPr>
        <w:pStyle w:val="PZTextpsmene"/>
        <w:spacing w:before="0"/>
        <w:rPr>
          <w:szCs w:val="24"/>
        </w:rPr>
      </w:pPr>
      <w:r w:rsidRPr="00F50C9D">
        <w:rPr>
          <w:szCs w:val="24"/>
        </w:rPr>
        <w:t>a)</w:t>
      </w:r>
      <w:r w:rsidRPr="00F50C9D">
        <w:rPr>
          <w:szCs w:val="24"/>
        </w:rPr>
        <w:tab/>
        <w:t xml:space="preserve">450 000 000 Kč, </w:t>
      </w:r>
    </w:p>
    <w:p w14:paraId="5AB34997" w14:textId="77777777" w:rsidR="00272890" w:rsidRPr="00F50C9D" w:rsidRDefault="00272890" w:rsidP="000C1EA8">
      <w:pPr>
        <w:pStyle w:val="PZTextpsmene"/>
        <w:spacing w:before="0"/>
        <w:rPr>
          <w:szCs w:val="24"/>
        </w:rPr>
      </w:pPr>
      <w:r w:rsidRPr="00F50C9D">
        <w:rPr>
          <w:szCs w:val="24"/>
        </w:rPr>
        <w:t>b)</w:t>
      </w:r>
      <w:r w:rsidRPr="00F50C9D">
        <w:rPr>
          <w:szCs w:val="24"/>
        </w:rPr>
        <w:tab/>
        <w:t xml:space="preserve">výše 15 % celkového ročního obratu této právnické osoby podle </w:t>
      </w:r>
      <w:r w:rsidRPr="00F50C9D">
        <w:rPr>
          <w:strike/>
          <w:szCs w:val="24"/>
        </w:rPr>
        <w:t>její poslední řádné účetní závěrky nebo konsolidované účetní závěrky</w:t>
      </w:r>
      <w:r w:rsidRPr="00F50C9D">
        <w:rPr>
          <w:b/>
          <w:szCs w:val="24"/>
        </w:rPr>
        <w:t xml:space="preserve"> poslední řádné konsolidované účetní závěrky konsolidačního</w:t>
      </w:r>
      <w:r w:rsidRPr="00F50C9D" w:rsidDel="002D2408">
        <w:rPr>
          <w:b/>
          <w:szCs w:val="24"/>
        </w:rPr>
        <w:t xml:space="preserve"> </w:t>
      </w:r>
      <w:r w:rsidRPr="00F50C9D">
        <w:rPr>
          <w:b/>
          <w:szCs w:val="24"/>
        </w:rPr>
        <w:t>celku, v němž je zahrnuta,</w:t>
      </w:r>
      <w:r w:rsidRPr="00F50C9D">
        <w:rPr>
          <w:szCs w:val="24"/>
        </w:rPr>
        <w:t xml:space="preserve"> </w:t>
      </w:r>
      <w:r w:rsidRPr="00F50C9D">
        <w:rPr>
          <w:b/>
          <w:szCs w:val="24"/>
        </w:rPr>
        <w:t>nebo řádné individuální účetní závěrky, není-li taková konsolidovaná účetní závěrka</w:t>
      </w:r>
      <w:r w:rsidRPr="00F50C9D">
        <w:rPr>
          <w:szCs w:val="24"/>
        </w:rPr>
        <w:t xml:space="preserve">, nebo </w:t>
      </w:r>
    </w:p>
    <w:p w14:paraId="2B1B180C" w14:textId="77777777" w:rsidR="00272890" w:rsidRPr="00F50C9D" w:rsidRDefault="00272890" w:rsidP="000C1EA8">
      <w:pPr>
        <w:pStyle w:val="PZTextpsmene"/>
        <w:spacing w:before="0"/>
        <w:rPr>
          <w:szCs w:val="24"/>
        </w:rPr>
      </w:pPr>
      <w:r w:rsidRPr="00F50C9D">
        <w:rPr>
          <w:szCs w:val="24"/>
        </w:rPr>
        <w:lastRenderedPageBreak/>
        <w:t>c)</w:t>
      </w:r>
      <w:r w:rsidRPr="00F50C9D">
        <w:rPr>
          <w:szCs w:val="24"/>
        </w:rPr>
        <w:tab/>
        <w:t xml:space="preserve">výše trojnásobku neoprávněného prospěchu získaného spácháním tohoto přestupku, je-li možné výši neoprávněného prospěchu zjistit. </w:t>
      </w:r>
    </w:p>
    <w:p w14:paraId="4976574E" w14:textId="070A4050" w:rsidR="00272890" w:rsidRPr="00F50C9D" w:rsidRDefault="000C1EA8" w:rsidP="00272890">
      <w:pPr>
        <w:pStyle w:val="PZTextodstavce"/>
        <w:spacing w:before="240"/>
        <w:rPr>
          <w:szCs w:val="24"/>
        </w:rPr>
      </w:pPr>
      <w:r>
        <w:rPr>
          <w:szCs w:val="24"/>
        </w:rPr>
        <w:t xml:space="preserve">(3) </w:t>
      </w:r>
      <w:r w:rsidR="00272890" w:rsidRPr="00F50C9D">
        <w:rPr>
          <w:szCs w:val="24"/>
        </w:rPr>
        <w:t xml:space="preserve">Za přestupek podnikající fyzické osoby podle odstavce 1 písm. a) lze uložit pokutu do </w:t>
      </w:r>
    </w:p>
    <w:p w14:paraId="5C002819" w14:textId="77777777" w:rsidR="00272890" w:rsidRPr="00F50C9D" w:rsidRDefault="00272890" w:rsidP="000C1EA8">
      <w:pPr>
        <w:pStyle w:val="PZTextpsmene"/>
        <w:spacing w:before="0"/>
        <w:rPr>
          <w:szCs w:val="24"/>
        </w:rPr>
      </w:pPr>
      <w:r w:rsidRPr="00F50C9D">
        <w:rPr>
          <w:szCs w:val="24"/>
        </w:rPr>
        <w:t>a)</w:t>
      </w:r>
      <w:r w:rsidRPr="00F50C9D">
        <w:rPr>
          <w:szCs w:val="24"/>
        </w:rPr>
        <w:tab/>
        <w:t xml:space="preserve">150 000 000 Kč, nebo </w:t>
      </w:r>
    </w:p>
    <w:p w14:paraId="0D0F1BFB" w14:textId="77777777" w:rsidR="00272890" w:rsidRPr="00F50C9D" w:rsidRDefault="00272890" w:rsidP="000C1EA8">
      <w:pPr>
        <w:pStyle w:val="PZTextpsmene"/>
        <w:spacing w:before="0"/>
        <w:rPr>
          <w:szCs w:val="24"/>
        </w:rPr>
      </w:pPr>
      <w:r w:rsidRPr="00F50C9D">
        <w:rPr>
          <w:szCs w:val="24"/>
        </w:rPr>
        <w:t>b)</w:t>
      </w:r>
      <w:r w:rsidRPr="00F50C9D">
        <w:rPr>
          <w:szCs w:val="24"/>
        </w:rPr>
        <w:tab/>
        <w:t xml:space="preserve">výše trojnásobku neoprávněného prospěchu získaného spácháním tohoto přestupku, je-li možné výši neoprávněného prospěchu zjistit. </w:t>
      </w:r>
    </w:p>
    <w:p w14:paraId="17B117F2" w14:textId="713232BF" w:rsidR="00272890" w:rsidRPr="00F50C9D" w:rsidRDefault="000C1EA8" w:rsidP="00272890">
      <w:pPr>
        <w:pStyle w:val="PZTextodstavce"/>
        <w:spacing w:before="240"/>
        <w:rPr>
          <w:szCs w:val="24"/>
        </w:rPr>
      </w:pPr>
      <w:r>
        <w:rPr>
          <w:szCs w:val="24"/>
        </w:rPr>
        <w:t xml:space="preserve">(4) </w:t>
      </w:r>
      <w:r w:rsidR="00272890" w:rsidRPr="00F50C9D">
        <w:rPr>
          <w:szCs w:val="24"/>
        </w:rPr>
        <w:t xml:space="preserve">Za přestupek právnické osoby podle odstavce 1 písm. b) lze uložit pokutu do </w:t>
      </w:r>
    </w:p>
    <w:p w14:paraId="7FF05562" w14:textId="77777777" w:rsidR="00272890" w:rsidRPr="00F50C9D" w:rsidRDefault="00272890" w:rsidP="000C1EA8">
      <w:pPr>
        <w:pStyle w:val="PZTextpsmene"/>
        <w:spacing w:before="0"/>
        <w:rPr>
          <w:szCs w:val="24"/>
        </w:rPr>
      </w:pPr>
      <w:r w:rsidRPr="00F50C9D">
        <w:rPr>
          <w:szCs w:val="24"/>
        </w:rPr>
        <w:t>a)</w:t>
      </w:r>
      <w:r w:rsidRPr="00F50C9D">
        <w:rPr>
          <w:szCs w:val="24"/>
        </w:rPr>
        <w:tab/>
        <w:t xml:space="preserve">75 000 000 Kč, </w:t>
      </w:r>
    </w:p>
    <w:p w14:paraId="420892D4" w14:textId="77777777" w:rsidR="00272890" w:rsidRPr="00F50C9D" w:rsidRDefault="00272890" w:rsidP="000C1EA8">
      <w:pPr>
        <w:pStyle w:val="PZTextpsmene"/>
        <w:spacing w:before="0"/>
        <w:rPr>
          <w:szCs w:val="24"/>
        </w:rPr>
      </w:pPr>
      <w:r w:rsidRPr="00F50C9D">
        <w:rPr>
          <w:szCs w:val="24"/>
        </w:rPr>
        <w:t>b)</w:t>
      </w:r>
      <w:r w:rsidRPr="00F50C9D">
        <w:rPr>
          <w:szCs w:val="24"/>
        </w:rPr>
        <w:tab/>
        <w:t xml:space="preserve">výše 2 % celkového ročního obratu této právnické osoby podle </w:t>
      </w:r>
      <w:r w:rsidRPr="00F50C9D">
        <w:rPr>
          <w:strike/>
          <w:szCs w:val="24"/>
        </w:rPr>
        <w:t>její poslední řádné účetní závěrky nebo konsolidované účetní závěrky</w:t>
      </w:r>
      <w:r w:rsidRPr="00F50C9D">
        <w:rPr>
          <w:b/>
          <w:szCs w:val="24"/>
        </w:rPr>
        <w:t xml:space="preserve"> poslední řádné konsolidované účetní závěrky konsolidačního celku, v němž je zahrnuta, nebo řádné individuální účetní závěrky, není-li taková konsolidovaná účetní závěrka</w:t>
      </w:r>
      <w:r w:rsidRPr="00F50C9D">
        <w:rPr>
          <w:szCs w:val="24"/>
        </w:rPr>
        <w:t xml:space="preserve">, nebo </w:t>
      </w:r>
    </w:p>
    <w:p w14:paraId="5DF59D2A" w14:textId="77777777" w:rsidR="00272890" w:rsidRPr="00F50C9D" w:rsidRDefault="00272890" w:rsidP="000C1EA8">
      <w:pPr>
        <w:pStyle w:val="PZTextpsmene"/>
        <w:spacing w:before="0"/>
        <w:rPr>
          <w:szCs w:val="24"/>
        </w:rPr>
      </w:pPr>
      <w:r w:rsidRPr="00F50C9D">
        <w:rPr>
          <w:szCs w:val="24"/>
        </w:rPr>
        <w:t>c)</w:t>
      </w:r>
      <w:r w:rsidRPr="00F50C9D">
        <w:rPr>
          <w:szCs w:val="24"/>
        </w:rPr>
        <w:tab/>
        <w:t xml:space="preserve">výše trojnásobku neoprávněného prospěchu získaného spácháním tohoto přestupku, je-li možné výši neoprávněného prospěchu zjistit. </w:t>
      </w:r>
    </w:p>
    <w:p w14:paraId="329B3F68" w14:textId="2E7CBB54" w:rsidR="00272890" w:rsidRPr="00F50C9D" w:rsidRDefault="000C1EA8" w:rsidP="00272890">
      <w:pPr>
        <w:pStyle w:val="PZTextodstavce"/>
        <w:spacing w:before="240"/>
        <w:rPr>
          <w:szCs w:val="24"/>
        </w:rPr>
      </w:pPr>
      <w:r>
        <w:rPr>
          <w:szCs w:val="24"/>
        </w:rPr>
        <w:t xml:space="preserve">(5) </w:t>
      </w:r>
      <w:r w:rsidR="00272890" w:rsidRPr="00F50C9D">
        <w:rPr>
          <w:szCs w:val="24"/>
        </w:rPr>
        <w:t xml:space="preserve">Za přestupek podnikající fyzické osoby podle odstavce 1 písm. b) lze uložit pokutu do </w:t>
      </w:r>
    </w:p>
    <w:p w14:paraId="08DC48E2" w14:textId="77777777" w:rsidR="00272890" w:rsidRPr="00F50C9D" w:rsidRDefault="00272890" w:rsidP="00D37D81">
      <w:pPr>
        <w:pStyle w:val="PZTextpsmene"/>
        <w:spacing w:before="0"/>
        <w:rPr>
          <w:szCs w:val="24"/>
        </w:rPr>
      </w:pPr>
      <w:r w:rsidRPr="00F50C9D">
        <w:rPr>
          <w:szCs w:val="24"/>
        </w:rPr>
        <w:t>a)</w:t>
      </w:r>
      <w:r w:rsidRPr="00F50C9D">
        <w:rPr>
          <w:szCs w:val="24"/>
        </w:rPr>
        <w:tab/>
        <w:t xml:space="preserve">30 000 000 Kč, nebo </w:t>
      </w:r>
    </w:p>
    <w:p w14:paraId="05E4C040" w14:textId="77777777" w:rsidR="00272890" w:rsidRPr="00F50C9D" w:rsidRDefault="00272890" w:rsidP="00D37D81">
      <w:pPr>
        <w:pStyle w:val="PZTextpsmene"/>
        <w:spacing w:before="0"/>
        <w:rPr>
          <w:szCs w:val="24"/>
        </w:rPr>
      </w:pPr>
      <w:r w:rsidRPr="00F50C9D">
        <w:rPr>
          <w:szCs w:val="24"/>
        </w:rPr>
        <w:t>b)</w:t>
      </w:r>
      <w:r w:rsidRPr="00F50C9D">
        <w:rPr>
          <w:szCs w:val="24"/>
        </w:rPr>
        <w:tab/>
        <w:t xml:space="preserve">výše trojnásobku neoprávněného prospěchu získaného spácháním tohoto přestupku, je-li možné výši neoprávněného prospěchu zjistit. </w:t>
      </w:r>
    </w:p>
    <w:p w14:paraId="33B008EE" w14:textId="6FC441F1" w:rsidR="00272890" w:rsidRPr="00F50C9D" w:rsidRDefault="000C1EA8" w:rsidP="00272890">
      <w:pPr>
        <w:pStyle w:val="PZTextodstavce"/>
        <w:spacing w:before="240"/>
        <w:rPr>
          <w:szCs w:val="24"/>
        </w:rPr>
      </w:pPr>
      <w:r>
        <w:rPr>
          <w:szCs w:val="24"/>
        </w:rPr>
        <w:t xml:space="preserve">(6) </w:t>
      </w:r>
      <w:r w:rsidR="00272890" w:rsidRPr="00F50C9D">
        <w:rPr>
          <w:szCs w:val="24"/>
        </w:rPr>
        <w:t xml:space="preserve">Za přestupek právnické osoby podle odstavce 1 písm. c) lze uložit pokutu do </w:t>
      </w:r>
    </w:p>
    <w:p w14:paraId="0353565A" w14:textId="77777777" w:rsidR="00272890" w:rsidRPr="00F50C9D" w:rsidRDefault="00272890" w:rsidP="00D37D81">
      <w:pPr>
        <w:pStyle w:val="PZTextpsmene"/>
        <w:spacing w:before="0"/>
        <w:rPr>
          <w:szCs w:val="24"/>
        </w:rPr>
      </w:pPr>
      <w:r w:rsidRPr="00F50C9D">
        <w:rPr>
          <w:szCs w:val="24"/>
        </w:rPr>
        <w:t>a)</w:t>
      </w:r>
      <w:r w:rsidRPr="00F50C9D">
        <w:rPr>
          <w:szCs w:val="24"/>
        </w:rPr>
        <w:tab/>
        <w:t xml:space="preserve">30 000 000 Kč, nebo </w:t>
      </w:r>
    </w:p>
    <w:p w14:paraId="2F245D8A" w14:textId="77777777" w:rsidR="00272890" w:rsidRPr="00F50C9D" w:rsidRDefault="00272890" w:rsidP="00D37D81">
      <w:pPr>
        <w:pStyle w:val="PZTextpsmene"/>
        <w:spacing w:before="0"/>
        <w:rPr>
          <w:szCs w:val="24"/>
        </w:rPr>
      </w:pPr>
      <w:r w:rsidRPr="00F50C9D">
        <w:rPr>
          <w:szCs w:val="24"/>
        </w:rPr>
        <w:t>b)</w:t>
      </w:r>
      <w:r w:rsidRPr="00F50C9D">
        <w:rPr>
          <w:szCs w:val="24"/>
        </w:rPr>
        <w:tab/>
        <w:t xml:space="preserve">výše trojnásobku neoprávněného prospěchu získaného spácháním tohoto přestupku, je-li možné výši neoprávněného prospěchu zjistit. </w:t>
      </w:r>
    </w:p>
    <w:p w14:paraId="21253C5F" w14:textId="4C8F78C3" w:rsidR="00272890" w:rsidRPr="00F50C9D" w:rsidRDefault="000C1EA8" w:rsidP="00272890">
      <w:pPr>
        <w:pStyle w:val="PZTextodstavce"/>
        <w:spacing w:before="240"/>
        <w:rPr>
          <w:szCs w:val="24"/>
        </w:rPr>
      </w:pPr>
      <w:r>
        <w:rPr>
          <w:szCs w:val="24"/>
        </w:rPr>
        <w:t xml:space="preserve">(7) </w:t>
      </w:r>
      <w:r w:rsidR="00272890" w:rsidRPr="00F50C9D">
        <w:rPr>
          <w:szCs w:val="24"/>
        </w:rPr>
        <w:t xml:space="preserve">Za přestupek podnikající fyzické osoby podle odstavce 1 písm. c) lze uložit pokutu do </w:t>
      </w:r>
    </w:p>
    <w:p w14:paraId="2C89CCB3" w14:textId="77777777" w:rsidR="00272890" w:rsidRPr="00F50C9D" w:rsidRDefault="00272890" w:rsidP="00D37D81">
      <w:pPr>
        <w:pStyle w:val="PZTextpsmene"/>
        <w:spacing w:before="0"/>
        <w:rPr>
          <w:szCs w:val="24"/>
        </w:rPr>
      </w:pPr>
      <w:r w:rsidRPr="00F50C9D">
        <w:rPr>
          <w:szCs w:val="24"/>
        </w:rPr>
        <w:t>a)</w:t>
      </w:r>
      <w:r w:rsidRPr="00F50C9D">
        <w:rPr>
          <w:szCs w:val="24"/>
        </w:rPr>
        <w:tab/>
        <w:t xml:space="preserve">15 000 000 Kč, nebo </w:t>
      </w:r>
    </w:p>
    <w:p w14:paraId="3D7EADBE" w14:textId="77777777" w:rsidR="00272890" w:rsidRPr="00F50C9D" w:rsidRDefault="00272890" w:rsidP="00D37D81">
      <w:pPr>
        <w:pStyle w:val="PZTextpsmene"/>
        <w:spacing w:before="0"/>
        <w:rPr>
          <w:szCs w:val="24"/>
        </w:rPr>
      </w:pPr>
      <w:r w:rsidRPr="00F50C9D">
        <w:rPr>
          <w:szCs w:val="24"/>
        </w:rPr>
        <w:t>b)</w:t>
      </w:r>
      <w:r w:rsidRPr="00F50C9D">
        <w:rPr>
          <w:szCs w:val="24"/>
        </w:rPr>
        <w:tab/>
        <w:t>výše trojnásobku neoprávněného prospěchu získaného spácháním tohoto přestupku, je-li možné výši neoprávněného prospěchu zjistit.</w:t>
      </w:r>
    </w:p>
    <w:p w14:paraId="3FDC2D23" w14:textId="77777777" w:rsidR="00272890" w:rsidRPr="00F50C9D" w:rsidRDefault="00272890" w:rsidP="00D37D81">
      <w:pPr>
        <w:widowControl w:val="0"/>
        <w:autoSpaceDE w:val="0"/>
        <w:autoSpaceDN w:val="0"/>
        <w:adjustRightInd w:val="0"/>
        <w:spacing w:after="120"/>
        <w:ind w:firstLine="0"/>
        <w:jc w:val="center"/>
        <w:rPr>
          <w:szCs w:val="24"/>
        </w:rPr>
      </w:pPr>
      <w:r w:rsidRPr="00F50C9D">
        <w:rPr>
          <w:szCs w:val="24"/>
        </w:rPr>
        <w:t>§ 178</w:t>
      </w:r>
    </w:p>
    <w:p w14:paraId="7CBC6CC1" w14:textId="77777777" w:rsidR="00272890" w:rsidRPr="00F50C9D" w:rsidRDefault="00272890" w:rsidP="00D37D81">
      <w:pPr>
        <w:widowControl w:val="0"/>
        <w:autoSpaceDE w:val="0"/>
        <w:autoSpaceDN w:val="0"/>
        <w:adjustRightInd w:val="0"/>
        <w:spacing w:after="120"/>
        <w:ind w:firstLine="0"/>
        <w:jc w:val="center"/>
        <w:rPr>
          <w:b/>
          <w:bCs/>
          <w:szCs w:val="24"/>
        </w:rPr>
      </w:pPr>
      <w:r w:rsidRPr="00F50C9D">
        <w:rPr>
          <w:b/>
          <w:bCs/>
          <w:szCs w:val="24"/>
        </w:rPr>
        <w:t>Přestupky právnických a podnikajících fyzických osob spočívající v porušení nařízení Evropské unie o trzích finančních nástrojů</w:t>
      </w:r>
    </w:p>
    <w:p w14:paraId="63A52E88" w14:textId="7B080B54" w:rsidR="00272890" w:rsidRPr="00F50C9D" w:rsidRDefault="00D37D81" w:rsidP="00272890">
      <w:pPr>
        <w:pStyle w:val="PZTextodstavce"/>
        <w:spacing w:before="240"/>
        <w:rPr>
          <w:szCs w:val="24"/>
        </w:rPr>
      </w:pPr>
      <w:r>
        <w:rPr>
          <w:szCs w:val="24"/>
        </w:rPr>
        <w:t xml:space="preserve">(1) </w:t>
      </w:r>
      <w:r w:rsidR="00272890" w:rsidRPr="00F50C9D">
        <w:rPr>
          <w:szCs w:val="24"/>
        </w:rPr>
        <w:t>Právnická nebo podnikající fyzická osoba se dopustí přestupku tím, že nesplní některou z povinností nebo poruší některý ze zákazů podle přímo použitelného předpisu Evropské unie upravujícím trhy finančních nástrojů</w:t>
      </w:r>
      <w:r w:rsidR="00272890" w:rsidRPr="00F50C9D">
        <w:rPr>
          <w:szCs w:val="24"/>
          <w:vertAlign w:val="superscript"/>
        </w:rPr>
        <w:t>53)</w:t>
      </w:r>
      <w:r w:rsidR="00272890" w:rsidRPr="00F50C9D">
        <w:rPr>
          <w:szCs w:val="24"/>
        </w:rPr>
        <w:t xml:space="preserve">, nebo poruší opatření přijaté podle </w:t>
      </w:r>
      <w:hyperlink r:id="rId246" w:history="1">
        <w:r w:rsidR="00272890" w:rsidRPr="00F50C9D">
          <w:rPr>
            <w:szCs w:val="24"/>
          </w:rPr>
          <w:t>čl. 40 až 42</w:t>
        </w:r>
      </w:hyperlink>
      <w:r w:rsidR="00272890" w:rsidRPr="00F50C9D">
        <w:rPr>
          <w:szCs w:val="24"/>
        </w:rPr>
        <w:t xml:space="preserve"> nařízení Evropského parlamentu a Rady (EU) č. </w:t>
      </w:r>
      <w:hyperlink r:id="rId247" w:history="1">
        <w:r w:rsidR="00272890" w:rsidRPr="00F50C9D">
          <w:rPr>
            <w:szCs w:val="24"/>
          </w:rPr>
          <w:t>600/2014</w:t>
        </w:r>
      </w:hyperlink>
      <w:r w:rsidR="00272890" w:rsidRPr="00F50C9D">
        <w:rPr>
          <w:szCs w:val="24"/>
        </w:rPr>
        <w:t xml:space="preserve">. </w:t>
      </w:r>
    </w:p>
    <w:p w14:paraId="52F71283" w14:textId="02E3292D" w:rsidR="00272890" w:rsidRPr="00F50C9D" w:rsidRDefault="00D37D81" w:rsidP="00272890">
      <w:pPr>
        <w:pStyle w:val="PZTextodstavce"/>
        <w:spacing w:before="240"/>
        <w:rPr>
          <w:szCs w:val="24"/>
        </w:rPr>
      </w:pPr>
      <w:r>
        <w:rPr>
          <w:szCs w:val="24"/>
        </w:rPr>
        <w:t xml:space="preserve">(2) </w:t>
      </w:r>
      <w:r w:rsidR="00272890" w:rsidRPr="00F50C9D">
        <w:rPr>
          <w:szCs w:val="24"/>
        </w:rPr>
        <w:t xml:space="preserve">Za přestupek podle odstavce 1 lze uložit pokutu do </w:t>
      </w:r>
    </w:p>
    <w:p w14:paraId="6B8E1623" w14:textId="77777777" w:rsidR="00272890" w:rsidRPr="00F50C9D" w:rsidRDefault="00272890" w:rsidP="00D37D81">
      <w:pPr>
        <w:pStyle w:val="PZTextpsmene"/>
        <w:spacing w:before="0"/>
        <w:rPr>
          <w:szCs w:val="24"/>
        </w:rPr>
      </w:pPr>
      <w:r w:rsidRPr="00F50C9D">
        <w:rPr>
          <w:szCs w:val="24"/>
        </w:rPr>
        <w:t>a)</w:t>
      </w:r>
      <w:r w:rsidRPr="00F50C9D">
        <w:rPr>
          <w:szCs w:val="24"/>
        </w:rPr>
        <w:tab/>
        <w:t>150 000 000 Kč,</w:t>
      </w:r>
    </w:p>
    <w:p w14:paraId="44F421CB" w14:textId="77777777" w:rsidR="00272890" w:rsidRPr="00F50C9D" w:rsidRDefault="00272890" w:rsidP="00D37D81">
      <w:pPr>
        <w:pStyle w:val="PZTextpsmene"/>
        <w:spacing w:before="0"/>
        <w:rPr>
          <w:szCs w:val="24"/>
        </w:rPr>
      </w:pPr>
      <w:r w:rsidRPr="00F50C9D">
        <w:rPr>
          <w:szCs w:val="24"/>
        </w:rPr>
        <w:t>b)</w:t>
      </w:r>
      <w:r w:rsidRPr="00F50C9D">
        <w:rPr>
          <w:szCs w:val="24"/>
        </w:rPr>
        <w:tab/>
        <w:t xml:space="preserve">výše 10 % celkového ročního obratu právnické osoby podle </w:t>
      </w:r>
      <w:r w:rsidRPr="00F50C9D">
        <w:rPr>
          <w:strike/>
          <w:szCs w:val="24"/>
        </w:rPr>
        <w:t>její poslední řádné účetní závěrky nebo konsolidované účetní závěrky</w:t>
      </w:r>
      <w:r w:rsidRPr="00F50C9D">
        <w:rPr>
          <w:b/>
          <w:szCs w:val="24"/>
        </w:rPr>
        <w:t xml:space="preserve"> </w:t>
      </w:r>
      <w:r w:rsidRPr="00F50C9D">
        <w:rPr>
          <w:b/>
          <w:bCs/>
          <w:szCs w:val="24"/>
        </w:rPr>
        <w:t>poslední řádné konsolidované účetní závěrky</w:t>
      </w:r>
      <w:r w:rsidRPr="00F50C9D">
        <w:rPr>
          <w:b/>
          <w:szCs w:val="24"/>
        </w:rPr>
        <w:t xml:space="preserve"> konsolidačního</w:t>
      </w:r>
      <w:r w:rsidRPr="00F50C9D" w:rsidDel="002D2408">
        <w:rPr>
          <w:b/>
          <w:szCs w:val="24"/>
        </w:rPr>
        <w:t xml:space="preserve"> </w:t>
      </w:r>
      <w:r w:rsidRPr="00F50C9D">
        <w:rPr>
          <w:b/>
          <w:szCs w:val="24"/>
        </w:rPr>
        <w:t>celku, v němž je zahrnuta,</w:t>
      </w:r>
      <w:r w:rsidRPr="00F50C9D">
        <w:rPr>
          <w:szCs w:val="24"/>
        </w:rPr>
        <w:t xml:space="preserve"> </w:t>
      </w:r>
      <w:r w:rsidRPr="00F50C9D">
        <w:rPr>
          <w:b/>
          <w:szCs w:val="24"/>
        </w:rPr>
        <w:t>nebo řádné individuální účetní závěrky, není-li taková konsolidovaná účetní závěrka</w:t>
      </w:r>
      <w:r w:rsidRPr="00F50C9D">
        <w:rPr>
          <w:szCs w:val="24"/>
        </w:rPr>
        <w:t xml:space="preserve">, nebo </w:t>
      </w:r>
    </w:p>
    <w:p w14:paraId="64C143EF" w14:textId="77777777" w:rsidR="00272890" w:rsidRPr="00F50C9D" w:rsidRDefault="00272890" w:rsidP="00D37D81">
      <w:pPr>
        <w:pStyle w:val="PZTextpsmene"/>
        <w:spacing w:before="0"/>
        <w:rPr>
          <w:szCs w:val="24"/>
        </w:rPr>
      </w:pPr>
      <w:r w:rsidRPr="00F50C9D">
        <w:rPr>
          <w:szCs w:val="24"/>
        </w:rPr>
        <w:lastRenderedPageBreak/>
        <w:t>c)</w:t>
      </w:r>
      <w:r w:rsidRPr="00F50C9D">
        <w:rPr>
          <w:szCs w:val="24"/>
        </w:rPr>
        <w:tab/>
        <w:t xml:space="preserve">výše dvojnásobku neoprávněného prospěchu získaného spácháním tohoto přestupku, je-li možné výši neoprávněného prospěchu zjistit. </w:t>
      </w:r>
    </w:p>
    <w:p w14:paraId="655803D6" w14:textId="77777777" w:rsidR="00272890" w:rsidRPr="00F50C9D" w:rsidRDefault="00272890" w:rsidP="00D37D81">
      <w:pPr>
        <w:widowControl w:val="0"/>
        <w:autoSpaceDE w:val="0"/>
        <w:autoSpaceDN w:val="0"/>
        <w:adjustRightInd w:val="0"/>
        <w:spacing w:after="120"/>
        <w:ind w:firstLine="0"/>
        <w:jc w:val="center"/>
        <w:rPr>
          <w:szCs w:val="24"/>
        </w:rPr>
      </w:pPr>
      <w:r w:rsidRPr="00F50C9D">
        <w:rPr>
          <w:szCs w:val="24"/>
        </w:rPr>
        <w:t>§ 179</w:t>
      </w:r>
    </w:p>
    <w:p w14:paraId="7C9804AD" w14:textId="77777777" w:rsidR="00272890" w:rsidRPr="00F50C9D" w:rsidRDefault="00272890" w:rsidP="00D37D81">
      <w:pPr>
        <w:widowControl w:val="0"/>
        <w:autoSpaceDE w:val="0"/>
        <w:autoSpaceDN w:val="0"/>
        <w:adjustRightInd w:val="0"/>
        <w:spacing w:after="120"/>
        <w:ind w:firstLine="0"/>
        <w:jc w:val="center"/>
        <w:rPr>
          <w:b/>
          <w:bCs/>
          <w:szCs w:val="24"/>
        </w:rPr>
      </w:pPr>
      <w:r w:rsidRPr="00F50C9D">
        <w:rPr>
          <w:b/>
          <w:bCs/>
          <w:szCs w:val="24"/>
        </w:rPr>
        <w:t>Přestupky právnických a podnikajících fyzických osob spočívající v porušení nařízení Evropské unie o sdělení klíčových informací týkajících se strukturovaných retailových investičních produktů a pojistných produktů s investiční složkou</w:t>
      </w:r>
    </w:p>
    <w:p w14:paraId="6EF85C2D" w14:textId="0096F2A2" w:rsidR="00272890" w:rsidRPr="00F50C9D" w:rsidRDefault="00D37D81" w:rsidP="00272890">
      <w:pPr>
        <w:pStyle w:val="PZTextodstavce"/>
        <w:spacing w:before="240"/>
        <w:rPr>
          <w:szCs w:val="24"/>
        </w:rPr>
      </w:pPr>
      <w:r>
        <w:rPr>
          <w:szCs w:val="24"/>
        </w:rPr>
        <w:t xml:space="preserve">(1) </w:t>
      </w:r>
      <w:r w:rsidR="00272890" w:rsidRPr="00F50C9D">
        <w:rPr>
          <w:szCs w:val="24"/>
        </w:rPr>
        <w:t xml:space="preserve">Právnická nebo podnikající fyzická osoba se dopustí přestupku tím, že nesplní některou z povinností nebo poruší některý ze zákazů podle </w:t>
      </w:r>
      <w:hyperlink r:id="rId248" w:history="1">
        <w:r w:rsidR="00272890" w:rsidRPr="00F50C9D">
          <w:rPr>
            <w:szCs w:val="24"/>
          </w:rPr>
          <w:t>čl. 5 odst. 1</w:t>
        </w:r>
      </w:hyperlink>
      <w:r w:rsidR="00272890" w:rsidRPr="00F50C9D">
        <w:rPr>
          <w:szCs w:val="24"/>
        </w:rPr>
        <w:t xml:space="preserve">, </w:t>
      </w:r>
      <w:hyperlink r:id="rId249" w:history="1">
        <w:r w:rsidR="00272890" w:rsidRPr="00F50C9D">
          <w:rPr>
            <w:szCs w:val="24"/>
          </w:rPr>
          <w:t>čl. 6</w:t>
        </w:r>
      </w:hyperlink>
      <w:r w:rsidR="00272890" w:rsidRPr="00F50C9D">
        <w:rPr>
          <w:szCs w:val="24"/>
        </w:rPr>
        <w:t xml:space="preserve">, </w:t>
      </w:r>
      <w:hyperlink r:id="rId250" w:history="1">
        <w:r w:rsidR="00272890" w:rsidRPr="00F50C9D">
          <w:rPr>
            <w:szCs w:val="24"/>
          </w:rPr>
          <w:t>čl. 7</w:t>
        </w:r>
      </w:hyperlink>
      <w:r w:rsidR="00272890" w:rsidRPr="00F50C9D">
        <w:rPr>
          <w:szCs w:val="24"/>
        </w:rPr>
        <w:t xml:space="preserve">, </w:t>
      </w:r>
      <w:hyperlink r:id="rId251" w:history="1">
        <w:r w:rsidR="00272890" w:rsidRPr="00F50C9D">
          <w:rPr>
            <w:szCs w:val="24"/>
          </w:rPr>
          <w:t>čl. 8 odst. 1 až 3</w:t>
        </w:r>
      </w:hyperlink>
      <w:r w:rsidR="00272890" w:rsidRPr="00F50C9D">
        <w:rPr>
          <w:szCs w:val="24"/>
        </w:rPr>
        <w:t xml:space="preserve">, </w:t>
      </w:r>
      <w:hyperlink r:id="rId252" w:history="1">
        <w:r w:rsidR="00272890" w:rsidRPr="00F50C9D">
          <w:rPr>
            <w:szCs w:val="24"/>
          </w:rPr>
          <w:t>čl. 9</w:t>
        </w:r>
      </w:hyperlink>
      <w:r w:rsidR="00272890" w:rsidRPr="00F50C9D">
        <w:rPr>
          <w:szCs w:val="24"/>
        </w:rPr>
        <w:t xml:space="preserve">, </w:t>
      </w:r>
      <w:hyperlink r:id="rId253" w:history="1">
        <w:r w:rsidR="00272890" w:rsidRPr="00F50C9D">
          <w:rPr>
            <w:szCs w:val="24"/>
          </w:rPr>
          <w:t>čl. 10 odst. 1</w:t>
        </w:r>
      </w:hyperlink>
      <w:r w:rsidR="00272890" w:rsidRPr="00F50C9D">
        <w:rPr>
          <w:szCs w:val="24"/>
        </w:rPr>
        <w:t xml:space="preserve">, </w:t>
      </w:r>
      <w:hyperlink r:id="rId254" w:history="1">
        <w:r w:rsidR="00272890" w:rsidRPr="00F50C9D">
          <w:rPr>
            <w:szCs w:val="24"/>
          </w:rPr>
          <w:t>čl. 13 odst. 1</w:t>
        </w:r>
      </w:hyperlink>
      <w:r w:rsidR="00272890" w:rsidRPr="00F50C9D">
        <w:rPr>
          <w:szCs w:val="24"/>
        </w:rPr>
        <w:t xml:space="preserve">, </w:t>
      </w:r>
      <w:hyperlink r:id="rId255" w:history="1">
        <w:r w:rsidR="00272890" w:rsidRPr="00F50C9D">
          <w:rPr>
            <w:szCs w:val="24"/>
          </w:rPr>
          <w:t>3</w:t>
        </w:r>
      </w:hyperlink>
      <w:r w:rsidR="00272890" w:rsidRPr="00F50C9D">
        <w:rPr>
          <w:szCs w:val="24"/>
        </w:rPr>
        <w:t xml:space="preserve"> nebo </w:t>
      </w:r>
      <w:hyperlink r:id="rId256" w:history="1">
        <w:r w:rsidR="00272890" w:rsidRPr="00F50C9D">
          <w:rPr>
            <w:szCs w:val="24"/>
          </w:rPr>
          <w:t>4</w:t>
        </w:r>
      </w:hyperlink>
      <w:r w:rsidR="00272890" w:rsidRPr="00F50C9D">
        <w:rPr>
          <w:szCs w:val="24"/>
        </w:rPr>
        <w:t xml:space="preserve">, </w:t>
      </w:r>
      <w:hyperlink r:id="rId257" w:history="1">
        <w:r w:rsidR="00272890" w:rsidRPr="00F50C9D">
          <w:rPr>
            <w:szCs w:val="24"/>
          </w:rPr>
          <w:t>čl. 14</w:t>
        </w:r>
      </w:hyperlink>
      <w:r w:rsidR="00272890" w:rsidRPr="00F50C9D">
        <w:rPr>
          <w:szCs w:val="24"/>
        </w:rPr>
        <w:t xml:space="preserve"> nebo </w:t>
      </w:r>
      <w:hyperlink r:id="rId258" w:history="1">
        <w:r w:rsidR="00272890" w:rsidRPr="00F50C9D">
          <w:rPr>
            <w:szCs w:val="24"/>
          </w:rPr>
          <w:t>čl. 19</w:t>
        </w:r>
      </w:hyperlink>
      <w:r w:rsidR="00272890" w:rsidRPr="00F50C9D">
        <w:rPr>
          <w:szCs w:val="24"/>
        </w:rPr>
        <w:t xml:space="preserve"> nařízení Evropského parlamentu a Rady (EU) č. </w:t>
      </w:r>
      <w:hyperlink r:id="rId259" w:history="1">
        <w:r w:rsidR="00272890" w:rsidRPr="00F50C9D">
          <w:rPr>
            <w:szCs w:val="24"/>
          </w:rPr>
          <w:t>1286/2014</w:t>
        </w:r>
      </w:hyperlink>
      <w:r w:rsidR="00272890" w:rsidRPr="00F50C9D">
        <w:rPr>
          <w:szCs w:val="24"/>
        </w:rPr>
        <w:t xml:space="preserve">. </w:t>
      </w:r>
    </w:p>
    <w:p w14:paraId="48F529F3" w14:textId="51ADC275" w:rsidR="00272890" w:rsidRPr="00F50C9D" w:rsidRDefault="00D37D81" w:rsidP="00272890">
      <w:pPr>
        <w:pStyle w:val="PZTextodstavce"/>
        <w:spacing w:before="240"/>
        <w:rPr>
          <w:szCs w:val="24"/>
        </w:rPr>
      </w:pPr>
      <w:r>
        <w:rPr>
          <w:szCs w:val="24"/>
        </w:rPr>
        <w:t xml:space="preserve">(2) </w:t>
      </w:r>
      <w:r w:rsidR="00272890" w:rsidRPr="00F50C9D">
        <w:rPr>
          <w:szCs w:val="24"/>
        </w:rPr>
        <w:t xml:space="preserve">Za přestupek právnické osoby podle odstavce 1 lze uložit pokutu do </w:t>
      </w:r>
    </w:p>
    <w:p w14:paraId="00573602" w14:textId="77777777" w:rsidR="00272890" w:rsidRPr="00F50C9D" w:rsidRDefault="00272890" w:rsidP="000C1EA8">
      <w:pPr>
        <w:pStyle w:val="PZTextpsmene"/>
        <w:spacing w:before="0"/>
        <w:rPr>
          <w:szCs w:val="24"/>
        </w:rPr>
      </w:pPr>
      <w:r w:rsidRPr="00F50C9D">
        <w:rPr>
          <w:szCs w:val="24"/>
        </w:rPr>
        <w:t>a)</w:t>
      </w:r>
      <w:r w:rsidRPr="00F50C9D">
        <w:rPr>
          <w:szCs w:val="24"/>
        </w:rPr>
        <w:tab/>
        <w:t xml:space="preserve">138 650 000 Kč, </w:t>
      </w:r>
    </w:p>
    <w:p w14:paraId="2CBF9F54" w14:textId="77777777" w:rsidR="00272890" w:rsidRPr="00F50C9D" w:rsidRDefault="00272890" w:rsidP="000C1EA8">
      <w:pPr>
        <w:pStyle w:val="PZTextpsmene"/>
        <w:spacing w:before="0"/>
        <w:rPr>
          <w:szCs w:val="24"/>
        </w:rPr>
      </w:pPr>
      <w:r w:rsidRPr="00F50C9D">
        <w:rPr>
          <w:szCs w:val="24"/>
        </w:rPr>
        <w:t>b)</w:t>
      </w:r>
      <w:r w:rsidRPr="00F50C9D">
        <w:rPr>
          <w:szCs w:val="24"/>
        </w:rPr>
        <w:tab/>
        <w:t xml:space="preserve">výše 3 % celkového ročního obratu této právnické osoby podle </w:t>
      </w:r>
      <w:r w:rsidRPr="00F50C9D">
        <w:rPr>
          <w:strike/>
          <w:szCs w:val="24"/>
        </w:rPr>
        <w:t>její poslední řádné účetní závěrky nebo konsolidované účetní závěrky</w:t>
      </w:r>
      <w:r w:rsidRPr="00F50C9D">
        <w:rPr>
          <w:b/>
          <w:szCs w:val="24"/>
        </w:rPr>
        <w:t xml:space="preserve"> </w:t>
      </w:r>
      <w:r w:rsidRPr="00F50C9D">
        <w:rPr>
          <w:b/>
          <w:bCs/>
          <w:szCs w:val="24"/>
        </w:rPr>
        <w:t>poslední řádné konsolidované účetní závěrky</w:t>
      </w:r>
      <w:r w:rsidRPr="00F50C9D">
        <w:rPr>
          <w:b/>
          <w:szCs w:val="24"/>
        </w:rPr>
        <w:t xml:space="preserve"> konsolidačního</w:t>
      </w:r>
      <w:r w:rsidRPr="00F50C9D" w:rsidDel="002D2408">
        <w:rPr>
          <w:b/>
          <w:szCs w:val="24"/>
        </w:rPr>
        <w:t xml:space="preserve"> </w:t>
      </w:r>
      <w:r w:rsidRPr="00F50C9D">
        <w:rPr>
          <w:b/>
          <w:szCs w:val="24"/>
        </w:rPr>
        <w:t>celku, v němž je zahrnuta,</w:t>
      </w:r>
      <w:r w:rsidRPr="00F50C9D">
        <w:rPr>
          <w:szCs w:val="24"/>
        </w:rPr>
        <w:t xml:space="preserve"> </w:t>
      </w:r>
      <w:r w:rsidRPr="00F50C9D">
        <w:rPr>
          <w:b/>
          <w:szCs w:val="24"/>
        </w:rPr>
        <w:t>nebo řádné individuální účetní závěrky, není-li taková konsolidovaná účetní závěrka</w:t>
      </w:r>
      <w:r w:rsidRPr="00F50C9D">
        <w:rPr>
          <w:szCs w:val="24"/>
        </w:rPr>
        <w:t xml:space="preserve">, nebo </w:t>
      </w:r>
    </w:p>
    <w:p w14:paraId="4E5020A0" w14:textId="77777777" w:rsidR="00272890" w:rsidRPr="00F50C9D" w:rsidRDefault="00272890" w:rsidP="000C1EA8">
      <w:pPr>
        <w:pStyle w:val="PZTextpsmene"/>
        <w:spacing w:before="0"/>
        <w:rPr>
          <w:szCs w:val="24"/>
        </w:rPr>
      </w:pPr>
      <w:r w:rsidRPr="00F50C9D">
        <w:rPr>
          <w:szCs w:val="24"/>
        </w:rPr>
        <w:t>c)</w:t>
      </w:r>
      <w:r w:rsidRPr="00F50C9D">
        <w:rPr>
          <w:szCs w:val="24"/>
        </w:rPr>
        <w:tab/>
        <w:t xml:space="preserve">výše dvojnásobku neoprávněného prospěchu získaného spácháním tohoto přestupku, je-li </w:t>
      </w:r>
    </w:p>
    <w:p w14:paraId="73006A72" w14:textId="4AF78300" w:rsidR="00272890" w:rsidRPr="00F50C9D" w:rsidRDefault="00D37D81" w:rsidP="00272890">
      <w:pPr>
        <w:pStyle w:val="PZTextodstavce"/>
        <w:spacing w:before="240"/>
        <w:rPr>
          <w:szCs w:val="24"/>
        </w:rPr>
      </w:pPr>
      <w:r>
        <w:rPr>
          <w:szCs w:val="24"/>
        </w:rPr>
        <w:t xml:space="preserve">(3) </w:t>
      </w:r>
      <w:r w:rsidR="00272890" w:rsidRPr="00F50C9D">
        <w:rPr>
          <w:szCs w:val="24"/>
        </w:rPr>
        <w:t xml:space="preserve">Za přestupek podnikající fyzické osoby podle odstavce 1 lze uložit pokutu do </w:t>
      </w:r>
    </w:p>
    <w:p w14:paraId="72008CD3" w14:textId="77777777" w:rsidR="00272890" w:rsidRPr="00F50C9D" w:rsidRDefault="00272890" w:rsidP="000C1EA8">
      <w:pPr>
        <w:pStyle w:val="PZTextpsmene"/>
        <w:spacing w:before="0"/>
        <w:rPr>
          <w:szCs w:val="24"/>
        </w:rPr>
      </w:pPr>
      <w:r w:rsidRPr="00F50C9D">
        <w:rPr>
          <w:szCs w:val="24"/>
        </w:rPr>
        <w:t>a)</w:t>
      </w:r>
      <w:r w:rsidRPr="00F50C9D">
        <w:rPr>
          <w:szCs w:val="24"/>
        </w:rPr>
        <w:tab/>
        <w:t xml:space="preserve">19 411 000 Kč, nebo </w:t>
      </w:r>
    </w:p>
    <w:p w14:paraId="1A276CC5" w14:textId="77777777" w:rsidR="00272890" w:rsidRPr="00F50C9D" w:rsidRDefault="00272890" w:rsidP="000C1EA8">
      <w:pPr>
        <w:pStyle w:val="PZTextpsmene"/>
        <w:spacing w:before="0"/>
        <w:rPr>
          <w:szCs w:val="24"/>
        </w:rPr>
      </w:pPr>
      <w:r w:rsidRPr="00F50C9D">
        <w:rPr>
          <w:szCs w:val="24"/>
        </w:rPr>
        <w:t>b)</w:t>
      </w:r>
      <w:r w:rsidRPr="00F50C9D">
        <w:rPr>
          <w:szCs w:val="24"/>
        </w:rPr>
        <w:tab/>
        <w:t>výše dvojnásobku neoprávněného prospěchu získaného spácháním tohoto přestupku, je-li možné výši neoprávněného prospěchu zjistit.</w:t>
      </w:r>
    </w:p>
    <w:p w14:paraId="75848D9E" w14:textId="77777777" w:rsidR="00272890" w:rsidRPr="00F50C9D" w:rsidRDefault="00272890" w:rsidP="00D37D81">
      <w:pPr>
        <w:widowControl w:val="0"/>
        <w:autoSpaceDE w:val="0"/>
        <w:autoSpaceDN w:val="0"/>
        <w:adjustRightInd w:val="0"/>
        <w:spacing w:after="120"/>
        <w:ind w:firstLine="0"/>
        <w:jc w:val="center"/>
        <w:rPr>
          <w:szCs w:val="24"/>
        </w:rPr>
      </w:pPr>
      <w:r w:rsidRPr="00F50C9D">
        <w:rPr>
          <w:szCs w:val="24"/>
        </w:rPr>
        <w:t>§ 180</w:t>
      </w:r>
    </w:p>
    <w:p w14:paraId="7939CE3F" w14:textId="77777777" w:rsidR="00272890" w:rsidRPr="00F50C9D" w:rsidRDefault="00272890" w:rsidP="00D37D81">
      <w:pPr>
        <w:widowControl w:val="0"/>
        <w:autoSpaceDE w:val="0"/>
        <w:autoSpaceDN w:val="0"/>
        <w:adjustRightInd w:val="0"/>
        <w:spacing w:after="120"/>
        <w:ind w:firstLine="0"/>
        <w:jc w:val="center"/>
        <w:rPr>
          <w:b/>
          <w:bCs/>
          <w:szCs w:val="24"/>
        </w:rPr>
      </w:pPr>
      <w:r w:rsidRPr="00F50C9D">
        <w:rPr>
          <w:b/>
          <w:bCs/>
          <w:szCs w:val="24"/>
        </w:rPr>
        <w:t>Přestupky právnických a podnikajících fyzických osob spočívající v porušení nařízení Evropské unie o transparentnosti obchodů zajišťujících financování a opětovného použití</w:t>
      </w:r>
    </w:p>
    <w:p w14:paraId="39AA3DCC" w14:textId="25EF6DD8" w:rsidR="00272890" w:rsidRPr="00F50C9D" w:rsidRDefault="000C1EA8" w:rsidP="00272890">
      <w:pPr>
        <w:pStyle w:val="PZTextodstavce"/>
        <w:spacing w:before="240"/>
        <w:rPr>
          <w:szCs w:val="24"/>
        </w:rPr>
      </w:pPr>
      <w:r>
        <w:rPr>
          <w:szCs w:val="24"/>
        </w:rPr>
        <w:t xml:space="preserve">(1) </w:t>
      </w:r>
      <w:r w:rsidR="00272890" w:rsidRPr="00F50C9D">
        <w:rPr>
          <w:szCs w:val="24"/>
        </w:rPr>
        <w:t xml:space="preserve">Právnická osoba nebo podnikající fyzická osoba se dopustí přestupku tím, že nesplní některou z povinností nebo poruší některý ze zákazů </w:t>
      </w:r>
    </w:p>
    <w:p w14:paraId="53119F23" w14:textId="77777777" w:rsidR="00272890" w:rsidRPr="00F50C9D" w:rsidRDefault="00272890" w:rsidP="000C1EA8">
      <w:pPr>
        <w:pStyle w:val="PZTextpsmene"/>
        <w:spacing w:before="0"/>
        <w:rPr>
          <w:szCs w:val="24"/>
        </w:rPr>
      </w:pPr>
      <w:r w:rsidRPr="00F50C9D">
        <w:rPr>
          <w:szCs w:val="24"/>
        </w:rPr>
        <w:t>a)</w:t>
      </w:r>
      <w:r w:rsidRPr="00F50C9D">
        <w:rPr>
          <w:szCs w:val="24"/>
        </w:rPr>
        <w:tab/>
        <w:t xml:space="preserve">podle </w:t>
      </w:r>
      <w:hyperlink r:id="rId260" w:history="1">
        <w:r w:rsidRPr="00F50C9D">
          <w:rPr>
            <w:szCs w:val="24"/>
          </w:rPr>
          <w:t>čl. 4</w:t>
        </w:r>
      </w:hyperlink>
      <w:r w:rsidRPr="00F50C9D">
        <w:rPr>
          <w:szCs w:val="24"/>
        </w:rPr>
        <w:t xml:space="preserve"> nařízení Evropského parlamentu a Rady (EU) </w:t>
      </w:r>
      <w:hyperlink r:id="rId261" w:history="1">
        <w:r w:rsidRPr="00F50C9D">
          <w:rPr>
            <w:szCs w:val="24"/>
          </w:rPr>
          <w:t>2015/2365</w:t>
        </w:r>
      </w:hyperlink>
      <w:r w:rsidRPr="00F50C9D">
        <w:rPr>
          <w:szCs w:val="24"/>
        </w:rPr>
        <w:t xml:space="preserve">, </w:t>
      </w:r>
    </w:p>
    <w:p w14:paraId="6612EE5C" w14:textId="77777777" w:rsidR="00272890" w:rsidRPr="00F50C9D" w:rsidRDefault="00272890" w:rsidP="000C1EA8">
      <w:pPr>
        <w:pStyle w:val="PZTextpsmene"/>
        <w:spacing w:before="0"/>
        <w:rPr>
          <w:szCs w:val="24"/>
        </w:rPr>
      </w:pPr>
      <w:r w:rsidRPr="00F50C9D">
        <w:rPr>
          <w:szCs w:val="24"/>
        </w:rPr>
        <w:t xml:space="preserve">b) </w:t>
      </w:r>
      <w:r w:rsidRPr="00F50C9D">
        <w:rPr>
          <w:szCs w:val="24"/>
        </w:rPr>
        <w:tab/>
        <w:t xml:space="preserve">podle </w:t>
      </w:r>
      <w:hyperlink r:id="rId262" w:history="1">
        <w:r w:rsidRPr="00F50C9D">
          <w:rPr>
            <w:szCs w:val="24"/>
          </w:rPr>
          <w:t>čl. 15</w:t>
        </w:r>
      </w:hyperlink>
      <w:r w:rsidRPr="00F50C9D">
        <w:rPr>
          <w:szCs w:val="24"/>
        </w:rPr>
        <w:t xml:space="preserve"> nařízení Evropského parlamentu a Rady (EU) </w:t>
      </w:r>
      <w:hyperlink r:id="rId263" w:history="1">
        <w:r w:rsidRPr="00F50C9D">
          <w:rPr>
            <w:szCs w:val="24"/>
          </w:rPr>
          <w:t>2015/2365</w:t>
        </w:r>
      </w:hyperlink>
      <w:r w:rsidRPr="00F50C9D">
        <w:rPr>
          <w:szCs w:val="24"/>
        </w:rPr>
        <w:t xml:space="preserve">, nebo </w:t>
      </w:r>
    </w:p>
    <w:p w14:paraId="7F4F27CB" w14:textId="77777777" w:rsidR="00272890" w:rsidRPr="00F50C9D" w:rsidRDefault="00272890" w:rsidP="000C1EA8">
      <w:pPr>
        <w:pStyle w:val="PZTextpsmene"/>
        <w:spacing w:before="0"/>
        <w:rPr>
          <w:szCs w:val="24"/>
        </w:rPr>
      </w:pPr>
      <w:r w:rsidRPr="00F50C9D">
        <w:rPr>
          <w:szCs w:val="24"/>
        </w:rPr>
        <w:t>c)</w:t>
      </w:r>
      <w:r w:rsidRPr="00F50C9D">
        <w:rPr>
          <w:szCs w:val="24"/>
        </w:rPr>
        <w:tab/>
        <w:t xml:space="preserve">podle </w:t>
      </w:r>
      <w:hyperlink r:id="rId264" w:history="1">
        <w:r w:rsidRPr="00F50C9D">
          <w:rPr>
            <w:szCs w:val="24"/>
          </w:rPr>
          <w:t>čl. 24 odst. 3</w:t>
        </w:r>
      </w:hyperlink>
      <w:r w:rsidRPr="00F50C9D">
        <w:rPr>
          <w:szCs w:val="24"/>
        </w:rPr>
        <w:t xml:space="preserve"> nařízení Evropského parlamentu a Rady (EU) </w:t>
      </w:r>
      <w:hyperlink r:id="rId265" w:history="1">
        <w:r w:rsidRPr="00F50C9D">
          <w:rPr>
            <w:szCs w:val="24"/>
          </w:rPr>
          <w:t>2015/2365</w:t>
        </w:r>
      </w:hyperlink>
      <w:r w:rsidRPr="00F50C9D">
        <w:rPr>
          <w:szCs w:val="24"/>
        </w:rPr>
        <w:t xml:space="preserve">. </w:t>
      </w:r>
    </w:p>
    <w:p w14:paraId="1AB697ED" w14:textId="514198E8" w:rsidR="00272890" w:rsidRPr="00F50C9D" w:rsidRDefault="000C1EA8" w:rsidP="00272890">
      <w:pPr>
        <w:pStyle w:val="PZTextodstavce"/>
        <w:spacing w:before="240"/>
        <w:rPr>
          <w:szCs w:val="24"/>
        </w:rPr>
      </w:pPr>
      <w:r>
        <w:rPr>
          <w:szCs w:val="24"/>
        </w:rPr>
        <w:t xml:space="preserve">(2) </w:t>
      </w:r>
      <w:r w:rsidR="00272890" w:rsidRPr="00F50C9D">
        <w:rPr>
          <w:szCs w:val="24"/>
        </w:rPr>
        <w:t xml:space="preserve">Za přestupek právnické osoby podle odstavce 1 písm. a) lze uložit pokutu do </w:t>
      </w:r>
    </w:p>
    <w:p w14:paraId="69EF1844" w14:textId="77777777" w:rsidR="00272890" w:rsidRPr="00F50C9D" w:rsidRDefault="00272890" w:rsidP="000C1EA8">
      <w:pPr>
        <w:pStyle w:val="PZTextpsmene"/>
        <w:spacing w:before="0"/>
        <w:rPr>
          <w:szCs w:val="24"/>
        </w:rPr>
      </w:pPr>
      <w:r w:rsidRPr="00F50C9D">
        <w:rPr>
          <w:szCs w:val="24"/>
        </w:rPr>
        <w:t>a)</w:t>
      </w:r>
      <w:r w:rsidRPr="00F50C9D">
        <w:rPr>
          <w:szCs w:val="24"/>
        </w:rPr>
        <w:tab/>
        <w:t xml:space="preserve">135 100 000 Kč, </w:t>
      </w:r>
    </w:p>
    <w:p w14:paraId="1482D940" w14:textId="77777777" w:rsidR="00272890" w:rsidRPr="00F50C9D" w:rsidRDefault="00272890" w:rsidP="000C1EA8">
      <w:pPr>
        <w:pStyle w:val="PZTextpsmene"/>
        <w:spacing w:before="0"/>
        <w:rPr>
          <w:szCs w:val="24"/>
        </w:rPr>
      </w:pPr>
      <w:r w:rsidRPr="00F50C9D">
        <w:rPr>
          <w:szCs w:val="24"/>
        </w:rPr>
        <w:t>b)</w:t>
      </w:r>
      <w:r w:rsidRPr="00F50C9D">
        <w:rPr>
          <w:szCs w:val="24"/>
        </w:rPr>
        <w:tab/>
        <w:t xml:space="preserve">výše 10 % celkového ročního obratu této právnické osoby podle </w:t>
      </w:r>
      <w:r w:rsidRPr="00F50C9D">
        <w:rPr>
          <w:strike/>
          <w:szCs w:val="24"/>
        </w:rPr>
        <w:t>její poslední řádné účetní závěrky nebo konsolidované účetní závěrky</w:t>
      </w:r>
      <w:r w:rsidRPr="00F50C9D">
        <w:rPr>
          <w:b/>
          <w:szCs w:val="24"/>
        </w:rPr>
        <w:t xml:space="preserve"> </w:t>
      </w:r>
      <w:r w:rsidRPr="00F50C9D">
        <w:rPr>
          <w:b/>
          <w:bCs/>
          <w:szCs w:val="24"/>
        </w:rPr>
        <w:t>poslední řádné konsolidované účetní závěrky</w:t>
      </w:r>
      <w:r w:rsidRPr="00F50C9D">
        <w:rPr>
          <w:b/>
          <w:szCs w:val="24"/>
        </w:rPr>
        <w:t xml:space="preserve"> konsolidačního celku, v němž je zahrnuta,</w:t>
      </w:r>
      <w:r w:rsidRPr="00F50C9D">
        <w:rPr>
          <w:szCs w:val="24"/>
        </w:rPr>
        <w:t xml:space="preserve"> </w:t>
      </w:r>
      <w:r w:rsidRPr="00F50C9D">
        <w:rPr>
          <w:b/>
          <w:szCs w:val="24"/>
        </w:rPr>
        <w:t>nebo řádné individuální účetní závěrky, není-li taková konsolidovaná účetní závěrka</w:t>
      </w:r>
      <w:r w:rsidRPr="00F50C9D">
        <w:rPr>
          <w:szCs w:val="24"/>
        </w:rPr>
        <w:t xml:space="preserve">, nebo </w:t>
      </w:r>
    </w:p>
    <w:p w14:paraId="7AD518FB" w14:textId="77777777" w:rsidR="00272890" w:rsidRPr="00F50C9D" w:rsidRDefault="00272890" w:rsidP="000C1EA8">
      <w:pPr>
        <w:pStyle w:val="PZTextpsmene"/>
        <w:spacing w:before="0"/>
        <w:rPr>
          <w:szCs w:val="24"/>
        </w:rPr>
      </w:pPr>
      <w:r w:rsidRPr="00F50C9D">
        <w:rPr>
          <w:szCs w:val="24"/>
        </w:rPr>
        <w:t>c)</w:t>
      </w:r>
      <w:r w:rsidRPr="00F50C9D">
        <w:rPr>
          <w:szCs w:val="24"/>
        </w:rPr>
        <w:tab/>
        <w:t xml:space="preserve">výše trojnásobku neoprávněného prospěchu získaného spácháním tohoto přestupku, je-li možné výši neoprávněného prospěchu zjistit. </w:t>
      </w:r>
    </w:p>
    <w:p w14:paraId="5C2C3FE1" w14:textId="416D46A3" w:rsidR="00272890" w:rsidRPr="00F50C9D" w:rsidRDefault="000C1EA8" w:rsidP="00272890">
      <w:pPr>
        <w:pStyle w:val="PZTextodstavce"/>
        <w:spacing w:before="240"/>
        <w:rPr>
          <w:szCs w:val="24"/>
        </w:rPr>
      </w:pPr>
      <w:r>
        <w:rPr>
          <w:szCs w:val="24"/>
        </w:rPr>
        <w:t xml:space="preserve">(3) </w:t>
      </w:r>
      <w:r w:rsidR="00272890" w:rsidRPr="00F50C9D">
        <w:rPr>
          <w:szCs w:val="24"/>
        </w:rPr>
        <w:t xml:space="preserve">Za přestupek právnické osoby podle odstavce 1 písm. b) lze uložit pokutu do </w:t>
      </w:r>
    </w:p>
    <w:p w14:paraId="289B8DC1" w14:textId="77777777" w:rsidR="00272890" w:rsidRPr="00F50C9D" w:rsidRDefault="00272890" w:rsidP="000C1EA8">
      <w:pPr>
        <w:pStyle w:val="PZTextpsmene"/>
        <w:spacing w:before="0"/>
        <w:rPr>
          <w:szCs w:val="24"/>
        </w:rPr>
      </w:pPr>
      <w:r w:rsidRPr="00F50C9D">
        <w:rPr>
          <w:szCs w:val="24"/>
        </w:rPr>
        <w:lastRenderedPageBreak/>
        <w:t>a)</w:t>
      </w:r>
      <w:r w:rsidRPr="00F50C9D">
        <w:rPr>
          <w:szCs w:val="24"/>
        </w:rPr>
        <w:tab/>
        <w:t xml:space="preserve">405 300 000 Kč, </w:t>
      </w:r>
    </w:p>
    <w:p w14:paraId="7299F7FB" w14:textId="77777777" w:rsidR="00272890" w:rsidRPr="00F50C9D" w:rsidRDefault="00272890" w:rsidP="000C1EA8">
      <w:pPr>
        <w:pStyle w:val="PZTextpsmene"/>
        <w:spacing w:before="0"/>
        <w:rPr>
          <w:szCs w:val="24"/>
        </w:rPr>
      </w:pPr>
      <w:r w:rsidRPr="00F50C9D">
        <w:rPr>
          <w:szCs w:val="24"/>
        </w:rPr>
        <w:t>b)</w:t>
      </w:r>
      <w:r w:rsidRPr="00F50C9D">
        <w:rPr>
          <w:szCs w:val="24"/>
        </w:rPr>
        <w:tab/>
        <w:t xml:space="preserve">výše 10 % celkového ročního obratu této právnické osoby podle </w:t>
      </w:r>
      <w:r w:rsidRPr="00F50C9D">
        <w:rPr>
          <w:strike/>
          <w:szCs w:val="24"/>
        </w:rPr>
        <w:t>její poslední řádné účetní závěrky nebo konsolidované účetní závěrky</w:t>
      </w:r>
      <w:r w:rsidRPr="00F50C9D">
        <w:rPr>
          <w:b/>
          <w:szCs w:val="24"/>
        </w:rPr>
        <w:t xml:space="preserve"> </w:t>
      </w:r>
      <w:r w:rsidRPr="00F50C9D">
        <w:rPr>
          <w:b/>
          <w:bCs/>
          <w:szCs w:val="24"/>
        </w:rPr>
        <w:t>poslední řádné konsolidované účetní závěrky</w:t>
      </w:r>
      <w:r w:rsidRPr="00F50C9D">
        <w:rPr>
          <w:b/>
          <w:szCs w:val="24"/>
        </w:rPr>
        <w:t xml:space="preserve"> konsolidačního celku, v němž je zahrnuta,</w:t>
      </w:r>
      <w:r w:rsidRPr="00F50C9D">
        <w:rPr>
          <w:szCs w:val="24"/>
        </w:rPr>
        <w:t xml:space="preserve"> </w:t>
      </w:r>
      <w:r w:rsidRPr="00F50C9D">
        <w:rPr>
          <w:b/>
          <w:szCs w:val="24"/>
        </w:rPr>
        <w:t>nebo řádné individuální účetní závěrky, není-li taková konsolidovaná účetní závěrka</w:t>
      </w:r>
      <w:r w:rsidRPr="00F50C9D">
        <w:rPr>
          <w:szCs w:val="24"/>
        </w:rPr>
        <w:t xml:space="preserve">, nebo </w:t>
      </w:r>
    </w:p>
    <w:p w14:paraId="17CB5458" w14:textId="77777777" w:rsidR="00272890" w:rsidRPr="00F50C9D" w:rsidRDefault="00272890" w:rsidP="000C1EA8">
      <w:pPr>
        <w:pStyle w:val="PZTextpsmene"/>
        <w:spacing w:before="0"/>
        <w:rPr>
          <w:szCs w:val="24"/>
        </w:rPr>
      </w:pPr>
      <w:r w:rsidRPr="00F50C9D">
        <w:rPr>
          <w:szCs w:val="24"/>
        </w:rPr>
        <w:t>c)</w:t>
      </w:r>
      <w:r w:rsidRPr="00F50C9D">
        <w:rPr>
          <w:szCs w:val="24"/>
        </w:rPr>
        <w:tab/>
        <w:t xml:space="preserve">výše trojnásobku neoprávněného prospěchu získaného spácháním tohoto přestupku, je-li možné výši neoprávněného prospěchu zjistit. </w:t>
      </w:r>
    </w:p>
    <w:p w14:paraId="6E6F66B1" w14:textId="36FF8439" w:rsidR="00272890" w:rsidRPr="00F50C9D" w:rsidRDefault="000C1EA8" w:rsidP="00272890">
      <w:pPr>
        <w:pStyle w:val="PZTextodstavce"/>
        <w:spacing w:before="240"/>
        <w:rPr>
          <w:szCs w:val="24"/>
        </w:rPr>
      </w:pPr>
      <w:r>
        <w:rPr>
          <w:szCs w:val="24"/>
        </w:rPr>
        <w:t xml:space="preserve">(4) </w:t>
      </w:r>
      <w:r w:rsidR="00272890" w:rsidRPr="00F50C9D">
        <w:rPr>
          <w:szCs w:val="24"/>
        </w:rPr>
        <w:t xml:space="preserve">Za přestupek podnikající fyzické osoby podle odstavce 1 písm. a) nebo b) lze uložit pokutu do </w:t>
      </w:r>
    </w:p>
    <w:p w14:paraId="42C39361" w14:textId="77777777" w:rsidR="00272890" w:rsidRPr="00F50C9D" w:rsidRDefault="00272890" w:rsidP="000C1EA8">
      <w:pPr>
        <w:pStyle w:val="PZTextpsmene"/>
        <w:spacing w:before="0"/>
        <w:rPr>
          <w:szCs w:val="24"/>
        </w:rPr>
      </w:pPr>
      <w:r w:rsidRPr="00F50C9D">
        <w:rPr>
          <w:szCs w:val="24"/>
        </w:rPr>
        <w:t>a)</w:t>
      </w:r>
      <w:r w:rsidRPr="00F50C9D">
        <w:rPr>
          <w:szCs w:val="24"/>
        </w:rPr>
        <w:tab/>
        <w:t xml:space="preserve">135 100 000 Kč, nebo </w:t>
      </w:r>
    </w:p>
    <w:p w14:paraId="63F9CC79" w14:textId="77777777" w:rsidR="00272890" w:rsidRPr="00F50C9D" w:rsidRDefault="00272890" w:rsidP="000C1EA8">
      <w:pPr>
        <w:pStyle w:val="PZTextpsmene"/>
        <w:spacing w:before="0"/>
        <w:rPr>
          <w:szCs w:val="24"/>
        </w:rPr>
      </w:pPr>
      <w:r w:rsidRPr="00F50C9D">
        <w:rPr>
          <w:szCs w:val="24"/>
        </w:rPr>
        <w:t>b)</w:t>
      </w:r>
      <w:r w:rsidRPr="00F50C9D">
        <w:rPr>
          <w:szCs w:val="24"/>
        </w:rPr>
        <w:tab/>
        <w:t xml:space="preserve">výše trojnásobku neoprávněného prospěchu získaného spácháním tohoto přestupku, je-li možné výši neoprávněného prospěchu zjistit. </w:t>
      </w:r>
    </w:p>
    <w:p w14:paraId="01262ECE" w14:textId="2D8B74A7" w:rsidR="00272890" w:rsidRPr="00F50C9D" w:rsidRDefault="000C1EA8" w:rsidP="00272890">
      <w:pPr>
        <w:pStyle w:val="PZTextodstavce"/>
        <w:spacing w:before="240"/>
        <w:rPr>
          <w:szCs w:val="24"/>
        </w:rPr>
      </w:pPr>
      <w:r>
        <w:rPr>
          <w:szCs w:val="24"/>
        </w:rPr>
        <w:t xml:space="preserve">(5) </w:t>
      </w:r>
      <w:r w:rsidR="00272890" w:rsidRPr="00F50C9D">
        <w:rPr>
          <w:szCs w:val="24"/>
        </w:rPr>
        <w:t xml:space="preserve">Za přestupek podle odstavce 1 písm. c) lze uložit pokutu do 1 000 000 Kč. </w:t>
      </w:r>
    </w:p>
    <w:p w14:paraId="30DE3714" w14:textId="77777777" w:rsidR="00272890" w:rsidRPr="00F50C9D" w:rsidRDefault="00272890" w:rsidP="000C1EA8">
      <w:pPr>
        <w:widowControl w:val="0"/>
        <w:autoSpaceDE w:val="0"/>
        <w:autoSpaceDN w:val="0"/>
        <w:adjustRightInd w:val="0"/>
        <w:spacing w:after="120"/>
        <w:ind w:firstLine="0"/>
        <w:jc w:val="center"/>
        <w:rPr>
          <w:szCs w:val="24"/>
        </w:rPr>
      </w:pPr>
      <w:r w:rsidRPr="00F50C9D">
        <w:rPr>
          <w:szCs w:val="24"/>
        </w:rPr>
        <w:t>§ 181</w:t>
      </w:r>
    </w:p>
    <w:p w14:paraId="57F3D47B" w14:textId="77777777" w:rsidR="00272890" w:rsidRPr="00F50C9D" w:rsidRDefault="00272890" w:rsidP="000C1EA8">
      <w:pPr>
        <w:widowControl w:val="0"/>
        <w:autoSpaceDE w:val="0"/>
        <w:autoSpaceDN w:val="0"/>
        <w:adjustRightInd w:val="0"/>
        <w:spacing w:after="120"/>
        <w:ind w:firstLine="0"/>
        <w:jc w:val="center"/>
        <w:rPr>
          <w:b/>
          <w:bCs/>
          <w:szCs w:val="24"/>
        </w:rPr>
      </w:pPr>
      <w:r w:rsidRPr="00F50C9D">
        <w:rPr>
          <w:b/>
          <w:bCs/>
          <w:szCs w:val="24"/>
        </w:rPr>
        <w:t>Přestupky právnických a podnikajících fyzických osob spočívající v porušení nařízení Evropské unie o indexech, které jsou používány jako referenční hodnoty ve finančních nástrojích a finančních smlouvách nebo k měření výkonnosti investičních fondů</w:t>
      </w:r>
    </w:p>
    <w:p w14:paraId="402B4C56" w14:textId="4E785BB0" w:rsidR="00272890" w:rsidRPr="00F50C9D" w:rsidRDefault="000C1EA8" w:rsidP="00272890">
      <w:pPr>
        <w:pStyle w:val="PZTextodstavce"/>
        <w:spacing w:before="240"/>
        <w:rPr>
          <w:szCs w:val="24"/>
        </w:rPr>
      </w:pPr>
      <w:r>
        <w:rPr>
          <w:szCs w:val="24"/>
        </w:rPr>
        <w:t xml:space="preserve">(1) </w:t>
      </w:r>
      <w:r w:rsidR="00272890" w:rsidRPr="00F50C9D">
        <w:rPr>
          <w:szCs w:val="24"/>
        </w:rPr>
        <w:t xml:space="preserve">Právnická nebo podnikající fyzická osoba se dopustí přestupku tím, že nesplní některou z povinností nebo poruší některý ze zákazů </w:t>
      </w:r>
    </w:p>
    <w:p w14:paraId="581C52B6" w14:textId="77777777" w:rsidR="00272890" w:rsidRPr="00F50C9D" w:rsidRDefault="00272890" w:rsidP="000C1EA8">
      <w:pPr>
        <w:pStyle w:val="PZTextpsmene"/>
        <w:spacing w:before="0"/>
        <w:rPr>
          <w:szCs w:val="24"/>
        </w:rPr>
      </w:pPr>
      <w:r w:rsidRPr="00F50C9D">
        <w:rPr>
          <w:szCs w:val="24"/>
        </w:rPr>
        <w:t>a)</w:t>
      </w:r>
      <w:r w:rsidRPr="00F50C9D">
        <w:rPr>
          <w:szCs w:val="24"/>
        </w:rPr>
        <w:tab/>
        <w:t xml:space="preserve">podle </w:t>
      </w:r>
      <w:hyperlink r:id="rId266" w:history="1">
        <w:r w:rsidRPr="00F50C9D">
          <w:rPr>
            <w:szCs w:val="24"/>
          </w:rPr>
          <w:t>čl. 11 odst. 1 písm. d)</w:t>
        </w:r>
      </w:hyperlink>
      <w:r w:rsidRPr="00F50C9D">
        <w:rPr>
          <w:szCs w:val="24"/>
        </w:rPr>
        <w:t xml:space="preserve"> nebo </w:t>
      </w:r>
      <w:hyperlink r:id="rId267" w:history="1">
        <w:r w:rsidRPr="00F50C9D">
          <w:rPr>
            <w:szCs w:val="24"/>
          </w:rPr>
          <w:t>čl. 11 odst. 4</w:t>
        </w:r>
      </w:hyperlink>
      <w:r w:rsidRPr="00F50C9D">
        <w:rPr>
          <w:szCs w:val="24"/>
        </w:rPr>
        <w:t xml:space="preserve"> nařízení Evropského parlamentu a Rady (EU) </w:t>
      </w:r>
      <w:hyperlink r:id="rId268" w:history="1">
        <w:r w:rsidRPr="00F50C9D">
          <w:rPr>
            <w:szCs w:val="24"/>
          </w:rPr>
          <w:t>2016/1011</w:t>
        </w:r>
      </w:hyperlink>
      <w:r w:rsidRPr="00F50C9D">
        <w:rPr>
          <w:szCs w:val="24"/>
        </w:rPr>
        <w:t xml:space="preserve">, nebo </w:t>
      </w:r>
    </w:p>
    <w:p w14:paraId="519DF74B" w14:textId="77777777" w:rsidR="00272890" w:rsidRPr="00F50C9D" w:rsidRDefault="00272890" w:rsidP="000C1EA8">
      <w:pPr>
        <w:pStyle w:val="PZTextpsmene"/>
        <w:spacing w:before="0"/>
        <w:rPr>
          <w:szCs w:val="24"/>
        </w:rPr>
      </w:pPr>
      <w:r w:rsidRPr="00F50C9D">
        <w:rPr>
          <w:szCs w:val="24"/>
        </w:rPr>
        <w:t>b)</w:t>
      </w:r>
      <w:r w:rsidRPr="00F50C9D">
        <w:rPr>
          <w:szCs w:val="24"/>
        </w:rPr>
        <w:tab/>
        <w:t xml:space="preserve">podle </w:t>
      </w:r>
      <w:hyperlink r:id="rId269" w:history="1">
        <w:r w:rsidRPr="00F50C9D">
          <w:rPr>
            <w:szCs w:val="24"/>
          </w:rPr>
          <w:t>čl. 4 až 10</w:t>
        </w:r>
      </w:hyperlink>
      <w:r w:rsidRPr="00F50C9D">
        <w:rPr>
          <w:szCs w:val="24"/>
        </w:rPr>
        <w:t xml:space="preserve">, </w:t>
      </w:r>
      <w:hyperlink r:id="rId270" w:history="1">
        <w:r w:rsidRPr="00F50C9D">
          <w:rPr>
            <w:szCs w:val="24"/>
          </w:rPr>
          <w:t>čl. 11 odst. 1 písm. a)</w:t>
        </w:r>
      </w:hyperlink>
      <w:r w:rsidRPr="00F50C9D">
        <w:rPr>
          <w:szCs w:val="24"/>
        </w:rPr>
        <w:t xml:space="preserve">, </w:t>
      </w:r>
      <w:hyperlink r:id="rId271" w:history="1">
        <w:r w:rsidRPr="00F50C9D">
          <w:rPr>
            <w:szCs w:val="24"/>
          </w:rPr>
          <w:t>b)</w:t>
        </w:r>
      </w:hyperlink>
      <w:r w:rsidRPr="00F50C9D">
        <w:rPr>
          <w:szCs w:val="24"/>
        </w:rPr>
        <w:t xml:space="preserve">, </w:t>
      </w:r>
      <w:hyperlink r:id="rId272" w:history="1">
        <w:r w:rsidRPr="00F50C9D">
          <w:rPr>
            <w:szCs w:val="24"/>
          </w:rPr>
          <w:t>c)</w:t>
        </w:r>
      </w:hyperlink>
      <w:r w:rsidRPr="00F50C9D">
        <w:rPr>
          <w:szCs w:val="24"/>
        </w:rPr>
        <w:t xml:space="preserve"> nebo </w:t>
      </w:r>
      <w:hyperlink r:id="rId273" w:history="1">
        <w:r w:rsidRPr="00F50C9D">
          <w:rPr>
            <w:szCs w:val="24"/>
          </w:rPr>
          <w:t>e)</w:t>
        </w:r>
      </w:hyperlink>
      <w:r w:rsidRPr="00F50C9D">
        <w:rPr>
          <w:szCs w:val="24"/>
        </w:rPr>
        <w:t xml:space="preserve">, </w:t>
      </w:r>
      <w:hyperlink r:id="rId274" w:history="1">
        <w:r w:rsidRPr="00F50C9D">
          <w:rPr>
            <w:szCs w:val="24"/>
          </w:rPr>
          <w:t>čl. 11 odst. 2</w:t>
        </w:r>
      </w:hyperlink>
      <w:r w:rsidRPr="00F50C9D">
        <w:rPr>
          <w:szCs w:val="24"/>
        </w:rPr>
        <w:t xml:space="preserve"> nebo </w:t>
      </w:r>
      <w:hyperlink r:id="rId275" w:history="1">
        <w:r w:rsidRPr="00F50C9D">
          <w:rPr>
            <w:szCs w:val="24"/>
          </w:rPr>
          <w:t>3</w:t>
        </w:r>
      </w:hyperlink>
      <w:r w:rsidRPr="00F50C9D">
        <w:rPr>
          <w:szCs w:val="24"/>
        </w:rPr>
        <w:t xml:space="preserve">, </w:t>
      </w:r>
      <w:hyperlink r:id="rId276" w:history="1">
        <w:r w:rsidRPr="00F50C9D">
          <w:rPr>
            <w:szCs w:val="24"/>
          </w:rPr>
          <w:t>čl. 12 až 16</w:t>
        </w:r>
      </w:hyperlink>
      <w:r w:rsidRPr="00F50C9D">
        <w:rPr>
          <w:szCs w:val="24"/>
        </w:rPr>
        <w:t xml:space="preserve">, </w:t>
      </w:r>
      <w:hyperlink r:id="rId277" w:history="1">
        <w:r w:rsidRPr="00F50C9D">
          <w:rPr>
            <w:szCs w:val="24"/>
          </w:rPr>
          <w:t>čl. 21</w:t>
        </w:r>
      </w:hyperlink>
      <w:r w:rsidRPr="00F50C9D">
        <w:rPr>
          <w:szCs w:val="24"/>
        </w:rPr>
        <w:t xml:space="preserve">, </w:t>
      </w:r>
      <w:hyperlink r:id="rId278" w:history="1">
        <w:r w:rsidRPr="00F50C9D">
          <w:rPr>
            <w:szCs w:val="24"/>
          </w:rPr>
          <w:t>23 až 29</w:t>
        </w:r>
      </w:hyperlink>
      <w:r w:rsidRPr="00F50C9D">
        <w:rPr>
          <w:szCs w:val="24"/>
        </w:rPr>
        <w:t xml:space="preserve"> nebo </w:t>
      </w:r>
      <w:hyperlink r:id="rId279" w:history="1">
        <w:r w:rsidRPr="00F50C9D">
          <w:rPr>
            <w:szCs w:val="24"/>
          </w:rPr>
          <w:t>čl. 34</w:t>
        </w:r>
      </w:hyperlink>
      <w:r w:rsidRPr="00F50C9D">
        <w:rPr>
          <w:szCs w:val="24"/>
        </w:rPr>
        <w:t xml:space="preserve"> nařízení Evropského parlamentu a Rady (EU) </w:t>
      </w:r>
      <w:hyperlink r:id="rId280" w:history="1">
        <w:r w:rsidRPr="00F50C9D">
          <w:rPr>
            <w:szCs w:val="24"/>
          </w:rPr>
          <w:t>2016/1011</w:t>
        </w:r>
      </w:hyperlink>
      <w:r w:rsidRPr="00F50C9D">
        <w:rPr>
          <w:szCs w:val="24"/>
        </w:rPr>
        <w:t xml:space="preserve">. </w:t>
      </w:r>
    </w:p>
    <w:p w14:paraId="3424D6A8" w14:textId="77777777" w:rsidR="00272890" w:rsidRPr="00F50C9D" w:rsidRDefault="00272890" w:rsidP="00272890">
      <w:pPr>
        <w:pStyle w:val="PZTextodstavce"/>
        <w:spacing w:before="240"/>
        <w:rPr>
          <w:szCs w:val="24"/>
        </w:rPr>
      </w:pPr>
      <w:r w:rsidRPr="00F50C9D">
        <w:rPr>
          <w:szCs w:val="24"/>
        </w:rPr>
        <w:t xml:space="preserve">(2) Za přestupek právnické osoby podle odstavce 1 písm. a) lze uložit pokutu do </w:t>
      </w:r>
    </w:p>
    <w:p w14:paraId="044BBFC7" w14:textId="77777777" w:rsidR="00272890" w:rsidRPr="00F50C9D" w:rsidRDefault="00272890" w:rsidP="000C1EA8">
      <w:pPr>
        <w:pStyle w:val="PZTextpsmene"/>
        <w:spacing w:before="0"/>
        <w:rPr>
          <w:szCs w:val="24"/>
        </w:rPr>
      </w:pPr>
      <w:r w:rsidRPr="00F50C9D">
        <w:rPr>
          <w:szCs w:val="24"/>
        </w:rPr>
        <w:t>a)</w:t>
      </w:r>
      <w:r w:rsidRPr="00F50C9D">
        <w:rPr>
          <w:szCs w:val="24"/>
        </w:rPr>
        <w:tab/>
        <w:t xml:space="preserve">6 782 500 Kč, </w:t>
      </w:r>
    </w:p>
    <w:p w14:paraId="6908F97A" w14:textId="77777777" w:rsidR="00272890" w:rsidRPr="00F50C9D" w:rsidRDefault="00272890" w:rsidP="000C1EA8">
      <w:pPr>
        <w:pStyle w:val="PZTextpsmene"/>
        <w:spacing w:before="0"/>
        <w:rPr>
          <w:szCs w:val="24"/>
        </w:rPr>
      </w:pPr>
      <w:r w:rsidRPr="00F50C9D">
        <w:rPr>
          <w:szCs w:val="24"/>
        </w:rPr>
        <w:t>b)</w:t>
      </w:r>
      <w:r w:rsidRPr="00F50C9D">
        <w:rPr>
          <w:szCs w:val="24"/>
        </w:rPr>
        <w:tab/>
        <w:t xml:space="preserve">výše 2 % celkového ročního obratu této právnické osoby podle </w:t>
      </w:r>
      <w:r w:rsidRPr="00F50C9D">
        <w:rPr>
          <w:strike/>
          <w:szCs w:val="24"/>
        </w:rPr>
        <w:t>její poslední řádné účetní závěrky nebo konsolidované účetní závěrky</w:t>
      </w:r>
      <w:r w:rsidRPr="00F50C9D">
        <w:rPr>
          <w:b/>
          <w:szCs w:val="24"/>
        </w:rPr>
        <w:t xml:space="preserve"> </w:t>
      </w:r>
      <w:r w:rsidRPr="00F50C9D">
        <w:rPr>
          <w:b/>
          <w:bCs/>
          <w:szCs w:val="24"/>
        </w:rPr>
        <w:t>poslední řádné konsolidované účetní závěrky</w:t>
      </w:r>
      <w:r w:rsidRPr="00F50C9D">
        <w:rPr>
          <w:b/>
          <w:szCs w:val="24"/>
        </w:rPr>
        <w:t xml:space="preserve"> konsolidačního celku, v němž je zahrnuta,</w:t>
      </w:r>
      <w:r w:rsidRPr="00F50C9D">
        <w:rPr>
          <w:szCs w:val="24"/>
        </w:rPr>
        <w:t xml:space="preserve"> </w:t>
      </w:r>
      <w:r w:rsidRPr="00F50C9D">
        <w:rPr>
          <w:b/>
          <w:szCs w:val="24"/>
        </w:rPr>
        <w:t>nebo řádné individuální účetní závěrky, není-li taková konsolidovaná účetní závěrka</w:t>
      </w:r>
      <w:r w:rsidRPr="00F50C9D">
        <w:rPr>
          <w:szCs w:val="24"/>
        </w:rPr>
        <w:t xml:space="preserve"> nebo </w:t>
      </w:r>
    </w:p>
    <w:p w14:paraId="1857A267" w14:textId="77777777" w:rsidR="00272890" w:rsidRPr="00F50C9D" w:rsidRDefault="00272890" w:rsidP="000C1EA8">
      <w:pPr>
        <w:pStyle w:val="PZTextpsmene"/>
        <w:spacing w:before="0"/>
        <w:rPr>
          <w:szCs w:val="24"/>
        </w:rPr>
      </w:pPr>
      <w:r w:rsidRPr="00F50C9D">
        <w:rPr>
          <w:szCs w:val="24"/>
        </w:rPr>
        <w:t>c)</w:t>
      </w:r>
      <w:r w:rsidRPr="00F50C9D">
        <w:rPr>
          <w:szCs w:val="24"/>
        </w:rPr>
        <w:tab/>
        <w:t xml:space="preserve">výše trojnásobku neoprávněného prospěchu získaného spácháním tohoto přestupku, je-li možné výši neoprávněného prospěchu zjistit. </w:t>
      </w:r>
    </w:p>
    <w:p w14:paraId="74FDFE2A" w14:textId="5E409403" w:rsidR="00272890" w:rsidRPr="00F50C9D" w:rsidRDefault="000C1EA8" w:rsidP="00272890">
      <w:pPr>
        <w:pStyle w:val="PZTextodstavce"/>
        <w:spacing w:before="240"/>
        <w:rPr>
          <w:szCs w:val="24"/>
        </w:rPr>
      </w:pPr>
      <w:r>
        <w:rPr>
          <w:szCs w:val="24"/>
        </w:rPr>
        <w:t xml:space="preserve">(3) </w:t>
      </w:r>
      <w:r w:rsidR="00272890" w:rsidRPr="00F50C9D">
        <w:rPr>
          <w:szCs w:val="24"/>
        </w:rPr>
        <w:t xml:space="preserve">Za přestupek právnické osoby podle odstavce 1 písm. b) lze uložit pokutu do </w:t>
      </w:r>
    </w:p>
    <w:p w14:paraId="4F0C8CAA" w14:textId="77777777" w:rsidR="00272890" w:rsidRPr="00F50C9D" w:rsidRDefault="00272890" w:rsidP="000C1EA8">
      <w:pPr>
        <w:pStyle w:val="PZTextpsmene"/>
        <w:spacing w:before="0"/>
        <w:rPr>
          <w:szCs w:val="24"/>
        </w:rPr>
      </w:pPr>
      <w:r w:rsidRPr="00F50C9D">
        <w:rPr>
          <w:szCs w:val="24"/>
        </w:rPr>
        <w:t>a)</w:t>
      </w:r>
      <w:r w:rsidRPr="00F50C9D">
        <w:rPr>
          <w:szCs w:val="24"/>
        </w:rPr>
        <w:tab/>
        <w:t xml:space="preserve">27 130 000 Kč, </w:t>
      </w:r>
    </w:p>
    <w:p w14:paraId="2F7D35E4" w14:textId="77777777" w:rsidR="00272890" w:rsidRPr="00F50C9D" w:rsidRDefault="00272890" w:rsidP="000C1EA8">
      <w:pPr>
        <w:pStyle w:val="PZTextpsmene"/>
        <w:spacing w:before="0"/>
        <w:rPr>
          <w:szCs w:val="24"/>
        </w:rPr>
      </w:pPr>
      <w:r w:rsidRPr="00F50C9D">
        <w:rPr>
          <w:szCs w:val="24"/>
        </w:rPr>
        <w:t>b)</w:t>
      </w:r>
      <w:r w:rsidRPr="00F50C9D">
        <w:rPr>
          <w:szCs w:val="24"/>
        </w:rPr>
        <w:tab/>
        <w:t xml:space="preserve">výše 2 % celkového ročního obratu této právnické osoby podle </w:t>
      </w:r>
      <w:r w:rsidRPr="00F50C9D">
        <w:rPr>
          <w:strike/>
          <w:szCs w:val="24"/>
        </w:rPr>
        <w:t>její poslední řádné účetní závěrky nebo konsolidované účetní závěrky</w:t>
      </w:r>
      <w:r w:rsidRPr="00F50C9D">
        <w:rPr>
          <w:b/>
          <w:szCs w:val="24"/>
        </w:rPr>
        <w:t xml:space="preserve"> </w:t>
      </w:r>
      <w:r w:rsidRPr="00F50C9D">
        <w:rPr>
          <w:b/>
          <w:bCs/>
          <w:szCs w:val="24"/>
        </w:rPr>
        <w:t>poslední řádné konsolidované účetní závěrky</w:t>
      </w:r>
      <w:r w:rsidRPr="00F50C9D">
        <w:rPr>
          <w:b/>
          <w:szCs w:val="24"/>
        </w:rPr>
        <w:t xml:space="preserve"> konsolidačního celku, v němž je zahrnuta,</w:t>
      </w:r>
      <w:r w:rsidRPr="00F50C9D">
        <w:rPr>
          <w:szCs w:val="24"/>
        </w:rPr>
        <w:t xml:space="preserve"> </w:t>
      </w:r>
      <w:r w:rsidRPr="00F50C9D">
        <w:rPr>
          <w:b/>
          <w:szCs w:val="24"/>
        </w:rPr>
        <w:t>nebo řádné individuální účetní závěrky, není-li taková konsolidovaná účetní závěrka</w:t>
      </w:r>
      <w:r w:rsidRPr="00F50C9D">
        <w:rPr>
          <w:szCs w:val="24"/>
        </w:rPr>
        <w:t xml:space="preserve">, nebo </w:t>
      </w:r>
    </w:p>
    <w:p w14:paraId="71894763" w14:textId="77777777" w:rsidR="00272890" w:rsidRPr="00F50C9D" w:rsidRDefault="00272890" w:rsidP="000C1EA8">
      <w:pPr>
        <w:pStyle w:val="PZTextpsmene"/>
        <w:spacing w:before="0"/>
        <w:rPr>
          <w:szCs w:val="24"/>
        </w:rPr>
      </w:pPr>
      <w:r w:rsidRPr="00F50C9D">
        <w:rPr>
          <w:szCs w:val="24"/>
        </w:rPr>
        <w:t xml:space="preserve">c) </w:t>
      </w:r>
      <w:r w:rsidRPr="00F50C9D">
        <w:rPr>
          <w:szCs w:val="24"/>
        </w:rPr>
        <w:tab/>
        <w:t xml:space="preserve">výše trojnásobku neoprávněného prospěchu získaného spácháním tohoto přestupku, je-li možné výši neoprávněného prospěchu zjistit. </w:t>
      </w:r>
    </w:p>
    <w:p w14:paraId="3A849FD2" w14:textId="61BB7186" w:rsidR="00272890" w:rsidRPr="00F50C9D" w:rsidRDefault="000C1EA8" w:rsidP="00272890">
      <w:pPr>
        <w:pStyle w:val="PZTextodstavce"/>
        <w:spacing w:before="240"/>
        <w:rPr>
          <w:szCs w:val="24"/>
        </w:rPr>
      </w:pPr>
      <w:r>
        <w:rPr>
          <w:szCs w:val="24"/>
        </w:rPr>
        <w:t xml:space="preserve">(4) </w:t>
      </w:r>
      <w:r w:rsidR="00272890" w:rsidRPr="00F50C9D">
        <w:rPr>
          <w:szCs w:val="24"/>
        </w:rPr>
        <w:t>Za přestupek podnikající fyzické osoby podle odstavce 1 písm. a) lze uložit pokutu do</w:t>
      </w:r>
    </w:p>
    <w:p w14:paraId="0CF402B3" w14:textId="77777777" w:rsidR="00272890" w:rsidRPr="00F50C9D" w:rsidRDefault="00272890" w:rsidP="000C1EA8">
      <w:pPr>
        <w:pStyle w:val="PZTextpsmene"/>
        <w:spacing w:before="0"/>
        <w:rPr>
          <w:szCs w:val="24"/>
        </w:rPr>
      </w:pPr>
      <w:r w:rsidRPr="00F50C9D">
        <w:rPr>
          <w:szCs w:val="24"/>
        </w:rPr>
        <w:lastRenderedPageBreak/>
        <w:t>a)</w:t>
      </w:r>
      <w:r w:rsidRPr="00F50C9D">
        <w:rPr>
          <w:szCs w:val="24"/>
        </w:rPr>
        <w:tab/>
        <w:t xml:space="preserve">2 713 000 Kč, nebo </w:t>
      </w:r>
    </w:p>
    <w:p w14:paraId="0818447A" w14:textId="77777777" w:rsidR="00272890" w:rsidRPr="00F50C9D" w:rsidRDefault="00272890" w:rsidP="000C1EA8">
      <w:pPr>
        <w:pStyle w:val="PZTextpsmene"/>
        <w:spacing w:before="0"/>
        <w:rPr>
          <w:szCs w:val="24"/>
        </w:rPr>
      </w:pPr>
      <w:r w:rsidRPr="00F50C9D">
        <w:rPr>
          <w:szCs w:val="24"/>
        </w:rPr>
        <w:t>b)</w:t>
      </w:r>
      <w:r w:rsidRPr="00F50C9D">
        <w:rPr>
          <w:szCs w:val="24"/>
        </w:rPr>
        <w:tab/>
        <w:t xml:space="preserve">výše trojnásobku neoprávněného prospěchu získaného spácháním tohoto přestupku, je-li možné výši neoprávněného prospěchu zjistit. </w:t>
      </w:r>
    </w:p>
    <w:p w14:paraId="2607BFAF" w14:textId="02106539" w:rsidR="00272890" w:rsidRPr="00F50C9D" w:rsidRDefault="000C1EA8" w:rsidP="00272890">
      <w:pPr>
        <w:pStyle w:val="PZTextodstavce"/>
        <w:spacing w:before="240"/>
        <w:rPr>
          <w:szCs w:val="24"/>
        </w:rPr>
      </w:pPr>
      <w:r>
        <w:rPr>
          <w:szCs w:val="24"/>
        </w:rPr>
        <w:t xml:space="preserve">(5) </w:t>
      </w:r>
      <w:r w:rsidR="00272890" w:rsidRPr="00F50C9D">
        <w:rPr>
          <w:szCs w:val="24"/>
        </w:rPr>
        <w:t xml:space="preserve">Za přestupek podnikající fyzické osoby podle odstavce 1 písm. b) lze uložit pokutu do </w:t>
      </w:r>
    </w:p>
    <w:p w14:paraId="12515B5E" w14:textId="77777777" w:rsidR="00272890" w:rsidRPr="00F50C9D" w:rsidRDefault="00272890" w:rsidP="000C1EA8">
      <w:pPr>
        <w:pStyle w:val="PZTextpsmene"/>
        <w:spacing w:before="0"/>
        <w:rPr>
          <w:szCs w:val="24"/>
        </w:rPr>
      </w:pPr>
      <w:r w:rsidRPr="00F50C9D">
        <w:rPr>
          <w:szCs w:val="24"/>
        </w:rPr>
        <w:t>a)</w:t>
      </w:r>
      <w:r w:rsidRPr="00F50C9D">
        <w:rPr>
          <w:szCs w:val="24"/>
        </w:rPr>
        <w:tab/>
        <w:t xml:space="preserve">13 565 000 Kč, nebo </w:t>
      </w:r>
    </w:p>
    <w:p w14:paraId="562AE0DE" w14:textId="77777777" w:rsidR="00272890" w:rsidRPr="00F50C9D" w:rsidRDefault="00272890" w:rsidP="000C1EA8">
      <w:pPr>
        <w:pStyle w:val="PZTextpsmene"/>
        <w:spacing w:before="0"/>
        <w:rPr>
          <w:szCs w:val="24"/>
        </w:rPr>
      </w:pPr>
      <w:r w:rsidRPr="00F50C9D">
        <w:rPr>
          <w:szCs w:val="24"/>
        </w:rPr>
        <w:t>b)</w:t>
      </w:r>
      <w:r w:rsidRPr="00F50C9D">
        <w:rPr>
          <w:szCs w:val="24"/>
        </w:rPr>
        <w:tab/>
        <w:t>výše trojnásobku neoprávněného prospěchu získaného spácháním tohoto přestupku, je-li možné výši neoprávněného prospěchu zjistit.</w:t>
      </w:r>
    </w:p>
    <w:p w14:paraId="46017592" w14:textId="77777777" w:rsidR="00272890" w:rsidRPr="00F50C9D" w:rsidRDefault="00272890" w:rsidP="00272890">
      <w:pPr>
        <w:widowControl w:val="0"/>
        <w:autoSpaceDE w:val="0"/>
        <w:autoSpaceDN w:val="0"/>
        <w:adjustRightInd w:val="0"/>
        <w:spacing w:after="120"/>
        <w:jc w:val="center"/>
        <w:rPr>
          <w:szCs w:val="24"/>
        </w:rPr>
      </w:pPr>
      <w:r w:rsidRPr="00F50C9D">
        <w:rPr>
          <w:szCs w:val="24"/>
        </w:rPr>
        <w:t>§ 182</w:t>
      </w:r>
    </w:p>
    <w:p w14:paraId="41084279" w14:textId="77777777" w:rsidR="00272890" w:rsidRPr="00F50C9D" w:rsidRDefault="00272890" w:rsidP="00272890">
      <w:pPr>
        <w:widowControl w:val="0"/>
        <w:autoSpaceDE w:val="0"/>
        <w:autoSpaceDN w:val="0"/>
        <w:adjustRightInd w:val="0"/>
        <w:spacing w:after="120"/>
        <w:jc w:val="center"/>
        <w:rPr>
          <w:b/>
          <w:bCs/>
          <w:szCs w:val="24"/>
        </w:rPr>
      </w:pPr>
      <w:r w:rsidRPr="00F50C9D">
        <w:rPr>
          <w:b/>
          <w:bCs/>
          <w:szCs w:val="24"/>
        </w:rPr>
        <w:t xml:space="preserve">Přestupky právnických a podnikajících fyzických osob spočívající v porušení nařízení Evropské unie o </w:t>
      </w:r>
      <w:proofErr w:type="spellStart"/>
      <w:r w:rsidRPr="00F50C9D">
        <w:rPr>
          <w:b/>
          <w:bCs/>
          <w:szCs w:val="24"/>
        </w:rPr>
        <w:t>sekuritizaci</w:t>
      </w:r>
      <w:proofErr w:type="spellEnd"/>
    </w:p>
    <w:p w14:paraId="74EAED07" w14:textId="792921B4" w:rsidR="00272890" w:rsidRPr="00F50C9D" w:rsidRDefault="000C1EA8" w:rsidP="00272890">
      <w:pPr>
        <w:pStyle w:val="PZTextodstavce"/>
        <w:spacing w:before="240"/>
        <w:rPr>
          <w:szCs w:val="24"/>
        </w:rPr>
      </w:pPr>
      <w:r>
        <w:rPr>
          <w:szCs w:val="24"/>
        </w:rPr>
        <w:t xml:space="preserve">(1) </w:t>
      </w:r>
      <w:r w:rsidR="00272890" w:rsidRPr="00F50C9D">
        <w:rPr>
          <w:szCs w:val="24"/>
        </w:rPr>
        <w:t xml:space="preserve">Právnická nebo podnikající fyzická osoba se dopustí přestupku tím, že nesplní některou z povinností nebo poruší některý ze zákazů uvedených v přímo použitelném předpisu Evropské unie upravujícím obecný rámec pro </w:t>
      </w:r>
      <w:proofErr w:type="spellStart"/>
      <w:r w:rsidR="00272890" w:rsidRPr="00F50C9D">
        <w:rPr>
          <w:szCs w:val="24"/>
        </w:rPr>
        <w:t>sekuritizaci</w:t>
      </w:r>
      <w:proofErr w:type="spellEnd"/>
      <w:r w:rsidR="00272890" w:rsidRPr="00F50C9D">
        <w:rPr>
          <w:szCs w:val="24"/>
        </w:rPr>
        <w:t xml:space="preserve"> a vytvářející zvláštní rámec pro jednoduchou, transparentní a standardizovanou sekuritizaci</w:t>
      </w:r>
      <w:r w:rsidR="00272890" w:rsidRPr="00F50C9D">
        <w:rPr>
          <w:szCs w:val="24"/>
          <w:vertAlign w:val="superscript"/>
        </w:rPr>
        <w:t>63)</w:t>
      </w:r>
      <w:r w:rsidR="00272890" w:rsidRPr="00F50C9D">
        <w:rPr>
          <w:szCs w:val="24"/>
        </w:rPr>
        <w:t>.</w:t>
      </w:r>
    </w:p>
    <w:p w14:paraId="739413E9" w14:textId="5C930326" w:rsidR="00272890" w:rsidRPr="00F50C9D" w:rsidRDefault="000C1EA8" w:rsidP="00272890">
      <w:pPr>
        <w:pStyle w:val="PZTextodstavce"/>
        <w:spacing w:before="240"/>
        <w:rPr>
          <w:szCs w:val="24"/>
        </w:rPr>
      </w:pPr>
      <w:r>
        <w:rPr>
          <w:szCs w:val="24"/>
        </w:rPr>
        <w:t xml:space="preserve">(2) </w:t>
      </w:r>
      <w:r w:rsidR="00272890" w:rsidRPr="00F50C9D">
        <w:rPr>
          <w:szCs w:val="24"/>
        </w:rPr>
        <w:t xml:space="preserve">Institucionální investor, který obdržel pokyn k plnění povinností od jiného institucionálního investora podle </w:t>
      </w:r>
      <w:hyperlink r:id="rId281" w:history="1">
        <w:r w:rsidR="00272890" w:rsidRPr="00F50C9D">
          <w:rPr>
            <w:szCs w:val="24"/>
          </w:rPr>
          <w:t>čl. 5 odst. 5</w:t>
        </w:r>
      </w:hyperlink>
      <w:r w:rsidR="00272890" w:rsidRPr="00F50C9D">
        <w:rPr>
          <w:szCs w:val="24"/>
        </w:rPr>
        <w:t xml:space="preserve"> nařízení Evropského parlamentu a Rady (EU) </w:t>
      </w:r>
      <w:hyperlink r:id="rId282" w:history="1">
        <w:r w:rsidR="00272890" w:rsidRPr="00F50C9D">
          <w:rPr>
            <w:szCs w:val="24"/>
          </w:rPr>
          <w:t>2017/2402</w:t>
        </w:r>
      </w:hyperlink>
      <w:r w:rsidR="00272890" w:rsidRPr="00F50C9D">
        <w:rPr>
          <w:szCs w:val="24"/>
        </w:rPr>
        <w:t>, se dopustí přestupku tím, že nesplní některou z těchto povinností.</w:t>
      </w:r>
    </w:p>
    <w:p w14:paraId="12CCC0EB" w14:textId="3D665E8E" w:rsidR="00272890" w:rsidRPr="00F50C9D" w:rsidRDefault="000C1EA8" w:rsidP="00272890">
      <w:pPr>
        <w:pStyle w:val="PZTextodstavce"/>
        <w:spacing w:before="240"/>
        <w:rPr>
          <w:szCs w:val="24"/>
        </w:rPr>
      </w:pPr>
      <w:r>
        <w:rPr>
          <w:szCs w:val="24"/>
        </w:rPr>
        <w:t xml:space="preserve">(3) </w:t>
      </w:r>
      <w:r w:rsidR="00272890" w:rsidRPr="00F50C9D">
        <w:rPr>
          <w:szCs w:val="24"/>
        </w:rPr>
        <w:t>Za přestupek právnické osoby podle odstavce 1 nebo 2 lze uložit pokutu do</w:t>
      </w:r>
    </w:p>
    <w:p w14:paraId="5411A0CE" w14:textId="77777777" w:rsidR="00272890" w:rsidRPr="00F50C9D" w:rsidRDefault="00272890" w:rsidP="000C1EA8">
      <w:pPr>
        <w:pStyle w:val="PZTextpsmene"/>
        <w:spacing w:before="0"/>
        <w:rPr>
          <w:szCs w:val="24"/>
        </w:rPr>
      </w:pPr>
      <w:r w:rsidRPr="00F50C9D">
        <w:rPr>
          <w:szCs w:val="24"/>
        </w:rPr>
        <w:t>a)</w:t>
      </w:r>
      <w:r w:rsidRPr="00F50C9D">
        <w:rPr>
          <w:szCs w:val="24"/>
        </w:rPr>
        <w:tab/>
        <w:t xml:space="preserve">126 650 000 Kč, </w:t>
      </w:r>
    </w:p>
    <w:p w14:paraId="4352E9D5" w14:textId="77777777" w:rsidR="00272890" w:rsidRPr="00F50C9D" w:rsidRDefault="00272890" w:rsidP="000C1EA8">
      <w:pPr>
        <w:pStyle w:val="PZTextpsmene"/>
        <w:spacing w:before="0"/>
        <w:rPr>
          <w:szCs w:val="24"/>
        </w:rPr>
      </w:pPr>
      <w:r w:rsidRPr="00F50C9D">
        <w:rPr>
          <w:szCs w:val="24"/>
        </w:rPr>
        <w:t>b)</w:t>
      </w:r>
      <w:r w:rsidRPr="00F50C9D">
        <w:rPr>
          <w:szCs w:val="24"/>
        </w:rPr>
        <w:tab/>
        <w:t xml:space="preserve">výše 10 % celkového ročního obratu právnické osoby podle </w:t>
      </w:r>
      <w:r w:rsidRPr="00F50C9D">
        <w:rPr>
          <w:strike/>
          <w:szCs w:val="24"/>
        </w:rPr>
        <w:t>její poslední řádné účetní závěrky nebo konsolidované účetní závěrky</w:t>
      </w:r>
      <w:r w:rsidRPr="00F50C9D">
        <w:rPr>
          <w:b/>
          <w:szCs w:val="24"/>
        </w:rPr>
        <w:t xml:space="preserve"> </w:t>
      </w:r>
      <w:r w:rsidRPr="00F50C9D">
        <w:rPr>
          <w:b/>
          <w:bCs/>
          <w:szCs w:val="24"/>
        </w:rPr>
        <w:t>poslední řádné konsolidované účetní závěrky</w:t>
      </w:r>
      <w:r w:rsidRPr="00F50C9D">
        <w:rPr>
          <w:b/>
          <w:szCs w:val="24"/>
        </w:rPr>
        <w:t xml:space="preserve"> konsolidačního celku, v němž je zahrnuta,</w:t>
      </w:r>
      <w:r w:rsidRPr="00F50C9D">
        <w:rPr>
          <w:szCs w:val="24"/>
        </w:rPr>
        <w:t xml:space="preserve"> </w:t>
      </w:r>
      <w:r w:rsidRPr="00F50C9D">
        <w:rPr>
          <w:b/>
          <w:szCs w:val="24"/>
        </w:rPr>
        <w:t>nebo řádné individuální účetní závěrky, není-li taková konsolidovaná účetní závěrka</w:t>
      </w:r>
      <w:r w:rsidRPr="00F50C9D">
        <w:rPr>
          <w:szCs w:val="24"/>
        </w:rPr>
        <w:t>, nebo</w:t>
      </w:r>
    </w:p>
    <w:p w14:paraId="5EE178E7" w14:textId="77777777" w:rsidR="00272890" w:rsidRPr="00F50C9D" w:rsidRDefault="00272890" w:rsidP="000C1EA8">
      <w:pPr>
        <w:pStyle w:val="PZTextpsmene"/>
        <w:spacing w:before="0"/>
        <w:rPr>
          <w:szCs w:val="24"/>
        </w:rPr>
      </w:pPr>
      <w:r w:rsidRPr="00F50C9D">
        <w:rPr>
          <w:szCs w:val="24"/>
        </w:rPr>
        <w:t>c)</w:t>
      </w:r>
      <w:r w:rsidRPr="00F50C9D">
        <w:rPr>
          <w:szCs w:val="24"/>
        </w:rPr>
        <w:tab/>
        <w:t>výše dvojnásobku neoprávněného prospěchu získaného spácháním tohoto přestupku, je-li možné výši neoprávněného prospěchu zjistit.</w:t>
      </w:r>
    </w:p>
    <w:p w14:paraId="0AE81EAC" w14:textId="5091EF77" w:rsidR="00272890" w:rsidRPr="00F50C9D" w:rsidRDefault="000C1EA8" w:rsidP="00272890">
      <w:pPr>
        <w:pStyle w:val="PZTextodstavce"/>
        <w:spacing w:before="240"/>
        <w:rPr>
          <w:szCs w:val="24"/>
        </w:rPr>
      </w:pPr>
      <w:r>
        <w:rPr>
          <w:szCs w:val="24"/>
        </w:rPr>
        <w:t xml:space="preserve">(4) </w:t>
      </w:r>
      <w:r w:rsidR="00272890" w:rsidRPr="00F50C9D">
        <w:rPr>
          <w:szCs w:val="24"/>
        </w:rPr>
        <w:t>Za přestupek podnikající fyzické osoby podle odstavce 1 nebo 2 lze uložit pokutu do</w:t>
      </w:r>
    </w:p>
    <w:p w14:paraId="05ED5D6B" w14:textId="77777777" w:rsidR="00272890" w:rsidRPr="00F50C9D" w:rsidRDefault="00272890" w:rsidP="000C1EA8">
      <w:pPr>
        <w:pStyle w:val="PZTextpsmene"/>
        <w:spacing w:before="0"/>
        <w:rPr>
          <w:szCs w:val="24"/>
        </w:rPr>
      </w:pPr>
      <w:r w:rsidRPr="00F50C9D">
        <w:rPr>
          <w:szCs w:val="24"/>
        </w:rPr>
        <w:t>a)</w:t>
      </w:r>
      <w:r w:rsidRPr="00F50C9D">
        <w:rPr>
          <w:szCs w:val="24"/>
        </w:rPr>
        <w:tab/>
        <w:t>126 650 000 Kč, nebo</w:t>
      </w:r>
    </w:p>
    <w:p w14:paraId="7E25766F" w14:textId="77777777" w:rsidR="00272890" w:rsidRPr="00F50C9D" w:rsidRDefault="00272890" w:rsidP="000C1EA8">
      <w:pPr>
        <w:pStyle w:val="PZTextpsmene"/>
        <w:spacing w:before="0"/>
        <w:rPr>
          <w:szCs w:val="24"/>
        </w:rPr>
      </w:pPr>
      <w:r w:rsidRPr="00F50C9D">
        <w:rPr>
          <w:szCs w:val="24"/>
        </w:rPr>
        <w:t>b)</w:t>
      </w:r>
      <w:r w:rsidRPr="00F50C9D">
        <w:rPr>
          <w:szCs w:val="24"/>
        </w:rPr>
        <w:tab/>
        <w:t>výše dvojnásobku neoprávněného prospěchu získaného spácháním tohoto přestupku, je-li možné výši neoprávněného prospěchu zjistit.</w:t>
      </w:r>
    </w:p>
    <w:p w14:paraId="7E3D72BC" w14:textId="77777777" w:rsidR="00272890" w:rsidRPr="00F50C9D" w:rsidRDefault="00272890" w:rsidP="000C1EA8">
      <w:pPr>
        <w:widowControl w:val="0"/>
        <w:autoSpaceDE w:val="0"/>
        <w:autoSpaceDN w:val="0"/>
        <w:adjustRightInd w:val="0"/>
        <w:spacing w:after="120"/>
        <w:ind w:firstLine="0"/>
        <w:jc w:val="center"/>
        <w:rPr>
          <w:szCs w:val="24"/>
        </w:rPr>
      </w:pPr>
      <w:r w:rsidRPr="00F50C9D">
        <w:rPr>
          <w:szCs w:val="24"/>
        </w:rPr>
        <w:t>§ 183</w:t>
      </w:r>
    </w:p>
    <w:p w14:paraId="1667A497" w14:textId="77777777" w:rsidR="00272890" w:rsidRPr="00F50C9D" w:rsidRDefault="00272890" w:rsidP="000C1EA8">
      <w:pPr>
        <w:widowControl w:val="0"/>
        <w:autoSpaceDE w:val="0"/>
        <w:autoSpaceDN w:val="0"/>
        <w:adjustRightInd w:val="0"/>
        <w:spacing w:after="120"/>
        <w:ind w:firstLine="0"/>
        <w:jc w:val="center"/>
        <w:rPr>
          <w:b/>
          <w:bCs/>
          <w:szCs w:val="24"/>
        </w:rPr>
      </w:pPr>
      <w:r w:rsidRPr="00F50C9D">
        <w:rPr>
          <w:b/>
          <w:bCs/>
          <w:szCs w:val="24"/>
        </w:rPr>
        <w:t>Přestupky právnických a podnikajících fyzických osob spočívající v porušení nařízení Evropské unie o prospektu, který má být uveřejněn při veřejné nabídce nebo přijetí cenných papírů k obchodování na regulovaném trhu</w:t>
      </w:r>
    </w:p>
    <w:p w14:paraId="2121E5F0" w14:textId="431A3163" w:rsidR="00272890" w:rsidRPr="00F50C9D" w:rsidRDefault="000C1EA8" w:rsidP="00272890">
      <w:pPr>
        <w:pStyle w:val="PZTextodstavce"/>
        <w:spacing w:before="240"/>
        <w:rPr>
          <w:szCs w:val="24"/>
        </w:rPr>
      </w:pPr>
      <w:r>
        <w:rPr>
          <w:szCs w:val="24"/>
        </w:rPr>
        <w:t xml:space="preserve">(1) </w:t>
      </w:r>
      <w:r w:rsidR="00272890" w:rsidRPr="00F50C9D">
        <w:rPr>
          <w:szCs w:val="24"/>
        </w:rPr>
        <w:t xml:space="preserve">Právnická nebo podnikající fyzická osoba se dopustí přestupku tím, že nesplní některou z povinností nebo poruší některý ze zákazů podle </w:t>
      </w:r>
      <w:hyperlink r:id="rId283" w:history="1">
        <w:r w:rsidR="00272890" w:rsidRPr="00F50C9D">
          <w:rPr>
            <w:szCs w:val="24"/>
          </w:rPr>
          <w:t>čl. 3</w:t>
        </w:r>
      </w:hyperlink>
      <w:r w:rsidR="00272890" w:rsidRPr="00F50C9D">
        <w:rPr>
          <w:szCs w:val="24"/>
        </w:rPr>
        <w:t xml:space="preserve">, </w:t>
      </w:r>
      <w:hyperlink r:id="rId284" w:history="1">
        <w:r w:rsidR="00272890" w:rsidRPr="00F50C9D">
          <w:rPr>
            <w:szCs w:val="24"/>
          </w:rPr>
          <w:t>5</w:t>
        </w:r>
      </w:hyperlink>
      <w:r w:rsidR="00272890" w:rsidRPr="00F50C9D">
        <w:rPr>
          <w:szCs w:val="24"/>
        </w:rPr>
        <w:t xml:space="preserve">, </w:t>
      </w:r>
      <w:hyperlink r:id="rId285" w:history="1">
        <w:r w:rsidR="00272890" w:rsidRPr="00F50C9D">
          <w:rPr>
            <w:szCs w:val="24"/>
          </w:rPr>
          <w:t>6</w:t>
        </w:r>
      </w:hyperlink>
      <w:r w:rsidR="00272890" w:rsidRPr="00F50C9D">
        <w:rPr>
          <w:szCs w:val="24"/>
        </w:rPr>
        <w:t xml:space="preserve">, </w:t>
      </w:r>
      <w:hyperlink r:id="rId286" w:history="1">
        <w:r w:rsidR="00272890" w:rsidRPr="00F50C9D">
          <w:rPr>
            <w:szCs w:val="24"/>
          </w:rPr>
          <w:t>čl. 7 odst. 1 až 11</w:t>
        </w:r>
      </w:hyperlink>
      <w:r w:rsidR="00272890" w:rsidRPr="00F50C9D">
        <w:rPr>
          <w:szCs w:val="24"/>
        </w:rPr>
        <w:t xml:space="preserve">, </w:t>
      </w:r>
      <w:hyperlink r:id="rId287" w:history="1">
        <w:r w:rsidR="00272890" w:rsidRPr="00F50C9D">
          <w:rPr>
            <w:szCs w:val="24"/>
          </w:rPr>
          <w:t>čl. 8</w:t>
        </w:r>
      </w:hyperlink>
      <w:r w:rsidR="00272890" w:rsidRPr="00F50C9D">
        <w:rPr>
          <w:szCs w:val="24"/>
        </w:rPr>
        <w:t xml:space="preserve">, </w:t>
      </w:r>
      <w:hyperlink r:id="rId288" w:history="1">
        <w:r w:rsidR="00272890" w:rsidRPr="00F50C9D">
          <w:rPr>
            <w:szCs w:val="24"/>
          </w:rPr>
          <w:t>9</w:t>
        </w:r>
      </w:hyperlink>
      <w:r w:rsidR="00272890" w:rsidRPr="00F50C9D">
        <w:rPr>
          <w:szCs w:val="24"/>
        </w:rPr>
        <w:t xml:space="preserve">, </w:t>
      </w:r>
      <w:hyperlink r:id="rId289" w:history="1">
        <w:r w:rsidR="00272890" w:rsidRPr="00F50C9D">
          <w:rPr>
            <w:szCs w:val="24"/>
          </w:rPr>
          <w:t>10</w:t>
        </w:r>
      </w:hyperlink>
      <w:r w:rsidR="00272890" w:rsidRPr="00F50C9D">
        <w:rPr>
          <w:szCs w:val="24"/>
        </w:rPr>
        <w:t xml:space="preserve">, </w:t>
      </w:r>
      <w:hyperlink r:id="rId290" w:history="1">
        <w:r w:rsidR="00272890" w:rsidRPr="00F50C9D">
          <w:rPr>
            <w:szCs w:val="24"/>
          </w:rPr>
          <w:t>čl. 11 odst. 1</w:t>
        </w:r>
      </w:hyperlink>
      <w:r w:rsidR="00272890" w:rsidRPr="00F50C9D">
        <w:rPr>
          <w:szCs w:val="24"/>
        </w:rPr>
        <w:t xml:space="preserve"> nebo </w:t>
      </w:r>
      <w:hyperlink r:id="rId291" w:history="1">
        <w:r w:rsidR="00272890" w:rsidRPr="00F50C9D">
          <w:rPr>
            <w:szCs w:val="24"/>
          </w:rPr>
          <w:t>3</w:t>
        </w:r>
      </w:hyperlink>
      <w:r w:rsidR="00272890" w:rsidRPr="00F50C9D">
        <w:rPr>
          <w:szCs w:val="24"/>
        </w:rPr>
        <w:t xml:space="preserve">, </w:t>
      </w:r>
      <w:hyperlink r:id="rId292" w:history="1">
        <w:r w:rsidR="00272890" w:rsidRPr="00F50C9D">
          <w:rPr>
            <w:szCs w:val="24"/>
          </w:rPr>
          <w:t>čl. 14 odst. 1</w:t>
        </w:r>
      </w:hyperlink>
      <w:r w:rsidR="00272890" w:rsidRPr="00F50C9D">
        <w:rPr>
          <w:szCs w:val="24"/>
        </w:rPr>
        <w:t xml:space="preserve"> nebo </w:t>
      </w:r>
      <w:hyperlink r:id="rId293" w:history="1">
        <w:r w:rsidR="00272890" w:rsidRPr="00F50C9D">
          <w:rPr>
            <w:szCs w:val="24"/>
          </w:rPr>
          <w:t>2</w:t>
        </w:r>
      </w:hyperlink>
      <w:r w:rsidR="00272890" w:rsidRPr="00F50C9D">
        <w:rPr>
          <w:szCs w:val="24"/>
        </w:rPr>
        <w:t xml:space="preserve">, </w:t>
      </w:r>
      <w:hyperlink r:id="rId294" w:history="1">
        <w:r w:rsidR="00272890" w:rsidRPr="00F50C9D">
          <w:rPr>
            <w:szCs w:val="24"/>
          </w:rPr>
          <w:t>čl. 15 odst. 1</w:t>
        </w:r>
      </w:hyperlink>
      <w:r w:rsidR="00272890" w:rsidRPr="00F50C9D">
        <w:rPr>
          <w:szCs w:val="24"/>
        </w:rPr>
        <w:t xml:space="preserve">, </w:t>
      </w:r>
      <w:hyperlink r:id="rId295" w:history="1">
        <w:r w:rsidR="00272890" w:rsidRPr="00F50C9D">
          <w:rPr>
            <w:szCs w:val="24"/>
          </w:rPr>
          <w:t>čl. 16 odst. 1 až 3</w:t>
        </w:r>
      </w:hyperlink>
      <w:r w:rsidR="00272890" w:rsidRPr="00F50C9D">
        <w:rPr>
          <w:szCs w:val="24"/>
        </w:rPr>
        <w:t xml:space="preserve">, </w:t>
      </w:r>
      <w:hyperlink r:id="rId296" w:history="1">
        <w:r w:rsidR="00272890" w:rsidRPr="00F50C9D">
          <w:rPr>
            <w:szCs w:val="24"/>
          </w:rPr>
          <w:t>čl. 17</w:t>
        </w:r>
      </w:hyperlink>
      <w:r w:rsidR="00272890" w:rsidRPr="00F50C9D">
        <w:rPr>
          <w:szCs w:val="24"/>
        </w:rPr>
        <w:t xml:space="preserve">, </w:t>
      </w:r>
      <w:hyperlink r:id="rId297" w:history="1">
        <w:r w:rsidR="00272890" w:rsidRPr="00F50C9D">
          <w:rPr>
            <w:szCs w:val="24"/>
          </w:rPr>
          <w:t>18</w:t>
        </w:r>
      </w:hyperlink>
      <w:r w:rsidR="00272890" w:rsidRPr="00F50C9D">
        <w:rPr>
          <w:szCs w:val="24"/>
        </w:rPr>
        <w:t xml:space="preserve">, </w:t>
      </w:r>
      <w:hyperlink r:id="rId298" w:history="1">
        <w:r w:rsidR="00272890" w:rsidRPr="00F50C9D">
          <w:rPr>
            <w:szCs w:val="24"/>
          </w:rPr>
          <w:t>čl. 19 odst. 1 až 3</w:t>
        </w:r>
      </w:hyperlink>
      <w:r w:rsidR="00272890" w:rsidRPr="00F50C9D">
        <w:rPr>
          <w:szCs w:val="24"/>
        </w:rPr>
        <w:t xml:space="preserve">, </w:t>
      </w:r>
      <w:hyperlink r:id="rId299" w:history="1">
        <w:r w:rsidR="00272890" w:rsidRPr="00F50C9D">
          <w:rPr>
            <w:szCs w:val="24"/>
          </w:rPr>
          <w:t>čl. 20 odst. 1</w:t>
        </w:r>
      </w:hyperlink>
      <w:r w:rsidR="00272890" w:rsidRPr="00F50C9D">
        <w:rPr>
          <w:szCs w:val="24"/>
        </w:rPr>
        <w:t xml:space="preserve">, </w:t>
      </w:r>
      <w:hyperlink r:id="rId300" w:history="1">
        <w:r w:rsidR="00272890" w:rsidRPr="00F50C9D">
          <w:rPr>
            <w:szCs w:val="24"/>
          </w:rPr>
          <w:t>čl. 21 odst. 1 až 4</w:t>
        </w:r>
      </w:hyperlink>
      <w:r w:rsidR="00272890" w:rsidRPr="00F50C9D">
        <w:rPr>
          <w:szCs w:val="24"/>
        </w:rPr>
        <w:t xml:space="preserve"> nebo </w:t>
      </w:r>
      <w:hyperlink r:id="rId301" w:history="1">
        <w:r w:rsidR="00272890" w:rsidRPr="00F50C9D">
          <w:rPr>
            <w:szCs w:val="24"/>
          </w:rPr>
          <w:t>7 až 11</w:t>
        </w:r>
      </w:hyperlink>
      <w:r w:rsidR="00272890" w:rsidRPr="00F50C9D">
        <w:rPr>
          <w:szCs w:val="24"/>
        </w:rPr>
        <w:t xml:space="preserve">, </w:t>
      </w:r>
      <w:hyperlink r:id="rId302" w:history="1">
        <w:r w:rsidR="00272890" w:rsidRPr="00F50C9D">
          <w:rPr>
            <w:szCs w:val="24"/>
          </w:rPr>
          <w:t>čl. 22 odst. 2 až 5</w:t>
        </w:r>
      </w:hyperlink>
      <w:r w:rsidR="00272890" w:rsidRPr="00F50C9D">
        <w:rPr>
          <w:szCs w:val="24"/>
        </w:rPr>
        <w:t xml:space="preserve">, </w:t>
      </w:r>
      <w:hyperlink r:id="rId303" w:history="1">
        <w:r w:rsidR="00272890" w:rsidRPr="00F50C9D">
          <w:rPr>
            <w:szCs w:val="24"/>
          </w:rPr>
          <w:t>čl. 23 odst. 1 až 3</w:t>
        </w:r>
      </w:hyperlink>
      <w:r w:rsidR="00272890" w:rsidRPr="00F50C9D">
        <w:rPr>
          <w:szCs w:val="24"/>
        </w:rPr>
        <w:t xml:space="preserve"> nebo </w:t>
      </w:r>
      <w:hyperlink r:id="rId304" w:history="1">
        <w:r w:rsidR="00272890" w:rsidRPr="00F50C9D">
          <w:rPr>
            <w:szCs w:val="24"/>
          </w:rPr>
          <w:t>5</w:t>
        </w:r>
      </w:hyperlink>
      <w:r w:rsidR="00272890" w:rsidRPr="00F50C9D">
        <w:rPr>
          <w:szCs w:val="24"/>
        </w:rPr>
        <w:t xml:space="preserve"> nebo </w:t>
      </w:r>
      <w:hyperlink r:id="rId305" w:history="1">
        <w:r w:rsidR="00272890" w:rsidRPr="00F50C9D">
          <w:rPr>
            <w:szCs w:val="24"/>
          </w:rPr>
          <w:t>čl. 27</w:t>
        </w:r>
      </w:hyperlink>
      <w:r w:rsidR="00272890" w:rsidRPr="00F50C9D">
        <w:rPr>
          <w:szCs w:val="24"/>
        </w:rPr>
        <w:t xml:space="preserve"> nařízení Evropského parlamentu a Rady (EU) </w:t>
      </w:r>
      <w:hyperlink r:id="rId306" w:history="1">
        <w:r w:rsidR="00272890" w:rsidRPr="00F50C9D">
          <w:rPr>
            <w:szCs w:val="24"/>
          </w:rPr>
          <w:t>2017/1129</w:t>
        </w:r>
      </w:hyperlink>
      <w:r w:rsidR="00272890" w:rsidRPr="00F50C9D">
        <w:rPr>
          <w:szCs w:val="24"/>
        </w:rPr>
        <w:t>.</w:t>
      </w:r>
    </w:p>
    <w:p w14:paraId="2C7EDAB1" w14:textId="0A21BA8B" w:rsidR="00272890" w:rsidRPr="00F50C9D" w:rsidRDefault="000C1EA8" w:rsidP="00272890">
      <w:pPr>
        <w:pStyle w:val="PZTextodstavce"/>
        <w:spacing w:before="240"/>
        <w:rPr>
          <w:szCs w:val="24"/>
        </w:rPr>
      </w:pPr>
      <w:r>
        <w:rPr>
          <w:szCs w:val="24"/>
        </w:rPr>
        <w:lastRenderedPageBreak/>
        <w:t xml:space="preserve">(2) </w:t>
      </w:r>
      <w:r w:rsidR="00272890" w:rsidRPr="00F50C9D">
        <w:rPr>
          <w:szCs w:val="24"/>
        </w:rPr>
        <w:t>Za přestupek právnické osoby podle odstavce 1 lze uložit pokutu do</w:t>
      </w:r>
    </w:p>
    <w:p w14:paraId="19987C1D" w14:textId="77777777" w:rsidR="00272890" w:rsidRPr="00F50C9D" w:rsidRDefault="00272890" w:rsidP="000C1EA8">
      <w:pPr>
        <w:pStyle w:val="PZTextpsmene"/>
        <w:spacing w:before="0"/>
        <w:rPr>
          <w:szCs w:val="24"/>
        </w:rPr>
      </w:pPr>
      <w:r w:rsidRPr="00F50C9D">
        <w:rPr>
          <w:szCs w:val="24"/>
        </w:rPr>
        <w:t>a)</w:t>
      </w:r>
      <w:r w:rsidRPr="00F50C9D">
        <w:rPr>
          <w:szCs w:val="24"/>
        </w:rPr>
        <w:tab/>
        <w:t>130 200 000 Kč,</w:t>
      </w:r>
    </w:p>
    <w:p w14:paraId="09DE26C7" w14:textId="77777777" w:rsidR="00272890" w:rsidRPr="00F50C9D" w:rsidRDefault="00272890" w:rsidP="000C1EA8">
      <w:pPr>
        <w:pStyle w:val="PZTextpsmene"/>
        <w:spacing w:before="0"/>
        <w:rPr>
          <w:szCs w:val="24"/>
        </w:rPr>
      </w:pPr>
      <w:r w:rsidRPr="00F50C9D">
        <w:rPr>
          <w:szCs w:val="24"/>
        </w:rPr>
        <w:t>b)</w:t>
      </w:r>
      <w:r w:rsidRPr="00F50C9D">
        <w:rPr>
          <w:szCs w:val="24"/>
        </w:rPr>
        <w:tab/>
        <w:t xml:space="preserve">výše 3 % celkového ročního obratu právnické osoby podle </w:t>
      </w:r>
      <w:r w:rsidRPr="00F50C9D">
        <w:rPr>
          <w:strike/>
          <w:szCs w:val="24"/>
        </w:rPr>
        <w:t>její poslední řádné účetní závěrky nebo konsolidované účetní závěrky</w:t>
      </w:r>
      <w:r w:rsidRPr="00F50C9D">
        <w:rPr>
          <w:b/>
          <w:szCs w:val="24"/>
        </w:rPr>
        <w:t xml:space="preserve"> </w:t>
      </w:r>
      <w:r w:rsidRPr="00F50C9D">
        <w:rPr>
          <w:b/>
          <w:bCs/>
          <w:szCs w:val="24"/>
        </w:rPr>
        <w:t>poslední řádné konsolidované účetní závěrky</w:t>
      </w:r>
      <w:r w:rsidRPr="00F50C9D">
        <w:rPr>
          <w:b/>
          <w:szCs w:val="24"/>
        </w:rPr>
        <w:t xml:space="preserve"> konsolidačního celku, v němž je zahrnuta,</w:t>
      </w:r>
      <w:r w:rsidRPr="00F50C9D">
        <w:rPr>
          <w:szCs w:val="24"/>
        </w:rPr>
        <w:t xml:space="preserve"> </w:t>
      </w:r>
      <w:r w:rsidRPr="00F50C9D">
        <w:rPr>
          <w:b/>
          <w:szCs w:val="24"/>
        </w:rPr>
        <w:t>nebo řádné individuální účetní závěrky, není-li taková konsolidovaná účetní závěrka</w:t>
      </w:r>
      <w:r w:rsidRPr="00F50C9D">
        <w:rPr>
          <w:szCs w:val="24"/>
        </w:rPr>
        <w:t>, nebo</w:t>
      </w:r>
    </w:p>
    <w:p w14:paraId="2A824349" w14:textId="77777777" w:rsidR="00272890" w:rsidRPr="00F50C9D" w:rsidRDefault="00272890" w:rsidP="000C1EA8">
      <w:pPr>
        <w:pStyle w:val="PZTextpsmene"/>
        <w:spacing w:before="0"/>
        <w:rPr>
          <w:szCs w:val="24"/>
        </w:rPr>
      </w:pPr>
      <w:r w:rsidRPr="00F50C9D">
        <w:rPr>
          <w:szCs w:val="24"/>
        </w:rPr>
        <w:t>c)</w:t>
      </w:r>
      <w:r w:rsidRPr="00F50C9D">
        <w:rPr>
          <w:szCs w:val="24"/>
        </w:rPr>
        <w:tab/>
        <w:t>výše dvojnásobku neoprávněného prospěchu získaného spácháním tohoto přestupku, je-li možné výši neoprávněného prospěchu zjistit.</w:t>
      </w:r>
    </w:p>
    <w:p w14:paraId="625C1AB0" w14:textId="3885F47B" w:rsidR="00272890" w:rsidRPr="00F50C9D" w:rsidRDefault="000C1EA8" w:rsidP="00272890">
      <w:pPr>
        <w:pStyle w:val="PZTextodstavce"/>
        <w:spacing w:before="240"/>
        <w:rPr>
          <w:szCs w:val="24"/>
        </w:rPr>
      </w:pPr>
      <w:r>
        <w:rPr>
          <w:szCs w:val="24"/>
        </w:rPr>
        <w:t xml:space="preserve">(3) </w:t>
      </w:r>
      <w:r w:rsidR="00272890" w:rsidRPr="00F50C9D">
        <w:rPr>
          <w:szCs w:val="24"/>
        </w:rPr>
        <w:t>Za přestupek podnikající fyzické osoby podle odstavce 1 lze uložit pokutu do</w:t>
      </w:r>
    </w:p>
    <w:p w14:paraId="0278C39C" w14:textId="77777777" w:rsidR="00272890" w:rsidRPr="00F50C9D" w:rsidRDefault="00272890" w:rsidP="000C1EA8">
      <w:pPr>
        <w:pStyle w:val="PZTextpsmene"/>
        <w:spacing w:before="0"/>
        <w:rPr>
          <w:szCs w:val="24"/>
        </w:rPr>
      </w:pPr>
      <w:r w:rsidRPr="00F50C9D">
        <w:rPr>
          <w:szCs w:val="24"/>
        </w:rPr>
        <w:t>a)</w:t>
      </w:r>
      <w:r w:rsidRPr="00F50C9D">
        <w:rPr>
          <w:szCs w:val="24"/>
        </w:rPr>
        <w:tab/>
        <w:t>18 228 000 Kč, nebo</w:t>
      </w:r>
    </w:p>
    <w:p w14:paraId="6DF4D9D6" w14:textId="77777777" w:rsidR="00272890" w:rsidRPr="00F50C9D" w:rsidRDefault="00272890" w:rsidP="000C1EA8">
      <w:pPr>
        <w:pStyle w:val="PZTextpsmene"/>
        <w:spacing w:before="0"/>
        <w:rPr>
          <w:szCs w:val="24"/>
        </w:rPr>
      </w:pPr>
      <w:r w:rsidRPr="00F50C9D">
        <w:rPr>
          <w:szCs w:val="24"/>
        </w:rPr>
        <w:t>b)</w:t>
      </w:r>
      <w:r w:rsidRPr="00F50C9D">
        <w:rPr>
          <w:szCs w:val="24"/>
        </w:rPr>
        <w:tab/>
        <w:t>výše dvojnásobku neoprávněného prospěchu získaného spácháním tohoto přestupku, je-li možné výši neoprávněného prospěchu zjistit.</w:t>
      </w:r>
    </w:p>
    <w:p w14:paraId="6555E05A" w14:textId="77777777" w:rsidR="00272890" w:rsidRPr="00F50C9D" w:rsidRDefault="00272890" w:rsidP="000C1EA8">
      <w:pPr>
        <w:spacing w:after="120"/>
        <w:ind w:firstLine="0"/>
        <w:jc w:val="center"/>
        <w:rPr>
          <w:szCs w:val="24"/>
        </w:rPr>
      </w:pPr>
      <w:r w:rsidRPr="00F50C9D">
        <w:rPr>
          <w:szCs w:val="24"/>
        </w:rPr>
        <w:t>§ 184</w:t>
      </w:r>
    </w:p>
    <w:p w14:paraId="2A8CC5F9" w14:textId="77777777" w:rsidR="00272890" w:rsidRPr="00F50C9D" w:rsidRDefault="00272890" w:rsidP="000C1EA8">
      <w:pPr>
        <w:spacing w:after="120"/>
        <w:ind w:firstLine="0"/>
        <w:jc w:val="center"/>
        <w:rPr>
          <w:b/>
          <w:szCs w:val="24"/>
        </w:rPr>
      </w:pPr>
      <w:r w:rsidRPr="00F50C9D">
        <w:rPr>
          <w:b/>
          <w:szCs w:val="24"/>
        </w:rPr>
        <w:t>Přestupky právnických a podnikajících fyzických osob spočívající v porušení nařízení Evropské unie o evropských poskytovatelích služeb skupinového financování pro podniky</w:t>
      </w:r>
    </w:p>
    <w:p w14:paraId="75939CCC" w14:textId="335047DB" w:rsidR="00272890" w:rsidRPr="00F50C9D" w:rsidRDefault="000C1EA8" w:rsidP="0006588E">
      <w:pPr>
        <w:pStyle w:val="PZTextodstavce"/>
        <w:rPr>
          <w:szCs w:val="24"/>
        </w:rPr>
      </w:pPr>
      <w:r>
        <w:rPr>
          <w:szCs w:val="24"/>
        </w:rPr>
        <w:t xml:space="preserve">(1) </w:t>
      </w:r>
      <w:r w:rsidR="00272890" w:rsidRPr="00F50C9D">
        <w:rPr>
          <w:szCs w:val="24"/>
        </w:rPr>
        <w:t>Právnická osoba se dopustí přestupku tím, že nesplní některou z povinností nebo poruší některý ze zákazů podle čl. 3 odst. 2 až 6, čl. 4, 5, čl. 6 odst. 1 až 6, čl. 7 odst. 1 až 4, čl. 8 odst. 1 až 6, čl. 9 odst. 1 a 2, čl. 10 odst. 1, 2 a 5, čl. 11 odst. 1 až 3 a 6 až 9, čl. 15 odst. 3, čl. 16 odst. 1, čl. 18 odst. 1, čl. 19 odst. 1 až 6, čl. 20 odst. 1 a 2, čl. 21 odst. 1 až 7, čl. 22 odst. 2 a 4 až 6, čl. 23 odst. 2 až 4, 6 až 8, 11 a 12, čl. 24 odst. 1 až 3, 6 a 7, čl. 25 odst. 1 až 5, čl. 26 nebo čl. 27 odst. 1 až 3 nařízení Evropského parlamentu a Rady (EU) 2020/1503.</w:t>
      </w:r>
    </w:p>
    <w:p w14:paraId="3AF338EB" w14:textId="259D2906" w:rsidR="00272890" w:rsidRPr="00F50C9D" w:rsidRDefault="000C1EA8" w:rsidP="0006588E">
      <w:pPr>
        <w:pStyle w:val="PZTextodstavce"/>
        <w:rPr>
          <w:szCs w:val="24"/>
        </w:rPr>
      </w:pPr>
      <w:r>
        <w:rPr>
          <w:szCs w:val="24"/>
        </w:rPr>
        <w:t xml:space="preserve">(2) </w:t>
      </w:r>
      <w:r w:rsidR="00272890" w:rsidRPr="00F50C9D">
        <w:rPr>
          <w:szCs w:val="24"/>
        </w:rPr>
        <w:t>Právnická nebo podnikající fyzická</w:t>
      </w:r>
      <w:r w:rsidR="00272890" w:rsidRPr="00F50C9D">
        <w:rPr>
          <w:rFonts w:ascii="Arial" w:hAnsi="Arial" w:cs="Arial"/>
          <w:sz w:val="16"/>
          <w:szCs w:val="16"/>
        </w:rPr>
        <w:t xml:space="preserve"> </w:t>
      </w:r>
      <w:r w:rsidR="00272890" w:rsidRPr="00F50C9D">
        <w:rPr>
          <w:szCs w:val="24"/>
        </w:rPr>
        <w:t>osoba se dopustí přestupku tím, že</w:t>
      </w:r>
    </w:p>
    <w:p w14:paraId="1FDB5E1F" w14:textId="77777777" w:rsidR="00272890" w:rsidRPr="00F50C9D" w:rsidRDefault="00272890" w:rsidP="0006588E">
      <w:pPr>
        <w:pStyle w:val="PZTextpsmene"/>
        <w:spacing w:before="0"/>
        <w:rPr>
          <w:szCs w:val="24"/>
        </w:rPr>
      </w:pPr>
      <w:r w:rsidRPr="00F50C9D">
        <w:rPr>
          <w:szCs w:val="24"/>
        </w:rPr>
        <w:t>a)</w:t>
      </w:r>
      <w:r w:rsidRPr="00F50C9D">
        <w:rPr>
          <w:szCs w:val="24"/>
        </w:rPr>
        <w:tab/>
        <w:t>neposkytne České národní bance při výkonu dohledu požadovanou součinnost podle čl. 30 odst. 1 nařízení Evropského parlamentu a Rady (EU) 2020/1503, nebo</w:t>
      </w:r>
    </w:p>
    <w:p w14:paraId="3DB6A16E" w14:textId="77777777" w:rsidR="00272890" w:rsidRPr="00F50C9D" w:rsidRDefault="00272890" w:rsidP="0006588E">
      <w:pPr>
        <w:pStyle w:val="PZTextpsmene"/>
        <w:spacing w:before="0"/>
        <w:rPr>
          <w:szCs w:val="24"/>
        </w:rPr>
      </w:pPr>
      <w:r w:rsidRPr="00F50C9D">
        <w:rPr>
          <w:szCs w:val="24"/>
        </w:rPr>
        <w:t>b)</w:t>
      </w:r>
      <w:r w:rsidRPr="00F50C9D">
        <w:rPr>
          <w:szCs w:val="24"/>
        </w:rPr>
        <w:tab/>
        <w:t>poskytuje služby skupinového financování, aniž je k tomu oprávněna podle čl. 3 odst. 1 nařízení Evropského parlamentu a Rady (EU) 2020/1503.</w:t>
      </w:r>
    </w:p>
    <w:p w14:paraId="225BCE75" w14:textId="26A9CAE7" w:rsidR="00272890" w:rsidRPr="00F50C9D" w:rsidRDefault="000C1EA8" w:rsidP="0006588E">
      <w:pPr>
        <w:pStyle w:val="PZTextodstavce"/>
        <w:rPr>
          <w:szCs w:val="24"/>
        </w:rPr>
      </w:pPr>
      <w:r>
        <w:rPr>
          <w:szCs w:val="24"/>
        </w:rPr>
        <w:t xml:space="preserve">(3) </w:t>
      </w:r>
      <w:r w:rsidR="00272890" w:rsidRPr="00F50C9D">
        <w:rPr>
          <w:szCs w:val="24"/>
        </w:rPr>
        <w:t>Podnikající fyzická osoba se dopustí přestupku tím, že nesplní některou z povinností nebo poruší některý ze zákazů podle čl. 23 odst. 7 nařízení Evropského parlamentu a Rady (EU) 2020/1503.</w:t>
      </w:r>
    </w:p>
    <w:p w14:paraId="370C1BA5" w14:textId="2B823054" w:rsidR="00272890" w:rsidRPr="00F50C9D" w:rsidRDefault="000C1EA8" w:rsidP="0006588E">
      <w:pPr>
        <w:pStyle w:val="PZTextodstavce"/>
        <w:rPr>
          <w:szCs w:val="24"/>
        </w:rPr>
      </w:pPr>
      <w:r>
        <w:rPr>
          <w:szCs w:val="24"/>
        </w:rPr>
        <w:t xml:space="preserve">(4) </w:t>
      </w:r>
      <w:r w:rsidR="00272890" w:rsidRPr="00F50C9D">
        <w:rPr>
          <w:szCs w:val="24"/>
        </w:rPr>
        <w:t>Za přestupek právnické osoby</w:t>
      </w:r>
      <w:r w:rsidR="00272890" w:rsidRPr="00F50C9D">
        <w:rPr>
          <w:rFonts w:ascii="Arial" w:hAnsi="Arial" w:cs="Arial"/>
          <w:color w:val="FFC000"/>
          <w:sz w:val="16"/>
          <w:szCs w:val="16"/>
        </w:rPr>
        <w:t xml:space="preserve"> </w:t>
      </w:r>
      <w:r w:rsidR="00272890" w:rsidRPr="00F50C9D">
        <w:rPr>
          <w:szCs w:val="24"/>
        </w:rPr>
        <w:t>podle odstavce 1 nebo 2 lze uložit pokutu do</w:t>
      </w:r>
    </w:p>
    <w:p w14:paraId="668D6B2C" w14:textId="77777777" w:rsidR="00272890" w:rsidRPr="00F50C9D" w:rsidRDefault="00272890" w:rsidP="000C1EA8">
      <w:pPr>
        <w:pStyle w:val="PZTextpsmene"/>
        <w:spacing w:before="0"/>
        <w:rPr>
          <w:szCs w:val="24"/>
        </w:rPr>
      </w:pPr>
      <w:r w:rsidRPr="00F50C9D">
        <w:rPr>
          <w:szCs w:val="24"/>
        </w:rPr>
        <w:t>a)</w:t>
      </w:r>
      <w:r w:rsidRPr="00F50C9D">
        <w:rPr>
          <w:szCs w:val="24"/>
        </w:rPr>
        <w:tab/>
        <w:t>13 230 000 Kč,</w:t>
      </w:r>
    </w:p>
    <w:p w14:paraId="5A5555D8" w14:textId="77777777" w:rsidR="00272890" w:rsidRPr="00F50C9D" w:rsidRDefault="00272890" w:rsidP="000C1EA8">
      <w:pPr>
        <w:pStyle w:val="PZTextpsmene"/>
        <w:spacing w:before="0"/>
        <w:rPr>
          <w:szCs w:val="24"/>
        </w:rPr>
      </w:pPr>
      <w:r w:rsidRPr="00F50C9D">
        <w:rPr>
          <w:szCs w:val="24"/>
        </w:rPr>
        <w:t>b)</w:t>
      </w:r>
      <w:r w:rsidRPr="00F50C9D">
        <w:rPr>
          <w:szCs w:val="24"/>
        </w:rPr>
        <w:tab/>
        <w:t xml:space="preserve">výše 5 % celkového ročního obratu této právnické osoby podle </w:t>
      </w:r>
      <w:r w:rsidRPr="00F50C9D">
        <w:rPr>
          <w:strike/>
          <w:szCs w:val="24"/>
        </w:rPr>
        <w:t>její poslední řádné účetní závěrky nebo konsolidované účetní závěrky</w:t>
      </w:r>
      <w:r w:rsidRPr="00F50C9D">
        <w:rPr>
          <w:b/>
          <w:szCs w:val="24"/>
        </w:rPr>
        <w:t xml:space="preserve"> </w:t>
      </w:r>
      <w:r w:rsidRPr="00F50C9D">
        <w:rPr>
          <w:b/>
          <w:bCs/>
          <w:szCs w:val="24"/>
        </w:rPr>
        <w:t>poslední řádné konsolidované účetní závěrky</w:t>
      </w:r>
      <w:r w:rsidRPr="00F50C9D">
        <w:rPr>
          <w:b/>
          <w:szCs w:val="24"/>
        </w:rPr>
        <w:t xml:space="preserve"> konsolidačního celku, v němž je zahrnuta,</w:t>
      </w:r>
      <w:r w:rsidRPr="00F50C9D">
        <w:rPr>
          <w:szCs w:val="24"/>
        </w:rPr>
        <w:t xml:space="preserve"> </w:t>
      </w:r>
      <w:r w:rsidRPr="00F50C9D">
        <w:rPr>
          <w:b/>
          <w:szCs w:val="24"/>
        </w:rPr>
        <w:t>nebo řádné individuální účetní závěrky, není-li taková konsolidovaná účetní závěrka</w:t>
      </w:r>
      <w:r w:rsidRPr="00F50C9D">
        <w:rPr>
          <w:szCs w:val="24"/>
        </w:rPr>
        <w:t>, přesahuje-li tato částka částku stanovenou v písmenu a), nebo</w:t>
      </w:r>
    </w:p>
    <w:p w14:paraId="16CB17AA" w14:textId="77777777" w:rsidR="00272890" w:rsidRPr="00F50C9D" w:rsidRDefault="00272890" w:rsidP="000C1EA8">
      <w:pPr>
        <w:pStyle w:val="PZTextpsmene"/>
        <w:spacing w:before="0"/>
        <w:rPr>
          <w:szCs w:val="24"/>
        </w:rPr>
      </w:pPr>
      <w:r w:rsidRPr="00F50C9D">
        <w:rPr>
          <w:szCs w:val="24"/>
        </w:rPr>
        <w:t>c)</w:t>
      </w:r>
      <w:r w:rsidRPr="00F50C9D">
        <w:rPr>
          <w:szCs w:val="24"/>
        </w:rPr>
        <w:tab/>
        <w:t>výše dvojnásobku neoprávněného prospěchu získaného spácháním tohoto přestupku, je-li možné výši neoprávněného prospěchu zjistit a přesahuje-li tato částka částku stanovenou v písmenech a) a b).</w:t>
      </w:r>
    </w:p>
    <w:p w14:paraId="08578038" w14:textId="400FFA1B" w:rsidR="00272890" w:rsidRPr="00F50C9D" w:rsidRDefault="000C1EA8" w:rsidP="00272890">
      <w:pPr>
        <w:pStyle w:val="PZTextodstavce"/>
        <w:spacing w:before="240"/>
        <w:rPr>
          <w:szCs w:val="24"/>
        </w:rPr>
      </w:pPr>
      <w:r>
        <w:rPr>
          <w:szCs w:val="24"/>
        </w:rPr>
        <w:t xml:space="preserve">(5) </w:t>
      </w:r>
      <w:r w:rsidR="00272890" w:rsidRPr="00F50C9D">
        <w:rPr>
          <w:szCs w:val="24"/>
        </w:rPr>
        <w:t>Za přestupek podnikající fyzické osoby podle odstavce 2 nebo 3 lze uložit pokutu do</w:t>
      </w:r>
    </w:p>
    <w:p w14:paraId="1FDEA54F" w14:textId="77777777" w:rsidR="00272890" w:rsidRPr="00F50C9D" w:rsidRDefault="00272890" w:rsidP="000C1EA8">
      <w:pPr>
        <w:pStyle w:val="PZTextpsmene"/>
        <w:spacing w:before="0"/>
        <w:rPr>
          <w:szCs w:val="24"/>
        </w:rPr>
      </w:pPr>
      <w:r w:rsidRPr="00F50C9D">
        <w:rPr>
          <w:szCs w:val="24"/>
        </w:rPr>
        <w:t>a)</w:t>
      </w:r>
      <w:r w:rsidRPr="00F50C9D">
        <w:rPr>
          <w:szCs w:val="24"/>
        </w:rPr>
        <w:tab/>
        <w:t>13 230 000 Kč, nebo</w:t>
      </w:r>
    </w:p>
    <w:p w14:paraId="3B788DAF" w14:textId="77777777" w:rsidR="00272890" w:rsidRPr="00F50C9D" w:rsidRDefault="00272890" w:rsidP="000C1EA8">
      <w:pPr>
        <w:pStyle w:val="PZTextpsmene"/>
        <w:spacing w:before="0"/>
        <w:rPr>
          <w:szCs w:val="24"/>
        </w:rPr>
      </w:pPr>
      <w:r w:rsidRPr="00F50C9D">
        <w:rPr>
          <w:szCs w:val="24"/>
        </w:rPr>
        <w:lastRenderedPageBreak/>
        <w:t>b)</w:t>
      </w:r>
      <w:r w:rsidRPr="00F50C9D">
        <w:rPr>
          <w:szCs w:val="24"/>
        </w:rPr>
        <w:tab/>
        <w:t>výše dvojnásobku neoprávněného prospěchu získaného spácháním tohoto přestupku, je-li možné výši neoprávněného prospěchu zjistit a přesahuje-li tato částka částku podle písmene a).</w:t>
      </w:r>
    </w:p>
    <w:p w14:paraId="1AE03F14" w14:textId="77777777" w:rsidR="00272890" w:rsidRPr="00F50C9D" w:rsidRDefault="00272890" w:rsidP="000C1EA8">
      <w:pPr>
        <w:keepNext/>
        <w:keepLines/>
        <w:spacing w:after="120"/>
        <w:ind w:firstLine="0"/>
        <w:jc w:val="center"/>
        <w:rPr>
          <w:color w:val="000000" w:themeColor="text1"/>
          <w:szCs w:val="24"/>
        </w:rPr>
      </w:pPr>
      <w:r w:rsidRPr="00F50C9D">
        <w:rPr>
          <w:color w:val="000000" w:themeColor="text1"/>
          <w:szCs w:val="24"/>
        </w:rPr>
        <w:t>§ 185</w:t>
      </w:r>
    </w:p>
    <w:p w14:paraId="27E0A734" w14:textId="77777777" w:rsidR="00272890" w:rsidRPr="00F50C9D" w:rsidRDefault="00272890" w:rsidP="000C1EA8">
      <w:pPr>
        <w:keepNext/>
        <w:keepLines/>
        <w:spacing w:after="120"/>
        <w:ind w:firstLine="0"/>
        <w:jc w:val="center"/>
        <w:rPr>
          <w:b/>
          <w:color w:val="000000" w:themeColor="text1"/>
          <w:szCs w:val="24"/>
        </w:rPr>
      </w:pPr>
      <w:r w:rsidRPr="00F50C9D">
        <w:rPr>
          <w:b/>
          <w:color w:val="000000" w:themeColor="text1"/>
          <w:szCs w:val="24"/>
        </w:rPr>
        <w:t>Přestupky ústředních protistran a členů clearingového systému spočívající v porušení nařízení Evropské unie o rámci pro ozdravné postupy a řešení krize ústředních protistran</w:t>
      </w:r>
    </w:p>
    <w:p w14:paraId="707B2D8F" w14:textId="7BEBF8BE" w:rsidR="00272890" w:rsidRPr="00F50C9D" w:rsidRDefault="000C1EA8" w:rsidP="0006588E">
      <w:pPr>
        <w:pStyle w:val="PZTextodstavce"/>
        <w:keepNext/>
        <w:keepLines/>
        <w:rPr>
          <w:color w:val="000000" w:themeColor="text1"/>
          <w:szCs w:val="24"/>
        </w:rPr>
      </w:pPr>
      <w:r>
        <w:rPr>
          <w:color w:val="000000" w:themeColor="text1"/>
          <w:szCs w:val="24"/>
        </w:rPr>
        <w:t xml:space="preserve">(1) </w:t>
      </w:r>
      <w:r w:rsidR="00272890" w:rsidRPr="00F50C9D">
        <w:rPr>
          <w:color w:val="000000" w:themeColor="text1"/>
          <w:szCs w:val="24"/>
        </w:rPr>
        <w:t>Ústřední protistrana se dopustí přestupku tím, že nesplní některou z povinností nebo poruší některý ze zákazů podle čl. 9 odst. 1 až 4, 6, 7, 9 až 11, 13, 14, 16 a 18 až 21 nebo čl. 13 nařízení Evropského parlamentu a Rady (EU) 2021/23.</w:t>
      </w:r>
    </w:p>
    <w:p w14:paraId="408FC594" w14:textId="5994969C" w:rsidR="00272890" w:rsidRPr="00F50C9D" w:rsidRDefault="000C1EA8" w:rsidP="0006588E">
      <w:pPr>
        <w:pStyle w:val="PZTextodstavce"/>
        <w:rPr>
          <w:color w:val="000000" w:themeColor="text1"/>
          <w:szCs w:val="24"/>
        </w:rPr>
      </w:pPr>
      <w:r>
        <w:rPr>
          <w:color w:val="000000" w:themeColor="text1"/>
          <w:szCs w:val="24"/>
        </w:rPr>
        <w:t xml:space="preserve">(2) </w:t>
      </w:r>
      <w:r w:rsidR="00272890" w:rsidRPr="00F50C9D">
        <w:rPr>
          <w:color w:val="000000" w:themeColor="text1"/>
          <w:szCs w:val="24"/>
        </w:rPr>
        <w:t>Člen clearingového systému se dopustí přestupku tím, že nesplní povinnost podle čl. 9 odst. 23 nařízení Evropského parlamentu a Rady (EU) 2021/23.</w:t>
      </w:r>
    </w:p>
    <w:p w14:paraId="669B97B4" w14:textId="3C349CD1" w:rsidR="00272890" w:rsidRPr="00F50C9D" w:rsidRDefault="000C1EA8" w:rsidP="0006588E">
      <w:pPr>
        <w:pStyle w:val="PZTextodstavce"/>
        <w:rPr>
          <w:color w:val="000000" w:themeColor="text1"/>
          <w:szCs w:val="24"/>
        </w:rPr>
      </w:pPr>
      <w:r>
        <w:rPr>
          <w:color w:val="000000" w:themeColor="text1"/>
          <w:szCs w:val="24"/>
        </w:rPr>
        <w:t xml:space="preserve">(3) </w:t>
      </w:r>
      <w:r w:rsidR="00272890" w:rsidRPr="00F50C9D">
        <w:rPr>
          <w:color w:val="000000" w:themeColor="text1"/>
          <w:szCs w:val="24"/>
        </w:rPr>
        <w:t>Za přestupek podle odstavců 1 a 2 lze uložit pokutu do</w:t>
      </w:r>
    </w:p>
    <w:p w14:paraId="7A17C587" w14:textId="77777777" w:rsidR="00272890" w:rsidRPr="00F50C9D" w:rsidRDefault="00272890" w:rsidP="000C1EA8">
      <w:pPr>
        <w:pStyle w:val="PZTextpsmene"/>
        <w:spacing w:before="0"/>
        <w:rPr>
          <w:szCs w:val="24"/>
        </w:rPr>
      </w:pPr>
      <w:r w:rsidRPr="00F50C9D">
        <w:rPr>
          <w:szCs w:val="24"/>
        </w:rPr>
        <w:t>a)</w:t>
      </w:r>
      <w:r w:rsidRPr="00F50C9D">
        <w:rPr>
          <w:szCs w:val="24"/>
        </w:rPr>
        <w:tab/>
        <w:t>128 850 000 Kč,</w:t>
      </w:r>
    </w:p>
    <w:p w14:paraId="7D01D6E2" w14:textId="77777777" w:rsidR="00272890" w:rsidRPr="00F50C9D" w:rsidRDefault="00272890" w:rsidP="000C1EA8">
      <w:pPr>
        <w:pStyle w:val="PZTextpsmene"/>
        <w:spacing w:before="0"/>
        <w:rPr>
          <w:color w:val="000000" w:themeColor="text1"/>
          <w:szCs w:val="24"/>
        </w:rPr>
      </w:pPr>
      <w:r w:rsidRPr="00F50C9D">
        <w:rPr>
          <w:szCs w:val="24"/>
        </w:rPr>
        <w:t>b)</w:t>
      </w:r>
      <w:r w:rsidRPr="00F50C9D">
        <w:rPr>
          <w:szCs w:val="24"/>
        </w:rPr>
        <w:tab/>
        <w:t>výše 10 % celkového</w:t>
      </w:r>
      <w:r w:rsidRPr="00F50C9D">
        <w:rPr>
          <w:color w:val="000000" w:themeColor="text1"/>
          <w:szCs w:val="24"/>
        </w:rPr>
        <w:t xml:space="preserve"> ročního obratu této právnické osoby </w:t>
      </w:r>
      <w:r w:rsidRPr="00F50C9D">
        <w:rPr>
          <w:strike/>
          <w:szCs w:val="24"/>
        </w:rPr>
        <w:t>její poslední řádné účetní závěrky nebo konsolidované účetní závěrky</w:t>
      </w:r>
      <w:r w:rsidRPr="00F50C9D">
        <w:rPr>
          <w:b/>
          <w:szCs w:val="24"/>
        </w:rPr>
        <w:t xml:space="preserve"> </w:t>
      </w:r>
      <w:r w:rsidRPr="00F50C9D">
        <w:rPr>
          <w:b/>
          <w:bCs/>
          <w:szCs w:val="24"/>
        </w:rPr>
        <w:t>poslední řádné konsolidované účetní závěrky</w:t>
      </w:r>
      <w:r w:rsidRPr="00F50C9D">
        <w:rPr>
          <w:b/>
          <w:szCs w:val="24"/>
        </w:rPr>
        <w:t xml:space="preserve"> konsolidačního celku, v němž je zahrnuta,</w:t>
      </w:r>
      <w:r w:rsidRPr="00F50C9D">
        <w:rPr>
          <w:szCs w:val="24"/>
        </w:rPr>
        <w:t xml:space="preserve"> </w:t>
      </w:r>
      <w:r w:rsidRPr="00F50C9D">
        <w:rPr>
          <w:b/>
          <w:szCs w:val="24"/>
        </w:rPr>
        <w:t>nebo řádné individuální účetní závěrky, není-li taková konsolidovaná účetní závěrka</w:t>
      </w:r>
      <w:r w:rsidRPr="00F50C9D">
        <w:rPr>
          <w:color w:val="000000" w:themeColor="text1"/>
          <w:szCs w:val="24"/>
        </w:rPr>
        <w:t>, přesahuje-li tato částka částku stanovenou v písmenu a), nebo</w:t>
      </w:r>
    </w:p>
    <w:p w14:paraId="4A9D8C45" w14:textId="77777777" w:rsidR="00272890" w:rsidRPr="00730C0F" w:rsidRDefault="00272890" w:rsidP="000C1EA8">
      <w:pPr>
        <w:pStyle w:val="PZTextpsmene"/>
        <w:spacing w:before="0"/>
        <w:rPr>
          <w:color w:val="000000" w:themeColor="text1"/>
          <w:szCs w:val="24"/>
        </w:rPr>
      </w:pPr>
      <w:r w:rsidRPr="00F50C9D">
        <w:rPr>
          <w:color w:val="000000" w:themeColor="text1"/>
          <w:szCs w:val="24"/>
        </w:rPr>
        <w:t>c)</w:t>
      </w:r>
      <w:r w:rsidRPr="00F50C9D">
        <w:rPr>
          <w:color w:val="000000" w:themeColor="text1"/>
          <w:szCs w:val="24"/>
        </w:rPr>
        <w:tab/>
        <w:t>výše dvojnásobku neoprávněného prospěchu získaného spácháním tohoto přestupku, je-li možné výši neoprávněného prospěchu zjistit a přesahuje-li tato částka částku stanovenou v písmenech a) a b).</w:t>
      </w:r>
    </w:p>
    <w:p w14:paraId="58F04107" w14:textId="06D6AD55" w:rsidR="00AD77CE" w:rsidRDefault="00AD77CE" w:rsidP="00832471">
      <w:pPr>
        <w:pStyle w:val="Textparagrafu"/>
        <w:tabs>
          <w:tab w:val="left" w:pos="406"/>
          <w:tab w:val="left" w:pos="840"/>
          <w:tab w:val="left" w:pos="868"/>
        </w:tabs>
        <w:spacing w:after="120"/>
      </w:pPr>
    </w:p>
    <w:p w14:paraId="0586B2A4" w14:textId="77777777" w:rsidR="00AD77CE" w:rsidRDefault="00AD77CE" w:rsidP="00832471">
      <w:pPr>
        <w:pStyle w:val="Textparagrafu"/>
        <w:tabs>
          <w:tab w:val="left" w:pos="406"/>
          <w:tab w:val="left" w:pos="840"/>
          <w:tab w:val="left" w:pos="868"/>
        </w:tabs>
        <w:spacing w:after="120"/>
        <w:sectPr w:rsidR="00AD77CE" w:rsidSect="00554E2B">
          <w:footnotePr>
            <w:numStart w:val="3"/>
          </w:footnotePr>
          <w:endnotePr>
            <w:numFmt w:val="decimal"/>
          </w:endnotePr>
          <w:pgSz w:w="11906" w:h="16838"/>
          <w:pgMar w:top="1418" w:right="1418" w:bottom="1418" w:left="1418" w:header="709" w:footer="709" w:gutter="0"/>
          <w:cols w:space="708"/>
          <w:docGrid w:linePitch="360"/>
        </w:sectPr>
      </w:pPr>
    </w:p>
    <w:p w14:paraId="1B7FE0A6" w14:textId="623BE936" w:rsidR="00AD77CE" w:rsidRPr="00AD77CE" w:rsidRDefault="000A18B9" w:rsidP="0006588E">
      <w:pPr>
        <w:tabs>
          <w:tab w:val="left" w:pos="851"/>
        </w:tabs>
        <w:spacing w:before="120" w:after="120"/>
        <w:ind w:firstLine="0"/>
        <w:jc w:val="center"/>
        <w:outlineLvl w:val="0"/>
        <w:rPr>
          <w:szCs w:val="24"/>
        </w:rPr>
      </w:pPr>
      <w:r>
        <w:rPr>
          <w:b/>
          <w:szCs w:val="24"/>
        </w:rPr>
        <w:lastRenderedPageBreak/>
        <w:t>K části sedmdesáté sedmé</w:t>
      </w:r>
      <w:r w:rsidR="00AD77CE" w:rsidRPr="00AD77CE">
        <w:rPr>
          <w:b/>
          <w:szCs w:val="24"/>
        </w:rPr>
        <w:t xml:space="preserve"> návrhu zákona – </w:t>
      </w:r>
      <w:r w:rsidR="00AD77CE" w:rsidRPr="00AD77CE">
        <w:rPr>
          <w:szCs w:val="24"/>
        </w:rPr>
        <w:t>změna zákona</w:t>
      </w:r>
      <w:r w:rsidR="00AD77CE" w:rsidRPr="00AD77CE">
        <w:t xml:space="preserve"> </w:t>
      </w:r>
      <w:r w:rsidR="00AD77CE" w:rsidRPr="00AD77CE">
        <w:rPr>
          <w:szCs w:val="24"/>
        </w:rPr>
        <w:t xml:space="preserve">o </w:t>
      </w:r>
      <w:r w:rsidR="0006588E">
        <w:rPr>
          <w:szCs w:val="24"/>
        </w:rPr>
        <w:t>vinohradnictví a vinařství</w:t>
      </w:r>
    </w:p>
    <w:p w14:paraId="13D9F415" w14:textId="2E45ABA4" w:rsidR="00AD77CE" w:rsidRPr="00AD77CE" w:rsidRDefault="00AD77CE" w:rsidP="00AD77CE">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AD77CE">
        <w:rPr>
          <w:b/>
          <w:szCs w:val="24"/>
        </w:rPr>
        <w:t>Platné znění</w:t>
      </w:r>
      <w:r w:rsidRPr="00AD77CE">
        <w:rPr>
          <w:szCs w:val="24"/>
        </w:rPr>
        <w:t xml:space="preserve"> zákona č.321/2004 Sb., o vinohradnictví a vinařství a o změně některých souvisejících zákonů</w:t>
      </w:r>
      <w:r>
        <w:rPr>
          <w:szCs w:val="24"/>
        </w:rPr>
        <w:t xml:space="preserve"> </w:t>
      </w:r>
      <w:r w:rsidRPr="00AD77CE">
        <w:rPr>
          <w:szCs w:val="24"/>
        </w:rPr>
        <w:t>(zákon o vinohradnictví a vinařství)</w:t>
      </w:r>
    </w:p>
    <w:p w14:paraId="2B7590D0" w14:textId="6BFA5537" w:rsidR="00AD77CE" w:rsidRPr="00AD77CE" w:rsidRDefault="0006588E" w:rsidP="00AD77CE">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AE4818">
        <w:rPr>
          <w:b/>
          <w:szCs w:val="24"/>
          <w:lang w:eastAsia="en-US"/>
        </w:rPr>
        <w:t>s vyznačením navrhovaných změn a doplnění k 1. lednu 2025</w:t>
      </w:r>
    </w:p>
    <w:p w14:paraId="5AEC7F51" w14:textId="77777777" w:rsidR="00AD77CE" w:rsidRPr="00AD77CE" w:rsidRDefault="00AD77CE" w:rsidP="00AD77CE">
      <w:pPr>
        <w:pStyle w:val="Textparagrafu"/>
        <w:numPr>
          <w:ilvl w:val="0"/>
          <w:numId w:val="27"/>
        </w:numPr>
        <w:tabs>
          <w:tab w:val="left" w:pos="392"/>
          <w:tab w:val="left" w:pos="840"/>
        </w:tabs>
        <w:spacing w:after="120"/>
        <w:jc w:val="center"/>
      </w:pPr>
      <w:r w:rsidRPr="00AD77CE">
        <w:t>***</w:t>
      </w:r>
    </w:p>
    <w:p w14:paraId="75777100" w14:textId="69FF239A" w:rsidR="004648F8" w:rsidRDefault="004648F8" w:rsidP="004648F8">
      <w:pPr>
        <w:pStyle w:val="Textparagrafu"/>
        <w:numPr>
          <w:ilvl w:val="0"/>
          <w:numId w:val="27"/>
        </w:numPr>
        <w:tabs>
          <w:tab w:val="left" w:pos="392"/>
          <w:tab w:val="left" w:pos="840"/>
        </w:tabs>
        <w:spacing w:after="120"/>
        <w:jc w:val="center"/>
      </w:pPr>
      <w:r w:rsidRPr="00CB66EB">
        <w:t>§</w:t>
      </w:r>
      <w:r>
        <w:t xml:space="preserve"> </w:t>
      </w:r>
      <w:r w:rsidRPr="00CB66EB">
        <w:t>31</w:t>
      </w:r>
    </w:p>
    <w:p w14:paraId="0236FB86" w14:textId="77777777" w:rsidR="004648F8" w:rsidRDefault="004648F8" w:rsidP="0006588E">
      <w:pPr>
        <w:pStyle w:val="Textparagrafu"/>
        <w:numPr>
          <w:ilvl w:val="0"/>
          <w:numId w:val="27"/>
        </w:numPr>
        <w:tabs>
          <w:tab w:val="left" w:pos="392"/>
          <w:tab w:val="left" w:pos="840"/>
        </w:tabs>
        <w:spacing w:before="120" w:after="120"/>
        <w:ind w:firstLine="425"/>
      </w:pPr>
      <w:r w:rsidRPr="00CB66EB">
        <w:t>(1)</w:t>
      </w:r>
      <w:r>
        <w:t xml:space="preserve"> </w:t>
      </w:r>
      <w:r w:rsidRPr="00CB66EB">
        <w:t>Zřizuje</w:t>
      </w:r>
      <w:r>
        <w:t xml:space="preserve"> </w:t>
      </w:r>
      <w:r w:rsidRPr="00CB66EB">
        <w:t>se</w:t>
      </w:r>
      <w:r>
        <w:t xml:space="preserve"> </w:t>
      </w:r>
      <w:r w:rsidRPr="00CB66EB">
        <w:t>Vinařský</w:t>
      </w:r>
      <w:r>
        <w:t xml:space="preserve"> </w:t>
      </w:r>
      <w:r w:rsidRPr="00CB66EB">
        <w:t>fond</w:t>
      </w:r>
      <w:r>
        <w:t xml:space="preserve"> </w:t>
      </w:r>
      <w:r w:rsidRPr="00CB66EB">
        <w:t>(dále</w:t>
      </w:r>
      <w:r>
        <w:t xml:space="preserve"> </w:t>
      </w:r>
      <w:r w:rsidRPr="00CB66EB">
        <w:t>jen</w:t>
      </w:r>
      <w:r>
        <w:t xml:space="preserve"> </w:t>
      </w:r>
      <w:r w:rsidRPr="00CB66EB">
        <w:t>"Fond")</w:t>
      </w:r>
      <w:r>
        <w:t xml:space="preserve"> </w:t>
      </w:r>
      <w:r w:rsidRPr="00CB66EB">
        <w:t>se</w:t>
      </w:r>
      <w:r>
        <w:t xml:space="preserve"> </w:t>
      </w:r>
      <w:r w:rsidRPr="00CB66EB">
        <w:t>sídlem</w:t>
      </w:r>
      <w:r>
        <w:t xml:space="preserve"> </w:t>
      </w:r>
      <w:r w:rsidRPr="00CB66EB">
        <w:t>v</w:t>
      </w:r>
      <w:r>
        <w:t xml:space="preserve"> </w:t>
      </w:r>
      <w:r w:rsidRPr="00CB66EB">
        <w:t>Brně.</w:t>
      </w:r>
    </w:p>
    <w:p w14:paraId="125BF429" w14:textId="77777777" w:rsidR="004648F8" w:rsidRDefault="004648F8" w:rsidP="0006588E">
      <w:pPr>
        <w:pStyle w:val="Textparagrafu"/>
        <w:numPr>
          <w:ilvl w:val="0"/>
          <w:numId w:val="27"/>
        </w:numPr>
        <w:tabs>
          <w:tab w:val="left" w:pos="392"/>
          <w:tab w:val="left" w:pos="840"/>
        </w:tabs>
        <w:spacing w:before="120" w:after="120"/>
        <w:ind w:firstLine="425"/>
      </w:pPr>
      <w:r w:rsidRPr="00CB66EB">
        <w:t>(2)</w:t>
      </w:r>
      <w:r>
        <w:t xml:space="preserve"> </w:t>
      </w:r>
      <w:r w:rsidRPr="00CB66EB">
        <w:t>Fond</w:t>
      </w:r>
      <w:r>
        <w:t xml:space="preserve"> </w:t>
      </w:r>
      <w:r w:rsidRPr="00CB66EB">
        <w:t>je</w:t>
      </w:r>
      <w:r>
        <w:t xml:space="preserve"> </w:t>
      </w:r>
      <w:r w:rsidRPr="00CB66EB">
        <w:t>právnickou</w:t>
      </w:r>
      <w:r>
        <w:t xml:space="preserve"> </w:t>
      </w:r>
      <w:r w:rsidRPr="00CB66EB">
        <w:t>osobou,</w:t>
      </w:r>
      <w:r>
        <w:t xml:space="preserve"> </w:t>
      </w:r>
      <w:r w:rsidRPr="00CB66EB">
        <w:t>která</w:t>
      </w:r>
      <w:r>
        <w:t xml:space="preserve"> </w:t>
      </w:r>
      <w:r w:rsidRPr="00CB66EB">
        <w:t>hospodaří</w:t>
      </w:r>
      <w:r>
        <w:t xml:space="preserve"> </w:t>
      </w:r>
      <w:r w:rsidRPr="00CB66EB">
        <w:t>s</w:t>
      </w:r>
      <w:r>
        <w:t xml:space="preserve"> </w:t>
      </w:r>
      <w:r w:rsidRPr="00CB66EB">
        <w:t>vlastním</w:t>
      </w:r>
      <w:r>
        <w:t xml:space="preserve"> </w:t>
      </w:r>
      <w:r w:rsidRPr="00CB66EB">
        <w:t>majetkem.</w:t>
      </w:r>
      <w:r>
        <w:t xml:space="preserve"> </w:t>
      </w:r>
      <w:r w:rsidRPr="00CB66EB">
        <w:t>Při</w:t>
      </w:r>
      <w:r>
        <w:t xml:space="preserve"> </w:t>
      </w:r>
      <w:r w:rsidRPr="00CB66EB">
        <w:t>rozhodování</w:t>
      </w:r>
      <w:r>
        <w:t xml:space="preserve"> </w:t>
      </w:r>
      <w:r w:rsidRPr="00CB66EB">
        <w:t>o</w:t>
      </w:r>
      <w:r>
        <w:t xml:space="preserve"> </w:t>
      </w:r>
      <w:r w:rsidRPr="00CB66EB">
        <w:t>povinnosti</w:t>
      </w:r>
      <w:r>
        <w:t xml:space="preserve"> </w:t>
      </w:r>
      <w:r w:rsidRPr="00CB66EB">
        <w:t>zaplatit</w:t>
      </w:r>
      <w:r>
        <w:t xml:space="preserve"> </w:t>
      </w:r>
      <w:r w:rsidRPr="00CB66EB">
        <w:t>odvod</w:t>
      </w:r>
      <w:r>
        <w:t xml:space="preserve"> </w:t>
      </w:r>
      <w:r w:rsidRPr="00CB66EB">
        <w:t>a</w:t>
      </w:r>
      <w:r>
        <w:t xml:space="preserve"> </w:t>
      </w:r>
      <w:r w:rsidRPr="00CB66EB">
        <w:t>podporu</w:t>
      </w:r>
      <w:r>
        <w:t xml:space="preserve"> </w:t>
      </w:r>
      <w:r w:rsidRPr="00CB66EB">
        <w:t>státu</w:t>
      </w:r>
      <w:r>
        <w:t xml:space="preserve"> </w:t>
      </w:r>
      <w:r w:rsidRPr="00CB66EB">
        <w:t>podle</w:t>
      </w:r>
      <w:r>
        <w:t xml:space="preserve"> </w:t>
      </w:r>
      <w:r w:rsidRPr="00CB66EB">
        <w:t>tohoto</w:t>
      </w:r>
      <w:r>
        <w:t xml:space="preserve"> </w:t>
      </w:r>
      <w:r w:rsidRPr="00CB66EB">
        <w:t>zákona</w:t>
      </w:r>
      <w:r>
        <w:t xml:space="preserve"> </w:t>
      </w:r>
      <w:r w:rsidRPr="00CB66EB">
        <w:t>o</w:t>
      </w:r>
      <w:r>
        <w:t xml:space="preserve"> </w:t>
      </w:r>
      <w:r w:rsidRPr="00CB66EB">
        <w:t>žádostech</w:t>
      </w:r>
      <w:r>
        <w:t xml:space="preserve"> </w:t>
      </w:r>
      <w:r w:rsidRPr="00CB66EB">
        <w:t>o</w:t>
      </w:r>
      <w:r>
        <w:t xml:space="preserve"> </w:t>
      </w:r>
      <w:r w:rsidRPr="00CB66EB">
        <w:t>poskytnutí</w:t>
      </w:r>
      <w:r>
        <w:t xml:space="preserve"> </w:t>
      </w:r>
      <w:r w:rsidRPr="00CB66EB">
        <w:t>podpor</w:t>
      </w:r>
      <w:r>
        <w:t xml:space="preserve"> </w:t>
      </w:r>
      <w:r w:rsidRPr="00CB66EB">
        <w:t>z</w:t>
      </w:r>
      <w:r>
        <w:t xml:space="preserve"> </w:t>
      </w:r>
      <w:r w:rsidRPr="00CB66EB">
        <w:t>prostředků</w:t>
      </w:r>
      <w:r>
        <w:t xml:space="preserve"> </w:t>
      </w:r>
      <w:r w:rsidRPr="00CB66EB">
        <w:t>Fondu</w:t>
      </w:r>
      <w:r>
        <w:t xml:space="preserve"> </w:t>
      </w:r>
      <w:r w:rsidRPr="00CB66EB">
        <w:t>nebo</w:t>
      </w:r>
      <w:r>
        <w:t xml:space="preserve"> </w:t>
      </w:r>
      <w:r w:rsidRPr="00CB66EB">
        <w:t>při</w:t>
      </w:r>
      <w:r>
        <w:t xml:space="preserve"> </w:t>
      </w:r>
      <w:r w:rsidRPr="00CB66EB">
        <w:t>rozhodování</w:t>
      </w:r>
      <w:r>
        <w:t xml:space="preserve"> </w:t>
      </w:r>
      <w:r w:rsidRPr="00CB66EB">
        <w:t>o</w:t>
      </w:r>
      <w:r>
        <w:t xml:space="preserve"> </w:t>
      </w:r>
      <w:r w:rsidRPr="00CB66EB">
        <w:t>povinnosti</w:t>
      </w:r>
      <w:r>
        <w:t xml:space="preserve"> </w:t>
      </w:r>
      <w:r w:rsidRPr="00CB66EB">
        <w:t>vrátit</w:t>
      </w:r>
      <w:r>
        <w:t xml:space="preserve"> </w:t>
      </w:r>
      <w:r w:rsidRPr="00CB66EB">
        <w:t>návratnou</w:t>
      </w:r>
      <w:r>
        <w:t xml:space="preserve"> </w:t>
      </w:r>
      <w:r w:rsidRPr="00CB66EB">
        <w:t>část</w:t>
      </w:r>
      <w:r>
        <w:t xml:space="preserve"> </w:t>
      </w:r>
      <w:r w:rsidRPr="00CB66EB">
        <w:t>poskytnuté</w:t>
      </w:r>
      <w:r>
        <w:t xml:space="preserve"> </w:t>
      </w:r>
      <w:r w:rsidRPr="00CB66EB">
        <w:t>podpory</w:t>
      </w:r>
      <w:r>
        <w:t xml:space="preserve"> </w:t>
      </w:r>
      <w:r w:rsidRPr="00CB66EB">
        <w:t>na</w:t>
      </w:r>
      <w:r>
        <w:t xml:space="preserve"> </w:t>
      </w:r>
      <w:r w:rsidRPr="00CB66EB">
        <w:t>výsadbu</w:t>
      </w:r>
      <w:r>
        <w:t xml:space="preserve"> </w:t>
      </w:r>
      <w:r w:rsidRPr="00CB66EB">
        <w:t>vinice</w:t>
      </w:r>
      <w:r>
        <w:t xml:space="preserve"> </w:t>
      </w:r>
      <w:r w:rsidRPr="00CB66EB">
        <w:t>a</w:t>
      </w:r>
      <w:r>
        <w:t xml:space="preserve"> </w:t>
      </w:r>
      <w:r w:rsidRPr="00CB66EB">
        <w:t>obnovu</w:t>
      </w:r>
      <w:r>
        <w:t xml:space="preserve"> </w:t>
      </w:r>
      <w:r w:rsidRPr="00CB66EB">
        <w:t>vinic,</w:t>
      </w:r>
      <w:r>
        <w:t xml:space="preserve"> </w:t>
      </w:r>
      <w:r w:rsidRPr="00CB66EB">
        <w:t>má</w:t>
      </w:r>
      <w:r>
        <w:t xml:space="preserve"> </w:t>
      </w:r>
      <w:r w:rsidRPr="00CB66EB">
        <w:t>Fond</w:t>
      </w:r>
      <w:r>
        <w:t xml:space="preserve"> </w:t>
      </w:r>
      <w:r w:rsidRPr="00CB66EB">
        <w:t>postavení</w:t>
      </w:r>
      <w:r>
        <w:t xml:space="preserve"> </w:t>
      </w:r>
      <w:r w:rsidRPr="00CB66EB">
        <w:t>orgánu</w:t>
      </w:r>
      <w:r>
        <w:t xml:space="preserve"> </w:t>
      </w:r>
      <w:r w:rsidRPr="00CB66EB">
        <w:t>veřejné</w:t>
      </w:r>
      <w:r>
        <w:t xml:space="preserve"> </w:t>
      </w:r>
      <w:r w:rsidRPr="00CB66EB">
        <w:t>moci.</w:t>
      </w:r>
    </w:p>
    <w:p w14:paraId="6CB29060" w14:textId="77777777" w:rsidR="004648F8" w:rsidRDefault="004648F8" w:rsidP="0006588E">
      <w:pPr>
        <w:pStyle w:val="Textparagrafu"/>
        <w:numPr>
          <w:ilvl w:val="0"/>
          <w:numId w:val="27"/>
        </w:numPr>
        <w:tabs>
          <w:tab w:val="left" w:pos="392"/>
          <w:tab w:val="left" w:pos="840"/>
        </w:tabs>
        <w:spacing w:before="120" w:after="120"/>
        <w:ind w:firstLine="425"/>
      </w:pPr>
      <w:r w:rsidRPr="00CB66EB">
        <w:t>(3)</w:t>
      </w:r>
      <w:r>
        <w:t xml:space="preserve"> </w:t>
      </w:r>
      <w:r w:rsidRPr="00CB66EB">
        <w:t>Fond</w:t>
      </w:r>
      <w:r>
        <w:t xml:space="preserve"> </w:t>
      </w:r>
      <w:r w:rsidRPr="00CB66EB">
        <w:t>se</w:t>
      </w:r>
      <w:r>
        <w:t xml:space="preserve"> </w:t>
      </w:r>
      <w:r w:rsidRPr="00CB66EB">
        <w:t>nesmí</w:t>
      </w:r>
      <w:r>
        <w:t xml:space="preserve"> </w:t>
      </w:r>
      <w:r w:rsidRPr="00CB66EB">
        <w:t>účastnit</w:t>
      </w:r>
      <w:r>
        <w:t xml:space="preserve"> </w:t>
      </w:r>
      <w:r w:rsidRPr="00CB66EB">
        <w:t>na</w:t>
      </w:r>
      <w:r>
        <w:t xml:space="preserve"> </w:t>
      </w:r>
      <w:r w:rsidRPr="00CB66EB">
        <w:t>podnikání</w:t>
      </w:r>
      <w:r>
        <w:t xml:space="preserve"> </w:t>
      </w:r>
      <w:r w:rsidRPr="00CB66EB">
        <w:t>jiných</w:t>
      </w:r>
      <w:r>
        <w:t xml:space="preserve"> </w:t>
      </w:r>
      <w:r w:rsidRPr="00CB66EB">
        <w:t>osob.</w:t>
      </w:r>
    </w:p>
    <w:p w14:paraId="1959AEA9" w14:textId="77777777" w:rsidR="004648F8" w:rsidRDefault="004648F8" w:rsidP="0006588E">
      <w:pPr>
        <w:pStyle w:val="Textparagrafu"/>
        <w:numPr>
          <w:ilvl w:val="0"/>
          <w:numId w:val="27"/>
        </w:numPr>
        <w:tabs>
          <w:tab w:val="left" w:pos="392"/>
          <w:tab w:val="left" w:pos="840"/>
        </w:tabs>
        <w:spacing w:before="120" w:after="120"/>
        <w:ind w:firstLine="425"/>
      </w:pPr>
      <w:r w:rsidRPr="00CB66EB">
        <w:t>(4)</w:t>
      </w:r>
      <w:r>
        <w:t xml:space="preserve"> </w:t>
      </w:r>
      <w:r w:rsidRPr="00CB66EB">
        <w:t>Fond</w:t>
      </w:r>
    </w:p>
    <w:p w14:paraId="208E3F92" w14:textId="25C406A9" w:rsidR="004648F8" w:rsidRDefault="004648F8" w:rsidP="000A18B9">
      <w:pPr>
        <w:pStyle w:val="Textparagrafu"/>
        <w:numPr>
          <w:ilvl w:val="0"/>
          <w:numId w:val="27"/>
        </w:numPr>
        <w:tabs>
          <w:tab w:val="left" w:pos="392"/>
          <w:tab w:val="left" w:pos="840"/>
        </w:tabs>
        <w:spacing w:before="0"/>
        <w:ind w:left="426" w:hanging="426"/>
      </w:pPr>
      <w:r w:rsidRPr="00CB66EB">
        <w:t>a)</w:t>
      </w:r>
      <w:r>
        <w:tab/>
      </w:r>
      <w:r w:rsidRPr="00CB66EB">
        <w:t>podporuje</w:t>
      </w:r>
      <w:r>
        <w:t xml:space="preserve"> </w:t>
      </w:r>
      <w:r w:rsidRPr="00CB66EB">
        <w:t>marketing</w:t>
      </w:r>
      <w:r>
        <w:t xml:space="preserve"> </w:t>
      </w:r>
      <w:r w:rsidRPr="00CB66EB">
        <w:t>vína,</w:t>
      </w:r>
      <w:r>
        <w:t xml:space="preserve"> </w:t>
      </w:r>
      <w:r w:rsidRPr="00CB66EB">
        <w:t>prodej</w:t>
      </w:r>
      <w:r>
        <w:t xml:space="preserve"> </w:t>
      </w:r>
      <w:r w:rsidRPr="00CB66EB">
        <w:t>produktů</w:t>
      </w:r>
      <w:r>
        <w:t xml:space="preserve"> </w:t>
      </w:r>
      <w:r w:rsidRPr="00CB66EB">
        <w:t>a</w:t>
      </w:r>
      <w:r>
        <w:t xml:space="preserve"> </w:t>
      </w:r>
      <w:r w:rsidRPr="00CB66EB">
        <w:t>ochranu</w:t>
      </w:r>
      <w:r>
        <w:t xml:space="preserve"> </w:t>
      </w:r>
      <w:r w:rsidRPr="00CB66EB">
        <w:t>označování</w:t>
      </w:r>
      <w:r>
        <w:t xml:space="preserve"> </w:t>
      </w:r>
      <w:r w:rsidRPr="00CB66EB">
        <w:t>vína</w:t>
      </w:r>
      <w:r>
        <w:t xml:space="preserve"> </w:t>
      </w:r>
      <w:r w:rsidRPr="00CB66EB">
        <w:t>podle</w:t>
      </w:r>
      <w:r>
        <w:t xml:space="preserve"> </w:t>
      </w:r>
      <w:r w:rsidRPr="00CB66EB">
        <w:t>zeměpisného</w:t>
      </w:r>
      <w:r>
        <w:t xml:space="preserve"> </w:t>
      </w:r>
      <w:r w:rsidRPr="00CB66EB">
        <w:t>původu,</w:t>
      </w:r>
    </w:p>
    <w:p w14:paraId="0C298408" w14:textId="4B43CEFF" w:rsidR="004648F8" w:rsidRDefault="004648F8" w:rsidP="000A18B9">
      <w:pPr>
        <w:pStyle w:val="Textparagrafu"/>
        <w:numPr>
          <w:ilvl w:val="0"/>
          <w:numId w:val="27"/>
        </w:numPr>
        <w:tabs>
          <w:tab w:val="left" w:pos="392"/>
          <w:tab w:val="left" w:pos="840"/>
        </w:tabs>
        <w:spacing w:before="0"/>
        <w:ind w:left="426" w:hanging="426"/>
      </w:pPr>
      <w:r w:rsidRPr="00CB66EB">
        <w:t>b)</w:t>
      </w:r>
      <w:r>
        <w:tab/>
      </w:r>
      <w:r w:rsidRPr="00CB66EB">
        <w:t>informuje</w:t>
      </w:r>
      <w:r>
        <w:t xml:space="preserve"> </w:t>
      </w:r>
      <w:r w:rsidRPr="00CB66EB">
        <w:t>veřejnost</w:t>
      </w:r>
      <w:r>
        <w:t xml:space="preserve"> </w:t>
      </w:r>
      <w:r w:rsidRPr="00CB66EB">
        <w:t>o</w:t>
      </w:r>
      <w:r>
        <w:t xml:space="preserve"> </w:t>
      </w:r>
      <w:r w:rsidRPr="00CB66EB">
        <w:t>vinohradnictví</w:t>
      </w:r>
      <w:r>
        <w:t xml:space="preserve"> </w:t>
      </w:r>
      <w:r w:rsidRPr="00CB66EB">
        <w:t>a</w:t>
      </w:r>
      <w:r>
        <w:t xml:space="preserve"> </w:t>
      </w:r>
      <w:r w:rsidRPr="00CB66EB">
        <w:t>vinařství</w:t>
      </w:r>
      <w:r>
        <w:t xml:space="preserve"> </w:t>
      </w:r>
      <w:r w:rsidRPr="00CB66EB">
        <w:t>a</w:t>
      </w:r>
      <w:r>
        <w:t xml:space="preserve"> </w:t>
      </w:r>
      <w:r w:rsidRPr="00CB66EB">
        <w:t>o</w:t>
      </w:r>
      <w:r>
        <w:t xml:space="preserve"> </w:t>
      </w:r>
      <w:r w:rsidRPr="00CB66EB">
        <w:t>dalších</w:t>
      </w:r>
      <w:r>
        <w:t xml:space="preserve"> </w:t>
      </w:r>
      <w:r w:rsidRPr="00CB66EB">
        <w:t>významných</w:t>
      </w:r>
      <w:r>
        <w:t xml:space="preserve"> </w:t>
      </w:r>
      <w:r w:rsidRPr="00CB66EB">
        <w:t>skutečnostech</w:t>
      </w:r>
      <w:r>
        <w:t xml:space="preserve"> </w:t>
      </w:r>
      <w:r w:rsidRPr="00CB66EB">
        <w:t>souvisejících</w:t>
      </w:r>
      <w:r>
        <w:t xml:space="preserve"> </w:t>
      </w:r>
      <w:r w:rsidRPr="00CB66EB">
        <w:t>s</w:t>
      </w:r>
      <w:r>
        <w:t xml:space="preserve"> </w:t>
      </w:r>
      <w:r w:rsidRPr="00CB66EB">
        <w:t>vinohradnictvím</w:t>
      </w:r>
      <w:r>
        <w:t xml:space="preserve"> </w:t>
      </w:r>
      <w:r w:rsidRPr="00CB66EB">
        <w:t>a</w:t>
      </w:r>
      <w:r>
        <w:t xml:space="preserve"> </w:t>
      </w:r>
      <w:r w:rsidRPr="00CB66EB">
        <w:t>vinařstvím,</w:t>
      </w:r>
    </w:p>
    <w:p w14:paraId="2FBADF07" w14:textId="4891CC89" w:rsidR="004648F8" w:rsidRDefault="004648F8" w:rsidP="000A18B9">
      <w:pPr>
        <w:pStyle w:val="Textparagrafu"/>
        <w:numPr>
          <w:ilvl w:val="0"/>
          <w:numId w:val="27"/>
        </w:numPr>
        <w:tabs>
          <w:tab w:val="left" w:pos="392"/>
          <w:tab w:val="left" w:pos="840"/>
        </w:tabs>
        <w:spacing w:before="0"/>
        <w:ind w:left="426" w:hanging="426"/>
      </w:pPr>
      <w:r w:rsidRPr="00CB66EB">
        <w:t>c)</w:t>
      </w:r>
      <w:r>
        <w:tab/>
      </w:r>
      <w:r w:rsidRPr="00CB66EB">
        <w:t>podporuje</w:t>
      </w:r>
      <w:r>
        <w:t xml:space="preserve"> </w:t>
      </w:r>
      <w:r w:rsidRPr="00CB66EB">
        <w:t>uchovávání</w:t>
      </w:r>
      <w:r>
        <w:t xml:space="preserve"> </w:t>
      </w:r>
      <w:r w:rsidRPr="00CB66EB">
        <w:t>a</w:t>
      </w:r>
      <w:r>
        <w:t xml:space="preserve"> </w:t>
      </w:r>
      <w:r w:rsidRPr="00CB66EB">
        <w:t>rozvoj</w:t>
      </w:r>
      <w:r>
        <w:t xml:space="preserve"> </w:t>
      </w:r>
      <w:r w:rsidRPr="00CB66EB">
        <w:t>vinohradnictví</w:t>
      </w:r>
      <w:r>
        <w:t xml:space="preserve"> </w:t>
      </w:r>
      <w:r w:rsidRPr="00CB66EB">
        <w:t>a</w:t>
      </w:r>
      <w:r>
        <w:t xml:space="preserve"> </w:t>
      </w:r>
      <w:r w:rsidRPr="00CB66EB">
        <w:t>vinařství</w:t>
      </w:r>
      <w:r>
        <w:t xml:space="preserve"> </w:t>
      </w:r>
      <w:r w:rsidRPr="00CB66EB">
        <w:t>jako</w:t>
      </w:r>
      <w:r>
        <w:t xml:space="preserve"> </w:t>
      </w:r>
      <w:r w:rsidRPr="00CB66EB">
        <w:t>významné</w:t>
      </w:r>
      <w:r>
        <w:t xml:space="preserve"> </w:t>
      </w:r>
      <w:r w:rsidRPr="00CB66EB">
        <w:t>součásti</w:t>
      </w:r>
      <w:r>
        <w:t xml:space="preserve"> </w:t>
      </w:r>
      <w:r w:rsidRPr="00CB66EB">
        <w:t>evropského</w:t>
      </w:r>
      <w:r>
        <w:t xml:space="preserve"> </w:t>
      </w:r>
      <w:r w:rsidRPr="00CB66EB">
        <w:t>kulturního</w:t>
      </w:r>
      <w:r>
        <w:t xml:space="preserve"> </w:t>
      </w:r>
      <w:r w:rsidRPr="00CB66EB">
        <w:t>dědictví,</w:t>
      </w:r>
      <w:r>
        <w:t xml:space="preserve"> </w:t>
      </w:r>
      <w:r w:rsidRPr="00CB66EB">
        <w:t>dále</w:t>
      </w:r>
      <w:r>
        <w:t xml:space="preserve"> </w:t>
      </w:r>
      <w:r w:rsidRPr="00CB66EB">
        <w:t>podporuje</w:t>
      </w:r>
      <w:r>
        <w:t xml:space="preserve"> </w:t>
      </w:r>
      <w:r w:rsidRPr="00CB66EB">
        <w:t>rozvoj</w:t>
      </w:r>
      <w:r>
        <w:t xml:space="preserve"> </w:t>
      </w:r>
      <w:r w:rsidRPr="00CB66EB">
        <w:t>turistiky</w:t>
      </w:r>
      <w:r>
        <w:t xml:space="preserve"> </w:t>
      </w:r>
      <w:r w:rsidRPr="00CB66EB">
        <w:t>v</w:t>
      </w:r>
      <w:r>
        <w:t xml:space="preserve"> </w:t>
      </w:r>
      <w:r w:rsidRPr="00CB66EB">
        <w:t>oblasti</w:t>
      </w:r>
      <w:r>
        <w:t xml:space="preserve"> </w:t>
      </w:r>
      <w:r w:rsidRPr="00CB66EB">
        <w:t>vinohradnictví</w:t>
      </w:r>
      <w:r>
        <w:t xml:space="preserve"> </w:t>
      </w:r>
      <w:r w:rsidRPr="00CB66EB">
        <w:t>a</w:t>
      </w:r>
      <w:r>
        <w:t xml:space="preserve"> </w:t>
      </w:r>
      <w:r w:rsidRPr="00CB66EB">
        <w:t>vinařství.</w:t>
      </w:r>
    </w:p>
    <w:p w14:paraId="2F0AEB42" w14:textId="77777777" w:rsidR="004648F8" w:rsidRDefault="004648F8" w:rsidP="0006588E">
      <w:pPr>
        <w:pStyle w:val="Textparagrafu"/>
        <w:numPr>
          <w:ilvl w:val="0"/>
          <w:numId w:val="27"/>
        </w:numPr>
        <w:tabs>
          <w:tab w:val="left" w:pos="392"/>
          <w:tab w:val="left" w:pos="840"/>
        </w:tabs>
        <w:spacing w:before="120" w:after="120"/>
        <w:ind w:firstLine="425"/>
      </w:pPr>
      <w:r w:rsidRPr="00CB66EB">
        <w:t>(5)</w:t>
      </w:r>
      <w:r>
        <w:t xml:space="preserve"> </w:t>
      </w:r>
      <w:r w:rsidRPr="00CB66EB">
        <w:t>Fond</w:t>
      </w:r>
      <w:r>
        <w:t xml:space="preserve"> </w:t>
      </w:r>
      <w:r w:rsidRPr="00CB66EB">
        <w:t>poskytuje</w:t>
      </w:r>
      <w:r>
        <w:t xml:space="preserve"> </w:t>
      </w:r>
      <w:r w:rsidRPr="00CB66EB">
        <w:t>podpory</w:t>
      </w:r>
      <w:r>
        <w:t xml:space="preserve"> </w:t>
      </w:r>
      <w:r w:rsidRPr="00CB66EB">
        <w:t>na</w:t>
      </w:r>
      <w:r>
        <w:t xml:space="preserve"> </w:t>
      </w:r>
      <w:r w:rsidRPr="00CB66EB">
        <w:t>činnosti</w:t>
      </w:r>
      <w:r>
        <w:t xml:space="preserve"> </w:t>
      </w:r>
      <w:r w:rsidRPr="00CB66EB">
        <w:t>uvedené</w:t>
      </w:r>
      <w:r>
        <w:t xml:space="preserve"> </w:t>
      </w:r>
      <w:r w:rsidRPr="00CB66EB">
        <w:t>v</w:t>
      </w:r>
      <w:r>
        <w:t xml:space="preserve"> </w:t>
      </w:r>
      <w:r w:rsidRPr="00CB66EB">
        <w:t>odstavci</w:t>
      </w:r>
      <w:r>
        <w:t xml:space="preserve"> </w:t>
      </w:r>
      <w:r w:rsidRPr="00CB66EB">
        <w:t>4</w:t>
      </w:r>
      <w:r>
        <w:t xml:space="preserve"> </w:t>
      </w:r>
      <w:r w:rsidRPr="00CB66EB">
        <w:t>fyzickým</w:t>
      </w:r>
      <w:r>
        <w:t xml:space="preserve"> </w:t>
      </w:r>
      <w:r w:rsidRPr="00CB66EB">
        <w:t>a</w:t>
      </w:r>
      <w:r>
        <w:t xml:space="preserve"> </w:t>
      </w:r>
      <w:r w:rsidRPr="00CB66EB">
        <w:t>právnickým</w:t>
      </w:r>
      <w:r>
        <w:t xml:space="preserve"> </w:t>
      </w:r>
      <w:r w:rsidRPr="00CB66EB">
        <w:t>osobám</w:t>
      </w:r>
      <w:r>
        <w:t xml:space="preserve"> </w:t>
      </w:r>
      <w:r w:rsidRPr="00CB66EB">
        <w:t>žádajícím</w:t>
      </w:r>
      <w:r>
        <w:t xml:space="preserve"> </w:t>
      </w:r>
      <w:r w:rsidRPr="00CB66EB">
        <w:t>o</w:t>
      </w:r>
      <w:r>
        <w:t xml:space="preserve"> </w:t>
      </w:r>
      <w:r w:rsidRPr="00CB66EB">
        <w:t>podporu</w:t>
      </w:r>
      <w:r>
        <w:t xml:space="preserve"> </w:t>
      </w:r>
      <w:r w:rsidRPr="00CB66EB">
        <w:t>(dále</w:t>
      </w:r>
      <w:r>
        <w:t xml:space="preserve"> </w:t>
      </w:r>
      <w:r w:rsidRPr="00CB66EB">
        <w:t>jen</w:t>
      </w:r>
      <w:r>
        <w:t xml:space="preserve"> </w:t>
      </w:r>
      <w:r w:rsidRPr="00CB66EB">
        <w:t>"žadatel").</w:t>
      </w:r>
    </w:p>
    <w:p w14:paraId="50F0030A" w14:textId="77777777" w:rsidR="004648F8" w:rsidRDefault="004648F8" w:rsidP="0006588E">
      <w:pPr>
        <w:pStyle w:val="Textparagrafu"/>
        <w:numPr>
          <w:ilvl w:val="0"/>
          <w:numId w:val="27"/>
        </w:numPr>
        <w:tabs>
          <w:tab w:val="left" w:pos="392"/>
          <w:tab w:val="left" w:pos="840"/>
        </w:tabs>
        <w:spacing w:before="120" w:after="120"/>
        <w:ind w:firstLine="425"/>
      </w:pPr>
      <w:r w:rsidRPr="00CB66EB">
        <w:t>(6)</w:t>
      </w:r>
      <w:r>
        <w:t xml:space="preserve"> </w:t>
      </w:r>
      <w:r w:rsidRPr="00CB66EB">
        <w:t>Orgány</w:t>
      </w:r>
      <w:r>
        <w:t xml:space="preserve"> </w:t>
      </w:r>
      <w:r w:rsidRPr="00CB66EB">
        <w:t>Fondu</w:t>
      </w:r>
      <w:r>
        <w:t xml:space="preserve"> </w:t>
      </w:r>
      <w:r w:rsidRPr="00CB66EB">
        <w:t>jsou</w:t>
      </w:r>
      <w:r>
        <w:t xml:space="preserve"> </w:t>
      </w:r>
      <w:r w:rsidRPr="00CB66EB">
        <w:t>Rada</w:t>
      </w:r>
      <w:r>
        <w:t xml:space="preserve"> </w:t>
      </w:r>
      <w:r w:rsidRPr="00CB66EB">
        <w:t>Fondu</w:t>
      </w:r>
      <w:r>
        <w:t xml:space="preserve"> </w:t>
      </w:r>
      <w:r w:rsidRPr="00CB66EB">
        <w:t>(dále</w:t>
      </w:r>
      <w:r>
        <w:t xml:space="preserve"> </w:t>
      </w:r>
      <w:r w:rsidRPr="00CB66EB">
        <w:t>jen</w:t>
      </w:r>
      <w:r>
        <w:t xml:space="preserve"> </w:t>
      </w:r>
      <w:r w:rsidRPr="00CB66EB">
        <w:t>"Rada"),</w:t>
      </w:r>
      <w:r>
        <w:t xml:space="preserve"> </w:t>
      </w:r>
      <w:r w:rsidRPr="00CB66EB">
        <w:t>ředitel</w:t>
      </w:r>
      <w:r>
        <w:t xml:space="preserve"> </w:t>
      </w:r>
      <w:r w:rsidRPr="00CB66EB">
        <w:t>Fondu</w:t>
      </w:r>
      <w:r>
        <w:t xml:space="preserve"> </w:t>
      </w:r>
      <w:r w:rsidRPr="00CB66EB">
        <w:t>(dále</w:t>
      </w:r>
      <w:r>
        <w:t xml:space="preserve"> </w:t>
      </w:r>
      <w:r w:rsidRPr="00CB66EB">
        <w:t>jen</w:t>
      </w:r>
      <w:r>
        <w:t xml:space="preserve"> </w:t>
      </w:r>
      <w:r w:rsidRPr="00CB66EB">
        <w:t>"ředitel")</w:t>
      </w:r>
      <w:r>
        <w:t xml:space="preserve"> </w:t>
      </w:r>
      <w:r w:rsidRPr="00CB66EB">
        <w:t>a</w:t>
      </w:r>
      <w:r>
        <w:t xml:space="preserve"> </w:t>
      </w:r>
      <w:r w:rsidRPr="00CB66EB">
        <w:t>Dozorčí</w:t>
      </w:r>
      <w:r>
        <w:t xml:space="preserve"> </w:t>
      </w:r>
      <w:r w:rsidRPr="00CB66EB">
        <w:t>rada</w:t>
      </w:r>
      <w:r>
        <w:t xml:space="preserve"> </w:t>
      </w:r>
      <w:r w:rsidRPr="00CB66EB">
        <w:t>Fondu</w:t>
      </w:r>
      <w:r>
        <w:t xml:space="preserve"> </w:t>
      </w:r>
      <w:r w:rsidRPr="00CB66EB">
        <w:t>(dále</w:t>
      </w:r>
      <w:r>
        <w:t xml:space="preserve"> </w:t>
      </w:r>
      <w:r w:rsidRPr="00CB66EB">
        <w:t>jen</w:t>
      </w:r>
      <w:r>
        <w:t xml:space="preserve"> </w:t>
      </w:r>
      <w:r w:rsidRPr="00CB66EB">
        <w:t>"Dozorčí</w:t>
      </w:r>
      <w:r>
        <w:t xml:space="preserve"> </w:t>
      </w:r>
      <w:r w:rsidRPr="00CB66EB">
        <w:t>rada").</w:t>
      </w:r>
      <w:r>
        <w:t xml:space="preserve"> </w:t>
      </w:r>
      <w:r w:rsidRPr="00CB66EB">
        <w:t>Veřejnou</w:t>
      </w:r>
      <w:r>
        <w:t xml:space="preserve"> </w:t>
      </w:r>
      <w:r w:rsidRPr="00CB66EB">
        <w:t>správu</w:t>
      </w:r>
      <w:r>
        <w:t xml:space="preserve"> </w:t>
      </w:r>
      <w:r w:rsidRPr="00CB66EB">
        <w:t>vykonává</w:t>
      </w:r>
      <w:r>
        <w:t xml:space="preserve"> </w:t>
      </w:r>
      <w:r w:rsidRPr="00CB66EB">
        <w:t>Rada,</w:t>
      </w:r>
      <w:r>
        <w:t xml:space="preserve"> </w:t>
      </w:r>
      <w:r w:rsidRPr="00CB66EB">
        <w:t>její</w:t>
      </w:r>
      <w:r>
        <w:t xml:space="preserve"> </w:t>
      </w:r>
      <w:r w:rsidRPr="00CB66EB">
        <w:t>předseda</w:t>
      </w:r>
      <w:r>
        <w:t xml:space="preserve"> </w:t>
      </w:r>
      <w:r w:rsidRPr="00CB66EB">
        <w:t>a</w:t>
      </w:r>
      <w:r>
        <w:t xml:space="preserve"> </w:t>
      </w:r>
      <w:r w:rsidRPr="00CB66EB">
        <w:t>ředitel.</w:t>
      </w:r>
      <w:r>
        <w:t xml:space="preserve"> </w:t>
      </w:r>
      <w:r w:rsidRPr="00CB66EB">
        <w:t>Mimo</w:t>
      </w:r>
      <w:r>
        <w:t xml:space="preserve"> </w:t>
      </w:r>
      <w:r w:rsidRPr="00CB66EB">
        <w:t>obnovu</w:t>
      </w:r>
      <w:r>
        <w:t xml:space="preserve"> </w:t>
      </w:r>
      <w:r w:rsidRPr="00CB66EB">
        <w:t>řízení</w:t>
      </w:r>
      <w:r>
        <w:t xml:space="preserve"> </w:t>
      </w:r>
      <w:r w:rsidRPr="00CB66EB">
        <w:t>o</w:t>
      </w:r>
      <w:r>
        <w:t xml:space="preserve"> </w:t>
      </w:r>
      <w:r w:rsidRPr="00CB66EB">
        <w:t>opravných</w:t>
      </w:r>
      <w:r>
        <w:t xml:space="preserve"> </w:t>
      </w:r>
      <w:r w:rsidRPr="00CB66EB">
        <w:t>prostředcích</w:t>
      </w:r>
      <w:r>
        <w:t xml:space="preserve"> </w:t>
      </w:r>
      <w:r w:rsidRPr="00CB66EB">
        <w:t>podle</w:t>
      </w:r>
      <w:r>
        <w:t xml:space="preserve"> </w:t>
      </w:r>
      <w:r w:rsidRPr="00CB66EB">
        <w:t>zvláštních</w:t>
      </w:r>
      <w:r>
        <w:t xml:space="preserve"> </w:t>
      </w:r>
      <w:r w:rsidRPr="00CB66EB">
        <w:t>zákonů</w:t>
      </w:r>
      <w:r>
        <w:t xml:space="preserve"> </w:t>
      </w:r>
      <w:r w:rsidRPr="00CB66EB">
        <w:t>rozhoduje</w:t>
      </w:r>
      <w:r>
        <w:t xml:space="preserve"> </w:t>
      </w:r>
      <w:r w:rsidRPr="00CB66EB">
        <w:t>předseda</w:t>
      </w:r>
      <w:r>
        <w:t xml:space="preserve"> </w:t>
      </w:r>
      <w:r w:rsidRPr="00CB66EB">
        <w:t>Rady,</w:t>
      </w:r>
      <w:r>
        <w:t xml:space="preserve"> </w:t>
      </w:r>
      <w:r w:rsidRPr="00CB66EB">
        <w:t>na</w:t>
      </w:r>
      <w:r>
        <w:t xml:space="preserve"> </w:t>
      </w:r>
      <w:r w:rsidRPr="00CB66EB">
        <w:t>jeho</w:t>
      </w:r>
      <w:r>
        <w:t xml:space="preserve"> </w:t>
      </w:r>
      <w:r w:rsidRPr="00CB66EB">
        <w:t>rozhodování</w:t>
      </w:r>
      <w:r>
        <w:t xml:space="preserve"> </w:t>
      </w:r>
      <w:r w:rsidRPr="00CB66EB">
        <w:t>se</w:t>
      </w:r>
      <w:r>
        <w:t xml:space="preserve"> </w:t>
      </w:r>
      <w:r w:rsidRPr="00CB66EB">
        <w:t>přiměřeně</w:t>
      </w:r>
      <w:r>
        <w:t xml:space="preserve"> </w:t>
      </w:r>
      <w:r w:rsidRPr="00CB66EB">
        <w:t>použijí</w:t>
      </w:r>
      <w:r>
        <w:t xml:space="preserve"> </w:t>
      </w:r>
      <w:r w:rsidRPr="00CB66EB">
        <w:t>ustanovení</w:t>
      </w:r>
      <w:r>
        <w:t xml:space="preserve"> </w:t>
      </w:r>
      <w:r w:rsidRPr="00CB66EB">
        <w:t>o</w:t>
      </w:r>
      <w:r>
        <w:t xml:space="preserve"> </w:t>
      </w:r>
      <w:r w:rsidRPr="00CB66EB">
        <w:t>vedoucím</w:t>
      </w:r>
      <w:r>
        <w:t xml:space="preserve"> </w:t>
      </w:r>
      <w:r w:rsidRPr="00CB66EB">
        <w:t>ústředního</w:t>
      </w:r>
      <w:r>
        <w:t xml:space="preserve"> </w:t>
      </w:r>
      <w:r w:rsidRPr="00CB66EB">
        <w:t>správního</w:t>
      </w:r>
      <w:r>
        <w:t xml:space="preserve"> </w:t>
      </w:r>
      <w:r w:rsidRPr="00CB66EB">
        <w:t>úřadu.</w:t>
      </w:r>
    </w:p>
    <w:p w14:paraId="22B17C16" w14:textId="77777777" w:rsidR="004648F8" w:rsidRDefault="004648F8" w:rsidP="0006588E">
      <w:pPr>
        <w:pStyle w:val="Textparagrafu"/>
        <w:numPr>
          <w:ilvl w:val="0"/>
          <w:numId w:val="27"/>
        </w:numPr>
        <w:tabs>
          <w:tab w:val="left" w:pos="392"/>
          <w:tab w:val="left" w:pos="840"/>
        </w:tabs>
        <w:spacing w:before="120" w:after="120"/>
        <w:ind w:firstLine="425"/>
      </w:pPr>
      <w:r w:rsidRPr="00CB66EB">
        <w:t>(7)</w:t>
      </w:r>
      <w:r>
        <w:t xml:space="preserve"> </w:t>
      </w:r>
      <w:r w:rsidRPr="00CB66EB">
        <w:t>Členem</w:t>
      </w:r>
      <w:r>
        <w:t xml:space="preserve"> </w:t>
      </w:r>
      <w:r w:rsidRPr="00CB66EB">
        <w:t>orgánu</w:t>
      </w:r>
      <w:r>
        <w:t xml:space="preserve"> </w:t>
      </w:r>
      <w:r w:rsidRPr="00CB66EB">
        <w:t>Fondu</w:t>
      </w:r>
      <w:r>
        <w:t xml:space="preserve"> </w:t>
      </w:r>
      <w:r w:rsidRPr="00CB66EB">
        <w:t>může</w:t>
      </w:r>
      <w:r>
        <w:t xml:space="preserve"> </w:t>
      </w:r>
      <w:r w:rsidRPr="00CB66EB">
        <w:t>být</w:t>
      </w:r>
      <w:r>
        <w:t xml:space="preserve"> </w:t>
      </w:r>
      <w:r w:rsidRPr="00CB66EB">
        <w:t>jen</w:t>
      </w:r>
      <w:r>
        <w:t xml:space="preserve"> </w:t>
      </w:r>
      <w:r w:rsidRPr="00CB66EB">
        <w:t>fyzická</w:t>
      </w:r>
      <w:r>
        <w:t xml:space="preserve"> </w:t>
      </w:r>
      <w:r w:rsidRPr="00CB66EB">
        <w:t>osoba,</w:t>
      </w:r>
      <w:r>
        <w:t xml:space="preserve"> </w:t>
      </w:r>
      <w:r w:rsidRPr="00CB66EB">
        <w:t>která</w:t>
      </w:r>
      <w:r>
        <w:t xml:space="preserve"> </w:t>
      </w:r>
      <w:r w:rsidRPr="00CB66EB">
        <w:t>je</w:t>
      </w:r>
      <w:r>
        <w:t xml:space="preserve"> </w:t>
      </w:r>
      <w:r w:rsidRPr="00CB66EB">
        <w:t>bezúhonná</w:t>
      </w:r>
      <w:r>
        <w:t xml:space="preserve"> </w:t>
      </w:r>
      <w:r w:rsidRPr="00CB66EB">
        <w:t>a</w:t>
      </w:r>
      <w:r>
        <w:t xml:space="preserve"> </w:t>
      </w:r>
      <w:r w:rsidRPr="00CB66EB">
        <w:t>má</w:t>
      </w:r>
      <w:r>
        <w:t xml:space="preserve"> </w:t>
      </w:r>
      <w:r w:rsidRPr="00CB66EB">
        <w:t>plnou</w:t>
      </w:r>
      <w:r>
        <w:t xml:space="preserve"> </w:t>
      </w:r>
      <w:r w:rsidRPr="00CB66EB">
        <w:t>způsobilost</w:t>
      </w:r>
      <w:r>
        <w:t xml:space="preserve"> </w:t>
      </w:r>
      <w:r w:rsidRPr="00CB66EB">
        <w:t>k</w:t>
      </w:r>
      <w:r>
        <w:t xml:space="preserve"> </w:t>
      </w:r>
      <w:r w:rsidRPr="00CB66EB">
        <w:t>právním</w:t>
      </w:r>
      <w:r>
        <w:t xml:space="preserve"> </w:t>
      </w:r>
      <w:r w:rsidRPr="00CB66EB">
        <w:t>úkonům.</w:t>
      </w:r>
      <w:r>
        <w:t xml:space="preserve"> </w:t>
      </w:r>
      <w:r w:rsidRPr="00CB66EB">
        <w:t>Za</w:t>
      </w:r>
      <w:r>
        <w:t xml:space="preserve"> </w:t>
      </w:r>
      <w:r w:rsidRPr="00CB66EB">
        <w:t>bezúhonného</w:t>
      </w:r>
      <w:r>
        <w:t xml:space="preserve"> </w:t>
      </w:r>
      <w:r w:rsidRPr="00CB66EB">
        <w:t>se</w:t>
      </w:r>
      <w:r>
        <w:t xml:space="preserve"> </w:t>
      </w:r>
      <w:r w:rsidRPr="00CB66EB">
        <w:t>pro</w:t>
      </w:r>
      <w:r>
        <w:t xml:space="preserve"> </w:t>
      </w:r>
      <w:r w:rsidRPr="00CB66EB">
        <w:t>účely</w:t>
      </w:r>
      <w:r>
        <w:t xml:space="preserve"> </w:t>
      </w:r>
      <w:r w:rsidRPr="00CB66EB">
        <w:t>tohoto</w:t>
      </w:r>
      <w:r>
        <w:t xml:space="preserve"> </w:t>
      </w:r>
      <w:r w:rsidRPr="00CB66EB">
        <w:t>zákona</w:t>
      </w:r>
      <w:r>
        <w:t xml:space="preserve"> </w:t>
      </w:r>
      <w:r w:rsidRPr="00CB66EB">
        <w:t>považuje</w:t>
      </w:r>
      <w:r>
        <w:t xml:space="preserve"> </w:t>
      </w:r>
      <w:r w:rsidRPr="00CB66EB">
        <w:t>ten,</w:t>
      </w:r>
      <w:r>
        <w:t xml:space="preserve"> </w:t>
      </w:r>
      <w:r w:rsidRPr="00CB66EB">
        <w:t>kdo</w:t>
      </w:r>
      <w:r>
        <w:t xml:space="preserve"> </w:t>
      </w:r>
      <w:r w:rsidRPr="00CB66EB">
        <w:t>nebyl</w:t>
      </w:r>
      <w:r>
        <w:t xml:space="preserve"> </w:t>
      </w:r>
      <w:r w:rsidRPr="00CB66EB">
        <w:t>pravomocně</w:t>
      </w:r>
      <w:r>
        <w:t xml:space="preserve"> </w:t>
      </w:r>
      <w:r w:rsidRPr="00CB66EB">
        <w:t>odsouzen</w:t>
      </w:r>
      <w:r>
        <w:t xml:space="preserve"> </w:t>
      </w:r>
      <w:r w:rsidRPr="00CB66EB">
        <w:t>za</w:t>
      </w:r>
      <w:r>
        <w:t xml:space="preserve"> </w:t>
      </w:r>
      <w:r w:rsidRPr="00CB66EB">
        <w:t>úmyslný</w:t>
      </w:r>
      <w:r>
        <w:t xml:space="preserve"> </w:t>
      </w:r>
      <w:r w:rsidRPr="00CB66EB">
        <w:t>trestný</w:t>
      </w:r>
      <w:r>
        <w:t xml:space="preserve"> </w:t>
      </w:r>
      <w:r w:rsidRPr="00CB66EB">
        <w:t>čin</w:t>
      </w:r>
      <w:r>
        <w:t xml:space="preserve"> </w:t>
      </w:r>
      <w:r w:rsidRPr="00CB66EB">
        <w:t>nebo</w:t>
      </w:r>
      <w:r>
        <w:t xml:space="preserve"> </w:t>
      </w:r>
      <w:r w:rsidRPr="00CB66EB">
        <w:t>se</w:t>
      </w:r>
      <w:r>
        <w:t xml:space="preserve"> </w:t>
      </w:r>
      <w:r w:rsidRPr="00CB66EB">
        <w:t>na</w:t>
      </w:r>
      <w:r>
        <w:t xml:space="preserve"> </w:t>
      </w:r>
      <w:r w:rsidRPr="00CB66EB">
        <w:t>něj</w:t>
      </w:r>
      <w:r>
        <w:t xml:space="preserve"> </w:t>
      </w:r>
      <w:r w:rsidRPr="00CB66EB">
        <w:t>hledí,</w:t>
      </w:r>
      <w:r>
        <w:t xml:space="preserve"> </w:t>
      </w:r>
      <w:r w:rsidRPr="00CB66EB">
        <w:t>jako</w:t>
      </w:r>
      <w:r>
        <w:t xml:space="preserve"> </w:t>
      </w:r>
      <w:r w:rsidRPr="00CB66EB">
        <w:t>by</w:t>
      </w:r>
      <w:r>
        <w:t xml:space="preserve"> </w:t>
      </w:r>
      <w:r w:rsidRPr="00CB66EB">
        <w:t>nebyl</w:t>
      </w:r>
      <w:r>
        <w:t xml:space="preserve"> </w:t>
      </w:r>
      <w:r w:rsidRPr="00CB66EB">
        <w:t>odsouzen.</w:t>
      </w:r>
      <w:r>
        <w:t xml:space="preserve"> </w:t>
      </w:r>
      <w:r w:rsidRPr="00CB66EB">
        <w:t>Členem</w:t>
      </w:r>
      <w:r>
        <w:t xml:space="preserve"> </w:t>
      </w:r>
      <w:r w:rsidRPr="00CB66EB">
        <w:t>orgánu</w:t>
      </w:r>
      <w:r>
        <w:t xml:space="preserve"> </w:t>
      </w:r>
      <w:r w:rsidRPr="00CB66EB">
        <w:t>Fondu</w:t>
      </w:r>
      <w:r>
        <w:t xml:space="preserve"> </w:t>
      </w:r>
      <w:r w:rsidRPr="00CB66EB">
        <w:t>nemůže</w:t>
      </w:r>
      <w:r>
        <w:t xml:space="preserve"> </w:t>
      </w:r>
      <w:r w:rsidRPr="00CB66EB">
        <w:t>být</w:t>
      </w:r>
      <w:r>
        <w:t xml:space="preserve"> </w:t>
      </w:r>
      <w:r w:rsidRPr="00CB66EB">
        <w:t>jeho</w:t>
      </w:r>
      <w:r>
        <w:t xml:space="preserve"> </w:t>
      </w:r>
      <w:r w:rsidRPr="00CB66EB">
        <w:t>zaměstnanec,</w:t>
      </w:r>
      <w:r>
        <w:t xml:space="preserve"> </w:t>
      </w:r>
      <w:r w:rsidRPr="00CB66EB">
        <w:t>pokud</w:t>
      </w:r>
      <w:r>
        <w:t xml:space="preserve"> </w:t>
      </w:r>
      <w:r w:rsidRPr="00CB66EB">
        <w:t>tento</w:t>
      </w:r>
      <w:r>
        <w:t xml:space="preserve"> </w:t>
      </w:r>
      <w:r w:rsidRPr="00CB66EB">
        <w:t>zákon</w:t>
      </w:r>
      <w:r>
        <w:t xml:space="preserve"> </w:t>
      </w:r>
      <w:r w:rsidRPr="00CB66EB">
        <w:t>dále</w:t>
      </w:r>
      <w:r>
        <w:t xml:space="preserve"> </w:t>
      </w:r>
      <w:r w:rsidRPr="00CB66EB">
        <w:t>nestanoví</w:t>
      </w:r>
      <w:r>
        <w:t xml:space="preserve"> </w:t>
      </w:r>
      <w:r w:rsidRPr="00CB66EB">
        <w:t>jinak.</w:t>
      </w:r>
    </w:p>
    <w:p w14:paraId="0DF22F96" w14:textId="43415987" w:rsidR="004648F8" w:rsidRDefault="004648F8" w:rsidP="0006588E">
      <w:pPr>
        <w:pStyle w:val="Textparagrafu"/>
        <w:numPr>
          <w:ilvl w:val="0"/>
          <w:numId w:val="27"/>
        </w:numPr>
        <w:tabs>
          <w:tab w:val="left" w:pos="392"/>
          <w:tab w:val="left" w:pos="840"/>
        </w:tabs>
        <w:spacing w:before="120" w:after="120"/>
        <w:ind w:firstLine="425"/>
      </w:pPr>
      <w:r w:rsidRPr="00CB66EB">
        <w:t>(8)</w:t>
      </w:r>
      <w:r>
        <w:t xml:space="preserve"> </w:t>
      </w:r>
      <w:r w:rsidRPr="00CB66EB">
        <w:t>Fond</w:t>
      </w:r>
      <w:r>
        <w:t xml:space="preserve"> </w:t>
      </w:r>
      <w:r w:rsidRPr="00CB66EB">
        <w:t>vypracovává</w:t>
      </w:r>
      <w:r>
        <w:t xml:space="preserve"> </w:t>
      </w:r>
      <w:r w:rsidRPr="00CB66EB">
        <w:t>výroční</w:t>
      </w:r>
      <w:r>
        <w:t xml:space="preserve"> </w:t>
      </w:r>
      <w:r w:rsidRPr="00CB66EB">
        <w:t>zprávu,</w:t>
      </w:r>
      <w:r>
        <w:t xml:space="preserve"> </w:t>
      </w:r>
      <w:r w:rsidRPr="00CB66EB">
        <w:t>kterou</w:t>
      </w:r>
      <w:r>
        <w:t xml:space="preserve"> </w:t>
      </w:r>
      <w:r w:rsidRPr="00CB66EB">
        <w:t>předkládá</w:t>
      </w:r>
      <w:r>
        <w:t xml:space="preserve"> </w:t>
      </w:r>
      <w:r w:rsidRPr="00CB66EB">
        <w:t>Radě</w:t>
      </w:r>
      <w:r>
        <w:t xml:space="preserve"> </w:t>
      </w:r>
      <w:r w:rsidRPr="00CB66EB">
        <w:t>[§</w:t>
      </w:r>
      <w:r>
        <w:t xml:space="preserve"> </w:t>
      </w:r>
      <w:r w:rsidRPr="00CB66EB">
        <w:t>32</w:t>
      </w:r>
      <w:r>
        <w:t xml:space="preserve"> </w:t>
      </w:r>
      <w:r w:rsidRPr="00CB66EB">
        <w:t>odst.</w:t>
      </w:r>
      <w:r>
        <w:t xml:space="preserve"> </w:t>
      </w:r>
      <w:r w:rsidRPr="00CB66EB">
        <w:t>8</w:t>
      </w:r>
      <w:r>
        <w:t xml:space="preserve"> </w:t>
      </w:r>
      <w:r w:rsidRPr="00CB66EB">
        <w:t>písm.</w:t>
      </w:r>
      <w:r>
        <w:t xml:space="preserve"> </w:t>
      </w:r>
      <w:r w:rsidRPr="00CB66EB">
        <w:t>g)]</w:t>
      </w:r>
      <w:r>
        <w:t xml:space="preserve"> </w:t>
      </w:r>
      <w:r w:rsidRPr="00CB66EB">
        <w:t>a</w:t>
      </w:r>
      <w:r>
        <w:t xml:space="preserve"> </w:t>
      </w:r>
      <w:r w:rsidRPr="00CB66EB">
        <w:t>Dozorčí</w:t>
      </w:r>
      <w:r>
        <w:t xml:space="preserve"> </w:t>
      </w:r>
      <w:r w:rsidRPr="00CB66EB">
        <w:t>radě</w:t>
      </w:r>
      <w:r>
        <w:t xml:space="preserve"> </w:t>
      </w:r>
      <w:r w:rsidRPr="00CB66EB">
        <w:t>[§</w:t>
      </w:r>
      <w:r>
        <w:t xml:space="preserve"> </w:t>
      </w:r>
      <w:r w:rsidRPr="00CB66EB">
        <w:t>34</w:t>
      </w:r>
      <w:r>
        <w:t xml:space="preserve"> </w:t>
      </w:r>
      <w:r w:rsidRPr="00CB66EB">
        <w:t>odst.</w:t>
      </w:r>
      <w:r>
        <w:t xml:space="preserve"> </w:t>
      </w:r>
      <w:r w:rsidRPr="00CB66EB">
        <w:t>2</w:t>
      </w:r>
      <w:r>
        <w:t xml:space="preserve"> </w:t>
      </w:r>
      <w:r w:rsidRPr="00CB66EB">
        <w:t>písm.</w:t>
      </w:r>
      <w:r>
        <w:t xml:space="preserve"> </w:t>
      </w:r>
      <w:r w:rsidRPr="00CB66EB">
        <w:t>b)],</w:t>
      </w:r>
      <w:r>
        <w:t xml:space="preserve"> </w:t>
      </w:r>
      <w:r w:rsidRPr="00CB66EB">
        <w:t>a</w:t>
      </w:r>
      <w:r>
        <w:t xml:space="preserve"> </w:t>
      </w:r>
      <w:r w:rsidRPr="00CB66EB">
        <w:t>to</w:t>
      </w:r>
      <w:r>
        <w:t xml:space="preserve"> </w:t>
      </w:r>
      <w:r w:rsidRPr="00CB66EB">
        <w:t>nejpozději</w:t>
      </w:r>
      <w:r>
        <w:t xml:space="preserve"> </w:t>
      </w:r>
      <w:r w:rsidRPr="00CB66EB">
        <w:t>do</w:t>
      </w:r>
      <w:r>
        <w:t xml:space="preserve"> </w:t>
      </w:r>
      <w:r w:rsidRPr="00CB66EB">
        <w:t>30.</w:t>
      </w:r>
      <w:r>
        <w:t xml:space="preserve"> </w:t>
      </w:r>
      <w:r w:rsidRPr="00CB66EB">
        <w:t>dubna</w:t>
      </w:r>
      <w:r>
        <w:t xml:space="preserve"> </w:t>
      </w:r>
      <w:r w:rsidRPr="00CB66EB">
        <w:t>následujícího</w:t>
      </w:r>
      <w:r>
        <w:t xml:space="preserve"> </w:t>
      </w:r>
      <w:r w:rsidRPr="00CB66EB">
        <w:t>kalendářního</w:t>
      </w:r>
      <w:r>
        <w:t xml:space="preserve"> </w:t>
      </w:r>
      <w:r w:rsidRPr="00CB66EB">
        <w:t>roku.</w:t>
      </w:r>
      <w:r>
        <w:t xml:space="preserve"> </w:t>
      </w:r>
      <w:r w:rsidRPr="00CB66EB">
        <w:t>Fond</w:t>
      </w:r>
      <w:r>
        <w:t xml:space="preserve"> </w:t>
      </w:r>
      <w:r w:rsidRPr="00CB66EB">
        <w:t>zveřejní</w:t>
      </w:r>
      <w:r>
        <w:t xml:space="preserve"> </w:t>
      </w:r>
      <w:r w:rsidRPr="00CB66EB">
        <w:t>výroční</w:t>
      </w:r>
      <w:r>
        <w:t xml:space="preserve"> </w:t>
      </w:r>
      <w:r w:rsidRPr="00CB66EB">
        <w:t>zprávu</w:t>
      </w:r>
      <w:r>
        <w:t xml:space="preserve"> </w:t>
      </w:r>
      <w:r w:rsidRPr="00CB66EB">
        <w:t>Fondu</w:t>
      </w:r>
      <w:r>
        <w:t xml:space="preserve"> </w:t>
      </w:r>
      <w:r w:rsidRPr="00CB66EB">
        <w:t>na</w:t>
      </w:r>
      <w:r>
        <w:t xml:space="preserve"> </w:t>
      </w:r>
      <w:r w:rsidRPr="00CB66EB">
        <w:t>internetových</w:t>
      </w:r>
      <w:r>
        <w:t xml:space="preserve"> </w:t>
      </w:r>
      <w:r w:rsidRPr="00CB66EB">
        <w:t>stránkách</w:t>
      </w:r>
      <w:r>
        <w:t xml:space="preserve"> </w:t>
      </w:r>
      <w:r w:rsidRPr="00CB66EB">
        <w:t>Fondu.</w:t>
      </w:r>
      <w:r w:rsidR="003201B9" w:rsidRPr="003201B9">
        <w:rPr>
          <w:b/>
        </w:rPr>
        <w:t xml:space="preserve"> </w:t>
      </w:r>
      <w:r w:rsidR="003201B9" w:rsidRPr="00166AF2">
        <w:rPr>
          <w:b/>
        </w:rPr>
        <w:t>Individuálním účetním obdobím fondu je kalendářní rok.</w:t>
      </w:r>
    </w:p>
    <w:p w14:paraId="1F184DEF" w14:textId="77777777" w:rsidR="004648F8" w:rsidRDefault="004648F8" w:rsidP="0006588E">
      <w:pPr>
        <w:pStyle w:val="Textparagrafu"/>
        <w:numPr>
          <w:ilvl w:val="0"/>
          <w:numId w:val="27"/>
        </w:numPr>
        <w:tabs>
          <w:tab w:val="left" w:pos="392"/>
          <w:tab w:val="left" w:pos="840"/>
        </w:tabs>
        <w:spacing w:before="120" w:after="120"/>
        <w:ind w:firstLine="425"/>
      </w:pPr>
      <w:r w:rsidRPr="00CB66EB">
        <w:t>(9)</w:t>
      </w:r>
      <w:r>
        <w:t xml:space="preserve"> </w:t>
      </w:r>
      <w:r w:rsidRPr="00CB66EB">
        <w:t>Výroční</w:t>
      </w:r>
      <w:r>
        <w:t xml:space="preserve"> </w:t>
      </w:r>
      <w:r w:rsidRPr="00CB66EB">
        <w:t>zpráva</w:t>
      </w:r>
      <w:r>
        <w:t xml:space="preserve"> </w:t>
      </w:r>
      <w:r w:rsidRPr="00CB66EB">
        <w:t>Fondu</w:t>
      </w:r>
      <w:r>
        <w:t xml:space="preserve"> </w:t>
      </w:r>
      <w:r w:rsidRPr="00CB66EB">
        <w:t>musí</w:t>
      </w:r>
      <w:r>
        <w:t xml:space="preserve"> </w:t>
      </w:r>
      <w:r w:rsidRPr="00CB66EB">
        <w:t>obsahovat</w:t>
      </w:r>
    </w:p>
    <w:p w14:paraId="02728565" w14:textId="7C5E426C" w:rsidR="004648F8" w:rsidRDefault="004648F8" w:rsidP="000A18B9">
      <w:pPr>
        <w:pStyle w:val="Textparagrafu"/>
        <w:numPr>
          <w:ilvl w:val="0"/>
          <w:numId w:val="27"/>
        </w:numPr>
        <w:tabs>
          <w:tab w:val="left" w:pos="392"/>
          <w:tab w:val="left" w:pos="840"/>
        </w:tabs>
        <w:spacing w:before="0"/>
        <w:ind w:left="426" w:hanging="426"/>
      </w:pPr>
      <w:r w:rsidRPr="00CB66EB">
        <w:t>a)</w:t>
      </w:r>
      <w:r w:rsidR="00603CB6">
        <w:tab/>
      </w:r>
      <w:r w:rsidRPr="00CB66EB">
        <w:t>přehled</w:t>
      </w:r>
      <w:r>
        <w:t xml:space="preserve"> </w:t>
      </w:r>
      <w:r w:rsidRPr="00CB66EB">
        <w:t>činností</w:t>
      </w:r>
      <w:r>
        <w:t xml:space="preserve"> </w:t>
      </w:r>
      <w:r w:rsidRPr="00CB66EB">
        <w:t>vykonávaných</w:t>
      </w:r>
      <w:r>
        <w:t xml:space="preserve"> </w:t>
      </w:r>
      <w:r w:rsidRPr="00CB66EB">
        <w:t>v</w:t>
      </w:r>
      <w:r>
        <w:t xml:space="preserve"> </w:t>
      </w:r>
      <w:r w:rsidRPr="00CB66EB">
        <w:t>příslušném</w:t>
      </w:r>
      <w:r>
        <w:t xml:space="preserve"> </w:t>
      </w:r>
      <w:r w:rsidRPr="00CB66EB">
        <w:t>kalendářním</w:t>
      </w:r>
      <w:r>
        <w:t xml:space="preserve"> </w:t>
      </w:r>
      <w:r w:rsidRPr="00CB66EB">
        <w:t>roce</w:t>
      </w:r>
      <w:r>
        <w:t xml:space="preserve"> </w:t>
      </w:r>
      <w:r w:rsidRPr="00CB66EB">
        <w:t>Fondem,</w:t>
      </w:r>
      <w:r>
        <w:t xml:space="preserve"> </w:t>
      </w:r>
      <w:r w:rsidRPr="00CB66EB">
        <w:t>s</w:t>
      </w:r>
      <w:r>
        <w:t xml:space="preserve"> </w:t>
      </w:r>
      <w:r w:rsidRPr="00CB66EB">
        <w:t>uvedením</w:t>
      </w:r>
      <w:r>
        <w:t xml:space="preserve"> </w:t>
      </w:r>
      <w:r w:rsidRPr="00CB66EB">
        <w:t>vztahu</w:t>
      </w:r>
      <w:r>
        <w:t xml:space="preserve"> </w:t>
      </w:r>
      <w:r w:rsidRPr="00CB66EB">
        <w:t>k</w:t>
      </w:r>
      <w:r>
        <w:t xml:space="preserve"> </w:t>
      </w:r>
      <w:r w:rsidRPr="00CB66EB">
        <w:t>účelu</w:t>
      </w:r>
      <w:r>
        <w:t xml:space="preserve"> </w:t>
      </w:r>
      <w:r w:rsidRPr="00CB66EB">
        <w:t>poskytnuté</w:t>
      </w:r>
      <w:r>
        <w:t xml:space="preserve"> </w:t>
      </w:r>
      <w:r w:rsidRPr="00CB66EB">
        <w:t>podpory</w:t>
      </w:r>
      <w:r>
        <w:t xml:space="preserve"> </w:t>
      </w:r>
      <w:r w:rsidRPr="00CB66EB">
        <w:t>[odstavec</w:t>
      </w:r>
      <w:r>
        <w:t xml:space="preserve"> </w:t>
      </w:r>
      <w:r w:rsidRPr="00CB66EB">
        <w:t>4</w:t>
      </w:r>
      <w:r>
        <w:t xml:space="preserve"> </w:t>
      </w:r>
      <w:r w:rsidRPr="00CB66EB">
        <w:t>písm.</w:t>
      </w:r>
      <w:r>
        <w:t xml:space="preserve"> </w:t>
      </w:r>
      <w:r w:rsidRPr="00CB66EB">
        <w:t>a)</w:t>
      </w:r>
      <w:r>
        <w:t xml:space="preserve"> </w:t>
      </w:r>
      <w:r w:rsidRPr="00CB66EB">
        <w:t>a</w:t>
      </w:r>
      <w:r>
        <w:t xml:space="preserve"> </w:t>
      </w:r>
      <w:r w:rsidRPr="00CB66EB">
        <w:t>c)]</w:t>
      </w:r>
      <w:r>
        <w:t xml:space="preserve"> </w:t>
      </w:r>
      <w:r w:rsidRPr="00CB66EB">
        <w:t>nebo</w:t>
      </w:r>
      <w:r>
        <w:t xml:space="preserve"> </w:t>
      </w:r>
      <w:r w:rsidRPr="00CB66EB">
        <w:t>poskytnuté,</w:t>
      </w:r>
      <w:r>
        <w:t xml:space="preserve"> </w:t>
      </w:r>
      <w:r w:rsidRPr="00CB66EB">
        <w:t>případně</w:t>
      </w:r>
      <w:r>
        <w:t xml:space="preserve"> </w:t>
      </w:r>
      <w:r w:rsidRPr="00CB66EB">
        <w:t>vydané</w:t>
      </w:r>
      <w:r>
        <w:t xml:space="preserve"> </w:t>
      </w:r>
      <w:r w:rsidRPr="00CB66EB">
        <w:t>informace</w:t>
      </w:r>
      <w:r>
        <w:t xml:space="preserve"> </w:t>
      </w:r>
      <w:r w:rsidRPr="00CB66EB">
        <w:t>[odstavec</w:t>
      </w:r>
      <w:r>
        <w:t xml:space="preserve"> </w:t>
      </w:r>
      <w:r w:rsidRPr="00CB66EB">
        <w:t>4</w:t>
      </w:r>
      <w:r>
        <w:t xml:space="preserve"> </w:t>
      </w:r>
      <w:r w:rsidRPr="00CB66EB">
        <w:t>písm.</w:t>
      </w:r>
      <w:r>
        <w:t xml:space="preserve"> </w:t>
      </w:r>
      <w:r w:rsidRPr="00CB66EB">
        <w:t>b)],</w:t>
      </w:r>
    </w:p>
    <w:p w14:paraId="7E7436AC" w14:textId="4C0244F1" w:rsidR="004648F8" w:rsidRDefault="004648F8" w:rsidP="000A18B9">
      <w:pPr>
        <w:pStyle w:val="Textparagrafu"/>
        <w:numPr>
          <w:ilvl w:val="0"/>
          <w:numId w:val="27"/>
        </w:numPr>
        <w:tabs>
          <w:tab w:val="left" w:pos="392"/>
          <w:tab w:val="left" w:pos="840"/>
        </w:tabs>
        <w:spacing w:before="0"/>
        <w:ind w:left="426" w:hanging="426"/>
      </w:pPr>
      <w:r w:rsidRPr="00CB66EB">
        <w:lastRenderedPageBreak/>
        <w:t>b)</w:t>
      </w:r>
      <w:r w:rsidR="00603CB6">
        <w:tab/>
      </w:r>
      <w:r w:rsidRPr="003201B9">
        <w:rPr>
          <w:strike/>
        </w:rPr>
        <w:t>roční</w:t>
      </w:r>
      <w:r>
        <w:t xml:space="preserve"> </w:t>
      </w:r>
      <w:r w:rsidR="003201B9">
        <w:rPr>
          <w:b/>
        </w:rPr>
        <w:t xml:space="preserve">řádnou individuální </w:t>
      </w:r>
      <w:r w:rsidRPr="00CB66EB">
        <w:t>účetní</w:t>
      </w:r>
      <w:r>
        <w:t xml:space="preserve"> </w:t>
      </w:r>
      <w:r w:rsidR="00603CB6">
        <w:t>závěrku</w:t>
      </w:r>
      <w:r w:rsidR="00603CB6" w:rsidRPr="003201B9">
        <w:rPr>
          <w:rStyle w:val="Znakapoznpodarou"/>
          <w:strike/>
        </w:rPr>
        <w:footnoteReference w:customMarkFollows="1" w:id="457"/>
        <w:t>80)</w:t>
      </w:r>
      <w:r>
        <w:t xml:space="preserve"> </w:t>
      </w:r>
      <w:r w:rsidRPr="00CB66EB">
        <w:t>a</w:t>
      </w:r>
      <w:r>
        <w:t xml:space="preserve"> </w:t>
      </w:r>
      <w:r w:rsidRPr="00CB66EB">
        <w:t>zhodnocení</w:t>
      </w:r>
      <w:r>
        <w:t xml:space="preserve"> </w:t>
      </w:r>
      <w:r w:rsidRPr="00CB66EB">
        <w:t>základních</w:t>
      </w:r>
      <w:r>
        <w:t xml:space="preserve"> </w:t>
      </w:r>
      <w:r w:rsidRPr="00CB66EB">
        <w:t>údajů</w:t>
      </w:r>
      <w:r>
        <w:t xml:space="preserve"> </w:t>
      </w:r>
      <w:r w:rsidRPr="00CB66EB">
        <w:t>v</w:t>
      </w:r>
      <w:r>
        <w:t xml:space="preserve"> </w:t>
      </w:r>
      <w:r w:rsidRPr="00CB66EB">
        <w:t>ní</w:t>
      </w:r>
      <w:r>
        <w:t xml:space="preserve"> </w:t>
      </w:r>
      <w:r w:rsidRPr="00CB66EB">
        <w:t>obsažených,</w:t>
      </w:r>
    </w:p>
    <w:p w14:paraId="4B627386" w14:textId="636FD0FD" w:rsidR="004648F8" w:rsidRDefault="004648F8" w:rsidP="000A18B9">
      <w:pPr>
        <w:pStyle w:val="Textparagrafu"/>
        <w:numPr>
          <w:ilvl w:val="0"/>
          <w:numId w:val="27"/>
        </w:numPr>
        <w:tabs>
          <w:tab w:val="left" w:pos="392"/>
          <w:tab w:val="left" w:pos="840"/>
        </w:tabs>
        <w:spacing w:before="0"/>
        <w:ind w:left="426" w:hanging="426"/>
      </w:pPr>
      <w:r w:rsidRPr="00CB66EB">
        <w:t>c)</w:t>
      </w:r>
      <w:r w:rsidR="00603CB6">
        <w:tab/>
      </w:r>
      <w:r w:rsidRPr="00CB66EB">
        <w:t>přehled</w:t>
      </w:r>
      <w:r>
        <w:t xml:space="preserve"> </w:t>
      </w:r>
      <w:r w:rsidRPr="00CB66EB">
        <w:t>o</w:t>
      </w:r>
      <w:r>
        <w:t xml:space="preserve"> </w:t>
      </w:r>
      <w:r w:rsidRPr="00CB66EB">
        <w:t>příjmech</w:t>
      </w:r>
      <w:r>
        <w:t xml:space="preserve"> </w:t>
      </w:r>
      <w:r w:rsidRPr="00CB66EB">
        <w:t>a</w:t>
      </w:r>
      <w:r>
        <w:t xml:space="preserve"> </w:t>
      </w:r>
      <w:r w:rsidRPr="00CB66EB">
        <w:t>výdajích</w:t>
      </w:r>
      <w:r>
        <w:t xml:space="preserve"> </w:t>
      </w:r>
      <w:r w:rsidRPr="00CB66EB">
        <w:t>Fondu</w:t>
      </w:r>
      <w:r>
        <w:t xml:space="preserve"> </w:t>
      </w:r>
      <w:r w:rsidRPr="00CB66EB">
        <w:t>v</w:t>
      </w:r>
      <w:r>
        <w:t xml:space="preserve"> </w:t>
      </w:r>
      <w:r w:rsidRPr="00CB66EB">
        <w:t>členění</w:t>
      </w:r>
      <w:r>
        <w:t xml:space="preserve"> </w:t>
      </w:r>
      <w:r w:rsidRPr="00CB66EB">
        <w:t>podle</w:t>
      </w:r>
      <w:r>
        <w:t xml:space="preserve"> </w:t>
      </w:r>
      <w:r w:rsidRPr="00CB66EB">
        <w:t>zdrojů</w:t>
      </w:r>
      <w:r>
        <w:t xml:space="preserve"> </w:t>
      </w:r>
      <w:r w:rsidRPr="00CB66EB">
        <w:t>Fondu,</w:t>
      </w:r>
    </w:p>
    <w:p w14:paraId="1AF6C302" w14:textId="597E6987" w:rsidR="004648F8" w:rsidRDefault="004648F8" w:rsidP="000A18B9">
      <w:pPr>
        <w:pStyle w:val="Textparagrafu"/>
        <w:numPr>
          <w:ilvl w:val="0"/>
          <w:numId w:val="27"/>
        </w:numPr>
        <w:tabs>
          <w:tab w:val="left" w:pos="392"/>
          <w:tab w:val="left" w:pos="840"/>
        </w:tabs>
        <w:spacing w:before="0"/>
        <w:ind w:left="426" w:hanging="426"/>
      </w:pPr>
      <w:r w:rsidRPr="00CB66EB">
        <w:t>d)</w:t>
      </w:r>
      <w:r w:rsidR="00603CB6">
        <w:tab/>
      </w:r>
      <w:r w:rsidRPr="00CB66EB">
        <w:t>přehled</w:t>
      </w:r>
      <w:r>
        <w:t xml:space="preserve"> </w:t>
      </w:r>
      <w:r w:rsidRPr="00CB66EB">
        <w:t>o</w:t>
      </w:r>
      <w:r>
        <w:t xml:space="preserve"> </w:t>
      </w:r>
      <w:r w:rsidRPr="00CB66EB">
        <w:t>poskytnutých</w:t>
      </w:r>
      <w:r>
        <w:t xml:space="preserve"> </w:t>
      </w:r>
      <w:r w:rsidRPr="00CB66EB">
        <w:t>podporách</w:t>
      </w:r>
      <w:r>
        <w:t xml:space="preserve"> </w:t>
      </w:r>
      <w:r w:rsidRPr="00CB66EB">
        <w:t>a</w:t>
      </w:r>
      <w:r>
        <w:t xml:space="preserve"> </w:t>
      </w:r>
      <w:r w:rsidRPr="00CB66EB">
        <w:t>uzavřených</w:t>
      </w:r>
      <w:r>
        <w:t xml:space="preserve"> </w:t>
      </w:r>
      <w:r w:rsidRPr="00CB66EB">
        <w:t>smlouvách</w:t>
      </w:r>
      <w:r>
        <w:t xml:space="preserve"> </w:t>
      </w:r>
      <w:r w:rsidRPr="00CB66EB">
        <w:t>v</w:t>
      </w:r>
      <w:r>
        <w:t xml:space="preserve"> </w:t>
      </w:r>
      <w:r w:rsidRPr="00CB66EB">
        <w:t>členění</w:t>
      </w:r>
      <w:r>
        <w:t xml:space="preserve"> </w:t>
      </w:r>
      <w:r w:rsidRPr="00CB66EB">
        <w:t>podle</w:t>
      </w:r>
      <w:r>
        <w:t xml:space="preserve"> </w:t>
      </w:r>
      <w:r w:rsidRPr="00CB66EB">
        <w:t>druhu</w:t>
      </w:r>
      <w:r>
        <w:t xml:space="preserve"> </w:t>
      </w:r>
      <w:r w:rsidRPr="00CB66EB">
        <w:t>poskytnuté</w:t>
      </w:r>
      <w:r>
        <w:t xml:space="preserve"> </w:t>
      </w:r>
      <w:r w:rsidRPr="00CB66EB">
        <w:t>podpory</w:t>
      </w:r>
      <w:r>
        <w:t xml:space="preserve"> </w:t>
      </w:r>
      <w:r w:rsidRPr="00CB66EB">
        <w:t>nebo</w:t>
      </w:r>
      <w:r>
        <w:t xml:space="preserve"> </w:t>
      </w:r>
      <w:r w:rsidRPr="00CB66EB">
        <w:t>smlouvy,</w:t>
      </w:r>
      <w:r>
        <w:t xml:space="preserve"> </w:t>
      </w:r>
      <w:r w:rsidRPr="00CB66EB">
        <w:t>účelu</w:t>
      </w:r>
      <w:r>
        <w:t xml:space="preserve"> </w:t>
      </w:r>
      <w:r w:rsidRPr="00CB66EB">
        <w:t>a</w:t>
      </w:r>
      <w:r>
        <w:t xml:space="preserve"> </w:t>
      </w:r>
      <w:r w:rsidRPr="00CB66EB">
        <w:t>výše,</w:t>
      </w:r>
    </w:p>
    <w:p w14:paraId="07A3E9B7" w14:textId="4E3E0148" w:rsidR="004648F8" w:rsidRDefault="004648F8" w:rsidP="000A18B9">
      <w:pPr>
        <w:pStyle w:val="Textparagrafu"/>
        <w:numPr>
          <w:ilvl w:val="0"/>
          <w:numId w:val="27"/>
        </w:numPr>
        <w:tabs>
          <w:tab w:val="left" w:pos="392"/>
          <w:tab w:val="left" w:pos="840"/>
        </w:tabs>
        <w:spacing w:before="0"/>
        <w:ind w:left="426" w:hanging="426"/>
      </w:pPr>
      <w:r w:rsidRPr="00CB66EB">
        <w:t>e)</w:t>
      </w:r>
      <w:r w:rsidR="00603CB6">
        <w:tab/>
      </w:r>
      <w:r w:rsidRPr="00CB66EB">
        <w:t>vývoj</w:t>
      </w:r>
      <w:r>
        <w:t xml:space="preserve"> </w:t>
      </w:r>
      <w:r w:rsidRPr="00CB66EB">
        <w:t>a</w:t>
      </w:r>
      <w:r>
        <w:t xml:space="preserve"> </w:t>
      </w:r>
      <w:r w:rsidRPr="00CB66EB">
        <w:t>konečný</w:t>
      </w:r>
      <w:r>
        <w:t xml:space="preserve"> </w:t>
      </w:r>
      <w:r w:rsidRPr="00CB66EB">
        <w:t>účetní</w:t>
      </w:r>
      <w:r>
        <w:t xml:space="preserve"> </w:t>
      </w:r>
      <w:r w:rsidRPr="00CB66EB">
        <w:t>stav</w:t>
      </w:r>
      <w:r>
        <w:t xml:space="preserve"> </w:t>
      </w:r>
      <w:r w:rsidRPr="00CB66EB">
        <w:t>příjmů</w:t>
      </w:r>
      <w:r>
        <w:t xml:space="preserve"> </w:t>
      </w:r>
      <w:r w:rsidRPr="00CB66EB">
        <w:t>a</w:t>
      </w:r>
      <w:r>
        <w:t xml:space="preserve"> </w:t>
      </w:r>
      <w:r w:rsidRPr="00CB66EB">
        <w:t>výdajů</w:t>
      </w:r>
      <w:r>
        <w:t xml:space="preserve"> </w:t>
      </w:r>
      <w:r w:rsidRPr="00CB66EB">
        <w:t>Fondu</w:t>
      </w:r>
      <w:r>
        <w:t xml:space="preserve"> </w:t>
      </w:r>
      <w:r w:rsidRPr="00CB66EB">
        <w:t>za</w:t>
      </w:r>
      <w:r>
        <w:t xml:space="preserve"> </w:t>
      </w:r>
      <w:r w:rsidRPr="00CB66EB">
        <w:t>uplynulý</w:t>
      </w:r>
      <w:r>
        <w:t xml:space="preserve"> </w:t>
      </w:r>
      <w:r w:rsidRPr="00CB66EB">
        <w:t>kalendářní</w:t>
      </w:r>
      <w:r>
        <w:t xml:space="preserve"> </w:t>
      </w:r>
      <w:r w:rsidRPr="00CB66EB">
        <w:t>rok,</w:t>
      </w:r>
    </w:p>
    <w:p w14:paraId="3649B79F" w14:textId="69E8627D" w:rsidR="004648F8" w:rsidRDefault="004648F8" w:rsidP="000A18B9">
      <w:pPr>
        <w:pStyle w:val="Textparagrafu"/>
        <w:numPr>
          <w:ilvl w:val="0"/>
          <w:numId w:val="27"/>
        </w:numPr>
        <w:tabs>
          <w:tab w:val="left" w:pos="392"/>
          <w:tab w:val="left" w:pos="840"/>
        </w:tabs>
        <w:spacing w:before="0"/>
        <w:ind w:left="426" w:hanging="426"/>
      </w:pPr>
      <w:r w:rsidRPr="00CB66EB">
        <w:t>f)</w:t>
      </w:r>
      <w:r w:rsidR="00603CB6">
        <w:tab/>
      </w:r>
      <w:r w:rsidRPr="00CB66EB">
        <w:t>změny</w:t>
      </w:r>
      <w:r>
        <w:t xml:space="preserve"> </w:t>
      </w:r>
      <w:r w:rsidRPr="00CB66EB">
        <w:t>organizačního</w:t>
      </w:r>
      <w:r>
        <w:t xml:space="preserve"> </w:t>
      </w:r>
      <w:r w:rsidRPr="00CB66EB">
        <w:t>řádu</w:t>
      </w:r>
      <w:r>
        <w:t xml:space="preserve"> </w:t>
      </w:r>
      <w:r w:rsidRPr="00CB66EB">
        <w:t>a</w:t>
      </w:r>
      <w:r>
        <w:t xml:space="preserve"> </w:t>
      </w:r>
      <w:r w:rsidRPr="00CB66EB">
        <w:t>změny</w:t>
      </w:r>
      <w:r>
        <w:t xml:space="preserve"> </w:t>
      </w:r>
      <w:r w:rsidRPr="00CB66EB">
        <w:t>ve</w:t>
      </w:r>
      <w:r>
        <w:t xml:space="preserve"> </w:t>
      </w:r>
      <w:r w:rsidRPr="00CB66EB">
        <w:t>složení</w:t>
      </w:r>
      <w:r>
        <w:t xml:space="preserve"> </w:t>
      </w:r>
      <w:r w:rsidRPr="00CB66EB">
        <w:t>orgánů</w:t>
      </w:r>
      <w:r>
        <w:t xml:space="preserve"> </w:t>
      </w:r>
      <w:r w:rsidRPr="00CB66EB">
        <w:t>Fondu,</w:t>
      </w:r>
      <w:r>
        <w:t xml:space="preserve"> </w:t>
      </w:r>
      <w:r w:rsidRPr="00CB66EB">
        <w:t>včetně</w:t>
      </w:r>
      <w:r>
        <w:t xml:space="preserve"> </w:t>
      </w:r>
      <w:r w:rsidRPr="00CB66EB">
        <w:t>odůvodnění</w:t>
      </w:r>
      <w:r>
        <w:t xml:space="preserve"> </w:t>
      </w:r>
      <w:r w:rsidRPr="00CB66EB">
        <w:t>těchto</w:t>
      </w:r>
      <w:r>
        <w:t xml:space="preserve"> </w:t>
      </w:r>
      <w:r w:rsidRPr="00CB66EB">
        <w:t>změn,</w:t>
      </w:r>
      <w:r>
        <w:t xml:space="preserve"> </w:t>
      </w:r>
      <w:r w:rsidRPr="00CB66EB">
        <w:t>k</w:t>
      </w:r>
      <w:r>
        <w:t xml:space="preserve"> </w:t>
      </w:r>
      <w:r w:rsidRPr="00CB66EB">
        <w:t>nimž</w:t>
      </w:r>
      <w:r>
        <w:t xml:space="preserve"> </w:t>
      </w:r>
      <w:r w:rsidRPr="00CB66EB">
        <w:t>došlo</w:t>
      </w:r>
      <w:r>
        <w:t xml:space="preserve"> </w:t>
      </w:r>
      <w:r w:rsidRPr="00CB66EB">
        <w:t>v</w:t>
      </w:r>
      <w:r>
        <w:t xml:space="preserve"> </w:t>
      </w:r>
      <w:r w:rsidRPr="00CB66EB">
        <w:t>průběhu</w:t>
      </w:r>
      <w:r>
        <w:t xml:space="preserve"> </w:t>
      </w:r>
      <w:r w:rsidRPr="00CB66EB">
        <w:t>uplynulého</w:t>
      </w:r>
      <w:r>
        <w:t xml:space="preserve"> </w:t>
      </w:r>
      <w:r w:rsidRPr="00CB66EB">
        <w:t>kalendářního</w:t>
      </w:r>
      <w:r>
        <w:t xml:space="preserve"> </w:t>
      </w:r>
      <w:r w:rsidRPr="00CB66EB">
        <w:t>roku.</w:t>
      </w:r>
    </w:p>
    <w:p w14:paraId="451613B2" w14:textId="77777777" w:rsidR="004648F8" w:rsidRDefault="004648F8" w:rsidP="0006588E">
      <w:pPr>
        <w:pStyle w:val="Textparagrafu"/>
        <w:numPr>
          <w:ilvl w:val="0"/>
          <w:numId w:val="27"/>
        </w:numPr>
        <w:tabs>
          <w:tab w:val="left" w:pos="392"/>
          <w:tab w:val="left" w:pos="840"/>
        </w:tabs>
        <w:spacing w:before="120" w:after="120"/>
        <w:ind w:firstLine="425"/>
      </w:pPr>
      <w:r w:rsidRPr="00CB66EB">
        <w:t>(10)</w:t>
      </w:r>
      <w:r>
        <w:t xml:space="preserve"> </w:t>
      </w:r>
      <w:r w:rsidRPr="00CB66EB">
        <w:t>Žadatel</w:t>
      </w:r>
      <w:r>
        <w:t xml:space="preserve"> </w:t>
      </w:r>
      <w:r w:rsidRPr="00CB66EB">
        <w:t>musí</w:t>
      </w:r>
      <w:r>
        <w:t xml:space="preserve"> </w:t>
      </w:r>
      <w:r w:rsidRPr="00CB66EB">
        <w:t>žádost</w:t>
      </w:r>
      <w:r>
        <w:t xml:space="preserve"> </w:t>
      </w:r>
      <w:r w:rsidRPr="00CB66EB">
        <w:t>o</w:t>
      </w:r>
      <w:r>
        <w:t xml:space="preserve"> </w:t>
      </w:r>
      <w:r w:rsidRPr="00CB66EB">
        <w:t>poskytnutí</w:t>
      </w:r>
      <w:r>
        <w:t xml:space="preserve"> </w:t>
      </w:r>
      <w:r w:rsidRPr="00CB66EB">
        <w:t>podpory</w:t>
      </w:r>
      <w:r>
        <w:t xml:space="preserve"> </w:t>
      </w:r>
      <w:r w:rsidRPr="00CB66EB">
        <w:t>doručit</w:t>
      </w:r>
      <w:r>
        <w:t xml:space="preserve"> </w:t>
      </w:r>
      <w:r w:rsidRPr="00CB66EB">
        <w:t>Fondu</w:t>
      </w:r>
      <w:r>
        <w:t xml:space="preserve"> </w:t>
      </w:r>
      <w:r w:rsidRPr="00CB66EB">
        <w:t>v</w:t>
      </w:r>
      <w:r>
        <w:t xml:space="preserve"> </w:t>
      </w:r>
      <w:r w:rsidRPr="00CB66EB">
        <w:t>termínech</w:t>
      </w:r>
    </w:p>
    <w:p w14:paraId="7AFE71B2" w14:textId="5D5853B3" w:rsidR="004648F8" w:rsidRDefault="004648F8" w:rsidP="00603CB6">
      <w:pPr>
        <w:pStyle w:val="Textparagrafu"/>
        <w:numPr>
          <w:ilvl w:val="0"/>
          <w:numId w:val="27"/>
        </w:numPr>
        <w:tabs>
          <w:tab w:val="left" w:pos="392"/>
          <w:tab w:val="left" w:pos="840"/>
        </w:tabs>
        <w:spacing w:before="0"/>
      </w:pPr>
      <w:r w:rsidRPr="00CB66EB">
        <w:t>a)</w:t>
      </w:r>
      <w:r w:rsidR="00603CB6">
        <w:tab/>
      </w:r>
      <w:r w:rsidRPr="00CB66EB">
        <w:t>od</w:t>
      </w:r>
      <w:r>
        <w:t xml:space="preserve"> </w:t>
      </w:r>
      <w:r w:rsidRPr="00CB66EB">
        <w:t>1.</w:t>
      </w:r>
      <w:r>
        <w:t xml:space="preserve"> </w:t>
      </w:r>
      <w:r w:rsidRPr="00CB66EB">
        <w:t>ledna</w:t>
      </w:r>
      <w:r>
        <w:t xml:space="preserve"> </w:t>
      </w:r>
      <w:r w:rsidRPr="00CB66EB">
        <w:t>do</w:t>
      </w:r>
      <w:r>
        <w:t xml:space="preserve"> </w:t>
      </w:r>
      <w:r w:rsidRPr="00CB66EB">
        <w:t>15.</w:t>
      </w:r>
      <w:r>
        <w:t xml:space="preserve"> </w:t>
      </w:r>
      <w:r w:rsidRPr="00CB66EB">
        <w:t>února,</w:t>
      </w:r>
      <w:r>
        <w:t xml:space="preserve"> </w:t>
      </w:r>
      <w:r w:rsidRPr="00CB66EB">
        <w:t>nebo</w:t>
      </w:r>
    </w:p>
    <w:p w14:paraId="0E5CB84C" w14:textId="4901DA58" w:rsidR="004648F8" w:rsidRDefault="004648F8" w:rsidP="00603CB6">
      <w:pPr>
        <w:pStyle w:val="Textparagrafu"/>
        <w:numPr>
          <w:ilvl w:val="0"/>
          <w:numId w:val="27"/>
        </w:numPr>
        <w:tabs>
          <w:tab w:val="left" w:pos="392"/>
          <w:tab w:val="left" w:pos="840"/>
        </w:tabs>
        <w:spacing w:before="0"/>
      </w:pPr>
      <w:r w:rsidRPr="00CB66EB">
        <w:t>b)</w:t>
      </w:r>
      <w:r w:rsidR="00603CB6">
        <w:tab/>
      </w:r>
      <w:r w:rsidRPr="00CB66EB">
        <w:t>od</w:t>
      </w:r>
      <w:r>
        <w:t xml:space="preserve"> </w:t>
      </w:r>
      <w:r w:rsidRPr="00CB66EB">
        <w:t>1.</w:t>
      </w:r>
      <w:r>
        <w:t xml:space="preserve"> </w:t>
      </w:r>
      <w:r w:rsidRPr="00CB66EB">
        <w:t>července</w:t>
      </w:r>
      <w:r>
        <w:t xml:space="preserve"> </w:t>
      </w:r>
      <w:r w:rsidRPr="00CB66EB">
        <w:t>do</w:t>
      </w:r>
      <w:r>
        <w:t xml:space="preserve"> </w:t>
      </w:r>
      <w:r w:rsidRPr="00CB66EB">
        <w:t>15.</w:t>
      </w:r>
      <w:r>
        <w:t xml:space="preserve"> </w:t>
      </w:r>
      <w:r w:rsidRPr="00CB66EB">
        <w:t>srpna.</w:t>
      </w:r>
    </w:p>
    <w:p w14:paraId="1616EE30" w14:textId="77777777" w:rsidR="004648F8" w:rsidRDefault="004648F8" w:rsidP="0006588E">
      <w:pPr>
        <w:pStyle w:val="Textparagrafu"/>
        <w:numPr>
          <w:ilvl w:val="0"/>
          <w:numId w:val="27"/>
        </w:numPr>
        <w:tabs>
          <w:tab w:val="left" w:pos="392"/>
          <w:tab w:val="left" w:pos="840"/>
        </w:tabs>
        <w:spacing w:before="120" w:after="120"/>
        <w:ind w:firstLine="425"/>
      </w:pPr>
      <w:r w:rsidRPr="00CB66EB">
        <w:t>(11)</w:t>
      </w:r>
      <w:r>
        <w:t xml:space="preserve"> </w:t>
      </w:r>
      <w:r w:rsidRPr="00CB66EB">
        <w:t>O</w:t>
      </w:r>
      <w:r>
        <w:t xml:space="preserve"> </w:t>
      </w:r>
      <w:r w:rsidRPr="00CB66EB">
        <w:t>poskytnutí</w:t>
      </w:r>
      <w:r>
        <w:t xml:space="preserve"> </w:t>
      </w:r>
      <w:r w:rsidRPr="00CB66EB">
        <w:t>podpory</w:t>
      </w:r>
      <w:r>
        <w:t xml:space="preserve"> </w:t>
      </w:r>
      <w:r w:rsidRPr="00CB66EB">
        <w:t>rozhoduje</w:t>
      </w:r>
      <w:r>
        <w:t xml:space="preserve"> </w:t>
      </w:r>
      <w:r w:rsidRPr="00CB66EB">
        <w:t>Rada.</w:t>
      </w:r>
      <w:r>
        <w:t xml:space="preserve"> </w:t>
      </w:r>
      <w:r w:rsidRPr="00CB66EB">
        <w:t>Lhůta</w:t>
      </w:r>
      <w:r>
        <w:t xml:space="preserve"> </w:t>
      </w:r>
      <w:r w:rsidRPr="00CB66EB">
        <w:t>pro</w:t>
      </w:r>
      <w:r>
        <w:t xml:space="preserve"> </w:t>
      </w:r>
      <w:r w:rsidRPr="00CB66EB">
        <w:t>vydání</w:t>
      </w:r>
      <w:r>
        <w:t xml:space="preserve"> </w:t>
      </w:r>
      <w:r w:rsidRPr="00CB66EB">
        <w:t>rozhodnutí</w:t>
      </w:r>
      <w:r>
        <w:t xml:space="preserve"> </w:t>
      </w:r>
      <w:r w:rsidRPr="00CB66EB">
        <w:t>začíná</w:t>
      </w:r>
      <w:r>
        <w:t xml:space="preserve"> </w:t>
      </w:r>
      <w:r w:rsidRPr="00CB66EB">
        <w:t>běžet</w:t>
      </w:r>
      <w:r>
        <w:t xml:space="preserve"> </w:t>
      </w:r>
      <w:r w:rsidRPr="00CB66EB">
        <w:t>dnem</w:t>
      </w:r>
      <w:r>
        <w:t xml:space="preserve"> </w:t>
      </w:r>
      <w:r w:rsidRPr="00CB66EB">
        <w:t>následujícím</w:t>
      </w:r>
      <w:r>
        <w:t xml:space="preserve"> </w:t>
      </w:r>
      <w:r w:rsidRPr="00CB66EB">
        <w:t>po</w:t>
      </w:r>
      <w:r>
        <w:t xml:space="preserve"> </w:t>
      </w:r>
      <w:r w:rsidRPr="00CB66EB">
        <w:t>dni</w:t>
      </w:r>
      <w:r>
        <w:t xml:space="preserve"> </w:t>
      </w:r>
      <w:r w:rsidRPr="00CB66EB">
        <w:t>ukončení</w:t>
      </w:r>
      <w:r>
        <w:t xml:space="preserve"> </w:t>
      </w:r>
      <w:r w:rsidRPr="00CB66EB">
        <w:t>přijímání</w:t>
      </w:r>
      <w:r>
        <w:t xml:space="preserve"> </w:t>
      </w:r>
      <w:r w:rsidRPr="00CB66EB">
        <w:t>žádostí</w:t>
      </w:r>
      <w:r>
        <w:t xml:space="preserve"> </w:t>
      </w:r>
      <w:r w:rsidRPr="00CB66EB">
        <w:t>podle</w:t>
      </w:r>
      <w:r>
        <w:t xml:space="preserve"> </w:t>
      </w:r>
      <w:r w:rsidRPr="00CB66EB">
        <w:t>odstavce</w:t>
      </w:r>
      <w:r>
        <w:t xml:space="preserve"> </w:t>
      </w:r>
      <w:r w:rsidRPr="00CB66EB">
        <w:t>10.</w:t>
      </w:r>
    </w:p>
    <w:p w14:paraId="08BC7238" w14:textId="77777777" w:rsidR="004648F8" w:rsidRDefault="004648F8" w:rsidP="0006588E">
      <w:pPr>
        <w:pStyle w:val="Textparagrafu"/>
        <w:numPr>
          <w:ilvl w:val="0"/>
          <w:numId w:val="27"/>
        </w:numPr>
        <w:tabs>
          <w:tab w:val="left" w:pos="392"/>
          <w:tab w:val="left" w:pos="840"/>
        </w:tabs>
        <w:spacing w:before="120" w:after="120"/>
        <w:ind w:firstLine="425"/>
      </w:pPr>
      <w:r w:rsidRPr="00CB66EB">
        <w:t>(12)</w:t>
      </w:r>
      <w:r>
        <w:t xml:space="preserve"> </w:t>
      </w:r>
      <w:r w:rsidRPr="00CB66EB">
        <w:t>Žádost</w:t>
      </w:r>
      <w:r>
        <w:t xml:space="preserve"> </w:t>
      </w:r>
      <w:r w:rsidRPr="00CB66EB">
        <w:t>o</w:t>
      </w:r>
      <w:r>
        <w:t xml:space="preserve"> </w:t>
      </w:r>
      <w:r w:rsidRPr="00CB66EB">
        <w:t>poskytnutí</w:t>
      </w:r>
      <w:r>
        <w:t xml:space="preserve"> </w:t>
      </w:r>
      <w:r w:rsidRPr="00CB66EB">
        <w:t>podpory</w:t>
      </w:r>
      <w:r>
        <w:t xml:space="preserve"> </w:t>
      </w:r>
      <w:r w:rsidRPr="00CB66EB">
        <w:t>podle</w:t>
      </w:r>
      <w:r>
        <w:t xml:space="preserve"> </w:t>
      </w:r>
      <w:r w:rsidRPr="00CB66EB">
        <w:t>odstavce</w:t>
      </w:r>
      <w:r>
        <w:t xml:space="preserve"> </w:t>
      </w:r>
      <w:r w:rsidRPr="00CB66EB">
        <w:t>4</w:t>
      </w:r>
      <w:r>
        <w:t xml:space="preserve"> </w:t>
      </w:r>
      <w:r w:rsidRPr="00CB66EB">
        <w:t>může</w:t>
      </w:r>
      <w:r>
        <w:t xml:space="preserve"> </w:t>
      </w:r>
      <w:r w:rsidRPr="00CB66EB">
        <w:t>podat</w:t>
      </w:r>
      <w:r>
        <w:t xml:space="preserve"> </w:t>
      </w:r>
      <w:r w:rsidRPr="00CB66EB">
        <w:t>žadatel,</w:t>
      </w:r>
    </w:p>
    <w:p w14:paraId="40768C76" w14:textId="2528E32B" w:rsidR="004648F8" w:rsidRDefault="004648F8" w:rsidP="000A18B9">
      <w:pPr>
        <w:pStyle w:val="Textparagrafu"/>
        <w:numPr>
          <w:ilvl w:val="0"/>
          <w:numId w:val="27"/>
        </w:numPr>
        <w:tabs>
          <w:tab w:val="left" w:pos="392"/>
          <w:tab w:val="left" w:pos="840"/>
        </w:tabs>
        <w:spacing w:before="0"/>
        <w:ind w:left="426" w:hanging="426"/>
      </w:pPr>
      <w:r w:rsidRPr="00CB66EB">
        <w:t>a)</w:t>
      </w:r>
      <w:r w:rsidR="00603CB6">
        <w:tab/>
      </w:r>
      <w:r w:rsidRPr="00CB66EB">
        <w:t>má-li</w:t>
      </w:r>
      <w:r>
        <w:t xml:space="preserve"> </w:t>
      </w:r>
      <w:r w:rsidRPr="00CB66EB">
        <w:t>sídlo</w:t>
      </w:r>
      <w:r>
        <w:t xml:space="preserve"> </w:t>
      </w:r>
      <w:r w:rsidRPr="00CB66EB">
        <w:t>nebo</w:t>
      </w:r>
      <w:r>
        <w:t xml:space="preserve"> </w:t>
      </w:r>
      <w:r w:rsidRPr="00CB66EB">
        <w:t>trvalý</w:t>
      </w:r>
      <w:r>
        <w:t xml:space="preserve"> </w:t>
      </w:r>
      <w:r w:rsidRPr="00CB66EB">
        <w:t>pobyt</w:t>
      </w:r>
      <w:r>
        <w:t xml:space="preserve"> </w:t>
      </w:r>
      <w:r w:rsidRPr="00CB66EB">
        <w:t>na</w:t>
      </w:r>
      <w:r>
        <w:t xml:space="preserve"> </w:t>
      </w:r>
      <w:r w:rsidRPr="00CB66EB">
        <w:t>území</w:t>
      </w:r>
      <w:r>
        <w:t xml:space="preserve"> </w:t>
      </w:r>
      <w:r w:rsidRPr="00CB66EB">
        <w:t>České</w:t>
      </w:r>
      <w:r>
        <w:t xml:space="preserve"> </w:t>
      </w:r>
      <w:r w:rsidRPr="00CB66EB">
        <w:t>republiky,</w:t>
      </w:r>
      <w:r>
        <w:t xml:space="preserve"> </w:t>
      </w:r>
      <w:r w:rsidRPr="00CB66EB">
        <w:t>jedná-li</w:t>
      </w:r>
      <w:r>
        <w:t xml:space="preserve"> </w:t>
      </w:r>
      <w:r w:rsidRPr="00CB66EB">
        <w:t>se</w:t>
      </w:r>
      <w:r>
        <w:t xml:space="preserve"> </w:t>
      </w:r>
      <w:r w:rsidRPr="00CB66EB">
        <w:t>o</w:t>
      </w:r>
      <w:r>
        <w:t xml:space="preserve"> </w:t>
      </w:r>
      <w:r w:rsidRPr="00CB66EB">
        <w:t>občana</w:t>
      </w:r>
      <w:r>
        <w:t xml:space="preserve"> </w:t>
      </w:r>
      <w:r w:rsidRPr="00CB66EB">
        <w:t>České</w:t>
      </w:r>
      <w:r>
        <w:t xml:space="preserve"> </w:t>
      </w:r>
      <w:r w:rsidRPr="00CB66EB">
        <w:t>republiky,</w:t>
      </w:r>
      <w:r>
        <w:t xml:space="preserve"> </w:t>
      </w:r>
      <w:r w:rsidRPr="00CB66EB">
        <w:t>nebo</w:t>
      </w:r>
      <w:r>
        <w:t xml:space="preserve"> </w:t>
      </w:r>
      <w:r w:rsidRPr="00CB66EB">
        <w:t>bydliště</w:t>
      </w:r>
      <w:r>
        <w:t xml:space="preserve"> </w:t>
      </w:r>
      <w:r w:rsidRPr="00CB66EB">
        <w:t>v</w:t>
      </w:r>
      <w:r>
        <w:t xml:space="preserve"> </w:t>
      </w:r>
      <w:r w:rsidRPr="00CB66EB">
        <w:t>zahraničí,</w:t>
      </w:r>
      <w:r>
        <w:t xml:space="preserve"> </w:t>
      </w:r>
      <w:r w:rsidRPr="00CB66EB">
        <w:t>popřípadě</w:t>
      </w:r>
      <w:r>
        <w:t xml:space="preserve"> </w:t>
      </w:r>
      <w:r w:rsidRPr="00CB66EB">
        <w:t>místo</w:t>
      </w:r>
      <w:r>
        <w:t xml:space="preserve"> </w:t>
      </w:r>
      <w:r w:rsidRPr="00CB66EB">
        <w:t>pobytu</w:t>
      </w:r>
      <w:r>
        <w:t xml:space="preserve"> </w:t>
      </w:r>
      <w:r w:rsidRPr="00CB66EB">
        <w:t>v</w:t>
      </w:r>
      <w:r>
        <w:t xml:space="preserve"> </w:t>
      </w:r>
      <w:r w:rsidRPr="00CB66EB">
        <w:t>České</w:t>
      </w:r>
      <w:r>
        <w:t xml:space="preserve"> </w:t>
      </w:r>
      <w:r w:rsidRPr="00CB66EB">
        <w:t>republice,</w:t>
      </w:r>
      <w:r>
        <w:t xml:space="preserve"> </w:t>
      </w:r>
      <w:r w:rsidRPr="00CB66EB">
        <w:t>nejedná-li</w:t>
      </w:r>
      <w:r>
        <w:t xml:space="preserve"> </w:t>
      </w:r>
      <w:r w:rsidRPr="00CB66EB">
        <w:t>se</w:t>
      </w:r>
      <w:r>
        <w:t xml:space="preserve"> </w:t>
      </w:r>
      <w:r w:rsidRPr="00CB66EB">
        <w:t>o</w:t>
      </w:r>
      <w:r>
        <w:t xml:space="preserve"> </w:t>
      </w:r>
      <w:r w:rsidRPr="00CB66EB">
        <w:t>občana</w:t>
      </w:r>
      <w:r>
        <w:t xml:space="preserve"> </w:t>
      </w:r>
      <w:r w:rsidRPr="00CB66EB">
        <w:t>České</w:t>
      </w:r>
      <w:r>
        <w:t xml:space="preserve"> </w:t>
      </w:r>
      <w:r w:rsidRPr="00CB66EB">
        <w:t>republiky,</w:t>
      </w:r>
    </w:p>
    <w:p w14:paraId="1EF75499" w14:textId="06EE6650" w:rsidR="004648F8" w:rsidRDefault="004648F8" w:rsidP="000A18B9">
      <w:pPr>
        <w:pStyle w:val="Textparagrafu"/>
        <w:numPr>
          <w:ilvl w:val="0"/>
          <w:numId w:val="27"/>
        </w:numPr>
        <w:tabs>
          <w:tab w:val="left" w:pos="392"/>
          <w:tab w:val="left" w:pos="840"/>
        </w:tabs>
        <w:spacing w:before="0"/>
        <w:ind w:left="426" w:hanging="426"/>
      </w:pPr>
      <w:r w:rsidRPr="00CB66EB">
        <w:t>b)</w:t>
      </w:r>
      <w:r w:rsidR="00603CB6">
        <w:tab/>
      </w:r>
      <w:r w:rsidRPr="00CB66EB">
        <w:t>se</w:t>
      </w:r>
      <w:r>
        <w:t xml:space="preserve"> </w:t>
      </w:r>
      <w:r w:rsidRPr="00CB66EB">
        <w:t>kterým</w:t>
      </w:r>
      <w:r>
        <w:t xml:space="preserve"> </w:t>
      </w:r>
      <w:r w:rsidRPr="00CB66EB">
        <w:t>nebylo</w:t>
      </w:r>
      <w:r>
        <w:t xml:space="preserve"> </w:t>
      </w:r>
      <w:r w:rsidRPr="00CB66EB">
        <w:t>zahájeno</w:t>
      </w:r>
      <w:r>
        <w:t xml:space="preserve"> </w:t>
      </w:r>
      <w:r w:rsidRPr="00CB66EB">
        <w:t>insolvenční</w:t>
      </w:r>
      <w:r>
        <w:t xml:space="preserve"> </w:t>
      </w:r>
      <w:r w:rsidRPr="00CB66EB">
        <w:t>řízení</w:t>
      </w:r>
      <w:r>
        <w:t xml:space="preserve"> </w:t>
      </w:r>
      <w:r w:rsidRPr="00CB66EB">
        <w:t>podle</w:t>
      </w:r>
      <w:r>
        <w:t xml:space="preserve"> </w:t>
      </w:r>
      <w:r w:rsidRPr="00CB66EB">
        <w:t>zákona</w:t>
      </w:r>
      <w:r>
        <w:t xml:space="preserve"> </w:t>
      </w:r>
      <w:r w:rsidRPr="00CB66EB">
        <w:t>č.</w:t>
      </w:r>
      <w:r>
        <w:t xml:space="preserve"> </w:t>
      </w:r>
      <w:r w:rsidRPr="00CB66EB">
        <w:t>182/2006</w:t>
      </w:r>
      <w:r>
        <w:t xml:space="preserve"> </w:t>
      </w:r>
      <w:r w:rsidRPr="00CB66EB">
        <w:t>Sb.,</w:t>
      </w:r>
      <w:r>
        <w:t xml:space="preserve"> </w:t>
      </w:r>
      <w:r w:rsidRPr="00CB66EB">
        <w:t>o</w:t>
      </w:r>
      <w:r>
        <w:t xml:space="preserve"> </w:t>
      </w:r>
      <w:r w:rsidRPr="00CB66EB">
        <w:t>úpadku</w:t>
      </w:r>
      <w:r>
        <w:t xml:space="preserve"> </w:t>
      </w:r>
      <w:r w:rsidRPr="00CB66EB">
        <w:t>a</w:t>
      </w:r>
      <w:r>
        <w:t xml:space="preserve"> </w:t>
      </w:r>
      <w:r w:rsidRPr="00CB66EB">
        <w:t>způsobech</w:t>
      </w:r>
      <w:r>
        <w:t xml:space="preserve"> </w:t>
      </w:r>
      <w:r w:rsidRPr="00CB66EB">
        <w:t>jeho</w:t>
      </w:r>
      <w:r>
        <w:t xml:space="preserve"> </w:t>
      </w:r>
      <w:r w:rsidRPr="00CB66EB">
        <w:t>řešení</w:t>
      </w:r>
      <w:r>
        <w:t xml:space="preserve"> </w:t>
      </w:r>
      <w:r w:rsidRPr="00CB66EB">
        <w:t>(insolvenční</w:t>
      </w:r>
      <w:r>
        <w:t xml:space="preserve"> </w:t>
      </w:r>
      <w:r w:rsidRPr="00CB66EB">
        <w:t>zákon),</w:t>
      </w:r>
      <w:r>
        <w:t xml:space="preserve"> </w:t>
      </w:r>
      <w:r w:rsidRPr="00CB66EB">
        <w:t>ve</w:t>
      </w:r>
      <w:r>
        <w:t xml:space="preserve"> </w:t>
      </w:r>
      <w:r w:rsidRPr="00CB66EB">
        <w:t>znění</w:t>
      </w:r>
      <w:r>
        <w:t xml:space="preserve"> </w:t>
      </w:r>
      <w:r w:rsidRPr="00CB66EB">
        <w:t>pozdějších</w:t>
      </w:r>
      <w:r>
        <w:t xml:space="preserve"> </w:t>
      </w:r>
      <w:r w:rsidRPr="00CB66EB">
        <w:t>předpisů,</w:t>
      </w:r>
      <w:r>
        <w:t xml:space="preserve"> </w:t>
      </w:r>
      <w:r w:rsidRPr="00CB66EB">
        <w:t>případně</w:t>
      </w:r>
      <w:r>
        <w:t xml:space="preserve"> </w:t>
      </w:r>
      <w:r w:rsidRPr="00CB66EB">
        <w:t>není</w:t>
      </w:r>
      <w:r>
        <w:t xml:space="preserve"> </w:t>
      </w:r>
      <w:r w:rsidRPr="00CB66EB">
        <w:t>v</w:t>
      </w:r>
      <w:r>
        <w:t xml:space="preserve"> </w:t>
      </w:r>
      <w:r w:rsidRPr="00CB66EB">
        <w:t>likvidaci,</w:t>
      </w:r>
    </w:p>
    <w:p w14:paraId="1175413C" w14:textId="2859B574" w:rsidR="004648F8" w:rsidRDefault="004648F8" w:rsidP="000A18B9">
      <w:pPr>
        <w:pStyle w:val="Textparagrafu"/>
        <w:numPr>
          <w:ilvl w:val="0"/>
          <w:numId w:val="27"/>
        </w:numPr>
        <w:tabs>
          <w:tab w:val="left" w:pos="392"/>
          <w:tab w:val="left" w:pos="840"/>
        </w:tabs>
        <w:spacing w:before="0"/>
        <w:ind w:left="426" w:hanging="426"/>
      </w:pPr>
      <w:r w:rsidRPr="00CB66EB">
        <w:t>c)</w:t>
      </w:r>
      <w:r w:rsidR="00603CB6">
        <w:tab/>
      </w:r>
      <w:r w:rsidRPr="00CB66EB">
        <w:t>nemá-li</w:t>
      </w:r>
      <w:r>
        <w:t xml:space="preserve"> </w:t>
      </w:r>
      <w:r w:rsidRPr="00CB66EB">
        <w:t>žádné</w:t>
      </w:r>
      <w:r>
        <w:t xml:space="preserve"> </w:t>
      </w:r>
      <w:r w:rsidRPr="00CB66EB">
        <w:t>závazky</w:t>
      </w:r>
      <w:r>
        <w:t xml:space="preserve"> </w:t>
      </w:r>
      <w:r w:rsidRPr="00CB66EB">
        <w:t>po</w:t>
      </w:r>
      <w:r>
        <w:t xml:space="preserve"> </w:t>
      </w:r>
      <w:r w:rsidRPr="00CB66EB">
        <w:t>lhůtě</w:t>
      </w:r>
      <w:r>
        <w:t xml:space="preserve"> </w:t>
      </w:r>
      <w:r w:rsidRPr="00CB66EB">
        <w:t>splatnosti</w:t>
      </w:r>
      <w:r>
        <w:t xml:space="preserve"> </w:t>
      </w:r>
      <w:r w:rsidRPr="00CB66EB">
        <w:t>vůči</w:t>
      </w:r>
      <w:r>
        <w:t xml:space="preserve"> </w:t>
      </w:r>
      <w:r w:rsidRPr="00CB66EB">
        <w:t>Fondu</w:t>
      </w:r>
      <w:r>
        <w:t xml:space="preserve"> </w:t>
      </w:r>
      <w:r w:rsidRPr="00CB66EB">
        <w:t>nebo</w:t>
      </w:r>
      <w:r>
        <w:t xml:space="preserve"> </w:t>
      </w:r>
      <w:r w:rsidRPr="00CB66EB">
        <w:t>státu,</w:t>
      </w:r>
      <w:r>
        <w:t xml:space="preserve"> </w:t>
      </w:r>
      <w:r w:rsidRPr="00CB66EB">
        <w:t>a</w:t>
      </w:r>
    </w:p>
    <w:p w14:paraId="5A54517E" w14:textId="65EBF2C3" w:rsidR="004648F8" w:rsidRDefault="004648F8" w:rsidP="000A18B9">
      <w:pPr>
        <w:pStyle w:val="Textparagrafu"/>
        <w:numPr>
          <w:ilvl w:val="0"/>
          <w:numId w:val="27"/>
        </w:numPr>
        <w:tabs>
          <w:tab w:val="left" w:pos="392"/>
          <w:tab w:val="left" w:pos="840"/>
        </w:tabs>
        <w:spacing w:before="0"/>
        <w:ind w:left="426" w:hanging="426"/>
      </w:pPr>
      <w:r w:rsidRPr="00CB66EB">
        <w:t>d)</w:t>
      </w:r>
      <w:r w:rsidR="00603CB6">
        <w:tab/>
      </w:r>
      <w:r w:rsidRPr="00CB66EB">
        <w:t>který</w:t>
      </w:r>
      <w:r>
        <w:t xml:space="preserve"> </w:t>
      </w:r>
      <w:r w:rsidRPr="00CB66EB">
        <w:t>se</w:t>
      </w:r>
      <w:r>
        <w:t xml:space="preserve"> </w:t>
      </w:r>
      <w:r w:rsidRPr="00CB66EB">
        <w:t>v</w:t>
      </w:r>
      <w:r>
        <w:t xml:space="preserve"> </w:t>
      </w:r>
      <w:r w:rsidRPr="00CB66EB">
        <w:t>průběhu</w:t>
      </w:r>
      <w:r>
        <w:t xml:space="preserve"> </w:t>
      </w:r>
      <w:r w:rsidRPr="00CB66EB">
        <w:t>dvou</w:t>
      </w:r>
      <w:r>
        <w:t xml:space="preserve"> </w:t>
      </w:r>
      <w:r w:rsidRPr="00CB66EB">
        <w:t>let</w:t>
      </w:r>
      <w:r>
        <w:t xml:space="preserve"> </w:t>
      </w:r>
      <w:r w:rsidRPr="00CB66EB">
        <w:t>před</w:t>
      </w:r>
      <w:r>
        <w:t xml:space="preserve"> </w:t>
      </w:r>
      <w:r w:rsidRPr="00CB66EB">
        <w:t>podáním</w:t>
      </w:r>
      <w:r>
        <w:t xml:space="preserve"> </w:t>
      </w:r>
      <w:r w:rsidRPr="00CB66EB">
        <w:t>žádosti</w:t>
      </w:r>
      <w:r>
        <w:t xml:space="preserve"> </w:t>
      </w:r>
      <w:r w:rsidRPr="00CB66EB">
        <w:t>nedopustil</w:t>
      </w:r>
      <w:r>
        <w:t xml:space="preserve"> </w:t>
      </w:r>
      <w:r w:rsidRPr="00CB66EB">
        <w:t>trestného</w:t>
      </w:r>
      <w:r>
        <w:t xml:space="preserve"> </w:t>
      </w:r>
      <w:r w:rsidRPr="00CB66EB">
        <w:t>činu</w:t>
      </w:r>
      <w:r>
        <w:t xml:space="preserve"> </w:t>
      </w:r>
      <w:r w:rsidRPr="00CB66EB">
        <w:t>nebo</w:t>
      </w:r>
      <w:r>
        <w:t xml:space="preserve"> </w:t>
      </w:r>
      <w:r w:rsidRPr="00CB66EB">
        <w:t>přestupku,</w:t>
      </w:r>
      <w:r>
        <w:t xml:space="preserve"> </w:t>
      </w:r>
      <w:r w:rsidRPr="00CB66EB">
        <w:t>jehož</w:t>
      </w:r>
      <w:r>
        <w:t xml:space="preserve"> </w:t>
      </w:r>
      <w:r w:rsidRPr="00CB66EB">
        <w:t>skutková</w:t>
      </w:r>
      <w:r>
        <w:t xml:space="preserve"> </w:t>
      </w:r>
      <w:r w:rsidRPr="00CB66EB">
        <w:t>podstata</w:t>
      </w:r>
      <w:r>
        <w:t xml:space="preserve"> </w:t>
      </w:r>
      <w:r w:rsidRPr="00CB66EB">
        <w:t>souvisí</w:t>
      </w:r>
      <w:r>
        <w:t xml:space="preserve"> </w:t>
      </w:r>
      <w:r w:rsidRPr="00CB66EB">
        <w:t>s</w:t>
      </w:r>
      <w:r>
        <w:t xml:space="preserve"> </w:t>
      </w:r>
      <w:r w:rsidRPr="00CB66EB">
        <w:t>předmětem</w:t>
      </w:r>
      <w:r>
        <w:t xml:space="preserve"> </w:t>
      </w:r>
      <w:r w:rsidRPr="00CB66EB">
        <w:t>jeho</w:t>
      </w:r>
      <w:r>
        <w:t xml:space="preserve"> </w:t>
      </w:r>
      <w:r w:rsidRPr="00CB66EB">
        <w:t>podnikání.</w:t>
      </w:r>
    </w:p>
    <w:p w14:paraId="6FC73F8A" w14:textId="77777777" w:rsidR="004648F8" w:rsidRDefault="004648F8" w:rsidP="0006588E">
      <w:pPr>
        <w:pStyle w:val="Textparagrafu"/>
        <w:numPr>
          <w:ilvl w:val="0"/>
          <w:numId w:val="27"/>
        </w:numPr>
        <w:tabs>
          <w:tab w:val="left" w:pos="392"/>
          <w:tab w:val="left" w:pos="840"/>
        </w:tabs>
        <w:spacing w:before="120" w:after="120"/>
        <w:ind w:firstLine="425"/>
      </w:pPr>
      <w:r w:rsidRPr="00CB66EB">
        <w:t>(13)</w:t>
      </w:r>
      <w:r>
        <w:t xml:space="preserve"> </w:t>
      </w:r>
      <w:r w:rsidRPr="00CB66EB">
        <w:t>V</w:t>
      </w:r>
      <w:r>
        <w:t xml:space="preserve"> </w:t>
      </w:r>
      <w:r w:rsidRPr="00CB66EB">
        <w:t>žádosti</w:t>
      </w:r>
      <w:r>
        <w:t xml:space="preserve"> </w:t>
      </w:r>
      <w:r w:rsidRPr="00CB66EB">
        <w:t>o</w:t>
      </w:r>
      <w:r>
        <w:t xml:space="preserve"> </w:t>
      </w:r>
      <w:r w:rsidRPr="00CB66EB">
        <w:t>poskytnutí</w:t>
      </w:r>
      <w:r>
        <w:t xml:space="preserve"> </w:t>
      </w:r>
      <w:r w:rsidRPr="00CB66EB">
        <w:t>podpory</w:t>
      </w:r>
      <w:r>
        <w:t xml:space="preserve"> </w:t>
      </w:r>
      <w:r w:rsidRPr="00CB66EB">
        <w:t>žadatel</w:t>
      </w:r>
      <w:r>
        <w:t xml:space="preserve"> </w:t>
      </w:r>
      <w:r w:rsidRPr="00CB66EB">
        <w:t>uvede</w:t>
      </w:r>
    </w:p>
    <w:p w14:paraId="49DD7922" w14:textId="6EF0A367" w:rsidR="004648F8" w:rsidRDefault="004648F8" w:rsidP="000A18B9">
      <w:pPr>
        <w:pStyle w:val="Textparagrafu"/>
        <w:numPr>
          <w:ilvl w:val="0"/>
          <w:numId w:val="27"/>
        </w:numPr>
        <w:tabs>
          <w:tab w:val="left" w:pos="392"/>
          <w:tab w:val="left" w:pos="840"/>
        </w:tabs>
        <w:spacing w:before="0"/>
        <w:ind w:left="426" w:hanging="426"/>
      </w:pPr>
      <w:r w:rsidRPr="00CB66EB">
        <w:t>a)</w:t>
      </w:r>
      <w:r w:rsidR="00603CB6">
        <w:tab/>
      </w:r>
      <w:r w:rsidRPr="00CB66EB">
        <w:t>jméno,</w:t>
      </w:r>
      <w:r>
        <w:t xml:space="preserve"> </w:t>
      </w:r>
      <w:r w:rsidRPr="00CB66EB">
        <w:t>popřípadě</w:t>
      </w:r>
      <w:r>
        <w:t xml:space="preserve"> </w:t>
      </w:r>
      <w:r w:rsidRPr="00CB66EB">
        <w:t>jména</w:t>
      </w:r>
      <w:r>
        <w:t xml:space="preserve"> </w:t>
      </w:r>
      <w:r w:rsidRPr="00CB66EB">
        <w:t>a</w:t>
      </w:r>
      <w:r>
        <w:t xml:space="preserve"> </w:t>
      </w:r>
      <w:r w:rsidRPr="00CB66EB">
        <w:t>příjmení</w:t>
      </w:r>
      <w:r>
        <w:t xml:space="preserve"> </w:t>
      </w:r>
      <w:r w:rsidRPr="00CB66EB">
        <w:t>nebo</w:t>
      </w:r>
      <w:r>
        <w:t xml:space="preserve"> </w:t>
      </w:r>
      <w:r w:rsidRPr="00CB66EB">
        <w:t>obchodní</w:t>
      </w:r>
      <w:r>
        <w:t xml:space="preserve"> </w:t>
      </w:r>
      <w:r w:rsidRPr="00CB66EB">
        <w:t>firmu,</w:t>
      </w:r>
      <w:r>
        <w:t xml:space="preserve"> </w:t>
      </w:r>
      <w:r w:rsidRPr="00CB66EB">
        <w:t>místo</w:t>
      </w:r>
      <w:r>
        <w:t xml:space="preserve"> </w:t>
      </w:r>
      <w:r w:rsidRPr="00CB66EB">
        <w:t>trvalého</w:t>
      </w:r>
      <w:r>
        <w:t xml:space="preserve"> </w:t>
      </w:r>
      <w:r w:rsidRPr="00CB66EB">
        <w:t>pobytu</w:t>
      </w:r>
      <w:r>
        <w:t xml:space="preserve"> </w:t>
      </w:r>
      <w:r w:rsidRPr="00CB66EB">
        <w:t>na</w:t>
      </w:r>
      <w:r>
        <w:t xml:space="preserve"> </w:t>
      </w:r>
      <w:r w:rsidRPr="00CB66EB">
        <w:t>území</w:t>
      </w:r>
      <w:r>
        <w:t xml:space="preserve"> </w:t>
      </w:r>
      <w:r w:rsidRPr="00CB66EB">
        <w:t>České</w:t>
      </w:r>
      <w:r>
        <w:t xml:space="preserve"> </w:t>
      </w:r>
      <w:r w:rsidRPr="00CB66EB">
        <w:t>republiky,</w:t>
      </w:r>
      <w:r>
        <w:t xml:space="preserve"> </w:t>
      </w:r>
      <w:r w:rsidRPr="00CB66EB">
        <w:t>jedná-li</w:t>
      </w:r>
      <w:r>
        <w:t xml:space="preserve"> </w:t>
      </w:r>
      <w:r w:rsidRPr="00CB66EB">
        <w:t>se</w:t>
      </w:r>
      <w:r>
        <w:t xml:space="preserve"> </w:t>
      </w:r>
      <w:r w:rsidRPr="00CB66EB">
        <w:t>o</w:t>
      </w:r>
      <w:r>
        <w:t xml:space="preserve"> </w:t>
      </w:r>
      <w:r w:rsidRPr="00CB66EB">
        <w:t>občana</w:t>
      </w:r>
      <w:r>
        <w:t xml:space="preserve"> </w:t>
      </w:r>
      <w:r w:rsidRPr="00CB66EB">
        <w:t>České</w:t>
      </w:r>
      <w:r>
        <w:t xml:space="preserve"> </w:t>
      </w:r>
      <w:r w:rsidRPr="00CB66EB">
        <w:t>republiky,</w:t>
      </w:r>
      <w:r>
        <w:t xml:space="preserve"> </w:t>
      </w:r>
      <w:r w:rsidRPr="00CB66EB">
        <w:t>nebo</w:t>
      </w:r>
      <w:r>
        <w:t xml:space="preserve"> </w:t>
      </w:r>
      <w:r w:rsidRPr="00CB66EB">
        <w:t>bydliště</w:t>
      </w:r>
      <w:r>
        <w:t xml:space="preserve"> </w:t>
      </w:r>
      <w:r w:rsidRPr="00CB66EB">
        <w:t>v</w:t>
      </w:r>
      <w:r>
        <w:t xml:space="preserve"> </w:t>
      </w:r>
      <w:r w:rsidRPr="00CB66EB">
        <w:t>zahraničí,</w:t>
      </w:r>
      <w:r>
        <w:t xml:space="preserve"> </w:t>
      </w:r>
      <w:r w:rsidRPr="00CB66EB">
        <w:t>popřípadě</w:t>
      </w:r>
      <w:r>
        <w:t xml:space="preserve"> </w:t>
      </w:r>
      <w:r w:rsidRPr="00CB66EB">
        <w:t>místo</w:t>
      </w:r>
      <w:r>
        <w:t xml:space="preserve"> </w:t>
      </w:r>
      <w:r w:rsidRPr="00CB66EB">
        <w:t>pobytu</w:t>
      </w:r>
      <w:r>
        <w:t xml:space="preserve"> </w:t>
      </w:r>
      <w:r w:rsidRPr="00CB66EB">
        <w:t>v</w:t>
      </w:r>
      <w:r>
        <w:t xml:space="preserve"> </w:t>
      </w:r>
      <w:r w:rsidRPr="00CB66EB">
        <w:t>České</w:t>
      </w:r>
      <w:r>
        <w:t xml:space="preserve"> </w:t>
      </w:r>
      <w:r w:rsidRPr="00CB66EB">
        <w:t>republice,</w:t>
      </w:r>
      <w:r>
        <w:t xml:space="preserve"> </w:t>
      </w:r>
      <w:r w:rsidRPr="00CB66EB">
        <w:t>nejedná-li</w:t>
      </w:r>
      <w:r>
        <w:t xml:space="preserve"> </w:t>
      </w:r>
      <w:r w:rsidRPr="00CB66EB">
        <w:t>se</w:t>
      </w:r>
      <w:r>
        <w:t xml:space="preserve"> </w:t>
      </w:r>
      <w:r w:rsidRPr="00CB66EB">
        <w:t>o</w:t>
      </w:r>
      <w:r>
        <w:t xml:space="preserve"> </w:t>
      </w:r>
      <w:r w:rsidRPr="00CB66EB">
        <w:t>občana</w:t>
      </w:r>
      <w:r>
        <w:t xml:space="preserve"> </w:t>
      </w:r>
      <w:r w:rsidRPr="00CB66EB">
        <w:t>České</w:t>
      </w:r>
      <w:r>
        <w:t xml:space="preserve"> </w:t>
      </w:r>
      <w:r w:rsidRPr="00CB66EB">
        <w:t>republiky,</w:t>
      </w:r>
      <w:r>
        <w:t xml:space="preserve"> </w:t>
      </w:r>
      <w:r w:rsidRPr="00CB66EB">
        <w:t>místo</w:t>
      </w:r>
      <w:r>
        <w:t xml:space="preserve"> </w:t>
      </w:r>
      <w:r w:rsidRPr="00CB66EB">
        <w:t>podnikání,</w:t>
      </w:r>
      <w:r>
        <w:t xml:space="preserve"> </w:t>
      </w:r>
      <w:r w:rsidRPr="00CB66EB">
        <w:t>liší-li</w:t>
      </w:r>
      <w:r>
        <w:t xml:space="preserve"> </w:t>
      </w:r>
      <w:r w:rsidRPr="00CB66EB">
        <w:t>se</w:t>
      </w:r>
      <w:r>
        <w:t xml:space="preserve"> </w:t>
      </w:r>
      <w:r w:rsidRPr="00CB66EB">
        <w:t>od</w:t>
      </w:r>
      <w:r>
        <w:t xml:space="preserve"> </w:t>
      </w:r>
      <w:r w:rsidRPr="00CB66EB">
        <w:t>místa</w:t>
      </w:r>
      <w:r>
        <w:t xml:space="preserve"> </w:t>
      </w:r>
      <w:r w:rsidRPr="00CB66EB">
        <w:t>pobytu,</w:t>
      </w:r>
      <w:r>
        <w:t xml:space="preserve"> </w:t>
      </w:r>
      <w:r w:rsidRPr="00CB66EB">
        <w:t>a</w:t>
      </w:r>
      <w:r>
        <w:t xml:space="preserve"> </w:t>
      </w:r>
      <w:r w:rsidRPr="00CB66EB">
        <w:t>identifikační</w:t>
      </w:r>
      <w:r>
        <w:t xml:space="preserve"> </w:t>
      </w:r>
      <w:r w:rsidRPr="00CB66EB">
        <w:t>číslo,</w:t>
      </w:r>
      <w:r>
        <w:t xml:space="preserve"> </w:t>
      </w:r>
      <w:r w:rsidRPr="00CB66EB">
        <w:t>bylo-li</w:t>
      </w:r>
      <w:r>
        <w:t xml:space="preserve"> </w:t>
      </w:r>
      <w:r w:rsidRPr="00CB66EB">
        <w:t>přiděleno,</w:t>
      </w:r>
      <w:r>
        <w:t xml:space="preserve"> </w:t>
      </w:r>
      <w:r w:rsidRPr="00CB66EB">
        <w:t>jde-li</w:t>
      </w:r>
      <w:r>
        <w:t xml:space="preserve"> </w:t>
      </w:r>
      <w:r w:rsidRPr="00CB66EB">
        <w:t>o</w:t>
      </w:r>
      <w:r>
        <w:t xml:space="preserve"> </w:t>
      </w:r>
      <w:r w:rsidRPr="00CB66EB">
        <w:t>podnikající</w:t>
      </w:r>
      <w:r>
        <w:t xml:space="preserve"> </w:t>
      </w:r>
      <w:r w:rsidRPr="00CB66EB">
        <w:t>fyzickou</w:t>
      </w:r>
      <w:r>
        <w:t xml:space="preserve"> </w:t>
      </w:r>
      <w:r w:rsidRPr="00CB66EB">
        <w:t>osobu,</w:t>
      </w:r>
      <w:r>
        <w:t xml:space="preserve"> </w:t>
      </w:r>
      <w:r w:rsidRPr="00CB66EB">
        <w:t>jméno,</w:t>
      </w:r>
      <w:r>
        <w:t xml:space="preserve"> </w:t>
      </w:r>
      <w:r w:rsidRPr="00CB66EB">
        <w:t>popřípadě</w:t>
      </w:r>
      <w:r>
        <w:t xml:space="preserve"> </w:t>
      </w:r>
      <w:r w:rsidRPr="00CB66EB">
        <w:t>jména</w:t>
      </w:r>
      <w:r>
        <w:t xml:space="preserve"> </w:t>
      </w:r>
      <w:r w:rsidRPr="00CB66EB">
        <w:t>a</w:t>
      </w:r>
      <w:r>
        <w:t xml:space="preserve"> </w:t>
      </w:r>
      <w:r w:rsidRPr="00CB66EB">
        <w:t>příjmení,</w:t>
      </w:r>
      <w:r>
        <w:t xml:space="preserve"> </w:t>
      </w:r>
      <w:r w:rsidRPr="00CB66EB">
        <w:t>místo</w:t>
      </w:r>
      <w:r>
        <w:t xml:space="preserve"> </w:t>
      </w:r>
      <w:r w:rsidRPr="00CB66EB">
        <w:t>trvalého</w:t>
      </w:r>
      <w:r>
        <w:t xml:space="preserve"> </w:t>
      </w:r>
      <w:r w:rsidRPr="00CB66EB">
        <w:t>pobytu</w:t>
      </w:r>
      <w:r>
        <w:t xml:space="preserve"> </w:t>
      </w:r>
      <w:r w:rsidRPr="00CB66EB">
        <w:t>a</w:t>
      </w:r>
      <w:r>
        <w:t xml:space="preserve"> </w:t>
      </w:r>
      <w:r w:rsidRPr="00CB66EB">
        <w:t>datum</w:t>
      </w:r>
      <w:r>
        <w:t xml:space="preserve"> </w:t>
      </w:r>
      <w:r w:rsidRPr="00CB66EB">
        <w:t>narození,</w:t>
      </w:r>
      <w:r>
        <w:t xml:space="preserve"> </w:t>
      </w:r>
      <w:r w:rsidRPr="00CB66EB">
        <w:t>jde-li</w:t>
      </w:r>
      <w:r>
        <w:t xml:space="preserve"> </w:t>
      </w:r>
      <w:r w:rsidRPr="00CB66EB">
        <w:t>o</w:t>
      </w:r>
      <w:r>
        <w:t xml:space="preserve"> </w:t>
      </w:r>
      <w:r w:rsidRPr="00CB66EB">
        <w:t>nepodnikající</w:t>
      </w:r>
      <w:r>
        <w:t xml:space="preserve"> </w:t>
      </w:r>
      <w:r w:rsidRPr="00CB66EB">
        <w:t>fyzickou</w:t>
      </w:r>
      <w:r>
        <w:t xml:space="preserve"> </w:t>
      </w:r>
      <w:r w:rsidRPr="00CB66EB">
        <w:t>osobu,</w:t>
      </w:r>
      <w:r>
        <w:t xml:space="preserve"> </w:t>
      </w:r>
      <w:r w:rsidRPr="00CB66EB">
        <w:t>obchodní</w:t>
      </w:r>
      <w:r>
        <w:t xml:space="preserve"> </w:t>
      </w:r>
      <w:r w:rsidRPr="00CB66EB">
        <w:t>firmu</w:t>
      </w:r>
      <w:r>
        <w:t xml:space="preserve"> </w:t>
      </w:r>
      <w:r w:rsidRPr="00CB66EB">
        <w:t>nebo</w:t>
      </w:r>
      <w:r>
        <w:t xml:space="preserve"> </w:t>
      </w:r>
      <w:r w:rsidRPr="00CB66EB">
        <w:t>název,</w:t>
      </w:r>
      <w:r>
        <w:t xml:space="preserve"> </w:t>
      </w:r>
      <w:r w:rsidRPr="00CB66EB">
        <w:t>sídlo</w:t>
      </w:r>
      <w:r>
        <w:t xml:space="preserve"> </w:t>
      </w:r>
      <w:r w:rsidRPr="00CB66EB">
        <w:t>a</w:t>
      </w:r>
      <w:r>
        <w:t xml:space="preserve"> </w:t>
      </w:r>
      <w:r w:rsidRPr="00CB66EB">
        <w:t>identifikační</w:t>
      </w:r>
      <w:r>
        <w:t xml:space="preserve"> </w:t>
      </w:r>
      <w:r w:rsidRPr="00CB66EB">
        <w:t>číslo,</w:t>
      </w:r>
      <w:r>
        <w:t xml:space="preserve"> </w:t>
      </w:r>
      <w:r w:rsidRPr="00CB66EB">
        <w:t>jde-li</w:t>
      </w:r>
      <w:r>
        <w:t xml:space="preserve"> </w:t>
      </w:r>
      <w:r w:rsidRPr="00CB66EB">
        <w:t>o</w:t>
      </w:r>
      <w:r>
        <w:t xml:space="preserve"> </w:t>
      </w:r>
      <w:r w:rsidRPr="00CB66EB">
        <w:t>právnickou</w:t>
      </w:r>
      <w:r>
        <w:t xml:space="preserve"> </w:t>
      </w:r>
      <w:r w:rsidRPr="00CB66EB">
        <w:t>osobu,</w:t>
      </w:r>
    </w:p>
    <w:p w14:paraId="507CEBB0" w14:textId="0A237700" w:rsidR="004648F8" w:rsidRDefault="004648F8" w:rsidP="000A18B9">
      <w:pPr>
        <w:pStyle w:val="Textparagrafu"/>
        <w:numPr>
          <w:ilvl w:val="0"/>
          <w:numId w:val="27"/>
        </w:numPr>
        <w:tabs>
          <w:tab w:val="left" w:pos="392"/>
          <w:tab w:val="left" w:pos="840"/>
        </w:tabs>
        <w:spacing w:before="0"/>
        <w:ind w:left="426" w:hanging="426"/>
      </w:pPr>
      <w:r w:rsidRPr="00CB66EB">
        <w:t>b)</w:t>
      </w:r>
      <w:r w:rsidR="00603CB6">
        <w:tab/>
      </w:r>
      <w:r w:rsidRPr="00CB66EB">
        <w:t>účel,</w:t>
      </w:r>
      <w:r>
        <w:t xml:space="preserve"> </w:t>
      </w:r>
      <w:r w:rsidRPr="00CB66EB">
        <w:t>na</w:t>
      </w:r>
      <w:r>
        <w:t xml:space="preserve"> </w:t>
      </w:r>
      <w:r w:rsidRPr="00CB66EB">
        <w:t>který</w:t>
      </w:r>
      <w:r>
        <w:t xml:space="preserve"> </w:t>
      </w:r>
      <w:r w:rsidRPr="00CB66EB">
        <w:t>je</w:t>
      </w:r>
      <w:r>
        <w:t xml:space="preserve"> </w:t>
      </w:r>
      <w:r w:rsidRPr="00CB66EB">
        <w:t>podpora</w:t>
      </w:r>
      <w:r>
        <w:t xml:space="preserve"> </w:t>
      </w:r>
      <w:r w:rsidRPr="00CB66EB">
        <w:t>požadována,</w:t>
      </w:r>
    </w:p>
    <w:p w14:paraId="636A8CB6" w14:textId="420C8CF2" w:rsidR="004648F8" w:rsidRDefault="004648F8" w:rsidP="000A18B9">
      <w:pPr>
        <w:pStyle w:val="Textparagrafu"/>
        <w:numPr>
          <w:ilvl w:val="0"/>
          <w:numId w:val="27"/>
        </w:numPr>
        <w:tabs>
          <w:tab w:val="left" w:pos="392"/>
          <w:tab w:val="left" w:pos="840"/>
        </w:tabs>
        <w:spacing w:before="0"/>
        <w:ind w:left="426" w:hanging="426"/>
      </w:pPr>
      <w:r w:rsidRPr="00CB66EB">
        <w:t>c)</w:t>
      </w:r>
      <w:r w:rsidR="00603CB6">
        <w:tab/>
      </w:r>
      <w:r w:rsidRPr="00CB66EB">
        <w:t>předpokládané</w:t>
      </w:r>
      <w:r>
        <w:t xml:space="preserve"> </w:t>
      </w:r>
      <w:r w:rsidRPr="00CB66EB">
        <w:t>celkové</w:t>
      </w:r>
      <w:r>
        <w:t xml:space="preserve"> </w:t>
      </w:r>
      <w:r w:rsidRPr="00CB66EB">
        <w:t>náklady,</w:t>
      </w:r>
      <w:r>
        <w:t xml:space="preserve"> </w:t>
      </w:r>
      <w:r w:rsidRPr="00CB66EB">
        <w:t>jejichž</w:t>
      </w:r>
      <w:r>
        <w:t xml:space="preserve"> </w:t>
      </w:r>
      <w:r w:rsidRPr="00CB66EB">
        <w:t>úhradu</w:t>
      </w:r>
      <w:r>
        <w:t xml:space="preserve"> </w:t>
      </w:r>
      <w:r w:rsidRPr="00CB66EB">
        <w:t>požaduje,</w:t>
      </w:r>
      <w:r>
        <w:t xml:space="preserve"> </w:t>
      </w:r>
      <w:r w:rsidRPr="00CB66EB">
        <w:t>a</w:t>
      </w:r>
    </w:p>
    <w:p w14:paraId="09A510CA" w14:textId="58D01AEE" w:rsidR="004648F8" w:rsidRDefault="004648F8" w:rsidP="000A18B9">
      <w:pPr>
        <w:pStyle w:val="Textparagrafu"/>
        <w:numPr>
          <w:ilvl w:val="0"/>
          <w:numId w:val="27"/>
        </w:numPr>
        <w:tabs>
          <w:tab w:val="left" w:pos="392"/>
          <w:tab w:val="left" w:pos="840"/>
        </w:tabs>
        <w:spacing w:before="0"/>
        <w:ind w:left="426" w:hanging="426"/>
      </w:pPr>
      <w:r w:rsidRPr="00CB66EB">
        <w:t>d)</w:t>
      </w:r>
      <w:r w:rsidR="00603CB6">
        <w:tab/>
      </w:r>
      <w:r w:rsidRPr="00CB66EB">
        <w:t>rok,</w:t>
      </w:r>
      <w:r>
        <w:t xml:space="preserve"> </w:t>
      </w:r>
      <w:r w:rsidRPr="00CB66EB">
        <w:t>ve</w:t>
      </w:r>
      <w:r>
        <w:t xml:space="preserve"> </w:t>
      </w:r>
      <w:r w:rsidRPr="00CB66EB">
        <w:t>kterém</w:t>
      </w:r>
      <w:r>
        <w:t xml:space="preserve"> </w:t>
      </w:r>
      <w:r w:rsidRPr="00CB66EB">
        <w:t>mu</w:t>
      </w:r>
      <w:r>
        <w:t xml:space="preserve"> </w:t>
      </w:r>
      <w:r w:rsidRPr="00CB66EB">
        <w:t>byla</w:t>
      </w:r>
      <w:r>
        <w:t xml:space="preserve"> </w:t>
      </w:r>
      <w:r w:rsidRPr="00CB66EB">
        <w:t>naposledy</w:t>
      </w:r>
      <w:r>
        <w:t xml:space="preserve"> </w:t>
      </w:r>
      <w:r w:rsidRPr="00CB66EB">
        <w:t>Fondem</w:t>
      </w:r>
      <w:r>
        <w:t xml:space="preserve"> </w:t>
      </w:r>
      <w:r w:rsidRPr="00CB66EB">
        <w:t>poskytnuta</w:t>
      </w:r>
      <w:r>
        <w:t xml:space="preserve"> </w:t>
      </w:r>
      <w:r w:rsidRPr="00CB66EB">
        <w:t>podpora,</w:t>
      </w:r>
      <w:r>
        <w:t xml:space="preserve"> </w:t>
      </w:r>
      <w:r w:rsidRPr="00CB66EB">
        <w:t>popřípadě</w:t>
      </w:r>
      <w:r>
        <w:t xml:space="preserve"> </w:t>
      </w:r>
      <w:r w:rsidRPr="00CB66EB">
        <w:t>uvede,</w:t>
      </w:r>
      <w:r>
        <w:t xml:space="preserve"> </w:t>
      </w:r>
      <w:r w:rsidRPr="00CB66EB">
        <w:t>že</w:t>
      </w:r>
      <w:r>
        <w:t xml:space="preserve"> </w:t>
      </w:r>
      <w:r w:rsidRPr="00CB66EB">
        <w:t>mu</w:t>
      </w:r>
      <w:r>
        <w:t xml:space="preserve"> </w:t>
      </w:r>
      <w:r w:rsidRPr="00CB66EB">
        <w:t>podpora</w:t>
      </w:r>
      <w:r>
        <w:t xml:space="preserve"> </w:t>
      </w:r>
      <w:r w:rsidRPr="00CB66EB">
        <w:t>doposud</w:t>
      </w:r>
      <w:r>
        <w:t xml:space="preserve"> </w:t>
      </w:r>
      <w:r w:rsidRPr="00CB66EB">
        <w:t>poskytnuta</w:t>
      </w:r>
      <w:r>
        <w:t xml:space="preserve"> </w:t>
      </w:r>
      <w:r w:rsidRPr="00CB66EB">
        <w:t>nebyla.</w:t>
      </w:r>
    </w:p>
    <w:p w14:paraId="1C81D3BA" w14:textId="77777777" w:rsidR="004648F8" w:rsidRDefault="004648F8" w:rsidP="004648F8">
      <w:pPr>
        <w:pStyle w:val="Textparagrafu"/>
        <w:numPr>
          <w:ilvl w:val="0"/>
          <w:numId w:val="27"/>
        </w:numPr>
        <w:tabs>
          <w:tab w:val="left" w:pos="392"/>
          <w:tab w:val="left" w:pos="840"/>
        </w:tabs>
        <w:spacing w:after="120"/>
        <w:ind w:firstLine="426"/>
      </w:pPr>
      <w:r w:rsidRPr="00CB66EB">
        <w:t>(14)</w:t>
      </w:r>
      <w:r>
        <w:t xml:space="preserve"> </w:t>
      </w:r>
      <w:r w:rsidRPr="00CB66EB">
        <w:t>K</w:t>
      </w:r>
      <w:r>
        <w:t xml:space="preserve"> </w:t>
      </w:r>
      <w:r w:rsidRPr="00CB66EB">
        <w:t>žádosti</w:t>
      </w:r>
      <w:r>
        <w:t xml:space="preserve"> </w:t>
      </w:r>
      <w:r w:rsidRPr="00CB66EB">
        <w:t>o</w:t>
      </w:r>
      <w:r>
        <w:t xml:space="preserve"> </w:t>
      </w:r>
      <w:r w:rsidRPr="00CB66EB">
        <w:t>poskytnutí</w:t>
      </w:r>
      <w:r>
        <w:t xml:space="preserve"> </w:t>
      </w:r>
      <w:r w:rsidRPr="00CB66EB">
        <w:t>podpory</w:t>
      </w:r>
      <w:r>
        <w:t xml:space="preserve"> </w:t>
      </w:r>
      <w:r w:rsidRPr="00CB66EB">
        <w:t>žadatel</w:t>
      </w:r>
      <w:r>
        <w:t xml:space="preserve"> </w:t>
      </w:r>
      <w:r w:rsidRPr="00CB66EB">
        <w:t>přiloží</w:t>
      </w:r>
    </w:p>
    <w:p w14:paraId="3BA43ED8" w14:textId="011E14D3" w:rsidR="004648F8" w:rsidRDefault="004648F8" w:rsidP="000A18B9">
      <w:pPr>
        <w:pStyle w:val="Textparagrafu"/>
        <w:numPr>
          <w:ilvl w:val="0"/>
          <w:numId w:val="27"/>
        </w:numPr>
        <w:tabs>
          <w:tab w:val="left" w:pos="392"/>
          <w:tab w:val="left" w:pos="840"/>
        </w:tabs>
        <w:spacing w:before="0"/>
        <w:ind w:left="426" w:hanging="426"/>
      </w:pPr>
      <w:r w:rsidRPr="00CB66EB">
        <w:t>a)</w:t>
      </w:r>
      <w:r w:rsidR="00603CB6">
        <w:tab/>
      </w:r>
      <w:r w:rsidRPr="00CB66EB">
        <w:t>doklad</w:t>
      </w:r>
      <w:r>
        <w:t xml:space="preserve"> </w:t>
      </w:r>
      <w:r w:rsidRPr="00CB66EB">
        <w:t>potvrzující</w:t>
      </w:r>
      <w:r>
        <w:t xml:space="preserve"> </w:t>
      </w:r>
      <w:r w:rsidRPr="00CB66EB">
        <w:t>skutečnosti</w:t>
      </w:r>
      <w:r>
        <w:t xml:space="preserve"> </w:t>
      </w:r>
      <w:r w:rsidRPr="00CB66EB">
        <w:t>uvedené</w:t>
      </w:r>
      <w:r>
        <w:t xml:space="preserve"> </w:t>
      </w:r>
      <w:r w:rsidRPr="00CB66EB">
        <w:t>v</w:t>
      </w:r>
      <w:r>
        <w:t xml:space="preserve"> </w:t>
      </w:r>
      <w:r w:rsidRPr="00CB66EB">
        <w:t>odstavci</w:t>
      </w:r>
      <w:r>
        <w:t xml:space="preserve"> </w:t>
      </w:r>
      <w:r w:rsidRPr="00CB66EB">
        <w:t>13</w:t>
      </w:r>
      <w:r>
        <w:t xml:space="preserve"> </w:t>
      </w:r>
      <w:r w:rsidRPr="00CB66EB">
        <w:t>písm.</w:t>
      </w:r>
      <w:r>
        <w:t xml:space="preserve"> </w:t>
      </w:r>
      <w:r w:rsidRPr="00CB66EB">
        <w:t>a)</w:t>
      </w:r>
      <w:r>
        <w:t xml:space="preserve"> </w:t>
      </w:r>
      <w:r w:rsidRPr="00CB66EB">
        <w:t>a</w:t>
      </w:r>
    </w:p>
    <w:p w14:paraId="270BA7C2" w14:textId="78D63E18" w:rsidR="004648F8" w:rsidRDefault="004648F8" w:rsidP="000A18B9">
      <w:pPr>
        <w:pStyle w:val="Textparagrafu"/>
        <w:numPr>
          <w:ilvl w:val="0"/>
          <w:numId w:val="27"/>
        </w:numPr>
        <w:tabs>
          <w:tab w:val="left" w:pos="392"/>
          <w:tab w:val="left" w:pos="840"/>
        </w:tabs>
        <w:spacing w:before="0"/>
        <w:ind w:left="426" w:hanging="426"/>
      </w:pPr>
      <w:r w:rsidRPr="00CB66EB">
        <w:t>b)</w:t>
      </w:r>
      <w:r w:rsidR="00603CB6">
        <w:tab/>
      </w:r>
      <w:r w:rsidRPr="00CB66EB">
        <w:t>souhlas</w:t>
      </w:r>
      <w:r>
        <w:t xml:space="preserve"> </w:t>
      </w:r>
      <w:r w:rsidRPr="00CB66EB">
        <w:t>s</w:t>
      </w:r>
      <w:r>
        <w:t xml:space="preserve"> </w:t>
      </w:r>
      <w:r w:rsidRPr="00CB66EB">
        <w:t>nakládáním</w:t>
      </w:r>
      <w:r>
        <w:t xml:space="preserve"> </w:t>
      </w:r>
      <w:r w:rsidRPr="00CB66EB">
        <w:t>s</w:t>
      </w:r>
      <w:r>
        <w:t xml:space="preserve"> </w:t>
      </w:r>
      <w:r w:rsidRPr="00CB66EB">
        <w:t>osobními</w:t>
      </w:r>
      <w:r>
        <w:t xml:space="preserve"> </w:t>
      </w:r>
      <w:r w:rsidRPr="00CB66EB">
        <w:t>údaji</w:t>
      </w:r>
      <w:r>
        <w:t xml:space="preserve"> </w:t>
      </w:r>
      <w:r w:rsidRPr="00CB66EB">
        <w:t>uvedenými</w:t>
      </w:r>
      <w:r>
        <w:t xml:space="preserve"> </w:t>
      </w:r>
      <w:r w:rsidRPr="00CB66EB">
        <w:t>v</w:t>
      </w:r>
      <w:r>
        <w:t xml:space="preserve"> </w:t>
      </w:r>
      <w:r w:rsidRPr="00CB66EB">
        <w:t>žádosti</w:t>
      </w:r>
      <w:r>
        <w:t xml:space="preserve"> </w:t>
      </w:r>
      <w:r w:rsidRPr="00CB66EB">
        <w:t>o</w:t>
      </w:r>
      <w:r>
        <w:t xml:space="preserve"> </w:t>
      </w:r>
      <w:r w:rsidRPr="00CB66EB">
        <w:t>poskytnutí</w:t>
      </w:r>
      <w:r>
        <w:t xml:space="preserve"> </w:t>
      </w:r>
      <w:r w:rsidRPr="00CB66EB">
        <w:t>podpory</w:t>
      </w:r>
      <w:r>
        <w:t xml:space="preserve"> </w:t>
      </w:r>
      <w:r w:rsidRPr="00CB66EB">
        <w:t>v</w:t>
      </w:r>
      <w:r>
        <w:t xml:space="preserve"> </w:t>
      </w:r>
      <w:r w:rsidRPr="00CB66EB">
        <w:t>rozsahu</w:t>
      </w:r>
      <w:r>
        <w:t xml:space="preserve"> </w:t>
      </w:r>
      <w:r w:rsidRPr="00CB66EB">
        <w:t>nezbytném</w:t>
      </w:r>
      <w:r>
        <w:t xml:space="preserve"> </w:t>
      </w:r>
      <w:r w:rsidRPr="00CB66EB">
        <w:t>pro</w:t>
      </w:r>
      <w:r>
        <w:t xml:space="preserve"> </w:t>
      </w:r>
      <w:r w:rsidRPr="00CB66EB">
        <w:t>vyřízení</w:t>
      </w:r>
      <w:r>
        <w:t xml:space="preserve"> </w:t>
      </w:r>
      <w:r w:rsidRPr="00CB66EB">
        <w:t>nebo</w:t>
      </w:r>
      <w:r>
        <w:t xml:space="preserve"> </w:t>
      </w:r>
      <w:r w:rsidRPr="00CB66EB">
        <w:t>kontrolu</w:t>
      </w:r>
      <w:r>
        <w:t xml:space="preserve"> </w:t>
      </w:r>
      <w:r w:rsidRPr="00CB66EB">
        <w:t>žádosti,</w:t>
      </w:r>
      <w:r>
        <w:t xml:space="preserve"> </w:t>
      </w:r>
      <w:r w:rsidRPr="00CB66EB">
        <w:t>a</w:t>
      </w:r>
      <w:r>
        <w:t xml:space="preserve"> </w:t>
      </w:r>
      <w:r w:rsidRPr="00CB66EB">
        <w:t>souhlas</w:t>
      </w:r>
      <w:r>
        <w:t xml:space="preserve"> </w:t>
      </w:r>
      <w:r w:rsidRPr="00CB66EB">
        <w:t>se</w:t>
      </w:r>
      <w:r>
        <w:t xml:space="preserve"> </w:t>
      </w:r>
      <w:r w:rsidRPr="00CB66EB">
        <w:t>zveřejněním</w:t>
      </w:r>
      <w:r>
        <w:t xml:space="preserve"> </w:t>
      </w:r>
      <w:r w:rsidRPr="00CB66EB">
        <w:t>potřebných</w:t>
      </w:r>
      <w:r>
        <w:t xml:space="preserve"> </w:t>
      </w:r>
      <w:r w:rsidRPr="00CB66EB">
        <w:t>údajů</w:t>
      </w:r>
      <w:r>
        <w:t xml:space="preserve"> </w:t>
      </w:r>
      <w:r w:rsidRPr="00CB66EB">
        <w:t>na</w:t>
      </w:r>
      <w:r>
        <w:t xml:space="preserve"> </w:t>
      </w:r>
      <w:r w:rsidRPr="00CB66EB">
        <w:t>webových</w:t>
      </w:r>
      <w:r>
        <w:t xml:space="preserve"> </w:t>
      </w:r>
      <w:r w:rsidRPr="00CB66EB">
        <w:t>stránkách</w:t>
      </w:r>
      <w:r>
        <w:t xml:space="preserve"> </w:t>
      </w:r>
      <w:r w:rsidRPr="00CB66EB">
        <w:t>Fondu</w:t>
      </w:r>
      <w:r>
        <w:t xml:space="preserve"> </w:t>
      </w:r>
      <w:r w:rsidRPr="00CB66EB">
        <w:t>v</w:t>
      </w:r>
      <w:r>
        <w:t xml:space="preserve"> </w:t>
      </w:r>
      <w:r w:rsidRPr="00CB66EB">
        <w:t>rozsahu</w:t>
      </w:r>
      <w:r>
        <w:t xml:space="preserve"> </w:t>
      </w:r>
      <w:r w:rsidRPr="00CB66EB">
        <w:t>uvedeném</w:t>
      </w:r>
      <w:r>
        <w:t xml:space="preserve"> </w:t>
      </w:r>
      <w:r w:rsidRPr="00CB66EB">
        <w:t>v</w:t>
      </w:r>
      <w:r>
        <w:t xml:space="preserve"> </w:t>
      </w:r>
      <w:r w:rsidRPr="00CB66EB">
        <w:t>odstavcích</w:t>
      </w:r>
      <w:r>
        <w:t xml:space="preserve"> </w:t>
      </w:r>
      <w:r w:rsidRPr="00CB66EB">
        <w:t>17</w:t>
      </w:r>
      <w:r>
        <w:t xml:space="preserve"> </w:t>
      </w:r>
      <w:r w:rsidRPr="00CB66EB">
        <w:t>a</w:t>
      </w:r>
      <w:r>
        <w:t xml:space="preserve"> </w:t>
      </w:r>
      <w:r w:rsidRPr="00CB66EB">
        <w:t>18.</w:t>
      </w:r>
    </w:p>
    <w:p w14:paraId="052F754D" w14:textId="77777777" w:rsidR="004648F8" w:rsidRDefault="004648F8" w:rsidP="004648F8">
      <w:pPr>
        <w:pStyle w:val="Textparagrafu"/>
        <w:numPr>
          <w:ilvl w:val="0"/>
          <w:numId w:val="27"/>
        </w:numPr>
        <w:tabs>
          <w:tab w:val="left" w:pos="392"/>
          <w:tab w:val="left" w:pos="840"/>
        </w:tabs>
        <w:spacing w:after="120"/>
        <w:ind w:firstLine="426"/>
      </w:pPr>
      <w:r w:rsidRPr="00CB66EB">
        <w:lastRenderedPageBreak/>
        <w:t>(15)</w:t>
      </w:r>
      <w:r>
        <w:t xml:space="preserve"> </w:t>
      </w:r>
      <w:r w:rsidRPr="00CB66EB">
        <w:t>K</w:t>
      </w:r>
      <w:r>
        <w:t xml:space="preserve"> </w:t>
      </w:r>
      <w:r w:rsidRPr="00CB66EB">
        <w:t>žádosti</w:t>
      </w:r>
      <w:r>
        <w:t xml:space="preserve"> </w:t>
      </w:r>
      <w:r w:rsidRPr="00CB66EB">
        <w:t>o</w:t>
      </w:r>
      <w:r>
        <w:t xml:space="preserve"> </w:t>
      </w:r>
      <w:r w:rsidRPr="00CB66EB">
        <w:t>poskytnutí</w:t>
      </w:r>
      <w:r>
        <w:t xml:space="preserve"> </w:t>
      </w:r>
      <w:r w:rsidRPr="00CB66EB">
        <w:t>podpory</w:t>
      </w:r>
      <w:r>
        <w:t xml:space="preserve"> </w:t>
      </w:r>
      <w:r w:rsidRPr="00CB66EB">
        <w:t>žadatel</w:t>
      </w:r>
      <w:r>
        <w:t xml:space="preserve"> </w:t>
      </w:r>
      <w:r w:rsidRPr="00CB66EB">
        <w:t>dále</w:t>
      </w:r>
      <w:r>
        <w:t xml:space="preserve"> </w:t>
      </w:r>
      <w:r w:rsidRPr="00CB66EB">
        <w:t>přiloží</w:t>
      </w:r>
      <w:r>
        <w:t xml:space="preserve"> </w:t>
      </w:r>
      <w:r w:rsidRPr="00CB66EB">
        <w:t>dokumentaci</w:t>
      </w:r>
      <w:r>
        <w:t xml:space="preserve"> </w:t>
      </w:r>
      <w:r w:rsidRPr="00CB66EB">
        <w:t>obsahující</w:t>
      </w:r>
    </w:p>
    <w:p w14:paraId="08B3CAD1" w14:textId="2CBFD1B4" w:rsidR="004648F8" w:rsidRDefault="004648F8" w:rsidP="00603CB6">
      <w:pPr>
        <w:pStyle w:val="Textparagrafu"/>
        <w:numPr>
          <w:ilvl w:val="0"/>
          <w:numId w:val="27"/>
        </w:numPr>
        <w:tabs>
          <w:tab w:val="left" w:pos="392"/>
          <w:tab w:val="left" w:pos="840"/>
        </w:tabs>
        <w:spacing w:before="0"/>
      </w:pPr>
      <w:r w:rsidRPr="00CB66EB">
        <w:t>a)</w:t>
      </w:r>
      <w:r w:rsidR="00603CB6">
        <w:tab/>
      </w:r>
      <w:r w:rsidRPr="00CB66EB">
        <w:t>název</w:t>
      </w:r>
      <w:r>
        <w:t xml:space="preserve"> </w:t>
      </w:r>
      <w:r w:rsidRPr="00CB66EB">
        <w:t>a</w:t>
      </w:r>
      <w:r>
        <w:t xml:space="preserve"> </w:t>
      </w:r>
      <w:r w:rsidRPr="00CB66EB">
        <w:t>cíl</w:t>
      </w:r>
      <w:r>
        <w:t xml:space="preserve"> </w:t>
      </w:r>
      <w:r w:rsidRPr="00CB66EB">
        <w:t>žádosti</w:t>
      </w:r>
      <w:r>
        <w:t xml:space="preserve"> </w:t>
      </w:r>
      <w:r w:rsidRPr="00CB66EB">
        <w:t>o</w:t>
      </w:r>
      <w:r>
        <w:t xml:space="preserve"> </w:t>
      </w:r>
      <w:r w:rsidRPr="00CB66EB">
        <w:t>poskytnutí</w:t>
      </w:r>
      <w:r>
        <w:t xml:space="preserve"> </w:t>
      </w:r>
      <w:r w:rsidRPr="00CB66EB">
        <w:t>podpory,</w:t>
      </w:r>
    </w:p>
    <w:p w14:paraId="74785E1C" w14:textId="0FE73332" w:rsidR="004648F8" w:rsidRDefault="004648F8" w:rsidP="00603CB6">
      <w:pPr>
        <w:pStyle w:val="Textparagrafu"/>
        <w:numPr>
          <w:ilvl w:val="0"/>
          <w:numId w:val="27"/>
        </w:numPr>
        <w:tabs>
          <w:tab w:val="left" w:pos="392"/>
          <w:tab w:val="left" w:pos="840"/>
        </w:tabs>
        <w:spacing w:before="0"/>
      </w:pPr>
      <w:r w:rsidRPr="00CB66EB">
        <w:t>b)</w:t>
      </w:r>
      <w:r w:rsidR="00603CB6">
        <w:tab/>
      </w:r>
      <w:r w:rsidRPr="00CB66EB">
        <w:t>způsob</w:t>
      </w:r>
      <w:r>
        <w:t xml:space="preserve"> </w:t>
      </w:r>
      <w:r w:rsidRPr="00CB66EB">
        <w:t>dosažení</w:t>
      </w:r>
      <w:r>
        <w:t xml:space="preserve"> </w:t>
      </w:r>
      <w:r w:rsidRPr="00CB66EB">
        <w:t>cíle,</w:t>
      </w:r>
    </w:p>
    <w:p w14:paraId="48BF3C20" w14:textId="2D0BA4F0" w:rsidR="004648F8" w:rsidRDefault="004648F8" w:rsidP="00603CB6">
      <w:pPr>
        <w:pStyle w:val="Textparagrafu"/>
        <w:numPr>
          <w:ilvl w:val="0"/>
          <w:numId w:val="27"/>
        </w:numPr>
        <w:tabs>
          <w:tab w:val="left" w:pos="392"/>
          <w:tab w:val="left" w:pos="840"/>
        </w:tabs>
        <w:spacing w:before="0"/>
      </w:pPr>
      <w:r w:rsidRPr="00CB66EB">
        <w:t>c)</w:t>
      </w:r>
      <w:r w:rsidR="00603CB6">
        <w:tab/>
      </w:r>
      <w:r w:rsidRPr="00CB66EB">
        <w:t>náklady</w:t>
      </w:r>
      <w:r>
        <w:t xml:space="preserve"> </w:t>
      </w:r>
      <w:r w:rsidRPr="00CB66EB">
        <w:t>na</w:t>
      </w:r>
      <w:r>
        <w:t xml:space="preserve"> </w:t>
      </w:r>
      <w:r w:rsidRPr="00CB66EB">
        <w:t>dosažení</w:t>
      </w:r>
      <w:r>
        <w:t xml:space="preserve"> </w:t>
      </w:r>
      <w:r w:rsidRPr="00CB66EB">
        <w:t>cíle</w:t>
      </w:r>
      <w:r>
        <w:t xml:space="preserve"> </w:t>
      </w:r>
      <w:r w:rsidRPr="00CB66EB">
        <w:t>a</w:t>
      </w:r>
    </w:p>
    <w:p w14:paraId="6B727D73" w14:textId="0BD6DCED" w:rsidR="004648F8" w:rsidRDefault="004648F8" w:rsidP="00603CB6">
      <w:pPr>
        <w:pStyle w:val="Textparagrafu"/>
        <w:numPr>
          <w:ilvl w:val="0"/>
          <w:numId w:val="27"/>
        </w:numPr>
        <w:tabs>
          <w:tab w:val="left" w:pos="392"/>
          <w:tab w:val="left" w:pos="840"/>
        </w:tabs>
        <w:spacing w:before="0"/>
      </w:pPr>
      <w:r w:rsidRPr="00CB66EB">
        <w:t>d)</w:t>
      </w:r>
      <w:r w:rsidR="00603CB6">
        <w:tab/>
      </w:r>
      <w:r w:rsidRPr="00CB66EB">
        <w:t>předpokládané</w:t>
      </w:r>
      <w:r>
        <w:t xml:space="preserve"> </w:t>
      </w:r>
      <w:r w:rsidRPr="00CB66EB">
        <w:t>přínosy</w:t>
      </w:r>
      <w:r>
        <w:t xml:space="preserve"> </w:t>
      </w:r>
      <w:r w:rsidRPr="00CB66EB">
        <w:t>z</w:t>
      </w:r>
      <w:r>
        <w:t xml:space="preserve"> </w:t>
      </w:r>
      <w:r w:rsidRPr="00CB66EB">
        <w:t>realizované</w:t>
      </w:r>
      <w:r>
        <w:t xml:space="preserve"> </w:t>
      </w:r>
      <w:r w:rsidRPr="00CB66EB">
        <w:t>žádosti.</w:t>
      </w:r>
    </w:p>
    <w:p w14:paraId="22439F36" w14:textId="77777777" w:rsidR="004648F8" w:rsidRDefault="004648F8" w:rsidP="004648F8">
      <w:pPr>
        <w:pStyle w:val="Textparagrafu"/>
        <w:numPr>
          <w:ilvl w:val="0"/>
          <w:numId w:val="27"/>
        </w:numPr>
        <w:tabs>
          <w:tab w:val="left" w:pos="392"/>
          <w:tab w:val="left" w:pos="840"/>
        </w:tabs>
        <w:spacing w:after="120"/>
        <w:ind w:firstLine="426"/>
      </w:pPr>
      <w:r w:rsidRPr="00CB66EB">
        <w:t>(16)</w:t>
      </w:r>
      <w:r>
        <w:t xml:space="preserve"> </w:t>
      </w:r>
      <w:r w:rsidRPr="00CB66EB">
        <w:t>Fond</w:t>
      </w:r>
      <w:r>
        <w:t xml:space="preserve"> </w:t>
      </w:r>
      <w:r w:rsidRPr="00CB66EB">
        <w:t>vyplatí</w:t>
      </w:r>
      <w:r>
        <w:t xml:space="preserve"> </w:t>
      </w:r>
      <w:r w:rsidRPr="00CB66EB">
        <w:t>žadateli</w:t>
      </w:r>
      <w:r>
        <w:t xml:space="preserve"> </w:t>
      </w:r>
      <w:r w:rsidRPr="00CB66EB">
        <w:t>podporu</w:t>
      </w:r>
      <w:r>
        <w:t xml:space="preserve"> </w:t>
      </w:r>
      <w:r w:rsidRPr="00CB66EB">
        <w:t>podle</w:t>
      </w:r>
      <w:r>
        <w:t xml:space="preserve"> </w:t>
      </w:r>
      <w:r w:rsidRPr="00CB66EB">
        <w:t>odstavců</w:t>
      </w:r>
      <w:r>
        <w:t xml:space="preserve"> </w:t>
      </w:r>
      <w:r w:rsidRPr="00CB66EB">
        <w:t>4</w:t>
      </w:r>
      <w:r>
        <w:t xml:space="preserve"> </w:t>
      </w:r>
      <w:r w:rsidRPr="00CB66EB">
        <w:t>a</w:t>
      </w:r>
      <w:r>
        <w:t xml:space="preserve"> </w:t>
      </w:r>
      <w:r w:rsidRPr="00CB66EB">
        <w:t>5</w:t>
      </w:r>
      <w:r>
        <w:t xml:space="preserve"> </w:t>
      </w:r>
      <w:r w:rsidRPr="00CB66EB">
        <w:t>až</w:t>
      </w:r>
      <w:r>
        <w:t xml:space="preserve"> </w:t>
      </w:r>
      <w:r w:rsidRPr="00CB66EB">
        <w:t>poté,</w:t>
      </w:r>
      <w:r>
        <w:t xml:space="preserve"> </w:t>
      </w:r>
      <w:r w:rsidRPr="00CB66EB">
        <w:t>co</w:t>
      </w:r>
      <w:r>
        <w:t xml:space="preserve"> </w:t>
      </w:r>
      <w:r w:rsidRPr="00CB66EB">
        <w:t>žadatel</w:t>
      </w:r>
      <w:r>
        <w:t xml:space="preserve"> </w:t>
      </w:r>
      <w:r w:rsidRPr="00CB66EB">
        <w:t>doloží,</w:t>
      </w:r>
      <w:r>
        <w:t xml:space="preserve"> </w:t>
      </w:r>
      <w:r w:rsidRPr="00CB66EB">
        <w:t>že</w:t>
      </w:r>
      <w:r>
        <w:t xml:space="preserve"> </w:t>
      </w:r>
      <w:r w:rsidRPr="00CB66EB">
        <w:t>vynaložil</w:t>
      </w:r>
      <w:r>
        <w:t xml:space="preserve"> </w:t>
      </w:r>
      <w:r w:rsidRPr="00CB66EB">
        <w:t>prostředky</w:t>
      </w:r>
      <w:r>
        <w:t xml:space="preserve"> </w:t>
      </w:r>
      <w:r w:rsidRPr="00CB66EB">
        <w:t>v</w:t>
      </w:r>
      <w:r>
        <w:t xml:space="preserve"> </w:t>
      </w:r>
      <w:r w:rsidRPr="00CB66EB">
        <w:t>souladu</w:t>
      </w:r>
      <w:r>
        <w:t xml:space="preserve"> </w:t>
      </w:r>
      <w:r w:rsidRPr="00CB66EB">
        <w:t>s</w:t>
      </w:r>
      <w:r>
        <w:t xml:space="preserve"> </w:t>
      </w:r>
      <w:r w:rsidRPr="00CB66EB">
        <w:t>rozhodnutím</w:t>
      </w:r>
      <w:r>
        <w:t xml:space="preserve"> </w:t>
      </w:r>
      <w:r w:rsidRPr="00CB66EB">
        <w:t>o</w:t>
      </w:r>
      <w:r>
        <w:t xml:space="preserve"> </w:t>
      </w:r>
      <w:r w:rsidRPr="00CB66EB">
        <w:t>poskytnutí</w:t>
      </w:r>
      <w:r>
        <w:t xml:space="preserve"> </w:t>
      </w:r>
      <w:r w:rsidRPr="00CB66EB">
        <w:t>podpory.</w:t>
      </w:r>
    </w:p>
    <w:p w14:paraId="173FACF7" w14:textId="77777777" w:rsidR="004648F8" w:rsidRDefault="004648F8" w:rsidP="004648F8">
      <w:pPr>
        <w:pStyle w:val="Textparagrafu"/>
        <w:numPr>
          <w:ilvl w:val="0"/>
          <w:numId w:val="27"/>
        </w:numPr>
        <w:tabs>
          <w:tab w:val="left" w:pos="392"/>
          <w:tab w:val="left" w:pos="840"/>
        </w:tabs>
        <w:spacing w:after="120"/>
        <w:ind w:firstLine="426"/>
      </w:pPr>
      <w:r w:rsidRPr="00CB66EB">
        <w:t>(17)</w:t>
      </w:r>
      <w:r>
        <w:t xml:space="preserve"> </w:t>
      </w:r>
      <w:r w:rsidRPr="00CB66EB">
        <w:t>Fond</w:t>
      </w:r>
      <w:r>
        <w:t xml:space="preserve"> </w:t>
      </w:r>
      <w:r w:rsidRPr="00CB66EB">
        <w:t>na</w:t>
      </w:r>
      <w:r>
        <w:t xml:space="preserve"> </w:t>
      </w:r>
      <w:r w:rsidRPr="00CB66EB">
        <w:t>svých</w:t>
      </w:r>
      <w:r>
        <w:t xml:space="preserve"> </w:t>
      </w:r>
      <w:r w:rsidRPr="00CB66EB">
        <w:t>internetových</w:t>
      </w:r>
      <w:r>
        <w:t xml:space="preserve"> </w:t>
      </w:r>
      <w:r w:rsidRPr="00CB66EB">
        <w:t>stránkách</w:t>
      </w:r>
      <w:r>
        <w:t xml:space="preserve"> </w:t>
      </w:r>
      <w:r w:rsidRPr="00CB66EB">
        <w:t>zveřejní</w:t>
      </w:r>
    </w:p>
    <w:p w14:paraId="00DB4B1D" w14:textId="4A8CFE16" w:rsidR="004648F8" w:rsidRDefault="004648F8" w:rsidP="000A18B9">
      <w:pPr>
        <w:pStyle w:val="Textparagrafu"/>
        <w:numPr>
          <w:ilvl w:val="0"/>
          <w:numId w:val="27"/>
        </w:numPr>
        <w:tabs>
          <w:tab w:val="left" w:pos="392"/>
          <w:tab w:val="left" w:pos="840"/>
        </w:tabs>
        <w:spacing w:before="0"/>
        <w:ind w:left="426" w:hanging="426"/>
      </w:pPr>
      <w:r w:rsidRPr="00CB66EB">
        <w:t>a)</w:t>
      </w:r>
      <w:r w:rsidR="00603CB6">
        <w:tab/>
      </w:r>
      <w:r w:rsidRPr="00CB66EB">
        <w:t>informace</w:t>
      </w:r>
      <w:r>
        <w:t xml:space="preserve"> </w:t>
      </w:r>
      <w:r w:rsidRPr="00CB66EB">
        <w:t>o</w:t>
      </w:r>
      <w:r>
        <w:t xml:space="preserve"> </w:t>
      </w:r>
      <w:r w:rsidRPr="00CB66EB">
        <w:t>doručených</w:t>
      </w:r>
      <w:r>
        <w:t xml:space="preserve"> </w:t>
      </w:r>
      <w:r w:rsidRPr="00CB66EB">
        <w:t>žádostech</w:t>
      </w:r>
      <w:r>
        <w:t xml:space="preserve"> </w:t>
      </w:r>
      <w:r w:rsidRPr="00CB66EB">
        <w:t>o</w:t>
      </w:r>
      <w:r>
        <w:t xml:space="preserve"> </w:t>
      </w:r>
      <w:r w:rsidRPr="00CB66EB">
        <w:t>poskytnutí</w:t>
      </w:r>
      <w:r>
        <w:t xml:space="preserve"> </w:t>
      </w:r>
      <w:r w:rsidRPr="00CB66EB">
        <w:t>podpory</w:t>
      </w:r>
      <w:r>
        <w:t xml:space="preserve"> </w:t>
      </w:r>
      <w:r w:rsidRPr="00CB66EB">
        <w:t>v</w:t>
      </w:r>
      <w:r>
        <w:t xml:space="preserve"> </w:t>
      </w:r>
      <w:r w:rsidRPr="00CB66EB">
        <w:t>pořadí</w:t>
      </w:r>
      <w:r>
        <w:t xml:space="preserve"> </w:t>
      </w:r>
      <w:r w:rsidRPr="00CB66EB">
        <w:t>podle</w:t>
      </w:r>
      <w:r>
        <w:t xml:space="preserve"> </w:t>
      </w:r>
      <w:r w:rsidRPr="00CB66EB">
        <w:t>doručení</w:t>
      </w:r>
      <w:r>
        <w:t xml:space="preserve"> </w:t>
      </w:r>
      <w:r w:rsidRPr="00CB66EB">
        <w:t>s</w:t>
      </w:r>
      <w:r>
        <w:t xml:space="preserve"> </w:t>
      </w:r>
      <w:r w:rsidRPr="00CB66EB">
        <w:t>uvedením</w:t>
      </w:r>
      <w:r>
        <w:t xml:space="preserve"> </w:t>
      </w:r>
      <w:r w:rsidRPr="00CB66EB">
        <w:t>účelu</w:t>
      </w:r>
      <w:r>
        <w:t xml:space="preserve"> </w:t>
      </w:r>
      <w:r w:rsidRPr="00CB66EB">
        <w:t>podpory,</w:t>
      </w:r>
      <w:r>
        <w:t xml:space="preserve"> </w:t>
      </w:r>
      <w:r w:rsidRPr="00CB66EB">
        <w:t>názvu</w:t>
      </w:r>
      <w:r>
        <w:t xml:space="preserve"> </w:t>
      </w:r>
      <w:r w:rsidRPr="00CB66EB">
        <w:t>a</w:t>
      </w:r>
      <w:r>
        <w:t xml:space="preserve"> </w:t>
      </w:r>
      <w:r w:rsidRPr="00CB66EB">
        <w:t>stručné</w:t>
      </w:r>
      <w:r>
        <w:t xml:space="preserve"> </w:t>
      </w:r>
      <w:r w:rsidRPr="00CB66EB">
        <w:t>charakteristiky</w:t>
      </w:r>
      <w:r>
        <w:t xml:space="preserve"> </w:t>
      </w:r>
      <w:r w:rsidRPr="00CB66EB">
        <w:t>předkládané</w:t>
      </w:r>
      <w:r>
        <w:t xml:space="preserve"> </w:t>
      </w:r>
      <w:r w:rsidRPr="00CB66EB">
        <w:t>žádosti</w:t>
      </w:r>
      <w:r>
        <w:t xml:space="preserve"> </w:t>
      </w:r>
      <w:r w:rsidRPr="00CB66EB">
        <w:t>o</w:t>
      </w:r>
      <w:r>
        <w:t xml:space="preserve"> </w:t>
      </w:r>
      <w:r w:rsidRPr="00CB66EB">
        <w:t>poskytnutí</w:t>
      </w:r>
      <w:r>
        <w:t xml:space="preserve"> </w:t>
      </w:r>
      <w:r w:rsidRPr="00CB66EB">
        <w:t>podpory,</w:t>
      </w:r>
      <w:r>
        <w:t xml:space="preserve"> </w:t>
      </w:r>
      <w:r w:rsidRPr="00CB66EB">
        <w:t>jména</w:t>
      </w:r>
      <w:r>
        <w:t xml:space="preserve"> </w:t>
      </w:r>
      <w:r w:rsidRPr="00CB66EB">
        <w:t>a</w:t>
      </w:r>
      <w:r>
        <w:t xml:space="preserve"> </w:t>
      </w:r>
      <w:r w:rsidRPr="00CB66EB">
        <w:t>příjmení</w:t>
      </w:r>
      <w:r>
        <w:t xml:space="preserve"> </w:t>
      </w:r>
      <w:r w:rsidRPr="00CB66EB">
        <w:t>žadatele</w:t>
      </w:r>
      <w:r>
        <w:t xml:space="preserve"> </w:t>
      </w:r>
      <w:r w:rsidRPr="00CB66EB">
        <w:t>o</w:t>
      </w:r>
      <w:r>
        <w:t xml:space="preserve"> </w:t>
      </w:r>
      <w:r w:rsidRPr="00CB66EB">
        <w:t>poskytnutí</w:t>
      </w:r>
      <w:r>
        <w:t xml:space="preserve"> </w:t>
      </w:r>
      <w:r w:rsidRPr="00CB66EB">
        <w:t>podpory</w:t>
      </w:r>
      <w:r>
        <w:t xml:space="preserve"> </w:t>
      </w:r>
      <w:r w:rsidRPr="00CB66EB">
        <w:t>nebo</w:t>
      </w:r>
      <w:r>
        <w:t xml:space="preserve"> </w:t>
      </w:r>
      <w:r w:rsidRPr="00CB66EB">
        <w:t>obchodní</w:t>
      </w:r>
      <w:r>
        <w:t xml:space="preserve"> </w:t>
      </w:r>
      <w:r w:rsidRPr="00CB66EB">
        <w:t>firmy</w:t>
      </w:r>
      <w:r>
        <w:t xml:space="preserve"> </w:t>
      </w:r>
      <w:r w:rsidRPr="00CB66EB">
        <w:t>nebo</w:t>
      </w:r>
      <w:r>
        <w:t xml:space="preserve"> </w:t>
      </w:r>
      <w:r w:rsidRPr="00CB66EB">
        <w:t>názvu</w:t>
      </w:r>
      <w:r>
        <w:t xml:space="preserve"> </w:t>
      </w:r>
      <w:r w:rsidRPr="00CB66EB">
        <w:t>žadatele</w:t>
      </w:r>
      <w:r>
        <w:t xml:space="preserve"> </w:t>
      </w:r>
      <w:r w:rsidRPr="00CB66EB">
        <w:t>o</w:t>
      </w:r>
      <w:r>
        <w:t xml:space="preserve"> </w:t>
      </w:r>
      <w:r w:rsidRPr="00CB66EB">
        <w:t>poskytnutí</w:t>
      </w:r>
      <w:r>
        <w:t xml:space="preserve"> </w:t>
      </w:r>
      <w:r w:rsidRPr="00CB66EB">
        <w:t>podpory</w:t>
      </w:r>
      <w:r>
        <w:t xml:space="preserve"> </w:t>
      </w:r>
      <w:r w:rsidRPr="00CB66EB">
        <w:t>a</w:t>
      </w:r>
      <w:r>
        <w:t xml:space="preserve"> </w:t>
      </w:r>
      <w:r w:rsidRPr="00CB66EB">
        <w:t>časového</w:t>
      </w:r>
      <w:r>
        <w:t xml:space="preserve"> </w:t>
      </w:r>
      <w:r w:rsidRPr="00CB66EB">
        <w:t>vymezení</w:t>
      </w:r>
      <w:r>
        <w:t xml:space="preserve"> </w:t>
      </w:r>
      <w:r w:rsidRPr="00CB66EB">
        <w:t>realizace</w:t>
      </w:r>
      <w:r>
        <w:t xml:space="preserve"> </w:t>
      </w:r>
      <w:r w:rsidRPr="00CB66EB">
        <w:t>předmětu</w:t>
      </w:r>
      <w:r>
        <w:t xml:space="preserve"> </w:t>
      </w:r>
      <w:r w:rsidRPr="00CB66EB">
        <w:t>podpory,</w:t>
      </w:r>
    </w:p>
    <w:p w14:paraId="77DD40AB" w14:textId="774321BD" w:rsidR="004648F8" w:rsidRDefault="004648F8" w:rsidP="000A18B9">
      <w:pPr>
        <w:pStyle w:val="Textparagrafu"/>
        <w:numPr>
          <w:ilvl w:val="0"/>
          <w:numId w:val="27"/>
        </w:numPr>
        <w:tabs>
          <w:tab w:val="left" w:pos="392"/>
          <w:tab w:val="left" w:pos="840"/>
        </w:tabs>
        <w:spacing w:before="0"/>
        <w:ind w:left="426" w:hanging="426"/>
      </w:pPr>
      <w:r w:rsidRPr="00CB66EB">
        <w:t>b)</w:t>
      </w:r>
      <w:r w:rsidR="00603CB6">
        <w:tab/>
      </w:r>
      <w:r w:rsidRPr="00CB66EB">
        <w:t>informace</w:t>
      </w:r>
      <w:r>
        <w:t xml:space="preserve"> </w:t>
      </w:r>
      <w:r w:rsidRPr="00CB66EB">
        <w:t>o</w:t>
      </w:r>
      <w:r>
        <w:t xml:space="preserve"> </w:t>
      </w:r>
      <w:r w:rsidRPr="00CB66EB">
        <w:t>rozhodnutích</w:t>
      </w:r>
      <w:r>
        <w:t xml:space="preserve"> </w:t>
      </w:r>
      <w:r w:rsidRPr="00CB66EB">
        <w:t>o</w:t>
      </w:r>
      <w:r>
        <w:t xml:space="preserve"> </w:t>
      </w:r>
      <w:r w:rsidRPr="00CB66EB">
        <w:t>poskytnutí</w:t>
      </w:r>
      <w:r>
        <w:t xml:space="preserve"> </w:t>
      </w:r>
      <w:r w:rsidRPr="00CB66EB">
        <w:t>podpory</w:t>
      </w:r>
      <w:r>
        <w:t xml:space="preserve"> </w:t>
      </w:r>
      <w:r w:rsidRPr="00CB66EB">
        <w:t>s</w:t>
      </w:r>
      <w:r>
        <w:t xml:space="preserve"> </w:t>
      </w:r>
      <w:r w:rsidRPr="00CB66EB">
        <w:t>uvedením</w:t>
      </w:r>
      <w:r>
        <w:t xml:space="preserve"> </w:t>
      </w:r>
      <w:r w:rsidRPr="00CB66EB">
        <w:t>konkrétní</w:t>
      </w:r>
      <w:r>
        <w:t xml:space="preserve"> </w:t>
      </w:r>
      <w:r w:rsidRPr="00CB66EB">
        <w:t>výše</w:t>
      </w:r>
      <w:r>
        <w:t xml:space="preserve"> </w:t>
      </w:r>
      <w:r w:rsidRPr="00CB66EB">
        <w:t>poskytnuté</w:t>
      </w:r>
      <w:r>
        <w:t xml:space="preserve"> </w:t>
      </w:r>
      <w:r w:rsidRPr="00CB66EB">
        <w:t>podpory</w:t>
      </w:r>
      <w:r>
        <w:t xml:space="preserve"> </w:t>
      </w:r>
      <w:r w:rsidRPr="00CB66EB">
        <w:t>jednotlivému</w:t>
      </w:r>
      <w:r>
        <w:t xml:space="preserve"> </w:t>
      </w:r>
      <w:r w:rsidRPr="00CB66EB">
        <w:t>žadateli;</w:t>
      </w:r>
      <w:r>
        <w:t xml:space="preserve"> </w:t>
      </w:r>
      <w:r w:rsidRPr="00CB66EB">
        <w:t>jestliže</w:t>
      </w:r>
      <w:r>
        <w:t xml:space="preserve"> </w:t>
      </w:r>
      <w:r w:rsidRPr="00CB66EB">
        <w:t>je</w:t>
      </w:r>
      <w:r>
        <w:t xml:space="preserve"> </w:t>
      </w:r>
      <w:r w:rsidRPr="00CB66EB">
        <w:t>žádost</w:t>
      </w:r>
      <w:r>
        <w:t xml:space="preserve"> </w:t>
      </w:r>
      <w:r w:rsidRPr="00CB66EB">
        <w:t>o</w:t>
      </w:r>
      <w:r>
        <w:t xml:space="preserve"> </w:t>
      </w:r>
      <w:r w:rsidRPr="00CB66EB">
        <w:t>poskytnutí</w:t>
      </w:r>
      <w:r>
        <w:t xml:space="preserve"> </w:t>
      </w:r>
      <w:r w:rsidRPr="00CB66EB">
        <w:t>podpory</w:t>
      </w:r>
      <w:r>
        <w:t xml:space="preserve"> </w:t>
      </w:r>
      <w:r w:rsidRPr="00CB66EB">
        <w:t>zamítnuta,</w:t>
      </w:r>
      <w:r>
        <w:t xml:space="preserve"> </w:t>
      </w:r>
      <w:r w:rsidRPr="00CB66EB">
        <w:t>zveřejní</w:t>
      </w:r>
      <w:r>
        <w:t xml:space="preserve"> </w:t>
      </w:r>
      <w:r w:rsidRPr="00CB66EB">
        <w:t>rovněž</w:t>
      </w:r>
      <w:r>
        <w:t xml:space="preserve"> </w:t>
      </w:r>
      <w:r w:rsidRPr="00CB66EB">
        <w:t>odůvodnění</w:t>
      </w:r>
      <w:r>
        <w:t xml:space="preserve"> </w:t>
      </w:r>
      <w:r w:rsidRPr="00CB66EB">
        <w:t>zamítnuté</w:t>
      </w:r>
      <w:r>
        <w:t xml:space="preserve"> </w:t>
      </w:r>
      <w:r w:rsidRPr="00CB66EB">
        <w:t>žádosti</w:t>
      </w:r>
      <w:r>
        <w:t xml:space="preserve"> </w:t>
      </w:r>
      <w:r w:rsidRPr="00CB66EB">
        <w:t>o</w:t>
      </w:r>
      <w:r>
        <w:t xml:space="preserve"> </w:t>
      </w:r>
      <w:r w:rsidRPr="00CB66EB">
        <w:t>poskytnutí</w:t>
      </w:r>
      <w:r>
        <w:t xml:space="preserve"> </w:t>
      </w:r>
      <w:r w:rsidRPr="00CB66EB">
        <w:t>podpory,</w:t>
      </w:r>
      <w:r>
        <w:t xml:space="preserve"> </w:t>
      </w:r>
      <w:r w:rsidRPr="00CB66EB">
        <w:t>a</w:t>
      </w:r>
    </w:p>
    <w:p w14:paraId="7E06D59B" w14:textId="6448E63A" w:rsidR="004648F8" w:rsidRDefault="004648F8" w:rsidP="000A18B9">
      <w:pPr>
        <w:pStyle w:val="Textparagrafu"/>
        <w:numPr>
          <w:ilvl w:val="0"/>
          <w:numId w:val="27"/>
        </w:numPr>
        <w:tabs>
          <w:tab w:val="left" w:pos="392"/>
          <w:tab w:val="left" w:pos="840"/>
        </w:tabs>
        <w:spacing w:before="0"/>
        <w:ind w:left="426" w:hanging="426"/>
      </w:pPr>
      <w:r w:rsidRPr="00CB66EB">
        <w:t>c)</w:t>
      </w:r>
      <w:r w:rsidR="00603CB6">
        <w:tab/>
      </w:r>
      <w:r w:rsidRPr="00CB66EB">
        <w:t>formou</w:t>
      </w:r>
      <w:r>
        <w:t xml:space="preserve"> </w:t>
      </w:r>
      <w:r w:rsidRPr="00CB66EB">
        <w:t>seznamu</w:t>
      </w:r>
      <w:r>
        <w:t xml:space="preserve"> </w:t>
      </w:r>
      <w:r w:rsidRPr="00CB66EB">
        <w:t>podpory</w:t>
      </w:r>
      <w:r>
        <w:t xml:space="preserve"> </w:t>
      </w:r>
      <w:r w:rsidRPr="00CB66EB">
        <w:t>poskytnuté</w:t>
      </w:r>
      <w:r>
        <w:t xml:space="preserve"> </w:t>
      </w:r>
      <w:r w:rsidRPr="00CB66EB">
        <w:t>Fondem,</w:t>
      </w:r>
      <w:r>
        <w:t xml:space="preserve"> </w:t>
      </w:r>
      <w:r w:rsidRPr="00CB66EB">
        <w:t>které</w:t>
      </w:r>
      <w:r>
        <w:t xml:space="preserve"> </w:t>
      </w:r>
      <w:r w:rsidRPr="00CB66EB">
        <w:t>jsou</w:t>
      </w:r>
      <w:r>
        <w:t xml:space="preserve"> </w:t>
      </w:r>
      <w:r w:rsidRPr="00CB66EB">
        <w:t>vyšší</w:t>
      </w:r>
      <w:r>
        <w:t xml:space="preserve"> </w:t>
      </w:r>
      <w:r w:rsidRPr="00CB66EB">
        <w:t>než</w:t>
      </w:r>
      <w:r>
        <w:t xml:space="preserve"> </w:t>
      </w:r>
      <w:r w:rsidRPr="00CB66EB">
        <w:t>10</w:t>
      </w:r>
      <w:r>
        <w:t xml:space="preserve"> </w:t>
      </w:r>
      <w:r w:rsidRPr="00CB66EB">
        <w:t>000</w:t>
      </w:r>
      <w:r>
        <w:t xml:space="preserve"> </w:t>
      </w:r>
      <w:r w:rsidRPr="00CB66EB">
        <w:t>Kč</w:t>
      </w:r>
      <w:r>
        <w:t xml:space="preserve"> </w:t>
      </w:r>
      <w:r w:rsidRPr="00CB66EB">
        <w:t>bez</w:t>
      </w:r>
      <w:r>
        <w:t xml:space="preserve"> </w:t>
      </w:r>
      <w:r w:rsidRPr="00CB66EB">
        <w:t>daně</w:t>
      </w:r>
      <w:r>
        <w:t xml:space="preserve"> </w:t>
      </w:r>
      <w:r w:rsidRPr="00CB66EB">
        <w:t>z</w:t>
      </w:r>
      <w:r>
        <w:t xml:space="preserve"> </w:t>
      </w:r>
      <w:r w:rsidRPr="00CB66EB">
        <w:t>přidané</w:t>
      </w:r>
      <w:r>
        <w:t xml:space="preserve"> </w:t>
      </w:r>
      <w:r w:rsidRPr="00CB66EB">
        <w:t>hodnoty</w:t>
      </w:r>
      <w:r>
        <w:t xml:space="preserve"> </w:t>
      </w:r>
      <w:r w:rsidRPr="00CB66EB">
        <w:t>na</w:t>
      </w:r>
      <w:r>
        <w:t xml:space="preserve"> </w:t>
      </w:r>
      <w:r w:rsidRPr="00CB66EB">
        <w:t>jednotlivou</w:t>
      </w:r>
      <w:r>
        <w:t xml:space="preserve"> </w:t>
      </w:r>
      <w:r w:rsidRPr="00CB66EB">
        <w:t>podporu,</w:t>
      </w:r>
      <w:r>
        <w:t xml:space="preserve"> </w:t>
      </w:r>
      <w:r w:rsidRPr="00CB66EB">
        <w:t>nebo</w:t>
      </w:r>
      <w:r>
        <w:t xml:space="preserve"> </w:t>
      </w:r>
      <w:r w:rsidRPr="00CB66EB">
        <w:t>na</w:t>
      </w:r>
      <w:r>
        <w:t xml:space="preserve"> </w:t>
      </w:r>
      <w:r w:rsidRPr="00CB66EB">
        <w:t>opakované</w:t>
      </w:r>
      <w:r>
        <w:t xml:space="preserve"> </w:t>
      </w:r>
      <w:r w:rsidRPr="00CB66EB">
        <w:t>plnění</w:t>
      </w:r>
      <w:r>
        <w:t xml:space="preserve"> </w:t>
      </w:r>
      <w:r w:rsidRPr="00CB66EB">
        <w:t>jednomu</w:t>
      </w:r>
      <w:r>
        <w:t xml:space="preserve"> </w:t>
      </w:r>
      <w:r w:rsidRPr="00CB66EB">
        <w:t>žadateli</w:t>
      </w:r>
      <w:r>
        <w:t xml:space="preserve"> </w:t>
      </w:r>
      <w:r w:rsidRPr="00CB66EB">
        <w:t>o</w:t>
      </w:r>
      <w:r>
        <w:t xml:space="preserve"> </w:t>
      </w:r>
      <w:r w:rsidRPr="00CB66EB">
        <w:t>podporu</w:t>
      </w:r>
      <w:r>
        <w:t xml:space="preserve"> </w:t>
      </w:r>
      <w:r w:rsidRPr="00CB66EB">
        <w:t>překračující</w:t>
      </w:r>
      <w:r>
        <w:t xml:space="preserve"> </w:t>
      </w:r>
      <w:r w:rsidRPr="00CB66EB">
        <w:t>tuto</w:t>
      </w:r>
      <w:r>
        <w:t xml:space="preserve"> </w:t>
      </w:r>
      <w:r w:rsidRPr="00CB66EB">
        <w:t>částku,</w:t>
      </w:r>
      <w:r>
        <w:t xml:space="preserve"> </w:t>
      </w:r>
      <w:r w:rsidRPr="00CB66EB">
        <w:t>v</w:t>
      </w:r>
      <w:r>
        <w:t xml:space="preserve"> </w:t>
      </w:r>
      <w:r w:rsidRPr="00CB66EB">
        <w:t>příslušném</w:t>
      </w:r>
      <w:r>
        <w:t xml:space="preserve"> </w:t>
      </w:r>
      <w:r w:rsidRPr="00CB66EB">
        <w:t>kalendářním</w:t>
      </w:r>
      <w:r>
        <w:t xml:space="preserve"> </w:t>
      </w:r>
      <w:r w:rsidRPr="00CB66EB">
        <w:t>roce,</w:t>
      </w:r>
      <w:r>
        <w:t xml:space="preserve"> </w:t>
      </w:r>
      <w:r w:rsidRPr="00CB66EB">
        <w:t>s</w:t>
      </w:r>
      <w:r>
        <w:t xml:space="preserve"> </w:t>
      </w:r>
      <w:r w:rsidRPr="00CB66EB">
        <w:t>uvedením</w:t>
      </w:r>
      <w:r>
        <w:t xml:space="preserve"> </w:t>
      </w:r>
      <w:r w:rsidRPr="00CB66EB">
        <w:t>účelu</w:t>
      </w:r>
      <w:r>
        <w:t xml:space="preserve"> </w:t>
      </w:r>
      <w:r w:rsidRPr="00CB66EB">
        <w:t>plnění,</w:t>
      </w:r>
      <w:r>
        <w:t xml:space="preserve"> </w:t>
      </w:r>
      <w:r w:rsidRPr="00CB66EB">
        <w:t>příjemce</w:t>
      </w:r>
      <w:r>
        <w:t xml:space="preserve"> </w:t>
      </w:r>
      <w:r w:rsidRPr="00CB66EB">
        <w:t>plnění,</w:t>
      </w:r>
      <w:r>
        <w:t xml:space="preserve"> </w:t>
      </w:r>
      <w:r w:rsidRPr="00CB66EB">
        <w:t>požadovaného</w:t>
      </w:r>
      <w:r>
        <w:t xml:space="preserve"> </w:t>
      </w:r>
      <w:r w:rsidRPr="00CB66EB">
        <w:t>termínu</w:t>
      </w:r>
      <w:r>
        <w:t xml:space="preserve"> </w:t>
      </w:r>
      <w:r w:rsidRPr="00CB66EB">
        <w:t>plnění,</w:t>
      </w:r>
      <w:r>
        <w:t xml:space="preserve"> </w:t>
      </w:r>
      <w:r w:rsidRPr="00CB66EB">
        <w:t>termínu</w:t>
      </w:r>
      <w:r>
        <w:t xml:space="preserve"> </w:t>
      </w:r>
      <w:r w:rsidRPr="00CB66EB">
        <w:t>skutečného</w:t>
      </w:r>
      <w:r>
        <w:t xml:space="preserve"> </w:t>
      </w:r>
      <w:r w:rsidRPr="00CB66EB">
        <w:t>plnění,</w:t>
      </w:r>
      <w:r>
        <w:t xml:space="preserve"> </w:t>
      </w:r>
      <w:r w:rsidRPr="00CB66EB">
        <w:t>vyplacené</w:t>
      </w:r>
      <w:r>
        <w:t xml:space="preserve"> </w:t>
      </w:r>
      <w:r w:rsidRPr="00CB66EB">
        <w:t>částky</w:t>
      </w:r>
      <w:r>
        <w:t xml:space="preserve"> </w:t>
      </w:r>
      <w:r w:rsidRPr="00CB66EB">
        <w:t>a</w:t>
      </w:r>
      <w:r>
        <w:t xml:space="preserve"> </w:t>
      </w:r>
      <w:r w:rsidRPr="00CB66EB">
        <w:t>termínu</w:t>
      </w:r>
      <w:r>
        <w:t xml:space="preserve"> </w:t>
      </w:r>
      <w:r w:rsidRPr="00CB66EB">
        <w:t>výplaty.</w:t>
      </w:r>
    </w:p>
    <w:p w14:paraId="673D9FDB" w14:textId="77777777" w:rsidR="004648F8" w:rsidRDefault="004648F8" w:rsidP="0006588E">
      <w:pPr>
        <w:pStyle w:val="Textparagrafu"/>
        <w:numPr>
          <w:ilvl w:val="0"/>
          <w:numId w:val="27"/>
        </w:numPr>
        <w:tabs>
          <w:tab w:val="left" w:pos="392"/>
          <w:tab w:val="left" w:pos="840"/>
        </w:tabs>
        <w:spacing w:before="120" w:after="120"/>
        <w:ind w:firstLine="425"/>
      </w:pPr>
      <w:r w:rsidRPr="00CB66EB">
        <w:t>(18)</w:t>
      </w:r>
      <w:r>
        <w:t xml:space="preserve"> </w:t>
      </w:r>
      <w:r w:rsidRPr="00CB66EB">
        <w:t>Údaje</w:t>
      </w:r>
      <w:r>
        <w:t xml:space="preserve"> </w:t>
      </w:r>
      <w:r w:rsidRPr="00CB66EB">
        <w:t>podle</w:t>
      </w:r>
      <w:r>
        <w:t xml:space="preserve"> </w:t>
      </w:r>
      <w:r w:rsidRPr="00CB66EB">
        <w:t>odstavce</w:t>
      </w:r>
      <w:r>
        <w:t xml:space="preserve"> </w:t>
      </w:r>
      <w:r w:rsidRPr="00CB66EB">
        <w:t>17</w:t>
      </w:r>
      <w:r>
        <w:t xml:space="preserve"> </w:t>
      </w:r>
      <w:r w:rsidRPr="00CB66EB">
        <w:t>písm.</w:t>
      </w:r>
      <w:r>
        <w:t xml:space="preserve"> </w:t>
      </w:r>
      <w:r w:rsidRPr="00CB66EB">
        <w:t>a)</w:t>
      </w:r>
      <w:r>
        <w:t xml:space="preserve"> </w:t>
      </w:r>
      <w:r w:rsidRPr="00CB66EB">
        <w:t>Fond</w:t>
      </w:r>
      <w:r>
        <w:t xml:space="preserve"> </w:t>
      </w:r>
      <w:r w:rsidRPr="00CB66EB">
        <w:t>zveřejní</w:t>
      </w:r>
      <w:r>
        <w:t xml:space="preserve"> </w:t>
      </w:r>
      <w:r w:rsidRPr="00CB66EB">
        <w:t>nejpozději</w:t>
      </w:r>
      <w:r>
        <w:t xml:space="preserve"> </w:t>
      </w:r>
      <w:r w:rsidRPr="00CB66EB">
        <w:t>do</w:t>
      </w:r>
      <w:r>
        <w:t xml:space="preserve"> </w:t>
      </w:r>
      <w:r w:rsidRPr="00CB66EB">
        <w:t>15</w:t>
      </w:r>
      <w:r>
        <w:t xml:space="preserve"> </w:t>
      </w:r>
      <w:r w:rsidRPr="00CB66EB">
        <w:t>dnů</w:t>
      </w:r>
      <w:r>
        <w:t xml:space="preserve"> </w:t>
      </w:r>
      <w:r w:rsidRPr="00CB66EB">
        <w:t>po</w:t>
      </w:r>
      <w:r>
        <w:t xml:space="preserve"> </w:t>
      </w:r>
      <w:r w:rsidRPr="00CB66EB">
        <w:t>ukončení</w:t>
      </w:r>
      <w:r>
        <w:t xml:space="preserve"> </w:t>
      </w:r>
      <w:r w:rsidRPr="00CB66EB">
        <w:t>přijímání</w:t>
      </w:r>
      <w:r>
        <w:t xml:space="preserve"> </w:t>
      </w:r>
      <w:r w:rsidRPr="00CB66EB">
        <w:t>žádostí</w:t>
      </w:r>
      <w:r>
        <w:t xml:space="preserve"> </w:t>
      </w:r>
      <w:r w:rsidRPr="00CB66EB">
        <w:t>o</w:t>
      </w:r>
      <w:r>
        <w:t xml:space="preserve"> </w:t>
      </w:r>
      <w:r w:rsidRPr="00CB66EB">
        <w:t>poskytnutí</w:t>
      </w:r>
      <w:r>
        <w:t xml:space="preserve"> </w:t>
      </w:r>
      <w:r w:rsidRPr="00CB66EB">
        <w:t>podpory</w:t>
      </w:r>
      <w:r>
        <w:t xml:space="preserve"> </w:t>
      </w:r>
      <w:r w:rsidRPr="00CB66EB">
        <w:t>Fondu.</w:t>
      </w:r>
      <w:r>
        <w:t xml:space="preserve"> </w:t>
      </w:r>
      <w:r w:rsidRPr="00CB66EB">
        <w:t>Údaje</w:t>
      </w:r>
      <w:r>
        <w:t xml:space="preserve"> </w:t>
      </w:r>
      <w:r w:rsidRPr="00CB66EB">
        <w:t>podle</w:t>
      </w:r>
      <w:r>
        <w:t xml:space="preserve"> </w:t>
      </w:r>
      <w:r w:rsidRPr="00CB66EB">
        <w:t>odstavce</w:t>
      </w:r>
      <w:r>
        <w:t xml:space="preserve"> </w:t>
      </w:r>
      <w:r w:rsidRPr="00CB66EB">
        <w:t>17</w:t>
      </w:r>
      <w:r>
        <w:t xml:space="preserve"> </w:t>
      </w:r>
      <w:r w:rsidRPr="00CB66EB">
        <w:t>písm.</w:t>
      </w:r>
      <w:r>
        <w:t xml:space="preserve"> </w:t>
      </w:r>
      <w:r w:rsidRPr="00CB66EB">
        <w:t>b)</w:t>
      </w:r>
      <w:r>
        <w:t xml:space="preserve"> </w:t>
      </w:r>
      <w:r w:rsidRPr="00CB66EB">
        <w:t>a</w:t>
      </w:r>
      <w:r>
        <w:t xml:space="preserve"> </w:t>
      </w:r>
      <w:r w:rsidRPr="00CB66EB">
        <w:t>c)</w:t>
      </w:r>
      <w:r>
        <w:t xml:space="preserve"> </w:t>
      </w:r>
      <w:r w:rsidRPr="00CB66EB">
        <w:t>Fond</w:t>
      </w:r>
      <w:r>
        <w:t xml:space="preserve"> </w:t>
      </w:r>
      <w:r w:rsidRPr="00CB66EB">
        <w:t>zveřejní</w:t>
      </w:r>
      <w:r>
        <w:t xml:space="preserve"> </w:t>
      </w:r>
      <w:r w:rsidRPr="00CB66EB">
        <w:t>nejpozději</w:t>
      </w:r>
      <w:r>
        <w:t xml:space="preserve"> </w:t>
      </w:r>
      <w:r w:rsidRPr="00CB66EB">
        <w:t>do</w:t>
      </w:r>
      <w:r>
        <w:t xml:space="preserve"> </w:t>
      </w:r>
      <w:r w:rsidRPr="00CB66EB">
        <w:t>15</w:t>
      </w:r>
      <w:r>
        <w:t xml:space="preserve"> </w:t>
      </w:r>
      <w:r w:rsidRPr="00CB66EB">
        <w:t>pracovních</w:t>
      </w:r>
      <w:r>
        <w:t xml:space="preserve"> </w:t>
      </w:r>
      <w:r w:rsidRPr="00CB66EB">
        <w:t>dnů</w:t>
      </w:r>
      <w:r>
        <w:t xml:space="preserve"> </w:t>
      </w:r>
      <w:r w:rsidRPr="00CB66EB">
        <w:t>po</w:t>
      </w:r>
      <w:r>
        <w:t xml:space="preserve"> </w:t>
      </w:r>
      <w:r w:rsidRPr="00CB66EB">
        <w:t>rozhodnutí</w:t>
      </w:r>
      <w:r>
        <w:t xml:space="preserve"> </w:t>
      </w:r>
      <w:r w:rsidRPr="00CB66EB">
        <w:t>Rady.</w:t>
      </w:r>
    </w:p>
    <w:p w14:paraId="422A7AD6" w14:textId="77777777" w:rsidR="004648F8" w:rsidRDefault="004648F8" w:rsidP="0006588E">
      <w:pPr>
        <w:pStyle w:val="Textparagrafu"/>
        <w:numPr>
          <w:ilvl w:val="0"/>
          <w:numId w:val="27"/>
        </w:numPr>
        <w:tabs>
          <w:tab w:val="left" w:pos="392"/>
          <w:tab w:val="left" w:pos="840"/>
        </w:tabs>
        <w:spacing w:before="120" w:after="120"/>
        <w:ind w:firstLine="425"/>
      </w:pPr>
      <w:r w:rsidRPr="00CB66EB">
        <w:t>(19)</w:t>
      </w:r>
      <w:r>
        <w:t xml:space="preserve"> </w:t>
      </w:r>
      <w:r w:rsidRPr="00CB66EB">
        <w:t>Podmínky</w:t>
      </w:r>
      <w:r>
        <w:t xml:space="preserve"> </w:t>
      </w:r>
      <w:r w:rsidRPr="00CB66EB">
        <w:t>a</w:t>
      </w:r>
      <w:r>
        <w:t xml:space="preserve"> </w:t>
      </w:r>
      <w:r w:rsidRPr="00CB66EB">
        <w:t>podrobnosti</w:t>
      </w:r>
      <w:r>
        <w:t xml:space="preserve"> </w:t>
      </w:r>
      <w:r w:rsidRPr="00CB66EB">
        <w:t>o</w:t>
      </w:r>
      <w:r>
        <w:t xml:space="preserve"> </w:t>
      </w:r>
      <w:r w:rsidRPr="00CB66EB">
        <w:t>způsobu</w:t>
      </w:r>
      <w:r>
        <w:t xml:space="preserve"> </w:t>
      </w:r>
      <w:r w:rsidRPr="00CB66EB">
        <w:t>a</w:t>
      </w:r>
      <w:r>
        <w:t xml:space="preserve"> </w:t>
      </w:r>
      <w:r w:rsidRPr="00CB66EB">
        <w:t>výši</w:t>
      </w:r>
      <w:r>
        <w:t xml:space="preserve"> </w:t>
      </w:r>
      <w:r w:rsidRPr="00CB66EB">
        <w:t>poskytování</w:t>
      </w:r>
      <w:r>
        <w:t xml:space="preserve"> </w:t>
      </w:r>
      <w:r w:rsidRPr="00CB66EB">
        <w:t>podpor</w:t>
      </w:r>
      <w:r>
        <w:t xml:space="preserve"> </w:t>
      </w:r>
      <w:r w:rsidRPr="00CB66EB">
        <w:t>pro</w:t>
      </w:r>
      <w:r>
        <w:t xml:space="preserve"> </w:t>
      </w:r>
      <w:r w:rsidRPr="00CB66EB">
        <w:t>žadatele</w:t>
      </w:r>
      <w:r>
        <w:t xml:space="preserve"> </w:t>
      </w:r>
      <w:r w:rsidRPr="00CB66EB">
        <w:t>podle</w:t>
      </w:r>
      <w:r>
        <w:t xml:space="preserve"> </w:t>
      </w:r>
      <w:r w:rsidRPr="00CB66EB">
        <w:t>odstavců</w:t>
      </w:r>
      <w:r>
        <w:t xml:space="preserve"> </w:t>
      </w:r>
      <w:r w:rsidRPr="00CB66EB">
        <w:t>4</w:t>
      </w:r>
      <w:r>
        <w:t xml:space="preserve"> </w:t>
      </w:r>
      <w:r w:rsidRPr="00CB66EB">
        <w:t>a</w:t>
      </w:r>
      <w:r>
        <w:t xml:space="preserve"> </w:t>
      </w:r>
      <w:r w:rsidRPr="00CB66EB">
        <w:t>5</w:t>
      </w:r>
      <w:r>
        <w:t xml:space="preserve"> </w:t>
      </w:r>
      <w:r w:rsidRPr="00CB66EB">
        <w:t>stanoví</w:t>
      </w:r>
      <w:r>
        <w:t xml:space="preserve"> </w:t>
      </w:r>
      <w:r w:rsidRPr="00CB66EB">
        <w:t>po</w:t>
      </w:r>
      <w:r>
        <w:t xml:space="preserve"> </w:t>
      </w:r>
      <w:r w:rsidRPr="00CB66EB">
        <w:t>předchozím</w:t>
      </w:r>
      <w:r>
        <w:t xml:space="preserve"> </w:t>
      </w:r>
      <w:r w:rsidRPr="00CB66EB">
        <w:t>souhlasu</w:t>
      </w:r>
      <w:r>
        <w:t xml:space="preserve"> </w:t>
      </w:r>
      <w:r w:rsidRPr="00CB66EB">
        <w:t>ministerstva</w:t>
      </w:r>
      <w:r>
        <w:t xml:space="preserve"> </w:t>
      </w:r>
      <w:r w:rsidRPr="00CB66EB">
        <w:t>Rada</w:t>
      </w:r>
      <w:r>
        <w:t xml:space="preserve"> </w:t>
      </w:r>
      <w:r w:rsidRPr="00CB66EB">
        <w:t>v</w:t>
      </w:r>
      <w:r>
        <w:t xml:space="preserve"> </w:t>
      </w:r>
      <w:r w:rsidRPr="00CB66EB">
        <w:t>pravidlech</w:t>
      </w:r>
      <w:r>
        <w:t xml:space="preserve"> </w:t>
      </w:r>
      <w:r w:rsidRPr="00CB66EB">
        <w:t>pro</w:t>
      </w:r>
      <w:r>
        <w:t xml:space="preserve"> </w:t>
      </w:r>
      <w:r w:rsidRPr="00CB66EB">
        <w:t>žadatele.</w:t>
      </w:r>
    </w:p>
    <w:p w14:paraId="72B73B41" w14:textId="77777777" w:rsidR="004648F8" w:rsidRDefault="004648F8" w:rsidP="0006588E">
      <w:pPr>
        <w:pStyle w:val="Textparagrafu"/>
        <w:numPr>
          <w:ilvl w:val="0"/>
          <w:numId w:val="27"/>
        </w:numPr>
        <w:tabs>
          <w:tab w:val="left" w:pos="392"/>
          <w:tab w:val="left" w:pos="840"/>
        </w:tabs>
        <w:spacing w:before="120" w:after="120"/>
        <w:ind w:firstLine="425"/>
      </w:pPr>
      <w:r w:rsidRPr="00CB66EB">
        <w:t>(20)</w:t>
      </w:r>
      <w:r>
        <w:t xml:space="preserve"> </w:t>
      </w:r>
      <w:r w:rsidRPr="00CB66EB">
        <w:t>Fond</w:t>
      </w:r>
      <w:r>
        <w:t xml:space="preserve"> </w:t>
      </w:r>
      <w:r w:rsidRPr="00CB66EB">
        <w:t>zveřejní</w:t>
      </w:r>
      <w:r>
        <w:t xml:space="preserve"> </w:t>
      </w:r>
      <w:r w:rsidRPr="00CB66EB">
        <w:t>pro</w:t>
      </w:r>
      <w:r>
        <w:t xml:space="preserve"> </w:t>
      </w:r>
      <w:r w:rsidRPr="00CB66EB">
        <w:t>následující</w:t>
      </w:r>
      <w:r>
        <w:t xml:space="preserve"> </w:t>
      </w:r>
      <w:r w:rsidRPr="00CB66EB">
        <w:t>půlrok</w:t>
      </w:r>
      <w:r>
        <w:t xml:space="preserve"> </w:t>
      </w:r>
      <w:r w:rsidRPr="00CB66EB">
        <w:t>podmínky</w:t>
      </w:r>
      <w:r>
        <w:t xml:space="preserve"> </w:t>
      </w:r>
      <w:r w:rsidRPr="00CB66EB">
        <w:t>a</w:t>
      </w:r>
      <w:r>
        <w:t xml:space="preserve"> </w:t>
      </w:r>
      <w:r w:rsidRPr="00CB66EB">
        <w:t>podrobnosti</w:t>
      </w:r>
      <w:r>
        <w:t xml:space="preserve"> </w:t>
      </w:r>
      <w:r w:rsidRPr="00CB66EB">
        <w:t>o</w:t>
      </w:r>
      <w:r>
        <w:t xml:space="preserve"> </w:t>
      </w:r>
      <w:r w:rsidRPr="00CB66EB">
        <w:t>způsobu</w:t>
      </w:r>
      <w:r>
        <w:t xml:space="preserve"> </w:t>
      </w:r>
      <w:r w:rsidRPr="00CB66EB">
        <w:t>a</w:t>
      </w:r>
      <w:r>
        <w:t xml:space="preserve"> </w:t>
      </w:r>
      <w:r w:rsidRPr="00CB66EB">
        <w:t>výši</w:t>
      </w:r>
      <w:r>
        <w:t xml:space="preserve"> </w:t>
      </w:r>
      <w:r w:rsidRPr="00CB66EB">
        <w:t>poskytování</w:t>
      </w:r>
      <w:r>
        <w:t xml:space="preserve"> </w:t>
      </w:r>
      <w:r w:rsidRPr="00CB66EB">
        <w:t>podpor</w:t>
      </w:r>
      <w:r>
        <w:t xml:space="preserve"> </w:t>
      </w:r>
      <w:r w:rsidRPr="00CB66EB">
        <w:t>pro</w:t>
      </w:r>
      <w:r>
        <w:t xml:space="preserve"> </w:t>
      </w:r>
      <w:r w:rsidRPr="00CB66EB">
        <w:t>žadatele</w:t>
      </w:r>
      <w:r>
        <w:t xml:space="preserve"> </w:t>
      </w:r>
      <w:r w:rsidRPr="00CB66EB">
        <w:t>podle</w:t>
      </w:r>
      <w:r>
        <w:t xml:space="preserve"> </w:t>
      </w:r>
      <w:r w:rsidRPr="00CB66EB">
        <w:t>odstavců</w:t>
      </w:r>
      <w:r>
        <w:t xml:space="preserve"> </w:t>
      </w:r>
      <w:r w:rsidRPr="00CB66EB">
        <w:t>4</w:t>
      </w:r>
      <w:r>
        <w:t xml:space="preserve"> </w:t>
      </w:r>
      <w:r w:rsidRPr="00CB66EB">
        <w:t>a</w:t>
      </w:r>
      <w:r>
        <w:t xml:space="preserve"> </w:t>
      </w:r>
      <w:r w:rsidRPr="00CB66EB">
        <w:t>5</w:t>
      </w:r>
      <w:r>
        <w:t xml:space="preserve"> </w:t>
      </w:r>
      <w:r w:rsidRPr="00CB66EB">
        <w:t>nejpozději</w:t>
      </w:r>
      <w:r>
        <w:t xml:space="preserve"> </w:t>
      </w:r>
      <w:r w:rsidRPr="00CB66EB">
        <w:t>do</w:t>
      </w:r>
      <w:r>
        <w:t xml:space="preserve"> </w:t>
      </w:r>
      <w:r w:rsidRPr="00CB66EB">
        <w:t>31.</w:t>
      </w:r>
      <w:r>
        <w:t xml:space="preserve"> </w:t>
      </w:r>
      <w:r w:rsidRPr="00CB66EB">
        <w:t>května</w:t>
      </w:r>
      <w:r>
        <w:t xml:space="preserve"> </w:t>
      </w:r>
      <w:r w:rsidRPr="00CB66EB">
        <w:t>a</w:t>
      </w:r>
      <w:r>
        <w:t xml:space="preserve"> </w:t>
      </w:r>
      <w:r w:rsidRPr="00CB66EB">
        <w:t>do</w:t>
      </w:r>
      <w:r>
        <w:t xml:space="preserve"> </w:t>
      </w:r>
      <w:r w:rsidRPr="00CB66EB">
        <w:t>30.</w:t>
      </w:r>
      <w:r>
        <w:t xml:space="preserve"> </w:t>
      </w:r>
      <w:r w:rsidRPr="00CB66EB">
        <w:t>listopadu</w:t>
      </w:r>
      <w:r>
        <w:t xml:space="preserve"> </w:t>
      </w:r>
      <w:r w:rsidRPr="00CB66EB">
        <w:t>na</w:t>
      </w:r>
      <w:r>
        <w:t xml:space="preserve"> </w:t>
      </w:r>
      <w:r w:rsidRPr="00CB66EB">
        <w:t>svých</w:t>
      </w:r>
      <w:r>
        <w:t xml:space="preserve"> </w:t>
      </w:r>
      <w:r w:rsidRPr="00CB66EB">
        <w:t>internetových</w:t>
      </w:r>
      <w:r>
        <w:t xml:space="preserve"> </w:t>
      </w:r>
      <w:r w:rsidRPr="00CB66EB">
        <w:t>stránkách.</w:t>
      </w:r>
    </w:p>
    <w:p w14:paraId="7A6932CE" w14:textId="77777777" w:rsidR="004648F8" w:rsidRDefault="004648F8" w:rsidP="00603CB6">
      <w:pPr>
        <w:pStyle w:val="Textparagrafu"/>
        <w:numPr>
          <w:ilvl w:val="0"/>
          <w:numId w:val="27"/>
        </w:numPr>
        <w:tabs>
          <w:tab w:val="left" w:pos="392"/>
          <w:tab w:val="left" w:pos="840"/>
        </w:tabs>
        <w:spacing w:after="120"/>
        <w:jc w:val="center"/>
      </w:pPr>
      <w:r w:rsidRPr="00CB66EB">
        <w:t>§</w:t>
      </w:r>
      <w:r>
        <w:t xml:space="preserve"> </w:t>
      </w:r>
      <w:r w:rsidRPr="00CB66EB">
        <w:t>32</w:t>
      </w:r>
    </w:p>
    <w:p w14:paraId="30CF1554" w14:textId="77777777" w:rsidR="004648F8" w:rsidRPr="00603CB6" w:rsidRDefault="004648F8" w:rsidP="00603CB6">
      <w:pPr>
        <w:pStyle w:val="Textparagrafu"/>
        <w:numPr>
          <w:ilvl w:val="0"/>
          <w:numId w:val="27"/>
        </w:numPr>
        <w:tabs>
          <w:tab w:val="left" w:pos="392"/>
          <w:tab w:val="left" w:pos="840"/>
        </w:tabs>
        <w:spacing w:after="120"/>
        <w:jc w:val="center"/>
        <w:rPr>
          <w:b/>
        </w:rPr>
      </w:pPr>
      <w:r w:rsidRPr="00603CB6">
        <w:rPr>
          <w:b/>
        </w:rPr>
        <w:t>Rada</w:t>
      </w:r>
    </w:p>
    <w:p w14:paraId="1372012C" w14:textId="5361C7EE" w:rsidR="004648F8" w:rsidRDefault="004648F8" w:rsidP="0006588E">
      <w:pPr>
        <w:pStyle w:val="Textparagrafu"/>
        <w:numPr>
          <w:ilvl w:val="0"/>
          <w:numId w:val="27"/>
        </w:numPr>
        <w:tabs>
          <w:tab w:val="left" w:pos="392"/>
          <w:tab w:val="left" w:pos="840"/>
        </w:tabs>
        <w:spacing w:before="120" w:after="120"/>
        <w:ind w:firstLine="425"/>
      </w:pPr>
      <w:r w:rsidRPr="00CB66EB">
        <w:t>(1)</w:t>
      </w:r>
      <w:r>
        <w:t xml:space="preserve"> </w:t>
      </w:r>
      <w:r w:rsidRPr="00CB66EB">
        <w:t>Rada</w:t>
      </w:r>
      <w:r>
        <w:t xml:space="preserve"> </w:t>
      </w:r>
      <w:r w:rsidRPr="00CB66EB">
        <w:t>je</w:t>
      </w:r>
      <w:r>
        <w:t xml:space="preserve"> </w:t>
      </w:r>
      <w:r w:rsidRPr="00CB66EB">
        <w:t>nejvyšším</w:t>
      </w:r>
      <w:r>
        <w:t xml:space="preserve"> </w:t>
      </w:r>
      <w:r w:rsidRPr="00CB66EB">
        <w:t>orgánem</w:t>
      </w:r>
      <w:r>
        <w:t xml:space="preserve"> </w:t>
      </w:r>
      <w:r w:rsidRPr="00CB66EB">
        <w:t>Fondu;</w:t>
      </w:r>
      <w:r>
        <w:t xml:space="preserve"> </w:t>
      </w:r>
      <w:r w:rsidRPr="00CB66EB">
        <w:t>skládá</w:t>
      </w:r>
      <w:r>
        <w:t xml:space="preserve"> </w:t>
      </w:r>
      <w:r w:rsidRPr="00CB66EB">
        <w:t>se</w:t>
      </w:r>
      <w:r>
        <w:t xml:space="preserve"> </w:t>
      </w:r>
      <w:r w:rsidRPr="00CB66EB">
        <w:t>z</w:t>
      </w:r>
      <w:r>
        <w:t xml:space="preserve"> </w:t>
      </w:r>
      <w:r w:rsidRPr="00CB66EB">
        <w:t>11</w:t>
      </w:r>
      <w:r>
        <w:t xml:space="preserve"> </w:t>
      </w:r>
      <w:r w:rsidRPr="00CB66EB">
        <w:t>členů.</w:t>
      </w:r>
      <w:r>
        <w:t xml:space="preserve"> </w:t>
      </w:r>
      <w:r w:rsidRPr="00CB66EB">
        <w:t>Funkční</w:t>
      </w:r>
      <w:r>
        <w:t xml:space="preserve"> </w:t>
      </w:r>
      <w:r w:rsidRPr="00CB66EB">
        <w:t>období</w:t>
      </w:r>
      <w:r>
        <w:t xml:space="preserve"> </w:t>
      </w:r>
      <w:r w:rsidRPr="00CB66EB">
        <w:t>členů</w:t>
      </w:r>
      <w:r>
        <w:t xml:space="preserve"> </w:t>
      </w:r>
      <w:r w:rsidRPr="00CB66EB">
        <w:t>Rady</w:t>
      </w:r>
      <w:r>
        <w:t xml:space="preserve"> </w:t>
      </w:r>
      <w:r w:rsidRPr="00CB66EB">
        <w:t>je</w:t>
      </w:r>
      <w:r>
        <w:t xml:space="preserve"> </w:t>
      </w:r>
      <w:r w:rsidRPr="00CB66EB">
        <w:t>čtyřleté.</w:t>
      </w:r>
      <w:r>
        <w:t xml:space="preserve"> </w:t>
      </w:r>
      <w:r w:rsidRPr="00CB66EB">
        <w:t>Členům</w:t>
      </w:r>
      <w:r>
        <w:t xml:space="preserve"> </w:t>
      </w:r>
      <w:r w:rsidRPr="00CB66EB">
        <w:t>Rady</w:t>
      </w:r>
      <w:r>
        <w:t xml:space="preserve"> </w:t>
      </w:r>
      <w:r w:rsidRPr="00CB66EB">
        <w:t>nepřísluší</w:t>
      </w:r>
      <w:r>
        <w:t xml:space="preserve"> </w:t>
      </w:r>
      <w:r w:rsidRPr="00CB66EB">
        <w:t>odměna</w:t>
      </w:r>
      <w:r>
        <w:t xml:space="preserve"> </w:t>
      </w:r>
      <w:r w:rsidRPr="00CB66EB">
        <w:t>za</w:t>
      </w:r>
      <w:r>
        <w:t xml:space="preserve"> </w:t>
      </w:r>
      <w:r w:rsidRPr="00CB66EB">
        <w:t>výkon</w:t>
      </w:r>
      <w:r>
        <w:t xml:space="preserve"> </w:t>
      </w:r>
      <w:r w:rsidRPr="00CB66EB">
        <w:t>funkce</w:t>
      </w:r>
      <w:r>
        <w:t xml:space="preserve"> </w:t>
      </w:r>
      <w:r w:rsidRPr="00CB66EB">
        <w:t>člena.</w:t>
      </w:r>
      <w:r>
        <w:t xml:space="preserve"> </w:t>
      </w:r>
      <w:r w:rsidRPr="00CB66EB">
        <w:t>Člen</w:t>
      </w:r>
      <w:r>
        <w:t xml:space="preserve"> </w:t>
      </w:r>
      <w:r w:rsidRPr="00CB66EB">
        <w:t>Rady</w:t>
      </w:r>
      <w:r>
        <w:t xml:space="preserve"> </w:t>
      </w:r>
      <w:r w:rsidRPr="00CB66EB">
        <w:t>má</w:t>
      </w:r>
      <w:r>
        <w:t xml:space="preserve"> </w:t>
      </w:r>
      <w:r w:rsidRPr="00CB66EB">
        <w:t>nárok</w:t>
      </w:r>
      <w:r>
        <w:t xml:space="preserve"> </w:t>
      </w:r>
      <w:r w:rsidRPr="00CB66EB">
        <w:t>na</w:t>
      </w:r>
      <w:r>
        <w:t xml:space="preserve"> </w:t>
      </w:r>
      <w:r w:rsidRPr="00CB66EB">
        <w:t>náhradu</w:t>
      </w:r>
      <w:r>
        <w:t xml:space="preserve"> </w:t>
      </w:r>
      <w:r w:rsidRPr="00CB66EB">
        <w:t>výdajů</w:t>
      </w:r>
      <w:r>
        <w:t xml:space="preserve"> </w:t>
      </w:r>
      <w:r w:rsidRPr="00CB66EB">
        <w:t>do</w:t>
      </w:r>
      <w:r>
        <w:t xml:space="preserve"> </w:t>
      </w:r>
      <w:r w:rsidRPr="00CB66EB">
        <w:t>výše</w:t>
      </w:r>
      <w:r>
        <w:t xml:space="preserve"> </w:t>
      </w:r>
      <w:r w:rsidRPr="00CB66EB">
        <w:t>určené</w:t>
      </w:r>
      <w:r>
        <w:t xml:space="preserve"> </w:t>
      </w:r>
      <w:r w:rsidRPr="00CB66EB">
        <w:t>zvláštním</w:t>
      </w:r>
      <w:r>
        <w:t xml:space="preserve"> </w:t>
      </w:r>
      <w:r w:rsidRPr="00CB66EB">
        <w:t>právním</w:t>
      </w:r>
      <w:r>
        <w:t xml:space="preserve"> </w:t>
      </w:r>
      <w:r w:rsidR="00603CB6">
        <w:t>předpisem.</w:t>
      </w:r>
      <w:r w:rsidR="00603CB6">
        <w:rPr>
          <w:rStyle w:val="Znakapoznpodarou"/>
        </w:rPr>
        <w:footnoteReference w:customMarkFollows="1" w:id="458"/>
        <w:t>81)</w:t>
      </w:r>
    </w:p>
    <w:p w14:paraId="17A3BDAB" w14:textId="500A131D" w:rsidR="004648F8" w:rsidRDefault="004648F8" w:rsidP="0006588E">
      <w:pPr>
        <w:pStyle w:val="Textparagrafu"/>
        <w:numPr>
          <w:ilvl w:val="0"/>
          <w:numId w:val="27"/>
        </w:numPr>
        <w:tabs>
          <w:tab w:val="left" w:pos="392"/>
          <w:tab w:val="left" w:pos="840"/>
        </w:tabs>
        <w:spacing w:before="120" w:after="120"/>
        <w:ind w:firstLine="425"/>
      </w:pPr>
      <w:r w:rsidRPr="00CB66EB">
        <w:t>(2)</w:t>
      </w:r>
      <w:r>
        <w:t xml:space="preserve"> </w:t>
      </w:r>
      <w:r w:rsidRPr="00CB66EB">
        <w:t>Členy</w:t>
      </w:r>
      <w:r>
        <w:t xml:space="preserve"> </w:t>
      </w:r>
      <w:r w:rsidRPr="00CB66EB">
        <w:t>Rady</w:t>
      </w:r>
      <w:r>
        <w:t xml:space="preserve"> </w:t>
      </w:r>
      <w:r w:rsidRPr="00CB66EB">
        <w:t>jmenuje</w:t>
      </w:r>
      <w:r>
        <w:t xml:space="preserve"> </w:t>
      </w:r>
      <w:r w:rsidRPr="00CB66EB">
        <w:t>a</w:t>
      </w:r>
      <w:r>
        <w:t xml:space="preserve"> </w:t>
      </w:r>
      <w:r w:rsidRPr="00CB66EB">
        <w:t>odvolává</w:t>
      </w:r>
      <w:r>
        <w:t xml:space="preserve"> </w:t>
      </w:r>
      <w:r w:rsidRPr="00CB66EB">
        <w:t>ministr</w:t>
      </w:r>
      <w:r>
        <w:t xml:space="preserve"> </w:t>
      </w:r>
      <w:r w:rsidRPr="00CB66EB">
        <w:t>zemědělství</w:t>
      </w:r>
      <w:r>
        <w:t xml:space="preserve"> </w:t>
      </w:r>
      <w:r w:rsidRPr="00CB66EB">
        <w:t>(dále</w:t>
      </w:r>
      <w:r>
        <w:t xml:space="preserve"> </w:t>
      </w:r>
      <w:r w:rsidRPr="00CB66EB">
        <w:t>jen</w:t>
      </w:r>
      <w:r>
        <w:t xml:space="preserve"> </w:t>
      </w:r>
      <w:r w:rsidRPr="00CB66EB">
        <w:t>"ministr"),</w:t>
      </w:r>
      <w:r>
        <w:t xml:space="preserve"> </w:t>
      </w:r>
      <w:r w:rsidRPr="00CB66EB">
        <w:t>přičemž</w:t>
      </w:r>
      <w:r>
        <w:t xml:space="preserve"> </w:t>
      </w:r>
      <w:r w:rsidRPr="00CB66EB">
        <w:t>jednoho</w:t>
      </w:r>
      <w:r>
        <w:t xml:space="preserve"> </w:t>
      </w:r>
      <w:r w:rsidRPr="00CB66EB">
        <w:t>člena</w:t>
      </w:r>
      <w:r>
        <w:t xml:space="preserve"> </w:t>
      </w:r>
      <w:r w:rsidRPr="00CB66EB">
        <w:t>Rady</w:t>
      </w:r>
      <w:r>
        <w:t xml:space="preserve"> </w:t>
      </w:r>
      <w:r w:rsidRPr="00CB66EB">
        <w:t>jmenuje</w:t>
      </w:r>
      <w:r>
        <w:t xml:space="preserve"> </w:t>
      </w:r>
      <w:r w:rsidRPr="00CB66EB">
        <w:t>z</w:t>
      </w:r>
      <w:r>
        <w:t xml:space="preserve"> </w:t>
      </w:r>
      <w:r w:rsidRPr="00CB66EB">
        <w:t>řad</w:t>
      </w:r>
      <w:r>
        <w:t xml:space="preserve"> </w:t>
      </w:r>
      <w:r w:rsidRPr="00CB66EB">
        <w:t>zaměstnanců</w:t>
      </w:r>
      <w:r>
        <w:t xml:space="preserve"> </w:t>
      </w:r>
      <w:r w:rsidRPr="00CB66EB">
        <w:t>ministerstva,</w:t>
      </w:r>
      <w:r>
        <w:t xml:space="preserve"> </w:t>
      </w:r>
      <w:r w:rsidRPr="00CB66EB">
        <w:t>jednoho</w:t>
      </w:r>
      <w:r>
        <w:t xml:space="preserve"> </w:t>
      </w:r>
      <w:r w:rsidRPr="00CB66EB">
        <w:t>člena</w:t>
      </w:r>
      <w:r>
        <w:t xml:space="preserve"> </w:t>
      </w:r>
      <w:r w:rsidRPr="00CB66EB">
        <w:t>Rady</w:t>
      </w:r>
      <w:r>
        <w:t xml:space="preserve"> </w:t>
      </w:r>
      <w:r w:rsidRPr="00CB66EB">
        <w:t>z</w:t>
      </w:r>
      <w:r>
        <w:t xml:space="preserve"> </w:t>
      </w:r>
      <w:r w:rsidRPr="00CB66EB">
        <w:t>řad</w:t>
      </w:r>
      <w:r>
        <w:t xml:space="preserve"> </w:t>
      </w:r>
      <w:r w:rsidRPr="00CB66EB">
        <w:t>zastupitelstva</w:t>
      </w:r>
      <w:r>
        <w:t xml:space="preserve"> </w:t>
      </w:r>
      <w:r w:rsidRPr="00CB66EB">
        <w:t>Jihomoravského</w:t>
      </w:r>
      <w:r>
        <w:t xml:space="preserve"> </w:t>
      </w:r>
      <w:r w:rsidRPr="00CB66EB">
        <w:t>kraje</w:t>
      </w:r>
      <w:r>
        <w:t xml:space="preserve"> </w:t>
      </w:r>
      <w:r w:rsidRPr="00CB66EB">
        <w:t>a</w:t>
      </w:r>
      <w:r>
        <w:t xml:space="preserve"> </w:t>
      </w:r>
      <w:r w:rsidRPr="00CB66EB">
        <w:t>9</w:t>
      </w:r>
      <w:r>
        <w:t xml:space="preserve"> </w:t>
      </w:r>
      <w:r w:rsidRPr="00CB66EB">
        <w:t>členů</w:t>
      </w:r>
      <w:r>
        <w:t xml:space="preserve"> </w:t>
      </w:r>
      <w:r w:rsidRPr="00CB66EB">
        <w:t>Rady</w:t>
      </w:r>
      <w:r>
        <w:t xml:space="preserve"> </w:t>
      </w:r>
      <w:r w:rsidRPr="00CB66EB">
        <w:t>na</w:t>
      </w:r>
      <w:r>
        <w:t xml:space="preserve"> </w:t>
      </w:r>
      <w:r w:rsidRPr="00CB66EB">
        <w:t>návrh</w:t>
      </w:r>
      <w:r>
        <w:t xml:space="preserve"> </w:t>
      </w:r>
      <w:r w:rsidRPr="00CB66EB">
        <w:t>vinohradnických</w:t>
      </w:r>
      <w:r>
        <w:t xml:space="preserve"> </w:t>
      </w:r>
      <w:r w:rsidRPr="00CB66EB">
        <w:t>a</w:t>
      </w:r>
      <w:r>
        <w:t xml:space="preserve"> </w:t>
      </w:r>
      <w:r w:rsidRPr="00CB66EB">
        <w:t>vinařských</w:t>
      </w:r>
      <w:r>
        <w:t xml:space="preserve"> </w:t>
      </w:r>
      <w:r w:rsidR="00603CB6">
        <w:t>sdružení.</w:t>
      </w:r>
      <w:r w:rsidR="00603CB6">
        <w:rPr>
          <w:rStyle w:val="Znakapoznpodarou"/>
        </w:rPr>
        <w:footnoteReference w:customMarkFollows="1" w:id="459"/>
        <w:t>64)</w:t>
      </w:r>
    </w:p>
    <w:p w14:paraId="7FB003F0" w14:textId="77777777" w:rsidR="004648F8" w:rsidRDefault="004648F8" w:rsidP="0006588E">
      <w:pPr>
        <w:pStyle w:val="Textparagrafu"/>
        <w:numPr>
          <w:ilvl w:val="0"/>
          <w:numId w:val="27"/>
        </w:numPr>
        <w:tabs>
          <w:tab w:val="left" w:pos="392"/>
          <w:tab w:val="left" w:pos="840"/>
        </w:tabs>
        <w:spacing w:before="120" w:after="120"/>
        <w:ind w:firstLine="425"/>
      </w:pPr>
      <w:r w:rsidRPr="00CB66EB">
        <w:lastRenderedPageBreak/>
        <w:t>(3)</w:t>
      </w:r>
      <w:r>
        <w:t xml:space="preserve"> </w:t>
      </w:r>
      <w:r w:rsidRPr="00CB66EB">
        <w:t>Členy</w:t>
      </w:r>
      <w:r>
        <w:t xml:space="preserve"> </w:t>
      </w:r>
      <w:r w:rsidRPr="00CB66EB">
        <w:t>Rady</w:t>
      </w:r>
      <w:r>
        <w:t xml:space="preserve"> </w:t>
      </w:r>
      <w:r w:rsidRPr="00CB66EB">
        <w:t>může</w:t>
      </w:r>
      <w:r>
        <w:t xml:space="preserve"> </w:t>
      </w:r>
      <w:r w:rsidRPr="00CB66EB">
        <w:t>ministr</w:t>
      </w:r>
      <w:r>
        <w:t xml:space="preserve"> </w:t>
      </w:r>
      <w:r w:rsidRPr="00CB66EB">
        <w:t>v</w:t>
      </w:r>
      <w:r>
        <w:t xml:space="preserve"> </w:t>
      </w:r>
      <w:r w:rsidRPr="00CB66EB">
        <w:t>případě</w:t>
      </w:r>
      <w:r>
        <w:t xml:space="preserve"> </w:t>
      </w:r>
      <w:r w:rsidRPr="00CB66EB">
        <w:t>zjištění</w:t>
      </w:r>
      <w:r>
        <w:t xml:space="preserve"> </w:t>
      </w:r>
      <w:r w:rsidRPr="00CB66EB">
        <w:t>závažného</w:t>
      </w:r>
      <w:r>
        <w:t xml:space="preserve"> </w:t>
      </w:r>
      <w:r w:rsidRPr="00CB66EB">
        <w:t>porušení</w:t>
      </w:r>
      <w:r>
        <w:t xml:space="preserve"> </w:t>
      </w:r>
      <w:r w:rsidRPr="00CB66EB">
        <w:t>povinností</w:t>
      </w:r>
      <w:r>
        <w:t xml:space="preserve"> </w:t>
      </w:r>
      <w:r w:rsidRPr="00CB66EB">
        <w:t>vyplývajících</w:t>
      </w:r>
      <w:r>
        <w:t xml:space="preserve"> </w:t>
      </w:r>
      <w:r w:rsidRPr="00CB66EB">
        <w:t>z</w:t>
      </w:r>
      <w:r>
        <w:t xml:space="preserve"> </w:t>
      </w:r>
      <w:r w:rsidRPr="00CB66EB">
        <w:t>funkce</w:t>
      </w:r>
      <w:r>
        <w:t xml:space="preserve"> </w:t>
      </w:r>
      <w:r w:rsidRPr="00CB66EB">
        <w:t>člena</w:t>
      </w:r>
      <w:r>
        <w:t xml:space="preserve"> </w:t>
      </w:r>
      <w:r w:rsidRPr="00CB66EB">
        <w:t>Rady</w:t>
      </w:r>
      <w:r>
        <w:t xml:space="preserve"> </w:t>
      </w:r>
      <w:r w:rsidRPr="00CB66EB">
        <w:t>odvolat</w:t>
      </w:r>
      <w:r>
        <w:t xml:space="preserve"> </w:t>
      </w:r>
      <w:r w:rsidRPr="00CB66EB">
        <w:t>na</w:t>
      </w:r>
      <w:r>
        <w:t xml:space="preserve"> </w:t>
      </w:r>
      <w:r w:rsidRPr="00CB66EB">
        <w:t>návrh</w:t>
      </w:r>
      <w:r>
        <w:t xml:space="preserve"> </w:t>
      </w:r>
      <w:r w:rsidRPr="00CB66EB">
        <w:t>Dozorčí</w:t>
      </w:r>
      <w:r>
        <w:t xml:space="preserve"> </w:t>
      </w:r>
      <w:r w:rsidRPr="00CB66EB">
        <w:t>rady</w:t>
      </w:r>
      <w:r>
        <w:t xml:space="preserve"> </w:t>
      </w:r>
      <w:r w:rsidRPr="00CB66EB">
        <w:t>nebo</w:t>
      </w:r>
      <w:r>
        <w:t xml:space="preserve"> </w:t>
      </w:r>
      <w:r w:rsidRPr="00CB66EB">
        <w:t>na</w:t>
      </w:r>
      <w:r>
        <w:t xml:space="preserve"> </w:t>
      </w:r>
      <w:r w:rsidRPr="00CB66EB">
        <w:t>návrh</w:t>
      </w:r>
      <w:r>
        <w:t xml:space="preserve"> </w:t>
      </w:r>
      <w:r w:rsidRPr="00CB66EB">
        <w:t>toho,</w:t>
      </w:r>
      <w:r>
        <w:t xml:space="preserve"> </w:t>
      </w:r>
      <w:r w:rsidRPr="00CB66EB">
        <w:t>kdo</w:t>
      </w:r>
      <w:r>
        <w:t xml:space="preserve"> </w:t>
      </w:r>
      <w:r w:rsidRPr="00CB66EB">
        <w:t>navrhoval</w:t>
      </w:r>
      <w:r>
        <w:t xml:space="preserve"> </w:t>
      </w:r>
      <w:r w:rsidRPr="00CB66EB">
        <w:t>člena</w:t>
      </w:r>
      <w:r>
        <w:t xml:space="preserve"> </w:t>
      </w:r>
      <w:r w:rsidRPr="00CB66EB">
        <w:t>podle</w:t>
      </w:r>
      <w:r>
        <w:t xml:space="preserve"> </w:t>
      </w:r>
      <w:r w:rsidRPr="00CB66EB">
        <w:t>odstavce</w:t>
      </w:r>
      <w:r>
        <w:t xml:space="preserve"> </w:t>
      </w:r>
      <w:r w:rsidRPr="00CB66EB">
        <w:t>2.</w:t>
      </w:r>
    </w:p>
    <w:p w14:paraId="1E93FE95" w14:textId="77777777" w:rsidR="004648F8" w:rsidRDefault="004648F8" w:rsidP="0006588E">
      <w:pPr>
        <w:pStyle w:val="Textparagrafu"/>
        <w:numPr>
          <w:ilvl w:val="0"/>
          <w:numId w:val="27"/>
        </w:numPr>
        <w:tabs>
          <w:tab w:val="left" w:pos="392"/>
          <w:tab w:val="left" w:pos="840"/>
        </w:tabs>
        <w:spacing w:before="120" w:after="120"/>
        <w:ind w:firstLine="425"/>
      </w:pPr>
      <w:r w:rsidRPr="00CB66EB">
        <w:t>(4)</w:t>
      </w:r>
      <w:r>
        <w:t xml:space="preserve"> </w:t>
      </w:r>
      <w:r w:rsidRPr="00CB66EB">
        <w:t>Členství</w:t>
      </w:r>
      <w:r>
        <w:t xml:space="preserve"> </w:t>
      </w:r>
      <w:r w:rsidRPr="00CB66EB">
        <w:t>v</w:t>
      </w:r>
      <w:r>
        <w:t xml:space="preserve"> </w:t>
      </w:r>
      <w:r w:rsidRPr="00CB66EB">
        <w:t>Radě</w:t>
      </w:r>
      <w:r>
        <w:t xml:space="preserve"> </w:t>
      </w:r>
      <w:r w:rsidRPr="00CB66EB">
        <w:t>je</w:t>
      </w:r>
      <w:r>
        <w:t xml:space="preserve"> </w:t>
      </w:r>
      <w:r w:rsidRPr="00CB66EB">
        <w:t>neslučitelné</w:t>
      </w:r>
      <w:r>
        <w:t xml:space="preserve"> </w:t>
      </w:r>
      <w:r w:rsidRPr="00CB66EB">
        <w:t>s</w:t>
      </w:r>
      <w:r>
        <w:t xml:space="preserve"> </w:t>
      </w:r>
      <w:r w:rsidRPr="00CB66EB">
        <w:t>členstvím</w:t>
      </w:r>
      <w:r>
        <w:t xml:space="preserve"> </w:t>
      </w:r>
      <w:r w:rsidRPr="00CB66EB">
        <w:t>v</w:t>
      </w:r>
      <w:r>
        <w:t xml:space="preserve"> </w:t>
      </w:r>
      <w:r w:rsidRPr="00CB66EB">
        <w:t>Dozorčí</w:t>
      </w:r>
      <w:r>
        <w:t xml:space="preserve"> </w:t>
      </w:r>
      <w:r w:rsidRPr="00CB66EB">
        <w:t>radě.</w:t>
      </w:r>
      <w:r>
        <w:t xml:space="preserve"> </w:t>
      </w:r>
      <w:r w:rsidRPr="00CB66EB">
        <w:t>Členství</w:t>
      </w:r>
      <w:r>
        <w:t xml:space="preserve"> </w:t>
      </w:r>
      <w:r w:rsidRPr="00CB66EB">
        <w:t>v</w:t>
      </w:r>
      <w:r>
        <w:t xml:space="preserve"> </w:t>
      </w:r>
      <w:r w:rsidRPr="00CB66EB">
        <w:t>Radě</w:t>
      </w:r>
      <w:r>
        <w:t xml:space="preserve"> </w:t>
      </w:r>
      <w:r w:rsidRPr="00CB66EB">
        <w:t>může</w:t>
      </w:r>
      <w:r>
        <w:t xml:space="preserve"> </w:t>
      </w:r>
      <w:r w:rsidRPr="00CB66EB">
        <w:t>být</w:t>
      </w:r>
      <w:r>
        <w:t xml:space="preserve"> </w:t>
      </w:r>
      <w:r w:rsidRPr="00CB66EB">
        <w:t>stejnou</w:t>
      </w:r>
      <w:r>
        <w:t xml:space="preserve"> </w:t>
      </w:r>
      <w:r w:rsidRPr="00CB66EB">
        <w:t>osobou</w:t>
      </w:r>
      <w:r>
        <w:t xml:space="preserve"> </w:t>
      </w:r>
      <w:r w:rsidRPr="00CB66EB">
        <w:t>vykonáváno</w:t>
      </w:r>
      <w:r>
        <w:t xml:space="preserve"> </w:t>
      </w:r>
      <w:r w:rsidRPr="00CB66EB">
        <w:t>nejvýše</w:t>
      </w:r>
      <w:r>
        <w:t xml:space="preserve"> </w:t>
      </w:r>
      <w:r w:rsidRPr="00CB66EB">
        <w:t>tři</w:t>
      </w:r>
      <w:r>
        <w:t xml:space="preserve"> </w:t>
      </w:r>
      <w:r w:rsidRPr="00CB66EB">
        <w:t>po</w:t>
      </w:r>
      <w:r>
        <w:t xml:space="preserve"> </w:t>
      </w:r>
      <w:r w:rsidRPr="00CB66EB">
        <w:t>sobě</w:t>
      </w:r>
      <w:r>
        <w:t xml:space="preserve"> </w:t>
      </w:r>
      <w:r w:rsidRPr="00CB66EB">
        <w:t>následující</w:t>
      </w:r>
      <w:r>
        <w:t xml:space="preserve"> </w:t>
      </w:r>
      <w:r w:rsidRPr="00CB66EB">
        <w:t>funkční</w:t>
      </w:r>
      <w:r>
        <w:t xml:space="preserve"> </w:t>
      </w:r>
      <w:r w:rsidRPr="00CB66EB">
        <w:t>období;</w:t>
      </w:r>
      <w:r>
        <w:t xml:space="preserve"> </w:t>
      </w:r>
      <w:r w:rsidRPr="00CB66EB">
        <w:t>stejná</w:t>
      </w:r>
      <w:r>
        <w:t xml:space="preserve"> </w:t>
      </w:r>
      <w:r w:rsidRPr="00CB66EB">
        <w:t>osoba</w:t>
      </w:r>
      <w:r>
        <w:t xml:space="preserve"> </w:t>
      </w:r>
      <w:r w:rsidRPr="00CB66EB">
        <w:t>se</w:t>
      </w:r>
      <w:r>
        <w:t xml:space="preserve"> </w:t>
      </w:r>
      <w:r w:rsidRPr="00CB66EB">
        <w:t>může</w:t>
      </w:r>
      <w:r>
        <w:t xml:space="preserve"> </w:t>
      </w:r>
      <w:r w:rsidRPr="00CB66EB">
        <w:t>opětovně</w:t>
      </w:r>
      <w:r>
        <w:t xml:space="preserve"> </w:t>
      </w:r>
      <w:r w:rsidRPr="00CB66EB">
        <w:t>stát</w:t>
      </w:r>
      <w:r>
        <w:t xml:space="preserve"> </w:t>
      </w:r>
      <w:r w:rsidRPr="00CB66EB">
        <w:t>členem</w:t>
      </w:r>
      <w:r>
        <w:t xml:space="preserve"> </w:t>
      </w:r>
      <w:r w:rsidRPr="00CB66EB">
        <w:t>Rady</w:t>
      </w:r>
      <w:r>
        <w:t xml:space="preserve"> </w:t>
      </w:r>
      <w:r w:rsidRPr="00CB66EB">
        <w:t>nejdříve</w:t>
      </w:r>
      <w:r>
        <w:t xml:space="preserve"> </w:t>
      </w:r>
      <w:r w:rsidRPr="00CB66EB">
        <w:t>po</w:t>
      </w:r>
      <w:r>
        <w:t xml:space="preserve"> </w:t>
      </w:r>
      <w:r w:rsidRPr="00CB66EB">
        <w:t>uplynutí</w:t>
      </w:r>
      <w:r>
        <w:t xml:space="preserve"> </w:t>
      </w:r>
      <w:r w:rsidRPr="00CB66EB">
        <w:t>2</w:t>
      </w:r>
      <w:r>
        <w:t xml:space="preserve"> </w:t>
      </w:r>
      <w:r w:rsidRPr="00CB66EB">
        <w:t>let,</w:t>
      </w:r>
      <w:r>
        <w:t xml:space="preserve"> </w:t>
      </w:r>
      <w:r w:rsidRPr="00CB66EB">
        <w:t>kdy</w:t>
      </w:r>
      <w:r>
        <w:t xml:space="preserve"> </w:t>
      </w:r>
      <w:r w:rsidRPr="00CB66EB">
        <w:t>nebyla</w:t>
      </w:r>
      <w:r>
        <w:t xml:space="preserve"> </w:t>
      </w:r>
      <w:r w:rsidRPr="00CB66EB">
        <w:t>členem</w:t>
      </w:r>
      <w:r>
        <w:t xml:space="preserve"> </w:t>
      </w:r>
      <w:r w:rsidRPr="00CB66EB">
        <w:t>Rady.</w:t>
      </w:r>
    </w:p>
    <w:p w14:paraId="2E9A5F4A" w14:textId="77777777" w:rsidR="004648F8" w:rsidRDefault="004648F8" w:rsidP="0006588E">
      <w:pPr>
        <w:pStyle w:val="Textparagrafu"/>
        <w:numPr>
          <w:ilvl w:val="0"/>
          <w:numId w:val="27"/>
        </w:numPr>
        <w:tabs>
          <w:tab w:val="left" w:pos="392"/>
          <w:tab w:val="left" w:pos="840"/>
        </w:tabs>
        <w:spacing w:before="120" w:after="120"/>
        <w:ind w:firstLine="425"/>
      </w:pPr>
      <w:r w:rsidRPr="00CB66EB">
        <w:t>(5)</w:t>
      </w:r>
      <w:r>
        <w:t xml:space="preserve"> </w:t>
      </w:r>
      <w:r w:rsidRPr="00CB66EB">
        <w:t>Předsedu</w:t>
      </w:r>
      <w:r>
        <w:t xml:space="preserve"> </w:t>
      </w:r>
      <w:r w:rsidRPr="00CB66EB">
        <w:t>a</w:t>
      </w:r>
      <w:r>
        <w:t xml:space="preserve"> </w:t>
      </w:r>
      <w:r w:rsidRPr="00CB66EB">
        <w:t>místopředsedu</w:t>
      </w:r>
      <w:r>
        <w:t xml:space="preserve"> </w:t>
      </w:r>
      <w:r w:rsidRPr="00CB66EB">
        <w:t>Rady</w:t>
      </w:r>
      <w:r>
        <w:t xml:space="preserve"> </w:t>
      </w:r>
      <w:r w:rsidRPr="00CB66EB">
        <w:t>volí</w:t>
      </w:r>
      <w:r>
        <w:t xml:space="preserve"> </w:t>
      </w:r>
      <w:r w:rsidRPr="00CB66EB">
        <w:t>a</w:t>
      </w:r>
      <w:r>
        <w:t xml:space="preserve"> </w:t>
      </w:r>
      <w:r w:rsidRPr="00CB66EB">
        <w:t>odvolává</w:t>
      </w:r>
      <w:r>
        <w:t xml:space="preserve"> </w:t>
      </w:r>
      <w:r w:rsidRPr="00CB66EB">
        <w:t>z</w:t>
      </w:r>
      <w:r>
        <w:t xml:space="preserve"> </w:t>
      </w:r>
      <w:r w:rsidRPr="00CB66EB">
        <w:t>řad</w:t>
      </w:r>
      <w:r>
        <w:t xml:space="preserve"> </w:t>
      </w:r>
      <w:r w:rsidRPr="00CB66EB">
        <w:t>svých</w:t>
      </w:r>
      <w:r>
        <w:t xml:space="preserve"> </w:t>
      </w:r>
      <w:r w:rsidRPr="00CB66EB">
        <w:t>členů</w:t>
      </w:r>
      <w:r>
        <w:t xml:space="preserve"> </w:t>
      </w:r>
      <w:r w:rsidRPr="00CB66EB">
        <w:t>Rada.</w:t>
      </w:r>
    </w:p>
    <w:p w14:paraId="73466675" w14:textId="77777777" w:rsidR="004648F8" w:rsidRDefault="004648F8" w:rsidP="0006588E">
      <w:pPr>
        <w:pStyle w:val="Textparagrafu"/>
        <w:numPr>
          <w:ilvl w:val="0"/>
          <w:numId w:val="27"/>
        </w:numPr>
        <w:tabs>
          <w:tab w:val="left" w:pos="392"/>
          <w:tab w:val="left" w:pos="840"/>
        </w:tabs>
        <w:spacing w:before="120" w:after="120"/>
        <w:ind w:firstLine="425"/>
      </w:pPr>
      <w:r w:rsidRPr="00CB66EB">
        <w:t>(6)</w:t>
      </w:r>
      <w:r>
        <w:t xml:space="preserve"> </w:t>
      </w:r>
      <w:r w:rsidRPr="00CB66EB">
        <w:t>Členství</w:t>
      </w:r>
      <w:r>
        <w:t xml:space="preserve"> </w:t>
      </w:r>
      <w:r w:rsidRPr="00CB66EB">
        <w:t>v</w:t>
      </w:r>
      <w:r>
        <w:t xml:space="preserve"> </w:t>
      </w:r>
      <w:r w:rsidRPr="00CB66EB">
        <w:t>Radě</w:t>
      </w:r>
      <w:r>
        <w:t xml:space="preserve"> </w:t>
      </w:r>
      <w:r w:rsidRPr="00CB66EB">
        <w:t>zaniká</w:t>
      </w:r>
    </w:p>
    <w:p w14:paraId="6ED588C4" w14:textId="2F7FFF05" w:rsidR="004648F8" w:rsidRDefault="004648F8" w:rsidP="003201B9">
      <w:pPr>
        <w:pStyle w:val="Textparagrafu"/>
        <w:numPr>
          <w:ilvl w:val="0"/>
          <w:numId w:val="27"/>
        </w:numPr>
        <w:tabs>
          <w:tab w:val="left" w:pos="392"/>
          <w:tab w:val="left" w:pos="840"/>
        </w:tabs>
        <w:spacing w:before="0"/>
      </w:pPr>
      <w:r w:rsidRPr="00CB66EB">
        <w:t>a)</w:t>
      </w:r>
      <w:r w:rsidR="003201B9">
        <w:tab/>
      </w:r>
      <w:r w:rsidRPr="00CB66EB">
        <w:t>uplynutím</w:t>
      </w:r>
      <w:r>
        <w:t xml:space="preserve"> </w:t>
      </w:r>
      <w:r w:rsidRPr="00CB66EB">
        <w:t>funkčního</w:t>
      </w:r>
      <w:r>
        <w:t xml:space="preserve"> </w:t>
      </w:r>
      <w:r w:rsidRPr="00CB66EB">
        <w:t>období,</w:t>
      </w:r>
    </w:p>
    <w:p w14:paraId="10ECC78F" w14:textId="181D67F9" w:rsidR="004648F8" w:rsidRDefault="004648F8" w:rsidP="003201B9">
      <w:pPr>
        <w:pStyle w:val="Textparagrafu"/>
        <w:numPr>
          <w:ilvl w:val="0"/>
          <w:numId w:val="27"/>
        </w:numPr>
        <w:tabs>
          <w:tab w:val="left" w:pos="392"/>
          <w:tab w:val="left" w:pos="840"/>
        </w:tabs>
        <w:spacing w:before="0"/>
      </w:pPr>
      <w:r w:rsidRPr="00CB66EB">
        <w:t>b)</w:t>
      </w:r>
      <w:r w:rsidR="003201B9">
        <w:tab/>
      </w:r>
      <w:r w:rsidRPr="00CB66EB">
        <w:t>úmrtím,</w:t>
      </w:r>
    </w:p>
    <w:p w14:paraId="66B07244" w14:textId="0F49DCD6" w:rsidR="004648F8" w:rsidRDefault="004648F8" w:rsidP="003201B9">
      <w:pPr>
        <w:pStyle w:val="Textparagrafu"/>
        <w:numPr>
          <w:ilvl w:val="0"/>
          <w:numId w:val="27"/>
        </w:numPr>
        <w:tabs>
          <w:tab w:val="left" w:pos="392"/>
          <w:tab w:val="left" w:pos="840"/>
        </w:tabs>
        <w:spacing w:before="0"/>
      </w:pPr>
      <w:r w:rsidRPr="00CB66EB">
        <w:t>c)</w:t>
      </w:r>
      <w:r w:rsidR="003201B9">
        <w:tab/>
      </w:r>
      <w:r w:rsidRPr="00CB66EB">
        <w:t>odstoupením,</w:t>
      </w:r>
    </w:p>
    <w:p w14:paraId="1A1C992F" w14:textId="1BB36823" w:rsidR="004648F8" w:rsidRDefault="004648F8" w:rsidP="003201B9">
      <w:pPr>
        <w:pStyle w:val="Textparagrafu"/>
        <w:numPr>
          <w:ilvl w:val="0"/>
          <w:numId w:val="27"/>
        </w:numPr>
        <w:tabs>
          <w:tab w:val="left" w:pos="392"/>
          <w:tab w:val="left" w:pos="840"/>
        </w:tabs>
        <w:spacing w:before="0"/>
      </w:pPr>
      <w:r w:rsidRPr="00CB66EB">
        <w:t>d)</w:t>
      </w:r>
      <w:r w:rsidR="003201B9">
        <w:tab/>
      </w:r>
      <w:r w:rsidRPr="00CB66EB">
        <w:t>odvoláním.</w:t>
      </w:r>
    </w:p>
    <w:p w14:paraId="562D6AED" w14:textId="77777777" w:rsidR="004648F8" w:rsidRDefault="004648F8" w:rsidP="0006588E">
      <w:pPr>
        <w:pStyle w:val="Textparagrafu"/>
        <w:numPr>
          <w:ilvl w:val="0"/>
          <w:numId w:val="27"/>
        </w:numPr>
        <w:tabs>
          <w:tab w:val="left" w:pos="392"/>
          <w:tab w:val="left" w:pos="840"/>
        </w:tabs>
        <w:spacing w:before="120" w:after="120"/>
        <w:ind w:firstLine="425"/>
      </w:pPr>
      <w:r w:rsidRPr="00CB66EB">
        <w:t>(7)</w:t>
      </w:r>
      <w:r>
        <w:t xml:space="preserve"> </w:t>
      </w:r>
      <w:r w:rsidRPr="00CB66EB">
        <w:t>Na</w:t>
      </w:r>
      <w:r>
        <w:t xml:space="preserve"> </w:t>
      </w:r>
      <w:r w:rsidRPr="00CB66EB">
        <w:t>uvolněná</w:t>
      </w:r>
      <w:r>
        <w:t xml:space="preserve"> </w:t>
      </w:r>
      <w:r w:rsidRPr="00CB66EB">
        <w:t>místa</w:t>
      </w:r>
      <w:r>
        <w:t xml:space="preserve"> </w:t>
      </w:r>
      <w:r w:rsidRPr="00CB66EB">
        <w:t>členů</w:t>
      </w:r>
      <w:r>
        <w:t xml:space="preserve"> </w:t>
      </w:r>
      <w:r w:rsidRPr="00CB66EB">
        <w:t>Rady</w:t>
      </w:r>
      <w:r>
        <w:t xml:space="preserve"> </w:t>
      </w:r>
      <w:r w:rsidRPr="00CB66EB">
        <w:t>jmenuje</w:t>
      </w:r>
      <w:r>
        <w:t xml:space="preserve"> </w:t>
      </w:r>
      <w:r w:rsidRPr="00CB66EB">
        <w:t>ministr</w:t>
      </w:r>
      <w:r>
        <w:t xml:space="preserve"> </w:t>
      </w:r>
      <w:r w:rsidRPr="00CB66EB">
        <w:t>do</w:t>
      </w:r>
      <w:r>
        <w:t xml:space="preserve"> </w:t>
      </w:r>
      <w:r w:rsidRPr="00CB66EB">
        <w:t>60</w:t>
      </w:r>
      <w:r>
        <w:t xml:space="preserve"> </w:t>
      </w:r>
      <w:r w:rsidRPr="00CB66EB">
        <w:t>dnů</w:t>
      </w:r>
      <w:r>
        <w:t xml:space="preserve"> </w:t>
      </w:r>
      <w:r w:rsidRPr="00CB66EB">
        <w:t>nové</w:t>
      </w:r>
      <w:r>
        <w:t xml:space="preserve"> </w:t>
      </w:r>
      <w:r w:rsidRPr="00CB66EB">
        <w:t>členy</w:t>
      </w:r>
      <w:r>
        <w:t xml:space="preserve"> </w:t>
      </w:r>
      <w:r w:rsidRPr="00CB66EB">
        <w:t>z</w:t>
      </w:r>
      <w:r>
        <w:t xml:space="preserve"> </w:t>
      </w:r>
      <w:r w:rsidRPr="00CB66EB">
        <w:t>návrhů,</w:t>
      </w:r>
      <w:r>
        <w:t xml:space="preserve"> </w:t>
      </w:r>
      <w:r w:rsidRPr="00CB66EB">
        <w:t>které</w:t>
      </w:r>
      <w:r>
        <w:t xml:space="preserve"> </w:t>
      </w:r>
      <w:r w:rsidRPr="00CB66EB">
        <w:t>ve</w:t>
      </w:r>
      <w:r>
        <w:t xml:space="preserve"> </w:t>
      </w:r>
      <w:r w:rsidRPr="00CB66EB">
        <w:t>lhůtě</w:t>
      </w:r>
      <w:r>
        <w:t xml:space="preserve"> </w:t>
      </w:r>
      <w:r w:rsidRPr="00CB66EB">
        <w:t>30</w:t>
      </w:r>
      <w:r>
        <w:t xml:space="preserve"> </w:t>
      </w:r>
      <w:r w:rsidRPr="00CB66EB">
        <w:t>dnů</w:t>
      </w:r>
      <w:r>
        <w:t xml:space="preserve"> </w:t>
      </w:r>
      <w:r w:rsidRPr="00CB66EB">
        <w:t>došly.</w:t>
      </w:r>
    </w:p>
    <w:p w14:paraId="276BF18C" w14:textId="77777777" w:rsidR="004648F8" w:rsidRDefault="004648F8" w:rsidP="0006588E">
      <w:pPr>
        <w:pStyle w:val="Textparagrafu"/>
        <w:numPr>
          <w:ilvl w:val="0"/>
          <w:numId w:val="27"/>
        </w:numPr>
        <w:tabs>
          <w:tab w:val="left" w:pos="392"/>
          <w:tab w:val="left" w:pos="840"/>
        </w:tabs>
        <w:spacing w:before="120" w:after="120"/>
        <w:ind w:firstLine="425"/>
      </w:pPr>
      <w:r w:rsidRPr="00CB66EB">
        <w:t>(8)</w:t>
      </w:r>
      <w:r>
        <w:t xml:space="preserve"> </w:t>
      </w:r>
      <w:r w:rsidRPr="00CB66EB">
        <w:t>Do</w:t>
      </w:r>
      <w:r>
        <w:t xml:space="preserve"> </w:t>
      </w:r>
      <w:r w:rsidRPr="00CB66EB">
        <w:t>působnosti</w:t>
      </w:r>
      <w:r>
        <w:t xml:space="preserve"> </w:t>
      </w:r>
      <w:r w:rsidRPr="00CB66EB">
        <w:t>Rady</w:t>
      </w:r>
      <w:r>
        <w:t xml:space="preserve"> </w:t>
      </w:r>
      <w:r w:rsidRPr="00CB66EB">
        <w:t>patří</w:t>
      </w:r>
    </w:p>
    <w:p w14:paraId="731E4D77" w14:textId="0242453A" w:rsidR="004648F8" w:rsidRDefault="004648F8" w:rsidP="000A18B9">
      <w:pPr>
        <w:pStyle w:val="Textparagrafu"/>
        <w:numPr>
          <w:ilvl w:val="0"/>
          <w:numId w:val="27"/>
        </w:numPr>
        <w:tabs>
          <w:tab w:val="left" w:pos="392"/>
          <w:tab w:val="left" w:pos="840"/>
        </w:tabs>
        <w:spacing w:before="0"/>
        <w:ind w:left="426" w:hanging="426"/>
      </w:pPr>
      <w:r w:rsidRPr="00CB66EB">
        <w:t>a)</w:t>
      </w:r>
      <w:r w:rsidR="003201B9">
        <w:tab/>
      </w:r>
      <w:r w:rsidRPr="00CB66EB">
        <w:t>předkládat</w:t>
      </w:r>
      <w:r>
        <w:t xml:space="preserve"> </w:t>
      </w:r>
      <w:r w:rsidRPr="00CB66EB">
        <w:t>návrh</w:t>
      </w:r>
      <w:r>
        <w:t xml:space="preserve"> </w:t>
      </w:r>
      <w:r w:rsidRPr="00CB66EB">
        <w:t>finančního</w:t>
      </w:r>
      <w:r>
        <w:t xml:space="preserve"> </w:t>
      </w:r>
      <w:r w:rsidRPr="00CB66EB">
        <w:t>plánu</w:t>
      </w:r>
      <w:r>
        <w:t xml:space="preserve"> </w:t>
      </w:r>
      <w:r w:rsidRPr="00CB66EB">
        <w:t>Fondu</w:t>
      </w:r>
      <w:r>
        <w:t xml:space="preserve"> </w:t>
      </w:r>
      <w:r w:rsidRPr="00CB66EB">
        <w:t>a</w:t>
      </w:r>
      <w:r>
        <w:t xml:space="preserve"> </w:t>
      </w:r>
      <w:r w:rsidR="003201B9">
        <w:rPr>
          <w:b/>
        </w:rPr>
        <w:t xml:space="preserve">řádnou individuální </w:t>
      </w:r>
      <w:r w:rsidRPr="00CB66EB">
        <w:t>účetní</w:t>
      </w:r>
      <w:r>
        <w:t xml:space="preserve"> </w:t>
      </w:r>
      <w:r w:rsidRPr="00CB66EB">
        <w:t>závěrku</w:t>
      </w:r>
      <w:r>
        <w:t xml:space="preserve"> </w:t>
      </w:r>
      <w:r w:rsidRPr="00CB66EB">
        <w:t>Fondu</w:t>
      </w:r>
      <w:r>
        <w:t xml:space="preserve"> </w:t>
      </w:r>
      <w:r w:rsidRPr="00CB66EB">
        <w:t>Dozorčí</w:t>
      </w:r>
      <w:r>
        <w:t xml:space="preserve"> </w:t>
      </w:r>
      <w:r w:rsidRPr="00CB66EB">
        <w:t>radě</w:t>
      </w:r>
      <w:r>
        <w:t xml:space="preserve"> </w:t>
      </w:r>
      <w:r w:rsidRPr="00CB66EB">
        <w:t>ke</w:t>
      </w:r>
      <w:r>
        <w:t xml:space="preserve"> </w:t>
      </w:r>
      <w:r w:rsidRPr="00CB66EB">
        <w:t>kontrole,</w:t>
      </w:r>
      <w:r>
        <w:t xml:space="preserve"> </w:t>
      </w:r>
      <w:r w:rsidRPr="00CB66EB">
        <w:t>dohledu</w:t>
      </w:r>
      <w:r>
        <w:t xml:space="preserve"> </w:t>
      </w:r>
      <w:r w:rsidRPr="00CB66EB">
        <w:t>a</w:t>
      </w:r>
      <w:r>
        <w:t xml:space="preserve"> </w:t>
      </w:r>
      <w:r w:rsidRPr="00CB66EB">
        <w:t>schválení,</w:t>
      </w:r>
    </w:p>
    <w:p w14:paraId="6C8EC49D" w14:textId="403BCD9B" w:rsidR="004648F8" w:rsidRDefault="004648F8" w:rsidP="000A18B9">
      <w:pPr>
        <w:pStyle w:val="Textparagrafu"/>
        <w:numPr>
          <w:ilvl w:val="0"/>
          <w:numId w:val="27"/>
        </w:numPr>
        <w:tabs>
          <w:tab w:val="left" w:pos="392"/>
          <w:tab w:val="left" w:pos="840"/>
        </w:tabs>
        <w:spacing w:before="0"/>
        <w:ind w:left="426" w:hanging="426"/>
      </w:pPr>
      <w:r w:rsidRPr="00CB66EB">
        <w:t>b)</w:t>
      </w:r>
      <w:r w:rsidR="003201B9">
        <w:tab/>
      </w:r>
      <w:r w:rsidRPr="00CB66EB">
        <w:t>rozhodovat</w:t>
      </w:r>
      <w:r>
        <w:t xml:space="preserve"> </w:t>
      </w:r>
      <w:r w:rsidRPr="00CB66EB">
        <w:t>o</w:t>
      </w:r>
      <w:r>
        <w:t xml:space="preserve"> </w:t>
      </w:r>
      <w:r w:rsidRPr="00CB66EB">
        <w:t>využití</w:t>
      </w:r>
      <w:r>
        <w:t xml:space="preserve"> </w:t>
      </w:r>
      <w:r w:rsidRPr="00CB66EB">
        <w:t>finančních</w:t>
      </w:r>
      <w:r>
        <w:t xml:space="preserve"> </w:t>
      </w:r>
      <w:r w:rsidRPr="00CB66EB">
        <w:t>prostředků</w:t>
      </w:r>
      <w:r>
        <w:t xml:space="preserve"> </w:t>
      </w:r>
      <w:r w:rsidRPr="00CB66EB">
        <w:t>Fondu,</w:t>
      </w:r>
    </w:p>
    <w:p w14:paraId="3C19BAF0" w14:textId="1294221A" w:rsidR="004648F8" w:rsidRDefault="004648F8" w:rsidP="000A18B9">
      <w:pPr>
        <w:pStyle w:val="Textparagrafu"/>
        <w:numPr>
          <w:ilvl w:val="0"/>
          <w:numId w:val="27"/>
        </w:numPr>
        <w:tabs>
          <w:tab w:val="left" w:pos="392"/>
          <w:tab w:val="left" w:pos="840"/>
        </w:tabs>
        <w:spacing w:before="0"/>
        <w:ind w:left="426" w:hanging="426"/>
      </w:pPr>
      <w:r w:rsidRPr="00CB66EB">
        <w:t>c)</w:t>
      </w:r>
      <w:r w:rsidR="003201B9">
        <w:tab/>
      </w:r>
      <w:r w:rsidRPr="00CB66EB">
        <w:t>rozhodovat</w:t>
      </w:r>
      <w:r>
        <w:t xml:space="preserve"> </w:t>
      </w:r>
      <w:r w:rsidRPr="00CB66EB">
        <w:t>o</w:t>
      </w:r>
      <w:r>
        <w:t xml:space="preserve"> </w:t>
      </w:r>
      <w:r w:rsidRPr="00CB66EB">
        <w:t>poskytování</w:t>
      </w:r>
      <w:r>
        <w:t xml:space="preserve"> </w:t>
      </w:r>
      <w:r w:rsidRPr="00CB66EB">
        <w:t>podpor</w:t>
      </w:r>
      <w:r>
        <w:t xml:space="preserve"> </w:t>
      </w:r>
      <w:r w:rsidRPr="00CB66EB">
        <w:t>z</w:t>
      </w:r>
      <w:r>
        <w:t xml:space="preserve"> </w:t>
      </w:r>
      <w:r w:rsidRPr="00CB66EB">
        <w:t>Fondu,</w:t>
      </w:r>
    </w:p>
    <w:p w14:paraId="4225656D" w14:textId="53D6B512" w:rsidR="004648F8" w:rsidRDefault="004648F8" w:rsidP="000A18B9">
      <w:pPr>
        <w:pStyle w:val="Textparagrafu"/>
        <w:numPr>
          <w:ilvl w:val="0"/>
          <w:numId w:val="27"/>
        </w:numPr>
        <w:tabs>
          <w:tab w:val="left" w:pos="392"/>
          <w:tab w:val="left" w:pos="840"/>
        </w:tabs>
        <w:spacing w:before="0"/>
        <w:ind w:left="426" w:hanging="426"/>
      </w:pPr>
      <w:r w:rsidRPr="00CB66EB">
        <w:t>d)</w:t>
      </w:r>
      <w:r w:rsidR="003201B9">
        <w:tab/>
      </w:r>
      <w:r w:rsidRPr="00CB66EB">
        <w:t>jmenovat</w:t>
      </w:r>
      <w:r>
        <w:t xml:space="preserve"> </w:t>
      </w:r>
      <w:r w:rsidRPr="00CB66EB">
        <w:t>a</w:t>
      </w:r>
      <w:r>
        <w:t xml:space="preserve"> </w:t>
      </w:r>
      <w:r w:rsidRPr="00CB66EB">
        <w:t>odvolávat</w:t>
      </w:r>
      <w:r>
        <w:t xml:space="preserve"> </w:t>
      </w:r>
      <w:r w:rsidRPr="00CB66EB">
        <w:t>ředitele,</w:t>
      </w:r>
      <w:r>
        <w:t xml:space="preserve"> </w:t>
      </w:r>
      <w:r w:rsidRPr="00CB66EB">
        <w:t>dohlížet</w:t>
      </w:r>
      <w:r>
        <w:t xml:space="preserve"> </w:t>
      </w:r>
      <w:r w:rsidRPr="00CB66EB">
        <w:t>na</w:t>
      </w:r>
      <w:r>
        <w:t xml:space="preserve"> </w:t>
      </w:r>
      <w:r w:rsidRPr="00CB66EB">
        <w:t>jeho</w:t>
      </w:r>
      <w:r>
        <w:t xml:space="preserve"> </w:t>
      </w:r>
      <w:r w:rsidRPr="00CB66EB">
        <w:t>činnost</w:t>
      </w:r>
      <w:r>
        <w:t xml:space="preserve"> </w:t>
      </w:r>
      <w:r w:rsidRPr="00CB66EB">
        <w:t>a</w:t>
      </w:r>
      <w:r>
        <w:t xml:space="preserve"> </w:t>
      </w:r>
      <w:r w:rsidRPr="00CB66EB">
        <w:t>stanovovat</w:t>
      </w:r>
      <w:r>
        <w:t xml:space="preserve"> </w:t>
      </w:r>
      <w:r w:rsidRPr="00CB66EB">
        <w:t>výši</w:t>
      </w:r>
      <w:r>
        <w:t xml:space="preserve"> </w:t>
      </w:r>
      <w:r w:rsidRPr="00CB66EB">
        <w:t>jeho</w:t>
      </w:r>
      <w:r>
        <w:t xml:space="preserve"> </w:t>
      </w:r>
      <w:r w:rsidRPr="00CB66EB">
        <w:t>mzdy,</w:t>
      </w:r>
    </w:p>
    <w:p w14:paraId="2FB0D114" w14:textId="6F63529A" w:rsidR="004648F8" w:rsidRDefault="004648F8" w:rsidP="000A18B9">
      <w:pPr>
        <w:pStyle w:val="Textparagrafu"/>
        <w:numPr>
          <w:ilvl w:val="0"/>
          <w:numId w:val="27"/>
        </w:numPr>
        <w:tabs>
          <w:tab w:val="left" w:pos="392"/>
          <w:tab w:val="left" w:pos="840"/>
        </w:tabs>
        <w:spacing w:before="0"/>
        <w:ind w:left="426" w:hanging="426"/>
      </w:pPr>
      <w:r w:rsidRPr="00CB66EB">
        <w:t>e)</w:t>
      </w:r>
      <w:r w:rsidR="003201B9">
        <w:tab/>
      </w:r>
      <w:r w:rsidRPr="00CB66EB">
        <w:t>předkládat</w:t>
      </w:r>
      <w:r>
        <w:t xml:space="preserve"> </w:t>
      </w:r>
      <w:r w:rsidRPr="00CB66EB">
        <w:t>Dozorčí</w:t>
      </w:r>
      <w:r>
        <w:t xml:space="preserve"> </w:t>
      </w:r>
      <w:r w:rsidRPr="00CB66EB">
        <w:t>radě</w:t>
      </w:r>
      <w:r>
        <w:t xml:space="preserve"> </w:t>
      </w:r>
      <w:r w:rsidRPr="00CB66EB">
        <w:t>ke</w:t>
      </w:r>
      <w:r>
        <w:t xml:space="preserve"> </w:t>
      </w:r>
      <w:r w:rsidRPr="00CB66EB">
        <w:t>schválení</w:t>
      </w:r>
      <w:r>
        <w:t xml:space="preserve"> </w:t>
      </w:r>
      <w:r w:rsidRPr="00CB66EB">
        <w:t>organizační</w:t>
      </w:r>
      <w:r>
        <w:t xml:space="preserve"> </w:t>
      </w:r>
      <w:r w:rsidRPr="00CB66EB">
        <w:t>řád</w:t>
      </w:r>
      <w:r>
        <w:t xml:space="preserve"> </w:t>
      </w:r>
      <w:r w:rsidRPr="00CB66EB">
        <w:t>Fondu,</w:t>
      </w:r>
    </w:p>
    <w:p w14:paraId="2D51B4DF" w14:textId="778D0EE7" w:rsidR="004648F8" w:rsidRDefault="004648F8" w:rsidP="000A18B9">
      <w:pPr>
        <w:pStyle w:val="Textparagrafu"/>
        <w:numPr>
          <w:ilvl w:val="0"/>
          <w:numId w:val="27"/>
        </w:numPr>
        <w:tabs>
          <w:tab w:val="left" w:pos="392"/>
          <w:tab w:val="left" w:pos="840"/>
        </w:tabs>
        <w:spacing w:before="0"/>
        <w:ind w:left="426" w:hanging="426"/>
      </w:pPr>
      <w:r w:rsidRPr="00CB66EB">
        <w:t>f)</w:t>
      </w:r>
      <w:r w:rsidR="003201B9">
        <w:tab/>
      </w:r>
      <w:r w:rsidRPr="00CB66EB">
        <w:t>schvalovat</w:t>
      </w:r>
      <w:r>
        <w:t xml:space="preserve"> </w:t>
      </w:r>
      <w:r w:rsidRPr="00CB66EB">
        <w:t>jednací</w:t>
      </w:r>
      <w:r>
        <w:t xml:space="preserve"> </w:t>
      </w:r>
      <w:r w:rsidRPr="00CB66EB">
        <w:t>řád</w:t>
      </w:r>
      <w:r>
        <w:t xml:space="preserve"> </w:t>
      </w:r>
      <w:r w:rsidRPr="00CB66EB">
        <w:t>Rady</w:t>
      </w:r>
      <w:r>
        <w:t xml:space="preserve"> </w:t>
      </w:r>
      <w:r w:rsidRPr="00CB66EB">
        <w:t>a</w:t>
      </w:r>
      <w:r>
        <w:t xml:space="preserve"> </w:t>
      </w:r>
      <w:r w:rsidRPr="00CB66EB">
        <w:t>výroční</w:t>
      </w:r>
      <w:r>
        <w:t xml:space="preserve"> </w:t>
      </w:r>
      <w:r w:rsidRPr="00CB66EB">
        <w:t>zprávu</w:t>
      </w:r>
      <w:r>
        <w:t xml:space="preserve"> </w:t>
      </w:r>
      <w:r w:rsidRPr="00CB66EB">
        <w:t>Fondu,</w:t>
      </w:r>
    </w:p>
    <w:p w14:paraId="3294A93A" w14:textId="18A15820" w:rsidR="004648F8" w:rsidRDefault="004648F8" w:rsidP="000A18B9">
      <w:pPr>
        <w:pStyle w:val="Textparagrafu"/>
        <w:numPr>
          <w:ilvl w:val="0"/>
          <w:numId w:val="27"/>
        </w:numPr>
        <w:tabs>
          <w:tab w:val="left" w:pos="392"/>
          <w:tab w:val="left" w:pos="840"/>
        </w:tabs>
        <w:spacing w:before="0"/>
        <w:ind w:left="426" w:hanging="426"/>
      </w:pPr>
      <w:r w:rsidRPr="00CB66EB">
        <w:t>g)</w:t>
      </w:r>
      <w:r w:rsidR="003201B9">
        <w:tab/>
      </w:r>
      <w:r w:rsidRPr="00CB66EB">
        <w:t>předkládat</w:t>
      </w:r>
      <w:r>
        <w:t xml:space="preserve"> </w:t>
      </w:r>
      <w:r w:rsidRPr="00CB66EB">
        <w:t>Dozorčí</w:t>
      </w:r>
      <w:r>
        <w:t xml:space="preserve"> </w:t>
      </w:r>
      <w:r w:rsidRPr="00CB66EB">
        <w:t>radě</w:t>
      </w:r>
      <w:r>
        <w:t xml:space="preserve"> </w:t>
      </w:r>
      <w:r w:rsidRPr="00CB66EB">
        <w:t>a</w:t>
      </w:r>
      <w:r>
        <w:t xml:space="preserve"> </w:t>
      </w:r>
      <w:r w:rsidRPr="00CB66EB">
        <w:t>Poslanecké</w:t>
      </w:r>
      <w:r>
        <w:t xml:space="preserve"> </w:t>
      </w:r>
      <w:r w:rsidRPr="00CB66EB">
        <w:t>sněmovně</w:t>
      </w:r>
      <w:r>
        <w:t xml:space="preserve"> </w:t>
      </w:r>
      <w:r w:rsidRPr="00CB66EB">
        <w:t>každoročně</w:t>
      </w:r>
      <w:r>
        <w:t xml:space="preserve"> </w:t>
      </w:r>
      <w:r w:rsidRPr="00CB66EB">
        <w:t>výroční</w:t>
      </w:r>
      <w:r>
        <w:t xml:space="preserve"> </w:t>
      </w:r>
      <w:r w:rsidRPr="00CB66EB">
        <w:t>zprávu</w:t>
      </w:r>
      <w:r>
        <w:t xml:space="preserve"> </w:t>
      </w:r>
      <w:r w:rsidRPr="00CB66EB">
        <w:t>Fondu</w:t>
      </w:r>
      <w:r>
        <w:t xml:space="preserve"> </w:t>
      </w:r>
      <w:r w:rsidRPr="00CB66EB">
        <w:t>k</w:t>
      </w:r>
      <w:r>
        <w:t xml:space="preserve"> </w:t>
      </w:r>
      <w:r w:rsidRPr="00CB66EB">
        <w:t>projednání</w:t>
      </w:r>
      <w:r>
        <w:t xml:space="preserve"> </w:t>
      </w:r>
      <w:r w:rsidRPr="00CB66EB">
        <w:t>a</w:t>
      </w:r>
      <w:r>
        <w:t xml:space="preserve"> </w:t>
      </w:r>
      <w:r w:rsidRPr="00CB66EB">
        <w:t>posouzení,</w:t>
      </w:r>
    </w:p>
    <w:p w14:paraId="0C2CE439" w14:textId="14A9E2D4" w:rsidR="004648F8" w:rsidRDefault="004648F8" w:rsidP="000A18B9">
      <w:pPr>
        <w:pStyle w:val="Textparagrafu"/>
        <w:numPr>
          <w:ilvl w:val="0"/>
          <w:numId w:val="27"/>
        </w:numPr>
        <w:tabs>
          <w:tab w:val="left" w:pos="392"/>
          <w:tab w:val="left" w:pos="840"/>
        </w:tabs>
        <w:spacing w:before="0"/>
        <w:ind w:left="426" w:hanging="426"/>
      </w:pPr>
      <w:r w:rsidRPr="00CB66EB">
        <w:t>h)</w:t>
      </w:r>
      <w:r w:rsidR="003201B9">
        <w:tab/>
      </w:r>
      <w:r w:rsidRPr="00CB66EB">
        <w:t>sestavovat</w:t>
      </w:r>
      <w:r>
        <w:t xml:space="preserve"> </w:t>
      </w:r>
      <w:r w:rsidRPr="00CB66EB">
        <w:t>plán</w:t>
      </w:r>
      <w:r>
        <w:t xml:space="preserve"> </w:t>
      </w:r>
      <w:r w:rsidRPr="00CB66EB">
        <w:t>činnosti</w:t>
      </w:r>
      <w:r>
        <w:t xml:space="preserve"> </w:t>
      </w:r>
      <w:r w:rsidRPr="00CB66EB">
        <w:t>Fondu.</w:t>
      </w:r>
    </w:p>
    <w:p w14:paraId="313C237E" w14:textId="77777777" w:rsidR="004648F8" w:rsidRDefault="004648F8" w:rsidP="0006588E">
      <w:pPr>
        <w:pStyle w:val="Textparagrafu"/>
        <w:numPr>
          <w:ilvl w:val="0"/>
          <w:numId w:val="27"/>
        </w:numPr>
        <w:tabs>
          <w:tab w:val="left" w:pos="392"/>
          <w:tab w:val="left" w:pos="840"/>
        </w:tabs>
        <w:spacing w:before="120" w:after="120"/>
        <w:ind w:firstLine="425"/>
      </w:pPr>
      <w:r w:rsidRPr="00CB66EB">
        <w:t>(9)</w:t>
      </w:r>
      <w:r>
        <w:t xml:space="preserve"> </w:t>
      </w:r>
      <w:r w:rsidRPr="00CB66EB">
        <w:t>Jednání</w:t>
      </w:r>
      <w:r>
        <w:t xml:space="preserve"> </w:t>
      </w:r>
      <w:r w:rsidRPr="00CB66EB">
        <w:t>Rady</w:t>
      </w:r>
      <w:r>
        <w:t xml:space="preserve"> </w:t>
      </w:r>
      <w:r w:rsidRPr="00CB66EB">
        <w:t>svolává</w:t>
      </w:r>
      <w:r>
        <w:t xml:space="preserve"> </w:t>
      </w:r>
      <w:r w:rsidRPr="00CB66EB">
        <w:t>a</w:t>
      </w:r>
      <w:r>
        <w:t xml:space="preserve"> </w:t>
      </w:r>
      <w:r w:rsidRPr="00CB66EB">
        <w:t>řídí</w:t>
      </w:r>
      <w:r>
        <w:t xml:space="preserve"> </w:t>
      </w:r>
      <w:r w:rsidRPr="00CB66EB">
        <w:t>její</w:t>
      </w:r>
      <w:r>
        <w:t xml:space="preserve"> </w:t>
      </w:r>
      <w:r w:rsidRPr="00CB66EB">
        <w:t>předseda</w:t>
      </w:r>
      <w:r>
        <w:t xml:space="preserve"> </w:t>
      </w:r>
      <w:r w:rsidRPr="00CB66EB">
        <w:t>a</w:t>
      </w:r>
      <w:r>
        <w:t xml:space="preserve"> </w:t>
      </w:r>
      <w:r w:rsidRPr="00CB66EB">
        <w:t>v</w:t>
      </w:r>
      <w:r>
        <w:t xml:space="preserve"> </w:t>
      </w:r>
      <w:r w:rsidRPr="00CB66EB">
        <w:t>jeho</w:t>
      </w:r>
      <w:r>
        <w:t xml:space="preserve"> </w:t>
      </w:r>
      <w:r w:rsidRPr="00CB66EB">
        <w:t>nepřítomnosti</w:t>
      </w:r>
      <w:r>
        <w:t xml:space="preserve"> </w:t>
      </w:r>
      <w:r w:rsidRPr="00CB66EB">
        <w:t>místopředseda</w:t>
      </w:r>
      <w:r>
        <w:t xml:space="preserve"> </w:t>
      </w:r>
      <w:r w:rsidRPr="00CB66EB">
        <w:t>Rady,</w:t>
      </w:r>
      <w:r>
        <w:t xml:space="preserve"> </w:t>
      </w:r>
      <w:r w:rsidRPr="00CB66EB">
        <w:t>popřípadě</w:t>
      </w:r>
      <w:r>
        <w:t xml:space="preserve"> </w:t>
      </w:r>
      <w:r w:rsidRPr="00CB66EB">
        <w:t>nejstarší</w:t>
      </w:r>
      <w:r>
        <w:t xml:space="preserve"> </w:t>
      </w:r>
      <w:r w:rsidRPr="00CB66EB">
        <w:t>člen</w:t>
      </w:r>
      <w:r>
        <w:t xml:space="preserve"> </w:t>
      </w:r>
      <w:r w:rsidRPr="00CB66EB">
        <w:t>Rady.</w:t>
      </w:r>
      <w:r>
        <w:t xml:space="preserve"> </w:t>
      </w:r>
      <w:r w:rsidRPr="00CB66EB">
        <w:t>Při</w:t>
      </w:r>
      <w:r>
        <w:t xml:space="preserve"> </w:t>
      </w:r>
      <w:r w:rsidRPr="00CB66EB">
        <w:t>rozhodování</w:t>
      </w:r>
      <w:r>
        <w:t xml:space="preserve"> </w:t>
      </w:r>
      <w:r w:rsidRPr="00CB66EB">
        <w:t>je</w:t>
      </w:r>
      <w:r>
        <w:t xml:space="preserve"> </w:t>
      </w:r>
      <w:r w:rsidRPr="00CB66EB">
        <w:t>hlasovací</w:t>
      </w:r>
      <w:r>
        <w:t xml:space="preserve"> </w:t>
      </w:r>
      <w:r w:rsidRPr="00CB66EB">
        <w:t>právo</w:t>
      </w:r>
      <w:r>
        <w:t xml:space="preserve"> </w:t>
      </w:r>
      <w:r w:rsidRPr="00CB66EB">
        <w:t>členů</w:t>
      </w:r>
      <w:r>
        <w:t xml:space="preserve"> </w:t>
      </w:r>
      <w:r w:rsidRPr="00CB66EB">
        <w:t>Rady</w:t>
      </w:r>
      <w:r>
        <w:t xml:space="preserve"> </w:t>
      </w:r>
      <w:r w:rsidRPr="00CB66EB">
        <w:t>rovné.</w:t>
      </w:r>
      <w:r>
        <w:t xml:space="preserve"> </w:t>
      </w:r>
      <w:r w:rsidRPr="00CB66EB">
        <w:t>Při</w:t>
      </w:r>
      <w:r>
        <w:t xml:space="preserve"> </w:t>
      </w:r>
      <w:r w:rsidRPr="00CB66EB">
        <w:t>rovnosti</w:t>
      </w:r>
      <w:r>
        <w:t xml:space="preserve"> </w:t>
      </w:r>
      <w:r w:rsidRPr="00CB66EB">
        <w:t>hlasů</w:t>
      </w:r>
      <w:r>
        <w:t xml:space="preserve"> </w:t>
      </w:r>
      <w:r w:rsidRPr="00CB66EB">
        <w:t>rozhoduje</w:t>
      </w:r>
      <w:r>
        <w:t xml:space="preserve"> </w:t>
      </w:r>
      <w:r w:rsidRPr="00CB66EB">
        <w:t>hlas</w:t>
      </w:r>
      <w:r>
        <w:t xml:space="preserve"> </w:t>
      </w:r>
      <w:r w:rsidRPr="00CB66EB">
        <w:t>předsedajícího</w:t>
      </w:r>
      <w:r>
        <w:t xml:space="preserve"> </w:t>
      </w:r>
      <w:r w:rsidRPr="00CB66EB">
        <w:t>Radě.</w:t>
      </w:r>
      <w:r>
        <w:t xml:space="preserve"> </w:t>
      </w:r>
      <w:r w:rsidRPr="00CB66EB">
        <w:t>Rada</w:t>
      </w:r>
      <w:r>
        <w:t xml:space="preserve"> </w:t>
      </w:r>
      <w:r w:rsidRPr="00CB66EB">
        <w:t>je</w:t>
      </w:r>
      <w:r>
        <w:t xml:space="preserve"> </w:t>
      </w:r>
      <w:r w:rsidRPr="00CB66EB">
        <w:t>usnášeníschopná,</w:t>
      </w:r>
      <w:r>
        <w:t xml:space="preserve"> </w:t>
      </w:r>
      <w:r w:rsidRPr="00CB66EB">
        <w:t>je-li</w:t>
      </w:r>
      <w:r>
        <w:t xml:space="preserve"> </w:t>
      </w:r>
      <w:r w:rsidRPr="00CB66EB">
        <w:t>přítomna</w:t>
      </w:r>
      <w:r>
        <w:t xml:space="preserve"> </w:t>
      </w:r>
      <w:r w:rsidRPr="00CB66EB">
        <w:t>nadpoloviční</w:t>
      </w:r>
      <w:r>
        <w:t xml:space="preserve"> </w:t>
      </w:r>
      <w:r w:rsidRPr="00CB66EB">
        <w:t>většina</w:t>
      </w:r>
      <w:r>
        <w:t xml:space="preserve"> </w:t>
      </w:r>
      <w:r w:rsidRPr="00CB66EB">
        <w:t>jejích</w:t>
      </w:r>
      <w:r>
        <w:t xml:space="preserve"> </w:t>
      </w:r>
      <w:r w:rsidRPr="00CB66EB">
        <w:t>členů,</w:t>
      </w:r>
      <w:r>
        <w:t xml:space="preserve"> </w:t>
      </w:r>
      <w:r w:rsidRPr="00CB66EB">
        <w:t>a</w:t>
      </w:r>
      <w:r>
        <w:t xml:space="preserve"> </w:t>
      </w:r>
      <w:r w:rsidRPr="00CB66EB">
        <w:t>k</w:t>
      </w:r>
      <w:r>
        <w:t xml:space="preserve"> </w:t>
      </w:r>
      <w:r w:rsidRPr="00CB66EB">
        <w:t>rozhodnutí</w:t>
      </w:r>
      <w:r>
        <w:t xml:space="preserve"> </w:t>
      </w:r>
      <w:r w:rsidRPr="00CB66EB">
        <w:t>je</w:t>
      </w:r>
      <w:r>
        <w:t xml:space="preserve"> </w:t>
      </w:r>
      <w:r w:rsidRPr="00CB66EB">
        <w:t>třeba</w:t>
      </w:r>
      <w:r>
        <w:t xml:space="preserve"> </w:t>
      </w:r>
      <w:r w:rsidRPr="00CB66EB">
        <w:t>souhlasu</w:t>
      </w:r>
      <w:r>
        <w:t xml:space="preserve"> </w:t>
      </w:r>
      <w:r w:rsidRPr="00CB66EB">
        <w:t>nadpoloviční</w:t>
      </w:r>
      <w:r>
        <w:t xml:space="preserve"> </w:t>
      </w:r>
      <w:r w:rsidRPr="00CB66EB">
        <w:t>většiny</w:t>
      </w:r>
      <w:r>
        <w:t xml:space="preserve"> </w:t>
      </w:r>
      <w:r w:rsidRPr="00CB66EB">
        <w:t>přítomných</w:t>
      </w:r>
      <w:r>
        <w:t xml:space="preserve"> </w:t>
      </w:r>
      <w:r w:rsidRPr="00CB66EB">
        <w:t>členů</w:t>
      </w:r>
      <w:r>
        <w:t xml:space="preserve"> </w:t>
      </w:r>
      <w:r w:rsidRPr="00CB66EB">
        <w:t>Rady.</w:t>
      </w:r>
    </w:p>
    <w:p w14:paraId="6B2A68DF" w14:textId="77777777" w:rsidR="004648F8" w:rsidRDefault="004648F8" w:rsidP="0006588E">
      <w:pPr>
        <w:pStyle w:val="Textparagrafu"/>
        <w:numPr>
          <w:ilvl w:val="0"/>
          <w:numId w:val="27"/>
        </w:numPr>
        <w:tabs>
          <w:tab w:val="left" w:pos="392"/>
          <w:tab w:val="left" w:pos="840"/>
        </w:tabs>
        <w:spacing w:before="120" w:after="120"/>
        <w:ind w:firstLine="425"/>
      </w:pPr>
      <w:r w:rsidRPr="00CB66EB">
        <w:t>(10)</w:t>
      </w:r>
      <w:r>
        <w:t xml:space="preserve"> </w:t>
      </w:r>
      <w:r w:rsidRPr="00CB66EB">
        <w:t>Jednání</w:t>
      </w:r>
      <w:r>
        <w:t xml:space="preserve"> </w:t>
      </w:r>
      <w:r w:rsidRPr="00CB66EB">
        <w:t>Rady</w:t>
      </w:r>
      <w:r>
        <w:t xml:space="preserve"> </w:t>
      </w:r>
      <w:r w:rsidRPr="00CB66EB">
        <w:t>se</w:t>
      </w:r>
      <w:r>
        <w:t xml:space="preserve"> </w:t>
      </w:r>
      <w:r w:rsidRPr="00CB66EB">
        <w:t>může</w:t>
      </w:r>
      <w:r>
        <w:t xml:space="preserve"> </w:t>
      </w:r>
      <w:r w:rsidRPr="00CB66EB">
        <w:t>účastnit</w:t>
      </w:r>
      <w:r>
        <w:t xml:space="preserve"> </w:t>
      </w:r>
      <w:r w:rsidRPr="00CB66EB">
        <w:t>ředitel</w:t>
      </w:r>
      <w:r>
        <w:t xml:space="preserve"> </w:t>
      </w:r>
      <w:r w:rsidRPr="00CB66EB">
        <w:t>a</w:t>
      </w:r>
      <w:r>
        <w:t xml:space="preserve"> </w:t>
      </w:r>
      <w:r w:rsidRPr="00CB66EB">
        <w:t>předseda</w:t>
      </w:r>
      <w:r>
        <w:t xml:space="preserve"> </w:t>
      </w:r>
      <w:r w:rsidRPr="00CB66EB">
        <w:t>Dozorčí</w:t>
      </w:r>
      <w:r>
        <w:t xml:space="preserve"> </w:t>
      </w:r>
      <w:r w:rsidRPr="00CB66EB">
        <w:t>rady;</w:t>
      </w:r>
      <w:r>
        <w:t xml:space="preserve"> </w:t>
      </w:r>
      <w:r w:rsidRPr="00CB66EB">
        <w:t>požádají-li</w:t>
      </w:r>
      <w:r>
        <w:t xml:space="preserve"> </w:t>
      </w:r>
      <w:r w:rsidRPr="00CB66EB">
        <w:t>o</w:t>
      </w:r>
      <w:r>
        <w:t xml:space="preserve"> </w:t>
      </w:r>
      <w:r w:rsidRPr="00CB66EB">
        <w:t>slovo,</w:t>
      </w:r>
      <w:r>
        <w:t xml:space="preserve"> </w:t>
      </w:r>
      <w:r w:rsidRPr="00CB66EB">
        <w:t>musí</w:t>
      </w:r>
      <w:r>
        <w:t xml:space="preserve"> </w:t>
      </w:r>
      <w:r w:rsidRPr="00CB66EB">
        <w:t>jim</w:t>
      </w:r>
      <w:r>
        <w:t xml:space="preserve"> </w:t>
      </w:r>
      <w:r w:rsidRPr="00CB66EB">
        <w:t>být</w:t>
      </w:r>
      <w:r>
        <w:t xml:space="preserve"> </w:t>
      </w:r>
      <w:r w:rsidRPr="00CB66EB">
        <w:t>uděleno.</w:t>
      </w:r>
    </w:p>
    <w:p w14:paraId="55061385" w14:textId="77777777" w:rsidR="004648F8" w:rsidRPr="00CB66EB" w:rsidRDefault="004648F8" w:rsidP="0006588E">
      <w:pPr>
        <w:pStyle w:val="Textparagrafu"/>
        <w:numPr>
          <w:ilvl w:val="0"/>
          <w:numId w:val="27"/>
        </w:numPr>
        <w:tabs>
          <w:tab w:val="left" w:pos="392"/>
          <w:tab w:val="left" w:pos="840"/>
        </w:tabs>
        <w:spacing w:before="120" w:after="120"/>
        <w:ind w:firstLine="425"/>
      </w:pPr>
      <w:r w:rsidRPr="00CB66EB">
        <w:t>(11)</w:t>
      </w:r>
      <w:r>
        <w:t xml:space="preserve"> </w:t>
      </w:r>
      <w:r w:rsidRPr="00CB66EB">
        <w:t>Rada</w:t>
      </w:r>
      <w:r>
        <w:t xml:space="preserve"> </w:t>
      </w:r>
      <w:r w:rsidRPr="00CB66EB">
        <w:t>zasedá</w:t>
      </w:r>
      <w:r>
        <w:t xml:space="preserve"> </w:t>
      </w:r>
      <w:r w:rsidRPr="00CB66EB">
        <w:t>podle</w:t>
      </w:r>
      <w:r>
        <w:t xml:space="preserve"> </w:t>
      </w:r>
      <w:r w:rsidRPr="00CB66EB">
        <w:t>potřeby</w:t>
      </w:r>
      <w:r>
        <w:t xml:space="preserve"> </w:t>
      </w:r>
      <w:r w:rsidRPr="00CB66EB">
        <w:t>Fondu,</w:t>
      </w:r>
      <w:r>
        <w:t xml:space="preserve"> </w:t>
      </w:r>
      <w:r w:rsidRPr="00CB66EB">
        <w:t>nejméně</w:t>
      </w:r>
      <w:r>
        <w:t xml:space="preserve"> </w:t>
      </w:r>
      <w:r w:rsidRPr="00CB66EB">
        <w:t>čtyřikrát</w:t>
      </w:r>
      <w:r>
        <w:t xml:space="preserve"> </w:t>
      </w:r>
      <w:r w:rsidRPr="00CB66EB">
        <w:t>ročně.</w:t>
      </w:r>
    </w:p>
    <w:p w14:paraId="74C44EAC" w14:textId="3F9B6284" w:rsidR="00AD77CE" w:rsidRDefault="004648F8" w:rsidP="003201B9">
      <w:pPr>
        <w:pStyle w:val="Textparagrafu"/>
        <w:tabs>
          <w:tab w:val="left" w:pos="406"/>
          <w:tab w:val="left" w:pos="840"/>
          <w:tab w:val="left" w:pos="868"/>
        </w:tabs>
        <w:spacing w:after="120"/>
        <w:ind w:firstLine="0"/>
        <w:jc w:val="center"/>
      </w:pPr>
      <w:r>
        <w:t>***</w:t>
      </w:r>
    </w:p>
    <w:p w14:paraId="0C005165" w14:textId="77777777" w:rsidR="004648F8" w:rsidRDefault="004648F8" w:rsidP="003201B9">
      <w:pPr>
        <w:pStyle w:val="Textparagrafu"/>
        <w:tabs>
          <w:tab w:val="left" w:pos="392"/>
          <w:tab w:val="left" w:pos="840"/>
        </w:tabs>
        <w:spacing w:after="120"/>
        <w:ind w:firstLine="0"/>
        <w:jc w:val="center"/>
      </w:pPr>
      <w:r w:rsidRPr="00CB66EB">
        <w:t>§</w:t>
      </w:r>
      <w:r>
        <w:t xml:space="preserve"> </w:t>
      </w:r>
      <w:r w:rsidRPr="00CB66EB">
        <w:t>34</w:t>
      </w:r>
    </w:p>
    <w:p w14:paraId="033F50CF" w14:textId="77777777" w:rsidR="004648F8" w:rsidRPr="003201B9" w:rsidRDefault="004648F8" w:rsidP="003201B9">
      <w:pPr>
        <w:pStyle w:val="Textparagrafu"/>
        <w:tabs>
          <w:tab w:val="left" w:pos="392"/>
          <w:tab w:val="left" w:pos="840"/>
        </w:tabs>
        <w:spacing w:after="120"/>
        <w:ind w:firstLine="0"/>
        <w:jc w:val="center"/>
        <w:rPr>
          <w:b/>
        </w:rPr>
      </w:pPr>
      <w:r w:rsidRPr="003201B9">
        <w:rPr>
          <w:b/>
        </w:rPr>
        <w:t>Dozorčí rada</w:t>
      </w:r>
    </w:p>
    <w:p w14:paraId="2F0BC2C2" w14:textId="77777777" w:rsidR="004648F8" w:rsidRDefault="004648F8" w:rsidP="0006588E">
      <w:pPr>
        <w:pStyle w:val="Textparagrafu"/>
        <w:tabs>
          <w:tab w:val="left" w:pos="392"/>
          <w:tab w:val="left" w:pos="840"/>
        </w:tabs>
        <w:spacing w:before="120" w:after="120"/>
      </w:pPr>
      <w:r w:rsidRPr="00CB66EB">
        <w:t>(1)</w:t>
      </w:r>
      <w:r>
        <w:t xml:space="preserve"> </w:t>
      </w:r>
      <w:r w:rsidRPr="00CB66EB">
        <w:t>Dozorčí</w:t>
      </w:r>
      <w:r>
        <w:t xml:space="preserve"> </w:t>
      </w:r>
      <w:r w:rsidRPr="00CB66EB">
        <w:t>rada</w:t>
      </w:r>
      <w:r>
        <w:t xml:space="preserve"> </w:t>
      </w:r>
      <w:r w:rsidRPr="00CB66EB">
        <w:t>je</w:t>
      </w:r>
      <w:r>
        <w:t xml:space="preserve"> </w:t>
      </w:r>
      <w:r w:rsidRPr="00CB66EB">
        <w:t>kontrolním</w:t>
      </w:r>
      <w:r>
        <w:t xml:space="preserve"> </w:t>
      </w:r>
      <w:r w:rsidRPr="00CB66EB">
        <w:t>orgánem</w:t>
      </w:r>
      <w:r>
        <w:t xml:space="preserve"> </w:t>
      </w:r>
      <w:r w:rsidRPr="00CB66EB">
        <w:t>Fondu.</w:t>
      </w:r>
      <w:r>
        <w:t xml:space="preserve"> </w:t>
      </w:r>
      <w:r w:rsidRPr="00CB66EB">
        <w:t>Kontroluje</w:t>
      </w:r>
      <w:r>
        <w:t xml:space="preserve"> </w:t>
      </w:r>
      <w:r w:rsidRPr="00CB66EB">
        <w:t>hospodaření</w:t>
      </w:r>
      <w:r>
        <w:t xml:space="preserve"> </w:t>
      </w:r>
      <w:r w:rsidRPr="00CB66EB">
        <w:t>s</w:t>
      </w:r>
      <w:r>
        <w:t xml:space="preserve"> </w:t>
      </w:r>
      <w:r w:rsidRPr="00CB66EB">
        <w:t>majetkem</w:t>
      </w:r>
      <w:r>
        <w:t xml:space="preserve"> </w:t>
      </w:r>
      <w:r w:rsidRPr="00CB66EB">
        <w:t>Fondu</w:t>
      </w:r>
      <w:r>
        <w:t xml:space="preserve"> </w:t>
      </w:r>
      <w:r w:rsidRPr="00CB66EB">
        <w:t>a</w:t>
      </w:r>
      <w:r>
        <w:t xml:space="preserve"> </w:t>
      </w:r>
      <w:r w:rsidRPr="00CB66EB">
        <w:t>využití</w:t>
      </w:r>
      <w:r>
        <w:t xml:space="preserve"> </w:t>
      </w:r>
      <w:r w:rsidRPr="00CB66EB">
        <w:t>finančních</w:t>
      </w:r>
      <w:r>
        <w:t xml:space="preserve"> </w:t>
      </w:r>
      <w:r w:rsidRPr="00CB66EB">
        <w:t>prostředků</w:t>
      </w:r>
      <w:r>
        <w:t xml:space="preserve"> </w:t>
      </w:r>
      <w:r w:rsidRPr="00CB66EB">
        <w:t>Fondu</w:t>
      </w:r>
      <w:r>
        <w:t xml:space="preserve"> </w:t>
      </w:r>
      <w:r w:rsidRPr="00CB66EB">
        <w:t>a</w:t>
      </w:r>
      <w:r>
        <w:t xml:space="preserve"> </w:t>
      </w:r>
      <w:r w:rsidRPr="00CB66EB">
        <w:t>poskytování</w:t>
      </w:r>
      <w:r>
        <w:t xml:space="preserve"> </w:t>
      </w:r>
      <w:r w:rsidRPr="00CB66EB">
        <w:t>podpor</w:t>
      </w:r>
      <w:r>
        <w:t xml:space="preserve"> </w:t>
      </w:r>
      <w:r w:rsidRPr="00CB66EB">
        <w:t>Fondem.</w:t>
      </w:r>
      <w:r>
        <w:t xml:space="preserve"> </w:t>
      </w:r>
      <w:r w:rsidRPr="00CB66EB">
        <w:t>Členu</w:t>
      </w:r>
      <w:r>
        <w:t xml:space="preserve"> </w:t>
      </w:r>
      <w:r w:rsidRPr="00CB66EB">
        <w:t>Dozorčí</w:t>
      </w:r>
      <w:r>
        <w:t xml:space="preserve"> </w:t>
      </w:r>
      <w:r w:rsidRPr="00CB66EB">
        <w:t>rady,</w:t>
      </w:r>
      <w:r>
        <w:t xml:space="preserve"> </w:t>
      </w:r>
      <w:r w:rsidRPr="00CB66EB">
        <w:t>kteří</w:t>
      </w:r>
      <w:r>
        <w:t xml:space="preserve"> </w:t>
      </w:r>
      <w:r w:rsidRPr="00CB66EB">
        <w:t>jsou</w:t>
      </w:r>
      <w:r>
        <w:t xml:space="preserve"> </w:t>
      </w:r>
      <w:r w:rsidRPr="00CB66EB">
        <w:t>poslanci,</w:t>
      </w:r>
      <w:r>
        <w:t xml:space="preserve"> </w:t>
      </w:r>
      <w:r w:rsidRPr="00CB66EB">
        <w:t>senátory,</w:t>
      </w:r>
      <w:r>
        <w:t xml:space="preserve"> </w:t>
      </w:r>
      <w:r w:rsidRPr="00CB66EB">
        <w:t>členy</w:t>
      </w:r>
      <w:r>
        <w:t xml:space="preserve"> </w:t>
      </w:r>
      <w:r w:rsidRPr="00CB66EB">
        <w:t>vlády,</w:t>
      </w:r>
      <w:r>
        <w:t xml:space="preserve"> </w:t>
      </w:r>
      <w:r w:rsidRPr="00CB66EB">
        <w:t>vedoucími</w:t>
      </w:r>
      <w:r>
        <w:t xml:space="preserve"> </w:t>
      </w:r>
      <w:r w:rsidRPr="00CB66EB">
        <w:t>ústředního</w:t>
      </w:r>
      <w:r>
        <w:t xml:space="preserve"> </w:t>
      </w:r>
      <w:r w:rsidRPr="00CB66EB">
        <w:t>správního</w:t>
      </w:r>
      <w:r>
        <w:t xml:space="preserve"> </w:t>
      </w:r>
      <w:r w:rsidRPr="00CB66EB">
        <w:t>úřadu,</w:t>
      </w:r>
      <w:r>
        <w:t xml:space="preserve"> </w:t>
      </w:r>
      <w:r w:rsidRPr="00CB66EB">
        <w:t>soudci</w:t>
      </w:r>
      <w:r>
        <w:t xml:space="preserve"> </w:t>
      </w:r>
      <w:r w:rsidRPr="00CB66EB">
        <w:t>nebo</w:t>
      </w:r>
      <w:r>
        <w:t xml:space="preserve"> </w:t>
      </w:r>
      <w:r w:rsidRPr="00CB66EB">
        <w:t>o</w:t>
      </w:r>
      <w:r>
        <w:t xml:space="preserve"> </w:t>
      </w:r>
      <w:r w:rsidRPr="00CB66EB">
        <w:t>nichž</w:t>
      </w:r>
      <w:r>
        <w:t xml:space="preserve"> </w:t>
      </w:r>
      <w:r w:rsidRPr="00CB66EB">
        <w:t>tak</w:t>
      </w:r>
      <w:r>
        <w:t xml:space="preserve"> </w:t>
      </w:r>
      <w:r w:rsidRPr="00CB66EB">
        <w:t>stanoví</w:t>
      </w:r>
      <w:r>
        <w:t xml:space="preserve"> </w:t>
      </w:r>
      <w:r w:rsidRPr="00CB66EB">
        <w:t>zvláštní</w:t>
      </w:r>
      <w:r>
        <w:t xml:space="preserve"> </w:t>
      </w:r>
      <w:r w:rsidRPr="00CB66EB">
        <w:t>zákon,</w:t>
      </w:r>
      <w:r>
        <w:t xml:space="preserve"> </w:t>
      </w:r>
      <w:r w:rsidRPr="00CB66EB">
        <w:t>nepřísluší</w:t>
      </w:r>
      <w:r>
        <w:t xml:space="preserve"> </w:t>
      </w:r>
      <w:r w:rsidRPr="00CB66EB">
        <w:t>odměna</w:t>
      </w:r>
      <w:r>
        <w:t xml:space="preserve"> </w:t>
      </w:r>
      <w:r w:rsidRPr="00CB66EB">
        <w:t>za</w:t>
      </w:r>
      <w:r>
        <w:t xml:space="preserve"> </w:t>
      </w:r>
      <w:r w:rsidRPr="00CB66EB">
        <w:t>výkon</w:t>
      </w:r>
      <w:r>
        <w:t xml:space="preserve"> </w:t>
      </w:r>
      <w:r w:rsidRPr="00CB66EB">
        <w:t>funkce</w:t>
      </w:r>
      <w:r>
        <w:t xml:space="preserve"> </w:t>
      </w:r>
      <w:r w:rsidRPr="00CB66EB">
        <w:t>člena.</w:t>
      </w:r>
      <w:r>
        <w:t xml:space="preserve"> </w:t>
      </w:r>
      <w:r w:rsidRPr="00CB66EB">
        <w:t>Člen</w:t>
      </w:r>
      <w:r>
        <w:t xml:space="preserve"> </w:t>
      </w:r>
      <w:r w:rsidRPr="00CB66EB">
        <w:t>Dozorčí</w:t>
      </w:r>
      <w:r>
        <w:t xml:space="preserve"> </w:t>
      </w:r>
      <w:r w:rsidRPr="00CB66EB">
        <w:t>rady</w:t>
      </w:r>
      <w:r>
        <w:t xml:space="preserve"> </w:t>
      </w:r>
      <w:r w:rsidRPr="00CB66EB">
        <w:t>má</w:t>
      </w:r>
      <w:r>
        <w:t xml:space="preserve"> </w:t>
      </w:r>
      <w:r w:rsidRPr="00CB66EB">
        <w:t>nárok</w:t>
      </w:r>
      <w:r>
        <w:t xml:space="preserve"> </w:t>
      </w:r>
      <w:r w:rsidRPr="00CB66EB">
        <w:t>na</w:t>
      </w:r>
      <w:r>
        <w:t xml:space="preserve"> </w:t>
      </w:r>
      <w:r w:rsidRPr="00CB66EB">
        <w:t>náhradu</w:t>
      </w:r>
      <w:r>
        <w:t xml:space="preserve"> </w:t>
      </w:r>
      <w:r w:rsidRPr="00CB66EB">
        <w:t>výdajů</w:t>
      </w:r>
      <w:r>
        <w:t xml:space="preserve"> </w:t>
      </w:r>
      <w:r w:rsidRPr="00CB66EB">
        <w:t>do</w:t>
      </w:r>
      <w:r>
        <w:t xml:space="preserve"> </w:t>
      </w:r>
      <w:r w:rsidRPr="00CB66EB">
        <w:t>výše</w:t>
      </w:r>
      <w:r>
        <w:t xml:space="preserve"> </w:t>
      </w:r>
      <w:r w:rsidRPr="00CB66EB">
        <w:t>určené</w:t>
      </w:r>
      <w:r>
        <w:t xml:space="preserve"> </w:t>
      </w:r>
      <w:r w:rsidRPr="00CB66EB">
        <w:t>zvláštním</w:t>
      </w:r>
      <w:r>
        <w:t xml:space="preserve"> </w:t>
      </w:r>
      <w:r w:rsidRPr="00CB66EB">
        <w:t>právním</w:t>
      </w:r>
      <w:r>
        <w:t xml:space="preserve"> </w:t>
      </w:r>
      <w:proofErr w:type="gramStart"/>
      <w:r w:rsidRPr="00CB66EB">
        <w:t>předpisem.</w:t>
      </w:r>
      <w:r w:rsidRPr="003201B9">
        <w:rPr>
          <w:vertAlign w:val="superscript"/>
        </w:rPr>
        <w:t>81</w:t>
      </w:r>
      <w:proofErr w:type="gramEnd"/>
      <w:r w:rsidRPr="003201B9">
        <w:rPr>
          <w:vertAlign w:val="superscript"/>
        </w:rPr>
        <w:t>)</w:t>
      </w:r>
    </w:p>
    <w:p w14:paraId="713B50BC" w14:textId="77777777" w:rsidR="004648F8" w:rsidRDefault="004648F8" w:rsidP="0006588E">
      <w:pPr>
        <w:pStyle w:val="Textparagrafu"/>
        <w:tabs>
          <w:tab w:val="left" w:pos="392"/>
          <w:tab w:val="left" w:pos="840"/>
        </w:tabs>
        <w:spacing w:before="120" w:after="120"/>
      </w:pPr>
      <w:r w:rsidRPr="00CB66EB">
        <w:lastRenderedPageBreak/>
        <w:t>(2)</w:t>
      </w:r>
      <w:r>
        <w:t xml:space="preserve"> </w:t>
      </w:r>
      <w:r w:rsidRPr="00CB66EB">
        <w:t>Dozorčí</w:t>
      </w:r>
      <w:r>
        <w:t xml:space="preserve"> </w:t>
      </w:r>
      <w:r w:rsidRPr="00CB66EB">
        <w:t>rada</w:t>
      </w:r>
    </w:p>
    <w:p w14:paraId="0B953F5A" w14:textId="02EB8D95" w:rsidR="004648F8" w:rsidRDefault="004648F8" w:rsidP="000A18B9">
      <w:pPr>
        <w:pStyle w:val="Textparagrafu"/>
        <w:tabs>
          <w:tab w:val="left" w:pos="392"/>
          <w:tab w:val="left" w:pos="840"/>
        </w:tabs>
        <w:spacing w:before="0"/>
        <w:ind w:left="426" w:hanging="426"/>
      </w:pPr>
      <w:r w:rsidRPr="00CB66EB">
        <w:t>a)</w:t>
      </w:r>
      <w:r w:rsidR="003201B9">
        <w:tab/>
      </w:r>
      <w:r w:rsidRPr="00CB66EB">
        <w:t>kontroluje</w:t>
      </w:r>
      <w:r>
        <w:t xml:space="preserve"> </w:t>
      </w:r>
      <w:r w:rsidRPr="00CB66EB">
        <w:t>činnost</w:t>
      </w:r>
      <w:r>
        <w:t xml:space="preserve"> </w:t>
      </w:r>
      <w:r w:rsidRPr="00CB66EB">
        <w:t>Fondu,</w:t>
      </w:r>
      <w:r>
        <w:t xml:space="preserve"> </w:t>
      </w:r>
      <w:r w:rsidRPr="00CB66EB">
        <w:t>jeho</w:t>
      </w:r>
      <w:r>
        <w:t xml:space="preserve"> </w:t>
      </w:r>
      <w:r w:rsidRPr="00CB66EB">
        <w:t>statutárního</w:t>
      </w:r>
      <w:r>
        <w:t xml:space="preserve"> </w:t>
      </w:r>
      <w:r w:rsidRPr="00CB66EB">
        <w:t>orgánu</w:t>
      </w:r>
      <w:r>
        <w:t xml:space="preserve"> </w:t>
      </w:r>
      <w:r w:rsidRPr="00CB66EB">
        <w:t>a</w:t>
      </w:r>
      <w:r>
        <w:t xml:space="preserve"> </w:t>
      </w:r>
      <w:r w:rsidRPr="00CB66EB">
        <w:t>Rady,</w:t>
      </w:r>
    </w:p>
    <w:p w14:paraId="77AC0754" w14:textId="41D94197" w:rsidR="004648F8" w:rsidRDefault="004648F8" w:rsidP="000A18B9">
      <w:pPr>
        <w:pStyle w:val="Textparagrafu"/>
        <w:tabs>
          <w:tab w:val="left" w:pos="392"/>
          <w:tab w:val="left" w:pos="840"/>
        </w:tabs>
        <w:spacing w:before="0"/>
        <w:ind w:left="426" w:hanging="426"/>
      </w:pPr>
      <w:r w:rsidRPr="00CB66EB">
        <w:t>b)</w:t>
      </w:r>
      <w:r w:rsidR="003201B9">
        <w:tab/>
      </w:r>
      <w:r w:rsidRPr="00CB66EB">
        <w:t>posuzuje</w:t>
      </w:r>
      <w:r>
        <w:t xml:space="preserve"> </w:t>
      </w:r>
      <w:r w:rsidRPr="00CB66EB">
        <w:t>výroční</w:t>
      </w:r>
      <w:r>
        <w:t xml:space="preserve"> </w:t>
      </w:r>
      <w:r w:rsidRPr="00CB66EB">
        <w:t>zprávu</w:t>
      </w:r>
      <w:r>
        <w:t xml:space="preserve"> </w:t>
      </w:r>
      <w:r w:rsidRPr="00CB66EB">
        <w:t>Fondu,</w:t>
      </w:r>
    </w:p>
    <w:p w14:paraId="1DA22518" w14:textId="157D8F82" w:rsidR="004648F8" w:rsidRDefault="004648F8" w:rsidP="000A18B9">
      <w:pPr>
        <w:pStyle w:val="Textparagrafu"/>
        <w:tabs>
          <w:tab w:val="left" w:pos="392"/>
          <w:tab w:val="left" w:pos="840"/>
        </w:tabs>
        <w:spacing w:before="0"/>
        <w:ind w:left="426" w:hanging="426"/>
      </w:pPr>
      <w:r w:rsidRPr="00CB66EB">
        <w:t>c)</w:t>
      </w:r>
      <w:r w:rsidR="003201B9">
        <w:tab/>
      </w:r>
      <w:r w:rsidRPr="00CB66EB">
        <w:t>schvaluje</w:t>
      </w:r>
      <w:r w:rsidR="007303D7">
        <w:rPr>
          <w:b/>
        </w:rPr>
        <w:t xml:space="preserve"> řádnou individuální</w:t>
      </w:r>
      <w:r>
        <w:t xml:space="preserve"> </w:t>
      </w:r>
      <w:r w:rsidRPr="00CB66EB">
        <w:t>účetní</w:t>
      </w:r>
      <w:r>
        <w:t xml:space="preserve"> </w:t>
      </w:r>
      <w:r w:rsidRPr="00CB66EB">
        <w:t>závěrku</w:t>
      </w:r>
      <w:r>
        <w:t xml:space="preserve"> </w:t>
      </w:r>
      <w:r w:rsidRPr="00CB66EB">
        <w:t>Fondu</w:t>
      </w:r>
      <w:r>
        <w:t xml:space="preserve"> </w:t>
      </w:r>
      <w:r w:rsidRPr="00CB66EB">
        <w:t>a</w:t>
      </w:r>
      <w:r>
        <w:t xml:space="preserve"> </w:t>
      </w:r>
      <w:r w:rsidRPr="00CB66EB">
        <w:t>finanční</w:t>
      </w:r>
      <w:r>
        <w:t xml:space="preserve"> </w:t>
      </w:r>
      <w:r w:rsidRPr="00CB66EB">
        <w:t>plán</w:t>
      </w:r>
      <w:r>
        <w:t xml:space="preserve"> </w:t>
      </w:r>
      <w:r w:rsidRPr="00CB66EB">
        <w:t>Fondu,</w:t>
      </w:r>
    </w:p>
    <w:p w14:paraId="7075BBB1" w14:textId="0CB86140" w:rsidR="004648F8" w:rsidRDefault="004648F8" w:rsidP="000A18B9">
      <w:pPr>
        <w:pStyle w:val="Textparagrafu"/>
        <w:tabs>
          <w:tab w:val="left" w:pos="392"/>
          <w:tab w:val="left" w:pos="840"/>
        </w:tabs>
        <w:spacing w:before="0"/>
        <w:ind w:left="426" w:hanging="426"/>
      </w:pPr>
      <w:r w:rsidRPr="00CB66EB">
        <w:t>d)</w:t>
      </w:r>
      <w:r w:rsidR="003201B9">
        <w:tab/>
      </w:r>
      <w:r w:rsidRPr="00CB66EB">
        <w:t>podává</w:t>
      </w:r>
      <w:r>
        <w:t xml:space="preserve"> </w:t>
      </w:r>
      <w:r w:rsidRPr="00CB66EB">
        <w:t>nejméně</w:t>
      </w:r>
      <w:r>
        <w:t xml:space="preserve"> </w:t>
      </w:r>
      <w:r w:rsidRPr="00CB66EB">
        <w:t>jedenkrát</w:t>
      </w:r>
      <w:r>
        <w:t xml:space="preserve"> </w:t>
      </w:r>
      <w:r w:rsidRPr="00CB66EB">
        <w:t>ročně</w:t>
      </w:r>
      <w:r>
        <w:t xml:space="preserve"> </w:t>
      </w:r>
      <w:r w:rsidRPr="00CB66EB">
        <w:t>zprávu</w:t>
      </w:r>
      <w:r>
        <w:t xml:space="preserve"> </w:t>
      </w:r>
      <w:r w:rsidRPr="00CB66EB">
        <w:t>Radě</w:t>
      </w:r>
      <w:r>
        <w:t xml:space="preserve"> </w:t>
      </w:r>
      <w:r w:rsidRPr="00CB66EB">
        <w:t>o</w:t>
      </w:r>
      <w:r>
        <w:t xml:space="preserve"> </w:t>
      </w:r>
      <w:r w:rsidRPr="00CB66EB">
        <w:t>výsledcích</w:t>
      </w:r>
      <w:r>
        <w:t xml:space="preserve"> </w:t>
      </w:r>
      <w:r w:rsidRPr="00CB66EB">
        <w:t>své</w:t>
      </w:r>
      <w:r>
        <w:t xml:space="preserve"> </w:t>
      </w:r>
      <w:r w:rsidRPr="00CB66EB">
        <w:t>kontrolní</w:t>
      </w:r>
      <w:r>
        <w:t xml:space="preserve"> </w:t>
      </w:r>
      <w:r w:rsidRPr="00CB66EB">
        <w:t>činnosti,</w:t>
      </w:r>
    </w:p>
    <w:p w14:paraId="6FAE7B6B" w14:textId="6FF33818" w:rsidR="004648F8" w:rsidRDefault="004648F8" w:rsidP="000A18B9">
      <w:pPr>
        <w:pStyle w:val="Textparagrafu"/>
        <w:tabs>
          <w:tab w:val="left" w:pos="392"/>
          <w:tab w:val="left" w:pos="840"/>
        </w:tabs>
        <w:spacing w:before="0"/>
        <w:ind w:left="426" w:hanging="426"/>
      </w:pPr>
      <w:r w:rsidRPr="00CB66EB">
        <w:t>e)</w:t>
      </w:r>
      <w:r w:rsidR="003201B9">
        <w:tab/>
      </w:r>
      <w:r w:rsidRPr="00CB66EB">
        <w:t>předkládá</w:t>
      </w:r>
      <w:r>
        <w:t xml:space="preserve"> </w:t>
      </w:r>
      <w:r w:rsidRPr="00CB66EB">
        <w:t>ministrovi</w:t>
      </w:r>
      <w:r>
        <w:t xml:space="preserve"> </w:t>
      </w:r>
      <w:r w:rsidRPr="00CB66EB">
        <w:t>návrh</w:t>
      </w:r>
      <w:r>
        <w:t xml:space="preserve"> </w:t>
      </w:r>
      <w:r w:rsidRPr="00CB66EB">
        <w:t>na</w:t>
      </w:r>
      <w:r>
        <w:t xml:space="preserve"> </w:t>
      </w:r>
      <w:r w:rsidRPr="00CB66EB">
        <w:t>odvolání</w:t>
      </w:r>
      <w:r>
        <w:t xml:space="preserve"> </w:t>
      </w:r>
      <w:r w:rsidRPr="00CB66EB">
        <w:t>člena</w:t>
      </w:r>
      <w:r>
        <w:t xml:space="preserve"> </w:t>
      </w:r>
      <w:r w:rsidRPr="00CB66EB">
        <w:t>Rady,</w:t>
      </w:r>
      <w:r>
        <w:t xml:space="preserve"> </w:t>
      </w:r>
      <w:r w:rsidRPr="00CB66EB">
        <w:t>zjistí-li</w:t>
      </w:r>
      <w:r>
        <w:t xml:space="preserve"> </w:t>
      </w:r>
      <w:r w:rsidRPr="00CB66EB">
        <w:t>u</w:t>
      </w:r>
      <w:r>
        <w:t xml:space="preserve"> </w:t>
      </w:r>
      <w:r w:rsidRPr="00CB66EB">
        <w:t>něj</w:t>
      </w:r>
      <w:r>
        <w:t xml:space="preserve"> </w:t>
      </w:r>
      <w:r w:rsidRPr="00CB66EB">
        <w:t>závažné</w:t>
      </w:r>
      <w:r>
        <w:t xml:space="preserve"> </w:t>
      </w:r>
      <w:r w:rsidRPr="00CB66EB">
        <w:t>nedostatky</w:t>
      </w:r>
      <w:r>
        <w:t xml:space="preserve"> </w:t>
      </w:r>
      <w:r w:rsidRPr="00CB66EB">
        <w:t>ve</w:t>
      </w:r>
      <w:r>
        <w:t xml:space="preserve"> </w:t>
      </w:r>
      <w:r w:rsidRPr="00CB66EB">
        <w:t>výkonu</w:t>
      </w:r>
      <w:r>
        <w:t xml:space="preserve"> </w:t>
      </w:r>
      <w:r w:rsidRPr="00CB66EB">
        <w:t>jeho</w:t>
      </w:r>
      <w:r>
        <w:t xml:space="preserve"> </w:t>
      </w:r>
      <w:r w:rsidRPr="00CB66EB">
        <w:t>funkce,</w:t>
      </w:r>
    </w:p>
    <w:p w14:paraId="13C1BD79" w14:textId="606BF600" w:rsidR="004648F8" w:rsidRDefault="004648F8" w:rsidP="000A18B9">
      <w:pPr>
        <w:pStyle w:val="Textparagrafu"/>
        <w:tabs>
          <w:tab w:val="left" w:pos="392"/>
          <w:tab w:val="left" w:pos="840"/>
        </w:tabs>
        <w:spacing w:before="0"/>
        <w:ind w:left="426" w:hanging="426"/>
      </w:pPr>
      <w:r w:rsidRPr="00CB66EB">
        <w:t>f)</w:t>
      </w:r>
      <w:r w:rsidR="003201B9">
        <w:tab/>
      </w:r>
      <w:r w:rsidRPr="00CB66EB">
        <w:t>kontroluje</w:t>
      </w:r>
      <w:r>
        <w:t xml:space="preserve"> </w:t>
      </w:r>
      <w:r w:rsidRPr="007303D7">
        <w:rPr>
          <w:strike/>
        </w:rPr>
        <w:t>účetní knihy a jiné doklady a v nich obsažené údaje</w:t>
      </w:r>
      <w:r w:rsidR="007303D7">
        <w:rPr>
          <w:b/>
        </w:rPr>
        <w:t xml:space="preserve"> účetní záznamy</w:t>
      </w:r>
      <w:r w:rsidRPr="00CB66EB">
        <w:t>,</w:t>
      </w:r>
    </w:p>
    <w:p w14:paraId="0A8E7957" w14:textId="4BB41631" w:rsidR="004648F8" w:rsidRDefault="004648F8" w:rsidP="000A18B9">
      <w:pPr>
        <w:pStyle w:val="Textparagrafu"/>
        <w:tabs>
          <w:tab w:val="left" w:pos="392"/>
          <w:tab w:val="left" w:pos="840"/>
        </w:tabs>
        <w:spacing w:before="0"/>
        <w:ind w:left="426" w:hanging="426"/>
      </w:pPr>
      <w:r w:rsidRPr="00CB66EB">
        <w:t>g)</w:t>
      </w:r>
      <w:r w:rsidR="003201B9">
        <w:tab/>
      </w:r>
      <w:r w:rsidRPr="00CB66EB">
        <w:t>svolává</w:t>
      </w:r>
      <w:r>
        <w:t xml:space="preserve"> </w:t>
      </w:r>
      <w:r w:rsidRPr="00CB66EB">
        <w:t>mimořádné</w:t>
      </w:r>
      <w:r>
        <w:t xml:space="preserve"> </w:t>
      </w:r>
      <w:r w:rsidRPr="00CB66EB">
        <w:t>jednání</w:t>
      </w:r>
      <w:r>
        <w:t xml:space="preserve"> </w:t>
      </w:r>
      <w:r w:rsidRPr="00CB66EB">
        <w:t>Rady,</w:t>
      </w:r>
      <w:r>
        <w:t xml:space="preserve"> </w:t>
      </w:r>
      <w:r w:rsidRPr="00CB66EB">
        <w:t>vyžadují-li</w:t>
      </w:r>
      <w:r>
        <w:t xml:space="preserve"> </w:t>
      </w:r>
      <w:r w:rsidRPr="00CB66EB">
        <w:t>to</w:t>
      </w:r>
      <w:r>
        <w:t xml:space="preserve"> </w:t>
      </w:r>
      <w:r w:rsidRPr="00CB66EB">
        <w:t>zájmy</w:t>
      </w:r>
      <w:r>
        <w:t xml:space="preserve"> </w:t>
      </w:r>
      <w:r w:rsidRPr="00CB66EB">
        <w:t>Fondu,</w:t>
      </w:r>
    </w:p>
    <w:p w14:paraId="16D1C2CB" w14:textId="42ED3FDC" w:rsidR="004648F8" w:rsidRDefault="004648F8" w:rsidP="000A18B9">
      <w:pPr>
        <w:pStyle w:val="Textparagrafu"/>
        <w:tabs>
          <w:tab w:val="left" w:pos="392"/>
          <w:tab w:val="left" w:pos="840"/>
        </w:tabs>
        <w:spacing w:before="0"/>
        <w:ind w:left="426" w:hanging="426"/>
      </w:pPr>
      <w:r w:rsidRPr="00CB66EB">
        <w:t>h)</w:t>
      </w:r>
      <w:r w:rsidR="003201B9">
        <w:tab/>
      </w:r>
      <w:r w:rsidRPr="00CB66EB">
        <w:t>dohlíží,</w:t>
      </w:r>
      <w:r>
        <w:t xml:space="preserve"> </w:t>
      </w:r>
      <w:r w:rsidRPr="00CB66EB">
        <w:t>zda</w:t>
      </w:r>
      <w:r>
        <w:t xml:space="preserve"> </w:t>
      </w:r>
      <w:r w:rsidRPr="00CB66EB">
        <w:t>Fond</w:t>
      </w:r>
      <w:r>
        <w:t xml:space="preserve"> </w:t>
      </w:r>
      <w:r w:rsidRPr="00CB66EB">
        <w:t>vyvíjí</w:t>
      </w:r>
      <w:r>
        <w:t xml:space="preserve"> </w:t>
      </w:r>
      <w:r w:rsidRPr="00CB66EB">
        <w:t>činnost</w:t>
      </w:r>
      <w:r>
        <w:t xml:space="preserve"> </w:t>
      </w:r>
      <w:r w:rsidRPr="00CB66EB">
        <w:t>v</w:t>
      </w:r>
      <w:r>
        <w:t xml:space="preserve"> </w:t>
      </w:r>
      <w:r w:rsidRPr="00CB66EB">
        <w:t>souladu</w:t>
      </w:r>
      <w:r>
        <w:t xml:space="preserve"> </w:t>
      </w:r>
      <w:r w:rsidRPr="00CB66EB">
        <w:t>s</w:t>
      </w:r>
      <w:r>
        <w:t xml:space="preserve"> </w:t>
      </w:r>
      <w:r w:rsidRPr="00CB66EB">
        <w:t>právními</w:t>
      </w:r>
      <w:r>
        <w:t xml:space="preserve"> </w:t>
      </w:r>
      <w:r w:rsidRPr="00CB66EB">
        <w:t>předpisy</w:t>
      </w:r>
      <w:r>
        <w:t xml:space="preserve"> </w:t>
      </w:r>
      <w:r w:rsidRPr="00CB66EB">
        <w:t>a</w:t>
      </w:r>
      <w:r>
        <w:t xml:space="preserve"> </w:t>
      </w:r>
      <w:r w:rsidRPr="00CB66EB">
        <w:t>organizačním</w:t>
      </w:r>
      <w:r>
        <w:t xml:space="preserve"> </w:t>
      </w:r>
      <w:r w:rsidRPr="00CB66EB">
        <w:t>řádem</w:t>
      </w:r>
      <w:r>
        <w:t xml:space="preserve"> </w:t>
      </w:r>
      <w:r w:rsidRPr="00CB66EB">
        <w:t>Fondu,</w:t>
      </w:r>
    </w:p>
    <w:p w14:paraId="082AA477" w14:textId="0C436554" w:rsidR="004648F8" w:rsidRDefault="004648F8" w:rsidP="000A18B9">
      <w:pPr>
        <w:pStyle w:val="Textparagrafu"/>
        <w:tabs>
          <w:tab w:val="left" w:pos="392"/>
          <w:tab w:val="left" w:pos="840"/>
        </w:tabs>
        <w:spacing w:before="0"/>
        <w:ind w:left="426" w:hanging="426"/>
      </w:pPr>
      <w:r w:rsidRPr="00CB66EB">
        <w:t>i)</w:t>
      </w:r>
      <w:r w:rsidR="003201B9">
        <w:tab/>
      </w:r>
      <w:r w:rsidRPr="00CB66EB">
        <w:t>schvaluje</w:t>
      </w:r>
      <w:r>
        <w:t xml:space="preserve"> </w:t>
      </w:r>
      <w:r w:rsidRPr="00CB66EB">
        <w:t>organizační</w:t>
      </w:r>
      <w:r>
        <w:t xml:space="preserve"> </w:t>
      </w:r>
      <w:r w:rsidRPr="00CB66EB">
        <w:t>řád</w:t>
      </w:r>
      <w:r>
        <w:t xml:space="preserve"> </w:t>
      </w:r>
      <w:r w:rsidRPr="00CB66EB">
        <w:t>Fondu,</w:t>
      </w:r>
    </w:p>
    <w:p w14:paraId="66F41DFA" w14:textId="03F436E1" w:rsidR="004648F8" w:rsidRDefault="004648F8" w:rsidP="000A18B9">
      <w:pPr>
        <w:pStyle w:val="Textparagrafu"/>
        <w:tabs>
          <w:tab w:val="left" w:pos="392"/>
          <w:tab w:val="left" w:pos="840"/>
        </w:tabs>
        <w:spacing w:before="0"/>
        <w:ind w:left="426" w:hanging="426"/>
      </w:pPr>
      <w:r w:rsidRPr="00CB66EB">
        <w:t>j)</w:t>
      </w:r>
      <w:r w:rsidR="003201B9">
        <w:tab/>
      </w:r>
      <w:r w:rsidRPr="00CB66EB">
        <w:t>schvaluje</w:t>
      </w:r>
      <w:r>
        <w:t xml:space="preserve"> </w:t>
      </w:r>
      <w:r w:rsidRPr="00CB66EB">
        <w:t>plán</w:t>
      </w:r>
      <w:r>
        <w:t xml:space="preserve"> </w:t>
      </w:r>
      <w:r w:rsidRPr="00CB66EB">
        <w:t>činnosti</w:t>
      </w:r>
      <w:r>
        <w:t xml:space="preserve"> </w:t>
      </w:r>
      <w:r w:rsidRPr="00CB66EB">
        <w:t>Fondu.</w:t>
      </w:r>
    </w:p>
    <w:p w14:paraId="3E2EFB3A" w14:textId="77777777" w:rsidR="004648F8" w:rsidRDefault="004648F8" w:rsidP="0006588E">
      <w:pPr>
        <w:pStyle w:val="Textparagrafu"/>
        <w:tabs>
          <w:tab w:val="left" w:pos="392"/>
          <w:tab w:val="left" w:pos="840"/>
        </w:tabs>
        <w:spacing w:before="120" w:after="120"/>
      </w:pPr>
      <w:r w:rsidRPr="00CB66EB">
        <w:t>(3)</w:t>
      </w:r>
      <w:r>
        <w:t xml:space="preserve"> </w:t>
      </w:r>
      <w:r w:rsidRPr="00CB66EB">
        <w:t>Dozorčí</w:t>
      </w:r>
      <w:r>
        <w:t xml:space="preserve"> </w:t>
      </w:r>
      <w:r w:rsidRPr="00CB66EB">
        <w:t>rada</w:t>
      </w:r>
      <w:r>
        <w:t xml:space="preserve"> </w:t>
      </w:r>
      <w:r w:rsidRPr="00CB66EB">
        <w:t>je</w:t>
      </w:r>
      <w:r>
        <w:t xml:space="preserve"> </w:t>
      </w:r>
      <w:r w:rsidRPr="00CB66EB">
        <w:t>povinna</w:t>
      </w:r>
      <w:r>
        <w:t xml:space="preserve"> </w:t>
      </w:r>
      <w:r w:rsidRPr="00CB66EB">
        <w:t>upozornit</w:t>
      </w:r>
      <w:r>
        <w:t xml:space="preserve"> </w:t>
      </w:r>
      <w:r w:rsidRPr="00CB66EB">
        <w:t>Radu</w:t>
      </w:r>
      <w:r>
        <w:t xml:space="preserve"> </w:t>
      </w:r>
      <w:r w:rsidRPr="00CB66EB">
        <w:t>na</w:t>
      </w:r>
      <w:r>
        <w:t xml:space="preserve"> </w:t>
      </w:r>
      <w:r w:rsidRPr="00CB66EB">
        <w:t>porušení</w:t>
      </w:r>
      <w:r>
        <w:t xml:space="preserve"> </w:t>
      </w:r>
      <w:r w:rsidRPr="00CB66EB">
        <w:t>právních</w:t>
      </w:r>
      <w:r>
        <w:t xml:space="preserve"> </w:t>
      </w:r>
      <w:r w:rsidRPr="00CB66EB">
        <w:t>předpisů</w:t>
      </w:r>
      <w:r>
        <w:t xml:space="preserve"> </w:t>
      </w:r>
      <w:r w:rsidRPr="00CB66EB">
        <w:t>nebo</w:t>
      </w:r>
      <w:r>
        <w:t xml:space="preserve"> </w:t>
      </w:r>
      <w:r w:rsidRPr="00CB66EB">
        <w:t>organizačního</w:t>
      </w:r>
      <w:r>
        <w:t xml:space="preserve"> </w:t>
      </w:r>
      <w:r w:rsidRPr="00CB66EB">
        <w:t>řádu</w:t>
      </w:r>
      <w:r>
        <w:t xml:space="preserve"> </w:t>
      </w:r>
      <w:r w:rsidRPr="00CB66EB">
        <w:t>Fondu,</w:t>
      </w:r>
      <w:r>
        <w:t xml:space="preserve"> </w:t>
      </w:r>
      <w:r w:rsidRPr="00CB66EB">
        <w:t>na</w:t>
      </w:r>
      <w:r>
        <w:t xml:space="preserve"> </w:t>
      </w:r>
      <w:r w:rsidRPr="00CB66EB">
        <w:t>nehospodárné</w:t>
      </w:r>
      <w:r>
        <w:t xml:space="preserve"> </w:t>
      </w:r>
      <w:r w:rsidRPr="00CB66EB">
        <w:t>postupy,</w:t>
      </w:r>
      <w:r>
        <w:t xml:space="preserve"> </w:t>
      </w:r>
      <w:r w:rsidRPr="00CB66EB">
        <w:t>popřípadě</w:t>
      </w:r>
      <w:r>
        <w:t xml:space="preserve"> </w:t>
      </w:r>
      <w:r w:rsidRPr="00CB66EB">
        <w:t>na</w:t>
      </w:r>
      <w:r>
        <w:t xml:space="preserve"> </w:t>
      </w:r>
      <w:r w:rsidRPr="00CB66EB">
        <w:t>další</w:t>
      </w:r>
      <w:r>
        <w:t xml:space="preserve"> </w:t>
      </w:r>
      <w:r w:rsidRPr="00CB66EB">
        <w:t>nedostatky</w:t>
      </w:r>
      <w:r>
        <w:t xml:space="preserve"> </w:t>
      </w:r>
      <w:r w:rsidRPr="00CB66EB">
        <w:t>v</w:t>
      </w:r>
      <w:r>
        <w:t xml:space="preserve"> </w:t>
      </w:r>
      <w:r w:rsidRPr="00CB66EB">
        <w:t>činnosti</w:t>
      </w:r>
      <w:r>
        <w:t xml:space="preserve"> </w:t>
      </w:r>
      <w:r w:rsidRPr="00CB66EB">
        <w:t>Fondu.</w:t>
      </w:r>
    </w:p>
    <w:p w14:paraId="2B68C021" w14:textId="77777777" w:rsidR="004648F8" w:rsidRDefault="004648F8" w:rsidP="0006588E">
      <w:pPr>
        <w:pStyle w:val="Textparagrafu"/>
        <w:tabs>
          <w:tab w:val="left" w:pos="392"/>
          <w:tab w:val="left" w:pos="840"/>
        </w:tabs>
        <w:spacing w:before="120" w:after="120"/>
      </w:pPr>
      <w:r w:rsidRPr="00CB66EB">
        <w:t>(4)</w:t>
      </w:r>
      <w:r>
        <w:t xml:space="preserve"> </w:t>
      </w:r>
      <w:r w:rsidRPr="00CB66EB">
        <w:t>Členy</w:t>
      </w:r>
      <w:r>
        <w:t xml:space="preserve"> </w:t>
      </w:r>
      <w:r w:rsidRPr="00CB66EB">
        <w:t>Dozorčí</w:t>
      </w:r>
      <w:r>
        <w:t xml:space="preserve"> </w:t>
      </w:r>
      <w:r w:rsidRPr="00CB66EB">
        <w:t>rady</w:t>
      </w:r>
      <w:r>
        <w:t xml:space="preserve"> </w:t>
      </w:r>
      <w:r w:rsidRPr="00CB66EB">
        <w:t>volí</w:t>
      </w:r>
      <w:r>
        <w:t xml:space="preserve"> </w:t>
      </w:r>
      <w:r w:rsidRPr="00CB66EB">
        <w:t>a</w:t>
      </w:r>
      <w:r>
        <w:t xml:space="preserve"> </w:t>
      </w:r>
      <w:r w:rsidRPr="00CB66EB">
        <w:t>odvolává</w:t>
      </w:r>
      <w:r>
        <w:t xml:space="preserve"> </w:t>
      </w:r>
      <w:r w:rsidRPr="00CB66EB">
        <w:t>Poslanecká</w:t>
      </w:r>
      <w:r>
        <w:t xml:space="preserve"> </w:t>
      </w:r>
      <w:r w:rsidRPr="00CB66EB">
        <w:t>sněmovna.</w:t>
      </w:r>
      <w:r>
        <w:t xml:space="preserve"> </w:t>
      </w:r>
      <w:r w:rsidRPr="00CB66EB">
        <w:t>Členství</w:t>
      </w:r>
      <w:r>
        <w:t xml:space="preserve"> </w:t>
      </w:r>
      <w:r w:rsidRPr="00CB66EB">
        <w:t>v</w:t>
      </w:r>
      <w:r>
        <w:t xml:space="preserve"> </w:t>
      </w:r>
      <w:r w:rsidRPr="00CB66EB">
        <w:t>Dozorčí</w:t>
      </w:r>
      <w:r>
        <w:t xml:space="preserve"> </w:t>
      </w:r>
      <w:r w:rsidRPr="00CB66EB">
        <w:t>radě</w:t>
      </w:r>
      <w:r>
        <w:t xml:space="preserve"> </w:t>
      </w:r>
      <w:r w:rsidRPr="00CB66EB">
        <w:t>je</w:t>
      </w:r>
      <w:r>
        <w:t xml:space="preserve"> </w:t>
      </w:r>
      <w:r w:rsidRPr="00CB66EB">
        <w:t>neslučitelné</w:t>
      </w:r>
      <w:r>
        <w:t xml:space="preserve"> </w:t>
      </w:r>
      <w:r w:rsidRPr="00CB66EB">
        <w:t>s</w:t>
      </w:r>
      <w:r>
        <w:t xml:space="preserve"> </w:t>
      </w:r>
      <w:r w:rsidRPr="00CB66EB">
        <w:t>členstvím</w:t>
      </w:r>
      <w:r>
        <w:t xml:space="preserve"> </w:t>
      </w:r>
      <w:r w:rsidRPr="00CB66EB">
        <w:t>v</w:t>
      </w:r>
      <w:r>
        <w:t xml:space="preserve"> </w:t>
      </w:r>
      <w:r w:rsidRPr="00CB66EB">
        <w:t>Radě.</w:t>
      </w:r>
      <w:r>
        <w:t xml:space="preserve"> </w:t>
      </w:r>
      <w:r w:rsidRPr="00CB66EB">
        <w:t>Dozorčí</w:t>
      </w:r>
      <w:r>
        <w:t xml:space="preserve"> </w:t>
      </w:r>
      <w:r w:rsidRPr="00CB66EB">
        <w:t>rada</w:t>
      </w:r>
      <w:r>
        <w:t xml:space="preserve"> </w:t>
      </w:r>
      <w:r w:rsidRPr="00CB66EB">
        <w:t>má</w:t>
      </w:r>
      <w:r>
        <w:t xml:space="preserve"> </w:t>
      </w:r>
      <w:r w:rsidRPr="00CB66EB">
        <w:t>7</w:t>
      </w:r>
      <w:r>
        <w:t xml:space="preserve"> </w:t>
      </w:r>
      <w:r w:rsidRPr="00CB66EB">
        <w:t>členů.</w:t>
      </w:r>
      <w:r>
        <w:t xml:space="preserve"> </w:t>
      </w:r>
      <w:r w:rsidRPr="00CB66EB">
        <w:t>Funkční</w:t>
      </w:r>
      <w:r>
        <w:t xml:space="preserve"> </w:t>
      </w:r>
      <w:r w:rsidRPr="00CB66EB">
        <w:t>období</w:t>
      </w:r>
      <w:r>
        <w:t xml:space="preserve"> </w:t>
      </w:r>
      <w:r w:rsidRPr="00CB66EB">
        <w:t>členů</w:t>
      </w:r>
      <w:r>
        <w:t xml:space="preserve"> </w:t>
      </w:r>
      <w:r w:rsidRPr="00CB66EB">
        <w:t>Dozorčí</w:t>
      </w:r>
      <w:r>
        <w:t xml:space="preserve"> </w:t>
      </w:r>
      <w:r w:rsidRPr="00CB66EB">
        <w:t>rady</w:t>
      </w:r>
      <w:r>
        <w:t xml:space="preserve"> </w:t>
      </w:r>
      <w:r w:rsidRPr="00CB66EB">
        <w:t>je</w:t>
      </w:r>
      <w:r>
        <w:t xml:space="preserve"> </w:t>
      </w:r>
      <w:r w:rsidRPr="00CB66EB">
        <w:t>čtyřleté.</w:t>
      </w:r>
      <w:r>
        <w:t xml:space="preserve"> </w:t>
      </w:r>
      <w:r w:rsidRPr="00CB66EB">
        <w:t>Po</w:t>
      </w:r>
      <w:r>
        <w:t xml:space="preserve"> </w:t>
      </w:r>
      <w:r w:rsidRPr="00CB66EB">
        <w:t>uplynutí</w:t>
      </w:r>
      <w:r>
        <w:t xml:space="preserve"> </w:t>
      </w:r>
      <w:r w:rsidRPr="00CB66EB">
        <w:t>funkčního</w:t>
      </w:r>
      <w:r>
        <w:t xml:space="preserve"> </w:t>
      </w:r>
      <w:r w:rsidRPr="00CB66EB">
        <w:t>období</w:t>
      </w:r>
      <w:r>
        <w:t xml:space="preserve"> </w:t>
      </w:r>
      <w:r w:rsidRPr="00CB66EB">
        <w:t>vykonávají</w:t>
      </w:r>
      <w:r>
        <w:t xml:space="preserve"> </w:t>
      </w:r>
      <w:r w:rsidRPr="00CB66EB">
        <w:t>členové</w:t>
      </w:r>
      <w:r>
        <w:t xml:space="preserve"> </w:t>
      </w:r>
      <w:r w:rsidRPr="00CB66EB">
        <w:t>Dozorčí</w:t>
      </w:r>
      <w:r>
        <w:t xml:space="preserve"> </w:t>
      </w:r>
      <w:r w:rsidRPr="00CB66EB">
        <w:t>rady</w:t>
      </w:r>
      <w:r>
        <w:t xml:space="preserve"> </w:t>
      </w:r>
      <w:r w:rsidRPr="00CB66EB">
        <w:t>funkci</w:t>
      </w:r>
      <w:r>
        <w:t xml:space="preserve"> </w:t>
      </w:r>
      <w:r w:rsidRPr="00CB66EB">
        <w:t>v</w:t>
      </w:r>
      <w:r>
        <w:t xml:space="preserve"> </w:t>
      </w:r>
      <w:r w:rsidRPr="00CB66EB">
        <w:t>Dozorčí</w:t>
      </w:r>
      <w:r>
        <w:t xml:space="preserve"> </w:t>
      </w:r>
      <w:r w:rsidRPr="00CB66EB">
        <w:t>radě</w:t>
      </w:r>
      <w:r>
        <w:t xml:space="preserve"> </w:t>
      </w:r>
      <w:r w:rsidRPr="00CB66EB">
        <w:t>do</w:t>
      </w:r>
      <w:r>
        <w:t xml:space="preserve"> </w:t>
      </w:r>
      <w:r w:rsidRPr="00CB66EB">
        <w:t>zvolení</w:t>
      </w:r>
      <w:r>
        <w:t xml:space="preserve"> </w:t>
      </w:r>
      <w:r w:rsidRPr="00CB66EB">
        <w:t>svého</w:t>
      </w:r>
      <w:r>
        <w:t xml:space="preserve"> </w:t>
      </w:r>
      <w:r w:rsidRPr="00CB66EB">
        <w:t>nástupce</w:t>
      </w:r>
      <w:r>
        <w:t xml:space="preserve"> </w:t>
      </w:r>
      <w:r w:rsidRPr="00CB66EB">
        <w:t>ve</w:t>
      </w:r>
      <w:r>
        <w:t xml:space="preserve"> </w:t>
      </w:r>
      <w:r w:rsidRPr="00CB66EB">
        <w:t>funkci.</w:t>
      </w:r>
    </w:p>
    <w:p w14:paraId="6C9F8694" w14:textId="77777777" w:rsidR="004648F8" w:rsidRDefault="004648F8" w:rsidP="0006588E">
      <w:pPr>
        <w:pStyle w:val="Textparagrafu"/>
        <w:tabs>
          <w:tab w:val="left" w:pos="392"/>
          <w:tab w:val="left" w:pos="840"/>
        </w:tabs>
        <w:spacing w:before="120" w:after="120"/>
      </w:pPr>
      <w:r w:rsidRPr="00CB66EB">
        <w:t>(5)</w:t>
      </w:r>
      <w:r>
        <w:t xml:space="preserve"> </w:t>
      </w:r>
      <w:r w:rsidRPr="00CB66EB">
        <w:t>Dozorčí</w:t>
      </w:r>
      <w:r>
        <w:t xml:space="preserve"> </w:t>
      </w:r>
      <w:r w:rsidRPr="00CB66EB">
        <w:t>rada</w:t>
      </w:r>
      <w:r>
        <w:t xml:space="preserve"> </w:t>
      </w:r>
      <w:r w:rsidRPr="00CB66EB">
        <w:t>volí</w:t>
      </w:r>
      <w:r>
        <w:t xml:space="preserve"> </w:t>
      </w:r>
      <w:r w:rsidRPr="00CB66EB">
        <w:t>z</w:t>
      </w:r>
      <w:r>
        <w:t xml:space="preserve"> </w:t>
      </w:r>
      <w:r w:rsidRPr="00CB66EB">
        <w:t>řad</w:t>
      </w:r>
      <w:r>
        <w:t xml:space="preserve"> </w:t>
      </w:r>
      <w:r w:rsidRPr="00CB66EB">
        <w:t>svých</w:t>
      </w:r>
      <w:r>
        <w:t xml:space="preserve"> </w:t>
      </w:r>
      <w:r w:rsidRPr="00CB66EB">
        <w:t>členů</w:t>
      </w:r>
      <w:r>
        <w:t xml:space="preserve"> </w:t>
      </w:r>
      <w:r w:rsidRPr="00CB66EB">
        <w:t>předsedu</w:t>
      </w:r>
      <w:r>
        <w:t xml:space="preserve"> </w:t>
      </w:r>
      <w:r w:rsidRPr="00CB66EB">
        <w:t>a</w:t>
      </w:r>
      <w:r>
        <w:t xml:space="preserve"> </w:t>
      </w:r>
      <w:r w:rsidRPr="00CB66EB">
        <w:t>místopředsedu</w:t>
      </w:r>
      <w:r>
        <w:t xml:space="preserve"> </w:t>
      </w:r>
      <w:r w:rsidRPr="00CB66EB">
        <w:t>Dozorčí</w:t>
      </w:r>
      <w:r>
        <w:t xml:space="preserve"> </w:t>
      </w:r>
      <w:r w:rsidRPr="00CB66EB">
        <w:t>rady.</w:t>
      </w:r>
    </w:p>
    <w:p w14:paraId="3EFADEBE" w14:textId="393FE5FB" w:rsidR="004648F8" w:rsidRDefault="004648F8" w:rsidP="0006588E">
      <w:pPr>
        <w:pStyle w:val="Textparagrafu"/>
        <w:tabs>
          <w:tab w:val="left" w:pos="392"/>
          <w:tab w:val="left" w:pos="840"/>
        </w:tabs>
        <w:spacing w:before="120" w:after="120"/>
      </w:pPr>
      <w:r w:rsidRPr="00CB66EB">
        <w:t>(6)</w:t>
      </w:r>
      <w:r>
        <w:t xml:space="preserve"> </w:t>
      </w:r>
      <w:r w:rsidRPr="00CB66EB">
        <w:t>Jednání</w:t>
      </w:r>
      <w:r>
        <w:t xml:space="preserve"> </w:t>
      </w:r>
      <w:r w:rsidRPr="00CB66EB">
        <w:t>Dozorčí</w:t>
      </w:r>
      <w:r>
        <w:t xml:space="preserve"> </w:t>
      </w:r>
      <w:r w:rsidRPr="00CB66EB">
        <w:t>rady</w:t>
      </w:r>
      <w:r>
        <w:t xml:space="preserve"> </w:t>
      </w:r>
      <w:r w:rsidRPr="00CB66EB">
        <w:t>svolává</w:t>
      </w:r>
      <w:r>
        <w:t xml:space="preserve"> </w:t>
      </w:r>
      <w:r w:rsidRPr="00CB66EB">
        <w:t>a</w:t>
      </w:r>
      <w:r>
        <w:t xml:space="preserve"> </w:t>
      </w:r>
      <w:r w:rsidRPr="00CB66EB">
        <w:t>řídí</w:t>
      </w:r>
      <w:r>
        <w:t xml:space="preserve"> </w:t>
      </w:r>
      <w:r w:rsidRPr="00CB66EB">
        <w:t>její</w:t>
      </w:r>
      <w:r>
        <w:t xml:space="preserve"> </w:t>
      </w:r>
      <w:r w:rsidRPr="00CB66EB">
        <w:t>předseda</w:t>
      </w:r>
      <w:r>
        <w:t xml:space="preserve"> </w:t>
      </w:r>
      <w:r w:rsidRPr="00CB66EB">
        <w:t>a</w:t>
      </w:r>
      <w:r>
        <w:t xml:space="preserve"> </w:t>
      </w:r>
      <w:r w:rsidRPr="00CB66EB">
        <w:t>v</w:t>
      </w:r>
      <w:r>
        <w:t xml:space="preserve"> </w:t>
      </w:r>
      <w:r w:rsidRPr="00CB66EB">
        <w:t>jeho</w:t>
      </w:r>
      <w:r>
        <w:t xml:space="preserve"> </w:t>
      </w:r>
      <w:r w:rsidRPr="00CB66EB">
        <w:t>nepřítomnosti</w:t>
      </w:r>
      <w:r>
        <w:t xml:space="preserve"> </w:t>
      </w:r>
      <w:r w:rsidRPr="00CB66EB">
        <w:t>místopředseda</w:t>
      </w:r>
      <w:r>
        <w:t xml:space="preserve"> </w:t>
      </w:r>
      <w:r w:rsidRPr="00CB66EB">
        <w:t>Dozorčí</w:t>
      </w:r>
      <w:r>
        <w:t xml:space="preserve"> </w:t>
      </w:r>
      <w:r w:rsidRPr="00CB66EB">
        <w:t>rady.</w:t>
      </w:r>
      <w:r>
        <w:t xml:space="preserve"> </w:t>
      </w:r>
      <w:r w:rsidRPr="00CB66EB">
        <w:t>Při</w:t>
      </w:r>
      <w:r>
        <w:t xml:space="preserve"> </w:t>
      </w:r>
      <w:r w:rsidRPr="00CB66EB">
        <w:t>rozhodování</w:t>
      </w:r>
      <w:r>
        <w:t xml:space="preserve"> </w:t>
      </w:r>
      <w:r w:rsidRPr="00CB66EB">
        <w:t>je</w:t>
      </w:r>
      <w:r>
        <w:t xml:space="preserve"> </w:t>
      </w:r>
      <w:r w:rsidRPr="00CB66EB">
        <w:t>hlasovací</w:t>
      </w:r>
      <w:r>
        <w:t xml:space="preserve"> </w:t>
      </w:r>
      <w:r w:rsidRPr="00CB66EB">
        <w:t>právo</w:t>
      </w:r>
      <w:r>
        <w:t xml:space="preserve"> </w:t>
      </w:r>
      <w:r w:rsidRPr="00CB66EB">
        <w:t>členů</w:t>
      </w:r>
      <w:r>
        <w:t xml:space="preserve"> </w:t>
      </w:r>
      <w:r w:rsidRPr="00CB66EB">
        <w:t>Dozorčí</w:t>
      </w:r>
      <w:r>
        <w:t xml:space="preserve"> </w:t>
      </w:r>
      <w:r w:rsidRPr="00CB66EB">
        <w:t>rady</w:t>
      </w:r>
      <w:r>
        <w:t xml:space="preserve"> </w:t>
      </w:r>
      <w:r w:rsidRPr="00CB66EB">
        <w:t>rovné.</w:t>
      </w:r>
      <w:r>
        <w:t xml:space="preserve"> </w:t>
      </w:r>
      <w:r w:rsidRPr="00CB66EB">
        <w:t>Při</w:t>
      </w:r>
      <w:r>
        <w:t xml:space="preserve"> </w:t>
      </w:r>
      <w:r w:rsidRPr="00CB66EB">
        <w:t>rovnosti</w:t>
      </w:r>
      <w:r>
        <w:t xml:space="preserve"> </w:t>
      </w:r>
      <w:r w:rsidRPr="00CB66EB">
        <w:t>hlasů</w:t>
      </w:r>
      <w:r>
        <w:t xml:space="preserve"> </w:t>
      </w:r>
      <w:r w:rsidRPr="00CB66EB">
        <w:t>rozhoduje</w:t>
      </w:r>
      <w:r>
        <w:t xml:space="preserve"> </w:t>
      </w:r>
      <w:r w:rsidRPr="00CB66EB">
        <w:t>hlas</w:t>
      </w:r>
      <w:r>
        <w:t xml:space="preserve"> </w:t>
      </w:r>
      <w:r w:rsidRPr="00CB66EB">
        <w:t>předsedajícího</w:t>
      </w:r>
      <w:r>
        <w:t xml:space="preserve"> </w:t>
      </w:r>
      <w:r w:rsidRPr="00CB66EB">
        <w:t>Dozorčí</w:t>
      </w:r>
      <w:r>
        <w:t xml:space="preserve"> </w:t>
      </w:r>
      <w:r w:rsidRPr="00CB66EB">
        <w:t>radě.</w:t>
      </w:r>
      <w:r>
        <w:t xml:space="preserve"> </w:t>
      </w:r>
      <w:r w:rsidRPr="00CB66EB">
        <w:t>Dozorčí</w:t>
      </w:r>
      <w:r>
        <w:t xml:space="preserve"> </w:t>
      </w:r>
      <w:r w:rsidRPr="00CB66EB">
        <w:t>rada</w:t>
      </w:r>
      <w:r>
        <w:t xml:space="preserve"> </w:t>
      </w:r>
      <w:r w:rsidRPr="00CB66EB">
        <w:t>je</w:t>
      </w:r>
      <w:r>
        <w:t xml:space="preserve"> </w:t>
      </w:r>
      <w:r w:rsidRPr="00CB66EB">
        <w:t>usnášeníschopná,</w:t>
      </w:r>
      <w:r>
        <w:t xml:space="preserve"> </w:t>
      </w:r>
      <w:r w:rsidRPr="00CB66EB">
        <w:t>je-li</w:t>
      </w:r>
      <w:r>
        <w:t xml:space="preserve"> </w:t>
      </w:r>
      <w:r w:rsidRPr="00CB66EB">
        <w:t>přítomna</w:t>
      </w:r>
      <w:r>
        <w:t xml:space="preserve"> </w:t>
      </w:r>
      <w:r w:rsidRPr="00CB66EB">
        <w:t>nadpoloviční</w:t>
      </w:r>
      <w:r>
        <w:t xml:space="preserve"> </w:t>
      </w:r>
      <w:r w:rsidRPr="00CB66EB">
        <w:t>většina</w:t>
      </w:r>
      <w:r>
        <w:t xml:space="preserve"> </w:t>
      </w:r>
      <w:r w:rsidRPr="00CB66EB">
        <w:t>jejich</w:t>
      </w:r>
      <w:r>
        <w:t xml:space="preserve"> </w:t>
      </w:r>
      <w:r w:rsidRPr="00CB66EB">
        <w:t>členů,</w:t>
      </w:r>
      <w:r>
        <w:t xml:space="preserve"> </w:t>
      </w:r>
      <w:r w:rsidRPr="00CB66EB">
        <w:t>a</w:t>
      </w:r>
      <w:r>
        <w:t xml:space="preserve"> </w:t>
      </w:r>
      <w:r w:rsidRPr="00CB66EB">
        <w:t>k</w:t>
      </w:r>
      <w:r>
        <w:t xml:space="preserve"> </w:t>
      </w:r>
      <w:r w:rsidRPr="00CB66EB">
        <w:t>rozhodnutí</w:t>
      </w:r>
      <w:r>
        <w:t xml:space="preserve"> </w:t>
      </w:r>
      <w:r w:rsidRPr="00CB66EB">
        <w:t>je</w:t>
      </w:r>
      <w:r>
        <w:t xml:space="preserve"> </w:t>
      </w:r>
      <w:r w:rsidRPr="00CB66EB">
        <w:t>třeba</w:t>
      </w:r>
      <w:r>
        <w:t xml:space="preserve"> </w:t>
      </w:r>
      <w:r w:rsidRPr="00CB66EB">
        <w:t>souhlasu</w:t>
      </w:r>
      <w:r>
        <w:t xml:space="preserve"> </w:t>
      </w:r>
      <w:r w:rsidRPr="00CB66EB">
        <w:t>nadpoloviční</w:t>
      </w:r>
      <w:r>
        <w:t xml:space="preserve"> </w:t>
      </w:r>
      <w:r w:rsidRPr="00CB66EB">
        <w:t>většiny</w:t>
      </w:r>
      <w:r>
        <w:t xml:space="preserve"> </w:t>
      </w:r>
      <w:r w:rsidRPr="00CB66EB">
        <w:t>přítomných</w:t>
      </w:r>
      <w:r>
        <w:t xml:space="preserve"> </w:t>
      </w:r>
      <w:r w:rsidRPr="00CB66EB">
        <w:t>členů</w:t>
      </w:r>
      <w:r>
        <w:t xml:space="preserve"> </w:t>
      </w:r>
      <w:r w:rsidRPr="00CB66EB">
        <w:t>Dozorčí</w:t>
      </w:r>
      <w:r>
        <w:t xml:space="preserve"> </w:t>
      </w:r>
      <w:r w:rsidRPr="00CB66EB">
        <w:t>rady.</w:t>
      </w:r>
    </w:p>
    <w:p w14:paraId="6366A88C" w14:textId="745CDEF2" w:rsidR="004648F8" w:rsidRDefault="004648F8" w:rsidP="004648F8">
      <w:pPr>
        <w:pStyle w:val="Textparagrafu"/>
        <w:tabs>
          <w:tab w:val="left" w:pos="392"/>
          <w:tab w:val="left" w:pos="840"/>
        </w:tabs>
        <w:spacing w:after="120"/>
      </w:pPr>
    </w:p>
    <w:p w14:paraId="56E3C92E" w14:textId="77777777" w:rsidR="004648F8" w:rsidRDefault="004648F8" w:rsidP="004648F8">
      <w:pPr>
        <w:pStyle w:val="Textparagrafu"/>
        <w:tabs>
          <w:tab w:val="left" w:pos="392"/>
          <w:tab w:val="left" w:pos="840"/>
        </w:tabs>
        <w:spacing w:after="120"/>
        <w:sectPr w:rsidR="004648F8" w:rsidSect="00554E2B">
          <w:footnotePr>
            <w:numStart w:val="3"/>
          </w:footnotePr>
          <w:endnotePr>
            <w:numFmt w:val="decimal"/>
          </w:endnotePr>
          <w:pgSz w:w="11906" w:h="16838"/>
          <w:pgMar w:top="1418" w:right="1418" w:bottom="1418" w:left="1418" w:header="709" w:footer="709" w:gutter="0"/>
          <w:cols w:space="708"/>
          <w:docGrid w:linePitch="360"/>
        </w:sectPr>
      </w:pPr>
    </w:p>
    <w:p w14:paraId="7AE78484" w14:textId="190B959A" w:rsidR="007303D7" w:rsidRPr="00C460C1" w:rsidRDefault="007303D7" w:rsidP="0006588E">
      <w:pPr>
        <w:tabs>
          <w:tab w:val="left" w:pos="851"/>
        </w:tabs>
        <w:spacing w:before="120" w:after="120"/>
        <w:ind w:firstLine="0"/>
        <w:jc w:val="center"/>
        <w:outlineLvl w:val="0"/>
        <w:rPr>
          <w:szCs w:val="24"/>
        </w:rPr>
      </w:pPr>
      <w:r w:rsidRPr="00C460C1">
        <w:rPr>
          <w:b/>
          <w:szCs w:val="24"/>
        </w:rPr>
        <w:lastRenderedPageBreak/>
        <w:t xml:space="preserve">K části sedmdesáté </w:t>
      </w:r>
      <w:r w:rsidR="000A18B9">
        <w:rPr>
          <w:b/>
          <w:szCs w:val="24"/>
        </w:rPr>
        <w:t>osmé</w:t>
      </w:r>
      <w:r w:rsidRPr="00C460C1">
        <w:rPr>
          <w:b/>
          <w:szCs w:val="24"/>
        </w:rPr>
        <w:t xml:space="preserve"> návrhu zákona – </w:t>
      </w:r>
      <w:r w:rsidRPr="00C460C1">
        <w:rPr>
          <w:szCs w:val="24"/>
        </w:rPr>
        <w:t>změna zákona</w:t>
      </w:r>
      <w:r w:rsidRPr="00C460C1">
        <w:t xml:space="preserve"> </w:t>
      </w:r>
      <w:r w:rsidRPr="00C460C1">
        <w:rPr>
          <w:szCs w:val="24"/>
        </w:rPr>
        <w:t>o evropském</w:t>
      </w:r>
      <w:r w:rsidR="0006588E">
        <w:rPr>
          <w:szCs w:val="24"/>
        </w:rPr>
        <w:t xml:space="preserve"> hospodářském zájmovém sdružení</w:t>
      </w:r>
    </w:p>
    <w:p w14:paraId="3D1C8E50" w14:textId="0C38EEF0" w:rsidR="007303D7" w:rsidRPr="00C460C1" w:rsidRDefault="007303D7" w:rsidP="007303D7">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C460C1">
        <w:rPr>
          <w:b/>
          <w:szCs w:val="24"/>
        </w:rPr>
        <w:t>Platné znění</w:t>
      </w:r>
      <w:r w:rsidRPr="00C460C1">
        <w:rPr>
          <w:szCs w:val="24"/>
        </w:rPr>
        <w:t xml:space="preserve"> zákona č.360/2004 Sb., o Evropském hospodářském zájmovém sdružení (EHZS) a o změně zákona č. 513/1991 Sb., obchodní zákoník, ve znění pozdějších předpisů, a zákona č. 586/1992 Sb., o daních z příjmů, ve znění pozdějších předpisů, (zákon o evropském hospodářském zájmovém sdružení)</w:t>
      </w:r>
    </w:p>
    <w:p w14:paraId="7F33169F" w14:textId="6C7705B7" w:rsidR="007303D7" w:rsidRPr="00C460C1" w:rsidRDefault="0006588E" w:rsidP="007303D7">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AE4818">
        <w:rPr>
          <w:b/>
          <w:szCs w:val="24"/>
          <w:lang w:eastAsia="en-US"/>
        </w:rPr>
        <w:t>s vyznačením navrhovaných změn a doplnění k 1. lednu 2025</w:t>
      </w:r>
    </w:p>
    <w:p w14:paraId="22BF682C" w14:textId="77777777" w:rsidR="007303D7" w:rsidRPr="00C460C1" w:rsidRDefault="007303D7" w:rsidP="007303D7">
      <w:pPr>
        <w:pStyle w:val="Textparagrafu"/>
        <w:numPr>
          <w:ilvl w:val="0"/>
          <w:numId w:val="27"/>
        </w:numPr>
        <w:tabs>
          <w:tab w:val="left" w:pos="392"/>
          <w:tab w:val="left" w:pos="840"/>
        </w:tabs>
        <w:spacing w:after="120"/>
        <w:jc w:val="center"/>
      </w:pPr>
      <w:r w:rsidRPr="00C460C1">
        <w:t>***</w:t>
      </w:r>
    </w:p>
    <w:p w14:paraId="7EFDA4FC" w14:textId="7CCCB7E2" w:rsidR="00C460C1" w:rsidRPr="00C659FD" w:rsidRDefault="007303D7" w:rsidP="00C460C1">
      <w:pPr>
        <w:pStyle w:val="Paragraf"/>
        <w:numPr>
          <w:ilvl w:val="0"/>
          <w:numId w:val="29"/>
        </w:numPr>
        <w:spacing w:after="120"/>
        <w:rPr>
          <w:strike/>
        </w:rPr>
      </w:pPr>
      <w:r w:rsidRPr="00CB66EB">
        <w:t>§</w:t>
      </w:r>
      <w:r>
        <w:t xml:space="preserve"> </w:t>
      </w:r>
      <w:r w:rsidR="00C460C1" w:rsidRPr="00C659FD">
        <w:rPr>
          <w:strike/>
        </w:rPr>
        <w:t>9</w:t>
      </w:r>
    </w:p>
    <w:p w14:paraId="63AF519A" w14:textId="77777777" w:rsidR="00C460C1" w:rsidRPr="00C659FD" w:rsidRDefault="00C460C1" w:rsidP="00992796">
      <w:pPr>
        <w:pStyle w:val="Nadpisparagrafu"/>
        <w:numPr>
          <w:ilvl w:val="0"/>
          <w:numId w:val="39"/>
        </w:numPr>
        <w:spacing w:after="120"/>
        <w:rPr>
          <w:strike/>
        </w:rPr>
      </w:pPr>
      <w:r w:rsidRPr="00C659FD">
        <w:rPr>
          <w:strike/>
        </w:rPr>
        <w:t>Účetnictví</w:t>
      </w:r>
    </w:p>
    <w:p w14:paraId="57DA7D1A" w14:textId="77777777" w:rsidR="00C460C1" w:rsidRPr="00611B67" w:rsidRDefault="00C460C1" w:rsidP="00C460C1">
      <w:pPr>
        <w:pStyle w:val="Textodstavce"/>
        <w:spacing w:before="240"/>
        <w:ind w:firstLine="426"/>
        <w:rPr>
          <w:strike/>
        </w:rPr>
      </w:pPr>
      <w:r w:rsidRPr="00611B67">
        <w:rPr>
          <w:strike/>
        </w:rPr>
        <w:t>Evropské sdružení je účetní jednotkou podle zvláštního právního předpisu.</w:t>
      </w:r>
      <w:r w:rsidRPr="00611B67">
        <w:rPr>
          <w:rStyle w:val="Znakapoznpodarou"/>
          <w:rFonts w:eastAsiaTheme="majorEastAsia"/>
          <w:strike/>
        </w:rPr>
        <w:footnoteReference w:customMarkFollows="1" w:id="460"/>
        <w:t>12)</w:t>
      </w:r>
      <w:r w:rsidRPr="00611B67">
        <w:rPr>
          <w:strike/>
        </w:rPr>
        <w:t xml:space="preserve"> Jednatelé evropského sdružení zabezpečují řádné vedení účetnictví</w:t>
      </w:r>
      <w:r w:rsidRPr="00611B67">
        <w:rPr>
          <w:b/>
          <w:strike/>
        </w:rPr>
        <w:t xml:space="preserve"> </w:t>
      </w:r>
      <w:r w:rsidRPr="00611B67">
        <w:rPr>
          <w:strike/>
        </w:rPr>
        <w:t>a předkládají členům evropského sdružení ke schválení účetní závěrku.</w:t>
      </w:r>
    </w:p>
    <w:p w14:paraId="73FE2775" w14:textId="77777777" w:rsidR="00C460C1" w:rsidRPr="00611B67" w:rsidRDefault="00C460C1" w:rsidP="00C460C1">
      <w:pPr>
        <w:pStyle w:val="Paragraf"/>
        <w:numPr>
          <w:ilvl w:val="0"/>
          <w:numId w:val="29"/>
        </w:numPr>
        <w:spacing w:after="120"/>
        <w:rPr>
          <w:b/>
          <w:bCs/>
        </w:rPr>
      </w:pPr>
      <w:r w:rsidRPr="00611B67">
        <w:rPr>
          <w:b/>
          <w:bCs/>
        </w:rPr>
        <w:t>§ 9</w:t>
      </w:r>
    </w:p>
    <w:p w14:paraId="783CAB9C" w14:textId="77777777" w:rsidR="00C460C1" w:rsidRPr="00611B67" w:rsidRDefault="00C460C1" w:rsidP="00992796">
      <w:pPr>
        <w:pStyle w:val="Nadpisparagrafu"/>
        <w:numPr>
          <w:ilvl w:val="0"/>
          <w:numId w:val="39"/>
        </w:numPr>
        <w:spacing w:after="120"/>
        <w:rPr>
          <w:bCs/>
        </w:rPr>
      </w:pPr>
      <w:r w:rsidRPr="00611B67">
        <w:rPr>
          <w:bCs/>
        </w:rPr>
        <w:t>Účetnictví</w:t>
      </w:r>
    </w:p>
    <w:p w14:paraId="240C2F69" w14:textId="7D94733D" w:rsidR="007303D7" w:rsidRPr="00C460C1" w:rsidRDefault="00C460C1" w:rsidP="00C460C1">
      <w:pPr>
        <w:pStyle w:val="Textodstavce"/>
        <w:spacing w:before="240"/>
        <w:ind w:firstLine="426"/>
        <w:rPr>
          <w:b/>
          <w:bCs/>
        </w:rPr>
      </w:pPr>
      <w:r w:rsidRPr="00611B67">
        <w:rPr>
          <w:b/>
          <w:bCs/>
        </w:rPr>
        <w:t>Jednatelé evropského sdružení zabezpečují řádné plnění povinností souvisejících s účetnictvím a předkládají členům evropského sdružení ke schválení účetní závěrku.</w:t>
      </w:r>
    </w:p>
    <w:p w14:paraId="29E1CCD2" w14:textId="567B6523" w:rsidR="004648F8" w:rsidRPr="00CB66EB" w:rsidRDefault="004648F8" w:rsidP="004648F8">
      <w:pPr>
        <w:pStyle w:val="Textparagrafu"/>
        <w:tabs>
          <w:tab w:val="left" w:pos="392"/>
          <w:tab w:val="left" w:pos="840"/>
        </w:tabs>
        <w:spacing w:after="120"/>
      </w:pPr>
    </w:p>
    <w:p w14:paraId="6B426CE8" w14:textId="77777777" w:rsidR="007303D7" w:rsidRDefault="007303D7" w:rsidP="004648F8">
      <w:pPr>
        <w:pStyle w:val="Textparagrafu"/>
        <w:tabs>
          <w:tab w:val="left" w:pos="406"/>
          <w:tab w:val="left" w:pos="840"/>
          <w:tab w:val="left" w:pos="868"/>
        </w:tabs>
        <w:spacing w:after="120"/>
        <w:ind w:firstLine="0"/>
        <w:sectPr w:rsidR="007303D7" w:rsidSect="00554E2B">
          <w:footnotePr>
            <w:numStart w:val="3"/>
          </w:footnotePr>
          <w:endnotePr>
            <w:numFmt w:val="decimal"/>
          </w:endnotePr>
          <w:pgSz w:w="11906" w:h="16838"/>
          <w:pgMar w:top="1418" w:right="1418" w:bottom="1418" w:left="1418" w:header="709" w:footer="709" w:gutter="0"/>
          <w:cols w:space="708"/>
          <w:docGrid w:linePitch="360"/>
        </w:sectPr>
      </w:pPr>
    </w:p>
    <w:p w14:paraId="591C4A79" w14:textId="0B9C7939" w:rsidR="007303D7" w:rsidRPr="00AD77CE" w:rsidRDefault="007303D7" w:rsidP="00A84DD3">
      <w:pPr>
        <w:tabs>
          <w:tab w:val="left" w:pos="851"/>
        </w:tabs>
        <w:spacing w:before="120" w:after="120"/>
        <w:ind w:firstLine="0"/>
        <w:jc w:val="center"/>
        <w:outlineLvl w:val="0"/>
        <w:rPr>
          <w:szCs w:val="24"/>
        </w:rPr>
      </w:pPr>
      <w:r w:rsidRPr="00AD77CE">
        <w:rPr>
          <w:b/>
          <w:szCs w:val="24"/>
        </w:rPr>
        <w:lastRenderedPageBreak/>
        <w:t xml:space="preserve">K části sedmdesáté </w:t>
      </w:r>
      <w:r w:rsidR="000A18B9">
        <w:rPr>
          <w:b/>
          <w:szCs w:val="24"/>
        </w:rPr>
        <w:t>deváté</w:t>
      </w:r>
      <w:r w:rsidRPr="00AD77CE">
        <w:rPr>
          <w:b/>
          <w:szCs w:val="24"/>
        </w:rPr>
        <w:t xml:space="preserve"> návrhu zákona – </w:t>
      </w:r>
      <w:r w:rsidRPr="00AD77CE">
        <w:rPr>
          <w:szCs w:val="24"/>
        </w:rPr>
        <w:t>změna zákona</w:t>
      </w:r>
      <w:r w:rsidRPr="00AD77CE">
        <w:t xml:space="preserve"> </w:t>
      </w:r>
      <w:r w:rsidRPr="007303D7">
        <w:rPr>
          <w:szCs w:val="24"/>
        </w:rPr>
        <w:t>o patentových zástupcích a o změně zákona o opatřeních na ochranu průmyslového vlastnictví</w:t>
      </w:r>
    </w:p>
    <w:p w14:paraId="2D61F9D2" w14:textId="3C17905B" w:rsidR="007303D7" w:rsidRDefault="007303D7" w:rsidP="007303D7">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7303D7">
        <w:rPr>
          <w:b/>
          <w:szCs w:val="24"/>
        </w:rPr>
        <w:t>Platné znění</w:t>
      </w:r>
      <w:r w:rsidRPr="007303D7">
        <w:rPr>
          <w:szCs w:val="24"/>
        </w:rPr>
        <w:t xml:space="preserve"> zákona č.</w:t>
      </w:r>
      <w:r>
        <w:rPr>
          <w:szCs w:val="24"/>
        </w:rPr>
        <w:t xml:space="preserve"> 417</w:t>
      </w:r>
      <w:r w:rsidRPr="007303D7">
        <w:rPr>
          <w:szCs w:val="24"/>
        </w:rPr>
        <w:t>/2004 Sb., o patentových zástupcích a o změně zákona o opatřeních na ochranu průmyslového vlastnictví</w:t>
      </w:r>
    </w:p>
    <w:p w14:paraId="22B9BC6A" w14:textId="65538475" w:rsidR="007303D7" w:rsidRPr="007303D7" w:rsidRDefault="00A84DD3" w:rsidP="007303D7">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AE4818">
        <w:rPr>
          <w:b/>
          <w:szCs w:val="24"/>
          <w:lang w:eastAsia="en-US"/>
        </w:rPr>
        <w:t>s vyznačením navrhovaných změn a doplnění k 1. lednu 2025</w:t>
      </w:r>
    </w:p>
    <w:p w14:paraId="5EFF1C6B" w14:textId="77777777" w:rsidR="007303D7" w:rsidRPr="00AD77CE" w:rsidRDefault="007303D7" w:rsidP="007303D7">
      <w:pPr>
        <w:pStyle w:val="Textparagrafu"/>
        <w:numPr>
          <w:ilvl w:val="0"/>
          <w:numId w:val="27"/>
        </w:numPr>
        <w:tabs>
          <w:tab w:val="left" w:pos="392"/>
          <w:tab w:val="left" w:pos="840"/>
        </w:tabs>
        <w:spacing w:after="120"/>
        <w:jc w:val="center"/>
      </w:pPr>
      <w:r w:rsidRPr="00AD77CE">
        <w:t>***</w:t>
      </w:r>
    </w:p>
    <w:p w14:paraId="536773E0" w14:textId="187FC5D0" w:rsidR="00082115" w:rsidRDefault="00082115" w:rsidP="00082115">
      <w:pPr>
        <w:pStyle w:val="Textparagrafu"/>
        <w:tabs>
          <w:tab w:val="left" w:pos="406"/>
          <w:tab w:val="left" w:pos="840"/>
          <w:tab w:val="left" w:pos="868"/>
        </w:tabs>
        <w:spacing w:after="120"/>
        <w:ind w:firstLine="0"/>
        <w:jc w:val="center"/>
      </w:pPr>
      <w:r>
        <w:t>§ 58</w:t>
      </w:r>
    </w:p>
    <w:p w14:paraId="0A303FEC" w14:textId="3FBD081F" w:rsidR="00082115" w:rsidRDefault="00082115" w:rsidP="00082115">
      <w:pPr>
        <w:pStyle w:val="Textparagrafu"/>
        <w:tabs>
          <w:tab w:val="left" w:pos="406"/>
          <w:tab w:val="left" w:pos="840"/>
          <w:tab w:val="left" w:pos="868"/>
        </w:tabs>
        <w:spacing w:after="120"/>
        <w:ind w:firstLine="284"/>
      </w:pPr>
      <w:r>
        <w:t>Sněm</w:t>
      </w:r>
    </w:p>
    <w:p w14:paraId="3B398707" w14:textId="1D8B7566" w:rsidR="00082115" w:rsidRDefault="00082115" w:rsidP="000A18B9">
      <w:pPr>
        <w:pStyle w:val="Textparagrafu"/>
        <w:tabs>
          <w:tab w:val="left" w:pos="406"/>
          <w:tab w:val="left" w:pos="840"/>
          <w:tab w:val="left" w:pos="868"/>
        </w:tabs>
        <w:spacing w:before="0"/>
        <w:ind w:left="426" w:hanging="426"/>
      </w:pPr>
      <w:r>
        <w:t>a)</w:t>
      </w:r>
      <w:r>
        <w:tab/>
        <w:t>volí přímou a tajnou volbou na dobu 3 let z patentových zástupců předsedu, místopředsedu, členy a náhradníky představenstva, dozorčí komise a disciplinární komise; členy těchto orgánů také tajnou volbou odvolává,</w:t>
      </w:r>
    </w:p>
    <w:p w14:paraId="2D7EB82D" w14:textId="10626743" w:rsidR="00082115" w:rsidRDefault="00082115" w:rsidP="000A18B9">
      <w:pPr>
        <w:pStyle w:val="Textparagrafu"/>
        <w:tabs>
          <w:tab w:val="left" w:pos="406"/>
          <w:tab w:val="left" w:pos="840"/>
          <w:tab w:val="left" w:pos="868"/>
        </w:tabs>
        <w:spacing w:before="0"/>
        <w:ind w:left="426" w:hanging="426"/>
      </w:pPr>
      <w:r>
        <w:t>b)</w:t>
      </w:r>
      <w:r>
        <w:tab/>
        <w:t>přijímá a mění profesní předpisy, zejména organizační řád, disciplinární řád, volební řád, jednací řády představenstva a komisí, pravidla profesní etiky,</w:t>
      </w:r>
    </w:p>
    <w:p w14:paraId="66E800D1" w14:textId="2D075FE7" w:rsidR="00082115" w:rsidRDefault="00082115" w:rsidP="000A18B9">
      <w:pPr>
        <w:pStyle w:val="Textparagrafu"/>
        <w:tabs>
          <w:tab w:val="left" w:pos="406"/>
          <w:tab w:val="left" w:pos="840"/>
          <w:tab w:val="left" w:pos="868"/>
        </w:tabs>
        <w:spacing w:before="0"/>
        <w:ind w:left="426" w:hanging="426"/>
      </w:pPr>
      <w:r>
        <w:t>c)</w:t>
      </w:r>
      <w:r>
        <w:tab/>
        <w:t>stanoví výši příspěvku patentových zástupců na činnost Komory, jakož i výši poplatku za zápis do seznamu, popřípadě přijímá zásady pro určení jejich výše představenstvem,</w:t>
      </w:r>
    </w:p>
    <w:p w14:paraId="1EE7B70C" w14:textId="33271FD9" w:rsidR="00082115" w:rsidRDefault="00082115" w:rsidP="000A18B9">
      <w:pPr>
        <w:pStyle w:val="Textparagrafu"/>
        <w:tabs>
          <w:tab w:val="left" w:pos="406"/>
          <w:tab w:val="left" w:pos="840"/>
          <w:tab w:val="left" w:pos="868"/>
        </w:tabs>
        <w:spacing w:before="0"/>
        <w:ind w:left="426" w:hanging="426"/>
      </w:pPr>
      <w:r>
        <w:t>d)</w:t>
      </w:r>
      <w:r>
        <w:tab/>
        <w:t>projednává a schvaluje zprávu o činnosti ostatních orgánů Komory,</w:t>
      </w:r>
    </w:p>
    <w:p w14:paraId="77711D19" w14:textId="6372322E" w:rsidR="00082115" w:rsidRDefault="00082115" w:rsidP="000A18B9">
      <w:pPr>
        <w:pStyle w:val="Textparagrafu"/>
        <w:tabs>
          <w:tab w:val="left" w:pos="406"/>
          <w:tab w:val="left" w:pos="840"/>
          <w:tab w:val="left" w:pos="868"/>
        </w:tabs>
        <w:spacing w:before="0"/>
        <w:ind w:left="426" w:hanging="426"/>
      </w:pPr>
      <w:r>
        <w:t>e)</w:t>
      </w:r>
      <w:r>
        <w:tab/>
        <w:t>může zrušit nebo změnit rozhodnutí představenstva, vyjma rozhodnutí podle § 59 odst. 3; práva, která ze zrušeného rozhodnutí představenstva vznikla patentovým zástupcům nebo jiným osobám, však nemohou být dotčena,</w:t>
      </w:r>
    </w:p>
    <w:p w14:paraId="588F37F9" w14:textId="1411D87F" w:rsidR="00082115" w:rsidRDefault="00082115" w:rsidP="000A18B9">
      <w:pPr>
        <w:pStyle w:val="Textparagrafu"/>
        <w:tabs>
          <w:tab w:val="left" w:pos="406"/>
          <w:tab w:val="left" w:pos="840"/>
          <w:tab w:val="left" w:pos="868"/>
        </w:tabs>
        <w:spacing w:before="0"/>
        <w:ind w:left="426" w:hanging="426"/>
      </w:pPr>
      <w:r>
        <w:t>f)</w:t>
      </w:r>
      <w:r>
        <w:tab/>
        <w:t>usnáší se ve všech dalších věcech, které si vyhradí, s výjimkou rozhodování v disciplinárním řízení,</w:t>
      </w:r>
    </w:p>
    <w:p w14:paraId="471F3580" w14:textId="59538906" w:rsidR="004648F8" w:rsidRDefault="00082115" w:rsidP="000A18B9">
      <w:pPr>
        <w:pStyle w:val="Textparagrafu"/>
        <w:tabs>
          <w:tab w:val="left" w:pos="406"/>
          <w:tab w:val="left" w:pos="840"/>
          <w:tab w:val="left" w:pos="868"/>
        </w:tabs>
        <w:spacing w:before="0"/>
        <w:ind w:left="426" w:hanging="426"/>
      </w:pPr>
      <w:r>
        <w:t>g)</w:t>
      </w:r>
      <w:r>
        <w:tab/>
        <w:t xml:space="preserve">schvaluje rozpočet a </w:t>
      </w:r>
      <w:r w:rsidRPr="00082115">
        <w:rPr>
          <w:strike/>
        </w:rPr>
        <w:t>roční</w:t>
      </w:r>
      <w:r>
        <w:t xml:space="preserve"> </w:t>
      </w:r>
      <w:r>
        <w:rPr>
          <w:b/>
        </w:rPr>
        <w:t xml:space="preserve">řádné individuální </w:t>
      </w:r>
      <w:r>
        <w:t>účetní závěrky.</w:t>
      </w:r>
    </w:p>
    <w:p w14:paraId="3A41A585" w14:textId="03779F9C" w:rsidR="00082115" w:rsidRDefault="00082115" w:rsidP="00082115">
      <w:pPr>
        <w:pStyle w:val="Textparagrafu"/>
        <w:tabs>
          <w:tab w:val="left" w:pos="406"/>
          <w:tab w:val="left" w:pos="840"/>
          <w:tab w:val="left" w:pos="868"/>
        </w:tabs>
        <w:spacing w:after="120"/>
        <w:ind w:firstLine="284"/>
      </w:pPr>
    </w:p>
    <w:p w14:paraId="6F918D82" w14:textId="77777777" w:rsidR="00082115" w:rsidRDefault="00082115" w:rsidP="00082115">
      <w:pPr>
        <w:pStyle w:val="Textparagrafu"/>
        <w:tabs>
          <w:tab w:val="left" w:pos="406"/>
          <w:tab w:val="left" w:pos="840"/>
          <w:tab w:val="left" w:pos="868"/>
        </w:tabs>
        <w:spacing w:after="120"/>
        <w:ind w:firstLine="284"/>
        <w:sectPr w:rsidR="00082115" w:rsidSect="00554E2B">
          <w:footnotePr>
            <w:numStart w:val="3"/>
          </w:footnotePr>
          <w:endnotePr>
            <w:numFmt w:val="decimal"/>
          </w:endnotePr>
          <w:pgSz w:w="11906" w:h="16838"/>
          <w:pgMar w:top="1418" w:right="1418" w:bottom="1418" w:left="1418" w:header="709" w:footer="709" w:gutter="0"/>
          <w:cols w:space="708"/>
          <w:docGrid w:linePitch="360"/>
        </w:sectPr>
      </w:pPr>
    </w:p>
    <w:p w14:paraId="1B1C9514" w14:textId="3254FDF9" w:rsidR="00195CF6" w:rsidRPr="000A18B9" w:rsidRDefault="00195CF6" w:rsidP="00A84DD3">
      <w:pPr>
        <w:tabs>
          <w:tab w:val="left" w:pos="851"/>
        </w:tabs>
        <w:spacing w:before="120" w:after="120"/>
        <w:ind w:firstLine="0"/>
        <w:jc w:val="center"/>
        <w:outlineLvl w:val="0"/>
        <w:rPr>
          <w:szCs w:val="24"/>
        </w:rPr>
      </w:pPr>
      <w:r w:rsidRPr="000A18B9">
        <w:rPr>
          <w:b/>
          <w:szCs w:val="24"/>
        </w:rPr>
        <w:lastRenderedPageBreak/>
        <w:t xml:space="preserve">K části </w:t>
      </w:r>
      <w:r w:rsidR="000A18B9" w:rsidRPr="000A18B9">
        <w:rPr>
          <w:b/>
          <w:szCs w:val="24"/>
        </w:rPr>
        <w:t>osmdesáté</w:t>
      </w:r>
      <w:r w:rsidRPr="000A18B9">
        <w:rPr>
          <w:b/>
          <w:szCs w:val="24"/>
        </w:rPr>
        <w:t xml:space="preserve"> návrhu zákona – </w:t>
      </w:r>
      <w:r w:rsidRPr="000A18B9">
        <w:rPr>
          <w:szCs w:val="24"/>
        </w:rPr>
        <w:t>změna zákona</w:t>
      </w:r>
      <w:r w:rsidRPr="000A18B9">
        <w:t xml:space="preserve"> </w:t>
      </w:r>
      <w:r w:rsidRPr="000A18B9">
        <w:rPr>
          <w:szCs w:val="24"/>
        </w:rPr>
        <w:t>o přezkoumávání hospodaření územních samosprávných celků a dobrovolných svazků obcí</w:t>
      </w:r>
    </w:p>
    <w:p w14:paraId="328FF35D" w14:textId="224307AD" w:rsidR="00195CF6" w:rsidRPr="000A18B9" w:rsidRDefault="00195CF6" w:rsidP="00195CF6">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0A18B9">
        <w:rPr>
          <w:b/>
          <w:szCs w:val="24"/>
        </w:rPr>
        <w:t>Platné znění</w:t>
      </w:r>
      <w:r w:rsidRPr="000A18B9">
        <w:rPr>
          <w:szCs w:val="24"/>
        </w:rPr>
        <w:t xml:space="preserve"> zákona č. 420/2004 Sb., o přezkoumávání hospodaření územních samosprávných celků a dobrovolných svazků obcí</w:t>
      </w:r>
    </w:p>
    <w:p w14:paraId="5777FB1E" w14:textId="500D6BEC" w:rsidR="00195CF6" w:rsidRPr="000A18B9" w:rsidRDefault="00A84DD3" w:rsidP="00195CF6">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AE4818">
        <w:rPr>
          <w:b/>
          <w:szCs w:val="24"/>
          <w:lang w:eastAsia="en-US"/>
        </w:rPr>
        <w:t>s vyznačením navrhovaných změn a doplnění k 1. lednu 2025</w:t>
      </w:r>
    </w:p>
    <w:p w14:paraId="0DCF03E2" w14:textId="77777777" w:rsidR="00195CF6" w:rsidRPr="000A18B9" w:rsidRDefault="00195CF6" w:rsidP="00195CF6">
      <w:pPr>
        <w:pStyle w:val="Textparagrafu"/>
        <w:numPr>
          <w:ilvl w:val="0"/>
          <w:numId w:val="27"/>
        </w:numPr>
        <w:tabs>
          <w:tab w:val="left" w:pos="392"/>
          <w:tab w:val="left" w:pos="840"/>
        </w:tabs>
        <w:spacing w:after="120"/>
        <w:jc w:val="center"/>
      </w:pPr>
      <w:r w:rsidRPr="000A18B9">
        <w:t>***</w:t>
      </w:r>
    </w:p>
    <w:p w14:paraId="28C86751" w14:textId="77777777" w:rsidR="000A18B9" w:rsidRDefault="000A18B9" w:rsidP="000A18B9">
      <w:pPr>
        <w:pStyle w:val="Paragraf"/>
        <w:numPr>
          <w:ilvl w:val="0"/>
          <w:numId w:val="27"/>
        </w:numPr>
        <w:spacing w:after="120"/>
      </w:pPr>
      <w:r>
        <w:t>§ 12</w:t>
      </w:r>
    </w:p>
    <w:p w14:paraId="2B305708" w14:textId="77777777" w:rsidR="000A18B9" w:rsidRPr="00D86175" w:rsidRDefault="000A18B9" w:rsidP="000A18B9">
      <w:pPr>
        <w:pStyle w:val="Nadpisparagrafu"/>
        <w:spacing w:after="120"/>
      </w:pPr>
      <w:r>
        <w:t>Přezkoumání auditorem</w:t>
      </w:r>
    </w:p>
    <w:p w14:paraId="7887A81E" w14:textId="77777777" w:rsidR="000A18B9" w:rsidRDefault="000A18B9" w:rsidP="00A84DD3">
      <w:pPr>
        <w:pStyle w:val="Textodstavce"/>
        <w:ind w:firstLine="425"/>
      </w:pPr>
      <w:r>
        <w:t>(1) A</w:t>
      </w:r>
      <w:r w:rsidRPr="00D86175">
        <w:t>uditor se při přezkoumání řídí ustanoveními § 2, 3 a 10 a § 17 odst. 2.</w:t>
      </w:r>
    </w:p>
    <w:p w14:paraId="07497B6A" w14:textId="77777777" w:rsidR="000A18B9" w:rsidRDefault="000A18B9" w:rsidP="00A84DD3">
      <w:pPr>
        <w:pStyle w:val="Textodstavce"/>
        <w:ind w:firstLine="425"/>
      </w:pPr>
      <w:r>
        <w:t xml:space="preserve">(2) </w:t>
      </w:r>
      <w:r w:rsidRPr="00D86175">
        <w:t xml:space="preserve">Projednání zprávy o výsledku přezkoumání hospodaření auditorem se řídí ustanovením o projednání zprávy o </w:t>
      </w:r>
      <w:r w:rsidRPr="00B93461">
        <w:rPr>
          <w:strike/>
        </w:rPr>
        <w:t>ověření účetní závěrky</w:t>
      </w:r>
      <w:r w:rsidRPr="00B93461">
        <w:t xml:space="preserve"> </w:t>
      </w:r>
      <w:r w:rsidRPr="00B93461">
        <w:rPr>
          <w:b/>
        </w:rPr>
        <w:t>povinném auditu</w:t>
      </w:r>
      <w:r w:rsidRPr="00B93461">
        <w:t xml:space="preserve"> </w:t>
      </w:r>
      <w:r w:rsidRPr="00D86175">
        <w:t>podle zákona upravujícího auditorskou činnost obdobně. Stejnopis zprávy o výsledku přezkoumání hospodaření auditorem předá územní celek přezkoumávajícímu orgánu do 15 dnů po jejím projednání v orgánech územního celku.</w:t>
      </w:r>
      <w:r>
        <w:rPr>
          <w:rStyle w:val="Znakapoznpodarou"/>
        </w:rPr>
        <w:footnoteReference w:customMarkFollows="1" w:id="461"/>
        <w:t>23)</w:t>
      </w:r>
    </w:p>
    <w:p w14:paraId="2910565E" w14:textId="77777777" w:rsidR="000A18B9" w:rsidRDefault="000A18B9" w:rsidP="00A84DD3">
      <w:pPr>
        <w:pStyle w:val="Textodstavce"/>
        <w:ind w:firstLine="425"/>
      </w:pPr>
      <w:r>
        <w:t xml:space="preserve">(3) </w:t>
      </w:r>
      <w:r w:rsidRPr="00D43A90">
        <w:t>Při přezkoumání vykonávaném na základě smlouvy podle § 4 odst. 7 postupuje auditor podle zákona upravujícího auditorskou činnost.</w:t>
      </w:r>
    </w:p>
    <w:p w14:paraId="522B4E45" w14:textId="77777777" w:rsidR="00195CF6" w:rsidRDefault="00195CF6" w:rsidP="00082115">
      <w:pPr>
        <w:pStyle w:val="Textparagrafu"/>
        <w:tabs>
          <w:tab w:val="left" w:pos="406"/>
          <w:tab w:val="left" w:pos="840"/>
          <w:tab w:val="left" w:pos="868"/>
        </w:tabs>
        <w:spacing w:after="120"/>
        <w:ind w:firstLine="284"/>
        <w:sectPr w:rsidR="00195CF6" w:rsidSect="00554E2B">
          <w:footnotePr>
            <w:numStart w:val="3"/>
          </w:footnotePr>
          <w:endnotePr>
            <w:numFmt w:val="decimal"/>
          </w:endnotePr>
          <w:pgSz w:w="11906" w:h="16838"/>
          <w:pgMar w:top="1418" w:right="1418" w:bottom="1418" w:left="1418" w:header="709" w:footer="709" w:gutter="0"/>
          <w:cols w:space="708"/>
          <w:docGrid w:linePitch="360"/>
        </w:sectPr>
      </w:pPr>
    </w:p>
    <w:p w14:paraId="35818046" w14:textId="1E6E2271" w:rsidR="00195CF6" w:rsidRPr="00AD77CE" w:rsidRDefault="00195CF6" w:rsidP="00A84DD3">
      <w:pPr>
        <w:tabs>
          <w:tab w:val="left" w:pos="851"/>
        </w:tabs>
        <w:spacing w:before="120" w:after="120"/>
        <w:ind w:firstLine="0"/>
        <w:jc w:val="center"/>
        <w:outlineLvl w:val="0"/>
        <w:rPr>
          <w:szCs w:val="24"/>
        </w:rPr>
      </w:pPr>
      <w:r w:rsidRPr="00AD77CE">
        <w:rPr>
          <w:b/>
          <w:szCs w:val="24"/>
        </w:rPr>
        <w:lastRenderedPageBreak/>
        <w:t xml:space="preserve">K části </w:t>
      </w:r>
      <w:r>
        <w:rPr>
          <w:b/>
          <w:szCs w:val="24"/>
        </w:rPr>
        <w:t>osmdesáté</w:t>
      </w:r>
      <w:r w:rsidRPr="00AD77CE">
        <w:rPr>
          <w:b/>
          <w:szCs w:val="24"/>
        </w:rPr>
        <w:t xml:space="preserve"> </w:t>
      </w:r>
      <w:r w:rsidR="000A18B9">
        <w:rPr>
          <w:b/>
          <w:szCs w:val="24"/>
        </w:rPr>
        <w:t xml:space="preserve">první </w:t>
      </w:r>
      <w:r w:rsidRPr="00AD77CE">
        <w:rPr>
          <w:b/>
          <w:szCs w:val="24"/>
        </w:rPr>
        <w:t xml:space="preserve">návrhu zákona – </w:t>
      </w:r>
      <w:r w:rsidR="00A84DD3">
        <w:rPr>
          <w:szCs w:val="24"/>
        </w:rPr>
        <w:t>změna školského zákona</w:t>
      </w:r>
    </w:p>
    <w:p w14:paraId="4422C536" w14:textId="1998D837" w:rsidR="00195CF6" w:rsidRPr="00195CF6" w:rsidRDefault="00195CF6" w:rsidP="00195CF6">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7303D7">
        <w:rPr>
          <w:b/>
          <w:szCs w:val="24"/>
        </w:rPr>
        <w:t>Platné znění</w:t>
      </w:r>
      <w:r w:rsidRPr="007303D7">
        <w:rPr>
          <w:szCs w:val="24"/>
        </w:rPr>
        <w:t xml:space="preserve"> zákona č.</w:t>
      </w:r>
      <w:r>
        <w:rPr>
          <w:szCs w:val="24"/>
        </w:rPr>
        <w:t xml:space="preserve"> 561</w:t>
      </w:r>
      <w:r w:rsidRPr="007303D7">
        <w:rPr>
          <w:szCs w:val="24"/>
        </w:rPr>
        <w:t xml:space="preserve">/2004 Sb., </w:t>
      </w:r>
      <w:r w:rsidRPr="00195CF6">
        <w:rPr>
          <w:szCs w:val="24"/>
        </w:rPr>
        <w:t>o předškolním, základním, středním, vyšším odborném a jiném vzdělávání</w:t>
      </w:r>
      <w:r>
        <w:rPr>
          <w:szCs w:val="24"/>
        </w:rPr>
        <w:t xml:space="preserve"> </w:t>
      </w:r>
      <w:r w:rsidRPr="00195CF6">
        <w:rPr>
          <w:szCs w:val="24"/>
        </w:rPr>
        <w:t>(školský zákon)</w:t>
      </w:r>
    </w:p>
    <w:p w14:paraId="04F482E9" w14:textId="022C163B" w:rsidR="00195CF6" w:rsidRPr="007303D7" w:rsidRDefault="00A84DD3" w:rsidP="00195CF6">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AE4818">
        <w:rPr>
          <w:b/>
          <w:szCs w:val="24"/>
          <w:lang w:eastAsia="en-US"/>
        </w:rPr>
        <w:t>s vyznačením navrhovaných změn a doplnění k 1. lednu 2025</w:t>
      </w:r>
    </w:p>
    <w:p w14:paraId="7210D714" w14:textId="77777777" w:rsidR="00195CF6" w:rsidRPr="00AD77CE" w:rsidRDefault="00195CF6" w:rsidP="00195CF6">
      <w:pPr>
        <w:pStyle w:val="Textparagrafu"/>
        <w:numPr>
          <w:ilvl w:val="0"/>
          <w:numId w:val="27"/>
        </w:numPr>
        <w:tabs>
          <w:tab w:val="left" w:pos="392"/>
          <w:tab w:val="left" w:pos="840"/>
        </w:tabs>
        <w:spacing w:after="120"/>
        <w:jc w:val="center"/>
      </w:pPr>
      <w:r w:rsidRPr="00AD77CE">
        <w:t>***</w:t>
      </w:r>
    </w:p>
    <w:p w14:paraId="46BC6973" w14:textId="42470494" w:rsidR="000F0085" w:rsidRDefault="000F0085" w:rsidP="00F81AA2">
      <w:pPr>
        <w:pStyle w:val="Textparagrafu"/>
        <w:numPr>
          <w:ilvl w:val="0"/>
          <w:numId w:val="27"/>
        </w:numPr>
        <w:tabs>
          <w:tab w:val="left" w:pos="392"/>
          <w:tab w:val="left" w:pos="840"/>
        </w:tabs>
        <w:spacing w:after="120"/>
        <w:jc w:val="center"/>
      </w:pPr>
      <w:r w:rsidRPr="00550962">
        <w:t>§</w:t>
      </w:r>
      <w:r>
        <w:t xml:space="preserve"> </w:t>
      </w:r>
      <w:r w:rsidRPr="00550962">
        <w:t>3</w:t>
      </w:r>
    </w:p>
    <w:p w14:paraId="45264422" w14:textId="77777777" w:rsidR="000F0085" w:rsidRPr="00AD050F" w:rsidRDefault="000F0085" w:rsidP="00F81AA2">
      <w:pPr>
        <w:pStyle w:val="Textparagrafu"/>
        <w:numPr>
          <w:ilvl w:val="0"/>
          <w:numId w:val="27"/>
        </w:numPr>
        <w:tabs>
          <w:tab w:val="left" w:pos="392"/>
          <w:tab w:val="left" w:pos="840"/>
        </w:tabs>
        <w:spacing w:after="120"/>
        <w:jc w:val="center"/>
        <w:rPr>
          <w:b/>
        </w:rPr>
      </w:pPr>
      <w:r w:rsidRPr="00AD050F">
        <w:rPr>
          <w:b/>
        </w:rPr>
        <w:t>Systém vzdělávacích programů</w:t>
      </w:r>
    </w:p>
    <w:p w14:paraId="6810A0A5" w14:textId="46C0EC05" w:rsidR="000F0085" w:rsidRDefault="000F0085" w:rsidP="00A84DD3">
      <w:pPr>
        <w:pStyle w:val="Textparagrafu"/>
        <w:numPr>
          <w:ilvl w:val="0"/>
          <w:numId w:val="27"/>
        </w:numPr>
        <w:tabs>
          <w:tab w:val="left" w:pos="392"/>
          <w:tab w:val="left" w:pos="840"/>
        </w:tabs>
        <w:spacing w:before="120" w:after="120"/>
        <w:ind w:firstLine="425"/>
      </w:pPr>
      <w:r w:rsidRPr="00550962">
        <w:t>(1)</w:t>
      </w:r>
      <w:r>
        <w:t xml:space="preserve"> </w:t>
      </w:r>
      <w:r w:rsidRPr="00550962">
        <w:t>Pro</w:t>
      </w:r>
      <w:r>
        <w:t xml:space="preserve"> </w:t>
      </w:r>
      <w:r w:rsidRPr="00550962">
        <w:t>každý</w:t>
      </w:r>
      <w:r>
        <w:t xml:space="preserve"> </w:t>
      </w:r>
      <w:r w:rsidRPr="00550962">
        <w:t>obor</w:t>
      </w:r>
      <w:r>
        <w:t xml:space="preserve"> </w:t>
      </w:r>
      <w:r w:rsidRPr="00550962">
        <w:t>vzdělání</w:t>
      </w:r>
      <w:r>
        <w:t xml:space="preserve"> </w:t>
      </w:r>
      <w:r w:rsidRPr="00550962">
        <w:t>v</w:t>
      </w:r>
      <w:r>
        <w:t xml:space="preserve"> </w:t>
      </w:r>
      <w:r w:rsidRPr="00550962">
        <w:t>základním</w:t>
      </w:r>
      <w:r>
        <w:t xml:space="preserve"> </w:t>
      </w:r>
      <w:r w:rsidRPr="00550962">
        <w:t>a</w:t>
      </w:r>
      <w:r>
        <w:t xml:space="preserve"> </w:t>
      </w:r>
      <w:r w:rsidRPr="00550962">
        <w:t>středním</w:t>
      </w:r>
      <w:r>
        <w:t xml:space="preserve"> </w:t>
      </w:r>
      <w:r w:rsidRPr="00550962">
        <w:t>vzdělávání</w:t>
      </w:r>
      <w:r>
        <w:t xml:space="preserve"> </w:t>
      </w:r>
      <w:r w:rsidRPr="00550962">
        <w:t>a</w:t>
      </w:r>
      <w:r>
        <w:t xml:space="preserve"> </w:t>
      </w:r>
      <w:r w:rsidRPr="00550962">
        <w:t>pro</w:t>
      </w:r>
      <w:r>
        <w:t xml:space="preserve"> </w:t>
      </w:r>
      <w:r w:rsidRPr="00550962">
        <w:t>předškolní,</w:t>
      </w:r>
      <w:r>
        <w:t xml:space="preserve"> </w:t>
      </w:r>
      <w:r w:rsidRPr="00550962">
        <w:t>základní</w:t>
      </w:r>
      <w:r>
        <w:t xml:space="preserve"> </w:t>
      </w:r>
      <w:r w:rsidRPr="00550962">
        <w:t>umělecké</w:t>
      </w:r>
      <w:r>
        <w:t xml:space="preserve"> </w:t>
      </w:r>
      <w:r w:rsidRPr="00550962">
        <w:t>a</w:t>
      </w:r>
      <w:r>
        <w:t xml:space="preserve"> </w:t>
      </w:r>
      <w:r w:rsidRPr="00550962">
        <w:t>jazykové</w:t>
      </w:r>
      <w:r>
        <w:t xml:space="preserve"> </w:t>
      </w:r>
      <w:r w:rsidRPr="00550962">
        <w:t>vzdělávání</w:t>
      </w:r>
      <w:r>
        <w:t xml:space="preserve"> </w:t>
      </w:r>
      <w:r w:rsidRPr="00550962">
        <w:t>se</w:t>
      </w:r>
      <w:r>
        <w:t xml:space="preserve"> </w:t>
      </w:r>
      <w:r w:rsidRPr="00550962">
        <w:t>vydávají</w:t>
      </w:r>
      <w:r>
        <w:t xml:space="preserve"> </w:t>
      </w:r>
      <w:r w:rsidRPr="00550962">
        <w:t>rámcové</w:t>
      </w:r>
      <w:r>
        <w:t xml:space="preserve"> </w:t>
      </w:r>
      <w:r w:rsidRPr="00550962">
        <w:t>vzdělávací</w:t>
      </w:r>
      <w:r>
        <w:t xml:space="preserve"> </w:t>
      </w:r>
      <w:r w:rsidRPr="00550962">
        <w:t>programy.</w:t>
      </w:r>
      <w:r>
        <w:t xml:space="preserve"> </w:t>
      </w:r>
      <w:r w:rsidRPr="00550962">
        <w:t>Rámcové</w:t>
      </w:r>
      <w:r>
        <w:t xml:space="preserve"> </w:t>
      </w:r>
      <w:r w:rsidRPr="00550962">
        <w:t>vzdělávací</w:t>
      </w:r>
      <w:r>
        <w:t xml:space="preserve"> </w:t>
      </w:r>
      <w:r w:rsidRPr="00550962">
        <w:t>programy</w:t>
      </w:r>
      <w:r>
        <w:t xml:space="preserve"> </w:t>
      </w:r>
      <w:r w:rsidRPr="00550962">
        <w:t>vymezují</w:t>
      </w:r>
      <w:r>
        <w:t xml:space="preserve"> </w:t>
      </w:r>
      <w:r w:rsidRPr="00550962">
        <w:t>povinný</w:t>
      </w:r>
      <w:r>
        <w:t xml:space="preserve"> </w:t>
      </w:r>
      <w:r w:rsidRPr="00550962">
        <w:t>obsah,</w:t>
      </w:r>
      <w:r>
        <w:t xml:space="preserve"> </w:t>
      </w:r>
      <w:r w:rsidRPr="00550962">
        <w:t>rozsah</w:t>
      </w:r>
      <w:r>
        <w:t xml:space="preserve"> </w:t>
      </w:r>
      <w:r w:rsidRPr="00550962">
        <w:t>a</w:t>
      </w:r>
      <w:r>
        <w:t xml:space="preserve"> </w:t>
      </w:r>
      <w:r w:rsidRPr="00550962">
        <w:t>podmínky</w:t>
      </w:r>
      <w:r>
        <w:t xml:space="preserve"> </w:t>
      </w:r>
      <w:r w:rsidRPr="00550962">
        <w:t>vzdělávání;</w:t>
      </w:r>
      <w:r>
        <w:t xml:space="preserve"> </w:t>
      </w:r>
      <w:r w:rsidRPr="00550962">
        <w:t>jsou</w:t>
      </w:r>
      <w:r>
        <w:t xml:space="preserve"> </w:t>
      </w:r>
      <w:r w:rsidRPr="00550962">
        <w:t>závazné</w:t>
      </w:r>
      <w:r>
        <w:t xml:space="preserve"> </w:t>
      </w:r>
      <w:r w:rsidRPr="00550962">
        <w:t>pro</w:t>
      </w:r>
      <w:r>
        <w:t xml:space="preserve"> </w:t>
      </w:r>
      <w:r w:rsidRPr="00550962">
        <w:t>tvorbu</w:t>
      </w:r>
      <w:r>
        <w:t xml:space="preserve"> </w:t>
      </w:r>
      <w:r w:rsidRPr="00550962">
        <w:t>školních</w:t>
      </w:r>
      <w:r>
        <w:t xml:space="preserve"> </w:t>
      </w:r>
      <w:r w:rsidRPr="00550962">
        <w:t>vzdělávacích</w:t>
      </w:r>
      <w:r>
        <w:t xml:space="preserve"> </w:t>
      </w:r>
      <w:r w:rsidRPr="00550962">
        <w:t>programů,</w:t>
      </w:r>
      <w:r>
        <w:t xml:space="preserve"> </w:t>
      </w:r>
      <w:r w:rsidRPr="00550962">
        <w:t>hodnocení</w:t>
      </w:r>
      <w:r>
        <w:t xml:space="preserve"> </w:t>
      </w:r>
      <w:r w:rsidRPr="00550962">
        <w:t>výsledků</w:t>
      </w:r>
      <w:r>
        <w:t xml:space="preserve"> </w:t>
      </w:r>
      <w:r w:rsidRPr="00550962">
        <w:t>vzdělávání</w:t>
      </w:r>
      <w:r>
        <w:t xml:space="preserve"> </w:t>
      </w:r>
      <w:r w:rsidRPr="00550962">
        <w:t>dětí</w:t>
      </w:r>
      <w:r>
        <w:t xml:space="preserve"> </w:t>
      </w:r>
      <w:r w:rsidRPr="00550962">
        <w:t>a</w:t>
      </w:r>
      <w:r>
        <w:t xml:space="preserve"> </w:t>
      </w:r>
      <w:r w:rsidRPr="00550962">
        <w:t>žáků,</w:t>
      </w:r>
      <w:r>
        <w:t xml:space="preserve"> </w:t>
      </w:r>
      <w:r w:rsidRPr="00550962">
        <w:t>tvorbu</w:t>
      </w:r>
      <w:r>
        <w:t xml:space="preserve"> </w:t>
      </w:r>
      <w:r w:rsidRPr="00550962">
        <w:t>a</w:t>
      </w:r>
      <w:r>
        <w:t xml:space="preserve"> </w:t>
      </w:r>
      <w:r w:rsidRPr="00550962">
        <w:t>posuzování</w:t>
      </w:r>
      <w:r>
        <w:t xml:space="preserve"> </w:t>
      </w:r>
      <w:r w:rsidRPr="00550962">
        <w:t>učebnic</w:t>
      </w:r>
      <w:r>
        <w:t xml:space="preserve"> </w:t>
      </w:r>
      <w:r w:rsidRPr="00550962">
        <w:t>a</w:t>
      </w:r>
      <w:r>
        <w:t xml:space="preserve"> </w:t>
      </w:r>
      <w:r w:rsidRPr="00550962">
        <w:t>učebních</w:t>
      </w:r>
      <w:r>
        <w:t xml:space="preserve"> </w:t>
      </w:r>
      <w:r w:rsidRPr="00550962">
        <w:t>textů</w:t>
      </w:r>
      <w:r>
        <w:t xml:space="preserve"> </w:t>
      </w:r>
      <w:r w:rsidRPr="00550962">
        <w:t>a</w:t>
      </w:r>
      <w:r>
        <w:t xml:space="preserve"> </w:t>
      </w:r>
      <w:r w:rsidRPr="00550962">
        <w:t>dále</w:t>
      </w:r>
      <w:r>
        <w:t xml:space="preserve"> </w:t>
      </w:r>
      <w:r w:rsidRPr="00550962">
        <w:t>závazným</w:t>
      </w:r>
      <w:r>
        <w:t xml:space="preserve"> </w:t>
      </w:r>
      <w:r w:rsidRPr="00550962">
        <w:t>základem</w:t>
      </w:r>
      <w:r>
        <w:t xml:space="preserve"> </w:t>
      </w:r>
      <w:r w:rsidRPr="00550962">
        <w:t>pro</w:t>
      </w:r>
      <w:r>
        <w:t xml:space="preserve"> </w:t>
      </w:r>
      <w:r w:rsidRPr="00550962">
        <w:t>stanovení</w:t>
      </w:r>
      <w:r>
        <w:t xml:space="preserve"> </w:t>
      </w:r>
      <w:r w:rsidRPr="00550962">
        <w:t>výše</w:t>
      </w:r>
      <w:r>
        <w:t xml:space="preserve"> </w:t>
      </w:r>
      <w:r w:rsidRPr="0067495F">
        <w:rPr>
          <w:strike/>
        </w:rPr>
        <w:t>finančních</w:t>
      </w:r>
      <w:r>
        <w:t xml:space="preserve"> </w:t>
      </w:r>
      <w:r w:rsidR="0067495F">
        <w:rPr>
          <w:b/>
        </w:rPr>
        <w:t xml:space="preserve">peněžních </w:t>
      </w:r>
      <w:r w:rsidRPr="00550962">
        <w:t>prostředků</w:t>
      </w:r>
      <w:r>
        <w:t xml:space="preserve"> </w:t>
      </w:r>
      <w:r w:rsidRPr="00550962">
        <w:t>přidělovaných</w:t>
      </w:r>
      <w:r>
        <w:t xml:space="preserve"> </w:t>
      </w:r>
      <w:r w:rsidRPr="00550962">
        <w:t>podle</w:t>
      </w:r>
      <w:r>
        <w:t xml:space="preserve"> </w:t>
      </w:r>
      <w:r w:rsidRPr="00550962">
        <w:t>§</w:t>
      </w:r>
      <w:r>
        <w:t xml:space="preserve"> </w:t>
      </w:r>
      <w:r w:rsidRPr="00550962">
        <w:t>160</w:t>
      </w:r>
      <w:r>
        <w:t xml:space="preserve"> </w:t>
      </w:r>
      <w:r w:rsidRPr="00550962">
        <w:t>až</w:t>
      </w:r>
      <w:r>
        <w:t xml:space="preserve"> </w:t>
      </w:r>
      <w:r w:rsidRPr="00550962">
        <w:t>162.</w:t>
      </w:r>
    </w:p>
    <w:p w14:paraId="60EFC10B" w14:textId="77777777" w:rsidR="000F0085" w:rsidRDefault="000F0085" w:rsidP="00A84DD3">
      <w:pPr>
        <w:pStyle w:val="Textparagrafu"/>
        <w:numPr>
          <w:ilvl w:val="0"/>
          <w:numId w:val="27"/>
        </w:numPr>
        <w:tabs>
          <w:tab w:val="left" w:pos="392"/>
          <w:tab w:val="left" w:pos="840"/>
        </w:tabs>
        <w:spacing w:before="120" w:after="120"/>
        <w:ind w:firstLine="425"/>
      </w:pPr>
      <w:r w:rsidRPr="00550962">
        <w:t>(2)</w:t>
      </w:r>
      <w:r>
        <w:t xml:space="preserve"> </w:t>
      </w:r>
      <w:r w:rsidRPr="00550962">
        <w:t>Vzdělávání</w:t>
      </w:r>
      <w:r>
        <w:t xml:space="preserve"> </w:t>
      </w:r>
      <w:r w:rsidRPr="00550962">
        <w:t>v</w:t>
      </w:r>
      <w:r>
        <w:t xml:space="preserve"> </w:t>
      </w:r>
      <w:r w:rsidRPr="00550962">
        <w:t>jednotlivé</w:t>
      </w:r>
      <w:r>
        <w:t xml:space="preserve"> </w:t>
      </w:r>
      <w:r w:rsidRPr="00550962">
        <w:t>škole</w:t>
      </w:r>
      <w:r>
        <w:t xml:space="preserve"> </w:t>
      </w:r>
      <w:r w:rsidRPr="00550962">
        <w:t>a</w:t>
      </w:r>
      <w:r>
        <w:t xml:space="preserve"> </w:t>
      </w:r>
      <w:r w:rsidRPr="00550962">
        <w:t>školském</w:t>
      </w:r>
      <w:r>
        <w:t xml:space="preserve"> </w:t>
      </w:r>
      <w:r w:rsidRPr="00550962">
        <w:t>zařízení</w:t>
      </w:r>
      <w:r>
        <w:t xml:space="preserve"> </w:t>
      </w:r>
      <w:r w:rsidRPr="00550962">
        <w:t>se</w:t>
      </w:r>
      <w:r>
        <w:t xml:space="preserve"> </w:t>
      </w:r>
      <w:r w:rsidRPr="00550962">
        <w:t>uskutečňuje</w:t>
      </w:r>
      <w:r>
        <w:t xml:space="preserve"> </w:t>
      </w:r>
      <w:r w:rsidRPr="00550962">
        <w:t>podle</w:t>
      </w:r>
      <w:r>
        <w:t xml:space="preserve"> </w:t>
      </w:r>
      <w:r w:rsidRPr="00550962">
        <w:t>školních</w:t>
      </w:r>
      <w:r>
        <w:t xml:space="preserve"> </w:t>
      </w:r>
      <w:r w:rsidRPr="00550962">
        <w:t>vzdělávacích</w:t>
      </w:r>
      <w:r>
        <w:t xml:space="preserve"> </w:t>
      </w:r>
      <w:r w:rsidRPr="00550962">
        <w:t>programů.</w:t>
      </w:r>
    </w:p>
    <w:p w14:paraId="68CD9A6F" w14:textId="77777777" w:rsidR="000F0085" w:rsidRDefault="000F0085" w:rsidP="00A84DD3">
      <w:pPr>
        <w:pStyle w:val="Textparagrafu"/>
        <w:numPr>
          <w:ilvl w:val="0"/>
          <w:numId w:val="27"/>
        </w:numPr>
        <w:tabs>
          <w:tab w:val="left" w:pos="392"/>
          <w:tab w:val="left" w:pos="840"/>
        </w:tabs>
        <w:spacing w:before="120" w:after="120"/>
        <w:ind w:firstLine="425"/>
      </w:pPr>
      <w:r w:rsidRPr="00550962">
        <w:t>(3)</w:t>
      </w:r>
      <w:r>
        <w:t xml:space="preserve"> </w:t>
      </w:r>
      <w:r w:rsidRPr="00550962">
        <w:t>Vyšší</w:t>
      </w:r>
      <w:r>
        <w:t xml:space="preserve"> </w:t>
      </w:r>
      <w:r w:rsidRPr="00550962">
        <w:t>odborné</w:t>
      </w:r>
      <w:r>
        <w:t xml:space="preserve"> </w:t>
      </w:r>
      <w:r w:rsidRPr="00550962">
        <w:t>vzdělávání</w:t>
      </w:r>
      <w:r>
        <w:t xml:space="preserve"> </w:t>
      </w:r>
      <w:r w:rsidRPr="00550962">
        <w:t>v</w:t>
      </w:r>
      <w:r>
        <w:t xml:space="preserve"> </w:t>
      </w:r>
      <w:r w:rsidRPr="00550962">
        <w:t>každém</w:t>
      </w:r>
      <w:r>
        <w:t xml:space="preserve"> </w:t>
      </w:r>
      <w:r w:rsidRPr="00550962">
        <w:t>oboru</w:t>
      </w:r>
      <w:r>
        <w:t xml:space="preserve"> </w:t>
      </w:r>
      <w:r w:rsidRPr="00550962">
        <w:t>vzdělání</w:t>
      </w:r>
      <w:r>
        <w:t xml:space="preserve"> </w:t>
      </w:r>
      <w:r w:rsidRPr="00550962">
        <w:t>v</w:t>
      </w:r>
      <w:r>
        <w:t xml:space="preserve"> </w:t>
      </w:r>
      <w:r w:rsidRPr="00550962">
        <w:t>jednotlivé</w:t>
      </w:r>
      <w:r>
        <w:t xml:space="preserve"> </w:t>
      </w:r>
      <w:r w:rsidRPr="00550962">
        <w:t>vyšší</w:t>
      </w:r>
      <w:r>
        <w:t xml:space="preserve"> </w:t>
      </w:r>
      <w:r w:rsidRPr="00550962">
        <w:t>odborné</w:t>
      </w:r>
      <w:r>
        <w:t xml:space="preserve"> </w:t>
      </w:r>
      <w:r w:rsidRPr="00550962">
        <w:t>škole</w:t>
      </w:r>
      <w:r>
        <w:t xml:space="preserve"> </w:t>
      </w:r>
      <w:r w:rsidRPr="00550962">
        <w:t>se</w:t>
      </w:r>
      <w:r>
        <w:t xml:space="preserve"> </w:t>
      </w:r>
      <w:r w:rsidRPr="00550962">
        <w:t>uskutečňuje</w:t>
      </w:r>
      <w:r>
        <w:t xml:space="preserve"> </w:t>
      </w:r>
      <w:r w:rsidRPr="00550962">
        <w:t>podle</w:t>
      </w:r>
      <w:r>
        <w:t xml:space="preserve"> </w:t>
      </w:r>
      <w:r w:rsidRPr="00550962">
        <w:t>vzdělávacího</w:t>
      </w:r>
      <w:r>
        <w:t xml:space="preserve"> </w:t>
      </w:r>
      <w:r w:rsidRPr="00550962">
        <w:t>programu</w:t>
      </w:r>
      <w:r>
        <w:t xml:space="preserve"> </w:t>
      </w:r>
      <w:r w:rsidRPr="00550962">
        <w:t>akreditovaného</w:t>
      </w:r>
      <w:r>
        <w:t xml:space="preserve"> </w:t>
      </w:r>
      <w:r w:rsidRPr="00550962">
        <w:t>podle</w:t>
      </w:r>
      <w:r>
        <w:t xml:space="preserve"> </w:t>
      </w:r>
      <w:r w:rsidRPr="00550962">
        <w:t>§</w:t>
      </w:r>
      <w:r>
        <w:t xml:space="preserve"> </w:t>
      </w:r>
      <w:r w:rsidRPr="00550962">
        <w:t>104</w:t>
      </w:r>
      <w:r>
        <w:t xml:space="preserve"> </w:t>
      </w:r>
      <w:r w:rsidRPr="00550962">
        <w:t>až</w:t>
      </w:r>
      <w:r>
        <w:t xml:space="preserve"> </w:t>
      </w:r>
      <w:r w:rsidRPr="00550962">
        <w:t>106.</w:t>
      </w:r>
    </w:p>
    <w:p w14:paraId="32AA938E" w14:textId="77777777" w:rsidR="000F0085" w:rsidRPr="00550962" w:rsidRDefault="000F0085" w:rsidP="00A84DD3">
      <w:pPr>
        <w:pStyle w:val="Textparagrafu"/>
        <w:numPr>
          <w:ilvl w:val="0"/>
          <w:numId w:val="27"/>
        </w:numPr>
        <w:tabs>
          <w:tab w:val="left" w:pos="392"/>
          <w:tab w:val="left" w:pos="840"/>
        </w:tabs>
        <w:spacing w:before="120" w:after="120"/>
        <w:ind w:firstLine="425"/>
      </w:pPr>
      <w:r w:rsidRPr="00550962">
        <w:t>(4)</w:t>
      </w:r>
      <w:r>
        <w:t xml:space="preserve"> </w:t>
      </w:r>
      <w:r w:rsidRPr="00550962">
        <w:t>Soustavu</w:t>
      </w:r>
      <w:r>
        <w:t xml:space="preserve"> </w:t>
      </w:r>
      <w:r w:rsidRPr="00550962">
        <w:t>oborů</w:t>
      </w:r>
      <w:r>
        <w:t xml:space="preserve"> </w:t>
      </w:r>
      <w:r w:rsidRPr="00550962">
        <w:t>vzdělání</w:t>
      </w:r>
      <w:r>
        <w:t xml:space="preserve"> </w:t>
      </w:r>
      <w:r w:rsidRPr="00550962">
        <w:t>v</w:t>
      </w:r>
      <w:r>
        <w:t xml:space="preserve"> </w:t>
      </w:r>
      <w:r w:rsidRPr="00550962">
        <w:t>základním,</w:t>
      </w:r>
      <w:r>
        <w:t xml:space="preserve"> </w:t>
      </w:r>
      <w:r w:rsidRPr="00550962">
        <w:t>středním</w:t>
      </w:r>
      <w:r>
        <w:t xml:space="preserve"> </w:t>
      </w:r>
      <w:r w:rsidRPr="00550962">
        <w:t>a</w:t>
      </w:r>
      <w:r>
        <w:t xml:space="preserve"> </w:t>
      </w:r>
      <w:r w:rsidRPr="00550962">
        <w:t>vyšším</w:t>
      </w:r>
      <w:r>
        <w:t xml:space="preserve"> </w:t>
      </w:r>
      <w:r w:rsidRPr="00550962">
        <w:t>odborném</w:t>
      </w:r>
      <w:r>
        <w:t xml:space="preserve"> </w:t>
      </w:r>
      <w:r w:rsidRPr="00550962">
        <w:t>vzdělávání</w:t>
      </w:r>
      <w:r>
        <w:t xml:space="preserve"> </w:t>
      </w:r>
      <w:r w:rsidRPr="00550962">
        <w:t>a</w:t>
      </w:r>
      <w:r>
        <w:t xml:space="preserve"> </w:t>
      </w:r>
      <w:r w:rsidRPr="00550962">
        <w:t>podmínky</w:t>
      </w:r>
      <w:r>
        <w:t xml:space="preserve"> </w:t>
      </w:r>
      <w:r w:rsidRPr="00550962">
        <w:t>zdravotní</w:t>
      </w:r>
      <w:r>
        <w:t xml:space="preserve"> </w:t>
      </w:r>
      <w:r w:rsidRPr="00550962">
        <w:t>způsobilosti</w:t>
      </w:r>
      <w:r>
        <w:t xml:space="preserve"> </w:t>
      </w:r>
      <w:r w:rsidRPr="00550962">
        <w:t>uchazeče</w:t>
      </w:r>
      <w:r>
        <w:t xml:space="preserve"> </w:t>
      </w:r>
      <w:r w:rsidRPr="00550962">
        <w:t>ke</w:t>
      </w:r>
      <w:r>
        <w:t xml:space="preserve"> </w:t>
      </w:r>
      <w:r w:rsidRPr="00550962">
        <w:t>vzdělávání</w:t>
      </w:r>
      <w:r>
        <w:t xml:space="preserve"> </w:t>
      </w:r>
      <w:r w:rsidRPr="00550962">
        <w:t>stanoví</w:t>
      </w:r>
      <w:r>
        <w:t xml:space="preserve"> </w:t>
      </w:r>
      <w:r w:rsidRPr="00550962">
        <w:t>vláda</w:t>
      </w:r>
      <w:r>
        <w:t xml:space="preserve"> </w:t>
      </w:r>
      <w:r w:rsidRPr="00550962">
        <w:t>nařízením</w:t>
      </w:r>
      <w:r>
        <w:t xml:space="preserve"> </w:t>
      </w:r>
      <w:r w:rsidRPr="00550962">
        <w:t>po</w:t>
      </w:r>
      <w:r>
        <w:t xml:space="preserve"> </w:t>
      </w:r>
      <w:r w:rsidRPr="00550962">
        <w:t>projednání</w:t>
      </w:r>
      <w:r>
        <w:t xml:space="preserve"> </w:t>
      </w:r>
      <w:r w:rsidRPr="00550962">
        <w:t>s</w:t>
      </w:r>
      <w:r>
        <w:t xml:space="preserve"> </w:t>
      </w:r>
      <w:r w:rsidRPr="00550962">
        <w:t>příslušnými</w:t>
      </w:r>
      <w:r>
        <w:t xml:space="preserve"> </w:t>
      </w:r>
      <w:r w:rsidRPr="00550962">
        <w:t>ústředními</w:t>
      </w:r>
      <w:r>
        <w:t xml:space="preserve"> </w:t>
      </w:r>
      <w:r w:rsidRPr="00550962">
        <w:t>odborovými</w:t>
      </w:r>
      <w:r>
        <w:t xml:space="preserve"> </w:t>
      </w:r>
      <w:r w:rsidRPr="00550962">
        <w:t>orgány,</w:t>
      </w:r>
      <w:r>
        <w:t xml:space="preserve"> </w:t>
      </w:r>
      <w:r w:rsidRPr="00550962">
        <w:t>příslušnými</w:t>
      </w:r>
      <w:r>
        <w:t xml:space="preserve"> </w:t>
      </w:r>
      <w:r w:rsidRPr="00550962">
        <w:t>organizacemi</w:t>
      </w:r>
      <w:r>
        <w:t xml:space="preserve"> </w:t>
      </w:r>
      <w:r w:rsidRPr="00550962">
        <w:t>zaměstnavatelů</w:t>
      </w:r>
      <w:r>
        <w:t xml:space="preserve"> </w:t>
      </w:r>
      <w:r w:rsidRPr="00550962">
        <w:t>s</w:t>
      </w:r>
      <w:r>
        <w:t xml:space="preserve"> </w:t>
      </w:r>
      <w:r w:rsidRPr="00550962">
        <w:t>celostátní</w:t>
      </w:r>
      <w:r>
        <w:t xml:space="preserve"> </w:t>
      </w:r>
      <w:r w:rsidRPr="00550962">
        <w:t>působností</w:t>
      </w:r>
      <w:r>
        <w:t xml:space="preserve"> </w:t>
      </w:r>
      <w:r w:rsidRPr="00550962">
        <w:t>a</w:t>
      </w:r>
      <w:r>
        <w:t xml:space="preserve"> </w:t>
      </w:r>
      <w:r w:rsidRPr="00550962">
        <w:t>kraji.</w:t>
      </w:r>
    </w:p>
    <w:p w14:paraId="0B18111B" w14:textId="2BF0879A" w:rsidR="00195CF6" w:rsidRDefault="000F0085" w:rsidP="00F81AA2">
      <w:pPr>
        <w:pStyle w:val="Textparagrafu"/>
        <w:tabs>
          <w:tab w:val="left" w:pos="406"/>
          <w:tab w:val="left" w:pos="840"/>
          <w:tab w:val="left" w:pos="868"/>
        </w:tabs>
        <w:spacing w:after="120"/>
        <w:ind w:firstLine="0"/>
        <w:jc w:val="center"/>
      </w:pPr>
      <w:r>
        <w:t>***</w:t>
      </w:r>
    </w:p>
    <w:p w14:paraId="06DA5046" w14:textId="1F1EBDFC" w:rsidR="000F0085" w:rsidRDefault="00FA61A3" w:rsidP="00F81AA2">
      <w:pPr>
        <w:pStyle w:val="Textparagrafu"/>
        <w:tabs>
          <w:tab w:val="left" w:pos="406"/>
          <w:tab w:val="left" w:pos="840"/>
          <w:tab w:val="left" w:pos="868"/>
        </w:tabs>
        <w:spacing w:after="120"/>
        <w:ind w:firstLine="0"/>
        <w:jc w:val="center"/>
      </w:pPr>
      <w:r>
        <w:t>§ 6</w:t>
      </w:r>
    </w:p>
    <w:p w14:paraId="2511D4FA" w14:textId="2EEEED9F" w:rsidR="000F0085" w:rsidRPr="00FA61A3" w:rsidRDefault="000F0085" w:rsidP="00F81AA2">
      <w:pPr>
        <w:pStyle w:val="Textparagrafu"/>
        <w:tabs>
          <w:tab w:val="left" w:pos="406"/>
          <w:tab w:val="left" w:pos="840"/>
          <w:tab w:val="left" w:pos="868"/>
        </w:tabs>
        <w:spacing w:after="120"/>
        <w:ind w:firstLine="0"/>
        <w:jc w:val="center"/>
        <w:rPr>
          <w:b/>
        </w:rPr>
      </w:pPr>
      <w:r w:rsidRPr="00FA61A3">
        <w:rPr>
          <w:b/>
        </w:rPr>
        <w:t>Vzdělávací program pro vyšší odborné vzdělávání</w:t>
      </w:r>
    </w:p>
    <w:p w14:paraId="627DB239" w14:textId="6F2B180D" w:rsidR="000F0085" w:rsidRDefault="000F0085" w:rsidP="00A84DD3">
      <w:pPr>
        <w:pStyle w:val="Textparagrafu"/>
        <w:tabs>
          <w:tab w:val="left" w:pos="406"/>
          <w:tab w:val="left" w:pos="840"/>
          <w:tab w:val="left" w:pos="868"/>
        </w:tabs>
        <w:spacing w:before="120" w:after="120"/>
      </w:pPr>
      <w:r>
        <w:t>(1) Vzdělávací program pro vyšší odborné vzdělávání stanoví zejména konkrétní cíle, formy, délku a obsah vzdělávání a jeho organizační uspořádání, profil absolventa vzdělávacího programu, vyučovací jazyk, podmínky průběhu a ukončování vzdělávání, jakož i podmínky pro vzdělávání studentů se speciálními vzdělávacími potřebami a podmínky materiální, personální a organizační, podmínky bezpečnosti práce a ochrany zdraví a podmínky zdravotní způsobilosti uchazeče ke vzdělávání.</w:t>
      </w:r>
    </w:p>
    <w:p w14:paraId="0E6C7BF0" w14:textId="3F0C2A89" w:rsidR="000F0085" w:rsidRDefault="000F0085" w:rsidP="00A84DD3">
      <w:pPr>
        <w:pStyle w:val="Textparagrafu"/>
        <w:tabs>
          <w:tab w:val="left" w:pos="406"/>
          <w:tab w:val="left" w:pos="840"/>
          <w:tab w:val="left" w:pos="868"/>
        </w:tabs>
        <w:spacing w:before="120" w:after="120"/>
      </w:pPr>
      <w:r>
        <w:t>(2) Vzdělávací program akreditovaný podle § 104 až 106 ředitel školy zveřejní na přístupném místě ve škole; do vzdělávacího programu může každý nahlížet a pořizovat si z něj opisy a výpisy, anebo za cenu v místě obvyklou může obdržet jeho kopii. Poskytování informací podle zákona o svobodném přístupu k informacím tím není dotčeno.</w:t>
      </w:r>
    </w:p>
    <w:p w14:paraId="1F32DCC5" w14:textId="19F2152D" w:rsidR="00082115" w:rsidRDefault="000F0085" w:rsidP="00A84DD3">
      <w:pPr>
        <w:pStyle w:val="Textparagrafu"/>
        <w:tabs>
          <w:tab w:val="left" w:pos="406"/>
          <w:tab w:val="left" w:pos="840"/>
          <w:tab w:val="left" w:pos="868"/>
        </w:tabs>
        <w:spacing w:before="120" w:after="120"/>
      </w:pPr>
      <w:r>
        <w:t xml:space="preserve">(3) Vzdělávací program akreditovaný podle § 104 až 106 je závazný pro hodnocení vyšší odborné školy a výsledků vzdělávání studentů a dále podkladem pro stanovení výše </w:t>
      </w:r>
      <w:r w:rsidRPr="00147520">
        <w:rPr>
          <w:strike/>
        </w:rPr>
        <w:t>finančních</w:t>
      </w:r>
      <w:r>
        <w:t xml:space="preserve"> </w:t>
      </w:r>
      <w:r w:rsidR="00147520">
        <w:rPr>
          <w:b/>
        </w:rPr>
        <w:t xml:space="preserve">peněžních </w:t>
      </w:r>
      <w:r>
        <w:t>prostředků přidělovaných podle § 160 až 162.</w:t>
      </w:r>
    </w:p>
    <w:p w14:paraId="1AE06AE4" w14:textId="2C33A988" w:rsidR="000F0085" w:rsidRDefault="000F0085" w:rsidP="00A84DD3">
      <w:pPr>
        <w:pStyle w:val="Textparagrafu"/>
        <w:keepNext/>
        <w:keepLines/>
        <w:tabs>
          <w:tab w:val="left" w:pos="406"/>
          <w:tab w:val="left" w:pos="840"/>
          <w:tab w:val="left" w:pos="868"/>
        </w:tabs>
        <w:spacing w:after="120"/>
        <w:ind w:firstLine="0"/>
        <w:jc w:val="center"/>
      </w:pPr>
      <w:r>
        <w:lastRenderedPageBreak/>
        <w:t>***</w:t>
      </w:r>
    </w:p>
    <w:p w14:paraId="67F30F12" w14:textId="77777777" w:rsidR="000F0085" w:rsidRDefault="000F0085" w:rsidP="00A84DD3">
      <w:pPr>
        <w:pStyle w:val="Textparagrafu"/>
        <w:keepNext/>
        <w:keepLines/>
        <w:tabs>
          <w:tab w:val="left" w:pos="392"/>
          <w:tab w:val="left" w:pos="840"/>
        </w:tabs>
        <w:spacing w:after="120"/>
        <w:ind w:firstLine="0"/>
        <w:jc w:val="center"/>
      </w:pPr>
      <w:r w:rsidRPr="00550962">
        <w:t>§</w:t>
      </w:r>
      <w:r>
        <w:t xml:space="preserve"> </w:t>
      </w:r>
      <w:r w:rsidRPr="00550962">
        <w:t>19</w:t>
      </w:r>
    </w:p>
    <w:p w14:paraId="72961D92" w14:textId="77777777" w:rsidR="000F0085" w:rsidRDefault="000F0085" w:rsidP="00BD5369">
      <w:pPr>
        <w:pStyle w:val="Textparagrafu"/>
        <w:tabs>
          <w:tab w:val="left" w:pos="392"/>
          <w:tab w:val="left" w:pos="840"/>
        </w:tabs>
        <w:spacing w:after="120"/>
      </w:pPr>
      <w:r w:rsidRPr="00550962">
        <w:t>Ministerstvo</w:t>
      </w:r>
      <w:r>
        <w:t xml:space="preserve"> </w:t>
      </w:r>
      <w:r w:rsidRPr="00550962">
        <w:t>stanoví</w:t>
      </w:r>
      <w:r>
        <w:t xml:space="preserve"> </w:t>
      </w:r>
      <w:r w:rsidRPr="00550962">
        <w:t>vyhláškou</w:t>
      </w:r>
    </w:p>
    <w:p w14:paraId="03F969CC" w14:textId="7702F371" w:rsidR="000F0085" w:rsidRDefault="000F0085" w:rsidP="00AB5ED2">
      <w:pPr>
        <w:pStyle w:val="Textparagrafu"/>
        <w:tabs>
          <w:tab w:val="left" w:pos="392"/>
          <w:tab w:val="left" w:pos="840"/>
        </w:tabs>
        <w:spacing w:before="0"/>
        <w:ind w:left="426" w:hanging="426"/>
      </w:pPr>
      <w:r w:rsidRPr="00550962">
        <w:t>a)</w:t>
      </w:r>
      <w:r w:rsidR="00FA61A3">
        <w:tab/>
      </w:r>
      <w:r w:rsidRPr="00550962">
        <w:t>konkrétní</w:t>
      </w:r>
      <w:r>
        <w:t xml:space="preserve"> </w:t>
      </w:r>
      <w:r w:rsidRPr="00550962">
        <w:t>výčet</w:t>
      </w:r>
      <w:r>
        <w:t xml:space="preserve"> </w:t>
      </w:r>
      <w:r w:rsidRPr="00550962">
        <w:t>a</w:t>
      </w:r>
      <w:r>
        <w:t xml:space="preserve"> </w:t>
      </w:r>
      <w:r w:rsidRPr="00550962">
        <w:t>účel</w:t>
      </w:r>
      <w:r>
        <w:t xml:space="preserve"> </w:t>
      </w:r>
      <w:r w:rsidRPr="00550962">
        <w:t>podpůrných</w:t>
      </w:r>
      <w:r>
        <w:t xml:space="preserve"> </w:t>
      </w:r>
      <w:r w:rsidRPr="00550962">
        <w:t>opatření</w:t>
      </w:r>
      <w:r>
        <w:t xml:space="preserve"> </w:t>
      </w:r>
      <w:r w:rsidRPr="00550962">
        <w:t>a</w:t>
      </w:r>
      <w:r>
        <w:t xml:space="preserve"> </w:t>
      </w:r>
      <w:r w:rsidRPr="00550962">
        <w:t>jejich</w:t>
      </w:r>
      <w:r>
        <w:t xml:space="preserve"> </w:t>
      </w:r>
      <w:r w:rsidRPr="00550962">
        <w:t>členění</w:t>
      </w:r>
      <w:r>
        <w:t xml:space="preserve"> </w:t>
      </w:r>
      <w:r w:rsidRPr="00550962">
        <w:t>do</w:t>
      </w:r>
      <w:r>
        <w:t xml:space="preserve"> </w:t>
      </w:r>
      <w:r w:rsidRPr="00550962">
        <w:t>stupňů,</w:t>
      </w:r>
    </w:p>
    <w:p w14:paraId="125C5F0D" w14:textId="340329B4" w:rsidR="000F0085" w:rsidRDefault="000F0085" w:rsidP="00AB5ED2">
      <w:pPr>
        <w:pStyle w:val="Textparagrafu"/>
        <w:tabs>
          <w:tab w:val="left" w:pos="392"/>
          <w:tab w:val="left" w:pos="840"/>
        </w:tabs>
        <w:spacing w:before="0"/>
        <w:ind w:left="426" w:hanging="426"/>
      </w:pPr>
      <w:r w:rsidRPr="00550962">
        <w:t>b)</w:t>
      </w:r>
      <w:r w:rsidR="00FA61A3">
        <w:tab/>
      </w:r>
      <w:r w:rsidRPr="00550962">
        <w:t>u</w:t>
      </w:r>
      <w:r>
        <w:t xml:space="preserve"> </w:t>
      </w:r>
      <w:r w:rsidRPr="00550962">
        <w:t>podpůrných</w:t>
      </w:r>
      <w:r>
        <w:t xml:space="preserve"> </w:t>
      </w:r>
      <w:r w:rsidRPr="00550962">
        <w:t>opatření</w:t>
      </w:r>
      <w:r>
        <w:t xml:space="preserve"> </w:t>
      </w:r>
      <w:r w:rsidRPr="00550962">
        <w:t>druhého</w:t>
      </w:r>
      <w:r>
        <w:t xml:space="preserve"> </w:t>
      </w:r>
      <w:r w:rsidRPr="00550962">
        <w:t>až</w:t>
      </w:r>
      <w:r>
        <w:t xml:space="preserve"> </w:t>
      </w:r>
      <w:r w:rsidRPr="00550962">
        <w:t>pátého</w:t>
      </w:r>
      <w:r>
        <w:t xml:space="preserve"> </w:t>
      </w:r>
      <w:r w:rsidRPr="00550962">
        <w:t>stupně</w:t>
      </w:r>
      <w:r>
        <w:t xml:space="preserve"> </w:t>
      </w:r>
      <w:r w:rsidRPr="00550962">
        <w:t>pravidla</w:t>
      </w:r>
      <w:r>
        <w:t xml:space="preserve"> </w:t>
      </w:r>
      <w:r w:rsidRPr="00550962">
        <w:t>pro</w:t>
      </w:r>
      <w:r>
        <w:t xml:space="preserve"> </w:t>
      </w:r>
      <w:r w:rsidRPr="00550962">
        <w:t>jejich</w:t>
      </w:r>
      <w:r>
        <w:t xml:space="preserve"> </w:t>
      </w:r>
      <w:r w:rsidRPr="00550962">
        <w:t>použití</w:t>
      </w:r>
      <w:r>
        <w:t xml:space="preserve"> </w:t>
      </w:r>
      <w:r w:rsidRPr="00550962">
        <w:t>školou</w:t>
      </w:r>
      <w:r>
        <w:t xml:space="preserve"> </w:t>
      </w:r>
      <w:r w:rsidRPr="00550962">
        <w:t>a</w:t>
      </w:r>
      <w:r>
        <w:t xml:space="preserve"> </w:t>
      </w:r>
      <w:r w:rsidRPr="00550962">
        <w:t>školským</w:t>
      </w:r>
      <w:r>
        <w:t xml:space="preserve"> </w:t>
      </w:r>
      <w:r w:rsidRPr="00550962">
        <w:t>zařízením</w:t>
      </w:r>
      <w:r>
        <w:t xml:space="preserve"> </w:t>
      </w:r>
      <w:r w:rsidRPr="00550962">
        <w:t>a</w:t>
      </w:r>
      <w:r>
        <w:t xml:space="preserve"> </w:t>
      </w:r>
      <w:r w:rsidRPr="00550962">
        <w:t>normovanou</w:t>
      </w:r>
      <w:r>
        <w:t xml:space="preserve"> </w:t>
      </w:r>
      <w:r w:rsidRPr="00550962">
        <w:t>finanční</w:t>
      </w:r>
      <w:r>
        <w:t xml:space="preserve"> </w:t>
      </w:r>
      <w:r w:rsidRPr="00550962">
        <w:t>náročnost</w:t>
      </w:r>
      <w:r>
        <w:t xml:space="preserve"> </w:t>
      </w:r>
      <w:r w:rsidRPr="00550962">
        <w:t>pro</w:t>
      </w:r>
      <w:r>
        <w:t xml:space="preserve"> </w:t>
      </w:r>
      <w:r w:rsidRPr="00550962">
        <w:t>účely</w:t>
      </w:r>
      <w:r>
        <w:t xml:space="preserve"> </w:t>
      </w:r>
      <w:r w:rsidRPr="00550962">
        <w:t>poskytování</w:t>
      </w:r>
      <w:r>
        <w:t xml:space="preserve"> </w:t>
      </w:r>
      <w:r w:rsidRPr="00CB07E6">
        <w:rPr>
          <w:strike/>
        </w:rPr>
        <w:t>finančních</w:t>
      </w:r>
      <w:r>
        <w:t xml:space="preserve"> </w:t>
      </w:r>
      <w:r w:rsidR="00CB07E6">
        <w:rPr>
          <w:b/>
        </w:rPr>
        <w:t xml:space="preserve">peněžních </w:t>
      </w:r>
      <w:r w:rsidRPr="00550962">
        <w:t>prostředků</w:t>
      </w:r>
      <w:r>
        <w:t xml:space="preserve"> </w:t>
      </w:r>
      <w:r w:rsidRPr="00550962">
        <w:t>ze</w:t>
      </w:r>
      <w:r>
        <w:t xml:space="preserve"> </w:t>
      </w:r>
      <w:r w:rsidRPr="00550962">
        <w:t>státního</w:t>
      </w:r>
      <w:r>
        <w:t xml:space="preserve"> </w:t>
      </w:r>
      <w:r w:rsidRPr="00550962">
        <w:t>rozpočtu</w:t>
      </w:r>
      <w:r>
        <w:t xml:space="preserve"> </w:t>
      </w:r>
      <w:r w:rsidRPr="00550962">
        <w:t>podle</w:t>
      </w:r>
      <w:r>
        <w:t xml:space="preserve"> </w:t>
      </w:r>
      <w:r w:rsidRPr="00550962">
        <w:t>tohoto</w:t>
      </w:r>
      <w:r>
        <w:t xml:space="preserve"> </w:t>
      </w:r>
      <w:r w:rsidRPr="00550962">
        <w:t>zákona,</w:t>
      </w:r>
    </w:p>
    <w:p w14:paraId="7CB72214" w14:textId="0308D7B9" w:rsidR="000F0085" w:rsidRDefault="000F0085" w:rsidP="00AB5ED2">
      <w:pPr>
        <w:pStyle w:val="Textparagrafu"/>
        <w:tabs>
          <w:tab w:val="left" w:pos="392"/>
          <w:tab w:val="left" w:pos="840"/>
        </w:tabs>
        <w:spacing w:before="0"/>
        <w:ind w:left="426" w:hanging="426"/>
      </w:pPr>
      <w:r w:rsidRPr="00550962">
        <w:t>c)</w:t>
      </w:r>
      <w:r w:rsidR="00FA61A3">
        <w:tab/>
      </w:r>
      <w:r w:rsidRPr="00550962">
        <w:t>postup</w:t>
      </w:r>
      <w:r>
        <w:t xml:space="preserve"> </w:t>
      </w:r>
      <w:r w:rsidRPr="00550962">
        <w:t>školy</w:t>
      </w:r>
      <w:r>
        <w:t xml:space="preserve"> </w:t>
      </w:r>
      <w:r w:rsidRPr="00550962">
        <w:t>nebo</w:t>
      </w:r>
      <w:r>
        <w:t xml:space="preserve"> </w:t>
      </w:r>
      <w:r w:rsidRPr="00550962">
        <w:t>školského</w:t>
      </w:r>
      <w:r>
        <w:t xml:space="preserve"> </w:t>
      </w:r>
      <w:r w:rsidRPr="00550962">
        <w:t>zařízení</w:t>
      </w:r>
      <w:r>
        <w:t xml:space="preserve"> </w:t>
      </w:r>
      <w:r w:rsidRPr="00550962">
        <w:t>před</w:t>
      </w:r>
      <w:r>
        <w:t xml:space="preserve"> </w:t>
      </w:r>
      <w:r w:rsidRPr="00550962">
        <w:t>přiznáním</w:t>
      </w:r>
      <w:r>
        <w:t xml:space="preserve"> </w:t>
      </w:r>
      <w:r w:rsidRPr="00550962">
        <w:t>podpůrného</w:t>
      </w:r>
      <w:r>
        <w:t xml:space="preserve"> </w:t>
      </w:r>
      <w:r w:rsidRPr="00550962">
        <w:t>opatření</w:t>
      </w:r>
      <w:r>
        <w:t xml:space="preserve"> </w:t>
      </w:r>
      <w:r w:rsidRPr="00550962">
        <w:t>dítěti,</w:t>
      </w:r>
      <w:r>
        <w:t xml:space="preserve"> </w:t>
      </w:r>
      <w:r w:rsidRPr="00550962">
        <w:t>žákovi</w:t>
      </w:r>
      <w:r>
        <w:t xml:space="preserve"> </w:t>
      </w:r>
      <w:r w:rsidRPr="00550962">
        <w:t>nebo</w:t>
      </w:r>
      <w:r>
        <w:t xml:space="preserve"> </w:t>
      </w:r>
      <w:r w:rsidRPr="00550962">
        <w:t>studentovi,</w:t>
      </w:r>
    </w:p>
    <w:p w14:paraId="18A3477D" w14:textId="48B58B54" w:rsidR="000F0085" w:rsidRDefault="000F0085" w:rsidP="00AB5ED2">
      <w:pPr>
        <w:pStyle w:val="Textparagrafu"/>
        <w:tabs>
          <w:tab w:val="left" w:pos="392"/>
          <w:tab w:val="left" w:pos="840"/>
        </w:tabs>
        <w:spacing w:before="0"/>
        <w:ind w:left="426" w:hanging="426"/>
      </w:pPr>
      <w:r w:rsidRPr="00550962">
        <w:t>d)</w:t>
      </w:r>
      <w:r w:rsidR="00FA61A3">
        <w:tab/>
      </w:r>
      <w:r w:rsidRPr="00550962">
        <w:t>organizaci</w:t>
      </w:r>
      <w:r>
        <w:t xml:space="preserve"> </w:t>
      </w:r>
      <w:r w:rsidRPr="00550962">
        <w:t>poskytování</w:t>
      </w:r>
      <w:r>
        <w:t xml:space="preserve"> </w:t>
      </w:r>
      <w:r w:rsidRPr="00550962">
        <w:t>podpůrných</w:t>
      </w:r>
      <w:r>
        <w:t xml:space="preserve"> </w:t>
      </w:r>
      <w:r w:rsidRPr="00550962">
        <w:t>opatření,</w:t>
      </w:r>
    </w:p>
    <w:p w14:paraId="4AFA4161" w14:textId="0DB0A541" w:rsidR="000F0085" w:rsidRDefault="000F0085" w:rsidP="00AB5ED2">
      <w:pPr>
        <w:pStyle w:val="Textparagrafu"/>
        <w:tabs>
          <w:tab w:val="left" w:pos="392"/>
          <w:tab w:val="left" w:pos="840"/>
        </w:tabs>
        <w:spacing w:before="0"/>
        <w:ind w:left="426" w:hanging="426"/>
      </w:pPr>
      <w:r w:rsidRPr="00550962">
        <w:t>e)</w:t>
      </w:r>
      <w:r w:rsidR="00FA61A3">
        <w:tab/>
      </w:r>
      <w:r w:rsidRPr="00550962">
        <w:t>organizaci</w:t>
      </w:r>
      <w:r>
        <w:t xml:space="preserve"> </w:t>
      </w:r>
      <w:r w:rsidRPr="00550962">
        <w:t>a</w:t>
      </w:r>
      <w:r>
        <w:t xml:space="preserve"> </w:t>
      </w:r>
      <w:r w:rsidRPr="00550962">
        <w:t>pravidla</w:t>
      </w:r>
      <w:r>
        <w:t xml:space="preserve"> </w:t>
      </w:r>
      <w:r w:rsidRPr="00550962">
        <w:t>vzdělávání</w:t>
      </w:r>
      <w:r>
        <w:t xml:space="preserve"> </w:t>
      </w:r>
      <w:r w:rsidRPr="00550962">
        <w:t>ve</w:t>
      </w:r>
      <w:r>
        <w:t xml:space="preserve"> </w:t>
      </w:r>
      <w:r w:rsidRPr="00550962">
        <w:t>třídách,</w:t>
      </w:r>
      <w:r>
        <w:t xml:space="preserve"> </w:t>
      </w:r>
      <w:r w:rsidRPr="00550962">
        <w:t>odděleních</w:t>
      </w:r>
      <w:r>
        <w:t xml:space="preserve"> </w:t>
      </w:r>
      <w:r w:rsidRPr="00550962">
        <w:t>a</w:t>
      </w:r>
      <w:r>
        <w:t xml:space="preserve"> </w:t>
      </w:r>
      <w:r w:rsidRPr="00550962">
        <w:t>studijních</w:t>
      </w:r>
      <w:r>
        <w:t xml:space="preserve"> </w:t>
      </w:r>
      <w:r w:rsidRPr="00550962">
        <w:t>skupinách</w:t>
      </w:r>
      <w:r>
        <w:t xml:space="preserve"> </w:t>
      </w:r>
      <w:r w:rsidRPr="00550962">
        <w:t>a</w:t>
      </w:r>
      <w:r>
        <w:t xml:space="preserve"> </w:t>
      </w:r>
      <w:r w:rsidRPr="00550962">
        <w:t>školách</w:t>
      </w:r>
      <w:r>
        <w:t xml:space="preserve"> </w:t>
      </w:r>
      <w:r w:rsidRPr="00550962">
        <w:t>zřízených</w:t>
      </w:r>
      <w:r>
        <w:t xml:space="preserve"> </w:t>
      </w:r>
      <w:r w:rsidRPr="00550962">
        <w:t>podle</w:t>
      </w:r>
      <w:r>
        <w:t xml:space="preserve"> </w:t>
      </w:r>
      <w:r w:rsidRPr="00550962">
        <w:t>§</w:t>
      </w:r>
      <w:r>
        <w:t xml:space="preserve"> </w:t>
      </w:r>
      <w:r w:rsidRPr="00550962">
        <w:t>16</w:t>
      </w:r>
      <w:r>
        <w:t xml:space="preserve"> </w:t>
      </w:r>
      <w:r w:rsidRPr="00550962">
        <w:t>odst.</w:t>
      </w:r>
      <w:r>
        <w:t xml:space="preserve"> </w:t>
      </w:r>
      <w:r w:rsidRPr="00550962">
        <w:t>9,</w:t>
      </w:r>
    </w:p>
    <w:p w14:paraId="7DAAFE33" w14:textId="0EBBB8C9" w:rsidR="000F0085" w:rsidRDefault="000F0085" w:rsidP="00AB5ED2">
      <w:pPr>
        <w:pStyle w:val="Textparagrafu"/>
        <w:tabs>
          <w:tab w:val="left" w:pos="392"/>
          <w:tab w:val="left" w:pos="840"/>
        </w:tabs>
        <w:spacing w:before="0"/>
        <w:ind w:left="426" w:hanging="426"/>
      </w:pPr>
      <w:r w:rsidRPr="00550962">
        <w:t>f)</w:t>
      </w:r>
      <w:r w:rsidR="00FA61A3">
        <w:tab/>
      </w:r>
      <w:r w:rsidRPr="00550962">
        <w:t>průběh</w:t>
      </w:r>
      <w:r>
        <w:t xml:space="preserve"> </w:t>
      </w:r>
      <w:r w:rsidRPr="00550962">
        <w:t>a</w:t>
      </w:r>
      <w:r>
        <w:t xml:space="preserve"> </w:t>
      </w:r>
      <w:r w:rsidRPr="00550962">
        <w:t>organizaci</w:t>
      </w:r>
      <w:r>
        <w:t xml:space="preserve"> </w:t>
      </w:r>
      <w:r w:rsidRPr="00550962">
        <w:t>poradenských</w:t>
      </w:r>
      <w:r>
        <w:t xml:space="preserve"> </w:t>
      </w:r>
      <w:r w:rsidRPr="00550962">
        <w:t>služeb</w:t>
      </w:r>
      <w:r>
        <w:t xml:space="preserve"> </w:t>
      </w:r>
      <w:r w:rsidRPr="00550962">
        <w:t>školy</w:t>
      </w:r>
      <w:r>
        <w:t xml:space="preserve"> </w:t>
      </w:r>
      <w:r w:rsidRPr="00550962">
        <w:t>a</w:t>
      </w:r>
      <w:r>
        <w:t xml:space="preserve"> </w:t>
      </w:r>
      <w:r w:rsidRPr="00550962">
        <w:t>činnosti</w:t>
      </w:r>
      <w:r>
        <w:t xml:space="preserve"> </w:t>
      </w:r>
      <w:r w:rsidRPr="00550962">
        <w:t>školských</w:t>
      </w:r>
      <w:r>
        <w:t xml:space="preserve"> </w:t>
      </w:r>
      <w:r w:rsidRPr="00550962">
        <w:t>poradenských</w:t>
      </w:r>
      <w:r>
        <w:t xml:space="preserve"> </w:t>
      </w:r>
      <w:r w:rsidRPr="00550962">
        <w:t>zařízení,</w:t>
      </w:r>
      <w:r>
        <w:t xml:space="preserve"> </w:t>
      </w:r>
      <w:r w:rsidRPr="00550962">
        <w:t>základní</w:t>
      </w:r>
      <w:r>
        <w:t xml:space="preserve"> </w:t>
      </w:r>
      <w:r w:rsidRPr="00550962">
        <w:t>zásady</w:t>
      </w:r>
      <w:r>
        <w:t xml:space="preserve"> </w:t>
      </w:r>
      <w:r w:rsidRPr="00550962">
        <w:t>používání</w:t>
      </w:r>
      <w:r>
        <w:t xml:space="preserve"> </w:t>
      </w:r>
      <w:r w:rsidRPr="00550962">
        <w:t>diagnostických</w:t>
      </w:r>
      <w:r>
        <w:t xml:space="preserve"> </w:t>
      </w:r>
      <w:r w:rsidRPr="00550962">
        <w:t>nástrojů</w:t>
      </w:r>
      <w:r>
        <w:t xml:space="preserve"> </w:t>
      </w:r>
      <w:r w:rsidRPr="00550962">
        <w:t>a</w:t>
      </w:r>
      <w:r>
        <w:t xml:space="preserve"> </w:t>
      </w:r>
      <w:r w:rsidRPr="00550962">
        <w:t>pravidla</w:t>
      </w:r>
      <w:r>
        <w:t xml:space="preserve"> </w:t>
      </w:r>
      <w:r w:rsidRPr="00550962">
        <w:t>spolupráce</w:t>
      </w:r>
      <w:r>
        <w:t xml:space="preserve"> </w:t>
      </w:r>
      <w:r w:rsidRPr="00550962">
        <w:t>školských</w:t>
      </w:r>
      <w:r>
        <w:t xml:space="preserve"> </w:t>
      </w:r>
      <w:r w:rsidRPr="00550962">
        <w:t>poradenských</w:t>
      </w:r>
      <w:r>
        <w:t xml:space="preserve"> </w:t>
      </w:r>
      <w:r w:rsidRPr="00550962">
        <w:t>zařízení</w:t>
      </w:r>
      <w:r>
        <w:t xml:space="preserve"> </w:t>
      </w:r>
      <w:r w:rsidRPr="00550962">
        <w:t>se</w:t>
      </w:r>
      <w:r>
        <w:t xml:space="preserve"> </w:t>
      </w:r>
      <w:r w:rsidRPr="00550962">
        <w:t>školami,</w:t>
      </w:r>
      <w:r>
        <w:t xml:space="preserve"> </w:t>
      </w:r>
      <w:r w:rsidRPr="00550962">
        <w:t>školskými</w:t>
      </w:r>
      <w:r>
        <w:t xml:space="preserve"> </w:t>
      </w:r>
      <w:r w:rsidRPr="00550962">
        <w:t>zařízeními</w:t>
      </w:r>
      <w:r>
        <w:t xml:space="preserve"> </w:t>
      </w:r>
      <w:r w:rsidRPr="00550962">
        <w:t>a</w:t>
      </w:r>
      <w:r>
        <w:t xml:space="preserve"> </w:t>
      </w:r>
      <w:r w:rsidRPr="00550962">
        <w:t>dalšími</w:t>
      </w:r>
      <w:r>
        <w:t xml:space="preserve"> </w:t>
      </w:r>
      <w:r w:rsidRPr="00550962">
        <w:t>osobami</w:t>
      </w:r>
      <w:r>
        <w:t xml:space="preserve"> </w:t>
      </w:r>
      <w:r w:rsidRPr="00550962">
        <w:t>a</w:t>
      </w:r>
      <w:r>
        <w:t xml:space="preserve"> </w:t>
      </w:r>
      <w:r w:rsidRPr="00550962">
        <w:t>orgány</w:t>
      </w:r>
      <w:r>
        <w:t xml:space="preserve"> </w:t>
      </w:r>
      <w:r w:rsidRPr="00550962">
        <w:t>veřejné</w:t>
      </w:r>
      <w:r>
        <w:t xml:space="preserve"> </w:t>
      </w:r>
      <w:r w:rsidRPr="00550962">
        <w:t>správy,</w:t>
      </w:r>
    </w:p>
    <w:p w14:paraId="23E6F42C" w14:textId="45605872" w:rsidR="000F0085" w:rsidRDefault="000F0085" w:rsidP="00AB5ED2">
      <w:pPr>
        <w:pStyle w:val="Textparagrafu"/>
        <w:tabs>
          <w:tab w:val="left" w:pos="392"/>
          <w:tab w:val="left" w:pos="840"/>
        </w:tabs>
        <w:spacing w:before="0"/>
        <w:ind w:left="426" w:hanging="426"/>
      </w:pPr>
      <w:r w:rsidRPr="00550962">
        <w:t>g)</w:t>
      </w:r>
      <w:r w:rsidR="00FA61A3">
        <w:tab/>
      </w:r>
      <w:r w:rsidRPr="00550962">
        <w:t>náležitosti</w:t>
      </w:r>
      <w:r>
        <w:t xml:space="preserve"> </w:t>
      </w:r>
      <w:r w:rsidRPr="00550962">
        <w:t>zprávy</w:t>
      </w:r>
      <w:r>
        <w:t xml:space="preserve"> </w:t>
      </w:r>
      <w:r w:rsidRPr="00550962">
        <w:t>a</w:t>
      </w:r>
      <w:r>
        <w:t xml:space="preserve"> </w:t>
      </w:r>
      <w:r w:rsidRPr="00550962">
        <w:t>doporučení</w:t>
      </w:r>
      <w:r>
        <w:t xml:space="preserve"> </w:t>
      </w:r>
      <w:r w:rsidRPr="00550962">
        <w:t>vydávaných</w:t>
      </w:r>
      <w:r>
        <w:t xml:space="preserve"> </w:t>
      </w:r>
      <w:r w:rsidRPr="00550962">
        <w:t>školským</w:t>
      </w:r>
      <w:r>
        <w:t xml:space="preserve"> </w:t>
      </w:r>
      <w:r w:rsidRPr="00550962">
        <w:t>poradenským</w:t>
      </w:r>
      <w:r>
        <w:t xml:space="preserve"> </w:t>
      </w:r>
      <w:r w:rsidRPr="00550962">
        <w:t>zařízením,</w:t>
      </w:r>
    </w:p>
    <w:p w14:paraId="6E320962" w14:textId="292CED5B" w:rsidR="000F0085" w:rsidRDefault="000F0085" w:rsidP="00AB5ED2">
      <w:pPr>
        <w:pStyle w:val="Textparagrafu"/>
        <w:tabs>
          <w:tab w:val="left" w:pos="392"/>
          <w:tab w:val="left" w:pos="840"/>
        </w:tabs>
        <w:spacing w:before="0"/>
        <w:ind w:left="426" w:hanging="426"/>
      </w:pPr>
      <w:r w:rsidRPr="00550962">
        <w:t>h)</w:t>
      </w:r>
      <w:r w:rsidR="00FA61A3">
        <w:tab/>
      </w:r>
      <w:r w:rsidRPr="00550962">
        <w:t>podmínky</w:t>
      </w:r>
      <w:r>
        <w:t xml:space="preserve"> </w:t>
      </w:r>
      <w:r w:rsidRPr="00550962">
        <w:t>pro</w:t>
      </w:r>
      <w:r>
        <w:t xml:space="preserve"> </w:t>
      </w:r>
      <w:r w:rsidRPr="00550962">
        <w:t>využití</w:t>
      </w:r>
      <w:r>
        <w:t xml:space="preserve"> </w:t>
      </w:r>
      <w:r w:rsidRPr="00550962">
        <w:t>asistenta</w:t>
      </w:r>
      <w:r>
        <w:t xml:space="preserve"> </w:t>
      </w:r>
      <w:r w:rsidRPr="00550962">
        <w:t>pedagoga</w:t>
      </w:r>
      <w:r>
        <w:t xml:space="preserve"> </w:t>
      </w:r>
      <w:r w:rsidRPr="00550962">
        <w:t>a</w:t>
      </w:r>
      <w:r>
        <w:t xml:space="preserve"> </w:t>
      </w:r>
      <w:r w:rsidRPr="00550962">
        <w:t>pravidla</w:t>
      </w:r>
      <w:r>
        <w:t xml:space="preserve"> </w:t>
      </w:r>
      <w:r w:rsidRPr="00550962">
        <w:t>jeho</w:t>
      </w:r>
      <w:r>
        <w:t xml:space="preserve"> </w:t>
      </w:r>
      <w:r w:rsidRPr="00550962">
        <w:t>činnosti</w:t>
      </w:r>
      <w:r>
        <w:t xml:space="preserve"> </w:t>
      </w:r>
      <w:r w:rsidRPr="00550962">
        <w:t>a</w:t>
      </w:r>
      <w:r>
        <w:t xml:space="preserve"> </w:t>
      </w:r>
      <w:r w:rsidRPr="00550962">
        <w:t>podmínky</w:t>
      </w:r>
      <w:r>
        <w:t xml:space="preserve"> </w:t>
      </w:r>
      <w:r w:rsidRPr="00550962">
        <w:t>působení</w:t>
      </w:r>
      <w:r>
        <w:t xml:space="preserve"> </w:t>
      </w:r>
      <w:r w:rsidRPr="00550962">
        <w:t>osob</w:t>
      </w:r>
      <w:r>
        <w:t xml:space="preserve"> </w:t>
      </w:r>
      <w:r w:rsidRPr="00550962">
        <w:t>poskytujících</w:t>
      </w:r>
      <w:r>
        <w:t xml:space="preserve"> </w:t>
      </w:r>
      <w:r w:rsidRPr="00550962">
        <w:t>dítěti,</w:t>
      </w:r>
      <w:r>
        <w:t xml:space="preserve"> </w:t>
      </w:r>
      <w:r w:rsidRPr="00550962">
        <w:t>žákovi</w:t>
      </w:r>
      <w:r>
        <w:t xml:space="preserve"> </w:t>
      </w:r>
      <w:r w:rsidRPr="00550962">
        <w:t>nebo</w:t>
      </w:r>
      <w:r>
        <w:t xml:space="preserve"> </w:t>
      </w:r>
      <w:r w:rsidRPr="00550962">
        <w:t>studentovi</w:t>
      </w:r>
      <w:r>
        <w:t xml:space="preserve"> </w:t>
      </w:r>
      <w:r w:rsidRPr="00550962">
        <w:t>po</w:t>
      </w:r>
      <w:r>
        <w:t xml:space="preserve"> </w:t>
      </w:r>
      <w:r w:rsidRPr="00550962">
        <w:t>dobu</w:t>
      </w:r>
      <w:r>
        <w:t xml:space="preserve"> </w:t>
      </w:r>
      <w:r w:rsidRPr="00550962">
        <w:t>jeho</w:t>
      </w:r>
      <w:r>
        <w:t xml:space="preserve"> </w:t>
      </w:r>
      <w:r w:rsidRPr="00550962">
        <w:t>pobytu</w:t>
      </w:r>
      <w:r>
        <w:t xml:space="preserve"> </w:t>
      </w:r>
      <w:r w:rsidRPr="00550962">
        <w:t>ve</w:t>
      </w:r>
      <w:r>
        <w:t xml:space="preserve"> </w:t>
      </w:r>
      <w:r w:rsidRPr="00550962">
        <w:t>škole</w:t>
      </w:r>
      <w:r>
        <w:t xml:space="preserve"> </w:t>
      </w:r>
      <w:r w:rsidRPr="00550962">
        <w:t>nebo</w:t>
      </w:r>
      <w:r>
        <w:t xml:space="preserve"> </w:t>
      </w:r>
      <w:r w:rsidRPr="00550962">
        <w:t>školském</w:t>
      </w:r>
      <w:r>
        <w:t xml:space="preserve"> </w:t>
      </w:r>
      <w:r w:rsidRPr="00550962">
        <w:t>zařízení</w:t>
      </w:r>
      <w:r>
        <w:t xml:space="preserve"> </w:t>
      </w:r>
      <w:r w:rsidRPr="00550962">
        <w:t>podporu</w:t>
      </w:r>
      <w:r>
        <w:t xml:space="preserve"> </w:t>
      </w:r>
      <w:r w:rsidRPr="00550962">
        <w:t>podle</w:t>
      </w:r>
      <w:r>
        <w:t xml:space="preserve"> </w:t>
      </w:r>
      <w:r w:rsidRPr="00550962">
        <w:t>zvláštních</w:t>
      </w:r>
      <w:r>
        <w:t xml:space="preserve"> </w:t>
      </w:r>
      <w:r w:rsidRPr="00550962">
        <w:t>právních</w:t>
      </w:r>
      <w:r>
        <w:t xml:space="preserve"> </w:t>
      </w:r>
      <w:r w:rsidRPr="00550962">
        <w:t>předpisů,</w:t>
      </w:r>
    </w:p>
    <w:p w14:paraId="109EE6CC" w14:textId="301FDC26" w:rsidR="000F0085" w:rsidRDefault="000F0085" w:rsidP="00AB5ED2">
      <w:pPr>
        <w:pStyle w:val="Textparagrafu"/>
        <w:tabs>
          <w:tab w:val="left" w:pos="392"/>
          <w:tab w:val="left" w:pos="840"/>
        </w:tabs>
        <w:spacing w:before="0"/>
        <w:ind w:left="426" w:hanging="426"/>
      </w:pPr>
      <w:r w:rsidRPr="00550962">
        <w:t>i)</w:t>
      </w:r>
      <w:r w:rsidR="00FA61A3">
        <w:tab/>
      </w:r>
      <w:r w:rsidRPr="00550962">
        <w:t>náležitosti</w:t>
      </w:r>
      <w:r>
        <w:t xml:space="preserve"> </w:t>
      </w:r>
      <w:r w:rsidRPr="00550962">
        <w:t>individuálního</w:t>
      </w:r>
      <w:r>
        <w:t xml:space="preserve"> </w:t>
      </w:r>
      <w:r w:rsidRPr="00550962">
        <w:t>vzdělávacího</w:t>
      </w:r>
      <w:r>
        <w:t xml:space="preserve"> </w:t>
      </w:r>
      <w:r w:rsidRPr="00550962">
        <w:t>plánu,</w:t>
      </w:r>
    </w:p>
    <w:p w14:paraId="3B08CCB1" w14:textId="20CEEAD4" w:rsidR="000F0085" w:rsidRDefault="000F0085" w:rsidP="00AB5ED2">
      <w:pPr>
        <w:pStyle w:val="Textparagrafu"/>
        <w:tabs>
          <w:tab w:val="left" w:pos="392"/>
          <w:tab w:val="left" w:pos="840"/>
        </w:tabs>
        <w:spacing w:before="0"/>
        <w:ind w:left="426" w:hanging="426"/>
      </w:pPr>
      <w:r w:rsidRPr="00550962">
        <w:t>j)</w:t>
      </w:r>
      <w:r w:rsidR="00FA61A3">
        <w:tab/>
      </w:r>
      <w:r w:rsidRPr="00550962">
        <w:t>náležitosti</w:t>
      </w:r>
      <w:r>
        <w:t xml:space="preserve"> </w:t>
      </w:r>
      <w:r w:rsidRPr="00550962">
        <w:t>informovaného</w:t>
      </w:r>
      <w:r>
        <w:t xml:space="preserve"> </w:t>
      </w:r>
      <w:r w:rsidRPr="00550962">
        <w:t>souhlasu</w:t>
      </w:r>
      <w:r>
        <w:t xml:space="preserve"> </w:t>
      </w:r>
      <w:r w:rsidRPr="00550962">
        <w:t>s</w:t>
      </w:r>
      <w:r>
        <w:t xml:space="preserve"> </w:t>
      </w:r>
      <w:r w:rsidRPr="00550962">
        <w:t>poskytnutím</w:t>
      </w:r>
      <w:r>
        <w:t xml:space="preserve"> </w:t>
      </w:r>
      <w:r w:rsidRPr="00550962">
        <w:t>podpůrného</w:t>
      </w:r>
      <w:r>
        <w:t xml:space="preserve"> </w:t>
      </w:r>
      <w:r w:rsidRPr="00550962">
        <w:t>opatření</w:t>
      </w:r>
      <w:r>
        <w:t xml:space="preserve"> </w:t>
      </w:r>
      <w:r w:rsidRPr="00550962">
        <w:t>podle</w:t>
      </w:r>
      <w:r>
        <w:t xml:space="preserve"> </w:t>
      </w:r>
      <w:r w:rsidRPr="00550962">
        <w:t>§</w:t>
      </w:r>
      <w:r>
        <w:t xml:space="preserve"> </w:t>
      </w:r>
      <w:r w:rsidRPr="00550962">
        <w:t>16</w:t>
      </w:r>
      <w:r>
        <w:t xml:space="preserve"> </w:t>
      </w:r>
      <w:r w:rsidRPr="00550962">
        <w:t>odst.</w:t>
      </w:r>
      <w:r>
        <w:t xml:space="preserve"> </w:t>
      </w:r>
      <w:r w:rsidRPr="00550962">
        <w:t>4</w:t>
      </w:r>
      <w:r>
        <w:t xml:space="preserve"> </w:t>
      </w:r>
      <w:r w:rsidRPr="00550962">
        <w:t>a</w:t>
      </w:r>
      <w:r>
        <w:t xml:space="preserve"> </w:t>
      </w:r>
      <w:r w:rsidRPr="00550962">
        <w:t>5</w:t>
      </w:r>
      <w:r>
        <w:t xml:space="preserve"> </w:t>
      </w:r>
      <w:r w:rsidRPr="00550962">
        <w:t>a</w:t>
      </w:r>
      <w:r>
        <w:t xml:space="preserve"> </w:t>
      </w:r>
      <w:r w:rsidRPr="00550962">
        <w:t>žádosti</w:t>
      </w:r>
      <w:r>
        <w:t xml:space="preserve"> </w:t>
      </w:r>
      <w:r w:rsidRPr="00550962">
        <w:t>podle</w:t>
      </w:r>
      <w:r>
        <w:t xml:space="preserve"> </w:t>
      </w:r>
      <w:r w:rsidRPr="00550962">
        <w:t>§</w:t>
      </w:r>
      <w:r>
        <w:t xml:space="preserve"> </w:t>
      </w:r>
      <w:r w:rsidRPr="00550962">
        <w:t>16</w:t>
      </w:r>
      <w:r>
        <w:t xml:space="preserve"> </w:t>
      </w:r>
      <w:r w:rsidRPr="00550962">
        <w:t>odst.</w:t>
      </w:r>
      <w:r>
        <w:t xml:space="preserve"> </w:t>
      </w:r>
      <w:r w:rsidRPr="00550962">
        <w:t>9,</w:t>
      </w:r>
    </w:p>
    <w:p w14:paraId="5BA17F10" w14:textId="2990B741" w:rsidR="000F0085" w:rsidRPr="00550962" w:rsidRDefault="000F0085" w:rsidP="00AB5ED2">
      <w:pPr>
        <w:pStyle w:val="Textparagrafu"/>
        <w:tabs>
          <w:tab w:val="left" w:pos="392"/>
          <w:tab w:val="left" w:pos="840"/>
        </w:tabs>
        <w:spacing w:before="0"/>
        <w:ind w:left="426" w:hanging="426"/>
      </w:pPr>
      <w:r w:rsidRPr="00550962">
        <w:t>k)</w:t>
      </w:r>
      <w:r w:rsidR="00FA61A3">
        <w:tab/>
      </w:r>
      <w:r w:rsidRPr="00550962">
        <w:t>pravidla</w:t>
      </w:r>
      <w:r>
        <w:t xml:space="preserve"> </w:t>
      </w:r>
      <w:r w:rsidRPr="00550962">
        <w:t>a</w:t>
      </w:r>
      <w:r>
        <w:t xml:space="preserve"> </w:t>
      </w:r>
      <w:r w:rsidRPr="00550962">
        <w:t>náležitosti</w:t>
      </w:r>
      <w:r>
        <w:t xml:space="preserve"> </w:t>
      </w:r>
      <w:r w:rsidRPr="00550962">
        <w:t>zjišťování</w:t>
      </w:r>
      <w:r>
        <w:t xml:space="preserve"> </w:t>
      </w:r>
      <w:r w:rsidRPr="00550962">
        <w:t>vzdělávacích</w:t>
      </w:r>
      <w:r>
        <w:t xml:space="preserve"> </w:t>
      </w:r>
      <w:r w:rsidRPr="00550962">
        <w:t>potřeb</w:t>
      </w:r>
      <w:r>
        <w:t xml:space="preserve"> </w:t>
      </w:r>
      <w:r w:rsidRPr="00550962">
        <w:t>nadaných</w:t>
      </w:r>
      <w:r>
        <w:t xml:space="preserve"> </w:t>
      </w:r>
      <w:r w:rsidRPr="00550962">
        <w:t>dětí,</w:t>
      </w:r>
      <w:r>
        <w:t xml:space="preserve"> </w:t>
      </w:r>
      <w:r w:rsidRPr="00550962">
        <w:t>žáků</w:t>
      </w:r>
      <w:r>
        <w:t xml:space="preserve"> </w:t>
      </w:r>
      <w:r w:rsidRPr="00550962">
        <w:t>a</w:t>
      </w:r>
      <w:r>
        <w:t xml:space="preserve"> </w:t>
      </w:r>
      <w:r w:rsidRPr="00550962">
        <w:t>studentů,</w:t>
      </w:r>
      <w:r>
        <w:t xml:space="preserve"> </w:t>
      </w:r>
      <w:r w:rsidRPr="00550962">
        <w:t>úpravu</w:t>
      </w:r>
      <w:r>
        <w:t xml:space="preserve"> </w:t>
      </w:r>
      <w:r w:rsidRPr="00550962">
        <w:t>organizace,</w:t>
      </w:r>
      <w:r>
        <w:t xml:space="preserve"> </w:t>
      </w:r>
      <w:r w:rsidRPr="00550962">
        <w:t>přijímání,</w:t>
      </w:r>
      <w:r>
        <w:t xml:space="preserve"> </w:t>
      </w:r>
      <w:r w:rsidRPr="00550962">
        <w:t>průběhu</w:t>
      </w:r>
      <w:r>
        <w:t xml:space="preserve"> </w:t>
      </w:r>
      <w:r w:rsidRPr="00550962">
        <w:t>a</w:t>
      </w:r>
      <w:r>
        <w:t xml:space="preserve"> </w:t>
      </w:r>
      <w:r w:rsidRPr="00550962">
        <w:t>ukončování</w:t>
      </w:r>
      <w:r>
        <w:t xml:space="preserve"> </w:t>
      </w:r>
      <w:r w:rsidRPr="00550962">
        <w:t>jejich</w:t>
      </w:r>
      <w:r>
        <w:t xml:space="preserve"> </w:t>
      </w:r>
      <w:r w:rsidRPr="00550962">
        <w:t>vzdělávání</w:t>
      </w:r>
      <w:r>
        <w:t xml:space="preserve"> </w:t>
      </w:r>
      <w:r w:rsidRPr="00550962">
        <w:t>a</w:t>
      </w:r>
      <w:r>
        <w:t xml:space="preserve"> </w:t>
      </w:r>
      <w:r w:rsidRPr="00550962">
        <w:t>podmínky</w:t>
      </w:r>
      <w:r>
        <w:t xml:space="preserve"> </w:t>
      </w:r>
      <w:r w:rsidRPr="00550962">
        <w:t>pro</w:t>
      </w:r>
      <w:r>
        <w:t xml:space="preserve"> </w:t>
      </w:r>
      <w:r w:rsidRPr="00550962">
        <w:t>přeřazování</w:t>
      </w:r>
      <w:r>
        <w:t xml:space="preserve"> </w:t>
      </w:r>
      <w:r w:rsidRPr="00550962">
        <w:t>do</w:t>
      </w:r>
      <w:r>
        <w:t xml:space="preserve"> </w:t>
      </w:r>
      <w:r w:rsidRPr="00550962">
        <w:t>vyššího</w:t>
      </w:r>
      <w:r>
        <w:t xml:space="preserve"> </w:t>
      </w:r>
      <w:r w:rsidRPr="00550962">
        <w:t>ročníku.</w:t>
      </w:r>
    </w:p>
    <w:p w14:paraId="0C0251CA" w14:textId="0BC2597B" w:rsidR="00A94E18" w:rsidRDefault="00A94E18" w:rsidP="00FA61A3">
      <w:pPr>
        <w:pStyle w:val="Textparagrafu"/>
        <w:tabs>
          <w:tab w:val="left" w:pos="406"/>
          <w:tab w:val="left" w:pos="840"/>
          <w:tab w:val="left" w:pos="868"/>
        </w:tabs>
        <w:spacing w:after="120"/>
        <w:ind w:firstLine="0"/>
        <w:jc w:val="center"/>
      </w:pPr>
      <w:r>
        <w:t>***</w:t>
      </w:r>
    </w:p>
    <w:p w14:paraId="6DE4F2D5" w14:textId="6EB91322" w:rsidR="00A94E18" w:rsidRDefault="00FA61A3" w:rsidP="00FA61A3">
      <w:pPr>
        <w:pStyle w:val="Textparagrafu"/>
        <w:tabs>
          <w:tab w:val="left" w:pos="406"/>
          <w:tab w:val="left" w:pos="840"/>
          <w:tab w:val="left" w:pos="868"/>
        </w:tabs>
        <w:spacing w:after="120"/>
        <w:ind w:firstLine="0"/>
        <w:jc w:val="center"/>
      </w:pPr>
      <w:r>
        <w:t>§ 28</w:t>
      </w:r>
    </w:p>
    <w:p w14:paraId="0021E524" w14:textId="06C8822E" w:rsidR="00A94E18" w:rsidRDefault="00A94E18" w:rsidP="00FA61A3">
      <w:pPr>
        <w:pStyle w:val="Textparagrafu"/>
        <w:tabs>
          <w:tab w:val="left" w:pos="406"/>
          <w:tab w:val="left" w:pos="840"/>
          <w:tab w:val="left" w:pos="868"/>
        </w:tabs>
        <w:spacing w:after="120"/>
      </w:pPr>
      <w:r>
        <w:t>(1) Školy a školská zařízení vedou podle povahy své činnosti tuto dokumentaci:</w:t>
      </w:r>
    </w:p>
    <w:p w14:paraId="1DB600F4" w14:textId="7AF9D6F6" w:rsidR="00A94E18" w:rsidRDefault="00A94E18" w:rsidP="00AB5ED2">
      <w:pPr>
        <w:pStyle w:val="Textparagrafu"/>
        <w:tabs>
          <w:tab w:val="left" w:pos="406"/>
          <w:tab w:val="left" w:pos="840"/>
          <w:tab w:val="left" w:pos="868"/>
        </w:tabs>
        <w:spacing w:before="0"/>
        <w:ind w:left="426" w:hanging="426"/>
      </w:pPr>
      <w:r>
        <w:t>a)</w:t>
      </w:r>
      <w:r w:rsidR="00FA61A3">
        <w:tab/>
      </w:r>
      <w:r>
        <w:t>rozhodnutí o zápisu do školského rejstříku a o jeho změnách a doklady uvedené v § 147,</w:t>
      </w:r>
    </w:p>
    <w:p w14:paraId="009E45ED" w14:textId="37F8EA91" w:rsidR="00A94E18" w:rsidRDefault="00A94E18" w:rsidP="00AB5ED2">
      <w:pPr>
        <w:pStyle w:val="Textparagrafu"/>
        <w:tabs>
          <w:tab w:val="left" w:pos="406"/>
          <w:tab w:val="left" w:pos="840"/>
          <w:tab w:val="left" w:pos="868"/>
        </w:tabs>
        <w:spacing w:before="0"/>
        <w:ind w:left="426" w:hanging="426"/>
      </w:pPr>
      <w:r>
        <w:t>b)</w:t>
      </w:r>
      <w:r w:rsidR="00FA61A3">
        <w:tab/>
      </w:r>
      <w:r>
        <w:t>evidenci dětí, žáků nebo studentů (dále jen "školní matrika"),</w:t>
      </w:r>
    </w:p>
    <w:p w14:paraId="7151403D" w14:textId="7FD53768" w:rsidR="00A94E18" w:rsidRDefault="00A94E18" w:rsidP="00AB5ED2">
      <w:pPr>
        <w:pStyle w:val="Textparagrafu"/>
        <w:tabs>
          <w:tab w:val="left" w:pos="406"/>
          <w:tab w:val="left" w:pos="840"/>
          <w:tab w:val="left" w:pos="868"/>
        </w:tabs>
        <w:spacing w:before="0"/>
        <w:ind w:left="426" w:hanging="426"/>
      </w:pPr>
      <w:r>
        <w:t>c)</w:t>
      </w:r>
      <w:r w:rsidR="00FA61A3">
        <w:tab/>
      </w:r>
      <w:r>
        <w:t>doklady o přijímání dětí, žáků, studentů a uchazečů ke vzdělávání, o průběhu vzdělávání a jeho ukončování,</w:t>
      </w:r>
    </w:p>
    <w:p w14:paraId="718BC9E4" w14:textId="3B3BA29C" w:rsidR="00A94E18" w:rsidRDefault="00A94E18" w:rsidP="00AB5ED2">
      <w:pPr>
        <w:pStyle w:val="Textparagrafu"/>
        <w:tabs>
          <w:tab w:val="left" w:pos="406"/>
          <w:tab w:val="left" w:pos="840"/>
          <w:tab w:val="left" w:pos="868"/>
        </w:tabs>
        <w:spacing w:before="0"/>
        <w:ind w:left="426" w:hanging="426"/>
      </w:pPr>
      <w:r>
        <w:t>d)</w:t>
      </w:r>
      <w:r w:rsidR="00FA61A3">
        <w:tab/>
      </w:r>
      <w:r>
        <w:t>vzdělávací programy podle § 4 až 6,</w:t>
      </w:r>
    </w:p>
    <w:p w14:paraId="49DB758E" w14:textId="158FCBEB" w:rsidR="00A94E18" w:rsidRDefault="00A94E18" w:rsidP="00AB5ED2">
      <w:pPr>
        <w:pStyle w:val="Textparagrafu"/>
        <w:tabs>
          <w:tab w:val="left" w:pos="406"/>
          <w:tab w:val="left" w:pos="840"/>
          <w:tab w:val="left" w:pos="868"/>
        </w:tabs>
        <w:spacing w:before="0"/>
        <w:ind w:left="426" w:hanging="426"/>
      </w:pPr>
      <w:r>
        <w:t>e)</w:t>
      </w:r>
      <w:r w:rsidR="00FA61A3">
        <w:tab/>
      </w:r>
      <w:r>
        <w:t>výroční zprávy o činnosti školy,</w:t>
      </w:r>
    </w:p>
    <w:p w14:paraId="5749880D" w14:textId="30FE7F1F" w:rsidR="00A94E18" w:rsidRDefault="00A94E18" w:rsidP="00AB5ED2">
      <w:pPr>
        <w:pStyle w:val="Textparagrafu"/>
        <w:tabs>
          <w:tab w:val="left" w:pos="406"/>
          <w:tab w:val="left" w:pos="840"/>
          <w:tab w:val="left" w:pos="868"/>
        </w:tabs>
        <w:spacing w:before="0"/>
        <w:ind w:left="426" w:hanging="426"/>
      </w:pPr>
      <w:r>
        <w:t>f)</w:t>
      </w:r>
      <w:r w:rsidR="00FA61A3">
        <w:tab/>
      </w:r>
      <w:r>
        <w:t>třídní knihu, která obsahuje průkazné údaje o poskytovaném vzdělávání a jeho průběhu,</w:t>
      </w:r>
    </w:p>
    <w:p w14:paraId="6C2ABE45" w14:textId="2DDA4A51" w:rsidR="00A94E18" w:rsidRDefault="00A94E18" w:rsidP="00AB5ED2">
      <w:pPr>
        <w:pStyle w:val="Textparagrafu"/>
        <w:tabs>
          <w:tab w:val="left" w:pos="406"/>
          <w:tab w:val="left" w:pos="840"/>
          <w:tab w:val="left" w:pos="868"/>
        </w:tabs>
        <w:spacing w:before="0"/>
        <w:ind w:left="426" w:hanging="426"/>
      </w:pPr>
      <w:r>
        <w:t>g)</w:t>
      </w:r>
      <w:r w:rsidR="00FA61A3">
        <w:tab/>
      </w:r>
      <w:r>
        <w:t>školní řád nebo vnitřní řád, rozvrh vyučovacích hodin,</w:t>
      </w:r>
    </w:p>
    <w:p w14:paraId="246B532E" w14:textId="498DA29B" w:rsidR="00A94E18" w:rsidRDefault="00A94E18" w:rsidP="00AB5ED2">
      <w:pPr>
        <w:pStyle w:val="Textparagrafu"/>
        <w:tabs>
          <w:tab w:val="left" w:pos="406"/>
          <w:tab w:val="left" w:pos="840"/>
          <w:tab w:val="left" w:pos="868"/>
        </w:tabs>
        <w:spacing w:before="0"/>
        <w:ind w:left="426" w:hanging="426"/>
      </w:pPr>
      <w:r>
        <w:t>h)</w:t>
      </w:r>
      <w:r w:rsidR="00FA61A3">
        <w:tab/>
      </w:r>
      <w:r>
        <w:t>záznamy z pedagogických rad,</w:t>
      </w:r>
    </w:p>
    <w:p w14:paraId="20638B87" w14:textId="643EB6FF" w:rsidR="00A94E18" w:rsidRDefault="00A94E18" w:rsidP="00AB5ED2">
      <w:pPr>
        <w:pStyle w:val="Textparagrafu"/>
        <w:tabs>
          <w:tab w:val="left" w:pos="406"/>
          <w:tab w:val="left" w:pos="840"/>
          <w:tab w:val="left" w:pos="868"/>
        </w:tabs>
        <w:spacing w:before="0"/>
        <w:ind w:left="426" w:hanging="426"/>
      </w:pPr>
      <w:r>
        <w:t>i)</w:t>
      </w:r>
      <w:r w:rsidR="00FA61A3">
        <w:tab/>
      </w:r>
      <w:r>
        <w:t>knihu úrazů a záznamy o úrazech dětí, žáků a studentů, popřípadě lékařské posudky,</w:t>
      </w:r>
    </w:p>
    <w:p w14:paraId="7C126363" w14:textId="2AFE8163" w:rsidR="00A94E18" w:rsidRDefault="00A94E18" w:rsidP="00AB5ED2">
      <w:pPr>
        <w:pStyle w:val="Textparagrafu"/>
        <w:tabs>
          <w:tab w:val="left" w:pos="406"/>
          <w:tab w:val="left" w:pos="840"/>
          <w:tab w:val="left" w:pos="868"/>
        </w:tabs>
        <w:spacing w:before="0"/>
        <w:ind w:left="426" w:hanging="426"/>
      </w:pPr>
      <w:r>
        <w:t>j)</w:t>
      </w:r>
      <w:r w:rsidR="00FA61A3">
        <w:tab/>
      </w:r>
      <w:r>
        <w:t>protokoly a záznamy o provedených kontrolách a inspekční zprávy,</w:t>
      </w:r>
    </w:p>
    <w:p w14:paraId="70C2990F" w14:textId="04D6C48F" w:rsidR="00A94E18" w:rsidRDefault="00FA61A3" w:rsidP="00AB5ED2">
      <w:pPr>
        <w:pStyle w:val="Textparagrafu"/>
        <w:tabs>
          <w:tab w:val="left" w:pos="406"/>
          <w:tab w:val="left" w:pos="840"/>
          <w:tab w:val="left" w:pos="868"/>
        </w:tabs>
        <w:spacing w:before="0"/>
        <w:ind w:left="426" w:hanging="426"/>
      </w:pPr>
      <w:r>
        <w:lastRenderedPageBreak/>
        <w:t>k)</w:t>
      </w:r>
      <w:r>
        <w:tab/>
      </w:r>
      <w:r w:rsidR="00A94E18">
        <w:t xml:space="preserve">personální a mzdovou dokumentaci, </w:t>
      </w:r>
      <w:r w:rsidR="00A94E18" w:rsidRPr="00F33823">
        <w:rPr>
          <w:strike/>
        </w:rPr>
        <w:t xml:space="preserve">hospodářskou </w:t>
      </w:r>
      <w:r w:rsidRPr="00F33823">
        <w:rPr>
          <w:strike/>
        </w:rPr>
        <w:t>dokumentaci a účetní evidenci</w:t>
      </w:r>
      <w:r w:rsidRPr="00F33823">
        <w:rPr>
          <w:rStyle w:val="Znakapoznpodarou"/>
          <w:strike/>
        </w:rPr>
        <w:footnoteReference w:customMarkFollows="1" w:id="462"/>
        <w:t>15)</w:t>
      </w:r>
      <w:r w:rsidR="00A94E18">
        <w:t xml:space="preserve"> </w:t>
      </w:r>
      <w:r w:rsidR="00F33823">
        <w:rPr>
          <w:b/>
          <w:bCs/>
          <w:szCs w:val="24"/>
          <w:shd w:val="clear" w:color="auto" w:fill="FFFFFF"/>
        </w:rPr>
        <w:t>dokumentaci k zajištění veškerých povinností vztahujících se k účetnictví</w:t>
      </w:r>
      <w:r w:rsidR="00F33823">
        <w:t xml:space="preserve"> </w:t>
      </w:r>
      <w:r w:rsidR="00A94E18">
        <w:t xml:space="preserve">a další dokumentaci stanovenou </w:t>
      </w:r>
      <w:r>
        <w:t>zvláštními právními předpisy.</w:t>
      </w:r>
      <w:r>
        <w:rPr>
          <w:rStyle w:val="Znakapoznpodarou"/>
        </w:rPr>
        <w:footnoteReference w:customMarkFollows="1" w:id="463"/>
        <w:t>16)</w:t>
      </w:r>
    </w:p>
    <w:p w14:paraId="09C6AAAA" w14:textId="47A7F8BF" w:rsidR="00A94E18" w:rsidRDefault="00A94E18" w:rsidP="00DA3203">
      <w:pPr>
        <w:pStyle w:val="Textparagrafu"/>
        <w:tabs>
          <w:tab w:val="left" w:pos="406"/>
          <w:tab w:val="left" w:pos="840"/>
          <w:tab w:val="left" w:pos="868"/>
        </w:tabs>
        <w:spacing w:after="120"/>
      </w:pPr>
      <w:r>
        <w:t>(2) Školní matrika školy podle povahy její činnosti obsahuje tyto údaje o dítěti, žákovi nebo studentovi:</w:t>
      </w:r>
    </w:p>
    <w:p w14:paraId="4F6AB620" w14:textId="17A7ECCC" w:rsidR="00A94E18" w:rsidRDefault="00A94E18" w:rsidP="00AB5ED2">
      <w:pPr>
        <w:pStyle w:val="Textparagrafu"/>
        <w:tabs>
          <w:tab w:val="left" w:pos="406"/>
          <w:tab w:val="left" w:pos="840"/>
          <w:tab w:val="left" w:pos="868"/>
        </w:tabs>
        <w:spacing w:before="0"/>
        <w:ind w:left="426" w:hanging="426"/>
      </w:pPr>
      <w:r>
        <w:t>a)</w:t>
      </w:r>
      <w:r w:rsidR="00DA3203">
        <w:tab/>
      </w:r>
      <w:r>
        <w:t>jméno a příjmení, rodné číslo, popřípadě datum narození, nebylo-li rodné číslo dítěti, žákovi nebo studentovi přiděleno, dále státní občanství, místo narození a místo trvalého pobytu, popřípadě místo pobytu na území České republiky podle druhu pobytu cizince nebo místo pobytu v zahraničí, nepobývá-li dítě, žák nebo student na území České republiky,</w:t>
      </w:r>
    </w:p>
    <w:p w14:paraId="7DFE28F3" w14:textId="129523B0" w:rsidR="00A94E18" w:rsidRDefault="00A94E18" w:rsidP="00AB5ED2">
      <w:pPr>
        <w:pStyle w:val="Textparagrafu"/>
        <w:tabs>
          <w:tab w:val="left" w:pos="406"/>
          <w:tab w:val="left" w:pos="840"/>
          <w:tab w:val="left" w:pos="868"/>
        </w:tabs>
        <w:spacing w:before="0"/>
        <w:ind w:left="426" w:hanging="426"/>
      </w:pPr>
      <w:r>
        <w:t>b)</w:t>
      </w:r>
      <w:r w:rsidR="00DA3203">
        <w:tab/>
      </w:r>
      <w:r>
        <w:t>údaje o předchozím vzdělávání, včetně dosaženého stupně vzdělání,</w:t>
      </w:r>
    </w:p>
    <w:p w14:paraId="3782C5D9" w14:textId="3CCB9639" w:rsidR="00A94E18" w:rsidRDefault="00A94E18" w:rsidP="00AB5ED2">
      <w:pPr>
        <w:pStyle w:val="Textparagrafu"/>
        <w:tabs>
          <w:tab w:val="left" w:pos="406"/>
          <w:tab w:val="left" w:pos="840"/>
          <w:tab w:val="left" w:pos="868"/>
        </w:tabs>
        <w:spacing w:before="0"/>
        <w:ind w:left="426" w:hanging="426"/>
      </w:pPr>
      <w:r>
        <w:t>c)</w:t>
      </w:r>
      <w:r w:rsidR="00DA3203">
        <w:tab/>
      </w:r>
      <w:r>
        <w:t>obor, formu a délku vzdělávání, jde-li o střední a vyšší odbornou školu,</w:t>
      </w:r>
    </w:p>
    <w:p w14:paraId="52600EE8" w14:textId="664045D0" w:rsidR="00A94E18" w:rsidRDefault="00A94E18" w:rsidP="00AB5ED2">
      <w:pPr>
        <w:pStyle w:val="Textparagrafu"/>
        <w:tabs>
          <w:tab w:val="left" w:pos="406"/>
          <w:tab w:val="left" w:pos="840"/>
          <w:tab w:val="left" w:pos="868"/>
        </w:tabs>
        <w:spacing w:before="0"/>
        <w:ind w:left="426" w:hanging="426"/>
      </w:pPr>
      <w:r>
        <w:t>d)</w:t>
      </w:r>
      <w:r w:rsidR="00DA3203">
        <w:tab/>
      </w:r>
      <w:r>
        <w:t>datum zahájení vzdělávání ve škole,</w:t>
      </w:r>
    </w:p>
    <w:p w14:paraId="172B3415" w14:textId="48F0EDF9" w:rsidR="00A94E18" w:rsidRDefault="00A94E18" w:rsidP="00AB5ED2">
      <w:pPr>
        <w:pStyle w:val="Textparagrafu"/>
        <w:tabs>
          <w:tab w:val="left" w:pos="406"/>
          <w:tab w:val="left" w:pos="840"/>
          <w:tab w:val="left" w:pos="868"/>
        </w:tabs>
        <w:spacing w:before="0"/>
        <w:ind w:left="426" w:hanging="426"/>
      </w:pPr>
      <w:r>
        <w:t>e)</w:t>
      </w:r>
      <w:r w:rsidR="00DA3203">
        <w:tab/>
      </w:r>
      <w:r>
        <w:t>údaje o průběhu a výsledcích vzdělávání ve škole, vyučovací jazyk,</w:t>
      </w:r>
    </w:p>
    <w:p w14:paraId="2E0A92F4" w14:textId="652F387F" w:rsidR="00A94E18" w:rsidRDefault="00A94E18" w:rsidP="00AB5ED2">
      <w:pPr>
        <w:pStyle w:val="Textparagrafu"/>
        <w:tabs>
          <w:tab w:val="left" w:pos="406"/>
          <w:tab w:val="left" w:pos="840"/>
          <w:tab w:val="left" w:pos="868"/>
        </w:tabs>
        <w:spacing w:before="0"/>
        <w:ind w:left="426" w:hanging="426"/>
      </w:pPr>
      <w:r>
        <w:t>f)</w:t>
      </w:r>
      <w:r w:rsidR="00DA3203">
        <w:tab/>
      </w:r>
      <w:r>
        <w:t>údaje o znevýhodnění dítěte, žáka nebo studenta uvedeném v § 16, údaje o mimořádném nadání, údaje o podpůrných opatřeních poskytovaných dítěti, žákovi nebo studentovi školou v souladu s § 16, a o závěrech vyšetření uvedených v doporučení školského poradenského zařízení,</w:t>
      </w:r>
    </w:p>
    <w:p w14:paraId="3292339E" w14:textId="1228A82B" w:rsidR="00A94E18" w:rsidRDefault="00A94E18" w:rsidP="00AB5ED2">
      <w:pPr>
        <w:pStyle w:val="Textparagrafu"/>
        <w:tabs>
          <w:tab w:val="left" w:pos="406"/>
          <w:tab w:val="left" w:pos="840"/>
          <w:tab w:val="left" w:pos="868"/>
        </w:tabs>
        <w:spacing w:before="0"/>
        <w:ind w:left="426" w:hanging="426"/>
      </w:pPr>
      <w:r>
        <w:t>g)</w:t>
      </w:r>
      <w:r w:rsidR="00DA3203">
        <w:tab/>
      </w:r>
      <w:r>
        <w:t>údaje o zdravotní způsobilosti ke vzdělávání a o zdravotních obtížích, které by mohly mít vliv na průběh vzdělávání,</w:t>
      </w:r>
    </w:p>
    <w:p w14:paraId="12E7A214" w14:textId="27FB3874" w:rsidR="00A94E18" w:rsidRDefault="00A94E18" w:rsidP="00AB5ED2">
      <w:pPr>
        <w:pStyle w:val="Textparagrafu"/>
        <w:tabs>
          <w:tab w:val="left" w:pos="406"/>
          <w:tab w:val="left" w:pos="840"/>
          <w:tab w:val="left" w:pos="868"/>
        </w:tabs>
        <w:spacing w:before="0"/>
        <w:ind w:left="426" w:hanging="426"/>
      </w:pPr>
      <w:r>
        <w:t>h)</w:t>
      </w:r>
      <w:r w:rsidR="00DA3203">
        <w:tab/>
      </w:r>
      <w:r>
        <w:t>datum ukončení vzdělávání ve škole; údaje o zkoušce, jíž bylo vzdělávání ve střední nebo vyšší odborné škole ukončeno,</w:t>
      </w:r>
    </w:p>
    <w:p w14:paraId="7F6D47EA" w14:textId="287C3AE1" w:rsidR="00A94E18" w:rsidRDefault="00A94E18" w:rsidP="00AB5ED2">
      <w:pPr>
        <w:pStyle w:val="Textparagrafu"/>
        <w:tabs>
          <w:tab w:val="left" w:pos="406"/>
          <w:tab w:val="left" w:pos="840"/>
          <w:tab w:val="left" w:pos="868"/>
        </w:tabs>
        <w:spacing w:before="0"/>
        <w:ind w:left="426" w:hanging="426"/>
      </w:pPr>
      <w:r>
        <w:t>i)</w:t>
      </w:r>
      <w:r w:rsidR="00DA3203">
        <w:tab/>
      </w:r>
      <w:r>
        <w:t>jméno a příjmení zákonného zástupce, místo trvalého pobytu nebo bydliště, pokud nemá na území České republiky místo trvalého pobytu, a adresu pro doručování písemností, telefonické spojení.</w:t>
      </w:r>
    </w:p>
    <w:p w14:paraId="4DF5FBA5" w14:textId="4EC47C97" w:rsidR="00A94E18" w:rsidRDefault="00A94E18" w:rsidP="00DA3203">
      <w:pPr>
        <w:pStyle w:val="Textparagrafu"/>
        <w:tabs>
          <w:tab w:val="left" w:pos="406"/>
          <w:tab w:val="left" w:pos="840"/>
          <w:tab w:val="left" w:pos="868"/>
        </w:tabs>
        <w:spacing w:after="120"/>
      </w:pPr>
      <w:r>
        <w:t>(3) Školní matrika školského zařízení podle povahy jeho činnosti obsahuje tyto údaje o dítěti, žákovi nebo studentovi:</w:t>
      </w:r>
    </w:p>
    <w:p w14:paraId="20E36687" w14:textId="53911EA8" w:rsidR="00A94E18" w:rsidRDefault="00A94E18" w:rsidP="00AB5ED2">
      <w:pPr>
        <w:pStyle w:val="Textparagrafu"/>
        <w:tabs>
          <w:tab w:val="left" w:pos="406"/>
          <w:tab w:val="left" w:pos="840"/>
          <w:tab w:val="left" w:pos="868"/>
        </w:tabs>
        <w:spacing w:before="0"/>
        <w:ind w:left="426" w:hanging="426"/>
      </w:pPr>
      <w:r>
        <w:t>a)</w:t>
      </w:r>
      <w:r w:rsidR="00DA3203">
        <w:tab/>
      </w:r>
      <w:r>
        <w:t>jméno a příjmení, rodné číslo, popřípadě datum narození, nebylo-li rodné číslo dítěti, žákovi nebo studentovi přiděleno, dále státní občanství a místo trvalého pobytu, popřípadě místo pobytu na území České republiky podle druhu pobytu cizince nebo místo pobytu v zahraničí, nepobývá-li dítě, žák nebo student na území České republiky,</w:t>
      </w:r>
    </w:p>
    <w:p w14:paraId="2CF5D5EE" w14:textId="3EB3FBCA" w:rsidR="00A94E18" w:rsidRDefault="00A94E18" w:rsidP="00AB5ED2">
      <w:pPr>
        <w:pStyle w:val="Textparagrafu"/>
        <w:tabs>
          <w:tab w:val="left" w:pos="406"/>
          <w:tab w:val="left" w:pos="840"/>
          <w:tab w:val="left" w:pos="868"/>
        </w:tabs>
        <w:spacing w:before="0"/>
        <w:ind w:left="426" w:hanging="426"/>
      </w:pPr>
      <w:r>
        <w:t>b)</w:t>
      </w:r>
      <w:r w:rsidR="00DA3203">
        <w:tab/>
      </w:r>
      <w:r>
        <w:t>datum zahájení a ukončení školské služby nebo vzdělávání,</w:t>
      </w:r>
    </w:p>
    <w:p w14:paraId="661406F4" w14:textId="3E7A9A8E" w:rsidR="00A94E18" w:rsidRDefault="00A94E18" w:rsidP="00AB5ED2">
      <w:pPr>
        <w:pStyle w:val="Textparagrafu"/>
        <w:tabs>
          <w:tab w:val="left" w:pos="406"/>
          <w:tab w:val="left" w:pos="840"/>
          <w:tab w:val="left" w:pos="868"/>
        </w:tabs>
        <w:spacing w:before="0"/>
        <w:ind w:left="426" w:hanging="426"/>
      </w:pPr>
      <w:r>
        <w:t>c)</w:t>
      </w:r>
      <w:r w:rsidR="00DA3203">
        <w:tab/>
      </w:r>
      <w:r>
        <w:t>údaje o zdravotní způsobilosti, popřípadě o zdravotních obtížích, které by mohly mít vliv na poskytování školské služby nebo vzdělávání,</w:t>
      </w:r>
    </w:p>
    <w:p w14:paraId="3B7C66C5" w14:textId="7D3906F8" w:rsidR="00A94E18" w:rsidRDefault="00A94E18" w:rsidP="00AB5ED2">
      <w:pPr>
        <w:pStyle w:val="Textparagrafu"/>
        <w:tabs>
          <w:tab w:val="left" w:pos="406"/>
          <w:tab w:val="left" w:pos="840"/>
          <w:tab w:val="left" w:pos="868"/>
        </w:tabs>
        <w:spacing w:before="0"/>
        <w:ind w:left="426" w:hanging="426"/>
      </w:pPr>
      <w:r>
        <w:t>d)</w:t>
      </w:r>
      <w:r w:rsidR="00DA3203">
        <w:tab/>
      </w:r>
      <w:r>
        <w:t>údaje o znevýhodnění dítěte, žáka nebo studenta uvedeném v § 16, údaje o mimořádném nadání, údaje o podpůrných opatřeních poskytovaných dítěti, žákovi nebo studentovi školským zařízením v souladu s § 16, a o závěrech vyšetření uvedených v doporučení školského poradenského zařízení,</w:t>
      </w:r>
    </w:p>
    <w:p w14:paraId="6602E994" w14:textId="50E9F98A" w:rsidR="00A94E18" w:rsidRDefault="00A94E18" w:rsidP="00AB5ED2">
      <w:pPr>
        <w:pStyle w:val="Textparagrafu"/>
        <w:tabs>
          <w:tab w:val="left" w:pos="406"/>
          <w:tab w:val="left" w:pos="840"/>
          <w:tab w:val="left" w:pos="868"/>
        </w:tabs>
        <w:spacing w:before="0"/>
        <w:ind w:left="426" w:hanging="426"/>
      </w:pPr>
      <w:r>
        <w:t>e)</w:t>
      </w:r>
      <w:r w:rsidR="00DA3203">
        <w:tab/>
      </w:r>
      <w:r>
        <w:t>označení školy, v níž se dítě, žák nebo student vzdělává,</w:t>
      </w:r>
    </w:p>
    <w:p w14:paraId="400FFE27" w14:textId="7CBFC4F1" w:rsidR="00A94E18" w:rsidRDefault="00A94E18" w:rsidP="00AB5ED2">
      <w:pPr>
        <w:pStyle w:val="Textparagrafu"/>
        <w:tabs>
          <w:tab w:val="left" w:pos="406"/>
          <w:tab w:val="left" w:pos="840"/>
          <w:tab w:val="left" w:pos="868"/>
        </w:tabs>
        <w:spacing w:before="0"/>
        <w:ind w:left="426" w:hanging="426"/>
      </w:pPr>
      <w:r>
        <w:t>f)</w:t>
      </w:r>
      <w:r w:rsidR="00DA3203">
        <w:tab/>
      </w:r>
      <w:r>
        <w:t>jméno a příjmení zákonného zástupce, místo trvalého pobytu nebo bydliště, pokud nemá na území České republiky místo trvalého pobytu, a adresu pro doručování písemností, telefonické spojení.</w:t>
      </w:r>
    </w:p>
    <w:p w14:paraId="53558209" w14:textId="5B9DB19A" w:rsidR="00A94E18" w:rsidRDefault="00A94E18" w:rsidP="00A84DD3">
      <w:pPr>
        <w:pStyle w:val="Textparagrafu"/>
        <w:tabs>
          <w:tab w:val="left" w:pos="406"/>
          <w:tab w:val="left" w:pos="840"/>
          <w:tab w:val="left" w:pos="868"/>
        </w:tabs>
        <w:spacing w:before="120" w:after="120"/>
      </w:pPr>
      <w:r>
        <w:lastRenderedPageBreak/>
        <w:t>(4) Záznam nebo změna údaje ve školní matrice se provede neprodleně po rozhodné události. Školy a školská zařízení jsou údaje z dokumentace a údaje ze školní matriky oprávněny poskytovat osobám, které svůj nárok prokáží oprávněním stanoveným</w:t>
      </w:r>
      <w:r w:rsidR="00DA3203">
        <w:t xml:space="preserve"> tímto nebo zvláštním zákonem</w:t>
      </w:r>
      <w:r w:rsidR="00DA3203">
        <w:rPr>
          <w:rStyle w:val="Znakapoznpodarou"/>
        </w:rPr>
        <w:footnoteReference w:customMarkFollows="1" w:id="464"/>
        <w:t>18)</w:t>
      </w:r>
      <w:r>
        <w:t>.</w:t>
      </w:r>
    </w:p>
    <w:p w14:paraId="1BAE7165" w14:textId="0348DC0C" w:rsidR="00A94E18" w:rsidRDefault="00A94E18" w:rsidP="00A84DD3">
      <w:pPr>
        <w:pStyle w:val="Textparagrafu"/>
        <w:tabs>
          <w:tab w:val="left" w:pos="406"/>
          <w:tab w:val="left" w:pos="840"/>
          <w:tab w:val="left" w:pos="868"/>
        </w:tabs>
        <w:spacing w:before="120" w:after="120"/>
      </w:pPr>
      <w:r>
        <w:t>(5) Ministerstvo, popřípadě jím zřízená právnická osoba sdružuje pro statistické účely a pro účely plnění dalších povinností stanovených ministerstvu tímto zákonem údaje z dokumentace škol a školských zařízení a ze školních matrik s výjimkou údajů uvedených v odstavci 2 písm. g) a i) a odstavci 3 písm. c) a f); údaje uvedené v odstavci 2 písm. f) a odstavci 3 písm. d) se sdružují v anonymizované podobě. Právnické osoby vykonávající činnost škol a školských zařízení předávají údaje z dokumentace a školních matrik a další údaje nezbytné pro stanovení kvalifikovaných odhadů ukazatelů vzdělávání a vzdělávací soustavy ministerstvu, popřípadě jím zřízené právnické osobě. Právnické osoby vykonávající činnost škol a školských zařízení, které nezřizuje ministerstvo, předávají tyto údaje v podobě statistických informací také krajskému úřadu, v případě škol a školských zařízení zřizovaných obcí nebo svazkem obcí také obecnímu úřadu obce s rozšířenou působností.</w:t>
      </w:r>
    </w:p>
    <w:p w14:paraId="69BC8146" w14:textId="3204116F" w:rsidR="00A94E18" w:rsidRDefault="00A94E18" w:rsidP="00A84DD3">
      <w:pPr>
        <w:pStyle w:val="Textparagrafu"/>
        <w:tabs>
          <w:tab w:val="left" w:pos="406"/>
          <w:tab w:val="left" w:pos="840"/>
          <w:tab w:val="left" w:pos="868"/>
        </w:tabs>
        <w:spacing w:before="120" w:after="120"/>
      </w:pPr>
      <w:r>
        <w:t>(6) Ministerstvo stanoví prováděcím právním předpisem podmínky, rozsah, formu a způsob vedení dokumentace škol a školských zařízení a školní matriky a rozsah, formu, způsob a termíny předávání údajů z dokumentace škol a školských zařízení a školní matriky podle odstavce 5.</w:t>
      </w:r>
    </w:p>
    <w:p w14:paraId="5D43587D" w14:textId="17DBBA18" w:rsidR="00A94E18" w:rsidRDefault="00A94E18" w:rsidP="00A84DD3">
      <w:pPr>
        <w:pStyle w:val="Textparagrafu"/>
        <w:tabs>
          <w:tab w:val="left" w:pos="406"/>
          <w:tab w:val="left" w:pos="840"/>
          <w:tab w:val="left" w:pos="868"/>
        </w:tabs>
        <w:spacing w:before="120" w:after="120"/>
      </w:pPr>
      <w:r>
        <w:t>(7) Ministerstvo stanoví prováděcím právním předpisem formu a obsah platných tiskopisů vysvědčení, výpisů z vysvědčení, výučních listů a diplomů o absolutoriu. Na vysvědčeních, výučních listech a diplomech o absolutoriu se vždy uvádí rodné číslo fyzické osoby, které byl doklad vydán, bylo-li jí rodné číslo přiděleno. Vysvědčení, diplomy o absolutoriu a výuční listy jsou opatřeny s</w:t>
      </w:r>
      <w:r w:rsidR="00EB6138">
        <w:t>tátním znakem České republiky</w:t>
      </w:r>
      <w:r w:rsidR="00EB6138">
        <w:rPr>
          <w:rStyle w:val="Znakapoznpodarou"/>
        </w:rPr>
        <w:footnoteReference w:customMarkFollows="1" w:id="465"/>
        <w:t>19)</w:t>
      </w:r>
      <w:r>
        <w:t xml:space="preserve"> a jsou veřejnou listinou.</w:t>
      </w:r>
    </w:p>
    <w:p w14:paraId="42EF7A9B" w14:textId="42F6D3E7" w:rsidR="00A94E18" w:rsidRDefault="00A94E18" w:rsidP="00A84DD3">
      <w:pPr>
        <w:pStyle w:val="Textparagrafu"/>
        <w:tabs>
          <w:tab w:val="left" w:pos="406"/>
          <w:tab w:val="left" w:pos="840"/>
          <w:tab w:val="left" w:pos="868"/>
        </w:tabs>
        <w:spacing w:before="120" w:after="120"/>
      </w:pPr>
      <w:r>
        <w:t>(8) Na vysvědčení, výučním listu nebo na diplomu o absolutoriu není přípustné provádět opravy zápisu. Podpisy na vysvědčeních, výučních listech a diplomech o absolutoriu musí být originální. Právnické osoby vykonávající činnost školy a právnická osoba podle § 171 odst. 3 věty první vydávají stejnopisy a opisy vysvědčení, výučních listů a diplomů o absolutoriu; za vystavení tohoto stejnopisu či opisu lze požadovat úhradu vynaložených nákladů, jejíž výše nesmí překročit 100 Kč. Ministerstvo stanoví prováděcím právním předpisem podmínky pro vydávání stejnopisů a opisů vysvědčení, výučních listů a diplomů o absolutoriu.</w:t>
      </w:r>
    </w:p>
    <w:p w14:paraId="352CFB3C" w14:textId="40575927" w:rsidR="00A94E18" w:rsidRDefault="00A94E18" w:rsidP="00A84DD3">
      <w:pPr>
        <w:pStyle w:val="Textparagrafu"/>
        <w:tabs>
          <w:tab w:val="left" w:pos="406"/>
          <w:tab w:val="left" w:pos="840"/>
          <w:tab w:val="left" w:pos="868"/>
        </w:tabs>
        <w:spacing w:before="120" w:after="120"/>
      </w:pPr>
      <w:r>
        <w:t>(9) Školy vedou evidenci tiskopisů vysvědčení, která jsou dokladem o dosaženém stupni vzdělání, výučních listů a diplomů o absolutoriu.</w:t>
      </w:r>
    </w:p>
    <w:p w14:paraId="72B5C13C" w14:textId="42C0AC59" w:rsidR="00A94E18" w:rsidRDefault="00A94E18" w:rsidP="00A84DD3">
      <w:pPr>
        <w:pStyle w:val="Textparagrafu"/>
        <w:tabs>
          <w:tab w:val="left" w:pos="406"/>
          <w:tab w:val="left" w:pos="840"/>
          <w:tab w:val="left" w:pos="868"/>
        </w:tabs>
        <w:spacing w:before="120" w:after="120"/>
      </w:pPr>
      <w:r>
        <w:t>(10) Ukládání dokumentace upravují zvláš</w:t>
      </w:r>
      <w:r w:rsidR="00EB6138">
        <w:t>tní právní předpisy.</w:t>
      </w:r>
      <w:r w:rsidR="00EB6138">
        <w:rPr>
          <w:rStyle w:val="Znakapoznpodarou"/>
        </w:rPr>
        <w:footnoteReference w:customMarkFollows="1" w:id="466"/>
        <w:t>20)</w:t>
      </w:r>
    </w:p>
    <w:p w14:paraId="068D84F9" w14:textId="7DE6D7BA" w:rsidR="00A94E18" w:rsidRDefault="00A94E18" w:rsidP="00A84DD3">
      <w:pPr>
        <w:pStyle w:val="Textparagrafu"/>
        <w:keepNext/>
        <w:keepLines/>
        <w:tabs>
          <w:tab w:val="left" w:pos="406"/>
          <w:tab w:val="left" w:pos="840"/>
          <w:tab w:val="left" w:pos="868"/>
        </w:tabs>
        <w:spacing w:after="120"/>
        <w:ind w:firstLine="0"/>
        <w:jc w:val="center"/>
      </w:pPr>
      <w:r>
        <w:lastRenderedPageBreak/>
        <w:t>***</w:t>
      </w:r>
    </w:p>
    <w:p w14:paraId="54FE8E4F" w14:textId="77777777" w:rsidR="00A94E18" w:rsidRDefault="00A94E18" w:rsidP="00A84DD3">
      <w:pPr>
        <w:pStyle w:val="Textparagrafu"/>
        <w:keepNext/>
        <w:keepLines/>
        <w:tabs>
          <w:tab w:val="left" w:pos="392"/>
          <w:tab w:val="left" w:pos="840"/>
        </w:tabs>
        <w:spacing w:after="120"/>
        <w:ind w:firstLine="0"/>
        <w:jc w:val="center"/>
      </w:pPr>
      <w:r w:rsidRPr="00CB2587">
        <w:t>§</w:t>
      </w:r>
      <w:r>
        <w:t xml:space="preserve"> </w:t>
      </w:r>
      <w:r w:rsidRPr="00CB2587">
        <w:t>32a</w:t>
      </w:r>
    </w:p>
    <w:p w14:paraId="44A65FB7" w14:textId="77777777" w:rsidR="00A94E18" w:rsidRPr="00EB6138" w:rsidRDefault="00A94E18" w:rsidP="00A84DD3">
      <w:pPr>
        <w:pStyle w:val="Textparagrafu"/>
        <w:keepNext/>
        <w:keepLines/>
        <w:tabs>
          <w:tab w:val="left" w:pos="392"/>
          <w:tab w:val="left" w:pos="840"/>
        </w:tabs>
        <w:spacing w:after="120"/>
        <w:ind w:firstLine="0"/>
        <w:jc w:val="center"/>
        <w:rPr>
          <w:b/>
        </w:rPr>
      </w:pPr>
      <w:r w:rsidRPr="00EB6138">
        <w:rPr>
          <w:b/>
        </w:rPr>
        <w:t>Spolupráce škol a školských zařízení</w:t>
      </w:r>
    </w:p>
    <w:p w14:paraId="3DB2C25A" w14:textId="77777777" w:rsidR="00A94E18" w:rsidRDefault="00A94E18" w:rsidP="00A84DD3">
      <w:pPr>
        <w:pStyle w:val="Textparagrafu"/>
        <w:keepNext/>
        <w:keepLines/>
        <w:tabs>
          <w:tab w:val="left" w:pos="392"/>
          <w:tab w:val="left" w:pos="840"/>
        </w:tabs>
        <w:spacing w:before="120" w:after="120"/>
      </w:pPr>
      <w:r w:rsidRPr="00CB2587">
        <w:t>(1)</w:t>
      </w:r>
      <w:r>
        <w:t xml:space="preserve"> </w:t>
      </w:r>
      <w:r w:rsidRPr="00CB2587">
        <w:t>Právnická</w:t>
      </w:r>
      <w:r>
        <w:t xml:space="preserve"> </w:t>
      </w:r>
      <w:r w:rsidRPr="00CB2587">
        <w:t>osoba</w:t>
      </w:r>
      <w:r>
        <w:t xml:space="preserve"> </w:t>
      </w:r>
      <w:r w:rsidRPr="00CB2587">
        <w:t>vykonávající</w:t>
      </w:r>
      <w:r>
        <w:t xml:space="preserve"> </w:t>
      </w:r>
      <w:r w:rsidRPr="00CB2587">
        <w:t>činnost</w:t>
      </w:r>
      <w:r>
        <w:t xml:space="preserve"> </w:t>
      </w:r>
      <w:r w:rsidRPr="00CB2587">
        <w:t>školy</w:t>
      </w:r>
      <w:r>
        <w:t xml:space="preserve"> </w:t>
      </w:r>
      <w:r w:rsidRPr="00CB2587">
        <w:t>nebo</w:t>
      </w:r>
      <w:r>
        <w:t xml:space="preserve"> </w:t>
      </w:r>
      <w:r w:rsidRPr="00CB2587">
        <w:t>školského</w:t>
      </w:r>
      <w:r>
        <w:t xml:space="preserve"> </w:t>
      </w:r>
      <w:r w:rsidRPr="00CB2587">
        <w:t>zařízení,</w:t>
      </w:r>
      <w:r>
        <w:t xml:space="preserve"> </w:t>
      </w:r>
      <w:r w:rsidRPr="00CB2587">
        <w:t>která</w:t>
      </w:r>
      <w:r>
        <w:t xml:space="preserve"> </w:t>
      </w:r>
      <w:r w:rsidRPr="00CB2587">
        <w:t>hodlá</w:t>
      </w:r>
      <w:r>
        <w:t xml:space="preserve"> </w:t>
      </w:r>
      <w:r w:rsidRPr="00CB2587">
        <w:t>uskutečňovat</w:t>
      </w:r>
      <w:r>
        <w:t xml:space="preserve"> </w:t>
      </w:r>
      <w:r w:rsidRPr="00CB2587">
        <w:t>projekt</w:t>
      </w:r>
      <w:r>
        <w:t xml:space="preserve"> </w:t>
      </w:r>
      <w:r w:rsidRPr="00CB2587">
        <w:t>financovaný</w:t>
      </w:r>
      <w:r>
        <w:t xml:space="preserve"> </w:t>
      </w:r>
      <w:r w:rsidRPr="00CB2587">
        <w:t>z</w:t>
      </w:r>
      <w:r>
        <w:t xml:space="preserve"> </w:t>
      </w:r>
      <w:r w:rsidRPr="00CB2587">
        <w:t>prostředků</w:t>
      </w:r>
      <w:r>
        <w:t xml:space="preserve"> </w:t>
      </w:r>
      <w:r w:rsidRPr="00CB2587">
        <w:t>Evropské</w:t>
      </w:r>
      <w:r>
        <w:t xml:space="preserve"> </w:t>
      </w:r>
      <w:r w:rsidRPr="00CB2587">
        <w:t>unie,</w:t>
      </w:r>
      <w:r>
        <w:t xml:space="preserve"> </w:t>
      </w:r>
      <w:r w:rsidRPr="00CB2587">
        <w:t>jehož</w:t>
      </w:r>
      <w:r>
        <w:t xml:space="preserve"> </w:t>
      </w:r>
      <w:r w:rsidRPr="00CB2587">
        <w:t>předmětem</w:t>
      </w:r>
      <w:r>
        <w:t xml:space="preserve"> </w:t>
      </w:r>
      <w:r w:rsidRPr="00CB2587">
        <w:t>je</w:t>
      </w:r>
      <w:r>
        <w:t xml:space="preserve"> </w:t>
      </w:r>
      <w:r w:rsidRPr="00CB2587">
        <w:t>podpora</w:t>
      </w:r>
      <w:r>
        <w:t xml:space="preserve"> </w:t>
      </w:r>
      <w:r w:rsidRPr="00CB2587">
        <w:t>kvality,</w:t>
      </w:r>
      <w:r>
        <w:t xml:space="preserve"> </w:t>
      </w:r>
      <w:r w:rsidRPr="00CB2587">
        <w:t>rozvoje</w:t>
      </w:r>
      <w:r>
        <w:t xml:space="preserve"> </w:t>
      </w:r>
      <w:r w:rsidRPr="00CB2587">
        <w:t>nebo</w:t>
      </w:r>
      <w:r>
        <w:t xml:space="preserve"> </w:t>
      </w:r>
      <w:r w:rsidRPr="00CB2587">
        <w:t>dostupnosti</w:t>
      </w:r>
      <w:r>
        <w:t xml:space="preserve"> </w:t>
      </w:r>
      <w:r w:rsidRPr="00CB2587">
        <w:t>vzdělávání</w:t>
      </w:r>
      <w:r>
        <w:t xml:space="preserve"> </w:t>
      </w:r>
      <w:r w:rsidRPr="00CB2587">
        <w:t>a</w:t>
      </w:r>
      <w:r>
        <w:t xml:space="preserve"> </w:t>
      </w:r>
      <w:r w:rsidRPr="00CB2587">
        <w:t>školských</w:t>
      </w:r>
      <w:r>
        <w:t xml:space="preserve"> </w:t>
      </w:r>
      <w:r w:rsidRPr="00CB2587">
        <w:t>služeb</w:t>
      </w:r>
      <w:r>
        <w:t xml:space="preserve"> </w:t>
      </w:r>
      <w:r w:rsidRPr="00CB2587">
        <w:t>podle</w:t>
      </w:r>
      <w:r>
        <w:t xml:space="preserve"> </w:t>
      </w:r>
      <w:r w:rsidRPr="00CB2587">
        <w:t>tohoto</w:t>
      </w:r>
      <w:r>
        <w:t xml:space="preserve"> </w:t>
      </w:r>
      <w:r w:rsidRPr="00CB2587">
        <w:t>zákona</w:t>
      </w:r>
      <w:r>
        <w:t xml:space="preserve"> </w:t>
      </w:r>
      <w:r w:rsidRPr="00CB2587">
        <w:t>(dále</w:t>
      </w:r>
      <w:r>
        <w:t xml:space="preserve"> </w:t>
      </w:r>
      <w:r w:rsidRPr="00CB2587">
        <w:t>jen</w:t>
      </w:r>
      <w:r>
        <w:t xml:space="preserve"> </w:t>
      </w:r>
      <w:r w:rsidRPr="00CB2587">
        <w:t>„předkladatel</w:t>
      </w:r>
      <w:r>
        <w:t xml:space="preserve"> </w:t>
      </w:r>
      <w:r w:rsidRPr="00CB2587">
        <w:t>projektu“),</w:t>
      </w:r>
      <w:r>
        <w:t xml:space="preserve"> </w:t>
      </w:r>
      <w:r w:rsidRPr="00CB2587">
        <w:t>může</w:t>
      </w:r>
      <w:r>
        <w:t xml:space="preserve"> </w:t>
      </w:r>
      <w:r w:rsidRPr="00CB2587">
        <w:t>uzavírat</w:t>
      </w:r>
      <w:r>
        <w:t xml:space="preserve"> </w:t>
      </w:r>
      <w:r w:rsidRPr="00CB2587">
        <w:t>s</w:t>
      </w:r>
      <w:r>
        <w:t xml:space="preserve"> </w:t>
      </w:r>
      <w:r w:rsidRPr="00CB2587">
        <w:t>ostatními</w:t>
      </w:r>
      <w:r>
        <w:t xml:space="preserve"> </w:t>
      </w:r>
      <w:r w:rsidRPr="00CB2587">
        <w:t>právnickými</w:t>
      </w:r>
      <w:r>
        <w:t xml:space="preserve"> </w:t>
      </w:r>
      <w:r w:rsidRPr="00CB2587">
        <w:t>osobami</w:t>
      </w:r>
      <w:r>
        <w:t xml:space="preserve"> </w:t>
      </w:r>
      <w:r w:rsidRPr="00CB2587">
        <w:t>vykonávajícími</w:t>
      </w:r>
      <w:r>
        <w:t xml:space="preserve"> </w:t>
      </w:r>
      <w:r w:rsidRPr="00CB2587">
        <w:t>činnost</w:t>
      </w:r>
      <w:r>
        <w:t xml:space="preserve"> </w:t>
      </w:r>
      <w:r w:rsidRPr="00CB2587">
        <w:t>školy</w:t>
      </w:r>
      <w:r>
        <w:t xml:space="preserve"> </w:t>
      </w:r>
      <w:r w:rsidRPr="00CB2587">
        <w:t>nebo</w:t>
      </w:r>
      <w:r>
        <w:t xml:space="preserve"> </w:t>
      </w:r>
      <w:r w:rsidRPr="00CB2587">
        <w:t>školského</w:t>
      </w:r>
      <w:r>
        <w:t xml:space="preserve"> </w:t>
      </w:r>
      <w:r w:rsidRPr="00CB2587">
        <w:t>zařízení</w:t>
      </w:r>
      <w:r>
        <w:t xml:space="preserve"> </w:t>
      </w:r>
      <w:r w:rsidRPr="00CB2587">
        <w:t>a</w:t>
      </w:r>
      <w:r>
        <w:t xml:space="preserve"> </w:t>
      </w:r>
      <w:r w:rsidRPr="00CB2587">
        <w:t>dalšími</w:t>
      </w:r>
      <w:r>
        <w:t xml:space="preserve"> </w:t>
      </w:r>
      <w:r w:rsidRPr="00CB2587">
        <w:t>osobami</w:t>
      </w:r>
      <w:r>
        <w:t xml:space="preserve"> </w:t>
      </w:r>
      <w:r w:rsidRPr="00CB2587">
        <w:t>oprávněnými</w:t>
      </w:r>
      <w:r>
        <w:t xml:space="preserve"> </w:t>
      </w:r>
      <w:r w:rsidRPr="00CB2587">
        <w:t>k</w:t>
      </w:r>
      <w:r>
        <w:t xml:space="preserve"> </w:t>
      </w:r>
      <w:r w:rsidRPr="00CB2587">
        <w:t>výkonu</w:t>
      </w:r>
      <w:r>
        <w:t xml:space="preserve"> </w:t>
      </w:r>
      <w:r w:rsidRPr="00CB2587">
        <w:t>činnosti</w:t>
      </w:r>
      <w:r>
        <w:t xml:space="preserve"> </w:t>
      </w:r>
      <w:r w:rsidRPr="00CB2587">
        <w:t>související</w:t>
      </w:r>
      <w:r>
        <w:t xml:space="preserve"> </w:t>
      </w:r>
      <w:r w:rsidRPr="00CB2587">
        <w:t>s</w:t>
      </w:r>
      <w:r>
        <w:t xml:space="preserve"> </w:t>
      </w:r>
      <w:r w:rsidRPr="00CB2587">
        <w:t>předmětem</w:t>
      </w:r>
      <w:r>
        <w:t xml:space="preserve"> </w:t>
      </w:r>
      <w:r w:rsidRPr="00CB2587">
        <w:t>projektu</w:t>
      </w:r>
      <w:r>
        <w:t xml:space="preserve"> </w:t>
      </w:r>
      <w:r w:rsidRPr="00CB2587">
        <w:t>(dále</w:t>
      </w:r>
      <w:r>
        <w:t xml:space="preserve"> </w:t>
      </w:r>
      <w:r w:rsidRPr="00CB2587">
        <w:t>jen</w:t>
      </w:r>
      <w:r>
        <w:t xml:space="preserve"> </w:t>
      </w:r>
      <w:r w:rsidRPr="00CB2587">
        <w:t>„partner“)</w:t>
      </w:r>
      <w:r>
        <w:t xml:space="preserve"> </w:t>
      </w:r>
      <w:r w:rsidRPr="00CB2587">
        <w:t>smlouvy</w:t>
      </w:r>
      <w:r>
        <w:t xml:space="preserve"> </w:t>
      </w:r>
      <w:r w:rsidRPr="00CB2587">
        <w:t>o</w:t>
      </w:r>
      <w:r>
        <w:t xml:space="preserve"> </w:t>
      </w:r>
      <w:r w:rsidRPr="00CB2587">
        <w:t>partnerství.</w:t>
      </w:r>
    </w:p>
    <w:p w14:paraId="0DD6CC7E" w14:textId="0C67425A" w:rsidR="00A94E18" w:rsidRDefault="00A94E18" w:rsidP="00A84DD3">
      <w:pPr>
        <w:pStyle w:val="Textparagrafu"/>
        <w:tabs>
          <w:tab w:val="left" w:pos="392"/>
          <w:tab w:val="left" w:pos="840"/>
        </w:tabs>
        <w:spacing w:before="120" w:after="120"/>
      </w:pPr>
      <w:r w:rsidRPr="00CB2587">
        <w:t>(2)</w:t>
      </w:r>
      <w:r>
        <w:t xml:space="preserve"> </w:t>
      </w:r>
      <w:r w:rsidRPr="00CB2587">
        <w:t>Smlouvou</w:t>
      </w:r>
      <w:r>
        <w:t xml:space="preserve"> </w:t>
      </w:r>
      <w:r w:rsidRPr="00CB2587">
        <w:t>o</w:t>
      </w:r>
      <w:r>
        <w:t xml:space="preserve"> </w:t>
      </w:r>
      <w:r w:rsidRPr="00CB2587">
        <w:t>partnerství</w:t>
      </w:r>
      <w:r>
        <w:t xml:space="preserve"> </w:t>
      </w:r>
      <w:r w:rsidRPr="00CB2587">
        <w:t>se</w:t>
      </w:r>
      <w:r>
        <w:t xml:space="preserve"> </w:t>
      </w:r>
      <w:r w:rsidRPr="00CB2587">
        <w:t>partner</w:t>
      </w:r>
      <w:r>
        <w:t xml:space="preserve"> </w:t>
      </w:r>
      <w:r w:rsidRPr="00CB2587">
        <w:t>zavazuje</w:t>
      </w:r>
      <w:r>
        <w:t xml:space="preserve"> </w:t>
      </w:r>
      <w:r w:rsidRPr="00CB2587">
        <w:t>podílet</w:t>
      </w:r>
      <w:r>
        <w:t xml:space="preserve"> </w:t>
      </w:r>
      <w:r w:rsidRPr="00CB2587">
        <w:t>se</w:t>
      </w:r>
      <w:r>
        <w:t xml:space="preserve"> </w:t>
      </w:r>
      <w:r w:rsidRPr="00CB2587">
        <w:t>svým</w:t>
      </w:r>
      <w:r>
        <w:t xml:space="preserve"> </w:t>
      </w:r>
      <w:r w:rsidRPr="00CB2587">
        <w:t>jménem</w:t>
      </w:r>
      <w:r>
        <w:t xml:space="preserve"> </w:t>
      </w:r>
      <w:r w:rsidRPr="00CB2587">
        <w:t>a</w:t>
      </w:r>
      <w:r>
        <w:t xml:space="preserve"> </w:t>
      </w:r>
      <w:r w:rsidRPr="00CB2587">
        <w:t>na</w:t>
      </w:r>
      <w:r>
        <w:t xml:space="preserve"> </w:t>
      </w:r>
      <w:r w:rsidRPr="00CB2587">
        <w:t>svůj</w:t>
      </w:r>
      <w:r>
        <w:t xml:space="preserve"> </w:t>
      </w:r>
      <w:r w:rsidRPr="00CB2587">
        <w:t>účet</w:t>
      </w:r>
      <w:r>
        <w:t xml:space="preserve"> </w:t>
      </w:r>
      <w:r w:rsidRPr="00CB2587">
        <w:t>na</w:t>
      </w:r>
      <w:r>
        <w:t xml:space="preserve"> </w:t>
      </w:r>
      <w:r w:rsidRPr="00CB2587">
        <w:t>uskutečňování</w:t>
      </w:r>
      <w:r>
        <w:t xml:space="preserve"> </w:t>
      </w:r>
      <w:r w:rsidRPr="00CB2587">
        <w:t>projektu</w:t>
      </w:r>
      <w:r>
        <w:t xml:space="preserve"> </w:t>
      </w:r>
      <w:r w:rsidRPr="00CB2587">
        <w:t>a</w:t>
      </w:r>
      <w:r>
        <w:t xml:space="preserve"> </w:t>
      </w:r>
      <w:r w:rsidRPr="00CB2587">
        <w:t>předkladatel</w:t>
      </w:r>
      <w:r>
        <w:t xml:space="preserve"> </w:t>
      </w:r>
      <w:r w:rsidRPr="00CB2587">
        <w:t>projektu</w:t>
      </w:r>
      <w:r>
        <w:t xml:space="preserve"> </w:t>
      </w:r>
      <w:r w:rsidRPr="00CB2587">
        <w:t>se</w:t>
      </w:r>
      <w:r>
        <w:t xml:space="preserve"> </w:t>
      </w:r>
      <w:r w:rsidRPr="00CB2587">
        <w:t>zavazuje</w:t>
      </w:r>
      <w:r>
        <w:t xml:space="preserve"> </w:t>
      </w:r>
      <w:r w:rsidRPr="00CB2587">
        <w:t>poskytnout</w:t>
      </w:r>
      <w:r>
        <w:t xml:space="preserve"> </w:t>
      </w:r>
      <w:r w:rsidRPr="00CB2587">
        <w:t>partnerovi</w:t>
      </w:r>
      <w:r>
        <w:t xml:space="preserve"> </w:t>
      </w:r>
      <w:r w:rsidRPr="00F33823">
        <w:rPr>
          <w:strike/>
        </w:rPr>
        <w:t>finanční</w:t>
      </w:r>
      <w:r>
        <w:t xml:space="preserve"> </w:t>
      </w:r>
      <w:r w:rsidR="00F33823">
        <w:rPr>
          <w:b/>
        </w:rPr>
        <w:t xml:space="preserve">peněžní </w:t>
      </w:r>
      <w:r w:rsidRPr="00CB2587">
        <w:t>prostředky,</w:t>
      </w:r>
      <w:r>
        <w:t xml:space="preserve"> </w:t>
      </w:r>
      <w:r w:rsidRPr="00CB2587">
        <w:t>které</w:t>
      </w:r>
      <w:r>
        <w:t xml:space="preserve"> </w:t>
      </w:r>
      <w:r w:rsidRPr="00CB2587">
        <w:t>na</w:t>
      </w:r>
      <w:r>
        <w:t xml:space="preserve"> </w:t>
      </w:r>
      <w:r w:rsidRPr="00CB2587">
        <w:t>projekt</w:t>
      </w:r>
      <w:r>
        <w:t xml:space="preserve"> </w:t>
      </w:r>
      <w:r w:rsidRPr="00CB2587">
        <w:t>obdrží,</w:t>
      </w:r>
      <w:r>
        <w:t xml:space="preserve"> </w:t>
      </w:r>
      <w:r w:rsidRPr="00CB2587">
        <w:t>ve</w:t>
      </w:r>
      <w:r>
        <w:t xml:space="preserve"> </w:t>
      </w:r>
      <w:r w:rsidRPr="00CB2587">
        <w:t>výši</w:t>
      </w:r>
      <w:r>
        <w:t xml:space="preserve"> </w:t>
      </w:r>
      <w:r w:rsidRPr="00CB2587">
        <w:t>odpovídající</w:t>
      </w:r>
      <w:r>
        <w:t xml:space="preserve"> </w:t>
      </w:r>
      <w:r w:rsidRPr="00CB2587">
        <w:t>podílu</w:t>
      </w:r>
      <w:r>
        <w:t xml:space="preserve"> </w:t>
      </w:r>
      <w:r w:rsidRPr="00CB2587">
        <w:t>partnera</w:t>
      </w:r>
      <w:r>
        <w:t xml:space="preserve"> </w:t>
      </w:r>
      <w:r w:rsidRPr="00CB2587">
        <w:t>na</w:t>
      </w:r>
      <w:r>
        <w:t xml:space="preserve"> </w:t>
      </w:r>
      <w:r w:rsidRPr="00CB2587">
        <w:t>uskutečňování</w:t>
      </w:r>
      <w:r>
        <w:t xml:space="preserve"> </w:t>
      </w:r>
      <w:r w:rsidRPr="00CB2587">
        <w:t>projektu.</w:t>
      </w:r>
    </w:p>
    <w:p w14:paraId="046FB06E" w14:textId="77777777" w:rsidR="00A94E18" w:rsidRDefault="00A94E18" w:rsidP="00A84DD3">
      <w:pPr>
        <w:pStyle w:val="Textparagrafu"/>
        <w:tabs>
          <w:tab w:val="left" w:pos="392"/>
          <w:tab w:val="left" w:pos="840"/>
        </w:tabs>
        <w:spacing w:before="120" w:after="120"/>
      </w:pPr>
      <w:r w:rsidRPr="00CB2587">
        <w:t>(3)</w:t>
      </w:r>
      <w:r>
        <w:t xml:space="preserve"> </w:t>
      </w:r>
      <w:r w:rsidRPr="00CB2587">
        <w:t>Smlouva</w:t>
      </w:r>
      <w:r>
        <w:t xml:space="preserve"> </w:t>
      </w:r>
      <w:r w:rsidRPr="00CB2587">
        <w:t>o</w:t>
      </w:r>
      <w:r>
        <w:t xml:space="preserve"> </w:t>
      </w:r>
      <w:r w:rsidRPr="00CB2587">
        <w:t>partnerství</w:t>
      </w:r>
      <w:r>
        <w:t xml:space="preserve"> </w:t>
      </w:r>
      <w:r w:rsidRPr="00CB2587">
        <w:t>obsahuje</w:t>
      </w:r>
      <w:r>
        <w:t xml:space="preserve"> </w:t>
      </w:r>
      <w:r w:rsidRPr="00CB2587">
        <w:t>zejména:</w:t>
      </w:r>
    </w:p>
    <w:p w14:paraId="4BD01758" w14:textId="7CC3FBF1" w:rsidR="00A94E18" w:rsidRDefault="00A94E18" w:rsidP="00AB5ED2">
      <w:pPr>
        <w:pStyle w:val="Textparagrafu"/>
        <w:tabs>
          <w:tab w:val="left" w:pos="392"/>
          <w:tab w:val="left" w:pos="840"/>
        </w:tabs>
        <w:spacing w:before="0"/>
        <w:ind w:left="426" w:hanging="426"/>
      </w:pPr>
      <w:r w:rsidRPr="00CB2587">
        <w:t>a)</w:t>
      </w:r>
      <w:r w:rsidR="00EB6138">
        <w:tab/>
      </w:r>
      <w:r w:rsidRPr="00CB2587">
        <w:t>určení</w:t>
      </w:r>
      <w:r>
        <w:t xml:space="preserve"> </w:t>
      </w:r>
      <w:r w:rsidRPr="00CB2587">
        <w:t>projektu,</w:t>
      </w:r>
      <w:r>
        <w:t xml:space="preserve"> </w:t>
      </w:r>
      <w:r w:rsidRPr="00CB2587">
        <w:t>jehož</w:t>
      </w:r>
      <w:r>
        <w:t xml:space="preserve"> </w:t>
      </w:r>
      <w:r w:rsidRPr="00CB2587">
        <w:t>se</w:t>
      </w:r>
      <w:r>
        <w:t xml:space="preserve"> </w:t>
      </w:r>
      <w:r w:rsidRPr="00CB2587">
        <w:t>smlouva</w:t>
      </w:r>
      <w:r>
        <w:t xml:space="preserve"> </w:t>
      </w:r>
      <w:r w:rsidRPr="00CB2587">
        <w:t>týká,</w:t>
      </w:r>
    </w:p>
    <w:p w14:paraId="091C6B55" w14:textId="318F9916" w:rsidR="00A94E18" w:rsidRDefault="00A94E18" w:rsidP="00AB5ED2">
      <w:pPr>
        <w:pStyle w:val="Textparagrafu"/>
        <w:tabs>
          <w:tab w:val="left" w:pos="392"/>
          <w:tab w:val="left" w:pos="840"/>
        </w:tabs>
        <w:spacing w:before="0"/>
        <w:ind w:left="426" w:hanging="426"/>
      </w:pPr>
      <w:r w:rsidRPr="00CB2587">
        <w:t>b)</w:t>
      </w:r>
      <w:r w:rsidR="00EB6138">
        <w:tab/>
      </w:r>
      <w:r w:rsidRPr="00CB2587">
        <w:t>obsah</w:t>
      </w:r>
      <w:r>
        <w:t xml:space="preserve"> </w:t>
      </w:r>
      <w:r w:rsidRPr="00CB2587">
        <w:t>a</w:t>
      </w:r>
      <w:r>
        <w:t xml:space="preserve"> </w:t>
      </w:r>
      <w:r w:rsidRPr="00CB2587">
        <w:t>rozsah</w:t>
      </w:r>
      <w:r>
        <w:t xml:space="preserve"> </w:t>
      </w:r>
      <w:r w:rsidRPr="00CB2587">
        <w:t>činností,</w:t>
      </w:r>
      <w:r>
        <w:t xml:space="preserve"> </w:t>
      </w:r>
      <w:r w:rsidRPr="00CB2587">
        <w:t>jimiž</w:t>
      </w:r>
      <w:r>
        <w:t xml:space="preserve"> </w:t>
      </w:r>
      <w:r w:rsidRPr="00CB2587">
        <w:t>se</w:t>
      </w:r>
      <w:r>
        <w:t xml:space="preserve"> </w:t>
      </w:r>
      <w:r w:rsidRPr="00CB2587">
        <w:t>partner</w:t>
      </w:r>
      <w:r>
        <w:t xml:space="preserve"> </w:t>
      </w:r>
      <w:r w:rsidRPr="00CB2587">
        <w:t>bude</w:t>
      </w:r>
      <w:r>
        <w:t xml:space="preserve"> </w:t>
      </w:r>
      <w:r w:rsidRPr="00CB2587">
        <w:t>na</w:t>
      </w:r>
      <w:r>
        <w:t xml:space="preserve"> </w:t>
      </w:r>
      <w:r w:rsidRPr="00CB2587">
        <w:t>projektu</w:t>
      </w:r>
      <w:r>
        <w:t xml:space="preserve"> </w:t>
      </w:r>
      <w:r w:rsidRPr="00CB2587">
        <w:t>podílet,</w:t>
      </w:r>
    </w:p>
    <w:p w14:paraId="224E3F9F" w14:textId="29E2618D" w:rsidR="00A94E18" w:rsidRDefault="00A94E18" w:rsidP="00AB5ED2">
      <w:pPr>
        <w:pStyle w:val="Textparagrafu"/>
        <w:tabs>
          <w:tab w:val="left" w:pos="392"/>
          <w:tab w:val="left" w:pos="840"/>
        </w:tabs>
        <w:spacing w:before="0"/>
        <w:ind w:left="426" w:hanging="426"/>
      </w:pPr>
      <w:r w:rsidRPr="00CB2587">
        <w:t>c)</w:t>
      </w:r>
      <w:r w:rsidR="00EB6138">
        <w:tab/>
      </w:r>
      <w:r w:rsidRPr="00CB2587">
        <w:t>výši</w:t>
      </w:r>
      <w:r>
        <w:t xml:space="preserve"> </w:t>
      </w:r>
      <w:r w:rsidRPr="00F33823">
        <w:rPr>
          <w:strike/>
        </w:rPr>
        <w:t>finančních</w:t>
      </w:r>
      <w:r>
        <w:t xml:space="preserve"> </w:t>
      </w:r>
      <w:r w:rsidR="00F33823">
        <w:rPr>
          <w:b/>
        </w:rPr>
        <w:t xml:space="preserve">peněžních </w:t>
      </w:r>
      <w:r w:rsidRPr="00CB2587">
        <w:t>prostředků,</w:t>
      </w:r>
      <w:r>
        <w:t xml:space="preserve"> </w:t>
      </w:r>
      <w:r w:rsidRPr="00CB2587">
        <w:t>které</w:t>
      </w:r>
      <w:r>
        <w:t xml:space="preserve"> </w:t>
      </w:r>
      <w:r w:rsidRPr="00CB2587">
        <w:t>předkladatel</w:t>
      </w:r>
      <w:r>
        <w:t xml:space="preserve"> </w:t>
      </w:r>
      <w:r w:rsidRPr="00CB2587">
        <w:t>projektu</w:t>
      </w:r>
      <w:r>
        <w:t xml:space="preserve"> </w:t>
      </w:r>
      <w:r w:rsidRPr="00CB2587">
        <w:t>partnerovi</w:t>
      </w:r>
      <w:r>
        <w:t xml:space="preserve"> </w:t>
      </w:r>
      <w:r w:rsidRPr="00CB2587">
        <w:t>na</w:t>
      </w:r>
      <w:r>
        <w:t xml:space="preserve"> </w:t>
      </w:r>
      <w:r w:rsidRPr="00CB2587">
        <w:t>realizaci</w:t>
      </w:r>
      <w:r>
        <w:t xml:space="preserve"> </w:t>
      </w:r>
      <w:r w:rsidRPr="00CB2587">
        <w:t>projektu</w:t>
      </w:r>
      <w:r>
        <w:t xml:space="preserve"> </w:t>
      </w:r>
      <w:r w:rsidRPr="00CB2587">
        <w:t>poskytne,</w:t>
      </w:r>
      <w:r>
        <w:t xml:space="preserve"> </w:t>
      </w:r>
      <w:r w:rsidRPr="00CB2587">
        <w:t>a</w:t>
      </w:r>
      <w:r>
        <w:t xml:space="preserve"> </w:t>
      </w:r>
      <w:r w:rsidRPr="00CB2587">
        <w:t>pravidla</w:t>
      </w:r>
      <w:r>
        <w:t xml:space="preserve"> </w:t>
      </w:r>
      <w:r w:rsidRPr="00CB2587">
        <w:t>vyúčtování</w:t>
      </w:r>
      <w:r>
        <w:t xml:space="preserve"> </w:t>
      </w:r>
      <w:r w:rsidRPr="00CB2587">
        <w:t>poskytnutých</w:t>
      </w:r>
      <w:r>
        <w:t xml:space="preserve"> </w:t>
      </w:r>
      <w:r w:rsidRPr="00CB2587">
        <w:t>prostředků,</w:t>
      </w:r>
    </w:p>
    <w:p w14:paraId="2EEB82E4" w14:textId="60F9085B" w:rsidR="00A94E18" w:rsidRDefault="00A94E18" w:rsidP="00AB5ED2">
      <w:pPr>
        <w:pStyle w:val="Textparagrafu"/>
        <w:tabs>
          <w:tab w:val="left" w:pos="392"/>
          <w:tab w:val="left" w:pos="840"/>
        </w:tabs>
        <w:spacing w:before="0"/>
        <w:ind w:left="426" w:hanging="426"/>
      </w:pPr>
      <w:r w:rsidRPr="00CB2587">
        <w:t>d)</w:t>
      </w:r>
      <w:r w:rsidR="00EB6138">
        <w:tab/>
      </w:r>
      <w:r w:rsidRPr="00CB2587">
        <w:t>pravidla,</w:t>
      </w:r>
      <w:r>
        <w:t xml:space="preserve"> </w:t>
      </w:r>
      <w:r w:rsidRPr="00CB2587">
        <w:t>podle</w:t>
      </w:r>
      <w:r>
        <w:t xml:space="preserve"> </w:t>
      </w:r>
      <w:r w:rsidRPr="00CB2587">
        <w:t>nichž</w:t>
      </w:r>
      <w:r>
        <w:t xml:space="preserve"> </w:t>
      </w:r>
      <w:r w:rsidRPr="00CB2587">
        <w:t>může</w:t>
      </w:r>
      <w:r>
        <w:t xml:space="preserve"> </w:t>
      </w:r>
      <w:r w:rsidRPr="00CB2587">
        <w:t>smluvní</w:t>
      </w:r>
      <w:r>
        <w:t xml:space="preserve"> </w:t>
      </w:r>
      <w:r w:rsidRPr="00CB2587">
        <w:t>strana</w:t>
      </w:r>
      <w:r>
        <w:t xml:space="preserve"> </w:t>
      </w:r>
      <w:r w:rsidRPr="00CB2587">
        <w:t>kontrolovat</w:t>
      </w:r>
      <w:r>
        <w:t xml:space="preserve"> </w:t>
      </w:r>
      <w:r w:rsidRPr="00CB2587">
        <w:t>plnění</w:t>
      </w:r>
      <w:r>
        <w:t xml:space="preserve"> </w:t>
      </w:r>
      <w:r w:rsidRPr="00CB2587">
        <w:t>závazků</w:t>
      </w:r>
      <w:r>
        <w:t xml:space="preserve"> </w:t>
      </w:r>
      <w:r w:rsidRPr="00CB2587">
        <w:t>ze</w:t>
      </w:r>
      <w:r>
        <w:t xml:space="preserve"> </w:t>
      </w:r>
      <w:r w:rsidRPr="00CB2587">
        <w:t>smlouvy</w:t>
      </w:r>
      <w:r>
        <w:t xml:space="preserve"> </w:t>
      </w:r>
      <w:r w:rsidRPr="00CB2587">
        <w:t>druhou</w:t>
      </w:r>
      <w:r>
        <w:t xml:space="preserve"> </w:t>
      </w:r>
      <w:r w:rsidRPr="00CB2587">
        <w:t>smluvní</w:t>
      </w:r>
      <w:r>
        <w:t xml:space="preserve"> </w:t>
      </w:r>
      <w:r w:rsidRPr="00CB2587">
        <w:t>stranou,</w:t>
      </w:r>
    </w:p>
    <w:p w14:paraId="1C092D49" w14:textId="5D73E5E0" w:rsidR="00A94E18" w:rsidRDefault="00A94E18" w:rsidP="00AB5ED2">
      <w:pPr>
        <w:pStyle w:val="Textparagrafu"/>
        <w:tabs>
          <w:tab w:val="left" w:pos="392"/>
          <w:tab w:val="left" w:pos="840"/>
        </w:tabs>
        <w:spacing w:before="0"/>
        <w:ind w:left="426" w:hanging="426"/>
      </w:pPr>
      <w:r w:rsidRPr="00CB2587">
        <w:t>e)</w:t>
      </w:r>
      <w:r w:rsidR="00EB6138">
        <w:tab/>
      </w:r>
      <w:r w:rsidRPr="00CB2587">
        <w:t>pravidla</w:t>
      </w:r>
      <w:r>
        <w:t xml:space="preserve"> </w:t>
      </w:r>
      <w:r w:rsidRPr="00CB2587">
        <w:t>hodnocení</w:t>
      </w:r>
      <w:r>
        <w:t xml:space="preserve"> </w:t>
      </w:r>
      <w:r w:rsidRPr="00CB2587">
        <w:t>výsledků</w:t>
      </w:r>
      <w:r>
        <w:t xml:space="preserve"> </w:t>
      </w:r>
      <w:r w:rsidRPr="00CB2587">
        <w:t>plnění</w:t>
      </w:r>
      <w:r>
        <w:t xml:space="preserve"> </w:t>
      </w:r>
      <w:r w:rsidRPr="00CB2587">
        <w:t>smlouvy,</w:t>
      </w:r>
    </w:p>
    <w:p w14:paraId="271B15CC" w14:textId="29F4FAE1" w:rsidR="00A94E18" w:rsidRDefault="00A94E18" w:rsidP="00AB5ED2">
      <w:pPr>
        <w:pStyle w:val="Textparagrafu"/>
        <w:tabs>
          <w:tab w:val="left" w:pos="392"/>
          <w:tab w:val="left" w:pos="840"/>
        </w:tabs>
        <w:spacing w:before="0"/>
        <w:ind w:left="426" w:hanging="426"/>
      </w:pPr>
      <w:r w:rsidRPr="00CB2587">
        <w:t>f)</w:t>
      </w:r>
      <w:r w:rsidR="00EB6138">
        <w:tab/>
      </w:r>
      <w:r w:rsidRPr="00CB2587">
        <w:t>možnosti</w:t>
      </w:r>
      <w:r>
        <w:t xml:space="preserve"> </w:t>
      </w:r>
      <w:r w:rsidRPr="00CB2587">
        <w:t>vypovězení</w:t>
      </w:r>
      <w:r>
        <w:t xml:space="preserve"> </w:t>
      </w:r>
      <w:r w:rsidRPr="00CB2587">
        <w:t>smlouvy</w:t>
      </w:r>
      <w:r>
        <w:t xml:space="preserve"> </w:t>
      </w:r>
      <w:r w:rsidRPr="00CB2587">
        <w:t>smluvními</w:t>
      </w:r>
      <w:r>
        <w:t xml:space="preserve"> </w:t>
      </w:r>
      <w:r w:rsidRPr="00CB2587">
        <w:t>stranami.</w:t>
      </w:r>
    </w:p>
    <w:p w14:paraId="55200980" w14:textId="77777777" w:rsidR="00A94E18" w:rsidRDefault="00A94E18" w:rsidP="00A84DD3">
      <w:pPr>
        <w:pStyle w:val="Textparagrafu"/>
        <w:tabs>
          <w:tab w:val="left" w:pos="392"/>
          <w:tab w:val="left" w:pos="840"/>
        </w:tabs>
        <w:spacing w:before="120" w:after="120"/>
      </w:pPr>
      <w:r w:rsidRPr="00CB2587">
        <w:t>(4)</w:t>
      </w:r>
      <w:r>
        <w:t xml:space="preserve"> </w:t>
      </w:r>
      <w:r w:rsidRPr="00CB2587">
        <w:t>Smlouvou</w:t>
      </w:r>
      <w:r>
        <w:t xml:space="preserve"> </w:t>
      </w:r>
      <w:r w:rsidRPr="00CB2587">
        <w:t>o</w:t>
      </w:r>
      <w:r>
        <w:t xml:space="preserve"> </w:t>
      </w:r>
      <w:r w:rsidRPr="00CB2587">
        <w:t>partnerství</w:t>
      </w:r>
      <w:r>
        <w:t xml:space="preserve"> </w:t>
      </w:r>
      <w:r w:rsidRPr="00CB2587">
        <w:t>mohou</w:t>
      </w:r>
      <w:r>
        <w:t xml:space="preserve"> </w:t>
      </w:r>
      <w:r w:rsidRPr="00CB2587">
        <w:t>být</w:t>
      </w:r>
      <w:r>
        <w:t xml:space="preserve"> </w:t>
      </w:r>
      <w:r w:rsidRPr="00CB2587">
        <w:t>dohodnuta</w:t>
      </w:r>
      <w:r>
        <w:t xml:space="preserve"> </w:t>
      </w:r>
      <w:r w:rsidRPr="00CB2587">
        <w:t>pravidla</w:t>
      </w:r>
      <w:r>
        <w:t xml:space="preserve"> </w:t>
      </w:r>
      <w:r w:rsidRPr="00CB2587">
        <w:t>uzavírání</w:t>
      </w:r>
      <w:r>
        <w:t xml:space="preserve"> </w:t>
      </w:r>
      <w:r w:rsidRPr="00CB2587">
        <w:t>smluv</w:t>
      </w:r>
      <w:r>
        <w:t xml:space="preserve"> </w:t>
      </w:r>
      <w:r w:rsidRPr="00CB2587">
        <w:t>o</w:t>
      </w:r>
      <w:r>
        <w:t xml:space="preserve"> </w:t>
      </w:r>
      <w:r w:rsidRPr="00CB2587">
        <w:t>partnerství</w:t>
      </w:r>
      <w:r>
        <w:t xml:space="preserve"> </w:t>
      </w:r>
      <w:r w:rsidRPr="00CB2587">
        <w:t>týkajících</w:t>
      </w:r>
      <w:r>
        <w:t xml:space="preserve"> </w:t>
      </w:r>
      <w:r w:rsidRPr="00CB2587">
        <w:t>se</w:t>
      </w:r>
      <w:r>
        <w:t xml:space="preserve"> </w:t>
      </w:r>
      <w:r w:rsidRPr="00CB2587">
        <w:t>téhož</w:t>
      </w:r>
      <w:r>
        <w:t xml:space="preserve"> </w:t>
      </w:r>
      <w:r w:rsidRPr="00CB2587">
        <w:t>projektu</w:t>
      </w:r>
      <w:r>
        <w:t xml:space="preserve"> </w:t>
      </w:r>
      <w:r w:rsidRPr="00CB2587">
        <w:t>předkladatelem</w:t>
      </w:r>
      <w:r>
        <w:t xml:space="preserve"> </w:t>
      </w:r>
      <w:r w:rsidRPr="00CB2587">
        <w:t>projektu</w:t>
      </w:r>
      <w:r>
        <w:t xml:space="preserve"> </w:t>
      </w:r>
      <w:r w:rsidRPr="00CB2587">
        <w:t>s</w:t>
      </w:r>
      <w:r>
        <w:t xml:space="preserve"> </w:t>
      </w:r>
      <w:r w:rsidRPr="00CB2587">
        <w:t>dalšími</w:t>
      </w:r>
      <w:r>
        <w:t xml:space="preserve"> </w:t>
      </w:r>
      <w:r w:rsidRPr="00CB2587">
        <w:t>partnery,</w:t>
      </w:r>
      <w:r>
        <w:t xml:space="preserve"> </w:t>
      </w:r>
      <w:r w:rsidRPr="00CB2587">
        <w:t>popřípadě</w:t>
      </w:r>
      <w:r>
        <w:t xml:space="preserve"> </w:t>
      </w:r>
      <w:r w:rsidRPr="00CB2587">
        <w:t>může</w:t>
      </w:r>
      <w:r>
        <w:t xml:space="preserve"> </w:t>
      </w:r>
      <w:r w:rsidRPr="00CB2587">
        <w:t>být</w:t>
      </w:r>
      <w:r>
        <w:t xml:space="preserve"> </w:t>
      </w:r>
      <w:r w:rsidRPr="00CB2587">
        <w:t>uzavírání</w:t>
      </w:r>
      <w:r>
        <w:t xml:space="preserve"> </w:t>
      </w:r>
      <w:r w:rsidRPr="00CB2587">
        <w:t>těchto</w:t>
      </w:r>
      <w:r>
        <w:t xml:space="preserve"> </w:t>
      </w:r>
      <w:r w:rsidRPr="00CB2587">
        <w:t>smluv</w:t>
      </w:r>
      <w:r>
        <w:t xml:space="preserve"> </w:t>
      </w:r>
      <w:r w:rsidRPr="00CB2587">
        <w:t>výslovně</w:t>
      </w:r>
      <w:r>
        <w:t xml:space="preserve"> </w:t>
      </w:r>
      <w:r w:rsidRPr="00CB2587">
        <w:t>vyloučeno.</w:t>
      </w:r>
    </w:p>
    <w:p w14:paraId="49195DE6" w14:textId="77777777" w:rsidR="00A94E18" w:rsidRDefault="00A94E18" w:rsidP="00A84DD3">
      <w:pPr>
        <w:pStyle w:val="Textparagrafu"/>
        <w:tabs>
          <w:tab w:val="left" w:pos="392"/>
          <w:tab w:val="left" w:pos="840"/>
        </w:tabs>
        <w:spacing w:before="120" w:after="120"/>
      </w:pPr>
      <w:r w:rsidRPr="00CB2587">
        <w:t>(5)</w:t>
      </w:r>
      <w:r>
        <w:t xml:space="preserve"> </w:t>
      </w:r>
      <w:r w:rsidRPr="00CB2587">
        <w:t>Smlouva</w:t>
      </w:r>
      <w:r>
        <w:t xml:space="preserve"> </w:t>
      </w:r>
      <w:r w:rsidRPr="00CB2587">
        <w:t>o</w:t>
      </w:r>
      <w:r>
        <w:t xml:space="preserve"> </w:t>
      </w:r>
      <w:r w:rsidRPr="00CB2587">
        <w:t>partnerství</w:t>
      </w:r>
      <w:r>
        <w:t xml:space="preserve"> </w:t>
      </w:r>
      <w:r w:rsidRPr="00CB2587">
        <w:t>musí</w:t>
      </w:r>
      <w:r>
        <w:t xml:space="preserve"> </w:t>
      </w:r>
      <w:r w:rsidRPr="00CB2587">
        <w:t>mít</w:t>
      </w:r>
      <w:r>
        <w:t xml:space="preserve"> </w:t>
      </w:r>
      <w:r w:rsidRPr="00CB2587">
        <w:t>písemnou</w:t>
      </w:r>
      <w:r>
        <w:t xml:space="preserve"> </w:t>
      </w:r>
      <w:r w:rsidRPr="00CB2587">
        <w:t>formu,</w:t>
      </w:r>
      <w:r>
        <w:t xml:space="preserve"> </w:t>
      </w:r>
      <w:r w:rsidRPr="00CB2587">
        <w:t>jinak</w:t>
      </w:r>
      <w:r>
        <w:t xml:space="preserve"> </w:t>
      </w:r>
      <w:r w:rsidRPr="00CB2587">
        <w:t>je</w:t>
      </w:r>
      <w:r>
        <w:t xml:space="preserve"> </w:t>
      </w:r>
      <w:r w:rsidRPr="00CB2587">
        <w:t>neplatná.</w:t>
      </w:r>
      <w:r>
        <w:t xml:space="preserve"> </w:t>
      </w:r>
      <w:r w:rsidRPr="00CB2587">
        <w:t>Je-li</w:t>
      </w:r>
      <w:r>
        <w:t xml:space="preserve"> </w:t>
      </w:r>
      <w:r w:rsidRPr="00CB2587">
        <w:t>smluvní</w:t>
      </w:r>
      <w:r>
        <w:t xml:space="preserve"> </w:t>
      </w:r>
      <w:r w:rsidRPr="00CB2587">
        <w:t>stranou</w:t>
      </w:r>
      <w:r>
        <w:t xml:space="preserve"> </w:t>
      </w:r>
      <w:r w:rsidRPr="00CB2587">
        <w:t>právnická</w:t>
      </w:r>
      <w:r>
        <w:t xml:space="preserve"> </w:t>
      </w:r>
      <w:r w:rsidRPr="00CB2587">
        <w:t>osoba</w:t>
      </w:r>
      <w:r>
        <w:t xml:space="preserve"> </w:t>
      </w:r>
      <w:r w:rsidRPr="00CB2587">
        <w:t>zřizovaná</w:t>
      </w:r>
      <w:r>
        <w:t xml:space="preserve"> </w:t>
      </w:r>
      <w:r w:rsidRPr="00CB2587">
        <w:t>státem,</w:t>
      </w:r>
      <w:r>
        <w:t xml:space="preserve"> </w:t>
      </w:r>
      <w:r w:rsidRPr="00CB2587">
        <w:t>krajem,</w:t>
      </w:r>
      <w:r>
        <w:t xml:space="preserve"> </w:t>
      </w:r>
      <w:r w:rsidRPr="00CB2587">
        <w:t>obcí</w:t>
      </w:r>
      <w:r>
        <w:t xml:space="preserve"> </w:t>
      </w:r>
      <w:r w:rsidRPr="00CB2587">
        <w:t>nebo</w:t>
      </w:r>
      <w:r>
        <w:t xml:space="preserve"> </w:t>
      </w:r>
      <w:r w:rsidRPr="00CB2587">
        <w:t>svazkem</w:t>
      </w:r>
      <w:r>
        <w:t xml:space="preserve"> </w:t>
      </w:r>
      <w:r w:rsidRPr="00CB2587">
        <w:t>obcí,</w:t>
      </w:r>
      <w:r>
        <w:t xml:space="preserve"> </w:t>
      </w:r>
      <w:r w:rsidRPr="00CB2587">
        <w:t>je</w:t>
      </w:r>
      <w:r>
        <w:t xml:space="preserve"> </w:t>
      </w:r>
      <w:r w:rsidRPr="00CB2587">
        <w:t>podmínkou</w:t>
      </w:r>
      <w:r>
        <w:t xml:space="preserve"> </w:t>
      </w:r>
      <w:r w:rsidRPr="00CB2587">
        <w:t>platnosti</w:t>
      </w:r>
      <w:r>
        <w:t xml:space="preserve"> </w:t>
      </w:r>
      <w:r w:rsidRPr="00CB2587">
        <w:t>smlouvy</w:t>
      </w:r>
      <w:r>
        <w:t xml:space="preserve"> </w:t>
      </w:r>
      <w:r w:rsidRPr="00CB2587">
        <w:t>také</w:t>
      </w:r>
      <w:r>
        <w:t xml:space="preserve"> </w:t>
      </w:r>
      <w:r w:rsidRPr="00CB2587">
        <w:t>doložka</w:t>
      </w:r>
      <w:r>
        <w:t xml:space="preserve"> </w:t>
      </w:r>
      <w:r w:rsidRPr="00CB2587">
        <w:t>osvědčující</w:t>
      </w:r>
      <w:r>
        <w:t xml:space="preserve"> </w:t>
      </w:r>
      <w:r w:rsidRPr="00CB2587">
        <w:t>souhlas</w:t>
      </w:r>
      <w:r>
        <w:t xml:space="preserve"> </w:t>
      </w:r>
      <w:r w:rsidRPr="00CB2587">
        <w:t>zřizovatele</w:t>
      </w:r>
      <w:r>
        <w:t xml:space="preserve"> </w:t>
      </w:r>
      <w:r w:rsidRPr="00CB2587">
        <w:t>s</w:t>
      </w:r>
      <w:r>
        <w:t xml:space="preserve"> </w:t>
      </w:r>
      <w:r w:rsidRPr="00CB2587">
        <w:t>tím,</w:t>
      </w:r>
      <w:r>
        <w:t xml:space="preserve"> </w:t>
      </w:r>
      <w:r w:rsidRPr="00CB2587">
        <w:t>aby</w:t>
      </w:r>
      <w:r>
        <w:t xml:space="preserve"> </w:t>
      </w:r>
      <w:r w:rsidRPr="00CB2587">
        <w:t>právnická</w:t>
      </w:r>
      <w:r>
        <w:t xml:space="preserve"> </w:t>
      </w:r>
      <w:r w:rsidRPr="00CB2587">
        <w:t>osoba</w:t>
      </w:r>
      <w:r>
        <w:t xml:space="preserve"> </w:t>
      </w:r>
      <w:r w:rsidRPr="00CB2587">
        <w:t>smlouvu</w:t>
      </w:r>
      <w:r>
        <w:t xml:space="preserve"> </w:t>
      </w:r>
      <w:r w:rsidRPr="00CB2587">
        <w:t>o</w:t>
      </w:r>
      <w:r>
        <w:t xml:space="preserve"> </w:t>
      </w:r>
      <w:r w:rsidRPr="00CB2587">
        <w:t>partnerství</w:t>
      </w:r>
      <w:r>
        <w:t xml:space="preserve"> </w:t>
      </w:r>
      <w:r w:rsidRPr="00CB2587">
        <w:t>uzavřela.</w:t>
      </w:r>
    </w:p>
    <w:p w14:paraId="6D3417B2" w14:textId="03F8C61A" w:rsidR="00A94E18" w:rsidRDefault="00A94E18" w:rsidP="00A84DD3">
      <w:pPr>
        <w:pStyle w:val="Textparagrafu"/>
        <w:tabs>
          <w:tab w:val="left" w:pos="392"/>
          <w:tab w:val="left" w:pos="840"/>
        </w:tabs>
        <w:spacing w:before="120" w:after="120"/>
      </w:pPr>
      <w:r w:rsidRPr="00CB2587">
        <w:t>(6)</w:t>
      </w:r>
      <w:r>
        <w:t xml:space="preserve"> </w:t>
      </w:r>
      <w:r w:rsidRPr="00CB2587">
        <w:t>Na</w:t>
      </w:r>
      <w:r>
        <w:t xml:space="preserve"> </w:t>
      </w:r>
      <w:r w:rsidRPr="00CB2587">
        <w:t>uzavírání</w:t>
      </w:r>
      <w:r>
        <w:t xml:space="preserve"> </w:t>
      </w:r>
      <w:r w:rsidRPr="00CB2587">
        <w:t>smluv</w:t>
      </w:r>
      <w:r>
        <w:t xml:space="preserve"> </w:t>
      </w:r>
      <w:r w:rsidRPr="00CB2587">
        <w:t>o</w:t>
      </w:r>
      <w:r>
        <w:t xml:space="preserve"> </w:t>
      </w:r>
      <w:r w:rsidRPr="00CB2587">
        <w:t>partnerství</w:t>
      </w:r>
      <w:r>
        <w:t xml:space="preserve"> </w:t>
      </w:r>
      <w:r w:rsidRPr="00CB2587">
        <w:t>a</w:t>
      </w:r>
      <w:r>
        <w:t xml:space="preserve"> </w:t>
      </w:r>
      <w:r w:rsidRPr="00CB2587">
        <w:t>právní</w:t>
      </w:r>
      <w:r>
        <w:t xml:space="preserve"> </w:t>
      </w:r>
      <w:r w:rsidRPr="00CB2587">
        <w:t>vztahy</w:t>
      </w:r>
      <w:r>
        <w:t xml:space="preserve"> </w:t>
      </w:r>
      <w:r w:rsidRPr="00CB2587">
        <w:t>z</w:t>
      </w:r>
      <w:r>
        <w:t xml:space="preserve"> </w:t>
      </w:r>
      <w:r w:rsidRPr="00CB2587">
        <w:t>těchto</w:t>
      </w:r>
      <w:r>
        <w:t xml:space="preserve"> </w:t>
      </w:r>
      <w:r w:rsidRPr="00CB2587">
        <w:t>smluv</w:t>
      </w:r>
      <w:r>
        <w:t xml:space="preserve"> </w:t>
      </w:r>
      <w:r w:rsidRPr="00CB2587">
        <w:t>se</w:t>
      </w:r>
      <w:r>
        <w:t xml:space="preserve"> </w:t>
      </w:r>
      <w:r w:rsidRPr="00CB2587">
        <w:t>nevztahuje</w:t>
      </w:r>
      <w:r>
        <w:t xml:space="preserve"> </w:t>
      </w:r>
      <w:r w:rsidRPr="00CB2587">
        <w:t>právní</w:t>
      </w:r>
      <w:r>
        <w:t xml:space="preserve"> </w:t>
      </w:r>
      <w:r w:rsidRPr="00CB2587">
        <w:t>úprava</w:t>
      </w:r>
      <w:r>
        <w:t xml:space="preserve"> </w:t>
      </w:r>
      <w:r w:rsidRPr="00CB2587">
        <w:t>veřejných</w:t>
      </w:r>
      <w:r>
        <w:t xml:space="preserve"> </w:t>
      </w:r>
      <w:r w:rsidRPr="00CB2587">
        <w:t>zakázek</w:t>
      </w:r>
      <w:r w:rsidR="00EB6138">
        <w:rPr>
          <w:rStyle w:val="Znakapoznpodarou"/>
        </w:rPr>
        <w:footnoteReference w:customMarkFollows="1" w:id="467"/>
        <w:t>21a)</w:t>
      </w:r>
      <w:r w:rsidRPr="00CB2587">
        <w:t>.</w:t>
      </w:r>
      <w:r>
        <w:t xml:space="preserve"> </w:t>
      </w:r>
      <w:r w:rsidRPr="00CB2587">
        <w:t>Možnosti</w:t>
      </w:r>
      <w:r>
        <w:t xml:space="preserve"> </w:t>
      </w:r>
      <w:r w:rsidRPr="00CB2587">
        <w:t>spolupráce</w:t>
      </w:r>
      <w:r>
        <w:t xml:space="preserve"> </w:t>
      </w:r>
      <w:r w:rsidRPr="00CB2587">
        <w:t>podle</w:t>
      </w:r>
      <w:r>
        <w:t xml:space="preserve"> </w:t>
      </w:r>
      <w:r w:rsidRPr="00CB2587">
        <w:t>zvláštních</w:t>
      </w:r>
      <w:r>
        <w:t xml:space="preserve"> </w:t>
      </w:r>
      <w:r w:rsidRPr="00CB2587">
        <w:t>právních</w:t>
      </w:r>
      <w:r>
        <w:t xml:space="preserve"> </w:t>
      </w:r>
      <w:r w:rsidR="00EB6138">
        <w:t>předpisů</w:t>
      </w:r>
      <w:r w:rsidR="00EB6138">
        <w:rPr>
          <w:rStyle w:val="Znakapoznpodarou"/>
        </w:rPr>
        <w:footnoteReference w:customMarkFollows="1" w:id="468"/>
        <w:t>21b)</w:t>
      </w:r>
      <w:r>
        <w:t xml:space="preserve"> </w:t>
      </w:r>
      <w:r w:rsidRPr="00CB2587">
        <w:t>nejsou</w:t>
      </w:r>
      <w:r>
        <w:t xml:space="preserve"> </w:t>
      </w:r>
      <w:r w:rsidRPr="00CB2587">
        <w:t>odstavci</w:t>
      </w:r>
      <w:r>
        <w:t xml:space="preserve"> </w:t>
      </w:r>
      <w:r w:rsidRPr="00CB2587">
        <w:t>1</w:t>
      </w:r>
      <w:r>
        <w:t xml:space="preserve"> </w:t>
      </w:r>
      <w:r w:rsidRPr="00CB2587">
        <w:t>až</w:t>
      </w:r>
      <w:r>
        <w:t xml:space="preserve"> </w:t>
      </w:r>
      <w:r w:rsidRPr="00CB2587">
        <w:t>5</w:t>
      </w:r>
      <w:r>
        <w:t xml:space="preserve"> </w:t>
      </w:r>
      <w:r w:rsidRPr="00CB2587">
        <w:t>dotčeny.</w:t>
      </w:r>
    </w:p>
    <w:p w14:paraId="027DEB06" w14:textId="77777777" w:rsidR="00A94E18" w:rsidRPr="00CB2587" w:rsidRDefault="00A94E18" w:rsidP="00A84DD3">
      <w:pPr>
        <w:pStyle w:val="Textparagrafu"/>
        <w:tabs>
          <w:tab w:val="left" w:pos="392"/>
          <w:tab w:val="left" w:pos="840"/>
        </w:tabs>
        <w:spacing w:before="120" w:after="120"/>
      </w:pPr>
      <w:r w:rsidRPr="00CB2587">
        <w:t>(7)</w:t>
      </w:r>
      <w:r>
        <w:t xml:space="preserve"> </w:t>
      </w:r>
      <w:r w:rsidRPr="00CB2587">
        <w:t>Na</w:t>
      </w:r>
      <w:r>
        <w:t xml:space="preserve"> </w:t>
      </w:r>
      <w:r w:rsidRPr="00CB2587">
        <w:t>programy</w:t>
      </w:r>
      <w:r>
        <w:t xml:space="preserve"> </w:t>
      </w:r>
      <w:r w:rsidRPr="00CB2587">
        <w:t>spolufinancované</w:t>
      </w:r>
      <w:r>
        <w:t xml:space="preserve"> </w:t>
      </w:r>
      <w:r w:rsidRPr="00CB2587">
        <w:t>z</w:t>
      </w:r>
      <w:r>
        <w:t xml:space="preserve"> </w:t>
      </w:r>
      <w:r w:rsidRPr="00CB2587">
        <w:t>rozpočtu</w:t>
      </w:r>
      <w:r>
        <w:t xml:space="preserve"> </w:t>
      </w:r>
      <w:r w:rsidRPr="00CB2587">
        <w:t>Evropské</w:t>
      </w:r>
      <w:r>
        <w:t xml:space="preserve"> </w:t>
      </w:r>
      <w:r w:rsidRPr="00CB2587">
        <w:t>unie</w:t>
      </w:r>
      <w:r>
        <w:t xml:space="preserve"> </w:t>
      </w:r>
      <w:r w:rsidRPr="00CB2587">
        <w:t>nebo</w:t>
      </w:r>
      <w:r>
        <w:t xml:space="preserve"> </w:t>
      </w:r>
      <w:r w:rsidRPr="00CB2587">
        <w:t>jejich</w:t>
      </w:r>
      <w:r>
        <w:t xml:space="preserve"> </w:t>
      </w:r>
      <w:r w:rsidRPr="00CB2587">
        <w:t>části,</w:t>
      </w:r>
      <w:r>
        <w:t xml:space="preserve"> </w:t>
      </w:r>
      <w:r w:rsidRPr="00CB2587">
        <w:t>jejichž</w:t>
      </w:r>
      <w:r>
        <w:t xml:space="preserve"> </w:t>
      </w:r>
      <w:r w:rsidRPr="00CB2587">
        <w:t>předmětem</w:t>
      </w:r>
      <w:r>
        <w:t xml:space="preserve"> </w:t>
      </w:r>
      <w:r w:rsidRPr="00CB2587">
        <w:t>je</w:t>
      </w:r>
      <w:r>
        <w:t xml:space="preserve"> </w:t>
      </w:r>
      <w:r w:rsidRPr="00CB2587">
        <w:t>podpora</w:t>
      </w:r>
      <w:r>
        <w:t xml:space="preserve"> </w:t>
      </w:r>
      <w:r w:rsidRPr="00CB2587">
        <w:t>kvality,</w:t>
      </w:r>
      <w:r>
        <w:t xml:space="preserve"> </w:t>
      </w:r>
      <w:r w:rsidRPr="00CB2587">
        <w:t>rozvoje</w:t>
      </w:r>
      <w:r>
        <w:t xml:space="preserve"> </w:t>
      </w:r>
      <w:r w:rsidRPr="00CB2587">
        <w:t>nebo</w:t>
      </w:r>
      <w:r>
        <w:t xml:space="preserve"> </w:t>
      </w:r>
      <w:r w:rsidRPr="00CB2587">
        <w:t>dostupnosti</w:t>
      </w:r>
      <w:r>
        <w:t xml:space="preserve"> </w:t>
      </w:r>
      <w:r w:rsidRPr="00CB2587">
        <w:t>vzdělávání</w:t>
      </w:r>
      <w:r>
        <w:t xml:space="preserve"> </w:t>
      </w:r>
      <w:r w:rsidRPr="00CB2587">
        <w:t>a</w:t>
      </w:r>
      <w:r>
        <w:t xml:space="preserve"> </w:t>
      </w:r>
      <w:r w:rsidRPr="00CB2587">
        <w:t>školských</w:t>
      </w:r>
      <w:r>
        <w:t xml:space="preserve"> </w:t>
      </w:r>
      <w:r w:rsidRPr="00CB2587">
        <w:t>služeb</w:t>
      </w:r>
      <w:r>
        <w:t xml:space="preserve"> </w:t>
      </w:r>
      <w:r w:rsidRPr="00CB2587">
        <w:t>podle</w:t>
      </w:r>
      <w:r>
        <w:t xml:space="preserve"> </w:t>
      </w:r>
      <w:r w:rsidRPr="00CB2587">
        <w:t>tohoto</w:t>
      </w:r>
      <w:r>
        <w:t xml:space="preserve"> </w:t>
      </w:r>
      <w:r w:rsidRPr="00CB2587">
        <w:t>zákona,</w:t>
      </w:r>
      <w:r>
        <w:t xml:space="preserve"> </w:t>
      </w:r>
      <w:r w:rsidRPr="00CB2587">
        <w:t>se</w:t>
      </w:r>
      <w:r>
        <w:t xml:space="preserve"> </w:t>
      </w:r>
      <w:r w:rsidRPr="00CB2587">
        <w:t>nevztahují</w:t>
      </w:r>
      <w:r>
        <w:t xml:space="preserve"> </w:t>
      </w:r>
      <w:r w:rsidRPr="00CB2587">
        <w:t>ustanovení</w:t>
      </w:r>
      <w:r>
        <w:t xml:space="preserve"> </w:t>
      </w:r>
      <w:r w:rsidRPr="00CB2587">
        <w:t>o</w:t>
      </w:r>
      <w:r>
        <w:t xml:space="preserve"> </w:t>
      </w:r>
      <w:r w:rsidRPr="00CB2587">
        <w:t>programech</w:t>
      </w:r>
      <w:r>
        <w:t xml:space="preserve"> </w:t>
      </w:r>
      <w:r w:rsidRPr="00CB2587">
        <w:t>podle</w:t>
      </w:r>
      <w:r>
        <w:t xml:space="preserve"> </w:t>
      </w:r>
      <w:r w:rsidRPr="00CB2587">
        <w:t>rozpočtových</w:t>
      </w:r>
      <w:r>
        <w:t xml:space="preserve"> </w:t>
      </w:r>
      <w:r w:rsidRPr="00CB2587">
        <w:t>pravidel.</w:t>
      </w:r>
    </w:p>
    <w:p w14:paraId="1BEEEAE4" w14:textId="2B4A4095" w:rsidR="00A94E18" w:rsidRDefault="00A94E18" w:rsidP="00EB6138">
      <w:pPr>
        <w:pStyle w:val="Textparagrafu"/>
        <w:tabs>
          <w:tab w:val="left" w:pos="406"/>
          <w:tab w:val="left" w:pos="840"/>
          <w:tab w:val="left" w:pos="868"/>
        </w:tabs>
        <w:spacing w:after="120"/>
        <w:ind w:firstLine="0"/>
        <w:jc w:val="center"/>
      </w:pPr>
      <w:r>
        <w:t>***</w:t>
      </w:r>
    </w:p>
    <w:p w14:paraId="30AE1A99" w14:textId="77777777" w:rsidR="00A94E18" w:rsidRDefault="00A94E18" w:rsidP="00EB6138">
      <w:pPr>
        <w:pStyle w:val="Textparagrafu"/>
        <w:tabs>
          <w:tab w:val="left" w:pos="392"/>
          <w:tab w:val="left" w:pos="840"/>
        </w:tabs>
        <w:spacing w:after="120"/>
        <w:ind w:firstLine="0"/>
        <w:jc w:val="center"/>
      </w:pPr>
      <w:r w:rsidRPr="00CB2587">
        <w:t>§</w:t>
      </w:r>
      <w:r>
        <w:t xml:space="preserve"> </w:t>
      </w:r>
      <w:r w:rsidRPr="00CB2587">
        <w:t>113a</w:t>
      </w:r>
    </w:p>
    <w:p w14:paraId="6BB9365D" w14:textId="3DBE7495" w:rsidR="00A94E18" w:rsidRDefault="00A94E18" w:rsidP="00A84DD3">
      <w:pPr>
        <w:pStyle w:val="Textparagrafu"/>
        <w:tabs>
          <w:tab w:val="left" w:pos="392"/>
          <w:tab w:val="left" w:pos="840"/>
        </w:tabs>
        <w:spacing w:before="120" w:after="120"/>
      </w:pPr>
      <w:r w:rsidRPr="00CB2587">
        <w:lastRenderedPageBreak/>
        <w:t>(1)</w:t>
      </w:r>
      <w:r>
        <w:t xml:space="preserve"> </w:t>
      </w:r>
      <w:r w:rsidRPr="00CB2587">
        <w:t>Vykonání</w:t>
      </w:r>
      <w:r>
        <w:t xml:space="preserve"> </w:t>
      </w:r>
      <w:r w:rsidRPr="00CB2587">
        <w:t>jednotlivých</w:t>
      </w:r>
      <w:r>
        <w:t xml:space="preserve"> </w:t>
      </w:r>
      <w:r w:rsidRPr="00CB2587">
        <w:t>zkoušek</w:t>
      </w:r>
      <w:r>
        <w:t xml:space="preserve"> </w:t>
      </w:r>
      <w:r w:rsidRPr="00CB2587">
        <w:t>se</w:t>
      </w:r>
      <w:r>
        <w:t xml:space="preserve"> </w:t>
      </w:r>
      <w:r w:rsidRPr="00CB2587">
        <w:t>poskytuje</w:t>
      </w:r>
      <w:r>
        <w:t xml:space="preserve"> </w:t>
      </w:r>
      <w:r w:rsidRPr="00CB2587">
        <w:t>za</w:t>
      </w:r>
      <w:r>
        <w:t xml:space="preserve"> </w:t>
      </w:r>
      <w:r w:rsidRPr="00CB2587">
        <w:t>úplatu,</w:t>
      </w:r>
      <w:r>
        <w:t xml:space="preserve"> </w:t>
      </w:r>
      <w:r w:rsidRPr="00CB2587">
        <w:t>která</w:t>
      </w:r>
      <w:r>
        <w:t xml:space="preserve"> </w:t>
      </w:r>
      <w:r w:rsidRPr="00CB2587">
        <w:t>je</w:t>
      </w:r>
      <w:r>
        <w:t xml:space="preserve"> </w:t>
      </w:r>
      <w:r w:rsidRPr="00CB2587">
        <w:t>v</w:t>
      </w:r>
      <w:r>
        <w:t xml:space="preserve"> </w:t>
      </w:r>
      <w:r w:rsidRPr="00CB2587">
        <w:t>případě</w:t>
      </w:r>
      <w:r>
        <w:t xml:space="preserve"> </w:t>
      </w:r>
      <w:r w:rsidRPr="00CB2587">
        <w:t>podle</w:t>
      </w:r>
      <w:r>
        <w:t xml:space="preserve"> </w:t>
      </w:r>
      <w:r w:rsidRPr="00CB2587">
        <w:t>§</w:t>
      </w:r>
      <w:r>
        <w:t xml:space="preserve"> </w:t>
      </w:r>
      <w:r w:rsidRPr="00CB2587">
        <w:t>113</w:t>
      </w:r>
      <w:r>
        <w:t xml:space="preserve"> </w:t>
      </w:r>
      <w:r w:rsidRPr="00CB2587">
        <w:t>odst.</w:t>
      </w:r>
      <w:r>
        <w:t xml:space="preserve"> </w:t>
      </w:r>
      <w:r w:rsidRPr="00CB2587">
        <w:t>2</w:t>
      </w:r>
      <w:r>
        <w:t xml:space="preserve"> </w:t>
      </w:r>
      <w:r w:rsidRPr="00CB2587">
        <w:t>písm.</w:t>
      </w:r>
      <w:r>
        <w:t xml:space="preserve"> </w:t>
      </w:r>
      <w:r w:rsidRPr="00CB2587">
        <w:t>a)</w:t>
      </w:r>
      <w:r>
        <w:t xml:space="preserve"> </w:t>
      </w:r>
      <w:r w:rsidRPr="00CB2587">
        <w:t>příjmem</w:t>
      </w:r>
      <w:r>
        <w:t xml:space="preserve"> </w:t>
      </w:r>
      <w:r w:rsidRPr="00CB2587">
        <w:t>Centra,</w:t>
      </w:r>
      <w:r>
        <w:t xml:space="preserve"> </w:t>
      </w:r>
      <w:r w:rsidRPr="00CB2587">
        <w:t>v</w:t>
      </w:r>
      <w:r>
        <w:t xml:space="preserve"> </w:t>
      </w:r>
      <w:r w:rsidRPr="00CB2587">
        <w:t>ostatních</w:t>
      </w:r>
      <w:r>
        <w:t xml:space="preserve"> </w:t>
      </w:r>
      <w:r w:rsidRPr="00CB2587">
        <w:t>případech</w:t>
      </w:r>
      <w:r>
        <w:t xml:space="preserve"> </w:t>
      </w:r>
      <w:r w:rsidRPr="00CB2587">
        <w:t>příjmem</w:t>
      </w:r>
      <w:r>
        <w:t xml:space="preserve"> </w:t>
      </w:r>
      <w:r w:rsidRPr="00CB2587">
        <w:t>právnické</w:t>
      </w:r>
      <w:r>
        <w:t xml:space="preserve"> </w:t>
      </w:r>
      <w:r w:rsidRPr="00CB2587">
        <w:t>osoby</w:t>
      </w:r>
      <w:r>
        <w:t xml:space="preserve"> </w:t>
      </w:r>
      <w:r w:rsidRPr="00CB2587">
        <w:t>vykonávající</w:t>
      </w:r>
      <w:r>
        <w:t xml:space="preserve"> </w:t>
      </w:r>
      <w:r w:rsidRPr="00CB2587">
        <w:t>činnost</w:t>
      </w:r>
      <w:r>
        <w:t xml:space="preserve"> </w:t>
      </w:r>
      <w:r w:rsidRPr="00CB2587">
        <w:t>školy.</w:t>
      </w:r>
      <w:r>
        <w:t xml:space="preserve"> </w:t>
      </w:r>
      <w:r w:rsidRPr="00CB2587">
        <w:t>Právnická</w:t>
      </w:r>
      <w:r>
        <w:t xml:space="preserve"> </w:t>
      </w:r>
      <w:r w:rsidRPr="00CB2587">
        <w:t>osoba</w:t>
      </w:r>
      <w:r>
        <w:t xml:space="preserve"> </w:t>
      </w:r>
      <w:r w:rsidRPr="00CB2587">
        <w:t>vykonávající</w:t>
      </w:r>
      <w:r>
        <w:t xml:space="preserve"> </w:t>
      </w:r>
      <w:r w:rsidRPr="00CB2587">
        <w:t>činnost</w:t>
      </w:r>
      <w:r>
        <w:t xml:space="preserve"> </w:t>
      </w:r>
      <w:r w:rsidRPr="00CB2587">
        <w:t>školy,</w:t>
      </w:r>
      <w:r>
        <w:t xml:space="preserve"> </w:t>
      </w:r>
      <w:r w:rsidRPr="00CB2587">
        <w:t>v</w:t>
      </w:r>
      <w:r>
        <w:t xml:space="preserve"> </w:t>
      </w:r>
      <w:r w:rsidRPr="00CB2587">
        <w:t>níž</w:t>
      </w:r>
      <w:r>
        <w:t xml:space="preserve"> </w:t>
      </w:r>
      <w:r w:rsidRPr="00CB2587">
        <w:t>se</w:t>
      </w:r>
      <w:r>
        <w:t xml:space="preserve"> </w:t>
      </w:r>
      <w:r w:rsidRPr="00CB2587">
        <w:t>konala</w:t>
      </w:r>
      <w:r>
        <w:t xml:space="preserve"> </w:t>
      </w:r>
      <w:r w:rsidRPr="00CB2587">
        <w:t>zkouška</w:t>
      </w:r>
      <w:r>
        <w:t xml:space="preserve"> </w:t>
      </w:r>
      <w:r w:rsidRPr="00CB2587">
        <w:t>podle</w:t>
      </w:r>
      <w:r>
        <w:t xml:space="preserve"> </w:t>
      </w:r>
      <w:r w:rsidRPr="00CB2587">
        <w:t>§</w:t>
      </w:r>
      <w:r>
        <w:t xml:space="preserve"> </w:t>
      </w:r>
      <w:r w:rsidRPr="00CB2587">
        <w:t>113</w:t>
      </w:r>
      <w:r>
        <w:t xml:space="preserve"> </w:t>
      </w:r>
      <w:r w:rsidRPr="00CB2587">
        <w:t>odst.</w:t>
      </w:r>
      <w:r>
        <w:t xml:space="preserve"> </w:t>
      </w:r>
      <w:r w:rsidRPr="00CB2587">
        <w:t>2</w:t>
      </w:r>
      <w:r>
        <w:t xml:space="preserve"> </w:t>
      </w:r>
      <w:r w:rsidRPr="00CB2587">
        <w:t>písm.</w:t>
      </w:r>
      <w:r>
        <w:t xml:space="preserve"> </w:t>
      </w:r>
      <w:r w:rsidRPr="00CB2587">
        <w:t>a),</w:t>
      </w:r>
      <w:r>
        <w:t xml:space="preserve"> </w:t>
      </w:r>
      <w:r w:rsidRPr="00CB2587">
        <w:t>má</w:t>
      </w:r>
      <w:r>
        <w:t xml:space="preserve"> </w:t>
      </w:r>
      <w:r w:rsidRPr="00CB2587">
        <w:t>nárok</w:t>
      </w:r>
      <w:r>
        <w:t xml:space="preserve"> </w:t>
      </w:r>
      <w:r w:rsidRPr="00CB2587">
        <w:t>na</w:t>
      </w:r>
      <w:r>
        <w:t xml:space="preserve"> </w:t>
      </w:r>
      <w:r w:rsidRPr="00CB2587">
        <w:t>poskytnutí</w:t>
      </w:r>
      <w:r>
        <w:t xml:space="preserve"> </w:t>
      </w:r>
      <w:r w:rsidRPr="00F33823">
        <w:rPr>
          <w:strike/>
        </w:rPr>
        <w:t>finančních</w:t>
      </w:r>
      <w:r>
        <w:t xml:space="preserve"> </w:t>
      </w:r>
      <w:r w:rsidR="00F33823">
        <w:rPr>
          <w:b/>
        </w:rPr>
        <w:t xml:space="preserve">peněžních </w:t>
      </w:r>
      <w:r w:rsidRPr="00CB2587">
        <w:t>prostředků</w:t>
      </w:r>
      <w:r>
        <w:t xml:space="preserve"> </w:t>
      </w:r>
      <w:r w:rsidRPr="00CB2587">
        <w:t>ze</w:t>
      </w:r>
      <w:r>
        <w:t xml:space="preserve"> </w:t>
      </w:r>
      <w:r w:rsidRPr="00CB2587">
        <w:t>státního</w:t>
      </w:r>
      <w:r>
        <w:t xml:space="preserve"> </w:t>
      </w:r>
      <w:r w:rsidRPr="00CB2587">
        <w:t>rozpočtu</w:t>
      </w:r>
      <w:r>
        <w:t xml:space="preserve"> </w:t>
      </w:r>
      <w:r w:rsidRPr="00CB2587">
        <w:t>ve</w:t>
      </w:r>
      <w:r>
        <w:t xml:space="preserve"> </w:t>
      </w:r>
      <w:r w:rsidRPr="00CB2587">
        <w:t>výši</w:t>
      </w:r>
      <w:r>
        <w:t xml:space="preserve"> </w:t>
      </w:r>
      <w:r w:rsidRPr="00CB2587">
        <w:t>odpovídající</w:t>
      </w:r>
      <w:r>
        <w:t xml:space="preserve"> </w:t>
      </w:r>
      <w:r w:rsidRPr="00CB2587">
        <w:t>podílu</w:t>
      </w:r>
      <w:r>
        <w:t xml:space="preserve"> </w:t>
      </w:r>
      <w:r w:rsidRPr="00CB2587">
        <w:t>z</w:t>
      </w:r>
      <w:r>
        <w:t xml:space="preserve"> </w:t>
      </w:r>
      <w:r w:rsidRPr="00CB2587">
        <w:t>úplaty</w:t>
      </w:r>
      <w:r>
        <w:t xml:space="preserve"> </w:t>
      </w:r>
      <w:r w:rsidRPr="00CB2587">
        <w:t>za</w:t>
      </w:r>
      <w:r>
        <w:t xml:space="preserve"> </w:t>
      </w:r>
      <w:r w:rsidRPr="00CB2587">
        <w:t>danou</w:t>
      </w:r>
      <w:r>
        <w:t xml:space="preserve"> </w:t>
      </w:r>
      <w:r w:rsidRPr="00CB2587">
        <w:t>zkoušku</w:t>
      </w:r>
      <w:r>
        <w:t xml:space="preserve"> </w:t>
      </w:r>
      <w:r w:rsidRPr="00CB2587">
        <w:t>stanovenému</w:t>
      </w:r>
      <w:r>
        <w:t xml:space="preserve"> </w:t>
      </w:r>
      <w:r w:rsidRPr="00CB2587">
        <w:t>prováděcím</w:t>
      </w:r>
      <w:r>
        <w:t xml:space="preserve"> </w:t>
      </w:r>
      <w:r w:rsidRPr="00CB2587">
        <w:t>právním</w:t>
      </w:r>
      <w:r>
        <w:t xml:space="preserve"> </w:t>
      </w:r>
      <w:r w:rsidRPr="00CB2587">
        <w:t>předpisem.</w:t>
      </w:r>
    </w:p>
    <w:p w14:paraId="3B678C1D" w14:textId="5253B92D" w:rsidR="00A94E18" w:rsidRPr="00CB2587" w:rsidRDefault="00A94E18" w:rsidP="00A84DD3">
      <w:pPr>
        <w:pStyle w:val="Textparagrafu"/>
        <w:tabs>
          <w:tab w:val="left" w:pos="392"/>
          <w:tab w:val="left" w:pos="840"/>
        </w:tabs>
        <w:spacing w:before="120" w:after="120"/>
      </w:pPr>
      <w:r w:rsidRPr="00CB2587">
        <w:t>(2)</w:t>
      </w:r>
      <w:r>
        <w:t xml:space="preserve"> </w:t>
      </w:r>
      <w:r w:rsidRPr="00CB2587">
        <w:t>Ministerstvo</w:t>
      </w:r>
      <w:r>
        <w:t xml:space="preserve"> </w:t>
      </w:r>
      <w:r w:rsidRPr="00CB2587">
        <w:t>stanoví</w:t>
      </w:r>
      <w:r>
        <w:t xml:space="preserve"> </w:t>
      </w:r>
      <w:r w:rsidRPr="00CB2587">
        <w:t>prováděcím</w:t>
      </w:r>
      <w:r>
        <w:t xml:space="preserve"> </w:t>
      </w:r>
      <w:r w:rsidRPr="00CB2587">
        <w:t>právním</w:t>
      </w:r>
      <w:r>
        <w:t xml:space="preserve"> </w:t>
      </w:r>
      <w:r w:rsidRPr="00CB2587">
        <w:t>předpisem</w:t>
      </w:r>
      <w:r>
        <w:t xml:space="preserve"> </w:t>
      </w:r>
      <w:r w:rsidRPr="00CB2587">
        <w:t>pravidla</w:t>
      </w:r>
      <w:r>
        <w:t xml:space="preserve"> </w:t>
      </w:r>
      <w:r w:rsidRPr="00CB2587">
        <w:t>stanovení</w:t>
      </w:r>
      <w:r>
        <w:t xml:space="preserve"> </w:t>
      </w:r>
      <w:r w:rsidRPr="00CB2587">
        <w:t>a</w:t>
      </w:r>
      <w:r>
        <w:t xml:space="preserve"> </w:t>
      </w:r>
      <w:r w:rsidRPr="00CB2587">
        <w:t>zveřejnění</w:t>
      </w:r>
      <w:r>
        <w:t xml:space="preserve"> </w:t>
      </w:r>
      <w:r w:rsidRPr="00CB2587">
        <w:t>termínů</w:t>
      </w:r>
      <w:r>
        <w:t xml:space="preserve"> </w:t>
      </w:r>
      <w:r w:rsidRPr="00CB2587">
        <w:t>konání</w:t>
      </w:r>
      <w:r>
        <w:t xml:space="preserve"> </w:t>
      </w:r>
      <w:r w:rsidRPr="00CB2587">
        <w:t>jednotlivé</w:t>
      </w:r>
      <w:r>
        <w:t xml:space="preserve"> </w:t>
      </w:r>
      <w:r w:rsidRPr="00CB2587">
        <w:t>zkoušky,</w:t>
      </w:r>
      <w:r>
        <w:t xml:space="preserve"> </w:t>
      </w:r>
      <w:r w:rsidRPr="00CB2587">
        <w:t>formu,</w:t>
      </w:r>
      <w:r>
        <w:t xml:space="preserve"> </w:t>
      </w:r>
      <w:r w:rsidRPr="00CB2587">
        <w:t>obsah</w:t>
      </w:r>
      <w:r>
        <w:t xml:space="preserve"> </w:t>
      </w:r>
      <w:r w:rsidRPr="00CB2587">
        <w:t>a</w:t>
      </w:r>
      <w:r>
        <w:t xml:space="preserve"> </w:t>
      </w:r>
      <w:r w:rsidRPr="00CB2587">
        <w:t>termíny</w:t>
      </w:r>
      <w:r>
        <w:t xml:space="preserve"> </w:t>
      </w:r>
      <w:r w:rsidRPr="00CB2587">
        <w:t>podání</w:t>
      </w:r>
      <w:r>
        <w:t xml:space="preserve"> </w:t>
      </w:r>
      <w:r w:rsidRPr="00CB2587">
        <w:t>přihlášky</w:t>
      </w:r>
      <w:r>
        <w:t xml:space="preserve"> </w:t>
      </w:r>
      <w:r w:rsidRPr="00CB2587">
        <w:t>k</w:t>
      </w:r>
      <w:r>
        <w:t xml:space="preserve"> </w:t>
      </w:r>
      <w:r w:rsidRPr="00CB2587">
        <w:t>vykonání</w:t>
      </w:r>
      <w:r>
        <w:t xml:space="preserve"> </w:t>
      </w:r>
      <w:r w:rsidRPr="00CB2587">
        <w:t>jednotlivé</w:t>
      </w:r>
      <w:r>
        <w:t xml:space="preserve"> </w:t>
      </w:r>
      <w:r w:rsidRPr="00CB2587">
        <w:t>zkoušky,</w:t>
      </w:r>
      <w:r>
        <w:t xml:space="preserve"> </w:t>
      </w:r>
      <w:r w:rsidRPr="00CB2587">
        <w:t>formu</w:t>
      </w:r>
      <w:r>
        <w:t xml:space="preserve"> </w:t>
      </w:r>
      <w:r w:rsidRPr="00CB2587">
        <w:t>a</w:t>
      </w:r>
      <w:r>
        <w:t xml:space="preserve"> </w:t>
      </w:r>
      <w:r w:rsidRPr="00CB2587">
        <w:t>obsah</w:t>
      </w:r>
      <w:r>
        <w:t xml:space="preserve"> </w:t>
      </w:r>
      <w:r w:rsidRPr="00CB2587">
        <w:t>dokumentace</w:t>
      </w:r>
      <w:r>
        <w:t xml:space="preserve"> </w:t>
      </w:r>
      <w:r w:rsidRPr="00CB2587">
        <w:t>a</w:t>
      </w:r>
      <w:r>
        <w:t xml:space="preserve"> </w:t>
      </w:r>
      <w:r w:rsidRPr="00CB2587">
        <w:t>osvědčení</w:t>
      </w:r>
      <w:r>
        <w:t xml:space="preserve"> </w:t>
      </w:r>
      <w:r w:rsidRPr="00CB2587">
        <w:t>o</w:t>
      </w:r>
      <w:r>
        <w:t xml:space="preserve"> </w:t>
      </w:r>
      <w:r w:rsidRPr="00CB2587">
        <w:t>vykonání</w:t>
      </w:r>
      <w:r>
        <w:t xml:space="preserve"> </w:t>
      </w:r>
      <w:r w:rsidRPr="00CB2587">
        <w:t>jednotlivé</w:t>
      </w:r>
      <w:r>
        <w:t xml:space="preserve"> </w:t>
      </w:r>
      <w:r w:rsidRPr="00CB2587">
        <w:t>zkoušky,</w:t>
      </w:r>
      <w:r>
        <w:t xml:space="preserve"> </w:t>
      </w:r>
      <w:r w:rsidRPr="00CB2587">
        <w:t>a</w:t>
      </w:r>
      <w:r>
        <w:t xml:space="preserve"> </w:t>
      </w:r>
      <w:r w:rsidRPr="00CB2587">
        <w:t>dále</w:t>
      </w:r>
      <w:r>
        <w:t xml:space="preserve"> </w:t>
      </w:r>
      <w:r w:rsidRPr="00CB2587">
        <w:t>nejvyšší</w:t>
      </w:r>
      <w:r>
        <w:t xml:space="preserve"> </w:t>
      </w:r>
      <w:r w:rsidRPr="00CB2587">
        <w:t>možnou</w:t>
      </w:r>
      <w:r>
        <w:t xml:space="preserve"> </w:t>
      </w:r>
      <w:r w:rsidRPr="00CB2587">
        <w:t>úplatu</w:t>
      </w:r>
      <w:r>
        <w:t xml:space="preserve"> </w:t>
      </w:r>
      <w:r w:rsidRPr="00CB2587">
        <w:t>za</w:t>
      </w:r>
      <w:r>
        <w:t xml:space="preserve"> </w:t>
      </w:r>
      <w:r w:rsidRPr="00CB2587">
        <w:t>zkoušku</w:t>
      </w:r>
      <w:r>
        <w:t xml:space="preserve"> </w:t>
      </w:r>
      <w:r w:rsidRPr="00CB2587">
        <w:t>podle</w:t>
      </w:r>
      <w:r>
        <w:t xml:space="preserve"> </w:t>
      </w:r>
      <w:r w:rsidRPr="00CB2587">
        <w:t>§</w:t>
      </w:r>
      <w:r>
        <w:t xml:space="preserve"> </w:t>
      </w:r>
      <w:r w:rsidRPr="00CB2587">
        <w:t>113</w:t>
      </w:r>
      <w:r>
        <w:t xml:space="preserve"> </w:t>
      </w:r>
      <w:r w:rsidRPr="00CB2587">
        <w:t>odst.</w:t>
      </w:r>
      <w:r>
        <w:t xml:space="preserve"> </w:t>
      </w:r>
      <w:r w:rsidRPr="00CB2587">
        <w:t>2</w:t>
      </w:r>
      <w:r>
        <w:t xml:space="preserve"> </w:t>
      </w:r>
      <w:r w:rsidRPr="00CB2587">
        <w:t>písm.</w:t>
      </w:r>
      <w:r>
        <w:t xml:space="preserve"> </w:t>
      </w:r>
      <w:r w:rsidRPr="00CB2587">
        <w:t>a),</w:t>
      </w:r>
      <w:r>
        <w:t xml:space="preserve"> </w:t>
      </w:r>
      <w:r w:rsidRPr="00CB2587">
        <w:t>nejvyšší</w:t>
      </w:r>
      <w:r>
        <w:t xml:space="preserve"> </w:t>
      </w:r>
      <w:r w:rsidRPr="00CB2587">
        <w:t>možnou</w:t>
      </w:r>
      <w:r>
        <w:t xml:space="preserve"> </w:t>
      </w:r>
      <w:r w:rsidRPr="00CB2587">
        <w:t>úplatu</w:t>
      </w:r>
      <w:r>
        <w:t xml:space="preserve"> </w:t>
      </w:r>
      <w:r w:rsidRPr="00CB2587">
        <w:t>za</w:t>
      </w:r>
      <w:r>
        <w:t xml:space="preserve"> </w:t>
      </w:r>
      <w:r w:rsidRPr="00CB2587">
        <w:t>zkoušku</w:t>
      </w:r>
      <w:r>
        <w:t xml:space="preserve"> </w:t>
      </w:r>
      <w:r w:rsidRPr="00CB2587">
        <w:t>podle</w:t>
      </w:r>
      <w:r>
        <w:t xml:space="preserve"> </w:t>
      </w:r>
      <w:r w:rsidRPr="00CB2587">
        <w:t>§</w:t>
      </w:r>
      <w:r>
        <w:t xml:space="preserve"> </w:t>
      </w:r>
      <w:r w:rsidRPr="00CB2587">
        <w:t>113</w:t>
      </w:r>
      <w:r>
        <w:t xml:space="preserve"> </w:t>
      </w:r>
      <w:r w:rsidRPr="00CB2587">
        <w:t>odst.</w:t>
      </w:r>
      <w:r>
        <w:t xml:space="preserve"> </w:t>
      </w:r>
      <w:r w:rsidRPr="00CB2587">
        <w:t>2</w:t>
      </w:r>
      <w:r>
        <w:t xml:space="preserve"> </w:t>
      </w:r>
      <w:r w:rsidRPr="00CB2587">
        <w:t>písm.</w:t>
      </w:r>
      <w:r>
        <w:t xml:space="preserve"> </w:t>
      </w:r>
      <w:r w:rsidRPr="00CB2587">
        <w:t>b)</w:t>
      </w:r>
      <w:r>
        <w:t xml:space="preserve"> </w:t>
      </w:r>
      <w:r w:rsidRPr="00CB2587">
        <w:t>konanou</w:t>
      </w:r>
      <w:r>
        <w:t xml:space="preserve"> </w:t>
      </w:r>
      <w:r w:rsidRPr="00CB2587">
        <w:t>ve</w:t>
      </w:r>
      <w:r>
        <w:t xml:space="preserve"> </w:t>
      </w:r>
      <w:r w:rsidRPr="00CB2587">
        <w:t>škole</w:t>
      </w:r>
      <w:r>
        <w:t xml:space="preserve"> </w:t>
      </w:r>
      <w:r w:rsidRPr="00CB2587">
        <w:t>zřizované</w:t>
      </w:r>
      <w:r>
        <w:t xml:space="preserve"> </w:t>
      </w:r>
      <w:r w:rsidRPr="00CB2587">
        <w:t>státem,</w:t>
      </w:r>
      <w:r>
        <w:t xml:space="preserve"> </w:t>
      </w:r>
      <w:r w:rsidRPr="00CB2587">
        <w:t>krajem,</w:t>
      </w:r>
      <w:r>
        <w:t xml:space="preserve"> </w:t>
      </w:r>
      <w:r w:rsidRPr="00CB2587">
        <w:t>obcí</w:t>
      </w:r>
      <w:r>
        <w:t xml:space="preserve"> </w:t>
      </w:r>
      <w:r w:rsidRPr="00CB2587">
        <w:t>nebo</w:t>
      </w:r>
      <w:r>
        <w:t xml:space="preserve"> </w:t>
      </w:r>
      <w:r w:rsidRPr="00CB2587">
        <w:t>svazkem</w:t>
      </w:r>
      <w:r>
        <w:t xml:space="preserve"> </w:t>
      </w:r>
      <w:r w:rsidRPr="00CB2587">
        <w:t>obcí</w:t>
      </w:r>
      <w:r>
        <w:t xml:space="preserve"> </w:t>
      </w:r>
      <w:r w:rsidRPr="00CB2587">
        <w:t>a</w:t>
      </w:r>
      <w:r>
        <w:t xml:space="preserve"> </w:t>
      </w:r>
      <w:r w:rsidRPr="00CB2587">
        <w:t>podíl</w:t>
      </w:r>
      <w:r>
        <w:t xml:space="preserve"> </w:t>
      </w:r>
      <w:r w:rsidRPr="00CB2587">
        <w:t>z</w:t>
      </w:r>
      <w:r>
        <w:t xml:space="preserve"> </w:t>
      </w:r>
      <w:r w:rsidRPr="00CB2587">
        <w:t>úplaty</w:t>
      </w:r>
      <w:r>
        <w:t xml:space="preserve"> </w:t>
      </w:r>
      <w:r w:rsidRPr="00CB2587">
        <w:t>za</w:t>
      </w:r>
      <w:r>
        <w:t xml:space="preserve"> </w:t>
      </w:r>
      <w:r w:rsidRPr="00CB2587">
        <w:t>zkoušku</w:t>
      </w:r>
      <w:r>
        <w:t xml:space="preserve"> </w:t>
      </w:r>
      <w:r w:rsidRPr="00CB2587">
        <w:t>pro</w:t>
      </w:r>
      <w:r>
        <w:t xml:space="preserve"> </w:t>
      </w:r>
      <w:r w:rsidRPr="00CB2587">
        <w:t>účely</w:t>
      </w:r>
      <w:r>
        <w:t xml:space="preserve"> </w:t>
      </w:r>
      <w:r w:rsidRPr="00CB2587">
        <w:t>poskytnutí</w:t>
      </w:r>
      <w:r>
        <w:t xml:space="preserve"> </w:t>
      </w:r>
      <w:r w:rsidRPr="00F33823">
        <w:rPr>
          <w:strike/>
        </w:rPr>
        <w:t>finančních</w:t>
      </w:r>
      <w:r>
        <w:t xml:space="preserve"> </w:t>
      </w:r>
      <w:r w:rsidR="00F33823">
        <w:rPr>
          <w:b/>
        </w:rPr>
        <w:t xml:space="preserve">peněžních </w:t>
      </w:r>
      <w:r w:rsidRPr="00CB2587">
        <w:t>prostředků</w:t>
      </w:r>
      <w:r>
        <w:t xml:space="preserve"> </w:t>
      </w:r>
      <w:r w:rsidRPr="00CB2587">
        <w:t>státního</w:t>
      </w:r>
      <w:r>
        <w:t xml:space="preserve"> </w:t>
      </w:r>
      <w:r w:rsidRPr="00CB2587">
        <w:t>rozpočtu</w:t>
      </w:r>
      <w:r>
        <w:t xml:space="preserve"> </w:t>
      </w:r>
      <w:r w:rsidRPr="00CB2587">
        <w:t>právnické</w:t>
      </w:r>
      <w:r>
        <w:t xml:space="preserve"> </w:t>
      </w:r>
      <w:r w:rsidRPr="00CB2587">
        <w:t>osobě</w:t>
      </w:r>
      <w:r>
        <w:t xml:space="preserve"> </w:t>
      </w:r>
      <w:r w:rsidRPr="00CB2587">
        <w:t>vykonávající</w:t>
      </w:r>
      <w:r>
        <w:t xml:space="preserve"> </w:t>
      </w:r>
      <w:r w:rsidRPr="00CB2587">
        <w:t>činnost</w:t>
      </w:r>
      <w:r>
        <w:t xml:space="preserve"> </w:t>
      </w:r>
      <w:r w:rsidRPr="00CB2587">
        <w:t>školy</w:t>
      </w:r>
      <w:r>
        <w:t xml:space="preserve"> </w:t>
      </w:r>
      <w:r w:rsidRPr="00CB2587">
        <w:t>podle</w:t>
      </w:r>
      <w:r>
        <w:t xml:space="preserve"> </w:t>
      </w:r>
      <w:r w:rsidRPr="00CB2587">
        <w:t>odstavce</w:t>
      </w:r>
      <w:r>
        <w:t xml:space="preserve"> </w:t>
      </w:r>
      <w:r w:rsidRPr="00CB2587">
        <w:t>1</w:t>
      </w:r>
      <w:r>
        <w:t xml:space="preserve"> </w:t>
      </w:r>
      <w:r w:rsidRPr="00CB2587">
        <w:t>věty</w:t>
      </w:r>
      <w:r>
        <w:t xml:space="preserve"> </w:t>
      </w:r>
      <w:r w:rsidRPr="00CB2587">
        <w:t>druhé.</w:t>
      </w:r>
    </w:p>
    <w:p w14:paraId="5A9C51B8" w14:textId="21039D6E" w:rsidR="00A94E18" w:rsidRDefault="00A94E18" w:rsidP="00567EA5">
      <w:pPr>
        <w:pStyle w:val="Textparagrafu"/>
        <w:tabs>
          <w:tab w:val="left" w:pos="406"/>
          <w:tab w:val="left" w:pos="840"/>
          <w:tab w:val="left" w:pos="868"/>
        </w:tabs>
        <w:spacing w:after="120"/>
        <w:ind w:firstLine="0"/>
        <w:jc w:val="center"/>
      </w:pPr>
      <w:r>
        <w:t>***</w:t>
      </w:r>
    </w:p>
    <w:p w14:paraId="16341DEB" w14:textId="50DAF7F2" w:rsidR="0099047B" w:rsidRDefault="0099047B" w:rsidP="00567EA5">
      <w:pPr>
        <w:pStyle w:val="Textparagrafu"/>
        <w:tabs>
          <w:tab w:val="left" w:pos="392"/>
          <w:tab w:val="left" w:pos="840"/>
        </w:tabs>
        <w:spacing w:after="120"/>
        <w:ind w:firstLine="0"/>
        <w:jc w:val="center"/>
      </w:pPr>
      <w:r w:rsidRPr="00864149">
        <w:t>§</w:t>
      </w:r>
      <w:r>
        <w:t xml:space="preserve"> </w:t>
      </w:r>
      <w:r w:rsidRPr="00864149">
        <w:t>129</w:t>
      </w:r>
    </w:p>
    <w:p w14:paraId="686C78A4" w14:textId="77777777" w:rsidR="0099047B" w:rsidRPr="00567EA5" w:rsidRDefault="0099047B" w:rsidP="00567EA5">
      <w:pPr>
        <w:pStyle w:val="Textparagrafu"/>
        <w:tabs>
          <w:tab w:val="left" w:pos="392"/>
          <w:tab w:val="left" w:pos="840"/>
        </w:tabs>
        <w:spacing w:after="120"/>
        <w:ind w:firstLine="0"/>
        <w:jc w:val="center"/>
        <w:rPr>
          <w:b/>
        </w:rPr>
      </w:pPr>
      <w:r w:rsidRPr="00567EA5">
        <w:rPr>
          <w:b/>
        </w:rPr>
        <w:t>Působnost zřizovatele školské právnické osoby</w:t>
      </w:r>
    </w:p>
    <w:p w14:paraId="245D153B" w14:textId="77777777" w:rsidR="0099047B" w:rsidRDefault="0099047B" w:rsidP="00BD5369">
      <w:pPr>
        <w:pStyle w:val="Textparagrafu"/>
        <w:tabs>
          <w:tab w:val="left" w:pos="392"/>
          <w:tab w:val="left" w:pos="840"/>
        </w:tabs>
        <w:spacing w:after="120"/>
      </w:pPr>
      <w:r w:rsidRPr="00864149">
        <w:t>(1)</w:t>
      </w:r>
      <w:r>
        <w:t xml:space="preserve"> </w:t>
      </w:r>
      <w:r w:rsidRPr="00864149">
        <w:t>Zřizovatel</w:t>
      </w:r>
      <w:r>
        <w:t xml:space="preserve"> </w:t>
      </w:r>
      <w:r w:rsidRPr="00864149">
        <w:t>školské</w:t>
      </w:r>
      <w:r>
        <w:t xml:space="preserve"> </w:t>
      </w:r>
      <w:r w:rsidRPr="00864149">
        <w:t>právnické</w:t>
      </w:r>
      <w:r>
        <w:t xml:space="preserve"> </w:t>
      </w:r>
      <w:r w:rsidRPr="00864149">
        <w:t>osoby</w:t>
      </w:r>
    </w:p>
    <w:p w14:paraId="22043042" w14:textId="0F48E96D" w:rsidR="0099047B" w:rsidRDefault="0099047B" w:rsidP="00567EA5">
      <w:pPr>
        <w:pStyle w:val="Textparagrafu"/>
        <w:tabs>
          <w:tab w:val="left" w:pos="392"/>
          <w:tab w:val="left" w:pos="840"/>
        </w:tabs>
        <w:spacing w:before="0"/>
        <w:ind w:firstLine="0"/>
      </w:pPr>
      <w:r w:rsidRPr="00864149">
        <w:t>a)</w:t>
      </w:r>
      <w:r w:rsidR="00567EA5">
        <w:tab/>
      </w:r>
      <w:r w:rsidRPr="00864149">
        <w:t>vydává</w:t>
      </w:r>
      <w:r>
        <w:t xml:space="preserve"> </w:t>
      </w:r>
      <w:r w:rsidRPr="00864149">
        <w:t>zřizovací</w:t>
      </w:r>
      <w:r>
        <w:t xml:space="preserve"> </w:t>
      </w:r>
      <w:r w:rsidRPr="00864149">
        <w:t>listinu</w:t>
      </w:r>
      <w:r>
        <w:t xml:space="preserve"> </w:t>
      </w:r>
      <w:r w:rsidRPr="00864149">
        <w:t>školské</w:t>
      </w:r>
      <w:r>
        <w:t xml:space="preserve"> </w:t>
      </w:r>
      <w:r w:rsidRPr="00864149">
        <w:t>právnické</w:t>
      </w:r>
      <w:r>
        <w:t xml:space="preserve"> </w:t>
      </w:r>
      <w:r w:rsidRPr="00864149">
        <w:t>osoby,</w:t>
      </w:r>
    </w:p>
    <w:p w14:paraId="15BC13D2" w14:textId="72AB38BD" w:rsidR="0099047B" w:rsidRDefault="0099047B" w:rsidP="00567EA5">
      <w:pPr>
        <w:pStyle w:val="Textparagrafu"/>
        <w:tabs>
          <w:tab w:val="left" w:pos="392"/>
          <w:tab w:val="left" w:pos="840"/>
        </w:tabs>
        <w:spacing w:before="0"/>
        <w:ind w:firstLine="0"/>
      </w:pPr>
      <w:r w:rsidRPr="00864149">
        <w:t>b)</w:t>
      </w:r>
      <w:r w:rsidR="00567EA5">
        <w:tab/>
      </w:r>
      <w:r w:rsidRPr="00864149">
        <w:t>rozhoduje</w:t>
      </w:r>
      <w:r>
        <w:t xml:space="preserve"> </w:t>
      </w:r>
      <w:r w:rsidRPr="00864149">
        <w:t>o</w:t>
      </w:r>
      <w:r>
        <w:t xml:space="preserve"> </w:t>
      </w:r>
      <w:r w:rsidRPr="00864149">
        <w:t>změnách</w:t>
      </w:r>
      <w:r>
        <w:t xml:space="preserve"> </w:t>
      </w:r>
      <w:r w:rsidRPr="00864149">
        <w:t>zřizovací</w:t>
      </w:r>
      <w:r>
        <w:t xml:space="preserve"> </w:t>
      </w:r>
      <w:r w:rsidRPr="00864149">
        <w:t>listiny</w:t>
      </w:r>
      <w:r>
        <w:t xml:space="preserve"> </w:t>
      </w:r>
      <w:r w:rsidRPr="00864149">
        <w:t>školské</w:t>
      </w:r>
      <w:r>
        <w:t xml:space="preserve"> </w:t>
      </w:r>
      <w:r w:rsidRPr="00864149">
        <w:t>právnické</w:t>
      </w:r>
      <w:r>
        <w:t xml:space="preserve"> </w:t>
      </w:r>
      <w:r w:rsidRPr="00864149">
        <w:t>osoby,</w:t>
      </w:r>
    </w:p>
    <w:p w14:paraId="6B510979" w14:textId="5399B83D" w:rsidR="0099047B" w:rsidRDefault="0099047B" w:rsidP="00567EA5">
      <w:pPr>
        <w:pStyle w:val="Textparagrafu"/>
        <w:tabs>
          <w:tab w:val="left" w:pos="392"/>
          <w:tab w:val="left" w:pos="840"/>
        </w:tabs>
        <w:spacing w:before="0"/>
        <w:ind w:firstLine="0"/>
      </w:pPr>
      <w:r w:rsidRPr="00864149">
        <w:t>c)</w:t>
      </w:r>
      <w:r w:rsidR="00567EA5">
        <w:tab/>
      </w:r>
      <w:r w:rsidRPr="00864149">
        <w:t>rozhoduje</w:t>
      </w:r>
      <w:r>
        <w:t xml:space="preserve"> </w:t>
      </w:r>
      <w:r w:rsidRPr="00864149">
        <w:t>o</w:t>
      </w:r>
      <w:r>
        <w:t xml:space="preserve"> </w:t>
      </w:r>
      <w:r w:rsidRPr="00864149">
        <w:t>sloučení,</w:t>
      </w:r>
      <w:r>
        <w:t xml:space="preserve"> </w:t>
      </w:r>
      <w:r w:rsidRPr="00864149">
        <w:t>splynutí,</w:t>
      </w:r>
      <w:r>
        <w:t xml:space="preserve"> </w:t>
      </w:r>
      <w:r w:rsidRPr="00864149">
        <w:t>rozdělení</w:t>
      </w:r>
      <w:r>
        <w:t xml:space="preserve"> </w:t>
      </w:r>
      <w:r w:rsidRPr="00864149">
        <w:t>a</w:t>
      </w:r>
      <w:r>
        <w:t xml:space="preserve"> </w:t>
      </w:r>
      <w:r w:rsidRPr="00864149">
        <w:t>zrušení</w:t>
      </w:r>
      <w:r>
        <w:t xml:space="preserve"> </w:t>
      </w:r>
      <w:r w:rsidRPr="00864149">
        <w:t>školské</w:t>
      </w:r>
      <w:r>
        <w:t xml:space="preserve"> </w:t>
      </w:r>
      <w:r w:rsidRPr="00864149">
        <w:t>právnické</w:t>
      </w:r>
      <w:r>
        <w:t xml:space="preserve"> </w:t>
      </w:r>
      <w:r w:rsidRPr="00864149">
        <w:t>osoby,</w:t>
      </w:r>
    </w:p>
    <w:p w14:paraId="1EE54AEA" w14:textId="20279A14" w:rsidR="0099047B" w:rsidRDefault="0099047B" w:rsidP="00567EA5">
      <w:pPr>
        <w:pStyle w:val="Textparagrafu"/>
        <w:tabs>
          <w:tab w:val="left" w:pos="392"/>
          <w:tab w:val="left" w:pos="840"/>
        </w:tabs>
        <w:spacing w:before="0"/>
        <w:ind w:firstLine="0"/>
      </w:pPr>
      <w:r w:rsidRPr="00864149">
        <w:t>d)</w:t>
      </w:r>
      <w:r w:rsidR="00567EA5">
        <w:tab/>
      </w:r>
      <w:r w:rsidRPr="00864149">
        <w:t>jmenuje</w:t>
      </w:r>
      <w:r>
        <w:t xml:space="preserve"> </w:t>
      </w:r>
      <w:r w:rsidRPr="00864149">
        <w:t>a</w:t>
      </w:r>
      <w:r>
        <w:t xml:space="preserve"> </w:t>
      </w:r>
      <w:r w:rsidRPr="00864149">
        <w:t>odvolává</w:t>
      </w:r>
      <w:r>
        <w:t xml:space="preserve"> </w:t>
      </w:r>
      <w:r w:rsidRPr="00864149">
        <w:t>ředitele</w:t>
      </w:r>
      <w:r>
        <w:t xml:space="preserve"> </w:t>
      </w:r>
      <w:r w:rsidRPr="00864149">
        <w:t>školské</w:t>
      </w:r>
      <w:r>
        <w:t xml:space="preserve"> </w:t>
      </w:r>
      <w:r w:rsidRPr="00864149">
        <w:t>právnické</w:t>
      </w:r>
      <w:r>
        <w:t xml:space="preserve"> </w:t>
      </w:r>
      <w:r w:rsidRPr="00864149">
        <w:t>osoby</w:t>
      </w:r>
      <w:r>
        <w:t xml:space="preserve"> </w:t>
      </w:r>
      <w:r w:rsidRPr="00864149">
        <w:t>a</w:t>
      </w:r>
      <w:r>
        <w:t xml:space="preserve"> </w:t>
      </w:r>
      <w:r w:rsidRPr="00864149">
        <w:t>stanoví</w:t>
      </w:r>
      <w:r>
        <w:t xml:space="preserve"> </w:t>
      </w:r>
      <w:r w:rsidRPr="00864149">
        <w:t>jeho</w:t>
      </w:r>
      <w:r>
        <w:t xml:space="preserve"> </w:t>
      </w:r>
      <w:r w:rsidRPr="00864149">
        <w:t>plat,</w:t>
      </w:r>
      <w:r>
        <w:t xml:space="preserve"> </w:t>
      </w:r>
      <w:r w:rsidRPr="00864149">
        <w:t>popřípadě</w:t>
      </w:r>
      <w:r>
        <w:t xml:space="preserve"> </w:t>
      </w:r>
      <w:r w:rsidRPr="00864149">
        <w:t>mzdu,</w:t>
      </w:r>
    </w:p>
    <w:p w14:paraId="5D77B278" w14:textId="265ABB77" w:rsidR="0099047B" w:rsidRDefault="0099047B" w:rsidP="00567EA5">
      <w:pPr>
        <w:pStyle w:val="Textparagrafu"/>
        <w:tabs>
          <w:tab w:val="left" w:pos="392"/>
          <w:tab w:val="left" w:pos="840"/>
        </w:tabs>
        <w:spacing w:before="0"/>
        <w:ind w:firstLine="0"/>
      </w:pPr>
      <w:r w:rsidRPr="00864149">
        <w:t>e)</w:t>
      </w:r>
      <w:r w:rsidR="00567EA5">
        <w:tab/>
      </w:r>
      <w:r w:rsidRPr="00864149">
        <w:t>jmenuje</w:t>
      </w:r>
      <w:r>
        <w:t xml:space="preserve"> </w:t>
      </w:r>
      <w:r w:rsidRPr="00864149">
        <w:t>a</w:t>
      </w:r>
      <w:r>
        <w:t xml:space="preserve"> </w:t>
      </w:r>
      <w:r w:rsidRPr="00864149">
        <w:t>odvolává</w:t>
      </w:r>
      <w:r>
        <w:t xml:space="preserve"> </w:t>
      </w:r>
      <w:r w:rsidRPr="00864149">
        <w:t>třetinu</w:t>
      </w:r>
      <w:r>
        <w:t xml:space="preserve"> </w:t>
      </w:r>
      <w:r w:rsidRPr="00864149">
        <w:t>školské</w:t>
      </w:r>
      <w:r>
        <w:t xml:space="preserve"> </w:t>
      </w:r>
      <w:r w:rsidRPr="00864149">
        <w:t>rady,</w:t>
      </w:r>
      <w:r>
        <w:t xml:space="preserve"> </w:t>
      </w:r>
      <w:r w:rsidRPr="00864149">
        <w:t>pokud</w:t>
      </w:r>
      <w:r>
        <w:t xml:space="preserve"> </w:t>
      </w:r>
      <w:r w:rsidRPr="00864149">
        <w:t>se</w:t>
      </w:r>
      <w:r>
        <w:t xml:space="preserve"> </w:t>
      </w:r>
      <w:r w:rsidRPr="00864149">
        <w:t>školská</w:t>
      </w:r>
      <w:r>
        <w:t xml:space="preserve"> </w:t>
      </w:r>
      <w:r w:rsidRPr="00864149">
        <w:t>rada</w:t>
      </w:r>
      <w:r>
        <w:t xml:space="preserve"> </w:t>
      </w:r>
      <w:r w:rsidRPr="00864149">
        <w:t>zřizuje.</w:t>
      </w:r>
    </w:p>
    <w:p w14:paraId="5406A007" w14:textId="77777777" w:rsidR="0099047B" w:rsidRDefault="0099047B" w:rsidP="00BD5369">
      <w:pPr>
        <w:pStyle w:val="Textparagrafu"/>
        <w:tabs>
          <w:tab w:val="left" w:pos="392"/>
          <w:tab w:val="left" w:pos="840"/>
        </w:tabs>
        <w:spacing w:after="120"/>
      </w:pPr>
      <w:r w:rsidRPr="00864149">
        <w:t>(2)</w:t>
      </w:r>
      <w:r>
        <w:t xml:space="preserve"> </w:t>
      </w:r>
      <w:r w:rsidRPr="00864149">
        <w:t>Zřizovatel</w:t>
      </w:r>
      <w:r>
        <w:t xml:space="preserve"> </w:t>
      </w:r>
      <w:r w:rsidRPr="00864149">
        <w:t>školské</w:t>
      </w:r>
      <w:r>
        <w:t xml:space="preserve"> </w:t>
      </w:r>
      <w:r w:rsidRPr="00864149">
        <w:t>právnické</w:t>
      </w:r>
      <w:r>
        <w:t xml:space="preserve"> </w:t>
      </w:r>
      <w:r w:rsidRPr="00864149">
        <w:t>osoby,</w:t>
      </w:r>
      <w:r>
        <w:t xml:space="preserve"> </w:t>
      </w:r>
      <w:r w:rsidRPr="00864149">
        <w:t>je-li</w:t>
      </w:r>
      <w:r>
        <w:t xml:space="preserve"> </w:t>
      </w:r>
      <w:r w:rsidRPr="00864149">
        <w:t>jím</w:t>
      </w:r>
      <w:r>
        <w:t xml:space="preserve"> </w:t>
      </w:r>
      <w:r w:rsidRPr="00864149">
        <w:t>ministerstvo,</w:t>
      </w:r>
      <w:r>
        <w:t xml:space="preserve"> </w:t>
      </w:r>
      <w:r w:rsidRPr="00864149">
        <w:t>kraj,</w:t>
      </w:r>
      <w:r>
        <w:t xml:space="preserve"> </w:t>
      </w:r>
      <w:r w:rsidRPr="00864149">
        <w:t>obec</w:t>
      </w:r>
      <w:r>
        <w:t xml:space="preserve"> </w:t>
      </w:r>
      <w:r w:rsidRPr="00864149">
        <w:t>nebo</w:t>
      </w:r>
      <w:r>
        <w:t xml:space="preserve"> </w:t>
      </w:r>
      <w:r w:rsidRPr="00864149">
        <w:t>svazek</w:t>
      </w:r>
      <w:r>
        <w:t xml:space="preserve"> </w:t>
      </w:r>
      <w:r w:rsidRPr="00864149">
        <w:t>obcí,</w:t>
      </w:r>
      <w:r>
        <w:t xml:space="preserve"> </w:t>
      </w:r>
      <w:r w:rsidRPr="00864149">
        <w:t>dále</w:t>
      </w:r>
    </w:p>
    <w:p w14:paraId="1D35FEBE" w14:textId="12DF1DA8" w:rsidR="0099047B" w:rsidRDefault="0099047B" w:rsidP="00AB5ED2">
      <w:pPr>
        <w:pStyle w:val="Textparagrafu"/>
        <w:tabs>
          <w:tab w:val="left" w:pos="392"/>
          <w:tab w:val="left" w:pos="840"/>
        </w:tabs>
        <w:spacing w:before="0"/>
        <w:ind w:left="426" w:hanging="426"/>
      </w:pPr>
      <w:r w:rsidRPr="00864149">
        <w:t>a)</w:t>
      </w:r>
      <w:r w:rsidR="00567EA5">
        <w:tab/>
      </w:r>
      <w:r w:rsidRPr="00864149">
        <w:t>schvaluje</w:t>
      </w:r>
      <w:r>
        <w:t xml:space="preserve"> </w:t>
      </w:r>
      <w:r w:rsidRPr="00864149">
        <w:t>rozpočet</w:t>
      </w:r>
      <w:r>
        <w:t xml:space="preserve"> </w:t>
      </w:r>
      <w:r w:rsidRPr="00864149">
        <w:t>školské</w:t>
      </w:r>
      <w:r>
        <w:t xml:space="preserve"> </w:t>
      </w:r>
      <w:r w:rsidRPr="00864149">
        <w:t>právnické</w:t>
      </w:r>
      <w:r>
        <w:t xml:space="preserve"> </w:t>
      </w:r>
      <w:r w:rsidRPr="00864149">
        <w:t>osoby,</w:t>
      </w:r>
    </w:p>
    <w:p w14:paraId="3B7A7C77" w14:textId="44408BD2" w:rsidR="0099047B" w:rsidRPr="005C40E8" w:rsidRDefault="0099047B" w:rsidP="00AB5ED2">
      <w:pPr>
        <w:pStyle w:val="Textparagrafu"/>
        <w:tabs>
          <w:tab w:val="left" w:pos="392"/>
          <w:tab w:val="left" w:pos="840"/>
        </w:tabs>
        <w:spacing w:before="0"/>
        <w:ind w:left="426" w:hanging="426"/>
        <w:rPr>
          <w:strike/>
        </w:rPr>
      </w:pPr>
      <w:r w:rsidRPr="005C40E8">
        <w:rPr>
          <w:strike/>
        </w:rPr>
        <w:t>b)</w:t>
      </w:r>
      <w:r w:rsidR="00567EA5" w:rsidRPr="005C40E8">
        <w:rPr>
          <w:strike/>
        </w:rPr>
        <w:tab/>
      </w:r>
      <w:r w:rsidRPr="005C40E8">
        <w:rPr>
          <w:strike/>
        </w:rPr>
        <w:t>schvaluje zlepšený výsledek hospodaření školské právnické osoby,</w:t>
      </w:r>
    </w:p>
    <w:p w14:paraId="6505B8F8" w14:textId="03694BC5" w:rsidR="0099047B" w:rsidRDefault="0099047B" w:rsidP="00AB5ED2">
      <w:pPr>
        <w:pStyle w:val="Textparagrafu"/>
        <w:tabs>
          <w:tab w:val="left" w:pos="392"/>
          <w:tab w:val="left" w:pos="840"/>
        </w:tabs>
        <w:spacing w:before="0"/>
        <w:ind w:left="426" w:hanging="426"/>
      </w:pPr>
      <w:r w:rsidRPr="005C40E8">
        <w:rPr>
          <w:strike/>
        </w:rPr>
        <w:t>c)</w:t>
      </w:r>
      <w:r w:rsidR="005C40E8">
        <w:rPr>
          <w:b/>
        </w:rPr>
        <w:t>b)</w:t>
      </w:r>
      <w:r w:rsidR="00567EA5">
        <w:tab/>
      </w:r>
      <w:r w:rsidRPr="00864149">
        <w:t>schvaluje</w:t>
      </w:r>
      <w:r>
        <w:t xml:space="preserve"> </w:t>
      </w:r>
      <w:r w:rsidRPr="005C40E8">
        <w:rPr>
          <w:strike/>
        </w:rPr>
        <w:t>vytvoření</w:t>
      </w:r>
      <w:r>
        <w:t xml:space="preserve"> </w:t>
      </w:r>
      <w:r w:rsidR="005C40E8">
        <w:rPr>
          <w:b/>
        </w:rPr>
        <w:t xml:space="preserve">zřízení nebo zrušení </w:t>
      </w:r>
      <w:r w:rsidRPr="00864149">
        <w:t>dalších</w:t>
      </w:r>
      <w:r>
        <w:t xml:space="preserve"> </w:t>
      </w:r>
      <w:r w:rsidRPr="00864149">
        <w:t>peněžních</w:t>
      </w:r>
      <w:r>
        <w:t xml:space="preserve"> </w:t>
      </w:r>
      <w:r w:rsidRPr="00864149">
        <w:t>fondů</w:t>
      </w:r>
      <w:r>
        <w:t xml:space="preserve"> </w:t>
      </w:r>
      <w:r w:rsidRPr="00864149">
        <w:t>školské</w:t>
      </w:r>
      <w:r>
        <w:t xml:space="preserve"> </w:t>
      </w:r>
      <w:r w:rsidRPr="00864149">
        <w:t>právnické</w:t>
      </w:r>
      <w:r>
        <w:t xml:space="preserve"> </w:t>
      </w:r>
      <w:r w:rsidRPr="00864149">
        <w:t>osoby</w:t>
      </w:r>
      <w:r>
        <w:t xml:space="preserve"> </w:t>
      </w:r>
      <w:r w:rsidRPr="00864149">
        <w:t>neuvedených</w:t>
      </w:r>
      <w:r>
        <w:t xml:space="preserve"> </w:t>
      </w:r>
      <w:r w:rsidRPr="00864149">
        <w:t>v</w:t>
      </w:r>
      <w:r>
        <w:t xml:space="preserve"> </w:t>
      </w:r>
      <w:r w:rsidRPr="00864149">
        <w:t>§</w:t>
      </w:r>
      <w:r>
        <w:t xml:space="preserve"> </w:t>
      </w:r>
      <w:r w:rsidRPr="00864149">
        <w:t>137</w:t>
      </w:r>
      <w:r>
        <w:t xml:space="preserve"> </w:t>
      </w:r>
      <w:r w:rsidRPr="00864149">
        <w:t>odst.</w:t>
      </w:r>
      <w:r>
        <w:t xml:space="preserve"> </w:t>
      </w:r>
      <w:r w:rsidRPr="00E829A0">
        <w:rPr>
          <w:strike/>
        </w:rPr>
        <w:t>2</w:t>
      </w:r>
      <w:r w:rsidR="00E829A0">
        <w:t xml:space="preserve"> </w:t>
      </w:r>
      <w:r w:rsidR="00E829A0">
        <w:rPr>
          <w:b/>
        </w:rPr>
        <w:t>1</w:t>
      </w:r>
      <w:r>
        <w:t xml:space="preserve"> </w:t>
      </w:r>
      <w:r w:rsidRPr="00864149">
        <w:t>a</w:t>
      </w:r>
      <w:r>
        <w:t xml:space="preserve"> </w:t>
      </w:r>
      <w:r w:rsidRPr="00864149">
        <w:t>způsob</w:t>
      </w:r>
      <w:r>
        <w:t xml:space="preserve"> </w:t>
      </w:r>
      <w:r w:rsidRPr="00864149">
        <w:t>hospodaření</w:t>
      </w:r>
      <w:r>
        <w:t xml:space="preserve"> </w:t>
      </w:r>
      <w:r w:rsidRPr="00864149">
        <w:t>s</w:t>
      </w:r>
      <w:r>
        <w:t xml:space="preserve"> </w:t>
      </w:r>
      <w:r w:rsidRPr="00864149">
        <w:t>nimi.</w:t>
      </w:r>
    </w:p>
    <w:p w14:paraId="2795F6D5" w14:textId="77777777" w:rsidR="0099047B" w:rsidRDefault="0099047B" w:rsidP="00A84DD3">
      <w:pPr>
        <w:pStyle w:val="Textparagrafu"/>
        <w:tabs>
          <w:tab w:val="left" w:pos="392"/>
          <w:tab w:val="left" w:pos="840"/>
        </w:tabs>
        <w:spacing w:before="120" w:after="120"/>
      </w:pPr>
      <w:r w:rsidRPr="00864149">
        <w:t>(3)</w:t>
      </w:r>
      <w:r>
        <w:t xml:space="preserve"> </w:t>
      </w:r>
      <w:r w:rsidRPr="00864149">
        <w:t>Zřizovatel</w:t>
      </w:r>
      <w:r>
        <w:t xml:space="preserve"> </w:t>
      </w:r>
      <w:r w:rsidRPr="00864149">
        <w:t>školské</w:t>
      </w:r>
      <w:r>
        <w:t xml:space="preserve"> </w:t>
      </w:r>
      <w:r w:rsidRPr="00864149">
        <w:t>právnické</w:t>
      </w:r>
      <w:r>
        <w:t xml:space="preserve"> </w:t>
      </w:r>
      <w:r w:rsidRPr="00864149">
        <w:t>osoby,</w:t>
      </w:r>
      <w:r>
        <w:t xml:space="preserve"> </w:t>
      </w:r>
      <w:r w:rsidRPr="00864149">
        <w:t>je-li</w:t>
      </w:r>
      <w:r>
        <w:t xml:space="preserve"> </w:t>
      </w:r>
      <w:r w:rsidRPr="00864149">
        <w:t>jím</w:t>
      </w:r>
      <w:r>
        <w:t xml:space="preserve"> </w:t>
      </w:r>
      <w:r w:rsidRPr="00864149">
        <w:t>jiná</w:t>
      </w:r>
      <w:r>
        <w:t xml:space="preserve"> </w:t>
      </w:r>
      <w:r w:rsidRPr="00864149">
        <w:t>právnická</w:t>
      </w:r>
      <w:r>
        <w:t xml:space="preserve"> </w:t>
      </w:r>
      <w:r w:rsidRPr="00864149">
        <w:t>osoba</w:t>
      </w:r>
      <w:r>
        <w:t xml:space="preserve"> </w:t>
      </w:r>
      <w:r w:rsidRPr="00864149">
        <w:t>nebo</w:t>
      </w:r>
      <w:r>
        <w:t xml:space="preserve"> </w:t>
      </w:r>
      <w:r w:rsidRPr="00864149">
        <w:t>fyzická</w:t>
      </w:r>
      <w:r>
        <w:t xml:space="preserve"> </w:t>
      </w:r>
      <w:r w:rsidRPr="00864149">
        <w:t>osoba</w:t>
      </w:r>
      <w:r>
        <w:t xml:space="preserve"> </w:t>
      </w:r>
      <w:r w:rsidRPr="00864149">
        <w:t>podle</w:t>
      </w:r>
      <w:r>
        <w:t xml:space="preserve"> </w:t>
      </w:r>
      <w:r w:rsidRPr="00864149">
        <w:t>§</w:t>
      </w:r>
      <w:r>
        <w:t xml:space="preserve"> </w:t>
      </w:r>
      <w:r w:rsidRPr="00864149">
        <w:t>124</w:t>
      </w:r>
      <w:r>
        <w:t xml:space="preserve"> </w:t>
      </w:r>
      <w:r w:rsidRPr="00864149">
        <w:t>odst.</w:t>
      </w:r>
      <w:r>
        <w:t xml:space="preserve"> </w:t>
      </w:r>
      <w:r w:rsidRPr="00864149">
        <w:t>2</w:t>
      </w:r>
      <w:r>
        <w:t xml:space="preserve"> </w:t>
      </w:r>
      <w:r w:rsidRPr="00864149">
        <w:t>písm.</w:t>
      </w:r>
      <w:r>
        <w:t xml:space="preserve"> </w:t>
      </w:r>
      <w:r w:rsidRPr="00864149">
        <w:t>b),</w:t>
      </w:r>
      <w:r>
        <w:t xml:space="preserve"> </w:t>
      </w:r>
      <w:r w:rsidRPr="00864149">
        <w:t>dále</w:t>
      </w:r>
      <w:r>
        <w:t xml:space="preserve"> </w:t>
      </w:r>
      <w:r w:rsidRPr="00864149">
        <w:t>jmenuje</w:t>
      </w:r>
      <w:r>
        <w:t xml:space="preserve"> </w:t>
      </w:r>
      <w:r w:rsidRPr="00864149">
        <w:t>a</w:t>
      </w:r>
      <w:r>
        <w:t xml:space="preserve"> </w:t>
      </w:r>
      <w:r w:rsidRPr="00864149">
        <w:t>odvolává</w:t>
      </w:r>
      <w:r>
        <w:t xml:space="preserve"> </w:t>
      </w:r>
      <w:r w:rsidRPr="00864149">
        <w:t>členy</w:t>
      </w:r>
      <w:r>
        <w:t xml:space="preserve"> </w:t>
      </w:r>
      <w:r w:rsidRPr="00864149">
        <w:t>rady</w:t>
      </w:r>
      <w:r>
        <w:t xml:space="preserve"> </w:t>
      </w:r>
      <w:r w:rsidRPr="00864149">
        <w:t>školské</w:t>
      </w:r>
      <w:r>
        <w:t xml:space="preserve"> </w:t>
      </w:r>
      <w:r w:rsidRPr="00864149">
        <w:t>právnické</w:t>
      </w:r>
      <w:r>
        <w:t xml:space="preserve"> </w:t>
      </w:r>
      <w:r w:rsidRPr="00864149">
        <w:t>osoby,</w:t>
      </w:r>
      <w:r>
        <w:t xml:space="preserve"> </w:t>
      </w:r>
      <w:r w:rsidRPr="00864149">
        <w:t>popřípadě</w:t>
      </w:r>
      <w:r>
        <w:t xml:space="preserve"> </w:t>
      </w:r>
      <w:r w:rsidRPr="00864149">
        <w:t>stanoví</w:t>
      </w:r>
      <w:r>
        <w:t xml:space="preserve"> </w:t>
      </w:r>
      <w:r w:rsidRPr="00864149">
        <w:t>ve</w:t>
      </w:r>
      <w:r>
        <w:t xml:space="preserve"> </w:t>
      </w:r>
      <w:r w:rsidRPr="00864149">
        <w:t>zřizovací</w:t>
      </w:r>
      <w:r>
        <w:t xml:space="preserve"> </w:t>
      </w:r>
      <w:r w:rsidRPr="00864149">
        <w:t>listině</w:t>
      </w:r>
      <w:r>
        <w:t xml:space="preserve"> </w:t>
      </w:r>
      <w:r w:rsidRPr="00864149">
        <w:t>jiný</w:t>
      </w:r>
      <w:r>
        <w:t xml:space="preserve"> </w:t>
      </w:r>
      <w:r w:rsidRPr="00864149">
        <w:t>způsob</w:t>
      </w:r>
      <w:r>
        <w:t xml:space="preserve"> </w:t>
      </w:r>
      <w:r w:rsidRPr="00864149">
        <w:t>jejich</w:t>
      </w:r>
      <w:r>
        <w:t xml:space="preserve"> </w:t>
      </w:r>
      <w:r w:rsidRPr="00864149">
        <w:t>jmenování</w:t>
      </w:r>
      <w:r>
        <w:t xml:space="preserve"> </w:t>
      </w:r>
      <w:r w:rsidRPr="00864149">
        <w:t>a</w:t>
      </w:r>
      <w:r>
        <w:t xml:space="preserve"> </w:t>
      </w:r>
      <w:r w:rsidRPr="00864149">
        <w:t>odvolávání.</w:t>
      </w:r>
    </w:p>
    <w:p w14:paraId="3F2B2312" w14:textId="77777777" w:rsidR="0099047B" w:rsidRDefault="0099047B" w:rsidP="00A84DD3">
      <w:pPr>
        <w:pStyle w:val="Textparagrafu"/>
        <w:tabs>
          <w:tab w:val="left" w:pos="392"/>
          <w:tab w:val="left" w:pos="840"/>
        </w:tabs>
        <w:spacing w:before="120" w:after="120"/>
      </w:pPr>
      <w:r w:rsidRPr="00864149">
        <w:t>(4)</w:t>
      </w:r>
      <w:r>
        <w:t xml:space="preserve"> </w:t>
      </w:r>
      <w:r w:rsidRPr="00864149">
        <w:t>Zřizovatel</w:t>
      </w:r>
      <w:r>
        <w:t xml:space="preserve"> </w:t>
      </w:r>
      <w:r w:rsidRPr="00864149">
        <w:t>školské</w:t>
      </w:r>
      <w:r>
        <w:t xml:space="preserve"> </w:t>
      </w:r>
      <w:r w:rsidRPr="00864149">
        <w:t>právnické</w:t>
      </w:r>
      <w:r>
        <w:t xml:space="preserve"> </w:t>
      </w:r>
      <w:r w:rsidRPr="00864149">
        <w:t>osoby,</w:t>
      </w:r>
      <w:r>
        <w:t xml:space="preserve"> </w:t>
      </w:r>
      <w:r w:rsidRPr="00864149">
        <w:t>je-li</w:t>
      </w:r>
      <w:r>
        <w:t xml:space="preserve"> </w:t>
      </w:r>
      <w:r w:rsidRPr="00864149">
        <w:t>jím</w:t>
      </w:r>
      <w:r>
        <w:t xml:space="preserve"> </w:t>
      </w:r>
      <w:r w:rsidRPr="00864149">
        <w:t>jiná</w:t>
      </w:r>
      <w:r>
        <w:t xml:space="preserve"> </w:t>
      </w:r>
      <w:r w:rsidRPr="00864149">
        <w:t>právnická</w:t>
      </w:r>
      <w:r>
        <w:t xml:space="preserve"> </w:t>
      </w:r>
      <w:r w:rsidRPr="00864149">
        <w:t>osoba</w:t>
      </w:r>
      <w:r>
        <w:t xml:space="preserve"> </w:t>
      </w:r>
      <w:r w:rsidRPr="00864149">
        <w:t>nebo</w:t>
      </w:r>
      <w:r>
        <w:t xml:space="preserve"> </w:t>
      </w:r>
      <w:r w:rsidRPr="00864149">
        <w:t>fyzická</w:t>
      </w:r>
      <w:r>
        <w:t xml:space="preserve"> </w:t>
      </w:r>
      <w:r w:rsidRPr="00864149">
        <w:t>osoba</w:t>
      </w:r>
      <w:r>
        <w:t xml:space="preserve"> </w:t>
      </w:r>
      <w:r w:rsidRPr="00864149">
        <w:t>podle</w:t>
      </w:r>
      <w:r>
        <w:t xml:space="preserve"> </w:t>
      </w:r>
      <w:r w:rsidRPr="00864149">
        <w:t>§</w:t>
      </w:r>
      <w:r>
        <w:t xml:space="preserve"> </w:t>
      </w:r>
      <w:r w:rsidRPr="00864149">
        <w:t>124</w:t>
      </w:r>
      <w:r>
        <w:t xml:space="preserve"> </w:t>
      </w:r>
      <w:r w:rsidRPr="00864149">
        <w:t>odst.</w:t>
      </w:r>
      <w:r>
        <w:t xml:space="preserve"> </w:t>
      </w:r>
      <w:r w:rsidRPr="00864149">
        <w:t>2</w:t>
      </w:r>
      <w:r>
        <w:t xml:space="preserve"> </w:t>
      </w:r>
      <w:r w:rsidRPr="00864149">
        <w:t>písm.</w:t>
      </w:r>
      <w:r>
        <w:t xml:space="preserve"> </w:t>
      </w:r>
      <w:r w:rsidRPr="00864149">
        <w:t>b),</w:t>
      </w:r>
      <w:r>
        <w:t xml:space="preserve"> </w:t>
      </w:r>
      <w:r w:rsidRPr="00864149">
        <w:t>může</w:t>
      </w:r>
      <w:r>
        <w:t xml:space="preserve"> </w:t>
      </w:r>
      <w:r w:rsidRPr="00864149">
        <w:t>ve</w:t>
      </w:r>
      <w:r>
        <w:t xml:space="preserve"> </w:t>
      </w:r>
      <w:r w:rsidRPr="00864149">
        <w:t>zřizovací</w:t>
      </w:r>
      <w:r>
        <w:t xml:space="preserve"> </w:t>
      </w:r>
      <w:r w:rsidRPr="00864149">
        <w:t>listině</w:t>
      </w:r>
      <w:r>
        <w:t xml:space="preserve"> </w:t>
      </w:r>
      <w:r w:rsidRPr="00864149">
        <w:t>delegovat</w:t>
      </w:r>
      <w:r>
        <w:t xml:space="preserve"> </w:t>
      </w:r>
      <w:r w:rsidRPr="00864149">
        <w:t>své</w:t>
      </w:r>
      <w:r>
        <w:t xml:space="preserve"> </w:t>
      </w:r>
      <w:r w:rsidRPr="00864149">
        <w:t>pravomoci</w:t>
      </w:r>
      <w:r>
        <w:t xml:space="preserve"> </w:t>
      </w:r>
      <w:r w:rsidRPr="00864149">
        <w:t>uvedené</w:t>
      </w:r>
      <w:r>
        <w:t xml:space="preserve"> </w:t>
      </w:r>
      <w:r w:rsidRPr="00864149">
        <w:t>v</w:t>
      </w:r>
      <w:r>
        <w:t xml:space="preserve"> </w:t>
      </w:r>
      <w:r w:rsidRPr="00864149">
        <w:t>odstavci</w:t>
      </w:r>
      <w:r>
        <w:t xml:space="preserve"> </w:t>
      </w:r>
      <w:r w:rsidRPr="00864149">
        <w:t>1</w:t>
      </w:r>
      <w:r>
        <w:t xml:space="preserve"> </w:t>
      </w:r>
      <w:r w:rsidRPr="00864149">
        <w:t>písm.</w:t>
      </w:r>
      <w:r>
        <w:t xml:space="preserve"> </w:t>
      </w:r>
      <w:r w:rsidRPr="00864149">
        <w:t>b),</w:t>
      </w:r>
      <w:r>
        <w:t xml:space="preserve"> </w:t>
      </w:r>
      <w:r w:rsidRPr="00864149">
        <w:t>c)</w:t>
      </w:r>
      <w:r>
        <w:t xml:space="preserve"> </w:t>
      </w:r>
      <w:r w:rsidRPr="00864149">
        <w:t>a</w:t>
      </w:r>
      <w:r>
        <w:t xml:space="preserve"> </w:t>
      </w:r>
      <w:r w:rsidRPr="00864149">
        <w:t>d)</w:t>
      </w:r>
      <w:r>
        <w:t xml:space="preserve"> </w:t>
      </w:r>
      <w:r w:rsidRPr="00864149">
        <w:t>na</w:t>
      </w:r>
      <w:r>
        <w:t xml:space="preserve"> </w:t>
      </w:r>
      <w:r w:rsidRPr="00864149">
        <w:t>radu</w:t>
      </w:r>
      <w:r>
        <w:t xml:space="preserve"> </w:t>
      </w:r>
      <w:r w:rsidRPr="00864149">
        <w:t>školské</w:t>
      </w:r>
      <w:r>
        <w:t xml:space="preserve"> </w:t>
      </w:r>
      <w:r w:rsidRPr="00864149">
        <w:t>právnické</w:t>
      </w:r>
      <w:r>
        <w:t xml:space="preserve"> </w:t>
      </w:r>
      <w:r w:rsidRPr="00864149">
        <w:t>osoby.</w:t>
      </w:r>
    </w:p>
    <w:p w14:paraId="74ED2D45" w14:textId="77777777" w:rsidR="0099047B" w:rsidRPr="00864149" w:rsidRDefault="0099047B" w:rsidP="00A84DD3">
      <w:pPr>
        <w:pStyle w:val="Textparagrafu"/>
        <w:tabs>
          <w:tab w:val="left" w:pos="392"/>
          <w:tab w:val="left" w:pos="840"/>
        </w:tabs>
        <w:spacing w:before="120" w:after="120"/>
      </w:pPr>
      <w:r w:rsidRPr="00864149">
        <w:t>(5)</w:t>
      </w:r>
      <w:r>
        <w:t xml:space="preserve"> </w:t>
      </w:r>
      <w:r w:rsidRPr="00864149">
        <w:t>Zanikne-li</w:t>
      </w:r>
      <w:r>
        <w:t xml:space="preserve"> </w:t>
      </w:r>
      <w:r w:rsidRPr="00864149">
        <w:t>či</w:t>
      </w:r>
      <w:r>
        <w:t xml:space="preserve"> </w:t>
      </w:r>
      <w:r w:rsidRPr="00864149">
        <w:t>zemře-li</w:t>
      </w:r>
      <w:r>
        <w:t xml:space="preserve"> </w:t>
      </w:r>
      <w:r w:rsidRPr="00864149">
        <w:t>zřizovatel</w:t>
      </w:r>
      <w:r>
        <w:t xml:space="preserve"> </w:t>
      </w:r>
      <w:r w:rsidRPr="00864149">
        <w:t>školské</w:t>
      </w:r>
      <w:r>
        <w:t xml:space="preserve"> </w:t>
      </w:r>
      <w:r w:rsidRPr="00864149">
        <w:t>právnické</w:t>
      </w:r>
      <w:r>
        <w:t xml:space="preserve"> </w:t>
      </w:r>
      <w:r w:rsidRPr="00864149">
        <w:t>osoby,</w:t>
      </w:r>
      <w:r>
        <w:t xml:space="preserve"> </w:t>
      </w:r>
      <w:r w:rsidRPr="00864149">
        <w:t>je-li</w:t>
      </w:r>
      <w:r>
        <w:t xml:space="preserve"> </w:t>
      </w:r>
      <w:r w:rsidRPr="00864149">
        <w:t>jím</w:t>
      </w:r>
      <w:r>
        <w:t xml:space="preserve"> </w:t>
      </w:r>
      <w:r w:rsidRPr="00864149">
        <w:t>jiná</w:t>
      </w:r>
      <w:r>
        <w:t xml:space="preserve"> </w:t>
      </w:r>
      <w:r w:rsidRPr="00864149">
        <w:t>právnická</w:t>
      </w:r>
      <w:r>
        <w:t xml:space="preserve"> </w:t>
      </w:r>
      <w:r w:rsidRPr="00864149">
        <w:t>osoba</w:t>
      </w:r>
      <w:r>
        <w:t xml:space="preserve"> </w:t>
      </w:r>
      <w:r w:rsidRPr="00864149">
        <w:t>nebo</w:t>
      </w:r>
      <w:r>
        <w:t xml:space="preserve"> </w:t>
      </w:r>
      <w:r w:rsidRPr="00864149">
        <w:t>fyzická</w:t>
      </w:r>
      <w:r>
        <w:t xml:space="preserve"> </w:t>
      </w:r>
      <w:r w:rsidRPr="00864149">
        <w:t>osoba</w:t>
      </w:r>
      <w:r>
        <w:t xml:space="preserve"> </w:t>
      </w:r>
      <w:r w:rsidRPr="00864149">
        <w:t>podle</w:t>
      </w:r>
      <w:r>
        <w:t xml:space="preserve"> </w:t>
      </w:r>
      <w:r w:rsidRPr="00864149">
        <w:t>§</w:t>
      </w:r>
      <w:r>
        <w:t xml:space="preserve"> </w:t>
      </w:r>
      <w:r w:rsidRPr="00864149">
        <w:t>124</w:t>
      </w:r>
      <w:r>
        <w:t xml:space="preserve"> </w:t>
      </w:r>
      <w:r w:rsidRPr="00864149">
        <w:t>odst.</w:t>
      </w:r>
      <w:r>
        <w:t xml:space="preserve"> </w:t>
      </w:r>
      <w:r w:rsidRPr="00864149">
        <w:t>2</w:t>
      </w:r>
      <w:r>
        <w:t xml:space="preserve"> </w:t>
      </w:r>
      <w:r w:rsidRPr="00864149">
        <w:t>písm.</w:t>
      </w:r>
      <w:r>
        <w:t xml:space="preserve"> </w:t>
      </w:r>
      <w:r w:rsidRPr="00864149">
        <w:t>b),</w:t>
      </w:r>
      <w:r>
        <w:t xml:space="preserve"> </w:t>
      </w:r>
      <w:r w:rsidRPr="00864149">
        <w:t>bez</w:t>
      </w:r>
      <w:r>
        <w:t xml:space="preserve"> </w:t>
      </w:r>
      <w:r w:rsidRPr="00864149">
        <w:t>právního</w:t>
      </w:r>
      <w:r>
        <w:t xml:space="preserve"> </w:t>
      </w:r>
      <w:r w:rsidRPr="00864149">
        <w:t>nástupce,</w:t>
      </w:r>
      <w:r>
        <w:t xml:space="preserve"> </w:t>
      </w:r>
      <w:r w:rsidRPr="00864149">
        <w:t>přechází</w:t>
      </w:r>
      <w:r>
        <w:t xml:space="preserve"> </w:t>
      </w:r>
      <w:r w:rsidRPr="00864149">
        <w:t>pravomoci</w:t>
      </w:r>
      <w:r>
        <w:t xml:space="preserve"> </w:t>
      </w:r>
      <w:r w:rsidRPr="00864149">
        <w:t>zřizovatele</w:t>
      </w:r>
      <w:r>
        <w:t xml:space="preserve"> </w:t>
      </w:r>
      <w:r w:rsidRPr="00864149">
        <w:t>uvedené</w:t>
      </w:r>
      <w:r>
        <w:t xml:space="preserve"> </w:t>
      </w:r>
      <w:r w:rsidRPr="00864149">
        <w:t>v</w:t>
      </w:r>
      <w:r>
        <w:t xml:space="preserve"> </w:t>
      </w:r>
      <w:r w:rsidRPr="00864149">
        <w:t>odstavci</w:t>
      </w:r>
      <w:r>
        <w:t xml:space="preserve"> </w:t>
      </w:r>
      <w:r w:rsidRPr="00864149">
        <w:t>1</w:t>
      </w:r>
      <w:r>
        <w:t xml:space="preserve"> </w:t>
      </w:r>
      <w:r w:rsidRPr="00864149">
        <w:t>na</w:t>
      </w:r>
      <w:r>
        <w:t xml:space="preserve"> </w:t>
      </w:r>
      <w:r w:rsidRPr="00864149">
        <w:t>radu</w:t>
      </w:r>
      <w:r>
        <w:t xml:space="preserve"> </w:t>
      </w:r>
      <w:r w:rsidRPr="00864149">
        <w:t>školské</w:t>
      </w:r>
      <w:r>
        <w:t xml:space="preserve"> </w:t>
      </w:r>
      <w:r w:rsidRPr="00864149">
        <w:t>právnické</w:t>
      </w:r>
      <w:r>
        <w:t xml:space="preserve"> </w:t>
      </w:r>
      <w:r w:rsidRPr="00864149">
        <w:t>osoby.</w:t>
      </w:r>
    </w:p>
    <w:p w14:paraId="22BB5A4E" w14:textId="0BB293EE" w:rsidR="00A94E18" w:rsidRDefault="0099047B" w:rsidP="00A84DD3">
      <w:pPr>
        <w:pStyle w:val="Textparagrafu"/>
        <w:keepNext/>
        <w:keepLines/>
        <w:tabs>
          <w:tab w:val="left" w:pos="406"/>
          <w:tab w:val="left" w:pos="840"/>
          <w:tab w:val="left" w:pos="868"/>
        </w:tabs>
        <w:spacing w:after="120"/>
        <w:ind w:firstLine="0"/>
        <w:jc w:val="center"/>
      </w:pPr>
      <w:r>
        <w:lastRenderedPageBreak/>
        <w:t>***</w:t>
      </w:r>
    </w:p>
    <w:p w14:paraId="7DDC358B" w14:textId="48364A40" w:rsidR="0099047B" w:rsidRDefault="0099047B" w:rsidP="00A84DD3">
      <w:pPr>
        <w:pStyle w:val="Textparagrafu"/>
        <w:keepNext/>
        <w:keepLines/>
        <w:tabs>
          <w:tab w:val="left" w:pos="392"/>
          <w:tab w:val="left" w:pos="840"/>
        </w:tabs>
        <w:spacing w:after="120"/>
        <w:ind w:firstLine="0"/>
        <w:jc w:val="center"/>
      </w:pPr>
      <w:r w:rsidRPr="00864149">
        <w:t>§</w:t>
      </w:r>
      <w:r>
        <w:t xml:space="preserve"> </w:t>
      </w:r>
      <w:r w:rsidRPr="00864149">
        <w:t>131</w:t>
      </w:r>
    </w:p>
    <w:p w14:paraId="03FF12EE" w14:textId="77777777" w:rsidR="0099047B" w:rsidRPr="00567EA5" w:rsidRDefault="0099047B" w:rsidP="00A84DD3">
      <w:pPr>
        <w:pStyle w:val="Textparagrafu"/>
        <w:keepNext/>
        <w:keepLines/>
        <w:tabs>
          <w:tab w:val="left" w:pos="392"/>
          <w:tab w:val="left" w:pos="840"/>
        </w:tabs>
        <w:spacing w:after="120"/>
        <w:ind w:firstLine="0"/>
        <w:jc w:val="center"/>
        <w:rPr>
          <w:b/>
        </w:rPr>
      </w:pPr>
      <w:r w:rsidRPr="00567EA5">
        <w:rPr>
          <w:b/>
        </w:rPr>
        <w:t>Ředitel</w:t>
      </w:r>
    </w:p>
    <w:p w14:paraId="6B85EAA2" w14:textId="77777777" w:rsidR="0099047B" w:rsidRDefault="0099047B" w:rsidP="00A84DD3">
      <w:pPr>
        <w:pStyle w:val="Textparagrafu"/>
        <w:keepNext/>
        <w:keepLines/>
        <w:tabs>
          <w:tab w:val="left" w:pos="392"/>
          <w:tab w:val="left" w:pos="840"/>
        </w:tabs>
        <w:spacing w:before="120" w:after="120"/>
      </w:pPr>
      <w:r w:rsidRPr="00864149">
        <w:t>(1)</w:t>
      </w:r>
      <w:r>
        <w:t xml:space="preserve"> </w:t>
      </w:r>
      <w:r w:rsidRPr="00864149">
        <w:t>Ředitel</w:t>
      </w:r>
      <w:r>
        <w:t xml:space="preserve"> </w:t>
      </w:r>
      <w:r w:rsidRPr="00864149">
        <w:t>je</w:t>
      </w:r>
      <w:r>
        <w:t xml:space="preserve"> </w:t>
      </w:r>
      <w:r w:rsidRPr="00864149">
        <w:t>statutárním</w:t>
      </w:r>
      <w:r>
        <w:t xml:space="preserve"> </w:t>
      </w:r>
      <w:r w:rsidRPr="00864149">
        <w:t>orgánem</w:t>
      </w:r>
      <w:r>
        <w:t xml:space="preserve"> </w:t>
      </w:r>
      <w:r w:rsidRPr="00864149">
        <w:t>školské</w:t>
      </w:r>
      <w:r>
        <w:t xml:space="preserve"> </w:t>
      </w:r>
      <w:r w:rsidRPr="00864149">
        <w:t>právnické</w:t>
      </w:r>
      <w:r>
        <w:t xml:space="preserve"> </w:t>
      </w:r>
      <w:r w:rsidRPr="00864149">
        <w:t>osoby.</w:t>
      </w:r>
      <w:r>
        <w:t xml:space="preserve"> </w:t>
      </w:r>
      <w:r w:rsidRPr="00864149">
        <w:t>Ředitel</w:t>
      </w:r>
      <w:r>
        <w:t xml:space="preserve"> </w:t>
      </w:r>
      <w:r w:rsidRPr="00864149">
        <w:t>rozhoduje</w:t>
      </w:r>
      <w:r>
        <w:t xml:space="preserve"> </w:t>
      </w:r>
      <w:r w:rsidRPr="00864149">
        <w:t>ve</w:t>
      </w:r>
      <w:r>
        <w:t xml:space="preserve"> </w:t>
      </w:r>
      <w:r w:rsidRPr="00864149">
        <w:t>věcech</w:t>
      </w:r>
      <w:r>
        <w:t xml:space="preserve"> </w:t>
      </w:r>
      <w:r w:rsidRPr="00864149">
        <w:t>školské</w:t>
      </w:r>
      <w:r>
        <w:t xml:space="preserve"> </w:t>
      </w:r>
      <w:r w:rsidRPr="00864149">
        <w:t>právnické</w:t>
      </w:r>
      <w:r>
        <w:t xml:space="preserve"> </w:t>
      </w:r>
      <w:r w:rsidRPr="00864149">
        <w:t>osoby,</w:t>
      </w:r>
      <w:r>
        <w:t xml:space="preserve"> </w:t>
      </w:r>
      <w:r w:rsidRPr="00864149">
        <w:t>pokud</w:t>
      </w:r>
      <w:r>
        <w:t xml:space="preserve"> </w:t>
      </w:r>
      <w:r w:rsidRPr="00864149">
        <w:t>tento</w:t>
      </w:r>
      <w:r>
        <w:t xml:space="preserve"> </w:t>
      </w:r>
      <w:r w:rsidRPr="00864149">
        <w:t>zákon</w:t>
      </w:r>
      <w:r>
        <w:t xml:space="preserve"> </w:t>
      </w:r>
      <w:r w:rsidRPr="00864149">
        <w:t>nestanoví</w:t>
      </w:r>
      <w:r>
        <w:t xml:space="preserve"> </w:t>
      </w:r>
      <w:r w:rsidRPr="00864149">
        <w:t>jinak.</w:t>
      </w:r>
    </w:p>
    <w:p w14:paraId="0B872F35" w14:textId="77777777" w:rsidR="0099047B" w:rsidRDefault="0099047B" w:rsidP="00A84DD3">
      <w:pPr>
        <w:pStyle w:val="Textparagrafu"/>
        <w:tabs>
          <w:tab w:val="left" w:pos="392"/>
          <w:tab w:val="left" w:pos="840"/>
        </w:tabs>
        <w:spacing w:before="120" w:after="120"/>
      </w:pPr>
      <w:r w:rsidRPr="00864149">
        <w:t>(2)</w:t>
      </w:r>
      <w:r>
        <w:t xml:space="preserve"> </w:t>
      </w:r>
      <w:r w:rsidRPr="00864149">
        <w:t>Ředitele</w:t>
      </w:r>
      <w:r>
        <w:t xml:space="preserve"> </w:t>
      </w:r>
      <w:r w:rsidRPr="00864149">
        <w:t>školské</w:t>
      </w:r>
      <w:r>
        <w:t xml:space="preserve"> </w:t>
      </w:r>
      <w:r w:rsidRPr="00864149">
        <w:t>právnické</w:t>
      </w:r>
      <w:r>
        <w:t xml:space="preserve"> </w:t>
      </w:r>
      <w:r w:rsidRPr="00864149">
        <w:t>osoby</w:t>
      </w:r>
      <w:r>
        <w:t xml:space="preserve"> </w:t>
      </w:r>
      <w:r w:rsidRPr="00864149">
        <w:t>zřízené</w:t>
      </w:r>
      <w:r>
        <w:t xml:space="preserve"> </w:t>
      </w:r>
      <w:r w:rsidRPr="00864149">
        <w:t>ministerstvem,</w:t>
      </w:r>
      <w:r>
        <w:t xml:space="preserve"> </w:t>
      </w:r>
      <w:r w:rsidRPr="00864149">
        <w:t>krajem,</w:t>
      </w:r>
      <w:r>
        <w:t xml:space="preserve"> </w:t>
      </w:r>
      <w:r w:rsidRPr="00864149">
        <w:t>obcí</w:t>
      </w:r>
      <w:r>
        <w:t xml:space="preserve"> </w:t>
      </w:r>
      <w:r w:rsidRPr="00864149">
        <w:t>nebo</w:t>
      </w:r>
      <w:r>
        <w:t xml:space="preserve"> </w:t>
      </w:r>
      <w:r w:rsidRPr="00864149">
        <w:t>svazkem</w:t>
      </w:r>
      <w:r>
        <w:t xml:space="preserve"> </w:t>
      </w:r>
      <w:r w:rsidRPr="00864149">
        <w:t>obcí</w:t>
      </w:r>
      <w:r>
        <w:t xml:space="preserve"> </w:t>
      </w:r>
      <w:r w:rsidRPr="00864149">
        <w:t>jmenuje</w:t>
      </w:r>
      <w:r>
        <w:t xml:space="preserve"> </w:t>
      </w:r>
      <w:r w:rsidRPr="00864149">
        <w:t>a</w:t>
      </w:r>
      <w:r>
        <w:t xml:space="preserve"> </w:t>
      </w:r>
      <w:r w:rsidRPr="00864149">
        <w:t>odvolává</w:t>
      </w:r>
      <w:r>
        <w:t xml:space="preserve"> </w:t>
      </w:r>
      <w:r w:rsidRPr="00864149">
        <w:t>zřizovatel</w:t>
      </w:r>
      <w:r>
        <w:t xml:space="preserve"> </w:t>
      </w:r>
      <w:r w:rsidRPr="00864149">
        <w:t>za</w:t>
      </w:r>
      <w:r>
        <w:t xml:space="preserve"> </w:t>
      </w:r>
      <w:r w:rsidRPr="00864149">
        <w:t>podmínek</w:t>
      </w:r>
      <w:r>
        <w:t xml:space="preserve"> </w:t>
      </w:r>
      <w:r w:rsidRPr="00864149">
        <w:t>a</w:t>
      </w:r>
      <w:r>
        <w:t xml:space="preserve"> </w:t>
      </w:r>
      <w:r w:rsidRPr="00864149">
        <w:t>postupem</w:t>
      </w:r>
      <w:r>
        <w:t xml:space="preserve"> </w:t>
      </w:r>
      <w:r w:rsidRPr="00864149">
        <w:t>stanoveným</w:t>
      </w:r>
      <w:r>
        <w:t xml:space="preserve"> </w:t>
      </w:r>
      <w:r w:rsidRPr="00864149">
        <w:t>v</w:t>
      </w:r>
      <w:r>
        <w:t xml:space="preserve"> </w:t>
      </w:r>
      <w:r w:rsidRPr="00864149">
        <w:t>§</w:t>
      </w:r>
      <w:r>
        <w:t xml:space="preserve"> </w:t>
      </w:r>
      <w:r w:rsidRPr="00864149">
        <w:t>166.</w:t>
      </w:r>
    </w:p>
    <w:p w14:paraId="5C2ABC86" w14:textId="77777777" w:rsidR="0099047B" w:rsidRDefault="0099047B" w:rsidP="00A84DD3">
      <w:pPr>
        <w:pStyle w:val="Textparagrafu"/>
        <w:tabs>
          <w:tab w:val="left" w:pos="392"/>
          <w:tab w:val="left" w:pos="840"/>
        </w:tabs>
        <w:spacing w:before="120" w:after="120"/>
      </w:pPr>
      <w:r w:rsidRPr="00864149">
        <w:t>(3)</w:t>
      </w:r>
      <w:r>
        <w:t xml:space="preserve"> </w:t>
      </w:r>
      <w:r w:rsidRPr="00864149">
        <w:t>Ředitele</w:t>
      </w:r>
      <w:r>
        <w:t xml:space="preserve"> </w:t>
      </w:r>
      <w:r w:rsidRPr="00864149">
        <w:t>školské</w:t>
      </w:r>
      <w:r>
        <w:t xml:space="preserve"> </w:t>
      </w:r>
      <w:r w:rsidRPr="00864149">
        <w:t>právnické</w:t>
      </w:r>
      <w:r>
        <w:t xml:space="preserve"> </w:t>
      </w:r>
      <w:r w:rsidRPr="00864149">
        <w:t>osoby</w:t>
      </w:r>
      <w:r>
        <w:t xml:space="preserve"> </w:t>
      </w:r>
      <w:r w:rsidRPr="00864149">
        <w:t>zřízené</w:t>
      </w:r>
      <w:r>
        <w:t xml:space="preserve"> </w:t>
      </w:r>
      <w:r w:rsidRPr="00864149">
        <w:t>jinou</w:t>
      </w:r>
      <w:r>
        <w:t xml:space="preserve"> </w:t>
      </w:r>
      <w:r w:rsidRPr="00864149">
        <w:t>právnickou</w:t>
      </w:r>
      <w:r>
        <w:t xml:space="preserve"> </w:t>
      </w:r>
      <w:r w:rsidRPr="00864149">
        <w:t>osobou</w:t>
      </w:r>
      <w:r>
        <w:t xml:space="preserve"> </w:t>
      </w:r>
      <w:r w:rsidRPr="00864149">
        <w:t>nebo</w:t>
      </w:r>
      <w:r>
        <w:t xml:space="preserve"> </w:t>
      </w:r>
      <w:r w:rsidRPr="00864149">
        <w:t>fyzickou</w:t>
      </w:r>
      <w:r>
        <w:t xml:space="preserve"> </w:t>
      </w:r>
      <w:r w:rsidRPr="00864149">
        <w:t>osobou</w:t>
      </w:r>
      <w:r>
        <w:t xml:space="preserve"> </w:t>
      </w:r>
      <w:r w:rsidRPr="00864149">
        <w:t>podle</w:t>
      </w:r>
      <w:r>
        <w:t xml:space="preserve"> </w:t>
      </w:r>
      <w:r w:rsidRPr="00864149">
        <w:t>§</w:t>
      </w:r>
      <w:r>
        <w:t xml:space="preserve"> </w:t>
      </w:r>
      <w:r w:rsidRPr="00864149">
        <w:t>124</w:t>
      </w:r>
      <w:r>
        <w:t xml:space="preserve"> </w:t>
      </w:r>
      <w:r w:rsidRPr="00864149">
        <w:t>odst.</w:t>
      </w:r>
      <w:r>
        <w:t xml:space="preserve"> </w:t>
      </w:r>
      <w:r w:rsidRPr="00864149">
        <w:t>2</w:t>
      </w:r>
      <w:r>
        <w:t xml:space="preserve"> </w:t>
      </w:r>
      <w:r w:rsidRPr="00864149">
        <w:t>písm.</w:t>
      </w:r>
      <w:r>
        <w:t xml:space="preserve"> </w:t>
      </w:r>
      <w:r w:rsidRPr="00864149">
        <w:t>b)</w:t>
      </w:r>
      <w:r>
        <w:t xml:space="preserve"> </w:t>
      </w:r>
      <w:r w:rsidRPr="00864149">
        <w:t>jmenuje</w:t>
      </w:r>
      <w:r>
        <w:t xml:space="preserve"> </w:t>
      </w:r>
      <w:r w:rsidRPr="00864149">
        <w:t>a</w:t>
      </w:r>
      <w:r>
        <w:t xml:space="preserve"> </w:t>
      </w:r>
      <w:r w:rsidRPr="00864149">
        <w:t>odvolává</w:t>
      </w:r>
      <w:r>
        <w:t xml:space="preserve"> </w:t>
      </w:r>
      <w:r w:rsidRPr="00864149">
        <w:t>zřizovatel</w:t>
      </w:r>
      <w:r>
        <w:t xml:space="preserve"> </w:t>
      </w:r>
      <w:r w:rsidRPr="00864149">
        <w:t>na</w:t>
      </w:r>
      <w:r>
        <w:t xml:space="preserve"> </w:t>
      </w:r>
      <w:r w:rsidRPr="00864149">
        <w:t>návrh</w:t>
      </w:r>
      <w:r>
        <w:t xml:space="preserve"> </w:t>
      </w:r>
      <w:r w:rsidRPr="00864149">
        <w:t>rady,</w:t>
      </w:r>
      <w:r>
        <w:t xml:space="preserve"> </w:t>
      </w:r>
      <w:r w:rsidRPr="00864149">
        <w:t>v</w:t>
      </w:r>
      <w:r>
        <w:t xml:space="preserve"> </w:t>
      </w:r>
      <w:r w:rsidRPr="00864149">
        <w:t>případě</w:t>
      </w:r>
      <w:r>
        <w:t xml:space="preserve"> </w:t>
      </w:r>
      <w:r w:rsidRPr="00864149">
        <w:t>uvedeném</w:t>
      </w:r>
      <w:r>
        <w:t xml:space="preserve"> </w:t>
      </w:r>
      <w:r w:rsidRPr="00864149">
        <w:t>v</w:t>
      </w:r>
      <w:r>
        <w:t xml:space="preserve"> </w:t>
      </w:r>
      <w:r w:rsidRPr="00864149">
        <w:t>§</w:t>
      </w:r>
      <w:r>
        <w:t xml:space="preserve"> </w:t>
      </w:r>
      <w:r w:rsidRPr="00864149">
        <w:t>129</w:t>
      </w:r>
      <w:r>
        <w:t xml:space="preserve"> </w:t>
      </w:r>
      <w:r w:rsidRPr="00864149">
        <w:t>odst.</w:t>
      </w:r>
      <w:r>
        <w:t xml:space="preserve"> </w:t>
      </w:r>
      <w:r w:rsidRPr="00864149">
        <w:t>4</w:t>
      </w:r>
      <w:r>
        <w:t xml:space="preserve"> </w:t>
      </w:r>
      <w:r w:rsidRPr="00864149">
        <w:t>a</w:t>
      </w:r>
      <w:r>
        <w:t xml:space="preserve"> </w:t>
      </w:r>
      <w:r w:rsidRPr="00864149">
        <w:t>5</w:t>
      </w:r>
      <w:r>
        <w:t xml:space="preserve"> </w:t>
      </w:r>
      <w:r w:rsidRPr="00864149">
        <w:t>rada,</w:t>
      </w:r>
      <w:r>
        <w:t xml:space="preserve"> </w:t>
      </w:r>
      <w:r w:rsidRPr="00864149">
        <w:t>a</w:t>
      </w:r>
      <w:r>
        <w:t xml:space="preserve"> </w:t>
      </w:r>
      <w:r w:rsidRPr="00864149">
        <w:t>to</w:t>
      </w:r>
      <w:r>
        <w:t xml:space="preserve"> </w:t>
      </w:r>
      <w:r w:rsidRPr="00864149">
        <w:t>za</w:t>
      </w:r>
      <w:r>
        <w:t xml:space="preserve"> </w:t>
      </w:r>
      <w:r w:rsidRPr="00864149">
        <w:t>podmínek</w:t>
      </w:r>
      <w:r>
        <w:t xml:space="preserve"> </w:t>
      </w:r>
      <w:r w:rsidRPr="00864149">
        <w:t>stanovených</w:t>
      </w:r>
      <w:r>
        <w:t xml:space="preserve"> </w:t>
      </w:r>
      <w:r w:rsidRPr="00864149">
        <w:t>v</w:t>
      </w:r>
      <w:r>
        <w:t xml:space="preserve"> </w:t>
      </w:r>
      <w:r w:rsidRPr="00864149">
        <w:t>§</w:t>
      </w:r>
      <w:r>
        <w:t xml:space="preserve"> </w:t>
      </w:r>
      <w:r w:rsidRPr="00864149">
        <w:t>166</w:t>
      </w:r>
      <w:r>
        <w:t xml:space="preserve"> </w:t>
      </w:r>
      <w:r w:rsidRPr="00864149">
        <w:t>odst.</w:t>
      </w:r>
      <w:r>
        <w:t xml:space="preserve"> </w:t>
      </w:r>
      <w:r w:rsidRPr="00864149">
        <w:t>1.</w:t>
      </w:r>
    </w:p>
    <w:p w14:paraId="6E8F4A53" w14:textId="77777777" w:rsidR="0099047B" w:rsidRDefault="0099047B" w:rsidP="00A84DD3">
      <w:pPr>
        <w:pStyle w:val="Textparagrafu"/>
        <w:tabs>
          <w:tab w:val="left" w:pos="392"/>
          <w:tab w:val="left" w:pos="840"/>
        </w:tabs>
        <w:spacing w:before="120" w:after="120"/>
      </w:pPr>
      <w:r w:rsidRPr="00864149">
        <w:t>(4)</w:t>
      </w:r>
      <w:r>
        <w:t xml:space="preserve"> </w:t>
      </w:r>
      <w:r w:rsidRPr="00864149">
        <w:t>Ředitel</w:t>
      </w:r>
      <w:r>
        <w:t xml:space="preserve"> </w:t>
      </w:r>
      <w:r w:rsidRPr="00864149">
        <w:t>školské</w:t>
      </w:r>
      <w:r>
        <w:t xml:space="preserve"> </w:t>
      </w:r>
      <w:r w:rsidRPr="00864149">
        <w:t>právnické</w:t>
      </w:r>
      <w:r>
        <w:t xml:space="preserve"> </w:t>
      </w:r>
      <w:r w:rsidRPr="00864149">
        <w:t>osoby</w:t>
      </w:r>
      <w:r>
        <w:t xml:space="preserve"> </w:t>
      </w:r>
      <w:r w:rsidRPr="00864149">
        <w:t>zřízené</w:t>
      </w:r>
      <w:r>
        <w:t xml:space="preserve"> </w:t>
      </w:r>
      <w:r w:rsidRPr="00864149">
        <w:t>jinou</w:t>
      </w:r>
      <w:r>
        <w:t xml:space="preserve"> </w:t>
      </w:r>
      <w:r w:rsidRPr="00864149">
        <w:t>právnickou</w:t>
      </w:r>
      <w:r>
        <w:t xml:space="preserve"> </w:t>
      </w:r>
      <w:r w:rsidRPr="00864149">
        <w:t>osobou</w:t>
      </w:r>
      <w:r>
        <w:t xml:space="preserve"> </w:t>
      </w:r>
      <w:r w:rsidRPr="00864149">
        <w:t>nebo</w:t>
      </w:r>
      <w:r>
        <w:t xml:space="preserve"> </w:t>
      </w:r>
      <w:r w:rsidRPr="00864149">
        <w:t>fyzickou</w:t>
      </w:r>
      <w:r>
        <w:t xml:space="preserve"> </w:t>
      </w:r>
      <w:r w:rsidRPr="00864149">
        <w:t>osobou</w:t>
      </w:r>
      <w:r>
        <w:t xml:space="preserve"> </w:t>
      </w:r>
      <w:r w:rsidRPr="00864149">
        <w:t>podle</w:t>
      </w:r>
      <w:r>
        <w:t xml:space="preserve"> </w:t>
      </w:r>
      <w:r w:rsidRPr="00864149">
        <w:t>§</w:t>
      </w:r>
      <w:r>
        <w:t xml:space="preserve"> </w:t>
      </w:r>
      <w:r w:rsidRPr="00864149">
        <w:t>124</w:t>
      </w:r>
      <w:r>
        <w:t xml:space="preserve"> </w:t>
      </w:r>
      <w:r w:rsidRPr="00864149">
        <w:t>odst.</w:t>
      </w:r>
      <w:r>
        <w:t xml:space="preserve"> </w:t>
      </w:r>
      <w:r w:rsidRPr="00864149">
        <w:t>2</w:t>
      </w:r>
      <w:r>
        <w:t xml:space="preserve"> </w:t>
      </w:r>
      <w:r w:rsidRPr="00864149">
        <w:t>písm.</w:t>
      </w:r>
      <w:r>
        <w:t xml:space="preserve"> </w:t>
      </w:r>
      <w:r w:rsidRPr="00864149">
        <w:t>b)</w:t>
      </w:r>
      <w:r>
        <w:t xml:space="preserve"> </w:t>
      </w:r>
      <w:r w:rsidRPr="00864149">
        <w:t>je</w:t>
      </w:r>
      <w:r>
        <w:t xml:space="preserve"> </w:t>
      </w:r>
      <w:r w:rsidRPr="00864149">
        <w:t>ze</w:t>
      </w:r>
      <w:r>
        <w:t xml:space="preserve"> </w:t>
      </w:r>
      <w:r w:rsidRPr="00864149">
        <w:t>své</w:t>
      </w:r>
      <w:r>
        <w:t xml:space="preserve"> </w:t>
      </w:r>
      <w:r w:rsidRPr="00864149">
        <w:t>činnosti</w:t>
      </w:r>
      <w:r>
        <w:t xml:space="preserve"> </w:t>
      </w:r>
      <w:r w:rsidRPr="00864149">
        <w:t>odpovědný</w:t>
      </w:r>
      <w:r>
        <w:t xml:space="preserve"> </w:t>
      </w:r>
      <w:r w:rsidRPr="00864149">
        <w:t>radě.</w:t>
      </w:r>
    </w:p>
    <w:p w14:paraId="0A2356B4" w14:textId="77777777" w:rsidR="0099047B" w:rsidRDefault="0099047B" w:rsidP="00A84DD3">
      <w:pPr>
        <w:pStyle w:val="Textparagrafu"/>
        <w:tabs>
          <w:tab w:val="left" w:pos="392"/>
          <w:tab w:val="left" w:pos="840"/>
        </w:tabs>
        <w:spacing w:before="120" w:after="120"/>
      </w:pPr>
      <w:r w:rsidRPr="00864149">
        <w:t>(5)</w:t>
      </w:r>
      <w:r>
        <w:t xml:space="preserve"> </w:t>
      </w:r>
      <w:r w:rsidRPr="00864149">
        <w:t>Ředitel</w:t>
      </w:r>
      <w:r>
        <w:t xml:space="preserve"> </w:t>
      </w:r>
      <w:r w:rsidRPr="00864149">
        <w:t>školské</w:t>
      </w:r>
      <w:r>
        <w:t xml:space="preserve"> </w:t>
      </w:r>
      <w:r w:rsidRPr="00864149">
        <w:t>právnické</w:t>
      </w:r>
      <w:r>
        <w:t xml:space="preserve"> </w:t>
      </w:r>
      <w:r w:rsidRPr="00864149">
        <w:t>osoby</w:t>
      </w:r>
      <w:r>
        <w:t xml:space="preserve"> </w:t>
      </w:r>
      <w:r w:rsidRPr="00864149">
        <w:t>zřízené</w:t>
      </w:r>
      <w:r>
        <w:t xml:space="preserve"> </w:t>
      </w:r>
      <w:r w:rsidRPr="00864149">
        <w:t>jinou</w:t>
      </w:r>
      <w:r>
        <w:t xml:space="preserve"> </w:t>
      </w:r>
      <w:r w:rsidRPr="00864149">
        <w:t>právnickou</w:t>
      </w:r>
      <w:r>
        <w:t xml:space="preserve"> </w:t>
      </w:r>
      <w:r w:rsidRPr="00864149">
        <w:t>osobou</w:t>
      </w:r>
      <w:r>
        <w:t xml:space="preserve"> </w:t>
      </w:r>
      <w:r w:rsidRPr="00864149">
        <w:t>nebo</w:t>
      </w:r>
      <w:r>
        <w:t xml:space="preserve"> </w:t>
      </w:r>
      <w:r w:rsidRPr="00864149">
        <w:t>fyzickou</w:t>
      </w:r>
      <w:r>
        <w:t xml:space="preserve"> </w:t>
      </w:r>
      <w:r w:rsidRPr="00864149">
        <w:t>osobou</w:t>
      </w:r>
      <w:r>
        <w:t xml:space="preserve"> </w:t>
      </w:r>
      <w:r w:rsidRPr="00864149">
        <w:t>podle</w:t>
      </w:r>
      <w:r>
        <w:t xml:space="preserve"> </w:t>
      </w:r>
      <w:r w:rsidRPr="00864149">
        <w:t>§</w:t>
      </w:r>
      <w:r>
        <w:t xml:space="preserve"> </w:t>
      </w:r>
      <w:r w:rsidRPr="00864149">
        <w:t>124</w:t>
      </w:r>
      <w:r>
        <w:t xml:space="preserve"> </w:t>
      </w:r>
      <w:r w:rsidRPr="00864149">
        <w:t>odst.</w:t>
      </w:r>
      <w:r>
        <w:t xml:space="preserve"> </w:t>
      </w:r>
      <w:r w:rsidRPr="00864149">
        <w:t>2</w:t>
      </w:r>
      <w:r>
        <w:t xml:space="preserve"> </w:t>
      </w:r>
      <w:r w:rsidRPr="00864149">
        <w:t>písm.</w:t>
      </w:r>
      <w:r>
        <w:t xml:space="preserve"> </w:t>
      </w:r>
      <w:r w:rsidRPr="00864149">
        <w:t>b)</w:t>
      </w:r>
    </w:p>
    <w:p w14:paraId="08C1F74F" w14:textId="6D464BCB" w:rsidR="0099047B" w:rsidRDefault="0099047B" w:rsidP="00AB5ED2">
      <w:pPr>
        <w:pStyle w:val="Textparagrafu"/>
        <w:tabs>
          <w:tab w:val="left" w:pos="392"/>
          <w:tab w:val="left" w:pos="840"/>
        </w:tabs>
        <w:spacing w:before="0"/>
        <w:ind w:left="426" w:hanging="426"/>
      </w:pPr>
      <w:r w:rsidRPr="00864149">
        <w:t>a)</w:t>
      </w:r>
      <w:r w:rsidR="00567EA5">
        <w:tab/>
      </w:r>
      <w:r w:rsidRPr="00864149">
        <w:t>předkládá</w:t>
      </w:r>
      <w:r>
        <w:t xml:space="preserve"> </w:t>
      </w:r>
      <w:r w:rsidRPr="00864149">
        <w:t>radě</w:t>
      </w:r>
      <w:r>
        <w:t xml:space="preserve"> </w:t>
      </w:r>
      <w:r w:rsidRPr="00864149">
        <w:t>návrh</w:t>
      </w:r>
      <w:r>
        <w:t xml:space="preserve"> </w:t>
      </w:r>
      <w:r w:rsidRPr="00864149">
        <w:t>rozpočtu</w:t>
      </w:r>
      <w:r>
        <w:t xml:space="preserve"> </w:t>
      </w:r>
      <w:r w:rsidRPr="00864149">
        <w:t>školské</w:t>
      </w:r>
      <w:r>
        <w:t xml:space="preserve"> </w:t>
      </w:r>
      <w:r w:rsidRPr="00864149">
        <w:t>právnické</w:t>
      </w:r>
      <w:r>
        <w:t xml:space="preserve"> </w:t>
      </w:r>
      <w:r w:rsidRPr="00864149">
        <w:t>osoby</w:t>
      </w:r>
      <w:r>
        <w:t xml:space="preserve"> </w:t>
      </w:r>
      <w:r w:rsidRPr="00864149">
        <w:t>a</w:t>
      </w:r>
      <w:r>
        <w:t xml:space="preserve"> </w:t>
      </w:r>
      <w:r w:rsidRPr="00864149">
        <w:t>jeho</w:t>
      </w:r>
      <w:r>
        <w:t xml:space="preserve"> </w:t>
      </w:r>
      <w:r w:rsidRPr="00864149">
        <w:t>změn,</w:t>
      </w:r>
      <w:r>
        <w:t xml:space="preserve"> </w:t>
      </w:r>
      <w:r w:rsidRPr="00864149">
        <w:t>návrh</w:t>
      </w:r>
      <w:r>
        <w:t xml:space="preserve"> </w:t>
      </w:r>
      <w:r w:rsidRPr="00864149">
        <w:t>střednědobého</w:t>
      </w:r>
      <w:r>
        <w:t xml:space="preserve"> </w:t>
      </w:r>
      <w:r w:rsidRPr="00864149">
        <w:t>výhledu</w:t>
      </w:r>
      <w:r>
        <w:t xml:space="preserve"> </w:t>
      </w:r>
      <w:r w:rsidRPr="00864149">
        <w:t>jejího</w:t>
      </w:r>
      <w:r>
        <w:t xml:space="preserve"> </w:t>
      </w:r>
      <w:r w:rsidRPr="00864149">
        <w:t>financování</w:t>
      </w:r>
      <w:r>
        <w:t xml:space="preserve"> </w:t>
      </w:r>
      <w:r w:rsidRPr="00864149">
        <w:t>a</w:t>
      </w:r>
      <w:r>
        <w:t xml:space="preserve"> </w:t>
      </w:r>
      <w:r w:rsidRPr="00864149">
        <w:t>návrh</w:t>
      </w:r>
      <w:r>
        <w:t xml:space="preserve"> </w:t>
      </w:r>
      <w:r w:rsidRPr="00142686">
        <w:rPr>
          <w:strike/>
        </w:rPr>
        <w:t>roční</w:t>
      </w:r>
      <w:r>
        <w:t xml:space="preserve"> </w:t>
      </w:r>
      <w:r w:rsidR="00142686">
        <w:rPr>
          <w:b/>
        </w:rPr>
        <w:t xml:space="preserve">řádné individuální </w:t>
      </w:r>
      <w:r w:rsidRPr="00864149">
        <w:t>účetní</w:t>
      </w:r>
      <w:r>
        <w:t xml:space="preserve"> </w:t>
      </w:r>
      <w:r w:rsidRPr="00864149">
        <w:t>závěrky,</w:t>
      </w:r>
    </w:p>
    <w:p w14:paraId="143942DB" w14:textId="21F1188B" w:rsidR="0099047B" w:rsidRDefault="0099047B" w:rsidP="00AB5ED2">
      <w:pPr>
        <w:pStyle w:val="Textparagrafu"/>
        <w:tabs>
          <w:tab w:val="left" w:pos="392"/>
          <w:tab w:val="left" w:pos="840"/>
        </w:tabs>
        <w:spacing w:before="0"/>
        <w:ind w:left="426" w:hanging="426"/>
      </w:pPr>
      <w:r w:rsidRPr="00864149">
        <w:t>b)</w:t>
      </w:r>
      <w:r w:rsidR="00567EA5">
        <w:tab/>
      </w:r>
      <w:r w:rsidRPr="00864149">
        <w:t>předkládá</w:t>
      </w:r>
      <w:r>
        <w:t xml:space="preserve"> </w:t>
      </w:r>
      <w:r w:rsidRPr="00864149">
        <w:t>radě</w:t>
      </w:r>
      <w:r>
        <w:t xml:space="preserve"> </w:t>
      </w:r>
      <w:r w:rsidRPr="00864149">
        <w:t>návrh</w:t>
      </w:r>
      <w:r>
        <w:t xml:space="preserve"> </w:t>
      </w:r>
      <w:r w:rsidRPr="00864149">
        <w:t>vnitřního</w:t>
      </w:r>
      <w:r>
        <w:t xml:space="preserve"> </w:t>
      </w:r>
      <w:r w:rsidRPr="00864149">
        <w:t>mzdového</w:t>
      </w:r>
      <w:r>
        <w:t xml:space="preserve"> </w:t>
      </w:r>
      <w:r w:rsidRPr="00864149">
        <w:t>předpisu</w:t>
      </w:r>
      <w:r>
        <w:t xml:space="preserve"> </w:t>
      </w:r>
      <w:r w:rsidRPr="00864149">
        <w:t>a</w:t>
      </w:r>
      <w:r>
        <w:t xml:space="preserve"> </w:t>
      </w:r>
      <w:r w:rsidRPr="00864149">
        <w:t>organizačního</w:t>
      </w:r>
      <w:r>
        <w:t xml:space="preserve"> </w:t>
      </w:r>
      <w:r w:rsidRPr="00864149">
        <w:t>řádu</w:t>
      </w:r>
      <w:r>
        <w:t xml:space="preserve"> </w:t>
      </w:r>
      <w:r w:rsidRPr="00864149">
        <w:t>školské</w:t>
      </w:r>
      <w:r>
        <w:t xml:space="preserve"> </w:t>
      </w:r>
      <w:r w:rsidRPr="00864149">
        <w:t>právnické</w:t>
      </w:r>
      <w:r>
        <w:t xml:space="preserve"> </w:t>
      </w:r>
      <w:r w:rsidRPr="00864149">
        <w:t>osoby,</w:t>
      </w:r>
    </w:p>
    <w:p w14:paraId="73C68507" w14:textId="4588D68A" w:rsidR="0099047B" w:rsidRDefault="0099047B" w:rsidP="00AB5ED2">
      <w:pPr>
        <w:pStyle w:val="Textparagrafu"/>
        <w:tabs>
          <w:tab w:val="left" w:pos="392"/>
          <w:tab w:val="left" w:pos="840"/>
        </w:tabs>
        <w:spacing w:before="0"/>
        <w:ind w:left="426" w:hanging="426"/>
      </w:pPr>
      <w:r w:rsidRPr="00864149">
        <w:t>c)</w:t>
      </w:r>
      <w:r w:rsidR="00567EA5">
        <w:tab/>
      </w:r>
      <w:r w:rsidRPr="00864149">
        <w:t>předkládá</w:t>
      </w:r>
      <w:r>
        <w:t xml:space="preserve"> </w:t>
      </w:r>
      <w:r w:rsidRPr="00864149">
        <w:t>radě</w:t>
      </w:r>
      <w:r>
        <w:t xml:space="preserve"> </w:t>
      </w:r>
      <w:r w:rsidRPr="00864149">
        <w:t>návrhy</w:t>
      </w:r>
      <w:r>
        <w:t xml:space="preserve"> </w:t>
      </w:r>
      <w:r w:rsidRPr="00864149">
        <w:t>změn</w:t>
      </w:r>
      <w:r>
        <w:t xml:space="preserve"> </w:t>
      </w:r>
      <w:r w:rsidRPr="00864149">
        <w:t>zřizovací</w:t>
      </w:r>
      <w:r>
        <w:t xml:space="preserve"> </w:t>
      </w:r>
      <w:r w:rsidRPr="00864149">
        <w:t>listiny,</w:t>
      </w:r>
      <w:r>
        <w:t xml:space="preserve"> </w:t>
      </w:r>
      <w:r w:rsidRPr="00864149">
        <w:t>po</w:t>
      </w:r>
      <w:r>
        <w:t xml:space="preserve"> </w:t>
      </w:r>
      <w:r w:rsidRPr="00864149">
        <w:t>jejich</w:t>
      </w:r>
      <w:r>
        <w:t xml:space="preserve"> </w:t>
      </w:r>
      <w:r w:rsidRPr="00864149">
        <w:t>projednání</w:t>
      </w:r>
      <w:r>
        <w:t xml:space="preserve"> </w:t>
      </w:r>
      <w:r w:rsidRPr="00864149">
        <w:t>radou</w:t>
      </w:r>
      <w:r>
        <w:t xml:space="preserve"> </w:t>
      </w:r>
      <w:r w:rsidRPr="00864149">
        <w:t>je</w:t>
      </w:r>
      <w:r>
        <w:t xml:space="preserve"> </w:t>
      </w:r>
      <w:r w:rsidRPr="00864149">
        <w:t>předává</w:t>
      </w:r>
      <w:r>
        <w:t xml:space="preserve"> </w:t>
      </w:r>
      <w:r w:rsidRPr="00864149">
        <w:t>zřizovateli,</w:t>
      </w:r>
    </w:p>
    <w:p w14:paraId="21EA4399" w14:textId="4DC4F9FE" w:rsidR="0099047B" w:rsidRDefault="0099047B" w:rsidP="00AB5ED2">
      <w:pPr>
        <w:pStyle w:val="Textparagrafu"/>
        <w:tabs>
          <w:tab w:val="left" w:pos="392"/>
          <w:tab w:val="left" w:pos="840"/>
        </w:tabs>
        <w:spacing w:before="0"/>
        <w:ind w:left="426" w:hanging="426"/>
      </w:pPr>
      <w:r w:rsidRPr="00864149">
        <w:t>d)</w:t>
      </w:r>
      <w:r w:rsidR="00567EA5">
        <w:tab/>
      </w:r>
      <w:r w:rsidRPr="00864149">
        <w:t>předkládá</w:t>
      </w:r>
      <w:r>
        <w:t xml:space="preserve"> </w:t>
      </w:r>
      <w:r w:rsidRPr="00864149">
        <w:t>radě</w:t>
      </w:r>
      <w:r>
        <w:t xml:space="preserve"> </w:t>
      </w:r>
      <w:r w:rsidRPr="00864149">
        <w:t>ke</w:t>
      </w:r>
      <w:r>
        <w:t xml:space="preserve"> </w:t>
      </w:r>
      <w:r w:rsidRPr="00864149">
        <w:t>schválení</w:t>
      </w:r>
      <w:r>
        <w:t xml:space="preserve"> </w:t>
      </w:r>
      <w:r w:rsidRPr="00864149">
        <w:t>návrhy</w:t>
      </w:r>
      <w:r>
        <w:t xml:space="preserve"> </w:t>
      </w:r>
      <w:r w:rsidRPr="00864149">
        <w:t>právních</w:t>
      </w:r>
      <w:r>
        <w:t xml:space="preserve"> </w:t>
      </w:r>
      <w:r w:rsidRPr="00864149">
        <w:t>úkonů,</w:t>
      </w:r>
      <w:r>
        <w:t xml:space="preserve"> </w:t>
      </w:r>
      <w:r w:rsidRPr="00864149">
        <w:t>k</w:t>
      </w:r>
      <w:r>
        <w:t xml:space="preserve"> </w:t>
      </w:r>
      <w:r w:rsidRPr="00864149">
        <w:t>nimž</w:t>
      </w:r>
      <w:r>
        <w:t xml:space="preserve"> </w:t>
      </w:r>
      <w:r w:rsidRPr="00864149">
        <w:t>se</w:t>
      </w:r>
      <w:r>
        <w:t xml:space="preserve"> </w:t>
      </w:r>
      <w:r w:rsidRPr="00864149">
        <w:t>v</w:t>
      </w:r>
      <w:r>
        <w:t xml:space="preserve"> </w:t>
      </w:r>
      <w:r w:rsidRPr="00864149">
        <w:t>souladu</w:t>
      </w:r>
      <w:r>
        <w:t xml:space="preserve"> </w:t>
      </w:r>
      <w:r w:rsidRPr="00864149">
        <w:t>s</w:t>
      </w:r>
      <w:r>
        <w:t xml:space="preserve"> </w:t>
      </w:r>
      <w:r w:rsidRPr="00864149">
        <w:t>§</w:t>
      </w:r>
      <w:r>
        <w:t xml:space="preserve"> </w:t>
      </w:r>
      <w:r w:rsidRPr="00864149">
        <w:t>132</w:t>
      </w:r>
      <w:r>
        <w:t xml:space="preserve"> </w:t>
      </w:r>
      <w:r w:rsidRPr="00864149">
        <w:t>odst.</w:t>
      </w:r>
      <w:r>
        <w:t xml:space="preserve"> </w:t>
      </w:r>
      <w:r w:rsidRPr="00864149">
        <w:t>2</w:t>
      </w:r>
      <w:r>
        <w:t xml:space="preserve"> </w:t>
      </w:r>
      <w:r w:rsidRPr="00864149">
        <w:t>vyžaduje</w:t>
      </w:r>
      <w:r>
        <w:t xml:space="preserve"> </w:t>
      </w:r>
      <w:r w:rsidRPr="00864149">
        <w:t>předchozí</w:t>
      </w:r>
      <w:r>
        <w:t xml:space="preserve"> </w:t>
      </w:r>
      <w:r w:rsidRPr="00864149">
        <w:t>souhlas</w:t>
      </w:r>
      <w:r>
        <w:t xml:space="preserve"> </w:t>
      </w:r>
      <w:r w:rsidRPr="00864149">
        <w:t>rady,</w:t>
      </w:r>
    </w:p>
    <w:p w14:paraId="33300758" w14:textId="4F7424BB" w:rsidR="0099047B" w:rsidRPr="00864149" w:rsidRDefault="0099047B" w:rsidP="00AB5ED2">
      <w:pPr>
        <w:pStyle w:val="Textparagrafu"/>
        <w:tabs>
          <w:tab w:val="left" w:pos="392"/>
          <w:tab w:val="left" w:pos="840"/>
        </w:tabs>
        <w:spacing w:before="0"/>
        <w:ind w:left="426" w:hanging="426"/>
      </w:pPr>
      <w:r w:rsidRPr="00864149">
        <w:t>e)</w:t>
      </w:r>
      <w:r w:rsidR="00567EA5">
        <w:tab/>
      </w:r>
      <w:r w:rsidRPr="00864149">
        <w:t>se</w:t>
      </w:r>
      <w:r>
        <w:t xml:space="preserve"> </w:t>
      </w:r>
      <w:r w:rsidRPr="00864149">
        <w:t>účastní</w:t>
      </w:r>
      <w:r>
        <w:t xml:space="preserve"> </w:t>
      </w:r>
      <w:r w:rsidRPr="00864149">
        <w:t>jednání</w:t>
      </w:r>
      <w:r>
        <w:t xml:space="preserve"> </w:t>
      </w:r>
      <w:r w:rsidRPr="00864149">
        <w:t>rady</w:t>
      </w:r>
      <w:r>
        <w:t xml:space="preserve"> </w:t>
      </w:r>
      <w:r w:rsidRPr="00864149">
        <w:t>s</w:t>
      </w:r>
      <w:r>
        <w:t xml:space="preserve"> </w:t>
      </w:r>
      <w:r w:rsidRPr="00864149">
        <w:t>hlasem</w:t>
      </w:r>
      <w:r>
        <w:t xml:space="preserve"> </w:t>
      </w:r>
      <w:r w:rsidRPr="00864149">
        <w:t>poradním.</w:t>
      </w:r>
    </w:p>
    <w:p w14:paraId="7698E323" w14:textId="35B20C33" w:rsidR="0099047B" w:rsidRDefault="0099047B" w:rsidP="00567EA5">
      <w:pPr>
        <w:pStyle w:val="Textparagrafu"/>
        <w:tabs>
          <w:tab w:val="left" w:pos="392"/>
          <w:tab w:val="left" w:pos="840"/>
        </w:tabs>
        <w:spacing w:after="120"/>
        <w:ind w:firstLine="0"/>
        <w:jc w:val="center"/>
      </w:pPr>
      <w:r w:rsidRPr="00864149">
        <w:t>§</w:t>
      </w:r>
      <w:r>
        <w:t xml:space="preserve"> </w:t>
      </w:r>
      <w:r w:rsidRPr="00864149">
        <w:t>132</w:t>
      </w:r>
    </w:p>
    <w:p w14:paraId="624EAD73" w14:textId="77777777" w:rsidR="0099047B" w:rsidRPr="00567EA5" w:rsidRDefault="0099047B" w:rsidP="00567EA5">
      <w:pPr>
        <w:pStyle w:val="Textparagrafu"/>
        <w:tabs>
          <w:tab w:val="left" w:pos="392"/>
          <w:tab w:val="left" w:pos="840"/>
        </w:tabs>
        <w:spacing w:after="120"/>
        <w:ind w:firstLine="0"/>
        <w:jc w:val="center"/>
        <w:rPr>
          <w:b/>
        </w:rPr>
      </w:pPr>
      <w:r w:rsidRPr="00567EA5">
        <w:rPr>
          <w:b/>
        </w:rPr>
        <w:t>Rada</w:t>
      </w:r>
    </w:p>
    <w:p w14:paraId="7F60F8CE" w14:textId="77777777" w:rsidR="0099047B" w:rsidRDefault="0099047B" w:rsidP="00BD5369">
      <w:pPr>
        <w:pStyle w:val="Textparagrafu"/>
        <w:tabs>
          <w:tab w:val="left" w:pos="392"/>
          <w:tab w:val="left" w:pos="840"/>
        </w:tabs>
        <w:spacing w:after="120"/>
      </w:pPr>
      <w:r w:rsidRPr="00864149">
        <w:t>(1)</w:t>
      </w:r>
      <w:r>
        <w:t xml:space="preserve"> </w:t>
      </w:r>
      <w:r w:rsidRPr="00864149">
        <w:t>Rada</w:t>
      </w:r>
    </w:p>
    <w:p w14:paraId="4635E37B" w14:textId="4D498CF3" w:rsidR="0099047B" w:rsidRDefault="0099047B" w:rsidP="00AB5ED2">
      <w:pPr>
        <w:pStyle w:val="Textparagrafu"/>
        <w:tabs>
          <w:tab w:val="left" w:pos="392"/>
          <w:tab w:val="left" w:pos="840"/>
        </w:tabs>
        <w:spacing w:before="0"/>
        <w:ind w:left="426" w:hanging="426"/>
      </w:pPr>
      <w:r w:rsidRPr="00864149">
        <w:t>a)</w:t>
      </w:r>
      <w:r w:rsidR="00812AC8">
        <w:tab/>
      </w:r>
      <w:r w:rsidRPr="00864149">
        <w:t>dbá</w:t>
      </w:r>
      <w:r>
        <w:t xml:space="preserve"> </w:t>
      </w:r>
      <w:r w:rsidRPr="00864149">
        <w:t>na</w:t>
      </w:r>
      <w:r>
        <w:t xml:space="preserve"> </w:t>
      </w:r>
      <w:r w:rsidRPr="00864149">
        <w:t>zachovávání</w:t>
      </w:r>
      <w:r>
        <w:t xml:space="preserve"> </w:t>
      </w:r>
      <w:r w:rsidRPr="00864149">
        <w:t>účelu,</w:t>
      </w:r>
      <w:r>
        <w:t xml:space="preserve"> </w:t>
      </w:r>
      <w:r w:rsidRPr="00864149">
        <w:t>pro</w:t>
      </w:r>
      <w:r>
        <w:t xml:space="preserve"> </w:t>
      </w:r>
      <w:r w:rsidRPr="00864149">
        <w:t>který</w:t>
      </w:r>
      <w:r>
        <w:t xml:space="preserve"> </w:t>
      </w:r>
      <w:r w:rsidRPr="00864149">
        <w:t>byla</w:t>
      </w:r>
      <w:r>
        <w:t xml:space="preserve"> </w:t>
      </w:r>
      <w:r w:rsidRPr="00864149">
        <w:t>školská</w:t>
      </w:r>
      <w:r>
        <w:t xml:space="preserve"> </w:t>
      </w:r>
      <w:r w:rsidRPr="00864149">
        <w:t>právnická</w:t>
      </w:r>
      <w:r>
        <w:t xml:space="preserve"> </w:t>
      </w:r>
      <w:r w:rsidRPr="00864149">
        <w:t>osoba</w:t>
      </w:r>
      <w:r>
        <w:t xml:space="preserve"> </w:t>
      </w:r>
      <w:r w:rsidRPr="00864149">
        <w:t>zřízena,</w:t>
      </w:r>
      <w:r>
        <w:t xml:space="preserve"> </w:t>
      </w:r>
      <w:r w:rsidRPr="00864149">
        <w:t>a</w:t>
      </w:r>
      <w:r>
        <w:t xml:space="preserve"> </w:t>
      </w:r>
      <w:r w:rsidRPr="00864149">
        <w:t>na</w:t>
      </w:r>
      <w:r>
        <w:t xml:space="preserve"> </w:t>
      </w:r>
      <w:r w:rsidRPr="00864149">
        <w:t>řádné</w:t>
      </w:r>
      <w:r>
        <w:t xml:space="preserve"> </w:t>
      </w:r>
      <w:r w:rsidRPr="00864149">
        <w:t>hospodaření</w:t>
      </w:r>
      <w:r>
        <w:t xml:space="preserve"> </w:t>
      </w:r>
      <w:r w:rsidRPr="00864149">
        <w:t>s</w:t>
      </w:r>
      <w:r>
        <w:t xml:space="preserve"> </w:t>
      </w:r>
      <w:r w:rsidRPr="00864149">
        <w:t>jejím</w:t>
      </w:r>
      <w:r>
        <w:t xml:space="preserve"> </w:t>
      </w:r>
      <w:r w:rsidRPr="00864149">
        <w:t>majetkem,</w:t>
      </w:r>
      <w:r>
        <w:t xml:space="preserve"> </w:t>
      </w:r>
      <w:r w:rsidRPr="00864149">
        <w:t>včetně</w:t>
      </w:r>
      <w:r>
        <w:t xml:space="preserve"> </w:t>
      </w:r>
      <w:r w:rsidRPr="00864149">
        <w:t>finančních</w:t>
      </w:r>
      <w:r>
        <w:t xml:space="preserve"> </w:t>
      </w:r>
      <w:r w:rsidRPr="00864149">
        <w:t>prostředků,</w:t>
      </w:r>
    </w:p>
    <w:p w14:paraId="1C64CE36" w14:textId="3E320DA7" w:rsidR="0099047B" w:rsidRDefault="0099047B" w:rsidP="00AB5ED2">
      <w:pPr>
        <w:pStyle w:val="Textparagrafu"/>
        <w:tabs>
          <w:tab w:val="left" w:pos="392"/>
          <w:tab w:val="left" w:pos="840"/>
        </w:tabs>
        <w:spacing w:before="0"/>
        <w:ind w:left="426" w:hanging="426"/>
      </w:pPr>
      <w:r w:rsidRPr="00864149">
        <w:t>b)</w:t>
      </w:r>
      <w:r w:rsidR="00812AC8">
        <w:tab/>
      </w:r>
      <w:r w:rsidRPr="00864149">
        <w:t>schvaluje</w:t>
      </w:r>
      <w:r>
        <w:t xml:space="preserve"> </w:t>
      </w:r>
      <w:r w:rsidRPr="00864149">
        <w:t>jednání</w:t>
      </w:r>
      <w:r>
        <w:t xml:space="preserve"> </w:t>
      </w:r>
      <w:r w:rsidRPr="00864149">
        <w:t>učiněné</w:t>
      </w:r>
      <w:r>
        <w:t xml:space="preserve"> </w:t>
      </w:r>
      <w:r w:rsidRPr="00864149">
        <w:t>jménem</w:t>
      </w:r>
      <w:r>
        <w:t xml:space="preserve"> </w:t>
      </w:r>
      <w:r w:rsidRPr="00864149">
        <w:t>školské</w:t>
      </w:r>
      <w:r>
        <w:t xml:space="preserve"> </w:t>
      </w:r>
      <w:r w:rsidRPr="00864149">
        <w:t>právnické</w:t>
      </w:r>
      <w:r>
        <w:t xml:space="preserve"> </w:t>
      </w:r>
      <w:r w:rsidRPr="00864149">
        <w:t>osoby</w:t>
      </w:r>
      <w:r>
        <w:t xml:space="preserve"> </w:t>
      </w:r>
      <w:r w:rsidRPr="00864149">
        <w:t>před</w:t>
      </w:r>
      <w:r>
        <w:t xml:space="preserve"> </w:t>
      </w:r>
      <w:r w:rsidRPr="00864149">
        <w:t>jejím</w:t>
      </w:r>
      <w:r>
        <w:t xml:space="preserve"> </w:t>
      </w:r>
      <w:r w:rsidRPr="00864149">
        <w:t>vznikem,</w:t>
      </w:r>
    </w:p>
    <w:p w14:paraId="6247B000" w14:textId="12F0E2F0" w:rsidR="0099047B" w:rsidRDefault="0099047B" w:rsidP="00AB5ED2">
      <w:pPr>
        <w:pStyle w:val="Textparagrafu"/>
        <w:tabs>
          <w:tab w:val="left" w:pos="392"/>
          <w:tab w:val="left" w:pos="840"/>
        </w:tabs>
        <w:spacing w:before="0"/>
        <w:ind w:left="426" w:hanging="426"/>
      </w:pPr>
      <w:r w:rsidRPr="00864149">
        <w:t>c)</w:t>
      </w:r>
      <w:r w:rsidR="00812AC8">
        <w:tab/>
      </w:r>
      <w:r w:rsidRPr="00864149">
        <w:t>schvaluje</w:t>
      </w:r>
      <w:r>
        <w:t xml:space="preserve"> </w:t>
      </w:r>
      <w:r w:rsidRPr="00864149">
        <w:t>školní</w:t>
      </w:r>
      <w:r>
        <w:t xml:space="preserve"> </w:t>
      </w:r>
      <w:r w:rsidRPr="00864149">
        <w:t>vzdělávací</w:t>
      </w:r>
      <w:r>
        <w:t xml:space="preserve"> </w:t>
      </w:r>
      <w:r w:rsidRPr="00864149">
        <w:t>programy</w:t>
      </w:r>
      <w:r>
        <w:t xml:space="preserve"> </w:t>
      </w:r>
      <w:r w:rsidRPr="00864149">
        <w:t>škol</w:t>
      </w:r>
      <w:r>
        <w:t xml:space="preserve"> </w:t>
      </w:r>
      <w:r w:rsidRPr="00864149">
        <w:t>a</w:t>
      </w:r>
      <w:r>
        <w:t xml:space="preserve"> </w:t>
      </w:r>
      <w:r w:rsidRPr="00864149">
        <w:t>školských</w:t>
      </w:r>
      <w:r>
        <w:t xml:space="preserve"> </w:t>
      </w:r>
      <w:r w:rsidRPr="00864149">
        <w:t>zařízení,</w:t>
      </w:r>
      <w:r>
        <w:t xml:space="preserve"> </w:t>
      </w:r>
      <w:r w:rsidRPr="00864149">
        <w:t>jejichž</w:t>
      </w:r>
      <w:r>
        <w:t xml:space="preserve"> </w:t>
      </w:r>
      <w:r w:rsidRPr="00864149">
        <w:t>činnost</w:t>
      </w:r>
      <w:r>
        <w:t xml:space="preserve"> </w:t>
      </w:r>
      <w:r w:rsidRPr="00864149">
        <w:t>školská</w:t>
      </w:r>
      <w:r>
        <w:t xml:space="preserve"> </w:t>
      </w:r>
      <w:r w:rsidRPr="00864149">
        <w:t>právnická</w:t>
      </w:r>
      <w:r>
        <w:t xml:space="preserve"> </w:t>
      </w:r>
      <w:r w:rsidRPr="00864149">
        <w:t>osoba</w:t>
      </w:r>
      <w:r>
        <w:t xml:space="preserve"> </w:t>
      </w:r>
      <w:r w:rsidRPr="00864149">
        <w:t>vykonává,</w:t>
      </w:r>
    </w:p>
    <w:p w14:paraId="7337EDA7" w14:textId="3DD673CB" w:rsidR="0099047B" w:rsidRDefault="0099047B" w:rsidP="00AB5ED2">
      <w:pPr>
        <w:pStyle w:val="Textparagrafu"/>
        <w:tabs>
          <w:tab w:val="left" w:pos="392"/>
          <w:tab w:val="left" w:pos="840"/>
        </w:tabs>
        <w:spacing w:before="0"/>
        <w:ind w:left="426" w:hanging="426"/>
      </w:pPr>
      <w:r w:rsidRPr="00864149">
        <w:t>d)</w:t>
      </w:r>
      <w:r w:rsidR="00812AC8">
        <w:tab/>
      </w:r>
      <w:r w:rsidRPr="00864149">
        <w:t>schvaluje</w:t>
      </w:r>
      <w:r>
        <w:t xml:space="preserve"> </w:t>
      </w:r>
      <w:r w:rsidRPr="00864149">
        <w:t>rozpočet</w:t>
      </w:r>
      <w:r>
        <w:t xml:space="preserve"> </w:t>
      </w:r>
      <w:r w:rsidRPr="00864149">
        <w:t>školské</w:t>
      </w:r>
      <w:r>
        <w:t xml:space="preserve"> </w:t>
      </w:r>
      <w:r w:rsidRPr="00864149">
        <w:t>právnické</w:t>
      </w:r>
      <w:r>
        <w:t xml:space="preserve"> </w:t>
      </w:r>
      <w:r w:rsidRPr="00864149">
        <w:t>osoby</w:t>
      </w:r>
      <w:r>
        <w:t xml:space="preserve"> </w:t>
      </w:r>
      <w:r w:rsidRPr="00864149">
        <w:t>a</w:t>
      </w:r>
      <w:r>
        <w:t xml:space="preserve"> </w:t>
      </w:r>
      <w:r w:rsidRPr="00864149">
        <w:t>jeho</w:t>
      </w:r>
      <w:r>
        <w:t xml:space="preserve"> </w:t>
      </w:r>
      <w:r w:rsidRPr="00864149">
        <w:t>změny,</w:t>
      </w:r>
      <w:r>
        <w:t xml:space="preserve"> </w:t>
      </w:r>
      <w:r w:rsidRPr="00864149">
        <w:t>střednědobý</w:t>
      </w:r>
      <w:r>
        <w:t xml:space="preserve"> </w:t>
      </w:r>
      <w:r w:rsidRPr="00864149">
        <w:t>výhled</w:t>
      </w:r>
      <w:r>
        <w:t xml:space="preserve"> </w:t>
      </w:r>
      <w:r w:rsidRPr="00864149">
        <w:t>jejího</w:t>
      </w:r>
      <w:r>
        <w:t xml:space="preserve"> </w:t>
      </w:r>
      <w:r w:rsidRPr="00864149">
        <w:t>financování</w:t>
      </w:r>
      <w:r>
        <w:t xml:space="preserve"> </w:t>
      </w:r>
      <w:r w:rsidRPr="00864149">
        <w:t>a</w:t>
      </w:r>
      <w:r>
        <w:t xml:space="preserve"> </w:t>
      </w:r>
      <w:r w:rsidRPr="00BE1876">
        <w:rPr>
          <w:strike/>
        </w:rPr>
        <w:t>roční</w:t>
      </w:r>
      <w:r>
        <w:t xml:space="preserve"> </w:t>
      </w:r>
      <w:r w:rsidR="00BE1876">
        <w:rPr>
          <w:b/>
        </w:rPr>
        <w:t xml:space="preserve">řádnou individuální </w:t>
      </w:r>
      <w:r w:rsidRPr="00864149">
        <w:t>účetní</w:t>
      </w:r>
      <w:r>
        <w:t xml:space="preserve"> </w:t>
      </w:r>
      <w:r w:rsidRPr="00864149">
        <w:t>závěrku,</w:t>
      </w:r>
    </w:p>
    <w:p w14:paraId="43A510F6" w14:textId="25E9731B" w:rsidR="0099047B" w:rsidRDefault="0099047B" w:rsidP="00AB5ED2">
      <w:pPr>
        <w:pStyle w:val="Textparagrafu"/>
        <w:tabs>
          <w:tab w:val="left" w:pos="392"/>
          <w:tab w:val="left" w:pos="840"/>
        </w:tabs>
        <w:spacing w:before="0"/>
        <w:ind w:left="426" w:hanging="426"/>
      </w:pPr>
      <w:r w:rsidRPr="00864149">
        <w:t>e)</w:t>
      </w:r>
      <w:r w:rsidR="00812AC8">
        <w:tab/>
      </w:r>
      <w:r w:rsidRPr="00864149">
        <w:t>schvaluje</w:t>
      </w:r>
      <w:r>
        <w:t xml:space="preserve"> </w:t>
      </w:r>
      <w:r w:rsidRPr="00864149">
        <w:t>jednací</w:t>
      </w:r>
      <w:r>
        <w:t xml:space="preserve"> </w:t>
      </w:r>
      <w:r w:rsidRPr="00864149">
        <w:t>řád</w:t>
      </w:r>
      <w:r>
        <w:t xml:space="preserve"> </w:t>
      </w:r>
      <w:r w:rsidRPr="00864149">
        <w:t>rady,</w:t>
      </w:r>
      <w:r>
        <w:t xml:space="preserve"> </w:t>
      </w:r>
      <w:r w:rsidRPr="00864149">
        <w:t>vnitřní</w:t>
      </w:r>
      <w:r>
        <w:t xml:space="preserve"> </w:t>
      </w:r>
      <w:r w:rsidRPr="00864149">
        <w:t>mzdový</w:t>
      </w:r>
      <w:r>
        <w:t xml:space="preserve"> </w:t>
      </w:r>
      <w:r w:rsidRPr="00864149">
        <w:t>předpis</w:t>
      </w:r>
      <w:r>
        <w:t xml:space="preserve"> </w:t>
      </w:r>
      <w:r w:rsidRPr="00864149">
        <w:t>a</w:t>
      </w:r>
      <w:r>
        <w:t xml:space="preserve"> </w:t>
      </w:r>
      <w:r w:rsidRPr="00864149">
        <w:t>organizační</w:t>
      </w:r>
      <w:r>
        <w:t xml:space="preserve"> </w:t>
      </w:r>
      <w:r w:rsidRPr="00864149">
        <w:t>řád</w:t>
      </w:r>
      <w:r>
        <w:t xml:space="preserve"> </w:t>
      </w:r>
      <w:r w:rsidRPr="00864149">
        <w:t>školské</w:t>
      </w:r>
      <w:r>
        <w:t xml:space="preserve"> </w:t>
      </w:r>
      <w:r w:rsidRPr="00864149">
        <w:t>právnické</w:t>
      </w:r>
      <w:r>
        <w:t xml:space="preserve"> </w:t>
      </w:r>
      <w:r w:rsidRPr="00864149">
        <w:t>osoby,</w:t>
      </w:r>
    </w:p>
    <w:p w14:paraId="2E88796C" w14:textId="404AA495" w:rsidR="0099047B" w:rsidRDefault="0099047B" w:rsidP="00AB5ED2">
      <w:pPr>
        <w:pStyle w:val="Textparagrafu"/>
        <w:tabs>
          <w:tab w:val="left" w:pos="392"/>
          <w:tab w:val="left" w:pos="840"/>
        </w:tabs>
        <w:spacing w:before="0"/>
        <w:ind w:left="426" w:hanging="426"/>
      </w:pPr>
      <w:r w:rsidRPr="00864149">
        <w:t>f)</w:t>
      </w:r>
      <w:r w:rsidR="00812AC8">
        <w:tab/>
      </w:r>
      <w:r w:rsidRPr="00864149">
        <w:t>projednává</w:t>
      </w:r>
      <w:r>
        <w:t xml:space="preserve"> </w:t>
      </w:r>
      <w:r w:rsidRPr="00864149">
        <w:t>návrhy</w:t>
      </w:r>
      <w:r>
        <w:t xml:space="preserve"> </w:t>
      </w:r>
      <w:r w:rsidRPr="00864149">
        <w:t>změn</w:t>
      </w:r>
      <w:r>
        <w:t xml:space="preserve"> </w:t>
      </w:r>
      <w:r w:rsidRPr="00864149">
        <w:t>zřizovací</w:t>
      </w:r>
      <w:r>
        <w:t xml:space="preserve"> </w:t>
      </w:r>
      <w:r w:rsidRPr="00864149">
        <w:t>listiny,</w:t>
      </w:r>
    </w:p>
    <w:p w14:paraId="44A6E5B9" w14:textId="482B846A" w:rsidR="0099047B" w:rsidRDefault="0099047B" w:rsidP="00AB5ED2">
      <w:pPr>
        <w:pStyle w:val="Textparagrafu"/>
        <w:tabs>
          <w:tab w:val="left" w:pos="392"/>
          <w:tab w:val="left" w:pos="840"/>
        </w:tabs>
        <w:spacing w:before="0"/>
        <w:ind w:left="426" w:hanging="426"/>
      </w:pPr>
      <w:r w:rsidRPr="00864149">
        <w:t>g)</w:t>
      </w:r>
      <w:r w:rsidR="00812AC8">
        <w:tab/>
      </w:r>
      <w:r w:rsidRPr="00864149">
        <w:t>navrhuje</w:t>
      </w:r>
      <w:r>
        <w:t xml:space="preserve"> </w:t>
      </w:r>
      <w:r w:rsidRPr="00864149">
        <w:t>zřizovateli</w:t>
      </w:r>
      <w:r>
        <w:t xml:space="preserve"> </w:t>
      </w:r>
      <w:r w:rsidRPr="00864149">
        <w:t>sloučení,</w:t>
      </w:r>
      <w:r>
        <w:t xml:space="preserve"> </w:t>
      </w:r>
      <w:r w:rsidRPr="00864149">
        <w:t>splynutí</w:t>
      </w:r>
      <w:r>
        <w:t xml:space="preserve"> </w:t>
      </w:r>
      <w:r w:rsidRPr="00864149">
        <w:t>nebo</w:t>
      </w:r>
      <w:r>
        <w:t xml:space="preserve"> </w:t>
      </w:r>
      <w:r w:rsidRPr="00864149">
        <w:t>rozdělení</w:t>
      </w:r>
      <w:r>
        <w:t xml:space="preserve"> </w:t>
      </w:r>
      <w:r w:rsidRPr="00864149">
        <w:t>školské</w:t>
      </w:r>
      <w:r>
        <w:t xml:space="preserve"> </w:t>
      </w:r>
      <w:r w:rsidRPr="00864149">
        <w:t>právnické</w:t>
      </w:r>
      <w:r>
        <w:t xml:space="preserve"> </w:t>
      </w:r>
      <w:r w:rsidRPr="00864149">
        <w:t>osoby</w:t>
      </w:r>
      <w:r>
        <w:t xml:space="preserve"> </w:t>
      </w:r>
      <w:r w:rsidRPr="00864149">
        <w:t>a</w:t>
      </w:r>
      <w:r>
        <w:t xml:space="preserve"> </w:t>
      </w:r>
      <w:r w:rsidRPr="00864149">
        <w:t>vyjadřuje</w:t>
      </w:r>
      <w:r>
        <w:t xml:space="preserve"> </w:t>
      </w:r>
      <w:r w:rsidRPr="00864149">
        <w:t>se</w:t>
      </w:r>
      <w:r>
        <w:t xml:space="preserve"> </w:t>
      </w:r>
      <w:r w:rsidRPr="00864149">
        <w:t>k</w:t>
      </w:r>
      <w:r>
        <w:t xml:space="preserve"> </w:t>
      </w:r>
      <w:r w:rsidRPr="00864149">
        <w:t>záměru</w:t>
      </w:r>
      <w:r>
        <w:t xml:space="preserve"> </w:t>
      </w:r>
      <w:r w:rsidRPr="00864149">
        <w:t>zřizovatele</w:t>
      </w:r>
      <w:r>
        <w:t xml:space="preserve"> </w:t>
      </w:r>
      <w:r w:rsidRPr="00864149">
        <w:t>na</w:t>
      </w:r>
      <w:r>
        <w:t xml:space="preserve"> </w:t>
      </w:r>
      <w:r w:rsidRPr="00864149">
        <w:t>sloučení,</w:t>
      </w:r>
      <w:r>
        <w:t xml:space="preserve"> </w:t>
      </w:r>
      <w:r w:rsidRPr="00864149">
        <w:t>splynutí,</w:t>
      </w:r>
      <w:r>
        <w:t xml:space="preserve"> </w:t>
      </w:r>
      <w:r w:rsidRPr="00864149">
        <w:t>rozdělení</w:t>
      </w:r>
      <w:r>
        <w:t xml:space="preserve"> </w:t>
      </w:r>
      <w:r w:rsidRPr="00864149">
        <w:t>nebo</w:t>
      </w:r>
      <w:r>
        <w:t xml:space="preserve"> </w:t>
      </w:r>
      <w:r w:rsidRPr="00864149">
        <w:t>zrušení</w:t>
      </w:r>
      <w:r>
        <w:t xml:space="preserve"> </w:t>
      </w:r>
      <w:r w:rsidRPr="00864149">
        <w:t>školské</w:t>
      </w:r>
      <w:r>
        <w:t xml:space="preserve"> </w:t>
      </w:r>
      <w:r w:rsidRPr="00864149">
        <w:t>právnické</w:t>
      </w:r>
      <w:r>
        <w:t xml:space="preserve"> </w:t>
      </w:r>
      <w:r w:rsidRPr="00864149">
        <w:t>osoby,</w:t>
      </w:r>
    </w:p>
    <w:p w14:paraId="51C7BA9B" w14:textId="10AD0DDA" w:rsidR="0099047B" w:rsidRDefault="0099047B" w:rsidP="00AB5ED2">
      <w:pPr>
        <w:pStyle w:val="Textparagrafu"/>
        <w:tabs>
          <w:tab w:val="left" w:pos="392"/>
          <w:tab w:val="left" w:pos="840"/>
        </w:tabs>
        <w:spacing w:before="0"/>
        <w:ind w:left="426" w:hanging="426"/>
      </w:pPr>
      <w:r w:rsidRPr="00864149">
        <w:t>h)</w:t>
      </w:r>
      <w:r w:rsidR="00812AC8">
        <w:tab/>
      </w:r>
      <w:r w:rsidRPr="00864149">
        <w:t>rozhoduje</w:t>
      </w:r>
      <w:r>
        <w:t xml:space="preserve"> </w:t>
      </w:r>
      <w:r w:rsidRPr="00864149">
        <w:t>o</w:t>
      </w:r>
      <w:r>
        <w:t xml:space="preserve"> </w:t>
      </w:r>
      <w:r w:rsidRPr="00864149">
        <w:t>předmětu,</w:t>
      </w:r>
      <w:r>
        <w:t xml:space="preserve"> </w:t>
      </w:r>
      <w:r w:rsidRPr="00864149">
        <w:t>podmínkách</w:t>
      </w:r>
      <w:r>
        <w:t xml:space="preserve"> </w:t>
      </w:r>
      <w:r w:rsidRPr="00864149">
        <w:t>a</w:t>
      </w:r>
      <w:r>
        <w:t xml:space="preserve"> </w:t>
      </w:r>
      <w:r w:rsidRPr="00864149">
        <w:t>rozsahu</w:t>
      </w:r>
      <w:r>
        <w:t xml:space="preserve"> </w:t>
      </w:r>
      <w:r w:rsidRPr="00864149">
        <w:t>doplňkové</w:t>
      </w:r>
      <w:r>
        <w:t xml:space="preserve"> </w:t>
      </w:r>
      <w:r w:rsidRPr="00864149">
        <w:t>činnosti</w:t>
      </w:r>
      <w:r>
        <w:t xml:space="preserve"> </w:t>
      </w:r>
      <w:r w:rsidRPr="00864149">
        <w:t>školské</w:t>
      </w:r>
      <w:r>
        <w:t xml:space="preserve"> </w:t>
      </w:r>
      <w:r w:rsidRPr="00864149">
        <w:t>právnické</w:t>
      </w:r>
      <w:r>
        <w:t xml:space="preserve"> </w:t>
      </w:r>
      <w:r w:rsidRPr="00864149">
        <w:t>osoby,</w:t>
      </w:r>
    </w:p>
    <w:p w14:paraId="764EA253" w14:textId="586EB7A8" w:rsidR="0099047B" w:rsidRPr="00EB1FFE" w:rsidRDefault="0099047B" w:rsidP="00AB5ED2">
      <w:pPr>
        <w:pStyle w:val="Textparagrafu"/>
        <w:tabs>
          <w:tab w:val="left" w:pos="392"/>
          <w:tab w:val="left" w:pos="840"/>
        </w:tabs>
        <w:spacing w:before="0"/>
        <w:ind w:left="426" w:hanging="426"/>
        <w:rPr>
          <w:b/>
        </w:rPr>
      </w:pPr>
      <w:r w:rsidRPr="00864149">
        <w:lastRenderedPageBreak/>
        <w:t>i)</w:t>
      </w:r>
      <w:r w:rsidR="00812AC8">
        <w:tab/>
      </w:r>
      <w:r w:rsidRPr="00864149">
        <w:t>schvaluje</w:t>
      </w:r>
      <w:r>
        <w:t xml:space="preserve"> </w:t>
      </w:r>
      <w:r w:rsidRPr="00B65878">
        <w:rPr>
          <w:strike/>
        </w:rPr>
        <w:t>vytvoření dalších peněžních fondů školské právnické osoby neuvedených v § 137 odst. 2</w:t>
      </w:r>
      <w:r w:rsidR="00B65878" w:rsidRPr="00B65878">
        <w:rPr>
          <w:rFonts w:eastAsia="Calibri"/>
          <w:b/>
          <w:bCs/>
          <w:szCs w:val="24"/>
        </w:rPr>
        <w:t xml:space="preserve"> </w:t>
      </w:r>
      <w:r w:rsidR="00B65878" w:rsidRPr="2AEC583E">
        <w:rPr>
          <w:rFonts w:eastAsia="Calibri"/>
          <w:b/>
          <w:bCs/>
          <w:szCs w:val="24"/>
        </w:rPr>
        <w:t xml:space="preserve">zřízení </w:t>
      </w:r>
      <w:r w:rsidR="00B65878" w:rsidRPr="596A8940">
        <w:rPr>
          <w:rFonts w:eastAsia="Calibri"/>
          <w:b/>
          <w:bCs/>
          <w:szCs w:val="24"/>
        </w:rPr>
        <w:t>nebo zrušení</w:t>
      </w:r>
      <w:r w:rsidR="00B65878">
        <w:rPr>
          <w:rFonts w:eastAsia="Calibri"/>
          <w:b/>
          <w:bCs/>
          <w:szCs w:val="24"/>
        </w:rPr>
        <w:t xml:space="preserve"> peněžních fondů školské právnické</w:t>
      </w:r>
      <w:r w:rsidRPr="00EB1FFE">
        <w:rPr>
          <w:b/>
        </w:rPr>
        <w:t xml:space="preserve"> </w:t>
      </w:r>
      <w:r w:rsidR="00EB1FFE" w:rsidRPr="00EB1FFE">
        <w:rPr>
          <w:b/>
        </w:rPr>
        <w:t>osoby</w:t>
      </w:r>
      <w:r w:rsidR="00EB1FFE">
        <w:rPr>
          <w:b/>
        </w:rPr>
        <w:t xml:space="preserve"> </w:t>
      </w:r>
      <w:r w:rsidRPr="00864149">
        <w:t>a</w:t>
      </w:r>
      <w:r>
        <w:t xml:space="preserve"> </w:t>
      </w:r>
      <w:r w:rsidRPr="00864149">
        <w:t>způsob</w:t>
      </w:r>
      <w:r>
        <w:t xml:space="preserve"> </w:t>
      </w:r>
      <w:r w:rsidRPr="00864149">
        <w:t>hospodaření</w:t>
      </w:r>
      <w:r>
        <w:t xml:space="preserve"> </w:t>
      </w:r>
      <w:r w:rsidRPr="00864149">
        <w:t>s</w:t>
      </w:r>
      <w:r>
        <w:t xml:space="preserve"> </w:t>
      </w:r>
      <w:proofErr w:type="gramStart"/>
      <w:r w:rsidRPr="00864149">
        <w:t>nimi</w:t>
      </w:r>
      <w:r w:rsidRPr="00EB1FFE">
        <w:rPr>
          <w:strike/>
        </w:rPr>
        <w:t>,</w:t>
      </w:r>
      <w:r w:rsidR="00EB1FFE">
        <w:rPr>
          <w:b/>
        </w:rPr>
        <w:t>.</w:t>
      </w:r>
      <w:proofErr w:type="gramEnd"/>
    </w:p>
    <w:p w14:paraId="41B63813" w14:textId="27978063" w:rsidR="0099047B" w:rsidRPr="00B65878" w:rsidRDefault="0099047B" w:rsidP="00AB5ED2">
      <w:pPr>
        <w:pStyle w:val="Textparagrafu"/>
        <w:tabs>
          <w:tab w:val="left" w:pos="392"/>
          <w:tab w:val="left" w:pos="840"/>
        </w:tabs>
        <w:spacing w:before="0"/>
        <w:ind w:left="426" w:hanging="426"/>
        <w:rPr>
          <w:strike/>
        </w:rPr>
      </w:pPr>
      <w:r w:rsidRPr="00B65878">
        <w:rPr>
          <w:strike/>
        </w:rPr>
        <w:t>j)</w:t>
      </w:r>
      <w:r w:rsidR="00812AC8" w:rsidRPr="00B65878">
        <w:rPr>
          <w:strike/>
        </w:rPr>
        <w:tab/>
      </w:r>
      <w:r w:rsidRPr="00B65878">
        <w:rPr>
          <w:strike/>
        </w:rPr>
        <w:t>schvaluje příděly ze zlepšeného výsledku hospodaření do peněžních fondů školské právnické osoby.</w:t>
      </w:r>
    </w:p>
    <w:p w14:paraId="0691F65D" w14:textId="77777777" w:rsidR="0099047B" w:rsidRDefault="0099047B" w:rsidP="00BD5369">
      <w:pPr>
        <w:pStyle w:val="Textparagrafu"/>
        <w:tabs>
          <w:tab w:val="left" w:pos="392"/>
          <w:tab w:val="left" w:pos="840"/>
        </w:tabs>
        <w:spacing w:after="120"/>
      </w:pPr>
      <w:r w:rsidRPr="00864149">
        <w:t>(2)</w:t>
      </w:r>
      <w:r>
        <w:t xml:space="preserve"> </w:t>
      </w:r>
      <w:r w:rsidRPr="00864149">
        <w:t>Rada</w:t>
      </w:r>
      <w:r>
        <w:t xml:space="preserve"> </w:t>
      </w:r>
      <w:r w:rsidRPr="00864149">
        <w:t>dále</w:t>
      </w:r>
      <w:r>
        <w:t xml:space="preserve"> </w:t>
      </w:r>
      <w:r w:rsidRPr="00864149">
        <w:t>vydává</w:t>
      </w:r>
      <w:r>
        <w:t xml:space="preserve"> </w:t>
      </w:r>
      <w:r w:rsidRPr="00864149">
        <w:t>předchozí</w:t>
      </w:r>
      <w:r>
        <w:t xml:space="preserve"> </w:t>
      </w:r>
      <w:r w:rsidRPr="00864149">
        <w:t>souhlas</w:t>
      </w:r>
      <w:r>
        <w:t xml:space="preserve"> </w:t>
      </w:r>
      <w:r w:rsidRPr="00864149">
        <w:t>k</w:t>
      </w:r>
      <w:r>
        <w:t xml:space="preserve"> </w:t>
      </w:r>
      <w:r w:rsidRPr="00864149">
        <w:t>právním</w:t>
      </w:r>
      <w:r>
        <w:t xml:space="preserve"> </w:t>
      </w:r>
      <w:r w:rsidRPr="00864149">
        <w:t>úkonům,</w:t>
      </w:r>
      <w:r>
        <w:t xml:space="preserve"> </w:t>
      </w:r>
      <w:r w:rsidRPr="00864149">
        <w:t>kterými</w:t>
      </w:r>
      <w:r>
        <w:t xml:space="preserve"> </w:t>
      </w:r>
      <w:r w:rsidRPr="00864149">
        <w:t>školská</w:t>
      </w:r>
      <w:r>
        <w:t xml:space="preserve"> </w:t>
      </w:r>
      <w:r w:rsidRPr="00864149">
        <w:t>právnická</w:t>
      </w:r>
      <w:r>
        <w:t xml:space="preserve"> </w:t>
      </w:r>
      <w:r w:rsidRPr="00864149">
        <w:t>osoba</w:t>
      </w:r>
      <w:r>
        <w:t xml:space="preserve"> </w:t>
      </w:r>
      <w:r w:rsidRPr="00864149">
        <w:t>hodlá</w:t>
      </w:r>
    </w:p>
    <w:p w14:paraId="28A50FE0" w14:textId="1E270E97" w:rsidR="0099047B" w:rsidRDefault="0099047B" w:rsidP="00AB5ED2">
      <w:pPr>
        <w:pStyle w:val="Textparagrafu"/>
        <w:tabs>
          <w:tab w:val="left" w:pos="392"/>
          <w:tab w:val="left" w:pos="840"/>
        </w:tabs>
        <w:spacing w:before="0"/>
        <w:ind w:left="426" w:hanging="426"/>
      </w:pPr>
      <w:r w:rsidRPr="00864149">
        <w:t>a)</w:t>
      </w:r>
      <w:r w:rsidR="001F4B53">
        <w:tab/>
      </w:r>
      <w:r w:rsidRPr="00864149">
        <w:t>nabýt</w:t>
      </w:r>
      <w:r>
        <w:t xml:space="preserve"> </w:t>
      </w:r>
      <w:r w:rsidRPr="00864149">
        <w:t>nebo</w:t>
      </w:r>
      <w:r>
        <w:t xml:space="preserve"> </w:t>
      </w:r>
      <w:r w:rsidRPr="00864149">
        <w:t>převést</w:t>
      </w:r>
      <w:r>
        <w:t xml:space="preserve"> </w:t>
      </w:r>
      <w:r w:rsidRPr="00864149">
        <w:t>vlastnické</w:t>
      </w:r>
      <w:r>
        <w:t xml:space="preserve"> </w:t>
      </w:r>
      <w:r w:rsidRPr="00864149">
        <w:t>právo</w:t>
      </w:r>
      <w:r>
        <w:t xml:space="preserve"> </w:t>
      </w:r>
      <w:r w:rsidRPr="00864149">
        <w:t>k</w:t>
      </w:r>
      <w:r>
        <w:t xml:space="preserve"> </w:t>
      </w:r>
      <w:r w:rsidRPr="00864149">
        <w:t>nemovitostem,</w:t>
      </w:r>
    </w:p>
    <w:p w14:paraId="5F5EBFCB" w14:textId="4528111F" w:rsidR="0099047B" w:rsidRDefault="0099047B" w:rsidP="00AB5ED2">
      <w:pPr>
        <w:pStyle w:val="Textparagrafu"/>
        <w:tabs>
          <w:tab w:val="left" w:pos="392"/>
          <w:tab w:val="left" w:pos="840"/>
        </w:tabs>
        <w:spacing w:before="0"/>
        <w:ind w:left="426" w:hanging="426"/>
      </w:pPr>
      <w:r w:rsidRPr="00864149">
        <w:t>b)</w:t>
      </w:r>
      <w:r w:rsidR="001F4B53">
        <w:tab/>
      </w:r>
      <w:r w:rsidRPr="00864149">
        <w:t>nabýt</w:t>
      </w:r>
      <w:r>
        <w:t xml:space="preserve"> </w:t>
      </w:r>
      <w:r w:rsidRPr="00864149">
        <w:t>nebo</w:t>
      </w:r>
      <w:r>
        <w:t xml:space="preserve"> </w:t>
      </w:r>
      <w:r w:rsidRPr="00864149">
        <w:t>převést</w:t>
      </w:r>
      <w:r>
        <w:t xml:space="preserve"> </w:t>
      </w:r>
      <w:r w:rsidRPr="00864149">
        <w:t>vlastnické</w:t>
      </w:r>
      <w:r>
        <w:t xml:space="preserve"> </w:t>
      </w:r>
      <w:r w:rsidRPr="00864149">
        <w:t>právo</w:t>
      </w:r>
      <w:r>
        <w:t xml:space="preserve"> </w:t>
      </w:r>
      <w:r w:rsidRPr="00864149">
        <w:t>k</w:t>
      </w:r>
      <w:r>
        <w:t xml:space="preserve"> </w:t>
      </w:r>
      <w:r w:rsidRPr="00864149">
        <w:t>movitým</w:t>
      </w:r>
      <w:r>
        <w:t xml:space="preserve"> </w:t>
      </w:r>
      <w:r w:rsidRPr="00864149">
        <w:t>věcem,</w:t>
      </w:r>
      <w:r>
        <w:t xml:space="preserve"> </w:t>
      </w:r>
      <w:r w:rsidRPr="00864149">
        <w:t>jejichž</w:t>
      </w:r>
      <w:r>
        <w:t xml:space="preserve"> </w:t>
      </w:r>
      <w:r w:rsidRPr="00864149">
        <w:t>cena</w:t>
      </w:r>
      <w:r>
        <w:t xml:space="preserve"> </w:t>
      </w:r>
      <w:r w:rsidRPr="00864149">
        <w:t>je</w:t>
      </w:r>
      <w:r>
        <w:t xml:space="preserve"> </w:t>
      </w:r>
      <w:r w:rsidRPr="00864149">
        <w:t>vyšší</w:t>
      </w:r>
      <w:r>
        <w:t xml:space="preserve"> </w:t>
      </w:r>
      <w:r w:rsidRPr="00864149">
        <w:t>než</w:t>
      </w:r>
      <w:r>
        <w:t xml:space="preserve"> </w:t>
      </w:r>
      <w:proofErr w:type="spellStart"/>
      <w:r w:rsidRPr="00864149">
        <w:t>dvacetipětinásobek</w:t>
      </w:r>
      <w:proofErr w:type="spellEnd"/>
      <w:r>
        <w:t xml:space="preserve"> </w:t>
      </w:r>
      <w:r w:rsidRPr="00864149">
        <w:t>částky,</w:t>
      </w:r>
      <w:r>
        <w:t xml:space="preserve"> </w:t>
      </w:r>
      <w:r w:rsidRPr="00864149">
        <w:t>od</w:t>
      </w:r>
      <w:r>
        <w:t xml:space="preserve"> </w:t>
      </w:r>
      <w:r w:rsidRPr="00864149">
        <w:t>níž</w:t>
      </w:r>
      <w:r>
        <w:t xml:space="preserve"> </w:t>
      </w:r>
      <w:r w:rsidRPr="00864149">
        <w:t>jsou</w:t>
      </w:r>
      <w:r>
        <w:t xml:space="preserve"> </w:t>
      </w:r>
      <w:r w:rsidRPr="00864149">
        <w:t>věci</w:t>
      </w:r>
      <w:r>
        <w:t xml:space="preserve"> </w:t>
      </w:r>
      <w:r w:rsidRPr="00864149">
        <w:t>považovány</w:t>
      </w:r>
      <w:r>
        <w:t xml:space="preserve"> </w:t>
      </w:r>
      <w:r w:rsidRPr="00864149">
        <w:t>podle</w:t>
      </w:r>
      <w:r>
        <w:t xml:space="preserve"> </w:t>
      </w:r>
      <w:r w:rsidRPr="00864149">
        <w:t>zvláštního</w:t>
      </w:r>
      <w:r>
        <w:t xml:space="preserve"> </w:t>
      </w:r>
      <w:r w:rsidRPr="00864149">
        <w:t>právního</w:t>
      </w:r>
      <w:r>
        <w:t xml:space="preserve"> </w:t>
      </w:r>
      <w:r w:rsidR="001F4B53">
        <w:t>předpisu</w:t>
      </w:r>
      <w:r w:rsidR="001F4B53">
        <w:rPr>
          <w:rStyle w:val="Znakapoznpodarou"/>
        </w:rPr>
        <w:footnoteReference w:customMarkFollows="1" w:id="469"/>
        <w:t>29)</w:t>
      </w:r>
      <w:r>
        <w:t xml:space="preserve"> </w:t>
      </w:r>
      <w:r w:rsidRPr="00864149">
        <w:t>za</w:t>
      </w:r>
      <w:r>
        <w:t xml:space="preserve"> </w:t>
      </w:r>
      <w:r w:rsidRPr="00B65878">
        <w:rPr>
          <w:strike/>
        </w:rPr>
        <w:t>hmotný majetek</w:t>
      </w:r>
      <w:r w:rsidR="00B65878">
        <w:rPr>
          <w:strike/>
        </w:rPr>
        <w:t xml:space="preserve"> </w:t>
      </w:r>
      <w:r w:rsidR="00B65878">
        <w:rPr>
          <w:rFonts w:eastAsia="Calibri"/>
          <w:b/>
          <w:bCs/>
          <w:szCs w:val="24"/>
        </w:rPr>
        <w:t>daňově odpisované aktivum</w:t>
      </w:r>
      <w:r w:rsidRPr="00864149">
        <w:t>,</w:t>
      </w:r>
    </w:p>
    <w:p w14:paraId="50F0AA28" w14:textId="41999A23" w:rsidR="0099047B" w:rsidRDefault="0099047B" w:rsidP="00AB5ED2">
      <w:pPr>
        <w:pStyle w:val="Textparagrafu"/>
        <w:tabs>
          <w:tab w:val="left" w:pos="392"/>
          <w:tab w:val="left" w:pos="840"/>
        </w:tabs>
        <w:spacing w:before="0"/>
        <w:ind w:left="426" w:hanging="426"/>
      </w:pPr>
      <w:r w:rsidRPr="00864149">
        <w:t>c)</w:t>
      </w:r>
      <w:r w:rsidR="001F4B53">
        <w:tab/>
      </w:r>
      <w:r w:rsidRPr="00864149">
        <w:t>bezúplatně</w:t>
      </w:r>
      <w:r>
        <w:t xml:space="preserve"> </w:t>
      </w:r>
      <w:r w:rsidRPr="00864149">
        <w:t>převést</w:t>
      </w:r>
      <w:r>
        <w:t xml:space="preserve"> </w:t>
      </w:r>
      <w:r w:rsidRPr="00864149">
        <w:t>vlastnické</w:t>
      </w:r>
      <w:r>
        <w:t xml:space="preserve"> </w:t>
      </w:r>
      <w:r w:rsidRPr="00864149">
        <w:t>právo</w:t>
      </w:r>
      <w:r>
        <w:t xml:space="preserve"> </w:t>
      </w:r>
      <w:r w:rsidRPr="00864149">
        <w:t>k</w:t>
      </w:r>
      <w:r>
        <w:t xml:space="preserve"> </w:t>
      </w:r>
      <w:r w:rsidRPr="00864149">
        <w:t>movitým</w:t>
      </w:r>
      <w:r>
        <w:t xml:space="preserve"> </w:t>
      </w:r>
      <w:r w:rsidRPr="00864149">
        <w:t>věcem,</w:t>
      </w:r>
    </w:p>
    <w:p w14:paraId="3BBCB173" w14:textId="6DAAC59A" w:rsidR="0099047B" w:rsidRDefault="0099047B" w:rsidP="00AB5ED2">
      <w:pPr>
        <w:pStyle w:val="Textparagrafu"/>
        <w:tabs>
          <w:tab w:val="left" w:pos="392"/>
          <w:tab w:val="left" w:pos="840"/>
        </w:tabs>
        <w:spacing w:before="0"/>
        <w:ind w:left="426" w:hanging="426"/>
      </w:pPr>
      <w:r w:rsidRPr="00864149">
        <w:t>d)</w:t>
      </w:r>
      <w:r w:rsidR="001F4B53">
        <w:tab/>
      </w:r>
      <w:r w:rsidRPr="00864149">
        <w:t>zatěžovat</w:t>
      </w:r>
      <w:r>
        <w:t xml:space="preserve"> </w:t>
      </w:r>
      <w:r w:rsidRPr="00864149">
        <w:t>majetek,</w:t>
      </w:r>
      <w:r>
        <w:t xml:space="preserve"> </w:t>
      </w:r>
      <w:r w:rsidRPr="00864149">
        <w:t>zejména</w:t>
      </w:r>
      <w:r>
        <w:t xml:space="preserve"> </w:t>
      </w:r>
      <w:r w:rsidRPr="00864149">
        <w:t>zřídit</w:t>
      </w:r>
      <w:r>
        <w:t xml:space="preserve"> </w:t>
      </w:r>
      <w:r w:rsidRPr="00864149">
        <w:t>věcné</w:t>
      </w:r>
      <w:r>
        <w:t xml:space="preserve"> </w:t>
      </w:r>
      <w:r w:rsidRPr="00864149">
        <w:t>břemeno</w:t>
      </w:r>
      <w:r>
        <w:t xml:space="preserve"> </w:t>
      </w:r>
      <w:r w:rsidRPr="00864149">
        <w:t>nebo</w:t>
      </w:r>
      <w:r>
        <w:t xml:space="preserve"> </w:t>
      </w:r>
      <w:r w:rsidRPr="00864149">
        <w:t>předkupní</w:t>
      </w:r>
      <w:r>
        <w:t xml:space="preserve"> </w:t>
      </w:r>
      <w:r w:rsidRPr="00864149">
        <w:t>právo,</w:t>
      </w:r>
    </w:p>
    <w:p w14:paraId="50F0585A" w14:textId="79445039" w:rsidR="0099047B" w:rsidRDefault="0099047B" w:rsidP="00AB5ED2">
      <w:pPr>
        <w:pStyle w:val="Textparagrafu"/>
        <w:tabs>
          <w:tab w:val="left" w:pos="392"/>
          <w:tab w:val="left" w:pos="840"/>
        </w:tabs>
        <w:spacing w:before="0"/>
        <w:ind w:left="426" w:hanging="426"/>
      </w:pPr>
      <w:r w:rsidRPr="00864149">
        <w:t>e)</w:t>
      </w:r>
      <w:r w:rsidR="001F4B53">
        <w:tab/>
      </w:r>
      <w:r w:rsidRPr="00864149">
        <w:t>založit</w:t>
      </w:r>
      <w:r>
        <w:t xml:space="preserve"> </w:t>
      </w:r>
      <w:r w:rsidRPr="00864149">
        <w:t>jinou</w:t>
      </w:r>
      <w:r>
        <w:t xml:space="preserve"> </w:t>
      </w:r>
      <w:r w:rsidRPr="00864149">
        <w:t>právnickou</w:t>
      </w:r>
      <w:r>
        <w:t xml:space="preserve"> </w:t>
      </w:r>
      <w:r w:rsidRPr="00864149">
        <w:t>osobu</w:t>
      </w:r>
      <w:r>
        <w:t xml:space="preserve"> </w:t>
      </w:r>
      <w:r w:rsidRPr="00864149">
        <w:t>nebo</w:t>
      </w:r>
      <w:r>
        <w:t xml:space="preserve"> </w:t>
      </w:r>
      <w:r w:rsidRPr="00864149">
        <w:t>nabýt</w:t>
      </w:r>
      <w:r>
        <w:t xml:space="preserve"> </w:t>
      </w:r>
      <w:r w:rsidRPr="00864149">
        <w:t>účast</w:t>
      </w:r>
      <w:r>
        <w:t xml:space="preserve"> </w:t>
      </w:r>
      <w:r w:rsidRPr="00864149">
        <w:t>v</w:t>
      </w:r>
      <w:r>
        <w:t xml:space="preserve"> </w:t>
      </w:r>
      <w:r w:rsidRPr="00864149">
        <w:t>již</w:t>
      </w:r>
      <w:r>
        <w:t xml:space="preserve"> </w:t>
      </w:r>
      <w:r w:rsidRPr="00864149">
        <w:t>existující</w:t>
      </w:r>
      <w:r>
        <w:t xml:space="preserve"> </w:t>
      </w:r>
      <w:r w:rsidRPr="00864149">
        <w:t>právnické</w:t>
      </w:r>
      <w:r>
        <w:t xml:space="preserve"> </w:t>
      </w:r>
      <w:r w:rsidRPr="00864149">
        <w:t>osobě,</w:t>
      </w:r>
      <w:r>
        <w:t xml:space="preserve"> </w:t>
      </w:r>
      <w:r w:rsidRPr="00864149">
        <w:t>pokud</w:t>
      </w:r>
      <w:r>
        <w:t xml:space="preserve"> </w:t>
      </w:r>
      <w:r w:rsidRPr="00864149">
        <w:t>to</w:t>
      </w:r>
      <w:r>
        <w:t xml:space="preserve"> </w:t>
      </w:r>
      <w:r w:rsidRPr="00864149">
        <w:t>není</w:t>
      </w:r>
      <w:r>
        <w:t xml:space="preserve"> </w:t>
      </w:r>
      <w:r w:rsidRPr="00864149">
        <w:t>tímto</w:t>
      </w:r>
      <w:r>
        <w:t xml:space="preserve"> </w:t>
      </w:r>
      <w:r w:rsidRPr="00864149">
        <w:t>zákonem</w:t>
      </w:r>
      <w:r>
        <w:t xml:space="preserve"> </w:t>
      </w:r>
      <w:r w:rsidRPr="00864149">
        <w:t>vyloučeno,</w:t>
      </w:r>
    </w:p>
    <w:p w14:paraId="2F7A4ACA" w14:textId="7B1A83D6" w:rsidR="0099047B" w:rsidRDefault="0099047B" w:rsidP="00AB5ED2">
      <w:pPr>
        <w:pStyle w:val="Textparagrafu"/>
        <w:tabs>
          <w:tab w:val="left" w:pos="392"/>
          <w:tab w:val="left" w:pos="840"/>
        </w:tabs>
        <w:spacing w:before="0"/>
        <w:ind w:left="426" w:hanging="426"/>
      </w:pPr>
      <w:r w:rsidRPr="00864149">
        <w:t>f)</w:t>
      </w:r>
      <w:r w:rsidR="001F4B53">
        <w:tab/>
      </w:r>
      <w:r w:rsidRPr="00864149">
        <w:t>provést</w:t>
      </w:r>
      <w:r>
        <w:t xml:space="preserve"> </w:t>
      </w:r>
      <w:r w:rsidRPr="00864149">
        <w:t>peněžitý</w:t>
      </w:r>
      <w:r>
        <w:t xml:space="preserve"> </w:t>
      </w:r>
      <w:r w:rsidRPr="00864149">
        <w:t>nebo</w:t>
      </w:r>
      <w:r>
        <w:t xml:space="preserve"> </w:t>
      </w:r>
      <w:r w:rsidRPr="00864149">
        <w:t>nepeněžitý</w:t>
      </w:r>
      <w:r>
        <w:t xml:space="preserve"> </w:t>
      </w:r>
      <w:r w:rsidRPr="00864149">
        <w:t>vklad</w:t>
      </w:r>
      <w:r>
        <w:t xml:space="preserve"> </w:t>
      </w:r>
      <w:r w:rsidRPr="00864149">
        <w:t>do</w:t>
      </w:r>
      <w:r>
        <w:t xml:space="preserve"> </w:t>
      </w:r>
      <w:r w:rsidRPr="00864149">
        <w:t>právnické</w:t>
      </w:r>
      <w:r>
        <w:t xml:space="preserve"> </w:t>
      </w:r>
      <w:r w:rsidRPr="00864149">
        <w:t>osoby</w:t>
      </w:r>
      <w:r>
        <w:t xml:space="preserve"> </w:t>
      </w:r>
      <w:r w:rsidRPr="00864149">
        <w:t>založené</w:t>
      </w:r>
      <w:r>
        <w:t xml:space="preserve"> </w:t>
      </w:r>
      <w:r w:rsidRPr="00864149">
        <w:t>touto</w:t>
      </w:r>
      <w:r>
        <w:t xml:space="preserve"> </w:t>
      </w:r>
      <w:r w:rsidRPr="00864149">
        <w:t>školskou</w:t>
      </w:r>
      <w:r>
        <w:t xml:space="preserve"> </w:t>
      </w:r>
      <w:r w:rsidRPr="00864149">
        <w:t>právnickou</w:t>
      </w:r>
      <w:r>
        <w:t xml:space="preserve"> </w:t>
      </w:r>
      <w:r w:rsidRPr="00864149">
        <w:t>osobou</w:t>
      </w:r>
      <w:r>
        <w:t xml:space="preserve"> </w:t>
      </w:r>
      <w:r w:rsidRPr="00864149">
        <w:t>nebo</w:t>
      </w:r>
      <w:r>
        <w:t xml:space="preserve"> </w:t>
      </w:r>
      <w:r w:rsidRPr="00864149">
        <w:t>do</w:t>
      </w:r>
      <w:r>
        <w:t xml:space="preserve"> </w:t>
      </w:r>
      <w:r w:rsidRPr="00864149">
        <w:t>jiné</w:t>
      </w:r>
      <w:r>
        <w:t xml:space="preserve"> </w:t>
      </w:r>
      <w:r w:rsidRPr="00864149">
        <w:t>právnické</w:t>
      </w:r>
      <w:r>
        <w:t xml:space="preserve"> </w:t>
      </w:r>
      <w:r w:rsidRPr="00864149">
        <w:t>osoby,</w:t>
      </w:r>
      <w:r>
        <w:t xml:space="preserve"> </w:t>
      </w:r>
      <w:r w:rsidRPr="00864149">
        <w:t>pokud</w:t>
      </w:r>
      <w:r>
        <w:t xml:space="preserve"> </w:t>
      </w:r>
      <w:r w:rsidRPr="00864149">
        <w:t>to</w:t>
      </w:r>
      <w:r>
        <w:t xml:space="preserve"> </w:t>
      </w:r>
      <w:r w:rsidRPr="00864149">
        <w:t>není</w:t>
      </w:r>
      <w:r>
        <w:t xml:space="preserve"> </w:t>
      </w:r>
      <w:r w:rsidRPr="00864149">
        <w:t>tímto</w:t>
      </w:r>
      <w:r>
        <w:t xml:space="preserve"> </w:t>
      </w:r>
      <w:r w:rsidRPr="00864149">
        <w:t>zákonem</w:t>
      </w:r>
      <w:r>
        <w:t xml:space="preserve"> </w:t>
      </w:r>
      <w:r w:rsidRPr="00864149">
        <w:t>vyloučeno.</w:t>
      </w:r>
    </w:p>
    <w:p w14:paraId="0193F5E9" w14:textId="77777777" w:rsidR="0099047B" w:rsidRDefault="0099047B" w:rsidP="00A84DD3">
      <w:pPr>
        <w:pStyle w:val="Textparagrafu"/>
        <w:tabs>
          <w:tab w:val="left" w:pos="392"/>
          <w:tab w:val="left" w:pos="840"/>
        </w:tabs>
        <w:spacing w:before="120" w:after="120"/>
      </w:pPr>
      <w:r w:rsidRPr="00864149">
        <w:t>(3)</w:t>
      </w:r>
      <w:r>
        <w:t xml:space="preserve"> </w:t>
      </w:r>
      <w:r w:rsidRPr="00864149">
        <w:t>Rada</w:t>
      </w:r>
      <w:r>
        <w:t xml:space="preserve"> </w:t>
      </w:r>
      <w:r w:rsidRPr="00864149">
        <w:t>právní</w:t>
      </w:r>
      <w:r>
        <w:t xml:space="preserve"> </w:t>
      </w:r>
      <w:r w:rsidRPr="00864149">
        <w:t>úkon</w:t>
      </w:r>
      <w:r>
        <w:t xml:space="preserve"> </w:t>
      </w:r>
      <w:r w:rsidRPr="00864149">
        <w:t>uvedený</w:t>
      </w:r>
      <w:r>
        <w:t xml:space="preserve"> </w:t>
      </w:r>
      <w:r w:rsidRPr="00864149">
        <w:t>v</w:t>
      </w:r>
      <w:r>
        <w:t xml:space="preserve"> </w:t>
      </w:r>
      <w:r w:rsidRPr="00864149">
        <w:t>odstavci</w:t>
      </w:r>
      <w:r>
        <w:t xml:space="preserve"> </w:t>
      </w:r>
      <w:r w:rsidRPr="00864149">
        <w:t>2</w:t>
      </w:r>
      <w:r>
        <w:t xml:space="preserve"> </w:t>
      </w:r>
      <w:r w:rsidRPr="00864149">
        <w:t>neschválí,</w:t>
      </w:r>
      <w:r>
        <w:t xml:space="preserve"> </w:t>
      </w:r>
      <w:r w:rsidRPr="00864149">
        <w:t>jestliže</w:t>
      </w:r>
      <w:r>
        <w:t xml:space="preserve"> </w:t>
      </w:r>
      <w:r w:rsidRPr="00864149">
        <w:t>je</w:t>
      </w:r>
      <w:r>
        <w:t xml:space="preserve"> </w:t>
      </w:r>
      <w:r w:rsidRPr="00864149">
        <w:t>v</w:t>
      </w:r>
      <w:r>
        <w:t xml:space="preserve"> </w:t>
      </w:r>
      <w:r w:rsidRPr="00864149">
        <w:t>rozporu</w:t>
      </w:r>
      <w:r>
        <w:t xml:space="preserve"> </w:t>
      </w:r>
      <w:r w:rsidRPr="00864149">
        <w:t>s</w:t>
      </w:r>
      <w:r>
        <w:t xml:space="preserve"> </w:t>
      </w:r>
      <w:r w:rsidRPr="00864149">
        <w:t>požadavkem</w:t>
      </w:r>
      <w:r>
        <w:t xml:space="preserve"> </w:t>
      </w:r>
      <w:r w:rsidRPr="00864149">
        <w:t>řádného</w:t>
      </w:r>
      <w:r>
        <w:t xml:space="preserve"> </w:t>
      </w:r>
      <w:r w:rsidRPr="00864149">
        <w:t>využívání</w:t>
      </w:r>
      <w:r>
        <w:t xml:space="preserve"> </w:t>
      </w:r>
      <w:r w:rsidRPr="00864149">
        <w:t>majetku</w:t>
      </w:r>
      <w:r>
        <w:t xml:space="preserve"> </w:t>
      </w:r>
      <w:r w:rsidRPr="00864149">
        <w:t>školské</w:t>
      </w:r>
      <w:r>
        <w:t xml:space="preserve"> </w:t>
      </w:r>
      <w:r w:rsidRPr="00864149">
        <w:t>právnické</w:t>
      </w:r>
      <w:r>
        <w:t xml:space="preserve"> </w:t>
      </w:r>
      <w:r w:rsidRPr="00864149">
        <w:t>osoby</w:t>
      </w:r>
      <w:r>
        <w:t xml:space="preserve"> </w:t>
      </w:r>
      <w:r w:rsidRPr="00864149">
        <w:t>nebo</w:t>
      </w:r>
      <w:r>
        <w:t xml:space="preserve"> </w:t>
      </w:r>
      <w:r w:rsidRPr="00864149">
        <w:t>jestliže</w:t>
      </w:r>
      <w:r>
        <w:t xml:space="preserve"> </w:t>
      </w:r>
      <w:r w:rsidRPr="00864149">
        <w:t>by</w:t>
      </w:r>
      <w:r>
        <w:t xml:space="preserve"> </w:t>
      </w:r>
      <w:r w:rsidRPr="00864149">
        <w:t>jím</w:t>
      </w:r>
      <w:r>
        <w:t xml:space="preserve"> </w:t>
      </w:r>
      <w:r w:rsidRPr="00864149">
        <w:t>byl</w:t>
      </w:r>
      <w:r>
        <w:t xml:space="preserve"> </w:t>
      </w:r>
      <w:r w:rsidRPr="00864149">
        <w:t>ohrožen</w:t>
      </w:r>
      <w:r>
        <w:t xml:space="preserve"> </w:t>
      </w:r>
      <w:r w:rsidRPr="00864149">
        <w:t>řádný</w:t>
      </w:r>
      <w:r>
        <w:t xml:space="preserve"> </w:t>
      </w:r>
      <w:r w:rsidRPr="00864149">
        <w:t>výkon</w:t>
      </w:r>
      <w:r>
        <w:t xml:space="preserve"> </w:t>
      </w:r>
      <w:r w:rsidRPr="00864149">
        <w:t>hlavní</w:t>
      </w:r>
      <w:r>
        <w:t xml:space="preserve"> </w:t>
      </w:r>
      <w:r w:rsidRPr="00864149">
        <w:t>činnosti</w:t>
      </w:r>
      <w:r>
        <w:t xml:space="preserve"> </w:t>
      </w:r>
      <w:r w:rsidRPr="00864149">
        <w:t>školské</w:t>
      </w:r>
      <w:r>
        <w:t xml:space="preserve"> </w:t>
      </w:r>
      <w:r w:rsidRPr="00864149">
        <w:t>právnické</w:t>
      </w:r>
      <w:r>
        <w:t xml:space="preserve"> </w:t>
      </w:r>
      <w:r w:rsidRPr="00864149">
        <w:t>osoby.</w:t>
      </w:r>
      <w:r>
        <w:t xml:space="preserve"> </w:t>
      </w:r>
      <w:r w:rsidRPr="00864149">
        <w:t>Právní</w:t>
      </w:r>
      <w:r>
        <w:t xml:space="preserve"> </w:t>
      </w:r>
      <w:r w:rsidRPr="00864149">
        <w:t>úkon</w:t>
      </w:r>
      <w:r>
        <w:t xml:space="preserve"> </w:t>
      </w:r>
      <w:r w:rsidRPr="00864149">
        <w:t>uvedený</w:t>
      </w:r>
      <w:r>
        <w:t xml:space="preserve"> </w:t>
      </w:r>
      <w:r w:rsidRPr="00864149">
        <w:t>v</w:t>
      </w:r>
      <w:r>
        <w:t xml:space="preserve"> </w:t>
      </w:r>
      <w:r w:rsidRPr="00864149">
        <w:t>odstavci</w:t>
      </w:r>
      <w:r>
        <w:t xml:space="preserve"> </w:t>
      </w:r>
      <w:r w:rsidRPr="00864149">
        <w:t>2</w:t>
      </w:r>
      <w:r>
        <w:t xml:space="preserve"> </w:t>
      </w:r>
      <w:r w:rsidRPr="00864149">
        <w:t>je</w:t>
      </w:r>
      <w:r>
        <w:t xml:space="preserve"> </w:t>
      </w:r>
      <w:r w:rsidRPr="00864149">
        <w:t>bez</w:t>
      </w:r>
      <w:r>
        <w:t xml:space="preserve"> </w:t>
      </w:r>
      <w:r w:rsidRPr="00864149">
        <w:t>předchozího</w:t>
      </w:r>
      <w:r>
        <w:t xml:space="preserve"> </w:t>
      </w:r>
      <w:r w:rsidRPr="00864149">
        <w:t>souhlasu</w:t>
      </w:r>
      <w:r>
        <w:t xml:space="preserve"> </w:t>
      </w:r>
      <w:r w:rsidRPr="00864149">
        <w:t>rady</w:t>
      </w:r>
      <w:r>
        <w:t xml:space="preserve"> </w:t>
      </w:r>
      <w:r w:rsidRPr="00864149">
        <w:t>neplatný.</w:t>
      </w:r>
    </w:p>
    <w:p w14:paraId="244DACE9" w14:textId="77777777" w:rsidR="0099047B" w:rsidRDefault="0099047B" w:rsidP="00A84DD3">
      <w:pPr>
        <w:pStyle w:val="Textparagrafu"/>
        <w:tabs>
          <w:tab w:val="left" w:pos="392"/>
          <w:tab w:val="left" w:pos="840"/>
        </w:tabs>
        <w:spacing w:before="120" w:after="120"/>
      </w:pPr>
      <w:r w:rsidRPr="00864149">
        <w:t>(4)</w:t>
      </w:r>
      <w:r>
        <w:t xml:space="preserve"> </w:t>
      </w:r>
      <w:r w:rsidRPr="00864149">
        <w:t>Rada</w:t>
      </w:r>
      <w:r>
        <w:t xml:space="preserve"> </w:t>
      </w:r>
      <w:r w:rsidRPr="00864149">
        <w:t>má</w:t>
      </w:r>
      <w:r>
        <w:t xml:space="preserve"> </w:t>
      </w:r>
      <w:r w:rsidRPr="00864149">
        <w:t>nejméně</w:t>
      </w:r>
      <w:r>
        <w:t xml:space="preserve"> </w:t>
      </w:r>
      <w:r w:rsidRPr="00864149">
        <w:t>3</w:t>
      </w:r>
      <w:r>
        <w:t xml:space="preserve"> </w:t>
      </w:r>
      <w:r w:rsidRPr="00864149">
        <w:t>a</w:t>
      </w:r>
      <w:r>
        <w:t xml:space="preserve"> </w:t>
      </w:r>
      <w:r w:rsidRPr="00864149">
        <w:t>nejvýše</w:t>
      </w:r>
      <w:r>
        <w:t xml:space="preserve"> </w:t>
      </w:r>
      <w:r w:rsidRPr="00864149">
        <w:t>15</w:t>
      </w:r>
      <w:r>
        <w:t xml:space="preserve"> </w:t>
      </w:r>
      <w:r w:rsidRPr="00864149">
        <w:t>členů.</w:t>
      </w:r>
      <w:r>
        <w:t xml:space="preserve"> </w:t>
      </w:r>
      <w:r w:rsidRPr="00864149">
        <w:t>Počet</w:t>
      </w:r>
      <w:r>
        <w:t xml:space="preserve"> </w:t>
      </w:r>
      <w:r w:rsidRPr="00864149">
        <w:t>členů</w:t>
      </w:r>
      <w:r>
        <w:t xml:space="preserve"> </w:t>
      </w:r>
      <w:r w:rsidRPr="00864149">
        <w:t>rady</w:t>
      </w:r>
      <w:r>
        <w:t xml:space="preserve"> </w:t>
      </w:r>
      <w:r w:rsidRPr="00864149">
        <w:t>stanoví</w:t>
      </w:r>
      <w:r>
        <w:t xml:space="preserve"> </w:t>
      </w:r>
      <w:r w:rsidRPr="00864149">
        <w:t>zřizovatel</w:t>
      </w:r>
      <w:r>
        <w:t xml:space="preserve"> </w:t>
      </w:r>
      <w:r w:rsidRPr="00864149">
        <w:t>ve</w:t>
      </w:r>
      <w:r>
        <w:t xml:space="preserve"> </w:t>
      </w:r>
      <w:r w:rsidRPr="00864149">
        <w:t>zřizovací</w:t>
      </w:r>
      <w:r>
        <w:t xml:space="preserve"> </w:t>
      </w:r>
      <w:r w:rsidRPr="00864149">
        <w:t>listině</w:t>
      </w:r>
      <w:r>
        <w:t xml:space="preserve"> </w:t>
      </w:r>
      <w:r w:rsidRPr="00864149">
        <w:t>školské</w:t>
      </w:r>
      <w:r>
        <w:t xml:space="preserve"> </w:t>
      </w:r>
      <w:r w:rsidRPr="00864149">
        <w:t>právnické</w:t>
      </w:r>
      <w:r>
        <w:t xml:space="preserve"> </w:t>
      </w:r>
      <w:r w:rsidRPr="00864149">
        <w:t>osoby.</w:t>
      </w:r>
    </w:p>
    <w:p w14:paraId="52EF2223" w14:textId="77777777" w:rsidR="0099047B" w:rsidRDefault="0099047B" w:rsidP="00A84DD3">
      <w:pPr>
        <w:pStyle w:val="Textparagrafu"/>
        <w:tabs>
          <w:tab w:val="left" w:pos="392"/>
          <w:tab w:val="left" w:pos="840"/>
        </w:tabs>
        <w:spacing w:before="120" w:after="120"/>
      </w:pPr>
      <w:r w:rsidRPr="00864149">
        <w:t>(5)</w:t>
      </w:r>
      <w:r>
        <w:t xml:space="preserve"> </w:t>
      </w:r>
      <w:r w:rsidRPr="00864149">
        <w:t>Členy</w:t>
      </w:r>
      <w:r>
        <w:t xml:space="preserve"> </w:t>
      </w:r>
      <w:r w:rsidRPr="00864149">
        <w:t>rady</w:t>
      </w:r>
      <w:r>
        <w:t xml:space="preserve"> </w:t>
      </w:r>
      <w:r w:rsidRPr="00864149">
        <w:t>jmenuje</w:t>
      </w:r>
      <w:r>
        <w:t xml:space="preserve"> </w:t>
      </w:r>
      <w:r w:rsidRPr="00864149">
        <w:t>a</w:t>
      </w:r>
      <w:r>
        <w:t xml:space="preserve"> </w:t>
      </w:r>
      <w:r w:rsidRPr="00864149">
        <w:t>odvolává</w:t>
      </w:r>
      <w:r>
        <w:t xml:space="preserve"> </w:t>
      </w:r>
      <w:r w:rsidRPr="00864149">
        <w:t>zřizovatel,</w:t>
      </w:r>
      <w:r>
        <w:t xml:space="preserve"> </w:t>
      </w:r>
      <w:r w:rsidRPr="00864149">
        <w:t>pokud</w:t>
      </w:r>
      <w:r>
        <w:t xml:space="preserve"> </w:t>
      </w:r>
      <w:r w:rsidRPr="00864149">
        <w:t>ve</w:t>
      </w:r>
      <w:r>
        <w:t xml:space="preserve"> </w:t>
      </w:r>
      <w:r w:rsidRPr="00864149">
        <w:t>zřizovací</w:t>
      </w:r>
      <w:r>
        <w:t xml:space="preserve"> </w:t>
      </w:r>
      <w:r w:rsidRPr="00864149">
        <w:t>listině</w:t>
      </w:r>
      <w:r>
        <w:t xml:space="preserve"> </w:t>
      </w:r>
      <w:r w:rsidRPr="00864149">
        <w:t>nestanovil</w:t>
      </w:r>
      <w:r>
        <w:t xml:space="preserve"> </w:t>
      </w:r>
      <w:r w:rsidRPr="00864149">
        <w:t>jinak.</w:t>
      </w:r>
      <w:r>
        <w:t xml:space="preserve"> </w:t>
      </w:r>
      <w:r w:rsidRPr="00864149">
        <w:t>V</w:t>
      </w:r>
      <w:r>
        <w:t xml:space="preserve"> </w:t>
      </w:r>
      <w:r w:rsidRPr="00864149">
        <w:t>případě</w:t>
      </w:r>
      <w:r>
        <w:t xml:space="preserve"> </w:t>
      </w:r>
      <w:r w:rsidRPr="00864149">
        <w:t>zániku</w:t>
      </w:r>
      <w:r>
        <w:t xml:space="preserve"> </w:t>
      </w:r>
      <w:r w:rsidRPr="00864149">
        <w:t>či</w:t>
      </w:r>
      <w:r>
        <w:t xml:space="preserve"> </w:t>
      </w:r>
      <w:r w:rsidRPr="00864149">
        <w:t>úmrtí</w:t>
      </w:r>
      <w:r>
        <w:t xml:space="preserve"> </w:t>
      </w:r>
      <w:r w:rsidRPr="00864149">
        <w:t>zřizovatele</w:t>
      </w:r>
      <w:r>
        <w:t xml:space="preserve"> </w:t>
      </w:r>
      <w:r w:rsidRPr="00864149">
        <w:t>bez</w:t>
      </w:r>
      <w:r>
        <w:t xml:space="preserve"> </w:t>
      </w:r>
      <w:r w:rsidRPr="00864149">
        <w:t>právního</w:t>
      </w:r>
      <w:r>
        <w:t xml:space="preserve"> </w:t>
      </w:r>
      <w:r w:rsidRPr="00864149">
        <w:t>nástupce</w:t>
      </w:r>
      <w:r>
        <w:t xml:space="preserve"> </w:t>
      </w:r>
      <w:r w:rsidRPr="00864149">
        <w:t>jmenuje</w:t>
      </w:r>
      <w:r>
        <w:t xml:space="preserve"> </w:t>
      </w:r>
      <w:r w:rsidRPr="00864149">
        <w:t>a</w:t>
      </w:r>
      <w:r>
        <w:t xml:space="preserve"> </w:t>
      </w:r>
      <w:r w:rsidRPr="00864149">
        <w:t>odvolává</w:t>
      </w:r>
      <w:r>
        <w:t xml:space="preserve"> </w:t>
      </w:r>
      <w:r w:rsidRPr="00864149">
        <w:t>členy</w:t>
      </w:r>
      <w:r>
        <w:t xml:space="preserve"> </w:t>
      </w:r>
      <w:r w:rsidRPr="00864149">
        <w:t>rady</w:t>
      </w:r>
      <w:r>
        <w:t xml:space="preserve"> </w:t>
      </w:r>
      <w:r w:rsidRPr="00864149">
        <w:t>ministerstvo,</w:t>
      </w:r>
      <w:r>
        <w:t xml:space="preserve"> </w:t>
      </w:r>
      <w:r w:rsidRPr="00864149">
        <w:t>pokud</w:t>
      </w:r>
      <w:r>
        <w:t xml:space="preserve"> </w:t>
      </w:r>
      <w:r w:rsidRPr="00864149">
        <w:t>zřizovatel</w:t>
      </w:r>
      <w:r>
        <w:t xml:space="preserve"> </w:t>
      </w:r>
      <w:r w:rsidRPr="00864149">
        <w:t>nestanovil</w:t>
      </w:r>
      <w:r>
        <w:t xml:space="preserve"> </w:t>
      </w:r>
      <w:r w:rsidRPr="00864149">
        <w:t>ve</w:t>
      </w:r>
      <w:r>
        <w:t xml:space="preserve"> </w:t>
      </w:r>
      <w:r w:rsidRPr="00864149">
        <w:t>zřizovací</w:t>
      </w:r>
      <w:r>
        <w:t xml:space="preserve"> </w:t>
      </w:r>
      <w:r w:rsidRPr="00864149">
        <w:t>listině</w:t>
      </w:r>
      <w:r>
        <w:t xml:space="preserve"> </w:t>
      </w:r>
      <w:r w:rsidRPr="00864149">
        <w:t>jinak.</w:t>
      </w:r>
    </w:p>
    <w:p w14:paraId="3AFD8699" w14:textId="77777777" w:rsidR="0099047B" w:rsidRDefault="0099047B" w:rsidP="00A84DD3">
      <w:pPr>
        <w:pStyle w:val="Textparagrafu"/>
        <w:tabs>
          <w:tab w:val="left" w:pos="392"/>
          <w:tab w:val="left" w:pos="840"/>
        </w:tabs>
        <w:spacing w:before="120" w:after="120"/>
      </w:pPr>
      <w:r w:rsidRPr="00864149">
        <w:t>(6)</w:t>
      </w:r>
      <w:r>
        <w:t xml:space="preserve"> </w:t>
      </w:r>
      <w:r w:rsidRPr="00864149">
        <w:t>Členem</w:t>
      </w:r>
      <w:r>
        <w:t xml:space="preserve"> </w:t>
      </w:r>
      <w:r w:rsidRPr="00864149">
        <w:t>rady</w:t>
      </w:r>
      <w:r>
        <w:t xml:space="preserve"> </w:t>
      </w:r>
      <w:r w:rsidRPr="00864149">
        <w:t>může</w:t>
      </w:r>
      <w:r>
        <w:t xml:space="preserve"> </w:t>
      </w:r>
      <w:r w:rsidRPr="00864149">
        <w:t>být</w:t>
      </w:r>
      <w:r>
        <w:t xml:space="preserve"> </w:t>
      </w:r>
      <w:r w:rsidRPr="00864149">
        <w:t>jen</w:t>
      </w:r>
      <w:r>
        <w:t xml:space="preserve"> </w:t>
      </w:r>
      <w:r w:rsidRPr="00864149">
        <w:t>fyzická</w:t>
      </w:r>
      <w:r>
        <w:t xml:space="preserve"> </w:t>
      </w:r>
      <w:r w:rsidRPr="00864149">
        <w:t>osoba,</w:t>
      </w:r>
      <w:r>
        <w:t xml:space="preserve"> </w:t>
      </w:r>
      <w:r w:rsidRPr="00864149">
        <w:t>která</w:t>
      </w:r>
      <w:r>
        <w:t xml:space="preserve"> </w:t>
      </w:r>
      <w:r w:rsidRPr="00864149">
        <w:t>je</w:t>
      </w:r>
      <w:r>
        <w:t xml:space="preserve"> </w:t>
      </w:r>
      <w:r w:rsidRPr="00864149">
        <w:t>plně</w:t>
      </w:r>
      <w:r>
        <w:t xml:space="preserve"> </w:t>
      </w:r>
      <w:r w:rsidRPr="00864149">
        <w:t>způsobilá</w:t>
      </w:r>
      <w:r>
        <w:t xml:space="preserve"> </w:t>
      </w:r>
      <w:r w:rsidRPr="00864149">
        <w:t>k</w:t>
      </w:r>
      <w:r>
        <w:t xml:space="preserve"> </w:t>
      </w:r>
      <w:r w:rsidRPr="00864149">
        <w:t>právním</w:t>
      </w:r>
      <w:r>
        <w:t xml:space="preserve"> </w:t>
      </w:r>
      <w:r w:rsidRPr="00864149">
        <w:t>úkonům,</w:t>
      </w:r>
      <w:r>
        <w:t xml:space="preserve"> </w:t>
      </w:r>
      <w:r w:rsidRPr="00864149">
        <w:t>nebyla</w:t>
      </w:r>
      <w:r>
        <w:t xml:space="preserve"> </w:t>
      </w:r>
      <w:r w:rsidRPr="00864149">
        <w:t>pravomocně</w:t>
      </w:r>
      <w:r>
        <w:t xml:space="preserve"> </w:t>
      </w:r>
      <w:r w:rsidRPr="00864149">
        <w:t>odsouzena</w:t>
      </w:r>
      <w:r>
        <w:t xml:space="preserve"> </w:t>
      </w:r>
      <w:r w:rsidRPr="00864149">
        <w:t>pro</w:t>
      </w:r>
      <w:r>
        <w:t xml:space="preserve"> </w:t>
      </w:r>
      <w:r w:rsidRPr="00864149">
        <w:t>úmyslný</w:t>
      </w:r>
      <w:r>
        <w:t xml:space="preserve"> </w:t>
      </w:r>
      <w:r w:rsidRPr="00864149">
        <w:t>trestný</w:t>
      </w:r>
      <w:r>
        <w:t xml:space="preserve"> </w:t>
      </w:r>
      <w:r w:rsidRPr="00864149">
        <w:t>čin</w:t>
      </w:r>
      <w:r>
        <w:t xml:space="preserve"> </w:t>
      </w:r>
      <w:r w:rsidRPr="00864149">
        <w:t>a</w:t>
      </w:r>
      <w:r>
        <w:t xml:space="preserve"> </w:t>
      </w:r>
      <w:r w:rsidRPr="00864149">
        <w:t>není</w:t>
      </w:r>
      <w:r>
        <w:t xml:space="preserve"> </w:t>
      </w:r>
      <w:r w:rsidRPr="00864149">
        <w:t>v</w:t>
      </w:r>
      <w:r>
        <w:t xml:space="preserve"> </w:t>
      </w:r>
      <w:r w:rsidRPr="00864149">
        <w:t>základním</w:t>
      </w:r>
      <w:r>
        <w:t xml:space="preserve"> </w:t>
      </w:r>
      <w:r w:rsidRPr="00864149">
        <w:t>pracovněprávním</w:t>
      </w:r>
      <w:r>
        <w:t xml:space="preserve"> </w:t>
      </w:r>
      <w:r w:rsidRPr="00864149">
        <w:t>ani</w:t>
      </w:r>
      <w:r>
        <w:t xml:space="preserve"> </w:t>
      </w:r>
      <w:r w:rsidRPr="00864149">
        <w:t>jiném</w:t>
      </w:r>
      <w:r>
        <w:t xml:space="preserve"> </w:t>
      </w:r>
      <w:r w:rsidRPr="00864149">
        <w:t>obdobném</w:t>
      </w:r>
      <w:r>
        <w:t xml:space="preserve"> </w:t>
      </w:r>
      <w:r w:rsidRPr="00864149">
        <w:t>vztahu</w:t>
      </w:r>
      <w:r>
        <w:t xml:space="preserve"> </w:t>
      </w:r>
      <w:r w:rsidRPr="00864149">
        <w:t>ke</w:t>
      </w:r>
      <w:r>
        <w:t xml:space="preserve"> </w:t>
      </w:r>
      <w:r w:rsidRPr="00864149">
        <w:t>školské</w:t>
      </w:r>
      <w:r>
        <w:t xml:space="preserve"> </w:t>
      </w:r>
      <w:r w:rsidRPr="00864149">
        <w:t>právnické</w:t>
      </w:r>
      <w:r>
        <w:t xml:space="preserve"> </w:t>
      </w:r>
      <w:r w:rsidRPr="00864149">
        <w:t>osobě.</w:t>
      </w:r>
    </w:p>
    <w:p w14:paraId="2B2170B4" w14:textId="77777777" w:rsidR="0099047B" w:rsidRDefault="0099047B" w:rsidP="00A84DD3">
      <w:pPr>
        <w:pStyle w:val="Textparagrafu"/>
        <w:tabs>
          <w:tab w:val="left" w:pos="392"/>
          <w:tab w:val="left" w:pos="840"/>
        </w:tabs>
        <w:spacing w:before="120" w:after="120"/>
      </w:pPr>
      <w:r w:rsidRPr="00864149">
        <w:t>(7)</w:t>
      </w:r>
      <w:r>
        <w:t xml:space="preserve"> </w:t>
      </w:r>
      <w:r w:rsidRPr="00864149">
        <w:t>Funkční</w:t>
      </w:r>
      <w:r>
        <w:t xml:space="preserve"> </w:t>
      </w:r>
      <w:r w:rsidRPr="00864149">
        <w:t>období</w:t>
      </w:r>
      <w:r>
        <w:t xml:space="preserve"> </w:t>
      </w:r>
      <w:r w:rsidRPr="00864149">
        <w:t>člena</w:t>
      </w:r>
      <w:r>
        <w:t xml:space="preserve"> </w:t>
      </w:r>
      <w:r w:rsidRPr="00864149">
        <w:t>rady</w:t>
      </w:r>
      <w:r>
        <w:t xml:space="preserve"> </w:t>
      </w:r>
      <w:r w:rsidRPr="00864149">
        <w:t>je</w:t>
      </w:r>
      <w:r>
        <w:t xml:space="preserve"> </w:t>
      </w:r>
      <w:r w:rsidRPr="00864149">
        <w:t>5</w:t>
      </w:r>
      <w:r>
        <w:t xml:space="preserve"> </w:t>
      </w:r>
      <w:r w:rsidRPr="00864149">
        <w:t>let.</w:t>
      </w:r>
    </w:p>
    <w:p w14:paraId="3CED6A0E" w14:textId="77777777" w:rsidR="0099047B" w:rsidRDefault="0099047B" w:rsidP="00A84DD3">
      <w:pPr>
        <w:pStyle w:val="Textparagrafu"/>
        <w:tabs>
          <w:tab w:val="left" w:pos="392"/>
          <w:tab w:val="left" w:pos="840"/>
        </w:tabs>
        <w:spacing w:before="120" w:after="120"/>
      </w:pPr>
      <w:r w:rsidRPr="00864149">
        <w:t>(8)</w:t>
      </w:r>
      <w:r>
        <w:t xml:space="preserve"> </w:t>
      </w:r>
      <w:r w:rsidRPr="00864149">
        <w:t>Členství</w:t>
      </w:r>
      <w:r>
        <w:t xml:space="preserve"> </w:t>
      </w:r>
      <w:r w:rsidRPr="00864149">
        <w:t>v</w:t>
      </w:r>
      <w:r>
        <w:t xml:space="preserve"> </w:t>
      </w:r>
      <w:r w:rsidRPr="00864149">
        <w:t>radě</w:t>
      </w:r>
      <w:r>
        <w:t xml:space="preserve"> </w:t>
      </w:r>
      <w:r w:rsidRPr="00864149">
        <w:t>zaniká</w:t>
      </w:r>
    </w:p>
    <w:p w14:paraId="7B0A6B8E" w14:textId="5876851F" w:rsidR="0099047B" w:rsidRDefault="0099047B" w:rsidP="001F4B53">
      <w:pPr>
        <w:pStyle w:val="Textparagrafu"/>
        <w:tabs>
          <w:tab w:val="left" w:pos="392"/>
          <w:tab w:val="left" w:pos="840"/>
        </w:tabs>
        <w:spacing w:before="0"/>
        <w:ind w:firstLine="0"/>
      </w:pPr>
      <w:r w:rsidRPr="00864149">
        <w:t>a)</w:t>
      </w:r>
      <w:r w:rsidR="001F4B53">
        <w:tab/>
      </w:r>
      <w:r w:rsidRPr="00864149">
        <w:t>uplynutím</w:t>
      </w:r>
      <w:r>
        <w:t xml:space="preserve"> </w:t>
      </w:r>
      <w:r w:rsidRPr="00864149">
        <w:t>funkčního</w:t>
      </w:r>
      <w:r>
        <w:t xml:space="preserve"> </w:t>
      </w:r>
      <w:r w:rsidRPr="00864149">
        <w:t>období,</w:t>
      </w:r>
    </w:p>
    <w:p w14:paraId="59CD29EF" w14:textId="11D35FCB" w:rsidR="0099047B" w:rsidRDefault="0099047B" w:rsidP="001F4B53">
      <w:pPr>
        <w:pStyle w:val="Textparagrafu"/>
        <w:tabs>
          <w:tab w:val="left" w:pos="392"/>
          <w:tab w:val="left" w:pos="840"/>
        </w:tabs>
        <w:spacing w:before="0"/>
        <w:ind w:firstLine="0"/>
      </w:pPr>
      <w:r w:rsidRPr="00864149">
        <w:t>b)</w:t>
      </w:r>
      <w:r w:rsidR="001F4B53">
        <w:tab/>
      </w:r>
      <w:r w:rsidRPr="00864149">
        <w:t>odstoupením,</w:t>
      </w:r>
    </w:p>
    <w:p w14:paraId="2ECE9FB3" w14:textId="58FD1228" w:rsidR="0099047B" w:rsidRDefault="0099047B" w:rsidP="001F4B53">
      <w:pPr>
        <w:pStyle w:val="Textparagrafu"/>
        <w:tabs>
          <w:tab w:val="left" w:pos="392"/>
          <w:tab w:val="left" w:pos="840"/>
        </w:tabs>
        <w:spacing w:before="0"/>
        <w:ind w:firstLine="0"/>
      </w:pPr>
      <w:r w:rsidRPr="00864149">
        <w:t>c)</w:t>
      </w:r>
      <w:r w:rsidR="001F4B53">
        <w:tab/>
      </w:r>
      <w:r w:rsidRPr="00864149">
        <w:t>pozbytím</w:t>
      </w:r>
      <w:r>
        <w:t xml:space="preserve"> </w:t>
      </w:r>
      <w:r w:rsidRPr="00864149">
        <w:t>předpokladů</w:t>
      </w:r>
      <w:r>
        <w:t xml:space="preserve"> </w:t>
      </w:r>
      <w:r w:rsidRPr="00864149">
        <w:t>pro</w:t>
      </w:r>
      <w:r>
        <w:t xml:space="preserve"> </w:t>
      </w:r>
      <w:r w:rsidRPr="00864149">
        <w:t>členství</w:t>
      </w:r>
      <w:r>
        <w:t xml:space="preserve"> </w:t>
      </w:r>
      <w:r w:rsidRPr="00864149">
        <w:t>v</w:t>
      </w:r>
      <w:r>
        <w:t xml:space="preserve"> </w:t>
      </w:r>
      <w:r w:rsidRPr="00864149">
        <w:t>radě</w:t>
      </w:r>
      <w:r>
        <w:t xml:space="preserve"> </w:t>
      </w:r>
      <w:r w:rsidRPr="00864149">
        <w:t>podle</w:t>
      </w:r>
      <w:r>
        <w:t xml:space="preserve"> </w:t>
      </w:r>
      <w:r w:rsidRPr="00864149">
        <w:t>odstavce</w:t>
      </w:r>
      <w:r>
        <w:t xml:space="preserve"> </w:t>
      </w:r>
      <w:r w:rsidRPr="00864149">
        <w:t>6,</w:t>
      </w:r>
    </w:p>
    <w:p w14:paraId="47D162C1" w14:textId="24139E96" w:rsidR="0099047B" w:rsidRDefault="0099047B" w:rsidP="001F4B53">
      <w:pPr>
        <w:pStyle w:val="Textparagrafu"/>
        <w:tabs>
          <w:tab w:val="left" w:pos="392"/>
          <w:tab w:val="left" w:pos="840"/>
        </w:tabs>
        <w:spacing w:before="0"/>
        <w:ind w:firstLine="0"/>
      </w:pPr>
      <w:r w:rsidRPr="00864149">
        <w:t>d)</w:t>
      </w:r>
      <w:r w:rsidR="001F4B53">
        <w:tab/>
      </w:r>
      <w:r w:rsidRPr="00864149">
        <w:t>odvoláním,</w:t>
      </w:r>
      <w:r>
        <w:t xml:space="preserve"> </w:t>
      </w:r>
      <w:r w:rsidRPr="00864149">
        <w:t>nebo</w:t>
      </w:r>
    </w:p>
    <w:p w14:paraId="46C65FF4" w14:textId="2A216F9F" w:rsidR="0099047B" w:rsidRDefault="0099047B" w:rsidP="001F4B53">
      <w:pPr>
        <w:pStyle w:val="Textparagrafu"/>
        <w:tabs>
          <w:tab w:val="left" w:pos="392"/>
          <w:tab w:val="left" w:pos="840"/>
        </w:tabs>
        <w:spacing w:before="0"/>
        <w:ind w:firstLine="0"/>
      </w:pPr>
      <w:r w:rsidRPr="00864149">
        <w:t>e)</w:t>
      </w:r>
      <w:r w:rsidR="001F4B53">
        <w:tab/>
      </w:r>
      <w:r w:rsidRPr="00864149">
        <w:t>úmrtím.</w:t>
      </w:r>
    </w:p>
    <w:p w14:paraId="435BE550" w14:textId="77777777" w:rsidR="0099047B" w:rsidRDefault="0099047B" w:rsidP="00A84DD3">
      <w:pPr>
        <w:pStyle w:val="Textparagrafu"/>
        <w:tabs>
          <w:tab w:val="left" w:pos="392"/>
          <w:tab w:val="left" w:pos="840"/>
        </w:tabs>
        <w:spacing w:before="120" w:after="120"/>
      </w:pPr>
      <w:r w:rsidRPr="00864149">
        <w:t>(9)</w:t>
      </w:r>
      <w:r>
        <w:t xml:space="preserve"> </w:t>
      </w:r>
      <w:r w:rsidRPr="00864149">
        <w:t>Člen</w:t>
      </w:r>
      <w:r>
        <w:t xml:space="preserve"> </w:t>
      </w:r>
      <w:r w:rsidRPr="00864149">
        <w:t>rady</w:t>
      </w:r>
      <w:r>
        <w:t xml:space="preserve"> </w:t>
      </w:r>
      <w:r w:rsidRPr="00864149">
        <w:t>může</w:t>
      </w:r>
      <w:r>
        <w:t xml:space="preserve"> </w:t>
      </w:r>
      <w:r w:rsidRPr="00864149">
        <w:t>být</w:t>
      </w:r>
      <w:r>
        <w:t xml:space="preserve"> </w:t>
      </w:r>
      <w:r w:rsidRPr="00864149">
        <w:t>z</w:t>
      </w:r>
      <w:r>
        <w:t xml:space="preserve"> </w:t>
      </w:r>
      <w:r w:rsidRPr="00864149">
        <w:t>funkce</w:t>
      </w:r>
      <w:r>
        <w:t xml:space="preserve"> </w:t>
      </w:r>
      <w:r w:rsidRPr="00864149">
        <w:t>odvolán</w:t>
      </w:r>
      <w:r>
        <w:t xml:space="preserve"> </w:t>
      </w:r>
      <w:r w:rsidRPr="00864149">
        <w:t>v</w:t>
      </w:r>
      <w:r>
        <w:t xml:space="preserve"> </w:t>
      </w:r>
      <w:r w:rsidRPr="00864149">
        <w:t>případě,</w:t>
      </w:r>
      <w:r>
        <w:t xml:space="preserve"> </w:t>
      </w:r>
      <w:r w:rsidRPr="00864149">
        <w:t>že</w:t>
      </w:r>
      <w:r>
        <w:t xml:space="preserve"> </w:t>
      </w:r>
      <w:r w:rsidRPr="00864149">
        <w:t>po</w:t>
      </w:r>
      <w:r>
        <w:t xml:space="preserve"> </w:t>
      </w:r>
      <w:r w:rsidRPr="00864149">
        <w:t>dobu</w:t>
      </w:r>
      <w:r>
        <w:t xml:space="preserve"> </w:t>
      </w:r>
      <w:r w:rsidRPr="00864149">
        <w:t>delší</w:t>
      </w:r>
      <w:r>
        <w:t xml:space="preserve"> </w:t>
      </w:r>
      <w:r w:rsidRPr="00864149">
        <w:t>než</w:t>
      </w:r>
      <w:r>
        <w:t xml:space="preserve"> </w:t>
      </w:r>
      <w:r w:rsidRPr="00864149">
        <w:t>6</w:t>
      </w:r>
      <w:r>
        <w:t xml:space="preserve"> </w:t>
      </w:r>
      <w:r w:rsidRPr="00864149">
        <w:t>měsíců</w:t>
      </w:r>
      <w:r>
        <w:t xml:space="preserve"> </w:t>
      </w:r>
      <w:r w:rsidRPr="00864149">
        <w:t>nemůže</w:t>
      </w:r>
      <w:r>
        <w:t xml:space="preserve"> </w:t>
      </w:r>
      <w:r w:rsidRPr="00864149">
        <w:t>vykonávat</w:t>
      </w:r>
      <w:r>
        <w:t xml:space="preserve"> </w:t>
      </w:r>
      <w:r w:rsidRPr="00864149">
        <w:t>funkci</w:t>
      </w:r>
      <w:r>
        <w:t xml:space="preserve"> </w:t>
      </w:r>
      <w:r w:rsidRPr="00864149">
        <w:t>člena</w:t>
      </w:r>
      <w:r>
        <w:t xml:space="preserve"> </w:t>
      </w:r>
      <w:r w:rsidRPr="00864149">
        <w:t>rady</w:t>
      </w:r>
      <w:r>
        <w:t xml:space="preserve"> </w:t>
      </w:r>
      <w:r w:rsidRPr="00864149">
        <w:t>nebo</w:t>
      </w:r>
      <w:r>
        <w:t xml:space="preserve"> </w:t>
      </w:r>
      <w:r w:rsidRPr="00864149">
        <w:t>se</w:t>
      </w:r>
      <w:r>
        <w:t xml:space="preserve"> </w:t>
      </w:r>
      <w:r w:rsidRPr="00864149">
        <w:t>opakovaně</w:t>
      </w:r>
      <w:r>
        <w:t xml:space="preserve"> </w:t>
      </w:r>
      <w:r w:rsidRPr="00864149">
        <w:t>nedostavil</w:t>
      </w:r>
      <w:r>
        <w:t xml:space="preserve"> </w:t>
      </w:r>
      <w:r w:rsidRPr="00864149">
        <w:t>na</w:t>
      </w:r>
      <w:r>
        <w:t xml:space="preserve"> </w:t>
      </w:r>
      <w:r w:rsidRPr="00864149">
        <w:t>jednání</w:t>
      </w:r>
      <w:r>
        <w:t xml:space="preserve"> </w:t>
      </w:r>
      <w:r w:rsidRPr="00864149">
        <w:t>rady.</w:t>
      </w:r>
    </w:p>
    <w:p w14:paraId="37790774" w14:textId="77777777" w:rsidR="0099047B" w:rsidRDefault="0099047B" w:rsidP="00A84DD3">
      <w:pPr>
        <w:pStyle w:val="Textparagrafu"/>
        <w:tabs>
          <w:tab w:val="left" w:pos="392"/>
          <w:tab w:val="left" w:pos="840"/>
        </w:tabs>
        <w:spacing w:before="120" w:after="120"/>
      </w:pPr>
      <w:r w:rsidRPr="00864149">
        <w:t>(10)</w:t>
      </w:r>
      <w:r>
        <w:t xml:space="preserve"> </w:t>
      </w:r>
      <w:r w:rsidRPr="00864149">
        <w:t>Členové</w:t>
      </w:r>
      <w:r>
        <w:t xml:space="preserve"> </w:t>
      </w:r>
      <w:r w:rsidRPr="00864149">
        <w:t>rady</w:t>
      </w:r>
      <w:r>
        <w:t xml:space="preserve"> </w:t>
      </w:r>
      <w:r w:rsidRPr="00864149">
        <w:t>volí</w:t>
      </w:r>
      <w:r>
        <w:t xml:space="preserve"> </w:t>
      </w:r>
      <w:r w:rsidRPr="00864149">
        <w:t>ze</w:t>
      </w:r>
      <w:r>
        <w:t xml:space="preserve"> </w:t>
      </w:r>
      <w:r w:rsidRPr="00864149">
        <w:t>svého</w:t>
      </w:r>
      <w:r>
        <w:t xml:space="preserve"> </w:t>
      </w:r>
      <w:r w:rsidRPr="00864149">
        <w:t>středu</w:t>
      </w:r>
      <w:r>
        <w:t xml:space="preserve"> </w:t>
      </w:r>
      <w:r w:rsidRPr="00864149">
        <w:t>předsedu,</w:t>
      </w:r>
      <w:r>
        <w:t xml:space="preserve"> </w:t>
      </w:r>
      <w:r w:rsidRPr="00864149">
        <w:t>který</w:t>
      </w:r>
      <w:r>
        <w:t xml:space="preserve"> </w:t>
      </w:r>
      <w:r w:rsidRPr="00864149">
        <w:t>svolává</w:t>
      </w:r>
      <w:r>
        <w:t xml:space="preserve"> </w:t>
      </w:r>
      <w:r w:rsidRPr="00864149">
        <w:t>a</w:t>
      </w:r>
      <w:r>
        <w:t xml:space="preserve"> </w:t>
      </w:r>
      <w:r w:rsidRPr="00864149">
        <w:t>řídí</w:t>
      </w:r>
      <w:r>
        <w:t xml:space="preserve"> </w:t>
      </w:r>
      <w:r w:rsidRPr="00864149">
        <w:t>jednání</w:t>
      </w:r>
      <w:r>
        <w:t xml:space="preserve"> </w:t>
      </w:r>
      <w:r w:rsidRPr="00864149">
        <w:t>rady.</w:t>
      </w:r>
    </w:p>
    <w:p w14:paraId="391FBB5E" w14:textId="77777777" w:rsidR="0099047B" w:rsidRDefault="0099047B" w:rsidP="00A84DD3">
      <w:pPr>
        <w:pStyle w:val="Textparagrafu"/>
        <w:tabs>
          <w:tab w:val="left" w:pos="392"/>
          <w:tab w:val="left" w:pos="840"/>
        </w:tabs>
        <w:spacing w:before="120" w:after="120"/>
      </w:pPr>
      <w:r w:rsidRPr="00864149">
        <w:lastRenderedPageBreak/>
        <w:t>(11)</w:t>
      </w:r>
      <w:r>
        <w:t xml:space="preserve"> </w:t>
      </w:r>
      <w:r w:rsidRPr="00864149">
        <w:t>Členové</w:t>
      </w:r>
      <w:r>
        <w:t xml:space="preserve"> </w:t>
      </w:r>
      <w:r w:rsidRPr="00864149">
        <w:t>rady</w:t>
      </w:r>
      <w:r>
        <w:t xml:space="preserve"> </w:t>
      </w:r>
      <w:r w:rsidRPr="00864149">
        <w:t>mohou</w:t>
      </w:r>
      <w:r>
        <w:t xml:space="preserve"> </w:t>
      </w:r>
      <w:r w:rsidRPr="00864149">
        <w:t>ze</w:t>
      </w:r>
      <w:r>
        <w:t xml:space="preserve"> </w:t>
      </w:r>
      <w:r w:rsidRPr="00864149">
        <w:t>svého</w:t>
      </w:r>
      <w:r>
        <w:t xml:space="preserve"> </w:t>
      </w:r>
      <w:r w:rsidRPr="00864149">
        <w:t>středu</w:t>
      </w:r>
      <w:r>
        <w:t xml:space="preserve"> </w:t>
      </w:r>
      <w:r w:rsidRPr="00864149">
        <w:t>zvolit</w:t>
      </w:r>
      <w:r>
        <w:t xml:space="preserve"> </w:t>
      </w:r>
      <w:r w:rsidRPr="00864149">
        <w:t>místopředsedu,</w:t>
      </w:r>
      <w:r>
        <w:t xml:space="preserve"> </w:t>
      </w:r>
      <w:r w:rsidRPr="00864149">
        <w:t>který</w:t>
      </w:r>
      <w:r>
        <w:t xml:space="preserve"> </w:t>
      </w:r>
      <w:r w:rsidRPr="00864149">
        <w:t>zastupuje</w:t>
      </w:r>
      <w:r>
        <w:t xml:space="preserve"> </w:t>
      </w:r>
      <w:r w:rsidRPr="00864149">
        <w:t>předsedu</w:t>
      </w:r>
      <w:r>
        <w:t xml:space="preserve"> </w:t>
      </w:r>
      <w:r w:rsidRPr="00864149">
        <w:t>v</w:t>
      </w:r>
      <w:r>
        <w:t xml:space="preserve"> </w:t>
      </w:r>
      <w:r w:rsidRPr="00864149">
        <w:t>době</w:t>
      </w:r>
      <w:r>
        <w:t xml:space="preserve"> </w:t>
      </w:r>
      <w:r w:rsidRPr="00864149">
        <w:t>jeho</w:t>
      </w:r>
      <w:r>
        <w:t xml:space="preserve"> </w:t>
      </w:r>
      <w:r w:rsidRPr="00864149">
        <w:t>nepřítomnosti.</w:t>
      </w:r>
    </w:p>
    <w:p w14:paraId="1163D0E7" w14:textId="77777777" w:rsidR="0099047B" w:rsidRDefault="0099047B" w:rsidP="00A84DD3">
      <w:pPr>
        <w:pStyle w:val="Textparagrafu"/>
        <w:tabs>
          <w:tab w:val="left" w:pos="392"/>
          <w:tab w:val="left" w:pos="840"/>
        </w:tabs>
        <w:spacing w:before="120" w:after="120"/>
      </w:pPr>
      <w:r w:rsidRPr="00864149">
        <w:t>(12)</w:t>
      </w:r>
      <w:r>
        <w:t xml:space="preserve"> </w:t>
      </w:r>
      <w:r w:rsidRPr="00864149">
        <w:t>Při</w:t>
      </w:r>
      <w:r>
        <w:t xml:space="preserve"> </w:t>
      </w:r>
      <w:r w:rsidRPr="00864149">
        <w:t>rozhodování</w:t>
      </w:r>
      <w:r>
        <w:t xml:space="preserve"> </w:t>
      </w:r>
      <w:r w:rsidRPr="00864149">
        <w:t>je</w:t>
      </w:r>
      <w:r>
        <w:t xml:space="preserve"> </w:t>
      </w:r>
      <w:r w:rsidRPr="00864149">
        <w:t>hlasovací</w:t>
      </w:r>
      <w:r>
        <w:t xml:space="preserve"> </w:t>
      </w:r>
      <w:r w:rsidRPr="00864149">
        <w:t>právo</w:t>
      </w:r>
      <w:r>
        <w:t xml:space="preserve"> </w:t>
      </w:r>
      <w:r w:rsidRPr="00864149">
        <w:t>členů</w:t>
      </w:r>
      <w:r>
        <w:t xml:space="preserve"> </w:t>
      </w:r>
      <w:r w:rsidRPr="00864149">
        <w:t>rady</w:t>
      </w:r>
      <w:r>
        <w:t xml:space="preserve"> </w:t>
      </w:r>
      <w:r w:rsidRPr="00864149">
        <w:t>rovné.</w:t>
      </w:r>
      <w:r>
        <w:t xml:space="preserve"> </w:t>
      </w:r>
      <w:r w:rsidRPr="00864149">
        <w:t>Nestanoví-li</w:t>
      </w:r>
      <w:r>
        <w:t xml:space="preserve"> </w:t>
      </w:r>
      <w:r w:rsidRPr="00864149">
        <w:t>zřizovací</w:t>
      </w:r>
      <w:r>
        <w:t xml:space="preserve"> </w:t>
      </w:r>
      <w:r w:rsidRPr="00864149">
        <w:t>listina</w:t>
      </w:r>
      <w:r>
        <w:t xml:space="preserve"> </w:t>
      </w:r>
      <w:r w:rsidRPr="00864149">
        <w:t>jinak,</w:t>
      </w:r>
      <w:r>
        <w:t xml:space="preserve"> </w:t>
      </w:r>
      <w:r w:rsidRPr="00864149">
        <w:t>je</w:t>
      </w:r>
      <w:r>
        <w:t xml:space="preserve"> </w:t>
      </w:r>
      <w:r w:rsidRPr="00864149">
        <w:t>rada</w:t>
      </w:r>
      <w:r>
        <w:t xml:space="preserve"> </w:t>
      </w:r>
      <w:r w:rsidRPr="00864149">
        <w:t>usnášeníschopná,</w:t>
      </w:r>
      <w:r>
        <w:t xml:space="preserve"> </w:t>
      </w:r>
      <w:r w:rsidRPr="00864149">
        <w:t>je-li</w:t>
      </w:r>
      <w:r>
        <w:t xml:space="preserve"> </w:t>
      </w:r>
      <w:r w:rsidRPr="00864149">
        <w:t>přítomna</w:t>
      </w:r>
      <w:r>
        <w:t xml:space="preserve"> </w:t>
      </w:r>
      <w:r w:rsidRPr="00864149">
        <w:t>nadpoloviční</w:t>
      </w:r>
      <w:r>
        <w:t xml:space="preserve"> </w:t>
      </w:r>
      <w:r w:rsidRPr="00864149">
        <w:t>většina</w:t>
      </w:r>
      <w:r>
        <w:t xml:space="preserve"> </w:t>
      </w:r>
      <w:r w:rsidRPr="00864149">
        <w:t>jejích</w:t>
      </w:r>
      <w:r>
        <w:t xml:space="preserve"> </w:t>
      </w:r>
      <w:r w:rsidRPr="00864149">
        <w:t>členů,</w:t>
      </w:r>
      <w:r>
        <w:t xml:space="preserve"> </w:t>
      </w:r>
      <w:r w:rsidRPr="00864149">
        <w:t>a</w:t>
      </w:r>
      <w:r>
        <w:t xml:space="preserve"> </w:t>
      </w:r>
      <w:r w:rsidRPr="00864149">
        <w:t>k</w:t>
      </w:r>
      <w:r>
        <w:t xml:space="preserve"> </w:t>
      </w:r>
      <w:r w:rsidRPr="00864149">
        <w:t>rozhodnutí</w:t>
      </w:r>
      <w:r>
        <w:t xml:space="preserve"> </w:t>
      </w:r>
      <w:r w:rsidRPr="00864149">
        <w:t>je</w:t>
      </w:r>
      <w:r>
        <w:t xml:space="preserve"> </w:t>
      </w:r>
      <w:r w:rsidRPr="00864149">
        <w:t>třeba</w:t>
      </w:r>
      <w:r>
        <w:t xml:space="preserve"> </w:t>
      </w:r>
      <w:r w:rsidRPr="00864149">
        <w:t>souhlasu</w:t>
      </w:r>
      <w:r>
        <w:t xml:space="preserve"> </w:t>
      </w:r>
      <w:r w:rsidRPr="00864149">
        <w:t>většiny</w:t>
      </w:r>
      <w:r>
        <w:t xml:space="preserve"> </w:t>
      </w:r>
      <w:r w:rsidRPr="00864149">
        <w:t>přítomných</w:t>
      </w:r>
      <w:r>
        <w:t xml:space="preserve"> </w:t>
      </w:r>
      <w:r w:rsidRPr="00864149">
        <w:t>členů.</w:t>
      </w:r>
    </w:p>
    <w:p w14:paraId="3D51F9E5" w14:textId="77777777" w:rsidR="0099047B" w:rsidRDefault="0099047B" w:rsidP="00A84DD3">
      <w:pPr>
        <w:pStyle w:val="Textparagrafu"/>
        <w:tabs>
          <w:tab w:val="left" w:pos="392"/>
          <w:tab w:val="left" w:pos="840"/>
        </w:tabs>
        <w:spacing w:before="120" w:after="120"/>
      </w:pPr>
      <w:r w:rsidRPr="00864149">
        <w:t>(13)</w:t>
      </w:r>
      <w:r>
        <w:t xml:space="preserve"> </w:t>
      </w:r>
      <w:r w:rsidRPr="00864149">
        <w:t>Rada</w:t>
      </w:r>
      <w:r>
        <w:t xml:space="preserve"> </w:t>
      </w:r>
      <w:r w:rsidRPr="00864149">
        <w:t>zasedá</w:t>
      </w:r>
      <w:r>
        <w:t xml:space="preserve"> </w:t>
      </w:r>
      <w:r w:rsidRPr="00864149">
        <w:t>nejméně</w:t>
      </w:r>
      <w:r>
        <w:t xml:space="preserve"> </w:t>
      </w:r>
      <w:r w:rsidRPr="00864149">
        <w:t>dvakrát</w:t>
      </w:r>
      <w:r>
        <w:t xml:space="preserve"> </w:t>
      </w:r>
      <w:r w:rsidRPr="00864149">
        <w:t>ročně.</w:t>
      </w:r>
      <w:r>
        <w:t xml:space="preserve"> </w:t>
      </w:r>
      <w:r w:rsidRPr="00864149">
        <w:t>Pokud</w:t>
      </w:r>
      <w:r>
        <w:t xml:space="preserve"> </w:t>
      </w:r>
      <w:r w:rsidRPr="00864149">
        <w:t>předseda</w:t>
      </w:r>
      <w:r>
        <w:t xml:space="preserve"> </w:t>
      </w:r>
      <w:r w:rsidRPr="00864149">
        <w:t>rady</w:t>
      </w:r>
      <w:r>
        <w:t xml:space="preserve"> </w:t>
      </w:r>
      <w:r w:rsidRPr="00864149">
        <w:t>nesvolá</w:t>
      </w:r>
      <w:r>
        <w:t xml:space="preserve"> </w:t>
      </w:r>
      <w:r w:rsidRPr="00864149">
        <w:t>zasedání</w:t>
      </w:r>
      <w:r>
        <w:t xml:space="preserve"> </w:t>
      </w:r>
      <w:r w:rsidRPr="00864149">
        <w:t>rady</w:t>
      </w:r>
      <w:r>
        <w:t xml:space="preserve"> </w:t>
      </w:r>
      <w:r w:rsidRPr="00864149">
        <w:t>po</w:t>
      </w:r>
      <w:r>
        <w:t xml:space="preserve"> </w:t>
      </w:r>
      <w:r w:rsidRPr="00864149">
        <w:t>dobu</w:t>
      </w:r>
      <w:r>
        <w:t xml:space="preserve"> </w:t>
      </w:r>
      <w:r w:rsidRPr="00864149">
        <w:t>1</w:t>
      </w:r>
      <w:r>
        <w:t xml:space="preserve"> </w:t>
      </w:r>
      <w:r w:rsidRPr="00864149">
        <w:t>roku,</w:t>
      </w:r>
      <w:r>
        <w:t xml:space="preserve"> </w:t>
      </w:r>
      <w:r w:rsidRPr="00864149">
        <w:t>může</w:t>
      </w:r>
      <w:r>
        <w:t xml:space="preserve"> </w:t>
      </w:r>
      <w:r w:rsidRPr="00864149">
        <w:t>zasedání</w:t>
      </w:r>
      <w:r>
        <w:t xml:space="preserve"> </w:t>
      </w:r>
      <w:r w:rsidRPr="00864149">
        <w:t>rady</w:t>
      </w:r>
      <w:r>
        <w:t xml:space="preserve"> </w:t>
      </w:r>
      <w:r w:rsidRPr="00864149">
        <w:t>svolat</w:t>
      </w:r>
      <w:r>
        <w:t xml:space="preserve"> </w:t>
      </w:r>
      <w:r w:rsidRPr="00864149">
        <w:t>i</w:t>
      </w:r>
      <w:r>
        <w:t xml:space="preserve"> </w:t>
      </w:r>
      <w:r w:rsidRPr="00864149">
        <w:t>jiný</w:t>
      </w:r>
      <w:r>
        <w:t xml:space="preserve"> </w:t>
      </w:r>
      <w:r w:rsidRPr="00864149">
        <w:t>člen</w:t>
      </w:r>
      <w:r>
        <w:t xml:space="preserve"> </w:t>
      </w:r>
      <w:r w:rsidRPr="00864149">
        <w:t>rady.</w:t>
      </w:r>
      <w:r>
        <w:t xml:space="preserve"> </w:t>
      </w:r>
      <w:r w:rsidRPr="00864149">
        <w:t>Na</w:t>
      </w:r>
      <w:r>
        <w:t xml:space="preserve"> </w:t>
      </w:r>
      <w:r w:rsidRPr="00864149">
        <w:t>žádost</w:t>
      </w:r>
      <w:r>
        <w:t xml:space="preserve"> </w:t>
      </w:r>
      <w:r w:rsidRPr="00864149">
        <w:t>ředitele</w:t>
      </w:r>
      <w:r>
        <w:t xml:space="preserve"> </w:t>
      </w:r>
      <w:r w:rsidRPr="00864149">
        <w:t>je</w:t>
      </w:r>
      <w:r>
        <w:t xml:space="preserve"> </w:t>
      </w:r>
      <w:r w:rsidRPr="00864149">
        <w:t>předseda</w:t>
      </w:r>
      <w:r>
        <w:t xml:space="preserve"> </w:t>
      </w:r>
      <w:r w:rsidRPr="00864149">
        <w:t>rady</w:t>
      </w:r>
      <w:r>
        <w:t xml:space="preserve"> </w:t>
      </w:r>
      <w:r w:rsidRPr="00864149">
        <w:t>povinen</w:t>
      </w:r>
      <w:r>
        <w:t xml:space="preserve"> </w:t>
      </w:r>
      <w:r w:rsidRPr="00864149">
        <w:t>svolat</w:t>
      </w:r>
      <w:r>
        <w:t xml:space="preserve"> </w:t>
      </w:r>
      <w:r w:rsidRPr="00864149">
        <w:t>mimořádné</w:t>
      </w:r>
      <w:r>
        <w:t xml:space="preserve"> </w:t>
      </w:r>
      <w:r w:rsidRPr="00864149">
        <w:t>zasedání</w:t>
      </w:r>
      <w:r>
        <w:t xml:space="preserve"> </w:t>
      </w:r>
      <w:r w:rsidRPr="00864149">
        <w:t>rady.</w:t>
      </w:r>
      <w:r>
        <w:t xml:space="preserve"> </w:t>
      </w:r>
      <w:r w:rsidRPr="00864149">
        <w:t>Pokud</w:t>
      </w:r>
      <w:r>
        <w:t xml:space="preserve"> </w:t>
      </w:r>
      <w:r w:rsidRPr="00864149">
        <w:t>předseda</w:t>
      </w:r>
      <w:r>
        <w:t xml:space="preserve"> </w:t>
      </w:r>
      <w:r w:rsidRPr="00864149">
        <w:t>rady</w:t>
      </w:r>
      <w:r>
        <w:t xml:space="preserve"> </w:t>
      </w:r>
      <w:r w:rsidRPr="00864149">
        <w:t>nesvolá</w:t>
      </w:r>
      <w:r>
        <w:t xml:space="preserve"> </w:t>
      </w:r>
      <w:r w:rsidRPr="00864149">
        <w:t>mimořádné</w:t>
      </w:r>
      <w:r>
        <w:t xml:space="preserve"> </w:t>
      </w:r>
      <w:r w:rsidRPr="00864149">
        <w:t>zasedání</w:t>
      </w:r>
      <w:r>
        <w:t xml:space="preserve"> </w:t>
      </w:r>
      <w:r w:rsidRPr="00864149">
        <w:t>rady</w:t>
      </w:r>
      <w:r>
        <w:t xml:space="preserve"> </w:t>
      </w:r>
      <w:r w:rsidRPr="00864149">
        <w:t>do</w:t>
      </w:r>
      <w:r>
        <w:t xml:space="preserve"> </w:t>
      </w:r>
      <w:r w:rsidRPr="00864149">
        <w:t>30</w:t>
      </w:r>
      <w:r>
        <w:t xml:space="preserve"> </w:t>
      </w:r>
      <w:r w:rsidRPr="00864149">
        <w:t>dnů</w:t>
      </w:r>
      <w:r>
        <w:t xml:space="preserve"> </w:t>
      </w:r>
      <w:r w:rsidRPr="00864149">
        <w:t>od</w:t>
      </w:r>
      <w:r>
        <w:t xml:space="preserve"> </w:t>
      </w:r>
      <w:r w:rsidRPr="00864149">
        <w:t>žádosti</w:t>
      </w:r>
      <w:r>
        <w:t xml:space="preserve"> </w:t>
      </w:r>
      <w:r w:rsidRPr="00864149">
        <w:t>ředitele,</w:t>
      </w:r>
      <w:r>
        <w:t xml:space="preserve"> </w:t>
      </w:r>
      <w:r w:rsidRPr="00864149">
        <w:t>může</w:t>
      </w:r>
      <w:r>
        <w:t xml:space="preserve"> </w:t>
      </w:r>
      <w:r w:rsidRPr="00864149">
        <w:t>je</w:t>
      </w:r>
      <w:r>
        <w:t xml:space="preserve"> </w:t>
      </w:r>
      <w:r w:rsidRPr="00864149">
        <w:t>svolat</w:t>
      </w:r>
      <w:r>
        <w:t xml:space="preserve"> </w:t>
      </w:r>
      <w:r w:rsidRPr="00864149">
        <w:t>ředitel.</w:t>
      </w:r>
    </w:p>
    <w:p w14:paraId="0CECA714" w14:textId="77777777" w:rsidR="0099047B" w:rsidRDefault="0099047B" w:rsidP="00A84DD3">
      <w:pPr>
        <w:pStyle w:val="Textparagrafu"/>
        <w:tabs>
          <w:tab w:val="left" w:pos="392"/>
          <w:tab w:val="left" w:pos="840"/>
        </w:tabs>
        <w:spacing w:before="120" w:after="120"/>
      </w:pPr>
      <w:r w:rsidRPr="00864149">
        <w:t>(14)</w:t>
      </w:r>
      <w:r>
        <w:t xml:space="preserve"> </w:t>
      </w:r>
      <w:r w:rsidRPr="00864149">
        <w:t>Ostatní</w:t>
      </w:r>
      <w:r>
        <w:t xml:space="preserve"> </w:t>
      </w:r>
      <w:r w:rsidRPr="00864149">
        <w:t>náležitosti</w:t>
      </w:r>
      <w:r>
        <w:t xml:space="preserve"> </w:t>
      </w:r>
      <w:r w:rsidRPr="00864149">
        <w:t>činnosti</w:t>
      </w:r>
      <w:r>
        <w:t xml:space="preserve"> </w:t>
      </w:r>
      <w:r w:rsidRPr="00864149">
        <w:t>rady</w:t>
      </w:r>
      <w:r>
        <w:t xml:space="preserve"> </w:t>
      </w:r>
      <w:r w:rsidRPr="00864149">
        <w:t>stanoví</w:t>
      </w:r>
      <w:r>
        <w:t xml:space="preserve"> </w:t>
      </w:r>
      <w:r w:rsidRPr="00864149">
        <w:t>jednací</w:t>
      </w:r>
      <w:r>
        <w:t xml:space="preserve"> </w:t>
      </w:r>
      <w:r w:rsidRPr="00864149">
        <w:t>řád</w:t>
      </w:r>
      <w:r>
        <w:t xml:space="preserve"> </w:t>
      </w:r>
      <w:r w:rsidRPr="00864149">
        <w:t>rady.</w:t>
      </w:r>
    </w:p>
    <w:p w14:paraId="6DD2586B" w14:textId="294D757B" w:rsidR="0099047B" w:rsidRPr="00B65878" w:rsidRDefault="0099047B" w:rsidP="00A84DD3">
      <w:pPr>
        <w:spacing w:before="120"/>
        <w:rPr>
          <w:rFonts w:eastAsia="Calibri"/>
          <w:b/>
          <w:bCs/>
          <w:szCs w:val="24"/>
        </w:rPr>
      </w:pPr>
      <w:r w:rsidRPr="00864149">
        <w:t>(15)</w:t>
      </w:r>
      <w:r>
        <w:t xml:space="preserve"> </w:t>
      </w:r>
      <w:r w:rsidRPr="00864149">
        <w:t>Členům</w:t>
      </w:r>
      <w:r>
        <w:t xml:space="preserve"> </w:t>
      </w:r>
      <w:r w:rsidRPr="00864149">
        <w:t>rady</w:t>
      </w:r>
      <w:r>
        <w:t xml:space="preserve"> </w:t>
      </w:r>
      <w:r w:rsidRPr="00864149">
        <w:t>může</w:t>
      </w:r>
      <w:r>
        <w:t xml:space="preserve"> </w:t>
      </w:r>
      <w:r w:rsidRPr="00864149">
        <w:t>být</w:t>
      </w:r>
      <w:r>
        <w:t xml:space="preserve"> </w:t>
      </w:r>
      <w:r w:rsidRPr="00864149">
        <w:t>za</w:t>
      </w:r>
      <w:r>
        <w:t xml:space="preserve"> </w:t>
      </w:r>
      <w:r w:rsidRPr="00864149">
        <w:t>výkon</w:t>
      </w:r>
      <w:r>
        <w:t xml:space="preserve"> </w:t>
      </w:r>
      <w:r w:rsidRPr="00864149">
        <w:t>funkce</w:t>
      </w:r>
      <w:r>
        <w:t xml:space="preserve"> </w:t>
      </w:r>
      <w:r w:rsidRPr="00864149">
        <w:t>poskytnuta</w:t>
      </w:r>
      <w:r>
        <w:t xml:space="preserve"> </w:t>
      </w:r>
      <w:r w:rsidRPr="00864149">
        <w:t>odměna</w:t>
      </w:r>
      <w:r>
        <w:t xml:space="preserve"> </w:t>
      </w:r>
      <w:r w:rsidRPr="00B65878">
        <w:rPr>
          <w:strike/>
        </w:rPr>
        <w:t>ze zlepšeného výsledku hospodaření školské právnické osoby</w:t>
      </w:r>
      <w:r w:rsidRPr="00864149">
        <w:t>;</w:t>
      </w:r>
      <w:r>
        <w:t xml:space="preserve"> </w:t>
      </w:r>
      <w:r w:rsidRPr="00864149">
        <w:t>výši</w:t>
      </w:r>
      <w:r>
        <w:t xml:space="preserve"> </w:t>
      </w:r>
      <w:r w:rsidRPr="00864149">
        <w:t>odměny</w:t>
      </w:r>
      <w:r>
        <w:t xml:space="preserve"> </w:t>
      </w:r>
      <w:r w:rsidRPr="00864149">
        <w:t>stanoví</w:t>
      </w:r>
      <w:r>
        <w:t xml:space="preserve"> </w:t>
      </w:r>
      <w:r w:rsidRPr="00864149">
        <w:t>zřizovatel.</w:t>
      </w:r>
      <w:r w:rsidR="00B65878" w:rsidRPr="00B65878">
        <w:rPr>
          <w:rFonts w:eastAsia="Calibri"/>
          <w:b/>
          <w:bCs/>
          <w:szCs w:val="24"/>
        </w:rPr>
        <w:t xml:space="preserve"> </w:t>
      </w:r>
      <w:r w:rsidR="00B65878">
        <w:rPr>
          <w:rFonts w:eastAsia="Calibri"/>
          <w:b/>
          <w:bCs/>
          <w:szCs w:val="24"/>
        </w:rPr>
        <w:t>Odměna nesmí být poskytnuta z peněžních prostředků poskytovaných ze státního rozpočtu podle tohoto zákona.</w:t>
      </w:r>
    </w:p>
    <w:p w14:paraId="7423F6E5" w14:textId="0D7D71E8" w:rsidR="0099047B" w:rsidRDefault="0099047B" w:rsidP="00C7268B">
      <w:pPr>
        <w:pStyle w:val="Textparagrafu"/>
        <w:tabs>
          <w:tab w:val="left" w:pos="392"/>
          <w:tab w:val="left" w:pos="840"/>
        </w:tabs>
        <w:spacing w:after="120"/>
        <w:ind w:firstLine="0"/>
        <w:jc w:val="center"/>
      </w:pPr>
      <w:r w:rsidRPr="00864149">
        <w:t>§</w:t>
      </w:r>
      <w:r>
        <w:t xml:space="preserve"> </w:t>
      </w:r>
      <w:r w:rsidRPr="00864149">
        <w:t>133</w:t>
      </w:r>
    </w:p>
    <w:p w14:paraId="22C39BC4" w14:textId="77777777" w:rsidR="0099047B" w:rsidRPr="00C7268B" w:rsidRDefault="0099047B" w:rsidP="00C7268B">
      <w:pPr>
        <w:pStyle w:val="Textparagrafu"/>
        <w:tabs>
          <w:tab w:val="left" w:pos="392"/>
          <w:tab w:val="left" w:pos="840"/>
        </w:tabs>
        <w:spacing w:after="120"/>
        <w:ind w:firstLine="0"/>
        <w:jc w:val="center"/>
        <w:rPr>
          <w:b/>
        </w:rPr>
      </w:pPr>
      <w:r w:rsidRPr="00C7268B">
        <w:rPr>
          <w:b/>
        </w:rPr>
        <w:t>Příjmy školské právnické osoby</w:t>
      </w:r>
    </w:p>
    <w:p w14:paraId="453B6952" w14:textId="77777777" w:rsidR="0099047B" w:rsidRDefault="0099047B" w:rsidP="00BD5369">
      <w:pPr>
        <w:pStyle w:val="Textparagrafu"/>
        <w:tabs>
          <w:tab w:val="left" w:pos="392"/>
          <w:tab w:val="left" w:pos="840"/>
        </w:tabs>
        <w:spacing w:after="120"/>
      </w:pPr>
      <w:r w:rsidRPr="00864149">
        <w:t>(1)</w:t>
      </w:r>
      <w:r>
        <w:t xml:space="preserve"> </w:t>
      </w:r>
      <w:r w:rsidRPr="00864149">
        <w:t>Příjmy</w:t>
      </w:r>
      <w:r>
        <w:t xml:space="preserve"> </w:t>
      </w:r>
      <w:r w:rsidRPr="00864149">
        <w:t>školské</w:t>
      </w:r>
      <w:r>
        <w:t xml:space="preserve"> </w:t>
      </w:r>
      <w:r w:rsidRPr="00864149">
        <w:t>právnické</w:t>
      </w:r>
      <w:r>
        <w:t xml:space="preserve"> </w:t>
      </w:r>
      <w:r w:rsidRPr="00864149">
        <w:t>osoby</w:t>
      </w:r>
      <w:r>
        <w:t xml:space="preserve"> </w:t>
      </w:r>
      <w:r w:rsidRPr="00864149">
        <w:t>jsou</w:t>
      </w:r>
      <w:r>
        <w:t xml:space="preserve"> </w:t>
      </w:r>
      <w:r w:rsidRPr="00864149">
        <w:t>zejména</w:t>
      </w:r>
    </w:p>
    <w:p w14:paraId="134454B2" w14:textId="49D709A8" w:rsidR="0099047B" w:rsidRDefault="0099047B" w:rsidP="00AB5ED2">
      <w:pPr>
        <w:pStyle w:val="Textparagrafu"/>
        <w:tabs>
          <w:tab w:val="left" w:pos="392"/>
          <w:tab w:val="left" w:pos="840"/>
        </w:tabs>
        <w:spacing w:before="0"/>
        <w:ind w:left="426" w:hanging="426"/>
      </w:pPr>
      <w:r w:rsidRPr="00864149">
        <w:t>a)</w:t>
      </w:r>
      <w:r w:rsidR="00C7268B">
        <w:tab/>
      </w:r>
      <w:r w:rsidRPr="00313117">
        <w:rPr>
          <w:strike/>
        </w:rPr>
        <w:t>finanční prostředky</w:t>
      </w:r>
      <w:r>
        <w:t xml:space="preserve"> </w:t>
      </w:r>
      <w:r w:rsidR="00313117" w:rsidRPr="00313117">
        <w:rPr>
          <w:b/>
        </w:rPr>
        <w:t>peněžní</w:t>
      </w:r>
      <w:r w:rsidR="00313117">
        <w:t xml:space="preserve"> </w:t>
      </w:r>
      <w:r w:rsidR="00313117">
        <w:rPr>
          <w:b/>
          <w:bCs/>
        </w:rPr>
        <w:t>prostředky poskytnuté</w:t>
      </w:r>
      <w:r w:rsidR="00313117" w:rsidRPr="00864149">
        <w:t xml:space="preserve"> </w:t>
      </w:r>
      <w:r w:rsidRPr="00864149">
        <w:t>ze</w:t>
      </w:r>
      <w:r>
        <w:t xml:space="preserve"> </w:t>
      </w:r>
      <w:r w:rsidRPr="00864149">
        <w:t>státního</w:t>
      </w:r>
      <w:r>
        <w:t xml:space="preserve"> </w:t>
      </w:r>
      <w:r w:rsidRPr="00864149">
        <w:t>rozpočtu,</w:t>
      </w:r>
    </w:p>
    <w:p w14:paraId="3F71E557" w14:textId="55252FDF" w:rsidR="0099047B" w:rsidRDefault="0099047B" w:rsidP="00AB5ED2">
      <w:pPr>
        <w:pStyle w:val="Textparagrafu"/>
        <w:tabs>
          <w:tab w:val="left" w:pos="392"/>
          <w:tab w:val="left" w:pos="840"/>
        </w:tabs>
        <w:spacing w:before="0"/>
        <w:ind w:left="426" w:hanging="426"/>
      </w:pPr>
      <w:r w:rsidRPr="00864149">
        <w:t>b)</w:t>
      </w:r>
      <w:r w:rsidR="00C7268B">
        <w:tab/>
      </w:r>
      <w:r w:rsidRPr="00313117">
        <w:rPr>
          <w:strike/>
        </w:rPr>
        <w:t>finanční prostředky</w:t>
      </w:r>
      <w:r>
        <w:t xml:space="preserve"> </w:t>
      </w:r>
      <w:r w:rsidR="00313117">
        <w:rPr>
          <w:b/>
        </w:rPr>
        <w:t xml:space="preserve">peněžní </w:t>
      </w:r>
      <w:r w:rsidR="00313117">
        <w:rPr>
          <w:b/>
          <w:bCs/>
        </w:rPr>
        <w:t>prostředky poskytnuté</w:t>
      </w:r>
      <w:r w:rsidR="00313117" w:rsidRPr="00864149">
        <w:t xml:space="preserve"> </w:t>
      </w:r>
      <w:r w:rsidRPr="00864149">
        <w:t>z</w:t>
      </w:r>
      <w:r>
        <w:t xml:space="preserve"> </w:t>
      </w:r>
      <w:r w:rsidRPr="00864149">
        <w:t>rozpočtů</w:t>
      </w:r>
      <w:r>
        <w:t xml:space="preserve"> </w:t>
      </w:r>
      <w:r w:rsidRPr="00864149">
        <w:t>územních</w:t>
      </w:r>
      <w:r>
        <w:t xml:space="preserve"> </w:t>
      </w:r>
      <w:r w:rsidRPr="00864149">
        <w:t>samosprávných</w:t>
      </w:r>
      <w:r>
        <w:t xml:space="preserve"> </w:t>
      </w:r>
      <w:r w:rsidRPr="00864149">
        <w:t>celků</w:t>
      </w:r>
      <w:r w:rsidR="00313117" w:rsidRPr="00313117">
        <w:rPr>
          <w:b/>
          <w:bCs/>
        </w:rPr>
        <w:t xml:space="preserve"> </w:t>
      </w:r>
      <w:r w:rsidR="00313117">
        <w:rPr>
          <w:b/>
          <w:bCs/>
        </w:rPr>
        <w:t>a dobrovolných svazků obcí</w:t>
      </w:r>
      <w:r w:rsidRPr="00864149">
        <w:t>,</w:t>
      </w:r>
    </w:p>
    <w:p w14:paraId="0F7808AF" w14:textId="7FCA27FA" w:rsidR="0099047B" w:rsidRDefault="0099047B" w:rsidP="00AB5ED2">
      <w:pPr>
        <w:pStyle w:val="Textparagrafu"/>
        <w:tabs>
          <w:tab w:val="left" w:pos="392"/>
          <w:tab w:val="left" w:pos="840"/>
        </w:tabs>
        <w:spacing w:before="0"/>
        <w:ind w:left="426" w:hanging="426"/>
      </w:pPr>
      <w:r w:rsidRPr="00864149">
        <w:t>c)</w:t>
      </w:r>
      <w:r w:rsidR="00C7268B">
        <w:tab/>
      </w:r>
      <w:r w:rsidRPr="00864149">
        <w:t>příjmy</w:t>
      </w:r>
      <w:r>
        <w:t xml:space="preserve"> </w:t>
      </w:r>
      <w:r w:rsidRPr="00864149">
        <w:t>z</w:t>
      </w:r>
      <w:r>
        <w:t xml:space="preserve"> </w:t>
      </w:r>
      <w:r w:rsidRPr="00864149">
        <w:t>hlavní</w:t>
      </w:r>
      <w:r>
        <w:t xml:space="preserve"> </w:t>
      </w:r>
      <w:r w:rsidRPr="00864149">
        <w:t>a</w:t>
      </w:r>
      <w:r>
        <w:t xml:space="preserve"> </w:t>
      </w:r>
      <w:r w:rsidRPr="00864149">
        <w:t>doplňkové</w:t>
      </w:r>
      <w:r>
        <w:t xml:space="preserve"> </w:t>
      </w:r>
      <w:r w:rsidRPr="00864149">
        <w:t>činnosti,</w:t>
      </w:r>
    </w:p>
    <w:p w14:paraId="0AF1DF65" w14:textId="145F628A" w:rsidR="0099047B" w:rsidRDefault="0099047B" w:rsidP="00AB5ED2">
      <w:pPr>
        <w:pStyle w:val="Textparagrafu"/>
        <w:tabs>
          <w:tab w:val="left" w:pos="392"/>
          <w:tab w:val="left" w:pos="840"/>
        </w:tabs>
        <w:spacing w:before="0"/>
        <w:ind w:left="426" w:hanging="426"/>
      </w:pPr>
      <w:r w:rsidRPr="00864149">
        <w:t>d)</w:t>
      </w:r>
      <w:r w:rsidR="00C7268B">
        <w:tab/>
      </w:r>
      <w:r w:rsidRPr="00313117">
        <w:rPr>
          <w:strike/>
        </w:rPr>
        <w:t>finanční</w:t>
      </w:r>
      <w:r>
        <w:t xml:space="preserve"> </w:t>
      </w:r>
      <w:r w:rsidR="00313117">
        <w:rPr>
          <w:b/>
        </w:rPr>
        <w:t xml:space="preserve">peněžní </w:t>
      </w:r>
      <w:r w:rsidRPr="00864149">
        <w:t>prostředky</w:t>
      </w:r>
      <w:r>
        <w:t xml:space="preserve"> </w:t>
      </w:r>
      <w:r w:rsidRPr="00864149">
        <w:t>přijaté</w:t>
      </w:r>
      <w:r>
        <w:t xml:space="preserve"> </w:t>
      </w:r>
      <w:r w:rsidRPr="00864149">
        <w:t>od</w:t>
      </w:r>
      <w:r>
        <w:t xml:space="preserve"> </w:t>
      </w:r>
      <w:r w:rsidRPr="00864149">
        <w:t>zřizovatele,</w:t>
      </w:r>
    </w:p>
    <w:p w14:paraId="7C13D38B" w14:textId="4D081E16" w:rsidR="0099047B" w:rsidRDefault="0099047B" w:rsidP="00AB5ED2">
      <w:pPr>
        <w:pStyle w:val="Textparagrafu"/>
        <w:tabs>
          <w:tab w:val="left" w:pos="392"/>
          <w:tab w:val="left" w:pos="840"/>
        </w:tabs>
        <w:spacing w:before="0"/>
        <w:ind w:left="426" w:hanging="426"/>
      </w:pPr>
      <w:r w:rsidRPr="00864149">
        <w:t>e)</w:t>
      </w:r>
      <w:r w:rsidR="00C7268B">
        <w:tab/>
      </w:r>
      <w:r w:rsidRPr="00864149">
        <w:t>úplata</w:t>
      </w:r>
      <w:r>
        <w:t xml:space="preserve"> </w:t>
      </w:r>
      <w:r w:rsidRPr="00864149">
        <w:t>za</w:t>
      </w:r>
      <w:r>
        <w:t xml:space="preserve"> </w:t>
      </w:r>
      <w:r w:rsidRPr="00864149">
        <w:t>vzdělávání</w:t>
      </w:r>
      <w:r>
        <w:t xml:space="preserve"> </w:t>
      </w:r>
      <w:r w:rsidRPr="00864149">
        <w:t>a</w:t>
      </w:r>
      <w:r>
        <w:t xml:space="preserve"> </w:t>
      </w:r>
      <w:r w:rsidRPr="00864149">
        <w:t>školské</w:t>
      </w:r>
      <w:r>
        <w:t xml:space="preserve"> </w:t>
      </w:r>
      <w:r w:rsidRPr="00864149">
        <w:t>služby,</w:t>
      </w:r>
    </w:p>
    <w:p w14:paraId="1FA781FF" w14:textId="343577B6" w:rsidR="0099047B" w:rsidRDefault="0099047B" w:rsidP="00AB5ED2">
      <w:pPr>
        <w:pStyle w:val="Textparagrafu"/>
        <w:tabs>
          <w:tab w:val="left" w:pos="392"/>
          <w:tab w:val="left" w:pos="840"/>
        </w:tabs>
        <w:spacing w:before="0"/>
        <w:ind w:left="426" w:hanging="426"/>
      </w:pPr>
      <w:r w:rsidRPr="00864149">
        <w:t>f)</w:t>
      </w:r>
      <w:r w:rsidR="00C7268B">
        <w:tab/>
      </w:r>
      <w:r w:rsidRPr="00864149">
        <w:t>dotace</w:t>
      </w:r>
      <w:r>
        <w:t xml:space="preserve"> </w:t>
      </w:r>
      <w:r w:rsidRPr="00864149">
        <w:t>na</w:t>
      </w:r>
      <w:r>
        <w:t xml:space="preserve"> </w:t>
      </w:r>
      <w:r w:rsidRPr="00864149">
        <w:t>úhradu</w:t>
      </w:r>
      <w:r>
        <w:t xml:space="preserve"> </w:t>
      </w:r>
      <w:r w:rsidRPr="00864149">
        <w:t>výdajů,</w:t>
      </w:r>
      <w:r>
        <w:t xml:space="preserve"> </w:t>
      </w:r>
      <w:r w:rsidRPr="00864149">
        <w:t>které</w:t>
      </w:r>
      <w:r>
        <w:t xml:space="preserve"> </w:t>
      </w:r>
      <w:r w:rsidRPr="00864149">
        <w:t>jsou</w:t>
      </w:r>
      <w:r>
        <w:t xml:space="preserve"> </w:t>
      </w:r>
      <w:r w:rsidRPr="00864149">
        <w:t>nebo</w:t>
      </w:r>
      <w:r>
        <w:t xml:space="preserve"> </w:t>
      </w:r>
      <w:r w:rsidRPr="00864149">
        <w:t>mají</w:t>
      </w:r>
      <w:r>
        <w:t xml:space="preserve"> </w:t>
      </w:r>
      <w:r w:rsidRPr="00864149">
        <w:t>být</w:t>
      </w:r>
      <w:r>
        <w:t xml:space="preserve"> </w:t>
      </w:r>
      <w:r w:rsidRPr="00864149">
        <w:t>kryty</w:t>
      </w:r>
      <w:r>
        <w:t xml:space="preserve"> </w:t>
      </w:r>
      <w:r w:rsidRPr="00864149">
        <w:t>z</w:t>
      </w:r>
      <w:r>
        <w:t xml:space="preserve"> </w:t>
      </w:r>
      <w:r w:rsidRPr="00864149">
        <w:t>rozpočtu</w:t>
      </w:r>
      <w:r>
        <w:t xml:space="preserve"> </w:t>
      </w:r>
      <w:r w:rsidRPr="00864149">
        <w:t>Evropské</w:t>
      </w:r>
      <w:r>
        <w:t xml:space="preserve"> </w:t>
      </w:r>
      <w:r w:rsidRPr="00864149">
        <w:t>unie,</w:t>
      </w:r>
      <w:r>
        <w:t xml:space="preserve"> </w:t>
      </w:r>
      <w:r w:rsidRPr="00864149">
        <w:t>včetně</w:t>
      </w:r>
      <w:r>
        <w:t xml:space="preserve"> </w:t>
      </w:r>
      <w:r w:rsidRPr="00864149">
        <w:t>stanoveného</w:t>
      </w:r>
      <w:r>
        <w:t xml:space="preserve"> </w:t>
      </w:r>
      <w:r w:rsidRPr="00864149">
        <w:t>podílu</w:t>
      </w:r>
      <w:r>
        <w:t xml:space="preserve"> </w:t>
      </w:r>
      <w:r w:rsidRPr="00864149">
        <w:t>státního</w:t>
      </w:r>
      <w:r>
        <w:t xml:space="preserve"> </w:t>
      </w:r>
      <w:r w:rsidRPr="00864149">
        <w:t>rozpočtu</w:t>
      </w:r>
      <w:r>
        <w:t xml:space="preserve"> </w:t>
      </w:r>
      <w:r w:rsidRPr="00864149">
        <w:t>na</w:t>
      </w:r>
      <w:r>
        <w:t xml:space="preserve"> </w:t>
      </w:r>
      <w:r w:rsidRPr="00864149">
        <w:t>financování</w:t>
      </w:r>
      <w:r>
        <w:t xml:space="preserve"> </w:t>
      </w:r>
      <w:r w:rsidRPr="00864149">
        <w:t>těchto</w:t>
      </w:r>
      <w:r>
        <w:t xml:space="preserve"> </w:t>
      </w:r>
      <w:r w:rsidRPr="00864149">
        <w:t>výdajů,</w:t>
      </w:r>
    </w:p>
    <w:p w14:paraId="7832C8E8" w14:textId="2C11E7BD" w:rsidR="0099047B" w:rsidRDefault="0099047B" w:rsidP="00AB5ED2">
      <w:pPr>
        <w:pStyle w:val="Textparagrafu"/>
        <w:tabs>
          <w:tab w:val="left" w:pos="392"/>
          <w:tab w:val="left" w:pos="840"/>
        </w:tabs>
        <w:spacing w:before="0"/>
        <w:ind w:left="426" w:hanging="426"/>
      </w:pPr>
      <w:r w:rsidRPr="00864149">
        <w:t>g)</w:t>
      </w:r>
      <w:r w:rsidR="00C7268B">
        <w:tab/>
      </w:r>
      <w:r w:rsidRPr="00864149">
        <w:t>dotace</w:t>
      </w:r>
      <w:r>
        <w:t xml:space="preserve"> </w:t>
      </w:r>
      <w:r w:rsidRPr="00864149">
        <w:t>na</w:t>
      </w:r>
      <w:r>
        <w:t xml:space="preserve"> </w:t>
      </w:r>
      <w:r w:rsidRPr="00864149">
        <w:t>úhradu</w:t>
      </w:r>
      <w:r>
        <w:t xml:space="preserve"> </w:t>
      </w:r>
      <w:r w:rsidRPr="00864149">
        <w:t>výdajů</w:t>
      </w:r>
      <w:r>
        <w:t xml:space="preserve"> </w:t>
      </w:r>
      <w:r w:rsidRPr="00864149">
        <w:t>podle</w:t>
      </w:r>
      <w:r>
        <w:t xml:space="preserve"> </w:t>
      </w:r>
      <w:r w:rsidRPr="00864149">
        <w:t>mezinárodních</w:t>
      </w:r>
      <w:r>
        <w:t xml:space="preserve"> </w:t>
      </w:r>
      <w:r w:rsidRPr="00864149">
        <w:t>smluv,</w:t>
      </w:r>
      <w:r>
        <w:t xml:space="preserve"> </w:t>
      </w:r>
      <w:r w:rsidRPr="00864149">
        <w:t>na</w:t>
      </w:r>
      <w:r>
        <w:t xml:space="preserve"> </w:t>
      </w:r>
      <w:r w:rsidRPr="00864149">
        <w:t>základě</w:t>
      </w:r>
      <w:r>
        <w:t xml:space="preserve"> </w:t>
      </w:r>
      <w:r w:rsidRPr="00864149">
        <w:t>kterých</w:t>
      </w:r>
      <w:r>
        <w:t xml:space="preserve"> </w:t>
      </w:r>
      <w:r w:rsidRPr="00864149">
        <w:t>jsou</w:t>
      </w:r>
      <w:r>
        <w:t xml:space="preserve"> </w:t>
      </w:r>
      <w:r w:rsidRPr="00864149">
        <w:t>České</w:t>
      </w:r>
      <w:r>
        <w:t xml:space="preserve"> </w:t>
      </w:r>
      <w:r w:rsidRPr="00864149">
        <w:t>republice</w:t>
      </w:r>
      <w:r>
        <w:t xml:space="preserve"> </w:t>
      </w:r>
      <w:r w:rsidRPr="00864149">
        <w:t>svěřeny</w:t>
      </w:r>
      <w:r>
        <w:t xml:space="preserve"> </w:t>
      </w:r>
      <w:r w:rsidRPr="00864149">
        <w:t>peněžní</w:t>
      </w:r>
      <w:r>
        <w:t xml:space="preserve"> </w:t>
      </w:r>
      <w:r w:rsidRPr="00864149">
        <w:t>prostředky</w:t>
      </w:r>
      <w:r>
        <w:t xml:space="preserve"> </w:t>
      </w:r>
      <w:r w:rsidRPr="00864149">
        <w:t>z</w:t>
      </w:r>
      <w:r>
        <w:t xml:space="preserve"> </w:t>
      </w:r>
      <w:r w:rsidRPr="00864149">
        <w:t>finančního</w:t>
      </w:r>
      <w:r>
        <w:t xml:space="preserve"> </w:t>
      </w:r>
      <w:r w:rsidRPr="00864149">
        <w:t>mechanismu</w:t>
      </w:r>
      <w:r>
        <w:t xml:space="preserve"> </w:t>
      </w:r>
      <w:r w:rsidRPr="00864149">
        <w:t>Evropského</w:t>
      </w:r>
      <w:r>
        <w:t xml:space="preserve"> </w:t>
      </w:r>
      <w:r w:rsidRPr="00864149">
        <w:t>hospodářského</w:t>
      </w:r>
      <w:r>
        <w:t xml:space="preserve"> </w:t>
      </w:r>
      <w:r w:rsidRPr="00864149">
        <w:t>prostoru,</w:t>
      </w:r>
      <w:r>
        <w:t xml:space="preserve"> </w:t>
      </w:r>
      <w:r w:rsidRPr="00864149">
        <w:t>z</w:t>
      </w:r>
      <w:r>
        <w:t xml:space="preserve"> </w:t>
      </w:r>
      <w:r w:rsidRPr="00864149">
        <w:t>finančního</w:t>
      </w:r>
      <w:r>
        <w:t xml:space="preserve"> </w:t>
      </w:r>
      <w:r w:rsidRPr="00864149">
        <w:t>mechanismu</w:t>
      </w:r>
      <w:r>
        <w:t xml:space="preserve"> </w:t>
      </w:r>
      <w:r w:rsidRPr="00864149">
        <w:t>Norska</w:t>
      </w:r>
      <w:r>
        <w:t xml:space="preserve"> </w:t>
      </w:r>
      <w:r w:rsidRPr="00864149">
        <w:t>a</w:t>
      </w:r>
      <w:r>
        <w:t xml:space="preserve"> </w:t>
      </w:r>
      <w:r w:rsidRPr="00864149">
        <w:t>programu</w:t>
      </w:r>
      <w:r>
        <w:t xml:space="preserve"> </w:t>
      </w:r>
      <w:r w:rsidRPr="00864149">
        <w:t>švýcarsko-</w:t>
      </w:r>
      <w:r>
        <w:t xml:space="preserve"> </w:t>
      </w:r>
      <w:r w:rsidRPr="00864149">
        <w:t>české</w:t>
      </w:r>
      <w:r>
        <w:t xml:space="preserve"> </w:t>
      </w:r>
      <w:r w:rsidRPr="00864149">
        <w:t>spolupráce,</w:t>
      </w:r>
    </w:p>
    <w:p w14:paraId="4F52721A" w14:textId="3F47DCE9" w:rsidR="0099047B" w:rsidRDefault="0099047B" w:rsidP="00AB5ED2">
      <w:pPr>
        <w:pStyle w:val="Textparagrafu"/>
        <w:tabs>
          <w:tab w:val="left" w:pos="392"/>
          <w:tab w:val="left" w:pos="840"/>
        </w:tabs>
        <w:spacing w:before="0"/>
        <w:ind w:left="426" w:hanging="426"/>
      </w:pPr>
      <w:r w:rsidRPr="00864149">
        <w:t>h)</w:t>
      </w:r>
      <w:r w:rsidR="00C7268B">
        <w:tab/>
      </w:r>
      <w:r w:rsidRPr="00864149">
        <w:t>dary</w:t>
      </w:r>
      <w:r>
        <w:t xml:space="preserve"> </w:t>
      </w:r>
      <w:r w:rsidRPr="00864149">
        <w:t>a</w:t>
      </w:r>
      <w:r>
        <w:t xml:space="preserve"> </w:t>
      </w:r>
      <w:r w:rsidRPr="00864149">
        <w:t>dědictví.</w:t>
      </w:r>
    </w:p>
    <w:p w14:paraId="28F0392C" w14:textId="44B3460F" w:rsidR="0099047B" w:rsidRDefault="0099047B" w:rsidP="00A84DD3">
      <w:pPr>
        <w:pStyle w:val="Textparagrafu"/>
        <w:tabs>
          <w:tab w:val="left" w:pos="392"/>
          <w:tab w:val="left" w:pos="840"/>
        </w:tabs>
        <w:spacing w:before="120" w:after="120"/>
      </w:pPr>
      <w:r w:rsidRPr="00864149">
        <w:t>(2)</w:t>
      </w:r>
      <w:r>
        <w:t xml:space="preserve"> </w:t>
      </w:r>
      <w:r w:rsidRPr="00864149">
        <w:t>Pokud</w:t>
      </w:r>
      <w:r>
        <w:t xml:space="preserve"> </w:t>
      </w:r>
      <w:r w:rsidRPr="00864149">
        <w:t>se</w:t>
      </w:r>
      <w:r>
        <w:t xml:space="preserve"> </w:t>
      </w:r>
      <w:r w:rsidRPr="00864149">
        <w:t>prostředky</w:t>
      </w:r>
      <w:r>
        <w:t xml:space="preserve"> </w:t>
      </w:r>
      <w:r w:rsidRPr="00864149">
        <w:t>poskytnuté</w:t>
      </w:r>
      <w:r>
        <w:t xml:space="preserve"> </w:t>
      </w:r>
      <w:r w:rsidRPr="00864149">
        <w:t>podle</w:t>
      </w:r>
      <w:r>
        <w:t xml:space="preserve"> </w:t>
      </w:r>
      <w:r w:rsidRPr="00864149">
        <w:t>odstavce</w:t>
      </w:r>
      <w:r>
        <w:t xml:space="preserve"> </w:t>
      </w:r>
      <w:r w:rsidRPr="00864149">
        <w:t>1</w:t>
      </w:r>
      <w:r>
        <w:t xml:space="preserve"> </w:t>
      </w:r>
      <w:r w:rsidRPr="00864149">
        <w:t>písm.</w:t>
      </w:r>
      <w:r>
        <w:t xml:space="preserve"> </w:t>
      </w:r>
      <w:r w:rsidRPr="00864149">
        <w:t>f)</w:t>
      </w:r>
      <w:r>
        <w:t xml:space="preserve"> </w:t>
      </w:r>
      <w:r w:rsidRPr="00864149">
        <w:t>a</w:t>
      </w:r>
      <w:r>
        <w:t xml:space="preserve"> </w:t>
      </w:r>
      <w:r w:rsidRPr="00864149">
        <w:t>g)</w:t>
      </w:r>
      <w:r>
        <w:t xml:space="preserve"> </w:t>
      </w:r>
      <w:r w:rsidRPr="00864149">
        <w:t>nespotřebují</w:t>
      </w:r>
      <w:r>
        <w:t xml:space="preserve"> </w:t>
      </w:r>
      <w:r w:rsidRPr="00864149">
        <w:t>do</w:t>
      </w:r>
      <w:r>
        <w:t xml:space="preserve"> </w:t>
      </w:r>
      <w:r w:rsidRPr="00864149">
        <w:t>konce</w:t>
      </w:r>
      <w:r>
        <w:t xml:space="preserve"> </w:t>
      </w:r>
      <w:r w:rsidRPr="00864149">
        <w:t>kalendářního</w:t>
      </w:r>
      <w:r>
        <w:t xml:space="preserve"> </w:t>
      </w:r>
      <w:r w:rsidRPr="00864149">
        <w:t>roku,</w:t>
      </w:r>
      <w:r>
        <w:t xml:space="preserve"> </w:t>
      </w:r>
      <w:r w:rsidRPr="00313117">
        <w:rPr>
          <w:strike/>
        </w:rPr>
        <w:t xml:space="preserve">převádějí se do rezervního fondu jako zdroj financování v následujících letech a </w:t>
      </w:r>
      <w:proofErr w:type="gramStart"/>
      <w:r w:rsidRPr="00313117">
        <w:rPr>
          <w:strike/>
        </w:rPr>
        <w:t>mohou</w:t>
      </w:r>
      <w:proofErr w:type="gramEnd"/>
      <w:r w:rsidRPr="00313117">
        <w:rPr>
          <w:strike/>
        </w:rPr>
        <w:t xml:space="preserve"> se použít pouze na stanovený </w:t>
      </w:r>
      <w:r w:rsidRPr="004F1E44">
        <w:rPr>
          <w:strike/>
        </w:rPr>
        <w:t>účel</w:t>
      </w:r>
      <w:r w:rsidR="00313117" w:rsidRPr="004F1E44">
        <w:t xml:space="preserve"> </w:t>
      </w:r>
      <w:r w:rsidR="004F1E44">
        <w:rPr>
          <w:b/>
          <w:bCs/>
        </w:rPr>
        <w:t xml:space="preserve"> </w:t>
      </w:r>
      <w:proofErr w:type="gramStart"/>
      <w:r w:rsidR="00313117" w:rsidRPr="00313117">
        <w:rPr>
          <w:b/>
          <w:bCs/>
        </w:rPr>
        <w:t>mohou</w:t>
      </w:r>
      <w:proofErr w:type="gramEnd"/>
      <w:r w:rsidR="00313117" w:rsidRPr="66C4E76E">
        <w:rPr>
          <w:b/>
          <w:bCs/>
        </w:rPr>
        <w:t xml:space="preserve"> být v následujících letech použity pouze na stanovený účel</w:t>
      </w:r>
      <w:r w:rsidR="00313117">
        <w:t>.</w:t>
      </w:r>
      <w:r w:rsidR="00313117" w:rsidRPr="66C4E76E">
        <w:rPr>
          <w:b/>
          <w:bCs/>
        </w:rPr>
        <w:t xml:space="preserve"> Prostředky podle věty první, které na stanovený účel nebyly použity, podléhají finančnímu vypořádání se státním rozpočtem za rok, ve kterém byl projekt ukončen</w:t>
      </w:r>
      <w:r w:rsidRPr="00864149">
        <w:t>.</w:t>
      </w:r>
    </w:p>
    <w:p w14:paraId="22CE0BC7" w14:textId="77777777" w:rsidR="0099047B" w:rsidRDefault="0099047B" w:rsidP="00A84DD3">
      <w:pPr>
        <w:pStyle w:val="Textparagrafu"/>
        <w:tabs>
          <w:tab w:val="left" w:pos="392"/>
          <w:tab w:val="left" w:pos="840"/>
        </w:tabs>
        <w:spacing w:before="120" w:after="120"/>
      </w:pPr>
      <w:r w:rsidRPr="00864149">
        <w:t>(3)</w:t>
      </w:r>
      <w:r>
        <w:t xml:space="preserve"> </w:t>
      </w:r>
      <w:r w:rsidRPr="00864149">
        <w:t>Rozpočet</w:t>
      </w:r>
      <w:r>
        <w:t xml:space="preserve"> </w:t>
      </w:r>
      <w:r w:rsidRPr="00864149">
        <w:t>zřizovatele</w:t>
      </w:r>
      <w:r>
        <w:t xml:space="preserve"> </w:t>
      </w:r>
      <w:r w:rsidRPr="00864149">
        <w:t>zprostředkovává</w:t>
      </w:r>
      <w:r>
        <w:t xml:space="preserve"> </w:t>
      </w:r>
      <w:r w:rsidRPr="00864149">
        <w:t>vztah</w:t>
      </w:r>
      <w:r>
        <w:t xml:space="preserve"> </w:t>
      </w:r>
      <w:r w:rsidRPr="00864149">
        <w:t>školské</w:t>
      </w:r>
      <w:r>
        <w:t xml:space="preserve"> </w:t>
      </w:r>
      <w:r w:rsidRPr="00864149">
        <w:t>právnické</w:t>
      </w:r>
      <w:r>
        <w:t xml:space="preserve"> </w:t>
      </w:r>
      <w:r w:rsidRPr="00864149">
        <w:t>osoby</w:t>
      </w:r>
      <w:r>
        <w:t xml:space="preserve"> </w:t>
      </w:r>
      <w:r w:rsidRPr="00864149">
        <w:t>zřizované</w:t>
      </w:r>
      <w:r>
        <w:t xml:space="preserve"> </w:t>
      </w:r>
      <w:r w:rsidRPr="00864149">
        <w:t>krajem,</w:t>
      </w:r>
      <w:r>
        <w:t xml:space="preserve"> </w:t>
      </w:r>
      <w:r w:rsidRPr="00864149">
        <w:t>obcí</w:t>
      </w:r>
      <w:r>
        <w:t xml:space="preserve"> </w:t>
      </w:r>
      <w:r w:rsidRPr="00864149">
        <w:t>nebo</w:t>
      </w:r>
      <w:r>
        <w:t xml:space="preserve"> </w:t>
      </w:r>
      <w:r w:rsidRPr="00864149">
        <w:t>svazkem</w:t>
      </w:r>
      <w:r>
        <w:t xml:space="preserve"> </w:t>
      </w:r>
      <w:r w:rsidRPr="00864149">
        <w:t>obcí</w:t>
      </w:r>
      <w:r>
        <w:t xml:space="preserve"> </w:t>
      </w:r>
      <w:r w:rsidRPr="00864149">
        <w:t>ke</w:t>
      </w:r>
      <w:r>
        <w:t xml:space="preserve"> </w:t>
      </w:r>
      <w:r w:rsidRPr="00864149">
        <w:t>státnímu</w:t>
      </w:r>
      <w:r>
        <w:t xml:space="preserve"> </w:t>
      </w:r>
      <w:r w:rsidRPr="00864149">
        <w:t>rozpočtu.</w:t>
      </w:r>
    </w:p>
    <w:p w14:paraId="55A68D03" w14:textId="42F2A3BF" w:rsidR="0099047B" w:rsidRDefault="0099047B" w:rsidP="00C7268B">
      <w:pPr>
        <w:pStyle w:val="Textparagrafu"/>
        <w:tabs>
          <w:tab w:val="left" w:pos="392"/>
          <w:tab w:val="left" w:pos="840"/>
        </w:tabs>
        <w:spacing w:after="120"/>
        <w:ind w:firstLine="0"/>
        <w:jc w:val="center"/>
      </w:pPr>
      <w:r w:rsidRPr="00864149">
        <w:t>§</w:t>
      </w:r>
      <w:r>
        <w:t xml:space="preserve"> </w:t>
      </w:r>
      <w:r w:rsidRPr="00864149">
        <w:t>134</w:t>
      </w:r>
    </w:p>
    <w:p w14:paraId="717C7D02" w14:textId="77777777" w:rsidR="0099047B" w:rsidRPr="00C7268B" w:rsidRDefault="0099047B" w:rsidP="00C7268B">
      <w:pPr>
        <w:pStyle w:val="Textparagrafu"/>
        <w:tabs>
          <w:tab w:val="left" w:pos="392"/>
          <w:tab w:val="left" w:pos="840"/>
        </w:tabs>
        <w:spacing w:after="120"/>
        <w:ind w:firstLine="0"/>
        <w:jc w:val="center"/>
        <w:rPr>
          <w:b/>
        </w:rPr>
      </w:pPr>
      <w:r w:rsidRPr="00C7268B">
        <w:rPr>
          <w:b/>
        </w:rPr>
        <w:t>Základní pravidla hospodaření školské právnické osoby</w:t>
      </w:r>
    </w:p>
    <w:p w14:paraId="4FD4BC86" w14:textId="19FA8F82" w:rsidR="0099047B" w:rsidRDefault="0099047B" w:rsidP="00A84DD3">
      <w:pPr>
        <w:pStyle w:val="Textparagrafu"/>
        <w:tabs>
          <w:tab w:val="left" w:pos="392"/>
          <w:tab w:val="left" w:pos="840"/>
        </w:tabs>
        <w:spacing w:before="120" w:after="120"/>
      </w:pPr>
      <w:r w:rsidRPr="00A42EE9">
        <w:rPr>
          <w:strike/>
        </w:rPr>
        <w:lastRenderedPageBreak/>
        <w:t>(1)</w:t>
      </w:r>
      <w:r>
        <w:t xml:space="preserve"> </w:t>
      </w:r>
      <w:r w:rsidRPr="00864149">
        <w:t>Školská</w:t>
      </w:r>
      <w:r>
        <w:t xml:space="preserve"> </w:t>
      </w:r>
      <w:r w:rsidRPr="00864149">
        <w:t>právnická</w:t>
      </w:r>
      <w:r>
        <w:t xml:space="preserve"> </w:t>
      </w:r>
      <w:r w:rsidRPr="00864149">
        <w:t>osoba</w:t>
      </w:r>
      <w:r>
        <w:t xml:space="preserve"> </w:t>
      </w:r>
      <w:r w:rsidRPr="00864149">
        <w:t>hospodaří</w:t>
      </w:r>
      <w:r>
        <w:t xml:space="preserve"> </w:t>
      </w:r>
      <w:r w:rsidRPr="00864149">
        <w:t>s</w:t>
      </w:r>
      <w:r>
        <w:t xml:space="preserve"> </w:t>
      </w:r>
      <w:r w:rsidRPr="00864149">
        <w:t>příjmy</w:t>
      </w:r>
      <w:r>
        <w:t xml:space="preserve"> </w:t>
      </w:r>
      <w:r w:rsidRPr="00864149">
        <w:t>podle</w:t>
      </w:r>
      <w:r>
        <w:t xml:space="preserve"> </w:t>
      </w:r>
      <w:r w:rsidRPr="00864149">
        <w:t>§</w:t>
      </w:r>
      <w:r>
        <w:t xml:space="preserve"> </w:t>
      </w:r>
      <w:r w:rsidRPr="00864149">
        <w:t>133</w:t>
      </w:r>
      <w:r>
        <w:t xml:space="preserve"> </w:t>
      </w:r>
      <w:r w:rsidRPr="00864149">
        <w:t>odst.</w:t>
      </w:r>
      <w:r>
        <w:t xml:space="preserve"> </w:t>
      </w:r>
      <w:r w:rsidRPr="00864149">
        <w:t>1,</w:t>
      </w:r>
      <w:r>
        <w:t xml:space="preserve"> </w:t>
      </w:r>
      <w:r w:rsidRPr="00864149">
        <w:t>s</w:t>
      </w:r>
      <w:r>
        <w:t xml:space="preserve"> </w:t>
      </w:r>
      <w:r w:rsidRPr="00864149">
        <w:t>prostředky</w:t>
      </w:r>
      <w:r>
        <w:t xml:space="preserve"> </w:t>
      </w:r>
      <w:r w:rsidRPr="00864149">
        <w:t>svých</w:t>
      </w:r>
      <w:r>
        <w:t xml:space="preserve"> </w:t>
      </w:r>
      <w:r w:rsidRPr="00864149">
        <w:t>peněžních</w:t>
      </w:r>
      <w:r>
        <w:t xml:space="preserve"> </w:t>
      </w:r>
      <w:r w:rsidRPr="00864149">
        <w:t>fondů,</w:t>
      </w:r>
      <w:r>
        <w:t xml:space="preserve"> </w:t>
      </w:r>
      <w:r w:rsidRPr="00864149">
        <w:t>s</w:t>
      </w:r>
      <w:r>
        <w:t xml:space="preserve"> </w:t>
      </w:r>
      <w:r w:rsidRPr="00864149">
        <w:t>ostatním</w:t>
      </w:r>
      <w:r>
        <w:t xml:space="preserve"> </w:t>
      </w:r>
      <w:r w:rsidRPr="00864149">
        <w:t>majetkem,</w:t>
      </w:r>
      <w:r>
        <w:t xml:space="preserve"> </w:t>
      </w:r>
      <w:r w:rsidRPr="00EA042A">
        <w:rPr>
          <w:strike/>
        </w:rPr>
        <w:t>závazky</w:t>
      </w:r>
      <w:r>
        <w:t xml:space="preserve"> </w:t>
      </w:r>
      <w:r w:rsidR="00EA042A">
        <w:rPr>
          <w:b/>
        </w:rPr>
        <w:t xml:space="preserve">dluhy </w:t>
      </w:r>
      <w:r w:rsidRPr="00864149">
        <w:t>a</w:t>
      </w:r>
      <w:r>
        <w:t xml:space="preserve"> </w:t>
      </w:r>
      <w:r w:rsidRPr="00864149">
        <w:t>pohledávkami.</w:t>
      </w:r>
      <w:r>
        <w:t xml:space="preserve"> </w:t>
      </w:r>
      <w:r w:rsidRPr="00864149">
        <w:t>Školská</w:t>
      </w:r>
      <w:r>
        <w:t xml:space="preserve"> </w:t>
      </w:r>
      <w:r w:rsidRPr="00864149">
        <w:t>právnická</w:t>
      </w:r>
      <w:r>
        <w:t xml:space="preserve"> </w:t>
      </w:r>
      <w:r w:rsidRPr="00864149">
        <w:t>osoba</w:t>
      </w:r>
      <w:r>
        <w:t xml:space="preserve"> </w:t>
      </w:r>
      <w:r w:rsidRPr="00864149">
        <w:t>používá</w:t>
      </w:r>
      <w:r>
        <w:t xml:space="preserve"> </w:t>
      </w:r>
      <w:r w:rsidRPr="00864149">
        <w:t>majetek</w:t>
      </w:r>
      <w:r>
        <w:t xml:space="preserve"> </w:t>
      </w:r>
      <w:r w:rsidRPr="00864149">
        <w:t>pro</w:t>
      </w:r>
      <w:r>
        <w:t xml:space="preserve"> </w:t>
      </w:r>
      <w:r w:rsidRPr="00864149">
        <w:t>účely</w:t>
      </w:r>
      <w:r>
        <w:t xml:space="preserve"> </w:t>
      </w:r>
      <w:r w:rsidRPr="00864149">
        <w:t>své</w:t>
      </w:r>
      <w:r>
        <w:t xml:space="preserve"> </w:t>
      </w:r>
      <w:r w:rsidRPr="00864149">
        <w:t>hlavní</w:t>
      </w:r>
      <w:r>
        <w:t xml:space="preserve"> </w:t>
      </w:r>
      <w:r w:rsidRPr="00864149">
        <w:t>činnosti,</w:t>
      </w:r>
      <w:r>
        <w:t xml:space="preserve"> </w:t>
      </w:r>
      <w:r w:rsidRPr="00864149">
        <w:t>pokud</w:t>
      </w:r>
      <w:r>
        <w:t xml:space="preserve"> </w:t>
      </w:r>
      <w:r w:rsidRPr="00864149">
        <w:t>tento</w:t>
      </w:r>
      <w:r>
        <w:t xml:space="preserve"> </w:t>
      </w:r>
      <w:r w:rsidRPr="00864149">
        <w:t>zákon</w:t>
      </w:r>
      <w:r>
        <w:t xml:space="preserve"> </w:t>
      </w:r>
      <w:r w:rsidRPr="00864149">
        <w:t>nestanoví</w:t>
      </w:r>
      <w:r>
        <w:t xml:space="preserve"> </w:t>
      </w:r>
      <w:r w:rsidRPr="00864149">
        <w:t>jinak.</w:t>
      </w:r>
      <w:r>
        <w:t xml:space="preserve"> </w:t>
      </w:r>
      <w:r w:rsidRPr="00864149">
        <w:t>Hospodaření</w:t>
      </w:r>
      <w:r>
        <w:t xml:space="preserve"> </w:t>
      </w:r>
      <w:r w:rsidRPr="00864149">
        <w:t>školské</w:t>
      </w:r>
      <w:r>
        <w:t xml:space="preserve"> </w:t>
      </w:r>
      <w:r w:rsidRPr="00864149">
        <w:t>právnické</w:t>
      </w:r>
      <w:r>
        <w:t xml:space="preserve"> </w:t>
      </w:r>
      <w:r w:rsidRPr="00864149">
        <w:t>osoby</w:t>
      </w:r>
      <w:r>
        <w:t xml:space="preserve"> </w:t>
      </w:r>
      <w:r w:rsidRPr="00864149">
        <w:t>v</w:t>
      </w:r>
      <w:r>
        <w:t xml:space="preserve"> </w:t>
      </w:r>
      <w:r w:rsidRPr="00864149">
        <w:t>hlavní</w:t>
      </w:r>
      <w:r>
        <w:t xml:space="preserve"> </w:t>
      </w:r>
      <w:r w:rsidRPr="00864149">
        <w:t>činnosti</w:t>
      </w:r>
      <w:r>
        <w:t xml:space="preserve"> </w:t>
      </w:r>
      <w:r w:rsidRPr="00864149">
        <w:t>se</w:t>
      </w:r>
      <w:r>
        <w:t xml:space="preserve"> </w:t>
      </w:r>
      <w:r w:rsidRPr="00864149">
        <w:t>řídí</w:t>
      </w:r>
      <w:r>
        <w:t xml:space="preserve"> </w:t>
      </w:r>
      <w:r w:rsidRPr="00864149">
        <w:t>jejím</w:t>
      </w:r>
      <w:r>
        <w:t xml:space="preserve"> </w:t>
      </w:r>
      <w:r w:rsidRPr="00864149">
        <w:t>rozpočtem.</w:t>
      </w:r>
      <w:r>
        <w:t xml:space="preserve"> </w:t>
      </w:r>
      <w:r w:rsidRPr="00864149">
        <w:t>Rozpočet</w:t>
      </w:r>
      <w:r>
        <w:t xml:space="preserve"> </w:t>
      </w:r>
      <w:r w:rsidRPr="00864149">
        <w:t>hlavní</w:t>
      </w:r>
      <w:r>
        <w:t xml:space="preserve"> </w:t>
      </w:r>
      <w:r w:rsidRPr="00864149">
        <w:t>činnosti</w:t>
      </w:r>
      <w:r>
        <w:t xml:space="preserve"> </w:t>
      </w:r>
      <w:r w:rsidRPr="00864149">
        <w:t>školské</w:t>
      </w:r>
      <w:r>
        <w:t xml:space="preserve"> </w:t>
      </w:r>
      <w:r w:rsidRPr="00864149">
        <w:t>právnické</w:t>
      </w:r>
      <w:r>
        <w:t xml:space="preserve"> </w:t>
      </w:r>
      <w:r w:rsidRPr="00864149">
        <w:t>osoby</w:t>
      </w:r>
      <w:r>
        <w:t xml:space="preserve"> </w:t>
      </w:r>
      <w:r w:rsidRPr="00864149">
        <w:t>může</w:t>
      </w:r>
      <w:r>
        <w:t xml:space="preserve"> </w:t>
      </w:r>
      <w:r w:rsidRPr="00864149">
        <w:t>zahrnovat</w:t>
      </w:r>
      <w:r>
        <w:t xml:space="preserve"> </w:t>
      </w:r>
      <w:r w:rsidRPr="00864149">
        <w:t>pouze</w:t>
      </w:r>
      <w:r>
        <w:t xml:space="preserve"> </w:t>
      </w:r>
      <w:r w:rsidRPr="00864149">
        <w:t>příjmy</w:t>
      </w:r>
      <w:r>
        <w:t xml:space="preserve"> </w:t>
      </w:r>
      <w:r w:rsidRPr="00864149">
        <w:t>a</w:t>
      </w:r>
      <w:r>
        <w:t xml:space="preserve"> </w:t>
      </w:r>
      <w:r w:rsidRPr="00864149">
        <w:t>výdaje</w:t>
      </w:r>
      <w:r>
        <w:t xml:space="preserve"> </w:t>
      </w:r>
      <w:r w:rsidRPr="00864149">
        <w:t>související</w:t>
      </w:r>
      <w:r>
        <w:t xml:space="preserve"> </w:t>
      </w:r>
      <w:r w:rsidRPr="00864149">
        <w:t>s</w:t>
      </w:r>
      <w:r>
        <w:t xml:space="preserve"> </w:t>
      </w:r>
      <w:r w:rsidRPr="00864149">
        <w:t>její</w:t>
      </w:r>
      <w:r>
        <w:t xml:space="preserve"> </w:t>
      </w:r>
      <w:r w:rsidRPr="00864149">
        <w:t>hlavní</w:t>
      </w:r>
      <w:r>
        <w:t xml:space="preserve"> </w:t>
      </w:r>
      <w:r w:rsidRPr="00864149">
        <w:t>činností.</w:t>
      </w:r>
      <w:r>
        <w:t xml:space="preserve"> </w:t>
      </w:r>
      <w:r w:rsidRPr="00864149">
        <w:t>Příjmy</w:t>
      </w:r>
      <w:r>
        <w:t xml:space="preserve"> </w:t>
      </w:r>
      <w:r w:rsidRPr="00864149">
        <w:t>získané</w:t>
      </w:r>
      <w:r>
        <w:t xml:space="preserve"> </w:t>
      </w:r>
      <w:r w:rsidRPr="00864149">
        <w:t>hlavní</w:t>
      </w:r>
      <w:r>
        <w:t xml:space="preserve"> </w:t>
      </w:r>
      <w:r w:rsidRPr="00864149">
        <w:t>činností</w:t>
      </w:r>
      <w:r>
        <w:t xml:space="preserve"> </w:t>
      </w:r>
      <w:r w:rsidRPr="00864149">
        <w:t>školské</w:t>
      </w:r>
      <w:r>
        <w:t xml:space="preserve"> </w:t>
      </w:r>
      <w:r w:rsidRPr="00864149">
        <w:t>právnické</w:t>
      </w:r>
      <w:r>
        <w:t xml:space="preserve"> </w:t>
      </w:r>
      <w:r w:rsidRPr="00864149">
        <w:t>osoby</w:t>
      </w:r>
      <w:r>
        <w:t xml:space="preserve"> </w:t>
      </w:r>
      <w:r w:rsidRPr="00864149">
        <w:t>lze</w:t>
      </w:r>
      <w:r>
        <w:t xml:space="preserve"> </w:t>
      </w:r>
      <w:r w:rsidRPr="00864149">
        <w:t>použít</w:t>
      </w:r>
      <w:r>
        <w:t xml:space="preserve"> </w:t>
      </w:r>
      <w:r w:rsidRPr="00864149">
        <w:t>pouze</w:t>
      </w:r>
      <w:r>
        <w:t xml:space="preserve"> </w:t>
      </w:r>
      <w:r w:rsidRPr="00864149">
        <w:t>na</w:t>
      </w:r>
      <w:r>
        <w:t xml:space="preserve"> </w:t>
      </w:r>
      <w:r w:rsidRPr="00864149">
        <w:t>tuto</w:t>
      </w:r>
      <w:r>
        <w:t xml:space="preserve"> </w:t>
      </w:r>
      <w:r w:rsidRPr="00864149">
        <w:t>hlavní</w:t>
      </w:r>
      <w:r>
        <w:t xml:space="preserve"> </w:t>
      </w:r>
      <w:r w:rsidRPr="00864149">
        <w:t>činnost.</w:t>
      </w:r>
    </w:p>
    <w:p w14:paraId="2F5131D4" w14:textId="77777777" w:rsidR="0099047B" w:rsidRPr="001009D7" w:rsidRDefault="0099047B" w:rsidP="00A84DD3">
      <w:pPr>
        <w:pStyle w:val="Textparagrafu"/>
        <w:tabs>
          <w:tab w:val="left" w:pos="392"/>
          <w:tab w:val="left" w:pos="840"/>
        </w:tabs>
        <w:spacing w:before="120" w:after="120"/>
        <w:rPr>
          <w:strike/>
        </w:rPr>
      </w:pPr>
      <w:r w:rsidRPr="001009D7">
        <w:rPr>
          <w:strike/>
        </w:rPr>
        <w:t>(2) Školská právnická osoba tvoří výsledek hospodaření sloučením výsledku hospodaření z hlavní činnosti a zisku z doplňkové činnosti po zdanění; výsledek hospodaření se tvoří po vypořádání finančních prostředků státního rozpočtu. Školská právnická osoba používá zlepšený výsledek hospodaření přednostně k úhradě případné ztráty z hlavní činnosti z minulých let a dále z něj tvoří peněžní fondy.</w:t>
      </w:r>
    </w:p>
    <w:p w14:paraId="58F160FD" w14:textId="6DA856AE" w:rsidR="0099047B" w:rsidRDefault="0099047B" w:rsidP="00C7268B">
      <w:pPr>
        <w:pStyle w:val="Textparagrafu"/>
        <w:tabs>
          <w:tab w:val="left" w:pos="392"/>
          <w:tab w:val="left" w:pos="840"/>
        </w:tabs>
        <w:spacing w:after="120"/>
        <w:ind w:firstLine="0"/>
        <w:jc w:val="center"/>
      </w:pPr>
      <w:r w:rsidRPr="00864149">
        <w:t>§</w:t>
      </w:r>
      <w:r>
        <w:t xml:space="preserve"> </w:t>
      </w:r>
      <w:r w:rsidRPr="00864149">
        <w:t>135</w:t>
      </w:r>
    </w:p>
    <w:p w14:paraId="3F22B4FC" w14:textId="77777777" w:rsidR="0099047B" w:rsidRPr="00C7268B" w:rsidRDefault="0099047B" w:rsidP="00C7268B">
      <w:pPr>
        <w:pStyle w:val="Textparagrafu"/>
        <w:tabs>
          <w:tab w:val="left" w:pos="392"/>
          <w:tab w:val="left" w:pos="840"/>
        </w:tabs>
        <w:spacing w:after="120"/>
        <w:ind w:firstLine="0"/>
        <w:jc w:val="center"/>
        <w:rPr>
          <w:b/>
        </w:rPr>
      </w:pPr>
      <w:r w:rsidRPr="00C7268B">
        <w:rPr>
          <w:b/>
        </w:rPr>
        <w:t>Doplňková činnost</w:t>
      </w:r>
    </w:p>
    <w:p w14:paraId="3185F0AE" w14:textId="77777777" w:rsidR="0099047B" w:rsidRDefault="0099047B" w:rsidP="00A84DD3">
      <w:pPr>
        <w:pStyle w:val="Textparagrafu"/>
        <w:tabs>
          <w:tab w:val="left" w:pos="392"/>
          <w:tab w:val="left" w:pos="840"/>
        </w:tabs>
        <w:spacing w:before="120" w:after="120"/>
      </w:pPr>
      <w:r w:rsidRPr="00864149">
        <w:t>(1)</w:t>
      </w:r>
      <w:r>
        <w:t xml:space="preserve"> </w:t>
      </w:r>
      <w:r w:rsidRPr="00864149">
        <w:t>Školská</w:t>
      </w:r>
      <w:r>
        <w:t xml:space="preserve"> </w:t>
      </w:r>
      <w:r w:rsidRPr="00864149">
        <w:t>právnická</w:t>
      </w:r>
      <w:r>
        <w:t xml:space="preserve"> </w:t>
      </w:r>
      <w:r w:rsidRPr="00864149">
        <w:t>osoba</w:t>
      </w:r>
      <w:r>
        <w:t xml:space="preserve"> </w:t>
      </w:r>
      <w:r w:rsidRPr="00864149">
        <w:t>může</w:t>
      </w:r>
      <w:r>
        <w:t xml:space="preserve"> </w:t>
      </w:r>
      <w:r w:rsidRPr="00864149">
        <w:t>vedle</w:t>
      </w:r>
      <w:r>
        <w:t xml:space="preserve"> </w:t>
      </w:r>
      <w:r w:rsidRPr="00864149">
        <w:t>své</w:t>
      </w:r>
      <w:r>
        <w:t xml:space="preserve"> </w:t>
      </w:r>
      <w:r w:rsidRPr="00864149">
        <w:t>hlavní</w:t>
      </w:r>
      <w:r>
        <w:t xml:space="preserve"> </w:t>
      </w:r>
      <w:r w:rsidRPr="00864149">
        <w:t>činnosti</w:t>
      </w:r>
      <w:r>
        <w:t xml:space="preserve"> </w:t>
      </w:r>
      <w:r w:rsidRPr="00864149">
        <w:t>vykonávat</w:t>
      </w:r>
      <w:r>
        <w:t xml:space="preserve"> </w:t>
      </w:r>
      <w:r w:rsidRPr="00864149">
        <w:t>doplňkovou</w:t>
      </w:r>
      <w:r>
        <w:t xml:space="preserve"> </w:t>
      </w:r>
      <w:r w:rsidRPr="00864149">
        <w:t>činnost.</w:t>
      </w:r>
    </w:p>
    <w:p w14:paraId="7A6F0179" w14:textId="77777777" w:rsidR="0099047B" w:rsidRDefault="0099047B" w:rsidP="00A84DD3">
      <w:pPr>
        <w:pStyle w:val="Textparagrafu"/>
        <w:tabs>
          <w:tab w:val="left" w:pos="392"/>
          <w:tab w:val="left" w:pos="840"/>
        </w:tabs>
        <w:spacing w:before="120" w:after="120"/>
      </w:pPr>
      <w:r w:rsidRPr="00864149">
        <w:t>(2)</w:t>
      </w:r>
      <w:r>
        <w:t xml:space="preserve"> </w:t>
      </w:r>
      <w:r w:rsidRPr="00864149">
        <w:t>V</w:t>
      </w:r>
      <w:r>
        <w:t xml:space="preserve"> </w:t>
      </w:r>
      <w:r w:rsidRPr="00864149">
        <w:t>doplňkové</w:t>
      </w:r>
      <w:r>
        <w:t xml:space="preserve"> </w:t>
      </w:r>
      <w:r w:rsidRPr="00864149">
        <w:t>činnosti</w:t>
      </w:r>
      <w:r>
        <w:t xml:space="preserve"> </w:t>
      </w:r>
      <w:r w:rsidRPr="00864149">
        <w:t>školská</w:t>
      </w:r>
      <w:r>
        <w:t xml:space="preserve"> </w:t>
      </w:r>
      <w:r w:rsidRPr="00864149">
        <w:t>právnická</w:t>
      </w:r>
      <w:r>
        <w:t xml:space="preserve"> </w:t>
      </w:r>
      <w:r w:rsidRPr="00864149">
        <w:t>osoba</w:t>
      </w:r>
      <w:r>
        <w:t xml:space="preserve"> </w:t>
      </w:r>
      <w:r w:rsidRPr="00864149">
        <w:t>vykonává</w:t>
      </w:r>
      <w:r>
        <w:t xml:space="preserve"> </w:t>
      </w:r>
      <w:r w:rsidRPr="00864149">
        <w:t>činnosti</w:t>
      </w:r>
      <w:r>
        <w:t xml:space="preserve"> </w:t>
      </w:r>
      <w:r w:rsidRPr="00864149">
        <w:t>navazující</w:t>
      </w:r>
      <w:r>
        <w:t xml:space="preserve"> </w:t>
      </w:r>
      <w:r w:rsidRPr="00864149">
        <w:t>na</w:t>
      </w:r>
      <w:r>
        <w:t xml:space="preserve"> </w:t>
      </w:r>
      <w:r w:rsidRPr="00864149">
        <w:t>její</w:t>
      </w:r>
      <w:r>
        <w:t xml:space="preserve"> </w:t>
      </w:r>
      <w:r w:rsidRPr="00864149">
        <w:t>hlavní</w:t>
      </w:r>
      <w:r>
        <w:t xml:space="preserve"> </w:t>
      </w:r>
      <w:r w:rsidRPr="00864149">
        <w:t>činnost</w:t>
      </w:r>
      <w:r>
        <w:t xml:space="preserve"> </w:t>
      </w:r>
      <w:r w:rsidRPr="00864149">
        <w:t>nebo</w:t>
      </w:r>
      <w:r>
        <w:t xml:space="preserve"> </w:t>
      </w:r>
      <w:r w:rsidRPr="00864149">
        <w:t>činnosti</w:t>
      </w:r>
      <w:r>
        <w:t xml:space="preserve"> </w:t>
      </w:r>
      <w:r w:rsidRPr="00864149">
        <w:t>sloužící</w:t>
      </w:r>
      <w:r>
        <w:t xml:space="preserve"> </w:t>
      </w:r>
      <w:r w:rsidRPr="00864149">
        <w:t>k</w:t>
      </w:r>
      <w:r>
        <w:t xml:space="preserve"> </w:t>
      </w:r>
      <w:r w:rsidRPr="00864149">
        <w:t>účelnějšímu</w:t>
      </w:r>
      <w:r>
        <w:t xml:space="preserve"> </w:t>
      </w:r>
      <w:r w:rsidRPr="00864149">
        <w:t>využití</w:t>
      </w:r>
      <w:r>
        <w:t xml:space="preserve"> </w:t>
      </w:r>
      <w:r w:rsidRPr="00864149">
        <w:t>odbornosti</w:t>
      </w:r>
      <w:r>
        <w:t xml:space="preserve"> </w:t>
      </w:r>
      <w:r w:rsidRPr="00864149">
        <w:t>jejích</w:t>
      </w:r>
      <w:r>
        <w:t xml:space="preserve"> </w:t>
      </w:r>
      <w:r w:rsidRPr="00864149">
        <w:t>zaměstnanců</w:t>
      </w:r>
      <w:r>
        <w:t xml:space="preserve"> </w:t>
      </w:r>
      <w:r w:rsidRPr="00864149">
        <w:t>a</w:t>
      </w:r>
      <w:r>
        <w:t xml:space="preserve"> </w:t>
      </w:r>
      <w:r w:rsidRPr="00864149">
        <w:t>majetku.</w:t>
      </w:r>
      <w:r>
        <w:t xml:space="preserve"> </w:t>
      </w:r>
      <w:r w:rsidRPr="00864149">
        <w:t>Doplňková</w:t>
      </w:r>
      <w:r>
        <w:t xml:space="preserve"> </w:t>
      </w:r>
      <w:r w:rsidRPr="00864149">
        <w:t>činnost</w:t>
      </w:r>
      <w:r>
        <w:t xml:space="preserve"> </w:t>
      </w:r>
      <w:r w:rsidRPr="00864149">
        <w:t>nesmí</w:t>
      </w:r>
      <w:r>
        <w:t xml:space="preserve"> </w:t>
      </w:r>
      <w:r w:rsidRPr="00864149">
        <w:t>být</w:t>
      </w:r>
      <w:r>
        <w:t xml:space="preserve"> </w:t>
      </w:r>
      <w:r w:rsidRPr="00864149">
        <w:t>provozována</w:t>
      </w:r>
      <w:r>
        <w:t xml:space="preserve"> </w:t>
      </w:r>
      <w:r w:rsidRPr="00864149">
        <w:t>způsobem,</w:t>
      </w:r>
      <w:r>
        <w:t xml:space="preserve"> </w:t>
      </w:r>
      <w:r w:rsidRPr="00864149">
        <w:t>který</w:t>
      </w:r>
      <w:r>
        <w:t xml:space="preserve"> </w:t>
      </w:r>
      <w:r w:rsidRPr="00864149">
        <w:t>by</w:t>
      </w:r>
      <w:r>
        <w:t xml:space="preserve"> </w:t>
      </w:r>
      <w:r w:rsidRPr="00864149">
        <w:t>omezoval</w:t>
      </w:r>
      <w:r>
        <w:t xml:space="preserve"> </w:t>
      </w:r>
      <w:r w:rsidRPr="00864149">
        <w:t>hlavní</w:t>
      </w:r>
      <w:r>
        <w:t xml:space="preserve"> </w:t>
      </w:r>
      <w:r w:rsidRPr="00864149">
        <w:t>činnost</w:t>
      </w:r>
      <w:r>
        <w:t xml:space="preserve"> </w:t>
      </w:r>
      <w:r w:rsidRPr="00864149">
        <w:t>školské</w:t>
      </w:r>
      <w:r>
        <w:t xml:space="preserve"> </w:t>
      </w:r>
      <w:r w:rsidRPr="00864149">
        <w:t>právnické</w:t>
      </w:r>
      <w:r>
        <w:t xml:space="preserve"> </w:t>
      </w:r>
      <w:r w:rsidRPr="00864149">
        <w:t>osoby</w:t>
      </w:r>
      <w:r>
        <w:t xml:space="preserve"> </w:t>
      </w:r>
      <w:r w:rsidRPr="00864149">
        <w:t>nebo</w:t>
      </w:r>
      <w:r>
        <w:t xml:space="preserve"> </w:t>
      </w:r>
      <w:r w:rsidRPr="00864149">
        <w:t>ohrožoval</w:t>
      </w:r>
      <w:r>
        <w:t xml:space="preserve"> </w:t>
      </w:r>
      <w:r w:rsidRPr="00864149">
        <w:t>její</w:t>
      </w:r>
      <w:r>
        <w:t xml:space="preserve"> </w:t>
      </w:r>
      <w:r w:rsidRPr="00864149">
        <w:t>kvalitu,</w:t>
      </w:r>
      <w:r>
        <w:t xml:space="preserve"> </w:t>
      </w:r>
      <w:r w:rsidRPr="00864149">
        <w:t>rozsah</w:t>
      </w:r>
      <w:r>
        <w:t xml:space="preserve"> </w:t>
      </w:r>
      <w:r w:rsidRPr="00864149">
        <w:t>a</w:t>
      </w:r>
      <w:r>
        <w:t xml:space="preserve"> </w:t>
      </w:r>
      <w:r w:rsidRPr="00864149">
        <w:t>dostupnost.</w:t>
      </w:r>
    </w:p>
    <w:p w14:paraId="0F987CFD" w14:textId="0D18DCC1" w:rsidR="0099047B" w:rsidRDefault="0099047B" w:rsidP="00A84DD3">
      <w:pPr>
        <w:pStyle w:val="Textparagrafu"/>
        <w:tabs>
          <w:tab w:val="left" w:pos="392"/>
          <w:tab w:val="left" w:pos="840"/>
        </w:tabs>
        <w:spacing w:before="120" w:after="120"/>
      </w:pPr>
      <w:r w:rsidRPr="00864149">
        <w:t>(3)</w:t>
      </w:r>
      <w:r>
        <w:t xml:space="preserve"> </w:t>
      </w:r>
      <w:r w:rsidRPr="00864149">
        <w:t>Doplňková</w:t>
      </w:r>
      <w:r>
        <w:t xml:space="preserve"> </w:t>
      </w:r>
      <w:r w:rsidRPr="00864149">
        <w:t>činnost</w:t>
      </w:r>
      <w:r>
        <w:t xml:space="preserve"> </w:t>
      </w:r>
      <w:r w:rsidRPr="00864149">
        <w:t>nesmí</w:t>
      </w:r>
      <w:r>
        <w:t xml:space="preserve"> </w:t>
      </w:r>
      <w:r w:rsidRPr="00864149">
        <w:t>být</w:t>
      </w:r>
      <w:r>
        <w:t xml:space="preserve"> </w:t>
      </w:r>
      <w:r w:rsidRPr="00864149">
        <w:t>financována</w:t>
      </w:r>
      <w:r>
        <w:t xml:space="preserve"> </w:t>
      </w:r>
      <w:r w:rsidRPr="00864149">
        <w:t>z</w:t>
      </w:r>
      <w:r>
        <w:t xml:space="preserve"> </w:t>
      </w:r>
      <w:r w:rsidRPr="001009D7">
        <w:rPr>
          <w:strike/>
        </w:rPr>
        <w:t>finančních</w:t>
      </w:r>
      <w:r>
        <w:t xml:space="preserve"> </w:t>
      </w:r>
      <w:r w:rsidR="001009D7">
        <w:rPr>
          <w:b/>
        </w:rPr>
        <w:t xml:space="preserve">peněžních </w:t>
      </w:r>
      <w:r w:rsidRPr="00864149">
        <w:t>prostředků</w:t>
      </w:r>
      <w:r>
        <w:t xml:space="preserve"> </w:t>
      </w:r>
      <w:r w:rsidRPr="00864149">
        <w:t>státního</w:t>
      </w:r>
      <w:r>
        <w:t xml:space="preserve"> </w:t>
      </w:r>
      <w:r w:rsidRPr="00864149">
        <w:t>rozpočtu</w:t>
      </w:r>
      <w:r>
        <w:t xml:space="preserve"> </w:t>
      </w:r>
      <w:r w:rsidRPr="00864149">
        <w:t>přidělených</w:t>
      </w:r>
      <w:r>
        <w:t xml:space="preserve"> </w:t>
      </w:r>
      <w:r w:rsidRPr="00864149">
        <w:t>podle</w:t>
      </w:r>
      <w:r>
        <w:t xml:space="preserve"> </w:t>
      </w:r>
      <w:r w:rsidRPr="00864149">
        <w:t>tohoto</w:t>
      </w:r>
      <w:r>
        <w:t xml:space="preserve"> </w:t>
      </w:r>
      <w:r w:rsidRPr="00864149">
        <w:t>zákona</w:t>
      </w:r>
      <w:r>
        <w:t xml:space="preserve"> </w:t>
      </w:r>
      <w:r w:rsidRPr="00864149">
        <w:t>s</w:t>
      </w:r>
      <w:r>
        <w:t xml:space="preserve"> </w:t>
      </w:r>
      <w:r w:rsidRPr="00864149">
        <w:t>výjimkou</w:t>
      </w:r>
      <w:r>
        <w:t xml:space="preserve"> </w:t>
      </w:r>
      <w:r w:rsidRPr="00864149">
        <w:t>prostředků</w:t>
      </w:r>
      <w:r>
        <w:t xml:space="preserve"> </w:t>
      </w:r>
      <w:r w:rsidRPr="00864149">
        <w:t>dočasně</w:t>
      </w:r>
      <w:r>
        <w:t xml:space="preserve"> </w:t>
      </w:r>
      <w:r w:rsidRPr="00864149">
        <w:t>použitých</w:t>
      </w:r>
      <w:r>
        <w:t xml:space="preserve"> </w:t>
      </w:r>
      <w:r w:rsidRPr="00864149">
        <w:t>k</w:t>
      </w:r>
      <w:r>
        <w:t xml:space="preserve"> </w:t>
      </w:r>
      <w:r w:rsidRPr="00864149">
        <w:t>úhradě</w:t>
      </w:r>
      <w:r>
        <w:t xml:space="preserve"> </w:t>
      </w:r>
      <w:r w:rsidRPr="00864149">
        <w:t>výdajů</w:t>
      </w:r>
      <w:r>
        <w:t xml:space="preserve"> </w:t>
      </w:r>
      <w:r w:rsidRPr="00864149">
        <w:t>doplňkové</w:t>
      </w:r>
      <w:r>
        <w:t xml:space="preserve"> </w:t>
      </w:r>
      <w:r w:rsidRPr="00864149">
        <w:t>činnosti,</w:t>
      </w:r>
      <w:r>
        <w:t xml:space="preserve"> </w:t>
      </w:r>
      <w:r w:rsidRPr="00864149">
        <w:t>které</w:t>
      </w:r>
      <w:r>
        <w:t xml:space="preserve"> </w:t>
      </w:r>
      <w:r w:rsidRPr="00864149">
        <w:t>nelze</w:t>
      </w:r>
      <w:r>
        <w:t xml:space="preserve"> </w:t>
      </w:r>
      <w:r w:rsidRPr="00864149">
        <w:t>předem</w:t>
      </w:r>
      <w:r>
        <w:t xml:space="preserve"> </w:t>
      </w:r>
      <w:r w:rsidRPr="00864149">
        <w:t>oddělit</w:t>
      </w:r>
      <w:r>
        <w:t xml:space="preserve"> </w:t>
      </w:r>
      <w:r w:rsidRPr="00864149">
        <w:t>od</w:t>
      </w:r>
      <w:r>
        <w:t xml:space="preserve"> </w:t>
      </w:r>
      <w:r w:rsidRPr="00864149">
        <w:t>výdajů</w:t>
      </w:r>
      <w:r>
        <w:t xml:space="preserve"> </w:t>
      </w:r>
      <w:r w:rsidRPr="00864149">
        <w:t>hlavní</w:t>
      </w:r>
      <w:r>
        <w:t xml:space="preserve"> </w:t>
      </w:r>
      <w:r w:rsidRPr="00864149">
        <w:t>činnosti</w:t>
      </w:r>
      <w:r>
        <w:t xml:space="preserve"> </w:t>
      </w:r>
      <w:r w:rsidRPr="00864149">
        <w:t>a</w:t>
      </w:r>
      <w:r>
        <w:t xml:space="preserve"> </w:t>
      </w:r>
      <w:r w:rsidRPr="00864149">
        <w:t>které</w:t>
      </w:r>
      <w:r>
        <w:t xml:space="preserve"> </w:t>
      </w:r>
      <w:r w:rsidRPr="00864149">
        <w:t>je</w:t>
      </w:r>
      <w:r>
        <w:t xml:space="preserve"> </w:t>
      </w:r>
      <w:r w:rsidRPr="00864149">
        <w:t>školská</w:t>
      </w:r>
      <w:r>
        <w:t xml:space="preserve"> </w:t>
      </w:r>
      <w:r w:rsidRPr="00864149">
        <w:t>právnická</w:t>
      </w:r>
      <w:r>
        <w:t xml:space="preserve"> </w:t>
      </w:r>
      <w:r w:rsidRPr="00864149">
        <w:t>osoba</w:t>
      </w:r>
      <w:r>
        <w:t xml:space="preserve"> </w:t>
      </w:r>
      <w:r w:rsidRPr="00864149">
        <w:t>povinna</w:t>
      </w:r>
      <w:r>
        <w:t xml:space="preserve"> </w:t>
      </w:r>
      <w:r w:rsidRPr="00864149">
        <w:t>vrátit</w:t>
      </w:r>
      <w:r>
        <w:t xml:space="preserve"> </w:t>
      </w:r>
      <w:r w:rsidRPr="00864149">
        <w:t>do</w:t>
      </w:r>
      <w:r>
        <w:t xml:space="preserve"> </w:t>
      </w:r>
      <w:r w:rsidRPr="00864149">
        <w:t>svého</w:t>
      </w:r>
      <w:r>
        <w:t xml:space="preserve"> </w:t>
      </w:r>
      <w:r w:rsidRPr="00864149">
        <w:t>rozpočtu</w:t>
      </w:r>
      <w:r>
        <w:t xml:space="preserve"> </w:t>
      </w:r>
      <w:r w:rsidRPr="00864149">
        <w:t>v</w:t>
      </w:r>
      <w:r>
        <w:t xml:space="preserve"> </w:t>
      </w:r>
      <w:r w:rsidRPr="00864149">
        <w:t>příslušném</w:t>
      </w:r>
      <w:r>
        <w:t xml:space="preserve"> </w:t>
      </w:r>
      <w:r w:rsidRPr="00864149">
        <w:t>čtvrtletí,</w:t>
      </w:r>
      <w:r>
        <w:t xml:space="preserve"> </w:t>
      </w:r>
      <w:r w:rsidRPr="00864149">
        <w:t>nejpozději</w:t>
      </w:r>
      <w:r>
        <w:t xml:space="preserve"> </w:t>
      </w:r>
      <w:r w:rsidRPr="00864149">
        <w:t>však</w:t>
      </w:r>
      <w:r>
        <w:t xml:space="preserve"> </w:t>
      </w:r>
      <w:r w:rsidRPr="00864149">
        <w:t>do</w:t>
      </w:r>
      <w:r>
        <w:t xml:space="preserve"> </w:t>
      </w:r>
      <w:r w:rsidRPr="00864149">
        <w:t>konce</w:t>
      </w:r>
      <w:r>
        <w:t xml:space="preserve"> </w:t>
      </w:r>
      <w:r w:rsidRPr="00864149">
        <w:t>příslušného</w:t>
      </w:r>
      <w:r>
        <w:t xml:space="preserve"> </w:t>
      </w:r>
      <w:r w:rsidRPr="00864149">
        <w:t>rozpočtového</w:t>
      </w:r>
      <w:r>
        <w:t xml:space="preserve"> </w:t>
      </w:r>
      <w:r w:rsidRPr="00864149">
        <w:t>roku.</w:t>
      </w:r>
      <w:r>
        <w:t xml:space="preserve"> </w:t>
      </w:r>
      <w:r w:rsidRPr="001009D7">
        <w:rPr>
          <w:strike/>
        </w:rPr>
        <w:t>Prostředky</w:t>
      </w:r>
      <w:r>
        <w:t xml:space="preserve"> </w:t>
      </w:r>
      <w:r w:rsidR="001009D7">
        <w:rPr>
          <w:b/>
        </w:rPr>
        <w:t xml:space="preserve">Příjmy </w:t>
      </w:r>
      <w:r w:rsidRPr="00864149">
        <w:t>získané</w:t>
      </w:r>
      <w:r>
        <w:t xml:space="preserve"> </w:t>
      </w:r>
      <w:r w:rsidRPr="00864149">
        <w:t>doplňkovou</w:t>
      </w:r>
      <w:r>
        <w:t xml:space="preserve"> </w:t>
      </w:r>
      <w:r w:rsidRPr="00864149">
        <w:t>činností</w:t>
      </w:r>
      <w:r>
        <w:t xml:space="preserve"> </w:t>
      </w:r>
      <w:r w:rsidRPr="00864149">
        <w:t>lze</w:t>
      </w:r>
      <w:r>
        <w:t xml:space="preserve"> </w:t>
      </w:r>
      <w:r w:rsidRPr="00864149">
        <w:t>v</w:t>
      </w:r>
      <w:r>
        <w:t xml:space="preserve"> </w:t>
      </w:r>
      <w:r w:rsidRPr="00864149">
        <w:t>průběhu</w:t>
      </w:r>
      <w:r>
        <w:t xml:space="preserve"> </w:t>
      </w:r>
      <w:r w:rsidRPr="00864149">
        <w:t>příslušného</w:t>
      </w:r>
      <w:r>
        <w:t xml:space="preserve"> </w:t>
      </w:r>
      <w:r w:rsidRPr="00864149">
        <w:t>kalendářního</w:t>
      </w:r>
      <w:r>
        <w:t xml:space="preserve"> </w:t>
      </w:r>
      <w:r w:rsidRPr="00864149">
        <w:t>roku</w:t>
      </w:r>
      <w:r>
        <w:t xml:space="preserve"> </w:t>
      </w:r>
      <w:r w:rsidRPr="00864149">
        <w:t>použít</w:t>
      </w:r>
      <w:r>
        <w:t xml:space="preserve"> </w:t>
      </w:r>
      <w:r w:rsidRPr="00864149">
        <w:t>jen</w:t>
      </w:r>
      <w:r>
        <w:t xml:space="preserve"> </w:t>
      </w:r>
      <w:r w:rsidRPr="00864149">
        <w:t>k</w:t>
      </w:r>
      <w:r>
        <w:t xml:space="preserve"> </w:t>
      </w:r>
      <w:r w:rsidRPr="00864149">
        <w:t>úhradě</w:t>
      </w:r>
      <w:r>
        <w:t xml:space="preserve"> </w:t>
      </w:r>
      <w:r w:rsidRPr="00864149">
        <w:t>výdajů</w:t>
      </w:r>
      <w:r>
        <w:t xml:space="preserve"> </w:t>
      </w:r>
      <w:r w:rsidRPr="00864149">
        <w:t>doplňkové</w:t>
      </w:r>
      <w:r>
        <w:t xml:space="preserve"> </w:t>
      </w:r>
      <w:r w:rsidRPr="00864149">
        <w:t>činnosti.</w:t>
      </w:r>
    </w:p>
    <w:p w14:paraId="67FFBD77" w14:textId="77777777" w:rsidR="0099047B" w:rsidRPr="001009D7" w:rsidRDefault="0099047B" w:rsidP="00A84DD3">
      <w:pPr>
        <w:pStyle w:val="Textparagrafu"/>
        <w:tabs>
          <w:tab w:val="left" w:pos="392"/>
          <w:tab w:val="left" w:pos="840"/>
        </w:tabs>
        <w:spacing w:before="120" w:after="120"/>
        <w:rPr>
          <w:strike/>
        </w:rPr>
      </w:pPr>
      <w:r w:rsidRPr="001009D7">
        <w:rPr>
          <w:strike/>
        </w:rPr>
        <w:t>(4) Jestliže je výsledkem hospodaření doplňkové činnosti ke konci kalendářního roku ztráta, je školská právnická osoba povinna zajistit, aby byla tato ztráta do konce následujícího kalendářního roku vyrovnána, nebo učinit opatření k ukončení doplňkové činnosti tak, aby v této činnosti nebylo po skončení následujícího kalendářního roku pokračováno.</w:t>
      </w:r>
    </w:p>
    <w:p w14:paraId="591469FA" w14:textId="0AA9138E" w:rsidR="0099047B" w:rsidRDefault="0099047B" w:rsidP="00A84DD3">
      <w:pPr>
        <w:pStyle w:val="Textparagrafu"/>
        <w:tabs>
          <w:tab w:val="left" w:pos="392"/>
          <w:tab w:val="left" w:pos="840"/>
        </w:tabs>
        <w:spacing w:before="120" w:after="120"/>
      </w:pPr>
      <w:proofErr w:type="gramStart"/>
      <w:r w:rsidRPr="00F57440">
        <w:rPr>
          <w:strike/>
        </w:rPr>
        <w:t>(5)</w:t>
      </w:r>
      <w:r w:rsidR="00F57440">
        <w:rPr>
          <w:b/>
        </w:rPr>
        <w:t>(4)</w:t>
      </w:r>
      <w:r>
        <w:t xml:space="preserve"> </w:t>
      </w:r>
      <w:r w:rsidRPr="00864149">
        <w:t>Školská</w:t>
      </w:r>
      <w:proofErr w:type="gramEnd"/>
      <w:r>
        <w:t xml:space="preserve"> </w:t>
      </w:r>
      <w:r w:rsidRPr="00864149">
        <w:t>právnická</w:t>
      </w:r>
      <w:r>
        <w:t xml:space="preserve"> </w:t>
      </w:r>
      <w:r w:rsidRPr="00864149">
        <w:t>osoba</w:t>
      </w:r>
      <w:r>
        <w:t xml:space="preserve"> </w:t>
      </w:r>
      <w:r w:rsidRPr="00864149">
        <w:t>účtuje</w:t>
      </w:r>
      <w:r>
        <w:t xml:space="preserve"> </w:t>
      </w:r>
      <w:r w:rsidRPr="00864149">
        <w:t>odděleně</w:t>
      </w:r>
      <w:r>
        <w:t xml:space="preserve"> </w:t>
      </w:r>
      <w:r w:rsidRPr="00864149">
        <w:t>o</w:t>
      </w:r>
      <w:r>
        <w:t xml:space="preserve"> </w:t>
      </w:r>
      <w:r w:rsidRPr="00864149">
        <w:t>hlavní</w:t>
      </w:r>
      <w:r>
        <w:t xml:space="preserve"> </w:t>
      </w:r>
      <w:r w:rsidRPr="00864149">
        <w:t>činnosti</w:t>
      </w:r>
      <w:r>
        <w:t xml:space="preserve"> </w:t>
      </w:r>
      <w:r w:rsidRPr="00864149">
        <w:t>a</w:t>
      </w:r>
      <w:r>
        <w:t xml:space="preserve"> </w:t>
      </w:r>
      <w:r w:rsidRPr="00864149">
        <w:t>činnosti</w:t>
      </w:r>
      <w:r>
        <w:t xml:space="preserve"> </w:t>
      </w:r>
      <w:r w:rsidRPr="00864149">
        <w:t>doplňkové.</w:t>
      </w:r>
    </w:p>
    <w:p w14:paraId="7F327D4C" w14:textId="64DB4A9D" w:rsidR="0099047B" w:rsidRDefault="0099047B" w:rsidP="00C7268B">
      <w:pPr>
        <w:pStyle w:val="Textparagrafu"/>
        <w:tabs>
          <w:tab w:val="left" w:pos="392"/>
          <w:tab w:val="left" w:pos="840"/>
        </w:tabs>
        <w:spacing w:after="120"/>
        <w:ind w:firstLine="0"/>
        <w:jc w:val="center"/>
      </w:pPr>
      <w:r w:rsidRPr="00864149">
        <w:t>§</w:t>
      </w:r>
      <w:r>
        <w:t xml:space="preserve"> </w:t>
      </w:r>
      <w:r w:rsidRPr="00864149">
        <w:t>136</w:t>
      </w:r>
    </w:p>
    <w:p w14:paraId="4EFDD8E0" w14:textId="77777777" w:rsidR="0099047B" w:rsidRPr="00C7268B" w:rsidRDefault="0099047B" w:rsidP="00C7268B">
      <w:pPr>
        <w:pStyle w:val="Textparagrafu"/>
        <w:tabs>
          <w:tab w:val="left" w:pos="392"/>
          <w:tab w:val="left" w:pos="840"/>
        </w:tabs>
        <w:spacing w:after="120"/>
        <w:ind w:firstLine="0"/>
        <w:jc w:val="center"/>
        <w:rPr>
          <w:b/>
        </w:rPr>
      </w:pPr>
      <w:r w:rsidRPr="00C7268B">
        <w:rPr>
          <w:b/>
        </w:rPr>
        <w:t>Další pravidla hospodaření školské právnické osoby</w:t>
      </w:r>
    </w:p>
    <w:p w14:paraId="7B75E469" w14:textId="77777777" w:rsidR="0099047B" w:rsidRDefault="0099047B" w:rsidP="00BD5369">
      <w:pPr>
        <w:pStyle w:val="Textparagrafu"/>
        <w:tabs>
          <w:tab w:val="left" w:pos="392"/>
          <w:tab w:val="left" w:pos="840"/>
        </w:tabs>
        <w:spacing w:after="120"/>
      </w:pPr>
      <w:r w:rsidRPr="00864149">
        <w:t>(1)</w:t>
      </w:r>
      <w:r>
        <w:t xml:space="preserve"> </w:t>
      </w:r>
      <w:r w:rsidRPr="00864149">
        <w:t>Školská</w:t>
      </w:r>
      <w:r>
        <w:t xml:space="preserve"> </w:t>
      </w:r>
      <w:r w:rsidRPr="00864149">
        <w:t>právnická</w:t>
      </w:r>
      <w:r>
        <w:t xml:space="preserve"> </w:t>
      </w:r>
      <w:r w:rsidRPr="00864149">
        <w:t>osoba</w:t>
      </w:r>
      <w:r>
        <w:t xml:space="preserve"> </w:t>
      </w:r>
      <w:r w:rsidRPr="00864149">
        <w:t>nesmí</w:t>
      </w:r>
    </w:p>
    <w:p w14:paraId="74C88495" w14:textId="1E5B0AFA" w:rsidR="0099047B" w:rsidRDefault="0099047B" w:rsidP="00AB5ED2">
      <w:pPr>
        <w:pStyle w:val="Textparagrafu"/>
        <w:tabs>
          <w:tab w:val="left" w:pos="392"/>
          <w:tab w:val="left" w:pos="840"/>
        </w:tabs>
        <w:spacing w:before="0"/>
        <w:ind w:left="426" w:hanging="426"/>
      </w:pPr>
      <w:r w:rsidRPr="00864149">
        <w:t>a)</w:t>
      </w:r>
      <w:r w:rsidR="00C7268B">
        <w:tab/>
      </w:r>
      <w:r w:rsidRPr="00864149">
        <w:t>zřizovat</w:t>
      </w:r>
      <w:r>
        <w:t xml:space="preserve"> </w:t>
      </w:r>
      <w:r w:rsidRPr="00864149">
        <w:t>školské</w:t>
      </w:r>
      <w:r>
        <w:t xml:space="preserve"> </w:t>
      </w:r>
      <w:r w:rsidRPr="00864149">
        <w:t>právnické</w:t>
      </w:r>
      <w:r>
        <w:t xml:space="preserve"> </w:t>
      </w:r>
      <w:r w:rsidRPr="00864149">
        <w:t>osoby,</w:t>
      </w:r>
      <w:r>
        <w:t xml:space="preserve"> </w:t>
      </w:r>
      <w:r w:rsidRPr="00864149">
        <w:t>obecně</w:t>
      </w:r>
      <w:r>
        <w:t xml:space="preserve"> </w:t>
      </w:r>
      <w:r w:rsidRPr="00864149">
        <w:t>prospěšné</w:t>
      </w:r>
      <w:r>
        <w:t xml:space="preserve"> </w:t>
      </w:r>
      <w:r w:rsidRPr="00864149">
        <w:t>společnosti</w:t>
      </w:r>
      <w:r>
        <w:t xml:space="preserve"> </w:t>
      </w:r>
      <w:r w:rsidRPr="00864149">
        <w:t>a</w:t>
      </w:r>
      <w:r>
        <w:t xml:space="preserve"> </w:t>
      </w:r>
      <w:r w:rsidRPr="00864149">
        <w:t>nadace,</w:t>
      </w:r>
    </w:p>
    <w:p w14:paraId="4B932C75" w14:textId="7172C561" w:rsidR="0099047B" w:rsidRDefault="0099047B" w:rsidP="00AB5ED2">
      <w:pPr>
        <w:pStyle w:val="Textparagrafu"/>
        <w:tabs>
          <w:tab w:val="left" w:pos="392"/>
          <w:tab w:val="left" w:pos="840"/>
        </w:tabs>
        <w:spacing w:before="0"/>
        <w:ind w:left="426" w:hanging="426"/>
      </w:pPr>
      <w:r w:rsidRPr="00864149">
        <w:t>b)</w:t>
      </w:r>
      <w:r w:rsidR="00C7268B">
        <w:tab/>
      </w:r>
      <w:r w:rsidRPr="00864149">
        <w:t>zakládat</w:t>
      </w:r>
      <w:r>
        <w:t xml:space="preserve"> </w:t>
      </w:r>
      <w:r w:rsidRPr="00864149">
        <w:t>právnické</w:t>
      </w:r>
      <w:r>
        <w:t xml:space="preserve"> </w:t>
      </w:r>
      <w:r w:rsidRPr="00864149">
        <w:t>osoby</w:t>
      </w:r>
      <w:r>
        <w:t xml:space="preserve"> </w:t>
      </w:r>
      <w:r w:rsidRPr="00864149">
        <w:t>podle</w:t>
      </w:r>
      <w:r>
        <w:t xml:space="preserve"> </w:t>
      </w:r>
      <w:r w:rsidRPr="00864149">
        <w:t>obchodního</w:t>
      </w:r>
      <w:r>
        <w:t xml:space="preserve"> </w:t>
      </w:r>
      <w:r w:rsidRPr="00864149">
        <w:t>zákoníku</w:t>
      </w:r>
      <w:r>
        <w:t xml:space="preserve"> </w:t>
      </w:r>
      <w:r w:rsidRPr="00864149">
        <w:t>a</w:t>
      </w:r>
      <w:r>
        <w:t xml:space="preserve"> </w:t>
      </w:r>
      <w:r w:rsidRPr="00864149">
        <w:t>účastnit</w:t>
      </w:r>
      <w:r>
        <w:t xml:space="preserve"> </w:t>
      </w:r>
      <w:r w:rsidRPr="00864149">
        <w:t>se</w:t>
      </w:r>
      <w:r>
        <w:t xml:space="preserve"> </w:t>
      </w:r>
      <w:r w:rsidRPr="00864149">
        <w:t>na</w:t>
      </w:r>
      <w:r>
        <w:t xml:space="preserve"> </w:t>
      </w:r>
      <w:r w:rsidRPr="00864149">
        <w:t>podnikání</w:t>
      </w:r>
      <w:r>
        <w:t xml:space="preserve"> </w:t>
      </w:r>
      <w:r w:rsidRPr="00864149">
        <w:t>těchto</w:t>
      </w:r>
      <w:r>
        <w:t xml:space="preserve"> </w:t>
      </w:r>
      <w:r w:rsidRPr="00864149">
        <w:t>osob,</w:t>
      </w:r>
    </w:p>
    <w:p w14:paraId="681D66BC" w14:textId="7CAC6E00" w:rsidR="0099047B" w:rsidRDefault="0099047B" w:rsidP="00AB5ED2">
      <w:pPr>
        <w:pStyle w:val="Textparagrafu"/>
        <w:tabs>
          <w:tab w:val="left" w:pos="392"/>
          <w:tab w:val="left" w:pos="840"/>
        </w:tabs>
        <w:spacing w:before="0"/>
        <w:ind w:left="426" w:hanging="426"/>
      </w:pPr>
      <w:r w:rsidRPr="00864149">
        <w:t>c)</w:t>
      </w:r>
      <w:r w:rsidR="00C7268B">
        <w:tab/>
      </w:r>
      <w:r w:rsidRPr="002465DA">
        <w:rPr>
          <w:strike/>
        </w:rPr>
        <w:t>zajišťovat závazky</w:t>
      </w:r>
      <w:r>
        <w:t xml:space="preserve"> </w:t>
      </w:r>
      <w:r w:rsidR="002465DA">
        <w:rPr>
          <w:b/>
        </w:rPr>
        <w:t xml:space="preserve">zajistit dluhy </w:t>
      </w:r>
      <w:r w:rsidRPr="00864149">
        <w:t>jiných</w:t>
      </w:r>
      <w:r>
        <w:t xml:space="preserve"> </w:t>
      </w:r>
      <w:r w:rsidRPr="00864149">
        <w:t>osob.</w:t>
      </w:r>
    </w:p>
    <w:p w14:paraId="4AFB1928" w14:textId="77777777" w:rsidR="0099047B" w:rsidRDefault="0099047B" w:rsidP="00BD5369">
      <w:pPr>
        <w:pStyle w:val="Textparagrafu"/>
        <w:tabs>
          <w:tab w:val="left" w:pos="392"/>
          <w:tab w:val="left" w:pos="840"/>
        </w:tabs>
        <w:spacing w:after="120"/>
      </w:pPr>
      <w:r w:rsidRPr="00864149">
        <w:t>(2)</w:t>
      </w:r>
      <w:r>
        <w:t xml:space="preserve"> </w:t>
      </w:r>
      <w:r w:rsidRPr="00864149">
        <w:t>Školská</w:t>
      </w:r>
      <w:r>
        <w:t xml:space="preserve"> </w:t>
      </w:r>
      <w:r w:rsidRPr="00864149">
        <w:t>právnická</w:t>
      </w:r>
      <w:r>
        <w:t xml:space="preserve"> </w:t>
      </w:r>
      <w:r w:rsidRPr="00864149">
        <w:t>osoba</w:t>
      </w:r>
      <w:r>
        <w:t xml:space="preserve"> </w:t>
      </w:r>
      <w:r w:rsidRPr="00864149">
        <w:t>zřízená</w:t>
      </w:r>
      <w:r>
        <w:t xml:space="preserve"> </w:t>
      </w:r>
      <w:r w:rsidRPr="00864149">
        <w:t>ministerstvem,</w:t>
      </w:r>
      <w:r>
        <w:t xml:space="preserve"> </w:t>
      </w:r>
      <w:r w:rsidRPr="00864149">
        <w:t>krajem,</w:t>
      </w:r>
      <w:r>
        <w:t xml:space="preserve"> </w:t>
      </w:r>
      <w:r w:rsidRPr="00864149">
        <w:t>obcí</w:t>
      </w:r>
      <w:r>
        <w:t xml:space="preserve"> </w:t>
      </w:r>
      <w:r w:rsidRPr="00864149">
        <w:t>nebo</w:t>
      </w:r>
      <w:r>
        <w:t xml:space="preserve"> </w:t>
      </w:r>
      <w:r w:rsidRPr="00864149">
        <w:t>svazkem</w:t>
      </w:r>
      <w:r>
        <w:t xml:space="preserve"> </w:t>
      </w:r>
      <w:r w:rsidRPr="00864149">
        <w:t>obcí</w:t>
      </w:r>
      <w:r>
        <w:t xml:space="preserve"> </w:t>
      </w:r>
      <w:r w:rsidRPr="00864149">
        <w:t>dále</w:t>
      </w:r>
      <w:r>
        <w:t xml:space="preserve"> </w:t>
      </w:r>
      <w:r w:rsidRPr="00864149">
        <w:t>nesmí</w:t>
      </w:r>
    </w:p>
    <w:p w14:paraId="1E00EBB9" w14:textId="21E9008D" w:rsidR="0099047B" w:rsidRDefault="0099047B" w:rsidP="00AB5ED2">
      <w:pPr>
        <w:pStyle w:val="Textparagrafu"/>
        <w:tabs>
          <w:tab w:val="left" w:pos="426"/>
          <w:tab w:val="left" w:pos="840"/>
        </w:tabs>
        <w:spacing w:before="0"/>
        <w:ind w:left="426" w:hanging="426"/>
      </w:pPr>
      <w:r w:rsidRPr="00864149">
        <w:lastRenderedPageBreak/>
        <w:t>a)</w:t>
      </w:r>
      <w:r w:rsidR="00C7268B">
        <w:tab/>
      </w:r>
      <w:r w:rsidRPr="00864149">
        <w:t>přijímat</w:t>
      </w:r>
      <w:r>
        <w:t xml:space="preserve"> </w:t>
      </w:r>
      <w:r w:rsidRPr="00864149">
        <w:t>a</w:t>
      </w:r>
      <w:r>
        <w:t xml:space="preserve"> </w:t>
      </w:r>
      <w:r w:rsidRPr="00864149">
        <w:t>poskytovat</w:t>
      </w:r>
      <w:r>
        <w:t xml:space="preserve"> </w:t>
      </w:r>
      <w:r w:rsidRPr="00864149">
        <w:t>půjčky</w:t>
      </w:r>
      <w:r>
        <w:t xml:space="preserve"> </w:t>
      </w:r>
      <w:r w:rsidRPr="00864149">
        <w:t>bez</w:t>
      </w:r>
      <w:r>
        <w:t xml:space="preserve"> </w:t>
      </w:r>
      <w:r w:rsidRPr="00864149">
        <w:t>předchozího</w:t>
      </w:r>
      <w:r>
        <w:t xml:space="preserve"> </w:t>
      </w:r>
      <w:r w:rsidRPr="00864149">
        <w:t>souhlasu</w:t>
      </w:r>
      <w:r>
        <w:t xml:space="preserve"> </w:t>
      </w:r>
      <w:r w:rsidRPr="00864149">
        <w:t>zřizovatele</w:t>
      </w:r>
      <w:r>
        <w:t xml:space="preserve"> </w:t>
      </w:r>
      <w:r w:rsidRPr="00864149">
        <w:t>s</w:t>
      </w:r>
      <w:r>
        <w:t xml:space="preserve"> </w:t>
      </w:r>
      <w:r w:rsidRPr="00864149">
        <w:t>výjimkou</w:t>
      </w:r>
      <w:r>
        <w:t xml:space="preserve"> </w:t>
      </w:r>
      <w:r w:rsidRPr="00864149">
        <w:t>poskytování</w:t>
      </w:r>
      <w:r>
        <w:t xml:space="preserve"> </w:t>
      </w:r>
      <w:r w:rsidRPr="00864149">
        <w:t>půjček</w:t>
      </w:r>
      <w:r>
        <w:t xml:space="preserve"> </w:t>
      </w:r>
      <w:r w:rsidRPr="00864149">
        <w:t>z</w:t>
      </w:r>
      <w:r>
        <w:t xml:space="preserve"> </w:t>
      </w:r>
      <w:r w:rsidRPr="00864149">
        <w:t>fondu</w:t>
      </w:r>
      <w:r>
        <w:t xml:space="preserve"> </w:t>
      </w:r>
      <w:r w:rsidRPr="00864149">
        <w:t>kulturních</w:t>
      </w:r>
      <w:r>
        <w:t xml:space="preserve"> </w:t>
      </w:r>
      <w:r w:rsidRPr="00864149">
        <w:t>a</w:t>
      </w:r>
      <w:r>
        <w:t xml:space="preserve"> </w:t>
      </w:r>
      <w:r w:rsidRPr="00864149">
        <w:t>sociálních</w:t>
      </w:r>
      <w:r>
        <w:t xml:space="preserve"> </w:t>
      </w:r>
      <w:r w:rsidRPr="00864149">
        <w:t>potřeb,</w:t>
      </w:r>
      <w:r>
        <w:t xml:space="preserve"> </w:t>
      </w:r>
      <w:r w:rsidRPr="00864149">
        <w:t>sjednávat</w:t>
      </w:r>
      <w:r>
        <w:t xml:space="preserve"> </w:t>
      </w:r>
      <w:r w:rsidRPr="00864149">
        <w:t>úvěry</w:t>
      </w:r>
      <w:r>
        <w:t xml:space="preserve"> </w:t>
      </w:r>
      <w:r w:rsidRPr="00864149">
        <w:t>a</w:t>
      </w:r>
      <w:r>
        <w:t xml:space="preserve"> </w:t>
      </w:r>
      <w:r w:rsidRPr="00864149">
        <w:t>směnečně</w:t>
      </w:r>
      <w:r>
        <w:t xml:space="preserve"> </w:t>
      </w:r>
      <w:r w:rsidRPr="00864149">
        <w:t>se</w:t>
      </w:r>
      <w:r>
        <w:t xml:space="preserve"> </w:t>
      </w:r>
      <w:r w:rsidRPr="00864149">
        <w:t>zavazovat,</w:t>
      </w:r>
    </w:p>
    <w:p w14:paraId="245FEA08" w14:textId="24755F30" w:rsidR="0099047B" w:rsidRDefault="0099047B" w:rsidP="00AB5ED2">
      <w:pPr>
        <w:pStyle w:val="Textparagrafu"/>
        <w:tabs>
          <w:tab w:val="left" w:pos="426"/>
          <w:tab w:val="left" w:pos="840"/>
        </w:tabs>
        <w:spacing w:before="0"/>
        <w:ind w:left="426" w:hanging="426"/>
      </w:pPr>
      <w:r w:rsidRPr="00864149">
        <w:t>b)</w:t>
      </w:r>
      <w:r w:rsidR="00C7268B">
        <w:tab/>
      </w:r>
      <w:r w:rsidRPr="00864149">
        <w:t>uzavírat</w:t>
      </w:r>
      <w:r>
        <w:t xml:space="preserve"> </w:t>
      </w:r>
      <w:r w:rsidRPr="00864149">
        <w:t>smlouvy</w:t>
      </w:r>
      <w:r>
        <w:t xml:space="preserve"> </w:t>
      </w:r>
      <w:r w:rsidRPr="00864149">
        <w:t>o</w:t>
      </w:r>
      <w:r>
        <w:t xml:space="preserve"> </w:t>
      </w:r>
      <w:r w:rsidRPr="00864149">
        <w:t>koupi</w:t>
      </w:r>
      <w:r>
        <w:t xml:space="preserve"> </w:t>
      </w:r>
      <w:r w:rsidRPr="00864149">
        <w:t>najaté</w:t>
      </w:r>
      <w:r>
        <w:t xml:space="preserve"> </w:t>
      </w:r>
      <w:r w:rsidRPr="00864149">
        <w:t>věci</w:t>
      </w:r>
      <w:r>
        <w:t xml:space="preserve"> </w:t>
      </w:r>
      <w:r w:rsidRPr="00864149">
        <w:t>bez</w:t>
      </w:r>
      <w:r>
        <w:t xml:space="preserve"> </w:t>
      </w:r>
      <w:r w:rsidRPr="00864149">
        <w:t>předchozího</w:t>
      </w:r>
      <w:r>
        <w:t xml:space="preserve"> </w:t>
      </w:r>
      <w:r w:rsidRPr="00864149">
        <w:t>souhlasu</w:t>
      </w:r>
      <w:r>
        <w:t xml:space="preserve"> </w:t>
      </w:r>
      <w:r w:rsidRPr="00864149">
        <w:t>zřizovatele,</w:t>
      </w:r>
    </w:p>
    <w:p w14:paraId="0EA1F5DF" w14:textId="1074E331" w:rsidR="0099047B" w:rsidRDefault="0099047B" w:rsidP="00AB5ED2">
      <w:pPr>
        <w:pStyle w:val="Textparagrafu"/>
        <w:tabs>
          <w:tab w:val="left" w:pos="426"/>
          <w:tab w:val="left" w:pos="840"/>
        </w:tabs>
        <w:spacing w:before="0"/>
        <w:ind w:left="426" w:hanging="426"/>
      </w:pPr>
      <w:r w:rsidRPr="00864149">
        <w:t>c)</w:t>
      </w:r>
      <w:r w:rsidR="00C7268B">
        <w:tab/>
      </w:r>
      <w:r w:rsidRPr="00864149">
        <w:t>nakupovat</w:t>
      </w:r>
      <w:r>
        <w:t xml:space="preserve"> </w:t>
      </w:r>
      <w:r w:rsidRPr="00864149">
        <w:t>nebo</w:t>
      </w:r>
      <w:r>
        <w:t xml:space="preserve"> </w:t>
      </w:r>
      <w:r w:rsidRPr="00864149">
        <w:t>bez</w:t>
      </w:r>
      <w:r>
        <w:t xml:space="preserve"> </w:t>
      </w:r>
      <w:r w:rsidRPr="00864149">
        <w:t>předchozího</w:t>
      </w:r>
      <w:r>
        <w:t xml:space="preserve"> </w:t>
      </w:r>
      <w:r w:rsidRPr="00864149">
        <w:t>souhlasu</w:t>
      </w:r>
      <w:r>
        <w:t xml:space="preserve"> </w:t>
      </w:r>
      <w:r w:rsidRPr="00864149">
        <w:t>zřizovatele</w:t>
      </w:r>
      <w:r>
        <w:t xml:space="preserve"> </w:t>
      </w:r>
      <w:r w:rsidRPr="00864149">
        <w:t>přijímat</w:t>
      </w:r>
      <w:r>
        <w:t xml:space="preserve"> </w:t>
      </w:r>
      <w:r w:rsidRPr="00864149">
        <w:t>jako</w:t>
      </w:r>
      <w:r>
        <w:t xml:space="preserve"> </w:t>
      </w:r>
      <w:r w:rsidRPr="00864149">
        <w:t>protihodnotu</w:t>
      </w:r>
      <w:r>
        <w:t xml:space="preserve"> </w:t>
      </w:r>
      <w:r w:rsidRPr="00864149">
        <w:t>za</w:t>
      </w:r>
      <w:r>
        <w:t xml:space="preserve"> </w:t>
      </w:r>
      <w:r w:rsidRPr="00864149">
        <w:t>své</w:t>
      </w:r>
      <w:r>
        <w:t xml:space="preserve"> </w:t>
      </w:r>
      <w:r w:rsidRPr="00864149">
        <w:t>pohledávky</w:t>
      </w:r>
      <w:r>
        <w:t xml:space="preserve"> </w:t>
      </w:r>
      <w:r w:rsidRPr="00864149">
        <w:t>vůči</w:t>
      </w:r>
      <w:r>
        <w:t xml:space="preserve"> </w:t>
      </w:r>
      <w:r w:rsidRPr="00864149">
        <w:t>jiným</w:t>
      </w:r>
      <w:r>
        <w:t xml:space="preserve"> </w:t>
      </w:r>
      <w:r w:rsidRPr="00864149">
        <w:t>osobám</w:t>
      </w:r>
      <w:r>
        <w:t xml:space="preserve"> </w:t>
      </w:r>
      <w:r w:rsidRPr="00864149">
        <w:t>akcie</w:t>
      </w:r>
      <w:r>
        <w:t xml:space="preserve"> </w:t>
      </w:r>
      <w:r w:rsidRPr="00864149">
        <w:t>či</w:t>
      </w:r>
      <w:r>
        <w:t xml:space="preserve"> </w:t>
      </w:r>
      <w:r w:rsidRPr="00864149">
        <w:t>jiné</w:t>
      </w:r>
      <w:r>
        <w:t xml:space="preserve"> </w:t>
      </w:r>
      <w:r w:rsidRPr="00864149">
        <w:t>cenné</w:t>
      </w:r>
      <w:r>
        <w:t xml:space="preserve"> </w:t>
      </w:r>
      <w:r w:rsidRPr="00864149">
        <w:t>papíry,</w:t>
      </w:r>
    </w:p>
    <w:p w14:paraId="766231FE" w14:textId="7EF7341E" w:rsidR="0099047B" w:rsidRDefault="0099047B" w:rsidP="00AB5ED2">
      <w:pPr>
        <w:pStyle w:val="Textparagrafu"/>
        <w:tabs>
          <w:tab w:val="left" w:pos="426"/>
          <w:tab w:val="left" w:pos="840"/>
        </w:tabs>
        <w:spacing w:before="0"/>
        <w:ind w:left="426" w:hanging="426"/>
      </w:pPr>
      <w:r w:rsidRPr="00864149">
        <w:t>d)</w:t>
      </w:r>
      <w:r w:rsidR="00C7268B">
        <w:tab/>
      </w:r>
      <w:r w:rsidRPr="00864149">
        <w:t>poskytovat</w:t>
      </w:r>
      <w:r>
        <w:t xml:space="preserve"> </w:t>
      </w:r>
      <w:r w:rsidRPr="00864149">
        <w:t>dary,</w:t>
      </w:r>
      <w:r>
        <w:t xml:space="preserve"> </w:t>
      </w:r>
      <w:r w:rsidRPr="00864149">
        <w:t>s</w:t>
      </w:r>
      <w:r>
        <w:t xml:space="preserve"> </w:t>
      </w:r>
      <w:r w:rsidRPr="00864149">
        <w:t>výjimkou</w:t>
      </w:r>
      <w:r>
        <w:t xml:space="preserve"> </w:t>
      </w:r>
      <w:r w:rsidRPr="00864149">
        <w:t>darů</w:t>
      </w:r>
      <w:r>
        <w:t xml:space="preserve"> </w:t>
      </w:r>
      <w:r w:rsidRPr="00864149">
        <w:t>poskytovaných</w:t>
      </w:r>
      <w:r>
        <w:t xml:space="preserve"> </w:t>
      </w:r>
      <w:r w:rsidRPr="00864149">
        <w:t>z</w:t>
      </w:r>
      <w:r>
        <w:t xml:space="preserve"> </w:t>
      </w:r>
      <w:r w:rsidRPr="00864149">
        <w:t>fondu</w:t>
      </w:r>
      <w:r>
        <w:t xml:space="preserve"> </w:t>
      </w:r>
      <w:r w:rsidRPr="00864149">
        <w:t>kulturních</w:t>
      </w:r>
      <w:r>
        <w:t xml:space="preserve"> </w:t>
      </w:r>
      <w:r w:rsidRPr="00864149">
        <w:t>a</w:t>
      </w:r>
      <w:r>
        <w:t xml:space="preserve"> </w:t>
      </w:r>
      <w:r w:rsidRPr="00864149">
        <w:t>sociálních</w:t>
      </w:r>
      <w:r>
        <w:t xml:space="preserve"> </w:t>
      </w:r>
      <w:r w:rsidRPr="00864149">
        <w:t>potřeb</w:t>
      </w:r>
      <w:r>
        <w:t xml:space="preserve"> </w:t>
      </w:r>
      <w:r w:rsidRPr="00864149">
        <w:t>nebo</w:t>
      </w:r>
      <w:r>
        <w:t xml:space="preserve"> </w:t>
      </w:r>
      <w:r w:rsidRPr="00864149">
        <w:t>jiného</w:t>
      </w:r>
      <w:r>
        <w:t xml:space="preserve"> </w:t>
      </w:r>
      <w:r w:rsidRPr="00864149">
        <w:t>peněžního</w:t>
      </w:r>
      <w:r>
        <w:t xml:space="preserve"> </w:t>
      </w:r>
      <w:r w:rsidRPr="00864149">
        <w:t>fondu</w:t>
      </w:r>
      <w:r>
        <w:t xml:space="preserve"> </w:t>
      </w:r>
      <w:r w:rsidRPr="00864149">
        <w:t>zřízeného</w:t>
      </w:r>
      <w:r>
        <w:t xml:space="preserve"> </w:t>
      </w:r>
      <w:r w:rsidRPr="00864149">
        <w:t>pro</w:t>
      </w:r>
      <w:r>
        <w:t xml:space="preserve"> </w:t>
      </w:r>
      <w:r w:rsidRPr="00864149">
        <w:t>sociální</w:t>
      </w:r>
      <w:r>
        <w:t xml:space="preserve"> </w:t>
      </w:r>
      <w:r w:rsidRPr="00864149">
        <w:t>účely,</w:t>
      </w:r>
      <w:r>
        <w:t xml:space="preserve"> </w:t>
      </w:r>
      <w:r w:rsidRPr="00864149">
        <w:t>prospěchových</w:t>
      </w:r>
      <w:r>
        <w:t xml:space="preserve"> </w:t>
      </w:r>
      <w:r w:rsidRPr="00864149">
        <w:t>stipendií</w:t>
      </w:r>
      <w:r>
        <w:t xml:space="preserve"> </w:t>
      </w:r>
      <w:r w:rsidRPr="00864149">
        <w:t>podle</w:t>
      </w:r>
      <w:r>
        <w:t xml:space="preserve"> </w:t>
      </w:r>
      <w:r w:rsidRPr="00864149">
        <w:t>§</w:t>
      </w:r>
      <w:r>
        <w:t xml:space="preserve"> </w:t>
      </w:r>
      <w:r w:rsidRPr="00864149">
        <w:t>30</w:t>
      </w:r>
      <w:r>
        <w:t xml:space="preserve"> </w:t>
      </w:r>
      <w:r w:rsidRPr="00864149">
        <w:t>odst.</w:t>
      </w:r>
      <w:r>
        <w:t xml:space="preserve"> </w:t>
      </w:r>
      <w:r w:rsidRPr="00864149">
        <w:t>5</w:t>
      </w:r>
      <w:r>
        <w:t xml:space="preserve"> </w:t>
      </w:r>
      <w:r w:rsidRPr="00864149">
        <w:t>a</w:t>
      </w:r>
      <w:r>
        <w:t xml:space="preserve"> </w:t>
      </w:r>
      <w:r w:rsidRPr="00864149">
        <w:t>ocenění</w:t>
      </w:r>
      <w:r>
        <w:t xml:space="preserve"> </w:t>
      </w:r>
      <w:r w:rsidRPr="00864149">
        <w:t>podle</w:t>
      </w:r>
      <w:r>
        <w:t xml:space="preserve"> </w:t>
      </w:r>
      <w:r w:rsidRPr="00864149">
        <w:t>§</w:t>
      </w:r>
      <w:r>
        <w:t xml:space="preserve"> </w:t>
      </w:r>
      <w:r w:rsidRPr="00864149">
        <w:t>31</w:t>
      </w:r>
      <w:r>
        <w:t xml:space="preserve"> </w:t>
      </w:r>
      <w:r w:rsidRPr="00864149">
        <w:t>odst.</w:t>
      </w:r>
      <w:r>
        <w:t xml:space="preserve"> </w:t>
      </w:r>
      <w:r w:rsidRPr="00864149">
        <w:t>1.</w:t>
      </w:r>
    </w:p>
    <w:p w14:paraId="3024D024" w14:textId="6C975DB4" w:rsidR="0099047B" w:rsidRDefault="0099047B" w:rsidP="00C7268B">
      <w:pPr>
        <w:pStyle w:val="Textparagrafu"/>
        <w:tabs>
          <w:tab w:val="left" w:pos="392"/>
          <w:tab w:val="left" w:pos="840"/>
        </w:tabs>
        <w:spacing w:after="120"/>
        <w:ind w:firstLine="0"/>
        <w:jc w:val="center"/>
      </w:pPr>
      <w:r w:rsidRPr="00864149">
        <w:t>§</w:t>
      </w:r>
      <w:r>
        <w:t xml:space="preserve"> </w:t>
      </w:r>
      <w:r w:rsidRPr="00864149">
        <w:t>137</w:t>
      </w:r>
    </w:p>
    <w:p w14:paraId="0F51BA17" w14:textId="77777777" w:rsidR="0099047B" w:rsidRPr="00C7268B" w:rsidRDefault="0099047B" w:rsidP="00C7268B">
      <w:pPr>
        <w:pStyle w:val="Textparagrafu"/>
        <w:tabs>
          <w:tab w:val="left" w:pos="392"/>
          <w:tab w:val="left" w:pos="840"/>
        </w:tabs>
        <w:spacing w:after="120"/>
        <w:ind w:firstLine="0"/>
        <w:jc w:val="center"/>
        <w:rPr>
          <w:b/>
        </w:rPr>
      </w:pPr>
      <w:r w:rsidRPr="00C7268B">
        <w:rPr>
          <w:b/>
        </w:rPr>
        <w:t>Peněžní fondy školské právnické osoby</w:t>
      </w:r>
    </w:p>
    <w:p w14:paraId="4D5CC2FF" w14:textId="3A70A2FF" w:rsidR="0099047B" w:rsidRDefault="0099047B" w:rsidP="00A84DD3">
      <w:pPr>
        <w:pStyle w:val="Textparagrafu"/>
        <w:numPr>
          <w:ilvl w:val="2"/>
          <w:numId w:val="27"/>
        </w:numPr>
        <w:tabs>
          <w:tab w:val="left" w:pos="392"/>
          <w:tab w:val="left" w:pos="840"/>
        </w:tabs>
        <w:spacing w:before="120" w:after="120"/>
        <w:rPr>
          <w:strike/>
        </w:rPr>
      </w:pPr>
      <w:r w:rsidRPr="002465DA">
        <w:rPr>
          <w:strike/>
        </w:rPr>
        <w:t>Školská právnická osoba může vytvářet peněžní fondy.</w:t>
      </w:r>
    </w:p>
    <w:p w14:paraId="3F3DA1B0" w14:textId="4D87A4F3" w:rsidR="002465DA" w:rsidRPr="002465DA" w:rsidRDefault="002465DA" w:rsidP="00A84DD3">
      <w:pPr>
        <w:pStyle w:val="paragraph"/>
        <w:numPr>
          <w:ilvl w:val="0"/>
          <w:numId w:val="27"/>
        </w:numPr>
        <w:spacing w:before="120" w:beforeAutospacing="0" w:after="120" w:afterAutospacing="0"/>
        <w:ind w:firstLine="426"/>
        <w:jc w:val="both"/>
        <w:textAlignment w:val="baseline"/>
        <w:rPr>
          <w:b/>
          <w:bCs/>
        </w:rPr>
      </w:pPr>
      <w:r>
        <w:rPr>
          <w:b/>
          <w:bCs/>
        </w:rPr>
        <w:t>(1) Školská právnická osoba zřízená ministerstvem, krajem, obcí nebo svazkem obcí zřizuje fond kulturních a sociálních potřeb.</w:t>
      </w:r>
    </w:p>
    <w:p w14:paraId="7AB184C7" w14:textId="77777777" w:rsidR="0099047B" w:rsidRPr="002465DA" w:rsidRDefault="0099047B" w:rsidP="00A84DD3">
      <w:pPr>
        <w:pStyle w:val="Textparagrafu"/>
        <w:tabs>
          <w:tab w:val="left" w:pos="392"/>
          <w:tab w:val="left" w:pos="840"/>
        </w:tabs>
        <w:spacing w:before="120" w:after="120"/>
        <w:rPr>
          <w:strike/>
        </w:rPr>
      </w:pPr>
      <w:r w:rsidRPr="002465DA">
        <w:rPr>
          <w:strike/>
        </w:rPr>
        <w:t>(2) Školská právnická osoba vždy vytváří rezervní fond a fond investic; školská právnická osoba zřízená ministerstvem, krajem, obcí nebo svazkem obcí také fond kulturních a sociálních potřeb.</w:t>
      </w:r>
    </w:p>
    <w:p w14:paraId="073FC5D3" w14:textId="77777777" w:rsidR="0099047B" w:rsidRPr="002465DA" w:rsidRDefault="0099047B" w:rsidP="00A84DD3">
      <w:pPr>
        <w:pStyle w:val="Textparagrafu"/>
        <w:tabs>
          <w:tab w:val="left" w:pos="392"/>
          <w:tab w:val="left" w:pos="840"/>
        </w:tabs>
        <w:spacing w:before="120" w:after="120"/>
        <w:rPr>
          <w:strike/>
        </w:rPr>
      </w:pPr>
      <w:r w:rsidRPr="002465DA">
        <w:rPr>
          <w:strike/>
        </w:rPr>
        <w:t>(3) Rezervní fond, s výjimkou prostředků převedených v souladu s § 133 odst. 2, slouží přednostně k úhradě ztráty z hlavní činnosti z minulých let a dále k podpoře a zkvalitnění hlavní činnosti.</w:t>
      </w:r>
    </w:p>
    <w:p w14:paraId="3494E920" w14:textId="77777777" w:rsidR="0099047B" w:rsidRPr="002465DA" w:rsidRDefault="0099047B" w:rsidP="00A84DD3">
      <w:pPr>
        <w:pStyle w:val="Textparagrafu"/>
        <w:tabs>
          <w:tab w:val="left" w:pos="392"/>
          <w:tab w:val="left" w:pos="840"/>
        </w:tabs>
        <w:spacing w:before="120" w:after="120"/>
        <w:rPr>
          <w:strike/>
        </w:rPr>
      </w:pPr>
      <w:r w:rsidRPr="002465DA">
        <w:rPr>
          <w:strike/>
        </w:rPr>
        <w:t>(4) Prostředky, které byly do rezervního fondu převedeny v souladu s § 133 odst. 2, se sledují v rezervním fondu odděleně. Prostředky, které na stanovený účel nebyly použity, podléhají finančnímu vypořádání se státním rozpočtem za rok, ve kterém byl projekt ukončen.</w:t>
      </w:r>
    </w:p>
    <w:p w14:paraId="4FC03050" w14:textId="2EE69858" w:rsidR="0099047B" w:rsidRPr="002465DA" w:rsidRDefault="0099047B" w:rsidP="00A84DD3">
      <w:pPr>
        <w:pStyle w:val="Textparagrafu"/>
        <w:tabs>
          <w:tab w:val="left" w:pos="392"/>
          <w:tab w:val="left" w:pos="840"/>
        </w:tabs>
        <w:spacing w:before="120" w:after="120"/>
        <w:rPr>
          <w:strike/>
        </w:rPr>
      </w:pPr>
      <w:r w:rsidRPr="002465DA">
        <w:rPr>
          <w:strike/>
        </w:rPr>
        <w:t>(5) Fond investic slouží především k financování investičních potřeb školské právnické osoby. Fond investic je tvořen též odpisy z majetku podle zvláštního právního předpisu.</w:t>
      </w:r>
      <w:r w:rsidR="00C7268B" w:rsidRPr="002465DA">
        <w:rPr>
          <w:rStyle w:val="Znakapoznpodarou"/>
          <w:strike/>
        </w:rPr>
        <w:footnoteReference w:customMarkFollows="1" w:id="470"/>
        <w:t>15)</w:t>
      </w:r>
    </w:p>
    <w:p w14:paraId="1B0A560A" w14:textId="5974ED54" w:rsidR="0099047B" w:rsidRDefault="0099047B" w:rsidP="00A84DD3">
      <w:pPr>
        <w:pStyle w:val="Textparagrafu"/>
        <w:tabs>
          <w:tab w:val="left" w:pos="392"/>
          <w:tab w:val="left" w:pos="840"/>
        </w:tabs>
        <w:spacing w:before="120" w:after="120"/>
      </w:pPr>
      <w:proofErr w:type="gramStart"/>
      <w:r w:rsidRPr="002465DA">
        <w:rPr>
          <w:strike/>
        </w:rPr>
        <w:t>(6)</w:t>
      </w:r>
      <w:r w:rsidR="002465DA">
        <w:rPr>
          <w:b/>
        </w:rPr>
        <w:t>(2)</w:t>
      </w:r>
      <w:r>
        <w:t xml:space="preserve"> </w:t>
      </w:r>
      <w:r w:rsidRPr="00864149">
        <w:t>Zůstatky</w:t>
      </w:r>
      <w:proofErr w:type="gramEnd"/>
      <w:r>
        <w:t xml:space="preserve"> </w:t>
      </w:r>
      <w:r w:rsidRPr="002465DA">
        <w:rPr>
          <w:strike/>
        </w:rPr>
        <w:t>peněžních fondů</w:t>
      </w:r>
      <w:r w:rsidR="002465DA" w:rsidRPr="002465DA">
        <w:rPr>
          <w:b/>
          <w:bCs/>
        </w:rPr>
        <w:t xml:space="preserve"> </w:t>
      </w:r>
      <w:r w:rsidR="002465DA">
        <w:rPr>
          <w:b/>
          <w:bCs/>
        </w:rPr>
        <w:t>všech</w:t>
      </w:r>
      <w:r w:rsidR="002465DA">
        <w:t xml:space="preserve"> </w:t>
      </w:r>
      <w:r w:rsidR="002465DA" w:rsidRPr="00915E1B">
        <w:rPr>
          <w:b/>
          <w:bCs/>
        </w:rPr>
        <w:t>peněžních fondů</w:t>
      </w:r>
      <w:r w:rsidR="002465DA">
        <w:t xml:space="preserve"> </w:t>
      </w:r>
      <w:r w:rsidR="002465DA">
        <w:rPr>
          <w:b/>
          <w:bCs/>
        </w:rPr>
        <w:t>školské právnické</w:t>
      </w:r>
      <w:r>
        <w:t xml:space="preserve"> </w:t>
      </w:r>
      <w:r w:rsidR="00A03E76">
        <w:rPr>
          <w:b/>
        </w:rPr>
        <w:t xml:space="preserve">osoby </w:t>
      </w:r>
      <w:r w:rsidRPr="00864149">
        <w:t>se</w:t>
      </w:r>
      <w:r>
        <w:t xml:space="preserve"> </w:t>
      </w:r>
      <w:r w:rsidRPr="00864149">
        <w:t>po</w:t>
      </w:r>
      <w:r>
        <w:t xml:space="preserve"> </w:t>
      </w:r>
      <w:r w:rsidRPr="00864149">
        <w:t>skončení</w:t>
      </w:r>
      <w:r>
        <w:t xml:space="preserve"> </w:t>
      </w:r>
      <w:r w:rsidRPr="00864149">
        <w:t>roku</w:t>
      </w:r>
      <w:r>
        <w:t xml:space="preserve"> </w:t>
      </w:r>
      <w:r w:rsidRPr="00864149">
        <w:t>převádějí</w:t>
      </w:r>
      <w:r>
        <w:t xml:space="preserve"> </w:t>
      </w:r>
      <w:r w:rsidRPr="00864149">
        <w:t>do</w:t>
      </w:r>
      <w:r>
        <w:t xml:space="preserve"> </w:t>
      </w:r>
      <w:r w:rsidRPr="00864149">
        <w:t>roku</w:t>
      </w:r>
      <w:r>
        <w:t xml:space="preserve"> </w:t>
      </w:r>
      <w:r w:rsidRPr="00864149">
        <w:t>následujícího.</w:t>
      </w:r>
    </w:p>
    <w:p w14:paraId="44BF8705" w14:textId="7853AB16" w:rsidR="002465DA" w:rsidRPr="00AB5ED2" w:rsidRDefault="002465DA" w:rsidP="00A84DD3">
      <w:pPr>
        <w:pStyle w:val="paragraph"/>
        <w:spacing w:before="120" w:beforeAutospacing="0" w:after="120" w:afterAutospacing="0"/>
        <w:ind w:firstLine="426"/>
        <w:jc w:val="both"/>
        <w:textAlignment w:val="baseline"/>
        <w:rPr>
          <w:b/>
          <w:bCs/>
        </w:rPr>
      </w:pPr>
      <w:r w:rsidRPr="00050A1D">
        <w:rPr>
          <w:b/>
          <w:bCs/>
        </w:rPr>
        <w:t>(</w:t>
      </w:r>
      <w:r>
        <w:rPr>
          <w:b/>
          <w:bCs/>
        </w:rPr>
        <w:t>3</w:t>
      </w:r>
      <w:r w:rsidRPr="00050A1D">
        <w:rPr>
          <w:b/>
          <w:bCs/>
        </w:rPr>
        <w:t>)</w:t>
      </w:r>
      <w:r>
        <w:rPr>
          <w:b/>
          <w:bCs/>
        </w:rPr>
        <w:t xml:space="preserve"> Zůstatek zrušeného peněžního fondu převede školská právnická osoba na základě rozhodnutí zřizovatele nebo rady do jiného peněžního fondu nebo do svého rozpočtu.</w:t>
      </w:r>
    </w:p>
    <w:p w14:paraId="76938377" w14:textId="77777777" w:rsidR="0099047B" w:rsidRDefault="0099047B" w:rsidP="005A43C2">
      <w:pPr>
        <w:pStyle w:val="Textparagrafu"/>
        <w:tabs>
          <w:tab w:val="left" w:pos="392"/>
          <w:tab w:val="left" w:pos="840"/>
        </w:tabs>
        <w:spacing w:after="120"/>
        <w:ind w:firstLine="0"/>
        <w:jc w:val="center"/>
      </w:pPr>
      <w:r w:rsidRPr="00864149">
        <w:t>§</w:t>
      </w:r>
      <w:r>
        <w:t xml:space="preserve"> </w:t>
      </w:r>
      <w:r w:rsidRPr="00864149">
        <w:t>138</w:t>
      </w:r>
    </w:p>
    <w:p w14:paraId="14275129" w14:textId="77777777" w:rsidR="0099047B" w:rsidRPr="005A43C2" w:rsidRDefault="0099047B" w:rsidP="005A43C2">
      <w:pPr>
        <w:pStyle w:val="Textparagrafu"/>
        <w:tabs>
          <w:tab w:val="left" w:pos="392"/>
          <w:tab w:val="left" w:pos="840"/>
        </w:tabs>
        <w:spacing w:after="120"/>
        <w:ind w:firstLine="0"/>
        <w:jc w:val="center"/>
        <w:rPr>
          <w:b/>
        </w:rPr>
      </w:pPr>
      <w:r w:rsidRPr="005A43C2">
        <w:rPr>
          <w:b/>
        </w:rPr>
        <w:t>Fond kulturních a sociálních potřeb</w:t>
      </w:r>
    </w:p>
    <w:p w14:paraId="43615F25" w14:textId="77777777" w:rsidR="0099047B" w:rsidRDefault="0099047B" w:rsidP="00A84DD3">
      <w:pPr>
        <w:pStyle w:val="Textparagrafu"/>
        <w:tabs>
          <w:tab w:val="left" w:pos="392"/>
          <w:tab w:val="left" w:pos="840"/>
        </w:tabs>
        <w:spacing w:before="120" w:after="120"/>
      </w:pPr>
      <w:r w:rsidRPr="00864149">
        <w:t>(1)</w:t>
      </w:r>
      <w:r>
        <w:t xml:space="preserve"> </w:t>
      </w:r>
      <w:r w:rsidRPr="00864149">
        <w:t>Fond</w:t>
      </w:r>
      <w:r>
        <w:t xml:space="preserve"> </w:t>
      </w:r>
      <w:r w:rsidRPr="00864149">
        <w:t>kulturních</w:t>
      </w:r>
      <w:r>
        <w:t xml:space="preserve"> </w:t>
      </w:r>
      <w:r w:rsidRPr="00864149">
        <w:t>a</w:t>
      </w:r>
      <w:r>
        <w:t xml:space="preserve"> </w:t>
      </w:r>
      <w:r w:rsidRPr="00864149">
        <w:t>sociálních</w:t>
      </w:r>
      <w:r>
        <w:t xml:space="preserve"> </w:t>
      </w:r>
      <w:r w:rsidRPr="00864149">
        <w:t>potřeb</w:t>
      </w:r>
      <w:r>
        <w:t xml:space="preserve"> </w:t>
      </w:r>
      <w:r w:rsidRPr="00864149">
        <w:t>je</w:t>
      </w:r>
      <w:r>
        <w:t xml:space="preserve"> </w:t>
      </w:r>
      <w:r w:rsidRPr="00864149">
        <w:t>tvořen</w:t>
      </w:r>
      <w:r>
        <w:t xml:space="preserve"> </w:t>
      </w:r>
      <w:r w:rsidRPr="00864149">
        <w:t>základním</w:t>
      </w:r>
      <w:r>
        <w:t xml:space="preserve"> </w:t>
      </w:r>
      <w:r w:rsidRPr="00864149">
        <w:t>přídělem</w:t>
      </w:r>
      <w:r>
        <w:t xml:space="preserve"> </w:t>
      </w:r>
      <w:r w:rsidRPr="00864149">
        <w:t>na</w:t>
      </w:r>
      <w:r>
        <w:t xml:space="preserve"> </w:t>
      </w:r>
      <w:r w:rsidRPr="00864149">
        <w:t>vrub</w:t>
      </w:r>
      <w:r>
        <w:t xml:space="preserve"> </w:t>
      </w:r>
      <w:r w:rsidRPr="00864149">
        <w:t>výdajů</w:t>
      </w:r>
      <w:r>
        <w:t xml:space="preserve"> </w:t>
      </w:r>
      <w:r w:rsidRPr="00864149">
        <w:t>školské</w:t>
      </w:r>
      <w:r>
        <w:t xml:space="preserve"> </w:t>
      </w:r>
      <w:r w:rsidRPr="00864149">
        <w:t>právnické</w:t>
      </w:r>
      <w:r>
        <w:t xml:space="preserve"> </w:t>
      </w:r>
      <w:r w:rsidRPr="00864149">
        <w:t>osoby</w:t>
      </w:r>
      <w:r>
        <w:t xml:space="preserve"> </w:t>
      </w:r>
      <w:r w:rsidRPr="00864149">
        <w:t>zřízené</w:t>
      </w:r>
      <w:r>
        <w:t xml:space="preserve"> </w:t>
      </w:r>
      <w:r w:rsidRPr="00864149">
        <w:t>ministerstvem,</w:t>
      </w:r>
      <w:r>
        <w:t xml:space="preserve"> </w:t>
      </w:r>
      <w:r w:rsidRPr="00864149">
        <w:t>krajem,</w:t>
      </w:r>
      <w:r>
        <w:t xml:space="preserve"> </w:t>
      </w:r>
      <w:r w:rsidRPr="00864149">
        <w:t>obcí</w:t>
      </w:r>
      <w:r>
        <w:t xml:space="preserve"> </w:t>
      </w:r>
      <w:r w:rsidRPr="00864149">
        <w:t>nebo</w:t>
      </w:r>
      <w:r>
        <w:t xml:space="preserve"> </w:t>
      </w:r>
      <w:r w:rsidRPr="00864149">
        <w:t>svazkem</w:t>
      </w:r>
      <w:r>
        <w:t xml:space="preserve"> </w:t>
      </w:r>
      <w:r w:rsidRPr="00864149">
        <w:t>obcí</w:t>
      </w:r>
      <w:r>
        <w:t xml:space="preserve"> </w:t>
      </w:r>
      <w:r w:rsidRPr="00864149">
        <w:t>ve</w:t>
      </w:r>
      <w:r>
        <w:t xml:space="preserve"> </w:t>
      </w:r>
      <w:r w:rsidRPr="00864149">
        <w:t>výši</w:t>
      </w:r>
      <w:r>
        <w:t xml:space="preserve"> </w:t>
      </w:r>
      <w:r w:rsidRPr="00864149">
        <w:t>1</w:t>
      </w:r>
      <w:r>
        <w:t xml:space="preserve"> </w:t>
      </w:r>
      <w:r w:rsidRPr="00864149">
        <w:t>%</w:t>
      </w:r>
      <w:r>
        <w:t xml:space="preserve"> </w:t>
      </w:r>
      <w:r w:rsidRPr="00864149">
        <w:t>z</w:t>
      </w:r>
      <w:r>
        <w:t xml:space="preserve"> </w:t>
      </w:r>
      <w:r w:rsidRPr="00864149">
        <w:t>ročního</w:t>
      </w:r>
      <w:r>
        <w:t xml:space="preserve"> </w:t>
      </w:r>
      <w:r w:rsidRPr="00864149">
        <w:t>objemu</w:t>
      </w:r>
      <w:r>
        <w:t xml:space="preserve"> </w:t>
      </w:r>
      <w:r w:rsidRPr="00864149">
        <w:t>výdajů</w:t>
      </w:r>
      <w:r>
        <w:t xml:space="preserve"> </w:t>
      </w:r>
      <w:r w:rsidRPr="00864149">
        <w:t>zúčtovaných</w:t>
      </w:r>
      <w:r>
        <w:t xml:space="preserve"> </w:t>
      </w:r>
      <w:r w:rsidRPr="00864149">
        <w:t>na</w:t>
      </w:r>
      <w:r>
        <w:t xml:space="preserve"> </w:t>
      </w:r>
      <w:r w:rsidRPr="00864149">
        <w:t>platy</w:t>
      </w:r>
      <w:r>
        <w:t xml:space="preserve"> </w:t>
      </w:r>
      <w:r w:rsidRPr="00864149">
        <w:t>a</w:t>
      </w:r>
      <w:r>
        <w:t xml:space="preserve"> </w:t>
      </w:r>
      <w:r w:rsidRPr="00864149">
        <w:t>náhrady</w:t>
      </w:r>
      <w:r>
        <w:t xml:space="preserve"> </w:t>
      </w:r>
      <w:r w:rsidRPr="00864149">
        <w:t>platů,</w:t>
      </w:r>
      <w:r>
        <w:t xml:space="preserve"> </w:t>
      </w:r>
      <w:r w:rsidRPr="00864149">
        <w:t>popřípadě</w:t>
      </w:r>
      <w:r>
        <w:t xml:space="preserve"> </w:t>
      </w:r>
      <w:r w:rsidRPr="00864149">
        <w:t>na</w:t>
      </w:r>
      <w:r>
        <w:t xml:space="preserve"> </w:t>
      </w:r>
      <w:r w:rsidRPr="00864149">
        <w:t>mzdy</w:t>
      </w:r>
      <w:r>
        <w:t xml:space="preserve"> </w:t>
      </w:r>
      <w:r w:rsidRPr="00864149">
        <w:t>a</w:t>
      </w:r>
      <w:r>
        <w:t xml:space="preserve"> </w:t>
      </w:r>
      <w:r w:rsidRPr="00864149">
        <w:t>náhrady</w:t>
      </w:r>
      <w:r>
        <w:t xml:space="preserve"> </w:t>
      </w:r>
      <w:r w:rsidRPr="00864149">
        <w:t>mezd</w:t>
      </w:r>
      <w:r>
        <w:t xml:space="preserve"> </w:t>
      </w:r>
      <w:r w:rsidRPr="00864149">
        <w:t>a</w:t>
      </w:r>
      <w:r>
        <w:t xml:space="preserve"> </w:t>
      </w:r>
      <w:r w:rsidRPr="00864149">
        <w:t>na</w:t>
      </w:r>
      <w:r>
        <w:t xml:space="preserve"> </w:t>
      </w:r>
      <w:r w:rsidRPr="00864149">
        <w:t>odměny</w:t>
      </w:r>
      <w:r>
        <w:t xml:space="preserve"> </w:t>
      </w:r>
      <w:r w:rsidRPr="00864149">
        <w:t>za</w:t>
      </w:r>
      <w:r>
        <w:t xml:space="preserve"> </w:t>
      </w:r>
      <w:r w:rsidRPr="00864149">
        <w:t>pracovní</w:t>
      </w:r>
      <w:r>
        <w:t xml:space="preserve"> </w:t>
      </w:r>
      <w:r w:rsidRPr="00864149">
        <w:t>pohotovost,</w:t>
      </w:r>
      <w:r>
        <w:t xml:space="preserve"> </w:t>
      </w:r>
      <w:r w:rsidRPr="00864149">
        <w:t>na</w:t>
      </w:r>
      <w:r>
        <w:t xml:space="preserve"> </w:t>
      </w:r>
      <w:r w:rsidRPr="00864149">
        <w:t>odměny</w:t>
      </w:r>
      <w:r>
        <w:t xml:space="preserve"> </w:t>
      </w:r>
      <w:r w:rsidRPr="00864149">
        <w:t>a</w:t>
      </w:r>
      <w:r>
        <w:t xml:space="preserve"> </w:t>
      </w:r>
      <w:r w:rsidRPr="00864149">
        <w:t>ostatní</w:t>
      </w:r>
      <w:r>
        <w:t xml:space="preserve"> </w:t>
      </w:r>
      <w:r w:rsidRPr="00864149">
        <w:t>plnění</w:t>
      </w:r>
      <w:r>
        <w:t xml:space="preserve"> </w:t>
      </w:r>
      <w:r w:rsidRPr="00864149">
        <w:t>za</w:t>
      </w:r>
      <w:r>
        <w:t xml:space="preserve"> </w:t>
      </w:r>
      <w:r w:rsidRPr="00864149">
        <w:t>vykonávanou</w:t>
      </w:r>
      <w:r>
        <w:t xml:space="preserve"> </w:t>
      </w:r>
      <w:r w:rsidRPr="00864149">
        <w:t>práci.</w:t>
      </w:r>
      <w:r>
        <w:t xml:space="preserve"> </w:t>
      </w:r>
      <w:r w:rsidRPr="00864149">
        <w:t>Nejméně</w:t>
      </w:r>
      <w:r>
        <w:t xml:space="preserve"> </w:t>
      </w:r>
      <w:r w:rsidRPr="00864149">
        <w:t>50</w:t>
      </w:r>
      <w:r>
        <w:t xml:space="preserve"> </w:t>
      </w:r>
      <w:r w:rsidRPr="00864149">
        <w:t>%</w:t>
      </w:r>
      <w:r>
        <w:t xml:space="preserve"> </w:t>
      </w:r>
      <w:r w:rsidRPr="00864149">
        <w:t>ze</w:t>
      </w:r>
      <w:r>
        <w:t xml:space="preserve"> </w:t>
      </w:r>
      <w:r w:rsidRPr="00864149">
        <w:t>základního</w:t>
      </w:r>
      <w:r>
        <w:t xml:space="preserve"> </w:t>
      </w:r>
      <w:r w:rsidRPr="00864149">
        <w:t>přídělu</w:t>
      </w:r>
      <w:r>
        <w:t xml:space="preserve"> </w:t>
      </w:r>
      <w:r w:rsidRPr="00864149">
        <w:t>podle</w:t>
      </w:r>
      <w:r>
        <w:t xml:space="preserve"> </w:t>
      </w:r>
      <w:r w:rsidRPr="00864149">
        <w:t>věty</w:t>
      </w:r>
      <w:r>
        <w:t xml:space="preserve"> </w:t>
      </w:r>
      <w:r w:rsidRPr="00864149">
        <w:t>první</w:t>
      </w:r>
      <w:r>
        <w:t xml:space="preserve"> </w:t>
      </w:r>
      <w:r w:rsidRPr="00864149">
        <w:t>se</w:t>
      </w:r>
      <w:r>
        <w:t xml:space="preserve"> </w:t>
      </w:r>
      <w:r w:rsidRPr="00864149">
        <w:t>použije</w:t>
      </w:r>
      <w:r>
        <w:t xml:space="preserve"> </w:t>
      </w:r>
      <w:r w:rsidRPr="00864149">
        <w:t>na</w:t>
      </w:r>
      <w:r>
        <w:t xml:space="preserve"> </w:t>
      </w:r>
      <w:r w:rsidRPr="00864149">
        <w:t>příspěvky</w:t>
      </w:r>
      <w:r>
        <w:t xml:space="preserve"> </w:t>
      </w:r>
      <w:r w:rsidRPr="00864149">
        <w:t>na</w:t>
      </w:r>
      <w:r>
        <w:t xml:space="preserve"> </w:t>
      </w:r>
      <w:r w:rsidRPr="00864149">
        <w:t>produkty</w:t>
      </w:r>
      <w:r>
        <w:t xml:space="preserve"> </w:t>
      </w:r>
      <w:r w:rsidRPr="00864149">
        <w:t>spoření</w:t>
      </w:r>
      <w:r>
        <w:t xml:space="preserve"> </w:t>
      </w:r>
      <w:r w:rsidRPr="00864149">
        <w:t>na</w:t>
      </w:r>
      <w:r>
        <w:t xml:space="preserve"> </w:t>
      </w:r>
      <w:r w:rsidRPr="00864149">
        <w:t>stáří</w:t>
      </w:r>
      <w:r>
        <w:t xml:space="preserve"> </w:t>
      </w:r>
      <w:r w:rsidRPr="00864149">
        <w:t>zaměstnanců,</w:t>
      </w:r>
      <w:r>
        <w:t xml:space="preserve"> </w:t>
      </w:r>
      <w:r w:rsidRPr="00864149">
        <w:t>které</w:t>
      </w:r>
      <w:r>
        <w:t xml:space="preserve"> </w:t>
      </w:r>
      <w:r w:rsidRPr="00864149">
        <w:t>jsou</w:t>
      </w:r>
      <w:r>
        <w:t xml:space="preserve"> </w:t>
      </w:r>
      <w:r w:rsidRPr="00864149">
        <w:t>osvobozeny</w:t>
      </w:r>
      <w:r>
        <w:t xml:space="preserve"> </w:t>
      </w:r>
      <w:r w:rsidRPr="00864149">
        <w:t>od</w:t>
      </w:r>
      <w:r>
        <w:t xml:space="preserve"> </w:t>
      </w:r>
      <w:r w:rsidRPr="00864149">
        <w:t>daně</w:t>
      </w:r>
      <w:r>
        <w:t xml:space="preserve"> </w:t>
      </w:r>
      <w:r w:rsidRPr="00864149">
        <w:t>z</w:t>
      </w:r>
      <w:r>
        <w:t xml:space="preserve"> </w:t>
      </w:r>
      <w:r w:rsidRPr="00864149">
        <w:t>příjmů</w:t>
      </w:r>
      <w:r>
        <w:t xml:space="preserve"> </w:t>
      </w:r>
      <w:r w:rsidRPr="00864149">
        <w:t>fyzických</w:t>
      </w:r>
      <w:r>
        <w:t xml:space="preserve"> </w:t>
      </w:r>
      <w:r w:rsidRPr="00864149">
        <w:t>osob.</w:t>
      </w:r>
    </w:p>
    <w:p w14:paraId="098BF2B3" w14:textId="7D99818C" w:rsidR="0099047B" w:rsidRDefault="0099047B" w:rsidP="00A84DD3">
      <w:pPr>
        <w:pStyle w:val="Textparagrafu"/>
        <w:tabs>
          <w:tab w:val="left" w:pos="392"/>
          <w:tab w:val="left" w:pos="840"/>
        </w:tabs>
        <w:spacing w:before="120" w:after="120"/>
      </w:pPr>
      <w:r w:rsidRPr="00864149">
        <w:lastRenderedPageBreak/>
        <w:t>(2)</w:t>
      </w:r>
      <w:r>
        <w:t xml:space="preserve"> </w:t>
      </w:r>
      <w:r w:rsidRPr="00864149">
        <w:t>Fond</w:t>
      </w:r>
      <w:r>
        <w:t xml:space="preserve"> </w:t>
      </w:r>
      <w:r w:rsidRPr="00864149">
        <w:t>kulturních</w:t>
      </w:r>
      <w:r>
        <w:t xml:space="preserve"> </w:t>
      </w:r>
      <w:r w:rsidRPr="00864149">
        <w:t>a</w:t>
      </w:r>
      <w:r>
        <w:t xml:space="preserve"> </w:t>
      </w:r>
      <w:r w:rsidRPr="00864149">
        <w:t>sociálních</w:t>
      </w:r>
      <w:r>
        <w:t xml:space="preserve"> </w:t>
      </w:r>
      <w:r w:rsidRPr="00864149">
        <w:t>potřeb</w:t>
      </w:r>
      <w:r>
        <w:t xml:space="preserve"> </w:t>
      </w:r>
      <w:r w:rsidRPr="00864149">
        <w:t>je</w:t>
      </w:r>
      <w:r>
        <w:t xml:space="preserve"> </w:t>
      </w:r>
      <w:r w:rsidRPr="00864149">
        <w:t>naplňován</w:t>
      </w:r>
      <w:r>
        <w:t xml:space="preserve"> </w:t>
      </w:r>
      <w:r w:rsidRPr="00864149">
        <w:t>zálohově</w:t>
      </w:r>
      <w:r>
        <w:t xml:space="preserve"> </w:t>
      </w:r>
      <w:r w:rsidRPr="00864149">
        <w:t>z</w:t>
      </w:r>
      <w:r>
        <w:t xml:space="preserve"> </w:t>
      </w:r>
      <w:r w:rsidRPr="00864149">
        <w:t>roční</w:t>
      </w:r>
      <w:r>
        <w:t xml:space="preserve"> </w:t>
      </w:r>
      <w:r w:rsidRPr="00864149">
        <w:t>plánované</w:t>
      </w:r>
      <w:r>
        <w:t xml:space="preserve"> </w:t>
      </w:r>
      <w:r w:rsidRPr="00864149">
        <w:t>výše</w:t>
      </w:r>
      <w:r>
        <w:t xml:space="preserve"> </w:t>
      </w:r>
      <w:r w:rsidRPr="00864149">
        <w:t>v</w:t>
      </w:r>
      <w:r>
        <w:t xml:space="preserve"> </w:t>
      </w:r>
      <w:r w:rsidRPr="00864149">
        <w:t>souladu</w:t>
      </w:r>
      <w:r>
        <w:t xml:space="preserve"> </w:t>
      </w:r>
      <w:r w:rsidRPr="00864149">
        <w:t>s</w:t>
      </w:r>
      <w:r>
        <w:t xml:space="preserve"> </w:t>
      </w:r>
      <w:r w:rsidRPr="00864149">
        <w:t>jeho</w:t>
      </w:r>
      <w:r>
        <w:t xml:space="preserve"> </w:t>
      </w:r>
      <w:r w:rsidRPr="00864149">
        <w:t>schváleným</w:t>
      </w:r>
      <w:r>
        <w:t xml:space="preserve"> </w:t>
      </w:r>
      <w:r w:rsidRPr="00864149">
        <w:t>rozpočtem.</w:t>
      </w:r>
      <w:r>
        <w:t xml:space="preserve"> </w:t>
      </w:r>
      <w:r w:rsidRPr="00864149">
        <w:t>Vyúčtování</w:t>
      </w:r>
      <w:r>
        <w:t xml:space="preserve"> </w:t>
      </w:r>
      <w:r w:rsidRPr="00864149">
        <w:t>skutečného</w:t>
      </w:r>
      <w:r>
        <w:t xml:space="preserve"> </w:t>
      </w:r>
      <w:r w:rsidRPr="00864149">
        <w:t>základního</w:t>
      </w:r>
      <w:r>
        <w:t xml:space="preserve"> </w:t>
      </w:r>
      <w:r w:rsidRPr="00864149">
        <w:t>přídělu</w:t>
      </w:r>
      <w:r>
        <w:t xml:space="preserve"> </w:t>
      </w:r>
      <w:r w:rsidRPr="00864149">
        <w:t>se</w:t>
      </w:r>
      <w:r>
        <w:t xml:space="preserve"> </w:t>
      </w:r>
      <w:r w:rsidRPr="00864149">
        <w:t>provede</w:t>
      </w:r>
      <w:r>
        <w:t xml:space="preserve"> </w:t>
      </w:r>
      <w:r w:rsidRPr="00864149">
        <w:t>v</w:t>
      </w:r>
      <w:r>
        <w:t xml:space="preserve"> </w:t>
      </w:r>
      <w:r w:rsidRPr="00864149">
        <w:t>rámci</w:t>
      </w:r>
      <w:r>
        <w:t xml:space="preserve"> </w:t>
      </w:r>
      <w:r w:rsidR="002465DA">
        <w:rPr>
          <w:b/>
        </w:rPr>
        <w:t xml:space="preserve">řádné individuální </w:t>
      </w:r>
      <w:r w:rsidRPr="00864149">
        <w:t>účetní</w:t>
      </w:r>
      <w:r>
        <w:t xml:space="preserve"> </w:t>
      </w:r>
      <w:r w:rsidRPr="00864149">
        <w:t>závěrky.</w:t>
      </w:r>
    </w:p>
    <w:p w14:paraId="58EA71DA" w14:textId="77777777" w:rsidR="0099047B" w:rsidRDefault="0099047B" w:rsidP="00A84DD3">
      <w:pPr>
        <w:pStyle w:val="Textparagrafu"/>
        <w:tabs>
          <w:tab w:val="left" w:pos="392"/>
          <w:tab w:val="left" w:pos="840"/>
        </w:tabs>
        <w:spacing w:before="120" w:after="120"/>
      </w:pPr>
      <w:r w:rsidRPr="00864149">
        <w:t>(3)</w:t>
      </w:r>
      <w:r>
        <w:t xml:space="preserve"> </w:t>
      </w:r>
      <w:r w:rsidRPr="00864149">
        <w:t>Fond</w:t>
      </w:r>
      <w:r>
        <w:t xml:space="preserve"> </w:t>
      </w:r>
      <w:r w:rsidRPr="00864149">
        <w:t>kulturních</w:t>
      </w:r>
      <w:r>
        <w:t xml:space="preserve"> </w:t>
      </w:r>
      <w:r w:rsidRPr="00864149">
        <w:t>a</w:t>
      </w:r>
      <w:r>
        <w:t xml:space="preserve"> </w:t>
      </w:r>
      <w:r w:rsidRPr="00864149">
        <w:t>sociálních</w:t>
      </w:r>
      <w:r>
        <w:t xml:space="preserve"> </w:t>
      </w:r>
      <w:r w:rsidRPr="00864149">
        <w:t>potřeb</w:t>
      </w:r>
      <w:r>
        <w:t xml:space="preserve"> </w:t>
      </w:r>
      <w:r w:rsidRPr="00864149">
        <w:t>je</w:t>
      </w:r>
      <w:r>
        <w:t xml:space="preserve"> </w:t>
      </w:r>
      <w:r w:rsidRPr="00864149">
        <w:t>určen</w:t>
      </w:r>
      <w:r>
        <w:t xml:space="preserve"> </w:t>
      </w:r>
      <w:r w:rsidRPr="00864149">
        <w:t>k</w:t>
      </w:r>
      <w:r>
        <w:t xml:space="preserve"> </w:t>
      </w:r>
      <w:r w:rsidRPr="00864149">
        <w:t>zabezpečování</w:t>
      </w:r>
      <w:r>
        <w:t xml:space="preserve"> </w:t>
      </w:r>
      <w:r w:rsidRPr="00864149">
        <w:t>kulturních,</w:t>
      </w:r>
      <w:r>
        <w:t xml:space="preserve"> </w:t>
      </w:r>
      <w:r w:rsidRPr="00864149">
        <w:t>sociálních</w:t>
      </w:r>
      <w:r>
        <w:t xml:space="preserve"> </w:t>
      </w:r>
      <w:r w:rsidRPr="00864149">
        <w:t>a</w:t>
      </w:r>
      <w:r>
        <w:t xml:space="preserve"> </w:t>
      </w:r>
      <w:r w:rsidRPr="00864149">
        <w:t>dalších</w:t>
      </w:r>
      <w:r>
        <w:t xml:space="preserve"> </w:t>
      </w:r>
      <w:r w:rsidRPr="00864149">
        <w:t>potřeb</w:t>
      </w:r>
      <w:r>
        <w:t xml:space="preserve"> </w:t>
      </w:r>
      <w:r w:rsidRPr="00864149">
        <w:t>zaměstnanců</w:t>
      </w:r>
      <w:r>
        <w:t xml:space="preserve"> </w:t>
      </w:r>
      <w:r w:rsidRPr="00864149">
        <w:t>v</w:t>
      </w:r>
      <w:r>
        <w:t xml:space="preserve"> </w:t>
      </w:r>
      <w:r w:rsidRPr="00864149">
        <w:t>pracovním</w:t>
      </w:r>
      <w:r>
        <w:t xml:space="preserve"> </w:t>
      </w:r>
      <w:r w:rsidRPr="00864149">
        <w:t>poměru</w:t>
      </w:r>
      <w:r>
        <w:t xml:space="preserve"> </w:t>
      </w:r>
      <w:r w:rsidRPr="00864149">
        <w:t>ke</w:t>
      </w:r>
      <w:r>
        <w:t xml:space="preserve"> </w:t>
      </w:r>
      <w:r w:rsidRPr="00864149">
        <w:t>školské</w:t>
      </w:r>
      <w:r>
        <w:t xml:space="preserve"> </w:t>
      </w:r>
      <w:r w:rsidRPr="00864149">
        <w:t>právnické</w:t>
      </w:r>
      <w:r>
        <w:t xml:space="preserve"> </w:t>
      </w:r>
      <w:r w:rsidRPr="00864149">
        <w:t>osobě</w:t>
      </w:r>
      <w:r>
        <w:t xml:space="preserve"> </w:t>
      </w:r>
      <w:r w:rsidRPr="00864149">
        <w:t>a</w:t>
      </w:r>
      <w:r>
        <w:t xml:space="preserve"> </w:t>
      </w:r>
      <w:r w:rsidRPr="00864149">
        <w:t>jejich</w:t>
      </w:r>
      <w:r>
        <w:t xml:space="preserve"> </w:t>
      </w:r>
      <w:r w:rsidRPr="00864149">
        <w:t>rodinných</w:t>
      </w:r>
      <w:r>
        <w:t xml:space="preserve"> </w:t>
      </w:r>
      <w:r w:rsidRPr="00864149">
        <w:t>příslušníků,</w:t>
      </w:r>
      <w:r>
        <w:t xml:space="preserve"> </w:t>
      </w:r>
      <w:r w:rsidRPr="00864149">
        <w:t>a</w:t>
      </w:r>
      <w:r>
        <w:t xml:space="preserve"> </w:t>
      </w:r>
      <w:r w:rsidRPr="00864149">
        <w:t>důchodců,</w:t>
      </w:r>
      <w:r>
        <w:t xml:space="preserve"> </w:t>
      </w:r>
      <w:r w:rsidRPr="00864149">
        <w:t>kteří</w:t>
      </w:r>
      <w:r>
        <w:t xml:space="preserve"> </w:t>
      </w:r>
      <w:r w:rsidRPr="00864149">
        <w:t>při</w:t>
      </w:r>
      <w:r>
        <w:t xml:space="preserve"> </w:t>
      </w:r>
      <w:r w:rsidRPr="00864149">
        <w:t>prvém</w:t>
      </w:r>
      <w:r>
        <w:t xml:space="preserve"> </w:t>
      </w:r>
      <w:r w:rsidRPr="00864149">
        <w:t>odchodu</w:t>
      </w:r>
      <w:r>
        <w:t xml:space="preserve"> </w:t>
      </w:r>
      <w:r w:rsidRPr="00864149">
        <w:t>do</w:t>
      </w:r>
      <w:r>
        <w:t xml:space="preserve"> </w:t>
      </w:r>
      <w:r w:rsidRPr="00864149">
        <w:t>starobního</w:t>
      </w:r>
      <w:r>
        <w:t xml:space="preserve"> </w:t>
      </w:r>
      <w:r w:rsidRPr="00864149">
        <w:t>důchodu</w:t>
      </w:r>
      <w:r>
        <w:t xml:space="preserve"> </w:t>
      </w:r>
      <w:r w:rsidRPr="00864149">
        <w:t>nebo</w:t>
      </w:r>
      <w:r>
        <w:t xml:space="preserve"> </w:t>
      </w:r>
      <w:r w:rsidRPr="00864149">
        <w:t>invalidního</w:t>
      </w:r>
      <w:r>
        <w:t xml:space="preserve"> </w:t>
      </w:r>
      <w:r w:rsidRPr="00864149">
        <w:t>důchodu</w:t>
      </w:r>
      <w:r>
        <w:t xml:space="preserve"> </w:t>
      </w:r>
      <w:r w:rsidRPr="00864149">
        <w:t>pro</w:t>
      </w:r>
      <w:r>
        <w:t xml:space="preserve"> </w:t>
      </w:r>
      <w:r w:rsidRPr="00864149">
        <w:t>invaliditu</w:t>
      </w:r>
      <w:r>
        <w:t xml:space="preserve"> </w:t>
      </w:r>
      <w:r w:rsidRPr="00864149">
        <w:t>třetího</w:t>
      </w:r>
      <w:r>
        <w:t xml:space="preserve"> </w:t>
      </w:r>
      <w:r w:rsidRPr="00864149">
        <w:t>stupně</w:t>
      </w:r>
      <w:r>
        <w:t xml:space="preserve"> </w:t>
      </w:r>
      <w:r w:rsidRPr="00864149">
        <w:t>byli</w:t>
      </w:r>
      <w:r>
        <w:t xml:space="preserve"> </w:t>
      </w:r>
      <w:r w:rsidRPr="00864149">
        <w:t>v</w:t>
      </w:r>
      <w:r>
        <w:t xml:space="preserve"> </w:t>
      </w:r>
      <w:r w:rsidRPr="00864149">
        <w:t>pracovním</w:t>
      </w:r>
      <w:r>
        <w:t xml:space="preserve"> </w:t>
      </w:r>
      <w:r w:rsidRPr="00864149">
        <w:t>poměru</w:t>
      </w:r>
      <w:r>
        <w:t xml:space="preserve"> </w:t>
      </w:r>
      <w:r w:rsidRPr="00864149">
        <w:t>ke</w:t>
      </w:r>
      <w:r>
        <w:t xml:space="preserve"> </w:t>
      </w:r>
      <w:r w:rsidRPr="00864149">
        <w:t>školské</w:t>
      </w:r>
      <w:r>
        <w:t xml:space="preserve"> </w:t>
      </w:r>
      <w:r w:rsidRPr="00864149">
        <w:t>právnické</w:t>
      </w:r>
      <w:r>
        <w:t xml:space="preserve"> </w:t>
      </w:r>
      <w:r w:rsidRPr="00864149">
        <w:t>osobě</w:t>
      </w:r>
      <w:r>
        <w:t xml:space="preserve"> </w:t>
      </w:r>
      <w:r w:rsidRPr="00864149">
        <w:t>nebo</w:t>
      </w:r>
      <w:r>
        <w:t xml:space="preserve"> </w:t>
      </w:r>
      <w:r w:rsidRPr="00864149">
        <w:t>k</w:t>
      </w:r>
      <w:r>
        <w:t xml:space="preserve"> </w:t>
      </w:r>
      <w:r w:rsidRPr="00864149">
        <w:t>okresnímu</w:t>
      </w:r>
      <w:r>
        <w:t xml:space="preserve"> </w:t>
      </w:r>
      <w:r w:rsidRPr="00864149">
        <w:t>úřadu</w:t>
      </w:r>
      <w:r>
        <w:t xml:space="preserve"> </w:t>
      </w:r>
      <w:r w:rsidRPr="00864149">
        <w:t>za</w:t>
      </w:r>
      <w:r>
        <w:t xml:space="preserve"> </w:t>
      </w:r>
      <w:r w:rsidRPr="00864149">
        <w:t>předpokladu,</w:t>
      </w:r>
      <w:r>
        <w:t xml:space="preserve"> </w:t>
      </w:r>
      <w:r w:rsidRPr="00864149">
        <w:t>že</w:t>
      </w:r>
      <w:r>
        <w:t xml:space="preserve"> </w:t>
      </w:r>
      <w:r w:rsidRPr="00864149">
        <w:t>byli</w:t>
      </w:r>
      <w:r>
        <w:t xml:space="preserve"> </w:t>
      </w:r>
      <w:r w:rsidRPr="00864149">
        <w:t>zařazeni</w:t>
      </w:r>
      <w:r>
        <w:t xml:space="preserve"> </w:t>
      </w:r>
      <w:r w:rsidRPr="00864149">
        <w:t>k</w:t>
      </w:r>
      <w:r>
        <w:t xml:space="preserve"> </w:t>
      </w:r>
      <w:r w:rsidRPr="00864149">
        <w:t>práci</w:t>
      </w:r>
      <w:r>
        <w:t xml:space="preserve"> </w:t>
      </w:r>
      <w:r w:rsidRPr="00864149">
        <w:t>ve</w:t>
      </w:r>
      <w:r>
        <w:t xml:space="preserve"> </w:t>
      </w:r>
      <w:r w:rsidRPr="00864149">
        <w:t>škole</w:t>
      </w:r>
      <w:r>
        <w:t xml:space="preserve"> </w:t>
      </w:r>
      <w:r w:rsidRPr="00864149">
        <w:t>nebo</w:t>
      </w:r>
      <w:r>
        <w:t xml:space="preserve"> </w:t>
      </w:r>
      <w:r w:rsidRPr="00864149">
        <w:t>školském</w:t>
      </w:r>
      <w:r>
        <w:t xml:space="preserve"> </w:t>
      </w:r>
      <w:r w:rsidRPr="00864149">
        <w:t>zařízení</w:t>
      </w:r>
      <w:r>
        <w:t xml:space="preserve"> </w:t>
      </w:r>
      <w:r w:rsidRPr="00864149">
        <w:t>bez</w:t>
      </w:r>
      <w:r>
        <w:t xml:space="preserve"> </w:t>
      </w:r>
      <w:r w:rsidRPr="00864149">
        <w:t>právní</w:t>
      </w:r>
      <w:r>
        <w:t xml:space="preserve"> </w:t>
      </w:r>
      <w:r w:rsidRPr="00864149">
        <w:t>subjektivity</w:t>
      </w:r>
      <w:r>
        <w:t xml:space="preserve"> </w:t>
      </w:r>
      <w:r w:rsidRPr="00864149">
        <w:t>nebo</w:t>
      </w:r>
      <w:r>
        <w:t xml:space="preserve"> </w:t>
      </w:r>
      <w:r w:rsidRPr="00864149">
        <w:t>k</w:t>
      </w:r>
      <w:r>
        <w:t xml:space="preserve"> </w:t>
      </w:r>
      <w:r w:rsidRPr="00864149">
        <w:t>právnické</w:t>
      </w:r>
      <w:r>
        <w:t xml:space="preserve"> </w:t>
      </w:r>
      <w:r w:rsidRPr="00864149">
        <w:t>osobě</w:t>
      </w:r>
      <w:r>
        <w:t xml:space="preserve"> </w:t>
      </w:r>
      <w:r w:rsidRPr="00864149">
        <w:t>před</w:t>
      </w:r>
      <w:r>
        <w:t xml:space="preserve"> </w:t>
      </w:r>
      <w:r w:rsidRPr="00864149">
        <w:t>změnou</w:t>
      </w:r>
      <w:r>
        <w:t xml:space="preserve"> </w:t>
      </w:r>
      <w:r w:rsidRPr="00864149">
        <w:t>její</w:t>
      </w:r>
      <w:r>
        <w:t xml:space="preserve"> </w:t>
      </w:r>
      <w:r w:rsidRPr="00864149">
        <w:t>právní</w:t>
      </w:r>
      <w:r>
        <w:t xml:space="preserve"> </w:t>
      </w:r>
      <w:r w:rsidRPr="00864149">
        <w:t>formy</w:t>
      </w:r>
      <w:r>
        <w:t xml:space="preserve"> </w:t>
      </w:r>
      <w:r w:rsidRPr="00864149">
        <w:t>na</w:t>
      </w:r>
      <w:r>
        <w:t xml:space="preserve"> </w:t>
      </w:r>
      <w:r w:rsidRPr="00864149">
        <w:t>školskou</w:t>
      </w:r>
      <w:r>
        <w:t xml:space="preserve"> </w:t>
      </w:r>
      <w:r w:rsidRPr="00864149">
        <w:t>právnickou</w:t>
      </w:r>
      <w:r>
        <w:t xml:space="preserve"> </w:t>
      </w:r>
      <w:r w:rsidRPr="00864149">
        <w:t>osobu</w:t>
      </w:r>
      <w:r>
        <w:t xml:space="preserve"> </w:t>
      </w:r>
      <w:r w:rsidRPr="00864149">
        <w:t>podle</w:t>
      </w:r>
      <w:r>
        <w:t xml:space="preserve"> </w:t>
      </w:r>
      <w:r w:rsidRPr="00864149">
        <w:t>§</w:t>
      </w:r>
      <w:r>
        <w:t xml:space="preserve"> </w:t>
      </w:r>
      <w:r w:rsidRPr="00864149">
        <w:t>187.</w:t>
      </w:r>
    </w:p>
    <w:p w14:paraId="351E9435" w14:textId="6C50D5D5" w:rsidR="0099047B" w:rsidRDefault="0099047B" w:rsidP="00A84DD3">
      <w:pPr>
        <w:pStyle w:val="Textparagrafu"/>
        <w:tabs>
          <w:tab w:val="left" w:pos="392"/>
          <w:tab w:val="left" w:pos="840"/>
        </w:tabs>
        <w:spacing w:before="120" w:after="120"/>
      </w:pPr>
      <w:r w:rsidRPr="00864149">
        <w:t>(4)</w:t>
      </w:r>
      <w:r>
        <w:t xml:space="preserve"> </w:t>
      </w:r>
      <w:r w:rsidRPr="00864149">
        <w:t>Školské</w:t>
      </w:r>
      <w:r>
        <w:t xml:space="preserve"> </w:t>
      </w:r>
      <w:r w:rsidRPr="00864149">
        <w:t>právnické</w:t>
      </w:r>
      <w:r>
        <w:t xml:space="preserve"> </w:t>
      </w:r>
      <w:r w:rsidRPr="00864149">
        <w:t>osoby</w:t>
      </w:r>
      <w:r>
        <w:t xml:space="preserve"> </w:t>
      </w:r>
      <w:r w:rsidRPr="00864149">
        <w:t>zřizované</w:t>
      </w:r>
      <w:r>
        <w:t xml:space="preserve"> </w:t>
      </w:r>
      <w:r w:rsidRPr="00864149">
        <w:t>krajem,</w:t>
      </w:r>
      <w:r>
        <w:t xml:space="preserve"> </w:t>
      </w:r>
      <w:r w:rsidRPr="00864149">
        <w:t>obcí</w:t>
      </w:r>
      <w:r>
        <w:t xml:space="preserve"> </w:t>
      </w:r>
      <w:r w:rsidRPr="00864149">
        <w:t>nebo</w:t>
      </w:r>
      <w:r>
        <w:t xml:space="preserve"> </w:t>
      </w:r>
      <w:r w:rsidRPr="00864149">
        <w:t>svazkem</w:t>
      </w:r>
      <w:r>
        <w:t xml:space="preserve"> </w:t>
      </w:r>
      <w:r w:rsidRPr="00864149">
        <w:t>obcí</w:t>
      </w:r>
      <w:r>
        <w:t xml:space="preserve"> </w:t>
      </w:r>
      <w:r w:rsidRPr="00864149">
        <w:t>mohou</w:t>
      </w:r>
      <w:r>
        <w:t xml:space="preserve"> </w:t>
      </w:r>
      <w:r w:rsidRPr="00864149">
        <w:t>sdružovat</w:t>
      </w:r>
      <w:r>
        <w:t xml:space="preserve"> </w:t>
      </w:r>
      <w:r w:rsidRPr="00864149">
        <w:t>prostředky</w:t>
      </w:r>
      <w:r>
        <w:t xml:space="preserve"> </w:t>
      </w:r>
      <w:r w:rsidRPr="00864149">
        <w:t>fondu</w:t>
      </w:r>
      <w:r>
        <w:t xml:space="preserve"> </w:t>
      </w:r>
      <w:r w:rsidRPr="00864149">
        <w:t>kulturních</w:t>
      </w:r>
      <w:r>
        <w:t xml:space="preserve"> </w:t>
      </w:r>
      <w:r w:rsidRPr="00864149">
        <w:t>a</w:t>
      </w:r>
      <w:r>
        <w:t xml:space="preserve"> </w:t>
      </w:r>
      <w:r w:rsidRPr="00864149">
        <w:t>sociálních</w:t>
      </w:r>
      <w:r>
        <w:t xml:space="preserve"> </w:t>
      </w:r>
      <w:r w:rsidRPr="00864149">
        <w:t>potřeb,</w:t>
      </w:r>
      <w:r>
        <w:t xml:space="preserve"> </w:t>
      </w:r>
      <w:r w:rsidRPr="00864149">
        <w:t>a</w:t>
      </w:r>
      <w:r>
        <w:t xml:space="preserve"> </w:t>
      </w:r>
      <w:r w:rsidRPr="00864149">
        <w:t>to</w:t>
      </w:r>
      <w:r>
        <w:t xml:space="preserve"> </w:t>
      </w:r>
      <w:r w:rsidRPr="00864149">
        <w:t>na</w:t>
      </w:r>
      <w:r>
        <w:t xml:space="preserve"> </w:t>
      </w:r>
      <w:r w:rsidRPr="00864149">
        <w:t>základě</w:t>
      </w:r>
      <w:r>
        <w:t xml:space="preserve"> </w:t>
      </w:r>
      <w:r w:rsidRPr="00864149">
        <w:t>smlouvy</w:t>
      </w:r>
      <w:r>
        <w:t xml:space="preserve"> </w:t>
      </w:r>
      <w:r w:rsidRPr="00864149">
        <w:t>o</w:t>
      </w:r>
      <w:r>
        <w:t xml:space="preserve"> </w:t>
      </w:r>
      <w:r w:rsidRPr="00864149">
        <w:t>sdružení.</w:t>
      </w:r>
      <w:r w:rsidR="005A43C2">
        <w:rPr>
          <w:rStyle w:val="Znakapoznpodarou"/>
        </w:rPr>
        <w:footnoteReference w:customMarkFollows="1" w:id="471"/>
        <w:t>32)</w:t>
      </w:r>
    </w:p>
    <w:p w14:paraId="71289130" w14:textId="77777777" w:rsidR="0099047B" w:rsidRDefault="0099047B" w:rsidP="00A84DD3">
      <w:pPr>
        <w:pStyle w:val="Textparagrafu"/>
        <w:tabs>
          <w:tab w:val="left" w:pos="392"/>
          <w:tab w:val="left" w:pos="840"/>
        </w:tabs>
        <w:spacing w:before="120" w:after="120"/>
      </w:pPr>
      <w:r w:rsidRPr="00864149">
        <w:t>(5)</w:t>
      </w:r>
      <w:r>
        <w:t xml:space="preserve"> </w:t>
      </w:r>
      <w:r w:rsidRPr="00864149">
        <w:t>Ve</w:t>
      </w:r>
      <w:r>
        <w:t xml:space="preserve"> </w:t>
      </w:r>
      <w:r w:rsidRPr="00864149">
        <w:t>smlouvě</w:t>
      </w:r>
      <w:r>
        <w:t xml:space="preserve"> </w:t>
      </w:r>
      <w:r w:rsidRPr="00864149">
        <w:t>o</w:t>
      </w:r>
      <w:r>
        <w:t xml:space="preserve"> </w:t>
      </w:r>
      <w:r w:rsidRPr="00864149">
        <w:t>sdružení</w:t>
      </w:r>
      <w:r>
        <w:t xml:space="preserve"> </w:t>
      </w:r>
      <w:r w:rsidRPr="00864149">
        <w:t>je</w:t>
      </w:r>
      <w:r>
        <w:t xml:space="preserve"> </w:t>
      </w:r>
      <w:r w:rsidRPr="00864149">
        <w:t>nutné</w:t>
      </w:r>
      <w:r>
        <w:t xml:space="preserve"> </w:t>
      </w:r>
      <w:r w:rsidRPr="00864149">
        <w:t>zajistit,</w:t>
      </w:r>
      <w:r>
        <w:t xml:space="preserve"> </w:t>
      </w:r>
      <w:r w:rsidRPr="00864149">
        <w:t>aby</w:t>
      </w:r>
      <w:r>
        <w:t xml:space="preserve"> </w:t>
      </w:r>
      <w:r w:rsidRPr="00864149">
        <w:t>každá</w:t>
      </w:r>
      <w:r>
        <w:t xml:space="preserve"> </w:t>
      </w:r>
      <w:r w:rsidRPr="00864149">
        <w:t>školská</w:t>
      </w:r>
      <w:r>
        <w:t xml:space="preserve"> </w:t>
      </w:r>
      <w:r w:rsidRPr="00864149">
        <w:t>právnická</w:t>
      </w:r>
      <w:r>
        <w:t xml:space="preserve"> </w:t>
      </w:r>
      <w:r w:rsidRPr="00864149">
        <w:t>osoba</w:t>
      </w:r>
      <w:r>
        <w:t xml:space="preserve"> </w:t>
      </w:r>
      <w:r w:rsidRPr="00864149">
        <w:t>využila</w:t>
      </w:r>
      <w:r>
        <w:t xml:space="preserve"> </w:t>
      </w:r>
      <w:r w:rsidRPr="00864149">
        <w:t>sdružené</w:t>
      </w:r>
      <w:r>
        <w:t xml:space="preserve"> </w:t>
      </w:r>
      <w:r w:rsidRPr="00864149">
        <w:t>prostředky</w:t>
      </w:r>
      <w:r>
        <w:t xml:space="preserve"> </w:t>
      </w:r>
      <w:r w:rsidRPr="00864149">
        <w:t>přiměřeně</w:t>
      </w:r>
      <w:r>
        <w:t xml:space="preserve"> </w:t>
      </w:r>
      <w:r w:rsidRPr="00864149">
        <w:t>svému</w:t>
      </w:r>
      <w:r>
        <w:t xml:space="preserve"> </w:t>
      </w:r>
      <w:r w:rsidRPr="00864149">
        <w:t>podílu</w:t>
      </w:r>
      <w:r>
        <w:t xml:space="preserve"> </w:t>
      </w:r>
      <w:r w:rsidRPr="00864149">
        <w:t>vložených</w:t>
      </w:r>
      <w:r>
        <w:t xml:space="preserve"> </w:t>
      </w:r>
      <w:r w:rsidRPr="00864149">
        <w:t>prostředků.</w:t>
      </w:r>
    </w:p>
    <w:p w14:paraId="3C56D9C5" w14:textId="77777777" w:rsidR="0099047B" w:rsidRDefault="0099047B" w:rsidP="00A84DD3">
      <w:pPr>
        <w:pStyle w:val="Textparagrafu"/>
        <w:tabs>
          <w:tab w:val="left" w:pos="392"/>
          <w:tab w:val="left" w:pos="840"/>
        </w:tabs>
        <w:spacing w:before="120" w:after="120"/>
      </w:pPr>
      <w:r w:rsidRPr="00864149">
        <w:t>(6)</w:t>
      </w:r>
      <w:r>
        <w:t xml:space="preserve"> </w:t>
      </w:r>
      <w:r w:rsidRPr="00864149">
        <w:t>Ve</w:t>
      </w:r>
      <w:r>
        <w:t xml:space="preserve"> </w:t>
      </w:r>
      <w:r w:rsidRPr="00864149">
        <w:t>smlouvě</w:t>
      </w:r>
      <w:r>
        <w:t xml:space="preserve"> </w:t>
      </w:r>
      <w:r w:rsidRPr="00864149">
        <w:t>o</w:t>
      </w:r>
      <w:r>
        <w:t xml:space="preserve"> </w:t>
      </w:r>
      <w:r w:rsidRPr="00864149">
        <w:t>sdružení</w:t>
      </w:r>
      <w:r>
        <w:t xml:space="preserve"> </w:t>
      </w:r>
      <w:r w:rsidRPr="00864149">
        <w:t>musí</w:t>
      </w:r>
      <w:r>
        <w:t xml:space="preserve"> </w:t>
      </w:r>
      <w:r w:rsidRPr="00864149">
        <w:t>být</w:t>
      </w:r>
      <w:r>
        <w:t xml:space="preserve"> </w:t>
      </w:r>
      <w:r w:rsidRPr="00864149">
        <w:t>dále</w:t>
      </w:r>
      <w:r>
        <w:t xml:space="preserve"> </w:t>
      </w:r>
      <w:r w:rsidRPr="00864149">
        <w:t>upraveno,</w:t>
      </w:r>
      <w:r>
        <w:t xml:space="preserve"> </w:t>
      </w:r>
      <w:r w:rsidRPr="00864149">
        <w:t>kdo</w:t>
      </w:r>
      <w:r>
        <w:t xml:space="preserve"> </w:t>
      </w:r>
      <w:r w:rsidRPr="00864149">
        <w:t>je</w:t>
      </w:r>
      <w:r>
        <w:t xml:space="preserve"> </w:t>
      </w:r>
      <w:r w:rsidRPr="00864149">
        <w:t>oprávněn</w:t>
      </w:r>
      <w:r>
        <w:t xml:space="preserve"> </w:t>
      </w:r>
      <w:r w:rsidRPr="00864149">
        <w:t>s</w:t>
      </w:r>
      <w:r>
        <w:t xml:space="preserve"> </w:t>
      </w:r>
      <w:r w:rsidRPr="00864149">
        <w:t>účtem,</w:t>
      </w:r>
      <w:r>
        <w:t xml:space="preserve"> </w:t>
      </w:r>
      <w:r w:rsidRPr="00864149">
        <w:t>na</w:t>
      </w:r>
      <w:r>
        <w:t xml:space="preserve"> </w:t>
      </w:r>
      <w:r w:rsidRPr="00864149">
        <w:t>němž</w:t>
      </w:r>
      <w:r>
        <w:t xml:space="preserve"> </w:t>
      </w:r>
      <w:r w:rsidRPr="00864149">
        <w:t>jsou</w:t>
      </w:r>
      <w:r>
        <w:t xml:space="preserve"> </w:t>
      </w:r>
      <w:r w:rsidRPr="00864149">
        <w:t>sdružené</w:t>
      </w:r>
      <w:r>
        <w:t xml:space="preserve"> </w:t>
      </w:r>
      <w:r w:rsidRPr="00864149">
        <w:t>prostředky</w:t>
      </w:r>
      <w:r>
        <w:t xml:space="preserve"> </w:t>
      </w:r>
      <w:r w:rsidRPr="00864149">
        <w:t>vedeny,</w:t>
      </w:r>
      <w:r>
        <w:t xml:space="preserve"> </w:t>
      </w:r>
      <w:r w:rsidRPr="00864149">
        <w:t>nakládat,</w:t>
      </w:r>
      <w:r>
        <w:t xml:space="preserve"> </w:t>
      </w:r>
      <w:r w:rsidRPr="00864149">
        <w:t>a</w:t>
      </w:r>
      <w:r>
        <w:t xml:space="preserve"> </w:t>
      </w:r>
      <w:r w:rsidRPr="00864149">
        <w:t>jakým</w:t>
      </w:r>
      <w:r>
        <w:t xml:space="preserve"> </w:t>
      </w:r>
      <w:r w:rsidRPr="00864149">
        <w:t>způsobem</w:t>
      </w:r>
      <w:r>
        <w:t xml:space="preserve"> </w:t>
      </w:r>
      <w:r w:rsidRPr="00864149">
        <w:t>budou</w:t>
      </w:r>
      <w:r>
        <w:t xml:space="preserve"> </w:t>
      </w:r>
      <w:r w:rsidRPr="00864149">
        <w:t>sdružené</w:t>
      </w:r>
      <w:r>
        <w:t xml:space="preserve"> </w:t>
      </w:r>
      <w:r w:rsidRPr="00864149">
        <w:t>prostředky</w:t>
      </w:r>
      <w:r>
        <w:t xml:space="preserve"> </w:t>
      </w:r>
      <w:r w:rsidRPr="00864149">
        <w:t>vypořádány</w:t>
      </w:r>
      <w:r>
        <w:t xml:space="preserve"> </w:t>
      </w:r>
      <w:r w:rsidRPr="00864149">
        <w:t>v</w:t>
      </w:r>
      <w:r>
        <w:t xml:space="preserve"> </w:t>
      </w:r>
      <w:r w:rsidRPr="00864149">
        <w:t>případě</w:t>
      </w:r>
      <w:r>
        <w:t xml:space="preserve"> </w:t>
      </w:r>
      <w:r w:rsidRPr="00864149">
        <w:t>sloučení,</w:t>
      </w:r>
      <w:r>
        <w:t xml:space="preserve"> </w:t>
      </w:r>
      <w:r w:rsidRPr="00864149">
        <w:t>rozdělení,</w:t>
      </w:r>
      <w:r>
        <w:t xml:space="preserve"> </w:t>
      </w:r>
      <w:r w:rsidRPr="00864149">
        <w:t>splynutí</w:t>
      </w:r>
      <w:r>
        <w:t xml:space="preserve"> </w:t>
      </w:r>
      <w:r w:rsidRPr="00864149">
        <w:t>nebo</w:t>
      </w:r>
      <w:r>
        <w:t xml:space="preserve"> </w:t>
      </w:r>
      <w:r w:rsidRPr="00864149">
        <w:t>zrušení</w:t>
      </w:r>
      <w:r>
        <w:t xml:space="preserve"> </w:t>
      </w:r>
      <w:r w:rsidRPr="00864149">
        <w:t>některé</w:t>
      </w:r>
      <w:r>
        <w:t xml:space="preserve"> </w:t>
      </w:r>
      <w:r w:rsidRPr="00864149">
        <w:t>ze</w:t>
      </w:r>
      <w:r>
        <w:t xml:space="preserve"> </w:t>
      </w:r>
      <w:r w:rsidRPr="00864149">
        <w:t>školských</w:t>
      </w:r>
      <w:r>
        <w:t xml:space="preserve"> </w:t>
      </w:r>
      <w:r w:rsidRPr="00864149">
        <w:t>právnických</w:t>
      </w:r>
      <w:r>
        <w:t xml:space="preserve"> </w:t>
      </w:r>
      <w:r w:rsidRPr="00864149">
        <w:t>osob,</w:t>
      </w:r>
      <w:r>
        <w:t xml:space="preserve"> </w:t>
      </w:r>
      <w:r w:rsidRPr="00864149">
        <w:t>jejího</w:t>
      </w:r>
      <w:r>
        <w:t xml:space="preserve"> </w:t>
      </w:r>
      <w:r w:rsidRPr="00864149">
        <w:t>vystoupení</w:t>
      </w:r>
      <w:r>
        <w:t xml:space="preserve"> </w:t>
      </w:r>
      <w:r w:rsidRPr="00864149">
        <w:t>či</w:t>
      </w:r>
      <w:r>
        <w:t xml:space="preserve"> </w:t>
      </w:r>
      <w:r w:rsidRPr="00864149">
        <w:t>vyloučení</w:t>
      </w:r>
      <w:r>
        <w:t xml:space="preserve"> </w:t>
      </w:r>
      <w:r w:rsidRPr="00864149">
        <w:t>ze</w:t>
      </w:r>
      <w:r>
        <w:t xml:space="preserve"> </w:t>
      </w:r>
      <w:r w:rsidRPr="00864149">
        <w:t>sdružení,</w:t>
      </w:r>
      <w:r>
        <w:t xml:space="preserve"> </w:t>
      </w:r>
      <w:r w:rsidRPr="00864149">
        <w:t>a</w:t>
      </w:r>
      <w:r>
        <w:t xml:space="preserve"> </w:t>
      </w:r>
      <w:r w:rsidRPr="00864149">
        <w:t>v</w:t>
      </w:r>
      <w:r>
        <w:t xml:space="preserve"> </w:t>
      </w:r>
      <w:r w:rsidRPr="00864149">
        <w:t>případě</w:t>
      </w:r>
      <w:r>
        <w:t xml:space="preserve"> </w:t>
      </w:r>
      <w:r w:rsidRPr="00864149">
        <w:t>ukončení</w:t>
      </w:r>
      <w:r>
        <w:t xml:space="preserve"> </w:t>
      </w:r>
      <w:r w:rsidRPr="00864149">
        <w:t>smlouvy</w:t>
      </w:r>
      <w:r>
        <w:t xml:space="preserve"> </w:t>
      </w:r>
      <w:r w:rsidRPr="00864149">
        <w:t>o</w:t>
      </w:r>
      <w:r>
        <w:t xml:space="preserve"> </w:t>
      </w:r>
      <w:r w:rsidRPr="00864149">
        <w:t>sdružení.</w:t>
      </w:r>
    </w:p>
    <w:p w14:paraId="6AED33CE" w14:textId="77777777" w:rsidR="0099047B" w:rsidRDefault="0099047B" w:rsidP="00A84DD3">
      <w:pPr>
        <w:pStyle w:val="Textparagrafu"/>
        <w:tabs>
          <w:tab w:val="left" w:pos="392"/>
          <w:tab w:val="left" w:pos="840"/>
        </w:tabs>
        <w:spacing w:before="120" w:after="120"/>
      </w:pPr>
      <w:r w:rsidRPr="00864149">
        <w:t>(7)</w:t>
      </w:r>
      <w:r>
        <w:t xml:space="preserve"> </w:t>
      </w:r>
      <w:r w:rsidRPr="00864149">
        <w:t>Pokud</w:t>
      </w:r>
      <w:r>
        <w:t xml:space="preserve"> </w:t>
      </w:r>
      <w:r w:rsidRPr="00864149">
        <w:t>smlouva</w:t>
      </w:r>
      <w:r>
        <w:t xml:space="preserve"> </w:t>
      </w:r>
      <w:r w:rsidRPr="00864149">
        <w:t>o</w:t>
      </w:r>
      <w:r>
        <w:t xml:space="preserve"> </w:t>
      </w:r>
      <w:r w:rsidRPr="00864149">
        <w:t>sdružení</w:t>
      </w:r>
      <w:r>
        <w:t xml:space="preserve"> </w:t>
      </w:r>
      <w:r w:rsidRPr="00864149">
        <w:t>nesplňuje</w:t>
      </w:r>
      <w:r>
        <w:t xml:space="preserve"> </w:t>
      </w:r>
      <w:r w:rsidRPr="00864149">
        <w:t>náležitosti</w:t>
      </w:r>
      <w:r>
        <w:t xml:space="preserve"> </w:t>
      </w:r>
      <w:r w:rsidRPr="00864149">
        <w:t>stanovené</w:t>
      </w:r>
      <w:r>
        <w:t xml:space="preserve"> </w:t>
      </w:r>
      <w:r w:rsidRPr="00864149">
        <w:t>v</w:t>
      </w:r>
      <w:r>
        <w:t xml:space="preserve"> </w:t>
      </w:r>
      <w:r w:rsidRPr="00864149">
        <w:t>odstavcích</w:t>
      </w:r>
      <w:r>
        <w:t xml:space="preserve"> </w:t>
      </w:r>
      <w:r w:rsidRPr="00864149">
        <w:t>5</w:t>
      </w:r>
      <w:r>
        <w:t xml:space="preserve"> </w:t>
      </w:r>
      <w:r w:rsidRPr="00864149">
        <w:t>a</w:t>
      </w:r>
      <w:r>
        <w:t xml:space="preserve"> </w:t>
      </w:r>
      <w:r w:rsidRPr="00864149">
        <w:t>6,</w:t>
      </w:r>
      <w:r>
        <w:t xml:space="preserve"> </w:t>
      </w:r>
      <w:r w:rsidRPr="00864149">
        <w:t>je</w:t>
      </w:r>
      <w:r>
        <w:t xml:space="preserve"> </w:t>
      </w:r>
      <w:r w:rsidRPr="00864149">
        <w:t>od</w:t>
      </w:r>
      <w:r>
        <w:t xml:space="preserve"> </w:t>
      </w:r>
      <w:r w:rsidRPr="00864149">
        <w:t>počátku</w:t>
      </w:r>
      <w:r>
        <w:t xml:space="preserve"> </w:t>
      </w:r>
      <w:r w:rsidRPr="00864149">
        <w:t>neplatná.</w:t>
      </w:r>
    </w:p>
    <w:p w14:paraId="28E94C7D" w14:textId="77777777" w:rsidR="0099047B" w:rsidRDefault="0099047B" w:rsidP="00A84DD3">
      <w:pPr>
        <w:pStyle w:val="Textparagrafu"/>
        <w:tabs>
          <w:tab w:val="left" w:pos="392"/>
          <w:tab w:val="left" w:pos="840"/>
        </w:tabs>
        <w:spacing w:before="120" w:after="120"/>
      </w:pPr>
      <w:r w:rsidRPr="00864149">
        <w:t>(8)</w:t>
      </w:r>
      <w:r>
        <w:t xml:space="preserve"> </w:t>
      </w:r>
      <w:r w:rsidRPr="00864149">
        <w:t>Sdružené</w:t>
      </w:r>
      <w:r>
        <w:t xml:space="preserve"> </w:t>
      </w:r>
      <w:r w:rsidRPr="00864149">
        <w:t>prostředky</w:t>
      </w:r>
      <w:r>
        <w:t xml:space="preserve"> </w:t>
      </w:r>
      <w:r w:rsidRPr="00864149">
        <w:t>se</w:t>
      </w:r>
      <w:r>
        <w:t xml:space="preserve"> </w:t>
      </w:r>
      <w:r w:rsidRPr="00864149">
        <w:t>vedou</w:t>
      </w:r>
      <w:r>
        <w:t xml:space="preserve"> </w:t>
      </w:r>
      <w:r w:rsidRPr="00864149">
        <w:t>na</w:t>
      </w:r>
      <w:r>
        <w:t xml:space="preserve"> </w:t>
      </w:r>
      <w:r w:rsidRPr="00864149">
        <w:t>zvláštním</w:t>
      </w:r>
      <w:r>
        <w:t xml:space="preserve"> </w:t>
      </w:r>
      <w:r w:rsidRPr="00864149">
        <w:t>účtu,</w:t>
      </w:r>
      <w:r>
        <w:t xml:space="preserve"> </w:t>
      </w:r>
      <w:r w:rsidRPr="00864149">
        <w:t>jehož</w:t>
      </w:r>
      <w:r>
        <w:t xml:space="preserve"> </w:t>
      </w:r>
      <w:r w:rsidRPr="00864149">
        <w:t>nepoužité</w:t>
      </w:r>
      <w:r>
        <w:t xml:space="preserve"> </w:t>
      </w:r>
      <w:r w:rsidRPr="00864149">
        <w:t>zůstatky</w:t>
      </w:r>
      <w:r>
        <w:t xml:space="preserve"> </w:t>
      </w:r>
      <w:r w:rsidRPr="00864149">
        <w:t>se</w:t>
      </w:r>
      <w:r>
        <w:t xml:space="preserve"> </w:t>
      </w:r>
      <w:r w:rsidRPr="00864149">
        <w:t>převádějí</w:t>
      </w:r>
      <w:r>
        <w:t xml:space="preserve"> </w:t>
      </w:r>
      <w:r w:rsidRPr="00864149">
        <w:t>do</w:t>
      </w:r>
      <w:r>
        <w:t xml:space="preserve"> </w:t>
      </w:r>
      <w:r w:rsidRPr="00864149">
        <w:t>dalších</w:t>
      </w:r>
      <w:r>
        <w:t xml:space="preserve"> </w:t>
      </w:r>
      <w:r w:rsidRPr="00864149">
        <w:t>let.</w:t>
      </w:r>
      <w:r>
        <w:t xml:space="preserve"> </w:t>
      </w:r>
      <w:r w:rsidRPr="00864149">
        <w:t>Úroky</w:t>
      </w:r>
      <w:r>
        <w:t xml:space="preserve"> </w:t>
      </w:r>
      <w:r w:rsidRPr="00864149">
        <w:t>z</w:t>
      </w:r>
      <w:r>
        <w:t xml:space="preserve"> </w:t>
      </w:r>
      <w:r w:rsidRPr="00864149">
        <w:t>tohoto</w:t>
      </w:r>
      <w:r>
        <w:t xml:space="preserve"> </w:t>
      </w:r>
      <w:r w:rsidRPr="00864149">
        <w:t>účtu</w:t>
      </w:r>
      <w:r>
        <w:t xml:space="preserve"> </w:t>
      </w:r>
      <w:r w:rsidRPr="00864149">
        <w:t>jsou</w:t>
      </w:r>
      <w:r>
        <w:t xml:space="preserve"> </w:t>
      </w:r>
      <w:r w:rsidRPr="00864149">
        <w:t>příjmem</w:t>
      </w:r>
      <w:r>
        <w:t xml:space="preserve"> </w:t>
      </w:r>
      <w:r w:rsidRPr="00864149">
        <w:t>tohoto</w:t>
      </w:r>
      <w:r>
        <w:t xml:space="preserve"> </w:t>
      </w:r>
      <w:r w:rsidRPr="00864149">
        <w:t>účtu,</w:t>
      </w:r>
      <w:r>
        <w:t xml:space="preserve"> </w:t>
      </w:r>
      <w:r w:rsidRPr="00864149">
        <w:t>úhrady</w:t>
      </w:r>
      <w:r>
        <w:t xml:space="preserve"> </w:t>
      </w:r>
      <w:r w:rsidRPr="00864149">
        <w:t>za</w:t>
      </w:r>
      <w:r>
        <w:t xml:space="preserve"> </w:t>
      </w:r>
      <w:r w:rsidRPr="00864149">
        <w:t>bankovní</w:t>
      </w:r>
      <w:r>
        <w:t xml:space="preserve"> </w:t>
      </w:r>
      <w:r w:rsidRPr="00864149">
        <w:t>služby</w:t>
      </w:r>
      <w:r>
        <w:t xml:space="preserve"> </w:t>
      </w:r>
      <w:r w:rsidRPr="00864149">
        <w:t>jsou</w:t>
      </w:r>
      <w:r>
        <w:t xml:space="preserve"> </w:t>
      </w:r>
      <w:r w:rsidRPr="00864149">
        <w:t>výdajem</w:t>
      </w:r>
      <w:r>
        <w:t xml:space="preserve"> </w:t>
      </w:r>
      <w:r w:rsidRPr="00864149">
        <w:t>tohoto</w:t>
      </w:r>
      <w:r>
        <w:t xml:space="preserve"> </w:t>
      </w:r>
      <w:r w:rsidRPr="00864149">
        <w:t>účtu.</w:t>
      </w:r>
    </w:p>
    <w:p w14:paraId="19282B8F" w14:textId="77777777" w:rsidR="0099047B" w:rsidRDefault="0099047B" w:rsidP="00A84DD3">
      <w:pPr>
        <w:pStyle w:val="Textparagrafu"/>
        <w:tabs>
          <w:tab w:val="left" w:pos="392"/>
          <w:tab w:val="left" w:pos="840"/>
        </w:tabs>
        <w:spacing w:before="120" w:after="120"/>
      </w:pPr>
      <w:r w:rsidRPr="00864149">
        <w:t>(9)</w:t>
      </w:r>
      <w:r>
        <w:t xml:space="preserve"> </w:t>
      </w:r>
      <w:r w:rsidRPr="00864149">
        <w:t>Zdrojem</w:t>
      </w:r>
      <w:r>
        <w:t xml:space="preserve"> </w:t>
      </w:r>
      <w:r w:rsidRPr="00864149">
        <w:t>fondu</w:t>
      </w:r>
      <w:r>
        <w:t xml:space="preserve"> </w:t>
      </w:r>
      <w:r w:rsidRPr="00864149">
        <w:t>kulturních</w:t>
      </w:r>
      <w:r>
        <w:t xml:space="preserve"> </w:t>
      </w:r>
      <w:r w:rsidRPr="00864149">
        <w:t>a</w:t>
      </w:r>
      <w:r>
        <w:t xml:space="preserve"> </w:t>
      </w:r>
      <w:r w:rsidRPr="00864149">
        <w:t>sociálních</w:t>
      </w:r>
      <w:r>
        <w:t xml:space="preserve"> </w:t>
      </w:r>
      <w:r w:rsidRPr="00864149">
        <w:t>potřeb</w:t>
      </w:r>
      <w:r>
        <w:t xml:space="preserve"> </w:t>
      </w:r>
      <w:r w:rsidRPr="00864149">
        <w:t>jsou</w:t>
      </w:r>
      <w:r>
        <w:t xml:space="preserve"> </w:t>
      </w:r>
      <w:r w:rsidRPr="00864149">
        <w:t>i</w:t>
      </w:r>
      <w:r>
        <w:t xml:space="preserve"> </w:t>
      </w:r>
      <w:r w:rsidRPr="00864149">
        <w:t>splátky</w:t>
      </w:r>
      <w:r>
        <w:t xml:space="preserve"> </w:t>
      </w:r>
      <w:r w:rsidRPr="00864149">
        <w:t>zápůjček</w:t>
      </w:r>
      <w:r>
        <w:t xml:space="preserve"> </w:t>
      </w:r>
      <w:r w:rsidRPr="00864149">
        <w:t>poskytnutých</w:t>
      </w:r>
      <w:r>
        <w:t xml:space="preserve"> </w:t>
      </w:r>
      <w:r w:rsidRPr="00864149">
        <w:t>z</w:t>
      </w:r>
      <w:r>
        <w:t xml:space="preserve"> </w:t>
      </w:r>
      <w:r w:rsidRPr="00864149">
        <w:t>fondu</w:t>
      </w:r>
      <w:r>
        <w:t xml:space="preserve"> </w:t>
      </w:r>
      <w:r w:rsidRPr="00864149">
        <w:t>kulturních</w:t>
      </w:r>
      <w:r>
        <w:t xml:space="preserve"> </w:t>
      </w:r>
      <w:r w:rsidRPr="00864149">
        <w:t>a</w:t>
      </w:r>
      <w:r>
        <w:t xml:space="preserve"> </w:t>
      </w:r>
      <w:r w:rsidRPr="00864149">
        <w:t>sociálních</w:t>
      </w:r>
      <w:r>
        <w:t xml:space="preserve"> </w:t>
      </w:r>
      <w:r w:rsidRPr="00864149">
        <w:t>potřeb,</w:t>
      </w:r>
      <w:r>
        <w:t xml:space="preserve"> </w:t>
      </w:r>
      <w:r w:rsidRPr="00864149">
        <w:t>náhrada</w:t>
      </w:r>
      <w:r>
        <w:t xml:space="preserve"> </w:t>
      </w:r>
      <w:r w:rsidRPr="00864149">
        <w:t>škod</w:t>
      </w:r>
      <w:r>
        <w:t xml:space="preserve"> </w:t>
      </w:r>
      <w:r w:rsidRPr="00864149">
        <w:t>a</w:t>
      </w:r>
      <w:r>
        <w:t xml:space="preserve"> </w:t>
      </w:r>
      <w:r w:rsidRPr="00864149">
        <w:t>pojistná</w:t>
      </w:r>
      <w:r>
        <w:t xml:space="preserve"> </w:t>
      </w:r>
      <w:r w:rsidRPr="00864149">
        <w:t>plnění</w:t>
      </w:r>
      <w:r>
        <w:t xml:space="preserve"> </w:t>
      </w:r>
      <w:r w:rsidRPr="00864149">
        <w:t>od</w:t>
      </w:r>
      <w:r>
        <w:t xml:space="preserve"> </w:t>
      </w:r>
      <w:r w:rsidRPr="00864149">
        <w:t>pojišťovny</w:t>
      </w:r>
      <w:r>
        <w:t xml:space="preserve"> </w:t>
      </w:r>
      <w:r w:rsidRPr="00864149">
        <w:t>vztahující</w:t>
      </w:r>
      <w:r>
        <w:t xml:space="preserve"> </w:t>
      </w:r>
      <w:r w:rsidRPr="00864149">
        <w:t>se</w:t>
      </w:r>
      <w:r>
        <w:t xml:space="preserve"> </w:t>
      </w:r>
      <w:r w:rsidRPr="00864149">
        <w:t>k</w:t>
      </w:r>
      <w:r>
        <w:t xml:space="preserve"> </w:t>
      </w:r>
      <w:r w:rsidRPr="00864149">
        <w:t>majetku</w:t>
      </w:r>
      <w:r>
        <w:t xml:space="preserve"> </w:t>
      </w:r>
      <w:r w:rsidRPr="00864149">
        <w:t>pořízenému</w:t>
      </w:r>
      <w:r>
        <w:t xml:space="preserve"> </w:t>
      </w:r>
      <w:r w:rsidRPr="00864149">
        <w:t>z</w:t>
      </w:r>
      <w:r>
        <w:t xml:space="preserve"> </w:t>
      </w:r>
      <w:r w:rsidRPr="00864149">
        <w:t>fondu</w:t>
      </w:r>
      <w:r>
        <w:t xml:space="preserve"> </w:t>
      </w:r>
      <w:r w:rsidRPr="00864149">
        <w:t>kulturních</w:t>
      </w:r>
      <w:r>
        <w:t xml:space="preserve"> </w:t>
      </w:r>
      <w:r w:rsidRPr="00864149">
        <w:t>a</w:t>
      </w:r>
      <w:r>
        <w:t xml:space="preserve"> </w:t>
      </w:r>
      <w:r w:rsidRPr="00864149">
        <w:t>sociálních</w:t>
      </w:r>
      <w:r>
        <w:t xml:space="preserve"> </w:t>
      </w:r>
      <w:r w:rsidRPr="00864149">
        <w:t>potřeb</w:t>
      </w:r>
      <w:r>
        <w:t xml:space="preserve"> </w:t>
      </w:r>
      <w:r w:rsidRPr="00864149">
        <w:t>a</w:t>
      </w:r>
      <w:r>
        <w:t xml:space="preserve"> </w:t>
      </w:r>
      <w:r w:rsidRPr="00864149">
        <w:t>peněžní</w:t>
      </w:r>
      <w:r>
        <w:t xml:space="preserve"> </w:t>
      </w:r>
      <w:r w:rsidRPr="00864149">
        <w:t>dary</w:t>
      </w:r>
      <w:r>
        <w:t xml:space="preserve"> </w:t>
      </w:r>
      <w:r w:rsidRPr="00864149">
        <w:t>poskytnuté</w:t>
      </w:r>
      <w:r>
        <w:t xml:space="preserve"> </w:t>
      </w:r>
      <w:r w:rsidRPr="00864149">
        <w:t>do</w:t>
      </w:r>
      <w:r>
        <w:t xml:space="preserve"> </w:t>
      </w:r>
      <w:r w:rsidRPr="00864149">
        <w:t>fondu</w:t>
      </w:r>
      <w:r>
        <w:t xml:space="preserve"> </w:t>
      </w:r>
      <w:r w:rsidRPr="00864149">
        <w:t>kulturních</w:t>
      </w:r>
      <w:r>
        <w:t xml:space="preserve"> </w:t>
      </w:r>
      <w:r w:rsidRPr="00864149">
        <w:t>a</w:t>
      </w:r>
      <w:r>
        <w:t xml:space="preserve"> </w:t>
      </w:r>
      <w:r w:rsidRPr="00864149">
        <w:t>sociálních</w:t>
      </w:r>
      <w:r>
        <w:t xml:space="preserve"> </w:t>
      </w:r>
      <w:r w:rsidRPr="00864149">
        <w:t>potřeb.</w:t>
      </w:r>
    </w:p>
    <w:p w14:paraId="351BBFC0" w14:textId="77777777" w:rsidR="0099047B" w:rsidRDefault="0099047B" w:rsidP="00A84DD3">
      <w:pPr>
        <w:pStyle w:val="Textparagrafu"/>
        <w:tabs>
          <w:tab w:val="left" w:pos="392"/>
          <w:tab w:val="left" w:pos="840"/>
        </w:tabs>
        <w:spacing w:before="120" w:after="120"/>
      </w:pPr>
      <w:r w:rsidRPr="00864149">
        <w:t>(10)</w:t>
      </w:r>
      <w:r>
        <w:t xml:space="preserve"> </w:t>
      </w:r>
      <w:r w:rsidRPr="00864149">
        <w:t>Použití</w:t>
      </w:r>
      <w:r>
        <w:t xml:space="preserve"> </w:t>
      </w:r>
      <w:r w:rsidRPr="00864149">
        <w:t>fondu</w:t>
      </w:r>
      <w:r>
        <w:t xml:space="preserve"> </w:t>
      </w:r>
      <w:r w:rsidRPr="00864149">
        <w:t>kulturních</w:t>
      </w:r>
      <w:r>
        <w:t xml:space="preserve"> </w:t>
      </w:r>
      <w:r w:rsidRPr="00864149">
        <w:t>a</w:t>
      </w:r>
      <w:r>
        <w:t xml:space="preserve"> </w:t>
      </w:r>
      <w:r w:rsidRPr="00864149">
        <w:t>sociálních</w:t>
      </w:r>
      <w:r>
        <w:t xml:space="preserve"> </w:t>
      </w:r>
      <w:r w:rsidRPr="00864149">
        <w:t>potřeb</w:t>
      </w:r>
      <w:r>
        <w:t xml:space="preserve"> </w:t>
      </w:r>
      <w:r w:rsidRPr="00864149">
        <w:t>stanoví</w:t>
      </w:r>
      <w:r>
        <w:t xml:space="preserve"> </w:t>
      </w:r>
      <w:r w:rsidRPr="00864149">
        <w:t>právní</w:t>
      </w:r>
      <w:r>
        <w:t xml:space="preserve"> </w:t>
      </w:r>
      <w:r w:rsidRPr="00864149">
        <w:t>předpis,</w:t>
      </w:r>
      <w:r>
        <w:t xml:space="preserve"> </w:t>
      </w:r>
      <w:r w:rsidRPr="00864149">
        <w:t>kolektivní</w:t>
      </w:r>
      <w:r>
        <w:t xml:space="preserve"> </w:t>
      </w:r>
      <w:r w:rsidRPr="00864149">
        <w:t>smlouva,</w:t>
      </w:r>
      <w:r>
        <w:t xml:space="preserve"> </w:t>
      </w:r>
      <w:r w:rsidRPr="00864149">
        <w:t>kolektivní</w:t>
      </w:r>
      <w:r>
        <w:t xml:space="preserve"> </w:t>
      </w:r>
      <w:r w:rsidRPr="00864149">
        <w:t>dohoda</w:t>
      </w:r>
      <w:r>
        <w:t xml:space="preserve"> </w:t>
      </w:r>
      <w:r w:rsidRPr="00864149">
        <w:t>nebo</w:t>
      </w:r>
      <w:r>
        <w:t xml:space="preserve"> </w:t>
      </w:r>
      <w:r w:rsidRPr="00864149">
        <w:t>vnitřní</w:t>
      </w:r>
      <w:r>
        <w:t xml:space="preserve"> </w:t>
      </w:r>
      <w:r w:rsidRPr="00864149">
        <w:t>předpis.</w:t>
      </w:r>
    </w:p>
    <w:p w14:paraId="04980870" w14:textId="77777777" w:rsidR="0099047B" w:rsidRDefault="0099047B" w:rsidP="00A84DD3">
      <w:pPr>
        <w:pStyle w:val="Textparagrafu"/>
        <w:tabs>
          <w:tab w:val="left" w:pos="392"/>
          <w:tab w:val="left" w:pos="840"/>
        </w:tabs>
        <w:spacing w:before="120" w:after="120"/>
      </w:pPr>
      <w:r w:rsidRPr="00864149">
        <w:t>(11)</w:t>
      </w:r>
      <w:r>
        <w:t xml:space="preserve"> </w:t>
      </w:r>
      <w:r w:rsidRPr="00864149">
        <w:t>Na</w:t>
      </w:r>
      <w:r>
        <w:t xml:space="preserve"> </w:t>
      </w:r>
      <w:r w:rsidRPr="00864149">
        <w:t>plnění</w:t>
      </w:r>
      <w:r>
        <w:t xml:space="preserve"> </w:t>
      </w:r>
      <w:r w:rsidRPr="00864149">
        <w:t>z</w:t>
      </w:r>
      <w:r>
        <w:t xml:space="preserve"> </w:t>
      </w:r>
      <w:r w:rsidRPr="00864149">
        <w:t>fondu</w:t>
      </w:r>
      <w:r>
        <w:t xml:space="preserve"> </w:t>
      </w:r>
      <w:r w:rsidRPr="00864149">
        <w:t>kulturních</w:t>
      </w:r>
      <w:r>
        <w:t xml:space="preserve"> </w:t>
      </w:r>
      <w:r w:rsidRPr="00864149">
        <w:t>a</w:t>
      </w:r>
      <w:r>
        <w:t xml:space="preserve"> </w:t>
      </w:r>
      <w:r w:rsidRPr="00864149">
        <w:t>sociálních</w:t>
      </w:r>
      <w:r>
        <w:t xml:space="preserve"> </w:t>
      </w:r>
      <w:r w:rsidRPr="00864149">
        <w:t>potřeb</w:t>
      </w:r>
      <w:r>
        <w:t xml:space="preserve"> </w:t>
      </w:r>
      <w:r w:rsidRPr="00864149">
        <w:t>není</w:t>
      </w:r>
      <w:r>
        <w:t xml:space="preserve"> </w:t>
      </w:r>
      <w:r w:rsidRPr="00864149">
        <w:t>právní</w:t>
      </w:r>
      <w:r>
        <w:t xml:space="preserve"> </w:t>
      </w:r>
      <w:r w:rsidRPr="00864149">
        <w:t>nárok.</w:t>
      </w:r>
    </w:p>
    <w:p w14:paraId="57886270" w14:textId="5092B5B9" w:rsidR="0099047B" w:rsidRPr="00C3746B" w:rsidRDefault="0099047B" w:rsidP="005A43C2">
      <w:pPr>
        <w:pStyle w:val="Textparagrafu"/>
        <w:tabs>
          <w:tab w:val="left" w:pos="392"/>
          <w:tab w:val="left" w:pos="840"/>
        </w:tabs>
        <w:spacing w:after="120"/>
        <w:ind w:firstLine="0"/>
        <w:jc w:val="center"/>
        <w:rPr>
          <w:strike/>
        </w:rPr>
      </w:pPr>
      <w:r w:rsidRPr="00C3746B">
        <w:rPr>
          <w:strike/>
        </w:rPr>
        <w:t>§ 139</w:t>
      </w:r>
    </w:p>
    <w:p w14:paraId="263553E8" w14:textId="77777777" w:rsidR="0099047B" w:rsidRPr="00C3746B" w:rsidRDefault="0099047B" w:rsidP="005A43C2">
      <w:pPr>
        <w:pStyle w:val="Textparagrafu"/>
        <w:tabs>
          <w:tab w:val="left" w:pos="392"/>
          <w:tab w:val="left" w:pos="840"/>
        </w:tabs>
        <w:spacing w:after="120"/>
        <w:ind w:firstLine="0"/>
        <w:jc w:val="center"/>
        <w:rPr>
          <w:b/>
          <w:strike/>
        </w:rPr>
      </w:pPr>
      <w:r w:rsidRPr="00C3746B">
        <w:rPr>
          <w:b/>
          <w:strike/>
        </w:rPr>
        <w:t>Účetnictví</w:t>
      </w:r>
    </w:p>
    <w:p w14:paraId="66E0B05D" w14:textId="5014A720" w:rsidR="0099047B" w:rsidRPr="00C3746B" w:rsidRDefault="0099047B" w:rsidP="00BD5369">
      <w:pPr>
        <w:pStyle w:val="Textparagrafu"/>
        <w:tabs>
          <w:tab w:val="left" w:pos="392"/>
          <w:tab w:val="left" w:pos="840"/>
        </w:tabs>
        <w:spacing w:after="120"/>
        <w:rPr>
          <w:strike/>
        </w:rPr>
      </w:pPr>
      <w:r w:rsidRPr="00C3746B">
        <w:rPr>
          <w:strike/>
        </w:rPr>
        <w:t xml:space="preserve">Školská právnická osoba vede účetnictví podle zvláštních právních </w:t>
      </w:r>
      <w:r w:rsidR="005A43C2" w:rsidRPr="00C3746B">
        <w:rPr>
          <w:strike/>
        </w:rPr>
        <w:t>předpisů.</w:t>
      </w:r>
      <w:r w:rsidR="005A43C2" w:rsidRPr="00C3746B">
        <w:rPr>
          <w:rStyle w:val="Znakapoznpodarou"/>
          <w:strike/>
        </w:rPr>
        <w:footnoteReference w:customMarkFollows="1" w:id="472"/>
        <w:t>34)</w:t>
      </w:r>
      <w:r w:rsidRPr="00C3746B">
        <w:rPr>
          <w:strike/>
        </w:rPr>
        <w:t xml:space="preserve"> Školská právnická osoba je zařazena v rámci účetních jednotek podle zvláštního právního </w:t>
      </w:r>
      <w:r w:rsidR="005A43C2" w:rsidRPr="00C3746B">
        <w:rPr>
          <w:strike/>
        </w:rPr>
        <w:t>předpisu</w:t>
      </w:r>
      <w:r w:rsidR="005A43C2" w:rsidRPr="00C3746B">
        <w:rPr>
          <w:rStyle w:val="Znakapoznpodarou"/>
          <w:strike/>
        </w:rPr>
        <w:footnoteReference w:customMarkFollows="1" w:id="473"/>
        <w:t>35)</w:t>
      </w:r>
      <w:r w:rsidRPr="00C3746B">
        <w:rPr>
          <w:strike/>
        </w:rPr>
        <w:t xml:space="preserve"> mezi jiné právnické osoby, jejichž hlavní činností není podnikání.</w:t>
      </w:r>
    </w:p>
    <w:p w14:paraId="5CE1C89B" w14:textId="7C7BACCB" w:rsidR="0099047B" w:rsidRDefault="0099047B" w:rsidP="005A43C2">
      <w:pPr>
        <w:pStyle w:val="Textparagrafu"/>
        <w:tabs>
          <w:tab w:val="left" w:pos="406"/>
          <w:tab w:val="left" w:pos="840"/>
          <w:tab w:val="left" w:pos="868"/>
        </w:tabs>
        <w:spacing w:after="120"/>
        <w:ind w:firstLine="0"/>
        <w:jc w:val="center"/>
      </w:pPr>
      <w:r>
        <w:t>***</w:t>
      </w:r>
    </w:p>
    <w:p w14:paraId="531A4AFE" w14:textId="4104C417" w:rsidR="0099047B" w:rsidRDefault="0099047B" w:rsidP="005A43C2">
      <w:pPr>
        <w:pStyle w:val="Textparagrafu"/>
        <w:tabs>
          <w:tab w:val="left" w:pos="392"/>
          <w:tab w:val="left" w:pos="840"/>
        </w:tabs>
        <w:spacing w:after="120"/>
        <w:ind w:firstLine="0"/>
        <w:jc w:val="center"/>
      </w:pPr>
      <w:r w:rsidRPr="00864149">
        <w:lastRenderedPageBreak/>
        <w:t>§</w:t>
      </w:r>
      <w:r>
        <w:t xml:space="preserve"> </w:t>
      </w:r>
      <w:r w:rsidRPr="00864149">
        <w:t>142</w:t>
      </w:r>
    </w:p>
    <w:p w14:paraId="32BBDE3F" w14:textId="77777777" w:rsidR="0099047B" w:rsidRPr="005A43C2" w:rsidRDefault="0099047B" w:rsidP="005A43C2">
      <w:pPr>
        <w:pStyle w:val="Textparagrafu"/>
        <w:tabs>
          <w:tab w:val="left" w:pos="392"/>
          <w:tab w:val="left" w:pos="840"/>
        </w:tabs>
        <w:spacing w:after="120"/>
        <w:ind w:firstLine="0"/>
        <w:jc w:val="center"/>
        <w:rPr>
          <w:b/>
        </w:rPr>
      </w:pPr>
      <w:r w:rsidRPr="005A43C2">
        <w:rPr>
          <w:b/>
        </w:rPr>
        <w:t>Účinky zápisu do rejstříku škol a školských zařízení</w:t>
      </w:r>
    </w:p>
    <w:p w14:paraId="6C49E6E8" w14:textId="77777777" w:rsidR="0099047B" w:rsidRDefault="0099047B" w:rsidP="00A84DD3">
      <w:pPr>
        <w:pStyle w:val="Textparagrafu"/>
        <w:tabs>
          <w:tab w:val="left" w:pos="392"/>
          <w:tab w:val="left" w:pos="840"/>
        </w:tabs>
        <w:spacing w:before="120" w:after="120"/>
      </w:pPr>
      <w:r w:rsidRPr="00864149">
        <w:t>(1)</w:t>
      </w:r>
      <w:r>
        <w:t xml:space="preserve"> </w:t>
      </w:r>
      <w:r w:rsidRPr="00864149">
        <w:t>Účinností</w:t>
      </w:r>
      <w:r>
        <w:t xml:space="preserve"> </w:t>
      </w:r>
      <w:r w:rsidRPr="00864149">
        <w:t>zápisu</w:t>
      </w:r>
      <w:r>
        <w:t xml:space="preserve"> </w:t>
      </w:r>
      <w:r w:rsidRPr="00864149">
        <w:t>školy</w:t>
      </w:r>
      <w:r>
        <w:t xml:space="preserve"> </w:t>
      </w:r>
      <w:r w:rsidRPr="00864149">
        <w:t>a</w:t>
      </w:r>
      <w:r>
        <w:t xml:space="preserve"> </w:t>
      </w:r>
      <w:r w:rsidRPr="00864149">
        <w:t>školského</w:t>
      </w:r>
      <w:r>
        <w:t xml:space="preserve"> </w:t>
      </w:r>
      <w:r w:rsidRPr="00864149">
        <w:t>zařízení</w:t>
      </w:r>
      <w:r>
        <w:t xml:space="preserve"> </w:t>
      </w:r>
      <w:r w:rsidRPr="00864149">
        <w:t>do</w:t>
      </w:r>
      <w:r>
        <w:t xml:space="preserve"> </w:t>
      </w:r>
      <w:r w:rsidRPr="00864149">
        <w:t>rejstříku</w:t>
      </w:r>
      <w:r>
        <w:t xml:space="preserve"> </w:t>
      </w:r>
      <w:r w:rsidRPr="00864149">
        <w:t>škol</w:t>
      </w:r>
      <w:r>
        <w:t xml:space="preserve"> </w:t>
      </w:r>
      <w:r w:rsidRPr="00864149">
        <w:t>a</w:t>
      </w:r>
      <w:r>
        <w:t xml:space="preserve"> </w:t>
      </w:r>
      <w:r w:rsidRPr="00864149">
        <w:t>školských</w:t>
      </w:r>
      <w:r>
        <w:t xml:space="preserve"> </w:t>
      </w:r>
      <w:r w:rsidRPr="00864149">
        <w:t>zařízení</w:t>
      </w:r>
      <w:r>
        <w:t xml:space="preserve"> </w:t>
      </w:r>
      <w:r w:rsidRPr="00864149">
        <w:t>vzniká</w:t>
      </w:r>
      <w:r>
        <w:t xml:space="preserve"> </w:t>
      </w:r>
      <w:r w:rsidRPr="00864149">
        <w:t>právnické</w:t>
      </w:r>
      <w:r>
        <w:t xml:space="preserve"> </w:t>
      </w:r>
      <w:r w:rsidRPr="00864149">
        <w:t>osobě,</w:t>
      </w:r>
      <w:r>
        <w:t xml:space="preserve"> </w:t>
      </w:r>
      <w:r w:rsidRPr="00864149">
        <w:t>která</w:t>
      </w:r>
      <w:r>
        <w:t xml:space="preserve"> </w:t>
      </w:r>
      <w:r w:rsidRPr="00864149">
        <w:t>vykonává</w:t>
      </w:r>
      <w:r>
        <w:t xml:space="preserve"> </w:t>
      </w:r>
      <w:r w:rsidRPr="00864149">
        <w:t>činnost</w:t>
      </w:r>
      <w:r>
        <w:t xml:space="preserve"> </w:t>
      </w:r>
      <w:r w:rsidRPr="00864149">
        <w:t>školy</w:t>
      </w:r>
      <w:r>
        <w:t xml:space="preserve"> </w:t>
      </w:r>
      <w:r w:rsidRPr="00864149">
        <w:t>nebo</w:t>
      </w:r>
      <w:r>
        <w:t xml:space="preserve"> </w:t>
      </w:r>
      <w:r w:rsidRPr="00864149">
        <w:t>školského</w:t>
      </w:r>
      <w:r>
        <w:t xml:space="preserve"> </w:t>
      </w:r>
      <w:r w:rsidRPr="00864149">
        <w:t>zařízení,</w:t>
      </w:r>
      <w:r>
        <w:t xml:space="preserve"> </w:t>
      </w:r>
      <w:r w:rsidRPr="00864149">
        <w:t>právo</w:t>
      </w:r>
      <w:r>
        <w:t xml:space="preserve"> </w:t>
      </w:r>
      <w:r w:rsidRPr="00864149">
        <w:t>poskytovat</w:t>
      </w:r>
      <w:r>
        <w:t xml:space="preserve"> </w:t>
      </w:r>
      <w:r w:rsidRPr="00864149">
        <w:t>vzdělávání</w:t>
      </w:r>
      <w:r>
        <w:t xml:space="preserve"> </w:t>
      </w:r>
      <w:r w:rsidRPr="00864149">
        <w:t>a</w:t>
      </w:r>
      <w:r>
        <w:t xml:space="preserve"> </w:t>
      </w:r>
      <w:r w:rsidRPr="00864149">
        <w:t>školské</w:t>
      </w:r>
      <w:r>
        <w:t xml:space="preserve"> </w:t>
      </w:r>
      <w:r w:rsidRPr="00864149">
        <w:t>služby</w:t>
      </w:r>
      <w:r>
        <w:t xml:space="preserve"> </w:t>
      </w:r>
      <w:r w:rsidRPr="00864149">
        <w:t>a</w:t>
      </w:r>
      <w:r>
        <w:t xml:space="preserve"> </w:t>
      </w:r>
      <w:r w:rsidRPr="00864149">
        <w:t>právo</w:t>
      </w:r>
      <w:r>
        <w:t xml:space="preserve"> </w:t>
      </w:r>
      <w:r w:rsidRPr="00864149">
        <w:t>vydávat</w:t>
      </w:r>
      <w:r>
        <w:t xml:space="preserve"> </w:t>
      </w:r>
      <w:r w:rsidRPr="00864149">
        <w:t>doklady</w:t>
      </w:r>
      <w:r>
        <w:t xml:space="preserve"> </w:t>
      </w:r>
      <w:r w:rsidRPr="00864149">
        <w:t>o</w:t>
      </w:r>
      <w:r>
        <w:t xml:space="preserve"> </w:t>
      </w:r>
      <w:r w:rsidRPr="00864149">
        <w:t>vzdělání</w:t>
      </w:r>
      <w:r>
        <w:t xml:space="preserve"> </w:t>
      </w:r>
      <w:r w:rsidRPr="00864149">
        <w:t>stanovené</w:t>
      </w:r>
      <w:r>
        <w:t xml:space="preserve"> </w:t>
      </w:r>
      <w:r w:rsidRPr="00864149">
        <w:t>tímto</w:t>
      </w:r>
      <w:r>
        <w:t xml:space="preserve"> </w:t>
      </w:r>
      <w:r w:rsidRPr="00864149">
        <w:t>zákonem,</w:t>
      </w:r>
      <w:r>
        <w:t xml:space="preserve"> </w:t>
      </w:r>
      <w:r w:rsidRPr="00864149">
        <w:t>a</w:t>
      </w:r>
      <w:r>
        <w:t xml:space="preserve"> </w:t>
      </w:r>
      <w:r w:rsidRPr="00864149">
        <w:t>to</w:t>
      </w:r>
      <w:r>
        <w:t xml:space="preserve"> </w:t>
      </w:r>
      <w:r w:rsidRPr="00864149">
        <w:t>v</w:t>
      </w:r>
      <w:r>
        <w:t xml:space="preserve"> </w:t>
      </w:r>
      <w:r w:rsidRPr="00864149">
        <w:t>rozsahu</w:t>
      </w:r>
      <w:r>
        <w:t xml:space="preserve"> </w:t>
      </w:r>
      <w:r w:rsidRPr="00864149">
        <w:t>tohoto</w:t>
      </w:r>
      <w:r>
        <w:t xml:space="preserve"> </w:t>
      </w:r>
      <w:r w:rsidRPr="00864149">
        <w:t>zápisu.</w:t>
      </w:r>
    </w:p>
    <w:p w14:paraId="6A2C522E" w14:textId="0C07F877" w:rsidR="0099047B" w:rsidRPr="00864149" w:rsidRDefault="0099047B" w:rsidP="00A84DD3">
      <w:pPr>
        <w:pStyle w:val="Textparagrafu"/>
        <w:tabs>
          <w:tab w:val="left" w:pos="392"/>
          <w:tab w:val="left" w:pos="840"/>
        </w:tabs>
        <w:spacing w:before="120" w:after="120"/>
      </w:pPr>
      <w:r w:rsidRPr="00864149">
        <w:t>(2)</w:t>
      </w:r>
      <w:r>
        <w:t xml:space="preserve"> </w:t>
      </w:r>
      <w:r w:rsidRPr="00864149">
        <w:t>Účinností</w:t>
      </w:r>
      <w:r>
        <w:t xml:space="preserve"> </w:t>
      </w:r>
      <w:r w:rsidRPr="00864149">
        <w:t>zápisu</w:t>
      </w:r>
      <w:r>
        <w:t xml:space="preserve"> </w:t>
      </w:r>
      <w:r w:rsidRPr="00864149">
        <w:t>školy</w:t>
      </w:r>
      <w:r>
        <w:t xml:space="preserve"> </w:t>
      </w:r>
      <w:r w:rsidRPr="00864149">
        <w:t>a</w:t>
      </w:r>
      <w:r>
        <w:t xml:space="preserve"> </w:t>
      </w:r>
      <w:r w:rsidRPr="00864149">
        <w:t>školského</w:t>
      </w:r>
      <w:r>
        <w:t xml:space="preserve"> </w:t>
      </w:r>
      <w:r w:rsidRPr="00864149">
        <w:t>zařízení</w:t>
      </w:r>
      <w:r>
        <w:t xml:space="preserve"> </w:t>
      </w:r>
      <w:r w:rsidRPr="00864149">
        <w:t>do</w:t>
      </w:r>
      <w:r>
        <w:t xml:space="preserve"> </w:t>
      </w:r>
      <w:r w:rsidRPr="00864149">
        <w:t>rejstříku</w:t>
      </w:r>
      <w:r>
        <w:t xml:space="preserve"> </w:t>
      </w:r>
      <w:r w:rsidRPr="00864149">
        <w:t>škol</w:t>
      </w:r>
      <w:r>
        <w:t xml:space="preserve"> </w:t>
      </w:r>
      <w:r w:rsidRPr="00864149">
        <w:t>a</w:t>
      </w:r>
      <w:r>
        <w:t xml:space="preserve"> </w:t>
      </w:r>
      <w:r w:rsidRPr="00864149">
        <w:t>školských</w:t>
      </w:r>
      <w:r>
        <w:t xml:space="preserve"> </w:t>
      </w:r>
      <w:r w:rsidRPr="00864149">
        <w:t>zařízení</w:t>
      </w:r>
      <w:r>
        <w:t xml:space="preserve"> </w:t>
      </w:r>
      <w:r w:rsidRPr="00864149">
        <w:t>vzniká</w:t>
      </w:r>
      <w:r>
        <w:t xml:space="preserve"> </w:t>
      </w:r>
      <w:r w:rsidRPr="00864149">
        <w:t>právnické</w:t>
      </w:r>
      <w:r>
        <w:t xml:space="preserve"> </w:t>
      </w:r>
      <w:r w:rsidRPr="00864149">
        <w:t>osobě,</w:t>
      </w:r>
      <w:r>
        <w:t xml:space="preserve"> </w:t>
      </w:r>
      <w:r w:rsidRPr="00864149">
        <w:t>která</w:t>
      </w:r>
      <w:r>
        <w:t xml:space="preserve"> </w:t>
      </w:r>
      <w:r w:rsidRPr="00864149">
        <w:t>vykonává</w:t>
      </w:r>
      <w:r>
        <w:t xml:space="preserve"> </w:t>
      </w:r>
      <w:r w:rsidRPr="00864149">
        <w:t>činnost</w:t>
      </w:r>
      <w:r>
        <w:t xml:space="preserve"> </w:t>
      </w:r>
      <w:r w:rsidRPr="00864149">
        <w:t>školy</w:t>
      </w:r>
      <w:r>
        <w:t xml:space="preserve"> </w:t>
      </w:r>
      <w:r w:rsidRPr="00864149">
        <w:t>nebo</w:t>
      </w:r>
      <w:r>
        <w:t xml:space="preserve"> </w:t>
      </w:r>
      <w:r w:rsidRPr="00864149">
        <w:t>školského</w:t>
      </w:r>
      <w:r>
        <w:t xml:space="preserve"> </w:t>
      </w:r>
      <w:r w:rsidRPr="00864149">
        <w:t>zařízení,</w:t>
      </w:r>
      <w:r>
        <w:t xml:space="preserve"> </w:t>
      </w:r>
      <w:r w:rsidRPr="00864149">
        <w:t>nárok</w:t>
      </w:r>
      <w:r>
        <w:t xml:space="preserve"> </w:t>
      </w:r>
      <w:r w:rsidRPr="00864149">
        <w:t>na</w:t>
      </w:r>
      <w:r>
        <w:t xml:space="preserve"> </w:t>
      </w:r>
      <w:r w:rsidRPr="00864149">
        <w:t>přidělování</w:t>
      </w:r>
      <w:r>
        <w:t xml:space="preserve"> </w:t>
      </w:r>
      <w:r w:rsidRPr="00C3746B">
        <w:rPr>
          <w:strike/>
        </w:rPr>
        <w:t>finančních</w:t>
      </w:r>
      <w:r w:rsidR="00C3746B">
        <w:t xml:space="preserve"> </w:t>
      </w:r>
      <w:r w:rsidR="00C3746B" w:rsidRPr="00C3746B">
        <w:rPr>
          <w:b/>
        </w:rPr>
        <w:t>peněžních</w:t>
      </w:r>
      <w:r>
        <w:t xml:space="preserve"> </w:t>
      </w:r>
      <w:r w:rsidRPr="00864149">
        <w:t>prostředků</w:t>
      </w:r>
      <w:r>
        <w:t xml:space="preserve"> </w:t>
      </w:r>
      <w:r w:rsidRPr="00864149">
        <w:t>ze</w:t>
      </w:r>
      <w:r>
        <w:t xml:space="preserve"> </w:t>
      </w:r>
      <w:r w:rsidRPr="00864149">
        <w:t>státního</w:t>
      </w:r>
      <w:r>
        <w:t xml:space="preserve"> </w:t>
      </w:r>
      <w:r w:rsidRPr="00864149">
        <w:t>rozpočtu</w:t>
      </w:r>
      <w:r>
        <w:t xml:space="preserve"> </w:t>
      </w:r>
      <w:r w:rsidRPr="00864149">
        <w:t>nebo</w:t>
      </w:r>
      <w:r>
        <w:t xml:space="preserve"> </w:t>
      </w:r>
      <w:r w:rsidRPr="00864149">
        <w:t>z</w:t>
      </w:r>
      <w:r>
        <w:t xml:space="preserve"> </w:t>
      </w:r>
      <w:r w:rsidRPr="00864149">
        <w:t>rozpočtu</w:t>
      </w:r>
      <w:r>
        <w:t xml:space="preserve"> </w:t>
      </w:r>
      <w:r w:rsidRPr="00864149">
        <w:t>územního</w:t>
      </w:r>
      <w:r>
        <w:t xml:space="preserve"> </w:t>
      </w:r>
      <w:r w:rsidRPr="00864149">
        <w:t>samosprávného</w:t>
      </w:r>
      <w:r>
        <w:t xml:space="preserve"> </w:t>
      </w:r>
      <w:r w:rsidRPr="00864149">
        <w:t>celku</w:t>
      </w:r>
      <w:r>
        <w:t xml:space="preserve"> </w:t>
      </w:r>
      <w:r w:rsidRPr="00864149">
        <w:t>za</w:t>
      </w:r>
      <w:r>
        <w:t xml:space="preserve"> </w:t>
      </w:r>
      <w:r w:rsidRPr="00864149">
        <w:t>podmínek</w:t>
      </w:r>
      <w:r>
        <w:t xml:space="preserve"> </w:t>
      </w:r>
      <w:r w:rsidRPr="00864149">
        <w:t>stanovených</w:t>
      </w:r>
      <w:r>
        <w:t xml:space="preserve"> </w:t>
      </w:r>
      <w:r w:rsidRPr="00864149">
        <w:t>tímto</w:t>
      </w:r>
      <w:r>
        <w:t xml:space="preserve"> </w:t>
      </w:r>
      <w:r w:rsidRPr="00864149">
        <w:t>zákonem,</w:t>
      </w:r>
      <w:r>
        <w:t xml:space="preserve"> </w:t>
      </w:r>
      <w:r w:rsidRPr="00864149">
        <w:t>a</w:t>
      </w:r>
      <w:r>
        <w:t xml:space="preserve"> </w:t>
      </w:r>
      <w:r w:rsidRPr="00864149">
        <w:t>to</w:t>
      </w:r>
      <w:r>
        <w:t xml:space="preserve"> </w:t>
      </w:r>
      <w:r w:rsidRPr="00864149">
        <w:t>v</w:t>
      </w:r>
      <w:r>
        <w:t xml:space="preserve"> </w:t>
      </w:r>
      <w:r w:rsidRPr="00864149">
        <w:t>rozsahu</w:t>
      </w:r>
      <w:r>
        <w:t xml:space="preserve"> </w:t>
      </w:r>
      <w:r w:rsidRPr="00864149">
        <w:t>tohoto</w:t>
      </w:r>
      <w:r>
        <w:t xml:space="preserve"> </w:t>
      </w:r>
      <w:r w:rsidRPr="00864149">
        <w:t>zápisu.</w:t>
      </w:r>
    </w:p>
    <w:p w14:paraId="2FA0D19F" w14:textId="39FC7CA9" w:rsidR="0099047B" w:rsidRDefault="0099047B" w:rsidP="005A43C2">
      <w:pPr>
        <w:pStyle w:val="Textparagrafu"/>
        <w:tabs>
          <w:tab w:val="left" w:pos="406"/>
          <w:tab w:val="left" w:pos="840"/>
          <w:tab w:val="left" w:pos="868"/>
        </w:tabs>
        <w:spacing w:after="120"/>
        <w:ind w:firstLine="0"/>
        <w:jc w:val="center"/>
      </w:pPr>
      <w:r>
        <w:t>***</w:t>
      </w:r>
    </w:p>
    <w:p w14:paraId="57DEC251" w14:textId="5DE6D877" w:rsidR="0099047B" w:rsidRDefault="0099047B" w:rsidP="005A43C2">
      <w:pPr>
        <w:pStyle w:val="Textparagrafu"/>
        <w:tabs>
          <w:tab w:val="left" w:pos="392"/>
          <w:tab w:val="left" w:pos="840"/>
        </w:tabs>
        <w:spacing w:after="120"/>
        <w:ind w:firstLine="0"/>
        <w:jc w:val="center"/>
      </w:pPr>
      <w:r w:rsidRPr="00864149">
        <w:t>§</w:t>
      </w:r>
      <w:r>
        <w:t xml:space="preserve"> </w:t>
      </w:r>
      <w:r w:rsidRPr="00864149">
        <w:t>151</w:t>
      </w:r>
    </w:p>
    <w:p w14:paraId="17D17BB0" w14:textId="39BA352F" w:rsidR="0099047B" w:rsidRDefault="0099047B" w:rsidP="00A84DD3">
      <w:pPr>
        <w:pStyle w:val="Textparagrafu"/>
        <w:tabs>
          <w:tab w:val="left" w:pos="392"/>
          <w:tab w:val="left" w:pos="840"/>
        </w:tabs>
        <w:spacing w:before="120" w:after="120"/>
      </w:pPr>
      <w:r w:rsidRPr="00864149">
        <w:t>(1)</w:t>
      </w:r>
      <w:r>
        <w:t xml:space="preserve"> </w:t>
      </w:r>
      <w:r w:rsidRPr="00864149">
        <w:t>V</w:t>
      </w:r>
      <w:r>
        <w:t xml:space="preserve"> </w:t>
      </w:r>
      <w:r w:rsidRPr="00864149">
        <w:t>průběhu</w:t>
      </w:r>
      <w:r>
        <w:t xml:space="preserve"> </w:t>
      </w:r>
      <w:r w:rsidRPr="00864149">
        <w:t>řízení</w:t>
      </w:r>
      <w:r>
        <w:t xml:space="preserve"> </w:t>
      </w:r>
      <w:r w:rsidRPr="00864149">
        <w:t>o</w:t>
      </w:r>
      <w:r>
        <w:t xml:space="preserve"> </w:t>
      </w:r>
      <w:r w:rsidRPr="00864149">
        <w:t>výmazu</w:t>
      </w:r>
      <w:r>
        <w:t xml:space="preserve"> </w:t>
      </w:r>
      <w:r w:rsidRPr="00864149">
        <w:t>z</w:t>
      </w:r>
      <w:r>
        <w:t xml:space="preserve"> </w:t>
      </w:r>
      <w:r w:rsidRPr="00864149">
        <w:t>rejstříku</w:t>
      </w:r>
      <w:r>
        <w:t xml:space="preserve"> </w:t>
      </w:r>
      <w:r w:rsidRPr="00864149">
        <w:t>rozhodne</w:t>
      </w:r>
      <w:r>
        <w:t xml:space="preserve"> </w:t>
      </w:r>
      <w:r w:rsidRPr="00864149">
        <w:t>orgán,</w:t>
      </w:r>
      <w:r>
        <w:t xml:space="preserve"> </w:t>
      </w:r>
      <w:r w:rsidRPr="00864149">
        <w:t>který</w:t>
      </w:r>
      <w:r>
        <w:t xml:space="preserve"> </w:t>
      </w:r>
      <w:r w:rsidRPr="00864149">
        <w:t>vede</w:t>
      </w:r>
      <w:r>
        <w:t xml:space="preserve"> </w:t>
      </w:r>
      <w:r w:rsidRPr="00864149">
        <w:t>rejstřík</w:t>
      </w:r>
      <w:r>
        <w:t xml:space="preserve"> </w:t>
      </w:r>
      <w:r w:rsidRPr="00864149">
        <w:t>škol</w:t>
      </w:r>
      <w:r>
        <w:t xml:space="preserve"> </w:t>
      </w:r>
      <w:r w:rsidRPr="00864149">
        <w:t>a</w:t>
      </w:r>
      <w:r>
        <w:t xml:space="preserve"> </w:t>
      </w:r>
      <w:r w:rsidRPr="00864149">
        <w:t>školských</w:t>
      </w:r>
      <w:r>
        <w:t xml:space="preserve"> </w:t>
      </w:r>
      <w:r w:rsidRPr="00864149">
        <w:t>zařízení,</w:t>
      </w:r>
      <w:r>
        <w:t xml:space="preserve"> </w:t>
      </w:r>
      <w:r w:rsidRPr="00864149">
        <w:t>o</w:t>
      </w:r>
      <w:r>
        <w:t xml:space="preserve"> </w:t>
      </w:r>
      <w:r w:rsidRPr="00864149">
        <w:t>opatřeních,</w:t>
      </w:r>
      <w:r>
        <w:t xml:space="preserve"> </w:t>
      </w:r>
      <w:r w:rsidRPr="00864149">
        <w:t>která</w:t>
      </w:r>
      <w:r>
        <w:t xml:space="preserve"> </w:t>
      </w:r>
      <w:r w:rsidRPr="00864149">
        <w:t>zamezí</w:t>
      </w:r>
      <w:r>
        <w:t xml:space="preserve"> </w:t>
      </w:r>
      <w:r w:rsidRPr="00864149">
        <w:t>nehospodárnému</w:t>
      </w:r>
      <w:r>
        <w:t xml:space="preserve"> </w:t>
      </w:r>
      <w:r w:rsidRPr="00864149">
        <w:t>využití</w:t>
      </w:r>
      <w:r>
        <w:t xml:space="preserve"> </w:t>
      </w:r>
      <w:r w:rsidRPr="00C3746B">
        <w:rPr>
          <w:strike/>
        </w:rPr>
        <w:t>finančních</w:t>
      </w:r>
      <w:r>
        <w:t xml:space="preserve"> </w:t>
      </w:r>
      <w:r w:rsidR="00C3746B">
        <w:rPr>
          <w:b/>
        </w:rPr>
        <w:t xml:space="preserve">peněžních </w:t>
      </w:r>
      <w:r w:rsidRPr="00864149">
        <w:t>prostředků</w:t>
      </w:r>
      <w:r>
        <w:t xml:space="preserve"> </w:t>
      </w:r>
      <w:r w:rsidRPr="00864149">
        <w:t>státního</w:t>
      </w:r>
      <w:r>
        <w:t xml:space="preserve"> </w:t>
      </w:r>
      <w:r w:rsidRPr="00864149">
        <w:t>rozpočtu</w:t>
      </w:r>
      <w:r>
        <w:t xml:space="preserve"> </w:t>
      </w:r>
      <w:r w:rsidRPr="00864149">
        <w:t>poskytovaných</w:t>
      </w:r>
      <w:r>
        <w:t xml:space="preserve"> </w:t>
      </w:r>
      <w:r w:rsidRPr="00864149">
        <w:t>podle</w:t>
      </w:r>
      <w:r>
        <w:t xml:space="preserve"> </w:t>
      </w:r>
      <w:r w:rsidRPr="00864149">
        <w:t>tohoto</w:t>
      </w:r>
      <w:r>
        <w:t xml:space="preserve"> </w:t>
      </w:r>
      <w:r w:rsidRPr="00864149">
        <w:t>zákona.</w:t>
      </w:r>
    </w:p>
    <w:p w14:paraId="5A82D5BE" w14:textId="2B08A6A1" w:rsidR="0099047B" w:rsidRDefault="0099047B" w:rsidP="00A84DD3">
      <w:pPr>
        <w:pStyle w:val="Textparagrafu"/>
        <w:tabs>
          <w:tab w:val="left" w:pos="392"/>
          <w:tab w:val="left" w:pos="840"/>
        </w:tabs>
        <w:spacing w:before="120" w:after="120"/>
      </w:pPr>
      <w:r w:rsidRPr="00864149">
        <w:t>(2)</w:t>
      </w:r>
      <w:r>
        <w:t xml:space="preserve"> </w:t>
      </w:r>
      <w:r w:rsidRPr="00864149">
        <w:t>Dnem</w:t>
      </w:r>
      <w:r>
        <w:t xml:space="preserve"> </w:t>
      </w:r>
      <w:r w:rsidRPr="00864149">
        <w:t>právní</w:t>
      </w:r>
      <w:r>
        <w:t xml:space="preserve"> </w:t>
      </w:r>
      <w:r w:rsidRPr="00864149">
        <w:t>moci</w:t>
      </w:r>
      <w:r>
        <w:t xml:space="preserve"> </w:t>
      </w:r>
      <w:r w:rsidRPr="00864149">
        <w:t>rozhodnutí</w:t>
      </w:r>
      <w:r>
        <w:t xml:space="preserve"> </w:t>
      </w:r>
      <w:r w:rsidRPr="00864149">
        <w:t>o</w:t>
      </w:r>
      <w:r>
        <w:t xml:space="preserve"> </w:t>
      </w:r>
      <w:r w:rsidRPr="00864149">
        <w:t>výmazu</w:t>
      </w:r>
      <w:r>
        <w:t xml:space="preserve"> </w:t>
      </w:r>
      <w:r w:rsidRPr="00864149">
        <w:t>z</w:t>
      </w:r>
      <w:r>
        <w:t xml:space="preserve"> </w:t>
      </w:r>
      <w:r w:rsidRPr="00864149">
        <w:t>rejstříku</w:t>
      </w:r>
      <w:r>
        <w:t xml:space="preserve"> </w:t>
      </w:r>
      <w:r w:rsidRPr="00864149">
        <w:t>zaniká</w:t>
      </w:r>
      <w:r>
        <w:t xml:space="preserve"> </w:t>
      </w:r>
      <w:r w:rsidRPr="00864149">
        <w:t>právnické</w:t>
      </w:r>
      <w:r>
        <w:t xml:space="preserve"> </w:t>
      </w:r>
      <w:r w:rsidRPr="00864149">
        <w:t>osobě,</w:t>
      </w:r>
      <w:r>
        <w:t xml:space="preserve"> </w:t>
      </w:r>
      <w:r w:rsidRPr="00864149">
        <w:t>která</w:t>
      </w:r>
      <w:r>
        <w:t xml:space="preserve"> </w:t>
      </w:r>
      <w:r w:rsidRPr="00864149">
        <w:t>vykonávala</w:t>
      </w:r>
      <w:r>
        <w:t xml:space="preserve"> </w:t>
      </w:r>
      <w:r w:rsidRPr="00864149">
        <w:t>činnost</w:t>
      </w:r>
      <w:r>
        <w:t xml:space="preserve"> </w:t>
      </w:r>
      <w:r w:rsidRPr="00864149">
        <w:t>školy</w:t>
      </w:r>
      <w:r>
        <w:t xml:space="preserve"> </w:t>
      </w:r>
      <w:r w:rsidRPr="00864149">
        <w:t>nebo</w:t>
      </w:r>
      <w:r>
        <w:t xml:space="preserve"> </w:t>
      </w:r>
      <w:r w:rsidRPr="00864149">
        <w:t>školského</w:t>
      </w:r>
      <w:r>
        <w:t xml:space="preserve"> </w:t>
      </w:r>
      <w:r w:rsidRPr="00864149">
        <w:t>zařízení,</w:t>
      </w:r>
      <w:r>
        <w:t xml:space="preserve"> </w:t>
      </w:r>
      <w:r w:rsidRPr="00864149">
        <w:t>právo</w:t>
      </w:r>
      <w:r>
        <w:t xml:space="preserve"> </w:t>
      </w:r>
      <w:r w:rsidRPr="00864149">
        <w:t>poskytovat</w:t>
      </w:r>
      <w:r>
        <w:t xml:space="preserve"> </w:t>
      </w:r>
      <w:r w:rsidRPr="00864149">
        <w:t>vzdělávání</w:t>
      </w:r>
      <w:r>
        <w:t xml:space="preserve"> </w:t>
      </w:r>
      <w:r w:rsidRPr="00864149">
        <w:t>a</w:t>
      </w:r>
      <w:r>
        <w:t xml:space="preserve"> </w:t>
      </w:r>
      <w:r w:rsidRPr="00864149">
        <w:t>školské</w:t>
      </w:r>
      <w:r>
        <w:t xml:space="preserve"> </w:t>
      </w:r>
      <w:r w:rsidRPr="00864149">
        <w:t>služby</w:t>
      </w:r>
      <w:r>
        <w:t xml:space="preserve"> </w:t>
      </w:r>
      <w:r w:rsidRPr="00864149">
        <w:t>a</w:t>
      </w:r>
      <w:r>
        <w:t xml:space="preserve"> </w:t>
      </w:r>
      <w:r w:rsidRPr="00864149">
        <w:t>právo</w:t>
      </w:r>
      <w:r>
        <w:t xml:space="preserve"> </w:t>
      </w:r>
      <w:r w:rsidRPr="00864149">
        <w:t>vydávat</w:t>
      </w:r>
      <w:r>
        <w:t xml:space="preserve"> </w:t>
      </w:r>
      <w:r w:rsidRPr="00864149">
        <w:t>doklady</w:t>
      </w:r>
      <w:r>
        <w:t xml:space="preserve"> </w:t>
      </w:r>
      <w:r w:rsidRPr="00864149">
        <w:t>o</w:t>
      </w:r>
      <w:r>
        <w:t xml:space="preserve"> </w:t>
      </w:r>
      <w:r w:rsidRPr="00864149">
        <w:t>vzdělání</w:t>
      </w:r>
      <w:r>
        <w:t xml:space="preserve"> </w:t>
      </w:r>
      <w:r w:rsidRPr="00864149">
        <w:t>stanovené</w:t>
      </w:r>
      <w:r>
        <w:t xml:space="preserve"> </w:t>
      </w:r>
      <w:r w:rsidRPr="00864149">
        <w:t>tímto</w:t>
      </w:r>
      <w:r>
        <w:t xml:space="preserve"> </w:t>
      </w:r>
      <w:r w:rsidRPr="00864149">
        <w:t>zákonem,</w:t>
      </w:r>
      <w:r>
        <w:t xml:space="preserve"> </w:t>
      </w:r>
      <w:r w:rsidRPr="00864149">
        <w:t>a</w:t>
      </w:r>
      <w:r>
        <w:t xml:space="preserve"> </w:t>
      </w:r>
      <w:r w:rsidRPr="00864149">
        <w:t>to</w:t>
      </w:r>
      <w:r>
        <w:t xml:space="preserve"> </w:t>
      </w:r>
      <w:r w:rsidRPr="00864149">
        <w:t>v</w:t>
      </w:r>
      <w:r>
        <w:t xml:space="preserve"> </w:t>
      </w:r>
      <w:r w:rsidRPr="00864149">
        <w:t>rozsahu</w:t>
      </w:r>
      <w:r>
        <w:t xml:space="preserve"> </w:t>
      </w:r>
      <w:r w:rsidRPr="00864149">
        <w:t>tohoto</w:t>
      </w:r>
      <w:r>
        <w:t xml:space="preserve"> </w:t>
      </w:r>
      <w:r w:rsidRPr="00864149">
        <w:t>výmazu.</w:t>
      </w:r>
      <w:r>
        <w:t xml:space="preserve"> </w:t>
      </w:r>
      <w:r w:rsidRPr="00864149">
        <w:t>Zároveň</w:t>
      </w:r>
      <w:r>
        <w:t xml:space="preserve"> </w:t>
      </w:r>
      <w:r w:rsidRPr="00864149">
        <w:t>v</w:t>
      </w:r>
      <w:r>
        <w:t xml:space="preserve"> </w:t>
      </w:r>
      <w:r w:rsidRPr="00864149">
        <w:t>rozsahu</w:t>
      </w:r>
      <w:r>
        <w:t xml:space="preserve"> </w:t>
      </w:r>
      <w:r w:rsidRPr="00864149">
        <w:t>výmazu</w:t>
      </w:r>
      <w:r>
        <w:t xml:space="preserve"> </w:t>
      </w:r>
      <w:r w:rsidRPr="00864149">
        <w:t>zaniká</w:t>
      </w:r>
      <w:r>
        <w:t xml:space="preserve"> </w:t>
      </w:r>
      <w:r w:rsidRPr="00864149">
        <w:t>nárok</w:t>
      </w:r>
      <w:r>
        <w:t xml:space="preserve"> </w:t>
      </w:r>
      <w:r w:rsidRPr="00864149">
        <w:t>na</w:t>
      </w:r>
      <w:r>
        <w:t xml:space="preserve"> </w:t>
      </w:r>
      <w:r w:rsidRPr="00864149">
        <w:t>přidělování</w:t>
      </w:r>
      <w:r>
        <w:t xml:space="preserve"> </w:t>
      </w:r>
      <w:r w:rsidRPr="00C3746B">
        <w:rPr>
          <w:strike/>
        </w:rPr>
        <w:t>finančních</w:t>
      </w:r>
      <w:r>
        <w:t xml:space="preserve"> </w:t>
      </w:r>
      <w:r w:rsidR="00C3746B">
        <w:rPr>
          <w:b/>
        </w:rPr>
        <w:t xml:space="preserve">peněžních </w:t>
      </w:r>
      <w:r w:rsidRPr="00864149">
        <w:t>prostředků</w:t>
      </w:r>
      <w:r>
        <w:t xml:space="preserve"> </w:t>
      </w:r>
      <w:r w:rsidRPr="00864149">
        <w:t>ze</w:t>
      </w:r>
      <w:r>
        <w:t xml:space="preserve"> </w:t>
      </w:r>
      <w:r w:rsidRPr="00864149">
        <w:t>státního</w:t>
      </w:r>
      <w:r>
        <w:t xml:space="preserve"> </w:t>
      </w:r>
      <w:r w:rsidRPr="00864149">
        <w:t>rozpočtu</w:t>
      </w:r>
      <w:r>
        <w:t xml:space="preserve"> </w:t>
      </w:r>
      <w:r w:rsidRPr="00864149">
        <w:t>nebo</w:t>
      </w:r>
      <w:r>
        <w:t xml:space="preserve"> </w:t>
      </w:r>
      <w:r w:rsidRPr="00864149">
        <w:t>z</w:t>
      </w:r>
      <w:r>
        <w:t xml:space="preserve"> </w:t>
      </w:r>
      <w:r w:rsidRPr="00864149">
        <w:t>rozpočtu</w:t>
      </w:r>
      <w:r>
        <w:t xml:space="preserve"> </w:t>
      </w:r>
      <w:r w:rsidRPr="00864149">
        <w:t>územního</w:t>
      </w:r>
      <w:r>
        <w:t xml:space="preserve"> </w:t>
      </w:r>
      <w:r w:rsidRPr="00864149">
        <w:t>samosprávného</w:t>
      </w:r>
      <w:r>
        <w:t xml:space="preserve"> </w:t>
      </w:r>
      <w:r w:rsidRPr="00864149">
        <w:t>celku</w:t>
      </w:r>
      <w:r>
        <w:t xml:space="preserve"> </w:t>
      </w:r>
      <w:r w:rsidRPr="00864149">
        <w:t>podle</w:t>
      </w:r>
      <w:r>
        <w:t xml:space="preserve"> </w:t>
      </w:r>
      <w:r w:rsidRPr="00864149">
        <w:t>tohoto</w:t>
      </w:r>
      <w:r>
        <w:t xml:space="preserve"> </w:t>
      </w:r>
      <w:r w:rsidRPr="00864149">
        <w:t>zákona.</w:t>
      </w:r>
    </w:p>
    <w:p w14:paraId="684ECCD0" w14:textId="77777777" w:rsidR="0099047B" w:rsidRDefault="0099047B" w:rsidP="00A84DD3">
      <w:pPr>
        <w:pStyle w:val="Textparagrafu"/>
        <w:tabs>
          <w:tab w:val="left" w:pos="392"/>
          <w:tab w:val="left" w:pos="840"/>
        </w:tabs>
        <w:spacing w:before="120" w:after="120"/>
      </w:pPr>
      <w:r w:rsidRPr="00864149">
        <w:t>(3)</w:t>
      </w:r>
      <w:r>
        <w:t xml:space="preserve"> </w:t>
      </w:r>
      <w:r w:rsidRPr="00864149">
        <w:t>Dojde-li</w:t>
      </w:r>
      <w:r>
        <w:t xml:space="preserve"> </w:t>
      </w:r>
      <w:r w:rsidRPr="00864149">
        <w:t>k</w:t>
      </w:r>
      <w:r>
        <w:t xml:space="preserve"> </w:t>
      </w:r>
      <w:r w:rsidRPr="00864149">
        <w:t>výmazu</w:t>
      </w:r>
      <w:r>
        <w:t xml:space="preserve"> </w:t>
      </w:r>
      <w:r w:rsidRPr="00864149">
        <w:t>školy</w:t>
      </w:r>
      <w:r>
        <w:t xml:space="preserve"> </w:t>
      </w:r>
      <w:r w:rsidRPr="00864149">
        <w:t>nebo</w:t>
      </w:r>
      <w:r>
        <w:t xml:space="preserve"> </w:t>
      </w:r>
      <w:r w:rsidRPr="00864149">
        <w:t>oboru</w:t>
      </w:r>
      <w:r>
        <w:t xml:space="preserve"> </w:t>
      </w:r>
      <w:r w:rsidRPr="00864149">
        <w:t>vzdělání</w:t>
      </w:r>
      <w:r>
        <w:t xml:space="preserve"> </w:t>
      </w:r>
      <w:r w:rsidRPr="00864149">
        <w:t>z</w:t>
      </w:r>
      <w:r>
        <w:t xml:space="preserve"> </w:t>
      </w:r>
      <w:r w:rsidRPr="00864149">
        <w:t>rejstříku</w:t>
      </w:r>
      <w:r>
        <w:t xml:space="preserve"> </w:t>
      </w:r>
      <w:r w:rsidRPr="00864149">
        <w:t>škol</w:t>
      </w:r>
      <w:r>
        <w:t xml:space="preserve"> </w:t>
      </w:r>
      <w:r w:rsidRPr="00864149">
        <w:t>a</w:t>
      </w:r>
      <w:r>
        <w:t xml:space="preserve"> </w:t>
      </w:r>
      <w:r w:rsidRPr="00864149">
        <w:t>školských</w:t>
      </w:r>
      <w:r>
        <w:t xml:space="preserve"> </w:t>
      </w:r>
      <w:r w:rsidRPr="00864149">
        <w:t>zařízení,</w:t>
      </w:r>
      <w:r>
        <w:t xml:space="preserve"> </w:t>
      </w:r>
      <w:r w:rsidRPr="00864149">
        <w:t>zajistí</w:t>
      </w:r>
      <w:r>
        <w:t xml:space="preserve"> </w:t>
      </w:r>
      <w:r w:rsidRPr="00864149">
        <w:t>právnická</w:t>
      </w:r>
      <w:r>
        <w:t xml:space="preserve"> </w:t>
      </w:r>
      <w:r w:rsidRPr="00864149">
        <w:t>osoba,</w:t>
      </w:r>
      <w:r>
        <w:t xml:space="preserve"> </w:t>
      </w:r>
      <w:r w:rsidRPr="00864149">
        <w:t>která</w:t>
      </w:r>
      <w:r>
        <w:t xml:space="preserve"> </w:t>
      </w:r>
      <w:r w:rsidRPr="00864149">
        <w:t>vykonávala</w:t>
      </w:r>
      <w:r>
        <w:t xml:space="preserve"> </w:t>
      </w:r>
      <w:r w:rsidRPr="00864149">
        <w:t>činnost</w:t>
      </w:r>
      <w:r>
        <w:t xml:space="preserve"> </w:t>
      </w:r>
      <w:r w:rsidRPr="00864149">
        <w:t>školy,</w:t>
      </w:r>
      <w:r>
        <w:t xml:space="preserve"> </w:t>
      </w:r>
      <w:r w:rsidRPr="00864149">
        <w:t>popřípadě</w:t>
      </w:r>
      <w:r>
        <w:t xml:space="preserve"> </w:t>
      </w:r>
      <w:r w:rsidRPr="00864149">
        <w:t>její</w:t>
      </w:r>
      <w:r>
        <w:t xml:space="preserve"> </w:t>
      </w:r>
      <w:r w:rsidRPr="00864149">
        <w:t>zřizovatel,</w:t>
      </w:r>
      <w:r>
        <w:t xml:space="preserve"> </w:t>
      </w:r>
      <w:r w:rsidRPr="00864149">
        <w:t>žákům</w:t>
      </w:r>
      <w:r>
        <w:t xml:space="preserve"> </w:t>
      </w:r>
      <w:r w:rsidRPr="00864149">
        <w:t>a</w:t>
      </w:r>
      <w:r>
        <w:t xml:space="preserve"> </w:t>
      </w:r>
      <w:r w:rsidRPr="00864149">
        <w:t>studentům</w:t>
      </w:r>
      <w:r>
        <w:t xml:space="preserve"> </w:t>
      </w:r>
      <w:r w:rsidRPr="00864149">
        <w:t>možnost</w:t>
      </w:r>
      <w:r>
        <w:t xml:space="preserve"> </w:t>
      </w:r>
      <w:r w:rsidRPr="00864149">
        <w:t>pokračovat</w:t>
      </w:r>
      <w:r>
        <w:t xml:space="preserve"> </w:t>
      </w:r>
      <w:r w:rsidRPr="00864149">
        <w:t>ve</w:t>
      </w:r>
      <w:r>
        <w:t xml:space="preserve"> </w:t>
      </w:r>
      <w:r w:rsidRPr="00864149">
        <w:t>vzdělávání</w:t>
      </w:r>
      <w:r>
        <w:t xml:space="preserve"> </w:t>
      </w:r>
      <w:r w:rsidRPr="00864149">
        <w:t>ve</w:t>
      </w:r>
      <w:r>
        <w:t xml:space="preserve"> </w:t>
      </w:r>
      <w:r w:rsidRPr="00864149">
        <w:t>stejném</w:t>
      </w:r>
      <w:r>
        <w:t xml:space="preserve"> </w:t>
      </w:r>
      <w:r w:rsidRPr="00864149">
        <w:t>nebo</w:t>
      </w:r>
      <w:r>
        <w:t xml:space="preserve"> </w:t>
      </w:r>
      <w:r w:rsidRPr="00864149">
        <w:t>obdobném</w:t>
      </w:r>
      <w:r>
        <w:t xml:space="preserve"> </w:t>
      </w:r>
      <w:r w:rsidRPr="00864149">
        <w:t>oboru</w:t>
      </w:r>
      <w:r>
        <w:t xml:space="preserve"> </w:t>
      </w:r>
      <w:r w:rsidRPr="00864149">
        <w:t>vzdělání</w:t>
      </w:r>
      <w:r>
        <w:t xml:space="preserve"> </w:t>
      </w:r>
      <w:r w:rsidRPr="00864149">
        <w:t>a</w:t>
      </w:r>
      <w:r>
        <w:t xml:space="preserve"> </w:t>
      </w:r>
      <w:r w:rsidRPr="00864149">
        <w:t>předá</w:t>
      </w:r>
      <w:r>
        <w:t xml:space="preserve"> </w:t>
      </w:r>
      <w:r w:rsidRPr="00864149">
        <w:t>jim</w:t>
      </w:r>
      <w:r>
        <w:t xml:space="preserve"> </w:t>
      </w:r>
      <w:r w:rsidRPr="00864149">
        <w:t>výsledky</w:t>
      </w:r>
      <w:r>
        <w:t xml:space="preserve"> </w:t>
      </w:r>
      <w:r w:rsidRPr="00864149">
        <w:t>hodnocení</w:t>
      </w:r>
      <w:r>
        <w:t xml:space="preserve"> </w:t>
      </w:r>
      <w:r w:rsidRPr="00864149">
        <w:t>za</w:t>
      </w:r>
      <w:r>
        <w:t xml:space="preserve"> </w:t>
      </w:r>
      <w:r w:rsidRPr="00864149">
        <w:t>nedokončený</w:t>
      </w:r>
      <w:r>
        <w:t xml:space="preserve"> </w:t>
      </w:r>
      <w:r w:rsidRPr="00864149">
        <w:t>školní</w:t>
      </w:r>
      <w:r>
        <w:t xml:space="preserve"> </w:t>
      </w:r>
      <w:r w:rsidRPr="00864149">
        <w:t>rok.</w:t>
      </w:r>
      <w:r>
        <w:t xml:space="preserve"> </w:t>
      </w:r>
      <w:r w:rsidRPr="00864149">
        <w:t>Pokud</w:t>
      </w:r>
      <w:r>
        <w:t xml:space="preserve"> </w:t>
      </w:r>
      <w:r w:rsidRPr="00864149">
        <w:t>nebyla</w:t>
      </w:r>
      <w:r>
        <w:t xml:space="preserve"> </w:t>
      </w:r>
      <w:r w:rsidRPr="00864149">
        <w:t>tímto</w:t>
      </w:r>
      <w:r>
        <w:t xml:space="preserve"> </w:t>
      </w:r>
      <w:r w:rsidRPr="00864149">
        <w:t>způsobem</w:t>
      </w:r>
      <w:r>
        <w:t xml:space="preserve"> </w:t>
      </w:r>
      <w:r w:rsidRPr="00864149">
        <w:t>zajištěna</w:t>
      </w:r>
      <w:r>
        <w:t xml:space="preserve"> </w:t>
      </w:r>
      <w:r w:rsidRPr="00864149">
        <w:t>možnost</w:t>
      </w:r>
      <w:r>
        <w:t xml:space="preserve"> </w:t>
      </w:r>
      <w:r w:rsidRPr="00864149">
        <w:t>uplatnění</w:t>
      </w:r>
      <w:r>
        <w:t xml:space="preserve"> </w:t>
      </w:r>
      <w:r w:rsidRPr="00864149">
        <w:t>práva</w:t>
      </w:r>
      <w:r>
        <w:t xml:space="preserve"> </w:t>
      </w:r>
      <w:r w:rsidRPr="00864149">
        <w:t>konat</w:t>
      </w:r>
      <w:r>
        <w:t xml:space="preserve"> </w:t>
      </w:r>
      <w:r w:rsidRPr="00864149">
        <w:t>maturitní</w:t>
      </w:r>
      <w:r>
        <w:t xml:space="preserve"> </w:t>
      </w:r>
      <w:r w:rsidRPr="00864149">
        <w:t>zkoušku,</w:t>
      </w:r>
      <w:r>
        <w:t xml:space="preserve"> </w:t>
      </w:r>
      <w:r w:rsidRPr="00864149">
        <w:t>závěrečnou</w:t>
      </w:r>
      <w:r>
        <w:t xml:space="preserve"> </w:t>
      </w:r>
      <w:r w:rsidRPr="00864149">
        <w:t>zkoušku,</w:t>
      </w:r>
      <w:r>
        <w:t xml:space="preserve"> </w:t>
      </w:r>
      <w:r w:rsidRPr="00864149">
        <w:t>absolutorium</w:t>
      </w:r>
      <w:r>
        <w:t xml:space="preserve"> </w:t>
      </w:r>
      <w:r w:rsidRPr="00864149">
        <w:t>v</w:t>
      </w:r>
      <w:r>
        <w:t xml:space="preserve"> </w:t>
      </w:r>
      <w:r w:rsidRPr="00864149">
        <w:t>konzervatoři</w:t>
      </w:r>
      <w:r>
        <w:t xml:space="preserve"> </w:t>
      </w:r>
      <w:r w:rsidRPr="00864149">
        <w:t>nebo</w:t>
      </w:r>
      <w:r>
        <w:t xml:space="preserve"> </w:t>
      </w:r>
      <w:r w:rsidRPr="00864149">
        <w:t>absolutorium,</w:t>
      </w:r>
      <w:r>
        <w:t xml:space="preserve"> </w:t>
      </w:r>
      <w:r w:rsidRPr="00864149">
        <w:t>konají</w:t>
      </w:r>
      <w:r>
        <w:t xml:space="preserve"> </w:t>
      </w:r>
      <w:r w:rsidRPr="00864149">
        <w:t>osoby,</w:t>
      </w:r>
      <w:r>
        <w:t xml:space="preserve"> </w:t>
      </w:r>
      <w:r w:rsidRPr="00864149">
        <w:t>které</w:t>
      </w:r>
      <w:r>
        <w:t xml:space="preserve"> </w:t>
      </w:r>
      <w:r w:rsidRPr="00864149">
        <w:t>splnily</w:t>
      </w:r>
      <w:r>
        <w:t xml:space="preserve"> </w:t>
      </w:r>
      <w:r w:rsidRPr="00864149">
        <w:t>podmínky</w:t>
      </w:r>
      <w:r>
        <w:t xml:space="preserve"> </w:t>
      </w:r>
      <w:r w:rsidRPr="00864149">
        <w:t>stanovené</w:t>
      </w:r>
      <w:r>
        <w:t xml:space="preserve"> </w:t>
      </w:r>
      <w:r w:rsidRPr="00864149">
        <w:t>tímto</w:t>
      </w:r>
      <w:r>
        <w:t xml:space="preserve"> </w:t>
      </w:r>
      <w:r w:rsidRPr="00864149">
        <w:t>zákonem,</w:t>
      </w:r>
      <w:r>
        <w:t xml:space="preserve"> </w:t>
      </w:r>
      <w:r w:rsidRPr="00864149">
        <w:t>závěrečnou</w:t>
      </w:r>
      <w:r>
        <w:t xml:space="preserve"> </w:t>
      </w:r>
      <w:r w:rsidRPr="00864149">
        <w:t>zkoušku,</w:t>
      </w:r>
      <w:r>
        <w:t xml:space="preserve"> </w:t>
      </w:r>
      <w:r w:rsidRPr="00864149">
        <w:t>absolutorium</w:t>
      </w:r>
      <w:r>
        <w:t xml:space="preserve"> </w:t>
      </w:r>
      <w:r w:rsidRPr="00864149">
        <w:t>v</w:t>
      </w:r>
      <w:r>
        <w:t xml:space="preserve"> </w:t>
      </w:r>
      <w:r w:rsidRPr="00864149">
        <w:t>konzervatoři</w:t>
      </w:r>
      <w:r>
        <w:t xml:space="preserve"> </w:t>
      </w:r>
      <w:r w:rsidRPr="00864149">
        <w:t>a</w:t>
      </w:r>
      <w:r>
        <w:t xml:space="preserve"> </w:t>
      </w:r>
      <w:r w:rsidRPr="00864149">
        <w:t>absolutorium</w:t>
      </w:r>
      <w:r>
        <w:t xml:space="preserve"> </w:t>
      </w:r>
      <w:r w:rsidRPr="00864149">
        <w:t>ve</w:t>
      </w:r>
      <w:r>
        <w:t xml:space="preserve"> </w:t>
      </w:r>
      <w:r w:rsidRPr="00864149">
        <w:t>škole</w:t>
      </w:r>
      <w:r>
        <w:t xml:space="preserve"> </w:t>
      </w:r>
      <w:r w:rsidRPr="00864149">
        <w:t>určené</w:t>
      </w:r>
      <w:r>
        <w:t xml:space="preserve"> </w:t>
      </w:r>
      <w:r w:rsidRPr="00864149">
        <w:t>krajským</w:t>
      </w:r>
      <w:r>
        <w:t xml:space="preserve"> </w:t>
      </w:r>
      <w:r w:rsidRPr="00864149">
        <w:t>úřadem</w:t>
      </w:r>
      <w:r>
        <w:t xml:space="preserve"> </w:t>
      </w:r>
      <w:r w:rsidRPr="00864149">
        <w:t>a</w:t>
      </w:r>
      <w:r>
        <w:t xml:space="preserve"> </w:t>
      </w:r>
      <w:r w:rsidRPr="00864149">
        <w:t>maturitní</w:t>
      </w:r>
      <w:r>
        <w:t xml:space="preserve"> </w:t>
      </w:r>
      <w:r w:rsidRPr="00864149">
        <w:t>zkoušku</w:t>
      </w:r>
      <w:r>
        <w:t xml:space="preserve"> </w:t>
      </w:r>
      <w:r w:rsidRPr="00864149">
        <w:t>ve</w:t>
      </w:r>
      <w:r>
        <w:t xml:space="preserve"> </w:t>
      </w:r>
      <w:r w:rsidRPr="00864149">
        <w:t>škole</w:t>
      </w:r>
      <w:r>
        <w:t xml:space="preserve"> </w:t>
      </w:r>
      <w:r w:rsidRPr="00864149">
        <w:t>určené</w:t>
      </w:r>
      <w:r>
        <w:t xml:space="preserve"> </w:t>
      </w:r>
      <w:r w:rsidRPr="00864149">
        <w:t>krajským</w:t>
      </w:r>
      <w:r>
        <w:t xml:space="preserve"> </w:t>
      </w:r>
      <w:r w:rsidRPr="00864149">
        <w:t>úřadem</w:t>
      </w:r>
      <w:r>
        <w:t xml:space="preserve"> </w:t>
      </w:r>
      <w:r w:rsidRPr="00864149">
        <w:t>v</w:t>
      </w:r>
      <w:r>
        <w:t xml:space="preserve"> </w:t>
      </w:r>
      <w:r w:rsidRPr="00864149">
        <w:t>dohodě</w:t>
      </w:r>
      <w:r>
        <w:t xml:space="preserve"> </w:t>
      </w:r>
      <w:r w:rsidRPr="00864149">
        <w:t>s</w:t>
      </w:r>
      <w:r>
        <w:t xml:space="preserve"> </w:t>
      </w:r>
      <w:r w:rsidRPr="00864149">
        <w:t>Centrem.</w:t>
      </w:r>
    </w:p>
    <w:p w14:paraId="32142BE5" w14:textId="77777777" w:rsidR="0099047B" w:rsidRPr="00864149" w:rsidRDefault="0099047B" w:rsidP="00A84DD3">
      <w:pPr>
        <w:pStyle w:val="Textparagrafu"/>
        <w:tabs>
          <w:tab w:val="left" w:pos="392"/>
          <w:tab w:val="left" w:pos="840"/>
        </w:tabs>
        <w:spacing w:before="120" w:after="120"/>
      </w:pPr>
      <w:r w:rsidRPr="00864149">
        <w:t>(4)</w:t>
      </w:r>
      <w:r>
        <w:t xml:space="preserve"> </w:t>
      </w:r>
      <w:r w:rsidRPr="00864149">
        <w:t>Dojde-li</w:t>
      </w:r>
      <w:r>
        <w:t xml:space="preserve"> </w:t>
      </w:r>
      <w:r w:rsidRPr="00864149">
        <w:t>k</w:t>
      </w:r>
      <w:r>
        <w:t xml:space="preserve"> </w:t>
      </w:r>
      <w:r w:rsidRPr="00864149">
        <w:t>výmazu</w:t>
      </w:r>
      <w:r>
        <w:t xml:space="preserve"> </w:t>
      </w:r>
      <w:r w:rsidRPr="00864149">
        <w:t>školy,</w:t>
      </w:r>
      <w:r>
        <w:t xml:space="preserve"> </w:t>
      </w:r>
      <w:r w:rsidRPr="00864149">
        <w:t>v</w:t>
      </w:r>
      <w:r>
        <w:t xml:space="preserve"> </w:t>
      </w:r>
      <w:r w:rsidRPr="00864149">
        <w:t>níž</w:t>
      </w:r>
      <w:r>
        <w:t xml:space="preserve"> </w:t>
      </w:r>
      <w:r w:rsidRPr="00864149">
        <w:t>se</w:t>
      </w:r>
      <w:r>
        <w:t xml:space="preserve"> </w:t>
      </w:r>
      <w:r w:rsidRPr="00864149">
        <w:t>plní</w:t>
      </w:r>
      <w:r>
        <w:t xml:space="preserve"> </w:t>
      </w:r>
      <w:r w:rsidRPr="00864149">
        <w:t>povinná</w:t>
      </w:r>
      <w:r>
        <w:t xml:space="preserve"> </w:t>
      </w:r>
      <w:r w:rsidRPr="00864149">
        <w:t>školní</w:t>
      </w:r>
      <w:r>
        <w:t xml:space="preserve"> </w:t>
      </w:r>
      <w:r w:rsidRPr="00864149">
        <w:t>docházka,</w:t>
      </w:r>
      <w:r>
        <w:t xml:space="preserve"> </w:t>
      </w:r>
      <w:r w:rsidRPr="00864149">
        <w:t>z</w:t>
      </w:r>
      <w:r>
        <w:t xml:space="preserve"> </w:t>
      </w:r>
      <w:r w:rsidRPr="00864149">
        <w:t>rejstříku</w:t>
      </w:r>
      <w:r>
        <w:t xml:space="preserve"> </w:t>
      </w:r>
      <w:r w:rsidRPr="00864149">
        <w:t>škol</w:t>
      </w:r>
      <w:r>
        <w:t xml:space="preserve"> </w:t>
      </w:r>
      <w:r w:rsidRPr="00864149">
        <w:t>a</w:t>
      </w:r>
      <w:r>
        <w:t xml:space="preserve"> </w:t>
      </w:r>
      <w:r w:rsidRPr="00864149">
        <w:t>školských</w:t>
      </w:r>
      <w:r>
        <w:t xml:space="preserve"> </w:t>
      </w:r>
      <w:r w:rsidRPr="00864149">
        <w:t>zařízení,</w:t>
      </w:r>
      <w:r>
        <w:t xml:space="preserve"> </w:t>
      </w:r>
      <w:r w:rsidRPr="00864149">
        <w:t>zajistí</w:t>
      </w:r>
      <w:r>
        <w:t xml:space="preserve"> </w:t>
      </w:r>
      <w:r w:rsidRPr="00864149">
        <w:t>obec,</w:t>
      </w:r>
      <w:r>
        <w:t xml:space="preserve"> </w:t>
      </w:r>
      <w:r w:rsidRPr="00864149">
        <w:t>v</w:t>
      </w:r>
      <w:r>
        <w:t xml:space="preserve"> </w:t>
      </w:r>
      <w:r w:rsidRPr="00864149">
        <w:t>níž</w:t>
      </w:r>
      <w:r>
        <w:t xml:space="preserve"> </w:t>
      </w:r>
      <w:r w:rsidRPr="00864149">
        <w:t>škola</w:t>
      </w:r>
      <w:r>
        <w:t xml:space="preserve"> </w:t>
      </w:r>
      <w:r w:rsidRPr="00864149">
        <w:t>působila,</w:t>
      </w:r>
      <w:r>
        <w:t xml:space="preserve"> </w:t>
      </w:r>
      <w:r w:rsidRPr="00864149">
        <w:t>v</w:t>
      </w:r>
      <w:r>
        <w:t xml:space="preserve"> </w:t>
      </w:r>
      <w:r w:rsidRPr="00864149">
        <w:t>dohodě</w:t>
      </w:r>
      <w:r>
        <w:t xml:space="preserve"> </w:t>
      </w:r>
      <w:r w:rsidRPr="00864149">
        <w:t>s</w:t>
      </w:r>
      <w:r>
        <w:t xml:space="preserve"> </w:t>
      </w:r>
      <w:r w:rsidRPr="00864149">
        <w:t>příslušným</w:t>
      </w:r>
      <w:r>
        <w:t xml:space="preserve"> </w:t>
      </w:r>
      <w:r w:rsidRPr="00864149">
        <w:t>krajským</w:t>
      </w:r>
      <w:r>
        <w:t xml:space="preserve"> </w:t>
      </w:r>
      <w:r w:rsidRPr="00864149">
        <w:t>úřadem,</w:t>
      </w:r>
      <w:r>
        <w:t xml:space="preserve"> </w:t>
      </w:r>
      <w:r w:rsidRPr="00864149">
        <w:t>plnění</w:t>
      </w:r>
      <w:r>
        <w:t xml:space="preserve"> </w:t>
      </w:r>
      <w:r w:rsidRPr="00864149">
        <w:t>povinné</w:t>
      </w:r>
      <w:r>
        <w:t xml:space="preserve"> </w:t>
      </w:r>
      <w:r w:rsidRPr="00864149">
        <w:t>školní</w:t>
      </w:r>
      <w:r>
        <w:t xml:space="preserve"> </w:t>
      </w:r>
      <w:r w:rsidRPr="00864149">
        <w:t>docházky</w:t>
      </w:r>
      <w:r>
        <w:t xml:space="preserve"> </w:t>
      </w:r>
      <w:r w:rsidRPr="00864149">
        <w:t>jejích</w:t>
      </w:r>
      <w:r>
        <w:t xml:space="preserve"> </w:t>
      </w:r>
      <w:r w:rsidRPr="00864149">
        <w:t>žáků.</w:t>
      </w:r>
    </w:p>
    <w:p w14:paraId="26472D8C" w14:textId="15FADEDB" w:rsidR="0099047B" w:rsidRDefault="00B9271C" w:rsidP="005A43C2">
      <w:pPr>
        <w:pStyle w:val="Textparagrafu"/>
        <w:tabs>
          <w:tab w:val="left" w:pos="406"/>
          <w:tab w:val="left" w:pos="840"/>
          <w:tab w:val="left" w:pos="868"/>
        </w:tabs>
        <w:spacing w:after="120"/>
        <w:ind w:firstLine="0"/>
        <w:jc w:val="center"/>
      </w:pPr>
      <w:r>
        <w:t>***</w:t>
      </w:r>
    </w:p>
    <w:p w14:paraId="583E6235" w14:textId="5B8E0142" w:rsidR="00B9271C" w:rsidRDefault="00B9271C" w:rsidP="005A43C2">
      <w:pPr>
        <w:pStyle w:val="Textparagrafu"/>
        <w:tabs>
          <w:tab w:val="left" w:pos="392"/>
          <w:tab w:val="left" w:pos="840"/>
        </w:tabs>
        <w:spacing w:after="120"/>
        <w:ind w:firstLine="0"/>
        <w:jc w:val="center"/>
      </w:pPr>
      <w:r w:rsidRPr="00B05565">
        <w:t>§</w:t>
      </w:r>
      <w:r>
        <w:t xml:space="preserve"> </w:t>
      </w:r>
      <w:r w:rsidRPr="00B05565">
        <w:t>160</w:t>
      </w:r>
    </w:p>
    <w:p w14:paraId="6C4A64F1" w14:textId="1349B496" w:rsidR="00B9271C" w:rsidRDefault="00B9271C" w:rsidP="00A84DD3">
      <w:pPr>
        <w:pStyle w:val="Textparagrafu"/>
        <w:tabs>
          <w:tab w:val="left" w:pos="392"/>
          <w:tab w:val="left" w:pos="840"/>
        </w:tabs>
        <w:spacing w:before="120" w:after="120"/>
      </w:pPr>
      <w:r w:rsidRPr="00B05565">
        <w:t>(1)</w:t>
      </w:r>
      <w:r>
        <w:t xml:space="preserve"> </w:t>
      </w:r>
      <w:r w:rsidRPr="00B05565">
        <w:t>Ze</w:t>
      </w:r>
      <w:r>
        <w:t xml:space="preserve"> </w:t>
      </w:r>
      <w:r w:rsidRPr="00B05565">
        <w:t>státního</w:t>
      </w:r>
      <w:r>
        <w:t xml:space="preserve"> </w:t>
      </w:r>
      <w:r w:rsidRPr="00B05565">
        <w:t>rozpočtu</w:t>
      </w:r>
      <w:r>
        <w:t xml:space="preserve"> </w:t>
      </w:r>
      <w:r w:rsidRPr="00B05565">
        <w:t>se</w:t>
      </w:r>
      <w:r>
        <w:t xml:space="preserve"> </w:t>
      </w:r>
      <w:r w:rsidRPr="00B05565">
        <w:t>za</w:t>
      </w:r>
      <w:r>
        <w:t xml:space="preserve"> </w:t>
      </w:r>
      <w:r w:rsidRPr="00B05565">
        <w:t>podmínek</w:t>
      </w:r>
      <w:r>
        <w:t xml:space="preserve"> </w:t>
      </w:r>
      <w:r w:rsidRPr="00B05565">
        <w:t>stanovených</w:t>
      </w:r>
      <w:r>
        <w:t xml:space="preserve"> </w:t>
      </w:r>
      <w:r w:rsidRPr="00B05565">
        <w:t>tímto</w:t>
      </w:r>
      <w:r>
        <w:t xml:space="preserve"> </w:t>
      </w:r>
      <w:r w:rsidRPr="00B05565">
        <w:t>zákonem</w:t>
      </w:r>
      <w:r>
        <w:t xml:space="preserve"> </w:t>
      </w:r>
      <w:r w:rsidRPr="00B05565">
        <w:t>poskytují</w:t>
      </w:r>
      <w:r>
        <w:t xml:space="preserve"> </w:t>
      </w:r>
      <w:r w:rsidRPr="00C3746B">
        <w:rPr>
          <w:strike/>
        </w:rPr>
        <w:t>finanční</w:t>
      </w:r>
      <w:r>
        <w:t xml:space="preserve"> </w:t>
      </w:r>
      <w:r w:rsidR="00C3746B">
        <w:rPr>
          <w:b/>
        </w:rPr>
        <w:t xml:space="preserve">peněžní </w:t>
      </w:r>
      <w:r w:rsidRPr="00B05565">
        <w:t>prostředky</w:t>
      </w:r>
      <w:r>
        <w:t xml:space="preserve"> </w:t>
      </w:r>
      <w:r w:rsidRPr="00B05565">
        <w:t>vyčleněné</w:t>
      </w:r>
      <w:r>
        <w:t xml:space="preserve"> </w:t>
      </w:r>
      <w:r w:rsidRPr="00B05565">
        <w:t>na</w:t>
      </w:r>
      <w:r>
        <w:t xml:space="preserve"> </w:t>
      </w:r>
      <w:r w:rsidRPr="00B05565">
        <w:t>činnost</w:t>
      </w:r>
    </w:p>
    <w:p w14:paraId="7D0F5BA5" w14:textId="4958FF42" w:rsidR="00B9271C" w:rsidRDefault="00B9271C" w:rsidP="00AB5ED2">
      <w:pPr>
        <w:pStyle w:val="Textparagrafu"/>
        <w:tabs>
          <w:tab w:val="left" w:pos="392"/>
          <w:tab w:val="left" w:pos="840"/>
        </w:tabs>
        <w:spacing w:before="0"/>
        <w:ind w:left="426" w:hanging="426"/>
      </w:pPr>
      <w:r w:rsidRPr="00B05565">
        <w:t>a)</w:t>
      </w:r>
      <w:r w:rsidR="005A43C2">
        <w:tab/>
      </w:r>
      <w:r w:rsidRPr="00B05565">
        <w:t>škol</w:t>
      </w:r>
      <w:r>
        <w:t xml:space="preserve"> </w:t>
      </w:r>
      <w:r w:rsidRPr="00B05565">
        <w:t>a</w:t>
      </w:r>
      <w:r>
        <w:t xml:space="preserve"> </w:t>
      </w:r>
      <w:r w:rsidRPr="00B05565">
        <w:t>školských</w:t>
      </w:r>
      <w:r>
        <w:t xml:space="preserve"> </w:t>
      </w:r>
      <w:r w:rsidRPr="00B05565">
        <w:t>zařízení</w:t>
      </w:r>
      <w:r>
        <w:t xml:space="preserve"> </w:t>
      </w:r>
      <w:r w:rsidRPr="00B05565">
        <w:t>zřizovaných</w:t>
      </w:r>
      <w:r>
        <w:t xml:space="preserve"> </w:t>
      </w:r>
      <w:r w:rsidRPr="00B05565">
        <w:t>ministerstvem,</w:t>
      </w:r>
      <w:r>
        <w:t xml:space="preserve"> </w:t>
      </w:r>
      <w:r w:rsidRPr="00B05565">
        <w:t>a</w:t>
      </w:r>
      <w:r>
        <w:t xml:space="preserve"> </w:t>
      </w:r>
      <w:r w:rsidRPr="00B05565">
        <w:t>to</w:t>
      </w:r>
      <w:r>
        <w:t xml:space="preserve"> </w:t>
      </w:r>
      <w:r w:rsidRPr="00B05565">
        <w:t>na</w:t>
      </w:r>
      <w:r>
        <w:t xml:space="preserve"> </w:t>
      </w:r>
      <w:r w:rsidRPr="00B05565">
        <w:t>platy,</w:t>
      </w:r>
      <w:r>
        <w:t xml:space="preserve"> </w:t>
      </w:r>
      <w:r w:rsidRPr="00B05565">
        <w:t>náhrady</w:t>
      </w:r>
      <w:r>
        <w:t xml:space="preserve"> </w:t>
      </w:r>
      <w:r w:rsidRPr="00B05565">
        <w:t>platů,</w:t>
      </w:r>
      <w:r>
        <w:t xml:space="preserve"> </w:t>
      </w:r>
      <w:r w:rsidRPr="00B05565">
        <w:t>nebo</w:t>
      </w:r>
      <w:r>
        <w:t xml:space="preserve"> </w:t>
      </w:r>
      <w:r w:rsidRPr="00B05565">
        <w:t>mzdy</w:t>
      </w:r>
      <w:r>
        <w:t xml:space="preserve"> </w:t>
      </w:r>
      <w:r w:rsidRPr="00B05565">
        <w:t>a</w:t>
      </w:r>
      <w:r>
        <w:t xml:space="preserve"> </w:t>
      </w:r>
      <w:r w:rsidRPr="00B05565">
        <w:t>náhrady</w:t>
      </w:r>
      <w:r>
        <w:t xml:space="preserve"> </w:t>
      </w:r>
      <w:r w:rsidRPr="00B05565">
        <w:t>mezd,</w:t>
      </w:r>
      <w:r>
        <w:t xml:space="preserve"> </w:t>
      </w:r>
      <w:r w:rsidRPr="00B05565">
        <w:t>na</w:t>
      </w:r>
      <w:r>
        <w:t xml:space="preserve"> </w:t>
      </w:r>
      <w:r w:rsidRPr="00B05565">
        <w:t>odměny</w:t>
      </w:r>
      <w:r>
        <w:t xml:space="preserve"> </w:t>
      </w:r>
      <w:r w:rsidRPr="00B05565">
        <w:t>za</w:t>
      </w:r>
      <w:r>
        <w:t xml:space="preserve"> </w:t>
      </w:r>
      <w:r w:rsidRPr="00B05565">
        <w:t>pracovní</w:t>
      </w:r>
      <w:r>
        <w:t xml:space="preserve"> </w:t>
      </w:r>
      <w:r w:rsidRPr="00B05565">
        <w:t>pohotovost,</w:t>
      </w:r>
      <w:r>
        <w:t xml:space="preserve"> </w:t>
      </w:r>
      <w:r w:rsidRPr="00B05565">
        <w:t>odměny</w:t>
      </w:r>
      <w:r>
        <w:t xml:space="preserve"> </w:t>
      </w:r>
      <w:r w:rsidRPr="00B05565">
        <w:t>za</w:t>
      </w:r>
      <w:r>
        <w:t xml:space="preserve"> </w:t>
      </w:r>
      <w:r w:rsidRPr="00B05565">
        <w:t>práci</w:t>
      </w:r>
      <w:r>
        <w:t xml:space="preserve"> </w:t>
      </w:r>
      <w:r w:rsidRPr="00B05565">
        <w:t>vykonávanou</w:t>
      </w:r>
      <w:r>
        <w:t xml:space="preserve"> </w:t>
      </w:r>
      <w:r w:rsidRPr="00B05565">
        <w:t>na</w:t>
      </w:r>
      <w:r>
        <w:t xml:space="preserve"> </w:t>
      </w:r>
      <w:r w:rsidRPr="00B05565">
        <w:t>základě</w:t>
      </w:r>
      <w:r>
        <w:t xml:space="preserve"> </w:t>
      </w:r>
      <w:r w:rsidRPr="00B05565">
        <w:t>dohod</w:t>
      </w:r>
      <w:r>
        <w:t xml:space="preserve"> </w:t>
      </w:r>
      <w:r w:rsidRPr="00B05565">
        <w:t>o</w:t>
      </w:r>
      <w:r>
        <w:t xml:space="preserve"> </w:t>
      </w:r>
      <w:r w:rsidRPr="00B05565">
        <w:t>pracích</w:t>
      </w:r>
      <w:r>
        <w:t xml:space="preserve"> </w:t>
      </w:r>
      <w:r w:rsidRPr="00B05565">
        <w:t>konaných</w:t>
      </w:r>
      <w:r>
        <w:t xml:space="preserve"> </w:t>
      </w:r>
      <w:r w:rsidRPr="00B05565">
        <w:t>mimo</w:t>
      </w:r>
      <w:r>
        <w:t xml:space="preserve"> </w:t>
      </w:r>
      <w:r w:rsidRPr="00B05565">
        <w:t>pracovní</w:t>
      </w:r>
      <w:r>
        <w:t xml:space="preserve"> </w:t>
      </w:r>
      <w:r w:rsidRPr="00B05565">
        <w:t>poměr</w:t>
      </w:r>
      <w:r>
        <w:t xml:space="preserve"> </w:t>
      </w:r>
      <w:r w:rsidRPr="00B05565">
        <w:t>a</w:t>
      </w:r>
      <w:r>
        <w:t xml:space="preserve"> </w:t>
      </w:r>
      <w:r w:rsidRPr="00B05565">
        <w:t>odstupné,</w:t>
      </w:r>
      <w:r>
        <w:t xml:space="preserve"> </w:t>
      </w:r>
      <w:r w:rsidRPr="00B05565">
        <w:t>na</w:t>
      </w:r>
      <w:r>
        <w:t xml:space="preserve"> </w:t>
      </w:r>
      <w:r w:rsidRPr="00B05565">
        <w:t>výdaje</w:t>
      </w:r>
      <w:r>
        <w:t xml:space="preserve"> </w:t>
      </w:r>
      <w:r w:rsidRPr="00B05565">
        <w:t>na</w:t>
      </w:r>
      <w:r>
        <w:t xml:space="preserve"> </w:t>
      </w:r>
      <w:r w:rsidRPr="00B05565">
        <w:t>úhradu</w:t>
      </w:r>
      <w:r>
        <w:t xml:space="preserve"> </w:t>
      </w:r>
      <w:r w:rsidRPr="00B05565">
        <w:t>pojistného</w:t>
      </w:r>
      <w:r>
        <w:t xml:space="preserve"> </w:t>
      </w:r>
      <w:r w:rsidRPr="00B05565">
        <w:t>na</w:t>
      </w:r>
      <w:r>
        <w:t xml:space="preserve"> </w:t>
      </w:r>
      <w:r w:rsidRPr="00B05565">
        <w:t>sociální</w:t>
      </w:r>
      <w:r>
        <w:t xml:space="preserve"> </w:t>
      </w:r>
      <w:r w:rsidRPr="00B05565">
        <w:t>zabezpečení</w:t>
      </w:r>
      <w:r>
        <w:t xml:space="preserve"> </w:t>
      </w:r>
      <w:r w:rsidRPr="00B05565">
        <w:t>a</w:t>
      </w:r>
      <w:r>
        <w:t xml:space="preserve"> </w:t>
      </w:r>
      <w:r w:rsidRPr="00B05565">
        <w:t>příspěvku</w:t>
      </w:r>
      <w:r>
        <w:t xml:space="preserve"> </w:t>
      </w:r>
      <w:r w:rsidRPr="00B05565">
        <w:t>na</w:t>
      </w:r>
      <w:r>
        <w:t xml:space="preserve"> </w:t>
      </w:r>
      <w:r w:rsidRPr="00B05565">
        <w:t>státní</w:t>
      </w:r>
      <w:r>
        <w:t xml:space="preserve"> </w:t>
      </w:r>
      <w:r w:rsidRPr="00B05565">
        <w:t>politiku</w:t>
      </w:r>
      <w:r>
        <w:t xml:space="preserve"> </w:t>
      </w:r>
      <w:r w:rsidRPr="00B05565">
        <w:t>zaměstnanosti</w:t>
      </w:r>
      <w:r>
        <w:t xml:space="preserve"> </w:t>
      </w:r>
      <w:r w:rsidRPr="00B05565">
        <w:t>a</w:t>
      </w:r>
      <w:r>
        <w:t xml:space="preserve"> </w:t>
      </w:r>
      <w:r w:rsidRPr="00B05565">
        <w:t>na</w:t>
      </w:r>
      <w:r>
        <w:t xml:space="preserve"> </w:t>
      </w:r>
      <w:r w:rsidRPr="00B05565">
        <w:t>úhradu</w:t>
      </w:r>
      <w:r>
        <w:t xml:space="preserve"> </w:t>
      </w:r>
      <w:r w:rsidRPr="00B05565">
        <w:t>pojistného</w:t>
      </w:r>
      <w:r>
        <w:t xml:space="preserve"> </w:t>
      </w:r>
      <w:r w:rsidRPr="00B05565">
        <w:t>na</w:t>
      </w:r>
      <w:r>
        <w:t xml:space="preserve"> </w:t>
      </w:r>
      <w:r w:rsidRPr="00B05565">
        <w:t>všeobecné</w:t>
      </w:r>
      <w:r>
        <w:t xml:space="preserve"> </w:t>
      </w:r>
      <w:r w:rsidRPr="00B05565">
        <w:t>zdravotní</w:t>
      </w:r>
      <w:r>
        <w:t xml:space="preserve"> </w:t>
      </w:r>
      <w:r w:rsidRPr="00B05565">
        <w:t>pojištění,</w:t>
      </w:r>
      <w:r>
        <w:t xml:space="preserve"> </w:t>
      </w:r>
      <w:r w:rsidRPr="00B05565">
        <w:t>na</w:t>
      </w:r>
      <w:r>
        <w:t xml:space="preserve"> </w:t>
      </w:r>
      <w:r w:rsidRPr="00B05565">
        <w:t>příděly</w:t>
      </w:r>
      <w:r>
        <w:t xml:space="preserve"> </w:t>
      </w:r>
      <w:r w:rsidRPr="00B05565">
        <w:t>do</w:t>
      </w:r>
      <w:r>
        <w:t xml:space="preserve"> </w:t>
      </w:r>
      <w:r w:rsidRPr="00B05565">
        <w:t>fondu</w:t>
      </w:r>
      <w:r>
        <w:t xml:space="preserve"> </w:t>
      </w:r>
      <w:r w:rsidRPr="00B05565">
        <w:t>kulturních</w:t>
      </w:r>
      <w:r>
        <w:t xml:space="preserve"> </w:t>
      </w:r>
      <w:r w:rsidRPr="00B05565">
        <w:t>a</w:t>
      </w:r>
      <w:r>
        <w:t xml:space="preserve"> </w:t>
      </w:r>
      <w:r w:rsidRPr="00B05565">
        <w:lastRenderedPageBreak/>
        <w:t>sociálních</w:t>
      </w:r>
      <w:r>
        <w:t xml:space="preserve"> </w:t>
      </w:r>
      <w:r w:rsidRPr="00B05565">
        <w:t>potřeb</w:t>
      </w:r>
      <w:r>
        <w:t xml:space="preserve"> </w:t>
      </w:r>
      <w:r w:rsidRPr="00B05565">
        <w:t>a</w:t>
      </w:r>
      <w:r>
        <w:t xml:space="preserve"> </w:t>
      </w:r>
      <w:r w:rsidRPr="00B05565">
        <w:t>ostatní</w:t>
      </w:r>
      <w:r>
        <w:t xml:space="preserve"> </w:t>
      </w:r>
      <w:r w:rsidRPr="00B05565">
        <w:t>náklady</w:t>
      </w:r>
      <w:r>
        <w:t xml:space="preserve"> </w:t>
      </w:r>
      <w:r w:rsidRPr="00B05565">
        <w:t>vyplývající</w:t>
      </w:r>
      <w:r>
        <w:t xml:space="preserve"> </w:t>
      </w:r>
      <w:r w:rsidRPr="00B05565">
        <w:t>ze</w:t>
      </w:r>
      <w:r>
        <w:t xml:space="preserve"> </w:t>
      </w:r>
      <w:r w:rsidRPr="00B05565">
        <w:t>základních</w:t>
      </w:r>
      <w:r>
        <w:t xml:space="preserve"> </w:t>
      </w:r>
      <w:r w:rsidRPr="00B05565">
        <w:t>pracovněprávních</w:t>
      </w:r>
      <w:r>
        <w:t xml:space="preserve"> </w:t>
      </w:r>
      <w:r w:rsidRPr="00B05565">
        <w:t>vztahů,</w:t>
      </w:r>
      <w:r>
        <w:t xml:space="preserve"> </w:t>
      </w:r>
      <w:r w:rsidRPr="00B05565">
        <w:t>na</w:t>
      </w:r>
      <w:r>
        <w:t xml:space="preserve"> </w:t>
      </w:r>
      <w:r w:rsidRPr="00B05565">
        <w:t>výdaje</w:t>
      </w:r>
      <w:r>
        <w:t xml:space="preserve"> </w:t>
      </w:r>
      <w:r w:rsidRPr="00B05565">
        <w:t>podle</w:t>
      </w:r>
      <w:r>
        <w:t xml:space="preserve"> </w:t>
      </w:r>
      <w:r w:rsidRPr="00B05565">
        <w:t>§</w:t>
      </w:r>
      <w:r>
        <w:t xml:space="preserve"> </w:t>
      </w:r>
      <w:r w:rsidRPr="00B05565">
        <w:t>184</w:t>
      </w:r>
      <w:r>
        <w:t xml:space="preserve"> </w:t>
      </w:r>
      <w:r w:rsidRPr="00B05565">
        <w:t>odst.</w:t>
      </w:r>
      <w:r>
        <w:t xml:space="preserve"> </w:t>
      </w:r>
      <w:r w:rsidRPr="00B05565">
        <w:t>1</w:t>
      </w:r>
      <w:r>
        <w:t xml:space="preserve"> </w:t>
      </w:r>
      <w:r w:rsidRPr="00B05565">
        <w:t>a</w:t>
      </w:r>
      <w:r>
        <w:t xml:space="preserve"> </w:t>
      </w:r>
      <w:r w:rsidRPr="00B05565">
        <w:t>2,</w:t>
      </w:r>
      <w:r>
        <w:t xml:space="preserve"> </w:t>
      </w:r>
      <w:r w:rsidRPr="00B05565">
        <w:t>výdaje</w:t>
      </w:r>
      <w:r>
        <w:t xml:space="preserve"> </w:t>
      </w:r>
      <w:r w:rsidRPr="00B05565">
        <w:t>na</w:t>
      </w:r>
      <w:r>
        <w:t xml:space="preserve"> </w:t>
      </w:r>
      <w:r w:rsidRPr="00B05565">
        <w:t>nezbytné</w:t>
      </w:r>
      <w:r>
        <w:t xml:space="preserve"> </w:t>
      </w:r>
      <w:r w:rsidRPr="00B05565">
        <w:t>zvýšení</w:t>
      </w:r>
      <w:r>
        <w:t xml:space="preserve"> </w:t>
      </w:r>
      <w:r w:rsidRPr="00B05565">
        <w:t>nákladů</w:t>
      </w:r>
      <w:r>
        <w:t xml:space="preserve"> </w:t>
      </w:r>
      <w:r w:rsidRPr="00B05565">
        <w:t>spojených</w:t>
      </w:r>
      <w:r>
        <w:t xml:space="preserve"> </w:t>
      </w:r>
      <w:r w:rsidRPr="00B05565">
        <w:t>s</w:t>
      </w:r>
      <w:r>
        <w:t xml:space="preserve"> </w:t>
      </w:r>
      <w:r w:rsidRPr="00B05565">
        <w:t>výukou</w:t>
      </w:r>
      <w:r>
        <w:t xml:space="preserve"> </w:t>
      </w:r>
      <w:r w:rsidRPr="00B05565">
        <w:t>dětí,</w:t>
      </w:r>
      <w:r>
        <w:t xml:space="preserve"> </w:t>
      </w:r>
      <w:r w:rsidRPr="00B05565">
        <w:t>žáků</w:t>
      </w:r>
      <w:r>
        <w:t xml:space="preserve"> </w:t>
      </w:r>
      <w:r w:rsidRPr="00B05565">
        <w:t>a</w:t>
      </w:r>
      <w:r>
        <w:t xml:space="preserve"> </w:t>
      </w:r>
      <w:r w:rsidRPr="00B05565">
        <w:t>studentů</w:t>
      </w:r>
      <w:r>
        <w:t xml:space="preserve"> </w:t>
      </w:r>
      <w:r w:rsidRPr="00B05565">
        <w:t>se</w:t>
      </w:r>
      <w:r>
        <w:t xml:space="preserve"> </w:t>
      </w:r>
      <w:r w:rsidRPr="00B05565">
        <w:t>speciálními</w:t>
      </w:r>
      <w:r>
        <w:t xml:space="preserve"> </w:t>
      </w:r>
      <w:r w:rsidRPr="00B05565">
        <w:t>vzdělávacími</w:t>
      </w:r>
      <w:r>
        <w:t xml:space="preserve"> </w:t>
      </w:r>
      <w:r w:rsidRPr="00B05565">
        <w:t>potřebami,</w:t>
      </w:r>
      <w:r>
        <w:t xml:space="preserve"> </w:t>
      </w:r>
      <w:r w:rsidRPr="00B05565">
        <w:t>výdaje</w:t>
      </w:r>
      <w:r>
        <w:t xml:space="preserve"> </w:t>
      </w:r>
      <w:r w:rsidRPr="00B05565">
        <w:t>školy</w:t>
      </w:r>
      <w:r>
        <w:t xml:space="preserve"> </w:t>
      </w:r>
      <w:r w:rsidRPr="00B05565">
        <w:t>na</w:t>
      </w:r>
      <w:r>
        <w:t xml:space="preserve"> </w:t>
      </w:r>
      <w:r w:rsidRPr="00B05565">
        <w:t>dopravu</w:t>
      </w:r>
      <w:r>
        <w:t xml:space="preserve"> </w:t>
      </w:r>
      <w:r w:rsidRPr="00B05565">
        <w:t>při</w:t>
      </w:r>
      <w:r>
        <w:t xml:space="preserve"> </w:t>
      </w:r>
      <w:r w:rsidRPr="00B05565">
        <w:t>akcích</w:t>
      </w:r>
      <w:r>
        <w:t xml:space="preserve"> </w:t>
      </w:r>
      <w:r w:rsidRPr="00B05565">
        <w:t>v</w:t>
      </w:r>
      <w:r>
        <w:t xml:space="preserve"> </w:t>
      </w:r>
      <w:r w:rsidRPr="00B05565">
        <w:t>rámci</w:t>
      </w:r>
      <w:r>
        <w:t xml:space="preserve"> </w:t>
      </w:r>
      <w:r w:rsidRPr="00B05565">
        <w:t>vzdělávání</w:t>
      </w:r>
      <w:r>
        <w:t xml:space="preserve"> </w:t>
      </w:r>
      <w:r w:rsidRPr="00B05565">
        <w:t>podle</w:t>
      </w:r>
      <w:r>
        <w:t xml:space="preserve"> </w:t>
      </w:r>
      <w:r w:rsidRPr="00B05565">
        <w:t>příslušného</w:t>
      </w:r>
      <w:r>
        <w:t xml:space="preserve"> </w:t>
      </w:r>
      <w:r w:rsidRPr="00B05565">
        <w:t>rámcového</w:t>
      </w:r>
      <w:r>
        <w:t xml:space="preserve"> </w:t>
      </w:r>
      <w:r w:rsidRPr="00B05565">
        <w:t>vzdělávacího</w:t>
      </w:r>
      <w:r>
        <w:t xml:space="preserve"> </w:t>
      </w:r>
      <w:r w:rsidRPr="00B05565">
        <w:t>programu,</w:t>
      </w:r>
      <w:r>
        <w:t xml:space="preserve"> </w:t>
      </w:r>
      <w:r w:rsidRPr="00B05565">
        <w:t>výdaje</w:t>
      </w:r>
      <w:r>
        <w:t xml:space="preserve"> </w:t>
      </w:r>
      <w:r w:rsidRPr="00B05565">
        <w:t>na</w:t>
      </w:r>
      <w:r>
        <w:t xml:space="preserve"> </w:t>
      </w:r>
      <w:r w:rsidRPr="00B05565">
        <w:t>učební</w:t>
      </w:r>
      <w:r>
        <w:t xml:space="preserve"> </w:t>
      </w:r>
      <w:r w:rsidRPr="00B05565">
        <w:t>pomůcky,</w:t>
      </w:r>
      <w:r>
        <w:t xml:space="preserve"> </w:t>
      </w:r>
      <w:r w:rsidRPr="00B05565">
        <w:t>výdaje</w:t>
      </w:r>
      <w:r>
        <w:t xml:space="preserve"> </w:t>
      </w:r>
      <w:r w:rsidRPr="00B05565">
        <w:t>na</w:t>
      </w:r>
      <w:r>
        <w:t xml:space="preserve"> </w:t>
      </w:r>
      <w:r w:rsidRPr="00B05565">
        <w:t>školní</w:t>
      </w:r>
      <w:r>
        <w:t xml:space="preserve"> </w:t>
      </w:r>
      <w:r w:rsidRPr="00B05565">
        <w:t>potřeby</w:t>
      </w:r>
      <w:r>
        <w:t xml:space="preserve"> </w:t>
      </w:r>
      <w:r w:rsidRPr="00B05565">
        <w:t>a</w:t>
      </w:r>
      <w:r>
        <w:t xml:space="preserve"> </w:t>
      </w:r>
      <w:r w:rsidRPr="00B05565">
        <w:t>na</w:t>
      </w:r>
      <w:r>
        <w:t xml:space="preserve"> </w:t>
      </w:r>
      <w:r w:rsidRPr="00B05565">
        <w:t>učebnice,</w:t>
      </w:r>
      <w:r>
        <w:t xml:space="preserve"> </w:t>
      </w:r>
      <w:r w:rsidRPr="00B05565">
        <w:t>pokud</w:t>
      </w:r>
      <w:r>
        <w:t xml:space="preserve"> </w:t>
      </w:r>
      <w:r w:rsidRPr="00B05565">
        <w:t>jsou</w:t>
      </w:r>
      <w:r>
        <w:t xml:space="preserve"> </w:t>
      </w:r>
      <w:r w:rsidRPr="00B05565">
        <w:t>podle</w:t>
      </w:r>
      <w:r>
        <w:t xml:space="preserve"> </w:t>
      </w:r>
      <w:r w:rsidRPr="00B05565">
        <w:t>tohoto</w:t>
      </w:r>
      <w:r>
        <w:t xml:space="preserve"> </w:t>
      </w:r>
      <w:r w:rsidRPr="00B05565">
        <w:t>zákona</w:t>
      </w:r>
      <w:r>
        <w:t xml:space="preserve"> </w:t>
      </w:r>
      <w:r w:rsidRPr="00B05565">
        <w:t>poskytovány</w:t>
      </w:r>
      <w:r>
        <w:t xml:space="preserve"> </w:t>
      </w:r>
      <w:r w:rsidRPr="00B05565">
        <w:t>bezplatně,</w:t>
      </w:r>
      <w:r>
        <w:t xml:space="preserve"> </w:t>
      </w:r>
      <w:r w:rsidRPr="00B05565">
        <w:t>a</w:t>
      </w:r>
      <w:r>
        <w:t xml:space="preserve"> </w:t>
      </w:r>
      <w:r w:rsidRPr="00B05565">
        <w:t>rovněž</w:t>
      </w:r>
      <w:r>
        <w:t xml:space="preserve"> </w:t>
      </w:r>
      <w:r w:rsidRPr="00B05565">
        <w:t>výdaje</w:t>
      </w:r>
      <w:r>
        <w:t xml:space="preserve"> </w:t>
      </w:r>
      <w:r w:rsidRPr="00B05565">
        <w:t>na</w:t>
      </w:r>
      <w:r>
        <w:t xml:space="preserve"> </w:t>
      </w:r>
      <w:r w:rsidRPr="00B05565">
        <w:t>další</w:t>
      </w:r>
      <w:r>
        <w:t xml:space="preserve"> </w:t>
      </w:r>
      <w:r w:rsidRPr="00B05565">
        <w:t>vzdělávání</w:t>
      </w:r>
      <w:r>
        <w:t xml:space="preserve"> </w:t>
      </w:r>
      <w:r w:rsidRPr="00B05565">
        <w:t>pedagogických</w:t>
      </w:r>
      <w:r>
        <w:t xml:space="preserve"> </w:t>
      </w:r>
      <w:r w:rsidRPr="00B05565">
        <w:t>pracovníků,</w:t>
      </w:r>
      <w:r>
        <w:t xml:space="preserve"> </w:t>
      </w:r>
      <w:r w:rsidRPr="00B05565">
        <w:t>na</w:t>
      </w:r>
      <w:r>
        <w:t xml:space="preserve"> </w:t>
      </w:r>
      <w:r w:rsidRPr="00B05565">
        <w:t>činnosti,</w:t>
      </w:r>
      <w:r>
        <w:t xml:space="preserve"> </w:t>
      </w:r>
      <w:r w:rsidRPr="00B05565">
        <w:t>které</w:t>
      </w:r>
      <w:r>
        <w:t xml:space="preserve"> </w:t>
      </w:r>
      <w:r w:rsidRPr="00B05565">
        <w:t>přímo</w:t>
      </w:r>
      <w:r>
        <w:t xml:space="preserve"> </w:t>
      </w:r>
      <w:r w:rsidRPr="00B05565">
        <w:t>souvisejí</w:t>
      </w:r>
      <w:r>
        <w:t xml:space="preserve"> </w:t>
      </w:r>
      <w:r w:rsidRPr="00B05565">
        <w:t>s</w:t>
      </w:r>
      <w:r>
        <w:t xml:space="preserve"> </w:t>
      </w:r>
      <w:r w:rsidRPr="00B05565">
        <w:t>rozvojem</w:t>
      </w:r>
      <w:r>
        <w:t xml:space="preserve"> </w:t>
      </w:r>
      <w:r w:rsidRPr="00B05565">
        <w:t>škol</w:t>
      </w:r>
      <w:r>
        <w:t xml:space="preserve"> </w:t>
      </w:r>
      <w:r w:rsidRPr="00B05565">
        <w:t>a</w:t>
      </w:r>
      <w:r>
        <w:t xml:space="preserve"> </w:t>
      </w:r>
      <w:r w:rsidRPr="00B05565">
        <w:t>kvalitou</w:t>
      </w:r>
      <w:r>
        <w:t xml:space="preserve"> </w:t>
      </w:r>
      <w:r w:rsidRPr="00B05565">
        <w:t>vzdělávání,</w:t>
      </w:r>
      <w:r>
        <w:t xml:space="preserve"> </w:t>
      </w:r>
      <w:r w:rsidRPr="00B05565">
        <w:t>na</w:t>
      </w:r>
      <w:r>
        <w:t xml:space="preserve"> </w:t>
      </w:r>
      <w:r w:rsidRPr="00B05565">
        <w:t>další</w:t>
      </w:r>
      <w:r>
        <w:t xml:space="preserve"> </w:t>
      </w:r>
      <w:r w:rsidRPr="00B05565">
        <w:t>nezbytné</w:t>
      </w:r>
      <w:r>
        <w:t xml:space="preserve"> </w:t>
      </w:r>
      <w:r w:rsidRPr="00B05565">
        <w:t>neinvestiční</w:t>
      </w:r>
      <w:r>
        <w:t xml:space="preserve"> </w:t>
      </w:r>
      <w:r w:rsidRPr="00B05565">
        <w:t>výdaje</w:t>
      </w:r>
      <w:r>
        <w:t xml:space="preserve"> </w:t>
      </w:r>
      <w:r w:rsidRPr="00B05565">
        <w:t>spojené</w:t>
      </w:r>
      <w:r>
        <w:t xml:space="preserve"> </w:t>
      </w:r>
      <w:r w:rsidRPr="00B05565">
        <w:t>s</w:t>
      </w:r>
      <w:r>
        <w:t xml:space="preserve"> </w:t>
      </w:r>
      <w:r w:rsidRPr="00B05565">
        <w:t>provozem</w:t>
      </w:r>
      <w:r>
        <w:t xml:space="preserve"> </w:t>
      </w:r>
      <w:r w:rsidRPr="00B05565">
        <w:t>škol</w:t>
      </w:r>
      <w:r>
        <w:t xml:space="preserve"> </w:t>
      </w:r>
      <w:r w:rsidRPr="00B05565">
        <w:t>a</w:t>
      </w:r>
      <w:r>
        <w:t xml:space="preserve"> </w:t>
      </w:r>
      <w:r w:rsidRPr="00B05565">
        <w:t>školských</w:t>
      </w:r>
      <w:r>
        <w:t xml:space="preserve"> </w:t>
      </w:r>
      <w:r w:rsidRPr="00B05565">
        <w:t>zařízení</w:t>
      </w:r>
      <w:r>
        <w:t xml:space="preserve"> </w:t>
      </w:r>
      <w:r w:rsidRPr="00B05565">
        <w:t>a</w:t>
      </w:r>
      <w:r>
        <w:t xml:space="preserve"> </w:t>
      </w:r>
      <w:r w:rsidRPr="00B05565">
        <w:t>na</w:t>
      </w:r>
      <w:r>
        <w:t xml:space="preserve"> </w:t>
      </w:r>
      <w:r w:rsidRPr="00B05565">
        <w:t>investiční</w:t>
      </w:r>
      <w:r>
        <w:t xml:space="preserve"> </w:t>
      </w:r>
      <w:r w:rsidRPr="00B05565">
        <w:t>výdaje</w:t>
      </w:r>
      <w:r>
        <w:t xml:space="preserve"> </w:t>
      </w:r>
      <w:r w:rsidRPr="00B05565">
        <w:t>zařazené</w:t>
      </w:r>
      <w:r>
        <w:t xml:space="preserve"> </w:t>
      </w:r>
      <w:r w:rsidRPr="00B05565">
        <w:t>do</w:t>
      </w:r>
      <w:r>
        <w:t xml:space="preserve"> </w:t>
      </w:r>
      <w:r w:rsidRPr="00B05565">
        <w:t>programu</w:t>
      </w:r>
      <w:r>
        <w:t xml:space="preserve"> </w:t>
      </w:r>
      <w:r w:rsidRPr="00B05565">
        <w:t>podle</w:t>
      </w:r>
      <w:r>
        <w:t xml:space="preserve"> </w:t>
      </w:r>
      <w:r w:rsidRPr="00B05565">
        <w:t>zvláštního</w:t>
      </w:r>
      <w:r>
        <w:t xml:space="preserve"> </w:t>
      </w:r>
      <w:r w:rsidRPr="00B05565">
        <w:t>právního</w:t>
      </w:r>
      <w:r>
        <w:t xml:space="preserve"> </w:t>
      </w:r>
      <w:r w:rsidR="005A43C2">
        <w:t>předpisu,</w:t>
      </w:r>
      <w:r w:rsidR="005A43C2">
        <w:rPr>
          <w:rStyle w:val="Znakapoznpodarou"/>
        </w:rPr>
        <w:footnoteReference w:customMarkFollows="1" w:id="474"/>
        <w:t>36)</w:t>
      </w:r>
    </w:p>
    <w:p w14:paraId="513BD0EF" w14:textId="407A853E" w:rsidR="00B9271C" w:rsidRDefault="00B9271C" w:rsidP="00AB5ED2">
      <w:pPr>
        <w:pStyle w:val="Textparagrafu"/>
        <w:tabs>
          <w:tab w:val="left" w:pos="392"/>
          <w:tab w:val="left" w:pos="840"/>
        </w:tabs>
        <w:spacing w:before="0"/>
        <w:ind w:left="426" w:hanging="426"/>
      </w:pPr>
      <w:r w:rsidRPr="00B05565">
        <w:t>b)</w:t>
      </w:r>
      <w:r w:rsidR="005A43C2">
        <w:tab/>
      </w:r>
      <w:r w:rsidRPr="00B05565">
        <w:t>škol</w:t>
      </w:r>
      <w:r>
        <w:t xml:space="preserve"> </w:t>
      </w:r>
      <w:r w:rsidRPr="00B05565">
        <w:t>a</w:t>
      </w:r>
      <w:r>
        <w:t xml:space="preserve"> </w:t>
      </w:r>
      <w:r w:rsidRPr="00B05565">
        <w:t>školských</w:t>
      </w:r>
      <w:r>
        <w:t xml:space="preserve"> </w:t>
      </w:r>
      <w:r w:rsidRPr="00B05565">
        <w:t>zařízení</w:t>
      </w:r>
      <w:r>
        <w:t xml:space="preserve"> </w:t>
      </w:r>
      <w:r w:rsidRPr="00B05565">
        <w:t>zřizovaných</w:t>
      </w:r>
      <w:r>
        <w:t xml:space="preserve"> </w:t>
      </w:r>
      <w:r w:rsidRPr="00B05565">
        <w:t>registrovanými</w:t>
      </w:r>
      <w:r>
        <w:t xml:space="preserve"> </w:t>
      </w:r>
      <w:r w:rsidRPr="00B05565">
        <w:t>církvemi</w:t>
      </w:r>
      <w:r>
        <w:t xml:space="preserve"> </w:t>
      </w:r>
      <w:r w:rsidRPr="00B05565">
        <w:t>nebo</w:t>
      </w:r>
      <w:r>
        <w:t xml:space="preserve"> </w:t>
      </w:r>
      <w:r w:rsidRPr="00B05565">
        <w:t>náboženskými</w:t>
      </w:r>
      <w:r>
        <w:t xml:space="preserve"> </w:t>
      </w:r>
      <w:r w:rsidRPr="00B05565">
        <w:t>společnostmi,</w:t>
      </w:r>
      <w:r>
        <w:t xml:space="preserve"> </w:t>
      </w:r>
      <w:r w:rsidRPr="00B05565">
        <w:t>kterým</w:t>
      </w:r>
      <w:r>
        <w:t xml:space="preserve"> </w:t>
      </w:r>
      <w:r w:rsidRPr="00B05565">
        <w:t>bylo</w:t>
      </w:r>
      <w:r>
        <w:t xml:space="preserve"> </w:t>
      </w:r>
      <w:r w:rsidRPr="00B05565">
        <w:t>přiznáno</w:t>
      </w:r>
      <w:r>
        <w:t xml:space="preserve"> </w:t>
      </w:r>
      <w:r w:rsidRPr="00B05565">
        <w:t>oprávnění</w:t>
      </w:r>
      <w:r>
        <w:t xml:space="preserve"> </w:t>
      </w:r>
      <w:r w:rsidRPr="00B05565">
        <w:t>k</w:t>
      </w:r>
      <w:r>
        <w:t xml:space="preserve"> </w:t>
      </w:r>
      <w:r w:rsidRPr="00B05565">
        <w:t>výkonu</w:t>
      </w:r>
      <w:r>
        <w:t xml:space="preserve"> </w:t>
      </w:r>
      <w:r w:rsidRPr="00B05565">
        <w:t>zvláštního</w:t>
      </w:r>
      <w:r>
        <w:t xml:space="preserve"> </w:t>
      </w:r>
      <w:r w:rsidRPr="00B05565">
        <w:t>práva</w:t>
      </w:r>
      <w:r>
        <w:t xml:space="preserve"> </w:t>
      </w:r>
      <w:r w:rsidRPr="00B05565">
        <w:t>zřizovat</w:t>
      </w:r>
      <w:r>
        <w:t xml:space="preserve"> </w:t>
      </w:r>
      <w:r w:rsidRPr="00B05565">
        <w:t>církevní</w:t>
      </w:r>
      <w:r>
        <w:t xml:space="preserve"> </w:t>
      </w:r>
      <w:r w:rsidR="005A43C2">
        <w:t>školy,</w:t>
      </w:r>
      <w:r w:rsidR="005A43C2">
        <w:rPr>
          <w:rStyle w:val="Znakapoznpodarou"/>
        </w:rPr>
        <w:footnoteReference w:customMarkFollows="1" w:id="475"/>
        <w:t>6)</w:t>
      </w:r>
      <w:r>
        <w:t xml:space="preserve"> </w:t>
      </w:r>
      <w:r w:rsidRPr="00B05565">
        <w:t>s</w:t>
      </w:r>
      <w:r>
        <w:t xml:space="preserve"> </w:t>
      </w:r>
      <w:r w:rsidRPr="00B05565">
        <w:t>výjimkou</w:t>
      </w:r>
      <w:r>
        <w:t xml:space="preserve"> </w:t>
      </w:r>
      <w:r w:rsidRPr="00B05565">
        <w:t>jazykových</w:t>
      </w:r>
      <w:r>
        <w:t xml:space="preserve"> </w:t>
      </w:r>
      <w:r w:rsidRPr="00B05565">
        <w:t>škol</w:t>
      </w:r>
      <w:r>
        <w:t xml:space="preserve"> </w:t>
      </w:r>
      <w:r w:rsidRPr="00B05565">
        <w:t>s</w:t>
      </w:r>
      <w:r>
        <w:t xml:space="preserve"> </w:t>
      </w:r>
      <w:r w:rsidRPr="00B05565">
        <w:t>právem</w:t>
      </w:r>
      <w:r>
        <w:t xml:space="preserve"> </w:t>
      </w:r>
      <w:r w:rsidRPr="00B05565">
        <w:t>státní</w:t>
      </w:r>
      <w:r>
        <w:t xml:space="preserve"> </w:t>
      </w:r>
      <w:r w:rsidRPr="00B05565">
        <w:t>jazykové</w:t>
      </w:r>
      <w:r>
        <w:t xml:space="preserve"> </w:t>
      </w:r>
      <w:r w:rsidRPr="00B05565">
        <w:t>zkoušky,</w:t>
      </w:r>
      <w:r>
        <w:t xml:space="preserve"> </w:t>
      </w:r>
      <w:r w:rsidRPr="00B05565">
        <w:t>na</w:t>
      </w:r>
      <w:r>
        <w:t xml:space="preserve"> </w:t>
      </w:r>
      <w:r w:rsidRPr="00B05565">
        <w:t>výdaje</w:t>
      </w:r>
      <w:r>
        <w:t xml:space="preserve"> </w:t>
      </w:r>
      <w:r w:rsidRPr="00B05565">
        <w:t>uvedené</w:t>
      </w:r>
      <w:r>
        <w:t xml:space="preserve"> </w:t>
      </w:r>
      <w:r w:rsidRPr="00B05565">
        <w:t>v</w:t>
      </w:r>
      <w:r>
        <w:t xml:space="preserve"> </w:t>
      </w:r>
      <w:r w:rsidRPr="00B05565">
        <w:t>písmenu</w:t>
      </w:r>
      <w:r>
        <w:t xml:space="preserve"> </w:t>
      </w:r>
      <w:r w:rsidRPr="00B05565">
        <w:t>a)</w:t>
      </w:r>
      <w:r>
        <w:t xml:space="preserve"> </w:t>
      </w:r>
      <w:r w:rsidRPr="00B05565">
        <w:t>s</w:t>
      </w:r>
      <w:r>
        <w:t xml:space="preserve"> </w:t>
      </w:r>
      <w:r w:rsidRPr="00B05565">
        <w:t>výjimkou</w:t>
      </w:r>
      <w:r>
        <w:t xml:space="preserve"> </w:t>
      </w:r>
      <w:r w:rsidRPr="00B05565">
        <w:t>výdajů</w:t>
      </w:r>
      <w:r>
        <w:t xml:space="preserve"> </w:t>
      </w:r>
      <w:r w:rsidRPr="00B05565">
        <w:t>na</w:t>
      </w:r>
      <w:r>
        <w:t xml:space="preserve"> </w:t>
      </w:r>
      <w:r w:rsidRPr="00B05565">
        <w:t>pořízení</w:t>
      </w:r>
      <w:r>
        <w:t xml:space="preserve"> </w:t>
      </w:r>
      <w:r w:rsidRPr="00C3746B">
        <w:rPr>
          <w:strike/>
        </w:rPr>
        <w:t>a zhodnocení dlouhodobého majetku; tato výjimka se nevztahuje na výdaje na učební pomůcky</w:t>
      </w:r>
      <w:r w:rsidR="00C3746B">
        <w:rPr>
          <w:strike/>
        </w:rPr>
        <w:t xml:space="preserve"> </w:t>
      </w:r>
      <w:r w:rsidR="00C3746B" w:rsidRPr="00D44FC7">
        <w:rPr>
          <w:b/>
          <w:bCs/>
          <w:szCs w:val="24"/>
        </w:rPr>
        <w:t xml:space="preserve">stálých aktiv a následné pořizovací </w:t>
      </w:r>
      <w:r w:rsidR="00C3746B">
        <w:rPr>
          <w:b/>
          <w:bCs/>
          <w:szCs w:val="24"/>
        </w:rPr>
        <w:t>výdaje</w:t>
      </w:r>
      <w:r w:rsidR="00C3746B" w:rsidRPr="00D44FC7">
        <w:rPr>
          <w:b/>
          <w:bCs/>
          <w:szCs w:val="24"/>
        </w:rPr>
        <w:t xml:space="preserve"> stálých aktiv</w:t>
      </w:r>
      <w:r w:rsidRPr="00B05565">
        <w:t>,</w:t>
      </w:r>
    </w:p>
    <w:p w14:paraId="7ECB54BC" w14:textId="6B3EDD86" w:rsidR="00B9271C" w:rsidRDefault="00B9271C" w:rsidP="00AB5ED2">
      <w:pPr>
        <w:pStyle w:val="Textparagrafu"/>
        <w:tabs>
          <w:tab w:val="left" w:pos="392"/>
          <w:tab w:val="left" w:pos="840"/>
        </w:tabs>
        <w:spacing w:before="0"/>
        <w:ind w:left="426" w:hanging="426"/>
      </w:pPr>
      <w:r w:rsidRPr="00B05565">
        <w:t>c)</w:t>
      </w:r>
      <w:r w:rsidR="005A43C2">
        <w:tab/>
      </w:r>
      <w:r w:rsidRPr="00B05565">
        <w:t>škol</w:t>
      </w:r>
      <w:r>
        <w:t xml:space="preserve"> </w:t>
      </w:r>
      <w:r w:rsidRPr="00B05565">
        <w:t>a</w:t>
      </w:r>
      <w:r>
        <w:t xml:space="preserve"> </w:t>
      </w:r>
      <w:r w:rsidRPr="00B05565">
        <w:t>školských</w:t>
      </w:r>
      <w:r>
        <w:t xml:space="preserve"> </w:t>
      </w:r>
      <w:r w:rsidRPr="00B05565">
        <w:t>zařízení</w:t>
      </w:r>
      <w:r>
        <w:t xml:space="preserve"> </w:t>
      </w:r>
      <w:r w:rsidRPr="00B05565">
        <w:t>zřizovaných</w:t>
      </w:r>
      <w:r>
        <w:t xml:space="preserve"> </w:t>
      </w:r>
      <w:r w:rsidRPr="00B05565">
        <w:t>obcemi</w:t>
      </w:r>
      <w:r>
        <w:t xml:space="preserve"> </w:t>
      </w:r>
      <w:r w:rsidRPr="00B05565">
        <w:t>nebo</w:t>
      </w:r>
      <w:r>
        <w:t xml:space="preserve"> </w:t>
      </w:r>
      <w:r w:rsidRPr="00B05565">
        <w:t>svazky</w:t>
      </w:r>
      <w:r>
        <w:t xml:space="preserve"> </w:t>
      </w:r>
      <w:r w:rsidRPr="00B05565">
        <w:t>obcí,</w:t>
      </w:r>
      <w:r>
        <w:t xml:space="preserve"> </w:t>
      </w:r>
      <w:r w:rsidRPr="00B05565">
        <w:t>s</w:t>
      </w:r>
      <w:r>
        <w:t xml:space="preserve"> </w:t>
      </w:r>
      <w:r w:rsidRPr="00B05565">
        <w:t>výjimkou</w:t>
      </w:r>
      <w:r>
        <w:t xml:space="preserve"> </w:t>
      </w:r>
      <w:r w:rsidRPr="00B05565">
        <w:t>školských</w:t>
      </w:r>
      <w:r>
        <w:t xml:space="preserve"> </w:t>
      </w:r>
      <w:r w:rsidRPr="00B05565">
        <w:t>výchovných</w:t>
      </w:r>
      <w:r>
        <w:t xml:space="preserve"> </w:t>
      </w:r>
      <w:r w:rsidRPr="00B05565">
        <w:t>a</w:t>
      </w:r>
      <w:r>
        <w:t xml:space="preserve"> </w:t>
      </w:r>
      <w:r w:rsidRPr="00B05565">
        <w:t>ubytovacích</w:t>
      </w:r>
      <w:r>
        <w:t xml:space="preserve"> </w:t>
      </w:r>
      <w:r w:rsidRPr="00B05565">
        <w:t>zařízení</w:t>
      </w:r>
      <w:r>
        <w:t xml:space="preserve"> </w:t>
      </w:r>
      <w:r w:rsidRPr="00B05565">
        <w:t>podle</w:t>
      </w:r>
      <w:r>
        <w:t xml:space="preserve"> </w:t>
      </w:r>
      <w:r w:rsidRPr="00B05565">
        <w:t>§</w:t>
      </w:r>
      <w:r>
        <w:t xml:space="preserve"> </w:t>
      </w:r>
      <w:r w:rsidRPr="00B05565">
        <w:t>117</w:t>
      </w:r>
      <w:r>
        <w:t xml:space="preserve"> </w:t>
      </w:r>
      <w:r w:rsidRPr="00B05565">
        <w:t>odst.</w:t>
      </w:r>
      <w:r>
        <w:t xml:space="preserve"> </w:t>
      </w:r>
      <w:r w:rsidRPr="00B05565">
        <w:t>1</w:t>
      </w:r>
      <w:r>
        <w:t xml:space="preserve"> </w:t>
      </w:r>
      <w:r w:rsidRPr="00B05565">
        <w:t>písm.</w:t>
      </w:r>
      <w:r>
        <w:t xml:space="preserve"> </w:t>
      </w:r>
      <w:r w:rsidRPr="00B05565">
        <w:t>c)</w:t>
      </w:r>
      <w:r>
        <w:t xml:space="preserve"> </w:t>
      </w:r>
      <w:r w:rsidRPr="00B05565">
        <w:t>a</w:t>
      </w:r>
      <w:r>
        <w:t xml:space="preserve"> </w:t>
      </w:r>
      <w:r w:rsidRPr="00B05565">
        <w:t>jazykových</w:t>
      </w:r>
      <w:r>
        <w:t xml:space="preserve"> </w:t>
      </w:r>
      <w:r w:rsidRPr="00B05565">
        <w:t>škol</w:t>
      </w:r>
      <w:r>
        <w:t xml:space="preserve"> </w:t>
      </w:r>
      <w:r w:rsidRPr="00B05565">
        <w:t>s</w:t>
      </w:r>
      <w:r>
        <w:t xml:space="preserve"> </w:t>
      </w:r>
      <w:r w:rsidRPr="00B05565">
        <w:t>právem</w:t>
      </w:r>
      <w:r>
        <w:t xml:space="preserve"> </w:t>
      </w:r>
      <w:r w:rsidRPr="00B05565">
        <w:t>státní</w:t>
      </w:r>
      <w:r>
        <w:t xml:space="preserve"> </w:t>
      </w:r>
      <w:r w:rsidRPr="00B05565">
        <w:t>jazykové</w:t>
      </w:r>
      <w:r>
        <w:t xml:space="preserve"> </w:t>
      </w:r>
      <w:r w:rsidRPr="00B05565">
        <w:t>zkoušky,</w:t>
      </w:r>
      <w:r>
        <w:t xml:space="preserve"> </w:t>
      </w:r>
      <w:r w:rsidRPr="00B05565">
        <w:t>a</w:t>
      </w:r>
      <w:r>
        <w:t xml:space="preserve"> </w:t>
      </w:r>
      <w:r w:rsidRPr="00B05565">
        <w:t>to</w:t>
      </w:r>
      <w:r>
        <w:t xml:space="preserve"> </w:t>
      </w:r>
      <w:r w:rsidRPr="00B05565">
        <w:t>na</w:t>
      </w:r>
      <w:r>
        <w:t xml:space="preserve"> </w:t>
      </w:r>
      <w:r w:rsidRPr="00B05565">
        <w:t>platy,</w:t>
      </w:r>
      <w:r>
        <w:t xml:space="preserve"> </w:t>
      </w:r>
      <w:r w:rsidRPr="00B05565">
        <w:t>náhrady</w:t>
      </w:r>
      <w:r>
        <w:t xml:space="preserve"> </w:t>
      </w:r>
      <w:r w:rsidRPr="00B05565">
        <w:t>platů,</w:t>
      </w:r>
      <w:r>
        <w:t xml:space="preserve"> </w:t>
      </w:r>
      <w:r w:rsidRPr="00B05565">
        <w:t>nebo</w:t>
      </w:r>
      <w:r>
        <w:t xml:space="preserve"> </w:t>
      </w:r>
      <w:r w:rsidRPr="00B05565">
        <w:t>mzdy</w:t>
      </w:r>
      <w:r>
        <w:t xml:space="preserve"> </w:t>
      </w:r>
      <w:r w:rsidRPr="00B05565">
        <w:t>a</w:t>
      </w:r>
      <w:r>
        <w:t xml:space="preserve"> </w:t>
      </w:r>
      <w:r w:rsidRPr="00B05565">
        <w:t>náhrady</w:t>
      </w:r>
      <w:r>
        <w:t xml:space="preserve"> </w:t>
      </w:r>
      <w:r w:rsidRPr="00B05565">
        <w:t>mezd,</w:t>
      </w:r>
      <w:r>
        <w:t xml:space="preserve"> </w:t>
      </w:r>
      <w:r w:rsidRPr="00B05565">
        <w:t>na</w:t>
      </w:r>
      <w:r>
        <w:t xml:space="preserve"> </w:t>
      </w:r>
      <w:r w:rsidRPr="00B05565">
        <w:t>odměny</w:t>
      </w:r>
      <w:r>
        <w:t xml:space="preserve"> </w:t>
      </w:r>
      <w:r w:rsidRPr="00B05565">
        <w:t>za</w:t>
      </w:r>
      <w:r>
        <w:t xml:space="preserve"> </w:t>
      </w:r>
      <w:r w:rsidRPr="00B05565">
        <w:t>pracovní</w:t>
      </w:r>
      <w:r>
        <w:t xml:space="preserve"> </w:t>
      </w:r>
      <w:r w:rsidRPr="00B05565">
        <w:t>pohotovost,</w:t>
      </w:r>
      <w:r>
        <w:t xml:space="preserve"> </w:t>
      </w:r>
      <w:r w:rsidRPr="00B05565">
        <w:t>odměny</w:t>
      </w:r>
      <w:r>
        <w:t xml:space="preserve"> </w:t>
      </w:r>
      <w:r w:rsidRPr="00B05565">
        <w:t>za</w:t>
      </w:r>
      <w:r>
        <w:t xml:space="preserve"> </w:t>
      </w:r>
      <w:r w:rsidRPr="00B05565">
        <w:t>práci</w:t>
      </w:r>
      <w:r>
        <w:t xml:space="preserve"> </w:t>
      </w:r>
      <w:r w:rsidRPr="00B05565">
        <w:t>vykonávanou</w:t>
      </w:r>
      <w:r>
        <w:t xml:space="preserve"> </w:t>
      </w:r>
      <w:r w:rsidRPr="00B05565">
        <w:t>na</w:t>
      </w:r>
      <w:r>
        <w:t xml:space="preserve"> </w:t>
      </w:r>
      <w:r w:rsidRPr="00B05565">
        <w:t>základě</w:t>
      </w:r>
      <w:r>
        <w:t xml:space="preserve"> </w:t>
      </w:r>
      <w:r w:rsidRPr="00B05565">
        <w:t>dohod</w:t>
      </w:r>
      <w:r>
        <w:t xml:space="preserve"> </w:t>
      </w:r>
      <w:r w:rsidRPr="00B05565">
        <w:t>o</w:t>
      </w:r>
      <w:r>
        <w:t xml:space="preserve"> </w:t>
      </w:r>
      <w:r w:rsidRPr="00B05565">
        <w:t>pracích</w:t>
      </w:r>
      <w:r>
        <w:t xml:space="preserve"> </w:t>
      </w:r>
      <w:r w:rsidRPr="00B05565">
        <w:t>konaných</w:t>
      </w:r>
      <w:r>
        <w:t xml:space="preserve"> </w:t>
      </w:r>
      <w:r w:rsidRPr="00B05565">
        <w:t>mimo</w:t>
      </w:r>
      <w:r>
        <w:t xml:space="preserve"> </w:t>
      </w:r>
      <w:r w:rsidRPr="00B05565">
        <w:t>pracovní</w:t>
      </w:r>
      <w:r>
        <w:t xml:space="preserve"> </w:t>
      </w:r>
      <w:r w:rsidRPr="00B05565">
        <w:t>poměr</w:t>
      </w:r>
      <w:r>
        <w:t xml:space="preserve"> </w:t>
      </w:r>
      <w:r w:rsidRPr="00B05565">
        <w:t>a</w:t>
      </w:r>
      <w:r>
        <w:t xml:space="preserve"> </w:t>
      </w:r>
      <w:r w:rsidRPr="00B05565">
        <w:t>odstupné,</w:t>
      </w:r>
      <w:r>
        <w:t xml:space="preserve"> </w:t>
      </w:r>
      <w:r w:rsidRPr="00B05565">
        <w:t>na</w:t>
      </w:r>
      <w:r>
        <w:t xml:space="preserve"> </w:t>
      </w:r>
      <w:r w:rsidRPr="00B05565">
        <w:t>výdaje</w:t>
      </w:r>
      <w:r>
        <w:t xml:space="preserve"> </w:t>
      </w:r>
      <w:r w:rsidRPr="00B05565">
        <w:t>na</w:t>
      </w:r>
      <w:r>
        <w:t xml:space="preserve"> </w:t>
      </w:r>
      <w:r w:rsidRPr="00B05565">
        <w:t>úhradu</w:t>
      </w:r>
      <w:r>
        <w:t xml:space="preserve"> </w:t>
      </w:r>
      <w:r w:rsidRPr="00B05565">
        <w:t>pojistného</w:t>
      </w:r>
      <w:r>
        <w:t xml:space="preserve"> </w:t>
      </w:r>
      <w:r w:rsidRPr="00B05565">
        <w:t>na</w:t>
      </w:r>
      <w:r>
        <w:t xml:space="preserve"> </w:t>
      </w:r>
      <w:r w:rsidRPr="00B05565">
        <w:t>sociální</w:t>
      </w:r>
      <w:r>
        <w:t xml:space="preserve"> </w:t>
      </w:r>
      <w:r w:rsidRPr="00B05565">
        <w:t>zabezpečení</w:t>
      </w:r>
      <w:r>
        <w:t xml:space="preserve"> </w:t>
      </w:r>
      <w:r w:rsidRPr="00B05565">
        <w:t>a</w:t>
      </w:r>
      <w:r>
        <w:t xml:space="preserve"> </w:t>
      </w:r>
      <w:r w:rsidRPr="00B05565">
        <w:t>příspěvku</w:t>
      </w:r>
      <w:r>
        <w:t xml:space="preserve"> </w:t>
      </w:r>
      <w:r w:rsidRPr="00B05565">
        <w:t>na</w:t>
      </w:r>
      <w:r>
        <w:t xml:space="preserve"> </w:t>
      </w:r>
      <w:r w:rsidRPr="00B05565">
        <w:t>státní</w:t>
      </w:r>
      <w:r>
        <w:t xml:space="preserve"> </w:t>
      </w:r>
      <w:r w:rsidRPr="00B05565">
        <w:t>politiku</w:t>
      </w:r>
      <w:r>
        <w:t xml:space="preserve"> </w:t>
      </w:r>
      <w:r w:rsidRPr="00B05565">
        <w:t>zaměstnanosti</w:t>
      </w:r>
      <w:r>
        <w:t xml:space="preserve"> </w:t>
      </w:r>
      <w:r w:rsidRPr="00B05565">
        <w:t>a</w:t>
      </w:r>
      <w:r>
        <w:t xml:space="preserve"> </w:t>
      </w:r>
      <w:r w:rsidRPr="00B05565">
        <w:t>na</w:t>
      </w:r>
      <w:r>
        <w:t xml:space="preserve"> </w:t>
      </w:r>
      <w:r w:rsidRPr="00B05565">
        <w:t>úhradu</w:t>
      </w:r>
      <w:r>
        <w:t xml:space="preserve"> </w:t>
      </w:r>
      <w:r w:rsidRPr="00B05565">
        <w:t>pojistného</w:t>
      </w:r>
      <w:r>
        <w:t xml:space="preserve"> </w:t>
      </w:r>
      <w:r w:rsidRPr="00B05565">
        <w:t>na</w:t>
      </w:r>
      <w:r>
        <w:t xml:space="preserve"> </w:t>
      </w:r>
      <w:r w:rsidRPr="00B05565">
        <w:t>všeobecné</w:t>
      </w:r>
      <w:r>
        <w:t xml:space="preserve"> </w:t>
      </w:r>
      <w:r w:rsidRPr="00B05565">
        <w:t>zdravotní</w:t>
      </w:r>
      <w:r>
        <w:t xml:space="preserve"> </w:t>
      </w:r>
      <w:r w:rsidRPr="00B05565">
        <w:t>pojištění,</w:t>
      </w:r>
      <w:r>
        <w:t xml:space="preserve"> </w:t>
      </w:r>
      <w:r w:rsidRPr="00B05565">
        <w:t>na</w:t>
      </w:r>
      <w:r>
        <w:t xml:space="preserve"> </w:t>
      </w:r>
      <w:r w:rsidRPr="00B05565">
        <w:t>příděly</w:t>
      </w:r>
      <w:r>
        <w:t xml:space="preserve"> </w:t>
      </w:r>
      <w:r w:rsidRPr="00B05565">
        <w:t>do</w:t>
      </w:r>
      <w:r>
        <w:t xml:space="preserve"> </w:t>
      </w:r>
      <w:r w:rsidRPr="00B05565">
        <w:t>fondu</w:t>
      </w:r>
      <w:r>
        <w:t xml:space="preserve"> </w:t>
      </w:r>
      <w:r w:rsidRPr="00B05565">
        <w:t>kulturních</w:t>
      </w:r>
      <w:r>
        <w:t xml:space="preserve"> </w:t>
      </w:r>
      <w:r w:rsidRPr="00B05565">
        <w:t>a</w:t>
      </w:r>
      <w:r>
        <w:t xml:space="preserve"> </w:t>
      </w:r>
      <w:r w:rsidRPr="00B05565">
        <w:t>sociálních</w:t>
      </w:r>
      <w:r>
        <w:t xml:space="preserve"> </w:t>
      </w:r>
      <w:r w:rsidRPr="00B05565">
        <w:t>potřeb</w:t>
      </w:r>
      <w:r>
        <w:t xml:space="preserve"> </w:t>
      </w:r>
      <w:r w:rsidRPr="00B05565">
        <w:t>a</w:t>
      </w:r>
      <w:r>
        <w:t xml:space="preserve"> </w:t>
      </w:r>
      <w:r w:rsidRPr="00B05565">
        <w:t>ostatní</w:t>
      </w:r>
      <w:r>
        <w:t xml:space="preserve"> </w:t>
      </w:r>
      <w:r w:rsidRPr="00B05565">
        <w:t>náklady</w:t>
      </w:r>
      <w:r>
        <w:t xml:space="preserve"> </w:t>
      </w:r>
      <w:r w:rsidRPr="00B05565">
        <w:t>vyplývající</w:t>
      </w:r>
      <w:r>
        <w:t xml:space="preserve"> </w:t>
      </w:r>
      <w:r w:rsidRPr="00B05565">
        <w:t>ze</w:t>
      </w:r>
      <w:r>
        <w:t xml:space="preserve"> </w:t>
      </w:r>
      <w:r w:rsidRPr="00B05565">
        <w:t>základních</w:t>
      </w:r>
      <w:r>
        <w:t xml:space="preserve"> </w:t>
      </w:r>
      <w:r w:rsidRPr="00B05565">
        <w:t>pracovněprávních</w:t>
      </w:r>
      <w:r>
        <w:t xml:space="preserve"> </w:t>
      </w:r>
      <w:r w:rsidRPr="00B05565">
        <w:t>vztahů,</w:t>
      </w:r>
      <w:r>
        <w:t xml:space="preserve"> </w:t>
      </w:r>
      <w:r w:rsidRPr="00B05565">
        <w:t>na</w:t>
      </w:r>
      <w:r>
        <w:t xml:space="preserve"> </w:t>
      </w:r>
      <w:r w:rsidRPr="00B05565">
        <w:t>výdaje</w:t>
      </w:r>
      <w:r>
        <w:t xml:space="preserve"> </w:t>
      </w:r>
      <w:r w:rsidRPr="00B05565">
        <w:t>podle</w:t>
      </w:r>
      <w:r>
        <w:t xml:space="preserve"> </w:t>
      </w:r>
      <w:r w:rsidRPr="00B05565">
        <w:t>§</w:t>
      </w:r>
      <w:r>
        <w:t xml:space="preserve"> </w:t>
      </w:r>
      <w:r w:rsidRPr="00B05565">
        <w:t>184</w:t>
      </w:r>
      <w:r>
        <w:t xml:space="preserve"> </w:t>
      </w:r>
      <w:r w:rsidRPr="00B05565">
        <w:t>odst.</w:t>
      </w:r>
      <w:r>
        <w:t xml:space="preserve"> </w:t>
      </w:r>
      <w:r w:rsidRPr="00B05565">
        <w:t>1</w:t>
      </w:r>
      <w:r>
        <w:t xml:space="preserve"> </w:t>
      </w:r>
      <w:r w:rsidRPr="00B05565">
        <w:t>a</w:t>
      </w:r>
      <w:r>
        <w:t xml:space="preserve"> </w:t>
      </w:r>
      <w:r w:rsidRPr="00B05565">
        <w:t>2,</w:t>
      </w:r>
      <w:r>
        <w:t xml:space="preserve"> </w:t>
      </w:r>
      <w:r w:rsidRPr="00B05565">
        <w:t>výdaje</w:t>
      </w:r>
      <w:r>
        <w:t xml:space="preserve"> </w:t>
      </w:r>
      <w:r w:rsidRPr="00B05565">
        <w:t>na</w:t>
      </w:r>
      <w:r>
        <w:t xml:space="preserve"> </w:t>
      </w:r>
      <w:r w:rsidRPr="00B05565">
        <w:t>nezbytné</w:t>
      </w:r>
      <w:r>
        <w:t xml:space="preserve"> </w:t>
      </w:r>
      <w:r w:rsidRPr="00B05565">
        <w:t>zvýšení</w:t>
      </w:r>
      <w:r>
        <w:t xml:space="preserve"> </w:t>
      </w:r>
      <w:r w:rsidRPr="00B05565">
        <w:t>nákladů</w:t>
      </w:r>
      <w:r>
        <w:t xml:space="preserve"> </w:t>
      </w:r>
      <w:r w:rsidRPr="00B05565">
        <w:t>spojených</w:t>
      </w:r>
      <w:r>
        <w:t xml:space="preserve"> </w:t>
      </w:r>
      <w:r w:rsidRPr="00B05565">
        <w:t>s</w:t>
      </w:r>
      <w:r>
        <w:t xml:space="preserve"> </w:t>
      </w:r>
      <w:r w:rsidRPr="00B05565">
        <w:t>výukou</w:t>
      </w:r>
      <w:r>
        <w:t xml:space="preserve"> </w:t>
      </w:r>
      <w:r w:rsidRPr="00B05565">
        <w:t>dětí,</w:t>
      </w:r>
      <w:r>
        <w:t xml:space="preserve"> </w:t>
      </w:r>
      <w:r w:rsidRPr="00B05565">
        <w:t>žáků</w:t>
      </w:r>
      <w:r>
        <w:t xml:space="preserve"> </w:t>
      </w:r>
      <w:r w:rsidRPr="00B05565">
        <w:t>a</w:t>
      </w:r>
      <w:r>
        <w:t xml:space="preserve"> </w:t>
      </w:r>
      <w:r w:rsidRPr="00B05565">
        <w:t>studentů</w:t>
      </w:r>
      <w:r>
        <w:t xml:space="preserve"> </w:t>
      </w:r>
      <w:r w:rsidRPr="00B05565">
        <w:t>se</w:t>
      </w:r>
      <w:r>
        <w:t xml:space="preserve"> </w:t>
      </w:r>
      <w:r w:rsidRPr="00B05565">
        <w:t>speciálními</w:t>
      </w:r>
      <w:r>
        <w:t xml:space="preserve"> </w:t>
      </w:r>
      <w:r w:rsidRPr="00B05565">
        <w:t>vzdělávacími</w:t>
      </w:r>
      <w:r>
        <w:t xml:space="preserve"> </w:t>
      </w:r>
      <w:r w:rsidRPr="00B05565">
        <w:t>potřebami,</w:t>
      </w:r>
      <w:r>
        <w:t xml:space="preserve"> </w:t>
      </w:r>
      <w:r w:rsidRPr="00B05565">
        <w:t>výdaje</w:t>
      </w:r>
      <w:r>
        <w:t xml:space="preserve"> </w:t>
      </w:r>
      <w:r w:rsidRPr="00B05565">
        <w:t>školy</w:t>
      </w:r>
      <w:r>
        <w:t xml:space="preserve"> </w:t>
      </w:r>
      <w:r w:rsidRPr="00B05565">
        <w:t>na</w:t>
      </w:r>
      <w:r>
        <w:t xml:space="preserve"> </w:t>
      </w:r>
      <w:r w:rsidRPr="00B05565">
        <w:t>dopravu</w:t>
      </w:r>
      <w:r>
        <w:t xml:space="preserve"> </w:t>
      </w:r>
      <w:r w:rsidRPr="00B05565">
        <w:t>při</w:t>
      </w:r>
      <w:r>
        <w:t xml:space="preserve"> </w:t>
      </w:r>
      <w:r w:rsidRPr="00B05565">
        <w:t>akcích</w:t>
      </w:r>
      <w:r>
        <w:t xml:space="preserve"> </w:t>
      </w:r>
      <w:r w:rsidRPr="00B05565">
        <w:t>v</w:t>
      </w:r>
      <w:r>
        <w:t xml:space="preserve"> </w:t>
      </w:r>
      <w:r w:rsidRPr="00B05565">
        <w:t>rámci</w:t>
      </w:r>
      <w:r>
        <w:t xml:space="preserve"> </w:t>
      </w:r>
      <w:r w:rsidRPr="00B05565">
        <w:t>vzdělávání</w:t>
      </w:r>
      <w:r>
        <w:t xml:space="preserve"> </w:t>
      </w:r>
      <w:r w:rsidRPr="00B05565">
        <w:t>podle</w:t>
      </w:r>
      <w:r>
        <w:t xml:space="preserve"> </w:t>
      </w:r>
      <w:r w:rsidRPr="00B05565">
        <w:t>příslušného</w:t>
      </w:r>
      <w:r>
        <w:t xml:space="preserve"> </w:t>
      </w:r>
      <w:r w:rsidRPr="00B05565">
        <w:t>rámcového</w:t>
      </w:r>
      <w:r>
        <w:t xml:space="preserve"> </w:t>
      </w:r>
      <w:r w:rsidRPr="00B05565">
        <w:t>vzdělávacího</w:t>
      </w:r>
      <w:r>
        <w:t xml:space="preserve"> </w:t>
      </w:r>
      <w:r w:rsidRPr="00B05565">
        <w:t>programu,</w:t>
      </w:r>
      <w:r>
        <w:t xml:space="preserve"> </w:t>
      </w:r>
      <w:r w:rsidRPr="00B05565">
        <w:t>výdaje</w:t>
      </w:r>
      <w:r>
        <w:t xml:space="preserve"> </w:t>
      </w:r>
      <w:r w:rsidRPr="00B05565">
        <w:t>na</w:t>
      </w:r>
      <w:r>
        <w:t xml:space="preserve"> </w:t>
      </w:r>
      <w:r w:rsidRPr="00B05565">
        <w:t>učební</w:t>
      </w:r>
      <w:r>
        <w:t xml:space="preserve"> </w:t>
      </w:r>
      <w:r w:rsidRPr="00B05565">
        <w:t>pomůcky,</w:t>
      </w:r>
      <w:r>
        <w:t xml:space="preserve"> </w:t>
      </w:r>
      <w:r w:rsidRPr="00B05565">
        <w:t>výdaje</w:t>
      </w:r>
      <w:r>
        <w:t xml:space="preserve"> </w:t>
      </w:r>
      <w:r w:rsidRPr="00B05565">
        <w:t>na</w:t>
      </w:r>
      <w:r>
        <w:t xml:space="preserve"> </w:t>
      </w:r>
      <w:r w:rsidRPr="00B05565">
        <w:t>školní</w:t>
      </w:r>
      <w:r>
        <w:t xml:space="preserve"> </w:t>
      </w:r>
      <w:r w:rsidRPr="00B05565">
        <w:t>potřeby</w:t>
      </w:r>
      <w:r>
        <w:t xml:space="preserve"> </w:t>
      </w:r>
      <w:r w:rsidRPr="00B05565">
        <w:t>a</w:t>
      </w:r>
      <w:r>
        <w:t xml:space="preserve"> </w:t>
      </w:r>
      <w:r w:rsidRPr="00B05565">
        <w:t>na</w:t>
      </w:r>
      <w:r>
        <w:t xml:space="preserve"> </w:t>
      </w:r>
      <w:r w:rsidRPr="00B05565">
        <w:t>učebnice,</w:t>
      </w:r>
      <w:r>
        <w:t xml:space="preserve"> </w:t>
      </w:r>
      <w:r w:rsidRPr="00B05565">
        <w:t>pokud</w:t>
      </w:r>
      <w:r>
        <w:t xml:space="preserve"> </w:t>
      </w:r>
      <w:r w:rsidRPr="00B05565">
        <w:t>jsou</w:t>
      </w:r>
      <w:r>
        <w:t xml:space="preserve"> </w:t>
      </w:r>
      <w:r w:rsidRPr="00B05565">
        <w:t>podle</w:t>
      </w:r>
      <w:r>
        <w:t xml:space="preserve"> </w:t>
      </w:r>
      <w:r w:rsidRPr="00B05565">
        <w:t>tohoto</w:t>
      </w:r>
      <w:r>
        <w:t xml:space="preserve"> </w:t>
      </w:r>
      <w:r w:rsidRPr="00B05565">
        <w:t>zákona</w:t>
      </w:r>
      <w:r>
        <w:t xml:space="preserve"> </w:t>
      </w:r>
      <w:r w:rsidRPr="00B05565">
        <w:t>poskytovány</w:t>
      </w:r>
      <w:r>
        <w:t xml:space="preserve"> </w:t>
      </w:r>
      <w:r w:rsidRPr="00B05565">
        <w:t>bezplatně,</w:t>
      </w:r>
      <w:r>
        <w:t xml:space="preserve"> </w:t>
      </w:r>
      <w:r w:rsidRPr="00B05565">
        <w:t>a</w:t>
      </w:r>
      <w:r>
        <w:t xml:space="preserve"> </w:t>
      </w:r>
      <w:r w:rsidRPr="00B05565">
        <w:t>rovněž</w:t>
      </w:r>
      <w:r>
        <w:t xml:space="preserve"> </w:t>
      </w:r>
      <w:r w:rsidRPr="00B05565">
        <w:t>výdaje</w:t>
      </w:r>
      <w:r>
        <w:t xml:space="preserve"> </w:t>
      </w:r>
      <w:r w:rsidRPr="00B05565">
        <w:t>na</w:t>
      </w:r>
      <w:r>
        <w:t xml:space="preserve"> </w:t>
      </w:r>
      <w:r w:rsidRPr="00B05565">
        <w:t>další</w:t>
      </w:r>
      <w:r>
        <w:t xml:space="preserve"> </w:t>
      </w:r>
      <w:r w:rsidRPr="00B05565">
        <w:t>vzdělávání</w:t>
      </w:r>
      <w:r>
        <w:t xml:space="preserve"> </w:t>
      </w:r>
      <w:r w:rsidRPr="00B05565">
        <w:t>pedagogických</w:t>
      </w:r>
      <w:r>
        <w:t xml:space="preserve"> </w:t>
      </w:r>
      <w:r w:rsidRPr="00B05565">
        <w:t>pracovníků,</w:t>
      </w:r>
      <w:r>
        <w:t xml:space="preserve"> </w:t>
      </w:r>
      <w:r w:rsidRPr="00B05565">
        <w:t>na</w:t>
      </w:r>
      <w:r>
        <w:t xml:space="preserve"> </w:t>
      </w:r>
      <w:r w:rsidRPr="00B05565">
        <w:t>činnosti,</w:t>
      </w:r>
      <w:r>
        <w:t xml:space="preserve"> </w:t>
      </w:r>
      <w:r w:rsidRPr="00B05565">
        <w:t>které</w:t>
      </w:r>
      <w:r>
        <w:t xml:space="preserve"> </w:t>
      </w:r>
      <w:r w:rsidRPr="00B05565">
        <w:t>přímo</w:t>
      </w:r>
      <w:r>
        <w:t xml:space="preserve"> </w:t>
      </w:r>
      <w:r w:rsidRPr="00B05565">
        <w:t>souvisejí</w:t>
      </w:r>
      <w:r>
        <w:t xml:space="preserve"> </w:t>
      </w:r>
      <w:r w:rsidRPr="00B05565">
        <w:t>s</w:t>
      </w:r>
      <w:r>
        <w:t xml:space="preserve"> </w:t>
      </w:r>
      <w:r w:rsidRPr="00B05565">
        <w:t>rozvojem</w:t>
      </w:r>
      <w:r>
        <w:t xml:space="preserve"> </w:t>
      </w:r>
      <w:r w:rsidRPr="00B05565">
        <w:t>škol</w:t>
      </w:r>
      <w:r>
        <w:t xml:space="preserve"> </w:t>
      </w:r>
      <w:r w:rsidRPr="00B05565">
        <w:t>a</w:t>
      </w:r>
      <w:r>
        <w:t xml:space="preserve"> </w:t>
      </w:r>
      <w:r w:rsidRPr="00B05565">
        <w:t>kvalitou</w:t>
      </w:r>
      <w:r>
        <w:t xml:space="preserve"> </w:t>
      </w:r>
      <w:r w:rsidRPr="00B05565">
        <w:t>vzdělávání,</w:t>
      </w:r>
    </w:p>
    <w:p w14:paraId="597EB06C" w14:textId="4CC980E0" w:rsidR="00B9271C" w:rsidRDefault="00B9271C" w:rsidP="00AB5ED2">
      <w:pPr>
        <w:pStyle w:val="Textparagrafu"/>
        <w:tabs>
          <w:tab w:val="left" w:pos="392"/>
          <w:tab w:val="left" w:pos="840"/>
        </w:tabs>
        <w:spacing w:before="0"/>
        <w:ind w:left="426" w:hanging="426"/>
      </w:pPr>
      <w:r w:rsidRPr="00B05565">
        <w:t>d)</w:t>
      </w:r>
      <w:r w:rsidR="005A43C2">
        <w:tab/>
      </w:r>
      <w:r w:rsidRPr="00B05565">
        <w:t>škol</w:t>
      </w:r>
      <w:r>
        <w:t xml:space="preserve"> </w:t>
      </w:r>
      <w:r w:rsidRPr="00B05565">
        <w:t>a</w:t>
      </w:r>
      <w:r>
        <w:t xml:space="preserve"> </w:t>
      </w:r>
      <w:r w:rsidRPr="00B05565">
        <w:t>školských</w:t>
      </w:r>
      <w:r>
        <w:t xml:space="preserve"> </w:t>
      </w:r>
      <w:r w:rsidRPr="00B05565">
        <w:t>zařízení</w:t>
      </w:r>
      <w:r>
        <w:t xml:space="preserve"> </w:t>
      </w:r>
      <w:r w:rsidRPr="00B05565">
        <w:t>zřizovaných</w:t>
      </w:r>
      <w:r>
        <w:t xml:space="preserve"> </w:t>
      </w:r>
      <w:r w:rsidRPr="00B05565">
        <w:t>kraji,</w:t>
      </w:r>
      <w:r>
        <w:t xml:space="preserve"> </w:t>
      </w:r>
      <w:r w:rsidRPr="00B05565">
        <w:t>s</w:t>
      </w:r>
      <w:r>
        <w:t xml:space="preserve"> </w:t>
      </w:r>
      <w:r w:rsidRPr="00B05565">
        <w:t>výjimkou</w:t>
      </w:r>
      <w:r>
        <w:t xml:space="preserve"> </w:t>
      </w:r>
      <w:r w:rsidRPr="00B05565">
        <w:t>jazykových</w:t>
      </w:r>
      <w:r>
        <w:t xml:space="preserve"> </w:t>
      </w:r>
      <w:r w:rsidRPr="00B05565">
        <w:t>škol</w:t>
      </w:r>
      <w:r>
        <w:t xml:space="preserve"> </w:t>
      </w:r>
      <w:r w:rsidRPr="00B05565">
        <w:t>s</w:t>
      </w:r>
      <w:r>
        <w:t xml:space="preserve"> </w:t>
      </w:r>
      <w:r w:rsidRPr="00B05565">
        <w:t>právem</w:t>
      </w:r>
      <w:r>
        <w:t xml:space="preserve"> </w:t>
      </w:r>
      <w:r w:rsidRPr="00B05565">
        <w:t>státní</w:t>
      </w:r>
      <w:r>
        <w:t xml:space="preserve"> </w:t>
      </w:r>
      <w:r w:rsidRPr="00B05565">
        <w:t>jazykové</w:t>
      </w:r>
      <w:r>
        <w:t xml:space="preserve"> </w:t>
      </w:r>
      <w:r w:rsidRPr="00B05565">
        <w:t>zkoušky</w:t>
      </w:r>
      <w:r>
        <w:t xml:space="preserve"> </w:t>
      </w:r>
      <w:r w:rsidRPr="00B05565">
        <w:t>a</w:t>
      </w:r>
      <w:r>
        <w:t xml:space="preserve"> </w:t>
      </w:r>
      <w:r w:rsidRPr="00B05565">
        <w:t>školských</w:t>
      </w:r>
      <w:r>
        <w:t xml:space="preserve"> </w:t>
      </w:r>
      <w:r w:rsidRPr="00B05565">
        <w:t>výchovných</w:t>
      </w:r>
      <w:r>
        <w:t xml:space="preserve"> </w:t>
      </w:r>
      <w:r w:rsidRPr="00B05565">
        <w:t>a</w:t>
      </w:r>
      <w:r>
        <w:t xml:space="preserve"> </w:t>
      </w:r>
      <w:r w:rsidRPr="00B05565">
        <w:t>ubytovacích</w:t>
      </w:r>
      <w:r>
        <w:t xml:space="preserve"> </w:t>
      </w:r>
      <w:r w:rsidRPr="00B05565">
        <w:t>zařízení</w:t>
      </w:r>
      <w:r>
        <w:t xml:space="preserve"> </w:t>
      </w:r>
      <w:r w:rsidRPr="00B05565">
        <w:t>podle</w:t>
      </w:r>
      <w:r>
        <w:t xml:space="preserve"> </w:t>
      </w:r>
      <w:r w:rsidRPr="00B05565">
        <w:t>§</w:t>
      </w:r>
      <w:r>
        <w:t xml:space="preserve"> </w:t>
      </w:r>
      <w:r w:rsidRPr="00B05565">
        <w:t>117</w:t>
      </w:r>
      <w:r>
        <w:t xml:space="preserve"> </w:t>
      </w:r>
      <w:r w:rsidRPr="00B05565">
        <w:t>odst.</w:t>
      </w:r>
      <w:r>
        <w:t xml:space="preserve"> </w:t>
      </w:r>
      <w:r w:rsidRPr="00B05565">
        <w:t>1</w:t>
      </w:r>
      <w:r>
        <w:t xml:space="preserve"> </w:t>
      </w:r>
      <w:r w:rsidRPr="00B05565">
        <w:t>písm.</w:t>
      </w:r>
      <w:r>
        <w:t xml:space="preserve"> </w:t>
      </w:r>
      <w:r w:rsidRPr="00B05565">
        <w:t>c),</w:t>
      </w:r>
      <w:r>
        <w:t xml:space="preserve"> </w:t>
      </w:r>
      <w:r w:rsidRPr="00B05565">
        <w:t>a</w:t>
      </w:r>
      <w:r>
        <w:t xml:space="preserve"> </w:t>
      </w:r>
      <w:r w:rsidRPr="00B05565">
        <w:t>to</w:t>
      </w:r>
      <w:r>
        <w:t xml:space="preserve"> </w:t>
      </w:r>
      <w:r w:rsidRPr="00B05565">
        <w:t>na</w:t>
      </w:r>
      <w:r>
        <w:t xml:space="preserve"> </w:t>
      </w:r>
      <w:r w:rsidRPr="00B05565">
        <w:t>platy,</w:t>
      </w:r>
      <w:r>
        <w:t xml:space="preserve"> </w:t>
      </w:r>
      <w:r w:rsidRPr="00B05565">
        <w:t>náhrady</w:t>
      </w:r>
      <w:r>
        <w:t xml:space="preserve"> </w:t>
      </w:r>
      <w:r w:rsidRPr="00B05565">
        <w:t>platů,</w:t>
      </w:r>
      <w:r>
        <w:t xml:space="preserve"> </w:t>
      </w:r>
      <w:r w:rsidRPr="00B05565">
        <w:t>nebo</w:t>
      </w:r>
      <w:r>
        <w:t xml:space="preserve"> </w:t>
      </w:r>
      <w:r w:rsidRPr="00B05565">
        <w:t>mzdy</w:t>
      </w:r>
      <w:r>
        <w:t xml:space="preserve"> </w:t>
      </w:r>
      <w:r w:rsidRPr="00B05565">
        <w:t>a</w:t>
      </w:r>
      <w:r>
        <w:t xml:space="preserve"> </w:t>
      </w:r>
      <w:r w:rsidRPr="00B05565">
        <w:t>náhrady</w:t>
      </w:r>
      <w:r>
        <w:t xml:space="preserve"> </w:t>
      </w:r>
      <w:r w:rsidRPr="00B05565">
        <w:t>mezd,</w:t>
      </w:r>
      <w:r>
        <w:t xml:space="preserve"> </w:t>
      </w:r>
      <w:r w:rsidRPr="00B05565">
        <w:t>na</w:t>
      </w:r>
      <w:r>
        <w:t xml:space="preserve"> </w:t>
      </w:r>
      <w:r w:rsidRPr="00B05565">
        <w:t>odměny</w:t>
      </w:r>
      <w:r>
        <w:t xml:space="preserve"> </w:t>
      </w:r>
      <w:r w:rsidRPr="00B05565">
        <w:t>za</w:t>
      </w:r>
      <w:r>
        <w:t xml:space="preserve"> </w:t>
      </w:r>
      <w:r w:rsidRPr="00B05565">
        <w:t>pracovní</w:t>
      </w:r>
      <w:r>
        <w:t xml:space="preserve"> </w:t>
      </w:r>
      <w:r w:rsidRPr="00B05565">
        <w:t>pohotovost,</w:t>
      </w:r>
      <w:r>
        <w:t xml:space="preserve"> </w:t>
      </w:r>
      <w:r w:rsidRPr="00B05565">
        <w:t>odměny</w:t>
      </w:r>
      <w:r>
        <w:t xml:space="preserve"> </w:t>
      </w:r>
      <w:r w:rsidRPr="00B05565">
        <w:t>za</w:t>
      </w:r>
      <w:r>
        <w:t xml:space="preserve"> </w:t>
      </w:r>
      <w:r w:rsidRPr="00B05565">
        <w:t>práci</w:t>
      </w:r>
      <w:r>
        <w:t xml:space="preserve"> </w:t>
      </w:r>
      <w:r w:rsidRPr="00B05565">
        <w:t>vykonávanou</w:t>
      </w:r>
      <w:r>
        <w:t xml:space="preserve"> </w:t>
      </w:r>
      <w:r w:rsidRPr="00B05565">
        <w:t>na</w:t>
      </w:r>
      <w:r>
        <w:t xml:space="preserve"> </w:t>
      </w:r>
      <w:r w:rsidRPr="00B05565">
        <w:t>základě</w:t>
      </w:r>
      <w:r>
        <w:t xml:space="preserve"> </w:t>
      </w:r>
      <w:r w:rsidRPr="00B05565">
        <w:t>dohod</w:t>
      </w:r>
      <w:r>
        <w:t xml:space="preserve"> </w:t>
      </w:r>
      <w:r w:rsidRPr="00B05565">
        <w:t>o</w:t>
      </w:r>
      <w:r>
        <w:t xml:space="preserve"> </w:t>
      </w:r>
      <w:r w:rsidRPr="00B05565">
        <w:t>pracích</w:t>
      </w:r>
      <w:r>
        <w:t xml:space="preserve"> </w:t>
      </w:r>
      <w:r w:rsidRPr="00B05565">
        <w:t>konaných</w:t>
      </w:r>
      <w:r>
        <w:t xml:space="preserve"> </w:t>
      </w:r>
      <w:r w:rsidRPr="00B05565">
        <w:t>mimo</w:t>
      </w:r>
      <w:r>
        <w:t xml:space="preserve"> </w:t>
      </w:r>
      <w:r w:rsidRPr="00B05565">
        <w:t>pracovní</w:t>
      </w:r>
      <w:r>
        <w:t xml:space="preserve"> </w:t>
      </w:r>
      <w:r w:rsidRPr="00B05565">
        <w:t>poměr</w:t>
      </w:r>
      <w:r>
        <w:t xml:space="preserve"> </w:t>
      </w:r>
      <w:r w:rsidRPr="00B05565">
        <w:t>a</w:t>
      </w:r>
      <w:r>
        <w:t xml:space="preserve"> </w:t>
      </w:r>
      <w:r w:rsidRPr="00B05565">
        <w:t>odstupné,</w:t>
      </w:r>
      <w:r>
        <w:t xml:space="preserve"> </w:t>
      </w:r>
      <w:r w:rsidRPr="00B05565">
        <w:t>na</w:t>
      </w:r>
      <w:r>
        <w:t xml:space="preserve"> </w:t>
      </w:r>
      <w:r w:rsidRPr="00B05565">
        <w:t>výdaje</w:t>
      </w:r>
      <w:r>
        <w:t xml:space="preserve"> </w:t>
      </w:r>
      <w:r w:rsidRPr="00B05565">
        <w:t>na</w:t>
      </w:r>
      <w:r>
        <w:t xml:space="preserve"> </w:t>
      </w:r>
      <w:r w:rsidRPr="00B05565">
        <w:t>úhradu</w:t>
      </w:r>
      <w:r>
        <w:t xml:space="preserve"> </w:t>
      </w:r>
      <w:r w:rsidRPr="00B05565">
        <w:t>pojistného</w:t>
      </w:r>
      <w:r>
        <w:t xml:space="preserve"> </w:t>
      </w:r>
      <w:r w:rsidRPr="00B05565">
        <w:t>na</w:t>
      </w:r>
      <w:r>
        <w:t xml:space="preserve"> </w:t>
      </w:r>
      <w:r w:rsidRPr="00B05565">
        <w:t>sociální</w:t>
      </w:r>
      <w:r>
        <w:t xml:space="preserve"> </w:t>
      </w:r>
      <w:r w:rsidRPr="00B05565">
        <w:t>zabezpečení,</w:t>
      </w:r>
      <w:r>
        <w:t xml:space="preserve"> </w:t>
      </w:r>
      <w:r w:rsidRPr="00B05565">
        <w:t>příspěvku</w:t>
      </w:r>
      <w:r>
        <w:t xml:space="preserve"> </w:t>
      </w:r>
      <w:r w:rsidRPr="00B05565">
        <w:t>na</w:t>
      </w:r>
      <w:r>
        <w:t xml:space="preserve"> </w:t>
      </w:r>
      <w:r w:rsidRPr="00B05565">
        <w:t>státní</w:t>
      </w:r>
      <w:r>
        <w:t xml:space="preserve"> </w:t>
      </w:r>
      <w:r w:rsidRPr="00B05565">
        <w:t>politiku</w:t>
      </w:r>
      <w:r>
        <w:t xml:space="preserve"> </w:t>
      </w:r>
      <w:r w:rsidRPr="00B05565">
        <w:t>zaměstnanosti</w:t>
      </w:r>
      <w:r>
        <w:t xml:space="preserve"> </w:t>
      </w:r>
      <w:r w:rsidRPr="00B05565">
        <w:t>a</w:t>
      </w:r>
      <w:r>
        <w:t xml:space="preserve"> </w:t>
      </w:r>
      <w:r w:rsidRPr="00B05565">
        <w:t>na</w:t>
      </w:r>
      <w:r>
        <w:t xml:space="preserve"> </w:t>
      </w:r>
      <w:r w:rsidRPr="00B05565">
        <w:t>úhradu</w:t>
      </w:r>
      <w:r>
        <w:t xml:space="preserve"> </w:t>
      </w:r>
      <w:r w:rsidRPr="00B05565">
        <w:t>pojistného</w:t>
      </w:r>
      <w:r>
        <w:t xml:space="preserve"> </w:t>
      </w:r>
      <w:r w:rsidRPr="00B05565">
        <w:t>na</w:t>
      </w:r>
      <w:r>
        <w:t xml:space="preserve"> </w:t>
      </w:r>
      <w:r w:rsidRPr="00B05565">
        <w:t>všeobecné</w:t>
      </w:r>
      <w:r>
        <w:t xml:space="preserve"> </w:t>
      </w:r>
      <w:r w:rsidRPr="00B05565">
        <w:t>zdravotní</w:t>
      </w:r>
      <w:r>
        <w:t xml:space="preserve"> </w:t>
      </w:r>
      <w:r w:rsidRPr="00B05565">
        <w:t>pojištění,</w:t>
      </w:r>
      <w:r>
        <w:t xml:space="preserve"> </w:t>
      </w:r>
      <w:r w:rsidRPr="00B05565">
        <w:t>na</w:t>
      </w:r>
      <w:r>
        <w:t xml:space="preserve"> </w:t>
      </w:r>
      <w:r w:rsidRPr="00B05565">
        <w:t>příděly</w:t>
      </w:r>
      <w:r>
        <w:t xml:space="preserve"> </w:t>
      </w:r>
      <w:r w:rsidRPr="00B05565">
        <w:t>do</w:t>
      </w:r>
      <w:r>
        <w:t xml:space="preserve"> </w:t>
      </w:r>
      <w:r w:rsidRPr="00B05565">
        <w:t>fondu</w:t>
      </w:r>
      <w:r>
        <w:t xml:space="preserve"> </w:t>
      </w:r>
      <w:r w:rsidRPr="00B05565">
        <w:t>kulturních</w:t>
      </w:r>
      <w:r>
        <w:t xml:space="preserve"> </w:t>
      </w:r>
      <w:r w:rsidRPr="00B05565">
        <w:t>a</w:t>
      </w:r>
      <w:r>
        <w:t xml:space="preserve"> </w:t>
      </w:r>
      <w:r w:rsidRPr="00B05565">
        <w:t>sociálních</w:t>
      </w:r>
      <w:r>
        <w:t xml:space="preserve"> </w:t>
      </w:r>
      <w:r w:rsidRPr="00B05565">
        <w:t>potřeb</w:t>
      </w:r>
      <w:r>
        <w:t xml:space="preserve"> </w:t>
      </w:r>
      <w:r w:rsidRPr="00B05565">
        <w:t>a</w:t>
      </w:r>
      <w:r>
        <w:t xml:space="preserve"> </w:t>
      </w:r>
      <w:r w:rsidRPr="00B05565">
        <w:t>ostatní</w:t>
      </w:r>
      <w:r>
        <w:t xml:space="preserve"> </w:t>
      </w:r>
      <w:r w:rsidRPr="00B05565">
        <w:t>náklady</w:t>
      </w:r>
      <w:r>
        <w:t xml:space="preserve"> </w:t>
      </w:r>
      <w:r w:rsidRPr="00B05565">
        <w:t>vyplývající</w:t>
      </w:r>
      <w:r>
        <w:t xml:space="preserve"> </w:t>
      </w:r>
      <w:r w:rsidRPr="00B05565">
        <w:t>ze</w:t>
      </w:r>
      <w:r>
        <w:t xml:space="preserve"> </w:t>
      </w:r>
      <w:r w:rsidRPr="00B05565">
        <w:t>základních</w:t>
      </w:r>
      <w:r>
        <w:t xml:space="preserve"> </w:t>
      </w:r>
      <w:r w:rsidRPr="00B05565">
        <w:t>pracovněprávních</w:t>
      </w:r>
      <w:r>
        <w:t xml:space="preserve"> </w:t>
      </w:r>
      <w:r w:rsidRPr="00B05565">
        <w:t>vztahů,</w:t>
      </w:r>
      <w:r>
        <w:t xml:space="preserve"> </w:t>
      </w:r>
      <w:r w:rsidRPr="00B05565">
        <w:t>na</w:t>
      </w:r>
      <w:r>
        <w:t xml:space="preserve"> </w:t>
      </w:r>
      <w:r w:rsidRPr="00B05565">
        <w:t>výdaje</w:t>
      </w:r>
      <w:r>
        <w:t xml:space="preserve"> </w:t>
      </w:r>
      <w:r w:rsidRPr="00B05565">
        <w:t>podle</w:t>
      </w:r>
      <w:r>
        <w:t xml:space="preserve"> </w:t>
      </w:r>
      <w:r w:rsidRPr="00B05565">
        <w:t>§</w:t>
      </w:r>
      <w:r>
        <w:t xml:space="preserve"> </w:t>
      </w:r>
      <w:r w:rsidRPr="00B05565">
        <w:t>184</w:t>
      </w:r>
      <w:r>
        <w:t xml:space="preserve"> </w:t>
      </w:r>
      <w:r w:rsidRPr="00B05565">
        <w:t>odst.</w:t>
      </w:r>
      <w:r>
        <w:t xml:space="preserve"> </w:t>
      </w:r>
      <w:r w:rsidRPr="00B05565">
        <w:t>1</w:t>
      </w:r>
      <w:r>
        <w:t xml:space="preserve"> </w:t>
      </w:r>
      <w:r w:rsidRPr="00B05565">
        <w:t>a</w:t>
      </w:r>
      <w:r>
        <w:t xml:space="preserve"> </w:t>
      </w:r>
      <w:r w:rsidRPr="00B05565">
        <w:t>2,</w:t>
      </w:r>
      <w:r>
        <w:t xml:space="preserve"> </w:t>
      </w:r>
      <w:r w:rsidRPr="00B05565">
        <w:t>výdaje</w:t>
      </w:r>
      <w:r>
        <w:t xml:space="preserve"> </w:t>
      </w:r>
      <w:r w:rsidRPr="00B05565">
        <w:t>na</w:t>
      </w:r>
      <w:r>
        <w:t xml:space="preserve"> </w:t>
      </w:r>
      <w:r w:rsidRPr="00B05565">
        <w:t>nezbytné</w:t>
      </w:r>
      <w:r>
        <w:t xml:space="preserve"> </w:t>
      </w:r>
      <w:r w:rsidRPr="00B05565">
        <w:t>zvýšení</w:t>
      </w:r>
      <w:r>
        <w:t xml:space="preserve"> </w:t>
      </w:r>
      <w:r w:rsidRPr="00B05565">
        <w:t>nákladů</w:t>
      </w:r>
      <w:r>
        <w:t xml:space="preserve"> </w:t>
      </w:r>
      <w:r w:rsidRPr="00B05565">
        <w:t>spojených</w:t>
      </w:r>
      <w:r>
        <w:t xml:space="preserve"> </w:t>
      </w:r>
      <w:r w:rsidRPr="00B05565">
        <w:t>s</w:t>
      </w:r>
      <w:r>
        <w:t xml:space="preserve"> </w:t>
      </w:r>
      <w:r w:rsidRPr="00B05565">
        <w:t>výukou</w:t>
      </w:r>
      <w:r>
        <w:t xml:space="preserve"> </w:t>
      </w:r>
      <w:r w:rsidRPr="00B05565">
        <w:t>dětí,</w:t>
      </w:r>
      <w:r>
        <w:t xml:space="preserve"> </w:t>
      </w:r>
      <w:r w:rsidRPr="00B05565">
        <w:t>žáků</w:t>
      </w:r>
      <w:r>
        <w:t xml:space="preserve"> </w:t>
      </w:r>
      <w:r w:rsidRPr="00B05565">
        <w:t>a</w:t>
      </w:r>
      <w:r>
        <w:t xml:space="preserve"> </w:t>
      </w:r>
      <w:r w:rsidRPr="00B05565">
        <w:t>studentů</w:t>
      </w:r>
      <w:r>
        <w:t xml:space="preserve"> </w:t>
      </w:r>
      <w:r w:rsidRPr="00B05565">
        <w:t>se</w:t>
      </w:r>
      <w:r>
        <w:t xml:space="preserve"> </w:t>
      </w:r>
      <w:r w:rsidRPr="00B05565">
        <w:t>speciálními</w:t>
      </w:r>
      <w:r>
        <w:t xml:space="preserve"> </w:t>
      </w:r>
      <w:r w:rsidRPr="00B05565">
        <w:t>vzdělávacími</w:t>
      </w:r>
      <w:r>
        <w:t xml:space="preserve"> </w:t>
      </w:r>
      <w:r w:rsidRPr="00B05565">
        <w:t>potřebami,</w:t>
      </w:r>
      <w:r>
        <w:t xml:space="preserve"> </w:t>
      </w:r>
      <w:r w:rsidRPr="00B05565">
        <w:t>výdaje</w:t>
      </w:r>
      <w:r>
        <w:t xml:space="preserve"> </w:t>
      </w:r>
      <w:r w:rsidRPr="00B05565">
        <w:t>školy</w:t>
      </w:r>
      <w:r>
        <w:t xml:space="preserve"> </w:t>
      </w:r>
      <w:r w:rsidRPr="00B05565">
        <w:t>na</w:t>
      </w:r>
      <w:r>
        <w:t xml:space="preserve"> </w:t>
      </w:r>
      <w:r w:rsidRPr="00B05565">
        <w:t>dopravu</w:t>
      </w:r>
      <w:r>
        <w:t xml:space="preserve"> </w:t>
      </w:r>
      <w:r w:rsidRPr="00B05565">
        <w:t>při</w:t>
      </w:r>
      <w:r>
        <w:t xml:space="preserve"> </w:t>
      </w:r>
      <w:r w:rsidRPr="00B05565">
        <w:t>akcích</w:t>
      </w:r>
      <w:r>
        <w:t xml:space="preserve"> </w:t>
      </w:r>
      <w:r w:rsidRPr="00B05565">
        <w:t>v</w:t>
      </w:r>
      <w:r>
        <w:t xml:space="preserve"> </w:t>
      </w:r>
      <w:r w:rsidRPr="00B05565">
        <w:t>rámci</w:t>
      </w:r>
      <w:r>
        <w:t xml:space="preserve"> </w:t>
      </w:r>
      <w:r w:rsidRPr="00B05565">
        <w:t>vzdělávání</w:t>
      </w:r>
      <w:r>
        <w:t xml:space="preserve"> </w:t>
      </w:r>
      <w:r w:rsidRPr="00B05565">
        <w:t>podle</w:t>
      </w:r>
      <w:r>
        <w:t xml:space="preserve"> </w:t>
      </w:r>
      <w:r w:rsidRPr="00B05565">
        <w:t>příslušného</w:t>
      </w:r>
      <w:r>
        <w:t xml:space="preserve"> </w:t>
      </w:r>
      <w:r w:rsidRPr="00B05565">
        <w:t>rámcového</w:t>
      </w:r>
      <w:r>
        <w:t xml:space="preserve"> </w:t>
      </w:r>
      <w:r w:rsidRPr="00B05565">
        <w:t>vzdělávacího</w:t>
      </w:r>
      <w:r>
        <w:t xml:space="preserve"> </w:t>
      </w:r>
      <w:r w:rsidRPr="00B05565">
        <w:t>programu,</w:t>
      </w:r>
      <w:r>
        <w:t xml:space="preserve"> </w:t>
      </w:r>
      <w:r w:rsidRPr="00B05565">
        <w:t>výdaje</w:t>
      </w:r>
      <w:r>
        <w:t xml:space="preserve"> </w:t>
      </w:r>
      <w:r w:rsidRPr="00B05565">
        <w:t>na</w:t>
      </w:r>
      <w:r>
        <w:t xml:space="preserve"> </w:t>
      </w:r>
      <w:r w:rsidRPr="00B05565">
        <w:t>učební</w:t>
      </w:r>
      <w:r>
        <w:t xml:space="preserve"> </w:t>
      </w:r>
      <w:r w:rsidRPr="00B05565">
        <w:t>pomůcky,</w:t>
      </w:r>
      <w:r>
        <w:t xml:space="preserve"> </w:t>
      </w:r>
      <w:r w:rsidRPr="00B05565">
        <w:t>výdaje</w:t>
      </w:r>
      <w:r>
        <w:t xml:space="preserve"> </w:t>
      </w:r>
      <w:r w:rsidRPr="00B05565">
        <w:t>na</w:t>
      </w:r>
      <w:r>
        <w:t xml:space="preserve"> </w:t>
      </w:r>
      <w:r w:rsidRPr="00B05565">
        <w:t>školní</w:t>
      </w:r>
      <w:r>
        <w:t xml:space="preserve"> </w:t>
      </w:r>
      <w:r w:rsidRPr="00B05565">
        <w:t>potřeby</w:t>
      </w:r>
      <w:r>
        <w:t xml:space="preserve"> </w:t>
      </w:r>
      <w:r w:rsidRPr="00B05565">
        <w:t>a</w:t>
      </w:r>
      <w:r>
        <w:t xml:space="preserve"> </w:t>
      </w:r>
      <w:r w:rsidRPr="00B05565">
        <w:t>na</w:t>
      </w:r>
      <w:r>
        <w:t xml:space="preserve"> </w:t>
      </w:r>
      <w:r w:rsidRPr="00B05565">
        <w:t>učebnice,</w:t>
      </w:r>
      <w:r>
        <w:t xml:space="preserve"> </w:t>
      </w:r>
      <w:r w:rsidRPr="00B05565">
        <w:t>pokud</w:t>
      </w:r>
      <w:r>
        <w:t xml:space="preserve"> </w:t>
      </w:r>
      <w:r w:rsidRPr="00B05565">
        <w:t>jsou</w:t>
      </w:r>
      <w:r>
        <w:t xml:space="preserve"> </w:t>
      </w:r>
      <w:r w:rsidRPr="00B05565">
        <w:t>podle</w:t>
      </w:r>
      <w:r>
        <w:t xml:space="preserve"> </w:t>
      </w:r>
      <w:r w:rsidRPr="00B05565">
        <w:t>tohoto</w:t>
      </w:r>
      <w:r>
        <w:t xml:space="preserve"> </w:t>
      </w:r>
      <w:r w:rsidRPr="00B05565">
        <w:t>zákona</w:t>
      </w:r>
      <w:r>
        <w:t xml:space="preserve"> </w:t>
      </w:r>
      <w:r w:rsidRPr="00B05565">
        <w:t>poskytovány</w:t>
      </w:r>
      <w:r>
        <w:t xml:space="preserve"> </w:t>
      </w:r>
      <w:r w:rsidRPr="00B05565">
        <w:t>bezplatně,</w:t>
      </w:r>
      <w:r>
        <w:t xml:space="preserve"> </w:t>
      </w:r>
      <w:r w:rsidRPr="00B05565">
        <w:t>a</w:t>
      </w:r>
      <w:r>
        <w:t xml:space="preserve"> </w:t>
      </w:r>
      <w:r w:rsidRPr="00B05565">
        <w:t>rovněž</w:t>
      </w:r>
      <w:r>
        <w:t xml:space="preserve"> </w:t>
      </w:r>
      <w:r w:rsidRPr="00B05565">
        <w:t>na</w:t>
      </w:r>
      <w:r>
        <w:t xml:space="preserve"> </w:t>
      </w:r>
      <w:r w:rsidRPr="00B05565">
        <w:t>výdaje</w:t>
      </w:r>
      <w:r>
        <w:t xml:space="preserve"> </w:t>
      </w:r>
      <w:r w:rsidRPr="00B05565">
        <w:t>na</w:t>
      </w:r>
      <w:r>
        <w:t xml:space="preserve"> </w:t>
      </w:r>
      <w:r w:rsidRPr="00B05565">
        <w:t>další</w:t>
      </w:r>
      <w:r>
        <w:t xml:space="preserve"> </w:t>
      </w:r>
      <w:r w:rsidRPr="00B05565">
        <w:t>vzdělávání</w:t>
      </w:r>
      <w:r>
        <w:t xml:space="preserve"> </w:t>
      </w:r>
      <w:r w:rsidRPr="00B05565">
        <w:t>pedagogických</w:t>
      </w:r>
      <w:r>
        <w:t xml:space="preserve"> </w:t>
      </w:r>
      <w:r w:rsidRPr="00B05565">
        <w:t>pracovníků</w:t>
      </w:r>
      <w:r>
        <w:t xml:space="preserve"> </w:t>
      </w:r>
      <w:r w:rsidRPr="00B05565">
        <w:t>a</w:t>
      </w:r>
      <w:r>
        <w:t xml:space="preserve"> </w:t>
      </w:r>
      <w:r w:rsidRPr="00B05565">
        <w:t>na</w:t>
      </w:r>
      <w:r>
        <w:t xml:space="preserve"> </w:t>
      </w:r>
      <w:r w:rsidRPr="00B05565">
        <w:t>činnosti,</w:t>
      </w:r>
      <w:r>
        <w:t xml:space="preserve"> </w:t>
      </w:r>
      <w:r w:rsidRPr="00B05565">
        <w:t>které</w:t>
      </w:r>
      <w:r>
        <w:t xml:space="preserve"> </w:t>
      </w:r>
      <w:r w:rsidRPr="00B05565">
        <w:t>přímo</w:t>
      </w:r>
      <w:r>
        <w:t xml:space="preserve"> </w:t>
      </w:r>
      <w:r w:rsidRPr="00B05565">
        <w:t>souvisejí</w:t>
      </w:r>
      <w:r>
        <w:t xml:space="preserve"> </w:t>
      </w:r>
      <w:r w:rsidRPr="00B05565">
        <w:t>s</w:t>
      </w:r>
      <w:r>
        <w:t xml:space="preserve"> </w:t>
      </w:r>
      <w:r w:rsidRPr="00B05565">
        <w:t>rozvojem</w:t>
      </w:r>
      <w:r>
        <w:t xml:space="preserve"> </w:t>
      </w:r>
      <w:r w:rsidRPr="00B05565">
        <w:t>škol</w:t>
      </w:r>
      <w:r>
        <w:t xml:space="preserve"> </w:t>
      </w:r>
      <w:r w:rsidRPr="00B05565">
        <w:t>a</w:t>
      </w:r>
      <w:r>
        <w:t xml:space="preserve"> </w:t>
      </w:r>
      <w:r w:rsidRPr="00B05565">
        <w:t>kvalitou</w:t>
      </w:r>
      <w:r>
        <w:t xml:space="preserve"> </w:t>
      </w:r>
      <w:r w:rsidRPr="00B05565">
        <w:t>vzdělávání,</w:t>
      </w:r>
    </w:p>
    <w:p w14:paraId="6C431073" w14:textId="7F1B7D89" w:rsidR="00B9271C" w:rsidRDefault="00B9271C" w:rsidP="00AB5ED2">
      <w:pPr>
        <w:pStyle w:val="Textparagrafu"/>
        <w:tabs>
          <w:tab w:val="left" w:pos="392"/>
          <w:tab w:val="left" w:pos="840"/>
        </w:tabs>
        <w:spacing w:before="0"/>
        <w:ind w:left="426" w:hanging="426"/>
      </w:pPr>
      <w:r w:rsidRPr="00B05565">
        <w:t>e)</w:t>
      </w:r>
      <w:r w:rsidR="005A43C2">
        <w:tab/>
      </w:r>
      <w:r w:rsidRPr="00B05565">
        <w:t>poskytovatelů</w:t>
      </w:r>
      <w:r>
        <w:t xml:space="preserve"> </w:t>
      </w:r>
      <w:r w:rsidRPr="00B05565">
        <w:t>vzdělávání</w:t>
      </w:r>
      <w:r>
        <w:t xml:space="preserve"> </w:t>
      </w:r>
      <w:r w:rsidRPr="00B05565">
        <w:t>v</w:t>
      </w:r>
      <w:r>
        <w:t xml:space="preserve"> </w:t>
      </w:r>
      <w:r w:rsidRPr="00B05565">
        <w:t>zahraničí.</w:t>
      </w:r>
    </w:p>
    <w:p w14:paraId="63DAF739" w14:textId="0E9E0C7A" w:rsidR="00B9271C" w:rsidRDefault="00B9271C" w:rsidP="00BD5369">
      <w:pPr>
        <w:pStyle w:val="Textparagrafu"/>
        <w:tabs>
          <w:tab w:val="left" w:pos="392"/>
          <w:tab w:val="left" w:pos="840"/>
        </w:tabs>
        <w:spacing w:after="120"/>
      </w:pPr>
      <w:r w:rsidRPr="00B05565">
        <w:lastRenderedPageBreak/>
        <w:t>(2)</w:t>
      </w:r>
      <w:r>
        <w:t xml:space="preserve"> </w:t>
      </w:r>
      <w:r w:rsidRPr="0025772F">
        <w:rPr>
          <w:strike/>
        </w:rPr>
        <w:t>Finanční</w:t>
      </w:r>
      <w:r>
        <w:t xml:space="preserve"> </w:t>
      </w:r>
      <w:r w:rsidR="0025772F">
        <w:rPr>
          <w:b/>
        </w:rPr>
        <w:t xml:space="preserve">Peněžní </w:t>
      </w:r>
      <w:r w:rsidRPr="00B05565">
        <w:t>prostředky</w:t>
      </w:r>
      <w:r>
        <w:t xml:space="preserve"> </w:t>
      </w:r>
      <w:r w:rsidRPr="00B05565">
        <w:t>podle</w:t>
      </w:r>
      <w:r>
        <w:t xml:space="preserve"> </w:t>
      </w:r>
      <w:r w:rsidRPr="00B05565">
        <w:t>odstavce</w:t>
      </w:r>
      <w:r>
        <w:t xml:space="preserve"> </w:t>
      </w:r>
      <w:r w:rsidRPr="00B05565">
        <w:t>1</w:t>
      </w:r>
      <w:r>
        <w:t xml:space="preserve"> </w:t>
      </w:r>
      <w:r w:rsidRPr="00B05565">
        <w:t>může</w:t>
      </w:r>
      <w:r>
        <w:t xml:space="preserve"> </w:t>
      </w:r>
      <w:r w:rsidRPr="00B05565">
        <w:t>právnická</w:t>
      </w:r>
      <w:r>
        <w:t xml:space="preserve"> </w:t>
      </w:r>
      <w:r w:rsidRPr="00B05565">
        <w:t>osoba</w:t>
      </w:r>
      <w:r>
        <w:t xml:space="preserve"> </w:t>
      </w:r>
      <w:r w:rsidRPr="00B05565">
        <w:t>vykonávající</w:t>
      </w:r>
      <w:r>
        <w:t xml:space="preserve"> </w:t>
      </w:r>
      <w:r w:rsidRPr="00B05565">
        <w:t>činnost</w:t>
      </w:r>
      <w:r>
        <w:t xml:space="preserve"> </w:t>
      </w:r>
      <w:r w:rsidRPr="00B05565">
        <w:t>školy</w:t>
      </w:r>
      <w:r>
        <w:t xml:space="preserve"> </w:t>
      </w:r>
      <w:r w:rsidRPr="00B05565">
        <w:t>použít</w:t>
      </w:r>
      <w:r>
        <w:t xml:space="preserve"> </w:t>
      </w:r>
      <w:r w:rsidRPr="00B05565">
        <w:t>také</w:t>
      </w:r>
      <w:r>
        <w:t xml:space="preserve"> </w:t>
      </w:r>
      <w:r w:rsidRPr="00B05565">
        <w:t>tehdy,</w:t>
      </w:r>
      <w:r>
        <w:t xml:space="preserve"> </w:t>
      </w:r>
      <w:r w:rsidRPr="00B05565">
        <w:t>zajišťuje-li</w:t>
      </w:r>
      <w:r>
        <w:t xml:space="preserve"> </w:t>
      </w:r>
      <w:r w:rsidRPr="00B05565">
        <w:t>v</w:t>
      </w:r>
      <w:r>
        <w:t xml:space="preserve"> </w:t>
      </w:r>
      <w:r w:rsidRPr="00B05565">
        <w:t>souladu</w:t>
      </w:r>
      <w:r>
        <w:t xml:space="preserve"> </w:t>
      </w:r>
      <w:r w:rsidRPr="00B05565">
        <w:t>s</w:t>
      </w:r>
      <w:r>
        <w:t xml:space="preserve"> </w:t>
      </w:r>
      <w:r w:rsidRPr="00B05565">
        <w:t>tímto</w:t>
      </w:r>
      <w:r>
        <w:t xml:space="preserve"> </w:t>
      </w:r>
      <w:r w:rsidRPr="00B05565">
        <w:t>zákonem</w:t>
      </w:r>
      <w:r>
        <w:t xml:space="preserve"> </w:t>
      </w:r>
      <w:r w:rsidRPr="00B05565">
        <w:t>a</w:t>
      </w:r>
      <w:r>
        <w:t xml:space="preserve"> </w:t>
      </w:r>
      <w:r w:rsidRPr="00B05565">
        <w:t>rámcovým</w:t>
      </w:r>
      <w:r>
        <w:t xml:space="preserve"> </w:t>
      </w:r>
      <w:r w:rsidRPr="00B05565">
        <w:t>vzdělávacím</w:t>
      </w:r>
      <w:r>
        <w:t xml:space="preserve"> </w:t>
      </w:r>
      <w:r w:rsidRPr="00B05565">
        <w:t>programem</w:t>
      </w:r>
      <w:r>
        <w:t xml:space="preserve"> </w:t>
      </w:r>
      <w:r w:rsidRPr="00B05565">
        <w:t>povinnou</w:t>
      </w:r>
      <w:r>
        <w:t xml:space="preserve"> </w:t>
      </w:r>
      <w:r w:rsidRPr="00B05565">
        <w:t>součást</w:t>
      </w:r>
      <w:r>
        <w:t xml:space="preserve"> </w:t>
      </w:r>
      <w:r w:rsidRPr="00B05565">
        <w:t>vzdělávání</w:t>
      </w:r>
      <w:r>
        <w:t xml:space="preserve"> </w:t>
      </w:r>
      <w:r w:rsidRPr="00B05565">
        <w:t>dětí,</w:t>
      </w:r>
      <w:r>
        <w:t xml:space="preserve"> </w:t>
      </w:r>
      <w:r w:rsidRPr="00B05565">
        <w:t>žáků</w:t>
      </w:r>
      <w:r>
        <w:t xml:space="preserve"> </w:t>
      </w:r>
      <w:r w:rsidRPr="00B05565">
        <w:t>a</w:t>
      </w:r>
      <w:r>
        <w:t xml:space="preserve"> </w:t>
      </w:r>
      <w:r w:rsidRPr="00B05565">
        <w:t>studentů</w:t>
      </w:r>
      <w:r>
        <w:t xml:space="preserve"> </w:t>
      </w:r>
      <w:r w:rsidRPr="00B05565">
        <w:t>u</w:t>
      </w:r>
      <w:r>
        <w:t xml:space="preserve"> </w:t>
      </w:r>
      <w:r w:rsidRPr="00B05565">
        <w:t>jiné</w:t>
      </w:r>
      <w:r>
        <w:t xml:space="preserve"> </w:t>
      </w:r>
      <w:r w:rsidRPr="00B05565">
        <w:t>fyzické</w:t>
      </w:r>
      <w:r>
        <w:t xml:space="preserve"> </w:t>
      </w:r>
      <w:r w:rsidRPr="00B05565">
        <w:t>nebo</w:t>
      </w:r>
      <w:r>
        <w:t xml:space="preserve"> </w:t>
      </w:r>
      <w:r w:rsidRPr="00B05565">
        <w:t>právnické</w:t>
      </w:r>
      <w:r>
        <w:t xml:space="preserve"> </w:t>
      </w:r>
      <w:r w:rsidRPr="00B05565">
        <w:t>osoby.</w:t>
      </w:r>
      <w:r>
        <w:t xml:space="preserve"> </w:t>
      </w:r>
      <w:r w:rsidRPr="0025772F">
        <w:rPr>
          <w:strike/>
        </w:rPr>
        <w:t>Finanční</w:t>
      </w:r>
      <w:r>
        <w:t xml:space="preserve"> </w:t>
      </w:r>
      <w:r w:rsidR="0025772F">
        <w:rPr>
          <w:b/>
        </w:rPr>
        <w:t xml:space="preserve">Peněžní </w:t>
      </w:r>
      <w:r w:rsidRPr="00B05565">
        <w:t>prostředky</w:t>
      </w:r>
      <w:r>
        <w:t xml:space="preserve"> </w:t>
      </w:r>
      <w:r w:rsidRPr="00B05565">
        <w:t>podle</w:t>
      </w:r>
      <w:r>
        <w:t xml:space="preserve"> </w:t>
      </w:r>
      <w:r w:rsidRPr="00B05565">
        <w:t>věty</w:t>
      </w:r>
      <w:r>
        <w:t xml:space="preserve"> </w:t>
      </w:r>
      <w:r w:rsidRPr="00B05565">
        <w:t>první</w:t>
      </w:r>
      <w:r>
        <w:t xml:space="preserve"> </w:t>
      </w:r>
      <w:r w:rsidRPr="00B05565">
        <w:t>lze</w:t>
      </w:r>
      <w:r>
        <w:t xml:space="preserve"> </w:t>
      </w:r>
      <w:r w:rsidRPr="00B05565">
        <w:t>použít</w:t>
      </w:r>
      <w:r>
        <w:t xml:space="preserve"> </w:t>
      </w:r>
      <w:r w:rsidRPr="00B05565">
        <w:t>na:</w:t>
      </w:r>
    </w:p>
    <w:p w14:paraId="624B31D4" w14:textId="41128C12" w:rsidR="00B9271C" w:rsidRDefault="00B9271C" w:rsidP="00AB5ED2">
      <w:pPr>
        <w:pStyle w:val="Textparagrafu"/>
        <w:tabs>
          <w:tab w:val="left" w:pos="392"/>
          <w:tab w:val="left" w:pos="840"/>
        </w:tabs>
        <w:spacing w:before="0"/>
        <w:ind w:left="426" w:hanging="426"/>
      </w:pPr>
      <w:r w:rsidRPr="00B05565">
        <w:t>a)</w:t>
      </w:r>
      <w:r w:rsidR="005A43C2">
        <w:tab/>
      </w:r>
      <w:r w:rsidRPr="00B05565">
        <w:t>úhradu</w:t>
      </w:r>
      <w:r>
        <w:t xml:space="preserve"> </w:t>
      </w:r>
      <w:r w:rsidRPr="00B05565">
        <w:t>ceny</w:t>
      </w:r>
      <w:r>
        <w:t xml:space="preserve"> </w:t>
      </w:r>
      <w:r w:rsidRPr="00B05565">
        <w:t>za</w:t>
      </w:r>
      <w:r>
        <w:t xml:space="preserve"> </w:t>
      </w:r>
      <w:r w:rsidRPr="00B05565">
        <w:t>služby</w:t>
      </w:r>
      <w:r>
        <w:t xml:space="preserve"> </w:t>
      </w:r>
      <w:r w:rsidRPr="00B05565">
        <w:t>poskytované</w:t>
      </w:r>
      <w:r>
        <w:t xml:space="preserve"> </w:t>
      </w:r>
      <w:r w:rsidRPr="00B05565">
        <w:t>jinou</w:t>
      </w:r>
      <w:r>
        <w:t xml:space="preserve"> </w:t>
      </w:r>
      <w:r w:rsidRPr="00B05565">
        <w:t>fyzickou</w:t>
      </w:r>
      <w:r>
        <w:t xml:space="preserve"> </w:t>
      </w:r>
      <w:r w:rsidRPr="00B05565">
        <w:t>nebo</w:t>
      </w:r>
      <w:r>
        <w:t xml:space="preserve"> </w:t>
      </w:r>
      <w:r w:rsidRPr="00B05565">
        <w:t>právnickou</w:t>
      </w:r>
      <w:r>
        <w:t xml:space="preserve"> </w:t>
      </w:r>
      <w:r w:rsidRPr="00B05565">
        <w:t>osobou,</w:t>
      </w:r>
      <w:r>
        <w:t xml:space="preserve"> </w:t>
      </w:r>
      <w:r w:rsidRPr="00502CF7">
        <w:rPr>
          <w:strike/>
        </w:rPr>
        <w:t>finanční</w:t>
      </w:r>
      <w:r>
        <w:t xml:space="preserve"> </w:t>
      </w:r>
      <w:r w:rsidR="00502CF7">
        <w:rPr>
          <w:b/>
        </w:rPr>
        <w:t xml:space="preserve">peněžní </w:t>
      </w:r>
      <w:r w:rsidRPr="00B05565">
        <w:t>prostředky</w:t>
      </w:r>
      <w:r>
        <w:t xml:space="preserve"> </w:t>
      </w:r>
      <w:r w:rsidRPr="00B05565">
        <w:t>podle</w:t>
      </w:r>
      <w:r>
        <w:t xml:space="preserve"> </w:t>
      </w:r>
      <w:r w:rsidRPr="00B05565">
        <w:t>odstavce</w:t>
      </w:r>
      <w:r>
        <w:t xml:space="preserve"> </w:t>
      </w:r>
      <w:r w:rsidRPr="00B05565">
        <w:t>1</w:t>
      </w:r>
      <w:r>
        <w:t xml:space="preserve"> </w:t>
      </w:r>
      <w:r w:rsidRPr="00B05565">
        <w:t>písm.</w:t>
      </w:r>
      <w:r>
        <w:t xml:space="preserve"> </w:t>
      </w:r>
      <w:r w:rsidRPr="00B05565">
        <w:t>c)</w:t>
      </w:r>
      <w:r>
        <w:t xml:space="preserve"> </w:t>
      </w:r>
      <w:r w:rsidRPr="00B05565">
        <w:t>a</w:t>
      </w:r>
      <w:r>
        <w:t xml:space="preserve"> </w:t>
      </w:r>
      <w:r w:rsidRPr="00B05565">
        <w:t>d)</w:t>
      </w:r>
      <w:r>
        <w:t xml:space="preserve"> </w:t>
      </w:r>
      <w:r w:rsidRPr="00B05565">
        <w:t>lze</w:t>
      </w:r>
      <w:r>
        <w:t xml:space="preserve"> </w:t>
      </w:r>
      <w:r w:rsidRPr="00B05565">
        <w:t>takto</w:t>
      </w:r>
      <w:r>
        <w:t xml:space="preserve"> </w:t>
      </w:r>
      <w:r w:rsidRPr="00B05565">
        <w:t>použít</w:t>
      </w:r>
      <w:r>
        <w:t xml:space="preserve"> </w:t>
      </w:r>
      <w:r w:rsidRPr="00B05565">
        <w:t>pouze</w:t>
      </w:r>
      <w:r>
        <w:t xml:space="preserve"> </w:t>
      </w:r>
      <w:r w:rsidRPr="00B05565">
        <w:t>do</w:t>
      </w:r>
      <w:r>
        <w:t xml:space="preserve"> </w:t>
      </w:r>
      <w:r w:rsidRPr="00B05565">
        <w:t>úhrnné</w:t>
      </w:r>
      <w:r>
        <w:t xml:space="preserve"> </w:t>
      </w:r>
      <w:r w:rsidRPr="00B05565">
        <w:t>roční</w:t>
      </w:r>
      <w:r>
        <w:t xml:space="preserve"> </w:t>
      </w:r>
      <w:r w:rsidRPr="00B05565">
        <w:t>výše</w:t>
      </w:r>
      <w:r>
        <w:t xml:space="preserve"> </w:t>
      </w:r>
      <w:r w:rsidRPr="00B05565">
        <w:t>stanovené</w:t>
      </w:r>
      <w:r>
        <w:t xml:space="preserve"> </w:t>
      </w:r>
      <w:r w:rsidRPr="00B05565">
        <w:t>krajským</w:t>
      </w:r>
      <w:r>
        <w:t xml:space="preserve"> </w:t>
      </w:r>
      <w:r w:rsidRPr="00B05565">
        <w:t>úřadem</w:t>
      </w:r>
      <w:r>
        <w:t xml:space="preserve"> </w:t>
      </w:r>
      <w:r w:rsidRPr="00B05565">
        <w:t>v</w:t>
      </w:r>
      <w:r>
        <w:t xml:space="preserve"> </w:t>
      </w:r>
      <w:r w:rsidRPr="00B05565">
        <w:t>rozpisu</w:t>
      </w:r>
      <w:r>
        <w:t xml:space="preserve"> </w:t>
      </w:r>
      <w:r w:rsidRPr="00B05565">
        <w:t>rozpočtu</w:t>
      </w:r>
      <w:r>
        <w:t xml:space="preserve"> </w:t>
      </w:r>
      <w:r w:rsidRPr="00502CF7">
        <w:rPr>
          <w:strike/>
        </w:rPr>
        <w:t>finančních</w:t>
      </w:r>
      <w:r>
        <w:t xml:space="preserve"> </w:t>
      </w:r>
      <w:r w:rsidR="00502CF7">
        <w:rPr>
          <w:b/>
        </w:rPr>
        <w:t xml:space="preserve">peněžních </w:t>
      </w:r>
      <w:r w:rsidRPr="00B05565">
        <w:t>prostředků</w:t>
      </w:r>
      <w:r>
        <w:t xml:space="preserve"> </w:t>
      </w:r>
      <w:r w:rsidRPr="00B05565">
        <w:t>na</w:t>
      </w:r>
      <w:r>
        <w:t xml:space="preserve"> </w:t>
      </w:r>
      <w:r w:rsidRPr="00B05565">
        <w:t>činnost</w:t>
      </w:r>
      <w:r>
        <w:t xml:space="preserve"> </w:t>
      </w:r>
      <w:r w:rsidRPr="00B05565">
        <w:t>školy;</w:t>
      </w:r>
    </w:p>
    <w:p w14:paraId="79C36FF9" w14:textId="46010D53" w:rsidR="00B9271C" w:rsidRDefault="00B9271C" w:rsidP="00AB5ED2">
      <w:pPr>
        <w:pStyle w:val="Textparagrafu"/>
        <w:tabs>
          <w:tab w:val="left" w:pos="392"/>
          <w:tab w:val="left" w:pos="840"/>
        </w:tabs>
        <w:spacing w:before="0"/>
        <w:ind w:left="426" w:hanging="426"/>
      </w:pPr>
      <w:r w:rsidRPr="00B05565">
        <w:t>b)</w:t>
      </w:r>
      <w:r w:rsidR="005A43C2">
        <w:tab/>
      </w:r>
      <w:r w:rsidRPr="00B05565">
        <w:t>náhradu</w:t>
      </w:r>
      <w:r>
        <w:t xml:space="preserve"> </w:t>
      </w:r>
      <w:r w:rsidRPr="00B05565">
        <w:t>nákladů,</w:t>
      </w:r>
      <w:r>
        <w:t xml:space="preserve"> </w:t>
      </w:r>
      <w:r w:rsidRPr="00B05565">
        <w:t>které</w:t>
      </w:r>
      <w:r>
        <w:t xml:space="preserve"> </w:t>
      </w:r>
      <w:r w:rsidRPr="00B05565">
        <w:t>jiné</w:t>
      </w:r>
      <w:r>
        <w:t xml:space="preserve"> </w:t>
      </w:r>
      <w:r w:rsidRPr="00B05565">
        <w:t>fyzické</w:t>
      </w:r>
      <w:r>
        <w:t xml:space="preserve"> </w:t>
      </w:r>
      <w:r w:rsidRPr="00B05565">
        <w:t>nebo</w:t>
      </w:r>
      <w:r>
        <w:t xml:space="preserve"> </w:t>
      </w:r>
      <w:r w:rsidRPr="00B05565">
        <w:t>právnické</w:t>
      </w:r>
      <w:r>
        <w:t xml:space="preserve"> </w:t>
      </w:r>
      <w:r w:rsidRPr="00B05565">
        <w:t>osobě</w:t>
      </w:r>
      <w:r>
        <w:t xml:space="preserve"> </w:t>
      </w:r>
      <w:r w:rsidRPr="00B05565">
        <w:t>prokazatelně</w:t>
      </w:r>
      <w:r>
        <w:t xml:space="preserve"> </w:t>
      </w:r>
      <w:r w:rsidRPr="00B05565">
        <w:t>a</w:t>
      </w:r>
      <w:r>
        <w:t xml:space="preserve"> </w:t>
      </w:r>
      <w:r w:rsidRPr="00B05565">
        <w:t>nutně</w:t>
      </w:r>
      <w:r>
        <w:t xml:space="preserve"> </w:t>
      </w:r>
      <w:r w:rsidRPr="00B05565">
        <w:t>vznikají</w:t>
      </w:r>
      <w:r>
        <w:t xml:space="preserve"> </w:t>
      </w:r>
      <w:r w:rsidRPr="00B05565">
        <w:t>výhradně</w:t>
      </w:r>
      <w:r>
        <w:t xml:space="preserve"> </w:t>
      </w:r>
      <w:r w:rsidRPr="00B05565">
        <w:t>za</w:t>
      </w:r>
      <w:r>
        <w:t xml:space="preserve"> </w:t>
      </w:r>
      <w:r w:rsidRPr="00B05565">
        <w:t>účelem</w:t>
      </w:r>
      <w:r>
        <w:t xml:space="preserve"> </w:t>
      </w:r>
      <w:r w:rsidRPr="00B05565">
        <w:t>uskutečňování</w:t>
      </w:r>
      <w:r>
        <w:t xml:space="preserve"> </w:t>
      </w:r>
      <w:r w:rsidRPr="00B05565">
        <w:t>praktického</w:t>
      </w:r>
      <w:r>
        <w:t xml:space="preserve"> </w:t>
      </w:r>
      <w:r w:rsidRPr="00B05565">
        <w:t>vyučování</w:t>
      </w:r>
      <w:r>
        <w:t xml:space="preserve"> </w:t>
      </w:r>
      <w:r w:rsidRPr="00B05565">
        <w:t>na</w:t>
      </w:r>
      <w:r>
        <w:t xml:space="preserve"> </w:t>
      </w:r>
      <w:r w:rsidRPr="00B05565">
        <w:t>jejím</w:t>
      </w:r>
      <w:r>
        <w:t xml:space="preserve"> </w:t>
      </w:r>
      <w:r w:rsidRPr="00B05565">
        <w:t>pracovišti</w:t>
      </w:r>
      <w:r>
        <w:t xml:space="preserve"> </w:t>
      </w:r>
      <w:r w:rsidRPr="00B05565">
        <w:t>na</w:t>
      </w:r>
      <w:r>
        <w:t xml:space="preserve"> </w:t>
      </w:r>
      <w:r w:rsidRPr="00B05565">
        <w:t>základě</w:t>
      </w:r>
      <w:r>
        <w:t xml:space="preserve"> </w:t>
      </w:r>
      <w:r w:rsidRPr="00B05565">
        <w:t>smlouvy</w:t>
      </w:r>
      <w:r>
        <w:t xml:space="preserve"> </w:t>
      </w:r>
      <w:r w:rsidRPr="00B05565">
        <w:t>podle</w:t>
      </w:r>
      <w:r>
        <w:t xml:space="preserve"> </w:t>
      </w:r>
      <w:r w:rsidRPr="00B05565">
        <w:t>§</w:t>
      </w:r>
      <w:r>
        <w:t xml:space="preserve"> </w:t>
      </w:r>
      <w:r w:rsidRPr="00B05565">
        <w:t>65</w:t>
      </w:r>
      <w:r>
        <w:t xml:space="preserve"> </w:t>
      </w:r>
      <w:r w:rsidRPr="00B05565">
        <w:t>odst.</w:t>
      </w:r>
      <w:r>
        <w:t xml:space="preserve"> </w:t>
      </w:r>
      <w:r w:rsidRPr="00B05565">
        <w:t>2,</w:t>
      </w:r>
      <w:r>
        <w:t xml:space="preserve"> </w:t>
      </w:r>
      <w:r w:rsidRPr="00B05565">
        <w:t>pokud</w:t>
      </w:r>
      <w:r>
        <w:t xml:space="preserve"> </w:t>
      </w:r>
      <w:r w:rsidRPr="00B05565">
        <w:t>byla</w:t>
      </w:r>
      <w:r>
        <w:t xml:space="preserve"> </w:t>
      </w:r>
      <w:r w:rsidRPr="00B05565">
        <w:t>náhrada</w:t>
      </w:r>
      <w:r>
        <w:t xml:space="preserve"> </w:t>
      </w:r>
      <w:r w:rsidRPr="00B05565">
        <w:t>nákladů</w:t>
      </w:r>
      <w:r>
        <w:t xml:space="preserve"> </w:t>
      </w:r>
      <w:r w:rsidRPr="00B05565">
        <w:t>v</w:t>
      </w:r>
      <w:r>
        <w:t xml:space="preserve"> </w:t>
      </w:r>
      <w:r w:rsidRPr="00B05565">
        <w:t>této</w:t>
      </w:r>
      <w:r>
        <w:t xml:space="preserve"> </w:t>
      </w:r>
      <w:r w:rsidRPr="00B05565">
        <w:t>smlouvě</w:t>
      </w:r>
      <w:r>
        <w:t xml:space="preserve"> </w:t>
      </w:r>
      <w:r w:rsidRPr="00B05565">
        <w:t>sjednána.</w:t>
      </w:r>
    </w:p>
    <w:p w14:paraId="59AB9B1E" w14:textId="12DFFBF2" w:rsidR="00B9271C" w:rsidRDefault="00B9271C" w:rsidP="00A84DD3">
      <w:pPr>
        <w:pStyle w:val="Textparagrafu"/>
        <w:tabs>
          <w:tab w:val="left" w:pos="392"/>
          <w:tab w:val="left" w:pos="840"/>
        </w:tabs>
        <w:spacing w:before="120" w:after="120"/>
      </w:pPr>
      <w:r w:rsidRPr="00B05565">
        <w:t>(3)</w:t>
      </w:r>
      <w:r>
        <w:t xml:space="preserve"> </w:t>
      </w:r>
      <w:r w:rsidRPr="00502CF7">
        <w:rPr>
          <w:strike/>
        </w:rPr>
        <w:t>Finanční</w:t>
      </w:r>
      <w:r>
        <w:t xml:space="preserve"> </w:t>
      </w:r>
      <w:r w:rsidR="00502CF7">
        <w:rPr>
          <w:b/>
        </w:rPr>
        <w:t xml:space="preserve">Peněžní </w:t>
      </w:r>
      <w:r w:rsidRPr="00B05565">
        <w:t>prostředky</w:t>
      </w:r>
      <w:r>
        <w:t xml:space="preserve"> </w:t>
      </w:r>
      <w:r w:rsidRPr="00B05565">
        <w:t>podle</w:t>
      </w:r>
      <w:r>
        <w:t xml:space="preserve"> </w:t>
      </w:r>
      <w:r w:rsidRPr="00B05565">
        <w:t>odstavce</w:t>
      </w:r>
      <w:r>
        <w:t xml:space="preserve"> </w:t>
      </w:r>
      <w:r w:rsidRPr="00B05565">
        <w:t>1</w:t>
      </w:r>
      <w:r>
        <w:t xml:space="preserve"> </w:t>
      </w:r>
      <w:r w:rsidRPr="00B05565">
        <w:t>lze</w:t>
      </w:r>
      <w:r>
        <w:t xml:space="preserve"> </w:t>
      </w:r>
      <w:r w:rsidRPr="00B05565">
        <w:t>v</w:t>
      </w:r>
      <w:r>
        <w:t xml:space="preserve"> </w:t>
      </w:r>
      <w:r w:rsidRPr="00B05565">
        <w:t>souladu</w:t>
      </w:r>
      <w:r>
        <w:t xml:space="preserve"> </w:t>
      </w:r>
      <w:r w:rsidRPr="00B05565">
        <w:t>s</w:t>
      </w:r>
      <w:r>
        <w:t xml:space="preserve"> </w:t>
      </w:r>
      <w:r w:rsidRPr="00B05565">
        <w:t>odstavcem</w:t>
      </w:r>
      <w:r>
        <w:t xml:space="preserve"> </w:t>
      </w:r>
      <w:r w:rsidRPr="00B05565">
        <w:t>2</w:t>
      </w:r>
      <w:r>
        <w:t xml:space="preserve"> </w:t>
      </w:r>
      <w:r w:rsidRPr="00B05565">
        <w:t>použít</w:t>
      </w:r>
      <w:r>
        <w:t xml:space="preserve"> </w:t>
      </w:r>
      <w:r w:rsidRPr="00B05565">
        <w:t>pouze</w:t>
      </w:r>
      <w:r>
        <w:t xml:space="preserve"> </w:t>
      </w:r>
      <w:r w:rsidRPr="00B05565">
        <w:t>na</w:t>
      </w:r>
      <w:r>
        <w:t xml:space="preserve"> </w:t>
      </w:r>
      <w:r w:rsidRPr="00B05565">
        <w:t>náhradu</w:t>
      </w:r>
      <w:r>
        <w:t xml:space="preserve"> </w:t>
      </w:r>
      <w:r w:rsidRPr="00B05565">
        <w:t>nákladů</w:t>
      </w:r>
      <w:r>
        <w:t xml:space="preserve"> </w:t>
      </w:r>
      <w:r w:rsidRPr="00B05565">
        <w:t>rozpočtovaných</w:t>
      </w:r>
      <w:r>
        <w:t xml:space="preserve"> </w:t>
      </w:r>
      <w:r w:rsidRPr="00B05565">
        <w:t>v</w:t>
      </w:r>
      <w:r>
        <w:t xml:space="preserve"> </w:t>
      </w:r>
      <w:r w:rsidRPr="00B05565">
        <w:t>ceně</w:t>
      </w:r>
      <w:r>
        <w:t xml:space="preserve"> </w:t>
      </w:r>
      <w:r w:rsidRPr="00B05565">
        <w:t>podle</w:t>
      </w:r>
      <w:r>
        <w:t xml:space="preserve"> </w:t>
      </w:r>
      <w:r w:rsidRPr="00B05565">
        <w:t>odstavce</w:t>
      </w:r>
      <w:r>
        <w:t xml:space="preserve"> </w:t>
      </w:r>
      <w:r w:rsidRPr="00B05565">
        <w:t>2</w:t>
      </w:r>
      <w:r>
        <w:t xml:space="preserve"> </w:t>
      </w:r>
      <w:r w:rsidRPr="00B05565">
        <w:t>písm.</w:t>
      </w:r>
      <w:r>
        <w:t xml:space="preserve"> </w:t>
      </w:r>
      <w:r w:rsidRPr="00B05565">
        <w:t>a)</w:t>
      </w:r>
      <w:r>
        <w:t xml:space="preserve"> </w:t>
      </w:r>
      <w:r w:rsidRPr="00B05565">
        <w:t>nebo</w:t>
      </w:r>
      <w:r>
        <w:t xml:space="preserve"> </w:t>
      </w:r>
      <w:r w:rsidRPr="00B05565">
        <w:t>vynaložených</w:t>
      </w:r>
      <w:r>
        <w:t xml:space="preserve"> </w:t>
      </w:r>
      <w:r w:rsidRPr="00B05565">
        <w:t>jinou</w:t>
      </w:r>
      <w:r>
        <w:t xml:space="preserve"> </w:t>
      </w:r>
      <w:r w:rsidRPr="00B05565">
        <w:t>fyzickou</w:t>
      </w:r>
      <w:r>
        <w:t xml:space="preserve"> </w:t>
      </w:r>
      <w:r w:rsidRPr="00B05565">
        <w:t>nebo</w:t>
      </w:r>
      <w:r>
        <w:t xml:space="preserve"> </w:t>
      </w:r>
      <w:r w:rsidRPr="00B05565">
        <w:t>právnickou</w:t>
      </w:r>
      <w:r>
        <w:t xml:space="preserve"> </w:t>
      </w:r>
      <w:r w:rsidRPr="00B05565">
        <w:t>osobou</w:t>
      </w:r>
      <w:r>
        <w:t xml:space="preserve"> </w:t>
      </w:r>
      <w:r w:rsidRPr="00B05565">
        <w:t>podle</w:t>
      </w:r>
      <w:r>
        <w:t xml:space="preserve"> </w:t>
      </w:r>
      <w:r w:rsidRPr="00B05565">
        <w:t>odstavce</w:t>
      </w:r>
      <w:r>
        <w:t xml:space="preserve"> </w:t>
      </w:r>
      <w:r w:rsidRPr="00B05565">
        <w:t>2</w:t>
      </w:r>
      <w:r>
        <w:t xml:space="preserve"> </w:t>
      </w:r>
      <w:r w:rsidRPr="00B05565">
        <w:t>písm.</w:t>
      </w:r>
      <w:r>
        <w:t xml:space="preserve"> </w:t>
      </w:r>
      <w:r w:rsidRPr="00B05565">
        <w:t>b),</w:t>
      </w:r>
      <w:r>
        <w:t xml:space="preserve"> </w:t>
      </w:r>
      <w:r w:rsidRPr="00B05565">
        <w:t>které</w:t>
      </w:r>
      <w:r>
        <w:t xml:space="preserve"> </w:t>
      </w:r>
      <w:r w:rsidRPr="00B05565">
        <w:t>odpovídají</w:t>
      </w:r>
      <w:r>
        <w:t xml:space="preserve"> </w:t>
      </w:r>
      <w:r w:rsidRPr="00B05565">
        <w:t>druhům</w:t>
      </w:r>
      <w:r>
        <w:t xml:space="preserve"> </w:t>
      </w:r>
      <w:r w:rsidRPr="00B05565">
        <w:t>nákladů</w:t>
      </w:r>
      <w:r>
        <w:t xml:space="preserve"> </w:t>
      </w:r>
      <w:r w:rsidRPr="00B05565">
        <w:t>vyplývajícím</w:t>
      </w:r>
      <w:r>
        <w:t xml:space="preserve"> </w:t>
      </w:r>
      <w:r w:rsidRPr="00B05565">
        <w:t>pro</w:t>
      </w:r>
      <w:r>
        <w:t xml:space="preserve"> </w:t>
      </w:r>
      <w:r w:rsidRPr="00B05565">
        <w:t>daný</w:t>
      </w:r>
      <w:r>
        <w:t xml:space="preserve"> </w:t>
      </w:r>
      <w:r w:rsidRPr="00B05565">
        <w:t>případ</w:t>
      </w:r>
      <w:r>
        <w:t xml:space="preserve"> </w:t>
      </w:r>
      <w:r w:rsidRPr="00B05565">
        <w:t>z</w:t>
      </w:r>
      <w:r>
        <w:t xml:space="preserve"> </w:t>
      </w:r>
      <w:r w:rsidRPr="00B05565">
        <w:t>odstavce</w:t>
      </w:r>
      <w:r>
        <w:t xml:space="preserve"> </w:t>
      </w:r>
      <w:r w:rsidRPr="00B05565">
        <w:t>1</w:t>
      </w:r>
      <w:r w:rsidRPr="006F6C50">
        <w:rPr>
          <w:strike/>
        </w:rPr>
        <w:t xml:space="preserve">; </w:t>
      </w:r>
      <w:r w:rsidRPr="00502CF7">
        <w:rPr>
          <w:strike/>
        </w:rPr>
        <w:t>do rozsahu nákladů podle odstavce 1 písm. a) se pro tyto účely nezapočítávají náklady na pořízení a zhodnocení dlouhodobého majetku s výjimkou nákladů na učební pomůcky</w:t>
      </w:r>
      <w:r w:rsidRPr="00B05565">
        <w:t>.</w:t>
      </w:r>
    </w:p>
    <w:p w14:paraId="276AAAE3" w14:textId="7820E700" w:rsidR="00B9271C" w:rsidRDefault="00B9271C" w:rsidP="00A84DD3">
      <w:pPr>
        <w:pStyle w:val="Textparagrafu"/>
        <w:tabs>
          <w:tab w:val="left" w:pos="392"/>
          <w:tab w:val="left" w:pos="840"/>
        </w:tabs>
        <w:spacing w:before="120" w:after="120"/>
      </w:pPr>
      <w:r w:rsidRPr="00B05565">
        <w:t>(4)</w:t>
      </w:r>
      <w:r>
        <w:t xml:space="preserve"> </w:t>
      </w:r>
      <w:r w:rsidRPr="00B05565">
        <w:t>Ze</w:t>
      </w:r>
      <w:r>
        <w:t xml:space="preserve"> </w:t>
      </w:r>
      <w:r w:rsidRPr="00B05565">
        <w:t>státního</w:t>
      </w:r>
      <w:r>
        <w:t xml:space="preserve"> </w:t>
      </w:r>
      <w:r w:rsidRPr="00B05565">
        <w:t>rozpočtu</w:t>
      </w:r>
      <w:r>
        <w:t xml:space="preserve"> </w:t>
      </w:r>
      <w:r w:rsidRPr="00B05565">
        <w:t>se</w:t>
      </w:r>
      <w:r>
        <w:t xml:space="preserve"> </w:t>
      </w:r>
      <w:r w:rsidRPr="00B05565">
        <w:t>poskytují</w:t>
      </w:r>
      <w:r>
        <w:t xml:space="preserve"> </w:t>
      </w:r>
      <w:r w:rsidRPr="00502CF7">
        <w:rPr>
          <w:strike/>
        </w:rPr>
        <w:t>finanční</w:t>
      </w:r>
      <w:r>
        <w:t xml:space="preserve"> </w:t>
      </w:r>
      <w:r w:rsidR="00502CF7">
        <w:rPr>
          <w:b/>
        </w:rPr>
        <w:t xml:space="preserve">peněžní </w:t>
      </w:r>
      <w:r w:rsidRPr="00B05565">
        <w:t>prostředky</w:t>
      </w:r>
      <w:r>
        <w:t xml:space="preserve"> </w:t>
      </w:r>
      <w:r w:rsidRPr="00B05565">
        <w:t>vyčleněné</w:t>
      </w:r>
      <w:r>
        <w:t xml:space="preserve"> </w:t>
      </w:r>
      <w:r w:rsidRPr="00B05565">
        <w:t>na</w:t>
      </w:r>
      <w:r>
        <w:t xml:space="preserve"> </w:t>
      </w:r>
      <w:r w:rsidRPr="00B05565">
        <w:t>činnost</w:t>
      </w:r>
      <w:r>
        <w:t xml:space="preserve"> </w:t>
      </w:r>
      <w:r w:rsidRPr="00B05565">
        <w:t>škol</w:t>
      </w:r>
      <w:r>
        <w:t xml:space="preserve"> </w:t>
      </w:r>
      <w:r w:rsidRPr="00B05565">
        <w:t>a</w:t>
      </w:r>
      <w:r>
        <w:t xml:space="preserve"> </w:t>
      </w:r>
      <w:r w:rsidRPr="00B05565">
        <w:t>školských</w:t>
      </w:r>
      <w:r>
        <w:t xml:space="preserve"> </w:t>
      </w:r>
      <w:r w:rsidRPr="00B05565">
        <w:t>zařízení,</w:t>
      </w:r>
      <w:r>
        <w:t xml:space="preserve"> </w:t>
      </w:r>
      <w:r w:rsidRPr="00B05565">
        <w:t>které</w:t>
      </w:r>
      <w:r>
        <w:t xml:space="preserve"> </w:t>
      </w:r>
      <w:r w:rsidRPr="00B05565">
        <w:t>nezřizuje</w:t>
      </w:r>
      <w:r>
        <w:t xml:space="preserve"> </w:t>
      </w:r>
      <w:r w:rsidRPr="00B05565">
        <w:t>stát,</w:t>
      </w:r>
      <w:r>
        <w:t xml:space="preserve"> </w:t>
      </w:r>
      <w:r w:rsidRPr="00B05565">
        <w:t>kraj,</w:t>
      </w:r>
      <w:r>
        <w:t xml:space="preserve"> </w:t>
      </w:r>
      <w:r w:rsidRPr="00B05565">
        <w:t>obec,</w:t>
      </w:r>
      <w:r>
        <w:t xml:space="preserve"> </w:t>
      </w:r>
      <w:r w:rsidRPr="00B05565">
        <w:t>svazek</w:t>
      </w:r>
      <w:r>
        <w:t xml:space="preserve"> </w:t>
      </w:r>
      <w:r w:rsidRPr="00B05565">
        <w:t>obcí</w:t>
      </w:r>
      <w:r>
        <w:t xml:space="preserve"> </w:t>
      </w:r>
      <w:r w:rsidRPr="00B05565">
        <w:t>nebo</w:t>
      </w:r>
      <w:r>
        <w:t xml:space="preserve"> </w:t>
      </w:r>
      <w:r w:rsidRPr="00B05565">
        <w:t>registrovaná</w:t>
      </w:r>
      <w:r>
        <w:t xml:space="preserve"> </w:t>
      </w:r>
      <w:r w:rsidRPr="00B05565">
        <w:t>církev</w:t>
      </w:r>
      <w:r>
        <w:t xml:space="preserve"> </w:t>
      </w:r>
      <w:r w:rsidRPr="00B05565">
        <w:t>nebo</w:t>
      </w:r>
      <w:r>
        <w:t xml:space="preserve"> </w:t>
      </w:r>
      <w:r w:rsidRPr="00B05565">
        <w:t>náboženská</w:t>
      </w:r>
      <w:r>
        <w:t xml:space="preserve"> </w:t>
      </w:r>
      <w:r w:rsidRPr="00B05565">
        <w:t>společnost,</w:t>
      </w:r>
      <w:r>
        <w:t xml:space="preserve"> </w:t>
      </w:r>
      <w:r w:rsidRPr="00B05565">
        <w:t>které</w:t>
      </w:r>
      <w:r>
        <w:t xml:space="preserve"> </w:t>
      </w:r>
      <w:r w:rsidRPr="00B05565">
        <w:t>bylo</w:t>
      </w:r>
      <w:r>
        <w:t xml:space="preserve"> </w:t>
      </w:r>
      <w:r w:rsidRPr="00B05565">
        <w:t>přiznáno</w:t>
      </w:r>
      <w:r>
        <w:t xml:space="preserve"> </w:t>
      </w:r>
      <w:r w:rsidRPr="00B05565">
        <w:t>oprávnění</w:t>
      </w:r>
      <w:r>
        <w:t xml:space="preserve"> </w:t>
      </w:r>
      <w:r w:rsidRPr="00B05565">
        <w:t>k</w:t>
      </w:r>
      <w:r>
        <w:t xml:space="preserve"> </w:t>
      </w:r>
      <w:r w:rsidRPr="00B05565">
        <w:t>výkonu</w:t>
      </w:r>
      <w:r>
        <w:t xml:space="preserve"> </w:t>
      </w:r>
      <w:r w:rsidRPr="00B05565">
        <w:t>zvláštního</w:t>
      </w:r>
      <w:r>
        <w:t xml:space="preserve"> </w:t>
      </w:r>
      <w:r w:rsidRPr="00B05565">
        <w:t>práva</w:t>
      </w:r>
      <w:r>
        <w:t xml:space="preserve"> </w:t>
      </w:r>
      <w:r w:rsidRPr="00B05565">
        <w:t>zřizovat</w:t>
      </w:r>
      <w:r>
        <w:t xml:space="preserve"> </w:t>
      </w:r>
      <w:r w:rsidRPr="00B05565">
        <w:t>církevní</w:t>
      </w:r>
      <w:r>
        <w:t xml:space="preserve"> </w:t>
      </w:r>
      <w:proofErr w:type="gramStart"/>
      <w:r w:rsidR="00DE5A00">
        <w:t>školy,</w:t>
      </w:r>
      <w:r w:rsidR="00DE5A00" w:rsidRPr="00DE5A00">
        <w:rPr>
          <w:vertAlign w:val="superscript"/>
        </w:rPr>
        <w:t>6)</w:t>
      </w:r>
      <w:r w:rsidRPr="00DE5A00">
        <w:rPr>
          <w:vertAlign w:val="superscript"/>
        </w:rPr>
        <w:t xml:space="preserve"> </w:t>
      </w:r>
      <w:r w:rsidRPr="00B05565">
        <w:t>v</w:t>
      </w:r>
      <w:r>
        <w:t xml:space="preserve"> </w:t>
      </w:r>
      <w:r w:rsidRPr="00B05565">
        <w:t>rozsahu</w:t>
      </w:r>
      <w:proofErr w:type="gramEnd"/>
      <w:r>
        <w:t xml:space="preserve"> </w:t>
      </w:r>
      <w:r w:rsidRPr="00B05565">
        <w:t>a</w:t>
      </w:r>
      <w:r>
        <w:t xml:space="preserve"> </w:t>
      </w:r>
      <w:r w:rsidRPr="00B05565">
        <w:t>za</w:t>
      </w:r>
      <w:r>
        <w:t xml:space="preserve"> </w:t>
      </w:r>
      <w:r w:rsidRPr="00B05565">
        <w:t>podmínek</w:t>
      </w:r>
      <w:r>
        <w:t xml:space="preserve"> </w:t>
      </w:r>
      <w:r w:rsidRPr="00B05565">
        <w:t>stanovených</w:t>
      </w:r>
      <w:r>
        <w:t xml:space="preserve"> </w:t>
      </w:r>
      <w:r w:rsidRPr="00B05565">
        <w:t>zvláštním</w:t>
      </w:r>
      <w:r>
        <w:t xml:space="preserve"> </w:t>
      </w:r>
      <w:r w:rsidRPr="00B05565">
        <w:t>právním</w:t>
      </w:r>
      <w:r>
        <w:t xml:space="preserve"> </w:t>
      </w:r>
      <w:r w:rsidR="007741C2">
        <w:t>předpisem.</w:t>
      </w:r>
      <w:r w:rsidR="007741C2">
        <w:rPr>
          <w:rStyle w:val="Znakapoznpodarou"/>
        </w:rPr>
        <w:footnoteReference w:customMarkFollows="1" w:id="476"/>
        <w:t>31)</w:t>
      </w:r>
    </w:p>
    <w:p w14:paraId="422A89E7" w14:textId="554B9A5D" w:rsidR="00B9271C" w:rsidRDefault="00B9271C" w:rsidP="00A84DD3">
      <w:pPr>
        <w:pStyle w:val="Textparagrafu"/>
        <w:tabs>
          <w:tab w:val="left" w:pos="392"/>
          <w:tab w:val="left" w:pos="840"/>
        </w:tabs>
        <w:spacing w:before="120" w:after="120"/>
      </w:pPr>
      <w:r w:rsidRPr="00B05565">
        <w:t>(5)</w:t>
      </w:r>
      <w:r>
        <w:t xml:space="preserve"> </w:t>
      </w:r>
      <w:r w:rsidRPr="00502CF7">
        <w:rPr>
          <w:strike/>
        </w:rPr>
        <w:t>Finanční</w:t>
      </w:r>
      <w:r>
        <w:t xml:space="preserve"> </w:t>
      </w:r>
      <w:r w:rsidR="00502CF7">
        <w:rPr>
          <w:b/>
        </w:rPr>
        <w:t xml:space="preserve">Peněžní </w:t>
      </w:r>
      <w:r w:rsidRPr="00B05565">
        <w:t>prostředky</w:t>
      </w:r>
      <w:r>
        <w:t xml:space="preserve"> </w:t>
      </w:r>
      <w:r w:rsidRPr="00B05565">
        <w:t>nad</w:t>
      </w:r>
      <w:r>
        <w:t xml:space="preserve"> </w:t>
      </w:r>
      <w:r w:rsidRPr="00B05565">
        <w:t>rozsah</w:t>
      </w:r>
      <w:r>
        <w:t xml:space="preserve"> </w:t>
      </w:r>
      <w:r w:rsidRPr="00502CF7">
        <w:rPr>
          <w:strike/>
        </w:rPr>
        <w:t>finančních prostředků státního rozpočtu poskytovaných</w:t>
      </w:r>
      <w:r>
        <w:t xml:space="preserve"> </w:t>
      </w:r>
      <w:r w:rsidR="00502CF7">
        <w:rPr>
          <w:b/>
          <w:bCs/>
          <w:szCs w:val="24"/>
          <w:shd w:val="clear" w:color="auto" w:fill="FFFFFF"/>
        </w:rPr>
        <w:t>peněžních prostředků poskytovaných ze státního rozpočtu</w:t>
      </w:r>
      <w:r w:rsidR="00502CF7" w:rsidRPr="00B05565">
        <w:t xml:space="preserve"> </w:t>
      </w:r>
      <w:r w:rsidRPr="00B05565">
        <w:t>podle</w:t>
      </w:r>
      <w:r>
        <w:t xml:space="preserve"> </w:t>
      </w:r>
      <w:r w:rsidRPr="00B05565">
        <w:t>odstavců</w:t>
      </w:r>
      <w:r>
        <w:t xml:space="preserve"> </w:t>
      </w:r>
      <w:r w:rsidRPr="00B05565">
        <w:t>1</w:t>
      </w:r>
      <w:r>
        <w:t xml:space="preserve"> </w:t>
      </w:r>
      <w:r w:rsidRPr="00B05565">
        <w:t>a</w:t>
      </w:r>
      <w:r>
        <w:t xml:space="preserve"> </w:t>
      </w:r>
      <w:r w:rsidRPr="00B05565">
        <w:t>2</w:t>
      </w:r>
      <w:r>
        <w:t xml:space="preserve"> </w:t>
      </w:r>
      <w:r w:rsidRPr="00B05565">
        <w:t>hradí</w:t>
      </w:r>
      <w:r>
        <w:t xml:space="preserve"> </w:t>
      </w:r>
      <w:r w:rsidRPr="00B05565">
        <w:t>právnické</w:t>
      </w:r>
      <w:r>
        <w:t xml:space="preserve"> </w:t>
      </w:r>
      <w:r w:rsidRPr="00B05565">
        <w:t>osoby,</w:t>
      </w:r>
      <w:r>
        <w:t xml:space="preserve"> </w:t>
      </w:r>
      <w:r w:rsidRPr="00B05565">
        <w:t>které</w:t>
      </w:r>
      <w:r>
        <w:t xml:space="preserve"> </w:t>
      </w:r>
      <w:r w:rsidRPr="00B05565">
        <w:t>vykonávají</w:t>
      </w:r>
      <w:r>
        <w:t xml:space="preserve"> </w:t>
      </w:r>
      <w:r w:rsidRPr="00B05565">
        <w:t>činnost</w:t>
      </w:r>
      <w:r>
        <w:t xml:space="preserve"> </w:t>
      </w:r>
      <w:r w:rsidRPr="00B05565">
        <w:t>škol</w:t>
      </w:r>
      <w:r>
        <w:t xml:space="preserve"> </w:t>
      </w:r>
      <w:r w:rsidRPr="00B05565">
        <w:t>a</w:t>
      </w:r>
      <w:r>
        <w:t xml:space="preserve"> </w:t>
      </w:r>
      <w:r w:rsidRPr="00B05565">
        <w:t>školských</w:t>
      </w:r>
      <w:r>
        <w:t xml:space="preserve"> </w:t>
      </w:r>
      <w:r w:rsidRPr="00B05565">
        <w:t>zařízení,</w:t>
      </w:r>
      <w:r>
        <w:t xml:space="preserve"> </w:t>
      </w:r>
      <w:r w:rsidRPr="00B05565">
        <w:t>z</w:t>
      </w:r>
      <w:r>
        <w:t xml:space="preserve"> </w:t>
      </w:r>
      <w:r w:rsidRPr="00B05565">
        <w:t>dalších</w:t>
      </w:r>
      <w:r>
        <w:t xml:space="preserve"> </w:t>
      </w:r>
      <w:r w:rsidRPr="00502CF7">
        <w:rPr>
          <w:strike/>
        </w:rPr>
        <w:t>finančních</w:t>
      </w:r>
      <w:r>
        <w:t xml:space="preserve"> </w:t>
      </w:r>
      <w:r w:rsidR="00502CF7">
        <w:rPr>
          <w:b/>
        </w:rPr>
        <w:t xml:space="preserve">peněžních </w:t>
      </w:r>
      <w:r w:rsidRPr="00B05565">
        <w:t>zdrojů,</w:t>
      </w:r>
      <w:r>
        <w:t xml:space="preserve"> </w:t>
      </w:r>
      <w:r w:rsidRPr="00B05565">
        <w:t>zejména</w:t>
      </w:r>
      <w:r>
        <w:t xml:space="preserve"> </w:t>
      </w:r>
      <w:r w:rsidRPr="00B05565">
        <w:t>z</w:t>
      </w:r>
      <w:r>
        <w:t xml:space="preserve"> </w:t>
      </w:r>
      <w:r w:rsidRPr="00B05565">
        <w:t>vlastních</w:t>
      </w:r>
      <w:r>
        <w:t xml:space="preserve"> </w:t>
      </w:r>
      <w:r w:rsidRPr="00B05565">
        <w:t>příjmů,</w:t>
      </w:r>
      <w:r>
        <w:t xml:space="preserve"> </w:t>
      </w:r>
      <w:r w:rsidRPr="00B05565">
        <w:t>z</w:t>
      </w:r>
      <w:r>
        <w:t xml:space="preserve"> </w:t>
      </w:r>
      <w:r w:rsidRPr="00B05565">
        <w:t>prostředků</w:t>
      </w:r>
      <w:r>
        <w:t xml:space="preserve"> </w:t>
      </w:r>
      <w:r w:rsidRPr="00502CF7">
        <w:rPr>
          <w:strike/>
        </w:rPr>
        <w:t>zřizovatele, popřípadě</w:t>
      </w:r>
      <w:r>
        <w:t xml:space="preserve"> </w:t>
      </w:r>
      <w:r w:rsidR="00502CF7">
        <w:rPr>
          <w:b/>
          <w:bCs/>
          <w:szCs w:val="24"/>
          <w:shd w:val="clear" w:color="auto" w:fill="FFFFFF"/>
        </w:rPr>
        <w:t xml:space="preserve">od zřizovatele, popřípadě od </w:t>
      </w:r>
      <w:r w:rsidRPr="00B05565">
        <w:t>jiných</w:t>
      </w:r>
      <w:r>
        <w:t xml:space="preserve"> </w:t>
      </w:r>
      <w:r w:rsidRPr="00B05565">
        <w:t>osob.</w:t>
      </w:r>
    </w:p>
    <w:p w14:paraId="74F928AC" w14:textId="28F100EB" w:rsidR="00B9271C" w:rsidRDefault="00B9271C" w:rsidP="00A84DD3">
      <w:pPr>
        <w:pStyle w:val="Textparagrafu"/>
        <w:tabs>
          <w:tab w:val="left" w:pos="392"/>
          <w:tab w:val="left" w:pos="840"/>
        </w:tabs>
        <w:spacing w:before="120" w:after="120"/>
      </w:pPr>
      <w:r w:rsidRPr="00B05565">
        <w:t>(6)</w:t>
      </w:r>
      <w:r>
        <w:t xml:space="preserve"> </w:t>
      </w:r>
      <w:r w:rsidRPr="00502CF7">
        <w:rPr>
          <w:strike/>
        </w:rPr>
        <w:t>Finanční</w:t>
      </w:r>
      <w:r>
        <w:t xml:space="preserve"> </w:t>
      </w:r>
      <w:r w:rsidR="00502CF7">
        <w:rPr>
          <w:b/>
        </w:rPr>
        <w:t xml:space="preserve">Peněžní </w:t>
      </w:r>
      <w:r w:rsidRPr="00B05565">
        <w:t>prostředky</w:t>
      </w:r>
      <w:r>
        <w:t xml:space="preserve"> </w:t>
      </w:r>
      <w:r w:rsidRPr="00B05565">
        <w:t>ze</w:t>
      </w:r>
      <w:r>
        <w:t xml:space="preserve"> </w:t>
      </w:r>
      <w:r w:rsidRPr="00B05565">
        <w:t>státního</w:t>
      </w:r>
      <w:r>
        <w:t xml:space="preserve"> </w:t>
      </w:r>
      <w:r w:rsidRPr="00B05565">
        <w:t>rozpočtu</w:t>
      </w:r>
      <w:r>
        <w:t xml:space="preserve"> </w:t>
      </w:r>
      <w:r w:rsidRPr="00B05565">
        <w:t>podle</w:t>
      </w:r>
      <w:r>
        <w:t xml:space="preserve"> </w:t>
      </w:r>
      <w:r w:rsidRPr="00B05565">
        <w:t>odstavce</w:t>
      </w:r>
      <w:r>
        <w:t xml:space="preserve"> </w:t>
      </w:r>
      <w:r w:rsidRPr="00B05565">
        <w:t>1</w:t>
      </w:r>
      <w:r>
        <w:t xml:space="preserve"> </w:t>
      </w:r>
      <w:r w:rsidRPr="00B05565">
        <w:t>se</w:t>
      </w:r>
      <w:r>
        <w:t xml:space="preserve"> </w:t>
      </w:r>
      <w:r w:rsidRPr="00B05565">
        <w:t>poskytují</w:t>
      </w:r>
      <w:r>
        <w:t xml:space="preserve"> </w:t>
      </w:r>
      <w:r w:rsidRPr="00B05565">
        <w:t>nejvýše</w:t>
      </w:r>
      <w:r>
        <w:t xml:space="preserve"> </w:t>
      </w:r>
      <w:r w:rsidRPr="00B05565">
        <w:t>do</w:t>
      </w:r>
      <w:r>
        <w:t xml:space="preserve"> </w:t>
      </w:r>
      <w:r w:rsidRPr="00B05565">
        <w:t>výše</w:t>
      </w:r>
      <w:r>
        <w:t xml:space="preserve"> </w:t>
      </w:r>
      <w:r w:rsidRPr="00B05565">
        <w:t>povoleného</w:t>
      </w:r>
      <w:r>
        <w:t xml:space="preserve"> </w:t>
      </w:r>
      <w:r w:rsidRPr="00B05565">
        <w:t>počtu</w:t>
      </w:r>
      <w:r>
        <w:t xml:space="preserve"> </w:t>
      </w:r>
      <w:r w:rsidRPr="00B05565">
        <w:t>dětí,</w:t>
      </w:r>
      <w:r>
        <w:t xml:space="preserve"> </w:t>
      </w:r>
      <w:r w:rsidRPr="00B05565">
        <w:t>žáků</w:t>
      </w:r>
      <w:r>
        <w:t xml:space="preserve"> </w:t>
      </w:r>
      <w:r w:rsidRPr="00B05565">
        <w:t>nebo</w:t>
      </w:r>
      <w:r>
        <w:t xml:space="preserve"> </w:t>
      </w:r>
      <w:r w:rsidRPr="00B05565">
        <w:t>studentů</w:t>
      </w:r>
      <w:r>
        <w:t xml:space="preserve"> </w:t>
      </w:r>
      <w:r w:rsidRPr="00B05565">
        <w:t>ve</w:t>
      </w:r>
      <w:r>
        <w:t xml:space="preserve"> </w:t>
      </w:r>
      <w:r w:rsidRPr="00B05565">
        <w:t>škole</w:t>
      </w:r>
      <w:r>
        <w:t xml:space="preserve"> </w:t>
      </w:r>
      <w:r w:rsidRPr="00B05565">
        <w:t>nebo</w:t>
      </w:r>
      <w:r>
        <w:t xml:space="preserve"> </w:t>
      </w:r>
      <w:r w:rsidRPr="00B05565">
        <w:t>školském</w:t>
      </w:r>
      <w:r>
        <w:t xml:space="preserve"> </w:t>
      </w:r>
      <w:r w:rsidRPr="00B05565">
        <w:t>zařízení,</w:t>
      </w:r>
      <w:r>
        <w:t xml:space="preserve"> </w:t>
      </w:r>
      <w:r w:rsidRPr="00B05565">
        <w:t>v</w:t>
      </w:r>
      <w:r>
        <w:t xml:space="preserve"> </w:t>
      </w:r>
      <w:r w:rsidRPr="00B05565">
        <w:t>jednotlivých</w:t>
      </w:r>
      <w:r>
        <w:t xml:space="preserve"> </w:t>
      </w:r>
      <w:r w:rsidRPr="00B05565">
        <w:t>oborech</w:t>
      </w:r>
      <w:r>
        <w:t xml:space="preserve"> </w:t>
      </w:r>
      <w:r w:rsidRPr="00B05565">
        <w:t>vzdělání</w:t>
      </w:r>
      <w:r>
        <w:t xml:space="preserve"> </w:t>
      </w:r>
      <w:r w:rsidRPr="00B05565">
        <w:t>a</w:t>
      </w:r>
      <w:r>
        <w:t xml:space="preserve"> </w:t>
      </w:r>
      <w:r w:rsidRPr="00B05565">
        <w:t>formách</w:t>
      </w:r>
      <w:r>
        <w:t xml:space="preserve"> </w:t>
      </w:r>
      <w:r w:rsidRPr="00B05565">
        <w:t>vzdělávání,</w:t>
      </w:r>
      <w:r>
        <w:t xml:space="preserve"> </w:t>
      </w:r>
      <w:r w:rsidRPr="00B05565">
        <w:t>lůžek,</w:t>
      </w:r>
      <w:r>
        <w:t xml:space="preserve"> </w:t>
      </w:r>
      <w:r w:rsidRPr="00B05565">
        <w:t>stravovaných</w:t>
      </w:r>
      <w:r>
        <w:t xml:space="preserve"> </w:t>
      </w:r>
      <w:r w:rsidRPr="00B05565">
        <w:t>nebo</w:t>
      </w:r>
      <w:r>
        <w:t xml:space="preserve"> </w:t>
      </w:r>
      <w:r w:rsidRPr="00B05565">
        <w:t>jiných</w:t>
      </w:r>
      <w:r>
        <w:t xml:space="preserve"> </w:t>
      </w:r>
      <w:r w:rsidRPr="00B05565">
        <w:t>jednotek</w:t>
      </w:r>
      <w:r>
        <w:t xml:space="preserve"> </w:t>
      </w:r>
      <w:r w:rsidRPr="00B05565">
        <w:t>výkonu</w:t>
      </w:r>
      <w:r>
        <w:t xml:space="preserve"> </w:t>
      </w:r>
      <w:r w:rsidRPr="00B05565">
        <w:t>stanovených</w:t>
      </w:r>
      <w:r>
        <w:t xml:space="preserve"> </w:t>
      </w:r>
      <w:r w:rsidRPr="00B05565">
        <w:t>jiným</w:t>
      </w:r>
      <w:r>
        <w:t xml:space="preserve"> </w:t>
      </w:r>
      <w:r w:rsidRPr="00B05565">
        <w:t>právním</w:t>
      </w:r>
      <w:r>
        <w:t xml:space="preserve"> </w:t>
      </w:r>
      <w:r w:rsidRPr="00B05565">
        <w:t>předpisem</w:t>
      </w:r>
      <w:r w:rsidRPr="00A84DD3">
        <w:rPr>
          <w:vertAlign w:val="superscript"/>
        </w:rPr>
        <w:t>64)</w:t>
      </w:r>
      <w:r w:rsidRPr="00B05565">
        <w:t>,</w:t>
      </w:r>
      <w:r>
        <w:t xml:space="preserve"> </w:t>
      </w:r>
      <w:r w:rsidRPr="00B05565">
        <w:t>uvedeného</w:t>
      </w:r>
      <w:r>
        <w:t xml:space="preserve"> </w:t>
      </w:r>
      <w:r w:rsidRPr="00B05565">
        <w:t>ve</w:t>
      </w:r>
      <w:r>
        <w:t xml:space="preserve"> </w:t>
      </w:r>
      <w:r w:rsidRPr="00B05565">
        <w:t>školském</w:t>
      </w:r>
      <w:r>
        <w:t xml:space="preserve"> </w:t>
      </w:r>
      <w:r w:rsidRPr="00B05565">
        <w:t>rejstříku.</w:t>
      </w:r>
    </w:p>
    <w:p w14:paraId="159A52D0" w14:textId="41F02CC5" w:rsidR="00B9271C" w:rsidRDefault="00B9271C" w:rsidP="007741C2">
      <w:pPr>
        <w:pStyle w:val="Textparagrafu"/>
        <w:tabs>
          <w:tab w:val="left" w:pos="392"/>
          <w:tab w:val="left" w:pos="840"/>
        </w:tabs>
        <w:spacing w:after="120"/>
        <w:ind w:firstLine="0"/>
        <w:jc w:val="center"/>
      </w:pPr>
      <w:r w:rsidRPr="00B05565">
        <w:t>§</w:t>
      </w:r>
      <w:r>
        <w:t xml:space="preserve"> </w:t>
      </w:r>
      <w:r w:rsidRPr="00B05565">
        <w:t>161</w:t>
      </w:r>
    </w:p>
    <w:p w14:paraId="5C67A0A5" w14:textId="77777777" w:rsidR="00B9271C" w:rsidRPr="007C08CF" w:rsidRDefault="00B9271C" w:rsidP="007C08CF">
      <w:pPr>
        <w:pStyle w:val="Textparagrafu"/>
        <w:tabs>
          <w:tab w:val="left" w:pos="392"/>
          <w:tab w:val="left" w:pos="840"/>
        </w:tabs>
        <w:spacing w:after="120"/>
        <w:ind w:firstLine="0"/>
        <w:rPr>
          <w:b/>
        </w:rPr>
      </w:pPr>
      <w:r w:rsidRPr="007C08CF">
        <w:rPr>
          <w:b/>
        </w:rPr>
        <w:t>Financování mateřských škol, základních škol, středních škol, konzervatoří, vyšších odborných škol, základních uměleckých škol a školních družin zřizovaných územními samosprávnými celky nebo svazky obcí</w:t>
      </w:r>
    </w:p>
    <w:p w14:paraId="0E8AC4CB" w14:textId="77777777" w:rsidR="00B9271C" w:rsidRDefault="00B9271C" w:rsidP="00BD5369">
      <w:pPr>
        <w:pStyle w:val="Textparagrafu"/>
        <w:tabs>
          <w:tab w:val="left" w:pos="392"/>
          <w:tab w:val="left" w:pos="840"/>
        </w:tabs>
        <w:spacing w:after="120"/>
      </w:pPr>
      <w:r w:rsidRPr="00B05565">
        <w:t>(1)</w:t>
      </w:r>
      <w:r>
        <w:t xml:space="preserve"> </w:t>
      </w:r>
      <w:r w:rsidRPr="00B05565">
        <w:t>Ministerstvo</w:t>
      </w:r>
      <w:r>
        <w:t xml:space="preserve"> </w:t>
      </w:r>
      <w:r w:rsidRPr="00B05565">
        <w:t>vyhlásí</w:t>
      </w:r>
      <w:r>
        <w:t xml:space="preserve"> </w:t>
      </w:r>
      <w:r w:rsidRPr="00B05565">
        <w:t>na</w:t>
      </w:r>
      <w:r>
        <w:t xml:space="preserve"> </w:t>
      </w:r>
      <w:r w:rsidRPr="00B05565">
        <w:t>kalendářní</w:t>
      </w:r>
      <w:r>
        <w:t xml:space="preserve"> </w:t>
      </w:r>
      <w:r w:rsidRPr="00B05565">
        <w:t>rok</w:t>
      </w:r>
      <w:r>
        <w:t xml:space="preserve"> </w:t>
      </w:r>
      <w:r w:rsidRPr="00B05565">
        <w:t>a</w:t>
      </w:r>
      <w:r>
        <w:t xml:space="preserve"> </w:t>
      </w:r>
      <w:r w:rsidRPr="00B05565">
        <w:t>zveřejní</w:t>
      </w:r>
      <w:r>
        <w:t xml:space="preserve"> </w:t>
      </w:r>
      <w:r w:rsidRPr="00B05565">
        <w:t>ve</w:t>
      </w:r>
      <w:r>
        <w:t xml:space="preserve"> </w:t>
      </w:r>
      <w:r w:rsidRPr="00B05565">
        <w:t>Věstníku</w:t>
      </w:r>
    </w:p>
    <w:p w14:paraId="7CAC53F8" w14:textId="53F8D4A1" w:rsidR="00B9271C" w:rsidRPr="00B05565" w:rsidRDefault="00B9271C" w:rsidP="00AB5ED2">
      <w:pPr>
        <w:pStyle w:val="Textparagrafu"/>
        <w:tabs>
          <w:tab w:val="left" w:pos="392"/>
          <w:tab w:val="left" w:pos="840"/>
        </w:tabs>
        <w:spacing w:before="0"/>
        <w:ind w:left="426" w:hanging="426"/>
      </w:pPr>
      <w:r w:rsidRPr="00B05565">
        <w:t>a)</w:t>
      </w:r>
      <w:r w:rsidR="00553C64">
        <w:tab/>
      </w:r>
      <w:r w:rsidRPr="00B05565">
        <w:t>pro</w:t>
      </w:r>
      <w:r>
        <w:t xml:space="preserve"> </w:t>
      </w:r>
      <w:r w:rsidRPr="00B05565">
        <w:t>mateřské</w:t>
      </w:r>
      <w:r>
        <w:t xml:space="preserve"> </w:t>
      </w:r>
      <w:r w:rsidRPr="00B05565">
        <w:t>školy,</w:t>
      </w:r>
      <w:r>
        <w:t xml:space="preserve"> </w:t>
      </w:r>
      <w:r w:rsidRPr="00B05565">
        <w:t>základní</w:t>
      </w:r>
      <w:r>
        <w:t xml:space="preserve"> </w:t>
      </w:r>
      <w:r w:rsidRPr="00B05565">
        <w:t>školy,</w:t>
      </w:r>
      <w:r>
        <w:t xml:space="preserve"> </w:t>
      </w:r>
      <w:r w:rsidRPr="00B05565">
        <w:t>střední</w:t>
      </w:r>
      <w:r>
        <w:t xml:space="preserve"> </w:t>
      </w:r>
      <w:r w:rsidRPr="00B05565">
        <w:t>školy</w:t>
      </w:r>
      <w:r>
        <w:t xml:space="preserve"> </w:t>
      </w:r>
      <w:r w:rsidRPr="00B05565">
        <w:t>a</w:t>
      </w:r>
      <w:r>
        <w:t xml:space="preserve"> </w:t>
      </w:r>
      <w:r w:rsidRPr="00B05565">
        <w:t>konzervatoře</w:t>
      </w:r>
      <w:r>
        <w:t xml:space="preserve"> </w:t>
      </w:r>
      <w:r w:rsidRPr="00B05565">
        <w:t>zřizované</w:t>
      </w:r>
      <w:r>
        <w:t xml:space="preserve"> </w:t>
      </w:r>
      <w:r w:rsidRPr="00B05565">
        <w:t>krajem,</w:t>
      </w:r>
      <w:r>
        <w:t xml:space="preserve"> </w:t>
      </w:r>
      <w:r w:rsidRPr="00B05565">
        <w:t>obcí</w:t>
      </w:r>
      <w:r>
        <w:t xml:space="preserve"> </w:t>
      </w:r>
      <w:r w:rsidRPr="00B05565">
        <w:t>nebo</w:t>
      </w:r>
      <w:r>
        <w:t xml:space="preserve"> </w:t>
      </w:r>
      <w:r w:rsidRPr="00B05565">
        <w:t>svazkem</w:t>
      </w:r>
      <w:r>
        <w:t xml:space="preserve"> </w:t>
      </w:r>
      <w:r w:rsidRPr="00B05565">
        <w:t>obcí</w:t>
      </w:r>
    </w:p>
    <w:p w14:paraId="7A1E4215" w14:textId="30C70FFB" w:rsidR="00B9271C" w:rsidRPr="00B05565" w:rsidRDefault="00553C64" w:rsidP="00A84DD3">
      <w:pPr>
        <w:pStyle w:val="Textparagrafu"/>
        <w:tabs>
          <w:tab w:val="left" w:pos="426"/>
          <w:tab w:val="left" w:pos="840"/>
        </w:tabs>
        <w:spacing w:before="0"/>
        <w:ind w:left="850" w:hanging="425"/>
      </w:pPr>
      <w:r>
        <w:tab/>
      </w:r>
      <w:r w:rsidR="00B9271C" w:rsidRPr="00B05565">
        <w:t>1.</w:t>
      </w:r>
      <w:r>
        <w:tab/>
      </w:r>
      <w:r w:rsidR="00B9271C" w:rsidRPr="00B05565">
        <w:t>normativy</w:t>
      </w:r>
      <w:r w:rsidR="00B9271C">
        <w:t xml:space="preserve"> </w:t>
      </w:r>
      <w:r w:rsidR="00B9271C" w:rsidRPr="00B05565">
        <w:t>jako</w:t>
      </w:r>
      <w:r w:rsidR="00B9271C">
        <w:t xml:space="preserve"> </w:t>
      </w:r>
      <w:r w:rsidR="00B9271C" w:rsidRPr="00B05565">
        <w:t>průměrnou</w:t>
      </w:r>
      <w:r w:rsidR="00B9271C">
        <w:t xml:space="preserve"> </w:t>
      </w:r>
      <w:r w:rsidR="00B9271C" w:rsidRPr="00B05565">
        <w:t>roční</w:t>
      </w:r>
      <w:r w:rsidR="00B9271C">
        <w:t xml:space="preserve"> </w:t>
      </w:r>
      <w:r w:rsidR="00B9271C" w:rsidRPr="00B05565">
        <w:t>výši</w:t>
      </w:r>
      <w:r w:rsidR="00B9271C">
        <w:t xml:space="preserve"> </w:t>
      </w:r>
      <w:r w:rsidR="00B9271C" w:rsidRPr="00B05565">
        <w:t>zvláštních</w:t>
      </w:r>
      <w:r w:rsidR="00B9271C">
        <w:t xml:space="preserve"> </w:t>
      </w:r>
      <w:r w:rsidR="00B9271C" w:rsidRPr="00B05565">
        <w:t>příplatků</w:t>
      </w:r>
      <w:r w:rsidR="00B9271C">
        <w:t xml:space="preserve"> </w:t>
      </w:r>
      <w:r w:rsidR="00B9271C" w:rsidRPr="00B05565">
        <w:t>podle</w:t>
      </w:r>
      <w:r w:rsidR="00B9271C">
        <w:t xml:space="preserve"> </w:t>
      </w:r>
      <w:r w:rsidR="00B9271C" w:rsidRPr="00B05565">
        <w:t>nařízení</w:t>
      </w:r>
      <w:r w:rsidR="00B9271C">
        <w:t xml:space="preserve"> </w:t>
      </w:r>
      <w:r w:rsidR="00B9271C" w:rsidRPr="00B05565">
        <w:t>vlády</w:t>
      </w:r>
      <w:r w:rsidR="00B9271C">
        <w:t xml:space="preserve"> </w:t>
      </w:r>
      <w:r w:rsidR="00B9271C" w:rsidRPr="00B05565">
        <w:t>o</w:t>
      </w:r>
      <w:r w:rsidR="00B9271C">
        <w:t xml:space="preserve"> </w:t>
      </w:r>
      <w:r w:rsidR="00B9271C" w:rsidRPr="00B05565">
        <w:t>platových</w:t>
      </w:r>
      <w:r w:rsidR="00B9271C">
        <w:t xml:space="preserve"> </w:t>
      </w:r>
      <w:r w:rsidR="00B9271C" w:rsidRPr="00B05565">
        <w:t>poměrech</w:t>
      </w:r>
      <w:r w:rsidR="00B9271C">
        <w:t xml:space="preserve"> </w:t>
      </w:r>
      <w:r w:rsidR="00B9271C" w:rsidRPr="00B05565">
        <w:t>zaměstnanců</w:t>
      </w:r>
      <w:r w:rsidR="00B9271C">
        <w:t xml:space="preserve"> </w:t>
      </w:r>
      <w:r w:rsidR="00B9271C" w:rsidRPr="00B05565">
        <w:t>ve</w:t>
      </w:r>
      <w:r w:rsidR="00B9271C">
        <w:t xml:space="preserve"> </w:t>
      </w:r>
      <w:r w:rsidR="00B9271C" w:rsidRPr="00B05565">
        <w:t>veřejných</w:t>
      </w:r>
      <w:r w:rsidR="00B9271C">
        <w:t xml:space="preserve"> </w:t>
      </w:r>
      <w:r w:rsidR="00B9271C" w:rsidRPr="00B05565">
        <w:t>službách</w:t>
      </w:r>
      <w:r w:rsidR="00B9271C">
        <w:t xml:space="preserve"> </w:t>
      </w:r>
      <w:r w:rsidR="00B9271C" w:rsidRPr="00B05565">
        <w:t>a</w:t>
      </w:r>
      <w:r w:rsidR="00B9271C">
        <w:t xml:space="preserve"> </w:t>
      </w:r>
      <w:r w:rsidR="00B9271C" w:rsidRPr="00B05565">
        <w:t>správě,</w:t>
      </w:r>
      <w:r w:rsidR="00B9271C">
        <w:t xml:space="preserve"> </w:t>
      </w:r>
      <w:r w:rsidR="00B9271C" w:rsidRPr="00B05565">
        <w:t>příplatků</w:t>
      </w:r>
      <w:r w:rsidR="00B9271C">
        <w:t xml:space="preserve"> </w:t>
      </w:r>
      <w:r w:rsidR="00B9271C" w:rsidRPr="00B05565">
        <w:t>za</w:t>
      </w:r>
      <w:r w:rsidR="00B9271C">
        <w:t xml:space="preserve"> </w:t>
      </w:r>
      <w:r w:rsidR="00B9271C" w:rsidRPr="00B05565">
        <w:t>vedení</w:t>
      </w:r>
      <w:r w:rsidR="00B9271C">
        <w:t xml:space="preserve"> </w:t>
      </w:r>
      <w:r w:rsidR="00B9271C" w:rsidRPr="00B05565">
        <w:t>podle</w:t>
      </w:r>
      <w:r w:rsidR="00B9271C">
        <w:t xml:space="preserve"> </w:t>
      </w:r>
      <w:r w:rsidR="00B9271C" w:rsidRPr="00B05565">
        <w:t>zákoníku</w:t>
      </w:r>
      <w:r w:rsidR="00B9271C">
        <w:t xml:space="preserve"> </w:t>
      </w:r>
      <w:r w:rsidR="00B9271C" w:rsidRPr="00B05565">
        <w:t>práce</w:t>
      </w:r>
      <w:r w:rsidR="00B9271C">
        <w:t xml:space="preserve"> </w:t>
      </w:r>
      <w:r w:rsidR="00B9271C" w:rsidRPr="00B05565">
        <w:t>a</w:t>
      </w:r>
      <w:r w:rsidR="00B9271C">
        <w:t xml:space="preserve"> </w:t>
      </w:r>
      <w:r w:rsidR="00B9271C" w:rsidRPr="00B05565">
        <w:t>specializačních</w:t>
      </w:r>
      <w:r w:rsidR="00B9271C">
        <w:t xml:space="preserve"> </w:t>
      </w:r>
      <w:r w:rsidR="00B9271C" w:rsidRPr="00B05565">
        <w:t>příplatků</w:t>
      </w:r>
      <w:r w:rsidR="00B9271C">
        <w:t xml:space="preserve"> </w:t>
      </w:r>
      <w:r w:rsidR="00B9271C" w:rsidRPr="00B05565">
        <w:t>pedagogických</w:t>
      </w:r>
      <w:r w:rsidR="00B9271C">
        <w:t xml:space="preserve"> </w:t>
      </w:r>
      <w:r w:rsidR="00B9271C" w:rsidRPr="00B05565">
        <w:t>pracovníků</w:t>
      </w:r>
      <w:r w:rsidR="00B9271C">
        <w:t xml:space="preserve"> </w:t>
      </w:r>
      <w:r w:rsidR="00B9271C" w:rsidRPr="00B05565">
        <w:t>podle</w:t>
      </w:r>
      <w:r w:rsidR="00B9271C">
        <w:t xml:space="preserve"> </w:t>
      </w:r>
      <w:r w:rsidR="00B9271C" w:rsidRPr="00B05565">
        <w:t>§</w:t>
      </w:r>
      <w:r w:rsidR="00B9271C">
        <w:t xml:space="preserve"> </w:t>
      </w:r>
      <w:r w:rsidR="00B9271C" w:rsidRPr="00B05565">
        <w:lastRenderedPageBreak/>
        <w:t>133</w:t>
      </w:r>
      <w:r w:rsidR="00B9271C">
        <w:t xml:space="preserve"> </w:t>
      </w:r>
      <w:r w:rsidR="00B9271C" w:rsidRPr="00B05565">
        <w:t>zákoníku</w:t>
      </w:r>
      <w:r w:rsidR="00B9271C">
        <w:t xml:space="preserve"> </w:t>
      </w:r>
      <w:r w:rsidR="00B9271C" w:rsidRPr="00B05565">
        <w:t>práce,</w:t>
      </w:r>
      <w:r w:rsidR="00B9271C">
        <w:t xml:space="preserve"> </w:t>
      </w:r>
      <w:r w:rsidR="00B9271C" w:rsidRPr="00B05565">
        <w:t>jakož</w:t>
      </w:r>
      <w:r w:rsidR="00B9271C">
        <w:t xml:space="preserve"> </w:t>
      </w:r>
      <w:r w:rsidR="00B9271C" w:rsidRPr="00B05565">
        <w:t>i</w:t>
      </w:r>
      <w:r w:rsidR="00B9271C">
        <w:t xml:space="preserve"> </w:t>
      </w:r>
      <w:r w:rsidR="00B9271C" w:rsidRPr="00B05565">
        <w:t>pojistného</w:t>
      </w:r>
      <w:r w:rsidR="00B9271C">
        <w:t xml:space="preserve"> </w:t>
      </w:r>
      <w:r w:rsidR="00B9271C" w:rsidRPr="00B05565">
        <w:t>na</w:t>
      </w:r>
      <w:r w:rsidR="00B9271C">
        <w:t xml:space="preserve"> </w:t>
      </w:r>
      <w:r w:rsidR="00B9271C" w:rsidRPr="00B05565">
        <w:t>sociální</w:t>
      </w:r>
      <w:r w:rsidR="00B9271C">
        <w:t xml:space="preserve"> </w:t>
      </w:r>
      <w:r w:rsidR="00B9271C" w:rsidRPr="00B05565">
        <w:t>zabezpečení</w:t>
      </w:r>
      <w:r w:rsidR="00B9271C">
        <w:t xml:space="preserve"> </w:t>
      </w:r>
      <w:r w:rsidR="00B9271C" w:rsidRPr="00B05565">
        <w:t>a</w:t>
      </w:r>
      <w:r w:rsidR="00B9271C">
        <w:t xml:space="preserve"> </w:t>
      </w:r>
      <w:r w:rsidR="00B9271C" w:rsidRPr="00B05565">
        <w:t>příspěvku</w:t>
      </w:r>
      <w:r w:rsidR="00B9271C">
        <w:t xml:space="preserve"> </w:t>
      </w:r>
      <w:r w:rsidR="00B9271C" w:rsidRPr="00B05565">
        <w:t>na</w:t>
      </w:r>
      <w:r w:rsidR="00B9271C">
        <w:t xml:space="preserve"> </w:t>
      </w:r>
      <w:r w:rsidR="00B9271C" w:rsidRPr="00B05565">
        <w:t>státní</w:t>
      </w:r>
      <w:r w:rsidR="00B9271C">
        <w:t xml:space="preserve"> </w:t>
      </w:r>
      <w:r w:rsidR="00B9271C" w:rsidRPr="00B05565">
        <w:t>politiku</w:t>
      </w:r>
      <w:r w:rsidR="00B9271C">
        <w:t xml:space="preserve"> </w:t>
      </w:r>
      <w:r w:rsidR="00B9271C" w:rsidRPr="00B05565">
        <w:t>zaměstnanosti,</w:t>
      </w:r>
      <w:r w:rsidR="00B9271C">
        <w:t xml:space="preserve"> </w:t>
      </w:r>
      <w:r w:rsidR="00B9271C" w:rsidRPr="00B05565">
        <w:t>jehož</w:t>
      </w:r>
      <w:r w:rsidR="00B9271C">
        <w:t xml:space="preserve"> </w:t>
      </w:r>
      <w:r w:rsidR="00B9271C" w:rsidRPr="00B05565">
        <w:t>poplatníkem</w:t>
      </w:r>
      <w:r w:rsidR="00B9271C">
        <w:t xml:space="preserve"> </w:t>
      </w:r>
      <w:r w:rsidR="00B9271C" w:rsidRPr="00B05565">
        <w:t>je</w:t>
      </w:r>
      <w:r w:rsidR="00B9271C">
        <w:t xml:space="preserve"> </w:t>
      </w:r>
      <w:r w:rsidR="00B9271C" w:rsidRPr="00B05565">
        <w:t>zaměstnavatel,</w:t>
      </w:r>
      <w:r w:rsidR="00B9271C">
        <w:t xml:space="preserve"> </w:t>
      </w:r>
      <w:r w:rsidR="00B9271C" w:rsidRPr="00B05565">
        <w:t>pojistného</w:t>
      </w:r>
      <w:r w:rsidR="00B9271C">
        <w:t xml:space="preserve"> </w:t>
      </w:r>
      <w:r w:rsidR="00B9271C" w:rsidRPr="00B05565">
        <w:t>na</w:t>
      </w:r>
      <w:r w:rsidR="00B9271C">
        <w:t xml:space="preserve"> </w:t>
      </w:r>
      <w:r w:rsidR="00B9271C" w:rsidRPr="00B05565">
        <w:t>veřejné</w:t>
      </w:r>
      <w:r w:rsidR="00B9271C">
        <w:t xml:space="preserve"> </w:t>
      </w:r>
      <w:r w:rsidR="00B9271C" w:rsidRPr="00B05565">
        <w:t>zdravotní</w:t>
      </w:r>
      <w:r w:rsidR="00B9271C">
        <w:t xml:space="preserve"> </w:t>
      </w:r>
      <w:r w:rsidR="00B9271C" w:rsidRPr="00B05565">
        <w:t>pojištění,</w:t>
      </w:r>
      <w:r w:rsidR="00B9271C">
        <w:t xml:space="preserve"> </w:t>
      </w:r>
      <w:r w:rsidR="00B9271C" w:rsidRPr="00B05565">
        <w:t>které</w:t>
      </w:r>
      <w:r w:rsidR="00B9271C">
        <w:t xml:space="preserve"> </w:t>
      </w:r>
      <w:r w:rsidR="00B9271C" w:rsidRPr="00B05565">
        <w:t>platí</w:t>
      </w:r>
      <w:r w:rsidR="00B9271C">
        <w:t xml:space="preserve"> </w:t>
      </w:r>
      <w:r w:rsidR="00B9271C" w:rsidRPr="00B05565">
        <w:t>zaměstnavatel</w:t>
      </w:r>
      <w:r w:rsidR="00B9271C">
        <w:t xml:space="preserve"> </w:t>
      </w:r>
      <w:r w:rsidR="00B9271C" w:rsidRPr="00B05565">
        <w:t>za</w:t>
      </w:r>
      <w:r w:rsidR="00B9271C">
        <w:t xml:space="preserve"> </w:t>
      </w:r>
      <w:r w:rsidR="00B9271C" w:rsidRPr="00B05565">
        <w:t>své</w:t>
      </w:r>
      <w:r w:rsidR="00B9271C">
        <w:t xml:space="preserve"> </w:t>
      </w:r>
      <w:r w:rsidR="00B9271C" w:rsidRPr="00B05565">
        <w:t>zaměstnance,</w:t>
      </w:r>
      <w:r w:rsidR="00B9271C">
        <w:t xml:space="preserve"> </w:t>
      </w:r>
      <w:r w:rsidR="00B9271C" w:rsidRPr="00B05565">
        <w:t>a</w:t>
      </w:r>
      <w:r w:rsidR="00B9271C">
        <w:t xml:space="preserve"> </w:t>
      </w:r>
      <w:r w:rsidR="00B9271C" w:rsidRPr="00B05565">
        <w:t>částky,</w:t>
      </w:r>
      <w:r w:rsidR="00B9271C">
        <w:t xml:space="preserve"> </w:t>
      </w:r>
      <w:r w:rsidR="00B9271C" w:rsidRPr="00B05565">
        <w:t>v</w:t>
      </w:r>
      <w:r w:rsidR="00B9271C">
        <w:t xml:space="preserve"> </w:t>
      </w:r>
      <w:r w:rsidR="00B9271C" w:rsidRPr="00B05565">
        <w:t>jejíž</w:t>
      </w:r>
      <w:r w:rsidR="00B9271C">
        <w:t xml:space="preserve"> </w:t>
      </w:r>
      <w:r w:rsidR="00B9271C" w:rsidRPr="00B05565">
        <w:t>výši</w:t>
      </w:r>
      <w:r w:rsidR="00B9271C">
        <w:t xml:space="preserve"> </w:t>
      </w:r>
      <w:r w:rsidR="00B9271C" w:rsidRPr="00B05565">
        <w:t>se</w:t>
      </w:r>
      <w:r w:rsidR="00B9271C">
        <w:t xml:space="preserve"> </w:t>
      </w:r>
      <w:r w:rsidR="00B9271C" w:rsidRPr="00B05565">
        <w:t>stanoví</w:t>
      </w:r>
      <w:r w:rsidR="00B9271C">
        <w:t xml:space="preserve"> </w:t>
      </w:r>
      <w:r w:rsidR="00B9271C" w:rsidRPr="00B05565">
        <w:t>základní</w:t>
      </w:r>
      <w:r w:rsidR="00B9271C">
        <w:t xml:space="preserve"> </w:t>
      </w:r>
      <w:r w:rsidR="00B9271C" w:rsidRPr="00B05565">
        <w:t>příděl,</w:t>
      </w:r>
      <w:r w:rsidR="00B9271C">
        <w:t xml:space="preserve"> </w:t>
      </w:r>
      <w:r w:rsidR="00B9271C" w:rsidRPr="00B05565">
        <w:t>kterým</w:t>
      </w:r>
      <w:r w:rsidR="00B9271C">
        <w:t xml:space="preserve"> </w:t>
      </w:r>
      <w:r w:rsidR="00B9271C" w:rsidRPr="00B05565">
        <w:t>je</w:t>
      </w:r>
      <w:r w:rsidR="00B9271C">
        <w:t xml:space="preserve"> </w:t>
      </w:r>
      <w:r w:rsidR="00B9271C" w:rsidRPr="00B05565">
        <w:t>tvořen</w:t>
      </w:r>
      <w:r w:rsidR="00B9271C">
        <w:t xml:space="preserve"> </w:t>
      </w:r>
      <w:r w:rsidR="00B9271C" w:rsidRPr="00B05565">
        <w:t>fond</w:t>
      </w:r>
      <w:r w:rsidR="00B9271C">
        <w:t xml:space="preserve"> </w:t>
      </w:r>
      <w:r w:rsidR="00B9271C" w:rsidRPr="00B05565">
        <w:t>kulturních</w:t>
      </w:r>
      <w:r w:rsidR="00B9271C">
        <w:t xml:space="preserve"> </w:t>
      </w:r>
      <w:r w:rsidR="00B9271C" w:rsidRPr="00B05565">
        <w:t>a</w:t>
      </w:r>
      <w:r w:rsidR="00B9271C">
        <w:t xml:space="preserve"> </w:t>
      </w:r>
      <w:r w:rsidR="00B9271C" w:rsidRPr="00B05565">
        <w:t>sociálních</w:t>
      </w:r>
      <w:r w:rsidR="00B9271C">
        <w:t xml:space="preserve"> </w:t>
      </w:r>
      <w:r w:rsidR="00B9271C" w:rsidRPr="00B05565">
        <w:t>potřeb</w:t>
      </w:r>
      <w:r w:rsidR="00B9271C">
        <w:t xml:space="preserve"> </w:t>
      </w:r>
      <w:r w:rsidR="00B9271C" w:rsidRPr="00B05565">
        <w:t>(dále</w:t>
      </w:r>
      <w:r w:rsidR="00B9271C">
        <w:t xml:space="preserve"> </w:t>
      </w:r>
      <w:r w:rsidR="00B9271C" w:rsidRPr="00B05565">
        <w:t>jen</w:t>
      </w:r>
      <w:r w:rsidR="00B9271C">
        <w:t xml:space="preserve"> </w:t>
      </w:r>
      <w:r w:rsidR="00B9271C" w:rsidRPr="00B05565">
        <w:t>"povinný</w:t>
      </w:r>
      <w:r w:rsidR="00B9271C">
        <w:t xml:space="preserve"> </w:t>
      </w:r>
      <w:r w:rsidR="00B9271C" w:rsidRPr="00B05565">
        <w:t>odvod")</w:t>
      </w:r>
      <w:r w:rsidR="00B9271C">
        <w:t xml:space="preserve"> </w:t>
      </w:r>
      <w:r w:rsidR="00B9271C" w:rsidRPr="00B05565">
        <w:t>připadající</w:t>
      </w:r>
      <w:r w:rsidR="00B9271C">
        <w:t xml:space="preserve"> </w:t>
      </w:r>
      <w:r w:rsidR="00B9271C" w:rsidRPr="00B05565">
        <w:t>na</w:t>
      </w:r>
      <w:r w:rsidR="00B9271C">
        <w:t xml:space="preserve"> </w:t>
      </w:r>
      <w:r w:rsidR="00B9271C" w:rsidRPr="00B05565">
        <w:t>1</w:t>
      </w:r>
      <w:r w:rsidR="00B9271C">
        <w:t xml:space="preserve"> </w:t>
      </w:r>
      <w:r w:rsidR="00B9271C" w:rsidRPr="00B05565">
        <w:t>pracovní</w:t>
      </w:r>
      <w:r w:rsidR="00B9271C">
        <w:t xml:space="preserve"> </w:t>
      </w:r>
      <w:r w:rsidR="00B9271C" w:rsidRPr="00B05565">
        <w:t>poměr</w:t>
      </w:r>
      <w:r w:rsidR="00B9271C">
        <w:t xml:space="preserve"> </w:t>
      </w:r>
      <w:r w:rsidR="00B9271C" w:rsidRPr="00B05565">
        <w:t>pedagogického</w:t>
      </w:r>
      <w:r w:rsidR="00B9271C">
        <w:t xml:space="preserve"> </w:t>
      </w:r>
      <w:r w:rsidR="00B9271C" w:rsidRPr="00B05565">
        <w:t>pracovníka</w:t>
      </w:r>
      <w:r w:rsidR="00B9271C">
        <w:t xml:space="preserve"> </w:t>
      </w:r>
      <w:r w:rsidR="00B9271C" w:rsidRPr="00B05565">
        <w:t>vyjádřený</w:t>
      </w:r>
      <w:r w:rsidR="00B9271C">
        <w:t xml:space="preserve"> </w:t>
      </w:r>
      <w:r w:rsidR="00B9271C" w:rsidRPr="00B05565">
        <w:t>počtem</w:t>
      </w:r>
      <w:r w:rsidR="00B9271C">
        <w:t xml:space="preserve"> </w:t>
      </w:r>
      <w:r w:rsidR="00B9271C" w:rsidRPr="00B05565">
        <w:t>hodin</w:t>
      </w:r>
      <w:r w:rsidR="00B9271C">
        <w:t xml:space="preserve"> </w:t>
      </w:r>
      <w:r w:rsidR="00B9271C" w:rsidRPr="00B05565">
        <w:t>přímé</w:t>
      </w:r>
      <w:r w:rsidR="00B9271C">
        <w:t xml:space="preserve"> </w:t>
      </w:r>
      <w:r w:rsidR="00B9271C" w:rsidRPr="00B05565">
        <w:t>pedagogické</w:t>
      </w:r>
      <w:r w:rsidR="00B9271C">
        <w:t xml:space="preserve"> </w:t>
      </w:r>
      <w:r w:rsidR="00B9271C" w:rsidRPr="00B05565">
        <w:t>činnosti</w:t>
      </w:r>
      <w:r w:rsidR="00B9271C">
        <w:t xml:space="preserve"> </w:t>
      </w:r>
      <w:r w:rsidR="00B9271C" w:rsidRPr="00B05565">
        <w:t>podle</w:t>
      </w:r>
      <w:r w:rsidR="00B9271C">
        <w:t xml:space="preserve"> </w:t>
      </w:r>
      <w:r w:rsidR="00B9271C" w:rsidRPr="00B05565">
        <w:t>jiného</w:t>
      </w:r>
      <w:r w:rsidR="00B9271C">
        <w:t xml:space="preserve"> </w:t>
      </w:r>
      <w:r w:rsidR="00B9271C" w:rsidRPr="00B05565">
        <w:t>právního</w:t>
      </w:r>
      <w:r w:rsidR="00B9271C">
        <w:t xml:space="preserve"> </w:t>
      </w:r>
      <w:r w:rsidR="009765BE">
        <w:t>předpisu</w:t>
      </w:r>
      <w:r w:rsidR="009765BE">
        <w:rPr>
          <w:rStyle w:val="Znakapoznpodarou"/>
        </w:rPr>
        <w:footnoteReference w:customMarkFollows="1" w:id="477"/>
        <w:t>60)</w:t>
      </w:r>
      <w:r w:rsidR="00B9271C">
        <w:t xml:space="preserve"> </w:t>
      </w:r>
      <w:r w:rsidR="00B9271C" w:rsidRPr="00B05565">
        <w:t>(dále</w:t>
      </w:r>
      <w:r w:rsidR="00B9271C">
        <w:t xml:space="preserve"> </w:t>
      </w:r>
      <w:r w:rsidR="00B9271C" w:rsidRPr="00B05565">
        <w:t>jen</w:t>
      </w:r>
      <w:r w:rsidR="00B9271C">
        <w:t xml:space="preserve"> </w:t>
      </w:r>
      <w:r w:rsidR="00B9271C" w:rsidRPr="00B05565">
        <w:t>"úvazek</w:t>
      </w:r>
      <w:r w:rsidR="00B9271C">
        <w:t xml:space="preserve"> </w:t>
      </w:r>
      <w:r w:rsidR="00B9271C" w:rsidRPr="00B05565">
        <w:t>pedagogického</w:t>
      </w:r>
      <w:r w:rsidR="00B9271C">
        <w:t xml:space="preserve"> </w:t>
      </w:r>
      <w:r w:rsidR="00B9271C" w:rsidRPr="00B05565">
        <w:t>pracovníka"),</w:t>
      </w:r>
    </w:p>
    <w:p w14:paraId="75DA1C88" w14:textId="4A537050" w:rsidR="00B9271C" w:rsidRPr="00B05565" w:rsidRDefault="00553C64" w:rsidP="00A84DD3">
      <w:pPr>
        <w:pStyle w:val="Textparagrafu"/>
        <w:tabs>
          <w:tab w:val="left" w:pos="426"/>
          <w:tab w:val="left" w:pos="840"/>
        </w:tabs>
        <w:spacing w:before="0"/>
        <w:ind w:left="850" w:hanging="425"/>
      </w:pPr>
      <w:r>
        <w:tab/>
      </w:r>
      <w:r w:rsidR="00B9271C" w:rsidRPr="00B05565">
        <w:t>2.</w:t>
      </w:r>
      <w:r>
        <w:tab/>
      </w:r>
      <w:r w:rsidR="00B9271C" w:rsidRPr="00B05565">
        <w:t>normativy</w:t>
      </w:r>
      <w:r w:rsidR="00B9271C">
        <w:t xml:space="preserve"> </w:t>
      </w:r>
      <w:r w:rsidR="00B9271C" w:rsidRPr="00B05565">
        <w:t>jako</w:t>
      </w:r>
      <w:r w:rsidR="00B9271C">
        <w:t xml:space="preserve"> </w:t>
      </w:r>
      <w:r w:rsidR="00B9271C" w:rsidRPr="00B05565">
        <w:t>průměrnou</w:t>
      </w:r>
      <w:r w:rsidR="00B9271C">
        <w:t xml:space="preserve"> </w:t>
      </w:r>
      <w:r w:rsidR="00B9271C" w:rsidRPr="00B05565">
        <w:t>roční</w:t>
      </w:r>
      <w:r w:rsidR="00B9271C">
        <w:t xml:space="preserve"> </w:t>
      </w:r>
      <w:r w:rsidR="00B9271C" w:rsidRPr="00B05565">
        <w:t>výši</w:t>
      </w:r>
      <w:r w:rsidR="00B9271C">
        <w:t xml:space="preserve"> </w:t>
      </w:r>
      <w:r w:rsidR="00B9271C" w:rsidRPr="00B05565">
        <w:t>osobních</w:t>
      </w:r>
      <w:r w:rsidR="00B9271C">
        <w:t xml:space="preserve"> </w:t>
      </w:r>
      <w:r w:rsidR="00B9271C" w:rsidRPr="00B05565">
        <w:t>příplatků,</w:t>
      </w:r>
      <w:r w:rsidR="00B9271C">
        <w:t xml:space="preserve"> </w:t>
      </w:r>
      <w:r w:rsidR="00B9271C" w:rsidRPr="00B05565">
        <w:t>odměn</w:t>
      </w:r>
      <w:r w:rsidR="00B9271C">
        <w:t xml:space="preserve"> </w:t>
      </w:r>
      <w:r w:rsidR="00B9271C" w:rsidRPr="00B05565">
        <w:t>a</w:t>
      </w:r>
      <w:r w:rsidR="00B9271C">
        <w:t xml:space="preserve"> </w:t>
      </w:r>
      <w:r w:rsidR="00B9271C" w:rsidRPr="00B05565">
        <w:t>cílových</w:t>
      </w:r>
      <w:r w:rsidR="00B9271C">
        <w:t xml:space="preserve"> </w:t>
      </w:r>
      <w:r w:rsidR="00B9271C" w:rsidRPr="00B05565">
        <w:t>odměn</w:t>
      </w:r>
      <w:r w:rsidR="00B9271C">
        <w:t xml:space="preserve"> </w:t>
      </w:r>
      <w:r w:rsidR="00B9271C" w:rsidRPr="00B05565">
        <w:t>podle</w:t>
      </w:r>
      <w:r w:rsidR="00B9271C">
        <w:t xml:space="preserve"> </w:t>
      </w:r>
      <w:r w:rsidR="00B9271C" w:rsidRPr="00B05565">
        <w:t>zákoníku</w:t>
      </w:r>
      <w:r w:rsidR="00B9271C">
        <w:t xml:space="preserve"> </w:t>
      </w:r>
      <w:r w:rsidR="00B9271C" w:rsidRPr="00B05565">
        <w:t>práce,</w:t>
      </w:r>
      <w:r w:rsidR="00B9271C">
        <w:t xml:space="preserve"> </w:t>
      </w:r>
      <w:r w:rsidR="00B9271C" w:rsidRPr="00B05565">
        <w:t>jakož</w:t>
      </w:r>
      <w:r w:rsidR="00B9271C">
        <w:t xml:space="preserve"> </w:t>
      </w:r>
      <w:r w:rsidR="00B9271C" w:rsidRPr="00B05565">
        <w:t>i</w:t>
      </w:r>
      <w:r w:rsidR="00B9271C">
        <w:t xml:space="preserve"> </w:t>
      </w:r>
      <w:r w:rsidR="00B9271C" w:rsidRPr="00B05565">
        <w:t>povinných</w:t>
      </w:r>
      <w:r w:rsidR="00B9271C">
        <w:t xml:space="preserve"> </w:t>
      </w:r>
      <w:r w:rsidR="00B9271C" w:rsidRPr="00B05565">
        <w:t>odvodů</w:t>
      </w:r>
      <w:r w:rsidR="00B9271C">
        <w:t xml:space="preserve"> </w:t>
      </w:r>
      <w:r w:rsidR="00B9271C" w:rsidRPr="00B05565">
        <w:t>připadající</w:t>
      </w:r>
      <w:r w:rsidR="00B9271C">
        <w:t xml:space="preserve"> </w:t>
      </w:r>
      <w:r w:rsidR="00B9271C" w:rsidRPr="00B05565">
        <w:t>na</w:t>
      </w:r>
      <w:r w:rsidR="00B9271C">
        <w:t xml:space="preserve"> </w:t>
      </w:r>
      <w:r w:rsidR="00B9271C" w:rsidRPr="00B05565">
        <w:t>1</w:t>
      </w:r>
      <w:r w:rsidR="00B9271C">
        <w:t xml:space="preserve"> </w:t>
      </w:r>
      <w:r w:rsidR="00B9271C" w:rsidRPr="00B05565">
        <w:t>úvazek</w:t>
      </w:r>
      <w:r w:rsidR="00B9271C">
        <w:t xml:space="preserve"> </w:t>
      </w:r>
      <w:r w:rsidR="00B9271C" w:rsidRPr="00B05565">
        <w:t>pedagogického</w:t>
      </w:r>
      <w:r w:rsidR="00B9271C">
        <w:t xml:space="preserve"> </w:t>
      </w:r>
      <w:r w:rsidR="00B9271C" w:rsidRPr="00B05565">
        <w:t>pracovníka</w:t>
      </w:r>
      <w:r w:rsidR="00B9271C">
        <w:t xml:space="preserve"> </w:t>
      </w:r>
      <w:r w:rsidR="00B9271C" w:rsidRPr="00B05565">
        <w:t>a</w:t>
      </w:r>
      <w:r w:rsidR="00B9271C">
        <w:t xml:space="preserve"> </w:t>
      </w:r>
      <w:r w:rsidR="00B9271C" w:rsidRPr="00B05565">
        <w:t>opravné</w:t>
      </w:r>
      <w:r w:rsidR="00B9271C">
        <w:t xml:space="preserve"> </w:t>
      </w:r>
      <w:r w:rsidR="00B9271C" w:rsidRPr="00B05565">
        <w:t>koeficienty</w:t>
      </w:r>
      <w:r w:rsidR="00B9271C">
        <w:t xml:space="preserve"> </w:t>
      </w:r>
      <w:r w:rsidR="00B9271C" w:rsidRPr="00B05565">
        <w:t>k</w:t>
      </w:r>
      <w:r w:rsidR="00B9271C">
        <w:t xml:space="preserve"> </w:t>
      </w:r>
      <w:r w:rsidR="00B9271C" w:rsidRPr="00B05565">
        <w:t>těmto</w:t>
      </w:r>
      <w:r w:rsidR="00B9271C">
        <w:t xml:space="preserve"> </w:t>
      </w:r>
      <w:r w:rsidR="00B9271C" w:rsidRPr="00B05565">
        <w:t>normativům</w:t>
      </w:r>
      <w:r w:rsidR="00B9271C">
        <w:t xml:space="preserve"> </w:t>
      </w:r>
      <w:r w:rsidR="00B9271C" w:rsidRPr="00B05565">
        <w:t>podle</w:t>
      </w:r>
      <w:r w:rsidR="00B9271C">
        <w:t xml:space="preserve"> </w:t>
      </w:r>
      <w:r w:rsidR="00B9271C" w:rsidRPr="00B05565">
        <w:t>§</w:t>
      </w:r>
      <w:r w:rsidR="00B9271C">
        <w:t xml:space="preserve"> </w:t>
      </w:r>
      <w:r w:rsidR="00B9271C" w:rsidRPr="00B05565">
        <w:t>161c</w:t>
      </w:r>
      <w:r w:rsidR="00B9271C">
        <w:t xml:space="preserve"> </w:t>
      </w:r>
      <w:r w:rsidR="00B9271C" w:rsidRPr="00B05565">
        <w:t>odst.</w:t>
      </w:r>
      <w:r w:rsidR="00B9271C">
        <w:t xml:space="preserve"> </w:t>
      </w:r>
      <w:r w:rsidR="00B9271C" w:rsidRPr="00B05565">
        <w:t>1</w:t>
      </w:r>
      <w:r w:rsidR="00B9271C">
        <w:t xml:space="preserve"> </w:t>
      </w:r>
      <w:r w:rsidR="00B9271C" w:rsidRPr="00B05565">
        <w:t>písm.</w:t>
      </w:r>
      <w:r w:rsidR="00B9271C">
        <w:t xml:space="preserve"> </w:t>
      </w:r>
      <w:r w:rsidR="00B9271C" w:rsidRPr="00B05565">
        <w:t>b),</w:t>
      </w:r>
    </w:p>
    <w:p w14:paraId="4B8585D1" w14:textId="0C130807" w:rsidR="00B9271C" w:rsidRPr="00B05565" w:rsidRDefault="00553C64" w:rsidP="00A84DD3">
      <w:pPr>
        <w:pStyle w:val="Textparagrafu"/>
        <w:tabs>
          <w:tab w:val="left" w:pos="426"/>
          <w:tab w:val="left" w:pos="840"/>
        </w:tabs>
        <w:spacing w:before="0"/>
        <w:ind w:left="850" w:hanging="425"/>
      </w:pPr>
      <w:r>
        <w:tab/>
      </w:r>
      <w:r w:rsidR="00B9271C" w:rsidRPr="00B05565">
        <w:t>3.</w:t>
      </w:r>
      <w:r>
        <w:tab/>
      </w:r>
      <w:r w:rsidR="00B9271C" w:rsidRPr="00B05565">
        <w:t>normativy</w:t>
      </w:r>
      <w:r w:rsidR="00B9271C">
        <w:t xml:space="preserve"> </w:t>
      </w:r>
      <w:r w:rsidR="00B9271C" w:rsidRPr="00B05565">
        <w:t>jako</w:t>
      </w:r>
      <w:r w:rsidR="00B9271C">
        <w:t xml:space="preserve"> </w:t>
      </w:r>
      <w:r w:rsidR="00B9271C" w:rsidRPr="00B05565">
        <w:t>roční</w:t>
      </w:r>
      <w:r w:rsidR="00B9271C">
        <w:t xml:space="preserve"> </w:t>
      </w:r>
      <w:r w:rsidR="00B9271C" w:rsidRPr="00B05565">
        <w:t>výši</w:t>
      </w:r>
      <w:r w:rsidR="00B9271C">
        <w:t xml:space="preserve"> </w:t>
      </w:r>
      <w:r w:rsidR="00B9271C" w:rsidRPr="00B05565">
        <w:t>výdajů</w:t>
      </w:r>
      <w:r w:rsidR="00B9271C">
        <w:t xml:space="preserve"> </w:t>
      </w:r>
      <w:r w:rsidR="00B9271C" w:rsidRPr="00B05565">
        <w:t>státního</w:t>
      </w:r>
      <w:r w:rsidR="00B9271C">
        <w:t xml:space="preserve"> </w:t>
      </w:r>
      <w:r w:rsidR="00B9271C" w:rsidRPr="00B05565">
        <w:t>rozpočtu</w:t>
      </w:r>
      <w:r w:rsidR="00B9271C">
        <w:t xml:space="preserve"> </w:t>
      </w:r>
      <w:r w:rsidR="00B9271C" w:rsidRPr="00B05565">
        <w:t>na</w:t>
      </w:r>
      <w:r w:rsidR="00B9271C">
        <w:t xml:space="preserve"> </w:t>
      </w:r>
      <w:r w:rsidR="00B9271C" w:rsidRPr="00B05565">
        <w:t>platy</w:t>
      </w:r>
      <w:r w:rsidR="00B9271C">
        <w:t xml:space="preserve"> </w:t>
      </w:r>
      <w:r w:rsidR="00B9271C" w:rsidRPr="00B05565">
        <w:t>a</w:t>
      </w:r>
      <w:r w:rsidR="00B9271C">
        <w:t xml:space="preserve"> </w:t>
      </w:r>
      <w:r w:rsidR="00B9271C" w:rsidRPr="00B05565">
        <w:t>na</w:t>
      </w:r>
      <w:r w:rsidR="00B9271C">
        <w:t xml:space="preserve"> </w:t>
      </w:r>
      <w:r w:rsidR="00B9271C" w:rsidRPr="00B05565">
        <w:t>odměny</w:t>
      </w:r>
      <w:r w:rsidR="00B9271C">
        <w:t xml:space="preserve"> </w:t>
      </w:r>
      <w:r w:rsidR="00B9271C" w:rsidRPr="00B05565">
        <w:t>za</w:t>
      </w:r>
      <w:r w:rsidR="00B9271C">
        <w:t xml:space="preserve"> </w:t>
      </w:r>
      <w:r w:rsidR="00B9271C" w:rsidRPr="00B05565">
        <w:t>práci</w:t>
      </w:r>
      <w:r w:rsidR="00B9271C">
        <w:t xml:space="preserve"> </w:t>
      </w:r>
      <w:r w:rsidR="00B9271C" w:rsidRPr="00B05565">
        <w:t>vykonávanou</w:t>
      </w:r>
      <w:r w:rsidR="00B9271C">
        <w:t xml:space="preserve"> </w:t>
      </w:r>
      <w:r w:rsidR="00B9271C" w:rsidRPr="00B05565">
        <w:t>na</w:t>
      </w:r>
      <w:r w:rsidR="00B9271C">
        <w:t xml:space="preserve"> </w:t>
      </w:r>
      <w:r w:rsidR="00B9271C" w:rsidRPr="00B05565">
        <w:t>základě</w:t>
      </w:r>
      <w:r w:rsidR="00B9271C">
        <w:t xml:space="preserve"> </w:t>
      </w:r>
      <w:r w:rsidR="00B9271C" w:rsidRPr="00B05565">
        <w:t>dohod</w:t>
      </w:r>
      <w:r w:rsidR="00B9271C">
        <w:t xml:space="preserve"> </w:t>
      </w:r>
      <w:r w:rsidR="00B9271C" w:rsidRPr="00B05565">
        <w:t>o</w:t>
      </w:r>
      <w:r w:rsidR="00B9271C">
        <w:t xml:space="preserve"> </w:t>
      </w:r>
      <w:r w:rsidR="00B9271C" w:rsidRPr="00B05565">
        <w:t>pracích</w:t>
      </w:r>
      <w:r w:rsidR="00B9271C">
        <w:t xml:space="preserve"> </w:t>
      </w:r>
      <w:r w:rsidR="00B9271C" w:rsidRPr="00B05565">
        <w:t>konaných</w:t>
      </w:r>
      <w:r w:rsidR="00B9271C">
        <w:t xml:space="preserve"> </w:t>
      </w:r>
      <w:r w:rsidR="00B9271C" w:rsidRPr="00B05565">
        <w:t>mimo</w:t>
      </w:r>
      <w:r w:rsidR="00B9271C">
        <w:t xml:space="preserve"> </w:t>
      </w:r>
      <w:r w:rsidR="00B9271C" w:rsidRPr="00B05565">
        <w:t>pracovní</w:t>
      </w:r>
      <w:r w:rsidR="00B9271C">
        <w:t xml:space="preserve"> </w:t>
      </w:r>
      <w:r w:rsidR="00B9271C" w:rsidRPr="00B05565">
        <w:t>poměr</w:t>
      </w:r>
      <w:r w:rsidR="00B9271C">
        <w:t xml:space="preserve"> </w:t>
      </w:r>
      <w:r w:rsidR="00B9271C" w:rsidRPr="00B05565">
        <w:t>a</w:t>
      </w:r>
      <w:r w:rsidR="00B9271C">
        <w:t xml:space="preserve"> </w:t>
      </w:r>
      <w:r w:rsidR="00B9271C" w:rsidRPr="00B05565">
        <w:t>na</w:t>
      </w:r>
      <w:r w:rsidR="00B9271C">
        <w:t xml:space="preserve"> </w:t>
      </w:r>
      <w:r w:rsidR="00B9271C" w:rsidRPr="00B05565">
        <w:t>odstupné</w:t>
      </w:r>
      <w:r w:rsidR="00B9271C">
        <w:t xml:space="preserve"> </w:t>
      </w:r>
      <w:r w:rsidR="00B9271C" w:rsidRPr="00B05565">
        <w:t>(dále</w:t>
      </w:r>
      <w:r w:rsidR="00B9271C">
        <w:t xml:space="preserve"> </w:t>
      </w:r>
      <w:r w:rsidR="00B9271C" w:rsidRPr="00B05565">
        <w:t>jen</w:t>
      </w:r>
      <w:r w:rsidR="00B9271C">
        <w:t xml:space="preserve"> </w:t>
      </w:r>
      <w:r w:rsidR="00B9271C" w:rsidRPr="00B05565">
        <w:t>"ostatní</w:t>
      </w:r>
      <w:r w:rsidR="00B9271C">
        <w:t xml:space="preserve"> </w:t>
      </w:r>
      <w:r w:rsidR="00B9271C" w:rsidRPr="00B05565">
        <w:t>osobní</w:t>
      </w:r>
      <w:r w:rsidR="00B9271C">
        <w:t xml:space="preserve"> </w:t>
      </w:r>
      <w:r w:rsidR="00B9271C" w:rsidRPr="00B05565">
        <w:t>náklady"),</w:t>
      </w:r>
      <w:r w:rsidR="00B9271C">
        <w:t xml:space="preserve"> </w:t>
      </w:r>
      <w:r w:rsidR="00B9271C" w:rsidRPr="00B05565">
        <w:t>jakož</w:t>
      </w:r>
      <w:r w:rsidR="00B9271C">
        <w:t xml:space="preserve"> </w:t>
      </w:r>
      <w:r w:rsidR="00B9271C" w:rsidRPr="00B05565">
        <w:t>i</w:t>
      </w:r>
      <w:r w:rsidR="00B9271C">
        <w:t xml:space="preserve"> </w:t>
      </w:r>
      <w:r w:rsidR="00B9271C" w:rsidRPr="00B05565">
        <w:t>povinných</w:t>
      </w:r>
      <w:r w:rsidR="00B9271C">
        <w:t xml:space="preserve"> </w:t>
      </w:r>
      <w:r w:rsidR="00B9271C" w:rsidRPr="00B05565">
        <w:t>odvodů</w:t>
      </w:r>
      <w:r w:rsidR="00B9271C">
        <w:t xml:space="preserve"> </w:t>
      </w:r>
      <w:r w:rsidR="00B9271C" w:rsidRPr="00B05565">
        <w:t>pro</w:t>
      </w:r>
      <w:r w:rsidR="00B9271C">
        <w:t xml:space="preserve"> </w:t>
      </w:r>
      <w:r w:rsidR="00B9271C" w:rsidRPr="00B05565">
        <w:t>ostatní</w:t>
      </w:r>
      <w:r w:rsidR="00B9271C">
        <w:t xml:space="preserve"> </w:t>
      </w:r>
      <w:r w:rsidR="00B9271C" w:rsidRPr="00B05565">
        <w:t>zaměstnance</w:t>
      </w:r>
      <w:r w:rsidR="00B9271C">
        <w:t xml:space="preserve"> </w:t>
      </w:r>
      <w:r w:rsidR="00B9271C" w:rsidRPr="00B05565">
        <w:t>připadající</w:t>
      </w:r>
      <w:r w:rsidR="00B9271C">
        <w:t xml:space="preserve"> </w:t>
      </w:r>
      <w:r w:rsidR="00B9271C" w:rsidRPr="00B05565">
        <w:t>na</w:t>
      </w:r>
      <w:r w:rsidR="00B9271C">
        <w:t xml:space="preserve"> </w:t>
      </w:r>
      <w:r w:rsidR="00B9271C" w:rsidRPr="00B05565">
        <w:t>1</w:t>
      </w:r>
      <w:r w:rsidR="00B9271C">
        <w:t xml:space="preserve"> </w:t>
      </w:r>
      <w:r w:rsidR="00B9271C" w:rsidRPr="00B05565">
        <w:t>právnickou</w:t>
      </w:r>
      <w:r w:rsidR="00B9271C">
        <w:t xml:space="preserve"> </w:t>
      </w:r>
      <w:r w:rsidR="00B9271C" w:rsidRPr="00B05565">
        <w:t>osobu</w:t>
      </w:r>
      <w:r w:rsidR="00B9271C">
        <w:t xml:space="preserve"> </w:t>
      </w:r>
      <w:r w:rsidR="00B9271C" w:rsidRPr="00B05565">
        <w:t>vykonávající</w:t>
      </w:r>
      <w:r w:rsidR="00B9271C">
        <w:t xml:space="preserve"> </w:t>
      </w:r>
      <w:r w:rsidR="00B9271C" w:rsidRPr="00B05565">
        <w:t>činnost</w:t>
      </w:r>
      <w:r w:rsidR="00B9271C">
        <w:t xml:space="preserve"> </w:t>
      </w:r>
      <w:r w:rsidR="00B9271C" w:rsidRPr="00B05565">
        <w:t>alespoň</w:t>
      </w:r>
      <w:r w:rsidR="00B9271C">
        <w:t xml:space="preserve"> </w:t>
      </w:r>
      <w:r w:rsidR="00B9271C" w:rsidRPr="00B05565">
        <w:t>jedné</w:t>
      </w:r>
      <w:r w:rsidR="00B9271C">
        <w:t xml:space="preserve"> </w:t>
      </w:r>
      <w:r w:rsidR="00B9271C" w:rsidRPr="00B05565">
        <w:t>z</w:t>
      </w:r>
      <w:r w:rsidR="00B9271C">
        <w:t xml:space="preserve"> </w:t>
      </w:r>
      <w:r w:rsidR="00B9271C" w:rsidRPr="00B05565">
        <w:t>těchto</w:t>
      </w:r>
      <w:r w:rsidR="00B9271C">
        <w:t xml:space="preserve"> </w:t>
      </w:r>
      <w:r w:rsidR="00B9271C" w:rsidRPr="00B05565">
        <w:t>škol,</w:t>
      </w:r>
      <w:r w:rsidR="00B9271C">
        <w:t xml:space="preserve"> </w:t>
      </w:r>
      <w:r w:rsidR="00B9271C" w:rsidRPr="00B05565">
        <w:t>na</w:t>
      </w:r>
      <w:r w:rsidR="00B9271C">
        <w:t xml:space="preserve"> </w:t>
      </w:r>
      <w:r w:rsidR="00B9271C" w:rsidRPr="00B05565">
        <w:t>1</w:t>
      </w:r>
      <w:r w:rsidR="00B9271C">
        <w:t xml:space="preserve"> </w:t>
      </w:r>
      <w:r w:rsidR="00B9271C" w:rsidRPr="00B05565">
        <w:t>další</w:t>
      </w:r>
      <w:r w:rsidR="00B9271C">
        <w:t xml:space="preserve"> </w:t>
      </w:r>
      <w:r w:rsidR="00B9271C" w:rsidRPr="00B05565">
        <w:t>pracoviště</w:t>
      </w:r>
      <w:r w:rsidR="00B9271C">
        <w:t xml:space="preserve"> </w:t>
      </w:r>
      <w:r w:rsidR="00B9271C" w:rsidRPr="00B05565">
        <w:t>téže</w:t>
      </w:r>
      <w:r w:rsidR="00B9271C">
        <w:t xml:space="preserve"> </w:t>
      </w:r>
      <w:r w:rsidR="00B9271C" w:rsidRPr="00B05565">
        <w:t>právnické</w:t>
      </w:r>
      <w:r w:rsidR="00B9271C">
        <w:t xml:space="preserve"> </w:t>
      </w:r>
      <w:r w:rsidR="00B9271C" w:rsidRPr="00B05565">
        <w:t>osoby</w:t>
      </w:r>
      <w:r w:rsidR="00B9271C">
        <w:t xml:space="preserve"> </w:t>
      </w:r>
      <w:r w:rsidR="00B9271C" w:rsidRPr="00B05565">
        <w:t>vykonávající</w:t>
      </w:r>
      <w:r w:rsidR="00B9271C">
        <w:t xml:space="preserve"> </w:t>
      </w:r>
      <w:r w:rsidR="00B9271C" w:rsidRPr="00B05565">
        <w:t>činnost</w:t>
      </w:r>
      <w:r w:rsidR="00B9271C">
        <w:t xml:space="preserve"> </w:t>
      </w:r>
      <w:r w:rsidR="00B9271C" w:rsidRPr="00B05565">
        <w:t>školy,</w:t>
      </w:r>
      <w:r w:rsidR="00B9271C">
        <w:t xml:space="preserve"> </w:t>
      </w:r>
      <w:r w:rsidR="00B9271C" w:rsidRPr="00B05565">
        <w:t>dále</w:t>
      </w:r>
      <w:r w:rsidR="00B9271C">
        <w:t xml:space="preserve"> </w:t>
      </w:r>
      <w:r w:rsidR="00B9271C" w:rsidRPr="00B05565">
        <w:t>u</w:t>
      </w:r>
      <w:r w:rsidR="00B9271C">
        <w:t xml:space="preserve"> </w:t>
      </w:r>
      <w:r w:rsidR="00B9271C" w:rsidRPr="00B05565">
        <w:t>mateřských</w:t>
      </w:r>
      <w:r w:rsidR="00B9271C">
        <w:t xml:space="preserve"> </w:t>
      </w:r>
      <w:r w:rsidR="00B9271C" w:rsidRPr="00B05565">
        <w:t>škol</w:t>
      </w:r>
      <w:r w:rsidR="00B9271C">
        <w:t xml:space="preserve"> </w:t>
      </w:r>
      <w:r w:rsidR="00B9271C" w:rsidRPr="00B05565">
        <w:t>a</w:t>
      </w:r>
      <w:r w:rsidR="00B9271C">
        <w:t xml:space="preserve"> </w:t>
      </w:r>
      <w:r w:rsidR="00B9271C" w:rsidRPr="00B05565">
        <w:t>základních</w:t>
      </w:r>
      <w:r w:rsidR="00B9271C">
        <w:t xml:space="preserve"> </w:t>
      </w:r>
      <w:r w:rsidR="00B9271C" w:rsidRPr="00B05565">
        <w:t>škol</w:t>
      </w:r>
      <w:r w:rsidR="00B9271C">
        <w:t xml:space="preserve"> </w:t>
      </w:r>
      <w:r w:rsidR="00B9271C" w:rsidRPr="00B05565">
        <w:t>na</w:t>
      </w:r>
      <w:r w:rsidR="00B9271C">
        <w:t xml:space="preserve"> </w:t>
      </w:r>
      <w:r w:rsidR="00B9271C" w:rsidRPr="00B05565">
        <w:t>1</w:t>
      </w:r>
      <w:r w:rsidR="00B9271C">
        <w:t xml:space="preserve"> </w:t>
      </w:r>
      <w:r w:rsidR="00B9271C" w:rsidRPr="00B05565">
        <w:t>třídu</w:t>
      </w:r>
      <w:r w:rsidR="00B9271C">
        <w:t xml:space="preserve"> </w:t>
      </w:r>
      <w:r w:rsidR="00B9271C" w:rsidRPr="00B05565">
        <w:t>a</w:t>
      </w:r>
      <w:r w:rsidR="00B9271C">
        <w:t xml:space="preserve"> </w:t>
      </w:r>
      <w:r w:rsidR="00B9271C" w:rsidRPr="00B05565">
        <w:t>u</w:t>
      </w:r>
      <w:r w:rsidR="00B9271C">
        <w:t xml:space="preserve"> </w:t>
      </w:r>
      <w:r w:rsidR="00B9271C" w:rsidRPr="00B05565">
        <w:t>středních</w:t>
      </w:r>
      <w:r w:rsidR="00B9271C">
        <w:t xml:space="preserve"> </w:t>
      </w:r>
      <w:r w:rsidR="00B9271C" w:rsidRPr="00B05565">
        <w:t>škol</w:t>
      </w:r>
      <w:r w:rsidR="00B9271C">
        <w:t xml:space="preserve"> </w:t>
      </w:r>
      <w:r w:rsidR="00B9271C" w:rsidRPr="00B05565">
        <w:t>v</w:t>
      </w:r>
      <w:r w:rsidR="00B9271C">
        <w:t xml:space="preserve"> </w:t>
      </w:r>
      <w:r w:rsidR="00B9271C" w:rsidRPr="00B05565">
        <w:t>denní</w:t>
      </w:r>
      <w:r w:rsidR="00B9271C">
        <w:t xml:space="preserve"> </w:t>
      </w:r>
      <w:r w:rsidR="00B9271C" w:rsidRPr="00B05565">
        <w:t>formě</w:t>
      </w:r>
      <w:r w:rsidR="00B9271C">
        <w:t xml:space="preserve"> </w:t>
      </w:r>
      <w:r w:rsidR="00B9271C" w:rsidRPr="00B05565">
        <w:t>vzdělávání</w:t>
      </w:r>
      <w:r w:rsidR="00B9271C">
        <w:t xml:space="preserve"> </w:t>
      </w:r>
      <w:r w:rsidR="00B9271C" w:rsidRPr="00B05565">
        <w:t>na</w:t>
      </w:r>
      <w:r w:rsidR="00B9271C">
        <w:t xml:space="preserve"> </w:t>
      </w:r>
      <w:r w:rsidR="00B9271C" w:rsidRPr="00B05565">
        <w:t>1</w:t>
      </w:r>
      <w:r w:rsidR="00B9271C">
        <w:t xml:space="preserve"> </w:t>
      </w:r>
      <w:r w:rsidR="00B9271C" w:rsidRPr="00B05565">
        <w:t>třídu</w:t>
      </w:r>
      <w:r w:rsidR="00B9271C">
        <w:t xml:space="preserve"> </w:t>
      </w:r>
      <w:r w:rsidR="00B9271C" w:rsidRPr="00B05565">
        <w:t>v</w:t>
      </w:r>
      <w:r w:rsidR="00B9271C">
        <w:t xml:space="preserve"> </w:t>
      </w:r>
      <w:r w:rsidR="00B9271C" w:rsidRPr="00B05565">
        <w:t>oboru</w:t>
      </w:r>
      <w:r w:rsidR="00B9271C">
        <w:t xml:space="preserve"> </w:t>
      </w:r>
      <w:r w:rsidR="00B9271C" w:rsidRPr="00B05565">
        <w:t>vzdělání</w:t>
      </w:r>
      <w:r w:rsidR="00B9271C">
        <w:t xml:space="preserve"> </w:t>
      </w:r>
      <w:r w:rsidR="00B9271C" w:rsidRPr="00B05565">
        <w:t>a</w:t>
      </w:r>
      <w:r w:rsidR="00B9271C">
        <w:t xml:space="preserve"> </w:t>
      </w:r>
      <w:r w:rsidR="00B9271C" w:rsidRPr="00B05565">
        <w:t>u</w:t>
      </w:r>
      <w:r w:rsidR="00B9271C">
        <w:t xml:space="preserve"> </w:t>
      </w:r>
      <w:r w:rsidR="00B9271C" w:rsidRPr="00B05565">
        <w:t>konzervatoří</w:t>
      </w:r>
      <w:r w:rsidR="00B9271C">
        <w:t xml:space="preserve"> </w:t>
      </w:r>
      <w:r w:rsidR="00B9271C" w:rsidRPr="00B05565">
        <w:t>v</w:t>
      </w:r>
      <w:r w:rsidR="00B9271C">
        <w:t xml:space="preserve"> </w:t>
      </w:r>
      <w:r w:rsidR="00B9271C" w:rsidRPr="00B05565">
        <w:t>denní</w:t>
      </w:r>
      <w:r w:rsidR="00B9271C">
        <w:t xml:space="preserve"> </w:t>
      </w:r>
      <w:r w:rsidR="00B9271C" w:rsidRPr="00B05565">
        <w:t>formě</w:t>
      </w:r>
      <w:r w:rsidR="00B9271C">
        <w:t xml:space="preserve"> </w:t>
      </w:r>
      <w:r w:rsidR="00B9271C" w:rsidRPr="00B05565">
        <w:t>vzdělávání</w:t>
      </w:r>
      <w:r w:rsidR="00B9271C">
        <w:t xml:space="preserve"> </w:t>
      </w:r>
      <w:r w:rsidR="00B9271C" w:rsidRPr="00B05565">
        <w:t>na</w:t>
      </w:r>
      <w:r w:rsidR="00B9271C">
        <w:t xml:space="preserve"> </w:t>
      </w:r>
      <w:r w:rsidR="00B9271C" w:rsidRPr="00B05565">
        <w:t>1</w:t>
      </w:r>
      <w:r w:rsidR="00B9271C">
        <w:t xml:space="preserve"> </w:t>
      </w:r>
      <w:r w:rsidR="00B9271C" w:rsidRPr="00B05565">
        <w:t>žáka</w:t>
      </w:r>
      <w:r w:rsidR="00B9271C">
        <w:t xml:space="preserve"> </w:t>
      </w:r>
      <w:r w:rsidR="00B9271C" w:rsidRPr="00B05565">
        <w:t>v</w:t>
      </w:r>
      <w:r w:rsidR="00B9271C">
        <w:t xml:space="preserve"> </w:t>
      </w:r>
      <w:r w:rsidR="00B9271C" w:rsidRPr="00B05565">
        <w:t>oboru</w:t>
      </w:r>
      <w:r w:rsidR="00B9271C">
        <w:t xml:space="preserve"> </w:t>
      </w:r>
      <w:r w:rsidR="00B9271C" w:rsidRPr="00B05565">
        <w:t>vzdělání;</w:t>
      </w:r>
      <w:r w:rsidR="00B9271C">
        <w:t xml:space="preserve"> </w:t>
      </w:r>
      <w:r w:rsidR="00B9271C" w:rsidRPr="00B05565">
        <w:t>dalším</w:t>
      </w:r>
      <w:r w:rsidR="00B9271C">
        <w:t xml:space="preserve"> </w:t>
      </w:r>
      <w:r w:rsidR="00B9271C" w:rsidRPr="00B05565">
        <w:t>pracovištěm</w:t>
      </w:r>
      <w:r w:rsidR="00B9271C">
        <w:t xml:space="preserve"> </w:t>
      </w:r>
      <w:r w:rsidR="00B9271C" w:rsidRPr="00B05565">
        <w:t>se</w:t>
      </w:r>
      <w:r w:rsidR="00B9271C">
        <w:t xml:space="preserve"> </w:t>
      </w:r>
      <w:r w:rsidR="00B9271C" w:rsidRPr="00B05565">
        <w:t>rozumí</w:t>
      </w:r>
      <w:r w:rsidR="00B9271C">
        <w:t xml:space="preserve"> </w:t>
      </w:r>
      <w:r w:rsidR="00B9271C" w:rsidRPr="00B05565">
        <w:t>takové</w:t>
      </w:r>
      <w:r w:rsidR="00B9271C">
        <w:t xml:space="preserve"> </w:t>
      </w:r>
      <w:r w:rsidR="00B9271C" w:rsidRPr="00B05565">
        <w:t>pracoviště,</w:t>
      </w:r>
      <w:r w:rsidR="00B9271C">
        <w:t xml:space="preserve"> </w:t>
      </w:r>
      <w:r w:rsidR="00B9271C" w:rsidRPr="00B05565">
        <w:t>které</w:t>
      </w:r>
      <w:r w:rsidR="00B9271C">
        <w:t xml:space="preserve"> </w:t>
      </w:r>
      <w:r w:rsidR="00B9271C" w:rsidRPr="00B05565">
        <w:t>s</w:t>
      </w:r>
      <w:r w:rsidR="00B9271C">
        <w:t xml:space="preserve"> </w:t>
      </w:r>
      <w:r w:rsidR="00B9271C" w:rsidRPr="00B05565">
        <w:t>jiným</w:t>
      </w:r>
      <w:r w:rsidR="00B9271C">
        <w:t xml:space="preserve"> </w:t>
      </w:r>
      <w:r w:rsidR="00B9271C" w:rsidRPr="00B05565">
        <w:t>pracovištěm</w:t>
      </w:r>
      <w:r w:rsidR="00B9271C">
        <w:t xml:space="preserve"> </w:t>
      </w:r>
      <w:r w:rsidR="00B9271C" w:rsidRPr="00B05565">
        <w:t>prostorově</w:t>
      </w:r>
      <w:r w:rsidR="00B9271C">
        <w:t xml:space="preserve"> </w:t>
      </w:r>
      <w:r w:rsidR="00B9271C" w:rsidRPr="00B05565">
        <w:t>nesouvisí,</w:t>
      </w:r>
      <w:r w:rsidR="00B9271C">
        <w:t xml:space="preserve"> </w:t>
      </w:r>
      <w:r w:rsidR="00B9271C" w:rsidRPr="00B05565">
        <w:t>není</w:t>
      </w:r>
      <w:r w:rsidR="00B9271C">
        <w:t xml:space="preserve"> </w:t>
      </w:r>
      <w:r w:rsidR="00B9271C" w:rsidRPr="00B05565">
        <w:t>s</w:t>
      </w:r>
      <w:r w:rsidR="00B9271C">
        <w:t xml:space="preserve"> </w:t>
      </w:r>
      <w:r w:rsidR="00B9271C" w:rsidRPr="00B05565">
        <w:t>ním</w:t>
      </w:r>
      <w:r w:rsidR="00B9271C">
        <w:t xml:space="preserve"> </w:t>
      </w:r>
      <w:r w:rsidR="00B9271C" w:rsidRPr="00B05565">
        <w:t>spojeno</w:t>
      </w:r>
      <w:r w:rsidR="00B9271C">
        <w:t xml:space="preserve"> </w:t>
      </w:r>
      <w:r w:rsidR="00B9271C" w:rsidRPr="00B05565">
        <w:t>stavebně</w:t>
      </w:r>
      <w:r w:rsidR="00B9271C">
        <w:t xml:space="preserve"> </w:t>
      </w:r>
      <w:r w:rsidR="00B9271C" w:rsidRPr="00B05565">
        <w:t>nebo</w:t>
      </w:r>
      <w:r w:rsidR="00B9271C">
        <w:t xml:space="preserve"> </w:t>
      </w:r>
      <w:r w:rsidR="00B9271C" w:rsidRPr="00B05565">
        <w:t>technicky,</w:t>
      </w:r>
      <w:r w:rsidR="00B9271C">
        <w:t xml:space="preserve"> </w:t>
      </w:r>
      <w:r w:rsidR="00B9271C" w:rsidRPr="00B05565">
        <w:t>ani</w:t>
      </w:r>
      <w:r w:rsidR="00B9271C">
        <w:t xml:space="preserve"> </w:t>
      </w:r>
      <w:r w:rsidR="00B9271C" w:rsidRPr="00B05565">
        <w:t>není</w:t>
      </w:r>
      <w:r w:rsidR="00B9271C">
        <w:t xml:space="preserve"> </w:t>
      </w:r>
      <w:r w:rsidR="00B9271C" w:rsidRPr="00B05565">
        <w:t>umístěno</w:t>
      </w:r>
      <w:r w:rsidR="00B9271C">
        <w:t xml:space="preserve"> </w:t>
      </w:r>
      <w:r w:rsidR="00B9271C" w:rsidRPr="00B05565">
        <w:t>na</w:t>
      </w:r>
      <w:r w:rsidR="00B9271C">
        <w:t xml:space="preserve"> </w:t>
      </w:r>
      <w:r w:rsidR="00B9271C" w:rsidRPr="00B05565">
        <w:t>tomtéž</w:t>
      </w:r>
      <w:r w:rsidR="00B9271C">
        <w:t xml:space="preserve"> </w:t>
      </w:r>
      <w:r w:rsidR="00B9271C" w:rsidRPr="00B05565">
        <w:t>nebo</w:t>
      </w:r>
      <w:r w:rsidR="00B9271C">
        <w:t xml:space="preserve"> </w:t>
      </w:r>
      <w:r w:rsidR="00B9271C" w:rsidRPr="00B05565">
        <w:t>sousedním</w:t>
      </w:r>
      <w:r w:rsidR="00B9271C">
        <w:t xml:space="preserve"> </w:t>
      </w:r>
      <w:r w:rsidR="00B9271C" w:rsidRPr="00B05565">
        <w:t>pozemku</w:t>
      </w:r>
      <w:r w:rsidR="00B9271C">
        <w:t xml:space="preserve"> </w:t>
      </w:r>
      <w:r w:rsidR="00B9271C" w:rsidRPr="00B05565">
        <w:t>a</w:t>
      </w:r>
      <w:r w:rsidR="00B9271C">
        <w:t xml:space="preserve"> </w:t>
      </w:r>
      <w:r w:rsidR="00B9271C" w:rsidRPr="00B05565">
        <w:t>při</w:t>
      </w:r>
      <w:r w:rsidR="00B9271C">
        <w:t xml:space="preserve"> </w:t>
      </w:r>
      <w:r w:rsidR="00B9271C" w:rsidRPr="00B05565">
        <w:t>jiném</w:t>
      </w:r>
      <w:r w:rsidR="00B9271C">
        <w:t xml:space="preserve"> </w:t>
      </w:r>
      <w:r w:rsidR="00B9271C" w:rsidRPr="00B05565">
        <w:t>organizačním</w:t>
      </w:r>
      <w:r w:rsidR="00B9271C">
        <w:t xml:space="preserve"> </w:t>
      </w:r>
      <w:r w:rsidR="00B9271C" w:rsidRPr="00B05565">
        <w:t>uspořádání</w:t>
      </w:r>
      <w:r w:rsidR="00B9271C">
        <w:t xml:space="preserve"> </w:t>
      </w:r>
      <w:r w:rsidR="00B9271C" w:rsidRPr="00B05565">
        <w:t>by</w:t>
      </w:r>
      <w:r w:rsidR="00B9271C">
        <w:t xml:space="preserve"> </w:t>
      </w:r>
      <w:r w:rsidR="00B9271C" w:rsidRPr="00B05565">
        <w:t>mohlo</w:t>
      </w:r>
      <w:r w:rsidR="00B9271C">
        <w:t xml:space="preserve"> </w:t>
      </w:r>
      <w:r w:rsidR="00B9271C" w:rsidRPr="00B05565">
        <w:t>být</w:t>
      </w:r>
      <w:r w:rsidR="00B9271C">
        <w:t xml:space="preserve"> </w:t>
      </w:r>
      <w:r w:rsidR="00B9271C" w:rsidRPr="00B05565">
        <w:t>zapsáno</w:t>
      </w:r>
      <w:r w:rsidR="00B9271C">
        <w:t xml:space="preserve"> </w:t>
      </w:r>
      <w:r w:rsidR="00B9271C" w:rsidRPr="00B05565">
        <w:t>ve</w:t>
      </w:r>
      <w:r w:rsidR="00B9271C">
        <w:t xml:space="preserve"> </w:t>
      </w:r>
      <w:r w:rsidR="00B9271C" w:rsidRPr="00B05565">
        <w:t>školském</w:t>
      </w:r>
      <w:r w:rsidR="00B9271C">
        <w:t xml:space="preserve"> </w:t>
      </w:r>
      <w:r w:rsidR="00B9271C" w:rsidRPr="00B05565">
        <w:t>rejstříku</w:t>
      </w:r>
      <w:r w:rsidR="00B9271C">
        <w:t xml:space="preserve"> </w:t>
      </w:r>
      <w:r w:rsidR="00B9271C" w:rsidRPr="00B05565">
        <w:t>jako</w:t>
      </w:r>
      <w:r w:rsidR="00B9271C">
        <w:t xml:space="preserve"> </w:t>
      </w:r>
      <w:r w:rsidR="00B9271C" w:rsidRPr="00B05565">
        <w:t>samostatná</w:t>
      </w:r>
      <w:r w:rsidR="00B9271C">
        <w:t xml:space="preserve"> </w:t>
      </w:r>
      <w:r w:rsidR="00B9271C" w:rsidRPr="00B05565">
        <w:t>právnická</w:t>
      </w:r>
      <w:r w:rsidR="00B9271C">
        <w:t xml:space="preserve"> </w:t>
      </w:r>
      <w:r w:rsidR="00B9271C" w:rsidRPr="00B05565">
        <w:t>osoba</w:t>
      </w:r>
      <w:r w:rsidR="00B9271C">
        <w:t xml:space="preserve"> </w:t>
      </w:r>
      <w:r w:rsidR="00B9271C" w:rsidRPr="00B05565">
        <w:t>(dále</w:t>
      </w:r>
      <w:r w:rsidR="00B9271C">
        <w:t xml:space="preserve"> </w:t>
      </w:r>
      <w:r w:rsidR="00B9271C" w:rsidRPr="00B05565">
        <w:t>jen</w:t>
      </w:r>
      <w:r w:rsidR="00B9271C">
        <w:t xml:space="preserve"> </w:t>
      </w:r>
      <w:r w:rsidR="00B9271C" w:rsidRPr="00B05565">
        <w:t>"další</w:t>
      </w:r>
      <w:r w:rsidR="00B9271C">
        <w:t xml:space="preserve"> </w:t>
      </w:r>
      <w:r w:rsidR="00B9271C" w:rsidRPr="00B05565">
        <w:t>pracoviště"),</w:t>
      </w:r>
    </w:p>
    <w:p w14:paraId="5C6B78DE" w14:textId="0F0FE80E" w:rsidR="00B9271C" w:rsidRPr="00B05565" w:rsidRDefault="00553C64" w:rsidP="00A84DD3">
      <w:pPr>
        <w:pStyle w:val="Textparagrafu"/>
        <w:tabs>
          <w:tab w:val="left" w:pos="426"/>
          <w:tab w:val="left" w:pos="840"/>
        </w:tabs>
        <w:spacing w:before="0"/>
        <w:ind w:left="850" w:hanging="425"/>
      </w:pPr>
      <w:r>
        <w:tab/>
      </w:r>
      <w:r w:rsidR="00B9271C" w:rsidRPr="00B05565">
        <w:t>4.</w:t>
      </w:r>
      <w:r>
        <w:tab/>
      </w:r>
      <w:r w:rsidR="00B9271C" w:rsidRPr="00B05565">
        <w:t>normativy</w:t>
      </w:r>
      <w:r w:rsidR="00B9271C">
        <w:t xml:space="preserve"> </w:t>
      </w:r>
      <w:r w:rsidR="00B9271C" w:rsidRPr="00B05565">
        <w:t>jako</w:t>
      </w:r>
      <w:r w:rsidR="00B9271C">
        <w:t xml:space="preserve"> </w:t>
      </w:r>
      <w:r w:rsidR="00B9271C" w:rsidRPr="00B05565">
        <w:t>roční</w:t>
      </w:r>
      <w:r w:rsidR="00B9271C">
        <w:t xml:space="preserve"> </w:t>
      </w:r>
      <w:r w:rsidR="00B9271C" w:rsidRPr="00B05565">
        <w:t>výši</w:t>
      </w:r>
      <w:r w:rsidR="00B9271C">
        <w:t xml:space="preserve"> </w:t>
      </w:r>
      <w:r w:rsidR="00B9271C" w:rsidRPr="00B05565">
        <w:t>výdajů</w:t>
      </w:r>
      <w:r w:rsidR="00B9271C">
        <w:t xml:space="preserve"> </w:t>
      </w:r>
      <w:r w:rsidR="00B9271C" w:rsidRPr="00B05565">
        <w:t>státního</w:t>
      </w:r>
      <w:r w:rsidR="00B9271C">
        <w:t xml:space="preserve"> </w:t>
      </w:r>
      <w:r w:rsidR="00B9271C" w:rsidRPr="00B05565">
        <w:t>rozpočtu</w:t>
      </w:r>
      <w:r w:rsidR="00B9271C">
        <w:t xml:space="preserve"> </w:t>
      </w:r>
      <w:r w:rsidR="00B9271C" w:rsidRPr="00B05565">
        <w:t>na</w:t>
      </w:r>
      <w:r w:rsidR="00B9271C">
        <w:t xml:space="preserve"> </w:t>
      </w:r>
      <w:r w:rsidR="00B9271C" w:rsidRPr="00B05565">
        <w:t>další</w:t>
      </w:r>
      <w:r w:rsidR="00B9271C">
        <w:t xml:space="preserve"> </w:t>
      </w:r>
      <w:r w:rsidR="00B9271C" w:rsidRPr="00B05565">
        <w:t>výdaje</w:t>
      </w:r>
      <w:r w:rsidR="00B9271C">
        <w:t xml:space="preserve"> </w:t>
      </w:r>
      <w:r w:rsidR="00B9271C" w:rsidRPr="00B05565">
        <w:t>školy</w:t>
      </w:r>
      <w:r w:rsidR="00B9271C">
        <w:t xml:space="preserve"> </w:t>
      </w:r>
      <w:r w:rsidR="00B9271C" w:rsidRPr="00B05565">
        <w:t>související</w:t>
      </w:r>
      <w:r w:rsidR="00B9271C">
        <w:t xml:space="preserve"> </w:t>
      </w:r>
      <w:r w:rsidR="00B9271C" w:rsidRPr="00B05565">
        <w:t>s</w:t>
      </w:r>
      <w:r w:rsidR="00B9271C">
        <w:t xml:space="preserve"> </w:t>
      </w:r>
      <w:r w:rsidR="00B9271C" w:rsidRPr="00B05565">
        <w:t>adaptačním</w:t>
      </w:r>
      <w:r w:rsidR="00B9271C">
        <w:t xml:space="preserve"> </w:t>
      </w:r>
      <w:r w:rsidR="00B9271C" w:rsidRPr="00B05565">
        <w:t>obdobím</w:t>
      </w:r>
      <w:r w:rsidR="00B9271C">
        <w:t xml:space="preserve"> </w:t>
      </w:r>
      <w:r w:rsidR="00B9271C" w:rsidRPr="00B05565">
        <w:t>podle</w:t>
      </w:r>
      <w:r w:rsidR="00B9271C">
        <w:t xml:space="preserve"> </w:t>
      </w:r>
      <w:r w:rsidR="00B9271C" w:rsidRPr="00B05565">
        <w:t>jiného</w:t>
      </w:r>
      <w:r w:rsidR="00B9271C">
        <w:t xml:space="preserve"> </w:t>
      </w:r>
      <w:r w:rsidR="00B9271C" w:rsidRPr="00B05565">
        <w:t>právního</w:t>
      </w:r>
      <w:r w:rsidR="00B9271C">
        <w:t xml:space="preserve"> </w:t>
      </w:r>
      <w:r w:rsidR="00A508C6">
        <w:t>předpisu</w:t>
      </w:r>
      <w:r w:rsidR="00A508C6">
        <w:rPr>
          <w:rStyle w:val="Znakapoznpodarou"/>
        </w:rPr>
        <w:footnoteReference w:customMarkFollows="1" w:id="478"/>
        <w:t>61)</w:t>
      </w:r>
      <w:r w:rsidR="00B9271C">
        <w:t xml:space="preserve"> </w:t>
      </w:r>
      <w:r w:rsidR="00B9271C" w:rsidRPr="00B05565">
        <w:t>připadající</w:t>
      </w:r>
      <w:r w:rsidR="00B9271C">
        <w:t xml:space="preserve"> </w:t>
      </w:r>
      <w:r w:rsidR="00B9271C" w:rsidRPr="00B05565">
        <w:t>na</w:t>
      </w:r>
      <w:r w:rsidR="00B9271C">
        <w:t xml:space="preserve"> </w:t>
      </w:r>
      <w:r w:rsidR="00B9271C" w:rsidRPr="00B05565">
        <w:t>1</w:t>
      </w:r>
      <w:r w:rsidR="00B9271C">
        <w:t xml:space="preserve"> </w:t>
      </w:r>
      <w:r w:rsidR="00B9271C" w:rsidRPr="00B05565">
        <w:t>učitele</w:t>
      </w:r>
      <w:r w:rsidR="00B9271C">
        <w:t xml:space="preserve"> </w:t>
      </w:r>
      <w:r w:rsidR="00B9271C" w:rsidRPr="00B05565">
        <w:t>v</w:t>
      </w:r>
      <w:r w:rsidR="00B9271C">
        <w:t xml:space="preserve"> </w:t>
      </w:r>
      <w:r w:rsidR="00B9271C" w:rsidRPr="00B05565">
        <w:t>adaptačním</w:t>
      </w:r>
      <w:r w:rsidR="00B9271C">
        <w:t xml:space="preserve"> </w:t>
      </w:r>
      <w:r w:rsidR="00B9271C" w:rsidRPr="00B05565">
        <w:t>období,</w:t>
      </w:r>
    </w:p>
    <w:p w14:paraId="2208C39A" w14:textId="7AC46292" w:rsidR="00B9271C" w:rsidRDefault="00553C64" w:rsidP="00A84DD3">
      <w:pPr>
        <w:pStyle w:val="Textparagrafu"/>
        <w:tabs>
          <w:tab w:val="left" w:pos="426"/>
          <w:tab w:val="left" w:pos="840"/>
        </w:tabs>
        <w:spacing w:before="0"/>
        <w:ind w:left="850" w:hanging="425"/>
      </w:pPr>
      <w:r>
        <w:tab/>
      </w:r>
      <w:r w:rsidR="00B9271C" w:rsidRPr="00B05565">
        <w:t>5.</w:t>
      </w:r>
      <w:r>
        <w:tab/>
      </w:r>
      <w:r w:rsidR="00B9271C" w:rsidRPr="00B05565">
        <w:t>opravné</w:t>
      </w:r>
      <w:r w:rsidR="00B9271C">
        <w:t xml:space="preserve"> </w:t>
      </w:r>
      <w:r w:rsidR="00B9271C" w:rsidRPr="00B05565">
        <w:t>koeficienty</w:t>
      </w:r>
      <w:r w:rsidR="00B9271C">
        <w:t xml:space="preserve"> </w:t>
      </w:r>
      <w:r w:rsidR="00B9271C" w:rsidRPr="00B05565">
        <w:t>k</w:t>
      </w:r>
      <w:r w:rsidR="00B9271C">
        <w:t xml:space="preserve"> </w:t>
      </w:r>
      <w:r w:rsidR="00B9271C" w:rsidRPr="00B05565">
        <w:t>normativům</w:t>
      </w:r>
      <w:r w:rsidR="00B9271C">
        <w:t xml:space="preserve"> </w:t>
      </w:r>
      <w:r w:rsidR="00B9271C" w:rsidRPr="00B05565">
        <w:t>na</w:t>
      </w:r>
      <w:r w:rsidR="00B9271C">
        <w:t xml:space="preserve"> </w:t>
      </w:r>
      <w:r w:rsidR="00B9271C" w:rsidRPr="00B05565">
        <w:t>1</w:t>
      </w:r>
      <w:r w:rsidR="00B9271C">
        <w:t xml:space="preserve"> </w:t>
      </w:r>
      <w:r w:rsidR="00B9271C" w:rsidRPr="00B05565">
        <w:t>třídu</w:t>
      </w:r>
      <w:r w:rsidR="00B9271C">
        <w:t xml:space="preserve"> </w:t>
      </w:r>
      <w:r w:rsidR="00B9271C" w:rsidRPr="00B05565">
        <w:t>v</w:t>
      </w:r>
      <w:r w:rsidR="00B9271C">
        <w:t xml:space="preserve"> </w:t>
      </w:r>
      <w:r w:rsidR="00B9271C" w:rsidRPr="00B05565">
        <w:t>oboru</w:t>
      </w:r>
      <w:r w:rsidR="00B9271C">
        <w:t xml:space="preserve"> </w:t>
      </w:r>
      <w:r w:rsidR="00B9271C" w:rsidRPr="00B05565">
        <w:t>vzdělání</w:t>
      </w:r>
      <w:r w:rsidR="00B9271C">
        <w:t xml:space="preserve"> </w:t>
      </w:r>
      <w:r w:rsidR="00B9271C" w:rsidRPr="00B05565">
        <w:t>střední</w:t>
      </w:r>
      <w:r w:rsidR="00B9271C">
        <w:t xml:space="preserve"> </w:t>
      </w:r>
      <w:r w:rsidR="00B9271C" w:rsidRPr="00B05565">
        <w:t>školy</w:t>
      </w:r>
      <w:r w:rsidR="00B9271C">
        <w:t xml:space="preserve"> </w:t>
      </w:r>
      <w:r w:rsidR="00B9271C" w:rsidRPr="00B05565">
        <w:t>a</w:t>
      </w:r>
      <w:r w:rsidR="00B9271C">
        <w:t xml:space="preserve"> </w:t>
      </w:r>
      <w:r w:rsidR="00B9271C" w:rsidRPr="00B05565">
        <w:t>na</w:t>
      </w:r>
      <w:r w:rsidR="00B9271C">
        <w:t xml:space="preserve"> </w:t>
      </w:r>
      <w:r w:rsidR="00B9271C" w:rsidRPr="00B05565">
        <w:t>1</w:t>
      </w:r>
      <w:r w:rsidR="00B9271C">
        <w:t xml:space="preserve"> </w:t>
      </w:r>
      <w:r w:rsidR="00B9271C" w:rsidRPr="00B05565">
        <w:t>žáka</w:t>
      </w:r>
      <w:r w:rsidR="00B9271C">
        <w:t xml:space="preserve"> </w:t>
      </w:r>
      <w:r w:rsidR="00B9271C" w:rsidRPr="00B05565">
        <w:t>v</w:t>
      </w:r>
      <w:r w:rsidR="00B9271C">
        <w:t xml:space="preserve"> </w:t>
      </w:r>
      <w:r w:rsidR="00B9271C" w:rsidRPr="00B05565">
        <w:t>oboru</w:t>
      </w:r>
      <w:r w:rsidR="00B9271C">
        <w:t xml:space="preserve"> </w:t>
      </w:r>
      <w:r w:rsidR="00B9271C" w:rsidRPr="00B05565">
        <w:t>vzdělání</w:t>
      </w:r>
      <w:r w:rsidR="00B9271C">
        <w:t xml:space="preserve"> </w:t>
      </w:r>
      <w:r w:rsidR="00B9271C" w:rsidRPr="00B05565">
        <w:t>konzervatoře</w:t>
      </w:r>
      <w:r w:rsidR="00B9271C">
        <w:t xml:space="preserve"> </w:t>
      </w:r>
      <w:r w:rsidR="00B9271C" w:rsidRPr="00B05565">
        <w:t>podle</w:t>
      </w:r>
      <w:r w:rsidR="00B9271C">
        <w:t xml:space="preserve"> </w:t>
      </w:r>
      <w:r w:rsidR="00B9271C" w:rsidRPr="00B05565">
        <w:t>bodu</w:t>
      </w:r>
      <w:r w:rsidR="00B9271C">
        <w:t xml:space="preserve"> </w:t>
      </w:r>
      <w:r w:rsidR="00B9271C" w:rsidRPr="00B05565">
        <w:t>3</w:t>
      </w:r>
      <w:r w:rsidR="00B9271C">
        <w:t xml:space="preserve"> </w:t>
      </w:r>
      <w:r w:rsidR="00B9271C" w:rsidRPr="00B05565">
        <w:t>pro</w:t>
      </w:r>
      <w:r w:rsidR="00B9271C">
        <w:t xml:space="preserve"> </w:t>
      </w:r>
      <w:r w:rsidR="00B9271C" w:rsidRPr="00B05565">
        <w:t>jiné</w:t>
      </w:r>
      <w:r w:rsidR="00B9271C">
        <w:t xml:space="preserve"> </w:t>
      </w:r>
      <w:r w:rsidR="00B9271C" w:rsidRPr="00B05565">
        <w:t>než</w:t>
      </w:r>
      <w:r w:rsidR="00B9271C">
        <w:t xml:space="preserve"> </w:t>
      </w:r>
      <w:r w:rsidR="00B9271C" w:rsidRPr="00B05565">
        <w:t>denní</w:t>
      </w:r>
      <w:r w:rsidR="00B9271C">
        <w:t xml:space="preserve"> </w:t>
      </w:r>
      <w:r w:rsidR="00B9271C" w:rsidRPr="00B05565">
        <w:t>formy</w:t>
      </w:r>
      <w:r w:rsidR="00B9271C">
        <w:t xml:space="preserve"> </w:t>
      </w:r>
      <w:r w:rsidR="00B9271C" w:rsidRPr="00B05565">
        <w:t>vzdělávání,</w:t>
      </w:r>
    </w:p>
    <w:p w14:paraId="4544B473" w14:textId="07841EC8" w:rsidR="00B9271C" w:rsidRPr="00B05565" w:rsidRDefault="00B9271C" w:rsidP="00AB5ED2">
      <w:pPr>
        <w:pStyle w:val="Textparagrafu"/>
        <w:tabs>
          <w:tab w:val="left" w:pos="392"/>
          <w:tab w:val="left" w:pos="840"/>
        </w:tabs>
        <w:spacing w:before="0"/>
        <w:ind w:left="426" w:hanging="426"/>
      </w:pPr>
      <w:r w:rsidRPr="00B05565">
        <w:t>b)</w:t>
      </w:r>
      <w:r w:rsidR="0072479D">
        <w:tab/>
      </w:r>
      <w:r w:rsidRPr="00B05565">
        <w:t>pro</w:t>
      </w:r>
      <w:r>
        <w:t xml:space="preserve"> </w:t>
      </w:r>
      <w:r w:rsidRPr="00B05565">
        <w:t>školní</w:t>
      </w:r>
      <w:r>
        <w:t xml:space="preserve"> </w:t>
      </w:r>
      <w:r w:rsidRPr="00B05565">
        <w:t>družiny</w:t>
      </w:r>
      <w:r>
        <w:t xml:space="preserve"> </w:t>
      </w:r>
      <w:r w:rsidRPr="00B05565">
        <w:t>zřizované</w:t>
      </w:r>
      <w:r>
        <w:t xml:space="preserve"> </w:t>
      </w:r>
      <w:r w:rsidRPr="00B05565">
        <w:t>krajem,</w:t>
      </w:r>
      <w:r>
        <w:t xml:space="preserve"> </w:t>
      </w:r>
      <w:r w:rsidRPr="00B05565">
        <w:t>obcí</w:t>
      </w:r>
      <w:r>
        <w:t xml:space="preserve"> </w:t>
      </w:r>
      <w:r w:rsidRPr="00B05565">
        <w:t>nebo</w:t>
      </w:r>
      <w:r>
        <w:t xml:space="preserve"> </w:t>
      </w:r>
      <w:r w:rsidRPr="00B05565">
        <w:t>svazkem</w:t>
      </w:r>
      <w:r>
        <w:t xml:space="preserve"> </w:t>
      </w:r>
      <w:r w:rsidRPr="00B05565">
        <w:t>obcí</w:t>
      </w:r>
      <w:r>
        <w:t xml:space="preserve"> </w:t>
      </w:r>
      <w:r w:rsidRPr="00B05565">
        <w:t>normativy</w:t>
      </w:r>
      <w:r>
        <w:t xml:space="preserve"> </w:t>
      </w:r>
      <w:r w:rsidRPr="00B05565">
        <w:t>podle</w:t>
      </w:r>
    </w:p>
    <w:p w14:paraId="77CB80E2" w14:textId="715BC996" w:rsidR="00B9271C" w:rsidRPr="00B05565" w:rsidRDefault="0072479D" w:rsidP="00A84DD3">
      <w:pPr>
        <w:pStyle w:val="Textparagrafu"/>
        <w:tabs>
          <w:tab w:val="left" w:pos="426"/>
          <w:tab w:val="left" w:pos="840"/>
        </w:tabs>
        <w:spacing w:before="0"/>
        <w:ind w:left="850" w:hanging="425"/>
      </w:pPr>
      <w:r>
        <w:tab/>
      </w:r>
      <w:r w:rsidR="00B9271C" w:rsidRPr="00B05565">
        <w:t>1.</w:t>
      </w:r>
      <w:r>
        <w:tab/>
      </w:r>
      <w:r w:rsidR="00B9271C" w:rsidRPr="00B05565">
        <w:t>písmene</w:t>
      </w:r>
      <w:r w:rsidR="00B9271C">
        <w:t xml:space="preserve"> </w:t>
      </w:r>
      <w:r w:rsidR="00B9271C" w:rsidRPr="00B05565">
        <w:t>a)</w:t>
      </w:r>
      <w:r w:rsidR="00B9271C">
        <w:t xml:space="preserve"> </w:t>
      </w:r>
      <w:r w:rsidR="00B9271C" w:rsidRPr="00B05565">
        <w:t>bodu</w:t>
      </w:r>
      <w:r w:rsidR="00B9271C">
        <w:t xml:space="preserve"> </w:t>
      </w:r>
      <w:r w:rsidR="00B9271C" w:rsidRPr="00B05565">
        <w:t>1,</w:t>
      </w:r>
    </w:p>
    <w:p w14:paraId="551C4786" w14:textId="69518516" w:rsidR="00B9271C" w:rsidRDefault="0072479D" w:rsidP="00A84DD3">
      <w:pPr>
        <w:pStyle w:val="Textparagrafu"/>
        <w:tabs>
          <w:tab w:val="left" w:pos="426"/>
          <w:tab w:val="left" w:pos="840"/>
        </w:tabs>
        <w:spacing w:before="0"/>
        <w:ind w:left="850" w:hanging="425"/>
      </w:pPr>
      <w:r>
        <w:tab/>
      </w:r>
      <w:r w:rsidR="00B9271C" w:rsidRPr="00B05565">
        <w:t>2.</w:t>
      </w:r>
      <w:r>
        <w:tab/>
      </w:r>
      <w:r w:rsidR="00B9271C" w:rsidRPr="00B05565">
        <w:t>písmene</w:t>
      </w:r>
      <w:r w:rsidR="00B9271C">
        <w:t xml:space="preserve"> </w:t>
      </w:r>
      <w:r w:rsidR="00B9271C" w:rsidRPr="00B05565">
        <w:t>a)</w:t>
      </w:r>
      <w:r w:rsidR="00B9271C">
        <w:t xml:space="preserve"> </w:t>
      </w:r>
      <w:r w:rsidR="00B9271C" w:rsidRPr="00B05565">
        <w:t>bodu</w:t>
      </w:r>
      <w:r w:rsidR="00B9271C">
        <w:t xml:space="preserve"> </w:t>
      </w:r>
      <w:r w:rsidR="00B9271C" w:rsidRPr="00B05565">
        <w:t>2,</w:t>
      </w:r>
    </w:p>
    <w:p w14:paraId="38F0CF66" w14:textId="03FAC2B8" w:rsidR="00B9271C" w:rsidRPr="00B05565" w:rsidRDefault="00B9271C" w:rsidP="00AB5ED2">
      <w:pPr>
        <w:pStyle w:val="Textparagrafu"/>
        <w:tabs>
          <w:tab w:val="left" w:pos="392"/>
          <w:tab w:val="left" w:pos="840"/>
        </w:tabs>
        <w:spacing w:before="0"/>
        <w:ind w:left="426" w:hanging="426"/>
      </w:pPr>
      <w:r w:rsidRPr="00B05565">
        <w:t>c)</w:t>
      </w:r>
      <w:r w:rsidR="0072479D">
        <w:tab/>
      </w:r>
      <w:r w:rsidRPr="00B05565">
        <w:t>pro</w:t>
      </w:r>
      <w:r>
        <w:t xml:space="preserve"> </w:t>
      </w:r>
      <w:r w:rsidRPr="00B05565">
        <w:t>vyšší</w:t>
      </w:r>
      <w:r>
        <w:t xml:space="preserve"> </w:t>
      </w:r>
      <w:r w:rsidRPr="00B05565">
        <w:t>odborné</w:t>
      </w:r>
      <w:r>
        <w:t xml:space="preserve"> </w:t>
      </w:r>
      <w:r w:rsidRPr="00B05565">
        <w:t>školy</w:t>
      </w:r>
      <w:r>
        <w:t xml:space="preserve"> </w:t>
      </w:r>
      <w:r w:rsidRPr="00B05565">
        <w:t>zřizované</w:t>
      </w:r>
      <w:r>
        <w:t xml:space="preserve"> </w:t>
      </w:r>
      <w:r w:rsidRPr="00B05565">
        <w:t>krajem,</w:t>
      </w:r>
      <w:r>
        <w:t xml:space="preserve"> </w:t>
      </w:r>
      <w:r w:rsidRPr="00B05565">
        <w:t>obcí</w:t>
      </w:r>
      <w:r>
        <w:t xml:space="preserve"> </w:t>
      </w:r>
      <w:r w:rsidRPr="00B05565">
        <w:t>nebo</w:t>
      </w:r>
      <w:r>
        <w:t xml:space="preserve"> </w:t>
      </w:r>
      <w:r w:rsidRPr="00B05565">
        <w:t>svazkem</w:t>
      </w:r>
      <w:r>
        <w:t xml:space="preserve"> </w:t>
      </w:r>
      <w:r w:rsidRPr="00B05565">
        <w:t>obcí</w:t>
      </w:r>
    </w:p>
    <w:p w14:paraId="09514F3B" w14:textId="74854113" w:rsidR="00B9271C" w:rsidRPr="00B05565" w:rsidRDefault="0072479D" w:rsidP="00A84DD3">
      <w:pPr>
        <w:pStyle w:val="Textparagrafu"/>
        <w:tabs>
          <w:tab w:val="left" w:pos="426"/>
          <w:tab w:val="left" w:pos="840"/>
        </w:tabs>
        <w:spacing w:before="0"/>
        <w:ind w:left="850" w:hanging="425"/>
      </w:pPr>
      <w:r>
        <w:tab/>
      </w:r>
      <w:r w:rsidR="00B9271C" w:rsidRPr="00B05565">
        <w:t>1.</w:t>
      </w:r>
      <w:r>
        <w:tab/>
      </w:r>
      <w:r w:rsidR="00B9271C" w:rsidRPr="00B05565">
        <w:t>normativy</w:t>
      </w:r>
      <w:r w:rsidR="00B9271C">
        <w:t xml:space="preserve"> </w:t>
      </w:r>
      <w:r w:rsidR="00B9271C" w:rsidRPr="00B05565">
        <w:t>jako</w:t>
      </w:r>
      <w:r w:rsidR="00B9271C">
        <w:t xml:space="preserve"> </w:t>
      </w:r>
      <w:r w:rsidR="00B9271C" w:rsidRPr="00B05565">
        <w:t>roční</w:t>
      </w:r>
      <w:r w:rsidR="00B9271C">
        <w:t xml:space="preserve"> </w:t>
      </w:r>
      <w:r w:rsidR="00B9271C" w:rsidRPr="00B05565">
        <w:t>výši</w:t>
      </w:r>
      <w:r w:rsidR="00B9271C">
        <w:t xml:space="preserve"> </w:t>
      </w:r>
      <w:r w:rsidR="00B9271C" w:rsidRPr="00B05565">
        <w:t>výdajů</w:t>
      </w:r>
      <w:r w:rsidR="00B9271C">
        <w:t xml:space="preserve"> </w:t>
      </w:r>
      <w:r w:rsidR="00B9271C" w:rsidRPr="00B05565">
        <w:t>státního</w:t>
      </w:r>
      <w:r w:rsidR="00B9271C">
        <w:t xml:space="preserve"> </w:t>
      </w:r>
      <w:r w:rsidR="00B9271C" w:rsidRPr="00B05565">
        <w:t>rozpočtu</w:t>
      </w:r>
      <w:r w:rsidR="00B9271C">
        <w:t xml:space="preserve"> </w:t>
      </w:r>
      <w:r w:rsidR="00B9271C" w:rsidRPr="00B05565">
        <w:t>na</w:t>
      </w:r>
      <w:r w:rsidR="00B9271C">
        <w:t xml:space="preserve"> </w:t>
      </w:r>
      <w:r w:rsidR="00B9271C" w:rsidRPr="00B05565">
        <w:t>platy</w:t>
      </w:r>
      <w:r w:rsidR="00B9271C">
        <w:t xml:space="preserve"> </w:t>
      </w:r>
      <w:r w:rsidR="00B9271C" w:rsidRPr="00B05565">
        <w:t>a</w:t>
      </w:r>
      <w:r w:rsidR="00B9271C">
        <w:t xml:space="preserve"> </w:t>
      </w:r>
      <w:r w:rsidR="00B9271C" w:rsidRPr="00B05565">
        <w:t>ostatní</w:t>
      </w:r>
      <w:r w:rsidR="00B9271C">
        <w:t xml:space="preserve"> </w:t>
      </w:r>
      <w:r w:rsidR="00B9271C" w:rsidRPr="00B05565">
        <w:t>osobní</w:t>
      </w:r>
      <w:r w:rsidR="00B9271C">
        <w:t xml:space="preserve"> </w:t>
      </w:r>
      <w:r w:rsidR="00B9271C" w:rsidRPr="00B05565">
        <w:t>náklady</w:t>
      </w:r>
      <w:r w:rsidR="00B9271C">
        <w:t xml:space="preserve"> </w:t>
      </w:r>
      <w:r w:rsidR="00B9271C" w:rsidRPr="00B05565">
        <w:t>pro</w:t>
      </w:r>
      <w:r w:rsidR="00B9271C">
        <w:t xml:space="preserve"> </w:t>
      </w:r>
      <w:r w:rsidR="00B9271C" w:rsidRPr="00B05565">
        <w:t>pedagogické</w:t>
      </w:r>
      <w:r w:rsidR="00B9271C">
        <w:t xml:space="preserve"> </w:t>
      </w:r>
      <w:r w:rsidR="00B9271C" w:rsidRPr="00B05565">
        <w:t>pracovníky,</w:t>
      </w:r>
      <w:r w:rsidR="00B9271C">
        <w:t xml:space="preserve"> </w:t>
      </w:r>
      <w:r w:rsidR="00B9271C" w:rsidRPr="00B05565">
        <w:t>jakož</w:t>
      </w:r>
      <w:r w:rsidR="00B9271C">
        <w:t xml:space="preserve"> </w:t>
      </w:r>
      <w:r w:rsidR="00B9271C" w:rsidRPr="00B05565">
        <w:t>i</w:t>
      </w:r>
      <w:r w:rsidR="00B9271C">
        <w:t xml:space="preserve"> </w:t>
      </w:r>
      <w:r w:rsidR="00B9271C" w:rsidRPr="00B05565">
        <w:t>povinných</w:t>
      </w:r>
      <w:r w:rsidR="00B9271C">
        <w:t xml:space="preserve"> </w:t>
      </w:r>
      <w:r w:rsidR="00B9271C" w:rsidRPr="00B05565">
        <w:t>odvodů</w:t>
      </w:r>
      <w:r w:rsidR="00B9271C">
        <w:t xml:space="preserve"> </w:t>
      </w:r>
      <w:r w:rsidR="00B9271C" w:rsidRPr="00B05565">
        <w:t>připadající</w:t>
      </w:r>
      <w:r w:rsidR="00B9271C">
        <w:t xml:space="preserve"> </w:t>
      </w:r>
      <w:r w:rsidR="00B9271C" w:rsidRPr="00B05565">
        <w:t>na</w:t>
      </w:r>
      <w:r w:rsidR="00B9271C">
        <w:t xml:space="preserve"> </w:t>
      </w:r>
      <w:r w:rsidR="00B9271C" w:rsidRPr="00B05565">
        <w:t>1</w:t>
      </w:r>
      <w:r w:rsidR="00B9271C">
        <w:t xml:space="preserve"> </w:t>
      </w:r>
      <w:r w:rsidR="00B9271C" w:rsidRPr="00B05565">
        <w:t>studenta</w:t>
      </w:r>
      <w:r w:rsidR="00B9271C">
        <w:t xml:space="preserve"> </w:t>
      </w:r>
      <w:r w:rsidR="00B9271C" w:rsidRPr="00B05565">
        <w:t>v</w:t>
      </w:r>
      <w:r w:rsidR="00B9271C">
        <w:t xml:space="preserve"> </w:t>
      </w:r>
      <w:r w:rsidR="00B9271C" w:rsidRPr="00B05565">
        <w:t>denní</w:t>
      </w:r>
      <w:r w:rsidR="00B9271C">
        <w:t xml:space="preserve"> </w:t>
      </w:r>
      <w:r w:rsidR="00B9271C" w:rsidRPr="00B05565">
        <w:t>formě</w:t>
      </w:r>
      <w:r w:rsidR="00B9271C">
        <w:t xml:space="preserve"> </w:t>
      </w:r>
      <w:r w:rsidR="00B9271C" w:rsidRPr="00B05565">
        <w:t>vzdělávání</w:t>
      </w:r>
      <w:r w:rsidR="00B9271C">
        <w:t xml:space="preserve"> </w:t>
      </w:r>
      <w:r w:rsidR="00B9271C" w:rsidRPr="00B05565">
        <w:t>v</w:t>
      </w:r>
      <w:r w:rsidR="00B9271C">
        <w:t xml:space="preserve"> </w:t>
      </w:r>
      <w:r w:rsidR="00B9271C" w:rsidRPr="00B05565">
        <w:t>akreditovaném</w:t>
      </w:r>
      <w:r w:rsidR="00B9271C">
        <w:t xml:space="preserve"> </w:t>
      </w:r>
      <w:r w:rsidR="00B9271C" w:rsidRPr="00B05565">
        <w:t>vzdělávacím</w:t>
      </w:r>
      <w:r w:rsidR="00B9271C">
        <w:t xml:space="preserve"> </w:t>
      </w:r>
      <w:r w:rsidR="00B9271C" w:rsidRPr="00B05565">
        <w:t>programu,</w:t>
      </w:r>
    </w:p>
    <w:p w14:paraId="0F592F60" w14:textId="1D8CCECB" w:rsidR="00B9271C" w:rsidRPr="00B05565" w:rsidRDefault="0072479D" w:rsidP="00A84DD3">
      <w:pPr>
        <w:pStyle w:val="Textparagrafu"/>
        <w:tabs>
          <w:tab w:val="left" w:pos="426"/>
          <w:tab w:val="left" w:pos="840"/>
        </w:tabs>
        <w:spacing w:before="0"/>
        <w:ind w:left="850" w:hanging="425"/>
      </w:pPr>
      <w:r>
        <w:tab/>
      </w:r>
      <w:r w:rsidR="00B9271C" w:rsidRPr="00B05565">
        <w:t>2.</w:t>
      </w:r>
      <w:r>
        <w:tab/>
      </w:r>
      <w:r w:rsidR="00B9271C" w:rsidRPr="00B05565">
        <w:t>normativy</w:t>
      </w:r>
      <w:r w:rsidR="00B9271C">
        <w:t xml:space="preserve"> </w:t>
      </w:r>
      <w:r w:rsidR="00B9271C" w:rsidRPr="00B05565">
        <w:t>jako</w:t>
      </w:r>
      <w:r w:rsidR="00B9271C">
        <w:t xml:space="preserve"> </w:t>
      </w:r>
      <w:r w:rsidR="00B9271C" w:rsidRPr="00B05565">
        <w:t>roční</w:t>
      </w:r>
      <w:r w:rsidR="00B9271C">
        <w:t xml:space="preserve"> </w:t>
      </w:r>
      <w:r w:rsidR="00B9271C" w:rsidRPr="00B05565">
        <w:t>výši</w:t>
      </w:r>
      <w:r w:rsidR="00B9271C">
        <w:t xml:space="preserve"> </w:t>
      </w:r>
      <w:r w:rsidR="00B9271C" w:rsidRPr="00B05565">
        <w:t>výdajů</w:t>
      </w:r>
      <w:r w:rsidR="00B9271C">
        <w:t xml:space="preserve"> </w:t>
      </w:r>
      <w:r w:rsidR="00B9271C" w:rsidRPr="00B05565">
        <w:t>státního</w:t>
      </w:r>
      <w:r w:rsidR="00B9271C">
        <w:t xml:space="preserve"> </w:t>
      </w:r>
      <w:r w:rsidR="00B9271C" w:rsidRPr="00B05565">
        <w:t>rozpočtu</w:t>
      </w:r>
      <w:r w:rsidR="00B9271C">
        <w:t xml:space="preserve"> </w:t>
      </w:r>
      <w:r w:rsidR="00B9271C" w:rsidRPr="00B05565">
        <w:t>na</w:t>
      </w:r>
      <w:r w:rsidR="00B9271C">
        <w:t xml:space="preserve"> </w:t>
      </w:r>
      <w:r w:rsidR="00B9271C" w:rsidRPr="00B05565">
        <w:t>platy</w:t>
      </w:r>
      <w:r w:rsidR="00B9271C">
        <w:t xml:space="preserve"> </w:t>
      </w:r>
      <w:r w:rsidR="00B9271C" w:rsidRPr="00B05565">
        <w:t>a</w:t>
      </w:r>
      <w:r w:rsidR="00B9271C">
        <w:t xml:space="preserve"> </w:t>
      </w:r>
      <w:r w:rsidR="00B9271C" w:rsidRPr="00B05565">
        <w:t>ostatní</w:t>
      </w:r>
      <w:r w:rsidR="00B9271C">
        <w:t xml:space="preserve"> </w:t>
      </w:r>
      <w:r w:rsidR="00B9271C" w:rsidRPr="00B05565">
        <w:t>osobní</w:t>
      </w:r>
      <w:r w:rsidR="00B9271C">
        <w:t xml:space="preserve"> </w:t>
      </w:r>
      <w:r w:rsidR="00B9271C" w:rsidRPr="00B05565">
        <w:t>náklady,</w:t>
      </w:r>
      <w:r w:rsidR="00B9271C">
        <w:t xml:space="preserve"> </w:t>
      </w:r>
      <w:r w:rsidR="00B9271C" w:rsidRPr="00B05565">
        <w:t>jakož</w:t>
      </w:r>
      <w:r w:rsidR="00B9271C">
        <w:t xml:space="preserve"> </w:t>
      </w:r>
      <w:r w:rsidR="00B9271C" w:rsidRPr="00B05565">
        <w:t>i</w:t>
      </w:r>
      <w:r w:rsidR="00B9271C">
        <w:t xml:space="preserve"> </w:t>
      </w:r>
      <w:r w:rsidR="00B9271C" w:rsidRPr="00B05565">
        <w:t>povinných</w:t>
      </w:r>
      <w:r w:rsidR="00B9271C">
        <w:t xml:space="preserve"> </w:t>
      </w:r>
      <w:r w:rsidR="00B9271C" w:rsidRPr="00B05565">
        <w:t>odvodů</w:t>
      </w:r>
      <w:r w:rsidR="00B9271C">
        <w:t xml:space="preserve"> </w:t>
      </w:r>
      <w:r w:rsidR="00B9271C" w:rsidRPr="00B05565">
        <w:t>pro</w:t>
      </w:r>
      <w:r w:rsidR="00B9271C">
        <w:t xml:space="preserve"> </w:t>
      </w:r>
      <w:r w:rsidR="00B9271C" w:rsidRPr="00B05565">
        <w:t>ostatní</w:t>
      </w:r>
      <w:r w:rsidR="00B9271C">
        <w:t xml:space="preserve"> </w:t>
      </w:r>
      <w:r w:rsidR="00B9271C" w:rsidRPr="00B05565">
        <w:t>zaměstnance</w:t>
      </w:r>
      <w:r w:rsidR="00B9271C">
        <w:t xml:space="preserve"> </w:t>
      </w:r>
      <w:r w:rsidR="00B9271C" w:rsidRPr="00B05565">
        <w:t>připadající</w:t>
      </w:r>
      <w:r w:rsidR="00B9271C">
        <w:t xml:space="preserve"> </w:t>
      </w:r>
      <w:r w:rsidR="00B9271C" w:rsidRPr="00B05565">
        <w:t>na</w:t>
      </w:r>
      <w:r w:rsidR="00B9271C">
        <w:t xml:space="preserve"> </w:t>
      </w:r>
      <w:r w:rsidR="00B9271C" w:rsidRPr="00B05565">
        <w:t>1</w:t>
      </w:r>
      <w:r w:rsidR="00B9271C">
        <w:t xml:space="preserve"> </w:t>
      </w:r>
      <w:r w:rsidR="00B9271C" w:rsidRPr="00B05565">
        <w:t>právnickou</w:t>
      </w:r>
      <w:r w:rsidR="00B9271C">
        <w:t xml:space="preserve"> </w:t>
      </w:r>
      <w:r w:rsidR="00B9271C" w:rsidRPr="00B05565">
        <w:t>osobu</w:t>
      </w:r>
      <w:r w:rsidR="00B9271C">
        <w:t xml:space="preserve"> </w:t>
      </w:r>
      <w:r w:rsidR="00B9271C" w:rsidRPr="00B05565">
        <w:t>vykonávající</w:t>
      </w:r>
      <w:r w:rsidR="00B9271C">
        <w:t xml:space="preserve"> </w:t>
      </w:r>
      <w:r w:rsidR="00B9271C" w:rsidRPr="00B05565">
        <w:t>činnost</w:t>
      </w:r>
      <w:r w:rsidR="00B9271C">
        <w:t xml:space="preserve"> </w:t>
      </w:r>
      <w:r w:rsidR="00B9271C" w:rsidRPr="00B05565">
        <w:t>vyšší</w:t>
      </w:r>
      <w:r w:rsidR="00B9271C">
        <w:t xml:space="preserve"> </w:t>
      </w:r>
      <w:r w:rsidR="00B9271C" w:rsidRPr="00B05565">
        <w:t>odborné</w:t>
      </w:r>
      <w:r w:rsidR="00B9271C">
        <w:t xml:space="preserve"> </w:t>
      </w:r>
      <w:r w:rsidR="00B9271C" w:rsidRPr="00B05565">
        <w:t>školy,</w:t>
      </w:r>
      <w:r w:rsidR="00B9271C">
        <w:t xml:space="preserve"> </w:t>
      </w:r>
      <w:r w:rsidR="00B9271C" w:rsidRPr="00B05565">
        <w:t>na</w:t>
      </w:r>
      <w:r w:rsidR="00B9271C">
        <w:t xml:space="preserve"> </w:t>
      </w:r>
      <w:r w:rsidR="00B9271C" w:rsidRPr="00B05565">
        <w:t>1</w:t>
      </w:r>
      <w:r w:rsidR="00B9271C">
        <w:t xml:space="preserve"> </w:t>
      </w:r>
      <w:r w:rsidR="00B9271C" w:rsidRPr="00B05565">
        <w:t>další</w:t>
      </w:r>
      <w:r w:rsidR="00B9271C">
        <w:t xml:space="preserve"> </w:t>
      </w:r>
      <w:r w:rsidR="00B9271C" w:rsidRPr="00B05565">
        <w:t>pracoviště</w:t>
      </w:r>
      <w:r w:rsidR="00B9271C">
        <w:t xml:space="preserve"> </w:t>
      </w:r>
      <w:r w:rsidR="00B9271C" w:rsidRPr="00B05565">
        <w:t>téže</w:t>
      </w:r>
      <w:r w:rsidR="00B9271C">
        <w:t xml:space="preserve"> </w:t>
      </w:r>
      <w:r w:rsidR="00B9271C" w:rsidRPr="00B05565">
        <w:t>školy</w:t>
      </w:r>
      <w:r w:rsidR="00B9271C">
        <w:t xml:space="preserve"> </w:t>
      </w:r>
      <w:r w:rsidR="00B9271C" w:rsidRPr="00B05565">
        <w:t>a</w:t>
      </w:r>
      <w:r w:rsidR="00B9271C">
        <w:t xml:space="preserve"> </w:t>
      </w:r>
      <w:r w:rsidR="00B9271C" w:rsidRPr="00B05565">
        <w:t>na</w:t>
      </w:r>
      <w:r w:rsidR="00B9271C">
        <w:t xml:space="preserve"> </w:t>
      </w:r>
      <w:r w:rsidR="00B9271C" w:rsidRPr="00B05565">
        <w:t>1</w:t>
      </w:r>
      <w:r w:rsidR="00B9271C">
        <w:t xml:space="preserve"> </w:t>
      </w:r>
      <w:r w:rsidR="00B9271C" w:rsidRPr="00B05565">
        <w:t>studenta</w:t>
      </w:r>
      <w:r w:rsidR="00B9271C">
        <w:t xml:space="preserve"> </w:t>
      </w:r>
      <w:r w:rsidR="00B9271C" w:rsidRPr="00B05565">
        <w:t>v</w:t>
      </w:r>
      <w:r w:rsidR="00B9271C">
        <w:t xml:space="preserve"> </w:t>
      </w:r>
      <w:r w:rsidR="00B9271C" w:rsidRPr="00B05565">
        <w:t>denní</w:t>
      </w:r>
      <w:r w:rsidR="00B9271C">
        <w:t xml:space="preserve"> </w:t>
      </w:r>
      <w:r w:rsidR="00B9271C" w:rsidRPr="00B05565">
        <w:t>formě</w:t>
      </w:r>
      <w:r w:rsidR="00B9271C">
        <w:t xml:space="preserve"> </w:t>
      </w:r>
      <w:r w:rsidR="00B9271C" w:rsidRPr="00B05565">
        <w:t>vzdělávání</w:t>
      </w:r>
      <w:r w:rsidR="00B9271C">
        <w:t xml:space="preserve"> </w:t>
      </w:r>
      <w:r w:rsidR="00B9271C" w:rsidRPr="00B05565">
        <w:t>v</w:t>
      </w:r>
      <w:r w:rsidR="00B9271C">
        <w:t xml:space="preserve"> </w:t>
      </w:r>
      <w:r w:rsidR="00B9271C" w:rsidRPr="00B05565">
        <w:t>akreditovaném</w:t>
      </w:r>
      <w:r w:rsidR="00B9271C">
        <w:t xml:space="preserve"> </w:t>
      </w:r>
      <w:r w:rsidR="00B9271C" w:rsidRPr="00B05565">
        <w:t>vzdělávacím</w:t>
      </w:r>
      <w:r w:rsidR="00B9271C">
        <w:t xml:space="preserve"> </w:t>
      </w:r>
      <w:r w:rsidR="00B9271C" w:rsidRPr="00B05565">
        <w:t>programu,</w:t>
      </w:r>
    </w:p>
    <w:p w14:paraId="6B7B3E67" w14:textId="508F0618" w:rsidR="00B9271C" w:rsidRPr="00B05565" w:rsidRDefault="0072479D" w:rsidP="00A84DD3">
      <w:pPr>
        <w:pStyle w:val="Textparagrafu"/>
        <w:tabs>
          <w:tab w:val="left" w:pos="426"/>
          <w:tab w:val="left" w:pos="840"/>
        </w:tabs>
        <w:spacing w:before="0"/>
        <w:ind w:left="850" w:hanging="425"/>
      </w:pPr>
      <w:r>
        <w:tab/>
      </w:r>
      <w:r w:rsidR="00B9271C" w:rsidRPr="00B05565">
        <w:t>3.</w:t>
      </w:r>
      <w:r>
        <w:tab/>
      </w:r>
      <w:r w:rsidR="00B9271C" w:rsidRPr="00B05565">
        <w:t>opravné</w:t>
      </w:r>
      <w:r w:rsidR="00B9271C">
        <w:t xml:space="preserve"> </w:t>
      </w:r>
      <w:r w:rsidR="00B9271C" w:rsidRPr="00B05565">
        <w:t>koeficienty</w:t>
      </w:r>
      <w:r w:rsidR="00B9271C">
        <w:t xml:space="preserve"> </w:t>
      </w:r>
      <w:r w:rsidR="00B9271C" w:rsidRPr="00B05565">
        <w:t>k</w:t>
      </w:r>
      <w:r w:rsidR="00B9271C">
        <w:t xml:space="preserve"> </w:t>
      </w:r>
      <w:r w:rsidR="00B9271C" w:rsidRPr="00B05565">
        <w:t>normativům</w:t>
      </w:r>
      <w:r w:rsidR="00B9271C">
        <w:t xml:space="preserve"> </w:t>
      </w:r>
      <w:r w:rsidR="00B9271C" w:rsidRPr="00B05565">
        <w:t>podle</w:t>
      </w:r>
      <w:r w:rsidR="00B9271C">
        <w:t xml:space="preserve"> </w:t>
      </w:r>
      <w:r w:rsidR="00B9271C" w:rsidRPr="00B05565">
        <w:t>bodu</w:t>
      </w:r>
      <w:r w:rsidR="00B9271C">
        <w:t xml:space="preserve"> </w:t>
      </w:r>
      <w:r w:rsidR="00B9271C" w:rsidRPr="00B05565">
        <w:t>1</w:t>
      </w:r>
      <w:r w:rsidR="00B9271C">
        <w:t xml:space="preserve"> </w:t>
      </w:r>
      <w:r w:rsidR="00B9271C" w:rsidRPr="00B05565">
        <w:t>pro</w:t>
      </w:r>
      <w:r w:rsidR="00B9271C">
        <w:t xml:space="preserve"> </w:t>
      </w:r>
      <w:r w:rsidR="00B9271C" w:rsidRPr="00B05565">
        <w:t>jiné</w:t>
      </w:r>
      <w:r w:rsidR="00B9271C">
        <w:t xml:space="preserve"> </w:t>
      </w:r>
      <w:r w:rsidR="00B9271C" w:rsidRPr="00B05565">
        <w:t>než</w:t>
      </w:r>
      <w:r w:rsidR="00B9271C">
        <w:t xml:space="preserve"> </w:t>
      </w:r>
      <w:r w:rsidR="00B9271C" w:rsidRPr="00B05565">
        <w:t>denní</w:t>
      </w:r>
      <w:r w:rsidR="00B9271C">
        <w:t xml:space="preserve"> </w:t>
      </w:r>
      <w:r w:rsidR="00B9271C" w:rsidRPr="00B05565">
        <w:t>formy</w:t>
      </w:r>
      <w:r w:rsidR="00B9271C">
        <w:t xml:space="preserve"> </w:t>
      </w:r>
      <w:r w:rsidR="00B9271C" w:rsidRPr="00B05565">
        <w:t>vzdělávání,</w:t>
      </w:r>
    </w:p>
    <w:p w14:paraId="7215EF06" w14:textId="23212151" w:rsidR="00B9271C" w:rsidRPr="00B05565" w:rsidRDefault="0072479D" w:rsidP="00A84DD3">
      <w:pPr>
        <w:pStyle w:val="Textparagrafu"/>
        <w:tabs>
          <w:tab w:val="left" w:pos="426"/>
          <w:tab w:val="left" w:pos="840"/>
        </w:tabs>
        <w:spacing w:before="0"/>
        <w:ind w:left="850" w:hanging="425"/>
      </w:pPr>
      <w:r>
        <w:tab/>
      </w:r>
      <w:r w:rsidR="00B9271C" w:rsidRPr="00B05565">
        <w:t>4.</w:t>
      </w:r>
      <w:r>
        <w:tab/>
      </w:r>
      <w:r w:rsidR="00B9271C" w:rsidRPr="00B05565">
        <w:t>opravné</w:t>
      </w:r>
      <w:r w:rsidR="00B9271C">
        <w:t xml:space="preserve"> </w:t>
      </w:r>
      <w:r w:rsidR="00B9271C" w:rsidRPr="00B05565">
        <w:t>koeficienty</w:t>
      </w:r>
      <w:r w:rsidR="00B9271C">
        <w:t xml:space="preserve"> </w:t>
      </w:r>
      <w:r w:rsidR="00B9271C" w:rsidRPr="00B05565">
        <w:t>k</w:t>
      </w:r>
      <w:r w:rsidR="00B9271C">
        <w:t xml:space="preserve"> </w:t>
      </w:r>
      <w:r w:rsidR="00B9271C" w:rsidRPr="00B05565">
        <w:t>normativům</w:t>
      </w:r>
      <w:r w:rsidR="00B9271C">
        <w:t xml:space="preserve"> </w:t>
      </w:r>
      <w:r w:rsidR="00B9271C" w:rsidRPr="00B05565">
        <w:t>na</w:t>
      </w:r>
      <w:r w:rsidR="00B9271C">
        <w:t xml:space="preserve"> </w:t>
      </w:r>
      <w:r w:rsidR="00B9271C" w:rsidRPr="00B05565">
        <w:t>1</w:t>
      </w:r>
      <w:r w:rsidR="00B9271C">
        <w:t xml:space="preserve"> </w:t>
      </w:r>
      <w:r w:rsidR="00B9271C" w:rsidRPr="00B05565">
        <w:t>studenta</w:t>
      </w:r>
      <w:r w:rsidR="00B9271C">
        <w:t xml:space="preserve"> </w:t>
      </w:r>
      <w:r w:rsidR="00B9271C" w:rsidRPr="00B05565">
        <w:t>v</w:t>
      </w:r>
      <w:r w:rsidR="00B9271C">
        <w:t xml:space="preserve"> </w:t>
      </w:r>
      <w:r w:rsidR="00B9271C" w:rsidRPr="00B05565">
        <w:t>akreditovaném</w:t>
      </w:r>
      <w:r w:rsidR="00B9271C">
        <w:t xml:space="preserve"> </w:t>
      </w:r>
      <w:r w:rsidR="00B9271C" w:rsidRPr="00B05565">
        <w:t>vzdělávacím</w:t>
      </w:r>
      <w:r w:rsidR="00B9271C">
        <w:t xml:space="preserve"> </w:t>
      </w:r>
      <w:r w:rsidR="00B9271C" w:rsidRPr="00B05565">
        <w:t>programu</w:t>
      </w:r>
      <w:r w:rsidR="00B9271C">
        <w:t xml:space="preserve"> </w:t>
      </w:r>
      <w:r w:rsidR="00B9271C" w:rsidRPr="00B05565">
        <w:t>podle</w:t>
      </w:r>
      <w:r w:rsidR="00B9271C">
        <w:t xml:space="preserve"> </w:t>
      </w:r>
      <w:r w:rsidR="00B9271C" w:rsidRPr="00B05565">
        <w:t>bodu</w:t>
      </w:r>
      <w:r w:rsidR="00B9271C">
        <w:t xml:space="preserve"> </w:t>
      </w:r>
      <w:r w:rsidR="00B9271C" w:rsidRPr="00B05565">
        <w:t>2</w:t>
      </w:r>
      <w:r w:rsidR="00B9271C">
        <w:t xml:space="preserve"> </w:t>
      </w:r>
      <w:r w:rsidR="00B9271C" w:rsidRPr="00B05565">
        <w:t>pro</w:t>
      </w:r>
      <w:r w:rsidR="00B9271C">
        <w:t xml:space="preserve"> </w:t>
      </w:r>
      <w:r w:rsidR="00B9271C" w:rsidRPr="00B05565">
        <w:t>jiné</w:t>
      </w:r>
      <w:r w:rsidR="00B9271C">
        <w:t xml:space="preserve"> </w:t>
      </w:r>
      <w:r w:rsidR="00B9271C" w:rsidRPr="00B05565">
        <w:t>než</w:t>
      </w:r>
      <w:r w:rsidR="00B9271C">
        <w:t xml:space="preserve"> </w:t>
      </w:r>
      <w:r w:rsidR="00B9271C" w:rsidRPr="00B05565">
        <w:t>denní</w:t>
      </w:r>
      <w:r w:rsidR="00B9271C">
        <w:t xml:space="preserve"> </w:t>
      </w:r>
      <w:r w:rsidR="00B9271C" w:rsidRPr="00B05565">
        <w:t>formy</w:t>
      </w:r>
      <w:r w:rsidR="00B9271C">
        <w:t xml:space="preserve"> </w:t>
      </w:r>
      <w:r w:rsidR="00B9271C" w:rsidRPr="00B05565">
        <w:t>vzdělávání,</w:t>
      </w:r>
    </w:p>
    <w:p w14:paraId="4E7FB1E3" w14:textId="1EE29768" w:rsidR="00B9271C" w:rsidRDefault="0072479D" w:rsidP="00A84DD3">
      <w:pPr>
        <w:pStyle w:val="Textparagrafu"/>
        <w:tabs>
          <w:tab w:val="left" w:pos="426"/>
          <w:tab w:val="left" w:pos="840"/>
        </w:tabs>
        <w:spacing w:before="0"/>
        <w:ind w:left="850" w:hanging="425"/>
      </w:pPr>
      <w:r>
        <w:lastRenderedPageBreak/>
        <w:tab/>
      </w:r>
      <w:r w:rsidR="00B9271C" w:rsidRPr="00B05565">
        <w:t>5.</w:t>
      </w:r>
      <w:r>
        <w:tab/>
      </w:r>
      <w:r w:rsidR="00B9271C" w:rsidRPr="00B05565">
        <w:t>normativy</w:t>
      </w:r>
      <w:r w:rsidR="00B9271C">
        <w:t xml:space="preserve"> </w:t>
      </w:r>
      <w:r w:rsidR="00B9271C" w:rsidRPr="00B05565">
        <w:t>jako</w:t>
      </w:r>
      <w:r w:rsidR="00B9271C">
        <w:t xml:space="preserve"> </w:t>
      </w:r>
      <w:r w:rsidR="00B9271C" w:rsidRPr="00B05565">
        <w:t>roční</w:t>
      </w:r>
      <w:r w:rsidR="00B9271C">
        <w:t xml:space="preserve"> </w:t>
      </w:r>
      <w:r w:rsidR="00B9271C" w:rsidRPr="00B05565">
        <w:t>výši</w:t>
      </w:r>
      <w:r w:rsidR="00B9271C">
        <w:t xml:space="preserve"> </w:t>
      </w:r>
      <w:r w:rsidR="00B9271C" w:rsidRPr="00B05565">
        <w:t>výdajů</w:t>
      </w:r>
      <w:r w:rsidR="00B9271C">
        <w:t xml:space="preserve"> </w:t>
      </w:r>
      <w:r w:rsidR="00B9271C" w:rsidRPr="00B05565">
        <w:t>státního</w:t>
      </w:r>
      <w:r w:rsidR="00B9271C">
        <w:t xml:space="preserve"> </w:t>
      </w:r>
      <w:r w:rsidR="00B9271C" w:rsidRPr="00B05565">
        <w:t>rozpočtu</w:t>
      </w:r>
      <w:r w:rsidR="00B9271C">
        <w:t xml:space="preserve"> </w:t>
      </w:r>
      <w:r w:rsidR="00B9271C" w:rsidRPr="00B05565">
        <w:t>na</w:t>
      </w:r>
      <w:r w:rsidR="00B9271C">
        <w:t xml:space="preserve"> </w:t>
      </w:r>
      <w:r w:rsidR="00B9271C" w:rsidRPr="00B05565">
        <w:t>další</w:t>
      </w:r>
      <w:r w:rsidR="00B9271C">
        <w:t xml:space="preserve"> </w:t>
      </w:r>
      <w:r w:rsidR="00B9271C" w:rsidRPr="00B05565">
        <w:t>výdaje</w:t>
      </w:r>
      <w:r w:rsidR="00B9271C">
        <w:t xml:space="preserve"> </w:t>
      </w:r>
      <w:r w:rsidR="00B9271C" w:rsidRPr="00B05565">
        <w:t>školy</w:t>
      </w:r>
      <w:r w:rsidR="00B9271C">
        <w:t xml:space="preserve"> </w:t>
      </w:r>
      <w:r w:rsidR="00B9271C" w:rsidRPr="00B05565">
        <w:t>související</w:t>
      </w:r>
      <w:r w:rsidR="00B9271C">
        <w:t xml:space="preserve"> </w:t>
      </w:r>
      <w:r w:rsidR="00B9271C" w:rsidRPr="00B05565">
        <w:t>s</w:t>
      </w:r>
      <w:r w:rsidR="00B9271C">
        <w:t xml:space="preserve"> </w:t>
      </w:r>
      <w:r w:rsidR="00B9271C" w:rsidRPr="00B05565">
        <w:t>adaptačním</w:t>
      </w:r>
      <w:r w:rsidR="00B9271C">
        <w:t xml:space="preserve"> </w:t>
      </w:r>
      <w:r w:rsidR="00B9271C" w:rsidRPr="00B05565">
        <w:t>obdobím</w:t>
      </w:r>
      <w:r w:rsidR="00B9271C">
        <w:t xml:space="preserve"> </w:t>
      </w:r>
      <w:r w:rsidR="00B9271C" w:rsidRPr="00B05565">
        <w:t>podle</w:t>
      </w:r>
      <w:r w:rsidR="00B9271C">
        <w:t xml:space="preserve"> </w:t>
      </w:r>
      <w:r w:rsidR="00B9271C" w:rsidRPr="00B05565">
        <w:t>jiného</w:t>
      </w:r>
      <w:r w:rsidR="00B9271C">
        <w:t xml:space="preserve"> </w:t>
      </w:r>
      <w:r w:rsidR="00B9271C" w:rsidRPr="00B05565">
        <w:t>právního</w:t>
      </w:r>
      <w:r w:rsidR="00B9271C">
        <w:t xml:space="preserve"> </w:t>
      </w:r>
      <w:r w:rsidR="00553C64">
        <w:t>předpisu</w:t>
      </w:r>
      <w:r w:rsidR="003F2425" w:rsidRPr="00A84DD3">
        <w:rPr>
          <w:vertAlign w:val="superscript"/>
        </w:rPr>
        <w:t>61)</w:t>
      </w:r>
      <w:r w:rsidR="00B9271C" w:rsidRPr="00A84DD3">
        <w:rPr>
          <w:vertAlign w:val="superscript"/>
        </w:rPr>
        <w:t xml:space="preserve"> </w:t>
      </w:r>
      <w:r w:rsidR="00B9271C" w:rsidRPr="00B05565">
        <w:t>připadající</w:t>
      </w:r>
      <w:r w:rsidR="00B9271C">
        <w:t xml:space="preserve"> </w:t>
      </w:r>
      <w:r w:rsidR="00B9271C" w:rsidRPr="00B05565">
        <w:t>na</w:t>
      </w:r>
      <w:r w:rsidR="00B9271C">
        <w:t xml:space="preserve"> </w:t>
      </w:r>
      <w:r w:rsidR="00B9271C" w:rsidRPr="00B05565">
        <w:t>1</w:t>
      </w:r>
      <w:r w:rsidR="00B9271C">
        <w:t xml:space="preserve"> </w:t>
      </w:r>
      <w:r w:rsidR="00B9271C" w:rsidRPr="00B05565">
        <w:t>učitele</w:t>
      </w:r>
      <w:r w:rsidR="00B9271C">
        <w:t xml:space="preserve"> </w:t>
      </w:r>
      <w:r w:rsidR="00B9271C" w:rsidRPr="00B05565">
        <w:t>v</w:t>
      </w:r>
      <w:r w:rsidR="00B9271C">
        <w:t xml:space="preserve"> </w:t>
      </w:r>
      <w:r w:rsidR="00B9271C" w:rsidRPr="00B05565">
        <w:t>adaptačním</w:t>
      </w:r>
      <w:r w:rsidR="00B9271C">
        <w:t xml:space="preserve"> </w:t>
      </w:r>
      <w:r w:rsidR="00B9271C" w:rsidRPr="00B05565">
        <w:t>období,</w:t>
      </w:r>
    </w:p>
    <w:p w14:paraId="13D84349" w14:textId="45CA9DDA" w:rsidR="00B9271C" w:rsidRPr="00B05565" w:rsidRDefault="00B9271C" w:rsidP="00AB5ED2">
      <w:pPr>
        <w:pStyle w:val="Textparagrafu"/>
        <w:tabs>
          <w:tab w:val="left" w:pos="392"/>
          <w:tab w:val="left" w:pos="840"/>
        </w:tabs>
        <w:spacing w:before="0"/>
        <w:ind w:left="426" w:hanging="426"/>
      </w:pPr>
      <w:r w:rsidRPr="00B05565">
        <w:t>d)</w:t>
      </w:r>
      <w:r w:rsidR="0072479D">
        <w:tab/>
      </w:r>
      <w:r w:rsidRPr="00B05565">
        <w:t>pro</w:t>
      </w:r>
      <w:r>
        <w:t xml:space="preserve"> </w:t>
      </w:r>
      <w:r w:rsidRPr="00B05565">
        <w:t>základní</w:t>
      </w:r>
      <w:r>
        <w:t xml:space="preserve"> </w:t>
      </w:r>
      <w:r w:rsidRPr="00B05565">
        <w:t>umělecké</w:t>
      </w:r>
      <w:r>
        <w:t xml:space="preserve"> </w:t>
      </w:r>
      <w:r w:rsidRPr="00B05565">
        <w:t>školy</w:t>
      </w:r>
      <w:r>
        <w:t xml:space="preserve"> </w:t>
      </w:r>
      <w:r w:rsidRPr="00B05565">
        <w:t>zřizované</w:t>
      </w:r>
      <w:r>
        <w:t xml:space="preserve"> </w:t>
      </w:r>
      <w:r w:rsidRPr="00B05565">
        <w:t>krajem,</w:t>
      </w:r>
      <w:r>
        <w:t xml:space="preserve"> </w:t>
      </w:r>
      <w:r w:rsidRPr="00B05565">
        <w:t>obcí</w:t>
      </w:r>
      <w:r>
        <w:t xml:space="preserve"> </w:t>
      </w:r>
      <w:r w:rsidRPr="00B05565">
        <w:t>nebo</w:t>
      </w:r>
      <w:r>
        <w:t xml:space="preserve"> </w:t>
      </w:r>
      <w:r w:rsidRPr="00B05565">
        <w:t>svazkem</w:t>
      </w:r>
      <w:r>
        <w:t xml:space="preserve"> </w:t>
      </w:r>
      <w:r w:rsidRPr="00B05565">
        <w:t>obcí</w:t>
      </w:r>
    </w:p>
    <w:p w14:paraId="6A99F79F" w14:textId="286F2685" w:rsidR="00B9271C" w:rsidRPr="00B05565" w:rsidRDefault="0072479D" w:rsidP="00A84DD3">
      <w:pPr>
        <w:pStyle w:val="Textparagrafu"/>
        <w:tabs>
          <w:tab w:val="left" w:pos="426"/>
          <w:tab w:val="left" w:pos="840"/>
        </w:tabs>
        <w:spacing w:before="0"/>
        <w:ind w:left="850" w:hanging="425"/>
      </w:pPr>
      <w:r>
        <w:tab/>
      </w:r>
      <w:r w:rsidR="00B9271C" w:rsidRPr="00B05565">
        <w:t>1.</w:t>
      </w:r>
      <w:r>
        <w:tab/>
      </w:r>
      <w:r w:rsidR="00B9271C" w:rsidRPr="00B05565">
        <w:t>normativy</w:t>
      </w:r>
      <w:r w:rsidR="00B9271C">
        <w:t xml:space="preserve"> </w:t>
      </w:r>
      <w:r w:rsidR="00B9271C" w:rsidRPr="00B05565">
        <w:t>jako</w:t>
      </w:r>
      <w:r w:rsidR="00B9271C">
        <w:t xml:space="preserve"> </w:t>
      </w:r>
      <w:r w:rsidR="00B9271C" w:rsidRPr="00B05565">
        <w:t>roční</w:t>
      </w:r>
      <w:r w:rsidR="00B9271C">
        <w:t xml:space="preserve"> </w:t>
      </w:r>
      <w:r w:rsidR="00B9271C" w:rsidRPr="00B05565">
        <w:t>výši</w:t>
      </w:r>
      <w:r w:rsidR="00B9271C">
        <w:t xml:space="preserve"> </w:t>
      </w:r>
      <w:r w:rsidR="00B9271C" w:rsidRPr="00B05565">
        <w:t>výdajů</w:t>
      </w:r>
      <w:r w:rsidR="00B9271C">
        <w:t xml:space="preserve"> </w:t>
      </w:r>
      <w:r w:rsidR="00B9271C" w:rsidRPr="00B05565">
        <w:t>státního</w:t>
      </w:r>
      <w:r w:rsidR="00B9271C">
        <w:t xml:space="preserve"> </w:t>
      </w:r>
      <w:r w:rsidR="00B9271C" w:rsidRPr="00B05565">
        <w:t>rozpočtu</w:t>
      </w:r>
      <w:r w:rsidR="00B9271C">
        <w:t xml:space="preserve"> </w:t>
      </w:r>
      <w:r w:rsidR="00B9271C" w:rsidRPr="00B05565">
        <w:t>připadající</w:t>
      </w:r>
      <w:r w:rsidR="00B9271C">
        <w:t xml:space="preserve"> </w:t>
      </w:r>
      <w:r w:rsidR="00B9271C" w:rsidRPr="00B05565">
        <w:t>na</w:t>
      </w:r>
      <w:r w:rsidR="00B9271C">
        <w:t xml:space="preserve"> </w:t>
      </w:r>
      <w:r w:rsidR="00B9271C" w:rsidRPr="00B05565">
        <w:t>1</w:t>
      </w:r>
      <w:r w:rsidR="00B9271C">
        <w:t xml:space="preserve"> </w:t>
      </w:r>
      <w:r w:rsidR="00B9271C" w:rsidRPr="00B05565">
        <w:t>žáka</w:t>
      </w:r>
      <w:r w:rsidR="00B9271C">
        <w:t xml:space="preserve"> </w:t>
      </w:r>
      <w:r w:rsidR="00B9271C" w:rsidRPr="00B05565">
        <w:t>ve</w:t>
      </w:r>
      <w:r w:rsidR="00B9271C">
        <w:t xml:space="preserve"> </w:t>
      </w:r>
      <w:r w:rsidR="00B9271C" w:rsidRPr="00B05565">
        <w:t>stupni</w:t>
      </w:r>
      <w:r w:rsidR="00B9271C">
        <w:t xml:space="preserve"> </w:t>
      </w:r>
      <w:r w:rsidR="00B9271C" w:rsidRPr="00B05565">
        <w:t>uměleckého</w:t>
      </w:r>
      <w:r w:rsidR="00B9271C">
        <w:t xml:space="preserve"> </w:t>
      </w:r>
      <w:r w:rsidR="00B9271C" w:rsidRPr="00B05565">
        <w:t>oboru,</w:t>
      </w:r>
    </w:p>
    <w:p w14:paraId="2FBD8021" w14:textId="19C1CEE5" w:rsidR="00B9271C" w:rsidRDefault="0072479D" w:rsidP="00A84DD3">
      <w:pPr>
        <w:pStyle w:val="Textparagrafu"/>
        <w:tabs>
          <w:tab w:val="left" w:pos="426"/>
          <w:tab w:val="left" w:pos="840"/>
        </w:tabs>
        <w:spacing w:before="0"/>
        <w:ind w:left="850" w:hanging="425"/>
      </w:pPr>
      <w:r>
        <w:tab/>
      </w:r>
      <w:r w:rsidR="00B9271C" w:rsidRPr="00B05565">
        <w:t>2.</w:t>
      </w:r>
      <w:r>
        <w:tab/>
      </w:r>
      <w:r w:rsidR="00B9271C" w:rsidRPr="00B05565">
        <w:t>normativy</w:t>
      </w:r>
      <w:r w:rsidR="00B9271C">
        <w:t xml:space="preserve"> </w:t>
      </w:r>
      <w:r w:rsidR="00B9271C" w:rsidRPr="00B05565">
        <w:t>jako</w:t>
      </w:r>
      <w:r w:rsidR="00B9271C">
        <w:t xml:space="preserve"> </w:t>
      </w:r>
      <w:r w:rsidR="00B9271C" w:rsidRPr="00B05565">
        <w:t>roční</w:t>
      </w:r>
      <w:r w:rsidR="00B9271C">
        <w:t xml:space="preserve"> </w:t>
      </w:r>
      <w:r w:rsidR="00B9271C" w:rsidRPr="00B05565">
        <w:t>výši</w:t>
      </w:r>
      <w:r w:rsidR="00B9271C">
        <w:t xml:space="preserve"> </w:t>
      </w:r>
      <w:r w:rsidR="00B9271C" w:rsidRPr="00B05565">
        <w:t>výdajů</w:t>
      </w:r>
      <w:r w:rsidR="00B9271C">
        <w:t xml:space="preserve"> </w:t>
      </w:r>
      <w:r w:rsidR="00B9271C" w:rsidRPr="00B05565">
        <w:t>státního</w:t>
      </w:r>
      <w:r w:rsidR="00B9271C">
        <w:t xml:space="preserve"> </w:t>
      </w:r>
      <w:r w:rsidR="00B9271C" w:rsidRPr="00B05565">
        <w:t>rozpočtu</w:t>
      </w:r>
      <w:r w:rsidR="00B9271C">
        <w:t xml:space="preserve"> </w:t>
      </w:r>
      <w:r w:rsidR="00B9271C" w:rsidRPr="00B05565">
        <w:t>na</w:t>
      </w:r>
      <w:r w:rsidR="00B9271C">
        <w:t xml:space="preserve"> </w:t>
      </w:r>
      <w:r w:rsidR="00B9271C" w:rsidRPr="00B05565">
        <w:t>další</w:t>
      </w:r>
      <w:r w:rsidR="00B9271C">
        <w:t xml:space="preserve"> </w:t>
      </w:r>
      <w:r w:rsidR="00B9271C" w:rsidRPr="00B05565">
        <w:t>výdaje</w:t>
      </w:r>
      <w:r w:rsidR="00B9271C">
        <w:t xml:space="preserve"> </w:t>
      </w:r>
      <w:r w:rsidR="00B9271C" w:rsidRPr="00B05565">
        <w:t>školy</w:t>
      </w:r>
      <w:r w:rsidR="00B9271C">
        <w:t xml:space="preserve"> </w:t>
      </w:r>
      <w:r w:rsidR="00B9271C" w:rsidRPr="00B05565">
        <w:t>související</w:t>
      </w:r>
      <w:r w:rsidR="00B9271C">
        <w:t xml:space="preserve"> </w:t>
      </w:r>
      <w:r w:rsidR="00B9271C" w:rsidRPr="00B05565">
        <w:t>s</w:t>
      </w:r>
      <w:r w:rsidR="00B9271C">
        <w:t xml:space="preserve"> </w:t>
      </w:r>
      <w:r w:rsidR="00B9271C" w:rsidRPr="00B05565">
        <w:t>adaptačním</w:t>
      </w:r>
      <w:r w:rsidR="00B9271C">
        <w:t xml:space="preserve"> </w:t>
      </w:r>
      <w:r w:rsidR="00B9271C" w:rsidRPr="00B05565">
        <w:t>obdobím</w:t>
      </w:r>
      <w:r w:rsidR="00B9271C">
        <w:t xml:space="preserve"> </w:t>
      </w:r>
      <w:r w:rsidR="00B9271C" w:rsidRPr="00B05565">
        <w:t>podle</w:t>
      </w:r>
      <w:r w:rsidR="00B9271C">
        <w:t xml:space="preserve"> </w:t>
      </w:r>
      <w:r w:rsidR="00B9271C" w:rsidRPr="00B05565">
        <w:t>jiného</w:t>
      </w:r>
      <w:r w:rsidR="00B9271C">
        <w:t xml:space="preserve"> </w:t>
      </w:r>
      <w:r w:rsidR="00B9271C" w:rsidRPr="00B05565">
        <w:t>právního</w:t>
      </w:r>
      <w:r w:rsidR="00B9271C">
        <w:t xml:space="preserve"> </w:t>
      </w:r>
      <w:r w:rsidR="00B9271C" w:rsidRPr="00B05565">
        <w:t>předpisu</w:t>
      </w:r>
      <w:r w:rsidR="003F2425" w:rsidRPr="00A84DD3">
        <w:rPr>
          <w:vertAlign w:val="superscript"/>
        </w:rPr>
        <w:t>61)</w:t>
      </w:r>
      <w:r w:rsidR="00B9271C" w:rsidRPr="00A84DD3">
        <w:rPr>
          <w:vertAlign w:val="superscript"/>
        </w:rPr>
        <w:t xml:space="preserve"> </w:t>
      </w:r>
      <w:r w:rsidR="00B9271C" w:rsidRPr="00B05565">
        <w:t>připadající</w:t>
      </w:r>
      <w:r w:rsidR="00B9271C">
        <w:t xml:space="preserve"> </w:t>
      </w:r>
      <w:r w:rsidR="00B9271C" w:rsidRPr="00B05565">
        <w:t>na</w:t>
      </w:r>
      <w:r w:rsidR="00B9271C">
        <w:t xml:space="preserve"> </w:t>
      </w:r>
      <w:r w:rsidR="00B9271C" w:rsidRPr="00B05565">
        <w:t>1</w:t>
      </w:r>
      <w:r w:rsidR="00B9271C">
        <w:t xml:space="preserve"> </w:t>
      </w:r>
      <w:r w:rsidR="00B9271C" w:rsidRPr="00B05565">
        <w:t>učitele</w:t>
      </w:r>
      <w:r w:rsidR="00B9271C">
        <w:t xml:space="preserve"> </w:t>
      </w:r>
      <w:r w:rsidR="00B9271C" w:rsidRPr="00B05565">
        <w:t>v</w:t>
      </w:r>
      <w:r w:rsidR="00B9271C">
        <w:t xml:space="preserve"> </w:t>
      </w:r>
      <w:r w:rsidR="00B9271C" w:rsidRPr="00B05565">
        <w:t>adaptačním</w:t>
      </w:r>
      <w:r w:rsidR="00B9271C">
        <w:t xml:space="preserve"> </w:t>
      </w:r>
      <w:r w:rsidR="00B9271C" w:rsidRPr="00B05565">
        <w:t>období,</w:t>
      </w:r>
    </w:p>
    <w:p w14:paraId="13E94503" w14:textId="1DF65DE9" w:rsidR="00B9271C" w:rsidRDefault="00B9271C" w:rsidP="00AB5ED2">
      <w:pPr>
        <w:pStyle w:val="Textparagrafu"/>
        <w:tabs>
          <w:tab w:val="left" w:pos="392"/>
          <w:tab w:val="left" w:pos="840"/>
        </w:tabs>
        <w:spacing w:before="0"/>
        <w:ind w:left="426" w:hanging="426"/>
      </w:pPr>
      <w:r w:rsidRPr="00B05565">
        <w:t>e)</w:t>
      </w:r>
      <w:r w:rsidR="0072479D">
        <w:tab/>
      </w:r>
      <w:r w:rsidRPr="00B05565">
        <w:t>pro</w:t>
      </w:r>
      <w:r>
        <w:t xml:space="preserve"> </w:t>
      </w:r>
      <w:r w:rsidRPr="00B05565">
        <w:t>mateřské</w:t>
      </w:r>
      <w:r>
        <w:t xml:space="preserve"> </w:t>
      </w:r>
      <w:r w:rsidRPr="00B05565">
        <w:t>školy,</w:t>
      </w:r>
      <w:r>
        <w:t xml:space="preserve"> </w:t>
      </w:r>
      <w:r w:rsidRPr="00B05565">
        <w:t>základní</w:t>
      </w:r>
      <w:r>
        <w:t xml:space="preserve"> </w:t>
      </w:r>
      <w:r w:rsidRPr="00B05565">
        <w:t>školy,</w:t>
      </w:r>
      <w:r>
        <w:t xml:space="preserve"> </w:t>
      </w:r>
      <w:r w:rsidRPr="00B05565">
        <w:t>střední</w:t>
      </w:r>
      <w:r>
        <w:t xml:space="preserve"> </w:t>
      </w:r>
      <w:r w:rsidRPr="00B05565">
        <w:t>školy</w:t>
      </w:r>
      <w:r>
        <w:t xml:space="preserve"> </w:t>
      </w:r>
      <w:r w:rsidRPr="00B05565">
        <w:t>a</w:t>
      </w:r>
      <w:r>
        <w:t xml:space="preserve"> </w:t>
      </w:r>
      <w:r w:rsidRPr="00B05565">
        <w:t>konzervatoře</w:t>
      </w:r>
      <w:r>
        <w:t xml:space="preserve"> </w:t>
      </w:r>
      <w:r w:rsidRPr="00B05565">
        <w:t>a</w:t>
      </w:r>
      <w:r>
        <w:t xml:space="preserve"> </w:t>
      </w:r>
      <w:r w:rsidRPr="00B05565">
        <w:t>vyšší</w:t>
      </w:r>
      <w:r>
        <w:t xml:space="preserve"> </w:t>
      </w:r>
      <w:r w:rsidRPr="00B05565">
        <w:t>odborné</w:t>
      </w:r>
      <w:r>
        <w:t xml:space="preserve"> </w:t>
      </w:r>
      <w:r w:rsidRPr="00B05565">
        <w:t>školy</w:t>
      </w:r>
      <w:r>
        <w:t xml:space="preserve"> </w:t>
      </w:r>
      <w:r w:rsidRPr="00B05565">
        <w:t>zřizované</w:t>
      </w:r>
      <w:r>
        <w:t xml:space="preserve"> </w:t>
      </w:r>
      <w:r w:rsidRPr="00B05565">
        <w:t>krajem,</w:t>
      </w:r>
      <w:r>
        <w:t xml:space="preserve"> </w:t>
      </w:r>
      <w:r w:rsidRPr="00B05565">
        <w:t>obcí</w:t>
      </w:r>
      <w:r>
        <w:t xml:space="preserve"> </w:t>
      </w:r>
      <w:r w:rsidRPr="00B05565">
        <w:t>nebo</w:t>
      </w:r>
      <w:r>
        <w:t xml:space="preserve"> </w:t>
      </w:r>
      <w:r w:rsidRPr="00B05565">
        <w:t>svazkem</w:t>
      </w:r>
      <w:r>
        <w:t xml:space="preserve"> </w:t>
      </w:r>
      <w:r w:rsidRPr="00B05565">
        <w:t>obcí</w:t>
      </w:r>
      <w:r>
        <w:t xml:space="preserve"> </w:t>
      </w:r>
      <w:r w:rsidRPr="00B05565">
        <w:t>normativy</w:t>
      </w:r>
      <w:r>
        <w:t xml:space="preserve"> </w:t>
      </w:r>
      <w:r w:rsidRPr="00B05565">
        <w:t>jako</w:t>
      </w:r>
      <w:r>
        <w:t xml:space="preserve"> </w:t>
      </w:r>
      <w:r w:rsidRPr="00B05565">
        <w:t>roční</w:t>
      </w:r>
      <w:r>
        <w:t xml:space="preserve"> </w:t>
      </w:r>
      <w:r w:rsidRPr="00B05565">
        <w:t>výši</w:t>
      </w:r>
      <w:r>
        <w:t xml:space="preserve"> </w:t>
      </w:r>
      <w:r w:rsidRPr="00B05565">
        <w:t>ostatních</w:t>
      </w:r>
      <w:r>
        <w:t xml:space="preserve"> </w:t>
      </w:r>
      <w:r w:rsidRPr="00B05565">
        <w:t>neinvestičních</w:t>
      </w:r>
      <w:r>
        <w:t xml:space="preserve"> </w:t>
      </w:r>
      <w:r w:rsidRPr="00B05565">
        <w:t>výdajů</w:t>
      </w:r>
      <w:r>
        <w:t xml:space="preserve"> </w:t>
      </w:r>
      <w:r w:rsidRPr="00B05565">
        <w:t>státního</w:t>
      </w:r>
      <w:r>
        <w:t xml:space="preserve"> </w:t>
      </w:r>
      <w:r w:rsidRPr="00B05565">
        <w:t>rozpočtu</w:t>
      </w:r>
      <w:r>
        <w:t xml:space="preserve"> </w:t>
      </w:r>
      <w:r w:rsidRPr="00B05565">
        <w:t>připadajících</w:t>
      </w:r>
      <w:r>
        <w:t xml:space="preserve"> </w:t>
      </w:r>
      <w:r w:rsidRPr="00B05565">
        <w:t>na</w:t>
      </w:r>
      <w:r>
        <w:t xml:space="preserve"> </w:t>
      </w:r>
      <w:r w:rsidRPr="00B05565">
        <w:t>1</w:t>
      </w:r>
      <w:r>
        <w:t xml:space="preserve"> </w:t>
      </w:r>
      <w:r w:rsidRPr="00B05565">
        <w:t>dítě,</w:t>
      </w:r>
      <w:r>
        <w:t xml:space="preserve"> </w:t>
      </w:r>
      <w:r w:rsidRPr="00B05565">
        <w:t>1</w:t>
      </w:r>
      <w:r>
        <w:t xml:space="preserve"> </w:t>
      </w:r>
      <w:r w:rsidRPr="00B05565">
        <w:t>žáka</w:t>
      </w:r>
      <w:r>
        <w:t xml:space="preserve"> </w:t>
      </w:r>
      <w:r w:rsidRPr="00B05565">
        <w:t>na</w:t>
      </w:r>
      <w:r>
        <w:t xml:space="preserve"> </w:t>
      </w:r>
      <w:r w:rsidRPr="00B05565">
        <w:t>prvním</w:t>
      </w:r>
      <w:r>
        <w:t xml:space="preserve"> </w:t>
      </w:r>
      <w:r w:rsidRPr="00B05565">
        <w:t>stupni</w:t>
      </w:r>
      <w:r>
        <w:t xml:space="preserve"> </w:t>
      </w:r>
      <w:r w:rsidRPr="00B05565">
        <w:t>základní</w:t>
      </w:r>
      <w:r>
        <w:t xml:space="preserve"> </w:t>
      </w:r>
      <w:r w:rsidRPr="00B05565">
        <w:t>školy,</w:t>
      </w:r>
      <w:r>
        <w:t xml:space="preserve"> </w:t>
      </w:r>
      <w:r w:rsidRPr="00B05565">
        <w:t>1</w:t>
      </w:r>
      <w:r>
        <w:t xml:space="preserve"> </w:t>
      </w:r>
      <w:r w:rsidRPr="00B05565">
        <w:t>žáka</w:t>
      </w:r>
      <w:r>
        <w:t xml:space="preserve"> </w:t>
      </w:r>
      <w:r w:rsidRPr="00B05565">
        <w:t>na</w:t>
      </w:r>
      <w:r>
        <w:t xml:space="preserve"> </w:t>
      </w:r>
      <w:r w:rsidRPr="00B05565">
        <w:t>druhém</w:t>
      </w:r>
      <w:r>
        <w:t xml:space="preserve"> </w:t>
      </w:r>
      <w:r w:rsidRPr="00B05565">
        <w:t>stupni</w:t>
      </w:r>
      <w:r>
        <w:t xml:space="preserve"> </w:t>
      </w:r>
      <w:r w:rsidRPr="00B05565">
        <w:t>základní</w:t>
      </w:r>
      <w:r>
        <w:t xml:space="preserve"> </w:t>
      </w:r>
      <w:r w:rsidRPr="00B05565">
        <w:t>školy,</w:t>
      </w:r>
      <w:r>
        <w:t xml:space="preserve"> </w:t>
      </w:r>
      <w:r w:rsidRPr="00B05565">
        <w:t>1</w:t>
      </w:r>
      <w:r>
        <w:t xml:space="preserve"> </w:t>
      </w:r>
      <w:r w:rsidRPr="00B05565">
        <w:t>dítě</w:t>
      </w:r>
      <w:r>
        <w:t xml:space="preserve"> </w:t>
      </w:r>
      <w:r w:rsidRPr="00B05565">
        <w:t>nebo</w:t>
      </w:r>
      <w:r>
        <w:t xml:space="preserve"> </w:t>
      </w:r>
      <w:r w:rsidRPr="00B05565">
        <w:t>1</w:t>
      </w:r>
      <w:r>
        <w:t xml:space="preserve"> </w:t>
      </w:r>
      <w:r w:rsidRPr="00B05565">
        <w:t>žáka</w:t>
      </w:r>
      <w:r>
        <w:t xml:space="preserve"> </w:t>
      </w:r>
      <w:r w:rsidRPr="00B05565">
        <w:t>ve</w:t>
      </w:r>
      <w:r>
        <w:t xml:space="preserve"> </w:t>
      </w:r>
      <w:r w:rsidRPr="00B05565">
        <w:t>školní</w:t>
      </w:r>
      <w:r>
        <w:t xml:space="preserve"> </w:t>
      </w:r>
      <w:r w:rsidRPr="00B05565">
        <w:t>družině,</w:t>
      </w:r>
      <w:r>
        <w:t xml:space="preserve"> </w:t>
      </w:r>
      <w:r w:rsidRPr="00B05565">
        <w:t>1</w:t>
      </w:r>
      <w:r>
        <w:t xml:space="preserve"> </w:t>
      </w:r>
      <w:r w:rsidRPr="00B05565">
        <w:t>žáka</w:t>
      </w:r>
      <w:r>
        <w:t xml:space="preserve"> </w:t>
      </w:r>
      <w:r w:rsidRPr="00B05565">
        <w:t>v</w:t>
      </w:r>
      <w:r>
        <w:t xml:space="preserve"> </w:t>
      </w:r>
      <w:r w:rsidRPr="00B05565">
        <w:t>denní</w:t>
      </w:r>
      <w:r>
        <w:t xml:space="preserve"> </w:t>
      </w:r>
      <w:r w:rsidRPr="00B05565">
        <w:t>formě</w:t>
      </w:r>
      <w:r>
        <w:t xml:space="preserve"> </w:t>
      </w:r>
      <w:r w:rsidRPr="00B05565">
        <w:t>vzdělávání</w:t>
      </w:r>
      <w:r>
        <w:t xml:space="preserve"> </w:t>
      </w:r>
      <w:r w:rsidRPr="00B05565">
        <w:t>v</w:t>
      </w:r>
      <w:r>
        <w:t xml:space="preserve"> </w:t>
      </w:r>
      <w:r w:rsidRPr="00B05565">
        <w:t>oboru</w:t>
      </w:r>
      <w:r>
        <w:t xml:space="preserve"> </w:t>
      </w:r>
      <w:r w:rsidRPr="00B05565">
        <w:t>vzdělání</w:t>
      </w:r>
      <w:r>
        <w:t xml:space="preserve"> </w:t>
      </w:r>
      <w:r w:rsidRPr="00B05565">
        <w:t>a</w:t>
      </w:r>
      <w:r>
        <w:t xml:space="preserve"> </w:t>
      </w:r>
      <w:r w:rsidRPr="00B05565">
        <w:t>1</w:t>
      </w:r>
      <w:r>
        <w:t xml:space="preserve"> </w:t>
      </w:r>
      <w:r w:rsidRPr="00B05565">
        <w:t>studenta</w:t>
      </w:r>
      <w:r>
        <w:t xml:space="preserve"> </w:t>
      </w:r>
      <w:r w:rsidRPr="00B05565">
        <w:t>v</w:t>
      </w:r>
      <w:r>
        <w:t xml:space="preserve"> </w:t>
      </w:r>
      <w:r w:rsidRPr="00B05565">
        <w:t>denní</w:t>
      </w:r>
      <w:r>
        <w:t xml:space="preserve"> </w:t>
      </w:r>
      <w:r w:rsidRPr="00B05565">
        <w:t>formě</w:t>
      </w:r>
      <w:r>
        <w:t xml:space="preserve"> </w:t>
      </w:r>
      <w:r w:rsidRPr="00B05565">
        <w:t>vzdělávání</w:t>
      </w:r>
      <w:r>
        <w:t xml:space="preserve"> </w:t>
      </w:r>
      <w:r w:rsidRPr="00B05565">
        <w:t>v</w:t>
      </w:r>
      <w:r>
        <w:t xml:space="preserve"> </w:t>
      </w:r>
      <w:r w:rsidRPr="00B05565">
        <w:t>akreditovaném</w:t>
      </w:r>
      <w:r>
        <w:t xml:space="preserve"> </w:t>
      </w:r>
      <w:r w:rsidRPr="00B05565">
        <w:t>vzdělávacím</w:t>
      </w:r>
      <w:r>
        <w:t xml:space="preserve"> </w:t>
      </w:r>
      <w:r w:rsidRPr="00B05565">
        <w:t>programu.</w:t>
      </w:r>
    </w:p>
    <w:p w14:paraId="77094174" w14:textId="77777777" w:rsidR="00B9271C" w:rsidRDefault="00B9271C" w:rsidP="00A84DD3">
      <w:pPr>
        <w:pStyle w:val="Textparagrafu"/>
        <w:tabs>
          <w:tab w:val="left" w:pos="392"/>
          <w:tab w:val="left" w:pos="840"/>
        </w:tabs>
        <w:spacing w:before="120" w:after="120"/>
      </w:pPr>
      <w:r w:rsidRPr="00B05565">
        <w:t>(2)</w:t>
      </w:r>
      <w:r>
        <w:t xml:space="preserve"> </w:t>
      </w:r>
      <w:r w:rsidRPr="00B05565">
        <w:t>Vláda</w:t>
      </w:r>
      <w:r>
        <w:t xml:space="preserve"> </w:t>
      </w:r>
      <w:r w:rsidRPr="00B05565">
        <w:t>stanoví</w:t>
      </w:r>
      <w:r>
        <w:t xml:space="preserve"> </w:t>
      </w:r>
      <w:r w:rsidRPr="00B05565">
        <w:t>nařízením</w:t>
      </w:r>
      <w:r>
        <w:t xml:space="preserve"> </w:t>
      </w:r>
      <w:r w:rsidRPr="00B05565">
        <w:t>pro</w:t>
      </w:r>
      <w:r>
        <w:t xml:space="preserve"> </w:t>
      </w:r>
      <w:r w:rsidRPr="00B05565">
        <w:t>základní</w:t>
      </w:r>
      <w:r>
        <w:t xml:space="preserve"> </w:t>
      </w:r>
      <w:r w:rsidRPr="00B05565">
        <w:t>školy</w:t>
      </w:r>
      <w:r>
        <w:t xml:space="preserve"> </w:t>
      </w:r>
      <w:r w:rsidRPr="00B05565">
        <w:t>a</w:t>
      </w:r>
      <w:r>
        <w:t xml:space="preserve"> </w:t>
      </w:r>
      <w:r w:rsidRPr="00B05565">
        <w:t>střední</w:t>
      </w:r>
      <w:r>
        <w:t xml:space="preserve"> </w:t>
      </w:r>
      <w:r w:rsidRPr="00B05565">
        <w:t>školy</w:t>
      </w:r>
      <w:r>
        <w:t xml:space="preserve"> </w:t>
      </w:r>
      <w:r w:rsidRPr="00B05565">
        <w:t>zřizované</w:t>
      </w:r>
      <w:r>
        <w:t xml:space="preserve"> </w:t>
      </w:r>
      <w:r w:rsidRPr="00B05565">
        <w:t>krajem,</w:t>
      </w:r>
      <w:r>
        <w:t xml:space="preserve"> </w:t>
      </w:r>
      <w:r w:rsidRPr="00B05565">
        <w:t>obcí</w:t>
      </w:r>
      <w:r>
        <w:t xml:space="preserve"> </w:t>
      </w:r>
      <w:r w:rsidRPr="00B05565">
        <w:t>nebo</w:t>
      </w:r>
      <w:r>
        <w:t xml:space="preserve"> </w:t>
      </w:r>
      <w:r w:rsidRPr="00B05565">
        <w:t>svazkem</w:t>
      </w:r>
      <w:r>
        <w:t xml:space="preserve"> </w:t>
      </w:r>
      <w:r w:rsidRPr="00B05565">
        <w:t>obcí</w:t>
      </w:r>
      <w:r>
        <w:t xml:space="preserve"> </w:t>
      </w:r>
      <w:r w:rsidRPr="00B05565">
        <w:t>maximální</w:t>
      </w:r>
      <w:r>
        <w:t xml:space="preserve"> </w:t>
      </w:r>
      <w:r w:rsidRPr="00B05565">
        <w:t>počet</w:t>
      </w:r>
      <w:r>
        <w:t xml:space="preserve"> </w:t>
      </w:r>
      <w:r w:rsidRPr="00B05565">
        <w:t>hodin</w:t>
      </w:r>
      <w:r>
        <w:t xml:space="preserve"> </w:t>
      </w:r>
      <w:r w:rsidRPr="00B05565">
        <w:t>výuky</w:t>
      </w:r>
      <w:r>
        <w:t xml:space="preserve"> </w:t>
      </w:r>
      <w:r w:rsidRPr="00B05565">
        <w:t>financovaný</w:t>
      </w:r>
      <w:r>
        <w:t xml:space="preserve"> </w:t>
      </w:r>
      <w:r w:rsidRPr="00B05565">
        <w:t>ze</w:t>
      </w:r>
      <w:r>
        <w:t xml:space="preserve"> </w:t>
      </w:r>
      <w:r w:rsidRPr="00B05565">
        <w:t>státního</w:t>
      </w:r>
      <w:r>
        <w:t xml:space="preserve"> </w:t>
      </w:r>
      <w:r w:rsidRPr="00B05565">
        <w:t>rozpočtu</w:t>
      </w:r>
      <w:r>
        <w:t xml:space="preserve"> </w:t>
      </w:r>
      <w:r w:rsidRPr="00B05565">
        <w:t>na</w:t>
      </w:r>
      <w:r>
        <w:t xml:space="preserve"> </w:t>
      </w:r>
      <w:r w:rsidRPr="00B05565">
        <w:t>1</w:t>
      </w:r>
      <w:r>
        <w:t xml:space="preserve"> </w:t>
      </w:r>
      <w:r w:rsidRPr="00B05565">
        <w:t>třídu</w:t>
      </w:r>
      <w:r>
        <w:t xml:space="preserve"> </w:t>
      </w:r>
      <w:r w:rsidRPr="00B05565">
        <w:t>v</w:t>
      </w:r>
      <w:r>
        <w:t xml:space="preserve"> </w:t>
      </w:r>
      <w:r w:rsidRPr="00B05565">
        <w:t>oboru</w:t>
      </w:r>
      <w:r>
        <w:t xml:space="preserve"> </w:t>
      </w:r>
      <w:r w:rsidRPr="00B05565">
        <w:t>vzdělání</w:t>
      </w:r>
      <w:r>
        <w:t xml:space="preserve"> </w:t>
      </w:r>
      <w:r w:rsidRPr="00B05565">
        <w:t>v</w:t>
      </w:r>
      <w:r>
        <w:t xml:space="preserve"> </w:t>
      </w:r>
      <w:r w:rsidRPr="00B05565">
        <w:t>závislosti</w:t>
      </w:r>
      <w:r>
        <w:t xml:space="preserve"> </w:t>
      </w:r>
      <w:r w:rsidRPr="00B05565">
        <w:t>na</w:t>
      </w:r>
      <w:r>
        <w:t xml:space="preserve"> </w:t>
      </w:r>
      <w:r w:rsidRPr="00B05565">
        <w:t>počtu</w:t>
      </w:r>
      <w:r>
        <w:t xml:space="preserve"> </w:t>
      </w:r>
      <w:r w:rsidRPr="00B05565">
        <w:t>žáků</w:t>
      </w:r>
      <w:r>
        <w:t xml:space="preserve"> </w:t>
      </w:r>
      <w:r w:rsidRPr="00B05565">
        <w:t>ve</w:t>
      </w:r>
      <w:r>
        <w:t xml:space="preserve"> </w:t>
      </w:r>
      <w:r w:rsidRPr="00B05565">
        <w:t>třídě</w:t>
      </w:r>
      <w:r>
        <w:t xml:space="preserve"> </w:t>
      </w:r>
      <w:r w:rsidRPr="00B05565">
        <w:t>nebo</w:t>
      </w:r>
      <w:r>
        <w:t xml:space="preserve"> </w:t>
      </w:r>
      <w:r w:rsidRPr="00B05565">
        <w:t>na</w:t>
      </w:r>
      <w:r>
        <w:t xml:space="preserve"> </w:t>
      </w:r>
      <w:r w:rsidRPr="00B05565">
        <w:t>školu</w:t>
      </w:r>
      <w:r>
        <w:t xml:space="preserve"> </w:t>
      </w:r>
      <w:r w:rsidRPr="00B05565">
        <w:t>v</w:t>
      </w:r>
      <w:r>
        <w:t xml:space="preserve"> </w:t>
      </w:r>
      <w:r w:rsidRPr="00B05565">
        <w:t>závislosti</w:t>
      </w:r>
      <w:r>
        <w:t xml:space="preserve"> </w:t>
      </w:r>
      <w:r w:rsidRPr="00B05565">
        <w:t>na</w:t>
      </w:r>
      <w:r>
        <w:t xml:space="preserve"> </w:t>
      </w:r>
      <w:r w:rsidRPr="00B05565">
        <w:t>její</w:t>
      </w:r>
      <w:r>
        <w:t xml:space="preserve"> </w:t>
      </w:r>
      <w:r w:rsidRPr="00B05565">
        <w:t>struktuře</w:t>
      </w:r>
      <w:r>
        <w:t xml:space="preserve"> </w:t>
      </w:r>
      <w:r w:rsidRPr="00B05565">
        <w:t>a</w:t>
      </w:r>
      <w:r>
        <w:t xml:space="preserve"> </w:t>
      </w:r>
      <w:r w:rsidRPr="00B05565">
        <w:t>pro</w:t>
      </w:r>
      <w:r>
        <w:t xml:space="preserve"> </w:t>
      </w:r>
      <w:r w:rsidRPr="00B05565">
        <w:t>konzervatoře</w:t>
      </w:r>
      <w:r>
        <w:t xml:space="preserve"> </w:t>
      </w:r>
      <w:r w:rsidRPr="00B05565">
        <w:t>zřizované</w:t>
      </w:r>
      <w:r>
        <w:t xml:space="preserve"> </w:t>
      </w:r>
      <w:r w:rsidRPr="00B05565">
        <w:t>krajem,</w:t>
      </w:r>
      <w:r>
        <w:t xml:space="preserve"> </w:t>
      </w:r>
      <w:r w:rsidRPr="00B05565">
        <w:t>obcí</w:t>
      </w:r>
      <w:r>
        <w:t xml:space="preserve"> </w:t>
      </w:r>
      <w:r w:rsidRPr="00B05565">
        <w:t>nebo</w:t>
      </w:r>
      <w:r>
        <w:t xml:space="preserve"> </w:t>
      </w:r>
      <w:r w:rsidRPr="00B05565">
        <w:t>svazkem</w:t>
      </w:r>
      <w:r>
        <w:t xml:space="preserve"> </w:t>
      </w:r>
      <w:r w:rsidRPr="00B05565">
        <w:t>obcí</w:t>
      </w:r>
      <w:r>
        <w:t xml:space="preserve"> </w:t>
      </w:r>
      <w:r w:rsidRPr="00B05565">
        <w:t>maximální</w:t>
      </w:r>
      <w:r>
        <w:t xml:space="preserve"> </w:t>
      </w:r>
      <w:r w:rsidRPr="00B05565">
        <w:t>počet</w:t>
      </w:r>
      <w:r>
        <w:t xml:space="preserve"> </w:t>
      </w:r>
      <w:r w:rsidRPr="00B05565">
        <w:t>hodin</w:t>
      </w:r>
      <w:r>
        <w:t xml:space="preserve"> </w:t>
      </w:r>
      <w:r w:rsidRPr="00B05565">
        <w:t>výuky</w:t>
      </w:r>
      <w:r>
        <w:t xml:space="preserve"> </w:t>
      </w:r>
      <w:r w:rsidRPr="00B05565">
        <w:t>financovaný</w:t>
      </w:r>
      <w:r>
        <w:t xml:space="preserve"> </w:t>
      </w:r>
      <w:r w:rsidRPr="00B05565">
        <w:t>ze</w:t>
      </w:r>
      <w:r>
        <w:t xml:space="preserve"> </w:t>
      </w:r>
      <w:r w:rsidRPr="00B05565">
        <w:t>státního</w:t>
      </w:r>
      <w:r>
        <w:t xml:space="preserve"> </w:t>
      </w:r>
      <w:r w:rsidRPr="00B05565">
        <w:t>rozpočtu</w:t>
      </w:r>
      <w:r>
        <w:t xml:space="preserve"> </w:t>
      </w:r>
      <w:r w:rsidRPr="00B05565">
        <w:t>na</w:t>
      </w:r>
      <w:r>
        <w:t xml:space="preserve"> </w:t>
      </w:r>
      <w:r w:rsidRPr="00B05565">
        <w:t>1</w:t>
      </w:r>
      <w:r>
        <w:t xml:space="preserve"> </w:t>
      </w:r>
      <w:r w:rsidRPr="00B05565">
        <w:t>ročník</w:t>
      </w:r>
      <w:r>
        <w:t xml:space="preserve"> </w:t>
      </w:r>
      <w:r w:rsidRPr="00B05565">
        <w:t>v</w:t>
      </w:r>
      <w:r>
        <w:t xml:space="preserve"> </w:t>
      </w:r>
      <w:r w:rsidRPr="00B05565">
        <w:t>oboru</w:t>
      </w:r>
      <w:r>
        <w:t xml:space="preserve"> </w:t>
      </w:r>
      <w:r w:rsidRPr="00B05565">
        <w:t>vzdělání</w:t>
      </w:r>
      <w:r>
        <w:t xml:space="preserve"> </w:t>
      </w:r>
      <w:r w:rsidRPr="00B05565">
        <w:t>v</w:t>
      </w:r>
      <w:r>
        <w:t xml:space="preserve"> </w:t>
      </w:r>
      <w:r w:rsidRPr="00B05565">
        <w:t>závislosti</w:t>
      </w:r>
      <w:r>
        <w:t xml:space="preserve"> </w:t>
      </w:r>
      <w:r w:rsidRPr="00B05565">
        <w:t>na</w:t>
      </w:r>
      <w:r>
        <w:t xml:space="preserve"> </w:t>
      </w:r>
      <w:r w:rsidRPr="00B05565">
        <w:t>počtu</w:t>
      </w:r>
      <w:r>
        <w:t xml:space="preserve"> </w:t>
      </w:r>
      <w:r w:rsidRPr="00B05565">
        <w:t>žáků</w:t>
      </w:r>
      <w:r>
        <w:t xml:space="preserve"> </w:t>
      </w:r>
      <w:r w:rsidRPr="00B05565">
        <w:t>v</w:t>
      </w:r>
      <w:r>
        <w:t xml:space="preserve"> </w:t>
      </w:r>
      <w:r w:rsidRPr="00B05565">
        <w:t>ročníku</w:t>
      </w:r>
      <w:r>
        <w:t xml:space="preserve"> </w:t>
      </w:r>
      <w:r w:rsidRPr="00B05565">
        <w:t>nebo</w:t>
      </w:r>
      <w:r>
        <w:t xml:space="preserve"> </w:t>
      </w:r>
      <w:r w:rsidRPr="00B05565">
        <w:t>na</w:t>
      </w:r>
      <w:r>
        <w:t xml:space="preserve"> </w:t>
      </w:r>
      <w:r w:rsidRPr="00B05565">
        <w:t>školu</w:t>
      </w:r>
      <w:r>
        <w:t xml:space="preserve"> </w:t>
      </w:r>
      <w:r w:rsidRPr="00B05565">
        <w:t>v</w:t>
      </w:r>
      <w:r>
        <w:t xml:space="preserve"> </w:t>
      </w:r>
      <w:r w:rsidRPr="00B05565">
        <w:t>závislosti</w:t>
      </w:r>
      <w:r>
        <w:t xml:space="preserve"> </w:t>
      </w:r>
      <w:r w:rsidRPr="00B05565">
        <w:t>na</w:t>
      </w:r>
      <w:r>
        <w:t xml:space="preserve"> </w:t>
      </w:r>
      <w:r w:rsidRPr="00B05565">
        <w:t>její</w:t>
      </w:r>
      <w:r>
        <w:t xml:space="preserve"> </w:t>
      </w:r>
      <w:r w:rsidRPr="00B05565">
        <w:t>struktuře.</w:t>
      </w:r>
      <w:r>
        <w:t xml:space="preserve"> </w:t>
      </w:r>
      <w:r w:rsidRPr="00B05565">
        <w:t>Vláda</w:t>
      </w:r>
      <w:r>
        <w:t xml:space="preserve"> </w:t>
      </w:r>
      <w:r w:rsidRPr="00B05565">
        <w:t>dále</w:t>
      </w:r>
      <w:r>
        <w:t xml:space="preserve"> </w:t>
      </w:r>
      <w:r w:rsidRPr="00B05565">
        <w:t>může</w:t>
      </w:r>
      <w:r>
        <w:t xml:space="preserve"> </w:t>
      </w:r>
      <w:r w:rsidRPr="00B05565">
        <w:t>nařízením</w:t>
      </w:r>
      <w:r>
        <w:t xml:space="preserve"> </w:t>
      </w:r>
      <w:r w:rsidRPr="00B05565">
        <w:t>stanovit</w:t>
      </w:r>
      <w:r>
        <w:t xml:space="preserve"> </w:t>
      </w:r>
      <w:r w:rsidRPr="00B05565">
        <w:t>pro</w:t>
      </w:r>
      <w:r>
        <w:t xml:space="preserve"> </w:t>
      </w:r>
      <w:r w:rsidRPr="00B05565">
        <w:t>základní</w:t>
      </w:r>
      <w:r>
        <w:t xml:space="preserve"> </w:t>
      </w:r>
      <w:r w:rsidRPr="00B05565">
        <w:t>školy,</w:t>
      </w:r>
      <w:r>
        <w:t xml:space="preserve"> </w:t>
      </w:r>
      <w:r w:rsidRPr="00B05565">
        <w:t>střední</w:t>
      </w:r>
      <w:r>
        <w:t xml:space="preserve"> </w:t>
      </w:r>
      <w:r w:rsidRPr="00B05565">
        <w:t>školy</w:t>
      </w:r>
      <w:r>
        <w:t xml:space="preserve"> </w:t>
      </w:r>
      <w:r w:rsidRPr="00B05565">
        <w:t>a</w:t>
      </w:r>
      <w:r>
        <w:t xml:space="preserve"> </w:t>
      </w:r>
      <w:r w:rsidRPr="00B05565">
        <w:t>konzervatoře</w:t>
      </w:r>
      <w:r>
        <w:t xml:space="preserve"> </w:t>
      </w:r>
      <w:r w:rsidRPr="00B05565">
        <w:t>zřizované</w:t>
      </w:r>
      <w:r>
        <w:t xml:space="preserve"> </w:t>
      </w:r>
      <w:r w:rsidRPr="00B05565">
        <w:t>krajem,</w:t>
      </w:r>
      <w:r>
        <w:t xml:space="preserve"> </w:t>
      </w:r>
      <w:r w:rsidRPr="00B05565">
        <w:t>obcí</w:t>
      </w:r>
      <w:r>
        <w:t xml:space="preserve"> </w:t>
      </w:r>
      <w:r w:rsidRPr="00B05565">
        <w:t>nebo</w:t>
      </w:r>
      <w:r>
        <w:t xml:space="preserve"> </w:t>
      </w:r>
      <w:r w:rsidRPr="00B05565">
        <w:t>svazkem</w:t>
      </w:r>
      <w:r>
        <w:t xml:space="preserve"> </w:t>
      </w:r>
      <w:r w:rsidRPr="00B05565">
        <w:t>obcí</w:t>
      </w:r>
      <w:r>
        <w:t xml:space="preserve"> </w:t>
      </w:r>
      <w:r w:rsidRPr="00B05565">
        <w:t>maximální</w:t>
      </w:r>
      <w:r>
        <w:t xml:space="preserve"> </w:t>
      </w:r>
      <w:r w:rsidRPr="00B05565">
        <w:t>počet</w:t>
      </w:r>
      <w:r>
        <w:t xml:space="preserve"> </w:t>
      </w:r>
      <w:r w:rsidRPr="00B05565">
        <w:t>hodin</w:t>
      </w:r>
      <w:r>
        <w:t xml:space="preserve"> </w:t>
      </w:r>
      <w:r w:rsidRPr="00B05565">
        <w:t>další</w:t>
      </w:r>
      <w:r>
        <w:t xml:space="preserve"> </w:t>
      </w:r>
      <w:r w:rsidRPr="00B05565">
        <w:t>přímé</w:t>
      </w:r>
      <w:r>
        <w:t xml:space="preserve"> </w:t>
      </w:r>
      <w:r w:rsidRPr="00B05565">
        <w:t>pedagogické</w:t>
      </w:r>
      <w:r>
        <w:t xml:space="preserve"> </w:t>
      </w:r>
      <w:r w:rsidRPr="00B05565">
        <w:t>činnosti</w:t>
      </w:r>
      <w:r>
        <w:t xml:space="preserve"> </w:t>
      </w:r>
      <w:r w:rsidRPr="00B05565">
        <w:t>financovaný</w:t>
      </w:r>
      <w:r>
        <w:t xml:space="preserve"> </w:t>
      </w:r>
      <w:r w:rsidRPr="00B05565">
        <w:t>ze</w:t>
      </w:r>
      <w:r>
        <w:t xml:space="preserve"> </w:t>
      </w:r>
      <w:r w:rsidRPr="00B05565">
        <w:t>státního</w:t>
      </w:r>
      <w:r>
        <w:t xml:space="preserve"> </w:t>
      </w:r>
      <w:r w:rsidRPr="00B05565">
        <w:t>rozpočtu</w:t>
      </w:r>
      <w:r>
        <w:t xml:space="preserve"> </w:t>
      </w:r>
      <w:r w:rsidRPr="00B05565">
        <w:t>na</w:t>
      </w:r>
      <w:r>
        <w:t xml:space="preserve"> </w:t>
      </w:r>
      <w:r w:rsidRPr="00B05565">
        <w:t>školu</w:t>
      </w:r>
      <w:r>
        <w:t xml:space="preserve"> </w:t>
      </w:r>
      <w:r w:rsidRPr="00B05565">
        <w:t>v</w:t>
      </w:r>
      <w:r>
        <w:t xml:space="preserve"> </w:t>
      </w:r>
      <w:r w:rsidRPr="00B05565">
        <w:t>závislosti</w:t>
      </w:r>
      <w:r>
        <w:t xml:space="preserve"> </w:t>
      </w:r>
      <w:r w:rsidRPr="00B05565">
        <w:t>na</w:t>
      </w:r>
      <w:r>
        <w:t xml:space="preserve"> </w:t>
      </w:r>
      <w:r w:rsidRPr="00B05565">
        <w:t>její</w:t>
      </w:r>
      <w:r>
        <w:t xml:space="preserve"> </w:t>
      </w:r>
      <w:r w:rsidRPr="00B05565">
        <w:t>struktuře</w:t>
      </w:r>
      <w:r>
        <w:t xml:space="preserve"> </w:t>
      </w:r>
      <w:r w:rsidRPr="00B05565">
        <w:t>včetně</w:t>
      </w:r>
      <w:r>
        <w:t xml:space="preserve"> </w:t>
      </w:r>
      <w:r w:rsidRPr="00B05565">
        <w:t>určení</w:t>
      </w:r>
      <w:r>
        <w:t xml:space="preserve"> </w:t>
      </w:r>
      <w:r w:rsidRPr="00B05565">
        <w:t>pedagogických</w:t>
      </w:r>
      <w:r>
        <w:t xml:space="preserve"> </w:t>
      </w:r>
      <w:r w:rsidRPr="00B05565">
        <w:t>pracovníků,</w:t>
      </w:r>
      <w:r>
        <w:t xml:space="preserve"> </w:t>
      </w:r>
      <w:r w:rsidRPr="00B05565">
        <w:t>kteří</w:t>
      </w:r>
      <w:r>
        <w:t xml:space="preserve"> </w:t>
      </w:r>
      <w:r w:rsidRPr="00B05565">
        <w:t>tyto</w:t>
      </w:r>
      <w:r>
        <w:t xml:space="preserve"> </w:t>
      </w:r>
      <w:r w:rsidRPr="00B05565">
        <w:t>činnosti</w:t>
      </w:r>
      <w:r>
        <w:t xml:space="preserve"> </w:t>
      </w:r>
      <w:r w:rsidRPr="00B05565">
        <w:t>vykonávají.</w:t>
      </w:r>
    </w:p>
    <w:p w14:paraId="3920F647" w14:textId="7918623A" w:rsidR="00B9271C" w:rsidRDefault="00B9271C" w:rsidP="00A84DD3">
      <w:pPr>
        <w:pStyle w:val="Textparagrafu"/>
        <w:tabs>
          <w:tab w:val="left" w:pos="392"/>
          <w:tab w:val="left" w:pos="840"/>
        </w:tabs>
        <w:spacing w:before="120" w:after="120"/>
      </w:pPr>
      <w:r w:rsidRPr="00B05565">
        <w:t>(3)</w:t>
      </w:r>
      <w:r>
        <w:t xml:space="preserve"> </w:t>
      </w:r>
      <w:r w:rsidRPr="00B05565">
        <w:t>Ministerstvo</w:t>
      </w:r>
      <w:r>
        <w:t xml:space="preserve"> </w:t>
      </w:r>
      <w:r w:rsidRPr="00B05565">
        <w:t>stanoví</w:t>
      </w:r>
      <w:r>
        <w:t xml:space="preserve"> </w:t>
      </w:r>
      <w:r w:rsidRPr="00B05565">
        <w:t>pro</w:t>
      </w:r>
      <w:r>
        <w:t xml:space="preserve"> </w:t>
      </w:r>
      <w:r w:rsidRPr="00B05565">
        <w:t>jednotlivé</w:t>
      </w:r>
      <w:r>
        <w:t xml:space="preserve"> </w:t>
      </w:r>
      <w:r w:rsidRPr="00B05565">
        <w:t>právnické</w:t>
      </w:r>
      <w:r>
        <w:t xml:space="preserve"> </w:t>
      </w:r>
      <w:r w:rsidRPr="00B05565">
        <w:t>osoby</w:t>
      </w:r>
      <w:r>
        <w:t xml:space="preserve"> </w:t>
      </w:r>
      <w:r w:rsidRPr="00B05565">
        <w:t>vykonávající</w:t>
      </w:r>
      <w:r>
        <w:t xml:space="preserve"> </w:t>
      </w:r>
      <w:r w:rsidRPr="00B05565">
        <w:t>činnost</w:t>
      </w:r>
      <w:r>
        <w:t xml:space="preserve"> </w:t>
      </w:r>
      <w:r w:rsidRPr="00B05565">
        <w:t>školy</w:t>
      </w:r>
      <w:r>
        <w:t xml:space="preserve"> </w:t>
      </w:r>
      <w:r w:rsidRPr="00B05565">
        <w:t>nebo</w:t>
      </w:r>
      <w:r>
        <w:t xml:space="preserve"> </w:t>
      </w:r>
      <w:r w:rsidRPr="00B05565">
        <w:t>školského</w:t>
      </w:r>
      <w:r>
        <w:t xml:space="preserve"> </w:t>
      </w:r>
      <w:r w:rsidRPr="00B05565">
        <w:t>zařízení</w:t>
      </w:r>
      <w:r>
        <w:t xml:space="preserve"> </w:t>
      </w:r>
      <w:r w:rsidRPr="00B05565">
        <w:t>uvedených</w:t>
      </w:r>
      <w:r>
        <w:t xml:space="preserve"> </w:t>
      </w:r>
      <w:r w:rsidRPr="00B05565">
        <w:t>v</w:t>
      </w:r>
      <w:r>
        <w:t xml:space="preserve"> </w:t>
      </w:r>
      <w:r w:rsidRPr="00B05565">
        <w:t>odstavci</w:t>
      </w:r>
      <w:r>
        <w:t xml:space="preserve"> </w:t>
      </w:r>
      <w:r w:rsidRPr="00B05565">
        <w:t>1</w:t>
      </w:r>
      <w:r>
        <w:t xml:space="preserve"> </w:t>
      </w:r>
      <w:r w:rsidRPr="00B05565">
        <w:t>výši</w:t>
      </w:r>
      <w:r>
        <w:t xml:space="preserve"> </w:t>
      </w:r>
      <w:r w:rsidRPr="00502CF7">
        <w:rPr>
          <w:strike/>
        </w:rPr>
        <w:t>finančních</w:t>
      </w:r>
      <w:r>
        <w:t xml:space="preserve"> </w:t>
      </w:r>
      <w:r w:rsidR="00502CF7">
        <w:rPr>
          <w:b/>
        </w:rPr>
        <w:t>peněžních</w:t>
      </w:r>
      <w:r w:rsidR="00D26362">
        <w:rPr>
          <w:b/>
        </w:rPr>
        <w:t xml:space="preserve"> </w:t>
      </w:r>
      <w:r w:rsidRPr="00B05565">
        <w:t>prostředků</w:t>
      </w:r>
      <w:r>
        <w:t xml:space="preserve"> </w:t>
      </w:r>
      <w:r w:rsidRPr="00B05565">
        <w:t>na</w:t>
      </w:r>
      <w:r>
        <w:t xml:space="preserve"> </w:t>
      </w:r>
      <w:r w:rsidRPr="00B05565">
        <w:t>kalendářní</w:t>
      </w:r>
      <w:r>
        <w:t xml:space="preserve"> </w:t>
      </w:r>
      <w:r w:rsidRPr="00B05565">
        <w:t>rok</w:t>
      </w:r>
      <w:r>
        <w:t xml:space="preserve"> </w:t>
      </w:r>
      <w:r w:rsidRPr="00B05565">
        <w:t>jako</w:t>
      </w:r>
      <w:r>
        <w:t xml:space="preserve"> </w:t>
      </w:r>
      <w:r w:rsidRPr="00B05565">
        <w:t>součet</w:t>
      </w:r>
    </w:p>
    <w:p w14:paraId="4094D470" w14:textId="6C681369" w:rsidR="00B9271C" w:rsidRDefault="00B9271C" w:rsidP="00AB5ED2">
      <w:pPr>
        <w:pStyle w:val="Textparagrafu"/>
        <w:tabs>
          <w:tab w:val="left" w:pos="392"/>
          <w:tab w:val="left" w:pos="840"/>
        </w:tabs>
        <w:spacing w:before="0"/>
        <w:ind w:left="426" w:hanging="426"/>
      </w:pPr>
      <w:r w:rsidRPr="00B05565">
        <w:t>a)</w:t>
      </w:r>
      <w:r w:rsidR="007C08CF">
        <w:tab/>
      </w:r>
      <w:r w:rsidRPr="00B05565">
        <w:t>ročního</w:t>
      </w:r>
      <w:r>
        <w:t xml:space="preserve"> </w:t>
      </w:r>
      <w:r w:rsidRPr="00B05565">
        <w:t>objemu</w:t>
      </w:r>
      <w:r>
        <w:t xml:space="preserve"> </w:t>
      </w:r>
      <w:r w:rsidRPr="00B05565">
        <w:t>platových</w:t>
      </w:r>
      <w:r>
        <w:t xml:space="preserve"> </w:t>
      </w:r>
      <w:r w:rsidRPr="00B05565">
        <w:t>tarifů</w:t>
      </w:r>
      <w:r>
        <w:t xml:space="preserve"> </w:t>
      </w:r>
      <w:r w:rsidRPr="00B05565">
        <w:t>pedagogických</w:t>
      </w:r>
      <w:r>
        <w:t xml:space="preserve"> </w:t>
      </w:r>
      <w:r w:rsidR="0072479D">
        <w:t>pracovníků</w:t>
      </w:r>
      <w:r w:rsidR="0072479D">
        <w:rPr>
          <w:rStyle w:val="Znakapoznpodarou"/>
        </w:rPr>
        <w:footnoteReference w:customMarkFollows="1" w:id="479"/>
        <w:t>62)</w:t>
      </w:r>
      <w:r w:rsidRPr="00B05565">
        <w:t>,</w:t>
      </w:r>
      <w:r>
        <w:t xml:space="preserve"> </w:t>
      </w:r>
      <w:r w:rsidRPr="00B05565">
        <w:t>jakož</w:t>
      </w:r>
      <w:r>
        <w:t xml:space="preserve"> </w:t>
      </w:r>
      <w:r w:rsidRPr="00B05565">
        <w:t>i</w:t>
      </w:r>
      <w:r>
        <w:t xml:space="preserve"> </w:t>
      </w:r>
      <w:r w:rsidRPr="00B05565">
        <w:t>povinných</w:t>
      </w:r>
      <w:r>
        <w:t xml:space="preserve"> </w:t>
      </w:r>
      <w:r w:rsidRPr="00B05565">
        <w:t>odvodů,</w:t>
      </w:r>
    </w:p>
    <w:p w14:paraId="28A6B3F1" w14:textId="0E301A8C" w:rsidR="00B9271C" w:rsidRDefault="00B9271C" w:rsidP="00AB5ED2">
      <w:pPr>
        <w:pStyle w:val="Textparagrafu"/>
        <w:tabs>
          <w:tab w:val="left" w:pos="392"/>
          <w:tab w:val="left" w:pos="840"/>
        </w:tabs>
        <w:spacing w:before="0"/>
        <w:ind w:left="426" w:hanging="426"/>
      </w:pPr>
      <w:r w:rsidRPr="00B05565">
        <w:t>b)</w:t>
      </w:r>
      <w:r w:rsidR="007C08CF">
        <w:tab/>
      </w:r>
      <w:r w:rsidRPr="00B05565">
        <w:t>součinů</w:t>
      </w:r>
      <w:r>
        <w:t xml:space="preserve"> </w:t>
      </w:r>
      <w:r w:rsidRPr="00B05565">
        <w:t>normativů</w:t>
      </w:r>
      <w:r>
        <w:t xml:space="preserve"> </w:t>
      </w:r>
      <w:r w:rsidRPr="00B05565">
        <w:t>podle</w:t>
      </w:r>
      <w:r>
        <w:t xml:space="preserve"> </w:t>
      </w:r>
      <w:r w:rsidRPr="00B05565">
        <w:t>odstavce</w:t>
      </w:r>
      <w:r>
        <w:t xml:space="preserve"> </w:t>
      </w:r>
      <w:r w:rsidRPr="00B05565">
        <w:t>1</w:t>
      </w:r>
      <w:r>
        <w:t xml:space="preserve"> </w:t>
      </w:r>
      <w:r w:rsidRPr="00B05565">
        <w:t>písm.</w:t>
      </w:r>
      <w:r>
        <w:t xml:space="preserve"> </w:t>
      </w:r>
      <w:r w:rsidRPr="00B05565">
        <w:t>a)</w:t>
      </w:r>
      <w:r>
        <w:t xml:space="preserve"> </w:t>
      </w:r>
      <w:r w:rsidRPr="00B05565">
        <w:t>bodů</w:t>
      </w:r>
      <w:r>
        <w:t xml:space="preserve"> </w:t>
      </w:r>
      <w:r w:rsidRPr="00B05565">
        <w:t>1</w:t>
      </w:r>
      <w:r>
        <w:t xml:space="preserve"> </w:t>
      </w:r>
      <w:r w:rsidRPr="00B05565">
        <w:t>a</w:t>
      </w:r>
      <w:r>
        <w:t xml:space="preserve"> </w:t>
      </w:r>
      <w:r w:rsidRPr="00B05565">
        <w:t>2</w:t>
      </w:r>
      <w:r>
        <w:t xml:space="preserve"> </w:t>
      </w:r>
      <w:r w:rsidRPr="00B05565">
        <w:t>a</w:t>
      </w:r>
      <w:r>
        <w:t xml:space="preserve"> </w:t>
      </w:r>
      <w:r w:rsidRPr="00B05565">
        <w:t>písmene</w:t>
      </w:r>
      <w:r>
        <w:t xml:space="preserve"> </w:t>
      </w:r>
      <w:r w:rsidRPr="00B05565">
        <w:t>b)</w:t>
      </w:r>
      <w:r>
        <w:t xml:space="preserve"> </w:t>
      </w:r>
      <w:r w:rsidRPr="00B05565">
        <w:t>a</w:t>
      </w:r>
      <w:r>
        <w:t xml:space="preserve"> </w:t>
      </w:r>
      <w:r w:rsidRPr="00B05565">
        <w:t>počtu</w:t>
      </w:r>
      <w:r>
        <w:t xml:space="preserve"> </w:t>
      </w:r>
      <w:r w:rsidRPr="00B05565">
        <w:t>jednotek,</w:t>
      </w:r>
      <w:r>
        <w:t xml:space="preserve"> </w:t>
      </w:r>
      <w:r w:rsidRPr="00B05565">
        <w:t>na</w:t>
      </w:r>
      <w:r>
        <w:t xml:space="preserve"> </w:t>
      </w:r>
      <w:r w:rsidRPr="00B05565">
        <w:t>které</w:t>
      </w:r>
      <w:r>
        <w:t xml:space="preserve"> </w:t>
      </w:r>
      <w:r w:rsidRPr="00B05565">
        <w:t>uvedené</w:t>
      </w:r>
      <w:r>
        <w:t xml:space="preserve"> </w:t>
      </w:r>
      <w:r w:rsidRPr="00B05565">
        <w:t>normativy</w:t>
      </w:r>
      <w:r>
        <w:t xml:space="preserve"> </w:t>
      </w:r>
      <w:r w:rsidRPr="00B05565">
        <w:t>připadají,</w:t>
      </w:r>
      <w:r>
        <w:t xml:space="preserve"> </w:t>
      </w:r>
      <w:r w:rsidRPr="00B05565">
        <w:t>a</w:t>
      </w:r>
      <w:r>
        <w:t xml:space="preserve"> </w:t>
      </w:r>
      <w:r w:rsidRPr="00B05565">
        <w:t>opravných</w:t>
      </w:r>
      <w:r>
        <w:t xml:space="preserve"> </w:t>
      </w:r>
      <w:r w:rsidRPr="00B05565">
        <w:t>koeficientů</w:t>
      </w:r>
      <w:r>
        <w:t xml:space="preserve"> </w:t>
      </w:r>
      <w:r w:rsidRPr="00B05565">
        <w:t>podle</w:t>
      </w:r>
      <w:r>
        <w:t xml:space="preserve"> </w:t>
      </w:r>
      <w:r w:rsidRPr="00B05565">
        <w:t>§</w:t>
      </w:r>
      <w:r>
        <w:t xml:space="preserve"> </w:t>
      </w:r>
      <w:r w:rsidRPr="00B05565">
        <w:t>161c</w:t>
      </w:r>
      <w:r>
        <w:t xml:space="preserve"> </w:t>
      </w:r>
      <w:r w:rsidRPr="00B05565">
        <w:t>odst.</w:t>
      </w:r>
      <w:r>
        <w:t xml:space="preserve"> </w:t>
      </w:r>
      <w:r w:rsidRPr="00B05565">
        <w:t>1</w:t>
      </w:r>
      <w:r>
        <w:t xml:space="preserve"> </w:t>
      </w:r>
      <w:r w:rsidRPr="00B05565">
        <w:t>písm.</w:t>
      </w:r>
      <w:r>
        <w:t xml:space="preserve"> </w:t>
      </w:r>
      <w:r w:rsidRPr="00B05565">
        <w:t>b),</w:t>
      </w:r>
    </w:p>
    <w:p w14:paraId="1E51E391" w14:textId="7C7AA06A" w:rsidR="00B9271C" w:rsidRDefault="00B9271C" w:rsidP="00AB5ED2">
      <w:pPr>
        <w:pStyle w:val="Textparagrafu"/>
        <w:tabs>
          <w:tab w:val="left" w:pos="392"/>
          <w:tab w:val="left" w:pos="840"/>
        </w:tabs>
        <w:spacing w:before="0"/>
        <w:ind w:left="426" w:hanging="426"/>
      </w:pPr>
      <w:r w:rsidRPr="00B05565">
        <w:t>c)</w:t>
      </w:r>
      <w:r w:rsidR="007C08CF">
        <w:tab/>
      </w:r>
      <w:r w:rsidRPr="00B05565">
        <w:t>součinů</w:t>
      </w:r>
      <w:r>
        <w:t xml:space="preserve"> </w:t>
      </w:r>
      <w:r w:rsidRPr="00B05565">
        <w:t>normativů</w:t>
      </w:r>
      <w:r>
        <w:t xml:space="preserve"> </w:t>
      </w:r>
      <w:r w:rsidRPr="00B05565">
        <w:t>podle</w:t>
      </w:r>
      <w:r>
        <w:t xml:space="preserve"> </w:t>
      </w:r>
      <w:r w:rsidRPr="00B05565">
        <w:t>odstavce</w:t>
      </w:r>
      <w:r>
        <w:t xml:space="preserve"> </w:t>
      </w:r>
      <w:r w:rsidRPr="00B05565">
        <w:t>1</w:t>
      </w:r>
      <w:r>
        <w:t xml:space="preserve"> </w:t>
      </w:r>
      <w:r w:rsidRPr="00B05565">
        <w:t>písm.</w:t>
      </w:r>
      <w:r>
        <w:t xml:space="preserve"> </w:t>
      </w:r>
      <w:r w:rsidRPr="00B05565">
        <w:t>a)</w:t>
      </w:r>
      <w:r>
        <w:t xml:space="preserve"> </w:t>
      </w:r>
      <w:r w:rsidRPr="00B05565">
        <w:t>bodu</w:t>
      </w:r>
      <w:r>
        <w:t xml:space="preserve"> </w:t>
      </w:r>
      <w:r w:rsidRPr="00B05565">
        <w:t>4,</w:t>
      </w:r>
      <w:r>
        <w:t xml:space="preserve"> </w:t>
      </w:r>
      <w:r w:rsidRPr="00B05565">
        <w:t>písm.</w:t>
      </w:r>
      <w:r>
        <w:t xml:space="preserve"> </w:t>
      </w:r>
      <w:r w:rsidRPr="00B05565">
        <w:t>c)</w:t>
      </w:r>
      <w:r>
        <w:t xml:space="preserve"> </w:t>
      </w:r>
      <w:r w:rsidRPr="00B05565">
        <w:t>bodu</w:t>
      </w:r>
      <w:r>
        <w:t xml:space="preserve"> </w:t>
      </w:r>
      <w:r w:rsidRPr="00B05565">
        <w:t>5</w:t>
      </w:r>
      <w:r>
        <w:t xml:space="preserve"> </w:t>
      </w:r>
      <w:r w:rsidRPr="00B05565">
        <w:t>a</w:t>
      </w:r>
      <w:r>
        <w:t xml:space="preserve"> </w:t>
      </w:r>
      <w:r w:rsidRPr="00B05565">
        <w:t>písm.</w:t>
      </w:r>
      <w:r>
        <w:t xml:space="preserve"> </w:t>
      </w:r>
      <w:r w:rsidRPr="00B05565">
        <w:t>d)</w:t>
      </w:r>
      <w:r>
        <w:t xml:space="preserve"> </w:t>
      </w:r>
      <w:r w:rsidRPr="00B05565">
        <w:t>bodu</w:t>
      </w:r>
      <w:r>
        <w:t xml:space="preserve"> </w:t>
      </w:r>
      <w:r w:rsidRPr="00B05565">
        <w:t>2</w:t>
      </w:r>
      <w:r>
        <w:t xml:space="preserve"> </w:t>
      </w:r>
      <w:r w:rsidRPr="00B05565">
        <w:t>a</w:t>
      </w:r>
      <w:r>
        <w:t xml:space="preserve"> </w:t>
      </w:r>
      <w:r w:rsidRPr="00B05565">
        <w:t>počtu</w:t>
      </w:r>
      <w:r>
        <w:t xml:space="preserve"> </w:t>
      </w:r>
      <w:r w:rsidRPr="00B05565">
        <w:t>jednotek,</w:t>
      </w:r>
      <w:r>
        <w:t xml:space="preserve"> </w:t>
      </w:r>
      <w:r w:rsidRPr="00B05565">
        <w:t>na</w:t>
      </w:r>
      <w:r>
        <w:t xml:space="preserve"> </w:t>
      </w:r>
      <w:r w:rsidRPr="00B05565">
        <w:t>které</w:t>
      </w:r>
      <w:r>
        <w:t xml:space="preserve"> </w:t>
      </w:r>
      <w:r w:rsidRPr="00B05565">
        <w:t>uvedené</w:t>
      </w:r>
      <w:r>
        <w:t xml:space="preserve"> </w:t>
      </w:r>
      <w:r w:rsidRPr="00B05565">
        <w:t>normativy</w:t>
      </w:r>
      <w:r>
        <w:t xml:space="preserve"> </w:t>
      </w:r>
      <w:r w:rsidRPr="00B05565">
        <w:t>připadají,</w:t>
      </w:r>
    </w:p>
    <w:p w14:paraId="4694024C" w14:textId="2B0400AA" w:rsidR="00B9271C" w:rsidRDefault="00B9271C" w:rsidP="00AB5ED2">
      <w:pPr>
        <w:pStyle w:val="Textparagrafu"/>
        <w:tabs>
          <w:tab w:val="left" w:pos="392"/>
          <w:tab w:val="left" w:pos="840"/>
        </w:tabs>
        <w:spacing w:before="0"/>
        <w:ind w:left="426" w:hanging="426"/>
      </w:pPr>
      <w:r w:rsidRPr="00B05565">
        <w:t>d)</w:t>
      </w:r>
      <w:r w:rsidR="007C08CF">
        <w:tab/>
      </w:r>
      <w:r w:rsidRPr="00B05565">
        <w:t>součinů</w:t>
      </w:r>
      <w:r>
        <w:t xml:space="preserve"> </w:t>
      </w:r>
      <w:r w:rsidRPr="00B05565">
        <w:t>normativů</w:t>
      </w:r>
      <w:r>
        <w:t xml:space="preserve"> </w:t>
      </w:r>
      <w:r w:rsidRPr="00B05565">
        <w:t>podle</w:t>
      </w:r>
      <w:r>
        <w:t xml:space="preserve"> </w:t>
      </w:r>
      <w:r w:rsidRPr="00B05565">
        <w:t>odstavce</w:t>
      </w:r>
      <w:r>
        <w:t xml:space="preserve"> </w:t>
      </w:r>
      <w:r w:rsidRPr="00B05565">
        <w:t>1</w:t>
      </w:r>
      <w:r>
        <w:t xml:space="preserve"> </w:t>
      </w:r>
      <w:r w:rsidRPr="00B05565">
        <w:t>písm.</w:t>
      </w:r>
      <w:r>
        <w:t xml:space="preserve"> </w:t>
      </w:r>
      <w:r w:rsidRPr="00B05565">
        <w:t>a)</w:t>
      </w:r>
      <w:r>
        <w:t xml:space="preserve"> </w:t>
      </w:r>
      <w:r w:rsidRPr="00B05565">
        <w:t>bodu</w:t>
      </w:r>
      <w:r>
        <w:t xml:space="preserve"> </w:t>
      </w:r>
      <w:r w:rsidRPr="00B05565">
        <w:t>3,</w:t>
      </w:r>
      <w:r>
        <w:t xml:space="preserve"> </w:t>
      </w:r>
      <w:r w:rsidRPr="00B05565">
        <w:t>písm.</w:t>
      </w:r>
      <w:r>
        <w:t xml:space="preserve"> </w:t>
      </w:r>
      <w:r w:rsidRPr="00B05565">
        <w:t>c)</w:t>
      </w:r>
      <w:r>
        <w:t xml:space="preserve"> </w:t>
      </w:r>
      <w:r w:rsidRPr="00B05565">
        <w:t>bodů</w:t>
      </w:r>
      <w:r>
        <w:t xml:space="preserve"> </w:t>
      </w:r>
      <w:r w:rsidRPr="00B05565">
        <w:t>1</w:t>
      </w:r>
      <w:r>
        <w:t xml:space="preserve"> </w:t>
      </w:r>
      <w:r w:rsidRPr="00B05565">
        <w:t>a</w:t>
      </w:r>
      <w:r>
        <w:t xml:space="preserve"> </w:t>
      </w:r>
      <w:r w:rsidRPr="00B05565">
        <w:t>2,</w:t>
      </w:r>
      <w:r>
        <w:t xml:space="preserve"> </w:t>
      </w:r>
      <w:r w:rsidRPr="00B05565">
        <w:t>písm.</w:t>
      </w:r>
      <w:r>
        <w:t xml:space="preserve"> </w:t>
      </w:r>
      <w:r w:rsidRPr="00B05565">
        <w:t>d)</w:t>
      </w:r>
      <w:r>
        <w:t xml:space="preserve"> </w:t>
      </w:r>
      <w:r w:rsidRPr="00B05565">
        <w:t>bodu</w:t>
      </w:r>
      <w:r>
        <w:t xml:space="preserve"> </w:t>
      </w:r>
      <w:r w:rsidRPr="00B05565">
        <w:t>1</w:t>
      </w:r>
      <w:r>
        <w:t xml:space="preserve"> </w:t>
      </w:r>
      <w:r w:rsidRPr="00B05565">
        <w:t>a</w:t>
      </w:r>
      <w:r>
        <w:t xml:space="preserve"> </w:t>
      </w:r>
      <w:r w:rsidRPr="00B05565">
        <w:t>odstavce</w:t>
      </w:r>
      <w:r>
        <w:t xml:space="preserve"> </w:t>
      </w:r>
      <w:r w:rsidRPr="00B05565">
        <w:t>1</w:t>
      </w:r>
      <w:r>
        <w:t xml:space="preserve"> </w:t>
      </w:r>
      <w:r w:rsidRPr="00B05565">
        <w:t>písm.</w:t>
      </w:r>
      <w:r>
        <w:t xml:space="preserve"> </w:t>
      </w:r>
      <w:r w:rsidRPr="00B05565">
        <w:t>e)</w:t>
      </w:r>
      <w:r>
        <w:t xml:space="preserve"> </w:t>
      </w:r>
      <w:r w:rsidRPr="00B05565">
        <w:t>a</w:t>
      </w:r>
      <w:r>
        <w:t xml:space="preserve"> </w:t>
      </w:r>
      <w:r w:rsidRPr="00B05565">
        <w:t>počtu</w:t>
      </w:r>
      <w:r>
        <w:t xml:space="preserve"> </w:t>
      </w:r>
      <w:r w:rsidRPr="00B05565">
        <w:t>jednotek,</w:t>
      </w:r>
      <w:r>
        <w:t xml:space="preserve"> </w:t>
      </w:r>
      <w:r w:rsidRPr="00B05565">
        <w:t>na</w:t>
      </w:r>
      <w:r>
        <w:t xml:space="preserve"> </w:t>
      </w:r>
      <w:r w:rsidRPr="00B05565">
        <w:t>které</w:t>
      </w:r>
      <w:r>
        <w:t xml:space="preserve"> </w:t>
      </w:r>
      <w:r w:rsidRPr="00B05565">
        <w:t>uvedené</w:t>
      </w:r>
      <w:r>
        <w:t xml:space="preserve"> </w:t>
      </w:r>
      <w:r w:rsidRPr="00B05565">
        <w:t>normativy</w:t>
      </w:r>
      <w:r>
        <w:t xml:space="preserve"> </w:t>
      </w:r>
      <w:r w:rsidRPr="00B05565">
        <w:t>připadají,</w:t>
      </w:r>
    </w:p>
    <w:p w14:paraId="37290888" w14:textId="03430920" w:rsidR="00B9271C" w:rsidRDefault="00B9271C" w:rsidP="00AB5ED2">
      <w:pPr>
        <w:pStyle w:val="Textparagrafu"/>
        <w:tabs>
          <w:tab w:val="left" w:pos="392"/>
          <w:tab w:val="left" w:pos="840"/>
        </w:tabs>
        <w:spacing w:before="0"/>
        <w:ind w:left="426" w:hanging="426"/>
      </w:pPr>
      <w:r w:rsidRPr="00B05565">
        <w:t>e)</w:t>
      </w:r>
      <w:r w:rsidR="007C08CF">
        <w:tab/>
      </w:r>
      <w:r w:rsidRPr="00B05565">
        <w:t>součinů</w:t>
      </w:r>
      <w:r>
        <w:t xml:space="preserve"> </w:t>
      </w:r>
      <w:r w:rsidRPr="00B05565">
        <w:t>normativů</w:t>
      </w:r>
      <w:r>
        <w:t xml:space="preserve"> </w:t>
      </w:r>
      <w:r w:rsidRPr="00B05565">
        <w:t>na</w:t>
      </w:r>
      <w:r>
        <w:t xml:space="preserve"> </w:t>
      </w:r>
      <w:r w:rsidRPr="00B05565">
        <w:t>1</w:t>
      </w:r>
      <w:r>
        <w:t xml:space="preserve"> </w:t>
      </w:r>
      <w:r w:rsidRPr="00B05565">
        <w:t>třídu</w:t>
      </w:r>
      <w:r>
        <w:t xml:space="preserve"> </w:t>
      </w:r>
      <w:r w:rsidRPr="00B05565">
        <w:t>v</w:t>
      </w:r>
      <w:r>
        <w:t xml:space="preserve"> </w:t>
      </w:r>
      <w:r w:rsidRPr="00B05565">
        <w:t>oboru</w:t>
      </w:r>
      <w:r>
        <w:t xml:space="preserve"> </w:t>
      </w:r>
      <w:r w:rsidRPr="00B05565">
        <w:t>vzdělání</w:t>
      </w:r>
      <w:r>
        <w:t xml:space="preserve"> </w:t>
      </w:r>
      <w:r w:rsidRPr="00B05565">
        <w:t>střední</w:t>
      </w:r>
      <w:r>
        <w:t xml:space="preserve"> </w:t>
      </w:r>
      <w:r w:rsidRPr="00B05565">
        <w:t>školy</w:t>
      </w:r>
      <w:r>
        <w:t xml:space="preserve"> </w:t>
      </w:r>
      <w:r w:rsidRPr="00B05565">
        <w:t>nebo</w:t>
      </w:r>
      <w:r>
        <w:t xml:space="preserve"> </w:t>
      </w:r>
      <w:r w:rsidRPr="00B05565">
        <w:t>normativu</w:t>
      </w:r>
      <w:r>
        <w:t xml:space="preserve"> </w:t>
      </w:r>
      <w:r w:rsidRPr="00B05565">
        <w:t>na</w:t>
      </w:r>
      <w:r>
        <w:t xml:space="preserve"> </w:t>
      </w:r>
      <w:r w:rsidRPr="00B05565">
        <w:t>1</w:t>
      </w:r>
      <w:r>
        <w:t xml:space="preserve"> </w:t>
      </w:r>
      <w:r w:rsidRPr="00B05565">
        <w:t>žáka</w:t>
      </w:r>
      <w:r>
        <w:t xml:space="preserve"> </w:t>
      </w:r>
      <w:r w:rsidRPr="00B05565">
        <w:t>v</w:t>
      </w:r>
      <w:r>
        <w:t xml:space="preserve"> </w:t>
      </w:r>
      <w:r w:rsidRPr="00B05565">
        <w:t>oboru</w:t>
      </w:r>
      <w:r>
        <w:t xml:space="preserve"> </w:t>
      </w:r>
      <w:r w:rsidRPr="00B05565">
        <w:t>vzdělání</w:t>
      </w:r>
      <w:r>
        <w:t xml:space="preserve"> </w:t>
      </w:r>
      <w:r w:rsidRPr="00B05565">
        <w:t>konzervatoře</w:t>
      </w:r>
      <w:r>
        <w:t xml:space="preserve"> </w:t>
      </w:r>
      <w:r w:rsidRPr="00B05565">
        <w:t>a</w:t>
      </w:r>
      <w:r>
        <w:t xml:space="preserve"> </w:t>
      </w:r>
      <w:r w:rsidRPr="00B05565">
        <w:t>počtů</w:t>
      </w:r>
      <w:r>
        <w:t xml:space="preserve"> </w:t>
      </w:r>
      <w:r w:rsidRPr="00B05565">
        <w:t>tříd</w:t>
      </w:r>
      <w:r>
        <w:t xml:space="preserve"> </w:t>
      </w:r>
      <w:r w:rsidRPr="00B05565">
        <w:t>v</w:t>
      </w:r>
      <w:r>
        <w:t xml:space="preserve"> </w:t>
      </w:r>
      <w:r w:rsidRPr="00B05565">
        <w:t>oboru</w:t>
      </w:r>
      <w:r>
        <w:t xml:space="preserve"> </w:t>
      </w:r>
      <w:r w:rsidRPr="00B05565">
        <w:t>vzdělání</w:t>
      </w:r>
      <w:r>
        <w:t xml:space="preserve"> </w:t>
      </w:r>
      <w:r w:rsidRPr="00B05565">
        <w:t>střední</w:t>
      </w:r>
      <w:r>
        <w:t xml:space="preserve"> </w:t>
      </w:r>
      <w:r w:rsidRPr="00B05565">
        <w:t>školy</w:t>
      </w:r>
      <w:r>
        <w:t xml:space="preserve"> </w:t>
      </w:r>
      <w:r w:rsidRPr="00B05565">
        <w:t>v</w:t>
      </w:r>
      <w:r>
        <w:t xml:space="preserve"> </w:t>
      </w:r>
      <w:r w:rsidRPr="00B05565">
        <w:t>jiných</w:t>
      </w:r>
      <w:r>
        <w:t xml:space="preserve"> </w:t>
      </w:r>
      <w:r w:rsidRPr="00B05565">
        <w:t>formách</w:t>
      </w:r>
      <w:r>
        <w:t xml:space="preserve"> </w:t>
      </w:r>
      <w:r w:rsidRPr="00B05565">
        <w:t>vzdělávání</w:t>
      </w:r>
      <w:r>
        <w:t xml:space="preserve"> </w:t>
      </w:r>
      <w:r w:rsidRPr="00B05565">
        <w:t>nebo</w:t>
      </w:r>
      <w:r>
        <w:t xml:space="preserve"> </w:t>
      </w:r>
      <w:r w:rsidRPr="00B05565">
        <w:t>počtů</w:t>
      </w:r>
      <w:r>
        <w:t xml:space="preserve"> </w:t>
      </w:r>
      <w:r w:rsidRPr="00B05565">
        <w:t>žáků</w:t>
      </w:r>
      <w:r>
        <w:t xml:space="preserve"> </w:t>
      </w:r>
      <w:r w:rsidRPr="00B05565">
        <w:t>v</w:t>
      </w:r>
      <w:r>
        <w:t xml:space="preserve"> </w:t>
      </w:r>
      <w:r w:rsidRPr="00B05565">
        <w:t>oboru</w:t>
      </w:r>
      <w:r>
        <w:t xml:space="preserve"> </w:t>
      </w:r>
      <w:r w:rsidRPr="00B05565">
        <w:t>vzdělání</w:t>
      </w:r>
      <w:r>
        <w:t xml:space="preserve"> </w:t>
      </w:r>
      <w:r w:rsidRPr="00B05565">
        <w:t>konzervatoře</w:t>
      </w:r>
      <w:r>
        <w:t xml:space="preserve"> </w:t>
      </w:r>
      <w:r w:rsidRPr="00B05565">
        <w:t>v</w:t>
      </w:r>
      <w:r>
        <w:t xml:space="preserve"> </w:t>
      </w:r>
      <w:r w:rsidRPr="00B05565">
        <w:t>jiných</w:t>
      </w:r>
      <w:r>
        <w:t xml:space="preserve"> </w:t>
      </w:r>
      <w:r w:rsidRPr="00B05565">
        <w:t>formách</w:t>
      </w:r>
      <w:r>
        <w:t xml:space="preserve"> </w:t>
      </w:r>
      <w:r w:rsidRPr="00B05565">
        <w:t>vzdělávání</w:t>
      </w:r>
      <w:r>
        <w:t xml:space="preserve"> </w:t>
      </w:r>
      <w:r w:rsidRPr="00B05565">
        <w:t>a</w:t>
      </w:r>
      <w:r>
        <w:t xml:space="preserve"> </w:t>
      </w:r>
      <w:r w:rsidRPr="00B05565">
        <w:t>opravných</w:t>
      </w:r>
      <w:r>
        <w:t xml:space="preserve"> </w:t>
      </w:r>
      <w:r w:rsidRPr="00B05565">
        <w:t>koeficientů</w:t>
      </w:r>
      <w:r>
        <w:t xml:space="preserve"> </w:t>
      </w:r>
      <w:r w:rsidRPr="00B05565">
        <w:t>podle</w:t>
      </w:r>
      <w:r>
        <w:t xml:space="preserve"> </w:t>
      </w:r>
      <w:r w:rsidRPr="00B05565">
        <w:t>odstavce</w:t>
      </w:r>
      <w:r>
        <w:t xml:space="preserve"> </w:t>
      </w:r>
      <w:r w:rsidRPr="00B05565">
        <w:t>1</w:t>
      </w:r>
      <w:r>
        <w:t xml:space="preserve"> </w:t>
      </w:r>
      <w:r w:rsidRPr="00B05565">
        <w:t>písm.</w:t>
      </w:r>
      <w:r>
        <w:t xml:space="preserve"> </w:t>
      </w:r>
      <w:r w:rsidRPr="00B05565">
        <w:t>a)</w:t>
      </w:r>
      <w:r>
        <w:t xml:space="preserve"> </w:t>
      </w:r>
      <w:r w:rsidRPr="00B05565">
        <w:t>bodu</w:t>
      </w:r>
      <w:r>
        <w:t xml:space="preserve"> </w:t>
      </w:r>
      <w:r w:rsidRPr="00B05565">
        <w:t>5,</w:t>
      </w:r>
    </w:p>
    <w:p w14:paraId="3C392AF7" w14:textId="3A1DB5DE" w:rsidR="00B9271C" w:rsidRDefault="00B9271C" w:rsidP="00AB5ED2">
      <w:pPr>
        <w:pStyle w:val="Textparagrafu"/>
        <w:tabs>
          <w:tab w:val="left" w:pos="392"/>
          <w:tab w:val="left" w:pos="840"/>
        </w:tabs>
        <w:spacing w:before="0"/>
        <w:ind w:left="426" w:hanging="426"/>
      </w:pPr>
      <w:r w:rsidRPr="00B05565">
        <w:t>f)</w:t>
      </w:r>
      <w:r w:rsidR="007C08CF">
        <w:tab/>
      </w:r>
      <w:r w:rsidRPr="00B05565">
        <w:t>součinů</w:t>
      </w:r>
      <w:r>
        <w:t xml:space="preserve"> </w:t>
      </w:r>
      <w:r w:rsidRPr="00B05565">
        <w:t>normativů</w:t>
      </w:r>
      <w:r>
        <w:t xml:space="preserve"> </w:t>
      </w:r>
      <w:r w:rsidRPr="00B05565">
        <w:t>podle</w:t>
      </w:r>
      <w:r>
        <w:t xml:space="preserve"> </w:t>
      </w:r>
      <w:r w:rsidRPr="00B05565">
        <w:t>odstavce</w:t>
      </w:r>
      <w:r>
        <w:t xml:space="preserve"> </w:t>
      </w:r>
      <w:r w:rsidRPr="00B05565">
        <w:t>1</w:t>
      </w:r>
      <w:r>
        <w:t xml:space="preserve"> </w:t>
      </w:r>
      <w:r w:rsidRPr="00B05565">
        <w:t>písm.</w:t>
      </w:r>
      <w:r>
        <w:t xml:space="preserve"> </w:t>
      </w:r>
      <w:r w:rsidRPr="00B05565">
        <w:t>c)</w:t>
      </w:r>
      <w:r>
        <w:t xml:space="preserve"> </w:t>
      </w:r>
      <w:r w:rsidRPr="00B05565">
        <w:t>bodu</w:t>
      </w:r>
      <w:r>
        <w:t xml:space="preserve"> </w:t>
      </w:r>
      <w:r w:rsidRPr="00B05565">
        <w:t>1</w:t>
      </w:r>
      <w:r>
        <w:t xml:space="preserve"> </w:t>
      </w:r>
      <w:r w:rsidRPr="00B05565">
        <w:t>a</w:t>
      </w:r>
      <w:r>
        <w:t xml:space="preserve"> </w:t>
      </w:r>
      <w:r w:rsidRPr="00B05565">
        <w:t>počtů</w:t>
      </w:r>
      <w:r>
        <w:t xml:space="preserve"> </w:t>
      </w:r>
      <w:r w:rsidRPr="00B05565">
        <w:t>studentů</w:t>
      </w:r>
      <w:r>
        <w:t xml:space="preserve"> </w:t>
      </w:r>
      <w:r w:rsidRPr="00B05565">
        <w:t>v</w:t>
      </w:r>
      <w:r>
        <w:t xml:space="preserve"> </w:t>
      </w:r>
      <w:r w:rsidRPr="00B05565">
        <w:t>jiných</w:t>
      </w:r>
      <w:r>
        <w:t xml:space="preserve"> </w:t>
      </w:r>
      <w:r w:rsidRPr="00B05565">
        <w:t>formách</w:t>
      </w:r>
      <w:r>
        <w:t xml:space="preserve"> </w:t>
      </w:r>
      <w:r w:rsidRPr="00B05565">
        <w:t>vzdělávání</w:t>
      </w:r>
      <w:r>
        <w:t xml:space="preserve"> </w:t>
      </w:r>
      <w:r w:rsidRPr="00B05565">
        <w:t>než</w:t>
      </w:r>
      <w:r>
        <w:t xml:space="preserve"> </w:t>
      </w:r>
      <w:r w:rsidRPr="00B05565">
        <w:t>v</w:t>
      </w:r>
      <w:r>
        <w:t xml:space="preserve"> </w:t>
      </w:r>
      <w:r w:rsidRPr="00B05565">
        <w:t>denní</w:t>
      </w:r>
      <w:r>
        <w:t xml:space="preserve"> </w:t>
      </w:r>
      <w:r w:rsidRPr="00B05565">
        <w:t>formě</w:t>
      </w:r>
      <w:r>
        <w:t xml:space="preserve"> </w:t>
      </w:r>
      <w:r w:rsidRPr="00B05565">
        <w:t>a</w:t>
      </w:r>
      <w:r>
        <w:t xml:space="preserve"> </w:t>
      </w:r>
      <w:r w:rsidRPr="00B05565">
        <w:t>opravných</w:t>
      </w:r>
      <w:r>
        <w:t xml:space="preserve"> </w:t>
      </w:r>
      <w:r w:rsidRPr="00B05565">
        <w:t>koeficientů</w:t>
      </w:r>
      <w:r>
        <w:t xml:space="preserve"> </w:t>
      </w:r>
      <w:r w:rsidRPr="00B05565">
        <w:t>podle</w:t>
      </w:r>
      <w:r>
        <w:t xml:space="preserve"> </w:t>
      </w:r>
      <w:r w:rsidRPr="00B05565">
        <w:t>odstavce</w:t>
      </w:r>
      <w:r>
        <w:t xml:space="preserve"> </w:t>
      </w:r>
      <w:r w:rsidRPr="00B05565">
        <w:t>1</w:t>
      </w:r>
      <w:r>
        <w:t xml:space="preserve"> </w:t>
      </w:r>
      <w:r w:rsidRPr="00B05565">
        <w:t>písm.</w:t>
      </w:r>
      <w:r>
        <w:t xml:space="preserve"> </w:t>
      </w:r>
      <w:r w:rsidRPr="00B05565">
        <w:t>c)</w:t>
      </w:r>
      <w:r>
        <w:t xml:space="preserve"> </w:t>
      </w:r>
      <w:r w:rsidRPr="00B05565">
        <w:t>bodu</w:t>
      </w:r>
      <w:r>
        <w:t xml:space="preserve"> </w:t>
      </w:r>
      <w:r w:rsidRPr="00B05565">
        <w:t>3,</w:t>
      </w:r>
    </w:p>
    <w:p w14:paraId="78320C3C" w14:textId="41927319" w:rsidR="00B9271C" w:rsidRDefault="00B9271C" w:rsidP="00AB5ED2">
      <w:pPr>
        <w:pStyle w:val="Textparagrafu"/>
        <w:tabs>
          <w:tab w:val="left" w:pos="392"/>
          <w:tab w:val="left" w:pos="840"/>
        </w:tabs>
        <w:spacing w:before="0"/>
        <w:ind w:left="426" w:hanging="426"/>
      </w:pPr>
      <w:r w:rsidRPr="00B05565">
        <w:lastRenderedPageBreak/>
        <w:t>g)</w:t>
      </w:r>
      <w:r w:rsidR="007C08CF">
        <w:tab/>
      </w:r>
      <w:r w:rsidRPr="00B05565">
        <w:t>součinů</w:t>
      </w:r>
      <w:r>
        <w:t xml:space="preserve"> </w:t>
      </w:r>
      <w:r w:rsidRPr="00B05565">
        <w:t>normativů</w:t>
      </w:r>
      <w:r>
        <w:t xml:space="preserve"> </w:t>
      </w:r>
      <w:r w:rsidRPr="00B05565">
        <w:t>na</w:t>
      </w:r>
      <w:r>
        <w:t xml:space="preserve"> </w:t>
      </w:r>
      <w:r w:rsidRPr="00B05565">
        <w:t>1</w:t>
      </w:r>
      <w:r>
        <w:t xml:space="preserve"> </w:t>
      </w:r>
      <w:r w:rsidRPr="00B05565">
        <w:t>studenta</w:t>
      </w:r>
      <w:r>
        <w:t xml:space="preserve"> </w:t>
      </w:r>
      <w:r w:rsidRPr="00B05565">
        <w:t>podle</w:t>
      </w:r>
      <w:r>
        <w:t xml:space="preserve"> </w:t>
      </w:r>
      <w:r w:rsidRPr="00B05565">
        <w:t>odstavce</w:t>
      </w:r>
      <w:r>
        <w:t xml:space="preserve"> </w:t>
      </w:r>
      <w:r w:rsidRPr="00B05565">
        <w:t>1</w:t>
      </w:r>
      <w:r>
        <w:t xml:space="preserve"> </w:t>
      </w:r>
      <w:r w:rsidRPr="00B05565">
        <w:t>písm.</w:t>
      </w:r>
      <w:r>
        <w:t xml:space="preserve"> </w:t>
      </w:r>
      <w:r w:rsidRPr="00B05565">
        <w:t>c)</w:t>
      </w:r>
      <w:r>
        <w:t xml:space="preserve"> </w:t>
      </w:r>
      <w:r w:rsidRPr="00B05565">
        <w:t>bodu</w:t>
      </w:r>
      <w:r>
        <w:t xml:space="preserve"> </w:t>
      </w:r>
      <w:r w:rsidRPr="00B05565">
        <w:t>2</w:t>
      </w:r>
      <w:r>
        <w:t xml:space="preserve"> </w:t>
      </w:r>
      <w:r w:rsidRPr="00B05565">
        <w:t>a</w:t>
      </w:r>
      <w:r>
        <w:t xml:space="preserve"> </w:t>
      </w:r>
      <w:r w:rsidRPr="00B05565">
        <w:t>počtů</w:t>
      </w:r>
      <w:r>
        <w:t xml:space="preserve"> </w:t>
      </w:r>
      <w:r w:rsidRPr="00B05565">
        <w:t>studentů</w:t>
      </w:r>
      <w:r>
        <w:t xml:space="preserve"> </w:t>
      </w:r>
      <w:r w:rsidRPr="00B05565">
        <w:t>v</w:t>
      </w:r>
      <w:r>
        <w:t xml:space="preserve"> </w:t>
      </w:r>
      <w:r w:rsidRPr="00B05565">
        <w:t>jiných</w:t>
      </w:r>
      <w:r>
        <w:t xml:space="preserve"> </w:t>
      </w:r>
      <w:r w:rsidRPr="00B05565">
        <w:t>formách</w:t>
      </w:r>
      <w:r>
        <w:t xml:space="preserve"> </w:t>
      </w:r>
      <w:r w:rsidRPr="00B05565">
        <w:t>vzdělávání</w:t>
      </w:r>
      <w:r>
        <w:t xml:space="preserve"> </w:t>
      </w:r>
      <w:r w:rsidRPr="00B05565">
        <w:t>než</w:t>
      </w:r>
      <w:r>
        <w:t xml:space="preserve"> </w:t>
      </w:r>
      <w:r w:rsidRPr="00B05565">
        <w:t>v</w:t>
      </w:r>
      <w:r>
        <w:t xml:space="preserve"> </w:t>
      </w:r>
      <w:r w:rsidRPr="00B05565">
        <w:t>denní</w:t>
      </w:r>
      <w:r>
        <w:t xml:space="preserve"> </w:t>
      </w:r>
      <w:r w:rsidRPr="00B05565">
        <w:t>formě</w:t>
      </w:r>
      <w:r>
        <w:t xml:space="preserve"> </w:t>
      </w:r>
      <w:r w:rsidRPr="00B05565">
        <w:t>a</w:t>
      </w:r>
      <w:r>
        <w:t xml:space="preserve"> </w:t>
      </w:r>
      <w:r w:rsidRPr="00B05565">
        <w:t>opravných</w:t>
      </w:r>
      <w:r>
        <w:t xml:space="preserve"> </w:t>
      </w:r>
      <w:r w:rsidRPr="00B05565">
        <w:t>koeficientů</w:t>
      </w:r>
      <w:r>
        <w:t xml:space="preserve"> </w:t>
      </w:r>
      <w:r w:rsidRPr="00B05565">
        <w:t>podle</w:t>
      </w:r>
      <w:r>
        <w:t xml:space="preserve"> </w:t>
      </w:r>
      <w:r w:rsidRPr="00B05565">
        <w:t>odstavce</w:t>
      </w:r>
      <w:r>
        <w:t xml:space="preserve"> </w:t>
      </w:r>
      <w:r w:rsidRPr="00B05565">
        <w:t>1</w:t>
      </w:r>
      <w:r>
        <w:t xml:space="preserve"> </w:t>
      </w:r>
      <w:r w:rsidRPr="00B05565">
        <w:t>písm.</w:t>
      </w:r>
      <w:r>
        <w:t xml:space="preserve"> </w:t>
      </w:r>
      <w:r w:rsidRPr="00B05565">
        <w:t>c)</w:t>
      </w:r>
      <w:r>
        <w:t xml:space="preserve"> </w:t>
      </w:r>
      <w:r w:rsidRPr="00B05565">
        <w:t>bodu</w:t>
      </w:r>
      <w:r>
        <w:t xml:space="preserve"> </w:t>
      </w:r>
      <w:r w:rsidRPr="00B05565">
        <w:t>4,</w:t>
      </w:r>
      <w:r>
        <w:t xml:space="preserve"> </w:t>
      </w:r>
      <w:r w:rsidRPr="00B05565">
        <w:t>a</w:t>
      </w:r>
    </w:p>
    <w:p w14:paraId="330C5714" w14:textId="3154844A" w:rsidR="00B9271C" w:rsidRDefault="00B9271C" w:rsidP="00AB5ED2">
      <w:pPr>
        <w:pStyle w:val="Textparagrafu"/>
        <w:tabs>
          <w:tab w:val="left" w:pos="392"/>
          <w:tab w:val="left" w:pos="840"/>
        </w:tabs>
        <w:spacing w:before="0"/>
        <w:ind w:left="426" w:hanging="426"/>
      </w:pPr>
      <w:r w:rsidRPr="00B05565">
        <w:t>h)</w:t>
      </w:r>
      <w:r w:rsidR="007C08CF">
        <w:tab/>
      </w:r>
      <w:r w:rsidRPr="00B05565">
        <w:t>součinů</w:t>
      </w:r>
      <w:r>
        <w:t xml:space="preserve"> </w:t>
      </w:r>
      <w:r w:rsidRPr="00B05565">
        <w:t>příplatků</w:t>
      </w:r>
      <w:r>
        <w:t xml:space="preserve"> </w:t>
      </w:r>
      <w:r w:rsidRPr="00B05565">
        <w:t>podle</w:t>
      </w:r>
      <w:r>
        <w:t xml:space="preserve"> </w:t>
      </w:r>
      <w:r w:rsidRPr="00B05565">
        <w:t>§</w:t>
      </w:r>
      <w:r>
        <w:t xml:space="preserve"> </w:t>
      </w:r>
      <w:r w:rsidRPr="00B05565">
        <w:t>161c</w:t>
      </w:r>
      <w:r>
        <w:t xml:space="preserve"> </w:t>
      </w:r>
      <w:r w:rsidRPr="00B05565">
        <w:t>odst.</w:t>
      </w:r>
      <w:r>
        <w:t xml:space="preserve"> </w:t>
      </w:r>
      <w:r w:rsidRPr="00B05565">
        <w:t>1</w:t>
      </w:r>
      <w:r>
        <w:t xml:space="preserve"> </w:t>
      </w:r>
      <w:r w:rsidRPr="00B05565">
        <w:t>písm.</w:t>
      </w:r>
      <w:r>
        <w:t xml:space="preserve"> </w:t>
      </w:r>
      <w:r w:rsidRPr="00B05565">
        <w:t>a)</w:t>
      </w:r>
      <w:r>
        <w:t xml:space="preserve"> </w:t>
      </w:r>
      <w:r w:rsidRPr="00B05565">
        <w:t>a</w:t>
      </w:r>
      <w:r>
        <w:t xml:space="preserve"> </w:t>
      </w:r>
      <w:r w:rsidRPr="00B05565">
        <w:t>počtu</w:t>
      </w:r>
      <w:r>
        <w:t xml:space="preserve"> </w:t>
      </w:r>
      <w:r w:rsidRPr="00B05565">
        <w:t>jednotek,</w:t>
      </w:r>
      <w:r>
        <w:t xml:space="preserve"> </w:t>
      </w:r>
      <w:r w:rsidRPr="00B05565">
        <w:t>na</w:t>
      </w:r>
      <w:r>
        <w:t xml:space="preserve"> </w:t>
      </w:r>
      <w:r w:rsidRPr="00B05565">
        <w:t>které</w:t>
      </w:r>
      <w:r>
        <w:t xml:space="preserve"> </w:t>
      </w:r>
      <w:r w:rsidRPr="00B05565">
        <w:t>uvedené</w:t>
      </w:r>
      <w:r>
        <w:t xml:space="preserve"> </w:t>
      </w:r>
      <w:r w:rsidRPr="00B05565">
        <w:t>příplatky</w:t>
      </w:r>
      <w:r>
        <w:t xml:space="preserve"> </w:t>
      </w:r>
      <w:r w:rsidRPr="00B05565">
        <w:t>připadají.</w:t>
      </w:r>
    </w:p>
    <w:p w14:paraId="7B7568B6" w14:textId="193C2239" w:rsidR="00B9271C" w:rsidRDefault="00B9271C" w:rsidP="00A84DD3">
      <w:pPr>
        <w:pStyle w:val="Textparagrafu"/>
        <w:tabs>
          <w:tab w:val="left" w:pos="392"/>
          <w:tab w:val="left" w:pos="840"/>
        </w:tabs>
        <w:spacing w:before="120" w:after="120"/>
      </w:pPr>
      <w:r w:rsidRPr="00B05565">
        <w:t>(4)</w:t>
      </w:r>
      <w:r>
        <w:t xml:space="preserve"> </w:t>
      </w:r>
      <w:r w:rsidRPr="00B05565">
        <w:t>Výše</w:t>
      </w:r>
      <w:r>
        <w:t xml:space="preserve"> </w:t>
      </w:r>
      <w:r w:rsidRPr="00162C70">
        <w:rPr>
          <w:strike/>
        </w:rPr>
        <w:t>finančních</w:t>
      </w:r>
      <w:r>
        <w:t xml:space="preserve"> </w:t>
      </w:r>
      <w:r w:rsidR="00162C70">
        <w:rPr>
          <w:b/>
        </w:rPr>
        <w:t xml:space="preserve">peněžních </w:t>
      </w:r>
      <w:r w:rsidRPr="00B05565">
        <w:t>prostředků</w:t>
      </w:r>
      <w:r>
        <w:t xml:space="preserve"> </w:t>
      </w:r>
      <w:r w:rsidRPr="00B05565">
        <w:t>podle</w:t>
      </w:r>
      <w:r>
        <w:t xml:space="preserve"> </w:t>
      </w:r>
      <w:r w:rsidRPr="00B05565">
        <w:t>odstavce</w:t>
      </w:r>
      <w:r>
        <w:t xml:space="preserve"> </w:t>
      </w:r>
      <w:r w:rsidRPr="00B05565">
        <w:t>3</w:t>
      </w:r>
      <w:r>
        <w:t xml:space="preserve"> </w:t>
      </w:r>
      <w:r w:rsidRPr="00B05565">
        <w:t>písm.</w:t>
      </w:r>
      <w:r>
        <w:t xml:space="preserve"> </w:t>
      </w:r>
      <w:r w:rsidRPr="00B05565">
        <w:t>a)</w:t>
      </w:r>
      <w:r>
        <w:t xml:space="preserve"> </w:t>
      </w:r>
      <w:r w:rsidRPr="00B05565">
        <w:t>a</w:t>
      </w:r>
      <w:r>
        <w:t xml:space="preserve"> </w:t>
      </w:r>
      <w:r w:rsidRPr="00B05565">
        <w:t>b)</w:t>
      </w:r>
      <w:r>
        <w:t xml:space="preserve"> </w:t>
      </w:r>
      <w:r w:rsidRPr="00B05565">
        <w:t>se</w:t>
      </w:r>
      <w:r>
        <w:t xml:space="preserve"> </w:t>
      </w:r>
      <w:r w:rsidRPr="00B05565">
        <w:t>stanoví</w:t>
      </w:r>
      <w:r>
        <w:t xml:space="preserve"> </w:t>
      </w:r>
      <w:r w:rsidRPr="00B05565">
        <w:t>do</w:t>
      </w:r>
      <w:r>
        <w:t xml:space="preserve"> </w:t>
      </w:r>
      <w:r w:rsidRPr="00B05565">
        <w:t>výše</w:t>
      </w:r>
      <w:r>
        <w:t xml:space="preserve"> </w:t>
      </w:r>
      <w:r w:rsidRPr="00B05565">
        <w:t>odpovídající</w:t>
      </w:r>
      <w:r>
        <w:t xml:space="preserve"> </w:t>
      </w:r>
      <w:r w:rsidRPr="00B05565">
        <w:t>maximálním</w:t>
      </w:r>
      <w:r>
        <w:t xml:space="preserve"> </w:t>
      </w:r>
      <w:r w:rsidRPr="00B05565">
        <w:t>počtům</w:t>
      </w:r>
      <w:r>
        <w:t xml:space="preserve"> </w:t>
      </w:r>
      <w:r w:rsidRPr="00B05565">
        <w:t>hodin</w:t>
      </w:r>
      <w:r>
        <w:t xml:space="preserve"> </w:t>
      </w:r>
      <w:r w:rsidRPr="00B05565">
        <w:t>stanovených</w:t>
      </w:r>
      <w:r>
        <w:t xml:space="preserve"> </w:t>
      </w:r>
      <w:r w:rsidRPr="00B05565">
        <w:t>podle</w:t>
      </w:r>
      <w:r>
        <w:t xml:space="preserve"> </w:t>
      </w:r>
      <w:r w:rsidRPr="00B05565">
        <w:t>odstavce</w:t>
      </w:r>
      <w:r>
        <w:t xml:space="preserve"> </w:t>
      </w:r>
      <w:r w:rsidRPr="00B05565">
        <w:t>2</w:t>
      </w:r>
      <w:r>
        <w:t xml:space="preserve"> </w:t>
      </w:r>
      <w:r w:rsidRPr="00B05565">
        <w:t>a</w:t>
      </w:r>
      <w:r>
        <w:t xml:space="preserve"> </w:t>
      </w:r>
      <w:r w:rsidRPr="00B05565">
        <w:t>podle</w:t>
      </w:r>
      <w:r>
        <w:t xml:space="preserve"> </w:t>
      </w:r>
      <w:r w:rsidRPr="00B05565">
        <w:t>§</w:t>
      </w:r>
      <w:r>
        <w:t xml:space="preserve"> </w:t>
      </w:r>
      <w:r w:rsidRPr="00B05565">
        <w:t>161c</w:t>
      </w:r>
      <w:r>
        <w:t xml:space="preserve"> </w:t>
      </w:r>
      <w:r w:rsidRPr="00B05565">
        <w:t>odst.</w:t>
      </w:r>
      <w:r>
        <w:t xml:space="preserve"> </w:t>
      </w:r>
      <w:r w:rsidRPr="00B05565">
        <w:t>2</w:t>
      </w:r>
      <w:r>
        <w:t xml:space="preserve"> </w:t>
      </w:r>
      <w:r w:rsidRPr="00B05565">
        <w:t>písm.</w:t>
      </w:r>
      <w:r>
        <w:t xml:space="preserve"> </w:t>
      </w:r>
      <w:r w:rsidRPr="00B05565">
        <w:t>c).</w:t>
      </w:r>
    </w:p>
    <w:p w14:paraId="623F1523" w14:textId="686C2941" w:rsidR="00B9271C" w:rsidRDefault="00B9271C" w:rsidP="00A84DD3">
      <w:pPr>
        <w:pStyle w:val="Textparagrafu"/>
        <w:tabs>
          <w:tab w:val="left" w:pos="392"/>
          <w:tab w:val="left" w:pos="840"/>
        </w:tabs>
        <w:spacing w:before="120" w:after="120"/>
      </w:pPr>
      <w:r w:rsidRPr="00B05565">
        <w:t>(5)</w:t>
      </w:r>
      <w:r>
        <w:t xml:space="preserve"> </w:t>
      </w:r>
      <w:r w:rsidRPr="00B05565">
        <w:t>Krajský</w:t>
      </w:r>
      <w:r>
        <w:t xml:space="preserve"> </w:t>
      </w:r>
      <w:r w:rsidRPr="00B05565">
        <w:t>úřad</w:t>
      </w:r>
      <w:r>
        <w:t xml:space="preserve"> </w:t>
      </w:r>
      <w:r w:rsidRPr="00B05565">
        <w:t>v</w:t>
      </w:r>
      <w:r>
        <w:t xml:space="preserve"> </w:t>
      </w:r>
      <w:r w:rsidRPr="00B05565">
        <w:t>souladu</w:t>
      </w:r>
      <w:r>
        <w:t xml:space="preserve"> </w:t>
      </w:r>
      <w:r w:rsidRPr="00B05565">
        <w:t>se</w:t>
      </w:r>
      <w:r>
        <w:t xml:space="preserve"> </w:t>
      </w:r>
      <w:r w:rsidRPr="00B05565">
        <w:t>zásadami</w:t>
      </w:r>
      <w:r>
        <w:t xml:space="preserve"> </w:t>
      </w:r>
      <w:r w:rsidRPr="00B05565">
        <w:t>stanovenými</w:t>
      </w:r>
      <w:r>
        <w:t xml:space="preserve"> </w:t>
      </w:r>
      <w:r w:rsidRPr="00B05565">
        <w:t>ministerstvem</w:t>
      </w:r>
      <w:r>
        <w:t xml:space="preserve"> </w:t>
      </w:r>
      <w:r w:rsidRPr="00B05565">
        <w:t>podle</w:t>
      </w:r>
      <w:r>
        <w:t xml:space="preserve"> </w:t>
      </w:r>
      <w:r w:rsidRPr="00B05565">
        <w:t>§</w:t>
      </w:r>
      <w:r>
        <w:t xml:space="preserve"> </w:t>
      </w:r>
      <w:r w:rsidRPr="00B05565">
        <w:t>170</w:t>
      </w:r>
      <w:r>
        <w:t xml:space="preserve"> </w:t>
      </w:r>
      <w:r w:rsidRPr="00B05565">
        <w:t>písm.</w:t>
      </w:r>
      <w:r>
        <w:t xml:space="preserve"> </w:t>
      </w:r>
      <w:r w:rsidRPr="00B05565">
        <w:t>b)</w:t>
      </w:r>
      <w:r>
        <w:t xml:space="preserve"> </w:t>
      </w:r>
      <w:r w:rsidRPr="00B05565">
        <w:t>rozepisuje</w:t>
      </w:r>
      <w:r>
        <w:t xml:space="preserve"> </w:t>
      </w:r>
      <w:r w:rsidRPr="00B05565">
        <w:t>a</w:t>
      </w:r>
      <w:r>
        <w:t xml:space="preserve"> </w:t>
      </w:r>
      <w:r w:rsidRPr="00B05565">
        <w:t>poskytuje</w:t>
      </w:r>
      <w:r>
        <w:t xml:space="preserve"> </w:t>
      </w:r>
      <w:r w:rsidRPr="00162C70">
        <w:rPr>
          <w:strike/>
        </w:rPr>
        <w:t>finanční</w:t>
      </w:r>
      <w:r>
        <w:t xml:space="preserve"> </w:t>
      </w:r>
      <w:r w:rsidR="00162C70">
        <w:rPr>
          <w:b/>
        </w:rPr>
        <w:t xml:space="preserve">peněžní </w:t>
      </w:r>
      <w:r w:rsidRPr="00B05565">
        <w:t>prostředky</w:t>
      </w:r>
      <w:r>
        <w:t xml:space="preserve"> </w:t>
      </w:r>
      <w:r w:rsidRPr="00B05565">
        <w:t>podle</w:t>
      </w:r>
      <w:r>
        <w:t xml:space="preserve"> </w:t>
      </w:r>
      <w:r w:rsidRPr="00B05565">
        <w:t>odstavce</w:t>
      </w:r>
      <w:r>
        <w:t xml:space="preserve"> </w:t>
      </w:r>
      <w:r w:rsidRPr="00B05565">
        <w:t>3</w:t>
      </w:r>
      <w:r>
        <w:t xml:space="preserve"> </w:t>
      </w:r>
      <w:r w:rsidRPr="00B05565">
        <w:t>a</w:t>
      </w:r>
      <w:r>
        <w:t xml:space="preserve"> </w:t>
      </w:r>
      <w:r w:rsidRPr="00B05565">
        <w:t>případně</w:t>
      </w:r>
      <w:r>
        <w:t xml:space="preserve"> </w:t>
      </w:r>
      <w:r w:rsidRPr="00B05565">
        <w:t>podle</w:t>
      </w:r>
      <w:r>
        <w:t xml:space="preserve"> </w:t>
      </w:r>
      <w:r w:rsidRPr="00B05565">
        <w:t>odstavce</w:t>
      </w:r>
      <w:r>
        <w:t xml:space="preserve"> </w:t>
      </w:r>
      <w:r w:rsidRPr="00B05565">
        <w:t>7</w:t>
      </w:r>
      <w:r>
        <w:t xml:space="preserve"> </w:t>
      </w:r>
      <w:r w:rsidRPr="00B05565">
        <w:t>jednotlivým</w:t>
      </w:r>
      <w:r>
        <w:t xml:space="preserve"> </w:t>
      </w:r>
      <w:r w:rsidRPr="00B05565">
        <w:t>právnickým</w:t>
      </w:r>
      <w:r>
        <w:t xml:space="preserve"> </w:t>
      </w:r>
      <w:r w:rsidRPr="00B05565">
        <w:t>osobám</w:t>
      </w:r>
      <w:r>
        <w:t xml:space="preserve"> </w:t>
      </w:r>
      <w:r w:rsidRPr="00B05565">
        <w:t>vykonávajícím</w:t>
      </w:r>
      <w:r>
        <w:t xml:space="preserve"> </w:t>
      </w:r>
      <w:r w:rsidRPr="00B05565">
        <w:t>činnost</w:t>
      </w:r>
      <w:r>
        <w:t xml:space="preserve"> </w:t>
      </w:r>
      <w:r w:rsidRPr="00B05565">
        <w:t>škol</w:t>
      </w:r>
      <w:r>
        <w:t xml:space="preserve"> </w:t>
      </w:r>
      <w:r w:rsidRPr="00B05565">
        <w:t>a</w:t>
      </w:r>
      <w:r>
        <w:t xml:space="preserve"> </w:t>
      </w:r>
      <w:r w:rsidRPr="00B05565">
        <w:t>školských</w:t>
      </w:r>
      <w:r>
        <w:t xml:space="preserve"> </w:t>
      </w:r>
      <w:r w:rsidRPr="00B05565">
        <w:t>zařízení</w:t>
      </w:r>
      <w:r>
        <w:t xml:space="preserve"> </w:t>
      </w:r>
      <w:r w:rsidRPr="00B05565">
        <w:t>v</w:t>
      </w:r>
      <w:r>
        <w:t xml:space="preserve"> </w:t>
      </w:r>
      <w:r w:rsidRPr="00B05565">
        <w:t>souladu</w:t>
      </w:r>
      <w:r>
        <w:t xml:space="preserve"> </w:t>
      </w:r>
      <w:r w:rsidRPr="00B05565">
        <w:t>s</w:t>
      </w:r>
      <w:r>
        <w:t xml:space="preserve"> </w:t>
      </w:r>
      <w:r w:rsidRPr="00B05565">
        <w:t>výší</w:t>
      </w:r>
      <w:r>
        <w:t xml:space="preserve"> </w:t>
      </w:r>
      <w:r w:rsidRPr="00B05565">
        <w:t>prostředků</w:t>
      </w:r>
      <w:r>
        <w:t xml:space="preserve"> </w:t>
      </w:r>
      <w:r w:rsidRPr="00B05565">
        <w:t>stanovenou</w:t>
      </w:r>
      <w:r>
        <w:t xml:space="preserve"> </w:t>
      </w:r>
      <w:r w:rsidRPr="00B05565">
        <w:t>ministerstvem</w:t>
      </w:r>
      <w:r>
        <w:t xml:space="preserve"> </w:t>
      </w:r>
      <w:r w:rsidRPr="00B05565">
        <w:t>a</w:t>
      </w:r>
      <w:r>
        <w:t xml:space="preserve"> </w:t>
      </w:r>
      <w:r w:rsidRPr="00B05565">
        <w:t>po</w:t>
      </w:r>
      <w:r>
        <w:t xml:space="preserve"> </w:t>
      </w:r>
      <w:r w:rsidRPr="00B05565">
        <w:t>případné</w:t>
      </w:r>
      <w:r>
        <w:t xml:space="preserve"> </w:t>
      </w:r>
      <w:r w:rsidRPr="00B05565">
        <w:t>úpravě</w:t>
      </w:r>
      <w:r>
        <w:t xml:space="preserve"> </w:t>
      </w:r>
      <w:r w:rsidRPr="00B05565">
        <w:t>podle</w:t>
      </w:r>
      <w:r>
        <w:t xml:space="preserve"> </w:t>
      </w:r>
      <w:r w:rsidRPr="00B05565">
        <w:t>odstavce</w:t>
      </w:r>
      <w:r>
        <w:t xml:space="preserve"> </w:t>
      </w:r>
      <w:r w:rsidRPr="00B05565">
        <w:t>6.</w:t>
      </w:r>
    </w:p>
    <w:p w14:paraId="291AC5D8" w14:textId="6A8B1F67" w:rsidR="00B9271C" w:rsidRDefault="00B9271C" w:rsidP="00A84DD3">
      <w:pPr>
        <w:pStyle w:val="Textparagrafu"/>
        <w:tabs>
          <w:tab w:val="left" w:pos="392"/>
          <w:tab w:val="left" w:pos="840"/>
        </w:tabs>
        <w:spacing w:before="120" w:after="120"/>
      </w:pPr>
      <w:r w:rsidRPr="00B05565">
        <w:t>(6)</w:t>
      </w:r>
      <w:r>
        <w:t xml:space="preserve"> </w:t>
      </w:r>
      <w:r w:rsidRPr="00B05565">
        <w:t>Při</w:t>
      </w:r>
      <w:r>
        <w:t xml:space="preserve"> </w:t>
      </w:r>
      <w:r w:rsidRPr="00B05565">
        <w:t>rozpisu</w:t>
      </w:r>
      <w:r>
        <w:t xml:space="preserve"> </w:t>
      </w:r>
      <w:r w:rsidRPr="00162C70">
        <w:rPr>
          <w:strike/>
        </w:rPr>
        <w:t>finančních</w:t>
      </w:r>
      <w:r>
        <w:t xml:space="preserve"> </w:t>
      </w:r>
      <w:r w:rsidR="00162C70" w:rsidRPr="00162C70">
        <w:rPr>
          <w:b/>
        </w:rPr>
        <w:t>peněžních</w:t>
      </w:r>
      <w:r w:rsidR="00162C70">
        <w:t xml:space="preserve"> </w:t>
      </w:r>
      <w:r w:rsidRPr="00B05565">
        <w:t>prostředků</w:t>
      </w:r>
      <w:r>
        <w:t xml:space="preserve"> </w:t>
      </w:r>
      <w:r w:rsidRPr="00B05565">
        <w:t>podle</w:t>
      </w:r>
      <w:r>
        <w:t xml:space="preserve"> </w:t>
      </w:r>
      <w:r w:rsidRPr="00B05565">
        <w:t>odstavce</w:t>
      </w:r>
      <w:r>
        <w:t xml:space="preserve"> </w:t>
      </w:r>
      <w:r w:rsidRPr="00B05565">
        <w:t>5</w:t>
      </w:r>
      <w:r>
        <w:t xml:space="preserve"> </w:t>
      </w:r>
      <w:r w:rsidRPr="00B05565">
        <w:t>ověří</w:t>
      </w:r>
      <w:r>
        <w:t xml:space="preserve"> </w:t>
      </w:r>
      <w:r w:rsidRPr="00B05565">
        <w:t>krajský</w:t>
      </w:r>
      <w:r>
        <w:t xml:space="preserve"> </w:t>
      </w:r>
      <w:r w:rsidRPr="00B05565">
        <w:t>úřad</w:t>
      </w:r>
      <w:r>
        <w:t xml:space="preserve"> </w:t>
      </w:r>
      <w:r w:rsidRPr="00B05565">
        <w:t>správnost</w:t>
      </w:r>
      <w:r>
        <w:t xml:space="preserve"> </w:t>
      </w:r>
      <w:r w:rsidRPr="00B05565">
        <w:t>všech</w:t>
      </w:r>
      <w:r>
        <w:t xml:space="preserve"> </w:t>
      </w:r>
      <w:r w:rsidRPr="00B05565">
        <w:t>jednotek</w:t>
      </w:r>
      <w:r>
        <w:t xml:space="preserve"> </w:t>
      </w:r>
      <w:r w:rsidRPr="00B05565">
        <w:t>rozhodných</w:t>
      </w:r>
      <w:r>
        <w:t xml:space="preserve"> </w:t>
      </w:r>
      <w:r w:rsidRPr="00B05565">
        <w:t>pro</w:t>
      </w:r>
      <w:r>
        <w:t xml:space="preserve"> </w:t>
      </w:r>
      <w:r w:rsidRPr="00B05565">
        <w:t>rozpis</w:t>
      </w:r>
      <w:r>
        <w:t xml:space="preserve"> </w:t>
      </w:r>
      <w:r w:rsidRPr="00162C70">
        <w:rPr>
          <w:strike/>
        </w:rPr>
        <w:t>finančních</w:t>
      </w:r>
      <w:r>
        <w:t xml:space="preserve"> </w:t>
      </w:r>
      <w:r w:rsidR="00162C70">
        <w:rPr>
          <w:b/>
        </w:rPr>
        <w:t xml:space="preserve">peněžních </w:t>
      </w:r>
      <w:r w:rsidRPr="00B05565">
        <w:t>prostředků</w:t>
      </w:r>
      <w:r>
        <w:t xml:space="preserve"> </w:t>
      </w:r>
      <w:r w:rsidRPr="00B05565">
        <w:t>pro</w:t>
      </w:r>
      <w:r>
        <w:t xml:space="preserve"> </w:t>
      </w:r>
      <w:r w:rsidRPr="00B05565">
        <w:t>jednotlivé</w:t>
      </w:r>
      <w:r>
        <w:t xml:space="preserve"> </w:t>
      </w:r>
      <w:r w:rsidRPr="00B05565">
        <w:t>právnické</w:t>
      </w:r>
      <w:r>
        <w:t xml:space="preserve"> </w:t>
      </w:r>
      <w:r w:rsidRPr="00B05565">
        <w:t>osoby.</w:t>
      </w:r>
      <w:r>
        <w:t xml:space="preserve"> </w:t>
      </w:r>
      <w:r w:rsidRPr="00B05565">
        <w:t>U</w:t>
      </w:r>
      <w:r>
        <w:t xml:space="preserve"> </w:t>
      </w:r>
      <w:r w:rsidRPr="00B05565">
        <w:t>právnických</w:t>
      </w:r>
      <w:r>
        <w:t xml:space="preserve"> </w:t>
      </w:r>
      <w:r w:rsidRPr="00B05565">
        <w:t>osob</w:t>
      </w:r>
      <w:r>
        <w:t xml:space="preserve"> </w:t>
      </w:r>
      <w:r w:rsidRPr="00B05565">
        <w:t>zřizovaných</w:t>
      </w:r>
      <w:r>
        <w:t xml:space="preserve"> </w:t>
      </w:r>
      <w:r w:rsidRPr="00B05565">
        <w:t>obcí</w:t>
      </w:r>
      <w:r>
        <w:t xml:space="preserve"> </w:t>
      </w:r>
      <w:r w:rsidRPr="00B05565">
        <w:t>nebo</w:t>
      </w:r>
      <w:r>
        <w:t xml:space="preserve"> </w:t>
      </w:r>
      <w:r w:rsidRPr="00B05565">
        <w:t>svazkem</w:t>
      </w:r>
      <w:r>
        <w:t xml:space="preserve"> </w:t>
      </w:r>
      <w:r w:rsidRPr="00B05565">
        <w:t>obcí</w:t>
      </w:r>
      <w:r>
        <w:t xml:space="preserve"> </w:t>
      </w:r>
      <w:r w:rsidRPr="00B05565">
        <w:t>provádí</w:t>
      </w:r>
      <w:r>
        <w:t xml:space="preserve"> </w:t>
      </w:r>
      <w:r w:rsidRPr="00B05565">
        <w:t>ověření</w:t>
      </w:r>
      <w:r>
        <w:t xml:space="preserve"> </w:t>
      </w:r>
      <w:r w:rsidRPr="00B05565">
        <w:t>podle</w:t>
      </w:r>
      <w:r>
        <w:t xml:space="preserve"> </w:t>
      </w:r>
      <w:r w:rsidRPr="00B05565">
        <w:t>věty</w:t>
      </w:r>
      <w:r>
        <w:t xml:space="preserve"> </w:t>
      </w:r>
      <w:r w:rsidRPr="00B05565">
        <w:t>první</w:t>
      </w:r>
      <w:r>
        <w:t xml:space="preserve"> </w:t>
      </w:r>
      <w:r w:rsidRPr="00B05565">
        <w:t>obecní</w:t>
      </w:r>
      <w:r>
        <w:t xml:space="preserve"> </w:t>
      </w:r>
      <w:r w:rsidRPr="00B05565">
        <w:t>úřad</w:t>
      </w:r>
      <w:r>
        <w:t xml:space="preserve"> </w:t>
      </w:r>
      <w:r w:rsidRPr="00B05565">
        <w:t>obce</w:t>
      </w:r>
      <w:r>
        <w:t xml:space="preserve"> </w:t>
      </w:r>
      <w:r w:rsidRPr="00B05565">
        <w:t>s</w:t>
      </w:r>
      <w:r>
        <w:t xml:space="preserve"> </w:t>
      </w:r>
      <w:r w:rsidRPr="00B05565">
        <w:t>rozšířenou</w:t>
      </w:r>
      <w:r>
        <w:t xml:space="preserve"> </w:t>
      </w:r>
      <w:r w:rsidRPr="00B05565">
        <w:t>působností</w:t>
      </w:r>
      <w:r>
        <w:t xml:space="preserve"> </w:t>
      </w:r>
      <w:r w:rsidRPr="00B05565">
        <w:t>a</w:t>
      </w:r>
      <w:r>
        <w:t xml:space="preserve"> </w:t>
      </w:r>
      <w:r w:rsidRPr="00B05565">
        <w:t>zjištěné</w:t>
      </w:r>
      <w:r>
        <w:t xml:space="preserve"> </w:t>
      </w:r>
      <w:r w:rsidRPr="00B05565">
        <w:t>rozdíly</w:t>
      </w:r>
      <w:r>
        <w:t xml:space="preserve"> </w:t>
      </w:r>
      <w:r w:rsidRPr="00B05565">
        <w:t>oznámí</w:t>
      </w:r>
      <w:r>
        <w:t xml:space="preserve"> </w:t>
      </w:r>
      <w:r w:rsidRPr="00B05565">
        <w:t>krajskému</w:t>
      </w:r>
      <w:r>
        <w:t xml:space="preserve"> </w:t>
      </w:r>
      <w:r w:rsidRPr="00B05565">
        <w:t>úřadu.</w:t>
      </w:r>
      <w:r>
        <w:t xml:space="preserve"> </w:t>
      </w:r>
      <w:r w:rsidRPr="00B05565">
        <w:t>V</w:t>
      </w:r>
      <w:r>
        <w:t xml:space="preserve"> </w:t>
      </w:r>
      <w:r w:rsidRPr="00B05565">
        <w:t>případě</w:t>
      </w:r>
      <w:r>
        <w:t xml:space="preserve"> </w:t>
      </w:r>
      <w:r w:rsidRPr="00B05565">
        <w:t>zjištění</w:t>
      </w:r>
      <w:r>
        <w:t xml:space="preserve"> </w:t>
      </w:r>
      <w:r w:rsidRPr="00B05565">
        <w:t>rozdílů</w:t>
      </w:r>
      <w:r>
        <w:t xml:space="preserve"> </w:t>
      </w:r>
      <w:r w:rsidRPr="00B05565">
        <w:t>oproti</w:t>
      </w:r>
      <w:r>
        <w:t xml:space="preserve"> </w:t>
      </w:r>
      <w:r w:rsidRPr="00B05565">
        <w:t>jednotkám</w:t>
      </w:r>
      <w:r>
        <w:t xml:space="preserve"> </w:t>
      </w:r>
      <w:r w:rsidRPr="00B05565">
        <w:t>výkonu</w:t>
      </w:r>
      <w:r>
        <w:t xml:space="preserve"> </w:t>
      </w:r>
      <w:r w:rsidRPr="00B05565">
        <w:t>použitým</w:t>
      </w:r>
      <w:r>
        <w:t xml:space="preserve"> </w:t>
      </w:r>
      <w:r w:rsidRPr="00B05565">
        <w:t>ministerstvem</w:t>
      </w:r>
      <w:r>
        <w:t xml:space="preserve"> </w:t>
      </w:r>
      <w:r w:rsidRPr="00B05565">
        <w:t>pro</w:t>
      </w:r>
      <w:r>
        <w:t xml:space="preserve"> </w:t>
      </w:r>
      <w:r w:rsidRPr="00B05565">
        <w:t>stanovení</w:t>
      </w:r>
      <w:r>
        <w:t xml:space="preserve"> </w:t>
      </w:r>
      <w:r w:rsidRPr="00162C70">
        <w:rPr>
          <w:strike/>
        </w:rPr>
        <w:t>finančních</w:t>
      </w:r>
      <w:r>
        <w:t xml:space="preserve"> </w:t>
      </w:r>
      <w:r w:rsidR="00162C70">
        <w:rPr>
          <w:b/>
        </w:rPr>
        <w:t xml:space="preserve">peněžních </w:t>
      </w:r>
      <w:r w:rsidRPr="00B05565">
        <w:t>prostředků</w:t>
      </w:r>
      <w:r>
        <w:t xml:space="preserve"> </w:t>
      </w:r>
      <w:r w:rsidRPr="00B05565">
        <w:t>upraví</w:t>
      </w:r>
      <w:r>
        <w:t xml:space="preserve"> </w:t>
      </w:r>
      <w:r w:rsidRPr="00B05565">
        <w:t>krajský</w:t>
      </w:r>
      <w:r>
        <w:t xml:space="preserve"> </w:t>
      </w:r>
      <w:r w:rsidRPr="00B05565">
        <w:t>úřad</w:t>
      </w:r>
      <w:r>
        <w:t xml:space="preserve"> </w:t>
      </w:r>
      <w:r w:rsidRPr="00B05565">
        <w:t>rozpis</w:t>
      </w:r>
      <w:r>
        <w:t xml:space="preserve"> </w:t>
      </w:r>
      <w:r w:rsidRPr="00162C70">
        <w:rPr>
          <w:strike/>
        </w:rPr>
        <w:t>finančních</w:t>
      </w:r>
      <w:r>
        <w:t xml:space="preserve"> </w:t>
      </w:r>
      <w:r w:rsidR="00162C70">
        <w:rPr>
          <w:b/>
        </w:rPr>
        <w:t xml:space="preserve">peněžních </w:t>
      </w:r>
      <w:r w:rsidRPr="00B05565">
        <w:t>prostředků</w:t>
      </w:r>
      <w:r>
        <w:t xml:space="preserve"> </w:t>
      </w:r>
      <w:r w:rsidRPr="00B05565">
        <w:t>jednotlivým</w:t>
      </w:r>
      <w:r>
        <w:t xml:space="preserve"> </w:t>
      </w:r>
      <w:r w:rsidRPr="00B05565">
        <w:t>právnickým</w:t>
      </w:r>
      <w:r>
        <w:t xml:space="preserve"> </w:t>
      </w:r>
      <w:r w:rsidRPr="00B05565">
        <w:t>osobám</w:t>
      </w:r>
      <w:r>
        <w:t xml:space="preserve"> </w:t>
      </w:r>
      <w:r w:rsidRPr="00B05565">
        <w:t>podle</w:t>
      </w:r>
      <w:r>
        <w:t xml:space="preserve"> </w:t>
      </w:r>
      <w:r w:rsidRPr="00B05565">
        <w:t>zjištěné</w:t>
      </w:r>
      <w:r>
        <w:t xml:space="preserve"> </w:t>
      </w:r>
      <w:r w:rsidRPr="00B05565">
        <w:t>skutečnosti</w:t>
      </w:r>
      <w:r>
        <w:t xml:space="preserve"> </w:t>
      </w:r>
      <w:r w:rsidRPr="00B05565">
        <w:t>a</w:t>
      </w:r>
      <w:r>
        <w:t xml:space="preserve"> </w:t>
      </w:r>
      <w:r w:rsidRPr="00B05565">
        <w:t>o</w:t>
      </w:r>
      <w:r>
        <w:t xml:space="preserve"> </w:t>
      </w:r>
      <w:r w:rsidRPr="00B05565">
        <w:t>provedených</w:t>
      </w:r>
      <w:r>
        <w:t xml:space="preserve"> </w:t>
      </w:r>
      <w:r w:rsidRPr="00B05565">
        <w:t>změnách</w:t>
      </w:r>
      <w:r>
        <w:t xml:space="preserve"> </w:t>
      </w:r>
      <w:r w:rsidRPr="00B05565">
        <w:t>následně</w:t>
      </w:r>
      <w:r>
        <w:t xml:space="preserve"> </w:t>
      </w:r>
      <w:r w:rsidRPr="00B05565">
        <w:t>informuje</w:t>
      </w:r>
      <w:r>
        <w:t xml:space="preserve"> </w:t>
      </w:r>
      <w:r w:rsidRPr="00B05565">
        <w:t>ministerstvo.</w:t>
      </w:r>
    </w:p>
    <w:p w14:paraId="0324B90D" w14:textId="7BD23655" w:rsidR="00B9271C" w:rsidRDefault="00B9271C" w:rsidP="00A84DD3">
      <w:pPr>
        <w:pStyle w:val="Textparagrafu"/>
        <w:tabs>
          <w:tab w:val="left" w:pos="392"/>
          <w:tab w:val="left" w:pos="840"/>
        </w:tabs>
        <w:spacing w:before="120" w:after="120"/>
      </w:pPr>
      <w:r w:rsidRPr="00B05565">
        <w:t>(7)</w:t>
      </w:r>
      <w:r>
        <w:t xml:space="preserve"> </w:t>
      </w:r>
      <w:r w:rsidRPr="00B05565">
        <w:t>Ministerstvo</w:t>
      </w:r>
      <w:r>
        <w:t xml:space="preserve"> </w:t>
      </w:r>
      <w:r w:rsidRPr="00B05565">
        <w:t>může</w:t>
      </w:r>
      <w:r>
        <w:t xml:space="preserve"> </w:t>
      </w:r>
      <w:r w:rsidRPr="00B05565">
        <w:t>v</w:t>
      </w:r>
      <w:r>
        <w:t xml:space="preserve"> </w:t>
      </w:r>
      <w:r w:rsidRPr="00B05565">
        <w:t>průběhu</w:t>
      </w:r>
      <w:r>
        <w:t xml:space="preserve"> </w:t>
      </w:r>
      <w:r w:rsidRPr="00B05565">
        <w:t>roku</w:t>
      </w:r>
      <w:r>
        <w:t xml:space="preserve"> </w:t>
      </w:r>
      <w:r w:rsidRPr="00B05565">
        <w:t>stanovit</w:t>
      </w:r>
      <w:r>
        <w:t xml:space="preserve"> </w:t>
      </w:r>
      <w:r w:rsidRPr="00B05565">
        <w:t>další</w:t>
      </w:r>
      <w:r>
        <w:t xml:space="preserve"> </w:t>
      </w:r>
      <w:r w:rsidRPr="00736ED8">
        <w:rPr>
          <w:strike/>
        </w:rPr>
        <w:t>finanční</w:t>
      </w:r>
      <w:r>
        <w:t xml:space="preserve"> </w:t>
      </w:r>
      <w:r w:rsidR="00736ED8">
        <w:rPr>
          <w:b/>
        </w:rPr>
        <w:t xml:space="preserve">peněžní </w:t>
      </w:r>
      <w:r w:rsidRPr="00B05565">
        <w:t>prostředky</w:t>
      </w:r>
      <w:r>
        <w:t xml:space="preserve"> </w:t>
      </w:r>
      <w:r w:rsidRPr="00B05565">
        <w:t>na</w:t>
      </w:r>
      <w:r>
        <w:t xml:space="preserve"> </w:t>
      </w:r>
      <w:r w:rsidRPr="00B05565">
        <w:t>výdaje</w:t>
      </w:r>
      <w:r>
        <w:t xml:space="preserve"> </w:t>
      </w:r>
      <w:r w:rsidRPr="00B05565">
        <w:t>podle</w:t>
      </w:r>
      <w:r>
        <w:t xml:space="preserve"> </w:t>
      </w:r>
      <w:r w:rsidRPr="00B05565">
        <w:t>§</w:t>
      </w:r>
      <w:r>
        <w:t xml:space="preserve"> </w:t>
      </w:r>
      <w:r w:rsidRPr="00B05565">
        <w:t>160</w:t>
      </w:r>
      <w:r>
        <w:t xml:space="preserve"> </w:t>
      </w:r>
      <w:r w:rsidRPr="00B05565">
        <w:t>odst.</w:t>
      </w:r>
      <w:r>
        <w:t xml:space="preserve"> </w:t>
      </w:r>
      <w:r w:rsidRPr="00B05565">
        <w:t>1</w:t>
      </w:r>
      <w:r>
        <w:t xml:space="preserve"> </w:t>
      </w:r>
      <w:r w:rsidRPr="00B05565">
        <w:t>písm.</w:t>
      </w:r>
      <w:r>
        <w:t xml:space="preserve"> </w:t>
      </w:r>
      <w:r w:rsidRPr="00B05565">
        <w:t>c)</w:t>
      </w:r>
      <w:r>
        <w:t xml:space="preserve"> </w:t>
      </w:r>
      <w:r w:rsidRPr="00B05565">
        <w:t>a</w:t>
      </w:r>
      <w:r>
        <w:t xml:space="preserve"> </w:t>
      </w:r>
      <w:r w:rsidRPr="00B05565">
        <w:t>d)</w:t>
      </w:r>
      <w:r>
        <w:t xml:space="preserve"> </w:t>
      </w:r>
      <w:r w:rsidRPr="00B05565">
        <w:t>pro</w:t>
      </w:r>
      <w:r>
        <w:t xml:space="preserve"> </w:t>
      </w:r>
      <w:r w:rsidRPr="00B05565">
        <w:t>jednotlivé</w:t>
      </w:r>
      <w:r>
        <w:t xml:space="preserve"> </w:t>
      </w:r>
      <w:r w:rsidRPr="00B05565">
        <w:t>právnické</w:t>
      </w:r>
      <w:r>
        <w:t xml:space="preserve"> </w:t>
      </w:r>
      <w:r w:rsidRPr="00B05565">
        <w:t>osoby</w:t>
      </w:r>
      <w:r>
        <w:t xml:space="preserve"> </w:t>
      </w:r>
      <w:r w:rsidRPr="00B05565">
        <w:t>vykonávající</w:t>
      </w:r>
      <w:r>
        <w:t xml:space="preserve"> </w:t>
      </w:r>
      <w:r w:rsidRPr="00B05565">
        <w:t>činnost</w:t>
      </w:r>
      <w:r>
        <w:t xml:space="preserve"> </w:t>
      </w:r>
      <w:r w:rsidRPr="00B05565">
        <w:t>školy</w:t>
      </w:r>
      <w:r>
        <w:t xml:space="preserve"> </w:t>
      </w:r>
      <w:r w:rsidRPr="00B05565">
        <w:t>nebo</w:t>
      </w:r>
      <w:r>
        <w:t xml:space="preserve"> </w:t>
      </w:r>
      <w:r w:rsidRPr="00B05565">
        <w:t>školského</w:t>
      </w:r>
      <w:r>
        <w:t xml:space="preserve"> </w:t>
      </w:r>
      <w:r w:rsidRPr="00B05565">
        <w:t>zařízení</w:t>
      </w:r>
      <w:r>
        <w:t xml:space="preserve"> </w:t>
      </w:r>
      <w:r w:rsidRPr="00B05565">
        <w:t>uvedené</w:t>
      </w:r>
      <w:r>
        <w:t xml:space="preserve"> </w:t>
      </w:r>
      <w:r w:rsidRPr="00B05565">
        <w:t>v</w:t>
      </w:r>
      <w:r>
        <w:t xml:space="preserve"> </w:t>
      </w:r>
      <w:r w:rsidRPr="00B05565">
        <w:t>odstavci</w:t>
      </w:r>
      <w:r>
        <w:t xml:space="preserve"> </w:t>
      </w:r>
      <w:r w:rsidRPr="00B05565">
        <w:t>1.</w:t>
      </w:r>
      <w:r>
        <w:t xml:space="preserve"> </w:t>
      </w:r>
      <w:r w:rsidRPr="00B05565">
        <w:t>Ministerstvo</w:t>
      </w:r>
      <w:r>
        <w:t xml:space="preserve"> </w:t>
      </w:r>
      <w:r w:rsidRPr="00B05565">
        <w:t>stanoví</w:t>
      </w:r>
      <w:r>
        <w:t xml:space="preserve"> </w:t>
      </w:r>
      <w:r w:rsidRPr="00B05565">
        <w:t>a</w:t>
      </w:r>
      <w:r>
        <w:t xml:space="preserve"> </w:t>
      </w:r>
      <w:r w:rsidRPr="00B05565">
        <w:t>zveřejní</w:t>
      </w:r>
      <w:r>
        <w:t xml:space="preserve"> </w:t>
      </w:r>
      <w:r w:rsidRPr="00B05565">
        <w:t>ve</w:t>
      </w:r>
      <w:r>
        <w:t xml:space="preserve"> </w:t>
      </w:r>
      <w:r w:rsidRPr="00B05565">
        <w:t>Věstníku</w:t>
      </w:r>
    </w:p>
    <w:p w14:paraId="32DBE970" w14:textId="7A7D2424" w:rsidR="00B9271C" w:rsidRDefault="00B9271C" w:rsidP="00AB5ED2">
      <w:pPr>
        <w:pStyle w:val="Textparagrafu"/>
        <w:tabs>
          <w:tab w:val="left" w:pos="392"/>
          <w:tab w:val="left" w:pos="840"/>
        </w:tabs>
        <w:spacing w:before="0"/>
        <w:ind w:left="426" w:hanging="426"/>
      </w:pPr>
      <w:r w:rsidRPr="00B05565">
        <w:t>a)</w:t>
      </w:r>
      <w:r w:rsidR="007C08CF">
        <w:tab/>
      </w:r>
      <w:r w:rsidRPr="00B05565">
        <w:t>podmínky</w:t>
      </w:r>
      <w:r>
        <w:t xml:space="preserve"> </w:t>
      </w:r>
      <w:r w:rsidRPr="00B05565">
        <w:t>a</w:t>
      </w:r>
      <w:r>
        <w:t xml:space="preserve"> </w:t>
      </w:r>
      <w:r w:rsidRPr="00B05565">
        <w:t>kritéria</w:t>
      </w:r>
      <w:r>
        <w:t xml:space="preserve"> </w:t>
      </w:r>
      <w:r w:rsidRPr="00B05565">
        <w:t>pro</w:t>
      </w:r>
      <w:r>
        <w:t xml:space="preserve"> </w:t>
      </w:r>
      <w:r w:rsidRPr="00B05565">
        <w:t>poskytnutí</w:t>
      </w:r>
      <w:r>
        <w:t xml:space="preserve"> </w:t>
      </w:r>
      <w:r w:rsidRPr="00B05565">
        <w:t>těchto</w:t>
      </w:r>
      <w:r>
        <w:t xml:space="preserve"> </w:t>
      </w:r>
      <w:r w:rsidRPr="00B05565">
        <w:t>dalších</w:t>
      </w:r>
      <w:r>
        <w:t xml:space="preserve"> </w:t>
      </w:r>
      <w:r w:rsidRPr="00736ED8">
        <w:rPr>
          <w:strike/>
        </w:rPr>
        <w:t>finančních</w:t>
      </w:r>
      <w:r>
        <w:t xml:space="preserve"> </w:t>
      </w:r>
      <w:r w:rsidR="00736ED8">
        <w:rPr>
          <w:b/>
        </w:rPr>
        <w:t xml:space="preserve">peněžních </w:t>
      </w:r>
      <w:r w:rsidRPr="00B05565">
        <w:t>prostředků</w:t>
      </w:r>
      <w:r>
        <w:t xml:space="preserve"> </w:t>
      </w:r>
      <w:r w:rsidRPr="00B05565">
        <w:t>a</w:t>
      </w:r>
    </w:p>
    <w:p w14:paraId="39972CA1" w14:textId="327CD7AF" w:rsidR="00B9271C" w:rsidRDefault="00B9271C" w:rsidP="00AB5ED2">
      <w:pPr>
        <w:pStyle w:val="Textparagrafu"/>
        <w:tabs>
          <w:tab w:val="left" w:pos="392"/>
          <w:tab w:val="left" w:pos="840"/>
        </w:tabs>
        <w:spacing w:before="0"/>
        <w:ind w:left="426" w:hanging="426"/>
      </w:pPr>
      <w:r w:rsidRPr="00B05565">
        <w:t>b)</w:t>
      </w:r>
      <w:r w:rsidR="007C08CF">
        <w:tab/>
      </w:r>
      <w:r w:rsidRPr="00B05565">
        <w:t>účel,</w:t>
      </w:r>
      <w:r>
        <w:t xml:space="preserve"> </w:t>
      </w:r>
      <w:r w:rsidRPr="00B05565">
        <w:t>na</w:t>
      </w:r>
      <w:r>
        <w:t xml:space="preserve"> </w:t>
      </w:r>
      <w:r w:rsidRPr="00B05565">
        <w:t>který</w:t>
      </w:r>
      <w:r>
        <w:t xml:space="preserve"> </w:t>
      </w:r>
      <w:r w:rsidRPr="00B05565">
        <w:t>může</w:t>
      </w:r>
      <w:r>
        <w:t xml:space="preserve"> </w:t>
      </w:r>
      <w:r w:rsidRPr="00B05565">
        <w:t>právnická</w:t>
      </w:r>
      <w:r>
        <w:t xml:space="preserve"> </w:t>
      </w:r>
      <w:r w:rsidRPr="00B05565">
        <w:t>osoba</w:t>
      </w:r>
      <w:r>
        <w:t xml:space="preserve"> </w:t>
      </w:r>
      <w:r w:rsidRPr="00B05565">
        <w:t>tyto</w:t>
      </w:r>
      <w:r>
        <w:t xml:space="preserve"> </w:t>
      </w:r>
      <w:r w:rsidRPr="00B05565">
        <w:t>další</w:t>
      </w:r>
      <w:r>
        <w:t xml:space="preserve"> </w:t>
      </w:r>
      <w:r w:rsidRPr="00736ED8">
        <w:rPr>
          <w:strike/>
        </w:rPr>
        <w:t>finanční</w:t>
      </w:r>
      <w:r>
        <w:t xml:space="preserve"> </w:t>
      </w:r>
      <w:r w:rsidR="00736ED8">
        <w:rPr>
          <w:b/>
        </w:rPr>
        <w:t xml:space="preserve">peněžní </w:t>
      </w:r>
      <w:r w:rsidRPr="00B05565">
        <w:t>prostředky</w:t>
      </w:r>
      <w:r>
        <w:t xml:space="preserve"> </w:t>
      </w:r>
      <w:r w:rsidRPr="00B05565">
        <w:t>použít,</w:t>
      </w:r>
      <w:r>
        <w:t xml:space="preserve"> </w:t>
      </w:r>
      <w:r w:rsidRPr="00B05565">
        <w:t>a</w:t>
      </w:r>
      <w:r>
        <w:t xml:space="preserve"> </w:t>
      </w:r>
      <w:r w:rsidRPr="00B05565">
        <w:t>případné</w:t>
      </w:r>
      <w:r>
        <w:t xml:space="preserve"> </w:t>
      </w:r>
      <w:r w:rsidRPr="00B05565">
        <w:t>další</w:t>
      </w:r>
      <w:r>
        <w:t xml:space="preserve"> </w:t>
      </w:r>
      <w:r w:rsidRPr="00B05565">
        <w:t>podmínky,</w:t>
      </w:r>
      <w:r>
        <w:t xml:space="preserve"> </w:t>
      </w:r>
      <w:r w:rsidRPr="00B05565">
        <w:t>které</w:t>
      </w:r>
      <w:r>
        <w:t xml:space="preserve"> </w:t>
      </w:r>
      <w:r w:rsidRPr="00B05565">
        <w:t>musí</w:t>
      </w:r>
      <w:r>
        <w:t xml:space="preserve"> </w:t>
      </w:r>
      <w:r w:rsidRPr="00B05565">
        <w:t>právnická</w:t>
      </w:r>
      <w:r>
        <w:t xml:space="preserve"> </w:t>
      </w:r>
      <w:r w:rsidRPr="00B05565">
        <w:t>osoba</w:t>
      </w:r>
      <w:r>
        <w:t xml:space="preserve"> </w:t>
      </w:r>
      <w:r w:rsidRPr="00B05565">
        <w:t>v</w:t>
      </w:r>
      <w:r>
        <w:t xml:space="preserve"> </w:t>
      </w:r>
      <w:r w:rsidRPr="00B05565">
        <w:t>souvislosti</w:t>
      </w:r>
      <w:r>
        <w:t xml:space="preserve"> </w:t>
      </w:r>
      <w:r w:rsidRPr="00B05565">
        <w:t>s</w:t>
      </w:r>
      <w:r>
        <w:t xml:space="preserve"> </w:t>
      </w:r>
      <w:r w:rsidRPr="00B05565">
        <w:t>použitím</w:t>
      </w:r>
      <w:r>
        <w:t xml:space="preserve"> </w:t>
      </w:r>
      <w:r w:rsidRPr="00B05565">
        <w:t>těchto</w:t>
      </w:r>
      <w:r>
        <w:t xml:space="preserve"> </w:t>
      </w:r>
      <w:r w:rsidRPr="00B05565">
        <w:t>dalších</w:t>
      </w:r>
      <w:r>
        <w:t xml:space="preserve"> </w:t>
      </w:r>
      <w:r w:rsidRPr="00736ED8">
        <w:rPr>
          <w:strike/>
        </w:rPr>
        <w:t>finančních</w:t>
      </w:r>
      <w:r>
        <w:t xml:space="preserve"> </w:t>
      </w:r>
      <w:r w:rsidR="00736ED8">
        <w:rPr>
          <w:b/>
        </w:rPr>
        <w:t xml:space="preserve">peněžních </w:t>
      </w:r>
      <w:r w:rsidRPr="00B05565">
        <w:t>prostředků</w:t>
      </w:r>
      <w:r>
        <w:t xml:space="preserve"> </w:t>
      </w:r>
      <w:r w:rsidRPr="00B05565">
        <w:t>splnit.</w:t>
      </w:r>
    </w:p>
    <w:p w14:paraId="7797FD25" w14:textId="77777777" w:rsidR="00B9271C" w:rsidRPr="00B05565" w:rsidRDefault="00B9271C" w:rsidP="007C08CF">
      <w:pPr>
        <w:pStyle w:val="Textparagrafu"/>
        <w:tabs>
          <w:tab w:val="left" w:pos="392"/>
          <w:tab w:val="left" w:pos="840"/>
        </w:tabs>
        <w:spacing w:after="120"/>
        <w:ind w:firstLine="0"/>
        <w:jc w:val="center"/>
      </w:pPr>
      <w:r w:rsidRPr="00B05565">
        <w:t>§</w:t>
      </w:r>
      <w:r>
        <w:t xml:space="preserve"> </w:t>
      </w:r>
      <w:r w:rsidRPr="00B05565">
        <w:t>161a</w:t>
      </w:r>
    </w:p>
    <w:p w14:paraId="1CD75A6C" w14:textId="77777777" w:rsidR="00B9271C" w:rsidRPr="007C08CF" w:rsidRDefault="00B9271C" w:rsidP="007C08CF">
      <w:pPr>
        <w:pStyle w:val="Textparagrafu"/>
        <w:tabs>
          <w:tab w:val="left" w:pos="392"/>
          <w:tab w:val="left" w:pos="840"/>
        </w:tabs>
        <w:spacing w:after="120"/>
        <w:ind w:firstLine="0"/>
        <w:jc w:val="center"/>
        <w:rPr>
          <w:b/>
        </w:rPr>
      </w:pPr>
      <w:r w:rsidRPr="007C08CF">
        <w:rPr>
          <w:b/>
        </w:rPr>
        <w:t>Financování školských zařízení pro výkon ústavní výchovy nebo ochranné výchovy, školských zařízení pro preventivně výchovnou péči a školských výchovných a ubytovacích zařízení zřizovaných územními samosprávnými celky nebo svazky obcí</w:t>
      </w:r>
    </w:p>
    <w:p w14:paraId="0CB49CF5" w14:textId="77777777" w:rsidR="00B9271C" w:rsidRDefault="00B9271C" w:rsidP="00BD5369">
      <w:pPr>
        <w:pStyle w:val="Textparagrafu"/>
        <w:tabs>
          <w:tab w:val="left" w:pos="392"/>
          <w:tab w:val="left" w:pos="840"/>
        </w:tabs>
        <w:spacing w:after="120"/>
      </w:pPr>
      <w:r w:rsidRPr="00B05565">
        <w:t>(1)</w:t>
      </w:r>
      <w:r>
        <w:t xml:space="preserve"> </w:t>
      </w:r>
      <w:r w:rsidRPr="00B05565">
        <w:t>Ministerstvo</w:t>
      </w:r>
      <w:r>
        <w:t xml:space="preserve"> </w:t>
      </w:r>
      <w:r w:rsidRPr="00B05565">
        <w:t>vyhlásí</w:t>
      </w:r>
      <w:r>
        <w:t xml:space="preserve"> </w:t>
      </w:r>
      <w:r w:rsidRPr="00B05565">
        <w:t>na</w:t>
      </w:r>
      <w:r>
        <w:t xml:space="preserve"> </w:t>
      </w:r>
      <w:r w:rsidRPr="00B05565">
        <w:t>kalendářní</w:t>
      </w:r>
      <w:r>
        <w:t xml:space="preserve"> </w:t>
      </w:r>
      <w:r w:rsidRPr="00B05565">
        <w:t>rok</w:t>
      </w:r>
      <w:r>
        <w:t xml:space="preserve"> </w:t>
      </w:r>
      <w:r w:rsidRPr="00B05565">
        <w:t>a</w:t>
      </w:r>
      <w:r>
        <w:t xml:space="preserve"> </w:t>
      </w:r>
      <w:r w:rsidRPr="00B05565">
        <w:t>zveřejní</w:t>
      </w:r>
      <w:r>
        <w:t xml:space="preserve"> </w:t>
      </w:r>
      <w:r w:rsidRPr="00B05565">
        <w:t>ve</w:t>
      </w:r>
      <w:r>
        <w:t xml:space="preserve"> </w:t>
      </w:r>
      <w:r w:rsidRPr="00B05565">
        <w:t>Věstníku</w:t>
      </w:r>
      <w:r>
        <w:t xml:space="preserve"> </w:t>
      </w:r>
      <w:r w:rsidRPr="00B05565">
        <w:t>pro</w:t>
      </w:r>
      <w:r>
        <w:t xml:space="preserve"> </w:t>
      </w:r>
      <w:r w:rsidRPr="00B05565">
        <w:t>školská</w:t>
      </w:r>
      <w:r>
        <w:t xml:space="preserve"> </w:t>
      </w:r>
      <w:r w:rsidRPr="00B05565">
        <w:t>zařízení</w:t>
      </w:r>
      <w:r>
        <w:t xml:space="preserve"> </w:t>
      </w:r>
      <w:r w:rsidRPr="00B05565">
        <w:t>pro</w:t>
      </w:r>
      <w:r>
        <w:t xml:space="preserve"> </w:t>
      </w:r>
      <w:r w:rsidRPr="00B05565">
        <w:t>výkon</w:t>
      </w:r>
      <w:r>
        <w:t xml:space="preserve"> </w:t>
      </w:r>
      <w:r w:rsidRPr="00B05565">
        <w:t>ústavní</w:t>
      </w:r>
      <w:r>
        <w:t xml:space="preserve"> </w:t>
      </w:r>
      <w:r w:rsidRPr="00B05565">
        <w:t>výchovy</w:t>
      </w:r>
      <w:r>
        <w:t xml:space="preserve"> </w:t>
      </w:r>
      <w:r w:rsidRPr="00B05565">
        <w:t>nebo</w:t>
      </w:r>
      <w:r>
        <w:t xml:space="preserve"> </w:t>
      </w:r>
      <w:r w:rsidRPr="00B05565">
        <w:t>ochranné</w:t>
      </w:r>
      <w:r>
        <w:t xml:space="preserve"> </w:t>
      </w:r>
      <w:r w:rsidRPr="00B05565">
        <w:t>výchovy,</w:t>
      </w:r>
      <w:r>
        <w:t xml:space="preserve"> </w:t>
      </w:r>
      <w:r w:rsidRPr="00B05565">
        <w:t>školská</w:t>
      </w:r>
      <w:r>
        <w:t xml:space="preserve"> </w:t>
      </w:r>
      <w:r w:rsidRPr="00B05565">
        <w:t>zařízení</w:t>
      </w:r>
      <w:r>
        <w:t xml:space="preserve"> </w:t>
      </w:r>
      <w:r w:rsidRPr="00B05565">
        <w:t>pro</w:t>
      </w:r>
      <w:r>
        <w:t xml:space="preserve"> </w:t>
      </w:r>
      <w:r w:rsidRPr="00B05565">
        <w:t>preventivně</w:t>
      </w:r>
      <w:r>
        <w:t xml:space="preserve"> </w:t>
      </w:r>
      <w:r w:rsidRPr="00B05565">
        <w:t>výchovnou</w:t>
      </w:r>
      <w:r>
        <w:t xml:space="preserve"> </w:t>
      </w:r>
      <w:r w:rsidRPr="00B05565">
        <w:t>péči</w:t>
      </w:r>
      <w:r>
        <w:t xml:space="preserve"> </w:t>
      </w:r>
      <w:r w:rsidRPr="00B05565">
        <w:t>a</w:t>
      </w:r>
      <w:r>
        <w:t xml:space="preserve"> </w:t>
      </w:r>
      <w:r w:rsidRPr="00B05565">
        <w:t>školská</w:t>
      </w:r>
      <w:r>
        <w:t xml:space="preserve"> </w:t>
      </w:r>
      <w:r w:rsidRPr="00B05565">
        <w:t>výchovná</w:t>
      </w:r>
      <w:r>
        <w:t xml:space="preserve"> </w:t>
      </w:r>
      <w:r w:rsidRPr="00B05565">
        <w:t>a</w:t>
      </w:r>
      <w:r>
        <w:t xml:space="preserve"> </w:t>
      </w:r>
      <w:r w:rsidRPr="00B05565">
        <w:t>ubytovací</w:t>
      </w:r>
      <w:r>
        <w:t xml:space="preserve"> </w:t>
      </w:r>
      <w:r w:rsidRPr="00B05565">
        <w:t>zařízení</w:t>
      </w:r>
      <w:r>
        <w:t xml:space="preserve"> </w:t>
      </w:r>
      <w:r w:rsidRPr="00B05565">
        <w:t>zřizovaná</w:t>
      </w:r>
      <w:r>
        <w:t xml:space="preserve"> </w:t>
      </w:r>
      <w:r w:rsidRPr="00B05565">
        <w:t>krajem,</w:t>
      </w:r>
      <w:r>
        <w:t xml:space="preserve"> </w:t>
      </w:r>
      <w:r w:rsidRPr="00B05565">
        <w:t>obcí</w:t>
      </w:r>
      <w:r>
        <w:t xml:space="preserve"> </w:t>
      </w:r>
      <w:r w:rsidRPr="00B05565">
        <w:t>nebo</w:t>
      </w:r>
      <w:r>
        <w:t xml:space="preserve"> </w:t>
      </w:r>
      <w:r w:rsidRPr="00B05565">
        <w:t>svazkem</w:t>
      </w:r>
      <w:r>
        <w:t xml:space="preserve"> </w:t>
      </w:r>
      <w:r w:rsidRPr="00B05565">
        <w:t>obcí</w:t>
      </w:r>
      <w:r>
        <w:t xml:space="preserve"> </w:t>
      </w:r>
      <w:r w:rsidRPr="00B05565">
        <w:t>republikové</w:t>
      </w:r>
      <w:r>
        <w:t xml:space="preserve"> </w:t>
      </w:r>
      <w:r w:rsidRPr="00B05565">
        <w:t>normativy</w:t>
      </w:r>
      <w:r>
        <w:t xml:space="preserve"> </w:t>
      </w:r>
      <w:r w:rsidRPr="00B05565">
        <w:t>jako</w:t>
      </w:r>
      <w:r>
        <w:t xml:space="preserve"> </w:t>
      </w:r>
      <w:r w:rsidRPr="00B05565">
        <w:t>roční</w:t>
      </w:r>
      <w:r>
        <w:t xml:space="preserve"> </w:t>
      </w:r>
      <w:r w:rsidRPr="00B05565">
        <w:t>výši</w:t>
      </w:r>
      <w:r>
        <w:t xml:space="preserve"> </w:t>
      </w:r>
      <w:r w:rsidRPr="00B05565">
        <w:t>výdajů</w:t>
      </w:r>
      <w:r>
        <w:t xml:space="preserve"> </w:t>
      </w:r>
      <w:r w:rsidRPr="00B05565">
        <w:t>státního</w:t>
      </w:r>
      <w:r>
        <w:t xml:space="preserve"> </w:t>
      </w:r>
      <w:r w:rsidRPr="00B05565">
        <w:t>rozpočtu</w:t>
      </w:r>
      <w:r>
        <w:t xml:space="preserve"> </w:t>
      </w:r>
      <w:r w:rsidRPr="00B05565">
        <w:t>připadající</w:t>
      </w:r>
      <w:r>
        <w:t xml:space="preserve"> </w:t>
      </w:r>
      <w:r w:rsidRPr="00B05565">
        <w:t>na</w:t>
      </w:r>
    </w:p>
    <w:p w14:paraId="07F60D91" w14:textId="0C4C33C0" w:rsidR="00B9271C" w:rsidRDefault="00B9271C" w:rsidP="00AB5ED2">
      <w:pPr>
        <w:pStyle w:val="Textparagrafu"/>
        <w:tabs>
          <w:tab w:val="left" w:pos="392"/>
          <w:tab w:val="left" w:pos="840"/>
        </w:tabs>
        <w:spacing w:before="0"/>
        <w:ind w:left="426" w:hanging="426"/>
      </w:pPr>
      <w:r w:rsidRPr="00B05565">
        <w:t>a)</w:t>
      </w:r>
      <w:r w:rsidR="007C08CF">
        <w:tab/>
      </w:r>
      <w:r w:rsidRPr="00B05565">
        <w:t>1</w:t>
      </w:r>
      <w:r>
        <w:t xml:space="preserve"> </w:t>
      </w:r>
      <w:r w:rsidRPr="00B05565">
        <w:t>rodinnou</w:t>
      </w:r>
      <w:r>
        <w:t xml:space="preserve"> </w:t>
      </w:r>
      <w:r w:rsidRPr="00B05565">
        <w:t>skupinu</w:t>
      </w:r>
      <w:r>
        <w:t xml:space="preserve"> </w:t>
      </w:r>
      <w:r w:rsidRPr="00B05565">
        <w:t>dětského</w:t>
      </w:r>
      <w:r>
        <w:t xml:space="preserve"> </w:t>
      </w:r>
      <w:r w:rsidRPr="00B05565">
        <w:t>domova,</w:t>
      </w:r>
    </w:p>
    <w:p w14:paraId="05732DC0" w14:textId="35E8E4CC" w:rsidR="00B9271C" w:rsidRDefault="00B9271C" w:rsidP="00AB5ED2">
      <w:pPr>
        <w:pStyle w:val="Textparagrafu"/>
        <w:tabs>
          <w:tab w:val="left" w:pos="392"/>
          <w:tab w:val="left" w:pos="840"/>
        </w:tabs>
        <w:spacing w:before="0"/>
        <w:ind w:left="426" w:hanging="426"/>
      </w:pPr>
      <w:r w:rsidRPr="00B05565">
        <w:t>b)</w:t>
      </w:r>
      <w:r w:rsidR="007C08CF">
        <w:tab/>
      </w:r>
      <w:r w:rsidRPr="00B05565">
        <w:t>1</w:t>
      </w:r>
      <w:r>
        <w:t xml:space="preserve"> </w:t>
      </w:r>
      <w:r w:rsidRPr="00B05565">
        <w:t>lůžko</w:t>
      </w:r>
      <w:r>
        <w:t xml:space="preserve"> </w:t>
      </w:r>
      <w:r w:rsidRPr="00B05565">
        <w:t>kapacity</w:t>
      </w:r>
      <w:r>
        <w:t xml:space="preserve"> </w:t>
      </w:r>
      <w:r w:rsidRPr="00B05565">
        <w:t>ostatního</w:t>
      </w:r>
      <w:r>
        <w:t xml:space="preserve"> </w:t>
      </w:r>
      <w:r w:rsidRPr="00B05565">
        <w:t>školského</w:t>
      </w:r>
      <w:r>
        <w:t xml:space="preserve"> </w:t>
      </w:r>
      <w:r w:rsidRPr="00B05565">
        <w:t>zařízení</w:t>
      </w:r>
      <w:r>
        <w:t xml:space="preserve"> </w:t>
      </w:r>
      <w:r w:rsidRPr="00B05565">
        <w:t>pro</w:t>
      </w:r>
      <w:r>
        <w:t xml:space="preserve"> </w:t>
      </w:r>
      <w:r w:rsidRPr="00B05565">
        <w:t>výkon</w:t>
      </w:r>
      <w:r>
        <w:t xml:space="preserve"> </w:t>
      </w:r>
      <w:r w:rsidRPr="00B05565">
        <w:t>ústavní</w:t>
      </w:r>
      <w:r>
        <w:t xml:space="preserve"> </w:t>
      </w:r>
      <w:r w:rsidRPr="00B05565">
        <w:t>výchovy</w:t>
      </w:r>
      <w:r>
        <w:t xml:space="preserve"> </w:t>
      </w:r>
      <w:r w:rsidRPr="00B05565">
        <w:t>nebo</w:t>
      </w:r>
      <w:r>
        <w:t xml:space="preserve"> </w:t>
      </w:r>
      <w:r w:rsidRPr="00B05565">
        <w:t>ochranné</w:t>
      </w:r>
      <w:r>
        <w:t xml:space="preserve"> </w:t>
      </w:r>
      <w:r w:rsidRPr="00B05565">
        <w:t>výchovy,</w:t>
      </w:r>
      <w:r>
        <w:t xml:space="preserve"> </w:t>
      </w:r>
      <w:r w:rsidRPr="00B05565">
        <w:t>nebo</w:t>
      </w:r>
      <w:r>
        <w:t xml:space="preserve"> </w:t>
      </w:r>
      <w:r w:rsidRPr="00B05565">
        <w:t>školského</w:t>
      </w:r>
      <w:r>
        <w:t xml:space="preserve"> </w:t>
      </w:r>
      <w:r w:rsidRPr="00B05565">
        <w:t>zařízení</w:t>
      </w:r>
      <w:r>
        <w:t xml:space="preserve"> </w:t>
      </w:r>
      <w:r w:rsidRPr="00B05565">
        <w:t>pro</w:t>
      </w:r>
      <w:r>
        <w:t xml:space="preserve"> </w:t>
      </w:r>
      <w:r w:rsidRPr="00B05565">
        <w:t>preventivně</w:t>
      </w:r>
      <w:r>
        <w:t xml:space="preserve"> </w:t>
      </w:r>
      <w:r w:rsidRPr="00B05565">
        <w:t>výchovnou</w:t>
      </w:r>
      <w:r>
        <w:t xml:space="preserve"> </w:t>
      </w:r>
      <w:r w:rsidRPr="00B05565">
        <w:t>péči,</w:t>
      </w:r>
    </w:p>
    <w:p w14:paraId="2EAEC976" w14:textId="495D367E" w:rsidR="00B9271C" w:rsidRDefault="00B9271C" w:rsidP="00AB5ED2">
      <w:pPr>
        <w:pStyle w:val="Textparagrafu"/>
        <w:tabs>
          <w:tab w:val="left" w:pos="392"/>
          <w:tab w:val="left" w:pos="840"/>
        </w:tabs>
        <w:spacing w:before="0"/>
        <w:ind w:left="426" w:hanging="426"/>
      </w:pPr>
      <w:r w:rsidRPr="00B05565">
        <w:t>c)</w:t>
      </w:r>
      <w:r w:rsidR="007C08CF">
        <w:tab/>
      </w:r>
      <w:r w:rsidRPr="00B05565">
        <w:t>1</w:t>
      </w:r>
      <w:r>
        <w:t xml:space="preserve"> </w:t>
      </w:r>
      <w:r w:rsidRPr="00B05565">
        <w:t>ubytovaného</w:t>
      </w:r>
      <w:r>
        <w:t xml:space="preserve"> </w:t>
      </w:r>
      <w:r w:rsidRPr="00B05565">
        <w:t>ve</w:t>
      </w:r>
      <w:r>
        <w:t xml:space="preserve"> </w:t>
      </w:r>
      <w:r w:rsidRPr="00B05565">
        <w:t>školském</w:t>
      </w:r>
      <w:r>
        <w:t xml:space="preserve"> </w:t>
      </w:r>
      <w:r w:rsidRPr="00B05565">
        <w:t>zařízení</w:t>
      </w:r>
      <w:r>
        <w:t xml:space="preserve"> </w:t>
      </w:r>
      <w:r w:rsidRPr="00B05565">
        <w:t>podle</w:t>
      </w:r>
      <w:r>
        <w:t xml:space="preserve"> </w:t>
      </w:r>
      <w:r w:rsidRPr="00B05565">
        <w:t>§</w:t>
      </w:r>
      <w:r>
        <w:t xml:space="preserve"> </w:t>
      </w:r>
      <w:r w:rsidRPr="00B05565">
        <w:t>117</w:t>
      </w:r>
      <w:r>
        <w:t xml:space="preserve"> </w:t>
      </w:r>
      <w:r w:rsidRPr="00B05565">
        <w:t>odst.</w:t>
      </w:r>
      <w:r>
        <w:t xml:space="preserve"> </w:t>
      </w:r>
      <w:r w:rsidRPr="00B05565">
        <w:t>1</w:t>
      </w:r>
      <w:r>
        <w:t xml:space="preserve"> </w:t>
      </w:r>
      <w:r w:rsidRPr="00B05565">
        <w:t>písm.</w:t>
      </w:r>
      <w:r>
        <w:t xml:space="preserve"> </w:t>
      </w:r>
      <w:r w:rsidRPr="00B05565">
        <w:t>b).</w:t>
      </w:r>
    </w:p>
    <w:p w14:paraId="02737BE1" w14:textId="61FAA84D" w:rsidR="00B9271C" w:rsidRDefault="00B9271C" w:rsidP="00BD5369">
      <w:pPr>
        <w:pStyle w:val="Textparagrafu"/>
        <w:tabs>
          <w:tab w:val="left" w:pos="392"/>
          <w:tab w:val="left" w:pos="840"/>
        </w:tabs>
        <w:spacing w:after="120"/>
      </w:pPr>
      <w:r w:rsidRPr="00B05565">
        <w:t>(2)</w:t>
      </w:r>
      <w:r>
        <w:t xml:space="preserve"> </w:t>
      </w:r>
      <w:r w:rsidRPr="00B05565">
        <w:t>Krajský</w:t>
      </w:r>
      <w:r>
        <w:t xml:space="preserve"> </w:t>
      </w:r>
      <w:r w:rsidRPr="00B05565">
        <w:t>úřad</w:t>
      </w:r>
      <w:r>
        <w:t xml:space="preserve"> </w:t>
      </w:r>
      <w:r w:rsidRPr="00B05565">
        <w:t>v</w:t>
      </w:r>
      <w:r>
        <w:t xml:space="preserve"> </w:t>
      </w:r>
      <w:r w:rsidRPr="00B05565">
        <w:t>souladu</w:t>
      </w:r>
      <w:r>
        <w:t xml:space="preserve"> </w:t>
      </w:r>
      <w:r w:rsidRPr="00B05565">
        <w:t>se</w:t>
      </w:r>
      <w:r>
        <w:t xml:space="preserve"> </w:t>
      </w:r>
      <w:r w:rsidRPr="00B05565">
        <w:t>zásadami</w:t>
      </w:r>
      <w:r>
        <w:t xml:space="preserve"> </w:t>
      </w:r>
      <w:r w:rsidRPr="00B05565">
        <w:t>stanovenými</w:t>
      </w:r>
      <w:r>
        <w:t xml:space="preserve"> </w:t>
      </w:r>
      <w:r w:rsidRPr="00B05565">
        <w:t>ministerstvem</w:t>
      </w:r>
      <w:r>
        <w:t xml:space="preserve"> </w:t>
      </w:r>
      <w:r w:rsidRPr="00B05565">
        <w:t>podle</w:t>
      </w:r>
      <w:r>
        <w:t xml:space="preserve"> </w:t>
      </w:r>
      <w:r w:rsidRPr="00B05565">
        <w:t>§</w:t>
      </w:r>
      <w:r>
        <w:t xml:space="preserve"> </w:t>
      </w:r>
      <w:r w:rsidRPr="00B05565">
        <w:t>170</w:t>
      </w:r>
      <w:r>
        <w:t xml:space="preserve"> </w:t>
      </w:r>
      <w:r w:rsidRPr="00B05565">
        <w:t>písm.</w:t>
      </w:r>
      <w:r>
        <w:t xml:space="preserve"> </w:t>
      </w:r>
      <w:r w:rsidRPr="00B05565">
        <w:t>b)</w:t>
      </w:r>
      <w:r>
        <w:t xml:space="preserve"> </w:t>
      </w:r>
      <w:r w:rsidRPr="00B05565">
        <w:t>rozepisuje</w:t>
      </w:r>
      <w:r>
        <w:t xml:space="preserve"> </w:t>
      </w:r>
      <w:r w:rsidRPr="00B05565">
        <w:t>prostřednictvím</w:t>
      </w:r>
      <w:r>
        <w:t xml:space="preserve"> </w:t>
      </w:r>
      <w:r w:rsidRPr="00B05565">
        <w:t>krajských</w:t>
      </w:r>
      <w:r>
        <w:t xml:space="preserve"> </w:t>
      </w:r>
      <w:r w:rsidRPr="00B05565">
        <w:t>normativů</w:t>
      </w:r>
      <w:r>
        <w:t xml:space="preserve"> </w:t>
      </w:r>
      <w:r w:rsidRPr="00B05565">
        <w:t>a</w:t>
      </w:r>
      <w:r>
        <w:t xml:space="preserve"> </w:t>
      </w:r>
      <w:r w:rsidRPr="00B05565">
        <w:t>poskytuje</w:t>
      </w:r>
      <w:r>
        <w:t xml:space="preserve"> </w:t>
      </w:r>
      <w:r w:rsidRPr="00B05565">
        <w:t>právnickým</w:t>
      </w:r>
      <w:r>
        <w:t xml:space="preserve"> </w:t>
      </w:r>
      <w:r w:rsidRPr="00B05565">
        <w:t>osobám</w:t>
      </w:r>
      <w:r>
        <w:t xml:space="preserve"> </w:t>
      </w:r>
      <w:r w:rsidRPr="00B05565">
        <w:t>vykonávajícím</w:t>
      </w:r>
      <w:r>
        <w:t xml:space="preserve"> </w:t>
      </w:r>
      <w:r w:rsidRPr="00B05565">
        <w:t>činnost</w:t>
      </w:r>
      <w:r>
        <w:t xml:space="preserve"> </w:t>
      </w:r>
      <w:r w:rsidRPr="00B05565">
        <w:t>školských</w:t>
      </w:r>
      <w:r>
        <w:t xml:space="preserve"> </w:t>
      </w:r>
      <w:r w:rsidRPr="00B05565">
        <w:t>zařízení</w:t>
      </w:r>
      <w:r>
        <w:t xml:space="preserve"> </w:t>
      </w:r>
      <w:r w:rsidRPr="00B05565">
        <w:t>uvedených</w:t>
      </w:r>
      <w:r>
        <w:t xml:space="preserve"> </w:t>
      </w:r>
      <w:r w:rsidRPr="00B05565">
        <w:t>v</w:t>
      </w:r>
      <w:r>
        <w:t xml:space="preserve"> </w:t>
      </w:r>
      <w:r w:rsidRPr="00B05565">
        <w:t>odstavci</w:t>
      </w:r>
      <w:r>
        <w:t xml:space="preserve"> </w:t>
      </w:r>
      <w:r w:rsidRPr="00B05565">
        <w:t>1</w:t>
      </w:r>
      <w:r>
        <w:t xml:space="preserve"> </w:t>
      </w:r>
      <w:r w:rsidRPr="00B05565">
        <w:t>v</w:t>
      </w:r>
      <w:r>
        <w:t xml:space="preserve"> </w:t>
      </w:r>
      <w:r w:rsidRPr="00B05565">
        <w:t>závislosti</w:t>
      </w:r>
      <w:r>
        <w:t xml:space="preserve"> </w:t>
      </w:r>
      <w:r w:rsidRPr="00B05565">
        <w:t>na</w:t>
      </w:r>
      <w:r>
        <w:t xml:space="preserve"> </w:t>
      </w:r>
      <w:r w:rsidRPr="00B05565">
        <w:t>jejich</w:t>
      </w:r>
      <w:r>
        <w:t xml:space="preserve"> </w:t>
      </w:r>
      <w:r w:rsidRPr="00B05565">
        <w:t>vykonávané</w:t>
      </w:r>
      <w:r>
        <w:t xml:space="preserve"> </w:t>
      </w:r>
      <w:r w:rsidRPr="00B05565">
        <w:t>činnosti</w:t>
      </w:r>
      <w:r>
        <w:t xml:space="preserve"> </w:t>
      </w:r>
      <w:r w:rsidRPr="00074E16">
        <w:rPr>
          <w:strike/>
        </w:rPr>
        <w:t>finanční</w:t>
      </w:r>
      <w:r>
        <w:t xml:space="preserve"> </w:t>
      </w:r>
      <w:r w:rsidR="00074E16">
        <w:rPr>
          <w:b/>
        </w:rPr>
        <w:t xml:space="preserve">peněžní </w:t>
      </w:r>
      <w:r w:rsidRPr="00B05565">
        <w:t>prostředky</w:t>
      </w:r>
      <w:r>
        <w:t xml:space="preserve"> </w:t>
      </w:r>
      <w:r w:rsidRPr="00B05565">
        <w:t>na</w:t>
      </w:r>
      <w:r>
        <w:t xml:space="preserve"> </w:t>
      </w:r>
      <w:r w:rsidRPr="00B05565">
        <w:t>výdaje</w:t>
      </w:r>
      <w:r>
        <w:t xml:space="preserve"> </w:t>
      </w:r>
      <w:r w:rsidRPr="00B05565">
        <w:t>uvedené</w:t>
      </w:r>
      <w:r>
        <w:t xml:space="preserve"> </w:t>
      </w:r>
      <w:r w:rsidRPr="00B05565">
        <w:t>v</w:t>
      </w:r>
      <w:r>
        <w:t xml:space="preserve"> </w:t>
      </w:r>
      <w:r w:rsidRPr="00B05565">
        <w:t>§</w:t>
      </w:r>
      <w:r>
        <w:t xml:space="preserve"> </w:t>
      </w:r>
      <w:r w:rsidRPr="00B05565">
        <w:t>160.</w:t>
      </w:r>
    </w:p>
    <w:p w14:paraId="23640935" w14:textId="77777777" w:rsidR="00B9271C" w:rsidRPr="00B05565" w:rsidRDefault="00B9271C" w:rsidP="007C08CF">
      <w:pPr>
        <w:pStyle w:val="Textparagrafu"/>
        <w:tabs>
          <w:tab w:val="left" w:pos="392"/>
          <w:tab w:val="left" w:pos="840"/>
        </w:tabs>
        <w:spacing w:after="120"/>
        <w:ind w:firstLine="0"/>
        <w:jc w:val="center"/>
      </w:pPr>
      <w:r w:rsidRPr="00B05565">
        <w:lastRenderedPageBreak/>
        <w:t>§</w:t>
      </w:r>
      <w:r>
        <w:t xml:space="preserve"> </w:t>
      </w:r>
      <w:r w:rsidRPr="00B05565">
        <w:t>161b</w:t>
      </w:r>
    </w:p>
    <w:p w14:paraId="4FC1FF03" w14:textId="77777777" w:rsidR="00B9271C" w:rsidRPr="007C08CF" w:rsidRDefault="00B9271C" w:rsidP="007C08CF">
      <w:pPr>
        <w:pStyle w:val="Textparagrafu"/>
        <w:tabs>
          <w:tab w:val="left" w:pos="392"/>
          <w:tab w:val="left" w:pos="840"/>
        </w:tabs>
        <w:spacing w:after="120"/>
        <w:ind w:firstLine="0"/>
        <w:jc w:val="center"/>
        <w:rPr>
          <w:b/>
        </w:rPr>
      </w:pPr>
      <w:r w:rsidRPr="007C08CF">
        <w:rPr>
          <w:b/>
        </w:rPr>
        <w:t>Financování ostatních školských zařízení zřizovaných územními samosprávnými celky nebo svazky obcí</w:t>
      </w:r>
    </w:p>
    <w:p w14:paraId="6060EEE1" w14:textId="77777777" w:rsidR="00B9271C" w:rsidRDefault="00B9271C" w:rsidP="00A84DD3">
      <w:pPr>
        <w:pStyle w:val="Textparagrafu"/>
        <w:tabs>
          <w:tab w:val="left" w:pos="392"/>
          <w:tab w:val="left" w:pos="840"/>
        </w:tabs>
        <w:spacing w:before="120" w:after="120"/>
      </w:pPr>
      <w:r w:rsidRPr="00B05565">
        <w:t>(1)</w:t>
      </w:r>
      <w:r>
        <w:t xml:space="preserve"> </w:t>
      </w:r>
      <w:r w:rsidRPr="00B05565">
        <w:t>Ministerstvo</w:t>
      </w:r>
      <w:r>
        <w:t xml:space="preserve"> </w:t>
      </w:r>
      <w:r w:rsidRPr="00B05565">
        <w:t>vyhlásí</w:t>
      </w:r>
      <w:r>
        <w:t xml:space="preserve"> </w:t>
      </w:r>
      <w:r w:rsidRPr="00B05565">
        <w:t>na</w:t>
      </w:r>
      <w:r>
        <w:t xml:space="preserve"> </w:t>
      </w:r>
      <w:r w:rsidRPr="00B05565">
        <w:t>kalendářní</w:t>
      </w:r>
      <w:r>
        <w:t xml:space="preserve"> </w:t>
      </w:r>
      <w:r w:rsidRPr="00B05565">
        <w:t>rok</w:t>
      </w:r>
      <w:r>
        <w:t xml:space="preserve"> </w:t>
      </w:r>
      <w:r w:rsidRPr="00B05565">
        <w:t>a</w:t>
      </w:r>
      <w:r>
        <w:t xml:space="preserve"> </w:t>
      </w:r>
      <w:r w:rsidRPr="00B05565">
        <w:t>zveřejní</w:t>
      </w:r>
      <w:r>
        <w:t xml:space="preserve"> </w:t>
      </w:r>
      <w:r w:rsidRPr="00B05565">
        <w:t>ve</w:t>
      </w:r>
      <w:r>
        <w:t xml:space="preserve"> </w:t>
      </w:r>
      <w:r w:rsidRPr="00B05565">
        <w:t>Věstníku</w:t>
      </w:r>
      <w:r>
        <w:t xml:space="preserve"> </w:t>
      </w:r>
      <w:r w:rsidRPr="00B05565">
        <w:t>pro</w:t>
      </w:r>
      <w:r>
        <w:t xml:space="preserve"> </w:t>
      </w:r>
      <w:r w:rsidRPr="00B05565">
        <w:t>školská</w:t>
      </w:r>
      <w:r>
        <w:t xml:space="preserve"> </w:t>
      </w:r>
      <w:r w:rsidRPr="00B05565">
        <w:t>zařízení</w:t>
      </w:r>
      <w:r>
        <w:t xml:space="preserve"> </w:t>
      </w:r>
      <w:r w:rsidRPr="00B05565">
        <w:t>neuvedená</w:t>
      </w:r>
      <w:r>
        <w:t xml:space="preserve"> </w:t>
      </w:r>
      <w:r w:rsidRPr="00B05565">
        <w:t>v</w:t>
      </w:r>
      <w:r>
        <w:t xml:space="preserve"> </w:t>
      </w:r>
      <w:r w:rsidRPr="00B05565">
        <w:t>§</w:t>
      </w:r>
      <w:r>
        <w:t xml:space="preserve"> </w:t>
      </w:r>
      <w:r w:rsidRPr="00B05565">
        <w:t>161</w:t>
      </w:r>
      <w:r>
        <w:t xml:space="preserve"> </w:t>
      </w:r>
      <w:r w:rsidRPr="00B05565">
        <w:t>a</w:t>
      </w:r>
      <w:r>
        <w:t xml:space="preserve"> </w:t>
      </w:r>
      <w:r w:rsidRPr="00B05565">
        <w:t>161a,</w:t>
      </w:r>
      <w:r>
        <w:t xml:space="preserve"> </w:t>
      </w:r>
      <w:r w:rsidRPr="00B05565">
        <w:t>a</w:t>
      </w:r>
      <w:r>
        <w:t xml:space="preserve"> </w:t>
      </w:r>
      <w:r w:rsidRPr="00B05565">
        <w:t>pro</w:t>
      </w:r>
      <w:r>
        <w:t xml:space="preserve"> </w:t>
      </w:r>
      <w:r w:rsidRPr="00B05565">
        <w:t>výdaje</w:t>
      </w:r>
      <w:r>
        <w:t xml:space="preserve"> </w:t>
      </w:r>
      <w:r w:rsidRPr="00B05565">
        <w:t>na</w:t>
      </w:r>
      <w:r>
        <w:t xml:space="preserve"> </w:t>
      </w:r>
      <w:r w:rsidRPr="00B05565">
        <w:t>platy</w:t>
      </w:r>
      <w:r>
        <w:t xml:space="preserve"> </w:t>
      </w:r>
      <w:r w:rsidRPr="00B05565">
        <w:t>a</w:t>
      </w:r>
      <w:r>
        <w:t xml:space="preserve"> </w:t>
      </w:r>
      <w:r w:rsidRPr="00B05565">
        <w:t>ostatní</w:t>
      </w:r>
      <w:r>
        <w:t xml:space="preserve"> </w:t>
      </w:r>
      <w:r w:rsidRPr="00B05565">
        <w:t>osobní</w:t>
      </w:r>
      <w:r>
        <w:t xml:space="preserve"> </w:t>
      </w:r>
      <w:r w:rsidRPr="00B05565">
        <w:t>náklady</w:t>
      </w:r>
      <w:r>
        <w:t xml:space="preserve"> </w:t>
      </w:r>
      <w:r w:rsidRPr="00B05565">
        <w:t>ostatních</w:t>
      </w:r>
      <w:r>
        <w:t xml:space="preserve"> </w:t>
      </w:r>
      <w:r w:rsidRPr="00B05565">
        <w:t>zaměstnanců</w:t>
      </w:r>
      <w:r>
        <w:t xml:space="preserve"> </w:t>
      </w:r>
      <w:r w:rsidRPr="00B05565">
        <w:t>a</w:t>
      </w:r>
      <w:r>
        <w:t xml:space="preserve"> </w:t>
      </w:r>
      <w:r w:rsidRPr="00B05565">
        <w:t>ostatní</w:t>
      </w:r>
      <w:r>
        <w:t xml:space="preserve"> </w:t>
      </w:r>
      <w:r w:rsidRPr="00B05565">
        <w:t>neinvestiční</w:t>
      </w:r>
      <w:r>
        <w:t xml:space="preserve"> </w:t>
      </w:r>
      <w:r w:rsidRPr="00B05565">
        <w:t>výdaje</w:t>
      </w:r>
      <w:r>
        <w:t xml:space="preserve"> </w:t>
      </w:r>
      <w:r w:rsidRPr="00B05565">
        <w:t>školních</w:t>
      </w:r>
      <w:r>
        <w:t xml:space="preserve"> </w:t>
      </w:r>
      <w:r w:rsidRPr="00B05565">
        <w:t>družin</w:t>
      </w:r>
      <w:r>
        <w:t xml:space="preserve"> </w:t>
      </w:r>
      <w:r w:rsidRPr="00B05565">
        <w:t>zřízených</w:t>
      </w:r>
      <w:r>
        <w:t xml:space="preserve"> </w:t>
      </w:r>
      <w:r w:rsidRPr="00B05565">
        <w:t>krajem,</w:t>
      </w:r>
      <w:r>
        <w:t xml:space="preserve"> </w:t>
      </w:r>
      <w:r w:rsidRPr="00B05565">
        <w:t>obcí</w:t>
      </w:r>
      <w:r>
        <w:t xml:space="preserve"> </w:t>
      </w:r>
      <w:r w:rsidRPr="00B05565">
        <w:t>nebo</w:t>
      </w:r>
      <w:r>
        <w:t xml:space="preserve"> </w:t>
      </w:r>
      <w:r w:rsidRPr="00B05565">
        <w:t>svazkem</w:t>
      </w:r>
      <w:r>
        <w:t xml:space="preserve"> </w:t>
      </w:r>
      <w:r w:rsidRPr="00B05565">
        <w:t>obcí</w:t>
      </w:r>
      <w:r>
        <w:t xml:space="preserve"> </w:t>
      </w:r>
      <w:r w:rsidRPr="00B05565">
        <w:t>republikové</w:t>
      </w:r>
      <w:r>
        <w:t xml:space="preserve"> </w:t>
      </w:r>
      <w:r w:rsidRPr="00B05565">
        <w:t>normativy</w:t>
      </w:r>
      <w:r>
        <w:t xml:space="preserve"> </w:t>
      </w:r>
      <w:r w:rsidRPr="00B05565">
        <w:t>jako</w:t>
      </w:r>
      <w:r>
        <w:t xml:space="preserve"> </w:t>
      </w:r>
      <w:r w:rsidRPr="00B05565">
        <w:t>roční</w:t>
      </w:r>
      <w:r>
        <w:t xml:space="preserve"> </w:t>
      </w:r>
      <w:r w:rsidRPr="00B05565">
        <w:t>výši</w:t>
      </w:r>
      <w:r>
        <w:t xml:space="preserve"> </w:t>
      </w:r>
      <w:r w:rsidRPr="00B05565">
        <w:t>výdajů</w:t>
      </w:r>
      <w:r>
        <w:t xml:space="preserve"> </w:t>
      </w:r>
      <w:r w:rsidRPr="00B05565">
        <w:t>státního</w:t>
      </w:r>
      <w:r>
        <w:t xml:space="preserve"> </w:t>
      </w:r>
      <w:r w:rsidRPr="00B05565">
        <w:t>rozpočtu</w:t>
      </w:r>
      <w:r>
        <w:t xml:space="preserve"> </w:t>
      </w:r>
      <w:r w:rsidRPr="00B05565">
        <w:t>na</w:t>
      </w:r>
      <w:r>
        <w:t xml:space="preserve"> </w:t>
      </w:r>
      <w:r w:rsidRPr="00B05565">
        <w:t>činnost</w:t>
      </w:r>
      <w:r>
        <w:t xml:space="preserve"> </w:t>
      </w:r>
      <w:r w:rsidRPr="00B05565">
        <w:t>školských</w:t>
      </w:r>
      <w:r>
        <w:t xml:space="preserve"> </w:t>
      </w:r>
      <w:r w:rsidRPr="00B05565">
        <w:t>zařízení</w:t>
      </w:r>
      <w:r>
        <w:t xml:space="preserve"> </w:t>
      </w:r>
      <w:r w:rsidRPr="00B05565">
        <w:t>uvedených</w:t>
      </w:r>
      <w:r>
        <w:t xml:space="preserve"> </w:t>
      </w:r>
      <w:r w:rsidRPr="00B05565">
        <w:t>v</w:t>
      </w:r>
      <w:r>
        <w:t xml:space="preserve"> </w:t>
      </w:r>
      <w:r w:rsidRPr="00B05565">
        <w:t>tomto</w:t>
      </w:r>
      <w:r>
        <w:t xml:space="preserve"> </w:t>
      </w:r>
      <w:r w:rsidRPr="00B05565">
        <w:t>odstavci,</w:t>
      </w:r>
      <w:r>
        <w:t xml:space="preserve"> </w:t>
      </w:r>
      <w:r w:rsidRPr="00B05565">
        <w:t>připadajících</w:t>
      </w:r>
      <w:r>
        <w:t xml:space="preserve"> </w:t>
      </w:r>
      <w:r w:rsidRPr="00B05565">
        <w:t>na</w:t>
      </w:r>
      <w:r>
        <w:t xml:space="preserve"> </w:t>
      </w:r>
      <w:r w:rsidRPr="00B05565">
        <w:t>1</w:t>
      </w:r>
      <w:r>
        <w:t xml:space="preserve"> </w:t>
      </w:r>
      <w:r w:rsidRPr="00B05565">
        <w:t>dítě,</w:t>
      </w:r>
      <w:r>
        <w:t xml:space="preserve"> </w:t>
      </w:r>
      <w:r w:rsidRPr="00B05565">
        <w:t>žáka</w:t>
      </w:r>
      <w:r>
        <w:t xml:space="preserve"> </w:t>
      </w:r>
      <w:r w:rsidRPr="00B05565">
        <w:t>a</w:t>
      </w:r>
      <w:r>
        <w:t xml:space="preserve"> </w:t>
      </w:r>
      <w:r w:rsidRPr="00B05565">
        <w:t>studenta</w:t>
      </w:r>
      <w:r>
        <w:t xml:space="preserve"> </w:t>
      </w:r>
      <w:r w:rsidRPr="00B05565">
        <w:t>v</w:t>
      </w:r>
      <w:r>
        <w:t xml:space="preserve"> </w:t>
      </w:r>
      <w:r w:rsidRPr="00B05565">
        <w:t>mateřské</w:t>
      </w:r>
      <w:r>
        <w:t xml:space="preserve"> </w:t>
      </w:r>
      <w:r w:rsidRPr="00B05565">
        <w:t>a</w:t>
      </w:r>
      <w:r>
        <w:t xml:space="preserve"> </w:t>
      </w:r>
      <w:r w:rsidRPr="00B05565">
        <w:t>základní</w:t>
      </w:r>
      <w:r>
        <w:t xml:space="preserve"> </w:t>
      </w:r>
      <w:r w:rsidRPr="00B05565">
        <w:t>škole</w:t>
      </w:r>
      <w:r>
        <w:t xml:space="preserve"> </w:t>
      </w:r>
      <w:r w:rsidRPr="00B05565">
        <w:t>a</w:t>
      </w:r>
      <w:r>
        <w:t xml:space="preserve"> </w:t>
      </w:r>
      <w:r w:rsidRPr="00B05565">
        <w:t>v</w:t>
      </w:r>
      <w:r>
        <w:t xml:space="preserve"> </w:t>
      </w:r>
      <w:r w:rsidRPr="00B05565">
        <w:t>denní</w:t>
      </w:r>
      <w:r>
        <w:t xml:space="preserve"> </w:t>
      </w:r>
      <w:r w:rsidRPr="00B05565">
        <w:t>formě</w:t>
      </w:r>
      <w:r>
        <w:t xml:space="preserve"> </w:t>
      </w:r>
      <w:r w:rsidRPr="00B05565">
        <w:t>vzdělávání</w:t>
      </w:r>
      <w:r>
        <w:t xml:space="preserve"> </w:t>
      </w:r>
      <w:r w:rsidRPr="00B05565">
        <w:t>ve</w:t>
      </w:r>
      <w:r>
        <w:t xml:space="preserve"> </w:t>
      </w:r>
      <w:r w:rsidRPr="00B05565">
        <w:t>střední</w:t>
      </w:r>
      <w:r>
        <w:t xml:space="preserve"> </w:t>
      </w:r>
      <w:r w:rsidRPr="00B05565">
        <w:t>škole,</w:t>
      </w:r>
      <w:r>
        <w:t xml:space="preserve"> </w:t>
      </w:r>
      <w:r w:rsidRPr="00B05565">
        <w:t>konzervatoři</w:t>
      </w:r>
      <w:r>
        <w:t xml:space="preserve"> </w:t>
      </w:r>
      <w:r w:rsidRPr="00B05565">
        <w:t>a</w:t>
      </w:r>
      <w:r>
        <w:t xml:space="preserve"> </w:t>
      </w:r>
      <w:r w:rsidRPr="00B05565">
        <w:t>ve</w:t>
      </w:r>
      <w:r>
        <w:t xml:space="preserve"> </w:t>
      </w:r>
      <w:r w:rsidRPr="00B05565">
        <w:t>vyšší</w:t>
      </w:r>
      <w:r>
        <w:t xml:space="preserve"> </w:t>
      </w:r>
      <w:r w:rsidRPr="00B05565">
        <w:t>odborné</w:t>
      </w:r>
      <w:r>
        <w:t xml:space="preserve"> </w:t>
      </w:r>
      <w:r w:rsidRPr="00B05565">
        <w:t>škole.</w:t>
      </w:r>
      <w:r>
        <w:t xml:space="preserve"> </w:t>
      </w:r>
      <w:r w:rsidRPr="00B05565">
        <w:t>Ministerstvo</w:t>
      </w:r>
      <w:r>
        <w:t xml:space="preserve"> </w:t>
      </w:r>
      <w:r w:rsidRPr="00B05565">
        <w:t>může</w:t>
      </w:r>
      <w:r>
        <w:t xml:space="preserve"> </w:t>
      </w:r>
      <w:r w:rsidRPr="00B05565">
        <w:t>vyhlásit</w:t>
      </w:r>
      <w:r>
        <w:t xml:space="preserve"> </w:t>
      </w:r>
      <w:r w:rsidRPr="00B05565">
        <w:t>a</w:t>
      </w:r>
      <w:r>
        <w:t xml:space="preserve"> </w:t>
      </w:r>
      <w:r w:rsidRPr="00B05565">
        <w:t>zveřejnit</w:t>
      </w:r>
      <w:r>
        <w:t xml:space="preserve"> </w:t>
      </w:r>
      <w:r w:rsidRPr="00B05565">
        <w:t>ve</w:t>
      </w:r>
      <w:r>
        <w:t xml:space="preserve"> </w:t>
      </w:r>
      <w:r w:rsidRPr="00B05565">
        <w:t>Věstníku</w:t>
      </w:r>
      <w:r>
        <w:t xml:space="preserve"> </w:t>
      </w:r>
      <w:r w:rsidRPr="00B05565">
        <w:t>opravné</w:t>
      </w:r>
      <w:r>
        <w:t xml:space="preserve"> </w:t>
      </w:r>
      <w:r w:rsidRPr="00B05565">
        <w:t>koeficienty</w:t>
      </w:r>
      <w:r>
        <w:t xml:space="preserve"> </w:t>
      </w:r>
      <w:r w:rsidRPr="00B05565">
        <w:t>k</w:t>
      </w:r>
      <w:r>
        <w:t xml:space="preserve"> </w:t>
      </w:r>
      <w:r w:rsidRPr="00B05565">
        <w:t>republikovým</w:t>
      </w:r>
      <w:r>
        <w:t xml:space="preserve"> </w:t>
      </w:r>
      <w:r w:rsidRPr="00B05565">
        <w:t>normativům</w:t>
      </w:r>
      <w:r>
        <w:t xml:space="preserve"> </w:t>
      </w:r>
      <w:r w:rsidRPr="00B05565">
        <w:t>podle</w:t>
      </w:r>
      <w:r>
        <w:t xml:space="preserve"> </w:t>
      </w:r>
      <w:r w:rsidRPr="00B05565">
        <w:t>věty</w:t>
      </w:r>
      <w:r>
        <w:t xml:space="preserve"> </w:t>
      </w:r>
      <w:r w:rsidRPr="00B05565">
        <w:t>první,</w:t>
      </w:r>
      <w:r>
        <w:t xml:space="preserve"> </w:t>
      </w:r>
      <w:r w:rsidRPr="00B05565">
        <w:t>zohledňující</w:t>
      </w:r>
      <w:r>
        <w:t xml:space="preserve"> </w:t>
      </w:r>
      <w:r w:rsidRPr="00B05565">
        <w:t>objektivní</w:t>
      </w:r>
      <w:r>
        <w:t xml:space="preserve"> </w:t>
      </w:r>
      <w:r w:rsidRPr="00B05565">
        <w:t>rozdíly</w:t>
      </w:r>
      <w:r>
        <w:t xml:space="preserve"> </w:t>
      </w:r>
      <w:r w:rsidRPr="00B05565">
        <w:t>v</w:t>
      </w:r>
      <w:r>
        <w:t xml:space="preserve"> </w:t>
      </w:r>
      <w:r w:rsidRPr="00B05565">
        <w:t>činnosti</w:t>
      </w:r>
      <w:r>
        <w:t xml:space="preserve"> </w:t>
      </w:r>
      <w:r w:rsidRPr="00B05565">
        <w:t>dotčených</w:t>
      </w:r>
      <w:r>
        <w:t xml:space="preserve"> </w:t>
      </w:r>
      <w:r w:rsidRPr="00B05565">
        <w:t>školských</w:t>
      </w:r>
      <w:r>
        <w:t xml:space="preserve"> </w:t>
      </w:r>
      <w:r w:rsidRPr="00B05565">
        <w:t>zařízení</w:t>
      </w:r>
      <w:r>
        <w:t xml:space="preserve"> </w:t>
      </w:r>
      <w:r w:rsidRPr="00B05565">
        <w:t>v</w:t>
      </w:r>
      <w:r>
        <w:t xml:space="preserve"> </w:t>
      </w:r>
      <w:r w:rsidRPr="00B05565">
        <w:t>jednotlivých</w:t>
      </w:r>
      <w:r>
        <w:t xml:space="preserve"> </w:t>
      </w:r>
      <w:r w:rsidRPr="00B05565">
        <w:t>krajích.</w:t>
      </w:r>
    </w:p>
    <w:p w14:paraId="01B910F3" w14:textId="643FCF4A" w:rsidR="00B9271C" w:rsidRDefault="00B9271C" w:rsidP="00A84DD3">
      <w:pPr>
        <w:pStyle w:val="Textparagrafu"/>
        <w:tabs>
          <w:tab w:val="left" w:pos="392"/>
          <w:tab w:val="left" w:pos="840"/>
        </w:tabs>
        <w:spacing w:before="120" w:after="120"/>
      </w:pPr>
      <w:r w:rsidRPr="00B05565">
        <w:t>(2)</w:t>
      </w:r>
      <w:r>
        <w:t xml:space="preserve"> </w:t>
      </w:r>
      <w:r w:rsidRPr="00B05565">
        <w:t>Krajský</w:t>
      </w:r>
      <w:r>
        <w:t xml:space="preserve"> </w:t>
      </w:r>
      <w:r w:rsidRPr="00B05565">
        <w:t>úřad</w:t>
      </w:r>
      <w:r>
        <w:t xml:space="preserve"> </w:t>
      </w:r>
      <w:r w:rsidRPr="00B05565">
        <w:t>v</w:t>
      </w:r>
      <w:r>
        <w:t xml:space="preserve"> </w:t>
      </w:r>
      <w:r w:rsidRPr="00B05565">
        <w:t>souladu</w:t>
      </w:r>
      <w:r>
        <w:t xml:space="preserve"> </w:t>
      </w:r>
      <w:r w:rsidRPr="00B05565">
        <w:t>se</w:t>
      </w:r>
      <w:r>
        <w:t xml:space="preserve"> </w:t>
      </w:r>
      <w:r w:rsidRPr="00B05565">
        <w:t>zásadami</w:t>
      </w:r>
      <w:r>
        <w:t xml:space="preserve"> </w:t>
      </w:r>
      <w:r w:rsidRPr="00B05565">
        <w:t>stanovenými</w:t>
      </w:r>
      <w:r>
        <w:t xml:space="preserve"> </w:t>
      </w:r>
      <w:r w:rsidRPr="00B05565">
        <w:t>ministerstvem</w:t>
      </w:r>
      <w:r>
        <w:t xml:space="preserve"> </w:t>
      </w:r>
      <w:r w:rsidRPr="00B05565">
        <w:t>podle</w:t>
      </w:r>
      <w:r>
        <w:t xml:space="preserve"> </w:t>
      </w:r>
      <w:r w:rsidRPr="00B05565">
        <w:t>§</w:t>
      </w:r>
      <w:r>
        <w:t xml:space="preserve"> </w:t>
      </w:r>
      <w:r w:rsidRPr="00B05565">
        <w:t>170</w:t>
      </w:r>
      <w:r>
        <w:t xml:space="preserve"> </w:t>
      </w:r>
      <w:r w:rsidRPr="00B05565">
        <w:t>písm.</w:t>
      </w:r>
      <w:r>
        <w:t xml:space="preserve"> </w:t>
      </w:r>
      <w:r w:rsidRPr="00B05565">
        <w:t>b)</w:t>
      </w:r>
      <w:r>
        <w:t xml:space="preserve"> </w:t>
      </w:r>
      <w:r w:rsidRPr="00B05565">
        <w:t>rozepisuje</w:t>
      </w:r>
      <w:r>
        <w:t xml:space="preserve"> </w:t>
      </w:r>
      <w:r w:rsidRPr="00B05565">
        <w:t>prostřednictvím</w:t>
      </w:r>
      <w:r>
        <w:t xml:space="preserve"> </w:t>
      </w:r>
      <w:r w:rsidRPr="00B05565">
        <w:t>krajských</w:t>
      </w:r>
      <w:r>
        <w:t xml:space="preserve"> </w:t>
      </w:r>
      <w:r w:rsidRPr="00B05565">
        <w:t>normativů</w:t>
      </w:r>
      <w:r>
        <w:t xml:space="preserve"> </w:t>
      </w:r>
      <w:r w:rsidRPr="00B05565">
        <w:t>a</w:t>
      </w:r>
      <w:r>
        <w:t xml:space="preserve"> </w:t>
      </w:r>
      <w:r w:rsidRPr="00B05565">
        <w:t>poskytuje</w:t>
      </w:r>
      <w:r>
        <w:t xml:space="preserve"> </w:t>
      </w:r>
      <w:r w:rsidRPr="00B05565">
        <w:t>právnickým</w:t>
      </w:r>
      <w:r>
        <w:t xml:space="preserve"> </w:t>
      </w:r>
      <w:r w:rsidRPr="00B05565">
        <w:t>osobám</w:t>
      </w:r>
      <w:r>
        <w:t xml:space="preserve"> </w:t>
      </w:r>
      <w:r w:rsidRPr="00B05565">
        <w:t>zřízeným</w:t>
      </w:r>
      <w:r>
        <w:t xml:space="preserve"> </w:t>
      </w:r>
      <w:r w:rsidRPr="00B05565">
        <w:t>krajem,</w:t>
      </w:r>
      <w:r>
        <w:t xml:space="preserve"> </w:t>
      </w:r>
      <w:r w:rsidRPr="00B05565">
        <w:t>obcí</w:t>
      </w:r>
      <w:r>
        <w:t xml:space="preserve"> </w:t>
      </w:r>
      <w:r w:rsidRPr="00B05565">
        <w:t>nebo</w:t>
      </w:r>
      <w:r>
        <w:t xml:space="preserve"> </w:t>
      </w:r>
      <w:r w:rsidRPr="00B05565">
        <w:t>svazkem</w:t>
      </w:r>
      <w:r>
        <w:t xml:space="preserve"> </w:t>
      </w:r>
      <w:r w:rsidRPr="00B05565">
        <w:t>obcí</w:t>
      </w:r>
      <w:r>
        <w:t xml:space="preserve"> </w:t>
      </w:r>
      <w:r w:rsidRPr="00B05565">
        <w:t>a</w:t>
      </w:r>
      <w:r>
        <w:t xml:space="preserve"> </w:t>
      </w:r>
      <w:r w:rsidRPr="00B05565">
        <w:t>vykonávajícím</w:t>
      </w:r>
      <w:r>
        <w:t xml:space="preserve"> </w:t>
      </w:r>
      <w:r w:rsidRPr="00B05565">
        <w:t>činnost</w:t>
      </w:r>
      <w:r>
        <w:t xml:space="preserve"> </w:t>
      </w:r>
      <w:r w:rsidRPr="00B05565">
        <w:t>školského</w:t>
      </w:r>
      <w:r>
        <w:t xml:space="preserve"> </w:t>
      </w:r>
      <w:r w:rsidRPr="00B05565">
        <w:t>zařízení</w:t>
      </w:r>
      <w:r>
        <w:t xml:space="preserve"> </w:t>
      </w:r>
      <w:r w:rsidRPr="00B05565">
        <w:t>uvedeného</w:t>
      </w:r>
      <w:r>
        <w:t xml:space="preserve"> </w:t>
      </w:r>
      <w:r w:rsidRPr="00B05565">
        <w:t>v</w:t>
      </w:r>
      <w:r>
        <w:t xml:space="preserve"> </w:t>
      </w:r>
      <w:r w:rsidRPr="00B05565">
        <w:t>odstavci</w:t>
      </w:r>
      <w:r>
        <w:t xml:space="preserve"> </w:t>
      </w:r>
      <w:r w:rsidRPr="00B05565">
        <w:t>1</w:t>
      </w:r>
      <w:r>
        <w:t xml:space="preserve"> </w:t>
      </w:r>
      <w:r w:rsidRPr="00074E16">
        <w:rPr>
          <w:strike/>
        </w:rPr>
        <w:t>finanční</w:t>
      </w:r>
      <w:r>
        <w:t xml:space="preserve"> </w:t>
      </w:r>
      <w:r w:rsidR="00074E16">
        <w:rPr>
          <w:b/>
        </w:rPr>
        <w:t xml:space="preserve">peněžní </w:t>
      </w:r>
      <w:r w:rsidRPr="00B05565">
        <w:t>prostředky</w:t>
      </w:r>
      <w:r>
        <w:t xml:space="preserve"> </w:t>
      </w:r>
      <w:r w:rsidRPr="00B05565">
        <w:t>na</w:t>
      </w:r>
      <w:r>
        <w:t xml:space="preserve"> </w:t>
      </w:r>
      <w:r w:rsidRPr="00B05565">
        <w:t>výdaje</w:t>
      </w:r>
      <w:r>
        <w:t xml:space="preserve"> </w:t>
      </w:r>
      <w:r w:rsidRPr="00B05565">
        <w:t>uvedené</w:t>
      </w:r>
      <w:r>
        <w:t xml:space="preserve"> </w:t>
      </w:r>
      <w:r w:rsidRPr="00B05565">
        <w:t>v</w:t>
      </w:r>
      <w:r>
        <w:t xml:space="preserve"> </w:t>
      </w:r>
      <w:r w:rsidRPr="00B05565">
        <w:t>§</w:t>
      </w:r>
      <w:r>
        <w:t xml:space="preserve"> </w:t>
      </w:r>
      <w:r w:rsidRPr="00B05565">
        <w:t>160.</w:t>
      </w:r>
    </w:p>
    <w:p w14:paraId="33CBDA46" w14:textId="77777777" w:rsidR="00B9271C" w:rsidRPr="00B05565" w:rsidRDefault="00B9271C" w:rsidP="007F06C5">
      <w:pPr>
        <w:pStyle w:val="Textparagrafu"/>
        <w:tabs>
          <w:tab w:val="left" w:pos="392"/>
          <w:tab w:val="left" w:pos="840"/>
        </w:tabs>
        <w:spacing w:after="120"/>
        <w:ind w:firstLine="0"/>
        <w:jc w:val="center"/>
      </w:pPr>
      <w:r w:rsidRPr="00B05565">
        <w:t>§</w:t>
      </w:r>
      <w:r>
        <w:t xml:space="preserve"> </w:t>
      </w:r>
      <w:r w:rsidRPr="00B05565">
        <w:t>161c</w:t>
      </w:r>
    </w:p>
    <w:p w14:paraId="2E81786A" w14:textId="77777777" w:rsidR="00B9271C" w:rsidRPr="007F06C5" w:rsidRDefault="00B9271C" w:rsidP="007F06C5">
      <w:pPr>
        <w:pStyle w:val="Textparagrafu"/>
        <w:tabs>
          <w:tab w:val="left" w:pos="392"/>
          <w:tab w:val="left" w:pos="840"/>
        </w:tabs>
        <w:spacing w:after="120"/>
        <w:ind w:firstLine="0"/>
        <w:jc w:val="center"/>
        <w:rPr>
          <w:b/>
        </w:rPr>
      </w:pPr>
      <w:r w:rsidRPr="007F06C5">
        <w:rPr>
          <w:b/>
        </w:rPr>
        <w:t>Společná ustanovení pro financování škol a školských zařízení zřizovaných územními samosprávnými celky nebo svazky obcí</w:t>
      </w:r>
    </w:p>
    <w:p w14:paraId="37F541D7" w14:textId="77777777" w:rsidR="00B9271C" w:rsidRDefault="00B9271C" w:rsidP="00BD5369">
      <w:pPr>
        <w:pStyle w:val="Textparagrafu"/>
        <w:tabs>
          <w:tab w:val="left" w:pos="392"/>
          <w:tab w:val="left" w:pos="840"/>
        </w:tabs>
        <w:spacing w:after="120"/>
      </w:pPr>
      <w:r w:rsidRPr="00B05565">
        <w:t>(1)</w:t>
      </w:r>
      <w:r>
        <w:t xml:space="preserve"> </w:t>
      </w:r>
      <w:r w:rsidRPr="00B05565">
        <w:t>Ministerstvo</w:t>
      </w:r>
      <w:r>
        <w:t xml:space="preserve"> </w:t>
      </w:r>
      <w:r w:rsidRPr="00B05565">
        <w:t>vyhlásí</w:t>
      </w:r>
      <w:r>
        <w:t xml:space="preserve"> </w:t>
      </w:r>
      <w:r w:rsidRPr="00B05565">
        <w:t>na</w:t>
      </w:r>
      <w:r>
        <w:t xml:space="preserve"> </w:t>
      </w:r>
      <w:r w:rsidRPr="00B05565">
        <w:t>kalendářní</w:t>
      </w:r>
      <w:r>
        <w:t xml:space="preserve"> </w:t>
      </w:r>
      <w:r w:rsidRPr="00B05565">
        <w:t>rok</w:t>
      </w:r>
      <w:r>
        <w:t xml:space="preserve"> </w:t>
      </w:r>
      <w:r w:rsidRPr="00B05565">
        <w:t>a</w:t>
      </w:r>
      <w:r>
        <w:t xml:space="preserve"> </w:t>
      </w:r>
      <w:r w:rsidRPr="00B05565">
        <w:t>zveřejní</w:t>
      </w:r>
      <w:r>
        <w:t xml:space="preserve"> </w:t>
      </w:r>
      <w:r w:rsidRPr="00B05565">
        <w:t>ve</w:t>
      </w:r>
      <w:r>
        <w:t xml:space="preserve"> </w:t>
      </w:r>
      <w:r w:rsidRPr="00B05565">
        <w:t>Věstníku</w:t>
      </w:r>
    </w:p>
    <w:p w14:paraId="56EBABF2" w14:textId="32EE66D6" w:rsidR="00B9271C" w:rsidRDefault="00B9271C" w:rsidP="00AB5ED2">
      <w:pPr>
        <w:pStyle w:val="Textparagrafu"/>
        <w:tabs>
          <w:tab w:val="left" w:pos="392"/>
          <w:tab w:val="left" w:pos="840"/>
        </w:tabs>
        <w:spacing w:before="0"/>
        <w:ind w:left="426" w:hanging="426"/>
      </w:pPr>
      <w:r w:rsidRPr="00B05565">
        <w:t>a)</w:t>
      </w:r>
      <w:r w:rsidR="00197EB5">
        <w:tab/>
      </w:r>
      <w:r w:rsidRPr="00B05565">
        <w:t>příplatky</w:t>
      </w:r>
      <w:r>
        <w:t xml:space="preserve"> </w:t>
      </w:r>
      <w:r w:rsidRPr="00B05565">
        <w:t>na</w:t>
      </w:r>
      <w:r>
        <w:t xml:space="preserve"> </w:t>
      </w:r>
      <w:r w:rsidRPr="00B05565">
        <w:t>jednotlivá</w:t>
      </w:r>
      <w:r>
        <w:t xml:space="preserve"> </w:t>
      </w:r>
      <w:r w:rsidRPr="00B05565">
        <w:t>podpůrná</w:t>
      </w:r>
      <w:r>
        <w:t xml:space="preserve"> </w:t>
      </w:r>
      <w:r w:rsidRPr="00B05565">
        <w:t>opatření</w:t>
      </w:r>
      <w:r>
        <w:t xml:space="preserve"> </w:t>
      </w:r>
      <w:r w:rsidRPr="00B05565">
        <w:t>podle</w:t>
      </w:r>
      <w:r>
        <w:t xml:space="preserve"> </w:t>
      </w:r>
      <w:r w:rsidRPr="00B05565">
        <w:t>§</w:t>
      </w:r>
      <w:r>
        <w:t xml:space="preserve"> </w:t>
      </w:r>
      <w:r w:rsidRPr="00B05565">
        <w:t>16</w:t>
      </w:r>
      <w:r>
        <w:t xml:space="preserve"> </w:t>
      </w:r>
      <w:r w:rsidRPr="00B05565">
        <w:t>stanovené</w:t>
      </w:r>
      <w:r>
        <w:t xml:space="preserve"> </w:t>
      </w:r>
      <w:r w:rsidRPr="00B05565">
        <w:t>se</w:t>
      </w:r>
      <w:r>
        <w:t xml:space="preserve"> </w:t>
      </w:r>
      <w:r w:rsidRPr="00B05565">
        <w:t>zřetelem</w:t>
      </w:r>
      <w:r>
        <w:t xml:space="preserve"> </w:t>
      </w:r>
      <w:r w:rsidRPr="00B05565">
        <w:t>k</w:t>
      </w:r>
      <w:r>
        <w:t xml:space="preserve"> </w:t>
      </w:r>
      <w:r w:rsidRPr="00B05565">
        <w:t>normované</w:t>
      </w:r>
      <w:r>
        <w:t xml:space="preserve"> </w:t>
      </w:r>
      <w:r w:rsidRPr="00B05565">
        <w:t>finanční</w:t>
      </w:r>
      <w:r>
        <w:t xml:space="preserve"> </w:t>
      </w:r>
      <w:r w:rsidRPr="00B05565">
        <w:t>náročnosti</w:t>
      </w:r>
      <w:r>
        <w:t xml:space="preserve"> </w:t>
      </w:r>
      <w:r w:rsidRPr="00B05565">
        <w:t>podpůrných</w:t>
      </w:r>
      <w:r>
        <w:t xml:space="preserve"> </w:t>
      </w:r>
      <w:r w:rsidRPr="00B05565">
        <w:t>opatření</w:t>
      </w:r>
      <w:r>
        <w:t xml:space="preserve"> </w:t>
      </w:r>
      <w:r w:rsidRPr="00B05565">
        <w:t>stanovené</w:t>
      </w:r>
      <w:r>
        <w:t xml:space="preserve"> </w:t>
      </w:r>
      <w:r w:rsidRPr="00B05565">
        <w:t>jiným</w:t>
      </w:r>
      <w:r>
        <w:t xml:space="preserve"> </w:t>
      </w:r>
      <w:r w:rsidRPr="00B05565">
        <w:t>právním</w:t>
      </w:r>
      <w:r>
        <w:t xml:space="preserve"> </w:t>
      </w:r>
      <w:r w:rsidRPr="00B05565">
        <w:t>předpisem63),</w:t>
      </w:r>
    </w:p>
    <w:p w14:paraId="2A3050C3" w14:textId="7F52EF20" w:rsidR="00B9271C" w:rsidRDefault="00B9271C" w:rsidP="00AB5ED2">
      <w:pPr>
        <w:pStyle w:val="Textparagrafu"/>
        <w:tabs>
          <w:tab w:val="left" w:pos="392"/>
          <w:tab w:val="left" w:pos="840"/>
        </w:tabs>
        <w:spacing w:before="0"/>
        <w:ind w:left="426" w:hanging="426"/>
      </w:pPr>
      <w:r w:rsidRPr="00B05565">
        <w:t>b)</w:t>
      </w:r>
      <w:r w:rsidR="00197EB5">
        <w:tab/>
      </w:r>
      <w:r w:rsidRPr="00B05565">
        <w:t>opravné</w:t>
      </w:r>
      <w:r>
        <w:t xml:space="preserve"> </w:t>
      </w:r>
      <w:r w:rsidRPr="00B05565">
        <w:t>koeficienty</w:t>
      </w:r>
      <w:r>
        <w:t xml:space="preserve"> </w:t>
      </w:r>
      <w:r w:rsidRPr="00B05565">
        <w:t>k</w:t>
      </w:r>
      <w:r>
        <w:t xml:space="preserve"> </w:t>
      </w:r>
      <w:r w:rsidRPr="00B05565">
        <w:t>normativům</w:t>
      </w:r>
      <w:r>
        <w:t xml:space="preserve"> </w:t>
      </w:r>
      <w:r w:rsidRPr="00B05565">
        <w:t>podle</w:t>
      </w:r>
      <w:r>
        <w:t xml:space="preserve"> </w:t>
      </w:r>
      <w:r w:rsidRPr="00B05565">
        <w:t>§</w:t>
      </w:r>
      <w:r>
        <w:t xml:space="preserve"> </w:t>
      </w:r>
      <w:r w:rsidRPr="00B05565">
        <w:t>161</w:t>
      </w:r>
      <w:r>
        <w:t xml:space="preserve"> </w:t>
      </w:r>
      <w:r w:rsidRPr="00B05565">
        <w:t>odst.</w:t>
      </w:r>
      <w:r>
        <w:t xml:space="preserve"> </w:t>
      </w:r>
      <w:r w:rsidRPr="00B05565">
        <w:t>1</w:t>
      </w:r>
      <w:r>
        <w:t xml:space="preserve"> </w:t>
      </w:r>
      <w:r w:rsidRPr="00B05565">
        <w:t>písm.</w:t>
      </w:r>
      <w:r>
        <w:t xml:space="preserve"> </w:t>
      </w:r>
      <w:r w:rsidRPr="00B05565">
        <w:t>a)</w:t>
      </w:r>
      <w:r>
        <w:t xml:space="preserve"> </w:t>
      </w:r>
      <w:r w:rsidRPr="00B05565">
        <w:t>bodu</w:t>
      </w:r>
      <w:r>
        <w:t xml:space="preserve"> </w:t>
      </w:r>
      <w:r w:rsidRPr="00B05565">
        <w:t>2</w:t>
      </w:r>
      <w:r>
        <w:t xml:space="preserve"> </w:t>
      </w:r>
      <w:r w:rsidRPr="00B05565">
        <w:t>a</w:t>
      </w:r>
      <w:r>
        <w:t xml:space="preserve"> </w:t>
      </w:r>
      <w:r w:rsidRPr="00B05565">
        <w:t>písm.</w:t>
      </w:r>
      <w:r>
        <w:t xml:space="preserve"> </w:t>
      </w:r>
      <w:r w:rsidRPr="00B05565">
        <w:t>b)</w:t>
      </w:r>
      <w:r>
        <w:t xml:space="preserve"> </w:t>
      </w:r>
      <w:r w:rsidRPr="00B05565">
        <w:t>bodu</w:t>
      </w:r>
      <w:r>
        <w:t xml:space="preserve"> </w:t>
      </w:r>
      <w:r w:rsidRPr="00B05565">
        <w:t>2</w:t>
      </w:r>
      <w:r>
        <w:t xml:space="preserve"> </w:t>
      </w:r>
      <w:r w:rsidRPr="00B05565">
        <w:t>zohledňující</w:t>
      </w:r>
      <w:r>
        <w:t xml:space="preserve"> </w:t>
      </w:r>
      <w:r w:rsidRPr="00B05565">
        <w:t>naplněnost</w:t>
      </w:r>
      <w:r>
        <w:t xml:space="preserve"> </w:t>
      </w:r>
      <w:r w:rsidRPr="00B05565">
        <w:t>tříd</w:t>
      </w:r>
      <w:r>
        <w:t xml:space="preserve"> </w:t>
      </w:r>
      <w:r w:rsidRPr="00B05565">
        <w:t>a</w:t>
      </w:r>
      <w:r>
        <w:t xml:space="preserve"> </w:t>
      </w:r>
      <w:r w:rsidRPr="00B05565">
        <w:t>oddělení</w:t>
      </w:r>
      <w:r>
        <w:t xml:space="preserve"> </w:t>
      </w:r>
      <w:r w:rsidRPr="00B05565">
        <w:t>v</w:t>
      </w:r>
      <w:r>
        <w:t xml:space="preserve"> </w:t>
      </w:r>
      <w:r w:rsidRPr="00B05565">
        <w:t>jednotlivých</w:t>
      </w:r>
      <w:r>
        <w:t xml:space="preserve"> </w:t>
      </w:r>
      <w:r w:rsidRPr="00B05565">
        <w:t>mateřských,</w:t>
      </w:r>
      <w:r>
        <w:t xml:space="preserve"> </w:t>
      </w:r>
      <w:r w:rsidRPr="00B05565">
        <w:t>základních</w:t>
      </w:r>
      <w:r>
        <w:t xml:space="preserve"> </w:t>
      </w:r>
      <w:r w:rsidRPr="00B05565">
        <w:t>a</w:t>
      </w:r>
      <w:r>
        <w:t xml:space="preserve"> </w:t>
      </w:r>
      <w:r w:rsidRPr="00B05565">
        <w:t>středních</w:t>
      </w:r>
      <w:r>
        <w:t xml:space="preserve"> </w:t>
      </w:r>
      <w:r w:rsidRPr="00B05565">
        <w:t>školách</w:t>
      </w:r>
      <w:r>
        <w:t xml:space="preserve"> </w:t>
      </w:r>
      <w:r w:rsidRPr="00B05565">
        <w:t>a</w:t>
      </w:r>
      <w:r>
        <w:t xml:space="preserve"> </w:t>
      </w:r>
      <w:r w:rsidRPr="00B05565">
        <w:t>školních</w:t>
      </w:r>
      <w:r>
        <w:t xml:space="preserve"> </w:t>
      </w:r>
      <w:r w:rsidRPr="00B05565">
        <w:t>družinách</w:t>
      </w:r>
      <w:r>
        <w:t xml:space="preserve"> </w:t>
      </w:r>
      <w:r w:rsidRPr="00B05565">
        <w:t>a</w:t>
      </w:r>
      <w:r>
        <w:t xml:space="preserve"> </w:t>
      </w:r>
      <w:r w:rsidRPr="00B05565">
        <w:t>opravné</w:t>
      </w:r>
      <w:r>
        <w:t xml:space="preserve"> </w:t>
      </w:r>
      <w:r w:rsidRPr="00B05565">
        <w:t>koeficienty</w:t>
      </w:r>
      <w:r>
        <w:t xml:space="preserve"> </w:t>
      </w:r>
      <w:r w:rsidRPr="00B05565">
        <w:t>k</w:t>
      </w:r>
      <w:r>
        <w:t xml:space="preserve"> </w:t>
      </w:r>
      <w:r w:rsidRPr="00B05565">
        <w:t>normativům</w:t>
      </w:r>
      <w:r>
        <w:t xml:space="preserve"> </w:t>
      </w:r>
      <w:r w:rsidRPr="00B05565">
        <w:t>podle</w:t>
      </w:r>
      <w:r>
        <w:t xml:space="preserve"> </w:t>
      </w:r>
      <w:r w:rsidRPr="00B05565">
        <w:t>§</w:t>
      </w:r>
      <w:r>
        <w:t xml:space="preserve"> </w:t>
      </w:r>
      <w:r w:rsidRPr="00B05565">
        <w:t>161</w:t>
      </w:r>
      <w:r>
        <w:t xml:space="preserve"> </w:t>
      </w:r>
      <w:r w:rsidRPr="00B05565">
        <w:t>odst.</w:t>
      </w:r>
      <w:r>
        <w:t xml:space="preserve"> </w:t>
      </w:r>
      <w:r w:rsidRPr="00B05565">
        <w:t>1</w:t>
      </w:r>
      <w:r>
        <w:t xml:space="preserve"> </w:t>
      </w:r>
      <w:r w:rsidRPr="00B05565">
        <w:t>písm.</w:t>
      </w:r>
      <w:r>
        <w:t xml:space="preserve"> </w:t>
      </w:r>
      <w:r w:rsidRPr="00B05565">
        <w:t>a)</w:t>
      </w:r>
      <w:r>
        <w:t xml:space="preserve"> </w:t>
      </w:r>
      <w:r w:rsidRPr="00B05565">
        <w:t>bodu</w:t>
      </w:r>
      <w:r>
        <w:t xml:space="preserve"> </w:t>
      </w:r>
      <w:r w:rsidRPr="00B05565">
        <w:t>2</w:t>
      </w:r>
      <w:r>
        <w:t xml:space="preserve"> </w:t>
      </w:r>
      <w:r w:rsidRPr="00B05565">
        <w:t>a</w:t>
      </w:r>
      <w:r>
        <w:t xml:space="preserve"> </w:t>
      </w:r>
      <w:r w:rsidRPr="00B05565">
        <w:t>písm.</w:t>
      </w:r>
      <w:r>
        <w:t xml:space="preserve"> </w:t>
      </w:r>
      <w:r w:rsidRPr="00B05565">
        <w:t>b)</w:t>
      </w:r>
      <w:r>
        <w:t xml:space="preserve"> </w:t>
      </w:r>
      <w:r w:rsidRPr="00B05565">
        <w:t>bodu</w:t>
      </w:r>
      <w:r>
        <w:t xml:space="preserve"> </w:t>
      </w:r>
      <w:r w:rsidRPr="00B05565">
        <w:t>2</w:t>
      </w:r>
      <w:r>
        <w:t xml:space="preserve"> </w:t>
      </w:r>
      <w:r w:rsidRPr="00B05565">
        <w:t>zohledňující</w:t>
      </w:r>
      <w:r>
        <w:t xml:space="preserve"> </w:t>
      </w:r>
      <w:r w:rsidRPr="00B05565">
        <w:t>vzdělávání</w:t>
      </w:r>
      <w:r>
        <w:t xml:space="preserve"> </w:t>
      </w:r>
      <w:r w:rsidRPr="00B05565">
        <w:t>žáků</w:t>
      </w:r>
      <w:r>
        <w:t xml:space="preserve"> </w:t>
      </w:r>
      <w:r w:rsidRPr="00B05565">
        <w:t>se</w:t>
      </w:r>
      <w:r>
        <w:t xml:space="preserve"> </w:t>
      </w:r>
      <w:r w:rsidRPr="00B05565">
        <w:t>speciálními</w:t>
      </w:r>
      <w:r>
        <w:t xml:space="preserve"> </w:t>
      </w:r>
      <w:r w:rsidRPr="00B05565">
        <w:t>vzdělávacími</w:t>
      </w:r>
      <w:r>
        <w:t xml:space="preserve"> </w:t>
      </w:r>
      <w:r w:rsidRPr="00B05565">
        <w:t>potřebami</w:t>
      </w:r>
      <w:r>
        <w:t xml:space="preserve"> </w:t>
      </w:r>
      <w:r w:rsidRPr="00B05565">
        <w:t>v</w:t>
      </w:r>
      <w:r>
        <w:t xml:space="preserve"> </w:t>
      </w:r>
      <w:r w:rsidRPr="00B05565">
        <w:t>jednotlivých</w:t>
      </w:r>
      <w:r>
        <w:t xml:space="preserve"> </w:t>
      </w:r>
      <w:r w:rsidRPr="00B05565">
        <w:t>mateřských,</w:t>
      </w:r>
      <w:r>
        <w:t xml:space="preserve"> </w:t>
      </w:r>
      <w:r w:rsidRPr="00B05565">
        <w:t>základních</w:t>
      </w:r>
      <w:r>
        <w:t xml:space="preserve"> </w:t>
      </w:r>
      <w:r w:rsidRPr="00B05565">
        <w:t>a</w:t>
      </w:r>
      <w:r>
        <w:t xml:space="preserve"> </w:t>
      </w:r>
      <w:r w:rsidRPr="00B05565">
        <w:t>středních</w:t>
      </w:r>
      <w:r>
        <w:t xml:space="preserve"> </w:t>
      </w:r>
      <w:r w:rsidRPr="00B05565">
        <w:t>školách</w:t>
      </w:r>
      <w:r>
        <w:t xml:space="preserve"> </w:t>
      </w:r>
      <w:r w:rsidRPr="00B05565">
        <w:t>a</w:t>
      </w:r>
      <w:r>
        <w:t xml:space="preserve"> </w:t>
      </w:r>
      <w:r w:rsidRPr="00B05565">
        <w:t>konzervatořích</w:t>
      </w:r>
      <w:r>
        <w:t xml:space="preserve"> </w:t>
      </w:r>
      <w:r w:rsidRPr="00B05565">
        <w:t>a</w:t>
      </w:r>
      <w:r>
        <w:t xml:space="preserve"> </w:t>
      </w:r>
      <w:r w:rsidRPr="00B05565">
        <w:t>školních</w:t>
      </w:r>
      <w:r>
        <w:t xml:space="preserve"> </w:t>
      </w:r>
      <w:r w:rsidRPr="00B05565">
        <w:t>družinách,</w:t>
      </w:r>
    </w:p>
    <w:p w14:paraId="1A970742" w14:textId="04EEFF4D" w:rsidR="00B9271C" w:rsidRDefault="00B9271C" w:rsidP="00AB5ED2">
      <w:pPr>
        <w:pStyle w:val="Textparagrafu"/>
        <w:tabs>
          <w:tab w:val="left" w:pos="392"/>
          <w:tab w:val="left" w:pos="840"/>
        </w:tabs>
        <w:spacing w:before="0"/>
        <w:ind w:left="426" w:hanging="426"/>
      </w:pPr>
      <w:r w:rsidRPr="00B05565">
        <w:t>c)</w:t>
      </w:r>
      <w:r w:rsidR="00197EB5">
        <w:tab/>
      </w:r>
      <w:r w:rsidRPr="00B05565">
        <w:t>kritéria</w:t>
      </w:r>
      <w:r>
        <w:t xml:space="preserve"> </w:t>
      </w:r>
      <w:r w:rsidRPr="00B05565">
        <w:t>pro</w:t>
      </w:r>
      <w:r>
        <w:t xml:space="preserve"> </w:t>
      </w:r>
      <w:r w:rsidRPr="00B05565">
        <w:t>rozpis</w:t>
      </w:r>
      <w:r>
        <w:t xml:space="preserve"> </w:t>
      </w:r>
      <w:r w:rsidRPr="00B05565">
        <w:t>rezervy</w:t>
      </w:r>
      <w:r>
        <w:t xml:space="preserve"> </w:t>
      </w:r>
      <w:r w:rsidRPr="00B05565">
        <w:t>podle</w:t>
      </w:r>
      <w:r>
        <w:t xml:space="preserve"> </w:t>
      </w:r>
      <w:r w:rsidRPr="00B05565">
        <w:t>odstavce</w:t>
      </w:r>
      <w:r>
        <w:t xml:space="preserve"> </w:t>
      </w:r>
      <w:r w:rsidRPr="00B05565">
        <w:t>3</w:t>
      </w:r>
      <w:r>
        <w:t xml:space="preserve"> </w:t>
      </w:r>
      <w:r w:rsidRPr="00B05565">
        <w:t>písm.</w:t>
      </w:r>
      <w:r>
        <w:t xml:space="preserve"> </w:t>
      </w:r>
      <w:r w:rsidRPr="00B05565">
        <w:t>c)</w:t>
      </w:r>
      <w:r>
        <w:t xml:space="preserve"> </w:t>
      </w:r>
      <w:r w:rsidRPr="00B05565">
        <w:t>z</w:t>
      </w:r>
      <w:r>
        <w:t xml:space="preserve"> </w:t>
      </w:r>
      <w:r w:rsidRPr="00B05565">
        <w:t>rozpočtu</w:t>
      </w:r>
      <w:r>
        <w:t xml:space="preserve"> </w:t>
      </w:r>
      <w:r w:rsidRPr="00B05565">
        <w:t>ministerstva</w:t>
      </w:r>
      <w:r>
        <w:t xml:space="preserve"> </w:t>
      </w:r>
      <w:r w:rsidRPr="00B05565">
        <w:t>do</w:t>
      </w:r>
      <w:r>
        <w:t xml:space="preserve"> </w:t>
      </w:r>
      <w:r w:rsidRPr="00B05565">
        <w:t>rozpočtů</w:t>
      </w:r>
      <w:r>
        <w:t xml:space="preserve"> </w:t>
      </w:r>
      <w:r w:rsidRPr="00B05565">
        <w:t>jednotlivých</w:t>
      </w:r>
      <w:r>
        <w:t xml:space="preserve"> </w:t>
      </w:r>
      <w:r w:rsidRPr="00B05565">
        <w:t>krajů</w:t>
      </w:r>
      <w:r>
        <w:t xml:space="preserve"> </w:t>
      </w:r>
      <w:r w:rsidRPr="00B05565">
        <w:t>a</w:t>
      </w:r>
      <w:r>
        <w:t xml:space="preserve"> </w:t>
      </w:r>
      <w:r w:rsidRPr="00B05565">
        <w:t>kritéria</w:t>
      </w:r>
      <w:r>
        <w:t xml:space="preserve"> </w:t>
      </w:r>
      <w:r w:rsidRPr="00B05565">
        <w:t>pro</w:t>
      </w:r>
      <w:r>
        <w:t xml:space="preserve"> </w:t>
      </w:r>
      <w:r w:rsidRPr="00B05565">
        <w:t>změnu</w:t>
      </w:r>
      <w:r>
        <w:t xml:space="preserve"> </w:t>
      </w:r>
      <w:r w:rsidRPr="00B05565">
        <w:t>rozpisu.</w:t>
      </w:r>
    </w:p>
    <w:p w14:paraId="2EFE2E38" w14:textId="77777777" w:rsidR="00B9271C" w:rsidRDefault="00B9271C" w:rsidP="00BD5369">
      <w:pPr>
        <w:pStyle w:val="Textparagrafu"/>
        <w:tabs>
          <w:tab w:val="left" w:pos="392"/>
          <w:tab w:val="left" w:pos="840"/>
        </w:tabs>
        <w:spacing w:after="120"/>
      </w:pPr>
      <w:r w:rsidRPr="00B05565">
        <w:t>(2)</w:t>
      </w:r>
      <w:r>
        <w:t xml:space="preserve"> </w:t>
      </w:r>
      <w:r w:rsidRPr="00B05565">
        <w:t>Ministerstvo</w:t>
      </w:r>
      <w:r>
        <w:t xml:space="preserve"> </w:t>
      </w:r>
      <w:r w:rsidRPr="00B05565">
        <w:t>stanoví</w:t>
      </w:r>
      <w:r>
        <w:t xml:space="preserve"> </w:t>
      </w:r>
      <w:r w:rsidRPr="00B05565">
        <w:t>prováděcím</w:t>
      </w:r>
      <w:r>
        <w:t xml:space="preserve"> </w:t>
      </w:r>
      <w:r w:rsidRPr="00B05565">
        <w:t>právním</w:t>
      </w:r>
      <w:r>
        <w:t xml:space="preserve"> </w:t>
      </w:r>
      <w:r w:rsidRPr="00B05565">
        <w:t>předpisem</w:t>
      </w:r>
    </w:p>
    <w:p w14:paraId="683FD982" w14:textId="418B787C" w:rsidR="00B9271C" w:rsidRDefault="00B9271C" w:rsidP="00AB5ED2">
      <w:pPr>
        <w:pStyle w:val="Textparagrafu"/>
        <w:tabs>
          <w:tab w:val="left" w:pos="392"/>
          <w:tab w:val="left" w:pos="840"/>
        </w:tabs>
        <w:spacing w:before="0"/>
        <w:ind w:left="426" w:hanging="426"/>
      </w:pPr>
      <w:r w:rsidRPr="00B05565">
        <w:t>a)</w:t>
      </w:r>
      <w:r w:rsidR="00537DFC">
        <w:tab/>
      </w:r>
      <w:r w:rsidRPr="00B05565">
        <w:t>termíny,</w:t>
      </w:r>
      <w:r>
        <w:t xml:space="preserve"> </w:t>
      </w:r>
      <w:r w:rsidRPr="00B05565">
        <w:t>rozsah</w:t>
      </w:r>
      <w:r>
        <w:t xml:space="preserve"> </w:t>
      </w:r>
      <w:r w:rsidRPr="00B05565">
        <w:t>a</w:t>
      </w:r>
      <w:r>
        <w:t xml:space="preserve"> </w:t>
      </w:r>
      <w:r w:rsidRPr="00B05565">
        <w:t>způsob</w:t>
      </w:r>
      <w:r>
        <w:t xml:space="preserve"> </w:t>
      </w:r>
      <w:r w:rsidRPr="00B05565">
        <w:t>předkládání</w:t>
      </w:r>
      <w:r>
        <w:t xml:space="preserve"> </w:t>
      </w:r>
      <w:r w:rsidRPr="00B05565">
        <w:t>údajů</w:t>
      </w:r>
      <w:r>
        <w:t xml:space="preserve"> </w:t>
      </w:r>
      <w:r w:rsidRPr="00B05565">
        <w:t>o</w:t>
      </w:r>
      <w:r>
        <w:t xml:space="preserve"> </w:t>
      </w:r>
      <w:r w:rsidRPr="00B05565">
        <w:t>předpokládaných</w:t>
      </w:r>
      <w:r>
        <w:t xml:space="preserve"> </w:t>
      </w:r>
      <w:r w:rsidRPr="00B05565">
        <w:t>počtech</w:t>
      </w:r>
      <w:r>
        <w:t xml:space="preserve"> </w:t>
      </w:r>
      <w:r w:rsidRPr="00B05565">
        <w:t>pedagogických</w:t>
      </w:r>
      <w:r>
        <w:t xml:space="preserve"> </w:t>
      </w:r>
      <w:r w:rsidRPr="00B05565">
        <w:t>pracovníků</w:t>
      </w:r>
      <w:r>
        <w:t xml:space="preserve"> </w:t>
      </w:r>
      <w:r w:rsidRPr="00B05565">
        <w:t>a</w:t>
      </w:r>
      <w:r>
        <w:t xml:space="preserve"> </w:t>
      </w:r>
      <w:r w:rsidRPr="00B05565">
        <w:t>jejich</w:t>
      </w:r>
      <w:r>
        <w:t xml:space="preserve"> </w:t>
      </w:r>
      <w:r w:rsidRPr="00B05565">
        <w:t>platovém</w:t>
      </w:r>
      <w:r>
        <w:t xml:space="preserve"> </w:t>
      </w:r>
      <w:r w:rsidRPr="00B05565">
        <w:t>zařazení,</w:t>
      </w:r>
    </w:p>
    <w:p w14:paraId="74882EC8" w14:textId="7E792354" w:rsidR="00B9271C" w:rsidRDefault="00B9271C" w:rsidP="00AB5ED2">
      <w:pPr>
        <w:pStyle w:val="Textparagrafu"/>
        <w:tabs>
          <w:tab w:val="left" w:pos="392"/>
          <w:tab w:val="left" w:pos="840"/>
        </w:tabs>
        <w:spacing w:before="0"/>
        <w:ind w:left="426" w:hanging="426"/>
      </w:pPr>
      <w:r w:rsidRPr="00B05565">
        <w:t>b)</w:t>
      </w:r>
      <w:r w:rsidR="00537DFC">
        <w:tab/>
      </w:r>
      <w:r w:rsidRPr="00B05565">
        <w:t>členění</w:t>
      </w:r>
      <w:r>
        <w:t xml:space="preserve"> </w:t>
      </w:r>
      <w:r w:rsidRPr="00B05565">
        <w:t>krajských</w:t>
      </w:r>
      <w:r>
        <w:t xml:space="preserve"> </w:t>
      </w:r>
      <w:r w:rsidRPr="00B05565">
        <w:t>normativů,</w:t>
      </w:r>
      <w:r>
        <w:t xml:space="preserve"> </w:t>
      </w:r>
      <w:r w:rsidRPr="00B05565">
        <w:t>ukazatele</w:t>
      </w:r>
      <w:r>
        <w:t xml:space="preserve"> </w:t>
      </w:r>
      <w:r w:rsidRPr="00B05565">
        <w:t>rozhodné</w:t>
      </w:r>
      <w:r>
        <w:t xml:space="preserve"> </w:t>
      </w:r>
      <w:r w:rsidRPr="00B05565">
        <w:t>pro</w:t>
      </w:r>
      <w:r>
        <w:t xml:space="preserve"> </w:t>
      </w:r>
      <w:r w:rsidRPr="00B05565">
        <w:t>jejich</w:t>
      </w:r>
      <w:r>
        <w:t xml:space="preserve"> </w:t>
      </w:r>
      <w:r w:rsidRPr="00B05565">
        <w:t>stanovení,</w:t>
      </w:r>
      <w:r>
        <w:t xml:space="preserve"> </w:t>
      </w:r>
      <w:r w:rsidRPr="00B05565">
        <w:t>jednotky</w:t>
      </w:r>
      <w:r>
        <w:t xml:space="preserve"> </w:t>
      </w:r>
      <w:r w:rsidRPr="00B05565">
        <w:t>výkonu</w:t>
      </w:r>
      <w:r>
        <w:t xml:space="preserve"> </w:t>
      </w:r>
      <w:r w:rsidRPr="00B05565">
        <w:t>pro</w:t>
      </w:r>
      <w:r>
        <w:t xml:space="preserve"> </w:t>
      </w:r>
      <w:r w:rsidRPr="00B05565">
        <w:t>jednotlivé</w:t>
      </w:r>
      <w:r>
        <w:t xml:space="preserve"> </w:t>
      </w:r>
      <w:r w:rsidRPr="00B05565">
        <w:t>krajské</w:t>
      </w:r>
      <w:r>
        <w:t xml:space="preserve"> </w:t>
      </w:r>
      <w:r w:rsidRPr="00B05565">
        <w:t>normativy,</w:t>
      </w:r>
      <w:r>
        <w:t xml:space="preserve"> </w:t>
      </w:r>
      <w:r w:rsidRPr="00B05565">
        <w:t>vztah</w:t>
      </w:r>
      <w:r>
        <w:t xml:space="preserve"> </w:t>
      </w:r>
      <w:r w:rsidRPr="00B05565">
        <w:t>mezi</w:t>
      </w:r>
      <w:r>
        <w:t xml:space="preserve"> </w:t>
      </w:r>
      <w:r w:rsidRPr="00B05565">
        <w:t>ukazateli</w:t>
      </w:r>
      <w:r>
        <w:t xml:space="preserve"> </w:t>
      </w:r>
      <w:r w:rsidRPr="00B05565">
        <w:t>a</w:t>
      </w:r>
      <w:r>
        <w:t xml:space="preserve"> </w:t>
      </w:r>
      <w:r w:rsidRPr="00B05565">
        <w:t>jednotkami</w:t>
      </w:r>
      <w:r>
        <w:t xml:space="preserve"> </w:t>
      </w:r>
      <w:r w:rsidRPr="00B05565">
        <w:t>výkonu,</w:t>
      </w:r>
      <w:r>
        <w:t xml:space="preserve"> </w:t>
      </w:r>
      <w:r w:rsidRPr="00B05565">
        <w:t>ukazatele</w:t>
      </w:r>
      <w:r>
        <w:t xml:space="preserve"> </w:t>
      </w:r>
      <w:r w:rsidRPr="00B05565">
        <w:t>pro</w:t>
      </w:r>
      <w:r>
        <w:t xml:space="preserve"> </w:t>
      </w:r>
      <w:r w:rsidRPr="00B05565">
        <w:t>výpočet</w:t>
      </w:r>
      <w:r>
        <w:t xml:space="preserve"> </w:t>
      </w:r>
      <w:r w:rsidRPr="00B05565">
        <w:t>minimální</w:t>
      </w:r>
      <w:r>
        <w:t xml:space="preserve"> </w:t>
      </w:r>
      <w:r w:rsidRPr="00B05565">
        <w:t>úrovně</w:t>
      </w:r>
      <w:r>
        <w:t xml:space="preserve"> </w:t>
      </w:r>
      <w:r w:rsidRPr="00B05565">
        <w:t>krajských</w:t>
      </w:r>
      <w:r>
        <w:t xml:space="preserve"> </w:t>
      </w:r>
      <w:r w:rsidRPr="00B05565">
        <w:t>normativů</w:t>
      </w:r>
      <w:r>
        <w:t xml:space="preserve"> </w:t>
      </w:r>
      <w:r w:rsidRPr="00B05565">
        <w:t>a</w:t>
      </w:r>
      <w:r>
        <w:t xml:space="preserve"> </w:t>
      </w:r>
      <w:r w:rsidRPr="00B05565">
        <w:t>zásady</w:t>
      </w:r>
      <w:r>
        <w:t xml:space="preserve"> </w:t>
      </w:r>
      <w:r w:rsidRPr="00B05565">
        <w:t>pro</w:t>
      </w:r>
      <w:r>
        <w:t xml:space="preserve"> </w:t>
      </w:r>
      <w:r w:rsidRPr="00B05565">
        <w:t>jejich</w:t>
      </w:r>
      <w:r>
        <w:t xml:space="preserve"> </w:t>
      </w:r>
      <w:r w:rsidRPr="00B05565">
        <w:t>zvýšení</w:t>
      </w:r>
      <w:r>
        <w:t xml:space="preserve"> </w:t>
      </w:r>
      <w:r w:rsidRPr="00B05565">
        <w:t>a</w:t>
      </w:r>
      <w:r>
        <w:t xml:space="preserve"> </w:t>
      </w:r>
      <w:r w:rsidRPr="00B05565">
        <w:t>jejich</w:t>
      </w:r>
      <w:r>
        <w:t xml:space="preserve"> </w:t>
      </w:r>
      <w:r w:rsidRPr="00B05565">
        <w:t>zveřejnění,</w:t>
      </w:r>
    </w:p>
    <w:p w14:paraId="2777B7B4" w14:textId="5C38711F" w:rsidR="00B9271C" w:rsidRDefault="00B9271C" w:rsidP="00AB5ED2">
      <w:pPr>
        <w:pStyle w:val="Textparagrafu"/>
        <w:tabs>
          <w:tab w:val="left" w:pos="392"/>
          <w:tab w:val="left" w:pos="840"/>
        </w:tabs>
        <w:spacing w:before="0"/>
        <w:ind w:left="426" w:hanging="426"/>
      </w:pPr>
      <w:r w:rsidRPr="00B05565">
        <w:t>c)</w:t>
      </w:r>
      <w:r w:rsidR="00537DFC">
        <w:tab/>
      </w:r>
      <w:r w:rsidRPr="00B05565">
        <w:t>maximální</w:t>
      </w:r>
      <w:r>
        <w:t xml:space="preserve"> </w:t>
      </w:r>
      <w:r w:rsidRPr="00B05565">
        <w:t>počty</w:t>
      </w:r>
      <w:r>
        <w:t xml:space="preserve"> </w:t>
      </w:r>
      <w:r w:rsidRPr="00B05565">
        <w:t>hodin</w:t>
      </w:r>
      <w:r>
        <w:t xml:space="preserve"> </w:t>
      </w:r>
      <w:r w:rsidRPr="00B05565">
        <w:t>přímé</w:t>
      </w:r>
      <w:r>
        <w:t xml:space="preserve"> </w:t>
      </w:r>
      <w:r w:rsidRPr="00B05565">
        <w:t>pedagogické</w:t>
      </w:r>
      <w:r>
        <w:t xml:space="preserve"> </w:t>
      </w:r>
      <w:r w:rsidRPr="00B05565">
        <w:t>činnosti</w:t>
      </w:r>
      <w:r>
        <w:t xml:space="preserve"> </w:t>
      </w:r>
      <w:r w:rsidRPr="00B05565">
        <w:t>v</w:t>
      </w:r>
      <w:r>
        <w:t xml:space="preserve"> </w:t>
      </w:r>
      <w:r w:rsidRPr="00B05565">
        <w:t>mateřské</w:t>
      </w:r>
      <w:r>
        <w:t xml:space="preserve"> </w:t>
      </w:r>
      <w:r w:rsidRPr="00B05565">
        <w:t>škole</w:t>
      </w:r>
      <w:r>
        <w:t xml:space="preserve"> </w:t>
      </w:r>
      <w:r w:rsidRPr="00B05565">
        <w:t>a</w:t>
      </w:r>
      <w:r>
        <w:t xml:space="preserve"> </w:t>
      </w:r>
      <w:r w:rsidRPr="00B05565">
        <w:t>školní</w:t>
      </w:r>
      <w:r>
        <w:t xml:space="preserve"> </w:t>
      </w:r>
      <w:r w:rsidRPr="00B05565">
        <w:t>družině</w:t>
      </w:r>
      <w:r>
        <w:t xml:space="preserve"> </w:t>
      </w:r>
      <w:r w:rsidRPr="00B05565">
        <w:t>zřizované</w:t>
      </w:r>
      <w:r>
        <w:t xml:space="preserve"> </w:t>
      </w:r>
      <w:r w:rsidRPr="00B05565">
        <w:t>krajem,</w:t>
      </w:r>
      <w:r>
        <w:t xml:space="preserve"> </w:t>
      </w:r>
      <w:r w:rsidRPr="00B05565">
        <w:t>obcí</w:t>
      </w:r>
      <w:r>
        <w:t xml:space="preserve"> </w:t>
      </w:r>
      <w:r w:rsidRPr="00B05565">
        <w:t>nebo</w:t>
      </w:r>
      <w:r>
        <w:t xml:space="preserve"> </w:t>
      </w:r>
      <w:r w:rsidRPr="00B05565">
        <w:t>svazkem</w:t>
      </w:r>
      <w:r>
        <w:t xml:space="preserve"> </w:t>
      </w:r>
      <w:r w:rsidRPr="00B05565">
        <w:t>obcí</w:t>
      </w:r>
      <w:r>
        <w:t xml:space="preserve"> </w:t>
      </w:r>
      <w:r w:rsidRPr="00B05565">
        <w:t>v</w:t>
      </w:r>
      <w:r>
        <w:t xml:space="preserve"> </w:t>
      </w:r>
      <w:r w:rsidRPr="00B05565">
        <w:t>závislosti</w:t>
      </w:r>
      <w:r>
        <w:t xml:space="preserve"> </w:t>
      </w:r>
      <w:r w:rsidRPr="00B05565">
        <w:t>na</w:t>
      </w:r>
      <w:r>
        <w:t xml:space="preserve"> </w:t>
      </w:r>
      <w:r w:rsidRPr="00B05565">
        <w:t>jejich</w:t>
      </w:r>
      <w:r>
        <w:t xml:space="preserve"> </w:t>
      </w:r>
      <w:r w:rsidRPr="00B05565">
        <w:t>struktuře</w:t>
      </w:r>
      <w:r>
        <w:t xml:space="preserve"> </w:t>
      </w:r>
      <w:r w:rsidRPr="00B05565">
        <w:t>včetně</w:t>
      </w:r>
      <w:r>
        <w:t xml:space="preserve"> </w:t>
      </w:r>
      <w:r w:rsidRPr="00B05565">
        <w:t>určení</w:t>
      </w:r>
      <w:r>
        <w:t xml:space="preserve"> </w:t>
      </w:r>
      <w:r w:rsidRPr="00B05565">
        <w:t>pedagogických</w:t>
      </w:r>
      <w:r>
        <w:t xml:space="preserve"> </w:t>
      </w:r>
      <w:r w:rsidRPr="00B05565">
        <w:t>pracovníků,</w:t>
      </w:r>
      <w:r>
        <w:t xml:space="preserve"> </w:t>
      </w:r>
      <w:r w:rsidRPr="00B05565">
        <w:t>kteří</w:t>
      </w:r>
      <w:r>
        <w:t xml:space="preserve"> </w:t>
      </w:r>
      <w:r w:rsidRPr="00B05565">
        <w:t>tyto</w:t>
      </w:r>
      <w:r>
        <w:t xml:space="preserve"> </w:t>
      </w:r>
      <w:r w:rsidRPr="00B05565">
        <w:t>činnosti</w:t>
      </w:r>
      <w:r>
        <w:t xml:space="preserve"> </w:t>
      </w:r>
      <w:r w:rsidRPr="00B05565">
        <w:t>vykonávají,</w:t>
      </w:r>
      <w:r>
        <w:t xml:space="preserve"> </w:t>
      </w:r>
      <w:r w:rsidRPr="00B05565">
        <w:t>a</w:t>
      </w:r>
      <w:r>
        <w:t xml:space="preserve"> </w:t>
      </w:r>
      <w:r w:rsidRPr="00B05565">
        <w:t>maximální</w:t>
      </w:r>
      <w:r>
        <w:t xml:space="preserve"> </w:t>
      </w:r>
      <w:r w:rsidRPr="00B05565">
        <w:t>počty</w:t>
      </w:r>
      <w:r>
        <w:t xml:space="preserve"> </w:t>
      </w:r>
      <w:r w:rsidRPr="00B05565">
        <w:t>hodin</w:t>
      </w:r>
      <w:r>
        <w:t xml:space="preserve"> </w:t>
      </w:r>
      <w:r w:rsidRPr="00B05565">
        <w:t>výuky</w:t>
      </w:r>
      <w:r>
        <w:t xml:space="preserve"> </w:t>
      </w:r>
      <w:r w:rsidRPr="00B05565">
        <w:t>v</w:t>
      </w:r>
      <w:r>
        <w:t xml:space="preserve"> </w:t>
      </w:r>
      <w:r w:rsidRPr="00B05565">
        <w:t>přípravných</w:t>
      </w:r>
      <w:r>
        <w:t xml:space="preserve"> </w:t>
      </w:r>
      <w:r w:rsidRPr="00B05565">
        <w:t>třídách</w:t>
      </w:r>
      <w:r>
        <w:t xml:space="preserve"> </w:t>
      </w:r>
      <w:r w:rsidRPr="00B05565">
        <w:t>základní</w:t>
      </w:r>
      <w:r>
        <w:t xml:space="preserve"> </w:t>
      </w:r>
      <w:r w:rsidRPr="00B05565">
        <w:t>školy</w:t>
      </w:r>
      <w:r>
        <w:t xml:space="preserve"> </w:t>
      </w:r>
      <w:r w:rsidRPr="00B05565">
        <w:t>a</w:t>
      </w:r>
      <w:r>
        <w:t xml:space="preserve"> </w:t>
      </w:r>
      <w:r w:rsidRPr="00B05565">
        <w:t>ve</w:t>
      </w:r>
      <w:r>
        <w:t xml:space="preserve"> </w:t>
      </w:r>
      <w:r w:rsidRPr="00B05565">
        <w:t>třídách</w:t>
      </w:r>
      <w:r>
        <w:t xml:space="preserve"> </w:t>
      </w:r>
      <w:r w:rsidRPr="00B05565">
        <w:t>přípravného</w:t>
      </w:r>
      <w:r>
        <w:t xml:space="preserve"> </w:t>
      </w:r>
      <w:r w:rsidRPr="00B05565">
        <w:t>stupně</w:t>
      </w:r>
      <w:r>
        <w:t xml:space="preserve"> </w:t>
      </w:r>
      <w:r w:rsidRPr="00B05565">
        <w:t>základní</w:t>
      </w:r>
      <w:r>
        <w:t xml:space="preserve"> </w:t>
      </w:r>
      <w:r w:rsidRPr="00B05565">
        <w:t>školy</w:t>
      </w:r>
      <w:r>
        <w:t xml:space="preserve"> </w:t>
      </w:r>
      <w:r w:rsidRPr="00B05565">
        <w:t>speciální</w:t>
      </w:r>
      <w:r>
        <w:t xml:space="preserve"> </w:t>
      </w:r>
      <w:r w:rsidRPr="00B05565">
        <w:t>financované</w:t>
      </w:r>
      <w:r>
        <w:t xml:space="preserve"> </w:t>
      </w:r>
      <w:r w:rsidRPr="00B05565">
        <w:t>ze</w:t>
      </w:r>
      <w:r>
        <w:t xml:space="preserve"> </w:t>
      </w:r>
      <w:r w:rsidRPr="00B05565">
        <w:t>státního</w:t>
      </w:r>
      <w:r>
        <w:t xml:space="preserve"> </w:t>
      </w:r>
      <w:r w:rsidRPr="00B05565">
        <w:t>rozpočtu.</w:t>
      </w:r>
    </w:p>
    <w:p w14:paraId="36CF3069" w14:textId="2AC51959" w:rsidR="00B9271C" w:rsidRDefault="00B9271C" w:rsidP="00BD5369">
      <w:pPr>
        <w:pStyle w:val="Textparagrafu"/>
        <w:tabs>
          <w:tab w:val="left" w:pos="392"/>
          <w:tab w:val="left" w:pos="840"/>
        </w:tabs>
        <w:spacing w:after="120"/>
      </w:pPr>
      <w:r w:rsidRPr="00B05565">
        <w:lastRenderedPageBreak/>
        <w:t>(3)</w:t>
      </w:r>
      <w:r>
        <w:t xml:space="preserve"> </w:t>
      </w:r>
      <w:r w:rsidRPr="00B05565">
        <w:t>Ministerstvo</w:t>
      </w:r>
      <w:r>
        <w:t xml:space="preserve"> </w:t>
      </w:r>
      <w:r w:rsidRPr="00B05565">
        <w:t>rozepisuje</w:t>
      </w:r>
      <w:r>
        <w:t xml:space="preserve"> </w:t>
      </w:r>
      <w:r w:rsidRPr="00B05565">
        <w:t>a</w:t>
      </w:r>
      <w:r>
        <w:t xml:space="preserve"> </w:t>
      </w:r>
      <w:r w:rsidRPr="00B05565">
        <w:t>poskytuje</w:t>
      </w:r>
      <w:r>
        <w:t xml:space="preserve"> </w:t>
      </w:r>
      <w:r w:rsidRPr="00B05565">
        <w:t>na</w:t>
      </w:r>
      <w:r>
        <w:t xml:space="preserve"> </w:t>
      </w:r>
      <w:r w:rsidRPr="00B05565">
        <w:t>zvláštní</w:t>
      </w:r>
      <w:r>
        <w:t xml:space="preserve"> </w:t>
      </w:r>
      <w:r w:rsidRPr="00B05565">
        <w:t>účet</w:t>
      </w:r>
      <w:r>
        <w:t xml:space="preserve"> </w:t>
      </w:r>
      <w:r w:rsidRPr="00B05565">
        <w:t>kraje</w:t>
      </w:r>
      <w:r>
        <w:t xml:space="preserve"> </w:t>
      </w:r>
      <w:r w:rsidRPr="00074E16">
        <w:rPr>
          <w:strike/>
        </w:rPr>
        <w:t>finanční</w:t>
      </w:r>
      <w:r>
        <w:t xml:space="preserve"> </w:t>
      </w:r>
      <w:r w:rsidR="00074E16">
        <w:rPr>
          <w:b/>
        </w:rPr>
        <w:t xml:space="preserve">peněžní </w:t>
      </w:r>
      <w:r w:rsidRPr="00B05565">
        <w:t>prostředky</w:t>
      </w:r>
      <w:r>
        <w:t xml:space="preserve"> </w:t>
      </w:r>
      <w:r w:rsidRPr="00B05565">
        <w:t>vyčleněné</w:t>
      </w:r>
      <w:r>
        <w:t xml:space="preserve"> </w:t>
      </w:r>
      <w:r w:rsidRPr="00B05565">
        <w:t>ze</w:t>
      </w:r>
      <w:r>
        <w:t xml:space="preserve"> </w:t>
      </w:r>
      <w:r w:rsidRPr="00B05565">
        <w:t>státního</w:t>
      </w:r>
      <w:r>
        <w:t xml:space="preserve"> </w:t>
      </w:r>
      <w:r w:rsidRPr="00B05565">
        <w:t>rozpočtu</w:t>
      </w:r>
      <w:r>
        <w:t xml:space="preserve"> </w:t>
      </w:r>
      <w:r w:rsidRPr="00B05565">
        <w:t>na</w:t>
      </w:r>
      <w:r>
        <w:t xml:space="preserve"> </w:t>
      </w:r>
      <w:r w:rsidRPr="00B05565">
        <w:t>činnost</w:t>
      </w:r>
      <w:r>
        <w:t xml:space="preserve"> </w:t>
      </w:r>
      <w:r w:rsidRPr="00B05565">
        <w:t>škol</w:t>
      </w:r>
      <w:r>
        <w:t xml:space="preserve"> </w:t>
      </w:r>
      <w:r w:rsidRPr="00B05565">
        <w:t>a</w:t>
      </w:r>
      <w:r>
        <w:t xml:space="preserve"> </w:t>
      </w:r>
      <w:r w:rsidRPr="00B05565">
        <w:t>školských</w:t>
      </w:r>
      <w:r>
        <w:t xml:space="preserve"> </w:t>
      </w:r>
      <w:r w:rsidRPr="00B05565">
        <w:t>zařízení</w:t>
      </w:r>
      <w:r>
        <w:t xml:space="preserve"> </w:t>
      </w:r>
      <w:r w:rsidRPr="00B05565">
        <w:t>zřizovaných</w:t>
      </w:r>
      <w:r>
        <w:t xml:space="preserve"> </w:t>
      </w:r>
      <w:r w:rsidRPr="00B05565">
        <w:t>krajem,</w:t>
      </w:r>
      <w:r>
        <w:t xml:space="preserve"> </w:t>
      </w:r>
      <w:r w:rsidRPr="00B05565">
        <w:t>obcí</w:t>
      </w:r>
      <w:r>
        <w:t xml:space="preserve"> </w:t>
      </w:r>
      <w:r w:rsidRPr="00B05565">
        <w:t>nebo</w:t>
      </w:r>
      <w:r>
        <w:t xml:space="preserve"> </w:t>
      </w:r>
      <w:r w:rsidRPr="00B05565">
        <w:t>svazkem</w:t>
      </w:r>
      <w:r>
        <w:t xml:space="preserve"> </w:t>
      </w:r>
      <w:r w:rsidRPr="00B05565">
        <w:t>obcí</w:t>
      </w:r>
      <w:r>
        <w:t xml:space="preserve"> </w:t>
      </w:r>
      <w:r w:rsidRPr="00B05565">
        <w:t>na</w:t>
      </w:r>
      <w:r>
        <w:t xml:space="preserve"> </w:t>
      </w:r>
      <w:r w:rsidRPr="00B05565">
        <w:t>výdaje</w:t>
      </w:r>
      <w:r>
        <w:t xml:space="preserve"> </w:t>
      </w:r>
      <w:r w:rsidRPr="00B05565">
        <w:t>uvedené</w:t>
      </w:r>
      <w:r>
        <w:t xml:space="preserve"> </w:t>
      </w:r>
      <w:r w:rsidRPr="00B05565">
        <w:t>v</w:t>
      </w:r>
      <w:r>
        <w:t xml:space="preserve"> </w:t>
      </w:r>
      <w:r w:rsidRPr="00B05565">
        <w:t>§</w:t>
      </w:r>
      <w:r>
        <w:t xml:space="preserve"> </w:t>
      </w:r>
      <w:r w:rsidRPr="00B05565">
        <w:t>160</w:t>
      </w:r>
      <w:r>
        <w:t xml:space="preserve"> </w:t>
      </w:r>
      <w:r w:rsidRPr="00B05565">
        <w:t>odst.</w:t>
      </w:r>
      <w:r>
        <w:t xml:space="preserve"> </w:t>
      </w:r>
      <w:r w:rsidRPr="00B05565">
        <w:t>1</w:t>
      </w:r>
      <w:r>
        <w:t xml:space="preserve"> </w:t>
      </w:r>
      <w:proofErr w:type="gramStart"/>
      <w:r w:rsidRPr="00B05565">
        <w:t>písm.</w:t>
      </w:r>
      <w:r>
        <w:t xml:space="preserve"> </w:t>
      </w:r>
      <w:r w:rsidRPr="00B05565">
        <w:t>c)</w:t>
      </w:r>
      <w:r>
        <w:t xml:space="preserve"> </w:t>
      </w:r>
      <w:r w:rsidRPr="00B05565">
        <w:t>a</w:t>
      </w:r>
      <w:r>
        <w:t xml:space="preserve"> </w:t>
      </w:r>
      <w:r w:rsidRPr="00B05565">
        <w:t>d)</w:t>
      </w:r>
      <w:r>
        <w:t xml:space="preserve"> </w:t>
      </w:r>
      <w:r w:rsidRPr="00B05565">
        <w:t>(dále</w:t>
      </w:r>
      <w:proofErr w:type="gramEnd"/>
      <w:r>
        <w:t xml:space="preserve"> </w:t>
      </w:r>
      <w:r w:rsidRPr="00B05565">
        <w:t>jen</w:t>
      </w:r>
      <w:r>
        <w:t xml:space="preserve"> </w:t>
      </w:r>
      <w:r w:rsidRPr="00B05565">
        <w:t>"přímé</w:t>
      </w:r>
      <w:r>
        <w:t xml:space="preserve"> </w:t>
      </w:r>
      <w:r w:rsidRPr="00B05565">
        <w:t>výdaje").</w:t>
      </w:r>
      <w:r>
        <w:t xml:space="preserve"> </w:t>
      </w:r>
      <w:r w:rsidRPr="00B05565">
        <w:t>Výše</w:t>
      </w:r>
      <w:r>
        <w:t xml:space="preserve"> </w:t>
      </w:r>
      <w:r w:rsidRPr="00B05565">
        <w:t>poskytnutých</w:t>
      </w:r>
      <w:r>
        <w:t xml:space="preserve"> </w:t>
      </w:r>
      <w:r w:rsidRPr="00074E16">
        <w:rPr>
          <w:strike/>
        </w:rPr>
        <w:t>finančních</w:t>
      </w:r>
      <w:r>
        <w:t xml:space="preserve"> </w:t>
      </w:r>
      <w:r w:rsidR="00074E16">
        <w:rPr>
          <w:b/>
        </w:rPr>
        <w:t xml:space="preserve">peněžních </w:t>
      </w:r>
      <w:r w:rsidRPr="00B05565">
        <w:t>prostředků</w:t>
      </w:r>
      <w:r>
        <w:t xml:space="preserve"> </w:t>
      </w:r>
      <w:r w:rsidRPr="00B05565">
        <w:t>podle</w:t>
      </w:r>
      <w:r>
        <w:t xml:space="preserve"> </w:t>
      </w:r>
      <w:r w:rsidRPr="00B05565">
        <w:t>věty</w:t>
      </w:r>
      <w:r>
        <w:t xml:space="preserve"> </w:t>
      </w:r>
      <w:r w:rsidRPr="00B05565">
        <w:t>první</w:t>
      </w:r>
      <w:r>
        <w:t xml:space="preserve"> </w:t>
      </w:r>
      <w:r w:rsidRPr="00B05565">
        <w:t>je</w:t>
      </w:r>
      <w:r>
        <w:t xml:space="preserve"> </w:t>
      </w:r>
      <w:r w:rsidRPr="00B05565">
        <w:t>tvořena</w:t>
      </w:r>
      <w:r>
        <w:t xml:space="preserve"> </w:t>
      </w:r>
      <w:r w:rsidRPr="00B05565">
        <w:t>součtem</w:t>
      </w:r>
    </w:p>
    <w:p w14:paraId="4580F294" w14:textId="22FB2066" w:rsidR="00B9271C" w:rsidRDefault="00B9271C" w:rsidP="00AB5ED2">
      <w:pPr>
        <w:pStyle w:val="Textparagrafu"/>
        <w:tabs>
          <w:tab w:val="left" w:pos="392"/>
          <w:tab w:val="left" w:pos="840"/>
        </w:tabs>
        <w:spacing w:before="0"/>
        <w:ind w:left="426" w:hanging="426"/>
      </w:pPr>
      <w:r w:rsidRPr="00B05565">
        <w:t>a)</w:t>
      </w:r>
      <w:r w:rsidR="00537DFC">
        <w:tab/>
      </w:r>
      <w:r w:rsidRPr="00B05565">
        <w:t>celkových</w:t>
      </w:r>
      <w:r>
        <w:t xml:space="preserve"> </w:t>
      </w:r>
      <w:r w:rsidRPr="00B05565">
        <w:t>objemů</w:t>
      </w:r>
      <w:r>
        <w:t xml:space="preserve"> </w:t>
      </w:r>
      <w:r w:rsidRPr="00074E16">
        <w:rPr>
          <w:strike/>
        </w:rPr>
        <w:t>finančních</w:t>
      </w:r>
      <w:r>
        <w:t xml:space="preserve"> </w:t>
      </w:r>
      <w:r w:rsidR="00074E16">
        <w:rPr>
          <w:b/>
        </w:rPr>
        <w:t xml:space="preserve">peněžních </w:t>
      </w:r>
      <w:r w:rsidRPr="00B05565">
        <w:t>prostředků</w:t>
      </w:r>
      <w:r>
        <w:t xml:space="preserve"> </w:t>
      </w:r>
      <w:r w:rsidRPr="00B05565">
        <w:t>stanovených</w:t>
      </w:r>
      <w:r>
        <w:t xml:space="preserve"> </w:t>
      </w:r>
      <w:r w:rsidRPr="00B05565">
        <w:t>na</w:t>
      </w:r>
      <w:r>
        <w:t xml:space="preserve"> </w:t>
      </w:r>
      <w:r w:rsidRPr="00B05565">
        <w:t>kalendářní</w:t>
      </w:r>
      <w:r>
        <w:t xml:space="preserve"> </w:t>
      </w:r>
      <w:r w:rsidRPr="00B05565">
        <w:t>rok</w:t>
      </w:r>
      <w:r>
        <w:t xml:space="preserve"> </w:t>
      </w:r>
      <w:r w:rsidRPr="00B05565">
        <w:t>pro</w:t>
      </w:r>
      <w:r>
        <w:t xml:space="preserve"> </w:t>
      </w:r>
      <w:r w:rsidRPr="00B05565">
        <w:t>jednotlivé</w:t>
      </w:r>
      <w:r>
        <w:t xml:space="preserve"> </w:t>
      </w:r>
      <w:r w:rsidRPr="00B05565">
        <w:t>právnické</w:t>
      </w:r>
      <w:r>
        <w:t xml:space="preserve"> </w:t>
      </w:r>
      <w:r w:rsidRPr="00B05565">
        <w:t>osoby</w:t>
      </w:r>
      <w:r>
        <w:t xml:space="preserve"> </w:t>
      </w:r>
      <w:r w:rsidRPr="00B05565">
        <w:t>podle</w:t>
      </w:r>
      <w:r>
        <w:t xml:space="preserve"> </w:t>
      </w:r>
      <w:r w:rsidRPr="00B05565">
        <w:t>§</w:t>
      </w:r>
      <w:r>
        <w:t xml:space="preserve"> </w:t>
      </w:r>
      <w:r w:rsidRPr="00B05565">
        <w:t>161</w:t>
      </w:r>
      <w:r>
        <w:t xml:space="preserve"> </w:t>
      </w:r>
      <w:r w:rsidRPr="00B05565">
        <w:t>odst.</w:t>
      </w:r>
      <w:r>
        <w:t xml:space="preserve"> </w:t>
      </w:r>
      <w:r w:rsidRPr="00B05565">
        <w:t>3</w:t>
      </w:r>
      <w:r>
        <w:t xml:space="preserve"> </w:t>
      </w:r>
      <w:r w:rsidRPr="00B05565">
        <w:t>a</w:t>
      </w:r>
      <w:r>
        <w:t xml:space="preserve"> </w:t>
      </w:r>
      <w:r w:rsidRPr="00B05565">
        <w:t>4,</w:t>
      </w:r>
    </w:p>
    <w:p w14:paraId="7EE6E7B6" w14:textId="4A39FA4D" w:rsidR="00B9271C" w:rsidRDefault="00B9271C" w:rsidP="00AB5ED2">
      <w:pPr>
        <w:pStyle w:val="Textparagrafu"/>
        <w:tabs>
          <w:tab w:val="left" w:pos="392"/>
          <w:tab w:val="left" w:pos="840"/>
        </w:tabs>
        <w:spacing w:before="0"/>
        <w:ind w:left="426" w:hanging="426"/>
      </w:pPr>
      <w:r w:rsidRPr="00B05565">
        <w:t>b)</w:t>
      </w:r>
      <w:r w:rsidR="00537DFC">
        <w:tab/>
      </w:r>
      <w:r w:rsidRPr="00B05565">
        <w:t>objemů</w:t>
      </w:r>
      <w:r>
        <w:t xml:space="preserve"> </w:t>
      </w:r>
      <w:r w:rsidRPr="00B05565">
        <w:t>přímých</w:t>
      </w:r>
      <w:r>
        <w:t xml:space="preserve"> </w:t>
      </w:r>
      <w:r w:rsidRPr="00B05565">
        <w:t>výdajů</w:t>
      </w:r>
      <w:r>
        <w:t xml:space="preserve"> </w:t>
      </w:r>
      <w:r w:rsidRPr="00B05565">
        <w:t>pro</w:t>
      </w:r>
      <w:r>
        <w:t xml:space="preserve"> </w:t>
      </w:r>
      <w:r w:rsidRPr="00B05565">
        <w:t>školská</w:t>
      </w:r>
      <w:r>
        <w:t xml:space="preserve"> </w:t>
      </w:r>
      <w:r w:rsidRPr="00B05565">
        <w:t>zařízení</w:t>
      </w:r>
      <w:r>
        <w:t xml:space="preserve"> </w:t>
      </w:r>
      <w:r w:rsidRPr="00B05565">
        <w:t>odpovídajících</w:t>
      </w:r>
      <w:r>
        <w:t xml:space="preserve"> </w:t>
      </w:r>
      <w:r w:rsidRPr="00B05565">
        <w:t>součinům</w:t>
      </w:r>
      <w:r>
        <w:t xml:space="preserve"> </w:t>
      </w:r>
      <w:r w:rsidRPr="00B05565">
        <w:t>republikových</w:t>
      </w:r>
      <w:r>
        <w:t xml:space="preserve"> </w:t>
      </w:r>
      <w:r w:rsidRPr="00B05565">
        <w:t>normativů</w:t>
      </w:r>
      <w:r>
        <w:t xml:space="preserve"> </w:t>
      </w:r>
      <w:r w:rsidRPr="00B05565">
        <w:t>podle</w:t>
      </w:r>
      <w:r>
        <w:t xml:space="preserve"> </w:t>
      </w:r>
      <w:r w:rsidRPr="00B05565">
        <w:t>§</w:t>
      </w:r>
      <w:r>
        <w:t xml:space="preserve"> </w:t>
      </w:r>
      <w:r w:rsidRPr="00B05565">
        <w:t>161a</w:t>
      </w:r>
      <w:r>
        <w:t xml:space="preserve"> </w:t>
      </w:r>
      <w:r w:rsidRPr="00B05565">
        <w:t>odst.</w:t>
      </w:r>
      <w:r>
        <w:t xml:space="preserve"> </w:t>
      </w:r>
      <w:r w:rsidRPr="00B05565">
        <w:t>1</w:t>
      </w:r>
      <w:r>
        <w:t xml:space="preserve"> </w:t>
      </w:r>
      <w:r w:rsidRPr="00B05565">
        <w:t>a</w:t>
      </w:r>
      <w:r>
        <w:t xml:space="preserve"> </w:t>
      </w:r>
      <w:r w:rsidRPr="00B05565">
        <w:t>§</w:t>
      </w:r>
      <w:r>
        <w:t xml:space="preserve"> </w:t>
      </w:r>
      <w:r w:rsidRPr="00B05565">
        <w:t>161b</w:t>
      </w:r>
      <w:r>
        <w:t xml:space="preserve"> </w:t>
      </w:r>
      <w:r w:rsidRPr="00B05565">
        <w:t>odst.</w:t>
      </w:r>
      <w:r>
        <w:t xml:space="preserve"> </w:t>
      </w:r>
      <w:r w:rsidRPr="00B05565">
        <w:t>1</w:t>
      </w:r>
      <w:r>
        <w:t xml:space="preserve"> </w:t>
      </w:r>
      <w:r w:rsidRPr="00B05565">
        <w:t>a</w:t>
      </w:r>
      <w:r>
        <w:t xml:space="preserve"> </w:t>
      </w:r>
      <w:r w:rsidRPr="00B05565">
        <w:t>počtu</w:t>
      </w:r>
      <w:r>
        <w:t xml:space="preserve"> </w:t>
      </w:r>
      <w:r w:rsidRPr="00B05565">
        <w:t>jednotek,</w:t>
      </w:r>
      <w:r>
        <w:t xml:space="preserve"> </w:t>
      </w:r>
      <w:r w:rsidRPr="00B05565">
        <w:t>na</w:t>
      </w:r>
      <w:r>
        <w:t xml:space="preserve"> </w:t>
      </w:r>
      <w:r w:rsidRPr="00B05565">
        <w:t>které</w:t>
      </w:r>
      <w:r>
        <w:t xml:space="preserve"> </w:t>
      </w:r>
      <w:r w:rsidRPr="00B05565">
        <w:t>tyto</w:t>
      </w:r>
      <w:r>
        <w:t xml:space="preserve"> </w:t>
      </w:r>
      <w:r w:rsidRPr="00B05565">
        <w:t>republikové</w:t>
      </w:r>
      <w:r>
        <w:t xml:space="preserve"> </w:t>
      </w:r>
      <w:r w:rsidRPr="00B05565">
        <w:t>normativy</w:t>
      </w:r>
      <w:r>
        <w:t xml:space="preserve"> </w:t>
      </w:r>
      <w:r w:rsidRPr="00B05565">
        <w:t>připadají,</w:t>
      </w:r>
      <w:r>
        <w:t xml:space="preserve"> </w:t>
      </w:r>
      <w:r w:rsidRPr="00B05565">
        <w:t>a</w:t>
      </w:r>
    </w:p>
    <w:p w14:paraId="7B542A0C" w14:textId="7E52471A" w:rsidR="00B9271C" w:rsidRDefault="00B9271C" w:rsidP="00AB5ED2">
      <w:pPr>
        <w:pStyle w:val="Textparagrafu"/>
        <w:tabs>
          <w:tab w:val="left" w:pos="392"/>
          <w:tab w:val="left" w:pos="840"/>
        </w:tabs>
        <w:spacing w:before="0"/>
        <w:ind w:left="426" w:hanging="426"/>
      </w:pPr>
      <w:r w:rsidRPr="00B05565">
        <w:t>c)</w:t>
      </w:r>
      <w:r w:rsidR="00537DFC">
        <w:tab/>
      </w:r>
      <w:r w:rsidRPr="00B05565">
        <w:t>rezervy</w:t>
      </w:r>
      <w:r>
        <w:t xml:space="preserve"> </w:t>
      </w:r>
      <w:r w:rsidRPr="00B05565">
        <w:t>k</w:t>
      </w:r>
      <w:r>
        <w:t xml:space="preserve"> </w:t>
      </w:r>
      <w:r w:rsidRPr="00B05565">
        <w:t>řešení</w:t>
      </w:r>
      <w:r>
        <w:t xml:space="preserve"> </w:t>
      </w:r>
      <w:r w:rsidRPr="00B05565">
        <w:t>nezbytných</w:t>
      </w:r>
      <w:r>
        <w:t xml:space="preserve"> </w:t>
      </w:r>
      <w:r w:rsidRPr="00B05565">
        <w:t>případů</w:t>
      </w:r>
      <w:r>
        <w:t xml:space="preserve"> </w:t>
      </w:r>
      <w:r w:rsidRPr="00B05565">
        <w:t>přímých</w:t>
      </w:r>
      <w:r>
        <w:t xml:space="preserve"> </w:t>
      </w:r>
      <w:r w:rsidRPr="00B05565">
        <w:t>výdajů</w:t>
      </w:r>
      <w:r>
        <w:t xml:space="preserve"> </w:t>
      </w:r>
      <w:r w:rsidRPr="00B05565">
        <w:t>nezajištěných</w:t>
      </w:r>
      <w:r>
        <w:t xml:space="preserve"> </w:t>
      </w:r>
      <w:r w:rsidRPr="00B05565">
        <w:t>rozpisem</w:t>
      </w:r>
      <w:r>
        <w:t xml:space="preserve"> </w:t>
      </w:r>
      <w:r w:rsidRPr="00B05565">
        <w:t>podle</w:t>
      </w:r>
      <w:r>
        <w:t xml:space="preserve"> </w:t>
      </w:r>
      <w:r w:rsidRPr="00B05565">
        <w:t>§</w:t>
      </w:r>
      <w:r>
        <w:t xml:space="preserve"> </w:t>
      </w:r>
      <w:r w:rsidRPr="00B05565">
        <w:t>161</w:t>
      </w:r>
      <w:r>
        <w:t xml:space="preserve"> </w:t>
      </w:r>
      <w:r w:rsidRPr="00B05565">
        <w:t>odst.</w:t>
      </w:r>
      <w:r>
        <w:t xml:space="preserve"> </w:t>
      </w:r>
      <w:r w:rsidRPr="00B05565">
        <w:t>5,</w:t>
      </w:r>
      <w:r>
        <w:t xml:space="preserve"> </w:t>
      </w:r>
      <w:r w:rsidRPr="00B05565">
        <w:t>§</w:t>
      </w:r>
      <w:r>
        <w:t xml:space="preserve"> </w:t>
      </w:r>
      <w:r w:rsidRPr="00B05565">
        <w:t>161a</w:t>
      </w:r>
      <w:r>
        <w:t xml:space="preserve"> </w:t>
      </w:r>
      <w:r w:rsidRPr="00B05565">
        <w:t>odst.</w:t>
      </w:r>
      <w:r>
        <w:t xml:space="preserve"> </w:t>
      </w:r>
      <w:r w:rsidRPr="00B05565">
        <w:t>2</w:t>
      </w:r>
      <w:r>
        <w:t xml:space="preserve"> </w:t>
      </w:r>
      <w:r w:rsidRPr="00B05565">
        <w:t>a</w:t>
      </w:r>
      <w:r>
        <w:t xml:space="preserve"> </w:t>
      </w:r>
      <w:r w:rsidRPr="00B05565">
        <w:t>§</w:t>
      </w:r>
      <w:r>
        <w:t xml:space="preserve"> </w:t>
      </w:r>
      <w:r w:rsidRPr="00B05565">
        <w:t>161b</w:t>
      </w:r>
      <w:r>
        <w:t xml:space="preserve"> </w:t>
      </w:r>
      <w:r w:rsidRPr="00B05565">
        <w:t>odst.</w:t>
      </w:r>
      <w:r>
        <w:t xml:space="preserve"> </w:t>
      </w:r>
      <w:r w:rsidRPr="00B05565">
        <w:t>2;</w:t>
      </w:r>
      <w:r>
        <w:t xml:space="preserve"> </w:t>
      </w:r>
      <w:r w:rsidRPr="00B05565">
        <w:t>způsob,</w:t>
      </w:r>
      <w:r>
        <w:t xml:space="preserve"> </w:t>
      </w:r>
      <w:r w:rsidRPr="00B05565">
        <w:t>podmínky</w:t>
      </w:r>
      <w:r>
        <w:t xml:space="preserve"> </w:t>
      </w:r>
      <w:r w:rsidRPr="00B05565">
        <w:t>a</w:t>
      </w:r>
      <w:r>
        <w:t xml:space="preserve"> </w:t>
      </w:r>
      <w:r w:rsidRPr="00B05565">
        <w:t>pravidla</w:t>
      </w:r>
      <w:r>
        <w:t xml:space="preserve"> </w:t>
      </w:r>
      <w:r w:rsidRPr="00B05565">
        <w:t>použití</w:t>
      </w:r>
      <w:r>
        <w:t xml:space="preserve"> </w:t>
      </w:r>
      <w:r w:rsidRPr="00B05565">
        <w:t>rezervy</w:t>
      </w:r>
      <w:r>
        <w:t xml:space="preserve"> </w:t>
      </w:r>
      <w:r w:rsidRPr="00B05565">
        <w:t>krajským</w:t>
      </w:r>
      <w:r>
        <w:t xml:space="preserve"> </w:t>
      </w:r>
      <w:r w:rsidRPr="00B05565">
        <w:t>úřadem</w:t>
      </w:r>
      <w:r>
        <w:t xml:space="preserve"> </w:t>
      </w:r>
      <w:r w:rsidRPr="00B05565">
        <w:t>stanoví</w:t>
      </w:r>
      <w:r>
        <w:t xml:space="preserve"> </w:t>
      </w:r>
      <w:r w:rsidRPr="00B05565">
        <w:t>ministerstvo</w:t>
      </w:r>
      <w:r>
        <w:t xml:space="preserve"> </w:t>
      </w:r>
      <w:r w:rsidRPr="00B05565">
        <w:t>směrnicí</w:t>
      </w:r>
      <w:r>
        <w:t xml:space="preserve"> </w:t>
      </w:r>
      <w:r w:rsidRPr="00B05565">
        <w:t>podle</w:t>
      </w:r>
      <w:r>
        <w:t xml:space="preserve"> </w:t>
      </w:r>
      <w:r w:rsidRPr="00B05565">
        <w:t>§</w:t>
      </w:r>
      <w:r>
        <w:t xml:space="preserve"> </w:t>
      </w:r>
      <w:r w:rsidRPr="00B05565">
        <w:t>170</w:t>
      </w:r>
      <w:r>
        <w:t xml:space="preserve"> </w:t>
      </w:r>
      <w:r w:rsidRPr="00B05565">
        <w:t>písm.</w:t>
      </w:r>
      <w:r>
        <w:t xml:space="preserve"> </w:t>
      </w:r>
      <w:r w:rsidRPr="00B05565">
        <w:t>b).</w:t>
      </w:r>
    </w:p>
    <w:p w14:paraId="66DE1527" w14:textId="4EDCDB86" w:rsidR="00B9271C" w:rsidRDefault="00B9271C" w:rsidP="00A84DD3">
      <w:pPr>
        <w:pStyle w:val="Textparagrafu"/>
        <w:tabs>
          <w:tab w:val="left" w:pos="392"/>
          <w:tab w:val="left" w:pos="840"/>
        </w:tabs>
        <w:spacing w:before="120" w:after="120"/>
      </w:pPr>
      <w:r w:rsidRPr="00B05565">
        <w:t>(4)</w:t>
      </w:r>
      <w:r>
        <w:t xml:space="preserve"> </w:t>
      </w:r>
      <w:r w:rsidRPr="00B05565">
        <w:t>Ministerstvo</w:t>
      </w:r>
      <w:r>
        <w:t xml:space="preserve"> </w:t>
      </w:r>
      <w:r w:rsidRPr="00B05565">
        <w:t>vyhlásí</w:t>
      </w:r>
      <w:r>
        <w:t xml:space="preserve"> </w:t>
      </w:r>
      <w:r w:rsidRPr="00B05565">
        <w:t>normativy</w:t>
      </w:r>
      <w:r>
        <w:t xml:space="preserve"> </w:t>
      </w:r>
      <w:r w:rsidRPr="00B05565">
        <w:t>a</w:t>
      </w:r>
      <w:r>
        <w:t xml:space="preserve"> </w:t>
      </w:r>
      <w:r w:rsidRPr="00B05565">
        <w:t>opravné</w:t>
      </w:r>
      <w:r>
        <w:t xml:space="preserve"> </w:t>
      </w:r>
      <w:r w:rsidRPr="00B05565">
        <w:t>koeficienty</w:t>
      </w:r>
      <w:r>
        <w:t xml:space="preserve"> </w:t>
      </w:r>
      <w:r w:rsidRPr="00B05565">
        <w:t>podle</w:t>
      </w:r>
      <w:r>
        <w:t xml:space="preserve"> </w:t>
      </w:r>
      <w:r w:rsidRPr="00B05565">
        <w:t>odstavce</w:t>
      </w:r>
      <w:r>
        <w:t xml:space="preserve"> </w:t>
      </w:r>
      <w:r w:rsidRPr="00B05565">
        <w:t>1</w:t>
      </w:r>
      <w:r>
        <w:t xml:space="preserve"> </w:t>
      </w:r>
      <w:r w:rsidRPr="00B05565">
        <w:t>písm.</w:t>
      </w:r>
      <w:r>
        <w:t xml:space="preserve"> </w:t>
      </w:r>
      <w:r w:rsidRPr="00B05565">
        <w:t>b)</w:t>
      </w:r>
      <w:r>
        <w:t xml:space="preserve"> </w:t>
      </w:r>
      <w:r w:rsidRPr="00B05565">
        <w:t>a</w:t>
      </w:r>
      <w:r>
        <w:t xml:space="preserve"> </w:t>
      </w:r>
      <w:r w:rsidRPr="00B05565">
        <w:t>§</w:t>
      </w:r>
      <w:r>
        <w:t xml:space="preserve"> </w:t>
      </w:r>
      <w:r w:rsidRPr="00B05565">
        <w:t>161</w:t>
      </w:r>
      <w:r>
        <w:t xml:space="preserve"> </w:t>
      </w:r>
      <w:r w:rsidRPr="00B05565">
        <w:t>odst.</w:t>
      </w:r>
      <w:r>
        <w:t xml:space="preserve"> </w:t>
      </w:r>
      <w:r w:rsidRPr="00B05565">
        <w:t>1</w:t>
      </w:r>
      <w:r>
        <w:t xml:space="preserve"> </w:t>
      </w:r>
      <w:r w:rsidRPr="00B05565">
        <w:t>tak,</w:t>
      </w:r>
      <w:r>
        <w:t xml:space="preserve"> </w:t>
      </w:r>
      <w:r w:rsidRPr="00B05565">
        <w:t>aby</w:t>
      </w:r>
      <w:r>
        <w:t xml:space="preserve"> </w:t>
      </w:r>
      <w:r w:rsidRPr="00B05565">
        <w:t>celková</w:t>
      </w:r>
      <w:r>
        <w:t xml:space="preserve"> </w:t>
      </w:r>
      <w:r w:rsidRPr="00B05565">
        <w:t>výše</w:t>
      </w:r>
      <w:r>
        <w:t xml:space="preserve"> </w:t>
      </w:r>
      <w:r w:rsidRPr="00074E16">
        <w:rPr>
          <w:strike/>
        </w:rPr>
        <w:t>finančních</w:t>
      </w:r>
      <w:r>
        <w:t xml:space="preserve"> </w:t>
      </w:r>
      <w:r w:rsidR="00074E16">
        <w:rPr>
          <w:b/>
        </w:rPr>
        <w:t xml:space="preserve">peněžních </w:t>
      </w:r>
      <w:r w:rsidRPr="00B05565">
        <w:t>prostředků</w:t>
      </w:r>
      <w:r>
        <w:t xml:space="preserve"> </w:t>
      </w:r>
      <w:r w:rsidRPr="00B05565">
        <w:t>určených</w:t>
      </w:r>
      <w:r>
        <w:t xml:space="preserve"> </w:t>
      </w:r>
      <w:r w:rsidRPr="00B05565">
        <w:t>na</w:t>
      </w:r>
      <w:r>
        <w:t xml:space="preserve"> </w:t>
      </w:r>
      <w:r w:rsidRPr="00B05565">
        <w:t>platy</w:t>
      </w:r>
      <w:r>
        <w:t xml:space="preserve"> </w:t>
      </w:r>
      <w:r w:rsidRPr="00B05565">
        <w:t>učitelů</w:t>
      </w:r>
      <w:r>
        <w:t xml:space="preserve"> </w:t>
      </w:r>
      <w:r w:rsidRPr="00B05565">
        <w:t>rozepisovaných</w:t>
      </w:r>
      <w:r>
        <w:t xml:space="preserve"> </w:t>
      </w:r>
      <w:r w:rsidRPr="00B05565">
        <w:t>podle</w:t>
      </w:r>
      <w:r>
        <w:t xml:space="preserve"> </w:t>
      </w:r>
      <w:r w:rsidRPr="00B05565">
        <w:t>odstavce</w:t>
      </w:r>
      <w:r>
        <w:t xml:space="preserve"> </w:t>
      </w:r>
      <w:r w:rsidRPr="00B05565">
        <w:t>3</w:t>
      </w:r>
      <w:r>
        <w:t xml:space="preserve"> </w:t>
      </w:r>
      <w:r w:rsidRPr="00B05565">
        <w:t>odpovídala</w:t>
      </w:r>
      <w:r>
        <w:t xml:space="preserve"> </w:t>
      </w:r>
      <w:r w:rsidRPr="00B05565">
        <w:t>v</w:t>
      </w:r>
      <w:r>
        <w:t xml:space="preserve"> </w:t>
      </w:r>
      <w:r w:rsidRPr="00B05565">
        <w:t>měsíčním</w:t>
      </w:r>
      <w:r>
        <w:t xml:space="preserve"> </w:t>
      </w:r>
      <w:r w:rsidRPr="00B05565">
        <w:t>průměru</w:t>
      </w:r>
      <w:r>
        <w:t xml:space="preserve"> </w:t>
      </w:r>
      <w:r w:rsidRPr="00B05565">
        <w:t>na</w:t>
      </w:r>
      <w:r>
        <w:t xml:space="preserve"> </w:t>
      </w:r>
      <w:r w:rsidRPr="00B05565">
        <w:t>1</w:t>
      </w:r>
      <w:r>
        <w:t xml:space="preserve"> </w:t>
      </w:r>
      <w:r w:rsidRPr="00B05565">
        <w:t>úvazek</w:t>
      </w:r>
      <w:r>
        <w:t xml:space="preserve"> </w:t>
      </w:r>
      <w:r w:rsidRPr="00B05565">
        <w:t>učitele</w:t>
      </w:r>
      <w:r>
        <w:t xml:space="preserve"> </w:t>
      </w:r>
      <w:r w:rsidRPr="00B05565">
        <w:t>nejméně</w:t>
      </w:r>
      <w:r>
        <w:t xml:space="preserve"> </w:t>
      </w:r>
      <w:r w:rsidRPr="00B05565">
        <w:t>130</w:t>
      </w:r>
      <w:r>
        <w:t xml:space="preserve"> </w:t>
      </w:r>
      <w:r w:rsidRPr="00B05565">
        <w:t>%</w:t>
      </w:r>
      <w:r>
        <w:t xml:space="preserve"> </w:t>
      </w:r>
      <w:r w:rsidRPr="00B05565">
        <w:t>průměrné</w:t>
      </w:r>
      <w:r>
        <w:t xml:space="preserve"> </w:t>
      </w:r>
      <w:r w:rsidRPr="00B05565">
        <w:t>hrubé</w:t>
      </w:r>
      <w:r>
        <w:t xml:space="preserve"> </w:t>
      </w:r>
      <w:r w:rsidRPr="00B05565">
        <w:t>měsíční</w:t>
      </w:r>
      <w:r>
        <w:t xml:space="preserve"> </w:t>
      </w:r>
      <w:r w:rsidRPr="00B05565">
        <w:t>nominální</w:t>
      </w:r>
      <w:r>
        <w:t xml:space="preserve"> </w:t>
      </w:r>
      <w:r w:rsidRPr="00B05565">
        <w:t>mzdy</w:t>
      </w:r>
      <w:r>
        <w:t xml:space="preserve"> </w:t>
      </w:r>
      <w:r w:rsidRPr="00B05565">
        <w:t>na</w:t>
      </w:r>
      <w:r>
        <w:t xml:space="preserve"> </w:t>
      </w:r>
      <w:r w:rsidRPr="00B05565">
        <w:t>přepočtené</w:t>
      </w:r>
      <w:r>
        <w:t xml:space="preserve"> </w:t>
      </w:r>
      <w:r w:rsidRPr="00B05565">
        <w:t>počty</w:t>
      </w:r>
      <w:r>
        <w:t xml:space="preserve"> </w:t>
      </w:r>
      <w:r w:rsidRPr="00B05565">
        <w:t>zaměstnanců</w:t>
      </w:r>
      <w:r>
        <w:t xml:space="preserve"> </w:t>
      </w:r>
      <w:r w:rsidRPr="00B05565">
        <w:t>v</w:t>
      </w:r>
      <w:r>
        <w:t xml:space="preserve"> </w:t>
      </w:r>
      <w:r w:rsidRPr="00B05565">
        <w:t>národním</w:t>
      </w:r>
      <w:r>
        <w:t xml:space="preserve"> </w:t>
      </w:r>
      <w:r w:rsidRPr="00B05565">
        <w:t>hospodářství.</w:t>
      </w:r>
    </w:p>
    <w:p w14:paraId="70DE70AD" w14:textId="77777777" w:rsidR="00B9271C" w:rsidRDefault="00B9271C" w:rsidP="00A84DD3">
      <w:pPr>
        <w:pStyle w:val="Textparagrafu"/>
        <w:tabs>
          <w:tab w:val="left" w:pos="392"/>
          <w:tab w:val="left" w:pos="840"/>
        </w:tabs>
        <w:spacing w:before="120" w:after="120"/>
      </w:pPr>
      <w:r w:rsidRPr="00B05565">
        <w:t>(5)</w:t>
      </w:r>
      <w:r>
        <w:t xml:space="preserve"> </w:t>
      </w:r>
      <w:r w:rsidRPr="00B05565">
        <w:t>Ministerstvo</w:t>
      </w:r>
      <w:r>
        <w:t xml:space="preserve"> </w:t>
      </w:r>
      <w:r w:rsidRPr="00B05565">
        <w:t>sdružuje</w:t>
      </w:r>
      <w:r>
        <w:t xml:space="preserve"> </w:t>
      </w:r>
      <w:r w:rsidRPr="00B05565">
        <w:t>pro</w:t>
      </w:r>
      <w:r>
        <w:t xml:space="preserve"> </w:t>
      </w:r>
      <w:r w:rsidRPr="00B05565">
        <w:t>účely</w:t>
      </w:r>
      <w:r>
        <w:t xml:space="preserve"> </w:t>
      </w:r>
      <w:r w:rsidRPr="00B05565">
        <w:t>financování</w:t>
      </w:r>
      <w:r>
        <w:t xml:space="preserve"> </w:t>
      </w:r>
      <w:r w:rsidRPr="00B05565">
        <w:t>škol</w:t>
      </w:r>
      <w:r>
        <w:t xml:space="preserve"> </w:t>
      </w:r>
      <w:r w:rsidRPr="00B05565">
        <w:t>a</w:t>
      </w:r>
      <w:r>
        <w:t xml:space="preserve"> </w:t>
      </w:r>
      <w:r w:rsidRPr="00B05565">
        <w:t>školských</w:t>
      </w:r>
      <w:r>
        <w:t xml:space="preserve"> </w:t>
      </w:r>
      <w:r w:rsidRPr="00B05565">
        <w:t>zařízení</w:t>
      </w:r>
      <w:r>
        <w:t xml:space="preserve"> </w:t>
      </w:r>
      <w:r w:rsidRPr="00B05565">
        <w:t>zřizovaných</w:t>
      </w:r>
      <w:r>
        <w:t xml:space="preserve"> </w:t>
      </w:r>
      <w:r w:rsidRPr="00B05565">
        <w:t>krajem,</w:t>
      </w:r>
      <w:r>
        <w:t xml:space="preserve"> </w:t>
      </w:r>
      <w:r w:rsidRPr="00B05565">
        <w:t>obcí</w:t>
      </w:r>
      <w:r>
        <w:t xml:space="preserve"> </w:t>
      </w:r>
      <w:r w:rsidRPr="00B05565">
        <w:t>nebo</w:t>
      </w:r>
      <w:r>
        <w:t xml:space="preserve"> </w:t>
      </w:r>
      <w:r w:rsidRPr="00B05565">
        <w:t>svazkem</w:t>
      </w:r>
      <w:r>
        <w:t xml:space="preserve"> </w:t>
      </w:r>
      <w:r w:rsidRPr="00B05565">
        <w:t>obcí</w:t>
      </w:r>
      <w:r>
        <w:t xml:space="preserve"> </w:t>
      </w:r>
      <w:r w:rsidRPr="00B05565">
        <w:t>údaje</w:t>
      </w:r>
      <w:r>
        <w:t xml:space="preserve"> </w:t>
      </w:r>
      <w:r w:rsidRPr="00B05565">
        <w:t>podle</w:t>
      </w:r>
      <w:r>
        <w:t xml:space="preserve"> </w:t>
      </w:r>
      <w:r w:rsidRPr="00B05565">
        <w:t>odstavce</w:t>
      </w:r>
      <w:r>
        <w:t xml:space="preserve"> </w:t>
      </w:r>
      <w:r w:rsidRPr="00B05565">
        <w:t>2</w:t>
      </w:r>
      <w:r>
        <w:t xml:space="preserve"> </w:t>
      </w:r>
      <w:r w:rsidRPr="00B05565">
        <w:t>písm.</w:t>
      </w:r>
      <w:r>
        <w:t xml:space="preserve"> </w:t>
      </w:r>
      <w:r w:rsidRPr="00B05565">
        <w:t>a).</w:t>
      </w:r>
    </w:p>
    <w:p w14:paraId="20959230" w14:textId="77777777" w:rsidR="00B9271C" w:rsidRDefault="00B9271C" w:rsidP="00A84DD3">
      <w:pPr>
        <w:pStyle w:val="Textparagrafu"/>
        <w:tabs>
          <w:tab w:val="left" w:pos="392"/>
          <w:tab w:val="left" w:pos="840"/>
        </w:tabs>
        <w:spacing w:before="120" w:after="120"/>
      </w:pPr>
      <w:r w:rsidRPr="00B05565">
        <w:t>(6)</w:t>
      </w:r>
      <w:r>
        <w:t xml:space="preserve"> </w:t>
      </w:r>
      <w:r w:rsidRPr="00B05565">
        <w:t>Krajský</w:t>
      </w:r>
      <w:r>
        <w:t xml:space="preserve"> </w:t>
      </w:r>
      <w:r w:rsidRPr="00B05565">
        <w:t>úřad</w:t>
      </w:r>
      <w:r>
        <w:t xml:space="preserve"> </w:t>
      </w:r>
      <w:r w:rsidRPr="00B05565">
        <w:t>stanoví</w:t>
      </w:r>
      <w:r>
        <w:t xml:space="preserve"> </w:t>
      </w:r>
      <w:r w:rsidRPr="00B05565">
        <w:t>krajské</w:t>
      </w:r>
      <w:r>
        <w:t xml:space="preserve"> </w:t>
      </w:r>
      <w:r w:rsidRPr="00B05565">
        <w:t>normativy</w:t>
      </w:r>
      <w:r>
        <w:t xml:space="preserve"> </w:t>
      </w:r>
      <w:r w:rsidRPr="00B05565">
        <w:t>jako</w:t>
      </w:r>
      <w:r>
        <w:t xml:space="preserve"> </w:t>
      </w:r>
      <w:r w:rsidRPr="00B05565">
        <w:t>výši</w:t>
      </w:r>
      <w:r>
        <w:t xml:space="preserve"> </w:t>
      </w:r>
      <w:r w:rsidRPr="00B05565">
        <w:t>přímých</w:t>
      </w:r>
      <w:r>
        <w:t xml:space="preserve"> </w:t>
      </w:r>
      <w:r w:rsidRPr="00B05565">
        <w:t>výdajů</w:t>
      </w:r>
      <w:r>
        <w:t xml:space="preserve"> </w:t>
      </w:r>
      <w:r w:rsidRPr="00B05565">
        <w:t>připadajících</w:t>
      </w:r>
      <w:r>
        <w:t xml:space="preserve"> </w:t>
      </w:r>
      <w:r w:rsidRPr="00B05565">
        <w:t>na</w:t>
      </w:r>
      <w:r>
        <w:t xml:space="preserve"> </w:t>
      </w:r>
      <w:r w:rsidRPr="00B05565">
        <w:t>jednotku</w:t>
      </w:r>
      <w:r>
        <w:t xml:space="preserve"> </w:t>
      </w:r>
      <w:r w:rsidRPr="00B05565">
        <w:t>výkonu</w:t>
      </w:r>
      <w:r>
        <w:t xml:space="preserve"> </w:t>
      </w:r>
      <w:r w:rsidRPr="00B05565">
        <w:t>na</w:t>
      </w:r>
      <w:r>
        <w:t xml:space="preserve"> </w:t>
      </w:r>
      <w:r w:rsidRPr="00B05565">
        <w:t>kalendářní</w:t>
      </w:r>
      <w:r>
        <w:t xml:space="preserve"> </w:t>
      </w:r>
      <w:r w:rsidRPr="00B05565">
        <w:t>rok</w:t>
      </w:r>
      <w:r>
        <w:t xml:space="preserve"> </w:t>
      </w:r>
      <w:r w:rsidRPr="00B05565">
        <w:t>za</w:t>
      </w:r>
      <w:r>
        <w:t xml:space="preserve"> </w:t>
      </w:r>
      <w:r w:rsidRPr="00B05565">
        <w:t>podmínek</w:t>
      </w:r>
      <w:r>
        <w:t xml:space="preserve"> </w:t>
      </w:r>
      <w:r w:rsidRPr="00B05565">
        <w:t>stanovených</w:t>
      </w:r>
      <w:r>
        <w:t xml:space="preserve"> </w:t>
      </w:r>
      <w:r w:rsidRPr="00B05565">
        <w:t>prováděcím</w:t>
      </w:r>
      <w:r>
        <w:t xml:space="preserve"> </w:t>
      </w:r>
      <w:r w:rsidRPr="00B05565">
        <w:t>právním</w:t>
      </w:r>
      <w:r>
        <w:t xml:space="preserve"> </w:t>
      </w:r>
      <w:r w:rsidRPr="00B05565">
        <w:t>předpisem</w:t>
      </w:r>
      <w:r>
        <w:t xml:space="preserve"> </w:t>
      </w:r>
      <w:r w:rsidRPr="00B05565">
        <w:t>a</w:t>
      </w:r>
      <w:r>
        <w:t xml:space="preserve"> </w:t>
      </w:r>
      <w:r w:rsidRPr="00B05565">
        <w:t>zveřejní</w:t>
      </w:r>
      <w:r>
        <w:t xml:space="preserve"> </w:t>
      </w:r>
      <w:r w:rsidRPr="00B05565">
        <w:t>je</w:t>
      </w:r>
      <w:r>
        <w:t xml:space="preserve"> </w:t>
      </w:r>
      <w:r w:rsidRPr="00B05565">
        <w:t>způsobem</w:t>
      </w:r>
      <w:r>
        <w:t xml:space="preserve"> </w:t>
      </w:r>
      <w:r w:rsidRPr="00B05565">
        <w:t>umožňujícím</w:t>
      </w:r>
      <w:r>
        <w:t xml:space="preserve"> </w:t>
      </w:r>
      <w:r w:rsidRPr="00B05565">
        <w:t>dálkový</w:t>
      </w:r>
      <w:r>
        <w:t xml:space="preserve"> </w:t>
      </w:r>
      <w:r w:rsidRPr="00B05565">
        <w:t>přístup.</w:t>
      </w:r>
    </w:p>
    <w:p w14:paraId="2516004C" w14:textId="2E2D28E5" w:rsidR="00B9271C" w:rsidRDefault="00B9271C" w:rsidP="00A84DD3">
      <w:pPr>
        <w:pStyle w:val="Textparagrafu"/>
        <w:tabs>
          <w:tab w:val="left" w:pos="392"/>
          <w:tab w:val="left" w:pos="840"/>
        </w:tabs>
        <w:spacing w:before="120" w:after="120"/>
      </w:pPr>
      <w:r w:rsidRPr="00B05565">
        <w:t>(7)</w:t>
      </w:r>
      <w:r>
        <w:t xml:space="preserve"> </w:t>
      </w:r>
      <w:r w:rsidRPr="00B05565">
        <w:t>Krajský</w:t>
      </w:r>
      <w:r>
        <w:t xml:space="preserve"> </w:t>
      </w:r>
      <w:r w:rsidRPr="00B05565">
        <w:t>úřad</w:t>
      </w:r>
      <w:r>
        <w:t xml:space="preserve"> </w:t>
      </w:r>
      <w:r w:rsidRPr="00B05565">
        <w:t>v</w:t>
      </w:r>
      <w:r>
        <w:t xml:space="preserve"> </w:t>
      </w:r>
      <w:r w:rsidRPr="00B05565">
        <w:t>souladu</w:t>
      </w:r>
      <w:r>
        <w:t xml:space="preserve"> </w:t>
      </w:r>
      <w:r w:rsidRPr="00B05565">
        <w:t>se</w:t>
      </w:r>
      <w:r>
        <w:t xml:space="preserve"> </w:t>
      </w:r>
      <w:r w:rsidRPr="00B05565">
        <w:t>zásadami</w:t>
      </w:r>
      <w:r>
        <w:t xml:space="preserve"> </w:t>
      </w:r>
      <w:r w:rsidRPr="00B05565">
        <w:t>stanovenými</w:t>
      </w:r>
      <w:r>
        <w:t xml:space="preserve"> </w:t>
      </w:r>
      <w:r w:rsidRPr="00B05565">
        <w:t>ministerstvem</w:t>
      </w:r>
      <w:r>
        <w:t xml:space="preserve"> </w:t>
      </w:r>
      <w:r w:rsidRPr="00B05565">
        <w:t>podle</w:t>
      </w:r>
      <w:r>
        <w:t xml:space="preserve"> </w:t>
      </w:r>
      <w:r w:rsidRPr="00B05565">
        <w:t>§</w:t>
      </w:r>
      <w:r>
        <w:t xml:space="preserve"> </w:t>
      </w:r>
      <w:r w:rsidRPr="00B05565">
        <w:t>170</w:t>
      </w:r>
      <w:r>
        <w:t xml:space="preserve"> </w:t>
      </w:r>
      <w:r w:rsidRPr="00B05565">
        <w:t>písm.</w:t>
      </w:r>
      <w:r>
        <w:t xml:space="preserve"> </w:t>
      </w:r>
      <w:r w:rsidRPr="00B05565">
        <w:t>b)</w:t>
      </w:r>
      <w:r>
        <w:t xml:space="preserve"> </w:t>
      </w:r>
      <w:r w:rsidRPr="00B05565">
        <w:t>rozepisuje</w:t>
      </w:r>
      <w:r>
        <w:t xml:space="preserve"> </w:t>
      </w:r>
      <w:r w:rsidRPr="00B05565">
        <w:t>a</w:t>
      </w:r>
      <w:r>
        <w:t xml:space="preserve"> </w:t>
      </w:r>
      <w:r w:rsidRPr="00B05565">
        <w:t>poskytuje</w:t>
      </w:r>
      <w:r>
        <w:t xml:space="preserve"> </w:t>
      </w:r>
      <w:r w:rsidRPr="00B05565">
        <w:t>právnickým</w:t>
      </w:r>
      <w:r>
        <w:t xml:space="preserve"> </w:t>
      </w:r>
      <w:r w:rsidRPr="00B05565">
        <w:t>osobám</w:t>
      </w:r>
      <w:r>
        <w:t xml:space="preserve"> </w:t>
      </w:r>
      <w:r w:rsidRPr="00B05565">
        <w:t>zřizovaným</w:t>
      </w:r>
      <w:r>
        <w:t xml:space="preserve"> </w:t>
      </w:r>
      <w:r w:rsidRPr="00B05565">
        <w:t>krajem,</w:t>
      </w:r>
      <w:r>
        <w:t xml:space="preserve"> </w:t>
      </w:r>
      <w:r w:rsidRPr="00B05565">
        <w:t>obcí</w:t>
      </w:r>
      <w:r>
        <w:t xml:space="preserve"> </w:t>
      </w:r>
      <w:r w:rsidRPr="00B05565">
        <w:t>nebo</w:t>
      </w:r>
      <w:r>
        <w:t xml:space="preserve"> </w:t>
      </w:r>
      <w:r w:rsidRPr="00B05565">
        <w:t>svazkem</w:t>
      </w:r>
      <w:r>
        <w:t xml:space="preserve"> </w:t>
      </w:r>
      <w:r w:rsidRPr="00B05565">
        <w:t>obcí</w:t>
      </w:r>
      <w:r>
        <w:t xml:space="preserve"> </w:t>
      </w:r>
      <w:r w:rsidRPr="00B05565">
        <w:t>vykonávajícím</w:t>
      </w:r>
      <w:r>
        <w:t xml:space="preserve"> </w:t>
      </w:r>
      <w:r w:rsidRPr="00B05565">
        <w:t>činnost</w:t>
      </w:r>
      <w:r>
        <w:t xml:space="preserve"> </w:t>
      </w:r>
      <w:r w:rsidRPr="00B05565">
        <w:t>školy</w:t>
      </w:r>
      <w:r>
        <w:t xml:space="preserve"> </w:t>
      </w:r>
      <w:r w:rsidRPr="00B05565">
        <w:t>nebo</w:t>
      </w:r>
      <w:r>
        <w:t xml:space="preserve"> </w:t>
      </w:r>
      <w:r w:rsidRPr="00B05565">
        <w:t>školského</w:t>
      </w:r>
      <w:r>
        <w:t xml:space="preserve"> </w:t>
      </w:r>
      <w:r w:rsidRPr="00B05565">
        <w:t>zařízení</w:t>
      </w:r>
      <w:r>
        <w:t xml:space="preserve"> </w:t>
      </w:r>
      <w:r w:rsidRPr="00C16AF5">
        <w:rPr>
          <w:strike/>
        </w:rPr>
        <w:t>finanční</w:t>
      </w:r>
      <w:r>
        <w:t xml:space="preserve"> </w:t>
      </w:r>
      <w:r w:rsidR="00C16AF5">
        <w:rPr>
          <w:b/>
        </w:rPr>
        <w:t xml:space="preserve">peněžní </w:t>
      </w:r>
      <w:r w:rsidRPr="00B05565">
        <w:t>prostředky</w:t>
      </w:r>
      <w:r>
        <w:t xml:space="preserve"> </w:t>
      </w:r>
      <w:r w:rsidRPr="00B05565">
        <w:t>z</w:t>
      </w:r>
      <w:r>
        <w:t xml:space="preserve"> </w:t>
      </w:r>
      <w:r w:rsidRPr="00B05565">
        <w:t>rezervy</w:t>
      </w:r>
      <w:r>
        <w:t xml:space="preserve"> </w:t>
      </w:r>
      <w:r w:rsidRPr="00B05565">
        <w:t>podle</w:t>
      </w:r>
      <w:r>
        <w:t xml:space="preserve"> </w:t>
      </w:r>
      <w:r w:rsidRPr="00B05565">
        <w:t>odstavce</w:t>
      </w:r>
      <w:r>
        <w:t xml:space="preserve"> </w:t>
      </w:r>
      <w:r w:rsidRPr="00B05565">
        <w:t>3</w:t>
      </w:r>
      <w:r>
        <w:t xml:space="preserve"> </w:t>
      </w:r>
      <w:r w:rsidRPr="00B05565">
        <w:t>písm.</w:t>
      </w:r>
      <w:r>
        <w:t xml:space="preserve"> </w:t>
      </w:r>
      <w:r w:rsidRPr="00B05565">
        <w:t>c).</w:t>
      </w:r>
    </w:p>
    <w:p w14:paraId="58163AAD" w14:textId="239F9857" w:rsidR="00B9271C" w:rsidRDefault="00B9271C" w:rsidP="00A84DD3">
      <w:pPr>
        <w:pStyle w:val="Textparagrafu"/>
        <w:tabs>
          <w:tab w:val="left" w:pos="392"/>
          <w:tab w:val="left" w:pos="840"/>
        </w:tabs>
        <w:spacing w:before="120" w:after="120"/>
      </w:pPr>
      <w:r w:rsidRPr="00B05565">
        <w:t>(8)</w:t>
      </w:r>
      <w:r>
        <w:t xml:space="preserve"> </w:t>
      </w:r>
      <w:r w:rsidRPr="00B05565">
        <w:t>Obecní</w:t>
      </w:r>
      <w:r>
        <w:t xml:space="preserve"> </w:t>
      </w:r>
      <w:r w:rsidRPr="00B05565">
        <w:t>úřady</w:t>
      </w:r>
      <w:r>
        <w:t xml:space="preserve"> </w:t>
      </w:r>
      <w:r w:rsidRPr="00B05565">
        <w:t>obcí</w:t>
      </w:r>
      <w:r>
        <w:t xml:space="preserve"> </w:t>
      </w:r>
      <w:r w:rsidRPr="00B05565">
        <w:t>s</w:t>
      </w:r>
      <w:r>
        <w:t xml:space="preserve"> </w:t>
      </w:r>
      <w:r w:rsidRPr="00B05565">
        <w:t>rozšířenou</w:t>
      </w:r>
      <w:r>
        <w:t xml:space="preserve"> </w:t>
      </w:r>
      <w:r w:rsidRPr="00B05565">
        <w:t>působností</w:t>
      </w:r>
      <w:r>
        <w:t xml:space="preserve"> </w:t>
      </w:r>
      <w:r w:rsidRPr="00B05565">
        <w:t>v</w:t>
      </w:r>
      <w:r>
        <w:t xml:space="preserve"> </w:t>
      </w:r>
      <w:r w:rsidRPr="00B05565">
        <w:t>souladu</w:t>
      </w:r>
      <w:r>
        <w:t xml:space="preserve"> </w:t>
      </w:r>
      <w:r w:rsidRPr="00B05565">
        <w:t>se</w:t>
      </w:r>
      <w:r>
        <w:t xml:space="preserve"> </w:t>
      </w:r>
      <w:r w:rsidRPr="00B05565">
        <w:t>zásadami</w:t>
      </w:r>
      <w:r>
        <w:t xml:space="preserve"> </w:t>
      </w:r>
      <w:r w:rsidRPr="00B05565">
        <w:t>stanovenými</w:t>
      </w:r>
      <w:r>
        <w:t xml:space="preserve"> </w:t>
      </w:r>
      <w:r w:rsidRPr="00B05565">
        <w:t>ministerstvem</w:t>
      </w:r>
      <w:r>
        <w:t xml:space="preserve"> </w:t>
      </w:r>
      <w:r w:rsidRPr="00B05565">
        <w:t>podle</w:t>
      </w:r>
      <w:r>
        <w:t xml:space="preserve"> </w:t>
      </w:r>
      <w:r w:rsidRPr="00B05565">
        <w:t>§</w:t>
      </w:r>
      <w:r>
        <w:t xml:space="preserve"> </w:t>
      </w:r>
      <w:r w:rsidRPr="00B05565">
        <w:t>170</w:t>
      </w:r>
      <w:r>
        <w:t xml:space="preserve"> </w:t>
      </w:r>
      <w:r w:rsidRPr="00B05565">
        <w:t>písm.</w:t>
      </w:r>
      <w:r>
        <w:t xml:space="preserve"> </w:t>
      </w:r>
      <w:r w:rsidRPr="00B05565">
        <w:t>c)</w:t>
      </w:r>
      <w:r>
        <w:t xml:space="preserve"> </w:t>
      </w:r>
      <w:r w:rsidRPr="00B05565">
        <w:t>předkládají</w:t>
      </w:r>
      <w:r>
        <w:t xml:space="preserve"> </w:t>
      </w:r>
      <w:r w:rsidRPr="00B05565">
        <w:t>krajskému</w:t>
      </w:r>
      <w:r>
        <w:t xml:space="preserve"> </w:t>
      </w:r>
      <w:r w:rsidRPr="00B05565">
        <w:t>úřadu</w:t>
      </w:r>
      <w:r>
        <w:t xml:space="preserve"> </w:t>
      </w:r>
      <w:r w:rsidRPr="00B05565">
        <w:t>návrhy</w:t>
      </w:r>
      <w:r>
        <w:t xml:space="preserve"> </w:t>
      </w:r>
      <w:r w:rsidRPr="00B05565">
        <w:t>rozpisu</w:t>
      </w:r>
      <w:r>
        <w:t xml:space="preserve"> </w:t>
      </w:r>
      <w:r w:rsidRPr="00C16AF5">
        <w:rPr>
          <w:strike/>
        </w:rPr>
        <w:t xml:space="preserve">finančních </w:t>
      </w:r>
      <w:r w:rsidR="00C16AF5">
        <w:rPr>
          <w:b/>
        </w:rPr>
        <w:t xml:space="preserve">peněžních </w:t>
      </w:r>
      <w:r w:rsidRPr="00B05565">
        <w:t>prostředků</w:t>
      </w:r>
      <w:r>
        <w:t xml:space="preserve"> </w:t>
      </w:r>
      <w:r w:rsidRPr="00B05565">
        <w:t>podle</w:t>
      </w:r>
      <w:r>
        <w:t xml:space="preserve"> </w:t>
      </w:r>
      <w:r w:rsidRPr="00B05565">
        <w:t>odstavce</w:t>
      </w:r>
      <w:r>
        <w:t xml:space="preserve"> </w:t>
      </w:r>
      <w:r w:rsidRPr="00B05565">
        <w:t>7</w:t>
      </w:r>
      <w:r>
        <w:t xml:space="preserve"> </w:t>
      </w:r>
      <w:r w:rsidRPr="00B05565">
        <w:t>pro</w:t>
      </w:r>
      <w:r>
        <w:t xml:space="preserve"> </w:t>
      </w:r>
      <w:r w:rsidRPr="00B05565">
        <w:t>právnické</w:t>
      </w:r>
      <w:r>
        <w:t xml:space="preserve"> </w:t>
      </w:r>
      <w:r w:rsidRPr="00B05565">
        <w:t>osoby</w:t>
      </w:r>
      <w:r>
        <w:t xml:space="preserve"> </w:t>
      </w:r>
      <w:r w:rsidRPr="00B05565">
        <w:t>zřizované</w:t>
      </w:r>
      <w:r>
        <w:t xml:space="preserve"> </w:t>
      </w:r>
      <w:r w:rsidRPr="00B05565">
        <w:t>obcí</w:t>
      </w:r>
      <w:r>
        <w:t xml:space="preserve"> </w:t>
      </w:r>
      <w:r w:rsidRPr="00B05565">
        <w:t>nebo</w:t>
      </w:r>
      <w:r>
        <w:t xml:space="preserve"> </w:t>
      </w:r>
      <w:r w:rsidRPr="00B05565">
        <w:t>svazkem</w:t>
      </w:r>
      <w:r>
        <w:t xml:space="preserve"> </w:t>
      </w:r>
      <w:r w:rsidRPr="00B05565">
        <w:t>obcí.</w:t>
      </w:r>
    </w:p>
    <w:p w14:paraId="67D5DB3B" w14:textId="4597EC17" w:rsidR="00B9271C" w:rsidRDefault="00B9271C" w:rsidP="00A84DD3">
      <w:pPr>
        <w:pStyle w:val="Textparagrafu"/>
        <w:tabs>
          <w:tab w:val="left" w:pos="392"/>
          <w:tab w:val="left" w:pos="840"/>
        </w:tabs>
        <w:spacing w:before="120" w:after="120"/>
      </w:pPr>
      <w:r w:rsidRPr="00B05565">
        <w:t>(9)</w:t>
      </w:r>
      <w:r>
        <w:t xml:space="preserve"> </w:t>
      </w:r>
      <w:r w:rsidRPr="00B05565">
        <w:t>O</w:t>
      </w:r>
      <w:r>
        <w:t xml:space="preserve"> </w:t>
      </w:r>
      <w:r w:rsidRPr="00B05565">
        <w:t>rozpisu</w:t>
      </w:r>
      <w:r>
        <w:t xml:space="preserve"> </w:t>
      </w:r>
      <w:r w:rsidRPr="00B05565">
        <w:t>a</w:t>
      </w:r>
      <w:r>
        <w:t xml:space="preserve"> </w:t>
      </w:r>
      <w:r w:rsidRPr="00B05565">
        <w:t>přidělení</w:t>
      </w:r>
      <w:r>
        <w:t xml:space="preserve"> </w:t>
      </w:r>
      <w:r w:rsidRPr="00C16AF5">
        <w:rPr>
          <w:strike/>
        </w:rPr>
        <w:t>finančních</w:t>
      </w:r>
      <w:r>
        <w:t xml:space="preserve"> </w:t>
      </w:r>
      <w:r w:rsidR="00C16AF5">
        <w:rPr>
          <w:b/>
        </w:rPr>
        <w:t xml:space="preserve">peněžních </w:t>
      </w:r>
      <w:r w:rsidRPr="00B05565">
        <w:t>prostředků</w:t>
      </w:r>
      <w:r>
        <w:t xml:space="preserve"> </w:t>
      </w:r>
      <w:r w:rsidRPr="00B05565">
        <w:t>podle</w:t>
      </w:r>
      <w:r>
        <w:t xml:space="preserve"> </w:t>
      </w:r>
      <w:r w:rsidRPr="00B05565">
        <w:t>§</w:t>
      </w:r>
      <w:r>
        <w:t xml:space="preserve"> </w:t>
      </w:r>
      <w:r w:rsidRPr="00B05565">
        <w:t>161</w:t>
      </w:r>
      <w:r>
        <w:t xml:space="preserve"> </w:t>
      </w:r>
      <w:r w:rsidRPr="00B05565">
        <w:t>až</w:t>
      </w:r>
      <w:r>
        <w:t xml:space="preserve"> </w:t>
      </w:r>
      <w:r w:rsidRPr="00B05565">
        <w:t>161c</w:t>
      </w:r>
      <w:r>
        <w:t xml:space="preserve"> </w:t>
      </w:r>
      <w:r w:rsidRPr="00B05565">
        <w:t>krajský</w:t>
      </w:r>
      <w:r>
        <w:t xml:space="preserve"> </w:t>
      </w:r>
      <w:r w:rsidRPr="00B05565">
        <w:t>úřad</w:t>
      </w:r>
      <w:r>
        <w:t xml:space="preserve"> </w:t>
      </w:r>
      <w:r w:rsidRPr="00B05565">
        <w:t>následně</w:t>
      </w:r>
      <w:r>
        <w:t xml:space="preserve"> </w:t>
      </w:r>
      <w:r w:rsidRPr="00B05565">
        <w:t>informuje</w:t>
      </w:r>
      <w:r>
        <w:t xml:space="preserve"> </w:t>
      </w:r>
      <w:r w:rsidRPr="00B05565">
        <w:t>zastupitelstvo</w:t>
      </w:r>
      <w:r>
        <w:t xml:space="preserve"> </w:t>
      </w:r>
      <w:r w:rsidRPr="00B05565">
        <w:t>kraje.</w:t>
      </w:r>
    </w:p>
    <w:p w14:paraId="12486537" w14:textId="77777777" w:rsidR="00B9271C" w:rsidRDefault="00B9271C" w:rsidP="00A84DD3">
      <w:pPr>
        <w:pStyle w:val="Textparagrafu"/>
        <w:tabs>
          <w:tab w:val="left" w:pos="392"/>
          <w:tab w:val="left" w:pos="840"/>
        </w:tabs>
        <w:spacing w:before="120" w:after="120"/>
      </w:pPr>
      <w:r w:rsidRPr="00B05565">
        <w:t>(10)</w:t>
      </w:r>
      <w:r>
        <w:t xml:space="preserve"> </w:t>
      </w:r>
      <w:r w:rsidRPr="00B05565">
        <w:t>Právnické</w:t>
      </w:r>
      <w:r>
        <w:t xml:space="preserve"> </w:t>
      </w:r>
      <w:r w:rsidRPr="00B05565">
        <w:t>osoby</w:t>
      </w:r>
      <w:r>
        <w:t xml:space="preserve"> </w:t>
      </w:r>
      <w:r w:rsidRPr="00B05565">
        <w:t>vykonávající</w:t>
      </w:r>
      <w:r>
        <w:t xml:space="preserve"> </w:t>
      </w:r>
      <w:r w:rsidRPr="00B05565">
        <w:t>činnost</w:t>
      </w:r>
      <w:r>
        <w:t xml:space="preserve"> </w:t>
      </w:r>
      <w:r w:rsidRPr="00B05565">
        <w:t>mateřské</w:t>
      </w:r>
      <w:r>
        <w:t xml:space="preserve"> </w:t>
      </w:r>
      <w:r w:rsidRPr="00B05565">
        <w:t>školy,</w:t>
      </w:r>
      <w:r>
        <w:t xml:space="preserve"> </w:t>
      </w:r>
      <w:r w:rsidRPr="00B05565">
        <w:t>základní</w:t>
      </w:r>
      <w:r>
        <w:t xml:space="preserve"> </w:t>
      </w:r>
      <w:r w:rsidRPr="00B05565">
        <w:t>školy,</w:t>
      </w:r>
      <w:r>
        <w:t xml:space="preserve"> </w:t>
      </w:r>
      <w:r w:rsidRPr="00B05565">
        <w:t>školní</w:t>
      </w:r>
      <w:r>
        <w:t xml:space="preserve"> </w:t>
      </w:r>
      <w:r w:rsidRPr="00B05565">
        <w:t>družiny,</w:t>
      </w:r>
      <w:r>
        <w:t xml:space="preserve"> </w:t>
      </w:r>
      <w:r w:rsidRPr="00B05565">
        <w:t>střední</w:t>
      </w:r>
      <w:r>
        <w:t xml:space="preserve"> </w:t>
      </w:r>
      <w:r w:rsidRPr="00B05565">
        <w:t>školy</w:t>
      </w:r>
      <w:r>
        <w:t xml:space="preserve"> </w:t>
      </w:r>
      <w:r w:rsidRPr="00B05565">
        <w:t>nebo</w:t>
      </w:r>
      <w:r>
        <w:t xml:space="preserve"> </w:t>
      </w:r>
      <w:r w:rsidRPr="00B05565">
        <w:t>konzervatoře</w:t>
      </w:r>
      <w:r>
        <w:t xml:space="preserve"> </w:t>
      </w:r>
      <w:r w:rsidRPr="00B05565">
        <w:t>zřizované</w:t>
      </w:r>
      <w:r>
        <w:t xml:space="preserve"> </w:t>
      </w:r>
      <w:r w:rsidRPr="00B05565">
        <w:t>krajem,</w:t>
      </w:r>
      <w:r>
        <w:t xml:space="preserve"> </w:t>
      </w:r>
      <w:r w:rsidRPr="00B05565">
        <w:t>obcí</w:t>
      </w:r>
      <w:r>
        <w:t xml:space="preserve"> </w:t>
      </w:r>
      <w:r w:rsidRPr="00B05565">
        <w:t>nebo</w:t>
      </w:r>
      <w:r>
        <w:t xml:space="preserve"> </w:t>
      </w:r>
      <w:r w:rsidRPr="00B05565">
        <w:t>svazkem</w:t>
      </w:r>
      <w:r>
        <w:t xml:space="preserve"> </w:t>
      </w:r>
      <w:r w:rsidRPr="00B05565">
        <w:t>obcí</w:t>
      </w:r>
      <w:r>
        <w:t xml:space="preserve"> </w:t>
      </w:r>
      <w:r w:rsidRPr="00B05565">
        <w:t>předkládají</w:t>
      </w:r>
      <w:r>
        <w:t xml:space="preserve"> </w:t>
      </w:r>
      <w:r w:rsidRPr="00B05565">
        <w:t>ministerstvu</w:t>
      </w:r>
      <w:r>
        <w:t xml:space="preserve"> </w:t>
      </w:r>
      <w:r w:rsidRPr="00B05565">
        <w:t>údaje</w:t>
      </w:r>
      <w:r>
        <w:t xml:space="preserve"> </w:t>
      </w:r>
      <w:r w:rsidRPr="00B05565">
        <w:t>podle</w:t>
      </w:r>
      <w:r>
        <w:t xml:space="preserve"> </w:t>
      </w:r>
      <w:r w:rsidRPr="00B05565">
        <w:t>odstavce</w:t>
      </w:r>
      <w:r>
        <w:t xml:space="preserve"> </w:t>
      </w:r>
      <w:r w:rsidRPr="00B05565">
        <w:t>2</w:t>
      </w:r>
      <w:r>
        <w:t xml:space="preserve"> </w:t>
      </w:r>
      <w:r w:rsidRPr="00B05565">
        <w:t>písm.</w:t>
      </w:r>
      <w:r>
        <w:t xml:space="preserve"> </w:t>
      </w:r>
      <w:r w:rsidRPr="00B05565">
        <w:t>a).</w:t>
      </w:r>
    </w:p>
    <w:p w14:paraId="7E5FAF57" w14:textId="77777777" w:rsidR="00B9271C" w:rsidRDefault="00B9271C" w:rsidP="00A84DD3">
      <w:pPr>
        <w:pStyle w:val="Textparagrafu"/>
        <w:tabs>
          <w:tab w:val="left" w:pos="392"/>
          <w:tab w:val="left" w:pos="840"/>
        </w:tabs>
        <w:spacing w:before="120" w:after="120"/>
      </w:pPr>
      <w:r w:rsidRPr="00B05565">
        <w:t>(11)</w:t>
      </w:r>
      <w:r>
        <w:t xml:space="preserve"> </w:t>
      </w:r>
      <w:r w:rsidRPr="00B05565">
        <w:t>Krajský</w:t>
      </w:r>
      <w:r>
        <w:t xml:space="preserve"> </w:t>
      </w:r>
      <w:r w:rsidRPr="00B05565">
        <w:t>úřad</w:t>
      </w:r>
      <w:r>
        <w:t xml:space="preserve"> </w:t>
      </w:r>
      <w:r w:rsidRPr="00B05565">
        <w:t>ověřuje</w:t>
      </w:r>
      <w:r>
        <w:t xml:space="preserve"> </w:t>
      </w:r>
      <w:r w:rsidRPr="00B05565">
        <w:t>správnost</w:t>
      </w:r>
      <w:r>
        <w:t xml:space="preserve"> </w:t>
      </w:r>
      <w:r w:rsidRPr="00B05565">
        <w:t>údajů</w:t>
      </w:r>
      <w:r>
        <w:t xml:space="preserve"> </w:t>
      </w:r>
      <w:r w:rsidRPr="00B05565">
        <w:t>předkládaných</w:t>
      </w:r>
      <w:r>
        <w:t xml:space="preserve"> </w:t>
      </w:r>
      <w:r w:rsidRPr="00B05565">
        <w:t>školami</w:t>
      </w:r>
      <w:r>
        <w:t xml:space="preserve"> </w:t>
      </w:r>
      <w:r w:rsidRPr="00B05565">
        <w:t>a</w:t>
      </w:r>
      <w:r>
        <w:t xml:space="preserve"> </w:t>
      </w:r>
      <w:r w:rsidRPr="00B05565">
        <w:t>školskými</w:t>
      </w:r>
      <w:r>
        <w:t xml:space="preserve"> </w:t>
      </w:r>
      <w:r w:rsidRPr="00B05565">
        <w:t>zařízeními</w:t>
      </w:r>
      <w:r>
        <w:t xml:space="preserve"> </w:t>
      </w:r>
      <w:r w:rsidRPr="00B05565">
        <w:t>zřizovanými</w:t>
      </w:r>
      <w:r>
        <w:t xml:space="preserve"> </w:t>
      </w:r>
      <w:r w:rsidRPr="00B05565">
        <w:t>krajem</w:t>
      </w:r>
      <w:r>
        <w:t xml:space="preserve"> </w:t>
      </w:r>
      <w:r w:rsidRPr="00B05565">
        <w:t>podle</w:t>
      </w:r>
      <w:r>
        <w:t xml:space="preserve"> </w:t>
      </w:r>
      <w:r w:rsidRPr="00B05565">
        <w:t>odstavce</w:t>
      </w:r>
      <w:r>
        <w:t xml:space="preserve"> </w:t>
      </w:r>
      <w:r w:rsidRPr="00B05565">
        <w:t>10</w:t>
      </w:r>
      <w:r>
        <w:t xml:space="preserve"> </w:t>
      </w:r>
      <w:r w:rsidRPr="00B05565">
        <w:t>a</w:t>
      </w:r>
      <w:r>
        <w:t xml:space="preserve"> </w:t>
      </w:r>
      <w:r w:rsidRPr="00B05565">
        <w:t>dále</w:t>
      </w:r>
      <w:r>
        <w:t xml:space="preserve"> </w:t>
      </w:r>
      <w:r w:rsidRPr="00B05565">
        <w:t>ověřuje</w:t>
      </w:r>
      <w:r>
        <w:t xml:space="preserve"> </w:t>
      </w:r>
      <w:r w:rsidRPr="00B05565">
        <w:t>správnost</w:t>
      </w:r>
      <w:r>
        <w:t xml:space="preserve"> </w:t>
      </w:r>
      <w:r w:rsidRPr="00B05565">
        <w:t>údajů</w:t>
      </w:r>
      <w:r>
        <w:t xml:space="preserve"> </w:t>
      </w:r>
      <w:r w:rsidRPr="00B05565">
        <w:t>předávaných</w:t>
      </w:r>
      <w:r>
        <w:t xml:space="preserve"> </w:t>
      </w:r>
      <w:r w:rsidRPr="00B05565">
        <w:t>podle</w:t>
      </w:r>
      <w:r>
        <w:t xml:space="preserve"> </w:t>
      </w:r>
      <w:r w:rsidRPr="00B05565">
        <w:t>§</w:t>
      </w:r>
      <w:r>
        <w:t xml:space="preserve"> </w:t>
      </w:r>
      <w:r w:rsidRPr="00B05565">
        <w:t>28</w:t>
      </w:r>
      <w:r>
        <w:t xml:space="preserve"> </w:t>
      </w:r>
      <w:r w:rsidRPr="00B05565">
        <w:t>odst.</w:t>
      </w:r>
      <w:r>
        <w:t xml:space="preserve"> </w:t>
      </w:r>
      <w:r w:rsidRPr="00B05565">
        <w:t>5.</w:t>
      </w:r>
    </w:p>
    <w:p w14:paraId="37D69DEF" w14:textId="77777777" w:rsidR="00B9271C" w:rsidRDefault="00B9271C" w:rsidP="00A84DD3">
      <w:pPr>
        <w:pStyle w:val="Textparagrafu"/>
        <w:tabs>
          <w:tab w:val="left" w:pos="392"/>
          <w:tab w:val="left" w:pos="840"/>
        </w:tabs>
        <w:spacing w:before="120" w:after="120"/>
      </w:pPr>
      <w:r w:rsidRPr="00B05565">
        <w:t>(12)</w:t>
      </w:r>
      <w:r>
        <w:t xml:space="preserve"> </w:t>
      </w:r>
      <w:r w:rsidRPr="00B05565">
        <w:t>Obecní</w:t>
      </w:r>
      <w:r>
        <w:t xml:space="preserve"> </w:t>
      </w:r>
      <w:r w:rsidRPr="00B05565">
        <w:t>úřad</w:t>
      </w:r>
      <w:r>
        <w:t xml:space="preserve"> </w:t>
      </w:r>
      <w:r w:rsidRPr="00B05565">
        <w:t>obce</w:t>
      </w:r>
      <w:r>
        <w:t xml:space="preserve"> </w:t>
      </w:r>
      <w:r w:rsidRPr="00B05565">
        <w:t>s</w:t>
      </w:r>
      <w:r>
        <w:t xml:space="preserve"> </w:t>
      </w:r>
      <w:r w:rsidRPr="00B05565">
        <w:t>rozšířenou</w:t>
      </w:r>
      <w:r>
        <w:t xml:space="preserve"> </w:t>
      </w:r>
      <w:r w:rsidRPr="00B05565">
        <w:t>působností</w:t>
      </w:r>
      <w:r>
        <w:t xml:space="preserve"> </w:t>
      </w:r>
      <w:r w:rsidRPr="00B05565">
        <w:t>ověřuje</w:t>
      </w:r>
      <w:r>
        <w:t xml:space="preserve"> </w:t>
      </w:r>
      <w:r w:rsidRPr="00B05565">
        <w:t>správnost</w:t>
      </w:r>
      <w:r>
        <w:t xml:space="preserve"> </w:t>
      </w:r>
      <w:r w:rsidRPr="00B05565">
        <w:t>údajů</w:t>
      </w:r>
      <w:r>
        <w:t xml:space="preserve"> </w:t>
      </w:r>
      <w:r w:rsidRPr="00B05565">
        <w:t>předkládaných</w:t>
      </w:r>
      <w:r>
        <w:t xml:space="preserve"> </w:t>
      </w:r>
      <w:r w:rsidRPr="00B05565">
        <w:t>školami</w:t>
      </w:r>
      <w:r>
        <w:t xml:space="preserve"> </w:t>
      </w:r>
      <w:r w:rsidRPr="00B05565">
        <w:t>a</w:t>
      </w:r>
      <w:r>
        <w:t xml:space="preserve"> </w:t>
      </w:r>
      <w:r w:rsidRPr="00B05565">
        <w:t>školskými</w:t>
      </w:r>
      <w:r>
        <w:t xml:space="preserve"> </w:t>
      </w:r>
      <w:r w:rsidRPr="00B05565">
        <w:t>zařízeními</w:t>
      </w:r>
      <w:r>
        <w:t xml:space="preserve"> </w:t>
      </w:r>
      <w:r w:rsidRPr="00B05565">
        <w:t>zřizovanými</w:t>
      </w:r>
      <w:r>
        <w:t xml:space="preserve"> </w:t>
      </w:r>
      <w:r w:rsidRPr="00B05565">
        <w:t>obcí</w:t>
      </w:r>
      <w:r>
        <w:t xml:space="preserve"> </w:t>
      </w:r>
      <w:r w:rsidRPr="00B05565">
        <w:t>nebo</w:t>
      </w:r>
      <w:r>
        <w:t xml:space="preserve"> </w:t>
      </w:r>
      <w:r w:rsidRPr="00B05565">
        <w:t>svazkem</w:t>
      </w:r>
      <w:r>
        <w:t xml:space="preserve"> </w:t>
      </w:r>
      <w:r w:rsidRPr="00B05565">
        <w:t>obcí</w:t>
      </w:r>
      <w:r>
        <w:t xml:space="preserve"> </w:t>
      </w:r>
      <w:r w:rsidRPr="00B05565">
        <w:t>podle</w:t>
      </w:r>
      <w:r>
        <w:t xml:space="preserve"> </w:t>
      </w:r>
      <w:r w:rsidRPr="00B05565">
        <w:t>odstavce</w:t>
      </w:r>
      <w:r>
        <w:t xml:space="preserve"> </w:t>
      </w:r>
      <w:r w:rsidRPr="00B05565">
        <w:t>10</w:t>
      </w:r>
      <w:r>
        <w:t xml:space="preserve"> </w:t>
      </w:r>
      <w:r w:rsidRPr="00B05565">
        <w:t>a</w:t>
      </w:r>
      <w:r>
        <w:t xml:space="preserve"> </w:t>
      </w:r>
      <w:r w:rsidRPr="00B05565">
        <w:t>dále</w:t>
      </w:r>
      <w:r>
        <w:t xml:space="preserve"> </w:t>
      </w:r>
      <w:r w:rsidRPr="00B05565">
        <w:t>ověřuje</w:t>
      </w:r>
      <w:r>
        <w:t xml:space="preserve"> </w:t>
      </w:r>
      <w:r w:rsidRPr="00B05565">
        <w:t>správnost</w:t>
      </w:r>
      <w:r>
        <w:t xml:space="preserve"> </w:t>
      </w:r>
      <w:r w:rsidRPr="00B05565">
        <w:t>údajů</w:t>
      </w:r>
      <w:r>
        <w:t xml:space="preserve"> </w:t>
      </w:r>
      <w:r w:rsidRPr="00B05565">
        <w:t>předávaných</w:t>
      </w:r>
      <w:r>
        <w:t xml:space="preserve"> </w:t>
      </w:r>
      <w:r w:rsidRPr="00B05565">
        <w:t>podle</w:t>
      </w:r>
      <w:r>
        <w:t xml:space="preserve"> </w:t>
      </w:r>
      <w:r w:rsidRPr="00B05565">
        <w:t>§</w:t>
      </w:r>
      <w:r>
        <w:t xml:space="preserve"> </w:t>
      </w:r>
      <w:r w:rsidRPr="00B05565">
        <w:t>28</w:t>
      </w:r>
      <w:r>
        <w:t xml:space="preserve"> </w:t>
      </w:r>
      <w:r w:rsidRPr="00B05565">
        <w:t>odst.</w:t>
      </w:r>
      <w:r>
        <w:t xml:space="preserve"> </w:t>
      </w:r>
      <w:r w:rsidRPr="00B05565">
        <w:t>5.</w:t>
      </w:r>
    </w:p>
    <w:p w14:paraId="3F75A115" w14:textId="1A47A4E9" w:rsidR="00B9271C" w:rsidRDefault="00B9271C" w:rsidP="00537DFC">
      <w:pPr>
        <w:pStyle w:val="Textparagrafu"/>
        <w:tabs>
          <w:tab w:val="left" w:pos="392"/>
          <w:tab w:val="left" w:pos="840"/>
        </w:tabs>
        <w:spacing w:after="120"/>
        <w:ind w:firstLine="0"/>
        <w:jc w:val="center"/>
      </w:pPr>
      <w:r w:rsidRPr="00B05565">
        <w:t>§</w:t>
      </w:r>
      <w:r>
        <w:t xml:space="preserve"> </w:t>
      </w:r>
      <w:r w:rsidRPr="00B05565">
        <w:t>162</w:t>
      </w:r>
      <w:r w:rsidR="00537DFC">
        <w:t xml:space="preserve"> </w:t>
      </w:r>
    </w:p>
    <w:p w14:paraId="1EB17281" w14:textId="77777777" w:rsidR="00B9271C" w:rsidRPr="00537DFC" w:rsidRDefault="00B9271C" w:rsidP="00537DFC">
      <w:pPr>
        <w:pStyle w:val="Textparagrafu"/>
        <w:tabs>
          <w:tab w:val="left" w:pos="392"/>
          <w:tab w:val="left" w:pos="840"/>
        </w:tabs>
        <w:spacing w:after="120"/>
        <w:ind w:firstLine="0"/>
        <w:jc w:val="center"/>
        <w:rPr>
          <w:b/>
        </w:rPr>
      </w:pPr>
      <w:r w:rsidRPr="00537DFC">
        <w:rPr>
          <w:b/>
        </w:rPr>
        <w:t>Financování škol a školských zařízení, které nejsou zřizovány státem, krajem, obcí nebo svazkem obcí</w:t>
      </w:r>
    </w:p>
    <w:p w14:paraId="18828A78" w14:textId="583239A1" w:rsidR="00B9271C" w:rsidRDefault="00B9271C" w:rsidP="00A84DD3">
      <w:pPr>
        <w:pStyle w:val="Textparagrafu"/>
        <w:tabs>
          <w:tab w:val="left" w:pos="392"/>
          <w:tab w:val="left" w:pos="840"/>
        </w:tabs>
        <w:spacing w:before="120" w:after="120"/>
      </w:pPr>
      <w:r w:rsidRPr="00B05565">
        <w:lastRenderedPageBreak/>
        <w:t>(1)</w:t>
      </w:r>
      <w:r>
        <w:t xml:space="preserve"> </w:t>
      </w:r>
      <w:r w:rsidRPr="00B05565">
        <w:t>Ministerstvo</w:t>
      </w:r>
      <w:r>
        <w:t xml:space="preserve"> </w:t>
      </w:r>
      <w:r w:rsidRPr="00B05565">
        <w:t>rozepisuje</w:t>
      </w:r>
      <w:r>
        <w:t xml:space="preserve"> </w:t>
      </w:r>
      <w:r w:rsidRPr="00B05565">
        <w:t>prostřednictvím</w:t>
      </w:r>
      <w:r>
        <w:t xml:space="preserve"> </w:t>
      </w:r>
      <w:r w:rsidRPr="00B05565">
        <w:t>normativů</w:t>
      </w:r>
      <w:r>
        <w:t xml:space="preserve"> </w:t>
      </w:r>
      <w:r w:rsidRPr="00B05565">
        <w:t>a</w:t>
      </w:r>
      <w:r>
        <w:t xml:space="preserve"> </w:t>
      </w:r>
      <w:r w:rsidRPr="00B05565">
        <w:t>poskytuje</w:t>
      </w:r>
      <w:r>
        <w:t xml:space="preserve"> </w:t>
      </w:r>
      <w:r w:rsidRPr="00B05565">
        <w:t>právnickým</w:t>
      </w:r>
      <w:r>
        <w:t xml:space="preserve"> </w:t>
      </w:r>
      <w:r w:rsidRPr="00B05565">
        <w:t>osobám</w:t>
      </w:r>
      <w:r>
        <w:t xml:space="preserve"> </w:t>
      </w:r>
      <w:r w:rsidRPr="00B05565">
        <w:t>vykonávajícím</w:t>
      </w:r>
      <w:r>
        <w:t xml:space="preserve"> </w:t>
      </w:r>
      <w:r w:rsidRPr="00B05565">
        <w:t>činnost</w:t>
      </w:r>
      <w:r>
        <w:t xml:space="preserve"> </w:t>
      </w:r>
      <w:r w:rsidRPr="00B05565">
        <w:t>škol</w:t>
      </w:r>
      <w:r>
        <w:t xml:space="preserve"> </w:t>
      </w:r>
      <w:r w:rsidRPr="00B05565">
        <w:t>a</w:t>
      </w:r>
      <w:r>
        <w:t xml:space="preserve"> </w:t>
      </w:r>
      <w:r w:rsidRPr="00B05565">
        <w:t>školských</w:t>
      </w:r>
      <w:r>
        <w:t xml:space="preserve"> </w:t>
      </w:r>
      <w:r w:rsidRPr="00B05565">
        <w:t>zařízení</w:t>
      </w:r>
      <w:r>
        <w:t xml:space="preserve"> </w:t>
      </w:r>
      <w:r w:rsidRPr="00B05565">
        <w:t>zřizovaným</w:t>
      </w:r>
      <w:r>
        <w:t xml:space="preserve"> </w:t>
      </w:r>
      <w:r w:rsidRPr="00B05565">
        <w:t>registrovanými</w:t>
      </w:r>
      <w:r>
        <w:t xml:space="preserve"> </w:t>
      </w:r>
      <w:r w:rsidRPr="00B05565">
        <w:t>církvemi</w:t>
      </w:r>
      <w:r>
        <w:t xml:space="preserve"> </w:t>
      </w:r>
      <w:r w:rsidRPr="00B05565">
        <w:t>nebo</w:t>
      </w:r>
      <w:r>
        <w:t xml:space="preserve"> </w:t>
      </w:r>
      <w:r w:rsidRPr="00B05565">
        <w:t>náboženskými</w:t>
      </w:r>
      <w:r>
        <w:t xml:space="preserve"> </w:t>
      </w:r>
      <w:r w:rsidRPr="00B05565">
        <w:t>společnostmi,</w:t>
      </w:r>
      <w:r>
        <w:t xml:space="preserve"> </w:t>
      </w:r>
      <w:r w:rsidRPr="00B05565">
        <w:t>kterým</w:t>
      </w:r>
      <w:r>
        <w:t xml:space="preserve"> </w:t>
      </w:r>
      <w:r w:rsidRPr="00B05565">
        <w:t>bylo</w:t>
      </w:r>
      <w:r>
        <w:t xml:space="preserve"> </w:t>
      </w:r>
      <w:r w:rsidRPr="00B05565">
        <w:t>přiznáno</w:t>
      </w:r>
      <w:r>
        <w:t xml:space="preserve"> </w:t>
      </w:r>
      <w:r w:rsidRPr="00B05565">
        <w:t>oprávnění</w:t>
      </w:r>
      <w:r>
        <w:t xml:space="preserve"> </w:t>
      </w:r>
      <w:r w:rsidRPr="00B05565">
        <w:t>k</w:t>
      </w:r>
      <w:r>
        <w:t xml:space="preserve"> </w:t>
      </w:r>
      <w:r w:rsidRPr="00B05565">
        <w:t>výkonu</w:t>
      </w:r>
      <w:r>
        <w:t xml:space="preserve"> </w:t>
      </w:r>
      <w:r w:rsidRPr="00B05565">
        <w:t>zvláštního</w:t>
      </w:r>
      <w:r>
        <w:t xml:space="preserve"> </w:t>
      </w:r>
      <w:r w:rsidRPr="00B05565">
        <w:t>práva</w:t>
      </w:r>
      <w:r>
        <w:t xml:space="preserve"> </w:t>
      </w:r>
      <w:r w:rsidRPr="00B05565">
        <w:t>zřizovat</w:t>
      </w:r>
      <w:r>
        <w:t xml:space="preserve"> </w:t>
      </w:r>
      <w:r w:rsidRPr="00B05565">
        <w:t>církevní</w:t>
      </w:r>
      <w:r>
        <w:t xml:space="preserve"> </w:t>
      </w:r>
      <w:r w:rsidR="00537DFC">
        <w:t>školy</w:t>
      </w:r>
      <w:r w:rsidR="001E09C0" w:rsidRPr="001E09C0">
        <w:rPr>
          <w:vertAlign w:val="superscript"/>
        </w:rPr>
        <w:t>6)</w:t>
      </w:r>
      <w:r w:rsidRPr="00B05565">
        <w:t>,</w:t>
      </w:r>
      <w:r>
        <w:t xml:space="preserve"> </w:t>
      </w:r>
      <w:r w:rsidRPr="00C16AF5">
        <w:rPr>
          <w:strike/>
        </w:rPr>
        <w:t>finanční</w:t>
      </w:r>
      <w:r>
        <w:t xml:space="preserve"> </w:t>
      </w:r>
      <w:r w:rsidR="00C16AF5">
        <w:rPr>
          <w:b/>
        </w:rPr>
        <w:t xml:space="preserve">peněžní </w:t>
      </w:r>
      <w:r w:rsidRPr="00B05565">
        <w:t>prostředky</w:t>
      </w:r>
      <w:r>
        <w:t xml:space="preserve"> </w:t>
      </w:r>
      <w:r w:rsidRPr="00B05565">
        <w:t>na</w:t>
      </w:r>
      <w:r>
        <w:t xml:space="preserve"> </w:t>
      </w:r>
      <w:r w:rsidRPr="00B05565">
        <w:t>výdaje</w:t>
      </w:r>
      <w:r>
        <w:t xml:space="preserve"> </w:t>
      </w:r>
      <w:r w:rsidRPr="00B05565">
        <w:t>uvedené</w:t>
      </w:r>
      <w:r>
        <w:t xml:space="preserve"> </w:t>
      </w:r>
      <w:r w:rsidRPr="00B05565">
        <w:t>v</w:t>
      </w:r>
      <w:r>
        <w:t xml:space="preserve"> </w:t>
      </w:r>
      <w:r w:rsidRPr="00B05565">
        <w:t>§</w:t>
      </w:r>
      <w:r>
        <w:t xml:space="preserve"> </w:t>
      </w:r>
      <w:r w:rsidRPr="00B05565">
        <w:t>160</w:t>
      </w:r>
      <w:r>
        <w:t xml:space="preserve"> </w:t>
      </w:r>
      <w:r w:rsidRPr="00B05565">
        <w:t>odst.</w:t>
      </w:r>
      <w:r>
        <w:t xml:space="preserve"> </w:t>
      </w:r>
      <w:r w:rsidRPr="00B05565">
        <w:t>1</w:t>
      </w:r>
      <w:r>
        <w:t xml:space="preserve"> </w:t>
      </w:r>
      <w:r w:rsidRPr="00B05565">
        <w:t>písm.</w:t>
      </w:r>
      <w:r>
        <w:t xml:space="preserve"> </w:t>
      </w:r>
      <w:r w:rsidRPr="00B05565">
        <w:t>b).</w:t>
      </w:r>
    </w:p>
    <w:p w14:paraId="6306DBA2" w14:textId="1478DA12" w:rsidR="00B9271C" w:rsidRDefault="00B9271C" w:rsidP="00A84DD3">
      <w:pPr>
        <w:pStyle w:val="Textparagrafu"/>
        <w:tabs>
          <w:tab w:val="left" w:pos="392"/>
          <w:tab w:val="left" w:pos="840"/>
        </w:tabs>
        <w:spacing w:before="120" w:after="120"/>
      </w:pPr>
      <w:r w:rsidRPr="00B05565">
        <w:t>(2)</w:t>
      </w:r>
      <w:r>
        <w:t xml:space="preserve"> </w:t>
      </w:r>
      <w:r w:rsidRPr="00C16AF5">
        <w:rPr>
          <w:strike/>
        </w:rPr>
        <w:t>Finanční</w:t>
      </w:r>
      <w:r>
        <w:t xml:space="preserve"> </w:t>
      </w:r>
      <w:r w:rsidR="00C16AF5">
        <w:rPr>
          <w:b/>
        </w:rPr>
        <w:t xml:space="preserve">Peněžní </w:t>
      </w:r>
      <w:r w:rsidRPr="00B05565">
        <w:t>prostředky</w:t>
      </w:r>
      <w:r>
        <w:t xml:space="preserve"> </w:t>
      </w:r>
      <w:r w:rsidRPr="00B05565">
        <w:t>ze</w:t>
      </w:r>
      <w:r>
        <w:t xml:space="preserve"> </w:t>
      </w:r>
      <w:r w:rsidRPr="00B05565">
        <w:t>státního</w:t>
      </w:r>
      <w:r>
        <w:t xml:space="preserve"> </w:t>
      </w:r>
      <w:r w:rsidRPr="00B05565">
        <w:t>rozpočtu</w:t>
      </w:r>
      <w:r>
        <w:t xml:space="preserve"> </w:t>
      </w:r>
      <w:r w:rsidRPr="00B05565">
        <w:t>podle</w:t>
      </w:r>
      <w:r>
        <w:t xml:space="preserve"> </w:t>
      </w:r>
      <w:r w:rsidRPr="00B05565">
        <w:t>§</w:t>
      </w:r>
      <w:r>
        <w:t xml:space="preserve"> </w:t>
      </w:r>
      <w:r w:rsidRPr="00B05565">
        <w:t>160</w:t>
      </w:r>
      <w:r>
        <w:t xml:space="preserve"> </w:t>
      </w:r>
      <w:r w:rsidRPr="00B05565">
        <w:t>odst.</w:t>
      </w:r>
      <w:r>
        <w:t xml:space="preserve"> </w:t>
      </w:r>
      <w:r w:rsidRPr="00B05565">
        <w:t>1</w:t>
      </w:r>
      <w:r>
        <w:t xml:space="preserve"> </w:t>
      </w:r>
      <w:r w:rsidRPr="00B05565">
        <w:t>písm.</w:t>
      </w:r>
      <w:r>
        <w:t xml:space="preserve"> </w:t>
      </w:r>
      <w:r w:rsidRPr="00B05565">
        <w:t>b)</w:t>
      </w:r>
      <w:r>
        <w:t xml:space="preserve"> </w:t>
      </w:r>
      <w:r w:rsidRPr="00B05565">
        <w:t>a</w:t>
      </w:r>
      <w:r>
        <w:t xml:space="preserve"> </w:t>
      </w:r>
      <w:r w:rsidRPr="00B05565">
        <w:t>odstavce</w:t>
      </w:r>
      <w:r>
        <w:t xml:space="preserve"> </w:t>
      </w:r>
      <w:r w:rsidRPr="00B05565">
        <w:t>2</w:t>
      </w:r>
      <w:r>
        <w:t xml:space="preserve"> </w:t>
      </w:r>
      <w:r w:rsidRPr="00B05565">
        <w:t>se</w:t>
      </w:r>
      <w:r>
        <w:t xml:space="preserve"> </w:t>
      </w:r>
      <w:r w:rsidRPr="00B05565">
        <w:t>poskytují</w:t>
      </w:r>
      <w:r>
        <w:t xml:space="preserve"> </w:t>
      </w:r>
      <w:r w:rsidRPr="00B05565">
        <w:t>podle</w:t>
      </w:r>
      <w:r>
        <w:t xml:space="preserve"> </w:t>
      </w:r>
      <w:r w:rsidRPr="00B05565">
        <w:t>skutečného</w:t>
      </w:r>
      <w:r>
        <w:t xml:space="preserve"> </w:t>
      </w:r>
      <w:r w:rsidRPr="00B05565">
        <w:t>počtu</w:t>
      </w:r>
      <w:r>
        <w:t xml:space="preserve"> </w:t>
      </w:r>
      <w:r w:rsidRPr="00B05565">
        <w:t>dětí,</w:t>
      </w:r>
      <w:r>
        <w:t xml:space="preserve"> </w:t>
      </w:r>
      <w:r w:rsidRPr="00B05565">
        <w:t>žáků</w:t>
      </w:r>
      <w:r>
        <w:t xml:space="preserve"> </w:t>
      </w:r>
      <w:r w:rsidRPr="00B05565">
        <w:t>nebo</w:t>
      </w:r>
      <w:r>
        <w:t xml:space="preserve"> </w:t>
      </w:r>
      <w:r w:rsidRPr="00B05565">
        <w:t>studentů</w:t>
      </w:r>
      <w:r>
        <w:t xml:space="preserve"> </w:t>
      </w:r>
      <w:r w:rsidRPr="00B05565">
        <w:t>ve</w:t>
      </w:r>
      <w:r>
        <w:t xml:space="preserve"> </w:t>
      </w:r>
      <w:r w:rsidRPr="00B05565">
        <w:t>škole</w:t>
      </w:r>
      <w:r>
        <w:t xml:space="preserve"> </w:t>
      </w:r>
      <w:r w:rsidRPr="00B05565">
        <w:t>nebo</w:t>
      </w:r>
      <w:r>
        <w:t xml:space="preserve"> </w:t>
      </w:r>
      <w:r w:rsidRPr="00B05565">
        <w:t>školském</w:t>
      </w:r>
      <w:r>
        <w:t xml:space="preserve"> </w:t>
      </w:r>
      <w:r w:rsidRPr="00B05565">
        <w:t>zařízení,</w:t>
      </w:r>
      <w:r>
        <w:t xml:space="preserve"> </w:t>
      </w:r>
      <w:r w:rsidRPr="00B05565">
        <w:t>v</w:t>
      </w:r>
      <w:r>
        <w:t xml:space="preserve"> </w:t>
      </w:r>
      <w:r w:rsidRPr="00B05565">
        <w:t>jednotlivých</w:t>
      </w:r>
      <w:r>
        <w:t xml:space="preserve"> </w:t>
      </w:r>
      <w:r w:rsidRPr="00B05565">
        <w:t>oborech</w:t>
      </w:r>
      <w:r>
        <w:t xml:space="preserve"> </w:t>
      </w:r>
      <w:r w:rsidRPr="00B05565">
        <w:t>vzdělání</w:t>
      </w:r>
      <w:r>
        <w:t xml:space="preserve"> </w:t>
      </w:r>
      <w:r w:rsidRPr="00B05565">
        <w:t>a</w:t>
      </w:r>
      <w:r>
        <w:t xml:space="preserve"> </w:t>
      </w:r>
      <w:r w:rsidRPr="00B05565">
        <w:t>formách</w:t>
      </w:r>
      <w:r>
        <w:t xml:space="preserve"> </w:t>
      </w:r>
      <w:r w:rsidRPr="00B05565">
        <w:t>vzdělávání,</w:t>
      </w:r>
      <w:r>
        <w:t xml:space="preserve"> </w:t>
      </w:r>
      <w:r w:rsidRPr="00B05565">
        <w:t>lůžek,</w:t>
      </w:r>
      <w:r>
        <w:t xml:space="preserve"> </w:t>
      </w:r>
      <w:r w:rsidRPr="00B05565">
        <w:t>stravovaných</w:t>
      </w:r>
      <w:r>
        <w:t xml:space="preserve"> </w:t>
      </w:r>
      <w:r w:rsidRPr="00B05565">
        <w:t>nebo</w:t>
      </w:r>
      <w:r>
        <w:t xml:space="preserve"> </w:t>
      </w:r>
      <w:r w:rsidRPr="00B05565">
        <w:t>jiných</w:t>
      </w:r>
      <w:r>
        <w:t xml:space="preserve"> </w:t>
      </w:r>
      <w:r w:rsidRPr="00B05565">
        <w:t>jednotek</w:t>
      </w:r>
      <w:r>
        <w:t xml:space="preserve"> </w:t>
      </w:r>
      <w:r w:rsidRPr="00B05565">
        <w:t>výkonu</w:t>
      </w:r>
      <w:r>
        <w:t xml:space="preserve"> </w:t>
      </w:r>
      <w:r w:rsidRPr="00B05565">
        <w:t>stanovených</w:t>
      </w:r>
      <w:r>
        <w:t xml:space="preserve"> </w:t>
      </w:r>
      <w:r w:rsidRPr="00B05565">
        <w:t>jiným</w:t>
      </w:r>
      <w:r>
        <w:t xml:space="preserve"> </w:t>
      </w:r>
      <w:r w:rsidRPr="00B05565">
        <w:t>právním</w:t>
      </w:r>
      <w:r>
        <w:t xml:space="preserve"> </w:t>
      </w:r>
      <w:r w:rsidRPr="00B05565">
        <w:t>předpisem64),</w:t>
      </w:r>
      <w:r>
        <w:t xml:space="preserve"> </w:t>
      </w:r>
      <w:r w:rsidRPr="00B05565">
        <w:t>uvedeného</w:t>
      </w:r>
      <w:r>
        <w:t xml:space="preserve"> </w:t>
      </w:r>
      <w:r w:rsidRPr="00B05565">
        <w:t>ve</w:t>
      </w:r>
      <w:r>
        <w:t xml:space="preserve"> </w:t>
      </w:r>
      <w:r w:rsidRPr="00B05565">
        <w:t>školních</w:t>
      </w:r>
      <w:r>
        <w:t xml:space="preserve"> </w:t>
      </w:r>
      <w:r w:rsidRPr="00B05565">
        <w:t>matrikách</w:t>
      </w:r>
      <w:r>
        <w:t xml:space="preserve"> </w:t>
      </w:r>
      <w:r w:rsidRPr="00B05565">
        <w:t>pro</w:t>
      </w:r>
      <w:r>
        <w:t xml:space="preserve"> </w:t>
      </w:r>
      <w:r w:rsidRPr="00B05565">
        <w:t>příslušný</w:t>
      </w:r>
      <w:r>
        <w:t xml:space="preserve"> </w:t>
      </w:r>
      <w:r w:rsidRPr="00B05565">
        <w:t>školní</w:t>
      </w:r>
      <w:r>
        <w:t xml:space="preserve"> </w:t>
      </w:r>
      <w:r w:rsidRPr="00B05565">
        <w:t>rok,</w:t>
      </w:r>
      <w:r>
        <w:t xml:space="preserve"> </w:t>
      </w:r>
      <w:r w:rsidRPr="00B05565">
        <w:t>nejvýše</w:t>
      </w:r>
      <w:r>
        <w:t xml:space="preserve"> </w:t>
      </w:r>
      <w:r w:rsidRPr="00B05565">
        <w:t>však</w:t>
      </w:r>
      <w:r>
        <w:t xml:space="preserve"> </w:t>
      </w:r>
      <w:r w:rsidRPr="00B05565">
        <w:t>do</w:t>
      </w:r>
      <w:r>
        <w:t xml:space="preserve"> </w:t>
      </w:r>
      <w:r w:rsidRPr="00B05565">
        <w:t>výše</w:t>
      </w:r>
      <w:r>
        <w:t xml:space="preserve"> </w:t>
      </w:r>
      <w:r w:rsidRPr="00B05565">
        <w:t>povoleného</w:t>
      </w:r>
      <w:r>
        <w:t xml:space="preserve"> </w:t>
      </w:r>
      <w:r w:rsidRPr="00B05565">
        <w:t>počtu</w:t>
      </w:r>
      <w:r>
        <w:t xml:space="preserve"> </w:t>
      </w:r>
      <w:r w:rsidRPr="00B05565">
        <w:t>dětí,</w:t>
      </w:r>
      <w:r>
        <w:t xml:space="preserve"> </w:t>
      </w:r>
      <w:r w:rsidRPr="00B05565">
        <w:t>žáků</w:t>
      </w:r>
      <w:r>
        <w:t xml:space="preserve"> </w:t>
      </w:r>
      <w:r w:rsidRPr="00B05565">
        <w:t>nebo</w:t>
      </w:r>
      <w:r>
        <w:t xml:space="preserve"> </w:t>
      </w:r>
      <w:r w:rsidRPr="00B05565">
        <w:t>studentů</w:t>
      </w:r>
      <w:r>
        <w:t xml:space="preserve"> </w:t>
      </w:r>
      <w:r w:rsidRPr="00B05565">
        <w:t>ve</w:t>
      </w:r>
      <w:r>
        <w:t xml:space="preserve"> </w:t>
      </w:r>
      <w:r w:rsidRPr="00B05565">
        <w:t>škole</w:t>
      </w:r>
      <w:r>
        <w:t xml:space="preserve"> </w:t>
      </w:r>
      <w:r w:rsidRPr="00B05565">
        <w:t>nebo</w:t>
      </w:r>
      <w:r>
        <w:t xml:space="preserve"> </w:t>
      </w:r>
      <w:r w:rsidRPr="00B05565">
        <w:t>školském</w:t>
      </w:r>
      <w:r>
        <w:t xml:space="preserve"> </w:t>
      </w:r>
      <w:r w:rsidRPr="00B05565">
        <w:t>zařízení,</w:t>
      </w:r>
      <w:r>
        <w:t xml:space="preserve"> </w:t>
      </w:r>
      <w:r w:rsidRPr="00B05565">
        <w:t>v</w:t>
      </w:r>
      <w:r>
        <w:t xml:space="preserve"> </w:t>
      </w:r>
      <w:r w:rsidRPr="00B05565">
        <w:t>jednotlivých</w:t>
      </w:r>
      <w:r>
        <w:t xml:space="preserve"> </w:t>
      </w:r>
      <w:r w:rsidRPr="00B05565">
        <w:t>oborech</w:t>
      </w:r>
      <w:r>
        <w:t xml:space="preserve"> </w:t>
      </w:r>
      <w:r w:rsidRPr="00B05565">
        <w:t>vzdělání</w:t>
      </w:r>
      <w:r>
        <w:t xml:space="preserve"> </w:t>
      </w:r>
      <w:r w:rsidRPr="00B05565">
        <w:t>a</w:t>
      </w:r>
      <w:r>
        <w:t xml:space="preserve"> </w:t>
      </w:r>
      <w:r w:rsidRPr="00B05565">
        <w:t>formách</w:t>
      </w:r>
      <w:r>
        <w:t xml:space="preserve"> </w:t>
      </w:r>
      <w:r w:rsidRPr="00B05565">
        <w:t>vzdělávání,</w:t>
      </w:r>
      <w:r>
        <w:t xml:space="preserve"> </w:t>
      </w:r>
      <w:r w:rsidRPr="00B05565">
        <w:t>lůžek,</w:t>
      </w:r>
      <w:r>
        <w:t xml:space="preserve"> </w:t>
      </w:r>
      <w:r w:rsidRPr="00B05565">
        <w:t>stravovaných</w:t>
      </w:r>
      <w:r>
        <w:t xml:space="preserve"> </w:t>
      </w:r>
      <w:r w:rsidRPr="00B05565">
        <w:t>nebo</w:t>
      </w:r>
      <w:r>
        <w:t xml:space="preserve"> </w:t>
      </w:r>
      <w:r w:rsidRPr="00B05565">
        <w:t>jiných</w:t>
      </w:r>
      <w:r>
        <w:t xml:space="preserve"> </w:t>
      </w:r>
      <w:r w:rsidRPr="00B05565">
        <w:t>jednotek</w:t>
      </w:r>
      <w:r>
        <w:t xml:space="preserve"> </w:t>
      </w:r>
      <w:r w:rsidRPr="00B05565">
        <w:t>výkonu</w:t>
      </w:r>
      <w:r>
        <w:t xml:space="preserve"> </w:t>
      </w:r>
      <w:r w:rsidRPr="00B05565">
        <w:t>stanovených</w:t>
      </w:r>
      <w:r>
        <w:t xml:space="preserve"> </w:t>
      </w:r>
      <w:r w:rsidRPr="00B05565">
        <w:t>jiným</w:t>
      </w:r>
      <w:r>
        <w:t xml:space="preserve"> </w:t>
      </w:r>
      <w:r w:rsidRPr="00B05565">
        <w:t>právním</w:t>
      </w:r>
      <w:r>
        <w:t xml:space="preserve"> </w:t>
      </w:r>
      <w:r w:rsidR="00537DFC">
        <w:t>předpisem</w:t>
      </w:r>
      <w:r w:rsidR="00537DFC">
        <w:rPr>
          <w:rStyle w:val="Znakapoznpodarou"/>
        </w:rPr>
        <w:footnoteReference w:customMarkFollows="1" w:id="480"/>
        <w:t>64)</w:t>
      </w:r>
      <w:r w:rsidRPr="00B05565">
        <w:t>,</w:t>
      </w:r>
      <w:r>
        <w:t xml:space="preserve"> </w:t>
      </w:r>
      <w:r w:rsidRPr="00B05565">
        <w:t>uvedeného</w:t>
      </w:r>
      <w:r>
        <w:t xml:space="preserve"> </w:t>
      </w:r>
      <w:r w:rsidRPr="00B05565">
        <w:t>ve</w:t>
      </w:r>
      <w:r>
        <w:t xml:space="preserve"> </w:t>
      </w:r>
      <w:r w:rsidRPr="00B05565">
        <w:t>školském</w:t>
      </w:r>
      <w:r>
        <w:t xml:space="preserve"> </w:t>
      </w:r>
      <w:r w:rsidRPr="00B05565">
        <w:t>rejstříku.</w:t>
      </w:r>
    </w:p>
    <w:p w14:paraId="1924BEFB" w14:textId="77777777" w:rsidR="00B9271C" w:rsidRDefault="00B9271C" w:rsidP="00A84DD3">
      <w:pPr>
        <w:pStyle w:val="Textparagrafu"/>
        <w:tabs>
          <w:tab w:val="left" w:pos="392"/>
          <w:tab w:val="left" w:pos="840"/>
        </w:tabs>
        <w:spacing w:before="120" w:after="120"/>
      </w:pPr>
      <w:r w:rsidRPr="00B05565">
        <w:t>(3)</w:t>
      </w:r>
      <w:r>
        <w:t xml:space="preserve"> </w:t>
      </w:r>
      <w:r w:rsidRPr="00B05565">
        <w:t>Normativ</w:t>
      </w:r>
      <w:r>
        <w:t xml:space="preserve"> </w:t>
      </w:r>
      <w:r w:rsidRPr="00B05565">
        <w:t>stanoví</w:t>
      </w:r>
      <w:r>
        <w:t xml:space="preserve"> </w:t>
      </w:r>
      <w:r w:rsidRPr="00B05565">
        <w:t>ministerstvo</w:t>
      </w:r>
      <w:r>
        <w:t xml:space="preserve"> </w:t>
      </w:r>
      <w:r w:rsidRPr="00B05565">
        <w:t>jako</w:t>
      </w:r>
      <w:r>
        <w:t xml:space="preserve"> </w:t>
      </w:r>
      <w:r w:rsidRPr="00B05565">
        <w:t>průměrný</w:t>
      </w:r>
      <w:r>
        <w:t xml:space="preserve"> </w:t>
      </w:r>
      <w:r w:rsidRPr="00B05565">
        <w:t>roční</w:t>
      </w:r>
      <w:r>
        <w:t xml:space="preserve"> </w:t>
      </w:r>
      <w:r w:rsidRPr="00B05565">
        <w:t>objem</w:t>
      </w:r>
      <w:r>
        <w:t xml:space="preserve"> </w:t>
      </w:r>
      <w:r w:rsidRPr="00B05565">
        <w:t>výdajů</w:t>
      </w:r>
      <w:r>
        <w:t xml:space="preserve"> </w:t>
      </w:r>
      <w:r w:rsidRPr="00B05565">
        <w:t>uvedených</w:t>
      </w:r>
      <w:r>
        <w:t xml:space="preserve"> </w:t>
      </w:r>
      <w:r w:rsidRPr="00B05565">
        <w:t>v</w:t>
      </w:r>
      <w:r>
        <w:t xml:space="preserve"> </w:t>
      </w:r>
      <w:r w:rsidRPr="00B05565">
        <w:t>§</w:t>
      </w:r>
      <w:r>
        <w:t xml:space="preserve"> </w:t>
      </w:r>
      <w:r w:rsidRPr="00B05565">
        <w:t>160</w:t>
      </w:r>
      <w:r>
        <w:t xml:space="preserve"> </w:t>
      </w:r>
      <w:r w:rsidRPr="00B05565">
        <w:t>odst.</w:t>
      </w:r>
      <w:r>
        <w:t xml:space="preserve"> </w:t>
      </w:r>
      <w:r w:rsidRPr="00B05565">
        <w:t>1</w:t>
      </w:r>
      <w:r>
        <w:t xml:space="preserve"> </w:t>
      </w:r>
      <w:r w:rsidRPr="00B05565">
        <w:t>písm.</w:t>
      </w:r>
      <w:r>
        <w:t xml:space="preserve"> </w:t>
      </w:r>
      <w:r w:rsidRPr="00B05565">
        <w:t>b)</w:t>
      </w:r>
      <w:r>
        <w:t xml:space="preserve"> </w:t>
      </w:r>
      <w:r w:rsidRPr="00B05565">
        <w:t>připadajících</w:t>
      </w:r>
      <w:r>
        <w:t xml:space="preserve"> </w:t>
      </w:r>
      <w:r w:rsidRPr="00B05565">
        <w:t>na</w:t>
      </w:r>
      <w:r>
        <w:t xml:space="preserve"> </w:t>
      </w:r>
      <w:r w:rsidRPr="00B05565">
        <w:t>jednotku</w:t>
      </w:r>
      <w:r>
        <w:t xml:space="preserve"> </w:t>
      </w:r>
      <w:r w:rsidRPr="00B05565">
        <w:t>výkonu</w:t>
      </w:r>
      <w:r>
        <w:t xml:space="preserve"> </w:t>
      </w:r>
      <w:r w:rsidRPr="00B05565">
        <w:t>podle</w:t>
      </w:r>
      <w:r>
        <w:t xml:space="preserve"> </w:t>
      </w:r>
      <w:r w:rsidRPr="00B05565">
        <w:t>odstavce</w:t>
      </w:r>
      <w:r>
        <w:t xml:space="preserve"> </w:t>
      </w:r>
      <w:r w:rsidRPr="00B05565">
        <w:t>2</w:t>
      </w:r>
      <w:r>
        <w:t xml:space="preserve"> </w:t>
      </w:r>
      <w:r w:rsidRPr="00B05565">
        <w:t>v</w:t>
      </w:r>
      <w:r>
        <w:t xml:space="preserve"> </w:t>
      </w:r>
      <w:r w:rsidRPr="00B05565">
        <w:t>daném</w:t>
      </w:r>
      <w:r>
        <w:t xml:space="preserve"> </w:t>
      </w:r>
      <w:r w:rsidRPr="00B05565">
        <w:t>oboru</w:t>
      </w:r>
      <w:r>
        <w:t xml:space="preserve"> </w:t>
      </w:r>
      <w:r w:rsidRPr="00B05565">
        <w:t>vzdělání</w:t>
      </w:r>
      <w:r>
        <w:t xml:space="preserve"> </w:t>
      </w:r>
      <w:r w:rsidRPr="00B05565">
        <w:t>a</w:t>
      </w:r>
      <w:r>
        <w:t xml:space="preserve"> </w:t>
      </w:r>
      <w:r w:rsidRPr="00B05565">
        <w:t>formě</w:t>
      </w:r>
      <w:r>
        <w:t xml:space="preserve"> </w:t>
      </w:r>
      <w:r w:rsidRPr="00B05565">
        <w:t>vzdělávání</w:t>
      </w:r>
      <w:r>
        <w:t xml:space="preserve"> </w:t>
      </w:r>
      <w:r w:rsidRPr="00B05565">
        <w:t>nebo</w:t>
      </w:r>
      <w:r>
        <w:t xml:space="preserve"> </w:t>
      </w:r>
      <w:r w:rsidRPr="00B05565">
        <w:t>v</w:t>
      </w:r>
      <w:r>
        <w:t xml:space="preserve"> </w:t>
      </w:r>
      <w:r w:rsidRPr="00B05565">
        <w:t>dané</w:t>
      </w:r>
      <w:r>
        <w:t xml:space="preserve"> </w:t>
      </w:r>
      <w:r w:rsidRPr="00B05565">
        <w:t>školské</w:t>
      </w:r>
      <w:r>
        <w:t xml:space="preserve"> </w:t>
      </w:r>
      <w:r w:rsidRPr="00B05565">
        <w:t>službě</w:t>
      </w:r>
      <w:r>
        <w:t xml:space="preserve"> </w:t>
      </w:r>
      <w:r w:rsidRPr="00B05565">
        <w:t>a</w:t>
      </w:r>
      <w:r>
        <w:t xml:space="preserve"> </w:t>
      </w:r>
      <w:r w:rsidRPr="00B05565">
        <w:t>zveřejní</w:t>
      </w:r>
      <w:r>
        <w:t xml:space="preserve"> </w:t>
      </w:r>
      <w:r w:rsidRPr="00B05565">
        <w:t>je</w:t>
      </w:r>
      <w:r>
        <w:t xml:space="preserve"> </w:t>
      </w:r>
      <w:r w:rsidRPr="00B05565">
        <w:t>ve</w:t>
      </w:r>
      <w:r>
        <w:t xml:space="preserve"> </w:t>
      </w:r>
      <w:r w:rsidRPr="00B05565">
        <w:t>Věstníku.</w:t>
      </w:r>
    </w:p>
    <w:p w14:paraId="31BF5097" w14:textId="0DC044A6" w:rsidR="00B9271C" w:rsidRDefault="00B9271C" w:rsidP="00A84DD3">
      <w:pPr>
        <w:pStyle w:val="Textparagrafu"/>
        <w:tabs>
          <w:tab w:val="left" w:pos="392"/>
          <w:tab w:val="left" w:pos="840"/>
        </w:tabs>
        <w:spacing w:before="120" w:after="120"/>
      </w:pPr>
      <w:r w:rsidRPr="00B05565">
        <w:t>(4)</w:t>
      </w:r>
      <w:r>
        <w:t xml:space="preserve"> </w:t>
      </w:r>
      <w:r w:rsidRPr="00B05565">
        <w:t>Ministerstvo</w:t>
      </w:r>
      <w:r>
        <w:t xml:space="preserve"> </w:t>
      </w:r>
      <w:r w:rsidRPr="00B05565">
        <w:t>poskytuje</w:t>
      </w:r>
      <w:r>
        <w:t xml:space="preserve"> </w:t>
      </w:r>
      <w:r w:rsidRPr="00B05565">
        <w:t>na</w:t>
      </w:r>
      <w:r>
        <w:t xml:space="preserve"> </w:t>
      </w:r>
      <w:r w:rsidRPr="00B05565">
        <w:t>zvláštní</w:t>
      </w:r>
      <w:r>
        <w:t xml:space="preserve"> </w:t>
      </w:r>
      <w:r w:rsidRPr="00B05565">
        <w:t>účet</w:t>
      </w:r>
      <w:r>
        <w:t xml:space="preserve"> </w:t>
      </w:r>
      <w:r w:rsidRPr="00B05565">
        <w:t>kraje</w:t>
      </w:r>
      <w:r>
        <w:t xml:space="preserve"> </w:t>
      </w:r>
      <w:r w:rsidRPr="00C16AF5">
        <w:rPr>
          <w:strike/>
        </w:rPr>
        <w:t>finanční</w:t>
      </w:r>
      <w:r>
        <w:t xml:space="preserve"> </w:t>
      </w:r>
      <w:r w:rsidR="00111002">
        <w:rPr>
          <w:b/>
        </w:rPr>
        <w:t xml:space="preserve">peněžní </w:t>
      </w:r>
      <w:r w:rsidRPr="00B05565">
        <w:t>prostředky</w:t>
      </w:r>
      <w:r>
        <w:t xml:space="preserve"> </w:t>
      </w:r>
      <w:r w:rsidRPr="00B05565">
        <w:t>na</w:t>
      </w:r>
      <w:r>
        <w:t xml:space="preserve"> </w:t>
      </w:r>
      <w:r w:rsidRPr="00B05565">
        <w:t>činnost</w:t>
      </w:r>
      <w:r>
        <w:t xml:space="preserve"> </w:t>
      </w:r>
      <w:r w:rsidRPr="00B05565">
        <w:t>škol</w:t>
      </w:r>
      <w:r>
        <w:t xml:space="preserve"> </w:t>
      </w:r>
      <w:r w:rsidRPr="00B05565">
        <w:t>a</w:t>
      </w:r>
      <w:r>
        <w:t xml:space="preserve"> </w:t>
      </w:r>
      <w:r w:rsidRPr="00B05565">
        <w:t>školských</w:t>
      </w:r>
      <w:r>
        <w:t xml:space="preserve"> </w:t>
      </w:r>
      <w:r w:rsidRPr="00B05565">
        <w:t>zařízení,</w:t>
      </w:r>
      <w:r>
        <w:t xml:space="preserve"> </w:t>
      </w:r>
      <w:r w:rsidRPr="00B05565">
        <w:t>které</w:t>
      </w:r>
      <w:r>
        <w:t xml:space="preserve"> </w:t>
      </w:r>
      <w:r w:rsidRPr="00B05565">
        <w:t>nezřizuje</w:t>
      </w:r>
      <w:r>
        <w:t xml:space="preserve"> </w:t>
      </w:r>
      <w:r w:rsidRPr="00B05565">
        <w:t>stát,</w:t>
      </w:r>
      <w:r>
        <w:t xml:space="preserve"> </w:t>
      </w:r>
      <w:r w:rsidRPr="00B05565">
        <w:t>kraj,</w:t>
      </w:r>
      <w:r>
        <w:t xml:space="preserve"> </w:t>
      </w:r>
      <w:r w:rsidRPr="00B05565">
        <w:t>obec,</w:t>
      </w:r>
      <w:r>
        <w:t xml:space="preserve"> </w:t>
      </w:r>
      <w:r w:rsidRPr="00B05565">
        <w:t>svazek</w:t>
      </w:r>
      <w:r>
        <w:t xml:space="preserve"> </w:t>
      </w:r>
      <w:r w:rsidRPr="00B05565">
        <w:t>obcí</w:t>
      </w:r>
      <w:r>
        <w:t xml:space="preserve"> </w:t>
      </w:r>
      <w:r w:rsidRPr="00B05565">
        <w:t>nebo</w:t>
      </w:r>
      <w:r>
        <w:t xml:space="preserve"> </w:t>
      </w:r>
      <w:r w:rsidRPr="00B05565">
        <w:t>registrovaná</w:t>
      </w:r>
      <w:r>
        <w:t xml:space="preserve"> </w:t>
      </w:r>
      <w:r w:rsidRPr="00B05565">
        <w:t>církev</w:t>
      </w:r>
      <w:r>
        <w:t xml:space="preserve"> </w:t>
      </w:r>
      <w:r w:rsidRPr="00B05565">
        <w:t>nebo</w:t>
      </w:r>
      <w:r>
        <w:t xml:space="preserve"> </w:t>
      </w:r>
      <w:r w:rsidRPr="00B05565">
        <w:t>náboženská</w:t>
      </w:r>
      <w:r>
        <w:t xml:space="preserve"> </w:t>
      </w:r>
      <w:r w:rsidRPr="00B05565">
        <w:t>společnost,</w:t>
      </w:r>
      <w:r>
        <w:t xml:space="preserve"> </w:t>
      </w:r>
      <w:r w:rsidRPr="00B05565">
        <w:t>které</w:t>
      </w:r>
      <w:r>
        <w:t xml:space="preserve"> </w:t>
      </w:r>
      <w:r w:rsidRPr="00B05565">
        <w:t>bylo</w:t>
      </w:r>
      <w:r>
        <w:t xml:space="preserve"> </w:t>
      </w:r>
      <w:r w:rsidRPr="00B05565">
        <w:t>přiznáno</w:t>
      </w:r>
      <w:r>
        <w:t xml:space="preserve"> </w:t>
      </w:r>
      <w:r w:rsidRPr="00B05565">
        <w:t>oprávnění</w:t>
      </w:r>
      <w:r>
        <w:t xml:space="preserve"> </w:t>
      </w:r>
      <w:r w:rsidRPr="00B05565">
        <w:t>k</w:t>
      </w:r>
      <w:r>
        <w:t xml:space="preserve"> </w:t>
      </w:r>
      <w:r w:rsidRPr="00B05565">
        <w:t>výkonu</w:t>
      </w:r>
      <w:r>
        <w:t xml:space="preserve"> </w:t>
      </w:r>
      <w:r w:rsidRPr="00B05565">
        <w:t>zvláštního</w:t>
      </w:r>
      <w:r>
        <w:t xml:space="preserve"> </w:t>
      </w:r>
      <w:r w:rsidRPr="00B05565">
        <w:t>práva</w:t>
      </w:r>
      <w:r>
        <w:t xml:space="preserve"> </w:t>
      </w:r>
      <w:r w:rsidRPr="00B05565">
        <w:t>zřizovat</w:t>
      </w:r>
      <w:r>
        <w:t xml:space="preserve"> </w:t>
      </w:r>
      <w:r w:rsidRPr="00B05565">
        <w:t>církevní</w:t>
      </w:r>
      <w:r>
        <w:t xml:space="preserve"> </w:t>
      </w:r>
      <w:r w:rsidRPr="00B05565">
        <w:t>školy</w:t>
      </w:r>
      <w:r w:rsidRPr="00A508C6">
        <w:rPr>
          <w:vertAlign w:val="superscript"/>
        </w:rPr>
        <w:t>6)</w:t>
      </w:r>
      <w:r w:rsidRPr="00B05565">
        <w:t>.</w:t>
      </w:r>
    </w:p>
    <w:p w14:paraId="13838D8B" w14:textId="0004003B" w:rsidR="00B9271C" w:rsidRDefault="00B9271C" w:rsidP="00A84DD3">
      <w:pPr>
        <w:pStyle w:val="Textparagrafu"/>
        <w:tabs>
          <w:tab w:val="left" w:pos="392"/>
          <w:tab w:val="left" w:pos="840"/>
        </w:tabs>
        <w:spacing w:before="120" w:after="120"/>
      </w:pPr>
      <w:r w:rsidRPr="00B05565">
        <w:t>(5)</w:t>
      </w:r>
      <w:r>
        <w:t xml:space="preserve"> </w:t>
      </w:r>
      <w:r w:rsidRPr="00B05565">
        <w:t>Krajský</w:t>
      </w:r>
      <w:r>
        <w:t xml:space="preserve"> </w:t>
      </w:r>
      <w:r w:rsidRPr="00B05565">
        <w:t>úřad</w:t>
      </w:r>
      <w:r>
        <w:t xml:space="preserve"> </w:t>
      </w:r>
      <w:r w:rsidRPr="00B05565">
        <w:t>poskytuje</w:t>
      </w:r>
      <w:r>
        <w:t xml:space="preserve"> </w:t>
      </w:r>
      <w:r w:rsidRPr="00B05565">
        <w:t>právnickým</w:t>
      </w:r>
      <w:r>
        <w:t xml:space="preserve"> </w:t>
      </w:r>
      <w:r w:rsidRPr="00B05565">
        <w:t>osobám</w:t>
      </w:r>
      <w:r>
        <w:t xml:space="preserve"> </w:t>
      </w:r>
      <w:r w:rsidRPr="00B05565">
        <w:t>vykonávajícím</w:t>
      </w:r>
      <w:r>
        <w:t xml:space="preserve"> </w:t>
      </w:r>
      <w:r w:rsidRPr="00B05565">
        <w:t>činnost</w:t>
      </w:r>
      <w:r>
        <w:t xml:space="preserve"> </w:t>
      </w:r>
      <w:r w:rsidRPr="00B05565">
        <w:t>škol</w:t>
      </w:r>
      <w:r>
        <w:t xml:space="preserve"> </w:t>
      </w:r>
      <w:r w:rsidRPr="00B05565">
        <w:t>a</w:t>
      </w:r>
      <w:r>
        <w:t xml:space="preserve"> </w:t>
      </w:r>
      <w:r w:rsidRPr="00B05565">
        <w:t>školských</w:t>
      </w:r>
      <w:r>
        <w:t xml:space="preserve"> </w:t>
      </w:r>
      <w:r w:rsidRPr="00B05565">
        <w:t>zařízení,</w:t>
      </w:r>
      <w:r>
        <w:t xml:space="preserve"> </w:t>
      </w:r>
      <w:r w:rsidRPr="00B05565">
        <w:t>které</w:t>
      </w:r>
      <w:r>
        <w:t xml:space="preserve"> </w:t>
      </w:r>
      <w:r w:rsidRPr="00B05565">
        <w:t>nejsou</w:t>
      </w:r>
      <w:r>
        <w:t xml:space="preserve"> </w:t>
      </w:r>
      <w:r w:rsidRPr="00B05565">
        <w:t>zřizovány</w:t>
      </w:r>
      <w:r>
        <w:t xml:space="preserve"> </w:t>
      </w:r>
      <w:r w:rsidRPr="00B05565">
        <w:t>státem,</w:t>
      </w:r>
      <w:r>
        <w:t xml:space="preserve"> </w:t>
      </w:r>
      <w:r w:rsidRPr="00B05565">
        <w:t>krajem,</w:t>
      </w:r>
      <w:r>
        <w:t xml:space="preserve"> </w:t>
      </w:r>
      <w:r w:rsidRPr="00B05565">
        <w:t>obcí,</w:t>
      </w:r>
      <w:r>
        <w:t xml:space="preserve"> </w:t>
      </w:r>
      <w:r w:rsidRPr="00B05565">
        <w:t>svazkem</w:t>
      </w:r>
      <w:r>
        <w:t xml:space="preserve"> </w:t>
      </w:r>
      <w:r w:rsidRPr="00B05565">
        <w:t>obcí</w:t>
      </w:r>
      <w:r>
        <w:t xml:space="preserve"> </w:t>
      </w:r>
      <w:r w:rsidRPr="00B05565">
        <w:t>nebo</w:t>
      </w:r>
      <w:r>
        <w:t xml:space="preserve"> </w:t>
      </w:r>
      <w:r w:rsidRPr="00B05565">
        <w:t>registrovanou</w:t>
      </w:r>
      <w:r>
        <w:t xml:space="preserve"> </w:t>
      </w:r>
      <w:r w:rsidRPr="00B05565">
        <w:t>církví</w:t>
      </w:r>
      <w:r>
        <w:t xml:space="preserve"> </w:t>
      </w:r>
      <w:r w:rsidRPr="00B05565">
        <w:t>nebo</w:t>
      </w:r>
      <w:r>
        <w:t xml:space="preserve"> </w:t>
      </w:r>
      <w:r w:rsidRPr="00B05565">
        <w:t>náboženskou</w:t>
      </w:r>
      <w:r>
        <w:t xml:space="preserve"> </w:t>
      </w:r>
      <w:r w:rsidRPr="00B05565">
        <w:t>společností,</w:t>
      </w:r>
      <w:r>
        <w:t xml:space="preserve"> </w:t>
      </w:r>
      <w:r w:rsidRPr="00B05565">
        <w:t>které</w:t>
      </w:r>
      <w:r>
        <w:t xml:space="preserve"> </w:t>
      </w:r>
      <w:r w:rsidRPr="00B05565">
        <w:t>bylo</w:t>
      </w:r>
      <w:r>
        <w:t xml:space="preserve"> </w:t>
      </w:r>
      <w:r w:rsidRPr="00B05565">
        <w:t>přiznáno</w:t>
      </w:r>
      <w:r>
        <w:t xml:space="preserve"> </w:t>
      </w:r>
      <w:r w:rsidRPr="00B05565">
        <w:t>oprávnění</w:t>
      </w:r>
      <w:r>
        <w:t xml:space="preserve"> </w:t>
      </w:r>
      <w:r w:rsidRPr="00B05565">
        <w:t>k</w:t>
      </w:r>
      <w:r>
        <w:t xml:space="preserve"> </w:t>
      </w:r>
      <w:r w:rsidRPr="00B05565">
        <w:t>výkonu</w:t>
      </w:r>
      <w:r>
        <w:t xml:space="preserve"> </w:t>
      </w:r>
      <w:r w:rsidRPr="00B05565">
        <w:t>zvláštního</w:t>
      </w:r>
      <w:r>
        <w:t xml:space="preserve"> </w:t>
      </w:r>
      <w:r w:rsidRPr="00B05565">
        <w:t>práva</w:t>
      </w:r>
      <w:r>
        <w:t xml:space="preserve"> </w:t>
      </w:r>
      <w:r w:rsidRPr="00B05565">
        <w:t>zřizovat</w:t>
      </w:r>
      <w:r>
        <w:t xml:space="preserve"> </w:t>
      </w:r>
      <w:r w:rsidRPr="00B05565">
        <w:t>církevní</w:t>
      </w:r>
      <w:r>
        <w:t xml:space="preserve"> </w:t>
      </w:r>
      <w:r w:rsidR="00CC0728">
        <w:t>školy</w:t>
      </w:r>
      <w:r w:rsidR="00CC0728" w:rsidRPr="00CC0728">
        <w:rPr>
          <w:vertAlign w:val="superscript"/>
        </w:rPr>
        <w:t>6)</w:t>
      </w:r>
      <w:r w:rsidRPr="00B05565">
        <w:t>,</w:t>
      </w:r>
      <w:r>
        <w:t xml:space="preserve"> </w:t>
      </w:r>
      <w:r w:rsidRPr="00B05565">
        <w:t>dotaci</w:t>
      </w:r>
      <w:r>
        <w:t xml:space="preserve"> </w:t>
      </w:r>
      <w:r w:rsidRPr="00B05565">
        <w:t>v</w:t>
      </w:r>
      <w:r>
        <w:t xml:space="preserve"> </w:t>
      </w:r>
      <w:r w:rsidRPr="00B05565">
        <w:t>rozsahu</w:t>
      </w:r>
      <w:r>
        <w:t xml:space="preserve"> </w:t>
      </w:r>
      <w:r w:rsidRPr="00B05565">
        <w:t>a</w:t>
      </w:r>
      <w:r>
        <w:t xml:space="preserve"> </w:t>
      </w:r>
      <w:r w:rsidRPr="00B05565">
        <w:t>za</w:t>
      </w:r>
      <w:r>
        <w:t xml:space="preserve"> </w:t>
      </w:r>
      <w:r w:rsidRPr="00B05565">
        <w:t>podmínek</w:t>
      </w:r>
      <w:r>
        <w:t xml:space="preserve"> </w:t>
      </w:r>
      <w:r w:rsidRPr="00B05565">
        <w:t>stanovených</w:t>
      </w:r>
      <w:r>
        <w:t xml:space="preserve"> </w:t>
      </w:r>
      <w:r w:rsidRPr="00B05565">
        <w:t>jiným</w:t>
      </w:r>
      <w:r>
        <w:t xml:space="preserve"> </w:t>
      </w:r>
      <w:r w:rsidRPr="00B05565">
        <w:t>právním</w:t>
      </w:r>
      <w:r>
        <w:t xml:space="preserve"> </w:t>
      </w:r>
      <w:r w:rsidR="00CC0728">
        <w:t>předpisem</w:t>
      </w:r>
      <w:r w:rsidR="00CC0728">
        <w:rPr>
          <w:rStyle w:val="Znakapoznpodarou"/>
        </w:rPr>
        <w:footnoteReference w:customMarkFollows="1" w:id="481"/>
        <w:t>31)</w:t>
      </w:r>
      <w:r>
        <w:t xml:space="preserve"> </w:t>
      </w:r>
      <w:r w:rsidRPr="00B05565">
        <w:t>a</w:t>
      </w:r>
      <w:r>
        <w:t xml:space="preserve"> </w:t>
      </w:r>
      <w:r w:rsidRPr="00B05565">
        <w:t>kontroluje</w:t>
      </w:r>
      <w:r>
        <w:t xml:space="preserve"> </w:t>
      </w:r>
      <w:r w:rsidRPr="00B05565">
        <w:t>její</w:t>
      </w:r>
      <w:r>
        <w:t xml:space="preserve"> </w:t>
      </w:r>
      <w:r w:rsidRPr="00B05565">
        <w:t>využití.</w:t>
      </w:r>
    </w:p>
    <w:p w14:paraId="38D9DB6C" w14:textId="77777777" w:rsidR="00B9271C" w:rsidRDefault="00B9271C" w:rsidP="00537DFC">
      <w:pPr>
        <w:pStyle w:val="Textparagrafu"/>
        <w:tabs>
          <w:tab w:val="left" w:pos="392"/>
          <w:tab w:val="left" w:pos="840"/>
        </w:tabs>
        <w:spacing w:after="120"/>
        <w:ind w:firstLine="0"/>
        <w:jc w:val="center"/>
      </w:pPr>
      <w:r w:rsidRPr="00B05565">
        <w:t>§</w:t>
      </w:r>
      <w:r>
        <w:t xml:space="preserve"> </w:t>
      </w:r>
      <w:r w:rsidRPr="00B05565">
        <w:t>162a</w:t>
      </w:r>
    </w:p>
    <w:p w14:paraId="18C3947B" w14:textId="79244B45" w:rsidR="00B9271C" w:rsidRDefault="00B9271C" w:rsidP="00BD5369">
      <w:pPr>
        <w:pStyle w:val="Textparagrafu"/>
        <w:tabs>
          <w:tab w:val="left" w:pos="392"/>
          <w:tab w:val="left" w:pos="840"/>
        </w:tabs>
        <w:spacing w:after="120"/>
      </w:pPr>
      <w:r w:rsidRPr="00B05565">
        <w:t>Ministerstvo</w:t>
      </w:r>
      <w:r>
        <w:t xml:space="preserve"> </w:t>
      </w:r>
      <w:r w:rsidRPr="00B05565">
        <w:t>poskytuje</w:t>
      </w:r>
      <w:r>
        <w:t xml:space="preserve"> </w:t>
      </w:r>
      <w:r w:rsidRPr="00B05565">
        <w:t>poskytovatelům</w:t>
      </w:r>
      <w:r>
        <w:t xml:space="preserve"> </w:t>
      </w:r>
      <w:r w:rsidRPr="00B05565">
        <w:t>vzdělávání</w:t>
      </w:r>
      <w:r>
        <w:t xml:space="preserve"> </w:t>
      </w:r>
      <w:r w:rsidRPr="00B05565">
        <w:t>v</w:t>
      </w:r>
      <w:r>
        <w:t xml:space="preserve"> </w:t>
      </w:r>
      <w:r w:rsidRPr="00B05565">
        <w:t>zahraničí</w:t>
      </w:r>
      <w:r>
        <w:t xml:space="preserve"> </w:t>
      </w:r>
      <w:r w:rsidRPr="00B05565">
        <w:t>příspěvek</w:t>
      </w:r>
      <w:r>
        <w:t xml:space="preserve"> </w:t>
      </w:r>
      <w:r w:rsidRPr="00B05565">
        <w:t>na</w:t>
      </w:r>
      <w:r>
        <w:t xml:space="preserve"> </w:t>
      </w:r>
      <w:r w:rsidRPr="00B05565">
        <w:t>úhradu</w:t>
      </w:r>
      <w:r>
        <w:t xml:space="preserve"> </w:t>
      </w:r>
      <w:r w:rsidRPr="00B05565">
        <w:t>nákladů</w:t>
      </w:r>
      <w:r>
        <w:t xml:space="preserve"> </w:t>
      </w:r>
      <w:r w:rsidRPr="00B05565">
        <w:t>spojených</w:t>
      </w:r>
      <w:r>
        <w:t xml:space="preserve"> </w:t>
      </w:r>
      <w:r w:rsidRPr="00B05565">
        <w:t>s</w:t>
      </w:r>
      <w:r>
        <w:t xml:space="preserve"> </w:t>
      </w:r>
      <w:r w:rsidRPr="00B05565">
        <w:t>poskytováním</w:t>
      </w:r>
      <w:r>
        <w:t xml:space="preserve"> </w:t>
      </w:r>
      <w:r w:rsidRPr="00B05565">
        <w:t>vzdělání</w:t>
      </w:r>
      <w:r>
        <w:t xml:space="preserve"> </w:t>
      </w:r>
      <w:r w:rsidRPr="00B05565">
        <w:t>podle</w:t>
      </w:r>
      <w:r>
        <w:t xml:space="preserve"> </w:t>
      </w:r>
      <w:r w:rsidRPr="00B05565">
        <w:t>tohoto</w:t>
      </w:r>
      <w:r>
        <w:t xml:space="preserve"> </w:t>
      </w:r>
      <w:r w:rsidRPr="00B05565">
        <w:t>zákona</w:t>
      </w:r>
      <w:r>
        <w:t xml:space="preserve"> </w:t>
      </w:r>
      <w:r w:rsidRPr="00B05565">
        <w:t>ze</w:t>
      </w:r>
      <w:r>
        <w:t xml:space="preserve"> </w:t>
      </w:r>
      <w:r w:rsidRPr="00B05565">
        <w:t>státního</w:t>
      </w:r>
      <w:r>
        <w:t xml:space="preserve"> </w:t>
      </w:r>
      <w:r w:rsidRPr="00B05565">
        <w:t>rozpočtu</w:t>
      </w:r>
      <w:r>
        <w:t xml:space="preserve"> </w:t>
      </w:r>
      <w:r w:rsidRPr="00B05565">
        <w:t>v</w:t>
      </w:r>
      <w:r>
        <w:t xml:space="preserve"> </w:t>
      </w:r>
      <w:r w:rsidRPr="00B05565">
        <w:t>závislosti</w:t>
      </w:r>
      <w:r>
        <w:t xml:space="preserve"> </w:t>
      </w:r>
      <w:r w:rsidRPr="00B05565">
        <w:t>zejména</w:t>
      </w:r>
      <w:r>
        <w:t xml:space="preserve"> </w:t>
      </w:r>
      <w:r w:rsidRPr="00B05565">
        <w:t>na</w:t>
      </w:r>
      <w:r>
        <w:t xml:space="preserve"> </w:t>
      </w:r>
      <w:r w:rsidRPr="00B05565">
        <w:t>počtu</w:t>
      </w:r>
      <w:r>
        <w:t xml:space="preserve"> </w:t>
      </w:r>
      <w:r w:rsidRPr="00B05565">
        <w:t>žáků</w:t>
      </w:r>
      <w:r>
        <w:t xml:space="preserve"> </w:t>
      </w:r>
      <w:r w:rsidRPr="00B05565">
        <w:t>a</w:t>
      </w:r>
      <w:r>
        <w:t xml:space="preserve"> </w:t>
      </w:r>
      <w:r w:rsidRPr="00B05565">
        <w:t>počtu</w:t>
      </w:r>
      <w:r>
        <w:t xml:space="preserve"> </w:t>
      </w:r>
      <w:r w:rsidRPr="00B05565">
        <w:t>vyučovacích</w:t>
      </w:r>
      <w:r>
        <w:t xml:space="preserve"> </w:t>
      </w:r>
      <w:r w:rsidRPr="00B05565">
        <w:t>hodin.</w:t>
      </w:r>
      <w:r>
        <w:t xml:space="preserve"> </w:t>
      </w:r>
      <w:r w:rsidRPr="00B05565">
        <w:t>Poskytovatel</w:t>
      </w:r>
      <w:r>
        <w:t xml:space="preserve"> </w:t>
      </w:r>
      <w:r w:rsidRPr="00B05565">
        <w:t>vzdělání</w:t>
      </w:r>
      <w:r>
        <w:t xml:space="preserve"> </w:t>
      </w:r>
      <w:r w:rsidRPr="00B05565">
        <w:t>v</w:t>
      </w:r>
      <w:r>
        <w:t xml:space="preserve"> </w:t>
      </w:r>
      <w:r w:rsidRPr="00B05565">
        <w:t>zahraničí</w:t>
      </w:r>
      <w:r>
        <w:t xml:space="preserve"> </w:t>
      </w:r>
      <w:r w:rsidRPr="00B05565">
        <w:t>má</w:t>
      </w:r>
      <w:r>
        <w:t xml:space="preserve"> </w:t>
      </w:r>
      <w:r w:rsidRPr="00B05565">
        <w:t>povinnost</w:t>
      </w:r>
      <w:r>
        <w:t xml:space="preserve"> </w:t>
      </w:r>
      <w:r w:rsidRPr="00B05565">
        <w:t>zaslat</w:t>
      </w:r>
      <w:r>
        <w:t xml:space="preserve"> </w:t>
      </w:r>
      <w:r w:rsidRPr="00B05565">
        <w:t>ministerstvu</w:t>
      </w:r>
      <w:r>
        <w:t xml:space="preserve"> </w:t>
      </w:r>
      <w:r w:rsidRPr="00B05565">
        <w:t>vyúčtování</w:t>
      </w:r>
      <w:r>
        <w:t xml:space="preserve"> </w:t>
      </w:r>
      <w:r w:rsidRPr="00B05565">
        <w:t>poskytnutých</w:t>
      </w:r>
      <w:r>
        <w:t xml:space="preserve"> </w:t>
      </w:r>
      <w:r w:rsidRPr="00B05565">
        <w:t>prostředků</w:t>
      </w:r>
      <w:r>
        <w:t xml:space="preserve"> </w:t>
      </w:r>
      <w:r w:rsidRPr="00B05565">
        <w:t>dokládajících</w:t>
      </w:r>
      <w:r>
        <w:t xml:space="preserve"> </w:t>
      </w:r>
      <w:r w:rsidRPr="00B05565">
        <w:t>jejich</w:t>
      </w:r>
      <w:r>
        <w:t xml:space="preserve"> </w:t>
      </w:r>
      <w:r w:rsidRPr="00B05565">
        <w:t>využití</w:t>
      </w:r>
      <w:r>
        <w:t xml:space="preserve"> </w:t>
      </w:r>
      <w:r w:rsidRPr="00B05565">
        <w:t>v</w:t>
      </w:r>
      <w:r>
        <w:t xml:space="preserve"> </w:t>
      </w:r>
      <w:r w:rsidRPr="00B05565">
        <w:t>souladu</w:t>
      </w:r>
      <w:r>
        <w:t xml:space="preserve"> </w:t>
      </w:r>
      <w:r w:rsidRPr="00B05565">
        <w:t>se</w:t>
      </w:r>
      <w:r>
        <w:t xml:space="preserve"> </w:t>
      </w:r>
      <w:r w:rsidRPr="00B05565">
        <w:t>zákonem</w:t>
      </w:r>
      <w:r>
        <w:t xml:space="preserve"> </w:t>
      </w:r>
      <w:r w:rsidRPr="00B05565">
        <w:t>do</w:t>
      </w:r>
      <w:r>
        <w:t xml:space="preserve"> </w:t>
      </w:r>
      <w:r w:rsidRPr="00B05565">
        <w:t>konce</w:t>
      </w:r>
      <w:r>
        <w:t xml:space="preserve"> </w:t>
      </w:r>
      <w:r w:rsidRPr="00B05565">
        <w:t>měsíce</w:t>
      </w:r>
      <w:r>
        <w:t xml:space="preserve"> </w:t>
      </w:r>
      <w:r w:rsidRPr="00B05565">
        <w:t>následujícího</w:t>
      </w:r>
      <w:r>
        <w:t xml:space="preserve"> </w:t>
      </w:r>
      <w:r w:rsidRPr="00B05565">
        <w:t>po</w:t>
      </w:r>
      <w:r>
        <w:t xml:space="preserve"> </w:t>
      </w:r>
      <w:r w:rsidRPr="00B05565">
        <w:t>skončení</w:t>
      </w:r>
      <w:r>
        <w:t xml:space="preserve"> </w:t>
      </w:r>
      <w:r w:rsidRPr="00B05565">
        <w:t>období,</w:t>
      </w:r>
      <w:r>
        <w:t xml:space="preserve"> </w:t>
      </w:r>
      <w:r w:rsidRPr="00B05565">
        <w:t>na</w:t>
      </w:r>
      <w:r>
        <w:t xml:space="preserve"> </w:t>
      </w:r>
      <w:r w:rsidRPr="00B05565">
        <w:t>které</w:t>
      </w:r>
      <w:r>
        <w:t xml:space="preserve"> </w:t>
      </w:r>
      <w:r w:rsidRPr="00B05565">
        <w:t>byly</w:t>
      </w:r>
      <w:r>
        <w:t xml:space="preserve"> </w:t>
      </w:r>
      <w:r w:rsidRPr="00B05565">
        <w:t>poskytnuty.</w:t>
      </w:r>
      <w:r>
        <w:t xml:space="preserve"> </w:t>
      </w:r>
      <w:r w:rsidRPr="00B05565">
        <w:t>Pokud</w:t>
      </w:r>
      <w:r>
        <w:t xml:space="preserve"> </w:t>
      </w:r>
      <w:r w:rsidRPr="00B05565">
        <w:t>není</w:t>
      </w:r>
      <w:r>
        <w:t xml:space="preserve"> </w:t>
      </w:r>
      <w:r w:rsidRPr="00B05565">
        <w:t>vyúčtování</w:t>
      </w:r>
      <w:r>
        <w:t xml:space="preserve"> </w:t>
      </w:r>
      <w:r w:rsidRPr="00B05565">
        <w:t>předloženo</w:t>
      </w:r>
      <w:r>
        <w:t xml:space="preserve"> </w:t>
      </w:r>
      <w:r w:rsidRPr="00B05565">
        <w:t>řádně</w:t>
      </w:r>
      <w:r>
        <w:t xml:space="preserve"> </w:t>
      </w:r>
      <w:r w:rsidRPr="00B05565">
        <w:t>a</w:t>
      </w:r>
      <w:r>
        <w:t xml:space="preserve"> </w:t>
      </w:r>
      <w:r w:rsidRPr="00B05565">
        <w:t>včas,</w:t>
      </w:r>
      <w:r>
        <w:t xml:space="preserve"> </w:t>
      </w:r>
      <w:r w:rsidRPr="00B05565">
        <w:t>nemusí</w:t>
      </w:r>
      <w:r>
        <w:t xml:space="preserve"> </w:t>
      </w:r>
      <w:r w:rsidRPr="00B05565">
        <w:t>ministerstvo</w:t>
      </w:r>
      <w:r>
        <w:t xml:space="preserve"> </w:t>
      </w:r>
      <w:r w:rsidRPr="00B05565">
        <w:t>poskytovateli</w:t>
      </w:r>
      <w:r>
        <w:t xml:space="preserve"> </w:t>
      </w:r>
      <w:r w:rsidRPr="00B05565">
        <w:t>vzdělávání</w:t>
      </w:r>
      <w:r>
        <w:t xml:space="preserve"> </w:t>
      </w:r>
      <w:r w:rsidRPr="00B05565">
        <w:t>v</w:t>
      </w:r>
      <w:r>
        <w:t xml:space="preserve"> </w:t>
      </w:r>
      <w:r w:rsidRPr="00B05565">
        <w:t>zahraničí</w:t>
      </w:r>
      <w:r>
        <w:t xml:space="preserve"> </w:t>
      </w:r>
      <w:r w:rsidRPr="00B05565">
        <w:t>poskytnout</w:t>
      </w:r>
      <w:r>
        <w:t xml:space="preserve"> </w:t>
      </w:r>
      <w:r w:rsidRPr="00111002">
        <w:rPr>
          <w:strike/>
        </w:rPr>
        <w:t>finanční</w:t>
      </w:r>
      <w:r w:rsidRPr="00111002">
        <w:t xml:space="preserve"> </w:t>
      </w:r>
      <w:r w:rsidR="00111002">
        <w:rPr>
          <w:b/>
        </w:rPr>
        <w:t xml:space="preserve">peněžní </w:t>
      </w:r>
      <w:r w:rsidRPr="00B05565">
        <w:t>prostředky</w:t>
      </w:r>
      <w:r>
        <w:t xml:space="preserve"> </w:t>
      </w:r>
      <w:r w:rsidRPr="00B05565">
        <w:t>v</w:t>
      </w:r>
      <w:r>
        <w:t xml:space="preserve"> </w:t>
      </w:r>
      <w:r w:rsidRPr="00B05565">
        <w:t>následujícím</w:t>
      </w:r>
      <w:r>
        <w:t xml:space="preserve"> </w:t>
      </w:r>
      <w:r w:rsidRPr="00B05565">
        <w:t>období.</w:t>
      </w:r>
    </w:p>
    <w:p w14:paraId="397B12DD" w14:textId="1E961994" w:rsidR="00B9271C" w:rsidRDefault="00B9271C" w:rsidP="008F5B77">
      <w:pPr>
        <w:pStyle w:val="Textparagrafu"/>
        <w:tabs>
          <w:tab w:val="left" w:pos="392"/>
          <w:tab w:val="left" w:pos="840"/>
        </w:tabs>
        <w:spacing w:after="120"/>
        <w:ind w:firstLine="0"/>
        <w:jc w:val="center"/>
      </w:pPr>
      <w:r w:rsidRPr="00B05565">
        <w:t>§</w:t>
      </w:r>
      <w:r>
        <w:t xml:space="preserve"> </w:t>
      </w:r>
      <w:r w:rsidRPr="00B05565">
        <w:t>163</w:t>
      </w:r>
    </w:p>
    <w:p w14:paraId="418F8559" w14:textId="77777777" w:rsidR="00B9271C" w:rsidRPr="008F5B77" w:rsidRDefault="00B9271C" w:rsidP="008F5B77">
      <w:pPr>
        <w:pStyle w:val="Textparagrafu"/>
        <w:tabs>
          <w:tab w:val="left" w:pos="392"/>
          <w:tab w:val="left" w:pos="840"/>
        </w:tabs>
        <w:spacing w:after="120"/>
        <w:ind w:firstLine="0"/>
        <w:jc w:val="center"/>
        <w:rPr>
          <w:b/>
        </w:rPr>
      </w:pPr>
      <w:r w:rsidRPr="008F5B77">
        <w:rPr>
          <w:b/>
        </w:rPr>
        <w:t>Další výdaje státního rozpočtu pro školy a školská zařízení zapsaná ve školském rejstříku</w:t>
      </w:r>
    </w:p>
    <w:p w14:paraId="39FB71BD" w14:textId="49088845" w:rsidR="00B9271C" w:rsidRDefault="00B9271C" w:rsidP="00A84DD3">
      <w:pPr>
        <w:pStyle w:val="Textparagrafu"/>
        <w:tabs>
          <w:tab w:val="left" w:pos="392"/>
          <w:tab w:val="left" w:pos="840"/>
        </w:tabs>
        <w:spacing w:before="120" w:after="120"/>
      </w:pPr>
      <w:r w:rsidRPr="00B05565">
        <w:t>(1)</w:t>
      </w:r>
      <w:r>
        <w:t xml:space="preserve"> </w:t>
      </w:r>
      <w:r w:rsidRPr="00B05565">
        <w:t>Ministerstvo</w:t>
      </w:r>
      <w:r>
        <w:t xml:space="preserve"> </w:t>
      </w:r>
      <w:r w:rsidRPr="00B05565">
        <w:t>poskytuje</w:t>
      </w:r>
      <w:r>
        <w:t xml:space="preserve"> </w:t>
      </w:r>
      <w:r w:rsidRPr="00111002">
        <w:rPr>
          <w:strike/>
        </w:rPr>
        <w:t>finanční</w:t>
      </w:r>
      <w:r>
        <w:t xml:space="preserve"> </w:t>
      </w:r>
      <w:r w:rsidR="00111002">
        <w:rPr>
          <w:b/>
        </w:rPr>
        <w:t xml:space="preserve">peněžní </w:t>
      </w:r>
      <w:r w:rsidRPr="00B05565">
        <w:t>prostředky</w:t>
      </w:r>
      <w:r>
        <w:t xml:space="preserve"> </w:t>
      </w:r>
      <w:r w:rsidRPr="00B05565">
        <w:t>na</w:t>
      </w:r>
      <w:r>
        <w:t xml:space="preserve"> </w:t>
      </w:r>
      <w:r w:rsidRPr="00B05565">
        <w:t>úhradu</w:t>
      </w:r>
      <w:r>
        <w:t xml:space="preserve"> </w:t>
      </w:r>
      <w:r w:rsidRPr="00B05565">
        <w:t>nezbytných</w:t>
      </w:r>
      <w:r>
        <w:t xml:space="preserve"> </w:t>
      </w:r>
      <w:r w:rsidRPr="00B05565">
        <w:t>prokazatelných</w:t>
      </w:r>
      <w:r>
        <w:t xml:space="preserve"> </w:t>
      </w:r>
      <w:r w:rsidRPr="00B05565">
        <w:t>nákladů</w:t>
      </w:r>
      <w:r>
        <w:t xml:space="preserve"> </w:t>
      </w:r>
      <w:r w:rsidRPr="00B05565">
        <w:t>spojených</w:t>
      </w:r>
      <w:r>
        <w:t xml:space="preserve"> </w:t>
      </w:r>
      <w:r w:rsidRPr="00B05565">
        <w:t>s</w:t>
      </w:r>
      <w:r>
        <w:t xml:space="preserve"> </w:t>
      </w:r>
      <w:r w:rsidRPr="00B05565">
        <w:t>konáním</w:t>
      </w:r>
      <w:r>
        <w:t xml:space="preserve"> </w:t>
      </w:r>
      <w:r w:rsidRPr="00B05565">
        <w:t>závěrečných</w:t>
      </w:r>
      <w:r>
        <w:t xml:space="preserve"> </w:t>
      </w:r>
      <w:r w:rsidRPr="00B05565">
        <w:t>zkoušek,</w:t>
      </w:r>
      <w:r>
        <w:t xml:space="preserve"> </w:t>
      </w:r>
      <w:r w:rsidRPr="00B05565">
        <w:t>maturitních</w:t>
      </w:r>
      <w:r>
        <w:t xml:space="preserve"> </w:t>
      </w:r>
      <w:r w:rsidRPr="00B05565">
        <w:t>zkoušek</w:t>
      </w:r>
      <w:r>
        <w:t xml:space="preserve"> </w:t>
      </w:r>
      <w:r w:rsidRPr="00B05565">
        <w:t>a</w:t>
      </w:r>
      <w:r>
        <w:t xml:space="preserve"> </w:t>
      </w:r>
      <w:r w:rsidRPr="00B05565">
        <w:t>absolutorií</w:t>
      </w:r>
      <w:r>
        <w:t xml:space="preserve"> </w:t>
      </w:r>
      <w:r w:rsidRPr="00B05565">
        <w:t>v</w:t>
      </w:r>
      <w:r>
        <w:t xml:space="preserve"> </w:t>
      </w:r>
      <w:r w:rsidRPr="00B05565">
        <w:t>konzervatoři</w:t>
      </w:r>
      <w:r>
        <w:t xml:space="preserve"> </w:t>
      </w:r>
      <w:r w:rsidRPr="00B05565">
        <w:t>podle</w:t>
      </w:r>
      <w:r>
        <w:t xml:space="preserve"> </w:t>
      </w:r>
      <w:r w:rsidRPr="00B05565">
        <w:t>§</w:t>
      </w:r>
      <w:r>
        <w:t xml:space="preserve"> </w:t>
      </w:r>
      <w:r w:rsidRPr="00B05565">
        <w:t>113c.</w:t>
      </w:r>
    </w:p>
    <w:p w14:paraId="7E47214B" w14:textId="24E5CCD1" w:rsidR="00B9271C" w:rsidRDefault="00B9271C" w:rsidP="00AB5ED2">
      <w:pPr>
        <w:pStyle w:val="Textparagrafu"/>
        <w:tabs>
          <w:tab w:val="left" w:pos="392"/>
          <w:tab w:val="left" w:pos="840"/>
        </w:tabs>
        <w:spacing w:before="0"/>
        <w:ind w:left="426" w:hanging="426"/>
      </w:pPr>
      <w:r w:rsidRPr="00B05565">
        <w:lastRenderedPageBreak/>
        <w:t>a)</w:t>
      </w:r>
      <w:r w:rsidR="008F5B77">
        <w:tab/>
      </w:r>
      <w:r w:rsidRPr="00B05565">
        <w:t>krajskému</w:t>
      </w:r>
      <w:r>
        <w:t xml:space="preserve"> </w:t>
      </w:r>
      <w:r w:rsidRPr="00B05565">
        <w:t>úřadu</w:t>
      </w:r>
      <w:r>
        <w:t xml:space="preserve"> </w:t>
      </w:r>
      <w:r w:rsidRPr="00B05565">
        <w:t>na</w:t>
      </w:r>
      <w:r>
        <w:t xml:space="preserve"> </w:t>
      </w:r>
      <w:r w:rsidRPr="00B05565">
        <w:t>zvláštní</w:t>
      </w:r>
      <w:r>
        <w:t xml:space="preserve"> </w:t>
      </w:r>
      <w:r w:rsidRPr="00B05565">
        <w:t>účet</w:t>
      </w:r>
      <w:r>
        <w:t xml:space="preserve"> </w:t>
      </w:r>
      <w:r w:rsidRPr="00B05565">
        <w:t>kraje</w:t>
      </w:r>
      <w:r>
        <w:t xml:space="preserve"> </w:t>
      </w:r>
      <w:r w:rsidRPr="00B05565">
        <w:t>pro</w:t>
      </w:r>
      <w:r>
        <w:t xml:space="preserve"> </w:t>
      </w:r>
      <w:r w:rsidRPr="00B05565">
        <w:t>školy</w:t>
      </w:r>
      <w:r>
        <w:t xml:space="preserve"> </w:t>
      </w:r>
      <w:r w:rsidRPr="00B05565">
        <w:t>a</w:t>
      </w:r>
      <w:r>
        <w:t xml:space="preserve"> </w:t>
      </w:r>
      <w:r w:rsidRPr="00B05565">
        <w:t>školská</w:t>
      </w:r>
      <w:r>
        <w:t xml:space="preserve"> </w:t>
      </w:r>
      <w:r w:rsidRPr="00B05565">
        <w:t>zařízení,</w:t>
      </w:r>
      <w:r>
        <w:t xml:space="preserve"> </w:t>
      </w:r>
      <w:r w:rsidRPr="00B05565">
        <w:t>které</w:t>
      </w:r>
      <w:r>
        <w:t xml:space="preserve"> </w:t>
      </w:r>
      <w:r w:rsidRPr="00B05565">
        <w:t>nezřizuje</w:t>
      </w:r>
      <w:r>
        <w:t xml:space="preserve"> </w:t>
      </w:r>
      <w:r w:rsidRPr="00B05565">
        <w:t>ministerstvo,</w:t>
      </w:r>
      <w:r>
        <w:t xml:space="preserve"> </w:t>
      </w:r>
      <w:r w:rsidRPr="00B05565">
        <w:t>registrované</w:t>
      </w:r>
      <w:r>
        <w:t xml:space="preserve"> </w:t>
      </w:r>
      <w:r w:rsidRPr="00B05565">
        <w:t>církve</w:t>
      </w:r>
      <w:r>
        <w:t xml:space="preserve"> </w:t>
      </w:r>
      <w:r w:rsidRPr="00B05565">
        <w:t>nebo</w:t>
      </w:r>
      <w:r>
        <w:t xml:space="preserve"> </w:t>
      </w:r>
      <w:r w:rsidRPr="00B05565">
        <w:t>náboženské</w:t>
      </w:r>
      <w:r>
        <w:t xml:space="preserve"> </w:t>
      </w:r>
      <w:r w:rsidRPr="00B05565">
        <w:t>společnosti,</w:t>
      </w:r>
      <w:r>
        <w:t xml:space="preserve"> </w:t>
      </w:r>
      <w:r w:rsidRPr="00B05565">
        <w:t>kterým</w:t>
      </w:r>
      <w:r>
        <w:t xml:space="preserve"> </w:t>
      </w:r>
      <w:r w:rsidRPr="00B05565">
        <w:t>bylo</w:t>
      </w:r>
      <w:r>
        <w:t xml:space="preserve"> </w:t>
      </w:r>
      <w:r w:rsidRPr="00B05565">
        <w:t>přiznáno</w:t>
      </w:r>
      <w:r>
        <w:t xml:space="preserve"> </w:t>
      </w:r>
      <w:r w:rsidRPr="00B05565">
        <w:t>oprávnění</w:t>
      </w:r>
      <w:r>
        <w:t xml:space="preserve"> </w:t>
      </w:r>
      <w:r w:rsidRPr="00B05565">
        <w:t>k</w:t>
      </w:r>
      <w:r>
        <w:t xml:space="preserve"> </w:t>
      </w:r>
      <w:r w:rsidRPr="00B05565">
        <w:t>výkonu</w:t>
      </w:r>
      <w:r>
        <w:t xml:space="preserve"> </w:t>
      </w:r>
      <w:r w:rsidRPr="00B05565">
        <w:t>zvláštního</w:t>
      </w:r>
      <w:r>
        <w:t xml:space="preserve"> </w:t>
      </w:r>
      <w:r w:rsidRPr="00B05565">
        <w:t>práva</w:t>
      </w:r>
      <w:r>
        <w:t xml:space="preserve"> </w:t>
      </w:r>
      <w:r w:rsidRPr="00B05565">
        <w:t>zřizovat</w:t>
      </w:r>
      <w:r>
        <w:t xml:space="preserve"> </w:t>
      </w:r>
      <w:r w:rsidRPr="00B05565">
        <w:t>církevní</w:t>
      </w:r>
      <w:r>
        <w:t xml:space="preserve"> </w:t>
      </w:r>
      <w:r w:rsidRPr="00B05565">
        <w:t>školy;</w:t>
      </w:r>
      <w:r w:rsidRPr="008F5B77">
        <w:rPr>
          <w:vertAlign w:val="superscript"/>
        </w:rPr>
        <w:t>6)</w:t>
      </w:r>
      <w:r>
        <w:t xml:space="preserve"> </w:t>
      </w:r>
      <w:r w:rsidRPr="00B05565">
        <w:t>krajský</w:t>
      </w:r>
      <w:r>
        <w:t xml:space="preserve"> </w:t>
      </w:r>
      <w:r w:rsidRPr="00B05565">
        <w:t>úřad</w:t>
      </w:r>
      <w:r>
        <w:t xml:space="preserve"> </w:t>
      </w:r>
      <w:r w:rsidRPr="00B05565">
        <w:t>v</w:t>
      </w:r>
      <w:r>
        <w:t xml:space="preserve"> </w:t>
      </w:r>
      <w:r w:rsidRPr="00B05565">
        <w:t>přenesené</w:t>
      </w:r>
      <w:r>
        <w:t xml:space="preserve"> </w:t>
      </w:r>
      <w:r w:rsidRPr="00B05565">
        <w:t>působnosti</w:t>
      </w:r>
      <w:r>
        <w:t xml:space="preserve"> </w:t>
      </w:r>
      <w:r w:rsidRPr="00B05565">
        <w:t>tyto</w:t>
      </w:r>
      <w:r>
        <w:t xml:space="preserve"> </w:t>
      </w:r>
      <w:r w:rsidRPr="00111002">
        <w:rPr>
          <w:strike/>
        </w:rPr>
        <w:t>finanční</w:t>
      </w:r>
      <w:r>
        <w:t xml:space="preserve"> </w:t>
      </w:r>
      <w:r w:rsidR="00111002">
        <w:rPr>
          <w:b/>
        </w:rPr>
        <w:t xml:space="preserve">peněžní </w:t>
      </w:r>
      <w:r w:rsidRPr="00B05565">
        <w:t>prostředky</w:t>
      </w:r>
      <w:r>
        <w:t xml:space="preserve"> </w:t>
      </w:r>
      <w:r w:rsidRPr="00B05565">
        <w:t>přiděluje</w:t>
      </w:r>
      <w:r>
        <w:t xml:space="preserve"> </w:t>
      </w:r>
      <w:r w:rsidRPr="00B05565">
        <w:t>právnickým</w:t>
      </w:r>
      <w:r>
        <w:t xml:space="preserve"> </w:t>
      </w:r>
      <w:r w:rsidRPr="00B05565">
        <w:t>osobám</w:t>
      </w:r>
      <w:r>
        <w:t xml:space="preserve"> </w:t>
      </w:r>
      <w:r w:rsidRPr="00B05565">
        <w:t>vykonávajícím</w:t>
      </w:r>
      <w:r>
        <w:t xml:space="preserve"> </w:t>
      </w:r>
      <w:r w:rsidRPr="00B05565">
        <w:t>činnost</w:t>
      </w:r>
      <w:r>
        <w:t xml:space="preserve"> </w:t>
      </w:r>
      <w:r w:rsidRPr="00B05565">
        <w:t>těchto</w:t>
      </w:r>
      <w:r>
        <w:t xml:space="preserve"> </w:t>
      </w:r>
      <w:r w:rsidRPr="00B05565">
        <w:t>škol</w:t>
      </w:r>
      <w:r>
        <w:t xml:space="preserve"> </w:t>
      </w:r>
      <w:r w:rsidRPr="00B05565">
        <w:t>a</w:t>
      </w:r>
      <w:r>
        <w:t xml:space="preserve"> </w:t>
      </w:r>
      <w:r w:rsidRPr="00B05565">
        <w:t>školských</w:t>
      </w:r>
      <w:r>
        <w:t xml:space="preserve"> </w:t>
      </w:r>
      <w:r w:rsidRPr="00B05565">
        <w:t>zařízení</w:t>
      </w:r>
      <w:r>
        <w:t xml:space="preserve"> </w:t>
      </w:r>
      <w:r w:rsidRPr="00B05565">
        <w:t>a</w:t>
      </w:r>
      <w:r>
        <w:t xml:space="preserve"> </w:t>
      </w:r>
      <w:r w:rsidRPr="00B05565">
        <w:t>o</w:t>
      </w:r>
      <w:r>
        <w:t xml:space="preserve"> </w:t>
      </w:r>
      <w:r w:rsidRPr="00B05565">
        <w:t>přidělení</w:t>
      </w:r>
      <w:r>
        <w:t xml:space="preserve"> </w:t>
      </w:r>
      <w:r w:rsidRPr="00111002">
        <w:rPr>
          <w:strike/>
        </w:rPr>
        <w:t>finančních</w:t>
      </w:r>
      <w:r>
        <w:t xml:space="preserve"> </w:t>
      </w:r>
      <w:r w:rsidR="00111002">
        <w:rPr>
          <w:b/>
        </w:rPr>
        <w:t xml:space="preserve">peněžních </w:t>
      </w:r>
      <w:r w:rsidRPr="00B05565">
        <w:t>prostředků</w:t>
      </w:r>
      <w:r>
        <w:t xml:space="preserve"> </w:t>
      </w:r>
      <w:r w:rsidRPr="00B05565">
        <w:t>následně</w:t>
      </w:r>
      <w:r>
        <w:t xml:space="preserve"> </w:t>
      </w:r>
      <w:r w:rsidRPr="00B05565">
        <w:t>informuje</w:t>
      </w:r>
      <w:r>
        <w:t xml:space="preserve"> </w:t>
      </w:r>
      <w:r w:rsidRPr="00B05565">
        <w:t>zastupitelstvo</w:t>
      </w:r>
      <w:r>
        <w:t xml:space="preserve"> </w:t>
      </w:r>
      <w:r w:rsidRPr="00B05565">
        <w:t>kraje,</w:t>
      </w:r>
    </w:p>
    <w:p w14:paraId="09D53EF3" w14:textId="4EDDB0EE" w:rsidR="00B9271C" w:rsidRDefault="00B9271C" w:rsidP="00AB5ED2">
      <w:pPr>
        <w:pStyle w:val="Textparagrafu"/>
        <w:tabs>
          <w:tab w:val="left" w:pos="392"/>
          <w:tab w:val="left" w:pos="840"/>
        </w:tabs>
        <w:spacing w:before="0"/>
        <w:ind w:left="426" w:hanging="426"/>
      </w:pPr>
      <w:r w:rsidRPr="00B05565">
        <w:t>b)</w:t>
      </w:r>
      <w:r w:rsidR="008F5B77">
        <w:tab/>
      </w:r>
      <w:r w:rsidRPr="00B05565">
        <w:t>právnickým</w:t>
      </w:r>
      <w:r>
        <w:t xml:space="preserve"> </w:t>
      </w:r>
      <w:r w:rsidRPr="00B05565">
        <w:t>osobám</w:t>
      </w:r>
      <w:r>
        <w:t xml:space="preserve"> </w:t>
      </w:r>
      <w:r w:rsidRPr="00B05565">
        <w:t>vykonávajícím</w:t>
      </w:r>
      <w:r>
        <w:t xml:space="preserve"> </w:t>
      </w:r>
      <w:r w:rsidRPr="00B05565">
        <w:t>činnost</w:t>
      </w:r>
      <w:r>
        <w:t xml:space="preserve"> </w:t>
      </w:r>
      <w:r w:rsidRPr="00B05565">
        <w:t>škol</w:t>
      </w:r>
      <w:r>
        <w:t xml:space="preserve"> </w:t>
      </w:r>
      <w:r w:rsidRPr="00B05565">
        <w:t>a</w:t>
      </w:r>
      <w:r>
        <w:t xml:space="preserve"> </w:t>
      </w:r>
      <w:r w:rsidRPr="00B05565">
        <w:t>školských</w:t>
      </w:r>
      <w:r>
        <w:t xml:space="preserve"> </w:t>
      </w:r>
      <w:r w:rsidRPr="00B05565">
        <w:t>zařízení,</w:t>
      </w:r>
      <w:r>
        <w:t xml:space="preserve"> </w:t>
      </w:r>
      <w:r w:rsidRPr="00B05565">
        <w:t>které</w:t>
      </w:r>
      <w:r>
        <w:t xml:space="preserve"> </w:t>
      </w:r>
      <w:r w:rsidRPr="00B05565">
        <w:t>zřizuje</w:t>
      </w:r>
      <w:r>
        <w:t xml:space="preserve"> </w:t>
      </w:r>
      <w:r w:rsidRPr="00B05565">
        <w:t>ministerstvo</w:t>
      </w:r>
      <w:r>
        <w:t xml:space="preserve"> </w:t>
      </w:r>
      <w:r w:rsidRPr="00B05565">
        <w:t>a</w:t>
      </w:r>
      <w:r>
        <w:t xml:space="preserve"> </w:t>
      </w:r>
      <w:r w:rsidRPr="00B05565">
        <w:t>registrované</w:t>
      </w:r>
      <w:r>
        <w:t xml:space="preserve"> </w:t>
      </w:r>
      <w:r w:rsidRPr="00B05565">
        <w:t>církve</w:t>
      </w:r>
      <w:r>
        <w:t xml:space="preserve"> </w:t>
      </w:r>
      <w:r w:rsidRPr="00B05565">
        <w:t>nebo</w:t>
      </w:r>
      <w:r>
        <w:t xml:space="preserve"> </w:t>
      </w:r>
      <w:r w:rsidRPr="00B05565">
        <w:t>náboženské</w:t>
      </w:r>
      <w:r>
        <w:t xml:space="preserve"> </w:t>
      </w:r>
      <w:r w:rsidRPr="00B05565">
        <w:t>společnosti,</w:t>
      </w:r>
      <w:r>
        <w:t xml:space="preserve"> </w:t>
      </w:r>
      <w:r w:rsidRPr="00B05565">
        <w:t>kterým</w:t>
      </w:r>
      <w:r>
        <w:t xml:space="preserve"> </w:t>
      </w:r>
      <w:r w:rsidRPr="00B05565">
        <w:t>bylo</w:t>
      </w:r>
      <w:r>
        <w:t xml:space="preserve"> </w:t>
      </w:r>
      <w:r w:rsidRPr="00B05565">
        <w:t>přiznáno</w:t>
      </w:r>
      <w:r>
        <w:t xml:space="preserve"> </w:t>
      </w:r>
      <w:r w:rsidRPr="00B05565">
        <w:t>oprávnění</w:t>
      </w:r>
      <w:r>
        <w:t xml:space="preserve"> </w:t>
      </w:r>
      <w:r w:rsidRPr="00B05565">
        <w:t>k</w:t>
      </w:r>
      <w:r>
        <w:t xml:space="preserve"> </w:t>
      </w:r>
      <w:r w:rsidRPr="00B05565">
        <w:t>výkonu</w:t>
      </w:r>
      <w:r>
        <w:t xml:space="preserve"> </w:t>
      </w:r>
      <w:r w:rsidRPr="00B05565">
        <w:t>zvláštního</w:t>
      </w:r>
      <w:r>
        <w:t xml:space="preserve"> </w:t>
      </w:r>
      <w:r w:rsidRPr="00B05565">
        <w:t>práva</w:t>
      </w:r>
      <w:r>
        <w:t xml:space="preserve"> </w:t>
      </w:r>
      <w:r w:rsidRPr="00B05565">
        <w:t>zřizovat</w:t>
      </w:r>
      <w:r>
        <w:t xml:space="preserve"> </w:t>
      </w:r>
      <w:r w:rsidRPr="00B05565">
        <w:t>církevní</w:t>
      </w:r>
      <w:r>
        <w:t xml:space="preserve"> </w:t>
      </w:r>
      <w:proofErr w:type="gramStart"/>
      <w:r w:rsidRPr="00B05565">
        <w:t>školy.</w:t>
      </w:r>
      <w:r w:rsidRPr="008F5B77">
        <w:rPr>
          <w:vertAlign w:val="superscript"/>
        </w:rPr>
        <w:t>6)</w:t>
      </w:r>
      <w:proofErr w:type="gramEnd"/>
    </w:p>
    <w:p w14:paraId="54DC97C3" w14:textId="77777777" w:rsidR="00B9271C" w:rsidRDefault="00B9271C" w:rsidP="00A84DD3">
      <w:pPr>
        <w:pStyle w:val="Textparagrafu"/>
        <w:tabs>
          <w:tab w:val="left" w:pos="392"/>
          <w:tab w:val="left" w:pos="840"/>
        </w:tabs>
        <w:spacing w:before="120" w:after="120"/>
      </w:pPr>
      <w:r w:rsidRPr="00B05565">
        <w:t>(2)</w:t>
      </w:r>
      <w:r>
        <w:t xml:space="preserve"> </w:t>
      </w:r>
      <w:r w:rsidRPr="00B05565">
        <w:t>Zákon</w:t>
      </w:r>
      <w:r>
        <w:t xml:space="preserve"> </w:t>
      </w:r>
      <w:r w:rsidRPr="00B05565">
        <w:t>o</w:t>
      </w:r>
      <w:r>
        <w:t xml:space="preserve"> </w:t>
      </w:r>
      <w:r w:rsidRPr="00B05565">
        <w:t>státním</w:t>
      </w:r>
      <w:r>
        <w:t xml:space="preserve"> </w:t>
      </w:r>
      <w:r w:rsidRPr="00B05565">
        <w:t>rozpočtu</w:t>
      </w:r>
      <w:r>
        <w:t xml:space="preserve"> </w:t>
      </w:r>
      <w:r w:rsidRPr="00B05565">
        <w:t>stanoví</w:t>
      </w:r>
      <w:r>
        <w:t xml:space="preserve"> </w:t>
      </w:r>
      <w:r w:rsidRPr="00B05565">
        <w:t>výše</w:t>
      </w:r>
      <w:r>
        <w:t xml:space="preserve"> </w:t>
      </w:r>
      <w:r w:rsidRPr="00B05565">
        <w:t>dotací</w:t>
      </w:r>
      <w:r>
        <w:t xml:space="preserve"> </w:t>
      </w:r>
      <w:r w:rsidRPr="00B05565">
        <w:t>ze</w:t>
      </w:r>
      <w:r>
        <w:t xml:space="preserve"> </w:t>
      </w:r>
      <w:r w:rsidRPr="00B05565">
        <w:t>státního</w:t>
      </w:r>
      <w:r>
        <w:t xml:space="preserve"> </w:t>
      </w:r>
      <w:r w:rsidRPr="00B05565">
        <w:t>rozpočtu</w:t>
      </w:r>
      <w:r>
        <w:t xml:space="preserve"> </w:t>
      </w:r>
      <w:r w:rsidRPr="00B05565">
        <w:t>k</w:t>
      </w:r>
      <w:r>
        <w:t xml:space="preserve"> </w:t>
      </w:r>
      <w:r w:rsidRPr="00B05565">
        <w:t>částečné</w:t>
      </w:r>
      <w:r>
        <w:t xml:space="preserve"> </w:t>
      </w:r>
      <w:r w:rsidRPr="00B05565">
        <w:t>úhradě</w:t>
      </w:r>
      <w:r>
        <w:t xml:space="preserve"> </w:t>
      </w:r>
      <w:r w:rsidRPr="00B05565">
        <w:t>výdajů</w:t>
      </w:r>
      <w:r>
        <w:t xml:space="preserve"> </w:t>
      </w:r>
      <w:r w:rsidRPr="00B05565">
        <w:t>na</w:t>
      </w:r>
      <w:r>
        <w:t xml:space="preserve"> </w:t>
      </w:r>
      <w:r w:rsidRPr="00B05565">
        <w:t>provoz</w:t>
      </w:r>
      <w:r>
        <w:t xml:space="preserve"> </w:t>
      </w:r>
      <w:r w:rsidRPr="00B05565">
        <w:t>právnických</w:t>
      </w:r>
      <w:r>
        <w:t xml:space="preserve"> </w:t>
      </w:r>
      <w:r w:rsidRPr="00B05565">
        <w:t>osob</w:t>
      </w:r>
      <w:r>
        <w:t xml:space="preserve"> </w:t>
      </w:r>
      <w:r w:rsidRPr="00B05565">
        <w:t>vykonávajících</w:t>
      </w:r>
      <w:r>
        <w:t xml:space="preserve"> </w:t>
      </w:r>
      <w:r w:rsidRPr="00B05565">
        <w:t>činnost</w:t>
      </w:r>
      <w:r>
        <w:t xml:space="preserve"> </w:t>
      </w:r>
      <w:r w:rsidRPr="00B05565">
        <w:t>škol</w:t>
      </w:r>
      <w:r>
        <w:t xml:space="preserve"> </w:t>
      </w:r>
      <w:r w:rsidRPr="00B05565">
        <w:t>a</w:t>
      </w:r>
      <w:r>
        <w:t xml:space="preserve"> </w:t>
      </w:r>
      <w:r w:rsidRPr="00B05565">
        <w:t>školských</w:t>
      </w:r>
      <w:r>
        <w:t xml:space="preserve"> </w:t>
      </w:r>
      <w:r w:rsidRPr="00B05565">
        <w:t>zařízení,</w:t>
      </w:r>
      <w:r>
        <w:t xml:space="preserve"> </w:t>
      </w:r>
      <w:r w:rsidRPr="00B05565">
        <w:t>které</w:t>
      </w:r>
      <w:r>
        <w:t xml:space="preserve"> </w:t>
      </w:r>
      <w:r w:rsidRPr="00B05565">
        <w:t>zřizují</w:t>
      </w:r>
      <w:r>
        <w:t xml:space="preserve"> </w:t>
      </w:r>
      <w:r w:rsidRPr="00B05565">
        <w:t>svazky</w:t>
      </w:r>
      <w:r>
        <w:t xml:space="preserve"> </w:t>
      </w:r>
      <w:r w:rsidRPr="00B05565">
        <w:t>obcí.</w:t>
      </w:r>
    </w:p>
    <w:p w14:paraId="2DB7097B" w14:textId="4E2E96D5" w:rsidR="00B9271C" w:rsidRDefault="00B9271C" w:rsidP="00A84DD3">
      <w:pPr>
        <w:pStyle w:val="Textparagrafu"/>
        <w:tabs>
          <w:tab w:val="left" w:pos="392"/>
          <w:tab w:val="left" w:pos="840"/>
        </w:tabs>
        <w:spacing w:before="120" w:after="120"/>
      </w:pPr>
      <w:r w:rsidRPr="00B05565">
        <w:t>(3)</w:t>
      </w:r>
      <w:r>
        <w:t xml:space="preserve"> </w:t>
      </w:r>
      <w:r w:rsidRPr="00B05565">
        <w:t>Ministerstvo</w:t>
      </w:r>
      <w:r>
        <w:t xml:space="preserve"> </w:t>
      </w:r>
      <w:r w:rsidRPr="00B05565">
        <w:t>může</w:t>
      </w:r>
      <w:r>
        <w:t xml:space="preserve"> </w:t>
      </w:r>
      <w:r w:rsidRPr="00B05565">
        <w:t>v</w:t>
      </w:r>
      <w:r>
        <w:t xml:space="preserve"> </w:t>
      </w:r>
      <w:r w:rsidRPr="00B05565">
        <w:t>průběhu</w:t>
      </w:r>
      <w:r>
        <w:t xml:space="preserve"> </w:t>
      </w:r>
      <w:r w:rsidRPr="00B05565">
        <w:t>roku</w:t>
      </w:r>
      <w:r>
        <w:t xml:space="preserve"> </w:t>
      </w:r>
      <w:r w:rsidRPr="00B05565">
        <w:t>se</w:t>
      </w:r>
      <w:r>
        <w:t xml:space="preserve"> </w:t>
      </w:r>
      <w:r w:rsidRPr="00B05565">
        <w:t>souhlasem</w:t>
      </w:r>
      <w:r>
        <w:t xml:space="preserve"> </w:t>
      </w:r>
      <w:r w:rsidRPr="00B05565">
        <w:t>vlády</w:t>
      </w:r>
      <w:r>
        <w:t xml:space="preserve"> </w:t>
      </w:r>
      <w:r w:rsidRPr="00B05565">
        <w:t>stanovit</w:t>
      </w:r>
      <w:r>
        <w:t xml:space="preserve"> </w:t>
      </w:r>
      <w:r w:rsidRPr="00B05565">
        <w:t>další</w:t>
      </w:r>
      <w:r>
        <w:t xml:space="preserve"> </w:t>
      </w:r>
      <w:r w:rsidRPr="000E68B9">
        <w:rPr>
          <w:strike/>
        </w:rPr>
        <w:t xml:space="preserve">finanční </w:t>
      </w:r>
      <w:r w:rsidR="000E68B9">
        <w:rPr>
          <w:b/>
        </w:rPr>
        <w:t xml:space="preserve">peněžní </w:t>
      </w:r>
      <w:r w:rsidRPr="00B05565">
        <w:t>prostředky</w:t>
      </w:r>
      <w:r>
        <w:t xml:space="preserve"> </w:t>
      </w:r>
      <w:r w:rsidRPr="00B05565">
        <w:t>státního</w:t>
      </w:r>
      <w:r>
        <w:t xml:space="preserve"> </w:t>
      </w:r>
      <w:r w:rsidRPr="00B05565">
        <w:t>rozpočtu</w:t>
      </w:r>
      <w:r>
        <w:t xml:space="preserve"> </w:t>
      </w:r>
      <w:r w:rsidRPr="00B05565">
        <w:t>na</w:t>
      </w:r>
      <w:r>
        <w:t xml:space="preserve"> </w:t>
      </w:r>
      <w:r w:rsidRPr="00B05565">
        <w:t>výdaje</w:t>
      </w:r>
      <w:r>
        <w:t xml:space="preserve"> </w:t>
      </w:r>
      <w:r w:rsidRPr="00B05565">
        <w:t>spojené</w:t>
      </w:r>
      <w:r>
        <w:t xml:space="preserve"> </w:t>
      </w:r>
      <w:r w:rsidRPr="00B05565">
        <w:t>s</w:t>
      </w:r>
      <w:r>
        <w:t xml:space="preserve"> </w:t>
      </w:r>
      <w:r w:rsidRPr="00B05565">
        <w:t>činností</w:t>
      </w:r>
      <w:r>
        <w:t xml:space="preserve"> </w:t>
      </w:r>
      <w:r w:rsidRPr="00B05565">
        <w:t>škol</w:t>
      </w:r>
      <w:r>
        <w:t xml:space="preserve"> </w:t>
      </w:r>
      <w:r w:rsidRPr="00B05565">
        <w:t>a</w:t>
      </w:r>
      <w:r>
        <w:t xml:space="preserve"> </w:t>
      </w:r>
      <w:r w:rsidRPr="00B05565">
        <w:t>školských</w:t>
      </w:r>
      <w:r>
        <w:t xml:space="preserve"> </w:t>
      </w:r>
      <w:r w:rsidRPr="00B05565">
        <w:t>zařízení</w:t>
      </w:r>
      <w:r>
        <w:t xml:space="preserve"> </w:t>
      </w:r>
      <w:r w:rsidRPr="00B05565">
        <w:t>nezbytné</w:t>
      </w:r>
      <w:r>
        <w:t xml:space="preserve"> </w:t>
      </w:r>
      <w:r w:rsidRPr="00B05565">
        <w:t>k</w:t>
      </w:r>
      <w:r>
        <w:t xml:space="preserve"> </w:t>
      </w:r>
      <w:r w:rsidRPr="00B05565">
        <w:t>naplnění</w:t>
      </w:r>
      <w:r>
        <w:t xml:space="preserve"> </w:t>
      </w:r>
      <w:r w:rsidRPr="00B05565">
        <w:t>krizového</w:t>
      </w:r>
      <w:r>
        <w:t xml:space="preserve"> </w:t>
      </w:r>
      <w:r w:rsidRPr="00B05565">
        <w:t>opatření</w:t>
      </w:r>
      <w:r>
        <w:t xml:space="preserve"> </w:t>
      </w:r>
      <w:r w:rsidRPr="00B05565">
        <w:t>vlády</w:t>
      </w:r>
      <w:r>
        <w:t xml:space="preserve"> </w:t>
      </w:r>
      <w:r w:rsidRPr="00B05565">
        <w:t>vyhlášeného</w:t>
      </w:r>
      <w:r>
        <w:t xml:space="preserve"> </w:t>
      </w:r>
      <w:r w:rsidRPr="00B05565">
        <w:t>podle</w:t>
      </w:r>
      <w:r>
        <w:t xml:space="preserve"> </w:t>
      </w:r>
      <w:r w:rsidRPr="00B05565">
        <w:t>krizového</w:t>
      </w:r>
      <w:r>
        <w:t xml:space="preserve"> </w:t>
      </w:r>
      <w:r w:rsidRPr="00B05565">
        <w:t>zákona</w:t>
      </w:r>
      <w:r>
        <w:t xml:space="preserve"> </w:t>
      </w:r>
      <w:r w:rsidRPr="00B05565">
        <w:t>nebo</w:t>
      </w:r>
      <w:r>
        <w:t xml:space="preserve"> </w:t>
      </w:r>
      <w:r w:rsidRPr="00B05565">
        <w:t>mimořádného</w:t>
      </w:r>
      <w:r>
        <w:t xml:space="preserve"> </w:t>
      </w:r>
      <w:r w:rsidRPr="00B05565">
        <w:t>opatření</w:t>
      </w:r>
      <w:r>
        <w:t xml:space="preserve"> </w:t>
      </w:r>
      <w:r w:rsidRPr="00B05565">
        <w:t>Ministerstva</w:t>
      </w:r>
      <w:r>
        <w:t xml:space="preserve"> </w:t>
      </w:r>
      <w:r w:rsidRPr="00B05565">
        <w:t>zdravotnictví</w:t>
      </w:r>
      <w:r>
        <w:t xml:space="preserve"> </w:t>
      </w:r>
      <w:r w:rsidRPr="00B05565">
        <w:t>podle</w:t>
      </w:r>
      <w:r>
        <w:t xml:space="preserve"> </w:t>
      </w:r>
      <w:r w:rsidRPr="00B05565">
        <w:t>zvláštního</w:t>
      </w:r>
      <w:r>
        <w:t xml:space="preserve"> </w:t>
      </w:r>
      <w:r w:rsidRPr="00B05565">
        <w:t>zákona,</w:t>
      </w:r>
      <w:r>
        <w:t xml:space="preserve"> </w:t>
      </w:r>
      <w:r w:rsidRPr="00B05565">
        <w:t>a</w:t>
      </w:r>
      <w:r>
        <w:t xml:space="preserve"> </w:t>
      </w:r>
      <w:r w:rsidRPr="00B05565">
        <w:t>to</w:t>
      </w:r>
      <w:r>
        <w:t xml:space="preserve"> </w:t>
      </w:r>
      <w:r w:rsidRPr="00B05565">
        <w:t>pro</w:t>
      </w:r>
      <w:r>
        <w:t xml:space="preserve"> </w:t>
      </w:r>
      <w:r w:rsidRPr="00B05565">
        <w:t>jednotlivé</w:t>
      </w:r>
      <w:r>
        <w:t xml:space="preserve"> </w:t>
      </w:r>
      <w:r w:rsidRPr="00B05565">
        <w:t>právnické</w:t>
      </w:r>
      <w:r>
        <w:t xml:space="preserve"> </w:t>
      </w:r>
      <w:r w:rsidRPr="00B05565">
        <w:t>osoby</w:t>
      </w:r>
      <w:r>
        <w:t xml:space="preserve"> </w:t>
      </w:r>
      <w:r w:rsidRPr="00B05565">
        <w:t>vykonávající</w:t>
      </w:r>
      <w:r>
        <w:t xml:space="preserve"> </w:t>
      </w:r>
      <w:r w:rsidRPr="00B05565">
        <w:t>činnost</w:t>
      </w:r>
      <w:r>
        <w:t xml:space="preserve"> </w:t>
      </w:r>
      <w:r w:rsidRPr="00B05565">
        <w:t>školy</w:t>
      </w:r>
      <w:r>
        <w:t xml:space="preserve"> </w:t>
      </w:r>
      <w:r w:rsidRPr="00B05565">
        <w:t>nebo</w:t>
      </w:r>
      <w:r>
        <w:t xml:space="preserve"> </w:t>
      </w:r>
      <w:r w:rsidRPr="00B05565">
        <w:t>školského</w:t>
      </w:r>
      <w:r>
        <w:t xml:space="preserve"> </w:t>
      </w:r>
      <w:r w:rsidRPr="00B05565">
        <w:t>zařízení.</w:t>
      </w:r>
      <w:r>
        <w:t xml:space="preserve"> </w:t>
      </w:r>
      <w:r w:rsidRPr="00B05565">
        <w:t>Ministerstvo</w:t>
      </w:r>
      <w:r>
        <w:t xml:space="preserve"> </w:t>
      </w:r>
      <w:r w:rsidRPr="00B05565">
        <w:t>stanoví</w:t>
      </w:r>
      <w:r>
        <w:t xml:space="preserve"> </w:t>
      </w:r>
      <w:r w:rsidRPr="00B05565">
        <w:t>a</w:t>
      </w:r>
      <w:r>
        <w:t xml:space="preserve"> </w:t>
      </w:r>
      <w:r w:rsidRPr="00B05565">
        <w:t>zveřejní</w:t>
      </w:r>
      <w:r>
        <w:t xml:space="preserve"> </w:t>
      </w:r>
      <w:r w:rsidRPr="00B05565">
        <w:t>ve</w:t>
      </w:r>
      <w:r>
        <w:t xml:space="preserve"> </w:t>
      </w:r>
      <w:r w:rsidRPr="00B05565">
        <w:t>Věstníku</w:t>
      </w:r>
    </w:p>
    <w:p w14:paraId="61F36DE7" w14:textId="7A9968C3" w:rsidR="00B9271C" w:rsidRDefault="00B9271C" w:rsidP="00AB5ED2">
      <w:pPr>
        <w:pStyle w:val="Textparagrafu"/>
        <w:tabs>
          <w:tab w:val="left" w:pos="392"/>
          <w:tab w:val="left" w:pos="840"/>
        </w:tabs>
        <w:spacing w:before="0"/>
        <w:ind w:left="426" w:hanging="426"/>
      </w:pPr>
      <w:r w:rsidRPr="00B05565">
        <w:t>a)</w:t>
      </w:r>
      <w:r w:rsidR="008F5B77">
        <w:tab/>
      </w:r>
      <w:r w:rsidRPr="00B05565">
        <w:t>podmínky</w:t>
      </w:r>
      <w:r>
        <w:t xml:space="preserve"> </w:t>
      </w:r>
      <w:r w:rsidRPr="00B05565">
        <w:t>a</w:t>
      </w:r>
      <w:r>
        <w:t xml:space="preserve"> </w:t>
      </w:r>
      <w:r w:rsidRPr="00B05565">
        <w:t>kritéria</w:t>
      </w:r>
      <w:r>
        <w:t xml:space="preserve"> </w:t>
      </w:r>
      <w:r w:rsidRPr="00B05565">
        <w:t>pro</w:t>
      </w:r>
      <w:r>
        <w:t xml:space="preserve"> </w:t>
      </w:r>
      <w:r w:rsidRPr="00B05565">
        <w:t>poskytnutí</w:t>
      </w:r>
      <w:r>
        <w:t xml:space="preserve"> </w:t>
      </w:r>
      <w:r w:rsidRPr="00B05565">
        <w:t>těchto</w:t>
      </w:r>
      <w:r>
        <w:t xml:space="preserve"> </w:t>
      </w:r>
      <w:r w:rsidRPr="00B05565">
        <w:t>dalších</w:t>
      </w:r>
      <w:r>
        <w:t xml:space="preserve"> </w:t>
      </w:r>
      <w:r w:rsidRPr="000E68B9">
        <w:rPr>
          <w:strike/>
        </w:rPr>
        <w:t>finančních</w:t>
      </w:r>
      <w:r>
        <w:t xml:space="preserve"> </w:t>
      </w:r>
      <w:r w:rsidR="000E68B9">
        <w:rPr>
          <w:b/>
        </w:rPr>
        <w:t xml:space="preserve">peněžních </w:t>
      </w:r>
      <w:r w:rsidRPr="00B05565">
        <w:t>prostředků</w:t>
      </w:r>
      <w:r>
        <w:t xml:space="preserve"> </w:t>
      </w:r>
      <w:r w:rsidRPr="00B05565">
        <w:t>a</w:t>
      </w:r>
    </w:p>
    <w:p w14:paraId="52CC15ED" w14:textId="1BD4F25C" w:rsidR="00B9271C" w:rsidRDefault="00B9271C" w:rsidP="00AB5ED2">
      <w:pPr>
        <w:pStyle w:val="Textparagrafu"/>
        <w:tabs>
          <w:tab w:val="left" w:pos="392"/>
          <w:tab w:val="left" w:pos="840"/>
        </w:tabs>
        <w:spacing w:before="0"/>
        <w:ind w:left="426" w:hanging="426"/>
      </w:pPr>
      <w:r w:rsidRPr="00B05565">
        <w:t>b)</w:t>
      </w:r>
      <w:r w:rsidR="008F5B77">
        <w:tab/>
      </w:r>
      <w:r w:rsidRPr="00B05565">
        <w:t>účel,</w:t>
      </w:r>
      <w:r>
        <w:t xml:space="preserve"> </w:t>
      </w:r>
      <w:r w:rsidRPr="00B05565">
        <w:t>na</w:t>
      </w:r>
      <w:r>
        <w:t xml:space="preserve"> </w:t>
      </w:r>
      <w:r w:rsidRPr="00B05565">
        <w:t>který</w:t>
      </w:r>
      <w:r>
        <w:t xml:space="preserve"> </w:t>
      </w:r>
      <w:r w:rsidRPr="00B05565">
        <w:t>může</w:t>
      </w:r>
      <w:r>
        <w:t xml:space="preserve"> </w:t>
      </w:r>
      <w:r w:rsidRPr="00B05565">
        <w:t>právnická</w:t>
      </w:r>
      <w:r>
        <w:t xml:space="preserve"> </w:t>
      </w:r>
      <w:r w:rsidRPr="00B05565">
        <w:t>osoba</w:t>
      </w:r>
      <w:r>
        <w:t xml:space="preserve"> </w:t>
      </w:r>
      <w:r w:rsidRPr="00B05565">
        <w:t>tyto</w:t>
      </w:r>
      <w:r>
        <w:t xml:space="preserve"> </w:t>
      </w:r>
      <w:r w:rsidRPr="00B05565">
        <w:t>další</w:t>
      </w:r>
      <w:r>
        <w:t xml:space="preserve"> </w:t>
      </w:r>
      <w:r w:rsidRPr="000E68B9">
        <w:rPr>
          <w:strike/>
        </w:rPr>
        <w:t>finanční</w:t>
      </w:r>
      <w:r>
        <w:t xml:space="preserve"> </w:t>
      </w:r>
      <w:r w:rsidR="000E68B9">
        <w:rPr>
          <w:b/>
        </w:rPr>
        <w:t xml:space="preserve">peněžní </w:t>
      </w:r>
      <w:r w:rsidRPr="00B05565">
        <w:t>prostředky</w:t>
      </w:r>
      <w:r>
        <w:t xml:space="preserve"> </w:t>
      </w:r>
      <w:r w:rsidRPr="00B05565">
        <w:t>použít,</w:t>
      </w:r>
      <w:r>
        <w:t xml:space="preserve"> </w:t>
      </w:r>
      <w:r w:rsidRPr="00B05565">
        <w:t>a</w:t>
      </w:r>
      <w:r>
        <w:t xml:space="preserve"> </w:t>
      </w:r>
      <w:r w:rsidRPr="00B05565">
        <w:t>případné</w:t>
      </w:r>
      <w:r>
        <w:t xml:space="preserve"> </w:t>
      </w:r>
      <w:r w:rsidRPr="00B05565">
        <w:t>další</w:t>
      </w:r>
      <w:r>
        <w:t xml:space="preserve"> </w:t>
      </w:r>
      <w:r w:rsidRPr="00B05565">
        <w:t>podmínky,</w:t>
      </w:r>
      <w:r>
        <w:t xml:space="preserve"> </w:t>
      </w:r>
      <w:r w:rsidRPr="00B05565">
        <w:t>které</w:t>
      </w:r>
      <w:r>
        <w:t xml:space="preserve"> </w:t>
      </w:r>
      <w:r w:rsidRPr="00B05565">
        <w:t>musí</w:t>
      </w:r>
      <w:r>
        <w:t xml:space="preserve"> </w:t>
      </w:r>
      <w:r w:rsidRPr="00B05565">
        <w:t>právnická</w:t>
      </w:r>
      <w:r>
        <w:t xml:space="preserve"> </w:t>
      </w:r>
      <w:r w:rsidRPr="00B05565">
        <w:t>osoba</w:t>
      </w:r>
      <w:r>
        <w:t xml:space="preserve"> </w:t>
      </w:r>
      <w:r w:rsidRPr="00B05565">
        <w:t>v</w:t>
      </w:r>
      <w:r>
        <w:t xml:space="preserve"> </w:t>
      </w:r>
      <w:r w:rsidRPr="00B05565">
        <w:t>souvislosti</w:t>
      </w:r>
      <w:r>
        <w:t xml:space="preserve"> </w:t>
      </w:r>
      <w:r w:rsidRPr="00B05565">
        <w:t>s</w:t>
      </w:r>
      <w:r>
        <w:t xml:space="preserve"> </w:t>
      </w:r>
      <w:r w:rsidRPr="00B05565">
        <w:t>použitím</w:t>
      </w:r>
      <w:r>
        <w:t xml:space="preserve"> </w:t>
      </w:r>
      <w:r w:rsidRPr="00B05565">
        <w:t>těchto</w:t>
      </w:r>
      <w:r>
        <w:t xml:space="preserve"> </w:t>
      </w:r>
      <w:r w:rsidRPr="00B05565">
        <w:t>dalších</w:t>
      </w:r>
      <w:r>
        <w:t xml:space="preserve"> </w:t>
      </w:r>
      <w:r w:rsidRPr="000E68B9">
        <w:rPr>
          <w:strike/>
        </w:rPr>
        <w:t>finančních</w:t>
      </w:r>
      <w:r w:rsidR="000E68B9">
        <w:rPr>
          <w:b/>
        </w:rPr>
        <w:t xml:space="preserve"> peněžních</w:t>
      </w:r>
      <w:r>
        <w:t xml:space="preserve"> </w:t>
      </w:r>
      <w:r w:rsidRPr="00B05565">
        <w:t>prostředků</w:t>
      </w:r>
      <w:r>
        <w:t xml:space="preserve"> </w:t>
      </w:r>
      <w:r w:rsidRPr="00B05565">
        <w:t>splnit.</w:t>
      </w:r>
    </w:p>
    <w:p w14:paraId="37E3CEA3" w14:textId="4F7CD3E9" w:rsidR="00B9271C" w:rsidRPr="00B05565" w:rsidRDefault="00B9271C" w:rsidP="00A84DD3">
      <w:pPr>
        <w:pStyle w:val="Textparagrafu"/>
        <w:tabs>
          <w:tab w:val="left" w:pos="392"/>
          <w:tab w:val="left" w:pos="840"/>
        </w:tabs>
        <w:spacing w:before="120" w:after="120"/>
      </w:pPr>
      <w:r w:rsidRPr="00B05565">
        <w:t>(4)</w:t>
      </w:r>
      <w:r>
        <w:t xml:space="preserve"> </w:t>
      </w:r>
      <w:r w:rsidRPr="00B05565">
        <w:t>Další</w:t>
      </w:r>
      <w:r>
        <w:t xml:space="preserve"> </w:t>
      </w:r>
      <w:r w:rsidRPr="000E68B9">
        <w:rPr>
          <w:strike/>
        </w:rPr>
        <w:t>finanční</w:t>
      </w:r>
      <w:r>
        <w:t xml:space="preserve"> </w:t>
      </w:r>
      <w:r w:rsidR="000E68B9">
        <w:rPr>
          <w:b/>
        </w:rPr>
        <w:t xml:space="preserve">peněžní </w:t>
      </w:r>
      <w:r w:rsidRPr="00B05565">
        <w:t>prostředky</w:t>
      </w:r>
      <w:r>
        <w:t xml:space="preserve"> </w:t>
      </w:r>
      <w:r w:rsidRPr="00B05565">
        <w:t>podle</w:t>
      </w:r>
      <w:r>
        <w:t xml:space="preserve"> </w:t>
      </w:r>
      <w:r w:rsidRPr="00B05565">
        <w:t>odstavce</w:t>
      </w:r>
      <w:r>
        <w:t xml:space="preserve"> </w:t>
      </w:r>
      <w:r w:rsidRPr="00B05565">
        <w:t>3</w:t>
      </w:r>
      <w:r>
        <w:t xml:space="preserve"> </w:t>
      </w:r>
      <w:r w:rsidRPr="00B05565">
        <w:t>ministerstvo</w:t>
      </w:r>
      <w:r>
        <w:t xml:space="preserve"> </w:t>
      </w:r>
      <w:r w:rsidRPr="00B05565">
        <w:t>poskytuje</w:t>
      </w:r>
      <w:r>
        <w:t xml:space="preserve"> </w:t>
      </w:r>
      <w:r w:rsidRPr="00B05565">
        <w:t>postupem</w:t>
      </w:r>
      <w:r>
        <w:t xml:space="preserve"> </w:t>
      </w:r>
      <w:r w:rsidRPr="00B05565">
        <w:t>podle</w:t>
      </w:r>
      <w:r>
        <w:t xml:space="preserve"> </w:t>
      </w:r>
      <w:r w:rsidRPr="00B05565">
        <w:t>odstavce</w:t>
      </w:r>
      <w:r>
        <w:t xml:space="preserve"> </w:t>
      </w:r>
      <w:r w:rsidRPr="00B05565">
        <w:t>1</w:t>
      </w:r>
      <w:r>
        <w:t xml:space="preserve"> </w:t>
      </w:r>
      <w:r w:rsidRPr="00B05565">
        <w:t>a</w:t>
      </w:r>
      <w:r>
        <w:t xml:space="preserve"> </w:t>
      </w:r>
      <w:r w:rsidRPr="00B05565">
        <w:t>krajský</w:t>
      </w:r>
      <w:r>
        <w:t xml:space="preserve"> </w:t>
      </w:r>
      <w:r w:rsidRPr="00B05565">
        <w:t>úřad</w:t>
      </w:r>
      <w:r>
        <w:t xml:space="preserve"> </w:t>
      </w:r>
      <w:r w:rsidRPr="00B05565">
        <w:t>má</w:t>
      </w:r>
      <w:r>
        <w:t xml:space="preserve"> </w:t>
      </w:r>
      <w:r w:rsidRPr="00B05565">
        <w:t>povinnost</w:t>
      </w:r>
      <w:r>
        <w:t xml:space="preserve"> </w:t>
      </w:r>
      <w:r w:rsidRPr="00B05565">
        <w:t>je</w:t>
      </w:r>
      <w:r>
        <w:t xml:space="preserve"> </w:t>
      </w:r>
      <w:r w:rsidRPr="00B05565">
        <w:t>právnickým</w:t>
      </w:r>
      <w:r>
        <w:t xml:space="preserve"> </w:t>
      </w:r>
      <w:r w:rsidRPr="00B05565">
        <w:t>osobám</w:t>
      </w:r>
      <w:r>
        <w:t xml:space="preserve"> </w:t>
      </w:r>
      <w:r w:rsidRPr="00B05565">
        <w:t>poskytnout.</w:t>
      </w:r>
    </w:p>
    <w:p w14:paraId="5444440F" w14:textId="1FEAB980" w:rsidR="00B9271C" w:rsidRDefault="00B9271C" w:rsidP="008F5B77">
      <w:pPr>
        <w:pStyle w:val="Textparagrafu"/>
        <w:tabs>
          <w:tab w:val="left" w:pos="406"/>
          <w:tab w:val="left" w:pos="840"/>
          <w:tab w:val="left" w:pos="868"/>
        </w:tabs>
        <w:spacing w:after="120"/>
        <w:ind w:firstLine="0"/>
        <w:jc w:val="center"/>
      </w:pPr>
      <w:r>
        <w:t>***</w:t>
      </w:r>
    </w:p>
    <w:p w14:paraId="0BB156CC" w14:textId="17F37FDE" w:rsidR="00B9271C" w:rsidRDefault="00B9271C" w:rsidP="008F5B77">
      <w:pPr>
        <w:pStyle w:val="Textparagrafu"/>
        <w:tabs>
          <w:tab w:val="left" w:pos="392"/>
          <w:tab w:val="left" w:pos="840"/>
        </w:tabs>
        <w:spacing w:after="120"/>
        <w:ind w:firstLine="0"/>
        <w:jc w:val="center"/>
      </w:pPr>
      <w:r w:rsidRPr="00B05565">
        <w:t>§</w:t>
      </w:r>
      <w:r>
        <w:t xml:space="preserve"> </w:t>
      </w:r>
      <w:r w:rsidRPr="00B05565">
        <w:t>165</w:t>
      </w:r>
    </w:p>
    <w:p w14:paraId="2D5B8C34" w14:textId="77777777" w:rsidR="00B9271C" w:rsidRDefault="00B9271C" w:rsidP="00BD5369">
      <w:pPr>
        <w:pStyle w:val="Textparagrafu"/>
        <w:tabs>
          <w:tab w:val="left" w:pos="392"/>
          <w:tab w:val="left" w:pos="840"/>
        </w:tabs>
        <w:spacing w:after="120"/>
      </w:pPr>
      <w:r w:rsidRPr="00B05565">
        <w:t>(1)</w:t>
      </w:r>
      <w:r>
        <w:t xml:space="preserve"> </w:t>
      </w:r>
      <w:r w:rsidRPr="00B05565">
        <w:t>Ředitel</w:t>
      </w:r>
      <w:r>
        <w:t xml:space="preserve"> </w:t>
      </w:r>
      <w:r w:rsidRPr="00B05565">
        <w:t>školy</w:t>
      </w:r>
      <w:r>
        <w:t xml:space="preserve"> </w:t>
      </w:r>
      <w:r w:rsidRPr="00B05565">
        <w:t>a</w:t>
      </w:r>
      <w:r>
        <w:t xml:space="preserve"> </w:t>
      </w:r>
      <w:r w:rsidRPr="00B05565">
        <w:t>školského</w:t>
      </w:r>
      <w:r>
        <w:t xml:space="preserve"> </w:t>
      </w:r>
      <w:r w:rsidRPr="00B05565">
        <w:t>zařízení,</w:t>
      </w:r>
      <w:r>
        <w:t xml:space="preserve"> </w:t>
      </w:r>
      <w:r w:rsidRPr="00B05565">
        <w:t>které</w:t>
      </w:r>
      <w:r>
        <w:t xml:space="preserve"> </w:t>
      </w:r>
      <w:r w:rsidRPr="00B05565">
        <w:t>zřizuje</w:t>
      </w:r>
      <w:r>
        <w:t xml:space="preserve"> </w:t>
      </w:r>
      <w:r w:rsidRPr="00B05565">
        <w:t>stát,</w:t>
      </w:r>
      <w:r>
        <w:t xml:space="preserve"> </w:t>
      </w:r>
      <w:r w:rsidRPr="00B05565">
        <w:t>kraj,</w:t>
      </w:r>
      <w:r>
        <w:t xml:space="preserve"> </w:t>
      </w:r>
      <w:r w:rsidRPr="00B05565">
        <w:t>obec</w:t>
      </w:r>
      <w:r>
        <w:t xml:space="preserve"> </w:t>
      </w:r>
      <w:r w:rsidRPr="00B05565">
        <w:t>nebo</w:t>
      </w:r>
      <w:r>
        <w:t xml:space="preserve"> </w:t>
      </w:r>
      <w:r w:rsidRPr="00B05565">
        <w:t>svazek</w:t>
      </w:r>
      <w:r>
        <w:t xml:space="preserve"> </w:t>
      </w:r>
      <w:r w:rsidRPr="00B05565">
        <w:t>obcí,</w:t>
      </w:r>
      <w:r>
        <w:t xml:space="preserve"> </w:t>
      </w:r>
      <w:r w:rsidRPr="00B05565">
        <w:t>dále</w:t>
      </w:r>
    </w:p>
    <w:p w14:paraId="2C1E7FCB" w14:textId="62A4FD73" w:rsidR="00B9271C" w:rsidRDefault="00B9271C" w:rsidP="00AB5ED2">
      <w:pPr>
        <w:pStyle w:val="Textparagrafu"/>
        <w:tabs>
          <w:tab w:val="left" w:pos="426"/>
          <w:tab w:val="left" w:pos="840"/>
        </w:tabs>
        <w:spacing w:before="0"/>
        <w:ind w:left="426" w:hanging="426"/>
      </w:pPr>
      <w:r w:rsidRPr="00B05565">
        <w:t>a)</w:t>
      </w:r>
      <w:r w:rsidR="008F5B77">
        <w:tab/>
      </w:r>
      <w:r w:rsidRPr="00B05565">
        <w:t>stanovuje</w:t>
      </w:r>
      <w:r>
        <w:t xml:space="preserve"> </w:t>
      </w:r>
      <w:r w:rsidRPr="00B05565">
        <w:t>organizaci</w:t>
      </w:r>
      <w:r>
        <w:t xml:space="preserve"> </w:t>
      </w:r>
      <w:r w:rsidRPr="00B05565">
        <w:t>a</w:t>
      </w:r>
      <w:r>
        <w:t xml:space="preserve"> </w:t>
      </w:r>
      <w:r w:rsidRPr="00B05565">
        <w:t>podmínky</w:t>
      </w:r>
      <w:r>
        <w:t xml:space="preserve"> </w:t>
      </w:r>
      <w:r w:rsidRPr="00B05565">
        <w:t>provozu</w:t>
      </w:r>
      <w:r>
        <w:t xml:space="preserve"> </w:t>
      </w:r>
      <w:r w:rsidRPr="00B05565">
        <w:t>školy</w:t>
      </w:r>
      <w:r>
        <w:t xml:space="preserve"> </w:t>
      </w:r>
      <w:r w:rsidRPr="00B05565">
        <w:t>a</w:t>
      </w:r>
      <w:r>
        <w:t xml:space="preserve"> </w:t>
      </w:r>
      <w:r w:rsidRPr="00B05565">
        <w:t>školského</w:t>
      </w:r>
      <w:r>
        <w:t xml:space="preserve"> </w:t>
      </w:r>
      <w:r w:rsidRPr="00B05565">
        <w:t>zařízení,</w:t>
      </w:r>
    </w:p>
    <w:p w14:paraId="29196939" w14:textId="265CF4C6" w:rsidR="00B9271C" w:rsidRDefault="00B9271C" w:rsidP="00AB5ED2">
      <w:pPr>
        <w:pStyle w:val="Textparagrafu"/>
        <w:tabs>
          <w:tab w:val="left" w:pos="426"/>
          <w:tab w:val="left" w:pos="840"/>
        </w:tabs>
        <w:spacing w:before="0"/>
        <w:ind w:left="426" w:hanging="426"/>
      </w:pPr>
      <w:r w:rsidRPr="00B05565">
        <w:t>b)</w:t>
      </w:r>
      <w:r w:rsidR="008F5B77">
        <w:tab/>
      </w:r>
      <w:r w:rsidRPr="00B05565">
        <w:t>odpovídá</w:t>
      </w:r>
      <w:r>
        <w:t xml:space="preserve"> </w:t>
      </w:r>
      <w:r w:rsidRPr="00B05565">
        <w:t>za</w:t>
      </w:r>
      <w:r>
        <w:t xml:space="preserve"> </w:t>
      </w:r>
      <w:r w:rsidRPr="00B05565">
        <w:t>použití</w:t>
      </w:r>
      <w:r>
        <w:t xml:space="preserve"> </w:t>
      </w:r>
      <w:r w:rsidRPr="00277FDE">
        <w:rPr>
          <w:strike/>
        </w:rPr>
        <w:t>finančních</w:t>
      </w:r>
      <w:r>
        <w:t xml:space="preserve"> </w:t>
      </w:r>
      <w:r w:rsidR="00277FDE">
        <w:rPr>
          <w:b/>
        </w:rPr>
        <w:t xml:space="preserve">peněžních </w:t>
      </w:r>
      <w:r w:rsidRPr="00B05565">
        <w:t>prostředků</w:t>
      </w:r>
      <w:r>
        <w:t xml:space="preserve"> </w:t>
      </w:r>
      <w:r w:rsidRPr="00B05565">
        <w:t>státního</w:t>
      </w:r>
      <w:r>
        <w:t xml:space="preserve"> </w:t>
      </w:r>
      <w:r w:rsidRPr="00B05565">
        <w:t>rozpočtu</w:t>
      </w:r>
      <w:r>
        <w:t xml:space="preserve"> </w:t>
      </w:r>
      <w:r w:rsidRPr="00B05565">
        <w:t>přidělených</w:t>
      </w:r>
      <w:r>
        <w:t xml:space="preserve"> </w:t>
      </w:r>
      <w:r w:rsidRPr="00B05565">
        <w:t>podle</w:t>
      </w:r>
      <w:r>
        <w:t xml:space="preserve"> </w:t>
      </w:r>
      <w:r w:rsidRPr="00B05565">
        <w:t>§</w:t>
      </w:r>
      <w:r>
        <w:t xml:space="preserve"> </w:t>
      </w:r>
      <w:r w:rsidRPr="00B05565">
        <w:t>160</w:t>
      </w:r>
      <w:r>
        <w:t xml:space="preserve"> </w:t>
      </w:r>
      <w:r w:rsidRPr="00B05565">
        <w:t>až</w:t>
      </w:r>
      <w:r>
        <w:t xml:space="preserve"> </w:t>
      </w:r>
      <w:r w:rsidRPr="00B05565">
        <w:t>163</w:t>
      </w:r>
      <w:r>
        <w:t xml:space="preserve"> </w:t>
      </w:r>
      <w:r w:rsidRPr="00B05565">
        <w:t>v</w:t>
      </w:r>
      <w:r>
        <w:t xml:space="preserve"> </w:t>
      </w:r>
      <w:r w:rsidRPr="00B05565">
        <w:t>souladu</w:t>
      </w:r>
      <w:r>
        <w:t xml:space="preserve"> </w:t>
      </w:r>
      <w:r w:rsidRPr="00B05565">
        <w:t>s</w:t>
      </w:r>
      <w:r>
        <w:t xml:space="preserve"> </w:t>
      </w:r>
      <w:r w:rsidRPr="00B05565">
        <w:t>účelem,</w:t>
      </w:r>
      <w:r>
        <w:t xml:space="preserve"> </w:t>
      </w:r>
      <w:r w:rsidRPr="00B05565">
        <w:t>na</w:t>
      </w:r>
      <w:r>
        <w:t xml:space="preserve"> </w:t>
      </w:r>
      <w:r w:rsidRPr="00B05565">
        <w:t>který</w:t>
      </w:r>
      <w:r>
        <w:t xml:space="preserve"> </w:t>
      </w:r>
      <w:r w:rsidRPr="00B05565">
        <w:t>byly</w:t>
      </w:r>
      <w:r>
        <w:t xml:space="preserve"> </w:t>
      </w:r>
      <w:r w:rsidRPr="00B05565">
        <w:t>přiděleny.</w:t>
      </w:r>
    </w:p>
    <w:p w14:paraId="4EE68310" w14:textId="77777777" w:rsidR="00B9271C" w:rsidRDefault="00B9271C" w:rsidP="00BD5369">
      <w:pPr>
        <w:pStyle w:val="Textparagrafu"/>
        <w:tabs>
          <w:tab w:val="left" w:pos="392"/>
          <w:tab w:val="left" w:pos="840"/>
        </w:tabs>
        <w:spacing w:after="120"/>
      </w:pPr>
      <w:r w:rsidRPr="00B05565">
        <w:t>(2)</w:t>
      </w:r>
      <w:r>
        <w:t xml:space="preserve"> </w:t>
      </w:r>
      <w:r w:rsidRPr="00B05565">
        <w:t>Ředitel</w:t>
      </w:r>
      <w:r>
        <w:t xml:space="preserve"> </w:t>
      </w:r>
      <w:r w:rsidRPr="00B05565">
        <w:t>školy</w:t>
      </w:r>
      <w:r>
        <w:t xml:space="preserve"> </w:t>
      </w:r>
      <w:r w:rsidRPr="00B05565">
        <w:t>a</w:t>
      </w:r>
      <w:r>
        <w:t xml:space="preserve"> </w:t>
      </w:r>
      <w:r w:rsidRPr="00B05565">
        <w:t>školského</w:t>
      </w:r>
      <w:r>
        <w:t xml:space="preserve"> </w:t>
      </w:r>
      <w:r w:rsidRPr="00B05565">
        <w:t>zařízení</w:t>
      </w:r>
      <w:r>
        <w:t xml:space="preserve"> </w:t>
      </w:r>
      <w:r w:rsidRPr="00B05565">
        <w:t>rozhoduje</w:t>
      </w:r>
      <w:r>
        <w:t xml:space="preserve"> </w:t>
      </w:r>
      <w:r w:rsidRPr="00B05565">
        <w:t>o</w:t>
      </w:r>
      <w:r>
        <w:t xml:space="preserve"> </w:t>
      </w:r>
      <w:r w:rsidRPr="00B05565">
        <w:t>právech</w:t>
      </w:r>
      <w:r>
        <w:t xml:space="preserve"> </w:t>
      </w:r>
      <w:r w:rsidRPr="00B05565">
        <w:t>a</w:t>
      </w:r>
      <w:r>
        <w:t xml:space="preserve"> </w:t>
      </w:r>
      <w:r w:rsidRPr="00B05565">
        <w:t>povinnostech</w:t>
      </w:r>
      <w:r>
        <w:t xml:space="preserve"> </w:t>
      </w:r>
      <w:r w:rsidRPr="00B05565">
        <w:t>v</w:t>
      </w:r>
      <w:r>
        <w:t xml:space="preserve"> </w:t>
      </w:r>
      <w:r w:rsidRPr="00B05565">
        <w:t>oblasti</w:t>
      </w:r>
      <w:r>
        <w:t xml:space="preserve"> </w:t>
      </w:r>
      <w:r w:rsidRPr="00B05565">
        <w:t>státní</w:t>
      </w:r>
      <w:r>
        <w:t xml:space="preserve"> </w:t>
      </w:r>
      <w:r w:rsidRPr="00B05565">
        <w:t>správy</w:t>
      </w:r>
      <w:r>
        <w:t xml:space="preserve"> </w:t>
      </w:r>
      <w:r w:rsidRPr="00B05565">
        <w:t>v</w:t>
      </w:r>
      <w:r>
        <w:t xml:space="preserve"> </w:t>
      </w:r>
      <w:r w:rsidRPr="00B05565">
        <w:t>těchto</w:t>
      </w:r>
      <w:r>
        <w:t xml:space="preserve"> </w:t>
      </w:r>
      <w:r w:rsidRPr="00B05565">
        <w:t>případech:</w:t>
      </w:r>
    </w:p>
    <w:p w14:paraId="7C3EECB7" w14:textId="6FB6C5FF" w:rsidR="00B9271C" w:rsidRDefault="00B9271C" w:rsidP="00AB5ED2">
      <w:pPr>
        <w:pStyle w:val="Textparagrafu"/>
        <w:tabs>
          <w:tab w:val="left" w:pos="392"/>
          <w:tab w:val="left" w:pos="840"/>
        </w:tabs>
        <w:spacing w:before="0"/>
        <w:ind w:left="426" w:hanging="426"/>
      </w:pPr>
      <w:r w:rsidRPr="00B05565">
        <w:t>a)</w:t>
      </w:r>
      <w:r w:rsidR="008F5B77">
        <w:tab/>
      </w:r>
      <w:r w:rsidRPr="00B05565">
        <w:t>zamítnutí</w:t>
      </w:r>
      <w:r>
        <w:t xml:space="preserve"> </w:t>
      </w:r>
      <w:r w:rsidRPr="00B05565">
        <w:t>žádosti</w:t>
      </w:r>
      <w:r>
        <w:t xml:space="preserve"> </w:t>
      </w:r>
      <w:r w:rsidRPr="00B05565">
        <w:t>o</w:t>
      </w:r>
      <w:r>
        <w:t xml:space="preserve"> </w:t>
      </w:r>
      <w:r w:rsidRPr="00B05565">
        <w:t>povolení</w:t>
      </w:r>
      <w:r>
        <w:t xml:space="preserve"> </w:t>
      </w:r>
      <w:r w:rsidRPr="00B05565">
        <w:t>individuálního</w:t>
      </w:r>
      <w:r>
        <w:t xml:space="preserve"> </w:t>
      </w:r>
      <w:r w:rsidRPr="00B05565">
        <w:t>vzdělávacího</w:t>
      </w:r>
      <w:r>
        <w:t xml:space="preserve"> </w:t>
      </w:r>
      <w:r w:rsidRPr="00B05565">
        <w:t>plánu</w:t>
      </w:r>
      <w:r>
        <w:t xml:space="preserve"> </w:t>
      </w:r>
      <w:r w:rsidRPr="00B05565">
        <w:t>podle</w:t>
      </w:r>
      <w:r>
        <w:t xml:space="preserve"> </w:t>
      </w:r>
      <w:r w:rsidRPr="00B05565">
        <w:t>§</w:t>
      </w:r>
      <w:r>
        <w:t xml:space="preserve"> </w:t>
      </w:r>
      <w:r w:rsidRPr="00B05565">
        <w:t>18</w:t>
      </w:r>
      <w:r>
        <w:t xml:space="preserve"> </w:t>
      </w:r>
      <w:r w:rsidRPr="00B05565">
        <w:t>a</w:t>
      </w:r>
      <w:r>
        <w:t xml:space="preserve"> </w:t>
      </w:r>
      <w:r w:rsidRPr="00B05565">
        <w:t>zamítnutí</w:t>
      </w:r>
      <w:r>
        <w:t xml:space="preserve"> </w:t>
      </w:r>
      <w:r w:rsidRPr="00B05565">
        <w:t>žádosti</w:t>
      </w:r>
      <w:r>
        <w:t xml:space="preserve"> </w:t>
      </w:r>
      <w:r w:rsidRPr="00B05565">
        <w:t>o</w:t>
      </w:r>
      <w:r>
        <w:t xml:space="preserve"> </w:t>
      </w:r>
      <w:r w:rsidRPr="00B05565">
        <w:t>přeřazení</w:t>
      </w:r>
      <w:r>
        <w:t xml:space="preserve"> </w:t>
      </w:r>
      <w:r w:rsidRPr="00B05565">
        <w:t>žáka</w:t>
      </w:r>
      <w:r>
        <w:t xml:space="preserve"> </w:t>
      </w:r>
      <w:r w:rsidRPr="00B05565">
        <w:t>nebo</w:t>
      </w:r>
      <w:r>
        <w:t xml:space="preserve"> </w:t>
      </w:r>
      <w:r w:rsidRPr="00B05565">
        <w:t>studenta</w:t>
      </w:r>
      <w:r>
        <w:t xml:space="preserve"> </w:t>
      </w:r>
      <w:r w:rsidRPr="00B05565">
        <w:t>do</w:t>
      </w:r>
      <w:r>
        <w:t xml:space="preserve"> </w:t>
      </w:r>
      <w:r w:rsidRPr="00B05565">
        <w:t>vyššího</w:t>
      </w:r>
      <w:r>
        <w:t xml:space="preserve"> </w:t>
      </w:r>
      <w:r w:rsidRPr="00B05565">
        <w:t>ročníku</w:t>
      </w:r>
      <w:r>
        <w:t xml:space="preserve"> </w:t>
      </w:r>
      <w:r w:rsidRPr="00B05565">
        <w:t>podle</w:t>
      </w:r>
      <w:r>
        <w:t xml:space="preserve"> </w:t>
      </w:r>
      <w:r w:rsidRPr="00B05565">
        <w:t>§</w:t>
      </w:r>
      <w:r>
        <w:t xml:space="preserve"> </w:t>
      </w:r>
      <w:r w:rsidRPr="00B05565">
        <w:t>17</w:t>
      </w:r>
      <w:r>
        <w:t xml:space="preserve"> </w:t>
      </w:r>
      <w:r w:rsidRPr="00B05565">
        <w:t>odst.</w:t>
      </w:r>
      <w:r>
        <w:t xml:space="preserve"> </w:t>
      </w:r>
      <w:r w:rsidRPr="00B05565">
        <w:t>3,</w:t>
      </w:r>
    </w:p>
    <w:p w14:paraId="150C2038" w14:textId="791A05A5" w:rsidR="00B9271C" w:rsidRDefault="00B9271C" w:rsidP="00AB5ED2">
      <w:pPr>
        <w:pStyle w:val="Textparagrafu"/>
        <w:tabs>
          <w:tab w:val="left" w:pos="392"/>
          <w:tab w:val="left" w:pos="840"/>
        </w:tabs>
        <w:spacing w:before="0"/>
        <w:ind w:left="426" w:hanging="426"/>
      </w:pPr>
      <w:r w:rsidRPr="00B05565">
        <w:t>b)</w:t>
      </w:r>
      <w:r w:rsidR="008F5B77">
        <w:tab/>
      </w:r>
      <w:r w:rsidRPr="00B05565">
        <w:t>přijetí</w:t>
      </w:r>
      <w:r>
        <w:t xml:space="preserve"> </w:t>
      </w:r>
      <w:r w:rsidRPr="00B05565">
        <w:t>dítěte</w:t>
      </w:r>
      <w:r>
        <w:t xml:space="preserve"> </w:t>
      </w:r>
      <w:r w:rsidRPr="00B05565">
        <w:t>k</w:t>
      </w:r>
      <w:r>
        <w:t xml:space="preserve"> </w:t>
      </w:r>
      <w:r w:rsidRPr="00B05565">
        <w:t>předškolnímu</w:t>
      </w:r>
      <w:r>
        <w:t xml:space="preserve"> </w:t>
      </w:r>
      <w:r w:rsidRPr="00B05565">
        <w:t>vzdělávání</w:t>
      </w:r>
      <w:r>
        <w:t xml:space="preserve"> </w:t>
      </w:r>
      <w:r w:rsidRPr="00B05565">
        <w:t>podle</w:t>
      </w:r>
      <w:r>
        <w:t xml:space="preserve"> </w:t>
      </w:r>
      <w:r w:rsidRPr="00B05565">
        <w:t>§</w:t>
      </w:r>
      <w:r>
        <w:t xml:space="preserve"> </w:t>
      </w:r>
      <w:r w:rsidRPr="00B05565">
        <w:t>34</w:t>
      </w:r>
      <w:r>
        <w:t xml:space="preserve"> </w:t>
      </w:r>
      <w:r w:rsidRPr="00B05565">
        <w:t>a</w:t>
      </w:r>
      <w:r>
        <w:t xml:space="preserve"> </w:t>
      </w:r>
      <w:r w:rsidRPr="00B05565">
        <w:t>ukončení</w:t>
      </w:r>
      <w:r>
        <w:t xml:space="preserve"> </w:t>
      </w:r>
      <w:r w:rsidRPr="00B05565">
        <w:t>předškolního</w:t>
      </w:r>
      <w:r>
        <w:t xml:space="preserve"> </w:t>
      </w:r>
      <w:r w:rsidRPr="00B05565">
        <w:t>vzdělávání</w:t>
      </w:r>
      <w:r>
        <w:t xml:space="preserve"> </w:t>
      </w:r>
      <w:r w:rsidRPr="00B05565">
        <w:t>podle</w:t>
      </w:r>
      <w:r>
        <w:t xml:space="preserve"> </w:t>
      </w:r>
      <w:r w:rsidRPr="00B05565">
        <w:t>§</w:t>
      </w:r>
      <w:r>
        <w:t xml:space="preserve"> </w:t>
      </w:r>
      <w:r w:rsidRPr="00B05565">
        <w:t>35,</w:t>
      </w:r>
      <w:r>
        <w:t xml:space="preserve"> </w:t>
      </w:r>
      <w:r w:rsidRPr="00B05565">
        <w:t>zařazení</w:t>
      </w:r>
      <w:r>
        <w:t xml:space="preserve"> </w:t>
      </w:r>
      <w:r w:rsidRPr="00B05565">
        <w:t>dítěte</w:t>
      </w:r>
      <w:r>
        <w:t xml:space="preserve"> </w:t>
      </w:r>
      <w:r w:rsidRPr="00B05565">
        <w:t>do</w:t>
      </w:r>
      <w:r>
        <w:t xml:space="preserve"> </w:t>
      </w:r>
      <w:r w:rsidRPr="00B05565">
        <w:t>přípravného</w:t>
      </w:r>
      <w:r>
        <w:t xml:space="preserve"> </w:t>
      </w:r>
      <w:r w:rsidRPr="00B05565">
        <w:t>stupně</w:t>
      </w:r>
      <w:r>
        <w:t xml:space="preserve"> </w:t>
      </w:r>
      <w:r w:rsidRPr="00B05565">
        <w:t>základní</w:t>
      </w:r>
      <w:r>
        <w:t xml:space="preserve"> </w:t>
      </w:r>
      <w:r w:rsidRPr="00B05565">
        <w:t>školy</w:t>
      </w:r>
      <w:r>
        <w:t xml:space="preserve"> </w:t>
      </w:r>
      <w:r w:rsidRPr="00B05565">
        <w:t>speciální</w:t>
      </w:r>
      <w:r>
        <w:t xml:space="preserve"> </w:t>
      </w:r>
      <w:r w:rsidRPr="00B05565">
        <w:t>podle</w:t>
      </w:r>
      <w:r>
        <w:t xml:space="preserve"> </w:t>
      </w:r>
      <w:r w:rsidRPr="00B05565">
        <w:t>§</w:t>
      </w:r>
      <w:r>
        <w:t xml:space="preserve"> </w:t>
      </w:r>
      <w:r w:rsidRPr="00B05565">
        <w:t>48a,</w:t>
      </w:r>
      <w:r>
        <w:t xml:space="preserve"> </w:t>
      </w:r>
      <w:r w:rsidRPr="00B05565">
        <w:t>zařazení</w:t>
      </w:r>
      <w:r>
        <w:t xml:space="preserve"> </w:t>
      </w:r>
      <w:r w:rsidRPr="00B05565">
        <w:t>dítěte</w:t>
      </w:r>
      <w:r>
        <w:t xml:space="preserve"> </w:t>
      </w:r>
      <w:r w:rsidRPr="00B05565">
        <w:t>do</w:t>
      </w:r>
      <w:r>
        <w:t xml:space="preserve"> </w:t>
      </w:r>
      <w:r w:rsidRPr="00B05565">
        <w:t>přípravné</w:t>
      </w:r>
      <w:r>
        <w:t xml:space="preserve"> </w:t>
      </w:r>
      <w:r w:rsidRPr="00B05565">
        <w:t>třídy</w:t>
      </w:r>
      <w:r>
        <w:t xml:space="preserve"> </w:t>
      </w:r>
      <w:r w:rsidRPr="00B05565">
        <w:t>základní</w:t>
      </w:r>
      <w:r>
        <w:t xml:space="preserve"> </w:t>
      </w:r>
      <w:r w:rsidRPr="00B05565">
        <w:t>školy</w:t>
      </w:r>
      <w:r>
        <w:t xml:space="preserve"> </w:t>
      </w:r>
      <w:r w:rsidRPr="00B05565">
        <w:t>podle</w:t>
      </w:r>
      <w:r>
        <w:t xml:space="preserve"> </w:t>
      </w:r>
      <w:r w:rsidRPr="00B05565">
        <w:t>§</w:t>
      </w:r>
      <w:r>
        <w:t xml:space="preserve"> </w:t>
      </w:r>
      <w:r w:rsidRPr="00B05565">
        <w:t>47,</w:t>
      </w:r>
    </w:p>
    <w:p w14:paraId="0D3CC203" w14:textId="4534618C" w:rsidR="00B9271C" w:rsidRDefault="00B9271C" w:rsidP="00AB5ED2">
      <w:pPr>
        <w:pStyle w:val="Textparagrafu"/>
        <w:tabs>
          <w:tab w:val="left" w:pos="392"/>
          <w:tab w:val="left" w:pos="840"/>
        </w:tabs>
        <w:spacing w:before="0"/>
        <w:ind w:left="426" w:hanging="426"/>
      </w:pPr>
      <w:r w:rsidRPr="00B05565">
        <w:t>c)</w:t>
      </w:r>
      <w:r w:rsidR="008F5B77">
        <w:tab/>
      </w:r>
      <w:r w:rsidRPr="00B05565">
        <w:t>zamítnutí</w:t>
      </w:r>
      <w:r>
        <w:t xml:space="preserve"> </w:t>
      </w:r>
      <w:r w:rsidRPr="00B05565">
        <w:t>žádosti</w:t>
      </w:r>
      <w:r>
        <w:t xml:space="preserve"> </w:t>
      </w:r>
      <w:r w:rsidRPr="00B05565">
        <w:t>o</w:t>
      </w:r>
      <w:r>
        <w:t xml:space="preserve"> </w:t>
      </w:r>
      <w:r w:rsidRPr="00B05565">
        <w:t>odklad</w:t>
      </w:r>
      <w:r>
        <w:t xml:space="preserve"> </w:t>
      </w:r>
      <w:r w:rsidRPr="00B05565">
        <w:t>povinné</w:t>
      </w:r>
      <w:r>
        <w:t xml:space="preserve"> </w:t>
      </w:r>
      <w:r w:rsidRPr="00B05565">
        <w:t>školní</w:t>
      </w:r>
      <w:r>
        <w:t xml:space="preserve"> </w:t>
      </w:r>
      <w:r w:rsidRPr="00B05565">
        <w:t>docházky</w:t>
      </w:r>
      <w:r>
        <w:t xml:space="preserve"> </w:t>
      </w:r>
      <w:r w:rsidRPr="00B05565">
        <w:t>podle</w:t>
      </w:r>
      <w:r>
        <w:t xml:space="preserve"> </w:t>
      </w:r>
      <w:r w:rsidRPr="00B05565">
        <w:t>§</w:t>
      </w:r>
      <w:r>
        <w:t xml:space="preserve"> </w:t>
      </w:r>
      <w:r w:rsidRPr="00B05565">
        <w:t>37,</w:t>
      </w:r>
    </w:p>
    <w:p w14:paraId="6EEBB35F" w14:textId="54AFF12E" w:rsidR="00B9271C" w:rsidRDefault="00B9271C" w:rsidP="00AB5ED2">
      <w:pPr>
        <w:pStyle w:val="Textparagrafu"/>
        <w:tabs>
          <w:tab w:val="left" w:pos="392"/>
          <w:tab w:val="left" w:pos="840"/>
        </w:tabs>
        <w:spacing w:before="0"/>
        <w:ind w:left="426" w:hanging="426"/>
      </w:pPr>
      <w:r w:rsidRPr="00B05565">
        <w:t>d)</w:t>
      </w:r>
      <w:r w:rsidR="008F5B77">
        <w:tab/>
      </w:r>
      <w:r w:rsidRPr="00B05565">
        <w:t>převedení</w:t>
      </w:r>
      <w:r>
        <w:t xml:space="preserve"> </w:t>
      </w:r>
      <w:r w:rsidRPr="00B05565">
        <w:t>žáka</w:t>
      </w:r>
      <w:r>
        <w:t xml:space="preserve"> </w:t>
      </w:r>
      <w:r w:rsidRPr="00B05565">
        <w:t>do</w:t>
      </w:r>
      <w:r>
        <w:t xml:space="preserve"> </w:t>
      </w:r>
      <w:r w:rsidRPr="00B05565">
        <w:t>odpovídajícího</w:t>
      </w:r>
      <w:r>
        <w:t xml:space="preserve"> </w:t>
      </w:r>
      <w:r w:rsidRPr="00B05565">
        <w:t>ročníku</w:t>
      </w:r>
      <w:r>
        <w:t xml:space="preserve"> </w:t>
      </w:r>
      <w:r w:rsidRPr="00B05565">
        <w:t>základní</w:t>
      </w:r>
      <w:r>
        <w:t xml:space="preserve"> </w:t>
      </w:r>
      <w:r w:rsidRPr="00B05565">
        <w:t>školy</w:t>
      </w:r>
      <w:r>
        <w:t xml:space="preserve"> </w:t>
      </w:r>
      <w:r w:rsidRPr="00B05565">
        <w:t>podle</w:t>
      </w:r>
      <w:r>
        <w:t xml:space="preserve"> </w:t>
      </w:r>
      <w:r w:rsidRPr="00B05565">
        <w:t>§</w:t>
      </w:r>
      <w:r>
        <w:t xml:space="preserve"> </w:t>
      </w:r>
      <w:r w:rsidRPr="00B05565">
        <w:t>39</w:t>
      </w:r>
      <w:r>
        <w:t xml:space="preserve"> </w:t>
      </w:r>
      <w:r w:rsidRPr="00B05565">
        <w:t>odst.</w:t>
      </w:r>
      <w:r>
        <w:t xml:space="preserve"> </w:t>
      </w:r>
      <w:r w:rsidRPr="00B05565">
        <w:t>2,</w:t>
      </w:r>
    </w:p>
    <w:p w14:paraId="634D2BE3" w14:textId="2512FEAA" w:rsidR="00B9271C" w:rsidRDefault="00B9271C" w:rsidP="00AB5ED2">
      <w:pPr>
        <w:pStyle w:val="Textparagrafu"/>
        <w:tabs>
          <w:tab w:val="left" w:pos="392"/>
          <w:tab w:val="left" w:pos="840"/>
        </w:tabs>
        <w:spacing w:before="0"/>
        <w:ind w:left="426" w:hanging="426"/>
      </w:pPr>
      <w:r w:rsidRPr="00B05565">
        <w:t>e)</w:t>
      </w:r>
      <w:r w:rsidR="008F5B77">
        <w:tab/>
      </w:r>
      <w:r w:rsidRPr="00B05565">
        <w:t>přijetí</w:t>
      </w:r>
      <w:r>
        <w:t xml:space="preserve"> </w:t>
      </w:r>
      <w:r w:rsidRPr="00B05565">
        <w:t>k</w:t>
      </w:r>
      <w:r>
        <w:t xml:space="preserve"> </w:t>
      </w:r>
      <w:r w:rsidRPr="00B05565">
        <w:t>základnímu</w:t>
      </w:r>
      <w:r>
        <w:t xml:space="preserve"> </w:t>
      </w:r>
      <w:r w:rsidRPr="00B05565">
        <w:t>vzdělávání</w:t>
      </w:r>
      <w:r>
        <w:t xml:space="preserve"> </w:t>
      </w:r>
      <w:r w:rsidRPr="00B05565">
        <w:t>podle</w:t>
      </w:r>
      <w:r>
        <w:t xml:space="preserve"> </w:t>
      </w:r>
      <w:r w:rsidRPr="00B05565">
        <w:t>§</w:t>
      </w:r>
      <w:r>
        <w:t xml:space="preserve"> </w:t>
      </w:r>
      <w:r w:rsidRPr="00B05565">
        <w:t>46,</w:t>
      </w:r>
      <w:r>
        <w:t xml:space="preserve"> </w:t>
      </w:r>
      <w:r w:rsidRPr="00B05565">
        <w:t>přestupu</w:t>
      </w:r>
      <w:r>
        <w:t xml:space="preserve"> </w:t>
      </w:r>
      <w:r w:rsidRPr="00B05565">
        <w:t>žáka</w:t>
      </w:r>
      <w:r>
        <w:t xml:space="preserve"> </w:t>
      </w:r>
      <w:r w:rsidRPr="00B05565">
        <w:t>podle</w:t>
      </w:r>
      <w:r>
        <w:t xml:space="preserve"> </w:t>
      </w:r>
      <w:r w:rsidRPr="00B05565">
        <w:t>§</w:t>
      </w:r>
      <w:r>
        <w:t xml:space="preserve"> </w:t>
      </w:r>
      <w:r w:rsidRPr="00B05565">
        <w:t>49</w:t>
      </w:r>
      <w:r>
        <w:t xml:space="preserve"> </w:t>
      </w:r>
      <w:r w:rsidRPr="00B05565">
        <w:t>odst.</w:t>
      </w:r>
      <w:r>
        <w:t xml:space="preserve"> </w:t>
      </w:r>
      <w:r w:rsidRPr="00B05565">
        <w:t>1,</w:t>
      </w:r>
      <w:r>
        <w:t xml:space="preserve"> </w:t>
      </w:r>
      <w:r w:rsidRPr="00B05565">
        <w:t>převedení</w:t>
      </w:r>
      <w:r>
        <w:t xml:space="preserve"> </w:t>
      </w:r>
      <w:r w:rsidRPr="00B05565">
        <w:t>žáka</w:t>
      </w:r>
      <w:r>
        <w:t xml:space="preserve"> </w:t>
      </w:r>
      <w:r w:rsidRPr="00B05565">
        <w:t>do</w:t>
      </w:r>
      <w:r>
        <w:t xml:space="preserve"> </w:t>
      </w:r>
      <w:r w:rsidRPr="00B05565">
        <w:t>jiného</w:t>
      </w:r>
      <w:r>
        <w:t xml:space="preserve"> </w:t>
      </w:r>
      <w:r w:rsidRPr="00B05565">
        <w:t>vzdělávacího</w:t>
      </w:r>
      <w:r>
        <w:t xml:space="preserve"> </w:t>
      </w:r>
      <w:r w:rsidRPr="00B05565">
        <w:t>programu</w:t>
      </w:r>
      <w:r>
        <w:t xml:space="preserve"> </w:t>
      </w:r>
      <w:r w:rsidRPr="00B05565">
        <w:t>podle</w:t>
      </w:r>
      <w:r>
        <w:t xml:space="preserve"> </w:t>
      </w:r>
      <w:r w:rsidRPr="00B05565">
        <w:t>§</w:t>
      </w:r>
      <w:r>
        <w:t xml:space="preserve"> </w:t>
      </w:r>
      <w:r w:rsidRPr="00B05565">
        <w:t>49</w:t>
      </w:r>
      <w:r>
        <w:t xml:space="preserve"> </w:t>
      </w:r>
      <w:r w:rsidRPr="00B05565">
        <w:t>odst.</w:t>
      </w:r>
      <w:r>
        <w:t xml:space="preserve"> </w:t>
      </w:r>
      <w:r w:rsidRPr="00B05565">
        <w:t>2</w:t>
      </w:r>
      <w:r>
        <w:t xml:space="preserve"> </w:t>
      </w:r>
      <w:r w:rsidRPr="00B05565">
        <w:t>a</w:t>
      </w:r>
      <w:r>
        <w:t xml:space="preserve"> </w:t>
      </w:r>
      <w:r w:rsidRPr="00B05565">
        <w:t>zamítnutí</w:t>
      </w:r>
      <w:r>
        <w:t xml:space="preserve"> </w:t>
      </w:r>
      <w:r w:rsidRPr="00B05565">
        <w:t>žádosti</w:t>
      </w:r>
      <w:r>
        <w:t xml:space="preserve"> </w:t>
      </w:r>
      <w:r w:rsidRPr="00B05565">
        <w:t>o</w:t>
      </w:r>
      <w:r>
        <w:t xml:space="preserve"> </w:t>
      </w:r>
      <w:r w:rsidRPr="00B05565">
        <w:t>povolení</w:t>
      </w:r>
      <w:r>
        <w:t xml:space="preserve"> </w:t>
      </w:r>
      <w:r w:rsidRPr="00B05565">
        <w:t>pokračování</w:t>
      </w:r>
      <w:r>
        <w:t xml:space="preserve"> </w:t>
      </w:r>
      <w:r w:rsidRPr="00B05565">
        <w:t>v</w:t>
      </w:r>
      <w:r>
        <w:t xml:space="preserve"> </w:t>
      </w:r>
      <w:r w:rsidRPr="00B05565">
        <w:t>základním</w:t>
      </w:r>
      <w:r>
        <w:t xml:space="preserve"> </w:t>
      </w:r>
      <w:r w:rsidRPr="00B05565">
        <w:t>vzdělávání</w:t>
      </w:r>
      <w:r>
        <w:t xml:space="preserve"> </w:t>
      </w:r>
      <w:r w:rsidRPr="00B05565">
        <w:t>podle</w:t>
      </w:r>
      <w:r>
        <w:t xml:space="preserve"> </w:t>
      </w:r>
      <w:r w:rsidRPr="00B05565">
        <w:t>§</w:t>
      </w:r>
      <w:r>
        <w:t xml:space="preserve"> </w:t>
      </w:r>
      <w:r w:rsidRPr="00B05565">
        <w:t>55</w:t>
      </w:r>
      <w:r>
        <w:t xml:space="preserve"> </w:t>
      </w:r>
      <w:r w:rsidRPr="00B05565">
        <w:t>odst.</w:t>
      </w:r>
      <w:r>
        <w:t xml:space="preserve"> </w:t>
      </w:r>
      <w:r w:rsidRPr="00B05565">
        <w:t>2,</w:t>
      </w:r>
    </w:p>
    <w:p w14:paraId="22997E5B" w14:textId="7160350D" w:rsidR="00B9271C" w:rsidRDefault="00B9271C" w:rsidP="00AB5ED2">
      <w:pPr>
        <w:pStyle w:val="Textparagrafu"/>
        <w:tabs>
          <w:tab w:val="left" w:pos="392"/>
          <w:tab w:val="left" w:pos="840"/>
        </w:tabs>
        <w:spacing w:before="0"/>
        <w:ind w:left="426" w:hanging="426"/>
      </w:pPr>
      <w:r w:rsidRPr="00B05565">
        <w:lastRenderedPageBreak/>
        <w:t>f)</w:t>
      </w:r>
      <w:r w:rsidR="008F5B77">
        <w:tab/>
      </w:r>
      <w:r w:rsidRPr="00B05565">
        <w:t>přijetí</w:t>
      </w:r>
      <w:r>
        <w:t xml:space="preserve"> </w:t>
      </w:r>
      <w:r w:rsidRPr="00B05565">
        <w:t>ke</w:t>
      </w:r>
      <w:r>
        <w:t xml:space="preserve"> </w:t>
      </w:r>
      <w:r w:rsidRPr="00B05565">
        <w:t>vzdělávání</w:t>
      </w:r>
      <w:r>
        <w:t xml:space="preserve"> </w:t>
      </w:r>
      <w:r w:rsidRPr="00B05565">
        <w:t>ve</w:t>
      </w:r>
      <w:r>
        <w:t xml:space="preserve"> </w:t>
      </w:r>
      <w:r w:rsidRPr="00B05565">
        <w:t>střední</w:t>
      </w:r>
      <w:r>
        <w:t xml:space="preserve"> </w:t>
      </w:r>
      <w:r w:rsidRPr="00B05565">
        <w:t>škole</w:t>
      </w:r>
      <w:r>
        <w:t xml:space="preserve"> </w:t>
      </w:r>
      <w:r w:rsidRPr="00B05565">
        <w:t>podle</w:t>
      </w:r>
      <w:r>
        <w:t xml:space="preserve"> </w:t>
      </w:r>
      <w:r w:rsidRPr="00B05565">
        <w:t>§</w:t>
      </w:r>
      <w:r>
        <w:t xml:space="preserve"> </w:t>
      </w:r>
      <w:r w:rsidRPr="00B05565">
        <w:t>59</w:t>
      </w:r>
      <w:r>
        <w:t xml:space="preserve"> </w:t>
      </w:r>
      <w:r w:rsidRPr="00B05565">
        <w:t>a</w:t>
      </w:r>
      <w:r>
        <w:t xml:space="preserve"> </w:t>
      </w:r>
      <w:r w:rsidRPr="00B05565">
        <w:t>následujících,</w:t>
      </w:r>
      <w:r>
        <w:t xml:space="preserve"> </w:t>
      </w:r>
      <w:r w:rsidRPr="00B05565">
        <w:t>vyšší</w:t>
      </w:r>
      <w:r>
        <w:t xml:space="preserve"> </w:t>
      </w:r>
      <w:r w:rsidRPr="00B05565">
        <w:t>odborné</w:t>
      </w:r>
      <w:r>
        <w:t xml:space="preserve"> </w:t>
      </w:r>
      <w:r w:rsidRPr="00B05565">
        <w:t>škole</w:t>
      </w:r>
      <w:r>
        <w:t xml:space="preserve"> </w:t>
      </w:r>
      <w:r w:rsidRPr="00B05565">
        <w:t>podle</w:t>
      </w:r>
      <w:r>
        <w:t xml:space="preserve"> </w:t>
      </w:r>
      <w:r w:rsidRPr="00B05565">
        <w:t>§</w:t>
      </w:r>
      <w:r>
        <w:t xml:space="preserve"> </w:t>
      </w:r>
      <w:r w:rsidRPr="00B05565">
        <w:t>93</w:t>
      </w:r>
      <w:r>
        <w:t xml:space="preserve"> </w:t>
      </w:r>
      <w:r w:rsidRPr="00B05565">
        <w:t>a</w:t>
      </w:r>
      <w:r>
        <w:t xml:space="preserve"> </w:t>
      </w:r>
      <w:r w:rsidRPr="00B05565">
        <w:t>následujících</w:t>
      </w:r>
      <w:r>
        <w:t xml:space="preserve"> </w:t>
      </w:r>
      <w:r w:rsidRPr="00B05565">
        <w:t>a</w:t>
      </w:r>
      <w:r>
        <w:t xml:space="preserve"> </w:t>
      </w:r>
      <w:r w:rsidRPr="00B05565">
        <w:t>v</w:t>
      </w:r>
      <w:r>
        <w:t xml:space="preserve"> </w:t>
      </w:r>
      <w:r w:rsidRPr="00B05565">
        <w:t>konzervatoři</w:t>
      </w:r>
      <w:r>
        <w:t xml:space="preserve"> </w:t>
      </w:r>
      <w:r w:rsidRPr="00B05565">
        <w:t>podle</w:t>
      </w:r>
      <w:r>
        <w:t xml:space="preserve"> </w:t>
      </w:r>
      <w:r w:rsidRPr="00B05565">
        <w:t>§</w:t>
      </w:r>
      <w:r>
        <w:t xml:space="preserve"> </w:t>
      </w:r>
      <w:r w:rsidRPr="00B05565">
        <w:t>88,</w:t>
      </w:r>
    </w:p>
    <w:p w14:paraId="75912932" w14:textId="135AB75D" w:rsidR="00B9271C" w:rsidRDefault="00B9271C" w:rsidP="00AB5ED2">
      <w:pPr>
        <w:pStyle w:val="Textparagrafu"/>
        <w:tabs>
          <w:tab w:val="left" w:pos="392"/>
          <w:tab w:val="left" w:pos="840"/>
        </w:tabs>
        <w:spacing w:before="0"/>
        <w:ind w:left="426" w:hanging="426"/>
      </w:pPr>
      <w:r w:rsidRPr="00B05565">
        <w:t>g)</w:t>
      </w:r>
      <w:r w:rsidR="008F5B77">
        <w:tab/>
      </w:r>
      <w:r w:rsidRPr="00B05565">
        <w:t>zamítnutí</w:t>
      </w:r>
      <w:r>
        <w:t xml:space="preserve"> </w:t>
      </w:r>
      <w:r w:rsidRPr="00B05565">
        <w:t>žádosti</w:t>
      </w:r>
      <w:r>
        <w:t xml:space="preserve"> </w:t>
      </w:r>
      <w:r w:rsidRPr="00B05565">
        <w:t>o</w:t>
      </w:r>
      <w:r>
        <w:t xml:space="preserve"> </w:t>
      </w:r>
      <w:r w:rsidRPr="00B05565">
        <w:t>přestup,</w:t>
      </w:r>
      <w:r>
        <w:t xml:space="preserve"> </w:t>
      </w:r>
      <w:r w:rsidRPr="00B05565">
        <w:t>změnu</w:t>
      </w:r>
      <w:r>
        <w:t xml:space="preserve"> </w:t>
      </w:r>
      <w:r w:rsidRPr="00B05565">
        <w:t>oboru</w:t>
      </w:r>
      <w:r>
        <w:t xml:space="preserve"> </w:t>
      </w:r>
      <w:r w:rsidRPr="00B05565">
        <w:t>vzdělání,</w:t>
      </w:r>
      <w:r>
        <w:t xml:space="preserve"> </w:t>
      </w:r>
      <w:r w:rsidRPr="00B05565">
        <w:t>přerušení</w:t>
      </w:r>
      <w:r>
        <w:t xml:space="preserve"> </w:t>
      </w:r>
      <w:r w:rsidRPr="00B05565">
        <w:t>vzdělávání</w:t>
      </w:r>
      <w:r>
        <w:t xml:space="preserve"> </w:t>
      </w:r>
      <w:r w:rsidRPr="00B05565">
        <w:t>a</w:t>
      </w:r>
      <w:r>
        <w:t xml:space="preserve"> </w:t>
      </w:r>
      <w:r w:rsidRPr="00B05565">
        <w:t>opakování</w:t>
      </w:r>
      <w:r>
        <w:t xml:space="preserve"> </w:t>
      </w:r>
      <w:r w:rsidRPr="00B05565">
        <w:t>ročníku</w:t>
      </w:r>
      <w:r>
        <w:t xml:space="preserve"> </w:t>
      </w:r>
      <w:r w:rsidRPr="00B05565">
        <w:t>podle</w:t>
      </w:r>
      <w:r>
        <w:t xml:space="preserve"> </w:t>
      </w:r>
      <w:r w:rsidRPr="00B05565">
        <w:t>§</w:t>
      </w:r>
      <w:r>
        <w:t xml:space="preserve"> </w:t>
      </w:r>
      <w:r w:rsidRPr="00B05565">
        <w:t>66</w:t>
      </w:r>
      <w:r>
        <w:t xml:space="preserve"> </w:t>
      </w:r>
      <w:r w:rsidRPr="00B05565">
        <w:t>a</w:t>
      </w:r>
      <w:r>
        <w:t xml:space="preserve"> </w:t>
      </w:r>
      <w:r w:rsidRPr="00B05565">
        <w:t>97,</w:t>
      </w:r>
    </w:p>
    <w:p w14:paraId="5CE64F95" w14:textId="5D5602E9" w:rsidR="00B9271C" w:rsidRDefault="00B9271C" w:rsidP="00AB5ED2">
      <w:pPr>
        <w:pStyle w:val="Textparagrafu"/>
        <w:tabs>
          <w:tab w:val="left" w:pos="392"/>
          <w:tab w:val="left" w:pos="840"/>
        </w:tabs>
        <w:spacing w:before="0"/>
        <w:ind w:left="426" w:hanging="426"/>
      </w:pPr>
      <w:r w:rsidRPr="00B05565">
        <w:t>h)</w:t>
      </w:r>
      <w:r w:rsidR="008F5B77">
        <w:tab/>
      </w:r>
      <w:r w:rsidRPr="00B05565">
        <w:t>zamítnutí</w:t>
      </w:r>
      <w:r>
        <w:t xml:space="preserve"> </w:t>
      </w:r>
      <w:r w:rsidRPr="00B05565">
        <w:t>žádosti</w:t>
      </w:r>
      <w:r>
        <w:t xml:space="preserve"> </w:t>
      </w:r>
      <w:r w:rsidRPr="00B05565">
        <w:t>o</w:t>
      </w:r>
      <w:r>
        <w:t xml:space="preserve"> </w:t>
      </w:r>
      <w:r w:rsidRPr="00B05565">
        <w:t>pokračování</w:t>
      </w:r>
      <w:r>
        <w:t xml:space="preserve"> </w:t>
      </w:r>
      <w:r w:rsidRPr="00B05565">
        <w:t>v</w:t>
      </w:r>
      <w:r>
        <w:t xml:space="preserve"> </w:t>
      </w:r>
      <w:r w:rsidRPr="00B05565">
        <w:t>základním</w:t>
      </w:r>
      <w:r>
        <w:t xml:space="preserve"> </w:t>
      </w:r>
      <w:r w:rsidRPr="00B05565">
        <w:t>vzdělávání</w:t>
      </w:r>
      <w:r>
        <w:t xml:space="preserve"> </w:t>
      </w:r>
      <w:r w:rsidRPr="00B05565">
        <w:t>podle</w:t>
      </w:r>
      <w:r>
        <w:t xml:space="preserve"> </w:t>
      </w:r>
      <w:r w:rsidRPr="00B05565">
        <w:t>§</w:t>
      </w:r>
      <w:r>
        <w:t xml:space="preserve"> </w:t>
      </w:r>
      <w:r w:rsidRPr="00B05565">
        <w:t>55</w:t>
      </w:r>
      <w:r>
        <w:t xml:space="preserve"> </w:t>
      </w:r>
      <w:r w:rsidRPr="00B05565">
        <w:t>odst.</w:t>
      </w:r>
      <w:r>
        <w:t xml:space="preserve"> </w:t>
      </w:r>
      <w:r w:rsidRPr="00B05565">
        <w:t>1,</w:t>
      </w:r>
    </w:p>
    <w:p w14:paraId="0A88010A" w14:textId="5DA04399" w:rsidR="00B9271C" w:rsidRDefault="00B9271C" w:rsidP="00AB5ED2">
      <w:pPr>
        <w:pStyle w:val="Textparagrafu"/>
        <w:tabs>
          <w:tab w:val="left" w:pos="392"/>
          <w:tab w:val="left" w:pos="840"/>
        </w:tabs>
        <w:spacing w:before="0"/>
        <w:ind w:left="426" w:hanging="426"/>
      </w:pPr>
      <w:r w:rsidRPr="00B05565">
        <w:t>i)</w:t>
      </w:r>
      <w:r w:rsidR="008F5B77">
        <w:tab/>
      </w:r>
      <w:r w:rsidRPr="00B05565">
        <w:t>podmíněné</w:t>
      </w:r>
      <w:r>
        <w:t xml:space="preserve"> </w:t>
      </w:r>
      <w:r w:rsidRPr="00B05565">
        <w:t>vyloučení</w:t>
      </w:r>
      <w:r>
        <w:t xml:space="preserve"> </w:t>
      </w:r>
      <w:r w:rsidRPr="00B05565">
        <w:t>a</w:t>
      </w:r>
      <w:r>
        <w:t xml:space="preserve"> </w:t>
      </w:r>
      <w:r w:rsidRPr="00B05565">
        <w:t>vyloučení</w:t>
      </w:r>
      <w:r>
        <w:t xml:space="preserve"> </w:t>
      </w:r>
      <w:r w:rsidRPr="00B05565">
        <w:t>žáka</w:t>
      </w:r>
      <w:r>
        <w:t xml:space="preserve"> </w:t>
      </w:r>
      <w:r w:rsidRPr="00B05565">
        <w:t>nebo</w:t>
      </w:r>
      <w:r>
        <w:t xml:space="preserve"> </w:t>
      </w:r>
      <w:r w:rsidRPr="00B05565">
        <w:t>studenta</w:t>
      </w:r>
      <w:r>
        <w:t xml:space="preserve"> </w:t>
      </w:r>
      <w:r w:rsidRPr="00B05565">
        <w:t>ze</w:t>
      </w:r>
      <w:r>
        <w:t xml:space="preserve"> </w:t>
      </w:r>
      <w:r w:rsidRPr="00B05565">
        <w:t>školy</w:t>
      </w:r>
      <w:r>
        <w:t xml:space="preserve"> </w:t>
      </w:r>
      <w:r w:rsidRPr="00B05565">
        <w:t>nebo</w:t>
      </w:r>
      <w:r>
        <w:t xml:space="preserve"> </w:t>
      </w:r>
      <w:r w:rsidRPr="00B05565">
        <w:t>školského</w:t>
      </w:r>
      <w:r>
        <w:t xml:space="preserve"> </w:t>
      </w:r>
      <w:r w:rsidRPr="00B05565">
        <w:t>zařízení</w:t>
      </w:r>
      <w:r>
        <w:t xml:space="preserve"> </w:t>
      </w:r>
      <w:r w:rsidRPr="00B05565">
        <w:t>podle</w:t>
      </w:r>
      <w:r>
        <w:t xml:space="preserve"> </w:t>
      </w:r>
      <w:r w:rsidRPr="00B05565">
        <w:t>§</w:t>
      </w:r>
      <w:r>
        <w:t xml:space="preserve"> </w:t>
      </w:r>
      <w:r w:rsidRPr="00B05565">
        <w:t>31</w:t>
      </w:r>
      <w:r>
        <w:t xml:space="preserve"> </w:t>
      </w:r>
      <w:r w:rsidRPr="00B05565">
        <w:t>odst.</w:t>
      </w:r>
      <w:r>
        <w:t xml:space="preserve"> </w:t>
      </w:r>
      <w:r w:rsidRPr="00B05565">
        <w:t>2</w:t>
      </w:r>
      <w:r>
        <w:t xml:space="preserve"> </w:t>
      </w:r>
      <w:r w:rsidRPr="00B05565">
        <w:t>a</w:t>
      </w:r>
      <w:r>
        <w:t xml:space="preserve"> </w:t>
      </w:r>
      <w:r w:rsidRPr="00B05565">
        <w:t>4,</w:t>
      </w:r>
    </w:p>
    <w:p w14:paraId="1E9CA46B" w14:textId="186F20DB" w:rsidR="00B9271C" w:rsidRDefault="00B9271C" w:rsidP="00AB5ED2">
      <w:pPr>
        <w:pStyle w:val="Textparagrafu"/>
        <w:tabs>
          <w:tab w:val="left" w:pos="392"/>
          <w:tab w:val="left" w:pos="840"/>
        </w:tabs>
        <w:spacing w:before="0"/>
        <w:ind w:left="426" w:hanging="426"/>
      </w:pPr>
      <w:r w:rsidRPr="00B05565">
        <w:t>j)</w:t>
      </w:r>
      <w:r w:rsidR="008F5B77">
        <w:tab/>
      </w:r>
      <w:r w:rsidRPr="00B05565">
        <w:t>zamítnutí</w:t>
      </w:r>
      <w:r>
        <w:t xml:space="preserve"> </w:t>
      </w:r>
      <w:r w:rsidRPr="00B05565">
        <w:t>žádosti</w:t>
      </w:r>
      <w:r>
        <w:t xml:space="preserve"> </w:t>
      </w:r>
      <w:r w:rsidRPr="00B05565">
        <w:t>o</w:t>
      </w:r>
      <w:r>
        <w:t xml:space="preserve"> </w:t>
      </w:r>
      <w:r w:rsidRPr="00B05565">
        <w:t>uznání</w:t>
      </w:r>
      <w:r>
        <w:t xml:space="preserve"> </w:t>
      </w:r>
      <w:r w:rsidRPr="00B05565">
        <w:t>dosaženého</w:t>
      </w:r>
      <w:r>
        <w:t xml:space="preserve"> </w:t>
      </w:r>
      <w:r w:rsidRPr="00B05565">
        <w:t>vzdělání</w:t>
      </w:r>
      <w:r>
        <w:t xml:space="preserve"> </w:t>
      </w:r>
      <w:r w:rsidRPr="00B05565">
        <w:t>podle</w:t>
      </w:r>
      <w:r>
        <w:t xml:space="preserve"> </w:t>
      </w:r>
      <w:r w:rsidRPr="00B05565">
        <w:t>§</w:t>
      </w:r>
      <w:r>
        <w:t xml:space="preserve"> </w:t>
      </w:r>
      <w:r w:rsidRPr="00B05565">
        <w:t>70</w:t>
      </w:r>
      <w:r>
        <w:t xml:space="preserve"> </w:t>
      </w:r>
      <w:r w:rsidRPr="00B05565">
        <w:t>a</w:t>
      </w:r>
      <w:r>
        <w:t xml:space="preserve"> </w:t>
      </w:r>
      <w:r w:rsidRPr="00B05565">
        <w:t>100,</w:t>
      </w:r>
    </w:p>
    <w:p w14:paraId="7A5C50CB" w14:textId="364C2EFB" w:rsidR="00B9271C" w:rsidRPr="00B05565" w:rsidRDefault="00B9271C" w:rsidP="00AB5ED2">
      <w:pPr>
        <w:pStyle w:val="Textparagrafu"/>
        <w:tabs>
          <w:tab w:val="left" w:pos="392"/>
          <w:tab w:val="left" w:pos="840"/>
        </w:tabs>
        <w:spacing w:before="0"/>
        <w:ind w:left="426" w:hanging="426"/>
      </w:pPr>
      <w:r w:rsidRPr="00B05565">
        <w:t>k)</w:t>
      </w:r>
      <w:r w:rsidR="008F5B77">
        <w:tab/>
      </w:r>
      <w:r w:rsidRPr="00B05565">
        <w:t>povolení</w:t>
      </w:r>
      <w:r>
        <w:t xml:space="preserve"> </w:t>
      </w:r>
      <w:r w:rsidRPr="00B05565">
        <w:t>a</w:t>
      </w:r>
      <w:r>
        <w:t xml:space="preserve"> </w:t>
      </w:r>
      <w:r w:rsidRPr="00B05565">
        <w:t>ukončení</w:t>
      </w:r>
      <w:r>
        <w:t xml:space="preserve"> </w:t>
      </w:r>
      <w:r w:rsidRPr="00B05565">
        <w:t>individuálního</w:t>
      </w:r>
      <w:r>
        <w:t xml:space="preserve"> </w:t>
      </w:r>
      <w:r w:rsidRPr="00B05565">
        <w:t>vzdělávání</w:t>
      </w:r>
      <w:r>
        <w:t xml:space="preserve"> </w:t>
      </w:r>
      <w:r w:rsidRPr="00B05565">
        <w:t>žáka</w:t>
      </w:r>
      <w:r>
        <w:t xml:space="preserve"> </w:t>
      </w:r>
      <w:r w:rsidRPr="00B05565">
        <w:t>podle</w:t>
      </w:r>
      <w:r>
        <w:t xml:space="preserve"> </w:t>
      </w:r>
      <w:r w:rsidRPr="00B05565">
        <w:t>§</w:t>
      </w:r>
      <w:r>
        <w:t xml:space="preserve"> </w:t>
      </w:r>
      <w:r w:rsidRPr="00B05565">
        <w:t>41</w:t>
      </w:r>
      <w:r>
        <w:t xml:space="preserve"> </w:t>
      </w:r>
      <w:r w:rsidRPr="00B05565">
        <w:t>a</w:t>
      </w:r>
      <w:r>
        <w:t xml:space="preserve"> </w:t>
      </w:r>
      <w:r w:rsidRPr="00B05565">
        <w:t>ukončení</w:t>
      </w:r>
      <w:r>
        <w:t xml:space="preserve"> </w:t>
      </w:r>
      <w:r w:rsidRPr="00B05565">
        <w:t>individuálního</w:t>
      </w:r>
      <w:r>
        <w:t xml:space="preserve"> </w:t>
      </w:r>
      <w:r w:rsidRPr="00B05565">
        <w:t>vzdělávání</w:t>
      </w:r>
      <w:r>
        <w:t xml:space="preserve"> </w:t>
      </w:r>
      <w:r w:rsidRPr="00B05565">
        <w:t>dítěte</w:t>
      </w:r>
      <w:r>
        <w:t xml:space="preserve"> </w:t>
      </w:r>
      <w:r w:rsidRPr="00B05565">
        <w:t>podle</w:t>
      </w:r>
      <w:r>
        <w:t xml:space="preserve"> </w:t>
      </w:r>
      <w:r w:rsidRPr="00B05565">
        <w:t>§</w:t>
      </w:r>
      <w:r>
        <w:t xml:space="preserve"> </w:t>
      </w:r>
      <w:r w:rsidRPr="00B05565">
        <w:t>34b.</w:t>
      </w:r>
    </w:p>
    <w:p w14:paraId="0ADB2717" w14:textId="616AC292" w:rsidR="00B9271C" w:rsidRDefault="00B9271C" w:rsidP="008F5B77">
      <w:pPr>
        <w:pStyle w:val="Textparagrafu"/>
        <w:tabs>
          <w:tab w:val="left" w:pos="406"/>
          <w:tab w:val="left" w:pos="840"/>
          <w:tab w:val="left" w:pos="868"/>
        </w:tabs>
        <w:spacing w:after="120"/>
        <w:ind w:firstLine="0"/>
        <w:jc w:val="center"/>
      </w:pPr>
      <w:r>
        <w:t>***</w:t>
      </w:r>
    </w:p>
    <w:p w14:paraId="2D605D54" w14:textId="4C063367" w:rsidR="00B9271C" w:rsidRDefault="00B9271C" w:rsidP="008F5B77">
      <w:pPr>
        <w:pStyle w:val="Textparagrafu"/>
        <w:tabs>
          <w:tab w:val="left" w:pos="392"/>
          <w:tab w:val="left" w:pos="840"/>
        </w:tabs>
        <w:spacing w:after="120"/>
        <w:ind w:firstLine="0"/>
        <w:jc w:val="center"/>
      </w:pPr>
      <w:r w:rsidRPr="00B05565">
        <w:t>§</w:t>
      </w:r>
      <w:r>
        <w:t xml:space="preserve"> </w:t>
      </w:r>
      <w:r w:rsidRPr="00B05565">
        <w:t>170</w:t>
      </w:r>
    </w:p>
    <w:p w14:paraId="64E91ED4" w14:textId="77777777" w:rsidR="00B9271C" w:rsidRPr="003F514E" w:rsidRDefault="00B9271C" w:rsidP="003F514E">
      <w:pPr>
        <w:pStyle w:val="Textparagrafu"/>
        <w:tabs>
          <w:tab w:val="left" w:pos="392"/>
          <w:tab w:val="left" w:pos="840"/>
        </w:tabs>
        <w:spacing w:after="120"/>
      </w:pPr>
      <w:r w:rsidRPr="003F514E">
        <w:t>Ministerstvo</w:t>
      </w:r>
    </w:p>
    <w:p w14:paraId="5E509783" w14:textId="4DAFF3ED" w:rsidR="00B9271C" w:rsidRDefault="00B9271C" w:rsidP="00AB5ED2">
      <w:pPr>
        <w:pStyle w:val="Textparagrafu"/>
        <w:tabs>
          <w:tab w:val="left" w:pos="392"/>
          <w:tab w:val="left" w:pos="840"/>
        </w:tabs>
        <w:spacing w:before="0"/>
        <w:ind w:left="426" w:hanging="426"/>
      </w:pPr>
      <w:r w:rsidRPr="00B05565">
        <w:t>a)</w:t>
      </w:r>
      <w:r w:rsidR="003F514E">
        <w:tab/>
      </w:r>
      <w:r w:rsidRPr="00B05565">
        <w:t>zajišťuje</w:t>
      </w:r>
      <w:r>
        <w:t xml:space="preserve"> </w:t>
      </w:r>
      <w:r w:rsidRPr="00B05565">
        <w:t>a</w:t>
      </w:r>
      <w:r>
        <w:t xml:space="preserve"> </w:t>
      </w:r>
      <w:r w:rsidRPr="00B05565">
        <w:t>provádí</w:t>
      </w:r>
      <w:r>
        <w:t xml:space="preserve"> </w:t>
      </w:r>
      <w:r w:rsidRPr="00B05565">
        <w:t>kontrolu</w:t>
      </w:r>
      <w:r>
        <w:t xml:space="preserve"> </w:t>
      </w:r>
      <w:r w:rsidRPr="00B05565">
        <w:t>správnosti</w:t>
      </w:r>
      <w:r>
        <w:t xml:space="preserve"> </w:t>
      </w:r>
      <w:r w:rsidRPr="00B05565">
        <w:t>a</w:t>
      </w:r>
      <w:r>
        <w:t xml:space="preserve"> </w:t>
      </w:r>
      <w:r w:rsidRPr="00B05565">
        <w:t>efektivnosti</w:t>
      </w:r>
      <w:r>
        <w:t xml:space="preserve"> </w:t>
      </w:r>
      <w:r w:rsidRPr="00B05565">
        <w:t>využití</w:t>
      </w:r>
      <w:r>
        <w:t xml:space="preserve"> </w:t>
      </w:r>
      <w:r w:rsidRPr="00513FB9">
        <w:rPr>
          <w:strike/>
        </w:rPr>
        <w:t>finančních</w:t>
      </w:r>
      <w:r>
        <w:t xml:space="preserve"> </w:t>
      </w:r>
      <w:r w:rsidR="00513FB9">
        <w:rPr>
          <w:b/>
        </w:rPr>
        <w:t xml:space="preserve">peněžních </w:t>
      </w:r>
      <w:r w:rsidRPr="00B05565">
        <w:t>prostředků,</w:t>
      </w:r>
      <w:r>
        <w:t xml:space="preserve"> </w:t>
      </w:r>
      <w:r w:rsidRPr="00B05565">
        <w:t>které</w:t>
      </w:r>
      <w:r>
        <w:t xml:space="preserve"> </w:t>
      </w:r>
      <w:r w:rsidRPr="00B05565">
        <w:t>přiděluje</w:t>
      </w:r>
      <w:r>
        <w:t xml:space="preserve"> </w:t>
      </w:r>
      <w:r w:rsidRPr="00B05565">
        <w:t>nebo</w:t>
      </w:r>
      <w:r>
        <w:t xml:space="preserve"> </w:t>
      </w:r>
      <w:r w:rsidRPr="00B05565">
        <w:t>smluvně</w:t>
      </w:r>
      <w:r>
        <w:t xml:space="preserve"> </w:t>
      </w:r>
      <w:r w:rsidRPr="00B05565">
        <w:t>zajišťuje</w:t>
      </w:r>
      <w:r>
        <w:t xml:space="preserve"> </w:t>
      </w:r>
      <w:r w:rsidRPr="00B05565">
        <w:t>ze</w:t>
      </w:r>
      <w:r>
        <w:t xml:space="preserve"> </w:t>
      </w:r>
      <w:r w:rsidRPr="00B05565">
        <w:t>státního</w:t>
      </w:r>
      <w:r>
        <w:t xml:space="preserve"> </w:t>
      </w:r>
      <w:r w:rsidRPr="00B05565">
        <w:t>rozpočtu</w:t>
      </w:r>
      <w:r w:rsidRPr="00A97311">
        <w:rPr>
          <w:strike/>
        </w:rPr>
        <w:t>, z Národního fondu</w:t>
      </w:r>
      <w:r>
        <w:t xml:space="preserve"> </w:t>
      </w:r>
      <w:r w:rsidRPr="00B05565">
        <w:t>a</w:t>
      </w:r>
      <w:r>
        <w:t xml:space="preserve"> </w:t>
      </w:r>
      <w:r w:rsidRPr="00B05565">
        <w:t>prostředků</w:t>
      </w:r>
      <w:r>
        <w:t xml:space="preserve"> </w:t>
      </w:r>
      <w:r w:rsidRPr="00B05565">
        <w:t>ze</w:t>
      </w:r>
      <w:r>
        <w:t xml:space="preserve"> </w:t>
      </w:r>
      <w:r w:rsidRPr="00B05565">
        <w:t>zahraničí</w:t>
      </w:r>
      <w:r>
        <w:t xml:space="preserve"> </w:t>
      </w:r>
      <w:r w:rsidRPr="00B05565">
        <w:t>poskytnutých</w:t>
      </w:r>
      <w:r>
        <w:t xml:space="preserve"> </w:t>
      </w:r>
      <w:r w:rsidRPr="00B05565">
        <w:t>mezinárodními</w:t>
      </w:r>
      <w:r>
        <w:t xml:space="preserve"> </w:t>
      </w:r>
      <w:r w:rsidRPr="00B05565">
        <w:t>organizacemi</w:t>
      </w:r>
      <w:r>
        <w:t xml:space="preserve"> </w:t>
      </w:r>
      <w:r w:rsidRPr="00B05565">
        <w:t>na</w:t>
      </w:r>
      <w:r>
        <w:t xml:space="preserve"> </w:t>
      </w:r>
      <w:r w:rsidRPr="00B05565">
        <w:t>základě</w:t>
      </w:r>
      <w:r>
        <w:t xml:space="preserve"> </w:t>
      </w:r>
      <w:r w:rsidRPr="00B05565">
        <w:t>mezinárodních</w:t>
      </w:r>
      <w:r>
        <w:t xml:space="preserve"> </w:t>
      </w:r>
      <w:r w:rsidRPr="00B05565">
        <w:t>smluv;</w:t>
      </w:r>
      <w:r>
        <w:t xml:space="preserve"> </w:t>
      </w:r>
      <w:r w:rsidRPr="00B05565">
        <w:t>přitom</w:t>
      </w:r>
      <w:r>
        <w:t xml:space="preserve"> </w:t>
      </w:r>
      <w:r w:rsidRPr="00B05565">
        <w:t>provádí</w:t>
      </w:r>
      <w:r>
        <w:t xml:space="preserve"> </w:t>
      </w:r>
      <w:r w:rsidRPr="00B05565">
        <w:t>předběžnou,</w:t>
      </w:r>
      <w:r>
        <w:t xml:space="preserve"> </w:t>
      </w:r>
      <w:r w:rsidRPr="00B05565">
        <w:t>průběžnou</w:t>
      </w:r>
      <w:r>
        <w:t xml:space="preserve"> </w:t>
      </w:r>
      <w:r w:rsidRPr="00B05565">
        <w:t>a</w:t>
      </w:r>
      <w:r>
        <w:t xml:space="preserve"> </w:t>
      </w:r>
      <w:r w:rsidRPr="00B05565">
        <w:t>následnou</w:t>
      </w:r>
      <w:r>
        <w:t xml:space="preserve"> </w:t>
      </w:r>
      <w:r w:rsidRPr="00B05565">
        <w:t>kontrolu</w:t>
      </w:r>
      <w:r>
        <w:t xml:space="preserve"> </w:t>
      </w:r>
      <w:r w:rsidRPr="00B05565">
        <w:t>podle</w:t>
      </w:r>
      <w:r>
        <w:t xml:space="preserve"> </w:t>
      </w:r>
      <w:r w:rsidRPr="00B05565">
        <w:t>zvláštního</w:t>
      </w:r>
      <w:r>
        <w:t xml:space="preserve"> </w:t>
      </w:r>
      <w:r w:rsidRPr="00B05565">
        <w:t>právního</w:t>
      </w:r>
      <w:r>
        <w:t xml:space="preserve"> </w:t>
      </w:r>
      <w:r w:rsidR="008F5B77">
        <w:t>předpisu,</w:t>
      </w:r>
      <w:r w:rsidR="008F5B77">
        <w:rPr>
          <w:rStyle w:val="Znakapoznpodarou"/>
        </w:rPr>
        <w:footnoteReference w:customMarkFollows="1" w:id="482"/>
        <w:t>40)</w:t>
      </w:r>
    </w:p>
    <w:p w14:paraId="54D15707" w14:textId="5D34DBB9" w:rsidR="00B9271C" w:rsidRDefault="00B9271C" w:rsidP="00AB5ED2">
      <w:pPr>
        <w:pStyle w:val="Textparagrafu"/>
        <w:tabs>
          <w:tab w:val="left" w:pos="392"/>
          <w:tab w:val="left" w:pos="840"/>
        </w:tabs>
        <w:spacing w:before="0"/>
        <w:ind w:left="426" w:hanging="426"/>
      </w:pPr>
      <w:r w:rsidRPr="00B05565">
        <w:t>b)</w:t>
      </w:r>
      <w:r w:rsidR="003F514E">
        <w:tab/>
      </w:r>
      <w:r w:rsidRPr="00B05565">
        <w:t>stanovuje</w:t>
      </w:r>
      <w:r>
        <w:t xml:space="preserve"> </w:t>
      </w:r>
      <w:r w:rsidRPr="00B05565">
        <w:t>směrnicí41)</w:t>
      </w:r>
      <w:r>
        <w:t xml:space="preserve"> </w:t>
      </w:r>
      <w:r w:rsidRPr="00B05565">
        <w:t>závazné</w:t>
      </w:r>
      <w:r>
        <w:t xml:space="preserve"> </w:t>
      </w:r>
      <w:r w:rsidRPr="00B05565">
        <w:t>zásady,</w:t>
      </w:r>
      <w:r>
        <w:t xml:space="preserve"> </w:t>
      </w:r>
      <w:r w:rsidRPr="00B05565">
        <w:t>podle</w:t>
      </w:r>
      <w:r>
        <w:t xml:space="preserve"> </w:t>
      </w:r>
      <w:r w:rsidRPr="00B05565">
        <w:t>kterých</w:t>
      </w:r>
      <w:r>
        <w:t xml:space="preserve"> </w:t>
      </w:r>
      <w:r w:rsidRPr="00B05565">
        <w:t>provádějí</w:t>
      </w:r>
      <w:r>
        <w:t xml:space="preserve"> </w:t>
      </w:r>
      <w:r w:rsidRPr="00B05565">
        <w:t>krajské</w:t>
      </w:r>
      <w:r>
        <w:t xml:space="preserve"> </w:t>
      </w:r>
      <w:r w:rsidRPr="00B05565">
        <w:t>úřady</w:t>
      </w:r>
      <w:r>
        <w:t xml:space="preserve"> </w:t>
      </w:r>
      <w:r w:rsidRPr="00B05565">
        <w:t>rozpis</w:t>
      </w:r>
      <w:r>
        <w:t xml:space="preserve"> </w:t>
      </w:r>
      <w:r w:rsidRPr="00513FB9">
        <w:rPr>
          <w:strike/>
        </w:rPr>
        <w:t>finančních</w:t>
      </w:r>
      <w:r>
        <w:t xml:space="preserve"> </w:t>
      </w:r>
      <w:r w:rsidR="00513FB9">
        <w:rPr>
          <w:b/>
        </w:rPr>
        <w:t xml:space="preserve">peněžních </w:t>
      </w:r>
      <w:r w:rsidRPr="00B05565">
        <w:t>prostředků</w:t>
      </w:r>
      <w:r>
        <w:t xml:space="preserve"> </w:t>
      </w:r>
      <w:r w:rsidRPr="00B05565">
        <w:t>státního</w:t>
      </w:r>
      <w:r>
        <w:t xml:space="preserve"> </w:t>
      </w:r>
      <w:r w:rsidRPr="00B05565">
        <w:t>rozpočtu</w:t>
      </w:r>
      <w:r>
        <w:t xml:space="preserve"> </w:t>
      </w:r>
      <w:r w:rsidRPr="00B05565">
        <w:t>přidělovaných</w:t>
      </w:r>
      <w:r>
        <w:t xml:space="preserve"> </w:t>
      </w:r>
      <w:r w:rsidRPr="00B05565">
        <w:t>podle</w:t>
      </w:r>
      <w:r>
        <w:t xml:space="preserve"> </w:t>
      </w:r>
      <w:r w:rsidRPr="00B05565">
        <w:t>§</w:t>
      </w:r>
      <w:r>
        <w:t xml:space="preserve"> </w:t>
      </w:r>
      <w:r w:rsidRPr="00B05565">
        <w:t>160</w:t>
      </w:r>
      <w:r>
        <w:t xml:space="preserve"> </w:t>
      </w:r>
      <w:r w:rsidRPr="00B05565">
        <w:t>odst.</w:t>
      </w:r>
      <w:r>
        <w:t xml:space="preserve"> </w:t>
      </w:r>
      <w:r w:rsidRPr="00B05565">
        <w:t>2</w:t>
      </w:r>
      <w:r>
        <w:t xml:space="preserve"> </w:t>
      </w:r>
      <w:r w:rsidRPr="00B05565">
        <w:t>a</w:t>
      </w:r>
      <w:r>
        <w:t xml:space="preserve"> </w:t>
      </w:r>
      <w:r w:rsidRPr="00B05565">
        <w:t>3,</w:t>
      </w:r>
      <w:r>
        <w:t xml:space="preserve"> </w:t>
      </w:r>
      <w:r w:rsidRPr="00B05565">
        <w:t>§</w:t>
      </w:r>
      <w:r>
        <w:t xml:space="preserve"> </w:t>
      </w:r>
      <w:r w:rsidRPr="00B05565">
        <w:t>161</w:t>
      </w:r>
      <w:r>
        <w:t xml:space="preserve"> </w:t>
      </w:r>
      <w:r w:rsidRPr="00B05565">
        <w:t>odst.</w:t>
      </w:r>
      <w:r>
        <w:t xml:space="preserve"> </w:t>
      </w:r>
      <w:r w:rsidRPr="00B05565">
        <w:t>5,</w:t>
      </w:r>
      <w:r>
        <w:t xml:space="preserve"> </w:t>
      </w:r>
      <w:r w:rsidRPr="00B05565">
        <w:t>§</w:t>
      </w:r>
      <w:r>
        <w:t xml:space="preserve"> </w:t>
      </w:r>
      <w:r w:rsidRPr="00B05565">
        <w:t>161a</w:t>
      </w:r>
      <w:r>
        <w:t xml:space="preserve"> </w:t>
      </w:r>
      <w:r w:rsidRPr="00B05565">
        <w:t>odst.</w:t>
      </w:r>
      <w:r>
        <w:t xml:space="preserve"> </w:t>
      </w:r>
      <w:r w:rsidRPr="00B05565">
        <w:t>2,</w:t>
      </w:r>
      <w:r>
        <w:t xml:space="preserve"> </w:t>
      </w:r>
      <w:r w:rsidRPr="00B05565">
        <w:t>§</w:t>
      </w:r>
      <w:r>
        <w:t xml:space="preserve"> </w:t>
      </w:r>
      <w:r w:rsidRPr="00B05565">
        <w:t>161b</w:t>
      </w:r>
      <w:r>
        <w:t xml:space="preserve"> </w:t>
      </w:r>
      <w:r w:rsidRPr="00B05565">
        <w:t>odst.</w:t>
      </w:r>
      <w:r>
        <w:t xml:space="preserve"> </w:t>
      </w:r>
      <w:r w:rsidRPr="00B05565">
        <w:t>2</w:t>
      </w:r>
      <w:r>
        <w:t xml:space="preserve"> </w:t>
      </w:r>
      <w:r w:rsidRPr="00B05565">
        <w:t>a</w:t>
      </w:r>
      <w:r>
        <w:t xml:space="preserve"> </w:t>
      </w:r>
      <w:r w:rsidRPr="00B05565">
        <w:t>§</w:t>
      </w:r>
      <w:r>
        <w:t xml:space="preserve"> </w:t>
      </w:r>
      <w:r w:rsidRPr="00B05565">
        <w:t>161c</w:t>
      </w:r>
      <w:r>
        <w:t xml:space="preserve"> </w:t>
      </w:r>
      <w:r w:rsidRPr="00B05565">
        <w:t>odst.</w:t>
      </w:r>
      <w:r>
        <w:t xml:space="preserve"> </w:t>
      </w:r>
      <w:r w:rsidRPr="00B05565">
        <w:t>7,</w:t>
      </w:r>
    </w:p>
    <w:p w14:paraId="7E048A98" w14:textId="71FFFA91" w:rsidR="00B9271C" w:rsidRDefault="00B9271C" w:rsidP="00AB5ED2">
      <w:pPr>
        <w:pStyle w:val="Textparagrafu"/>
        <w:tabs>
          <w:tab w:val="left" w:pos="392"/>
          <w:tab w:val="left" w:pos="840"/>
        </w:tabs>
        <w:spacing w:before="0"/>
        <w:ind w:left="426" w:hanging="426"/>
      </w:pPr>
      <w:r w:rsidRPr="00B05565">
        <w:t>c)</w:t>
      </w:r>
      <w:r w:rsidR="003F514E">
        <w:tab/>
      </w:r>
      <w:r w:rsidRPr="00B05565">
        <w:t>stanovuje</w:t>
      </w:r>
      <w:r>
        <w:t xml:space="preserve"> </w:t>
      </w:r>
      <w:r w:rsidRPr="00B05565">
        <w:t>směrnicí41)</w:t>
      </w:r>
      <w:r>
        <w:t xml:space="preserve"> </w:t>
      </w:r>
      <w:r w:rsidRPr="00B05565">
        <w:t>závazné</w:t>
      </w:r>
      <w:r>
        <w:t xml:space="preserve"> </w:t>
      </w:r>
      <w:r w:rsidRPr="00B05565">
        <w:t>zásady,</w:t>
      </w:r>
      <w:r>
        <w:t xml:space="preserve"> </w:t>
      </w:r>
      <w:r w:rsidRPr="00B05565">
        <w:t>podle</w:t>
      </w:r>
      <w:r>
        <w:t xml:space="preserve"> </w:t>
      </w:r>
      <w:r w:rsidRPr="00B05565">
        <w:t>kterých</w:t>
      </w:r>
      <w:r>
        <w:t xml:space="preserve"> </w:t>
      </w:r>
      <w:r w:rsidRPr="00B05565">
        <w:t>provádějí</w:t>
      </w:r>
      <w:r>
        <w:t xml:space="preserve"> </w:t>
      </w:r>
      <w:r w:rsidRPr="00B05565">
        <w:t>obecní</w:t>
      </w:r>
      <w:r>
        <w:t xml:space="preserve"> </w:t>
      </w:r>
      <w:r w:rsidRPr="00B05565">
        <w:t>úřady</w:t>
      </w:r>
      <w:r>
        <w:t xml:space="preserve"> </w:t>
      </w:r>
      <w:r w:rsidRPr="00B05565">
        <w:t>obce</w:t>
      </w:r>
      <w:r>
        <w:t xml:space="preserve"> </w:t>
      </w:r>
      <w:r w:rsidRPr="00B05565">
        <w:t>s</w:t>
      </w:r>
      <w:r>
        <w:t xml:space="preserve"> </w:t>
      </w:r>
      <w:r w:rsidRPr="00B05565">
        <w:t>rozšířenou</w:t>
      </w:r>
      <w:r>
        <w:t xml:space="preserve"> </w:t>
      </w:r>
      <w:r w:rsidRPr="00B05565">
        <w:t>působností</w:t>
      </w:r>
      <w:r>
        <w:t xml:space="preserve"> </w:t>
      </w:r>
      <w:r w:rsidRPr="00B05565">
        <w:t>návrhy</w:t>
      </w:r>
      <w:r>
        <w:t xml:space="preserve"> </w:t>
      </w:r>
      <w:r w:rsidRPr="00B05565">
        <w:t>rozpisů</w:t>
      </w:r>
      <w:r>
        <w:t xml:space="preserve"> </w:t>
      </w:r>
      <w:r w:rsidRPr="00B05565">
        <w:t>rozpočtů</w:t>
      </w:r>
      <w:r>
        <w:t xml:space="preserve"> </w:t>
      </w:r>
      <w:r w:rsidRPr="00513FB9">
        <w:rPr>
          <w:strike/>
        </w:rPr>
        <w:t>finančních</w:t>
      </w:r>
      <w:r>
        <w:t xml:space="preserve"> </w:t>
      </w:r>
      <w:r w:rsidR="00513FB9">
        <w:rPr>
          <w:b/>
        </w:rPr>
        <w:t xml:space="preserve">peněžních </w:t>
      </w:r>
      <w:r w:rsidRPr="00B05565">
        <w:t>prostředků</w:t>
      </w:r>
      <w:r>
        <w:t xml:space="preserve"> </w:t>
      </w:r>
      <w:r w:rsidRPr="00B05565">
        <w:t>státního</w:t>
      </w:r>
      <w:r>
        <w:t xml:space="preserve"> </w:t>
      </w:r>
      <w:r w:rsidRPr="00B05565">
        <w:t>rozpočtu</w:t>
      </w:r>
      <w:r>
        <w:t xml:space="preserve"> </w:t>
      </w:r>
      <w:r w:rsidRPr="00B05565">
        <w:t>poskytovaných</w:t>
      </w:r>
      <w:r>
        <w:t xml:space="preserve"> </w:t>
      </w:r>
      <w:r w:rsidRPr="00B05565">
        <w:t>podle</w:t>
      </w:r>
      <w:r>
        <w:t xml:space="preserve"> </w:t>
      </w:r>
      <w:r w:rsidRPr="00B05565">
        <w:t>§</w:t>
      </w:r>
      <w:r>
        <w:t xml:space="preserve"> </w:t>
      </w:r>
      <w:r w:rsidRPr="00B05565">
        <w:t>161c</w:t>
      </w:r>
      <w:r>
        <w:t xml:space="preserve"> </w:t>
      </w:r>
      <w:r w:rsidRPr="00B05565">
        <w:t>odst.</w:t>
      </w:r>
      <w:r>
        <w:t xml:space="preserve"> </w:t>
      </w:r>
      <w:r w:rsidRPr="00B05565">
        <w:t>8,</w:t>
      </w:r>
    </w:p>
    <w:p w14:paraId="0F45EE5F" w14:textId="68CE7F2D" w:rsidR="00B9271C" w:rsidRDefault="00B9271C" w:rsidP="00AB5ED2">
      <w:pPr>
        <w:pStyle w:val="Textparagrafu"/>
        <w:tabs>
          <w:tab w:val="left" w:pos="392"/>
          <w:tab w:val="left" w:pos="840"/>
        </w:tabs>
        <w:spacing w:before="0"/>
        <w:ind w:left="426" w:hanging="426"/>
      </w:pPr>
      <w:r w:rsidRPr="00B05565">
        <w:t>d)</w:t>
      </w:r>
      <w:r w:rsidR="003F514E">
        <w:tab/>
      </w:r>
      <w:r w:rsidRPr="00B05565">
        <w:t>může</w:t>
      </w:r>
      <w:r>
        <w:t xml:space="preserve"> </w:t>
      </w:r>
      <w:r w:rsidRPr="00B05565">
        <w:t>udělovat</w:t>
      </w:r>
      <w:r>
        <w:t xml:space="preserve"> </w:t>
      </w:r>
      <w:r w:rsidRPr="00B05565">
        <w:t>věcné</w:t>
      </w:r>
      <w:r>
        <w:t xml:space="preserve"> </w:t>
      </w:r>
      <w:r w:rsidRPr="00B05565">
        <w:t>a</w:t>
      </w:r>
      <w:r>
        <w:t xml:space="preserve"> </w:t>
      </w:r>
      <w:r w:rsidRPr="00B05565">
        <w:t>finanční</w:t>
      </w:r>
      <w:r>
        <w:t xml:space="preserve"> </w:t>
      </w:r>
      <w:r w:rsidRPr="00B05565">
        <w:t>ocenění</w:t>
      </w:r>
      <w:r>
        <w:t xml:space="preserve"> </w:t>
      </w:r>
      <w:r w:rsidRPr="00B05565">
        <w:t>osobám,</w:t>
      </w:r>
      <w:r>
        <w:t xml:space="preserve"> </w:t>
      </w:r>
      <w:r w:rsidRPr="00B05565">
        <w:t>které</w:t>
      </w:r>
      <w:r>
        <w:t xml:space="preserve"> </w:t>
      </w:r>
      <w:r w:rsidRPr="00B05565">
        <w:t>se</w:t>
      </w:r>
      <w:r>
        <w:t xml:space="preserve"> </w:t>
      </w:r>
      <w:r w:rsidRPr="00B05565">
        <w:t>zasloužily</w:t>
      </w:r>
      <w:r>
        <w:t xml:space="preserve"> </w:t>
      </w:r>
      <w:r w:rsidRPr="00B05565">
        <w:t>o</w:t>
      </w:r>
      <w:r>
        <w:t xml:space="preserve"> </w:t>
      </w:r>
      <w:r w:rsidRPr="00B05565">
        <w:t>rozvoj</w:t>
      </w:r>
      <w:r>
        <w:t xml:space="preserve"> </w:t>
      </w:r>
      <w:r w:rsidRPr="00B05565">
        <w:t>vzdělávání,</w:t>
      </w:r>
    </w:p>
    <w:p w14:paraId="08D65D73" w14:textId="0B314F86" w:rsidR="00B9271C" w:rsidRDefault="00B9271C" w:rsidP="00AB5ED2">
      <w:pPr>
        <w:pStyle w:val="Textparagrafu"/>
        <w:tabs>
          <w:tab w:val="left" w:pos="392"/>
          <w:tab w:val="left" w:pos="840"/>
        </w:tabs>
        <w:spacing w:before="0"/>
        <w:ind w:left="426" w:hanging="426"/>
      </w:pPr>
      <w:r w:rsidRPr="00B05565">
        <w:t>e)</w:t>
      </w:r>
      <w:r w:rsidR="003F514E">
        <w:tab/>
      </w:r>
      <w:r w:rsidRPr="00B05565">
        <w:t>může</w:t>
      </w:r>
      <w:r>
        <w:t xml:space="preserve"> </w:t>
      </w:r>
      <w:r w:rsidRPr="00B05565">
        <w:t>udělovat</w:t>
      </w:r>
      <w:r>
        <w:t xml:space="preserve"> </w:t>
      </w:r>
      <w:r w:rsidRPr="00B05565">
        <w:t>čestný</w:t>
      </w:r>
      <w:r>
        <w:t xml:space="preserve"> </w:t>
      </w:r>
      <w:r w:rsidRPr="00B05565">
        <w:t>název</w:t>
      </w:r>
      <w:r>
        <w:t xml:space="preserve"> </w:t>
      </w:r>
      <w:r w:rsidRPr="00B05565">
        <w:t>právnickým</w:t>
      </w:r>
      <w:r>
        <w:t xml:space="preserve"> </w:t>
      </w:r>
      <w:r w:rsidRPr="00B05565">
        <w:t>osobám</w:t>
      </w:r>
      <w:r>
        <w:t xml:space="preserve"> </w:t>
      </w:r>
      <w:r w:rsidRPr="00B05565">
        <w:t>a</w:t>
      </w:r>
      <w:r>
        <w:t xml:space="preserve"> </w:t>
      </w:r>
      <w:r w:rsidRPr="00B05565">
        <w:t>organizačním</w:t>
      </w:r>
      <w:r>
        <w:t xml:space="preserve"> </w:t>
      </w:r>
      <w:r w:rsidRPr="00B05565">
        <w:t>složkám</w:t>
      </w:r>
      <w:r>
        <w:t xml:space="preserve"> </w:t>
      </w:r>
      <w:r w:rsidRPr="00B05565">
        <w:t>státu,</w:t>
      </w:r>
      <w:r>
        <w:t xml:space="preserve"> </w:t>
      </w:r>
      <w:r w:rsidRPr="00B05565">
        <w:t>vykonávajícím</w:t>
      </w:r>
      <w:r>
        <w:t xml:space="preserve"> </w:t>
      </w:r>
      <w:r w:rsidRPr="00B05565">
        <w:t>činnost</w:t>
      </w:r>
      <w:r>
        <w:t xml:space="preserve"> </w:t>
      </w:r>
      <w:r w:rsidRPr="00B05565">
        <w:t>školy</w:t>
      </w:r>
      <w:r>
        <w:t xml:space="preserve"> </w:t>
      </w:r>
      <w:r w:rsidRPr="00B05565">
        <w:t>nebo</w:t>
      </w:r>
      <w:r>
        <w:t xml:space="preserve"> </w:t>
      </w:r>
      <w:r w:rsidRPr="00B05565">
        <w:t>školského</w:t>
      </w:r>
      <w:r>
        <w:t xml:space="preserve"> </w:t>
      </w:r>
      <w:r w:rsidRPr="00B05565">
        <w:t>zařízení,</w:t>
      </w:r>
    </w:p>
    <w:p w14:paraId="22CBBB54" w14:textId="0BD5839C" w:rsidR="00B9271C" w:rsidRDefault="00B9271C" w:rsidP="00AB5ED2">
      <w:pPr>
        <w:pStyle w:val="Textparagrafu"/>
        <w:tabs>
          <w:tab w:val="left" w:pos="392"/>
          <w:tab w:val="left" w:pos="840"/>
        </w:tabs>
        <w:spacing w:before="0"/>
        <w:ind w:left="426" w:hanging="426"/>
      </w:pPr>
      <w:r w:rsidRPr="00B05565">
        <w:t>f)</w:t>
      </w:r>
      <w:r w:rsidR="003F514E">
        <w:tab/>
      </w:r>
      <w:r w:rsidRPr="00B05565">
        <w:t>stanoví</w:t>
      </w:r>
      <w:r>
        <w:t xml:space="preserve"> </w:t>
      </w:r>
      <w:r w:rsidRPr="00B05565">
        <w:t>prováděcím</w:t>
      </w:r>
      <w:r>
        <w:t xml:space="preserve"> </w:t>
      </w:r>
      <w:r w:rsidRPr="00B05565">
        <w:t>právním</w:t>
      </w:r>
      <w:r>
        <w:t xml:space="preserve"> </w:t>
      </w:r>
      <w:r w:rsidRPr="00B05565">
        <w:t>předpisem</w:t>
      </w:r>
      <w:r>
        <w:t xml:space="preserve"> </w:t>
      </w:r>
      <w:r w:rsidRPr="00B05565">
        <w:t>pro</w:t>
      </w:r>
      <w:r>
        <w:t xml:space="preserve"> </w:t>
      </w:r>
      <w:r w:rsidRPr="00B05565">
        <w:t>určení</w:t>
      </w:r>
      <w:r>
        <w:t xml:space="preserve"> </w:t>
      </w:r>
      <w:r w:rsidRPr="00B05565">
        <w:t>výše</w:t>
      </w:r>
      <w:r>
        <w:t xml:space="preserve"> </w:t>
      </w:r>
      <w:r w:rsidRPr="00B05565">
        <w:t>příslušných</w:t>
      </w:r>
      <w:r>
        <w:t xml:space="preserve"> </w:t>
      </w:r>
      <w:r w:rsidRPr="00B05565">
        <w:t>krajských</w:t>
      </w:r>
      <w:r>
        <w:t xml:space="preserve"> </w:t>
      </w:r>
      <w:r w:rsidRPr="00B05565">
        <w:t>normativů</w:t>
      </w:r>
      <w:r>
        <w:t xml:space="preserve"> </w:t>
      </w:r>
      <w:r w:rsidRPr="00B05565">
        <w:t>minimální</w:t>
      </w:r>
      <w:r>
        <w:t xml:space="preserve"> </w:t>
      </w:r>
      <w:r w:rsidRPr="00B05565">
        <w:t>personální</w:t>
      </w:r>
      <w:r>
        <w:t xml:space="preserve"> </w:t>
      </w:r>
      <w:r w:rsidRPr="00B05565">
        <w:t>zabezpečení</w:t>
      </w:r>
      <w:r>
        <w:t xml:space="preserve"> </w:t>
      </w:r>
      <w:r w:rsidRPr="00B05565">
        <w:t>k</w:t>
      </w:r>
      <w:r>
        <w:t xml:space="preserve"> </w:t>
      </w:r>
      <w:r w:rsidRPr="00B05565">
        <w:t>zajištění</w:t>
      </w:r>
      <w:r>
        <w:t xml:space="preserve"> </w:t>
      </w:r>
      <w:r w:rsidRPr="00B05565">
        <w:t>vzdělávání</w:t>
      </w:r>
      <w:r>
        <w:t xml:space="preserve"> </w:t>
      </w:r>
      <w:r w:rsidRPr="00B05565">
        <w:t>a</w:t>
      </w:r>
      <w:r>
        <w:t xml:space="preserve"> </w:t>
      </w:r>
      <w:r w:rsidRPr="00B05565">
        <w:t>školských</w:t>
      </w:r>
      <w:r>
        <w:t xml:space="preserve"> </w:t>
      </w:r>
      <w:r w:rsidRPr="00B05565">
        <w:t>služeb</w:t>
      </w:r>
      <w:r>
        <w:t xml:space="preserve"> </w:t>
      </w:r>
      <w:r w:rsidRPr="00B05565">
        <w:t>poskytovaných</w:t>
      </w:r>
      <w:r>
        <w:t xml:space="preserve"> </w:t>
      </w:r>
      <w:r w:rsidRPr="00B05565">
        <w:t>školskými</w:t>
      </w:r>
      <w:r>
        <w:t xml:space="preserve"> </w:t>
      </w:r>
      <w:r w:rsidRPr="00B05565">
        <w:t>zařízeními</w:t>
      </w:r>
      <w:r>
        <w:t xml:space="preserve"> </w:t>
      </w:r>
      <w:r w:rsidRPr="00B05565">
        <w:t>zřizovanými</w:t>
      </w:r>
      <w:r>
        <w:t xml:space="preserve"> </w:t>
      </w:r>
      <w:r w:rsidRPr="00B05565">
        <w:t>krajem,</w:t>
      </w:r>
      <w:r>
        <w:t xml:space="preserve"> </w:t>
      </w:r>
      <w:r w:rsidRPr="00B05565">
        <w:t>obcí</w:t>
      </w:r>
      <w:r>
        <w:t xml:space="preserve"> </w:t>
      </w:r>
      <w:r w:rsidRPr="00B05565">
        <w:t>nebo</w:t>
      </w:r>
      <w:r>
        <w:t xml:space="preserve"> </w:t>
      </w:r>
      <w:r w:rsidRPr="00B05565">
        <w:t>svazkem</w:t>
      </w:r>
      <w:r>
        <w:t xml:space="preserve"> </w:t>
      </w:r>
      <w:r w:rsidRPr="00B05565">
        <w:t>obcí</w:t>
      </w:r>
      <w:r>
        <w:t xml:space="preserve"> </w:t>
      </w:r>
      <w:r w:rsidRPr="00B05565">
        <w:t>s</w:t>
      </w:r>
      <w:r>
        <w:t xml:space="preserve"> </w:t>
      </w:r>
      <w:r w:rsidRPr="00B05565">
        <w:t>výjimkou</w:t>
      </w:r>
      <w:r>
        <w:t xml:space="preserve"> </w:t>
      </w:r>
      <w:r w:rsidRPr="00B05565">
        <w:t>školních</w:t>
      </w:r>
      <w:r>
        <w:t xml:space="preserve"> </w:t>
      </w:r>
      <w:r w:rsidRPr="00B05565">
        <w:t>družin.</w:t>
      </w:r>
    </w:p>
    <w:p w14:paraId="57B744D6" w14:textId="503020B5" w:rsidR="00B9271C" w:rsidRDefault="00B9271C" w:rsidP="003F514E">
      <w:pPr>
        <w:pStyle w:val="Textparagrafu"/>
        <w:tabs>
          <w:tab w:val="left" w:pos="406"/>
          <w:tab w:val="left" w:pos="840"/>
          <w:tab w:val="left" w:pos="868"/>
        </w:tabs>
        <w:spacing w:after="120"/>
        <w:ind w:firstLine="0"/>
        <w:jc w:val="center"/>
      </w:pPr>
      <w:r>
        <w:t>***</w:t>
      </w:r>
    </w:p>
    <w:p w14:paraId="4A89F105" w14:textId="63CFCCF8" w:rsidR="00B9271C" w:rsidRDefault="00B9271C" w:rsidP="003F514E">
      <w:pPr>
        <w:pStyle w:val="Textparagrafu"/>
        <w:tabs>
          <w:tab w:val="left" w:pos="392"/>
          <w:tab w:val="left" w:pos="840"/>
        </w:tabs>
        <w:spacing w:after="120"/>
        <w:ind w:firstLine="0"/>
        <w:jc w:val="center"/>
      </w:pPr>
      <w:r w:rsidRPr="00B05565">
        <w:t>§</w:t>
      </w:r>
      <w:r>
        <w:t xml:space="preserve"> </w:t>
      </w:r>
      <w:r w:rsidRPr="00B05565">
        <w:t>173</w:t>
      </w:r>
    </w:p>
    <w:p w14:paraId="28F0392A" w14:textId="77777777" w:rsidR="00B9271C" w:rsidRDefault="00B9271C" w:rsidP="00A84DD3">
      <w:pPr>
        <w:pStyle w:val="Textparagrafu"/>
        <w:tabs>
          <w:tab w:val="left" w:pos="392"/>
          <w:tab w:val="left" w:pos="840"/>
        </w:tabs>
        <w:spacing w:before="120" w:after="120"/>
      </w:pPr>
      <w:r w:rsidRPr="00B05565">
        <w:t>(1)</w:t>
      </w:r>
      <w:r>
        <w:t xml:space="preserve"> </w:t>
      </w:r>
      <w:r w:rsidRPr="00B05565">
        <w:t>Česká</w:t>
      </w:r>
      <w:r>
        <w:t xml:space="preserve"> </w:t>
      </w:r>
      <w:r w:rsidRPr="00B05565">
        <w:t>školní</w:t>
      </w:r>
      <w:r>
        <w:t xml:space="preserve"> </w:t>
      </w:r>
      <w:r w:rsidRPr="00B05565">
        <w:t>inspekce</w:t>
      </w:r>
      <w:r>
        <w:t xml:space="preserve"> </w:t>
      </w:r>
      <w:r w:rsidRPr="00B05565">
        <w:t>je</w:t>
      </w:r>
      <w:r>
        <w:t xml:space="preserve"> </w:t>
      </w:r>
      <w:r w:rsidRPr="00B05565">
        <w:t>správní</w:t>
      </w:r>
      <w:r>
        <w:t xml:space="preserve"> </w:t>
      </w:r>
      <w:r w:rsidRPr="00B05565">
        <w:t>úřad</w:t>
      </w:r>
      <w:r>
        <w:t xml:space="preserve"> </w:t>
      </w:r>
      <w:r w:rsidRPr="00B05565">
        <w:t>s</w:t>
      </w:r>
      <w:r>
        <w:t xml:space="preserve"> </w:t>
      </w:r>
      <w:r w:rsidRPr="00B05565">
        <w:t>celostátní</w:t>
      </w:r>
      <w:r>
        <w:t xml:space="preserve"> </w:t>
      </w:r>
      <w:r w:rsidRPr="00B05565">
        <w:t>působností,</w:t>
      </w:r>
      <w:r>
        <w:t xml:space="preserve"> </w:t>
      </w:r>
      <w:r w:rsidRPr="00B05565">
        <w:t>který</w:t>
      </w:r>
      <w:r>
        <w:t xml:space="preserve"> </w:t>
      </w:r>
      <w:r w:rsidRPr="00B05565">
        <w:t>je</w:t>
      </w:r>
      <w:r>
        <w:t xml:space="preserve"> </w:t>
      </w:r>
      <w:r w:rsidRPr="00B05565">
        <w:t>organizační</w:t>
      </w:r>
      <w:r>
        <w:t xml:space="preserve"> </w:t>
      </w:r>
      <w:r w:rsidRPr="00B05565">
        <w:t>složkou</w:t>
      </w:r>
      <w:r>
        <w:t xml:space="preserve"> </w:t>
      </w:r>
      <w:r w:rsidRPr="00B05565">
        <w:t>státu</w:t>
      </w:r>
      <w:r>
        <w:t xml:space="preserve"> </w:t>
      </w:r>
      <w:r w:rsidRPr="00513FB9">
        <w:rPr>
          <w:strike/>
        </w:rPr>
        <w:t>a účetní jednotkou</w:t>
      </w:r>
      <w:r w:rsidRPr="00B05565">
        <w:t>.</w:t>
      </w:r>
    </w:p>
    <w:p w14:paraId="22CDCCC3" w14:textId="77777777" w:rsidR="00B9271C" w:rsidRDefault="00B9271C" w:rsidP="00A84DD3">
      <w:pPr>
        <w:pStyle w:val="Textparagrafu"/>
        <w:tabs>
          <w:tab w:val="left" w:pos="392"/>
          <w:tab w:val="left" w:pos="840"/>
        </w:tabs>
        <w:spacing w:before="120" w:after="120"/>
      </w:pPr>
      <w:r w:rsidRPr="00B05565">
        <w:t>(2)</w:t>
      </w:r>
      <w:r>
        <w:t xml:space="preserve"> </w:t>
      </w:r>
      <w:r w:rsidRPr="00B05565">
        <w:t>Česká</w:t>
      </w:r>
      <w:r>
        <w:t xml:space="preserve"> </w:t>
      </w:r>
      <w:r w:rsidRPr="00B05565">
        <w:t>školní</w:t>
      </w:r>
      <w:r>
        <w:t xml:space="preserve"> </w:t>
      </w:r>
      <w:r w:rsidRPr="00B05565">
        <w:t>inspekce</w:t>
      </w:r>
      <w:r>
        <w:t xml:space="preserve"> </w:t>
      </w:r>
      <w:r w:rsidRPr="00B05565">
        <w:t>je</w:t>
      </w:r>
      <w:r>
        <w:t xml:space="preserve"> </w:t>
      </w:r>
      <w:r w:rsidRPr="00B05565">
        <w:t>organizačně</w:t>
      </w:r>
      <w:r>
        <w:t xml:space="preserve"> </w:t>
      </w:r>
      <w:r w:rsidRPr="00B05565">
        <w:t>členěna</w:t>
      </w:r>
      <w:r>
        <w:t xml:space="preserve"> </w:t>
      </w:r>
      <w:r w:rsidRPr="00B05565">
        <w:t>na</w:t>
      </w:r>
      <w:r>
        <w:t xml:space="preserve"> </w:t>
      </w:r>
      <w:r w:rsidRPr="00B05565">
        <w:t>ústředí</w:t>
      </w:r>
      <w:r>
        <w:t xml:space="preserve"> </w:t>
      </w:r>
      <w:r w:rsidRPr="00B05565">
        <w:t>České</w:t>
      </w:r>
      <w:r>
        <w:t xml:space="preserve"> </w:t>
      </w:r>
      <w:r w:rsidRPr="00B05565">
        <w:t>školní</w:t>
      </w:r>
      <w:r>
        <w:t xml:space="preserve"> </w:t>
      </w:r>
      <w:r w:rsidRPr="00B05565">
        <w:t>inspekce</w:t>
      </w:r>
      <w:r>
        <w:t xml:space="preserve"> </w:t>
      </w:r>
      <w:r w:rsidRPr="00B05565">
        <w:t>se</w:t>
      </w:r>
      <w:r>
        <w:t xml:space="preserve"> </w:t>
      </w:r>
      <w:r w:rsidRPr="00B05565">
        <w:t>sídlem</w:t>
      </w:r>
      <w:r>
        <w:t xml:space="preserve"> </w:t>
      </w:r>
      <w:r w:rsidRPr="00B05565">
        <w:t>v</w:t>
      </w:r>
      <w:r>
        <w:t xml:space="preserve"> </w:t>
      </w:r>
      <w:r w:rsidRPr="00B05565">
        <w:t>Praze</w:t>
      </w:r>
      <w:r>
        <w:t xml:space="preserve"> </w:t>
      </w:r>
      <w:r w:rsidRPr="00B05565">
        <w:t>a</w:t>
      </w:r>
      <w:r>
        <w:t xml:space="preserve"> </w:t>
      </w:r>
      <w:r w:rsidRPr="00B05565">
        <w:t>inspektoráty</w:t>
      </w:r>
      <w:r>
        <w:t xml:space="preserve"> </w:t>
      </w:r>
      <w:r w:rsidRPr="00B05565">
        <w:t>České</w:t>
      </w:r>
      <w:r>
        <w:t xml:space="preserve"> </w:t>
      </w:r>
      <w:r w:rsidRPr="00B05565">
        <w:t>školní</w:t>
      </w:r>
      <w:r>
        <w:t xml:space="preserve"> </w:t>
      </w:r>
      <w:r w:rsidRPr="00B05565">
        <w:t>inspekce.</w:t>
      </w:r>
      <w:r>
        <w:t xml:space="preserve"> </w:t>
      </w:r>
      <w:r w:rsidRPr="00B05565">
        <w:t>Ministerstvo</w:t>
      </w:r>
      <w:r>
        <w:t xml:space="preserve"> </w:t>
      </w:r>
      <w:r w:rsidRPr="00B05565">
        <w:t>je</w:t>
      </w:r>
      <w:r>
        <w:t xml:space="preserve"> </w:t>
      </w:r>
      <w:r w:rsidRPr="00B05565">
        <w:t>ve</w:t>
      </w:r>
      <w:r>
        <w:t xml:space="preserve"> </w:t>
      </w:r>
      <w:r w:rsidRPr="00B05565">
        <w:t>věcech</w:t>
      </w:r>
      <w:r>
        <w:t xml:space="preserve"> </w:t>
      </w:r>
      <w:r w:rsidRPr="00B05565">
        <w:t>státní</w:t>
      </w:r>
      <w:r>
        <w:t xml:space="preserve"> </w:t>
      </w:r>
      <w:r w:rsidRPr="00B05565">
        <w:t>služby</w:t>
      </w:r>
      <w:r>
        <w:t xml:space="preserve"> </w:t>
      </w:r>
      <w:r w:rsidRPr="00B05565">
        <w:t>nadřízeným</w:t>
      </w:r>
      <w:r>
        <w:t xml:space="preserve"> </w:t>
      </w:r>
      <w:r w:rsidRPr="00B05565">
        <w:t>služebním</w:t>
      </w:r>
      <w:r>
        <w:t xml:space="preserve"> </w:t>
      </w:r>
      <w:r w:rsidRPr="00B05565">
        <w:t>úřadem</w:t>
      </w:r>
      <w:r>
        <w:t xml:space="preserve"> </w:t>
      </w:r>
      <w:r w:rsidRPr="00B05565">
        <w:t>České</w:t>
      </w:r>
      <w:r>
        <w:t xml:space="preserve"> </w:t>
      </w:r>
      <w:r w:rsidRPr="00B05565">
        <w:t>školní</w:t>
      </w:r>
      <w:r>
        <w:t xml:space="preserve"> </w:t>
      </w:r>
      <w:r w:rsidRPr="00B05565">
        <w:t>inspekce.</w:t>
      </w:r>
    </w:p>
    <w:p w14:paraId="4C3519C6" w14:textId="77777777" w:rsidR="00B9271C" w:rsidRDefault="00B9271C" w:rsidP="00A84DD3">
      <w:pPr>
        <w:pStyle w:val="Textparagrafu"/>
        <w:tabs>
          <w:tab w:val="left" w:pos="392"/>
          <w:tab w:val="left" w:pos="840"/>
        </w:tabs>
        <w:spacing w:before="120" w:after="120"/>
      </w:pPr>
      <w:r w:rsidRPr="00B05565">
        <w:lastRenderedPageBreak/>
        <w:t>(3)</w:t>
      </w:r>
      <w:r>
        <w:t xml:space="preserve"> </w:t>
      </w:r>
      <w:r w:rsidRPr="00B05565">
        <w:t>V</w:t>
      </w:r>
      <w:r>
        <w:t xml:space="preserve"> </w:t>
      </w:r>
      <w:r w:rsidRPr="00B05565">
        <w:t>čele</w:t>
      </w:r>
      <w:r>
        <w:t xml:space="preserve"> </w:t>
      </w:r>
      <w:r w:rsidRPr="00B05565">
        <w:t>České</w:t>
      </w:r>
      <w:r>
        <w:t xml:space="preserve"> </w:t>
      </w:r>
      <w:r w:rsidRPr="00B05565">
        <w:t>školní</w:t>
      </w:r>
      <w:r>
        <w:t xml:space="preserve"> </w:t>
      </w:r>
      <w:r w:rsidRPr="00B05565">
        <w:t>inspekce</w:t>
      </w:r>
      <w:r>
        <w:t xml:space="preserve"> </w:t>
      </w:r>
      <w:r w:rsidRPr="00B05565">
        <w:t>je</w:t>
      </w:r>
      <w:r>
        <w:t xml:space="preserve"> </w:t>
      </w:r>
      <w:r w:rsidRPr="00B05565">
        <w:t>ústřední</w:t>
      </w:r>
      <w:r>
        <w:t xml:space="preserve"> </w:t>
      </w:r>
      <w:r w:rsidRPr="00B05565">
        <w:t>školní</w:t>
      </w:r>
      <w:r>
        <w:t xml:space="preserve"> </w:t>
      </w:r>
      <w:r w:rsidRPr="00B05565">
        <w:t>inspektor;</w:t>
      </w:r>
      <w:r>
        <w:t xml:space="preserve"> </w:t>
      </w:r>
      <w:r w:rsidRPr="00B05565">
        <w:t>jeho</w:t>
      </w:r>
      <w:r>
        <w:t xml:space="preserve"> </w:t>
      </w:r>
      <w:r w:rsidRPr="00B05565">
        <w:t>výběr,</w:t>
      </w:r>
      <w:r>
        <w:t xml:space="preserve"> </w:t>
      </w:r>
      <w:r w:rsidRPr="00B05565">
        <w:t>jmenování</w:t>
      </w:r>
      <w:r>
        <w:t xml:space="preserve"> </w:t>
      </w:r>
      <w:r w:rsidRPr="00B05565">
        <w:t>a</w:t>
      </w:r>
      <w:r>
        <w:t xml:space="preserve"> </w:t>
      </w:r>
      <w:r w:rsidRPr="00B05565">
        <w:t>odvolání</w:t>
      </w:r>
      <w:r>
        <w:t xml:space="preserve"> </w:t>
      </w:r>
      <w:r w:rsidRPr="00B05565">
        <w:t>se</w:t>
      </w:r>
      <w:r>
        <w:t xml:space="preserve"> </w:t>
      </w:r>
      <w:r w:rsidRPr="00B05565">
        <w:t>řídí</w:t>
      </w:r>
      <w:r>
        <w:t xml:space="preserve"> </w:t>
      </w:r>
      <w:r w:rsidRPr="00B05565">
        <w:t>zákonem</w:t>
      </w:r>
      <w:r>
        <w:t xml:space="preserve"> </w:t>
      </w:r>
      <w:r w:rsidRPr="00B05565">
        <w:t>o</w:t>
      </w:r>
      <w:r>
        <w:t xml:space="preserve"> </w:t>
      </w:r>
      <w:r w:rsidRPr="00B05565">
        <w:t>státní</w:t>
      </w:r>
      <w:r>
        <w:t xml:space="preserve"> </w:t>
      </w:r>
      <w:r w:rsidRPr="00B05565">
        <w:t>službě.</w:t>
      </w:r>
    </w:p>
    <w:p w14:paraId="2C2A9EF7" w14:textId="6F900867" w:rsidR="00B9271C" w:rsidRDefault="00B9271C" w:rsidP="00144684">
      <w:pPr>
        <w:pStyle w:val="Textparagrafu"/>
        <w:tabs>
          <w:tab w:val="left" w:pos="392"/>
          <w:tab w:val="left" w:pos="840"/>
        </w:tabs>
        <w:spacing w:after="120"/>
        <w:ind w:firstLine="0"/>
        <w:jc w:val="center"/>
      </w:pPr>
      <w:r w:rsidRPr="00B05565">
        <w:t>§</w:t>
      </w:r>
      <w:r>
        <w:t xml:space="preserve"> </w:t>
      </w:r>
      <w:r w:rsidRPr="00B05565">
        <w:t>174</w:t>
      </w:r>
    </w:p>
    <w:p w14:paraId="7A2141FE" w14:textId="77777777" w:rsidR="00B9271C" w:rsidRDefault="00B9271C" w:rsidP="00A84DD3">
      <w:pPr>
        <w:pStyle w:val="Textparagrafu"/>
        <w:tabs>
          <w:tab w:val="left" w:pos="392"/>
          <w:tab w:val="left" w:pos="840"/>
        </w:tabs>
        <w:spacing w:before="120" w:after="120"/>
      </w:pPr>
      <w:r w:rsidRPr="00B05565">
        <w:t>(1)</w:t>
      </w:r>
      <w:r>
        <w:t xml:space="preserve"> </w:t>
      </w:r>
      <w:r w:rsidRPr="00B05565">
        <w:t>Česká</w:t>
      </w:r>
      <w:r>
        <w:t xml:space="preserve"> </w:t>
      </w:r>
      <w:r w:rsidRPr="00B05565">
        <w:t>školní</w:t>
      </w:r>
      <w:r>
        <w:t xml:space="preserve"> </w:t>
      </w:r>
      <w:r w:rsidRPr="00B05565">
        <w:t>inspekce</w:t>
      </w:r>
      <w:r>
        <w:t xml:space="preserve"> </w:t>
      </w:r>
      <w:r w:rsidRPr="00B05565">
        <w:t>zpracovává</w:t>
      </w:r>
      <w:r>
        <w:t xml:space="preserve"> </w:t>
      </w:r>
      <w:r w:rsidRPr="00B05565">
        <w:t>koncepční</w:t>
      </w:r>
      <w:r>
        <w:t xml:space="preserve"> </w:t>
      </w:r>
      <w:r w:rsidRPr="00B05565">
        <w:t>záměry</w:t>
      </w:r>
      <w:r>
        <w:t xml:space="preserve"> </w:t>
      </w:r>
      <w:r w:rsidRPr="00B05565">
        <w:t>inspekční</w:t>
      </w:r>
      <w:r>
        <w:t xml:space="preserve"> </w:t>
      </w:r>
      <w:r w:rsidRPr="00B05565">
        <w:t>činnosti</w:t>
      </w:r>
      <w:r>
        <w:t xml:space="preserve"> </w:t>
      </w:r>
      <w:r w:rsidRPr="00B05565">
        <w:t>a</w:t>
      </w:r>
      <w:r>
        <w:t xml:space="preserve"> </w:t>
      </w:r>
      <w:r w:rsidRPr="00B05565">
        <w:t>systémy</w:t>
      </w:r>
      <w:r>
        <w:t xml:space="preserve"> </w:t>
      </w:r>
      <w:r w:rsidRPr="00B05565">
        <w:t>hodnocení</w:t>
      </w:r>
      <w:r>
        <w:t xml:space="preserve"> </w:t>
      </w:r>
      <w:r w:rsidRPr="00B05565">
        <w:t>vzdělávací</w:t>
      </w:r>
      <w:r>
        <w:t xml:space="preserve"> </w:t>
      </w:r>
      <w:r w:rsidRPr="00B05565">
        <w:t>soustavy.</w:t>
      </w:r>
      <w:r>
        <w:t xml:space="preserve"> </w:t>
      </w:r>
      <w:r w:rsidRPr="00B05565">
        <w:t>V</w:t>
      </w:r>
      <w:r>
        <w:t xml:space="preserve"> </w:t>
      </w:r>
      <w:r w:rsidRPr="00B05565">
        <w:t>souvislosti</w:t>
      </w:r>
      <w:r>
        <w:t xml:space="preserve"> </w:t>
      </w:r>
      <w:r w:rsidRPr="00B05565">
        <w:t>s</w:t>
      </w:r>
      <w:r>
        <w:t xml:space="preserve"> </w:t>
      </w:r>
      <w:r w:rsidRPr="00B05565">
        <w:t>výkonem</w:t>
      </w:r>
      <w:r>
        <w:t xml:space="preserve"> </w:t>
      </w:r>
      <w:r w:rsidRPr="00B05565">
        <w:t>inspekční</w:t>
      </w:r>
      <w:r>
        <w:t xml:space="preserve"> </w:t>
      </w:r>
      <w:r w:rsidRPr="00B05565">
        <w:t>činnosti</w:t>
      </w:r>
      <w:r>
        <w:t xml:space="preserve"> </w:t>
      </w:r>
      <w:r w:rsidRPr="00B05565">
        <w:t>se</w:t>
      </w:r>
      <w:r>
        <w:t xml:space="preserve"> </w:t>
      </w:r>
      <w:r w:rsidRPr="00B05565">
        <w:t>Česká</w:t>
      </w:r>
      <w:r>
        <w:t xml:space="preserve"> </w:t>
      </w:r>
      <w:r w:rsidRPr="00B05565">
        <w:t>školní</w:t>
      </w:r>
      <w:r>
        <w:t xml:space="preserve"> </w:t>
      </w:r>
      <w:r w:rsidRPr="00B05565">
        <w:t>inspekce</w:t>
      </w:r>
      <w:r>
        <w:t xml:space="preserve"> </w:t>
      </w:r>
      <w:r w:rsidRPr="00B05565">
        <w:t>s</w:t>
      </w:r>
      <w:r>
        <w:t xml:space="preserve"> </w:t>
      </w:r>
      <w:r w:rsidRPr="00B05565">
        <w:t>předchozím</w:t>
      </w:r>
      <w:r>
        <w:t xml:space="preserve"> </w:t>
      </w:r>
      <w:r w:rsidRPr="00B05565">
        <w:t>souhlasem</w:t>
      </w:r>
      <w:r>
        <w:t xml:space="preserve"> </w:t>
      </w:r>
      <w:r w:rsidRPr="00B05565">
        <w:t>ministerstva</w:t>
      </w:r>
      <w:r>
        <w:t xml:space="preserve"> </w:t>
      </w:r>
      <w:r w:rsidRPr="00B05565">
        <w:t>může</w:t>
      </w:r>
      <w:r>
        <w:t xml:space="preserve"> </w:t>
      </w:r>
      <w:r w:rsidRPr="00B05565">
        <w:t>podílet</w:t>
      </w:r>
      <w:r>
        <w:t xml:space="preserve"> </w:t>
      </w:r>
      <w:r w:rsidRPr="00B05565">
        <w:t>na</w:t>
      </w:r>
      <w:r>
        <w:t xml:space="preserve"> </w:t>
      </w:r>
      <w:r w:rsidRPr="00B05565">
        <w:t>zajišťování</w:t>
      </w:r>
      <w:r>
        <w:t xml:space="preserve"> </w:t>
      </w:r>
      <w:r w:rsidRPr="00B05565">
        <w:t>úkolů</w:t>
      </w:r>
      <w:r>
        <w:t xml:space="preserve"> </w:t>
      </w:r>
      <w:r w:rsidRPr="00B05565">
        <w:t>souvisejících</w:t>
      </w:r>
      <w:r>
        <w:t xml:space="preserve"> </w:t>
      </w:r>
      <w:r w:rsidRPr="00B05565">
        <w:t>s</w:t>
      </w:r>
      <w:r>
        <w:t xml:space="preserve"> </w:t>
      </w:r>
      <w:r w:rsidRPr="00B05565">
        <w:t>naplňováním</w:t>
      </w:r>
      <w:r>
        <w:t xml:space="preserve"> </w:t>
      </w:r>
      <w:r w:rsidRPr="00B05565">
        <w:t>mezinárodních</w:t>
      </w:r>
      <w:r>
        <w:t xml:space="preserve"> </w:t>
      </w:r>
      <w:r w:rsidRPr="00B05565">
        <w:t>smluv,</w:t>
      </w:r>
      <w:r>
        <w:t xml:space="preserve"> </w:t>
      </w:r>
      <w:r w:rsidRPr="00B05565">
        <w:t>s</w:t>
      </w:r>
      <w:r>
        <w:t xml:space="preserve"> </w:t>
      </w:r>
      <w:r w:rsidRPr="00B05565">
        <w:t>rozvojem</w:t>
      </w:r>
      <w:r>
        <w:t xml:space="preserve"> </w:t>
      </w:r>
      <w:r w:rsidRPr="00B05565">
        <w:t>mezinárodních</w:t>
      </w:r>
      <w:r>
        <w:t xml:space="preserve"> </w:t>
      </w:r>
      <w:r w:rsidRPr="00B05565">
        <w:t>styků</w:t>
      </w:r>
      <w:r>
        <w:t xml:space="preserve"> </w:t>
      </w:r>
      <w:r w:rsidRPr="00B05565">
        <w:t>a</w:t>
      </w:r>
      <w:r>
        <w:t xml:space="preserve"> </w:t>
      </w:r>
      <w:r w:rsidRPr="00B05565">
        <w:t>mezinárodní</w:t>
      </w:r>
      <w:r>
        <w:t xml:space="preserve"> </w:t>
      </w:r>
      <w:r w:rsidRPr="00B05565">
        <w:t>spolupráce,</w:t>
      </w:r>
      <w:r>
        <w:t xml:space="preserve"> </w:t>
      </w:r>
      <w:r w:rsidRPr="00B05565">
        <w:t>jakož</w:t>
      </w:r>
      <w:r>
        <w:t xml:space="preserve"> </w:t>
      </w:r>
      <w:r w:rsidRPr="00B05565">
        <w:t>i</w:t>
      </w:r>
      <w:r>
        <w:t xml:space="preserve"> </w:t>
      </w:r>
      <w:r w:rsidRPr="00B05565">
        <w:t>úkolů,</w:t>
      </w:r>
      <w:r>
        <w:t xml:space="preserve"> </w:t>
      </w:r>
      <w:r w:rsidRPr="00B05565">
        <w:t>které</w:t>
      </w:r>
      <w:r>
        <w:t xml:space="preserve"> </w:t>
      </w:r>
      <w:r w:rsidRPr="00B05565">
        <w:t>vyplývají</w:t>
      </w:r>
      <w:r>
        <w:t xml:space="preserve"> </w:t>
      </w:r>
      <w:r w:rsidRPr="00B05565">
        <w:t>pro</w:t>
      </w:r>
      <w:r>
        <w:t xml:space="preserve"> </w:t>
      </w:r>
      <w:r w:rsidRPr="00B05565">
        <w:t>Českou</w:t>
      </w:r>
      <w:r>
        <w:t xml:space="preserve"> </w:t>
      </w:r>
      <w:r w:rsidRPr="00B05565">
        <w:t>republiku</w:t>
      </w:r>
      <w:r>
        <w:t xml:space="preserve"> </w:t>
      </w:r>
      <w:r w:rsidRPr="00B05565">
        <w:t>z</w:t>
      </w:r>
      <w:r>
        <w:t xml:space="preserve"> </w:t>
      </w:r>
      <w:r w:rsidRPr="00B05565">
        <w:t>členství</w:t>
      </w:r>
      <w:r>
        <w:t xml:space="preserve"> </w:t>
      </w:r>
      <w:r w:rsidRPr="00B05565">
        <w:t>v</w:t>
      </w:r>
      <w:r>
        <w:t xml:space="preserve"> </w:t>
      </w:r>
      <w:r w:rsidRPr="00B05565">
        <w:t>mezinárodních</w:t>
      </w:r>
      <w:r>
        <w:t xml:space="preserve"> </w:t>
      </w:r>
      <w:r w:rsidRPr="00B05565">
        <w:t>organizacích.</w:t>
      </w:r>
    </w:p>
    <w:p w14:paraId="68EDAC6D" w14:textId="77777777" w:rsidR="00B9271C" w:rsidRDefault="00B9271C" w:rsidP="00A84DD3">
      <w:pPr>
        <w:pStyle w:val="Textparagrafu"/>
        <w:tabs>
          <w:tab w:val="left" w:pos="392"/>
          <w:tab w:val="left" w:pos="840"/>
        </w:tabs>
        <w:spacing w:before="120" w:after="120"/>
      </w:pPr>
      <w:r w:rsidRPr="00B05565">
        <w:t>(2)</w:t>
      </w:r>
      <w:r>
        <w:t xml:space="preserve"> </w:t>
      </w:r>
      <w:r w:rsidRPr="00B05565">
        <w:t>Česká</w:t>
      </w:r>
      <w:r>
        <w:t xml:space="preserve"> </w:t>
      </w:r>
      <w:r w:rsidRPr="00B05565">
        <w:t>školní</w:t>
      </w:r>
      <w:r>
        <w:t xml:space="preserve"> </w:t>
      </w:r>
      <w:r w:rsidRPr="00B05565">
        <w:t>inspekce</w:t>
      </w:r>
      <w:r>
        <w:t xml:space="preserve"> </w:t>
      </w:r>
      <w:r w:rsidRPr="00B05565">
        <w:t>ve</w:t>
      </w:r>
      <w:r>
        <w:t xml:space="preserve"> </w:t>
      </w:r>
      <w:r w:rsidRPr="00B05565">
        <w:t>školách</w:t>
      </w:r>
      <w:r>
        <w:t xml:space="preserve"> </w:t>
      </w:r>
      <w:r w:rsidRPr="00B05565">
        <w:t>a</w:t>
      </w:r>
      <w:r>
        <w:t xml:space="preserve"> </w:t>
      </w:r>
      <w:r w:rsidRPr="00B05565">
        <w:t>školských</w:t>
      </w:r>
      <w:r>
        <w:t xml:space="preserve"> </w:t>
      </w:r>
      <w:r w:rsidRPr="00B05565">
        <w:t>zařízeních</w:t>
      </w:r>
      <w:r>
        <w:t xml:space="preserve"> </w:t>
      </w:r>
      <w:r w:rsidRPr="00B05565">
        <w:t>zapsaných</w:t>
      </w:r>
      <w:r>
        <w:t xml:space="preserve"> </w:t>
      </w:r>
      <w:r w:rsidRPr="00B05565">
        <w:t>do</w:t>
      </w:r>
      <w:r>
        <w:t xml:space="preserve"> </w:t>
      </w:r>
      <w:r w:rsidRPr="00B05565">
        <w:t>školského</w:t>
      </w:r>
      <w:r>
        <w:t xml:space="preserve"> </w:t>
      </w:r>
      <w:r w:rsidRPr="00B05565">
        <w:t>rejstříku</w:t>
      </w:r>
      <w:r>
        <w:t xml:space="preserve"> </w:t>
      </w:r>
      <w:r w:rsidRPr="00B05565">
        <w:t>a</w:t>
      </w:r>
      <w:r>
        <w:t xml:space="preserve"> </w:t>
      </w:r>
      <w:r w:rsidRPr="00B05565">
        <w:t>na</w:t>
      </w:r>
      <w:r>
        <w:t xml:space="preserve"> </w:t>
      </w:r>
      <w:r w:rsidRPr="00B05565">
        <w:t>pracovištích</w:t>
      </w:r>
      <w:r>
        <w:t xml:space="preserve"> </w:t>
      </w:r>
      <w:r w:rsidRPr="00B05565">
        <w:t>osob,</w:t>
      </w:r>
      <w:r>
        <w:t xml:space="preserve"> </w:t>
      </w:r>
      <w:r w:rsidRPr="00B05565">
        <w:t>kde</w:t>
      </w:r>
      <w:r>
        <w:t xml:space="preserve"> </w:t>
      </w:r>
      <w:r w:rsidRPr="00B05565">
        <w:t>se</w:t>
      </w:r>
      <w:r>
        <w:t xml:space="preserve"> </w:t>
      </w:r>
      <w:r w:rsidRPr="00B05565">
        <w:t>uskutečňuje</w:t>
      </w:r>
      <w:r>
        <w:t xml:space="preserve"> </w:t>
      </w:r>
      <w:r w:rsidRPr="00B05565">
        <w:t>praktické</w:t>
      </w:r>
      <w:r>
        <w:t xml:space="preserve"> </w:t>
      </w:r>
      <w:r w:rsidRPr="00B05565">
        <w:t>vyučování</w:t>
      </w:r>
      <w:r>
        <w:t xml:space="preserve"> </w:t>
      </w:r>
      <w:r w:rsidRPr="00B05565">
        <w:t>nebo</w:t>
      </w:r>
      <w:r>
        <w:t xml:space="preserve"> </w:t>
      </w:r>
      <w:r w:rsidRPr="00B05565">
        <w:t>odborná</w:t>
      </w:r>
      <w:r>
        <w:t xml:space="preserve"> </w:t>
      </w:r>
      <w:r w:rsidRPr="00B05565">
        <w:t>praxe</w:t>
      </w:r>
      <w:r>
        <w:t xml:space="preserve"> </w:t>
      </w:r>
      <w:r w:rsidRPr="00B05565">
        <w:t>podle</w:t>
      </w:r>
      <w:r>
        <w:t xml:space="preserve"> </w:t>
      </w:r>
      <w:r w:rsidRPr="00B05565">
        <w:t>§</w:t>
      </w:r>
      <w:r>
        <w:t xml:space="preserve"> </w:t>
      </w:r>
      <w:r w:rsidRPr="00B05565">
        <w:t>65</w:t>
      </w:r>
      <w:r>
        <w:t xml:space="preserve"> </w:t>
      </w:r>
      <w:r w:rsidRPr="00B05565">
        <w:t>odst.</w:t>
      </w:r>
      <w:r>
        <w:t xml:space="preserve"> </w:t>
      </w:r>
      <w:r w:rsidRPr="00B05565">
        <w:t>2</w:t>
      </w:r>
      <w:r>
        <w:t xml:space="preserve"> </w:t>
      </w:r>
      <w:r w:rsidRPr="00B05565">
        <w:t>a</w:t>
      </w:r>
      <w:r>
        <w:t xml:space="preserve"> </w:t>
      </w:r>
      <w:r w:rsidRPr="00B05565">
        <w:t>§</w:t>
      </w:r>
      <w:r>
        <w:t xml:space="preserve"> </w:t>
      </w:r>
      <w:r w:rsidRPr="00B05565">
        <w:t>96</w:t>
      </w:r>
      <w:r>
        <w:t xml:space="preserve"> </w:t>
      </w:r>
      <w:r w:rsidRPr="00B05565">
        <w:t>odst.</w:t>
      </w:r>
      <w:r>
        <w:t xml:space="preserve"> </w:t>
      </w:r>
      <w:r w:rsidRPr="00B05565">
        <w:t>2</w:t>
      </w:r>
      <w:r>
        <w:t xml:space="preserve"> </w:t>
      </w:r>
      <w:r w:rsidRPr="00B05565">
        <w:t>a</w:t>
      </w:r>
      <w:r>
        <w:t xml:space="preserve"> </w:t>
      </w:r>
      <w:r w:rsidRPr="00B05565">
        <w:t>v</w:t>
      </w:r>
      <w:r>
        <w:t xml:space="preserve"> </w:t>
      </w:r>
      <w:r w:rsidRPr="00B05565">
        <w:t>místě,</w:t>
      </w:r>
      <w:r>
        <w:t xml:space="preserve"> </w:t>
      </w:r>
      <w:r w:rsidRPr="00B05565">
        <w:t>kde</w:t>
      </w:r>
      <w:r>
        <w:t xml:space="preserve"> </w:t>
      </w:r>
      <w:r w:rsidRPr="00B05565">
        <w:t>se</w:t>
      </w:r>
      <w:r>
        <w:t xml:space="preserve"> </w:t>
      </w:r>
      <w:r w:rsidRPr="00B05565">
        <w:t>uskutečňuje</w:t>
      </w:r>
      <w:r>
        <w:t xml:space="preserve"> </w:t>
      </w:r>
      <w:r w:rsidRPr="00B05565">
        <w:t>individuální</w:t>
      </w:r>
      <w:r>
        <w:t xml:space="preserve"> </w:t>
      </w:r>
      <w:r w:rsidRPr="00B05565">
        <w:t>vzdělávání</w:t>
      </w:r>
      <w:r>
        <w:t xml:space="preserve"> </w:t>
      </w:r>
      <w:r w:rsidRPr="00B05565">
        <w:t>žáka</w:t>
      </w:r>
      <w:r>
        <w:t xml:space="preserve"> </w:t>
      </w:r>
      <w:r w:rsidRPr="00B05565">
        <w:t>povolené</w:t>
      </w:r>
      <w:r>
        <w:t xml:space="preserve"> </w:t>
      </w:r>
      <w:r w:rsidRPr="00B05565">
        <w:t>podle</w:t>
      </w:r>
      <w:r>
        <w:t xml:space="preserve"> </w:t>
      </w:r>
      <w:r w:rsidRPr="00B05565">
        <w:t>§</w:t>
      </w:r>
      <w:r>
        <w:t xml:space="preserve"> </w:t>
      </w:r>
      <w:r w:rsidRPr="00B05565">
        <w:t>41</w:t>
      </w:r>
      <w:r>
        <w:t xml:space="preserve"> </w:t>
      </w:r>
      <w:r w:rsidRPr="00B05565">
        <w:t>odst.</w:t>
      </w:r>
      <w:r>
        <w:t xml:space="preserve"> </w:t>
      </w:r>
      <w:r w:rsidRPr="00B05565">
        <w:t>3</w:t>
      </w:r>
      <w:r>
        <w:t xml:space="preserve"> </w:t>
      </w:r>
      <w:r w:rsidRPr="00B05565">
        <w:t>v</w:t>
      </w:r>
      <w:r>
        <w:t xml:space="preserve"> </w:t>
      </w:r>
      <w:r w:rsidRPr="00B05565">
        <w:t>rámci</w:t>
      </w:r>
      <w:r>
        <w:t xml:space="preserve"> </w:t>
      </w:r>
      <w:r w:rsidRPr="00B05565">
        <w:t>inspekční</w:t>
      </w:r>
      <w:r>
        <w:t xml:space="preserve"> </w:t>
      </w:r>
      <w:r w:rsidRPr="00B05565">
        <w:t>činnosti</w:t>
      </w:r>
    </w:p>
    <w:p w14:paraId="00FCB4E2" w14:textId="76894409" w:rsidR="00B9271C" w:rsidRDefault="00B9271C" w:rsidP="00AB5ED2">
      <w:pPr>
        <w:pStyle w:val="Textparagrafu"/>
        <w:tabs>
          <w:tab w:val="left" w:pos="392"/>
          <w:tab w:val="left" w:pos="840"/>
        </w:tabs>
        <w:spacing w:before="0"/>
        <w:ind w:left="426" w:hanging="426"/>
      </w:pPr>
      <w:r w:rsidRPr="00B05565">
        <w:t>a)</w:t>
      </w:r>
      <w:r w:rsidR="00144684">
        <w:tab/>
      </w:r>
      <w:r w:rsidRPr="00B05565">
        <w:t>získává</w:t>
      </w:r>
      <w:r>
        <w:t xml:space="preserve"> </w:t>
      </w:r>
      <w:r w:rsidRPr="00B05565">
        <w:t>a</w:t>
      </w:r>
      <w:r>
        <w:t xml:space="preserve"> </w:t>
      </w:r>
      <w:r w:rsidRPr="00B05565">
        <w:t>analyzuje</w:t>
      </w:r>
      <w:r>
        <w:t xml:space="preserve"> </w:t>
      </w:r>
      <w:r w:rsidRPr="00B05565">
        <w:t>informace</w:t>
      </w:r>
      <w:r>
        <w:t xml:space="preserve"> </w:t>
      </w:r>
      <w:r w:rsidRPr="00B05565">
        <w:t>o</w:t>
      </w:r>
      <w:r>
        <w:t xml:space="preserve"> </w:t>
      </w:r>
      <w:r w:rsidRPr="00B05565">
        <w:t>vzdělávání</w:t>
      </w:r>
      <w:r>
        <w:t xml:space="preserve"> </w:t>
      </w:r>
      <w:r w:rsidRPr="00B05565">
        <w:t>dětí,</w:t>
      </w:r>
      <w:r>
        <w:t xml:space="preserve"> </w:t>
      </w:r>
      <w:r w:rsidRPr="00B05565">
        <w:t>žáků</w:t>
      </w:r>
      <w:r>
        <w:t xml:space="preserve"> </w:t>
      </w:r>
      <w:r w:rsidRPr="00B05565">
        <w:t>a</w:t>
      </w:r>
      <w:r>
        <w:t xml:space="preserve"> </w:t>
      </w:r>
      <w:r w:rsidRPr="00B05565">
        <w:t>studentů,</w:t>
      </w:r>
      <w:r>
        <w:t xml:space="preserve"> </w:t>
      </w:r>
      <w:r w:rsidRPr="00B05565">
        <w:t>o</w:t>
      </w:r>
      <w:r>
        <w:t xml:space="preserve"> </w:t>
      </w:r>
      <w:r w:rsidRPr="00B05565">
        <w:t>činnosti</w:t>
      </w:r>
      <w:r>
        <w:t xml:space="preserve"> </w:t>
      </w:r>
      <w:r w:rsidRPr="00B05565">
        <w:t>škol</w:t>
      </w:r>
      <w:r>
        <w:t xml:space="preserve"> </w:t>
      </w:r>
      <w:r w:rsidRPr="00B05565">
        <w:t>a</w:t>
      </w:r>
      <w:r>
        <w:t xml:space="preserve"> </w:t>
      </w:r>
      <w:r w:rsidRPr="00B05565">
        <w:t>školských</w:t>
      </w:r>
      <w:r>
        <w:t xml:space="preserve"> </w:t>
      </w:r>
      <w:r w:rsidRPr="00B05565">
        <w:t>zařízení</w:t>
      </w:r>
      <w:r>
        <w:t xml:space="preserve"> </w:t>
      </w:r>
      <w:r w:rsidRPr="00B05565">
        <w:t>zapsaných</w:t>
      </w:r>
      <w:r>
        <w:t xml:space="preserve"> </w:t>
      </w:r>
      <w:r w:rsidRPr="00B05565">
        <w:t>do</w:t>
      </w:r>
      <w:r>
        <w:t xml:space="preserve"> </w:t>
      </w:r>
      <w:r w:rsidRPr="00B05565">
        <w:t>školského</w:t>
      </w:r>
      <w:r>
        <w:t xml:space="preserve"> </w:t>
      </w:r>
      <w:r w:rsidRPr="00B05565">
        <w:t>rejstříku,</w:t>
      </w:r>
      <w:r>
        <w:t xml:space="preserve"> </w:t>
      </w:r>
      <w:r w:rsidRPr="00B05565">
        <w:t>sleduje</w:t>
      </w:r>
      <w:r>
        <w:t xml:space="preserve"> </w:t>
      </w:r>
      <w:r w:rsidRPr="00B05565">
        <w:t>a</w:t>
      </w:r>
      <w:r>
        <w:t xml:space="preserve"> </w:t>
      </w:r>
      <w:r w:rsidRPr="00B05565">
        <w:t>hodnotí</w:t>
      </w:r>
      <w:r>
        <w:t xml:space="preserve"> </w:t>
      </w:r>
      <w:r w:rsidRPr="00B05565">
        <w:t>efektivnost</w:t>
      </w:r>
      <w:r>
        <w:t xml:space="preserve"> </w:t>
      </w:r>
      <w:r w:rsidRPr="00B05565">
        <w:t>vzdělávací</w:t>
      </w:r>
      <w:r>
        <w:t xml:space="preserve"> </w:t>
      </w:r>
      <w:r w:rsidRPr="00B05565">
        <w:t>soustavy,</w:t>
      </w:r>
    </w:p>
    <w:p w14:paraId="79B3E910" w14:textId="198B3530" w:rsidR="00B9271C" w:rsidRDefault="00B9271C" w:rsidP="00AB5ED2">
      <w:pPr>
        <w:pStyle w:val="Textparagrafu"/>
        <w:tabs>
          <w:tab w:val="left" w:pos="392"/>
          <w:tab w:val="left" w:pos="840"/>
        </w:tabs>
        <w:spacing w:before="0"/>
        <w:ind w:left="426" w:hanging="426"/>
      </w:pPr>
      <w:r w:rsidRPr="00B05565">
        <w:t>b)</w:t>
      </w:r>
      <w:r w:rsidR="00144684">
        <w:tab/>
      </w:r>
      <w:r w:rsidRPr="00B05565">
        <w:t>zjišťuje</w:t>
      </w:r>
      <w:r>
        <w:t xml:space="preserve"> </w:t>
      </w:r>
      <w:r w:rsidRPr="00B05565">
        <w:t>a</w:t>
      </w:r>
      <w:r>
        <w:t xml:space="preserve"> </w:t>
      </w:r>
      <w:r w:rsidRPr="00B05565">
        <w:t>hodnotí</w:t>
      </w:r>
      <w:r>
        <w:t xml:space="preserve"> </w:t>
      </w:r>
      <w:r w:rsidRPr="00B05565">
        <w:t>podmínky,</w:t>
      </w:r>
      <w:r>
        <w:t xml:space="preserve"> </w:t>
      </w:r>
      <w:r w:rsidRPr="00B05565">
        <w:t>průběh</w:t>
      </w:r>
      <w:r>
        <w:t xml:space="preserve"> </w:t>
      </w:r>
      <w:r w:rsidRPr="00B05565">
        <w:t>a</w:t>
      </w:r>
      <w:r>
        <w:t xml:space="preserve"> </w:t>
      </w:r>
      <w:r w:rsidRPr="00B05565">
        <w:t>výsledky</w:t>
      </w:r>
      <w:r>
        <w:t xml:space="preserve"> </w:t>
      </w:r>
      <w:r w:rsidRPr="00B05565">
        <w:t>vzdělávání,</w:t>
      </w:r>
      <w:r>
        <w:t xml:space="preserve"> </w:t>
      </w:r>
      <w:r w:rsidRPr="00B05565">
        <w:t>a</w:t>
      </w:r>
      <w:r>
        <w:t xml:space="preserve"> </w:t>
      </w:r>
      <w:r w:rsidRPr="00B05565">
        <w:t>to</w:t>
      </w:r>
      <w:r>
        <w:t xml:space="preserve"> </w:t>
      </w:r>
      <w:r w:rsidRPr="00B05565">
        <w:t>podle</w:t>
      </w:r>
      <w:r>
        <w:t xml:space="preserve"> </w:t>
      </w:r>
      <w:r w:rsidRPr="00B05565">
        <w:t>příslušných</w:t>
      </w:r>
      <w:r>
        <w:t xml:space="preserve"> </w:t>
      </w:r>
      <w:r w:rsidRPr="00B05565">
        <w:t>školních</w:t>
      </w:r>
      <w:r>
        <w:t xml:space="preserve"> </w:t>
      </w:r>
      <w:r w:rsidRPr="00B05565">
        <w:t>vzdělávacích</w:t>
      </w:r>
      <w:r>
        <w:t xml:space="preserve"> </w:t>
      </w:r>
      <w:r w:rsidRPr="00B05565">
        <w:t>programů</w:t>
      </w:r>
      <w:r>
        <w:t xml:space="preserve"> </w:t>
      </w:r>
      <w:r w:rsidRPr="00B05565">
        <w:t>a</w:t>
      </w:r>
      <w:r>
        <w:t xml:space="preserve"> </w:t>
      </w:r>
      <w:r w:rsidRPr="00B05565">
        <w:t>akreditovaných</w:t>
      </w:r>
      <w:r>
        <w:t xml:space="preserve"> </w:t>
      </w:r>
      <w:r w:rsidRPr="00B05565">
        <w:t>vzdělávacích</w:t>
      </w:r>
      <w:r>
        <w:t xml:space="preserve"> </w:t>
      </w:r>
      <w:r w:rsidRPr="00B05565">
        <w:t>programů</w:t>
      </w:r>
      <w:r>
        <w:t xml:space="preserve"> </w:t>
      </w:r>
      <w:r w:rsidRPr="00B05565">
        <w:t>a</w:t>
      </w:r>
      <w:r>
        <w:t xml:space="preserve"> </w:t>
      </w:r>
      <w:r w:rsidRPr="00B05565">
        <w:t>dále</w:t>
      </w:r>
      <w:r>
        <w:t xml:space="preserve"> </w:t>
      </w:r>
      <w:r w:rsidRPr="00B05565">
        <w:t>podmínky</w:t>
      </w:r>
      <w:r>
        <w:t xml:space="preserve"> </w:t>
      </w:r>
      <w:r w:rsidRPr="00B05565">
        <w:t>a</w:t>
      </w:r>
      <w:r>
        <w:t xml:space="preserve"> </w:t>
      </w:r>
      <w:r w:rsidRPr="00B05565">
        <w:t>průběh</w:t>
      </w:r>
      <w:r>
        <w:t xml:space="preserve"> </w:t>
      </w:r>
      <w:r w:rsidRPr="00B05565">
        <w:t>poskytování</w:t>
      </w:r>
      <w:r>
        <w:t xml:space="preserve"> </w:t>
      </w:r>
      <w:r w:rsidRPr="00B05565">
        <w:t>poradenských</w:t>
      </w:r>
      <w:r>
        <w:t xml:space="preserve"> </w:t>
      </w:r>
      <w:r w:rsidRPr="00B05565">
        <w:t>služeb</w:t>
      </w:r>
      <w:r>
        <w:t xml:space="preserve"> </w:t>
      </w:r>
      <w:r w:rsidRPr="00B05565">
        <w:t>ve</w:t>
      </w:r>
      <w:r>
        <w:t xml:space="preserve"> </w:t>
      </w:r>
      <w:r w:rsidRPr="00B05565">
        <w:t>školách</w:t>
      </w:r>
      <w:r>
        <w:t xml:space="preserve"> </w:t>
      </w:r>
      <w:r w:rsidRPr="00B05565">
        <w:t>a</w:t>
      </w:r>
      <w:r>
        <w:t xml:space="preserve"> </w:t>
      </w:r>
      <w:r w:rsidRPr="00B05565">
        <w:t>školských</w:t>
      </w:r>
      <w:r>
        <w:t xml:space="preserve"> </w:t>
      </w:r>
      <w:r w:rsidRPr="00B05565">
        <w:t>poradenských</w:t>
      </w:r>
      <w:r>
        <w:t xml:space="preserve"> </w:t>
      </w:r>
      <w:r w:rsidRPr="00B05565">
        <w:t>zařízeních,</w:t>
      </w:r>
    </w:p>
    <w:p w14:paraId="0600F60A" w14:textId="36B65BC2" w:rsidR="00B9271C" w:rsidRDefault="00B9271C" w:rsidP="00AB5ED2">
      <w:pPr>
        <w:pStyle w:val="Textparagrafu"/>
        <w:tabs>
          <w:tab w:val="left" w:pos="392"/>
          <w:tab w:val="left" w:pos="840"/>
        </w:tabs>
        <w:spacing w:before="0"/>
        <w:ind w:left="426" w:hanging="426"/>
      </w:pPr>
      <w:r w:rsidRPr="00B05565">
        <w:t>c)</w:t>
      </w:r>
      <w:r w:rsidR="00144684">
        <w:tab/>
      </w:r>
      <w:r w:rsidRPr="00B05565">
        <w:t>zjišťuje</w:t>
      </w:r>
      <w:r>
        <w:t xml:space="preserve"> </w:t>
      </w:r>
      <w:r w:rsidRPr="00B05565">
        <w:t>a</w:t>
      </w:r>
      <w:r>
        <w:t xml:space="preserve"> </w:t>
      </w:r>
      <w:r w:rsidRPr="00B05565">
        <w:t>hodnotí</w:t>
      </w:r>
      <w:r>
        <w:t xml:space="preserve"> </w:t>
      </w:r>
      <w:r w:rsidRPr="00B05565">
        <w:t>naplnění</w:t>
      </w:r>
      <w:r>
        <w:t xml:space="preserve"> </w:t>
      </w:r>
      <w:r w:rsidRPr="00B05565">
        <w:t>školního</w:t>
      </w:r>
      <w:r>
        <w:t xml:space="preserve"> </w:t>
      </w:r>
      <w:r w:rsidRPr="00B05565">
        <w:t>vzdělávacího</w:t>
      </w:r>
      <w:r>
        <w:t xml:space="preserve"> </w:t>
      </w:r>
      <w:r w:rsidRPr="00B05565">
        <w:t>programu</w:t>
      </w:r>
      <w:r>
        <w:t xml:space="preserve"> </w:t>
      </w:r>
      <w:r w:rsidRPr="00B05565">
        <w:t>a</w:t>
      </w:r>
      <w:r>
        <w:t xml:space="preserve"> </w:t>
      </w:r>
      <w:r w:rsidRPr="00B05565">
        <w:t>jeho</w:t>
      </w:r>
      <w:r>
        <w:t xml:space="preserve"> </w:t>
      </w:r>
      <w:r w:rsidRPr="00B05565">
        <w:t>soulad</w:t>
      </w:r>
      <w:r>
        <w:t xml:space="preserve"> </w:t>
      </w:r>
      <w:r w:rsidRPr="00B05565">
        <w:t>s</w:t>
      </w:r>
      <w:r>
        <w:t xml:space="preserve"> </w:t>
      </w:r>
      <w:r w:rsidRPr="00B05565">
        <w:t>právními</w:t>
      </w:r>
      <w:r>
        <w:t xml:space="preserve"> </w:t>
      </w:r>
      <w:r w:rsidRPr="00B05565">
        <w:t>předpisy</w:t>
      </w:r>
      <w:r>
        <w:t xml:space="preserve"> </w:t>
      </w:r>
      <w:r w:rsidRPr="00B05565">
        <w:t>a</w:t>
      </w:r>
      <w:r>
        <w:t xml:space="preserve"> </w:t>
      </w:r>
      <w:r w:rsidRPr="00B05565">
        <w:t>rámcovým</w:t>
      </w:r>
      <w:r>
        <w:t xml:space="preserve"> </w:t>
      </w:r>
      <w:r w:rsidRPr="00B05565">
        <w:t>vzdělávacím</w:t>
      </w:r>
      <w:r>
        <w:t xml:space="preserve"> </w:t>
      </w:r>
      <w:r w:rsidRPr="00B05565">
        <w:t>programem,</w:t>
      </w:r>
    </w:p>
    <w:p w14:paraId="6DEB99F3" w14:textId="6F68F831" w:rsidR="00B9271C" w:rsidRDefault="00B9271C" w:rsidP="00AB5ED2">
      <w:pPr>
        <w:pStyle w:val="Textparagrafu"/>
        <w:tabs>
          <w:tab w:val="left" w:pos="392"/>
          <w:tab w:val="left" w:pos="840"/>
        </w:tabs>
        <w:spacing w:before="0"/>
        <w:ind w:left="426" w:hanging="426"/>
      </w:pPr>
      <w:r w:rsidRPr="00B05565">
        <w:t>d)</w:t>
      </w:r>
      <w:r w:rsidR="00144684">
        <w:tab/>
      </w:r>
      <w:r w:rsidRPr="00B05565">
        <w:t>vykonává</w:t>
      </w:r>
      <w:r>
        <w:t xml:space="preserve"> </w:t>
      </w:r>
      <w:r w:rsidRPr="00B05565">
        <w:t>kontrolu</w:t>
      </w:r>
      <w:r>
        <w:t xml:space="preserve"> </w:t>
      </w:r>
      <w:r w:rsidRPr="00B05565">
        <w:t>dodržování</w:t>
      </w:r>
      <w:r>
        <w:t xml:space="preserve"> </w:t>
      </w:r>
      <w:r w:rsidRPr="00B05565">
        <w:t>právních</w:t>
      </w:r>
      <w:r>
        <w:t xml:space="preserve"> </w:t>
      </w:r>
      <w:r w:rsidRPr="00B05565">
        <w:t>předpisů,</w:t>
      </w:r>
      <w:r>
        <w:t xml:space="preserve"> </w:t>
      </w:r>
      <w:r w:rsidRPr="00B05565">
        <w:t>které</w:t>
      </w:r>
      <w:r>
        <w:t xml:space="preserve"> </w:t>
      </w:r>
      <w:r w:rsidRPr="00B05565">
        <w:t>se</w:t>
      </w:r>
      <w:r>
        <w:t xml:space="preserve"> </w:t>
      </w:r>
      <w:r w:rsidRPr="00B05565">
        <w:t>vztahují</w:t>
      </w:r>
      <w:r>
        <w:t xml:space="preserve"> </w:t>
      </w:r>
      <w:r w:rsidRPr="00B05565">
        <w:t>k</w:t>
      </w:r>
      <w:r>
        <w:t xml:space="preserve"> </w:t>
      </w:r>
      <w:r w:rsidRPr="00B05565">
        <w:t>poskytování</w:t>
      </w:r>
      <w:r>
        <w:t xml:space="preserve"> </w:t>
      </w:r>
      <w:r w:rsidRPr="00B05565">
        <w:t>vzdělávání</w:t>
      </w:r>
      <w:r>
        <w:t xml:space="preserve"> </w:t>
      </w:r>
      <w:r w:rsidRPr="00B05565">
        <w:t>a</w:t>
      </w:r>
      <w:r>
        <w:t xml:space="preserve"> </w:t>
      </w:r>
      <w:r w:rsidRPr="00B05565">
        <w:t>školských</w:t>
      </w:r>
      <w:r>
        <w:t xml:space="preserve"> </w:t>
      </w:r>
      <w:r w:rsidRPr="00B05565">
        <w:t>služeb,</w:t>
      </w:r>
    </w:p>
    <w:p w14:paraId="027DE196" w14:textId="1588FDB7" w:rsidR="00B9271C" w:rsidRDefault="00B9271C" w:rsidP="00AB5ED2">
      <w:pPr>
        <w:pStyle w:val="Textparagrafu"/>
        <w:tabs>
          <w:tab w:val="left" w:pos="392"/>
          <w:tab w:val="left" w:pos="840"/>
        </w:tabs>
        <w:spacing w:before="0"/>
        <w:ind w:left="426" w:hanging="426"/>
      </w:pPr>
      <w:r w:rsidRPr="00B05565">
        <w:t>e)</w:t>
      </w:r>
      <w:r w:rsidR="00144684">
        <w:tab/>
      </w:r>
      <w:r w:rsidRPr="00B05565">
        <w:t>vykonává</w:t>
      </w:r>
      <w:r>
        <w:t xml:space="preserve"> </w:t>
      </w:r>
      <w:r w:rsidRPr="00B05565">
        <w:t>veřejnosprávní</w:t>
      </w:r>
      <w:r>
        <w:t xml:space="preserve"> </w:t>
      </w:r>
      <w:r w:rsidRPr="00B05565">
        <w:t>kontrolu40)</w:t>
      </w:r>
      <w:r>
        <w:t xml:space="preserve"> </w:t>
      </w:r>
      <w:r w:rsidRPr="00B05565">
        <w:t>využívání</w:t>
      </w:r>
      <w:r>
        <w:t xml:space="preserve"> </w:t>
      </w:r>
      <w:r w:rsidRPr="00513FB9">
        <w:rPr>
          <w:strike/>
        </w:rPr>
        <w:t>finančních</w:t>
      </w:r>
      <w:r>
        <w:t xml:space="preserve"> </w:t>
      </w:r>
      <w:r w:rsidR="00513FB9">
        <w:rPr>
          <w:b/>
        </w:rPr>
        <w:t xml:space="preserve">peněžních </w:t>
      </w:r>
      <w:r w:rsidRPr="00B05565">
        <w:t>prostředků</w:t>
      </w:r>
      <w:r>
        <w:t xml:space="preserve"> </w:t>
      </w:r>
      <w:r w:rsidRPr="00B05565">
        <w:t>státního</w:t>
      </w:r>
      <w:r>
        <w:t xml:space="preserve"> </w:t>
      </w:r>
      <w:r w:rsidRPr="00B05565">
        <w:t>rozpočtu</w:t>
      </w:r>
      <w:r>
        <w:t xml:space="preserve"> </w:t>
      </w:r>
      <w:r w:rsidRPr="00B05565">
        <w:t>přidělovaných</w:t>
      </w:r>
      <w:r>
        <w:t xml:space="preserve"> </w:t>
      </w:r>
      <w:r w:rsidRPr="00B05565">
        <w:t>podle</w:t>
      </w:r>
      <w:r>
        <w:t xml:space="preserve"> </w:t>
      </w:r>
      <w:r w:rsidRPr="00B05565">
        <w:t>§</w:t>
      </w:r>
      <w:r>
        <w:t xml:space="preserve"> </w:t>
      </w:r>
      <w:r w:rsidRPr="00B05565">
        <w:t>160</w:t>
      </w:r>
      <w:r>
        <w:t xml:space="preserve"> </w:t>
      </w:r>
      <w:r w:rsidRPr="00B05565">
        <w:t>až</w:t>
      </w:r>
      <w:r>
        <w:t xml:space="preserve"> </w:t>
      </w:r>
      <w:r w:rsidRPr="00B05565">
        <w:t>163.</w:t>
      </w:r>
    </w:p>
    <w:p w14:paraId="3243F6F5" w14:textId="77777777" w:rsidR="00B9271C" w:rsidRDefault="00B9271C" w:rsidP="00A84DD3">
      <w:pPr>
        <w:pStyle w:val="Textparagrafu"/>
        <w:tabs>
          <w:tab w:val="left" w:pos="392"/>
          <w:tab w:val="left" w:pos="840"/>
        </w:tabs>
        <w:spacing w:before="120" w:after="120"/>
      </w:pPr>
      <w:r w:rsidRPr="00B05565">
        <w:t>(3)</w:t>
      </w:r>
      <w:r>
        <w:t xml:space="preserve"> </w:t>
      </w:r>
      <w:r w:rsidRPr="00B05565">
        <w:t>Pokud</w:t>
      </w:r>
      <w:r>
        <w:t xml:space="preserve"> </w:t>
      </w:r>
      <w:r w:rsidRPr="00B05565">
        <w:t>je</w:t>
      </w:r>
      <w:r>
        <w:t xml:space="preserve"> </w:t>
      </w:r>
      <w:r w:rsidRPr="00B05565">
        <w:t>místem,</w:t>
      </w:r>
      <w:r>
        <w:t xml:space="preserve"> </w:t>
      </w:r>
      <w:r w:rsidRPr="00B05565">
        <w:t>kde</w:t>
      </w:r>
      <w:r>
        <w:t xml:space="preserve"> </w:t>
      </w:r>
      <w:r w:rsidRPr="00B05565">
        <w:t>se</w:t>
      </w:r>
      <w:r>
        <w:t xml:space="preserve"> </w:t>
      </w:r>
      <w:r w:rsidRPr="00B05565">
        <w:t>uskutečňuje</w:t>
      </w:r>
      <w:r>
        <w:t xml:space="preserve"> </w:t>
      </w:r>
      <w:r w:rsidRPr="00B05565">
        <w:t>individuální</w:t>
      </w:r>
      <w:r>
        <w:t xml:space="preserve"> </w:t>
      </w:r>
      <w:r w:rsidRPr="00B05565">
        <w:t>vzdělávání</w:t>
      </w:r>
      <w:r>
        <w:t xml:space="preserve"> </w:t>
      </w:r>
      <w:r w:rsidRPr="00B05565">
        <w:t>žáka</w:t>
      </w:r>
      <w:r>
        <w:t xml:space="preserve"> </w:t>
      </w:r>
      <w:r w:rsidRPr="00B05565">
        <w:t>povolené</w:t>
      </w:r>
      <w:r>
        <w:t xml:space="preserve"> </w:t>
      </w:r>
      <w:r w:rsidRPr="00B05565">
        <w:t>podle</w:t>
      </w:r>
      <w:r>
        <w:t xml:space="preserve"> </w:t>
      </w:r>
      <w:r w:rsidRPr="00B05565">
        <w:t>§</w:t>
      </w:r>
      <w:r>
        <w:t xml:space="preserve"> </w:t>
      </w:r>
      <w:r w:rsidRPr="00B05565">
        <w:t>41</w:t>
      </w:r>
      <w:r>
        <w:t xml:space="preserve"> </w:t>
      </w:r>
      <w:r w:rsidRPr="00B05565">
        <w:t>odst.</w:t>
      </w:r>
      <w:r>
        <w:t xml:space="preserve"> </w:t>
      </w:r>
      <w:r w:rsidRPr="00B05565">
        <w:t>3</w:t>
      </w:r>
      <w:r>
        <w:t xml:space="preserve"> </w:t>
      </w:r>
      <w:r w:rsidRPr="00B05565">
        <w:t>obydlí</w:t>
      </w:r>
      <w:r>
        <w:t xml:space="preserve"> </w:t>
      </w:r>
      <w:r w:rsidRPr="00B05565">
        <w:t>a</w:t>
      </w:r>
      <w:r>
        <w:t xml:space="preserve"> </w:t>
      </w:r>
      <w:r w:rsidRPr="00B05565">
        <w:t>není</w:t>
      </w:r>
      <w:r>
        <w:t xml:space="preserve"> </w:t>
      </w:r>
      <w:r w:rsidRPr="00B05565">
        <w:t>dán</w:t>
      </w:r>
      <w:r>
        <w:t xml:space="preserve"> </w:t>
      </w:r>
      <w:r w:rsidRPr="00B05565">
        <w:t>souhlas</w:t>
      </w:r>
      <w:r>
        <w:t xml:space="preserve"> </w:t>
      </w:r>
      <w:r w:rsidRPr="00B05565">
        <w:t>toho,</w:t>
      </w:r>
      <w:r>
        <w:t xml:space="preserve"> </w:t>
      </w:r>
      <w:r w:rsidRPr="00B05565">
        <w:t>kdo</w:t>
      </w:r>
      <w:r>
        <w:t xml:space="preserve"> </w:t>
      </w:r>
      <w:r w:rsidRPr="00B05565">
        <w:t>v</w:t>
      </w:r>
      <w:r>
        <w:t xml:space="preserve"> </w:t>
      </w:r>
      <w:r w:rsidRPr="00B05565">
        <w:t>něm</w:t>
      </w:r>
      <w:r>
        <w:t xml:space="preserve"> </w:t>
      </w:r>
      <w:r w:rsidRPr="00B05565">
        <w:t>bydlí,</w:t>
      </w:r>
      <w:r>
        <w:t xml:space="preserve"> </w:t>
      </w:r>
      <w:r w:rsidRPr="00B05565">
        <w:t>se</w:t>
      </w:r>
      <w:r>
        <w:t xml:space="preserve"> </w:t>
      </w:r>
      <w:r w:rsidRPr="00B05565">
        <w:t>vstupem</w:t>
      </w:r>
      <w:r>
        <w:t xml:space="preserve"> </w:t>
      </w:r>
      <w:r w:rsidRPr="00B05565">
        <w:t>do</w:t>
      </w:r>
      <w:r>
        <w:t xml:space="preserve"> </w:t>
      </w:r>
      <w:r w:rsidRPr="00B05565">
        <w:t>něj,</w:t>
      </w:r>
      <w:r>
        <w:t xml:space="preserve"> </w:t>
      </w:r>
      <w:r w:rsidRPr="00B05565">
        <w:t>inspekční</w:t>
      </w:r>
      <w:r>
        <w:t xml:space="preserve"> </w:t>
      </w:r>
      <w:r w:rsidRPr="00B05565">
        <w:t>činnost</w:t>
      </w:r>
      <w:r>
        <w:t xml:space="preserve"> </w:t>
      </w:r>
      <w:r w:rsidRPr="00B05565">
        <w:t>podle</w:t>
      </w:r>
      <w:r>
        <w:t xml:space="preserve"> </w:t>
      </w:r>
      <w:r w:rsidRPr="00B05565">
        <w:t>odstavce</w:t>
      </w:r>
      <w:r>
        <w:t xml:space="preserve"> </w:t>
      </w:r>
      <w:r w:rsidRPr="00B05565">
        <w:t>2</w:t>
      </w:r>
      <w:r>
        <w:t xml:space="preserve"> </w:t>
      </w:r>
      <w:r w:rsidRPr="00B05565">
        <w:t>proběhne</w:t>
      </w:r>
      <w:r>
        <w:t xml:space="preserve"> </w:t>
      </w:r>
      <w:r w:rsidRPr="00B05565">
        <w:t>ve</w:t>
      </w:r>
      <w:r>
        <w:t xml:space="preserve"> </w:t>
      </w:r>
      <w:r w:rsidRPr="00B05565">
        <w:t>škole,</w:t>
      </w:r>
      <w:r>
        <w:t xml:space="preserve"> </w:t>
      </w:r>
      <w:r w:rsidRPr="00B05565">
        <w:t>kam</w:t>
      </w:r>
      <w:r>
        <w:t xml:space="preserve"> </w:t>
      </w:r>
      <w:r w:rsidRPr="00B05565">
        <w:t>byl</w:t>
      </w:r>
      <w:r>
        <w:t xml:space="preserve"> </w:t>
      </w:r>
      <w:r w:rsidRPr="00B05565">
        <w:t>žák</w:t>
      </w:r>
      <w:r>
        <w:t xml:space="preserve"> </w:t>
      </w:r>
      <w:r w:rsidRPr="00B05565">
        <w:t>přijat</w:t>
      </w:r>
      <w:r>
        <w:t xml:space="preserve"> </w:t>
      </w:r>
      <w:r w:rsidRPr="00B05565">
        <w:t>k</w:t>
      </w:r>
      <w:r>
        <w:t xml:space="preserve"> </w:t>
      </w:r>
      <w:r w:rsidRPr="00B05565">
        <w:t>plnění</w:t>
      </w:r>
      <w:r>
        <w:t xml:space="preserve"> </w:t>
      </w:r>
      <w:r w:rsidRPr="00B05565">
        <w:t>školní</w:t>
      </w:r>
      <w:r>
        <w:t xml:space="preserve"> </w:t>
      </w:r>
      <w:r w:rsidRPr="00B05565">
        <w:t>docházky.</w:t>
      </w:r>
      <w:r>
        <w:t xml:space="preserve"> </w:t>
      </w:r>
      <w:r w:rsidRPr="00B05565">
        <w:t>V</w:t>
      </w:r>
      <w:r>
        <w:t xml:space="preserve"> </w:t>
      </w:r>
      <w:r w:rsidRPr="00B05565">
        <w:t>tomto</w:t>
      </w:r>
      <w:r>
        <w:t xml:space="preserve"> </w:t>
      </w:r>
      <w:r w:rsidRPr="00B05565">
        <w:t>případě</w:t>
      </w:r>
      <w:r>
        <w:t xml:space="preserve"> </w:t>
      </w:r>
      <w:r w:rsidRPr="00B05565">
        <w:t>Česká</w:t>
      </w:r>
      <w:r>
        <w:t xml:space="preserve"> </w:t>
      </w:r>
      <w:r w:rsidRPr="00B05565">
        <w:t>školní</w:t>
      </w:r>
      <w:r>
        <w:t xml:space="preserve"> </w:t>
      </w:r>
      <w:r w:rsidRPr="00B05565">
        <w:t>inspekce</w:t>
      </w:r>
      <w:r>
        <w:t xml:space="preserve"> </w:t>
      </w:r>
      <w:r w:rsidRPr="00B05565">
        <w:t>termín</w:t>
      </w:r>
      <w:r>
        <w:t xml:space="preserve"> </w:t>
      </w:r>
      <w:r w:rsidRPr="00B05565">
        <w:t>inspekční</w:t>
      </w:r>
      <w:r>
        <w:t xml:space="preserve"> </w:t>
      </w:r>
      <w:r w:rsidRPr="00B05565">
        <w:t>činnosti</w:t>
      </w:r>
      <w:r>
        <w:t xml:space="preserve"> </w:t>
      </w:r>
      <w:r w:rsidRPr="00B05565">
        <w:t>se</w:t>
      </w:r>
      <w:r>
        <w:t xml:space="preserve"> </w:t>
      </w:r>
      <w:r w:rsidRPr="00B05565">
        <w:t>zákonným</w:t>
      </w:r>
      <w:r>
        <w:t xml:space="preserve"> </w:t>
      </w:r>
      <w:r w:rsidRPr="00B05565">
        <w:t>zástupcem</w:t>
      </w:r>
      <w:r>
        <w:t xml:space="preserve"> </w:t>
      </w:r>
      <w:r w:rsidRPr="00B05565">
        <w:t>žáka</w:t>
      </w:r>
      <w:r>
        <w:t xml:space="preserve"> </w:t>
      </w:r>
      <w:r w:rsidRPr="00B05565">
        <w:t>dohodne,</w:t>
      </w:r>
      <w:r>
        <w:t xml:space="preserve"> </w:t>
      </w:r>
      <w:r w:rsidRPr="00B05565">
        <w:t>je-li</w:t>
      </w:r>
      <w:r>
        <w:t xml:space="preserve"> </w:t>
      </w:r>
      <w:r w:rsidRPr="00B05565">
        <w:t>to</w:t>
      </w:r>
      <w:r>
        <w:t xml:space="preserve"> </w:t>
      </w:r>
      <w:r w:rsidRPr="00B05565">
        <w:t>možné.</w:t>
      </w:r>
      <w:r>
        <w:t xml:space="preserve"> </w:t>
      </w:r>
      <w:r w:rsidRPr="00B05565">
        <w:t>Inspekční</w:t>
      </w:r>
      <w:r>
        <w:t xml:space="preserve"> </w:t>
      </w:r>
      <w:r w:rsidRPr="00B05565">
        <w:t>činnost</w:t>
      </w:r>
      <w:r>
        <w:t xml:space="preserve"> </w:t>
      </w:r>
      <w:r w:rsidRPr="00B05565">
        <w:t>probíhá</w:t>
      </w:r>
      <w:r>
        <w:t xml:space="preserve"> </w:t>
      </w:r>
      <w:r w:rsidRPr="00B05565">
        <w:t>i</w:t>
      </w:r>
      <w:r>
        <w:t xml:space="preserve"> </w:t>
      </w:r>
      <w:r w:rsidRPr="00B05565">
        <w:t>v</w:t>
      </w:r>
      <w:r>
        <w:t xml:space="preserve"> </w:t>
      </w:r>
      <w:r w:rsidRPr="00B05565">
        <w:t>tomto</w:t>
      </w:r>
      <w:r>
        <w:t xml:space="preserve"> </w:t>
      </w:r>
      <w:r w:rsidRPr="00B05565">
        <w:t>případě</w:t>
      </w:r>
      <w:r>
        <w:t xml:space="preserve"> </w:t>
      </w:r>
      <w:r w:rsidRPr="00B05565">
        <w:t>za</w:t>
      </w:r>
      <w:r>
        <w:t xml:space="preserve"> </w:t>
      </w:r>
      <w:r w:rsidRPr="00B05565">
        <w:t>přítomnosti</w:t>
      </w:r>
      <w:r>
        <w:t xml:space="preserve"> </w:t>
      </w:r>
      <w:r w:rsidRPr="00B05565">
        <w:t>a</w:t>
      </w:r>
      <w:r>
        <w:t xml:space="preserve"> </w:t>
      </w:r>
      <w:r w:rsidRPr="00B05565">
        <w:t>součinnosti</w:t>
      </w:r>
      <w:r>
        <w:t xml:space="preserve"> </w:t>
      </w:r>
      <w:r w:rsidRPr="00B05565">
        <w:t>osoby,</w:t>
      </w:r>
      <w:r>
        <w:t xml:space="preserve"> </w:t>
      </w:r>
      <w:r w:rsidRPr="00B05565">
        <w:t>která</w:t>
      </w:r>
      <w:r>
        <w:t xml:space="preserve"> </w:t>
      </w:r>
      <w:r w:rsidRPr="00B05565">
        <w:t>žáka</w:t>
      </w:r>
      <w:r>
        <w:t xml:space="preserve"> </w:t>
      </w:r>
      <w:r w:rsidRPr="00B05565">
        <w:t>vzdělává</w:t>
      </w:r>
      <w:r>
        <w:t xml:space="preserve"> </w:t>
      </w:r>
      <w:r w:rsidRPr="00B05565">
        <w:t>podle</w:t>
      </w:r>
      <w:r>
        <w:t xml:space="preserve"> </w:t>
      </w:r>
      <w:r w:rsidRPr="00B05565">
        <w:t>§</w:t>
      </w:r>
      <w:r>
        <w:t xml:space="preserve"> </w:t>
      </w:r>
      <w:r w:rsidRPr="00B05565">
        <w:t>41</w:t>
      </w:r>
      <w:r>
        <w:t xml:space="preserve"> </w:t>
      </w:r>
      <w:r w:rsidRPr="00B05565">
        <w:t>odst.</w:t>
      </w:r>
      <w:r>
        <w:t xml:space="preserve"> </w:t>
      </w:r>
      <w:r w:rsidRPr="00B05565">
        <w:t>3</w:t>
      </w:r>
      <w:r>
        <w:t xml:space="preserve"> </w:t>
      </w:r>
      <w:r w:rsidRPr="00B05565">
        <w:t>písm.</w:t>
      </w:r>
      <w:r>
        <w:t xml:space="preserve"> </w:t>
      </w:r>
      <w:r w:rsidRPr="00B05565">
        <w:t>c).</w:t>
      </w:r>
    </w:p>
    <w:p w14:paraId="7465E913" w14:textId="77777777" w:rsidR="00B9271C" w:rsidRDefault="00B9271C" w:rsidP="00A84DD3">
      <w:pPr>
        <w:pStyle w:val="Textparagrafu"/>
        <w:tabs>
          <w:tab w:val="left" w:pos="392"/>
          <w:tab w:val="left" w:pos="840"/>
        </w:tabs>
        <w:spacing w:before="120" w:after="120"/>
      </w:pPr>
      <w:r w:rsidRPr="00B05565">
        <w:t>(4)</w:t>
      </w:r>
      <w:r>
        <w:t xml:space="preserve"> </w:t>
      </w:r>
      <w:r w:rsidRPr="00B05565">
        <w:t>Česká</w:t>
      </w:r>
      <w:r>
        <w:t xml:space="preserve"> </w:t>
      </w:r>
      <w:r w:rsidRPr="00B05565">
        <w:t>školní</w:t>
      </w:r>
      <w:r>
        <w:t xml:space="preserve"> </w:t>
      </w:r>
      <w:r w:rsidRPr="00B05565">
        <w:t>inspekce</w:t>
      </w:r>
      <w:r>
        <w:t xml:space="preserve"> </w:t>
      </w:r>
      <w:r w:rsidRPr="00B05565">
        <w:t>v</w:t>
      </w:r>
      <w:r>
        <w:t xml:space="preserve"> </w:t>
      </w:r>
      <w:r w:rsidRPr="00B05565">
        <w:t>rámci</w:t>
      </w:r>
      <w:r>
        <w:t xml:space="preserve"> </w:t>
      </w:r>
      <w:r w:rsidRPr="00B05565">
        <w:t>inspekční</w:t>
      </w:r>
      <w:r>
        <w:t xml:space="preserve"> </w:t>
      </w:r>
      <w:r w:rsidRPr="00B05565">
        <w:t>činnosti</w:t>
      </w:r>
      <w:r>
        <w:t xml:space="preserve"> </w:t>
      </w:r>
      <w:r w:rsidRPr="00B05565">
        <w:t>kontroluje</w:t>
      </w:r>
      <w:r>
        <w:t xml:space="preserve"> </w:t>
      </w:r>
      <w:r w:rsidRPr="00B05565">
        <w:t>ve</w:t>
      </w:r>
      <w:r>
        <w:t xml:space="preserve"> </w:t>
      </w:r>
      <w:r w:rsidRPr="00B05565">
        <w:t>školách</w:t>
      </w:r>
      <w:r>
        <w:t xml:space="preserve"> </w:t>
      </w:r>
      <w:r w:rsidRPr="00B05565">
        <w:t>podle</w:t>
      </w:r>
      <w:r>
        <w:t xml:space="preserve"> </w:t>
      </w:r>
      <w:r w:rsidRPr="00B05565">
        <w:t>§</w:t>
      </w:r>
      <w:r>
        <w:t xml:space="preserve"> </w:t>
      </w:r>
      <w:r w:rsidRPr="00B05565">
        <w:t>38</w:t>
      </w:r>
      <w:r>
        <w:t xml:space="preserve"> </w:t>
      </w:r>
      <w:r w:rsidRPr="00B05565">
        <w:t>odst.</w:t>
      </w:r>
      <w:r>
        <w:t xml:space="preserve"> </w:t>
      </w:r>
      <w:r w:rsidRPr="00B05565">
        <w:t>1</w:t>
      </w:r>
      <w:r>
        <w:t xml:space="preserve"> </w:t>
      </w:r>
      <w:r w:rsidRPr="00B05565">
        <w:t>písm.</w:t>
      </w:r>
      <w:r>
        <w:t xml:space="preserve"> </w:t>
      </w:r>
      <w:r w:rsidRPr="00B05565">
        <w:t>c)</w:t>
      </w:r>
      <w:r>
        <w:t xml:space="preserve"> </w:t>
      </w:r>
      <w:r w:rsidRPr="00B05565">
        <w:t>plnění</w:t>
      </w:r>
      <w:r>
        <w:t xml:space="preserve"> </w:t>
      </w:r>
      <w:r w:rsidRPr="00B05565">
        <w:t>povinností</w:t>
      </w:r>
      <w:r>
        <w:t xml:space="preserve"> </w:t>
      </w:r>
      <w:r w:rsidRPr="00B05565">
        <w:t>a</w:t>
      </w:r>
      <w:r>
        <w:t xml:space="preserve"> </w:t>
      </w:r>
      <w:r w:rsidRPr="00B05565">
        <w:t>podmínek</w:t>
      </w:r>
      <w:r>
        <w:t xml:space="preserve"> </w:t>
      </w:r>
      <w:r w:rsidRPr="00B05565">
        <w:t>stanovených</w:t>
      </w:r>
      <w:r>
        <w:t xml:space="preserve"> </w:t>
      </w:r>
      <w:r w:rsidRPr="00B05565">
        <w:t>v</w:t>
      </w:r>
      <w:r>
        <w:t xml:space="preserve"> </w:t>
      </w:r>
      <w:r w:rsidRPr="00B05565">
        <w:t>§</w:t>
      </w:r>
      <w:r>
        <w:t xml:space="preserve"> </w:t>
      </w:r>
      <w:r w:rsidRPr="00B05565">
        <w:t>38a</w:t>
      </w:r>
      <w:r>
        <w:t xml:space="preserve"> </w:t>
      </w:r>
      <w:r w:rsidRPr="00B05565">
        <w:t>odst.</w:t>
      </w:r>
      <w:r>
        <w:t xml:space="preserve"> </w:t>
      </w:r>
      <w:r w:rsidRPr="00B05565">
        <w:t>5</w:t>
      </w:r>
      <w:r>
        <w:t xml:space="preserve"> </w:t>
      </w:r>
      <w:r w:rsidRPr="00B05565">
        <w:t>písm.</w:t>
      </w:r>
      <w:r>
        <w:t xml:space="preserve"> </w:t>
      </w:r>
      <w:r w:rsidRPr="00B05565">
        <w:t>c)</w:t>
      </w:r>
      <w:r>
        <w:t xml:space="preserve"> </w:t>
      </w:r>
      <w:r w:rsidRPr="00B05565">
        <w:t>až</w:t>
      </w:r>
      <w:r>
        <w:t xml:space="preserve"> </w:t>
      </w:r>
      <w:r w:rsidRPr="00B05565">
        <w:t>e),</w:t>
      </w:r>
      <w:r>
        <w:t xml:space="preserve"> </w:t>
      </w:r>
      <w:r w:rsidRPr="00B05565">
        <w:t>§</w:t>
      </w:r>
      <w:r>
        <w:t xml:space="preserve"> </w:t>
      </w:r>
      <w:r w:rsidRPr="00B05565">
        <w:t>38a</w:t>
      </w:r>
      <w:r>
        <w:t xml:space="preserve"> </w:t>
      </w:r>
      <w:r w:rsidRPr="00B05565">
        <w:t>odst.</w:t>
      </w:r>
      <w:r>
        <w:t xml:space="preserve"> </w:t>
      </w:r>
      <w:r w:rsidRPr="00B05565">
        <w:t>6,</w:t>
      </w:r>
      <w:r>
        <w:t xml:space="preserve"> </w:t>
      </w:r>
      <w:r w:rsidRPr="00B05565">
        <w:t>§</w:t>
      </w:r>
      <w:r>
        <w:t xml:space="preserve"> </w:t>
      </w:r>
      <w:r w:rsidRPr="00B05565">
        <w:t>38b</w:t>
      </w:r>
      <w:r>
        <w:t xml:space="preserve"> </w:t>
      </w:r>
      <w:r w:rsidRPr="00B05565">
        <w:t>odst.</w:t>
      </w:r>
      <w:r>
        <w:t xml:space="preserve"> </w:t>
      </w:r>
      <w:r w:rsidRPr="00B05565">
        <w:t>1</w:t>
      </w:r>
      <w:r>
        <w:t xml:space="preserve"> </w:t>
      </w:r>
      <w:r w:rsidRPr="00B05565">
        <w:t>písm.</w:t>
      </w:r>
      <w:r>
        <w:t xml:space="preserve"> </w:t>
      </w:r>
      <w:r w:rsidRPr="00B05565">
        <w:t>c)</w:t>
      </w:r>
      <w:r>
        <w:t xml:space="preserve"> </w:t>
      </w:r>
      <w:r w:rsidRPr="00B05565">
        <w:t>a</w:t>
      </w:r>
      <w:r>
        <w:t xml:space="preserve"> </w:t>
      </w:r>
      <w:r w:rsidRPr="00B05565">
        <w:t>v</w:t>
      </w:r>
      <w:r>
        <w:t xml:space="preserve"> </w:t>
      </w:r>
      <w:r w:rsidRPr="00B05565">
        <w:t>§</w:t>
      </w:r>
      <w:r>
        <w:t xml:space="preserve"> </w:t>
      </w:r>
      <w:r w:rsidRPr="00B05565">
        <w:t>38b</w:t>
      </w:r>
      <w:r>
        <w:t xml:space="preserve"> </w:t>
      </w:r>
      <w:r w:rsidRPr="00B05565">
        <w:t>odst.</w:t>
      </w:r>
      <w:r>
        <w:t xml:space="preserve"> </w:t>
      </w:r>
      <w:r w:rsidRPr="00B05565">
        <w:t>2</w:t>
      </w:r>
      <w:r>
        <w:t xml:space="preserve"> </w:t>
      </w:r>
      <w:r w:rsidRPr="00B05565">
        <w:t>písm.</w:t>
      </w:r>
      <w:r>
        <w:t xml:space="preserve"> </w:t>
      </w:r>
      <w:r w:rsidRPr="00B05565">
        <w:t>a)</w:t>
      </w:r>
      <w:r>
        <w:t xml:space="preserve"> </w:t>
      </w:r>
      <w:r w:rsidRPr="00B05565">
        <w:t>až</w:t>
      </w:r>
      <w:r>
        <w:t xml:space="preserve"> </w:t>
      </w:r>
      <w:r w:rsidRPr="00B05565">
        <w:t>d).</w:t>
      </w:r>
    </w:p>
    <w:p w14:paraId="04AB671B" w14:textId="77777777" w:rsidR="00B9271C" w:rsidRDefault="00B9271C" w:rsidP="00A84DD3">
      <w:pPr>
        <w:pStyle w:val="Textparagrafu"/>
        <w:tabs>
          <w:tab w:val="left" w:pos="392"/>
          <w:tab w:val="left" w:pos="840"/>
        </w:tabs>
        <w:spacing w:before="120" w:after="120"/>
      </w:pPr>
      <w:r w:rsidRPr="00B05565">
        <w:t>(5)</w:t>
      </w:r>
      <w:r>
        <w:t xml:space="preserve"> </w:t>
      </w:r>
      <w:r w:rsidRPr="00B05565">
        <w:t>Inspekční</w:t>
      </w:r>
      <w:r>
        <w:t xml:space="preserve"> </w:t>
      </w:r>
      <w:r w:rsidRPr="00B05565">
        <w:t>činnost</w:t>
      </w:r>
      <w:r>
        <w:t xml:space="preserve"> </w:t>
      </w:r>
      <w:r w:rsidRPr="00B05565">
        <w:t>se</w:t>
      </w:r>
      <w:r>
        <w:t xml:space="preserve"> </w:t>
      </w:r>
      <w:r w:rsidRPr="00B05565">
        <w:t>vykonává</w:t>
      </w:r>
      <w:r>
        <w:t xml:space="preserve"> </w:t>
      </w:r>
      <w:r w:rsidRPr="00B05565">
        <w:t>na</w:t>
      </w:r>
      <w:r>
        <w:t xml:space="preserve"> </w:t>
      </w:r>
      <w:r w:rsidRPr="00B05565">
        <w:t>základě</w:t>
      </w:r>
      <w:r>
        <w:t xml:space="preserve"> </w:t>
      </w:r>
      <w:r w:rsidRPr="00B05565">
        <w:t>plánu</w:t>
      </w:r>
      <w:r>
        <w:t xml:space="preserve"> </w:t>
      </w:r>
      <w:r w:rsidRPr="00B05565">
        <w:t>hlavních</w:t>
      </w:r>
      <w:r>
        <w:t xml:space="preserve"> </w:t>
      </w:r>
      <w:r w:rsidRPr="00B05565">
        <w:t>úkolů</w:t>
      </w:r>
      <w:r>
        <w:t xml:space="preserve"> </w:t>
      </w:r>
      <w:r w:rsidRPr="00B05565">
        <w:t>na</w:t>
      </w:r>
      <w:r>
        <w:t xml:space="preserve"> </w:t>
      </w:r>
      <w:r w:rsidRPr="00B05565">
        <w:t>příslušný</w:t>
      </w:r>
      <w:r>
        <w:t xml:space="preserve"> </w:t>
      </w:r>
      <w:r w:rsidRPr="00B05565">
        <w:t>školní</w:t>
      </w:r>
      <w:r>
        <w:t xml:space="preserve"> </w:t>
      </w:r>
      <w:r w:rsidRPr="00B05565">
        <w:t>rok,</w:t>
      </w:r>
      <w:r>
        <w:t xml:space="preserve"> </w:t>
      </w:r>
      <w:r w:rsidRPr="00B05565">
        <w:t>který</w:t>
      </w:r>
      <w:r>
        <w:t xml:space="preserve"> </w:t>
      </w:r>
      <w:r w:rsidRPr="00B05565">
        <w:t>schvaluje</w:t>
      </w:r>
      <w:r>
        <w:t xml:space="preserve"> </w:t>
      </w:r>
      <w:r w:rsidRPr="00B05565">
        <w:t>ministr</w:t>
      </w:r>
      <w:r>
        <w:t xml:space="preserve"> </w:t>
      </w:r>
      <w:r w:rsidRPr="00B05565">
        <w:t>školství,</w:t>
      </w:r>
      <w:r>
        <w:t xml:space="preserve"> </w:t>
      </w:r>
      <w:r w:rsidRPr="00B05565">
        <w:t>mládeže</w:t>
      </w:r>
      <w:r>
        <w:t xml:space="preserve"> </w:t>
      </w:r>
      <w:r w:rsidRPr="00B05565">
        <w:t>a</w:t>
      </w:r>
      <w:r>
        <w:t xml:space="preserve"> </w:t>
      </w:r>
      <w:r w:rsidRPr="00B05565">
        <w:t>tělovýchovy</w:t>
      </w:r>
      <w:r>
        <w:t xml:space="preserve"> </w:t>
      </w:r>
      <w:r w:rsidRPr="00B05565">
        <w:t>na</w:t>
      </w:r>
      <w:r>
        <w:t xml:space="preserve"> </w:t>
      </w:r>
      <w:r w:rsidRPr="00B05565">
        <w:t>návrh</w:t>
      </w:r>
      <w:r>
        <w:t xml:space="preserve"> </w:t>
      </w:r>
      <w:r w:rsidRPr="00B05565">
        <w:t>ústředního</w:t>
      </w:r>
      <w:r>
        <w:t xml:space="preserve"> </w:t>
      </w:r>
      <w:r w:rsidRPr="00B05565">
        <w:t>školního</w:t>
      </w:r>
      <w:r>
        <w:t xml:space="preserve"> </w:t>
      </w:r>
      <w:r w:rsidRPr="00B05565">
        <w:t>inspektora.</w:t>
      </w:r>
    </w:p>
    <w:p w14:paraId="3E9F2B2F" w14:textId="77777777" w:rsidR="00B9271C" w:rsidRDefault="00B9271C" w:rsidP="00A84DD3">
      <w:pPr>
        <w:pStyle w:val="Textparagrafu"/>
        <w:tabs>
          <w:tab w:val="left" w:pos="392"/>
          <w:tab w:val="left" w:pos="840"/>
        </w:tabs>
        <w:spacing w:before="120" w:after="120"/>
      </w:pPr>
      <w:r w:rsidRPr="00B05565">
        <w:t>(6)</w:t>
      </w:r>
      <w:r>
        <w:t xml:space="preserve"> </w:t>
      </w:r>
      <w:r w:rsidRPr="00B05565">
        <w:t>Inspekční</w:t>
      </w:r>
      <w:r>
        <w:t xml:space="preserve"> </w:t>
      </w:r>
      <w:r w:rsidRPr="00B05565">
        <w:t>činnost</w:t>
      </w:r>
      <w:r>
        <w:t xml:space="preserve"> </w:t>
      </w:r>
      <w:r w:rsidRPr="00B05565">
        <w:t>se</w:t>
      </w:r>
      <w:r>
        <w:t xml:space="preserve"> </w:t>
      </w:r>
      <w:r w:rsidRPr="00B05565">
        <w:t>dále</w:t>
      </w:r>
      <w:r>
        <w:t xml:space="preserve"> </w:t>
      </w:r>
      <w:r w:rsidRPr="00B05565">
        <w:t>provádí</w:t>
      </w:r>
      <w:r>
        <w:t xml:space="preserve"> </w:t>
      </w:r>
      <w:r w:rsidRPr="00B05565">
        <w:t>na</w:t>
      </w:r>
      <w:r>
        <w:t xml:space="preserve"> </w:t>
      </w:r>
      <w:r w:rsidRPr="00B05565">
        <w:t>základě</w:t>
      </w:r>
      <w:r>
        <w:t xml:space="preserve"> </w:t>
      </w:r>
      <w:r w:rsidRPr="00B05565">
        <w:t>podnětů,</w:t>
      </w:r>
      <w:r>
        <w:t xml:space="preserve"> </w:t>
      </w:r>
      <w:r w:rsidRPr="00B05565">
        <w:t>stížností</w:t>
      </w:r>
      <w:r>
        <w:t xml:space="preserve"> </w:t>
      </w:r>
      <w:r w:rsidRPr="00B05565">
        <w:t>a</w:t>
      </w:r>
      <w:r>
        <w:t xml:space="preserve"> </w:t>
      </w:r>
      <w:r w:rsidRPr="00B05565">
        <w:t>petic,</w:t>
      </w:r>
      <w:r>
        <w:t xml:space="preserve"> </w:t>
      </w:r>
      <w:r w:rsidRPr="00B05565">
        <w:t>které</w:t>
      </w:r>
      <w:r>
        <w:t xml:space="preserve"> </w:t>
      </w:r>
      <w:r w:rsidRPr="00B05565">
        <w:t>svým</w:t>
      </w:r>
      <w:r>
        <w:t xml:space="preserve"> </w:t>
      </w:r>
      <w:r w:rsidRPr="00B05565">
        <w:t>obsahem</w:t>
      </w:r>
      <w:r>
        <w:t xml:space="preserve"> </w:t>
      </w:r>
      <w:r w:rsidRPr="00B05565">
        <w:t>spadají</w:t>
      </w:r>
      <w:r>
        <w:t xml:space="preserve"> </w:t>
      </w:r>
      <w:r w:rsidRPr="00B05565">
        <w:t>do</w:t>
      </w:r>
      <w:r>
        <w:t xml:space="preserve"> </w:t>
      </w:r>
      <w:r w:rsidRPr="00B05565">
        <w:t>působnosti</w:t>
      </w:r>
      <w:r>
        <w:t xml:space="preserve"> </w:t>
      </w:r>
      <w:r w:rsidRPr="00B05565">
        <w:t>České</w:t>
      </w:r>
      <w:r>
        <w:t xml:space="preserve"> </w:t>
      </w:r>
      <w:r w:rsidRPr="00B05565">
        <w:t>školní</w:t>
      </w:r>
      <w:r>
        <w:t xml:space="preserve"> </w:t>
      </w:r>
      <w:r w:rsidRPr="00B05565">
        <w:t>inspekce</w:t>
      </w:r>
      <w:r>
        <w:t xml:space="preserve"> </w:t>
      </w:r>
      <w:r w:rsidRPr="00B05565">
        <w:t>podle</w:t>
      </w:r>
      <w:r>
        <w:t xml:space="preserve"> </w:t>
      </w:r>
      <w:r w:rsidRPr="00B05565">
        <w:t>odstavce</w:t>
      </w:r>
      <w:r>
        <w:t xml:space="preserve"> </w:t>
      </w:r>
      <w:r w:rsidRPr="00B05565">
        <w:t>2</w:t>
      </w:r>
      <w:r>
        <w:t xml:space="preserve"> </w:t>
      </w:r>
      <w:r w:rsidRPr="00B05565">
        <w:t>písm.</w:t>
      </w:r>
      <w:r>
        <w:t xml:space="preserve"> </w:t>
      </w:r>
      <w:r w:rsidRPr="00B05565">
        <w:t>b)</w:t>
      </w:r>
      <w:r>
        <w:t xml:space="preserve"> </w:t>
      </w:r>
      <w:r w:rsidRPr="00B05565">
        <w:t>až</w:t>
      </w:r>
      <w:r>
        <w:t xml:space="preserve"> </w:t>
      </w:r>
      <w:r w:rsidRPr="00B05565">
        <w:t>e).</w:t>
      </w:r>
      <w:r>
        <w:t xml:space="preserve"> </w:t>
      </w:r>
      <w:r w:rsidRPr="00B05565">
        <w:t>V</w:t>
      </w:r>
      <w:r>
        <w:t xml:space="preserve"> </w:t>
      </w:r>
      <w:r w:rsidRPr="00B05565">
        <w:t>případě</w:t>
      </w:r>
      <w:r>
        <w:t xml:space="preserve"> </w:t>
      </w:r>
      <w:r w:rsidRPr="00B05565">
        <w:t>inspekční</w:t>
      </w:r>
      <w:r>
        <w:t xml:space="preserve"> </w:t>
      </w:r>
      <w:r w:rsidRPr="00B05565">
        <w:t>činnosti</w:t>
      </w:r>
      <w:r>
        <w:t xml:space="preserve"> </w:t>
      </w:r>
      <w:r w:rsidRPr="00B05565">
        <w:t>konané</w:t>
      </w:r>
      <w:r>
        <w:t xml:space="preserve"> </w:t>
      </w:r>
      <w:r w:rsidRPr="00B05565">
        <w:t>na</w:t>
      </w:r>
      <w:r>
        <w:t xml:space="preserve"> </w:t>
      </w:r>
      <w:r w:rsidRPr="00B05565">
        <w:t>základě</w:t>
      </w:r>
      <w:r>
        <w:t xml:space="preserve"> </w:t>
      </w:r>
      <w:r w:rsidRPr="00B05565">
        <w:t>stížnosti</w:t>
      </w:r>
      <w:r>
        <w:t xml:space="preserve"> </w:t>
      </w:r>
      <w:r w:rsidRPr="00B05565">
        <w:t>prošetřuje</w:t>
      </w:r>
      <w:r>
        <w:t xml:space="preserve"> </w:t>
      </w:r>
      <w:r w:rsidRPr="00B05565">
        <w:t>Česká</w:t>
      </w:r>
      <w:r>
        <w:t xml:space="preserve"> </w:t>
      </w:r>
      <w:r w:rsidRPr="00B05565">
        <w:t>školní</w:t>
      </w:r>
      <w:r>
        <w:t xml:space="preserve"> </w:t>
      </w:r>
      <w:r w:rsidRPr="00B05565">
        <w:t>inspekce</w:t>
      </w:r>
      <w:r>
        <w:t xml:space="preserve"> </w:t>
      </w:r>
      <w:r w:rsidRPr="00B05565">
        <w:t>jednotlivá</w:t>
      </w:r>
      <w:r>
        <w:t xml:space="preserve"> </w:t>
      </w:r>
      <w:r w:rsidRPr="00B05565">
        <w:t>tvrzení</w:t>
      </w:r>
      <w:r>
        <w:t xml:space="preserve"> </w:t>
      </w:r>
      <w:r w:rsidRPr="00B05565">
        <w:t>uvedená</w:t>
      </w:r>
      <w:r>
        <w:t xml:space="preserve"> </w:t>
      </w:r>
      <w:r w:rsidRPr="00B05565">
        <w:t>ve</w:t>
      </w:r>
      <w:r>
        <w:t xml:space="preserve"> </w:t>
      </w:r>
      <w:r w:rsidRPr="00B05565">
        <w:t>stížnosti</w:t>
      </w:r>
      <w:r>
        <w:t xml:space="preserve"> </w:t>
      </w:r>
      <w:r w:rsidRPr="00B05565">
        <w:t>a</w:t>
      </w:r>
      <w:r>
        <w:t xml:space="preserve"> </w:t>
      </w:r>
      <w:r w:rsidRPr="00B05565">
        <w:t>výsledek</w:t>
      </w:r>
      <w:r>
        <w:t xml:space="preserve"> </w:t>
      </w:r>
      <w:r w:rsidRPr="00B05565">
        <w:t>šetření</w:t>
      </w:r>
      <w:r>
        <w:t xml:space="preserve"> </w:t>
      </w:r>
      <w:r w:rsidRPr="00B05565">
        <w:t>předává</w:t>
      </w:r>
      <w:r>
        <w:t xml:space="preserve"> </w:t>
      </w:r>
      <w:r w:rsidRPr="00B05565">
        <w:t>zřizovateli</w:t>
      </w:r>
      <w:r>
        <w:t xml:space="preserve"> </w:t>
      </w:r>
      <w:r w:rsidRPr="00B05565">
        <w:t>k</w:t>
      </w:r>
      <w:r>
        <w:t xml:space="preserve"> </w:t>
      </w:r>
      <w:r w:rsidRPr="00B05565">
        <w:t>dalšímu</w:t>
      </w:r>
      <w:r>
        <w:t xml:space="preserve"> </w:t>
      </w:r>
      <w:r w:rsidRPr="00B05565">
        <w:t>řízení.</w:t>
      </w:r>
      <w:r>
        <w:t xml:space="preserve"> </w:t>
      </w:r>
      <w:r w:rsidRPr="00B05565">
        <w:t>Zřizovatel</w:t>
      </w:r>
      <w:r>
        <w:t xml:space="preserve"> </w:t>
      </w:r>
      <w:r w:rsidRPr="00B05565">
        <w:t>informuje</w:t>
      </w:r>
      <w:r>
        <w:t xml:space="preserve"> </w:t>
      </w:r>
      <w:r w:rsidRPr="00B05565">
        <w:t>Českou</w:t>
      </w:r>
      <w:r>
        <w:t xml:space="preserve"> </w:t>
      </w:r>
      <w:r w:rsidRPr="00B05565">
        <w:t>školní</w:t>
      </w:r>
      <w:r>
        <w:t xml:space="preserve"> </w:t>
      </w:r>
      <w:r w:rsidRPr="00B05565">
        <w:t>inspekci</w:t>
      </w:r>
      <w:r>
        <w:t xml:space="preserve"> </w:t>
      </w:r>
      <w:r w:rsidRPr="00B05565">
        <w:t>o</w:t>
      </w:r>
      <w:r>
        <w:t xml:space="preserve"> </w:t>
      </w:r>
      <w:r w:rsidRPr="00B05565">
        <w:t>vyřízení</w:t>
      </w:r>
      <w:r>
        <w:t xml:space="preserve"> </w:t>
      </w:r>
      <w:r w:rsidRPr="00B05565">
        <w:t>stížnosti</w:t>
      </w:r>
      <w:r>
        <w:t xml:space="preserve"> </w:t>
      </w:r>
      <w:r w:rsidRPr="00B05565">
        <w:t>a</w:t>
      </w:r>
      <w:r>
        <w:t xml:space="preserve"> </w:t>
      </w:r>
      <w:r w:rsidRPr="00B05565">
        <w:t>o</w:t>
      </w:r>
      <w:r>
        <w:t xml:space="preserve"> </w:t>
      </w:r>
      <w:r w:rsidRPr="00B05565">
        <w:t>případných</w:t>
      </w:r>
      <w:r>
        <w:t xml:space="preserve"> </w:t>
      </w:r>
      <w:r w:rsidRPr="00B05565">
        <w:t>opatřeních</w:t>
      </w:r>
      <w:r>
        <w:t xml:space="preserve"> </w:t>
      </w:r>
      <w:r w:rsidRPr="00B05565">
        <w:t>přijatých</w:t>
      </w:r>
      <w:r>
        <w:t xml:space="preserve"> </w:t>
      </w:r>
      <w:r w:rsidRPr="00B05565">
        <w:t>k</w:t>
      </w:r>
      <w:r>
        <w:t xml:space="preserve"> </w:t>
      </w:r>
      <w:r w:rsidRPr="00B05565">
        <w:t>nápravě.</w:t>
      </w:r>
    </w:p>
    <w:p w14:paraId="7B4882A3" w14:textId="77777777" w:rsidR="00B9271C" w:rsidRDefault="00B9271C" w:rsidP="00A84DD3">
      <w:pPr>
        <w:pStyle w:val="Textparagrafu"/>
        <w:tabs>
          <w:tab w:val="left" w:pos="392"/>
          <w:tab w:val="left" w:pos="840"/>
        </w:tabs>
        <w:spacing w:before="120" w:after="120"/>
      </w:pPr>
      <w:r w:rsidRPr="00B05565">
        <w:t>(7)</w:t>
      </w:r>
      <w:r>
        <w:t xml:space="preserve"> </w:t>
      </w:r>
      <w:r w:rsidRPr="00B05565">
        <w:t>Česká</w:t>
      </w:r>
      <w:r>
        <w:t xml:space="preserve"> </w:t>
      </w:r>
      <w:r w:rsidRPr="00B05565">
        <w:t>školní</w:t>
      </w:r>
      <w:r>
        <w:t xml:space="preserve"> </w:t>
      </w:r>
      <w:r w:rsidRPr="00B05565">
        <w:t>inspekce</w:t>
      </w:r>
      <w:r>
        <w:t xml:space="preserve"> </w:t>
      </w:r>
      <w:r w:rsidRPr="00B05565">
        <w:t>je</w:t>
      </w:r>
      <w:r>
        <w:t xml:space="preserve"> </w:t>
      </w:r>
      <w:r w:rsidRPr="00B05565">
        <w:t>dále</w:t>
      </w:r>
      <w:r>
        <w:t xml:space="preserve"> </w:t>
      </w:r>
      <w:r w:rsidRPr="00B05565">
        <w:t>povinna</w:t>
      </w:r>
      <w:r>
        <w:t xml:space="preserve"> </w:t>
      </w:r>
      <w:r w:rsidRPr="00B05565">
        <w:t>provést</w:t>
      </w:r>
      <w:r>
        <w:t xml:space="preserve"> </w:t>
      </w:r>
      <w:r w:rsidRPr="00B05565">
        <w:t>inspekční</w:t>
      </w:r>
      <w:r>
        <w:t xml:space="preserve"> </w:t>
      </w:r>
      <w:r w:rsidRPr="00B05565">
        <w:t>činnost</w:t>
      </w:r>
      <w:r>
        <w:t xml:space="preserve"> </w:t>
      </w:r>
      <w:r w:rsidRPr="00B05565">
        <w:t>podle</w:t>
      </w:r>
      <w:r>
        <w:t xml:space="preserve"> </w:t>
      </w:r>
      <w:r w:rsidRPr="00B05565">
        <w:t>odstavce</w:t>
      </w:r>
      <w:r>
        <w:t xml:space="preserve"> </w:t>
      </w:r>
      <w:r w:rsidRPr="00B05565">
        <w:t>2</w:t>
      </w:r>
      <w:r>
        <w:t xml:space="preserve"> </w:t>
      </w:r>
      <w:r w:rsidRPr="00B05565">
        <w:t>písm.</w:t>
      </w:r>
      <w:r>
        <w:t xml:space="preserve"> </w:t>
      </w:r>
      <w:r w:rsidRPr="00B05565">
        <w:t>b),</w:t>
      </w:r>
      <w:r>
        <w:t xml:space="preserve"> </w:t>
      </w:r>
      <w:r w:rsidRPr="00B05565">
        <w:t>c)</w:t>
      </w:r>
      <w:r>
        <w:t xml:space="preserve"> </w:t>
      </w:r>
      <w:r w:rsidRPr="00B05565">
        <w:t>a</w:t>
      </w:r>
      <w:r>
        <w:t xml:space="preserve"> </w:t>
      </w:r>
      <w:r w:rsidRPr="00B05565">
        <w:t>d)</w:t>
      </w:r>
      <w:r>
        <w:t xml:space="preserve"> </w:t>
      </w:r>
      <w:r w:rsidRPr="00B05565">
        <w:t>pro</w:t>
      </w:r>
      <w:r>
        <w:t xml:space="preserve"> </w:t>
      </w:r>
      <w:r w:rsidRPr="00B05565">
        <w:t>účely</w:t>
      </w:r>
      <w:r>
        <w:t xml:space="preserve"> </w:t>
      </w:r>
      <w:r w:rsidRPr="00B05565">
        <w:t>přiznání</w:t>
      </w:r>
      <w:r>
        <w:t xml:space="preserve"> </w:t>
      </w:r>
      <w:r w:rsidRPr="00B05565">
        <w:t>dotací</w:t>
      </w:r>
      <w:r>
        <w:t xml:space="preserve"> </w:t>
      </w:r>
      <w:r w:rsidRPr="00B05565">
        <w:t>podle</w:t>
      </w:r>
      <w:r>
        <w:t xml:space="preserve"> </w:t>
      </w:r>
      <w:r w:rsidRPr="00B05565">
        <w:t>zvláštního</w:t>
      </w:r>
      <w:r>
        <w:t xml:space="preserve"> </w:t>
      </w:r>
      <w:r w:rsidRPr="00B05565">
        <w:t>právního</w:t>
      </w:r>
      <w:r>
        <w:t xml:space="preserve"> </w:t>
      </w:r>
      <w:r w:rsidRPr="00B05565">
        <w:t>předpisu,</w:t>
      </w:r>
      <w:r>
        <w:t xml:space="preserve"> </w:t>
      </w:r>
      <w:r w:rsidRPr="00B05565">
        <w:t>pokud</w:t>
      </w:r>
      <w:r>
        <w:t xml:space="preserve"> </w:t>
      </w:r>
      <w:r w:rsidRPr="00B05565">
        <w:t>o</w:t>
      </w:r>
      <w:r>
        <w:t xml:space="preserve"> </w:t>
      </w:r>
      <w:r w:rsidRPr="00B05565">
        <w:t>to</w:t>
      </w:r>
      <w:r>
        <w:t xml:space="preserve"> </w:t>
      </w:r>
      <w:r w:rsidRPr="00B05565">
        <w:t>právnická</w:t>
      </w:r>
      <w:r>
        <w:t xml:space="preserve"> </w:t>
      </w:r>
      <w:r w:rsidRPr="00B05565">
        <w:lastRenderedPageBreak/>
        <w:t>osoba,</w:t>
      </w:r>
      <w:r>
        <w:t xml:space="preserve"> </w:t>
      </w:r>
      <w:r w:rsidRPr="00B05565">
        <w:t>která</w:t>
      </w:r>
      <w:r>
        <w:t xml:space="preserve"> </w:t>
      </w:r>
      <w:r w:rsidRPr="00B05565">
        <w:t>vykonává</w:t>
      </w:r>
      <w:r>
        <w:t xml:space="preserve"> </w:t>
      </w:r>
      <w:r w:rsidRPr="00B05565">
        <w:t>činnost</w:t>
      </w:r>
      <w:r>
        <w:t xml:space="preserve"> </w:t>
      </w:r>
      <w:r w:rsidRPr="00B05565">
        <w:t>školy</w:t>
      </w:r>
      <w:r>
        <w:t xml:space="preserve"> </w:t>
      </w:r>
      <w:r w:rsidRPr="00B05565">
        <w:t>nebo</w:t>
      </w:r>
      <w:r>
        <w:t xml:space="preserve"> </w:t>
      </w:r>
      <w:r w:rsidRPr="00B05565">
        <w:t>školského</w:t>
      </w:r>
      <w:r>
        <w:t xml:space="preserve"> </w:t>
      </w:r>
      <w:r w:rsidRPr="00B05565">
        <w:t>zařízení,</w:t>
      </w:r>
      <w:r>
        <w:t xml:space="preserve"> </w:t>
      </w:r>
      <w:r w:rsidRPr="00B05565">
        <w:t>požádá.</w:t>
      </w:r>
      <w:r>
        <w:t xml:space="preserve"> </w:t>
      </w:r>
      <w:r w:rsidRPr="00B05565">
        <w:t>Inspekční</w:t>
      </w:r>
      <w:r>
        <w:t xml:space="preserve"> </w:t>
      </w:r>
      <w:r w:rsidRPr="00B05565">
        <w:t>činnosti</w:t>
      </w:r>
      <w:r>
        <w:t xml:space="preserve"> </w:t>
      </w:r>
      <w:r w:rsidRPr="00B05565">
        <w:t>podle</w:t>
      </w:r>
      <w:r>
        <w:t xml:space="preserve"> </w:t>
      </w:r>
      <w:r w:rsidRPr="00B05565">
        <w:t>odstavce</w:t>
      </w:r>
      <w:r>
        <w:t xml:space="preserve"> </w:t>
      </w:r>
      <w:r w:rsidRPr="00B05565">
        <w:t>2</w:t>
      </w:r>
      <w:r>
        <w:t xml:space="preserve"> </w:t>
      </w:r>
      <w:r w:rsidRPr="00B05565">
        <w:t>písm.</w:t>
      </w:r>
      <w:r>
        <w:t xml:space="preserve"> </w:t>
      </w:r>
      <w:r w:rsidRPr="00B05565">
        <w:t>b),</w:t>
      </w:r>
      <w:r>
        <w:t xml:space="preserve"> </w:t>
      </w:r>
      <w:r w:rsidRPr="00B05565">
        <w:t>c)</w:t>
      </w:r>
      <w:r>
        <w:t xml:space="preserve"> </w:t>
      </w:r>
      <w:r w:rsidRPr="00B05565">
        <w:t>nebo</w:t>
      </w:r>
      <w:r>
        <w:t xml:space="preserve"> </w:t>
      </w:r>
      <w:r w:rsidRPr="00B05565">
        <w:t>d)</w:t>
      </w:r>
      <w:r>
        <w:t xml:space="preserve"> </w:t>
      </w:r>
      <w:r w:rsidRPr="00B05565">
        <w:t>nelze</w:t>
      </w:r>
      <w:r>
        <w:t xml:space="preserve"> </w:t>
      </w:r>
      <w:r w:rsidRPr="00B05565">
        <w:t>na</w:t>
      </w:r>
      <w:r>
        <w:t xml:space="preserve"> </w:t>
      </w:r>
      <w:r w:rsidRPr="00B05565">
        <w:t>žádost</w:t>
      </w:r>
      <w:r>
        <w:t xml:space="preserve"> </w:t>
      </w:r>
      <w:r w:rsidRPr="00B05565">
        <w:t>právnické</w:t>
      </w:r>
      <w:r>
        <w:t xml:space="preserve"> </w:t>
      </w:r>
      <w:r w:rsidRPr="00B05565">
        <w:t>osoby,</w:t>
      </w:r>
      <w:r>
        <w:t xml:space="preserve"> </w:t>
      </w:r>
      <w:r w:rsidRPr="00B05565">
        <w:t>která</w:t>
      </w:r>
      <w:r>
        <w:t xml:space="preserve"> </w:t>
      </w:r>
      <w:r w:rsidRPr="00B05565">
        <w:t>vykonává</w:t>
      </w:r>
      <w:r>
        <w:t xml:space="preserve"> </w:t>
      </w:r>
      <w:r w:rsidRPr="00B05565">
        <w:t>činnost</w:t>
      </w:r>
      <w:r>
        <w:t xml:space="preserve"> </w:t>
      </w:r>
      <w:r w:rsidRPr="00B05565">
        <w:t>školy</w:t>
      </w:r>
      <w:r>
        <w:t xml:space="preserve"> </w:t>
      </w:r>
      <w:r w:rsidRPr="00B05565">
        <w:t>nebo</w:t>
      </w:r>
      <w:r>
        <w:t xml:space="preserve"> </w:t>
      </w:r>
      <w:r w:rsidRPr="00B05565">
        <w:t>školského</w:t>
      </w:r>
      <w:r>
        <w:t xml:space="preserve"> </w:t>
      </w:r>
      <w:r w:rsidRPr="00B05565">
        <w:t>zařízení,</w:t>
      </w:r>
      <w:r>
        <w:t xml:space="preserve"> </w:t>
      </w:r>
      <w:r w:rsidRPr="00B05565">
        <w:t>provést</w:t>
      </w:r>
      <w:r>
        <w:t xml:space="preserve"> </w:t>
      </w:r>
      <w:r w:rsidRPr="00B05565">
        <w:t>před</w:t>
      </w:r>
      <w:r>
        <w:t xml:space="preserve"> </w:t>
      </w:r>
      <w:r w:rsidRPr="00B05565">
        <w:t>uplynutím</w:t>
      </w:r>
      <w:r>
        <w:t xml:space="preserve"> </w:t>
      </w:r>
      <w:r w:rsidRPr="00B05565">
        <w:t>lhůty</w:t>
      </w:r>
      <w:r>
        <w:t xml:space="preserve"> </w:t>
      </w:r>
      <w:r w:rsidRPr="00B05565">
        <w:t>k</w:t>
      </w:r>
      <w:r>
        <w:t xml:space="preserve"> </w:t>
      </w:r>
      <w:r w:rsidRPr="00B05565">
        <w:t>odstranění</w:t>
      </w:r>
      <w:r>
        <w:t xml:space="preserve"> </w:t>
      </w:r>
      <w:r w:rsidRPr="00B05565">
        <w:t>případných</w:t>
      </w:r>
      <w:r>
        <w:t xml:space="preserve"> </w:t>
      </w:r>
      <w:r w:rsidRPr="00B05565">
        <w:t>nedostatků</w:t>
      </w:r>
      <w:r>
        <w:t xml:space="preserve"> </w:t>
      </w:r>
      <w:r w:rsidRPr="00B05565">
        <w:t>zjištěných</w:t>
      </w:r>
      <w:r>
        <w:t xml:space="preserve"> </w:t>
      </w:r>
      <w:r w:rsidRPr="00B05565">
        <w:t>předchozí</w:t>
      </w:r>
      <w:r>
        <w:t xml:space="preserve"> </w:t>
      </w:r>
      <w:r w:rsidRPr="00B05565">
        <w:t>inspekční</w:t>
      </w:r>
      <w:r>
        <w:t xml:space="preserve"> </w:t>
      </w:r>
      <w:r w:rsidRPr="00B05565">
        <w:t>činností</w:t>
      </w:r>
      <w:r>
        <w:t xml:space="preserve"> </w:t>
      </w:r>
      <w:r w:rsidRPr="00B05565">
        <w:t>podle</w:t>
      </w:r>
      <w:r>
        <w:t xml:space="preserve"> </w:t>
      </w:r>
      <w:r w:rsidRPr="00B05565">
        <w:t>odstavce</w:t>
      </w:r>
      <w:r>
        <w:t xml:space="preserve"> </w:t>
      </w:r>
      <w:r w:rsidRPr="00B05565">
        <w:t>2</w:t>
      </w:r>
      <w:r>
        <w:t xml:space="preserve"> </w:t>
      </w:r>
      <w:r w:rsidRPr="00B05565">
        <w:t>písm.</w:t>
      </w:r>
      <w:r>
        <w:t xml:space="preserve"> </w:t>
      </w:r>
      <w:r w:rsidRPr="00B05565">
        <w:t>b),</w:t>
      </w:r>
      <w:r>
        <w:t xml:space="preserve"> </w:t>
      </w:r>
      <w:r w:rsidRPr="00B05565">
        <w:t>c)</w:t>
      </w:r>
      <w:r>
        <w:t xml:space="preserve"> </w:t>
      </w:r>
      <w:r w:rsidRPr="00B05565">
        <w:t>nebo</w:t>
      </w:r>
      <w:r>
        <w:t xml:space="preserve"> </w:t>
      </w:r>
      <w:r w:rsidRPr="00B05565">
        <w:t>d).</w:t>
      </w:r>
    </w:p>
    <w:p w14:paraId="27C89BE1" w14:textId="77777777" w:rsidR="00B9271C" w:rsidRDefault="00B9271C" w:rsidP="00A84DD3">
      <w:pPr>
        <w:pStyle w:val="Textparagrafu"/>
        <w:tabs>
          <w:tab w:val="left" w:pos="392"/>
          <w:tab w:val="left" w:pos="840"/>
        </w:tabs>
        <w:spacing w:before="120" w:after="120"/>
      </w:pPr>
      <w:r w:rsidRPr="00B05565">
        <w:t>(8)</w:t>
      </w:r>
      <w:r>
        <w:t xml:space="preserve"> </w:t>
      </w:r>
      <w:r w:rsidRPr="00B05565">
        <w:t>Při</w:t>
      </w:r>
      <w:r>
        <w:t xml:space="preserve"> </w:t>
      </w:r>
      <w:r w:rsidRPr="00B05565">
        <w:t>hodnocení</w:t>
      </w:r>
      <w:r>
        <w:t xml:space="preserve"> </w:t>
      </w:r>
      <w:r w:rsidRPr="00B05565">
        <w:t>podmínek,</w:t>
      </w:r>
      <w:r>
        <w:t xml:space="preserve"> </w:t>
      </w:r>
      <w:r w:rsidRPr="00B05565">
        <w:t>průběhu</w:t>
      </w:r>
      <w:r>
        <w:t xml:space="preserve"> </w:t>
      </w:r>
      <w:r w:rsidRPr="00B05565">
        <w:t>a</w:t>
      </w:r>
      <w:r>
        <w:t xml:space="preserve"> </w:t>
      </w:r>
      <w:r w:rsidRPr="00B05565">
        <w:t>výsledků</w:t>
      </w:r>
      <w:r>
        <w:t xml:space="preserve"> </w:t>
      </w:r>
      <w:r w:rsidRPr="00B05565">
        <w:t>vzdělávání</w:t>
      </w:r>
      <w:r>
        <w:t xml:space="preserve"> </w:t>
      </w:r>
      <w:r w:rsidRPr="00B05565">
        <w:t>a</w:t>
      </w:r>
      <w:r>
        <w:t xml:space="preserve"> </w:t>
      </w:r>
      <w:r w:rsidRPr="00B05565">
        <w:t>školských</w:t>
      </w:r>
      <w:r>
        <w:t xml:space="preserve"> </w:t>
      </w:r>
      <w:r w:rsidRPr="00B05565">
        <w:t>služeb</w:t>
      </w:r>
      <w:r>
        <w:t xml:space="preserve"> </w:t>
      </w:r>
      <w:r w:rsidRPr="00B05565">
        <w:t>vychází</w:t>
      </w:r>
      <w:r>
        <w:t xml:space="preserve"> </w:t>
      </w:r>
      <w:r w:rsidRPr="00B05565">
        <w:t>Česká</w:t>
      </w:r>
      <w:r>
        <w:t xml:space="preserve"> </w:t>
      </w:r>
      <w:r w:rsidRPr="00B05565">
        <w:t>školní</w:t>
      </w:r>
      <w:r>
        <w:t xml:space="preserve"> </w:t>
      </w:r>
      <w:r w:rsidRPr="00B05565">
        <w:t>inspekce</w:t>
      </w:r>
      <w:r>
        <w:t xml:space="preserve"> </w:t>
      </w:r>
      <w:r w:rsidRPr="00B05565">
        <w:t>ze</w:t>
      </w:r>
      <w:r>
        <w:t xml:space="preserve"> </w:t>
      </w:r>
      <w:r w:rsidRPr="00B05565">
        <w:t>zásad</w:t>
      </w:r>
      <w:r>
        <w:t xml:space="preserve"> </w:t>
      </w:r>
      <w:r w:rsidRPr="00B05565">
        <w:t>a</w:t>
      </w:r>
      <w:r>
        <w:t xml:space="preserve"> </w:t>
      </w:r>
      <w:r w:rsidRPr="00B05565">
        <w:t>cílů</w:t>
      </w:r>
      <w:r>
        <w:t xml:space="preserve"> </w:t>
      </w:r>
      <w:r w:rsidRPr="00B05565">
        <w:t>vzdělávání</w:t>
      </w:r>
      <w:r>
        <w:t xml:space="preserve"> </w:t>
      </w:r>
      <w:r w:rsidRPr="00B05565">
        <w:t>stanovených</w:t>
      </w:r>
      <w:r>
        <w:t xml:space="preserve"> </w:t>
      </w:r>
      <w:r w:rsidRPr="00B05565">
        <w:t>tímto</w:t>
      </w:r>
      <w:r>
        <w:t xml:space="preserve"> </w:t>
      </w:r>
      <w:r w:rsidRPr="00B05565">
        <w:t>zákonem,</w:t>
      </w:r>
      <w:r>
        <w:t xml:space="preserve"> </w:t>
      </w:r>
      <w:r w:rsidRPr="00B05565">
        <w:t>přičemž</w:t>
      </w:r>
      <w:r>
        <w:t xml:space="preserve"> </w:t>
      </w:r>
      <w:r w:rsidRPr="00B05565">
        <w:t>základním</w:t>
      </w:r>
      <w:r>
        <w:t xml:space="preserve"> </w:t>
      </w:r>
      <w:r w:rsidRPr="00B05565">
        <w:t>kritériem</w:t>
      </w:r>
      <w:r>
        <w:t xml:space="preserve"> </w:t>
      </w:r>
      <w:r w:rsidRPr="00B05565">
        <w:t>hodnocení</w:t>
      </w:r>
      <w:r>
        <w:t xml:space="preserve"> </w:t>
      </w:r>
      <w:r w:rsidRPr="00B05565">
        <w:t>je</w:t>
      </w:r>
      <w:r>
        <w:t xml:space="preserve"> </w:t>
      </w:r>
      <w:r w:rsidRPr="00B05565">
        <w:t>zejména</w:t>
      </w:r>
      <w:r>
        <w:t xml:space="preserve"> </w:t>
      </w:r>
      <w:r w:rsidRPr="00B05565">
        <w:t>účinnost</w:t>
      </w:r>
      <w:r>
        <w:t xml:space="preserve"> </w:t>
      </w:r>
      <w:r w:rsidRPr="00B05565">
        <w:t>podpory</w:t>
      </w:r>
      <w:r>
        <w:t xml:space="preserve"> </w:t>
      </w:r>
      <w:r w:rsidRPr="00B05565">
        <w:t>rozvoje</w:t>
      </w:r>
      <w:r>
        <w:t xml:space="preserve"> </w:t>
      </w:r>
      <w:r w:rsidRPr="00B05565">
        <w:t>osobnosti</w:t>
      </w:r>
      <w:r>
        <w:t xml:space="preserve"> </w:t>
      </w:r>
      <w:r w:rsidRPr="00B05565">
        <w:t>dítěte,</w:t>
      </w:r>
      <w:r>
        <w:t xml:space="preserve"> </w:t>
      </w:r>
      <w:r w:rsidRPr="00B05565">
        <w:t>žáka</w:t>
      </w:r>
      <w:r>
        <w:t xml:space="preserve"> </w:t>
      </w:r>
      <w:r w:rsidRPr="00B05565">
        <w:t>a</w:t>
      </w:r>
      <w:r>
        <w:t xml:space="preserve"> </w:t>
      </w:r>
      <w:r w:rsidRPr="00B05565">
        <w:t>studenta</w:t>
      </w:r>
      <w:r>
        <w:t xml:space="preserve"> </w:t>
      </w:r>
      <w:r w:rsidRPr="00B05565">
        <w:t>a</w:t>
      </w:r>
      <w:r>
        <w:t xml:space="preserve"> </w:t>
      </w:r>
      <w:r w:rsidRPr="00B05565">
        <w:t>dosahování</w:t>
      </w:r>
      <w:r>
        <w:t xml:space="preserve"> </w:t>
      </w:r>
      <w:r w:rsidRPr="00B05565">
        <w:t>cílů</w:t>
      </w:r>
      <w:r>
        <w:t xml:space="preserve"> </w:t>
      </w:r>
      <w:r w:rsidRPr="00B05565">
        <w:t>vzdělávání</w:t>
      </w:r>
      <w:r>
        <w:t xml:space="preserve"> </w:t>
      </w:r>
      <w:r w:rsidRPr="00B05565">
        <w:t>ze</w:t>
      </w:r>
      <w:r>
        <w:t xml:space="preserve"> </w:t>
      </w:r>
      <w:r w:rsidRPr="00B05565">
        <w:t>strany</w:t>
      </w:r>
      <w:r>
        <w:t xml:space="preserve"> </w:t>
      </w:r>
      <w:r w:rsidRPr="00B05565">
        <w:t>škol</w:t>
      </w:r>
      <w:r>
        <w:t xml:space="preserve"> </w:t>
      </w:r>
      <w:r w:rsidRPr="00B05565">
        <w:t>a</w:t>
      </w:r>
      <w:r>
        <w:t xml:space="preserve"> </w:t>
      </w:r>
      <w:r w:rsidRPr="00B05565">
        <w:t>školských</w:t>
      </w:r>
      <w:r>
        <w:t xml:space="preserve"> </w:t>
      </w:r>
      <w:r w:rsidRPr="00B05565">
        <w:t>zařízení.</w:t>
      </w:r>
      <w:r>
        <w:t xml:space="preserve"> </w:t>
      </w:r>
      <w:r w:rsidRPr="00B05565">
        <w:t>Kritéria</w:t>
      </w:r>
      <w:r>
        <w:t xml:space="preserve"> </w:t>
      </w:r>
      <w:r w:rsidRPr="00B05565">
        <w:t>hodnocení</w:t>
      </w:r>
      <w:r>
        <w:t xml:space="preserve"> </w:t>
      </w:r>
      <w:r w:rsidRPr="00B05565">
        <w:t>předkládá</w:t>
      </w:r>
      <w:r>
        <w:t xml:space="preserve"> </w:t>
      </w:r>
      <w:r w:rsidRPr="00B05565">
        <w:t>ministerstvu</w:t>
      </w:r>
      <w:r>
        <w:t xml:space="preserve"> </w:t>
      </w:r>
      <w:r w:rsidRPr="00B05565">
        <w:t>ke</w:t>
      </w:r>
      <w:r>
        <w:t xml:space="preserve"> </w:t>
      </w:r>
      <w:r w:rsidRPr="00B05565">
        <w:t>schválení.</w:t>
      </w:r>
      <w:r>
        <w:t xml:space="preserve"> </w:t>
      </w:r>
      <w:r w:rsidRPr="00B05565">
        <w:t>Schválená</w:t>
      </w:r>
      <w:r>
        <w:t xml:space="preserve"> </w:t>
      </w:r>
      <w:r w:rsidRPr="00B05565">
        <w:t>kritéria</w:t>
      </w:r>
      <w:r>
        <w:t xml:space="preserve"> </w:t>
      </w:r>
      <w:r w:rsidRPr="00B05565">
        <w:t>hodnocení</w:t>
      </w:r>
      <w:r>
        <w:t xml:space="preserve"> </w:t>
      </w:r>
      <w:r w:rsidRPr="00B05565">
        <w:t>ministerstvo</w:t>
      </w:r>
      <w:r>
        <w:t xml:space="preserve"> </w:t>
      </w:r>
      <w:r w:rsidRPr="00B05565">
        <w:t>zveřejňuje.</w:t>
      </w:r>
    </w:p>
    <w:p w14:paraId="5610D988" w14:textId="77777777" w:rsidR="00B9271C" w:rsidRDefault="00B9271C" w:rsidP="00A84DD3">
      <w:pPr>
        <w:pStyle w:val="Textparagrafu"/>
        <w:tabs>
          <w:tab w:val="left" w:pos="392"/>
          <w:tab w:val="left" w:pos="840"/>
        </w:tabs>
        <w:spacing w:before="120" w:after="120"/>
      </w:pPr>
      <w:r w:rsidRPr="00B05565">
        <w:t>(9)</w:t>
      </w:r>
      <w:r>
        <w:t xml:space="preserve"> </w:t>
      </w:r>
      <w:r w:rsidRPr="00B05565">
        <w:t>Inspekční</w:t>
      </w:r>
      <w:r>
        <w:t xml:space="preserve"> </w:t>
      </w:r>
      <w:r w:rsidRPr="00B05565">
        <w:t>činnost</w:t>
      </w:r>
      <w:r>
        <w:t xml:space="preserve"> </w:t>
      </w:r>
      <w:r w:rsidRPr="00B05565">
        <w:t>vykonávají</w:t>
      </w:r>
      <w:r>
        <w:t xml:space="preserve"> </w:t>
      </w:r>
      <w:r w:rsidRPr="00B05565">
        <w:t>školní</w:t>
      </w:r>
      <w:r>
        <w:t xml:space="preserve"> </w:t>
      </w:r>
      <w:r w:rsidRPr="00B05565">
        <w:t>inspektoři,</w:t>
      </w:r>
      <w:r>
        <w:t xml:space="preserve"> </w:t>
      </w:r>
      <w:r w:rsidRPr="00B05565">
        <w:t>kontrolní</w:t>
      </w:r>
      <w:r>
        <w:t xml:space="preserve"> </w:t>
      </w:r>
      <w:r w:rsidRPr="00B05565">
        <w:t>pracovníci</w:t>
      </w:r>
      <w:r>
        <w:t xml:space="preserve"> </w:t>
      </w:r>
      <w:r w:rsidRPr="00B05565">
        <w:t>a</w:t>
      </w:r>
      <w:r>
        <w:t xml:space="preserve"> </w:t>
      </w:r>
      <w:r w:rsidRPr="00B05565">
        <w:t>přizvané</w:t>
      </w:r>
      <w:r>
        <w:t xml:space="preserve"> </w:t>
      </w:r>
      <w:r w:rsidRPr="00B05565">
        <w:t>osoby.</w:t>
      </w:r>
      <w:r>
        <w:t xml:space="preserve"> </w:t>
      </w:r>
      <w:r w:rsidRPr="00B05565">
        <w:t>Školním</w:t>
      </w:r>
      <w:r>
        <w:t xml:space="preserve"> </w:t>
      </w:r>
      <w:r w:rsidRPr="00B05565">
        <w:t>inspektorem</w:t>
      </w:r>
      <w:r>
        <w:t xml:space="preserve"> </w:t>
      </w:r>
      <w:r w:rsidRPr="00B05565">
        <w:t>může</w:t>
      </w:r>
      <w:r>
        <w:t xml:space="preserve"> </w:t>
      </w:r>
      <w:r w:rsidRPr="00B05565">
        <w:t>být</w:t>
      </w:r>
      <w:r>
        <w:t xml:space="preserve"> </w:t>
      </w:r>
      <w:r w:rsidRPr="00B05565">
        <w:t>ten,</w:t>
      </w:r>
      <w:r>
        <w:t xml:space="preserve"> </w:t>
      </w:r>
      <w:r w:rsidRPr="00B05565">
        <w:t>kdo</w:t>
      </w:r>
      <w:r>
        <w:t xml:space="preserve"> </w:t>
      </w:r>
      <w:r w:rsidRPr="00B05565">
        <w:t>má</w:t>
      </w:r>
      <w:r>
        <w:t xml:space="preserve"> </w:t>
      </w:r>
      <w:r w:rsidRPr="00B05565">
        <w:t>vysokoškolské</w:t>
      </w:r>
      <w:r>
        <w:t xml:space="preserve"> </w:t>
      </w:r>
      <w:r w:rsidRPr="00B05565">
        <w:t>vzdělání</w:t>
      </w:r>
      <w:r>
        <w:t xml:space="preserve"> </w:t>
      </w:r>
      <w:r w:rsidRPr="00B05565">
        <w:t>a</w:t>
      </w:r>
      <w:r>
        <w:t xml:space="preserve"> </w:t>
      </w:r>
      <w:r w:rsidRPr="00B05565">
        <w:t>nejméně</w:t>
      </w:r>
      <w:r>
        <w:t xml:space="preserve"> </w:t>
      </w:r>
      <w:r w:rsidRPr="00B05565">
        <w:t>5</w:t>
      </w:r>
      <w:r>
        <w:t xml:space="preserve"> </w:t>
      </w:r>
      <w:r w:rsidRPr="00B05565">
        <w:t>let</w:t>
      </w:r>
      <w:r>
        <w:t xml:space="preserve"> </w:t>
      </w:r>
      <w:r w:rsidRPr="00B05565">
        <w:t>pedagogické</w:t>
      </w:r>
      <w:r>
        <w:t xml:space="preserve"> </w:t>
      </w:r>
      <w:r w:rsidRPr="00B05565">
        <w:t>nebo</w:t>
      </w:r>
      <w:r>
        <w:t xml:space="preserve"> </w:t>
      </w:r>
      <w:r w:rsidRPr="00B05565">
        <w:t>pedagogicko-</w:t>
      </w:r>
      <w:r>
        <w:t xml:space="preserve"> </w:t>
      </w:r>
      <w:r w:rsidRPr="00B05565">
        <w:t>psychologické</w:t>
      </w:r>
      <w:r>
        <w:t xml:space="preserve"> </w:t>
      </w:r>
      <w:r w:rsidRPr="00B05565">
        <w:t>praxe.</w:t>
      </w:r>
      <w:r>
        <w:t xml:space="preserve"> </w:t>
      </w:r>
      <w:r w:rsidRPr="00B05565">
        <w:t>Kontrolním</w:t>
      </w:r>
      <w:r>
        <w:t xml:space="preserve"> </w:t>
      </w:r>
      <w:r w:rsidRPr="00B05565">
        <w:t>pracovníkem</w:t>
      </w:r>
      <w:r>
        <w:t xml:space="preserve"> </w:t>
      </w:r>
      <w:r w:rsidRPr="00B05565">
        <w:t>může</w:t>
      </w:r>
      <w:r>
        <w:t xml:space="preserve"> </w:t>
      </w:r>
      <w:r w:rsidRPr="00B05565">
        <w:t>být</w:t>
      </w:r>
      <w:r>
        <w:t xml:space="preserve"> </w:t>
      </w:r>
      <w:r w:rsidRPr="00B05565">
        <w:t>ten,</w:t>
      </w:r>
      <w:r>
        <w:t xml:space="preserve"> </w:t>
      </w:r>
      <w:r w:rsidRPr="00B05565">
        <w:t>kdo</w:t>
      </w:r>
      <w:r>
        <w:t xml:space="preserve"> </w:t>
      </w:r>
      <w:r w:rsidRPr="00B05565">
        <w:t>má</w:t>
      </w:r>
      <w:r>
        <w:t xml:space="preserve"> </w:t>
      </w:r>
      <w:r w:rsidRPr="00B05565">
        <w:t>vysokoškolské</w:t>
      </w:r>
      <w:r>
        <w:t xml:space="preserve"> </w:t>
      </w:r>
      <w:r w:rsidRPr="00B05565">
        <w:t>vzdělání</w:t>
      </w:r>
      <w:r>
        <w:t xml:space="preserve"> </w:t>
      </w:r>
      <w:r w:rsidRPr="00B05565">
        <w:t>a</w:t>
      </w:r>
      <w:r>
        <w:t xml:space="preserve"> </w:t>
      </w:r>
      <w:r w:rsidRPr="00B05565">
        <w:t>nejméně</w:t>
      </w:r>
      <w:r>
        <w:t xml:space="preserve"> </w:t>
      </w:r>
      <w:r w:rsidRPr="00B05565">
        <w:t>5</w:t>
      </w:r>
      <w:r>
        <w:t xml:space="preserve"> </w:t>
      </w:r>
      <w:r w:rsidRPr="00B05565">
        <w:t>let</w:t>
      </w:r>
      <w:r>
        <w:t xml:space="preserve"> </w:t>
      </w:r>
      <w:r w:rsidRPr="00B05565">
        <w:t>praxe,</w:t>
      </w:r>
      <w:r>
        <w:t xml:space="preserve"> </w:t>
      </w:r>
      <w:r w:rsidRPr="00B05565">
        <w:t>nebo</w:t>
      </w:r>
      <w:r>
        <w:t xml:space="preserve"> </w:t>
      </w:r>
      <w:r w:rsidRPr="00B05565">
        <w:t>ten,</w:t>
      </w:r>
      <w:r>
        <w:t xml:space="preserve"> </w:t>
      </w:r>
      <w:r w:rsidRPr="00B05565">
        <w:t>kdo</w:t>
      </w:r>
      <w:r>
        <w:t xml:space="preserve"> </w:t>
      </w:r>
      <w:r w:rsidRPr="00B05565">
        <w:t>má</w:t>
      </w:r>
      <w:r>
        <w:t xml:space="preserve"> </w:t>
      </w:r>
      <w:r w:rsidRPr="00B05565">
        <w:t>střední</w:t>
      </w:r>
      <w:r>
        <w:t xml:space="preserve"> </w:t>
      </w:r>
      <w:r w:rsidRPr="00B05565">
        <w:t>vzdělání</w:t>
      </w:r>
      <w:r>
        <w:t xml:space="preserve"> </w:t>
      </w:r>
      <w:r w:rsidRPr="00B05565">
        <w:t>s</w:t>
      </w:r>
      <w:r>
        <w:t xml:space="preserve"> </w:t>
      </w:r>
      <w:r w:rsidRPr="00B05565">
        <w:t>maturitní</w:t>
      </w:r>
      <w:r>
        <w:t xml:space="preserve"> </w:t>
      </w:r>
      <w:r w:rsidRPr="00B05565">
        <w:t>zkouškou</w:t>
      </w:r>
      <w:r>
        <w:t xml:space="preserve"> </w:t>
      </w:r>
      <w:r w:rsidRPr="00B05565">
        <w:t>a</w:t>
      </w:r>
      <w:r>
        <w:t xml:space="preserve"> </w:t>
      </w:r>
      <w:r w:rsidRPr="00B05565">
        <w:t>nejméně</w:t>
      </w:r>
      <w:r>
        <w:t xml:space="preserve"> </w:t>
      </w:r>
      <w:r w:rsidRPr="00B05565">
        <w:t>20</w:t>
      </w:r>
      <w:r>
        <w:t xml:space="preserve"> </w:t>
      </w:r>
      <w:r w:rsidRPr="00B05565">
        <w:t>let</w:t>
      </w:r>
      <w:r>
        <w:t xml:space="preserve"> </w:t>
      </w:r>
      <w:r w:rsidRPr="00B05565">
        <w:t>praxe.</w:t>
      </w:r>
      <w:r>
        <w:t xml:space="preserve"> </w:t>
      </w:r>
      <w:r w:rsidRPr="00B05565">
        <w:t>Další</w:t>
      </w:r>
      <w:r>
        <w:t xml:space="preserve"> </w:t>
      </w:r>
      <w:r w:rsidRPr="00B05565">
        <w:t>předpoklady</w:t>
      </w:r>
      <w:r>
        <w:t xml:space="preserve"> </w:t>
      </w:r>
      <w:r w:rsidRPr="00B05565">
        <w:t>stanovené</w:t>
      </w:r>
      <w:r>
        <w:t xml:space="preserve"> </w:t>
      </w:r>
      <w:r w:rsidRPr="00B05565">
        <w:t>pro</w:t>
      </w:r>
      <w:r>
        <w:t xml:space="preserve"> </w:t>
      </w:r>
      <w:r w:rsidRPr="00B05565">
        <w:t>výkon</w:t>
      </w:r>
      <w:r>
        <w:t xml:space="preserve"> </w:t>
      </w:r>
      <w:r w:rsidRPr="00B05565">
        <w:t>činností</w:t>
      </w:r>
      <w:r>
        <w:t xml:space="preserve"> </w:t>
      </w:r>
      <w:r w:rsidRPr="00B05565">
        <w:t>podle</w:t>
      </w:r>
      <w:r>
        <w:t xml:space="preserve"> </w:t>
      </w:r>
      <w:r w:rsidRPr="00B05565">
        <w:t>vět</w:t>
      </w:r>
      <w:r>
        <w:t xml:space="preserve"> </w:t>
      </w:r>
      <w:r w:rsidRPr="00B05565">
        <w:t>druhé</w:t>
      </w:r>
      <w:r>
        <w:t xml:space="preserve"> </w:t>
      </w:r>
      <w:r w:rsidRPr="00B05565">
        <w:t>a</w:t>
      </w:r>
      <w:r>
        <w:t xml:space="preserve"> </w:t>
      </w:r>
      <w:r w:rsidRPr="00B05565">
        <w:t>třetí</w:t>
      </w:r>
      <w:r>
        <w:t xml:space="preserve"> </w:t>
      </w:r>
      <w:r w:rsidRPr="00B05565">
        <w:t>zvláštními</w:t>
      </w:r>
      <w:r>
        <w:t xml:space="preserve"> </w:t>
      </w:r>
      <w:r w:rsidRPr="00B05565">
        <w:t>právními</w:t>
      </w:r>
      <w:r>
        <w:t xml:space="preserve"> </w:t>
      </w:r>
      <w:r w:rsidRPr="00B05565">
        <w:t>předpisy</w:t>
      </w:r>
      <w:r>
        <w:t xml:space="preserve"> </w:t>
      </w:r>
      <w:r w:rsidRPr="00B05565">
        <w:t>tím</w:t>
      </w:r>
      <w:r>
        <w:t xml:space="preserve"> </w:t>
      </w:r>
      <w:r w:rsidRPr="00B05565">
        <w:t>nejsou</w:t>
      </w:r>
      <w:r>
        <w:t xml:space="preserve"> </w:t>
      </w:r>
      <w:r w:rsidRPr="00B05565">
        <w:t>dotčeny.</w:t>
      </w:r>
    </w:p>
    <w:p w14:paraId="5F762B98" w14:textId="77777777" w:rsidR="00B9271C" w:rsidRDefault="00B9271C" w:rsidP="00A84DD3">
      <w:pPr>
        <w:pStyle w:val="Textparagrafu"/>
        <w:tabs>
          <w:tab w:val="left" w:pos="392"/>
          <w:tab w:val="left" w:pos="840"/>
        </w:tabs>
        <w:spacing w:before="120" w:after="120"/>
      </w:pPr>
      <w:r w:rsidRPr="00B05565">
        <w:t>(10)</w:t>
      </w:r>
      <w:r>
        <w:t xml:space="preserve"> </w:t>
      </w:r>
      <w:r w:rsidRPr="00B05565">
        <w:t>Výstupem</w:t>
      </w:r>
      <w:r>
        <w:t xml:space="preserve"> </w:t>
      </w:r>
      <w:r w:rsidRPr="00B05565">
        <w:t>inspekční</w:t>
      </w:r>
      <w:r>
        <w:t xml:space="preserve"> </w:t>
      </w:r>
      <w:r w:rsidRPr="00B05565">
        <w:t>činnosti</w:t>
      </w:r>
      <w:r>
        <w:t xml:space="preserve"> </w:t>
      </w:r>
      <w:r w:rsidRPr="00B05565">
        <w:t>je</w:t>
      </w:r>
    </w:p>
    <w:p w14:paraId="5373435B" w14:textId="14C53E3F" w:rsidR="00B9271C" w:rsidRDefault="00B9271C" w:rsidP="00AB5ED2">
      <w:pPr>
        <w:pStyle w:val="Textparagrafu"/>
        <w:tabs>
          <w:tab w:val="left" w:pos="392"/>
          <w:tab w:val="left" w:pos="840"/>
        </w:tabs>
        <w:spacing w:before="0"/>
        <w:ind w:left="426" w:hanging="426"/>
      </w:pPr>
      <w:r w:rsidRPr="00B05565">
        <w:t>a)</w:t>
      </w:r>
      <w:r w:rsidR="00144684">
        <w:tab/>
      </w:r>
      <w:r w:rsidRPr="00B05565">
        <w:t>inspekční</w:t>
      </w:r>
      <w:r>
        <w:t xml:space="preserve"> </w:t>
      </w:r>
      <w:r w:rsidRPr="00B05565">
        <w:t>zpráva</w:t>
      </w:r>
      <w:r>
        <w:t xml:space="preserve"> </w:t>
      </w:r>
      <w:r w:rsidRPr="00B05565">
        <w:t>v</w:t>
      </w:r>
      <w:r>
        <w:t xml:space="preserve"> </w:t>
      </w:r>
      <w:r w:rsidRPr="00B05565">
        <w:t>případě</w:t>
      </w:r>
      <w:r>
        <w:t xml:space="preserve"> </w:t>
      </w:r>
      <w:r w:rsidRPr="00B05565">
        <w:t>inspekční</w:t>
      </w:r>
      <w:r>
        <w:t xml:space="preserve"> </w:t>
      </w:r>
      <w:r w:rsidRPr="00B05565">
        <w:t>činnosti</w:t>
      </w:r>
      <w:r>
        <w:t xml:space="preserve"> </w:t>
      </w:r>
      <w:r w:rsidRPr="00B05565">
        <w:t>podle</w:t>
      </w:r>
      <w:r>
        <w:t xml:space="preserve"> </w:t>
      </w:r>
      <w:r w:rsidRPr="00B05565">
        <w:t>odstavce</w:t>
      </w:r>
      <w:r>
        <w:t xml:space="preserve"> </w:t>
      </w:r>
      <w:r w:rsidRPr="00B05565">
        <w:t>2</w:t>
      </w:r>
      <w:r>
        <w:t xml:space="preserve"> </w:t>
      </w:r>
      <w:r w:rsidRPr="00B05565">
        <w:t>písm.</w:t>
      </w:r>
      <w:r>
        <w:t xml:space="preserve"> </w:t>
      </w:r>
      <w:r w:rsidRPr="00B05565">
        <w:t>b)</w:t>
      </w:r>
      <w:r>
        <w:t xml:space="preserve"> </w:t>
      </w:r>
      <w:r w:rsidRPr="00B05565">
        <w:t>a</w:t>
      </w:r>
      <w:r>
        <w:t xml:space="preserve"> </w:t>
      </w:r>
      <w:r w:rsidRPr="00B05565">
        <w:t>c),</w:t>
      </w:r>
    </w:p>
    <w:p w14:paraId="07EBCB6F" w14:textId="15A01488" w:rsidR="00B9271C" w:rsidRDefault="00B9271C" w:rsidP="00AB5ED2">
      <w:pPr>
        <w:pStyle w:val="Textparagrafu"/>
        <w:tabs>
          <w:tab w:val="left" w:pos="392"/>
          <w:tab w:val="left" w:pos="840"/>
        </w:tabs>
        <w:spacing w:before="0"/>
        <w:ind w:left="426" w:hanging="426"/>
      </w:pPr>
      <w:r w:rsidRPr="00B05565">
        <w:t>b)</w:t>
      </w:r>
      <w:r w:rsidR="00144684">
        <w:tab/>
      </w:r>
      <w:r w:rsidRPr="00B05565">
        <w:t>protokol</w:t>
      </w:r>
      <w:r>
        <w:t xml:space="preserve"> </w:t>
      </w:r>
      <w:r w:rsidRPr="00B05565">
        <w:t>o</w:t>
      </w:r>
      <w:r>
        <w:t xml:space="preserve"> </w:t>
      </w:r>
      <w:r w:rsidR="00CC0728">
        <w:t>kontrole</w:t>
      </w:r>
      <w:r w:rsidR="00CC0728">
        <w:rPr>
          <w:rStyle w:val="Znakapoznpodarou"/>
        </w:rPr>
        <w:footnoteReference w:customMarkFollows="1" w:id="483"/>
        <w:t>56)</w:t>
      </w:r>
      <w:r>
        <w:t xml:space="preserve"> </w:t>
      </w:r>
      <w:r w:rsidRPr="00B05565">
        <w:t>v</w:t>
      </w:r>
      <w:r>
        <w:t xml:space="preserve"> </w:t>
      </w:r>
      <w:r w:rsidRPr="00B05565">
        <w:t>případě</w:t>
      </w:r>
      <w:r>
        <w:t xml:space="preserve"> </w:t>
      </w:r>
      <w:r w:rsidRPr="00B05565">
        <w:t>inspekční</w:t>
      </w:r>
      <w:r>
        <w:t xml:space="preserve"> </w:t>
      </w:r>
      <w:r w:rsidRPr="00B05565">
        <w:t>činnosti</w:t>
      </w:r>
      <w:r>
        <w:t xml:space="preserve"> </w:t>
      </w:r>
      <w:r w:rsidRPr="00B05565">
        <w:t>podle</w:t>
      </w:r>
      <w:r>
        <w:t xml:space="preserve"> </w:t>
      </w:r>
      <w:r w:rsidRPr="00B05565">
        <w:t>odstavce</w:t>
      </w:r>
      <w:r>
        <w:t xml:space="preserve"> </w:t>
      </w:r>
      <w:r w:rsidRPr="00B05565">
        <w:t>2</w:t>
      </w:r>
      <w:r>
        <w:t xml:space="preserve"> </w:t>
      </w:r>
      <w:r w:rsidRPr="00B05565">
        <w:t>písm.</w:t>
      </w:r>
      <w:r>
        <w:t xml:space="preserve"> </w:t>
      </w:r>
      <w:r w:rsidRPr="00B05565">
        <w:t>d)</w:t>
      </w:r>
      <w:r>
        <w:t xml:space="preserve"> </w:t>
      </w:r>
      <w:r w:rsidRPr="00B05565">
        <w:t>a</w:t>
      </w:r>
      <w:r>
        <w:t xml:space="preserve"> </w:t>
      </w:r>
      <w:r w:rsidRPr="00B05565">
        <w:t>e)</w:t>
      </w:r>
      <w:r>
        <w:t xml:space="preserve"> </w:t>
      </w:r>
      <w:r w:rsidRPr="00B05565">
        <w:t>a</w:t>
      </w:r>
      <w:r>
        <w:t xml:space="preserve"> </w:t>
      </w:r>
      <w:r w:rsidRPr="00B05565">
        <w:t>odstavce</w:t>
      </w:r>
      <w:r>
        <w:t xml:space="preserve"> </w:t>
      </w:r>
      <w:r w:rsidRPr="00B05565">
        <w:t>3,</w:t>
      </w:r>
    </w:p>
    <w:p w14:paraId="7BE81ED6" w14:textId="583EE28A" w:rsidR="00B9271C" w:rsidRDefault="00B9271C" w:rsidP="00AB5ED2">
      <w:pPr>
        <w:pStyle w:val="Textparagrafu"/>
        <w:tabs>
          <w:tab w:val="left" w:pos="392"/>
          <w:tab w:val="left" w:pos="840"/>
        </w:tabs>
        <w:spacing w:before="0"/>
        <w:ind w:left="426" w:hanging="426"/>
      </w:pPr>
      <w:r w:rsidRPr="00B05565">
        <w:t>c)</w:t>
      </w:r>
      <w:r w:rsidR="00144684">
        <w:tab/>
      </w:r>
      <w:r w:rsidRPr="00B05565">
        <w:t>tematická</w:t>
      </w:r>
      <w:r>
        <w:t xml:space="preserve"> </w:t>
      </w:r>
      <w:r w:rsidRPr="00B05565">
        <w:t>zpráva</w:t>
      </w:r>
      <w:r>
        <w:t xml:space="preserve"> </w:t>
      </w:r>
      <w:r w:rsidRPr="00B05565">
        <w:t>v</w:t>
      </w:r>
      <w:r>
        <w:t xml:space="preserve"> </w:t>
      </w:r>
      <w:r w:rsidRPr="00B05565">
        <w:t>případě</w:t>
      </w:r>
      <w:r>
        <w:t xml:space="preserve"> </w:t>
      </w:r>
      <w:r w:rsidRPr="00B05565">
        <w:t>inspekční</w:t>
      </w:r>
      <w:r>
        <w:t xml:space="preserve"> </w:t>
      </w:r>
      <w:r w:rsidRPr="00B05565">
        <w:t>činnosti</w:t>
      </w:r>
      <w:r>
        <w:t xml:space="preserve"> </w:t>
      </w:r>
      <w:r w:rsidRPr="00B05565">
        <w:t>podle</w:t>
      </w:r>
      <w:r>
        <w:t xml:space="preserve"> </w:t>
      </w:r>
      <w:r w:rsidRPr="00B05565">
        <w:t>odstavce</w:t>
      </w:r>
      <w:r>
        <w:t xml:space="preserve"> </w:t>
      </w:r>
      <w:r w:rsidRPr="00B05565">
        <w:t>2</w:t>
      </w:r>
      <w:r>
        <w:t xml:space="preserve"> </w:t>
      </w:r>
      <w:r w:rsidRPr="00B05565">
        <w:t>písm.</w:t>
      </w:r>
      <w:r>
        <w:t xml:space="preserve"> </w:t>
      </w:r>
      <w:r w:rsidRPr="00B05565">
        <w:t>a),</w:t>
      </w:r>
    </w:p>
    <w:p w14:paraId="12F3FCD1" w14:textId="619CEE54" w:rsidR="00B9271C" w:rsidRDefault="00B9271C" w:rsidP="00144684">
      <w:pPr>
        <w:pStyle w:val="Textparagrafu"/>
        <w:tabs>
          <w:tab w:val="left" w:pos="392"/>
          <w:tab w:val="left" w:pos="840"/>
        </w:tabs>
        <w:spacing w:before="0"/>
        <w:ind w:firstLine="0"/>
      </w:pPr>
      <w:r w:rsidRPr="00B05565">
        <w:t>d)</w:t>
      </w:r>
      <w:r w:rsidR="00144684">
        <w:tab/>
      </w:r>
      <w:r w:rsidRPr="00B05565">
        <w:t>výroční</w:t>
      </w:r>
      <w:r>
        <w:t xml:space="preserve"> </w:t>
      </w:r>
      <w:r w:rsidRPr="00B05565">
        <w:t>zpráva</w:t>
      </w:r>
      <w:r>
        <w:t xml:space="preserve"> </w:t>
      </w:r>
      <w:r w:rsidRPr="00B05565">
        <w:t>České</w:t>
      </w:r>
      <w:r>
        <w:t xml:space="preserve"> </w:t>
      </w:r>
      <w:r w:rsidRPr="00B05565">
        <w:t>školní</w:t>
      </w:r>
      <w:r>
        <w:t xml:space="preserve"> </w:t>
      </w:r>
      <w:r w:rsidRPr="00B05565">
        <w:t>inspekce.</w:t>
      </w:r>
    </w:p>
    <w:p w14:paraId="3536A82E" w14:textId="77777777" w:rsidR="00B9271C" w:rsidRDefault="00B9271C" w:rsidP="00A84DD3">
      <w:pPr>
        <w:pStyle w:val="Textparagrafu"/>
        <w:tabs>
          <w:tab w:val="left" w:pos="392"/>
          <w:tab w:val="left" w:pos="840"/>
        </w:tabs>
        <w:spacing w:before="120" w:after="120"/>
      </w:pPr>
      <w:r w:rsidRPr="00B05565">
        <w:t>(11)</w:t>
      </w:r>
      <w:r>
        <w:t xml:space="preserve"> </w:t>
      </w:r>
      <w:r w:rsidRPr="00B05565">
        <w:t>Inspekční</w:t>
      </w:r>
      <w:r>
        <w:t xml:space="preserve"> </w:t>
      </w:r>
      <w:r w:rsidRPr="00B05565">
        <w:t>zpráva</w:t>
      </w:r>
      <w:r>
        <w:t xml:space="preserve"> </w:t>
      </w:r>
      <w:r w:rsidRPr="00B05565">
        <w:t>obsahuje</w:t>
      </w:r>
      <w:r>
        <w:t xml:space="preserve"> </w:t>
      </w:r>
      <w:r w:rsidRPr="00B05565">
        <w:t>hodnocení</w:t>
      </w:r>
      <w:r>
        <w:t xml:space="preserve"> </w:t>
      </w:r>
      <w:r w:rsidRPr="00B05565">
        <w:t>podmínek,</w:t>
      </w:r>
      <w:r>
        <w:t xml:space="preserve"> </w:t>
      </w:r>
      <w:r w:rsidRPr="00B05565">
        <w:t>průběhu</w:t>
      </w:r>
      <w:r>
        <w:t xml:space="preserve"> </w:t>
      </w:r>
      <w:r w:rsidRPr="00B05565">
        <w:t>a</w:t>
      </w:r>
      <w:r>
        <w:t xml:space="preserve"> </w:t>
      </w:r>
      <w:r w:rsidRPr="00B05565">
        <w:t>výsledků</w:t>
      </w:r>
      <w:r>
        <w:t xml:space="preserve"> </w:t>
      </w:r>
      <w:r w:rsidRPr="00B05565">
        <w:t>vzdělávání</w:t>
      </w:r>
      <w:r>
        <w:t xml:space="preserve"> </w:t>
      </w:r>
      <w:r w:rsidRPr="00B05565">
        <w:t>a</w:t>
      </w:r>
      <w:r>
        <w:t xml:space="preserve"> </w:t>
      </w:r>
      <w:r w:rsidRPr="00B05565">
        <w:t>dále</w:t>
      </w:r>
      <w:r>
        <w:t xml:space="preserve"> </w:t>
      </w:r>
      <w:r w:rsidRPr="00B05565">
        <w:t>jména,</w:t>
      </w:r>
      <w:r>
        <w:t xml:space="preserve"> </w:t>
      </w:r>
      <w:r w:rsidRPr="00B05565">
        <w:t>příjmení</w:t>
      </w:r>
      <w:r>
        <w:t xml:space="preserve"> </w:t>
      </w:r>
      <w:r w:rsidRPr="00B05565">
        <w:t>a</w:t>
      </w:r>
      <w:r>
        <w:t xml:space="preserve"> </w:t>
      </w:r>
      <w:r w:rsidRPr="00B05565">
        <w:t>podpisy</w:t>
      </w:r>
      <w:r>
        <w:t xml:space="preserve"> </w:t>
      </w:r>
      <w:r w:rsidRPr="00B05565">
        <w:t>školních</w:t>
      </w:r>
      <w:r>
        <w:t xml:space="preserve"> </w:t>
      </w:r>
      <w:r w:rsidRPr="00B05565">
        <w:t>inspektorů,</w:t>
      </w:r>
      <w:r>
        <w:t xml:space="preserve"> </w:t>
      </w:r>
      <w:r w:rsidRPr="00B05565">
        <w:t>kontrolních</w:t>
      </w:r>
      <w:r>
        <w:t xml:space="preserve"> </w:t>
      </w:r>
      <w:r w:rsidRPr="00B05565">
        <w:t>pracovníků</w:t>
      </w:r>
      <w:r>
        <w:t xml:space="preserve"> </w:t>
      </w:r>
      <w:r w:rsidRPr="00B05565">
        <w:t>a</w:t>
      </w:r>
      <w:r>
        <w:t xml:space="preserve"> </w:t>
      </w:r>
      <w:r w:rsidRPr="00B05565">
        <w:t>přizvaných</w:t>
      </w:r>
      <w:r>
        <w:t xml:space="preserve"> </w:t>
      </w:r>
      <w:r w:rsidRPr="00B05565">
        <w:t>osob.</w:t>
      </w:r>
      <w:r>
        <w:t xml:space="preserve"> </w:t>
      </w:r>
      <w:r w:rsidRPr="00B05565">
        <w:t>Obsah</w:t>
      </w:r>
      <w:r>
        <w:t xml:space="preserve"> </w:t>
      </w:r>
      <w:r w:rsidRPr="00B05565">
        <w:t>inspekční</w:t>
      </w:r>
      <w:r>
        <w:t xml:space="preserve"> </w:t>
      </w:r>
      <w:r w:rsidRPr="00B05565">
        <w:t>zprávy</w:t>
      </w:r>
      <w:r>
        <w:t xml:space="preserve"> </w:t>
      </w:r>
      <w:r w:rsidRPr="00B05565">
        <w:t>projednají</w:t>
      </w:r>
      <w:r>
        <w:t xml:space="preserve"> </w:t>
      </w:r>
      <w:r w:rsidRPr="00B05565">
        <w:t>školní</w:t>
      </w:r>
      <w:r>
        <w:t xml:space="preserve"> </w:t>
      </w:r>
      <w:r w:rsidRPr="00B05565">
        <w:t>inspektoři</w:t>
      </w:r>
      <w:r>
        <w:t xml:space="preserve"> </w:t>
      </w:r>
      <w:r w:rsidRPr="00B05565">
        <w:t>a</w:t>
      </w:r>
      <w:r>
        <w:t xml:space="preserve"> </w:t>
      </w:r>
      <w:r w:rsidRPr="00B05565">
        <w:t>kontrolní</w:t>
      </w:r>
      <w:r>
        <w:t xml:space="preserve"> </w:t>
      </w:r>
      <w:r w:rsidRPr="00B05565">
        <w:t>pracovníci</w:t>
      </w:r>
      <w:r>
        <w:t xml:space="preserve"> </w:t>
      </w:r>
      <w:r w:rsidRPr="00B05565">
        <w:t>s</w:t>
      </w:r>
      <w:r>
        <w:t xml:space="preserve"> </w:t>
      </w:r>
      <w:r w:rsidRPr="00B05565">
        <w:t>ředitelem</w:t>
      </w:r>
      <w:r>
        <w:t xml:space="preserve"> </w:t>
      </w:r>
      <w:r w:rsidRPr="00B05565">
        <w:t>školy</w:t>
      </w:r>
      <w:r>
        <w:t xml:space="preserve"> </w:t>
      </w:r>
      <w:r w:rsidRPr="00B05565">
        <w:t>nebo</w:t>
      </w:r>
      <w:r>
        <w:t xml:space="preserve"> </w:t>
      </w:r>
      <w:r w:rsidRPr="00B05565">
        <w:t>školského</w:t>
      </w:r>
      <w:r>
        <w:t xml:space="preserve"> </w:t>
      </w:r>
      <w:r w:rsidRPr="00B05565">
        <w:t>zařízení.</w:t>
      </w:r>
      <w:r>
        <w:t xml:space="preserve"> </w:t>
      </w:r>
      <w:r w:rsidRPr="00B05565">
        <w:t>Projednání</w:t>
      </w:r>
      <w:r>
        <w:t xml:space="preserve"> </w:t>
      </w:r>
      <w:r w:rsidRPr="00B05565">
        <w:t>a</w:t>
      </w:r>
      <w:r>
        <w:t xml:space="preserve"> </w:t>
      </w:r>
      <w:r w:rsidRPr="00B05565">
        <w:t>převzetí</w:t>
      </w:r>
      <w:r>
        <w:t xml:space="preserve"> </w:t>
      </w:r>
      <w:r w:rsidRPr="00B05565">
        <w:t>inspekční</w:t>
      </w:r>
      <w:r>
        <w:t xml:space="preserve"> </w:t>
      </w:r>
      <w:r w:rsidRPr="00B05565">
        <w:t>zprávy</w:t>
      </w:r>
      <w:r>
        <w:t xml:space="preserve"> </w:t>
      </w:r>
      <w:r w:rsidRPr="00B05565">
        <w:t>potvrdí</w:t>
      </w:r>
      <w:r>
        <w:t xml:space="preserve"> </w:t>
      </w:r>
      <w:r w:rsidRPr="00B05565">
        <w:t>ředitel</w:t>
      </w:r>
      <w:r>
        <w:t xml:space="preserve"> </w:t>
      </w:r>
      <w:r w:rsidRPr="00B05565">
        <w:t>školy</w:t>
      </w:r>
      <w:r>
        <w:t xml:space="preserve"> </w:t>
      </w:r>
      <w:r w:rsidRPr="00B05565">
        <w:t>nebo</w:t>
      </w:r>
      <w:r>
        <w:t xml:space="preserve"> </w:t>
      </w:r>
      <w:r w:rsidRPr="00B05565">
        <w:t>školského</w:t>
      </w:r>
      <w:r>
        <w:t xml:space="preserve"> </w:t>
      </w:r>
      <w:r w:rsidRPr="00B05565">
        <w:t>zařízení</w:t>
      </w:r>
      <w:r>
        <w:t xml:space="preserve"> </w:t>
      </w:r>
      <w:r w:rsidRPr="00B05565">
        <w:t>podpisem.</w:t>
      </w:r>
      <w:r>
        <w:t xml:space="preserve"> </w:t>
      </w:r>
      <w:r w:rsidRPr="00B05565">
        <w:t>Připomínky</w:t>
      </w:r>
      <w:r>
        <w:t xml:space="preserve"> </w:t>
      </w:r>
      <w:r w:rsidRPr="00B05565">
        <w:t>k</w:t>
      </w:r>
      <w:r>
        <w:t xml:space="preserve"> </w:t>
      </w:r>
      <w:r w:rsidRPr="00B05565">
        <w:t>obsahu</w:t>
      </w:r>
      <w:r>
        <w:t xml:space="preserve"> </w:t>
      </w:r>
      <w:r w:rsidRPr="00B05565">
        <w:t>inspekční</w:t>
      </w:r>
      <w:r>
        <w:t xml:space="preserve"> </w:t>
      </w:r>
      <w:r w:rsidRPr="00B05565">
        <w:t>zprávy</w:t>
      </w:r>
      <w:r>
        <w:t xml:space="preserve"> </w:t>
      </w:r>
      <w:r w:rsidRPr="00B05565">
        <w:t>může</w:t>
      </w:r>
      <w:r>
        <w:t xml:space="preserve"> </w:t>
      </w:r>
      <w:r w:rsidRPr="00B05565">
        <w:t>ředitel</w:t>
      </w:r>
      <w:r>
        <w:t xml:space="preserve"> </w:t>
      </w:r>
      <w:r w:rsidRPr="00B05565">
        <w:t>školy</w:t>
      </w:r>
      <w:r>
        <w:t xml:space="preserve"> </w:t>
      </w:r>
      <w:r w:rsidRPr="00B05565">
        <w:t>nebo</w:t>
      </w:r>
      <w:r>
        <w:t xml:space="preserve"> </w:t>
      </w:r>
      <w:r w:rsidRPr="00B05565">
        <w:t>školského</w:t>
      </w:r>
      <w:r>
        <w:t xml:space="preserve"> </w:t>
      </w:r>
      <w:r w:rsidRPr="00B05565">
        <w:t>zařízení</w:t>
      </w:r>
      <w:r>
        <w:t xml:space="preserve"> </w:t>
      </w:r>
      <w:r w:rsidRPr="00B05565">
        <w:t>podat</w:t>
      </w:r>
      <w:r>
        <w:t xml:space="preserve"> </w:t>
      </w:r>
      <w:r w:rsidRPr="00B05565">
        <w:t>České</w:t>
      </w:r>
      <w:r>
        <w:t xml:space="preserve"> </w:t>
      </w:r>
      <w:r w:rsidRPr="00B05565">
        <w:t>školní</w:t>
      </w:r>
      <w:r>
        <w:t xml:space="preserve"> </w:t>
      </w:r>
      <w:r w:rsidRPr="00B05565">
        <w:t>inspekci</w:t>
      </w:r>
      <w:r>
        <w:t xml:space="preserve"> </w:t>
      </w:r>
      <w:r w:rsidRPr="00B05565">
        <w:t>do</w:t>
      </w:r>
      <w:r>
        <w:t xml:space="preserve"> </w:t>
      </w:r>
      <w:r w:rsidRPr="00B05565">
        <w:t>14</w:t>
      </w:r>
      <w:r>
        <w:t xml:space="preserve"> </w:t>
      </w:r>
      <w:r w:rsidRPr="00B05565">
        <w:t>dnů</w:t>
      </w:r>
      <w:r>
        <w:t xml:space="preserve"> </w:t>
      </w:r>
      <w:r w:rsidRPr="00B05565">
        <w:t>po</w:t>
      </w:r>
      <w:r>
        <w:t xml:space="preserve"> </w:t>
      </w:r>
      <w:r w:rsidRPr="00B05565">
        <w:t>jejím</w:t>
      </w:r>
      <w:r>
        <w:t xml:space="preserve"> </w:t>
      </w:r>
      <w:r w:rsidRPr="00B05565">
        <w:t>převzetí.</w:t>
      </w:r>
      <w:r>
        <w:t xml:space="preserve"> </w:t>
      </w:r>
      <w:r w:rsidRPr="00B05565">
        <w:t>Inspekční</w:t>
      </w:r>
      <w:r>
        <w:t xml:space="preserve"> </w:t>
      </w:r>
      <w:r w:rsidRPr="00B05565">
        <w:t>zprávu</w:t>
      </w:r>
      <w:r>
        <w:t xml:space="preserve"> </w:t>
      </w:r>
      <w:r w:rsidRPr="00B05565">
        <w:t>společně</w:t>
      </w:r>
      <w:r>
        <w:t xml:space="preserve"> </w:t>
      </w:r>
      <w:r w:rsidRPr="00B05565">
        <w:t>s</w:t>
      </w:r>
      <w:r>
        <w:t xml:space="preserve"> </w:t>
      </w:r>
      <w:r w:rsidRPr="00B05565">
        <w:t>připomínkami</w:t>
      </w:r>
      <w:r>
        <w:t xml:space="preserve"> </w:t>
      </w:r>
      <w:r w:rsidRPr="00B05565">
        <w:t>a</w:t>
      </w:r>
      <w:r>
        <w:t xml:space="preserve"> </w:t>
      </w:r>
      <w:r w:rsidRPr="00B05565">
        <w:t>stanoviskem</w:t>
      </w:r>
      <w:r>
        <w:t xml:space="preserve"> </w:t>
      </w:r>
      <w:r w:rsidRPr="00B05565">
        <w:t>České</w:t>
      </w:r>
      <w:r>
        <w:t xml:space="preserve"> </w:t>
      </w:r>
      <w:r w:rsidRPr="00B05565">
        <w:t>školní</w:t>
      </w:r>
      <w:r>
        <w:t xml:space="preserve"> </w:t>
      </w:r>
      <w:r w:rsidRPr="00B05565">
        <w:t>inspekce</w:t>
      </w:r>
      <w:r>
        <w:t xml:space="preserve"> </w:t>
      </w:r>
      <w:r w:rsidRPr="00B05565">
        <w:t>k</w:t>
      </w:r>
      <w:r>
        <w:t xml:space="preserve"> </w:t>
      </w:r>
      <w:r w:rsidRPr="00B05565">
        <w:t>jejich</w:t>
      </w:r>
      <w:r>
        <w:t xml:space="preserve"> </w:t>
      </w:r>
      <w:r w:rsidRPr="00B05565">
        <w:t>obsahu</w:t>
      </w:r>
      <w:r>
        <w:t xml:space="preserve"> </w:t>
      </w:r>
      <w:r w:rsidRPr="00B05565">
        <w:t>zasílá</w:t>
      </w:r>
      <w:r>
        <w:t xml:space="preserve"> </w:t>
      </w:r>
      <w:r w:rsidRPr="00B05565">
        <w:t>Česká</w:t>
      </w:r>
      <w:r>
        <w:t xml:space="preserve"> </w:t>
      </w:r>
      <w:r w:rsidRPr="00B05565">
        <w:t>školní</w:t>
      </w:r>
      <w:r>
        <w:t xml:space="preserve"> </w:t>
      </w:r>
      <w:r w:rsidRPr="00B05565">
        <w:t>inspekce</w:t>
      </w:r>
      <w:r>
        <w:t xml:space="preserve"> </w:t>
      </w:r>
      <w:r w:rsidRPr="00B05565">
        <w:t>bez</w:t>
      </w:r>
      <w:r>
        <w:t xml:space="preserve"> </w:t>
      </w:r>
      <w:r w:rsidRPr="00B05565">
        <w:t>zbytečného</w:t>
      </w:r>
      <w:r>
        <w:t xml:space="preserve"> </w:t>
      </w:r>
      <w:r w:rsidRPr="00B05565">
        <w:t>odkladu</w:t>
      </w:r>
      <w:r>
        <w:t xml:space="preserve"> </w:t>
      </w:r>
      <w:r w:rsidRPr="00B05565">
        <w:t>zřizovateli</w:t>
      </w:r>
      <w:r>
        <w:t xml:space="preserve"> </w:t>
      </w:r>
      <w:r w:rsidRPr="00B05565">
        <w:t>a</w:t>
      </w:r>
      <w:r>
        <w:t xml:space="preserve"> </w:t>
      </w:r>
      <w:r w:rsidRPr="00B05565">
        <w:t>školské</w:t>
      </w:r>
      <w:r>
        <w:t xml:space="preserve"> </w:t>
      </w:r>
      <w:r w:rsidRPr="00B05565">
        <w:t>radě.</w:t>
      </w:r>
      <w:r>
        <w:t xml:space="preserve"> </w:t>
      </w:r>
      <w:r w:rsidRPr="00B05565">
        <w:t>Inspekční</w:t>
      </w:r>
      <w:r>
        <w:t xml:space="preserve"> </w:t>
      </w:r>
      <w:r w:rsidRPr="00B05565">
        <w:t>zpráva</w:t>
      </w:r>
      <w:r>
        <w:t xml:space="preserve"> </w:t>
      </w:r>
      <w:r w:rsidRPr="00B05565">
        <w:t>včetně</w:t>
      </w:r>
      <w:r>
        <w:t xml:space="preserve"> </w:t>
      </w:r>
      <w:r w:rsidRPr="00B05565">
        <w:t>připomínek</w:t>
      </w:r>
      <w:r>
        <w:t xml:space="preserve"> </w:t>
      </w:r>
      <w:r w:rsidRPr="00B05565">
        <w:t>je</w:t>
      </w:r>
      <w:r>
        <w:t xml:space="preserve"> </w:t>
      </w:r>
      <w:r w:rsidRPr="00B05565">
        <w:t>veřejná</w:t>
      </w:r>
      <w:r>
        <w:t xml:space="preserve"> </w:t>
      </w:r>
      <w:r w:rsidRPr="00B05565">
        <w:t>a</w:t>
      </w:r>
      <w:r>
        <w:t xml:space="preserve"> </w:t>
      </w:r>
      <w:r w:rsidRPr="00B05565">
        <w:t>je</w:t>
      </w:r>
      <w:r>
        <w:t xml:space="preserve"> </w:t>
      </w:r>
      <w:r w:rsidRPr="00B05565">
        <w:t>uložena</w:t>
      </w:r>
      <w:r>
        <w:t xml:space="preserve"> </w:t>
      </w:r>
      <w:r w:rsidRPr="00B05565">
        <w:t>po</w:t>
      </w:r>
      <w:r>
        <w:t xml:space="preserve"> </w:t>
      </w:r>
      <w:r w:rsidRPr="00B05565">
        <w:t>dobu</w:t>
      </w:r>
      <w:r>
        <w:t xml:space="preserve"> </w:t>
      </w:r>
      <w:r w:rsidRPr="00B05565">
        <w:t>10</w:t>
      </w:r>
      <w:r>
        <w:t xml:space="preserve"> </w:t>
      </w:r>
      <w:r w:rsidRPr="00B05565">
        <w:t>let</w:t>
      </w:r>
      <w:r>
        <w:t xml:space="preserve"> </w:t>
      </w:r>
      <w:r w:rsidRPr="00B05565">
        <w:t>ve</w:t>
      </w:r>
      <w:r>
        <w:t xml:space="preserve"> </w:t>
      </w:r>
      <w:r w:rsidRPr="00B05565">
        <w:t>škole</w:t>
      </w:r>
      <w:r>
        <w:t xml:space="preserve"> </w:t>
      </w:r>
      <w:r w:rsidRPr="00B05565">
        <w:t>nebo</w:t>
      </w:r>
      <w:r>
        <w:t xml:space="preserve"> </w:t>
      </w:r>
      <w:r w:rsidRPr="00B05565">
        <w:t>školském</w:t>
      </w:r>
      <w:r>
        <w:t xml:space="preserve"> </w:t>
      </w:r>
      <w:r w:rsidRPr="00B05565">
        <w:t>zařízení,</w:t>
      </w:r>
      <w:r>
        <w:t xml:space="preserve"> </w:t>
      </w:r>
      <w:r w:rsidRPr="00B05565">
        <w:t>jichž</w:t>
      </w:r>
      <w:r>
        <w:t xml:space="preserve"> </w:t>
      </w:r>
      <w:r w:rsidRPr="00B05565">
        <w:t>se</w:t>
      </w:r>
      <w:r>
        <w:t xml:space="preserve"> </w:t>
      </w:r>
      <w:r w:rsidRPr="00B05565">
        <w:t>týká,</w:t>
      </w:r>
      <w:r>
        <w:t xml:space="preserve"> </w:t>
      </w:r>
      <w:r w:rsidRPr="00B05565">
        <w:t>a</w:t>
      </w:r>
      <w:r>
        <w:t xml:space="preserve"> </w:t>
      </w:r>
      <w:r w:rsidRPr="00B05565">
        <w:t>v</w:t>
      </w:r>
      <w:r>
        <w:t xml:space="preserve"> </w:t>
      </w:r>
      <w:r w:rsidRPr="00B05565">
        <w:t>příslušném</w:t>
      </w:r>
      <w:r>
        <w:t xml:space="preserve"> </w:t>
      </w:r>
      <w:r w:rsidRPr="00B05565">
        <w:t>inspektorátu</w:t>
      </w:r>
      <w:r>
        <w:t xml:space="preserve"> </w:t>
      </w:r>
      <w:r w:rsidRPr="00B05565">
        <w:t>České</w:t>
      </w:r>
      <w:r>
        <w:t xml:space="preserve"> </w:t>
      </w:r>
      <w:r w:rsidRPr="00B05565">
        <w:t>školní</w:t>
      </w:r>
      <w:r>
        <w:t xml:space="preserve"> </w:t>
      </w:r>
      <w:r w:rsidRPr="00B05565">
        <w:t>inspekce.</w:t>
      </w:r>
    </w:p>
    <w:p w14:paraId="0CDEC6C7" w14:textId="77777777" w:rsidR="00B9271C" w:rsidRDefault="00B9271C" w:rsidP="00A84DD3">
      <w:pPr>
        <w:pStyle w:val="Textparagrafu"/>
        <w:tabs>
          <w:tab w:val="left" w:pos="392"/>
          <w:tab w:val="left" w:pos="840"/>
        </w:tabs>
        <w:spacing w:before="120" w:after="120"/>
      </w:pPr>
      <w:r w:rsidRPr="00B05565">
        <w:t>(12)</w:t>
      </w:r>
      <w:r>
        <w:t xml:space="preserve"> </w:t>
      </w:r>
      <w:r w:rsidRPr="00B05565">
        <w:t>Tematickou</w:t>
      </w:r>
      <w:r>
        <w:t xml:space="preserve"> </w:t>
      </w:r>
      <w:r w:rsidRPr="00B05565">
        <w:t>zprávu</w:t>
      </w:r>
      <w:r>
        <w:t xml:space="preserve"> </w:t>
      </w:r>
      <w:r w:rsidRPr="00B05565">
        <w:t>vydává</w:t>
      </w:r>
      <w:r>
        <w:t xml:space="preserve"> </w:t>
      </w:r>
      <w:r w:rsidRPr="00B05565">
        <w:t>Česká</w:t>
      </w:r>
      <w:r>
        <w:t xml:space="preserve"> </w:t>
      </w:r>
      <w:r w:rsidRPr="00B05565">
        <w:t>školní</w:t>
      </w:r>
      <w:r>
        <w:t xml:space="preserve"> </w:t>
      </w:r>
      <w:r w:rsidRPr="00B05565">
        <w:t>inspekce</w:t>
      </w:r>
      <w:r>
        <w:t xml:space="preserve"> </w:t>
      </w:r>
      <w:r w:rsidRPr="00B05565">
        <w:t>na</w:t>
      </w:r>
      <w:r>
        <w:t xml:space="preserve"> </w:t>
      </w:r>
      <w:r w:rsidRPr="00B05565">
        <w:t>základě</w:t>
      </w:r>
      <w:r>
        <w:t xml:space="preserve"> </w:t>
      </w:r>
      <w:r w:rsidRPr="00B05565">
        <w:t>shrnutí</w:t>
      </w:r>
      <w:r>
        <w:t xml:space="preserve"> </w:t>
      </w:r>
      <w:r w:rsidRPr="00B05565">
        <w:t>poznatků</w:t>
      </w:r>
      <w:r>
        <w:t xml:space="preserve"> </w:t>
      </w:r>
      <w:r w:rsidRPr="00B05565">
        <w:t>získaných</w:t>
      </w:r>
      <w:r>
        <w:t xml:space="preserve"> </w:t>
      </w:r>
      <w:r w:rsidRPr="00B05565">
        <w:t>z</w:t>
      </w:r>
      <w:r>
        <w:t xml:space="preserve"> </w:t>
      </w:r>
      <w:r w:rsidRPr="00B05565">
        <w:t>inspekční</w:t>
      </w:r>
      <w:r>
        <w:t xml:space="preserve"> </w:t>
      </w:r>
      <w:r w:rsidRPr="00B05565">
        <w:t>činnosti</w:t>
      </w:r>
      <w:r>
        <w:t xml:space="preserve"> </w:t>
      </w:r>
      <w:r w:rsidRPr="00B05565">
        <w:t>v</w:t>
      </w:r>
      <w:r>
        <w:t xml:space="preserve"> </w:t>
      </w:r>
      <w:r w:rsidRPr="00B05565">
        <w:t>určitém</w:t>
      </w:r>
      <w:r>
        <w:t xml:space="preserve"> </w:t>
      </w:r>
      <w:r w:rsidRPr="00B05565">
        <w:t>tematickém</w:t>
      </w:r>
      <w:r>
        <w:t xml:space="preserve"> </w:t>
      </w:r>
      <w:r w:rsidRPr="00B05565">
        <w:t>okruhu</w:t>
      </w:r>
      <w:r>
        <w:t xml:space="preserve"> </w:t>
      </w:r>
      <w:r w:rsidRPr="00B05565">
        <w:t>a</w:t>
      </w:r>
      <w:r>
        <w:t xml:space="preserve"> </w:t>
      </w:r>
      <w:r w:rsidRPr="00B05565">
        <w:t>jejich</w:t>
      </w:r>
      <w:r>
        <w:t xml:space="preserve"> </w:t>
      </w:r>
      <w:r w:rsidRPr="00B05565">
        <w:t>analýzy.</w:t>
      </w:r>
      <w:r>
        <w:t xml:space="preserve"> </w:t>
      </w:r>
      <w:r w:rsidRPr="00B05565">
        <w:t>Tematická</w:t>
      </w:r>
      <w:r>
        <w:t xml:space="preserve"> </w:t>
      </w:r>
      <w:r w:rsidRPr="00B05565">
        <w:t>zpráva</w:t>
      </w:r>
      <w:r>
        <w:t xml:space="preserve"> </w:t>
      </w:r>
      <w:r w:rsidRPr="00B05565">
        <w:t>se</w:t>
      </w:r>
      <w:r>
        <w:t xml:space="preserve"> </w:t>
      </w:r>
      <w:r w:rsidRPr="00B05565">
        <w:t>po</w:t>
      </w:r>
      <w:r>
        <w:t xml:space="preserve"> </w:t>
      </w:r>
      <w:r w:rsidRPr="00B05565">
        <w:t>jejím</w:t>
      </w:r>
      <w:r>
        <w:t xml:space="preserve"> </w:t>
      </w:r>
      <w:r w:rsidRPr="00B05565">
        <w:t>zpracování</w:t>
      </w:r>
      <w:r>
        <w:t xml:space="preserve"> </w:t>
      </w:r>
      <w:r w:rsidRPr="00B05565">
        <w:t>bez</w:t>
      </w:r>
      <w:r>
        <w:t xml:space="preserve"> </w:t>
      </w:r>
      <w:r w:rsidRPr="00B05565">
        <w:t>zbytečného</w:t>
      </w:r>
      <w:r>
        <w:t xml:space="preserve"> </w:t>
      </w:r>
      <w:r w:rsidRPr="00B05565">
        <w:t>odkladu</w:t>
      </w:r>
      <w:r>
        <w:t xml:space="preserve"> </w:t>
      </w:r>
      <w:r w:rsidRPr="00B05565">
        <w:t>zveřejňuje.</w:t>
      </w:r>
    </w:p>
    <w:p w14:paraId="597C8081" w14:textId="77777777" w:rsidR="00B9271C" w:rsidRDefault="00B9271C" w:rsidP="00A84DD3">
      <w:pPr>
        <w:pStyle w:val="Textparagrafu"/>
        <w:tabs>
          <w:tab w:val="left" w:pos="392"/>
          <w:tab w:val="left" w:pos="840"/>
        </w:tabs>
        <w:spacing w:before="120" w:after="120"/>
      </w:pPr>
      <w:r w:rsidRPr="00B05565">
        <w:t>(13)</w:t>
      </w:r>
      <w:r>
        <w:t xml:space="preserve"> </w:t>
      </w:r>
      <w:r w:rsidRPr="00B05565">
        <w:t>Výroční</w:t>
      </w:r>
      <w:r>
        <w:t xml:space="preserve"> </w:t>
      </w:r>
      <w:r w:rsidRPr="00B05565">
        <w:t>zpráva</w:t>
      </w:r>
      <w:r>
        <w:t xml:space="preserve"> </w:t>
      </w:r>
      <w:r w:rsidRPr="00B05565">
        <w:t>České</w:t>
      </w:r>
      <w:r>
        <w:t xml:space="preserve"> </w:t>
      </w:r>
      <w:r w:rsidRPr="00B05565">
        <w:t>školní</w:t>
      </w:r>
      <w:r>
        <w:t xml:space="preserve"> </w:t>
      </w:r>
      <w:r w:rsidRPr="00B05565">
        <w:t>inspekce</w:t>
      </w:r>
      <w:r>
        <w:t xml:space="preserve"> </w:t>
      </w:r>
      <w:r w:rsidRPr="00B05565">
        <w:t>obsahuje</w:t>
      </w:r>
      <w:r>
        <w:t xml:space="preserve"> </w:t>
      </w:r>
      <w:r w:rsidRPr="00B05565">
        <w:t>souhrnné</w:t>
      </w:r>
      <w:r>
        <w:t xml:space="preserve"> </w:t>
      </w:r>
      <w:r w:rsidRPr="00B05565">
        <w:t>poznatky</w:t>
      </w:r>
      <w:r>
        <w:t xml:space="preserve"> </w:t>
      </w:r>
      <w:r w:rsidRPr="00B05565">
        <w:t>o</w:t>
      </w:r>
      <w:r>
        <w:t xml:space="preserve"> </w:t>
      </w:r>
      <w:r w:rsidRPr="00B05565">
        <w:t>stavu</w:t>
      </w:r>
      <w:r>
        <w:t xml:space="preserve"> </w:t>
      </w:r>
      <w:r w:rsidRPr="00B05565">
        <w:t>vzdělávání</w:t>
      </w:r>
      <w:r>
        <w:t xml:space="preserve"> </w:t>
      </w:r>
      <w:r w:rsidRPr="00B05565">
        <w:t>a</w:t>
      </w:r>
      <w:r>
        <w:t xml:space="preserve"> </w:t>
      </w:r>
      <w:r w:rsidRPr="00B05565">
        <w:t>vzdělávací</w:t>
      </w:r>
      <w:r>
        <w:t xml:space="preserve"> </w:t>
      </w:r>
      <w:r w:rsidRPr="00B05565">
        <w:t>soustavy</w:t>
      </w:r>
      <w:r>
        <w:t xml:space="preserve"> </w:t>
      </w:r>
      <w:r w:rsidRPr="00B05565">
        <w:t>vycházející</w:t>
      </w:r>
      <w:r>
        <w:t xml:space="preserve"> </w:t>
      </w:r>
      <w:r w:rsidRPr="00B05565">
        <w:t>z</w:t>
      </w:r>
      <w:r>
        <w:t xml:space="preserve"> </w:t>
      </w:r>
      <w:r w:rsidRPr="00B05565">
        <w:t>inspekční</w:t>
      </w:r>
      <w:r>
        <w:t xml:space="preserve"> </w:t>
      </w:r>
      <w:r w:rsidRPr="00B05565">
        <w:t>činnosti</w:t>
      </w:r>
      <w:r>
        <w:t xml:space="preserve"> </w:t>
      </w:r>
      <w:r w:rsidRPr="00B05565">
        <w:t>za</w:t>
      </w:r>
      <w:r>
        <w:t xml:space="preserve"> </w:t>
      </w:r>
      <w:r w:rsidRPr="00B05565">
        <w:t>předcházející</w:t>
      </w:r>
      <w:r>
        <w:t xml:space="preserve"> </w:t>
      </w:r>
      <w:r w:rsidRPr="00B05565">
        <w:t>školní</w:t>
      </w:r>
      <w:r>
        <w:t xml:space="preserve"> </w:t>
      </w:r>
      <w:r w:rsidRPr="00B05565">
        <w:t>rok</w:t>
      </w:r>
      <w:r>
        <w:t xml:space="preserve"> </w:t>
      </w:r>
      <w:r w:rsidRPr="00B05565">
        <w:t>a</w:t>
      </w:r>
      <w:r>
        <w:t xml:space="preserve"> </w:t>
      </w:r>
      <w:r w:rsidRPr="00B05565">
        <w:t>zveřejňuje</w:t>
      </w:r>
      <w:r>
        <w:t xml:space="preserve"> </w:t>
      </w:r>
      <w:r w:rsidRPr="00B05565">
        <w:t>se</w:t>
      </w:r>
      <w:r>
        <w:t xml:space="preserve"> </w:t>
      </w:r>
      <w:r w:rsidRPr="00B05565">
        <w:t>každoročně</w:t>
      </w:r>
      <w:r>
        <w:t xml:space="preserve"> </w:t>
      </w:r>
      <w:r w:rsidRPr="00B05565">
        <w:t>v</w:t>
      </w:r>
      <w:r>
        <w:t xml:space="preserve"> </w:t>
      </w:r>
      <w:r w:rsidRPr="00B05565">
        <w:t>prosinci.</w:t>
      </w:r>
    </w:p>
    <w:p w14:paraId="185AC841" w14:textId="77777777" w:rsidR="00B9271C" w:rsidRDefault="00B9271C" w:rsidP="00A84DD3">
      <w:pPr>
        <w:pStyle w:val="Textparagrafu"/>
        <w:tabs>
          <w:tab w:val="left" w:pos="392"/>
          <w:tab w:val="left" w:pos="840"/>
        </w:tabs>
        <w:spacing w:before="120" w:after="120"/>
      </w:pPr>
      <w:r w:rsidRPr="00B05565">
        <w:t>(14)</w:t>
      </w:r>
      <w:r>
        <w:t xml:space="preserve"> </w:t>
      </w:r>
      <w:r w:rsidRPr="00B05565">
        <w:t>Česká</w:t>
      </w:r>
      <w:r>
        <w:t xml:space="preserve"> </w:t>
      </w:r>
      <w:r w:rsidRPr="00B05565">
        <w:t>školní</w:t>
      </w:r>
      <w:r>
        <w:t xml:space="preserve"> </w:t>
      </w:r>
      <w:r w:rsidRPr="00B05565">
        <w:t>inspekce</w:t>
      </w:r>
      <w:r>
        <w:t xml:space="preserve"> </w:t>
      </w:r>
      <w:r w:rsidRPr="00B05565">
        <w:t>podává</w:t>
      </w:r>
      <w:r>
        <w:t xml:space="preserve"> </w:t>
      </w:r>
      <w:r w:rsidRPr="00B05565">
        <w:t>návrh</w:t>
      </w:r>
      <w:r>
        <w:t xml:space="preserve"> </w:t>
      </w:r>
      <w:r w:rsidRPr="00B05565">
        <w:t>na</w:t>
      </w:r>
      <w:r>
        <w:t xml:space="preserve"> </w:t>
      </w:r>
      <w:r w:rsidRPr="00B05565">
        <w:t>odvolání</w:t>
      </w:r>
      <w:r>
        <w:t xml:space="preserve"> </w:t>
      </w:r>
      <w:r w:rsidRPr="00B05565">
        <w:t>ředitele</w:t>
      </w:r>
      <w:r>
        <w:t xml:space="preserve"> </w:t>
      </w:r>
      <w:r w:rsidRPr="00B05565">
        <w:t>školy</w:t>
      </w:r>
      <w:r>
        <w:t xml:space="preserve"> </w:t>
      </w:r>
      <w:r w:rsidRPr="00B05565">
        <w:t>nebo</w:t>
      </w:r>
      <w:r>
        <w:t xml:space="preserve"> </w:t>
      </w:r>
      <w:r w:rsidRPr="00B05565">
        <w:t>školského</w:t>
      </w:r>
      <w:r>
        <w:t xml:space="preserve"> </w:t>
      </w:r>
      <w:r w:rsidRPr="00B05565">
        <w:t>zařízení</w:t>
      </w:r>
      <w:r>
        <w:t xml:space="preserve"> </w:t>
      </w:r>
      <w:r w:rsidRPr="00B05565">
        <w:t>zřizovaného</w:t>
      </w:r>
      <w:r>
        <w:t xml:space="preserve"> </w:t>
      </w:r>
      <w:r w:rsidRPr="00B05565">
        <w:t>státem,</w:t>
      </w:r>
      <w:r>
        <w:t xml:space="preserve"> </w:t>
      </w:r>
      <w:r w:rsidRPr="00B05565">
        <w:t>krajem,</w:t>
      </w:r>
      <w:r>
        <w:t xml:space="preserve"> </w:t>
      </w:r>
      <w:r w:rsidRPr="00B05565">
        <w:t>obcí</w:t>
      </w:r>
      <w:r>
        <w:t xml:space="preserve"> </w:t>
      </w:r>
      <w:r w:rsidRPr="00B05565">
        <w:t>nebo</w:t>
      </w:r>
      <w:r>
        <w:t xml:space="preserve"> </w:t>
      </w:r>
      <w:r w:rsidRPr="00B05565">
        <w:t>svazkem</w:t>
      </w:r>
      <w:r>
        <w:t xml:space="preserve"> </w:t>
      </w:r>
      <w:r w:rsidRPr="00B05565">
        <w:t>obcí</w:t>
      </w:r>
      <w:r>
        <w:t xml:space="preserve"> </w:t>
      </w:r>
      <w:r w:rsidRPr="00B05565">
        <w:t>v</w:t>
      </w:r>
      <w:r>
        <w:t xml:space="preserve"> </w:t>
      </w:r>
      <w:r w:rsidRPr="00B05565">
        <w:t>případě</w:t>
      </w:r>
      <w:r>
        <w:t xml:space="preserve"> </w:t>
      </w:r>
      <w:r w:rsidRPr="00B05565">
        <w:t>zjištění</w:t>
      </w:r>
      <w:r>
        <w:t xml:space="preserve"> </w:t>
      </w:r>
      <w:r w:rsidRPr="00B05565">
        <w:t>závažných</w:t>
      </w:r>
      <w:r>
        <w:t xml:space="preserve"> </w:t>
      </w:r>
      <w:r w:rsidRPr="00B05565">
        <w:t>nedostatků</w:t>
      </w:r>
      <w:r>
        <w:t xml:space="preserve"> </w:t>
      </w:r>
      <w:r w:rsidRPr="00B05565">
        <w:t>v</w:t>
      </w:r>
      <w:r>
        <w:t xml:space="preserve"> </w:t>
      </w:r>
      <w:r w:rsidRPr="00B05565">
        <w:t>činnosti</w:t>
      </w:r>
      <w:r>
        <w:t xml:space="preserve"> </w:t>
      </w:r>
      <w:r w:rsidRPr="00B05565">
        <w:t>školy</w:t>
      </w:r>
      <w:r>
        <w:t xml:space="preserve"> </w:t>
      </w:r>
      <w:r w:rsidRPr="00B05565">
        <w:t>nebo</w:t>
      </w:r>
      <w:r>
        <w:t xml:space="preserve"> </w:t>
      </w:r>
      <w:r w:rsidRPr="00B05565">
        <w:t>školského</w:t>
      </w:r>
      <w:r>
        <w:t xml:space="preserve"> </w:t>
      </w:r>
      <w:r w:rsidRPr="00B05565">
        <w:t>zařízení.</w:t>
      </w:r>
    </w:p>
    <w:p w14:paraId="6DC134F6" w14:textId="77777777" w:rsidR="00B9271C" w:rsidRPr="00B05565" w:rsidRDefault="00B9271C" w:rsidP="00A84DD3">
      <w:pPr>
        <w:pStyle w:val="Textparagrafu"/>
        <w:tabs>
          <w:tab w:val="left" w:pos="392"/>
          <w:tab w:val="left" w:pos="840"/>
        </w:tabs>
        <w:spacing w:before="120" w:after="120"/>
      </w:pPr>
      <w:r w:rsidRPr="00B05565">
        <w:lastRenderedPageBreak/>
        <w:t>(15)</w:t>
      </w:r>
      <w:r>
        <w:t xml:space="preserve"> </w:t>
      </w:r>
      <w:r w:rsidRPr="00B05565">
        <w:t>Česká</w:t>
      </w:r>
      <w:r>
        <w:t xml:space="preserve"> </w:t>
      </w:r>
      <w:r w:rsidRPr="00B05565">
        <w:t>školní</w:t>
      </w:r>
      <w:r>
        <w:t xml:space="preserve"> </w:t>
      </w:r>
      <w:r w:rsidRPr="00B05565">
        <w:t>inspekce</w:t>
      </w:r>
      <w:r>
        <w:t xml:space="preserve"> </w:t>
      </w:r>
      <w:r w:rsidRPr="00B05565">
        <w:t>může</w:t>
      </w:r>
      <w:r>
        <w:t xml:space="preserve"> </w:t>
      </w:r>
      <w:r w:rsidRPr="00B05565">
        <w:t>v</w:t>
      </w:r>
      <w:r>
        <w:t xml:space="preserve"> </w:t>
      </w:r>
      <w:r w:rsidRPr="00B05565">
        <w:t>odůvodněných</w:t>
      </w:r>
      <w:r>
        <w:t xml:space="preserve"> </w:t>
      </w:r>
      <w:r w:rsidRPr="00B05565">
        <w:t>případech</w:t>
      </w:r>
      <w:r>
        <w:t xml:space="preserve"> </w:t>
      </w:r>
      <w:r w:rsidRPr="00B05565">
        <w:t>provádět</w:t>
      </w:r>
      <w:r>
        <w:t xml:space="preserve"> </w:t>
      </w:r>
      <w:r w:rsidRPr="00B05565">
        <w:t>inspekční</w:t>
      </w:r>
      <w:r>
        <w:t xml:space="preserve"> </w:t>
      </w:r>
      <w:r w:rsidRPr="00B05565">
        <w:t>činnost</w:t>
      </w:r>
      <w:r>
        <w:t xml:space="preserve"> </w:t>
      </w:r>
      <w:r w:rsidRPr="00B05565">
        <w:t>i</w:t>
      </w:r>
      <w:r>
        <w:t xml:space="preserve"> </w:t>
      </w:r>
      <w:r w:rsidRPr="00B05565">
        <w:t>formou</w:t>
      </w:r>
      <w:r>
        <w:t xml:space="preserve"> </w:t>
      </w:r>
      <w:r w:rsidRPr="00B05565">
        <w:t>elektronického</w:t>
      </w:r>
      <w:r>
        <w:t xml:space="preserve"> </w:t>
      </w:r>
      <w:r w:rsidRPr="00B05565">
        <w:t>zjišťování</w:t>
      </w:r>
      <w:r>
        <w:t xml:space="preserve"> </w:t>
      </w:r>
      <w:r w:rsidRPr="00B05565">
        <w:t>údajů.</w:t>
      </w:r>
    </w:p>
    <w:p w14:paraId="6163AFFF" w14:textId="40B7D4AC" w:rsidR="00B9271C" w:rsidRDefault="00B9271C" w:rsidP="00144684">
      <w:pPr>
        <w:pStyle w:val="Textparagrafu"/>
        <w:tabs>
          <w:tab w:val="left" w:pos="406"/>
          <w:tab w:val="left" w:pos="840"/>
          <w:tab w:val="left" w:pos="868"/>
        </w:tabs>
        <w:spacing w:after="120"/>
        <w:ind w:firstLine="0"/>
        <w:jc w:val="center"/>
      </w:pPr>
      <w:r>
        <w:t>***</w:t>
      </w:r>
    </w:p>
    <w:p w14:paraId="0E128835" w14:textId="2804B35B" w:rsidR="00BD5369" w:rsidRDefault="00BD5369" w:rsidP="00144684">
      <w:pPr>
        <w:pStyle w:val="Textparagrafu"/>
        <w:tabs>
          <w:tab w:val="left" w:pos="392"/>
          <w:tab w:val="left" w:pos="840"/>
        </w:tabs>
        <w:spacing w:after="120"/>
        <w:ind w:firstLine="0"/>
        <w:jc w:val="center"/>
      </w:pPr>
      <w:r w:rsidRPr="00DA1FCF">
        <w:t>§</w:t>
      </w:r>
      <w:r>
        <w:t xml:space="preserve"> </w:t>
      </w:r>
      <w:r w:rsidRPr="00DA1FCF">
        <w:t>180</w:t>
      </w:r>
    </w:p>
    <w:p w14:paraId="78000E3A" w14:textId="3822D0E3" w:rsidR="00BD5369" w:rsidRDefault="00BD5369" w:rsidP="00A84DD3">
      <w:pPr>
        <w:pStyle w:val="Textparagrafu"/>
        <w:tabs>
          <w:tab w:val="left" w:pos="392"/>
          <w:tab w:val="left" w:pos="840"/>
        </w:tabs>
        <w:spacing w:before="120" w:after="120"/>
      </w:pPr>
      <w:r w:rsidRPr="00DA1FCF">
        <w:t>(1)</w:t>
      </w:r>
      <w:r>
        <w:t xml:space="preserve"> </w:t>
      </w:r>
      <w:r w:rsidRPr="00DA1FCF">
        <w:t>Obec</w:t>
      </w:r>
      <w:r>
        <w:t xml:space="preserve"> </w:t>
      </w:r>
      <w:r w:rsidRPr="00DA1FCF">
        <w:t>nebo</w:t>
      </w:r>
      <w:r>
        <w:t xml:space="preserve"> </w:t>
      </w:r>
      <w:r w:rsidRPr="00DA1FCF">
        <w:t>svazek</w:t>
      </w:r>
      <w:r>
        <w:t xml:space="preserve"> </w:t>
      </w:r>
      <w:r w:rsidRPr="00DA1FCF">
        <w:t>obcí</w:t>
      </w:r>
      <w:r>
        <w:t xml:space="preserve"> </w:t>
      </w:r>
      <w:r w:rsidRPr="00DA1FCF">
        <w:t>zajišťuje</w:t>
      </w:r>
      <w:r>
        <w:t xml:space="preserve"> </w:t>
      </w:r>
      <w:r w:rsidRPr="00DA1FCF">
        <w:t>výdaje</w:t>
      </w:r>
      <w:r>
        <w:t xml:space="preserve"> </w:t>
      </w:r>
      <w:r w:rsidRPr="00DA1FCF">
        <w:t>právnických</w:t>
      </w:r>
      <w:r>
        <w:t xml:space="preserve"> </w:t>
      </w:r>
      <w:r w:rsidRPr="00DA1FCF">
        <w:t>osob</w:t>
      </w:r>
      <w:r>
        <w:t xml:space="preserve"> </w:t>
      </w:r>
      <w:r w:rsidRPr="00DA1FCF">
        <w:t>vykonávajících</w:t>
      </w:r>
      <w:r>
        <w:t xml:space="preserve"> </w:t>
      </w:r>
      <w:r w:rsidRPr="00DA1FCF">
        <w:t>činnost</w:t>
      </w:r>
      <w:r>
        <w:t xml:space="preserve"> </w:t>
      </w:r>
      <w:r w:rsidRPr="00DA1FCF">
        <w:t>škol</w:t>
      </w:r>
      <w:r>
        <w:t xml:space="preserve"> </w:t>
      </w:r>
      <w:r w:rsidRPr="00DA1FCF">
        <w:t>a</w:t>
      </w:r>
      <w:r>
        <w:t xml:space="preserve"> </w:t>
      </w:r>
      <w:r w:rsidRPr="00DA1FCF">
        <w:t>školských</w:t>
      </w:r>
      <w:r>
        <w:t xml:space="preserve"> </w:t>
      </w:r>
      <w:r w:rsidRPr="00DA1FCF">
        <w:t>zařízení,</w:t>
      </w:r>
      <w:r>
        <w:t xml:space="preserve"> </w:t>
      </w:r>
      <w:r w:rsidRPr="00DA1FCF">
        <w:t>které</w:t>
      </w:r>
      <w:r>
        <w:t xml:space="preserve"> </w:t>
      </w:r>
      <w:r w:rsidRPr="00DA1FCF">
        <w:t>zřizuje,</w:t>
      </w:r>
      <w:r>
        <w:t xml:space="preserve"> </w:t>
      </w:r>
      <w:r w:rsidRPr="00DA1FCF">
        <w:t>s</w:t>
      </w:r>
      <w:r>
        <w:t xml:space="preserve"> </w:t>
      </w:r>
      <w:r w:rsidRPr="00DA1FCF">
        <w:t>výjimkou</w:t>
      </w:r>
      <w:r>
        <w:t xml:space="preserve"> </w:t>
      </w:r>
      <w:r w:rsidRPr="00DA1FCF">
        <w:t>výdajů</w:t>
      </w:r>
      <w:r>
        <w:t xml:space="preserve"> </w:t>
      </w:r>
      <w:r w:rsidRPr="00DA1FCF">
        <w:t>hrazených</w:t>
      </w:r>
      <w:r>
        <w:t xml:space="preserve"> </w:t>
      </w:r>
      <w:r w:rsidRPr="00DA1FCF">
        <w:t>z</w:t>
      </w:r>
      <w:r>
        <w:t xml:space="preserve"> </w:t>
      </w:r>
      <w:r w:rsidRPr="00513FB9">
        <w:rPr>
          <w:strike/>
        </w:rPr>
        <w:t>finančních</w:t>
      </w:r>
      <w:r>
        <w:t xml:space="preserve"> </w:t>
      </w:r>
      <w:r w:rsidR="00513FB9">
        <w:rPr>
          <w:b/>
        </w:rPr>
        <w:t xml:space="preserve">peněžních </w:t>
      </w:r>
      <w:r w:rsidRPr="00DA1FCF">
        <w:t>prostředků</w:t>
      </w:r>
      <w:r>
        <w:t xml:space="preserve"> </w:t>
      </w:r>
      <w:r w:rsidRPr="00DA1FCF">
        <w:t>státního</w:t>
      </w:r>
      <w:r>
        <w:t xml:space="preserve"> </w:t>
      </w:r>
      <w:r w:rsidRPr="00DA1FCF">
        <w:t>rozpočtu</w:t>
      </w:r>
      <w:r>
        <w:t xml:space="preserve"> </w:t>
      </w:r>
      <w:r w:rsidRPr="00DA1FCF">
        <w:t>přidělovaných</w:t>
      </w:r>
      <w:r>
        <w:t xml:space="preserve"> </w:t>
      </w:r>
      <w:r w:rsidRPr="00DA1FCF">
        <w:t>podle</w:t>
      </w:r>
      <w:r>
        <w:t xml:space="preserve"> </w:t>
      </w:r>
      <w:r w:rsidRPr="00DA1FCF">
        <w:t>§</w:t>
      </w:r>
      <w:r>
        <w:t xml:space="preserve"> </w:t>
      </w:r>
      <w:r w:rsidRPr="00DA1FCF">
        <w:t>161</w:t>
      </w:r>
      <w:r>
        <w:t xml:space="preserve"> </w:t>
      </w:r>
      <w:r w:rsidRPr="00DA1FCF">
        <w:t>odst.</w:t>
      </w:r>
      <w:r>
        <w:t xml:space="preserve"> </w:t>
      </w:r>
      <w:r w:rsidRPr="00DA1FCF">
        <w:t>3</w:t>
      </w:r>
      <w:r>
        <w:t xml:space="preserve"> </w:t>
      </w:r>
      <w:r w:rsidRPr="00DA1FCF">
        <w:t>a</w:t>
      </w:r>
      <w:r>
        <w:t xml:space="preserve"> </w:t>
      </w:r>
      <w:r w:rsidRPr="00DA1FCF">
        <w:t>4,</w:t>
      </w:r>
      <w:r>
        <w:t xml:space="preserve"> </w:t>
      </w:r>
      <w:r w:rsidRPr="00DA1FCF">
        <w:t>§</w:t>
      </w:r>
      <w:r>
        <w:t xml:space="preserve"> </w:t>
      </w:r>
      <w:r w:rsidRPr="00DA1FCF">
        <w:t>161a</w:t>
      </w:r>
      <w:r>
        <w:t xml:space="preserve"> </w:t>
      </w:r>
      <w:r w:rsidRPr="00DA1FCF">
        <w:t>odst.</w:t>
      </w:r>
      <w:r>
        <w:t xml:space="preserve"> </w:t>
      </w:r>
      <w:r w:rsidRPr="00DA1FCF">
        <w:t>2,</w:t>
      </w:r>
      <w:r>
        <w:t xml:space="preserve"> </w:t>
      </w:r>
      <w:r w:rsidRPr="00DA1FCF">
        <w:t>§</w:t>
      </w:r>
      <w:r>
        <w:t xml:space="preserve"> </w:t>
      </w:r>
      <w:r w:rsidRPr="00DA1FCF">
        <w:t>161b</w:t>
      </w:r>
      <w:r>
        <w:t xml:space="preserve"> </w:t>
      </w:r>
      <w:r w:rsidRPr="00DA1FCF">
        <w:t>odst.</w:t>
      </w:r>
      <w:r>
        <w:t xml:space="preserve"> </w:t>
      </w:r>
      <w:r w:rsidRPr="00DA1FCF">
        <w:t>2,</w:t>
      </w:r>
      <w:r>
        <w:t xml:space="preserve"> </w:t>
      </w:r>
      <w:r w:rsidRPr="00DA1FCF">
        <w:t>§</w:t>
      </w:r>
      <w:r>
        <w:t xml:space="preserve"> </w:t>
      </w:r>
      <w:r w:rsidRPr="00DA1FCF">
        <w:t>161c</w:t>
      </w:r>
      <w:r>
        <w:t xml:space="preserve"> </w:t>
      </w:r>
      <w:r w:rsidRPr="00DA1FCF">
        <w:t>odst.</w:t>
      </w:r>
      <w:r>
        <w:t xml:space="preserve"> </w:t>
      </w:r>
      <w:r w:rsidRPr="00DA1FCF">
        <w:t>7</w:t>
      </w:r>
      <w:r>
        <w:t xml:space="preserve"> </w:t>
      </w:r>
      <w:r w:rsidRPr="00DA1FCF">
        <w:t>a</w:t>
      </w:r>
      <w:r>
        <w:t xml:space="preserve"> </w:t>
      </w:r>
      <w:r w:rsidRPr="00DA1FCF">
        <w:t>z</w:t>
      </w:r>
      <w:r>
        <w:t xml:space="preserve"> </w:t>
      </w:r>
      <w:r w:rsidRPr="00DA1FCF">
        <w:t>jiných</w:t>
      </w:r>
      <w:r>
        <w:t xml:space="preserve"> </w:t>
      </w:r>
      <w:r w:rsidRPr="00DA1FCF">
        <w:t>zdrojů;</w:t>
      </w:r>
      <w:r>
        <w:t xml:space="preserve"> </w:t>
      </w:r>
      <w:r w:rsidRPr="00DA1FCF">
        <w:t>v</w:t>
      </w:r>
      <w:r>
        <w:t xml:space="preserve"> </w:t>
      </w:r>
      <w:r w:rsidRPr="00DA1FCF">
        <w:t>případě,</w:t>
      </w:r>
      <w:r>
        <w:t xml:space="preserve"> </w:t>
      </w:r>
      <w:r w:rsidRPr="00DA1FCF">
        <w:t>že</w:t>
      </w:r>
      <w:r>
        <w:t xml:space="preserve"> </w:t>
      </w:r>
      <w:r w:rsidRPr="00DA1FCF">
        <w:t>školský</w:t>
      </w:r>
      <w:r>
        <w:t xml:space="preserve"> </w:t>
      </w:r>
      <w:r w:rsidRPr="00DA1FCF">
        <w:t>obvod</w:t>
      </w:r>
      <w:r>
        <w:t xml:space="preserve"> </w:t>
      </w:r>
      <w:r w:rsidRPr="00DA1FCF">
        <w:t>přesahuje</w:t>
      </w:r>
      <w:r>
        <w:t xml:space="preserve"> </w:t>
      </w:r>
      <w:r w:rsidRPr="00DA1FCF">
        <w:t>území</w:t>
      </w:r>
      <w:r>
        <w:t xml:space="preserve"> </w:t>
      </w:r>
      <w:r w:rsidRPr="00DA1FCF">
        <w:t>jedné</w:t>
      </w:r>
      <w:r>
        <w:t xml:space="preserve"> </w:t>
      </w:r>
      <w:r w:rsidRPr="00DA1FCF">
        <w:t>obce,</w:t>
      </w:r>
      <w:r>
        <w:t xml:space="preserve"> </w:t>
      </w:r>
      <w:r w:rsidRPr="00DA1FCF">
        <w:t>zabezpečují</w:t>
      </w:r>
      <w:r>
        <w:t xml:space="preserve"> </w:t>
      </w:r>
      <w:r w:rsidRPr="00DA1FCF">
        <w:t>výdaje</w:t>
      </w:r>
      <w:r>
        <w:t xml:space="preserve"> </w:t>
      </w:r>
      <w:r w:rsidRPr="00DA1FCF">
        <w:t>školských</w:t>
      </w:r>
      <w:r>
        <w:t xml:space="preserve"> </w:t>
      </w:r>
      <w:r w:rsidRPr="00DA1FCF">
        <w:t>zařízení</w:t>
      </w:r>
      <w:r>
        <w:t xml:space="preserve"> </w:t>
      </w:r>
      <w:r w:rsidRPr="00DA1FCF">
        <w:t>sloužících</w:t>
      </w:r>
      <w:r>
        <w:t xml:space="preserve"> </w:t>
      </w:r>
      <w:r w:rsidRPr="00DA1FCF">
        <w:t>základní</w:t>
      </w:r>
      <w:r>
        <w:t xml:space="preserve"> </w:t>
      </w:r>
      <w:r w:rsidRPr="00DA1FCF">
        <w:t>škole</w:t>
      </w:r>
      <w:r>
        <w:t xml:space="preserve"> </w:t>
      </w:r>
      <w:r w:rsidRPr="00DA1FCF">
        <w:t>v</w:t>
      </w:r>
      <w:r>
        <w:t xml:space="preserve"> </w:t>
      </w:r>
      <w:r w:rsidRPr="00DA1FCF">
        <w:t>tomto</w:t>
      </w:r>
      <w:r>
        <w:t xml:space="preserve"> </w:t>
      </w:r>
      <w:r w:rsidRPr="00DA1FCF">
        <w:t>školském</w:t>
      </w:r>
      <w:r>
        <w:t xml:space="preserve"> </w:t>
      </w:r>
      <w:r w:rsidRPr="00DA1FCF">
        <w:t>obvodu</w:t>
      </w:r>
      <w:r>
        <w:t xml:space="preserve"> </w:t>
      </w:r>
      <w:r w:rsidRPr="00DA1FCF">
        <w:t>dotčené</w:t>
      </w:r>
      <w:r>
        <w:t xml:space="preserve"> </w:t>
      </w:r>
      <w:r w:rsidRPr="00DA1FCF">
        <w:t>obce</w:t>
      </w:r>
      <w:r>
        <w:t xml:space="preserve"> </w:t>
      </w:r>
      <w:r w:rsidRPr="00DA1FCF">
        <w:t>poměrně</w:t>
      </w:r>
      <w:r>
        <w:t xml:space="preserve"> </w:t>
      </w:r>
      <w:r w:rsidRPr="00DA1FCF">
        <w:t>podle</w:t>
      </w:r>
      <w:r>
        <w:t xml:space="preserve"> </w:t>
      </w:r>
      <w:r w:rsidRPr="00DA1FCF">
        <w:t>počtu</w:t>
      </w:r>
      <w:r>
        <w:t xml:space="preserve"> </w:t>
      </w:r>
      <w:r w:rsidRPr="00DA1FCF">
        <w:t>žáků</w:t>
      </w:r>
      <w:r>
        <w:t xml:space="preserve"> </w:t>
      </w:r>
      <w:r w:rsidRPr="00DA1FCF">
        <w:t>s</w:t>
      </w:r>
      <w:r>
        <w:t xml:space="preserve"> </w:t>
      </w:r>
      <w:r w:rsidRPr="00DA1FCF">
        <w:t>místem</w:t>
      </w:r>
      <w:r>
        <w:t xml:space="preserve"> </w:t>
      </w:r>
      <w:r w:rsidRPr="00DA1FCF">
        <w:t>trvalého</w:t>
      </w:r>
      <w:r>
        <w:t xml:space="preserve"> </w:t>
      </w:r>
      <w:r w:rsidRPr="00DA1FCF">
        <w:t>pobytu</w:t>
      </w:r>
      <w:r>
        <w:t xml:space="preserve"> </w:t>
      </w:r>
      <w:r w:rsidRPr="00DA1FCF">
        <w:t>v</w:t>
      </w:r>
      <w:r>
        <w:t xml:space="preserve"> </w:t>
      </w:r>
      <w:r w:rsidRPr="00DA1FCF">
        <w:t>jednotlivých</w:t>
      </w:r>
      <w:r>
        <w:t xml:space="preserve"> </w:t>
      </w:r>
      <w:r w:rsidRPr="00DA1FCF">
        <w:t>obcích,</w:t>
      </w:r>
      <w:r>
        <w:t xml:space="preserve"> </w:t>
      </w:r>
      <w:r w:rsidRPr="00DA1FCF">
        <w:t>nedojde-li</w:t>
      </w:r>
      <w:r>
        <w:t xml:space="preserve"> </w:t>
      </w:r>
      <w:r w:rsidRPr="00DA1FCF">
        <w:t>mezi</w:t>
      </w:r>
      <w:r>
        <w:t xml:space="preserve"> </w:t>
      </w:r>
      <w:r w:rsidRPr="00DA1FCF">
        <w:t>obcemi</w:t>
      </w:r>
      <w:r>
        <w:t xml:space="preserve"> </w:t>
      </w:r>
      <w:r w:rsidRPr="00DA1FCF">
        <w:t>k</w:t>
      </w:r>
      <w:r>
        <w:t xml:space="preserve"> </w:t>
      </w:r>
      <w:r w:rsidRPr="00DA1FCF">
        <w:t>jiné</w:t>
      </w:r>
      <w:r>
        <w:t xml:space="preserve"> </w:t>
      </w:r>
      <w:r w:rsidRPr="00DA1FCF">
        <w:t>dohodě.</w:t>
      </w:r>
    </w:p>
    <w:p w14:paraId="352EB105" w14:textId="77777777" w:rsidR="00BD5369" w:rsidRDefault="00BD5369" w:rsidP="00A84DD3">
      <w:pPr>
        <w:pStyle w:val="Textparagrafu"/>
        <w:tabs>
          <w:tab w:val="left" w:pos="392"/>
          <w:tab w:val="left" w:pos="840"/>
        </w:tabs>
        <w:spacing w:before="120" w:after="120"/>
      </w:pPr>
      <w:r w:rsidRPr="00DA1FCF">
        <w:t>(2)</w:t>
      </w:r>
      <w:r>
        <w:t xml:space="preserve"> </w:t>
      </w:r>
      <w:r w:rsidRPr="00DA1FCF">
        <w:t>Obec</w:t>
      </w:r>
      <w:r>
        <w:t xml:space="preserve"> </w:t>
      </w:r>
      <w:r w:rsidRPr="00DA1FCF">
        <w:t>může</w:t>
      </w:r>
      <w:r>
        <w:t xml:space="preserve"> </w:t>
      </w:r>
      <w:r w:rsidRPr="00DA1FCF">
        <w:t>právnickým</w:t>
      </w:r>
      <w:r>
        <w:t xml:space="preserve"> </w:t>
      </w:r>
      <w:r w:rsidRPr="00DA1FCF">
        <w:t>osobám</w:t>
      </w:r>
      <w:r>
        <w:t xml:space="preserve"> </w:t>
      </w:r>
      <w:r w:rsidRPr="00DA1FCF">
        <w:t>vykonávajícím</w:t>
      </w:r>
      <w:r>
        <w:t xml:space="preserve"> </w:t>
      </w:r>
      <w:r w:rsidRPr="00DA1FCF">
        <w:t>činnost</w:t>
      </w:r>
      <w:r>
        <w:t xml:space="preserve"> </w:t>
      </w:r>
      <w:r w:rsidRPr="00DA1FCF">
        <w:t>škol</w:t>
      </w:r>
      <w:r>
        <w:t xml:space="preserve"> </w:t>
      </w:r>
      <w:r w:rsidRPr="00DA1FCF">
        <w:t>a</w:t>
      </w:r>
      <w:r>
        <w:t xml:space="preserve"> </w:t>
      </w:r>
      <w:r w:rsidRPr="00DA1FCF">
        <w:t>školských</w:t>
      </w:r>
      <w:r>
        <w:t xml:space="preserve"> </w:t>
      </w:r>
      <w:r w:rsidRPr="00DA1FCF">
        <w:t>zařízení,</w:t>
      </w:r>
      <w:r>
        <w:t xml:space="preserve"> </w:t>
      </w:r>
      <w:r w:rsidRPr="00DA1FCF">
        <w:t>které</w:t>
      </w:r>
      <w:r>
        <w:t xml:space="preserve"> </w:t>
      </w:r>
      <w:r w:rsidRPr="00DA1FCF">
        <w:t>zřizuje,</w:t>
      </w:r>
      <w:r>
        <w:t xml:space="preserve"> </w:t>
      </w:r>
      <w:r w:rsidRPr="00DA1FCF">
        <w:t>přispívat</w:t>
      </w:r>
      <w:r>
        <w:t xml:space="preserve"> </w:t>
      </w:r>
      <w:r w:rsidRPr="00DA1FCF">
        <w:t>na</w:t>
      </w:r>
      <w:r>
        <w:t xml:space="preserve"> </w:t>
      </w:r>
      <w:r w:rsidRPr="00DA1FCF">
        <w:t>další</w:t>
      </w:r>
      <w:r>
        <w:t xml:space="preserve"> </w:t>
      </w:r>
      <w:r w:rsidRPr="00DA1FCF">
        <w:t>neinvestiční</w:t>
      </w:r>
      <w:r>
        <w:t xml:space="preserve"> </w:t>
      </w:r>
      <w:r w:rsidRPr="00DA1FCF">
        <w:t>výdaje</w:t>
      </w:r>
      <w:r>
        <w:t xml:space="preserve"> </w:t>
      </w:r>
      <w:r w:rsidRPr="00DA1FCF">
        <w:t>jinak</w:t>
      </w:r>
      <w:r>
        <w:t xml:space="preserve"> </w:t>
      </w:r>
      <w:r w:rsidRPr="00DA1FCF">
        <w:t>hrazené</w:t>
      </w:r>
      <w:r>
        <w:t xml:space="preserve"> </w:t>
      </w:r>
      <w:r w:rsidRPr="00DA1FCF">
        <w:t>ze</w:t>
      </w:r>
      <w:r>
        <w:t xml:space="preserve"> </w:t>
      </w:r>
      <w:r w:rsidRPr="00DA1FCF">
        <w:t>státního</w:t>
      </w:r>
      <w:r>
        <w:t xml:space="preserve"> </w:t>
      </w:r>
      <w:r w:rsidRPr="00DA1FCF">
        <w:t>rozpočtu</w:t>
      </w:r>
      <w:r>
        <w:t xml:space="preserve"> </w:t>
      </w:r>
      <w:r w:rsidRPr="00DA1FCF">
        <w:t>podle</w:t>
      </w:r>
      <w:r>
        <w:t xml:space="preserve"> </w:t>
      </w:r>
      <w:r w:rsidRPr="00DA1FCF">
        <w:t>tohoto</w:t>
      </w:r>
      <w:r>
        <w:t xml:space="preserve"> </w:t>
      </w:r>
      <w:r w:rsidRPr="00DA1FCF">
        <w:t>zákona.</w:t>
      </w:r>
    </w:p>
    <w:p w14:paraId="5B49E0A9" w14:textId="77777777" w:rsidR="00BD5369" w:rsidRPr="00DA1FCF" w:rsidRDefault="00BD5369" w:rsidP="00A84DD3">
      <w:pPr>
        <w:pStyle w:val="Textparagrafu"/>
        <w:tabs>
          <w:tab w:val="left" w:pos="392"/>
          <w:tab w:val="left" w:pos="840"/>
        </w:tabs>
        <w:spacing w:before="120" w:after="120"/>
      </w:pPr>
      <w:r w:rsidRPr="00DA1FCF">
        <w:t>(3)</w:t>
      </w:r>
      <w:r>
        <w:t xml:space="preserve"> </w:t>
      </w:r>
      <w:r w:rsidRPr="00DA1FCF">
        <w:t>Obec</w:t>
      </w:r>
      <w:r>
        <w:t xml:space="preserve"> </w:t>
      </w:r>
      <w:r w:rsidRPr="00DA1FCF">
        <w:t>nebo</w:t>
      </w:r>
      <w:r>
        <w:t xml:space="preserve"> </w:t>
      </w:r>
      <w:r w:rsidRPr="00DA1FCF">
        <w:t>svazek</w:t>
      </w:r>
      <w:r>
        <w:t xml:space="preserve"> </w:t>
      </w:r>
      <w:r w:rsidRPr="00DA1FCF">
        <w:t>obcí</w:t>
      </w:r>
      <w:r>
        <w:t xml:space="preserve"> </w:t>
      </w:r>
      <w:r w:rsidRPr="00DA1FCF">
        <w:t>přiděluje</w:t>
      </w:r>
      <w:r>
        <w:t xml:space="preserve"> </w:t>
      </w:r>
      <w:r w:rsidRPr="00DA1FCF">
        <w:t>právnickým</w:t>
      </w:r>
      <w:r>
        <w:t xml:space="preserve"> </w:t>
      </w:r>
      <w:r w:rsidRPr="00DA1FCF">
        <w:t>osobám</w:t>
      </w:r>
      <w:r>
        <w:t xml:space="preserve"> </w:t>
      </w:r>
      <w:r w:rsidRPr="00DA1FCF">
        <w:t>vykonávajícím</w:t>
      </w:r>
      <w:r>
        <w:t xml:space="preserve"> </w:t>
      </w:r>
      <w:r w:rsidRPr="00DA1FCF">
        <w:t>činnost</w:t>
      </w:r>
      <w:r>
        <w:t xml:space="preserve"> </w:t>
      </w:r>
      <w:r w:rsidRPr="00DA1FCF">
        <w:t>škol</w:t>
      </w:r>
      <w:r>
        <w:t xml:space="preserve"> </w:t>
      </w:r>
      <w:r w:rsidRPr="00DA1FCF">
        <w:t>a</w:t>
      </w:r>
      <w:r>
        <w:t xml:space="preserve"> </w:t>
      </w:r>
      <w:r w:rsidRPr="00DA1FCF">
        <w:t>školských</w:t>
      </w:r>
      <w:r>
        <w:t xml:space="preserve"> </w:t>
      </w:r>
      <w:r w:rsidRPr="00DA1FCF">
        <w:t>zařízení,</w:t>
      </w:r>
      <w:r>
        <w:t xml:space="preserve"> </w:t>
      </w:r>
      <w:r w:rsidRPr="00DA1FCF">
        <w:t>které</w:t>
      </w:r>
      <w:r>
        <w:t xml:space="preserve"> </w:t>
      </w:r>
      <w:r w:rsidRPr="00DA1FCF">
        <w:t>zřizuje,</w:t>
      </w:r>
      <w:r>
        <w:t xml:space="preserve"> </w:t>
      </w:r>
      <w:r w:rsidRPr="00DA1FCF">
        <w:t>dotace</w:t>
      </w:r>
      <w:r>
        <w:t xml:space="preserve"> </w:t>
      </w:r>
      <w:r w:rsidRPr="00DA1FCF">
        <w:t>stanovené</w:t>
      </w:r>
      <w:r>
        <w:t xml:space="preserve"> </w:t>
      </w:r>
      <w:r w:rsidRPr="00DA1FCF">
        <w:t>zákonem</w:t>
      </w:r>
      <w:r>
        <w:t xml:space="preserve"> </w:t>
      </w:r>
      <w:r w:rsidRPr="00DA1FCF">
        <w:t>o</w:t>
      </w:r>
      <w:r>
        <w:t xml:space="preserve"> </w:t>
      </w:r>
      <w:r w:rsidRPr="00DA1FCF">
        <w:t>státním</w:t>
      </w:r>
      <w:r>
        <w:t xml:space="preserve"> </w:t>
      </w:r>
      <w:r w:rsidRPr="00DA1FCF">
        <w:t>rozpočtu</w:t>
      </w:r>
      <w:r>
        <w:t xml:space="preserve"> </w:t>
      </w:r>
      <w:r w:rsidRPr="00DA1FCF">
        <w:t>k</w:t>
      </w:r>
      <w:r>
        <w:t xml:space="preserve"> </w:t>
      </w:r>
      <w:r w:rsidRPr="00DA1FCF">
        <w:t>částečné</w:t>
      </w:r>
      <w:r>
        <w:t xml:space="preserve"> </w:t>
      </w:r>
      <w:r w:rsidRPr="00DA1FCF">
        <w:t>úhradě</w:t>
      </w:r>
      <w:r>
        <w:t xml:space="preserve"> </w:t>
      </w:r>
      <w:r w:rsidRPr="00DA1FCF">
        <w:t>výdajů</w:t>
      </w:r>
      <w:r>
        <w:t xml:space="preserve"> </w:t>
      </w:r>
      <w:r w:rsidRPr="00DA1FCF">
        <w:t>na</w:t>
      </w:r>
      <w:r>
        <w:t xml:space="preserve"> </w:t>
      </w:r>
      <w:r w:rsidRPr="00DA1FCF">
        <w:t>provoz</w:t>
      </w:r>
      <w:r>
        <w:t xml:space="preserve"> </w:t>
      </w:r>
      <w:r w:rsidRPr="00DA1FCF">
        <w:t>a</w:t>
      </w:r>
      <w:r>
        <w:t xml:space="preserve"> </w:t>
      </w:r>
      <w:r w:rsidRPr="00DA1FCF">
        <w:t>provádí</w:t>
      </w:r>
      <w:r>
        <w:t xml:space="preserve"> </w:t>
      </w:r>
      <w:r w:rsidRPr="00DA1FCF">
        <w:t>s</w:t>
      </w:r>
      <w:r>
        <w:t xml:space="preserve"> </w:t>
      </w:r>
      <w:r w:rsidRPr="00DA1FCF">
        <w:t>nimi</w:t>
      </w:r>
      <w:r>
        <w:t xml:space="preserve"> </w:t>
      </w:r>
      <w:r w:rsidRPr="00DA1FCF">
        <w:t>finanční</w:t>
      </w:r>
      <w:r>
        <w:t xml:space="preserve"> </w:t>
      </w:r>
      <w:r w:rsidRPr="00DA1FCF">
        <w:t>vypořádání.</w:t>
      </w:r>
    </w:p>
    <w:p w14:paraId="6766ACA3" w14:textId="3A33E856" w:rsidR="00B9271C" w:rsidRDefault="00BD5369" w:rsidP="00144684">
      <w:pPr>
        <w:pStyle w:val="Textparagrafu"/>
        <w:tabs>
          <w:tab w:val="left" w:pos="406"/>
          <w:tab w:val="left" w:pos="840"/>
          <w:tab w:val="left" w:pos="868"/>
        </w:tabs>
        <w:spacing w:after="120"/>
        <w:ind w:firstLine="0"/>
        <w:jc w:val="center"/>
      </w:pPr>
      <w:r>
        <w:t>***</w:t>
      </w:r>
    </w:p>
    <w:p w14:paraId="21A28218" w14:textId="4A47E255" w:rsidR="00BD5369" w:rsidRDefault="00144684" w:rsidP="00144684">
      <w:pPr>
        <w:pStyle w:val="Textparagrafu"/>
        <w:tabs>
          <w:tab w:val="left" w:pos="406"/>
          <w:tab w:val="left" w:pos="840"/>
          <w:tab w:val="left" w:pos="868"/>
        </w:tabs>
        <w:spacing w:after="120"/>
        <w:ind w:firstLine="0"/>
        <w:jc w:val="center"/>
      </w:pPr>
      <w:r>
        <w:t>§ 182</w:t>
      </w:r>
    </w:p>
    <w:p w14:paraId="3C867614" w14:textId="3C7E6F3F" w:rsidR="00BD5369" w:rsidRDefault="00BD5369" w:rsidP="00A84DD3">
      <w:pPr>
        <w:pStyle w:val="Textparagrafu"/>
        <w:tabs>
          <w:tab w:val="left" w:pos="406"/>
          <w:tab w:val="left" w:pos="840"/>
          <w:tab w:val="left" w:pos="868"/>
        </w:tabs>
        <w:spacing w:before="120" w:after="120"/>
      </w:pPr>
      <w:r>
        <w:t xml:space="preserve">(1) Kraj zajišťuje výdaje právnických osob vykonávajících činnost škol a školských zařízení, které zřizuje, s výjimkou výdajů hrazených z </w:t>
      </w:r>
      <w:r w:rsidRPr="00513FB9">
        <w:rPr>
          <w:strike/>
        </w:rPr>
        <w:t>finančních</w:t>
      </w:r>
      <w:r>
        <w:t xml:space="preserve"> </w:t>
      </w:r>
      <w:r w:rsidR="00513FB9">
        <w:rPr>
          <w:b/>
        </w:rPr>
        <w:t xml:space="preserve">peněžních </w:t>
      </w:r>
      <w:r>
        <w:t>prostředků státního rozpočtu přidělovaných podle § 161 odst. 3 a 4, § 161a odst. 2, § 161b odst. 2, § 161c odst. 7 a z jiných zdrojů.</w:t>
      </w:r>
    </w:p>
    <w:p w14:paraId="7464F605" w14:textId="67F1ABB3" w:rsidR="00BD5369" w:rsidRDefault="00BD5369" w:rsidP="00A84DD3">
      <w:pPr>
        <w:pStyle w:val="Textparagrafu"/>
        <w:tabs>
          <w:tab w:val="left" w:pos="406"/>
          <w:tab w:val="left" w:pos="840"/>
          <w:tab w:val="left" w:pos="868"/>
        </w:tabs>
        <w:spacing w:before="120" w:after="120"/>
      </w:pPr>
      <w:r>
        <w:t>(2) Kraj může právnickým osobám vykonávajícím činnost škol a školských zařízení, které zřizuje, přispívat na další neinvestiční výdaje jinak hrazené ze státního rozpočtu podle tohoto zákona.</w:t>
      </w:r>
    </w:p>
    <w:p w14:paraId="57B44970" w14:textId="3A723816" w:rsidR="00BD5369" w:rsidRDefault="00BD5369" w:rsidP="00BD5369">
      <w:pPr>
        <w:pStyle w:val="Textparagrafu"/>
        <w:tabs>
          <w:tab w:val="left" w:pos="406"/>
          <w:tab w:val="left" w:pos="840"/>
          <w:tab w:val="left" w:pos="868"/>
        </w:tabs>
        <w:spacing w:after="120"/>
        <w:ind w:firstLine="284"/>
      </w:pPr>
    </w:p>
    <w:p w14:paraId="6A6FB60C" w14:textId="77777777" w:rsidR="00BD5369" w:rsidRDefault="00BD5369" w:rsidP="00BD5369">
      <w:pPr>
        <w:pStyle w:val="Textparagrafu"/>
        <w:tabs>
          <w:tab w:val="left" w:pos="406"/>
          <w:tab w:val="left" w:pos="840"/>
          <w:tab w:val="left" w:pos="868"/>
        </w:tabs>
        <w:spacing w:after="120"/>
        <w:ind w:firstLine="284"/>
        <w:sectPr w:rsidR="00BD5369" w:rsidSect="00554E2B">
          <w:footnotePr>
            <w:numStart w:val="3"/>
          </w:footnotePr>
          <w:endnotePr>
            <w:numFmt w:val="decimal"/>
          </w:endnotePr>
          <w:pgSz w:w="11906" w:h="16838"/>
          <w:pgMar w:top="1418" w:right="1418" w:bottom="1418" w:left="1418" w:header="709" w:footer="709" w:gutter="0"/>
          <w:cols w:space="708"/>
          <w:docGrid w:linePitch="360"/>
        </w:sectPr>
      </w:pPr>
    </w:p>
    <w:p w14:paraId="7EB9C818" w14:textId="33688CE1" w:rsidR="00D55719" w:rsidRPr="00880E22" w:rsidRDefault="00D55719" w:rsidP="00A84DD3">
      <w:pPr>
        <w:tabs>
          <w:tab w:val="left" w:pos="851"/>
        </w:tabs>
        <w:spacing w:before="120" w:after="120"/>
        <w:ind w:firstLine="0"/>
        <w:jc w:val="center"/>
        <w:outlineLvl w:val="0"/>
        <w:rPr>
          <w:szCs w:val="24"/>
        </w:rPr>
      </w:pPr>
      <w:r w:rsidRPr="00880E22">
        <w:rPr>
          <w:b/>
          <w:szCs w:val="24"/>
        </w:rPr>
        <w:lastRenderedPageBreak/>
        <w:t xml:space="preserve">K části osmdesáté </w:t>
      </w:r>
      <w:r w:rsidR="00AB5ED2">
        <w:rPr>
          <w:b/>
          <w:szCs w:val="24"/>
        </w:rPr>
        <w:t>druhé</w:t>
      </w:r>
      <w:r w:rsidR="00854C36" w:rsidRPr="00880E22">
        <w:rPr>
          <w:b/>
          <w:szCs w:val="24"/>
        </w:rPr>
        <w:t xml:space="preserve"> </w:t>
      </w:r>
      <w:r w:rsidRPr="00880E22">
        <w:rPr>
          <w:b/>
          <w:szCs w:val="24"/>
        </w:rPr>
        <w:t xml:space="preserve">návrhu zákona – </w:t>
      </w:r>
      <w:r w:rsidRPr="00880E22">
        <w:rPr>
          <w:szCs w:val="24"/>
        </w:rPr>
        <w:t>změna zákona</w:t>
      </w:r>
      <w:r w:rsidRPr="00880E22">
        <w:t xml:space="preserve"> </w:t>
      </w:r>
      <w:r w:rsidR="00854C36" w:rsidRPr="00880E22">
        <w:rPr>
          <w:szCs w:val="24"/>
        </w:rPr>
        <w:t>o evropské společnosti</w:t>
      </w:r>
    </w:p>
    <w:p w14:paraId="383E3AB4" w14:textId="430D8411" w:rsidR="00D55719" w:rsidRPr="00880E22" w:rsidRDefault="00D55719" w:rsidP="00854C36">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880E22">
        <w:rPr>
          <w:b/>
          <w:szCs w:val="24"/>
        </w:rPr>
        <w:t>Platné znění</w:t>
      </w:r>
      <w:r w:rsidRPr="00880E22">
        <w:rPr>
          <w:szCs w:val="24"/>
        </w:rPr>
        <w:t xml:space="preserve"> zákona č. 627</w:t>
      </w:r>
      <w:r w:rsidR="00854C36" w:rsidRPr="00880E22">
        <w:rPr>
          <w:szCs w:val="24"/>
        </w:rPr>
        <w:t>/</w:t>
      </w:r>
      <w:r w:rsidRPr="00880E22">
        <w:rPr>
          <w:szCs w:val="24"/>
        </w:rPr>
        <w:t xml:space="preserve">2004 Sb., </w:t>
      </w:r>
      <w:r w:rsidR="00854C36" w:rsidRPr="00880E22">
        <w:rPr>
          <w:szCs w:val="24"/>
        </w:rPr>
        <w:t>o evropské společnosti</w:t>
      </w:r>
    </w:p>
    <w:p w14:paraId="465EDA24" w14:textId="21D060C0" w:rsidR="00D55719" w:rsidRPr="00880E22" w:rsidRDefault="00196C7F" w:rsidP="00D55719">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AE4818">
        <w:rPr>
          <w:b/>
          <w:szCs w:val="24"/>
          <w:lang w:eastAsia="en-US"/>
        </w:rPr>
        <w:t>s vyznačením navrhovaných změn a doplnění k 1. lednu 2025</w:t>
      </w:r>
    </w:p>
    <w:p w14:paraId="12E2DF62" w14:textId="77777777" w:rsidR="00D55719" w:rsidRPr="00880E22" w:rsidRDefault="00D55719" w:rsidP="00D55719">
      <w:pPr>
        <w:pStyle w:val="Textparagrafu"/>
        <w:numPr>
          <w:ilvl w:val="0"/>
          <w:numId w:val="27"/>
        </w:numPr>
        <w:tabs>
          <w:tab w:val="left" w:pos="392"/>
          <w:tab w:val="left" w:pos="840"/>
        </w:tabs>
        <w:spacing w:after="120"/>
        <w:jc w:val="center"/>
      </w:pPr>
      <w:r w:rsidRPr="00880E22">
        <w:t>***</w:t>
      </w:r>
    </w:p>
    <w:p w14:paraId="10419413" w14:textId="3968FA94" w:rsidR="006D0335" w:rsidRPr="00085F82" w:rsidRDefault="00D55719" w:rsidP="006D0335">
      <w:pPr>
        <w:pStyle w:val="Paragraf"/>
        <w:numPr>
          <w:ilvl w:val="0"/>
          <w:numId w:val="30"/>
        </w:numPr>
        <w:spacing w:after="120"/>
        <w:rPr>
          <w:strike/>
        </w:rPr>
      </w:pPr>
      <w:r w:rsidRPr="00880E22">
        <w:t xml:space="preserve">§ </w:t>
      </w:r>
      <w:r w:rsidR="006D0335" w:rsidRPr="00085F82">
        <w:rPr>
          <w:strike/>
        </w:rPr>
        <w:t>66</w:t>
      </w:r>
    </w:p>
    <w:p w14:paraId="3EDA649C" w14:textId="77777777" w:rsidR="006D0335" w:rsidRPr="00085F82" w:rsidRDefault="006D0335" w:rsidP="006D0335">
      <w:pPr>
        <w:pStyle w:val="Nadpisparagrafu"/>
        <w:spacing w:after="120"/>
        <w:rPr>
          <w:strike/>
        </w:rPr>
      </w:pPr>
      <w:r w:rsidRPr="00085F82">
        <w:rPr>
          <w:strike/>
        </w:rPr>
        <w:t>Přechodné ustanovení</w:t>
      </w:r>
    </w:p>
    <w:p w14:paraId="5B5287FE" w14:textId="77777777" w:rsidR="006D0335" w:rsidRPr="006D0335" w:rsidRDefault="006D0335" w:rsidP="006D0335">
      <w:pPr>
        <w:pStyle w:val="Textodstavce"/>
        <w:spacing w:before="240"/>
        <w:ind w:firstLine="426"/>
        <w:rPr>
          <w:strike/>
        </w:rPr>
      </w:pPr>
      <w:r w:rsidRPr="006D0335">
        <w:rPr>
          <w:strike/>
        </w:rPr>
        <w:t>Dokud Česká republika nevstoupí do třetí fáze evropské hospodářské a měnové unie, musí být základní kapitál evropské společnosti vyjádřen a účetní závěrka a konsolidovaná účetní závěrka evropské společnosti zpracována a zveřejněna v peněžních jednotkách české měny. Tím není dotčena možnost evropské společnosti uvádět údaj o základním kapitálu a zpracovat a zveřejnit účetní závěrku nebo konsolidovanou účetní závěrku souběžně také v euro.</w:t>
      </w:r>
    </w:p>
    <w:p w14:paraId="0837F484" w14:textId="77777777" w:rsidR="006D0335" w:rsidRPr="006D0335" w:rsidRDefault="006D0335" w:rsidP="006D0335">
      <w:pPr>
        <w:pStyle w:val="Paragraf"/>
        <w:numPr>
          <w:ilvl w:val="0"/>
          <w:numId w:val="30"/>
        </w:numPr>
        <w:spacing w:after="120"/>
        <w:rPr>
          <w:b/>
          <w:bCs/>
        </w:rPr>
      </w:pPr>
      <w:r w:rsidRPr="006D0335">
        <w:rPr>
          <w:b/>
          <w:bCs/>
        </w:rPr>
        <w:t>§ 66</w:t>
      </w:r>
    </w:p>
    <w:p w14:paraId="65AC2C3D" w14:textId="77777777" w:rsidR="006D0335" w:rsidRPr="006D0335" w:rsidRDefault="006D0335" w:rsidP="006D0335">
      <w:pPr>
        <w:pStyle w:val="Nadpisparagrafu"/>
        <w:spacing w:after="120"/>
        <w:rPr>
          <w:bCs/>
        </w:rPr>
      </w:pPr>
      <w:r w:rsidRPr="006D0335">
        <w:rPr>
          <w:bCs/>
        </w:rPr>
        <w:t>Přechodné ustanovení</w:t>
      </w:r>
    </w:p>
    <w:p w14:paraId="192A1A85" w14:textId="77777777" w:rsidR="006D0335" w:rsidRPr="006D0335" w:rsidRDefault="006D0335" w:rsidP="006D0335">
      <w:pPr>
        <w:pStyle w:val="Textodstavce"/>
        <w:spacing w:before="240"/>
        <w:ind w:firstLine="426"/>
        <w:rPr>
          <w:b/>
        </w:rPr>
      </w:pPr>
      <w:r w:rsidRPr="006D0335">
        <w:rPr>
          <w:b/>
        </w:rPr>
        <w:t>Dokud Česká republika nevstoupí do třetí fáze evropské hospodářské a měnové unie, je základní kapitál evropské společnosti, která má zapsané sídlo na území České republiky, vyjádřen a její účetní závěrka sestavena a zveřejněna v měně, kterou by evropská společnost použila, kdyby byla akciovou společností. Tím není dotčena možnost uvádět údaj o základním kapitálu a sestavit a zveřejnit dokument, jehož podoba a obsah odpovídají účetní závěrce, souběžně také v eurech.</w:t>
      </w:r>
    </w:p>
    <w:p w14:paraId="55476E1D" w14:textId="67C2CD28" w:rsidR="00854C36" w:rsidRDefault="00854C36" w:rsidP="006D0335">
      <w:pPr>
        <w:pStyle w:val="Textparagrafu"/>
        <w:numPr>
          <w:ilvl w:val="0"/>
          <w:numId w:val="27"/>
        </w:numPr>
        <w:tabs>
          <w:tab w:val="left" w:pos="406"/>
          <w:tab w:val="left" w:pos="840"/>
        </w:tabs>
        <w:spacing w:after="120"/>
        <w:jc w:val="center"/>
        <w:sectPr w:rsidR="00854C36" w:rsidSect="00554E2B">
          <w:footnotePr>
            <w:numStart w:val="3"/>
          </w:footnotePr>
          <w:endnotePr>
            <w:numFmt w:val="decimal"/>
          </w:endnotePr>
          <w:pgSz w:w="11906" w:h="16838"/>
          <w:pgMar w:top="1418" w:right="1418" w:bottom="1418" w:left="1418" w:header="709" w:footer="709" w:gutter="0"/>
          <w:cols w:space="708"/>
          <w:docGrid w:linePitch="360"/>
        </w:sectPr>
      </w:pPr>
    </w:p>
    <w:p w14:paraId="6B59C89F" w14:textId="40A80A53" w:rsidR="00854C36" w:rsidRPr="00AD77CE" w:rsidRDefault="00854C36" w:rsidP="00180250">
      <w:pPr>
        <w:tabs>
          <w:tab w:val="left" w:pos="851"/>
        </w:tabs>
        <w:spacing w:before="120" w:after="120"/>
        <w:ind w:firstLine="0"/>
        <w:jc w:val="center"/>
        <w:outlineLvl w:val="0"/>
        <w:rPr>
          <w:szCs w:val="24"/>
        </w:rPr>
      </w:pPr>
      <w:r w:rsidRPr="00AD77CE">
        <w:rPr>
          <w:b/>
          <w:szCs w:val="24"/>
        </w:rPr>
        <w:lastRenderedPageBreak/>
        <w:t xml:space="preserve">K části </w:t>
      </w:r>
      <w:r>
        <w:rPr>
          <w:b/>
          <w:szCs w:val="24"/>
        </w:rPr>
        <w:t>osmdesáté</w:t>
      </w:r>
      <w:r w:rsidRPr="00AD77CE">
        <w:rPr>
          <w:b/>
          <w:szCs w:val="24"/>
        </w:rPr>
        <w:t xml:space="preserve"> </w:t>
      </w:r>
      <w:r w:rsidR="00AB5ED2">
        <w:rPr>
          <w:b/>
          <w:szCs w:val="24"/>
        </w:rPr>
        <w:t>třetí</w:t>
      </w:r>
      <w:r>
        <w:rPr>
          <w:b/>
          <w:szCs w:val="24"/>
        </w:rPr>
        <w:t xml:space="preserve"> </w:t>
      </w:r>
      <w:r w:rsidRPr="00AD77CE">
        <w:rPr>
          <w:b/>
          <w:szCs w:val="24"/>
        </w:rPr>
        <w:t xml:space="preserve">návrhu zákona – </w:t>
      </w:r>
      <w:r w:rsidRPr="00AD77CE">
        <w:rPr>
          <w:szCs w:val="24"/>
        </w:rPr>
        <w:t>změna zákona</w:t>
      </w:r>
      <w:r w:rsidRPr="00AD77CE">
        <w:t xml:space="preserve"> </w:t>
      </w:r>
      <w:r w:rsidRPr="00854C36">
        <w:rPr>
          <w:szCs w:val="24"/>
        </w:rPr>
        <w:t>o elektronických komunikacích)</w:t>
      </w:r>
    </w:p>
    <w:p w14:paraId="6E726076" w14:textId="00F48D69" w:rsidR="00854C36" w:rsidRPr="00854C36" w:rsidRDefault="00854C36" w:rsidP="00854C36">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7303D7">
        <w:rPr>
          <w:b/>
          <w:szCs w:val="24"/>
        </w:rPr>
        <w:t>Platné znění</w:t>
      </w:r>
      <w:r w:rsidRPr="007303D7">
        <w:rPr>
          <w:szCs w:val="24"/>
        </w:rPr>
        <w:t xml:space="preserve"> zákona č.</w:t>
      </w:r>
      <w:r>
        <w:rPr>
          <w:szCs w:val="24"/>
        </w:rPr>
        <w:t xml:space="preserve"> 127/2005</w:t>
      </w:r>
      <w:r w:rsidRPr="007303D7">
        <w:rPr>
          <w:szCs w:val="24"/>
        </w:rPr>
        <w:t xml:space="preserve"> Sb., </w:t>
      </w:r>
      <w:r w:rsidRPr="00854C36">
        <w:rPr>
          <w:szCs w:val="24"/>
        </w:rPr>
        <w:t>o elektronických komunikacích a o změně některých souvisejících zákonů</w:t>
      </w:r>
      <w:r>
        <w:rPr>
          <w:szCs w:val="24"/>
        </w:rPr>
        <w:t xml:space="preserve"> </w:t>
      </w:r>
      <w:r w:rsidRPr="00854C36">
        <w:rPr>
          <w:szCs w:val="24"/>
        </w:rPr>
        <w:t>(zákon o elektronických komunikacích)</w:t>
      </w:r>
    </w:p>
    <w:p w14:paraId="34EB93DE" w14:textId="5CBF3D1B" w:rsidR="00854C36" w:rsidRPr="007303D7" w:rsidRDefault="00180250" w:rsidP="00854C36">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AE4818">
        <w:rPr>
          <w:b/>
          <w:szCs w:val="24"/>
          <w:lang w:eastAsia="en-US"/>
        </w:rPr>
        <w:t>s vyznačením navrhovaných změn a doplnění k 1. lednu 2025</w:t>
      </w:r>
    </w:p>
    <w:p w14:paraId="757384E0" w14:textId="77777777" w:rsidR="00854C36" w:rsidRPr="00AD77CE" w:rsidRDefault="00854C36" w:rsidP="00854C36">
      <w:pPr>
        <w:pStyle w:val="Textparagrafu"/>
        <w:numPr>
          <w:ilvl w:val="0"/>
          <w:numId w:val="27"/>
        </w:numPr>
        <w:tabs>
          <w:tab w:val="left" w:pos="392"/>
          <w:tab w:val="left" w:pos="840"/>
        </w:tabs>
        <w:spacing w:after="120"/>
        <w:jc w:val="center"/>
      </w:pPr>
      <w:r w:rsidRPr="00AD77CE">
        <w:t>***</w:t>
      </w:r>
    </w:p>
    <w:p w14:paraId="3E768FBC" w14:textId="16F6BCC8" w:rsidR="0022672A" w:rsidRPr="00D53776" w:rsidRDefault="0022672A" w:rsidP="0022672A">
      <w:pPr>
        <w:pStyle w:val="Textparagrafu"/>
        <w:numPr>
          <w:ilvl w:val="0"/>
          <w:numId w:val="27"/>
        </w:numPr>
        <w:tabs>
          <w:tab w:val="left" w:pos="392"/>
          <w:tab w:val="left" w:pos="840"/>
        </w:tabs>
        <w:spacing w:after="120"/>
        <w:jc w:val="center"/>
      </w:pPr>
      <w:r w:rsidRPr="00D53776">
        <w:t>§</w:t>
      </w:r>
      <w:r>
        <w:t xml:space="preserve"> </w:t>
      </w:r>
      <w:r w:rsidRPr="00D53776">
        <w:t>3</w:t>
      </w:r>
    </w:p>
    <w:p w14:paraId="6574F17E" w14:textId="2AA7F011" w:rsidR="0022672A" w:rsidRPr="00D53776" w:rsidRDefault="0022672A" w:rsidP="00180250">
      <w:pPr>
        <w:pStyle w:val="Textparagrafu"/>
        <w:numPr>
          <w:ilvl w:val="0"/>
          <w:numId w:val="27"/>
        </w:numPr>
        <w:tabs>
          <w:tab w:val="left" w:pos="392"/>
          <w:tab w:val="left" w:pos="840"/>
        </w:tabs>
        <w:spacing w:before="120" w:after="120"/>
        <w:ind w:firstLine="425"/>
      </w:pPr>
      <w:r w:rsidRPr="00D53776">
        <w:t>(1)</w:t>
      </w:r>
      <w:r>
        <w:t xml:space="preserve"> </w:t>
      </w:r>
      <w:r w:rsidRPr="00D53776">
        <w:t>Zřizuje</w:t>
      </w:r>
      <w:r>
        <w:t xml:space="preserve"> </w:t>
      </w:r>
      <w:r w:rsidRPr="00D53776">
        <w:t>se</w:t>
      </w:r>
      <w:r>
        <w:t xml:space="preserve"> </w:t>
      </w:r>
      <w:r w:rsidRPr="00D53776">
        <w:t>Český</w:t>
      </w:r>
      <w:r>
        <w:t xml:space="preserve"> </w:t>
      </w:r>
      <w:r w:rsidRPr="00D53776">
        <w:t>telekomunikační</w:t>
      </w:r>
      <w:r>
        <w:t xml:space="preserve"> </w:t>
      </w:r>
      <w:r w:rsidRPr="00D53776">
        <w:t>úřad</w:t>
      </w:r>
      <w:r>
        <w:t xml:space="preserve"> </w:t>
      </w:r>
      <w:r w:rsidRPr="00D53776">
        <w:t>(dále</w:t>
      </w:r>
      <w:r>
        <w:t xml:space="preserve"> </w:t>
      </w:r>
      <w:r w:rsidRPr="00D53776">
        <w:t>jen</w:t>
      </w:r>
      <w:r>
        <w:t xml:space="preserve"> </w:t>
      </w:r>
      <w:r w:rsidRPr="00D53776">
        <w:t>"Úřad")</w:t>
      </w:r>
      <w:r>
        <w:t xml:space="preserve"> </w:t>
      </w:r>
      <w:r w:rsidRPr="00D53776">
        <w:t>jako</w:t>
      </w:r>
      <w:r>
        <w:t xml:space="preserve"> </w:t>
      </w:r>
      <w:r w:rsidRPr="00D53776">
        <w:t>ústřední</w:t>
      </w:r>
      <w:r>
        <w:t xml:space="preserve"> </w:t>
      </w:r>
      <w:r w:rsidRPr="00D53776">
        <w:t>správní</w:t>
      </w:r>
      <w:r>
        <w:t xml:space="preserve"> </w:t>
      </w:r>
      <w:r w:rsidRPr="00D53776">
        <w:t>úřad</w:t>
      </w:r>
      <w:r>
        <w:t xml:space="preserve"> </w:t>
      </w:r>
      <w:r w:rsidRPr="00D53776">
        <w:t>pro</w:t>
      </w:r>
      <w:r>
        <w:t xml:space="preserve"> </w:t>
      </w:r>
      <w:r w:rsidRPr="00D53776">
        <w:t>výkon</w:t>
      </w:r>
      <w:r>
        <w:t xml:space="preserve"> </w:t>
      </w:r>
      <w:r w:rsidRPr="00D53776">
        <w:t>státní</w:t>
      </w:r>
      <w:r>
        <w:t xml:space="preserve"> </w:t>
      </w:r>
      <w:r w:rsidRPr="00D53776">
        <w:t>správy</w:t>
      </w:r>
      <w:r>
        <w:t xml:space="preserve"> </w:t>
      </w:r>
      <w:r w:rsidRPr="00D53776">
        <w:t>ve</w:t>
      </w:r>
      <w:r>
        <w:t xml:space="preserve"> </w:t>
      </w:r>
      <w:r w:rsidRPr="00D53776">
        <w:t>věcech</w:t>
      </w:r>
      <w:r>
        <w:t xml:space="preserve"> </w:t>
      </w:r>
      <w:r w:rsidRPr="00D53776">
        <w:t>stanovených</w:t>
      </w:r>
      <w:r>
        <w:t xml:space="preserve"> </w:t>
      </w:r>
      <w:r w:rsidRPr="00D53776">
        <w:t>tímto</w:t>
      </w:r>
      <w:r>
        <w:t xml:space="preserve"> </w:t>
      </w:r>
      <w:r w:rsidRPr="00D53776">
        <w:t>zákonem,</w:t>
      </w:r>
      <w:r>
        <w:t xml:space="preserve"> </w:t>
      </w:r>
      <w:r w:rsidRPr="00D53776">
        <w:t>včetně</w:t>
      </w:r>
      <w:r>
        <w:t xml:space="preserve"> </w:t>
      </w:r>
      <w:r w:rsidRPr="00D53776">
        <w:t>regulace</w:t>
      </w:r>
      <w:r>
        <w:t xml:space="preserve"> </w:t>
      </w:r>
      <w:r w:rsidRPr="00D53776">
        <w:t>trhu</w:t>
      </w:r>
      <w:r>
        <w:t xml:space="preserve"> </w:t>
      </w:r>
      <w:r w:rsidRPr="00D53776">
        <w:t>a</w:t>
      </w:r>
      <w:r>
        <w:t xml:space="preserve"> </w:t>
      </w:r>
      <w:r w:rsidRPr="00D53776">
        <w:t>stanovování</w:t>
      </w:r>
      <w:r>
        <w:t xml:space="preserve"> </w:t>
      </w:r>
      <w:r w:rsidRPr="00D53776">
        <w:t>podmínek</w:t>
      </w:r>
      <w:r>
        <w:t xml:space="preserve"> </w:t>
      </w:r>
      <w:r w:rsidRPr="00D53776">
        <w:t>pro</w:t>
      </w:r>
      <w:r>
        <w:t xml:space="preserve"> </w:t>
      </w:r>
      <w:r w:rsidRPr="00D53776">
        <w:t>podnikání</w:t>
      </w:r>
      <w:r>
        <w:t xml:space="preserve"> </w:t>
      </w:r>
      <w:r w:rsidRPr="00D53776">
        <w:t>v</w:t>
      </w:r>
      <w:r>
        <w:t xml:space="preserve"> </w:t>
      </w:r>
      <w:r w:rsidRPr="00D53776">
        <w:t>oblasti</w:t>
      </w:r>
      <w:r>
        <w:t xml:space="preserve"> </w:t>
      </w:r>
      <w:r w:rsidRPr="00D53776">
        <w:t>elektronických</w:t>
      </w:r>
      <w:r>
        <w:t xml:space="preserve"> </w:t>
      </w:r>
      <w:r w:rsidRPr="00D53776">
        <w:t>komunikací</w:t>
      </w:r>
      <w:r>
        <w:t xml:space="preserve"> </w:t>
      </w:r>
      <w:r w:rsidRPr="00D53776">
        <w:t>a</w:t>
      </w:r>
      <w:r>
        <w:t xml:space="preserve"> </w:t>
      </w:r>
      <w:r w:rsidRPr="00D53776">
        <w:t>poštovních</w:t>
      </w:r>
      <w:r>
        <w:t xml:space="preserve"> služeb.</w:t>
      </w:r>
      <w:r>
        <w:rPr>
          <w:rStyle w:val="Znakapoznpodarou"/>
        </w:rPr>
        <w:footnoteReference w:customMarkFollows="1" w:id="484"/>
        <w:t>2)</w:t>
      </w:r>
    </w:p>
    <w:p w14:paraId="52615294" w14:textId="77777777" w:rsidR="0022672A" w:rsidRPr="00D53776" w:rsidRDefault="0022672A" w:rsidP="00180250">
      <w:pPr>
        <w:pStyle w:val="Textparagrafu"/>
        <w:numPr>
          <w:ilvl w:val="0"/>
          <w:numId w:val="27"/>
        </w:numPr>
        <w:tabs>
          <w:tab w:val="left" w:pos="392"/>
          <w:tab w:val="left" w:pos="840"/>
        </w:tabs>
        <w:spacing w:before="120" w:after="120"/>
        <w:ind w:firstLine="425"/>
      </w:pPr>
      <w:r w:rsidRPr="00D53776">
        <w:t>(2)</w:t>
      </w:r>
      <w:r>
        <w:t xml:space="preserve"> </w:t>
      </w:r>
      <w:r w:rsidRPr="00D53776">
        <w:t>Sídlem</w:t>
      </w:r>
      <w:r>
        <w:t xml:space="preserve"> </w:t>
      </w:r>
      <w:r w:rsidRPr="00D53776">
        <w:t>Úřadu</w:t>
      </w:r>
      <w:r>
        <w:t xml:space="preserve"> </w:t>
      </w:r>
      <w:r w:rsidRPr="00D53776">
        <w:t>je</w:t>
      </w:r>
      <w:r>
        <w:t xml:space="preserve"> </w:t>
      </w:r>
      <w:r w:rsidRPr="00D53776">
        <w:t>Praha.</w:t>
      </w:r>
    </w:p>
    <w:p w14:paraId="7AA9CF81" w14:textId="77777777" w:rsidR="0022672A" w:rsidRPr="00D53776" w:rsidRDefault="0022672A" w:rsidP="00180250">
      <w:pPr>
        <w:pStyle w:val="Textparagrafu"/>
        <w:numPr>
          <w:ilvl w:val="0"/>
          <w:numId w:val="27"/>
        </w:numPr>
        <w:tabs>
          <w:tab w:val="left" w:pos="392"/>
          <w:tab w:val="left" w:pos="840"/>
        </w:tabs>
        <w:spacing w:before="120" w:after="120"/>
        <w:ind w:firstLine="425"/>
      </w:pPr>
      <w:r w:rsidRPr="00D53776">
        <w:t>(3)</w:t>
      </w:r>
      <w:r>
        <w:t xml:space="preserve"> </w:t>
      </w:r>
      <w:r w:rsidRPr="008E102F">
        <w:rPr>
          <w:strike/>
        </w:rPr>
        <w:t>Úřad je účetní jednotkou.</w:t>
      </w:r>
      <w:r>
        <w:t xml:space="preserve"> </w:t>
      </w:r>
      <w:r w:rsidRPr="00D53776">
        <w:t>Úřad</w:t>
      </w:r>
      <w:r>
        <w:t xml:space="preserve"> </w:t>
      </w:r>
      <w:r w:rsidRPr="00D53776">
        <w:t>má</w:t>
      </w:r>
      <w:r>
        <w:t xml:space="preserve"> </w:t>
      </w:r>
      <w:r w:rsidRPr="00D53776">
        <w:t>samostatnou</w:t>
      </w:r>
      <w:r>
        <w:t xml:space="preserve"> </w:t>
      </w:r>
      <w:r w:rsidRPr="00D53776">
        <w:t>kapitolu</w:t>
      </w:r>
      <w:r>
        <w:t xml:space="preserve"> </w:t>
      </w:r>
      <w:r w:rsidRPr="00D53776">
        <w:t>ve</w:t>
      </w:r>
      <w:r>
        <w:t xml:space="preserve"> </w:t>
      </w:r>
      <w:r w:rsidRPr="00D53776">
        <w:t>státním</w:t>
      </w:r>
      <w:r>
        <w:t xml:space="preserve"> </w:t>
      </w:r>
      <w:r w:rsidRPr="00D53776">
        <w:t>rozpočtu</w:t>
      </w:r>
      <w:r>
        <w:t xml:space="preserve"> </w:t>
      </w:r>
      <w:r w:rsidRPr="00D53776">
        <w:t>České</w:t>
      </w:r>
      <w:r>
        <w:t xml:space="preserve"> </w:t>
      </w:r>
      <w:r w:rsidRPr="00D53776">
        <w:t>republiky.</w:t>
      </w:r>
    </w:p>
    <w:p w14:paraId="5F8A7C9A" w14:textId="77777777" w:rsidR="0022672A" w:rsidRPr="00D53776" w:rsidRDefault="0022672A" w:rsidP="0022672A">
      <w:pPr>
        <w:pStyle w:val="Textparagrafu"/>
        <w:numPr>
          <w:ilvl w:val="0"/>
          <w:numId w:val="27"/>
        </w:numPr>
        <w:tabs>
          <w:tab w:val="left" w:pos="392"/>
          <w:tab w:val="left" w:pos="840"/>
        </w:tabs>
        <w:spacing w:after="120"/>
        <w:jc w:val="center"/>
      </w:pPr>
      <w:r w:rsidRPr="00D53776">
        <w:t>***</w:t>
      </w:r>
    </w:p>
    <w:p w14:paraId="5EDAF9C8" w14:textId="597F9EA8" w:rsidR="0022672A" w:rsidRDefault="0022672A" w:rsidP="0022672A">
      <w:pPr>
        <w:pStyle w:val="Textparagrafu"/>
        <w:numPr>
          <w:ilvl w:val="0"/>
          <w:numId w:val="27"/>
        </w:numPr>
        <w:tabs>
          <w:tab w:val="left" w:pos="392"/>
          <w:tab w:val="left" w:pos="840"/>
        </w:tabs>
        <w:spacing w:after="120"/>
        <w:jc w:val="center"/>
      </w:pPr>
      <w:r w:rsidRPr="00D53776">
        <w:t>§</w:t>
      </w:r>
      <w:r>
        <w:t xml:space="preserve"> </w:t>
      </w:r>
      <w:r w:rsidRPr="00D53776">
        <w:t>86</w:t>
      </w:r>
    </w:p>
    <w:p w14:paraId="11AD65B2" w14:textId="77777777" w:rsidR="0022672A" w:rsidRDefault="0022672A" w:rsidP="00180250">
      <w:pPr>
        <w:pStyle w:val="Textparagrafu"/>
        <w:numPr>
          <w:ilvl w:val="0"/>
          <w:numId w:val="27"/>
        </w:numPr>
        <w:tabs>
          <w:tab w:val="left" w:pos="392"/>
          <w:tab w:val="left" w:pos="840"/>
        </w:tabs>
        <w:spacing w:before="120" w:after="120"/>
        <w:ind w:firstLine="425"/>
      </w:pPr>
      <w:r w:rsidRPr="00D53776">
        <w:t>(1)</w:t>
      </w:r>
      <w:r>
        <w:t xml:space="preserve"> </w:t>
      </w:r>
      <w:r w:rsidRPr="00D53776">
        <w:t>Poskytovatel</w:t>
      </w:r>
      <w:r>
        <w:t xml:space="preserve"> </w:t>
      </w:r>
      <w:r w:rsidRPr="00D53776">
        <w:t>univerzální</w:t>
      </w:r>
      <w:r>
        <w:t xml:space="preserve"> </w:t>
      </w:r>
      <w:r w:rsidRPr="00D53776">
        <w:t>služby,</w:t>
      </w:r>
      <w:r>
        <w:t xml:space="preserve"> </w:t>
      </w:r>
      <w:r w:rsidRPr="00D53776">
        <w:t>s</w:t>
      </w:r>
      <w:r>
        <w:t xml:space="preserve"> </w:t>
      </w:r>
      <w:r w:rsidRPr="00D53776">
        <w:t>výjimkou</w:t>
      </w:r>
      <w:r>
        <w:t xml:space="preserve"> </w:t>
      </w:r>
      <w:r w:rsidRPr="00D53776">
        <w:t>poskytovatele</w:t>
      </w:r>
      <w:r>
        <w:t xml:space="preserve"> </w:t>
      </w:r>
      <w:r w:rsidRPr="00D53776">
        <w:t>zvláštních</w:t>
      </w:r>
      <w:r>
        <w:t xml:space="preserve"> </w:t>
      </w:r>
      <w:r w:rsidRPr="00D53776">
        <w:t>cen</w:t>
      </w:r>
      <w:r>
        <w:t xml:space="preserve"> </w:t>
      </w:r>
      <w:r w:rsidRPr="00D53776">
        <w:t>podle</w:t>
      </w:r>
      <w:r>
        <w:t xml:space="preserve"> </w:t>
      </w:r>
      <w:r w:rsidRPr="00D53776">
        <w:t>§</w:t>
      </w:r>
      <w:r>
        <w:t xml:space="preserve"> </w:t>
      </w:r>
      <w:r w:rsidRPr="00D53776">
        <w:t>38</w:t>
      </w:r>
      <w:r>
        <w:t xml:space="preserve"> </w:t>
      </w:r>
      <w:r w:rsidRPr="00D53776">
        <w:t>odst.</w:t>
      </w:r>
      <w:r>
        <w:t xml:space="preserve"> </w:t>
      </w:r>
      <w:r w:rsidRPr="00D53776">
        <w:t>3</w:t>
      </w:r>
      <w:r>
        <w:t xml:space="preserve"> </w:t>
      </w:r>
      <w:r w:rsidRPr="00D53776">
        <w:t>nebo</w:t>
      </w:r>
      <w:r>
        <w:t xml:space="preserve"> </w:t>
      </w:r>
      <w:r w:rsidRPr="00D53776">
        <w:t>poskytovatele</w:t>
      </w:r>
      <w:r>
        <w:t xml:space="preserve"> </w:t>
      </w:r>
      <w:r w:rsidRPr="00D53776">
        <w:t>cenového</w:t>
      </w:r>
      <w:r>
        <w:t xml:space="preserve"> </w:t>
      </w:r>
      <w:r w:rsidRPr="00D53776">
        <w:t>zvýhodnění</w:t>
      </w:r>
      <w:r>
        <w:t xml:space="preserve"> </w:t>
      </w:r>
      <w:r w:rsidRPr="00D53776">
        <w:t>v</w:t>
      </w:r>
      <w:r>
        <w:t xml:space="preserve"> </w:t>
      </w:r>
      <w:r w:rsidRPr="00D53776">
        <w:t>rámci</w:t>
      </w:r>
      <w:r>
        <w:t xml:space="preserve"> </w:t>
      </w:r>
      <w:r w:rsidRPr="00D53776">
        <w:t>speciálního</w:t>
      </w:r>
      <w:r>
        <w:t xml:space="preserve"> </w:t>
      </w:r>
      <w:r w:rsidRPr="00D53776">
        <w:t>tarifu</w:t>
      </w:r>
      <w:r>
        <w:t xml:space="preserve"> </w:t>
      </w:r>
      <w:r w:rsidRPr="00D53776">
        <w:t>podle</w:t>
      </w:r>
      <w:r>
        <w:t xml:space="preserve"> </w:t>
      </w:r>
      <w:r w:rsidRPr="00D53776">
        <w:t>§</w:t>
      </w:r>
      <w:r>
        <w:t xml:space="preserve"> </w:t>
      </w:r>
      <w:r w:rsidRPr="00D53776">
        <w:t>43</w:t>
      </w:r>
      <w:r>
        <w:t xml:space="preserve"> </w:t>
      </w:r>
      <w:r w:rsidRPr="00D53776">
        <w:t>odst.</w:t>
      </w:r>
      <w:r>
        <w:t xml:space="preserve"> </w:t>
      </w:r>
      <w:r w:rsidRPr="00D53776">
        <w:t>2</w:t>
      </w:r>
      <w:r>
        <w:t xml:space="preserve"> </w:t>
      </w:r>
      <w:r w:rsidRPr="00D53776">
        <w:t>písm.</w:t>
      </w:r>
      <w:r>
        <w:t xml:space="preserve"> </w:t>
      </w:r>
      <w:r w:rsidRPr="00D53776">
        <w:t>b),</w:t>
      </w:r>
      <w:r>
        <w:t xml:space="preserve"> </w:t>
      </w:r>
      <w:r w:rsidRPr="00D53776">
        <w:t>a</w:t>
      </w:r>
      <w:r>
        <w:t xml:space="preserve"> </w:t>
      </w:r>
      <w:r w:rsidRPr="00D53776">
        <w:t>subjekt,</w:t>
      </w:r>
      <w:r>
        <w:t xml:space="preserve"> </w:t>
      </w:r>
      <w:r w:rsidRPr="00D53776">
        <w:t>vůči</w:t>
      </w:r>
      <w:r>
        <w:t xml:space="preserve"> </w:t>
      </w:r>
      <w:r w:rsidRPr="00D53776">
        <w:t>kterému</w:t>
      </w:r>
      <w:r>
        <w:t xml:space="preserve"> </w:t>
      </w:r>
      <w:r w:rsidRPr="00D53776">
        <w:t>byla</w:t>
      </w:r>
      <w:r>
        <w:t xml:space="preserve"> </w:t>
      </w:r>
      <w:r w:rsidRPr="00D53776">
        <w:t>uplatněna</w:t>
      </w:r>
      <w:r>
        <w:t xml:space="preserve"> </w:t>
      </w:r>
      <w:r w:rsidRPr="00D53776">
        <w:t>regulace</w:t>
      </w:r>
      <w:r>
        <w:t xml:space="preserve"> </w:t>
      </w:r>
      <w:r w:rsidRPr="00D53776">
        <w:t>cen</w:t>
      </w:r>
      <w:r>
        <w:t xml:space="preserve"> </w:t>
      </w:r>
      <w:r w:rsidRPr="00D53776">
        <w:t>na</w:t>
      </w:r>
      <w:r>
        <w:t xml:space="preserve"> </w:t>
      </w:r>
      <w:r w:rsidRPr="00D53776">
        <w:t>trhu</w:t>
      </w:r>
      <w:r>
        <w:t xml:space="preserve"> </w:t>
      </w:r>
      <w:r w:rsidRPr="00D53776">
        <w:t>pro</w:t>
      </w:r>
      <w:r>
        <w:t xml:space="preserve"> </w:t>
      </w:r>
      <w:r w:rsidRPr="00D53776">
        <w:t>koncové</w:t>
      </w:r>
      <w:r>
        <w:t xml:space="preserve"> </w:t>
      </w:r>
      <w:r w:rsidRPr="00D53776">
        <w:t>uživatele,</w:t>
      </w:r>
      <w:r>
        <w:t xml:space="preserve"> </w:t>
      </w:r>
      <w:r w:rsidRPr="00D53776">
        <w:t>je</w:t>
      </w:r>
      <w:r>
        <w:t xml:space="preserve"> </w:t>
      </w:r>
      <w:r w:rsidRPr="00D53776">
        <w:t>povinen</w:t>
      </w:r>
      <w:r>
        <w:t xml:space="preserve"> </w:t>
      </w:r>
      <w:r w:rsidRPr="00D53776">
        <w:t>vést</w:t>
      </w:r>
      <w:r>
        <w:t xml:space="preserve"> </w:t>
      </w:r>
      <w:r w:rsidRPr="00D53776">
        <w:t>oddělenou</w:t>
      </w:r>
      <w:r>
        <w:t xml:space="preserve"> </w:t>
      </w:r>
      <w:r w:rsidRPr="00D53776">
        <w:t>evidenci</w:t>
      </w:r>
      <w:r>
        <w:t xml:space="preserve"> </w:t>
      </w:r>
      <w:r w:rsidRPr="00D53776">
        <w:t>nákladů</w:t>
      </w:r>
      <w:r>
        <w:t xml:space="preserve"> </w:t>
      </w:r>
      <w:r w:rsidRPr="00D53776">
        <w:t>a</w:t>
      </w:r>
      <w:r>
        <w:t xml:space="preserve"> </w:t>
      </w:r>
      <w:r w:rsidRPr="00D53776">
        <w:t>výnosů.</w:t>
      </w:r>
    </w:p>
    <w:p w14:paraId="442310B1" w14:textId="77777777" w:rsidR="0022672A" w:rsidRDefault="0022672A" w:rsidP="00180250">
      <w:pPr>
        <w:pStyle w:val="Textparagrafu"/>
        <w:numPr>
          <w:ilvl w:val="0"/>
          <w:numId w:val="27"/>
        </w:numPr>
        <w:tabs>
          <w:tab w:val="left" w:pos="392"/>
          <w:tab w:val="left" w:pos="840"/>
        </w:tabs>
        <w:spacing w:before="120" w:after="120"/>
        <w:ind w:firstLine="425"/>
      </w:pPr>
      <w:r w:rsidRPr="00D53776">
        <w:t>(2)</w:t>
      </w:r>
      <w:r>
        <w:t xml:space="preserve"> </w:t>
      </w:r>
      <w:r w:rsidRPr="00D53776">
        <w:t>Úřad</w:t>
      </w:r>
      <w:r>
        <w:t xml:space="preserve"> </w:t>
      </w:r>
      <w:r w:rsidRPr="00D53776">
        <w:t>je</w:t>
      </w:r>
      <w:r>
        <w:t xml:space="preserve"> </w:t>
      </w:r>
      <w:r w:rsidRPr="00D53776">
        <w:t>oprávněn</w:t>
      </w:r>
      <w:r>
        <w:t xml:space="preserve"> </w:t>
      </w:r>
      <w:r w:rsidRPr="00D53776">
        <w:t>v</w:t>
      </w:r>
      <w:r>
        <w:t xml:space="preserve"> </w:t>
      </w:r>
      <w:r w:rsidRPr="00D53776">
        <w:t>souladu</w:t>
      </w:r>
      <w:r>
        <w:t xml:space="preserve"> </w:t>
      </w:r>
      <w:r w:rsidRPr="00D53776">
        <w:t>s</w:t>
      </w:r>
      <w:r>
        <w:t xml:space="preserve"> </w:t>
      </w:r>
      <w:r w:rsidRPr="00D53776">
        <w:t>§</w:t>
      </w:r>
      <w:r>
        <w:t xml:space="preserve"> </w:t>
      </w:r>
      <w:r w:rsidRPr="00D53776">
        <w:t>51</w:t>
      </w:r>
      <w:r>
        <w:t xml:space="preserve"> </w:t>
      </w:r>
      <w:r w:rsidRPr="00D53776">
        <w:t>uložit</w:t>
      </w:r>
      <w:r>
        <w:t xml:space="preserve"> </w:t>
      </w:r>
      <w:r w:rsidRPr="00D53776">
        <w:t>povinnost</w:t>
      </w:r>
      <w:r>
        <w:t xml:space="preserve"> </w:t>
      </w:r>
      <w:r w:rsidRPr="00D53776">
        <w:t>vést</w:t>
      </w:r>
      <w:r>
        <w:t xml:space="preserve"> </w:t>
      </w:r>
      <w:r w:rsidRPr="00D53776">
        <w:t>oddělenou</w:t>
      </w:r>
      <w:r>
        <w:t xml:space="preserve"> </w:t>
      </w:r>
      <w:r w:rsidRPr="00D53776">
        <w:t>evidenci</w:t>
      </w:r>
      <w:r>
        <w:t xml:space="preserve"> </w:t>
      </w:r>
      <w:r w:rsidRPr="00D53776">
        <w:t>nákladů</w:t>
      </w:r>
      <w:r>
        <w:t xml:space="preserve"> </w:t>
      </w:r>
      <w:r w:rsidRPr="00D53776">
        <w:t>a</w:t>
      </w:r>
      <w:r>
        <w:t xml:space="preserve"> </w:t>
      </w:r>
      <w:r w:rsidRPr="00D53776">
        <w:t>výnosů</w:t>
      </w:r>
      <w:r>
        <w:t xml:space="preserve"> </w:t>
      </w:r>
      <w:r w:rsidRPr="00D53776">
        <w:t>subjektu</w:t>
      </w:r>
    </w:p>
    <w:p w14:paraId="10442487" w14:textId="4322F313" w:rsidR="0022672A" w:rsidRDefault="0022672A" w:rsidP="00AB5ED2">
      <w:pPr>
        <w:pStyle w:val="Textparagrafu"/>
        <w:numPr>
          <w:ilvl w:val="0"/>
          <w:numId w:val="27"/>
        </w:numPr>
        <w:tabs>
          <w:tab w:val="left" w:pos="392"/>
          <w:tab w:val="left" w:pos="840"/>
        </w:tabs>
        <w:spacing w:before="0"/>
        <w:ind w:left="426" w:hanging="426"/>
      </w:pPr>
      <w:r w:rsidRPr="00D53776">
        <w:t>a)</w:t>
      </w:r>
      <w:r>
        <w:tab/>
      </w:r>
      <w:r w:rsidRPr="00D53776">
        <w:t>poskytujícímu</w:t>
      </w:r>
      <w:r>
        <w:t xml:space="preserve"> </w:t>
      </w:r>
      <w:r w:rsidRPr="00D53776">
        <w:t>přístup</w:t>
      </w:r>
      <w:r>
        <w:t xml:space="preserve"> </w:t>
      </w:r>
      <w:r w:rsidRPr="00D53776">
        <w:t>nebo</w:t>
      </w:r>
      <w:r>
        <w:t xml:space="preserve"> </w:t>
      </w:r>
      <w:r w:rsidRPr="00D53776">
        <w:t>propojení</w:t>
      </w:r>
      <w:r>
        <w:t xml:space="preserve"> </w:t>
      </w:r>
      <w:r w:rsidRPr="00D53776">
        <w:t>a</w:t>
      </w:r>
      <w:r>
        <w:t xml:space="preserve"> </w:t>
      </w:r>
      <w:r w:rsidRPr="00D53776">
        <w:t>kterého</w:t>
      </w:r>
      <w:r>
        <w:t xml:space="preserve"> </w:t>
      </w:r>
      <w:r w:rsidRPr="00D53776">
        <w:t>postupem</w:t>
      </w:r>
      <w:r>
        <w:t xml:space="preserve"> </w:t>
      </w:r>
      <w:r w:rsidRPr="00D53776">
        <w:t>podle</w:t>
      </w:r>
      <w:r>
        <w:t xml:space="preserve"> </w:t>
      </w:r>
      <w:r w:rsidRPr="00D53776">
        <w:t>§</w:t>
      </w:r>
      <w:r>
        <w:t xml:space="preserve"> </w:t>
      </w:r>
      <w:r w:rsidRPr="00D53776">
        <w:t>51</w:t>
      </w:r>
      <w:r>
        <w:t xml:space="preserve"> </w:t>
      </w:r>
      <w:r w:rsidRPr="00D53776">
        <w:t>určil</w:t>
      </w:r>
      <w:r>
        <w:t xml:space="preserve"> </w:t>
      </w:r>
      <w:r w:rsidRPr="00D53776">
        <w:t>jako</w:t>
      </w:r>
      <w:r>
        <w:t xml:space="preserve"> </w:t>
      </w:r>
      <w:r w:rsidRPr="00D53776">
        <w:t>podnik</w:t>
      </w:r>
      <w:r>
        <w:t xml:space="preserve"> </w:t>
      </w:r>
      <w:r w:rsidRPr="00D53776">
        <w:t>s</w:t>
      </w:r>
      <w:r>
        <w:t xml:space="preserve"> </w:t>
      </w:r>
      <w:r w:rsidRPr="00D53776">
        <w:t>významnou</w:t>
      </w:r>
      <w:r>
        <w:t xml:space="preserve"> </w:t>
      </w:r>
      <w:r w:rsidRPr="00D53776">
        <w:t>tržní</w:t>
      </w:r>
      <w:r>
        <w:t xml:space="preserve"> </w:t>
      </w:r>
      <w:r w:rsidRPr="00D53776">
        <w:t>silou</w:t>
      </w:r>
      <w:r>
        <w:t xml:space="preserve"> </w:t>
      </w:r>
      <w:r w:rsidRPr="00D53776">
        <w:t>na</w:t>
      </w:r>
      <w:r>
        <w:t xml:space="preserve"> </w:t>
      </w:r>
      <w:r w:rsidRPr="00D53776">
        <w:t>relevantním</w:t>
      </w:r>
      <w:r>
        <w:t xml:space="preserve"> </w:t>
      </w:r>
      <w:r w:rsidRPr="00D53776">
        <w:t>trhu;</w:t>
      </w:r>
      <w:r>
        <w:t xml:space="preserve"> </w:t>
      </w:r>
      <w:r w:rsidRPr="00D53776">
        <w:t>Úřad</w:t>
      </w:r>
      <w:r>
        <w:t xml:space="preserve"> </w:t>
      </w:r>
      <w:r w:rsidRPr="00D53776">
        <w:t>rozhodne,</w:t>
      </w:r>
      <w:r>
        <w:t xml:space="preserve"> </w:t>
      </w:r>
      <w:r w:rsidRPr="00D53776">
        <w:t>na</w:t>
      </w:r>
      <w:r>
        <w:t xml:space="preserve"> </w:t>
      </w:r>
      <w:r w:rsidRPr="00D53776">
        <w:t>které</w:t>
      </w:r>
      <w:r>
        <w:t xml:space="preserve"> </w:t>
      </w:r>
      <w:r w:rsidRPr="00D53776">
        <w:t>činnosti</w:t>
      </w:r>
      <w:r>
        <w:t xml:space="preserve"> </w:t>
      </w:r>
      <w:r w:rsidRPr="00D53776">
        <w:t>související</w:t>
      </w:r>
      <w:r>
        <w:t xml:space="preserve"> </w:t>
      </w:r>
      <w:r w:rsidRPr="00D53776">
        <w:t>s</w:t>
      </w:r>
      <w:r>
        <w:t xml:space="preserve"> </w:t>
      </w:r>
      <w:r w:rsidRPr="00D53776">
        <w:t>propojením</w:t>
      </w:r>
      <w:r>
        <w:t xml:space="preserve"> </w:t>
      </w:r>
      <w:r w:rsidRPr="00D53776">
        <w:t>nebo</w:t>
      </w:r>
      <w:r>
        <w:t xml:space="preserve"> </w:t>
      </w:r>
      <w:r w:rsidRPr="00D53776">
        <w:t>přístupem</w:t>
      </w:r>
      <w:r>
        <w:t xml:space="preserve"> </w:t>
      </w:r>
      <w:r w:rsidRPr="00D53776">
        <w:t>se</w:t>
      </w:r>
      <w:r>
        <w:t xml:space="preserve"> </w:t>
      </w:r>
      <w:r w:rsidRPr="00D53776">
        <w:t>povinnost</w:t>
      </w:r>
      <w:r>
        <w:t xml:space="preserve"> </w:t>
      </w:r>
      <w:r w:rsidRPr="00D53776">
        <w:t>vést</w:t>
      </w:r>
      <w:r>
        <w:t xml:space="preserve"> </w:t>
      </w:r>
      <w:r w:rsidRPr="00D53776">
        <w:t>oddělenou</w:t>
      </w:r>
      <w:r>
        <w:t xml:space="preserve"> </w:t>
      </w:r>
      <w:r w:rsidRPr="00D53776">
        <w:t>evidenci</w:t>
      </w:r>
      <w:r>
        <w:t xml:space="preserve"> </w:t>
      </w:r>
      <w:r w:rsidRPr="00D53776">
        <w:t>nákladů</w:t>
      </w:r>
      <w:r>
        <w:t xml:space="preserve"> </w:t>
      </w:r>
      <w:r w:rsidRPr="00D53776">
        <w:t>a</w:t>
      </w:r>
      <w:r>
        <w:t xml:space="preserve"> </w:t>
      </w:r>
      <w:r w:rsidRPr="00D53776">
        <w:t>výnosů</w:t>
      </w:r>
      <w:r>
        <w:t xml:space="preserve"> </w:t>
      </w:r>
      <w:r w:rsidRPr="00D53776">
        <w:t>vztahuje,</w:t>
      </w:r>
      <w:r>
        <w:t xml:space="preserve"> </w:t>
      </w:r>
      <w:r w:rsidRPr="00D53776">
        <w:t>nebo</w:t>
      </w:r>
    </w:p>
    <w:p w14:paraId="213A1ACC" w14:textId="1394118C" w:rsidR="0022672A" w:rsidRDefault="0022672A" w:rsidP="00AB5ED2">
      <w:pPr>
        <w:pStyle w:val="Textparagrafu"/>
        <w:numPr>
          <w:ilvl w:val="0"/>
          <w:numId w:val="27"/>
        </w:numPr>
        <w:tabs>
          <w:tab w:val="left" w:pos="392"/>
          <w:tab w:val="left" w:pos="840"/>
        </w:tabs>
        <w:spacing w:before="0"/>
        <w:ind w:left="426" w:hanging="426"/>
      </w:pPr>
      <w:r w:rsidRPr="00D53776">
        <w:t>b)</w:t>
      </w:r>
      <w:r>
        <w:tab/>
      </w:r>
      <w:r w:rsidRPr="00D53776">
        <w:t>který</w:t>
      </w:r>
      <w:r>
        <w:t xml:space="preserve"> </w:t>
      </w:r>
      <w:r w:rsidRPr="00D53776">
        <w:t>je</w:t>
      </w:r>
      <w:r>
        <w:t xml:space="preserve"> </w:t>
      </w:r>
      <w:r w:rsidRPr="00D53776">
        <w:t>uveden</w:t>
      </w:r>
      <w:r>
        <w:t xml:space="preserve"> </w:t>
      </w:r>
      <w:r w:rsidRPr="00D53776">
        <w:t>v</w:t>
      </w:r>
      <w:r>
        <w:t xml:space="preserve"> </w:t>
      </w:r>
      <w:r w:rsidRPr="00D53776">
        <w:t>§</w:t>
      </w:r>
      <w:r>
        <w:t xml:space="preserve"> </w:t>
      </w:r>
      <w:r w:rsidRPr="00D53776">
        <w:t>83</w:t>
      </w:r>
      <w:r>
        <w:t xml:space="preserve"> </w:t>
      </w:r>
      <w:r w:rsidRPr="00D53776">
        <w:t>odst.</w:t>
      </w:r>
      <w:r>
        <w:t xml:space="preserve"> </w:t>
      </w:r>
      <w:r w:rsidRPr="00D53776">
        <w:t>5.</w:t>
      </w:r>
    </w:p>
    <w:p w14:paraId="4D22D016" w14:textId="77777777" w:rsidR="0022672A" w:rsidRDefault="0022672A" w:rsidP="00180250">
      <w:pPr>
        <w:pStyle w:val="Textparagrafu"/>
        <w:numPr>
          <w:ilvl w:val="1"/>
          <w:numId w:val="27"/>
        </w:numPr>
        <w:tabs>
          <w:tab w:val="left" w:pos="392"/>
          <w:tab w:val="left" w:pos="840"/>
        </w:tabs>
        <w:spacing w:before="120" w:after="120"/>
        <w:ind w:firstLine="425"/>
      </w:pPr>
      <w:r w:rsidRPr="00D53776">
        <w:t>Úřad</w:t>
      </w:r>
      <w:r>
        <w:t xml:space="preserve"> </w:t>
      </w:r>
      <w:r w:rsidRPr="00D53776">
        <w:t>je</w:t>
      </w:r>
      <w:r>
        <w:t xml:space="preserve"> </w:t>
      </w:r>
      <w:r w:rsidRPr="00D53776">
        <w:t>oprávněn</w:t>
      </w:r>
      <w:r>
        <w:t xml:space="preserve"> </w:t>
      </w:r>
      <w:r w:rsidRPr="00D53776">
        <w:t>uložit</w:t>
      </w:r>
      <w:r>
        <w:t xml:space="preserve"> </w:t>
      </w:r>
      <w:r w:rsidRPr="00D53776">
        <w:t>povinnost</w:t>
      </w:r>
      <w:r>
        <w:t xml:space="preserve"> </w:t>
      </w:r>
      <w:r w:rsidRPr="00D53776">
        <w:t>vést</w:t>
      </w:r>
      <w:r>
        <w:t xml:space="preserve"> </w:t>
      </w:r>
      <w:r w:rsidRPr="00D53776">
        <w:t>oddělenou</w:t>
      </w:r>
      <w:r>
        <w:t xml:space="preserve"> </w:t>
      </w:r>
      <w:r w:rsidRPr="00D53776">
        <w:t>evidenci</w:t>
      </w:r>
      <w:r>
        <w:t xml:space="preserve"> </w:t>
      </w:r>
      <w:r w:rsidRPr="00D53776">
        <w:t>nákladů</w:t>
      </w:r>
      <w:r>
        <w:t xml:space="preserve"> </w:t>
      </w:r>
      <w:r w:rsidRPr="00D53776">
        <w:t>a</w:t>
      </w:r>
      <w:r>
        <w:t xml:space="preserve"> </w:t>
      </w:r>
      <w:r w:rsidRPr="00D53776">
        <w:t>výnosů</w:t>
      </w:r>
      <w:r>
        <w:t xml:space="preserve"> </w:t>
      </w:r>
      <w:r w:rsidRPr="00D53776">
        <w:t>subjektu</w:t>
      </w:r>
      <w:r>
        <w:t xml:space="preserve"> </w:t>
      </w:r>
      <w:r w:rsidRPr="00D53776">
        <w:t>uvedenému</w:t>
      </w:r>
      <w:r>
        <w:t xml:space="preserve"> </w:t>
      </w:r>
      <w:r w:rsidRPr="00D53776">
        <w:t>v</w:t>
      </w:r>
      <w:r>
        <w:t xml:space="preserve"> </w:t>
      </w:r>
      <w:r w:rsidRPr="00D53776">
        <w:t>písmenu</w:t>
      </w:r>
      <w:r>
        <w:t xml:space="preserve"> </w:t>
      </w:r>
      <w:r w:rsidRPr="00D53776">
        <w:t>a)</w:t>
      </w:r>
      <w:r>
        <w:t xml:space="preserve"> </w:t>
      </w:r>
      <w:r w:rsidRPr="00D53776">
        <w:t>také</w:t>
      </w:r>
      <w:r>
        <w:t xml:space="preserve"> </w:t>
      </w:r>
      <w:r w:rsidRPr="00D53776">
        <w:t>na</w:t>
      </w:r>
      <w:r>
        <w:t xml:space="preserve"> </w:t>
      </w:r>
      <w:r w:rsidRPr="00D53776">
        <w:t>souvisejících</w:t>
      </w:r>
      <w:r>
        <w:t xml:space="preserve"> </w:t>
      </w:r>
      <w:r w:rsidRPr="00D53776">
        <w:t>maloobchodních</w:t>
      </w:r>
      <w:r>
        <w:t xml:space="preserve"> </w:t>
      </w:r>
      <w:r w:rsidRPr="00D53776">
        <w:t>trzích.</w:t>
      </w:r>
    </w:p>
    <w:p w14:paraId="4B95BCE0" w14:textId="77777777" w:rsidR="0022672A" w:rsidRDefault="0022672A" w:rsidP="00180250">
      <w:pPr>
        <w:pStyle w:val="Textparagrafu"/>
        <w:numPr>
          <w:ilvl w:val="0"/>
          <w:numId w:val="27"/>
        </w:numPr>
        <w:tabs>
          <w:tab w:val="left" w:pos="392"/>
          <w:tab w:val="left" w:pos="840"/>
        </w:tabs>
        <w:spacing w:before="120" w:after="120"/>
        <w:ind w:firstLine="425"/>
      </w:pPr>
      <w:r w:rsidRPr="00D53776">
        <w:t>(3)</w:t>
      </w:r>
      <w:r>
        <w:t xml:space="preserve"> </w:t>
      </w:r>
      <w:r w:rsidRPr="00D53776">
        <w:t>Pro</w:t>
      </w:r>
      <w:r>
        <w:t xml:space="preserve"> </w:t>
      </w:r>
      <w:r w:rsidRPr="00D53776">
        <w:t>účely</w:t>
      </w:r>
      <w:r>
        <w:t xml:space="preserve"> </w:t>
      </w:r>
      <w:r w:rsidRPr="00D53776">
        <w:t>oddělené</w:t>
      </w:r>
      <w:r>
        <w:t xml:space="preserve"> </w:t>
      </w:r>
      <w:r w:rsidRPr="00D53776">
        <w:t>evidence</w:t>
      </w:r>
      <w:r>
        <w:t xml:space="preserve"> </w:t>
      </w:r>
      <w:r w:rsidRPr="00D53776">
        <w:t>nákladů</w:t>
      </w:r>
      <w:r>
        <w:t xml:space="preserve"> </w:t>
      </w:r>
      <w:r w:rsidRPr="00D53776">
        <w:t>a</w:t>
      </w:r>
      <w:r>
        <w:t xml:space="preserve"> </w:t>
      </w:r>
      <w:r w:rsidRPr="00D53776">
        <w:t>výnosů</w:t>
      </w:r>
      <w:r>
        <w:t xml:space="preserve"> </w:t>
      </w:r>
      <w:r w:rsidRPr="00D53776">
        <w:t>Úřad</w:t>
      </w:r>
      <w:r>
        <w:t xml:space="preserve"> </w:t>
      </w:r>
      <w:r w:rsidRPr="00D53776">
        <w:t>opatřením</w:t>
      </w:r>
      <w:r>
        <w:t xml:space="preserve"> </w:t>
      </w:r>
      <w:r w:rsidRPr="00D53776">
        <w:t>obecné</w:t>
      </w:r>
      <w:r>
        <w:t xml:space="preserve"> </w:t>
      </w:r>
      <w:r w:rsidRPr="00D53776">
        <w:t>povahy</w:t>
      </w:r>
      <w:r>
        <w:t xml:space="preserve"> </w:t>
      </w:r>
      <w:r w:rsidRPr="00D53776">
        <w:t>stanoví</w:t>
      </w:r>
      <w:r>
        <w:t xml:space="preserve"> </w:t>
      </w:r>
      <w:r w:rsidRPr="00D53776">
        <w:t>metodiku</w:t>
      </w:r>
      <w:r>
        <w:t xml:space="preserve"> </w:t>
      </w:r>
      <w:r w:rsidRPr="00D53776">
        <w:t>účelového</w:t>
      </w:r>
      <w:r>
        <w:t xml:space="preserve"> </w:t>
      </w:r>
      <w:r w:rsidRPr="00D53776">
        <w:t>členění</w:t>
      </w:r>
      <w:r>
        <w:t xml:space="preserve"> </w:t>
      </w:r>
      <w:r w:rsidRPr="00D53776">
        <w:t>nákladů</w:t>
      </w:r>
      <w:r>
        <w:t xml:space="preserve"> </w:t>
      </w:r>
      <w:r w:rsidRPr="00D53776">
        <w:t>a</w:t>
      </w:r>
      <w:r>
        <w:t xml:space="preserve"> </w:t>
      </w:r>
      <w:r w:rsidRPr="00D53776">
        <w:t>výnosů</w:t>
      </w:r>
      <w:r>
        <w:t xml:space="preserve"> </w:t>
      </w:r>
      <w:r w:rsidRPr="00D53776">
        <w:t>a</w:t>
      </w:r>
      <w:r>
        <w:t xml:space="preserve"> </w:t>
      </w:r>
      <w:r w:rsidRPr="00D53776">
        <w:t>jejich</w:t>
      </w:r>
      <w:r>
        <w:t xml:space="preserve"> </w:t>
      </w:r>
      <w:r w:rsidRPr="00D53776">
        <w:t>přiřazování</w:t>
      </w:r>
      <w:r>
        <w:t xml:space="preserve"> </w:t>
      </w:r>
      <w:r w:rsidRPr="00D53776">
        <w:t>a</w:t>
      </w:r>
      <w:r>
        <w:t xml:space="preserve"> </w:t>
      </w:r>
      <w:r w:rsidRPr="00D53776">
        <w:t>určí</w:t>
      </w:r>
      <w:r>
        <w:t xml:space="preserve"> </w:t>
      </w:r>
      <w:r w:rsidRPr="00D53776">
        <w:t>strukturu</w:t>
      </w:r>
      <w:r>
        <w:t xml:space="preserve"> </w:t>
      </w:r>
      <w:r w:rsidRPr="00D53776">
        <w:t>vykazovaných</w:t>
      </w:r>
      <w:r>
        <w:t xml:space="preserve"> </w:t>
      </w:r>
      <w:r w:rsidRPr="00D53776">
        <w:t>informací.</w:t>
      </w:r>
    </w:p>
    <w:p w14:paraId="4A7BB1E5" w14:textId="5B3ADD77" w:rsidR="0022672A" w:rsidRDefault="0022672A" w:rsidP="00180250">
      <w:pPr>
        <w:pStyle w:val="Textparagrafu"/>
        <w:numPr>
          <w:ilvl w:val="0"/>
          <w:numId w:val="27"/>
        </w:numPr>
        <w:tabs>
          <w:tab w:val="left" w:pos="392"/>
          <w:tab w:val="left" w:pos="840"/>
        </w:tabs>
        <w:spacing w:before="120" w:after="120"/>
        <w:ind w:firstLine="425"/>
      </w:pPr>
      <w:r w:rsidRPr="00D53776">
        <w:t>(4)</w:t>
      </w:r>
      <w:r>
        <w:t xml:space="preserve"> </w:t>
      </w:r>
      <w:r w:rsidRPr="00D53776">
        <w:t>Subjekt</w:t>
      </w:r>
      <w:r>
        <w:t xml:space="preserve"> </w:t>
      </w:r>
      <w:r w:rsidRPr="00D53776">
        <w:t>uvedený</w:t>
      </w:r>
      <w:r>
        <w:t xml:space="preserve"> </w:t>
      </w:r>
      <w:r w:rsidRPr="00D53776">
        <w:t>v</w:t>
      </w:r>
      <w:r>
        <w:t xml:space="preserve"> </w:t>
      </w:r>
      <w:r w:rsidRPr="00D53776">
        <w:t>odstavcích</w:t>
      </w:r>
      <w:r>
        <w:t xml:space="preserve"> </w:t>
      </w:r>
      <w:r w:rsidRPr="00D53776">
        <w:t>1</w:t>
      </w:r>
      <w:r>
        <w:t xml:space="preserve"> </w:t>
      </w:r>
      <w:r w:rsidRPr="00D53776">
        <w:t>a</w:t>
      </w:r>
      <w:r>
        <w:t xml:space="preserve"> </w:t>
      </w:r>
      <w:r w:rsidRPr="00D53776">
        <w:t>2</w:t>
      </w:r>
      <w:r>
        <w:t xml:space="preserve"> </w:t>
      </w:r>
      <w:r w:rsidRPr="00D53776">
        <w:t>je</w:t>
      </w:r>
      <w:r>
        <w:t xml:space="preserve"> </w:t>
      </w:r>
      <w:r w:rsidRPr="00D53776">
        <w:t>povinen</w:t>
      </w:r>
      <w:r>
        <w:t xml:space="preserve"> </w:t>
      </w:r>
      <w:r w:rsidRPr="00D53776">
        <w:t>předložit</w:t>
      </w:r>
      <w:r>
        <w:t xml:space="preserve"> </w:t>
      </w:r>
      <w:r w:rsidRPr="00D53776">
        <w:t>výsledky</w:t>
      </w:r>
      <w:r>
        <w:t xml:space="preserve"> </w:t>
      </w:r>
      <w:r w:rsidRPr="00D53776">
        <w:t>oddělené</w:t>
      </w:r>
      <w:r>
        <w:t xml:space="preserve"> </w:t>
      </w:r>
      <w:r w:rsidRPr="00D53776">
        <w:t>evidence</w:t>
      </w:r>
      <w:r>
        <w:t xml:space="preserve"> </w:t>
      </w:r>
      <w:r w:rsidRPr="00D53776">
        <w:t>nákladů</w:t>
      </w:r>
      <w:r>
        <w:t xml:space="preserve"> </w:t>
      </w:r>
      <w:r w:rsidRPr="00D53776">
        <w:t>a</w:t>
      </w:r>
      <w:r>
        <w:t xml:space="preserve"> </w:t>
      </w:r>
      <w:r w:rsidRPr="00D53776">
        <w:t>výnosů</w:t>
      </w:r>
      <w:r>
        <w:t xml:space="preserve"> </w:t>
      </w:r>
      <w:r w:rsidRPr="00D53776">
        <w:t>k</w:t>
      </w:r>
      <w:r>
        <w:t xml:space="preserve"> </w:t>
      </w:r>
      <w:r w:rsidRPr="00D53776">
        <w:t>ověření</w:t>
      </w:r>
      <w:r>
        <w:t xml:space="preserve"> </w:t>
      </w:r>
      <w:r w:rsidRPr="00D53776">
        <w:t>shody</w:t>
      </w:r>
      <w:r>
        <w:t xml:space="preserve"> </w:t>
      </w:r>
      <w:r w:rsidRPr="00D53776">
        <w:t>s</w:t>
      </w:r>
      <w:r>
        <w:t xml:space="preserve"> </w:t>
      </w:r>
      <w:r w:rsidRPr="00D53776">
        <w:t>metodikou</w:t>
      </w:r>
      <w:r>
        <w:t xml:space="preserve"> </w:t>
      </w:r>
      <w:r w:rsidRPr="00D53776">
        <w:t>uvedenou</w:t>
      </w:r>
      <w:r>
        <w:t xml:space="preserve"> </w:t>
      </w:r>
      <w:r w:rsidRPr="00D53776">
        <w:t>v</w:t>
      </w:r>
      <w:r>
        <w:t xml:space="preserve"> </w:t>
      </w:r>
      <w:r w:rsidRPr="00D53776">
        <w:t>opatření</w:t>
      </w:r>
      <w:r>
        <w:t xml:space="preserve"> </w:t>
      </w:r>
      <w:r w:rsidRPr="00D53776">
        <w:t>vydaném</w:t>
      </w:r>
      <w:r>
        <w:t xml:space="preserve"> </w:t>
      </w:r>
      <w:r w:rsidRPr="00D53776">
        <w:t>podle</w:t>
      </w:r>
      <w:r>
        <w:t xml:space="preserve"> </w:t>
      </w:r>
      <w:r w:rsidRPr="00D53776">
        <w:t>odstavce</w:t>
      </w:r>
      <w:r>
        <w:t xml:space="preserve"> </w:t>
      </w:r>
      <w:r w:rsidRPr="00D53776">
        <w:lastRenderedPageBreak/>
        <w:t>3</w:t>
      </w:r>
      <w:r>
        <w:t xml:space="preserve"> </w:t>
      </w:r>
      <w:r w:rsidRPr="00D53776">
        <w:t>nezávislému</w:t>
      </w:r>
      <w:r>
        <w:t xml:space="preserve"> </w:t>
      </w:r>
      <w:r w:rsidRPr="00D53776">
        <w:t>kvalifikovanému</w:t>
      </w:r>
      <w:r>
        <w:t xml:space="preserve"> </w:t>
      </w:r>
      <w:r w:rsidRPr="00D53776">
        <w:t>subjektu</w:t>
      </w:r>
      <w:r>
        <w:t xml:space="preserve"> </w:t>
      </w:r>
      <w:r w:rsidRPr="00D53776">
        <w:t>do</w:t>
      </w:r>
      <w:r>
        <w:t xml:space="preserve"> </w:t>
      </w:r>
      <w:r w:rsidRPr="00D53776">
        <w:t>1</w:t>
      </w:r>
      <w:r>
        <w:t xml:space="preserve"> </w:t>
      </w:r>
      <w:r w:rsidRPr="00D53776">
        <w:t>měsíce</w:t>
      </w:r>
      <w:r>
        <w:t xml:space="preserve"> </w:t>
      </w:r>
      <w:r w:rsidRPr="00D53776">
        <w:t>po</w:t>
      </w:r>
      <w:r>
        <w:t xml:space="preserve"> </w:t>
      </w:r>
      <w:r w:rsidRPr="008E102F">
        <w:rPr>
          <w:strike/>
        </w:rPr>
        <w:t>uveřejnění své účetní závěrky</w:t>
      </w:r>
      <w:r w:rsidRPr="008E102F">
        <w:rPr>
          <w:rStyle w:val="Znakapoznpodarou"/>
          <w:strike/>
        </w:rPr>
        <w:footnoteReference w:customMarkFollows="1" w:id="485"/>
        <w:t>32)</w:t>
      </w:r>
      <w:r>
        <w:t xml:space="preserve"> </w:t>
      </w:r>
      <w:bookmarkStart w:id="35" w:name="_Hlk159935054"/>
      <w:r w:rsidR="008E102F" w:rsidRPr="00F3102F">
        <w:rPr>
          <w:b/>
        </w:rPr>
        <w:t>zveřejnění své řádné individuální účetní závěrky</w:t>
      </w:r>
      <w:bookmarkEnd w:id="35"/>
      <w:r w:rsidR="008E102F" w:rsidRPr="00D53776">
        <w:t xml:space="preserve"> </w:t>
      </w:r>
      <w:r w:rsidRPr="00D53776">
        <w:t>a</w:t>
      </w:r>
      <w:r>
        <w:t xml:space="preserve"> </w:t>
      </w:r>
      <w:r w:rsidRPr="00D53776">
        <w:t>závěry</w:t>
      </w:r>
      <w:r>
        <w:t xml:space="preserve"> </w:t>
      </w:r>
      <w:r w:rsidRPr="00D53776">
        <w:t>ověřování</w:t>
      </w:r>
      <w:r>
        <w:t xml:space="preserve"> </w:t>
      </w:r>
      <w:r w:rsidRPr="00D53776">
        <w:t>uveřejnit.</w:t>
      </w:r>
    </w:p>
    <w:p w14:paraId="066473D7" w14:textId="77777777" w:rsidR="0022672A" w:rsidRDefault="0022672A" w:rsidP="00180250">
      <w:pPr>
        <w:pStyle w:val="Textparagrafu"/>
        <w:numPr>
          <w:ilvl w:val="0"/>
          <w:numId w:val="27"/>
        </w:numPr>
        <w:tabs>
          <w:tab w:val="left" w:pos="392"/>
          <w:tab w:val="left" w:pos="840"/>
        </w:tabs>
        <w:spacing w:before="120" w:after="120"/>
        <w:ind w:firstLine="425"/>
      </w:pPr>
      <w:r w:rsidRPr="00D53776">
        <w:t>(5)</w:t>
      </w:r>
      <w:r>
        <w:t xml:space="preserve"> </w:t>
      </w:r>
      <w:r w:rsidRPr="00D53776">
        <w:t>Úřad</w:t>
      </w:r>
      <w:r>
        <w:t xml:space="preserve"> </w:t>
      </w:r>
      <w:r w:rsidRPr="00D53776">
        <w:t>je</w:t>
      </w:r>
      <w:r>
        <w:t xml:space="preserve"> </w:t>
      </w:r>
      <w:r w:rsidRPr="00D53776">
        <w:t>oprávněn</w:t>
      </w:r>
      <w:r>
        <w:t xml:space="preserve"> </w:t>
      </w:r>
      <w:r w:rsidRPr="00D53776">
        <w:t>subjektu</w:t>
      </w:r>
      <w:r>
        <w:t xml:space="preserve"> </w:t>
      </w:r>
      <w:r w:rsidRPr="00D53776">
        <w:t>uvedenému</w:t>
      </w:r>
      <w:r>
        <w:t xml:space="preserve"> </w:t>
      </w:r>
      <w:r w:rsidRPr="00D53776">
        <w:t>v</w:t>
      </w:r>
      <w:r>
        <w:t xml:space="preserve"> </w:t>
      </w:r>
      <w:r w:rsidRPr="00D53776">
        <w:t>odstavcích</w:t>
      </w:r>
      <w:r>
        <w:t xml:space="preserve"> </w:t>
      </w:r>
      <w:r w:rsidRPr="00D53776">
        <w:t>1</w:t>
      </w:r>
      <w:r>
        <w:t xml:space="preserve"> </w:t>
      </w:r>
      <w:r w:rsidRPr="00D53776">
        <w:t>a</w:t>
      </w:r>
      <w:r>
        <w:t xml:space="preserve"> </w:t>
      </w:r>
      <w:r w:rsidRPr="00D53776">
        <w:t>2</w:t>
      </w:r>
      <w:r>
        <w:t xml:space="preserve"> </w:t>
      </w:r>
      <w:r w:rsidRPr="00D53776">
        <w:t>rozhodnutím</w:t>
      </w:r>
      <w:r>
        <w:t xml:space="preserve"> </w:t>
      </w:r>
      <w:r w:rsidRPr="00D53776">
        <w:t>uložit</w:t>
      </w:r>
      <w:r>
        <w:t xml:space="preserve"> </w:t>
      </w:r>
      <w:r w:rsidRPr="00D53776">
        <w:t>povinnost,</w:t>
      </w:r>
      <w:r>
        <w:t xml:space="preserve"> </w:t>
      </w:r>
      <w:r w:rsidRPr="00D53776">
        <w:t>aby</w:t>
      </w:r>
      <w:r>
        <w:t xml:space="preserve"> </w:t>
      </w:r>
      <w:r w:rsidRPr="00D53776">
        <w:t>doložil</w:t>
      </w:r>
      <w:r>
        <w:t xml:space="preserve"> </w:t>
      </w:r>
      <w:r w:rsidRPr="00D53776">
        <w:t>výpočet</w:t>
      </w:r>
      <w:r>
        <w:t xml:space="preserve"> </w:t>
      </w:r>
      <w:r w:rsidRPr="00D53776">
        <w:t>svých</w:t>
      </w:r>
      <w:r>
        <w:t xml:space="preserve"> </w:t>
      </w:r>
      <w:r w:rsidRPr="00D53776">
        <w:t>cen</w:t>
      </w:r>
      <w:r>
        <w:t xml:space="preserve"> </w:t>
      </w:r>
      <w:r w:rsidRPr="00D53776">
        <w:t>účtovaných</w:t>
      </w:r>
      <w:r>
        <w:t xml:space="preserve"> </w:t>
      </w:r>
      <w:r w:rsidRPr="00D53776">
        <w:t>jiným</w:t>
      </w:r>
      <w:r>
        <w:t xml:space="preserve"> </w:t>
      </w:r>
      <w:r w:rsidRPr="00D53776">
        <w:t>podnikatelům,</w:t>
      </w:r>
      <w:r>
        <w:t xml:space="preserve"> </w:t>
      </w:r>
      <w:r w:rsidRPr="00D53776">
        <w:t>kteří</w:t>
      </w:r>
      <w:r>
        <w:t xml:space="preserve"> </w:t>
      </w:r>
      <w:r w:rsidRPr="00D53776">
        <w:t>nejsou</w:t>
      </w:r>
      <w:r>
        <w:t xml:space="preserve"> </w:t>
      </w:r>
      <w:r w:rsidRPr="00D53776">
        <w:t>koncovými</w:t>
      </w:r>
      <w:r>
        <w:t xml:space="preserve"> </w:t>
      </w:r>
      <w:r w:rsidRPr="00D53776">
        <w:t>uživateli,</w:t>
      </w:r>
      <w:r>
        <w:t xml:space="preserve"> </w:t>
      </w:r>
      <w:r w:rsidRPr="00D53776">
        <w:t>a</w:t>
      </w:r>
      <w:r>
        <w:t xml:space="preserve"> </w:t>
      </w:r>
      <w:r w:rsidRPr="00D53776">
        <w:t>vnitropodnikových</w:t>
      </w:r>
      <w:r>
        <w:t xml:space="preserve"> </w:t>
      </w:r>
      <w:r w:rsidRPr="00D53776">
        <w:t>cen</w:t>
      </w:r>
      <w:r>
        <w:t xml:space="preserve"> </w:t>
      </w:r>
      <w:r w:rsidRPr="00D53776">
        <w:t>za</w:t>
      </w:r>
      <w:r>
        <w:t xml:space="preserve"> </w:t>
      </w:r>
      <w:r w:rsidRPr="00D53776">
        <w:t>komunikační</w:t>
      </w:r>
      <w:r>
        <w:t xml:space="preserve"> </w:t>
      </w:r>
      <w:r w:rsidRPr="00D53776">
        <w:t>činnosti</w:t>
      </w:r>
      <w:r>
        <w:t xml:space="preserve"> </w:t>
      </w:r>
      <w:r w:rsidRPr="00D53776">
        <w:t>podle</w:t>
      </w:r>
      <w:r>
        <w:t xml:space="preserve"> </w:t>
      </w:r>
      <w:r w:rsidRPr="00D53776">
        <w:t>oddělené</w:t>
      </w:r>
      <w:r>
        <w:t xml:space="preserve"> </w:t>
      </w:r>
      <w:r w:rsidRPr="00D53776">
        <w:t>evidence</w:t>
      </w:r>
      <w:r>
        <w:t xml:space="preserve"> </w:t>
      </w:r>
      <w:r w:rsidRPr="00D53776">
        <w:t>nákladů</w:t>
      </w:r>
      <w:r>
        <w:t xml:space="preserve"> </w:t>
      </w:r>
      <w:r w:rsidRPr="00D53776">
        <w:t>a</w:t>
      </w:r>
      <w:r>
        <w:t xml:space="preserve"> </w:t>
      </w:r>
      <w:r w:rsidRPr="00D53776">
        <w:t>výnosů</w:t>
      </w:r>
      <w:r>
        <w:t xml:space="preserve"> </w:t>
      </w:r>
      <w:r w:rsidRPr="00D53776">
        <w:t>k</w:t>
      </w:r>
      <w:r>
        <w:t xml:space="preserve"> </w:t>
      </w:r>
      <w:r w:rsidRPr="00D53776">
        <w:t>zajištění</w:t>
      </w:r>
      <w:r>
        <w:t xml:space="preserve"> </w:t>
      </w:r>
      <w:r w:rsidRPr="00D53776">
        <w:t>nediskriminace</w:t>
      </w:r>
      <w:r>
        <w:t xml:space="preserve"> </w:t>
      </w:r>
      <w:r w:rsidRPr="00D53776">
        <w:t>a</w:t>
      </w:r>
      <w:r>
        <w:t xml:space="preserve"> </w:t>
      </w:r>
      <w:r w:rsidRPr="00D53776">
        <w:t>k</w:t>
      </w:r>
      <w:r>
        <w:t xml:space="preserve"> </w:t>
      </w:r>
      <w:r w:rsidRPr="00D53776">
        <w:t>zabránění</w:t>
      </w:r>
      <w:r>
        <w:t xml:space="preserve"> </w:t>
      </w:r>
      <w:r w:rsidRPr="00D53776">
        <w:t>neodůvodněnému</w:t>
      </w:r>
      <w:r>
        <w:t xml:space="preserve"> </w:t>
      </w:r>
      <w:r w:rsidRPr="00D53776">
        <w:t>křížovému</w:t>
      </w:r>
      <w:r>
        <w:t xml:space="preserve"> </w:t>
      </w:r>
      <w:r w:rsidRPr="00D53776">
        <w:t>financování.</w:t>
      </w:r>
    </w:p>
    <w:p w14:paraId="56BCA3D2" w14:textId="77777777" w:rsidR="0022672A" w:rsidRDefault="0022672A" w:rsidP="00180250">
      <w:pPr>
        <w:pStyle w:val="Textparagrafu"/>
        <w:numPr>
          <w:ilvl w:val="0"/>
          <w:numId w:val="27"/>
        </w:numPr>
        <w:tabs>
          <w:tab w:val="left" w:pos="392"/>
          <w:tab w:val="left" w:pos="840"/>
        </w:tabs>
        <w:spacing w:before="120" w:after="120"/>
        <w:ind w:firstLine="425"/>
      </w:pPr>
      <w:r w:rsidRPr="00D53776">
        <w:t>(6)</w:t>
      </w:r>
      <w:r>
        <w:t xml:space="preserve"> </w:t>
      </w:r>
      <w:r w:rsidRPr="00D53776">
        <w:t>Subjekt</w:t>
      </w:r>
      <w:r>
        <w:t xml:space="preserve"> </w:t>
      </w:r>
      <w:r w:rsidRPr="00D53776">
        <w:t>uvedený</w:t>
      </w:r>
      <w:r>
        <w:t xml:space="preserve"> </w:t>
      </w:r>
      <w:r w:rsidRPr="00D53776">
        <w:t>v</w:t>
      </w:r>
      <w:r>
        <w:t xml:space="preserve"> </w:t>
      </w:r>
      <w:r w:rsidRPr="00D53776">
        <w:t>odstavci</w:t>
      </w:r>
      <w:r>
        <w:t xml:space="preserve"> </w:t>
      </w:r>
      <w:r w:rsidRPr="00D53776">
        <w:t>1</w:t>
      </w:r>
      <w:r>
        <w:t xml:space="preserve"> </w:t>
      </w:r>
      <w:r w:rsidRPr="00D53776">
        <w:t>je</w:t>
      </w:r>
      <w:r>
        <w:t xml:space="preserve"> </w:t>
      </w:r>
      <w:r w:rsidRPr="00D53776">
        <w:t>povinen</w:t>
      </w:r>
      <w:r>
        <w:t xml:space="preserve"> </w:t>
      </w:r>
      <w:r w:rsidRPr="00D53776">
        <w:t>Úřadu</w:t>
      </w:r>
      <w:r>
        <w:t xml:space="preserve"> </w:t>
      </w:r>
      <w:r w:rsidRPr="00D53776">
        <w:t>na</w:t>
      </w:r>
      <w:r>
        <w:t xml:space="preserve"> </w:t>
      </w:r>
      <w:r w:rsidRPr="00D53776">
        <w:t>jeho</w:t>
      </w:r>
      <w:r>
        <w:t xml:space="preserve"> </w:t>
      </w:r>
      <w:r w:rsidRPr="00D53776">
        <w:t>žádost</w:t>
      </w:r>
      <w:r>
        <w:t xml:space="preserve"> </w:t>
      </w:r>
      <w:r w:rsidRPr="00D53776">
        <w:t>a</w:t>
      </w:r>
      <w:r>
        <w:t xml:space="preserve"> </w:t>
      </w:r>
      <w:r w:rsidRPr="00D53776">
        <w:t>v</w:t>
      </w:r>
      <w:r>
        <w:t xml:space="preserve"> </w:t>
      </w:r>
      <w:r w:rsidRPr="00D53776">
        <w:t>jím</w:t>
      </w:r>
      <w:r>
        <w:t xml:space="preserve"> </w:t>
      </w:r>
      <w:r w:rsidRPr="00D53776">
        <w:t>stanovené</w:t>
      </w:r>
      <w:r>
        <w:t xml:space="preserve"> </w:t>
      </w:r>
      <w:r w:rsidRPr="00D53776">
        <w:t>lhůtě</w:t>
      </w:r>
      <w:r>
        <w:t xml:space="preserve"> </w:t>
      </w:r>
      <w:r w:rsidRPr="00D53776">
        <w:t>doložit</w:t>
      </w:r>
      <w:r>
        <w:t xml:space="preserve"> </w:t>
      </w:r>
      <w:r w:rsidRPr="00D53776">
        <w:t>výpočet</w:t>
      </w:r>
      <w:r>
        <w:t xml:space="preserve"> </w:t>
      </w:r>
      <w:r w:rsidRPr="00D53776">
        <w:t>cen,</w:t>
      </w:r>
      <w:r>
        <w:t xml:space="preserve"> </w:t>
      </w:r>
      <w:r w:rsidRPr="00D53776">
        <w:t>které</w:t>
      </w:r>
      <w:r>
        <w:t xml:space="preserve"> </w:t>
      </w:r>
      <w:r w:rsidRPr="00D53776">
        <w:t>účtuje</w:t>
      </w:r>
      <w:r>
        <w:t xml:space="preserve"> </w:t>
      </w:r>
      <w:r w:rsidRPr="00D53776">
        <w:t>koncovým</w:t>
      </w:r>
      <w:r>
        <w:t xml:space="preserve"> </w:t>
      </w:r>
      <w:r w:rsidRPr="00D53776">
        <w:t>uživatelům,</w:t>
      </w:r>
      <w:r>
        <w:t xml:space="preserve"> </w:t>
      </w:r>
      <w:r w:rsidRPr="00D53776">
        <w:t>podle</w:t>
      </w:r>
      <w:r>
        <w:t xml:space="preserve"> </w:t>
      </w:r>
      <w:r w:rsidRPr="00D53776">
        <w:t>oddělené</w:t>
      </w:r>
      <w:r>
        <w:t xml:space="preserve"> </w:t>
      </w:r>
      <w:r w:rsidRPr="00D53776">
        <w:t>evidence</w:t>
      </w:r>
      <w:r>
        <w:t xml:space="preserve"> </w:t>
      </w:r>
      <w:r w:rsidRPr="00D53776">
        <w:t>nákladů</w:t>
      </w:r>
      <w:r>
        <w:t xml:space="preserve"> </w:t>
      </w:r>
      <w:r w:rsidRPr="00D53776">
        <w:t>a</w:t>
      </w:r>
      <w:r>
        <w:t xml:space="preserve"> </w:t>
      </w:r>
      <w:r w:rsidRPr="00D53776">
        <w:t>výnosů.</w:t>
      </w:r>
    </w:p>
    <w:p w14:paraId="1DE58948" w14:textId="77777777" w:rsidR="0022672A" w:rsidRDefault="0022672A" w:rsidP="00180250">
      <w:pPr>
        <w:pStyle w:val="Textparagrafu"/>
        <w:numPr>
          <w:ilvl w:val="0"/>
          <w:numId w:val="27"/>
        </w:numPr>
        <w:tabs>
          <w:tab w:val="left" w:pos="392"/>
          <w:tab w:val="left" w:pos="840"/>
        </w:tabs>
        <w:spacing w:before="120" w:after="120"/>
        <w:ind w:firstLine="425"/>
      </w:pPr>
      <w:r w:rsidRPr="00D53776">
        <w:t>(7)</w:t>
      </w:r>
      <w:r>
        <w:t xml:space="preserve"> </w:t>
      </w:r>
      <w:r w:rsidRPr="00D53776">
        <w:t>Subjekt</w:t>
      </w:r>
      <w:r>
        <w:t xml:space="preserve"> </w:t>
      </w:r>
      <w:r w:rsidRPr="00D53776">
        <w:t>uvedený</w:t>
      </w:r>
      <w:r>
        <w:t xml:space="preserve"> </w:t>
      </w:r>
      <w:r w:rsidRPr="00D53776">
        <w:t>v</w:t>
      </w:r>
      <w:r>
        <w:t xml:space="preserve"> </w:t>
      </w:r>
      <w:r w:rsidRPr="00D53776">
        <w:t>odstavcích</w:t>
      </w:r>
      <w:r>
        <w:t xml:space="preserve"> </w:t>
      </w:r>
      <w:r w:rsidRPr="00D53776">
        <w:t>1</w:t>
      </w:r>
      <w:r>
        <w:t xml:space="preserve"> </w:t>
      </w:r>
      <w:r w:rsidRPr="00D53776">
        <w:t>a</w:t>
      </w:r>
      <w:r>
        <w:t xml:space="preserve"> </w:t>
      </w:r>
      <w:r w:rsidRPr="00D53776">
        <w:t>2</w:t>
      </w:r>
      <w:r>
        <w:t xml:space="preserve"> </w:t>
      </w:r>
      <w:r w:rsidRPr="00D53776">
        <w:t>je</w:t>
      </w:r>
      <w:r>
        <w:t xml:space="preserve"> </w:t>
      </w:r>
      <w:r w:rsidRPr="00D53776">
        <w:t>povinen</w:t>
      </w:r>
      <w:r>
        <w:t xml:space="preserve"> </w:t>
      </w:r>
      <w:r w:rsidRPr="00D53776">
        <w:t>předkládat</w:t>
      </w:r>
      <w:r>
        <w:t xml:space="preserve"> </w:t>
      </w:r>
      <w:r w:rsidRPr="00D53776">
        <w:t>Úřadu</w:t>
      </w:r>
      <w:r>
        <w:t xml:space="preserve"> </w:t>
      </w:r>
      <w:r w:rsidRPr="00D53776">
        <w:t>na</w:t>
      </w:r>
      <w:r>
        <w:t xml:space="preserve"> </w:t>
      </w:r>
      <w:r w:rsidRPr="00D53776">
        <w:t>jeho</w:t>
      </w:r>
      <w:r>
        <w:t xml:space="preserve"> </w:t>
      </w:r>
      <w:r w:rsidRPr="00D53776">
        <w:t>žádost</w:t>
      </w:r>
      <w:r>
        <w:t xml:space="preserve"> </w:t>
      </w:r>
      <w:r w:rsidRPr="00D53776">
        <w:t>a</w:t>
      </w:r>
      <w:r>
        <w:t xml:space="preserve"> </w:t>
      </w:r>
      <w:r w:rsidRPr="00D53776">
        <w:t>v</w:t>
      </w:r>
      <w:r>
        <w:t xml:space="preserve"> </w:t>
      </w:r>
      <w:r w:rsidRPr="00D53776">
        <w:t>jím</w:t>
      </w:r>
      <w:r>
        <w:t xml:space="preserve"> </w:t>
      </w:r>
      <w:r w:rsidRPr="00D53776">
        <w:t>stanovené</w:t>
      </w:r>
      <w:r>
        <w:t xml:space="preserve"> </w:t>
      </w:r>
      <w:r w:rsidRPr="00D53776">
        <w:t>lhůtě</w:t>
      </w:r>
      <w:r>
        <w:t xml:space="preserve"> </w:t>
      </w:r>
      <w:r w:rsidRPr="00D53776">
        <w:t>roční</w:t>
      </w:r>
      <w:r>
        <w:t xml:space="preserve"> </w:t>
      </w:r>
      <w:r w:rsidRPr="00D53776">
        <w:t>výsledky</w:t>
      </w:r>
      <w:r>
        <w:t xml:space="preserve"> </w:t>
      </w:r>
      <w:r w:rsidRPr="00D53776">
        <w:t>oddělené</w:t>
      </w:r>
      <w:r>
        <w:t xml:space="preserve"> </w:t>
      </w:r>
      <w:r w:rsidRPr="00D53776">
        <w:t>evidence</w:t>
      </w:r>
      <w:r>
        <w:t xml:space="preserve"> </w:t>
      </w:r>
      <w:r w:rsidRPr="00D53776">
        <w:t>nákladů</w:t>
      </w:r>
      <w:r>
        <w:t xml:space="preserve"> </w:t>
      </w:r>
      <w:r w:rsidRPr="00D53776">
        <w:t>a</w:t>
      </w:r>
      <w:r>
        <w:t xml:space="preserve"> </w:t>
      </w:r>
      <w:r w:rsidRPr="00D53776">
        <w:t>výnosů</w:t>
      </w:r>
      <w:r>
        <w:t xml:space="preserve"> </w:t>
      </w:r>
      <w:r w:rsidRPr="00D53776">
        <w:t>a</w:t>
      </w:r>
      <w:r>
        <w:t xml:space="preserve"> </w:t>
      </w:r>
      <w:r w:rsidRPr="00D53776">
        <w:t>účetní</w:t>
      </w:r>
      <w:r>
        <w:t xml:space="preserve"> </w:t>
      </w:r>
      <w:r w:rsidRPr="00D53776">
        <w:t>údaje</w:t>
      </w:r>
      <w:r>
        <w:t xml:space="preserve"> </w:t>
      </w:r>
      <w:r w:rsidRPr="00D53776">
        <w:t>včetně</w:t>
      </w:r>
      <w:r>
        <w:t xml:space="preserve"> </w:t>
      </w:r>
      <w:r w:rsidRPr="00D53776">
        <w:t>údajů</w:t>
      </w:r>
      <w:r>
        <w:t xml:space="preserve"> </w:t>
      </w:r>
      <w:r w:rsidRPr="00D53776">
        <w:t>o</w:t>
      </w:r>
      <w:r>
        <w:t xml:space="preserve"> </w:t>
      </w:r>
      <w:r w:rsidRPr="00D53776">
        <w:t>výnosech</w:t>
      </w:r>
      <w:r>
        <w:t xml:space="preserve"> </w:t>
      </w:r>
      <w:r w:rsidRPr="00D53776">
        <w:t>získaných</w:t>
      </w:r>
      <w:r>
        <w:t xml:space="preserve"> </w:t>
      </w:r>
      <w:r w:rsidRPr="00D53776">
        <w:t>od</w:t>
      </w:r>
      <w:r>
        <w:t xml:space="preserve"> </w:t>
      </w:r>
      <w:r w:rsidRPr="00D53776">
        <w:t>třetích</w:t>
      </w:r>
      <w:r>
        <w:t xml:space="preserve"> </w:t>
      </w:r>
      <w:r w:rsidRPr="00D53776">
        <w:t>stran.</w:t>
      </w:r>
      <w:r>
        <w:t xml:space="preserve"> </w:t>
      </w:r>
      <w:r w:rsidRPr="00D53776">
        <w:t>Úřad</w:t>
      </w:r>
      <w:r>
        <w:t xml:space="preserve"> </w:t>
      </w:r>
      <w:r w:rsidRPr="00D53776">
        <w:t>může</w:t>
      </w:r>
      <w:r>
        <w:t xml:space="preserve"> </w:t>
      </w:r>
      <w:r w:rsidRPr="00D53776">
        <w:t>takové</w:t>
      </w:r>
      <w:r>
        <w:t xml:space="preserve"> </w:t>
      </w:r>
      <w:r w:rsidRPr="00D53776">
        <w:t>informace</w:t>
      </w:r>
      <w:r>
        <w:t xml:space="preserve"> </w:t>
      </w:r>
      <w:r w:rsidRPr="00D53776">
        <w:t>uveřejnit</w:t>
      </w:r>
      <w:r>
        <w:t xml:space="preserve"> </w:t>
      </w:r>
      <w:r w:rsidRPr="00D53776">
        <w:t>v</w:t>
      </w:r>
      <w:r>
        <w:t xml:space="preserve"> </w:t>
      </w:r>
      <w:r w:rsidRPr="00D53776">
        <w:t>souladu</w:t>
      </w:r>
      <w:r>
        <w:t xml:space="preserve"> </w:t>
      </w:r>
      <w:r w:rsidRPr="00D53776">
        <w:t>s</w:t>
      </w:r>
      <w:r>
        <w:t xml:space="preserve"> </w:t>
      </w:r>
      <w:r w:rsidRPr="00D53776">
        <w:t>pravidly</w:t>
      </w:r>
      <w:r>
        <w:t xml:space="preserve"> </w:t>
      </w:r>
      <w:r w:rsidRPr="00D53776">
        <w:t>pro</w:t>
      </w:r>
      <w:r>
        <w:t xml:space="preserve"> </w:t>
      </w:r>
      <w:r w:rsidRPr="00D53776">
        <w:t>ochranu</w:t>
      </w:r>
      <w:r>
        <w:t xml:space="preserve"> </w:t>
      </w:r>
      <w:r w:rsidRPr="00D53776">
        <w:t>obchodního</w:t>
      </w:r>
      <w:r>
        <w:t xml:space="preserve"> </w:t>
      </w:r>
      <w:r w:rsidRPr="00D53776">
        <w:t>tajemství.</w:t>
      </w:r>
    </w:p>
    <w:p w14:paraId="09D04868" w14:textId="77777777" w:rsidR="0022672A" w:rsidRDefault="0022672A" w:rsidP="00180250">
      <w:pPr>
        <w:pStyle w:val="Textparagrafu"/>
        <w:numPr>
          <w:ilvl w:val="0"/>
          <w:numId w:val="27"/>
        </w:numPr>
        <w:tabs>
          <w:tab w:val="left" w:pos="392"/>
          <w:tab w:val="left" w:pos="840"/>
        </w:tabs>
        <w:spacing w:before="120" w:after="120"/>
        <w:ind w:firstLine="425"/>
      </w:pPr>
      <w:r w:rsidRPr="00D53776">
        <w:t>(8)</w:t>
      </w:r>
      <w:r>
        <w:t xml:space="preserve"> </w:t>
      </w:r>
      <w:r w:rsidRPr="00D53776">
        <w:t>Podnikatel</w:t>
      </w:r>
      <w:r>
        <w:t xml:space="preserve"> </w:t>
      </w:r>
      <w:r w:rsidRPr="00D53776">
        <w:t>zajišťující</w:t>
      </w:r>
      <w:r>
        <w:t xml:space="preserve"> </w:t>
      </w:r>
      <w:r w:rsidRPr="00D53776">
        <w:t>veřejné</w:t>
      </w:r>
      <w:r>
        <w:t xml:space="preserve"> </w:t>
      </w:r>
      <w:r w:rsidRPr="00D53776">
        <w:t>komunikační</w:t>
      </w:r>
      <w:r>
        <w:t xml:space="preserve"> </w:t>
      </w:r>
      <w:r w:rsidRPr="00D53776">
        <w:t>sítě</w:t>
      </w:r>
      <w:r>
        <w:t xml:space="preserve"> </w:t>
      </w:r>
      <w:r w:rsidRPr="00D53776">
        <w:t>nebo</w:t>
      </w:r>
      <w:r>
        <w:t xml:space="preserve"> </w:t>
      </w:r>
      <w:r w:rsidRPr="00D53776">
        <w:t>poskytující</w:t>
      </w:r>
      <w:r>
        <w:t xml:space="preserve"> </w:t>
      </w:r>
      <w:r w:rsidRPr="00D53776">
        <w:t>veřejně</w:t>
      </w:r>
      <w:r>
        <w:t xml:space="preserve"> </w:t>
      </w:r>
      <w:r w:rsidRPr="00D53776">
        <w:t>dostupné</w:t>
      </w:r>
      <w:r>
        <w:t xml:space="preserve"> </w:t>
      </w:r>
      <w:r w:rsidRPr="00D53776">
        <w:t>služby</w:t>
      </w:r>
      <w:r>
        <w:t xml:space="preserve"> </w:t>
      </w:r>
      <w:r w:rsidRPr="00D53776">
        <w:t>elektronických</w:t>
      </w:r>
      <w:r>
        <w:t xml:space="preserve"> </w:t>
      </w:r>
      <w:r w:rsidRPr="00D53776">
        <w:t>komunikací,</w:t>
      </w:r>
      <w:r>
        <w:t xml:space="preserve"> </w:t>
      </w:r>
      <w:r w:rsidRPr="00D53776">
        <w:t>který</w:t>
      </w:r>
      <w:r>
        <w:t xml:space="preserve"> </w:t>
      </w:r>
      <w:r w:rsidRPr="00D53776">
        <w:t>má</w:t>
      </w:r>
      <w:r>
        <w:t xml:space="preserve"> </w:t>
      </w:r>
      <w:r w:rsidRPr="00D53776">
        <w:t>zvláštní</w:t>
      </w:r>
      <w:r>
        <w:t xml:space="preserve"> </w:t>
      </w:r>
      <w:r w:rsidRPr="00D53776">
        <w:t>nebo</w:t>
      </w:r>
      <w:r>
        <w:t xml:space="preserve"> </w:t>
      </w:r>
      <w:r w:rsidRPr="00D53776">
        <w:t>výhradní</w:t>
      </w:r>
      <w:r>
        <w:t xml:space="preserve"> </w:t>
      </w:r>
      <w:r w:rsidRPr="00D53776">
        <w:t>práva</w:t>
      </w:r>
      <w:r>
        <w:t xml:space="preserve"> </w:t>
      </w:r>
      <w:r w:rsidRPr="00D53776">
        <w:t>na</w:t>
      </w:r>
      <w:r>
        <w:t xml:space="preserve"> </w:t>
      </w:r>
      <w:r w:rsidRPr="00D53776">
        <w:t>poskytování</w:t>
      </w:r>
      <w:r>
        <w:t xml:space="preserve"> </w:t>
      </w:r>
      <w:r w:rsidRPr="00D53776">
        <w:t>služeb</w:t>
      </w:r>
      <w:r>
        <w:t xml:space="preserve"> </w:t>
      </w:r>
      <w:r w:rsidRPr="00D53776">
        <w:t>v</w:t>
      </w:r>
      <w:r>
        <w:t xml:space="preserve"> </w:t>
      </w:r>
      <w:r w:rsidRPr="00D53776">
        <w:t>jiných</w:t>
      </w:r>
      <w:r>
        <w:t xml:space="preserve"> </w:t>
      </w:r>
      <w:r w:rsidRPr="00D53776">
        <w:t>odvětvích</w:t>
      </w:r>
      <w:r>
        <w:t xml:space="preserve"> </w:t>
      </w:r>
      <w:r w:rsidRPr="00D53776">
        <w:t>v</w:t>
      </w:r>
      <w:r>
        <w:t xml:space="preserve"> </w:t>
      </w:r>
      <w:r w:rsidRPr="00D53776">
        <w:t>České</w:t>
      </w:r>
      <w:r>
        <w:t xml:space="preserve"> </w:t>
      </w:r>
      <w:r w:rsidRPr="00D53776">
        <w:t>republice</w:t>
      </w:r>
      <w:r>
        <w:t xml:space="preserve"> </w:t>
      </w:r>
      <w:r w:rsidRPr="00D53776">
        <w:t>nebo</w:t>
      </w:r>
      <w:r>
        <w:t xml:space="preserve"> </w:t>
      </w:r>
      <w:r w:rsidRPr="00D53776">
        <w:t>v</w:t>
      </w:r>
      <w:r>
        <w:t xml:space="preserve"> </w:t>
      </w:r>
      <w:r w:rsidRPr="00D53776">
        <w:t>jiném</w:t>
      </w:r>
      <w:r>
        <w:t xml:space="preserve"> </w:t>
      </w:r>
      <w:r w:rsidRPr="00D53776">
        <w:t>členském</w:t>
      </w:r>
      <w:r>
        <w:t xml:space="preserve"> </w:t>
      </w:r>
      <w:r w:rsidRPr="00D53776">
        <w:t>státě</w:t>
      </w:r>
      <w:r>
        <w:t xml:space="preserve"> </w:t>
      </w:r>
      <w:r w:rsidRPr="00D53776">
        <w:t>Evropské</w:t>
      </w:r>
      <w:r>
        <w:t xml:space="preserve"> </w:t>
      </w:r>
      <w:r w:rsidRPr="00D53776">
        <w:t>unie,</w:t>
      </w:r>
      <w:r>
        <w:t xml:space="preserve"> </w:t>
      </w:r>
      <w:r w:rsidRPr="00D53776">
        <w:t>je</w:t>
      </w:r>
      <w:r>
        <w:t xml:space="preserve"> </w:t>
      </w:r>
      <w:r w:rsidRPr="00D53776">
        <w:t>povinen</w:t>
      </w:r>
    </w:p>
    <w:p w14:paraId="16766891" w14:textId="3B6804D6" w:rsidR="0022672A" w:rsidRDefault="0022672A" w:rsidP="00180250">
      <w:pPr>
        <w:pStyle w:val="Textparagrafu"/>
        <w:numPr>
          <w:ilvl w:val="0"/>
          <w:numId w:val="27"/>
        </w:numPr>
        <w:tabs>
          <w:tab w:val="left" w:pos="392"/>
          <w:tab w:val="left" w:pos="840"/>
        </w:tabs>
        <w:spacing w:before="0"/>
        <w:ind w:left="425" w:hanging="425"/>
      </w:pPr>
      <w:r w:rsidRPr="00D53776">
        <w:t>a)</w:t>
      </w:r>
      <w:r>
        <w:tab/>
      </w:r>
      <w:r w:rsidRPr="00D53776">
        <w:t>vést</w:t>
      </w:r>
      <w:r>
        <w:t xml:space="preserve"> </w:t>
      </w:r>
      <w:r w:rsidRPr="00D53776">
        <w:t>oddělenou</w:t>
      </w:r>
      <w:r>
        <w:t xml:space="preserve"> </w:t>
      </w:r>
      <w:r w:rsidRPr="00D53776">
        <w:t>evidenci</w:t>
      </w:r>
      <w:r>
        <w:t xml:space="preserve"> </w:t>
      </w:r>
      <w:r w:rsidRPr="00D53776">
        <w:t>nákladů</w:t>
      </w:r>
      <w:r>
        <w:t xml:space="preserve"> </w:t>
      </w:r>
      <w:r w:rsidRPr="00D53776">
        <w:t>a</w:t>
      </w:r>
      <w:r>
        <w:t xml:space="preserve"> </w:t>
      </w:r>
      <w:r w:rsidRPr="00D53776">
        <w:t>výnosů,</w:t>
      </w:r>
      <w:r>
        <w:t xml:space="preserve"> </w:t>
      </w:r>
      <w:r w:rsidRPr="00D53776">
        <w:t>včetně</w:t>
      </w:r>
      <w:r>
        <w:t xml:space="preserve"> </w:t>
      </w:r>
      <w:r w:rsidRPr="00D53776">
        <w:t>položkového</w:t>
      </w:r>
      <w:r>
        <w:t xml:space="preserve"> </w:t>
      </w:r>
      <w:r w:rsidRPr="00D53776">
        <w:t>rozpisu</w:t>
      </w:r>
      <w:r>
        <w:t xml:space="preserve"> </w:t>
      </w:r>
      <w:r w:rsidRPr="00D53776">
        <w:t>odepisovaného</w:t>
      </w:r>
      <w:r>
        <w:t xml:space="preserve"> </w:t>
      </w:r>
      <w:r w:rsidRPr="00D53776">
        <w:t>majetku,</w:t>
      </w:r>
      <w:r>
        <w:t xml:space="preserve"> </w:t>
      </w:r>
      <w:r w:rsidRPr="00D53776">
        <w:t>pro</w:t>
      </w:r>
      <w:r>
        <w:t xml:space="preserve"> </w:t>
      </w:r>
      <w:r w:rsidRPr="00D53776">
        <w:t>činnosti</w:t>
      </w:r>
      <w:r>
        <w:t xml:space="preserve"> </w:t>
      </w:r>
      <w:r w:rsidRPr="00D53776">
        <w:t>spojené</w:t>
      </w:r>
      <w:r>
        <w:t xml:space="preserve"> </w:t>
      </w:r>
      <w:r w:rsidRPr="00D53776">
        <w:t>se</w:t>
      </w:r>
      <w:r>
        <w:t xml:space="preserve"> </w:t>
      </w:r>
      <w:r w:rsidRPr="00D53776">
        <w:t>zajišťováním</w:t>
      </w:r>
      <w:r>
        <w:t xml:space="preserve"> </w:t>
      </w:r>
      <w:r w:rsidRPr="00D53776">
        <w:t>těchto</w:t>
      </w:r>
      <w:r>
        <w:t xml:space="preserve"> </w:t>
      </w:r>
      <w:r w:rsidRPr="00D53776">
        <w:t>sítí</w:t>
      </w:r>
      <w:r>
        <w:t xml:space="preserve"> </w:t>
      </w:r>
      <w:r w:rsidRPr="00D53776">
        <w:t>nebo</w:t>
      </w:r>
      <w:r>
        <w:t xml:space="preserve"> </w:t>
      </w:r>
      <w:r w:rsidRPr="00D53776">
        <w:t>poskytováním</w:t>
      </w:r>
      <w:r>
        <w:t xml:space="preserve"> </w:t>
      </w:r>
      <w:r w:rsidRPr="00D53776">
        <w:t>služeb</w:t>
      </w:r>
      <w:r>
        <w:t xml:space="preserve"> </w:t>
      </w:r>
      <w:r w:rsidRPr="00D53776">
        <w:t>elektronických</w:t>
      </w:r>
      <w:r>
        <w:t xml:space="preserve"> </w:t>
      </w:r>
      <w:r w:rsidRPr="00D53776">
        <w:t>komunikací</w:t>
      </w:r>
      <w:r>
        <w:t xml:space="preserve"> </w:t>
      </w:r>
      <w:r w:rsidRPr="00D53776">
        <w:t>způsobem,</w:t>
      </w:r>
      <w:r>
        <w:t xml:space="preserve"> </w:t>
      </w:r>
      <w:r w:rsidRPr="00D53776">
        <w:t>v</w:t>
      </w:r>
      <w:r>
        <w:t xml:space="preserve"> </w:t>
      </w:r>
      <w:r w:rsidRPr="00D53776">
        <w:t>takových</w:t>
      </w:r>
      <w:r>
        <w:t xml:space="preserve"> </w:t>
      </w:r>
      <w:r w:rsidRPr="00D53776">
        <w:t>podrobnostech</w:t>
      </w:r>
      <w:r>
        <w:t xml:space="preserve"> </w:t>
      </w:r>
      <w:r w:rsidRPr="00D53776">
        <w:t>a</w:t>
      </w:r>
      <w:r>
        <w:t xml:space="preserve"> </w:t>
      </w:r>
      <w:r w:rsidRPr="00D53776">
        <w:t>s</w:t>
      </w:r>
      <w:r>
        <w:t xml:space="preserve"> </w:t>
      </w:r>
      <w:r w:rsidRPr="00D53776">
        <w:t>použitím</w:t>
      </w:r>
      <w:r>
        <w:t xml:space="preserve"> </w:t>
      </w:r>
      <w:r w:rsidRPr="00D53776">
        <w:t>systému</w:t>
      </w:r>
      <w:r>
        <w:t xml:space="preserve"> </w:t>
      </w:r>
      <w:r w:rsidRPr="00D53776">
        <w:t>přiřazování</w:t>
      </w:r>
      <w:r>
        <w:t xml:space="preserve"> </w:t>
      </w:r>
      <w:r w:rsidRPr="00D53776">
        <w:t>nákladů</w:t>
      </w:r>
      <w:r>
        <w:t xml:space="preserve"> </w:t>
      </w:r>
      <w:r w:rsidRPr="00D53776">
        <w:t>a</w:t>
      </w:r>
      <w:r>
        <w:t xml:space="preserve"> </w:t>
      </w:r>
      <w:r w:rsidRPr="00D53776">
        <w:t>výnosů,</w:t>
      </w:r>
      <w:r>
        <w:t xml:space="preserve"> </w:t>
      </w:r>
      <w:r w:rsidRPr="00D53776">
        <w:t>které</w:t>
      </w:r>
      <w:r>
        <w:t xml:space="preserve"> </w:t>
      </w:r>
      <w:r w:rsidRPr="00D53776">
        <w:t>jsou</w:t>
      </w:r>
      <w:r>
        <w:t xml:space="preserve"> </w:t>
      </w:r>
      <w:r w:rsidRPr="00D53776">
        <w:t>vyžadovány</w:t>
      </w:r>
      <w:r>
        <w:t xml:space="preserve"> </w:t>
      </w:r>
      <w:r w:rsidRPr="00D53776">
        <w:t>od</w:t>
      </w:r>
      <w:r>
        <w:t xml:space="preserve"> </w:t>
      </w:r>
      <w:r w:rsidRPr="00D53776">
        <w:t>subjektů</w:t>
      </w:r>
      <w:r>
        <w:t xml:space="preserve"> </w:t>
      </w:r>
      <w:r w:rsidRPr="00D53776">
        <w:t>uvedených</w:t>
      </w:r>
      <w:r>
        <w:t xml:space="preserve"> </w:t>
      </w:r>
      <w:r w:rsidRPr="00D53776">
        <w:t>v</w:t>
      </w:r>
      <w:r>
        <w:t xml:space="preserve"> </w:t>
      </w:r>
      <w:r w:rsidRPr="00D53776">
        <w:t>odstavcích</w:t>
      </w:r>
      <w:r>
        <w:t xml:space="preserve"> </w:t>
      </w:r>
      <w:r w:rsidRPr="00D53776">
        <w:t>1</w:t>
      </w:r>
      <w:r>
        <w:t xml:space="preserve"> </w:t>
      </w:r>
      <w:r w:rsidRPr="00D53776">
        <w:t>a</w:t>
      </w:r>
      <w:r>
        <w:t xml:space="preserve"> </w:t>
      </w:r>
      <w:r w:rsidRPr="00D53776">
        <w:t>2,</w:t>
      </w:r>
      <w:r>
        <w:t xml:space="preserve"> </w:t>
      </w:r>
      <w:r w:rsidRPr="00D53776">
        <w:t>nebo</w:t>
      </w:r>
    </w:p>
    <w:p w14:paraId="579651A6" w14:textId="0FB800FF" w:rsidR="0022672A" w:rsidRDefault="0022672A" w:rsidP="00180250">
      <w:pPr>
        <w:pStyle w:val="Textparagrafu"/>
        <w:numPr>
          <w:ilvl w:val="0"/>
          <w:numId w:val="27"/>
        </w:numPr>
        <w:tabs>
          <w:tab w:val="left" w:pos="392"/>
          <w:tab w:val="left" w:pos="840"/>
        </w:tabs>
        <w:spacing w:before="0"/>
        <w:ind w:left="425" w:hanging="425"/>
      </w:pPr>
      <w:r w:rsidRPr="00D53776">
        <w:t>b)</w:t>
      </w:r>
      <w:r>
        <w:tab/>
      </w:r>
      <w:r w:rsidRPr="00D53776">
        <w:t>strukturálně</w:t>
      </w:r>
      <w:r>
        <w:t xml:space="preserve"> </w:t>
      </w:r>
      <w:r w:rsidRPr="00D53776">
        <w:t>oddělit</w:t>
      </w:r>
      <w:r>
        <w:t xml:space="preserve"> </w:t>
      </w:r>
      <w:r w:rsidRPr="00D53776">
        <w:t>činnosti,</w:t>
      </w:r>
      <w:r>
        <w:t xml:space="preserve"> </w:t>
      </w:r>
      <w:r w:rsidRPr="00D53776">
        <w:t>které</w:t>
      </w:r>
      <w:r>
        <w:t xml:space="preserve"> </w:t>
      </w:r>
      <w:r w:rsidRPr="00D53776">
        <w:t>jsou</w:t>
      </w:r>
      <w:r>
        <w:t xml:space="preserve"> </w:t>
      </w:r>
      <w:r w:rsidRPr="00D53776">
        <w:t>spojeny</w:t>
      </w:r>
      <w:r>
        <w:t xml:space="preserve"> </w:t>
      </w:r>
      <w:r w:rsidRPr="00D53776">
        <w:t>se</w:t>
      </w:r>
      <w:r>
        <w:t xml:space="preserve"> </w:t>
      </w:r>
      <w:r w:rsidRPr="00D53776">
        <w:t>zajišťováním</w:t>
      </w:r>
      <w:r>
        <w:t xml:space="preserve"> </w:t>
      </w:r>
      <w:r w:rsidRPr="00D53776">
        <w:t>těchto</w:t>
      </w:r>
      <w:r>
        <w:t xml:space="preserve"> </w:t>
      </w:r>
      <w:r w:rsidRPr="00D53776">
        <w:t>sítí</w:t>
      </w:r>
      <w:r>
        <w:t xml:space="preserve"> </w:t>
      </w:r>
      <w:r w:rsidRPr="00D53776">
        <w:t>nebo</w:t>
      </w:r>
      <w:r>
        <w:t xml:space="preserve"> </w:t>
      </w:r>
      <w:r w:rsidRPr="00D53776">
        <w:t>poskytováním</w:t>
      </w:r>
      <w:r>
        <w:t xml:space="preserve"> </w:t>
      </w:r>
      <w:r w:rsidRPr="00D53776">
        <w:t>služeb</w:t>
      </w:r>
      <w:r>
        <w:t xml:space="preserve"> </w:t>
      </w:r>
      <w:r w:rsidRPr="00D53776">
        <w:t>elektronických</w:t>
      </w:r>
      <w:r>
        <w:t xml:space="preserve"> </w:t>
      </w:r>
      <w:r w:rsidRPr="00D53776">
        <w:t>komunikací.</w:t>
      </w:r>
    </w:p>
    <w:p w14:paraId="3CC73861" w14:textId="77777777" w:rsidR="0022672A" w:rsidRDefault="0022672A" w:rsidP="00180250">
      <w:pPr>
        <w:pStyle w:val="Textparagrafu"/>
        <w:numPr>
          <w:ilvl w:val="0"/>
          <w:numId w:val="27"/>
        </w:numPr>
        <w:tabs>
          <w:tab w:val="left" w:pos="392"/>
          <w:tab w:val="left" w:pos="840"/>
        </w:tabs>
        <w:spacing w:before="120" w:after="120"/>
        <w:ind w:firstLine="425"/>
      </w:pPr>
      <w:r w:rsidRPr="00D53776">
        <w:t>Tato</w:t>
      </w:r>
      <w:r>
        <w:t xml:space="preserve"> </w:t>
      </w:r>
      <w:r w:rsidRPr="00D53776">
        <w:t>povinnost</w:t>
      </w:r>
      <w:r>
        <w:t xml:space="preserve"> </w:t>
      </w:r>
      <w:r w:rsidRPr="00D53776">
        <w:t>neplatí</w:t>
      </w:r>
      <w:r>
        <w:t xml:space="preserve"> </w:t>
      </w:r>
      <w:r w:rsidRPr="00D53776">
        <w:t>pro</w:t>
      </w:r>
      <w:r>
        <w:t xml:space="preserve"> </w:t>
      </w:r>
      <w:r w:rsidRPr="00D53776">
        <w:t>podnikatele,</w:t>
      </w:r>
      <w:r>
        <w:t xml:space="preserve"> </w:t>
      </w:r>
      <w:r w:rsidRPr="00D53776">
        <w:t>jehož</w:t>
      </w:r>
      <w:r>
        <w:t xml:space="preserve"> </w:t>
      </w:r>
      <w:r w:rsidRPr="00D53776">
        <w:t>roční</w:t>
      </w:r>
      <w:r>
        <w:t xml:space="preserve"> </w:t>
      </w:r>
      <w:r w:rsidRPr="00D53776">
        <w:t>obrat</w:t>
      </w:r>
      <w:r>
        <w:t xml:space="preserve"> </w:t>
      </w:r>
      <w:r w:rsidRPr="00D53776">
        <w:t>v</w:t>
      </w:r>
      <w:r>
        <w:t xml:space="preserve"> </w:t>
      </w:r>
      <w:r w:rsidRPr="00D53776">
        <w:t>činnostech,</w:t>
      </w:r>
      <w:r>
        <w:t xml:space="preserve"> </w:t>
      </w:r>
      <w:r w:rsidRPr="00D53776">
        <w:t>které</w:t>
      </w:r>
      <w:r>
        <w:t xml:space="preserve"> </w:t>
      </w:r>
      <w:r w:rsidRPr="00D53776">
        <w:t>jsou</w:t>
      </w:r>
      <w:r>
        <w:t xml:space="preserve"> </w:t>
      </w:r>
      <w:r w:rsidRPr="00D53776">
        <w:t>spojeny</w:t>
      </w:r>
      <w:r>
        <w:t xml:space="preserve"> </w:t>
      </w:r>
      <w:r w:rsidRPr="00D53776">
        <w:t>se</w:t>
      </w:r>
      <w:r>
        <w:t xml:space="preserve"> </w:t>
      </w:r>
      <w:r w:rsidRPr="00D53776">
        <w:t>zajišťováním</w:t>
      </w:r>
      <w:r>
        <w:t xml:space="preserve"> </w:t>
      </w:r>
      <w:r w:rsidRPr="00D53776">
        <w:t>sítí,</w:t>
      </w:r>
      <w:r>
        <w:t xml:space="preserve"> </w:t>
      </w:r>
      <w:r w:rsidRPr="00D53776">
        <w:t>nebo</w:t>
      </w:r>
      <w:r>
        <w:t xml:space="preserve"> </w:t>
      </w:r>
      <w:r w:rsidRPr="00D53776">
        <w:t>poskytováním</w:t>
      </w:r>
      <w:r>
        <w:t xml:space="preserve"> </w:t>
      </w:r>
      <w:r w:rsidRPr="00D53776">
        <w:t>veřejně</w:t>
      </w:r>
      <w:r>
        <w:t xml:space="preserve"> </w:t>
      </w:r>
      <w:r w:rsidRPr="00D53776">
        <w:t>dostupných</w:t>
      </w:r>
      <w:r>
        <w:t xml:space="preserve"> </w:t>
      </w:r>
      <w:r w:rsidRPr="00D53776">
        <w:t>služeb</w:t>
      </w:r>
      <w:r>
        <w:t xml:space="preserve"> </w:t>
      </w:r>
      <w:r w:rsidRPr="00D53776">
        <w:t>elektronických</w:t>
      </w:r>
      <w:r>
        <w:t xml:space="preserve"> </w:t>
      </w:r>
      <w:r w:rsidRPr="00D53776">
        <w:t>komunikací,</w:t>
      </w:r>
      <w:r>
        <w:t xml:space="preserve"> </w:t>
      </w:r>
      <w:r w:rsidRPr="00D53776">
        <w:t>je</w:t>
      </w:r>
      <w:r>
        <w:t xml:space="preserve"> </w:t>
      </w:r>
      <w:r w:rsidRPr="00D53776">
        <w:t>nižší</w:t>
      </w:r>
      <w:r>
        <w:t xml:space="preserve"> </w:t>
      </w:r>
      <w:r w:rsidRPr="00D53776">
        <w:t>než</w:t>
      </w:r>
      <w:r>
        <w:t xml:space="preserve"> </w:t>
      </w:r>
      <w:r w:rsidRPr="00D53776">
        <w:t>ekvivalent</w:t>
      </w:r>
      <w:r>
        <w:t xml:space="preserve"> </w:t>
      </w:r>
      <w:r w:rsidRPr="00D53776">
        <w:t>50</w:t>
      </w:r>
      <w:r>
        <w:t xml:space="preserve"> </w:t>
      </w:r>
      <w:r w:rsidRPr="00D53776">
        <w:t>000</w:t>
      </w:r>
      <w:r>
        <w:t xml:space="preserve"> </w:t>
      </w:r>
      <w:r w:rsidRPr="00D53776">
        <w:t>000</w:t>
      </w:r>
      <w:r>
        <w:t xml:space="preserve"> </w:t>
      </w:r>
      <w:r w:rsidRPr="00D53776">
        <w:t>EUR</w:t>
      </w:r>
      <w:r>
        <w:t xml:space="preserve"> </w:t>
      </w:r>
      <w:r w:rsidRPr="00D53776">
        <w:t>vyjádřený</w:t>
      </w:r>
      <w:r>
        <w:t xml:space="preserve"> </w:t>
      </w:r>
      <w:r w:rsidRPr="00D53776">
        <w:t>v</w:t>
      </w:r>
      <w:r>
        <w:t xml:space="preserve"> </w:t>
      </w:r>
      <w:r w:rsidRPr="00D53776">
        <w:t>Kč.</w:t>
      </w:r>
    </w:p>
    <w:p w14:paraId="41CAAA5E" w14:textId="117D8E5B" w:rsidR="0022672A" w:rsidRPr="00D53776" w:rsidRDefault="0022672A" w:rsidP="00180250">
      <w:pPr>
        <w:pStyle w:val="Textparagrafu"/>
        <w:numPr>
          <w:ilvl w:val="0"/>
          <w:numId w:val="27"/>
        </w:numPr>
        <w:tabs>
          <w:tab w:val="left" w:pos="392"/>
          <w:tab w:val="left" w:pos="840"/>
        </w:tabs>
        <w:spacing w:before="120" w:after="120"/>
        <w:ind w:firstLine="425"/>
      </w:pPr>
      <w:r w:rsidRPr="00D53776">
        <w:t>(9)</w:t>
      </w:r>
      <w:r>
        <w:t xml:space="preserve"> </w:t>
      </w:r>
      <w:r w:rsidRPr="00D53776">
        <w:t>Subjekt</w:t>
      </w:r>
      <w:r>
        <w:t xml:space="preserve"> </w:t>
      </w:r>
      <w:r w:rsidRPr="00D53776">
        <w:t>zajišťující</w:t>
      </w:r>
      <w:r>
        <w:t xml:space="preserve"> </w:t>
      </w:r>
      <w:r w:rsidRPr="00D53776">
        <w:t>veřejné</w:t>
      </w:r>
      <w:r>
        <w:t xml:space="preserve"> </w:t>
      </w:r>
      <w:r w:rsidRPr="00D53776">
        <w:t>komunikační</w:t>
      </w:r>
      <w:r>
        <w:t xml:space="preserve"> </w:t>
      </w:r>
      <w:r w:rsidRPr="00D53776">
        <w:t>sítě</w:t>
      </w:r>
      <w:r>
        <w:t xml:space="preserve"> </w:t>
      </w:r>
      <w:r w:rsidRPr="00D53776">
        <w:t>nebo</w:t>
      </w:r>
      <w:r>
        <w:t xml:space="preserve"> </w:t>
      </w:r>
      <w:r w:rsidRPr="00D53776">
        <w:t>poskytující</w:t>
      </w:r>
      <w:r>
        <w:t xml:space="preserve"> </w:t>
      </w:r>
      <w:r w:rsidRPr="00D53776">
        <w:t>veřejně</w:t>
      </w:r>
      <w:r>
        <w:t xml:space="preserve"> </w:t>
      </w:r>
      <w:r w:rsidRPr="00D53776">
        <w:t>dostupné</w:t>
      </w:r>
      <w:r>
        <w:t xml:space="preserve"> </w:t>
      </w:r>
      <w:r w:rsidRPr="00D53776">
        <w:t>služby</w:t>
      </w:r>
      <w:r>
        <w:t xml:space="preserve"> </w:t>
      </w:r>
      <w:r w:rsidRPr="00D53776">
        <w:t>elektronických</w:t>
      </w:r>
      <w:r>
        <w:t xml:space="preserve"> </w:t>
      </w:r>
      <w:r w:rsidRPr="00D53776">
        <w:t>komunikací,</w:t>
      </w:r>
      <w:r>
        <w:t xml:space="preserve"> </w:t>
      </w:r>
      <w:r w:rsidRPr="00D53776">
        <w:t>který</w:t>
      </w:r>
      <w:r>
        <w:t xml:space="preserve"> </w:t>
      </w:r>
      <w:r w:rsidRPr="00D53776">
        <w:t>není</w:t>
      </w:r>
      <w:r>
        <w:t xml:space="preserve"> </w:t>
      </w:r>
      <w:r w:rsidRPr="00D53776">
        <w:t>obchodní</w:t>
      </w:r>
      <w:r>
        <w:t xml:space="preserve"> </w:t>
      </w:r>
      <w:r w:rsidRPr="00D53776">
        <w:t>korporací</w:t>
      </w:r>
      <w:r>
        <w:t xml:space="preserve"> </w:t>
      </w:r>
      <w:r w:rsidRPr="00D53776">
        <w:t>podle</w:t>
      </w:r>
      <w:r>
        <w:t xml:space="preserve"> </w:t>
      </w:r>
      <w:r w:rsidRPr="00D53776">
        <w:t>zákona</w:t>
      </w:r>
      <w:r>
        <w:t xml:space="preserve"> </w:t>
      </w:r>
      <w:r w:rsidRPr="00D53776">
        <w:t>upravujícího</w:t>
      </w:r>
      <w:r>
        <w:t xml:space="preserve"> </w:t>
      </w:r>
      <w:r w:rsidRPr="00D53776">
        <w:t>právní</w:t>
      </w:r>
      <w:r>
        <w:t xml:space="preserve"> </w:t>
      </w:r>
      <w:r w:rsidRPr="00D53776">
        <w:t>poměry</w:t>
      </w:r>
      <w:r>
        <w:t xml:space="preserve"> </w:t>
      </w:r>
      <w:r w:rsidRPr="00D53776">
        <w:t>obchodních</w:t>
      </w:r>
      <w:r>
        <w:t xml:space="preserve"> </w:t>
      </w:r>
      <w:r w:rsidRPr="00D53776">
        <w:t>společností</w:t>
      </w:r>
      <w:r>
        <w:t xml:space="preserve"> </w:t>
      </w:r>
      <w:r w:rsidRPr="00D53776">
        <w:t>a</w:t>
      </w:r>
      <w:r>
        <w:t xml:space="preserve"> </w:t>
      </w:r>
      <w:r w:rsidRPr="00D53776">
        <w:t>družstev</w:t>
      </w:r>
      <w:r>
        <w:t xml:space="preserve"> </w:t>
      </w:r>
      <w:r w:rsidRPr="00D53776">
        <w:t>a</w:t>
      </w:r>
      <w:r>
        <w:t xml:space="preserve"> </w:t>
      </w:r>
      <w:r w:rsidRPr="00D53776">
        <w:t>který</w:t>
      </w:r>
      <w:r>
        <w:t xml:space="preserve"> </w:t>
      </w:r>
      <w:r w:rsidRPr="00D53776">
        <w:t>není</w:t>
      </w:r>
      <w:r>
        <w:t xml:space="preserve"> </w:t>
      </w:r>
      <w:r w:rsidRPr="00D53776">
        <w:t>malým</w:t>
      </w:r>
      <w:r>
        <w:t xml:space="preserve"> </w:t>
      </w:r>
      <w:r w:rsidRPr="00D53776">
        <w:t>nebo</w:t>
      </w:r>
      <w:r>
        <w:t xml:space="preserve"> </w:t>
      </w:r>
      <w:r w:rsidRPr="00D53776">
        <w:t>středně</w:t>
      </w:r>
      <w:r>
        <w:t xml:space="preserve"> </w:t>
      </w:r>
      <w:r w:rsidRPr="00D53776">
        <w:t>velkým</w:t>
      </w:r>
      <w:r>
        <w:t xml:space="preserve"> </w:t>
      </w:r>
      <w:r w:rsidRPr="00D53776">
        <w:t>podnikatelem</w:t>
      </w:r>
      <w:r>
        <w:t xml:space="preserve"> </w:t>
      </w:r>
      <w:r w:rsidRPr="00D53776">
        <w:t>podle</w:t>
      </w:r>
      <w:r>
        <w:t xml:space="preserve"> </w:t>
      </w:r>
      <w:r w:rsidRPr="00D53776">
        <w:t>kritérií</w:t>
      </w:r>
      <w:r>
        <w:t xml:space="preserve"> </w:t>
      </w:r>
      <w:r w:rsidRPr="00D53776">
        <w:t>stanovených</w:t>
      </w:r>
      <w:r>
        <w:t xml:space="preserve"> </w:t>
      </w:r>
      <w:r w:rsidRPr="00D53776">
        <w:t>účetními</w:t>
      </w:r>
      <w:r>
        <w:t xml:space="preserve"> </w:t>
      </w:r>
      <w:r w:rsidRPr="00D53776">
        <w:t>pravidly</w:t>
      </w:r>
      <w:r>
        <w:t xml:space="preserve"> </w:t>
      </w:r>
      <w:r w:rsidRPr="00D53776">
        <w:t>práva</w:t>
      </w:r>
      <w:r>
        <w:t xml:space="preserve"> </w:t>
      </w:r>
      <w:r w:rsidRPr="00D53776">
        <w:t>Evropské</w:t>
      </w:r>
      <w:r>
        <w:t xml:space="preserve"> </w:t>
      </w:r>
      <w:r w:rsidRPr="00D53776">
        <w:t>unie,</w:t>
      </w:r>
      <w:r>
        <w:t xml:space="preserve"> </w:t>
      </w:r>
      <w:r w:rsidRPr="00D53776">
        <w:t>je</w:t>
      </w:r>
      <w:r>
        <w:t xml:space="preserve"> </w:t>
      </w:r>
      <w:r w:rsidRPr="00D53776">
        <w:t>povinen</w:t>
      </w:r>
      <w:r>
        <w:t xml:space="preserve"> </w:t>
      </w:r>
      <w:r w:rsidRPr="00D53776">
        <w:t>vypracovat</w:t>
      </w:r>
      <w:r>
        <w:t xml:space="preserve"> </w:t>
      </w:r>
      <w:r w:rsidRPr="00D53776">
        <w:t>svou</w:t>
      </w:r>
      <w:r>
        <w:t xml:space="preserve"> </w:t>
      </w:r>
      <w:r w:rsidRPr="00D53776">
        <w:t>finanční</w:t>
      </w:r>
      <w:r>
        <w:t xml:space="preserve"> </w:t>
      </w:r>
      <w:r w:rsidRPr="00D53776">
        <w:t>zprávu,</w:t>
      </w:r>
      <w:r>
        <w:t xml:space="preserve"> </w:t>
      </w:r>
      <w:r w:rsidRPr="00D53776">
        <w:t>předložit</w:t>
      </w:r>
      <w:r>
        <w:t xml:space="preserve"> </w:t>
      </w:r>
      <w:r w:rsidRPr="00D53776">
        <w:t>ji</w:t>
      </w:r>
      <w:r>
        <w:t xml:space="preserve"> </w:t>
      </w:r>
      <w:r w:rsidRPr="00D53776">
        <w:t>k</w:t>
      </w:r>
      <w:r>
        <w:t xml:space="preserve"> </w:t>
      </w:r>
      <w:r w:rsidRPr="00D53776">
        <w:t>ověření</w:t>
      </w:r>
      <w:r>
        <w:t xml:space="preserve"> </w:t>
      </w:r>
      <w:r w:rsidRPr="00D53776">
        <w:t>Úřadem</w:t>
      </w:r>
      <w:r>
        <w:t xml:space="preserve"> </w:t>
      </w:r>
      <w:r w:rsidRPr="00D53776">
        <w:t>určenému</w:t>
      </w:r>
      <w:r>
        <w:t xml:space="preserve"> </w:t>
      </w:r>
      <w:r w:rsidRPr="00D53776">
        <w:t>nezávislému</w:t>
      </w:r>
      <w:r>
        <w:t xml:space="preserve"> </w:t>
      </w:r>
      <w:r w:rsidRPr="00D53776">
        <w:t>kvalifikovanému</w:t>
      </w:r>
      <w:r>
        <w:t xml:space="preserve"> </w:t>
      </w:r>
      <w:r w:rsidRPr="00D53776">
        <w:t>subjektu</w:t>
      </w:r>
      <w:r>
        <w:t xml:space="preserve"> </w:t>
      </w:r>
      <w:r w:rsidRPr="00D53776">
        <w:t>a</w:t>
      </w:r>
      <w:r>
        <w:t xml:space="preserve"> </w:t>
      </w:r>
      <w:r w:rsidRPr="00D53776">
        <w:t>publikovat</w:t>
      </w:r>
      <w:r>
        <w:t xml:space="preserve"> </w:t>
      </w:r>
      <w:r w:rsidRPr="00D53776">
        <w:t>ji.</w:t>
      </w:r>
      <w:r>
        <w:t xml:space="preserve"> </w:t>
      </w:r>
      <w:r w:rsidRPr="00D53776">
        <w:t>Tento</w:t>
      </w:r>
      <w:r>
        <w:t xml:space="preserve"> </w:t>
      </w:r>
      <w:r w:rsidRPr="00D53776">
        <w:t>požadavek</w:t>
      </w:r>
      <w:r>
        <w:t xml:space="preserve"> </w:t>
      </w:r>
      <w:r w:rsidRPr="00D53776">
        <w:t>se</w:t>
      </w:r>
      <w:r>
        <w:t xml:space="preserve"> </w:t>
      </w:r>
      <w:r w:rsidRPr="00D53776">
        <w:t>vztahuje</w:t>
      </w:r>
      <w:r>
        <w:t xml:space="preserve"> </w:t>
      </w:r>
      <w:r w:rsidRPr="00D53776">
        <w:t>i</w:t>
      </w:r>
      <w:r>
        <w:t xml:space="preserve"> </w:t>
      </w:r>
      <w:r w:rsidRPr="00D53776">
        <w:t>na</w:t>
      </w:r>
      <w:r>
        <w:t xml:space="preserve"> </w:t>
      </w:r>
      <w:r w:rsidRPr="008E102F">
        <w:rPr>
          <w:strike/>
        </w:rPr>
        <w:t>oddělené účetnictví požadované</w:t>
      </w:r>
      <w:r>
        <w:t xml:space="preserve"> </w:t>
      </w:r>
      <w:r w:rsidR="008E102F" w:rsidRPr="00F3102F">
        <w:rPr>
          <w:b/>
        </w:rPr>
        <w:t>oddělenou evidenci požadovanou</w:t>
      </w:r>
      <w:r w:rsidR="008E102F" w:rsidRPr="00D53776">
        <w:t xml:space="preserve"> </w:t>
      </w:r>
      <w:r w:rsidRPr="00D53776">
        <w:t>podle</w:t>
      </w:r>
      <w:r>
        <w:t xml:space="preserve"> </w:t>
      </w:r>
      <w:r w:rsidRPr="00D53776">
        <w:t>odstavce</w:t>
      </w:r>
      <w:r>
        <w:t xml:space="preserve"> </w:t>
      </w:r>
      <w:r w:rsidRPr="00D53776">
        <w:t>8</w:t>
      </w:r>
      <w:r>
        <w:t xml:space="preserve"> </w:t>
      </w:r>
      <w:r w:rsidRPr="00D53776">
        <w:t>písm.</w:t>
      </w:r>
      <w:r>
        <w:t xml:space="preserve"> </w:t>
      </w:r>
      <w:r w:rsidRPr="00D53776">
        <w:t>a).</w:t>
      </w:r>
    </w:p>
    <w:p w14:paraId="0BDE2B85" w14:textId="77777777" w:rsidR="008E102F" w:rsidRDefault="008E102F" w:rsidP="00BD5369">
      <w:pPr>
        <w:pStyle w:val="Textparagrafu"/>
        <w:tabs>
          <w:tab w:val="left" w:pos="406"/>
          <w:tab w:val="left" w:pos="840"/>
          <w:tab w:val="left" w:pos="868"/>
        </w:tabs>
        <w:spacing w:after="120"/>
        <w:ind w:firstLine="284"/>
        <w:sectPr w:rsidR="008E102F" w:rsidSect="00554E2B">
          <w:footnotePr>
            <w:numStart w:val="3"/>
          </w:footnotePr>
          <w:endnotePr>
            <w:numFmt w:val="decimal"/>
          </w:endnotePr>
          <w:pgSz w:w="11906" w:h="16838"/>
          <w:pgMar w:top="1418" w:right="1418" w:bottom="1418" w:left="1418" w:header="709" w:footer="709" w:gutter="0"/>
          <w:cols w:space="708"/>
          <w:docGrid w:linePitch="360"/>
        </w:sectPr>
      </w:pPr>
    </w:p>
    <w:p w14:paraId="59D696CA" w14:textId="1694A4B5" w:rsidR="006357C4" w:rsidRPr="00AD77CE" w:rsidRDefault="006357C4" w:rsidP="00180250">
      <w:pPr>
        <w:tabs>
          <w:tab w:val="left" w:pos="851"/>
        </w:tabs>
        <w:spacing w:before="120" w:after="120"/>
        <w:ind w:firstLine="0"/>
        <w:jc w:val="center"/>
        <w:outlineLvl w:val="0"/>
        <w:rPr>
          <w:szCs w:val="24"/>
        </w:rPr>
      </w:pPr>
      <w:r w:rsidRPr="00AD77CE">
        <w:rPr>
          <w:b/>
          <w:szCs w:val="24"/>
        </w:rPr>
        <w:lastRenderedPageBreak/>
        <w:t xml:space="preserve">K části </w:t>
      </w:r>
      <w:r>
        <w:rPr>
          <w:b/>
          <w:szCs w:val="24"/>
        </w:rPr>
        <w:t>osmdesáté</w:t>
      </w:r>
      <w:r w:rsidRPr="00AD77CE">
        <w:rPr>
          <w:b/>
          <w:szCs w:val="24"/>
        </w:rPr>
        <w:t xml:space="preserve"> </w:t>
      </w:r>
      <w:r w:rsidR="00AB5ED2">
        <w:rPr>
          <w:b/>
          <w:szCs w:val="24"/>
        </w:rPr>
        <w:t>čtvrté</w:t>
      </w:r>
      <w:r>
        <w:rPr>
          <w:b/>
          <w:szCs w:val="24"/>
        </w:rPr>
        <w:t xml:space="preserve"> </w:t>
      </w:r>
      <w:r w:rsidRPr="00AD77CE">
        <w:rPr>
          <w:b/>
          <w:szCs w:val="24"/>
        </w:rPr>
        <w:t xml:space="preserve">návrhu zákona – </w:t>
      </w:r>
      <w:r w:rsidRPr="00AD77CE">
        <w:rPr>
          <w:szCs w:val="24"/>
        </w:rPr>
        <w:t>změna zákona</w:t>
      </w:r>
      <w:r w:rsidRPr="00AD77CE">
        <w:t xml:space="preserve"> </w:t>
      </w:r>
      <w:r w:rsidRPr="006357C4">
        <w:rPr>
          <w:szCs w:val="24"/>
        </w:rPr>
        <w:t>o inspekci práce</w:t>
      </w:r>
    </w:p>
    <w:p w14:paraId="1863A4F1" w14:textId="10440860" w:rsidR="006357C4" w:rsidRPr="00854C36" w:rsidRDefault="006357C4" w:rsidP="006357C4">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7303D7">
        <w:rPr>
          <w:b/>
          <w:szCs w:val="24"/>
        </w:rPr>
        <w:t>Platné znění</w:t>
      </w:r>
      <w:r w:rsidRPr="007303D7">
        <w:rPr>
          <w:szCs w:val="24"/>
        </w:rPr>
        <w:t xml:space="preserve"> zákona č.</w:t>
      </w:r>
      <w:r>
        <w:rPr>
          <w:szCs w:val="24"/>
        </w:rPr>
        <w:t xml:space="preserve"> 251/2005</w:t>
      </w:r>
      <w:r w:rsidRPr="007303D7">
        <w:rPr>
          <w:szCs w:val="24"/>
        </w:rPr>
        <w:t xml:space="preserve"> Sb., </w:t>
      </w:r>
      <w:r w:rsidRPr="006357C4">
        <w:rPr>
          <w:szCs w:val="24"/>
        </w:rPr>
        <w:t>o inspekci práce</w:t>
      </w:r>
    </w:p>
    <w:p w14:paraId="41BB780F" w14:textId="0547AB08" w:rsidR="006357C4" w:rsidRPr="007303D7" w:rsidRDefault="00180250" w:rsidP="006357C4">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AE4818">
        <w:rPr>
          <w:b/>
          <w:szCs w:val="24"/>
          <w:lang w:eastAsia="en-US"/>
        </w:rPr>
        <w:t>s vyznačením navrhovaných změn a doplnění k 1. lednu 2025</w:t>
      </w:r>
    </w:p>
    <w:p w14:paraId="38A31A99" w14:textId="77777777" w:rsidR="006357C4" w:rsidRPr="00AD77CE" w:rsidRDefault="006357C4" w:rsidP="006357C4">
      <w:pPr>
        <w:pStyle w:val="Textparagrafu"/>
        <w:numPr>
          <w:ilvl w:val="0"/>
          <w:numId w:val="27"/>
        </w:numPr>
        <w:tabs>
          <w:tab w:val="left" w:pos="392"/>
          <w:tab w:val="left" w:pos="840"/>
        </w:tabs>
        <w:spacing w:after="120"/>
        <w:jc w:val="center"/>
      </w:pPr>
      <w:r w:rsidRPr="00AD77CE">
        <w:t>***</w:t>
      </w:r>
    </w:p>
    <w:p w14:paraId="37C6B0F8" w14:textId="0EE1E102" w:rsidR="006357C4" w:rsidRDefault="006357C4" w:rsidP="006357C4">
      <w:pPr>
        <w:pStyle w:val="Textparagrafu"/>
        <w:numPr>
          <w:ilvl w:val="0"/>
          <w:numId w:val="27"/>
        </w:numPr>
        <w:tabs>
          <w:tab w:val="left" w:pos="392"/>
          <w:tab w:val="left" w:pos="840"/>
        </w:tabs>
        <w:spacing w:after="120"/>
        <w:jc w:val="center"/>
      </w:pPr>
      <w:r w:rsidRPr="00D53776">
        <w:t>§</w:t>
      </w:r>
      <w:r>
        <w:t xml:space="preserve"> </w:t>
      </w:r>
      <w:r w:rsidRPr="00D53776">
        <w:t>2</w:t>
      </w:r>
    </w:p>
    <w:p w14:paraId="5C7FE266" w14:textId="77777777" w:rsidR="006357C4" w:rsidRDefault="006357C4" w:rsidP="00180250">
      <w:pPr>
        <w:pStyle w:val="Textparagrafu"/>
        <w:numPr>
          <w:ilvl w:val="0"/>
          <w:numId w:val="27"/>
        </w:numPr>
        <w:tabs>
          <w:tab w:val="left" w:pos="392"/>
          <w:tab w:val="left" w:pos="840"/>
        </w:tabs>
        <w:spacing w:before="120" w:after="120"/>
        <w:ind w:firstLine="425"/>
      </w:pPr>
      <w:r w:rsidRPr="00D53776">
        <w:t>(1)</w:t>
      </w:r>
      <w:r>
        <w:t xml:space="preserve"> </w:t>
      </w:r>
      <w:r w:rsidRPr="00D53776">
        <w:t>Zřizují</w:t>
      </w:r>
      <w:r>
        <w:t xml:space="preserve"> </w:t>
      </w:r>
      <w:r w:rsidRPr="00D53776">
        <w:t>se</w:t>
      </w:r>
      <w:r>
        <w:t xml:space="preserve"> </w:t>
      </w:r>
      <w:r w:rsidRPr="00D53776">
        <w:t>Státní</w:t>
      </w:r>
      <w:r>
        <w:t xml:space="preserve"> </w:t>
      </w:r>
      <w:r w:rsidRPr="00D53776">
        <w:t>úřad</w:t>
      </w:r>
      <w:r>
        <w:t xml:space="preserve"> </w:t>
      </w:r>
      <w:r w:rsidRPr="00D53776">
        <w:t>inspekce</w:t>
      </w:r>
      <w:r>
        <w:t xml:space="preserve"> </w:t>
      </w:r>
      <w:r w:rsidRPr="00D53776">
        <w:t>práce</w:t>
      </w:r>
      <w:r>
        <w:t xml:space="preserve"> </w:t>
      </w:r>
      <w:r w:rsidRPr="00D53776">
        <w:t>(dále</w:t>
      </w:r>
      <w:r>
        <w:t xml:space="preserve"> </w:t>
      </w:r>
      <w:r w:rsidRPr="00D53776">
        <w:t>jen</w:t>
      </w:r>
      <w:r>
        <w:t xml:space="preserve"> </w:t>
      </w:r>
      <w:r w:rsidRPr="00D53776">
        <w:t>„úřad“)</w:t>
      </w:r>
      <w:r>
        <w:t xml:space="preserve"> </w:t>
      </w:r>
      <w:r w:rsidRPr="00D53776">
        <w:t>a</w:t>
      </w:r>
      <w:r>
        <w:t xml:space="preserve"> </w:t>
      </w:r>
      <w:r w:rsidRPr="00D53776">
        <w:t>oblastní</w:t>
      </w:r>
      <w:r>
        <w:t xml:space="preserve"> </w:t>
      </w:r>
      <w:r w:rsidRPr="00D53776">
        <w:t>inspektoráty</w:t>
      </w:r>
      <w:r>
        <w:t xml:space="preserve"> </w:t>
      </w:r>
      <w:r w:rsidRPr="00D53776">
        <w:t>práce</w:t>
      </w:r>
      <w:r>
        <w:t xml:space="preserve"> </w:t>
      </w:r>
      <w:r w:rsidRPr="00D53776">
        <w:t>(dále</w:t>
      </w:r>
      <w:r>
        <w:t xml:space="preserve"> </w:t>
      </w:r>
      <w:r w:rsidRPr="00D53776">
        <w:t>jen</w:t>
      </w:r>
      <w:r>
        <w:t xml:space="preserve"> </w:t>
      </w:r>
      <w:r w:rsidRPr="00D53776">
        <w:t>„inspektorát“),</w:t>
      </w:r>
      <w:r>
        <w:t xml:space="preserve"> </w:t>
      </w:r>
      <w:r w:rsidRPr="00D53776">
        <w:t>které</w:t>
      </w:r>
      <w:r>
        <w:t xml:space="preserve"> </w:t>
      </w:r>
      <w:r w:rsidRPr="00D53776">
        <w:t>jsou</w:t>
      </w:r>
      <w:r>
        <w:t xml:space="preserve"> </w:t>
      </w:r>
      <w:r w:rsidRPr="00D53776">
        <w:t>správními</w:t>
      </w:r>
      <w:r>
        <w:t xml:space="preserve"> </w:t>
      </w:r>
      <w:r w:rsidRPr="00D53776">
        <w:t>úřady.</w:t>
      </w:r>
      <w:r>
        <w:t xml:space="preserve"> </w:t>
      </w:r>
      <w:r w:rsidRPr="00D53776">
        <w:t>Sídlem</w:t>
      </w:r>
      <w:r>
        <w:t xml:space="preserve"> </w:t>
      </w:r>
      <w:r w:rsidRPr="00D53776">
        <w:t>úřadu</w:t>
      </w:r>
      <w:r>
        <w:t xml:space="preserve"> </w:t>
      </w:r>
      <w:r w:rsidRPr="00D53776">
        <w:t>je</w:t>
      </w:r>
      <w:r>
        <w:t xml:space="preserve"> </w:t>
      </w:r>
      <w:r w:rsidRPr="00D53776">
        <w:t>Opava.</w:t>
      </w:r>
      <w:r>
        <w:t xml:space="preserve"> </w:t>
      </w:r>
      <w:r w:rsidRPr="00D53776">
        <w:t>Označení,</w:t>
      </w:r>
      <w:r>
        <w:t xml:space="preserve"> </w:t>
      </w:r>
      <w:r w:rsidRPr="00D53776">
        <w:t>sídla</w:t>
      </w:r>
      <w:r>
        <w:t xml:space="preserve"> </w:t>
      </w:r>
      <w:r w:rsidRPr="00D53776">
        <w:t>a</w:t>
      </w:r>
      <w:r>
        <w:t xml:space="preserve"> </w:t>
      </w:r>
      <w:r w:rsidRPr="00D53776">
        <w:t>územní</w:t>
      </w:r>
      <w:r>
        <w:t xml:space="preserve"> </w:t>
      </w:r>
      <w:r w:rsidRPr="00D53776">
        <w:t>obvody</w:t>
      </w:r>
      <w:r>
        <w:t xml:space="preserve"> </w:t>
      </w:r>
      <w:r w:rsidRPr="00D53776">
        <w:t>inspektorátů</w:t>
      </w:r>
      <w:r>
        <w:t xml:space="preserve"> </w:t>
      </w:r>
      <w:r w:rsidRPr="00D53776">
        <w:t>jsou</w:t>
      </w:r>
      <w:r>
        <w:t xml:space="preserve"> </w:t>
      </w:r>
      <w:r w:rsidRPr="00D53776">
        <w:t>uvedeny</w:t>
      </w:r>
      <w:r>
        <w:t xml:space="preserve"> </w:t>
      </w:r>
      <w:r w:rsidRPr="00D53776">
        <w:t>v</w:t>
      </w:r>
      <w:r>
        <w:t xml:space="preserve"> </w:t>
      </w:r>
      <w:r w:rsidRPr="00D53776">
        <w:t>příloze</w:t>
      </w:r>
      <w:r>
        <w:t xml:space="preserve"> </w:t>
      </w:r>
      <w:r w:rsidRPr="00D53776">
        <w:t>k</w:t>
      </w:r>
      <w:r>
        <w:t xml:space="preserve"> </w:t>
      </w:r>
      <w:r w:rsidRPr="00D53776">
        <w:t>tomuto</w:t>
      </w:r>
      <w:r>
        <w:t xml:space="preserve"> </w:t>
      </w:r>
      <w:r w:rsidRPr="00D53776">
        <w:t>zákonu.</w:t>
      </w:r>
    </w:p>
    <w:p w14:paraId="311D47C2" w14:textId="4D4E200E" w:rsidR="006357C4" w:rsidRDefault="006357C4" w:rsidP="00180250">
      <w:pPr>
        <w:pStyle w:val="Textparagrafu"/>
        <w:numPr>
          <w:ilvl w:val="0"/>
          <w:numId w:val="27"/>
        </w:numPr>
        <w:tabs>
          <w:tab w:val="left" w:pos="392"/>
          <w:tab w:val="left" w:pos="840"/>
        </w:tabs>
        <w:spacing w:before="120" w:after="120"/>
        <w:ind w:firstLine="425"/>
      </w:pPr>
      <w:r w:rsidRPr="00D53776">
        <w:t>(2)</w:t>
      </w:r>
      <w:r>
        <w:t xml:space="preserve"> </w:t>
      </w:r>
      <w:r w:rsidRPr="00B91B8C">
        <w:rPr>
          <w:strike/>
        </w:rPr>
        <w:t>Úřad je účetní jednotkou.</w:t>
      </w:r>
      <w:r>
        <w:t xml:space="preserve"> </w:t>
      </w:r>
      <w:r w:rsidR="00B91B8C" w:rsidRPr="00A96DD9">
        <w:rPr>
          <w:b/>
        </w:rPr>
        <w:t>Inspektoráty nejsou účetními jednotkami.</w:t>
      </w:r>
      <w:r w:rsidR="00B91B8C">
        <w:rPr>
          <w:b/>
        </w:rPr>
        <w:t xml:space="preserve"> </w:t>
      </w:r>
      <w:r w:rsidRPr="00D53776">
        <w:t>Pro</w:t>
      </w:r>
      <w:r>
        <w:t xml:space="preserve"> </w:t>
      </w:r>
      <w:r w:rsidRPr="00D53776">
        <w:t>účely</w:t>
      </w:r>
      <w:r>
        <w:t xml:space="preserve"> </w:t>
      </w:r>
      <w:r w:rsidRPr="00D53776">
        <w:t>hospodaření</w:t>
      </w:r>
      <w:r>
        <w:t xml:space="preserve"> </w:t>
      </w:r>
      <w:r w:rsidRPr="00D53776">
        <w:t>s</w:t>
      </w:r>
      <w:r>
        <w:t xml:space="preserve"> </w:t>
      </w:r>
      <w:r w:rsidRPr="00D53776">
        <w:t>majetkem</w:t>
      </w:r>
      <w:r>
        <w:t xml:space="preserve"> </w:t>
      </w:r>
      <w:r w:rsidRPr="00D53776">
        <w:t>státu,</w:t>
      </w:r>
      <w:r>
        <w:t xml:space="preserve"> </w:t>
      </w:r>
      <w:r w:rsidRPr="00D53776">
        <w:t>včetně</w:t>
      </w:r>
      <w:r>
        <w:t xml:space="preserve"> </w:t>
      </w:r>
      <w:r w:rsidRPr="00D53776">
        <w:t>prostředků</w:t>
      </w:r>
      <w:r>
        <w:t xml:space="preserve"> </w:t>
      </w:r>
      <w:r w:rsidRPr="00D53776">
        <w:t>státního</w:t>
      </w:r>
      <w:r>
        <w:t xml:space="preserve"> </w:t>
      </w:r>
      <w:r w:rsidRPr="00D53776">
        <w:t>rozpočtu,</w:t>
      </w:r>
      <w:r>
        <w:t xml:space="preserve"> </w:t>
      </w:r>
      <w:r w:rsidRPr="00D53776">
        <w:t>účetnictví,</w:t>
      </w:r>
      <w:r>
        <w:t xml:space="preserve"> </w:t>
      </w:r>
      <w:r w:rsidRPr="00D53776">
        <w:t>služebních</w:t>
      </w:r>
      <w:r>
        <w:t xml:space="preserve"> </w:t>
      </w:r>
      <w:r w:rsidRPr="00D53776">
        <w:t>vztahů</w:t>
      </w:r>
      <w:r>
        <w:t xml:space="preserve"> </w:t>
      </w:r>
      <w:r w:rsidRPr="00D53776">
        <w:t>státních</w:t>
      </w:r>
      <w:r>
        <w:t xml:space="preserve"> </w:t>
      </w:r>
      <w:r w:rsidRPr="00D53776">
        <w:t>zaměstnanců</w:t>
      </w:r>
      <w:r>
        <w:t xml:space="preserve"> </w:t>
      </w:r>
      <w:r w:rsidRPr="00D53776">
        <w:t>a</w:t>
      </w:r>
      <w:r>
        <w:t xml:space="preserve"> </w:t>
      </w:r>
      <w:r w:rsidRPr="00D53776">
        <w:t>pracovněprávních</w:t>
      </w:r>
      <w:r>
        <w:t xml:space="preserve"> </w:t>
      </w:r>
      <w:r w:rsidRPr="00D53776">
        <w:t>vztahů</w:t>
      </w:r>
      <w:r>
        <w:t xml:space="preserve"> </w:t>
      </w:r>
      <w:r w:rsidRPr="00D53776">
        <w:t>mají</w:t>
      </w:r>
      <w:r>
        <w:t xml:space="preserve"> </w:t>
      </w:r>
      <w:r w:rsidRPr="00D53776">
        <w:t>inspektoráty</w:t>
      </w:r>
      <w:r>
        <w:t xml:space="preserve"> </w:t>
      </w:r>
      <w:r w:rsidRPr="00D53776">
        <w:t>postavení</w:t>
      </w:r>
      <w:r>
        <w:t xml:space="preserve"> </w:t>
      </w:r>
      <w:r w:rsidRPr="00D53776">
        <w:t>vnitřních</w:t>
      </w:r>
      <w:r>
        <w:t xml:space="preserve"> </w:t>
      </w:r>
      <w:r w:rsidRPr="00D53776">
        <w:t>organizačních</w:t>
      </w:r>
      <w:r>
        <w:t xml:space="preserve"> </w:t>
      </w:r>
      <w:r w:rsidRPr="00D53776">
        <w:t>jednotek</w:t>
      </w:r>
      <w:r>
        <w:t xml:space="preserve"> </w:t>
      </w:r>
      <w:r w:rsidRPr="00D53776">
        <w:t>úřadu.</w:t>
      </w:r>
    </w:p>
    <w:p w14:paraId="4B56BC1C" w14:textId="77777777" w:rsidR="006357C4" w:rsidRDefault="006357C4" w:rsidP="00180250">
      <w:pPr>
        <w:pStyle w:val="Textparagrafu"/>
        <w:numPr>
          <w:ilvl w:val="0"/>
          <w:numId w:val="27"/>
        </w:numPr>
        <w:tabs>
          <w:tab w:val="left" w:pos="392"/>
          <w:tab w:val="left" w:pos="840"/>
        </w:tabs>
        <w:spacing w:before="120" w:after="120"/>
        <w:ind w:firstLine="425"/>
      </w:pPr>
      <w:r w:rsidRPr="00D53776">
        <w:t>(3)</w:t>
      </w:r>
      <w:r>
        <w:t xml:space="preserve"> </w:t>
      </w:r>
      <w:r w:rsidRPr="00D53776">
        <w:t>Úřad</w:t>
      </w:r>
      <w:r>
        <w:t xml:space="preserve"> </w:t>
      </w:r>
      <w:r w:rsidRPr="00D53776">
        <w:t>je</w:t>
      </w:r>
      <w:r>
        <w:t xml:space="preserve"> </w:t>
      </w:r>
      <w:r w:rsidRPr="00D53776">
        <w:t>řízen</w:t>
      </w:r>
      <w:r>
        <w:t xml:space="preserve"> </w:t>
      </w:r>
      <w:r w:rsidRPr="00D53776">
        <w:t>Ministerstvem</w:t>
      </w:r>
      <w:r>
        <w:t xml:space="preserve"> </w:t>
      </w:r>
      <w:r w:rsidRPr="00D53776">
        <w:t>práce</w:t>
      </w:r>
      <w:r>
        <w:t xml:space="preserve"> </w:t>
      </w:r>
      <w:r w:rsidRPr="00D53776">
        <w:t>a</w:t>
      </w:r>
      <w:r>
        <w:t xml:space="preserve"> </w:t>
      </w:r>
      <w:r w:rsidRPr="00D53776">
        <w:t>sociálních</w:t>
      </w:r>
      <w:r>
        <w:t xml:space="preserve"> </w:t>
      </w:r>
      <w:r w:rsidRPr="00D53776">
        <w:t>věcí</w:t>
      </w:r>
      <w:r>
        <w:t xml:space="preserve"> </w:t>
      </w:r>
      <w:r w:rsidRPr="00D53776">
        <w:t>(dále</w:t>
      </w:r>
      <w:r>
        <w:t xml:space="preserve"> </w:t>
      </w:r>
      <w:r w:rsidRPr="00D53776">
        <w:t>jen</w:t>
      </w:r>
      <w:r>
        <w:t xml:space="preserve"> </w:t>
      </w:r>
      <w:r w:rsidRPr="00D53776">
        <w:t>„ministerstvo“).</w:t>
      </w:r>
    </w:p>
    <w:p w14:paraId="597B67D2" w14:textId="77777777" w:rsidR="006357C4" w:rsidRDefault="006357C4" w:rsidP="00180250">
      <w:pPr>
        <w:pStyle w:val="Textparagrafu"/>
        <w:numPr>
          <w:ilvl w:val="0"/>
          <w:numId w:val="27"/>
        </w:numPr>
        <w:tabs>
          <w:tab w:val="left" w:pos="392"/>
          <w:tab w:val="left" w:pos="840"/>
        </w:tabs>
        <w:spacing w:before="120" w:after="120"/>
        <w:ind w:firstLine="425"/>
      </w:pPr>
      <w:r w:rsidRPr="00D53776">
        <w:t>(4)</w:t>
      </w:r>
      <w:r>
        <w:t xml:space="preserve"> </w:t>
      </w:r>
      <w:r w:rsidRPr="00D53776">
        <w:t>Ministerstvo</w:t>
      </w:r>
      <w:r>
        <w:t xml:space="preserve"> </w:t>
      </w:r>
      <w:r w:rsidRPr="00D53776">
        <w:t>je</w:t>
      </w:r>
      <w:r>
        <w:t xml:space="preserve"> </w:t>
      </w:r>
      <w:r w:rsidRPr="00D53776">
        <w:t>ve</w:t>
      </w:r>
      <w:r>
        <w:t xml:space="preserve"> </w:t>
      </w:r>
      <w:r w:rsidRPr="00D53776">
        <w:t>věcech</w:t>
      </w:r>
      <w:r>
        <w:t xml:space="preserve"> </w:t>
      </w:r>
      <w:r w:rsidRPr="00D53776">
        <w:t>státní</w:t>
      </w:r>
      <w:r>
        <w:t xml:space="preserve"> </w:t>
      </w:r>
      <w:r w:rsidRPr="00D53776">
        <w:t>služby</w:t>
      </w:r>
      <w:r>
        <w:t xml:space="preserve"> </w:t>
      </w:r>
      <w:r w:rsidRPr="00D53776">
        <w:t>nadřízeným</w:t>
      </w:r>
      <w:r>
        <w:t xml:space="preserve"> </w:t>
      </w:r>
      <w:r w:rsidRPr="00D53776">
        <w:t>služebním</w:t>
      </w:r>
      <w:r>
        <w:t xml:space="preserve"> </w:t>
      </w:r>
      <w:r w:rsidRPr="00D53776">
        <w:t>úřadem</w:t>
      </w:r>
      <w:r>
        <w:t xml:space="preserve"> </w:t>
      </w:r>
      <w:r w:rsidRPr="00D53776">
        <w:t>úřadu.</w:t>
      </w:r>
      <w:r>
        <w:t xml:space="preserve"> </w:t>
      </w:r>
      <w:r w:rsidRPr="00D53776">
        <w:t>Úřad</w:t>
      </w:r>
      <w:r>
        <w:t xml:space="preserve"> </w:t>
      </w:r>
      <w:r w:rsidRPr="00D53776">
        <w:t>je</w:t>
      </w:r>
      <w:r>
        <w:t xml:space="preserve"> </w:t>
      </w:r>
      <w:r w:rsidRPr="00D53776">
        <w:t>nadřízeným</w:t>
      </w:r>
      <w:r>
        <w:t xml:space="preserve"> </w:t>
      </w:r>
      <w:r w:rsidRPr="00D53776">
        <w:t>služebním</w:t>
      </w:r>
      <w:r>
        <w:t xml:space="preserve"> </w:t>
      </w:r>
      <w:r w:rsidRPr="00D53776">
        <w:t>úřadem</w:t>
      </w:r>
      <w:r>
        <w:t xml:space="preserve"> </w:t>
      </w:r>
      <w:r w:rsidRPr="00D53776">
        <w:t>inspektorátu.</w:t>
      </w:r>
    </w:p>
    <w:p w14:paraId="6E4AC179" w14:textId="77777777" w:rsidR="006357C4" w:rsidRPr="00D53776" w:rsidRDefault="006357C4" w:rsidP="00180250">
      <w:pPr>
        <w:pStyle w:val="Textparagrafu"/>
        <w:numPr>
          <w:ilvl w:val="0"/>
          <w:numId w:val="27"/>
        </w:numPr>
        <w:tabs>
          <w:tab w:val="left" w:pos="392"/>
          <w:tab w:val="left" w:pos="840"/>
        </w:tabs>
        <w:spacing w:before="120" w:after="120"/>
        <w:ind w:firstLine="425"/>
      </w:pPr>
      <w:r w:rsidRPr="00D53776">
        <w:t>(5)</w:t>
      </w:r>
      <w:r>
        <w:t xml:space="preserve"> </w:t>
      </w:r>
      <w:r w:rsidRPr="00D53776">
        <w:t>V</w:t>
      </w:r>
      <w:r>
        <w:t xml:space="preserve"> </w:t>
      </w:r>
      <w:r w:rsidRPr="00D53776">
        <w:t>čele</w:t>
      </w:r>
      <w:r>
        <w:t xml:space="preserve"> </w:t>
      </w:r>
      <w:r w:rsidRPr="00D53776">
        <w:t>úřadu</w:t>
      </w:r>
      <w:r>
        <w:t xml:space="preserve"> </w:t>
      </w:r>
      <w:r w:rsidRPr="00D53776">
        <w:t>je</w:t>
      </w:r>
      <w:r>
        <w:t xml:space="preserve"> </w:t>
      </w:r>
      <w:r w:rsidRPr="00D53776">
        <w:t>generální</w:t>
      </w:r>
      <w:r>
        <w:t xml:space="preserve"> </w:t>
      </w:r>
      <w:r w:rsidRPr="00D53776">
        <w:t>inspektor.</w:t>
      </w:r>
      <w:r>
        <w:t xml:space="preserve"> </w:t>
      </w:r>
      <w:r w:rsidRPr="00D53776">
        <w:t>V</w:t>
      </w:r>
      <w:r>
        <w:t xml:space="preserve"> </w:t>
      </w:r>
      <w:r w:rsidRPr="00D53776">
        <w:t>čele</w:t>
      </w:r>
      <w:r>
        <w:t xml:space="preserve"> </w:t>
      </w:r>
      <w:r w:rsidRPr="00D53776">
        <w:t>inspektorátu</w:t>
      </w:r>
      <w:r>
        <w:t xml:space="preserve"> </w:t>
      </w:r>
      <w:r w:rsidRPr="00D53776">
        <w:t>je</w:t>
      </w:r>
      <w:r>
        <w:t xml:space="preserve"> </w:t>
      </w:r>
      <w:r w:rsidRPr="00D53776">
        <w:t>vedoucí</w:t>
      </w:r>
      <w:r>
        <w:t xml:space="preserve"> </w:t>
      </w:r>
      <w:r w:rsidRPr="00D53776">
        <w:t>inspektor.</w:t>
      </w:r>
      <w:r>
        <w:t xml:space="preserve"> </w:t>
      </w:r>
      <w:r w:rsidRPr="00D53776">
        <w:t>Výběr,</w:t>
      </w:r>
      <w:r>
        <w:t xml:space="preserve"> </w:t>
      </w:r>
      <w:r w:rsidRPr="00D53776">
        <w:t>jmenování</w:t>
      </w:r>
      <w:r>
        <w:t xml:space="preserve"> </w:t>
      </w:r>
      <w:r w:rsidRPr="00D53776">
        <w:t>a</w:t>
      </w:r>
      <w:r>
        <w:t xml:space="preserve"> </w:t>
      </w:r>
      <w:r w:rsidRPr="00D53776">
        <w:t>odvolání</w:t>
      </w:r>
      <w:r>
        <w:t xml:space="preserve"> </w:t>
      </w:r>
      <w:r w:rsidRPr="00D53776">
        <w:t>generálního</w:t>
      </w:r>
      <w:r>
        <w:t xml:space="preserve"> </w:t>
      </w:r>
      <w:r w:rsidRPr="00D53776">
        <w:t>inspektora</w:t>
      </w:r>
      <w:r>
        <w:t xml:space="preserve"> </w:t>
      </w:r>
      <w:r w:rsidRPr="00D53776">
        <w:t>a</w:t>
      </w:r>
      <w:r>
        <w:t xml:space="preserve"> </w:t>
      </w:r>
      <w:r w:rsidRPr="00D53776">
        <w:t>vedoucího</w:t>
      </w:r>
      <w:r>
        <w:t xml:space="preserve"> </w:t>
      </w:r>
      <w:r w:rsidRPr="00D53776">
        <w:t>inspektora</w:t>
      </w:r>
      <w:r>
        <w:t xml:space="preserve"> </w:t>
      </w:r>
      <w:r w:rsidRPr="00D53776">
        <w:t>se</w:t>
      </w:r>
      <w:r>
        <w:t xml:space="preserve"> </w:t>
      </w:r>
      <w:r w:rsidRPr="00D53776">
        <w:t>řídí</w:t>
      </w:r>
      <w:r>
        <w:t xml:space="preserve"> </w:t>
      </w:r>
      <w:r w:rsidRPr="00D53776">
        <w:t>zákonem</w:t>
      </w:r>
      <w:r>
        <w:t xml:space="preserve"> </w:t>
      </w:r>
      <w:r w:rsidRPr="00D53776">
        <w:t>o</w:t>
      </w:r>
      <w:r>
        <w:t xml:space="preserve"> </w:t>
      </w:r>
      <w:r w:rsidRPr="00D53776">
        <w:t>státní</w:t>
      </w:r>
      <w:r>
        <w:t xml:space="preserve"> </w:t>
      </w:r>
      <w:r w:rsidRPr="00D53776">
        <w:t>službě.</w:t>
      </w:r>
    </w:p>
    <w:p w14:paraId="5ADF995D" w14:textId="77777777" w:rsidR="006357C4" w:rsidRDefault="006357C4" w:rsidP="00BD5369">
      <w:pPr>
        <w:pStyle w:val="Textparagrafu"/>
        <w:tabs>
          <w:tab w:val="left" w:pos="406"/>
          <w:tab w:val="left" w:pos="840"/>
          <w:tab w:val="left" w:pos="868"/>
        </w:tabs>
        <w:spacing w:after="120"/>
        <w:ind w:firstLine="284"/>
        <w:sectPr w:rsidR="006357C4" w:rsidSect="00554E2B">
          <w:footnotePr>
            <w:numStart w:val="3"/>
          </w:footnotePr>
          <w:endnotePr>
            <w:numFmt w:val="decimal"/>
          </w:endnotePr>
          <w:pgSz w:w="11906" w:h="16838"/>
          <w:pgMar w:top="1418" w:right="1418" w:bottom="1418" w:left="1418" w:header="709" w:footer="709" w:gutter="0"/>
          <w:cols w:space="708"/>
          <w:docGrid w:linePitch="360"/>
        </w:sectPr>
      </w:pPr>
    </w:p>
    <w:p w14:paraId="6634AABF" w14:textId="3A1D9CF7" w:rsidR="00B91B8C" w:rsidRPr="00AD77CE" w:rsidRDefault="00B91B8C" w:rsidP="00B91B8C">
      <w:pPr>
        <w:tabs>
          <w:tab w:val="left" w:pos="851"/>
        </w:tabs>
        <w:spacing w:before="120" w:after="120"/>
        <w:ind w:firstLine="0"/>
        <w:outlineLvl w:val="0"/>
        <w:rPr>
          <w:szCs w:val="24"/>
        </w:rPr>
      </w:pPr>
      <w:r w:rsidRPr="00AD77CE">
        <w:rPr>
          <w:b/>
          <w:szCs w:val="24"/>
        </w:rPr>
        <w:lastRenderedPageBreak/>
        <w:t xml:space="preserve">K části </w:t>
      </w:r>
      <w:r>
        <w:rPr>
          <w:b/>
          <w:szCs w:val="24"/>
        </w:rPr>
        <w:t>osmdesáté</w:t>
      </w:r>
      <w:r w:rsidRPr="00AD77CE">
        <w:rPr>
          <w:b/>
          <w:szCs w:val="24"/>
        </w:rPr>
        <w:t xml:space="preserve"> </w:t>
      </w:r>
      <w:r w:rsidR="00AB5ED2">
        <w:rPr>
          <w:b/>
          <w:szCs w:val="24"/>
        </w:rPr>
        <w:t>páté</w:t>
      </w:r>
      <w:r>
        <w:rPr>
          <w:b/>
          <w:szCs w:val="24"/>
        </w:rPr>
        <w:t xml:space="preserve"> </w:t>
      </w:r>
      <w:r w:rsidRPr="00AD77CE">
        <w:rPr>
          <w:b/>
          <w:szCs w:val="24"/>
        </w:rPr>
        <w:t xml:space="preserve">návrhu zákona – </w:t>
      </w:r>
      <w:r w:rsidRPr="00AD77CE">
        <w:rPr>
          <w:szCs w:val="24"/>
        </w:rPr>
        <w:t>změna zákona</w:t>
      </w:r>
      <w:r w:rsidRPr="00AD77CE">
        <w:t xml:space="preserve"> </w:t>
      </w:r>
      <w:r w:rsidRPr="00B91B8C">
        <w:rPr>
          <w:szCs w:val="24"/>
        </w:rPr>
        <w:t>o veřejných výzkumných institucích</w:t>
      </w:r>
    </w:p>
    <w:p w14:paraId="0D87433F" w14:textId="421E7860" w:rsidR="00B91B8C" w:rsidRPr="00854C36" w:rsidRDefault="00B91B8C" w:rsidP="00B91B8C">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7303D7">
        <w:rPr>
          <w:b/>
          <w:szCs w:val="24"/>
        </w:rPr>
        <w:t>Platné znění</w:t>
      </w:r>
      <w:r w:rsidRPr="007303D7">
        <w:rPr>
          <w:szCs w:val="24"/>
        </w:rPr>
        <w:t xml:space="preserve"> zákona č.</w:t>
      </w:r>
      <w:r>
        <w:rPr>
          <w:szCs w:val="24"/>
        </w:rPr>
        <w:t xml:space="preserve"> 341/2005</w:t>
      </w:r>
      <w:r w:rsidRPr="007303D7">
        <w:rPr>
          <w:szCs w:val="24"/>
        </w:rPr>
        <w:t xml:space="preserve"> Sb., </w:t>
      </w:r>
      <w:r w:rsidRPr="00B91B8C">
        <w:rPr>
          <w:szCs w:val="24"/>
        </w:rPr>
        <w:t>o veřejných výzkumných institucích</w:t>
      </w:r>
    </w:p>
    <w:p w14:paraId="192B83E8" w14:textId="074E1FA5" w:rsidR="00B91B8C" w:rsidRPr="007303D7" w:rsidRDefault="00180250" w:rsidP="00B91B8C">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AE4818">
        <w:rPr>
          <w:b/>
          <w:szCs w:val="24"/>
          <w:lang w:eastAsia="en-US"/>
        </w:rPr>
        <w:t>s vyznačením navrhovaných změn a doplnění k 1. lednu 2025</w:t>
      </w:r>
    </w:p>
    <w:p w14:paraId="29CA396E" w14:textId="77777777" w:rsidR="00B91B8C" w:rsidRPr="00AD77CE" w:rsidRDefault="00B91B8C" w:rsidP="00B91B8C">
      <w:pPr>
        <w:pStyle w:val="Textparagrafu"/>
        <w:numPr>
          <w:ilvl w:val="0"/>
          <w:numId w:val="27"/>
        </w:numPr>
        <w:tabs>
          <w:tab w:val="left" w:pos="392"/>
          <w:tab w:val="left" w:pos="840"/>
        </w:tabs>
        <w:spacing w:after="120"/>
        <w:jc w:val="center"/>
      </w:pPr>
      <w:r w:rsidRPr="00AD77CE">
        <w:t>***</w:t>
      </w:r>
    </w:p>
    <w:p w14:paraId="0550A935" w14:textId="5745F0B7" w:rsidR="001A3465" w:rsidRDefault="001A3465" w:rsidP="001A3465">
      <w:pPr>
        <w:pStyle w:val="Textparagrafu"/>
        <w:numPr>
          <w:ilvl w:val="0"/>
          <w:numId w:val="27"/>
        </w:numPr>
        <w:tabs>
          <w:tab w:val="left" w:pos="392"/>
          <w:tab w:val="left" w:pos="840"/>
        </w:tabs>
        <w:spacing w:after="120"/>
        <w:jc w:val="center"/>
      </w:pPr>
      <w:r w:rsidRPr="00A8646F">
        <w:t>§</w:t>
      </w:r>
      <w:r>
        <w:t xml:space="preserve"> </w:t>
      </w:r>
      <w:r w:rsidRPr="00A8646F">
        <w:t>30</w:t>
      </w:r>
    </w:p>
    <w:p w14:paraId="0278131A" w14:textId="77777777" w:rsidR="001A3465" w:rsidRPr="001A3465" w:rsidRDefault="001A3465" w:rsidP="001A3465">
      <w:pPr>
        <w:pStyle w:val="Textparagrafu"/>
        <w:numPr>
          <w:ilvl w:val="0"/>
          <w:numId w:val="27"/>
        </w:numPr>
        <w:tabs>
          <w:tab w:val="left" w:pos="392"/>
          <w:tab w:val="left" w:pos="840"/>
        </w:tabs>
        <w:spacing w:after="120"/>
        <w:jc w:val="center"/>
        <w:rPr>
          <w:b/>
        </w:rPr>
      </w:pPr>
      <w:r w:rsidRPr="001A3465">
        <w:rPr>
          <w:b/>
        </w:rPr>
        <w:t>Výroční zpráva</w:t>
      </w:r>
    </w:p>
    <w:p w14:paraId="53816C70" w14:textId="77777777" w:rsidR="001A3465" w:rsidRDefault="001A3465" w:rsidP="00180250">
      <w:pPr>
        <w:pStyle w:val="Textparagrafu"/>
        <w:numPr>
          <w:ilvl w:val="0"/>
          <w:numId w:val="27"/>
        </w:numPr>
        <w:tabs>
          <w:tab w:val="left" w:pos="392"/>
          <w:tab w:val="left" w:pos="840"/>
        </w:tabs>
        <w:spacing w:before="120" w:after="120"/>
        <w:ind w:firstLine="425"/>
      </w:pPr>
      <w:r w:rsidRPr="00A8646F">
        <w:t>(1)</w:t>
      </w:r>
      <w:r>
        <w:t xml:space="preserve"> </w:t>
      </w:r>
      <w:r w:rsidRPr="00A8646F">
        <w:t>Veřejná</w:t>
      </w:r>
      <w:r>
        <w:t xml:space="preserve"> </w:t>
      </w:r>
      <w:r w:rsidRPr="00A8646F">
        <w:t>výzkumná</w:t>
      </w:r>
      <w:r>
        <w:t xml:space="preserve"> </w:t>
      </w:r>
      <w:r w:rsidRPr="00A8646F">
        <w:t>instituce</w:t>
      </w:r>
      <w:r>
        <w:t xml:space="preserve"> </w:t>
      </w:r>
      <w:r w:rsidRPr="00A8646F">
        <w:t>vypracovává</w:t>
      </w:r>
      <w:r>
        <w:t xml:space="preserve"> </w:t>
      </w:r>
      <w:r w:rsidRPr="00A8646F">
        <w:t>a</w:t>
      </w:r>
      <w:r>
        <w:t xml:space="preserve"> </w:t>
      </w:r>
      <w:r w:rsidRPr="00A8646F">
        <w:t>po</w:t>
      </w:r>
      <w:r>
        <w:t xml:space="preserve"> </w:t>
      </w:r>
      <w:r w:rsidRPr="00A8646F">
        <w:t>schválení</w:t>
      </w:r>
      <w:r>
        <w:t xml:space="preserve"> </w:t>
      </w:r>
      <w:r w:rsidRPr="00A8646F">
        <w:t>dozorčí</w:t>
      </w:r>
      <w:r>
        <w:t xml:space="preserve"> </w:t>
      </w:r>
      <w:r w:rsidRPr="00A8646F">
        <w:t>radou</w:t>
      </w:r>
      <w:r>
        <w:t xml:space="preserve"> </w:t>
      </w:r>
      <w:r w:rsidRPr="00A8646F">
        <w:t>zveřejňuje</w:t>
      </w:r>
      <w:r>
        <w:t xml:space="preserve"> </w:t>
      </w:r>
      <w:r w:rsidRPr="00A8646F">
        <w:t>výroční</w:t>
      </w:r>
      <w:r>
        <w:t xml:space="preserve"> </w:t>
      </w:r>
      <w:r w:rsidRPr="00A8646F">
        <w:t>zprávu,</w:t>
      </w:r>
      <w:r>
        <w:t xml:space="preserve"> </w:t>
      </w:r>
      <w:r w:rsidRPr="00A8646F">
        <w:t>a</w:t>
      </w:r>
      <w:r>
        <w:t xml:space="preserve"> </w:t>
      </w:r>
      <w:r w:rsidRPr="00A8646F">
        <w:t>to</w:t>
      </w:r>
      <w:r>
        <w:t xml:space="preserve"> </w:t>
      </w:r>
      <w:r w:rsidRPr="00A8646F">
        <w:t>nejpozději</w:t>
      </w:r>
      <w:r>
        <w:t xml:space="preserve"> </w:t>
      </w:r>
      <w:r w:rsidRPr="00A8646F">
        <w:t>do</w:t>
      </w:r>
      <w:r>
        <w:t xml:space="preserve"> </w:t>
      </w:r>
      <w:r w:rsidRPr="00A8646F">
        <w:t>6</w:t>
      </w:r>
      <w:r>
        <w:t xml:space="preserve"> </w:t>
      </w:r>
      <w:r w:rsidRPr="00A8646F">
        <w:t>měsíců</w:t>
      </w:r>
      <w:r>
        <w:t xml:space="preserve"> </w:t>
      </w:r>
      <w:r w:rsidRPr="00A8646F">
        <w:t>po</w:t>
      </w:r>
      <w:r>
        <w:t xml:space="preserve"> </w:t>
      </w:r>
      <w:r w:rsidRPr="00A8646F">
        <w:t>skončení</w:t>
      </w:r>
      <w:r>
        <w:t xml:space="preserve"> </w:t>
      </w:r>
      <w:r w:rsidRPr="00A8646F">
        <w:t>hodnoceného</w:t>
      </w:r>
      <w:r>
        <w:t xml:space="preserve"> </w:t>
      </w:r>
      <w:r w:rsidRPr="00A8646F">
        <w:t>období.</w:t>
      </w:r>
      <w:r>
        <w:t xml:space="preserve"> </w:t>
      </w:r>
      <w:r w:rsidRPr="00A8646F">
        <w:t>Hodnoceným</w:t>
      </w:r>
      <w:r>
        <w:t xml:space="preserve"> </w:t>
      </w:r>
      <w:r w:rsidRPr="00A8646F">
        <w:t>obdobím</w:t>
      </w:r>
      <w:r>
        <w:t xml:space="preserve"> </w:t>
      </w:r>
      <w:r w:rsidRPr="00A8646F">
        <w:t>je</w:t>
      </w:r>
      <w:r>
        <w:t xml:space="preserve"> </w:t>
      </w:r>
      <w:r w:rsidRPr="00A8646F">
        <w:t>kalendářní</w:t>
      </w:r>
      <w:r>
        <w:t xml:space="preserve"> </w:t>
      </w:r>
      <w:r w:rsidRPr="00A8646F">
        <w:t>rok.</w:t>
      </w:r>
    </w:p>
    <w:p w14:paraId="2729F409" w14:textId="77777777" w:rsidR="001A3465" w:rsidRDefault="001A3465" w:rsidP="00180250">
      <w:pPr>
        <w:pStyle w:val="Textparagrafu"/>
        <w:numPr>
          <w:ilvl w:val="0"/>
          <w:numId w:val="27"/>
        </w:numPr>
        <w:tabs>
          <w:tab w:val="left" w:pos="392"/>
          <w:tab w:val="left" w:pos="840"/>
        </w:tabs>
        <w:spacing w:before="120" w:after="120"/>
        <w:ind w:firstLine="425"/>
      </w:pPr>
      <w:r w:rsidRPr="00A8646F">
        <w:t>(2)</w:t>
      </w:r>
      <w:r>
        <w:t xml:space="preserve"> </w:t>
      </w:r>
      <w:r w:rsidRPr="00A8646F">
        <w:t>První</w:t>
      </w:r>
      <w:r>
        <w:t xml:space="preserve"> </w:t>
      </w:r>
      <w:r w:rsidRPr="00A8646F">
        <w:t>výroční</w:t>
      </w:r>
      <w:r>
        <w:t xml:space="preserve"> </w:t>
      </w:r>
      <w:r w:rsidRPr="00A8646F">
        <w:t>zprávu</w:t>
      </w:r>
      <w:r>
        <w:t xml:space="preserve"> </w:t>
      </w:r>
      <w:r w:rsidRPr="00A8646F">
        <w:t>po</w:t>
      </w:r>
      <w:r>
        <w:t xml:space="preserve"> </w:t>
      </w:r>
      <w:r w:rsidRPr="00A8646F">
        <w:t>svém</w:t>
      </w:r>
      <w:r>
        <w:t xml:space="preserve"> </w:t>
      </w:r>
      <w:r w:rsidRPr="00A8646F">
        <w:t>vzniku</w:t>
      </w:r>
      <w:r>
        <w:t xml:space="preserve"> </w:t>
      </w:r>
      <w:r w:rsidRPr="00A8646F">
        <w:t>zveřejní</w:t>
      </w:r>
      <w:r>
        <w:t xml:space="preserve"> </w:t>
      </w:r>
      <w:r w:rsidRPr="00A8646F">
        <w:t>veřejná</w:t>
      </w:r>
      <w:r>
        <w:t xml:space="preserve"> </w:t>
      </w:r>
      <w:r w:rsidRPr="00A8646F">
        <w:t>výzkumná</w:t>
      </w:r>
      <w:r>
        <w:t xml:space="preserve"> </w:t>
      </w:r>
      <w:r w:rsidRPr="00A8646F">
        <w:t>instituce</w:t>
      </w:r>
      <w:r>
        <w:t xml:space="preserve"> </w:t>
      </w:r>
      <w:r w:rsidRPr="00A8646F">
        <w:t>nejpozději</w:t>
      </w:r>
      <w:r>
        <w:t xml:space="preserve"> </w:t>
      </w:r>
      <w:r w:rsidRPr="00A8646F">
        <w:t>do</w:t>
      </w:r>
      <w:r>
        <w:t xml:space="preserve"> </w:t>
      </w:r>
      <w:r w:rsidRPr="00A8646F">
        <w:t>6</w:t>
      </w:r>
      <w:r>
        <w:t xml:space="preserve"> </w:t>
      </w:r>
      <w:r w:rsidRPr="00A8646F">
        <w:t>měsíců</w:t>
      </w:r>
      <w:r>
        <w:t xml:space="preserve"> </w:t>
      </w:r>
      <w:r w:rsidRPr="00A8646F">
        <w:t>od</w:t>
      </w:r>
      <w:r>
        <w:t xml:space="preserve"> </w:t>
      </w:r>
      <w:r w:rsidRPr="00A8646F">
        <w:t>počátku</w:t>
      </w:r>
      <w:r>
        <w:t xml:space="preserve"> </w:t>
      </w:r>
      <w:r w:rsidRPr="00A8646F">
        <w:t>kalendářního</w:t>
      </w:r>
      <w:r>
        <w:t xml:space="preserve"> </w:t>
      </w:r>
      <w:r w:rsidRPr="00A8646F">
        <w:t>roku</w:t>
      </w:r>
      <w:r>
        <w:t xml:space="preserve"> </w:t>
      </w:r>
      <w:r w:rsidRPr="00A8646F">
        <w:t>následujícího</w:t>
      </w:r>
      <w:r>
        <w:t xml:space="preserve"> </w:t>
      </w:r>
      <w:r w:rsidRPr="00A8646F">
        <w:t>po</w:t>
      </w:r>
      <w:r>
        <w:t xml:space="preserve"> </w:t>
      </w:r>
      <w:r w:rsidRPr="00A8646F">
        <w:t>vzniku</w:t>
      </w:r>
      <w:r>
        <w:t xml:space="preserve"> </w:t>
      </w:r>
      <w:r w:rsidRPr="00A8646F">
        <w:t>veřejné</w:t>
      </w:r>
      <w:r>
        <w:t xml:space="preserve"> </w:t>
      </w:r>
      <w:r w:rsidRPr="00A8646F">
        <w:t>výzkumné</w:t>
      </w:r>
      <w:r>
        <w:t xml:space="preserve"> </w:t>
      </w:r>
      <w:r w:rsidRPr="00A8646F">
        <w:t>instituce.</w:t>
      </w:r>
      <w:r>
        <w:t xml:space="preserve"> </w:t>
      </w:r>
      <w:r w:rsidRPr="00A8646F">
        <w:t>Pouze</w:t>
      </w:r>
      <w:r>
        <w:t xml:space="preserve"> </w:t>
      </w:r>
      <w:r w:rsidRPr="00A8646F">
        <w:t>v</w:t>
      </w:r>
      <w:r>
        <w:t xml:space="preserve"> </w:t>
      </w:r>
      <w:r w:rsidRPr="00A8646F">
        <w:t>případě,</w:t>
      </w:r>
      <w:r>
        <w:t xml:space="preserve"> </w:t>
      </w:r>
      <w:r w:rsidRPr="00A8646F">
        <w:t>že</w:t>
      </w:r>
      <w:r>
        <w:t xml:space="preserve"> </w:t>
      </w:r>
      <w:r w:rsidRPr="00A8646F">
        <w:t>činnost</w:t>
      </w:r>
      <w:r>
        <w:t xml:space="preserve"> </w:t>
      </w:r>
      <w:r w:rsidRPr="00A8646F">
        <w:t>veřejné</w:t>
      </w:r>
      <w:r>
        <w:t xml:space="preserve"> </w:t>
      </w:r>
      <w:r w:rsidRPr="00A8646F">
        <w:t>výzkumné</w:t>
      </w:r>
      <w:r>
        <w:t xml:space="preserve"> </w:t>
      </w:r>
      <w:r w:rsidRPr="00A8646F">
        <w:t>instituce</w:t>
      </w:r>
      <w:r>
        <w:t xml:space="preserve"> </w:t>
      </w:r>
      <w:r w:rsidRPr="00A8646F">
        <w:t>v</w:t>
      </w:r>
      <w:r>
        <w:t xml:space="preserve"> </w:t>
      </w:r>
      <w:r w:rsidRPr="00A8646F">
        <w:t>roce</w:t>
      </w:r>
      <w:r>
        <w:t xml:space="preserve"> </w:t>
      </w:r>
      <w:r w:rsidRPr="00A8646F">
        <w:t>jejího</w:t>
      </w:r>
      <w:r>
        <w:t xml:space="preserve"> </w:t>
      </w:r>
      <w:r w:rsidRPr="00A8646F">
        <w:t>vzniku</w:t>
      </w:r>
      <w:r>
        <w:t xml:space="preserve"> </w:t>
      </w:r>
      <w:r w:rsidRPr="00A8646F">
        <w:t>je</w:t>
      </w:r>
      <w:r>
        <w:t xml:space="preserve"> </w:t>
      </w:r>
      <w:r w:rsidRPr="00A8646F">
        <w:t>kratší</w:t>
      </w:r>
      <w:r>
        <w:t xml:space="preserve"> </w:t>
      </w:r>
      <w:r w:rsidRPr="00A8646F">
        <w:t>než</w:t>
      </w:r>
      <w:r>
        <w:t xml:space="preserve"> </w:t>
      </w:r>
      <w:r w:rsidRPr="00A8646F">
        <w:t>6</w:t>
      </w:r>
      <w:r>
        <w:t xml:space="preserve"> </w:t>
      </w:r>
      <w:r w:rsidRPr="00A8646F">
        <w:t>měsíců,</w:t>
      </w:r>
      <w:r>
        <w:t xml:space="preserve"> </w:t>
      </w:r>
      <w:r w:rsidRPr="00A8646F">
        <w:t>prodlužuje</w:t>
      </w:r>
      <w:r>
        <w:t xml:space="preserve"> </w:t>
      </w:r>
      <w:r w:rsidRPr="00A8646F">
        <w:t>se</w:t>
      </w:r>
      <w:r>
        <w:t xml:space="preserve"> </w:t>
      </w:r>
      <w:r w:rsidRPr="00A8646F">
        <w:t>tato</w:t>
      </w:r>
      <w:r>
        <w:t xml:space="preserve"> </w:t>
      </w:r>
      <w:r w:rsidRPr="00A8646F">
        <w:t>lhůta</w:t>
      </w:r>
      <w:r>
        <w:t xml:space="preserve"> </w:t>
      </w:r>
      <w:r w:rsidRPr="00A8646F">
        <w:t>o</w:t>
      </w:r>
      <w:r>
        <w:t xml:space="preserve"> </w:t>
      </w:r>
      <w:r w:rsidRPr="00A8646F">
        <w:t>1</w:t>
      </w:r>
      <w:r>
        <w:t xml:space="preserve"> </w:t>
      </w:r>
      <w:r w:rsidRPr="00A8646F">
        <w:t>rok.</w:t>
      </w:r>
    </w:p>
    <w:p w14:paraId="0F83C49B" w14:textId="77777777" w:rsidR="001A3465" w:rsidRDefault="001A3465" w:rsidP="00180250">
      <w:pPr>
        <w:pStyle w:val="Textparagrafu"/>
        <w:numPr>
          <w:ilvl w:val="0"/>
          <w:numId w:val="27"/>
        </w:numPr>
        <w:tabs>
          <w:tab w:val="left" w:pos="392"/>
          <w:tab w:val="left" w:pos="840"/>
        </w:tabs>
        <w:spacing w:before="120" w:after="120"/>
        <w:ind w:firstLine="425"/>
      </w:pPr>
      <w:r w:rsidRPr="00A8646F">
        <w:t>(3)</w:t>
      </w:r>
      <w:r>
        <w:t xml:space="preserve"> </w:t>
      </w:r>
      <w:r w:rsidRPr="00A8646F">
        <w:t>Výroční</w:t>
      </w:r>
      <w:r>
        <w:t xml:space="preserve"> </w:t>
      </w:r>
      <w:r w:rsidRPr="00A8646F">
        <w:t>zprávu</w:t>
      </w:r>
      <w:r>
        <w:t xml:space="preserve"> </w:t>
      </w:r>
      <w:r w:rsidRPr="00A8646F">
        <w:t>zveřejňuje</w:t>
      </w:r>
      <w:r>
        <w:t xml:space="preserve"> </w:t>
      </w:r>
      <w:r w:rsidRPr="00A8646F">
        <w:t>veřejná</w:t>
      </w:r>
      <w:r>
        <w:t xml:space="preserve"> </w:t>
      </w:r>
      <w:r w:rsidRPr="00A8646F">
        <w:t>výzkumná</w:t>
      </w:r>
      <w:r>
        <w:t xml:space="preserve"> </w:t>
      </w:r>
      <w:r w:rsidRPr="00A8646F">
        <w:t>instituce</w:t>
      </w:r>
      <w:r>
        <w:t xml:space="preserve"> </w:t>
      </w:r>
      <w:r w:rsidRPr="00A8646F">
        <w:t>prostřednictvím</w:t>
      </w:r>
      <w:r>
        <w:t xml:space="preserve"> </w:t>
      </w:r>
      <w:r w:rsidRPr="00A8646F">
        <w:t>jejího</w:t>
      </w:r>
      <w:r>
        <w:t xml:space="preserve"> </w:t>
      </w:r>
      <w:r w:rsidRPr="00A8646F">
        <w:t>uložení</w:t>
      </w:r>
      <w:r>
        <w:t xml:space="preserve"> </w:t>
      </w:r>
      <w:r w:rsidRPr="00A8646F">
        <w:t>ve</w:t>
      </w:r>
      <w:r>
        <w:t xml:space="preserve"> </w:t>
      </w:r>
      <w:r w:rsidRPr="00A8646F">
        <w:t>sbírce</w:t>
      </w:r>
      <w:r>
        <w:t xml:space="preserve"> </w:t>
      </w:r>
      <w:r w:rsidRPr="00A8646F">
        <w:t>listin</w:t>
      </w:r>
      <w:r>
        <w:t xml:space="preserve"> </w:t>
      </w:r>
      <w:r w:rsidRPr="00A8646F">
        <w:t>rejstříku</w:t>
      </w:r>
      <w:r>
        <w:t xml:space="preserve"> </w:t>
      </w:r>
      <w:r w:rsidRPr="00A8646F">
        <w:t>veřejných</w:t>
      </w:r>
      <w:r>
        <w:t xml:space="preserve"> </w:t>
      </w:r>
      <w:r w:rsidRPr="00A8646F">
        <w:t>výzkumných</w:t>
      </w:r>
      <w:r>
        <w:t xml:space="preserve"> </w:t>
      </w:r>
      <w:r w:rsidRPr="00A8646F">
        <w:t>institucí</w:t>
      </w:r>
      <w:r>
        <w:t xml:space="preserve"> </w:t>
      </w:r>
      <w:r w:rsidRPr="00A8646F">
        <w:t>a</w:t>
      </w:r>
      <w:r>
        <w:t xml:space="preserve"> </w:t>
      </w:r>
      <w:r w:rsidRPr="00A8646F">
        <w:t>zároveň</w:t>
      </w:r>
      <w:r>
        <w:t xml:space="preserve"> </w:t>
      </w:r>
      <w:r w:rsidRPr="00A8646F">
        <w:t>prostřednictvím</w:t>
      </w:r>
      <w:r>
        <w:t xml:space="preserve"> </w:t>
      </w:r>
      <w:r w:rsidRPr="00A8646F">
        <w:t>veřejné</w:t>
      </w:r>
      <w:r>
        <w:t xml:space="preserve"> </w:t>
      </w:r>
      <w:r w:rsidRPr="00A8646F">
        <w:t>informační</w:t>
      </w:r>
      <w:r>
        <w:t xml:space="preserve"> </w:t>
      </w:r>
      <w:r w:rsidRPr="00A8646F">
        <w:t>sítě.</w:t>
      </w:r>
    </w:p>
    <w:p w14:paraId="4D1A1EC9" w14:textId="77777777" w:rsidR="001A3465" w:rsidRDefault="001A3465" w:rsidP="00180250">
      <w:pPr>
        <w:pStyle w:val="Textparagrafu"/>
        <w:numPr>
          <w:ilvl w:val="0"/>
          <w:numId w:val="27"/>
        </w:numPr>
        <w:tabs>
          <w:tab w:val="left" w:pos="392"/>
          <w:tab w:val="left" w:pos="840"/>
        </w:tabs>
        <w:spacing w:before="120" w:after="120"/>
        <w:ind w:firstLine="425"/>
      </w:pPr>
      <w:r w:rsidRPr="00A8646F">
        <w:t>(4)</w:t>
      </w:r>
      <w:r>
        <w:t xml:space="preserve"> </w:t>
      </w:r>
      <w:r w:rsidRPr="00A8646F">
        <w:t>Výroční</w:t>
      </w:r>
      <w:r>
        <w:t xml:space="preserve"> </w:t>
      </w:r>
      <w:r w:rsidRPr="00A8646F">
        <w:t>zpráva</w:t>
      </w:r>
      <w:r>
        <w:t xml:space="preserve"> </w:t>
      </w:r>
      <w:r w:rsidRPr="00A8646F">
        <w:t>obsahuje</w:t>
      </w:r>
    </w:p>
    <w:p w14:paraId="7E1BF2DC" w14:textId="77777777" w:rsidR="001A3465" w:rsidRDefault="001A3465" w:rsidP="00AB5ED2">
      <w:pPr>
        <w:pStyle w:val="Textparagrafu"/>
        <w:numPr>
          <w:ilvl w:val="0"/>
          <w:numId w:val="27"/>
        </w:numPr>
        <w:tabs>
          <w:tab w:val="left" w:pos="392"/>
          <w:tab w:val="left" w:pos="840"/>
        </w:tabs>
        <w:spacing w:before="0"/>
        <w:ind w:left="426" w:hanging="426"/>
      </w:pPr>
      <w:r w:rsidRPr="00A8646F">
        <w:t>a)</w:t>
      </w:r>
      <w:r>
        <w:tab/>
      </w:r>
      <w:r w:rsidRPr="00A8646F">
        <w:t>informace</w:t>
      </w:r>
      <w:r>
        <w:t xml:space="preserve"> </w:t>
      </w:r>
      <w:r w:rsidRPr="00A8646F">
        <w:t>o</w:t>
      </w:r>
      <w:r>
        <w:t xml:space="preserve"> </w:t>
      </w:r>
      <w:r w:rsidRPr="00A8646F">
        <w:t>složení</w:t>
      </w:r>
      <w:r>
        <w:t xml:space="preserve"> </w:t>
      </w:r>
      <w:r w:rsidRPr="00A8646F">
        <w:t>orgánů</w:t>
      </w:r>
      <w:r>
        <w:t xml:space="preserve"> </w:t>
      </w:r>
      <w:r w:rsidRPr="00A8646F">
        <w:t>veřejné</w:t>
      </w:r>
      <w:r>
        <w:t xml:space="preserve"> </w:t>
      </w:r>
      <w:r w:rsidRPr="00A8646F">
        <w:t>výzkumné</w:t>
      </w:r>
      <w:r>
        <w:t xml:space="preserve"> </w:t>
      </w:r>
      <w:r w:rsidRPr="00A8646F">
        <w:t>instituce</w:t>
      </w:r>
      <w:r>
        <w:t xml:space="preserve"> </w:t>
      </w:r>
      <w:r w:rsidRPr="00A8646F">
        <w:t>a</w:t>
      </w:r>
      <w:r>
        <w:t xml:space="preserve"> </w:t>
      </w:r>
      <w:r w:rsidRPr="00A8646F">
        <w:t>o</w:t>
      </w:r>
      <w:r>
        <w:t xml:space="preserve"> </w:t>
      </w:r>
      <w:r w:rsidRPr="00A8646F">
        <w:t>jejich</w:t>
      </w:r>
      <w:r>
        <w:t xml:space="preserve"> </w:t>
      </w:r>
      <w:r w:rsidRPr="00A8646F">
        <w:t>činnosti</w:t>
      </w:r>
      <w:r>
        <w:t xml:space="preserve"> </w:t>
      </w:r>
      <w:r w:rsidRPr="00A8646F">
        <w:t>či</w:t>
      </w:r>
      <w:r>
        <w:t xml:space="preserve"> </w:t>
      </w:r>
      <w:r w:rsidRPr="00A8646F">
        <w:t>o</w:t>
      </w:r>
      <w:r>
        <w:t xml:space="preserve"> </w:t>
      </w:r>
      <w:r w:rsidRPr="00A8646F">
        <w:t>jejich</w:t>
      </w:r>
      <w:r>
        <w:t xml:space="preserve"> </w:t>
      </w:r>
      <w:r w:rsidRPr="00A8646F">
        <w:t>změnách,</w:t>
      </w:r>
    </w:p>
    <w:p w14:paraId="1140ED11" w14:textId="77777777" w:rsidR="001A3465" w:rsidRDefault="001A3465" w:rsidP="00AB5ED2">
      <w:pPr>
        <w:pStyle w:val="Textparagrafu"/>
        <w:numPr>
          <w:ilvl w:val="0"/>
          <w:numId w:val="27"/>
        </w:numPr>
        <w:tabs>
          <w:tab w:val="left" w:pos="392"/>
          <w:tab w:val="left" w:pos="840"/>
        </w:tabs>
        <w:spacing w:before="0"/>
        <w:ind w:left="426" w:hanging="426"/>
      </w:pPr>
      <w:r w:rsidRPr="00A8646F">
        <w:t>b)</w:t>
      </w:r>
      <w:r>
        <w:tab/>
      </w:r>
      <w:r w:rsidRPr="00A8646F">
        <w:t>informace</w:t>
      </w:r>
      <w:r>
        <w:t xml:space="preserve"> </w:t>
      </w:r>
      <w:r w:rsidRPr="00A8646F">
        <w:t>o</w:t>
      </w:r>
      <w:r>
        <w:t xml:space="preserve"> </w:t>
      </w:r>
      <w:r w:rsidRPr="00A8646F">
        <w:t>změnách</w:t>
      </w:r>
      <w:r>
        <w:t xml:space="preserve"> </w:t>
      </w:r>
      <w:r w:rsidRPr="00A8646F">
        <w:t>zřizovací</w:t>
      </w:r>
      <w:r>
        <w:t xml:space="preserve"> </w:t>
      </w:r>
      <w:r w:rsidRPr="00A8646F">
        <w:t>listiny,</w:t>
      </w:r>
    </w:p>
    <w:p w14:paraId="02D3647F" w14:textId="77777777" w:rsidR="001A3465" w:rsidRDefault="001A3465" w:rsidP="00AB5ED2">
      <w:pPr>
        <w:pStyle w:val="Textparagrafu"/>
        <w:numPr>
          <w:ilvl w:val="0"/>
          <w:numId w:val="27"/>
        </w:numPr>
        <w:tabs>
          <w:tab w:val="left" w:pos="392"/>
          <w:tab w:val="left" w:pos="840"/>
        </w:tabs>
        <w:spacing w:before="0"/>
        <w:ind w:left="426" w:hanging="426"/>
      </w:pPr>
      <w:r w:rsidRPr="00A8646F">
        <w:t>c)</w:t>
      </w:r>
      <w:r>
        <w:tab/>
      </w:r>
      <w:r w:rsidRPr="00A8646F">
        <w:t>hodnocení</w:t>
      </w:r>
      <w:r>
        <w:t xml:space="preserve"> </w:t>
      </w:r>
      <w:r w:rsidRPr="00A8646F">
        <w:t>hlavní</w:t>
      </w:r>
      <w:r>
        <w:t xml:space="preserve"> </w:t>
      </w:r>
      <w:r w:rsidRPr="00A8646F">
        <w:t>činnosti,</w:t>
      </w:r>
    </w:p>
    <w:p w14:paraId="02C2FBE9" w14:textId="77777777" w:rsidR="001A3465" w:rsidRDefault="001A3465" w:rsidP="00AB5ED2">
      <w:pPr>
        <w:pStyle w:val="Textparagrafu"/>
        <w:numPr>
          <w:ilvl w:val="0"/>
          <w:numId w:val="27"/>
        </w:numPr>
        <w:tabs>
          <w:tab w:val="left" w:pos="392"/>
          <w:tab w:val="left" w:pos="840"/>
        </w:tabs>
        <w:spacing w:before="0"/>
        <w:ind w:left="426" w:hanging="426"/>
      </w:pPr>
      <w:r w:rsidRPr="00A8646F">
        <w:t>d)</w:t>
      </w:r>
      <w:r>
        <w:tab/>
      </w:r>
      <w:r w:rsidRPr="00A8646F">
        <w:t>hodnocení</w:t>
      </w:r>
      <w:r>
        <w:t xml:space="preserve"> </w:t>
      </w:r>
      <w:r w:rsidRPr="00A8646F">
        <w:t>další</w:t>
      </w:r>
      <w:r>
        <w:t xml:space="preserve"> </w:t>
      </w:r>
      <w:r w:rsidRPr="00A8646F">
        <w:t>a</w:t>
      </w:r>
      <w:r>
        <w:t xml:space="preserve"> </w:t>
      </w:r>
      <w:r w:rsidRPr="00A8646F">
        <w:t>jiné</w:t>
      </w:r>
      <w:r>
        <w:t xml:space="preserve"> </w:t>
      </w:r>
      <w:r w:rsidRPr="00A8646F">
        <w:t>činnosti,</w:t>
      </w:r>
    </w:p>
    <w:p w14:paraId="0D46CDBA" w14:textId="77777777" w:rsidR="001A3465" w:rsidRDefault="001A3465" w:rsidP="00AB5ED2">
      <w:pPr>
        <w:pStyle w:val="Textparagrafu"/>
        <w:numPr>
          <w:ilvl w:val="0"/>
          <w:numId w:val="27"/>
        </w:numPr>
        <w:tabs>
          <w:tab w:val="left" w:pos="392"/>
          <w:tab w:val="left" w:pos="840"/>
        </w:tabs>
        <w:spacing w:before="0"/>
        <w:ind w:left="426" w:hanging="426"/>
      </w:pPr>
      <w:r w:rsidRPr="00A8646F">
        <w:t>e)</w:t>
      </w:r>
      <w:r>
        <w:tab/>
      </w:r>
      <w:r w:rsidRPr="00A8646F">
        <w:t>informace</w:t>
      </w:r>
      <w:r>
        <w:t xml:space="preserve"> </w:t>
      </w:r>
      <w:r w:rsidRPr="00A8646F">
        <w:t>o</w:t>
      </w:r>
      <w:r>
        <w:t xml:space="preserve"> </w:t>
      </w:r>
      <w:r w:rsidRPr="00A8646F">
        <w:t>opatřeních</w:t>
      </w:r>
      <w:r>
        <w:t xml:space="preserve"> </w:t>
      </w:r>
      <w:r w:rsidRPr="00A8646F">
        <w:t>k</w:t>
      </w:r>
      <w:r>
        <w:t xml:space="preserve"> </w:t>
      </w:r>
      <w:r w:rsidRPr="00A8646F">
        <w:t>odstranění</w:t>
      </w:r>
      <w:r>
        <w:t xml:space="preserve"> </w:t>
      </w:r>
      <w:r w:rsidRPr="00A8646F">
        <w:t>nedostatků</w:t>
      </w:r>
      <w:r>
        <w:t xml:space="preserve"> </w:t>
      </w:r>
      <w:r w:rsidRPr="00A8646F">
        <w:t>v</w:t>
      </w:r>
      <w:r>
        <w:t xml:space="preserve"> </w:t>
      </w:r>
      <w:r w:rsidRPr="00A8646F">
        <w:t>hospodaření</w:t>
      </w:r>
      <w:r>
        <w:t xml:space="preserve"> </w:t>
      </w:r>
      <w:r w:rsidRPr="00A8646F">
        <w:t>a</w:t>
      </w:r>
      <w:r>
        <w:t xml:space="preserve"> </w:t>
      </w:r>
      <w:r w:rsidRPr="00A8646F">
        <w:t>zprávu,</w:t>
      </w:r>
      <w:r>
        <w:t xml:space="preserve"> </w:t>
      </w:r>
      <w:r w:rsidRPr="00A8646F">
        <w:t>jak</w:t>
      </w:r>
      <w:r>
        <w:t xml:space="preserve"> </w:t>
      </w:r>
      <w:r w:rsidRPr="00A8646F">
        <w:t>byla</w:t>
      </w:r>
      <w:r>
        <w:t xml:space="preserve"> </w:t>
      </w:r>
      <w:r w:rsidRPr="00A8646F">
        <w:t>splněna</w:t>
      </w:r>
      <w:r>
        <w:t xml:space="preserve"> </w:t>
      </w:r>
      <w:r w:rsidRPr="00A8646F">
        <w:t>opatření</w:t>
      </w:r>
      <w:r>
        <w:t xml:space="preserve"> </w:t>
      </w:r>
      <w:r w:rsidRPr="00A8646F">
        <w:t>k</w:t>
      </w:r>
      <w:r>
        <w:t xml:space="preserve"> </w:t>
      </w:r>
      <w:r w:rsidRPr="00A8646F">
        <w:t>odstranění</w:t>
      </w:r>
      <w:r>
        <w:t xml:space="preserve"> </w:t>
      </w:r>
      <w:r w:rsidRPr="00A8646F">
        <w:t>nedostatků</w:t>
      </w:r>
      <w:r>
        <w:t xml:space="preserve"> </w:t>
      </w:r>
      <w:r w:rsidRPr="00A8646F">
        <w:t>uložená</w:t>
      </w:r>
      <w:r>
        <w:t xml:space="preserve"> </w:t>
      </w:r>
      <w:r w:rsidRPr="00A8646F">
        <w:t>v</w:t>
      </w:r>
      <w:r>
        <w:t xml:space="preserve"> </w:t>
      </w:r>
      <w:r w:rsidRPr="00A8646F">
        <w:t>předchozím</w:t>
      </w:r>
      <w:r>
        <w:t xml:space="preserve"> </w:t>
      </w:r>
      <w:r w:rsidRPr="00A8646F">
        <w:t>roce,</w:t>
      </w:r>
    </w:p>
    <w:p w14:paraId="704F05E5" w14:textId="77777777" w:rsidR="001A3465" w:rsidRDefault="001A3465" w:rsidP="00AB5ED2">
      <w:pPr>
        <w:pStyle w:val="Textparagrafu"/>
        <w:numPr>
          <w:ilvl w:val="0"/>
          <w:numId w:val="27"/>
        </w:numPr>
        <w:tabs>
          <w:tab w:val="left" w:pos="392"/>
          <w:tab w:val="left" w:pos="840"/>
        </w:tabs>
        <w:spacing w:before="0"/>
        <w:ind w:left="426" w:hanging="426"/>
      </w:pPr>
      <w:r w:rsidRPr="00A8646F">
        <w:t>f)</w:t>
      </w:r>
      <w:r>
        <w:tab/>
      </w:r>
      <w:r w:rsidRPr="00A8646F">
        <w:t>stanoviska</w:t>
      </w:r>
      <w:r>
        <w:t xml:space="preserve"> </w:t>
      </w:r>
      <w:r w:rsidRPr="00A8646F">
        <w:t>dozorčí</w:t>
      </w:r>
      <w:r>
        <w:t xml:space="preserve"> </w:t>
      </w:r>
      <w:r w:rsidRPr="00A8646F">
        <w:t>rady,</w:t>
      </w:r>
    </w:p>
    <w:p w14:paraId="22A216A7" w14:textId="0CA88BDA" w:rsidR="001A3465" w:rsidRDefault="001A3465" w:rsidP="00AB5ED2">
      <w:pPr>
        <w:pStyle w:val="Textparagrafu"/>
        <w:numPr>
          <w:ilvl w:val="0"/>
          <w:numId w:val="27"/>
        </w:numPr>
        <w:tabs>
          <w:tab w:val="left" w:pos="392"/>
          <w:tab w:val="left" w:pos="840"/>
        </w:tabs>
        <w:spacing w:before="0"/>
        <w:ind w:left="426" w:hanging="426"/>
        <w:rPr>
          <w:strike/>
        </w:rPr>
      </w:pPr>
      <w:r w:rsidRPr="0042621F">
        <w:rPr>
          <w:strike/>
        </w:rPr>
        <w:t>g)</w:t>
      </w:r>
      <w:r w:rsidRPr="0042621F">
        <w:rPr>
          <w:strike/>
        </w:rPr>
        <w:tab/>
        <w:t>další skutečnosti požadované zvláštním právním předpisem</w:t>
      </w:r>
      <w:r w:rsidRPr="0042621F">
        <w:rPr>
          <w:rStyle w:val="Znakapoznpodarou"/>
          <w:strike/>
        </w:rPr>
        <w:footnoteReference w:customMarkFollows="1" w:id="486"/>
        <w:t>30)</w:t>
      </w:r>
      <w:r w:rsidRPr="0042621F">
        <w:rPr>
          <w:strike/>
        </w:rPr>
        <w:t>.</w:t>
      </w:r>
    </w:p>
    <w:p w14:paraId="3909EADC" w14:textId="5D5D40FB" w:rsidR="0042621F" w:rsidRPr="0042621F" w:rsidRDefault="0042621F" w:rsidP="00AB5ED2">
      <w:pPr>
        <w:pStyle w:val="Textparagrafu"/>
        <w:numPr>
          <w:ilvl w:val="0"/>
          <w:numId w:val="27"/>
        </w:numPr>
        <w:tabs>
          <w:tab w:val="left" w:pos="392"/>
          <w:tab w:val="left" w:pos="840"/>
        </w:tabs>
        <w:spacing w:before="0"/>
        <w:ind w:left="426" w:hanging="426"/>
        <w:rPr>
          <w:strike/>
        </w:rPr>
      </w:pPr>
      <w:r w:rsidRPr="0042621F">
        <w:t>g)</w:t>
      </w:r>
      <w:r w:rsidRPr="0042621F">
        <w:tab/>
      </w:r>
      <w:r w:rsidRPr="00AD64BA">
        <w:rPr>
          <w:b/>
          <w:shd w:val="clear" w:color="auto" w:fill="FFFFFF"/>
        </w:rPr>
        <w:t>další skutečnosti požadované zvláštním právním předpisem</w:t>
      </w:r>
      <w:r>
        <w:rPr>
          <w:b/>
          <w:shd w:val="clear" w:color="auto" w:fill="FFFFFF"/>
          <w:vertAlign w:val="superscript"/>
        </w:rPr>
        <w:t>30</w:t>
      </w:r>
      <w:r w:rsidRPr="00AD64BA">
        <w:rPr>
          <w:b/>
          <w:shd w:val="clear" w:color="auto" w:fill="FFFFFF"/>
          <w:vertAlign w:val="superscript"/>
        </w:rPr>
        <w:t>)</w:t>
      </w:r>
      <w:r>
        <w:rPr>
          <w:b/>
          <w:shd w:val="clear" w:color="auto" w:fill="FFFFFF"/>
          <w:vertAlign w:val="superscript"/>
        </w:rPr>
        <w:t xml:space="preserve"> </w:t>
      </w:r>
      <w:r w:rsidRPr="00AD64BA">
        <w:rPr>
          <w:b/>
          <w:bCs/>
          <w:shd w:val="clear" w:color="auto" w:fill="FFFFFF"/>
        </w:rPr>
        <w:t>pro individuální zprávu vedení</w:t>
      </w:r>
      <w:r>
        <w:rPr>
          <w:b/>
          <w:bCs/>
          <w:shd w:val="clear" w:color="auto" w:fill="FFFFFF"/>
        </w:rPr>
        <w:t>.</w:t>
      </w:r>
    </w:p>
    <w:p w14:paraId="1EEAD8FE" w14:textId="77777777" w:rsidR="00630285" w:rsidRDefault="00630285" w:rsidP="001A3465">
      <w:pPr>
        <w:pStyle w:val="Textparagrafu"/>
        <w:numPr>
          <w:ilvl w:val="0"/>
          <w:numId w:val="27"/>
        </w:numPr>
        <w:tabs>
          <w:tab w:val="left" w:pos="392"/>
          <w:tab w:val="left" w:pos="840"/>
        </w:tabs>
        <w:spacing w:after="120"/>
        <w:jc w:val="center"/>
        <w:sectPr w:rsidR="00630285" w:rsidSect="00554E2B">
          <w:footnotePr>
            <w:numStart w:val="3"/>
          </w:footnotePr>
          <w:endnotePr>
            <w:numFmt w:val="decimal"/>
          </w:endnotePr>
          <w:pgSz w:w="11906" w:h="16838"/>
          <w:pgMar w:top="1418" w:right="1418" w:bottom="1418" w:left="1418" w:header="709" w:footer="709" w:gutter="0"/>
          <w:cols w:space="708"/>
          <w:docGrid w:linePitch="360"/>
        </w:sectPr>
      </w:pPr>
    </w:p>
    <w:p w14:paraId="3293523B" w14:textId="42373E88" w:rsidR="00630285" w:rsidRPr="009F07AC" w:rsidRDefault="00630285" w:rsidP="00180250">
      <w:pPr>
        <w:tabs>
          <w:tab w:val="left" w:pos="851"/>
        </w:tabs>
        <w:spacing w:before="120" w:after="120"/>
        <w:ind w:firstLine="0"/>
        <w:jc w:val="center"/>
        <w:outlineLvl w:val="0"/>
        <w:rPr>
          <w:szCs w:val="24"/>
        </w:rPr>
      </w:pPr>
      <w:r w:rsidRPr="009F07AC">
        <w:rPr>
          <w:b/>
          <w:szCs w:val="24"/>
        </w:rPr>
        <w:lastRenderedPageBreak/>
        <w:t xml:space="preserve">K části osmdesáté </w:t>
      </w:r>
      <w:r w:rsidR="00AB5ED2" w:rsidRPr="009F07AC">
        <w:rPr>
          <w:b/>
          <w:szCs w:val="24"/>
        </w:rPr>
        <w:t>šesté</w:t>
      </w:r>
      <w:r w:rsidRPr="009F07AC">
        <w:rPr>
          <w:b/>
          <w:szCs w:val="24"/>
        </w:rPr>
        <w:t xml:space="preserve"> návrhu zákona – </w:t>
      </w:r>
      <w:r w:rsidRPr="009F07AC">
        <w:rPr>
          <w:szCs w:val="24"/>
        </w:rPr>
        <w:t>změna zákona</w:t>
      </w:r>
      <w:r w:rsidRPr="009F07AC">
        <w:t xml:space="preserve"> </w:t>
      </w:r>
      <w:r w:rsidRPr="009F07AC">
        <w:rPr>
          <w:szCs w:val="24"/>
        </w:rPr>
        <w:t>o finančních konglomerátech</w:t>
      </w:r>
    </w:p>
    <w:p w14:paraId="58C65F9F" w14:textId="05A80DF9" w:rsidR="00630285" w:rsidRPr="009F07AC" w:rsidRDefault="00630285" w:rsidP="00630285">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9F07AC">
        <w:rPr>
          <w:b/>
          <w:szCs w:val="24"/>
        </w:rPr>
        <w:t>Platné znění</w:t>
      </w:r>
      <w:r w:rsidRPr="009F07AC">
        <w:rPr>
          <w:szCs w:val="24"/>
        </w:rPr>
        <w:t xml:space="preserve"> zákona č. 377/2005 Sb., o doplňkovém dohledu nad bankami, spořitelními a úvěrními družstvy, pojišťovnami a obchodníky s cennými papíry ve finančních konglomerátech a o změně některých dalších zákonů (zákon o finančních konglomerátech)</w:t>
      </w:r>
    </w:p>
    <w:p w14:paraId="4D4F4DD3" w14:textId="5C66CC55" w:rsidR="00630285" w:rsidRPr="009F07AC" w:rsidRDefault="00180250" w:rsidP="00630285">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AE4818">
        <w:rPr>
          <w:b/>
          <w:szCs w:val="24"/>
          <w:lang w:eastAsia="en-US"/>
        </w:rPr>
        <w:t>s vyznačením navrhovaných změn a doplnění k 1. lednu 2025</w:t>
      </w:r>
    </w:p>
    <w:p w14:paraId="440EB926" w14:textId="77777777" w:rsidR="00630285" w:rsidRPr="009F07AC" w:rsidRDefault="00630285" w:rsidP="00630285">
      <w:pPr>
        <w:pStyle w:val="Textparagrafu"/>
        <w:numPr>
          <w:ilvl w:val="0"/>
          <w:numId w:val="27"/>
        </w:numPr>
        <w:tabs>
          <w:tab w:val="left" w:pos="392"/>
          <w:tab w:val="left" w:pos="840"/>
        </w:tabs>
        <w:spacing w:after="120"/>
        <w:jc w:val="center"/>
      </w:pPr>
      <w:r w:rsidRPr="009F07AC">
        <w:t>***</w:t>
      </w:r>
    </w:p>
    <w:p w14:paraId="4888C1E2" w14:textId="77777777" w:rsidR="00AB5ED2" w:rsidRDefault="00AB5ED2" w:rsidP="00CC48CE">
      <w:pPr>
        <w:pStyle w:val="Paragraf"/>
        <w:numPr>
          <w:ilvl w:val="0"/>
          <w:numId w:val="27"/>
        </w:numPr>
        <w:spacing w:after="120"/>
      </w:pPr>
      <w:r>
        <w:t>§ 7</w:t>
      </w:r>
    </w:p>
    <w:p w14:paraId="4182D0AB" w14:textId="77777777" w:rsidR="00AB5ED2" w:rsidRDefault="00AB5ED2" w:rsidP="00CC48CE">
      <w:pPr>
        <w:pStyle w:val="Nadpisparagrafu"/>
        <w:spacing w:after="120"/>
      </w:pPr>
      <w:r>
        <w:t>Bilanční suma</w:t>
      </w:r>
    </w:p>
    <w:p w14:paraId="528C1A98" w14:textId="77777777" w:rsidR="00AB5ED2" w:rsidRDefault="00AB5ED2" w:rsidP="00CC48CE">
      <w:pPr>
        <w:pStyle w:val="Textparagrafu"/>
        <w:spacing w:after="120"/>
      </w:pPr>
      <w:r w:rsidRPr="00EA5854">
        <w:t xml:space="preserve">Bilanční sumou používanou při výpočtech podle tohoto zákona se rozumí celková aktiva snížená o </w:t>
      </w:r>
      <w:r w:rsidRPr="004A7937">
        <w:rPr>
          <w:strike/>
        </w:rPr>
        <w:t>oprávky a opravné položky</w:t>
      </w:r>
      <w:r>
        <w:t xml:space="preserve"> </w:t>
      </w:r>
      <w:r>
        <w:rPr>
          <w:b/>
        </w:rPr>
        <w:t>odpisy a znehodnocení</w:t>
      </w:r>
      <w:r w:rsidRPr="00EA5854">
        <w:t>. Zjišťuje se z</w:t>
      </w:r>
      <w:r>
        <w:t> </w:t>
      </w:r>
      <w:r w:rsidRPr="00B93461">
        <w:rPr>
          <w:b/>
        </w:rPr>
        <w:t>řádné</w:t>
      </w:r>
      <w:r w:rsidRPr="00B93461">
        <w:t xml:space="preserve"> </w:t>
      </w:r>
      <w:r w:rsidRPr="007469E0">
        <w:t>konsolidované účetní závěrky; neexistuje-li konsolidovaná účetní závěrka, sečtou se bilanční sumy zjištěné v </w:t>
      </w:r>
      <w:r w:rsidRPr="004A7937">
        <w:rPr>
          <w:b/>
        </w:rPr>
        <w:t>řádných</w:t>
      </w:r>
      <w:r w:rsidRPr="004A7937">
        <w:t xml:space="preserve"> </w:t>
      </w:r>
      <w:r w:rsidRPr="004A7937">
        <w:rPr>
          <w:b/>
        </w:rPr>
        <w:t xml:space="preserve">individuálních </w:t>
      </w:r>
      <w:r w:rsidRPr="007469E0">
        <w:t>účetních závěrkách osob, které jsou součástí</w:t>
      </w:r>
      <w:r w:rsidRPr="00EA5854">
        <w:t xml:space="preserve"> skupiny, s tím, že bilanční suma přidružené osoby se bere v úvahu v poměru odpovídajícímu podílu nebo podílům, které v přidružené osobě mají osoby, které jsou součástí skupiny.</w:t>
      </w:r>
    </w:p>
    <w:p w14:paraId="63E51754" w14:textId="77777777" w:rsidR="00AB5ED2" w:rsidRDefault="00AB5ED2" w:rsidP="00CC48CE">
      <w:pPr>
        <w:pStyle w:val="Nadpisparagrafu"/>
        <w:numPr>
          <w:ilvl w:val="0"/>
          <w:numId w:val="27"/>
        </w:numPr>
        <w:spacing w:after="120"/>
      </w:pPr>
      <w:r>
        <w:t>***</w:t>
      </w:r>
    </w:p>
    <w:p w14:paraId="66BCD0BF" w14:textId="77777777" w:rsidR="00AB5ED2" w:rsidRDefault="00AB5ED2" w:rsidP="00CC48CE">
      <w:pPr>
        <w:pStyle w:val="Paragraf"/>
        <w:numPr>
          <w:ilvl w:val="0"/>
          <w:numId w:val="27"/>
        </w:numPr>
        <w:spacing w:after="120"/>
      </w:pPr>
      <w:r>
        <w:t>§ 26</w:t>
      </w:r>
    </w:p>
    <w:p w14:paraId="74A12A6B" w14:textId="77777777" w:rsidR="00AB5ED2" w:rsidRDefault="00AB5ED2" w:rsidP="00180250">
      <w:pPr>
        <w:pStyle w:val="Textodstavce"/>
        <w:ind w:firstLine="425"/>
      </w:pPr>
      <w:r>
        <w:t xml:space="preserve">(1) </w:t>
      </w:r>
      <w:r w:rsidRPr="00B00C64">
        <w:t>Osoby ve finančním konglomerátu jsou povinny umo</w:t>
      </w:r>
      <w:r>
        <w:t>žnit provedení kontroly podle § </w:t>
      </w:r>
      <w:r w:rsidRPr="00B00C64">
        <w:t>17 a poskytnout příslušnému orgánu dohledu potřebnou součinnost.</w:t>
      </w:r>
    </w:p>
    <w:p w14:paraId="65E52E73" w14:textId="77777777" w:rsidR="00AB5ED2" w:rsidRDefault="00AB5ED2" w:rsidP="00180250">
      <w:pPr>
        <w:pStyle w:val="Textodstavce"/>
        <w:ind w:firstLine="425"/>
      </w:pPr>
      <w:r>
        <w:t xml:space="preserve">(2) </w:t>
      </w:r>
      <w:r w:rsidRPr="00B00C64">
        <w:t>Regulované osoby ve finančním konglomerátu uveřejňují informace o finančním konglomerátu, jehož jsou součástí. Způsob, strukturu a lhůty uveřejňování těchto informací upraví prováděcí právní předpis.</w:t>
      </w:r>
    </w:p>
    <w:p w14:paraId="2433DB0E" w14:textId="77777777" w:rsidR="00AB5ED2" w:rsidRPr="00B00C64" w:rsidRDefault="00AB5ED2" w:rsidP="00180250">
      <w:pPr>
        <w:pStyle w:val="Textodstavce"/>
        <w:ind w:firstLine="425"/>
      </w:pPr>
      <w:r>
        <w:t xml:space="preserve">(3) </w:t>
      </w:r>
      <w:r w:rsidRPr="00B00C64">
        <w:t xml:space="preserve">Osoba uvedená v § 25 poskytuje koordinátorovi </w:t>
      </w:r>
      <w:r w:rsidRPr="004A7937">
        <w:rPr>
          <w:b/>
        </w:rPr>
        <w:t xml:space="preserve">řádné </w:t>
      </w:r>
      <w:r w:rsidRPr="00B00C64">
        <w:t xml:space="preserve">účetní závěrky osob ve finančním konglomerátu, a to nejpozději ve lhůtě pro </w:t>
      </w:r>
      <w:r w:rsidRPr="007469E0">
        <w:t>zveřejňování účetních závěrek</w:t>
      </w:r>
      <w:r w:rsidRPr="00B00C64">
        <w:t xml:space="preserve">. V případě </w:t>
      </w:r>
      <w:r w:rsidRPr="004A7937">
        <w:rPr>
          <w:b/>
        </w:rPr>
        <w:t>řádných</w:t>
      </w:r>
      <w:r w:rsidRPr="004A7937">
        <w:t xml:space="preserve"> </w:t>
      </w:r>
      <w:r w:rsidRPr="00574501">
        <w:t>účetních závěrek</w:t>
      </w:r>
      <w:r w:rsidRPr="00B00C64">
        <w:t>, které již byly poskytnuty orgánům dohledu pro účely výkonu dohledu na individuálním nebo konsolidovaném základě, lze uvést jen název a adresu orgánu dohledu, kterému účetní závěrka byla poskytnuta, a datum, kdy k poskytnutí účetní závěrky došlo.</w:t>
      </w:r>
    </w:p>
    <w:p w14:paraId="03E1ADC4" w14:textId="26168212" w:rsidR="00630285" w:rsidRPr="00630285" w:rsidRDefault="00630285" w:rsidP="00630285">
      <w:pPr>
        <w:pStyle w:val="Textparagrafu"/>
        <w:numPr>
          <w:ilvl w:val="0"/>
          <w:numId w:val="27"/>
        </w:numPr>
        <w:tabs>
          <w:tab w:val="left" w:pos="392"/>
          <w:tab w:val="left" w:pos="840"/>
        </w:tabs>
        <w:spacing w:after="120"/>
        <w:jc w:val="center"/>
        <w:rPr>
          <w:highlight w:val="red"/>
        </w:rPr>
      </w:pPr>
      <w:r w:rsidRPr="00630285">
        <w:rPr>
          <w:highlight w:val="red"/>
        </w:rPr>
        <w:t xml:space="preserve"> </w:t>
      </w:r>
    </w:p>
    <w:p w14:paraId="622DF294" w14:textId="77777777" w:rsidR="00630285" w:rsidRDefault="00630285" w:rsidP="00630285">
      <w:pPr>
        <w:pStyle w:val="Textparagrafu"/>
        <w:tabs>
          <w:tab w:val="left" w:pos="392"/>
          <w:tab w:val="left" w:pos="840"/>
        </w:tabs>
        <w:spacing w:after="120"/>
        <w:jc w:val="center"/>
        <w:sectPr w:rsidR="00630285" w:rsidSect="00554E2B">
          <w:footnotePr>
            <w:numStart w:val="3"/>
          </w:footnotePr>
          <w:endnotePr>
            <w:numFmt w:val="decimal"/>
          </w:endnotePr>
          <w:pgSz w:w="11906" w:h="16838"/>
          <w:pgMar w:top="1418" w:right="1418" w:bottom="1418" w:left="1418" w:header="709" w:footer="709" w:gutter="0"/>
          <w:cols w:space="708"/>
          <w:docGrid w:linePitch="360"/>
        </w:sectPr>
      </w:pPr>
    </w:p>
    <w:p w14:paraId="58E03563" w14:textId="7F920DF8" w:rsidR="00630285" w:rsidRPr="00F34CAF" w:rsidRDefault="00630285" w:rsidP="00180250">
      <w:pPr>
        <w:tabs>
          <w:tab w:val="left" w:pos="851"/>
        </w:tabs>
        <w:spacing w:before="120" w:after="120"/>
        <w:ind w:firstLine="0"/>
        <w:jc w:val="center"/>
        <w:outlineLvl w:val="0"/>
        <w:rPr>
          <w:szCs w:val="24"/>
        </w:rPr>
      </w:pPr>
      <w:r w:rsidRPr="00F34CAF">
        <w:rPr>
          <w:b/>
          <w:szCs w:val="24"/>
        </w:rPr>
        <w:lastRenderedPageBreak/>
        <w:t xml:space="preserve">K části osmdesáté </w:t>
      </w:r>
      <w:r w:rsidR="00CC48CE">
        <w:rPr>
          <w:b/>
          <w:szCs w:val="24"/>
        </w:rPr>
        <w:t>sedmé</w:t>
      </w:r>
      <w:r w:rsidRPr="00F34CAF">
        <w:rPr>
          <w:b/>
          <w:szCs w:val="24"/>
        </w:rPr>
        <w:t xml:space="preserve"> návrhu zákona – </w:t>
      </w:r>
      <w:r w:rsidRPr="00F34CAF">
        <w:rPr>
          <w:szCs w:val="24"/>
        </w:rPr>
        <w:t>změna zákona</w:t>
      </w:r>
      <w:r w:rsidRPr="00F34CAF">
        <w:t xml:space="preserve"> </w:t>
      </w:r>
      <w:r w:rsidRPr="00F34CAF">
        <w:rPr>
          <w:szCs w:val="24"/>
        </w:rPr>
        <w:t>o pod</w:t>
      </w:r>
      <w:r w:rsidR="00180250">
        <w:rPr>
          <w:szCs w:val="24"/>
        </w:rPr>
        <w:t>poře výstavby družstevních bytů</w:t>
      </w:r>
    </w:p>
    <w:p w14:paraId="2C6D0291" w14:textId="76E9E0FF" w:rsidR="00630285" w:rsidRPr="00F34CAF" w:rsidRDefault="00630285" w:rsidP="00630285">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F34CAF">
        <w:rPr>
          <w:b/>
          <w:szCs w:val="24"/>
        </w:rPr>
        <w:t>Platné znění</w:t>
      </w:r>
      <w:r w:rsidRPr="00F34CAF">
        <w:rPr>
          <w:szCs w:val="24"/>
        </w:rPr>
        <w:t xml:space="preserve"> zákona č. 378/2005 Sb., o podpoře výstavby družstevních bytů ze Státního fondu podpory investic, a o změně zákona </w:t>
      </w:r>
      <w:r w:rsidR="00273737" w:rsidRPr="00F34CAF">
        <w:rPr>
          <w:szCs w:val="24"/>
        </w:rPr>
        <w:t>č. 190/2004 Sb., o dluhopisech</w:t>
      </w:r>
      <w:r w:rsidRPr="00F34CAF">
        <w:rPr>
          <w:szCs w:val="24"/>
        </w:rPr>
        <w:t xml:space="preserve"> (zákon o podpoře výstavby družstevních bytů)</w:t>
      </w:r>
    </w:p>
    <w:p w14:paraId="6D0838DC" w14:textId="212ED1B1" w:rsidR="00630285" w:rsidRPr="00F34CAF" w:rsidRDefault="00180250" w:rsidP="00630285">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AE4818">
        <w:rPr>
          <w:b/>
          <w:szCs w:val="24"/>
          <w:lang w:eastAsia="en-US"/>
        </w:rPr>
        <w:t>s vyznačením navrhovaných změn a doplnění k 1. lednu 2025</w:t>
      </w:r>
    </w:p>
    <w:p w14:paraId="3E501C30" w14:textId="77777777" w:rsidR="00630285" w:rsidRPr="00F34CAF" w:rsidRDefault="00630285" w:rsidP="00630285">
      <w:pPr>
        <w:pStyle w:val="Textparagrafu"/>
        <w:numPr>
          <w:ilvl w:val="0"/>
          <w:numId w:val="27"/>
        </w:numPr>
        <w:tabs>
          <w:tab w:val="left" w:pos="392"/>
          <w:tab w:val="left" w:pos="840"/>
        </w:tabs>
        <w:spacing w:after="120"/>
        <w:jc w:val="center"/>
      </w:pPr>
      <w:r w:rsidRPr="00F34CAF">
        <w:t>***</w:t>
      </w:r>
    </w:p>
    <w:p w14:paraId="57FA2C9B" w14:textId="77777777" w:rsidR="00F34CAF" w:rsidRDefault="00F34CAF" w:rsidP="00F34CAF">
      <w:pPr>
        <w:pStyle w:val="Paragraf"/>
        <w:numPr>
          <w:ilvl w:val="0"/>
          <w:numId w:val="27"/>
        </w:numPr>
        <w:spacing w:after="120"/>
      </w:pPr>
      <w:r>
        <w:t>§ 11</w:t>
      </w:r>
    </w:p>
    <w:p w14:paraId="338E0A3B" w14:textId="77777777" w:rsidR="00F34CAF" w:rsidRDefault="00F34CAF" w:rsidP="00F34CAF">
      <w:pPr>
        <w:pStyle w:val="Nadpisparagrafu"/>
        <w:spacing w:after="120"/>
      </w:pPr>
      <w:r>
        <w:t>Práva a povinnosti člena bytového družstva, které je příjemcem podpory</w:t>
      </w:r>
    </w:p>
    <w:p w14:paraId="6B2B3DB1" w14:textId="77777777" w:rsidR="00F34CAF" w:rsidRDefault="00F34CAF" w:rsidP="00F34CAF">
      <w:pPr>
        <w:pStyle w:val="Odstavec"/>
        <w:spacing w:before="240"/>
      </w:pPr>
      <w:r>
        <w:t>Člen bytového družstva, které je příjemcem podpory, má</w:t>
      </w:r>
    </w:p>
    <w:p w14:paraId="74EA9B58" w14:textId="77777777" w:rsidR="00F34CAF" w:rsidRDefault="00F34CAF" w:rsidP="00781559">
      <w:pPr>
        <w:pStyle w:val="Psmeno"/>
        <w:tabs>
          <w:tab w:val="left" w:pos="420"/>
        </w:tabs>
        <w:spacing w:before="0"/>
        <w:ind w:left="426" w:hanging="426"/>
      </w:pPr>
      <w:r>
        <w:t>a)</w:t>
      </w:r>
      <w:r>
        <w:tab/>
        <w:t>je-li fyzickou osobou, právo na uzavření nájemní smlouvy o užívání družstevního bytu postaveného s podporou podle tohoto zákona, na jehož pořízení se finančně podílel svým dalším členským vkladem podle tohoto zákona a stanov; stejné právo má každý právní nástupce, je-li fyzickou osobou; právo člena na uzavření nájemní smlouvy vzniká dnem následujícím po dni nabytí právní moci rozhodnutí o kolaudaci</w:t>
      </w:r>
      <w:r>
        <w:rPr>
          <w:rStyle w:val="Znakapoznpodarou"/>
        </w:rPr>
        <w:footnoteReference w:customMarkFollows="1" w:id="487"/>
        <w:t>7)</w:t>
      </w:r>
      <w:r>
        <w:t xml:space="preserve"> bytového domu, v němž se družstevní byt nachází, nebo po kolaudaci změny dokončené stavby bytového domu s družstevními byty,</w:t>
      </w:r>
    </w:p>
    <w:p w14:paraId="67567C79" w14:textId="77777777" w:rsidR="00F34CAF" w:rsidRPr="00220E55" w:rsidRDefault="00F34CAF" w:rsidP="00781559">
      <w:pPr>
        <w:pStyle w:val="Psmeno"/>
        <w:tabs>
          <w:tab w:val="left" w:pos="420"/>
        </w:tabs>
        <w:spacing w:before="0"/>
        <w:ind w:left="426" w:hanging="426"/>
      </w:pPr>
      <w:r>
        <w:t>b)</w:t>
      </w:r>
      <w:r>
        <w:tab/>
      </w:r>
      <w:r w:rsidRPr="0092769D">
        <w:t xml:space="preserve">povinnost platit nájemné stanovené na základě kalkulace zahrnující splátky úvěrů a úroky z nich, náklady na opravy a údržbu domu a </w:t>
      </w:r>
      <w:r w:rsidRPr="00220E55">
        <w:t xml:space="preserve">na </w:t>
      </w:r>
      <w:r w:rsidRPr="00220E55">
        <w:rPr>
          <w:strike/>
        </w:rPr>
        <w:t xml:space="preserve">technické zhodnocení </w:t>
      </w:r>
      <w:r w:rsidRPr="00220E55">
        <w:rPr>
          <w:b/>
        </w:rPr>
        <w:t>následné pořizovací náklady</w:t>
      </w:r>
      <w:r w:rsidRPr="00220E55">
        <w:t xml:space="preserve"> domu, náklady na pojištění domu, daň z nemovitých věcí, náklady na správu družstva a domu,</w:t>
      </w:r>
    </w:p>
    <w:p w14:paraId="7BF21162" w14:textId="77777777" w:rsidR="00F34CAF" w:rsidRDefault="00F34CAF" w:rsidP="00781559">
      <w:pPr>
        <w:pStyle w:val="Psmeno"/>
        <w:tabs>
          <w:tab w:val="left" w:pos="420"/>
        </w:tabs>
        <w:spacing w:before="0"/>
        <w:ind w:left="426" w:hanging="426"/>
      </w:pPr>
      <w:r>
        <w:t>c)</w:t>
      </w:r>
      <w:r>
        <w:tab/>
        <w:t>povinnost splácet v nájemném částky odpovídající splátkám úvěru bytového družstva a jeho příslušenství, které podle vyúčtování výstavby družstevních bytů s podporou podle tohoto zákona se členy podle § 10 odst. 2 připadají na družstevní byt, který člen užívá; částky připadající na družstevní byt se vypočtou ze splátek úvěru bytového družstva a jeho příslušenství podle poměru podlahové plochy tohoto družstevního bytu k podlahovým plochám všech družstevních bytů bytového družstva postavených s podporou podle tohoto zákona v bytovém domě, v němž se družstevní byt nachází,</w:t>
      </w:r>
    </w:p>
    <w:p w14:paraId="1091DE3B" w14:textId="77777777" w:rsidR="00F34CAF" w:rsidRDefault="00F34CAF" w:rsidP="00781559">
      <w:pPr>
        <w:pStyle w:val="Psmeno"/>
        <w:tabs>
          <w:tab w:val="left" w:pos="420"/>
        </w:tabs>
        <w:spacing w:before="0"/>
        <w:ind w:left="426" w:hanging="426"/>
      </w:pPr>
      <w:r>
        <w:t>d)</w:t>
      </w:r>
      <w:r>
        <w:tab/>
        <w:t>povinnost zaplatit bytovému družstvu částku rovnající se dotaci a nesplacené části úvěru a jeho příslušenství připadající na družstevní byt postavený s podporou podle tohoto zákona, který užívá, pokud bytové družstvo rozhodne o vrácení podpory podle § 16 a 17,</w:t>
      </w:r>
    </w:p>
    <w:p w14:paraId="47073A33" w14:textId="77777777" w:rsidR="00F34CAF" w:rsidRDefault="00F34CAF" w:rsidP="00781559">
      <w:pPr>
        <w:pStyle w:val="Psmeno"/>
        <w:tabs>
          <w:tab w:val="left" w:pos="420"/>
        </w:tabs>
        <w:spacing w:before="0"/>
        <w:ind w:left="426" w:hanging="426"/>
      </w:pPr>
      <w:r>
        <w:t>e)</w:t>
      </w:r>
      <w:r>
        <w:tab/>
        <w:t>povinnost splatit další členský vklad ve výši podle § 10 odst. 1, přičemž zálohová výše dalšího členského vkladu musí být splacena nejpozději do 60 dnů od uzavření smlouvy o poskytnutí podpory,</w:t>
      </w:r>
    </w:p>
    <w:p w14:paraId="4FE90351" w14:textId="799F40D6" w:rsidR="002E3D1A" w:rsidRPr="00F34CAF" w:rsidRDefault="00F34CAF" w:rsidP="00781559">
      <w:pPr>
        <w:pStyle w:val="Psmeno"/>
        <w:tabs>
          <w:tab w:val="left" w:pos="420"/>
        </w:tabs>
        <w:spacing w:before="0"/>
        <w:ind w:left="426" w:hanging="426"/>
        <w:sectPr w:rsidR="002E3D1A" w:rsidRPr="00F34CAF" w:rsidSect="00554E2B">
          <w:footnotePr>
            <w:numStart w:val="3"/>
          </w:footnotePr>
          <w:endnotePr>
            <w:numFmt w:val="decimal"/>
          </w:endnotePr>
          <w:pgSz w:w="11906" w:h="16838"/>
          <w:pgMar w:top="1418" w:right="1418" w:bottom="1418" w:left="1418" w:header="709" w:footer="709" w:gutter="0"/>
          <w:cols w:space="708"/>
          <w:docGrid w:linePitch="360"/>
        </w:sectPr>
      </w:pPr>
      <w:r>
        <w:t>f)</w:t>
      </w:r>
      <w:r>
        <w:tab/>
        <w:t>zákaz účastnit se výstavby družstevních bytů s podporou podle tohoto zákona v jiném bytovém družstvu; v bytovém družstvu může být člen nájemcem pouze jednoho družstevního bytu postaveného s podporou podle tohoto zákona; člen potvrzuje tyto skutečnosti v čestném prohlášení, které je součástí členské přihlášky do bytového družstva; nepravdivé prohlášení je důvodem k vyloučení člena z bytového družstva.</w:t>
      </w:r>
      <w:r w:rsidR="00630285" w:rsidRPr="00F34CAF">
        <w:t xml:space="preserve"> </w:t>
      </w:r>
    </w:p>
    <w:p w14:paraId="420E2493" w14:textId="527AD8D0" w:rsidR="00273737" w:rsidRPr="00AD77CE" w:rsidRDefault="00273737" w:rsidP="00180250">
      <w:pPr>
        <w:tabs>
          <w:tab w:val="left" w:pos="851"/>
        </w:tabs>
        <w:spacing w:before="120" w:after="120"/>
        <w:ind w:firstLine="0"/>
        <w:jc w:val="center"/>
        <w:outlineLvl w:val="0"/>
        <w:rPr>
          <w:szCs w:val="24"/>
        </w:rPr>
      </w:pPr>
      <w:r w:rsidRPr="00AD77CE">
        <w:rPr>
          <w:b/>
          <w:szCs w:val="24"/>
        </w:rPr>
        <w:lastRenderedPageBreak/>
        <w:t xml:space="preserve">K části </w:t>
      </w:r>
      <w:r>
        <w:rPr>
          <w:b/>
          <w:szCs w:val="24"/>
        </w:rPr>
        <w:t>osmdesáté</w:t>
      </w:r>
      <w:r w:rsidRPr="00AD77CE">
        <w:rPr>
          <w:b/>
          <w:szCs w:val="24"/>
        </w:rPr>
        <w:t xml:space="preserve"> </w:t>
      </w:r>
      <w:r w:rsidR="00781559">
        <w:rPr>
          <w:b/>
          <w:szCs w:val="24"/>
        </w:rPr>
        <w:t>osmé</w:t>
      </w:r>
      <w:r w:rsidR="00EC0934">
        <w:rPr>
          <w:b/>
          <w:szCs w:val="24"/>
        </w:rPr>
        <w:t xml:space="preserve"> </w:t>
      </w:r>
      <w:r w:rsidRPr="00AD77CE">
        <w:rPr>
          <w:b/>
          <w:szCs w:val="24"/>
        </w:rPr>
        <w:t xml:space="preserve">návrhu zákona – </w:t>
      </w:r>
      <w:r w:rsidRPr="00AD77CE">
        <w:rPr>
          <w:szCs w:val="24"/>
        </w:rPr>
        <w:t>změna zákona</w:t>
      </w:r>
      <w:r w:rsidRPr="00AD77CE">
        <w:t xml:space="preserve"> </w:t>
      </w:r>
      <w:r w:rsidRPr="00273737">
        <w:rPr>
          <w:szCs w:val="24"/>
        </w:rPr>
        <w:t>o ochraně utajovaných informací a o bezpečnostní způsobilosti</w:t>
      </w:r>
    </w:p>
    <w:p w14:paraId="4F5D0B9B" w14:textId="665A6631" w:rsidR="00273737" w:rsidRPr="00781559" w:rsidRDefault="00273737" w:rsidP="00781559">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7303D7">
        <w:rPr>
          <w:b/>
          <w:szCs w:val="24"/>
        </w:rPr>
        <w:t>Platné znění</w:t>
      </w:r>
      <w:r w:rsidRPr="007303D7">
        <w:rPr>
          <w:szCs w:val="24"/>
        </w:rPr>
        <w:t xml:space="preserve"> zákona č.</w:t>
      </w:r>
      <w:r>
        <w:rPr>
          <w:szCs w:val="24"/>
        </w:rPr>
        <w:t xml:space="preserve"> 412/2005</w:t>
      </w:r>
      <w:r w:rsidRPr="007303D7">
        <w:rPr>
          <w:szCs w:val="24"/>
        </w:rPr>
        <w:t xml:space="preserve"> Sb., </w:t>
      </w:r>
      <w:r w:rsidRPr="00273737">
        <w:rPr>
          <w:szCs w:val="24"/>
        </w:rPr>
        <w:t>o ochraně utajovaných informací a o bezpečnostní způsobilosti</w:t>
      </w:r>
    </w:p>
    <w:p w14:paraId="3F9321AF" w14:textId="2EE9C008" w:rsidR="00273737" w:rsidRDefault="00180250" w:rsidP="00273737">
      <w:pPr>
        <w:pStyle w:val="Odstavecseseznamem"/>
        <w:numPr>
          <w:ilvl w:val="0"/>
          <w:numId w:val="27"/>
        </w:numPr>
        <w:pBdr>
          <w:top w:val="single" w:sz="12" w:space="6" w:color="auto"/>
          <w:left w:val="single" w:sz="12" w:space="0" w:color="auto"/>
          <w:bottom w:val="single" w:sz="12" w:space="6" w:color="auto"/>
          <w:right w:val="single" w:sz="12" w:space="0" w:color="auto"/>
        </w:pBdr>
        <w:spacing w:after="120"/>
        <w:jc w:val="center"/>
        <w:rPr>
          <w:b/>
          <w:szCs w:val="24"/>
          <w:lang w:eastAsia="en-US"/>
        </w:rPr>
      </w:pPr>
      <w:r w:rsidRPr="00AE4818">
        <w:rPr>
          <w:b/>
          <w:szCs w:val="24"/>
          <w:lang w:eastAsia="en-US"/>
        </w:rPr>
        <w:t>s vyznačením navrhovaných změn a doplnění k 1. lednu 2025</w:t>
      </w:r>
    </w:p>
    <w:p w14:paraId="276D8CB5" w14:textId="7546E903" w:rsidR="00781559" w:rsidRPr="00781559" w:rsidRDefault="00781559" w:rsidP="00781559">
      <w:pPr>
        <w:pStyle w:val="Nadpisparagrafu"/>
        <w:numPr>
          <w:ilvl w:val="0"/>
          <w:numId w:val="27"/>
        </w:numPr>
        <w:pBdr>
          <w:top w:val="single" w:sz="12" w:space="6" w:color="auto"/>
          <w:left w:val="single" w:sz="12" w:space="0" w:color="auto"/>
          <w:bottom w:val="single" w:sz="12" w:space="6" w:color="auto"/>
          <w:right w:val="single" w:sz="12" w:space="0" w:color="auto"/>
        </w:pBdr>
        <w:spacing w:before="0"/>
        <w:rPr>
          <w:color w:val="0070C0"/>
          <w:szCs w:val="24"/>
          <w:lang w:eastAsia="en-US"/>
        </w:rPr>
      </w:pPr>
      <w:r w:rsidRPr="00B32D64">
        <w:rPr>
          <w:color w:val="0070C0"/>
          <w:szCs w:val="24"/>
          <w:lang w:eastAsia="en-US"/>
        </w:rPr>
        <w:t>s vyznačením navrhovaných změn a doplnění k účinnosti zákona, kterým se mění zákon č. 412/2005 Sb., o ochraně utajovaných informací a o bezpečnostní způsobilosti, ve znění pozdějších předpisů (ST 519)</w:t>
      </w:r>
    </w:p>
    <w:p w14:paraId="0A801164" w14:textId="77777777" w:rsidR="00273737" w:rsidRPr="00AD77CE" w:rsidRDefault="00273737" w:rsidP="00273737">
      <w:pPr>
        <w:pStyle w:val="Textparagrafu"/>
        <w:numPr>
          <w:ilvl w:val="0"/>
          <w:numId w:val="27"/>
        </w:numPr>
        <w:tabs>
          <w:tab w:val="left" w:pos="392"/>
          <w:tab w:val="left" w:pos="840"/>
        </w:tabs>
        <w:spacing w:after="120"/>
        <w:jc w:val="center"/>
      </w:pPr>
      <w:r w:rsidRPr="00AD77CE">
        <w:t>***</w:t>
      </w:r>
    </w:p>
    <w:p w14:paraId="5A7E0FBC" w14:textId="77777777" w:rsidR="00781559" w:rsidRDefault="00781559" w:rsidP="00781559">
      <w:pPr>
        <w:pStyle w:val="Textparagrafu"/>
        <w:numPr>
          <w:ilvl w:val="0"/>
          <w:numId w:val="27"/>
        </w:numPr>
        <w:tabs>
          <w:tab w:val="left" w:pos="392"/>
          <w:tab w:val="left" w:pos="840"/>
        </w:tabs>
        <w:jc w:val="center"/>
      </w:pPr>
      <w:r w:rsidRPr="00BD799A">
        <w:t>§</w:t>
      </w:r>
      <w:r>
        <w:t xml:space="preserve"> </w:t>
      </w:r>
      <w:r w:rsidRPr="00BD799A">
        <w:t>97</w:t>
      </w:r>
    </w:p>
    <w:p w14:paraId="312E87C0" w14:textId="77777777" w:rsidR="00781559" w:rsidRPr="00AC0C3B" w:rsidRDefault="00781559" w:rsidP="00781559">
      <w:pPr>
        <w:pStyle w:val="Textparagrafu"/>
        <w:numPr>
          <w:ilvl w:val="0"/>
          <w:numId w:val="27"/>
        </w:numPr>
        <w:tabs>
          <w:tab w:val="left" w:pos="392"/>
          <w:tab w:val="left" w:pos="840"/>
        </w:tabs>
        <w:jc w:val="center"/>
        <w:rPr>
          <w:b/>
        </w:rPr>
      </w:pPr>
      <w:r w:rsidRPr="00AC0C3B">
        <w:rPr>
          <w:b/>
        </w:rPr>
        <w:t>Dotazník podnikatele</w:t>
      </w:r>
    </w:p>
    <w:p w14:paraId="611A8C2B" w14:textId="77777777" w:rsidR="00781559" w:rsidRPr="00BD799A" w:rsidRDefault="00781559" w:rsidP="00781559">
      <w:pPr>
        <w:pStyle w:val="Textparagrafu"/>
        <w:numPr>
          <w:ilvl w:val="0"/>
          <w:numId w:val="27"/>
        </w:numPr>
        <w:tabs>
          <w:tab w:val="left" w:pos="392"/>
          <w:tab w:val="left" w:pos="840"/>
        </w:tabs>
        <w:spacing w:after="120"/>
        <w:ind w:firstLine="425"/>
      </w:pPr>
      <w:r w:rsidRPr="00BD799A">
        <w:t>Dotazník</w:t>
      </w:r>
      <w:r>
        <w:t xml:space="preserve"> </w:t>
      </w:r>
      <w:r w:rsidRPr="00BD799A">
        <w:t>podnikatele</w:t>
      </w:r>
      <w:r>
        <w:t xml:space="preserve"> </w:t>
      </w:r>
      <w:r w:rsidRPr="00BD799A">
        <w:t>obsahuje</w:t>
      </w:r>
      <w:r>
        <w:t xml:space="preserve"> </w:t>
      </w:r>
      <w:r w:rsidRPr="00BD799A">
        <w:t>tyto</w:t>
      </w:r>
      <w:r>
        <w:t xml:space="preserve"> </w:t>
      </w:r>
      <w:r w:rsidRPr="00BD799A">
        <w:t>položky:</w:t>
      </w:r>
    </w:p>
    <w:p w14:paraId="52802908" w14:textId="77777777" w:rsidR="00781559" w:rsidRDefault="00781559" w:rsidP="00781559">
      <w:pPr>
        <w:pStyle w:val="Textparagrafu"/>
        <w:numPr>
          <w:ilvl w:val="0"/>
          <w:numId w:val="27"/>
        </w:numPr>
        <w:tabs>
          <w:tab w:val="left" w:pos="392"/>
          <w:tab w:val="left" w:pos="840"/>
        </w:tabs>
        <w:spacing w:before="0"/>
        <w:ind w:left="425" w:hanging="425"/>
      </w:pPr>
      <w:r w:rsidRPr="00BD799A">
        <w:t>a)</w:t>
      </w:r>
      <w:r>
        <w:tab/>
      </w:r>
      <w:r w:rsidRPr="00BD799A">
        <w:t>platné</w:t>
      </w:r>
      <w:r>
        <w:t xml:space="preserve"> </w:t>
      </w:r>
      <w:r w:rsidRPr="00BD799A">
        <w:t>údaje,</w:t>
      </w:r>
      <w:r>
        <w:t xml:space="preserve"> </w:t>
      </w:r>
      <w:r w:rsidRPr="00BD799A">
        <w:t>které</w:t>
      </w:r>
      <w:r>
        <w:t xml:space="preserve"> </w:t>
      </w:r>
      <w:r w:rsidRPr="00BD799A">
        <w:t>se</w:t>
      </w:r>
      <w:r>
        <w:t xml:space="preserve"> </w:t>
      </w:r>
      <w:r w:rsidRPr="00BD799A">
        <w:t>zapisují</w:t>
      </w:r>
      <w:r>
        <w:t xml:space="preserve"> </w:t>
      </w:r>
      <w:r w:rsidRPr="00BD799A">
        <w:t>do</w:t>
      </w:r>
      <w:r>
        <w:t xml:space="preserve"> </w:t>
      </w:r>
      <w:r w:rsidRPr="00BD799A">
        <w:t>obchodního,</w:t>
      </w:r>
      <w:r>
        <w:t xml:space="preserve"> </w:t>
      </w:r>
      <w:r w:rsidRPr="00BD799A">
        <w:t>živnostenského</w:t>
      </w:r>
      <w:r>
        <w:t xml:space="preserve"> </w:t>
      </w:r>
      <w:r w:rsidRPr="00BD799A">
        <w:t>nebo</w:t>
      </w:r>
      <w:r>
        <w:t xml:space="preserve"> </w:t>
      </w:r>
      <w:r w:rsidRPr="00BD799A">
        <w:t>obdobného</w:t>
      </w:r>
      <w:r>
        <w:t xml:space="preserve"> </w:t>
      </w:r>
      <w:r w:rsidRPr="00BD799A">
        <w:t>rejstříku</w:t>
      </w:r>
      <w:r>
        <w:t xml:space="preserve"> </w:t>
      </w:r>
      <w:r w:rsidRPr="00BD799A">
        <w:t>či</w:t>
      </w:r>
      <w:r>
        <w:t xml:space="preserve"> </w:t>
      </w:r>
      <w:r w:rsidRPr="00BD799A">
        <w:t>evidence,</w:t>
      </w:r>
      <w:r>
        <w:t xml:space="preserve"> </w:t>
      </w:r>
      <w:r w:rsidRPr="00BD799A">
        <w:t>vždy</w:t>
      </w:r>
      <w:r>
        <w:t xml:space="preserve"> </w:t>
      </w:r>
      <w:r w:rsidRPr="00BD799A">
        <w:t>však</w:t>
      </w:r>
      <w:r>
        <w:t xml:space="preserve"> </w:t>
      </w:r>
      <w:r w:rsidRPr="00BD799A">
        <w:t>uvedení</w:t>
      </w:r>
      <w:r>
        <w:t xml:space="preserve"> </w:t>
      </w:r>
      <w:r w:rsidRPr="00BD799A">
        <w:t>rodného</w:t>
      </w:r>
      <w:r>
        <w:t xml:space="preserve"> </w:t>
      </w:r>
      <w:r w:rsidRPr="00BD799A">
        <w:t>čísla,</w:t>
      </w:r>
      <w:r>
        <w:t xml:space="preserve"> </w:t>
      </w:r>
      <w:r w:rsidRPr="00BD799A">
        <w:t>bylo-li</w:t>
      </w:r>
      <w:r>
        <w:t xml:space="preserve"> </w:t>
      </w:r>
      <w:r w:rsidRPr="00BD799A">
        <w:t>přiděleno,</w:t>
      </w:r>
      <w:r>
        <w:t xml:space="preserve"> </w:t>
      </w:r>
      <w:r w:rsidRPr="00BD799A">
        <w:t>a</w:t>
      </w:r>
      <w:r>
        <w:t xml:space="preserve"> </w:t>
      </w:r>
      <w:r w:rsidRPr="00BD799A">
        <w:t>data,</w:t>
      </w:r>
      <w:r>
        <w:t xml:space="preserve"> </w:t>
      </w:r>
      <w:r w:rsidRPr="00BD799A">
        <w:t>místa,</w:t>
      </w:r>
      <w:r>
        <w:t xml:space="preserve"> </w:t>
      </w:r>
      <w:r w:rsidRPr="00BD799A">
        <w:t>okresu</w:t>
      </w:r>
      <w:r>
        <w:t xml:space="preserve"> </w:t>
      </w:r>
      <w:r w:rsidRPr="00BD799A">
        <w:t>a</w:t>
      </w:r>
      <w:r>
        <w:t xml:space="preserve"> </w:t>
      </w:r>
      <w:r w:rsidRPr="00BD799A">
        <w:t>státu</w:t>
      </w:r>
      <w:r>
        <w:t xml:space="preserve"> </w:t>
      </w:r>
      <w:r w:rsidRPr="00BD799A">
        <w:t>narození,</w:t>
      </w:r>
      <w:r>
        <w:t xml:space="preserve"> </w:t>
      </w:r>
      <w:r w:rsidRPr="00BD799A">
        <w:t>a</w:t>
      </w:r>
      <w:r>
        <w:t xml:space="preserve"> </w:t>
      </w:r>
      <w:r w:rsidRPr="00BD799A">
        <w:t>to</w:t>
      </w:r>
      <w:r>
        <w:t xml:space="preserve"> </w:t>
      </w:r>
      <w:r w:rsidRPr="00BD799A">
        <w:t>i</w:t>
      </w:r>
      <w:r>
        <w:t xml:space="preserve"> </w:t>
      </w:r>
      <w:r w:rsidRPr="00BD799A">
        <w:t>když</w:t>
      </w:r>
      <w:r>
        <w:t xml:space="preserve"> </w:t>
      </w:r>
      <w:r w:rsidRPr="00BD799A">
        <w:t>se</w:t>
      </w:r>
      <w:r>
        <w:t xml:space="preserve"> </w:t>
      </w:r>
      <w:r w:rsidRPr="00BD799A">
        <w:t>do</w:t>
      </w:r>
      <w:r>
        <w:t xml:space="preserve"> </w:t>
      </w:r>
      <w:r w:rsidRPr="00BD799A">
        <w:t>takového</w:t>
      </w:r>
      <w:r>
        <w:t xml:space="preserve"> </w:t>
      </w:r>
      <w:r w:rsidRPr="00BD799A">
        <w:t>rejstříku</w:t>
      </w:r>
      <w:r>
        <w:t xml:space="preserve"> </w:t>
      </w:r>
      <w:r w:rsidRPr="00BD799A">
        <w:t>nebo</w:t>
      </w:r>
      <w:r>
        <w:t xml:space="preserve"> </w:t>
      </w:r>
      <w:r w:rsidRPr="00BD799A">
        <w:t>evidence</w:t>
      </w:r>
      <w:r>
        <w:t xml:space="preserve"> </w:t>
      </w:r>
      <w:r w:rsidRPr="00BD799A">
        <w:t>nezapisují,</w:t>
      </w:r>
    </w:p>
    <w:p w14:paraId="19B308D3" w14:textId="77777777" w:rsidR="00781559" w:rsidRPr="0028008A" w:rsidRDefault="00781559" w:rsidP="00180250">
      <w:pPr>
        <w:pStyle w:val="Textparagrafu"/>
        <w:numPr>
          <w:ilvl w:val="0"/>
          <w:numId w:val="27"/>
        </w:numPr>
        <w:pBdr>
          <w:top w:val="single" w:sz="12" w:space="1" w:color="0070C0"/>
          <w:left w:val="single" w:sz="12" w:space="4" w:color="0070C0"/>
          <w:bottom w:val="single" w:sz="12" w:space="1" w:color="0070C0"/>
          <w:right w:val="single" w:sz="12" w:space="4" w:color="0070C0"/>
        </w:pBdr>
        <w:tabs>
          <w:tab w:val="left" w:pos="392"/>
          <w:tab w:val="left" w:pos="840"/>
        </w:tabs>
        <w:spacing w:before="0"/>
        <w:ind w:left="425" w:hanging="425"/>
        <w:rPr>
          <w:color w:val="0070C0"/>
          <w:szCs w:val="24"/>
        </w:rPr>
      </w:pPr>
      <w:r w:rsidRPr="00BD799A">
        <w:t>b)</w:t>
      </w:r>
      <w:r>
        <w:tab/>
      </w:r>
      <w:r w:rsidRPr="00BD799A">
        <w:t>jméno</w:t>
      </w:r>
      <w:r>
        <w:t xml:space="preserve"> </w:t>
      </w:r>
      <w:r w:rsidRPr="00BD799A">
        <w:t>a</w:t>
      </w:r>
      <w:r>
        <w:t xml:space="preserve"> </w:t>
      </w:r>
      <w:r w:rsidRPr="00BD799A">
        <w:t>příjmení,</w:t>
      </w:r>
      <w:r>
        <w:t xml:space="preserve"> </w:t>
      </w:r>
      <w:r w:rsidRPr="00BD799A">
        <w:t>rodné</w:t>
      </w:r>
      <w:r>
        <w:t xml:space="preserve"> </w:t>
      </w:r>
      <w:r w:rsidRPr="00BD799A">
        <w:t>číslo,</w:t>
      </w:r>
      <w:r>
        <w:t xml:space="preserve"> </w:t>
      </w:r>
      <w:r w:rsidRPr="00BD799A">
        <w:t>bylo-li</w:t>
      </w:r>
      <w:r>
        <w:t xml:space="preserve"> </w:t>
      </w:r>
      <w:r w:rsidRPr="00BD799A">
        <w:t>přiděleno,</w:t>
      </w:r>
      <w:r>
        <w:t xml:space="preserve"> </w:t>
      </w:r>
      <w:r w:rsidRPr="00BD799A">
        <w:t>a</w:t>
      </w:r>
      <w:r>
        <w:t xml:space="preserve"> </w:t>
      </w:r>
      <w:r w:rsidRPr="00BD799A">
        <w:t>datum,</w:t>
      </w:r>
      <w:r>
        <w:t xml:space="preserve"> </w:t>
      </w:r>
      <w:r w:rsidRPr="00BD799A">
        <w:t>místo,</w:t>
      </w:r>
      <w:r>
        <w:t xml:space="preserve"> </w:t>
      </w:r>
      <w:r w:rsidRPr="00BD799A">
        <w:t>okres</w:t>
      </w:r>
      <w:r>
        <w:t xml:space="preserve"> </w:t>
      </w:r>
      <w:r w:rsidRPr="00BD799A">
        <w:t>a</w:t>
      </w:r>
      <w:r>
        <w:t xml:space="preserve"> </w:t>
      </w:r>
      <w:r w:rsidRPr="00BD799A">
        <w:t>stát</w:t>
      </w:r>
      <w:r>
        <w:t xml:space="preserve"> </w:t>
      </w:r>
      <w:r w:rsidRPr="00BD799A">
        <w:t>narození,</w:t>
      </w:r>
      <w:r>
        <w:t xml:space="preserve"> </w:t>
      </w:r>
      <w:r w:rsidRPr="00BD799A">
        <w:t>firma</w:t>
      </w:r>
      <w:r>
        <w:t xml:space="preserve"> </w:t>
      </w:r>
      <w:r w:rsidRPr="00BD799A">
        <w:t>a</w:t>
      </w:r>
      <w:r>
        <w:t xml:space="preserve"> </w:t>
      </w:r>
      <w:r w:rsidRPr="00BD799A">
        <w:t>identifikační</w:t>
      </w:r>
      <w:r>
        <w:t xml:space="preserve"> </w:t>
      </w:r>
      <w:r w:rsidRPr="00BD799A">
        <w:t>číslo</w:t>
      </w:r>
      <w:r>
        <w:t xml:space="preserve"> </w:t>
      </w:r>
      <w:r w:rsidRPr="00BD799A">
        <w:t>společníků,</w:t>
      </w:r>
      <w:r>
        <w:t xml:space="preserve"> </w:t>
      </w:r>
      <w:r w:rsidRPr="0028008A">
        <w:rPr>
          <w:strike/>
          <w:color w:val="0070C0"/>
        </w:rPr>
        <w:t xml:space="preserve">pokud nejsou údajem zapsaným do obchodního rejstříku </w:t>
      </w:r>
      <w:r w:rsidRPr="0028008A">
        <w:rPr>
          <w:b/>
          <w:color w:val="0070C0"/>
          <w:szCs w:val="24"/>
        </w:rPr>
        <w:t>nebo členů obchodní korporace s nejméně 10% podílem na základním kapitálu nebo na hlasovacích právech na podnikateli nebo osobách ve vlastnické struktuře podnikatele až po fyzickou osobu disponující nejméně 10% přímým nebo nepřímým podílem na základním kapitálu nebo na hlasovacích právech obchodní korporace a osob majících rozhodující vliv na podnikatele, které nemají podíl na základním kapitálu podnikatele nebo na hlasovacích právech podnikatele</w:t>
      </w:r>
      <w:r w:rsidRPr="0028008A">
        <w:rPr>
          <w:color w:val="0070C0"/>
          <w:szCs w:val="24"/>
        </w:rPr>
        <w:t>,</w:t>
      </w:r>
    </w:p>
    <w:p w14:paraId="0466563B" w14:textId="77777777" w:rsidR="00781559" w:rsidRPr="0028008A" w:rsidRDefault="00781559" w:rsidP="00180250">
      <w:pPr>
        <w:pStyle w:val="Textparagrafu"/>
        <w:numPr>
          <w:ilvl w:val="0"/>
          <w:numId w:val="27"/>
        </w:numPr>
        <w:pBdr>
          <w:top w:val="single" w:sz="12" w:space="1" w:color="0070C0"/>
          <w:left w:val="single" w:sz="12" w:space="4" w:color="0070C0"/>
          <w:bottom w:val="single" w:sz="12" w:space="1" w:color="0070C0"/>
          <w:right w:val="single" w:sz="12" w:space="4" w:color="0070C0"/>
        </w:pBdr>
        <w:tabs>
          <w:tab w:val="left" w:pos="392"/>
          <w:tab w:val="left" w:pos="840"/>
        </w:tabs>
        <w:spacing w:before="0"/>
        <w:ind w:left="425" w:hanging="425"/>
        <w:rPr>
          <w:strike/>
          <w:color w:val="0070C0"/>
          <w:szCs w:val="24"/>
        </w:rPr>
      </w:pPr>
      <w:r w:rsidRPr="0028008A">
        <w:rPr>
          <w:strike/>
          <w:color w:val="0070C0"/>
          <w:szCs w:val="24"/>
        </w:rPr>
        <w:t>c)</w:t>
      </w:r>
      <w:r w:rsidRPr="0028008A">
        <w:rPr>
          <w:strike/>
          <w:color w:val="0070C0"/>
          <w:szCs w:val="24"/>
        </w:rPr>
        <w:tab/>
        <w:t>názvy bank, čísla platných bankovních účtů a údaje o účtech vedených u spořitelních a úvěrních družstev,</w:t>
      </w:r>
    </w:p>
    <w:p w14:paraId="6506C529" w14:textId="77777777" w:rsidR="00781559" w:rsidRPr="0028008A" w:rsidRDefault="00781559" w:rsidP="00180250">
      <w:pPr>
        <w:pStyle w:val="Odstavecseseznamem"/>
        <w:widowControl w:val="0"/>
        <w:numPr>
          <w:ilvl w:val="0"/>
          <w:numId w:val="27"/>
        </w:numPr>
        <w:pBdr>
          <w:top w:val="single" w:sz="12" w:space="1" w:color="0070C0"/>
          <w:left w:val="single" w:sz="12" w:space="4" w:color="0070C0"/>
          <w:bottom w:val="single" w:sz="12" w:space="1" w:color="0070C0"/>
          <w:right w:val="single" w:sz="12" w:space="4" w:color="0070C0"/>
        </w:pBdr>
        <w:tabs>
          <w:tab w:val="left" w:pos="392"/>
          <w:tab w:val="left" w:pos="840"/>
        </w:tabs>
        <w:autoSpaceDE w:val="0"/>
        <w:autoSpaceDN w:val="0"/>
        <w:adjustRightInd w:val="0"/>
        <w:spacing w:before="0"/>
        <w:ind w:left="425" w:hanging="425"/>
        <w:contextualSpacing w:val="0"/>
        <w:rPr>
          <w:b/>
          <w:color w:val="0070C0"/>
          <w:szCs w:val="24"/>
        </w:rPr>
      </w:pPr>
      <w:r w:rsidRPr="0028008A">
        <w:rPr>
          <w:b/>
          <w:color w:val="0070C0"/>
          <w:szCs w:val="24"/>
        </w:rPr>
        <w:t>c)</w:t>
      </w:r>
      <w:r w:rsidRPr="0028008A">
        <w:rPr>
          <w:b/>
          <w:color w:val="0070C0"/>
          <w:szCs w:val="24"/>
        </w:rPr>
        <w:tab/>
        <w:t>jméno a příjmení, rodné číslo, bylo-li přiděleno, a datum, místo, okres a stát narození nebo firma a identifikační číslo tichého společníka podnikatele,</w:t>
      </w:r>
    </w:p>
    <w:p w14:paraId="4FC6AAC8" w14:textId="77777777" w:rsidR="00781559" w:rsidRPr="0028008A" w:rsidRDefault="00781559" w:rsidP="00180250">
      <w:pPr>
        <w:pStyle w:val="Odstavecseseznamem"/>
        <w:numPr>
          <w:ilvl w:val="0"/>
          <w:numId w:val="27"/>
        </w:numPr>
        <w:pBdr>
          <w:top w:val="single" w:sz="12" w:space="1" w:color="0070C0"/>
          <w:left w:val="single" w:sz="12" w:space="4" w:color="0070C0"/>
          <w:bottom w:val="single" w:sz="12" w:space="1" w:color="0070C0"/>
          <w:right w:val="single" w:sz="12" w:space="4" w:color="0070C0"/>
        </w:pBdr>
        <w:tabs>
          <w:tab w:val="left" w:pos="392"/>
          <w:tab w:val="left" w:pos="840"/>
        </w:tabs>
        <w:spacing w:before="0"/>
        <w:ind w:left="425" w:hanging="425"/>
        <w:contextualSpacing w:val="0"/>
        <w:rPr>
          <w:b/>
          <w:color w:val="0070C0"/>
          <w:szCs w:val="24"/>
        </w:rPr>
      </w:pPr>
      <w:r w:rsidRPr="0028008A">
        <w:rPr>
          <w:b/>
          <w:color w:val="0070C0"/>
          <w:szCs w:val="24"/>
        </w:rPr>
        <w:t>d)</w:t>
      </w:r>
      <w:r w:rsidRPr="0028008A">
        <w:rPr>
          <w:b/>
          <w:color w:val="0070C0"/>
          <w:szCs w:val="24"/>
        </w:rPr>
        <w:tab/>
        <w:t>názvy nebankovních poskytovatelů platebních služeb, včetně zahraničních, a čísla nebo jiné jedinečné identifikátory účtů vedených u těchto osob v České republice i v zahraničí a dále názvy bank, zahraničních bank a spořitelních a úvěrních družstev a čísla nebo jiné jedinečné identifikátory účtů vedených u těchto osob v zahraničí,</w:t>
      </w:r>
    </w:p>
    <w:p w14:paraId="1392A249" w14:textId="77777777" w:rsidR="00781559" w:rsidRDefault="00781559" w:rsidP="00781559">
      <w:pPr>
        <w:pStyle w:val="Textparagrafu"/>
        <w:numPr>
          <w:ilvl w:val="0"/>
          <w:numId w:val="27"/>
        </w:numPr>
        <w:tabs>
          <w:tab w:val="left" w:pos="426"/>
        </w:tabs>
        <w:spacing w:before="0"/>
        <w:ind w:left="425" w:hanging="425"/>
      </w:pPr>
      <w:r w:rsidRPr="0028008A">
        <w:rPr>
          <w:strike/>
          <w:color w:val="0070C0"/>
        </w:rPr>
        <w:t>d)</w:t>
      </w:r>
      <w:r w:rsidRPr="0028008A">
        <w:rPr>
          <w:b/>
          <w:color w:val="0070C0"/>
        </w:rPr>
        <w:t>e)</w:t>
      </w:r>
      <w:r w:rsidRPr="0028008A">
        <w:rPr>
          <w:color w:val="0070C0"/>
        </w:rPr>
        <w:tab/>
      </w:r>
      <w:r w:rsidRPr="00BD799A">
        <w:t>vlastní</w:t>
      </w:r>
      <w:r>
        <w:t xml:space="preserve"> </w:t>
      </w:r>
      <w:r w:rsidRPr="00BD799A">
        <w:t>i</w:t>
      </w:r>
      <w:r>
        <w:t xml:space="preserve"> </w:t>
      </w:r>
      <w:r w:rsidRPr="00BD799A">
        <w:t>pronajaté</w:t>
      </w:r>
      <w:r>
        <w:t xml:space="preserve"> </w:t>
      </w:r>
      <w:r w:rsidRPr="00BD799A">
        <w:t>nemovitosti</w:t>
      </w:r>
      <w:r>
        <w:t xml:space="preserve"> </w:t>
      </w:r>
      <w:r w:rsidRPr="00BD799A">
        <w:t>a</w:t>
      </w:r>
      <w:r>
        <w:t xml:space="preserve"> </w:t>
      </w:r>
      <w:r w:rsidRPr="00BD799A">
        <w:t>nebytové</w:t>
      </w:r>
      <w:r>
        <w:t xml:space="preserve"> </w:t>
      </w:r>
      <w:r w:rsidRPr="00BD799A">
        <w:t>prostory</w:t>
      </w:r>
      <w:r>
        <w:t xml:space="preserve"> </w:t>
      </w:r>
      <w:r w:rsidRPr="00BD799A">
        <w:t>podnikatele,</w:t>
      </w:r>
      <w:r>
        <w:t xml:space="preserve"> </w:t>
      </w:r>
      <w:r w:rsidRPr="00BD799A">
        <w:t>ve</w:t>
      </w:r>
      <w:r>
        <w:t xml:space="preserve"> </w:t>
      </w:r>
      <w:r w:rsidRPr="00BD799A">
        <w:t>kterých</w:t>
      </w:r>
      <w:r>
        <w:t xml:space="preserve"> </w:t>
      </w:r>
      <w:r w:rsidRPr="00BD799A">
        <w:t>se</w:t>
      </w:r>
      <w:r>
        <w:t xml:space="preserve"> </w:t>
      </w:r>
      <w:r w:rsidRPr="00BD799A">
        <w:t>vyskytuje</w:t>
      </w:r>
      <w:r>
        <w:t xml:space="preserve"> </w:t>
      </w:r>
      <w:r w:rsidRPr="00BD799A">
        <w:t>zabezpečená</w:t>
      </w:r>
      <w:r>
        <w:t xml:space="preserve"> </w:t>
      </w:r>
      <w:r w:rsidRPr="00BD799A">
        <w:t>oblast</w:t>
      </w:r>
      <w:r>
        <w:t xml:space="preserve"> </w:t>
      </w:r>
      <w:r w:rsidRPr="00BD799A">
        <w:t>podle</w:t>
      </w:r>
      <w:r>
        <w:t xml:space="preserve"> </w:t>
      </w:r>
      <w:r w:rsidRPr="00BD799A">
        <w:t>§</w:t>
      </w:r>
      <w:r>
        <w:t xml:space="preserve"> </w:t>
      </w:r>
      <w:r w:rsidRPr="00BD799A">
        <w:t>25,</w:t>
      </w:r>
      <w:r>
        <w:t xml:space="preserve"> </w:t>
      </w:r>
      <w:r w:rsidRPr="00BD799A">
        <w:t>včetně</w:t>
      </w:r>
      <w:r>
        <w:t xml:space="preserve"> </w:t>
      </w:r>
      <w:r w:rsidRPr="00BD799A">
        <w:t>uvedení</w:t>
      </w:r>
      <w:r>
        <w:t xml:space="preserve"> </w:t>
      </w:r>
      <w:r w:rsidRPr="00BD799A">
        <w:t>jejich</w:t>
      </w:r>
      <w:r>
        <w:t xml:space="preserve"> </w:t>
      </w:r>
      <w:r w:rsidRPr="00BD799A">
        <w:t>adresy,</w:t>
      </w:r>
    </w:p>
    <w:p w14:paraId="7B688602" w14:textId="77777777" w:rsidR="00781559" w:rsidRDefault="00781559" w:rsidP="00781559">
      <w:pPr>
        <w:pStyle w:val="Textparagrafu"/>
        <w:numPr>
          <w:ilvl w:val="0"/>
          <w:numId w:val="27"/>
        </w:numPr>
        <w:tabs>
          <w:tab w:val="left" w:pos="392"/>
          <w:tab w:val="left" w:pos="840"/>
        </w:tabs>
        <w:spacing w:before="0"/>
        <w:ind w:left="425" w:hanging="425"/>
        <w:rPr>
          <w:strike/>
        </w:rPr>
      </w:pPr>
      <w:r w:rsidRPr="0028008A">
        <w:rPr>
          <w:strike/>
          <w:color w:val="0070C0"/>
        </w:rPr>
        <w:t>e)</w:t>
      </w:r>
      <w:r w:rsidRPr="0028008A">
        <w:rPr>
          <w:b/>
          <w:strike/>
          <w:color w:val="0070C0"/>
        </w:rPr>
        <w:t>f)</w:t>
      </w:r>
      <w:r w:rsidRPr="001B2F75">
        <w:rPr>
          <w:strike/>
        </w:rPr>
        <w:tab/>
        <w:t>údaje k provedeným řádným účetním závěrkám</w:t>
      </w:r>
      <w:r w:rsidRPr="001B2F75">
        <w:rPr>
          <w:rStyle w:val="Znakapoznpodarou"/>
          <w:strike/>
        </w:rPr>
        <w:footnoteReference w:customMarkFollows="1" w:id="488"/>
        <w:t>37)</w:t>
      </w:r>
      <w:r w:rsidRPr="001B2F75">
        <w:rPr>
          <w:strike/>
        </w:rPr>
        <w:t>, vede-li podnikatel účetnictví,</w:t>
      </w:r>
      <w:r w:rsidRPr="001B2F75">
        <w:rPr>
          <w:b/>
          <w:strike/>
          <w:szCs w:val="24"/>
        </w:rPr>
        <w:t xml:space="preserve"> </w:t>
      </w:r>
      <w:r w:rsidRPr="001B2F75">
        <w:rPr>
          <w:strike/>
        </w:rPr>
        <w:t>nebo údaje k daňovým přiznáním, vede-li podnikatel daňovou evidenci podle jiného právního předpisu</w:t>
      </w:r>
      <w:r w:rsidRPr="001B2F75">
        <w:rPr>
          <w:rStyle w:val="Znakapoznpodarou"/>
          <w:strike/>
        </w:rPr>
        <w:footnoteReference w:customMarkFollows="1" w:id="489"/>
        <w:t>38)</w:t>
      </w:r>
      <w:r>
        <w:rPr>
          <w:rStyle w:val="Znakapoznpodarou"/>
          <w:strike/>
        </w:rPr>
        <w:t>,</w:t>
      </w:r>
      <w:r w:rsidRPr="001B2F75">
        <w:rPr>
          <w:b/>
          <w:strike/>
          <w:color w:val="00B050"/>
          <w:szCs w:val="24"/>
        </w:rPr>
        <w:t xml:space="preserve"> </w:t>
      </w:r>
      <w:r w:rsidRPr="001B2F75">
        <w:rPr>
          <w:strike/>
        </w:rPr>
        <w:t>účetním závěrkám ověřeným auditorem, stanoví-li tak jiný právní předpis</w:t>
      </w:r>
      <w:r w:rsidRPr="001B2F75">
        <w:rPr>
          <w:rStyle w:val="Znakapoznpodarou"/>
          <w:strike/>
        </w:rPr>
        <w:footnoteReference w:customMarkFollows="1" w:id="490"/>
        <w:t>53)</w:t>
      </w:r>
      <w:r w:rsidRPr="001B2F75">
        <w:rPr>
          <w:strike/>
        </w:rPr>
        <w:t>, a to za posledních 5 let,</w:t>
      </w:r>
    </w:p>
    <w:p w14:paraId="73EA0378" w14:textId="77777777" w:rsidR="00781559" w:rsidRPr="001F4B51" w:rsidRDefault="00781559" w:rsidP="00781559">
      <w:pPr>
        <w:pStyle w:val="Textparagrafu"/>
        <w:numPr>
          <w:ilvl w:val="0"/>
          <w:numId w:val="27"/>
        </w:numPr>
        <w:tabs>
          <w:tab w:val="left" w:pos="392"/>
          <w:tab w:val="left" w:pos="840"/>
        </w:tabs>
        <w:spacing w:before="0"/>
        <w:ind w:left="425" w:hanging="425"/>
        <w:rPr>
          <w:b/>
        </w:rPr>
      </w:pPr>
      <w:r w:rsidRPr="001F4B51">
        <w:rPr>
          <w:b/>
        </w:rPr>
        <w:lastRenderedPageBreak/>
        <w:t>f)</w:t>
      </w:r>
      <w:r>
        <w:rPr>
          <w:b/>
        </w:rPr>
        <w:tab/>
      </w:r>
      <w:r w:rsidRPr="001F4B51">
        <w:rPr>
          <w:b/>
          <w:szCs w:val="24"/>
        </w:rPr>
        <w:t>údaje k sestaveným řádným individuálním účetním závěrkám, je-li podnikatel účetní jednotkou, nebo údaje k daňovým přiznáním, vede-li podnikatel daňovou evidenci nebo uplatňuje-li výdaje procentem z příjmu a není-li účetní jednotkou, a údaje k řádným individuálním účetním závěrkám ve znění, v jakém byly ověřeny auditorem, má-li podnikatel povinný audit, a to za posledních 5 let,</w:t>
      </w:r>
    </w:p>
    <w:p w14:paraId="7393FF76" w14:textId="77777777" w:rsidR="00781559" w:rsidRPr="0028008A" w:rsidRDefault="00781559" w:rsidP="00781559">
      <w:pPr>
        <w:pStyle w:val="Textparagrafu"/>
        <w:numPr>
          <w:ilvl w:val="0"/>
          <w:numId w:val="27"/>
        </w:numPr>
        <w:pBdr>
          <w:top w:val="single" w:sz="4" w:space="1" w:color="0070C0"/>
          <w:left w:val="single" w:sz="4" w:space="4" w:color="0070C0"/>
          <w:bottom w:val="single" w:sz="4" w:space="1" w:color="0070C0"/>
          <w:right w:val="single" w:sz="4" w:space="4" w:color="0070C0"/>
        </w:pBdr>
        <w:tabs>
          <w:tab w:val="left" w:pos="426"/>
          <w:tab w:val="left" w:pos="840"/>
        </w:tabs>
        <w:spacing w:before="0"/>
        <w:ind w:left="425" w:hanging="425"/>
        <w:rPr>
          <w:strike/>
          <w:color w:val="0070C0"/>
        </w:rPr>
      </w:pPr>
      <w:r w:rsidRPr="0028008A">
        <w:rPr>
          <w:strike/>
          <w:color w:val="0070C0"/>
        </w:rPr>
        <w:t>f)</w:t>
      </w:r>
      <w:r w:rsidRPr="0028008A">
        <w:rPr>
          <w:b/>
          <w:strike/>
          <w:color w:val="0070C0"/>
        </w:rPr>
        <w:t>g)</w:t>
      </w:r>
      <w:r w:rsidRPr="0028008A">
        <w:rPr>
          <w:strike/>
          <w:color w:val="0070C0"/>
        </w:rPr>
        <w:tab/>
        <w:t>poskytnuté a přijaté půjčky a úvěry v posledních 5 letech,</w:t>
      </w:r>
    </w:p>
    <w:p w14:paraId="0FBC4F3A" w14:textId="77777777" w:rsidR="00781559" w:rsidRPr="0028008A" w:rsidRDefault="00781559" w:rsidP="00781559">
      <w:pPr>
        <w:pStyle w:val="Odstavecseseznamem"/>
        <w:widowControl w:val="0"/>
        <w:numPr>
          <w:ilvl w:val="0"/>
          <w:numId w:val="27"/>
        </w:numPr>
        <w:pBdr>
          <w:top w:val="single" w:sz="4" w:space="1" w:color="0070C0"/>
          <w:left w:val="single" w:sz="4" w:space="4" w:color="0070C0"/>
          <w:bottom w:val="single" w:sz="4" w:space="1" w:color="0070C0"/>
          <w:right w:val="single" w:sz="4" w:space="4" w:color="0070C0"/>
        </w:pBdr>
        <w:tabs>
          <w:tab w:val="left" w:pos="406"/>
        </w:tabs>
        <w:autoSpaceDE w:val="0"/>
        <w:autoSpaceDN w:val="0"/>
        <w:adjustRightInd w:val="0"/>
        <w:spacing w:before="0"/>
        <w:ind w:left="425" w:hanging="425"/>
        <w:contextualSpacing w:val="0"/>
        <w:rPr>
          <w:b/>
          <w:color w:val="0070C0"/>
          <w:szCs w:val="24"/>
        </w:rPr>
      </w:pPr>
      <w:r w:rsidRPr="0028008A">
        <w:rPr>
          <w:b/>
          <w:color w:val="0070C0"/>
          <w:szCs w:val="24"/>
        </w:rPr>
        <w:t>g)</w:t>
      </w:r>
      <w:r w:rsidRPr="0028008A">
        <w:rPr>
          <w:b/>
          <w:color w:val="0070C0"/>
          <w:szCs w:val="24"/>
        </w:rPr>
        <w:tab/>
        <w:t>závazky ze smluv o zápůjčce nebo z úvěrových smluv, u kterých je podnikatel v prodlení se splátkami, uzavřených se subjekty s licencí, povolením nebo registrací vydanými Českou národní bankou, se subjekty podnikajícími na základě jednotné evropské licence, nebo se zahraničními bankami, a přijaté zápůjčky a úvěry od ostatních právnických nebo fyzických osob a zápůjčky a úvěry poskytnuté fyzickým nebo právnickým osobám, a to v posledních 5 letech,</w:t>
      </w:r>
    </w:p>
    <w:p w14:paraId="46381333" w14:textId="77777777" w:rsidR="00781559" w:rsidRPr="0028008A" w:rsidRDefault="00781559" w:rsidP="00781559">
      <w:pPr>
        <w:pStyle w:val="Textparagrafu"/>
        <w:numPr>
          <w:ilvl w:val="0"/>
          <w:numId w:val="27"/>
        </w:numPr>
        <w:pBdr>
          <w:top w:val="single" w:sz="4" w:space="1" w:color="0070C0"/>
          <w:left w:val="single" w:sz="4" w:space="4" w:color="0070C0"/>
          <w:bottom w:val="single" w:sz="4" w:space="1" w:color="0070C0"/>
          <w:right w:val="single" w:sz="4" w:space="4" w:color="0070C0"/>
        </w:pBdr>
        <w:tabs>
          <w:tab w:val="left" w:pos="426"/>
          <w:tab w:val="left" w:pos="851"/>
        </w:tabs>
        <w:spacing w:before="0"/>
        <w:ind w:left="425" w:hanging="425"/>
        <w:rPr>
          <w:strike/>
          <w:color w:val="0070C0"/>
        </w:rPr>
      </w:pPr>
      <w:r w:rsidRPr="0028008A">
        <w:rPr>
          <w:strike/>
          <w:color w:val="0070C0"/>
        </w:rPr>
        <w:t>g)</w:t>
      </w:r>
      <w:r w:rsidRPr="0028008A">
        <w:rPr>
          <w:b/>
          <w:strike/>
          <w:color w:val="0070C0"/>
        </w:rPr>
        <w:t>h)</w:t>
      </w:r>
      <w:r w:rsidRPr="0028008A">
        <w:rPr>
          <w:strike/>
          <w:color w:val="0070C0"/>
        </w:rPr>
        <w:tab/>
        <w:t>smlouvy, jejichž předmět plnění obsahuje utajované informace,</w:t>
      </w:r>
    </w:p>
    <w:p w14:paraId="70456F08" w14:textId="77777777" w:rsidR="00781559" w:rsidRPr="0028008A" w:rsidRDefault="00781559" w:rsidP="00781559">
      <w:pPr>
        <w:pStyle w:val="Odstavecseseznamem"/>
        <w:widowControl w:val="0"/>
        <w:numPr>
          <w:ilvl w:val="0"/>
          <w:numId w:val="27"/>
        </w:numPr>
        <w:pBdr>
          <w:top w:val="single" w:sz="4" w:space="1" w:color="0070C0"/>
          <w:left w:val="single" w:sz="4" w:space="4" w:color="0070C0"/>
          <w:bottom w:val="single" w:sz="4" w:space="1" w:color="0070C0"/>
          <w:right w:val="single" w:sz="4" w:space="4" w:color="0070C0"/>
        </w:pBdr>
        <w:tabs>
          <w:tab w:val="left" w:pos="406"/>
        </w:tabs>
        <w:autoSpaceDE w:val="0"/>
        <w:autoSpaceDN w:val="0"/>
        <w:adjustRightInd w:val="0"/>
        <w:spacing w:before="0"/>
        <w:ind w:left="425" w:hanging="425"/>
        <w:contextualSpacing w:val="0"/>
        <w:rPr>
          <w:b/>
          <w:color w:val="0070C0"/>
          <w:szCs w:val="24"/>
        </w:rPr>
      </w:pPr>
      <w:r w:rsidRPr="0028008A">
        <w:rPr>
          <w:b/>
          <w:color w:val="0070C0"/>
          <w:szCs w:val="24"/>
        </w:rPr>
        <w:t>h)</w:t>
      </w:r>
      <w:r w:rsidRPr="0028008A">
        <w:rPr>
          <w:b/>
          <w:color w:val="0070C0"/>
          <w:szCs w:val="24"/>
        </w:rPr>
        <w:tab/>
        <w:t xml:space="preserve">smlouvy nebo jejich návrhy, jejichž předmět plnění vyžaduje přístup k utajované informaci, včetně výčtu těchto utajovaných informací s uvedením jejich původce nebo poskytovatele, stupně utajení a specifikace zakázky, včetně utajovaných informací cizí moci, ke kterým má podnikatel přístup, a uvedení počtu utajovaných informací uložených u podnikatele; v případě uzavření smlouvy se zpravodajskou službou podnikatel údaje o takové smlouvě dokládá pouze písemným potvrzením odpovědné osoby příslušné zpravodajské služby, </w:t>
      </w:r>
    </w:p>
    <w:p w14:paraId="32C16823" w14:textId="77777777" w:rsidR="00781559" w:rsidRDefault="00781559" w:rsidP="00781559">
      <w:pPr>
        <w:pStyle w:val="Textparagrafu"/>
        <w:numPr>
          <w:ilvl w:val="0"/>
          <w:numId w:val="27"/>
        </w:numPr>
        <w:tabs>
          <w:tab w:val="left" w:pos="392"/>
          <w:tab w:val="left" w:pos="840"/>
        </w:tabs>
        <w:spacing w:before="0"/>
        <w:ind w:left="425" w:hanging="425"/>
      </w:pPr>
      <w:r w:rsidRPr="0028008A">
        <w:rPr>
          <w:strike/>
          <w:color w:val="0070C0"/>
        </w:rPr>
        <w:t>h)</w:t>
      </w:r>
      <w:r w:rsidRPr="0028008A">
        <w:rPr>
          <w:b/>
          <w:color w:val="0070C0"/>
        </w:rPr>
        <w:t>i)</w:t>
      </w:r>
      <w:r w:rsidRPr="0028008A">
        <w:rPr>
          <w:b/>
          <w:color w:val="0070C0"/>
        </w:rPr>
        <w:tab/>
      </w:r>
      <w:r w:rsidRPr="00BD799A">
        <w:t>zahraniční</w:t>
      </w:r>
      <w:r>
        <w:t xml:space="preserve"> </w:t>
      </w:r>
      <w:r w:rsidRPr="00BD799A">
        <w:t>obchodní</w:t>
      </w:r>
      <w:r>
        <w:t xml:space="preserve"> </w:t>
      </w:r>
      <w:r w:rsidRPr="00BD799A">
        <w:t>partneři,</w:t>
      </w:r>
      <w:r>
        <w:t xml:space="preserve"> </w:t>
      </w:r>
      <w:r w:rsidRPr="00BD799A">
        <w:t>s</w:t>
      </w:r>
      <w:r>
        <w:t xml:space="preserve"> </w:t>
      </w:r>
      <w:r w:rsidRPr="00BD799A">
        <w:t>výjimkou</w:t>
      </w:r>
      <w:r>
        <w:t xml:space="preserve"> </w:t>
      </w:r>
      <w:r w:rsidRPr="00BD799A">
        <w:t>obchodních</w:t>
      </w:r>
      <w:r>
        <w:t xml:space="preserve"> </w:t>
      </w:r>
      <w:r w:rsidRPr="00BD799A">
        <w:t>partnerů</w:t>
      </w:r>
      <w:r>
        <w:t xml:space="preserve"> </w:t>
      </w:r>
      <w:r w:rsidRPr="00BD799A">
        <w:t>z</w:t>
      </w:r>
      <w:r>
        <w:t xml:space="preserve"> </w:t>
      </w:r>
      <w:r w:rsidRPr="00BD799A">
        <w:t>členských</w:t>
      </w:r>
      <w:r>
        <w:t xml:space="preserve"> </w:t>
      </w:r>
      <w:r w:rsidRPr="00BD799A">
        <w:t>států</w:t>
      </w:r>
      <w:r>
        <w:t xml:space="preserve"> </w:t>
      </w:r>
      <w:r w:rsidRPr="00BD799A">
        <w:t>Evropské</w:t>
      </w:r>
      <w:r>
        <w:t xml:space="preserve"> </w:t>
      </w:r>
      <w:r w:rsidRPr="00BD799A">
        <w:t>unie,</w:t>
      </w:r>
      <w:r>
        <w:t xml:space="preserve"> </w:t>
      </w:r>
      <w:r w:rsidRPr="00BD799A">
        <w:t>s</w:t>
      </w:r>
      <w:r>
        <w:t xml:space="preserve"> </w:t>
      </w:r>
      <w:r w:rsidRPr="00BD799A">
        <w:t>celkovým</w:t>
      </w:r>
      <w:r>
        <w:t xml:space="preserve"> </w:t>
      </w:r>
      <w:r w:rsidRPr="00BD799A">
        <w:t>finančním</w:t>
      </w:r>
      <w:r>
        <w:t xml:space="preserve"> </w:t>
      </w:r>
      <w:r w:rsidRPr="00BD799A">
        <w:t>objemem</w:t>
      </w:r>
      <w:r>
        <w:t xml:space="preserve"> </w:t>
      </w:r>
      <w:r w:rsidRPr="00BD799A">
        <w:t>uskutečněných</w:t>
      </w:r>
      <w:r>
        <w:t xml:space="preserve"> </w:t>
      </w:r>
      <w:r w:rsidRPr="00BD799A">
        <w:t>obchodů</w:t>
      </w:r>
      <w:r>
        <w:t xml:space="preserve"> </w:t>
      </w:r>
      <w:r w:rsidRPr="00BD799A">
        <w:t>nad</w:t>
      </w:r>
      <w:r>
        <w:t xml:space="preserve"> </w:t>
      </w:r>
      <w:r w:rsidRPr="00BD799A">
        <w:t>2</w:t>
      </w:r>
      <w:r>
        <w:t xml:space="preserve"> </w:t>
      </w:r>
      <w:r w:rsidRPr="00BD799A">
        <w:t>000</w:t>
      </w:r>
      <w:r>
        <w:t xml:space="preserve"> </w:t>
      </w:r>
      <w:r w:rsidRPr="00BD799A">
        <w:t>000</w:t>
      </w:r>
      <w:r>
        <w:t xml:space="preserve"> </w:t>
      </w:r>
      <w:r w:rsidRPr="00BD799A">
        <w:t>Kč</w:t>
      </w:r>
      <w:r>
        <w:t xml:space="preserve"> </w:t>
      </w:r>
      <w:r w:rsidRPr="00BD799A">
        <w:t>v</w:t>
      </w:r>
      <w:r>
        <w:t xml:space="preserve"> </w:t>
      </w:r>
      <w:r w:rsidRPr="00BD799A">
        <w:t>posledních</w:t>
      </w:r>
      <w:r>
        <w:t xml:space="preserve"> </w:t>
      </w:r>
      <w:r w:rsidRPr="00BD799A">
        <w:t>5</w:t>
      </w:r>
      <w:r>
        <w:t xml:space="preserve"> </w:t>
      </w:r>
      <w:r w:rsidRPr="00BD799A">
        <w:t>letech,</w:t>
      </w:r>
    </w:p>
    <w:p w14:paraId="40C4E5A6" w14:textId="77777777" w:rsidR="00781559" w:rsidRPr="0028008A" w:rsidRDefault="00781559" w:rsidP="00781559">
      <w:pPr>
        <w:pStyle w:val="Textparagrafu"/>
        <w:numPr>
          <w:ilvl w:val="0"/>
          <w:numId w:val="27"/>
        </w:numPr>
        <w:pBdr>
          <w:top w:val="single" w:sz="4" w:space="1" w:color="0070C0"/>
          <w:left w:val="single" w:sz="4" w:space="4" w:color="0070C0"/>
          <w:bottom w:val="single" w:sz="4" w:space="1" w:color="0070C0"/>
          <w:right w:val="single" w:sz="4" w:space="4" w:color="0070C0"/>
        </w:pBdr>
        <w:tabs>
          <w:tab w:val="left" w:pos="392"/>
          <w:tab w:val="left" w:pos="840"/>
        </w:tabs>
        <w:spacing w:before="0"/>
        <w:ind w:left="425" w:hanging="425"/>
        <w:rPr>
          <w:strike/>
          <w:color w:val="0070C0"/>
        </w:rPr>
      </w:pPr>
      <w:r w:rsidRPr="0028008A">
        <w:rPr>
          <w:strike/>
          <w:color w:val="0070C0"/>
        </w:rPr>
        <w:t>i)</w:t>
      </w:r>
      <w:r w:rsidRPr="0028008A">
        <w:rPr>
          <w:b/>
          <w:strike/>
          <w:color w:val="0070C0"/>
        </w:rPr>
        <w:t>j)</w:t>
      </w:r>
      <w:r w:rsidRPr="0028008A">
        <w:rPr>
          <w:strike/>
          <w:color w:val="0070C0"/>
        </w:rPr>
        <w:tab/>
        <w:t>čeští obchodní partneři a obchodní partneři z členských států Evropské unie s uvedením celkového ročního plnění uskutečněných obchodů přesahujícího 20 % ročního obratu v posledních 5 letech,</w:t>
      </w:r>
    </w:p>
    <w:p w14:paraId="5CAAF076" w14:textId="77777777" w:rsidR="00781559" w:rsidRPr="0028008A" w:rsidRDefault="00781559" w:rsidP="00781559">
      <w:pPr>
        <w:pStyle w:val="Odstavecseseznamem"/>
        <w:widowControl w:val="0"/>
        <w:numPr>
          <w:ilvl w:val="0"/>
          <w:numId w:val="27"/>
        </w:numPr>
        <w:pBdr>
          <w:top w:val="single" w:sz="4" w:space="1" w:color="0070C0"/>
          <w:left w:val="single" w:sz="4" w:space="4" w:color="0070C0"/>
          <w:bottom w:val="single" w:sz="4" w:space="1" w:color="0070C0"/>
          <w:right w:val="single" w:sz="4" w:space="4" w:color="0070C0"/>
        </w:pBdr>
        <w:autoSpaceDE w:val="0"/>
        <w:autoSpaceDN w:val="0"/>
        <w:adjustRightInd w:val="0"/>
        <w:spacing w:before="0"/>
        <w:ind w:left="425" w:hanging="425"/>
        <w:rPr>
          <w:b/>
          <w:color w:val="0070C0"/>
        </w:rPr>
      </w:pPr>
      <w:r w:rsidRPr="0028008A">
        <w:rPr>
          <w:b/>
          <w:color w:val="0070C0"/>
        </w:rPr>
        <w:t>j) čeští obchodní partneři a obchodní partneři z členských států Evropské unie v rozsahu stanoveném prováděcím právním předpisem,</w:t>
      </w:r>
    </w:p>
    <w:p w14:paraId="24D7D2EF" w14:textId="77777777" w:rsidR="00781559" w:rsidRDefault="00781559" w:rsidP="00781559">
      <w:pPr>
        <w:pStyle w:val="Textparagrafu"/>
        <w:numPr>
          <w:ilvl w:val="0"/>
          <w:numId w:val="27"/>
        </w:numPr>
        <w:tabs>
          <w:tab w:val="left" w:pos="392"/>
          <w:tab w:val="left" w:pos="840"/>
        </w:tabs>
        <w:spacing w:before="0"/>
        <w:ind w:left="425" w:hanging="425"/>
      </w:pPr>
      <w:r w:rsidRPr="0028008A">
        <w:rPr>
          <w:strike/>
          <w:color w:val="0070C0"/>
        </w:rPr>
        <w:t>j)</w:t>
      </w:r>
      <w:r w:rsidRPr="0028008A">
        <w:rPr>
          <w:b/>
          <w:color w:val="0070C0"/>
        </w:rPr>
        <w:t>k)</w:t>
      </w:r>
      <w:r>
        <w:tab/>
      </w:r>
      <w:r>
        <w:tab/>
      </w:r>
      <w:r w:rsidRPr="00BD799A">
        <w:t>údaje</w:t>
      </w:r>
      <w:r>
        <w:t xml:space="preserve"> </w:t>
      </w:r>
      <w:r w:rsidRPr="00BD799A">
        <w:t>o</w:t>
      </w:r>
      <w:r>
        <w:t xml:space="preserve"> </w:t>
      </w:r>
      <w:r w:rsidRPr="00BD799A">
        <w:t>podání</w:t>
      </w:r>
      <w:r>
        <w:t xml:space="preserve"> </w:t>
      </w:r>
      <w:r w:rsidRPr="00BD799A">
        <w:t>insolvenčního</w:t>
      </w:r>
      <w:r>
        <w:t xml:space="preserve"> </w:t>
      </w:r>
      <w:r w:rsidRPr="00BD799A">
        <w:t>návrhu,</w:t>
      </w:r>
    </w:p>
    <w:p w14:paraId="06C3DC2A" w14:textId="77777777" w:rsidR="00781559" w:rsidRDefault="00781559" w:rsidP="00781559">
      <w:pPr>
        <w:pStyle w:val="Textparagrafu"/>
        <w:numPr>
          <w:ilvl w:val="0"/>
          <w:numId w:val="27"/>
        </w:numPr>
        <w:tabs>
          <w:tab w:val="left" w:pos="392"/>
          <w:tab w:val="left" w:pos="840"/>
        </w:tabs>
        <w:spacing w:before="0"/>
        <w:ind w:left="425" w:hanging="425"/>
      </w:pPr>
      <w:r w:rsidRPr="0028008A">
        <w:rPr>
          <w:strike/>
          <w:color w:val="0070C0"/>
        </w:rPr>
        <w:t>k)</w:t>
      </w:r>
      <w:r w:rsidRPr="0028008A">
        <w:rPr>
          <w:b/>
          <w:color w:val="0070C0"/>
        </w:rPr>
        <w:t>l)</w:t>
      </w:r>
      <w:r>
        <w:tab/>
      </w:r>
      <w:r>
        <w:tab/>
      </w:r>
      <w:r w:rsidRPr="00BD799A">
        <w:t>údaje</w:t>
      </w:r>
      <w:r>
        <w:t xml:space="preserve"> </w:t>
      </w:r>
      <w:r w:rsidRPr="00BD799A">
        <w:t>o</w:t>
      </w:r>
      <w:r>
        <w:t xml:space="preserve"> </w:t>
      </w:r>
      <w:r w:rsidRPr="00BD799A">
        <w:t>rozhodnutí</w:t>
      </w:r>
      <w:r>
        <w:t xml:space="preserve"> </w:t>
      </w:r>
      <w:r w:rsidRPr="00BD799A">
        <w:t>o</w:t>
      </w:r>
      <w:r>
        <w:t xml:space="preserve"> </w:t>
      </w:r>
      <w:r w:rsidRPr="00BD799A">
        <w:t>insolvenčním</w:t>
      </w:r>
      <w:r>
        <w:t xml:space="preserve"> </w:t>
      </w:r>
      <w:r w:rsidRPr="00BD799A">
        <w:t>návrhu,</w:t>
      </w:r>
    </w:p>
    <w:p w14:paraId="22E1F9B9" w14:textId="77777777" w:rsidR="00781559" w:rsidRDefault="00781559" w:rsidP="00781559">
      <w:pPr>
        <w:pStyle w:val="Textparagrafu"/>
        <w:numPr>
          <w:ilvl w:val="0"/>
          <w:numId w:val="27"/>
        </w:numPr>
        <w:tabs>
          <w:tab w:val="left" w:pos="392"/>
          <w:tab w:val="left" w:pos="840"/>
        </w:tabs>
        <w:spacing w:before="0"/>
        <w:ind w:left="425" w:hanging="425"/>
      </w:pPr>
      <w:r w:rsidRPr="0028008A">
        <w:rPr>
          <w:strike/>
          <w:color w:val="0070C0"/>
        </w:rPr>
        <w:t>l)</w:t>
      </w:r>
      <w:r w:rsidRPr="0028008A">
        <w:rPr>
          <w:b/>
          <w:color w:val="0070C0"/>
        </w:rPr>
        <w:t>m</w:t>
      </w:r>
      <w:r w:rsidRPr="00ED1212">
        <w:rPr>
          <w:b/>
        </w:rPr>
        <w:t>)</w:t>
      </w:r>
      <w:r w:rsidRPr="00BD799A">
        <w:t>údaje</w:t>
      </w:r>
      <w:r>
        <w:t xml:space="preserve"> </w:t>
      </w:r>
      <w:r w:rsidRPr="00BD799A">
        <w:t>o</w:t>
      </w:r>
      <w:r>
        <w:t xml:space="preserve"> </w:t>
      </w:r>
      <w:r w:rsidRPr="00BD799A">
        <w:t>způsobu</w:t>
      </w:r>
      <w:r>
        <w:t xml:space="preserve"> </w:t>
      </w:r>
      <w:r w:rsidRPr="00BD799A">
        <w:t>řešení</w:t>
      </w:r>
      <w:r>
        <w:t xml:space="preserve"> </w:t>
      </w:r>
      <w:r w:rsidRPr="00BD799A">
        <w:t>úpadku,</w:t>
      </w:r>
    </w:p>
    <w:p w14:paraId="5235E61A" w14:textId="77777777" w:rsidR="00781559" w:rsidRDefault="00781559" w:rsidP="00781559">
      <w:pPr>
        <w:pStyle w:val="Textparagrafu"/>
        <w:numPr>
          <w:ilvl w:val="0"/>
          <w:numId w:val="27"/>
        </w:numPr>
        <w:tabs>
          <w:tab w:val="left" w:pos="392"/>
          <w:tab w:val="left" w:pos="840"/>
        </w:tabs>
        <w:spacing w:before="0"/>
        <w:ind w:left="425" w:hanging="425"/>
      </w:pPr>
      <w:r w:rsidRPr="0028008A">
        <w:rPr>
          <w:strike/>
          <w:color w:val="0070C0"/>
        </w:rPr>
        <w:t>m)</w:t>
      </w:r>
      <w:r w:rsidRPr="0028008A">
        <w:rPr>
          <w:b/>
          <w:color w:val="0070C0"/>
        </w:rPr>
        <w:t>n)</w:t>
      </w:r>
      <w:r w:rsidRPr="00BD799A">
        <w:t>údaje</w:t>
      </w:r>
      <w:r>
        <w:t xml:space="preserve"> </w:t>
      </w:r>
      <w:r w:rsidRPr="00BD799A">
        <w:t>o</w:t>
      </w:r>
      <w:r>
        <w:t xml:space="preserve"> </w:t>
      </w:r>
      <w:r w:rsidRPr="00BD799A">
        <w:t>zrušení</w:t>
      </w:r>
      <w:r>
        <w:t xml:space="preserve"> </w:t>
      </w:r>
      <w:r w:rsidRPr="00BD799A">
        <w:t>podnikatele,</w:t>
      </w:r>
    </w:p>
    <w:p w14:paraId="78C9609D" w14:textId="77777777" w:rsidR="00781559" w:rsidRDefault="00781559" w:rsidP="00781559">
      <w:pPr>
        <w:pStyle w:val="Textparagrafu"/>
        <w:numPr>
          <w:ilvl w:val="0"/>
          <w:numId w:val="27"/>
        </w:numPr>
        <w:tabs>
          <w:tab w:val="left" w:pos="392"/>
          <w:tab w:val="left" w:pos="840"/>
        </w:tabs>
        <w:spacing w:before="0"/>
        <w:ind w:left="425" w:hanging="425"/>
      </w:pPr>
      <w:r w:rsidRPr="0028008A">
        <w:rPr>
          <w:strike/>
          <w:color w:val="0070C0"/>
        </w:rPr>
        <w:t>n)</w:t>
      </w:r>
      <w:r w:rsidRPr="0028008A">
        <w:rPr>
          <w:b/>
          <w:color w:val="0070C0"/>
        </w:rPr>
        <w:t>o)</w:t>
      </w:r>
      <w:r>
        <w:tab/>
      </w:r>
      <w:r w:rsidRPr="00BD799A">
        <w:t>plnění</w:t>
      </w:r>
      <w:r>
        <w:t xml:space="preserve"> </w:t>
      </w:r>
      <w:r w:rsidRPr="00BD799A">
        <w:t>závazků</w:t>
      </w:r>
      <w:r>
        <w:t xml:space="preserve"> </w:t>
      </w:r>
      <w:r w:rsidRPr="00BD799A">
        <w:t>vůči</w:t>
      </w:r>
      <w:r>
        <w:t xml:space="preserve"> </w:t>
      </w:r>
      <w:r w:rsidRPr="00BD799A">
        <w:t>státu</w:t>
      </w:r>
      <w:r>
        <w:t xml:space="preserve"> </w:t>
      </w:r>
      <w:r w:rsidRPr="00BD799A">
        <w:t>podle</w:t>
      </w:r>
      <w:r>
        <w:t xml:space="preserve"> </w:t>
      </w:r>
      <w:r w:rsidRPr="00BD799A">
        <w:t>§</w:t>
      </w:r>
      <w:r>
        <w:t xml:space="preserve"> </w:t>
      </w:r>
      <w:r w:rsidRPr="00BD799A">
        <w:t>17</w:t>
      </w:r>
      <w:r>
        <w:t xml:space="preserve"> </w:t>
      </w:r>
      <w:r w:rsidRPr="00BD799A">
        <w:t>odst.</w:t>
      </w:r>
      <w:r>
        <w:t xml:space="preserve"> </w:t>
      </w:r>
      <w:r w:rsidRPr="00BD799A">
        <w:t>2</w:t>
      </w:r>
      <w:r>
        <w:t xml:space="preserve"> </w:t>
      </w:r>
      <w:r w:rsidRPr="00BD799A">
        <w:t>písm.</w:t>
      </w:r>
      <w:r>
        <w:t xml:space="preserve"> </w:t>
      </w:r>
      <w:r w:rsidRPr="00BD799A">
        <w:t>a)</w:t>
      </w:r>
      <w:r>
        <w:t xml:space="preserve"> </w:t>
      </w:r>
      <w:r w:rsidRPr="00BD799A">
        <w:t>a</w:t>
      </w:r>
      <w:r>
        <w:t xml:space="preserve"> </w:t>
      </w:r>
      <w:r w:rsidRPr="00BD799A">
        <w:t>b),</w:t>
      </w:r>
    </w:p>
    <w:p w14:paraId="608C59D3" w14:textId="77777777" w:rsidR="00781559" w:rsidRDefault="00781559" w:rsidP="00781559">
      <w:pPr>
        <w:pStyle w:val="Textparagrafu"/>
        <w:numPr>
          <w:ilvl w:val="0"/>
          <w:numId w:val="27"/>
        </w:numPr>
        <w:pBdr>
          <w:top w:val="single" w:sz="4" w:space="1" w:color="0070C0"/>
          <w:left w:val="single" w:sz="4" w:space="4" w:color="0070C0"/>
          <w:bottom w:val="single" w:sz="4" w:space="1" w:color="0070C0"/>
          <w:right w:val="single" w:sz="4" w:space="4" w:color="0070C0"/>
        </w:pBdr>
        <w:tabs>
          <w:tab w:val="left" w:pos="392"/>
          <w:tab w:val="left" w:pos="840"/>
        </w:tabs>
        <w:spacing w:before="0"/>
        <w:ind w:left="425" w:hanging="425"/>
      </w:pPr>
      <w:r w:rsidRPr="0028008A">
        <w:rPr>
          <w:strike/>
          <w:color w:val="0070C0"/>
        </w:rPr>
        <w:t>o)</w:t>
      </w:r>
      <w:r w:rsidRPr="0028008A">
        <w:rPr>
          <w:b/>
          <w:color w:val="0070C0"/>
        </w:rPr>
        <w:t>p)</w:t>
      </w:r>
      <w:r>
        <w:tab/>
      </w:r>
      <w:r w:rsidRPr="00BD799A">
        <w:t>údaje</w:t>
      </w:r>
      <w:r>
        <w:t xml:space="preserve"> </w:t>
      </w:r>
      <w:r w:rsidRPr="00BD799A">
        <w:t>odpovědné</w:t>
      </w:r>
      <w:r>
        <w:t xml:space="preserve"> </w:t>
      </w:r>
      <w:r w:rsidRPr="00BD799A">
        <w:t>osoby</w:t>
      </w:r>
      <w:r>
        <w:t xml:space="preserve"> </w:t>
      </w:r>
      <w:r w:rsidRPr="00BD799A">
        <w:t>podnikatele,</w:t>
      </w:r>
      <w:r>
        <w:t xml:space="preserve"> </w:t>
      </w:r>
      <w:r w:rsidRPr="00BD799A">
        <w:t>jimiž</w:t>
      </w:r>
      <w:r>
        <w:t xml:space="preserve"> </w:t>
      </w:r>
      <w:r w:rsidRPr="00BD799A">
        <w:t>jsou</w:t>
      </w:r>
      <w:r>
        <w:t xml:space="preserve"> </w:t>
      </w:r>
      <w:r w:rsidRPr="00BD799A">
        <w:t>jméno,</w:t>
      </w:r>
      <w:r>
        <w:t xml:space="preserve"> </w:t>
      </w:r>
      <w:r w:rsidRPr="00BD799A">
        <w:t>příjmení,</w:t>
      </w:r>
      <w:r>
        <w:t xml:space="preserve"> </w:t>
      </w:r>
      <w:r w:rsidRPr="00BD799A">
        <w:t>rodné</w:t>
      </w:r>
      <w:r>
        <w:t xml:space="preserve"> </w:t>
      </w:r>
      <w:r w:rsidRPr="00BD799A">
        <w:t>číslo,</w:t>
      </w:r>
      <w:r>
        <w:t xml:space="preserve"> </w:t>
      </w:r>
      <w:r w:rsidRPr="00BD799A">
        <w:t>bylo-li</w:t>
      </w:r>
      <w:r>
        <w:t xml:space="preserve"> </w:t>
      </w:r>
      <w:r w:rsidRPr="00BD799A">
        <w:t>přiděleno,</w:t>
      </w:r>
      <w:r>
        <w:t xml:space="preserve"> </w:t>
      </w:r>
      <w:r w:rsidRPr="00BD799A">
        <w:t>datum</w:t>
      </w:r>
      <w:r>
        <w:t xml:space="preserve"> </w:t>
      </w:r>
      <w:r w:rsidRPr="00BD799A">
        <w:t>narození</w:t>
      </w:r>
      <w:r>
        <w:t xml:space="preserve"> </w:t>
      </w:r>
      <w:r w:rsidRPr="00BD799A">
        <w:t>a</w:t>
      </w:r>
      <w:r>
        <w:t xml:space="preserve"> </w:t>
      </w:r>
      <w:r w:rsidRPr="00BD799A">
        <w:t>zastávaná</w:t>
      </w:r>
      <w:r>
        <w:t xml:space="preserve"> </w:t>
      </w:r>
      <w:r w:rsidRPr="00BD799A">
        <w:t>funkce</w:t>
      </w:r>
      <w:r>
        <w:t xml:space="preserve"> </w:t>
      </w:r>
      <w:r w:rsidRPr="00BD799A">
        <w:t>u</w:t>
      </w:r>
      <w:r>
        <w:t xml:space="preserve"> </w:t>
      </w:r>
      <w:r w:rsidRPr="0028008A">
        <w:rPr>
          <w:strike/>
          <w:color w:val="0070C0"/>
        </w:rPr>
        <w:t>podnikatele a</w:t>
      </w:r>
      <w:r w:rsidRPr="0028008A">
        <w:rPr>
          <w:b/>
          <w:color w:val="0070C0"/>
        </w:rPr>
        <w:t xml:space="preserve"> podnikatele,</w:t>
      </w:r>
    </w:p>
    <w:p w14:paraId="035ED7FC" w14:textId="77777777" w:rsidR="00781559" w:rsidRPr="00ED1212" w:rsidRDefault="00781559" w:rsidP="00781559">
      <w:pPr>
        <w:pStyle w:val="Textparagrafu"/>
        <w:numPr>
          <w:ilvl w:val="0"/>
          <w:numId w:val="27"/>
        </w:numPr>
        <w:pBdr>
          <w:top w:val="single" w:sz="4" w:space="1" w:color="0070C0"/>
          <w:left w:val="single" w:sz="4" w:space="4" w:color="0070C0"/>
          <w:bottom w:val="single" w:sz="4" w:space="1" w:color="0070C0"/>
          <w:right w:val="single" w:sz="4" w:space="4" w:color="0070C0"/>
        </w:pBdr>
        <w:tabs>
          <w:tab w:val="left" w:pos="392"/>
          <w:tab w:val="left" w:pos="840"/>
        </w:tabs>
        <w:spacing w:before="0"/>
        <w:ind w:left="425" w:hanging="425"/>
      </w:pPr>
      <w:r w:rsidRPr="0028008A">
        <w:rPr>
          <w:strike/>
          <w:color w:val="0070C0"/>
        </w:rPr>
        <w:t>p)</w:t>
      </w:r>
      <w:r w:rsidRPr="0028008A">
        <w:rPr>
          <w:b/>
          <w:color w:val="0070C0"/>
        </w:rPr>
        <w:t>q)</w:t>
      </w:r>
      <w:r>
        <w:tab/>
      </w:r>
      <w:r w:rsidRPr="00BD799A">
        <w:t>trestní</w:t>
      </w:r>
      <w:r>
        <w:t xml:space="preserve"> </w:t>
      </w:r>
      <w:r w:rsidRPr="00BD799A">
        <w:t>řízení</w:t>
      </w:r>
      <w:r w:rsidRPr="0028008A">
        <w:rPr>
          <w:strike/>
          <w:color w:val="0070C0"/>
        </w:rPr>
        <w:t>.</w:t>
      </w:r>
      <w:r w:rsidRPr="0028008A">
        <w:rPr>
          <w:b/>
          <w:color w:val="0070C0"/>
        </w:rPr>
        <w:t>, a</w:t>
      </w:r>
    </w:p>
    <w:p w14:paraId="68909A56" w14:textId="77777777" w:rsidR="00781559" w:rsidRPr="0028008A" w:rsidRDefault="00781559" w:rsidP="00781559">
      <w:pPr>
        <w:pStyle w:val="Textparagrafu"/>
        <w:numPr>
          <w:ilvl w:val="0"/>
          <w:numId w:val="27"/>
        </w:numPr>
        <w:pBdr>
          <w:top w:val="single" w:sz="4" w:space="1" w:color="0070C0"/>
          <w:left w:val="single" w:sz="4" w:space="4" w:color="0070C0"/>
          <w:bottom w:val="single" w:sz="4" w:space="1" w:color="0070C0"/>
          <w:right w:val="single" w:sz="4" w:space="4" w:color="0070C0"/>
        </w:pBdr>
        <w:tabs>
          <w:tab w:val="left" w:pos="392"/>
          <w:tab w:val="left" w:pos="840"/>
        </w:tabs>
        <w:spacing w:before="0"/>
        <w:ind w:left="425" w:hanging="425"/>
        <w:rPr>
          <w:color w:val="0070C0"/>
        </w:rPr>
      </w:pPr>
      <w:r w:rsidRPr="0028008A">
        <w:rPr>
          <w:b/>
          <w:color w:val="0070C0"/>
        </w:rPr>
        <w:t>r)</w:t>
      </w:r>
      <w:r w:rsidRPr="0028008A">
        <w:rPr>
          <w:b/>
          <w:color w:val="0070C0"/>
        </w:rPr>
        <w:tab/>
        <w:t>seznam funkcí a osob, u kterých se předpokládá přístup k utajovaným informacím, s uvedením jejich rodného čísla, bylo-li přiděleno, a stupně utajení, a u oznámení podle § 6 vydaných podnikatelem datum jejich vydání.</w:t>
      </w:r>
    </w:p>
    <w:p w14:paraId="548CD8FD" w14:textId="77777777" w:rsidR="00E67B84" w:rsidRDefault="00E67B84" w:rsidP="00630285">
      <w:pPr>
        <w:pStyle w:val="Textparagrafu"/>
        <w:tabs>
          <w:tab w:val="left" w:pos="392"/>
          <w:tab w:val="left" w:pos="840"/>
        </w:tabs>
        <w:spacing w:after="120"/>
        <w:jc w:val="center"/>
        <w:sectPr w:rsidR="00E67B84" w:rsidSect="00ED1212">
          <w:footnotePr>
            <w:numStart w:val="3"/>
          </w:footnotePr>
          <w:endnotePr>
            <w:numFmt w:val="decimal"/>
          </w:endnotePr>
          <w:pgSz w:w="11906" w:h="16838"/>
          <w:pgMar w:top="1418" w:right="1418" w:bottom="1418" w:left="1418" w:header="709" w:footer="709" w:gutter="0"/>
          <w:cols w:space="708"/>
          <w:docGrid w:linePitch="360"/>
        </w:sectPr>
      </w:pPr>
    </w:p>
    <w:p w14:paraId="0CC2CE84" w14:textId="27BCC176" w:rsidR="00F74E5B" w:rsidRPr="00356CAE" w:rsidRDefault="00F74E5B" w:rsidP="00356CAE">
      <w:pPr>
        <w:tabs>
          <w:tab w:val="left" w:pos="851"/>
        </w:tabs>
        <w:spacing w:before="120" w:after="120"/>
        <w:ind w:firstLine="0"/>
        <w:jc w:val="center"/>
        <w:outlineLvl w:val="0"/>
        <w:rPr>
          <w:szCs w:val="24"/>
        </w:rPr>
      </w:pPr>
      <w:r w:rsidRPr="00356CAE">
        <w:rPr>
          <w:b/>
          <w:szCs w:val="24"/>
        </w:rPr>
        <w:lastRenderedPageBreak/>
        <w:t xml:space="preserve">K části osmdesáté </w:t>
      </w:r>
      <w:r w:rsidR="00180250">
        <w:rPr>
          <w:b/>
          <w:szCs w:val="24"/>
        </w:rPr>
        <w:t>deváté</w:t>
      </w:r>
      <w:r w:rsidR="00EC0934" w:rsidRPr="00356CAE">
        <w:rPr>
          <w:b/>
          <w:szCs w:val="24"/>
        </w:rPr>
        <w:t xml:space="preserve"> </w:t>
      </w:r>
      <w:r w:rsidRPr="00356CAE">
        <w:rPr>
          <w:b/>
          <w:szCs w:val="24"/>
        </w:rPr>
        <w:t xml:space="preserve">návrhu zákona – </w:t>
      </w:r>
      <w:r w:rsidRPr="00356CAE">
        <w:rPr>
          <w:szCs w:val="24"/>
        </w:rPr>
        <w:t xml:space="preserve">změna </w:t>
      </w:r>
      <w:r w:rsidR="006436A8">
        <w:rPr>
          <w:szCs w:val="24"/>
        </w:rPr>
        <w:t>insolvenčního zákona</w:t>
      </w:r>
    </w:p>
    <w:p w14:paraId="28794930" w14:textId="110CEDF3" w:rsidR="00F74E5B" w:rsidRPr="00356CAE" w:rsidRDefault="00F74E5B" w:rsidP="00F74E5B">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356CAE">
        <w:rPr>
          <w:b/>
          <w:szCs w:val="24"/>
        </w:rPr>
        <w:t>Platné znění</w:t>
      </w:r>
      <w:r w:rsidRPr="00356CAE">
        <w:rPr>
          <w:szCs w:val="24"/>
        </w:rPr>
        <w:t xml:space="preserve"> zákona č. 182/2006 Sb., o úpadku a způsobech jeho řešení (insolvenční zákon)</w:t>
      </w:r>
    </w:p>
    <w:p w14:paraId="4FF988DC" w14:textId="1D23DDF8" w:rsidR="00F74E5B" w:rsidRPr="00356CAE" w:rsidRDefault="00356CAE" w:rsidP="00356CAE">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b/>
          <w:szCs w:val="24"/>
        </w:rPr>
      </w:pPr>
      <w:r w:rsidRPr="00A06781">
        <w:rPr>
          <w:b/>
          <w:szCs w:val="24"/>
        </w:rPr>
        <w:t>s vyznačením navrhovaných změn a doplnění k 1. lednu 2025</w:t>
      </w:r>
    </w:p>
    <w:p w14:paraId="6CDFBF9D" w14:textId="77777777" w:rsidR="00E75E16" w:rsidRDefault="00E75E16" w:rsidP="00356CAE">
      <w:pPr>
        <w:keepNext/>
        <w:keepLines/>
        <w:numPr>
          <w:ilvl w:val="0"/>
          <w:numId w:val="39"/>
        </w:numPr>
        <w:spacing w:before="0" w:after="160" w:line="259" w:lineRule="auto"/>
        <w:jc w:val="center"/>
        <w:outlineLvl w:val="5"/>
        <w:rPr>
          <w:b/>
        </w:rPr>
      </w:pPr>
    </w:p>
    <w:p w14:paraId="087DE8B7" w14:textId="4A45A535" w:rsidR="00356CAE" w:rsidRPr="00356CAE" w:rsidRDefault="00356CAE" w:rsidP="00356CAE">
      <w:pPr>
        <w:keepNext/>
        <w:keepLines/>
        <w:numPr>
          <w:ilvl w:val="0"/>
          <w:numId w:val="39"/>
        </w:numPr>
        <w:spacing w:before="0" w:after="160" w:line="259" w:lineRule="auto"/>
        <w:jc w:val="center"/>
        <w:outlineLvl w:val="5"/>
        <w:rPr>
          <w:b/>
        </w:rPr>
      </w:pPr>
      <w:r w:rsidRPr="00356CAE">
        <w:rPr>
          <w:b/>
        </w:rPr>
        <w:t>***</w:t>
      </w:r>
    </w:p>
    <w:p w14:paraId="61556B67" w14:textId="77777777" w:rsidR="00356CAE" w:rsidRPr="00356CAE" w:rsidRDefault="00356CAE" w:rsidP="00356CAE">
      <w:pPr>
        <w:keepNext/>
        <w:keepLines/>
        <w:numPr>
          <w:ilvl w:val="0"/>
          <w:numId w:val="39"/>
        </w:numPr>
        <w:spacing w:before="0" w:after="240" w:line="259" w:lineRule="auto"/>
        <w:jc w:val="center"/>
        <w:outlineLvl w:val="5"/>
      </w:pPr>
      <w:r w:rsidRPr="00356CAE">
        <w:t>§ 3</w:t>
      </w:r>
    </w:p>
    <w:p w14:paraId="2506393B" w14:textId="77777777" w:rsidR="00356CAE" w:rsidRPr="00356CAE" w:rsidRDefault="00356CAE" w:rsidP="00356CAE">
      <w:pPr>
        <w:tabs>
          <w:tab w:val="left" w:pos="851"/>
        </w:tabs>
        <w:spacing w:before="120" w:after="120"/>
        <w:outlineLvl w:val="6"/>
      </w:pPr>
      <w:r w:rsidRPr="00356CAE">
        <w:t>(1) Dlužník je v úpadku, jestliže má</w:t>
      </w:r>
    </w:p>
    <w:p w14:paraId="7ACE5051" w14:textId="77777777" w:rsidR="00356CAE" w:rsidRPr="00356CAE" w:rsidRDefault="00356CAE" w:rsidP="00356CAE">
      <w:pPr>
        <w:spacing w:before="0"/>
        <w:ind w:left="425" w:hanging="425"/>
        <w:outlineLvl w:val="7"/>
      </w:pPr>
      <w:r w:rsidRPr="00356CAE">
        <w:t>a)</w:t>
      </w:r>
      <w:r w:rsidRPr="00356CAE">
        <w:tab/>
        <w:t>více věřitelů a</w:t>
      </w:r>
    </w:p>
    <w:p w14:paraId="57EC22FE" w14:textId="77777777" w:rsidR="00356CAE" w:rsidRPr="00356CAE" w:rsidRDefault="00356CAE" w:rsidP="00356CAE">
      <w:pPr>
        <w:spacing w:before="0"/>
        <w:ind w:left="425" w:hanging="425"/>
        <w:outlineLvl w:val="7"/>
      </w:pPr>
      <w:r w:rsidRPr="00356CAE">
        <w:t>b)</w:t>
      </w:r>
      <w:r w:rsidRPr="00356CAE">
        <w:tab/>
        <w:t>peněžité závazky po dobu delší 30 dnů po lhůtě splatnosti a</w:t>
      </w:r>
    </w:p>
    <w:p w14:paraId="190755F3" w14:textId="77777777" w:rsidR="00356CAE" w:rsidRPr="00356CAE" w:rsidRDefault="00356CAE" w:rsidP="00356CAE">
      <w:pPr>
        <w:numPr>
          <w:ilvl w:val="1"/>
          <w:numId w:val="39"/>
        </w:numPr>
        <w:spacing w:before="0" w:after="160" w:line="259" w:lineRule="auto"/>
        <w:ind w:firstLine="425"/>
        <w:jc w:val="left"/>
        <w:outlineLvl w:val="7"/>
      </w:pPr>
      <w:r w:rsidRPr="00356CAE">
        <w:t>tyto závazky není schopen plnit (dále jen "platební neschopnost").</w:t>
      </w:r>
    </w:p>
    <w:p w14:paraId="4978FF6D" w14:textId="77777777" w:rsidR="00356CAE" w:rsidRPr="00356CAE" w:rsidRDefault="00356CAE" w:rsidP="00356CAE">
      <w:pPr>
        <w:tabs>
          <w:tab w:val="left" w:pos="851"/>
        </w:tabs>
        <w:spacing w:before="120" w:after="120"/>
        <w:outlineLvl w:val="6"/>
      </w:pPr>
      <w:r w:rsidRPr="00356CAE">
        <w:t>(2) Má se za to, že dlužník není schopen plnit své peněžité závazky, jestliže</w:t>
      </w:r>
    </w:p>
    <w:p w14:paraId="41EBE29F" w14:textId="77777777" w:rsidR="00356CAE" w:rsidRPr="00356CAE" w:rsidRDefault="00356CAE" w:rsidP="00356CAE">
      <w:pPr>
        <w:spacing w:before="0"/>
        <w:ind w:left="425" w:hanging="425"/>
        <w:outlineLvl w:val="7"/>
      </w:pPr>
      <w:r w:rsidRPr="00356CAE">
        <w:t>a)</w:t>
      </w:r>
      <w:r w:rsidRPr="00356CAE">
        <w:tab/>
        <w:t>zastavil platby podstatné části svých peněžitých závazků, nebo</w:t>
      </w:r>
    </w:p>
    <w:p w14:paraId="1161C86E" w14:textId="77777777" w:rsidR="00356CAE" w:rsidRPr="00356CAE" w:rsidRDefault="00356CAE" w:rsidP="00356CAE">
      <w:pPr>
        <w:spacing w:before="0"/>
        <w:ind w:left="425" w:hanging="425"/>
        <w:outlineLvl w:val="7"/>
      </w:pPr>
      <w:r w:rsidRPr="00356CAE">
        <w:t>b)</w:t>
      </w:r>
      <w:r w:rsidRPr="00356CAE">
        <w:tab/>
        <w:t>je neplní po dobu delší 3 měsíců po lhůtě splatnosti, nebo</w:t>
      </w:r>
    </w:p>
    <w:p w14:paraId="6F52CF31" w14:textId="77777777" w:rsidR="00356CAE" w:rsidRPr="00356CAE" w:rsidRDefault="00356CAE" w:rsidP="00356CAE">
      <w:pPr>
        <w:spacing w:before="0"/>
        <w:ind w:left="425" w:hanging="425"/>
        <w:outlineLvl w:val="7"/>
      </w:pPr>
      <w:r w:rsidRPr="00356CAE">
        <w:t>c)</w:t>
      </w:r>
      <w:r w:rsidRPr="00356CAE">
        <w:tab/>
        <w:t>není možné dosáhnout uspokojení některé ze splatných peněžitých pohledávek vůči dlužníku výkonem rozhodnutí nebo exekucí, nebo</w:t>
      </w:r>
    </w:p>
    <w:p w14:paraId="56E38396" w14:textId="77777777" w:rsidR="00356CAE" w:rsidRPr="00356CAE" w:rsidRDefault="00356CAE" w:rsidP="00356CAE">
      <w:pPr>
        <w:spacing w:before="0"/>
        <w:ind w:left="425" w:hanging="425"/>
        <w:outlineLvl w:val="7"/>
      </w:pPr>
      <w:r w:rsidRPr="00356CAE">
        <w:t>d)</w:t>
      </w:r>
      <w:r w:rsidRPr="00356CAE">
        <w:tab/>
        <w:t>nesplnil povinnost předložit seznamy uvedené v § 104 odst. 1, kterou mu uložil insolvenční soud.</w:t>
      </w:r>
    </w:p>
    <w:p w14:paraId="713BE3D6" w14:textId="77777777" w:rsidR="00356CAE" w:rsidRPr="00356CAE" w:rsidRDefault="00356CAE" w:rsidP="00356CAE">
      <w:pPr>
        <w:tabs>
          <w:tab w:val="left" w:pos="851"/>
        </w:tabs>
        <w:spacing w:before="120" w:after="120"/>
        <w:outlineLvl w:val="6"/>
      </w:pPr>
      <w:r w:rsidRPr="00356CAE">
        <w:t xml:space="preserve">(3) Má se za to, že dlužník, který je podnikatelem a </w:t>
      </w:r>
      <w:r w:rsidRPr="00356CAE">
        <w:rPr>
          <w:strike/>
        </w:rPr>
        <w:t>vede účetnictví</w:t>
      </w:r>
      <w:r w:rsidRPr="00356CAE">
        <w:rPr>
          <w:b/>
        </w:rPr>
        <w:t xml:space="preserve"> účetní jednotkou</w:t>
      </w:r>
      <w:r w:rsidRPr="00356CAE">
        <w:t>, je schopen plnit své peněžité závazky, jestliže rozdíl mezi výší jeho splatných peněžitých závazků a výší jeho disponibilních prostředků (dále jen "mezera krytí") stanovený ve výkazu stavu likvidity podle prováděcího právního předpisu představuje méně než desetinu výše jeho splatných peněžitých závazků, anebo pokud výhled vývoje likvidity sestavený podle prováděcího právního předpisu osvědčuje, že mezera krytí klesne v období, na které se výhled vývoje likvidity sestavuje, pod jednu desetinu výše jeho splatných peněžitých závazků. Výkaz stavu likvidity anebo výhled vývoje likvidity musí být sestavené v souladu s požadavky, které stanoví prováděcí právní předpis, auditorem, znalcem nebo osobou, která se zabývá ekonomickým poradenstvím v oblasti insolvencí a restrukturalizací a splňuje požadavky stanovené prováděcím právním předpisem.</w:t>
      </w:r>
    </w:p>
    <w:p w14:paraId="21A07A7C" w14:textId="77777777" w:rsidR="00356CAE" w:rsidRPr="00356CAE" w:rsidRDefault="00356CAE" w:rsidP="00356CAE">
      <w:pPr>
        <w:tabs>
          <w:tab w:val="left" w:pos="851"/>
        </w:tabs>
        <w:spacing w:before="120" w:after="120"/>
        <w:outlineLvl w:val="6"/>
      </w:pPr>
      <w:r w:rsidRPr="00356CAE">
        <w:t>(4) Dlužník, který je právnickou osobou nebo fyzickou osobou - podnikatelem, je v úpadku i tehdy, je-li předlužen. O předlužení jde tehdy, má-li dlužník více věřitelů a souhrn jeho závazků převyšuje hodnotu jeho majetku. Při stanovení hodnoty dlužníkova majetku se přihlíží také k další správě jeho majetku, případně k dalšímu provozování jeho podniku, lze-li se zřetelem ke všem okolnostem důvodně předpokládat, že dlužník bude moci ve správě majetku nebo v provozu podniku pokračovat.</w:t>
      </w:r>
    </w:p>
    <w:p w14:paraId="2487B6B3" w14:textId="77777777" w:rsidR="00356CAE" w:rsidRPr="00356CAE" w:rsidRDefault="00356CAE" w:rsidP="00356CAE">
      <w:pPr>
        <w:tabs>
          <w:tab w:val="left" w:pos="851"/>
        </w:tabs>
        <w:spacing w:before="120" w:after="120"/>
        <w:outlineLvl w:val="6"/>
      </w:pPr>
      <w:r w:rsidRPr="00356CAE">
        <w:t>(5) O hrozící úpadek jde tehdy, lze-li se zřetelem ke všem okolnostem důvodně předpokládat, že dlužník nebude schopen řádně a včas splnit podstatnou část svých peněžitých závazků.</w:t>
      </w:r>
    </w:p>
    <w:p w14:paraId="0578A7BB" w14:textId="77777777" w:rsidR="00356CAE" w:rsidRPr="00356CAE" w:rsidRDefault="00356CAE" w:rsidP="00356CAE">
      <w:pPr>
        <w:tabs>
          <w:tab w:val="left" w:pos="851"/>
        </w:tabs>
        <w:spacing w:before="120" w:after="120"/>
        <w:outlineLvl w:val="6"/>
      </w:pPr>
      <w:r w:rsidRPr="00356CAE">
        <w:t xml:space="preserve">(6) Obsah, rozsah a způsob sestavování výkazu stavu likvidity a výhledu vývoje likvidity a uspořádání, označování a obsahové vymezení jednotlivých položek majetku, závazků, nákladů, výnosů, příjmů a výdajů ve výkazu stavu likvidity a výhledu vývoje likvidity, délku období, na které se sestavuje výhled vývoje likvidity, a požadavky na osoby, které jsou </w:t>
      </w:r>
      <w:r w:rsidRPr="00356CAE">
        <w:lastRenderedPageBreak/>
        <w:t>oprávněny k sestavení výkazu stavu likvidity anebo výhledu vývoje likvidity, stanoví prováděcí právní předpis.</w:t>
      </w:r>
    </w:p>
    <w:p w14:paraId="00C754FA" w14:textId="77777777" w:rsidR="00356CAE" w:rsidRPr="00356CAE" w:rsidRDefault="00356CAE" w:rsidP="00356CAE">
      <w:pPr>
        <w:keepNext/>
        <w:keepLines/>
        <w:numPr>
          <w:ilvl w:val="0"/>
          <w:numId w:val="39"/>
        </w:numPr>
        <w:spacing w:before="0" w:after="160" w:line="259" w:lineRule="auto"/>
        <w:jc w:val="center"/>
        <w:outlineLvl w:val="5"/>
        <w:rPr>
          <w:b/>
        </w:rPr>
      </w:pPr>
      <w:r w:rsidRPr="00356CAE">
        <w:rPr>
          <w:b/>
        </w:rPr>
        <w:t>***</w:t>
      </w:r>
    </w:p>
    <w:p w14:paraId="7A13BC74" w14:textId="77777777" w:rsidR="00356CAE" w:rsidRPr="00356CAE" w:rsidRDefault="00356CAE" w:rsidP="00356CAE">
      <w:pPr>
        <w:keepNext/>
        <w:keepLines/>
        <w:numPr>
          <w:ilvl w:val="0"/>
          <w:numId w:val="39"/>
        </w:numPr>
        <w:spacing w:before="0" w:after="240" w:line="259" w:lineRule="auto"/>
        <w:jc w:val="center"/>
        <w:outlineLvl w:val="5"/>
      </w:pPr>
      <w:r w:rsidRPr="00356CAE">
        <w:t>§ 58</w:t>
      </w:r>
    </w:p>
    <w:p w14:paraId="6231B2D7" w14:textId="77777777" w:rsidR="00356CAE" w:rsidRPr="00356CAE" w:rsidRDefault="00356CAE" w:rsidP="00356CAE">
      <w:pPr>
        <w:tabs>
          <w:tab w:val="left" w:pos="851"/>
        </w:tabs>
        <w:spacing w:before="120" w:after="120"/>
        <w:outlineLvl w:val="6"/>
      </w:pPr>
      <w:r w:rsidRPr="00356CAE">
        <w:t>(1) Věřitelský výbor chrání společný zájem věřitelů a v součinnosti s insolvenčním správcem přispívá k naplnění účelu insolvenčního řízení.</w:t>
      </w:r>
    </w:p>
    <w:p w14:paraId="27A6BB7F" w14:textId="77777777" w:rsidR="00356CAE" w:rsidRPr="00356CAE" w:rsidRDefault="00356CAE" w:rsidP="00356CAE">
      <w:pPr>
        <w:tabs>
          <w:tab w:val="left" w:pos="851"/>
        </w:tabs>
        <w:spacing w:before="120" w:after="120"/>
        <w:outlineLvl w:val="6"/>
      </w:pPr>
      <w:r w:rsidRPr="00356CAE">
        <w:t>(2) Věřitelský výbor zejména</w:t>
      </w:r>
    </w:p>
    <w:p w14:paraId="4273C55D" w14:textId="77777777" w:rsidR="00356CAE" w:rsidRPr="00356CAE" w:rsidRDefault="00356CAE" w:rsidP="00356CAE">
      <w:pPr>
        <w:spacing w:before="0"/>
        <w:ind w:left="425" w:hanging="425"/>
        <w:outlineLvl w:val="7"/>
      </w:pPr>
      <w:r w:rsidRPr="00356CAE">
        <w:t>a)</w:t>
      </w:r>
      <w:r w:rsidRPr="00356CAE">
        <w:tab/>
        <w:t>dohlíží na činnost insolvenčního správce,</w:t>
      </w:r>
    </w:p>
    <w:p w14:paraId="6E674C89" w14:textId="77777777" w:rsidR="00356CAE" w:rsidRPr="00356CAE" w:rsidRDefault="00356CAE" w:rsidP="00356CAE">
      <w:pPr>
        <w:spacing w:before="0"/>
        <w:ind w:left="425" w:hanging="425"/>
        <w:outlineLvl w:val="7"/>
      </w:pPr>
      <w:r w:rsidRPr="00356CAE">
        <w:t>b)</w:t>
      </w:r>
      <w:r w:rsidRPr="00356CAE">
        <w:tab/>
        <w:t>poskytuje insolvenčnímu správci podporu při jeho činnosti,</w:t>
      </w:r>
    </w:p>
    <w:p w14:paraId="0BF0161D" w14:textId="77777777" w:rsidR="00356CAE" w:rsidRPr="00356CAE" w:rsidRDefault="00356CAE" w:rsidP="00356CAE">
      <w:pPr>
        <w:spacing w:before="0"/>
        <w:ind w:left="425" w:hanging="425"/>
        <w:outlineLvl w:val="7"/>
      </w:pPr>
      <w:r w:rsidRPr="00356CAE">
        <w:t>c)</w:t>
      </w:r>
      <w:r w:rsidRPr="00356CAE">
        <w:tab/>
        <w:t>uděluje insolvenčnímu správci nebo dlužníku s dispozičními oprávněními souhlas k uzavírání smluv o úvěrovém financování,</w:t>
      </w:r>
    </w:p>
    <w:p w14:paraId="148D1135" w14:textId="77777777" w:rsidR="00356CAE" w:rsidRPr="00356CAE" w:rsidRDefault="00356CAE" w:rsidP="00356CAE">
      <w:pPr>
        <w:spacing w:before="0"/>
        <w:ind w:left="425" w:hanging="425"/>
        <w:outlineLvl w:val="7"/>
      </w:pPr>
      <w:r w:rsidRPr="00356CAE">
        <w:t>d)</w:t>
      </w:r>
      <w:r w:rsidRPr="00356CAE">
        <w:tab/>
        <w:t>schvaluje průběžně výši a správnost hotových výdajů insolvenčního správce a nákladů spojených s udržováním a správou majetkové podstaty,</w:t>
      </w:r>
    </w:p>
    <w:p w14:paraId="02D9DA5A" w14:textId="77777777" w:rsidR="00356CAE" w:rsidRPr="00356CAE" w:rsidRDefault="00356CAE" w:rsidP="00356CAE">
      <w:pPr>
        <w:spacing w:before="0"/>
        <w:ind w:left="425" w:hanging="425"/>
        <w:outlineLvl w:val="7"/>
      </w:pPr>
      <w:r w:rsidRPr="00356CAE">
        <w:t>e)</w:t>
      </w:r>
      <w:r w:rsidRPr="00356CAE">
        <w:tab/>
        <w:t>může nahlížet do dlužníkova účetnictví nebo evidence vedené podle zvláštního právního předpisu</w:t>
      </w:r>
      <w:r w:rsidRPr="00356CAE">
        <w:rPr>
          <w:vertAlign w:val="superscript"/>
        </w:rPr>
        <w:footnoteReference w:customMarkFollows="1" w:id="491"/>
        <w:t>13)</w:t>
      </w:r>
      <w:r w:rsidRPr="00356CAE">
        <w:t>,</w:t>
      </w:r>
    </w:p>
    <w:p w14:paraId="7A9A55BB" w14:textId="77777777" w:rsidR="00356CAE" w:rsidRPr="00356CAE" w:rsidRDefault="00356CAE" w:rsidP="00356CAE">
      <w:pPr>
        <w:spacing w:before="0"/>
        <w:ind w:left="425" w:hanging="425"/>
        <w:outlineLvl w:val="7"/>
      </w:pPr>
      <w:r w:rsidRPr="00356CAE">
        <w:t>f)</w:t>
      </w:r>
      <w:r w:rsidRPr="00356CAE">
        <w:tab/>
        <w:t xml:space="preserve">může rozhodnout o </w:t>
      </w:r>
      <w:r w:rsidRPr="00356CAE">
        <w:rPr>
          <w:strike/>
        </w:rPr>
        <w:t>ověření řádné účetní závěrky nebo mimořádné účetní závěrky auditorem</w:t>
      </w:r>
      <w:r w:rsidRPr="00356CAE">
        <w:t xml:space="preserve"> </w:t>
      </w:r>
      <w:r w:rsidRPr="00356CAE">
        <w:rPr>
          <w:b/>
        </w:rPr>
        <w:t>povinnosti auditu účetní závěrky</w:t>
      </w:r>
      <w:r w:rsidRPr="00356CAE">
        <w:t>,</w:t>
      </w:r>
    </w:p>
    <w:p w14:paraId="0DD7D921" w14:textId="77777777" w:rsidR="00356CAE" w:rsidRPr="00356CAE" w:rsidRDefault="00356CAE" w:rsidP="00356CAE">
      <w:pPr>
        <w:spacing w:before="0"/>
        <w:ind w:left="425" w:hanging="425"/>
        <w:outlineLvl w:val="7"/>
      </w:pPr>
      <w:r w:rsidRPr="00356CAE">
        <w:t>g)</w:t>
      </w:r>
      <w:r w:rsidRPr="00356CAE">
        <w:tab/>
        <w:t>může nahlížet do dlužníkových písemností ve stejném rozsahu jako insolvenční správce,</w:t>
      </w:r>
    </w:p>
    <w:p w14:paraId="2CB18AA6" w14:textId="77777777" w:rsidR="00356CAE" w:rsidRPr="00356CAE" w:rsidRDefault="00356CAE" w:rsidP="00356CAE">
      <w:pPr>
        <w:spacing w:before="0"/>
        <w:ind w:left="425" w:hanging="425"/>
        <w:outlineLvl w:val="7"/>
      </w:pPr>
      <w:r w:rsidRPr="00356CAE">
        <w:t>h)</w:t>
      </w:r>
      <w:r w:rsidRPr="00356CAE">
        <w:tab/>
        <w:t>plní úkoly stanovené tímto zákonem nebo uložené mu insolvenčním soudem,</w:t>
      </w:r>
    </w:p>
    <w:p w14:paraId="3220DCF8" w14:textId="77777777" w:rsidR="00356CAE" w:rsidRPr="00356CAE" w:rsidRDefault="00356CAE" w:rsidP="00356CAE">
      <w:pPr>
        <w:spacing w:before="0"/>
        <w:ind w:left="425" w:hanging="425"/>
        <w:outlineLvl w:val="7"/>
      </w:pPr>
      <w:r w:rsidRPr="00356CAE">
        <w:t>i)</w:t>
      </w:r>
      <w:r w:rsidRPr="00356CAE">
        <w:tab/>
        <w:t>je oprávněn podávat insolvenčnímu soudu návrhy týkající se průběhu insolvenčního řízení, včetně návrhů na uložení procesních sankcí.</w:t>
      </w:r>
    </w:p>
    <w:p w14:paraId="31C9E7B1" w14:textId="77777777" w:rsidR="00356CAE" w:rsidRPr="00356CAE" w:rsidRDefault="00356CAE" w:rsidP="00356CAE">
      <w:pPr>
        <w:tabs>
          <w:tab w:val="left" w:pos="851"/>
        </w:tabs>
        <w:spacing w:before="120" w:after="120"/>
        <w:outlineLvl w:val="6"/>
      </w:pPr>
      <w:r w:rsidRPr="00356CAE">
        <w:t>(3)</w:t>
      </w:r>
      <w:r w:rsidRPr="00356CAE">
        <w:tab/>
        <w:t>Věřitelský výbor vykonává svou činnost jako sbor; ze svého středu volí předsedu, který svolává a řídí jeho schůze. Jestliže věřitelský výbor nezvolí předsedu ani při opakované volbě, určí ho z řad členů věřitelského výboru insolvenční soud. Věřitelský výbor se schází z vlastní iniciativy nebo jej svolá insolvenční soud anebo insolvenční správce. Rozhoduje většinou hlasů svých členů s tím, že nepřítomné členy zastupují jejich náhradníci; má-li člen věřitelského výboru více náhradníků (§ 56 odst. 2), zastupují jej v pořadí určeném schůzí věřitelů při jejich volbě. Při rovnosti hlasů rozhoduje hlas předsedy. Usnášet se věřitelský výbor může jen tehdy, je-li přítomna nadpoloviční většina jeho členů nebo jejich náhradníků. Ustanovení § 53 odst. 1 až 6 se na hlasování člena věřitelského výboru použije obdobně; při posuzování schopnosti věřitelského výboru se usnášet se § 53 odst. 6 použije přiměřeně. Připouští-li to povaha některé z činností, může věřitelský výbor jejím provedením nebo prováděním pověřit některého ze svých členů nebo jeho náhradníka.</w:t>
      </w:r>
    </w:p>
    <w:p w14:paraId="29CA43B9" w14:textId="77777777" w:rsidR="00356CAE" w:rsidRPr="00356CAE" w:rsidRDefault="00356CAE" w:rsidP="00356CAE">
      <w:pPr>
        <w:tabs>
          <w:tab w:val="left" w:pos="851"/>
        </w:tabs>
        <w:spacing w:before="120" w:after="120"/>
        <w:outlineLvl w:val="6"/>
      </w:pPr>
      <w:r w:rsidRPr="00356CAE">
        <w:t>(4)</w:t>
      </w:r>
      <w:r w:rsidRPr="00356CAE">
        <w:tab/>
        <w:t>Členové a náhradníci věřitelského výboru se mohou ve věřitelském výboru dát na své nebezpečí zastoupit kteroukoliv fyzickou osobou, která má způsobilost k právním úkonům v plném rozsahu; nejde-li o advokáta, může tento zástupce jednat jedině osobně. Náklady, které jim tím vzniknou, platí ze svého.</w:t>
      </w:r>
    </w:p>
    <w:p w14:paraId="4F94E28D" w14:textId="77777777" w:rsidR="00356CAE" w:rsidRPr="00356CAE" w:rsidRDefault="00356CAE" w:rsidP="00356CAE">
      <w:pPr>
        <w:keepNext/>
        <w:keepLines/>
        <w:numPr>
          <w:ilvl w:val="0"/>
          <w:numId w:val="39"/>
        </w:numPr>
        <w:spacing w:before="0" w:after="160" w:line="259" w:lineRule="auto"/>
        <w:jc w:val="center"/>
        <w:outlineLvl w:val="5"/>
        <w:rPr>
          <w:b/>
        </w:rPr>
      </w:pPr>
      <w:r w:rsidRPr="00356CAE">
        <w:rPr>
          <w:b/>
        </w:rPr>
        <w:t>***</w:t>
      </w:r>
    </w:p>
    <w:p w14:paraId="1DC42CF7" w14:textId="77777777" w:rsidR="00356CAE" w:rsidRPr="00356CAE" w:rsidRDefault="00356CAE" w:rsidP="00356CAE">
      <w:pPr>
        <w:keepNext/>
        <w:keepLines/>
        <w:numPr>
          <w:ilvl w:val="0"/>
          <w:numId w:val="39"/>
        </w:numPr>
        <w:spacing w:before="0" w:after="240" w:line="259" w:lineRule="auto"/>
        <w:jc w:val="center"/>
        <w:outlineLvl w:val="5"/>
      </w:pPr>
      <w:r w:rsidRPr="00356CAE">
        <w:t>§ 105</w:t>
      </w:r>
    </w:p>
    <w:p w14:paraId="09FDCF3C" w14:textId="77777777" w:rsidR="00356CAE" w:rsidRPr="00356CAE" w:rsidRDefault="00356CAE" w:rsidP="00356CAE">
      <w:pPr>
        <w:tabs>
          <w:tab w:val="left" w:pos="851"/>
        </w:tabs>
        <w:spacing w:before="120" w:after="120"/>
        <w:outlineLvl w:val="6"/>
      </w:pPr>
      <w:r w:rsidRPr="00356CAE">
        <w:t>(1)</w:t>
      </w:r>
      <w:r w:rsidRPr="00356CAE">
        <w:tab/>
        <w:t xml:space="preserve">Podá-li insolvenční návrh věřitel, je povinen doložit, že má proti dlužníkovi splatnou pohledávku, a k návrhu připojit její přihlášku; je-li dlužníkem právnická osoba, je insolvenční </w:t>
      </w:r>
      <w:r w:rsidRPr="00356CAE">
        <w:lastRenderedPageBreak/>
        <w:t xml:space="preserve">navrhovatel, který </w:t>
      </w:r>
      <w:r w:rsidRPr="00356CAE">
        <w:rPr>
          <w:strike/>
        </w:rPr>
        <w:t>vede účetnictví nebo</w:t>
      </w:r>
      <w:r w:rsidRPr="00356CAE">
        <w:t xml:space="preserve"> </w:t>
      </w:r>
      <w:r w:rsidRPr="00356CAE">
        <w:rPr>
          <w:strike/>
        </w:rPr>
        <w:t>daňovou evidenci podle zvláštního zákona</w:t>
      </w:r>
      <w:r w:rsidRPr="00356CAE">
        <w:rPr>
          <w:strike/>
          <w:vertAlign w:val="superscript"/>
        </w:rPr>
        <w:footnoteReference w:customMarkFollows="1" w:id="492"/>
        <w:t>65)</w:t>
      </w:r>
      <w:r w:rsidRPr="00356CAE">
        <w:rPr>
          <w:strike/>
        </w:rPr>
        <w:t xml:space="preserve"> </w:t>
      </w:r>
      <w:r w:rsidRPr="00356CAE">
        <w:rPr>
          <w:b/>
        </w:rPr>
        <w:t>je účetní jednotkou nebo vede evidenci podle zákona upravujícího daně z příjmů</w:t>
      </w:r>
      <w:r w:rsidRPr="00356CAE">
        <w:t>, povinen doložit pohledávku uznáním dlužníka s ověřeným podpisem nebo vykonatelným rozhodnutím nebo notářským zápisem se svolením k vykonatelnosti nebo exekutorským zápisem se svolením k vykonatelnosti nebo potvrzením auditora podle zvláštního zákona</w:t>
      </w:r>
      <w:r w:rsidRPr="00356CAE">
        <w:rPr>
          <w:vertAlign w:val="superscript"/>
        </w:rPr>
        <w:footnoteReference w:customMarkFollows="1" w:id="493"/>
        <w:t>66)</w:t>
      </w:r>
      <w:r w:rsidRPr="00356CAE">
        <w:t xml:space="preserve">, soudního znalce nebo daňového poradce, že navrhovatel o pohledávce účtuje </w:t>
      </w:r>
      <w:r w:rsidRPr="00356CAE">
        <w:rPr>
          <w:b/>
        </w:rPr>
        <w:t>nebo o ní vede evidenci</w:t>
      </w:r>
      <w:r w:rsidRPr="00356CAE">
        <w:t>. Jde-li v případě pohledávky podle věty první o pohledávku, která se do insolvenčního řízení jinak nepřihlašuje, považuje se po rozhodnutí o úpadku za uplatněnou podle § 203.</w:t>
      </w:r>
    </w:p>
    <w:p w14:paraId="6903D98E" w14:textId="77777777" w:rsidR="00356CAE" w:rsidRPr="00356CAE" w:rsidRDefault="00356CAE" w:rsidP="00356CAE">
      <w:pPr>
        <w:tabs>
          <w:tab w:val="left" w:pos="851"/>
        </w:tabs>
        <w:spacing w:before="120" w:after="120"/>
        <w:outlineLvl w:val="6"/>
      </w:pPr>
      <w:r w:rsidRPr="00356CAE">
        <w:t>(2) Je-li insolvenčním navrhovatelem podle odstavce 1 věta první za středníkem zahraniční právnická osoba nebo fyzická osoba, která nemá bydliště nebo sídlo na území České republiky, lze pohledávku doložit také dokladem ověřeným nebo vydaným cizím státem, který je podle cizího právního řádu srovnatelný s uznáním pohledávky dlužníkem s jeho ověřeným podpisem, vykonatelným rozhodnutím nebo notářským zápisem se svolením k vykonatelnosti, nebo dokladem o tom, že o pohledávce účtuje podle účetních, daňových nebo jiných obdobných předpisů cizího státu, který je podle cizího právního řádu srovnatelný s potvrzením auditora, soudního znalce nebo daňového poradce podle odstavce 1.</w:t>
      </w:r>
    </w:p>
    <w:p w14:paraId="53BE1598" w14:textId="77777777" w:rsidR="00356CAE" w:rsidRPr="00356CAE" w:rsidRDefault="00356CAE" w:rsidP="00356CAE">
      <w:pPr>
        <w:tabs>
          <w:tab w:val="left" w:pos="851"/>
        </w:tabs>
        <w:spacing w:before="120" w:after="120"/>
        <w:outlineLvl w:val="6"/>
      </w:pPr>
      <w:r w:rsidRPr="00356CAE">
        <w:t>(3)</w:t>
      </w:r>
      <w:r w:rsidRPr="00356CAE">
        <w:tab/>
        <w:t>Nesplní-li věřitel, který podal insolvenční návrh, povinnost podle § 177 odst. 2 a 3, platí, že pohledávku vůči dlužníkovi neosvědčil, ledaže jde o případ podle § 177 odst. 4 nebo 6.</w:t>
      </w:r>
    </w:p>
    <w:p w14:paraId="3E4F4F78" w14:textId="77777777" w:rsidR="00356CAE" w:rsidRPr="00356CAE" w:rsidRDefault="00356CAE" w:rsidP="00356CAE">
      <w:pPr>
        <w:keepNext/>
        <w:keepLines/>
        <w:numPr>
          <w:ilvl w:val="0"/>
          <w:numId w:val="40"/>
        </w:numPr>
        <w:spacing w:before="0" w:after="160" w:line="259" w:lineRule="auto"/>
        <w:jc w:val="center"/>
        <w:outlineLvl w:val="5"/>
      </w:pPr>
      <w:r w:rsidRPr="00356CAE">
        <w:t>***</w:t>
      </w:r>
    </w:p>
    <w:p w14:paraId="03A893FA" w14:textId="77777777" w:rsidR="00356CAE" w:rsidRPr="00356CAE" w:rsidRDefault="00356CAE" w:rsidP="00356CAE">
      <w:pPr>
        <w:keepNext/>
        <w:keepLines/>
        <w:numPr>
          <w:ilvl w:val="0"/>
          <w:numId w:val="40"/>
        </w:numPr>
        <w:spacing w:before="0" w:after="240" w:line="259" w:lineRule="auto"/>
        <w:jc w:val="center"/>
        <w:outlineLvl w:val="5"/>
      </w:pPr>
      <w:r w:rsidRPr="00356CAE">
        <w:t>§ 219</w:t>
      </w:r>
    </w:p>
    <w:p w14:paraId="75418814" w14:textId="77777777" w:rsidR="00356CAE" w:rsidRPr="00356CAE" w:rsidRDefault="00356CAE" w:rsidP="00356CAE">
      <w:pPr>
        <w:keepNext/>
        <w:keepLines/>
        <w:ind w:firstLine="0"/>
        <w:jc w:val="center"/>
        <w:outlineLvl w:val="5"/>
        <w:rPr>
          <w:b/>
        </w:rPr>
      </w:pPr>
      <w:r w:rsidRPr="00356CAE">
        <w:rPr>
          <w:b/>
        </w:rPr>
        <w:t>Ocenění položek soupisu</w:t>
      </w:r>
    </w:p>
    <w:p w14:paraId="6E0E5230" w14:textId="77777777" w:rsidR="00356CAE" w:rsidRPr="00356CAE" w:rsidRDefault="00356CAE" w:rsidP="00356CAE">
      <w:pPr>
        <w:tabs>
          <w:tab w:val="left" w:pos="851"/>
        </w:tabs>
        <w:spacing w:before="120" w:after="120"/>
        <w:outlineLvl w:val="6"/>
      </w:pPr>
      <w:r w:rsidRPr="00356CAE">
        <w:t>(1)</w:t>
      </w:r>
      <w:r w:rsidRPr="00356CAE">
        <w:tab/>
        <w:t>Součástí soupisu je i ocenění provedené insolvenčním správcem, který přitom vychází z údajů v účetnictví dlužníka nebo v evidenci vedené podle zvláštního právního předpisu</w:t>
      </w:r>
      <w:r w:rsidRPr="00356CAE">
        <w:rPr>
          <w:vertAlign w:val="superscript"/>
        </w:rPr>
        <w:t>13)</w:t>
      </w:r>
      <w:r w:rsidRPr="00356CAE">
        <w:t xml:space="preserve"> a z dalších dostupných informací. Ocenění se nepromítá do účetnictví dlužníka.</w:t>
      </w:r>
    </w:p>
    <w:p w14:paraId="3673DD12" w14:textId="77777777" w:rsidR="00356CAE" w:rsidRPr="00356CAE" w:rsidRDefault="00356CAE" w:rsidP="00356CAE">
      <w:pPr>
        <w:tabs>
          <w:tab w:val="left" w:pos="851"/>
        </w:tabs>
        <w:spacing w:before="120" w:after="120"/>
        <w:outlineLvl w:val="6"/>
      </w:pPr>
      <w:r w:rsidRPr="00356CAE">
        <w:t>(2) Požaduje-li to věřitelský výbor, provede se ocenění znalcem, za předpokladu, že to věřitelský výbor finančně zajistí.</w:t>
      </w:r>
    </w:p>
    <w:p w14:paraId="15F4C918" w14:textId="77777777" w:rsidR="00356CAE" w:rsidRPr="00356CAE" w:rsidRDefault="00356CAE" w:rsidP="00356CAE">
      <w:pPr>
        <w:tabs>
          <w:tab w:val="left" w:pos="851"/>
        </w:tabs>
        <w:spacing w:before="120" w:after="120"/>
        <w:outlineLvl w:val="6"/>
      </w:pPr>
      <w:r w:rsidRPr="00356CAE">
        <w:t>(3) Ocenění obtížně ocenitelného majetku může insolvenční správce zadat znalci i bez žádosti věřitelského výboru; to neplatí, lze-li důvodně předpokládat, že náklady na ocenění majetku znalcem budou vyšší než přínos pro majetkovou podstatu získaný tímto způsobem jeho ocenění.</w:t>
      </w:r>
    </w:p>
    <w:p w14:paraId="6AD3511E" w14:textId="77777777" w:rsidR="00356CAE" w:rsidRPr="00356CAE" w:rsidRDefault="00356CAE" w:rsidP="00356CAE">
      <w:pPr>
        <w:tabs>
          <w:tab w:val="left" w:pos="851"/>
        </w:tabs>
        <w:spacing w:before="120" w:after="120"/>
        <w:outlineLvl w:val="6"/>
      </w:pPr>
      <w:r w:rsidRPr="00356CAE">
        <w:t>(4) Je-li uplatněno právo na uspokojení přihlášené pohledávky ze zajištění nebo má-li být majetková podstata zpeněžena podle § 290 nebo 292, insolvenční správce zadá znalci ocenění hodnoty zajištění a v případě podle § 290 nebo 292 ocenění hodnoty zpeněžovaného majetku vždy; odstavec 3 se použije přiměřeně.</w:t>
      </w:r>
    </w:p>
    <w:p w14:paraId="47DBDCF7" w14:textId="77777777" w:rsidR="00356CAE" w:rsidRPr="00356CAE" w:rsidRDefault="00356CAE" w:rsidP="00356CAE">
      <w:pPr>
        <w:tabs>
          <w:tab w:val="left" w:pos="851"/>
        </w:tabs>
        <w:spacing w:before="120" w:after="120"/>
        <w:outlineLvl w:val="6"/>
      </w:pPr>
      <w:r w:rsidRPr="00356CAE">
        <w:t xml:space="preserve">(5) Při ocenění podle odstavců 1 až 4 se majetek oceňuje </w:t>
      </w:r>
      <w:r w:rsidRPr="00356CAE">
        <w:rPr>
          <w:strike/>
        </w:rPr>
        <w:t>obvyklou cenou</w:t>
      </w:r>
      <w:r w:rsidRPr="00356CAE">
        <w:rPr>
          <w:b/>
        </w:rPr>
        <w:t xml:space="preserve"> tržní hodnotou</w:t>
      </w:r>
      <w:r w:rsidRPr="00356CAE">
        <w:t>. Postup podle odstavců 1 až 4 se neuplatní, byl-li ustanoven znalec podle § 153 odst. 1.</w:t>
      </w:r>
    </w:p>
    <w:p w14:paraId="58B8CD51" w14:textId="77777777" w:rsidR="00356CAE" w:rsidRPr="00356CAE" w:rsidRDefault="00356CAE" w:rsidP="00356CAE">
      <w:pPr>
        <w:keepNext/>
        <w:keepLines/>
        <w:numPr>
          <w:ilvl w:val="0"/>
          <w:numId w:val="40"/>
        </w:numPr>
        <w:spacing w:before="0" w:after="160" w:line="259" w:lineRule="auto"/>
        <w:jc w:val="center"/>
        <w:outlineLvl w:val="5"/>
      </w:pPr>
      <w:r w:rsidRPr="00356CAE">
        <w:lastRenderedPageBreak/>
        <w:t>***</w:t>
      </w:r>
    </w:p>
    <w:p w14:paraId="44A9713F" w14:textId="77777777" w:rsidR="00356CAE" w:rsidRPr="00356CAE" w:rsidRDefault="00356CAE" w:rsidP="00356CAE">
      <w:pPr>
        <w:keepNext/>
        <w:keepLines/>
        <w:numPr>
          <w:ilvl w:val="0"/>
          <w:numId w:val="40"/>
        </w:numPr>
        <w:spacing w:before="0" w:after="240" w:line="259" w:lineRule="auto"/>
        <w:jc w:val="center"/>
        <w:outlineLvl w:val="5"/>
      </w:pPr>
      <w:r w:rsidRPr="00356CAE">
        <w:t>§ 228</w:t>
      </w:r>
    </w:p>
    <w:p w14:paraId="336A490A" w14:textId="77777777" w:rsidR="00356CAE" w:rsidRPr="00356CAE" w:rsidRDefault="00356CAE" w:rsidP="00356CAE">
      <w:pPr>
        <w:tabs>
          <w:tab w:val="left" w:pos="851"/>
        </w:tabs>
        <w:spacing w:before="120" w:after="120"/>
        <w:outlineLvl w:val="6"/>
      </w:pPr>
      <w:r w:rsidRPr="00356CAE">
        <w:t>Nakládáním s majetkovou podstatou se rozumí zejména</w:t>
      </w:r>
    </w:p>
    <w:p w14:paraId="0F80E598" w14:textId="77777777" w:rsidR="00356CAE" w:rsidRPr="00356CAE" w:rsidRDefault="00356CAE" w:rsidP="00356CAE">
      <w:pPr>
        <w:spacing w:before="0"/>
        <w:ind w:left="425" w:hanging="425"/>
        <w:outlineLvl w:val="7"/>
      </w:pPr>
      <w:r w:rsidRPr="00356CAE">
        <w:t>a)</w:t>
      </w:r>
      <w:r w:rsidRPr="00356CAE">
        <w:tab/>
        <w:t>právní úkony, které se týkají majetku náležejícího do majetkové podstaty,</w:t>
      </w:r>
    </w:p>
    <w:p w14:paraId="5EF4AD57" w14:textId="77777777" w:rsidR="00356CAE" w:rsidRPr="00356CAE" w:rsidRDefault="00356CAE" w:rsidP="00356CAE">
      <w:pPr>
        <w:spacing w:before="0"/>
        <w:ind w:left="425" w:hanging="425"/>
        <w:outlineLvl w:val="7"/>
      </w:pPr>
      <w:r w:rsidRPr="00356CAE">
        <w:t>b)</w:t>
      </w:r>
      <w:r w:rsidRPr="00356CAE">
        <w:tab/>
        <w:t>výkon práv a povinností akcionáře ohledně akcií zahrnutých do majetkové podstaty, včetně práva hlasovat na valné hromadě akciové společnosti,</w:t>
      </w:r>
    </w:p>
    <w:p w14:paraId="6BAADA7D" w14:textId="77777777" w:rsidR="00356CAE" w:rsidRPr="00356CAE" w:rsidRDefault="00356CAE" w:rsidP="00356CAE">
      <w:pPr>
        <w:spacing w:before="0"/>
        <w:ind w:left="425" w:hanging="425"/>
        <w:outlineLvl w:val="7"/>
      </w:pPr>
      <w:r w:rsidRPr="00356CAE">
        <w:t>c)</w:t>
      </w:r>
      <w:r w:rsidRPr="00356CAE">
        <w:tab/>
        <w:t xml:space="preserve">výkon práv a povinností společníka jiné obchodní společnosti spojených s obchodním podílem dlužníka zahrnutým do majetkové podstaty, včetně práva hlasovat na valné hromadě obchodní </w:t>
      </w:r>
      <w:proofErr w:type="gramStart"/>
      <w:r w:rsidRPr="00356CAE">
        <w:t>společnosti</w:t>
      </w:r>
      <w:r w:rsidRPr="00356CAE">
        <w:rPr>
          <w:vertAlign w:val="superscript"/>
        </w:rPr>
        <w:footnoteReference w:customMarkFollows="1" w:id="494"/>
        <w:t>34)</w:t>
      </w:r>
      <w:r w:rsidRPr="00356CAE">
        <w:t xml:space="preserve"> ,</w:t>
      </w:r>
      <w:proofErr w:type="gramEnd"/>
    </w:p>
    <w:p w14:paraId="148CDF3B" w14:textId="77777777" w:rsidR="00356CAE" w:rsidRPr="00356CAE" w:rsidRDefault="00356CAE" w:rsidP="00356CAE">
      <w:pPr>
        <w:spacing w:before="0"/>
        <w:ind w:left="425" w:hanging="425"/>
        <w:outlineLvl w:val="7"/>
      </w:pPr>
      <w:r w:rsidRPr="00356CAE">
        <w:t>d)</w:t>
      </w:r>
      <w:r w:rsidRPr="00356CAE">
        <w:tab/>
        <w:t>výkon členských práv a povinností člena družstva,</w:t>
      </w:r>
    </w:p>
    <w:p w14:paraId="7B5C8A9C" w14:textId="77777777" w:rsidR="00356CAE" w:rsidRPr="00356CAE" w:rsidRDefault="00356CAE" w:rsidP="00356CAE">
      <w:pPr>
        <w:spacing w:before="0"/>
        <w:ind w:left="425" w:hanging="425"/>
        <w:outlineLvl w:val="7"/>
      </w:pPr>
      <w:r w:rsidRPr="00356CAE">
        <w:t>e)</w:t>
      </w:r>
      <w:r w:rsidRPr="00356CAE">
        <w:tab/>
        <w:t>rozhodování o výrobních, provozních a obchodních záležitostech podniku v majetkové podstatě, včetně úvěrového financování a jiných úkonů potřebných k zajištění financování podniku,</w:t>
      </w:r>
    </w:p>
    <w:p w14:paraId="283E7B02" w14:textId="77777777" w:rsidR="00356CAE" w:rsidRPr="00356CAE" w:rsidRDefault="00356CAE" w:rsidP="00356CAE">
      <w:pPr>
        <w:spacing w:before="0"/>
        <w:ind w:left="425" w:hanging="425"/>
        <w:outlineLvl w:val="7"/>
      </w:pPr>
      <w:r w:rsidRPr="00356CAE">
        <w:t>f)</w:t>
      </w:r>
      <w:r w:rsidRPr="00356CAE">
        <w:tab/>
        <w:t>výkon práv a povinností zaměstnavatele ohledně zaměstnanců dlužníka,</w:t>
      </w:r>
    </w:p>
    <w:p w14:paraId="0001CAC8" w14:textId="77777777" w:rsidR="00356CAE" w:rsidRPr="00356CAE" w:rsidRDefault="00356CAE" w:rsidP="00356CAE">
      <w:pPr>
        <w:spacing w:before="0"/>
        <w:ind w:left="425" w:hanging="425"/>
        <w:outlineLvl w:val="7"/>
      </w:pPr>
      <w:r w:rsidRPr="00356CAE">
        <w:t>g)</w:t>
      </w:r>
      <w:r w:rsidRPr="00356CAE">
        <w:tab/>
        <w:t>výkon průmyslových práv,</w:t>
      </w:r>
    </w:p>
    <w:p w14:paraId="5FCCFFF8" w14:textId="77777777" w:rsidR="00356CAE" w:rsidRPr="00356CAE" w:rsidRDefault="00356CAE" w:rsidP="00356CAE">
      <w:pPr>
        <w:spacing w:before="0"/>
        <w:ind w:left="425" w:hanging="425"/>
        <w:outlineLvl w:val="7"/>
      </w:pPr>
      <w:r w:rsidRPr="00356CAE">
        <w:t>h)</w:t>
      </w:r>
      <w:r w:rsidRPr="00356CAE">
        <w:tab/>
        <w:t>rozhodování o obchodním tajemství a jiné povinnosti mlčenlivosti,</w:t>
      </w:r>
    </w:p>
    <w:p w14:paraId="5684B877" w14:textId="77777777" w:rsidR="00356CAE" w:rsidRPr="00356CAE" w:rsidRDefault="00356CAE" w:rsidP="00356CAE">
      <w:pPr>
        <w:spacing w:before="0"/>
        <w:ind w:left="425" w:hanging="425"/>
        <w:outlineLvl w:val="7"/>
      </w:pPr>
      <w:r w:rsidRPr="00356CAE">
        <w:t>i)</w:t>
      </w:r>
      <w:r w:rsidRPr="00356CAE">
        <w:tab/>
        <w:t>plnění povinností podle předpisů o daních, poplatcích a clech, jakož i podle předpisů o sociálním zabezpečení a veřejném zdravotním pojištění,</w:t>
      </w:r>
    </w:p>
    <w:p w14:paraId="3CA5A019" w14:textId="77777777" w:rsidR="00356CAE" w:rsidRPr="00356CAE" w:rsidRDefault="00356CAE" w:rsidP="00356CAE">
      <w:pPr>
        <w:spacing w:before="0"/>
        <w:ind w:left="425" w:hanging="425"/>
        <w:outlineLvl w:val="7"/>
        <w:rPr>
          <w:strike/>
        </w:rPr>
      </w:pPr>
      <w:r w:rsidRPr="00356CAE">
        <w:rPr>
          <w:strike/>
        </w:rPr>
        <w:t>j)</w:t>
      </w:r>
      <w:r w:rsidRPr="00356CAE">
        <w:rPr>
          <w:strike/>
        </w:rPr>
        <w:tab/>
        <w:t>vedení účetnictví,</w:t>
      </w:r>
    </w:p>
    <w:p w14:paraId="38FBA404" w14:textId="77777777" w:rsidR="00356CAE" w:rsidRPr="00356CAE" w:rsidRDefault="00356CAE" w:rsidP="00356CAE">
      <w:pPr>
        <w:tabs>
          <w:tab w:val="left" w:pos="426"/>
        </w:tabs>
        <w:spacing w:before="0"/>
        <w:ind w:firstLine="0"/>
        <w:outlineLvl w:val="7"/>
        <w:rPr>
          <w:b/>
        </w:rPr>
      </w:pPr>
      <w:r w:rsidRPr="00356CAE">
        <w:rPr>
          <w:b/>
        </w:rPr>
        <w:t>j)</w:t>
      </w:r>
      <w:r w:rsidRPr="00356CAE">
        <w:rPr>
          <w:b/>
        </w:rPr>
        <w:tab/>
        <w:t>plnění povinností souvisejících s účetnictvím,</w:t>
      </w:r>
    </w:p>
    <w:p w14:paraId="28D00B7D" w14:textId="77777777" w:rsidR="00356CAE" w:rsidRPr="00356CAE" w:rsidRDefault="00356CAE" w:rsidP="00356CAE">
      <w:pPr>
        <w:spacing w:before="0"/>
        <w:ind w:left="425" w:hanging="425"/>
        <w:outlineLvl w:val="7"/>
      </w:pPr>
      <w:r w:rsidRPr="00356CAE">
        <w:t>k)</w:t>
      </w:r>
      <w:r w:rsidRPr="00356CAE">
        <w:tab/>
        <w:t>plnění evidenčních povinností,</w:t>
      </w:r>
    </w:p>
    <w:p w14:paraId="505592AD" w14:textId="77777777" w:rsidR="00356CAE" w:rsidRPr="00356CAE" w:rsidRDefault="00356CAE" w:rsidP="00FE4A0D">
      <w:pPr>
        <w:numPr>
          <w:ilvl w:val="3"/>
          <w:numId w:val="73"/>
        </w:numPr>
        <w:spacing w:before="0" w:after="160" w:line="259" w:lineRule="auto"/>
        <w:jc w:val="left"/>
        <w:outlineLvl w:val="7"/>
      </w:pPr>
      <w:r w:rsidRPr="00356CAE">
        <w:t>výkon dalších práv a povinností, jestliže se týkají majetkové podstaty.</w:t>
      </w:r>
    </w:p>
    <w:p w14:paraId="7DE8CFA2" w14:textId="77777777" w:rsidR="00356CAE" w:rsidRPr="00356CAE" w:rsidRDefault="00356CAE" w:rsidP="00356CAE">
      <w:pPr>
        <w:keepNext/>
        <w:keepLines/>
        <w:numPr>
          <w:ilvl w:val="0"/>
          <w:numId w:val="40"/>
        </w:numPr>
        <w:spacing w:before="0" w:after="160" w:line="259" w:lineRule="auto"/>
        <w:jc w:val="center"/>
        <w:outlineLvl w:val="5"/>
      </w:pPr>
      <w:r w:rsidRPr="00356CAE">
        <w:t>***</w:t>
      </w:r>
    </w:p>
    <w:p w14:paraId="6772836B" w14:textId="77777777" w:rsidR="00356CAE" w:rsidRPr="00356CAE" w:rsidRDefault="00356CAE" w:rsidP="00356CAE">
      <w:pPr>
        <w:keepNext/>
        <w:keepLines/>
        <w:numPr>
          <w:ilvl w:val="0"/>
          <w:numId w:val="40"/>
        </w:numPr>
        <w:spacing w:before="0" w:after="240" w:line="259" w:lineRule="auto"/>
        <w:jc w:val="center"/>
        <w:outlineLvl w:val="5"/>
      </w:pPr>
      <w:r w:rsidRPr="00356CAE">
        <w:t>§ 240</w:t>
      </w:r>
    </w:p>
    <w:p w14:paraId="2F288C98" w14:textId="77777777" w:rsidR="00356CAE" w:rsidRPr="00356CAE" w:rsidRDefault="00356CAE" w:rsidP="00356CAE">
      <w:pPr>
        <w:keepNext/>
        <w:keepLines/>
        <w:ind w:firstLine="0"/>
        <w:jc w:val="center"/>
        <w:outlineLvl w:val="5"/>
        <w:rPr>
          <w:b/>
        </w:rPr>
      </w:pPr>
      <w:r w:rsidRPr="00356CAE">
        <w:rPr>
          <w:b/>
        </w:rPr>
        <w:t>Neúčinnost právních úkonů bez přiměřeného protiplnění</w:t>
      </w:r>
    </w:p>
    <w:p w14:paraId="41A66C33" w14:textId="77777777" w:rsidR="00356CAE" w:rsidRPr="00356CAE" w:rsidRDefault="00356CAE" w:rsidP="00356CAE">
      <w:pPr>
        <w:tabs>
          <w:tab w:val="left" w:pos="851"/>
        </w:tabs>
        <w:spacing w:before="120" w:after="120"/>
        <w:outlineLvl w:val="6"/>
      </w:pPr>
      <w:r w:rsidRPr="00356CAE">
        <w:t>(1)</w:t>
      </w:r>
      <w:r w:rsidRPr="00356CAE">
        <w:tab/>
        <w:t xml:space="preserve">Právním úkonem bez přiměřeného protiplnění se rozumí právní úkon, jímž se dlužník zavázal poskytnout plnění bezúplatně nebo za protiplnění, jehož obvyklá </w:t>
      </w:r>
      <w:r w:rsidRPr="00356CAE">
        <w:rPr>
          <w:strike/>
        </w:rPr>
        <w:t>cena</w:t>
      </w:r>
      <w:r w:rsidRPr="00356CAE">
        <w:t xml:space="preserve"> </w:t>
      </w:r>
      <w:r w:rsidRPr="00356CAE">
        <w:rPr>
          <w:b/>
        </w:rPr>
        <w:t xml:space="preserve">hodnota </w:t>
      </w:r>
      <w:r w:rsidRPr="00356CAE">
        <w:t>je podstatně nižší než obvyklá cena plnění, k jehož poskytnutí se zavázal dlužník.</w:t>
      </w:r>
    </w:p>
    <w:p w14:paraId="2891B739" w14:textId="77777777" w:rsidR="00356CAE" w:rsidRPr="00356CAE" w:rsidRDefault="00356CAE" w:rsidP="00356CAE">
      <w:pPr>
        <w:tabs>
          <w:tab w:val="left" w:pos="851"/>
        </w:tabs>
        <w:spacing w:before="120" w:after="120"/>
        <w:outlineLvl w:val="6"/>
      </w:pPr>
      <w:r w:rsidRPr="00356CAE">
        <w:t>(2) Právním úkonem bez přiměřeného protiplnění se rozumí pouze právní úkon, který dlužník učinil v době, kdy byl v úpadku, nebo právní úkon, který vedl k dlužníkovu úpadku. Má se za to, že právní úkon bez přiměřeného protiplnění učiněný ve prospěch osoby dlužníku blízké nebo osoby, která tvoří s dlužníkem koncern</w:t>
      </w:r>
      <w:r w:rsidRPr="00356CAE">
        <w:rPr>
          <w:vertAlign w:val="superscript"/>
        </w:rPr>
        <w:footnoteReference w:customMarkFollows="1" w:id="495"/>
        <w:t>21)</w:t>
      </w:r>
      <w:r w:rsidRPr="00356CAE">
        <w:t>, je úkonem, který dlužník učinil v době, kdy byl v úpadku.</w:t>
      </w:r>
    </w:p>
    <w:p w14:paraId="792EBF40" w14:textId="77777777" w:rsidR="00356CAE" w:rsidRPr="00356CAE" w:rsidRDefault="00356CAE" w:rsidP="00356CAE">
      <w:pPr>
        <w:tabs>
          <w:tab w:val="left" w:pos="851"/>
        </w:tabs>
        <w:spacing w:before="120" w:after="120"/>
        <w:outlineLvl w:val="6"/>
      </w:pPr>
      <w:r w:rsidRPr="00356CAE">
        <w:t>(3)</w:t>
      </w:r>
      <w:r w:rsidRPr="00356CAE">
        <w:tab/>
        <w:t>Právnímu úkonu bez přiměřeného protiplnění lze odporovat, byl-li učiněn v posledních 3 letech před zahájením insolvenčního řízení ve prospěch osoby dlužníku blízké nebo osoby, která tvoří s dlužníkem koncern, anebo v době 1 roku před zahájením insolvenčního řízení ve prospěch jiné osoby.</w:t>
      </w:r>
    </w:p>
    <w:p w14:paraId="116BE746" w14:textId="77777777" w:rsidR="00356CAE" w:rsidRPr="00356CAE" w:rsidRDefault="00356CAE" w:rsidP="00356CAE">
      <w:pPr>
        <w:tabs>
          <w:tab w:val="left" w:pos="851"/>
        </w:tabs>
        <w:spacing w:before="120" w:after="120"/>
        <w:outlineLvl w:val="6"/>
      </w:pPr>
      <w:r w:rsidRPr="00356CAE">
        <w:t>(4) Právním úkonem bez přiměřeného protiplnění není</w:t>
      </w:r>
    </w:p>
    <w:p w14:paraId="739426FE" w14:textId="77777777" w:rsidR="00356CAE" w:rsidRPr="00356CAE" w:rsidRDefault="00356CAE" w:rsidP="00356CAE">
      <w:pPr>
        <w:spacing w:before="0"/>
        <w:ind w:left="425" w:hanging="425"/>
        <w:outlineLvl w:val="7"/>
      </w:pPr>
      <w:r w:rsidRPr="00356CAE">
        <w:t>a)</w:t>
      </w:r>
      <w:r w:rsidRPr="00356CAE">
        <w:tab/>
        <w:t>plnění uložené právním předpisem,</w:t>
      </w:r>
    </w:p>
    <w:p w14:paraId="15A8D1D1" w14:textId="77777777" w:rsidR="00356CAE" w:rsidRPr="00356CAE" w:rsidRDefault="00356CAE" w:rsidP="00356CAE">
      <w:pPr>
        <w:spacing w:before="0"/>
        <w:ind w:left="425" w:hanging="425"/>
        <w:outlineLvl w:val="7"/>
      </w:pPr>
      <w:r w:rsidRPr="00356CAE">
        <w:lastRenderedPageBreak/>
        <w:t>b)</w:t>
      </w:r>
      <w:r w:rsidRPr="00356CAE">
        <w:tab/>
        <w:t>příležitostný dar v přiměřené výši,</w:t>
      </w:r>
    </w:p>
    <w:p w14:paraId="0885F600" w14:textId="77777777" w:rsidR="00356CAE" w:rsidRPr="00356CAE" w:rsidRDefault="00356CAE" w:rsidP="00356CAE">
      <w:pPr>
        <w:spacing w:before="0"/>
        <w:ind w:left="425" w:hanging="425"/>
        <w:outlineLvl w:val="7"/>
      </w:pPr>
      <w:r w:rsidRPr="00356CAE">
        <w:t>c)</w:t>
      </w:r>
      <w:r w:rsidRPr="00356CAE">
        <w:tab/>
        <w:t>poskytnutí plnění, kterým bylo vyhověno ohledům slušnosti, nebo</w:t>
      </w:r>
    </w:p>
    <w:p w14:paraId="163B24E3" w14:textId="77777777" w:rsidR="00356CAE" w:rsidRPr="00356CAE" w:rsidRDefault="00356CAE" w:rsidP="00356CAE">
      <w:pPr>
        <w:spacing w:before="0"/>
        <w:ind w:left="425" w:hanging="425"/>
        <w:outlineLvl w:val="7"/>
      </w:pPr>
      <w:r w:rsidRPr="00356CAE">
        <w:t>d)</w:t>
      </w:r>
      <w:r w:rsidRPr="00356CAE">
        <w:tab/>
        <w:t>právní úkon, o kterém dlužník se zřetelem ke všem okolnostem důvodně předpokládal, že z něj bude mít přiměřený prospěch, a to za předpokladu, že nešlo o úkon učiněný ve prospěch osoby dlužníkovi blízké nebo osoby, která tvoří s dlužníkem koncern, a že osoba, v jejíž prospěch byl úkon učiněn, nemohla ani při náležité pečlivosti poznat, že dlužník je v úpadku, nebo že by tento úkon mohl vést k úpadku dlužníka.</w:t>
      </w:r>
    </w:p>
    <w:p w14:paraId="7A4C841A" w14:textId="77777777" w:rsidR="00180250" w:rsidRDefault="00180250" w:rsidP="00356CAE">
      <w:pPr>
        <w:keepNext/>
        <w:keepLines/>
        <w:numPr>
          <w:ilvl w:val="0"/>
          <w:numId w:val="40"/>
        </w:numPr>
        <w:spacing w:before="0" w:after="160" w:line="259" w:lineRule="auto"/>
        <w:jc w:val="center"/>
        <w:outlineLvl w:val="5"/>
      </w:pPr>
    </w:p>
    <w:p w14:paraId="7602C57E" w14:textId="1F96E143" w:rsidR="00356CAE" w:rsidRPr="00356CAE" w:rsidRDefault="00356CAE" w:rsidP="00356CAE">
      <w:pPr>
        <w:keepNext/>
        <w:keepLines/>
        <w:numPr>
          <w:ilvl w:val="0"/>
          <w:numId w:val="40"/>
        </w:numPr>
        <w:spacing w:before="0" w:after="160" w:line="259" w:lineRule="auto"/>
        <w:jc w:val="center"/>
        <w:outlineLvl w:val="5"/>
      </w:pPr>
      <w:r w:rsidRPr="00356CAE">
        <w:t>***</w:t>
      </w:r>
    </w:p>
    <w:p w14:paraId="635F7958" w14:textId="77777777" w:rsidR="00356CAE" w:rsidRPr="00356CAE" w:rsidRDefault="00356CAE" w:rsidP="00356CAE">
      <w:pPr>
        <w:keepNext/>
        <w:keepLines/>
        <w:numPr>
          <w:ilvl w:val="0"/>
          <w:numId w:val="40"/>
        </w:numPr>
        <w:spacing w:before="0" w:after="240" w:line="259" w:lineRule="auto"/>
        <w:jc w:val="center"/>
        <w:outlineLvl w:val="5"/>
      </w:pPr>
      <w:r w:rsidRPr="00356CAE">
        <w:t>§ 246</w:t>
      </w:r>
    </w:p>
    <w:p w14:paraId="60BF077F" w14:textId="77777777" w:rsidR="00356CAE" w:rsidRPr="00356CAE" w:rsidRDefault="00356CAE" w:rsidP="00356CAE">
      <w:pPr>
        <w:tabs>
          <w:tab w:val="left" w:pos="851"/>
        </w:tabs>
        <w:spacing w:before="120" w:after="120"/>
        <w:outlineLvl w:val="6"/>
      </w:pPr>
      <w:r w:rsidRPr="00356CAE">
        <w:t>(1)</w:t>
      </w:r>
      <w:r w:rsidRPr="00356CAE">
        <w:tab/>
        <w:t>Prohlášením konkursu přechází na insolvenčního správce oprávnění nakládat s majetkovou podstatou, jakož i výkon práv a plnění povinností, které přísluší dlužníku, pokud souvisí s majetkovou podstatou. Insolvenční správce vykonává zejména akcionářská práva spojená s akciemi zahrnutými do majetkové podstaty, rozhoduje o obchodním tajemství a jiné mlčenlivosti, vystupuje vůči dlužníkovým zaměstnancům jako zaměstnavatel, zajišťuje provoz dlužníkova podniku</w:t>
      </w:r>
      <w:r w:rsidRPr="00356CAE">
        <w:rPr>
          <w:strike/>
        </w:rPr>
        <w:t>, vedení účetnictví</w:t>
      </w:r>
      <w:r w:rsidRPr="00356CAE">
        <w:t xml:space="preserve"> a plnění </w:t>
      </w:r>
      <w:r w:rsidRPr="00356CAE">
        <w:rPr>
          <w:b/>
        </w:rPr>
        <w:t xml:space="preserve">účetních a </w:t>
      </w:r>
      <w:r w:rsidRPr="00356CAE">
        <w:t>daňových povinností.</w:t>
      </w:r>
    </w:p>
    <w:p w14:paraId="1B8F8DDF" w14:textId="77777777" w:rsidR="00356CAE" w:rsidRPr="00356CAE" w:rsidRDefault="00356CAE" w:rsidP="00356CAE">
      <w:pPr>
        <w:tabs>
          <w:tab w:val="left" w:pos="851"/>
        </w:tabs>
        <w:spacing w:before="120" w:after="120"/>
        <w:outlineLvl w:val="6"/>
      </w:pPr>
      <w:r w:rsidRPr="00356CAE">
        <w:t>(2) Právní úkony podle odstavce 1, které dlužník učinil poté, co oprávnění nakládat s majetkovou podstatou přešlo na insolvenčního správce, jsou proti jeho věřitelům neúčinné ze zákona; § 235 odst. 2 se nepoužije.</w:t>
      </w:r>
    </w:p>
    <w:p w14:paraId="6D426BB7" w14:textId="77777777" w:rsidR="00356CAE" w:rsidRPr="00356CAE" w:rsidRDefault="00356CAE" w:rsidP="00356CAE">
      <w:pPr>
        <w:tabs>
          <w:tab w:val="left" w:pos="851"/>
        </w:tabs>
        <w:spacing w:before="120" w:after="120"/>
        <w:outlineLvl w:val="6"/>
      </w:pPr>
      <w:r w:rsidRPr="00356CAE">
        <w:t>(3) Nakládal-li dlužník s majetkovou podstatou v den, kdy se rozhodnutí o úpadku stalo účinným, má se v pochybnostech za to, že tak učinil poté, co oprávnění nakládat s majetkovou podstatou přešlo na insolvenčního správce, pokud tento zákon nestanoví jinak.</w:t>
      </w:r>
    </w:p>
    <w:p w14:paraId="282B452A" w14:textId="77777777" w:rsidR="00356CAE" w:rsidRPr="00356CAE" w:rsidRDefault="00356CAE" w:rsidP="00356CAE">
      <w:pPr>
        <w:tabs>
          <w:tab w:val="left" w:pos="851"/>
        </w:tabs>
        <w:spacing w:before="120" w:after="120"/>
        <w:outlineLvl w:val="6"/>
      </w:pPr>
      <w:r w:rsidRPr="00356CAE">
        <w:t>(4) Právní úkon, kterým dlužník po prohlášení konkursu odmítne přijetí daru nebo dědictví bez souhlasu insolvenčního správce, je neplatný. Totéž platí, jestliže dlužník uzavře bez souhlasu insolvenčního správce dohodu o vypořádání dědictví, podle které má z dědictví obdržet méně, než činí jeho dědický podíl.</w:t>
      </w:r>
    </w:p>
    <w:p w14:paraId="1F093580" w14:textId="77777777" w:rsidR="00356CAE" w:rsidRPr="00356CAE" w:rsidRDefault="00356CAE" w:rsidP="00FE4A0D">
      <w:pPr>
        <w:keepNext/>
        <w:keepLines/>
        <w:numPr>
          <w:ilvl w:val="0"/>
          <w:numId w:val="72"/>
        </w:numPr>
        <w:spacing w:before="0" w:after="160" w:line="259" w:lineRule="auto"/>
        <w:jc w:val="center"/>
        <w:outlineLvl w:val="5"/>
      </w:pPr>
      <w:r w:rsidRPr="00356CAE">
        <w:t>***</w:t>
      </w:r>
    </w:p>
    <w:p w14:paraId="3F562FCA" w14:textId="77777777" w:rsidR="00356CAE" w:rsidRPr="00356CAE" w:rsidRDefault="00356CAE" w:rsidP="00FE4A0D">
      <w:pPr>
        <w:keepNext/>
        <w:keepLines/>
        <w:numPr>
          <w:ilvl w:val="0"/>
          <w:numId w:val="72"/>
        </w:numPr>
        <w:spacing w:before="0" w:after="160" w:line="259" w:lineRule="auto"/>
        <w:jc w:val="center"/>
        <w:outlineLvl w:val="5"/>
      </w:pPr>
      <w:r w:rsidRPr="00356CAE">
        <w:t>§ 256</w:t>
      </w:r>
    </w:p>
    <w:p w14:paraId="68742C60" w14:textId="77777777" w:rsidR="00356CAE" w:rsidRPr="00356CAE" w:rsidRDefault="00356CAE" w:rsidP="00356CAE">
      <w:pPr>
        <w:tabs>
          <w:tab w:val="left" w:pos="851"/>
        </w:tabs>
        <w:spacing w:before="120" w:after="120"/>
        <w:outlineLvl w:val="6"/>
      </w:pPr>
      <w:r w:rsidRPr="00356CAE">
        <w:t>(1) Insolvenční správce je po prohlášení konkursu oprávněn vypovědět nájemní smlouvu nebo podnájemní smlouvu uzavřenou dlužníkem ve lhůtě stanovené zákonem nebo smlouvou, a to i v případě, že byla sjednána na dobu určitou; výpovědní lhůta však nesmí být delší než 3 měsíce. Ustanovení občanského zákoníku o tom, v kterých případech a za jakých podmínek může pronajímatel vypovědět nájem bytu, tím nejsou dotčena.</w:t>
      </w:r>
    </w:p>
    <w:p w14:paraId="4BD75077" w14:textId="77777777" w:rsidR="00356CAE" w:rsidRPr="00356CAE" w:rsidRDefault="00356CAE" w:rsidP="00356CAE">
      <w:pPr>
        <w:tabs>
          <w:tab w:val="left" w:pos="851"/>
        </w:tabs>
        <w:spacing w:before="120" w:after="120"/>
        <w:outlineLvl w:val="6"/>
      </w:pPr>
      <w:r w:rsidRPr="00356CAE">
        <w:t xml:space="preserve">(2) Jestliže by výpovědí nájemní smlouvy sjednané na určitou dobu, v níž je dlužník pronajímatelem, byl nájemce nepřiměřeně dotčen ve svých oprávněných zájmech nebo by tím utrpěl či mohl utrpět značnou škodu, může nájemce do 15 dnů od doručení výpovědi navrhnout insolvenčnímu soudu zrušení výpovědi. Jestliže bude zajištěno, že nájemce koupí předmět nájmu při zpeněžení majetkové podstaty za </w:t>
      </w:r>
      <w:r w:rsidRPr="00356CAE">
        <w:rPr>
          <w:strike/>
        </w:rPr>
        <w:t>cenu obvyklou</w:t>
      </w:r>
      <w:r w:rsidRPr="00356CAE">
        <w:t xml:space="preserve"> </w:t>
      </w:r>
      <w:proofErr w:type="spellStart"/>
      <w:r w:rsidRPr="00356CAE">
        <w:rPr>
          <w:b/>
        </w:rPr>
        <w:t>obvyklou</w:t>
      </w:r>
      <w:proofErr w:type="spellEnd"/>
      <w:r w:rsidRPr="00356CAE">
        <w:rPr>
          <w:b/>
        </w:rPr>
        <w:t xml:space="preserve"> hodnotu</w:t>
      </w:r>
      <w:r w:rsidRPr="00356CAE">
        <w:t>, vyhoví insolvenční soud takovému návrhu vždy.</w:t>
      </w:r>
    </w:p>
    <w:p w14:paraId="1E36CD29" w14:textId="77777777" w:rsidR="00356CAE" w:rsidRPr="00356CAE" w:rsidRDefault="00356CAE" w:rsidP="00356CAE">
      <w:pPr>
        <w:tabs>
          <w:tab w:val="left" w:pos="851"/>
        </w:tabs>
        <w:spacing w:before="120" w:after="120"/>
        <w:outlineLvl w:val="6"/>
      </w:pPr>
      <w:r w:rsidRPr="00356CAE">
        <w:t>(3) Právo na nájemné nebo jinou úhradu za dobu před prohlášením konkursu může druhý účastník smlouvy uplatnit pouze přihláškou pohledávky. Totéž platí, jde-li o nájemné nebo jinou úhradu zaplacenou předem; tuto pohledávku je nutné přihlásit jako pohledávku vázanou na splnění odkládací podmínky.</w:t>
      </w:r>
    </w:p>
    <w:p w14:paraId="37694EE6" w14:textId="77777777" w:rsidR="00356CAE" w:rsidRPr="00356CAE" w:rsidRDefault="00356CAE" w:rsidP="00356CAE">
      <w:pPr>
        <w:keepNext/>
        <w:keepLines/>
        <w:numPr>
          <w:ilvl w:val="0"/>
          <w:numId w:val="40"/>
        </w:numPr>
        <w:spacing w:before="0" w:after="160" w:line="259" w:lineRule="auto"/>
        <w:jc w:val="center"/>
        <w:outlineLvl w:val="5"/>
      </w:pPr>
      <w:r w:rsidRPr="00356CAE">
        <w:lastRenderedPageBreak/>
        <w:t>***</w:t>
      </w:r>
    </w:p>
    <w:p w14:paraId="5E049F73" w14:textId="77777777" w:rsidR="00356CAE" w:rsidRPr="00356CAE" w:rsidRDefault="00356CAE" w:rsidP="00356CAE">
      <w:pPr>
        <w:keepNext/>
        <w:keepLines/>
        <w:numPr>
          <w:ilvl w:val="0"/>
          <w:numId w:val="40"/>
        </w:numPr>
        <w:spacing w:before="0" w:after="240" w:line="259" w:lineRule="auto"/>
        <w:jc w:val="center"/>
        <w:outlineLvl w:val="5"/>
      </w:pPr>
      <w:r w:rsidRPr="00356CAE">
        <w:t>§ 277</w:t>
      </w:r>
    </w:p>
    <w:p w14:paraId="7265ED12" w14:textId="77777777" w:rsidR="00356CAE" w:rsidRPr="00356CAE" w:rsidRDefault="00356CAE" w:rsidP="00356CAE">
      <w:pPr>
        <w:tabs>
          <w:tab w:val="left" w:pos="851"/>
        </w:tabs>
        <w:spacing w:before="120" w:after="120"/>
        <w:outlineLvl w:val="6"/>
      </w:pPr>
      <w:r w:rsidRPr="00356CAE">
        <w:t>(1) Neprodleně poté, co nabude účinnosti prohlášení konkursu, zajistí insolvenční správce provedení procesních úkonů a dalších činností, které z prohlášení konkursu vyplývají.</w:t>
      </w:r>
    </w:p>
    <w:p w14:paraId="4B44B3C4" w14:textId="77777777" w:rsidR="00356CAE" w:rsidRPr="00356CAE" w:rsidRDefault="00356CAE" w:rsidP="00356CAE">
      <w:pPr>
        <w:tabs>
          <w:tab w:val="left" w:pos="851"/>
        </w:tabs>
        <w:spacing w:before="120" w:after="120"/>
        <w:outlineLvl w:val="6"/>
      </w:pPr>
      <w:r w:rsidRPr="00356CAE">
        <w:t>(2) Insolvenční správce zaměří svou činnost zejména ke zjištění, zajištění a soupisu, k dokončení seznamu přihlášených pohledávek, k přípravě přezkumného jednání a k přípravě schůze věřitelů.</w:t>
      </w:r>
    </w:p>
    <w:p w14:paraId="25B13328" w14:textId="77777777" w:rsidR="00356CAE" w:rsidRPr="00356CAE" w:rsidRDefault="00356CAE" w:rsidP="00356CAE">
      <w:pPr>
        <w:tabs>
          <w:tab w:val="left" w:pos="851"/>
        </w:tabs>
        <w:spacing w:before="120" w:after="120"/>
        <w:outlineLvl w:val="6"/>
      </w:pPr>
      <w:r w:rsidRPr="00356CAE">
        <w:t xml:space="preserve">(3) Jde-li o dlužníka, který </w:t>
      </w:r>
      <w:r w:rsidRPr="00356CAE">
        <w:rPr>
          <w:strike/>
        </w:rPr>
        <w:t>vede účetnictví nebo evidenci podle zvláštního právního předpisu</w:t>
      </w:r>
      <w:r w:rsidRPr="00356CAE">
        <w:rPr>
          <w:strike/>
          <w:vertAlign w:val="superscript"/>
        </w:rPr>
        <w:footnoteReference w:customMarkFollows="1" w:id="496"/>
        <w:t>13)</w:t>
      </w:r>
      <w:r w:rsidRPr="00356CAE">
        <w:rPr>
          <w:strike/>
        </w:rPr>
        <w:t xml:space="preserve"> </w:t>
      </w:r>
      <w:r w:rsidRPr="00356CAE">
        <w:rPr>
          <w:b/>
        </w:rPr>
        <w:t>je účetní jednotkou nebo vede evidenci podle zákona upravujícího daně z příjmů</w:t>
      </w:r>
      <w:r w:rsidRPr="00356CAE">
        <w:t xml:space="preserve">, sestaví insolvenční správce ke dni předcházejícímu dni, kterým nastanou účinky prohlášení konkursu, mezitímní </w:t>
      </w:r>
      <w:r w:rsidRPr="00356CAE">
        <w:rPr>
          <w:b/>
        </w:rPr>
        <w:t>individuální</w:t>
      </w:r>
      <w:r w:rsidRPr="00356CAE">
        <w:t xml:space="preserve"> účetní závěrku nebo přehled o příjmech, výdajích, majetku a </w:t>
      </w:r>
      <w:r w:rsidRPr="00356CAE">
        <w:rPr>
          <w:strike/>
        </w:rPr>
        <w:t>závazcích</w:t>
      </w:r>
      <w:r w:rsidRPr="00356CAE">
        <w:t xml:space="preserve"> </w:t>
      </w:r>
      <w:r w:rsidRPr="00356CAE">
        <w:rPr>
          <w:b/>
        </w:rPr>
        <w:t>dluzích za část zdaňovacího období předcházející dni, kterým nastanou účinky prohlášení konkursu</w:t>
      </w:r>
      <w:r w:rsidRPr="00356CAE">
        <w:t>.</w:t>
      </w:r>
    </w:p>
    <w:p w14:paraId="1A044DEA" w14:textId="77777777" w:rsidR="00356CAE" w:rsidRPr="00356CAE" w:rsidRDefault="00356CAE" w:rsidP="00FE4A0D">
      <w:pPr>
        <w:keepNext/>
        <w:keepLines/>
        <w:numPr>
          <w:ilvl w:val="0"/>
          <w:numId w:val="72"/>
        </w:numPr>
        <w:spacing w:before="0" w:after="160" w:line="259" w:lineRule="auto"/>
        <w:jc w:val="center"/>
        <w:outlineLvl w:val="5"/>
      </w:pPr>
      <w:r w:rsidRPr="00356CAE">
        <w:t>***</w:t>
      </w:r>
    </w:p>
    <w:p w14:paraId="322DCF51" w14:textId="77777777" w:rsidR="00356CAE" w:rsidRPr="00356CAE" w:rsidRDefault="00356CAE" w:rsidP="00FE4A0D">
      <w:pPr>
        <w:keepNext/>
        <w:keepLines/>
        <w:numPr>
          <w:ilvl w:val="0"/>
          <w:numId w:val="72"/>
        </w:numPr>
        <w:spacing w:before="0" w:after="160" w:line="259" w:lineRule="auto"/>
        <w:jc w:val="center"/>
        <w:outlineLvl w:val="5"/>
      </w:pPr>
      <w:r w:rsidRPr="00356CAE">
        <w:t>§ 302</w:t>
      </w:r>
    </w:p>
    <w:p w14:paraId="227730F1" w14:textId="77777777" w:rsidR="00356CAE" w:rsidRPr="00356CAE" w:rsidRDefault="00356CAE" w:rsidP="00356CAE">
      <w:pPr>
        <w:tabs>
          <w:tab w:val="left" w:pos="851"/>
        </w:tabs>
        <w:spacing w:before="120" w:after="120"/>
        <w:outlineLvl w:val="6"/>
      </w:pPr>
      <w:r w:rsidRPr="00356CAE">
        <w:t>(1) V závěru zpeněžení majetkové podstaty insolvenční správce předloží insolvenčnímu soudu konečnou zprávu. Předložení konečné zprávy nebrání, jestliže</w:t>
      </w:r>
    </w:p>
    <w:p w14:paraId="519D5136" w14:textId="77777777" w:rsidR="00356CAE" w:rsidRPr="00356CAE" w:rsidRDefault="00356CAE" w:rsidP="00356CAE">
      <w:pPr>
        <w:spacing w:before="0"/>
        <w:ind w:left="425" w:hanging="425"/>
        <w:outlineLvl w:val="7"/>
      </w:pPr>
      <w:r w:rsidRPr="00356CAE">
        <w:t xml:space="preserve">a) </w:t>
      </w:r>
      <w:r w:rsidRPr="00356CAE">
        <w:tab/>
        <w:t>dosud nejsou ukončeny incidenční spory, pokud jejich výsledek nemůže podstatně ovlivnit závěr konečné zprávy,</w:t>
      </w:r>
    </w:p>
    <w:p w14:paraId="1B415F48" w14:textId="77777777" w:rsidR="00356CAE" w:rsidRPr="00356CAE" w:rsidRDefault="00356CAE" w:rsidP="00356CAE">
      <w:pPr>
        <w:spacing w:before="0"/>
        <w:ind w:left="425" w:hanging="425"/>
        <w:outlineLvl w:val="7"/>
      </w:pPr>
      <w:r w:rsidRPr="00356CAE">
        <w:t xml:space="preserve">b) </w:t>
      </w:r>
      <w:r w:rsidRPr="00356CAE">
        <w:tab/>
        <w:t>se nepodařilo zpeněžit všechen majetek náležející do majetkové podstaty, pokud dosud nezpeněžený majetek může být z majetkové podstaty vyňat.</w:t>
      </w:r>
    </w:p>
    <w:p w14:paraId="35F11EC1" w14:textId="77777777" w:rsidR="00356CAE" w:rsidRPr="00356CAE" w:rsidRDefault="00356CAE" w:rsidP="00356CAE">
      <w:pPr>
        <w:tabs>
          <w:tab w:val="left" w:pos="851"/>
        </w:tabs>
        <w:spacing w:before="120" w:after="120"/>
        <w:outlineLvl w:val="6"/>
      </w:pPr>
      <w:r w:rsidRPr="00356CAE">
        <w:t>(2) Konečná zpráva insolvenčního správce musí podat celkovou charakteristiku jeho činnosti s vyčíslením jejích finančních výsledků. Konečná zpráva musí obsahovat zejména</w:t>
      </w:r>
    </w:p>
    <w:p w14:paraId="7E35A488" w14:textId="77777777" w:rsidR="00356CAE" w:rsidRPr="00356CAE" w:rsidRDefault="00356CAE" w:rsidP="00180250">
      <w:pPr>
        <w:numPr>
          <w:ilvl w:val="3"/>
          <w:numId w:val="72"/>
        </w:numPr>
        <w:spacing w:before="0" w:line="259" w:lineRule="auto"/>
        <w:outlineLvl w:val="7"/>
      </w:pPr>
      <w:r w:rsidRPr="00356CAE">
        <w:t>přehled pohledávek za majetkovou podstatou a pohledávek jim na roveň postavených, které insolvenční správce již uspokojil a které ještě uspokojit zbývá,</w:t>
      </w:r>
    </w:p>
    <w:p w14:paraId="6AF5EE1D" w14:textId="77777777" w:rsidR="00356CAE" w:rsidRPr="00356CAE" w:rsidRDefault="00356CAE" w:rsidP="00180250">
      <w:pPr>
        <w:numPr>
          <w:ilvl w:val="3"/>
          <w:numId w:val="72"/>
        </w:numPr>
        <w:spacing w:before="0" w:line="259" w:lineRule="auto"/>
        <w:outlineLvl w:val="7"/>
      </w:pPr>
      <w:r w:rsidRPr="00356CAE">
        <w:t>přehled výdajů vynaložených v souvislosti se správou majetkové podstaty se zdůvodněním výdajů, které nejsou obvyklé,</w:t>
      </w:r>
    </w:p>
    <w:p w14:paraId="77BCC059" w14:textId="77777777" w:rsidR="00356CAE" w:rsidRPr="00356CAE" w:rsidRDefault="00356CAE" w:rsidP="00180250">
      <w:pPr>
        <w:numPr>
          <w:ilvl w:val="3"/>
          <w:numId w:val="72"/>
        </w:numPr>
        <w:spacing w:before="0" w:line="259" w:lineRule="auto"/>
        <w:outlineLvl w:val="7"/>
      </w:pPr>
      <w:r w:rsidRPr="00356CAE">
        <w:t>přehled zpeněžení majetkové podstaty s výsledkem, jehož bylo dosaženo,</w:t>
      </w:r>
    </w:p>
    <w:p w14:paraId="1F2C133D" w14:textId="77777777" w:rsidR="00356CAE" w:rsidRPr="00356CAE" w:rsidRDefault="00356CAE" w:rsidP="00180250">
      <w:pPr>
        <w:numPr>
          <w:ilvl w:val="3"/>
          <w:numId w:val="72"/>
        </w:numPr>
        <w:spacing w:before="0" w:line="259" w:lineRule="auto"/>
        <w:outlineLvl w:val="7"/>
      </w:pPr>
      <w:r w:rsidRPr="00356CAE">
        <w:t>uvedení majetku, který nebyl zpeněžen, s odůvodněním, proč k tomu došlo,</w:t>
      </w:r>
    </w:p>
    <w:p w14:paraId="78EADD34" w14:textId="77777777" w:rsidR="00356CAE" w:rsidRPr="00356CAE" w:rsidRDefault="00356CAE" w:rsidP="00180250">
      <w:pPr>
        <w:numPr>
          <w:ilvl w:val="3"/>
          <w:numId w:val="72"/>
        </w:numPr>
        <w:spacing w:before="0" w:line="259" w:lineRule="auto"/>
        <w:outlineLvl w:val="7"/>
      </w:pPr>
      <w:r w:rsidRPr="00356CAE">
        <w:t>výsledky částečného rozvrhu, pokud k němu došlo,</w:t>
      </w:r>
    </w:p>
    <w:p w14:paraId="6535101F" w14:textId="77777777" w:rsidR="00356CAE" w:rsidRPr="00356CAE" w:rsidRDefault="00356CAE" w:rsidP="00180250">
      <w:pPr>
        <w:numPr>
          <w:ilvl w:val="3"/>
          <w:numId w:val="72"/>
        </w:numPr>
        <w:spacing w:before="0" w:line="259" w:lineRule="auto"/>
        <w:outlineLvl w:val="7"/>
      </w:pPr>
      <w:r w:rsidRPr="00356CAE">
        <w:t>přehled plnění zajištěným věřitelům s promítnutím do rozvrhu,</w:t>
      </w:r>
    </w:p>
    <w:p w14:paraId="3FB85565" w14:textId="77777777" w:rsidR="00356CAE" w:rsidRPr="00356CAE" w:rsidRDefault="00356CAE" w:rsidP="00180250">
      <w:pPr>
        <w:numPr>
          <w:ilvl w:val="3"/>
          <w:numId w:val="72"/>
        </w:numPr>
        <w:spacing w:before="0" w:line="259" w:lineRule="auto"/>
        <w:outlineLvl w:val="7"/>
      </w:pPr>
      <w:r w:rsidRPr="00356CAE">
        <w:t>přehled jednání a právních úkonů, významných pro průběh insolvenčního řízení.</w:t>
      </w:r>
    </w:p>
    <w:p w14:paraId="1DB0DF42" w14:textId="77777777" w:rsidR="00356CAE" w:rsidRPr="00356CAE" w:rsidRDefault="00356CAE" w:rsidP="00356CAE">
      <w:pPr>
        <w:tabs>
          <w:tab w:val="left" w:pos="851"/>
        </w:tabs>
        <w:spacing w:before="120" w:after="120"/>
        <w:outlineLvl w:val="6"/>
      </w:pPr>
      <w:r w:rsidRPr="00356CAE">
        <w:t>(3) Konečná zpráva insolvenčního správce musí vyústit ve vyčíslení částky, která má být rozdělena mezi věřitele, a v označení těchto věřitelů, s údajem o výši jejich podílů na této částce.</w:t>
      </w:r>
    </w:p>
    <w:p w14:paraId="2571991B" w14:textId="77777777" w:rsidR="00356CAE" w:rsidRPr="00356CAE" w:rsidRDefault="00356CAE" w:rsidP="00356CAE">
      <w:pPr>
        <w:tabs>
          <w:tab w:val="left" w:pos="851"/>
        </w:tabs>
        <w:spacing w:before="120" w:after="120"/>
        <w:outlineLvl w:val="6"/>
        <w:rPr>
          <w:strike/>
        </w:rPr>
      </w:pPr>
      <w:r w:rsidRPr="00356CAE">
        <w:rPr>
          <w:strike/>
        </w:rPr>
        <w:t>(4) Ke dni sestavení konečné zprávy sestaví insolvenční správce účetní závěrku.</w:t>
      </w:r>
    </w:p>
    <w:p w14:paraId="120B6825" w14:textId="77777777" w:rsidR="00356CAE" w:rsidRPr="00356CAE" w:rsidRDefault="00356CAE" w:rsidP="00356CAE">
      <w:pPr>
        <w:tabs>
          <w:tab w:val="left" w:pos="851"/>
        </w:tabs>
        <w:spacing w:before="120" w:after="120"/>
        <w:outlineLvl w:val="6"/>
      </w:pPr>
      <w:proofErr w:type="gramStart"/>
      <w:r w:rsidRPr="00356CAE">
        <w:rPr>
          <w:strike/>
        </w:rPr>
        <w:t>(5)</w:t>
      </w:r>
      <w:r w:rsidRPr="00356CAE">
        <w:rPr>
          <w:b/>
        </w:rPr>
        <w:t xml:space="preserve">(4) </w:t>
      </w:r>
      <w:r w:rsidRPr="00356CAE">
        <w:t>Konečná</w:t>
      </w:r>
      <w:proofErr w:type="gramEnd"/>
      <w:r w:rsidRPr="00356CAE">
        <w:t xml:space="preserve"> zpráva se předkládá pouze na elektronickém formuláři, jehož náležitosti a formát stanoví prováděcí právní předpis.</w:t>
      </w:r>
    </w:p>
    <w:p w14:paraId="5AA703EB" w14:textId="77777777" w:rsidR="00356CAE" w:rsidRPr="00356CAE" w:rsidRDefault="00356CAE" w:rsidP="00FE4A0D">
      <w:pPr>
        <w:keepNext/>
        <w:keepLines/>
        <w:numPr>
          <w:ilvl w:val="0"/>
          <w:numId w:val="72"/>
        </w:numPr>
        <w:spacing w:before="0" w:after="160" w:line="259" w:lineRule="auto"/>
        <w:jc w:val="center"/>
        <w:outlineLvl w:val="5"/>
      </w:pPr>
      <w:r w:rsidRPr="00356CAE">
        <w:lastRenderedPageBreak/>
        <w:t>***</w:t>
      </w:r>
    </w:p>
    <w:p w14:paraId="544E3C37" w14:textId="77777777" w:rsidR="00356CAE" w:rsidRPr="00356CAE" w:rsidRDefault="00356CAE" w:rsidP="00FE4A0D">
      <w:pPr>
        <w:keepNext/>
        <w:keepLines/>
        <w:numPr>
          <w:ilvl w:val="0"/>
          <w:numId w:val="72"/>
        </w:numPr>
        <w:spacing w:before="0" w:after="160" w:line="259" w:lineRule="auto"/>
        <w:jc w:val="center"/>
        <w:outlineLvl w:val="5"/>
      </w:pPr>
      <w:r w:rsidRPr="00356CAE">
        <w:t>§ 313</w:t>
      </w:r>
    </w:p>
    <w:p w14:paraId="5868EEC2" w14:textId="77777777" w:rsidR="00356CAE" w:rsidRPr="00356CAE" w:rsidRDefault="00356CAE" w:rsidP="00356CAE">
      <w:pPr>
        <w:tabs>
          <w:tab w:val="left" w:pos="851"/>
        </w:tabs>
        <w:spacing w:before="120" w:after="120"/>
        <w:outlineLvl w:val="6"/>
      </w:pPr>
      <w:r w:rsidRPr="00356CAE">
        <w:t>(1) Funkce insolvenčního správce nekončí zrušením konkursu, i když jeho oprávnění nakládat se zbývající částí majetkové podstaty a další dispoziční oprávnění přecházejí na dlužníka.</w:t>
      </w:r>
    </w:p>
    <w:p w14:paraId="4C9C6E14" w14:textId="77777777" w:rsidR="00356CAE" w:rsidRPr="00356CAE" w:rsidRDefault="00356CAE" w:rsidP="00356CAE">
      <w:pPr>
        <w:tabs>
          <w:tab w:val="left" w:pos="851"/>
        </w:tabs>
        <w:spacing w:before="120" w:after="120"/>
        <w:outlineLvl w:val="6"/>
      </w:pPr>
      <w:r w:rsidRPr="00356CAE">
        <w:t>(2)</w:t>
      </w:r>
      <w:r w:rsidRPr="00356CAE">
        <w:rPr>
          <w:strike/>
        </w:rPr>
        <w:t xml:space="preserve"> Insolvenční správce je povinen ke dni zrušení konkursu uzavřít účetní knihy, sestavit účetní závěrku, splnit povinnosti uložené daňovými předpisy a předat dlužníku potřebné účetní záznamy.</w:t>
      </w:r>
      <w:r w:rsidRPr="00356CAE">
        <w:t xml:space="preserve"> </w:t>
      </w:r>
      <w:r w:rsidRPr="00356CAE">
        <w:rPr>
          <w:b/>
        </w:rPr>
        <w:t xml:space="preserve">Insolvenční správce je povinen splnit účetní a daňové povinnosti dlužníka vzniklé ke dni zrušení konkursu a předat dlužníkovi účetní záznamy. </w:t>
      </w:r>
      <w:r w:rsidRPr="00356CAE">
        <w:t>Dále je povinen předat dlužníkovi zbývající majetek, zajistit činnosti evidenční a odbornou správu dokumentů</w:t>
      </w:r>
      <w:r w:rsidRPr="00356CAE">
        <w:rPr>
          <w:vertAlign w:val="superscript"/>
        </w:rPr>
        <w:footnoteReference w:customMarkFollows="1" w:id="497"/>
        <w:t>61)</w:t>
      </w:r>
      <w:r w:rsidRPr="00356CAE">
        <w:t xml:space="preserve"> vzniklých z činnosti dlužníka, popřípadě z činnosti jeho právních předchůdců, a další činnosti související se zrušením konkursu. Nevede-li dlužník účetnictví, týkají se tyto povinnosti přiměřeně jeho </w:t>
      </w:r>
      <w:r w:rsidRPr="00356CAE">
        <w:rPr>
          <w:strike/>
        </w:rPr>
        <w:t>daňové evidence</w:t>
      </w:r>
      <w:r w:rsidRPr="00356CAE">
        <w:rPr>
          <w:b/>
        </w:rPr>
        <w:t xml:space="preserve"> </w:t>
      </w:r>
      <w:proofErr w:type="spellStart"/>
      <w:r w:rsidRPr="00356CAE">
        <w:rPr>
          <w:b/>
        </w:rPr>
        <w:t>evidence</w:t>
      </w:r>
      <w:proofErr w:type="spellEnd"/>
      <w:r w:rsidRPr="00356CAE">
        <w:rPr>
          <w:b/>
        </w:rPr>
        <w:t xml:space="preserve"> podle zákona upravujícího daně z příjmů</w:t>
      </w:r>
      <w:r w:rsidRPr="00356CAE">
        <w:t>.</w:t>
      </w:r>
    </w:p>
    <w:p w14:paraId="09B43B60" w14:textId="73979290" w:rsidR="00356CAE" w:rsidRDefault="00356CAE" w:rsidP="00180250">
      <w:pPr>
        <w:tabs>
          <w:tab w:val="left" w:pos="851"/>
        </w:tabs>
        <w:spacing w:before="120" w:after="120"/>
        <w:outlineLvl w:val="6"/>
      </w:pPr>
      <w:r w:rsidRPr="00356CAE">
        <w:t>(3) Po provedení činností podle odstavce 2 insolvenční soud insolvenčního správce zprostí jeho funkce. Současně rozhodne o výdajích, které insolvenčnímu správci vznikly v souvislosti se zrušením konkursu, a o způsobu jejich úhrady.</w:t>
      </w:r>
    </w:p>
    <w:p w14:paraId="01D17C4F" w14:textId="16A316F4" w:rsidR="00356CAE" w:rsidRPr="00356CAE" w:rsidRDefault="00356CAE" w:rsidP="00FE4A0D">
      <w:pPr>
        <w:keepNext/>
        <w:keepLines/>
        <w:numPr>
          <w:ilvl w:val="0"/>
          <w:numId w:val="72"/>
        </w:numPr>
        <w:spacing w:before="0" w:after="160" w:line="259" w:lineRule="auto"/>
        <w:jc w:val="center"/>
        <w:outlineLvl w:val="5"/>
      </w:pPr>
      <w:r w:rsidRPr="00356CAE">
        <w:t>§ 314</w:t>
      </w:r>
    </w:p>
    <w:p w14:paraId="5C9A9F04" w14:textId="77777777" w:rsidR="00356CAE" w:rsidRPr="00356CAE" w:rsidRDefault="00356CAE" w:rsidP="00356CAE">
      <w:pPr>
        <w:tabs>
          <w:tab w:val="left" w:pos="851"/>
        </w:tabs>
        <w:spacing w:before="120" w:after="120"/>
        <w:outlineLvl w:val="6"/>
      </w:pPr>
      <w:r w:rsidRPr="00356CAE">
        <w:t>(1) O nepatrný konkurs jde, jestliže</w:t>
      </w:r>
    </w:p>
    <w:p w14:paraId="32D33EC3" w14:textId="77777777" w:rsidR="00356CAE" w:rsidRPr="00356CAE" w:rsidRDefault="00356CAE" w:rsidP="00356CAE">
      <w:pPr>
        <w:spacing w:before="0"/>
        <w:ind w:left="425" w:hanging="425"/>
        <w:outlineLvl w:val="7"/>
      </w:pPr>
      <w:r w:rsidRPr="00356CAE">
        <w:t xml:space="preserve">a) </w:t>
      </w:r>
      <w:r w:rsidRPr="00356CAE">
        <w:tab/>
        <w:t>dlužníkem je fyzická osoba, která není podnikatelem, nebo</w:t>
      </w:r>
    </w:p>
    <w:p w14:paraId="6D1B954E" w14:textId="77777777" w:rsidR="00356CAE" w:rsidRPr="00356CAE" w:rsidRDefault="00356CAE" w:rsidP="00356CAE">
      <w:pPr>
        <w:spacing w:before="0"/>
        <w:ind w:left="425" w:hanging="425"/>
        <w:outlineLvl w:val="7"/>
      </w:pPr>
      <w:r w:rsidRPr="00356CAE">
        <w:t>b)</w:t>
      </w:r>
      <w:r w:rsidRPr="00356CAE">
        <w:tab/>
        <w:t xml:space="preserve">nebyl zjištěn </w:t>
      </w:r>
      <w:r w:rsidRPr="00356CAE">
        <w:rPr>
          <w:strike/>
        </w:rPr>
        <w:t>celkový obrat dlužníka podle zvláštního právního předpisu</w:t>
      </w:r>
      <w:r w:rsidRPr="00356CAE">
        <w:rPr>
          <w:strike/>
          <w:vertAlign w:val="superscript"/>
        </w:rPr>
        <w:footnoteReference w:customMarkFollows="1" w:id="498"/>
        <w:t>46)</w:t>
      </w:r>
      <w:r w:rsidRPr="00356CAE">
        <w:t xml:space="preserve"> </w:t>
      </w:r>
      <w:r w:rsidRPr="00356CAE">
        <w:rPr>
          <w:b/>
        </w:rPr>
        <w:t>roční úhrn čistého obratu dlužníka podle právních předpisů upravujících účetnictví</w:t>
      </w:r>
      <w:r w:rsidRPr="00356CAE">
        <w:t xml:space="preserve"> za poslední </w:t>
      </w:r>
      <w:r w:rsidRPr="00356CAE">
        <w:rPr>
          <w:b/>
        </w:rPr>
        <w:t>individuální</w:t>
      </w:r>
      <w:r w:rsidRPr="00356CAE">
        <w:t xml:space="preserve"> účetní období předcházející prohlášení konkursu přesahující 2 000 000 Kč a dlužník nemá více než 50 věřitelů.</w:t>
      </w:r>
    </w:p>
    <w:p w14:paraId="563BC2B4" w14:textId="77777777" w:rsidR="00356CAE" w:rsidRPr="00356CAE" w:rsidRDefault="00356CAE" w:rsidP="00356CAE">
      <w:pPr>
        <w:tabs>
          <w:tab w:val="left" w:pos="851"/>
        </w:tabs>
        <w:spacing w:before="120" w:after="120"/>
        <w:outlineLvl w:val="6"/>
      </w:pPr>
      <w:r w:rsidRPr="00356CAE">
        <w:t>(2) Rozhodnutí o tom, že jde o nepatrný konkurs, může insolvenční soud vydat i bez návrhu a spojit je s prohlášením konkursu nebo je vydat kdykoli v průběhu insolvenčního řízení po prohlášení konkursu.</w:t>
      </w:r>
    </w:p>
    <w:p w14:paraId="4DA9467C" w14:textId="77777777" w:rsidR="00356CAE" w:rsidRPr="00356CAE" w:rsidRDefault="00356CAE" w:rsidP="00356CAE">
      <w:pPr>
        <w:tabs>
          <w:tab w:val="left" w:pos="851"/>
        </w:tabs>
        <w:spacing w:before="120" w:after="120"/>
        <w:outlineLvl w:val="6"/>
      </w:pPr>
      <w:r w:rsidRPr="00356CAE">
        <w:t>(3) Vyjde-li dodatečně najevo, že konkurs neměl být považován za nepatrný, insolvenční soud přijaté rozhodnutí bez zbytečného odkladu zruší.</w:t>
      </w:r>
    </w:p>
    <w:p w14:paraId="7201EDBE" w14:textId="77777777" w:rsidR="00356CAE" w:rsidRPr="00356CAE" w:rsidRDefault="00356CAE" w:rsidP="00356CAE">
      <w:pPr>
        <w:tabs>
          <w:tab w:val="left" w:pos="851"/>
        </w:tabs>
        <w:spacing w:before="120" w:after="120"/>
        <w:outlineLvl w:val="6"/>
      </w:pPr>
      <w:r w:rsidRPr="00356CAE">
        <w:t>(4) Proti rozhodnutí podle odstavců 1 a 2 není odvolání přípustné, musí však být vždy odůvodněno.</w:t>
      </w:r>
    </w:p>
    <w:p w14:paraId="4F0A850A" w14:textId="77777777" w:rsidR="00356CAE" w:rsidRPr="00356CAE" w:rsidRDefault="00356CAE" w:rsidP="00FE4A0D">
      <w:pPr>
        <w:keepNext/>
        <w:keepLines/>
        <w:numPr>
          <w:ilvl w:val="0"/>
          <w:numId w:val="72"/>
        </w:numPr>
        <w:spacing w:before="0" w:after="160" w:line="259" w:lineRule="auto"/>
        <w:jc w:val="center"/>
        <w:outlineLvl w:val="5"/>
      </w:pPr>
      <w:r w:rsidRPr="00356CAE">
        <w:t>***</w:t>
      </w:r>
    </w:p>
    <w:p w14:paraId="619EA394" w14:textId="77777777" w:rsidR="00356CAE" w:rsidRPr="00356CAE" w:rsidRDefault="00356CAE" w:rsidP="00FE4A0D">
      <w:pPr>
        <w:keepNext/>
        <w:keepLines/>
        <w:numPr>
          <w:ilvl w:val="0"/>
          <w:numId w:val="72"/>
        </w:numPr>
        <w:spacing w:before="0" w:after="160" w:line="259" w:lineRule="auto"/>
        <w:jc w:val="center"/>
        <w:outlineLvl w:val="5"/>
      </w:pPr>
      <w:r w:rsidRPr="00356CAE">
        <w:t>§ 316</w:t>
      </w:r>
    </w:p>
    <w:p w14:paraId="1DF64187" w14:textId="77777777" w:rsidR="00356CAE" w:rsidRPr="00356CAE" w:rsidRDefault="00356CAE" w:rsidP="00356CAE">
      <w:pPr>
        <w:tabs>
          <w:tab w:val="left" w:pos="851"/>
        </w:tabs>
        <w:spacing w:before="120" w:after="120"/>
        <w:outlineLvl w:val="6"/>
      </w:pPr>
      <w:r w:rsidRPr="00356CAE">
        <w:t>(1) Reorganizací se rozumí zpravidla postupné uspokojování pohledávek věřitelů při zachování provozu dlužníkova podniku, zajištěné opatřeními k ozdravění hospodaření tohoto podniku podle insolvenčním soudem schváleného reorganizačního plánu s průběžnou kontrolou jeho plnění ze strany věřitelů.</w:t>
      </w:r>
    </w:p>
    <w:p w14:paraId="0B3CACF1" w14:textId="77777777" w:rsidR="00356CAE" w:rsidRPr="00356CAE" w:rsidRDefault="00356CAE" w:rsidP="00356CAE">
      <w:pPr>
        <w:tabs>
          <w:tab w:val="left" w:pos="851"/>
        </w:tabs>
        <w:spacing w:before="120" w:after="120"/>
        <w:outlineLvl w:val="6"/>
      </w:pPr>
      <w:r w:rsidRPr="00356CAE">
        <w:lastRenderedPageBreak/>
        <w:t>(2) Reorganizací lze řešit úpadek nebo hrozící úpadek dlužníka, který je podnikatelem; reorganizace se týká jeho podniku.</w:t>
      </w:r>
    </w:p>
    <w:p w14:paraId="31C3454F" w14:textId="77777777" w:rsidR="00356CAE" w:rsidRPr="00356CAE" w:rsidRDefault="00356CAE" w:rsidP="00356CAE">
      <w:pPr>
        <w:tabs>
          <w:tab w:val="left" w:pos="851"/>
        </w:tabs>
        <w:spacing w:before="120" w:after="120"/>
        <w:outlineLvl w:val="6"/>
      </w:pPr>
      <w:r w:rsidRPr="00356CAE">
        <w:t>(3) Reorganizace není přípustná, je-li dlužníkem právnická osoba v likvidaci, obchodník s cennými papíry nebo osoba oprávněná k obchodování na komoditní burze podle zvláštního právního předpisu.</w:t>
      </w:r>
    </w:p>
    <w:p w14:paraId="2B46C489" w14:textId="77777777" w:rsidR="00356CAE" w:rsidRPr="00356CAE" w:rsidRDefault="00356CAE" w:rsidP="00356CAE">
      <w:pPr>
        <w:tabs>
          <w:tab w:val="left" w:pos="851"/>
        </w:tabs>
        <w:spacing w:before="120" w:after="120"/>
        <w:outlineLvl w:val="6"/>
      </w:pPr>
      <w:r w:rsidRPr="00356CAE">
        <w:t xml:space="preserve">(4) Reorganizace je přípustná, jestliže </w:t>
      </w:r>
      <w:r w:rsidRPr="00356CAE">
        <w:rPr>
          <w:strike/>
        </w:rPr>
        <w:t>celkový</w:t>
      </w:r>
      <w:r w:rsidRPr="00356CAE">
        <w:t xml:space="preserve"> roční úhrn čistého obratu dlužníka podle </w:t>
      </w:r>
      <w:r w:rsidRPr="00356CAE">
        <w:rPr>
          <w:strike/>
        </w:rPr>
        <w:t>zvláštního právního předpisu</w:t>
      </w:r>
      <w:r w:rsidRPr="00356CAE">
        <w:rPr>
          <w:strike/>
          <w:vertAlign w:val="superscript"/>
        </w:rPr>
        <w:t>46)</w:t>
      </w:r>
      <w:r w:rsidRPr="00356CAE">
        <w:rPr>
          <w:vertAlign w:val="superscript"/>
        </w:rPr>
        <w:t xml:space="preserve"> </w:t>
      </w:r>
      <w:r w:rsidRPr="00356CAE">
        <w:rPr>
          <w:b/>
        </w:rPr>
        <w:t xml:space="preserve">právních předpisů upravujících účetnictví </w:t>
      </w:r>
      <w:r w:rsidRPr="00356CAE">
        <w:t xml:space="preserve">za poslední </w:t>
      </w:r>
      <w:r w:rsidRPr="00356CAE">
        <w:rPr>
          <w:b/>
        </w:rPr>
        <w:t>individuální</w:t>
      </w:r>
      <w:r w:rsidRPr="00356CAE">
        <w:t xml:space="preserve"> účetní období předcházející insolvenčnímu návrhu dosáhl alespoň částku 50 000 000 Kč, nebo zaměstnává-li dlužník nejméně 50 zaměstnanců v pracovním poměru; ustanovení odstavce 3 tím není dotčeno.</w:t>
      </w:r>
    </w:p>
    <w:p w14:paraId="54EE97A1" w14:textId="77777777" w:rsidR="00356CAE" w:rsidRPr="00356CAE" w:rsidRDefault="00356CAE" w:rsidP="00356CAE">
      <w:pPr>
        <w:tabs>
          <w:tab w:val="left" w:pos="851"/>
        </w:tabs>
        <w:spacing w:before="120" w:after="120"/>
        <w:outlineLvl w:val="6"/>
      </w:pPr>
      <w:r w:rsidRPr="00356CAE">
        <w:t>(5) Jestliže dlužník společně s insolvenčním návrhem nebo nejpozději do rozhodnutí o úpadku předložil insolvenčnímu soudu reorganizační plán přijatý alespoň polovinou všech zajištěných věřitelů počítanou podle výše jejich pohledávek a alespoň polovinou všech nezajištěných věřitelů počítanou podle výše pohledávek, omezení podle odstavce 4 se nepoužije.</w:t>
      </w:r>
    </w:p>
    <w:p w14:paraId="603BEFDA" w14:textId="77777777" w:rsidR="00356CAE" w:rsidRPr="00356CAE" w:rsidRDefault="00356CAE" w:rsidP="00356CAE">
      <w:pPr>
        <w:tabs>
          <w:tab w:val="left" w:pos="851"/>
        </w:tabs>
        <w:spacing w:before="120" w:after="120"/>
        <w:outlineLvl w:val="6"/>
      </w:pPr>
      <w:r w:rsidRPr="00356CAE">
        <w:t>(6) Jde-li o insolvenční návrh věřitele a dlužník před rozhodnutím o úpadku požádá o prodloužení lhůty k předložení reorganizačního plánu podle odstavce 5, insolvenční soud v rozhodnutí o úpadku prodlouží tuto lhůtu nejdéle o 30 dnů.</w:t>
      </w:r>
    </w:p>
    <w:p w14:paraId="766D5B67" w14:textId="77777777" w:rsidR="00356CAE" w:rsidRPr="00356CAE" w:rsidRDefault="00356CAE" w:rsidP="00356CAE">
      <w:pPr>
        <w:keepNext/>
        <w:keepLines/>
        <w:numPr>
          <w:ilvl w:val="0"/>
          <w:numId w:val="1"/>
        </w:numPr>
        <w:spacing w:before="0" w:after="160" w:line="259" w:lineRule="auto"/>
        <w:jc w:val="center"/>
        <w:outlineLvl w:val="5"/>
      </w:pPr>
      <w:r w:rsidRPr="00356CAE">
        <w:t>§ 330</w:t>
      </w:r>
    </w:p>
    <w:p w14:paraId="5C587D1F" w14:textId="77777777" w:rsidR="00356CAE" w:rsidRPr="00356CAE" w:rsidRDefault="00356CAE" w:rsidP="00356CAE">
      <w:pPr>
        <w:tabs>
          <w:tab w:val="left" w:pos="782"/>
          <w:tab w:val="left" w:pos="851"/>
        </w:tabs>
        <w:spacing w:before="120" w:after="120"/>
        <w:outlineLvl w:val="6"/>
      </w:pPr>
      <w:r w:rsidRPr="00356CAE">
        <w:t>(1)</w:t>
      </w:r>
      <w:r w:rsidRPr="00356CAE">
        <w:tab/>
        <w:t>Právní mocí rozhodnutí o povolení reorganizace se ruší omezení dispozičních oprávnění dlužníka, ke kterým došlo ze zákona nebo rozhodnutím insolvenčního soudu v dosavadním průběhu insolvenčního řízení, ledaže insolvenční soud rozhodne podle § 332 jinak.</w:t>
      </w:r>
    </w:p>
    <w:p w14:paraId="49C4EE18" w14:textId="77777777" w:rsidR="00356CAE" w:rsidRPr="00356CAE" w:rsidRDefault="00356CAE" w:rsidP="00356CAE">
      <w:pPr>
        <w:tabs>
          <w:tab w:val="left" w:pos="782"/>
          <w:tab w:val="left" w:pos="851"/>
        </w:tabs>
        <w:spacing w:before="120" w:after="120"/>
        <w:outlineLvl w:val="6"/>
      </w:pPr>
      <w:r w:rsidRPr="00356CAE">
        <w:t>(2)</w:t>
      </w:r>
      <w:r w:rsidRPr="00356CAE">
        <w:tab/>
        <w:t>Právní úkony, které mají z hlediska nakládání s majetkovou podstatou a její správou zásadní význam, činí dlužník s dispozičními oprávněními jen se souhlasem věřitelského výboru. Porušení této povinnosti má za následek odpovědnost dlužníka za škodu nebo jinou újmu, kterou tím věřitelům nebo třetím osobám způsobil; členové statutárního orgánu dlužníka za takto způsobenou škodu nebo jinou újmu ručí společně a nerozdílně.</w:t>
      </w:r>
    </w:p>
    <w:p w14:paraId="22EEF4C6" w14:textId="77777777" w:rsidR="00356CAE" w:rsidRPr="00356CAE" w:rsidRDefault="00356CAE" w:rsidP="00356CAE">
      <w:pPr>
        <w:tabs>
          <w:tab w:val="left" w:pos="782"/>
          <w:tab w:val="left" w:pos="851"/>
        </w:tabs>
        <w:spacing w:before="120" w:after="120"/>
        <w:outlineLvl w:val="6"/>
      </w:pPr>
      <w:r w:rsidRPr="00356CAE">
        <w:t>(3)</w:t>
      </w:r>
      <w:r w:rsidRPr="00356CAE">
        <w:tab/>
        <w:t>Za právní úkony, které mají podle odstavce 3 zásadní význam, se považují úkony, jejichž důsledkem se významně změní hodnota majetkové podstaty nebo postavení věřitelů anebo míra uspokojení věřitelů.</w:t>
      </w:r>
    </w:p>
    <w:p w14:paraId="4431128A" w14:textId="77777777" w:rsidR="00356CAE" w:rsidRPr="00356CAE" w:rsidRDefault="00356CAE" w:rsidP="00356CAE">
      <w:pPr>
        <w:tabs>
          <w:tab w:val="left" w:pos="782"/>
          <w:tab w:val="left" w:pos="851"/>
        </w:tabs>
        <w:spacing w:before="120" w:after="120"/>
        <w:outlineLvl w:val="6"/>
      </w:pPr>
      <w:r w:rsidRPr="00356CAE">
        <w:t>(4)</w:t>
      </w:r>
      <w:r w:rsidRPr="00356CAE">
        <w:tab/>
        <w:t>Pohledávky vedoucích zaměstnanců dlužníka s dispozičními oprávněními, podle § 33 odst. 3 a § 73 odst. 3 zákoníku práce, které vznikly po povolení reorganizace, lze v průběhu insolvenčního řízení uspokojit pouze do výše, kterou určí insolvenční správce se souhlasem věřitelského výboru.</w:t>
      </w:r>
    </w:p>
    <w:p w14:paraId="29A12455" w14:textId="77777777" w:rsidR="00356CAE" w:rsidRPr="00356CAE" w:rsidRDefault="00356CAE" w:rsidP="00356CAE">
      <w:pPr>
        <w:tabs>
          <w:tab w:val="left" w:pos="782"/>
          <w:tab w:val="left" w:pos="851"/>
        </w:tabs>
        <w:spacing w:before="120" w:after="120"/>
        <w:outlineLvl w:val="6"/>
      </w:pPr>
      <w:r w:rsidRPr="00356CAE">
        <w:t>(5)</w:t>
      </w:r>
      <w:r w:rsidRPr="00356CAE">
        <w:tab/>
        <w:t xml:space="preserve">Ke dni předcházejícímu dni, kterým nastanou účinky povolení reorganizace, sestaví dlužník mezitímní </w:t>
      </w:r>
      <w:r w:rsidRPr="00356CAE">
        <w:rPr>
          <w:b/>
        </w:rPr>
        <w:t xml:space="preserve">individuální </w:t>
      </w:r>
      <w:r w:rsidRPr="00356CAE">
        <w:t>účetní závěrku.</w:t>
      </w:r>
    </w:p>
    <w:p w14:paraId="25FB8F72" w14:textId="77777777" w:rsidR="00356CAE" w:rsidRPr="00356CAE" w:rsidRDefault="00356CAE" w:rsidP="00356CAE">
      <w:pPr>
        <w:keepNext/>
        <w:keepLines/>
        <w:numPr>
          <w:ilvl w:val="0"/>
          <w:numId w:val="1"/>
        </w:numPr>
        <w:spacing w:before="0" w:after="160" w:line="259" w:lineRule="auto"/>
        <w:jc w:val="center"/>
        <w:outlineLvl w:val="5"/>
      </w:pPr>
      <w:r w:rsidRPr="00356CAE">
        <w:t xml:space="preserve">§ 398b </w:t>
      </w:r>
    </w:p>
    <w:p w14:paraId="3EBAD597" w14:textId="77777777" w:rsidR="00356CAE" w:rsidRPr="00356CAE" w:rsidRDefault="00356CAE" w:rsidP="00356CAE">
      <w:pPr>
        <w:keepNext/>
        <w:keepLines/>
        <w:ind w:firstLine="0"/>
        <w:jc w:val="center"/>
        <w:outlineLvl w:val="5"/>
        <w:rPr>
          <w:b/>
        </w:rPr>
      </w:pPr>
      <w:r w:rsidRPr="00356CAE">
        <w:rPr>
          <w:b/>
        </w:rPr>
        <w:t>Splátkový kalendář fyzické osoby - podnikatele</w:t>
      </w:r>
    </w:p>
    <w:p w14:paraId="20A0DF25" w14:textId="77777777" w:rsidR="00356CAE" w:rsidRPr="00356CAE" w:rsidRDefault="00356CAE" w:rsidP="00356CAE">
      <w:pPr>
        <w:tabs>
          <w:tab w:val="left" w:pos="782"/>
          <w:tab w:val="left" w:pos="851"/>
        </w:tabs>
        <w:spacing w:before="120" w:after="120"/>
        <w:outlineLvl w:val="6"/>
      </w:pPr>
      <w:r w:rsidRPr="00356CAE">
        <w:t>(1)</w:t>
      </w:r>
      <w:r w:rsidRPr="00356CAE">
        <w:tab/>
        <w:t>Při oddlužení plněním splátkového kalendáře se zpeněžením majetkové podstaty je dlužník, který je fyzickou osobou - podnikatelem, povinen do doby podání písemné zprávy o splnění oddlužení měsíčně splácet nezajištěným věřitelům ze svých příjmů částku, která se určí podle tohoto ustanovení. Ustanovení § 398 není dotčeno.</w:t>
      </w:r>
    </w:p>
    <w:p w14:paraId="569D4763" w14:textId="77777777" w:rsidR="00356CAE" w:rsidRPr="00356CAE" w:rsidRDefault="00356CAE" w:rsidP="00356CAE">
      <w:pPr>
        <w:tabs>
          <w:tab w:val="left" w:pos="782"/>
          <w:tab w:val="left" w:pos="851"/>
        </w:tabs>
        <w:spacing w:before="120" w:after="120"/>
        <w:outlineLvl w:val="6"/>
      </w:pPr>
      <w:r w:rsidRPr="00356CAE">
        <w:lastRenderedPageBreak/>
        <w:t>(2)</w:t>
      </w:r>
      <w:r w:rsidRPr="00356CAE">
        <w:tab/>
        <w:t>V rozhodnutí o schválení oddlužení plněním splátkového kalendáře se zpeněžením majetkové podstaty uloží insolvenční soud dlužníkovi povinnost měsíčně splácet nezajištěným věřitelům z jeho příjmů z podnikání minimální nevratnou částku (dále jen "zálohová splátka").</w:t>
      </w:r>
    </w:p>
    <w:p w14:paraId="6AC87C9A" w14:textId="77777777" w:rsidR="00356CAE" w:rsidRPr="00356CAE" w:rsidRDefault="00356CAE" w:rsidP="00356CAE">
      <w:pPr>
        <w:tabs>
          <w:tab w:val="left" w:pos="782"/>
          <w:tab w:val="left" w:pos="851"/>
        </w:tabs>
        <w:spacing w:before="120" w:after="120"/>
        <w:outlineLvl w:val="6"/>
      </w:pPr>
      <w:r w:rsidRPr="00356CAE">
        <w:t>(3)</w:t>
      </w:r>
      <w:r w:rsidRPr="00356CAE">
        <w:tab/>
        <w:t>Zálohová splátka se určí z jedné dvanáctiny zjištěného zisku dlužníka za poslední zdaňovací období podle zvláštního zákona</w:t>
      </w:r>
      <w:r w:rsidRPr="00356CAE">
        <w:rPr>
          <w:vertAlign w:val="superscript"/>
        </w:rPr>
        <w:t>73)</w:t>
      </w:r>
      <w:r w:rsidRPr="00356CAE">
        <w:t xml:space="preserve"> předcházející podání návrhu na povolení oddlužení a vypočte se ve výši, v jaké mohou být při výkonu rozhodnutí nebo exekuci uspokojeny přednostní pohledávky</w:t>
      </w:r>
      <w:r w:rsidRPr="00356CAE">
        <w:rPr>
          <w:vertAlign w:val="superscript"/>
        </w:rPr>
        <w:t>29)</w:t>
      </w:r>
      <w:r w:rsidRPr="00356CAE">
        <w:t>. Nebyla-li podnikatelská činnost vykonávána po celé zdaňovací období, určí se zálohová splátka z podílu zjištěného zisku a počtu měsíců, po kterou dlužník vykonával podnikatelskou činnost.</w:t>
      </w:r>
    </w:p>
    <w:p w14:paraId="2860FF68" w14:textId="77777777" w:rsidR="00356CAE" w:rsidRPr="00356CAE" w:rsidRDefault="00356CAE" w:rsidP="00356CAE">
      <w:pPr>
        <w:tabs>
          <w:tab w:val="left" w:pos="782"/>
          <w:tab w:val="left" w:pos="851"/>
        </w:tabs>
        <w:spacing w:before="120" w:after="120"/>
        <w:outlineLvl w:val="6"/>
      </w:pPr>
      <w:r w:rsidRPr="00356CAE">
        <w:t>(4)</w:t>
      </w:r>
      <w:r w:rsidRPr="00356CAE">
        <w:tab/>
        <w:t>Nelze-li zálohovou splátku dlužníka určit postupem podle odstavce 3, určí se po vyjádření insolvenčního správce k očekávaným budoucím měsíčním příjmům dlužníka vycházejícím z rozdílu jeho reálně dosažených příjmů a reálně vynaložených výdajů za dobu jeho podnikání.</w:t>
      </w:r>
    </w:p>
    <w:p w14:paraId="2C32FC25" w14:textId="77777777" w:rsidR="00356CAE" w:rsidRPr="00356CAE" w:rsidRDefault="00356CAE" w:rsidP="00356CAE">
      <w:pPr>
        <w:tabs>
          <w:tab w:val="left" w:pos="782"/>
          <w:tab w:val="left" w:pos="851"/>
        </w:tabs>
        <w:spacing w:before="120" w:after="120"/>
        <w:outlineLvl w:val="6"/>
      </w:pPr>
      <w:r w:rsidRPr="00356CAE">
        <w:t>(5)</w:t>
      </w:r>
      <w:r w:rsidRPr="00356CAE">
        <w:tab/>
        <w:t>Nelze-li zálohovou splátku dlužníka určit ani postupem podle odstavce 4, určí se zálohová splátka z částky odpovídající měsíční průměrné mzdě v národním hospodářství za první až třetí čtvrtletí předchozího kalendářního roku.</w:t>
      </w:r>
    </w:p>
    <w:p w14:paraId="3AFFD63B" w14:textId="77777777" w:rsidR="00356CAE" w:rsidRPr="00356CAE" w:rsidRDefault="00356CAE" w:rsidP="00356CAE">
      <w:pPr>
        <w:tabs>
          <w:tab w:val="left" w:pos="782"/>
          <w:tab w:val="left" w:pos="851"/>
        </w:tabs>
        <w:spacing w:before="120" w:after="120"/>
        <w:outlineLvl w:val="6"/>
      </w:pPr>
      <w:r w:rsidRPr="00356CAE">
        <w:t>(6)</w:t>
      </w:r>
      <w:r w:rsidRPr="00356CAE">
        <w:tab/>
        <w:t>Dlužník je povinen na konci každého zdaňovacího období podle zvláštního zákona</w:t>
      </w:r>
      <w:r w:rsidRPr="00356CAE">
        <w:rPr>
          <w:vertAlign w:val="superscript"/>
        </w:rPr>
        <w:footnoteReference w:customMarkFollows="1" w:id="499"/>
        <w:t>73)</w:t>
      </w:r>
      <w:r w:rsidRPr="00356CAE">
        <w:t xml:space="preserve"> předložit insolvenčnímu správci účetnictví či </w:t>
      </w:r>
      <w:r w:rsidRPr="00356CAE">
        <w:rPr>
          <w:strike/>
        </w:rPr>
        <w:t>daňovou evidenci</w:t>
      </w:r>
      <w:r w:rsidRPr="00356CAE">
        <w:t xml:space="preserve"> </w:t>
      </w:r>
      <w:proofErr w:type="spellStart"/>
      <w:r w:rsidRPr="00356CAE">
        <w:rPr>
          <w:b/>
        </w:rPr>
        <w:t>evidenci</w:t>
      </w:r>
      <w:proofErr w:type="spellEnd"/>
      <w:r w:rsidRPr="00356CAE">
        <w:rPr>
          <w:b/>
        </w:rPr>
        <w:t xml:space="preserve"> podle zákona upravujícího daně z příjmů</w:t>
      </w:r>
      <w:r w:rsidRPr="00356CAE">
        <w:t xml:space="preserve">, přiznání k dani z příjmů a výpisy z účtů, popřípadě další listiny osvědčující jeho příjmy a výdaje; tuto povinnost dlužník nemá po podání zprávy insolvenčního správce o splnění oddlužení, na základě které vezme insolvenční soud na vědomí splnění oddlužení. Splátkovou částku následně určí insolvenční správce z jedné dvanáctiny zjištěného zisku dlužníka za zdaňovací období a vypočte se ve výši, v jaké mohou být při výkonu rozhodnutí nebo exekuci uspokojeny přednostní </w:t>
      </w:r>
      <w:proofErr w:type="gramStart"/>
      <w:r w:rsidRPr="00356CAE">
        <w:t>pohledávky</w:t>
      </w:r>
      <w:r w:rsidRPr="00356CAE">
        <w:rPr>
          <w:vertAlign w:val="superscript"/>
        </w:rPr>
        <w:footnoteReference w:customMarkFollows="1" w:id="500"/>
        <w:t>29)</w:t>
      </w:r>
      <w:r w:rsidRPr="00356CAE">
        <w:t xml:space="preserve"> (dále</w:t>
      </w:r>
      <w:proofErr w:type="gramEnd"/>
      <w:r w:rsidRPr="00356CAE">
        <w:t xml:space="preserve"> jen "referenční srážka").</w:t>
      </w:r>
    </w:p>
    <w:p w14:paraId="03CA7785" w14:textId="77777777" w:rsidR="00356CAE" w:rsidRPr="00356CAE" w:rsidRDefault="00356CAE" w:rsidP="00356CAE">
      <w:pPr>
        <w:tabs>
          <w:tab w:val="left" w:pos="782"/>
          <w:tab w:val="left" w:pos="851"/>
        </w:tabs>
        <w:spacing w:before="120" w:after="120"/>
        <w:outlineLvl w:val="6"/>
      </w:pPr>
      <w:r w:rsidRPr="00356CAE">
        <w:t>(7)</w:t>
      </w:r>
      <w:r w:rsidRPr="00356CAE">
        <w:tab/>
        <w:t>Je-li součet zálohových splátek splacených dlužníkem za dané zdaňovací období nižší než součin referenční srážky a počtu měsíců, po něž v daném zdaňovacím období oddlužení trvalo, vyzve insolvenční správce dlužníka k uhrazení nedoplatku ve výši rozdílu mezi těmito částkami; dlužník je povinen nedoplatek uhradit bez zbytečného odkladu. V odůvodněných případech může soud na návrh dlužníka určit jinou výši nedoplatku; toto rozhodnutí doručuje insolvenční soud zvlášť pouze dlužníkovi a odvolání proti němu není přípustné.</w:t>
      </w:r>
    </w:p>
    <w:p w14:paraId="0957D3E1" w14:textId="77777777" w:rsidR="00356CAE" w:rsidRPr="00356CAE" w:rsidRDefault="00356CAE" w:rsidP="00356CAE">
      <w:pPr>
        <w:tabs>
          <w:tab w:val="left" w:pos="782"/>
          <w:tab w:val="left" w:pos="851"/>
        </w:tabs>
        <w:spacing w:before="120" w:after="120"/>
        <w:outlineLvl w:val="6"/>
      </w:pPr>
      <w:r w:rsidRPr="00356CAE">
        <w:t>(8)</w:t>
      </w:r>
      <w:r w:rsidRPr="00356CAE">
        <w:tab/>
        <w:t>Je-li součet zálohových splátek splacených dlužníkem za dané zdaňovací období vyšší než součin referenční srážky a počtu měsíců, po něž v daném zdaňovacím období oddlužení trvalo, může insolvenční soud na návrh dlužníka pro následující zdaňovací období stanovit jinou výši zálohové splátky; toto rozhodnutí doručuje insolvenční soud zvlášť pouze dlužníkovi a odvolání proti němu není přípustné. Insolvenční soud může stanovit jinou výši zálohové splátky také tehdy, jestliže o to požádá dlužník pro změnu poměrů. Soud tak učiní jen tehdy, lze-li se zřetelem ke všem okolnostem důvodně předpokládat, že je výše dosavadních zálohových splátek způsobilá ohrozit plnění splátkového kalendáře nebo že míra uspokojení pohledávek nezajištěných věřitelů bude vyšší i při jiné výši měsíčních splátek.</w:t>
      </w:r>
    </w:p>
    <w:p w14:paraId="096818D0" w14:textId="77777777" w:rsidR="00356CAE" w:rsidRPr="00356CAE" w:rsidRDefault="00356CAE" w:rsidP="00356CAE">
      <w:pPr>
        <w:tabs>
          <w:tab w:val="left" w:pos="782"/>
          <w:tab w:val="left" w:pos="851"/>
        </w:tabs>
        <w:spacing w:before="120" w:after="120"/>
        <w:outlineLvl w:val="6"/>
      </w:pPr>
      <w:r w:rsidRPr="00356CAE">
        <w:t>(9)</w:t>
      </w:r>
      <w:r w:rsidRPr="00356CAE">
        <w:tab/>
        <w:t xml:space="preserve">Pokud má dlužník mimo příjmů z podnikání také další příjmy, z nichž splácí pohledávky věřitelů podle § 398 odst. 3, nepoužije se při určení výše zálohové nebo referenční srážky snížení o základní částku, která nesmí být při výkonu rozhodnutí povinnému sražena z </w:t>
      </w:r>
      <w:r w:rsidRPr="00356CAE">
        <w:lastRenderedPageBreak/>
        <w:t>měsíční mzdy, je-li tato základní částka uvažována při určení rozsahu splátky z jiného příjmu. Při určení, ze kterého z příjmů bude dlužníku ponechána základní částka, vezme insolvenční soud v úvahu zejména výši a pravidelnost dosahování jednotlivých příjmů.</w:t>
      </w:r>
    </w:p>
    <w:p w14:paraId="3153A97F" w14:textId="1699E678" w:rsidR="0078018B" w:rsidRDefault="0078018B" w:rsidP="00E67B84">
      <w:pPr>
        <w:pStyle w:val="Textparagrafu"/>
        <w:tabs>
          <w:tab w:val="left" w:pos="392"/>
          <w:tab w:val="left" w:pos="840"/>
        </w:tabs>
        <w:spacing w:after="120"/>
        <w:ind w:firstLine="0"/>
      </w:pPr>
    </w:p>
    <w:p w14:paraId="292B434A" w14:textId="77777777" w:rsidR="00356CAE" w:rsidRDefault="00356CAE" w:rsidP="00E67B84">
      <w:pPr>
        <w:pStyle w:val="Textparagrafu"/>
        <w:tabs>
          <w:tab w:val="left" w:pos="392"/>
          <w:tab w:val="left" w:pos="840"/>
        </w:tabs>
        <w:spacing w:after="120"/>
        <w:ind w:firstLine="0"/>
        <w:sectPr w:rsidR="00356CAE" w:rsidSect="00554E2B">
          <w:footnotePr>
            <w:numStart w:val="3"/>
          </w:footnotePr>
          <w:endnotePr>
            <w:numFmt w:val="decimal"/>
          </w:endnotePr>
          <w:pgSz w:w="11906" w:h="16838"/>
          <w:pgMar w:top="1418" w:right="1418" w:bottom="1418" w:left="1418" w:header="709" w:footer="709" w:gutter="0"/>
          <w:cols w:space="708"/>
          <w:docGrid w:linePitch="360"/>
        </w:sectPr>
      </w:pPr>
    </w:p>
    <w:p w14:paraId="6209B3B3" w14:textId="638FED09" w:rsidR="0078018B" w:rsidRPr="00FC7F47" w:rsidRDefault="0078018B" w:rsidP="00180250">
      <w:pPr>
        <w:tabs>
          <w:tab w:val="left" w:pos="851"/>
        </w:tabs>
        <w:spacing w:before="120" w:after="120"/>
        <w:ind w:firstLine="0"/>
        <w:jc w:val="center"/>
        <w:outlineLvl w:val="0"/>
        <w:rPr>
          <w:szCs w:val="24"/>
        </w:rPr>
      </w:pPr>
      <w:r w:rsidRPr="00FC7F47">
        <w:rPr>
          <w:b/>
          <w:szCs w:val="24"/>
        </w:rPr>
        <w:lastRenderedPageBreak/>
        <w:t xml:space="preserve">K části </w:t>
      </w:r>
      <w:r w:rsidR="00EC0934">
        <w:rPr>
          <w:b/>
          <w:szCs w:val="24"/>
        </w:rPr>
        <w:t xml:space="preserve">devadesáté </w:t>
      </w:r>
      <w:r w:rsidRPr="00FC7F47">
        <w:rPr>
          <w:b/>
          <w:szCs w:val="24"/>
        </w:rPr>
        <w:t xml:space="preserve">návrhu zákona – </w:t>
      </w:r>
      <w:r w:rsidRPr="00FC7F47">
        <w:rPr>
          <w:szCs w:val="24"/>
        </w:rPr>
        <w:t>změna zákona</w:t>
      </w:r>
      <w:r w:rsidR="00180250">
        <w:rPr>
          <w:szCs w:val="24"/>
        </w:rPr>
        <w:t xml:space="preserve"> o vyvlastnění</w:t>
      </w:r>
    </w:p>
    <w:p w14:paraId="293FCE78" w14:textId="07615A06" w:rsidR="0078018B" w:rsidRPr="00FC7F47" w:rsidRDefault="0078018B" w:rsidP="0078018B">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FC7F47">
        <w:rPr>
          <w:b/>
          <w:szCs w:val="24"/>
        </w:rPr>
        <w:t>Platné znění</w:t>
      </w:r>
      <w:r w:rsidRPr="00FC7F47">
        <w:rPr>
          <w:szCs w:val="24"/>
        </w:rPr>
        <w:t xml:space="preserve"> zákona č. 184/2006 Sb., o odnětí nebo omezení vlastnického práva k pozemku nebo ke stavbě (zákon o vyvlastnění)</w:t>
      </w:r>
    </w:p>
    <w:p w14:paraId="0FE08F6A" w14:textId="23856C54" w:rsidR="0078018B" w:rsidRPr="00FC7F47" w:rsidRDefault="00180250" w:rsidP="00180250">
      <w:pPr>
        <w:pStyle w:val="Odstavecseseznamem"/>
        <w:pBdr>
          <w:top w:val="single" w:sz="12" w:space="6" w:color="auto"/>
          <w:left w:val="single" w:sz="12" w:space="0" w:color="auto"/>
          <w:bottom w:val="single" w:sz="12" w:space="6" w:color="auto"/>
          <w:right w:val="single" w:sz="12" w:space="0" w:color="auto"/>
        </w:pBdr>
        <w:ind w:left="0" w:firstLine="0"/>
        <w:jc w:val="center"/>
        <w:rPr>
          <w:szCs w:val="24"/>
        </w:rPr>
      </w:pPr>
      <w:r w:rsidRPr="00AE4818">
        <w:rPr>
          <w:b/>
          <w:szCs w:val="24"/>
          <w:lang w:eastAsia="en-US"/>
        </w:rPr>
        <w:t>s vyznačením navrhovaných změn a doplnění k 1. lednu 2025</w:t>
      </w:r>
    </w:p>
    <w:p w14:paraId="23BE66EC" w14:textId="77777777" w:rsidR="0078018B" w:rsidRPr="00FC7F47" w:rsidRDefault="0078018B" w:rsidP="0078018B">
      <w:pPr>
        <w:pStyle w:val="Textparagrafu"/>
        <w:numPr>
          <w:ilvl w:val="0"/>
          <w:numId w:val="27"/>
        </w:numPr>
        <w:tabs>
          <w:tab w:val="left" w:pos="392"/>
          <w:tab w:val="left" w:pos="840"/>
        </w:tabs>
        <w:spacing w:after="120"/>
        <w:jc w:val="center"/>
      </w:pPr>
      <w:r w:rsidRPr="00FC7F47">
        <w:t>***</w:t>
      </w:r>
    </w:p>
    <w:p w14:paraId="72FDAE53" w14:textId="10718B9A" w:rsidR="00FC7F47" w:rsidRPr="00FC7F47" w:rsidRDefault="00FC7F47" w:rsidP="000467BB">
      <w:pPr>
        <w:pStyle w:val="Paragraf"/>
        <w:numPr>
          <w:ilvl w:val="0"/>
          <w:numId w:val="30"/>
        </w:numPr>
        <w:spacing w:after="120"/>
      </w:pPr>
      <w:r w:rsidRPr="00FC7F47">
        <w:t>§ 10</w:t>
      </w:r>
    </w:p>
    <w:p w14:paraId="0915A948" w14:textId="77777777" w:rsidR="00FC7F47" w:rsidRPr="00FC7F47" w:rsidRDefault="00FC7F47" w:rsidP="00043C0E">
      <w:pPr>
        <w:pStyle w:val="Odstavec"/>
        <w:spacing w:before="240"/>
      </w:pPr>
      <w:r w:rsidRPr="00FC7F47">
        <w:t>(1) Za vyvlastnění náleží vyvlastňovanému náhrada</w:t>
      </w:r>
    </w:p>
    <w:p w14:paraId="1F0BDDD7" w14:textId="77777777" w:rsidR="00FC7F47" w:rsidRPr="00FC7F47" w:rsidRDefault="00FC7F47" w:rsidP="00EC0934">
      <w:pPr>
        <w:pStyle w:val="Textpsmene"/>
        <w:tabs>
          <w:tab w:val="left" w:pos="434"/>
        </w:tabs>
        <w:spacing w:before="0"/>
        <w:ind w:left="426" w:hanging="426"/>
      </w:pPr>
      <w:r w:rsidRPr="00FC7F47">
        <w:t>a)</w:t>
      </w:r>
      <w:r w:rsidRPr="00FC7F47">
        <w:tab/>
        <w:t xml:space="preserve">ve výši obvyklé </w:t>
      </w:r>
      <w:r w:rsidRPr="00FC7F47">
        <w:rPr>
          <w:strike/>
        </w:rPr>
        <w:t>ceny</w:t>
      </w:r>
      <w:r w:rsidRPr="00FC7F47">
        <w:rPr>
          <w:rStyle w:val="Znakapoznpodarou"/>
          <w:strike/>
        </w:rPr>
        <w:footnoteReference w:customMarkFollows="1" w:id="501"/>
        <w:t>7)</w:t>
      </w:r>
      <w:r w:rsidRPr="00FC7F47">
        <w:t xml:space="preserve"> </w:t>
      </w:r>
      <w:r w:rsidRPr="00FC7F47">
        <w:rPr>
          <w:b/>
        </w:rPr>
        <w:t xml:space="preserve">hodnoty </w:t>
      </w:r>
      <w:r w:rsidRPr="00FC7F47">
        <w:t xml:space="preserve">pozemku nebo stavby včetně jejich příslušenství </w:t>
      </w:r>
      <w:r w:rsidRPr="00FC7F47">
        <w:rPr>
          <w:b/>
        </w:rPr>
        <w:t>určené podle zákona o oceňování</w:t>
      </w:r>
      <w:r w:rsidRPr="00FC7F47">
        <w:t>, došlo-li k odnětí vlastnického práva k nim, nebo</w:t>
      </w:r>
    </w:p>
    <w:p w14:paraId="254A3ACD" w14:textId="77777777" w:rsidR="00FC7F47" w:rsidRPr="00FC7F47" w:rsidRDefault="00FC7F47" w:rsidP="00EC0934">
      <w:pPr>
        <w:pStyle w:val="Textpsmene"/>
        <w:tabs>
          <w:tab w:val="left" w:pos="434"/>
        </w:tabs>
        <w:spacing w:before="0"/>
        <w:ind w:left="426" w:hanging="426"/>
      </w:pPr>
      <w:r w:rsidRPr="00FC7F47">
        <w:t>b)</w:t>
      </w:r>
      <w:r w:rsidRPr="00FC7F47">
        <w:tab/>
        <w:t xml:space="preserve">ve výši </w:t>
      </w:r>
      <w:r w:rsidRPr="00FC7F47">
        <w:rPr>
          <w:strike/>
        </w:rPr>
        <w:t>ceny práva odpovídajícího věcnému břemenu zjištěné podle oceňovacího předpisu</w:t>
      </w:r>
      <w:r w:rsidRPr="00FC7F47">
        <w:rPr>
          <w:rStyle w:val="Znakapoznpodarou"/>
          <w:strike/>
        </w:rPr>
        <w:footnoteReference w:customMarkFollows="1" w:id="502"/>
        <w:t>8)</w:t>
      </w:r>
      <w:r w:rsidRPr="00FC7F47">
        <w:t xml:space="preserve"> </w:t>
      </w:r>
      <w:r w:rsidRPr="00FC7F47">
        <w:rPr>
          <w:b/>
        </w:rPr>
        <w:t>zjištěné hodnoty odpovídající věcnému břemenu určené podle zákona o oceňování</w:t>
      </w:r>
      <w:r w:rsidRPr="00FC7F47">
        <w:t>, došlo-li k omezení vlastnického práva k pozemku nebo stavbě zřízením věcného břemene nebo došlo-li k odnětí nebo omezení práva odpovídajícího věcnému břemenu.</w:t>
      </w:r>
    </w:p>
    <w:p w14:paraId="2BBE9F11" w14:textId="77777777" w:rsidR="00FC7F47" w:rsidRPr="00FC7F47" w:rsidRDefault="00FC7F47" w:rsidP="00180250">
      <w:pPr>
        <w:pStyle w:val="Odstavec"/>
      </w:pPr>
      <w:r w:rsidRPr="00FC7F47">
        <w:t>(2) Kromě náhrad uvedených v odstavci 1 náleží vyvlastňovanému též náhrada stěhovacích nákladů, nákladů spojených se změnou místa podnikání a dalších obdobných nákladů, které vyvlastňovaný účelně vynaloží následkem a v souvislosti s vyvlastněním.</w:t>
      </w:r>
    </w:p>
    <w:p w14:paraId="4AE92BC9" w14:textId="77777777" w:rsidR="00FC7F47" w:rsidRPr="00FC7F47" w:rsidRDefault="00FC7F47" w:rsidP="00180250">
      <w:pPr>
        <w:pStyle w:val="Odstavec"/>
      </w:pPr>
      <w:r w:rsidRPr="00FC7F47">
        <w:t>(3) Náhrady podle odstavců 1 a 2 se stanoví takovým způsobem a v takové výši, aby odpovídaly majetkové újmě, která se u vyvlastňovaného projeví v důsledku vyvlastnění.</w:t>
      </w:r>
    </w:p>
    <w:p w14:paraId="6E41AB56" w14:textId="77777777" w:rsidR="00FC7F47" w:rsidRPr="00FC7F47" w:rsidRDefault="00FC7F47" w:rsidP="00180250">
      <w:pPr>
        <w:pStyle w:val="Odstavec"/>
        <w:rPr>
          <w:strike/>
        </w:rPr>
      </w:pPr>
      <w:r w:rsidRPr="00FC7F47">
        <w:rPr>
          <w:strike/>
        </w:rPr>
        <w:t>(4) Stanoví-li se náhrada na základě ocenění, musí být ocenění provedeno podle oceňovacího předpisu účinného v době rozhodování o vyvlastnění. V případě, že obvyklá cena</w:t>
      </w:r>
      <w:r w:rsidRPr="00FC7F47">
        <w:rPr>
          <w:strike/>
          <w:vertAlign w:val="superscript"/>
        </w:rPr>
        <w:t>7)</w:t>
      </w:r>
      <w:r w:rsidRPr="00FC7F47">
        <w:rPr>
          <w:strike/>
        </w:rPr>
        <w:t xml:space="preserve"> pozemku nebo stavby by byla nižší než cena zjištěná podle oceňovacího předpisu, náleží vyvlastňovanému náhrada ve výši ceny zjištěné podle oceňovacího předpisu.</w:t>
      </w:r>
    </w:p>
    <w:p w14:paraId="685702F8" w14:textId="43DBE6FB" w:rsidR="00FC7F47" w:rsidRPr="00FC7F47" w:rsidRDefault="00FC7F47" w:rsidP="00180250">
      <w:pPr>
        <w:pStyle w:val="Textodstavce"/>
        <w:tabs>
          <w:tab w:val="clear" w:pos="851"/>
          <w:tab w:val="left" w:pos="426"/>
        </w:tabs>
        <w:ind w:firstLine="426"/>
      </w:pPr>
      <w:r w:rsidRPr="00FC7F47">
        <w:rPr>
          <w:b/>
        </w:rPr>
        <w:t>(4) Stanoví-li se náhrada na základě oceňování, musí být oceňování provedeno podle zákona o oceňování účinného v době rozhodování o vyvlastnění. V případě, že obvyklá hodnota pozemku nebo stavby určená podle zákona o oceňování by byla nižší než zjištěná hodnota určená podle zákona o oceňování, náleží vyvlastňovanému náhrada v této zjištěné hodnotě.</w:t>
      </w:r>
    </w:p>
    <w:p w14:paraId="6D19C054" w14:textId="77777777" w:rsidR="00FC7F47" w:rsidRPr="00FC7F47" w:rsidRDefault="00FC7F47" w:rsidP="00180250">
      <w:pPr>
        <w:pStyle w:val="Odstavec"/>
      </w:pPr>
      <w:r w:rsidRPr="00FC7F47">
        <w:t xml:space="preserve">(5) </w:t>
      </w:r>
      <w:r w:rsidRPr="00FC7F47">
        <w:rPr>
          <w:strike/>
        </w:rPr>
        <w:t>Cena</w:t>
      </w:r>
      <w:r w:rsidRPr="00FC7F47">
        <w:t xml:space="preserve"> </w:t>
      </w:r>
      <w:r w:rsidRPr="00FC7F47">
        <w:rPr>
          <w:b/>
        </w:rPr>
        <w:t>Hodnota</w:t>
      </w:r>
      <w:r w:rsidRPr="00FC7F47">
        <w:t xml:space="preserve"> pozemku nebo stavby se pro účely stanovení náhrady určí vždy podle jejich skutečného stavu ke dni podání žádosti o vyvlastnění; přitom se nepřihlédne k jejich zhodnocení nebo znehodnocení v souvislosti s navrženým účelem vyvlastnění. Obdobně se postupuje pro účely stanovení náhrady za zřízení práva odpovídajícího věcnému břemenu.</w:t>
      </w:r>
    </w:p>
    <w:p w14:paraId="0FF4475C" w14:textId="77777777" w:rsidR="00FC7F47" w:rsidRPr="00FC7F47" w:rsidRDefault="00FC7F47" w:rsidP="000467BB">
      <w:pPr>
        <w:pStyle w:val="Paragraf"/>
        <w:numPr>
          <w:ilvl w:val="0"/>
          <w:numId w:val="31"/>
        </w:numPr>
        <w:spacing w:after="120"/>
      </w:pPr>
      <w:r w:rsidRPr="00FC7F47">
        <w:t>§ 11</w:t>
      </w:r>
    </w:p>
    <w:p w14:paraId="3D9D6F80" w14:textId="28BDA93E" w:rsidR="00FC7F47" w:rsidRPr="00FC7F47" w:rsidRDefault="00FC7F47" w:rsidP="00043C0E">
      <w:pPr>
        <w:pStyle w:val="Textparagrafu"/>
        <w:spacing w:after="120"/>
      </w:pPr>
      <w:r w:rsidRPr="00FC7F47">
        <w:t xml:space="preserve">Místo náhrady uvedené v § 10 odst. 1 písm. a) se vyvlastňovanému poskytne jiný pozemek nebo stavba, dohodne-li se na tom s vyvlastnitelem; právo na vyrovnání rozdílu v </w:t>
      </w:r>
      <w:r w:rsidRPr="00FC7F47">
        <w:rPr>
          <w:strike/>
        </w:rPr>
        <w:t>ceně</w:t>
      </w:r>
      <w:r w:rsidRPr="00FC7F47">
        <w:t xml:space="preserve"> </w:t>
      </w:r>
      <w:r w:rsidRPr="00FC7F47">
        <w:rPr>
          <w:b/>
        </w:rPr>
        <w:t xml:space="preserve">obvyklé </w:t>
      </w:r>
      <w:r w:rsidRPr="00FC7F47">
        <w:rPr>
          <w:b/>
        </w:rPr>
        <w:lastRenderedPageBreak/>
        <w:t xml:space="preserve">hodnotě </w:t>
      </w:r>
      <w:r w:rsidRPr="00FC7F47">
        <w:t>vyvlastněného pozemku nebo stavby a náhradního pozemku nebo stavby není dotčeno.</w:t>
      </w:r>
    </w:p>
    <w:p w14:paraId="5BCB4768" w14:textId="77777777" w:rsidR="00FC7F47" w:rsidRPr="00FC7F47" w:rsidRDefault="00FC7F47" w:rsidP="000467BB">
      <w:pPr>
        <w:pStyle w:val="Paragraf"/>
        <w:numPr>
          <w:ilvl w:val="0"/>
          <w:numId w:val="31"/>
        </w:numPr>
        <w:spacing w:after="120"/>
      </w:pPr>
      <w:r w:rsidRPr="00FC7F47">
        <w:t>§ 12</w:t>
      </w:r>
    </w:p>
    <w:p w14:paraId="207F4CAE" w14:textId="7D0B643C" w:rsidR="00FC7F47" w:rsidRPr="00FC7F47" w:rsidRDefault="00FC7F47" w:rsidP="00043C0E">
      <w:pPr>
        <w:pStyle w:val="Textparagrafu"/>
        <w:spacing w:after="120"/>
      </w:pPr>
      <w:r w:rsidRPr="00FC7F47">
        <w:t xml:space="preserve">Zanikají-li vyvlastněním věcná břemena váznoucí na pozemku nebo stavbě, náleží oprávněnému z věcného břemene náhrada ve výši </w:t>
      </w:r>
      <w:r w:rsidR="00043C0E" w:rsidRPr="00C76D5C">
        <w:rPr>
          <w:strike/>
        </w:rPr>
        <w:t>ceny tohoto práva</w:t>
      </w:r>
      <w:r w:rsidRPr="00FC7F47">
        <w:rPr>
          <w:strike/>
          <w:vertAlign w:val="superscript"/>
        </w:rPr>
        <w:t>8)</w:t>
      </w:r>
      <w:r w:rsidRPr="00FC7F47">
        <w:t xml:space="preserve"> </w:t>
      </w:r>
      <w:r w:rsidRPr="00FC7F47">
        <w:rPr>
          <w:b/>
        </w:rPr>
        <w:t>zjištěné hodnoty tohoto práva určené podle zákona o oceňování</w:t>
      </w:r>
      <w:r w:rsidRPr="00FC7F47">
        <w:t>.</w:t>
      </w:r>
    </w:p>
    <w:p w14:paraId="4EAD7844" w14:textId="77777777" w:rsidR="00FC7F47" w:rsidRPr="00FC7F47" w:rsidRDefault="00FC7F47" w:rsidP="000467BB">
      <w:pPr>
        <w:pStyle w:val="Paragraf"/>
        <w:numPr>
          <w:ilvl w:val="0"/>
          <w:numId w:val="31"/>
        </w:numPr>
        <w:spacing w:after="120"/>
      </w:pPr>
      <w:r w:rsidRPr="00FC7F47">
        <w:t>***</w:t>
      </w:r>
    </w:p>
    <w:p w14:paraId="6FEBA65C" w14:textId="77777777" w:rsidR="00FC7F47" w:rsidRPr="00FC7F47" w:rsidRDefault="00FC7F47" w:rsidP="000467BB">
      <w:pPr>
        <w:pStyle w:val="Paragraf"/>
        <w:numPr>
          <w:ilvl w:val="0"/>
          <w:numId w:val="31"/>
        </w:numPr>
        <w:spacing w:after="120"/>
      </w:pPr>
      <w:r w:rsidRPr="00FC7F47">
        <w:t>§ 18</w:t>
      </w:r>
    </w:p>
    <w:p w14:paraId="3E5A1993" w14:textId="77777777" w:rsidR="00FC7F47" w:rsidRPr="00FC7F47" w:rsidRDefault="00FC7F47" w:rsidP="00180250">
      <w:pPr>
        <w:pStyle w:val="Odstavec"/>
      </w:pPr>
      <w:r w:rsidRPr="00FC7F47">
        <w:t>(1) Vyvlastňovací řízení lze zahájit jen na žádost vyvlastnitele.</w:t>
      </w:r>
    </w:p>
    <w:p w14:paraId="2193E383" w14:textId="77777777" w:rsidR="00FC7F47" w:rsidRPr="00FC7F47" w:rsidRDefault="00FC7F47" w:rsidP="00180250">
      <w:pPr>
        <w:pStyle w:val="Odstavec"/>
      </w:pPr>
      <w:r w:rsidRPr="00FC7F47">
        <w:t>(2) Žádost o zahájení vyvlastňovacího řízení musí obsahovat kromě náležitostí stanovených zvláštním právním předpisem</w:t>
      </w:r>
      <w:r w:rsidRPr="00FC7F47">
        <w:rPr>
          <w:rStyle w:val="Znakapoznpodarou"/>
        </w:rPr>
        <w:footnoteReference w:customMarkFollows="1" w:id="503"/>
        <w:t>14)</w:t>
      </w:r>
      <w:r w:rsidRPr="00FC7F47">
        <w:t xml:space="preserve"> zejména</w:t>
      </w:r>
    </w:p>
    <w:p w14:paraId="418BDA87" w14:textId="77777777" w:rsidR="00FC7F47" w:rsidRPr="00FC7F47" w:rsidRDefault="00FC7F47" w:rsidP="00EC0934">
      <w:pPr>
        <w:pStyle w:val="Psmeno"/>
        <w:tabs>
          <w:tab w:val="left" w:pos="420"/>
        </w:tabs>
        <w:spacing w:before="0"/>
        <w:ind w:left="426" w:hanging="426"/>
      </w:pPr>
      <w:r w:rsidRPr="00FC7F47">
        <w:t>a)</w:t>
      </w:r>
      <w:r w:rsidRPr="00FC7F47">
        <w:tab/>
        <w:t>označení pozemku nebo stavby, jichž se vyvlastnění týká, a práv třetích osob na nich váznoucích,</w:t>
      </w:r>
    </w:p>
    <w:p w14:paraId="2D4B40E4" w14:textId="77777777" w:rsidR="00FC7F47" w:rsidRPr="00FC7F47" w:rsidRDefault="00FC7F47" w:rsidP="00EC0934">
      <w:pPr>
        <w:pStyle w:val="Psmeno"/>
        <w:tabs>
          <w:tab w:val="left" w:pos="420"/>
        </w:tabs>
        <w:spacing w:before="0"/>
        <w:ind w:left="426" w:hanging="426"/>
      </w:pPr>
      <w:r w:rsidRPr="00FC7F47">
        <w:t>b)</w:t>
      </w:r>
      <w:r w:rsidRPr="00FC7F47">
        <w:tab/>
        <w:t>doložení skutečností nasvědčujících tomu, že byly splněny podmínky pro vyvlastnění (§ 3 až 5),</w:t>
      </w:r>
    </w:p>
    <w:p w14:paraId="3B05281F" w14:textId="77777777" w:rsidR="00FC7F47" w:rsidRPr="00FC7F47" w:rsidRDefault="00FC7F47" w:rsidP="00EC0934">
      <w:pPr>
        <w:pStyle w:val="Psmeno"/>
        <w:tabs>
          <w:tab w:val="left" w:pos="420"/>
        </w:tabs>
        <w:spacing w:before="0"/>
        <w:ind w:left="426" w:hanging="426"/>
      </w:pPr>
      <w:r w:rsidRPr="00FC7F47">
        <w:t>c)</w:t>
      </w:r>
      <w:r w:rsidRPr="00FC7F47">
        <w:tab/>
        <w:t>údaj o tom, jakého vyvlastnění se vyvlastnitel domáhá,</w:t>
      </w:r>
    </w:p>
    <w:p w14:paraId="4FE0F711" w14:textId="77777777" w:rsidR="00FC7F47" w:rsidRPr="00FC7F47" w:rsidRDefault="00FC7F47" w:rsidP="00EC0934">
      <w:pPr>
        <w:pStyle w:val="Psmeno"/>
        <w:tabs>
          <w:tab w:val="left" w:pos="420"/>
        </w:tabs>
        <w:spacing w:before="0"/>
        <w:ind w:left="426" w:hanging="426"/>
      </w:pPr>
      <w:r w:rsidRPr="00FC7F47">
        <w:t>d)</w:t>
      </w:r>
      <w:r w:rsidRPr="00FC7F47">
        <w:tab/>
        <w:t>údaj o tom, v jaké lhůtě a jakým způsobem vyvlastnitel zahájí uskutečňování účelu vyvlastnění.</w:t>
      </w:r>
    </w:p>
    <w:p w14:paraId="04731DCC" w14:textId="77777777" w:rsidR="00FC7F47" w:rsidRPr="00FC7F47" w:rsidRDefault="00FC7F47" w:rsidP="00180250">
      <w:pPr>
        <w:pStyle w:val="Odstavec"/>
      </w:pPr>
      <w:r w:rsidRPr="00FC7F47">
        <w:t>(3) K žádosti vyvlastnitel připojí</w:t>
      </w:r>
    </w:p>
    <w:p w14:paraId="4F4ACDAF" w14:textId="77777777" w:rsidR="00FC7F47" w:rsidRPr="00FC7F47" w:rsidRDefault="00FC7F47" w:rsidP="00EC0934">
      <w:pPr>
        <w:pStyle w:val="Psmeno"/>
        <w:tabs>
          <w:tab w:val="left" w:pos="420"/>
        </w:tabs>
        <w:spacing w:before="0"/>
        <w:ind w:left="426" w:hanging="426"/>
      </w:pPr>
      <w:r w:rsidRPr="00FC7F47">
        <w:t>a)</w:t>
      </w:r>
      <w:r w:rsidRPr="00FC7F47">
        <w:tab/>
        <w:t>katastrální mapu se zákresem pozemků a staveb navržených k vyvlastnění, doplněnou situací z jiných mapových podkladů, které vyjadřují graficky právní vztahy k nemovitostem v případech, kdy tyto vztahy nebyly dosud v katastrální mapě vyznačeny; navrhuje-li se vyvlastnit část pozemku, připojí se též geometrický plán ve trojím vyhotovení,</w:t>
      </w:r>
    </w:p>
    <w:p w14:paraId="03C1A3B8" w14:textId="77777777" w:rsidR="00FC7F47" w:rsidRPr="00FC7F47" w:rsidRDefault="00FC7F47" w:rsidP="00EC0934">
      <w:pPr>
        <w:pStyle w:val="Psmeno"/>
        <w:tabs>
          <w:tab w:val="left" w:pos="420"/>
        </w:tabs>
        <w:spacing w:before="0"/>
        <w:ind w:left="426" w:hanging="426"/>
      </w:pPr>
      <w:r w:rsidRPr="00FC7F47">
        <w:t>b)</w:t>
      </w:r>
      <w:r w:rsidRPr="00FC7F47">
        <w:tab/>
        <w:t>rozhodnutí o povolení záměru nebo rámcové povolení, vyžaduje-li jeho vydání pro daný účel vyvlastnění stavební zákon a není-li stavební úřad, který je vydal, současně vyvlastňovacím úřadem,</w:t>
      </w:r>
    </w:p>
    <w:p w14:paraId="36B287F6" w14:textId="77777777" w:rsidR="00FC7F47" w:rsidRPr="00FC7F47" w:rsidRDefault="00FC7F47" w:rsidP="00EC0934">
      <w:pPr>
        <w:pStyle w:val="Psmeno"/>
        <w:tabs>
          <w:tab w:val="left" w:pos="420"/>
        </w:tabs>
        <w:spacing w:before="0"/>
        <w:ind w:left="426" w:hanging="426"/>
      </w:pPr>
      <w:r w:rsidRPr="00FC7F47">
        <w:t>c)</w:t>
      </w:r>
      <w:r w:rsidRPr="00FC7F47">
        <w:tab/>
        <w:t>listiny prokazující splnění podmínky vyvlastnění uvedené v § 5, včetně prohlášení o tom, že ve stanovené lhůtě se vyvlastniteli nepodařilo získat dohodou potřebná práva k pozemku nebo ke stavbě,</w:t>
      </w:r>
    </w:p>
    <w:p w14:paraId="7A16B218" w14:textId="77777777" w:rsidR="00FC7F47" w:rsidRPr="00FC7F47" w:rsidRDefault="00FC7F47" w:rsidP="00EC0934">
      <w:pPr>
        <w:pStyle w:val="Psmeno"/>
        <w:tabs>
          <w:tab w:val="left" w:pos="420"/>
        </w:tabs>
        <w:spacing w:before="0"/>
        <w:ind w:left="426" w:hanging="426"/>
      </w:pPr>
      <w:r w:rsidRPr="00FC7F47">
        <w:t>d)</w:t>
      </w:r>
      <w:r w:rsidRPr="00FC7F47">
        <w:tab/>
        <w:t xml:space="preserve">znalecký posudek, byl-li opatřen podle § 20 odst. 1 věty první, který v případě stanovení náhrady podle § 10 odst. 1 písm. a) obsahuje obvyklou </w:t>
      </w:r>
      <w:r w:rsidRPr="00FC7F47">
        <w:rPr>
          <w:strike/>
        </w:rPr>
        <w:t>cenu i cenu zjištěnou podle oceňovacího předpisu</w:t>
      </w:r>
      <w:r w:rsidRPr="00FC7F47">
        <w:t xml:space="preserve"> </w:t>
      </w:r>
      <w:r w:rsidRPr="00FC7F47">
        <w:rPr>
          <w:b/>
        </w:rPr>
        <w:t xml:space="preserve">hodnotu a zjištěnou hodnotu určené podle zákona o oceňování </w:t>
      </w:r>
      <w:r w:rsidRPr="00FC7F47">
        <w:t>účinného ke dni podání žádosti; § 10 odst. 5 platí obdobně,</w:t>
      </w:r>
    </w:p>
    <w:p w14:paraId="53BB38BB" w14:textId="77777777" w:rsidR="00FC7F47" w:rsidRPr="00FC7F47" w:rsidRDefault="00FC7F47" w:rsidP="00EC0934">
      <w:pPr>
        <w:pStyle w:val="Psmeno"/>
        <w:tabs>
          <w:tab w:val="left" w:pos="420"/>
        </w:tabs>
        <w:spacing w:before="0"/>
        <w:ind w:left="426" w:hanging="426"/>
      </w:pPr>
      <w:r w:rsidRPr="00FC7F47">
        <w:t>e)</w:t>
      </w:r>
      <w:r w:rsidRPr="00FC7F47">
        <w:tab/>
        <w:t>znalecký posudek, byl-li opatřen podle § 20 odst. 1 věty první, který v případě stanovení náhrady podle § 12 obsahuje výši náhrady pro oprávněného ze zaniklého věcného břemene podle oceňovacího předpisu účinného ke dni podání žádosti,</w:t>
      </w:r>
    </w:p>
    <w:p w14:paraId="507C3B12" w14:textId="77777777" w:rsidR="00FC7F47" w:rsidRPr="00FC7F47" w:rsidRDefault="00FC7F47" w:rsidP="00EC0934">
      <w:pPr>
        <w:pStyle w:val="Psmeno"/>
        <w:tabs>
          <w:tab w:val="left" w:pos="420"/>
        </w:tabs>
        <w:spacing w:before="0"/>
        <w:ind w:left="426" w:hanging="426"/>
      </w:pPr>
      <w:r w:rsidRPr="00FC7F47">
        <w:t>f)</w:t>
      </w:r>
      <w:r w:rsidRPr="00FC7F47">
        <w:tab/>
        <w:t>dohodu vyvlastňovaného o rozdělení náhrady s těmi, kterým na vyvlastňovaném pozemku nebo stavbě váznou věcná práva zanikající vyvlastněním, pokud byla uzavřena před podáním žádosti, a vyvlastnitel má tuto dohodu k dispozici.</w:t>
      </w:r>
    </w:p>
    <w:p w14:paraId="48F2F2E9" w14:textId="77777777" w:rsidR="00FC7F47" w:rsidRPr="00FC7F47" w:rsidRDefault="00FC7F47" w:rsidP="00043C0E">
      <w:pPr>
        <w:pStyle w:val="Odstavec"/>
        <w:keepNext/>
        <w:keepLines/>
        <w:spacing w:before="240"/>
        <w:jc w:val="center"/>
      </w:pPr>
      <w:r w:rsidRPr="00FC7F47">
        <w:lastRenderedPageBreak/>
        <w:t>***</w:t>
      </w:r>
    </w:p>
    <w:p w14:paraId="2B5DB887" w14:textId="77777777" w:rsidR="00FC7F47" w:rsidRPr="00FC7F47" w:rsidRDefault="00FC7F47" w:rsidP="00043C0E">
      <w:pPr>
        <w:pStyle w:val="Odstavec"/>
        <w:keepNext/>
        <w:keepLines/>
        <w:spacing w:before="240"/>
        <w:jc w:val="center"/>
      </w:pPr>
      <w:r w:rsidRPr="00FC7F47">
        <w:t>§ 24</w:t>
      </w:r>
    </w:p>
    <w:p w14:paraId="457CCB64" w14:textId="09ABC6F1" w:rsidR="00FC7F47" w:rsidRPr="00FC7F47" w:rsidRDefault="004A4D6C" w:rsidP="00441BD3">
      <w:pPr>
        <w:pStyle w:val="Odstavec"/>
        <w:keepNext/>
        <w:keepLines/>
      </w:pPr>
      <w:r>
        <w:t xml:space="preserve">(1) </w:t>
      </w:r>
      <w:r w:rsidR="00FC7F47" w:rsidRPr="00FC7F47">
        <w:t>Nebude-li v řízení prokázáno, že jsou splněny podmínky pro vyvlastnění, vyvlastňovací úřad žádost vyvlastnitele zamítne do 30 dnů ode dne konání ústního jednání. Je-li předmětem vyvlastnění nemovitost zapsaná v katastru nemovitostí, vyvlastňovací úřad oznámí zamítnutí žádosti katastrálnímu úřadu ke zrušení poznámky bezodkladně po nabytí právní moci rozhodnutí o zamítnutí žádosti o vyvlastnění. Ustanovení § 23 odst. 4 o povinnosti vyvlastnitele nahradit vyvlastňovanému škodu nebo jinou újmu, která mu vznikla v souvislosti s podáním žádosti, se použije obdobně.</w:t>
      </w:r>
    </w:p>
    <w:p w14:paraId="5F938595" w14:textId="503798D8" w:rsidR="00FC7F47" w:rsidRPr="00FC7F47" w:rsidRDefault="004A4D6C" w:rsidP="00441BD3">
      <w:pPr>
        <w:pStyle w:val="Odstavec"/>
      </w:pPr>
      <w:r>
        <w:t xml:space="preserve">(2) </w:t>
      </w:r>
      <w:r w:rsidR="00FC7F47" w:rsidRPr="00FC7F47">
        <w:t>Dospěje-li vyvlastňovací úřad k závěru, že podmínky pro vyvlastnění jsou splněny, do 30 dnů ode dne konání ústního jednání rozhodne samostatnými výroky o vyvlastnění práv k pozemku nebo ke stavbě a o náhradě za vyvlastnění.</w:t>
      </w:r>
    </w:p>
    <w:p w14:paraId="39787F32" w14:textId="3F51B36F" w:rsidR="00FC7F47" w:rsidRPr="00FC7F47" w:rsidRDefault="004A4D6C" w:rsidP="00441BD3">
      <w:pPr>
        <w:pStyle w:val="Odstavec"/>
      </w:pPr>
      <w:r>
        <w:t xml:space="preserve">(3) </w:t>
      </w:r>
      <w:r w:rsidR="00FC7F47" w:rsidRPr="00FC7F47">
        <w:t>Výroky o vyvlastnění práv k pozemku nebo ke stavbě vyvlastňovací úřad</w:t>
      </w:r>
    </w:p>
    <w:p w14:paraId="5EB46160" w14:textId="77777777" w:rsidR="00FC7F47" w:rsidRPr="00FC7F47" w:rsidRDefault="00FC7F47" w:rsidP="00EC0934">
      <w:pPr>
        <w:pStyle w:val="Psmeno"/>
        <w:tabs>
          <w:tab w:val="left" w:pos="420"/>
        </w:tabs>
        <w:spacing w:before="0"/>
        <w:ind w:left="426" w:hanging="426"/>
      </w:pPr>
      <w:r w:rsidRPr="00FC7F47">
        <w:t>a)</w:t>
      </w:r>
      <w:r w:rsidRPr="00FC7F47">
        <w:tab/>
        <w:t>rozhodne o</w:t>
      </w:r>
    </w:p>
    <w:p w14:paraId="49089344" w14:textId="7415350D" w:rsidR="00FC7F47" w:rsidRPr="00FC7F47" w:rsidRDefault="00FC7F47" w:rsidP="00441BD3">
      <w:pPr>
        <w:pStyle w:val="Bod"/>
        <w:tabs>
          <w:tab w:val="left" w:pos="420"/>
        </w:tabs>
        <w:spacing w:before="0"/>
      </w:pPr>
      <w:r w:rsidRPr="00FC7F47">
        <w:t>1.</w:t>
      </w:r>
      <w:r w:rsidRPr="00FC7F47">
        <w:tab/>
        <w:t>zrušení nebo omezení práva odpovídajícího věcnému břemenu k pozemku nebo ke stavbě, jichž se vyvlastnění týká, nebo</w:t>
      </w:r>
    </w:p>
    <w:p w14:paraId="6906670D" w14:textId="5BE7F343" w:rsidR="00FC7F47" w:rsidRPr="00FC7F47" w:rsidRDefault="00FC7F47" w:rsidP="00441BD3">
      <w:pPr>
        <w:pStyle w:val="Bod"/>
        <w:tabs>
          <w:tab w:val="left" w:pos="420"/>
        </w:tabs>
        <w:spacing w:before="0"/>
      </w:pPr>
      <w:r w:rsidRPr="00FC7F47">
        <w:t>2.</w:t>
      </w:r>
      <w:r w:rsidRPr="00FC7F47">
        <w:tab/>
        <w:t>omezení vlastnického práva k pozemku nebo ke stavbě zřízením věcného břemene ve prospěch vyvlastnitele a vymezí jeho obsah, anebo</w:t>
      </w:r>
    </w:p>
    <w:p w14:paraId="35AC4546" w14:textId="0DD548F9" w:rsidR="00FC7F47" w:rsidRPr="00FC7F47" w:rsidRDefault="00FC7F47" w:rsidP="00441BD3">
      <w:pPr>
        <w:pStyle w:val="Bod"/>
        <w:tabs>
          <w:tab w:val="left" w:pos="420"/>
        </w:tabs>
        <w:spacing w:before="0"/>
      </w:pPr>
      <w:r w:rsidRPr="00FC7F47">
        <w:t>3.</w:t>
      </w:r>
      <w:r w:rsidRPr="00FC7F47">
        <w:tab/>
        <w:t>odnětí vlastnického práva vyvlastňovaného k pozemku nebo ke stavbě a o jeho přechodu na vyvlastnitele,</w:t>
      </w:r>
    </w:p>
    <w:p w14:paraId="2CEA6952" w14:textId="77777777" w:rsidR="00FC7F47" w:rsidRPr="00FC7F47" w:rsidRDefault="00FC7F47" w:rsidP="00EC0934">
      <w:pPr>
        <w:pStyle w:val="Psmeno"/>
        <w:tabs>
          <w:tab w:val="left" w:pos="420"/>
        </w:tabs>
        <w:spacing w:before="0"/>
        <w:ind w:left="426" w:hanging="426"/>
      </w:pPr>
      <w:r w:rsidRPr="00FC7F47">
        <w:t>b)</w:t>
      </w:r>
      <w:r w:rsidRPr="00FC7F47">
        <w:tab/>
        <w:t>rozhodne, vyžaduje-li to veřejný zájem, která práva spojená s pozemkem, stavbou nebo jejich částí vyvlastněním nezaniknou,</w:t>
      </w:r>
    </w:p>
    <w:p w14:paraId="37D72EEE" w14:textId="77777777" w:rsidR="00FC7F47" w:rsidRPr="00FC7F47" w:rsidRDefault="00FC7F47" w:rsidP="00EC0934">
      <w:pPr>
        <w:pStyle w:val="Psmeno"/>
        <w:tabs>
          <w:tab w:val="left" w:pos="420"/>
        </w:tabs>
        <w:spacing w:before="0"/>
        <w:ind w:left="426" w:hanging="426"/>
      </w:pPr>
      <w:r w:rsidRPr="00FC7F47">
        <w:t>c)</w:t>
      </w:r>
      <w:r w:rsidRPr="00FC7F47">
        <w:tab/>
        <w:t>určí, v jaké lhůtě je vyvlastnitel povinen zahájit uskutečňování účelu vyvlastnění; lhůta nesmí být delší než 2 roky od právní moci rozhodnutí.</w:t>
      </w:r>
    </w:p>
    <w:p w14:paraId="55302685" w14:textId="76FB7160" w:rsidR="00FC7F47" w:rsidRPr="00FC7F47" w:rsidRDefault="004A4D6C" w:rsidP="004A4D6C">
      <w:pPr>
        <w:pStyle w:val="Odstavec"/>
        <w:tabs>
          <w:tab w:val="left" w:pos="420"/>
        </w:tabs>
        <w:spacing w:before="240"/>
      </w:pPr>
      <w:r>
        <w:t xml:space="preserve">(4) </w:t>
      </w:r>
      <w:r w:rsidR="00FC7F47" w:rsidRPr="00FC7F47">
        <w:t>Výroky o náhradě za vyvlastnění vyvlastňovací úřad</w:t>
      </w:r>
    </w:p>
    <w:p w14:paraId="33428FCA" w14:textId="77777777" w:rsidR="00FC7F47" w:rsidRPr="00FC7F47" w:rsidRDefault="00FC7F47" w:rsidP="00EC0934">
      <w:pPr>
        <w:pStyle w:val="Psmeno"/>
        <w:tabs>
          <w:tab w:val="left" w:pos="420"/>
        </w:tabs>
        <w:spacing w:before="0"/>
        <w:ind w:left="426" w:hanging="426"/>
      </w:pPr>
      <w:r w:rsidRPr="00FC7F47">
        <w:t>a)</w:t>
      </w:r>
      <w:r w:rsidRPr="00FC7F47">
        <w:tab/>
        <w:t>stanoví výši náhrady pro vyvlastňovaného, jakož i pro oprávněného z věcného břemene, jejichž práva vyvlastněním zanikají, a uloží vyvlastniteli, aby jim náhrady zaplatil ve lhůtě, která nesmí být delší než 60 dnů od právní moci rozhodnutí,</w:t>
      </w:r>
    </w:p>
    <w:p w14:paraId="1B92F933" w14:textId="77777777" w:rsidR="00FC7F47" w:rsidRPr="00FC7F47" w:rsidRDefault="00FC7F47" w:rsidP="00EC0934">
      <w:pPr>
        <w:pStyle w:val="Psmeno"/>
        <w:tabs>
          <w:tab w:val="left" w:pos="420"/>
        </w:tabs>
        <w:spacing w:before="0"/>
        <w:ind w:left="426" w:hanging="426"/>
      </w:pPr>
      <w:r w:rsidRPr="00FC7F47">
        <w:t>b)</w:t>
      </w:r>
      <w:r w:rsidRPr="00FC7F47">
        <w:tab/>
        <w:t xml:space="preserve">dojde-li k dohodě podle § 11, určí, jaký pozemek nebo stavba přechází do vlastnictví vyvlastňovaného, popřípadě rozhodne též o vyrovnání rozdílu v </w:t>
      </w:r>
      <w:r w:rsidRPr="00FC7F47">
        <w:rPr>
          <w:strike/>
        </w:rPr>
        <w:t>ceně</w:t>
      </w:r>
      <w:r w:rsidRPr="00FC7F47">
        <w:t xml:space="preserve"> </w:t>
      </w:r>
      <w:r w:rsidRPr="00FC7F47">
        <w:rPr>
          <w:b/>
        </w:rPr>
        <w:t xml:space="preserve">obvyklé hodnotě </w:t>
      </w:r>
      <w:r w:rsidRPr="00FC7F47">
        <w:t xml:space="preserve">vyvlastněného pozemku nebo stavby a náhradního pozemku nebo stavby </w:t>
      </w:r>
      <w:r w:rsidRPr="00FC7F47">
        <w:rPr>
          <w:strike/>
        </w:rPr>
        <w:t>podle oceňovacího předpisu</w:t>
      </w:r>
      <w:r w:rsidRPr="00FC7F47">
        <w:t xml:space="preserve"> </w:t>
      </w:r>
      <w:r w:rsidRPr="00FC7F47">
        <w:rPr>
          <w:b/>
        </w:rPr>
        <w:t xml:space="preserve">určené podle zákona o oceňování </w:t>
      </w:r>
      <w:r w:rsidRPr="00FC7F47">
        <w:t>účinného v době vyvlastnění, včetně lhůty k poskytnutí plnění, která nesmí být delší než 60 dnů od právní moci rozhodnutí,</w:t>
      </w:r>
    </w:p>
    <w:p w14:paraId="706ED192" w14:textId="77777777" w:rsidR="00FC7F47" w:rsidRPr="00FC7F47" w:rsidRDefault="00FC7F47" w:rsidP="00EC0934">
      <w:pPr>
        <w:pStyle w:val="Psmeno"/>
        <w:tabs>
          <w:tab w:val="left" w:pos="420"/>
        </w:tabs>
        <w:spacing w:before="0"/>
        <w:ind w:left="426" w:hanging="426"/>
      </w:pPr>
      <w:r w:rsidRPr="00FC7F47">
        <w:t>c)</w:t>
      </w:r>
      <w:r w:rsidRPr="00FC7F47">
        <w:tab/>
        <w:t xml:space="preserve">určí, jakou částku z náhrady pro vyvlastňovaného je vyvlastnitel povinen poskytnout zástavnímu věřiteli, </w:t>
      </w:r>
      <w:proofErr w:type="spellStart"/>
      <w:r w:rsidRPr="00FC7F47">
        <w:t>podzástavnímu</w:t>
      </w:r>
      <w:proofErr w:type="spellEnd"/>
      <w:r w:rsidRPr="00FC7F47">
        <w:t xml:space="preserve"> věřiteli nebo oprávněnému ze zajišťovacího převodu práva na úhradu splatných zajištěných pohledávek, pokud byla předložena dohoda, jinak uloží vyvlastniteli, aby náhradu za vyvlastnění složil do úschovy u příslušného soudu</w:t>
      </w:r>
      <w:r w:rsidRPr="00FC7F47">
        <w:rPr>
          <w:vertAlign w:val="superscript"/>
        </w:rPr>
        <w:t>19)</w:t>
      </w:r>
      <w:r w:rsidRPr="00FC7F47">
        <w:t>,</w:t>
      </w:r>
    </w:p>
    <w:p w14:paraId="29B37B11" w14:textId="3BCC6C32" w:rsidR="00FC7F47" w:rsidRPr="00FC7F47" w:rsidRDefault="00FC7F47" w:rsidP="00EC0934">
      <w:pPr>
        <w:pStyle w:val="Psmeno"/>
        <w:tabs>
          <w:tab w:val="left" w:pos="420"/>
        </w:tabs>
        <w:spacing w:before="0"/>
        <w:ind w:left="426" w:hanging="426"/>
      </w:pPr>
      <w:r w:rsidRPr="00FC7F47">
        <w:t>d)</w:t>
      </w:r>
      <w:r w:rsidRPr="00FC7F47">
        <w:tab/>
        <w:t>uloží vyvlastniteli, aby nahradil vyvlastňovanému jím vynaložené náklady na vyhotovení znaleckého posudku, a určí k tomu lhůtu, která nesmí být delší než 60 dnů od právní moci rozhodnutí.</w:t>
      </w:r>
    </w:p>
    <w:p w14:paraId="658500DB" w14:textId="77777777" w:rsidR="00FC7F47" w:rsidRPr="00FC7F47" w:rsidRDefault="00FC7F47" w:rsidP="000467BB">
      <w:pPr>
        <w:pStyle w:val="Paragraf"/>
        <w:numPr>
          <w:ilvl w:val="0"/>
          <w:numId w:val="31"/>
        </w:numPr>
        <w:spacing w:after="120"/>
      </w:pPr>
      <w:r w:rsidRPr="00FC7F47">
        <w:lastRenderedPageBreak/>
        <w:t>***</w:t>
      </w:r>
    </w:p>
    <w:p w14:paraId="3A7ECEEA" w14:textId="77777777" w:rsidR="00FC7F47" w:rsidRPr="00FC7F47" w:rsidRDefault="00FC7F47" w:rsidP="000467BB">
      <w:pPr>
        <w:pStyle w:val="Paragraf"/>
        <w:numPr>
          <w:ilvl w:val="0"/>
          <w:numId w:val="31"/>
        </w:numPr>
        <w:spacing w:after="120"/>
      </w:pPr>
      <w:r w:rsidRPr="00FC7F47">
        <w:t>§ 28</w:t>
      </w:r>
    </w:p>
    <w:p w14:paraId="2DD4BC6D" w14:textId="1FEAB931" w:rsidR="00FC7F47" w:rsidRPr="00FC7F47" w:rsidRDefault="00EC0934" w:rsidP="00441BD3">
      <w:pPr>
        <w:pStyle w:val="Odstavec"/>
      </w:pPr>
      <w:r>
        <w:t xml:space="preserve">(1) </w:t>
      </w:r>
      <w:r w:rsidR="00FC7F47" w:rsidRPr="00FC7F47">
        <w:t>Výrok podle § 24 odst. 3 lze přezkoumat v řízení o žalobě proti rozhodnutí správního orgánu. Výrok podle § 24 odst. 4 lze projednat v občanském soudním řízení15); příslušný v prvním stupni je krajský soud.</w:t>
      </w:r>
    </w:p>
    <w:p w14:paraId="554D7E22" w14:textId="55C5F0B5" w:rsidR="00FC7F47" w:rsidRPr="00FC7F47" w:rsidRDefault="00EC0934" w:rsidP="00441BD3">
      <w:pPr>
        <w:pStyle w:val="Odstavec"/>
      </w:pPr>
      <w:r>
        <w:t xml:space="preserve">(2) </w:t>
      </w:r>
      <w:r w:rsidR="00FC7F47" w:rsidRPr="00FC7F47">
        <w:t>Žaloba, kterou účastník řízení požaduje, aby výrok podle § 24 odst. 4 byl projednán v občanském soudním řízení</w:t>
      </w:r>
      <w:r w:rsidR="00FC7F47" w:rsidRPr="00FC7F47">
        <w:rPr>
          <w:vertAlign w:val="superscript"/>
        </w:rPr>
        <w:t>15)</w:t>
      </w:r>
      <w:r w:rsidR="00FC7F47" w:rsidRPr="00FC7F47">
        <w:t>, musí být podána ve lhůtě 30 dnů od právní moci rozhodnutí vyvlastňovacího úřadu; zmeškání této lhůty nelze prominout. Zrušením výroku podle § 24 odst. 3 pozbývá platnosti i výrok podle § 24 odst. 4.</w:t>
      </w:r>
    </w:p>
    <w:p w14:paraId="18ECC4B5" w14:textId="69ED4592" w:rsidR="00FC7F47" w:rsidRPr="00FC7F47" w:rsidRDefault="00EC0934" w:rsidP="00441BD3">
      <w:pPr>
        <w:pStyle w:val="Odstavec"/>
      </w:pPr>
      <w:r>
        <w:t xml:space="preserve">(3) </w:t>
      </w:r>
      <w:r w:rsidR="00FC7F47" w:rsidRPr="00FC7F47">
        <w:t>Soud při určování výše náhrady zohlední všechny okolnosti tak, aby dospěl ke spravedlivé náhradě. V odůvodněných případech stanoví částku vyšší s přihlédnutím k mimořádným vlastnostem vyvlastňovaného pozemku nebo stavby, popřípadě k mimořádným okolnostem věci. Kromě náhrad uvedených v § 10 lze za vyvlastnění poskytnout vyvlastňovanému</w:t>
      </w:r>
    </w:p>
    <w:p w14:paraId="4E430BE0" w14:textId="77777777" w:rsidR="00FC7F47" w:rsidRPr="00FC7F47" w:rsidRDefault="00FC7F47" w:rsidP="00EC0934">
      <w:pPr>
        <w:pStyle w:val="Psmeno"/>
        <w:tabs>
          <w:tab w:val="left" w:pos="406"/>
        </w:tabs>
        <w:spacing w:before="0"/>
        <w:ind w:left="426" w:hanging="426"/>
      </w:pPr>
      <w:r w:rsidRPr="00FC7F47">
        <w:t>a)</w:t>
      </w:r>
      <w:r w:rsidRPr="00FC7F47">
        <w:tab/>
        <w:t xml:space="preserve">částku v maximální výši 40 % z </w:t>
      </w:r>
      <w:r w:rsidRPr="00FC7F47">
        <w:rPr>
          <w:strike/>
        </w:rPr>
        <w:t>ceny stanovené</w:t>
      </w:r>
      <w:r w:rsidRPr="00FC7F47">
        <w:t xml:space="preserve"> </w:t>
      </w:r>
      <w:r w:rsidRPr="00FC7F47">
        <w:rPr>
          <w:b/>
        </w:rPr>
        <w:t xml:space="preserve">hodnoty určené </w:t>
      </w:r>
      <w:r w:rsidRPr="00FC7F47">
        <w:t>podle § 10 odst. 1 písm. a) a § 10 odst. 4 a 5 za zmírnění tvrdosti vyvlastnění, zohledňující i délku vlastnictví pozemku nebo stavby více než 15 let od nabytí za úplatu,</w:t>
      </w:r>
    </w:p>
    <w:p w14:paraId="7D2B6C15" w14:textId="77777777" w:rsidR="00FC7F47" w:rsidRPr="00FC7F47" w:rsidRDefault="00FC7F47" w:rsidP="00EC0934">
      <w:pPr>
        <w:pStyle w:val="Psmeno"/>
        <w:tabs>
          <w:tab w:val="left" w:pos="406"/>
        </w:tabs>
        <w:spacing w:before="0"/>
        <w:ind w:left="426" w:hanging="426"/>
      </w:pPr>
      <w:r w:rsidRPr="00FC7F47">
        <w:t>b)</w:t>
      </w:r>
      <w:r w:rsidRPr="00FC7F47">
        <w:tab/>
        <w:t xml:space="preserve">částku v maximální výši 10 % z </w:t>
      </w:r>
      <w:r w:rsidRPr="00FC7F47">
        <w:rPr>
          <w:strike/>
        </w:rPr>
        <w:t>ceny stanovené</w:t>
      </w:r>
      <w:r w:rsidRPr="00FC7F47">
        <w:t xml:space="preserve"> </w:t>
      </w:r>
      <w:r w:rsidRPr="00FC7F47">
        <w:rPr>
          <w:b/>
        </w:rPr>
        <w:t xml:space="preserve">hodnoty určené </w:t>
      </w:r>
      <w:r w:rsidRPr="00FC7F47">
        <w:t>podle § 10 odst. 1 písm. a) a § 10 odst. 4 a 5 v případě polohy pozemku nebo stavby v zastavěném území,</w:t>
      </w:r>
    </w:p>
    <w:p w14:paraId="05DE6E6C" w14:textId="77777777" w:rsidR="00FC7F47" w:rsidRPr="00FC7F47" w:rsidRDefault="00FC7F47" w:rsidP="00EC0934">
      <w:pPr>
        <w:pStyle w:val="Psmeno"/>
        <w:tabs>
          <w:tab w:val="left" w:pos="406"/>
        </w:tabs>
        <w:spacing w:before="0"/>
        <w:ind w:left="426" w:hanging="426"/>
      </w:pPr>
      <w:r w:rsidRPr="00FC7F47">
        <w:t>c)</w:t>
      </w:r>
      <w:r w:rsidRPr="00FC7F47">
        <w:tab/>
        <w:t xml:space="preserve">částku v maximální výši 10 % z </w:t>
      </w:r>
      <w:r w:rsidRPr="00FC7F47">
        <w:rPr>
          <w:strike/>
        </w:rPr>
        <w:t>ceny stanovené</w:t>
      </w:r>
      <w:r w:rsidRPr="00FC7F47">
        <w:t xml:space="preserve"> </w:t>
      </w:r>
      <w:r w:rsidRPr="00FC7F47">
        <w:rPr>
          <w:b/>
        </w:rPr>
        <w:t xml:space="preserve">hodnoty určené </w:t>
      </w:r>
      <w:r w:rsidRPr="00FC7F47">
        <w:t>podle § 10 odst. 1 písm. a) a § 10 odst. 4 a 5 v případě polohy pozemku nebo stavby v území se zvláštní architektonickou hodnotou, případně se zvláštní historickou hodnotou, nebo</w:t>
      </w:r>
    </w:p>
    <w:p w14:paraId="413EE466" w14:textId="77777777" w:rsidR="00FC7F47" w:rsidRPr="00FC7F47" w:rsidRDefault="00FC7F47" w:rsidP="00EC0934">
      <w:pPr>
        <w:pStyle w:val="Psmeno"/>
        <w:tabs>
          <w:tab w:val="left" w:pos="406"/>
        </w:tabs>
        <w:spacing w:before="0"/>
        <w:ind w:left="426" w:hanging="426"/>
      </w:pPr>
      <w:r w:rsidRPr="00FC7F47">
        <w:t>d)</w:t>
      </w:r>
      <w:r w:rsidRPr="00FC7F47">
        <w:tab/>
        <w:t xml:space="preserve">částku v maximální výši 20 % z </w:t>
      </w:r>
      <w:r w:rsidRPr="00FC7F47">
        <w:rPr>
          <w:strike/>
        </w:rPr>
        <w:t>ceny stanovené</w:t>
      </w:r>
      <w:r w:rsidRPr="00FC7F47">
        <w:t xml:space="preserve"> </w:t>
      </w:r>
      <w:r w:rsidRPr="00FC7F47">
        <w:rPr>
          <w:b/>
        </w:rPr>
        <w:t xml:space="preserve">hodnoty určené </w:t>
      </w:r>
      <w:r w:rsidRPr="00FC7F47">
        <w:t>podle § 10 odst. 1 písm. a) a § 10 odst. 4 a 5 v případě významu pozemku nebo stavby pro podnikatelskou činnost.</w:t>
      </w:r>
    </w:p>
    <w:p w14:paraId="24CCFB9E" w14:textId="77777777" w:rsidR="00FC7F47" w:rsidRPr="00FC7F47" w:rsidRDefault="00FC7F47" w:rsidP="00441BD3">
      <w:pPr>
        <w:pStyle w:val="Odstavec"/>
      </w:pPr>
      <w:r w:rsidRPr="00FC7F47">
        <w:t>(4) Žaloba podaná vyvlastňovaným proti výroku podle § 24 odst. 3 písm. a) má odkladný účinek.</w:t>
      </w:r>
    </w:p>
    <w:p w14:paraId="3CF9FED0" w14:textId="77777777" w:rsidR="0078018B" w:rsidRDefault="0078018B" w:rsidP="00E67B84">
      <w:pPr>
        <w:pStyle w:val="Textparagrafu"/>
        <w:tabs>
          <w:tab w:val="left" w:pos="392"/>
          <w:tab w:val="left" w:pos="840"/>
        </w:tabs>
        <w:spacing w:after="120"/>
        <w:ind w:firstLine="0"/>
        <w:sectPr w:rsidR="0078018B" w:rsidSect="00554E2B">
          <w:footnotePr>
            <w:numStart w:val="3"/>
          </w:footnotePr>
          <w:endnotePr>
            <w:numFmt w:val="decimal"/>
          </w:endnotePr>
          <w:pgSz w:w="11906" w:h="16838"/>
          <w:pgMar w:top="1418" w:right="1418" w:bottom="1418" w:left="1418" w:header="709" w:footer="709" w:gutter="0"/>
          <w:cols w:space="708"/>
          <w:docGrid w:linePitch="360"/>
        </w:sectPr>
      </w:pPr>
    </w:p>
    <w:p w14:paraId="5DB1591D" w14:textId="139C8E2B" w:rsidR="0078018B" w:rsidRPr="00AD77CE" w:rsidRDefault="0078018B" w:rsidP="00441BD3">
      <w:pPr>
        <w:tabs>
          <w:tab w:val="left" w:pos="851"/>
        </w:tabs>
        <w:spacing w:before="120" w:after="120"/>
        <w:ind w:firstLine="0"/>
        <w:jc w:val="center"/>
        <w:outlineLvl w:val="0"/>
        <w:rPr>
          <w:szCs w:val="24"/>
        </w:rPr>
      </w:pPr>
      <w:r w:rsidRPr="00AD77CE">
        <w:rPr>
          <w:b/>
          <w:szCs w:val="24"/>
        </w:rPr>
        <w:lastRenderedPageBreak/>
        <w:t xml:space="preserve">K části </w:t>
      </w:r>
      <w:r>
        <w:rPr>
          <w:b/>
          <w:szCs w:val="24"/>
        </w:rPr>
        <w:t xml:space="preserve">devadesáté </w:t>
      </w:r>
      <w:r w:rsidR="00EC0934">
        <w:rPr>
          <w:b/>
          <w:szCs w:val="24"/>
        </w:rPr>
        <w:t xml:space="preserve">první </w:t>
      </w:r>
      <w:r w:rsidRPr="00AD77CE">
        <w:rPr>
          <w:b/>
          <w:szCs w:val="24"/>
        </w:rPr>
        <w:t xml:space="preserve">návrhu zákona – </w:t>
      </w:r>
      <w:r w:rsidRPr="00AD77CE">
        <w:rPr>
          <w:szCs w:val="24"/>
        </w:rPr>
        <w:t>změna zákona</w:t>
      </w:r>
      <w:r w:rsidRPr="00AD77CE">
        <w:t xml:space="preserve"> </w:t>
      </w:r>
      <w:r w:rsidR="00195EB3" w:rsidRPr="00195EB3">
        <w:rPr>
          <w:szCs w:val="24"/>
        </w:rPr>
        <w:t>o nemocenském pojištění</w:t>
      </w:r>
    </w:p>
    <w:p w14:paraId="77B4886C" w14:textId="3188E246" w:rsidR="0078018B" w:rsidRPr="0078018B" w:rsidRDefault="0078018B" w:rsidP="00195EB3">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7303D7">
        <w:rPr>
          <w:b/>
          <w:szCs w:val="24"/>
        </w:rPr>
        <w:t>Platné znění</w:t>
      </w:r>
      <w:r w:rsidRPr="007303D7">
        <w:rPr>
          <w:szCs w:val="24"/>
        </w:rPr>
        <w:t xml:space="preserve"> zákona č.</w:t>
      </w:r>
      <w:r>
        <w:rPr>
          <w:szCs w:val="24"/>
        </w:rPr>
        <w:t xml:space="preserve"> 187/2006</w:t>
      </w:r>
      <w:r w:rsidRPr="007303D7">
        <w:rPr>
          <w:szCs w:val="24"/>
        </w:rPr>
        <w:t xml:space="preserve"> Sb., </w:t>
      </w:r>
      <w:r w:rsidR="00195EB3" w:rsidRPr="00195EB3">
        <w:rPr>
          <w:szCs w:val="24"/>
        </w:rPr>
        <w:t>o nemocenském pojištění</w:t>
      </w:r>
    </w:p>
    <w:p w14:paraId="63E27DBC" w14:textId="13CAB989" w:rsidR="0078018B" w:rsidRPr="007303D7" w:rsidRDefault="00441BD3" w:rsidP="0078018B">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AE4818">
        <w:rPr>
          <w:b/>
          <w:szCs w:val="24"/>
          <w:lang w:eastAsia="en-US"/>
        </w:rPr>
        <w:t>s vyznačením navrhovaných změn a doplnění k 1. lednu 2025</w:t>
      </w:r>
    </w:p>
    <w:p w14:paraId="78C34350" w14:textId="77777777" w:rsidR="0078018B" w:rsidRPr="00AD77CE" w:rsidRDefault="0078018B" w:rsidP="0078018B">
      <w:pPr>
        <w:pStyle w:val="Textparagrafu"/>
        <w:numPr>
          <w:ilvl w:val="0"/>
          <w:numId w:val="27"/>
        </w:numPr>
        <w:tabs>
          <w:tab w:val="left" w:pos="392"/>
          <w:tab w:val="left" w:pos="840"/>
        </w:tabs>
        <w:spacing w:after="120"/>
        <w:jc w:val="center"/>
      </w:pPr>
      <w:r w:rsidRPr="00AD77CE">
        <w:t>***</w:t>
      </w:r>
    </w:p>
    <w:p w14:paraId="0719951E" w14:textId="77777777" w:rsidR="0078018B" w:rsidRDefault="0078018B" w:rsidP="0078018B">
      <w:pPr>
        <w:pStyle w:val="Textparagrafu"/>
        <w:numPr>
          <w:ilvl w:val="0"/>
          <w:numId w:val="27"/>
        </w:numPr>
        <w:tabs>
          <w:tab w:val="left" w:pos="392"/>
          <w:tab w:val="left" w:pos="840"/>
        </w:tabs>
        <w:jc w:val="center"/>
      </w:pPr>
      <w:r w:rsidRPr="000B0107">
        <w:t>§</w:t>
      </w:r>
      <w:r>
        <w:t xml:space="preserve"> </w:t>
      </w:r>
      <w:r w:rsidRPr="000B0107">
        <w:t>84</w:t>
      </w:r>
    </w:p>
    <w:p w14:paraId="7B7A59F7" w14:textId="77777777" w:rsidR="0078018B" w:rsidRPr="0078018B" w:rsidRDefault="0078018B" w:rsidP="0078018B">
      <w:pPr>
        <w:pStyle w:val="Textparagrafu"/>
        <w:numPr>
          <w:ilvl w:val="0"/>
          <w:numId w:val="27"/>
        </w:numPr>
        <w:tabs>
          <w:tab w:val="left" w:pos="392"/>
          <w:tab w:val="left" w:pos="840"/>
        </w:tabs>
        <w:jc w:val="center"/>
        <w:rPr>
          <w:b/>
        </w:rPr>
      </w:pPr>
      <w:r w:rsidRPr="0078018B">
        <w:rPr>
          <w:b/>
        </w:rPr>
        <w:t>Úkoly územních správ sociálního zabezpečení</w:t>
      </w:r>
    </w:p>
    <w:p w14:paraId="1FDA502B" w14:textId="77777777" w:rsidR="0078018B" w:rsidRDefault="0078018B" w:rsidP="00441BD3">
      <w:pPr>
        <w:pStyle w:val="Textparagrafu"/>
        <w:numPr>
          <w:ilvl w:val="0"/>
          <w:numId w:val="27"/>
        </w:numPr>
        <w:tabs>
          <w:tab w:val="left" w:pos="392"/>
          <w:tab w:val="left" w:pos="840"/>
        </w:tabs>
        <w:spacing w:before="120" w:after="120"/>
        <w:ind w:firstLine="425"/>
      </w:pPr>
      <w:r w:rsidRPr="000B0107">
        <w:t>(1)</w:t>
      </w:r>
      <w:r>
        <w:t xml:space="preserve"> </w:t>
      </w:r>
      <w:r w:rsidRPr="000B0107">
        <w:t>Územní</w:t>
      </w:r>
      <w:r>
        <w:t xml:space="preserve"> </w:t>
      </w:r>
      <w:r w:rsidRPr="000B0107">
        <w:t>správy</w:t>
      </w:r>
      <w:r>
        <w:t xml:space="preserve"> </w:t>
      </w:r>
      <w:r w:rsidRPr="000B0107">
        <w:t>sociálního</w:t>
      </w:r>
      <w:r>
        <w:t xml:space="preserve"> </w:t>
      </w:r>
      <w:r w:rsidRPr="000B0107">
        <w:t>zabezpečení</w:t>
      </w:r>
      <w:r>
        <w:t xml:space="preserve"> </w:t>
      </w:r>
      <w:r w:rsidRPr="000B0107">
        <w:t>při</w:t>
      </w:r>
      <w:r>
        <w:t xml:space="preserve"> </w:t>
      </w:r>
      <w:r w:rsidRPr="000B0107">
        <w:t>provádění</w:t>
      </w:r>
      <w:r>
        <w:t xml:space="preserve"> </w:t>
      </w:r>
      <w:r w:rsidRPr="000B0107">
        <w:t>pojištění</w:t>
      </w:r>
      <w:r>
        <w:t xml:space="preserve"> </w:t>
      </w:r>
      <w:r w:rsidRPr="000B0107">
        <w:t>zaměstnaných</w:t>
      </w:r>
      <w:r>
        <w:t xml:space="preserve"> </w:t>
      </w:r>
      <w:r w:rsidRPr="000B0107">
        <w:t>osob</w:t>
      </w:r>
      <w:r>
        <w:t xml:space="preserve"> </w:t>
      </w:r>
      <w:r w:rsidRPr="000B0107">
        <w:t>a</w:t>
      </w:r>
      <w:r>
        <w:t xml:space="preserve"> </w:t>
      </w:r>
      <w:r w:rsidRPr="000B0107">
        <w:t>osob</w:t>
      </w:r>
      <w:r>
        <w:t xml:space="preserve"> </w:t>
      </w:r>
      <w:r w:rsidRPr="000B0107">
        <w:t>samostatně</w:t>
      </w:r>
      <w:r>
        <w:t xml:space="preserve"> </w:t>
      </w:r>
      <w:r w:rsidRPr="000B0107">
        <w:t>výdělečně</w:t>
      </w:r>
      <w:r>
        <w:t xml:space="preserve"> </w:t>
      </w:r>
      <w:r w:rsidRPr="000B0107">
        <w:t>činných</w:t>
      </w:r>
      <w:r>
        <w:t xml:space="preserve"> </w:t>
      </w:r>
      <w:r w:rsidRPr="000B0107">
        <w:t>plní</w:t>
      </w:r>
      <w:r>
        <w:t xml:space="preserve"> </w:t>
      </w:r>
      <w:r w:rsidRPr="000B0107">
        <w:t>úkoly</w:t>
      </w:r>
      <w:r>
        <w:t xml:space="preserve"> </w:t>
      </w:r>
      <w:r w:rsidRPr="000B0107">
        <w:t>stanovené</w:t>
      </w:r>
      <w:r>
        <w:t xml:space="preserve"> </w:t>
      </w:r>
      <w:r w:rsidRPr="000B0107">
        <w:t>tímto</w:t>
      </w:r>
      <w:r>
        <w:t xml:space="preserve"> </w:t>
      </w:r>
      <w:r w:rsidRPr="000B0107">
        <w:t>zákonem</w:t>
      </w:r>
      <w:r>
        <w:t xml:space="preserve"> </w:t>
      </w:r>
      <w:r w:rsidRPr="000B0107">
        <w:t>orgánu</w:t>
      </w:r>
      <w:r>
        <w:t xml:space="preserve"> </w:t>
      </w:r>
      <w:r w:rsidRPr="000B0107">
        <w:t>nemocenského</w:t>
      </w:r>
      <w:r>
        <w:t xml:space="preserve"> </w:t>
      </w:r>
      <w:r w:rsidRPr="000B0107">
        <w:t>pojištění,</w:t>
      </w:r>
      <w:r>
        <w:t xml:space="preserve"> </w:t>
      </w:r>
      <w:r w:rsidRPr="000B0107">
        <w:t>pokud</w:t>
      </w:r>
      <w:r>
        <w:t xml:space="preserve"> </w:t>
      </w:r>
      <w:r w:rsidRPr="000B0107">
        <w:t>nejde</w:t>
      </w:r>
      <w:r>
        <w:t xml:space="preserve"> </w:t>
      </w:r>
      <w:r w:rsidRPr="000B0107">
        <w:t>o</w:t>
      </w:r>
      <w:r>
        <w:t xml:space="preserve"> </w:t>
      </w:r>
      <w:r w:rsidRPr="000B0107">
        <w:t>úkoly,</w:t>
      </w:r>
      <w:r>
        <w:t xml:space="preserve"> </w:t>
      </w:r>
      <w:r w:rsidRPr="000B0107">
        <w:t>které</w:t>
      </w:r>
      <w:r>
        <w:t xml:space="preserve"> </w:t>
      </w:r>
      <w:r w:rsidRPr="000B0107">
        <w:t>při</w:t>
      </w:r>
      <w:r>
        <w:t xml:space="preserve"> </w:t>
      </w:r>
      <w:r w:rsidRPr="000B0107">
        <w:t>tomto</w:t>
      </w:r>
      <w:r>
        <w:t xml:space="preserve"> </w:t>
      </w:r>
      <w:r w:rsidRPr="000B0107">
        <w:t>provádění</w:t>
      </w:r>
      <w:r>
        <w:t xml:space="preserve"> </w:t>
      </w:r>
      <w:r w:rsidRPr="000B0107">
        <w:t>plní</w:t>
      </w:r>
      <w:r>
        <w:t xml:space="preserve"> </w:t>
      </w:r>
      <w:r w:rsidRPr="000B0107">
        <w:t>Česká</w:t>
      </w:r>
      <w:r>
        <w:t xml:space="preserve"> </w:t>
      </w:r>
      <w:r w:rsidRPr="000B0107">
        <w:t>správa</w:t>
      </w:r>
      <w:r>
        <w:t xml:space="preserve"> </w:t>
      </w:r>
      <w:r w:rsidRPr="000B0107">
        <w:t>sociálního</w:t>
      </w:r>
      <w:r>
        <w:t xml:space="preserve"> </w:t>
      </w:r>
      <w:r w:rsidRPr="000B0107">
        <w:t>zabezpečení</w:t>
      </w:r>
      <w:r>
        <w:t xml:space="preserve"> </w:t>
      </w:r>
      <w:r w:rsidRPr="000B0107">
        <w:t>nebo</w:t>
      </w:r>
      <w:r>
        <w:t xml:space="preserve"> </w:t>
      </w:r>
      <w:r w:rsidRPr="000B0107">
        <w:t>Institut</w:t>
      </w:r>
      <w:r>
        <w:t xml:space="preserve"> </w:t>
      </w:r>
      <w:r w:rsidRPr="000B0107">
        <w:t>posuzování</w:t>
      </w:r>
      <w:r>
        <w:t xml:space="preserve"> </w:t>
      </w:r>
      <w:r w:rsidRPr="000B0107">
        <w:t>zdravotního</w:t>
      </w:r>
      <w:r>
        <w:t xml:space="preserve"> </w:t>
      </w:r>
      <w:r w:rsidRPr="000B0107">
        <w:t>stavu.</w:t>
      </w:r>
    </w:p>
    <w:p w14:paraId="154249C8" w14:textId="77777777" w:rsidR="0078018B" w:rsidRDefault="0078018B" w:rsidP="00441BD3">
      <w:pPr>
        <w:pStyle w:val="Textparagrafu"/>
        <w:numPr>
          <w:ilvl w:val="0"/>
          <w:numId w:val="27"/>
        </w:numPr>
        <w:tabs>
          <w:tab w:val="left" w:pos="392"/>
          <w:tab w:val="left" w:pos="840"/>
        </w:tabs>
        <w:spacing w:before="120" w:after="120"/>
        <w:ind w:firstLine="425"/>
      </w:pPr>
      <w:r w:rsidRPr="000B0107">
        <w:t>(2)</w:t>
      </w:r>
      <w:r>
        <w:t xml:space="preserve"> </w:t>
      </w:r>
      <w:r w:rsidRPr="000B0107">
        <w:t>Územní</w:t>
      </w:r>
      <w:r>
        <w:t xml:space="preserve"> </w:t>
      </w:r>
      <w:r w:rsidRPr="000B0107">
        <w:t>správy</w:t>
      </w:r>
      <w:r>
        <w:t xml:space="preserve"> </w:t>
      </w:r>
      <w:r w:rsidRPr="000B0107">
        <w:t>sociálního</w:t>
      </w:r>
      <w:r>
        <w:t xml:space="preserve"> </w:t>
      </w:r>
      <w:r w:rsidRPr="000B0107">
        <w:t>zabezpečení</w:t>
      </w:r>
    </w:p>
    <w:p w14:paraId="2B152E10" w14:textId="21757CBC" w:rsidR="0078018B" w:rsidRPr="000B0107" w:rsidRDefault="0078018B" w:rsidP="00EC0934">
      <w:pPr>
        <w:pStyle w:val="Textparagrafu"/>
        <w:numPr>
          <w:ilvl w:val="0"/>
          <w:numId w:val="27"/>
        </w:numPr>
        <w:tabs>
          <w:tab w:val="left" w:pos="392"/>
          <w:tab w:val="left" w:pos="840"/>
        </w:tabs>
        <w:spacing w:before="0"/>
        <w:ind w:left="426" w:hanging="426"/>
      </w:pPr>
      <w:r w:rsidRPr="000B0107">
        <w:t>a)</w:t>
      </w:r>
      <w:r w:rsidR="00CC79D1">
        <w:tab/>
      </w:r>
      <w:r w:rsidRPr="000B0107">
        <w:t>rozhodují</w:t>
      </w:r>
      <w:r>
        <w:t xml:space="preserve"> </w:t>
      </w:r>
      <w:r w:rsidRPr="000B0107">
        <w:t>ve</w:t>
      </w:r>
      <w:r>
        <w:t xml:space="preserve"> </w:t>
      </w:r>
      <w:r w:rsidRPr="000B0107">
        <w:t>věcech</w:t>
      </w:r>
      <w:r>
        <w:t xml:space="preserve"> </w:t>
      </w:r>
      <w:r w:rsidRPr="000B0107">
        <w:t>pojištění</w:t>
      </w:r>
      <w:r>
        <w:t xml:space="preserve"> </w:t>
      </w:r>
      <w:r w:rsidRPr="000B0107">
        <w:t>podle</w:t>
      </w:r>
      <w:r>
        <w:t xml:space="preserve"> </w:t>
      </w:r>
      <w:r w:rsidRPr="000B0107">
        <w:t>odstavce</w:t>
      </w:r>
      <w:r>
        <w:t xml:space="preserve"> </w:t>
      </w:r>
      <w:r w:rsidRPr="000B0107">
        <w:t>1,</w:t>
      </w:r>
      <w:r>
        <w:t xml:space="preserve"> </w:t>
      </w:r>
      <w:r w:rsidRPr="000B0107">
        <w:t>a</w:t>
      </w:r>
      <w:r>
        <w:t xml:space="preserve"> </w:t>
      </w:r>
      <w:r w:rsidRPr="000B0107">
        <w:t>to:</w:t>
      </w:r>
    </w:p>
    <w:p w14:paraId="6694DC53" w14:textId="747900B6" w:rsidR="0078018B" w:rsidRPr="000B0107" w:rsidRDefault="00CC79D1" w:rsidP="00EC0934">
      <w:pPr>
        <w:pStyle w:val="Textparagrafu"/>
        <w:tabs>
          <w:tab w:val="left" w:pos="392"/>
          <w:tab w:val="left" w:pos="840"/>
        </w:tabs>
        <w:spacing w:before="0"/>
        <w:ind w:left="426" w:hanging="426"/>
      </w:pPr>
      <w:r>
        <w:tab/>
      </w:r>
      <w:r w:rsidR="0078018B" w:rsidRPr="000B0107">
        <w:t>1.</w:t>
      </w:r>
      <w:r>
        <w:tab/>
      </w:r>
      <w:r w:rsidR="0078018B" w:rsidRPr="000B0107">
        <w:t>o</w:t>
      </w:r>
      <w:r w:rsidR="0078018B">
        <w:t xml:space="preserve"> </w:t>
      </w:r>
      <w:r w:rsidR="0078018B" w:rsidRPr="000B0107">
        <w:t>vzniku,</w:t>
      </w:r>
      <w:r w:rsidR="0078018B">
        <w:t xml:space="preserve"> </w:t>
      </w:r>
      <w:r w:rsidR="0078018B" w:rsidRPr="000B0107">
        <w:t>trvání</w:t>
      </w:r>
      <w:r w:rsidR="0078018B">
        <w:t xml:space="preserve"> </w:t>
      </w:r>
      <w:r w:rsidR="0078018B" w:rsidRPr="000B0107">
        <w:t>a</w:t>
      </w:r>
      <w:r w:rsidR="0078018B">
        <w:t xml:space="preserve"> </w:t>
      </w:r>
      <w:r w:rsidR="0078018B" w:rsidRPr="000B0107">
        <w:t>zániku</w:t>
      </w:r>
      <w:r w:rsidR="0078018B">
        <w:t xml:space="preserve"> </w:t>
      </w:r>
      <w:r w:rsidR="0078018B" w:rsidRPr="000B0107">
        <w:t>pojištění,</w:t>
      </w:r>
      <w:r w:rsidR="0078018B">
        <w:t xml:space="preserve"> </w:t>
      </w:r>
      <w:r w:rsidR="0078018B" w:rsidRPr="000B0107">
        <w:t>vznikl-li</w:t>
      </w:r>
      <w:r w:rsidR="0078018B">
        <w:t xml:space="preserve"> </w:t>
      </w:r>
      <w:r w:rsidR="0078018B" w:rsidRPr="000B0107">
        <w:t>spor</w:t>
      </w:r>
      <w:r w:rsidR="0078018B">
        <w:t xml:space="preserve"> </w:t>
      </w:r>
      <w:r w:rsidR="0078018B" w:rsidRPr="000B0107">
        <w:t>o</w:t>
      </w:r>
      <w:r w:rsidR="0078018B">
        <w:t xml:space="preserve"> </w:t>
      </w:r>
      <w:r w:rsidR="0078018B" w:rsidRPr="000B0107">
        <w:t>účast</w:t>
      </w:r>
      <w:r w:rsidR="0078018B">
        <w:t xml:space="preserve"> </w:t>
      </w:r>
      <w:r w:rsidR="0078018B" w:rsidRPr="000B0107">
        <w:t>na</w:t>
      </w:r>
      <w:r w:rsidR="0078018B">
        <w:t xml:space="preserve"> </w:t>
      </w:r>
      <w:r w:rsidR="0078018B" w:rsidRPr="000B0107">
        <w:t>pojištění,</w:t>
      </w:r>
    </w:p>
    <w:p w14:paraId="77D5450D" w14:textId="611D4352" w:rsidR="0078018B" w:rsidRPr="000B0107" w:rsidRDefault="00CC79D1" w:rsidP="00EC0934">
      <w:pPr>
        <w:pStyle w:val="Textparagrafu"/>
        <w:tabs>
          <w:tab w:val="left" w:pos="392"/>
          <w:tab w:val="left" w:pos="840"/>
        </w:tabs>
        <w:spacing w:before="0"/>
        <w:ind w:left="426" w:hanging="426"/>
      </w:pPr>
      <w:r>
        <w:tab/>
      </w:r>
      <w:r w:rsidR="0078018B" w:rsidRPr="000B0107">
        <w:t>2.</w:t>
      </w:r>
      <w:r>
        <w:tab/>
      </w:r>
      <w:r w:rsidR="0078018B" w:rsidRPr="000B0107">
        <w:t>o</w:t>
      </w:r>
      <w:r w:rsidR="0078018B">
        <w:t xml:space="preserve"> </w:t>
      </w:r>
      <w:r w:rsidR="0078018B" w:rsidRPr="000B0107">
        <w:t>přiznání</w:t>
      </w:r>
      <w:r w:rsidR="0078018B">
        <w:t xml:space="preserve"> </w:t>
      </w:r>
      <w:r w:rsidR="0078018B" w:rsidRPr="000B0107">
        <w:t>dávek</w:t>
      </w:r>
      <w:r w:rsidR="0078018B">
        <w:t xml:space="preserve"> </w:t>
      </w:r>
      <w:r w:rsidR="0078018B" w:rsidRPr="000B0107">
        <w:t>a</w:t>
      </w:r>
      <w:r w:rsidR="0078018B">
        <w:t xml:space="preserve"> </w:t>
      </w:r>
      <w:r w:rsidR="0078018B" w:rsidRPr="000B0107">
        <w:t>jejich</w:t>
      </w:r>
      <w:r w:rsidR="0078018B">
        <w:t xml:space="preserve"> </w:t>
      </w:r>
      <w:r w:rsidR="0078018B" w:rsidRPr="000B0107">
        <w:t>odnětí,</w:t>
      </w:r>
      <w:r w:rsidR="0078018B">
        <w:t xml:space="preserve"> </w:t>
      </w:r>
      <w:r w:rsidR="0078018B" w:rsidRPr="000B0107">
        <w:t>o</w:t>
      </w:r>
      <w:r w:rsidR="0078018B">
        <w:t xml:space="preserve"> </w:t>
      </w:r>
      <w:r w:rsidR="0078018B" w:rsidRPr="000B0107">
        <w:t>zastavení</w:t>
      </w:r>
      <w:r w:rsidR="0078018B">
        <w:t xml:space="preserve"> </w:t>
      </w:r>
      <w:r w:rsidR="0078018B" w:rsidRPr="000B0107">
        <w:t>výplaty</w:t>
      </w:r>
      <w:r w:rsidR="0078018B">
        <w:t xml:space="preserve"> </w:t>
      </w:r>
      <w:r w:rsidR="0078018B" w:rsidRPr="000B0107">
        <w:t>dávek</w:t>
      </w:r>
      <w:r w:rsidR="0078018B">
        <w:t xml:space="preserve"> </w:t>
      </w:r>
      <w:r w:rsidR="0078018B" w:rsidRPr="000B0107">
        <w:t>a</w:t>
      </w:r>
      <w:r w:rsidR="0078018B">
        <w:t xml:space="preserve"> </w:t>
      </w:r>
      <w:r w:rsidR="0078018B" w:rsidRPr="000B0107">
        <w:t>o</w:t>
      </w:r>
      <w:r w:rsidR="0078018B">
        <w:t xml:space="preserve"> </w:t>
      </w:r>
      <w:r w:rsidR="0078018B" w:rsidRPr="000B0107">
        <w:t>změně</w:t>
      </w:r>
      <w:r w:rsidR="0078018B">
        <w:t xml:space="preserve"> </w:t>
      </w:r>
      <w:r w:rsidR="0078018B" w:rsidRPr="000B0107">
        <w:t>výše</w:t>
      </w:r>
      <w:r w:rsidR="0078018B">
        <w:t xml:space="preserve"> </w:t>
      </w:r>
      <w:r w:rsidR="0078018B" w:rsidRPr="000B0107">
        <w:t>dávek,</w:t>
      </w:r>
    </w:p>
    <w:p w14:paraId="4BC6E8F3" w14:textId="3AAC8EB6" w:rsidR="0078018B" w:rsidRPr="000B0107" w:rsidRDefault="00CC79D1" w:rsidP="00EC0934">
      <w:pPr>
        <w:pStyle w:val="Textparagrafu"/>
        <w:tabs>
          <w:tab w:val="left" w:pos="392"/>
          <w:tab w:val="left" w:pos="840"/>
        </w:tabs>
        <w:spacing w:before="0"/>
        <w:ind w:left="426" w:hanging="426"/>
      </w:pPr>
      <w:r>
        <w:tab/>
      </w:r>
      <w:r w:rsidR="0078018B" w:rsidRPr="000B0107">
        <w:t>3.</w:t>
      </w:r>
      <w:r>
        <w:tab/>
      </w:r>
      <w:r w:rsidR="0078018B" w:rsidRPr="000B0107">
        <w:t>o</w:t>
      </w:r>
      <w:r w:rsidR="0078018B">
        <w:t xml:space="preserve"> </w:t>
      </w:r>
      <w:r w:rsidR="0078018B" w:rsidRPr="000B0107">
        <w:t>vrácení</w:t>
      </w:r>
      <w:r w:rsidR="0078018B">
        <w:t xml:space="preserve"> </w:t>
      </w:r>
      <w:r w:rsidR="0078018B" w:rsidRPr="000B0107">
        <w:t>přeplatku</w:t>
      </w:r>
      <w:r w:rsidR="0078018B">
        <w:t xml:space="preserve"> </w:t>
      </w:r>
      <w:r w:rsidR="0078018B" w:rsidRPr="000B0107">
        <w:t>na</w:t>
      </w:r>
      <w:r w:rsidR="0078018B">
        <w:t xml:space="preserve"> </w:t>
      </w:r>
      <w:r w:rsidR="0078018B" w:rsidRPr="000B0107">
        <w:t>dávce,</w:t>
      </w:r>
    </w:p>
    <w:p w14:paraId="28E39B67" w14:textId="08EBA181" w:rsidR="0078018B" w:rsidRPr="000B0107" w:rsidRDefault="00CC79D1" w:rsidP="00EC0934">
      <w:pPr>
        <w:pStyle w:val="Textparagrafu"/>
        <w:tabs>
          <w:tab w:val="left" w:pos="392"/>
          <w:tab w:val="left" w:pos="840"/>
        </w:tabs>
        <w:spacing w:before="0"/>
        <w:ind w:left="426" w:hanging="426"/>
      </w:pPr>
      <w:r>
        <w:tab/>
      </w:r>
      <w:r w:rsidR="0078018B" w:rsidRPr="000B0107">
        <w:t>4.</w:t>
      </w:r>
      <w:r>
        <w:tab/>
      </w:r>
      <w:r w:rsidR="0078018B" w:rsidRPr="000B0107">
        <w:t>o</w:t>
      </w:r>
      <w:r w:rsidR="0078018B">
        <w:t xml:space="preserve"> </w:t>
      </w:r>
      <w:r w:rsidR="0078018B" w:rsidRPr="000B0107">
        <w:t>výplatě</w:t>
      </w:r>
      <w:r w:rsidR="0078018B">
        <w:t xml:space="preserve"> </w:t>
      </w:r>
      <w:r w:rsidR="0078018B" w:rsidRPr="000B0107">
        <w:t>nemocenského</w:t>
      </w:r>
      <w:r w:rsidR="0078018B">
        <w:t xml:space="preserve"> </w:t>
      </w:r>
      <w:r w:rsidR="0078018B" w:rsidRPr="000B0107">
        <w:t>po</w:t>
      </w:r>
      <w:r w:rsidR="0078018B">
        <w:t xml:space="preserve"> </w:t>
      </w:r>
      <w:r w:rsidR="0078018B" w:rsidRPr="000B0107">
        <w:t>uplynutí</w:t>
      </w:r>
      <w:r w:rsidR="0078018B">
        <w:t xml:space="preserve"> </w:t>
      </w:r>
      <w:r w:rsidR="0078018B" w:rsidRPr="000B0107">
        <w:t>podpůrčí</w:t>
      </w:r>
      <w:r w:rsidR="0078018B">
        <w:t xml:space="preserve"> </w:t>
      </w:r>
      <w:r w:rsidR="0078018B" w:rsidRPr="000B0107">
        <w:t>doby,</w:t>
      </w:r>
    </w:p>
    <w:p w14:paraId="3ECD9230" w14:textId="529F8CFB" w:rsidR="0078018B" w:rsidRPr="000B0107" w:rsidRDefault="00CC79D1" w:rsidP="00EC0934">
      <w:pPr>
        <w:pStyle w:val="Textparagrafu"/>
        <w:tabs>
          <w:tab w:val="left" w:pos="392"/>
          <w:tab w:val="left" w:pos="840"/>
        </w:tabs>
        <w:spacing w:before="0"/>
        <w:ind w:left="426" w:hanging="426"/>
      </w:pPr>
      <w:r>
        <w:tab/>
      </w:r>
      <w:r w:rsidR="0078018B" w:rsidRPr="000B0107">
        <w:t>5.</w:t>
      </w:r>
      <w:r>
        <w:tab/>
      </w:r>
      <w:r w:rsidR="0078018B" w:rsidRPr="000B0107">
        <w:t>o</w:t>
      </w:r>
      <w:r w:rsidR="0078018B">
        <w:t xml:space="preserve"> </w:t>
      </w:r>
      <w:r w:rsidR="0078018B" w:rsidRPr="000B0107">
        <w:t>regresních</w:t>
      </w:r>
      <w:r w:rsidR="0078018B">
        <w:t xml:space="preserve"> </w:t>
      </w:r>
      <w:r w:rsidR="0078018B" w:rsidRPr="000B0107">
        <w:t>náhradách,</w:t>
      </w:r>
    </w:p>
    <w:p w14:paraId="6F6E181F" w14:textId="4DF05F16" w:rsidR="0078018B" w:rsidRPr="000B0107" w:rsidRDefault="00CC79D1" w:rsidP="00EC0934">
      <w:pPr>
        <w:pStyle w:val="Textparagrafu"/>
        <w:tabs>
          <w:tab w:val="left" w:pos="392"/>
          <w:tab w:val="left" w:pos="840"/>
        </w:tabs>
        <w:spacing w:before="0"/>
        <w:ind w:left="426" w:hanging="426"/>
      </w:pPr>
      <w:r>
        <w:tab/>
      </w:r>
      <w:r w:rsidR="0078018B" w:rsidRPr="000B0107">
        <w:t>6.</w:t>
      </w:r>
      <w:r>
        <w:tab/>
      </w:r>
      <w:r w:rsidR="0078018B" w:rsidRPr="000B0107">
        <w:t>o</w:t>
      </w:r>
      <w:r w:rsidR="0078018B">
        <w:t xml:space="preserve"> </w:t>
      </w:r>
      <w:r w:rsidR="0078018B" w:rsidRPr="000B0107">
        <w:t>přestupcích,</w:t>
      </w:r>
    </w:p>
    <w:p w14:paraId="6DA0518C" w14:textId="197CAA08" w:rsidR="0078018B" w:rsidRDefault="00CC79D1" w:rsidP="00EC0934">
      <w:pPr>
        <w:pStyle w:val="Textparagrafu"/>
        <w:tabs>
          <w:tab w:val="left" w:pos="392"/>
          <w:tab w:val="left" w:pos="840"/>
        </w:tabs>
        <w:spacing w:before="0"/>
        <w:ind w:left="426" w:hanging="426"/>
      </w:pPr>
      <w:r>
        <w:tab/>
      </w:r>
      <w:r w:rsidR="0078018B" w:rsidRPr="000B0107">
        <w:t>7.</w:t>
      </w:r>
      <w:r>
        <w:tab/>
      </w:r>
      <w:r w:rsidR="0078018B" w:rsidRPr="000B0107">
        <w:t>v</w:t>
      </w:r>
      <w:r w:rsidR="0078018B">
        <w:t xml:space="preserve"> </w:t>
      </w:r>
      <w:r w:rsidR="0078018B" w:rsidRPr="000B0107">
        <w:t>dalších</w:t>
      </w:r>
      <w:r w:rsidR="0078018B">
        <w:t xml:space="preserve"> </w:t>
      </w:r>
      <w:r w:rsidR="0078018B" w:rsidRPr="000B0107">
        <w:t>případech</w:t>
      </w:r>
      <w:r w:rsidR="0078018B">
        <w:t xml:space="preserve"> </w:t>
      </w:r>
      <w:r w:rsidR="0078018B" w:rsidRPr="000B0107">
        <w:t>stanovených</w:t>
      </w:r>
      <w:r w:rsidR="0078018B">
        <w:t xml:space="preserve"> </w:t>
      </w:r>
      <w:r w:rsidR="0078018B" w:rsidRPr="000B0107">
        <w:t>tímto</w:t>
      </w:r>
      <w:r w:rsidR="0078018B">
        <w:t xml:space="preserve"> </w:t>
      </w:r>
      <w:r w:rsidR="0078018B" w:rsidRPr="000B0107">
        <w:t>zákonem,</w:t>
      </w:r>
    </w:p>
    <w:p w14:paraId="3A656477" w14:textId="65ABFB5C" w:rsidR="0078018B" w:rsidRDefault="0078018B" w:rsidP="00EC0934">
      <w:pPr>
        <w:pStyle w:val="Textparagrafu"/>
        <w:numPr>
          <w:ilvl w:val="0"/>
          <w:numId w:val="27"/>
        </w:numPr>
        <w:tabs>
          <w:tab w:val="left" w:pos="392"/>
          <w:tab w:val="left" w:pos="840"/>
        </w:tabs>
        <w:spacing w:before="0"/>
        <w:ind w:left="426" w:hanging="426"/>
      </w:pPr>
      <w:r w:rsidRPr="000B0107">
        <w:t>b)</w:t>
      </w:r>
      <w:r w:rsidR="00CC79D1">
        <w:tab/>
      </w:r>
      <w:r w:rsidRPr="000B0107">
        <w:t>vyplácejí</w:t>
      </w:r>
      <w:r>
        <w:t xml:space="preserve"> </w:t>
      </w:r>
      <w:r w:rsidRPr="000B0107">
        <w:t>dávky</w:t>
      </w:r>
      <w:r>
        <w:t xml:space="preserve"> </w:t>
      </w:r>
      <w:r w:rsidRPr="000B0107">
        <w:t>ve</w:t>
      </w:r>
      <w:r>
        <w:t xml:space="preserve"> </w:t>
      </w:r>
      <w:r w:rsidRPr="000B0107">
        <w:t>stanovených</w:t>
      </w:r>
      <w:r>
        <w:t xml:space="preserve"> </w:t>
      </w:r>
      <w:r w:rsidRPr="000B0107">
        <w:t>termínech,</w:t>
      </w:r>
    </w:p>
    <w:p w14:paraId="5ECC05C4" w14:textId="7E354D7E" w:rsidR="0078018B" w:rsidRDefault="0078018B" w:rsidP="00EC0934">
      <w:pPr>
        <w:pStyle w:val="Textparagrafu"/>
        <w:numPr>
          <w:ilvl w:val="0"/>
          <w:numId w:val="27"/>
        </w:numPr>
        <w:tabs>
          <w:tab w:val="left" w:pos="392"/>
          <w:tab w:val="left" w:pos="840"/>
        </w:tabs>
        <w:spacing w:before="0"/>
        <w:ind w:left="426" w:hanging="426"/>
      </w:pPr>
      <w:r w:rsidRPr="000B0107">
        <w:t>c)</w:t>
      </w:r>
      <w:r w:rsidR="00CC79D1">
        <w:tab/>
      </w:r>
      <w:r w:rsidRPr="000B0107">
        <w:t>vydávají</w:t>
      </w:r>
      <w:r>
        <w:t xml:space="preserve"> </w:t>
      </w:r>
      <w:r w:rsidRPr="000B0107">
        <w:t>pojištěncům</w:t>
      </w:r>
      <w:r>
        <w:t xml:space="preserve"> </w:t>
      </w:r>
      <w:r w:rsidRPr="000B0107">
        <w:t>písemné</w:t>
      </w:r>
      <w:r>
        <w:t xml:space="preserve"> </w:t>
      </w:r>
      <w:r w:rsidRPr="000B0107">
        <w:t>oznámení</w:t>
      </w:r>
      <w:r>
        <w:t xml:space="preserve"> </w:t>
      </w:r>
      <w:r w:rsidRPr="000B0107">
        <w:t>o</w:t>
      </w:r>
      <w:r>
        <w:t xml:space="preserve"> </w:t>
      </w:r>
      <w:r w:rsidRPr="000B0107">
        <w:t>druhu</w:t>
      </w:r>
      <w:r>
        <w:t xml:space="preserve"> </w:t>
      </w:r>
      <w:r w:rsidRPr="000B0107">
        <w:t>jimi</w:t>
      </w:r>
      <w:r>
        <w:t xml:space="preserve"> </w:t>
      </w:r>
      <w:r w:rsidRPr="000B0107">
        <w:t>vyplácené</w:t>
      </w:r>
      <w:r>
        <w:t xml:space="preserve"> </w:t>
      </w:r>
      <w:r w:rsidRPr="000B0107">
        <w:t>dávky,</w:t>
      </w:r>
      <w:r>
        <w:t xml:space="preserve"> </w:t>
      </w:r>
      <w:r w:rsidRPr="000B0107">
        <w:t>denní</w:t>
      </w:r>
      <w:r>
        <w:t xml:space="preserve"> </w:t>
      </w:r>
      <w:r w:rsidRPr="000B0107">
        <w:t>výši</w:t>
      </w:r>
      <w:r>
        <w:t xml:space="preserve"> </w:t>
      </w:r>
      <w:r w:rsidRPr="000B0107">
        <w:t>dávky,</w:t>
      </w:r>
      <w:r>
        <w:t xml:space="preserve"> </w:t>
      </w:r>
      <w:r w:rsidRPr="000B0107">
        <w:t>výši</w:t>
      </w:r>
      <w:r>
        <w:t xml:space="preserve"> </w:t>
      </w:r>
      <w:r w:rsidRPr="000B0107">
        <w:t>denního</w:t>
      </w:r>
      <w:r>
        <w:t xml:space="preserve"> </w:t>
      </w:r>
      <w:r w:rsidRPr="000B0107">
        <w:t>vyměřovacího</w:t>
      </w:r>
      <w:r>
        <w:t xml:space="preserve"> </w:t>
      </w:r>
      <w:r w:rsidRPr="000B0107">
        <w:t>základu</w:t>
      </w:r>
      <w:r>
        <w:t xml:space="preserve"> </w:t>
      </w:r>
      <w:r w:rsidRPr="000B0107">
        <w:t>a</w:t>
      </w:r>
      <w:r>
        <w:t xml:space="preserve"> </w:t>
      </w:r>
      <w:r w:rsidRPr="000B0107">
        <w:t>době,</w:t>
      </w:r>
      <w:r>
        <w:t xml:space="preserve"> </w:t>
      </w:r>
      <w:r w:rsidRPr="000B0107">
        <w:t>za</w:t>
      </w:r>
      <w:r>
        <w:t xml:space="preserve"> </w:t>
      </w:r>
      <w:r w:rsidRPr="000B0107">
        <w:t>kterou</w:t>
      </w:r>
      <w:r>
        <w:t xml:space="preserve"> </w:t>
      </w:r>
      <w:r w:rsidRPr="000B0107">
        <w:t>byla</w:t>
      </w:r>
      <w:r>
        <w:t xml:space="preserve"> </w:t>
      </w:r>
      <w:r w:rsidRPr="000B0107">
        <w:t>dávka</w:t>
      </w:r>
      <w:r>
        <w:t xml:space="preserve"> </w:t>
      </w:r>
      <w:r w:rsidRPr="000B0107">
        <w:t>vyplacena,</w:t>
      </w:r>
      <w:r>
        <w:t xml:space="preserve"> </w:t>
      </w:r>
      <w:r w:rsidRPr="000B0107">
        <w:t>a</w:t>
      </w:r>
      <w:r>
        <w:t xml:space="preserve"> </w:t>
      </w:r>
      <w:r w:rsidRPr="000B0107">
        <w:t>písemné</w:t>
      </w:r>
      <w:r>
        <w:t xml:space="preserve"> </w:t>
      </w:r>
      <w:r w:rsidRPr="000B0107">
        <w:t>oznámení</w:t>
      </w:r>
      <w:r>
        <w:t xml:space="preserve"> </w:t>
      </w:r>
      <w:r w:rsidRPr="000B0107">
        <w:t>o</w:t>
      </w:r>
      <w:r>
        <w:t xml:space="preserve"> </w:t>
      </w:r>
      <w:r w:rsidRPr="000B0107">
        <w:t>výši</w:t>
      </w:r>
      <w:r>
        <w:t xml:space="preserve"> </w:t>
      </w:r>
      <w:r w:rsidRPr="000B0107">
        <w:t>přeplatku</w:t>
      </w:r>
      <w:r>
        <w:t xml:space="preserve"> </w:t>
      </w:r>
      <w:r w:rsidRPr="000B0107">
        <w:t>na</w:t>
      </w:r>
      <w:r>
        <w:t xml:space="preserve"> </w:t>
      </w:r>
      <w:r w:rsidRPr="000B0107">
        <w:t>nemocenském,</w:t>
      </w:r>
      <w:r>
        <w:t xml:space="preserve"> </w:t>
      </w:r>
      <w:r w:rsidRPr="000B0107">
        <w:t>který</w:t>
      </w:r>
      <w:r>
        <w:t xml:space="preserve"> </w:t>
      </w:r>
      <w:r w:rsidRPr="000B0107">
        <w:t>je</w:t>
      </w:r>
      <w:r>
        <w:t xml:space="preserve"> </w:t>
      </w:r>
      <w:r w:rsidRPr="000B0107">
        <w:t>pojištěnec</w:t>
      </w:r>
      <w:r>
        <w:t xml:space="preserve"> </w:t>
      </w:r>
      <w:r w:rsidRPr="000B0107">
        <w:t>povinen</w:t>
      </w:r>
      <w:r>
        <w:t xml:space="preserve"> </w:t>
      </w:r>
      <w:r w:rsidRPr="000B0107">
        <w:t>uhradit</w:t>
      </w:r>
      <w:r>
        <w:t xml:space="preserve"> </w:t>
      </w:r>
      <w:r w:rsidRPr="000B0107">
        <w:t>z</w:t>
      </w:r>
      <w:r>
        <w:t xml:space="preserve"> </w:t>
      </w:r>
      <w:r w:rsidRPr="000B0107">
        <w:t>důvodu</w:t>
      </w:r>
      <w:r>
        <w:t xml:space="preserve"> </w:t>
      </w:r>
      <w:r w:rsidRPr="000B0107">
        <w:t>zpětného</w:t>
      </w:r>
      <w:r>
        <w:t xml:space="preserve"> </w:t>
      </w:r>
      <w:r w:rsidRPr="000B0107">
        <w:t>přiznání</w:t>
      </w:r>
      <w:r>
        <w:t xml:space="preserve"> </w:t>
      </w:r>
      <w:r w:rsidRPr="000B0107">
        <w:t>starobního</w:t>
      </w:r>
      <w:r>
        <w:t xml:space="preserve"> </w:t>
      </w:r>
      <w:r w:rsidRPr="000B0107">
        <w:t>důchodu</w:t>
      </w:r>
      <w:r>
        <w:t xml:space="preserve"> </w:t>
      </w:r>
      <w:r w:rsidRPr="000B0107">
        <w:t>nebo</w:t>
      </w:r>
      <w:r>
        <w:t xml:space="preserve"> </w:t>
      </w:r>
      <w:r w:rsidRPr="000B0107">
        <w:t>invalidního</w:t>
      </w:r>
      <w:r>
        <w:t xml:space="preserve"> </w:t>
      </w:r>
      <w:r w:rsidRPr="000B0107">
        <w:t>důchodu</w:t>
      </w:r>
      <w:r>
        <w:t xml:space="preserve"> </w:t>
      </w:r>
      <w:r w:rsidRPr="000B0107">
        <w:t>pro</w:t>
      </w:r>
      <w:r>
        <w:t xml:space="preserve"> </w:t>
      </w:r>
      <w:r w:rsidRPr="000B0107">
        <w:t>invaliditu</w:t>
      </w:r>
      <w:r>
        <w:t xml:space="preserve"> </w:t>
      </w:r>
      <w:r w:rsidRPr="000B0107">
        <w:t>třetího</w:t>
      </w:r>
      <w:r>
        <w:t xml:space="preserve"> </w:t>
      </w:r>
      <w:r w:rsidRPr="000B0107">
        <w:t>stupně</w:t>
      </w:r>
      <w:r>
        <w:t xml:space="preserve"> </w:t>
      </w:r>
      <w:r w:rsidRPr="000B0107">
        <w:t>anebo</w:t>
      </w:r>
      <w:r>
        <w:t xml:space="preserve"> </w:t>
      </w:r>
      <w:r w:rsidRPr="000B0107">
        <w:t>v</w:t>
      </w:r>
      <w:r>
        <w:t xml:space="preserve"> </w:t>
      </w:r>
      <w:r w:rsidRPr="000B0107">
        <w:t>důsledku</w:t>
      </w:r>
      <w:r>
        <w:t xml:space="preserve"> </w:t>
      </w:r>
      <w:r w:rsidRPr="000B0107">
        <w:t>zpětného</w:t>
      </w:r>
      <w:r>
        <w:t xml:space="preserve"> </w:t>
      </w:r>
      <w:r w:rsidRPr="000B0107">
        <w:t>zvýšení</w:t>
      </w:r>
      <w:r>
        <w:t xml:space="preserve"> </w:t>
      </w:r>
      <w:r w:rsidRPr="000B0107">
        <w:t>invalidního</w:t>
      </w:r>
      <w:r>
        <w:t xml:space="preserve"> </w:t>
      </w:r>
      <w:r w:rsidRPr="000B0107">
        <w:t>důchodu</w:t>
      </w:r>
      <w:r>
        <w:t xml:space="preserve"> </w:t>
      </w:r>
      <w:r w:rsidRPr="000B0107">
        <w:t>z</w:t>
      </w:r>
      <w:r>
        <w:t xml:space="preserve"> </w:t>
      </w:r>
      <w:r w:rsidRPr="000B0107">
        <w:t>důvodu</w:t>
      </w:r>
      <w:r>
        <w:t xml:space="preserve"> </w:t>
      </w:r>
      <w:r w:rsidRPr="000B0107">
        <w:t>zvýšení</w:t>
      </w:r>
      <w:r>
        <w:t xml:space="preserve"> </w:t>
      </w:r>
      <w:r w:rsidRPr="000B0107">
        <w:t>stupně</w:t>
      </w:r>
      <w:r>
        <w:t xml:space="preserve"> </w:t>
      </w:r>
      <w:r w:rsidRPr="000B0107">
        <w:t>invalidity,</w:t>
      </w:r>
      <w:r>
        <w:t xml:space="preserve"> </w:t>
      </w:r>
      <w:r w:rsidRPr="000B0107">
        <w:t>a</w:t>
      </w:r>
      <w:r>
        <w:t xml:space="preserve"> </w:t>
      </w:r>
      <w:r w:rsidRPr="000B0107">
        <w:t>období,</w:t>
      </w:r>
      <w:r>
        <w:t xml:space="preserve"> </w:t>
      </w:r>
      <w:r w:rsidRPr="000B0107">
        <w:t>za</w:t>
      </w:r>
      <w:r>
        <w:t xml:space="preserve"> </w:t>
      </w:r>
      <w:r w:rsidRPr="000B0107">
        <w:t>které</w:t>
      </w:r>
      <w:r>
        <w:t xml:space="preserve"> </w:t>
      </w:r>
      <w:r w:rsidRPr="000B0107">
        <w:t>byl</w:t>
      </w:r>
      <w:r>
        <w:t xml:space="preserve"> </w:t>
      </w:r>
      <w:r w:rsidRPr="000B0107">
        <w:t>tento</w:t>
      </w:r>
      <w:r>
        <w:t xml:space="preserve"> </w:t>
      </w:r>
      <w:r w:rsidRPr="000B0107">
        <w:t>přeplatek</w:t>
      </w:r>
      <w:r>
        <w:t xml:space="preserve"> </w:t>
      </w:r>
      <w:r w:rsidRPr="000B0107">
        <w:t>vyčíslen,</w:t>
      </w:r>
    </w:p>
    <w:p w14:paraId="5406168E" w14:textId="162197AC" w:rsidR="0078018B" w:rsidRDefault="0078018B" w:rsidP="00EC0934">
      <w:pPr>
        <w:pStyle w:val="Textparagrafu"/>
        <w:numPr>
          <w:ilvl w:val="0"/>
          <w:numId w:val="27"/>
        </w:numPr>
        <w:tabs>
          <w:tab w:val="left" w:pos="392"/>
          <w:tab w:val="left" w:pos="840"/>
        </w:tabs>
        <w:spacing w:before="0"/>
        <w:ind w:left="426" w:hanging="426"/>
      </w:pPr>
      <w:r w:rsidRPr="000B0107">
        <w:t>d)</w:t>
      </w:r>
      <w:r w:rsidR="00CC79D1">
        <w:tab/>
      </w:r>
      <w:r w:rsidRPr="000B0107">
        <w:t>vydávají</w:t>
      </w:r>
      <w:r>
        <w:t xml:space="preserve"> </w:t>
      </w:r>
      <w:r w:rsidRPr="000B0107">
        <w:t>pojištěncům</w:t>
      </w:r>
      <w:r>
        <w:t xml:space="preserve"> </w:t>
      </w:r>
      <w:r w:rsidRPr="000B0107">
        <w:t>písemná</w:t>
      </w:r>
      <w:r>
        <w:t xml:space="preserve"> </w:t>
      </w:r>
      <w:r w:rsidRPr="000B0107">
        <w:t>oznámení</w:t>
      </w:r>
      <w:r>
        <w:t xml:space="preserve"> </w:t>
      </w:r>
      <w:r w:rsidRPr="000B0107">
        <w:t>o</w:t>
      </w:r>
      <w:r>
        <w:t xml:space="preserve"> </w:t>
      </w:r>
      <w:r w:rsidRPr="000B0107">
        <w:t>zúčtování</w:t>
      </w:r>
      <w:r>
        <w:t xml:space="preserve"> </w:t>
      </w:r>
      <w:r w:rsidRPr="000B0107">
        <w:t>dávek</w:t>
      </w:r>
      <w:r>
        <w:t xml:space="preserve"> </w:t>
      </w:r>
      <w:r w:rsidRPr="000B0107">
        <w:t>podle</w:t>
      </w:r>
      <w:r>
        <w:t xml:space="preserve"> </w:t>
      </w:r>
      <w:r w:rsidRPr="000B0107">
        <w:t>§</w:t>
      </w:r>
      <w:r>
        <w:t xml:space="preserve"> </w:t>
      </w:r>
      <w:r w:rsidRPr="000B0107">
        <w:t>124</w:t>
      </w:r>
      <w:r>
        <w:t xml:space="preserve"> </w:t>
      </w:r>
      <w:r w:rsidRPr="000B0107">
        <w:t>odst.</w:t>
      </w:r>
      <w:r>
        <w:t xml:space="preserve"> </w:t>
      </w:r>
      <w:r w:rsidRPr="000B0107">
        <w:t>8,</w:t>
      </w:r>
    </w:p>
    <w:p w14:paraId="089C2413" w14:textId="26F5F80A" w:rsidR="0078018B" w:rsidRDefault="0078018B" w:rsidP="00EC0934">
      <w:pPr>
        <w:pStyle w:val="Textparagrafu"/>
        <w:numPr>
          <w:ilvl w:val="0"/>
          <w:numId w:val="27"/>
        </w:numPr>
        <w:tabs>
          <w:tab w:val="left" w:pos="392"/>
          <w:tab w:val="left" w:pos="840"/>
        </w:tabs>
        <w:spacing w:before="0"/>
        <w:ind w:left="426" w:hanging="426"/>
      </w:pPr>
      <w:r w:rsidRPr="000B0107">
        <w:t>e)</w:t>
      </w:r>
      <w:r w:rsidR="00CC79D1">
        <w:tab/>
      </w:r>
      <w:r w:rsidRPr="000B0107">
        <w:t>vedou</w:t>
      </w:r>
      <w:r>
        <w:t xml:space="preserve"> </w:t>
      </w:r>
      <w:r w:rsidRPr="000B0107">
        <w:t>evidenci</w:t>
      </w:r>
      <w:r>
        <w:t xml:space="preserve"> </w:t>
      </w:r>
      <w:r w:rsidRPr="000B0107">
        <w:t>spojenou</w:t>
      </w:r>
      <w:r>
        <w:t xml:space="preserve"> </w:t>
      </w:r>
      <w:r w:rsidRPr="000B0107">
        <w:t>s</w:t>
      </w:r>
      <w:r>
        <w:t xml:space="preserve"> </w:t>
      </w:r>
      <w:r w:rsidRPr="000B0107">
        <w:t>výplatou</w:t>
      </w:r>
      <w:r>
        <w:t xml:space="preserve"> </w:t>
      </w:r>
      <w:r w:rsidRPr="000B0107">
        <w:t>dávek,</w:t>
      </w:r>
    </w:p>
    <w:p w14:paraId="6920A240" w14:textId="034CDAEF" w:rsidR="0078018B" w:rsidRDefault="0078018B" w:rsidP="00EC0934">
      <w:pPr>
        <w:pStyle w:val="Textparagrafu"/>
        <w:numPr>
          <w:ilvl w:val="0"/>
          <w:numId w:val="27"/>
        </w:numPr>
        <w:tabs>
          <w:tab w:val="left" w:pos="392"/>
          <w:tab w:val="left" w:pos="840"/>
        </w:tabs>
        <w:spacing w:before="0"/>
        <w:ind w:left="426" w:hanging="426"/>
      </w:pPr>
      <w:r w:rsidRPr="000B0107">
        <w:t>f)</w:t>
      </w:r>
      <w:r w:rsidR="00CC79D1">
        <w:tab/>
      </w:r>
      <w:r w:rsidRPr="000B0107">
        <w:t>vedou</w:t>
      </w:r>
      <w:r>
        <w:t xml:space="preserve"> </w:t>
      </w:r>
      <w:r w:rsidRPr="000B0107">
        <w:t>evidenci</w:t>
      </w:r>
      <w:r>
        <w:t xml:space="preserve"> </w:t>
      </w:r>
      <w:r w:rsidRPr="000B0107">
        <w:t>zaměstnanců</w:t>
      </w:r>
      <w:r>
        <w:t xml:space="preserve"> </w:t>
      </w:r>
      <w:r w:rsidRPr="000B0107">
        <w:t>a</w:t>
      </w:r>
      <w:r>
        <w:t xml:space="preserve"> </w:t>
      </w:r>
      <w:r w:rsidRPr="000B0107">
        <w:t>osob</w:t>
      </w:r>
      <w:r>
        <w:t xml:space="preserve"> </w:t>
      </w:r>
      <w:r w:rsidRPr="000B0107">
        <w:t>samostatně</w:t>
      </w:r>
      <w:r>
        <w:t xml:space="preserve"> </w:t>
      </w:r>
      <w:r w:rsidRPr="000B0107">
        <w:t>výdělečně</w:t>
      </w:r>
      <w:r>
        <w:t xml:space="preserve"> </w:t>
      </w:r>
      <w:r w:rsidRPr="000B0107">
        <w:t>činných,</w:t>
      </w:r>
      <w:r>
        <w:t xml:space="preserve"> </w:t>
      </w:r>
      <w:r w:rsidRPr="000B0107">
        <w:t>jejichž</w:t>
      </w:r>
      <w:r>
        <w:t xml:space="preserve"> </w:t>
      </w:r>
      <w:r w:rsidRPr="000B0107">
        <w:t>pojištění</w:t>
      </w:r>
      <w:r>
        <w:t xml:space="preserve"> </w:t>
      </w:r>
      <w:r w:rsidRPr="000B0107">
        <w:t>provádějí,</w:t>
      </w:r>
      <w:r>
        <w:t xml:space="preserve"> </w:t>
      </w:r>
      <w:r w:rsidRPr="000B0107">
        <w:t>včetně</w:t>
      </w:r>
      <w:r>
        <w:t xml:space="preserve"> </w:t>
      </w:r>
      <w:r w:rsidRPr="000B0107">
        <w:t>evidence</w:t>
      </w:r>
      <w:r>
        <w:t xml:space="preserve"> </w:t>
      </w:r>
      <w:r w:rsidRPr="000B0107">
        <w:t>doby</w:t>
      </w:r>
      <w:r>
        <w:t xml:space="preserve"> </w:t>
      </w:r>
      <w:r w:rsidRPr="000B0107">
        <w:t>pojištění</w:t>
      </w:r>
      <w:r>
        <w:t xml:space="preserve"> </w:t>
      </w:r>
      <w:r w:rsidRPr="000B0107">
        <w:t>a</w:t>
      </w:r>
      <w:r>
        <w:t xml:space="preserve"> </w:t>
      </w:r>
      <w:r w:rsidRPr="000B0107">
        <w:t>evidence</w:t>
      </w:r>
      <w:r>
        <w:t xml:space="preserve"> </w:t>
      </w:r>
      <w:r w:rsidRPr="000B0107">
        <w:t>lhůt</w:t>
      </w:r>
      <w:r>
        <w:t xml:space="preserve"> </w:t>
      </w:r>
      <w:r w:rsidRPr="000B0107">
        <w:t>a</w:t>
      </w:r>
      <w:r>
        <w:t xml:space="preserve"> </w:t>
      </w:r>
      <w:r w:rsidRPr="000B0107">
        <w:t>podpůrčích</w:t>
      </w:r>
      <w:r>
        <w:t xml:space="preserve"> </w:t>
      </w:r>
      <w:r w:rsidRPr="000B0107">
        <w:t>dob</w:t>
      </w:r>
      <w:r>
        <w:t xml:space="preserve"> </w:t>
      </w:r>
      <w:r w:rsidRPr="000B0107">
        <w:t>a</w:t>
      </w:r>
      <w:r>
        <w:t xml:space="preserve"> </w:t>
      </w:r>
      <w:r w:rsidRPr="000B0107">
        <w:t>dalších</w:t>
      </w:r>
      <w:r>
        <w:t xml:space="preserve"> </w:t>
      </w:r>
      <w:r w:rsidRPr="000B0107">
        <w:t>podkladů</w:t>
      </w:r>
      <w:r>
        <w:t xml:space="preserve"> </w:t>
      </w:r>
      <w:r w:rsidRPr="000B0107">
        <w:t>pro</w:t>
      </w:r>
      <w:r>
        <w:t xml:space="preserve"> </w:t>
      </w:r>
      <w:r w:rsidRPr="000B0107">
        <w:t>výplatu</w:t>
      </w:r>
      <w:r>
        <w:t xml:space="preserve"> </w:t>
      </w:r>
      <w:r w:rsidRPr="000B0107">
        <w:t>dávek,</w:t>
      </w:r>
      <w:r>
        <w:t xml:space="preserve"> </w:t>
      </w:r>
      <w:r w:rsidRPr="000B0107">
        <w:t>evidenci</w:t>
      </w:r>
      <w:r>
        <w:t xml:space="preserve"> </w:t>
      </w:r>
      <w:r w:rsidRPr="000B0107">
        <w:t>zaměstnanců</w:t>
      </w:r>
      <w:r>
        <w:t xml:space="preserve"> </w:t>
      </w:r>
      <w:r w:rsidRPr="000B0107">
        <w:t>a</w:t>
      </w:r>
      <w:r>
        <w:t xml:space="preserve"> </w:t>
      </w:r>
      <w:r w:rsidRPr="000B0107">
        <w:t>osob</w:t>
      </w:r>
      <w:r>
        <w:t xml:space="preserve"> </w:t>
      </w:r>
      <w:r w:rsidRPr="000B0107">
        <w:t>samostatně</w:t>
      </w:r>
      <w:r>
        <w:t xml:space="preserve"> </w:t>
      </w:r>
      <w:r w:rsidRPr="000B0107">
        <w:t>výdělečně</w:t>
      </w:r>
      <w:r>
        <w:t xml:space="preserve"> </w:t>
      </w:r>
      <w:r w:rsidRPr="000B0107">
        <w:t>činných</w:t>
      </w:r>
      <w:r>
        <w:t xml:space="preserve"> </w:t>
      </w:r>
      <w:r w:rsidRPr="000B0107">
        <w:t>dočasně</w:t>
      </w:r>
      <w:r>
        <w:t xml:space="preserve"> </w:t>
      </w:r>
      <w:r w:rsidRPr="000B0107">
        <w:t>práce</w:t>
      </w:r>
      <w:r>
        <w:t xml:space="preserve"> </w:t>
      </w:r>
      <w:r w:rsidRPr="000B0107">
        <w:t>neschopných</w:t>
      </w:r>
      <w:r>
        <w:t xml:space="preserve"> </w:t>
      </w:r>
      <w:r w:rsidRPr="000B0107">
        <w:t>a</w:t>
      </w:r>
      <w:r>
        <w:t xml:space="preserve"> </w:t>
      </w:r>
      <w:r w:rsidRPr="000B0107">
        <w:t>s</w:t>
      </w:r>
      <w:r>
        <w:t xml:space="preserve"> </w:t>
      </w:r>
      <w:r w:rsidRPr="000B0107">
        <w:t>nařízenou</w:t>
      </w:r>
      <w:r>
        <w:t xml:space="preserve"> </w:t>
      </w:r>
      <w:r w:rsidRPr="000B0107">
        <w:t>karanténou,</w:t>
      </w:r>
      <w:r>
        <w:t xml:space="preserve"> </w:t>
      </w:r>
      <w:r w:rsidRPr="000B0107">
        <w:t>a</w:t>
      </w:r>
      <w:r>
        <w:t xml:space="preserve"> </w:t>
      </w:r>
      <w:r w:rsidRPr="000B0107">
        <w:t>evidenci</w:t>
      </w:r>
      <w:r>
        <w:t xml:space="preserve"> </w:t>
      </w:r>
      <w:r w:rsidRPr="000B0107">
        <w:t>pojištěnců</w:t>
      </w:r>
      <w:r>
        <w:t xml:space="preserve"> </w:t>
      </w:r>
      <w:r w:rsidRPr="000B0107">
        <w:t>s</w:t>
      </w:r>
      <w:r>
        <w:t xml:space="preserve"> </w:t>
      </w:r>
      <w:r w:rsidRPr="000B0107">
        <w:t>nárokem</w:t>
      </w:r>
      <w:r>
        <w:t xml:space="preserve"> </w:t>
      </w:r>
      <w:r w:rsidRPr="000B0107">
        <w:t>na</w:t>
      </w:r>
      <w:r>
        <w:t xml:space="preserve"> </w:t>
      </w:r>
      <w:r w:rsidRPr="000B0107">
        <w:t>výplatu</w:t>
      </w:r>
      <w:r>
        <w:t xml:space="preserve"> </w:t>
      </w:r>
      <w:r w:rsidRPr="000B0107">
        <w:t>dávek</w:t>
      </w:r>
      <w:r>
        <w:t xml:space="preserve"> </w:t>
      </w:r>
      <w:r w:rsidRPr="000B0107">
        <w:t>podle</w:t>
      </w:r>
      <w:r>
        <w:t xml:space="preserve"> </w:t>
      </w:r>
      <w:r w:rsidRPr="000B0107">
        <w:t>druhu</w:t>
      </w:r>
      <w:r>
        <w:t xml:space="preserve"> </w:t>
      </w:r>
      <w:r w:rsidRPr="000B0107">
        <w:t>dávek,</w:t>
      </w:r>
    </w:p>
    <w:p w14:paraId="23FD57AE" w14:textId="46CBCBC0" w:rsidR="0078018B" w:rsidRDefault="0078018B" w:rsidP="00EC0934">
      <w:pPr>
        <w:pStyle w:val="Textparagrafu"/>
        <w:numPr>
          <w:ilvl w:val="0"/>
          <w:numId w:val="27"/>
        </w:numPr>
        <w:tabs>
          <w:tab w:val="left" w:pos="392"/>
          <w:tab w:val="left" w:pos="840"/>
        </w:tabs>
        <w:spacing w:before="0"/>
        <w:ind w:left="426" w:hanging="426"/>
      </w:pPr>
      <w:r w:rsidRPr="000B0107">
        <w:t>g)</w:t>
      </w:r>
      <w:r w:rsidR="00CC79D1">
        <w:tab/>
      </w:r>
      <w:r w:rsidRPr="000B0107">
        <w:t>vedou</w:t>
      </w:r>
      <w:r>
        <w:t xml:space="preserve"> </w:t>
      </w:r>
      <w:r w:rsidRPr="000B0107">
        <w:t>evidenci</w:t>
      </w:r>
      <w:r>
        <w:t xml:space="preserve"> </w:t>
      </w:r>
      <w:r w:rsidRPr="000B0107">
        <w:t>rozhodnutí</w:t>
      </w:r>
      <w:r>
        <w:t xml:space="preserve"> </w:t>
      </w:r>
      <w:r w:rsidRPr="000B0107">
        <w:t>o</w:t>
      </w:r>
      <w:r>
        <w:t xml:space="preserve"> </w:t>
      </w:r>
      <w:r w:rsidRPr="000B0107">
        <w:t>porušení</w:t>
      </w:r>
      <w:r>
        <w:t xml:space="preserve"> </w:t>
      </w:r>
      <w:r w:rsidRPr="000B0107">
        <w:t>povinností</w:t>
      </w:r>
      <w:r>
        <w:t xml:space="preserve"> </w:t>
      </w:r>
      <w:r w:rsidRPr="000B0107">
        <w:t>ošetřujících</w:t>
      </w:r>
      <w:r>
        <w:t xml:space="preserve"> </w:t>
      </w:r>
      <w:r w:rsidRPr="000B0107">
        <w:t>lékařů</w:t>
      </w:r>
      <w:r>
        <w:t xml:space="preserve"> </w:t>
      </w:r>
      <w:r w:rsidRPr="000B0107">
        <w:t>spojených</w:t>
      </w:r>
      <w:r>
        <w:t xml:space="preserve"> </w:t>
      </w:r>
      <w:r w:rsidRPr="000B0107">
        <w:t>s</w:t>
      </w:r>
      <w:r>
        <w:t xml:space="preserve"> </w:t>
      </w:r>
      <w:r w:rsidRPr="000B0107">
        <w:t>posuzováním</w:t>
      </w:r>
      <w:r>
        <w:t xml:space="preserve"> </w:t>
      </w:r>
      <w:r w:rsidRPr="000B0107">
        <w:t>a</w:t>
      </w:r>
      <w:r>
        <w:t xml:space="preserve"> </w:t>
      </w:r>
      <w:r w:rsidRPr="000B0107">
        <w:t>potvrzováním</w:t>
      </w:r>
      <w:r>
        <w:t xml:space="preserve"> </w:t>
      </w:r>
      <w:r w:rsidRPr="000B0107">
        <w:t>zdravotního</w:t>
      </w:r>
      <w:r>
        <w:t xml:space="preserve"> </w:t>
      </w:r>
      <w:r w:rsidRPr="000B0107">
        <w:t>stavu</w:t>
      </w:r>
      <w:r>
        <w:t xml:space="preserve"> </w:t>
      </w:r>
      <w:r w:rsidRPr="000B0107">
        <w:t>a</w:t>
      </w:r>
      <w:r>
        <w:t xml:space="preserve"> </w:t>
      </w:r>
      <w:r w:rsidRPr="000B0107">
        <w:t>dočasné</w:t>
      </w:r>
      <w:r>
        <w:t xml:space="preserve"> </w:t>
      </w:r>
      <w:r w:rsidRPr="000B0107">
        <w:t>pracovní</w:t>
      </w:r>
      <w:r>
        <w:t xml:space="preserve"> </w:t>
      </w:r>
      <w:r w:rsidRPr="000B0107">
        <w:t>neschopnosti</w:t>
      </w:r>
      <w:r>
        <w:t xml:space="preserve"> </w:t>
      </w:r>
      <w:r w:rsidRPr="000B0107">
        <w:t>pro</w:t>
      </w:r>
      <w:r>
        <w:t xml:space="preserve"> </w:t>
      </w:r>
      <w:r w:rsidRPr="000B0107">
        <w:t>účely</w:t>
      </w:r>
      <w:r>
        <w:t xml:space="preserve"> </w:t>
      </w:r>
      <w:r w:rsidRPr="000B0107">
        <w:t>pojištění</w:t>
      </w:r>
      <w:r>
        <w:t xml:space="preserve"> </w:t>
      </w:r>
      <w:r w:rsidRPr="000B0107">
        <w:t>a</w:t>
      </w:r>
      <w:r>
        <w:t xml:space="preserve"> </w:t>
      </w:r>
      <w:r w:rsidRPr="000B0107">
        <w:t>umožňují</w:t>
      </w:r>
      <w:r>
        <w:t xml:space="preserve"> </w:t>
      </w:r>
      <w:r w:rsidRPr="000B0107">
        <w:t>ošetřujícím</w:t>
      </w:r>
      <w:r>
        <w:t xml:space="preserve"> </w:t>
      </w:r>
      <w:r w:rsidRPr="000B0107">
        <w:t>lékařům</w:t>
      </w:r>
      <w:r>
        <w:t xml:space="preserve"> </w:t>
      </w:r>
      <w:r w:rsidRPr="000B0107">
        <w:t>nahlížet</w:t>
      </w:r>
      <w:r>
        <w:t xml:space="preserve"> </w:t>
      </w:r>
      <w:r w:rsidRPr="000B0107">
        <w:t>do</w:t>
      </w:r>
      <w:r>
        <w:t xml:space="preserve"> </w:t>
      </w:r>
      <w:r w:rsidRPr="000B0107">
        <w:t>této</w:t>
      </w:r>
      <w:r>
        <w:t xml:space="preserve"> </w:t>
      </w:r>
      <w:r w:rsidRPr="000B0107">
        <w:t>evidence,</w:t>
      </w:r>
      <w:r>
        <w:t xml:space="preserve"> </w:t>
      </w:r>
      <w:r w:rsidRPr="000B0107">
        <w:t>jde-li</w:t>
      </w:r>
      <w:r>
        <w:t xml:space="preserve"> </w:t>
      </w:r>
      <w:r w:rsidRPr="000B0107">
        <w:t>o</w:t>
      </w:r>
      <w:r>
        <w:t xml:space="preserve"> </w:t>
      </w:r>
      <w:r w:rsidRPr="000B0107">
        <w:t>rozhodnutí,</w:t>
      </w:r>
      <w:r>
        <w:t xml:space="preserve"> </w:t>
      </w:r>
      <w:r w:rsidRPr="000B0107">
        <w:t>která</w:t>
      </w:r>
      <w:r>
        <w:t xml:space="preserve"> </w:t>
      </w:r>
      <w:r w:rsidRPr="000B0107">
        <w:t>se</w:t>
      </w:r>
      <w:r>
        <w:t xml:space="preserve"> </w:t>
      </w:r>
      <w:r w:rsidRPr="000B0107">
        <w:t>jich</w:t>
      </w:r>
      <w:r>
        <w:t xml:space="preserve"> </w:t>
      </w:r>
      <w:r w:rsidRPr="000B0107">
        <w:t>týkají,</w:t>
      </w:r>
    </w:p>
    <w:p w14:paraId="49196D4D" w14:textId="4A7947C0" w:rsidR="0078018B" w:rsidRDefault="0078018B" w:rsidP="00EC0934">
      <w:pPr>
        <w:pStyle w:val="Textparagrafu"/>
        <w:numPr>
          <w:ilvl w:val="0"/>
          <w:numId w:val="27"/>
        </w:numPr>
        <w:tabs>
          <w:tab w:val="left" w:pos="392"/>
          <w:tab w:val="left" w:pos="840"/>
        </w:tabs>
        <w:spacing w:before="0"/>
        <w:ind w:left="426" w:hanging="426"/>
      </w:pPr>
      <w:r w:rsidRPr="000B0107">
        <w:t>h)</w:t>
      </w:r>
      <w:r w:rsidR="00CC79D1">
        <w:tab/>
      </w:r>
      <w:r w:rsidRPr="000B0107">
        <w:t>vedou</w:t>
      </w:r>
      <w:r>
        <w:t xml:space="preserve"> </w:t>
      </w:r>
      <w:r w:rsidRPr="000B0107">
        <w:t>evidenci</w:t>
      </w:r>
      <w:r>
        <w:t xml:space="preserve"> </w:t>
      </w:r>
      <w:r w:rsidRPr="000B0107">
        <w:t>zaměstnavatelů,</w:t>
      </w:r>
      <w:r>
        <w:t xml:space="preserve"> </w:t>
      </w:r>
      <w:r w:rsidRPr="000B0107">
        <w:t>kteří</w:t>
      </w:r>
      <w:r>
        <w:t xml:space="preserve"> </w:t>
      </w:r>
      <w:r w:rsidRPr="000B0107">
        <w:t>spadají</w:t>
      </w:r>
      <w:r>
        <w:t xml:space="preserve"> </w:t>
      </w:r>
      <w:r w:rsidRPr="000B0107">
        <w:t>do</w:t>
      </w:r>
      <w:r>
        <w:t xml:space="preserve"> </w:t>
      </w:r>
      <w:r w:rsidRPr="000B0107">
        <w:t>jejich</w:t>
      </w:r>
      <w:r>
        <w:t xml:space="preserve"> </w:t>
      </w:r>
      <w:r w:rsidRPr="000B0107">
        <w:t>místní</w:t>
      </w:r>
      <w:r>
        <w:t xml:space="preserve"> </w:t>
      </w:r>
      <w:r w:rsidRPr="000B0107">
        <w:t>příslušnosti,</w:t>
      </w:r>
    </w:p>
    <w:p w14:paraId="6F82FA90" w14:textId="2185DFC8" w:rsidR="0078018B" w:rsidRDefault="0078018B" w:rsidP="00EC0934">
      <w:pPr>
        <w:pStyle w:val="Textparagrafu"/>
        <w:numPr>
          <w:ilvl w:val="0"/>
          <w:numId w:val="27"/>
        </w:numPr>
        <w:tabs>
          <w:tab w:val="left" w:pos="392"/>
          <w:tab w:val="left" w:pos="840"/>
        </w:tabs>
        <w:spacing w:before="0"/>
        <w:ind w:left="426" w:hanging="426"/>
      </w:pPr>
      <w:r w:rsidRPr="000B0107">
        <w:t>i)</w:t>
      </w:r>
      <w:r w:rsidR="00CC79D1">
        <w:tab/>
      </w:r>
      <w:r w:rsidRPr="000B0107">
        <w:t>kontrolují</w:t>
      </w:r>
      <w:r>
        <w:t xml:space="preserve"> </w:t>
      </w:r>
      <w:r w:rsidRPr="000B0107">
        <w:t>plnění</w:t>
      </w:r>
      <w:r>
        <w:t xml:space="preserve"> </w:t>
      </w:r>
      <w:r w:rsidRPr="000B0107">
        <w:t>povinností</w:t>
      </w:r>
      <w:r>
        <w:t xml:space="preserve"> </w:t>
      </w:r>
      <w:r w:rsidRPr="000B0107">
        <w:t>zaměstnavatelů</w:t>
      </w:r>
      <w:r>
        <w:t xml:space="preserve"> </w:t>
      </w:r>
      <w:r w:rsidRPr="000B0107">
        <w:t>a</w:t>
      </w:r>
      <w:r>
        <w:t xml:space="preserve"> </w:t>
      </w:r>
      <w:r w:rsidRPr="000B0107">
        <w:t>osob</w:t>
      </w:r>
      <w:r>
        <w:t xml:space="preserve"> </w:t>
      </w:r>
      <w:r w:rsidRPr="000B0107">
        <w:t>samostatně</w:t>
      </w:r>
      <w:r>
        <w:t xml:space="preserve"> </w:t>
      </w:r>
      <w:r w:rsidRPr="000B0107">
        <w:t>výdělečně</w:t>
      </w:r>
      <w:r>
        <w:t xml:space="preserve"> </w:t>
      </w:r>
      <w:r w:rsidRPr="000B0107">
        <w:t>činných</w:t>
      </w:r>
      <w:r>
        <w:t xml:space="preserve"> </w:t>
      </w:r>
      <w:r w:rsidRPr="000B0107">
        <w:t>v</w:t>
      </w:r>
      <w:r>
        <w:t xml:space="preserve"> </w:t>
      </w:r>
      <w:r w:rsidRPr="000B0107">
        <w:t>pojištění</w:t>
      </w:r>
      <w:r>
        <w:t xml:space="preserve"> </w:t>
      </w:r>
      <w:r w:rsidRPr="000B0107">
        <w:t>a</w:t>
      </w:r>
      <w:r>
        <w:t xml:space="preserve"> </w:t>
      </w:r>
      <w:r w:rsidRPr="000B0107">
        <w:t>plnění</w:t>
      </w:r>
      <w:r>
        <w:t xml:space="preserve"> </w:t>
      </w:r>
      <w:r w:rsidRPr="000B0107">
        <w:t>povinností</w:t>
      </w:r>
      <w:r>
        <w:t xml:space="preserve"> </w:t>
      </w:r>
      <w:r w:rsidRPr="000B0107">
        <w:t>dalších</w:t>
      </w:r>
      <w:r>
        <w:t xml:space="preserve"> </w:t>
      </w:r>
      <w:r w:rsidRPr="000B0107">
        <w:t>právnických</w:t>
      </w:r>
      <w:r>
        <w:t xml:space="preserve"> </w:t>
      </w:r>
      <w:r w:rsidRPr="000B0107">
        <w:t>nebo</w:t>
      </w:r>
      <w:r>
        <w:t xml:space="preserve"> </w:t>
      </w:r>
      <w:r w:rsidRPr="000B0107">
        <w:t>fyzických</w:t>
      </w:r>
      <w:r>
        <w:t xml:space="preserve"> </w:t>
      </w:r>
      <w:r w:rsidRPr="000B0107">
        <w:t>osob</w:t>
      </w:r>
      <w:r>
        <w:t xml:space="preserve"> </w:t>
      </w:r>
      <w:r w:rsidRPr="000B0107">
        <w:t>uložených</w:t>
      </w:r>
      <w:r>
        <w:t xml:space="preserve"> </w:t>
      </w:r>
      <w:r w:rsidRPr="000B0107">
        <w:t>jim</w:t>
      </w:r>
      <w:r>
        <w:t xml:space="preserve"> </w:t>
      </w:r>
      <w:r w:rsidRPr="000B0107">
        <w:t>tímto</w:t>
      </w:r>
      <w:r>
        <w:t xml:space="preserve"> </w:t>
      </w:r>
      <w:r w:rsidRPr="000B0107">
        <w:t>zákonem,</w:t>
      </w:r>
    </w:p>
    <w:p w14:paraId="0ED34D1E" w14:textId="59C506E8" w:rsidR="0078018B" w:rsidRDefault="0078018B" w:rsidP="00EC0934">
      <w:pPr>
        <w:pStyle w:val="Textparagrafu"/>
        <w:numPr>
          <w:ilvl w:val="0"/>
          <w:numId w:val="27"/>
        </w:numPr>
        <w:tabs>
          <w:tab w:val="left" w:pos="392"/>
          <w:tab w:val="left" w:pos="840"/>
        </w:tabs>
        <w:spacing w:before="0"/>
        <w:ind w:left="426" w:hanging="426"/>
      </w:pPr>
      <w:r w:rsidRPr="000B0107">
        <w:t>j)</w:t>
      </w:r>
      <w:r w:rsidR="00CC79D1">
        <w:tab/>
      </w:r>
      <w:r w:rsidRPr="000B0107">
        <w:t>kontrolují</w:t>
      </w:r>
      <w:r>
        <w:t xml:space="preserve"> </w:t>
      </w:r>
      <w:r w:rsidRPr="000B0107">
        <w:t>dodržování</w:t>
      </w:r>
      <w:r>
        <w:t xml:space="preserve"> </w:t>
      </w:r>
      <w:r w:rsidRPr="000B0107">
        <w:t>režimu</w:t>
      </w:r>
      <w:r>
        <w:t xml:space="preserve"> </w:t>
      </w:r>
      <w:r w:rsidRPr="000B0107">
        <w:t>dočasně</w:t>
      </w:r>
      <w:r>
        <w:t xml:space="preserve"> </w:t>
      </w:r>
      <w:r w:rsidRPr="000B0107">
        <w:t>práce</w:t>
      </w:r>
      <w:r>
        <w:t xml:space="preserve"> </w:t>
      </w:r>
      <w:r w:rsidRPr="000B0107">
        <w:t>neschopných</w:t>
      </w:r>
      <w:r>
        <w:t xml:space="preserve"> </w:t>
      </w:r>
      <w:r w:rsidRPr="000B0107">
        <w:t>pojištěnců,</w:t>
      </w:r>
    </w:p>
    <w:p w14:paraId="5B423377" w14:textId="16CFD3A2" w:rsidR="0078018B" w:rsidRDefault="0078018B" w:rsidP="00EC0934">
      <w:pPr>
        <w:pStyle w:val="Textparagrafu"/>
        <w:numPr>
          <w:ilvl w:val="0"/>
          <w:numId w:val="27"/>
        </w:numPr>
        <w:tabs>
          <w:tab w:val="left" w:pos="392"/>
          <w:tab w:val="left" w:pos="840"/>
        </w:tabs>
        <w:spacing w:before="0"/>
        <w:ind w:left="426" w:hanging="426"/>
      </w:pPr>
      <w:r w:rsidRPr="000B0107">
        <w:lastRenderedPageBreak/>
        <w:t>k)</w:t>
      </w:r>
      <w:r w:rsidR="00CC79D1">
        <w:tab/>
      </w:r>
      <w:r w:rsidRPr="000B0107">
        <w:t>vystavují</w:t>
      </w:r>
      <w:r>
        <w:t xml:space="preserve"> </w:t>
      </w:r>
      <w:r w:rsidRPr="000B0107">
        <w:t>ženě,</w:t>
      </w:r>
      <w:r>
        <w:t xml:space="preserve"> </w:t>
      </w:r>
      <w:r w:rsidRPr="000B0107">
        <w:t>která</w:t>
      </w:r>
      <w:r>
        <w:t xml:space="preserve"> </w:t>
      </w:r>
      <w:r w:rsidRPr="000B0107">
        <w:t>nesplňuje</w:t>
      </w:r>
      <w:r>
        <w:t xml:space="preserve"> </w:t>
      </w:r>
      <w:r w:rsidRPr="000B0107">
        <w:t>podmínky</w:t>
      </w:r>
      <w:r>
        <w:t xml:space="preserve"> </w:t>
      </w:r>
      <w:r w:rsidRPr="000B0107">
        <w:t>nároku</w:t>
      </w:r>
      <w:r>
        <w:t xml:space="preserve"> </w:t>
      </w:r>
      <w:r w:rsidRPr="000B0107">
        <w:t>na</w:t>
      </w:r>
      <w:r>
        <w:t xml:space="preserve"> </w:t>
      </w:r>
      <w:r w:rsidRPr="000B0107">
        <w:t>peněžitou</w:t>
      </w:r>
      <w:r>
        <w:t xml:space="preserve"> </w:t>
      </w:r>
      <w:r w:rsidRPr="000B0107">
        <w:t>pomoc</w:t>
      </w:r>
      <w:r>
        <w:t xml:space="preserve"> </w:t>
      </w:r>
      <w:r w:rsidRPr="000B0107">
        <w:t>v</w:t>
      </w:r>
      <w:r>
        <w:t xml:space="preserve"> </w:t>
      </w:r>
      <w:r w:rsidRPr="000B0107">
        <w:t>mateřství,</w:t>
      </w:r>
      <w:r>
        <w:t xml:space="preserve"> </w:t>
      </w:r>
      <w:r w:rsidRPr="000B0107">
        <w:t>na</w:t>
      </w:r>
      <w:r>
        <w:t xml:space="preserve"> </w:t>
      </w:r>
      <w:r w:rsidRPr="000B0107">
        <w:t>její</w:t>
      </w:r>
      <w:r>
        <w:t xml:space="preserve"> </w:t>
      </w:r>
      <w:r w:rsidRPr="000B0107">
        <w:t>žádost</w:t>
      </w:r>
      <w:r>
        <w:t xml:space="preserve"> </w:t>
      </w:r>
      <w:r w:rsidRPr="000B0107">
        <w:t>potvrzení</w:t>
      </w:r>
      <w:r>
        <w:t xml:space="preserve"> </w:t>
      </w:r>
      <w:r w:rsidRPr="000B0107">
        <w:t>o</w:t>
      </w:r>
      <w:r>
        <w:t xml:space="preserve"> </w:t>
      </w:r>
      <w:r w:rsidRPr="000B0107">
        <w:t>této</w:t>
      </w:r>
      <w:r>
        <w:t xml:space="preserve"> </w:t>
      </w:r>
      <w:r w:rsidRPr="000B0107">
        <w:t>skutečnosti,</w:t>
      </w:r>
    </w:p>
    <w:p w14:paraId="15BD4595" w14:textId="1F7064A0" w:rsidR="0078018B" w:rsidRDefault="0078018B" w:rsidP="00EC0934">
      <w:pPr>
        <w:pStyle w:val="Textparagrafu"/>
        <w:numPr>
          <w:ilvl w:val="0"/>
          <w:numId w:val="27"/>
        </w:numPr>
        <w:tabs>
          <w:tab w:val="left" w:pos="392"/>
          <w:tab w:val="left" w:pos="840"/>
        </w:tabs>
        <w:spacing w:before="0"/>
        <w:ind w:left="426" w:hanging="426"/>
      </w:pPr>
      <w:r w:rsidRPr="000B0107">
        <w:t>l)</w:t>
      </w:r>
      <w:r w:rsidR="00CC79D1">
        <w:tab/>
      </w:r>
      <w:r w:rsidRPr="000B0107">
        <w:t>upozorňují</w:t>
      </w:r>
      <w:r>
        <w:t xml:space="preserve"> </w:t>
      </w:r>
      <w:r w:rsidRPr="000B0107">
        <w:t>písemně</w:t>
      </w:r>
      <w:r>
        <w:t xml:space="preserve"> </w:t>
      </w:r>
      <w:r w:rsidRPr="000B0107">
        <w:t>ošetřujícího</w:t>
      </w:r>
      <w:r>
        <w:t xml:space="preserve"> </w:t>
      </w:r>
      <w:r w:rsidRPr="000B0107">
        <w:t>lékaře</w:t>
      </w:r>
      <w:r>
        <w:t xml:space="preserve"> </w:t>
      </w:r>
      <w:r w:rsidRPr="000B0107">
        <w:t>a</w:t>
      </w:r>
      <w:r>
        <w:t xml:space="preserve"> </w:t>
      </w:r>
      <w:r w:rsidRPr="000B0107">
        <w:t>zaměstnavatele</w:t>
      </w:r>
      <w:r>
        <w:t xml:space="preserve"> </w:t>
      </w:r>
      <w:r w:rsidRPr="000B0107">
        <w:t>na</w:t>
      </w:r>
      <w:r>
        <w:t xml:space="preserve"> </w:t>
      </w:r>
      <w:r w:rsidRPr="000B0107">
        <w:t>trvání</w:t>
      </w:r>
      <w:r>
        <w:t xml:space="preserve"> </w:t>
      </w:r>
      <w:r w:rsidRPr="000B0107">
        <w:t>dočasné</w:t>
      </w:r>
      <w:r>
        <w:t xml:space="preserve"> </w:t>
      </w:r>
      <w:r w:rsidRPr="000B0107">
        <w:t>pracovní</w:t>
      </w:r>
      <w:r>
        <w:t xml:space="preserve"> </w:t>
      </w:r>
      <w:r w:rsidRPr="000B0107">
        <w:t>neschopnosti</w:t>
      </w:r>
      <w:r>
        <w:t xml:space="preserve"> </w:t>
      </w:r>
      <w:r w:rsidRPr="000B0107">
        <w:t>v</w:t>
      </w:r>
      <w:r>
        <w:t xml:space="preserve"> </w:t>
      </w:r>
      <w:r w:rsidRPr="000B0107">
        <w:t>délce</w:t>
      </w:r>
      <w:r>
        <w:t xml:space="preserve"> </w:t>
      </w:r>
      <w:r w:rsidRPr="000B0107">
        <w:t>180</w:t>
      </w:r>
      <w:r>
        <w:t xml:space="preserve"> </w:t>
      </w:r>
      <w:r w:rsidRPr="000B0107">
        <w:t>dní,</w:t>
      </w:r>
      <w:r>
        <w:t xml:space="preserve"> </w:t>
      </w:r>
      <w:r w:rsidRPr="000B0107">
        <w:t>a</w:t>
      </w:r>
      <w:r>
        <w:t xml:space="preserve"> </w:t>
      </w:r>
      <w:r w:rsidRPr="000B0107">
        <w:t>to</w:t>
      </w:r>
      <w:r>
        <w:t xml:space="preserve"> </w:t>
      </w:r>
      <w:r w:rsidRPr="000B0107">
        <w:t>alespoň</w:t>
      </w:r>
      <w:r>
        <w:t xml:space="preserve"> </w:t>
      </w:r>
      <w:r w:rsidRPr="000B0107">
        <w:t>15</w:t>
      </w:r>
      <w:r>
        <w:t xml:space="preserve"> </w:t>
      </w:r>
      <w:r w:rsidRPr="000B0107">
        <w:t>dní</w:t>
      </w:r>
      <w:r>
        <w:t xml:space="preserve"> </w:t>
      </w:r>
      <w:r w:rsidRPr="000B0107">
        <w:t>předem,</w:t>
      </w:r>
      <w:r>
        <w:t xml:space="preserve"> </w:t>
      </w:r>
      <w:r w:rsidRPr="000B0107">
        <w:t>a</w:t>
      </w:r>
      <w:r>
        <w:t xml:space="preserve"> </w:t>
      </w:r>
      <w:r w:rsidRPr="000B0107">
        <w:t>ošetřujícího</w:t>
      </w:r>
      <w:r>
        <w:t xml:space="preserve"> </w:t>
      </w:r>
      <w:r w:rsidRPr="000B0107">
        <w:t>lékaře,</w:t>
      </w:r>
      <w:r>
        <w:t xml:space="preserve"> </w:t>
      </w:r>
      <w:r w:rsidRPr="000B0107">
        <w:t>zaměstnavatele</w:t>
      </w:r>
      <w:r>
        <w:t xml:space="preserve"> </w:t>
      </w:r>
      <w:r w:rsidRPr="000B0107">
        <w:t>a</w:t>
      </w:r>
      <w:r>
        <w:t xml:space="preserve"> </w:t>
      </w:r>
      <w:r w:rsidRPr="000B0107">
        <w:t>pojištěnce,</w:t>
      </w:r>
      <w:r>
        <w:t xml:space="preserve"> </w:t>
      </w:r>
      <w:r w:rsidRPr="000B0107">
        <w:t>jemuž</w:t>
      </w:r>
      <w:r>
        <w:t xml:space="preserve"> </w:t>
      </w:r>
      <w:r w:rsidRPr="000B0107">
        <w:t>se</w:t>
      </w:r>
      <w:r>
        <w:t xml:space="preserve"> </w:t>
      </w:r>
      <w:r w:rsidRPr="000B0107">
        <w:t>poskytuje</w:t>
      </w:r>
      <w:r>
        <w:t xml:space="preserve"> </w:t>
      </w:r>
      <w:r w:rsidRPr="000B0107">
        <w:t>nemocenské,</w:t>
      </w:r>
      <w:r>
        <w:t xml:space="preserve"> </w:t>
      </w:r>
      <w:r w:rsidRPr="000B0107">
        <w:t>na</w:t>
      </w:r>
      <w:r>
        <w:t xml:space="preserve"> </w:t>
      </w:r>
      <w:r w:rsidRPr="000B0107">
        <w:t>čerpání</w:t>
      </w:r>
      <w:r>
        <w:t xml:space="preserve"> </w:t>
      </w:r>
      <w:r w:rsidRPr="000B0107">
        <w:t>podpůrčí</w:t>
      </w:r>
      <w:r>
        <w:t xml:space="preserve"> </w:t>
      </w:r>
      <w:r w:rsidRPr="000B0107">
        <w:t>doby</w:t>
      </w:r>
      <w:r>
        <w:t xml:space="preserve"> </w:t>
      </w:r>
      <w:r w:rsidRPr="000B0107">
        <w:t>v</w:t>
      </w:r>
      <w:r>
        <w:t xml:space="preserve"> </w:t>
      </w:r>
      <w:r w:rsidRPr="000B0107">
        <w:t>délce</w:t>
      </w:r>
      <w:r>
        <w:t xml:space="preserve"> </w:t>
      </w:r>
      <w:r w:rsidRPr="000B0107">
        <w:t>380</w:t>
      </w:r>
      <w:r>
        <w:t xml:space="preserve"> </w:t>
      </w:r>
      <w:r w:rsidRPr="000B0107">
        <w:t>dní,</w:t>
      </w:r>
      <w:r>
        <w:t xml:space="preserve"> </w:t>
      </w:r>
      <w:r w:rsidRPr="000B0107">
        <w:t>a</w:t>
      </w:r>
      <w:r>
        <w:t xml:space="preserve"> </w:t>
      </w:r>
      <w:r w:rsidRPr="000B0107">
        <w:t>to</w:t>
      </w:r>
      <w:r>
        <w:t xml:space="preserve"> </w:t>
      </w:r>
      <w:r w:rsidRPr="000B0107">
        <w:t>alespoň</w:t>
      </w:r>
      <w:r>
        <w:t xml:space="preserve"> </w:t>
      </w:r>
      <w:r w:rsidRPr="000B0107">
        <w:t>2</w:t>
      </w:r>
      <w:r>
        <w:t xml:space="preserve"> </w:t>
      </w:r>
      <w:r w:rsidRPr="000B0107">
        <w:t>měsíce</w:t>
      </w:r>
      <w:r>
        <w:t xml:space="preserve"> </w:t>
      </w:r>
      <w:r w:rsidRPr="000B0107">
        <w:t>předem;</w:t>
      </w:r>
      <w:r>
        <w:t xml:space="preserve"> </w:t>
      </w:r>
      <w:r w:rsidRPr="000B0107">
        <w:t>pojištěnce</w:t>
      </w:r>
      <w:r>
        <w:t xml:space="preserve"> </w:t>
      </w:r>
      <w:r w:rsidRPr="000B0107">
        <w:t>přitom</w:t>
      </w:r>
      <w:r>
        <w:t xml:space="preserve"> </w:t>
      </w:r>
      <w:r w:rsidRPr="000B0107">
        <w:t>zároveň</w:t>
      </w:r>
      <w:r>
        <w:t xml:space="preserve"> </w:t>
      </w:r>
      <w:r w:rsidRPr="000B0107">
        <w:t>informují,</w:t>
      </w:r>
      <w:r>
        <w:t xml:space="preserve"> </w:t>
      </w:r>
      <w:r w:rsidRPr="000B0107">
        <w:t>co</w:t>
      </w:r>
      <w:r>
        <w:t xml:space="preserve"> </w:t>
      </w:r>
      <w:r w:rsidRPr="000B0107">
        <w:t>pro</w:t>
      </w:r>
      <w:r>
        <w:t xml:space="preserve"> </w:t>
      </w:r>
      <w:r w:rsidRPr="000B0107">
        <w:t>něj</w:t>
      </w:r>
      <w:r>
        <w:t xml:space="preserve"> </w:t>
      </w:r>
      <w:r w:rsidRPr="000B0107">
        <w:t>znamená</w:t>
      </w:r>
      <w:r>
        <w:t xml:space="preserve"> </w:t>
      </w:r>
      <w:r w:rsidRPr="000B0107">
        <w:t>ukončení</w:t>
      </w:r>
      <w:r>
        <w:t xml:space="preserve"> </w:t>
      </w:r>
      <w:r w:rsidRPr="000B0107">
        <w:t>podpůrčí</w:t>
      </w:r>
      <w:r>
        <w:t xml:space="preserve"> </w:t>
      </w:r>
      <w:r w:rsidRPr="000B0107">
        <w:t>doby</w:t>
      </w:r>
      <w:r>
        <w:t xml:space="preserve"> </w:t>
      </w:r>
      <w:r w:rsidRPr="000B0107">
        <w:t>a</w:t>
      </w:r>
      <w:r>
        <w:t xml:space="preserve"> </w:t>
      </w:r>
      <w:r w:rsidRPr="000B0107">
        <w:t>o</w:t>
      </w:r>
      <w:r>
        <w:t xml:space="preserve"> </w:t>
      </w:r>
      <w:r w:rsidRPr="000B0107">
        <w:t>podmínkách</w:t>
      </w:r>
      <w:r>
        <w:t xml:space="preserve"> </w:t>
      </w:r>
      <w:r w:rsidRPr="000B0107">
        <w:t>vyplácení</w:t>
      </w:r>
      <w:r>
        <w:t xml:space="preserve"> </w:t>
      </w:r>
      <w:r w:rsidRPr="000B0107">
        <w:t>nemocenského</w:t>
      </w:r>
      <w:r>
        <w:t xml:space="preserve"> </w:t>
      </w:r>
      <w:r w:rsidRPr="000B0107">
        <w:t>po</w:t>
      </w:r>
      <w:r>
        <w:t xml:space="preserve"> </w:t>
      </w:r>
      <w:r w:rsidRPr="000B0107">
        <w:t>uplynutí</w:t>
      </w:r>
      <w:r>
        <w:t xml:space="preserve"> </w:t>
      </w:r>
      <w:r w:rsidRPr="000B0107">
        <w:t>podpůrčí</w:t>
      </w:r>
      <w:r>
        <w:t xml:space="preserve"> </w:t>
      </w:r>
      <w:r w:rsidRPr="000B0107">
        <w:t>doby,</w:t>
      </w:r>
    </w:p>
    <w:p w14:paraId="19232771" w14:textId="6F75DCF7" w:rsidR="0078018B" w:rsidRDefault="0078018B" w:rsidP="00EC0934">
      <w:pPr>
        <w:pStyle w:val="Textparagrafu"/>
        <w:numPr>
          <w:ilvl w:val="0"/>
          <w:numId w:val="27"/>
        </w:numPr>
        <w:tabs>
          <w:tab w:val="left" w:pos="392"/>
          <w:tab w:val="left" w:pos="840"/>
        </w:tabs>
        <w:spacing w:before="0"/>
        <w:ind w:left="426" w:hanging="426"/>
      </w:pPr>
      <w:r w:rsidRPr="000B0107">
        <w:t>m)</w:t>
      </w:r>
      <w:r w:rsidR="00CC79D1">
        <w:tab/>
      </w:r>
      <w:r w:rsidRPr="000B0107">
        <w:t>informují</w:t>
      </w:r>
      <w:r>
        <w:t xml:space="preserve"> </w:t>
      </w:r>
      <w:r w:rsidRPr="000B0107">
        <w:t>písemně</w:t>
      </w:r>
      <w:r>
        <w:t xml:space="preserve"> </w:t>
      </w:r>
      <w:r w:rsidRPr="000B0107">
        <w:t>osoby</w:t>
      </w:r>
      <w:r>
        <w:t xml:space="preserve"> </w:t>
      </w:r>
      <w:r w:rsidRPr="000B0107">
        <w:t>samostatně</w:t>
      </w:r>
      <w:r>
        <w:t xml:space="preserve"> </w:t>
      </w:r>
      <w:r w:rsidRPr="000B0107">
        <w:t>výdělečně</w:t>
      </w:r>
      <w:r>
        <w:t xml:space="preserve"> </w:t>
      </w:r>
      <w:r w:rsidRPr="000B0107">
        <w:t>činné</w:t>
      </w:r>
      <w:r>
        <w:t xml:space="preserve"> </w:t>
      </w:r>
      <w:r w:rsidRPr="000B0107">
        <w:t>a</w:t>
      </w:r>
      <w:r>
        <w:t xml:space="preserve"> </w:t>
      </w:r>
      <w:r w:rsidRPr="000B0107">
        <w:t>zahraniční</w:t>
      </w:r>
      <w:r>
        <w:t xml:space="preserve"> </w:t>
      </w:r>
      <w:r w:rsidRPr="000B0107">
        <w:t>zaměstnance</w:t>
      </w:r>
      <w:r>
        <w:t xml:space="preserve"> </w:t>
      </w:r>
      <w:r w:rsidRPr="000B0107">
        <w:t>o</w:t>
      </w:r>
      <w:r>
        <w:t xml:space="preserve"> </w:t>
      </w:r>
      <w:r w:rsidRPr="000B0107">
        <w:t>zániku</w:t>
      </w:r>
      <w:r>
        <w:t xml:space="preserve"> </w:t>
      </w:r>
      <w:r w:rsidRPr="000B0107">
        <w:t>jejich</w:t>
      </w:r>
      <w:r>
        <w:t xml:space="preserve"> </w:t>
      </w:r>
      <w:r w:rsidRPr="000B0107">
        <w:t>účasti</w:t>
      </w:r>
      <w:r>
        <w:t xml:space="preserve"> </w:t>
      </w:r>
      <w:r w:rsidRPr="000B0107">
        <w:t>na</w:t>
      </w:r>
      <w:r>
        <w:t xml:space="preserve"> </w:t>
      </w:r>
      <w:r w:rsidRPr="000B0107">
        <w:t>pojištění</w:t>
      </w:r>
      <w:r>
        <w:t xml:space="preserve"> </w:t>
      </w:r>
      <w:r w:rsidRPr="000B0107">
        <w:t>z</w:t>
      </w:r>
      <w:r>
        <w:t xml:space="preserve"> </w:t>
      </w:r>
      <w:r w:rsidRPr="000B0107">
        <w:t>důvodu</w:t>
      </w:r>
      <w:r>
        <w:t xml:space="preserve"> </w:t>
      </w:r>
      <w:r w:rsidRPr="000B0107">
        <w:t>nezaplacení</w:t>
      </w:r>
      <w:r>
        <w:t xml:space="preserve"> </w:t>
      </w:r>
      <w:r w:rsidRPr="000B0107">
        <w:t>pojistného</w:t>
      </w:r>
      <w:r>
        <w:t xml:space="preserve"> </w:t>
      </w:r>
      <w:r w:rsidRPr="000B0107">
        <w:t>na</w:t>
      </w:r>
      <w:r>
        <w:t xml:space="preserve"> </w:t>
      </w:r>
      <w:r w:rsidRPr="000B0107">
        <w:t>pojištění,</w:t>
      </w:r>
      <w:r>
        <w:t xml:space="preserve"> </w:t>
      </w:r>
      <w:r w:rsidRPr="000B0107">
        <w:t>a</w:t>
      </w:r>
      <w:r>
        <w:t xml:space="preserve"> </w:t>
      </w:r>
      <w:r w:rsidRPr="000B0107">
        <w:t>to</w:t>
      </w:r>
      <w:r>
        <w:t xml:space="preserve"> </w:t>
      </w:r>
      <w:r w:rsidRPr="000B0107">
        <w:t>nejpozději</w:t>
      </w:r>
      <w:r>
        <w:t xml:space="preserve"> </w:t>
      </w:r>
      <w:r w:rsidRPr="000B0107">
        <w:t>do</w:t>
      </w:r>
      <w:r>
        <w:t xml:space="preserve"> </w:t>
      </w:r>
      <w:r w:rsidRPr="000B0107">
        <w:t>patnáctého</w:t>
      </w:r>
      <w:r>
        <w:t xml:space="preserve"> </w:t>
      </w:r>
      <w:r w:rsidRPr="000B0107">
        <w:t>dne</w:t>
      </w:r>
      <w:r>
        <w:t xml:space="preserve"> </w:t>
      </w:r>
      <w:r w:rsidRPr="000B0107">
        <w:t>druhého</w:t>
      </w:r>
      <w:r>
        <w:t xml:space="preserve"> </w:t>
      </w:r>
      <w:r w:rsidRPr="000B0107">
        <w:t>kalendářního</w:t>
      </w:r>
      <w:r>
        <w:t xml:space="preserve"> </w:t>
      </w:r>
      <w:r w:rsidRPr="000B0107">
        <w:t>měsíce</w:t>
      </w:r>
      <w:r>
        <w:t xml:space="preserve"> </w:t>
      </w:r>
      <w:r w:rsidRPr="000B0107">
        <w:t>následujícího</w:t>
      </w:r>
      <w:r>
        <w:t xml:space="preserve"> </w:t>
      </w:r>
      <w:r w:rsidRPr="000B0107">
        <w:t>po</w:t>
      </w:r>
      <w:r>
        <w:t xml:space="preserve"> </w:t>
      </w:r>
      <w:r w:rsidRPr="000B0107">
        <w:t>měsíci,</w:t>
      </w:r>
      <w:r>
        <w:t xml:space="preserve"> </w:t>
      </w:r>
      <w:r w:rsidRPr="000B0107">
        <w:t>v</w:t>
      </w:r>
      <w:r>
        <w:t xml:space="preserve"> </w:t>
      </w:r>
      <w:r w:rsidRPr="000B0107">
        <w:t>němž</w:t>
      </w:r>
      <w:r>
        <w:t xml:space="preserve"> </w:t>
      </w:r>
      <w:r w:rsidRPr="000B0107">
        <w:t>účast</w:t>
      </w:r>
      <w:r>
        <w:t xml:space="preserve"> </w:t>
      </w:r>
      <w:r w:rsidRPr="000B0107">
        <w:t>na</w:t>
      </w:r>
      <w:r>
        <w:t xml:space="preserve"> </w:t>
      </w:r>
      <w:r w:rsidRPr="000B0107">
        <w:t>pojištění</w:t>
      </w:r>
      <w:r>
        <w:t xml:space="preserve"> </w:t>
      </w:r>
      <w:r w:rsidRPr="000B0107">
        <w:t>z</w:t>
      </w:r>
      <w:r>
        <w:t xml:space="preserve"> </w:t>
      </w:r>
      <w:r w:rsidRPr="000B0107">
        <w:t>tohoto</w:t>
      </w:r>
      <w:r>
        <w:t xml:space="preserve"> </w:t>
      </w:r>
      <w:r w:rsidRPr="000B0107">
        <w:t>důvodu</w:t>
      </w:r>
      <w:r>
        <w:t xml:space="preserve"> </w:t>
      </w:r>
      <w:r w:rsidRPr="000B0107">
        <w:t>zanikla,</w:t>
      </w:r>
    </w:p>
    <w:p w14:paraId="74ACEA5F" w14:textId="67F34523" w:rsidR="0078018B" w:rsidRDefault="0078018B" w:rsidP="00EC0934">
      <w:pPr>
        <w:pStyle w:val="Textparagrafu"/>
        <w:numPr>
          <w:ilvl w:val="0"/>
          <w:numId w:val="27"/>
        </w:numPr>
        <w:tabs>
          <w:tab w:val="left" w:pos="392"/>
          <w:tab w:val="left" w:pos="840"/>
        </w:tabs>
        <w:spacing w:before="0"/>
        <w:ind w:left="426" w:hanging="426"/>
      </w:pPr>
      <w:r w:rsidRPr="000B0107">
        <w:t>n)</w:t>
      </w:r>
      <w:r w:rsidR="00CC79D1">
        <w:tab/>
      </w:r>
      <w:r w:rsidRPr="000B0107">
        <w:t>poskytují</w:t>
      </w:r>
      <w:r>
        <w:t xml:space="preserve"> </w:t>
      </w:r>
      <w:r w:rsidRPr="000B0107">
        <w:t>ošetřujícím</w:t>
      </w:r>
      <w:r>
        <w:t xml:space="preserve"> </w:t>
      </w:r>
      <w:r w:rsidRPr="000B0107">
        <w:t>lékařům,</w:t>
      </w:r>
      <w:r>
        <w:t xml:space="preserve"> </w:t>
      </w:r>
      <w:r w:rsidRPr="000B0107">
        <w:t>zaměstnavatelům</w:t>
      </w:r>
      <w:r>
        <w:t xml:space="preserve"> </w:t>
      </w:r>
      <w:r w:rsidRPr="000B0107">
        <w:t>a</w:t>
      </w:r>
      <w:r>
        <w:t xml:space="preserve"> </w:t>
      </w:r>
      <w:r w:rsidRPr="000B0107">
        <w:t>pojištěncům</w:t>
      </w:r>
      <w:r>
        <w:t xml:space="preserve"> </w:t>
      </w:r>
      <w:r w:rsidRPr="000B0107">
        <w:t>bezplatně</w:t>
      </w:r>
      <w:r>
        <w:t xml:space="preserve"> </w:t>
      </w:r>
      <w:r w:rsidRPr="000B0107">
        <w:t>tiskopisy</w:t>
      </w:r>
      <w:r>
        <w:t xml:space="preserve"> </w:t>
      </w:r>
      <w:r w:rsidRPr="000B0107">
        <w:t>předepsané</w:t>
      </w:r>
      <w:r>
        <w:t xml:space="preserve"> </w:t>
      </w:r>
      <w:r w:rsidRPr="000B0107">
        <w:t>podle</w:t>
      </w:r>
      <w:r>
        <w:t xml:space="preserve"> </w:t>
      </w:r>
      <w:r w:rsidRPr="000B0107">
        <w:t>tohoto</w:t>
      </w:r>
      <w:r>
        <w:t xml:space="preserve"> </w:t>
      </w:r>
      <w:r w:rsidRPr="000B0107">
        <w:t>zákona,</w:t>
      </w:r>
    </w:p>
    <w:p w14:paraId="28A833ED" w14:textId="2A5FBF94" w:rsidR="0078018B" w:rsidRDefault="0078018B" w:rsidP="00EC0934">
      <w:pPr>
        <w:pStyle w:val="Textparagrafu"/>
        <w:numPr>
          <w:ilvl w:val="0"/>
          <w:numId w:val="27"/>
        </w:numPr>
        <w:tabs>
          <w:tab w:val="left" w:pos="392"/>
          <w:tab w:val="left" w:pos="840"/>
        </w:tabs>
        <w:spacing w:before="0"/>
        <w:ind w:left="426" w:hanging="426"/>
      </w:pPr>
      <w:r w:rsidRPr="000B0107">
        <w:t>o)</w:t>
      </w:r>
      <w:r w:rsidR="00CC79D1">
        <w:tab/>
      </w:r>
      <w:r w:rsidRPr="000B0107">
        <w:t>poskytují</w:t>
      </w:r>
      <w:r>
        <w:t xml:space="preserve"> </w:t>
      </w:r>
      <w:r w:rsidRPr="000B0107">
        <w:t>pojištěncům</w:t>
      </w:r>
      <w:r>
        <w:t xml:space="preserve"> </w:t>
      </w:r>
      <w:r w:rsidRPr="000B0107">
        <w:t>a</w:t>
      </w:r>
      <w:r>
        <w:t xml:space="preserve"> </w:t>
      </w:r>
      <w:r w:rsidRPr="000B0107">
        <w:t>zaměstnavatelům</w:t>
      </w:r>
      <w:r>
        <w:t xml:space="preserve"> </w:t>
      </w:r>
      <w:r w:rsidRPr="000B0107">
        <w:t>bezplatně</w:t>
      </w:r>
      <w:r>
        <w:t xml:space="preserve"> </w:t>
      </w:r>
      <w:r w:rsidRPr="000B0107">
        <w:t>odborné</w:t>
      </w:r>
      <w:r>
        <w:t xml:space="preserve"> </w:t>
      </w:r>
      <w:r w:rsidRPr="000B0107">
        <w:t>informace</w:t>
      </w:r>
      <w:r>
        <w:t xml:space="preserve"> </w:t>
      </w:r>
      <w:r w:rsidRPr="000B0107">
        <w:t>o</w:t>
      </w:r>
      <w:r>
        <w:t xml:space="preserve"> </w:t>
      </w:r>
      <w:r w:rsidRPr="000B0107">
        <w:t>pojištění,</w:t>
      </w:r>
    </w:p>
    <w:p w14:paraId="57DCD6D9" w14:textId="3B323C6D" w:rsidR="0078018B" w:rsidRDefault="0078018B" w:rsidP="00EC0934">
      <w:pPr>
        <w:pStyle w:val="Textparagrafu"/>
        <w:numPr>
          <w:ilvl w:val="0"/>
          <w:numId w:val="27"/>
        </w:numPr>
        <w:tabs>
          <w:tab w:val="left" w:pos="392"/>
          <w:tab w:val="left" w:pos="840"/>
        </w:tabs>
        <w:spacing w:before="0"/>
        <w:ind w:left="426" w:hanging="426"/>
      </w:pPr>
      <w:r w:rsidRPr="000B0107">
        <w:t>p)</w:t>
      </w:r>
      <w:r w:rsidR="00CC79D1">
        <w:tab/>
      </w:r>
      <w:r w:rsidRPr="000B0107">
        <w:t>oznamují</w:t>
      </w:r>
      <w:r>
        <w:t xml:space="preserve"> </w:t>
      </w:r>
      <w:r w:rsidRPr="000B0107">
        <w:t>ošetřujícímu</w:t>
      </w:r>
      <w:r>
        <w:t xml:space="preserve"> </w:t>
      </w:r>
      <w:r w:rsidRPr="000B0107">
        <w:t>lékaři,</w:t>
      </w:r>
      <w:r>
        <w:t xml:space="preserve"> </w:t>
      </w:r>
      <w:r w:rsidRPr="000B0107">
        <w:t>kterým</w:t>
      </w:r>
      <w:r>
        <w:t xml:space="preserve"> </w:t>
      </w:r>
      <w:r w:rsidRPr="000B0107">
        <w:t>dnem</w:t>
      </w:r>
      <w:r>
        <w:t xml:space="preserve"> </w:t>
      </w:r>
      <w:r w:rsidRPr="000B0107">
        <w:t>skončil</w:t>
      </w:r>
      <w:r>
        <w:t xml:space="preserve"> </w:t>
      </w:r>
      <w:r w:rsidRPr="000B0107">
        <w:t>nárok</w:t>
      </w:r>
      <w:r>
        <w:t xml:space="preserve"> </w:t>
      </w:r>
      <w:r w:rsidRPr="000B0107">
        <w:t>na</w:t>
      </w:r>
      <w:r>
        <w:t xml:space="preserve"> </w:t>
      </w:r>
      <w:r w:rsidRPr="000B0107">
        <w:t>nemocenské</w:t>
      </w:r>
      <w:r>
        <w:t xml:space="preserve"> </w:t>
      </w:r>
      <w:r w:rsidRPr="000B0107">
        <w:t>pojištěnci,</w:t>
      </w:r>
      <w:r>
        <w:t xml:space="preserve"> </w:t>
      </w:r>
      <w:r w:rsidRPr="000B0107">
        <w:t>který</w:t>
      </w:r>
      <w:r>
        <w:t xml:space="preserve"> </w:t>
      </w:r>
      <w:r w:rsidRPr="000B0107">
        <w:t>končí</w:t>
      </w:r>
      <w:r>
        <w:t xml:space="preserve"> </w:t>
      </w:r>
      <w:r w:rsidRPr="000B0107">
        <w:t>pojištěnou</w:t>
      </w:r>
      <w:r>
        <w:t xml:space="preserve"> </w:t>
      </w:r>
      <w:r w:rsidRPr="000B0107">
        <w:t>činnost</w:t>
      </w:r>
      <w:r>
        <w:t xml:space="preserve"> </w:t>
      </w:r>
      <w:r w:rsidRPr="000B0107">
        <w:t>a</w:t>
      </w:r>
      <w:r>
        <w:t xml:space="preserve"> </w:t>
      </w:r>
      <w:r w:rsidRPr="000B0107">
        <w:t>žádá</w:t>
      </w:r>
      <w:r>
        <w:t xml:space="preserve"> </w:t>
      </w:r>
      <w:r w:rsidRPr="000B0107">
        <w:t>o</w:t>
      </w:r>
      <w:r>
        <w:t xml:space="preserve"> </w:t>
      </w:r>
      <w:r w:rsidRPr="000B0107">
        <w:t>zahájení</w:t>
      </w:r>
      <w:r>
        <w:t xml:space="preserve"> </w:t>
      </w:r>
      <w:r w:rsidRPr="000B0107">
        <w:t>výplaty</w:t>
      </w:r>
      <w:r>
        <w:t xml:space="preserve"> </w:t>
      </w:r>
      <w:r w:rsidRPr="000B0107">
        <w:t>starobního</w:t>
      </w:r>
      <w:r>
        <w:t xml:space="preserve"> </w:t>
      </w:r>
      <w:r w:rsidRPr="000B0107">
        <w:t>důchodu</w:t>
      </w:r>
      <w:r>
        <w:t xml:space="preserve"> </w:t>
      </w:r>
      <w:r w:rsidRPr="000B0107">
        <w:t>ode</w:t>
      </w:r>
      <w:r>
        <w:t xml:space="preserve"> </w:t>
      </w:r>
      <w:r w:rsidRPr="000B0107">
        <w:t>dne,</w:t>
      </w:r>
      <w:r>
        <w:t xml:space="preserve"> </w:t>
      </w:r>
      <w:r w:rsidRPr="000B0107">
        <w:t>který</w:t>
      </w:r>
      <w:r>
        <w:t xml:space="preserve"> </w:t>
      </w:r>
      <w:r w:rsidRPr="000B0107">
        <w:t>spadá</w:t>
      </w:r>
      <w:r>
        <w:t xml:space="preserve"> </w:t>
      </w:r>
      <w:r w:rsidRPr="000B0107">
        <w:t>do</w:t>
      </w:r>
      <w:r>
        <w:t xml:space="preserve"> </w:t>
      </w:r>
      <w:r w:rsidRPr="000B0107">
        <w:t>doby</w:t>
      </w:r>
      <w:r>
        <w:t xml:space="preserve"> </w:t>
      </w:r>
      <w:r w:rsidRPr="000B0107">
        <w:t>dočasné</w:t>
      </w:r>
      <w:r>
        <w:t xml:space="preserve"> </w:t>
      </w:r>
      <w:r w:rsidRPr="000B0107">
        <w:t>pracovní</w:t>
      </w:r>
      <w:r>
        <w:t xml:space="preserve"> </w:t>
      </w:r>
      <w:r w:rsidRPr="000B0107">
        <w:t>neschopnosti,</w:t>
      </w:r>
    </w:p>
    <w:p w14:paraId="4E2B352C" w14:textId="4DE0F795" w:rsidR="0078018B" w:rsidRDefault="0078018B" w:rsidP="00EC0934">
      <w:pPr>
        <w:pStyle w:val="Textparagrafu"/>
        <w:numPr>
          <w:ilvl w:val="0"/>
          <w:numId w:val="27"/>
        </w:numPr>
        <w:tabs>
          <w:tab w:val="left" w:pos="392"/>
          <w:tab w:val="left" w:pos="840"/>
        </w:tabs>
        <w:spacing w:before="0"/>
        <w:ind w:left="426" w:hanging="426"/>
      </w:pPr>
      <w:r w:rsidRPr="000B0107">
        <w:t>q)</w:t>
      </w:r>
      <w:r w:rsidR="00CC79D1">
        <w:tab/>
      </w:r>
      <w:r w:rsidRPr="000B0107">
        <w:t>vedou</w:t>
      </w:r>
      <w:r>
        <w:t xml:space="preserve"> </w:t>
      </w:r>
      <w:r w:rsidRPr="000B0107">
        <w:t>potřebnou</w:t>
      </w:r>
      <w:r>
        <w:t xml:space="preserve"> </w:t>
      </w:r>
      <w:r w:rsidRPr="000B0107">
        <w:t>statistiku</w:t>
      </w:r>
      <w:r>
        <w:t xml:space="preserve"> </w:t>
      </w:r>
      <w:r w:rsidRPr="000B0107">
        <w:t>a</w:t>
      </w:r>
      <w:r>
        <w:t xml:space="preserve"> </w:t>
      </w:r>
      <w:r w:rsidRPr="002916A8">
        <w:rPr>
          <w:strike/>
        </w:rPr>
        <w:t>účetní evidenci</w:t>
      </w:r>
      <w:r>
        <w:t xml:space="preserve"> </w:t>
      </w:r>
      <w:proofErr w:type="spellStart"/>
      <w:r w:rsidR="002916A8" w:rsidRPr="00A24237">
        <w:rPr>
          <w:b/>
          <w:bCs/>
        </w:rPr>
        <w:t>evidenci</w:t>
      </w:r>
      <w:proofErr w:type="spellEnd"/>
      <w:r w:rsidR="002916A8" w:rsidRPr="00A24237">
        <w:rPr>
          <w:b/>
          <w:bCs/>
        </w:rPr>
        <w:t xml:space="preserve"> pro účely účetnictví</w:t>
      </w:r>
      <w:r w:rsidR="002916A8" w:rsidRPr="000B0107">
        <w:t xml:space="preserve"> </w:t>
      </w:r>
      <w:r w:rsidRPr="000B0107">
        <w:t>v</w:t>
      </w:r>
      <w:r>
        <w:t xml:space="preserve"> </w:t>
      </w:r>
      <w:r w:rsidRPr="000B0107">
        <w:t>oblasti</w:t>
      </w:r>
      <w:r>
        <w:t xml:space="preserve"> </w:t>
      </w:r>
      <w:r w:rsidRPr="000B0107">
        <w:t>pojištění,</w:t>
      </w:r>
    </w:p>
    <w:p w14:paraId="6AA3B9DD" w14:textId="12B0FC29" w:rsidR="0078018B" w:rsidRDefault="0078018B" w:rsidP="00EC0934">
      <w:pPr>
        <w:pStyle w:val="Textparagrafu"/>
        <w:numPr>
          <w:ilvl w:val="0"/>
          <w:numId w:val="27"/>
        </w:numPr>
        <w:tabs>
          <w:tab w:val="left" w:pos="392"/>
          <w:tab w:val="left" w:pos="840"/>
        </w:tabs>
        <w:spacing w:before="0"/>
        <w:ind w:left="426" w:hanging="426"/>
      </w:pPr>
      <w:r w:rsidRPr="000B0107">
        <w:t>r)</w:t>
      </w:r>
      <w:r w:rsidR="00CC79D1">
        <w:tab/>
      </w:r>
      <w:r w:rsidRPr="000B0107">
        <w:t>předávají</w:t>
      </w:r>
      <w:r>
        <w:t xml:space="preserve"> </w:t>
      </w:r>
      <w:r w:rsidRPr="000B0107">
        <w:t>České</w:t>
      </w:r>
      <w:r>
        <w:t xml:space="preserve"> </w:t>
      </w:r>
      <w:r w:rsidRPr="000B0107">
        <w:t>správě</w:t>
      </w:r>
      <w:r>
        <w:t xml:space="preserve"> </w:t>
      </w:r>
      <w:r w:rsidRPr="000B0107">
        <w:t>sociálního</w:t>
      </w:r>
      <w:r>
        <w:t xml:space="preserve"> </w:t>
      </w:r>
      <w:r w:rsidRPr="000B0107">
        <w:t>zabezpečení</w:t>
      </w:r>
      <w:r>
        <w:t xml:space="preserve"> </w:t>
      </w:r>
      <w:r w:rsidRPr="000B0107">
        <w:t>údaje</w:t>
      </w:r>
      <w:r>
        <w:t xml:space="preserve"> </w:t>
      </w:r>
      <w:r w:rsidRPr="000B0107">
        <w:t>potřebné</w:t>
      </w:r>
      <w:r>
        <w:t xml:space="preserve"> </w:t>
      </w:r>
      <w:r w:rsidRPr="000B0107">
        <w:t>k</w:t>
      </w:r>
      <w:r>
        <w:t xml:space="preserve"> </w:t>
      </w:r>
      <w:r w:rsidRPr="000B0107">
        <w:t>vedení</w:t>
      </w:r>
      <w:r>
        <w:t xml:space="preserve"> </w:t>
      </w:r>
      <w:r w:rsidRPr="000B0107">
        <w:t>registru</w:t>
      </w:r>
      <w:r>
        <w:t xml:space="preserve"> </w:t>
      </w:r>
      <w:r w:rsidRPr="000B0107">
        <w:t>pojištěnců</w:t>
      </w:r>
      <w:r>
        <w:t xml:space="preserve"> </w:t>
      </w:r>
      <w:r w:rsidRPr="000B0107">
        <w:t>nemocenského</w:t>
      </w:r>
      <w:r>
        <w:t xml:space="preserve"> </w:t>
      </w:r>
      <w:r w:rsidRPr="000B0107">
        <w:t>pojištění</w:t>
      </w:r>
      <w:r>
        <w:t xml:space="preserve"> </w:t>
      </w:r>
      <w:r w:rsidRPr="000B0107">
        <w:t>(dále</w:t>
      </w:r>
      <w:r>
        <w:t xml:space="preserve"> </w:t>
      </w:r>
      <w:r w:rsidRPr="000B0107">
        <w:t>jen</w:t>
      </w:r>
      <w:r>
        <w:t xml:space="preserve"> </w:t>
      </w:r>
      <w:r w:rsidRPr="000B0107">
        <w:t>"registr</w:t>
      </w:r>
      <w:r>
        <w:t xml:space="preserve"> </w:t>
      </w:r>
      <w:r w:rsidRPr="000B0107">
        <w:t>pojištěnců")</w:t>
      </w:r>
      <w:r>
        <w:t xml:space="preserve"> </w:t>
      </w:r>
      <w:r w:rsidRPr="000B0107">
        <w:t>a</w:t>
      </w:r>
      <w:r>
        <w:t xml:space="preserve"> </w:t>
      </w:r>
      <w:r w:rsidRPr="000B0107">
        <w:t>registru</w:t>
      </w:r>
      <w:r>
        <w:t xml:space="preserve"> </w:t>
      </w:r>
      <w:r w:rsidRPr="000B0107">
        <w:t>zaměstnavatelů,</w:t>
      </w:r>
    </w:p>
    <w:p w14:paraId="261E4E2B" w14:textId="38A56972" w:rsidR="0078018B" w:rsidRDefault="0078018B" w:rsidP="00EC0934">
      <w:pPr>
        <w:pStyle w:val="Textparagrafu"/>
        <w:numPr>
          <w:ilvl w:val="0"/>
          <w:numId w:val="27"/>
        </w:numPr>
        <w:tabs>
          <w:tab w:val="left" w:pos="392"/>
          <w:tab w:val="left" w:pos="840"/>
        </w:tabs>
        <w:spacing w:before="0"/>
        <w:ind w:left="426" w:hanging="426"/>
      </w:pPr>
      <w:r w:rsidRPr="000B0107">
        <w:t>s)</w:t>
      </w:r>
      <w:r w:rsidR="00CC79D1">
        <w:tab/>
      </w:r>
      <w:r w:rsidRPr="000B0107">
        <w:t>vystavují</w:t>
      </w:r>
      <w:r>
        <w:t xml:space="preserve"> </w:t>
      </w:r>
      <w:r w:rsidRPr="000B0107">
        <w:t>na</w:t>
      </w:r>
      <w:r>
        <w:t xml:space="preserve"> </w:t>
      </w:r>
      <w:r w:rsidRPr="000B0107">
        <w:t>žádost</w:t>
      </w:r>
      <w:r>
        <w:t xml:space="preserve"> </w:t>
      </w:r>
      <w:r w:rsidRPr="000B0107">
        <w:t>zaměstnavatele</w:t>
      </w:r>
      <w:r>
        <w:t xml:space="preserve"> </w:t>
      </w:r>
      <w:r w:rsidRPr="000B0107">
        <w:t>pro</w:t>
      </w:r>
      <w:r>
        <w:t xml:space="preserve"> </w:t>
      </w:r>
      <w:r w:rsidRPr="000B0107">
        <w:t>účely</w:t>
      </w:r>
      <w:r>
        <w:t xml:space="preserve"> </w:t>
      </w:r>
      <w:r w:rsidRPr="000B0107">
        <w:t>výpočtu</w:t>
      </w:r>
      <w:r>
        <w:t xml:space="preserve"> </w:t>
      </w:r>
      <w:r w:rsidRPr="000B0107">
        <w:t>náhrady</w:t>
      </w:r>
      <w:r>
        <w:t xml:space="preserve"> </w:t>
      </w:r>
      <w:r w:rsidRPr="000B0107">
        <w:t>za</w:t>
      </w:r>
      <w:r>
        <w:t xml:space="preserve"> </w:t>
      </w:r>
      <w:r w:rsidRPr="000B0107">
        <w:t>ztrátu</w:t>
      </w:r>
      <w:r>
        <w:t xml:space="preserve"> </w:t>
      </w:r>
      <w:r w:rsidRPr="000B0107">
        <w:t>na</w:t>
      </w:r>
      <w:r>
        <w:t xml:space="preserve"> </w:t>
      </w:r>
      <w:r w:rsidRPr="000B0107">
        <w:t>výdělku</w:t>
      </w:r>
      <w:r>
        <w:t xml:space="preserve"> </w:t>
      </w:r>
      <w:r w:rsidRPr="000B0107">
        <w:t>poskytované</w:t>
      </w:r>
      <w:r>
        <w:t xml:space="preserve"> </w:t>
      </w:r>
      <w:r w:rsidRPr="000B0107">
        <w:t>z</w:t>
      </w:r>
      <w:r>
        <w:t xml:space="preserve"> </w:t>
      </w:r>
      <w:r w:rsidRPr="000B0107">
        <w:t>důvodu</w:t>
      </w:r>
      <w:r>
        <w:t xml:space="preserve"> </w:t>
      </w:r>
      <w:r w:rsidRPr="000B0107">
        <w:t>pracovního</w:t>
      </w:r>
      <w:r>
        <w:t xml:space="preserve"> </w:t>
      </w:r>
      <w:r w:rsidRPr="000B0107">
        <w:t>úrazu</w:t>
      </w:r>
      <w:r>
        <w:t xml:space="preserve"> </w:t>
      </w:r>
      <w:r w:rsidRPr="000B0107">
        <w:t>nebo</w:t>
      </w:r>
      <w:r>
        <w:t xml:space="preserve"> </w:t>
      </w:r>
      <w:r w:rsidRPr="000B0107">
        <w:t>nemoci</w:t>
      </w:r>
      <w:r>
        <w:t xml:space="preserve"> </w:t>
      </w:r>
      <w:r w:rsidRPr="000B0107">
        <w:t>z</w:t>
      </w:r>
      <w:r>
        <w:t xml:space="preserve"> </w:t>
      </w:r>
      <w:r w:rsidRPr="000B0107">
        <w:t>povolání</w:t>
      </w:r>
      <w:r>
        <w:t xml:space="preserve"> </w:t>
      </w:r>
      <w:r w:rsidRPr="000B0107">
        <w:t>písemné</w:t>
      </w:r>
      <w:r>
        <w:t xml:space="preserve"> </w:t>
      </w:r>
      <w:r w:rsidRPr="000B0107">
        <w:t>potvrzení</w:t>
      </w:r>
      <w:r>
        <w:t xml:space="preserve"> </w:t>
      </w:r>
      <w:r w:rsidRPr="000B0107">
        <w:t>o</w:t>
      </w:r>
      <w:r>
        <w:t xml:space="preserve"> </w:t>
      </w:r>
      <w:r w:rsidRPr="000B0107">
        <w:t>plné</w:t>
      </w:r>
      <w:r>
        <w:t xml:space="preserve"> </w:t>
      </w:r>
      <w:r w:rsidRPr="000B0107">
        <w:t>výši</w:t>
      </w:r>
      <w:r>
        <w:t xml:space="preserve"> </w:t>
      </w:r>
      <w:r w:rsidRPr="000B0107">
        <w:t>nemocenského;</w:t>
      </w:r>
      <w:r>
        <w:t xml:space="preserve"> </w:t>
      </w:r>
      <w:r w:rsidRPr="000B0107">
        <w:t>toto</w:t>
      </w:r>
      <w:r>
        <w:t xml:space="preserve"> </w:t>
      </w:r>
      <w:r w:rsidRPr="000B0107">
        <w:t>potvrzení</w:t>
      </w:r>
      <w:r>
        <w:t xml:space="preserve"> </w:t>
      </w:r>
      <w:r w:rsidRPr="000B0107">
        <w:t>vystavují</w:t>
      </w:r>
      <w:r>
        <w:t xml:space="preserve"> </w:t>
      </w:r>
      <w:r w:rsidRPr="000B0107">
        <w:t>územní</w:t>
      </w:r>
      <w:r>
        <w:t xml:space="preserve"> </w:t>
      </w:r>
      <w:r w:rsidRPr="000B0107">
        <w:t>správy</w:t>
      </w:r>
      <w:r>
        <w:t xml:space="preserve"> </w:t>
      </w:r>
      <w:r w:rsidRPr="000B0107">
        <w:t>sociálního</w:t>
      </w:r>
      <w:r>
        <w:t xml:space="preserve"> </w:t>
      </w:r>
      <w:r w:rsidRPr="000B0107">
        <w:t>zabezpečení</w:t>
      </w:r>
      <w:r>
        <w:t xml:space="preserve"> </w:t>
      </w:r>
      <w:r w:rsidRPr="000B0107">
        <w:t>též</w:t>
      </w:r>
      <w:r>
        <w:t xml:space="preserve"> </w:t>
      </w:r>
      <w:r w:rsidRPr="000B0107">
        <w:t>na</w:t>
      </w:r>
      <w:r>
        <w:t xml:space="preserve"> </w:t>
      </w:r>
      <w:r w:rsidRPr="000B0107">
        <w:t>žádost</w:t>
      </w:r>
      <w:r>
        <w:t xml:space="preserve"> </w:t>
      </w:r>
      <w:r w:rsidRPr="000B0107">
        <w:t>příslušného</w:t>
      </w:r>
      <w:r>
        <w:t xml:space="preserve"> </w:t>
      </w:r>
      <w:r w:rsidRPr="000B0107">
        <w:t>služebního</w:t>
      </w:r>
      <w:r>
        <w:t xml:space="preserve"> </w:t>
      </w:r>
      <w:r w:rsidRPr="000B0107">
        <w:t>útvaru</w:t>
      </w:r>
      <w:r>
        <w:t xml:space="preserve"> </w:t>
      </w:r>
      <w:r w:rsidRPr="000B0107">
        <w:t>pro</w:t>
      </w:r>
      <w:r>
        <w:t xml:space="preserve"> </w:t>
      </w:r>
      <w:r w:rsidRPr="000B0107">
        <w:t>účely</w:t>
      </w:r>
      <w:r>
        <w:t xml:space="preserve"> </w:t>
      </w:r>
      <w:r w:rsidRPr="000B0107">
        <w:t>výpočtu</w:t>
      </w:r>
      <w:r>
        <w:t xml:space="preserve"> </w:t>
      </w:r>
      <w:r w:rsidRPr="000B0107">
        <w:t>náhrady</w:t>
      </w:r>
      <w:r>
        <w:t xml:space="preserve"> </w:t>
      </w:r>
      <w:r w:rsidRPr="000B0107">
        <w:t>za</w:t>
      </w:r>
      <w:r>
        <w:t xml:space="preserve"> </w:t>
      </w:r>
      <w:r w:rsidRPr="000B0107">
        <w:t>ztrátu</w:t>
      </w:r>
      <w:r>
        <w:t xml:space="preserve"> </w:t>
      </w:r>
      <w:r w:rsidRPr="000B0107">
        <w:t>na</w:t>
      </w:r>
      <w:r>
        <w:t xml:space="preserve"> </w:t>
      </w:r>
      <w:r w:rsidRPr="000B0107">
        <w:t>služebním</w:t>
      </w:r>
      <w:r>
        <w:t xml:space="preserve"> </w:t>
      </w:r>
      <w:r w:rsidRPr="000B0107">
        <w:t>příjmu,</w:t>
      </w:r>
    </w:p>
    <w:p w14:paraId="73A99D43" w14:textId="68F192B2" w:rsidR="0078018B" w:rsidRDefault="0078018B" w:rsidP="00EC0934">
      <w:pPr>
        <w:pStyle w:val="Textparagrafu"/>
        <w:numPr>
          <w:ilvl w:val="0"/>
          <w:numId w:val="27"/>
        </w:numPr>
        <w:tabs>
          <w:tab w:val="left" w:pos="392"/>
          <w:tab w:val="left" w:pos="840"/>
        </w:tabs>
        <w:spacing w:before="0"/>
        <w:ind w:left="426" w:hanging="426"/>
      </w:pPr>
      <w:r w:rsidRPr="000B0107">
        <w:t>t)</w:t>
      </w:r>
      <w:r w:rsidR="00CC79D1">
        <w:tab/>
      </w:r>
      <w:r w:rsidRPr="000B0107">
        <w:t>oznamují</w:t>
      </w:r>
      <w:r>
        <w:t xml:space="preserve"> </w:t>
      </w:r>
      <w:r w:rsidRPr="000B0107">
        <w:t>zaměstnavatelům,</w:t>
      </w:r>
      <w:r>
        <w:t xml:space="preserve"> </w:t>
      </w:r>
      <w:r w:rsidRPr="000B0107">
        <w:t>že</w:t>
      </w:r>
      <w:r>
        <w:t xml:space="preserve"> </w:t>
      </w:r>
      <w:r w:rsidRPr="000B0107">
        <w:t>pojištěnci</w:t>
      </w:r>
      <w:r>
        <w:t xml:space="preserve"> </w:t>
      </w:r>
      <w:r w:rsidRPr="000B0107">
        <w:t>nevznikl</w:t>
      </w:r>
      <w:r>
        <w:t xml:space="preserve"> </w:t>
      </w:r>
      <w:r w:rsidRPr="000B0107">
        <w:t>nárok</w:t>
      </w:r>
      <w:r>
        <w:t xml:space="preserve"> </w:t>
      </w:r>
      <w:r w:rsidRPr="000B0107">
        <w:t>na</w:t>
      </w:r>
      <w:r>
        <w:t xml:space="preserve"> </w:t>
      </w:r>
      <w:r w:rsidRPr="000B0107">
        <w:t>dlouhodobé</w:t>
      </w:r>
      <w:r>
        <w:t xml:space="preserve"> </w:t>
      </w:r>
      <w:r w:rsidRPr="000B0107">
        <w:t>ošetřovné</w:t>
      </w:r>
      <w:r>
        <w:t xml:space="preserve"> </w:t>
      </w:r>
      <w:r w:rsidRPr="000B0107">
        <w:t>z</w:t>
      </w:r>
      <w:r>
        <w:t xml:space="preserve"> </w:t>
      </w:r>
      <w:r w:rsidRPr="000B0107">
        <w:t>důvodu,</w:t>
      </w:r>
      <w:r>
        <w:t xml:space="preserve"> </w:t>
      </w:r>
      <w:r w:rsidRPr="000B0107">
        <w:t>že</w:t>
      </w:r>
      <w:r>
        <w:t xml:space="preserve"> </w:t>
      </w:r>
      <w:r w:rsidRPr="000B0107">
        <w:t>nespadá</w:t>
      </w:r>
      <w:r>
        <w:t xml:space="preserve"> </w:t>
      </w:r>
      <w:r w:rsidRPr="000B0107">
        <w:t>do</w:t>
      </w:r>
      <w:r>
        <w:t xml:space="preserve"> </w:t>
      </w:r>
      <w:r w:rsidRPr="000B0107">
        <w:t>okruhu</w:t>
      </w:r>
      <w:r>
        <w:t xml:space="preserve"> </w:t>
      </w:r>
      <w:r w:rsidRPr="000B0107">
        <w:t>oprávněných</w:t>
      </w:r>
      <w:r>
        <w:t xml:space="preserve"> </w:t>
      </w:r>
      <w:r w:rsidRPr="000B0107">
        <w:t>osob</w:t>
      </w:r>
      <w:r>
        <w:t xml:space="preserve"> </w:t>
      </w:r>
      <w:r w:rsidRPr="000B0107">
        <w:t>podle</w:t>
      </w:r>
      <w:r>
        <w:t xml:space="preserve"> </w:t>
      </w:r>
      <w:r w:rsidRPr="000B0107">
        <w:t>§</w:t>
      </w:r>
      <w:r>
        <w:t xml:space="preserve"> </w:t>
      </w:r>
      <w:r w:rsidRPr="000B0107">
        <w:t>41a</w:t>
      </w:r>
      <w:r>
        <w:t xml:space="preserve"> </w:t>
      </w:r>
      <w:r w:rsidRPr="000B0107">
        <w:t>odst.</w:t>
      </w:r>
      <w:r>
        <w:t xml:space="preserve"> </w:t>
      </w:r>
      <w:r w:rsidRPr="000B0107">
        <w:t>4,</w:t>
      </w:r>
    </w:p>
    <w:p w14:paraId="4D0304C8" w14:textId="5D1E231D" w:rsidR="0078018B" w:rsidRDefault="0078018B" w:rsidP="00EC0934">
      <w:pPr>
        <w:pStyle w:val="Textparagrafu"/>
        <w:numPr>
          <w:ilvl w:val="0"/>
          <w:numId w:val="27"/>
        </w:numPr>
        <w:tabs>
          <w:tab w:val="left" w:pos="392"/>
          <w:tab w:val="left" w:pos="840"/>
        </w:tabs>
        <w:spacing w:before="0"/>
        <w:ind w:left="426" w:hanging="426"/>
      </w:pPr>
      <w:r w:rsidRPr="000B0107">
        <w:t>u)</w:t>
      </w:r>
      <w:r w:rsidR="00CC79D1">
        <w:tab/>
      </w:r>
      <w:r w:rsidRPr="000B0107">
        <w:t>spolupracují</w:t>
      </w:r>
      <w:r>
        <w:t xml:space="preserve"> </w:t>
      </w:r>
      <w:r w:rsidRPr="000B0107">
        <w:t>s</w:t>
      </w:r>
      <w:r>
        <w:t xml:space="preserve"> </w:t>
      </w:r>
      <w:r w:rsidRPr="000B0107">
        <w:t>Institutem</w:t>
      </w:r>
      <w:r>
        <w:t xml:space="preserve"> </w:t>
      </w:r>
      <w:r w:rsidRPr="000B0107">
        <w:t>posuzování</w:t>
      </w:r>
      <w:r>
        <w:t xml:space="preserve"> </w:t>
      </w:r>
      <w:r w:rsidRPr="000B0107">
        <w:t>zdravotního</w:t>
      </w:r>
      <w:r>
        <w:t xml:space="preserve"> </w:t>
      </w:r>
      <w:r w:rsidRPr="000B0107">
        <w:t>stavu</w:t>
      </w:r>
      <w:r>
        <w:t xml:space="preserve"> </w:t>
      </w:r>
      <w:r w:rsidRPr="000B0107">
        <w:t>při</w:t>
      </w:r>
      <w:r>
        <w:t xml:space="preserve"> </w:t>
      </w:r>
      <w:r w:rsidRPr="000B0107">
        <w:t>výkonu</w:t>
      </w:r>
      <w:r>
        <w:t xml:space="preserve"> </w:t>
      </w:r>
      <w:r w:rsidRPr="000B0107">
        <w:t>posuzování</w:t>
      </w:r>
      <w:r>
        <w:t xml:space="preserve"> </w:t>
      </w:r>
      <w:r w:rsidRPr="000B0107">
        <w:t>zdravotního</w:t>
      </w:r>
      <w:r>
        <w:t xml:space="preserve"> </w:t>
      </w:r>
      <w:r w:rsidRPr="000B0107">
        <w:t>stavu</w:t>
      </w:r>
      <w:r>
        <w:t xml:space="preserve"> </w:t>
      </w:r>
      <w:r w:rsidRPr="000B0107">
        <w:t>pojištěnců</w:t>
      </w:r>
      <w:r>
        <w:t xml:space="preserve"> </w:t>
      </w:r>
      <w:r w:rsidRPr="000B0107">
        <w:t>a</w:t>
      </w:r>
      <w:r>
        <w:t xml:space="preserve"> </w:t>
      </w:r>
      <w:r w:rsidRPr="000B0107">
        <w:t>dalších</w:t>
      </w:r>
      <w:r>
        <w:t xml:space="preserve"> </w:t>
      </w:r>
      <w:r w:rsidRPr="000B0107">
        <w:t>osob</w:t>
      </w:r>
      <w:r>
        <w:t xml:space="preserve"> </w:t>
      </w:r>
      <w:r w:rsidRPr="000B0107">
        <w:t>pro</w:t>
      </w:r>
      <w:r>
        <w:t xml:space="preserve"> </w:t>
      </w:r>
      <w:r w:rsidRPr="000B0107">
        <w:t>účely</w:t>
      </w:r>
      <w:r>
        <w:t xml:space="preserve"> </w:t>
      </w:r>
      <w:r w:rsidRPr="000B0107">
        <w:t>pojištění</w:t>
      </w:r>
      <w:r>
        <w:t xml:space="preserve"> </w:t>
      </w:r>
      <w:r w:rsidRPr="000B0107">
        <w:t>podle</w:t>
      </w:r>
      <w:r>
        <w:t xml:space="preserve"> </w:t>
      </w:r>
      <w:r w:rsidRPr="000B0107">
        <w:t>§</w:t>
      </w:r>
      <w:r>
        <w:t xml:space="preserve"> </w:t>
      </w:r>
      <w:r w:rsidRPr="000B0107">
        <w:t>53,</w:t>
      </w:r>
    </w:p>
    <w:p w14:paraId="07DB46CC" w14:textId="32C3DFE6" w:rsidR="0078018B" w:rsidRDefault="0078018B" w:rsidP="00EC0934">
      <w:pPr>
        <w:pStyle w:val="Textparagrafu"/>
        <w:numPr>
          <w:ilvl w:val="0"/>
          <w:numId w:val="27"/>
        </w:numPr>
        <w:tabs>
          <w:tab w:val="left" w:pos="392"/>
          <w:tab w:val="left" w:pos="840"/>
        </w:tabs>
        <w:spacing w:before="0"/>
        <w:ind w:left="426" w:hanging="426"/>
      </w:pPr>
      <w:r w:rsidRPr="000B0107">
        <w:t>v)</w:t>
      </w:r>
      <w:r w:rsidR="00CC79D1">
        <w:tab/>
      </w:r>
      <w:r w:rsidRPr="000B0107">
        <w:t>podávají</w:t>
      </w:r>
      <w:r>
        <w:t xml:space="preserve"> </w:t>
      </w:r>
      <w:r w:rsidRPr="000B0107">
        <w:t>zdravotní</w:t>
      </w:r>
      <w:r>
        <w:t xml:space="preserve"> </w:t>
      </w:r>
      <w:r w:rsidRPr="000B0107">
        <w:t>pojišťovně</w:t>
      </w:r>
      <w:r>
        <w:t xml:space="preserve"> </w:t>
      </w:r>
      <w:r w:rsidRPr="000B0107">
        <w:t>informace</w:t>
      </w:r>
      <w:r>
        <w:t xml:space="preserve"> </w:t>
      </w:r>
      <w:r w:rsidRPr="000B0107">
        <w:t>o</w:t>
      </w:r>
      <w:r>
        <w:t xml:space="preserve"> </w:t>
      </w:r>
      <w:r w:rsidRPr="000B0107">
        <w:t>sankcích</w:t>
      </w:r>
      <w:r>
        <w:t xml:space="preserve"> </w:t>
      </w:r>
      <w:r w:rsidRPr="000B0107">
        <w:t>udělených</w:t>
      </w:r>
      <w:r>
        <w:t xml:space="preserve"> </w:t>
      </w:r>
      <w:r w:rsidRPr="000B0107">
        <w:t>ošetřujícímu</w:t>
      </w:r>
      <w:r>
        <w:t xml:space="preserve"> </w:t>
      </w:r>
      <w:r w:rsidRPr="000B0107">
        <w:t>lékaři</w:t>
      </w:r>
      <w:r>
        <w:t xml:space="preserve"> </w:t>
      </w:r>
      <w:r w:rsidRPr="000B0107">
        <w:t>za</w:t>
      </w:r>
      <w:r>
        <w:t xml:space="preserve"> </w:t>
      </w:r>
      <w:r w:rsidRPr="000B0107">
        <w:t>účelem</w:t>
      </w:r>
      <w:r>
        <w:t xml:space="preserve"> </w:t>
      </w:r>
      <w:r w:rsidRPr="000B0107">
        <w:t>kontroly</w:t>
      </w:r>
      <w:r>
        <w:t xml:space="preserve"> </w:t>
      </w:r>
      <w:r w:rsidRPr="000B0107">
        <w:t>efektivního</w:t>
      </w:r>
      <w:r>
        <w:t xml:space="preserve"> </w:t>
      </w:r>
      <w:r w:rsidRPr="000B0107">
        <w:t>využívání</w:t>
      </w:r>
      <w:r>
        <w:t xml:space="preserve"> </w:t>
      </w:r>
      <w:r w:rsidRPr="000B0107">
        <w:t>a</w:t>
      </w:r>
      <w:r>
        <w:t xml:space="preserve"> </w:t>
      </w:r>
      <w:r w:rsidRPr="000B0107">
        <w:t>poskytování</w:t>
      </w:r>
      <w:r>
        <w:t xml:space="preserve"> </w:t>
      </w:r>
      <w:r w:rsidRPr="000B0107">
        <w:t>zdravotní</w:t>
      </w:r>
      <w:r>
        <w:t xml:space="preserve"> </w:t>
      </w:r>
      <w:r w:rsidRPr="000B0107">
        <w:t>péče</w:t>
      </w:r>
      <w:r>
        <w:t xml:space="preserve"> </w:t>
      </w:r>
      <w:r w:rsidRPr="000B0107">
        <w:t>hrazené</w:t>
      </w:r>
      <w:r>
        <w:t xml:space="preserve"> </w:t>
      </w:r>
      <w:r w:rsidRPr="000B0107">
        <w:t>z</w:t>
      </w:r>
      <w:r>
        <w:t xml:space="preserve"> </w:t>
      </w:r>
      <w:r w:rsidRPr="000B0107">
        <w:t>veřejného</w:t>
      </w:r>
      <w:r>
        <w:t xml:space="preserve"> </w:t>
      </w:r>
      <w:r w:rsidRPr="000B0107">
        <w:t>zdravotního</w:t>
      </w:r>
      <w:r>
        <w:t xml:space="preserve"> </w:t>
      </w:r>
      <w:r w:rsidRPr="000B0107">
        <w:t>pojištění,</w:t>
      </w:r>
    </w:p>
    <w:p w14:paraId="0237C74C" w14:textId="5928991A" w:rsidR="0078018B" w:rsidRPr="000B0107" w:rsidRDefault="0078018B" w:rsidP="00EC0934">
      <w:pPr>
        <w:pStyle w:val="Textparagrafu"/>
        <w:numPr>
          <w:ilvl w:val="0"/>
          <w:numId w:val="27"/>
        </w:numPr>
        <w:tabs>
          <w:tab w:val="left" w:pos="392"/>
          <w:tab w:val="left" w:pos="840"/>
        </w:tabs>
        <w:spacing w:before="0"/>
        <w:ind w:left="426" w:hanging="426"/>
      </w:pPr>
      <w:r w:rsidRPr="000B0107">
        <w:t>w)</w:t>
      </w:r>
      <w:r w:rsidR="00CC79D1">
        <w:tab/>
      </w:r>
      <w:r w:rsidRPr="000B0107">
        <w:t>kontrolují</w:t>
      </w:r>
      <w:r>
        <w:t xml:space="preserve"> </w:t>
      </w:r>
      <w:r w:rsidRPr="000B0107">
        <w:t>plnění</w:t>
      </w:r>
      <w:r>
        <w:t xml:space="preserve"> </w:t>
      </w:r>
      <w:r w:rsidRPr="000B0107">
        <w:t>povinností</w:t>
      </w:r>
      <w:r>
        <w:t xml:space="preserve"> </w:t>
      </w:r>
      <w:r w:rsidRPr="000B0107">
        <w:t>stanovených</w:t>
      </w:r>
      <w:r>
        <w:t xml:space="preserve"> </w:t>
      </w:r>
      <w:r w:rsidRPr="000B0107">
        <w:t>tímto</w:t>
      </w:r>
      <w:r>
        <w:t xml:space="preserve"> </w:t>
      </w:r>
      <w:r w:rsidRPr="000B0107">
        <w:t>zákonem</w:t>
      </w:r>
      <w:r>
        <w:t xml:space="preserve"> </w:t>
      </w:r>
      <w:r w:rsidRPr="000B0107">
        <w:t>ošetřujícím</w:t>
      </w:r>
      <w:r>
        <w:t xml:space="preserve"> </w:t>
      </w:r>
      <w:r w:rsidRPr="000B0107">
        <w:t>lékařům.</w:t>
      </w:r>
    </w:p>
    <w:p w14:paraId="5C47CA61" w14:textId="30E55127" w:rsidR="0078018B" w:rsidRDefault="0078018B" w:rsidP="00E67B84">
      <w:pPr>
        <w:pStyle w:val="Textparagrafu"/>
        <w:tabs>
          <w:tab w:val="left" w:pos="392"/>
          <w:tab w:val="left" w:pos="840"/>
        </w:tabs>
        <w:spacing w:after="120"/>
        <w:ind w:firstLine="0"/>
      </w:pPr>
    </w:p>
    <w:p w14:paraId="797F0080" w14:textId="77777777" w:rsidR="0078018B" w:rsidRDefault="0078018B" w:rsidP="00E67B84">
      <w:pPr>
        <w:pStyle w:val="Textparagrafu"/>
        <w:tabs>
          <w:tab w:val="left" w:pos="392"/>
          <w:tab w:val="left" w:pos="840"/>
        </w:tabs>
        <w:spacing w:after="120"/>
        <w:ind w:firstLine="0"/>
        <w:sectPr w:rsidR="0078018B" w:rsidSect="00554E2B">
          <w:footnotePr>
            <w:numStart w:val="3"/>
          </w:footnotePr>
          <w:endnotePr>
            <w:numFmt w:val="decimal"/>
          </w:endnotePr>
          <w:pgSz w:w="11906" w:h="16838"/>
          <w:pgMar w:top="1418" w:right="1418" w:bottom="1418" w:left="1418" w:header="709" w:footer="709" w:gutter="0"/>
          <w:cols w:space="708"/>
          <w:docGrid w:linePitch="360"/>
        </w:sectPr>
      </w:pPr>
    </w:p>
    <w:p w14:paraId="3C3F1BB4" w14:textId="483B8BD2" w:rsidR="0022762B" w:rsidRPr="00737E21" w:rsidRDefault="0022762B" w:rsidP="00441BD3">
      <w:pPr>
        <w:tabs>
          <w:tab w:val="left" w:pos="851"/>
        </w:tabs>
        <w:spacing w:before="120" w:after="120"/>
        <w:ind w:firstLine="0"/>
        <w:jc w:val="center"/>
        <w:outlineLvl w:val="0"/>
        <w:rPr>
          <w:szCs w:val="24"/>
        </w:rPr>
      </w:pPr>
      <w:r w:rsidRPr="00737E21">
        <w:rPr>
          <w:b/>
          <w:szCs w:val="24"/>
        </w:rPr>
        <w:lastRenderedPageBreak/>
        <w:t xml:space="preserve">K části devadesáté </w:t>
      </w:r>
      <w:r w:rsidR="00EC0934">
        <w:rPr>
          <w:b/>
          <w:szCs w:val="24"/>
        </w:rPr>
        <w:t>druhé</w:t>
      </w:r>
      <w:r w:rsidRPr="00737E21">
        <w:rPr>
          <w:b/>
          <w:szCs w:val="24"/>
        </w:rPr>
        <w:t xml:space="preserve"> návrhu zákona – </w:t>
      </w:r>
      <w:r w:rsidRPr="00737E21">
        <w:rPr>
          <w:szCs w:val="24"/>
        </w:rPr>
        <w:t>změna zákona</w:t>
      </w:r>
      <w:r w:rsidRPr="00737E21">
        <w:t xml:space="preserve"> </w:t>
      </w:r>
      <w:r w:rsidRPr="00737E21">
        <w:rPr>
          <w:szCs w:val="24"/>
        </w:rPr>
        <w:t>o evropské družstevní společnosti</w:t>
      </w:r>
    </w:p>
    <w:p w14:paraId="5C16A4ED" w14:textId="0F2DF938" w:rsidR="0022762B" w:rsidRPr="00737E21" w:rsidRDefault="0022762B" w:rsidP="0022762B">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737E21">
        <w:rPr>
          <w:b/>
          <w:szCs w:val="24"/>
        </w:rPr>
        <w:t>Platné znění</w:t>
      </w:r>
      <w:r w:rsidRPr="00737E21">
        <w:rPr>
          <w:szCs w:val="24"/>
        </w:rPr>
        <w:t xml:space="preserve"> zákona č. 307/2006 Sb., o evropské družstevní společnosti</w:t>
      </w:r>
    </w:p>
    <w:p w14:paraId="6BC1FE73" w14:textId="7F760A90" w:rsidR="0022762B" w:rsidRPr="00737E21" w:rsidRDefault="00441BD3" w:rsidP="0022762B">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AE4818">
        <w:rPr>
          <w:b/>
          <w:szCs w:val="24"/>
          <w:lang w:eastAsia="en-US"/>
        </w:rPr>
        <w:t>s vyznačením navrhovaných změn a doplnění k 1. lednu 2025</w:t>
      </w:r>
    </w:p>
    <w:p w14:paraId="42B8C621" w14:textId="77777777" w:rsidR="0022762B" w:rsidRPr="00737E21" w:rsidRDefault="0022762B" w:rsidP="0022762B">
      <w:pPr>
        <w:pStyle w:val="Textparagrafu"/>
        <w:numPr>
          <w:ilvl w:val="0"/>
          <w:numId w:val="27"/>
        </w:numPr>
        <w:tabs>
          <w:tab w:val="left" w:pos="392"/>
          <w:tab w:val="left" w:pos="840"/>
        </w:tabs>
        <w:spacing w:after="120"/>
        <w:jc w:val="center"/>
      </w:pPr>
      <w:r w:rsidRPr="00737E21">
        <w:t>***</w:t>
      </w:r>
    </w:p>
    <w:p w14:paraId="734D2901" w14:textId="77777777" w:rsidR="00737E21" w:rsidRPr="009B50FC" w:rsidRDefault="00737E21" w:rsidP="00737E21">
      <w:pPr>
        <w:pStyle w:val="Paragraf"/>
        <w:numPr>
          <w:ilvl w:val="0"/>
          <w:numId w:val="30"/>
        </w:numPr>
        <w:spacing w:after="240"/>
      </w:pPr>
      <w:r w:rsidRPr="009B50FC">
        <w:t>§ 99</w:t>
      </w:r>
    </w:p>
    <w:p w14:paraId="722AF9A8" w14:textId="77777777" w:rsidR="00737E21" w:rsidRPr="002556C5" w:rsidRDefault="00737E21" w:rsidP="00737E21">
      <w:pPr>
        <w:pStyle w:val="Odstavec"/>
        <w:tabs>
          <w:tab w:val="left" w:pos="434"/>
        </w:tabs>
        <w:spacing w:before="240"/>
        <w:rPr>
          <w:strike/>
        </w:rPr>
      </w:pPr>
      <w:r w:rsidRPr="002556C5">
        <w:rPr>
          <w:strike/>
        </w:rPr>
        <w:t>(1) Do vstupu České republiky do třetí fáze Evropské hospodářské a měnové unie evropská družstevní společnost, která má zapsané sídlo na území České republiky,</w:t>
      </w:r>
    </w:p>
    <w:p w14:paraId="75B88A41" w14:textId="77777777" w:rsidR="00737E21" w:rsidRPr="002556C5" w:rsidRDefault="00737E21" w:rsidP="00737E21">
      <w:pPr>
        <w:pStyle w:val="Textpsmene"/>
        <w:numPr>
          <w:ilvl w:val="3"/>
          <w:numId w:val="31"/>
        </w:numPr>
        <w:tabs>
          <w:tab w:val="clear" w:pos="425"/>
          <w:tab w:val="left" w:pos="434"/>
        </w:tabs>
        <w:spacing w:before="0"/>
        <w:rPr>
          <w:strike/>
        </w:rPr>
      </w:pPr>
      <w:r w:rsidRPr="002556C5">
        <w:rPr>
          <w:strike/>
        </w:rPr>
        <w:t>uvádí svůj zapisovaný základní kapitál, základní kapitál a jmenovité hodnoty podílů v českých korunách a</w:t>
      </w:r>
    </w:p>
    <w:p w14:paraId="439CD2EE" w14:textId="77777777" w:rsidR="00737E21" w:rsidRPr="002556C5" w:rsidRDefault="00737E21" w:rsidP="00737E21">
      <w:pPr>
        <w:pStyle w:val="Textpsmene"/>
        <w:numPr>
          <w:ilvl w:val="3"/>
          <w:numId w:val="31"/>
        </w:numPr>
        <w:tabs>
          <w:tab w:val="clear" w:pos="425"/>
          <w:tab w:val="left" w:pos="434"/>
        </w:tabs>
        <w:spacing w:before="0"/>
        <w:rPr>
          <w:strike/>
        </w:rPr>
      </w:pPr>
      <w:r w:rsidRPr="002556C5">
        <w:rPr>
          <w:strike/>
        </w:rPr>
        <w:t>účetní závěrku sestavuje a zveřejňuje v českých korunách.</w:t>
      </w:r>
    </w:p>
    <w:p w14:paraId="7254BCEA" w14:textId="77777777" w:rsidR="00737E21" w:rsidRPr="002556C5" w:rsidRDefault="00737E21" w:rsidP="00441BD3">
      <w:pPr>
        <w:pStyle w:val="Textodstavce"/>
        <w:tabs>
          <w:tab w:val="clear" w:pos="851"/>
          <w:tab w:val="left" w:pos="434"/>
        </w:tabs>
        <w:ind w:firstLine="425"/>
        <w:rPr>
          <w:b/>
        </w:rPr>
      </w:pPr>
      <w:r w:rsidRPr="002556C5">
        <w:rPr>
          <w:b/>
        </w:rPr>
        <w:tab/>
        <w:t xml:space="preserve">(1) Do vstupu České republiky do třetí fáze Evropské hospodářské a měnové unie evropská družstevní společnost, která má zapsané sídlo na území České republiky, uvádí svůj zapisovaný základní kapitál, základní kapitál a jmenovité hodnoty podílů a sestavuje a zveřejňuje účetní závěrku v měně, kterou by evropská družstevní společnost použila, kdyby byla družstvem. </w:t>
      </w:r>
    </w:p>
    <w:p w14:paraId="37E04FA6" w14:textId="77777777" w:rsidR="00737E21" w:rsidRDefault="00737E21" w:rsidP="00441BD3">
      <w:pPr>
        <w:pStyle w:val="Odstavec"/>
        <w:tabs>
          <w:tab w:val="left" w:pos="434"/>
        </w:tabs>
      </w:pPr>
      <w:r>
        <w:t xml:space="preserve">(2) </w:t>
      </w:r>
      <w:r w:rsidRPr="00C615C2">
        <w:t xml:space="preserve">Do vstupu České republiky do třetí fáze Evropské hospodářské a měnové unie může evropská družstevní společnost, která má zapsané sídlo na území České republiky, uvádět zároveň údaje o svém zapisovaném základním kapitálu, základním kapitálu a jmenovitých hodnotách podílů v eurech </w:t>
      </w:r>
      <w:r w:rsidRPr="00211A89">
        <w:t>a veškeré údaje v účetní závěrce v eurech.</w:t>
      </w:r>
    </w:p>
    <w:p w14:paraId="75B73AF4" w14:textId="77777777" w:rsidR="0022762B" w:rsidRDefault="0022762B" w:rsidP="0022762B">
      <w:pPr>
        <w:pStyle w:val="Textparagrafu"/>
        <w:tabs>
          <w:tab w:val="left" w:pos="392"/>
          <w:tab w:val="left" w:pos="840"/>
        </w:tabs>
        <w:jc w:val="center"/>
      </w:pPr>
    </w:p>
    <w:p w14:paraId="04FC73BB" w14:textId="77777777" w:rsidR="0022762B" w:rsidRDefault="0022762B" w:rsidP="00E67B84">
      <w:pPr>
        <w:pStyle w:val="Textparagrafu"/>
        <w:tabs>
          <w:tab w:val="left" w:pos="392"/>
          <w:tab w:val="left" w:pos="840"/>
        </w:tabs>
        <w:spacing w:after="120"/>
        <w:ind w:firstLine="0"/>
        <w:sectPr w:rsidR="0022762B" w:rsidSect="00554E2B">
          <w:footnotePr>
            <w:numStart w:val="3"/>
          </w:footnotePr>
          <w:endnotePr>
            <w:numFmt w:val="decimal"/>
          </w:endnotePr>
          <w:pgSz w:w="11906" w:h="16838"/>
          <w:pgMar w:top="1418" w:right="1418" w:bottom="1418" w:left="1418" w:header="709" w:footer="709" w:gutter="0"/>
          <w:cols w:space="708"/>
          <w:docGrid w:linePitch="360"/>
        </w:sectPr>
      </w:pPr>
    </w:p>
    <w:p w14:paraId="63F0789D" w14:textId="5B82365A" w:rsidR="0022762B" w:rsidRPr="00E75E16" w:rsidRDefault="0022762B" w:rsidP="00E75E16">
      <w:pPr>
        <w:tabs>
          <w:tab w:val="left" w:pos="851"/>
        </w:tabs>
        <w:spacing w:before="120" w:after="120"/>
        <w:ind w:firstLine="0"/>
        <w:jc w:val="center"/>
        <w:outlineLvl w:val="0"/>
        <w:rPr>
          <w:szCs w:val="24"/>
        </w:rPr>
      </w:pPr>
      <w:r w:rsidRPr="00E75E16">
        <w:rPr>
          <w:b/>
          <w:szCs w:val="24"/>
        </w:rPr>
        <w:lastRenderedPageBreak/>
        <w:t xml:space="preserve">K části </w:t>
      </w:r>
      <w:r w:rsidR="00441BD3">
        <w:rPr>
          <w:b/>
          <w:szCs w:val="24"/>
        </w:rPr>
        <w:t>devadesáté třetí</w:t>
      </w:r>
      <w:r w:rsidRPr="00E75E16">
        <w:rPr>
          <w:b/>
          <w:szCs w:val="24"/>
        </w:rPr>
        <w:t xml:space="preserve"> návrhu zákona – </w:t>
      </w:r>
      <w:r w:rsidRPr="00E75E16">
        <w:rPr>
          <w:szCs w:val="24"/>
        </w:rPr>
        <w:t>změna zákona</w:t>
      </w:r>
      <w:r w:rsidRPr="00E75E16">
        <w:t xml:space="preserve"> </w:t>
      </w:r>
      <w:r w:rsidRPr="00E75E16">
        <w:rPr>
          <w:szCs w:val="24"/>
        </w:rPr>
        <w:t>o insolvenčních správcích</w:t>
      </w:r>
    </w:p>
    <w:p w14:paraId="1B501B45" w14:textId="7DDB2110" w:rsidR="0022762B" w:rsidRPr="00E75E16" w:rsidRDefault="0022762B" w:rsidP="0022762B">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E75E16">
        <w:rPr>
          <w:b/>
          <w:szCs w:val="24"/>
        </w:rPr>
        <w:t>Platné znění</w:t>
      </w:r>
      <w:r w:rsidRPr="00E75E16">
        <w:rPr>
          <w:szCs w:val="24"/>
        </w:rPr>
        <w:t xml:space="preserve"> zákona č. 312/2006 Sb., o insolvenčních správcích</w:t>
      </w:r>
    </w:p>
    <w:p w14:paraId="6B32DFAF" w14:textId="37EED64F" w:rsidR="0022762B" w:rsidRPr="00E75E16" w:rsidRDefault="00E75E16" w:rsidP="00E75E16">
      <w:pPr>
        <w:pStyle w:val="Nadpisparagrafu"/>
        <w:numPr>
          <w:ilvl w:val="0"/>
          <w:numId w:val="27"/>
        </w:numPr>
        <w:pBdr>
          <w:top w:val="single" w:sz="12" w:space="6" w:color="auto"/>
          <w:left w:val="single" w:sz="12" w:space="0" w:color="auto"/>
          <w:bottom w:val="single" w:sz="12" w:space="6" w:color="auto"/>
          <w:right w:val="single" w:sz="12" w:space="0" w:color="auto"/>
        </w:pBdr>
        <w:spacing w:before="0" w:after="120"/>
        <w:rPr>
          <w:szCs w:val="24"/>
          <w:lang w:eastAsia="en-US"/>
        </w:rPr>
      </w:pPr>
      <w:r w:rsidRPr="00142FF7">
        <w:rPr>
          <w:szCs w:val="24"/>
          <w:lang w:eastAsia="en-US"/>
        </w:rPr>
        <w:t>s vyznačením navrhovaných změn a doplnění k </w:t>
      </w:r>
      <w:r w:rsidRPr="005F18D1">
        <w:rPr>
          <w:szCs w:val="24"/>
          <w:lang w:eastAsia="en-US"/>
        </w:rPr>
        <w:t>1. lednu 2025</w:t>
      </w:r>
    </w:p>
    <w:p w14:paraId="3D170FD1" w14:textId="77777777" w:rsidR="00E75E16" w:rsidRDefault="00E75E16" w:rsidP="00E75E16">
      <w:pPr>
        <w:pStyle w:val="Paragraf"/>
        <w:numPr>
          <w:ilvl w:val="0"/>
          <w:numId w:val="27"/>
        </w:numPr>
      </w:pPr>
      <w:r>
        <w:t>***</w:t>
      </w:r>
    </w:p>
    <w:p w14:paraId="38C6973C" w14:textId="77777777" w:rsidR="00E75E16" w:rsidRDefault="00E75E16" w:rsidP="00E75E16">
      <w:pPr>
        <w:pStyle w:val="Paragraf"/>
        <w:numPr>
          <w:ilvl w:val="0"/>
          <w:numId w:val="27"/>
        </w:numPr>
      </w:pPr>
      <w:r>
        <w:t xml:space="preserve">§ 3 </w:t>
      </w:r>
    </w:p>
    <w:p w14:paraId="35A4B3E9" w14:textId="77777777" w:rsidR="00E75E16" w:rsidRDefault="00E75E16" w:rsidP="00E75E16">
      <w:pPr>
        <w:pStyle w:val="Nadpisparagrafu"/>
      </w:pPr>
      <w:r>
        <w:t>Vznik práva vykonávat činnost insolvenčního správce</w:t>
      </w:r>
    </w:p>
    <w:p w14:paraId="0A96C6B1" w14:textId="77777777" w:rsidR="00E75E16" w:rsidRDefault="00E75E16" w:rsidP="00E75E16">
      <w:pPr>
        <w:pStyle w:val="Textodstavce"/>
        <w:ind w:firstLine="425"/>
      </w:pPr>
      <w:r>
        <w:t>(1) Právo vykonávat činnost insolvenčního správce vzniká dnem nabytí právní moci povolení vykonávat činnost insolvenčního správce (dále jen „povolení“).</w:t>
      </w:r>
    </w:p>
    <w:p w14:paraId="55512DFF" w14:textId="77777777" w:rsidR="00E75E16" w:rsidRDefault="00E75E16" w:rsidP="00E75E16">
      <w:pPr>
        <w:pStyle w:val="Textodstavce"/>
        <w:ind w:firstLine="425"/>
      </w:pPr>
      <w:r>
        <w:t>(2) Právo vykonávat funkci insolvenčního správce dlužníka, který je podle zvláštního právního předpisu finanční institucí se zvláštním režimem</w:t>
      </w:r>
      <w:r>
        <w:rPr>
          <w:rStyle w:val="Znakapoznpodarou"/>
        </w:rPr>
        <w:footnoteReference w:customMarkFollows="1" w:id="504"/>
        <w:t>2)</w:t>
      </w:r>
      <w:r>
        <w:t xml:space="preserve"> nebo obchodníkem s cennými papíry, centrálním depozitářem, provozovatelem vypořádacího systému, organizátorem trhu s investičními nástroji, investiční společností, investičním fondem, penzijní společností nebo penzijním fondem, anebo dlužníkem, jehož úpadek je řešen reorganizací, nebo jehož roční úhrn čistého obratu podle zvláštního právního předpisu</w:t>
      </w:r>
      <w:r w:rsidRPr="00C75CE2">
        <w:rPr>
          <w:rStyle w:val="Znakapoznpodarou"/>
          <w:strike/>
        </w:rPr>
        <w:footnoteReference w:customMarkFollows="1" w:id="505"/>
        <w:t>13)</w:t>
      </w:r>
      <w:r w:rsidRPr="00C75CE2">
        <w:t xml:space="preserve"> </w:t>
      </w:r>
      <w:r>
        <w:t>za poslední účetní období předcházející insolvenčnímu návrhu dosáhl alespoň částku 100 000 000 Kč, anebo který zaměstnává nejméně 100 zaměstnanců v pracovním poměru, vzniká dnem nabytí právní moci zvláštního povolení.</w:t>
      </w:r>
    </w:p>
    <w:p w14:paraId="265E643C" w14:textId="77777777" w:rsidR="00E75E16" w:rsidRDefault="00E75E16" w:rsidP="00E75E16">
      <w:pPr>
        <w:pStyle w:val="Textodstavce"/>
        <w:ind w:firstLine="425"/>
      </w:pPr>
      <w:r>
        <w:t>(3) Veřejné obchodní společnosti dosud nezapsané v obchodním rejstříku vzniká právo podle odstavců 1 a 2 dnem zápisu veřejné obchodní společnosti, které bylo vydáno povolení nebo zvláštní povolení, do obchodního rejstříku.</w:t>
      </w:r>
    </w:p>
    <w:p w14:paraId="686714E4" w14:textId="0DFCFA32" w:rsidR="0078018B" w:rsidRDefault="0078018B" w:rsidP="0022762B">
      <w:pPr>
        <w:pStyle w:val="Textparagrafu"/>
        <w:tabs>
          <w:tab w:val="left" w:pos="392"/>
          <w:tab w:val="left" w:pos="840"/>
        </w:tabs>
        <w:spacing w:after="120"/>
        <w:ind w:firstLine="0"/>
        <w:jc w:val="center"/>
      </w:pPr>
    </w:p>
    <w:p w14:paraId="584AF83E" w14:textId="77777777" w:rsidR="0022762B" w:rsidRDefault="0022762B" w:rsidP="0022762B">
      <w:pPr>
        <w:pStyle w:val="Textparagrafu"/>
        <w:tabs>
          <w:tab w:val="left" w:pos="392"/>
          <w:tab w:val="left" w:pos="840"/>
        </w:tabs>
        <w:spacing w:after="120"/>
        <w:ind w:firstLine="0"/>
        <w:jc w:val="center"/>
        <w:sectPr w:rsidR="0022762B" w:rsidSect="00554E2B">
          <w:footnotePr>
            <w:numStart w:val="3"/>
          </w:footnotePr>
          <w:endnotePr>
            <w:numFmt w:val="decimal"/>
          </w:endnotePr>
          <w:pgSz w:w="11906" w:h="16838"/>
          <w:pgMar w:top="1418" w:right="1418" w:bottom="1418" w:left="1418" w:header="709" w:footer="709" w:gutter="0"/>
          <w:cols w:space="708"/>
          <w:docGrid w:linePitch="360"/>
        </w:sectPr>
      </w:pPr>
    </w:p>
    <w:p w14:paraId="25339CCD" w14:textId="249DBF16" w:rsidR="0022762B" w:rsidRPr="003632DB" w:rsidRDefault="0022762B" w:rsidP="0077786D">
      <w:pPr>
        <w:tabs>
          <w:tab w:val="left" w:pos="851"/>
        </w:tabs>
        <w:spacing w:before="120" w:after="120"/>
        <w:ind w:firstLine="0"/>
        <w:jc w:val="center"/>
        <w:outlineLvl w:val="0"/>
        <w:rPr>
          <w:szCs w:val="24"/>
        </w:rPr>
      </w:pPr>
      <w:r w:rsidRPr="003632DB">
        <w:rPr>
          <w:b/>
          <w:szCs w:val="24"/>
        </w:rPr>
        <w:lastRenderedPageBreak/>
        <w:t xml:space="preserve">K části devadesáté </w:t>
      </w:r>
      <w:r w:rsidR="003632DB" w:rsidRPr="003632DB">
        <w:rPr>
          <w:b/>
          <w:szCs w:val="24"/>
        </w:rPr>
        <w:t>čtvrté</w:t>
      </w:r>
      <w:r w:rsidRPr="003632DB">
        <w:rPr>
          <w:b/>
          <w:szCs w:val="24"/>
        </w:rPr>
        <w:t xml:space="preserve"> návrhu zákona – </w:t>
      </w:r>
      <w:r w:rsidRPr="003632DB">
        <w:rPr>
          <w:szCs w:val="24"/>
        </w:rPr>
        <w:t>změna zákona</w:t>
      </w:r>
      <w:r w:rsidRPr="003632DB">
        <w:t xml:space="preserve"> </w:t>
      </w:r>
      <w:r w:rsidRPr="003632DB">
        <w:rPr>
          <w:szCs w:val="24"/>
        </w:rPr>
        <w:t>o některých opatřeních ke zprůhlednění finančních vztahů v oblasti veřejné podpory</w:t>
      </w:r>
    </w:p>
    <w:p w14:paraId="481320B7" w14:textId="2E472F59" w:rsidR="0022762B" w:rsidRPr="003632DB" w:rsidRDefault="0022762B" w:rsidP="0022762B">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3632DB">
        <w:rPr>
          <w:b/>
          <w:szCs w:val="24"/>
        </w:rPr>
        <w:t>Platné znění</w:t>
      </w:r>
      <w:r w:rsidRPr="003632DB">
        <w:rPr>
          <w:szCs w:val="24"/>
        </w:rPr>
        <w:t xml:space="preserve"> zákona č. 319/2006 Sb., o některých opatřeních ke zprůhlednění finančních vztahů v oblasti veřejné podpory, a o změně zákona č. 235/2004 Sb., o dani z přidané hodnoty, ve znění pozdějších předpisů</w:t>
      </w:r>
    </w:p>
    <w:p w14:paraId="20DAF352" w14:textId="350BE6B0" w:rsidR="0022762B" w:rsidRPr="003632DB" w:rsidRDefault="0077786D" w:rsidP="0022762B">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AE4818">
        <w:rPr>
          <w:b/>
          <w:szCs w:val="24"/>
          <w:lang w:eastAsia="en-US"/>
        </w:rPr>
        <w:t>s vyznačením navrhovaných změn a doplnění k 1. lednu 2025</w:t>
      </w:r>
    </w:p>
    <w:p w14:paraId="6BA62138" w14:textId="77777777" w:rsidR="0022762B" w:rsidRPr="003632DB" w:rsidRDefault="0022762B" w:rsidP="0022762B">
      <w:pPr>
        <w:pStyle w:val="Textparagrafu"/>
        <w:numPr>
          <w:ilvl w:val="0"/>
          <w:numId w:val="27"/>
        </w:numPr>
        <w:tabs>
          <w:tab w:val="left" w:pos="392"/>
          <w:tab w:val="left" w:pos="840"/>
        </w:tabs>
        <w:spacing w:after="120"/>
        <w:jc w:val="center"/>
      </w:pPr>
      <w:r w:rsidRPr="003632DB">
        <w:t>***</w:t>
      </w:r>
    </w:p>
    <w:p w14:paraId="5BFBEB00" w14:textId="77777777" w:rsidR="003632DB" w:rsidRDefault="003632DB" w:rsidP="00992796">
      <w:pPr>
        <w:pStyle w:val="Paragraf"/>
        <w:numPr>
          <w:ilvl w:val="0"/>
          <w:numId w:val="39"/>
        </w:numPr>
        <w:spacing w:after="120"/>
      </w:pPr>
      <w:r>
        <w:t>§ 4</w:t>
      </w:r>
    </w:p>
    <w:p w14:paraId="6A7341FA" w14:textId="77777777" w:rsidR="003632DB" w:rsidRPr="00483545" w:rsidRDefault="003632DB" w:rsidP="009B0DB6">
      <w:pPr>
        <w:pStyle w:val="Textodstavce"/>
        <w:spacing w:before="240"/>
        <w:ind w:firstLine="425"/>
      </w:pPr>
      <w:r>
        <w:t xml:space="preserve">(1) </w:t>
      </w:r>
      <w:r w:rsidRPr="006F0BE0">
        <w:t>Osoba ovládaná subjektem veřejné správy působící ve zpracovatelském průmyslu</w:t>
      </w:r>
      <w:r>
        <w:rPr>
          <w:rStyle w:val="Znakapoznpodarou"/>
        </w:rPr>
        <w:footnoteReference w:customMarkFollows="1" w:id="506"/>
        <w:t>4)</w:t>
      </w:r>
      <w:r w:rsidRPr="006F0BE0">
        <w:t xml:space="preserve">, jejíž roční úhrn čistého obratu za bezprostředně předcházející </w:t>
      </w:r>
      <w:r>
        <w:rPr>
          <w:b/>
        </w:rPr>
        <w:t xml:space="preserve">individuální </w:t>
      </w:r>
      <w:r w:rsidRPr="006F0BE0">
        <w:t xml:space="preserve">účetní období je vyšší než částka odpovídající </w:t>
      </w:r>
      <w:r w:rsidRPr="00483545">
        <w:t xml:space="preserve">250 000 000 EUR, má povinnost předložit Úřadu </w:t>
      </w:r>
      <w:r w:rsidRPr="00483545">
        <w:rPr>
          <w:strike/>
        </w:rPr>
        <w:t>výroční zprávu</w:t>
      </w:r>
      <w:r w:rsidRPr="00483545">
        <w:rPr>
          <w:rStyle w:val="Znakapoznpodarou"/>
          <w:strike/>
        </w:rPr>
        <w:footnoteReference w:customMarkFollows="1" w:id="507"/>
        <w:t>6)</w:t>
      </w:r>
      <w:r w:rsidRPr="00483545">
        <w:rPr>
          <w:strike/>
        </w:rPr>
        <w:t>, řádnou</w:t>
      </w:r>
      <w:r w:rsidRPr="00483545">
        <w:t xml:space="preserve"> </w:t>
      </w:r>
      <w:r w:rsidRPr="00483545">
        <w:rPr>
          <w:b/>
        </w:rPr>
        <w:t>individuální zprávu vedení, řádnou</w:t>
      </w:r>
      <w:r w:rsidRPr="00483545">
        <w:t xml:space="preserve"> </w:t>
      </w:r>
      <w:r w:rsidRPr="00483545">
        <w:rPr>
          <w:b/>
        </w:rPr>
        <w:t xml:space="preserve">individuální </w:t>
      </w:r>
      <w:r w:rsidRPr="00483545">
        <w:t>účetní</w:t>
      </w:r>
      <w:r w:rsidRPr="00483545">
        <w:rPr>
          <w:strike/>
        </w:rPr>
        <w:t xml:space="preserve"> </w:t>
      </w:r>
      <w:r w:rsidRPr="00483545">
        <w:t>závěrku</w:t>
      </w:r>
      <w:r w:rsidRPr="00483545">
        <w:rPr>
          <w:rStyle w:val="Znakapoznpodarou"/>
          <w:strike/>
        </w:rPr>
        <w:footnoteReference w:customMarkFollows="1" w:id="508"/>
        <w:t>7)</w:t>
      </w:r>
      <w:r w:rsidRPr="00483545">
        <w:t xml:space="preserve"> a zápisy z valných hromad konaných v tomto </w:t>
      </w:r>
      <w:r w:rsidRPr="00483545">
        <w:rPr>
          <w:b/>
        </w:rPr>
        <w:t xml:space="preserve">individuálním </w:t>
      </w:r>
      <w:r w:rsidRPr="00483545">
        <w:t>účetním období, a pokud v nich nejsou obsaženy, předloží také údaje o</w:t>
      </w:r>
    </w:p>
    <w:p w14:paraId="62B711FF" w14:textId="77777777" w:rsidR="003632DB" w:rsidRPr="00483545" w:rsidRDefault="003632DB" w:rsidP="003632DB">
      <w:pPr>
        <w:pStyle w:val="Textparagrafu"/>
        <w:numPr>
          <w:ilvl w:val="0"/>
          <w:numId w:val="27"/>
        </w:numPr>
        <w:tabs>
          <w:tab w:val="left" w:pos="392"/>
          <w:tab w:val="left" w:pos="840"/>
        </w:tabs>
        <w:spacing w:before="0"/>
        <w:ind w:left="425" w:hanging="425"/>
      </w:pPr>
      <w:r w:rsidRPr="00483545">
        <w:t>a)</w:t>
      </w:r>
      <w:r w:rsidRPr="00483545">
        <w:tab/>
        <w:t>změnách základního kapitálu a jiných kapitálových fondů, které tvoří vlastní kapitál, a uvedení souvisejících podmínek, zejména údaje o druhu, formě a podobě akcií, o samostatně převoditelných právech, o zatímních listech a dluhopisech,</w:t>
      </w:r>
    </w:p>
    <w:p w14:paraId="243A5F58" w14:textId="77777777" w:rsidR="003632DB" w:rsidRPr="00483545" w:rsidRDefault="003632DB" w:rsidP="003632DB">
      <w:pPr>
        <w:pStyle w:val="Textparagrafu"/>
        <w:numPr>
          <w:ilvl w:val="0"/>
          <w:numId w:val="27"/>
        </w:numPr>
        <w:tabs>
          <w:tab w:val="left" w:pos="392"/>
          <w:tab w:val="left" w:pos="840"/>
        </w:tabs>
        <w:spacing w:before="0"/>
        <w:ind w:left="425" w:hanging="425"/>
      </w:pPr>
      <w:r w:rsidRPr="00483545">
        <w:t>b)</w:t>
      </w:r>
      <w:r w:rsidRPr="00483545">
        <w:tab/>
        <w:t>dotacích a návratných finančních výpomocích,</w:t>
      </w:r>
    </w:p>
    <w:p w14:paraId="6E688889" w14:textId="77777777" w:rsidR="003632DB" w:rsidRPr="00483545" w:rsidRDefault="003632DB" w:rsidP="003632DB">
      <w:pPr>
        <w:pStyle w:val="Textparagrafu"/>
        <w:numPr>
          <w:ilvl w:val="0"/>
          <w:numId w:val="27"/>
        </w:numPr>
        <w:tabs>
          <w:tab w:val="left" w:pos="392"/>
          <w:tab w:val="left" w:pos="840"/>
        </w:tabs>
        <w:spacing w:before="0"/>
        <w:ind w:left="425" w:hanging="425"/>
      </w:pPr>
      <w:r w:rsidRPr="00483545">
        <w:t>c)</w:t>
      </w:r>
      <w:r w:rsidRPr="00483545">
        <w:tab/>
        <w:t>úvěrech poskytnutých subjekty veřejné správy osobě ovládané subjektem veřejné správy, a to včetně specifikace úrokové míry, podmínek a zajištění úvěrů,</w:t>
      </w:r>
    </w:p>
    <w:p w14:paraId="3B4ADA3E" w14:textId="77777777" w:rsidR="003632DB" w:rsidRPr="00483545" w:rsidRDefault="003632DB" w:rsidP="003632DB">
      <w:pPr>
        <w:pStyle w:val="Textparagrafu"/>
        <w:numPr>
          <w:ilvl w:val="0"/>
          <w:numId w:val="27"/>
        </w:numPr>
        <w:tabs>
          <w:tab w:val="left" w:pos="392"/>
          <w:tab w:val="left" w:pos="840"/>
        </w:tabs>
        <w:spacing w:before="0"/>
        <w:ind w:left="425" w:hanging="425"/>
      </w:pPr>
      <w:r w:rsidRPr="00483545">
        <w:t>d)</w:t>
      </w:r>
      <w:r w:rsidRPr="00483545">
        <w:tab/>
        <w:t>zajištění úvěrů poskytnutých subjekty veřejné správy osobě ovládané subjektem veřejné správy, a to včetně specifikace podmínek, za nichž bylo zajištění poskytnuto,</w:t>
      </w:r>
    </w:p>
    <w:p w14:paraId="41A35AB5" w14:textId="77777777" w:rsidR="003632DB" w:rsidRPr="00483545" w:rsidRDefault="003632DB" w:rsidP="003632DB">
      <w:pPr>
        <w:pStyle w:val="Textparagrafu"/>
        <w:numPr>
          <w:ilvl w:val="0"/>
          <w:numId w:val="27"/>
        </w:numPr>
        <w:tabs>
          <w:tab w:val="left" w:pos="392"/>
          <w:tab w:val="left" w:pos="840"/>
        </w:tabs>
        <w:spacing w:before="0"/>
        <w:ind w:left="425" w:hanging="425"/>
      </w:pPr>
      <w:r w:rsidRPr="00483545">
        <w:t>e)</w:t>
      </w:r>
      <w:r w:rsidRPr="00483545">
        <w:tab/>
        <w:t>vyplacených podílech na zisku a nerozděleném zisku,</w:t>
      </w:r>
    </w:p>
    <w:p w14:paraId="32DBB7F5" w14:textId="77777777" w:rsidR="003632DB" w:rsidRPr="00483545" w:rsidRDefault="003632DB" w:rsidP="003632DB">
      <w:pPr>
        <w:pStyle w:val="Textparagrafu"/>
        <w:numPr>
          <w:ilvl w:val="0"/>
          <w:numId w:val="27"/>
        </w:numPr>
        <w:tabs>
          <w:tab w:val="left" w:pos="392"/>
          <w:tab w:val="left" w:pos="840"/>
        </w:tabs>
        <w:spacing w:before="0"/>
        <w:ind w:left="425" w:hanging="425"/>
      </w:pPr>
      <w:r w:rsidRPr="00483545">
        <w:t>f)</w:t>
      </w:r>
      <w:r w:rsidRPr="00483545">
        <w:tab/>
        <w:t>ostatních prostředcích poskytnutých subjekty veřejné správy osobě ovládané subjektem veřejné správy působící ve zpracovatelském průmyslu, a to včetně vztahů mezi jednotlivými stranami transakcí.</w:t>
      </w:r>
    </w:p>
    <w:p w14:paraId="322D028E" w14:textId="77777777" w:rsidR="003632DB" w:rsidRPr="00483545" w:rsidRDefault="003632DB" w:rsidP="0077786D">
      <w:pPr>
        <w:pStyle w:val="Textodstavce"/>
        <w:ind w:firstLine="425"/>
      </w:pPr>
      <w:r w:rsidRPr="00483545">
        <w:t>(2) Osoba ovládaná subjektem veřejné správy působící ve zpracovatelském průmyslu</w:t>
      </w:r>
      <w:r w:rsidRPr="00483545">
        <w:rPr>
          <w:rStyle w:val="Znakapoznpodarou"/>
        </w:rPr>
        <w:footnoteReference w:customMarkFollows="1" w:id="509"/>
        <w:t>4)</w:t>
      </w:r>
      <w:r w:rsidRPr="00483545">
        <w:t>, jejíž roční úhrn čistého obratu za bezprostředně předcházející účetní období je vyšší než částka odpovídající 250 000 000 EUR, která sestavuje konsolidovanou účetní závěrku</w:t>
      </w:r>
      <w:r w:rsidRPr="00483545">
        <w:rPr>
          <w:rStyle w:val="Znakapoznpodarou"/>
        </w:rPr>
        <w:footnoteReference w:customMarkFollows="1" w:id="510"/>
        <w:t>8)</w:t>
      </w:r>
      <w:r w:rsidRPr="00483545">
        <w:t xml:space="preserve"> , má povinnost předložit Úřadu </w:t>
      </w:r>
      <w:r w:rsidRPr="00483545">
        <w:rPr>
          <w:strike/>
        </w:rPr>
        <w:t>výroční zprávu,</w:t>
      </w:r>
      <w:r w:rsidRPr="00483545">
        <w:t xml:space="preserve"> </w:t>
      </w:r>
      <w:r w:rsidRPr="00483545">
        <w:rPr>
          <w:b/>
        </w:rPr>
        <w:t>konsolidovanou zprávu vedení,</w:t>
      </w:r>
      <w:r w:rsidRPr="00483545">
        <w:t xml:space="preserve"> </w:t>
      </w:r>
      <w:r w:rsidRPr="00483545">
        <w:rPr>
          <w:b/>
        </w:rPr>
        <w:t xml:space="preserve">řádnou konsolidovanou </w:t>
      </w:r>
      <w:r w:rsidRPr="00483545">
        <w:t xml:space="preserve">účetní závěrku, zápisy z valných hromad a údaje podle odstavce 1 rovněž za konsolidační celek. Tím není dotčena povinnost účetních jednotek konsolidačního celku předložit výroční zprávu, </w:t>
      </w:r>
      <w:r w:rsidRPr="00483545">
        <w:rPr>
          <w:b/>
        </w:rPr>
        <w:t xml:space="preserve">řádnou individuální </w:t>
      </w:r>
      <w:r w:rsidRPr="00483545">
        <w:t>účetní závěrku, zápisy z valných hromad a údaje podle odstavce 1 zvlášť. V případech, kdy osoba ovládaná subjektem veřejné správy působící ve zpracovatelském průmyslu</w:t>
      </w:r>
      <w:r w:rsidRPr="00483545">
        <w:rPr>
          <w:vertAlign w:val="superscript"/>
        </w:rPr>
        <w:t>4)</w:t>
      </w:r>
      <w:r w:rsidRPr="00483545">
        <w:t xml:space="preserve"> sestavuje konsolidovanou účetní závěrku</w:t>
      </w:r>
      <w:r w:rsidRPr="00483545">
        <w:rPr>
          <w:vertAlign w:val="superscript"/>
        </w:rPr>
        <w:t>8)</w:t>
      </w:r>
      <w:r w:rsidRPr="00483545">
        <w:t xml:space="preserve"> a</w:t>
      </w:r>
      <w:r w:rsidRPr="00483545">
        <w:rPr>
          <w:strike/>
        </w:rPr>
        <w:t xml:space="preserve"> konsolidované účetní jednotky</w:t>
      </w:r>
      <w:r w:rsidRPr="00483545">
        <w:rPr>
          <w:rStyle w:val="Znakapoznpodarou"/>
          <w:strike/>
        </w:rPr>
        <w:footnoteReference w:customMarkFollows="1" w:id="511"/>
        <w:t>9)</w:t>
      </w:r>
      <w:r w:rsidRPr="00483545">
        <w:t xml:space="preserve"> </w:t>
      </w:r>
      <w:r w:rsidRPr="00483545">
        <w:rPr>
          <w:b/>
        </w:rPr>
        <w:t xml:space="preserve">její </w:t>
      </w:r>
      <w:r w:rsidRPr="00483545">
        <w:rPr>
          <w:b/>
        </w:rPr>
        <w:lastRenderedPageBreak/>
        <w:t xml:space="preserve">dceřiné entity </w:t>
      </w:r>
      <w:r w:rsidRPr="00483545">
        <w:t xml:space="preserve">působí v tomtéž nebo úzce souvisejícím odvětví, mohou být </w:t>
      </w:r>
      <w:r w:rsidRPr="00483545">
        <w:rPr>
          <w:strike/>
        </w:rPr>
        <w:t>výroční zpráva, účetní závěrka,</w:t>
      </w:r>
      <w:r w:rsidRPr="00483545">
        <w:t xml:space="preserve"> </w:t>
      </w:r>
      <w:r w:rsidRPr="00483545">
        <w:rPr>
          <w:b/>
        </w:rPr>
        <w:t>Úřadu předloženy pouze konsolidovaná zpráva vedení a řádná konsolidovaná účetní závěrka,</w:t>
      </w:r>
      <w:r w:rsidRPr="00483545">
        <w:t xml:space="preserve"> zápisy z valných hromad a údaje podle odstavce 1 </w:t>
      </w:r>
      <w:r w:rsidRPr="00483545">
        <w:rPr>
          <w:strike/>
        </w:rPr>
        <w:t>předloženy Úřadu</w:t>
      </w:r>
      <w:r w:rsidRPr="00483545">
        <w:t xml:space="preserve"> pouze za konsolidační celek</w:t>
      </w:r>
      <w:r w:rsidRPr="00483545">
        <w:rPr>
          <w:rStyle w:val="Znakapoznpodarou"/>
          <w:strike/>
        </w:rPr>
        <w:footnoteReference w:customMarkFollows="1" w:id="512"/>
        <w:t>10)</w:t>
      </w:r>
      <w:r w:rsidRPr="00483545">
        <w:t>.</w:t>
      </w:r>
    </w:p>
    <w:p w14:paraId="03C7BF2E" w14:textId="77777777" w:rsidR="003632DB" w:rsidRPr="00483545" w:rsidRDefault="003632DB" w:rsidP="0077786D">
      <w:pPr>
        <w:pStyle w:val="Textodstavce"/>
        <w:ind w:firstLine="425"/>
        <w:rPr>
          <w:b/>
        </w:rPr>
      </w:pPr>
      <w:r w:rsidRPr="00483545">
        <w:rPr>
          <w:b/>
        </w:rPr>
        <w:t>(2) Osoba ovládaná subjektem veřejné správy působící ve zpracovatelském průmyslu</w:t>
      </w:r>
      <w:r w:rsidRPr="00483545">
        <w:rPr>
          <w:rStyle w:val="Znakapoznpodarou"/>
          <w:b/>
        </w:rPr>
        <w:footnoteReference w:customMarkFollows="1" w:id="513"/>
        <w:t>4)</w:t>
      </w:r>
      <w:r w:rsidRPr="00483545">
        <w:rPr>
          <w:b/>
        </w:rPr>
        <w:t>, jejíž roční úhrn čistého obratu za bezprostředně předcházející účetní období je vyšší než částka odpovídající 250 000 000 EUR, která sestavuje konsolidovanou účetní závěrku</w:t>
      </w:r>
      <w:r w:rsidRPr="00483545">
        <w:rPr>
          <w:b/>
          <w:vertAlign w:val="superscript"/>
        </w:rPr>
        <w:t>8)</w:t>
      </w:r>
      <w:r w:rsidRPr="00483545">
        <w:rPr>
          <w:b/>
        </w:rPr>
        <w:t>, má povinnost předložit Úřadu konsolidovanou zprávu vedení, řádnou konsolidovanou účetní závěrku, zápisy z valných hromad a údaje podle odstavce 1 rovněž za konsolidační celek. Tím není dotčena povinnost účetních jednotek konsolidačního celku předložit výroční zprávu, řádnou individuální účetní závěrku, zápisy z valných hromad a údaje podle odstavce 1 zvlášť. V případech, kdy osoba ovládaná subjektem veřejné správy působící ve zpracovatelském průmyslu</w:t>
      </w:r>
      <w:r w:rsidRPr="00483545">
        <w:rPr>
          <w:b/>
          <w:vertAlign w:val="superscript"/>
        </w:rPr>
        <w:t>4)</w:t>
      </w:r>
      <w:r w:rsidRPr="00483545">
        <w:rPr>
          <w:b/>
        </w:rPr>
        <w:t xml:space="preserve"> sestavuje konsolidovanou účetní závěrku</w:t>
      </w:r>
      <w:r w:rsidRPr="00483545">
        <w:rPr>
          <w:b/>
          <w:vertAlign w:val="superscript"/>
        </w:rPr>
        <w:t>8)</w:t>
      </w:r>
      <w:r w:rsidRPr="00483545">
        <w:rPr>
          <w:b/>
        </w:rPr>
        <w:t xml:space="preserve"> a její dceřiné entity působí v tomtéž nebo úzce souvisejícím odvětví, mohou být Úřadu předloženy pouze konsolidovaná zpráva vedení a řádná konsolidovaná účetní závěrka, zápisy z valných hromad a údaje podle odstavce 1 pouze za konsolidační celek.</w:t>
      </w:r>
    </w:p>
    <w:p w14:paraId="20FE0707" w14:textId="77777777" w:rsidR="003632DB" w:rsidRPr="00483545" w:rsidRDefault="003632DB" w:rsidP="0077786D">
      <w:pPr>
        <w:pStyle w:val="Textodstavce"/>
        <w:ind w:firstLine="425"/>
      </w:pPr>
      <w:r w:rsidRPr="00483545">
        <w:t>(3)</w:t>
      </w:r>
      <w:r w:rsidRPr="00483545">
        <w:rPr>
          <w:strike/>
        </w:rPr>
        <w:t xml:space="preserve"> Výroční zprávu, </w:t>
      </w:r>
      <w:r w:rsidRPr="00483545">
        <w:rPr>
          <w:b/>
        </w:rPr>
        <w:t>Zprávu vedení,</w:t>
      </w:r>
      <w:r w:rsidRPr="00483545">
        <w:t xml:space="preserve"> </w:t>
      </w:r>
      <w:r w:rsidRPr="00483545">
        <w:rPr>
          <w:b/>
        </w:rPr>
        <w:t xml:space="preserve">řádnou </w:t>
      </w:r>
      <w:r w:rsidRPr="00483545">
        <w:t>účetní závěrku, zápisy z valných hromad a údaje podle odstavce 1 je osoba ovládaná subjektem veřejné správy působící ve zpracovatelském průmyslu</w:t>
      </w:r>
      <w:r w:rsidRPr="00483545">
        <w:rPr>
          <w:vertAlign w:val="superscript"/>
        </w:rPr>
        <w:t>4)</w:t>
      </w:r>
      <w:r w:rsidRPr="00483545">
        <w:t xml:space="preserve"> povinna předložit Úřadu do 10 pracovních dnů ode dne zveřejnění </w:t>
      </w:r>
      <w:r w:rsidRPr="00483545">
        <w:rPr>
          <w:b/>
        </w:rPr>
        <w:t xml:space="preserve">řádné </w:t>
      </w:r>
      <w:r w:rsidRPr="00483545">
        <w:t xml:space="preserve">účetní závěrky a </w:t>
      </w:r>
      <w:r w:rsidRPr="00483545">
        <w:rPr>
          <w:strike/>
        </w:rPr>
        <w:t>výroční zprávy</w:t>
      </w:r>
      <w:r w:rsidRPr="00483545">
        <w:rPr>
          <w:b/>
        </w:rPr>
        <w:t xml:space="preserve"> </w:t>
      </w:r>
      <w:proofErr w:type="spellStart"/>
      <w:r w:rsidRPr="00483545">
        <w:rPr>
          <w:b/>
        </w:rPr>
        <w:t>zprávy</w:t>
      </w:r>
      <w:proofErr w:type="spellEnd"/>
      <w:r w:rsidRPr="00483545">
        <w:rPr>
          <w:b/>
        </w:rPr>
        <w:t xml:space="preserve"> vedení</w:t>
      </w:r>
      <w:r w:rsidRPr="00483545">
        <w:t xml:space="preserve">. Úřad předá tyto údaje Komisi do 15 pracovních dnů ode dne zveřejnění </w:t>
      </w:r>
      <w:r w:rsidRPr="00483545">
        <w:rPr>
          <w:b/>
        </w:rPr>
        <w:t xml:space="preserve">řádné </w:t>
      </w:r>
      <w:r w:rsidRPr="00483545">
        <w:t xml:space="preserve">účetní závěrky a </w:t>
      </w:r>
      <w:r w:rsidRPr="00483545">
        <w:rPr>
          <w:strike/>
        </w:rPr>
        <w:t>výroční zprávy</w:t>
      </w:r>
      <w:r w:rsidRPr="00483545">
        <w:rPr>
          <w:b/>
        </w:rPr>
        <w:t xml:space="preserve"> </w:t>
      </w:r>
      <w:proofErr w:type="spellStart"/>
      <w:r w:rsidRPr="00483545">
        <w:rPr>
          <w:b/>
        </w:rPr>
        <w:t>zprávy</w:t>
      </w:r>
      <w:proofErr w:type="spellEnd"/>
      <w:r w:rsidRPr="00483545">
        <w:rPr>
          <w:b/>
        </w:rPr>
        <w:t xml:space="preserve"> vedení</w:t>
      </w:r>
      <w:r w:rsidRPr="00483545">
        <w:t>.</w:t>
      </w:r>
    </w:p>
    <w:p w14:paraId="4C605DAD" w14:textId="77777777" w:rsidR="003632DB" w:rsidRPr="00483545" w:rsidRDefault="003632DB" w:rsidP="0077786D">
      <w:pPr>
        <w:pStyle w:val="Textodstavce"/>
        <w:ind w:firstLine="425"/>
      </w:pPr>
      <w:r w:rsidRPr="00483545">
        <w:t>(4) V případě, že osoba ovládaná subjektem veřejné správy působící ve zpracovatelském průmyslu</w:t>
      </w:r>
      <w:r w:rsidRPr="00483545">
        <w:rPr>
          <w:vertAlign w:val="superscript"/>
        </w:rPr>
        <w:t>4)</w:t>
      </w:r>
      <w:r w:rsidRPr="00483545">
        <w:t xml:space="preserve"> nemá povinnost </w:t>
      </w:r>
      <w:r w:rsidRPr="00483545">
        <w:rPr>
          <w:b/>
        </w:rPr>
        <w:t xml:space="preserve">řádnou </w:t>
      </w:r>
      <w:r w:rsidRPr="00483545">
        <w:t xml:space="preserve">účetní závěrku a </w:t>
      </w:r>
      <w:r w:rsidRPr="00483545">
        <w:rPr>
          <w:strike/>
        </w:rPr>
        <w:t>výroční zprávu</w:t>
      </w:r>
      <w:r w:rsidRPr="00483545">
        <w:t xml:space="preserve"> </w:t>
      </w:r>
      <w:proofErr w:type="spellStart"/>
      <w:r w:rsidRPr="00483545">
        <w:rPr>
          <w:b/>
        </w:rPr>
        <w:t>zprávu</w:t>
      </w:r>
      <w:proofErr w:type="spellEnd"/>
      <w:r w:rsidRPr="00483545">
        <w:rPr>
          <w:b/>
        </w:rPr>
        <w:t xml:space="preserve"> vedení</w:t>
      </w:r>
      <w:r w:rsidRPr="00483545">
        <w:t xml:space="preserve"> zveřejnit, je povinna </w:t>
      </w:r>
      <w:r w:rsidRPr="00483545">
        <w:rPr>
          <w:strike/>
        </w:rPr>
        <w:t xml:space="preserve">výroční zprávu </w:t>
      </w:r>
      <w:proofErr w:type="spellStart"/>
      <w:r w:rsidRPr="00483545">
        <w:rPr>
          <w:b/>
        </w:rPr>
        <w:t>zprávu</w:t>
      </w:r>
      <w:proofErr w:type="spellEnd"/>
      <w:r w:rsidRPr="00483545">
        <w:rPr>
          <w:b/>
        </w:rPr>
        <w:t xml:space="preserve"> vedení</w:t>
      </w:r>
      <w:r w:rsidRPr="00483545">
        <w:t xml:space="preserve">, </w:t>
      </w:r>
      <w:r w:rsidRPr="00483545">
        <w:rPr>
          <w:b/>
        </w:rPr>
        <w:t xml:space="preserve">řádnou </w:t>
      </w:r>
      <w:r w:rsidRPr="00483545">
        <w:t>účetní závěrku, zápisy z valných hromad a údaje podle odstavce 1 předložit Úřadu do 8 měsíců po skončení jejího účetního období. Úřad předá tyto údaje Komisi do 9 měsíců po skončení účetního období této osoby.</w:t>
      </w:r>
    </w:p>
    <w:p w14:paraId="27F6904A" w14:textId="77777777" w:rsidR="003632DB" w:rsidRPr="00483545" w:rsidRDefault="003632DB" w:rsidP="0077786D">
      <w:pPr>
        <w:pStyle w:val="Textodstavce"/>
        <w:ind w:firstLine="425"/>
      </w:pPr>
      <w:r w:rsidRPr="00483545">
        <w:t>(5) Osoba ovládaná subjektem veřejné správy působící ve zpracovatelském průmyslu</w:t>
      </w:r>
      <w:r w:rsidRPr="00483545">
        <w:rPr>
          <w:vertAlign w:val="superscript"/>
        </w:rPr>
        <w:t>4)</w:t>
      </w:r>
      <w:r w:rsidRPr="00483545">
        <w:t>, u níž roční úhrn čistého obratu za uplynulé účetní období přesáhl částku 250 000 000 EUR, má povinnost sdělit Úřadu jeho výši, a to ve lhůtě 2 měsíců od skončení příslušného účetního období. Osoba ovládaná subjektem veřejné správy působící ve zpracovatelském průmyslu je povinna poskytnout na žádost Úřadu další informace potřebné ke splnění povinností podle tohoto zákona, a to ve lhůtě stanovené Úřadem, která nesmí být kratší než 15 pracovních dnů. Úřad lhůtu během jejího trvání na žádost prodlouží, existují-li pro prodloužení vážné důvody.</w:t>
      </w:r>
    </w:p>
    <w:p w14:paraId="390A2393" w14:textId="77777777" w:rsidR="003632DB" w:rsidRPr="00483545" w:rsidRDefault="003632DB" w:rsidP="0077786D">
      <w:pPr>
        <w:pStyle w:val="Textodstavce"/>
        <w:ind w:firstLine="425"/>
      </w:pPr>
      <w:r w:rsidRPr="00483545">
        <w:t>(6) Úřad eviduje a poskytuje Komisi aktualizovaný seznam osob ovládaných subjekty veřejné správy působících ve zpracovatelském průmyslu, u nichž roční úhrn čistého obratu za uplynulé účetní období přesáhl částku 250 000 000 EUR, a údaje o výši jejich ročního úhrnu čistého obratu, a to vždy k 31. březnu kalendářního roku.</w:t>
      </w:r>
    </w:p>
    <w:p w14:paraId="55039D30" w14:textId="77777777" w:rsidR="003632DB" w:rsidRPr="00483545" w:rsidRDefault="003632DB" w:rsidP="00992796">
      <w:pPr>
        <w:pStyle w:val="Paragraf"/>
        <w:numPr>
          <w:ilvl w:val="0"/>
          <w:numId w:val="39"/>
        </w:numPr>
        <w:spacing w:after="120"/>
      </w:pPr>
      <w:r w:rsidRPr="00483545">
        <w:t>§ 5</w:t>
      </w:r>
    </w:p>
    <w:p w14:paraId="06B20BAA" w14:textId="77777777" w:rsidR="003632DB" w:rsidRPr="00483545" w:rsidRDefault="003632DB" w:rsidP="009B0DB6">
      <w:pPr>
        <w:pStyle w:val="Textodstavce"/>
        <w:spacing w:before="240"/>
        <w:ind w:firstLine="425"/>
      </w:pPr>
      <w:r w:rsidRPr="00483545">
        <w:t xml:space="preserve">(1) Osoby účtující odděleně vedou účetnictví podle zákona o účetnictví a sestavují účtový rozvrh tak, aby účetní závěrka obsahovala i členění položek podle činností spojených se zvláštními a výlučnými právy nebo se službami obecného hospodářského významu, které byly </w:t>
      </w:r>
      <w:r w:rsidRPr="00483545">
        <w:lastRenderedPageBreak/>
        <w:t xml:space="preserve">osobě účtující odděleně svěřeny, a podle ostatních činností, kterými se zabývá; tím není </w:t>
      </w:r>
      <w:r w:rsidRPr="00483545">
        <w:rPr>
          <w:strike/>
        </w:rPr>
        <w:t>dotčena povinnost vést účetnictví podle zvláštního právního předpisu</w:t>
      </w:r>
      <w:r w:rsidRPr="00483545">
        <w:rPr>
          <w:rStyle w:val="Znakapoznpodarou"/>
          <w:strike/>
        </w:rPr>
        <w:footnoteReference w:customMarkFollows="1" w:id="514"/>
        <w:t>11)</w:t>
      </w:r>
      <w:r w:rsidRPr="00483545">
        <w:t xml:space="preserve"> </w:t>
      </w:r>
      <w:r w:rsidRPr="00483545">
        <w:rPr>
          <w:b/>
        </w:rPr>
        <w:t>dotčeno plnění povinností podle právních předpisů upravujících účetnictví</w:t>
      </w:r>
      <w:r w:rsidRPr="00483545">
        <w:t>. Osoba účtující odděleně uvede v účtovém rozvrhu nákladové a výnosové účty související na straně jedné s činnostmi spojenými se zvláštními a výlučnými právy nebo se službami obecného hospodářského významu a na straně druhé s jinými činnostmi, kterými se zabývá. Osoba účtující odděleně stanoví obsahové vymezení těchto účtů vnitřním předpisem.</w:t>
      </w:r>
    </w:p>
    <w:p w14:paraId="77762856" w14:textId="77777777" w:rsidR="003632DB" w:rsidRPr="00483545" w:rsidRDefault="003632DB" w:rsidP="009B0DB6">
      <w:pPr>
        <w:pStyle w:val="Textodstavce"/>
        <w:spacing w:before="240"/>
        <w:ind w:firstLine="425"/>
      </w:pPr>
      <w:r w:rsidRPr="00483545">
        <w:t>(2) Ustanovení odstavce 1 se nevztahuje na osoby účtující odděleně</w:t>
      </w:r>
    </w:p>
    <w:p w14:paraId="0AF65232" w14:textId="77777777" w:rsidR="003632DB" w:rsidRPr="00483545" w:rsidRDefault="003632DB" w:rsidP="003632DB">
      <w:pPr>
        <w:pStyle w:val="Textparagrafu"/>
        <w:numPr>
          <w:ilvl w:val="0"/>
          <w:numId w:val="27"/>
        </w:numPr>
        <w:tabs>
          <w:tab w:val="left" w:pos="392"/>
          <w:tab w:val="left" w:pos="840"/>
        </w:tabs>
        <w:spacing w:before="0"/>
        <w:ind w:left="425" w:hanging="425"/>
      </w:pPr>
      <w:r w:rsidRPr="00483545">
        <w:t>a)</w:t>
      </w:r>
      <w:r w:rsidRPr="00483545">
        <w:tab/>
        <w:t>u nichž za dvě účetní období bezprostředně předcházející účetnímu období, ve kterém měly uděleno zvláštní nebo výlučné právo nebo svěřenou službu obecného hospodářského významu, celkový roční úhrn čistého obratu nepřekročil částku odpovídající 40 000 000 EUR anebo v případě osob účtujících odděleně, které jsou oprávněny přijímat vklady od veřejnosti a poskytovat úvěry na vlastní účet, aktiva celkem nepřekročila částku odpovídající 800 000 000 EUR,</w:t>
      </w:r>
    </w:p>
    <w:p w14:paraId="26BC11D2" w14:textId="77777777" w:rsidR="003632DB" w:rsidRPr="00483545" w:rsidRDefault="003632DB" w:rsidP="003632DB">
      <w:pPr>
        <w:pStyle w:val="Textparagrafu"/>
        <w:numPr>
          <w:ilvl w:val="0"/>
          <w:numId w:val="27"/>
        </w:numPr>
        <w:tabs>
          <w:tab w:val="left" w:pos="392"/>
          <w:tab w:val="left" w:pos="840"/>
        </w:tabs>
        <w:spacing w:before="0"/>
        <w:ind w:left="425" w:hanging="425"/>
      </w:pPr>
      <w:r w:rsidRPr="00483545">
        <w:t>b)</w:t>
      </w:r>
      <w:r w:rsidRPr="00483545">
        <w:tab/>
        <w:t>poskytující služby, u nichž nemůže dojít k podstatnému ovlivnění obchodu mezi členskými státy Evropských společenství, nebo</w:t>
      </w:r>
    </w:p>
    <w:p w14:paraId="18046DF9" w14:textId="77777777" w:rsidR="003632DB" w:rsidRPr="00483545" w:rsidRDefault="003632DB" w:rsidP="003632DB">
      <w:pPr>
        <w:pStyle w:val="Textparagrafu"/>
        <w:numPr>
          <w:ilvl w:val="0"/>
          <w:numId w:val="27"/>
        </w:numPr>
        <w:tabs>
          <w:tab w:val="left" w:pos="392"/>
          <w:tab w:val="left" w:pos="840"/>
        </w:tabs>
        <w:spacing w:before="0"/>
        <w:ind w:left="425" w:hanging="425"/>
      </w:pPr>
      <w:r w:rsidRPr="00483545">
        <w:t>c)</w:t>
      </w:r>
      <w:r w:rsidRPr="00483545">
        <w:tab/>
        <w:t>poskytující služby nebo vykonávající činnosti, na které se vztahují zvláštní právní předpisy</w:t>
      </w:r>
      <w:r w:rsidRPr="00483545">
        <w:rPr>
          <w:rStyle w:val="Znakapoznpodarou"/>
        </w:rPr>
        <w:footnoteReference w:customMarkFollows="1" w:id="515"/>
        <w:t>12)</w:t>
      </w:r>
      <w:r w:rsidRPr="00483545">
        <w:t>; povinnost účtovat odděleně nesmí ovlivnit závazky vyplývající ze Smlouvy o založení Evropského společenství nebo jiných předpisů Evropských společenství.</w:t>
      </w:r>
    </w:p>
    <w:p w14:paraId="7CFBA446" w14:textId="77777777" w:rsidR="003632DB" w:rsidRPr="00483545" w:rsidRDefault="003632DB" w:rsidP="009B0DB6">
      <w:pPr>
        <w:pStyle w:val="Textodstavce"/>
        <w:spacing w:before="240"/>
        <w:ind w:firstLine="425"/>
      </w:pPr>
      <w:r w:rsidRPr="00483545">
        <w:t>(3) Osoba účtující odděleně je povinna na žádost Úřadu prokázat plnění povinnosti podle odstavce 1 zejména předložením účtového rozvrhu a vnitřního předpisu uvedeného v odstavci 1, a to ve lhůtě stanovené Úřadem, která nesmí být kratší než 15 pracovních dnů. Úřad lhůtu během jejího trvání na žádost prodlouží, existují-li pro prodloužení vážné důvody.</w:t>
      </w:r>
    </w:p>
    <w:p w14:paraId="5CDA01D2" w14:textId="77777777" w:rsidR="003632DB" w:rsidRPr="00483545" w:rsidRDefault="003632DB" w:rsidP="009B0DB6">
      <w:pPr>
        <w:pStyle w:val="Textodstavce"/>
        <w:spacing w:before="240"/>
        <w:ind w:firstLine="425"/>
      </w:pPr>
      <w:r w:rsidRPr="00483545">
        <w:t>(4) Údaje získané podle odstavce 3 Úřad předkládá Komisi na její žádost.</w:t>
      </w:r>
    </w:p>
    <w:p w14:paraId="3284C0D0" w14:textId="77777777" w:rsidR="003632DB" w:rsidRPr="00483545" w:rsidRDefault="003632DB" w:rsidP="00992796">
      <w:pPr>
        <w:pStyle w:val="Paragraf"/>
        <w:numPr>
          <w:ilvl w:val="0"/>
          <w:numId w:val="39"/>
        </w:numPr>
        <w:spacing w:after="120"/>
      </w:pPr>
      <w:r w:rsidRPr="00483545">
        <w:t>§ 6</w:t>
      </w:r>
    </w:p>
    <w:p w14:paraId="29E5B824" w14:textId="77777777" w:rsidR="003632DB" w:rsidRPr="00483545" w:rsidRDefault="003632DB" w:rsidP="009B0DB6">
      <w:pPr>
        <w:pStyle w:val="Textodstavce"/>
        <w:spacing w:before="240"/>
        <w:ind w:firstLine="425"/>
      </w:pPr>
      <w:r w:rsidRPr="00483545">
        <w:t>(1) Osoba ovládaná subjektem veřejné správy, nejde-li o právnickou osobu uvedenou v § 3 odst. 3, se dopustí přestupku tím, že neeviduje údaje o veřejných prostředcích podle § 3 odst. 1, nebo evidované údaje o veřejných prostředcích neuschovává podle § 3 odst. 4, anebo je neposkytne podle § 3 odst. 5.</w:t>
      </w:r>
    </w:p>
    <w:p w14:paraId="6CD608FA" w14:textId="77777777" w:rsidR="003632DB" w:rsidRPr="00483545" w:rsidRDefault="003632DB" w:rsidP="009B0DB6">
      <w:pPr>
        <w:pStyle w:val="Textodstavce"/>
        <w:spacing w:before="240"/>
        <w:ind w:firstLine="425"/>
      </w:pPr>
      <w:r w:rsidRPr="00483545">
        <w:t>(2) Osoba ovládaná subjektem veřejné správy působící ve zpracovatelském průmyslu</w:t>
      </w:r>
      <w:r w:rsidRPr="00483545">
        <w:rPr>
          <w:vertAlign w:val="superscript"/>
        </w:rPr>
        <w:t>4)</w:t>
      </w:r>
      <w:r w:rsidRPr="00483545">
        <w:t>, jejíž roční úhrn čistého obratu za bezprostředně předcházející účetní období je vyšší než částka odpovídající 250 000 000 EUR, se dopustí přestupku tím, že</w:t>
      </w:r>
    </w:p>
    <w:p w14:paraId="6A235F18" w14:textId="77777777" w:rsidR="003632DB" w:rsidRPr="00483545" w:rsidRDefault="003632DB" w:rsidP="003632DB">
      <w:pPr>
        <w:pStyle w:val="Textparagrafu"/>
        <w:numPr>
          <w:ilvl w:val="0"/>
          <w:numId w:val="27"/>
        </w:numPr>
        <w:tabs>
          <w:tab w:val="left" w:pos="392"/>
          <w:tab w:val="left" w:pos="840"/>
        </w:tabs>
        <w:spacing w:before="0"/>
        <w:ind w:left="425" w:hanging="425"/>
      </w:pPr>
      <w:r w:rsidRPr="00483545">
        <w:t>a)</w:t>
      </w:r>
      <w:r w:rsidRPr="00483545">
        <w:tab/>
        <w:t xml:space="preserve">nepředloží </w:t>
      </w:r>
      <w:r w:rsidRPr="00483545">
        <w:rPr>
          <w:strike/>
        </w:rPr>
        <w:t>výroční zprávu</w:t>
      </w:r>
      <w:r w:rsidRPr="00483545">
        <w:t xml:space="preserve"> </w:t>
      </w:r>
      <w:r w:rsidRPr="00483545">
        <w:rPr>
          <w:b/>
        </w:rPr>
        <w:t>individuální zprávu vedení</w:t>
      </w:r>
      <w:r w:rsidRPr="00483545">
        <w:t xml:space="preserve"> nebo řádnou </w:t>
      </w:r>
      <w:r w:rsidRPr="00483545">
        <w:rPr>
          <w:b/>
        </w:rPr>
        <w:t xml:space="preserve">individuální </w:t>
      </w:r>
      <w:r w:rsidRPr="00483545">
        <w:t>účetní závěrku nebo zápisy z valné hromady anebo údaje podle § 4 odst. 1 písm. a) až e) ve lhůtě stanovené v § 4 odst. 3 nebo 4, nebo</w:t>
      </w:r>
    </w:p>
    <w:p w14:paraId="6A041AB8" w14:textId="77777777" w:rsidR="003632DB" w:rsidRPr="00483545" w:rsidRDefault="003632DB" w:rsidP="003632DB">
      <w:pPr>
        <w:pStyle w:val="Textparagrafu"/>
        <w:numPr>
          <w:ilvl w:val="0"/>
          <w:numId w:val="27"/>
        </w:numPr>
        <w:tabs>
          <w:tab w:val="left" w:pos="392"/>
          <w:tab w:val="left" w:pos="840"/>
        </w:tabs>
        <w:spacing w:before="0"/>
        <w:ind w:left="425" w:hanging="425"/>
      </w:pPr>
      <w:r w:rsidRPr="00483545">
        <w:t>b)</w:t>
      </w:r>
      <w:r w:rsidRPr="00483545">
        <w:tab/>
        <w:t xml:space="preserve">nepředloží </w:t>
      </w:r>
      <w:r w:rsidRPr="00483545">
        <w:rPr>
          <w:strike/>
        </w:rPr>
        <w:t>výroční zprávu</w:t>
      </w:r>
      <w:r w:rsidRPr="00483545">
        <w:t xml:space="preserve"> </w:t>
      </w:r>
      <w:r w:rsidRPr="00483545">
        <w:rPr>
          <w:b/>
        </w:rPr>
        <w:t>konsolidovanou zprávu vedení</w:t>
      </w:r>
      <w:r w:rsidRPr="00483545">
        <w:t xml:space="preserve"> nebo </w:t>
      </w:r>
      <w:r w:rsidRPr="00483545">
        <w:rPr>
          <w:b/>
        </w:rPr>
        <w:t xml:space="preserve">řádnou konsolidovanou </w:t>
      </w:r>
      <w:r w:rsidRPr="00483545">
        <w:t>účetní závěrku</w:t>
      </w:r>
      <w:r w:rsidRPr="00483545">
        <w:rPr>
          <w:b/>
        </w:rPr>
        <w:t xml:space="preserve"> </w:t>
      </w:r>
      <w:r w:rsidRPr="00483545">
        <w:t>nebo zápisy z valných hromad anebo údaje podle § 4 odst. 1 písm. a) až e) ve lhůtě stanovené v § 4 odst. 3 nebo 4 za konsolidační celek</w:t>
      </w:r>
      <w:r w:rsidRPr="00483545">
        <w:rPr>
          <w:strike/>
          <w:vertAlign w:val="superscript"/>
        </w:rPr>
        <w:t>10)</w:t>
      </w:r>
      <w:r w:rsidRPr="00483545">
        <w:t>, jestliže sestavuje konsolidovanou účetní závěrku</w:t>
      </w:r>
      <w:r w:rsidRPr="00483545">
        <w:rPr>
          <w:strike/>
          <w:vertAlign w:val="superscript"/>
        </w:rPr>
        <w:t>8)</w:t>
      </w:r>
      <w:r w:rsidRPr="00483545">
        <w:t>.</w:t>
      </w:r>
    </w:p>
    <w:p w14:paraId="3A82007A" w14:textId="77777777" w:rsidR="003632DB" w:rsidRPr="00483545" w:rsidRDefault="003632DB" w:rsidP="009B0DB6">
      <w:pPr>
        <w:pStyle w:val="Textodstavce"/>
        <w:spacing w:before="240"/>
        <w:ind w:firstLine="425"/>
      </w:pPr>
      <w:r w:rsidRPr="00483545">
        <w:lastRenderedPageBreak/>
        <w:t>(3) Právnická nebo podnikající fyzická osoba se jako osoba účtující odděleně podle § 5, nejde-li o právnickou nebo podnikající fyzickou osobu uvedenou v § 5 odst. 2, dopustí přestupku tím, že nesplní povinnosti podle § 5 odst. 1</w:t>
      </w:r>
    </w:p>
    <w:p w14:paraId="285916EC" w14:textId="77777777" w:rsidR="003632DB" w:rsidRPr="00483545" w:rsidRDefault="003632DB" w:rsidP="00992796">
      <w:pPr>
        <w:pStyle w:val="Nadpisparagrafu"/>
        <w:numPr>
          <w:ilvl w:val="0"/>
          <w:numId w:val="39"/>
        </w:numPr>
        <w:spacing w:after="120"/>
      </w:pPr>
      <w:r w:rsidRPr="00483545">
        <w:t>***</w:t>
      </w:r>
    </w:p>
    <w:p w14:paraId="7CD123F6" w14:textId="77777777" w:rsidR="003632DB" w:rsidRPr="00483545" w:rsidRDefault="003632DB" w:rsidP="00992796">
      <w:pPr>
        <w:pStyle w:val="Paragraf"/>
        <w:numPr>
          <w:ilvl w:val="0"/>
          <w:numId w:val="39"/>
        </w:numPr>
        <w:spacing w:after="120"/>
      </w:pPr>
      <w:r w:rsidRPr="00483545">
        <w:t>§ 10</w:t>
      </w:r>
    </w:p>
    <w:p w14:paraId="7E5D9876" w14:textId="77777777" w:rsidR="003632DB" w:rsidRPr="00483545" w:rsidRDefault="003632DB" w:rsidP="009B0DB6">
      <w:pPr>
        <w:pStyle w:val="Textparagrafu"/>
        <w:spacing w:after="120"/>
      </w:pPr>
      <w:r w:rsidRPr="00483545">
        <w:t xml:space="preserve">Pro přepočet EUR na české koruny pro účely této části zákona se použije kurs devizového trhu vyhlášený Českou národní bankou </w:t>
      </w:r>
      <w:r w:rsidRPr="00483545">
        <w:rPr>
          <w:strike/>
        </w:rPr>
        <w:t>v den, který je rozvahovým dnem</w:t>
      </w:r>
      <w:r w:rsidRPr="00483545">
        <w:rPr>
          <w:strike/>
          <w:vertAlign w:val="superscript"/>
        </w:rPr>
        <w:t>7)</w:t>
      </w:r>
      <w:r w:rsidRPr="00483545">
        <w:rPr>
          <w:b/>
          <w:vertAlign w:val="superscript"/>
        </w:rPr>
        <w:t xml:space="preserve"> </w:t>
      </w:r>
      <w:r w:rsidRPr="00483545">
        <w:rPr>
          <w:strike/>
        </w:rPr>
        <w:t xml:space="preserve">daného </w:t>
      </w:r>
      <w:r w:rsidRPr="00483545">
        <w:rPr>
          <w:b/>
        </w:rPr>
        <w:t>pro poslední den</w:t>
      </w:r>
      <w:r w:rsidRPr="00483545">
        <w:t xml:space="preserve"> </w:t>
      </w:r>
      <w:r w:rsidRPr="00483545">
        <w:rPr>
          <w:b/>
        </w:rPr>
        <w:t>daného</w:t>
      </w:r>
      <w:r w:rsidRPr="00483545">
        <w:t xml:space="preserve"> </w:t>
      </w:r>
      <w:r w:rsidRPr="00483545">
        <w:rPr>
          <w:b/>
        </w:rPr>
        <w:t xml:space="preserve">individuálního </w:t>
      </w:r>
      <w:r w:rsidRPr="00483545">
        <w:t>účetního období příslušné osoby.</w:t>
      </w:r>
    </w:p>
    <w:p w14:paraId="472002A7" w14:textId="77777777" w:rsidR="0022762B" w:rsidRDefault="0022762B" w:rsidP="0022762B">
      <w:pPr>
        <w:pStyle w:val="Textparagrafu"/>
        <w:tabs>
          <w:tab w:val="left" w:pos="392"/>
          <w:tab w:val="left" w:pos="840"/>
        </w:tabs>
        <w:spacing w:after="120"/>
        <w:ind w:firstLine="0"/>
        <w:jc w:val="center"/>
        <w:sectPr w:rsidR="0022762B" w:rsidSect="00554E2B">
          <w:footnotePr>
            <w:numStart w:val="3"/>
          </w:footnotePr>
          <w:endnotePr>
            <w:numFmt w:val="decimal"/>
          </w:endnotePr>
          <w:pgSz w:w="11906" w:h="16838"/>
          <w:pgMar w:top="1418" w:right="1418" w:bottom="1418" w:left="1418" w:header="709" w:footer="709" w:gutter="0"/>
          <w:cols w:space="708"/>
          <w:docGrid w:linePitch="360"/>
        </w:sectPr>
      </w:pPr>
    </w:p>
    <w:p w14:paraId="6CD1B0C1" w14:textId="4FA1F193" w:rsidR="0022762B" w:rsidRPr="007C4491" w:rsidRDefault="0022762B" w:rsidP="0077786D">
      <w:pPr>
        <w:tabs>
          <w:tab w:val="left" w:pos="851"/>
        </w:tabs>
        <w:spacing w:before="120" w:after="120"/>
        <w:ind w:firstLine="0"/>
        <w:jc w:val="center"/>
        <w:outlineLvl w:val="0"/>
        <w:rPr>
          <w:szCs w:val="24"/>
        </w:rPr>
      </w:pPr>
      <w:r w:rsidRPr="007C4491">
        <w:rPr>
          <w:b/>
          <w:szCs w:val="24"/>
        </w:rPr>
        <w:lastRenderedPageBreak/>
        <w:t xml:space="preserve">K části devadesáté </w:t>
      </w:r>
      <w:r w:rsidR="007C4491" w:rsidRPr="007C4491">
        <w:rPr>
          <w:b/>
          <w:szCs w:val="24"/>
        </w:rPr>
        <w:t>páté</w:t>
      </w:r>
      <w:r w:rsidRPr="007C4491">
        <w:rPr>
          <w:b/>
          <w:szCs w:val="24"/>
        </w:rPr>
        <w:t xml:space="preserve"> návrhu zákona – </w:t>
      </w:r>
      <w:r w:rsidRPr="007C4491">
        <w:rPr>
          <w:szCs w:val="24"/>
        </w:rPr>
        <w:t>změna zákona</w:t>
      </w:r>
      <w:r w:rsidRPr="007C4491">
        <w:t xml:space="preserve"> </w:t>
      </w:r>
      <w:r w:rsidRPr="007C4491">
        <w:rPr>
          <w:szCs w:val="24"/>
        </w:rPr>
        <w:t>o Ústavu pro studium totalitních režimů a o Archivu bezpečnostních složek a o změně některých zákonů</w:t>
      </w:r>
    </w:p>
    <w:p w14:paraId="4376D86B" w14:textId="1370E33A" w:rsidR="0022762B" w:rsidRPr="007C4491" w:rsidRDefault="0022762B" w:rsidP="0022762B">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7C4491">
        <w:rPr>
          <w:b/>
          <w:szCs w:val="24"/>
        </w:rPr>
        <w:t>Platné znění</w:t>
      </w:r>
      <w:r w:rsidRPr="007C4491">
        <w:rPr>
          <w:szCs w:val="24"/>
        </w:rPr>
        <w:t xml:space="preserve"> zákona č. 181/2007 Sb., o Ústavu pro studium totalitních režimů a o Archivu bezpečnostních složek a o změně některých zákonů</w:t>
      </w:r>
    </w:p>
    <w:p w14:paraId="415967E6" w14:textId="37FB61B2" w:rsidR="0022762B" w:rsidRPr="007C4491" w:rsidRDefault="0077786D" w:rsidP="0022762B">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AE4818">
        <w:rPr>
          <w:b/>
          <w:szCs w:val="24"/>
          <w:lang w:eastAsia="en-US"/>
        </w:rPr>
        <w:t>s vyznačením navrhovaných změn a doplnění k 1. lednu 2025</w:t>
      </w:r>
    </w:p>
    <w:p w14:paraId="2927F088" w14:textId="77777777" w:rsidR="0022762B" w:rsidRPr="007C4491" w:rsidRDefault="0022762B" w:rsidP="0022762B">
      <w:pPr>
        <w:pStyle w:val="Textparagrafu"/>
        <w:numPr>
          <w:ilvl w:val="0"/>
          <w:numId w:val="27"/>
        </w:numPr>
        <w:tabs>
          <w:tab w:val="left" w:pos="392"/>
          <w:tab w:val="left" w:pos="840"/>
        </w:tabs>
        <w:spacing w:after="120"/>
        <w:jc w:val="center"/>
      </w:pPr>
      <w:r w:rsidRPr="007C4491">
        <w:t>***</w:t>
      </w:r>
    </w:p>
    <w:p w14:paraId="6749BD4A" w14:textId="77777777" w:rsidR="007C4491" w:rsidRDefault="007C4491" w:rsidP="00992796">
      <w:pPr>
        <w:pStyle w:val="Paragraf"/>
        <w:numPr>
          <w:ilvl w:val="0"/>
          <w:numId w:val="39"/>
        </w:numPr>
        <w:spacing w:after="120"/>
      </w:pPr>
      <w:r>
        <w:t>§ 3</w:t>
      </w:r>
    </w:p>
    <w:p w14:paraId="12EFBD17" w14:textId="77777777" w:rsidR="007C4491" w:rsidRDefault="007C4491" w:rsidP="0077786D">
      <w:pPr>
        <w:pStyle w:val="Textodstavce"/>
        <w:ind w:firstLine="425"/>
      </w:pPr>
      <w:r>
        <w:t xml:space="preserve">(1) </w:t>
      </w:r>
      <w:r w:rsidRPr="00ED6344">
        <w:t>Zřizuje se Ústav se sídlem v Praze.</w:t>
      </w:r>
    </w:p>
    <w:p w14:paraId="1235E2D7" w14:textId="77777777" w:rsidR="007C4491" w:rsidRDefault="007C4491" w:rsidP="0077786D">
      <w:pPr>
        <w:pStyle w:val="Textodstavce"/>
        <w:ind w:firstLine="425"/>
      </w:pPr>
      <w:r>
        <w:t xml:space="preserve">(2) </w:t>
      </w:r>
      <w:r w:rsidRPr="00ED6344">
        <w:t>Ústav je organizační složkou státu, do jejíž činnosti lze zasahovat pouze na základě zákona.</w:t>
      </w:r>
    </w:p>
    <w:p w14:paraId="384C1086" w14:textId="77777777" w:rsidR="007C4491" w:rsidRDefault="007C4491" w:rsidP="0077786D">
      <w:pPr>
        <w:pStyle w:val="Textodstavce"/>
        <w:ind w:firstLine="425"/>
      </w:pPr>
      <w:r w:rsidRPr="00483545">
        <w:t>(3)</w:t>
      </w:r>
      <w:r>
        <w:rPr>
          <w:strike/>
        </w:rPr>
        <w:t xml:space="preserve"> </w:t>
      </w:r>
      <w:r w:rsidRPr="00483545">
        <w:rPr>
          <w:strike/>
        </w:rPr>
        <w:t>Ústav je účetní jednotkou.</w:t>
      </w:r>
      <w:r w:rsidRPr="00483545">
        <w:t xml:space="preserve"> </w:t>
      </w:r>
      <w:r w:rsidRPr="00ED6344">
        <w:t>Činnost Ústavu je hrazena ze samostatné kapitoly státního rozpočtu.</w:t>
      </w:r>
    </w:p>
    <w:p w14:paraId="5922A3EB" w14:textId="77777777" w:rsidR="007C4491" w:rsidRDefault="007C4491" w:rsidP="00992796">
      <w:pPr>
        <w:pStyle w:val="Paragraf"/>
        <w:numPr>
          <w:ilvl w:val="0"/>
          <w:numId w:val="40"/>
        </w:numPr>
        <w:spacing w:after="120"/>
      </w:pPr>
      <w:r>
        <w:t>***</w:t>
      </w:r>
    </w:p>
    <w:p w14:paraId="20F753E7" w14:textId="77777777" w:rsidR="007C4491" w:rsidRDefault="007C4491" w:rsidP="00992796">
      <w:pPr>
        <w:pStyle w:val="Paragraf"/>
        <w:numPr>
          <w:ilvl w:val="0"/>
          <w:numId w:val="40"/>
        </w:numPr>
        <w:spacing w:after="120"/>
      </w:pPr>
      <w:r>
        <w:t>§ 12</w:t>
      </w:r>
    </w:p>
    <w:p w14:paraId="4B5A7D1D" w14:textId="77777777" w:rsidR="007C4491" w:rsidRDefault="007C4491" w:rsidP="0077786D">
      <w:pPr>
        <w:pStyle w:val="Textodstavce"/>
        <w:ind w:firstLine="425"/>
      </w:pPr>
      <w:r>
        <w:t xml:space="preserve">(1) </w:t>
      </w:r>
      <w:r w:rsidRPr="00ED6344">
        <w:t>Zřizuje se Archiv se sídlem v Praze.</w:t>
      </w:r>
    </w:p>
    <w:p w14:paraId="697EA437" w14:textId="77777777" w:rsidR="007C4491" w:rsidRDefault="007C4491" w:rsidP="0077786D">
      <w:pPr>
        <w:pStyle w:val="Textodstavce"/>
        <w:ind w:firstLine="425"/>
      </w:pPr>
      <w:r>
        <w:t xml:space="preserve">(2) </w:t>
      </w:r>
      <w:r w:rsidRPr="00ED6344">
        <w:t>Archiv je správní úřad, který je přímo řízený Ústavem.</w:t>
      </w:r>
    </w:p>
    <w:p w14:paraId="3A6EB449" w14:textId="77777777" w:rsidR="007C4491" w:rsidRDefault="007C4491" w:rsidP="0077786D">
      <w:pPr>
        <w:pStyle w:val="Textodstavce"/>
        <w:ind w:firstLine="425"/>
      </w:pPr>
      <w:r>
        <w:t xml:space="preserve">(3) </w:t>
      </w:r>
      <w:r w:rsidRPr="00ED6344">
        <w:t>V čele Archivu stojí ředitel Archivu, kterého jmenuje a odvolává po projednání s Radou ředitel; jeho výběr, jmenování a odvolání se řídí zákonem o státní službě. Ředitel se považuje za služební orgán ředitele Archivu a je oprávněn dávat řediteli Archivu příkazy k výkonu státní služby podle zákona o státní službě.</w:t>
      </w:r>
    </w:p>
    <w:p w14:paraId="44073A59" w14:textId="77777777" w:rsidR="007C4491" w:rsidRDefault="007C4491" w:rsidP="0077786D">
      <w:pPr>
        <w:pStyle w:val="Textodstavce"/>
        <w:ind w:firstLine="425"/>
      </w:pPr>
      <w:r>
        <w:t xml:space="preserve">(4) </w:t>
      </w:r>
      <w:r w:rsidRPr="00ED6344">
        <w:t>Předpokladem pro výkon funkce ředitele Archivu je jeho spolehlivost, bezúhonnost a ukončené vysokoškolské vzdělání v magisterském studijním programu archivního nebo historického směru nebo v příslušném speciálním oboru.</w:t>
      </w:r>
    </w:p>
    <w:p w14:paraId="64563C66" w14:textId="77777777" w:rsidR="007C4491" w:rsidRDefault="007C4491" w:rsidP="0077786D">
      <w:pPr>
        <w:pStyle w:val="Textodstavce"/>
        <w:ind w:firstLine="425"/>
      </w:pPr>
      <w:r>
        <w:t xml:space="preserve">(5) </w:t>
      </w:r>
      <w:r w:rsidRPr="00483545">
        <w:t xml:space="preserve">Archiv </w:t>
      </w:r>
      <w:r w:rsidRPr="00483545">
        <w:rPr>
          <w:strike/>
        </w:rPr>
        <w:t>je účetní jednotkou a</w:t>
      </w:r>
      <w:r w:rsidRPr="00483545">
        <w:t xml:space="preserve"> je </w:t>
      </w:r>
      <w:r w:rsidRPr="00ED6344">
        <w:t>součástí rozpočtové kapitoly Ústavu.</w:t>
      </w:r>
    </w:p>
    <w:p w14:paraId="1C4A208E" w14:textId="7251CC85" w:rsidR="0022762B" w:rsidRPr="004769F2" w:rsidRDefault="0022762B" w:rsidP="0022762B">
      <w:pPr>
        <w:pStyle w:val="Textparagrafu"/>
        <w:tabs>
          <w:tab w:val="left" w:pos="392"/>
          <w:tab w:val="left" w:pos="840"/>
        </w:tabs>
        <w:spacing w:after="120"/>
        <w:ind w:firstLine="0"/>
        <w:jc w:val="center"/>
      </w:pPr>
    </w:p>
    <w:p w14:paraId="7106A9E2" w14:textId="77777777" w:rsidR="0022762B" w:rsidRDefault="0022762B">
      <w:pPr>
        <w:pStyle w:val="Textparagrafu"/>
        <w:tabs>
          <w:tab w:val="left" w:pos="392"/>
          <w:tab w:val="left" w:pos="840"/>
        </w:tabs>
        <w:spacing w:after="120"/>
        <w:ind w:firstLine="0"/>
        <w:jc w:val="center"/>
        <w:sectPr w:rsidR="0022762B" w:rsidSect="00554E2B">
          <w:footnotePr>
            <w:numStart w:val="3"/>
          </w:footnotePr>
          <w:endnotePr>
            <w:numFmt w:val="decimal"/>
          </w:endnotePr>
          <w:pgSz w:w="11906" w:h="16838"/>
          <w:pgMar w:top="1418" w:right="1418" w:bottom="1418" w:left="1418" w:header="709" w:footer="709" w:gutter="0"/>
          <w:cols w:space="708"/>
          <w:docGrid w:linePitch="360"/>
        </w:sectPr>
      </w:pPr>
    </w:p>
    <w:p w14:paraId="27B03D89" w14:textId="46C8D74D" w:rsidR="0022762B" w:rsidRPr="00615A2B" w:rsidRDefault="0022762B" w:rsidP="005F5A2E">
      <w:pPr>
        <w:tabs>
          <w:tab w:val="left" w:pos="851"/>
        </w:tabs>
        <w:spacing w:before="120" w:after="120"/>
        <w:ind w:firstLine="0"/>
        <w:jc w:val="center"/>
        <w:outlineLvl w:val="0"/>
        <w:rPr>
          <w:szCs w:val="24"/>
        </w:rPr>
      </w:pPr>
      <w:r w:rsidRPr="00615A2B">
        <w:rPr>
          <w:b/>
          <w:szCs w:val="24"/>
        </w:rPr>
        <w:lastRenderedPageBreak/>
        <w:t xml:space="preserve">K části devadesáté </w:t>
      </w:r>
      <w:r w:rsidR="007C4491">
        <w:rPr>
          <w:b/>
          <w:szCs w:val="24"/>
        </w:rPr>
        <w:t>šesté</w:t>
      </w:r>
      <w:r w:rsidRPr="00615A2B">
        <w:rPr>
          <w:b/>
          <w:szCs w:val="24"/>
        </w:rPr>
        <w:t xml:space="preserve"> návrhu zákona – </w:t>
      </w:r>
      <w:r w:rsidRPr="00615A2B">
        <w:rPr>
          <w:szCs w:val="24"/>
        </w:rPr>
        <w:t>změna zákona</w:t>
      </w:r>
      <w:r w:rsidRPr="00615A2B">
        <w:t xml:space="preserve"> </w:t>
      </w:r>
      <w:r w:rsidRPr="00615A2B">
        <w:rPr>
          <w:szCs w:val="24"/>
        </w:rPr>
        <w:t>o přeměnách obchodních společností a družstev</w:t>
      </w:r>
    </w:p>
    <w:p w14:paraId="2F35831E" w14:textId="023502AD" w:rsidR="0022762B" w:rsidRPr="00615A2B" w:rsidRDefault="0022762B" w:rsidP="0022762B">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615A2B">
        <w:rPr>
          <w:b/>
          <w:szCs w:val="24"/>
        </w:rPr>
        <w:t>Platné znění</w:t>
      </w:r>
      <w:r w:rsidRPr="00615A2B">
        <w:rPr>
          <w:szCs w:val="24"/>
        </w:rPr>
        <w:t xml:space="preserve"> zákona č. 125/2008 Sb., o přeměnách obchodních společností a družstev</w:t>
      </w:r>
      <w:r w:rsidR="00A152FA" w:rsidRPr="00A152FA">
        <w:rPr>
          <w:iCs/>
          <w:color w:val="00B0F0"/>
          <w:szCs w:val="24"/>
        </w:rPr>
        <w:t xml:space="preserve">, </w:t>
      </w:r>
      <w:r w:rsidR="00A152FA" w:rsidRPr="005F5A2E">
        <w:rPr>
          <w:b/>
          <w:iCs/>
          <w:color w:val="00B0F0"/>
          <w:szCs w:val="24"/>
        </w:rPr>
        <w:t>ve znění novely zákona č. 125/2008 Sb., senátní tisk č. 252 (čtrnácté volební období 2022-2024)</w:t>
      </w:r>
    </w:p>
    <w:p w14:paraId="32F3E147" w14:textId="594EAF96" w:rsidR="0022762B" w:rsidRPr="00615A2B" w:rsidRDefault="005F5A2E" w:rsidP="0022762B">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AE4818">
        <w:rPr>
          <w:b/>
          <w:szCs w:val="24"/>
          <w:lang w:eastAsia="en-US"/>
        </w:rPr>
        <w:t>s vyznačením navrhovaných změn a doplnění k 1. lednu 2025</w:t>
      </w:r>
    </w:p>
    <w:p w14:paraId="7D24BCA2" w14:textId="77777777" w:rsidR="00615A2B" w:rsidRPr="00032214" w:rsidRDefault="00615A2B" w:rsidP="00992796">
      <w:pPr>
        <w:pStyle w:val="Nadpisparagrafu"/>
        <w:numPr>
          <w:ilvl w:val="0"/>
          <w:numId w:val="39"/>
        </w:numPr>
        <w:rPr>
          <w:b w:val="0"/>
        </w:rPr>
      </w:pPr>
      <w:r>
        <w:rPr>
          <w:b w:val="0"/>
        </w:rPr>
        <w:t>***</w:t>
      </w:r>
    </w:p>
    <w:p w14:paraId="05658532" w14:textId="77777777" w:rsidR="00615A2B" w:rsidRPr="00615A2B" w:rsidRDefault="00615A2B" w:rsidP="00615A2B">
      <w:pPr>
        <w:tabs>
          <w:tab w:val="left" w:pos="425"/>
          <w:tab w:val="left" w:pos="851"/>
        </w:tabs>
        <w:spacing w:after="120"/>
        <w:ind w:firstLine="0"/>
        <w:jc w:val="center"/>
        <w:rPr>
          <w:szCs w:val="24"/>
        </w:rPr>
      </w:pPr>
      <w:r w:rsidRPr="00615A2B">
        <w:rPr>
          <w:szCs w:val="24"/>
        </w:rPr>
        <w:t>§ 3</w:t>
      </w:r>
    </w:p>
    <w:p w14:paraId="22B389D6" w14:textId="77777777" w:rsidR="00615A2B" w:rsidRPr="00615A2B" w:rsidRDefault="00615A2B" w:rsidP="005F5A2E">
      <w:pPr>
        <w:spacing w:before="120" w:after="120"/>
        <w:rPr>
          <w:szCs w:val="24"/>
        </w:rPr>
      </w:pPr>
      <w:r w:rsidRPr="00615A2B">
        <w:rPr>
          <w:szCs w:val="24"/>
        </w:rPr>
        <w:t>(1) Členským státem se pro účely tohoto zákona rozumí členský stát Evropské unie nebo jiný stát tvořící Evropský hospodářský prostor.</w:t>
      </w:r>
    </w:p>
    <w:p w14:paraId="5CBB92D5" w14:textId="77777777" w:rsidR="00615A2B" w:rsidRPr="00615A2B" w:rsidRDefault="00615A2B" w:rsidP="005F5A2E">
      <w:pPr>
        <w:spacing w:before="120" w:after="120"/>
        <w:rPr>
          <w:szCs w:val="24"/>
        </w:rPr>
      </w:pPr>
      <w:r w:rsidRPr="00615A2B">
        <w:rPr>
          <w:szCs w:val="24"/>
        </w:rPr>
        <w:t>(2) Podnikatelem se pro účely tohoto zákona rozumí</w:t>
      </w:r>
    </w:p>
    <w:p w14:paraId="22FCE925" w14:textId="5309A005" w:rsidR="00615A2B" w:rsidRPr="00615A2B" w:rsidRDefault="00615A2B" w:rsidP="00DE29D4">
      <w:pPr>
        <w:tabs>
          <w:tab w:val="left" w:pos="420"/>
        </w:tabs>
        <w:spacing w:before="0"/>
        <w:ind w:left="426" w:hanging="426"/>
        <w:rPr>
          <w:szCs w:val="24"/>
        </w:rPr>
      </w:pPr>
      <w:r>
        <w:rPr>
          <w:szCs w:val="24"/>
        </w:rPr>
        <w:t>a)</w:t>
      </w:r>
      <w:r>
        <w:rPr>
          <w:szCs w:val="24"/>
        </w:rPr>
        <w:tab/>
      </w:r>
      <w:r w:rsidRPr="00615A2B">
        <w:rPr>
          <w:szCs w:val="24"/>
        </w:rPr>
        <w:t>osoba zapsaná v obchodním rejstříku,</w:t>
      </w:r>
    </w:p>
    <w:p w14:paraId="5B88FC44" w14:textId="0DFEE55B" w:rsidR="00615A2B" w:rsidRPr="00615A2B" w:rsidRDefault="00615A2B" w:rsidP="00DE29D4">
      <w:pPr>
        <w:tabs>
          <w:tab w:val="left" w:pos="420"/>
        </w:tabs>
        <w:spacing w:before="0"/>
        <w:ind w:left="426" w:hanging="426"/>
        <w:rPr>
          <w:szCs w:val="24"/>
        </w:rPr>
      </w:pPr>
      <w:r>
        <w:rPr>
          <w:szCs w:val="24"/>
        </w:rPr>
        <w:t>b)</w:t>
      </w:r>
      <w:r>
        <w:rPr>
          <w:szCs w:val="24"/>
        </w:rPr>
        <w:tab/>
      </w:r>
      <w:r w:rsidRPr="00615A2B">
        <w:rPr>
          <w:szCs w:val="24"/>
        </w:rPr>
        <w:t>osoba, která podniká na základě živnostenského oprávnění,</w:t>
      </w:r>
    </w:p>
    <w:p w14:paraId="3142B603" w14:textId="13C72937" w:rsidR="00615A2B" w:rsidRPr="00615A2B" w:rsidRDefault="00615A2B" w:rsidP="00DE29D4">
      <w:pPr>
        <w:tabs>
          <w:tab w:val="left" w:pos="420"/>
        </w:tabs>
        <w:spacing w:before="0"/>
        <w:ind w:left="426" w:hanging="426"/>
        <w:rPr>
          <w:szCs w:val="24"/>
        </w:rPr>
      </w:pPr>
      <w:r>
        <w:rPr>
          <w:szCs w:val="24"/>
        </w:rPr>
        <w:t>c)</w:t>
      </w:r>
      <w:r>
        <w:rPr>
          <w:szCs w:val="24"/>
        </w:rPr>
        <w:tab/>
      </w:r>
      <w:r w:rsidRPr="00615A2B">
        <w:rPr>
          <w:szCs w:val="24"/>
        </w:rPr>
        <w:t>osoba, která podniká na základě jiného než živnostenského oprávnění podle zvláštních právních předpisů,</w:t>
      </w:r>
    </w:p>
    <w:p w14:paraId="674D6DD9" w14:textId="0FB2AA85" w:rsidR="00615A2B" w:rsidRPr="00615A2B" w:rsidRDefault="00615A2B" w:rsidP="00DE29D4">
      <w:pPr>
        <w:tabs>
          <w:tab w:val="left" w:pos="420"/>
        </w:tabs>
        <w:spacing w:before="0"/>
        <w:ind w:left="426" w:hanging="426"/>
        <w:rPr>
          <w:szCs w:val="24"/>
        </w:rPr>
      </w:pPr>
      <w:r>
        <w:rPr>
          <w:szCs w:val="24"/>
        </w:rPr>
        <w:t>d)</w:t>
      </w:r>
      <w:r>
        <w:rPr>
          <w:szCs w:val="24"/>
        </w:rPr>
        <w:tab/>
      </w:r>
      <w:r w:rsidRPr="00615A2B">
        <w:rPr>
          <w:szCs w:val="24"/>
        </w:rPr>
        <w:t>osoba, která provozuje zemědělskou výrobu a je zapsána do evidence podle zvláštního právního předpisu, nebo</w:t>
      </w:r>
    </w:p>
    <w:p w14:paraId="207C1917" w14:textId="27963720" w:rsidR="00615A2B" w:rsidRPr="00615A2B" w:rsidRDefault="00615A2B" w:rsidP="00DE29D4">
      <w:pPr>
        <w:tabs>
          <w:tab w:val="left" w:pos="420"/>
        </w:tabs>
        <w:spacing w:before="0"/>
        <w:ind w:left="426" w:hanging="426"/>
        <w:rPr>
          <w:szCs w:val="24"/>
        </w:rPr>
      </w:pPr>
      <w:r>
        <w:rPr>
          <w:szCs w:val="24"/>
        </w:rPr>
        <w:t>e)</w:t>
      </w:r>
      <w:r>
        <w:rPr>
          <w:szCs w:val="24"/>
        </w:rPr>
        <w:tab/>
      </w:r>
      <w:r w:rsidRPr="00615A2B">
        <w:rPr>
          <w:szCs w:val="24"/>
        </w:rPr>
        <w:t>zahraniční osoba (§ 59b), která má právo podnikat v jiném členském státě než České republice.</w:t>
      </w:r>
    </w:p>
    <w:p w14:paraId="53DB597A" w14:textId="77777777" w:rsidR="00615A2B" w:rsidRPr="00615A2B" w:rsidRDefault="00615A2B" w:rsidP="005F5A2E">
      <w:pPr>
        <w:spacing w:before="120" w:after="120"/>
        <w:rPr>
          <w:szCs w:val="24"/>
        </w:rPr>
      </w:pPr>
      <w:r w:rsidRPr="00615A2B">
        <w:rPr>
          <w:szCs w:val="24"/>
        </w:rPr>
        <w:t>(3) Osobou zúčastněnou na přeměně se pro účely tohoto zákona rozumí</w:t>
      </w:r>
    </w:p>
    <w:p w14:paraId="21047A29" w14:textId="34ED307E" w:rsidR="00615A2B" w:rsidRPr="00615A2B" w:rsidRDefault="00615A2B" w:rsidP="00DE29D4">
      <w:pPr>
        <w:tabs>
          <w:tab w:val="left" w:pos="426"/>
        </w:tabs>
        <w:spacing w:before="0"/>
        <w:ind w:left="426" w:hanging="426"/>
        <w:rPr>
          <w:szCs w:val="24"/>
        </w:rPr>
      </w:pPr>
      <w:r w:rsidRPr="00615A2B">
        <w:rPr>
          <w:szCs w:val="24"/>
        </w:rPr>
        <w:t>a)</w:t>
      </w:r>
      <w:r w:rsidRPr="00615A2B">
        <w:rPr>
          <w:szCs w:val="24"/>
        </w:rPr>
        <w:tab/>
        <w:t>při fúzi nebo rozdělení zúčastněná společnost nebo zúčastněné družstvo (§ 63 a 245),</w:t>
      </w:r>
    </w:p>
    <w:p w14:paraId="43CF2C65" w14:textId="3835EC12" w:rsidR="00615A2B" w:rsidRPr="00615A2B" w:rsidRDefault="00615A2B" w:rsidP="00DE29D4">
      <w:pPr>
        <w:tabs>
          <w:tab w:val="left" w:pos="426"/>
        </w:tabs>
        <w:spacing w:before="0"/>
        <w:ind w:left="426" w:hanging="426"/>
        <w:rPr>
          <w:szCs w:val="24"/>
        </w:rPr>
      </w:pPr>
      <w:r w:rsidRPr="00615A2B">
        <w:rPr>
          <w:szCs w:val="24"/>
        </w:rPr>
        <w:t>b)</w:t>
      </w:r>
      <w:r w:rsidRPr="00615A2B">
        <w:rPr>
          <w:szCs w:val="24"/>
        </w:rPr>
        <w:tab/>
        <w:t>při převodu jmění na společníka zanikající společnost a přejímající společník,</w:t>
      </w:r>
    </w:p>
    <w:p w14:paraId="7DE6ECB0" w14:textId="66BF50AB" w:rsidR="00615A2B" w:rsidRPr="00615A2B" w:rsidRDefault="00615A2B" w:rsidP="00DE29D4">
      <w:pPr>
        <w:tabs>
          <w:tab w:val="left" w:pos="426"/>
        </w:tabs>
        <w:spacing w:before="0"/>
        <w:ind w:left="426" w:hanging="426"/>
        <w:rPr>
          <w:szCs w:val="24"/>
        </w:rPr>
      </w:pPr>
      <w:r w:rsidRPr="00615A2B">
        <w:rPr>
          <w:szCs w:val="24"/>
        </w:rPr>
        <w:t>c)</w:t>
      </w:r>
      <w:r w:rsidRPr="00615A2B">
        <w:rPr>
          <w:szCs w:val="24"/>
        </w:rPr>
        <w:tab/>
        <w:t>při změně právní formy společnost nebo družstvo měnící svou právní formu, nebo</w:t>
      </w:r>
    </w:p>
    <w:p w14:paraId="5C777103" w14:textId="02AF4C8A" w:rsidR="005F5A2E" w:rsidRPr="0016515B" w:rsidRDefault="00615A2B" w:rsidP="005F5A2E">
      <w:pPr>
        <w:tabs>
          <w:tab w:val="left" w:pos="426"/>
        </w:tabs>
        <w:spacing w:before="0"/>
        <w:ind w:left="426" w:hanging="426"/>
        <w:rPr>
          <w:bCs/>
          <w:szCs w:val="24"/>
        </w:rPr>
      </w:pPr>
      <w:r w:rsidRPr="00615A2B">
        <w:rPr>
          <w:szCs w:val="24"/>
        </w:rPr>
        <w:t>d)</w:t>
      </w:r>
      <w:r w:rsidRPr="00615A2B">
        <w:rPr>
          <w:szCs w:val="24"/>
        </w:rPr>
        <w:tab/>
        <w:t xml:space="preserve">při přeshraničním přemístění sídla právnická osoba přemisťující sídlo do České republiky </w:t>
      </w:r>
      <w:r w:rsidRPr="005F5A2E">
        <w:rPr>
          <w:szCs w:val="24"/>
          <w:bdr w:val="single" w:sz="12" w:space="0" w:color="00B0F0"/>
        </w:rPr>
        <w:t xml:space="preserve">nebo česká společnost nebo družstvo přemisťující sídlo do jiného </w:t>
      </w:r>
      <w:r w:rsidRPr="005F5A2E">
        <w:rPr>
          <w:bCs/>
          <w:color w:val="00B0F0"/>
          <w:szCs w:val="24"/>
          <w:bdr w:val="single" w:sz="12" w:space="0" w:color="00B0F0"/>
        </w:rPr>
        <w:t>státu</w:t>
      </w:r>
      <w:r w:rsidRPr="005F5A2E">
        <w:rPr>
          <w:bCs/>
          <w:szCs w:val="24"/>
          <w:bdr w:val="single" w:sz="12" w:space="0" w:color="00B0F0"/>
        </w:rPr>
        <w:t>.</w:t>
      </w:r>
    </w:p>
    <w:p w14:paraId="3BACBCEE" w14:textId="65E3EBE5" w:rsidR="00615A2B" w:rsidRPr="00615A2B" w:rsidRDefault="00615A2B" w:rsidP="005F5A2E">
      <w:pPr>
        <w:pBdr>
          <w:top w:val="single" w:sz="12" w:space="1" w:color="00B0F0"/>
          <w:left w:val="single" w:sz="12" w:space="4" w:color="00B0F0"/>
          <w:bottom w:val="single" w:sz="12" w:space="1" w:color="00B0F0"/>
          <w:right w:val="single" w:sz="12" w:space="4" w:color="00B0F0"/>
          <w:between w:val="single" w:sz="4" w:space="1" w:color="auto"/>
        </w:pBdr>
        <w:spacing w:after="120"/>
        <w:rPr>
          <w:bCs/>
          <w:color w:val="00B0F0"/>
          <w:szCs w:val="24"/>
        </w:rPr>
      </w:pPr>
      <w:r w:rsidRPr="00615A2B">
        <w:rPr>
          <w:bCs/>
          <w:color w:val="00B0F0"/>
          <w:szCs w:val="24"/>
        </w:rPr>
        <w:t xml:space="preserve">(4) Kde se v tomto zákoně stanoví o představenstvu akciové společnosti, rozumí se tím i správní rada akciové společnosti. </w:t>
      </w:r>
    </w:p>
    <w:p w14:paraId="6CD8D638" w14:textId="77777777" w:rsidR="00615A2B" w:rsidRPr="00615A2B" w:rsidRDefault="00615A2B" w:rsidP="00615A2B">
      <w:pPr>
        <w:spacing w:after="120"/>
        <w:rPr>
          <w:b/>
          <w:szCs w:val="24"/>
        </w:rPr>
      </w:pPr>
      <w:r w:rsidRPr="00615A2B">
        <w:rPr>
          <w:b/>
          <w:szCs w:val="24"/>
        </w:rPr>
        <w:t xml:space="preserve">(5) Tržní cenou </w:t>
      </w:r>
      <w:r w:rsidRPr="00615A2B">
        <w:rPr>
          <w:b/>
          <w:bCs/>
          <w:szCs w:val="24"/>
        </w:rPr>
        <w:t>podílu</w:t>
      </w:r>
      <w:r w:rsidRPr="00615A2B">
        <w:rPr>
          <w:b/>
          <w:szCs w:val="24"/>
        </w:rPr>
        <w:t xml:space="preserve"> se pro účely tohoto zákona rozumí nejvyšší závěrečná cena vyhlášená na evropském regulovaném trhu</w:t>
      </w:r>
      <w:r w:rsidRPr="00615A2B">
        <w:rPr>
          <w:b/>
          <w:bCs/>
          <w:szCs w:val="24"/>
        </w:rPr>
        <w:t xml:space="preserve"> v</w:t>
      </w:r>
      <w:r w:rsidRPr="00615A2B">
        <w:rPr>
          <w:b/>
          <w:szCs w:val="24"/>
        </w:rPr>
        <w:t> pracovní den, ke kterému se ocenění provádí</w:t>
      </w:r>
      <w:r w:rsidRPr="00615A2B">
        <w:rPr>
          <w:b/>
          <w:bCs/>
          <w:szCs w:val="24"/>
        </w:rPr>
        <w:t>, nebo v poslední pracovní den předcházející dni, ke kterému se ocenění provádí</w:t>
      </w:r>
      <w:r w:rsidRPr="00615A2B">
        <w:rPr>
          <w:b/>
          <w:szCs w:val="24"/>
        </w:rPr>
        <w:t>.</w:t>
      </w:r>
    </w:p>
    <w:p w14:paraId="50069FC4" w14:textId="77777777" w:rsidR="00615A2B" w:rsidRPr="00615A2B" w:rsidRDefault="00615A2B" w:rsidP="00992796">
      <w:pPr>
        <w:pStyle w:val="Nadpisparagrafu"/>
        <w:numPr>
          <w:ilvl w:val="0"/>
          <w:numId w:val="39"/>
        </w:numPr>
        <w:spacing w:after="120"/>
        <w:rPr>
          <w:b w:val="0"/>
          <w:szCs w:val="24"/>
        </w:rPr>
      </w:pPr>
      <w:r w:rsidRPr="00615A2B">
        <w:rPr>
          <w:b w:val="0"/>
          <w:szCs w:val="24"/>
        </w:rPr>
        <w:t>***</w:t>
      </w:r>
    </w:p>
    <w:p w14:paraId="292C14FF" w14:textId="77777777" w:rsidR="00615A2B" w:rsidRPr="00615A2B" w:rsidRDefault="00615A2B" w:rsidP="00615A2B">
      <w:pPr>
        <w:tabs>
          <w:tab w:val="left" w:pos="425"/>
          <w:tab w:val="left" w:pos="851"/>
        </w:tabs>
        <w:spacing w:after="120"/>
        <w:ind w:firstLine="0"/>
        <w:jc w:val="center"/>
        <w:rPr>
          <w:szCs w:val="24"/>
        </w:rPr>
      </w:pPr>
      <w:r w:rsidRPr="00615A2B">
        <w:rPr>
          <w:szCs w:val="24"/>
        </w:rPr>
        <w:t>§ 8</w:t>
      </w:r>
    </w:p>
    <w:p w14:paraId="1B2E389B" w14:textId="77777777" w:rsidR="00615A2B" w:rsidRPr="00615A2B" w:rsidRDefault="00615A2B" w:rsidP="00615A2B">
      <w:pPr>
        <w:spacing w:after="120"/>
        <w:rPr>
          <w:szCs w:val="24"/>
        </w:rPr>
      </w:pPr>
      <w:r w:rsidRPr="00615A2B">
        <w:rPr>
          <w:szCs w:val="24"/>
        </w:rPr>
        <w:t xml:space="preserve">Společník nebo člen osoby zúčastněné na přeměně může udělit souhlas způsobem stanoveným v </w:t>
      </w:r>
      <w:hyperlink r:id="rId307" w:history="1">
        <w:r w:rsidRPr="00615A2B">
          <w:rPr>
            <w:szCs w:val="24"/>
          </w:rPr>
          <w:t>§ 9</w:t>
        </w:r>
      </w:hyperlink>
      <w:r w:rsidRPr="00615A2B">
        <w:rPr>
          <w:szCs w:val="24"/>
        </w:rPr>
        <w:t xml:space="preserve"> s tím, že jakákoliv zpráva týkající se přeměny, vyžadovaná tímto zákonem, nebude vypracována</w:t>
      </w:r>
      <w:r w:rsidRPr="00615A2B">
        <w:rPr>
          <w:strike/>
          <w:szCs w:val="24"/>
        </w:rPr>
        <w:t>, ledaže jde o zprávu auditora o ověření účetní závěrky</w:t>
      </w:r>
      <w:r w:rsidRPr="00615A2B">
        <w:rPr>
          <w:szCs w:val="24"/>
        </w:rPr>
        <w:t>.</w:t>
      </w:r>
    </w:p>
    <w:p w14:paraId="573E4E1A" w14:textId="77777777" w:rsidR="00615A2B" w:rsidRPr="00615A2B" w:rsidRDefault="00615A2B" w:rsidP="00992796">
      <w:pPr>
        <w:pStyle w:val="Nadpisparagrafu"/>
        <w:numPr>
          <w:ilvl w:val="0"/>
          <w:numId w:val="39"/>
        </w:numPr>
        <w:spacing w:after="120"/>
        <w:rPr>
          <w:b w:val="0"/>
          <w:szCs w:val="24"/>
        </w:rPr>
      </w:pPr>
      <w:r w:rsidRPr="00615A2B">
        <w:rPr>
          <w:b w:val="0"/>
          <w:szCs w:val="24"/>
        </w:rPr>
        <w:t>***</w:t>
      </w:r>
    </w:p>
    <w:p w14:paraId="0C471357" w14:textId="77777777" w:rsidR="00615A2B" w:rsidRPr="00615A2B" w:rsidRDefault="00615A2B" w:rsidP="00615A2B">
      <w:pPr>
        <w:tabs>
          <w:tab w:val="left" w:pos="425"/>
          <w:tab w:val="left" w:pos="851"/>
        </w:tabs>
        <w:spacing w:after="120"/>
        <w:ind w:firstLine="0"/>
        <w:jc w:val="center"/>
        <w:rPr>
          <w:szCs w:val="24"/>
        </w:rPr>
      </w:pPr>
      <w:r w:rsidRPr="00615A2B">
        <w:rPr>
          <w:szCs w:val="24"/>
        </w:rPr>
        <w:t>§ 10</w:t>
      </w:r>
    </w:p>
    <w:p w14:paraId="1DBDA68E" w14:textId="77777777" w:rsidR="00615A2B" w:rsidRPr="00615A2B" w:rsidRDefault="00615A2B" w:rsidP="005F5A2E">
      <w:pPr>
        <w:pStyle w:val="l4"/>
        <w:spacing w:before="120" w:beforeAutospacing="0" w:after="120" w:afterAutospacing="0"/>
        <w:jc w:val="both"/>
      </w:pPr>
      <w:r w:rsidRPr="00615A2B">
        <w:rPr>
          <w:rStyle w:val="PromnnHTML"/>
          <w:i w:val="0"/>
        </w:rPr>
        <w:lastRenderedPageBreak/>
        <w:t>(1)</w:t>
      </w:r>
      <w:r w:rsidRPr="00615A2B">
        <w:t xml:space="preserve"> Rozhodný den se určuje pouze při fúzi, rozdělení nebo převodu jmění na společníka.</w:t>
      </w:r>
    </w:p>
    <w:p w14:paraId="0FAB6709" w14:textId="77777777" w:rsidR="00615A2B" w:rsidRPr="00615A2B" w:rsidRDefault="00615A2B" w:rsidP="005F5A2E">
      <w:pPr>
        <w:pStyle w:val="l4"/>
        <w:spacing w:before="120" w:beforeAutospacing="0" w:after="120" w:afterAutospacing="0"/>
        <w:jc w:val="both"/>
        <w:rPr>
          <w:strike/>
        </w:rPr>
      </w:pPr>
      <w:r w:rsidRPr="00615A2B">
        <w:rPr>
          <w:rStyle w:val="PromnnHTML"/>
          <w:i w:val="0"/>
          <w:strike/>
        </w:rPr>
        <w:t>(2)</w:t>
      </w:r>
      <w:r w:rsidRPr="00615A2B">
        <w:rPr>
          <w:i/>
          <w:strike/>
        </w:rPr>
        <w:t xml:space="preserve"> </w:t>
      </w:r>
      <w:r w:rsidRPr="00615A2B">
        <w:rPr>
          <w:strike/>
        </w:rPr>
        <w:t xml:space="preserve">Při rozdělení odštěpením </w:t>
      </w:r>
      <w:r w:rsidRPr="00E10427">
        <w:rPr>
          <w:b/>
          <w:bCs/>
          <w:strike/>
        </w:rPr>
        <w:t>nebo vyčleněním</w:t>
      </w:r>
      <w:r w:rsidRPr="00615A2B">
        <w:rPr>
          <w:b/>
          <w:bCs/>
          <w:strike/>
        </w:rPr>
        <w:t xml:space="preserve"> </w:t>
      </w:r>
      <w:r w:rsidRPr="00615A2B">
        <w:rPr>
          <w:strike/>
        </w:rPr>
        <w:t>nastávají účinky rozhodného dne jen ve vztahu k těm jednáním, která se týkají majetku nebo dluhů, jež mají podle projektu rozdělení přejít na nástupnickou společnost nebo družstvo</w:t>
      </w:r>
      <w:r w:rsidRPr="00615A2B">
        <w:rPr>
          <w:b/>
          <w:bCs/>
          <w:strike/>
        </w:rPr>
        <w:t xml:space="preserve"> právního nástupce</w:t>
      </w:r>
      <w:r w:rsidRPr="00615A2B">
        <w:rPr>
          <w:strike/>
        </w:rPr>
        <w:t>.</w:t>
      </w:r>
    </w:p>
    <w:p w14:paraId="3D9C88C1" w14:textId="77777777" w:rsidR="00615A2B" w:rsidRPr="00615A2B" w:rsidRDefault="00615A2B" w:rsidP="005F5A2E">
      <w:pPr>
        <w:pStyle w:val="l4"/>
        <w:spacing w:before="120" w:beforeAutospacing="0" w:after="120" w:afterAutospacing="0"/>
        <w:jc w:val="both"/>
        <w:rPr>
          <w:strike/>
        </w:rPr>
      </w:pPr>
      <w:r w:rsidRPr="00615A2B">
        <w:rPr>
          <w:rStyle w:val="PromnnHTML"/>
          <w:i w:val="0"/>
          <w:strike/>
        </w:rPr>
        <w:t>(3)</w:t>
      </w:r>
      <w:r w:rsidRPr="00615A2B">
        <w:rPr>
          <w:rStyle w:val="PromnnHTML"/>
        </w:rPr>
        <w:t xml:space="preserve"> </w:t>
      </w:r>
      <w:r w:rsidRPr="00615A2B">
        <w:rPr>
          <w:strike/>
        </w:rPr>
        <w:t>Rozhodný den nemůže předcházet o více než 12 měsíců den</w:t>
      </w:r>
      <w:bookmarkStart w:id="36" w:name="_Hlk108686768"/>
      <w:r w:rsidRPr="00615A2B">
        <w:rPr>
          <w:strike/>
        </w:rPr>
        <w:t>, v němž bude podán návrh na zápis</w:t>
      </w:r>
      <w:bookmarkEnd w:id="36"/>
      <w:r w:rsidRPr="00615A2B">
        <w:rPr>
          <w:strike/>
        </w:rPr>
        <w:t xml:space="preserve"> přeměny do obchodního rejstříku. </w:t>
      </w:r>
      <w:bookmarkStart w:id="37" w:name="_Hlk108686857"/>
      <w:r w:rsidRPr="00615A2B">
        <w:rPr>
          <w:b/>
          <w:bCs/>
          <w:strike/>
        </w:rPr>
        <w:t>Jako rozhodný den fúze nebo rozdělení nelze stanovit den předcházející dni vzniku zúčastněné společnosti nebo družstva.</w:t>
      </w:r>
      <w:bookmarkEnd w:id="37"/>
      <w:r w:rsidRPr="00615A2B">
        <w:rPr>
          <w:strike/>
        </w:rPr>
        <w:t xml:space="preserve"> Jako rozhodný den může být stanoven nejpozději den zápisu fúze, rozdělení nebo převodu jmění na společníka do obchodního rejstříku. Určí-li projekt přeměny den pozdější, považuje se za rozhodný den </w:t>
      </w:r>
      <w:proofErr w:type="spellStart"/>
      <w:r w:rsidRPr="00615A2B">
        <w:rPr>
          <w:strike/>
        </w:rPr>
        <w:t>den</w:t>
      </w:r>
      <w:proofErr w:type="spellEnd"/>
      <w:r w:rsidRPr="00615A2B">
        <w:rPr>
          <w:strike/>
        </w:rPr>
        <w:t xml:space="preserve"> zápisu přeměny do obchodního rejstříku.</w:t>
      </w:r>
    </w:p>
    <w:p w14:paraId="39372EB4" w14:textId="48CC6495" w:rsidR="00615A2B" w:rsidRPr="00615A2B" w:rsidRDefault="00615A2B" w:rsidP="005F5A2E">
      <w:pPr>
        <w:pBdr>
          <w:top w:val="single" w:sz="12" w:space="1" w:color="00B0F0"/>
          <w:left w:val="single" w:sz="12" w:space="4" w:color="00B0F0"/>
          <w:bottom w:val="single" w:sz="12" w:space="1" w:color="00B0F0"/>
          <w:right w:val="single" w:sz="12" w:space="4" w:color="00B0F0"/>
        </w:pBdr>
        <w:spacing w:before="120" w:after="120"/>
        <w:rPr>
          <w:color w:val="00B0F0"/>
          <w:szCs w:val="24"/>
        </w:rPr>
      </w:pPr>
      <w:proofErr w:type="gramStart"/>
      <w:r w:rsidRPr="00E10427">
        <w:rPr>
          <w:strike/>
          <w:color w:val="00B0F0"/>
          <w:szCs w:val="24"/>
        </w:rPr>
        <w:t>(4)</w:t>
      </w:r>
      <w:r w:rsidRPr="00E10427">
        <w:rPr>
          <w:color w:val="00B0F0"/>
          <w:szCs w:val="24"/>
        </w:rPr>
        <w:t xml:space="preserve"> </w:t>
      </w:r>
      <w:bookmarkStart w:id="38" w:name="_Hlk108686888"/>
      <w:r w:rsidRPr="00E10427">
        <w:rPr>
          <w:b/>
          <w:bCs/>
          <w:szCs w:val="24"/>
        </w:rPr>
        <w:t xml:space="preserve">(2) </w:t>
      </w:r>
      <w:r w:rsidRPr="00E10427">
        <w:rPr>
          <w:color w:val="00B0F0"/>
          <w:szCs w:val="24"/>
        </w:rPr>
        <w:t>Společnost</w:t>
      </w:r>
      <w:proofErr w:type="gramEnd"/>
      <w:r w:rsidRPr="00E10427">
        <w:rPr>
          <w:color w:val="00B0F0"/>
          <w:szCs w:val="24"/>
        </w:rPr>
        <w:t xml:space="preserve"> nebo družstvo se může účastnit více přeměn majících stejný rozhodný den.</w:t>
      </w:r>
      <w:bookmarkEnd w:id="38"/>
    </w:p>
    <w:p w14:paraId="15077A06" w14:textId="77777777" w:rsidR="00615A2B" w:rsidRPr="00615A2B" w:rsidRDefault="00615A2B" w:rsidP="00615A2B">
      <w:pPr>
        <w:tabs>
          <w:tab w:val="left" w:pos="425"/>
          <w:tab w:val="left" w:pos="851"/>
        </w:tabs>
        <w:spacing w:after="120"/>
        <w:ind w:firstLine="0"/>
        <w:jc w:val="center"/>
        <w:rPr>
          <w:strike/>
          <w:szCs w:val="24"/>
        </w:rPr>
      </w:pPr>
      <w:r w:rsidRPr="00615A2B">
        <w:rPr>
          <w:strike/>
          <w:szCs w:val="24"/>
        </w:rPr>
        <w:t>§ 11</w:t>
      </w:r>
    </w:p>
    <w:p w14:paraId="5AE0E85B" w14:textId="77777777" w:rsidR="00615A2B" w:rsidRPr="00615A2B" w:rsidRDefault="00615A2B" w:rsidP="005F5A2E">
      <w:pPr>
        <w:spacing w:before="120" w:after="120"/>
        <w:rPr>
          <w:strike/>
          <w:szCs w:val="24"/>
        </w:rPr>
      </w:pPr>
      <w:r w:rsidRPr="00615A2B">
        <w:rPr>
          <w:rStyle w:val="PromnnHTML"/>
          <w:i w:val="0"/>
          <w:strike/>
          <w:szCs w:val="24"/>
        </w:rPr>
        <w:t>(1)</w:t>
      </w:r>
      <w:r w:rsidRPr="00615A2B">
        <w:rPr>
          <w:strike/>
          <w:szCs w:val="24"/>
        </w:rPr>
        <w:t xml:space="preserve"> Konečná účetní závěrka se sestavuje jako řádná nebo mimořádná účetní závěrka. Jestliže se vyžaduje konečná účetní závěrka při změně právní formy, sestavuje se ke dni, který předchází dni, k němuž je změna právní formy zapsána do obchodního rejstříku.</w:t>
      </w:r>
    </w:p>
    <w:p w14:paraId="013EE366" w14:textId="77777777" w:rsidR="00615A2B" w:rsidRPr="00615A2B" w:rsidRDefault="00615A2B" w:rsidP="005F5A2E">
      <w:pPr>
        <w:spacing w:before="120" w:after="120"/>
        <w:rPr>
          <w:strike/>
          <w:szCs w:val="24"/>
        </w:rPr>
      </w:pPr>
      <w:r w:rsidRPr="00615A2B">
        <w:rPr>
          <w:rStyle w:val="PromnnHTML"/>
          <w:i w:val="0"/>
          <w:strike/>
          <w:szCs w:val="24"/>
        </w:rPr>
        <w:t>(2)</w:t>
      </w:r>
      <w:r w:rsidRPr="00615A2B">
        <w:rPr>
          <w:strike/>
          <w:szCs w:val="24"/>
        </w:rPr>
        <w:t xml:space="preserve"> Při fúzi, rozdělení a převodu jmění na společníka se mezitímní účetní závěrka sestavuje jen tehdy, byla-li poslední řádná nebo mimořádná účetní závěrka, popřípadě konečná účetní závěrka sestavena z údajů ke dni, od něhož ke dni vyhotovení projektu fúze, rozdělení nebo převodu jmění uplynulo více než 6 měsíců. Ode dne, k němuž je sestavena mezitímní účetní závěrka, do dne vyhotovení projektu fúze, rozdělení nebo převodu jmění na společníka nesmí uplynout více než 3 měsíce.</w:t>
      </w:r>
    </w:p>
    <w:p w14:paraId="64A66897" w14:textId="77777777" w:rsidR="00615A2B" w:rsidRPr="00615A2B" w:rsidRDefault="00615A2B" w:rsidP="005F5A2E">
      <w:pPr>
        <w:spacing w:before="120" w:after="120"/>
        <w:rPr>
          <w:strike/>
          <w:szCs w:val="24"/>
        </w:rPr>
      </w:pPr>
      <w:r w:rsidRPr="00615A2B">
        <w:rPr>
          <w:rStyle w:val="PromnnHTML"/>
          <w:i w:val="0"/>
          <w:strike/>
          <w:szCs w:val="24"/>
        </w:rPr>
        <w:t>(3)</w:t>
      </w:r>
      <w:r w:rsidRPr="00615A2B">
        <w:rPr>
          <w:strike/>
          <w:szCs w:val="24"/>
        </w:rPr>
        <w:t> Jestliže se vyžaduje zahajovací rozvaha při změně právní formy, sestavuje se ke dni, k němuž byla změna právní formy zapsána do obchodního rejstříku.</w:t>
      </w:r>
    </w:p>
    <w:p w14:paraId="5F074CF6" w14:textId="77777777" w:rsidR="00615A2B" w:rsidRPr="00615A2B" w:rsidRDefault="00615A2B" w:rsidP="005F5A2E">
      <w:pPr>
        <w:pBdr>
          <w:top w:val="single" w:sz="12" w:space="1" w:color="00B0F0"/>
          <w:left w:val="single" w:sz="12" w:space="4" w:color="00B0F0"/>
          <w:bottom w:val="single" w:sz="12" w:space="1" w:color="00B0F0"/>
          <w:right w:val="single" w:sz="12" w:space="4" w:color="00B0F0"/>
        </w:pBdr>
        <w:spacing w:after="120"/>
        <w:rPr>
          <w:b/>
          <w:bCs/>
          <w:strike/>
          <w:color w:val="00B0F0"/>
          <w:szCs w:val="24"/>
        </w:rPr>
      </w:pPr>
      <w:bookmarkStart w:id="39" w:name="_Hlk108686948"/>
      <w:r w:rsidRPr="00615A2B">
        <w:rPr>
          <w:b/>
          <w:bCs/>
          <w:strike/>
          <w:color w:val="00B0F0"/>
          <w:szCs w:val="24"/>
        </w:rPr>
        <w:t xml:space="preserve">(4) Konečnou účetní závěrku je ke dni předcházejícímu rozhodnému dni povinna sestavit také nástupnická společnost nebo družstvo při fúzi sloučením nebo rozdělení sloučením, rozdělovaná společnost při rozdělení vyčleněním a zanikající společnost při převodu jmění na společníka. </w:t>
      </w:r>
    </w:p>
    <w:p w14:paraId="36205215" w14:textId="77777777" w:rsidR="00615A2B" w:rsidRPr="00615A2B" w:rsidRDefault="00615A2B" w:rsidP="005F5A2E">
      <w:pPr>
        <w:pBdr>
          <w:top w:val="single" w:sz="12" w:space="1" w:color="00B0F0"/>
          <w:left w:val="single" w:sz="12" w:space="4" w:color="00B0F0"/>
          <w:bottom w:val="single" w:sz="12" w:space="1" w:color="00B0F0"/>
          <w:right w:val="single" w:sz="12" w:space="4" w:color="00B0F0"/>
        </w:pBdr>
        <w:spacing w:after="120"/>
        <w:rPr>
          <w:b/>
          <w:bCs/>
          <w:strike/>
          <w:color w:val="00B0F0"/>
          <w:szCs w:val="24"/>
        </w:rPr>
      </w:pPr>
      <w:r w:rsidRPr="00615A2B">
        <w:rPr>
          <w:b/>
          <w:bCs/>
          <w:strike/>
          <w:color w:val="00B0F0"/>
          <w:szCs w:val="24"/>
        </w:rPr>
        <w:t>(5) Zahajovací rozvahu je k rozhodnému dni povinna sestavit také rozdělovaná společnost při rozdělení vyčleněním a přejímající společník při převodu jmění na společníka.</w:t>
      </w:r>
      <w:bookmarkEnd w:id="39"/>
    </w:p>
    <w:p w14:paraId="10F9CBDE" w14:textId="77777777" w:rsidR="00615A2B" w:rsidRPr="00615A2B" w:rsidRDefault="00615A2B" w:rsidP="005F5A2E">
      <w:pPr>
        <w:pBdr>
          <w:top w:val="single" w:sz="12" w:space="1" w:color="00B0F0"/>
          <w:left w:val="single" w:sz="12" w:space="4" w:color="00B0F0"/>
          <w:bottom w:val="single" w:sz="12" w:space="1" w:color="00B0F0"/>
          <w:right w:val="single" w:sz="12" w:space="4" w:color="00B0F0"/>
        </w:pBdr>
        <w:spacing w:after="120"/>
        <w:rPr>
          <w:strike/>
          <w:szCs w:val="24"/>
        </w:rPr>
      </w:pPr>
      <w:proofErr w:type="gramStart"/>
      <w:r w:rsidRPr="00615A2B">
        <w:rPr>
          <w:rStyle w:val="PromnnHTML"/>
          <w:i w:val="0"/>
          <w:strike/>
          <w:szCs w:val="24"/>
        </w:rPr>
        <w:t>(4)</w:t>
      </w:r>
      <w:r w:rsidRPr="00615A2B">
        <w:rPr>
          <w:strike/>
          <w:color w:val="00B0F0"/>
          <w:szCs w:val="24"/>
        </w:rPr>
        <w:t xml:space="preserve"> </w:t>
      </w:r>
      <w:r w:rsidRPr="00615A2B">
        <w:rPr>
          <w:b/>
          <w:bCs/>
          <w:strike/>
          <w:color w:val="00B0F0"/>
          <w:szCs w:val="24"/>
        </w:rPr>
        <w:t>(6)</w:t>
      </w:r>
      <w:r w:rsidRPr="00615A2B">
        <w:rPr>
          <w:b/>
          <w:bCs/>
          <w:strike/>
          <w:szCs w:val="24"/>
        </w:rPr>
        <w:t xml:space="preserve"> </w:t>
      </w:r>
      <w:r w:rsidRPr="00615A2B">
        <w:rPr>
          <w:strike/>
          <w:szCs w:val="24"/>
        </w:rPr>
        <w:t>Ustanovení</w:t>
      </w:r>
      <w:proofErr w:type="gramEnd"/>
      <w:r w:rsidRPr="00615A2B">
        <w:rPr>
          <w:strike/>
          <w:szCs w:val="24"/>
        </w:rPr>
        <w:t xml:space="preserve"> odstavců 1 až 3 </w:t>
      </w:r>
      <w:r w:rsidRPr="00615A2B">
        <w:rPr>
          <w:b/>
          <w:bCs/>
          <w:strike/>
          <w:color w:val="00B0F0"/>
          <w:szCs w:val="24"/>
        </w:rPr>
        <w:t>Odstavce 1 až 5</w:t>
      </w:r>
      <w:r w:rsidRPr="00615A2B">
        <w:rPr>
          <w:b/>
          <w:bCs/>
          <w:strike/>
          <w:szCs w:val="24"/>
        </w:rPr>
        <w:t xml:space="preserve"> </w:t>
      </w:r>
      <w:r w:rsidRPr="00615A2B">
        <w:rPr>
          <w:strike/>
          <w:szCs w:val="24"/>
        </w:rPr>
        <w:t>se nepoužijí při převodu jmění na přejímajícího společníka, který není účetní jednotkou.</w:t>
      </w:r>
    </w:p>
    <w:p w14:paraId="5A0ECE20" w14:textId="77777777" w:rsidR="00615A2B" w:rsidRPr="00615A2B" w:rsidRDefault="00615A2B" w:rsidP="00615A2B">
      <w:pPr>
        <w:tabs>
          <w:tab w:val="left" w:pos="425"/>
          <w:tab w:val="left" w:pos="851"/>
        </w:tabs>
        <w:spacing w:after="120"/>
        <w:ind w:firstLine="0"/>
        <w:jc w:val="center"/>
        <w:rPr>
          <w:b/>
          <w:szCs w:val="24"/>
        </w:rPr>
      </w:pPr>
      <w:r w:rsidRPr="00615A2B">
        <w:rPr>
          <w:b/>
          <w:szCs w:val="24"/>
        </w:rPr>
        <w:t>§ 11</w:t>
      </w:r>
    </w:p>
    <w:p w14:paraId="05069099" w14:textId="38C6FFC6" w:rsidR="00615A2B" w:rsidRPr="00615A2B" w:rsidRDefault="00615A2B" w:rsidP="00615A2B">
      <w:pPr>
        <w:spacing w:after="120"/>
        <w:rPr>
          <w:rStyle w:val="PromnnHTML"/>
          <w:b/>
          <w:i w:val="0"/>
          <w:iCs w:val="0"/>
          <w:szCs w:val="24"/>
        </w:rPr>
      </w:pPr>
      <w:r w:rsidRPr="00615A2B">
        <w:rPr>
          <w:rStyle w:val="PromnnHTML"/>
          <w:b/>
          <w:i w:val="0"/>
          <w:szCs w:val="24"/>
        </w:rPr>
        <w:t xml:space="preserve">(1) Konečnou účetní závěrkou se pro účely tohoto zákona rozumí individuální účetní závěrka sestavená ke dni předcházejícímu </w:t>
      </w:r>
    </w:p>
    <w:p w14:paraId="67E5F16E" w14:textId="77777777" w:rsidR="00615A2B" w:rsidRPr="00615A2B" w:rsidRDefault="00615A2B" w:rsidP="00DE29D4">
      <w:pPr>
        <w:pStyle w:val="l4"/>
        <w:spacing w:before="0" w:beforeAutospacing="0" w:after="0" w:afterAutospacing="0"/>
        <w:ind w:left="426" w:hanging="426"/>
        <w:jc w:val="both"/>
        <w:rPr>
          <w:rStyle w:val="PromnnHTML"/>
          <w:b/>
          <w:i w:val="0"/>
          <w:iCs w:val="0"/>
        </w:rPr>
      </w:pPr>
      <w:r w:rsidRPr="00615A2B">
        <w:rPr>
          <w:rStyle w:val="PromnnHTML"/>
          <w:b/>
          <w:i w:val="0"/>
        </w:rPr>
        <w:t>a)</w:t>
      </w:r>
      <w:r w:rsidRPr="00615A2B">
        <w:rPr>
          <w:rStyle w:val="PromnnHTML"/>
          <w:b/>
          <w:i w:val="0"/>
        </w:rPr>
        <w:tab/>
        <w:t>rozhodnému dni přeměny nebo</w:t>
      </w:r>
    </w:p>
    <w:p w14:paraId="7B6BFD79" w14:textId="46FC52E4" w:rsidR="00615A2B" w:rsidRPr="00615A2B" w:rsidRDefault="00615A2B" w:rsidP="00DE29D4">
      <w:pPr>
        <w:pStyle w:val="l4"/>
        <w:spacing w:before="0" w:beforeAutospacing="0" w:after="0" w:afterAutospacing="0"/>
        <w:ind w:left="426" w:hanging="426"/>
        <w:jc w:val="both"/>
        <w:rPr>
          <w:rStyle w:val="PromnnHTML"/>
          <w:b/>
          <w:iCs w:val="0"/>
        </w:rPr>
      </w:pPr>
      <w:r w:rsidRPr="00615A2B">
        <w:rPr>
          <w:rStyle w:val="PromnnHTML"/>
          <w:b/>
          <w:i w:val="0"/>
        </w:rPr>
        <w:t>b)</w:t>
      </w:r>
      <w:r>
        <w:rPr>
          <w:rStyle w:val="PromnnHTML"/>
          <w:b/>
        </w:rPr>
        <w:tab/>
      </w:r>
      <w:r w:rsidRPr="00615A2B">
        <w:rPr>
          <w:rStyle w:val="PromnnHTML"/>
          <w:b/>
          <w:i w:val="0"/>
        </w:rPr>
        <w:t>dni, ve kterém nastaly právní účinky přeměny</w:t>
      </w:r>
      <w:r w:rsidRPr="00615A2B">
        <w:rPr>
          <w:rStyle w:val="PromnnHTML"/>
          <w:b/>
        </w:rPr>
        <w:t xml:space="preserve"> </w:t>
      </w:r>
      <w:r w:rsidRPr="00615A2B">
        <w:rPr>
          <w:b/>
        </w:rPr>
        <w:t>v případě, kdy při přeměně některá nástupnická nebo zúčastněná právnická osoba není účetní jednotkou nebo nedochází k přechodu jmění na právního nástupce</w:t>
      </w:r>
      <w:r w:rsidRPr="00615A2B">
        <w:rPr>
          <w:rStyle w:val="PromnnHTML"/>
          <w:b/>
        </w:rPr>
        <w:t>.</w:t>
      </w:r>
    </w:p>
    <w:p w14:paraId="78E7F61A" w14:textId="77777777" w:rsidR="00615A2B" w:rsidRPr="00615A2B" w:rsidRDefault="00615A2B" w:rsidP="00615A2B">
      <w:pPr>
        <w:spacing w:after="120"/>
        <w:rPr>
          <w:b/>
          <w:szCs w:val="24"/>
        </w:rPr>
      </w:pPr>
      <w:r w:rsidRPr="00615A2B">
        <w:rPr>
          <w:b/>
          <w:szCs w:val="24"/>
        </w:rPr>
        <w:lastRenderedPageBreak/>
        <w:t>(2) Při fúzi, rozdělení a převodu jmění na společníka, který je účetní jednotkou, se sestavuje mezitímní individuální účetní závěrka, pokud ode dne, k němuž se sestavila poslední řádná individuální účetní závěrka nebo konečná účetní závěrka, do dne vyhotovení projektu fúze</w:t>
      </w:r>
      <w:r w:rsidRPr="00615A2B">
        <w:rPr>
          <w:rFonts w:eastAsiaTheme="minorHAnsi"/>
          <w:szCs w:val="24"/>
          <w:lang w:eastAsia="en-US"/>
        </w:rPr>
        <w:t xml:space="preserve">, </w:t>
      </w:r>
      <w:r w:rsidRPr="00615A2B">
        <w:rPr>
          <w:b/>
          <w:szCs w:val="24"/>
        </w:rPr>
        <w:t>rozdělení nebo převodu jmění uplynulo více než 6 měsíců. Tato účetní závěrka se sestavuje ke dni, který nepředchází den vyhotovení tohoto projektu o více než 3 měsíce.</w:t>
      </w:r>
    </w:p>
    <w:p w14:paraId="75D93A0E" w14:textId="77777777" w:rsidR="00615A2B" w:rsidRPr="00615A2B" w:rsidRDefault="00615A2B" w:rsidP="00615A2B">
      <w:pPr>
        <w:tabs>
          <w:tab w:val="left" w:pos="425"/>
          <w:tab w:val="left" w:pos="851"/>
        </w:tabs>
        <w:spacing w:after="120"/>
        <w:ind w:firstLine="0"/>
        <w:jc w:val="center"/>
        <w:rPr>
          <w:szCs w:val="24"/>
        </w:rPr>
      </w:pPr>
      <w:r w:rsidRPr="00615A2B">
        <w:rPr>
          <w:szCs w:val="24"/>
        </w:rPr>
        <w:t>§ 11a</w:t>
      </w:r>
    </w:p>
    <w:p w14:paraId="2995199B" w14:textId="77777777" w:rsidR="00615A2B" w:rsidRPr="00615A2B" w:rsidRDefault="00615A2B" w:rsidP="005F5A2E">
      <w:pPr>
        <w:spacing w:before="120" w:after="120"/>
        <w:rPr>
          <w:szCs w:val="24"/>
        </w:rPr>
      </w:pPr>
      <w:r w:rsidRPr="00615A2B">
        <w:rPr>
          <w:szCs w:val="24"/>
        </w:rPr>
        <w:t xml:space="preserve">(1) Mezitímní </w:t>
      </w:r>
      <w:r w:rsidRPr="00615A2B">
        <w:rPr>
          <w:b/>
          <w:szCs w:val="24"/>
        </w:rPr>
        <w:t xml:space="preserve">individuální </w:t>
      </w:r>
      <w:r w:rsidRPr="00615A2B">
        <w:rPr>
          <w:szCs w:val="24"/>
        </w:rPr>
        <w:t xml:space="preserve">účetní závěrka podle § 11 odst. 2 se nevyžaduje u osob zúčastněných na přeměně, jestliže zveřejňují pololetní finanční zprávu podle zákona upravujícího podnikání na kapitálovém trhu a zpřístupňují-li ji společníkům nebo členům způsobem stanoveným tímto zákonem pro mezitímní </w:t>
      </w:r>
      <w:r w:rsidRPr="00615A2B">
        <w:rPr>
          <w:b/>
          <w:szCs w:val="24"/>
        </w:rPr>
        <w:t xml:space="preserve">individuální </w:t>
      </w:r>
      <w:r w:rsidRPr="00615A2B">
        <w:rPr>
          <w:szCs w:val="24"/>
        </w:rPr>
        <w:t>účetní závěrku.</w:t>
      </w:r>
    </w:p>
    <w:p w14:paraId="58042626" w14:textId="77777777" w:rsidR="00615A2B" w:rsidRPr="00615A2B" w:rsidRDefault="00615A2B" w:rsidP="005F5A2E">
      <w:pPr>
        <w:spacing w:before="120" w:after="120"/>
        <w:rPr>
          <w:szCs w:val="24"/>
        </w:rPr>
      </w:pPr>
      <w:r w:rsidRPr="00615A2B">
        <w:rPr>
          <w:szCs w:val="24"/>
        </w:rPr>
        <w:t xml:space="preserve">(2) Mezitímní </w:t>
      </w:r>
      <w:r w:rsidRPr="00615A2B">
        <w:rPr>
          <w:b/>
          <w:szCs w:val="24"/>
        </w:rPr>
        <w:t xml:space="preserve">individuální </w:t>
      </w:r>
      <w:r w:rsidRPr="00615A2B">
        <w:rPr>
          <w:szCs w:val="24"/>
        </w:rPr>
        <w:t>účetní závěrka podle § 11 odst. 2 se rovněž nevyžaduje, jestliže k tomu všichni společníci nebo členové všech osob zúčastněných na přeměně udělili souhlas.</w:t>
      </w:r>
    </w:p>
    <w:p w14:paraId="39D35E15" w14:textId="77777777" w:rsidR="00615A2B" w:rsidRPr="00615A2B" w:rsidRDefault="00615A2B" w:rsidP="00F44AB2">
      <w:pPr>
        <w:tabs>
          <w:tab w:val="left" w:pos="425"/>
          <w:tab w:val="left" w:pos="851"/>
        </w:tabs>
        <w:spacing w:after="120"/>
        <w:ind w:firstLine="0"/>
        <w:jc w:val="center"/>
        <w:rPr>
          <w:strike/>
          <w:szCs w:val="24"/>
        </w:rPr>
      </w:pPr>
      <w:r w:rsidRPr="00615A2B">
        <w:rPr>
          <w:strike/>
          <w:szCs w:val="24"/>
        </w:rPr>
        <w:t>§ 11b</w:t>
      </w:r>
    </w:p>
    <w:p w14:paraId="7CCD313A" w14:textId="77777777" w:rsidR="00615A2B" w:rsidRPr="00615A2B" w:rsidRDefault="00615A2B" w:rsidP="00615A2B">
      <w:pPr>
        <w:spacing w:after="120"/>
        <w:rPr>
          <w:strike/>
          <w:szCs w:val="24"/>
        </w:rPr>
      </w:pPr>
      <w:r w:rsidRPr="00615A2B">
        <w:rPr>
          <w:strike/>
          <w:szCs w:val="24"/>
        </w:rPr>
        <w:t>Jestliže je zahajovací rozvaha sestavována pro účely přeměny společností nebo družstev, musí k ní být připojen komentář, ve kterém je popsáno, do jakých položek zahajovací rozvahy byly převzaty položky vyplývající z konečné účetní závěrky té které osoby zúčastněné na přeměně nebo jak jinak s nimi bylo naloženo.</w:t>
      </w:r>
    </w:p>
    <w:p w14:paraId="66E689F6" w14:textId="77777777" w:rsidR="00615A2B" w:rsidRPr="00615A2B" w:rsidRDefault="00615A2B" w:rsidP="00F44AB2">
      <w:pPr>
        <w:keepNext/>
        <w:keepLines/>
        <w:tabs>
          <w:tab w:val="left" w:pos="425"/>
          <w:tab w:val="left" w:pos="851"/>
        </w:tabs>
        <w:spacing w:after="120"/>
        <w:ind w:firstLine="0"/>
        <w:jc w:val="center"/>
        <w:rPr>
          <w:szCs w:val="24"/>
        </w:rPr>
      </w:pPr>
      <w:r w:rsidRPr="00615A2B">
        <w:rPr>
          <w:szCs w:val="24"/>
        </w:rPr>
        <w:t>§ 12</w:t>
      </w:r>
    </w:p>
    <w:p w14:paraId="35478101" w14:textId="77777777" w:rsidR="00615A2B" w:rsidRPr="00615A2B" w:rsidRDefault="00615A2B" w:rsidP="005F5A2E">
      <w:pPr>
        <w:spacing w:before="120" w:after="120"/>
        <w:rPr>
          <w:szCs w:val="24"/>
        </w:rPr>
      </w:pPr>
      <w:r w:rsidRPr="00615A2B">
        <w:rPr>
          <w:strike/>
          <w:szCs w:val="24"/>
        </w:rPr>
        <w:t>(1) Při přeměně všechny osoby zúčastněné na přeměně ověřují konečnou účetní závěrku, popřípadě mezitímní účetní závěrku auditorem, pokud alespoň jedna z osob zúčastněných na přeměně má povinnost</w:t>
      </w:r>
      <w:r w:rsidRPr="00615A2B">
        <w:rPr>
          <w:szCs w:val="24"/>
        </w:rPr>
        <w:t xml:space="preserve"> </w:t>
      </w:r>
      <w:r w:rsidRPr="00615A2B">
        <w:rPr>
          <w:strike/>
          <w:szCs w:val="24"/>
        </w:rPr>
        <w:t>ověřit konečnou účetní závěrku nebo mezitímní účetní závěrku auditorem podle zákona o účetnictví</w:t>
      </w:r>
      <w:r w:rsidRPr="00615A2B">
        <w:rPr>
          <w:szCs w:val="24"/>
        </w:rPr>
        <w:t>.</w:t>
      </w:r>
    </w:p>
    <w:p w14:paraId="132CC6A7" w14:textId="77777777" w:rsidR="00615A2B" w:rsidRPr="00615A2B" w:rsidRDefault="00615A2B" w:rsidP="005F5A2E">
      <w:pPr>
        <w:spacing w:before="120" w:after="120"/>
        <w:rPr>
          <w:strike/>
          <w:szCs w:val="24"/>
        </w:rPr>
      </w:pPr>
      <w:r w:rsidRPr="00615A2B">
        <w:rPr>
          <w:strike/>
          <w:szCs w:val="24"/>
        </w:rPr>
        <w:t>(2) Jestliže mají povinnost ověřit konečnou účetní závěrku auditorem všechny osoby zúčastněné na přeměně, které vedou účetnictví, jsou všechny nástupnické společnosti nebo družstva nebo přejímající společník, je-li účetní jednotkou, rozdělovaná společnost nebo družstvo anebo společnost nebo družstvo po změně právní formy povinni nechat ověřit zahajovací rozvahu auditorem.</w:t>
      </w:r>
    </w:p>
    <w:p w14:paraId="37CDAC7E" w14:textId="77777777" w:rsidR="00615A2B" w:rsidRPr="00615A2B" w:rsidRDefault="00615A2B" w:rsidP="005F5A2E">
      <w:pPr>
        <w:spacing w:before="120" w:after="120"/>
        <w:rPr>
          <w:szCs w:val="24"/>
        </w:rPr>
      </w:pPr>
      <w:r w:rsidRPr="00615A2B">
        <w:rPr>
          <w:strike/>
          <w:szCs w:val="24"/>
        </w:rPr>
        <w:t>(3)</w:t>
      </w:r>
      <w:r w:rsidRPr="00615A2B">
        <w:rPr>
          <w:szCs w:val="24"/>
        </w:rPr>
        <w:t xml:space="preserve"> Ukládá-li tento zákon akciové společnosti povinnost zpřístupnit nebo poskytnout akcionáři v souvislosti s přeměnou jakoukoli účetní závěrku, zpřístupní nebo poskytne spolu s ní vždy i </w:t>
      </w:r>
      <w:r w:rsidRPr="00615A2B">
        <w:rPr>
          <w:strike/>
          <w:szCs w:val="24"/>
        </w:rPr>
        <w:t>výroční zprávu</w:t>
      </w:r>
      <w:r w:rsidRPr="00615A2B">
        <w:rPr>
          <w:szCs w:val="24"/>
        </w:rPr>
        <w:t xml:space="preserve"> </w:t>
      </w:r>
      <w:r w:rsidRPr="00615A2B">
        <w:rPr>
          <w:b/>
          <w:szCs w:val="24"/>
        </w:rPr>
        <w:t xml:space="preserve">individuální zprávu vedení </w:t>
      </w:r>
      <w:r w:rsidRPr="00615A2B">
        <w:rPr>
          <w:szCs w:val="24"/>
        </w:rPr>
        <w:t>vztahující se k této účetní závěrce.</w:t>
      </w:r>
    </w:p>
    <w:p w14:paraId="685F1D9C" w14:textId="77777777" w:rsidR="00615A2B" w:rsidRPr="00615A2B" w:rsidRDefault="00615A2B" w:rsidP="00615A2B">
      <w:pPr>
        <w:tabs>
          <w:tab w:val="left" w:pos="425"/>
          <w:tab w:val="left" w:pos="851"/>
        </w:tabs>
        <w:spacing w:after="120"/>
        <w:jc w:val="center"/>
        <w:rPr>
          <w:szCs w:val="24"/>
        </w:rPr>
      </w:pPr>
      <w:r w:rsidRPr="00615A2B">
        <w:rPr>
          <w:szCs w:val="24"/>
        </w:rPr>
        <w:t>§ 13</w:t>
      </w:r>
    </w:p>
    <w:p w14:paraId="23FFE096" w14:textId="77777777" w:rsidR="00615A2B" w:rsidRPr="00615A2B" w:rsidRDefault="00615A2B" w:rsidP="005F5A2E">
      <w:pPr>
        <w:pBdr>
          <w:top w:val="single" w:sz="12" w:space="1" w:color="00B0F0"/>
          <w:left w:val="single" w:sz="12" w:space="4" w:color="00B0F0"/>
          <w:bottom w:val="single" w:sz="12" w:space="1" w:color="00B0F0"/>
          <w:right w:val="single" w:sz="12" w:space="4" w:color="00B0F0"/>
        </w:pBdr>
        <w:spacing w:after="120"/>
        <w:rPr>
          <w:szCs w:val="24"/>
        </w:rPr>
      </w:pPr>
      <w:r w:rsidRPr="005F5A2E">
        <w:rPr>
          <w:b/>
          <w:bCs/>
          <w:color w:val="00B0F0"/>
          <w:szCs w:val="24"/>
        </w:rPr>
        <w:t>(1)</w:t>
      </w:r>
      <w:r w:rsidRPr="00615A2B">
        <w:rPr>
          <w:bCs/>
          <w:color w:val="00B0F0"/>
          <w:szCs w:val="24"/>
        </w:rPr>
        <w:t xml:space="preserve"> </w:t>
      </w:r>
      <w:r w:rsidRPr="00615A2B">
        <w:rPr>
          <w:szCs w:val="24"/>
        </w:rPr>
        <w:t xml:space="preserve">Vyžaduje-li tento zákon ocenění jmění společnosti nebo družstva posudkem znalce, </w:t>
      </w:r>
      <w:r w:rsidRPr="00615A2B">
        <w:rPr>
          <w:strike/>
          <w:szCs w:val="24"/>
        </w:rPr>
        <w:t xml:space="preserve">není to důvodem pro změnu ocenění v účetnictví společnosti nebo družstva, ledaže zvláštní právní předpis </w:t>
      </w:r>
      <w:proofErr w:type="gramStart"/>
      <w:r w:rsidRPr="00615A2B">
        <w:rPr>
          <w:strike/>
          <w:szCs w:val="24"/>
        </w:rPr>
        <w:t>stanoví</w:t>
      </w:r>
      <w:proofErr w:type="gramEnd"/>
      <w:r w:rsidRPr="00615A2B">
        <w:rPr>
          <w:strike/>
          <w:szCs w:val="24"/>
        </w:rPr>
        <w:t xml:space="preserve"> něco jiného</w:t>
      </w:r>
      <w:r w:rsidRPr="00615A2B">
        <w:rPr>
          <w:szCs w:val="24"/>
        </w:rPr>
        <w:t xml:space="preserve"> </w:t>
      </w:r>
      <w:r w:rsidRPr="00615A2B">
        <w:rPr>
          <w:b/>
          <w:szCs w:val="24"/>
        </w:rPr>
        <w:t xml:space="preserve">k tomuto ocenění se pro účely účetnictví </w:t>
      </w:r>
      <w:proofErr w:type="gramStart"/>
      <w:r w:rsidRPr="00615A2B">
        <w:rPr>
          <w:b/>
          <w:szCs w:val="24"/>
        </w:rPr>
        <w:t>nepřihlíží</w:t>
      </w:r>
      <w:proofErr w:type="gramEnd"/>
      <w:r w:rsidRPr="00615A2B">
        <w:rPr>
          <w:b/>
          <w:szCs w:val="24"/>
        </w:rPr>
        <w:t>, nestanoví-li právní předpis upravující účetnictví jinak</w:t>
      </w:r>
      <w:r w:rsidRPr="00615A2B">
        <w:rPr>
          <w:szCs w:val="24"/>
        </w:rPr>
        <w:t>.</w:t>
      </w:r>
    </w:p>
    <w:p w14:paraId="2A579816" w14:textId="77777777" w:rsidR="00615A2B" w:rsidRPr="00615A2B" w:rsidRDefault="00615A2B" w:rsidP="005F5A2E">
      <w:pPr>
        <w:pBdr>
          <w:top w:val="single" w:sz="12" w:space="1" w:color="00B0F0"/>
          <w:left w:val="single" w:sz="12" w:space="4" w:color="00B0F0"/>
          <w:bottom w:val="single" w:sz="12" w:space="1" w:color="00B0F0"/>
          <w:right w:val="single" w:sz="12" w:space="4" w:color="00B0F0"/>
        </w:pBdr>
        <w:spacing w:after="120"/>
        <w:rPr>
          <w:bCs/>
          <w:color w:val="00B0F0"/>
          <w:szCs w:val="24"/>
        </w:rPr>
      </w:pPr>
      <w:bookmarkStart w:id="40" w:name="_Hlk108687067"/>
      <w:r w:rsidRPr="005F5A2E">
        <w:rPr>
          <w:b/>
          <w:bCs/>
          <w:color w:val="00B0F0"/>
          <w:szCs w:val="24"/>
        </w:rPr>
        <w:t>(2)</w:t>
      </w:r>
      <w:r w:rsidRPr="00615A2B">
        <w:rPr>
          <w:bCs/>
          <w:color w:val="00B0F0"/>
          <w:szCs w:val="24"/>
        </w:rPr>
        <w:t xml:space="preserve"> Ustanovení zákona, který upravuje právní poměry obchodních společností a družstev, o povinnosti doplatit rozdíl mezi částkou, na niž byl oceněn nepeněžitý vklad, a jeho reálnou hodnotou při vzniku společnosti nebo družstva nebo při zvýšení základního kapitálu společnosti a o povinnosti uhradit v penězích cenu nepeněžitého vkladu, nepřejde-li na společnost nebo družstvo vlastnické právo k předmětu vkladu, se při přeměně nepoužijí.</w:t>
      </w:r>
      <w:bookmarkEnd w:id="40"/>
      <w:r w:rsidRPr="00615A2B">
        <w:rPr>
          <w:bCs/>
          <w:color w:val="00B0F0"/>
          <w:szCs w:val="24"/>
        </w:rPr>
        <w:t xml:space="preserve"> Ustanovení o těchto </w:t>
      </w:r>
      <w:r w:rsidRPr="00615A2B">
        <w:rPr>
          <w:bCs/>
          <w:color w:val="00B0F0"/>
          <w:szCs w:val="24"/>
        </w:rPr>
        <w:lastRenderedPageBreak/>
        <w:t>povinnostech se však použijí při vzniku společnosti nebo při zvýšení základního kapitálu společnosti v důsledku vyčlenění.</w:t>
      </w:r>
    </w:p>
    <w:p w14:paraId="7D72434E" w14:textId="77777777" w:rsidR="00615A2B" w:rsidRPr="00615A2B" w:rsidRDefault="00615A2B" w:rsidP="00992796">
      <w:pPr>
        <w:pStyle w:val="Nadpisparagrafu"/>
        <w:keepNext w:val="0"/>
        <w:keepLines w:val="0"/>
        <w:numPr>
          <w:ilvl w:val="0"/>
          <w:numId w:val="39"/>
        </w:numPr>
        <w:spacing w:after="120"/>
        <w:rPr>
          <w:b w:val="0"/>
          <w:szCs w:val="24"/>
        </w:rPr>
      </w:pPr>
      <w:r w:rsidRPr="00615A2B">
        <w:rPr>
          <w:b w:val="0"/>
          <w:szCs w:val="24"/>
        </w:rPr>
        <w:t>***</w:t>
      </w:r>
    </w:p>
    <w:p w14:paraId="238CF3D6" w14:textId="77777777" w:rsidR="00615A2B" w:rsidRPr="00615A2B" w:rsidRDefault="00615A2B" w:rsidP="00F44AB2">
      <w:pPr>
        <w:keepNext/>
        <w:tabs>
          <w:tab w:val="left" w:pos="425"/>
          <w:tab w:val="left" w:pos="851"/>
        </w:tabs>
        <w:spacing w:after="120"/>
        <w:ind w:firstLine="0"/>
        <w:jc w:val="center"/>
        <w:rPr>
          <w:szCs w:val="24"/>
        </w:rPr>
      </w:pPr>
      <w:r w:rsidRPr="00615A2B">
        <w:rPr>
          <w:bCs/>
          <w:szCs w:val="24"/>
        </w:rPr>
        <w:t xml:space="preserve">§ </w:t>
      </w:r>
      <w:r w:rsidRPr="00615A2B">
        <w:rPr>
          <w:szCs w:val="24"/>
        </w:rPr>
        <w:t>59e</w:t>
      </w:r>
    </w:p>
    <w:p w14:paraId="71730CD1" w14:textId="77777777" w:rsidR="00615A2B" w:rsidRPr="00D4546A" w:rsidRDefault="00615A2B" w:rsidP="005F5A2E">
      <w:pPr>
        <w:pStyle w:val="Textodstavce"/>
        <w:ind w:firstLine="425"/>
        <w:rPr>
          <w:iCs/>
          <w:szCs w:val="24"/>
        </w:rPr>
      </w:pPr>
      <w:r w:rsidRPr="00D4546A">
        <w:rPr>
          <w:iCs/>
          <w:szCs w:val="24"/>
        </w:rPr>
        <w:t>(1) Není-li dále stanoveno něco jiného, použijí se pro přeshraniční přeměny ustanovení tohoto zákona ve vztahu k českým osobám zúčastněným na přeshraniční přeměně.</w:t>
      </w:r>
    </w:p>
    <w:p w14:paraId="65BF90FB" w14:textId="77777777" w:rsidR="00615A2B" w:rsidRPr="00D4546A" w:rsidRDefault="00615A2B" w:rsidP="005F5A2E">
      <w:pPr>
        <w:pStyle w:val="Textodstavce"/>
        <w:ind w:firstLine="425"/>
        <w:rPr>
          <w:iCs/>
          <w:szCs w:val="24"/>
        </w:rPr>
      </w:pPr>
      <w:r w:rsidRPr="00D4546A">
        <w:rPr>
          <w:iCs/>
          <w:szCs w:val="24"/>
        </w:rPr>
        <w:t>(2) Na zahraniční osoby zúčastněné na přeshraniční přeměně se použijí ustanovení o vydávání osvědčení podle § 59z a ustanovení upravující dokončení přeshraniční přeměny zápisem do obchodního rejstříku. Jiná ustanovení tohoto zákona se při přeshraničních přeměnách vztahují na zahraniční osoby zúčastněné na přeshraniční přeměně, jen stanoví-li tak tento zákon.</w:t>
      </w:r>
    </w:p>
    <w:p w14:paraId="0129CC1F" w14:textId="77777777" w:rsidR="00615A2B" w:rsidRPr="00D4546A" w:rsidRDefault="00615A2B" w:rsidP="005F5A2E">
      <w:pPr>
        <w:pStyle w:val="Textodstavce"/>
        <w:ind w:firstLine="425"/>
        <w:rPr>
          <w:iCs/>
          <w:szCs w:val="24"/>
        </w:rPr>
      </w:pPr>
      <w:r w:rsidRPr="00D4546A">
        <w:rPr>
          <w:iCs/>
          <w:szCs w:val="24"/>
        </w:rPr>
        <w:t xml:space="preserve">(3) Povinnost zahraniční osoby zúčastněné na přeshraniční přeměně sestavit konečnou účetní závěrku, mezitímní </w:t>
      </w:r>
      <w:r w:rsidRPr="00D4546A">
        <w:rPr>
          <w:b/>
          <w:szCs w:val="24"/>
        </w:rPr>
        <w:t xml:space="preserve">individuální </w:t>
      </w:r>
      <w:r w:rsidRPr="00D4546A">
        <w:rPr>
          <w:iCs/>
          <w:szCs w:val="24"/>
        </w:rPr>
        <w:t xml:space="preserve">účetní závěrku a zahajovací rozvahu se řídí právem státu, kterým se řídí její vnitřní poměry, nebo právem státu, v němž má zahraniční fyzická osoba bydliště. Totéž platí ohledně povinnosti </w:t>
      </w:r>
      <w:r w:rsidRPr="00D4546A">
        <w:rPr>
          <w:iCs/>
          <w:strike/>
          <w:szCs w:val="24"/>
        </w:rPr>
        <w:t>nechat ověřit účetní závěrku nebo zahajovací rozvahu</w:t>
      </w:r>
      <w:r w:rsidRPr="00D4546A">
        <w:rPr>
          <w:iCs/>
          <w:szCs w:val="24"/>
        </w:rPr>
        <w:t xml:space="preserve"> </w:t>
      </w:r>
      <w:r w:rsidRPr="00D4546A">
        <w:rPr>
          <w:b/>
          <w:iCs/>
          <w:szCs w:val="24"/>
        </w:rPr>
        <w:t>auditu účetní závěrky nebo ověření zahajovací rozvahy</w:t>
      </w:r>
      <w:r w:rsidRPr="00D4546A">
        <w:rPr>
          <w:iCs/>
          <w:szCs w:val="24"/>
        </w:rPr>
        <w:t xml:space="preserve"> auditorem.</w:t>
      </w:r>
    </w:p>
    <w:p w14:paraId="3B887A0F" w14:textId="77777777" w:rsidR="00615A2B" w:rsidRPr="00D4546A" w:rsidRDefault="00615A2B" w:rsidP="005F5A2E">
      <w:pPr>
        <w:pStyle w:val="Textodstavce"/>
        <w:ind w:firstLine="425"/>
        <w:rPr>
          <w:iCs/>
          <w:strike/>
          <w:szCs w:val="24"/>
        </w:rPr>
      </w:pPr>
      <w:r w:rsidRPr="00D4546A">
        <w:rPr>
          <w:iCs/>
          <w:strike/>
          <w:szCs w:val="24"/>
        </w:rPr>
        <w:t>(4) Povinnost zahraniční právnické osoby sestavit zahajovací rozvahu a nechat ji ověřit auditorem se vztahuje i na případy,</w:t>
      </w:r>
    </w:p>
    <w:p w14:paraId="7DBF5F26" w14:textId="304F5712" w:rsidR="00615A2B" w:rsidRPr="00D4546A" w:rsidRDefault="00D4546A" w:rsidP="00DE29D4">
      <w:pPr>
        <w:tabs>
          <w:tab w:val="left" w:pos="406"/>
        </w:tabs>
        <w:spacing w:before="0"/>
        <w:ind w:left="426" w:hanging="426"/>
        <w:rPr>
          <w:iCs/>
          <w:strike/>
          <w:szCs w:val="24"/>
        </w:rPr>
      </w:pPr>
      <w:r>
        <w:rPr>
          <w:iCs/>
          <w:strike/>
          <w:szCs w:val="24"/>
        </w:rPr>
        <w:t>a)</w:t>
      </w:r>
      <w:r>
        <w:rPr>
          <w:iCs/>
          <w:strike/>
          <w:szCs w:val="24"/>
        </w:rPr>
        <w:tab/>
      </w:r>
      <w:r w:rsidR="00615A2B" w:rsidRPr="00D4546A">
        <w:rPr>
          <w:iCs/>
          <w:strike/>
          <w:szCs w:val="24"/>
        </w:rPr>
        <w:t>kdy dochází k přeshraniční fúzi nebo k přeshraničnímu rozdělení, mají-li se vnitřní poměry nástupnické právnické osoby řídit právním řádem České republiky, nebo</w:t>
      </w:r>
    </w:p>
    <w:p w14:paraId="31B227F8" w14:textId="41F69C2E" w:rsidR="00615A2B" w:rsidRPr="00D4546A" w:rsidRDefault="00D4546A" w:rsidP="00DE29D4">
      <w:pPr>
        <w:tabs>
          <w:tab w:val="left" w:pos="406"/>
        </w:tabs>
        <w:spacing w:before="0"/>
        <w:ind w:left="426" w:hanging="426"/>
        <w:rPr>
          <w:iCs/>
          <w:strike/>
          <w:szCs w:val="24"/>
        </w:rPr>
      </w:pPr>
      <w:r>
        <w:rPr>
          <w:iCs/>
          <w:strike/>
          <w:szCs w:val="24"/>
        </w:rPr>
        <w:t>b)</w:t>
      </w:r>
      <w:r>
        <w:rPr>
          <w:iCs/>
          <w:strike/>
          <w:szCs w:val="24"/>
        </w:rPr>
        <w:tab/>
      </w:r>
      <w:r w:rsidR="00615A2B" w:rsidRPr="00D4546A">
        <w:rPr>
          <w:iCs/>
          <w:strike/>
          <w:szCs w:val="24"/>
        </w:rPr>
        <w:t>kdy dochází k přemístění sídla zahraniční právnické osoby do České republiky.</w:t>
      </w:r>
    </w:p>
    <w:p w14:paraId="1AB435FB" w14:textId="77777777" w:rsidR="00615A2B" w:rsidRPr="00D4546A" w:rsidRDefault="00615A2B" w:rsidP="005F5A2E">
      <w:pPr>
        <w:pStyle w:val="Textodstavce"/>
        <w:ind w:firstLine="425"/>
        <w:rPr>
          <w:b/>
          <w:bCs/>
          <w:iCs/>
          <w:strike/>
          <w:szCs w:val="24"/>
        </w:rPr>
      </w:pPr>
      <w:r w:rsidRPr="00D4546A">
        <w:rPr>
          <w:b/>
          <w:bCs/>
          <w:iCs/>
          <w:szCs w:val="24"/>
        </w:rPr>
        <w:t>(4) Povinnost zahraniční právnické osoby sestavit zahajovací rozvahu a nechat ji ověřit auditorem se vztahuje i na případy, kdy dochází k přeshraniční fúzi nebo k přeshraničnímu rozdělení, mají-li se vnitřní poměry nástupnické právnické osoby řídit právním řádem České republiky.</w:t>
      </w:r>
    </w:p>
    <w:p w14:paraId="011FBB41" w14:textId="77777777" w:rsidR="00615A2B" w:rsidRPr="00615A2B" w:rsidRDefault="00615A2B" w:rsidP="00992796">
      <w:pPr>
        <w:pStyle w:val="Nadpisparagrafu"/>
        <w:numPr>
          <w:ilvl w:val="0"/>
          <w:numId w:val="39"/>
        </w:numPr>
        <w:spacing w:after="120"/>
        <w:rPr>
          <w:b w:val="0"/>
          <w:szCs w:val="24"/>
        </w:rPr>
      </w:pPr>
      <w:r w:rsidRPr="00615A2B">
        <w:rPr>
          <w:b w:val="0"/>
          <w:szCs w:val="24"/>
        </w:rPr>
        <w:t>***</w:t>
      </w:r>
    </w:p>
    <w:p w14:paraId="395F5154" w14:textId="77777777" w:rsidR="00615A2B" w:rsidRPr="00615A2B" w:rsidRDefault="00615A2B" w:rsidP="00D4546A">
      <w:pPr>
        <w:tabs>
          <w:tab w:val="left" w:pos="425"/>
          <w:tab w:val="left" w:pos="851"/>
        </w:tabs>
        <w:spacing w:after="120"/>
        <w:ind w:firstLine="0"/>
        <w:jc w:val="center"/>
        <w:rPr>
          <w:szCs w:val="24"/>
        </w:rPr>
      </w:pPr>
      <w:r w:rsidRPr="00615A2B">
        <w:rPr>
          <w:bCs/>
          <w:szCs w:val="24"/>
        </w:rPr>
        <w:t xml:space="preserve">§ </w:t>
      </w:r>
      <w:r w:rsidRPr="00615A2B">
        <w:rPr>
          <w:szCs w:val="24"/>
        </w:rPr>
        <w:t>59q</w:t>
      </w:r>
    </w:p>
    <w:p w14:paraId="18BFDD82" w14:textId="77777777" w:rsidR="00615A2B" w:rsidRPr="00D4546A" w:rsidRDefault="00615A2B" w:rsidP="005F5A2E">
      <w:pPr>
        <w:pStyle w:val="Textodstavce"/>
        <w:pBdr>
          <w:top w:val="single" w:sz="12" w:space="1" w:color="00B0F0"/>
          <w:left w:val="single" w:sz="12" w:space="4" w:color="00B0F0"/>
          <w:bottom w:val="single" w:sz="12" w:space="1" w:color="00B0F0"/>
          <w:right w:val="single" w:sz="12" w:space="4" w:color="00B0F0"/>
        </w:pBdr>
        <w:spacing w:before="240"/>
        <w:ind w:firstLine="425"/>
        <w:rPr>
          <w:bCs/>
          <w:color w:val="00B0F0"/>
          <w:szCs w:val="24"/>
        </w:rPr>
      </w:pPr>
      <w:bookmarkStart w:id="41" w:name="_Hlk108703488"/>
      <w:r w:rsidRPr="00D4546A">
        <w:rPr>
          <w:bCs/>
          <w:color w:val="00B0F0"/>
          <w:szCs w:val="24"/>
        </w:rPr>
        <w:t xml:space="preserve">(1) Znalecká zpráva o přeshraniční přeměně pro společníky nebo členy české právnické osoby zúčastněné na přeshraniční přeměně, pokud se vyžaduje, </w:t>
      </w:r>
      <w:bookmarkStart w:id="42" w:name="_Hlk108703393"/>
      <w:r w:rsidRPr="00D4546A">
        <w:rPr>
          <w:bCs/>
          <w:color w:val="00B0F0"/>
          <w:szCs w:val="24"/>
        </w:rPr>
        <w:t xml:space="preserve">kromě údajů vyžadovaných </w:t>
      </w:r>
      <w:bookmarkEnd w:id="42"/>
      <w:r w:rsidRPr="00D4546A">
        <w:rPr>
          <w:bCs/>
          <w:color w:val="00B0F0"/>
          <w:szCs w:val="24"/>
        </w:rPr>
        <w:t>tímto zákonem pro ten který způsob přeměny dále obsahuje</w:t>
      </w:r>
    </w:p>
    <w:p w14:paraId="13A188F0" w14:textId="77777777" w:rsidR="00615A2B" w:rsidRPr="00D4546A" w:rsidRDefault="00615A2B" w:rsidP="005F5A2E">
      <w:pPr>
        <w:widowControl w:val="0"/>
        <w:pBdr>
          <w:top w:val="single" w:sz="12" w:space="1" w:color="00B0F0"/>
          <w:left w:val="single" w:sz="12" w:space="4" w:color="00B0F0"/>
          <w:bottom w:val="single" w:sz="12" w:space="1" w:color="00B0F0"/>
          <w:right w:val="single" w:sz="12" w:space="4" w:color="00B0F0"/>
        </w:pBdr>
        <w:autoSpaceDE w:val="0"/>
        <w:autoSpaceDN w:val="0"/>
        <w:adjustRightInd w:val="0"/>
        <w:spacing w:before="0"/>
        <w:ind w:left="426" w:hanging="426"/>
        <w:rPr>
          <w:bCs/>
          <w:color w:val="00B0F0"/>
          <w:szCs w:val="24"/>
        </w:rPr>
      </w:pPr>
      <w:r w:rsidRPr="00D4546A">
        <w:rPr>
          <w:bCs/>
          <w:color w:val="00B0F0"/>
          <w:szCs w:val="24"/>
        </w:rPr>
        <w:t>a)</w:t>
      </w:r>
      <w:r w:rsidRPr="00D4546A">
        <w:rPr>
          <w:bCs/>
          <w:color w:val="00B0F0"/>
          <w:szCs w:val="24"/>
        </w:rPr>
        <w:tab/>
        <w:t xml:space="preserve">stanovisko znalce, zda je výše vypořádacího podílu pro případ vystoupení společníka společnosti s ručením omezeným nebo akcionáře akciové společnosti podle § 59r vhodná a odůvodněná; znalec přihlédne k tržní ceně podílů společnosti před oznámením návrhu přeshraniční přeměny nebo </w:t>
      </w:r>
      <w:r w:rsidRPr="00D4546A">
        <w:rPr>
          <w:b/>
          <w:bCs/>
          <w:szCs w:val="24"/>
        </w:rPr>
        <w:t>tržní</w:t>
      </w:r>
      <w:r w:rsidRPr="00D4546A">
        <w:rPr>
          <w:bCs/>
          <w:color w:val="00B0F0"/>
          <w:szCs w:val="24"/>
        </w:rPr>
        <w:t xml:space="preserve"> hodnotě společnosti bez účinků navrhované přeshraniční přeměny určené podle obecně uznávaných metod oceňování,</w:t>
      </w:r>
    </w:p>
    <w:p w14:paraId="370F2852" w14:textId="77777777" w:rsidR="00615A2B" w:rsidRPr="00D4546A" w:rsidRDefault="00615A2B" w:rsidP="005F5A2E">
      <w:pPr>
        <w:widowControl w:val="0"/>
        <w:pBdr>
          <w:top w:val="single" w:sz="12" w:space="1" w:color="00B0F0"/>
          <w:left w:val="single" w:sz="12" w:space="4" w:color="00B0F0"/>
          <w:bottom w:val="single" w:sz="12" w:space="1" w:color="00B0F0"/>
          <w:right w:val="single" w:sz="12" w:space="4" w:color="00B0F0"/>
        </w:pBdr>
        <w:autoSpaceDE w:val="0"/>
        <w:autoSpaceDN w:val="0"/>
        <w:adjustRightInd w:val="0"/>
        <w:spacing w:before="0"/>
        <w:ind w:left="426" w:hanging="426"/>
        <w:rPr>
          <w:bCs/>
          <w:color w:val="00B0F0"/>
          <w:szCs w:val="24"/>
        </w:rPr>
      </w:pPr>
      <w:r w:rsidRPr="00D4546A">
        <w:rPr>
          <w:bCs/>
          <w:color w:val="00B0F0"/>
          <w:szCs w:val="24"/>
        </w:rPr>
        <w:t>b)</w:t>
      </w:r>
      <w:r w:rsidRPr="00D4546A">
        <w:rPr>
          <w:bCs/>
          <w:color w:val="00B0F0"/>
          <w:szCs w:val="24"/>
        </w:rPr>
        <w:tab/>
        <w:t xml:space="preserve">údaj, podle jaké metody nebo jakých metod byl vypořádací podíl stanoven, </w:t>
      </w:r>
    </w:p>
    <w:p w14:paraId="5B8A900E" w14:textId="77777777" w:rsidR="00615A2B" w:rsidRPr="00D4546A" w:rsidRDefault="00615A2B" w:rsidP="005F5A2E">
      <w:pPr>
        <w:widowControl w:val="0"/>
        <w:pBdr>
          <w:top w:val="single" w:sz="12" w:space="1" w:color="00B0F0"/>
          <w:left w:val="single" w:sz="12" w:space="4" w:color="00B0F0"/>
          <w:bottom w:val="single" w:sz="12" w:space="1" w:color="00B0F0"/>
          <w:right w:val="single" w:sz="12" w:space="4" w:color="00B0F0"/>
        </w:pBdr>
        <w:autoSpaceDE w:val="0"/>
        <w:autoSpaceDN w:val="0"/>
        <w:adjustRightInd w:val="0"/>
        <w:spacing w:before="0"/>
        <w:ind w:left="426" w:hanging="426"/>
        <w:rPr>
          <w:bCs/>
          <w:color w:val="00B0F0"/>
          <w:szCs w:val="24"/>
        </w:rPr>
      </w:pPr>
      <w:r w:rsidRPr="00D4546A">
        <w:rPr>
          <w:bCs/>
          <w:color w:val="00B0F0"/>
          <w:szCs w:val="24"/>
        </w:rPr>
        <w:t>c)</w:t>
      </w:r>
      <w:r w:rsidRPr="00D4546A">
        <w:rPr>
          <w:bCs/>
          <w:color w:val="00B0F0"/>
          <w:szCs w:val="24"/>
        </w:rPr>
        <w:tab/>
        <w:t xml:space="preserve">vyjádření, zda tato metoda nebo tyto metody jsou pro daný případ přiměřené, a </w:t>
      </w:r>
    </w:p>
    <w:p w14:paraId="6DC540C0" w14:textId="77777777" w:rsidR="00615A2B" w:rsidRPr="00D4546A" w:rsidRDefault="00615A2B" w:rsidP="005F5A2E">
      <w:pPr>
        <w:widowControl w:val="0"/>
        <w:pBdr>
          <w:top w:val="single" w:sz="12" w:space="1" w:color="00B0F0"/>
          <w:left w:val="single" w:sz="12" w:space="4" w:color="00B0F0"/>
          <w:bottom w:val="single" w:sz="12" w:space="1" w:color="00B0F0"/>
          <w:right w:val="single" w:sz="12" w:space="4" w:color="00B0F0"/>
        </w:pBdr>
        <w:autoSpaceDE w:val="0"/>
        <w:autoSpaceDN w:val="0"/>
        <w:adjustRightInd w:val="0"/>
        <w:spacing w:before="0"/>
        <w:ind w:left="426" w:hanging="426"/>
        <w:rPr>
          <w:bCs/>
          <w:color w:val="00B0F0"/>
          <w:szCs w:val="24"/>
        </w:rPr>
      </w:pPr>
      <w:r w:rsidRPr="00D4546A">
        <w:rPr>
          <w:bCs/>
          <w:color w:val="00B0F0"/>
          <w:szCs w:val="24"/>
        </w:rPr>
        <w:t>d)</w:t>
      </w:r>
      <w:r w:rsidRPr="00D4546A">
        <w:rPr>
          <w:bCs/>
          <w:color w:val="00B0F0"/>
          <w:szCs w:val="24"/>
        </w:rPr>
        <w:tab/>
        <w:t>údaj, jaké výše vypořádacího podílu by se dosáhlo při použití každé z metod, jestliže bylo použito více metod; současně znalec uvede stanovisko k tomu, jaká váha byla přiznána jednotlivým metodám při stanovení vypořádacího podílu,</w:t>
      </w:r>
    </w:p>
    <w:p w14:paraId="4351F385" w14:textId="77777777" w:rsidR="00615A2B" w:rsidRPr="00D4546A" w:rsidRDefault="00615A2B" w:rsidP="005F5A2E">
      <w:pPr>
        <w:widowControl w:val="0"/>
        <w:pBdr>
          <w:top w:val="single" w:sz="12" w:space="1" w:color="00B0F0"/>
          <w:left w:val="single" w:sz="12" w:space="4" w:color="00B0F0"/>
          <w:bottom w:val="single" w:sz="12" w:space="1" w:color="00B0F0"/>
          <w:right w:val="single" w:sz="12" w:space="4" w:color="00B0F0"/>
        </w:pBdr>
        <w:autoSpaceDE w:val="0"/>
        <w:autoSpaceDN w:val="0"/>
        <w:adjustRightInd w:val="0"/>
        <w:spacing w:before="0"/>
        <w:ind w:left="426" w:hanging="426"/>
        <w:rPr>
          <w:szCs w:val="24"/>
        </w:rPr>
      </w:pPr>
      <w:r w:rsidRPr="00D4546A">
        <w:rPr>
          <w:bCs/>
          <w:color w:val="00B0F0"/>
          <w:szCs w:val="24"/>
        </w:rPr>
        <w:t>e)</w:t>
      </w:r>
      <w:r w:rsidRPr="00D4546A">
        <w:rPr>
          <w:bCs/>
          <w:color w:val="00B0F0"/>
          <w:szCs w:val="24"/>
        </w:rPr>
        <w:tab/>
        <w:t>informaci, zda a jaké zvláštní obtíže se vyskytly při oceňování.</w:t>
      </w:r>
      <w:bookmarkEnd w:id="41"/>
      <w:r w:rsidRPr="00D4546A">
        <w:rPr>
          <w:szCs w:val="24"/>
        </w:rPr>
        <w:t xml:space="preserve"> </w:t>
      </w:r>
    </w:p>
    <w:p w14:paraId="39F81334" w14:textId="77777777" w:rsidR="00615A2B" w:rsidRPr="00D4546A" w:rsidRDefault="00615A2B" w:rsidP="005F5A2E">
      <w:pPr>
        <w:pStyle w:val="Textodstavce"/>
        <w:pBdr>
          <w:top w:val="single" w:sz="12" w:space="1" w:color="00B0F0"/>
          <w:left w:val="single" w:sz="12" w:space="4" w:color="00B0F0"/>
          <w:bottom w:val="single" w:sz="12" w:space="1" w:color="00B0F0"/>
          <w:right w:val="single" w:sz="12" w:space="4" w:color="00B0F0"/>
        </w:pBdr>
        <w:spacing w:before="240"/>
        <w:ind w:firstLine="425"/>
        <w:rPr>
          <w:bCs/>
          <w:color w:val="00B0F0"/>
          <w:szCs w:val="24"/>
        </w:rPr>
      </w:pPr>
      <w:r w:rsidRPr="00D4546A">
        <w:rPr>
          <w:bCs/>
          <w:color w:val="00B0F0"/>
          <w:szCs w:val="24"/>
        </w:rPr>
        <w:lastRenderedPageBreak/>
        <w:t>(2) Vypracování znalecké zprávy nebo znaleckých zpráv o přeshraniční fúzi, přeshraničním rozdělení nebo přeshraničním přemístění sídla se vyžaduje vždy; to neplatí, pokud</w:t>
      </w:r>
    </w:p>
    <w:p w14:paraId="7D057C37" w14:textId="77777777" w:rsidR="00615A2B" w:rsidRPr="00D4546A" w:rsidRDefault="00615A2B" w:rsidP="005F5A2E">
      <w:pPr>
        <w:widowControl w:val="0"/>
        <w:pBdr>
          <w:top w:val="single" w:sz="12" w:space="1" w:color="00B0F0"/>
          <w:left w:val="single" w:sz="12" w:space="4" w:color="00B0F0"/>
          <w:bottom w:val="single" w:sz="12" w:space="1" w:color="00B0F0"/>
          <w:right w:val="single" w:sz="12" w:space="4" w:color="00B0F0"/>
        </w:pBdr>
        <w:tabs>
          <w:tab w:val="left" w:pos="420"/>
        </w:tabs>
        <w:autoSpaceDE w:val="0"/>
        <w:autoSpaceDN w:val="0"/>
        <w:adjustRightInd w:val="0"/>
        <w:spacing w:before="0"/>
        <w:ind w:left="426" w:hanging="426"/>
        <w:rPr>
          <w:bCs/>
          <w:color w:val="00B0F0"/>
          <w:szCs w:val="24"/>
        </w:rPr>
      </w:pPr>
      <w:r w:rsidRPr="00D4546A">
        <w:rPr>
          <w:bCs/>
          <w:color w:val="00B0F0"/>
          <w:szCs w:val="24"/>
        </w:rPr>
        <w:t>a)</w:t>
      </w:r>
      <w:r w:rsidRPr="00D4546A">
        <w:rPr>
          <w:bCs/>
          <w:color w:val="00B0F0"/>
          <w:szCs w:val="24"/>
        </w:rPr>
        <w:tab/>
        <w:t xml:space="preserve">všichni společníci nebo členové všech právnických osob zúčastněných na této přeshraniční přeměně souhlasí s tím, že znalecká zpráva nebo znalecké zprávy o přeshraniční přeměně nebudou vypracovány, </w:t>
      </w:r>
    </w:p>
    <w:p w14:paraId="567B5160" w14:textId="77777777" w:rsidR="00615A2B" w:rsidRPr="00D4546A" w:rsidRDefault="00615A2B" w:rsidP="005F5A2E">
      <w:pPr>
        <w:widowControl w:val="0"/>
        <w:pBdr>
          <w:top w:val="single" w:sz="12" w:space="1" w:color="00B0F0"/>
          <w:left w:val="single" w:sz="12" w:space="4" w:color="00B0F0"/>
          <w:bottom w:val="single" w:sz="12" w:space="1" w:color="00B0F0"/>
          <w:right w:val="single" w:sz="12" w:space="4" w:color="00B0F0"/>
        </w:pBdr>
        <w:tabs>
          <w:tab w:val="left" w:pos="420"/>
        </w:tabs>
        <w:autoSpaceDE w:val="0"/>
        <w:autoSpaceDN w:val="0"/>
        <w:adjustRightInd w:val="0"/>
        <w:spacing w:before="0"/>
        <w:ind w:left="426" w:hanging="426"/>
        <w:rPr>
          <w:bCs/>
          <w:color w:val="00B0F0"/>
          <w:szCs w:val="24"/>
        </w:rPr>
      </w:pPr>
      <w:r w:rsidRPr="00D4546A">
        <w:rPr>
          <w:bCs/>
          <w:color w:val="00B0F0"/>
          <w:szCs w:val="24"/>
        </w:rPr>
        <w:t>b)</w:t>
      </w:r>
      <w:r w:rsidRPr="00D4546A">
        <w:rPr>
          <w:bCs/>
          <w:color w:val="00B0F0"/>
          <w:szCs w:val="24"/>
        </w:rPr>
        <w:tab/>
        <w:t>českou právnickou osobou zúčastněnou na přeshraniční přeměně je veřejná obchodní společnost, komanditní společnost nebo společnost s jediným společníkem, nebo</w:t>
      </w:r>
    </w:p>
    <w:p w14:paraId="53EDB268" w14:textId="77777777" w:rsidR="00615A2B" w:rsidRPr="00D4546A" w:rsidRDefault="00615A2B" w:rsidP="005F5A2E">
      <w:pPr>
        <w:widowControl w:val="0"/>
        <w:pBdr>
          <w:top w:val="single" w:sz="12" w:space="1" w:color="00B0F0"/>
          <w:left w:val="single" w:sz="12" w:space="4" w:color="00B0F0"/>
          <w:bottom w:val="single" w:sz="12" w:space="1" w:color="00B0F0"/>
          <w:right w:val="single" w:sz="12" w:space="4" w:color="00B0F0"/>
        </w:pBdr>
        <w:tabs>
          <w:tab w:val="left" w:pos="420"/>
        </w:tabs>
        <w:autoSpaceDE w:val="0"/>
        <w:autoSpaceDN w:val="0"/>
        <w:adjustRightInd w:val="0"/>
        <w:spacing w:before="0"/>
        <w:ind w:left="426" w:hanging="426"/>
        <w:rPr>
          <w:bCs/>
          <w:color w:val="00B0F0"/>
          <w:szCs w:val="24"/>
        </w:rPr>
      </w:pPr>
      <w:r w:rsidRPr="00D4546A">
        <w:rPr>
          <w:bCs/>
          <w:color w:val="00B0F0"/>
          <w:szCs w:val="24"/>
        </w:rPr>
        <w:t>c)</w:t>
      </w:r>
      <w:r w:rsidRPr="00D4546A">
        <w:rPr>
          <w:bCs/>
          <w:color w:val="00B0F0"/>
          <w:szCs w:val="24"/>
        </w:rPr>
        <w:tab/>
        <w:t>se jedná o přeshraniční rozdělení vyčleněním.</w:t>
      </w:r>
    </w:p>
    <w:p w14:paraId="60E21426" w14:textId="77777777" w:rsidR="00615A2B" w:rsidRPr="00615A2B" w:rsidRDefault="00615A2B" w:rsidP="00615A2B">
      <w:pPr>
        <w:pStyle w:val="Textodstavce"/>
        <w:spacing w:before="240"/>
        <w:ind w:firstLine="425"/>
        <w:rPr>
          <w:szCs w:val="24"/>
        </w:rPr>
      </w:pPr>
      <w:r w:rsidRPr="00615A2B">
        <w:rPr>
          <w:szCs w:val="24"/>
        </w:rPr>
        <w:t>(3) Společníci nebo členové zahraničních právnických osob zúčastněných na přeshraniční přeměně udělují svůj souhlas způsobem stanoveným právním řádem státu, jímž se řídí vnitřní právní poměry zahraniční právnické osoby zúčastněné na přeshraniční přeměně.</w:t>
      </w:r>
    </w:p>
    <w:p w14:paraId="5C2BE3DF" w14:textId="77777777" w:rsidR="00615A2B" w:rsidRPr="00D4546A" w:rsidRDefault="00615A2B" w:rsidP="005F5A2E">
      <w:pPr>
        <w:pStyle w:val="Textodstavce"/>
        <w:pBdr>
          <w:top w:val="single" w:sz="12" w:space="1" w:color="00B0F0"/>
          <w:left w:val="single" w:sz="12" w:space="4" w:color="00B0F0"/>
          <w:bottom w:val="single" w:sz="12" w:space="1" w:color="00B0F0"/>
          <w:right w:val="single" w:sz="12" w:space="4" w:color="00B0F0"/>
        </w:pBdr>
        <w:spacing w:before="240"/>
        <w:ind w:firstLine="425"/>
        <w:rPr>
          <w:bCs/>
          <w:color w:val="00B0F0"/>
          <w:szCs w:val="24"/>
        </w:rPr>
      </w:pPr>
      <w:bookmarkStart w:id="43" w:name="_Hlk108703660"/>
      <w:r w:rsidRPr="00D4546A">
        <w:rPr>
          <w:bCs/>
          <w:color w:val="00B0F0"/>
          <w:szCs w:val="24"/>
        </w:rPr>
        <w:t>(4) Znalecká zpráva o přeshraniční přeměně musí být společníkům nebo členům české právnické osoby zúčastněné na přeshraniční přeměně zpřístupněna uveřejněním na internetové stránce nebo k nahlédnutí v sídle české právnické osoby alespoň 1 měsíc přede dnem konání valné hromady nebo členské schůze, která má schválit přeshraniční přeměnu. Jestliže se nemá konat valná hromada nástupnické společnosti při přeshraniční fúzi, použije se přiměřeně § 95b odst. 3 nebo § 120 odst. 1.</w:t>
      </w:r>
      <w:bookmarkEnd w:id="43"/>
    </w:p>
    <w:p w14:paraId="7FE614E6" w14:textId="77777777" w:rsidR="00615A2B" w:rsidRPr="00615A2B" w:rsidRDefault="00615A2B" w:rsidP="00992796">
      <w:pPr>
        <w:pStyle w:val="Nadpisparagrafu"/>
        <w:numPr>
          <w:ilvl w:val="0"/>
          <w:numId w:val="39"/>
        </w:numPr>
        <w:spacing w:after="120"/>
        <w:rPr>
          <w:b w:val="0"/>
          <w:szCs w:val="24"/>
        </w:rPr>
      </w:pPr>
      <w:r w:rsidRPr="00615A2B">
        <w:rPr>
          <w:b w:val="0"/>
          <w:szCs w:val="24"/>
        </w:rPr>
        <w:t>***</w:t>
      </w:r>
    </w:p>
    <w:p w14:paraId="38BCC892" w14:textId="77777777" w:rsidR="00615A2B" w:rsidRPr="00615A2B" w:rsidRDefault="00615A2B" w:rsidP="00D4546A">
      <w:pPr>
        <w:tabs>
          <w:tab w:val="left" w:pos="425"/>
          <w:tab w:val="left" w:pos="851"/>
        </w:tabs>
        <w:spacing w:after="120"/>
        <w:ind w:firstLine="0"/>
        <w:jc w:val="center"/>
        <w:rPr>
          <w:szCs w:val="24"/>
        </w:rPr>
      </w:pPr>
      <w:r w:rsidRPr="00615A2B">
        <w:rPr>
          <w:bCs/>
          <w:szCs w:val="24"/>
        </w:rPr>
        <w:t>§ 70</w:t>
      </w:r>
    </w:p>
    <w:p w14:paraId="3D675D2F" w14:textId="77777777" w:rsidR="00615A2B" w:rsidRPr="00D4546A" w:rsidRDefault="00615A2B" w:rsidP="00615A2B">
      <w:pPr>
        <w:pStyle w:val="Textodstavce"/>
        <w:spacing w:before="240"/>
        <w:ind w:firstLine="425"/>
        <w:rPr>
          <w:szCs w:val="24"/>
        </w:rPr>
      </w:pPr>
      <w:r w:rsidRPr="00D4546A">
        <w:rPr>
          <w:szCs w:val="24"/>
        </w:rPr>
        <w:t>(1) Projekt fúze obsahuje alespoň</w:t>
      </w:r>
    </w:p>
    <w:p w14:paraId="416EAD3D" w14:textId="09D6D64F" w:rsidR="00615A2B" w:rsidRPr="00D4546A" w:rsidRDefault="00D4546A" w:rsidP="00DE29D4">
      <w:pPr>
        <w:widowControl w:val="0"/>
        <w:tabs>
          <w:tab w:val="left" w:pos="434"/>
          <w:tab w:val="left" w:pos="851"/>
        </w:tabs>
        <w:autoSpaceDE w:val="0"/>
        <w:autoSpaceDN w:val="0"/>
        <w:adjustRightInd w:val="0"/>
        <w:spacing w:before="0"/>
        <w:ind w:left="426" w:hanging="426"/>
        <w:rPr>
          <w:szCs w:val="24"/>
        </w:rPr>
      </w:pPr>
      <w:r>
        <w:rPr>
          <w:szCs w:val="24"/>
        </w:rPr>
        <w:t>a)</w:t>
      </w:r>
      <w:r>
        <w:rPr>
          <w:szCs w:val="24"/>
        </w:rPr>
        <w:tab/>
      </w:r>
      <w:r w:rsidR="00615A2B" w:rsidRPr="00D4546A">
        <w:rPr>
          <w:szCs w:val="24"/>
        </w:rPr>
        <w:t xml:space="preserve">firmu a sídlo všech zúčastněných a nových společností nebo družstev, jejich právní formu a identifikační číslo všech zúčastněných společností nebo družstev, </w:t>
      </w:r>
    </w:p>
    <w:p w14:paraId="4DF8DCD8" w14:textId="44909FC4" w:rsidR="00615A2B" w:rsidRPr="00D4546A" w:rsidRDefault="00D4546A" w:rsidP="00DE29D4">
      <w:pPr>
        <w:widowControl w:val="0"/>
        <w:tabs>
          <w:tab w:val="left" w:pos="434"/>
          <w:tab w:val="left" w:pos="851"/>
        </w:tabs>
        <w:autoSpaceDE w:val="0"/>
        <w:autoSpaceDN w:val="0"/>
        <w:adjustRightInd w:val="0"/>
        <w:spacing w:before="0"/>
        <w:ind w:left="426" w:hanging="426"/>
        <w:rPr>
          <w:szCs w:val="24"/>
        </w:rPr>
      </w:pPr>
      <w:r>
        <w:rPr>
          <w:szCs w:val="24"/>
        </w:rPr>
        <w:t>b)</w:t>
      </w:r>
      <w:r>
        <w:rPr>
          <w:szCs w:val="24"/>
        </w:rPr>
        <w:tab/>
      </w:r>
      <w:r w:rsidR="00615A2B" w:rsidRPr="00D4546A">
        <w:rPr>
          <w:szCs w:val="24"/>
        </w:rPr>
        <w:t xml:space="preserve">výměnný poměr podílů společníků zanikající </w:t>
      </w:r>
      <w:proofErr w:type="gramStart"/>
      <w:r w:rsidR="00615A2B" w:rsidRPr="00D4546A">
        <w:rPr>
          <w:szCs w:val="24"/>
        </w:rPr>
        <w:t>společnosti a nebo členů</w:t>
      </w:r>
      <w:proofErr w:type="gramEnd"/>
      <w:r w:rsidR="00615A2B" w:rsidRPr="00D4546A">
        <w:rPr>
          <w:szCs w:val="24"/>
        </w:rPr>
        <w:t xml:space="preserve"> zanikajícího družstva na nástupnické společnosti nebo nástupnickém družstvu, ledaže nedochází k výměně podílů, a případný doplatek s určením jeho výše a dobu splatnosti, </w:t>
      </w:r>
    </w:p>
    <w:p w14:paraId="5F3D2295" w14:textId="0A06245B" w:rsidR="00615A2B" w:rsidRPr="00D4546A" w:rsidRDefault="00D4546A" w:rsidP="00DE29D4">
      <w:pPr>
        <w:widowControl w:val="0"/>
        <w:tabs>
          <w:tab w:val="left" w:pos="434"/>
          <w:tab w:val="left" w:pos="851"/>
        </w:tabs>
        <w:autoSpaceDE w:val="0"/>
        <w:autoSpaceDN w:val="0"/>
        <w:adjustRightInd w:val="0"/>
        <w:spacing w:before="0"/>
        <w:ind w:left="426" w:hanging="426"/>
        <w:rPr>
          <w:szCs w:val="24"/>
        </w:rPr>
      </w:pPr>
      <w:r>
        <w:rPr>
          <w:szCs w:val="24"/>
        </w:rPr>
        <w:t>c)</w:t>
      </w:r>
      <w:r>
        <w:rPr>
          <w:szCs w:val="24"/>
        </w:rPr>
        <w:tab/>
      </w:r>
      <w:r w:rsidR="00615A2B" w:rsidRPr="00D4546A">
        <w:rPr>
          <w:szCs w:val="24"/>
        </w:rPr>
        <w:t>rozhodný den fúze,</w:t>
      </w:r>
    </w:p>
    <w:p w14:paraId="47649F58" w14:textId="7477FEF2" w:rsidR="00615A2B" w:rsidRPr="00D4546A" w:rsidRDefault="00D4546A" w:rsidP="00DE29D4">
      <w:pPr>
        <w:widowControl w:val="0"/>
        <w:tabs>
          <w:tab w:val="left" w:pos="434"/>
          <w:tab w:val="left" w:pos="851"/>
        </w:tabs>
        <w:autoSpaceDE w:val="0"/>
        <w:autoSpaceDN w:val="0"/>
        <w:adjustRightInd w:val="0"/>
        <w:spacing w:before="0"/>
        <w:ind w:left="426" w:hanging="426"/>
        <w:rPr>
          <w:szCs w:val="24"/>
        </w:rPr>
      </w:pPr>
      <w:r>
        <w:rPr>
          <w:szCs w:val="24"/>
        </w:rPr>
        <w:t>d)</w:t>
      </w:r>
      <w:r>
        <w:rPr>
          <w:szCs w:val="24"/>
        </w:rPr>
        <w:tab/>
      </w:r>
      <w:r w:rsidR="00615A2B" w:rsidRPr="00D4546A">
        <w:rPr>
          <w:szCs w:val="24"/>
        </w:rPr>
        <w:t xml:space="preserve">práva, jež nástupnická společnost nebo družstvo poskytne vlastníkům dluhopisů, popřípadě opatření, jež jsou pro ně navrhována, </w:t>
      </w:r>
    </w:p>
    <w:p w14:paraId="7A41DE6A" w14:textId="6BBCBCE1" w:rsidR="00615A2B" w:rsidRPr="00D4546A" w:rsidRDefault="00D4546A" w:rsidP="00DE29D4">
      <w:pPr>
        <w:widowControl w:val="0"/>
        <w:tabs>
          <w:tab w:val="left" w:pos="434"/>
          <w:tab w:val="left" w:pos="851"/>
        </w:tabs>
        <w:autoSpaceDE w:val="0"/>
        <w:autoSpaceDN w:val="0"/>
        <w:adjustRightInd w:val="0"/>
        <w:spacing w:before="0"/>
        <w:ind w:left="426" w:hanging="426"/>
        <w:rPr>
          <w:szCs w:val="24"/>
        </w:rPr>
      </w:pPr>
      <w:r>
        <w:rPr>
          <w:szCs w:val="24"/>
        </w:rPr>
        <w:t>e)</w:t>
      </w:r>
      <w:r>
        <w:rPr>
          <w:szCs w:val="24"/>
        </w:rPr>
        <w:tab/>
      </w:r>
      <w:r w:rsidR="00615A2B" w:rsidRPr="00D4546A">
        <w:rPr>
          <w:szCs w:val="24"/>
        </w:rPr>
        <w:t xml:space="preserve">den, od kterého vzniká právo na podíl na zisku komanditistům nebo společníkům společnosti s ručením omezeným nebo akcionářům z vyměněných podílů, jakož i zvláštní podmínky týkající se tohoto práva, pokud existují, </w:t>
      </w:r>
    </w:p>
    <w:p w14:paraId="4BFE747B" w14:textId="5A8CD296" w:rsidR="00615A2B" w:rsidRPr="00D4546A" w:rsidRDefault="00D4546A" w:rsidP="00DE29D4">
      <w:pPr>
        <w:tabs>
          <w:tab w:val="left" w:pos="434"/>
          <w:tab w:val="left" w:pos="851"/>
        </w:tabs>
        <w:spacing w:before="0"/>
        <w:ind w:left="426" w:hanging="426"/>
        <w:rPr>
          <w:szCs w:val="24"/>
        </w:rPr>
      </w:pPr>
      <w:bookmarkStart w:id="44" w:name="_Hlk102389439"/>
      <w:r>
        <w:rPr>
          <w:szCs w:val="24"/>
        </w:rPr>
        <w:t>f)</w:t>
      </w:r>
      <w:r>
        <w:rPr>
          <w:szCs w:val="24"/>
        </w:rPr>
        <w:tab/>
      </w:r>
      <w:r w:rsidR="00615A2B" w:rsidRPr="00D4546A">
        <w:rPr>
          <w:szCs w:val="24"/>
        </w:rPr>
        <w:t>všechny zvláštní výhody, které jedna nebo více zúčastněných společností nebo družstev poskytuje členům statutárního orgánu, členům dozorčí rady nebo kontrolní komise, pokud se zřizuje, a znalci přezkoumávajícímu projekt fúze</w:t>
      </w:r>
      <w:bookmarkEnd w:id="44"/>
      <w:r w:rsidR="00615A2B" w:rsidRPr="00D4546A">
        <w:rPr>
          <w:szCs w:val="24"/>
        </w:rPr>
        <w:t>; přitom se zvlášť uvede, komu je tato výhoda poskytována a kdo a za jakých podmínek ji poskytuje,</w:t>
      </w:r>
    </w:p>
    <w:p w14:paraId="7BC762C7" w14:textId="49F452E4" w:rsidR="00615A2B" w:rsidRPr="00D4546A" w:rsidRDefault="00D4546A" w:rsidP="00DE29D4">
      <w:pPr>
        <w:widowControl w:val="0"/>
        <w:tabs>
          <w:tab w:val="left" w:pos="434"/>
          <w:tab w:val="left" w:pos="851"/>
        </w:tabs>
        <w:autoSpaceDE w:val="0"/>
        <w:autoSpaceDN w:val="0"/>
        <w:adjustRightInd w:val="0"/>
        <w:spacing w:before="0"/>
        <w:ind w:left="426" w:hanging="426"/>
        <w:rPr>
          <w:szCs w:val="24"/>
        </w:rPr>
      </w:pPr>
      <w:r>
        <w:rPr>
          <w:szCs w:val="24"/>
        </w:rPr>
        <w:t>g)</w:t>
      </w:r>
      <w:r>
        <w:rPr>
          <w:szCs w:val="24"/>
        </w:rPr>
        <w:tab/>
      </w:r>
      <w:r w:rsidR="00615A2B" w:rsidRPr="00D4546A">
        <w:rPr>
          <w:szCs w:val="24"/>
        </w:rPr>
        <w:t>při fúzi sloučením změny zakladatelského právního jednání nástupnické společnosti nebo družstva; jestliže nejsou v projektu fúze sloučením žádné změny uvedeny, má se za to, že se zakladatelské právní jednání nástupnické společnosti nebo družstva nemění,</w:t>
      </w:r>
    </w:p>
    <w:p w14:paraId="2B25732A" w14:textId="2082F434" w:rsidR="00615A2B" w:rsidRPr="00D4546A" w:rsidRDefault="00D4546A" w:rsidP="00DE29D4">
      <w:pPr>
        <w:widowControl w:val="0"/>
        <w:tabs>
          <w:tab w:val="left" w:pos="434"/>
          <w:tab w:val="left" w:pos="851"/>
        </w:tabs>
        <w:autoSpaceDE w:val="0"/>
        <w:autoSpaceDN w:val="0"/>
        <w:adjustRightInd w:val="0"/>
        <w:spacing w:before="0"/>
        <w:ind w:left="426" w:hanging="426"/>
        <w:rPr>
          <w:szCs w:val="24"/>
        </w:rPr>
      </w:pPr>
      <w:r>
        <w:rPr>
          <w:szCs w:val="24"/>
        </w:rPr>
        <w:t>h)</w:t>
      </w:r>
      <w:r>
        <w:rPr>
          <w:szCs w:val="24"/>
        </w:rPr>
        <w:tab/>
      </w:r>
      <w:r w:rsidR="00615A2B" w:rsidRPr="00D4546A">
        <w:rPr>
          <w:szCs w:val="24"/>
        </w:rPr>
        <w:t xml:space="preserve">při fúzi splynutím </w:t>
      </w:r>
    </w:p>
    <w:p w14:paraId="56BFEA4C" w14:textId="2A6845F2" w:rsidR="00615A2B" w:rsidRPr="00D4546A" w:rsidRDefault="00D4546A" w:rsidP="005F5A2E">
      <w:pPr>
        <w:widowControl w:val="0"/>
        <w:tabs>
          <w:tab w:val="left" w:pos="434"/>
          <w:tab w:val="left" w:pos="851"/>
        </w:tabs>
        <w:autoSpaceDE w:val="0"/>
        <w:autoSpaceDN w:val="0"/>
        <w:adjustRightInd w:val="0"/>
        <w:spacing w:before="0"/>
        <w:ind w:left="850" w:hanging="425"/>
        <w:rPr>
          <w:szCs w:val="24"/>
        </w:rPr>
      </w:pPr>
      <w:r>
        <w:rPr>
          <w:szCs w:val="24"/>
        </w:rPr>
        <w:t>1.</w:t>
      </w:r>
      <w:r>
        <w:rPr>
          <w:szCs w:val="24"/>
        </w:rPr>
        <w:tab/>
      </w:r>
      <w:r w:rsidR="00615A2B" w:rsidRPr="00D4546A">
        <w:rPr>
          <w:szCs w:val="24"/>
        </w:rPr>
        <w:t xml:space="preserve">zakladatelské právní jednání nástupnické společnosti nebo družstva, </w:t>
      </w:r>
    </w:p>
    <w:p w14:paraId="1B8C4FDC" w14:textId="270C56B1" w:rsidR="00615A2B" w:rsidRPr="00D4546A" w:rsidRDefault="00D4546A" w:rsidP="005F5A2E">
      <w:pPr>
        <w:widowControl w:val="0"/>
        <w:tabs>
          <w:tab w:val="left" w:pos="434"/>
          <w:tab w:val="left" w:pos="851"/>
        </w:tabs>
        <w:autoSpaceDE w:val="0"/>
        <w:autoSpaceDN w:val="0"/>
        <w:adjustRightInd w:val="0"/>
        <w:spacing w:before="0"/>
        <w:ind w:left="850" w:hanging="425"/>
        <w:rPr>
          <w:szCs w:val="24"/>
        </w:rPr>
      </w:pPr>
      <w:r>
        <w:rPr>
          <w:szCs w:val="24"/>
        </w:rPr>
        <w:t>2.</w:t>
      </w:r>
      <w:r>
        <w:rPr>
          <w:szCs w:val="24"/>
        </w:rPr>
        <w:tab/>
      </w:r>
      <w:r w:rsidR="00615A2B" w:rsidRPr="00D4546A">
        <w:rPr>
          <w:szCs w:val="24"/>
        </w:rPr>
        <w:t xml:space="preserve">jména a bydliště nebo firmy nebo názvy, sídla a identifikační čísla členů statutárního orgánu nástupnické společnosti nebo družstva a dozorčí rady akciové společnosti, a </w:t>
      </w:r>
      <w:r w:rsidR="00615A2B" w:rsidRPr="00D4546A">
        <w:rPr>
          <w:szCs w:val="24"/>
        </w:rPr>
        <w:lastRenderedPageBreak/>
        <w:t xml:space="preserve">pokud se zřizují, i dozorčí rady společnosti s ručením omezeným nebo kontrolní komise družstva. </w:t>
      </w:r>
    </w:p>
    <w:p w14:paraId="70E07420" w14:textId="77777777" w:rsidR="00615A2B" w:rsidRPr="005F5A2E" w:rsidRDefault="00615A2B" w:rsidP="005F5A2E">
      <w:pPr>
        <w:pStyle w:val="Textodstavce"/>
        <w:ind w:firstLine="425"/>
        <w:rPr>
          <w:szCs w:val="24"/>
        </w:rPr>
      </w:pPr>
      <w:r w:rsidRPr="00D4546A">
        <w:rPr>
          <w:szCs w:val="24"/>
        </w:rPr>
        <w:t xml:space="preserve">(2) Výměnný poměr musí být vhodný a odůvodněný. Není-li výměnný poměr podle věty </w:t>
      </w:r>
      <w:r w:rsidRPr="005F5A2E">
        <w:rPr>
          <w:szCs w:val="24"/>
        </w:rPr>
        <w:t xml:space="preserve">první přiměřený tržní </w:t>
      </w:r>
      <w:r w:rsidRPr="005F5A2E">
        <w:rPr>
          <w:strike/>
          <w:szCs w:val="24"/>
        </w:rPr>
        <w:t xml:space="preserve">hodnotě </w:t>
      </w:r>
      <w:r w:rsidRPr="005F5A2E">
        <w:rPr>
          <w:b/>
          <w:bCs/>
          <w:szCs w:val="24"/>
        </w:rPr>
        <w:t>ceně</w:t>
      </w:r>
      <w:r w:rsidRPr="005F5A2E">
        <w:rPr>
          <w:szCs w:val="24"/>
        </w:rPr>
        <w:t xml:space="preserve"> nebo </w:t>
      </w:r>
      <w:r w:rsidRPr="005F5A2E">
        <w:rPr>
          <w:strike/>
          <w:szCs w:val="24"/>
        </w:rPr>
        <w:t>ocenění učiněnému</w:t>
      </w:r>
      <w:r w:rsidRPr="005F5A2E">
        <w:rPr>
          <w:b/>
          <w:bCs/>
          <w:szCs w:val="24"/>
        </w:rPr>
        <w:t xml:space="preserve"> tržní hodnotě určené</w:t>
      </w:r>
      <w:r w:rsidRPr="005F5A2E">
        <w:rPr>
          <w:szCs w:val="24"/>
        </w:rPr>
        <w:t xml:space="preserve"> kvalifikovaným odhadem nebo posudkem znalce (dále jen „reálná hodnota“) podílu společníka nebo člena na zanikající společnosti nebo družstvu, musí mu být poskytnut doplatek, ledaže se tohoto práva vzdal. </w:t>
      </w:r>
    </w:p>
    <w:p w14:paraId="6DD3DB38" w14:textId="77777777" w:rsidR="00615A2B" w:rsidRPr="005F5A2E" w:rsidRDefault="00615A2B" w:rsidP="005F5A2E">
      <w:pPr>
        <w:pStyle w:val="Textodstavce"/>
        <w:ind w:firstLine="425"/>
        <w:rPr>
          <w:szCs w:val="24"/>
        </w:rPr>
      </w:pPr>
      <w:r w:rsidRPr="005F5A2E">
        <w:rPr>
          <w:szCs w:val="24"/>
        </w:rPr>
        <w:t xml:space="preserve">(3) Dojde-li v důsledku fúze sloučením ke snížení reálné hodnoty podílu osoby, která je společníkem nástupnické společnosti před zápisem fúze do obchodního rejstříku (dále jen „dosavadní společník“) nebo takového člena nástupnického družstva (dále jen „dosavadní člen“), musí mu být poskytnut doplatek, ledaže se tohoto práva vzdal. </w:t>
      </w:r>
    </w:p>
    <w:p w14:paraId="738DED40" w14:textId="77777777" w:rsidR="00615A2B" w:rsidRPr="005F5A2E" w:rsidRDefault="00615A2B" w:rsidP="005F5A2E">
      <w:pPr>
        <w:pStyle w:val="Textodstavce"/>
        <w:ind w:firstLine="425"/>
        <w:rPr>
          <w:szCs w:val="24"/>
        </w:rPr>
      </w:pPr>
      <w:r w:rsidRPr="005F5A2E">
        <w:rPr>
          <w:szCs w:val="24"/>
        </w:rPr>
        <w:t xml:space="preserve">(4) Doplatek nesmí být vyplacen před zápisem fúze do obchodního rejstříku a dříve, než budou zajištěny pohledávky věřitelů všech zúčastněných společností nebo družstev podle tohoto zákona. </w:t>
      </w:r>
    </w:p>
    <w:p w14:paraId="1F7342EE" w14:textId="77777777" w:rsidR="00615A2B" w:rsidRPr="00615A2B" w:rsidRDefault="00615A2B" w:rsidP="00992796">
      <w:pPr>
        <w:pStyle w:val="Nadpisparagrafu"/>
        <w:numPr>
          <w:ilvl w:val="0"/>
          <w:numId w:val="39"/>
        </w:numPr>
        <w:spacing w:after="120"/>
        <w:rPr>
          <w:b w:val="0"/>
          <w:szCs w:val="24"/>
        </w:rPr>
      </w:pPr>
      <w:r w:rsidRPr="00615A2B">
        <w:rPr>
          <w:b w:val="0"/>
          <w:szCs w:val="24"/>
        </w:rPr>
        <w:t>***</w:t>
      </w:r>
    </w:p>
    <w:p w14:paraId="23DB5611" w14:textId="77777777" w:rsidR="00615A2B" w:rsidRPr="00615A2B" w:rsidRDefault="00615A2B" w:rsidP="00D4546A">
      <w:pPr>
        <w:tabs>
          <w:tab w:val="left" w:pos="425"/>
          <w:tab w:val="left" w:pos="851"/>
        </w:tabs>
        <w:spacing w:after="120"/>
        <w:ind w:firstLine="0"/>
        <w:jc w:val="center"/>
        <w:rPr>
          <w:szCs w:val="24"/>
        </w:rPr>
      </w:pPr>
      <w:r w:rsidRPr="00615A2B">
        <w:rPr>
          <w:bCs/>
          <w:szCs w:val="24"/>
        </w:rPr>
        <w:t xml:space="preserve">§ </w:t>
      </w:r>
      <w:r w:rsidRPr="00615A2B">
        <w:rPr>
          <w:szCs w:val="24"/>
        </w:rPr>
        <w:t>73</w:t>
      </w:r>
    </w:p>
    <w:p w14:paraId="30818718" w14:textId="77777777" w:rsidR="00615A2B" w:rsidRPr="00615A2B" w:rsidRDefault="00615A2B" w:rsidP="005F5A2E">
      <w:pPr>
        <w:pStyle w:val="Textodstavce"/>
        <w:ind w:firstLine="425"/>
        <w:rPr>
          <w:szCs w:val="24"/>
        </w:rPr>
      </w:pPr>
      <w:r w:rsidRPr="00615A2B">
        <w:rPr>
          <w:szCs w:val="24"/>
        </w:rPr>
        <w:t>(1) Při fúzi sloučením společnosti s ručením omezeným nebo akciové společnosti je zanikající společnost povinna nechat ocenit své jmění posudkem znalce (dále jen „znalec pro ocenění jmění“), dochází-li ke zvýšení základního kapitálu nástupnické společnosti ze jmění zanikající společnosti.</w:t>
      </w:r>
    </w:p>
    <w:p w14:paraId="7428710B" w14:textId="77777777" w:rsidR="00615A2B" w:rsidRPr="00615A2B" w:rsidRDefault="00615A2B" w:rsidP="005F5A2E">
      <w:pPr>
        <w:pStyle w:val="Textodstavce"/>
        <w:ind w:firstLine="425"/>
        <w:rPr>
          <w:szCs w:val="24"/>
        </w:rPr>
      </w:pPr>
      <w:r w:rsidRPr="00615A2B">
        <w:rPr>
          <w:szCs w:val="24"/>
        </w:rPr>
        <w:t xml:space="preserve"> (2) Při fúzi splynutím je každá zúčastněná společnost s ručením omezeným nebo akciová společnost povinna nechat ocenit své jmění posudkem znalce.</w:t>
      </w:r>
    </w:p>
    <w:p w14:paraId="4E859E38" w14:textId="77777777" w:rsidR="00615A2B" w:rsidRPr="00615A2B" w:rsidRDefault="00615A2B" w:rsidP="005F5A2E">
      <w:pPr>
        <w:pStyle w:val="Textodstavce"/>
        <w:ind w:firstLine="425"/>
        <w:rPr>
          <w:szCs w:val="24"/>
        </w:rPr>
      </w:pPr>
      <w:r w:rsidRPr="00615A2B">
        <w:rPr>
          <w:szCs w:val="24"/>
        </w:rPr>
        <w:t xml:space="preserve"> (3) Zanikající společnost je povinna nechat ocenit svoje jmění posudkem znalce pro ocenění jmění ke dni zpracování poslední řádné </w:t>
      </w:r>
      <w:r w:rsidRPr="00615A2B">
        <w:rPr>
          <w:strike/>
          <w:szCs w:val="24"/>
        </w:rPr>
        <w:t xml:space="preserve">nebo mimořádné anebo </w:t>
      </w:r>
      <w:r w:rsidRPr="00615A2B">
        <w:rPr>
          <w:b/>
          <w:szCs w:val="24"/>
        </w:rPr>
        <w:t>individuální účetní závěrky nebo</w:t>
      </w:r>
      <w:r w:rsidRPr="00615A2B">
        <w:rPr>
          <w:szCs w:val="24"/>
        </w:rPr>
        <w:t xml:space="preserve"> konečné účetní závěrky sestavované zanikající společností před vyhotovením projektu fúze.</w:t>
      </w:r>
    </w:p>
    <w:p w14:paraId="7713A17B" w14:textId="77777777" w:rsidR="00615A2B" w:rsidRPr="00615A2B" w:rsidRDefault="00615A2B" w:rsidP="005F5A2E">
      <w:pPr>
        <w:pStyle w:val="Textodstavce"/>
        <w:ind w:firstLine="425"/>
        <w:rPr>
          <w:szCs w:val="24"/>
        </w:rPr>
      </w:pPr>
      <w:r w:rsidRPr="00615A2B">
        <w:rPr>
          <w:szCs w:val="24"/>
        </w:rPr>
        <w:t>(4) Zanikající společnost, jejíž jmění bylo oceněno posudkem znalce, je povinna tento posudek poskytnout všem ostatním zúčastněným společnostem.</w:t>
      </w:r>
    </w:p>
    <w:p w14:paraId="4726F567" w14:textId="77777777" w:rsidR="00615A2B" w:rsidRPr="00615A2B" w:rsidRDefault="00615A2B" w:rsidP="00992796">
      <w:pPr>
        <w:pStyle w:val="Nadpisparagrafu"/>
        <w:numPr>
          <w:ilvl w:val="0"/>
          <w:numId w:val="39"/>
        </w:numPr>
        <w:spacing w:after="120"/>
        <w:rPr>
          <w:b w:val="0"/>
          <w:szCs w:val="24"/>
        </w:rPr>
      </w:pPr>
      <w:r w:rsidRPr="00615A2B">
        <w:rPr>
          <w:b w:val="0"/>
          <w:szCs w:val="24"/>
        </w:rPr>
        <w:t>***</w:t>
      </w:r>
    </w:p>
    <w:p w14:paraId="3CA144DD" w14:textId="77777777" w:rsidR="00615A2B" w:rsidRPr="00615A2B" w:rsidRDefault="00615A2B" w:rsidP="00951827">
      <w:pPr>
        <w:tabs>
          <w:tab w:val="left" w:pos="425"/>
          <w:tab w:val="left" w:pos="851"/>
        </w:tabs>
        <w:spacing w:after="120"/>
        <w:ind w:firstLine="0"/>
        <w:jc w:val="center"/>
        <w:rPr>
          <w:szCs w:val="24"/>
        </w:rPr>
      </w:pPr>
      <w:r w:rsidRPr="00615A2B">
        <w:rPr>
          <w:bCs/>
          <w:szCs w:val="24"/>
        </w:rPr>
        <w:t xml:space="preserve">§ </w:t>
      </w:r>
      <w:r w:rsidRPr="00615A2B">
        <w:rPr>
          <w:szCs w:val="24"/>
        </w:rPr>
        <w:t>77</w:t>
      </w:r>
    </w:p>
    <w:p w14:paraId="11DBA0F7" w14:textId="77777777" w:rsidR="00615A2B" w:rsidRPr="00615A2B" w:rsidRDefault="00615A2B" w:rsidP="00615A2B">
      <w:pPr>
        <w:pStyle w:val="Textodstavce"/>
        <w:spacing w:before="240"/>
        <w:ind w:firstLine="425"/>
        <w:rPr>
          <w:szCs w:val="24"/>
        </w:rPr>
      </w:pPr>
      <w:r w:rsidRPr="00615A2B">
        <w:rPr>
          <w:szCs w:val="24"/>
        </w:rPr>
        <w:t xml:space="preserve">Součet výše vkladů společníků zúčastněné společnosti do základního kapitálu nástupnické společnosti nesmí převyšovat výši vlastního kapitálu zúčastněné společnosti zjištěné z její poslední řádné </w:t>
      </w:r>
      <w:r w:rsidRPr="00615A2B">
        <w:rPr>
          <w:strike/>
          <w:szCs w:val="24"/>
        </w:rPr>
        <w:t>nebo mimořádné</w:t>
      </w:r>
      <w:r w:rsidRPr="00615A2B">
        <w:rPr>
          <w:szCs w:val="24"/>
        </w:rPr>
        <w:t xml:space="preserve"> </w:t>
      </w:r>
      <w:r w:rsidRPr="00615A2B">
        <w:rPr>
          <w:b/>
          <w:szCs w:val="24"/>
        </w:rPr>
        <w:t>individuální</w:t>
      </w:r>
      <w:r w:rsidRPr="00615A2B">
        <w:rPr>
          <w:szCs w:val="24"/>
        </w:rPr>
        <w:t xml:space="preserve"> účetní závěrky sestavené před vyhotovením projektu fúze anebo její konečné účetní závěrky, pokud rozhodný den fúze předcházel dni vyhotovení projektu fúze.</w:t>
      </w:r>
    </w:p>
    <w:p w14:paraId="31BACC91" w14:textId="77777777" w:rsidR="00615A2B" w:rsidRPr="00615A2B" w:rsidRDefault="00615A2B" w:rsidP="00992796">
      <w:pPr>
        <w:pStyle w:val="Nadpisparagrafu"/>
        <w:numPr>
          <w:ilvl w:val="0"/>
          <w:numId w:val="39"/>
        </w:numPr>
        <w:spacing w:after="120"/>
        <w:rPr>
          <w:b w:val="0"/>
          <w:szCs w:val="24"/>
        </w:rPr>
      </w:pPr>
      <w:r w:rsidRPr="00615A2B">
        <w:rPr>
          <w:b w:val="0"/>
          <w:szCs w:val="24"/>
        </w:rPr>
        <w:t>***</w:t>
      </w:r>
    </w:p>
    <w:p w14:paraId="6646B04A" w14:textId="77777777" w:rsidR="00615A2B" w:rsidRPr="00615A2B" w:rsidRDefault="00615A2B" w:rsidP="00F834AC">
      <w:pPr>
        <w:tabs>
          <w:tab w:val="left" w:pos="425"/>
          <w:tab w:val="left" w:pos="851"/>
        </w:tabs>
        <w:spacing w:after="120"/>
        <w:ind w:firstLine="0"/>
        <w:jc w:val="center"/>
        <w:rPr>
          <w:szCs w:val="24"/>
        </w:rPr>
      </w:pPr>
      <w:r w:rsidRPr="00615A2B">
        <w:rPr>
          <w:bCs/>
          <w:szCs w:val="24"/>
        </w:rPr>
        <w:t xml:space="preserve">§ </w:t>
      </w:r>
      <w:r w:rsidRPr="00615A2B">
        <w:rPr>
          <w:szCs w:val="24"/>
        </w:rPr>
        <w:t>78</w:t>
      </w:r>
    </w:p>
    <w:p w14:paraId="40E5EA03" w14:textId="77777777" w:rsidR="00615A2B" w:rsidRPr="00615A2B" w:rsidRDefault="00615A2B" w:rsidP="00615A2B">
      <w:pPr>
        <w:pStyle w:val="Textodstavce"/>
        <w:spacing w:before="240"/>
        <w:ind w:firstLine="425"/>
        <w:rPr>
          <w:iCs/>
          <w:szCs w:val="24"/>
        </w:rPr>
      </w:pPr>
      <w:r w:rsidRPr="00615A2B">
        <w:rPr>
          <w:iCs/>
          <w:szCs w:val="24"/>
        </w:rPr>
        <w:t>(1) Společníkovi musí být nejméně 2 týdny přede dnem, v němž má schválit fúzi, doručeny</w:t>
      </w:r>
    </w:p>
    <w:p w14:paraId="4F4F5AD8" w14:textId="77777777" w:rsidR="00615A2B" w:rsidRPr="00615A2B" w:rsidRDefault="00615A2B" w:rsidP="00DE29D4">
      <w:pPr>
        <w:pStyle w:val="PZTextpsmene"/>
        <w:tabs>
          <w:tab w:val="left" w:pos="420"/>
        </w:tabs>
        <w:spacing w:before="0"/>
        <w:ind w:left="426" w:hanging="426"/>
        <w:rPr>
          <w:iCs/>
          <w:szCs w:val="24"/>
        </w:rPr>
      </w:pPr>
      <w:r w:rsidRPr="00615A2B">
        <w:rPr>
          <w:iCs/>
          <w:szCs w:val="24"/>
        </w:rPr>
        <w:t>a)</w:t>
      </w:r>
      <w:r w:rsidRPr="00615A2B">
        <w:rPr>
          <w:iCs/>
          <w:szCs w:val="24"/>
        </w:rPr>
        <w:tab/>
        <w:t>projekt fúze,</w:t>
      </w:r>
    </w:p>
    <w:p w14:paraId="325CDD92" w14:textId="77777777" w:rsidR="00615A2B" w:rsidRPr="00615A2B" w:rsidRDefault="00615A2B" w:rsidP="00DE29D4">
      <w:pPr>
        <w:pStyle w:val="PZTextpsmene"/>
        <w:tabs>
          <w:tab w:val="left" w:pos="420"/>
        </w:tabs>
        <w:spacing w:before="0"/>
        <w:ind w:left="426" w:hanging="426"/>
        <w:rPr>
          <w:iCs/>
          <w:szCs w:val="24"/>
        </w:rPr>
      </w:pPr>
      <w:r w:rsidRPr="00615A2B">
        <w:rPr>
          <w:iCs/>
          <w:szCs w:val="24"/>
        </w:rPr>
        <w:lastRenderedPageBreak/>
        <w:t>b)</w:t>
      </w:r>
      <w:r w:rsidRPr="00615A2B">
        <w:rPr>
          <w:iCs/>
          <w:szCs w:val="24"/>
        </w:rPr>
        <w:tab/>
      </w:r>
      <w:r w:rsidRPr="00615A2B">
        <w:rPr>
          <w:b/>
          <w:iCs/>
          <w:szCs w:val="24"/>
        </w:rPr>
        <w:t xml:space="preserve">řádné </w:t>
      </w:r>
      <w:r w:rsidRPr="00615A2B">
        <w:rPr>
          <w:b/>
          <w:szCs w:val="24"/>
        </w:rPr>
        <w:t>individuální</w:t>
      </w:r>
      <w:r w:rsidRPr="00615A2B">
        <w:rPr>
          <w:b/>
          <w:iCs/>
          <w:szCs w:val="24"/>
        </w:rPr>
        <w:t xml:space="preserve"> </w:t>
      </w:r>
      <w:r w:rsidRPr="00615A2B">
        <w:rPr>
          <w:iCs/>
          <w:szCs w:val="24"/>
        </w:rPr>
        <w:t xml:space="preserve">účetní závěrky všech zúčastněných veřejných obchodních společností za poslední 3 účetní období, jestliže zúčastněná veřejná obchodní společnost po tuto dobu trvá, popřípadě takové účetní závěrky právního předchůdce, měla-li zúčastněná veřejná obchodní společnost právního předchůdce, a vyžadují-li se, také zprávy auditora o </w:t>
      </w:r>
      <w:r w:rsidRPr="00615A2B">
        <w:rPr>
          <w:iCs/>
          <w:strike/>
          <w:szCs w:val="24"/>
        </w:rPr>
        <w:t>jejich ověření</w:t>
      </w:r>
      <w:r w:rsidRPr="00615A2B">
        <w:rPr>
          <w:iCs/>
          <w:szCs w:val="24"/>
        </w:rPr>
        <w:t xml:space="preserve"> </w:t>
      </w:r>
      <w:r w:rsidRPr="00615A2B">
        <w:rPr>
          <w:b/>
          <w:iCs/>
          <w:szCs w:val="24"/>
        </w:rPr>
        <w:t>povinném auditu</w:t>
      </w:r>
      <w:r w:rsidRPr="00615A2B">
        <w:rPr>
          <w:iCs/>
          <w:szCs w:val="24"/>
        </w:rPr>
        <w:t>,</w:t>
      </w:r>
    </w:p>
    <w:p w14:paraId="2FAD005C" w14:textId="77777777" w:rsidR="00615A2B" w:rsidRPr="00615A2B" w:rsidRDefault="00615A2B" w:rsidP="00DE29D4">
      <w:pPr>
        <w:pStyle w:val="PZTextpsmene"/>
        <w:tabs>
          <w:tab w:val="left" w:pos="420"/>
        </w:tabs>
        <w:spacing w:before="0"/>
        <w:ind w:left="426" w:hanging="426"/>
        <w:rPr>
          <w:iCs/>
          <w:szCs w:val="24"/>
        </w:rPr>
      </w:pPr>
      <w:r w:rsidRPr="00615A2B">
        <w:rPr>
          <w:iCs/>
          <w:szCs w:val="24"/>
        </w:rPr>
        <w:t>c)</w:t>
      </w:r>
      <w:r w:rsidRPr="00615A2B">
        <w:rPr>
          <w:iCs/>
          <w:szCs w:val="24"/>
        </w:rPr>
        <w:tab/>
        <w:t xml:space="preserve">konečné účetní závěrky všech zúčastněných veřejných obchodních společností, zahajovací rozvaha nástupnické veřejné obchodní společnosti, pokud rozhodný den fúze předchází vyhotovení projektu fúze, a vyžadují-li se, také zprávy auditora o </w:t>
      </w:r>
      <w:r w:rsidRPr="00615A2B">
        <w:rPr>
          <w:iCs/>
          <w:strike/>
          <w:szCs w:val="24"/>
        </w:rPr>
        <w:t>jejich ověření</w:t>
      </w:r>
      <w:r w:rsidRPr="00615A2B">
        <w:rPr>
          <w:iCs/>
          <w:szCs w:val="24"/>
        </w:rPr>
        <w:t xml:space="preserve"> </w:t>
      </w:r>
      <w:r w:rsidRPr="00615A2B">
        <w:rPr>
          <w:b/>
          <w:iCs/>
          <w:szCs w:val="24"/>
        </w:rPr>
        <w:t>povinném auditu</w:t>
      </w:r>
      <w:r w:rsidRPr="00615A2B">
        <w:rPr>
          <w:iCs/>
          <w:szCs w:val="24"/>
        </w:rPr>
        <w:t>,</w:t>
      </w:r>
    </w:p>
    <w:p w14:paraId="1AF3867E" w14:textId="77777777" w:rsidR="00615A2B" w:rsidRPr="00615A2B" w:rsidRDefault="00615A2B" w:rsidP="00DE29D4">
      <w:pPr>
        <w:pStyle w:val="PZTextpsmene"/>
        <w:tabs>
          <w:tab w:val="left" w:pos="420"/>
        </w:tabs>
        <w:spacing w:before="0"/>
        <w:ind w:left="426" w:hanging="426"/>
        <w:rPr>
          <w:iCs/>
          <w:szCs w:val="24"/>
        </w:rPr>
      </w:pPr>
      <w:r w:rsidRPr="00615A2B">
        <w:rPr>
          <w:iCs/>
          <w:szCs w:val="24"/>
        </w:rPr>
        <w:t>d)</w:t>
      </w:r>
      <w:r w:rsidRPr="00615A2B">
        <w:rPr>
          <w:iCs/>
          <w:szCs w:val="24"/>
        </w:rPr>
        <w:tab/>
      </w:r>
      <w:r w:rsidRPr="00F834AC">
        <w:rPr>
          <w:iCs/>
          <w:szCs w:val="24"/>
        </w:rPr>
        <w:t xml:space="preserve">mezitímní </w:t>
      </w:r>
      <w:r w:rsidRPr="00F834AC">
        <w:rPr>
          <w:b/>
          <w:szCs w:val="24"/>
        </w:rPr>
        <w:t>individuální</w:t>
      </w:r>
      <w:r w:rsidRPr="00F834AC">
        <w:rPr>
          <w:iCs/>
          <w:szCs w:val="24"/>
        </w:rPr>
        <w:t xml:space="preserve"> účetní závěrka a zpráva auditora o </w:t>
      </w:r>
      <w:r w:rsidRPr="00F834AC">
        <w:rPr>
          <w:iCs/>
          <w:strike/>
          <w:szCs w:val="24"/>
        </w:rPr>
        <w:t>jejím ověření</w:t>
      </w:r>
      <w:r w:rsidRPr="00F834AC">
        <w:rPr>
          <w:iCs/>
          <w:szCs w:val="24"/>
        </w:rPr>
        <w:t xml:space="preserve"> </w:t>
      </w:r>
      <w:r w:rsidRPr="00F834AC">
        <w:rPr>
          <w:b/>
          <w:iCs/>
          <w:szCs w:val="24"/>
        </w:rPr>
        <w:t>povinném auditu</w:t>
      </w:r>
      <w:r w:rsidRPr="00F834AC">
        <w:rPr>
          <w:iCs/>
          <w:szCs w:val="24"/>
        </w:rPr>
        <w:t>, nebo pololetní zpráva podle zákona o podnikání na kapitálovém trhu, pokud se vyžadují,</w:t>
      </w:r>
      <w:r w:rsidRPr="00615A2B">
        <w:rPr>
          <w:iCs/>
          <w:szCs w:val="24"/>
        </w:rPr>
        <w:t xml:space="preserve"> a</w:t>
      </w:r>
    </w:p>
    <w:p w14:paraId="0B7B44AD" w14:textId="77777777" w:rsidR="00615A2B" w:rsidRPr="00615A2B" w:rsidRDefault="00615A2B" w:rsidP="00DE29D4">
      <w:pPr>
        <w:pStyle w:val="PZTextpsmene"/>
        <w:tabs>
          <w:tab w:val="left" w:pos="420"/>
        </w:tabs>
        <w:spacing w:before="0"/>
        <w:ind w:left="426" w:hanging="426"/>
        <w:rPr>
          <w:iCs/>
          <w:szCs w:val="24"/>
        </w:rPr>
      </w:pPr>
      <w:r w:rsidRPr="00615A2B">
        <w:rPr>
          <w:iCs/>
          <w:szCs w:val="24"/>
        </w:rPr>
        <w:t>e)</w:t>
      </w:r>
      <w:r w:rsidRPr="00615A2B">
        <w:rPr>
          <w:iCs/>
          <w:szCs w:val="24"/>
        </w:rPr>
        <w:tab/>
        <w:t>znalecká zpráva o fúzi, pokud se vyžaduje.</w:t>
      </w:r>
    </w:p>
    <w:p w14:paraId="13065D78" w14:textId="77777777" w:rsidR="00615A2B" w:rsidRPr="00F834AC" w:rsidRDefault="00615A2B" w:rsidP="005F5A2E">
      <w:pPr>
        <w:pStyle w:val="Textodstavce"/>
        <w:ind w:firstLine="425"/>
        <w:rPr>
          <w:iCs/>
          <w:szCs w:val="24"/>
        </w:rPr>
      </w:pPr>
      <w:r w:rsidRPr="00F834AC">
        <w:rPr>
          <w:iCs/>
          <w:szCs w:val="24"/>
        </w:rPr>
        <w:t>(2) Jestliže společník souhlasil s tím, že zúčastněná společnost bude k poskytování informací využívat elektronické prostředky, mohou mu být kopie listin uvedených v odstavci 1 zasílány elektronicky. V takovém případě se nepoužije ustanovení odstavce 1. Souhlas lze dát jakýmkoliv způsobem, z něhož plyne tato vůle společníka.</w:t>
      </w:r>
    </w:p>
    <w:p w14:paraId="763C760B" w14:textId="7F4B367E" w:rsidR="00615A2B" w:rsidRPr="00F834AC" w:rsidRDefault="00615A2B" w:rsidP="005F5A2E">
      <w:pPr>
        <w:pStyle w:val="Textodstavce"/>
        <w:ind w:firstLine="425"/>
        <w:rPr>
          <w:iCs/>
          <w:szCs w:val="24"/>
        </w:rPr>
      </w:pPr>
      <w:r w:rsidRPr="00F834AC">
        <w:rPr>
          <w:iCs/>
          <w:szCs w:val="24"/>
        </w:rPr>
        <w:t>(3) Ustanovení odstavců 1 a 2 se nepoužijí, jestliže zúčastněná společnost zpřístupní dokumenty uvedené v odstavci 1 po dobu nejméně 2 týdnů přede dnem, v němž má společník fúzi schválit, na internetové stránce a internetová stránka umožňuje společníkům po celou dobu uvedenou v odstavci 1 stažení a vytištění dokumentů uvedených v odstavci 1. Ustanovení § 33b o zabezpečení internetových stránek se použije obdobně.</w:t>
      </w:r>
    </w:p>
    <w:p w14:paraId="08897FB5" w14:textId="77777777" w:rsidR="00615A2B" w:rsidRPr="00F834AC" w:rsidRDefault="00615A2B" w:rsidP="005F5A2E">
      <w:pPr>
        <w:pStyle w:val="Textodstavce"/>
        <w:ind w:firstLine="425"/>
        <w:rPr>
          <w:iCs/>
          <w:szCs w:val="24"/>
        </w:rPr>
      </w:pPr>
      <w:r w:rsidRPr="00F834AC">
        <w:rPr>
          <w:iCs/>
          <w:szCs w:val="24"/>
        </w:rPr>
        <w:t>(4) Dojde-li z jakéhokoliv důvodu k souvislému přerušení přístupu na internetovou stránku po dobu delší než 24 hodin, doručí zúčastněná společnost společníkovi listiny uvedené v odstavci 1 bez zbytečného odkladu, nejpozději však 2 dny před tím, než má společník fúzi schválit.</w:t>
      </w:r>
    </w:p>
    <w:p w14:paraId="58F60E59" w14:textId="77777777" w:rsidR="00615A2B" w:rsidRPr="00615A2B" w:rsidRDefault="00615A2B" w:rsidP="00992796">
      <w:pPr>
        <w:pStyle w:val="Nadpisparagrafu"/>
        <w:numPr>
          <w:ilvl w:val="0"/>
          <w:numId w:val="39"/>
        </w:numPr>
        <w:spacing w:after="120"/>
        <w:rPr>
          <w:b w:val="0"/>
          <w:szCs w:val="24"/>
        </w:rPr>
      </w:pPr>
      <w:r w:rsidRPr="00615A2B">
        <w:rPr>
          <w:b w:val="0"/>
          <w:szCs w:val="24"/>
        </w:rPr>
        <w:t>***</w:t>
      </w:r>
    </w:p>
    <w:p w14:paraId="72914651" w14:textId="77777777" w:rsidR="00615A2B" w:rsidRPr="00615A2B" w:rsidRDefault="00615A2B" w:rsidP="00F834AC">
      <w:pPr>
        <w:tabs>
          <w:tab w:val="left" w:pos="425"/>
          <w:tab w:val="left" w:pos="851"/>
        </w:tabs>
        <w:spacing w:after="120"/>
        <w:ind w:firstLine="0"/>
        <w:jc w:val="center"/>
        <w:rPr>
          <w:szCs w:val="24"/>
        </w:rPr>
      </w:pPr>
      <w:r w:rsidRPr="00615A2B">
        <w:rPr>
          <w:bCs/>
          <w:szCs w:val="24"/>
        </w:rPr>
        <w:t xml:space="preserve">§ </w:t>
      </w:r>
      <w:r w:rsidRPr="00615A2B">
        <w:rPr>
          <w:szCs w:val="24"/>
        </w:rPr>
        <w:t>90</w:t>
      </w:r>
    </w:p>
    <w:p w14:paraId="4A439766" w14:textId="77777777" w:rsidR="00615A2B" w:rsidRPr="00615A2B" w:rsidRDefault="00615A2B" w:rsidP="00615A2B">
      <w:pPr>
        <w:spacing w:after="120"/>
        <w:jc w:val="center"/>
        <w:rPr>
          <w:szCs w:val="24"/>
        </w:rPr>
      </w:pPr>
      <w:r w:rsidRPr="00615A2B">
        <w:rPr>
          <w:b/>
          <w:bCs/>
          <w:szCs w:val="24"/>
        </w:rPr>
        <w:t xml:space="preserve">Zvýšení </w:t>
      </w:r>
      <w:r w:rsidRPr="00615A2B">
        <w:rPr>
          <w:b/>
          <w:bCs/>
          <w:iCs/>
          <w:szCs w:val="24"/>
        </w:rPr>
        <w:t>základního</w:t>
      </w:r>
      <w:r w:rsidRPr="00615A2B">
        <w:rPr>
          <w:b/>
          <w:bCs/>
          <w:szCs w:val="24"/>
        </w:rPr>
        <w:t xml:space="preserve"> kapitálu nástupnické společnosti z</w:t>
      </w:r>
      <w:r w:rsidRPr="00615A2B">
        <w:rPr>
          <w:szCs w:val="24"/>
        </w:rPr>
        <w:t xml:space="preserve"> </w:t>
      </w:r>
      <w:r w:rsidRPr="00615A2B">
        <w:rPr>
          <w:b/>
          <w:strike/>
          <w:szCs w:val="24"/>
        </w:rPr>
        <w:t>jejích vlastních zdrojů</w:t>
      </w:r>
      <w:r w:rsidRPr="00615A2B">
        <w:rPr>
          <w:b/>
          <w:szCs w:val="24"/>
        </w:rPr>
        <w:t xml:space="preserve"> </w:t>
      </w:r>
      <w:r w:rsidRPr="00615A2B">
        <w:rPr>
          <w:b/>
          <w:szCs w:val="24"/>
          <w:u w:val="single"/>
        </w:rPr>
        <w:t>jiných částí jejího vlastního kapitálu</w:t>
      </w:r>
    </w:p>
    <w:p w14:paraId="1E13F534" w14:textId="77777777" w:rsidR="00615A2B" w:rsidRPr="00615A2B" w:rsidRDefault="00615A2B" w:rsidP="005F5A2E">
      <w:pPr>
        <w:pStyle w:val="Textodstavce"/>
        <w:ind w:firstLine="425"/>
        <w:rPr>
          <w:iCs/>
          <w:szCs w:val="24"/>
        </w:rPr>
      </w:pPr>
      <w:r w:rsidRPr="00615A2B">
        <w:rPr>
          <w:iCs/>
          <w:szCs w:val="24"/>
        </w:rPr>
        <w:t xml:space="preserve">(1) Jako součást fúze sloučením lze vždy i zvýšit dosavadní základní kapitál nástupnické společnosti z </w:t>
      </w:r>
      <w:r w:rsidRPr="00615A2B">
        <w:rPr>
          <w:iCs/>
          <w:strike/>
          <w:szCs w:val="24"/>
        </w:rPr>
        <w:t>vlastních zdrojů</w:t>
      </w:r>
      <w:r w:rsidRPr="00615A2B">
        <w:rPr>
          <w:iCs/>
          <w:szCs w:val="24"/>
        </w:rPr>
        <w:t xml:space="preserve"> </w:t>
      </w:r>
      <w:r w:rsidRPr="00615A2B">
        <w:rPr>
          <w:b/>
          <w:szCs w:val="24"/>
        </w:rPr>
        <w:t>jiných částí vlastního kapitálu</w:t>
      </w:r>
      <w:r w:rsidRPr="00615A2B">
        <w:rPr>
          <w:iCs/>
          <w:szCs w:val="24"/>
        </w:rPr>
        <w:t xml:space="preserve"> zjištěný</w:t>
      </w:r>
      <w:r w:rsidRPr="00615A2B">
        <w:rPr>
          <w:b/>
          <w:bCs/>
          <w:iCs/>
          <w:szCs w:val="24"/>
        </w:rPr>
        <w:t>ch</w:t>
      </w:r>
      <w:r w:rsidRPr="00615A2B">
        <w:rPr>
          <w:iCs/>
          <w:szCs w:val="24"/>
        </w:rPr>
        <w:t xml:space="preserve"> z její poslední </w:t>
      </w:r>
      <w:r w:rsidRPr="00615A2B">
        <w:rPr>
          <w:iCs/>
          <w:strike/>
          <w:szCs w:val="24"/>
        </w:rPr>
        <w:t>řádné, mimořádné, konečné nebo mezitímní</w:t>
      </w:r>
      <w:r w:rsidRPr="00615A2B">
        <w:rPr>
          <w:iCs/>
          <w:szCs w:val="24"/>
        </w:rPr>
        <w:t xml:space="preserve"> </w:t>
      </w:r>
      <w:r w:rsidRPr="00615A2B">
        <w:rPr>
          <w:b/>
          <w:szCs w:val="24"/>
        </w:rPr>
        <w:t>individuální</w:t>
      </w:r>
      <w:r w:rsidRPr="00615A2B">
        <w:rPr>
          <w:iCs/>
          <w:szCs w:val="24"/>
        </w:rPr>
        <w:t xml:space="preserve"> účetní závěrky sestavené před vyhotovením projektu fúze. Na tomto zvýšení základního kapitálu se podílejí pouze dosavadní společníci nástupnické společnosti.</w:t>
      </w:r>
    </w:p>
    <w:p w14:paraId="7EB29ADD" w14:textId="77777777" w:rsidR="00615A2B" w:rsidRPr="00615A2B" w:rsidRDefault="00615A2B" w:rsidP="005F5A2E">
      <w:pPr>
        <w:pStyle w:val="Textodstavce"/>
        <w:ind w:firstLine="425"/>
        <w:rPr>
          <w:iCs/>
          <w:szCs w:val="24"/>
        </w:rPr>
      </w:pPr>
      <w:r w:rsidRPr="00615A2B">
        <w:rPr>
          <w:iCs/>
          <w:szCs w:val="24"/>
        </w:rPr>
        <w:t xml:space="preserve">(2) Jestliže se bude zvyšovat základní kapitál nástupnické společnosti podle odstavce 1, použijí se ustanovení zákona, který upravuje právní poměry obchodních společností a družstev, o zvýšení základního kapitálu společnosti s ručením omezeným zvýšením vkladů společníků nebo vznikem nových podílů z </w:t>
      </w:r>
      <w:r w:rsidRPr="00615A2B">
        <w:rPr>
          <w:iCs/>
          <w:strike/>
          <w:szCs w:val="24"/>
        </w:rPr>
        <w:t>vlastních zdrojů</w:t>
      </w:r>
      <w:r w:rsidRPr="00615A2B">
        <w:rPr>
          <w:iCs/>
          <w:szCs w:val="24"/>
        </w:rPr>
        <w:t xml:space="preserve"> </w:t>
      </w:r>
      <w:r w:rsidRPr="00615A2B">
        <w:rPr>
          <w:b/>
          <w:szCs w:val="24"/>
        </w:rPr>
        <w:t>jiných částí vlastního kapitálu</w:t>
      </w:r>
      <w:r w:rsidRPr="00615A2B">
        <w:rPr>
          <w:iCs/>
          <w:szCs w:val="24"/>
        </w:rPr>
        <w:t xml:space="preserve"> s výjimkou ustanovení o obsahu pozvánky na valnou hromadu při zvýšení základního kapitálu, o obsahu usnesení valné hromady a o zápisu zvýšení základního kapitálu do obchodního rejstříku.</w:t>
      </w:r>
    </w:p>
    <w:p w14:paraId="24EBFB5C" w14:textId="77777777" w:rsidR="00615A2B" w:rsidRPr="00615A2B" w:rsidRDefault="00615A2B" w:rsidP="005F5A2E">
      <w:pPr>
        <w:pStyle w:val="Textodstavce"/>
        <w:ind w:firstLine="425"/>
        <w:rPr>
          <w:iCs/>
          <w:szCs w:val="24"/>
        </w:rPr>
      </w:pPr>
      <w:r w:rsidRPr="00615A2B">
        <w:rPr>
          <w:iCs/>
          <w:szCs w:val="24"/>
        </w:rPr>
        <w:t>(3) Usnesení valné hromady nástupnické společnosti o fúzi musí při postupu podle odstavců 1 a 2 obsahovat i</w:t>
      </w:r>
    </w:p>
    <w:p w14:paraId="0C16C1A1" w14:textId="77777777" w:rsidR="00615A2B" w:rsidRPr="00615A2B" w:rsidRDefault="00615A2B" w:rsidP="00DE29D4">
      <w:pPr>
        <w:pStyle w:val="PZTextpsmene"/>
        <w:tabs>
          <w:tab w:val="left" w:pos="426"/>
        </w:tabs>
        <w:spacing w:before="0"/>
        <w:ind w:left="426" w:hanging="426"/>
        <w:rPr>
          <w:iCs/>
          <w:szCs w:val="24"/>
        </w:rPr>
      </w:pPr>
      <w:r w:rsidRPr="00615A2B">
        <w:rPr>
          <w:iCs/>
          <w:szCs w:val="24"/>
        </w:rPr>
        <w:lastRenderedPageBreak/>
        <w:t>a)</w:t>
      </w:r>
      <w:r w:rsidRPr="00615A2B">
        <w:rPr>
          <w:iCs/>
          <w:szCs w:val="24"/>
        </w:rPr>
        <w:tab/>
        <w:t xml:space="preserve">určení </w:t>
      </w:r>
      <w:r w:rsidRPr="00615A2B">
        <w:rPr>
          <w:iCs/>
          <w:strike/>
          <w:szCs w:val="24"/>
        </w:rPr>
        <w:t>vlastního zdroje nebo zdrojů</w:t>
      </w:r>
      <w:r w:rsidRPr="00615A2B">
        <w:rPr>
          <w:iCs/>
          <w:szCs w:val="24"/>
        </w:rPr>
        <w:t xml:space="preserve"> </w:t>
      </w:r>
      <w:r w:rsidRPr="00615A2B">
        <w:rPr>
          <w:b/>
          <w:szCs w:val="24"/>
        </w:rPr>
        <w:t>části nebo částí vlastního kapitálu</w:t>
      </w:r>
      <w:r w:rsidRPr="00615A2B">
        <w:rPr>
          <w:iCs/>
          <w:szCs w:val="24"/>
        </w:rPr>
        <w:t xml:space="preserve"> nástupnické společnosti, z nichž se základní kapitál zvyšuje, v členění podle struktury vlastního kapitálu v dané účetní závěrce,</w:t>
      </w:r>
    </w:p>
    <w:p w14:paraId="600F02B8" w14:textId="77777777" w:rsidR="00615A2B" w:rsidRPr="00615A2B" w:rsidRDefault="00615A2B" w:rsidP="00DE29D4">
      <w:pPr>
        <w:pStyle w:val="PZTextpsmene"/>
        <w:tabs>
          <w:tab w:val="left" w:pos="426"/>
        </w:tabs>
        <w:spacing w:before="0"/>
        <w:ind w:left="426" w:hanging="426"/>
        <w:rPr>
          <w:iCs/>
          <w:szCs w:val="24"/>
        </w:rPr>
      </w:pPr>
      <w:r w:rsidRPr="00615A2B">
        <w:rPr>
          <w:iCs/>
          <w:szCs w:val="24"/>
        </w:rPr>
        <w:t>b)</w:t>
      </w:r>
      <w:r w:rsidRPr="00615A2B">
        <w:rPr>
          <w:iCs/>
          <w:szCs w:val="24"/>
        </w:rPr>
        <w:tab/>
        <w:t xml:space="preserve">částku zvýšení základního kapitálu z </w:t>
      </w:r>
      <w:r w:rsidRPr="00615A2B">
        <w:rPr>
          <w:iCs/>
          <w:strike/>
          <w:szCs w:val="24"/>
        </w:rPr>
        <w:t>vlastních zdrojů</w:t>
      </w:r>
      <w:r w:rsidRPr="00615A2B">
        <w:rPr>
          <w:iCs/>
          <w:szCs w:val="24"/>
        </w:rPr>
        <w:t xml:space="preserve"> </w:t>
      </w:r>
      <w:r w:rsidRPr="00615A2B">
        <w:rPr>
          <w:b/>
          <w:szCs w:val="24"/>
        </w:rPr>
        <w:t>jiných částí vlastního kapitálu</w:t>
      </w:r>
      <w:r w:rsidRPr="00615A2B">
        <w:rPr>
          <w:iCs/>
          <w:szCs w:val="24"/>
        </w:rPr>
        <w:t xml:space="preserve"> a</w:t>
      </w:r>
    </w:p>
    <w:p w14:paraId="3AE846C1" w14:textId="77777777" w:rsidR="00615A2B" w:rsidRPr="00615A2B" w:rsidRDefault="00615A2B" w:rsidP="00DE29D4">
      <w:pPr>
        <w:pStyle w:val="PZTextpsmene"/>
        <w:tabs>
          <w:tab w:val="left" w:pos="426"/>
        </w:tabs>
        <w:spacing w:before="0"/>
        <w:ind w:left="426" w:hanging="426"/>
        <w:rPr>
          <w:iCs/>
          <w:szCs w:val="24"/>
        </w:rPr>
      </w:pPr>
      <w:r w:rsidRPr="00615A2B">
        <w:rPr>
          <w:iCs/>
          <w:szCs w:val="24"/>
        </w:rPr>
        <w:t>c)</w:t>
      </w:r>
      <w:r w:rsidRPr="00615A2B">
        <w:rPr>
          <w:iCs/>
          <w:szCs w:val="24"/>
        </w:rPr>
        <w:tab/>
        <w:t>částku, o jakou se zvyšuje výše vkladu každého dosavadního společníka nástupnické společnosti nebo údaj, jaký nový podíl s jemu odpovídající výší vkladu vznikne každému ze společníků.</w:t>
      </w:r>
    </w:p>
    <w:p w14:paraId="7BEF21E4" w14:textId="77777777" w:rsidR="00615A2B" w:rsidRPr="00615A2B" w:rsidRDefault="00615A2B" w:rsidP="00992796">
      <w:pPr>
        <w:pStyle w:val="Nadpisparagrafu"/>
        <w:numPr>
          <w:ilvl w:val="0"/>
          <w:numId w:val="39"/>
        </w:numPr>
        <w:spacing w:after="120"/>
        <w:rPr>
          <w:b w:val="0"/>
          <w:szCs w:val="24"/>
        </w:rPr>
      </w:pPr>
      <w:r w:rsidRPr="00615A2B">
        <w:rPr>
          <w:b w:val="0"/>
          <w:szCs w:val="24"/>
        </w:rPr>
        <w:t>***</w:t>
      </w:r>
    </w:p>
    <w:p w14:paraId="1FF4287B" w14:textId="77777777" w:rsidR="00615A2B" w:rsidRPr="00615A2B" w:rsidRDefault="00615A2B" w:rsidP="00F834AC">
      <w:pPr>
        <w:tabs>
          <w:tab w:val="left" w:pos="425"/>
          <w:tab w:val="left" w:pos="851"/>
        </w:tabs>
        <w:spacing w:after="120"/>
        <w:ind w:firstLine="0"/>
        <w:jc w:val="center"/>
        <w:rPr>
          <w:szCs w:val="24"/>
        </w:rPr>
      </w:pPr>
      <w:r w:rsidRPr="00615A2B">
        <w:rPr>
          <w:bCs/>
          <w:szCs w:val="24"/>
        </w:rPr>
        <w:t xml:space="preserve">§ </w:t>
      </w:r>
      <w:r w:rsidRPr="00615A2B">
        <w:rPr>
          <w:szCs w:val="24"/>
        </w:rPr>
        <w:t>93</w:t>
      </w:r>
    </w:p>
    <w:p w14:paraId="74C1CBE0" w14:textId="77777777" w:rsidR="00615A2B" w:rsidRPr="00615A2B" w:rsidRDefault="00615A2B" w:rsidP="00615A2B">
      <w:pPr>
        <w:pStyle w:val="Textodstavce"/>
        <w:spacing w:before="240"/>
        <w:ind w:firstLine="425"/>
        <w:rPr>
          <w:szCs w:val="24"/>
        </w:rPr>
      </w:pPr>
      <w:r w:rsidRPr="00FA0666">
        <w:rPr>
          <w:rStyle w:val="PromnnHTML"/>
          <w:i w:val="0"/>
          <w:szCs w:val="24"/>
        </w:rPr>
        <w:t>(1)</w:t>
      </w:r>
      <w:r w:rsidRPr="00615A2B">
        <w:rPr>
          <w:szCs w:val="24"/>
        </w:rPr>
        <w:t xml:space="preserve"> Nejméně 2 týdny přede dnem konání valné hromady, na kterém má být schválena fúze, musí být společníkům doručeny</w:t>
      </w:r>
    </w:p>
    <w:p w14:paraId="49B73E5F" w14:textId="77777777" w:rsidR="00615A2B" w:rsidRPr="00615A2B" w:rsidRDefault="00615A2B" w:rsidP="00DE29D4">
      <w:pPr>
        <w:pStyle w:val="PZTextpsmene"/>
        <w:tabs>
          <w:tab w:val="left" w:pos="406"/>
        </w:tabs>
        <w:spacing w:before="0"/>
        <w:ind w:left="426" w:hanging="426"/>
        <w:rPr>
          <w:szCs w:val="24"/>
        </w:rPr>
      </w:pPr>
      <w:r w:rsidRPr="00FA0666">
        <w:rPr>
          <w:rStyle w:val="PromnnHTML"/>
          <w:i w:val="0"/>
          <w:szCs w:val="24"/>
        </w:rPr>
        <w:t>a)</w:t>
      </w:r>
      <w:r w:rsidRPr="00615A2B">
        <w:rPr>
          <w:szCs w:val="24"/>
        </w:rPr>
        <w:tab/>
        <w:t>projekt fúze,</w:t>
      </w:r>
    </w:p>
    <w:p w14:paraId="15E08EDE" w14:textId="77777777" w:rsidR="00615A2B" w:rsidRPr="00615A2B" w:rsidRDefault="00615A2B" w:rsidP="00DE29D4">
      <w:pPr>
        <w:pStyle w:val="PZTextpsmene"/>
        <w:tabs>
          <w:tab w:val="left" w:pos="406"/>
        </w:tabs>
        <w:spacing w:before="0"/>
        <w:ind w:left="426" w:hanging="426"/>
        <w:rPr>
          <w:szCs w:val="24"/>
        </w:rPr>
      </w:pPr>
      <w:r w:rsidRPr="00FA0666">
        <w:rPr>
          <w:rStyle w:val="PromnnHTML"/>
          <w:i w:val="0"/>
          <w:szCs w:val="24"/>
        </w:rPr>
        <w:t>b)</w:t>
      </w:r>
      <w:r w:rsidRPr="00615A2B">
        <w:rPr>
          <w:szCs w:val="24"/>
        </w:rPr>
        <w:tab/>
      </w:r>
      <w:r w:rsidRPr="00615A2B">
        <w:rPr>
          <w:b/>
          <w:szCs w:val="24"/>
        </w:rPr>
        <w:t>řádné individuální</w:t>
      </w:r>
      <w:r w:rsidRPr="00615A2B">
        <w:rPr>
          <w:szCs w:val="24"/>
        </w:rPr>
        <w:t xml:space="preserve"> účetní závěrky všech zúčastněných společností s ručením omezeným za poslední 3 účetní období, jestliže zúčastněná společnost s ručením omezeným po tuto dobu trvá, popřípadě takové účetní závěrky právního předchůdce, měla-li zúčastněná společnost s ručením omezeným právního předchůdce, a zprávy auditora o </w:t>
      </w:r>
      <w:r w:rsidRPr="00615A2B">
        <w:rPr>
          <w:strike/>
          <w:szCs w:val="24"/>
        </w:rPr>
        <w:t>jejich ověření</w:t>
      </w:r>
      <w:r w:rsidRPr="00615A2B">
        <w:rPr>
          <w:szCs w:val="24"/>
        </w:rPr>
        <w:t xml:space="preserve"> </w:t>
      </w:r>
      <w:r w:rsidRPr="00615A2B">
        <w:rPr>
          <w:b/>
          <w:szCs w:val="24"/>
        </w:rPr>
        <w:t>povinném auditu</w:t>
      </w:r>
      <w:r w:rsidRPr="00615A2B">
        <w:rPr>
          <w:szCs w:val="24"/>
        </w:rPr>
        <w:t>, pokud se vyžadují,</w:t>
      </w:r>
    </w:p>
    <w:p w14:paraId="62D591A5" w14:textId="77777777" w:rsidR="00615A2B" w:rsidRPr="00615A2B" w:rsidRDefault="00615A2B" w:rsidP="00DE29D4">
      <w:pPr>
        <w:pStyle w:val="PZTextpsmene"/>
        <w:tabs>
          <w:tab w:val="left" w:pos="406"/>
        </w:tabs>
        <w:spacing w:before="0"/>
        <w:ind w:left="426" w:hanging="426"/>
        <w:rPr>
          <w:szCs w:val="24"/>
        </w:rPr>
      </w:pPr>
      <w:r w:rsidRPr="00FA0666">
        <w:rPr>
          <w:rStyle w:val="PromnnHTML"/>
          <w:i w:val="0"/>
          <w:szCs w:val="24"/>
        </w:rPr>
        <w:t>c)</w:t>
      </w:r>
      <w:r w:rsidRPr="00615A2B">
        <w:rPr>
          <w:szCs w:val="24"/>
        </w:rPr>
        <w:tab/>
        <w:t xml:space="preserve">konečné účetní závěrky všech zúčastněných společností s ručením omezeným, zahajovací rozvaha nástupnické společnosti s ručením omezeným, pokud rozhodný den fúze předchází vyhotovení projektu fúze, a zprávy auditora o </w:t>
      </w:r>
      <w:r w:rsidRPr="00615A2B">
        <w:rPr>
          <w:strike/>
          <w:szCs w:val="24"/>
        </w:rPr>
        <w:t>jejich ověření</w:t>
      </w:r>
      <w:r w:rsidRPr="00615A2B">
        <w:rPr>
          <w:szCs w:val="24"/>
        </w:rPr>
        <w:t xml:space="preserve"> </w:t>
      </w:r>
      <w:r w:rsidRPr="00615A2B">
        <w:rPr>
          <w:b/>
          <w:szCs w:val="24"/>
        </w:rPr>
        <w:t>povinném auditu</w:t>
      </w:r>
      <w:r w:rsidRPr="00615A2B">
        <w:rPr>
          <w:szCs w:val="24"/>
        </w:rPr>
        <w:t>, pokud se vyžadují,</w:t>
      </w:r>
    </w:p>
    <w:p w14:paraId="36414D38" w14:textId="77777777" w:rsidR="00615A2B" w:rsidRPr="00615A2B" w:rsidRDefault="00615A2B" w:rsidP="00DE29D4">
      <w:pPr>
        <w:pStyle w:val="PZTextpsmene"/>
        <w:tabs>
          <w:tab w:val="left" w:pos="406"/>
        </w:tabs>
        <w:spacing w:before="0"/>
        <w:ind w:left="426" w:hanging="426"/>
        <w:rPr>
          <w:szCs w:val="24"/>
        </w:rPr>
      </w:pPr>
      <w:r w:rsidRPr="00FA0666">
        <w:rPr>
          <w:rStyle w:val="PromnnHTML"/>
          <w:i w:val="0"/>
          <w:szCs w:val="24"/>
        </w:rPr>
        <w:t>d)</w:t>
      </w:r>
      <w:r w:rsidRPr="00615A2B">
        <w:rPr>
          <w:rStyle w:val="PromnnHTML"/>
          <w:szCs w:val="24"/>
        </w:rPr>
        <w:tab/>
      </w:r>
      <w:r w:rsidRPr="00615A2B">
        <w:rPr>
          <w:szCs w:val="24"/>
        </w:rPr>
        <w:t xml:space="preserve">mezitímní </w:t>
      </w:r>
      <w:r w:rsidRPr="00615A2B">
        <w:rPr>
          <w:b/>
          <w:szCs w:val="24"/>
        </w:rPr>
        <w:t>individuální</w:t>
      </w:r>
      <w:r w:rsidRPr="00615A2B">
        <w:rPr>
          <w:szCs w:val="24"/>
        </w:rPr>
        <w:t xml:space="preserve"> účetní závěrka a zpráva auditora o </w:t>
      </w:r>
      <w:r w:rsidRPr="00615A2B">
        <w:rPr>
          <w:strike/>
          <w:szCs w:val="24"/>
        </w:rPr>
        <w:t>jejich ověření</w:t>
      </w:r>
      <w:r w:rsidRPr="00615A2B">
        <w:rPr>
          <w:szCs w:val="24"/>
        </w:rPr>
        <w:t xml:space="preserve"> </w:t>
      </w:r>
      <w:r w:rsidRPr="00615A2B">
        <w:rPr>
          <w:b/>
          <w:szCs w:val="24"/>
        </w:rPr>
        <w:t>povinném auditu</w:t>
      </w:r>
      <w:r w:rsidRPr="00615A2B">
        <w:rPr>
          <w:szCs w:val="24"/>
        </w:rPr>
        <w:t>, anebo pololetní zpráva podle zákona o podnikání na kapitálovém trhu, pokud se vyžadují,</w:t>
      </w:r>
    </w:p>
    <w:p w14:paraId="023C34DD" w14:textId="77777777" w:rsidR="00615A2B" w:rsidRPr="00615A2B" w:rsidRDefault="00615A2B" w:rsidP="00DE29D4">
      <w:pPr>
        <w:pStyle w:val="PZTextpsmene"/>
        <w:tabs>
          <w:tab w:val="left" w:pos="406"/>
        </w:tabs>
        <w:spacing w:before="0"/>
        <w:ind w:left="426" w:hanging="426"/>
        <w:rPr>
          <w:szCs w:val="24"/>
        </w:rPr>
      </w:pPr>
      <w:r w:rsidRPr="00FA0666">
        <w:rPr>
          <w:rStyle w:val="PromnnHTML"/>
          <w:i w:val="0"/>
          <w:szCs w:val="24"/>
        </w:rPr>
        <w:t>e)</w:t>
      </w:r>
      <w:r w:rsidRPr="00615A2B">
        <w:rPr>
          <w:szCs w:val="24"/>
        </w:rPr>
        <w:tab/>
        <w:t>společná zpráva o fúzi nebo všechny zprávy o fúzi všech zúčastněných společností, pokud se vyžadují,</w:t>
      </w:r>
    </w:p>
    <w:p w14:paraId="5AC4BBC1" w14:textId="77777777" w:rsidR="00615A2B" w:rsidRPr="00615A2B" w:rsidRDefault="00615A2B" w:rsidP="00DE29D4">
      <w:pPr>
        <w:pStyle w:val="l6"/>
        <w:tabs>
          <w:tab w:val="left" w:pos="406"/>
        </w:tabs>
        <w:spacing w:before="0" w:beforeAutospacing="0" w:after="0" w:afterAutospacing="0"/>
        <w:ind w:left="426" w:hanging="426"/>
        <w:jc w:val="both"/>
      </w:pPr>
      <w:r w:rsidRPr="00FA0666">
        <w:rPr>
          <w:rStyle w:val="PromnnHTML"/>
          <w:i w:val="0"/>
        </w:rPr>
        <w:t>f)</w:t>
      </w:r>
      <w:r w:rsidRPr="00615A2B">
        <w:tab/>
        <w:t>znalecká zpráva o fúzi nebo všechny znalecké zprávy o fúzi všech zúčastněných společností, pokud se vyžadují.</w:t>
      </w:r>
    </w:p>
    <w:p w14:paraId="4863C12B" w14:textId="77777777" w:rsidR="00615A2B" w:rsidRPr="00615A2B" w:rsidRDefault="00615A2B" w:rsidP="005F5A2E">
      <w:pPr>
        <w:pStyle w:val="Textodstavce"/>
        <w:ind w:firstLine="425"/>
        <w:rPr>
          <w:szCs w:val="24"/>
        </w:rPr>
      </w:pPr>
      <w:r w:rsidRPr="00615A2B">
        <w:rPr>
          <w:iCs/>
          <w:szCs w:val="24"/>
        </w:rPr>
        <w:t>(2)</w:t>
      </w:r>
      <w:r w:rsidRPr="00615A2B">
        <w:rPr>
          <w:szCs w:val="24"/>
        </w:rPr>
        <w:t xml:space="preserve"> Každá zúčastněná společnost zároveň s dokumenty podle odstavce 1 zašle společníkům upozornění, že mají právo se seznámit v sídle společnosti s posudkem znalce pro ocenění jmění, pokud se vyžaduje.</w:t>
      </w:r>
    </w:p>
    <w:p w14:paraId="35F6683C" w14:textId="77777777" w:rsidR="00615A2B" w:rsidRPr="00615A2B" w:rsidRDefault="00615A2B" w:rsidP="005F5A2E">
      <w:pPr>
        <w:pStyle w:val="Textodstavce"/>
        <w:ind w:firstLine="425"/>
        <w:rPr>
          <w:szCs w:val="24"/>
        </w:rPr>
      </w:pPr>
      <w:r w:rsidRPr="00867438">
        <w:rPr>
          <w:rStyle w:val="PromnnHTML"/>
          <w:i w:val="0"/>
          <w:szCs w:val="24"/>
        </w:rPr>
        <w:t>(3)</w:t>
      </w:r>
      <w:r w:rsidRPr="00615A2B">
        <w:rPr>
          <w:szCs w:val="24"/>
        </w:rPr>
        <w:t xml:space="preserve"> Jestliže má být fúze schválena společníky mimo valnou hromadu, společnost dokumenty uvedené v odstavci 1 a upozornění podle odstavce 2 společníkům spolu s návrhem na rozhodnutí o fúzi mimo valnou hromadu.</w:t>
      </w:r>
    </w:p>
    <w:p w14:paraId="4909A8ED" w14:textId="77777777" w:rsidR="00615A2B" w:rsidRPr="00615A2B" w:rsidRDefault="00615A2B" w:rsidP="00992796">
      <w:pPr>
        <w:pStyle w:val="Nadpisparagrafu"/>
        <w:numPr>
          <w:ilvl w:val="0"/>
          <w:numId w:val="39"/>
        </w:numPr>
        <w:spacing w:after="120"/>
        <w:rPr>
          <w:b w:val="0"/>
          <w:szCs w:val="24"/>
        </w:rPr>
      </w:pPr>
      <w:r w:rsidRPr="00615A2B">
        <w:rPr>
          <w:b w:val="0"/>
          <w:szCs w:val="24"/>
        </w:rPr>
        <w:t>***</w:t>
      </w:r>
    </w:p>
    <w:p w14:paraId="12A271DA" w14:textId="77777777" w:rsidR="00615A2B" w:rsidRPr="00615A2B" w:rsidRDefault="00615A2B" w:rsidP="00E57139">
      <w:pPr>
        <w:tabs>
          <w:tab w:val="left" w:pos="425"/>
          <w:tab w:val="left" w:pos="851"/>
        </w:tabs>
        <w:spacing w:after="120"/>
        <w:ind w:firstLine="0"/>
        <w:jc w:val="center"/>
        <w:rPr>
          <w:szCs w:val="24"/>
        </w:rPr>
      </w:pPr>
      <w:r w:rsidRPr="00615A2B">
        <w:rPr>
          <w:bCs/>
          <w:szCs w:val="24"/>
        </w:rPr>
        <w:t xml:space="preserve">§ </w:t>
      </w:r>
      <w:r w:rsidRPr="00615A2B">
        <w:rPr>
          <w:szCs w:val="24"/>
        </w:rPr>
        <w:t>94</w:t>
      </w:r>
    </w:p>
    <w:p w14:paraId="7CF6854B" w14:textId="77777777" w:rsidR="00615A2B" w:rsidRPr="00615A2B" w:rsidRDefault="00615A2B" w:rsidP="00615A2B">
      <w:pPr>
        <w:pStyle w:val="Textodstavce"/>
        <w:spacing w:before="240"/>
        <w:ind w:firstLine="425"/>
        <w:rPr>
          <w:szCs w:val="24"/>
        </w:rPr>
      </w:pPr>
      <w:r w:rsidRPr="00615A2B">
        <w:rPr>
          <w:szCs w:val="24"/>
        </w:rPr>
        <w:t xml:space="preserve">Usnesení valné hromady zúčastněné společnosti o schválení fúze musí obsahovat schválení  </w:t>
      </w:r>
    </w:p>
    <w:p w14:paraId="18648AEE" w14:textId="77777777" w:rsidR="00615A2B" w:rsidRPr="00615A2B" w:rsidRDefault="00615A2B" w:rsidP="00DE29D4">
      <w:pPr>
        <w:pStyle w:val="PZTextpsmene"/>
        <w:tabs>
          <w:tab w:val="left" w:pos="406"/>
        </w:tabs>
        <w:spacing w:before="0"/>
        <w:ind w:left="426" w:hanging="426"/>
        <w:rPr>
          <w:szCs w:val="24"/>
        </w:rPr>
      </w:pPr>
      <w:r w:rsidRPr="00615A2B">
        <w:rPr>
          <w:szCs w:val="24"/>
        </w:rPr>
        <w:t>a)</w:t>
      </w:r>
      <w:r w:rsidRPr="00615A2B">
        <w:rPr>
          <w:szCs w:val="24"/>
        </w:rPr>
        <w:tab/>
        <w:t xml:space="preserve">projektu fúze a </w:t>
      </w:r>
    </w:p>
    <w:p w14:paraId="64328987" w14:textId="77777777" w:rsidR="00615A2B" w:rsidRPr="00615A2B" w:rsidRDefault="00615A2B" w:rsidP="00DE29D4">
      <w:pPr>
        <w:pStyle w:val="l6"/>
        <w:tabs>
          <w:tab w:val="left" w:pos="406"/>
        </w:tabs>
        <w:spacing w:before="0" w:beforeAutospacing="0" w:after="0" w:afterAutospacing="0"/>
        <w:ind w:left="426" w:hanging="426"/>
        <w:jc w:val="both"/>
      </w:pPr>
      <w:r w:rsidRPr="00615A2B">
        <w:t>b)</w:t>
      </w:r>
      <w:r w:rsidRPr="00615A2B">
        <w:tab/>
        <w:t xml:space="preserve">konečné účetní závěrky příslušné zúčastněné společnosti a zahajovací rozvahy nástupnické společnosti, pokud rozhodný den fúze předchází vyhotovení projektu fúze, popřípadě mezitímní </w:t>
      </w:r>
      <w:r w:rsidRPr="00615A2B">
        <w:rPr>
          <w:b/>
        </w:rPr>
        <w:t>individuální</w:t>
      </w:r>
      <w:r w:rsidRPr="00615A2B">
        <w:t xml:space="preserve"> účetní závěrky zanikající společnosti. </w:t>
      </w:r>
    </w:p>
    <w:p w14:paraId="01D2DB4F" w14:textId="77777777" w:rsidR="00615A2B" w:rsidRPr="00615A2B" w:rsidRDefault="00615A2B" w:rsidP="00E57139">
      <w:pPr>
        <w:pStyle w:val="Textodstavce"/>
        <w:spacing w:before="240"/>
        <w:jc w:val="center"/>
        <w:rPr>
          <w:szCs w:val="24"/>
        </w:rPr>
      </w:pPr>
      <w:r w:rsidRPr="00615A2B">
        <w:rPr>
          <w:szCs w:val="24"/>
        </w:rPr>
        <w:lastRenderedPageBreak/>
        <w:t>§ 95</w:t>
      </w:r>
    </w:p>
    <w:p w14:paraId="11342252" w14:textId="77777777" w:rsidR="00615A2B" w:rsidRPr="00615A2B" w:rsidRDefault="00615A2B" w:rsidP="00615A2B">
      <w:pPr>
        <w:pStyle w:val="PZTextodstavce"/>
        <w:spacing w:before="240"/>
        <w:rPr>
          <w:szCs w:val="24"/>
        </w:rPr>
      </w:pPr>
      <w:r w:rsidRPr="00615A2B">
        <w:rPr>
          <w:szCs w:val="24"/>
        </w:rPr>
        <w:t>Pokud dochází ke zvýšení nebo snížení základního kapitálu nástupnické společnosti podle tohoto zákona, obsahuje pozvánka na valnou hromadu všech zúčastněných společností i údaj o tom,</w:t>
      </w:r>
    </w:p>
    <w:p w14:paraId="1815553F" w14:textId="7124B76F" w:rsidR="00615A2B" w:rsidRPr="00615A2B" w:rsidRDefault="00E57139" w:rsidP="00DE29D4">
      <w:pPr>
        <w:pStyle w:val="PZTextodstavce"/>
        <w:tabs>
          <w:tab w:val="clear" w:pos="782"/>
          <w:tab w:val="clear" w:pos="851"/>
          <w:tab w:val="left" w:pos="426"/>
        </w:tabs>
        <w:spacing w:before="0" w:after="0"/>
        <w:ind w:left="426" w:hanging="426"/>
        <w:rPr>
          <w:szCs w:val="24"/>
        </w:rPr>
      </w:pPr>
      <w:r>
        <w:rPr>
          <w:szCs w:val="24"/>
        </w:rPr>
        <w:t>a)</w:t>
      </w:r>
      <w:r>
        <w:rPr>
          <w:szCs w:val="24"/>
        </w:rPr>
        <w:tab/>
      </w:r>
      <w:r w:rsidR="00615A2B" w:rsidRPr="00615A2B">
        <w:rPr>
          <w:szCs w:val="24"/>
        </w:rPr>
        <w:t>pro společníky kterých zúčastněných společností je základní kapitál nástupnické společnosti zvyšován nebo snižován,</w:t>
      </w:r>
    </w:p>
    <w:p w14:paraId="057417E0" w14:textId="5B82D25E" w:rsidR="00615A2B" w:rsidRPr="00615A2B" w:rsidRDefault="00E57139" w:rsidP="00DE29D4">
      <w:pPr>
        <w:pStyle w:val="PZTextodstavce"/>
        <w:tabs>
          <w:tab w:val="clear" w:pos="782"/>
          <w:tab w:val="clear" w:pos="851"/>
          <w:tab w:val="left" w:pos="426"/>
        </w:tabs>
        <w:spacing w:before="0" w:after="0"/>
        <w:ind w:left="426" w:hanging="426"/>
        <w:rPr>
          <w:szCs w:val="24"/>
        </w:rPr>
      </w:pPr>
      <w:r>
        <w:rPr>
          <w:szCs w:val="24"/>
        </w:rPr>
        <w:t>b)</w:t>
      </w:r>
      <w:r>
        <w:rPr>
          <w:szCs w:val="24"/>
        </w:rPr>
        <w:tab/>
      </w:r>
      <w:r w:rsidR="00615A2B" w:rsidRPr="00615A2B">
        <w:rPr>
          <w:szCs w:val="24"/>
        </w:rPr>
        <w:t xml:space="preserve">zda jde o zvýšení základního kapitálu z </w:t>
      </w:r>
      <w:r w:rsidR="00615A2B" w:rsidRPr="00615A2B">
        <w:rPr>
          <w:strike/>
          <w:szCs w:val="24"/>
        </w:rPr>
        <w:t>vlastních zdrojů</w:t>
      </w:r>
      <w:r w:rsidR="00615A2B" w:rsidRPr="00615A2B">
        <w:rPr>
          <w:szCs w:val="24"/>
        </w:rPr>
        <w:t xml:space="preserve"> </w:t>
      </w:r>
      <w:r w:rsidR="00615A2B" w:rsidRPr="00615A2B">
        <w:rPr>
          <w:b/>
          <w:bCs/>
          <w:szCs w:val="24"/>
        </w:rPr>
        <w:t>jiných částí vlastního kapitálu</w:t>
      </w:r>
      <w:r w:rsidR="00615A2B" w:rsidRPr="00615A2B">
        <w:rPr>
          <w:szCs w:val="24"/>
        </w:rPr>
        <w:t xml:space="preserve"> nástupnické společnosti nebo ze jmění zanikající společnosti a</w:t>
      </w:r>
    </w:p>
    <w:p w14:paraId="51C49283" w14:textId="44C9BA9D" w:rsidR="00615A2B" w:rsidRPr="00615A2B" w:rsidRDefault="00E57139" w:rsidP="00DE29D4">
      <w:pPr>
        <w:pStyle w:val="PZTextodstavce"/>
        <w:tabs>
          <w:tab w:val="clear" w:pos="782"/>
          <w:tab w:val="clear" w:pos="851"/>
          <w:tab w:val="left" w:pos="426"/>
        </w:tabs>
        <w:spacing w:before="0" w:after="0"/>
        <w:ind w:left="426" w:hanging="426"/>
        <w:rPr>
          <w:szCs w:val="24"/>
        </w:rPr>
      </w:pPr>
      <w:r>
        <w:rPr>
          <w:szCs w:val="24"/>
        </w:rPr>
        <w:t>c)</w:t>
      </w:r>
      <w:r>
        <w:rPr>
          <w:szCs w:val="24"/>
        </w:rPr>
        <w:tab/>
      </w:r>
      <w:r w:rsidR="00615A2B" w:rsidRPr="00615A2B">
        <w:rPr>
          <w:szCs w:val="24"/>
        </w:rPr>
        <w:t>zda dochází ke kombinovanému zvýšení základního kapitálu nebo ke kombinaci zvýšení a snížení základního kapitálu.</w:t>
      </w:r>
    </w:p>
    <w:p w14:paraId="7D3596E2" w14:textId="77777777" w:rsidR="00615A2B" w:rsidRPr="00615A2B" w:rsidRDefault="00615A2B" w:rsidP="00992796">
      <w:pPr>
        <w:pStyle w:val="Nadpisparagrafu"/>
        <w:numPr>
          <w:ilvl w:val="0"/>
          <w:numId w:val="39"/>
        </w:numPr>
        <w:spacing w:after="120"/>
        <w:rPr>
          <w:b w:val="0"/>
          <w:szCs w:val="24"/>
        </w:rPr>
      </w:pPr>
      <w:r w:rsidRPr="00615A2B">
        <w:rPr>
          <w:b w:val="0"/>
          <w:szCs w:val="24"/>
        </w:rPr>
        <w:t>***</w:t>
      </w:r>
    </w:p>
    <w:p w14:paraId="0BEA6081" w14:textId="77777777" w:rsidR="00615A2B" w:rsidRPr="00615A2B" w:rsidRDefault="00615A2B" w:rsidP="00E57139">
      <w:pPr>
        <w:keepNext/>
        <w:keepLines/>
        <w:tabs>
          <w:tab w:val="left" w:pos="425"/>
          <w:tab w:val="left" w:pos="851"/>
        </w:tabs>
        <w:spacing w:after="120"/>
        <w:ind w:firstLine="0"/>
        <w:jc w:val="center"/>
        <w:rPr>
          <w:szCs w:val="24"/>
        </w:rPr>
      </w:pPr>
      <w:r w:rsidRPr="00615A2B">
        <w:rPr>
          <w:bCs/>
          <w:szCs w:val="24"/>
        </w:rPr>
        <w:t xml:space="preserve">§ </w:t>
      </w:r>
      <w:r w:rsidRPr="00615A2B">
        <w:rPr>
          <w:szCs w:val="24"/>
        </w:rPr>
        <w:t>95a</w:t>
      </w:r>
    </w:p>
    <w:p w14:paraId="3984E6D7" w14:textId="77777777" w:rsidR="00615A2B" w:rsidRPr="00E57139" w:rsidRDefault="00615A2B" w:rsidP="005F5A2E">
      <w:pPr>
        <w:pStyle w:val="Textodstavce"/>
        <w:ind w:firstLine="425"/>
        <w:rPr>
          <w:szCs w:val="24"/>
        </w:rPr>
      </w:pPr>
      <w:r w:rsidRPr="00E57139">
        <w:rPr>
          <w:szCs w:val="24"/>
        </w:rPr>
        <w:t xml:space="preserve">(1) Jednatel zúčastněné společnosti seznámí před hlasováním o schválení fúze společníky se znaleckou zprávou o fúzi, pokud se vyžaduje, a se všemi podstatnými změnami týkajícími se jmění, k nimž došlo v období od vyhotovení projektu fúze do dne konání valné hromady, která rozhoduje o fúzi, ve všech zúčastněných společnostech. Správnost oznámení o změnách týkající se jmění musí být potvrzena auditorem, pokud </w:t>
      </w:r>
      <w:r w:rsidRPr="00E57139">
        <w:rPr>
          <w:strike/>
          <w:szCs w:val="24"/>
        </w:rPr>
        <w:t>podléhá</w:t>
      </w:r>
      <w:r w:rsidRPr="00E57139">
        <w:rPr>
          <w:szCs w:val="24"/>
        </w:rPr>
        <w:t xml:space="preserve"> </w:t>
      </w:r>
      <w:r w:rsidRPr="00E57139">
        <w:rPr>
          <w:b/>
          <w:szCs w:val="24"/>
        </w:rPr>
        <w:t>má</w:t>
      </w:r>
      <w:r w:rsidRPr="00E57139">
        <w:rPr>
          <w:szCs w:val="24"/>
        </w:rPr>
        <w:t xml:space="preserve"> společnost </w:t>
      </w:r>
      <w:r w:rsidRPr="00E57139">
        <w:rPr>
          <w:strike/>
          <w:szCs w:val="24"/>
        </w:rPr>
        <w:t>povinnému auditu</w:t>
      </w:r>
      <w:r w:rsidRPr="00E57139">
        <w:rPr>
          <w:szCs w:val="24"/>
        </w:rPr>
        <w:t xml:space="preserve"> </w:t>
      </w:r>
      <w:r w:rsidRPr="00E57139">
        <w:rPr>
          <w:b/>
          <w:szCs w:val="24"/>
        </w:rPr>
        <w:t>povinný audit</w:t>
      </w:r>
      <w:r w:rsidRPr="00E57139">
        <w:rPr>
          <w:szCs w:val="24"/>
        </w:rPr>
        <w:t>, nebo znalcem, který prováděl ocenění jmění.</w:t>
      </w:r>
    </w:p>
    <w:p w14:paraId="3A98A5DD" w14:textId="77777777" w:rsidR="00615A2B" w:rsidRPr="00E57139" w:rsidRDefault="00615A2B" w:rsidP="005F5A2E">
      <w:pPr>
        <w:pStyle w:val="Textodstavce"/>
        <w:ind w:firstLine="425"/>
        <w:rPr>
          <w:szCs w:val="24"/>
        </w:rPr>
      </w:pPr>
      <w:r w:rsidRPr="00E57139">
        <w:rPr>
          <w:szCs w:val="24"/>
        </w:rPr>
        <w:t>(2) Jednatel zúčastněné společnosti informuje o změnách jmění podle odstavce 1 jednatele ostatních zúčastněných společností tak, aby mohli informovat své valné hromady.</w:t>
      </w:r>
    </w:p>
    <w:p w14:paraId="0D1FEE5F" w14:textId="77777777" w:rsidR="00615A2B" w:rsidRPr="00E57139" w:rsidRDefault="00615A2B" w:rsidP="005F5A2E">
      <w:pPr>
        <w:pStyle w:val="Textodstavce"/>
        <w:ind w:firstLine="425"/>
        <w:rPr>
          <w:szCs w:val="24"/>
        </w:rPr>
      </w:pPr>
      <w:r w:rsidRPr="00E57139">
        <w:rPr>
          <w:szCs w:val="24"/>
        </w:rPr>
        <w:t>(3) Jestliže má být fúze schválena společníky mimo valnou hromadu, je jednatel povinen poskytnout společníkům informace uvedené v odstavci 1 písemně spolu s návrhem na rozhodnutí o fúzi mimo valnou hromadu.</w:t>
      </w:r>
    </w:p>
    <w:p w14:paraId="1D08793F" w14:textId="77777777" w:rsidR="00615A2B" w:rsidRPr="00E57139" w:rsidRDefault="00615A2B" w:rsidP="005F5A2E">
      <w:pPr>
        <w:pStyle w:val="Textodstavce"/>
        <w:ind w:firstLine="425"/>
        <w:rPr>
          <w:szCs w:val="24"/>
        </w:rPr>
      </w:pPr>
      <w:r w:rsidRPr="00E57139">
        <w:rPr>
          <w:szCs w:val="24"/>
        </w:rPr>
        <w:t>(4) Seznámení se změnami jmění se nevyžaduje, pokud s tím předem souhlasili všichni společníci všech zúčastněných společností.</w:t>
      </w:r>
    </w:p>
    <w:p w14:paraId="122BB76C" w14:textId="77777777" w:rsidR="00615A2B" w:rsidRPr="00615A2B" w:rsidRDefault="00615A2B" w:rsidP="00E57139">
      <w:pPr>
        <w:tabs>
          <w:tab w:val="left" w:pos="425"/>
          <w:tab w:val="left" w:pos="851"/>
        </w:tabs>
        <w:spacing w:after="120"/>
        <w:ind w:firstLine="0"/>
        <w:jc w:val="center"/>
        <w:rPr>
          <w:szCs w:val="24"/>
        </w:rPr>
      </w:pPr>
      <w:r w:rsidRPr="00615A2B">
        <w:rPr>
          <w:szCs w:val="24"/>
        </w:rPr>
        <w:t>§ 95b</w:t>
      </w:r>
    </w:p>
    <w:p w14:paraId="322865A7" w14:textId="77777777" w:rsidR="00615A2B" w:rsidRPr="00615A2B" w:rsidRDefault="00615A2B" w:rsidP="005F5A2E">
      <w:pPr>
        <w:pStyle w:val="Textodstavce"/>
        <w:ind w:firstLine="425"/>
        <w:rPr>
          <w:szCs w:val="24"/>
        </w:rPr>
      </w:pPr>
      <w:r w:rsidRPr="00615A2B">
        <w:rPr>
          <w:szCs w:val="24"/>
        </w:rPr>
        <w:t>(1) Je-li nástupnická společnost jediným společníkem příslušné zanikající společnosti a v důsledku fúze nemá dojít ke změně společenské smlouvy nebo zakladatelské listiny nástupnické společnosti, nevyžaduje se schválení fúze valnou hromadou, jediným společníkem ani společníky příslušných zúčastněných společností. To platí i v případě, že jediným společníkem příslušné zanikající společnosti je jiná zanikající společnost.</w:t>
      </w:r>
    </w:p>
    <w:p w14:paraId="52D09314" w14:textId="77777777" w:rsidR="00615A2B" w:rsidRPr="00615A2B" w:rsidRDefault="00615A2B" w:rsidP="005F5A2E">
      <w:pPr>
        <w:pStyle w:val="Textodstavce"/>
        <w:pBdr>
          <w:top w:val="single" w:sz="12" w:space="1" w:color="00B0F0"/>
          <w:left w:val="single" w:sz="12" w:space="4" w:color="00B0F0"/>
          <w:bottom w:val="single" w:sz="12" w:space="1" w:color="00B0F0"/>
          <w:right w:val="single" w:sz="12" w:space="4" w:color="00B0F0"/>
        </w:pBdr>
        <w:spacing w:before="240"/>
        <w:ind w:firstLine="425"/>
        <w:rPr>
          <w:iCs/>
          <w:szCs w:val="24"/>
        </w:rPr>
      </w:pPr>
      <w:r w:rsidRPr="00615A2B">
        <w:rPr>
          <w:szCs w:val="24"/>
        </w:rPr>
        <w:t>(2) Společníci nástupnické společnosti, jejichž vklady dosahují alespoň 5 % základního kapitálu nástupnické společnosti</w:t>
      </w:r>
      <w:r w:rsidRPr="00615A2B">
        <w:rPr>
          <w:iCs/>
          <w:szCs w:val="24"/>
        </w:rPr>
        <w:t xml:space="preserve"> před fúzí, mají právo požadovat svolání valné hromady nástupnické společnosti za účelem schválení fúze do 1 měsíce ode dne, v němž </w:t>
      </w:r>
      <w:bookmarkStart w:id="45" w:name="_Hlk108708718"/>
      <w:r w:rsidRPr="00615A2B">
        <w:rPr>
          <w:bCs/>
          <w:iCs/>
          <w:color w:val="00B0F0"/>
          <w:szCs w:val="24"/>
        </w:rPr>
        <w:t>bylo zveřejněno upozornění</w:t>
      </w:r>
      <w:bookmarkEnd w:id="45"/>
      <w:r w:rsidRPr="00615A2B">
        <w:rPr>
          <w:bCs/>
          <w:iCs/>
          <w:color w:val="00B0F0"/>
          <w:szCs w:val="24"/>
        </w:rPr>
        <w:t xml:space="preserve"> </w:t>
      </w:r>
      <w:r w:rsidRPr="00615A2B">
        <w:rPr>
          <w:iCs/>
          <w:szCs w:val="24"/>
        </w:rPr>
        <w:t xml:space="preserve">podle § 33 odst. 1 písm. b) </w:t>
      </w:r>
      <w:bookmarkStart w:id="46" w:name="_Hlk108708727"/>
      <w:r w:rsidRPr="00615A2B">
        <w:rPr>
          <w:bCs/>
          <w:iCs/>
          <w:color w:val="00B0F0"/>
          <w:szCs w:val="24"/>
        </w:rPr>
        <w:t>nebo § 33a odst. 2 písm. b)</w:t>
      </w:r>
      <w:bookmarkEnd w:id="46"/>
      <w:r w:rsidRPr="00615A2B">
        <w:rPr>
          <w:iCs/>
          <w:szCs w:val="24"/>
        </w:rPr>
        <w:t>.</w:t>
      </w:r>
    </w:p>
    <w:p w14:paraId="26A7572F" w14:textId="77777777" w:rsidR="00615A2B" w:rsidRPr="00615A2B" w:rsidRDefault="00615A2B" w:rsidP="005F5A2E">
      <w:pPr>
        <w:pStyle w:val="Textodstavce"/>
        <w:pBdr>
          <w:top w:val="single" w:sz="12" w:space="1" w:color="00B0F0"/>
          <w:left w:val="single" w:sz="12" w:space="4" w:color="00B0F0"/>
          <w:bottom w:val="single" w:sz="12" w:space="1" w:color="00B0F0"/>
          <w:right w:val="single" w:sz="12" w:space="4" w:color="00B0F0"/>
        </w:pBdr>
        <w:spacing w:before="240"/>
        <w:ind w:firstLine="425"/>
        <w:rPr>
          <w:iCs/>
          <w:szCs w:val="24"/>
        </w:rPr>
      </w:pPr>
      <w:r w:rsidRPr="00615A2B">
        <w:rPr>
          <w:iCs/>
          <w:szCs w:val="24"/>
        </w:rPr>
        <w:t xml:space="preserve">(3) </w:t>
      </w:r>
      <w:bookmarkStart w:id="47" w:name="_Hlk108708817"/>
      <w:r w:rsidRPr="00615A2B">
        <w:rPr>
          <w:bCs/>
          <w:iCs/>
          <w:color w:val="00B0F0"/>
          <w:szCs w:val="24"/>
        </w:rPr>
        <w:t>Upozornění podle</w:t>
      </w:r>
      <w:bookmarkEnd w:id="47"/>
      <w:r w:rsidRPr="00615A2B">
        <w:rPr>
          <w:bCs/>
          <w:iCs/>
          <w:color w:val="00B0F0"/>
          <w:szCs w:val="24"/>
        </w:rPr>
        <w:t xml:space="preserve"> </w:t>
      </w:r>
      <w:r w:rsidRPr="00615A2B">
        <w:rPr>
          <w:iCs/>
          <w:szCs w:val="24"/>
        </w:rPr>
        <w:t xml:space="preserve">§ 33 odst. 1 písm. b) </w:t>
      </w:r>
      <w:bookmarkStart w:id="48" w:name="_Hlk108708809"/>
      <w:r w:rsidRPr="00615A2B">
        <w:rPr>
          <w:bCs/>
          <w:iCs/>
          <w:color w:val="00B0F0"/>
          <w:szCs w:val="24"/>
        </w:rPr>
        <w:t>nebo § 33a odst. 2 písm. b)</w:t>
      </w:r>
      <w:bookmarkEnd w:id="48"/>
      <w:r w:rsidRPr="00615A2B">
        <w:rPr>
          <w:iCs/>
          <w:szCs w:val="24"/>
        </w:rPr>
        <w:t xml:space="preserve">, budou-li zúčastněné společnosti postupovat podle odstavce 1, musí být </w:t>
      </w:r>
      <w:r w:rsidRPr="00615A2B">
        <w:rPr>
          <w:bCs/>
          <w:iCs/>
          <w:color w:val="00B0F0"/>
          <w:szCs w:val="24"/>
        </w:rPr>
        <w:t xml:space="preserve">zveřejněno </w:t>
      </w:r>
      <w:r w:rsidRPr="00615A2B">
        <w:rPr>
          <w:iCs/>
          <w:szCs w:val="24"/>
        </w:rPr>
        <w:t xml:space="preserve">nejméně 1 měsíc přede dnem, v němž má být podán návrh na zápis fúze do obchodního rejstříku. To platí i pro plnění povinností podle § 93 nebo § 93a. </w:t>
      </w:r>
    </w:p>
    <w:p w14:paraId="7CC875A5" w14:textId="77777777" w:rsidR="00615A2B" w:rsidRPr="00615A2B" w:rsidRDefault="00615A2B" w:rsidP="005F5A2E">
      <w:pPr>
        <w:pStyle w:val="Textodstavce"/>
        <w:pBdr>
          <w:top w:val="single" w:sz="12" w:space="1" w:color="00B0F0"/>
          <w:left w:val="single" w:sz="12" w:space="4" w:color="00B0F0"/>
          <w:bottom w:val="single" w:sz="12" w:space="1" w:color="00B0F0"/>
          <w:right w:val="single" w:sz="12" w:space="4" w:color="00B0F0"/>
        </w:pBdr>
        <w:spacing w:before="240"/>
        <w:ind w:firstLine="425"/>
        <w:rPr>
          <w:bCs/>
          <w:iCs/>
          <w:color w:val="00B0F0"/>
          <w:szCs w:val="24"/>
        </w:rPr>
      </w:pPr>
      <w:bookmarkStart w:id="49" w:name="_Hlk108708847"/>
      <w:r w:rsidRPr="00615A2B">
        <w:rPr>
          <w:bCs/>
          <w:iCs/>
          <w:color w:val="00B0F0"/>
          <w:szCs w:val="24"/>
        </w:rPr>
        <w:lastRenderedPageBreak/>
        <w:t>(4) Nemá-li se konat pouze valná hromada zanikající společnosti podle odstavců 1 a 2, je rozhodný z hlediska doby pro splnění povinností podle § 33 nebo 33a, 59l a 93 nebo 93a zanikající společností den, na nějž je svolána valná hromada nástupnické společnosti.</w:t>
      </w:r>
      <w:bookmarkEnd w:id="49"/>
    </w:p>
    <w:p w14:paraId="31563766" w14:textId="77777777" w:rsidR="00615A2B" w:rsidRPr="00615A2B" w:rsidRDefault="00615A2B" w:rsidP="005F5A2E">
      <w:pPr>
        <w:pStyle w:val="Textodstavce"/>
        <w:ind w:firstLine="425"/>
        <w:rPr>
          <w:iCs/>
          <w:szCs w:val="24"/>
        </w:rPr>
      </w:pPr>
      <w:r w:rsidRPr="00615A2B">
        <w:rPr>
          <w:bCs/>
          <w:iCs/>
          <w:szCs w:val="24"/>
        </w:rPr>
        <w:t xml:space="preserve">(5) </w:t>
      </w:r>
      <w:r w:rsidRPr="00615A2B">
        <w:rPr>
          <w:iCs/>
          <w:szCs w:val="24"/>
        </w:rPr>
        <w:t xml:space="preserve">Pokud poslední řádná </w:t>
      </w:r>
      <w:r w:rsidRPr="00615A2B">
        <w:rPr>
          <w:b/>
          <w:szCs w:val="24"/>
        </w:rPr>
        <w:t>individuální</w:t>
      </w:r>
      <w:r w:rsidRPr="00615A2B">
        <w:rPr>
          <w:iCs/>
          <w:szCs w:val="24"/>
        </w:rPr>
        <w:t xml:space="preserve"> účetní závěrka </w:t>
      </w:r>
      <w:r w:rsidRPr="00615A2B">
        <w:rPr>
          <w:iCs/>
          <w:strike/>
          <w:szCs w:val="24"/>
        </w:rPr>
        <w:t>nebo mimořádná účetní závěrka</w:t>
      </w:r>
      <w:r w:rsidRPr="00615A2B">
        <w:rPr>
          <w:iCs/>
          <w:szCs w:val="24"/>
        </w:rPr>
        <w:t xml:space="preserve"> jakékoliv zúčastněné společnosti, popřípadě mezitímní </w:t>
      </w:r>
      <w:r w:rsidRPr="00615A2B">
        <w:rPr>
          <w:b/>
          <w:szCs w:val="24"/>
        </w:rPr>
        <w:t>individuální</w:t>
      </w:r>
      <w:r w:rsidRPr="00615A2B">
        <w:rPr>
          <w:iCs/>
          <w:szCs w:val="24"/>
        </w:rPr>
        <w:t xml:space="preserve"> účetní závěrka, pokud se vyžaduje, anebo její konečná účetní závěrka nebyla schválena valnou hromadou, jediným společníkem nebo společníky této zúčastněné společnosti před zápisem fúze do obchodního rejstříku, schvaluje ji valná hromada, jediný akcionář nebo společníci nástupnické společnosti po zápisu fúze do obchodního rejstříku.</w:t>
      </w:r>
    </w:p>
    <w:p w14:paraId="539812A7" w14:textId="77777777" w:rsidR="00615A2B" w:rsidRPr="00615A2B" w:rsidRDefault="00615A2B" w:rsidP="005F5A2E">
      <w:pPr>
        <w:pStyle w:val="Textodstavce"/>
        <w:ind w:firstLine="425"/>
        <w:rPr>
          <w:iCs/>
          <w:szCs w:val="24"/>
        </w:rPr>
      </w:pPr>
      <w:r w:rsidRPr="00615A2B">
        <w:rPr>
          <w:bCs/>
          <w:iCs/>
          <w:szCs w:val="24"/>
        </w:rPr>
        <w:t xml:space="preserve">(6) </w:t>
      </w:r>
      <w:r w:rsidRPr="00615A2B">
        <w:rPr>
          <w:iCs/>
          <w:szCs w:val="24"/>
        </w:rPr>
        <w:t>Jestliže má dojít ke změně společenské smlouvy nebo zakladatelské listiny nástupnické společnosti uvedené v odstavci 1, vyžaduje se k fúzi sloučením souhlas valné hromady nástupnické společnosti nebo jejího jediného společníka.</w:t>
      </w:r>
    </w:p>
    <w:p w14:paraId="0C107F44" w14:textId="77777777" w:rsidR="00615A2B" w:rsidRPr="00615A2B" w:rsidRDefault="00615A2B" w:rsidP="00992796">
      <w:pPr>
        <w:pStyle w:val="Nadpisparagrafu"/>
        <w:numPr>
          <w:ilvl w:val="0"/>
          <w:numId w:val="39"/>
        </w:numPr>
        <w:spacing w:after="120"/>
        <w:rPr>
          <w:b w:val="0"/>
          <w:szCs w:val="24"/>
        </w:rPr>
      </w:pPr>
      <w:r w:rsidRPr="00615A2B">
        <w:rPr>
          <w:b w:val="0"/>
          <w:szCs w:val="24"/>
        </w:rPr>
        <w:t>***</w:t>
      </w:r>
    </w:p>
    <w:p w14:paraId="6FEF0B13" w14:textId="77777777" w:rsidR="00615A2B" w:rsidRPr="00615A2B" w:rsidRDefault="00615A2B" w:rsidP="00E57139">
      <w:pPr>
        <w:tabs>
          <w:tab w:val="left" w:pos="425"/>
          <w:tab w:val="left" w:pos="851"/>
        </w:tabs>
        <w:spacing w:after="120"/>
        <w:ind w:firstLine="0"/>
        <w:jc w:val="center"/>
        <w:rPr>
          <w:bCs/>
          <w:szCs w:val="24"/>
        </w:rPr>
      </w:pPr>
      <w:r w:rsidRPr="00615A2B">
        <w:rPr>
          <w:bCs/>
          <w:szCs w:val="24"/>
        </w:rPr>
        <w:t>§ 106</w:t>
      </w:r>
    </w:p>
    <w:p w14:paraId="4088BAA8" w14:textId="77777777" w:rsidR="00615A2B" w:rsidRPr="00E57139" w:rsidRDefault="00615A2B" w:rsidP="00615A2B">
      <w:pPr>
        <w:pStyle w:val="PZTextodstavce"/>
        <w:spacing w:before="240"/>
        <w:rPr>
          <w:szCs w:val="24"/>
        </w:rPr>
      </w:pPr>
      <w:r w:rsidRPr="00E57139">
        <w:rPr>
          <w:szCs w:val="24"/>
        </w:rPr>
        <w:t xml:space="preserve">Doplatek nesmí překročit 10 % jmenovité nebo </w:t>
      </w:r>
      <w:r w:rsidRPr="00E57139">
        <w:rPr>
          <w:strike/>
          <w:szCs w:val="24"/>
        </w:rPr>
        <w:t>účetní</w:t>
      </w:r>
      <w:r w:rsidRPr="00E57139">
        <w:rPr>
          <w:szCs w:val="24"/>
        </w:rPr>
        <w:t xml:space="preserve"> </w:t>
      </w:r>
      <w:r w:rsidRPr="00E57139">
        <w:rPr>
          <w:b/>
          <w:bCs/>
          <w:szCs w:val="24"/>
        </w:rPr>
        <w:t>paritní</w:t>
      </w:r>
      <w:r w:rsidRPr="00E57139">
        <w:rPr>
          <w:szCs w:val="24"/>
        </w:rPr>
        <w:t xml:space="preserve"> hodnoty akcií, jež mají být vyměněny za akcie zanikající společnosti nebo zanikajících společností.</w:t>
      </w:r>
    </w:p>
    <w:p w14:paraId="01E459CA" w14:textId="77777777" w:rsidR="00615A2B" w:rsidRPr="00615A2B" w:rsidRDefault="00615A2B" w:rsidP="00992796">
      <w:pPr>
        <w:pStyle w:val="Nadpisparagrafu"/>
        <w:numPr>
          <w:ilvl w:val="0"/>
          <w:numId w:val="39"/>
        </w:numPr>
        <w:spacing w:after="120"/>
        <w:rPr>
          <w:b w:val="0"/>
          <w:szCs w:val="24"/>
        </w:rPr>
      </w:pPr>
      <w:r w:rsidRPr="00615A2B">
        <w:rPr>
          <w:b w:val="0"/>
          <w:szCs w:val="24"/>
        </w:rPr>
        <w:t>***</w:t>
      </w:r>
    </w:p>
    <w:p w14:paraId="30554039" w14:textId="77777777" w:rsidR="00615A2B" w:rsidRPr="00615A2B" w:rsidRDefault="00615A2B" w:rsidP="00E57139">
      <w:pPr>
        <w:keepNext/>
        <w:tabs>
          <w:tab w:val="left" w:pos="425"/>
          <w:tab w:val="left" w:pos="851"/>
        </w:tabs>
        <w:spacing w:after="120"/>
        <w:ind w:firstLine="0"/>
        <w:jc w:val="center"/>
        <w:rPr>
          <w:szCs w:val="24"/>
        </w:rPr>
      </w:pPr>
      <w:r w:rsidRPr="00615A2B">
        <w:rPr>
          <w:bCs/>
          <w:szCs w:val="24"/>
        </w:rPr>
        <w:t xml:space="preserve">§ </w:t>
      </w:r>
      <w:r w:rsidRPr="00615A2B">
        <w:rPr>
          <w:szCs w:val="24"/>
        </w:rPr>
        <w:t>109</w:t>
      </w:r>
    </w:p>
    <w:p w14:paraId="518D9A22" w14:textId="77777777" w:rsidR="00615A2B" w:rsidRPr="00615A2B" w:rsidRDefault="00615A2B" w:rsidP="00E57139">
      <w:pPr>
        <w:keepNext/>
        <w:spacing w:after="120"/>
        <w:ind w:firstLine="0"/>
        <w:jc w:val="center"/>
        <w:rPr>
          <w:szCs w:val="24"/>
        </w:rPr>
      </w:pPr>
      <w:r w:rsidRPr="00615A2B">
        <w:rPr>
          <w:b/>
          <w:bCs/>
          <w:szCs w:val="24"/>
        </w:rPr>
        <w:t>Zvýšení základního kapitálu nástupnické společnosti z</w:t>
      </w:r>
      <w:r w:rsidRPr="00615A2B">
        <w:rPr>
          <w:szCs w:val="24"/>
        </w:rPr>
        <w:t xml:space="preserve"> </w:t>
      </w:r>
      <w:r w:rsidRPr="00615A2B">
        <w:rPr>
          <w:b/>
          <w:strike/>
          <w:szCs w:val="24"/>
        </w:rPr>
        <w:t>jejích vlastních zdrojů</w:t>
      </w:r>
      <w:r w:rsidRPr="00615A2B">
        <w:rPr>
          <w:b/>
          <w:szCs w:val="24"/>
        </w:rPr>
        <w:t xml:space="preserve"> </w:t>
      </w:r>
      <w:r w:rsidRPr="00615A2B">
        <w:rPr>
          <w:b/>
          <w:szCs w:val="24"/>
          <w:u w:val="single"/>
        </w:rPr>
        <w:t>jiných částí jejího vlastního kapitálu</w:t>
      </w:r>
      <w:r w:rsidRPr="00615A2B">
        <w:rPr>
          <w:szCs w:val="24"/>
        </w:rPr>
        <w:t xml:space="preserve"> </w:t>
      </w:r>
      <w:r w:rsidRPr="00615A2B">
        <w:rPr>
          <w:b/>
          <w:bCs/>
          <w:szCs w:val="24"/>
        </w:rPr>
        <w:t>pro dosavadní akcionáře nástupnické společnosti</w:t>
      </w:r>
    </w:p>
    <w:p w14:paraId="405EE983" w14:textId="77777777" w:rsidR="00615A2B" w:rsidRPr="00615A2B" w:rsidRDefault="00615A2B" w:rsidP="005F5A2E">
      <w:pPr>
        <w:pStyle w:val="Textodstavce"/>
        <w:ind w:firstLine="425"/>
        <w:rPr>
          <w:szCs w:val="24"/>
        </w:rPr>
      </w:pPr>
      <w:r w:rsidRPr="00615A2B">
        <w:rPr>
          <w:szCs w:val="24"/>
        </w:rPr>
        <w:t xml:space="preserve">(1) Jako </w:t>
      </w:r>
      <w:r w:rsidRPr="00615A2B">
        <w:rPr>
          <w:iCs/>
          <w:szCs w:val="24"/>
        </w:rPr>
        <w:t>součást</w:t>
      </w:r>
      <w:r w:rsidRPr="00615A2B">
        <w:rPr>
          <w:szCs w:val="24"/>
        </w:rPr>
        <w:t xml:space="preserve"> fúze sloučením lze vždy zvýšit dosavadní základní kapitál nástupnické společnosti i z </w:t>
      </w:r>
      <w:r w:rsidRPr="00615A2B">
        <w:rPr>
          <w:strike/>
          <w:szCs w:val="24"/>
        </w:rPr>
        <w:t>vlastních zdrojů</w:t>
      </w:r>
      <w:r w:rsidRPr="00615A2B">
        <w:rPr>
          <w:szCs w:val="24"/>
        </w:rPr>
        <w:t xml:space="preserve"> </w:t>
      </w:r>
      <w:r w:rsidRPr="00615A2B">
        <w:rPr>
          <w:b/>
          <w:szCs w:val="24"/>
        </w:rPr>
        <w:t>jiných částí vlastního kapitálu</w:t>
      </w:r>
      <w:r w:rsidRPr="00615A2B">
        <w:rPr>
          <w:szCs w:val="24"/>
        </w:rPr>
        <w:t xml:space="preserve"> zjištěných z její poslední </w:t>
      </w:r>
      <w:r w:rsidRPr="00615A2B">
        <w:rPr>
          <w:strike/>
          <w:szCs w:val="24"/>
        </w:rPr>
        <w:t xml:space="preserve">řádné, mimořádné, konečné nebo mezitímní </w:t>
      </w:r>
      <w:r w:rsidRPr="00615A2B">
        <w:rPr>
          <w:b/>
          <w:szCs w:val="24"/>
        </w:rPr>
        <w:t>individuální</w:t>
      </w:r>
      <w:r w:rsidRPr="00615A2B">
        <w:rPr>
          <w:szCs w:val="24"/>
        </w:rPr>
        <w:t xml:space="preserve"> účetní závěrky sestavené před vyhotovením projektu fúze. Na tomto zvýšení základního kapitálu se podílejí pouze dosavadní akcionáři nástupnické společnosti. </w:t>
      </w:r>
    </w:p>
    <w:p w14:paraId="1431144B" w14:textId="77777777" w:rsidR="00615A2B" w:rsidRPr="00615A2B" w:rsidRDefault="00615A2B" w:rsidP="005F5A2E">
      <w:pPr>
        <w:pStyle w:val="Textodstavce"/>
        <w:ind w:firstLine="425"/>
        <w:rPr>
          <w:szCs w:val="24"/>
        </w:rPr>
      </w:pPr>
      <w:r w:rsidRPr="00615A2B">
        <w:rPr>
          <w:szCs w:val="24"/>
        </w:rPr>
        <w:t xml:space="preserve">(2) Při zvýšení základního kapitálu podle odstavce 1 se použijí ustanovení zákona, který upravuje právní poměry obchodních společností a družstev, o zvýšení základního kapitálu z </w:t>
      </w:r>
      <w:r w:rsidRPr="00615A2B">
        <w:rPr>
          <w:strike/>
          <w:szCs w:val="24"/>
        </w:rPr>
        <w:t>vlastních zdrojů</w:t>
      </w:r>
      <w:r w:rsidRPr="00615A2B">
        <w:rPr>
          <w:b/>
          <w:szCs w:val="24"/>
        </w:rPr>
        <w:t xml:space="preserve"> jiných částí vlastního kapitálu</w:t>
      </w:r>
      <w:r w:rsidRPr="00615A2B">
        <w:rPr>
          <w:szCs w:val="24"/>
        </w:rPr>
        <w:t xml:space="preserve">, při němž dochází ke zvýšení jmenovité nebo </w:t>
      </w:r>
      <w:r w:rsidRPr="00615A2B">
        <w:rPr>
          <w:strike/>
          <w:szCs w:val="24"/>
        </w:rPr>
        <w:t>účetní</w:t>
      </w:r>
      <w:r w:rsidRPr="00615A2B">
        <w:rPr>
          <w:szCs w:val="24"/>
        </w:rPr>
        <w:t xml:space="preserve"> </w:t>
      </w:r>
      <w:r w:rsidRPr="00615A2B">
        <w:rPr>
          <w:b/>
          <w:bCs/>
          <w:szCs w:val="24"/>
        </w:rPr>
        <w:t>paritní</w:t>
      </w:r>
      <w:r w:rsidRPr="00615A2B">
        <w:rPr>
          <w:szCs w:val="24"/>
        </w:rPr>
        <w:t xml:space="preserve"> hodnoty akcií. </w:t>
      </w:r>
    </w:p>
    <w:p w14:paraId="39E44296" w14:textId="77777777" w:rsidR="00615A2B" w:rsidRPr="00615A2B" w:rsidRDefault="00615A2B" w:rsidP="005F5A2E">
      <w:pPr>
        <w:pStyle w:val="Textodstavce"/>
        <w:ind w:firstLine="425"/>
        <w:rPr>
          <w:szCs w:val="24"/>
        </w:rPr>
      </w:pPr>
      <w:r w:rsidRPr="00615A2B">
        <w:rPr>
          <w:szCs w:val="24"/>
        </w:rPr>
        <w:t xml:space="preserve">(3) Ustanovení zákona, který upravuje právní poměry obchodních společností a družstev, o náležitostech pozvánky na valnou hromadu nebo oznámení o jejím konání při zvýšení základního kapitálu z </w:t>
      </w:r>
      <w:r w:rsidRPr="00615A2B">
        <w:rPr>
          <w:strike/>
          <w:szCs w:val="24"/>
        </w:rPr>
        <w:t>vlastních zdrojů</w:t>
      </w:r>
      <w:r w:rsidRPr="00615A2B">
        <w:rPr>
          <w:b/>
          <w:szCs w:val="24"/>
        </w:rPr>
        <w:t xml:space="preserve"> jiných částí vlastního kapitálu</w:t>
      </w:r>
      <w:r w:rsidRPr="00615A2B">
        <w:rPr>
          <w:szCs w:val="24"/>
        </w:rPr>
        <w:t>, o obsahu usnesení valné hromady a o zápisu usnesení valné hromady o zvýšení základního kapitálu a zápisu zvýšení základního kapitálu do obchodního rejstříku se nepoužijí.</w:t>
      </w:r>
    </w:p>
    <w:p w14:paraId="04DB36F5" w14:textId="77777777" w:rsidR="00615A2B" w:rsidRPr="00615A2B" w:rsidRDefault="00615A2B" w:rsidP="00E57139">
      <w:pPr>
        <w:pStyle w:val="PZTextodstavce"/>
        <w:spacing w:before="240"/>
        <w:ind w:firstLine="0"/>
        <w:jc w:val="center"/>
        <w:rPr>
          <w:szCs w:val="24"/>
        </w:rPr>
      </w:pPr>
      <w:r w:rsidRPr="00615A2B">
        <w:rPr>
          <w:szCs w:val="24"/>
        </w:rPr>
        <w:t>§ 109a</w:t>
      </w:r>
    </w:p>
    <w:p w14:paraId="68D80CE6" w14:textId="77777777" w:rsidR="00615A2B" w:rsidRPr="00615A2B" w:rsidRDefault="00615A2B" w:rsidP="00E57139">
      <w:pPr>
        <w:pStyle w:val="PZTextodstavce"/>
        <w:spacing w:before="240"/>
        <w:ind w:firstLine="0"/>
        <w:jc w:val="center"/>
        <w:rPr>
          <w:b/>
          <w:szCs w:val="24"/>
        </w:rPr>
      </w:pPr>
      <w:r w:rsidRPr="00615A2B">
        <w:rPr>
          <w:b/>
          <w:iCs/>
          <w:szCs w:val="24"/>
        </w:rPr>
        <w:t>Zvýšení základního kapitálu nástupnické společnosti ze jmění zanikající společnosti pro dosavadní akcionáře nástupnické společnosti</w:t>
      </w:r>
    </w:p>
    <w:p w14:paraId="4373C0BA" w14:textId="77777777" w:rsidR="00615A2B" w:rsidRPr="00615A2B" w:rsidRDefault="00615A2B" w:rsidP="005F5A2E">
      <w:pPr>
        <w:pStyle w:val="PZTextodstavce"/>
        <w:rPr>
          <w:szCs w:val="24"/>
        </w:rPr>
      </w:pPr>
      <w:r w:rsidRPr="00615A2B">
        <w:rPr>
          <w:szCs w:val="24"/>
        </w:rPr>
        <w:t xml:space="preserve">(1) Základní kapitál nástupnické společnosti lze při fúzi sloučením zvýšit pro dosavadní akcionáře nástupnické společnosti i zvýšením jmenovité nebo </w:t>
      </w:r>
      <w:r w:rsidRPr="00615A2B">
        <w:rPr>
          <w:strike/>
          <w:szCs w:val="24"/>
        </w:rPr>
        <w:t>účetní</w:t>
      </w:r>
      <w:r w:rsidRPr="00615A2B">
        <w:rPr>
          <w:szCs w:val="24"/>
        </w:rPr>
        <w:t xml:space="preserve"> </w:t>
      </w:r>
      <w:r w:rsidRPr="00615A2B">
        <w:rPr>
          <w:b/>
          <w:bCs/>
          <w:szCs w:val="24"/>
        </w:rPr>
        <w:t>paritní</w:t>
      </w:r>
      <w:r w:rsidRPr="00615A2B">
        <w:rPr>
          <w:szCs w:val="24"/>
        </w:rPr>
        <w:t xml:space="preserve"> hodnoty jejich </w:t>
      </w:r>
      <w:r w:rsidRPr="00615A2B">
        <w:rPr>
          <w:szCs w:val="24"/>
        </w:rPr>
        <w:lastRenderedPageBreak/>
        <w:t>akcií ze jmění zanikající společnosti nebo společností nebo vydáním nových akcií, i když nedochází k výměně akcií, pokud nedochází ke změnám v osobách akcionářů nástupnické společnosti.</w:t>
      </w:r>
    </w:p>
    <w:p w14:paraId="4AB56BFF" w14:textId="77777777" w:rsidR="00615A2B" w:rsidRPr="00615A2B" w:rsidRDefault="00615A2B" w:rsidP="005F5A2E">
      <w:pPr>
        <w:pStyle w:val="PZTextodstavce"/>
        <w:rPr>
          <w:szCs w:val="24"/>
        </w:rPr>
      </w:pPr>
      <w:r w:rsidRPr="00615A2B">
        <w:rPr>
          <w:szCs w:val="24"/>
        </w:rPr>
        <w:t>(2) Částka zvýšení základního kapitálu podle odstavce 1 nesmí být vyšší než částka ocenění jmění zanikající společnosti zjištěná z posudku znalce nebo součet těchto částek, účastní-li se fúze více zanikajících společností.</w:t>
      </w:r>
    </w:p>
    <w:p w14:paraId="2CFCF9F8" w14:textId="77777777" w:rsidR="00615A2B" w:rsidRPr="00615A2B" w:rsidRDefault="00615A2B" w:rsidP="005F5A2E">
      <w:pPr>
        <w:pStyle w:val="PZTextodstavce"/>
        <w:rPr>
          <w:szCs w:val="24"/>
        </w:rPr>
      </w:pPr>
      <w:r w:rsidRPr="00615A2B">
        <w:rPr>
          <w:szCs w:val="24"/>
        </w:rPr>
        <w:t>(3) Částka zvýšení základního kapitálu podle odstavce 2 se rozdělí mezi dosavadní akcionáře nástupnické společnosti v poměru jmenovitých hodnot jejich akcií v zanikající společnosti nebo podle počtu kusů jimi vlastněných akcií, jde-li o kusové akcie. Nejsou-li akcionáři zanikající společnosti současně akcionáři nástupnické společnosti, rozdělí se částka zvýšení základního kapitálu podle odstavce 2 mezi dosavadní akcionáře nástupnické společnosti v poměru jmenovité hodnoty nebo podle počtu kusů jejich akcií na nástupnické společnosti.</w:t>
      </w:r>
    </w:p>
    <w:p w14:paraId="000E5AE4" w14:textId="77777777" w:rsidR="00615A2B" w:rsidRPr="00615A2B" w:rsidRDefault="00615A2B" w:rsidP="005F5A2E">
      <w:pPr>
        <w:pStyle w:val="PZTextodstavce"/>
        <w:rPr>
          <w:szCs w:val="24"/>
        </w:rPr>
      </w:pPr>
      <w:r w:rsidRPr="00615A2B">
        <w:rPr>
          <w:szCs w:val="24"/>
        </w:rPr>
        <w:t xml:space="preserve">(4) Na zvýšení základního kapitálu ze jmění zanikající společnosti pro dosavadní akcionáře nástupnické společnosti při fúzi sloučením se nepoužijí ustanovení zákona, který upravuje právní poměry obchodních společností a družstev, o zvýšení základního kapitálu. </w:t>
      </w:r>
    </w:p>
    <w:p w14:paraId="41C18E5B" w14:textId="77777777" w:rsidR="00615A2B" w:rsidRPr="00615A2B" w:rsidRDefault="00615A2B" w:rsidP="00E57139">
      <w:pPr>
        <w:pStyle w:val="PZTextodstavce"/>
        <w:keepNext/>
        <w:spacing w:before="240"/>
        <w:ind w:firstLine="0"/>
        <w:jc w:val="center"/>
        <w:rPr>
          <w:szCs w:val="24"/>
        </w:rPr>
      </w:pPr>
      <w:r w:rsidRPr="00615A2B">
        <w:rPr>
          <w:szCs w:val="24"/>
        </w:rPr>
        <w:t>§ 110</w:t>
      </w:r>
    </w:p>
    <w:p w14:paraId="397F155F" w14:textId="77777777" w:rsidR="00615A2B" w:rsidRPr="00615A2B" w:rsidRDefault="00615A2B" w:rsidP="00E57139">
      <w:pPr>
        <w:pStyle w:val="PZTextodstavce"/>
        <w:keepNext/>
        <w:spacing w:before="240"/>
        <w:ind w:firstLine="0"/>
        <w:jc w:val="center"/>
        <w:rPr>
          <w:b/>
          <w:szCs w:val="24"/>
        </w:rPr>
      </w:pPr>
      <w:r w:rsidRPr="00615A2B">
        <w:rPr>
          <w:b/>
          <w:szCs w:val="24"/>
        </w:rPr>
        <w:t xml:space="preserve">Snížení základního kapitálu nástupnické společnosti snížením jmenovité nebo </w:t>
      </w:r>
      <w:r w:rsidRPr="00615A2B">
        <w:rPr>
          <w:b/>
          <w:strike/>
          <w:szCs w:val="24"/>
        </w:rPr>
        <w:t>účetní</w:t>
      </w:r>
      <w:r w:rsidRPr="00615A2B">
        <w:rPr>
          <w:b/>
          <w:szCs w:val="24"/>
        </w:rPr>
        <w:t xml:space="preserve"> paritní hodnoty dosavadních akcií</w:t>
      </w:r>
    </w:p>
    <w:p w14:paraId="5B63BC98" w14:textId="77777777" w:rsidR="00615A2B" w:rsidRPr="00615A2B" w:rsidRDefault="00615A2B" w:rsidP="005F5A2E">
      <w:pPr>
        <w:pStyle w:val="PZTextodstavce"/>
        <w:keepNext/>
        <w:rPr>
          <w:szCs w:val="24"/>
        </w:rPr>
      </w:pPr>
      <w:r w:rsidRPr="00615A2B">
        <w:rPr>
          <w:szCs w:val="24"/>
        </w:rPr>
        <w:t xml:space="preserve">(1) Jako součást fúze sloučením lze vždy i snížit dosavadní základní kapitál nástupnické společnosti snížením jmenovité nebo </w:t>
      </w:r>
      <w:r w:rsidRPr="00615A2B">
        <w:rPr>
          <w:strike/>
          <w:szCs w:val="24"/>
        </w:rPr>
        <w:t>účetní</w:t>
      </w:r>
      <w:r w:rsidRPr="00615A2B">
        <w:rPr>
          <w:szCs w:val="24"/>
        </w:rPr>
        <w:t xml:space="preserve"> </w:t>
      </w:r>
      <w:r w:rsidRPr="00615A2B">
        <w:rPr>
          <w:b/>
          <w:bCs/>
          <w:szCs w:val="24"/>
        </w:rPr>
        <w:t>paritní</w:t>
      </w:r>
      <w:r w:rsidRPr="00615A2B">
        <w:rPr>
          <w:szCs w:val="24"/>
        </w:rPr>
        <w:t xml:space="preserve"> hodnoty akcií, jež vlastní dosavadní akcionáři nástupnické společnosti.</w:t>
      </w:r>
    </w:p>
    <w:p w14:paraId="1C470051" w14:textId="77777777" w:rsidR="00615A2B" w:rsidRPr="00615A2B" w:rsidRDefault="00615A2B" w:rsidP="005F5A2E">
      <w:pPr>
        <w:pStyle w:val="PZTextodstavce"/>
        <w:rPr>
          <w:szCs w:val="24"/>
        </w:rPr>
      </w:pPr>
      <w:r w:rsidRPr="00615A2B">
        <w:rPr>
          <w:szCs w:val="24"/>
        </w:rPr>
        <w:t xml:space="preserve">(2) Jestliže se snižuje jmenovitá nebo </w:t>
      </w:r>
      <w:r w:rsidRPr="00615A2B">
        <w:rPr>
          <w:strike/>
          <w:szCs w:val="24"/>
        </w:rPr>
        <w:t>účetní</w:t>
      </w:r>
      <w:r w:rsidRPr="00615A2B">
        <w:rPr>
          <w:szCs w:val="24"/>
        </w:rPr>
        <w:t xml:space="preserve"> </w:t>
      </w:r>
      <w:r w:rsidRPr="00615A2B">
        <w:rPr>
          <w:b/>
          <w:bCs/>
          <w:szCs w:val="24"/>
        </w:rPr>
        <w:t>paritní</w:t>
      </w:r>
      <w:r w:rsidRPr="00615A2B">
        <w:rPr>
          <w:szCs w:val="24"/>
        </w:rPr>
        <w:t xml:space="preserve"> hodnota akcií dosavadních akcionářů nástupnické společnosti, použijí se ustanovení zákona, který upravuje právní poměry obchodních společností a družstev, o snížení základního kapitálu, při němž dochází ke snížení jmenovité nebo </w:t>
      </w:r>
      <w:r w:rsidRPr="00615A2B">
        <w:rPr>
          <w:strike/>
          <w:szCs w:val="24"/>
        </w:rPr>
        <w:t>účetní</w:t>
      </w:r>
      <w:r w:rsidRPr="00615A2B">
        <w:rPr>
          <w:szCs w:val="24"/>
        </w:rPr>
        <w:t xml:space="preserve"> </w:t>
      </w:r>
      <w:r w:rsidRPr="00615A2B">
        <w:rPr>
          <w:b/>
          <w:bCs/>
          <w:szCs w:val="24"/>
        </w:rPr>
        <w:t>paritní</w:t>
      </w:r>
      <w:r w:rsidRPr="00615A2B">
        <w:rPr>
          <w:szCs w:val="24"/>
        </w:rPr>
        <w:t xml:space="preserve"> hodnoty akcií.</w:t>
      </w:r>
    </w:p>
    <w:p w14:paraId="6AE3E8E2" w14:textId="77777777" w:rsidR="00615A2B" w:rsidRPr="00615A2B" w:rsidRDefault="00615A2B" w:rsidP="005F5A2E">
      <w:pPr>
        <w:pStyle w:val="PZTextodstavce"/>
        <w:rPr>
          <w:szCs w:val="24"/>
        </w:rPr>
      </w:pPr>
      <w:r w:rsidRPr="00615A2B">
        <w:rPr>
          <w:szCs w:val="24"/>
        </w:rPr>
        <w:t>(3) Ustanovení zákona, který upravuje právní poměry obchodních společností a družstev, o obsahu pozvánky na valnou hromadu nebo oznámení o jejím konání při snížení základního kapitálu, o obsahu usnesení valné hromady, o zápisu usnesení valné hromady o snížení základního kapitálu a zápisu snížení základního kapitálu do obchodního rejstříku a o ochraně věřitelů při snížení základního kapitálu se nepoužijí; ustanovení § 35 až 39 tím nejsou dotčena.</w:t>
      </w:r>
    </w:p>
    <w:p w14:paraId="446A0E8D" w14:textId="77777777" w:rsidR="00615A2B" w:rsidRPr="00615A2B" w:rsidRDefault="00615A2B" w:rsidP="005F5A2E">
      <w:pPr>
        <w:pStyle w:val="PZTextodstavce"/>
        <w:rPr>
          <w:szCs w:val="24"/>
        </w:rPr>
      </w:pPr>
      <w:r w:rsidRPr="00615A2B">
        <w:rPr>
          <w:szCs w:val="24"/>
        </w:rPr>
        <w:t>(4) Částka snížení základního kapitálu nesmí být vyplacena před zápisem fúze do obchodního rejstříku a dříve, než budou zajištěny pohledávky věřitelů všech zúčastněných společností podle tohoto zákona. Totéž platí pro uzavření dohody o prominutí povinnosti splatit dosud nesplacenou část emisního kursu akcií.</w:t>
      </w:r>
    </w:p>
    <w:p w14:paraId="33BD1928" w14:textId="77777777" w:rsidR="00615A2B" w:rsidRPr="00615A2B" w:rsidRDefault="00615A2B" w:rsidP="00992796">
      <w:pPr>
        <w:pStyle w:val="Nadpisparagrafu"/>
        <w:numPr>
          <w:ilvl w:val="0"/>
          <w:numId w:val="39"/>
        </w:numPr>
        <w:spacing w:after="120"/>
        <w:rPr>
          <w:b w:val="0"/>
          <w:szCs w:val="24"/>
        </w:rPr>
      </w:pPr>
      <w:r w:rsidRPr="00615A2B">
        <w:rPr>
          <w:b w:val="0"/>
          <w:szCs w:val="24"/>
        </w:rPr>
        <w:t>***</w:t>
      </w:r>
    </w:p>
    <w:p w14:paraId="787AD684" w14:textId="77777777" w:rsidR="00615A2B" w:rsidRPr="00615A2B" w:rsidRDefault="00615A2B" w:rsidP="00E57139">
      <w:pPr>
        <w:tabs>
          <w:tab w:val="left" w:pos="425"/>
          <w:tab w:val="left" w:pos="851"/>
        </w:tabs>
        <w:spacing w:after="120"/>
        <w:ind w:firstLine="0"/>
        <w:jc w:val="center"/>
        <w:rPr>
          <w:szCs w:val="24"/>
        </w:rPr>
      </w:pPr>
      <w:r w:rsidRPr="00615A2B">
        <w:rPr>
          <w:bCs/>
          <w:szCs w:val="24"/>
        </w:rPr>
        <w:t xml:space="preserve">§ </w:t>
      </w:r>
      <w:r w:rsidRPr="00615A2B">
        <w:rPr>
          <w:szCs w:val="24"/>
        </w:rPr>
        <w:t>119</w:t>
      </w:r>
    </w:p>
    <w:p w14:paraId="1B846EA1" w14:textId="77777777" w:rsidR="00615A2B" w:rsidRPr="00E57139" w:rsidRDefault="00615A2B" w:rsidP="005F5A2E">
      <w:pPr>
        <w:pStyle w:val="PZTextodstavce"/>
        <w:keepNext/>
        <w:rPr>
          <w:szCs w:val="24"/>
        </w:rPr>
      </w:pPr>
      <w:r w:rsidRPr="00E57139">
        <w:rPr>
          <w:szCs w:val="24"/>
        </w:rPr>
        <w:t>(1) V sídle každé ze zúčastněných akciových společností musí být k nahlédnutí pro akcionáře alespoň 1 měsíc před stanoveným dnem konání valné hromady, jež má rozhodnout o schválení fúze,</w:t>
      </w:r>
    </w:p>
    <w:p w14:paraId="4294E6E3" w14:textId="77777777" w:rsidR="00615A2B" w:rsidRPr="00E57139" w:rsidRDefault="00615A2B" w:rsidP="00DE29D4">
      <w:pPr>
        <w:pStyle w:val="PZTextpsmene"/>
        <w:spacing w:before="0"/>
        <w:ind w:left="426" w:hanging="426"/>
        <w:rPr>
          <w:szCs w:val="24"/>
        </w:rPr>
      </w:pPr>
      <w:r w:rsidRPr="00E57139">
        <w:rPr>
          <w:szCs w:val="24"/>
        </w:rPr>
        <w:t>a)</w:t>
      </w:r>
      <w:r w:rsidRPr="00E57139">
        <w:rPr>
          <w:szCs w:val="24"/>
        </w:rPr>
        <w:tab/>
        <w:t>projekt fúze,</w:t>
      </w:r>
    </w:p>
    <w:p w14:paraId="656A687B" w14:textId="77777777" w:rsidR="00615A2B" w:rsidRPr="00E57139" w:rsidRDefault="00615A2B" w:rsidP="00DE29D4">
      <w:pPr>
        <w:pStyle w:val="PZTextpsmene"/>
        <w:spacing w:before="0"/>
        <w:ind w:left="426" w:hanging="426"/>
        <w:rPr>
          <w:szCs w:val="24"/>
        </w:rPr>
      </w:pPr>
      <w:r w:rsidRPr="00E57139">
        <w:rPr>
          <w:szCs w:val="24"/>
        </w:rPr>
        <w:lastRenderedPageBreak/>
        <w:t>b)</w:t>
      </w:r>
      <w:r w:rsidRPr="00E57139">
        <w:rPr>
          <w:szCs w:val="24"/>
        </w:rPr>
        <w:tab/>
      </w:r>
      <w:r w:rsidRPr="00E57139">
        <w:rPr>
          <w:b/>
          <w:szCs w:val="24"/>
        </w:rPr>
        <w:t xml:space="preserve">řádné individuální </w:t>
      </w:r>
      <w:r w:rsidRPr="00E57139">
        <w:rPr>
          <w:szCs w:val="24"/>
        </w:rPr>
        <w:t xml:space="preserve">účetní závěrky všech zúčastněných společností za poslední 3 účetní období, jestliže zúčastněná společnost po tuto dobu trvá, popřípadě takové účetní závěrky právního předchůdce, měla-li zúčastněná akciová společnost právního předchůdce, a vyžadují-li se, také zprávy auditora o </w:t>
      </w:r>
      <w:r w:rsidRPr="00E57139">
        <w:rPr>
          <w:strike/>
          <w:szCs w:val="24"/>
        </w:rPr>
        <w:t>jejich ověření</w:t>
      </w:r>
      <w:r w:rsidRPr="00E57139">
        <w:rPr>
          <w:szCs w:val="24"/>
        </w:rPr>
        <w:t xml:space="preserve"> </w:t>
      </w:r>
      <w:r w:rsidRPr="00E57139">
        <w:rPr>
          <w:b/>
          <w:szCs w:val="24"/>
        </w:rPr>
        <w:t>povinném auditu</w:t>
      </w:r>
      <w:r w:rsidRPr="00E57139">
        <w:rPr>
          <w:szCs w:val="24"/>
        </w:rPr>
        <w:t>,</w:t>
      </w:r>
    </w:p>
    <w:p w14:paraId="3E37249B" w14:textId="77777777" w:rsidR="00615A2B" w:rsidRPr="00E57139" w:rsidRDefault="00615A2B" w:rsidP="00DE29D4">
      <w:pPr>
        <w:pStyle w:val="PZTextpsmene"/>
        <w:spacing w:before="0"/>
        <w:ind w:left="426" w:hanging="426"/>
        <w:rPr>
          <w:szCs w:val="24"/>
        </w:rPr>
      </w:pPr>
      <w:r w:rsidRPr="00E57139">
        <w:rPr>
          <w:szCs w:val="24"/>
        </w:rPr>
        <w:t>c)</w:t>
      </w:r>
      <w:r w:rsidRPr="00E57139">
        <w:rPr>
          <w:szCs w:val="24"/>
        </w:rPr>
        <w:tab/>
        <w:t xml:space="preserve">konečné účetní závěrky všech zúčastněných akciových společností, zahajovací rozvaha nástupnické akciové společnosti, pokud rozhodný den fúze předchází vyhotovení projektu fúze, a vyžadují-li se, také zprávy auditora o </w:t>
      </w:r>
      <w:r w:rsidRPr="00E57139">
        <w:rPr>
          <w:strike/>
          <w:szCs w:val="24"/>
        </w:rPr>
        <w:t>jejich ověření</w:t>
      </w:r>
      <w:r w:rsidRPr="00E57139">
        <w:rPr>
          <w:szCs w:val="24"/>
        </w:rPr>
        <w:t xml:space="preserve"> </w:t>
      </w:r>
      <w:r w:rsidRPr="00E57139">
        <w:rPr>
          <w:b/>
          <w:szCs w:val="24"/>
        </w:rPr>
        <w:t>povinném auditu</w:t>
      </w:r>
      <w:r w:rsidRPr="00E57139">
        <w:rPr>
          <w:szCs w:val="24"/>
        </w:rPr>
        <w:t>,</w:t>
      </w:r>
    </w:p>
    <w:p w14:paraId="648413B1" w14:textId="77777777" w:rsidR="00615A2B" w:rsidRPr="00E57139" w:rsidRDefault="00615A2B" w:rsidP="00DE29D4">
      <w:pPr>
        <w:pStyle w:val="PZTextpsmene"/>
        <w:spacing w:before="0"/>
        <w:ind w:left="426" w:hanging="426"/>
        <w:rPr>
          <w:szCs w:val="24"/>
        </w:rPr>
      </w:pPr>
      <w:r w:rsidRPr="00E57139">
        <w:rPr>
          <w:szCs w:val="24"/>
        </w:rPr>
        <w:t>d)</w:t>
      </w:r>
      <w:r w:rsidRPr="00E57139">
        <w:rPr>
          <w:szCs w:val="24"/>
        </w:rPr>
        <w:tab/>
        <w:t xml:space="preserve">mezitímní </w:t>
      </w:r>
      <w:r w:rsidRPr="00E57139">
        <w:rPr>
          <w:b/>
          <w:szCs w:val="24"/>
        </w:rPr>
        <w:t>individuální</w:t>
      </w:r>
      <w:r w:rsidRPr="00E57139">
        <w:rPr>
          <w:szCs w:val="24"/>
        </w:rPr>
        <w:t xml:space="preserve"> účetní závěrka a zpráva auditora o </w:t>
      </w:r>
      <w:r w:rsidRPr="00E57139">
        <w:rPr>
          <w:strike/>
          <w:szCs w:val="24"/>
        </w:rPr>
        <w:t>jejich ověření</w:t>
      </w:r>
      <w:r w:rsidRPr="00E57139">
        <w:rPr>
          <w:szCs w:val="24"/>
        </w:rPr>
        <w:t xml:space="preserve"> </w:t>
      </w:r>
      <w:r w:rsidRPr="00E57139">
        <w:rPr>
          <w:b/>
          <w:szCs w:val="24"/>
        </w:rPr>
        <w:t>povinném auditu</w:t>
      </w:r>
      <w:r w:rsidRPr="00E57139">
        <w:rPr>
          <w:szCs w:val="24"/>
        </w:rPr>
        <w:t>, anebo pololetní zpráva podle zákona o podnikání na kapitálovém trhu, pokud se vyžadují,</w:t>
      </w:r>
    </w:p>
    <w:p w14:paraId="39F44EC8" w14:textId="77777777" w:rsidR="00615A2B" w:rsidRPr="00E57139" w:rsidRDefault="00615A2B" w:rsidP="00DE29D4">
      <w:pPr>
        <w:pStyle w:val="PZTextpsmene"/>
        <w:spacing w:before="0"/>
        <w:ind w:left="426" w:hanging="426"/>
        <w:rPr>
          <w:szCs w:val="24"/>
        </w:rPr>
      </w:pPr>
      <w:r w:rsidRPr="00E57139">
        <w:rPr>
          <w:szCs w:val="24"/>
        </w:rPr>
        <w:t>e)</w:t>
      </w:r>
      <w:r w:rsidRPr="00E57139">
        <w:rPr>
          <w:szCs w:val="24"/>
        </w:rPr>
        <w:tab/>
        <w:t>společná zpráva o fúzi nebo všechny zprávy o fúzi všech zúčastněných společností, pokud se vyžadují,</w:t>
      </w:r>
    </w:p>
    <w:p w14:paraId="6C7F348E" w14:textId="77777777" w:rsidR="00615A2B" w:rsidRPr="00E57139" w:rsidRDefault="00615A2B" w:rsidP="00DE29D4">
      <w:pPr>
        <w:pStyle w:val="PZTextpsmene"/>
        <w:spacing w:before="0"/>
        <w:ind w:left="426" w:hanging="426"/>
        <w:rPr>
          <w:szCs w:val="24"/>
        </w:rPr>
      </w:pPr>
      <w:r w:rsidRPr="00E57139">
        <w:rPr>
          <w:szCs w:val="24"/>
        </w:rPr>
        <w:t>f)</w:t>
      </w:r>
      <w:r w:rsidRPr="00E57139">
        <w:rPr>
          <w:szCs w:val="24"/>
        </w:rPr>
        <w:tab/>
        <w:t>znalecká zpráva o fúzi nebo všechny znalecké zprávy o fúzi všech zúčastněných společností, pokud se vyžadují, a</w:t>
      </w:r>
    </w:p>
    <w:p w14:paraId="67102CFC" w14:textId="77777777" w:rsidR="00615A2B" w:rsidRPr="00E57139" w:rsidRDefault="00615A2B" w:rsidP="00DE29D4">
      <w:pPr>
        <w:pStyle w:val="PZTextpsmene"/>
        <w:spacing w:before="0"/>
        <w:ind w:left="426" w:hanging="426"/>
        <w:rPr>
          <w:szCs w:val="24"/>
        </w:rPr>
      </w:pPr>
      <w:r w:rsidRPr="00E57139">
        <w:rPr>
          <w:szCs w:val="24"/>
        </w:rPr>
        <w:t>g)</w:t>
      </w:r>
      <w:r w:rsidRPr="00E57139">
        <w:rPr>
          <w:szCs w:val="24"/>
        </w:rPr>
        <w:tab/>
        <w:t>posudek znalce pro ocenění jmění, pokud se vyžaduje a není-li součástí znalecké zprávy o fúzi.</w:t>
      </w:r>
    </w:p>
    <w:p w14:paraId="729AB40F" w14:textId="77777777" w:rsidR="00615A2B" w:rsidRPr="00E57139" w:rsidRDefault="00615A2B" w:rsidP="005F5A2E">
      <w:pPr>
        <w:pStyle w:val="Textodstavce"/>
        <w:ind w:firstLine="425"/>
        <w:rPr>
          <w:szCs w:val="24"/>
        </w:rPr>
      </w:pPr>
      <w:r w:rsidRPr="00E57139">
        <w:rPr>
          <w:szCs w:val="24"/>
        </w:rPr>
        <w:t>(2) Společnost vydá každému akcionáři, který o to požádá, bez zbytečného odkladu bezplatně opis nebo výpis z listin uvedených v odstavci 1 písm. a) až f), pokud se vyžadují.</w:t>
      </w:r>
    </w:p>
    <w:p w14:paraId="33FA8E99" w14:textId="77777777" w:rsidR="00615A2B" w:rsidRPr="00E57139" w:rsidRDefault="00615A2B" w:rsidP="005F5A2E">
      <w:pPr>
        <w:pStyle w:val="Textodstavce"/>
        <w:ind w:firstLine="425"/>
        <w:rPr>
          <w:szCs w:val="24"/>
        </w:rPr>
      </w:pPr>
      <w:r w:rsidRPr="00E57139">
        <w:rPr>
          <w:szCs w:val="24"/>
        </w:rPr>
        <w:t>(3) Pokud akcionář souhlasil s tím, že zúčastněná společnost bude k poskytování informací využívat elektronické prostředky, mohou mu být kopie listin zasílány elektronicky. Souhlas lze dát jakýmkoliv způsobem, z něhož plyne tato vůle akcionáře.</w:t>
      </w:r>
    </w:p>
    <w:p w14:paraId="31F41ABD" w14:textId="6B46885E" w:rsidR="0016515B" w:rsidRPr="00E57139" w:rsidRDefault="00615A2B" w:rsidP="005F5A2E">
      <w:pPr>
        <w:pStyle w:val="Textodstavce"/>
        <w:pBdr>
          <w:top w:val="single" w:sz="12" w:space="1" w:color="00B0F0"/>
          <w:left w:val="single" w:sz="12" w:space="4" w:color="00B0F0"/>
          <w:bottom w:val="single" w:sz="12" w:space="1" w:color="00B0F0"/>
          <w:right w:val="single" w:sz="12" w:space="4" w:color="00B0F0"/>
        </w:pBdr>
        <w:ind w:firstLine="425"/>
        <w:rPr>
          <w:bCs/>
          <w:color w:val="00B0F0"/>
          <w:szCs w:val="24"/>
        </w:rPr>
      </w:pPr>
      <w:bookmarkStart w:id="50" w:name="_Hlk108709231"/>
      <w:r w:rsidRPr="00E57139">
        <w:rPr>
          <w:bCs/>
          <w:color w:val="00B0F0"/>
          <w:szCs w:val="24"/>
        </w:rPr>
        <w:t xml:space="preserve">(4) </w:t>
      </w:r>
      <w:bookmarkEnd w:id="50"/>
      <w:r w:rsidRPr="00E57139">
        <w:rPr>
          <w:bCs/>
          <w:color w:val="00B0F0"/>
          <w:szCs w:val="24"/>
        </w:rPr>
        <w:t xml:space="preserve">Jestliže má být fúze schválena akcionáři mimo valnou hromadu, zašle společnost dokumenty podle odstavce 1 písm. a) až f) a upozornění, že akcionáři mají právo seznámit se v sídle společnosti s posudkem znalce pro ocenění jmění podle odstavce 1 písm. g), akcionářům spolu s návrhem rozhodnutí o fúzi mimo valnou hromadu. </w:t>
      </w:r>
    </w:p>
    <w:p w14:paraId="1E5AB0AB" w14:textId="77777777" w:rsidR="00615A2B" w:rsidRPr="00615A2B" w:rsidRDefault="00615A2B" w:rsidP="00992796">
      <w:pPr>
        <w:pStyle w:val="Nadpisparagrafu"/>
        <w:numPr>
          <w:ilvl w:val="0"/>
          <w:numId w:val="39"/>
        </w:numPr>
        <w:spacing w:after="120"/>
        <w:rPr>
          <w:b w:val="0"/>
          <w:szCs w:val="24"/>
        </w:rPr>
      </w:pPr>
      <w:r w:rsidRPr="00615A2B">
        <w:rPr>
          <w:b w:val="0"/>
          <w:szCs w:val="24"/>
        </w:rPr>
        <w:t>***</w:t>
      </w:r>
    </w:p>
    <w:p w14:paraId="183854C3" w14:textId="77777777" w:rsidR="00615A2B" w:rsidRPr="00615A2B" w:rsidRDefault="00615A2B" w:rsidP="00E57139">
      <w:pPr>
        <w:tabs>
          <w:tab w:val="left" w:pos="425"/>
          <w:tab w:val="left" w:pos="851"/>
        </w:tabs>
        <w:spacing w:after="120"/>
        <w:ind w:firstLine="0"/>
        <w:jc w:val="center"/>
        <w:rPr>
          <w:szCs w:val="24"/>
        </w:rPr>
      </w:pPr>
      <w:r w:rsidRPr="00615A2B">
        <w:rPr>
          <w:bCs/>
          <w:szCs w:val="24"/>
        </w:rPr>
        <w:t xml:space="preserve">§ </w:t>
      </w:r>
      <w:r w:rsidRPr="00615A2B">
        <w:rPr>
          <w:szCs w:val="24"/>
        </w:rPr>
        <w:t>121</w:t>
      </w:r>
    </w:p>
    <w:p w14:paraId="44186FA4" w14:textId="77777777" w:rsidR="00615A2B" w:rsidRPr="00615A2B" w:rsidRDefault="00615A2B" w:rsidP="005F5A2E">
      <w:pPr>
        <w:pStyle w:val="Textodstavce"/>
        <w:ind w:firstLine="425"/>
        <w:rPr>
          <w:bCs/>
          <w:szCs w:val="24"/>
        </w:rPr>
      </w:pPr>
      <w:r w:rsidRPr="00615A2B">
        <w:rPr>
          <w:szCs w:val="24"/>
        </w:rPr>
        <w:t xml:space="preserve">(1) V pozvánce na valnou hromadu nebo v oznámení o svolání valné hromady, která má schvalovat </w:t>
      </w:r>
      <w:r w:rsidRPr="00615A2B">
        <w:rPr>
          <w:bCs/>
          <w:szCs w:val="24"/>
        </w:rPr>
        <w:t>fúzi, musí být akcionáři upozorněni na jejich práva podle § 119 nebo 119a a pozvánka nebo oznámení musí obsahovat i vybrané údaje z účetní závěrky, jestliže má být valnou hromadou schválena.</w:t>
      </w:r>
    </w:p>
    <w:p w14:paraId="787FC642" w14:textId="77777777" w:rsidR="00615A2B" w:rsidRPr="00615A2B" w:rsidRDefault="00615A2B" w:rsidP="005F5A2E">
      <w:pPr>
        <w:pStyle w:val="Textodstavce"/>
        <w:ind w:firstLine="425"/>
        <w:rPr>
          <w:bCs/>
          <w:szCs w:val="24"/>
        </w:rPr>
      </w:pPr>
      <w:r w:rsidRPr="00615A2B">
        <w:rPr>
          <w:bCs/>
          <w:szCs w:val="24"/>
        </w:rPr>
        <w:t xml:space="preserve">(2) V pozvánce na valnou hromadu nebo v oznámení o svolání valné hromady nástupnické společnosti, která má schvalovat fúzi sloučením, se dále uvedou i údaje o vlivu fúze sloučením na akcie dosavadních akcionářů nástupnické společnosti, zejména o tom, že akcie dosavadních akcionářů nástupnické společnosti nepodléhají výměně nebo že se štěpí, že se zvyšuje nebo snižuje jejich jmenovitá nebo </w:t>
      </w:r>
      <w:r w:rsidRPr="00615A2B">
        <w:rPr>
          <w:strike/>
          <w:szCs w:val="24"/>
        </w:rPr>
        <w:t>účetní</w:t>
      </w:r>
      <w:r w:rsidRPr="00615A2B">
        <w:rPr>
          <w:szCs w:val="24"/>
        </w:rPr>
        <w:t xml:space="preserve"> </w:t>
      </w:r>
      <w:r w:rsidRPr="00615A2B">
        <w:rPr>
          <w:b/>
          <w:bCs/>
          <w:szCs w:val="24"/>
        </w:rPr>
        <w:t>paritní</w:t>
      </w:r>
      <w:r w:rsidRPr="00615A2B">
        <w:rPr>
          <w:bCs/>
          <w:szCs w:val="24"/>
        </w:rPr>
        <w:t xml:space="preserve"> hodnota s uvedením celkové částky, o niž se zvýší nebo sníží jmenovitá nebo </w:t>
      </w:r>
      <w:r w:rsidRPr="00615A2B">
        <w:rPr>
          <w:strike/>
          <w:szCs w:val="24"/>
        </w:rPr>
        <w:t>účetní</w:t>
      </w:r>
      <w:r w:rsidRPr="00615A2B">
        <w:rPr>
          <w:szCs w:val="24"/>
        </w:rPr>
        <w:t xml:space="preserve"> </w:t>
      </w:r>
      <w:r w:rsidRPr="00615A2B">
        <w:rPr>
          <w:b/>
          <w:bCs/>
          <w:szCs w:val="24"/>
        </w:rPr>
        <w:t>paritní</w:t>
      </w:r>
      <w:r w:rsidRPr="00615A2B">
        <w:rPr>
          <w:bCs/>
          <w:szCs w:val="24"/>
        </w:rPr>
        <w:t xml:space="preserve"> hodnota všech akcií dosavadních akcionářů nástupnické společnosti, anebo že se změní jejich druh nebo forma nebo dojde k výměně cenných papírů za zaknihované nebo imobilizované cenné papíry anebo obráceně.</w:t>
      </w:r>
    </w:p>
    <w:p w14:paraId="58E5D074" w14:textId="77777777" w:rsidR="00615A2B" w:rsidRPr="00615A2B" w:rsidRDefault="00615A2B" w:rsidP="005F5A2E">
      <w:pPr>
        <w:pStyle w:val="Textodstavce"/>
        <w:ind w:firstLine="425"/>
        <w:rPr>
          <w:szCs w:val="24"/>
        </w:rPr>
      </w:pPr>
      <w:r w:rsidRPr="00615A2B">
        <w:rPr>
          <w:bCs/>
          <w:szCs w:val="24"/>
        </w:rPr>
        <w:t>(3) Pokud dochází ke zvýšení nebo snížení základního kapitálu nástupnické společnosti podle tohoto zákona, obsahuje pozvánka na valnou hromadu všech zúčastněných společností nebo oznámení o jejím konání</w:t>
      </w:r>
      <w:r w:rsidRPr="00615A2B">
        <w:rPr>
          <w:szCs w:val="24"/>
        </w:rPr>
        <w:t xml:space="preserve"> i údaj o tom, pro akcionáře jakých zúčastněných společností je základní kapitál zvyšován nebo snižován, zda se jedná o zvýšení základního kapitálu z </w:t>
      </w:r>
      <w:r w:rsidRPr="00615A2B">
        <w:rPr>
          <w:strike/>
          <w:szCs w:val="24"/>
        </w:rPr>
        <w:t>vlastních zdrojů</w:t>
      </w:r>
      <w:r w:rsidRPr="00615A2B">
        <w:rPr>
          <w:szCs w:val="24"/>
        </w:rPr>
        <w:t xml:space="preserve"> </w:t>
      </w:r>
      <w:r w:rsidRPr="00615A2B">
        <w:rPr>
          <w:b/>
          <w:bCs/>
          <w:szCs w:val="24"/>
        </w:rPr>
        <w:t xml:space="preserve">jiných částí vlastního kapitálu </w:t>
      </w:r>
      <w:r w:rsidRPr="00615A2B">
        <w:rPr>
          <w:szCs w:val="24"/>
        </w:rPr>
        <w:t xml:space="preserve">nástupnické společnosti nebo ze jmění zanikající </w:t>
      </w:r>
      <w:r w:rsidRPr="00615A2B">
        <w:rPr>
          <w:szCs w:val="24"/>
        </w:rPr>
        <w:lastRenderedPageBreak/>
        <w:t>společnosti, zda dochází ke kombinovanému zvýšení základního kapitálu nebo ke kombinaci zvýšení a snížení základního kapitálu.</w:t>
      </w:r>
    </w:p>
    <w:p w14:paraId="037AE35C" w14:textId="77777777" w:rsidR="00615A2B" w:rsidRPr="00615A2B" w:rsidRDefault="00615A2B" w:rsidP="00FC0F0F">
      <w:pPr>
        <w:tabs>
          <w:tab w:val="left" w:pos="425"/>
          <w:tab w:val="left" w:pos="851"/>
        </w:tabs>
        <w:spacing w:after="120"/>
        <w:ind w:firstLine="0"/>
        <w:jc w:val="center"/>
        <w:rPr>
          <w:szCs w:val="24"/>
        </w:rPr>
      </w:pPr>
      <w:r w:rsidRPr="00615A2B">
        <w:rPr>
          <w:bCs/>
          <w:szCs w:val="24"/>
        </w:rPr>
        <w:t xml:space="preserve">§ </w:t>
      </w:r>
      <w:r w:rsidRPr="00615A2B">
        <w:rPr>
          <w:szCs w:val="24"/>
        </w:rPr>
        <w:t>122</w:t>
      </w:r>
    </w:p>
    <w:p w14:paraId="1C710582" w14:textId="77777777" w:rsidR="00615A2B" w:rsidRPr="00615A2B" w:rsidRDefault="00615A2B" w:rsidP="005F5A2E">
      <w:pPr>
        <w:pStyle w:val="Textodstavce"/>
        <w:ind w:firstLine="425"/>
        <w:rPr>
          <w:bCs/>
          <w:szCs w:val="24"/>
        </w:rPr>
      </w:pPr>
      <w:r w:rsidRPr="00615A2B">
        <w:rPr>
          <w:bCs/>
          <w:szCs w:val="24"/>
        </w:rPr>
        <w:t>(1) Na valné hromadě musí být akcionářům volně přístupné k nahlédnutí listiny uvedené v § 119 odst. 1, pokud se vyžadují.</w:t>
      </w:r>
    </w:p>
    <w:p w14:paraId="36ED11D6" w14:textId="77777777" w:rsidR="00615A2B" w:rsidRPr="00615A2B" w:rsidRDefault="00615A2B" w:rsidP="005F5A2E">
      <w:pPr>
        <w:pStyle w:val="Textodstavce"/>
        <w:ind w:firstLine="425"/>
        <w:rPr>
          <w:bCs/>
          <w:szCs w:val="24"/>
        </w:rPr>
      </w:pPr>
      <w:r w:rsidRPr="00615A2B">
        <w:rPr>
          <w:bCs/>
          <w:szCs w:val="24"/>
        </w:rPr>
        <w:t>(2) Představenstvo na začátku valné hromady objasní akcionářům projekt fúze.</w:t>
      </w:r>
    </w:p>
    <w:p w14:paraId="3FD20EC4" w14:textId="77777777" w:rsidR="00615A2B" w:rsidRPr="00FC0F0F" w:rsidRDefault="00615A2B" w:rsidP="005F5A2E">
      <w:pPr>
        <w:pStyle w:val="Textodstavce"/>
        <w:ind w:firstLine="425"/>
        <w:rPr>
          <w:bCs/>
          <w:szCs w:val="24"/>
        </w:rPr>
      </w:pPr>
      <w:r w:rsidRPr="00FC0F0F">
        <w:rPr>
          <w:bCs/>
          <w:szCs w:val="24"/>
        </w:rPr>
        <w:t xml:space="preserve">(3) Představenstvo zúčastněné společnosti seznámí před hlasováním o schválení fúze akcionáře se znaleckou zprávou o fúzi, pokud se vyžaduje, a se všemi podstatnými změnami týkajícími se jmění, k nimž došlo v období od vyhotovení projektu fúze do dne konání valné hromady, která rozhoduje o fúzi, ve všech zúčastněných společnostech. Správnost oznámení o změnách týkajících se jmění musí být potvrzena auditorem, pokud </w:t>
      </w:r>
      <w:r w:rsidRPr="00FC0F0F">
        <w:rPr>
          <w:bCs/>
          <w:strike/>
          <w:szCs w:val="24"/>
        </w:rPr>
        <w:t>podléhá</w:t>
      </w:r>
      <w:r w:rsidRPr="00FC0F0F">
        <w:rPr>
          <w:bCs/>
          <w:szCs w:val="24"/>
        </w:rPr>
        <w:t xml:space="preserve"> </w:t>
      </w:r>
      <w:r w:rsidRPr="00FC0F0F">
        <w:rPr>
          <w:b/>
          <w:bCs/>
          <w:szCs w:val="24"/>
        </w:rPr>
        <w:t>má</w:t>
      </w:r>
      <w:r w:rsidRPr="00FC0F0F">
        <w:rPr>
          <w:bCs/>
          <w:szCs w:val="24"/>
        </w:rPr>
        <w:t xml:space="preserve"> společnost </w:t>
      </w:r>
      <w:r w:rsidRPr="00FC0F0F">
        <w:rPr>
          <w:bCs/>
          <w:strike/>
          <w:szCs w:val="24"/>
        </w:rPr>
        <w:t>povinnému auditu</w:t>
      </w:r>
      <w:r w:rsidRPr="00FC0F0F">
        <w:rPr>
          <w:bCs/>
          <w:szCs w:val="24"/>
        </w:rPr>
        <w:t xml:space="preserve"> </w:t>
      </w:r>
      <w:r w:rsidRPr="00FC0F0F">
        <w:rPr>
          <w:b/>
          <w:bCs/>
          <w:szCs w:val="24"/>
        </w:rPr>
        <w:t>povinný audit</w:t>
      </w:r>
      <w:r w:rsidRPr="00FC0F0F">
        <w:rPr>
          <w:bCs/>
          <w:szCs w:val="24"/>
        </w:rPr>
        <w:t>, nebo znalcem, který prováděl ocenění jmění.</w:t>
      </w:r>
    </w:p>
    <w:p w14:paraId="788D4EBD" w14:textId="77777777" w:rsidR="00615A2B" w:rsidRPr="00FC0F0F" w:rsidRDefault="00615A2B" w:rsidP="005F5A2E">
      <w:pPr>
        <w:pStyle w:val="Textodstavce"/>
        <w:ind w:firstLine="425"/>
        <w:rPr>
          <w:bCs/>
          <w:szCs w:val="24"/>
        </w:rPr>
      </w:pPr>
      <w:r w:rsidRPr="00FC0F0F">
        <w:rPr>
          <w:bCs/>
          <w:szCs w:val="24"/>
        </w:rPr>
        <w:t>(4) Představenstvo zúčastněné společnosti informuje o změnách jmění podle odstavce 3 představenstva ostatních zúčastněných společností tak, aby mohla informovat své příslušné valné hromady.</w:t>
      </w:r>
    </w:p>
    <w:p w14:paraId="6012AB2F" w14:textId="77777777" w:rsidR="00615A2B" w:rsidRPr="00615A2B" w:rsidRDefault="00615A2B" w:rsidP="005F5A2E">
      <w:pPr>
        <w:pStyle w:val="Textodstavce"/>
        <w:pBdr>
          <w:top w:val="single" w:sz="12" w:space="1" w:color="00B0F0"/>
          <w:left w:val="single" w:sz="12" w:space="4" w:color="00B0F0"/>
          <w:bottom w:val="single" w:sz="12" w:space="1" w:color="00B0F0"/>
          <w:right w:val="single" w:sz="12" w:space="4" w:color="00B0F0"/>
        </w:pBdr>
        <w:ind w:firstLine="425"/>
        <w:rPr>
          <w:bCs/>
          <w:color w:val="00B0F0"/>
          <w:szCs w:val="24"/>
        </w:rPr>
      </w:pPr>
      <w:bookmarkStart w:id="51" w:name="_Hlk108709472"/>
      <w:r w:rsidRPr="00615A2B">
        <w:rPr>
          <w:bCs/>
          <w:color w:val="00B0F0"/>
          <w:szCs w:val="24"/>
        </w:rPr>
        <w:t>(5) Jestliže má být fúze schválena akcionáři mimo valnou hromadu, je představenstvo povinno zaslat akcionářům informace podle odstavce 3 spolu s návrhem rozhodnutí o fúzi mimo valnou hromadu.</w:t>
      </w:r>
      <w:bookmarkEnd w:id="51"/>
    </w:p>
    <w:p w14:paraId="473E1419" w14:textId="77777777" w:rsidR="00615A2B" w:rsidRPr="00FC0F0F" w:rsidRDefault="00615A2B" w:rsidP="005F5A2E">
      <w:pPr>
        <w:pStyle w:val="Textodstavce"/>
        <w:ind w:firstLine="425"/>
        <w:rPr>
          <w:bCs/>
          <w:szCs w:val="24"/>
        </w:rPr>
      </w:pPr>
      <w:r w:rsidRPr="00FC0F0F">
        <w:rPr>
          <w:bCs/>
          <w:szCs w:val="24"/>
        </w:rPr>
        <w:t>(6) Seznámení se změnami jmění podle odstavců 3 a 4 se nevyžaduje, jestliže s tím předem souhlasili všichni akcionáři všech zúčastněných společností.</w:t>
      </w:r>
    </w:p>
    <w:p w14:paraId="1768B9FD" w14:textId="77777777" w:rsidR="00615A2B" w:rsidRPr="00615A2B" w:rsidRDefault="00615A2B" w:rsidP="00FC0F0F">
      <w:pPr>
        <w:tabs>
          <w:tab w:val="left" w:pos="425"/>
          <w:tab w:val="left" w:pos="851"/>
        </w:tabs>
        <w:spacing w:after="120"/>
        <w:ind w:firstLine="0"/>
        <w:jc w:val="center"/>
        <w:rPr>
          <w:szCs w:val="24"/>
        </w:rPr>
      </w:pPr>
      <w:r w:rsidRPr="00615A2B">
        <w:rPr>
          <w:szCs w:val="24"/>
        </w:rPr>
        <w:t>§ 123</w:t>
      </w:r>
    </w:p>
    <w:p w14:paraId="27B3CAF8" w14:textId="77777777" w:rsidR="00615A2B" w:rsidRPr="00FC0F0F" w:rsidRDefault="00615A2B" w:rsidP="00615A2B">
      <w:pPr>
        <w:pStyle w:val="Textodstavce"/>
        <w:spacing w:before="240"/>
        <w:ind w:firstLine="425"/>
        <w:rPr>
          <w:szCs w:val="24"/>
        </w:rPr>
      </w:pPr>
      <w:r w:rsidRPr="00FC0F0F">
        <w:rPr>
          <w:bCs/>
          <w:szCs w:val="24"/>
        </w:rPr>
        <w:t>Usnesení</w:t>
      </w:r>
      <w:r w:rsidRPr="00FC0F0F">
        <w:rPr>
          <w:szCs w:val="24"/>
        </w:rPr>
        <w:t xml:space="preserve"> </w:t>
      </w:r>
      <w:r w:rsidRPr="00FC0F0F">
        <w:rPr>
          <w:bCs/>
          <w:szCs w:val="24"/>
        </w:rPr>
        <w:t>valné</w:t>
      </w:r>
      <w:r w:rsidRPr="00FC0F0F">
        <w:rPr>
          <w:szCs w:val="24"/>
        </w:rPr>
        <w:t xml:space="preserve"> hromady zanikající společnosti o schválení fúze sloučením musí obsahovat schválení </w:t>
      </w:r>
    </w:p>
    <w:p w14:paraId="377E5E71" w14:textId="77777777" w:rsidR="00615A2B" w:rsidRPr="00FC0F0F" w:rsidRDefault="00615A2B" w:rsidP="00DE29D4">
      <w:pPr>
        <w:pStyle w:val="PZTextpsmene"/>
        <w:tabs>
          <w:tab w:val="left" w:pos="420"/>
        </w:tabs>
        <w:spacing w:before="0"/>
        <w:ind w:left="426" w:hanging="426"/>
        <w:rPr>
          <w:szCs w:val="24"/>
        </w:rPr>
      </w:pPr>
      <w:r w:rsidRPr="00FC0F0F">
        <w:rPr>
          <w:szCs w:val="24"/>
        </w:rPr>
        <w:t>a)</w:t>
      </w:r>
      <w:r w:rsidRPr="00FC0F0F">
        <w:rPr>
          <w:szCs w:val="24"/>
        </w:rPr>
        <w:tab/>
        <w:t xml:space="preserve">projektu fúze sloučením a </w:t>
      </w:r>
    </w:p>
    <w:p w14:paraId="05F9E06F" w14:textId="77777777" w:rsidR="00615A2B" w:rsidRPr="00FC0F0F" w:rsidRDefault="00615A2B" w:rsidP="00DE29D4">
      <w:pPr>
        <w:tabs>
          <w:tab w:val="left" w:pos="420"/>
        </w:tabs>
        <w:spacing w:before="0"/>
        <w:ind w:left="426" w:hanging="426"/>
        <w:rPr>
          <w:szCs w:val="24"/>
        </w:rPr>
      </w:pPr>
      <w:r w:rsidRPr="00FC0F0F">
        <w:rPr>
          <w:szCs w:val="24"/>
        </w:rPr>
        <w:t>b)</w:t>
      </w:r>
      <w:r w:rsidRPr="00FC0F0F">
        <w:rPr>
          <w:szCs w:val="24"/>
        </w:rPr>
        <w:tab/>
        <w:t xml:space="preserve">konečné účetní závěrky zanikající společnosti a zahajovací rozvahy nástupnické společnosti, pokud rozhodný den fúze předchází vyhotovení projektu fúze, popřípadě mezitímní </w:t>
      </w:r>
      <w:r w:rsidRPr="00FC0F0F">
        <w:rPr>
          <w:b/>
          <w:szCs w:val="24"/>
        </w:rPr>
        <w:t>individuální</w:t>
      </w:r>
      <w:r w:rsidRPr="00FC0F0F">
        <w:rPr>
          <w:szCs w:val="24"/>
        </w:rPr>
        <w:t xml:space="preserve"> účetní závěrky zanikající společnosti.</w:t>
      </w:r>
    </w:p>
    <w:p w14:paraId="19759CFF" w14:textId="77777777" w:rsidR="00615A2B" w:rsidRPr="00615A2B" w:rsidRDefault="00615A2B" w:rsidP="00615A2B">
      <w:pPr>
        <w:tabs>
          <w:tab w:val="left" w:pos="425"/>
          <w:tab w:val="left" w:pos="851"/>
        </w:tabs>
        <w:spacing w:after="120"/>
        <w:jc w:val="center"/>
        <w:rPr>
          <w:szCs w:val="24"/>
        </w:rPr>
      </w:pPr>
      <w:r w:rsidRPr="00615A2B">
        <w:rPr>
          <w:szCs w:val="24"/>
        </w:rPr>
        <w:t>§ 124</w:t>
      </w:r>
    </w:p>
    <w:p w14:paraId="50148EEB" w14:textId="77777777" w:rsidR="00615A2B" w:rsidRPr="00FC0F0F" w:rsidRDefault="00615A2B" w:rsidP="00615A2B">
      <w:pPr>
        <w:pStyle w:val="Textodstavce"/>
        <w:spacing w:before="240"/>
        <w:ind w:firstLine="425"/>
        <w:rPr>
          <w:szCs w:val="24"/>
        </w:rPr>
      </w:pPr>
      <w:r w:rsidRPr="00FC0F0F">
        <w:rPr>
          <w:bCs/>
          <w:szCs w:val="24"/>
        </w:rPr>
        <w:t>Usnesení</w:t>
      </w:r>
      <w:r w:rsidRPr="00FC0F0F">
        <w:rPr>
          <w:szCs w:val="24"/>
        </w:rPr>
        <w:t xml:space="preserve"> valné hromady nástupnické společnosti o schválení fúze sloučením musí obsahovat</w:t>
      </w:r>
    </w:p>
    <w:p w14:paraId="3FBBB49F" w14:textId="77777777" w:rsidR="00615A2B" w:rsidRPr="00FC0F0F" w:rsidRDefault="00615A2B" w:rsidP="00DE29D4">
      <w:pPr>
        <w:pStyle w:val="PZTextpsmene"/>
        <w:spacing w:before="0"/>
        <w:ind w:left="426" w:hanging="426"/>
        <w:rPr>
          <w:szCs w:val="24"/>
        </w:rPr>
      </w:pPr>
      <w:r w:rsidRPr="00FC0F0F">
        <w:rPr>
          <w:szCs w:val="24"/>
        </w:rPr>
        <w:t>a)</w:t>
      </w:r>
      <w:r w:rsidRPr="00FC0F0F">
        <w:rPr>
          <w:szCs w:val="24"/>
        </w:rPr>
        <w:tab/>
        <w:t>schválení projektu fúze sloučením,</w:t>
      </w:r>
    </w:p>
    <w:p w14:paraId="1F0D1D24" w14:textId="77777777" w:rsidR="00615A2B" w:rsidRPr="00FC0F0F" w:rsidRDefault="00615A2B" w:rsidP="00DE29D4">
      <w:pPr>
        <w:pStyle w:val="PZTextpsmene"/>
        <w:spacing w:before="0"/>
        <w:ind w:left="426" w:hanging="426"/>
        <w:rPr>
          <w:szCs w:val="24"/>
        </w:rPr>
      </w:pPr>
      <w:r w:rsidRPr="00FC0F0F">
        <w:rPr>
          <w:szCs w:val="24"/>
        </w:rPr>
        <w:t>b)</w:t>
      </w:r>
      <w:r w:rsidRPr="00FC0F0F">
        <w:rPr>
          <w:szCs w:val="24"/>
        </w:rPr>
        <w:tab/>
        <w:t>schválení konečné účetní závěrky nástupnické společnosti a její</w:t>
      </w:r>
      <w:r w:rsidRPr="00FC0F0F">
        <w:rPr>
          <w:color w:val="00B0F0"/>
          <w:szCs w:val="24"/>
        </w:rPr>
        <w:t xml:space="preserve"> </w:t>
      </w:r>
      <w:r w:rsidRPr="00FC0F0F">
        <w:rPr>
          <w:szCs w:val="24"/>
        </w:rPr>
        <w:t xml:space="preserve">zahajovací rozvahy, pokud rozhodný den fúze předchází vyhotovení projektu fúze, popřípadě mezitímní </w:t>
      </w:r>
      <w:r w:rsidRPr="00FC0F0F">
        <w:rPr>
          <w:b/>
          <w:szCs w:val="24"/>
        </w:rPr>
        <w:t>individuální</w:t>
      </w:r>
      <w:r w:rsidRPr="00FC0F0F">
        <w:rPr>
          <w:szCs w:val="24"/>
        </w:rPr>
        <w:t xml:space="preserve"> účetní závěrky, a</w:t>
      </w:r>
    </w:p>
    <w:p w14:paraId="5523BEB3" w14:textId="77777777" w:rsidR="00615A2B" w:rsidRPr="00FC0F0F" w:rsidRDefault="00615A2B" w:rsidP="00DE29D4">
      <w:pPr>
        <w:pStyle w:val="PZTextpsmene"/>
        <w:spacing w:before="0"/>
        <w:ind w:left="426" w:hanging="426"/>
        <w:rPr>
          <w:szCs w:val="24"/>
        </w:rPr>
      </w:pPr>
      <w:r w:rsidRPr="00FC0F0F">
        <w:rPr>
          <w:szCs w:val="24"/>
        </w:rPr>
        <w:t>c)</w:t>
      </w:r>
      <w:r w:rsidRPr="00FC0F0F">
        <w:rPr>
          <w:szCs w:val="24"/>
        </w:rPr>
        <w:tab/>
        <w:t>rozhodnutí o vydání nových akcií, popřípadě pověření představenstva k vydání nových akcií nebo o možnosti nabýt vlastní akcie, je-li to třeba k výměně akcií zanikající společnosti za akcie nástupnické společnosti podle § 103.</w:t>
      </w:r>
    </w:p>
    <w:p w14:paraId="5D0522D5" w14:textId="77777777" w:rsidR="00615A2B" w:rsidRPr="00615A2B" w:rsidRDefault="00615A2B" w:rsidP="00850000">
      <w:pPr>
        <w:tabs>
          <w:tab w:val="left" w:pos="425"/>
          <w:tab w:val="left" w:pos="851"/>
        </w:tabs>
        <w:spacing w:after="120"/>
        <w:ind w:firstLine="0"/>
        <w:jc w:val="center"/>
        <w:rPr>
          <w:szCs w:val="24"/>
        </w:rPr>
      </w:pPr>
      <w:r w:rsidRPr="00615A2B">
        <w:rPr>
          <w:szCs w:val="24"/>
        </w:rPr>
        <w:t>§ 125</w:t>
      </w:r>
    </w:p>
    <w:p w14:paraId="29163240" w14:textId="77777777" w:rsidR="00615A2B" w:rsidRPr="00850000" w:rsidRDefault="00615A2B" w:rsidP="00615A2B">
      <w:pPr>
        <w:pStyle w:val="Textodstavce"/>
        <w:spacing w:before="240"/>
        <w:ind w:firstLine="425"/>
        <w:rPr>
          <w:szCs w:val="24"/>
        </w:rPr>
      </w:pPr>
      <w:r w:rsidRPr="00850000">
        <w:rPr>
          <w:bCs/>
          <w:szCs w:val="24"/>
        </w:rPr>
        <w:lastRenderedPageBreak/>
        <w:t>Jestliže</w:t>
      </w:r>
      <w:r w:rsidRPr="00850000">
        <w:rPr>
          <w:szCs w:val="24"/>
        </w:rPr>
        <w:t xml:space="preserve"> bude zvyšován základní kapitál nástupnické společnosti podle § 109, musí usnesení valné hromady nástupnické společnosti o schválení fúze sloučením obsahovat též</w:t>
      </w:r>
    </w:p>
    <w:p w14:paraId="5392982A" w14:textId="77777777" w:rsidR="00615A2B" w:rsidRPr="00850000" w:rsidRDefault="00615A2B" w:rsidP="00DE29D4">
      <w:pPr>
        <w:pStyle w:val="PZTextpsmene"/>
        <w:spacing w:before="0"/>
        <w:ind w:left="426" w:hanging="426"/>
        <w:rPr>
          <w:szCs w:val="24"/>
        </w:rPr>
      </w:pPr>
      <w:r w:rsidRPr="00850000">
        <w:rPr>
          <w:szCs w:val="24"/>
        </w:rPr>
        <w:t>a)</w:t>
      </w:r>
      <w:r w:rsidRPr="00850000">
        <w:rPr>
          <w:szCs w:val="24"/>
        </w:rPr>
        <w:tab/>
        <w:t xml:space="preserve">částku zvýšení základního kapitálu z </w:t>
      </w:r>
      <w:r w:rsidRPr="00850000">
        <w:rPr>
          <w:strike/>
          <w:szCs w:val="24"/>
        </w:rPr>
        <w:t>vlastních zdrojů</w:t>
      </w:r>
      <w:r w:rsidRPr="00850000">
        <w:rPr>
          <w:szCs w:val="24"/>
        </w:rPr>
        <w:t xml:space="preserve"> </w:t>
      </w:r>
      <w:r w:rsidRPr="00850000">
        <w:rPr>
          <w:b/>
          <w:szCs w:val="24"/>
        </w:rPr>
        <w:t>jiných částí vlastního kapitálu</w:t>
      </w:r>
      <w:r w:rsidRPr="00850000">
        <w:rPr>
          <w:szCs w:val="24"/>
        </w:rPr>
        <w:t xml:space="preserve"> nástupnické společnosti a</w:t>
      </w:r>
    </w:p>
    <w:p w14:paraId="39E47812" w14:textId="77777777" w:rsidR="00615A2B" w:rsidRPr="00850000" w:rsidRDefault="00615A2B" w:rsidP="00DE29D4">
      <w:pPr>
        <w:spacing w:before="0"/>
        <w:ind w:left="426" w:hanging="426"/>
        <w:rPr>
          <w:szCs w:val="24"/>
        </w:rPr>
      </w:pPr>
      <w:r w:rsidRPr="00850000">
        <w:rPr>
          <w:szCs w:val="24"/>
        </w:rPr>
        <w:t>b)</w:t>
      </w:r>
      <w:r w:rsidRPr="00850000">
        <w:rPr>
          <w:szCs w:val="24"/>
        </w:rPr>
        <w:tab/>
        <w:t xml:space="preserve">označení </w:t>
      </w:r>
      <w:r w:rsidRPr="00850000">
        <w:rPr>
          <w:strike/>
          <w:szCs w:val="24"/>
        </w:rPr>
        <w:t>vlastního zdroje nebo zdrojů</w:t>
      </w:r>
      <w:r w:rsidRPr="00850000">
        <w:rPr>
          <w:szCs w:val="24"/>
        </w:rPr>
        <w:t xml:space="preserve"> </w:t>
      </w:r>
      <w:r w:rsidRPr="00850000">
        <w:rPr>
          <w:b/>
          <w:szCs w:val="24"/>
        </w:rPr>
        <w:t>části nebo částí vlastního kapitálu</w:t>
      </w:r>
      <w:r w:rsidRPr="00850000">
        <w:rPr>
          <w:szCs w:val="24"/>
        </w:rPr>
        <w:t xml:space="preserve"> nástupnické společnosti z poslední </w:t>
      </w:r>
      <w:r w:rsidRPr="00850000">
        <w:rPr>
          <w:strike/>
          <w:szCs w:val="24"/>
        </w:rPr>
        <w:t>řádné</w:t>
      </w:r>
      <w:r w:rsidRPr="00850000">
        <w:rPr>
          <w:szCs w:val="24"/>
        </w:rPr>
        <w:t xml:space="preserve"> </w:t>
      </w:r>
      <w:r w:rsidRPr="00850000">
        <w:rPr>
          <w:b/>
          <w:szCs w:val="24"/>
        </w:rPr>
        <w:t>individuální</w:t>
      </w:r>
      <w:r w:rsidRPr="00850000">
        <w:rPr>
          <w:szCs w:val="24"/>
        </w:rPr>
        <w:t xml:space="preserve"> účetní závěrky</w:t>
      </w:r>
      <w:r w:rsidRPr="00850000">
        <w:rPr>
          <w:strike/>
          <w:szCs w:val="24"/>
        </w:rPr>
        <w:t>, mimořádné účetní závěrky, konečné účetní závěrky nebo mezitímní závěrky</w:t>
      </w:r>
      <w:r w:rsidRPr="00850000">
        <w:rPr>
          <w:szCs w:val="24"/>
        </w:rPr>
        <w:t xml:space="preserve"> sestavené před vyhotovením projektu fúze, z něhož bude základní kapitál zvyšován, v členění podle struktury vlastního kapitálu v účetní závěrce.</w:t>
      </w:r>
    </w:p>
    <w:p w14:paraId="68890324" w14:textId="77777777" w:rsidR="00615A2B" w:rsidRPr="00615A2B" w:rsidRDefault="00615A2B" w:rsidP="005F5A2E">
      <w:pPr>
        <w:pStyle w:val="Nadpisparagrafu"/>
        <w:numPr>
          <w:ilvl w:val="0"/>
          <w:numId w:val="39"/>
        </w:numPr>
        <w:spacing w:after="120"/>
        <w:rPr>
          <w:b w:val="0"/>
          <w:szCs w:val="24"/>
        </w:rPr>
      </w:pPr>
      <w:r w:rsidRPr="00615A2B">
        <w:rPr>
          <w:b w:val="0"/>
          <w:szCs w:val="24"/>
        </w:rPr>
        <w:t>***</w:t>
      </w:r>
    </w:p>
    <w:p w14:paraId="6B4A5E15" w14:textId="77777777" w:rsidR="00615A2B" w:rsidRPr="00615A2B" w:rsidRDefault="00615A2B" w:rsidP="005F5A2E">
      <w:pPr>
        <w:keepNext/>
        <w:keepLines/>
        <w:tabs>
          <w:tab w:val="left" w:pos="425"/>
          <w:tab w:val="left" w:pos="851"/>
        </w:tabs>
        <w:spacing w:after="120"/>
        <w:ind w:firstLine="0"/>
        <w:jc w:val="center"/>
        <w:rPr>
          <w:szCs w:val="24"/>
        </w:rPr>
      </w:pPr>
      <w:r w:rsidRPr="00615A2B">
        <w:rPr>
          <w:bCs/>
          <w:szCs w:val="24"/>
        </w:rPr>
        <w:t xml:space="preserve">§ </w:t>
      </w:r>
      <w:r w:rsidRPr="00615A2B">
        <w:rPr>
          <w:szCs w:val="24"/>
        </w:rPr>
        <w:t>128</w:t>
      </w:r>
    </w:p>
    <w:p w14:paraId="1F083BF3" w14:textId="77777777" w:rsidR="00615A2B" w:rsidRPr="009F21AD" w:rsidRDefault="00615A2B" w:rsidP="005F5A2E">
      <w:pPr>
        <w:pStyle w:val="Textodstavce"/>
        <w:keepNext/>
        <w:keepLines/>
        <w:spacing w:before="240"/>
        <w:ind w:firstLine="425"/>
        <w:rPr>
          <w:szCs w:val="24"/>
        </w:rPr>
      </w:pPr>
      <w:r w:rsidRPr="009F21AD">
        <w:rPr>
          <w:szCs w:val="24"/>
        </w:rPr>
        <w:t>Usnesení valných hromad všech zanikajících společností o schválení fúze splynutím musí obsahovat</w:t>
      </w:r>
    </w:p>
    <w:p w14:paraId="19F0978C" w14:textId="77777777" w:rsidR="00615A2B" w:rsidRPr="009F21AD" w:rsidRDefault="00615A2B" w:rsidP="00DE29D4">
      <w:pPr>
        <w:pStyle w:val="PZTextpsmene"/>
        <w:spacing w:before="0"/>
        <w:ind w:left="426" w:hanging="426"/>
        <w:rPr>
          <w:szCs w:val="24"/>
        </w:rPr>
      </w:pPr>
      <w:r w:rsidRPr="009F21AD">
        <w:rPr>
          <w:szCs w:val="24"/>
        </w:rPr>
        <w:t>a)</w:t>
      </w:r>
      <w:r w:rsidRPr="009F21AD">
        <w:rPr>
          <w:szCs w:val="24"/>
        </w:rPr>
        <w:tab/>
        <w:t>schválení projektu fúze splynutím,</w:t>
      </w:r>
    </w:p>
    <w:p w14:paraId="3DF2872A" w14:textId="77777777" w:rsidR="00615A2B" w:rsidRPr="009F21AD" w:rsidRDefault="00615A2B" w:rsidP="00DE29D4">
      <w:pPr>
        <w:pStyle w:val="PZTextpsmene"/>
        <w:spacing w:before="0"/>
        <w:ind w:left="426" w:hanging="426"/>
        <w:rPr>
          <w:szCs w:val="24"/>
        </w:rPr>
      </w:pPr>
      <w:r w:rsidRPr="009F21AD">
        <w:rPr>
          <w:szCs w:val="24"/>
        </w:rPr>
        <w:t>b)</w:t>
      </w:r>
      <w:r w:rsidRPr="009F21AD">
        <w:rPr>
          <w:szCs w:val="24"/>
        </w:rPr>
        <w:tab/>
        <w:t xml:space="preserve">schválení konečné účetní závěrky zanikající společnosti a zahajovací rozvahy nástupnické společnosti, pokud rozhodný den fúze předchází vyhotovení projektu fúze, popřípadě mezitímní </w:t>
      </w:r>
      <w:r w:rsidRPr="009F21AD">
        <w:rPr>
          <w:b/>
          <w:szCs w:val="24"/>
        </w:rPr>
        <w:t xml:space="preserve">individuální </w:t>
      </w:r>
      <w:r w:rsidRPr="009F21AD">
        <w:rPr>
          <w:szCs w:val="24"/>
        </w:rPr>
        <w:t>účetní závěrky zanikající společnosti, pokud dosud nebyla schválena, a</w:t>
      </w:r>
    </w:p>
    <w:p w14:paraId="1C381DAB" w14:textId="77777777" w:rsidR="00615A2B" w:rsidRPr="009F21AD" w:rsidRDefault="00615A2B" w:rsidP="00DE29D4">
      <w:pPr>
        <w:pStyle w:val="PZTextpsmene"/>
        <w:spacing w:before="0"/>
        <w:ind w:left="426" w:hanging="426"/>
        <w:rPr>
          <w:szCs w:val="24"/>
        </w:rPr>
      </w:pPr>
      <w:r w:rsidRPr="009F21AD">
        <w:rPr>
          <w:szCs w:val="24"/>
        </w:rPr>
        <w:t>c)</w:t>
      </w:r>
      <w:r w:rsidRPr="009F21AD">
        <w:rPr>
          <w:szCs w:val="24"/>
        </w:rPr>
        <w:tab/>
        <w:t>mají-li být akcie nástupnické společnosti přijaty k obchodování na evropském regulovaném trhu, souhlas s podáním žádosti o jejich přijetí k obchodování na evropském regulovaném trhu.</w:t>
      </w:r>
    </w:p>
    <w:p w14:paraId="61720466" w14:textId="77777777" w:rsidR="00615A2B" w:rsidRPr="00615A2B" w:rsidRDefault="00615A2B" w:rsidP="00992796">
      <w:pPr>
        <w:pStyle w:val="Nadpisparagrafu"/>
        <w:numPr>
          <w:ilvl w:val="0"/>
          <w:numId w:val="39"/>
        </w:numPr>
        <w:spacing w:after="120"/>
        <w:rPr>
          <w:b w:val="0"/>
          <w:szCs w:val="24"/>
        </w:rPr>
      </w:pPr>
      <w:r w:rsidRPr="00615A2B">
        <w:rPr>
          <w:b w:val="0"/>
          <w:szCs w:val="24"/>
        </w:rPr>
        <w:t>***</w:t>
      </w:r>
    </w:p>
    <w:p w14:paraId="6E1FA235" w14:textId="77777777" w:rsidR="00615A2B" w:rsidRPr="00615A2B" w:rsidRDefault="00615A2B" w:rsidP="009F21AD">
      <w:pPr>
        <w:tabs>
          <w:tab w:val="left" w:pos="425"/>
          <w:tab w:val="left" w:pos="851"/>
        </w:tabs>
        <w:spacing w:after="120"/>
        <w:ind w:firstLine="0"/>
        <w:jc w:val="center"/>
        <w:rPr>
          <w:szCs w:val="24"/>
        </w:rPr>
      </w:pPr>
      <w:r w:rsidRPr="00615A2B">
        <w:rPr>
          <w:bCs/>
          <w:szCs w:val="24"/>
        </w:rPr>
        <w:t xml:space="preserve">§ </w:t>
      </w:r>
      <w:r w:rsidRPr="00615A2B">
        <w:rPr>
          <w:szCs w:val="24"/>
        </w:rPr>
        <w:t>130</w:t>
      </w:r>
    </w:p>
    <w:p w14:paraId="4E9EAD56" w14:textId="77777777" w:rsidR="00615A2B" w:rsidRPr="00615A2B" w:rsidRDefault="00615A2B" w:rsidP="00615A2B">
      <w:pPr>
        <w:pStyle w:val="Textodstavce"/>
        <w:spacing w:before="240"/>
        <w:ind w:firstLine="425"/>
        <w:rPr>
          <w:szCs w:val="24"/>
        </w:rPr>
      </w:pPr>
      <w:r w:rsidRPr="00615A2B">
        <w:rPr>
          <w:szCs w:val="24"/>
        </w:rPr>
        <w:t xml:space="preserve">Pokud nebyla dosud schválena poslední řádná </w:t>
      </w:r>
      <w:r w:rsidRPr="00615A2B">
        <w:rPr>
          <w:strike/>
          <w:szCs w:val="24"/>
        </w:rPr>
        <w:t>nebo mimořádná</w:t>
      </w:r>
      <w:r w:rsidRPr="00615A2B">
        <w:rPr>
          <w:szCs w:val="24"/>
        </w:rPr>
        <w:t xml:space="preserve"> </w:t>
      </w:r>
      <w:r w:rsidRPr="00615A2B">
        <w:rPr>
          <w:b/>
          <w:szCs w:val="24"/>
        </w:rPr>
        <w:t>individuální</w:t>
      </w:r>
      <w:r w:rsidRPr="00615A2B">
        <w:rPr>
          <w:szCs w:val="24"/>
        </w:rPr>
        <w:t xml:space="preserve"> účetní závěrka jakékoliv zúčastněné společnosti, popřípadě mezitímní </w:t>
      </w:r>
      <w:r w:rsidRPr="00615A2B">
        <w:rPr>
          <w:b/>
          <w:szCs w:val="24"/>
        </w:rPr>
        <w:t>individuální</w:t>
      </w:r>
      <w:r w:rsidRPr="00615A2B">
        <w:rPr>
          <w:szCs w:val="24"/>
        </w:rPr>
        <w:t xml:space="preserve"> účetní závěrka, pokud se vyžaduje, anebo její konečná účetní závěrka valnou hromadou nebo jediným akcionářem této zúčastněné společnosti před zápisem fúze do obchodního rejstříku, schvaluje tyto účetní závěrky valná hromada nebo jediný akcionář nástupnické společnosti po zápisu fúze do obchodního rejstříku. Schválení zahajovací rozvahy se v tomto případě nevyžaduje.</w:t>
      </w:r>
    </w:p>
    <w:p w14:paraId="386C8D3E" w14:textId="77777777" w:rsidR="00615A2B" w:rsidRPr="00615A2B" w:rsidRDefault="00615A2B" w:rsidP="00992796">
      <w:pPr>
        <w:pStyle w:val="Nadpisparagrafu"/>
        <w:numPr>
          <w:ilvl w:val="0"/>
          <w:numId w:val="39"/>
        </w:numPr>
        <w:spacing w:after="120"/>
        <w:rPr>
          <w:b w:val="0"/>
          <w:szCs w:val="24"/>
        </w:rPr>
      </w:pPr>
      <w:r w:rsidRPr="00615A2B">
        <w:rPr>
          <w:b w:val="0"/>
          <w:szCs w:val="24"/>
        </w:rPr>
        <w:t>***</w:t>
      </w:r>
    </w:p>
    <w:p w14:paraId="37734490" w14:textId="77777777" w:rsidR="00615A2B" w:rsidRPr="00615A2B" w:rsidRDefault="00615A2B" w:rsidP="00B26838">
      <w:pPr>
        <w:tabs>
          <w:tab w:val="left" w:pos="425"/>
          <w:tab w:val="left" w:pos="851"/>
        </w:tabs>
        <w:spacing w:after="120"/>
        <w:ind w:firstLine="0"/>
        <w:jc w:val="center"/>
        <w:rPr>
          <w:szCs w:val="24"/>
        </w:rPr>
      </w:pPr>
      <w:r w:rsidRPr="00615A2B">
        <w:rPr>
          <w:bCs/>
          <w:szCs w:val="24"/>
        </w:rPr>
        <w:t xml:space="preserve">§ </w:t>
      </w:r>
      <w:r w:rsidRPr="00615A2B">
        <w:rPr>
          <w:szCs w:val="24"/>
        </w:rPr>
        <w:t>166</w:t>
      </w:r>
    </w:p>
    <w:p w14:paraId="5C1A1543" w14:textId="77777777" w:rsidR="00615A2B" w:rsidRPr="00615A2B" w:rsidRDefault="00615A2B" w:rsidP="005F5A2E">
      <w:pPr>
        <w:pStyle w:val="Textodstavce"/>
        <w:ind w:firstLine="425"/>
        <w:rPr>
          <w:iCs/>
          <w:szCs w:val="24"/>
        </w:rPr>
      </w:pPr>
      <w:r w:rsidRPr="00615A2B">
        <w:rPr>
          <w:iCs/>
          <w:szCs w:val="24"/>
        </w:rPr>
        <w:t xml:space="preserve">(1) </w:t>
      </w:r>
      <w:r w:rsidRPr="00615A2B">
        <w:rPr>
          <w:szCs w:val="24"/>
        </w:rPr>
        <w:t>Výměnný</w:t>
      </w:r>
      <w:r w:rsidRPr="00615A2B">
        <w:rPr>
          <w:iCs/>
          <w:szCs w:val="24"/>
        </w:rPr>
        <w:t xml:space="preserve"> poměr v projektu fúze družstva obsahuje určení, jakým způsobem se při fúzi mění výše členských vkladů a další majetkové účasti u členů každého ze zúčastněných družstev, nebo údaj, že se výše členských vkladů a další majetkové účasti u žádného člena zúčastněného družstva nemění.</w:t>
      </w:r>
    </w:p>
    <w:p w14:paraId="6FAE9A15" w14:textId="77777777" w:rsidR="00615A2B" w:rsidRPr="00615A2B" w:rsidRDefault="00615A2B" w:rsidP="005F5A2E">
      <w:pPr>
        <w:pStyle w:val="Textodstavce"/>
        <w:ind w:firstLine="425"/>
        <w:rPr>
          <w:iCs/>
          <w:szCs w:val="24"/>
        </w:rPr>
      </w:pPr>
      <w:r w:rsidRPr="00615A2B">
        <w:rPr>
          <w:iCs/>
          <w:szCs w:val="24"/>
        </w:rPr>
        <w:t xml:space="preserve">(2) </w:t>
      </w:r>
      <w:r w:rsidRPr="00615A2B">
        <w:rPr>
          <w:szCs w:val="24"/>
        </w:rPr>
        <w:t>Součet</w:t>
      </w:r>
      <w:r w:rsidRPr="00615A2B">
        <w:rPr>
          <w:iCs/>
          <w:szCs w:val="24"/>
        </w:rPr>
        <w:t xml:space="preserve"> výše členských vkladů členů zúčastněného družstva do základního kapitálu nástupnického družstva nesmí převyšovat výši vlastního kapitálu zúčastněného družstva zjištěné z jeho poslední řádné </w:t>
      </w:r>
      <w:r w:rsidRPr="00615A2B">
        <w:rPr>
          <w:iCs/>
          <w:strike/>
          <w:szCs w:val="24"/>
        </w:rPr>
        <w:t>nebo mimořádné</w:t>
      </w:r>
      <w:r w:rsidRPr="00615A2B">
        <w:rPr>
          <w:iCs/>
          <w:szCs w:val="24"/>
        </w:rPr>
        <w:t xml:space="preserve"> </w:t>
      </w:r>
      <w:r w:rsidRPr="00615A2B">
        <w:rPr>
          <w:b/>
          <w:szCs w:val="24"/>
        </w:rPr>
        <w:t>individuální</w:t>
      </w:r>
      <w:r w:rsidRPr="00615A2B">
        <w:rPr>
          <w:iCs/>
          <w:szCs w:val="24"/>
        </w:rPr>
        <w:t xml:space="preserve"> účetní závěrky sestavené před vyhotovením projektu fúze družstva anebo z jeho konečné účetní závěrky, pokud rozhodný den fúze předcházel dni vyhotovení projektu fúze družstva.</w:t>
      </w:r>
    </w:p>
    <w:p w14:paraId="185A034E" w14:textId="77777777" w:rsidR="00615A2B" w:rsidRPr="00615A2B" w:rsidRDefault="00615A2B" w:rsidP="00992796">
      <w:pPr>
        <w:pStyle w:val="Nadpisparagrafu"/>
        <w:numPr>
          <w:ilvl w:val="0"/>
          <w:numId w:val="39"/>
        </w:numPr>
        <w:spacing w:after="120"/>
        <w:rPr>
          <w:b w:val="0"/>
          <w:szCs w:val="24"/>
        </w:rPr>
      </w:pPr>
      <w:r w:rsidRPr="00615A2B">
        <w:rPr>
          <w:b w:val="0"/>
          <w:szCs w:val="24"/>
        </w:rPr>
        <w:lastRenderedPageBreak/>
        <w:t>***</w:t>
      </w:r>
    </w:p>
    <w:p w14:paraId="503D7B8F" w14:textId="77777777" w:rsidR="00615A2B" w:rsidRPr="00615A2B" w:rsidRDefault="00615A2B" w:rsidP="00B26838">
      <w:pPr>
        <w:tabs>
          <w:tab w:val="left" w:pos="425"/>
          <w:tab w:val="left" w:pos="851"/>
        </w:tabs>
        <w:spacing w:after="120"/>
        <w:ind w:firstLine="0"/>
        <w:jc w:val="center"/>
        <w:rPr>
          <w:szCs w:val="24"/>
        </w:rPr>
      </w:pPr>
      <w:r w:rsidRPr="00615A2B">
        <w:rPr>
          <w:bCs/>
          <w:szCs w:val="24"/>
        </w:rPr>
        <w:t xml:space="preserve">§ </w:t>
      </w:r>
      <w:r w:rsidRPr="00615A2B">
        <w:rPr>
          <w:szCs w:val="24"/>
        </w:rPr>
        <w:t>169</w:t>
      </w:r>
    </w:p>
    <w:p w14:paraId="61BA0DF0" w14:textId="77777777" w:rsidR="00615A2B" w:rsidRPr="00615A2B" w:rsidRDefault="00615A2B" w:rsidP="00615A2B">
      <w:pPr>
        <w:pStyle w:val="Textodstavce"/>
        <w:spacing w:before="240"/>
        <w:ind w:firstLine="425"/>
        <w:rPr>
          <w:szCs w:val="24"/>
        </w:rPr>
      </w:pPr>
      <w:r w:rsidRPr="00615A2B">
        <w:rPr>
          <w:szCs w:val="24"/>
        </w:rPr>
        <w:t>(1) V sídle každého ze zúčastněných družstev musí být k nahlédnutí pro členy alespoň 1 měsíc před stanoveným dnem konání členské schůze, jež má rozhodnout o schválení fúze,</w:t>
      </w:r>
    </w:p>
    <w:p w14:paraId="39B5AD18" w14:textId="77777777" w:rsidR="00615A2B" w:rsidRPr="00615A2B" w:rsidRDefault="00615A2B" w:rsidP="00DE29D4">
      <w:pPr>
        <w:pStyle w:val="PZTextpsmene"/>
        <w:spacing w:before="0"/>
        <w:ind w:left="426" w:hanging="426"/>
        <w:rPr>
          <w:szCs w:val="24"/>
        </w:rPr>
      </w:pPr>
      <w:r w:rsidRPr="00615A2B">
        <w:rPr>
          <w:szCs w:val="24"/>
        </w:rPr>
        <w:t>a)</w:t>
      </w:r>
      <w:r w:rsidRPr="00615A2B">
        <w:rPr>
          <w:szCs w:val="24"/>
        </w:rPr>
        <w:tab/>
        <w:t>projekt fúze,</w:t>
      </w:r>
    </w:p>
    <w:p w14:paraId="09BE43B2" w14:textId="77777777" w:rsidR="00615A2B" w:rsidRPr="00615A2B" w:rsidRDefault="00615A2B" w:rsidP="00DE29D4">
      <w:pPr>
        <w:spacing w:before="0"/>
        <w:ind w:left="426" w:hanging="426"/>
        <w:rPr>
          <w:szCs w:val="24"/>
        </w:rPr>
      </w:pPr>
      <w:r w:rsidRPr="00615A2B">
        <w:rPr>
          <w:szCs w:val="24"/>
        </w:rPr>
        <w:t>b)</w:t>
      </w:r>
      <w:r w:rsidRPr="00615A2B">
        <w:rPr>
          <w:szCs w:val="24"/>
        </w:rPr>
        <w:tab/>
      </w:r>
      <w:r w:rsidRPr="00615A2B">
        <w:rPr>
          <w:b/>
          <w:szCs w:val="24"/>
        </w:rPr>
        <w:t>řádné</w:t>
      </w:r>
      <w:r w:rsidRPr="00615A2B">
        <w:rPr>
          <w:szCs w:val="24"/>
        </w:rPr>
        <w:t xml:space="preserve"> </w:t>
      </w:r>
      <w:r w:rsidRPr="00615A2B">
        <w:rPr>
          <w:b/>
          <w:szCs w:val="24"/>
        </w:rPr>
        <w:t>individuální</w:t>
      </w:r>
      <w:r w:rsidRPr="00615A2B">
        <w:rPr>
          <w:szCs w:val="24"/>
        </w:rPr>
        <w:t xml:space="preserve"> účetní závěrky všech zúčastněných družstev za poslední 3 účetní období, jestliže zúčastněné družstvo po tuto dobu trvá, popřípadě takové účetní závěrky právního předchůdce, mělo-li zúčastněné družstvo právního předchůdce, a zprávy auditora o </w:t>
      </w:r>
      <w:r w:rsidRPr="00615A2B">
        <w:rPr>
          <w:strike/>
          <w:szCs w:val="24"/>
        </w:rPr>
        <w:t>jejich ověření</w:t>
      </w:r>
      <w:r w:rsidRPr="00615A2B">
        <w:rPr>
          <w:szCs w:val="24"/>
        </w:rPr>
        <w:t xml:space="preserve"> </w:t>
      </w:r>
      <w:r w:rsidRPr="00615A2B">
        <w:rPr>
          <w:b/>
          <w:szCs w:val="24"/>
        </w:rPr>
        <w:t>povinném auditu</w:t>
      </w:r>
      <w:r w:rsidRPr="00615A2B">
        <w:rPr>
          <w:szCs w:val="24"/>
        </w:rPr>
        <w:t>, pokud se vyžadují,</w:t>
      </w:r>
    </w:p>
    <w:p w14:paraId="6337AC33" w14:textId="77777777" w:rsidR="00615A2B" w:rsidRPr="00615A2B" w:rsidRDefault="00615A2B" w:rsidP="00DE29D4">
      <w:pPr>
        <w:pStyle w:val="PZTextpsmene"/>
        <w:spacing w:before="0"/>
        <w:ind w:left="426" w:hanging="426"/>
        <w:rPr>
          <w:szCs w:val="24"/>
        </w:rPr>
      </w:pPr>
      <w:r w:rsidRPr="00615A2B">
        <w:rPr>
          <w:szCs w:val="24"/>
        </w:rPr>
        <w:t>c)</w:t>
      </w:r>
      <w:r w:rsidRPr="00615A2B">
        <w:rPr>
          <w:szCs w:val="24"/>
        </w:rPr>
        <w:tab/>
        <w:t xml:space="preserve">konečné účetní závěrky všech zúčastněných družstev, zahajovací rozvaha nástupnického družstva, pokud rozhodný den předchází vyhotovení projektu fúze, a zprávy auditora o </w:t>
      </w:r>
      <w:r w:rsidRPr="00615A2B">
        <w:rPr>
          <w:strike/>
          <w:szCs w:val="24"/>
        </w:rPr>
        <w:t>jejich ověření</w:t>
      </w:r>
      <w:r w:rsidRPr="00615A2B">
        <w:rPr>
          <w:szCs w:val="24"/>
        </w:rPr>
        <w:t xml:space="preserve"> </w:t>
      </w:r>
      <w:r w:rsidRPr="00615A2B">
        <w:rPr>
          <w:b/>
          <w:szCs w:val="24"/>
        </w:rPr>
        <w:t>povinném auditu</w:t>
      </w:r>
      <w:r w:rsidRPr="00615A2B">
        <w:rPr>
          <w:szCs w:val="24"/>
        </w:rPr>
        <w:t>, pokud se vyžadují,</w:t>
      </w:r>
    </w:p>
    <w:p w14:paraId="69D604A1" w14:textId="77777777" w:rsidR="00615A2B" w:rsidRPr="00615A2B" w:rsidRDefault="00615A2B" w:rsidP="00DE29D4">
      <w:pPr>
        <w:pStyle w:val="PZTextpsmene"/>
        <w:spacing w:before="0"/>
        <w:ind w:left="426" w:hanging="426"/>
        <w:rPr>
          <w:szCs w:val="24"/>
        </w:rPr>
      </w:pPr>
      <w:r w:rsidRPr="00615A2B">
        <w:rPr>
          <w:szCs w:val="24"/>
        </w:rPr>
        <w:t>d)</w:t>
      </w:r>
      <w:r w:rsidRPr="00615A2B">
        <w:rPr>
          <w:szCs w:val="24"/>
        </w:rPr>
        <w:tab/>
        <w:t xml:space="preserve">mezitímní </w:t>
      </w:r>
      <w:r w:rsidRPr="00615A2B">
        <w:rPr>
          <w:b/>
          <w:szCs w:val="24"/>
        </w:rPr>
        <w:t>individuální</w:t>
      </w:r>
      <w:r w:rsidRPr="00615A2B">
        <w:rPr>
          <w:szCs w:val="24"/>
        </w:rPr>
        <w:t xml:space="preserve"> účetní závěrka a zpráva auditora o </w:t>
      </w:r>
      <w:r w:rsidRPr="00615A2B">
        <w:rPr>
          <w:strike/>
          <w:szCs w:val="24"/>
        </w:rPr>
        <w:t>jejich ověření</w:t>
      </w:r>
      <w:r w:rsidRPr="00615A2B">
        <w:rPr>
          <w:szCs w:val="24"/>
        </w:rPr>
        <w:t xml:space="preserve"> </w:t>
      </w:r>
      <w:r w:rsidRPr="00615A2B">
        <w:rPr>
          <w:b/>
          <w:szCs w:val="24"/>
        </w:rPr>
        <w:t>povinném auditu</w:t>
      </w:r>
      <w:r w:rsidRPr="00615A2B">
        <w:rPr>
          <w:szCs w:val="24"/>
        </w:rPr>
        <w:t>, anebo pololetní zpráva podle zákona o podnikání na kapitálovém trhu, pokud se vyžadují,</w:t>
      </w:r>
    </w:p>
    <w:p w14:paraId="527C881A" w14:textId="77777777" w:rsidR="00615A2B" w:rsidRPr="00615A2B" w:rsidRDefault="00615A2B" w:rsidP="00DE29D4">
      <w:pPr>
        <w:pStyle w:val="PZTextpsmene"/>
        <w:spacing w:before="0"/>
        <w:ind w:left="426" w:hanging="426"/>
        <w:rPr>
          <w:szCs w:val="24"/>
        </w:rPr>
      </w:pPr>
      <w:r w:rsidRPr="00615A2B">
        <w:rPr>
          <w:szCs w:val="24"/>
        </w:rPr>
        <w:t>e)</w:t>
      </w:r>
      <w:r w:rsidRPr="00615A2B">
        <w:rPr>
          <w:szCs w:val="24"/>
        </w:rPr>
        <w:tab/>
        <w:t>společná zpráva o fúzi nebo všechny zprávy o fúzi všech zúčastněných družstev, pokud se vyžadují, a</w:t>
      </w:r>
    </w:p>
    <w:p w14:paraId="0E7E31B4" w14:textId="77777777" w:rsidR="00615A2B" w:rsidRPr="00615A2B" w:rsidRDefault="00615A2B" w:rsidP="00DE29D4">
      <w:pPr>
        <w:pStyle w:val="PZTextpsmene"/>
        <w:spacing w:before="0"/>
        <w:ind w:left="426" w:hanging="426"/>
        <w:rPr>
          <w:szCs w:val="24"/>
        </w:rPr>
      </w:pPr>
      <w:r w:rsidRPr="00615A2B">
        <w:rPr>
          <w:szCs w:val="24"/>
        </w:rPr>
        <w:t>f)</w:t>
      </w:r>
      <w:r w:rsidRPr="00615A2B">
        <w:rPr>
          <w:szCs w:val="24"/>
        </w:rPr>
        <w:tab/>
        <w:t xml:space="preserve">znalecká zpráva o fúzi nebo všechny znalecké zprávy o fúzi všech zúčastněných družstev, </w:t>
      </w:r>
      <w:r w:rsidRPr="00B26838">
        <w:rPr>
          <w:b/>
          <w:szCs w:val="24"/>
        </w:rPr>
        <w:t>pokud</w:t>
      </w:r>
      <w:r w:rsidRPr="00615A2B">
        <w:rPr>
          <w:szCs w:val="24"/>
        </w:rPr>
        <w:t xml:space="preserve"> se vyžadují.</w:t>
      </w:r>
    </w:p>
    <w:p w14:paraId="1A457B38" w14:textId="77777777" w:rsidR="00615A2B" w:rsidRPr="00615A2B" w:rsidRDefault="00615A2B" w:rsidP="005F5A2E">
      <w:pPr>
        <w:pStyle w:val="Textodstavce"/>
        <w:ind w:firstLine="425"/>
        <w:rPr>
          <w:szCs w:val="24"/>
        </w:rPr>
      </w:pPr>
      <w:r w:rsidRPr="00615A2B">
        <w:rPr>
          <w:szCs w:val="24"/>
        </w:rPr>
        <w:t>(2) Družstvo je povinno vydat každému členovi, který o to požádá, bez zbytečného odkladu bezplatně opis nebo výpis z listin uvedených v odstavci 1, pokud se vyžadují.</w:t>
      </w:r>
    </w:p>
    <w:p w14:paraId="7694C8FD" w14:textId="77777777" w:rsidR="00615A2B" w:rsidRPr="00615A2B" w:rsidRDefault="00615A2B" w:rsidP="005F5A2E">
      <w:pPr>
        <w:pStyle w:val="Textodstavce"/>
        <w:ind w:firstLine="425"/>
        <w:rPr>
          <w:szCs w:val="24"/>
        </w:rPr>
      </w:pPr>
      <w:r w:rsidRPr="00615A2B">
        <w:rPr>
          <w:szCs w:val="24"/>
        </w:rPr>
        <w:t>(3) Pokud člen souhlasil s tím, že zúčastněné družstvo bude k poskytování informací využívat elektronické prostředky, mohou mu být kopie listin uvedených v odstavci 1 zasílány elektronicky. V takovém případě se nepoužije ustanovení odstavce 2. Souhlas lze dát jakýmkoliv způsobem, z něhož plyne tato vůle člena.</w:t>
      </w:r>
    </w:p>
    <w:p w14:paraId="44EF9436" w14:textId="77777777" w:rsidR="00615A2B" w:rsidRPr="00615A2B" w:rsidRDefault="00615A2B" w:rsidP="005F5A2E">
      <w:pPr>
        <w:pStyle w:val="Textodstavce"/>
        <w:pBdr>
          <w:top w:val="single" w:sz="12" w:space="1" w:color="00B0F0"/>
          <w:left w:val="single" w:sz="12" w:space="4" w:color="00B0F0"/>
          <w:bottom w:val="single" w:sz="12" w:space="1" w:color="00B0F0"/>
          <w:right w:val="single" w:sz="12" w:space="4" w:color="00B0F0"/>
        </w:pBdr>
        <w:ind w:firstLine="425"/>
        <w:rPr>
          <w:bCs/>
          <w:color w:val="00B0F0"/>
          <w:szCs w:val="24"/>
        </w:rPr>
      </w:pPr>
      <w:r w:rsidRPr="00615A2B">
        <w:rPr>
          <w:bCs/>
          <w:color w:val="00B0F0"/>
          <w:szCs w:val="24"/>
        </w:rPr>
        <w:t>(4) Jestliže má být fúze schválena členy družstva mimo členskou schůzi, zašle družstvo dokumenty podle odstavce 1 členům spolu s návrhem rozhodnutí o fúzi mimo členskou schůzi.</w:t>
      </w:r>
    </w:p>
    <w:p w14:paraId="3615B0A9" w14:textId="77777777" w:rsidR="00615A2B" w:rsidRPr="00615A2B" w:rsidRDefault="00615A2B" w:rsidP="00992796">
      <w:pPr>
        <w:pStyle w:val="Nadpisparagrafu"/>
        <w:numPr>
          <w:ilvl w:val="0"/>
          <w:numId w:val="39"/>
        </w:numPr>
        <w:spacing w:after="120"/>
        <w:rPr>
          <w:b w:val="0"/>
          <w:szCs w:val="24"/>
        </w:rPr>
      </w:pPr>
      <w:r w:rsidRPr="00615A2B">
        <w:rPr>
          <w:b w:val="0"/>
          <w:szCs w:val="24"/>
        </w:rPr>
        <w:t>***</w:t>
      </w:r>
    </w:p>
    <w:p w14:paraId="79272373" w14:textId="77777777" w:rsidR="00615A2B" w:rsidRPr="00615A2B" w:rsidRDefault="00615A2B" w:rsidP="00B26838">
      <w:pPr>
        <w:tabs>
          <w:tab w:val="left" w:pos="425"/>
          <w:tab w:val="left" w:pos="851"/>
        </w:tabs>
        <w:spacing w:after="120"/>
        <w:ind w:firstLine="0"/>
        <w:jc w:val="center"/>
        <w:rPr>
          <w:szCs w:val="24"/>
        </w:rPr>
      </w:pPr>
      <w:r w:rsidRPr="00615A2B">
        <w:rPr>
          <w:bCs/>
          <w:szCs w:val="24"/>
        </w:rPr>
        <w:t xml:space="preserve">§ </w:t>
      </w:r>
      <w:r w:rsidRPr="00615A2B">
        <w:rPr>
          <w:szCs w:val="24"/>
        </w:rPr>
        <w:t>171</w:t>
      </w:r>
    </w:p>
    <w:p w14:paraId="6D87EDBB" w14:textId="77777777" w:rsidR="00615A2B" w:rsidRPr="00615A2B" w:rsidRDefault="00615A2B" w:rsidP="005F5A2E">
      <w:pPr>
        <w:pStyle w:val="Textodstavce"/>
        <w:ind w:firstLine="425"/>
        <w:rPr>
          <w:szCs w:val="24"/>
        </w:rPr>
      </w:pPr>
      <w:r w:rsidRPr="00615A2B">
        <w:rPr>
          <w:szCs w:val="24"/>
        </w:rPr>
        <w:t>(1) Na členské schůzi musí být členům volně přístupné k nahlédnutí listiny uvedené v § 169 odst. 1, pokud se vyžadují.</w:t>
      </w:r>
    </w:p>
    <w:p w14:paraId="12B821FC" w14:textId="77777777" w:rsidR="00615A2B" w:rsidRPr="00615A2B" w:rsidRDefault="00615A2B" w:rsidP="005F5A2E">
      <w:pPr>
        <w:pStyle w:val="Textodstavce"/>
        <w:ind w:firstLine="425"/>
        <w:rPr>
          <w:szCs w:val="24"/>
        </w:rPr>
      </w:pPr>
      <w:r w:rsidRPr="00615A2B">
        <w:rPr>
          <w:szCs w:val="24"/>
        </w:rPr>
        <w:t>(2) Představenstvo na začátku členské schůze objasní členům projekt fúze.</w:t>
      </w:r>
    </w:p>
    <w:p w14:paraId="3CFC8E8C" w14:textId="77777777" w:rsidR="00615A2B" w:rsidRPr="00615A2B" w:rsidRDefault="00615A2B" w:rsidP="005F5A2E">
      <w:pPr>
        <w:pStyle w:val="Textodstavce"/>
        <w:ind w:firstLine="425"/>
        <w:rPr>
          <w:szCs w:val="24"/>
        </w:rPr>
      </w:pPr>
      <w:r w:rsidRPr="00615A2B">
        <w:rPr>
          <w:szCs w:val="24"/>
        </w:rPr>
        <w:t xml:space="preserve">(3) Představenstvo seznámí před hlasováním o schválení fúze členy se znaleckou zprávou o fúzi, pokud se vyžaduje, a se všemi podstatnými změnami týkajícími se jmění, k nimž došlo v období od vyhotovení projektu fúze do dne konání členské schůze, která rozhoduje o fúzi, ve všech zúčastněných družstvech. Správnost oznámení o změnách týkající se jmění musí být potvrzena auditorem, pokud </w:t>
      </w:r>
      <w:proofErr w:type="gramStart"/>
      <w:r w:rsidRPr="00615A2B">
        <w:rPr>
          <w:strike/>
          <w:szCs w:val="24"/>
        </w:rPr>
        <w:t>podléhá</w:t>
      </w:r>
      <w:r w:rsidRPr="00615A2B">
        <w:rPr>
          <w:szCs w:val="24"/>
        </w:rPr>
        <w:t xml:space="preserve"> </w:t>
      </w:r>
      <w:r w:rsidRPr="00615A2B">
        <w:rPr>
          <w:b/>
          <w:szCs w:val="24"/>
        </w:rPr>
        <w:t>má</w:t>
      </w:r>
      <w:proofErr w:type="gramEnd"/>
      <w:r w:rsidRPr="00615A2B">
        <w:rPr>
          <w:szCs w:val="24"/>
        </w:rPr>
        <w:t xml:space="preserve"> družstvo </w:t>
      </w:r>
      <w:r w:rsidRPr="00615A2B">
        <w:rPr>
          <w:strike/>
          <w:szCs w:val="24"/>
        </w:rPr>
        <w:t>povinnému auditu</w:t>
      </w:r>
      <w:r w:rsidRPr="00615A2B">
        <w:rPr>
          <w:szCs w:val="24"/>
        </w:rPr>
        <w:t xml:space="preserve"> </w:t>
      </w:r>
      <w:r w:rsidRPr="00615A2B">
        <w:rPr>
          <w:b/>
          <w:szCs w:val="24"/>
        </w:rPr>
        <w:t>povinný audit</w:t>
      </w:r>
      <w:r w:rsidRPr="00615A2B">
        <w:rPr>
          <w:szCs w:val="24"/>
        </w:rPr>
        <w:t>.</w:t>
      </w:r>
    </w:p>
    <w:p w14:paraId="3FF56E12" w14:textId="77777777" w:rsidR="00615A2B" w:rsidRPr="00615A2B" w:rsidRDefault="00615A2B" w:rsidP="005F5A2E">
      <w:pPr>
        <w:pStyle w:val="Textodstavce"/>
        <w:ind w:firstLine="425"/>
        <w:rPr>
          <w:szCs w:val="24"/>
        </w:rPr>
      </w:pPr>
      <w:r w:rsidRPr="00615A2B">
        <w:rPr>
          <w:szCs w:val="24"/>
        </w:rPr>
        <w:t>(4) Představenstvo zúčastněného družstva informuje o změnách jmění podle odstavce 3 představenstva ostatních zúčastněných družstev tak, aby mohla informovat své členské schůze.</w:t>
      </w:r>
    </w:p>
    <w:p w14:paraId="458C80E1" w14:textId="77777777" w:rsidR="00615A2B" w:rsidRPr="00615A2B" w:rsidRDefault="00615A2B" w:rsidP="005F5A2E">
      <w:pPr>
        <w:pStyle w:val="Textodstavce"/>
        <w:pBdr>
          <w:top w:val="single" w:sz="12" w:space="1" w:color="00B0F0"/>
          <w:left w:val="single" w:sz="12" w:space="4" w:color="00B0F0"/>
          <w:bottom w:val="single" w:sz="12" w:space="1" w:color="00B0F0"/>
          <w:right w:val="single" w:sz="12" w:space="4" w:color="00B0F0"/>
        </w:pBdr>
        <w:spacing w:before="240"/>
        <w:ind w:firstLine="425"/>
        <w:rPr>
          <w:color w:val="00B0F0"/>
          <w:szCs w:val="24"/>
        </w:rPr>
      </w:pPr>
      <w:r w:rsidRPr="00615A2B">
        <w:rPr>
          <w:color w:val="00B0F0"/>
          <w:szCs w:val="24"/>
        </w:rPr>
        <w:lastRenderedPageBreak/>
        <w:t>(5) Jestliže má být fúze schválena členy družstva mimo členskou schůzi, je představenstvo povinno zaslat členům informace podle odstavce 3 spolu s návrhem rozhodnutí o fúzi mimo členskou schůzi.</w:t>
      </w:r>
    </w:p>
    <w:p w14:paraId="3A39177F" w14:textId="77777777" w:rsidR="00615A2B" w:rsidRPr="00615A2B" w:rsidRDefault="00615A2B" w:rsidP="005F5A2E">
      <w:pPr>
        <w:pStyle w:val="Textodstavce"/>
        <w:ind w:firstLine="425"/>
        <w:rPr>
          <w:szCs w:val="24"/>
        </w:rPr>
      </w:pPr>
      <w:r w:rsidRPr="00615A2B">
        <w:rPr>
          <w:szCs w:val="24"/>
        </w:rPr>
        <w:t>(6) Ustanovení odstavců 3 a 4 se nepoužijí, pokud s tím souhlasili všichni členové všech zúčastněných družstev.</w:t>
      </w:r>
    </w:p>
    <w:p w14:paraId="3B474239" w14:textId="77777777" w:rsidR="00615A2B" w:rsidRPr="00615A2B" w:rsidRDefault="00615A2B" w:rsidP="00B26838">
      <w:pPr>
        <w:spacing w:after="120"/>
        <w:ind w:firstLine="0"/>
        <w:jc w:val="center"/>
        <w:rPr>
          <w:szCs w:val="24"/>
        </w:rPr>
      </w:pPr>
      <w:r w:rsidRPr="00615A2B">
        <w:rPr>
          <w:szCs w:val="24"/>
        </w:rPr>
        <w:t>§ 172</w:t>
      </w:r>
    </w:p>
    <w:p w14:paraId="37C44B71" w14:textId="77777777" w:rsidR="00615A2B" w:rsidRPr="00615A2B" w:rsidRDefault="00615A2B" w:rsidP="00615A2B">
      <w:pPr>
        <w:pStyle w:val="Textodstavce"/>
        <w:spacing w:before="240"/>
        <w:ind w:firstLine="425"/>
        <w:rPr>
          <w:szCs w:val="24"/>
        </w:rPr>
      </w:pPr>
      <w:r w:rsidRPr="00615A2B">
        <w:rPr>
          <w:szCs w:val="24"/>
        </w:rPr>
        <w:t>Usnesení členské schůze zúčastněného družstva o schválení fúze sloučením musí obsahovat schválení</w:t>
      </w:r>
    </w:p>
    <w:p w14:paraId="008EF383" w14:textId="77777777" w:rsidR="00615A2B" w:rsidRPr="00615A2B" w:rsidRDefault="00615A2B" w:rsidP="00DE29D4">
      <w:pPr>
        <w:pStyle w:val="PZTextpsmene"/>
        <w:spacing w:before="0"/>
        <w:ind w:left="426" w:hanging="426"/>
        <w:rPr>
          <w:szCs w:val="24"/>
        </w:rPr>
      </w:pPr>
      <w:r w:rsidRPr="00615A2B">
        <w:rPr>
          <w:szCs w:val="24"/>
        </w:rPr>
        <w:t>a)</w:t>
      </w:r>
      <w:r w:rsidRPr="00615A2B">
        <w:rPr>
          <w:szCs w:val="24"/>
        </w:rPr>
        <w:tab/>
        <w:t>projektu fúze sloučením a</w:t>
      </w:r>
    </w:p>
    <w:p w14:paraId="0720AAAE" w14:textId="77777777" w:rsidR="00615A2B" w:rsidRPr="00615A2B" w:rsidRDefault="00615A2B" w:rsidP="00DE29D4">
      <w:pPr>
        <w:spacing w:before="0"/>
        <w:ind w:left="426" w:hanging="426"/>
        <w:rPr>
          <w:szCs w:val="24"/>
        </w:rPr>
      </w:pPr>
      <w:r w:rsidRPr="00615A2B">
        <w:rPr>
          <w:szCs w:val="24"/>
        </w:rPr>
        <w:t>b)</w:t>
      </w:r>
      <w:r w:rsidRPr="00615A2B">
        <w:rPr>
          <w:szCs w:val="24"/>
        </w:rPr>
        <w:tab/>
        <w:t xml:space="preserve">konečné účetní závěrky příslušného zúčastněného družstva a zahajovací rozvahy nástupnického družstva, pokud rozhodný den fúze předchází vyhotovení projektu fúze, popřípadě mezitímní </w:t>
      </w:r>
      <w:r w:rsidRPr="00615A2B">
        <w:rPr>
          <w:b/>
          <w:szCs w:val="24"/>
        </w:rPr>
        <w:t xml:space="preserve">individuální </w:t>
      </w:r>
      <w:r w:rsidRPr="00615A2B">
        <w:rPr>
          <w:szCs w:val="24"/>
        </w:rPr>
        <w:t>účetní závěrky příslušného zúčastněného družstva.</w:t>
      </w:r>
    </w:p>
    <w:p w14:paraId="0B4090A2" w14:textId="77777777" w:rsidR="00615A2B" w:rsidRPr="00615A2B" w:rsidRDefault="00615A2B" w:rsidP="00B26838">
      <w:pPr>
        <w:spacing w:after="120"/>
        <w:ind w:firstLine="0"/>
        <w:jc w:val="center"/>
        <w:rPr>
          <w:szCs w:val="24"/>
        </w:rPr>
      </w:pPr>
      <w:r w:rsidRPr="00615A2B">
        <w:rPr>
          <w:szCs w:val="24"/>
        </w:rPr>
        <w:t>§ 173</w:t>
      </w:r>
    </w:p>
    <w:p w14:paraId="46F95767" w14:textId="77777777" w:rsidR="00615A2B" w:rsidRPr="00615A2B" w:rsidRDefault="00615A2B" w:rsidP="00615A2B">
      <w:pPr>
        <w:pStyle w:val="Textodstavce"/>
        <w:spacing w:before="240"/>
        <w:ind w:firstLine="425"/>
        <w:rPr>
          <w:szCs w:val="24"/>
        </w:rPr>
      </w:pPr>
      <w:r w:rsidRPr="00615A2B">
        <w:rPr>
          <w:szCs w:val="24"/>
        </w:rPr>
        <w:t xml:space="preserve">Pokud nebyla dosud schválena poslední řádná </w:t>
      </w:r>
      <w:r w:rsidRPr="00615A2B">
        <w:rPr>
          <w:strike/>
          <w:szCs w:val="24"/>
        </w:rPr>
        <w:t>nebo mimořádná</w:t>
      </w:r>
      <w:r w:rsidRPr="00615A2B">
        <w:rPr>
          <w:szCs w:val="24"/>
        </w:rPr>
        <w:t xml:space="preserve"> </w:t>
      </w:r>
      <w:r w:rsidRPr="00615A2B">
        <w:rPr>
          <w:b/>
          <w:szCs w:val="24"/>
        </w:rPr>
        <w:t>individuální</w:t>
      </w:r>
      <w:r w:rsidRPr="00615A2B">
        <w:rPr>
          <w:szCs w:val="24"/>
        </w:rPr>
        <w:t xml:space="preserve"> účetní závěrka jakéhokoliv zúčastněného družstva, popřípadě mezitímní </w:t>
      </w:r>
      <w:r w:rsidRPr="00615A2B">
        <w:rPr>
          <w:b/>
          <w:szCs w:val="24"/>
        </w:rPr>
        <w:t>individuální</w:t>
      </w:r>
      <w:r w:rsidRPr="00615A2B">
        <w:rPr>
          <w:szCs w:val="24"/>
        </w:rPr>
        <w:t xml:space="preserve"> účetní závěrka, pokud se vyžaduje, anebo konečná účetní závěrka členskou schůzí tohoto zúčastněného družstva před zápisem fúze do obchodního rejstříku, schvaluje tyto účetní závěrky členská schůze nástupnického družstva po zápisu fúze do obchodního rejstříku. Schválení zahajovací rozvahy se v tomto případě nevyžaduje.</w:t>
      </w:r>
    </w:p>
    <w:p w14:paraId="669AE39E" w14:textId="77777777" w:rsidR="00615A2B" w:rsidRPr="00615A2B" w:rsidRDefault="00615A2B" w:rsidP="00B26838">
      <w:pPr>
        <w:spacing w:after="120"/>
        <w:ind w:firstLine="0"/>
        <w:jc w:val="center"/>
        <w:rPr>
          <w:szCs w:val="24"/>
        </w:rPr>
      </w:pPr>
      <w:r w:rsidRPr="00615A2B">
        <w:rPr>
          <w:szCs w:val="24"/>
        </w:rPr>
        <w:t>§ 174</w:t>
      </w:r>
    </w:p>
    <w:p w14:paraId="5F1B1AC9" w14:textId="77777777" w:rsidR="00615A2B" w:rsidRPr="00615A2B" w:rsidRDefault="00615A2B" w:rsidP="00615A2B">
      <w:pPr>
        <w:pStyle w:val="Textodstavce"/>
        <w:spacing w:before="240"/>
        <w:ind w:firstLine="425"/>
        <w:rPr>
          <w:szCs w:val="24"/>
        </w:rPr>
      </w:pPr>
      <w:r w:rsidRPr="00615A2B">
        <w:rPr>
          <w:szCs w:val="24"/>
        </w:rPr>
        <w:t>Usnesení členských schůzí všech zanikajících družstev o schválení fúze splynutím musí obsahovat schválení</w:t>
      </w:r>
    </w:p>
    <w:p w14:paraId="2DDF6A8F" w14:textId="77777777" w:rsidR="00615A2B" w:rsidRPr="00615A2B" w:rsidRDefault="00615A2B" w:rsidP="00DE29D4">
      <w:pPr>
        <w:pStyle w:val="PZTextpsmene"/>
        <w:spacing w:before="0"/>
        <w:ind w:left="426" w:hanging="426"/>
        <w:rPr>
          <w:szCs w:val="24"/>
        </w:rPr>
      </w:pPr>
      <w:r w:rsidRPr="00615A2B">
        <w:rPr>
          <w:szCs w:val="24"/>
        </w:rPr>
        <w:t>a)</w:t>
      </w:r>
      <w:r w:rsidRPr="00615A2B">
        <w:rPr>
          <w:szCs w:val="24"/>
        </w:rPr>
        <w:tab/>
        <w:t>projektu fúze splynutím a</w:t>
      </w:r>
    </w:p>
    <w:p w14:paraId="6F07CC1C" w14:textId="77777777" w:rsidR="00615A2B" w:rsidRPr="00615A2B" w:rsidRDefault="00615A2B" w:rsidP="00DE29D4">
      <w:pPr>
        <w:spacing w:before="0"/>
        <w:ind w:left="426" w:hanging="426"/>
        <w:rPr>
          <w:szCs w:val="24"/>
        </w:rPr>
      </w:pPr>
      <w:r w:rsidRPr="00615A2B">
        <w:rPr>
          <w:szCs w:val="24"/>
        </w:rPr>
        <w:t>b)</w:t>
      </w:r>
      <w:r w:rsidRPr="00615A2B">
        <w:rPr>
          <w:szCs w:val="24"/>
        </w:rPr>
        <w:tab/>
        <w:t xml:space="preserve">konečné účetní závěrky zanikajícího družstva a zahajovací rozvahy nástupnického družstva, pokud rozhodný den fúze předchází vyhotovení projektu fúze, popřípadě mezitímní </w:t>
      </w:r>
      <w:r w:rsidRPr="00615A2B">
        <w:rPr>
          <w:b/>
          <w:szCs w:val="24"/>
        </w:rPr>
        <w:t xml:space="preserve">individuální </w:t>
      </w:r>
      <w:r w:rsidRPr="00615A2B">
        <w:rPr>
          <w:szCs w:val="24"/>
        </w:rPr>
        <w:t>účetní závěrky zanikajícího družstva.</w:t>
      </w:r>
    </w:p>
    <w:p w14:paraId="192E380C" w14:textId="77777777" w:rsidR="00615A2B" w:rsidRPr="00615A2B" w:rsidRDefault="00615A2B" w:rsidP="00992796">
      <w:pPr>
        <w:pStyle w:val="Nadpisparagrafu"/>
        <w:numPr>
          <w:ilvl w:val="0"/>
          <w:numId w:val="39"/>
        </w:numPr>
        <w:spacing w:after="120"/>
        <w:rPr>
          <w:b w:val="0"/>
          <w:szCs w:val="24"/>
        </w:rPr>
      </w:pPr>
      <w:r w:rsidRPr="00615A2B">
        <w:rPr>
          <w:b w:val="0"/>
          <w:szCs w:val="24"/>
        </w:rPr>
        <w:t>***</w:t>
      </w:r>
    </w:p>
    <w:p w14:paraId="1D28F12A" w14:textId="77777777" w:rsidR="00615A2B" w:rsidRPr="00615A2B" w:rsidRDefault="00615A2B" w:rsidP="00600702">
      <w:pPr>
        <w:keepNext/>
        <w:tabs>
          <w:tab w:val="left" w:pos="425"/>
          <w:tab w:val="left" w:pos="851"/>
        </w:tabs>
        <w:spacing w:after="120"/>
        <w:ind w:firstLine="0"/>
        <w:jc w:val="center"/>
        <w:rPr>
          <w:szCs w:val="24"/>
        </w:rPr>
      </w:pPr>
      <w:r w:rsidRPr="00615A2B">
        <w:rPr>
          <w:szCs w:val="24"/>
        </w:rPr>
        <w:t>§ 250</w:t>
      </w:r>
    </w:p>
    <w:p w14:paraId="46B892B4" w14:textId="77777777" w:rsidR="00615A2B" w:rsidRPr="00600702" w:rsidRDefault="00615A2B" w:rsidP="00615A2B">
      <w:pPr>
        <w:pStyle w:val="Textodstavce"/>
        <w:spacing w:before="240"/>
        <w:ind w:firstLine="425"/>
        <w:rPr>
          <w:szCs w:val="24"/>
        </w:rPr>
      </w:pPr>
      <w:r w:rsidRPr="00600702">
        <w:rPr>
          <w:szCs w:val="24"/>
        </w:rPr>
        <w:t xml:space="preserve">(1) Projekt rozdělení musí obsahovat alespoň </w:t>
      </w:r>
    </w:p>
    <w:p w14:paraId="31E0D0F1" w14:textId="231639E1" w:rsidR="00615A2B" w:rsidRPr="00600702" w:rsidRDefault="00600702" w:rsidP="00DE29D4">
      <w:pPr>
        <w:pStyle w:val="PZTextpsmene"/>
        <w:tabs>
          <w:tab w:val="left" w:pos="420"/>
          <w:tab w:val="left" w:pos="840"/>
        </w:tabs>
        <w:spacing w:before="0"/>
        <w:ind w:left="426" w:hanging="426"/>
        <w:rPr>
          <w:szCs w:val="24"/>
        </w:rPr>
      </w:pPr>
      <w:r>
        <w:rPr>
          <w:szCs w:val="24"/>
        </w:rPr>
        <w:t>a)</w:t>
      </w:r>
      <w:r>
        <w:rPr>
          <w:szCs w:val="24"/>
        </w:rPr>
        <w:tab/>
      </w:r>
      <w:r w:rsidR="00615A2B" w:rsidRPr="00600702">
        <w:rPr>
          <w:szCs w:val="24"/>
        </w:rPr>
        <w:t xml:space="preserve">firmu a sídlo všech zúčastněných a nových společností nebo družstev a jejich právní formu a identifikační číslo všech zúčastněných společností nebo družstev, </w:t>
      </w:r>
    </w:p>
    <w:p w14:paraId="18BC8751" w14:textId="69A5158F" w:rsidR="00615A2B" w:rsidRPr="00600702" w:rsidRDefault="00600702" w:rsidP="00DE29D4">
      <w:pPr>
        <w:pStyle w:val="PZTextpsmene"/>
        <w:tabs>
          <w:tab w:val="left" w:pos="420"/>
          <w:tab w:val="left" w:pos="840"/>
        </w:tabs>
        <w:spacing w:before="0"/>
        <w:ind w:left="426" w:hanging="426"/>
        <w:rPr>
          <w:szCs w:val="24"/>
        </w:rPr>
      </w:pPr>
      <w:r>
        <w:rPr>
          <w:szCs w:val="24"/>
        </w:rPr>
        <w:t>b)</w:t>
      </w:r>
      <w:r>
        <w:rPr>
          <w:szCs w:val="24"/>
        </w:rPr>
        <w:tab/>
      </w:r>
      <w:r w:rsidR="00615A2B" w:rsidRPr="00600702">
        <w:rPr>
          <w:szCs w:val="24"/>
        </w:rPr>
        <w:t xml:space="preserve">při rozštěpení výměnný poměr podílů společníků nebo členů zanikající společnosti nebo družstva na jedné nebo více nástupnických společnostech nebo družstvech s uvedením, jak se rozdělují podíly na nástupnických společnostech nebo družstvech mezi společníky nebo členy zanikající společnosti nebo družstva, a kritérium, na němž je toto rozdělení založeno, a případný doplatek s určením jeho výše a doby splatnosti, </w:t>
      </w:r>
    </w:p>
    <w:p w14:paraId="139FF922" w14:textId="4804B20D" w:rsidR="00615A2B" w:rsidRPr="00600702" w:rsidRDefault="00600702" w:rsidP="00DE29D4">
      <w:pPr>
        <w:pStyle w:val="PZTextpsmene"/>
        <w:tabs>
          <w:tab w:val="left" w:pos="420"/>
          <w:tab w:val="left" w:pos="840"/>
        </w:tabs>
        <w:spacing w:before="0"/>
        <w:ind w:left="426" w:hanging="426"/>
        <w:rPr>
          <w:szCs w:val="24"/>
        </w:rPr>
      </w:pPr>
      <w:r>
        <w:rPr>
          <w:szCs w:val="24"/>
        </w:rPr>
        <w:t>c)</w:t>
      </w:r>
      <w:r>
        <w:rPr>
          <w:szCs w:val="24"/>
        </w:rPr>
        <w:tab/>
      </w:r>
      <w:r w:rsidR="00615A2B" w:rsidRPr="00600702">
        <w:rPr>
          <w:szCs w:val="24"/>
        </w:rPr>
        <w:t xml:space="preserve">při odštěpení výměnný poměr podílů obsahující údaj o tom, kolik a jakých podílů nabude společník nebo člen rozdělované společnosti nebo družstva na nástupnické nebo nástupnických společnostech nebo družstvech, popřípadě údaj o tom, účast jakého </w:t>
      </w:r>
      <w:r w:rsidR="00615A2B" w:rsidRPr="00600702">
        <w:rPr>
          <w:szCs w:val="24"/>
        </w:rPr>
        <w:lastRenderedPageBreak/>
        <w:t xml:space="preserve">společníka na rozdělované společnosti v důsledku odštěpení zanikne, s uvedením, jak se rozdělují podíly na nástupnických společnostech nebo družstvech mezi společníky nebo členy rozdělované společnosti nebo družstva, a kritérium, na němž je toto rozdělení založeno a případný doplatek s určením jeho výše a doby splatnosti, </w:t>
      </w:r>
    </w:p>
    <w:p w14:paraId="7B25447F" w14:textId="33534BB7" w:rsidR="00615A2B" w:rsidRPr="00600702" w:rsidRDefault="00600702" w:rsidP="00DE29D4">
      <w:pPr>
        <w:pStyle w:val="PZTextpsmene"/>
        <w:tabs>
          <w:tab w:val="left" w:pos="420"/>
          <w:tab w:val="left" w:pos="840"/>
        </w:tabs>
        <w:spacing w:before="0"/>
        <w:ind w:left="426" w:hanging="426"/>
        <w:rPr>
          <w:szCs w:val="24"/>
        </w:rPr>
      </w:pPr>
      <w:r>
        <w:rPr>
          <w:szCs w:val="24"/>
        </w:rPr>
        <w:t>d)</w:t>
      </w:r>
      <w:r>
        <w:rPr>
          <w:szCs w:val="24"/>
        </w:rPr>
        <w:tab/>
      </w:r>
      <w:r w:rsidR="00615A2B" w:rsidRPr="00600702">
        <w:rPr>
          <w:szCs w:val="24"/>
        </w:rPr>
        <w:t xml:space="preserve">rozhodný den rozdělení, </w:t>
      </w:r>
    </w:p>
    <w:p w14:paraId="5FC1B059" w14:textId="4C7A34BF" w:rsidR="00615A2B" w:rsidRPr="00600702" w:rsidRDefault="00600702" w:rsidP="005F5A2E">
      <w:pPr>
        <w:pStyle w:val="PZTextpsmene"/>
        <w:pBdr>
          <w:top w:val="single" w:sz="12" w:space="1" w:color="00B0F0"/>
          <w:left w:val="single" w:sz="12" w:space="4" w:color="00B0F0"/>
          <w:bottom w:val="single" w:sz="12" w:space="1" w:color="00B0F0"/>
          <w:right w:val="single" w:sz="12" w:space="4" w:color="00B0F0"/>
        </w:pBdr>
        <w:tabs>
          <w:tab w:val="left" w:pos="420"/>
          <w:tab w:val="left" w:pos="840"/>
        </w:tabs>
        <w:spacing w:before="0"/>
        <w:ind w:left="426" w:hanging="426"/>
        <w:rPr>
          <w:szCs w:val="24"/>
        </w:rPr>
      </w:pPr>
      <w:r>
        <w:rPr>
          <w:szCs w:val="24"/>
        </w:rPr>
        <w:t>e)</w:t>
      </w:r>
      <w:r>
        <w:rPr>
          <w:szCs w:val="24"/>
        </w:rPr>
        <w:tab/>
      </w:r>
      <w:r w:rsidR="00615A2B" w:rsidRPr="00600702">
        <w:rPr>
          <w:color w:val="00B0F0"/>
          <w:szCs w:val="24"/>
        </w:rPr>
        <w:t xml:space="preserve">při rozštěpení nebo odštěpení </w:t>
      </w:r>
      <w:r w:rsidR="00615A2B" w:rsidRPr="00600702">
        <w:rPr>
          <w:szCs w:val="24"/>
        </w:rPr>
        <w:t xml:space="preserve">práva, jež nástupnická společnost nebo družstvo poskytne vlastníkům emitovaných dluhopisů, popřípadě opatření, jež jsou pro ně navrhována, </w:t>
      </w:r>
    </w:p>
    <w:p w14:paraId="24973C0C" w14:textId="0D80F6D3" w:rsidR="00615A2B" w:rsidRPr="00600702" w:rsidRDefault="00600702" w:rsidP="005F5A2E">
      <w:pPr>
        <w:pStyle w:val="PZTextpsmene"/>
        <w:pBdr>
          <w:top w:val="single" w:sz="12" w:space="1" w:color="00B0F0"/>
          <w:left w:val="single" w:sz="12" w:space="4" w:color="00B0F0"/>
          <w:bottom w:val="single" w:sz="12" w:space="1" w:color="00B0F0"/>
          <w:right w:val="single" w:sz="12" w:space="4" w:color="00B0F0"/>
        </w:pBdr>
        <w:tabs>
          <w:tab w:val="left" w:pos="420"/>
          <w:tab w:val="left" w:pos="840"/>
        </w:tabs>
        <w:spacing w:before="0"/>
        <w:ind w:left="426" w:hanging="426"/>
        <w:rPr>
          <w:szCs w:val="24"/>
        </w:rPr>
      </w:pPr>
      <w:r>
        <w:rPr>
          <w:szCs w:val="24"/>
        </w:rPr>
        <w:t>f)</w:t>
      </w:r>
      <w:r>
        <w:rPr>
          <w:szCs w:val="24"/>
        </w:rPr>
        <w:tab/>
      </w:r>
      <w:r w:rsidR="00615A2B" w:rsidRPr="00600702">
        <w:rPr>
          <w:color w:val="00B0F0"/>
          <w:szCs w:val="24"/>
        </w:rPr>
        <w:t>při rozštěpení nebo odštěpení</w:t>
      </w:r>
      <w:r w:rsidR="00615A2B" w:rsidRPr="00600702">
        <w:rPr>
          <w:b/>
          <w:bCs/>
          <w:color w:val="00B0F0"/>
          <w:szCs w:val="24"/>
        </w:rPr>
        <w:t xml:space="preserve"> </w:t>
      </w:r>
      <w:r w:rsidR="00615A2B" w:rsidRPr="00600702">
        <w:rPr>
          <w:szCs w:val="24"/>
        </w:rPr>
        <w:t xml:space="preserve">den, od kterého vzniká právo na podíl na zisku komanditistům nebo společníkům společnosti s ručením omezeným nebo akciové společnosti z vyměněných nebo nových podílů při rozdělení sloučením, jakož i zvláštní podmínky týkající se tohoto práva, pokud existují, </w:t>
      </w:r>
    </w:p>
    <w:p w14:paraId="58E7598C" w14:textId="2D00614A" w:rsidR="00615A2B" w:rsidRPr="00600702" w:rsidRDefault="00600702" w:rsidP="00DE29D4">
      <w:pPr>
        <w:pStyle w:val="PZTextpsmene"/>
        <w:tabs>
          <w:tab w:val="left" w:pos="420"/>
          <w:tab w:val="left" w:pos="840"/>
        </w:tabs>
        <w:spacing w:before="0"/>
        <w:ind w:left="426" w:hanging="426"/>
        <w:rPr>
          <w:szCs w:val="24"/>
        </w:rPr>
      </w:pPr>
      <w:r>
        <w:rPr>
          <w:szCs w:val="24"/>
        </w:rPr>
        <w:t>g)</w:t>
      </w:r>
      <w:r>
        <w:rPr>
          <w:szCs w:val="24"/>
        </w:rPr>
        <w:tab/>
      </w:r>
      <w:r w:rsidR="00615A2B" w:rsidRPr="00600702">
        <w:rPr>
          <w:szCs w:val="24"/>
        </w:rPr>
        <w:t xml:space="preserve">všechny zvláštní výhody, které jedna nebo více zúčastněných nebo nových společností nebo družstev poskytuje členům statutárního orgánu, členům dozorčí rady nebo kontrolní komise, pokud se zřizuje, a znalci přezkoumávajícímu projekt rozdělení; přitom se zvlášť uvede, komu je tato výhoda poskytována a kdo a za jakých podmínek ji poskytuje, </w:t>
      </w:r>
    </w:p>
    <w:p w14:paraId="3E632ABF" w14:textId="6A275C4D" w:rsidR="00615A2B" w:rsidRPr="00600702" w:rsidRDefault="00600702" w:rsidP="005F5A2E">
      <w:pPr>
        <w:pStyle w:val="PZTextpsmene"/>
        <w:pBdr>
          <w:top w:val="single" w:sz="12" w:space="1" w:color="00B0F0"/>
          <w:left w:val="single" w:sz="12" w:space="4" w:color="00B0F0"/>
          <w:bottom w:val="single" w:sz="12" w:space="1" w:color="00B0F0"/>
          <w:right w:val="single" w:sz="12" w:space="4" w:color="00B0F0"/>
        </w:pBdr>
        <w:tabs>
          <w:tab w:val="left" w:pos="420"/>
          <w:tab w:val="left" w:pos="840"/>
        </w:tabs>
        <w:spacing w:before="0"/>
        <w:ind w:left="426" w:hanging="426"/>
        <w:rPr>
          <w:szCs w:val="24"/>
        </w:rPr>
      </w:pPr>
      <w:r>
        <w:rPr>
          <w:szCs w:val="24"/>
        </w:rPr>
        <w:t>h)</w:t>
      </w:r>
      <w:r>
        <w:rPr>
          <w:szCs w:val="24"/>
        </w:rPr>
        <w:tab/>
      </w:r>
      <w:r w:rsidR="00615A2B" w:rsidRPr="00600702">
        <w:rPr>
          <w:szCs w:val="24"/>
        </w:rPr>
        <w:t xml:space="preserve">určení, kteří zaměstnanci zanikající nebo rozdělované společnosti nebo družstva se stávají zaměstnanci nástupnické nebo nástupnických společností nebo družstev nebo zůstávají zaměstnanci rozdělované společnosti nebo družstva při odštěpení </w:t>
      </w:r>
      <w:r w:rsidR="00615A2B" w:rsidRPr="00600702">
        <w:rPr>
          <w:bCs/>
          <w:color w:val="00B0F0"/>
          <w:szCs w:val="24"/>
        </w:rPr>
        <w:t>nebo vyčlenění</w:t>
      </w:r>
      <w:r w:rsidR="00615A2B" w:rsidRPr="00600702">
        <w:rPr>
          <w:szCs w:val="24"/>
        </w:rPr>
        <w:t xml:space="preserve">, </w:t>
      </w:r>
    </w:p>
    <w:p w14:paraId="7D6BC7E3" w14:textId="7FBEC971" w:rsidR="00615A2B" w:rsidRPr="00600702" w:rsidRDefault="00600702" w:rsidP="005F5A2E">
      <w:pPr>
        <w:pStyle w:val="PZTextpsmene"/>
        <w:pBdr>
          <w:top w:val="single" w:sz="12" w:space="1" w:color="00B0F0"/>
          <w:left w:val="single" w:sz="12" w:space="4" w:color="00B0F0"/>
          <w:bottom w:val="single" w:sz="12" w:space="1" w:color="00B0F0"/>
          <w:right w:val="single" w:sz="12" w:space="4" w:color="00B0F0"/>
        </w:pBdr>
        <w:tabs>
          <w:tab w:val="left" w:pos="420"/>
          <w:tab w:val="left" w:pos="840"/>
        </w:tabs>
        <w:spacing w:before="0"/>
        <w:ind w:left="426" w:hanging="426"/>
        <w:rPr>
          <w:szCs w:val="24"/>
        </w:rPr>
      </w:pPr>
      <w:r>
        <w:rPr>
          <w:szCs w:val="24"/>
        </w:rPr>
        <w:t>i)</w:t>
      </w:r>
      <w:r>
        <w:rPr>
          <w:szCs w:val="24"/>
        </w:rPr>
        <w:tab/>
      </w:r>
      <w:r w:rsidR="00615A2B" w:rsidRPr="00600702">
        <w:rPr>
          <w:szCs w:val="24"/>
        </w:rPr>
        <w:t xml:space="preserve">určení, jaký majetek a jaké dluhy přecházejí na nástupnickou nebo jednotlivé nástupnické společnosti nebo družstva nebo zůstávají rozdělované společnosti nebo družstvu při odštěpení </w:t>
      </w:r>
      <w:r w:rsidR="00615A2B" w:rsidRPr="00600702">
        <w:rPr>
          <w:bCs/>
          <w:color w:val="00B0F0"/>
          <w:szCs w:val="24"/>
        </w:rPr>
        <w:t>nebo vyčlenění</w:t>
      </w:r>
      <w:r w:rsidR="00615A2B" w:rsidRPr="00600702">
        <w:rPr>
          <w:szCs w:val="24"/>
        </w:rPr>
        <w:t xml:space="preserve">; při tomto určení je možno použít odkazu na poslední </w:t>
      </w:r>
      <w:r w:rsidR="00615A2B" w:rsidRPr="00600702">
        <w:rPr>
          <w:strike/>
          <w:szCs w:val="24"/>
        </w:rPr>
        <w:t xml:space="preserve">řádnou, mimořádnou, konečnou nebo mezitímní </w:t>
      </w:r>
      <w:r w:rsidR="00615A2B" w:rsidRPr="00600702">
        <w:rPr>
          <w:b/>
          <w:szCs w:val="24"/>
        </w:rPr>
        <w:t>individuální</w:t>
      </w:r>
      <w:r w:rsidR="00615A2B" w:rsidRPr="00600702">
        <w:rPr>
          <w:szCs w:val="24"/>
        </w:rPr>
        <w:t xml:space="preserve"> účetní závěrku sestavenou před vyhotovením projektu fúze a soupisy jmění z provedené inventarizace, jestliže takové určení umožňují; majetek a práva zapisovaná do katastru nemovitostí se v projektu rozdělení označí podle zákona upravujícího veřejnou evidenci nemovitostí</w:t>
      </w:r>
      <w:r w:rsidR="00615A2B" w:rsidRPr="00600702">
        <w:rPr>
          <w:szCs w:val="24"/>
          <w:vertAlign w:val="superscript"/>
        </w:rPr>
        <w:t>3)</w:t>
      </w:r>
      <w:r w:rsidR="00615A2B" w:rsidRPr="00600702">
        <w:rPr>
          <w:szCs w:val="24"/>
        </w:rPr>
        <w:t>,</w:t>
      </w:r>
    </w:p>
    <w:p w14:paraId="2AE03BE3" w14:textId="04ADCE88" w:rsidR="00615A2B" w:rsidRPr="00600702" w:rsidRDefault="00600702" w:rsidP="00DE29D4">
      <w:pPr>
        <w:pStyle w:val="PZTextpsmene"/>
        <w:tabs>
          <w:tab w:val="left" w:pos="420"/>
          <w:tab w:val="left" w:pos="840"/>
        </w:tabs>
        <w:spacing w:before="0"/>
        <w:ind w:left="426" w:hanging="426"/>
        <w:rPr>
          <w:szCs w:val="24"/>
        </w:rPr>
      </w:pPr>
      <w:r>
        <w:rPr>
          <w:szCs w:val="24"/>
        </w:rPr>
        <w:t>j)</w:t>
      </w:r>
      <w:r>
        <w:rPr>
          <w:szCs w:val="24"/>
        </w:rPr>
        <w:tab/>
      </w:r>
      <w:r w:rsidR="00615A2B" w:rsidRPr="00600702">
        <w:rPr>
          <w:szCs w:val="24"/>
        </w:rPr>
        <w:t xml:space="preserve">při rozdělení sloučením změny zakladatelského právního jednání nástupnické společnosti nebo družstva, má-li k nim v důsledku rozdělení dojít; jestliže nejsou v projektu rozdělení sloučením obsaženy žádné změny zakladatelského právního jednání, má se za to, že zakladatelské právní jednání se nemění, </w:t>
      </w:r>
    </w:p>
    <w:p w14:paraId="77664702" w14:textId="172ED2AA" w:rsidR="00615A2B" w:rsidRPr="00600702" w:rsidRDefault="00600702" w:rsidP="00DE29D4">
      <w:pPr>
        <w:pStyle w:val="PZTextpsmene"/>
        <w:tabs>
          <w:tab w:val="left" w:pos="420"/>
          <w:tab w:val="left" w:pos="840"/>
        </w:tabs>
        <w:spacing w:before="0"/>
        <w:ind w:left="426" w:hanging="426"/>
        <w:rPr>
          <w:szCs w:val="24"/>
        </w:rPr>
      </w:pPr>
      <w:r>
        <w:rPr>
          <w:szCs w:val="24"/>
        </w:rPr>
        <w:t>k)</w:t>
      </w:r>
      <w:r>
        <w:rPr>
          <w:szCs w:val="24"/>
        </w:rPr>
        <w:tab/>
      </w:r>
      <w:r w:rsidR="00615A2B" w:rsidRPr="00600702">
        <w:rPr>
          <w:szCs w:val="24"/>
        </w:rPr>
        <w:t xml:space="preserve">při rozdělení se vznikem nových společností nebo družstev </w:t>
      </w:r>
    </w:p>
    <w:p w14:paraId="29BF05DF" w14:textId="426CB20E" w:rsidR="00615A2B" w:rsidRPr="00600702" w:rsidRDefault="00600702" w:rsidP="00DE29D4">
      <w:pPr>
        <w:widowControl w:val="0"/>
        <w:tabs>
          <w:tab w:val="left" w:pos="420"/>
          <w:tab w:val="left" w:pos="840"/>
        </w:tabs>
        <w:autoSpaceDE w:val="0"/>
        <w:autoSpaceDN w:val="0"/>
        <w:adjustRightInd w:val="0"/>
        <w:spacing w:before="0"/>
        <w:ind w:left="426" w:hanging="426"/>
        <w:rPr>
          <w:szCs w:val="24"/>
        </w:rPr>
      </w:pPr>
      <w:r>
        <w:rPr>
          <w:szCs w:val="24"/>
        </w:rPr>
        <w:tab/>
        <w:t>1.</w:t>
      </w:r>
      <w:r>
        <w:rPr>
          <w:szCs w:val="24"/>
        </w:rPr>
        <w:tab/>
      </w:r>
      <w:r w:rsidR="00615A2B" w:rsidRPr="00600702">
        <w:rPr>
          <w:szCs w:val="24"/>
        </w:rPr>
        <w:t xml:space="preserve">zakladatelské právní jednání všech nástupnických společností nebo družstev, </w:t>
      </w:r>
    </w:p>
    <w:p w14:paraId="20511674" w14:textId="317DCEA1" w:rsidR="00615A2B" w:rsidRPr="00600702" w:rsidRDefault="00600702" w:rsidP="00DE29D4">
      <w:pPr>
        <w:widowControl w:val="0"/>
        <w:tabs>
          <w:tab w:val="left" w:pos="420"/>
          <w:tab w:val="left" w:pos="840"/>
        </w:tabs>
        <w:autoSpaceDE w:val="0"/>
        <w:autoSpaceDN w:val="0"/>
        <w:adjustRightInd w:val="0"/>
        <w:spacing w:before="0"/>
        <w:ind w:left="426" w:hanging="426"/>
        <w:rPr>
          <w:szCs w:val="24"/>
        </w:rPr>
      </w:pPr>
      <w:r>
        <w:rPr>
          <w:szCs w:val="24"/>
        </w:rPr>
        <w:tab/>
        <w:t>2.</w:t>
      </w:r>
      <w:r>
        <w:rPr>
          <w:szCs w:val="24"/>
        </w:rPr>
        <w:tab/>
      </w:r>
      <w:r w:rsidR="00615A2B" w:rsidRPr="00600702">
        <w:rPr>
          <w:szCs w:val="24"/>
        </w:rPr>
        <w:t xml:space="preserve">jména a bydliště nebo firmy nebo názvy, sídla a identifikační čísla členů statutárního orgánu nástupnické společnosti nebo družstva a členů dozorčí rady akciové společnosti, a pokud se zřizují, i dozorčí rady společnosti s ručením omezeným nebo kontrolní komise družstva, </w:t>
      </w:r>
    </w:p>
    <w:p w14:paraId="61D71CD5" w14:textId="41A84E34" w:rsidR="00615A2B" w:rsidRPr="00600702" w:rsidRDefault="00600702" w:rsidP="00DE29D4">
      <w:pPr>
        <w:pStyle w:val="PZTextpsmene"/>
        <w:tabs>
          <w:tab w:val="left" w:pos="420"/>
          <w:tab w:val="left" w:pos="840"/>
        </w:tabs>
        <w:spacing w:before="0"/>
        <w:ind w:left="426" w:hanging="426"/>
        <w:rPr>
          <w:szCs w:val="24"/>
        </w:rPr>
      </w:pPr>
      <w:r>
        <w:rPr>
          <w:szCs w:val="24"/>
        </w:rPr>
        <w:t>l)</w:t>
      </w:r>
      <w:r>
        <w:rPr>
          <w:szCs w:val="24"/>
        </w:rPr>
        <w:tab/>
      </w:r>
      <w:r w:rsidR="00615A2B" w:rsidRPr="00600702">
        <w:rPr>
          <w:szCs w:val="24"/>
        </w:rPr>
        <w:t>při rozštěpení určení, na kterou nástupnickou společnost nebo družstvo přechází daňová povinnost zanikající společnosti nebo družstva</w:t>
      </w:r>
      <w:r w:rsidR="00615A2B" w:rsidRPr="00600702">
        <w:rPr>
          <w:szCs w:val="24"/>
          <w:vertAlign w:val="superscript"/>
        </w:rPr>
        <w:t>4)</w:t>
      </w:r>
      <w:r w:rsidR="00615A2B" w:rsidRPr="00600702">
        <w:rPr>
          <w:szCs w:val="24"/>
        </w:rPr>
        <w:t xml:space="preserve">, </w:t>
      </w:r>
    </w:p>
    <w:p w14:paraId="1479F62B" w14:textId="76F5B304" w:rsidR="00615A2B" w:rsidRPr="00600702" w:rsidRDefault="00615A2B" w:rsidP="005F5A2E">
      <w:pPr>
        <w:pStyle w:val="PZTextpsmene"/>
        <w:pBdr>
          <w:top w:val="single" w:sz="12" w:space="1" w:color="00B0F0"/>
          <w:left w:val="single" w:sz="12" w:space="4" w:color="00B0F0"/>
          <w:bottom w:val="single" w:sz="12" w:space="1" w:color="00B0F0"/>
          <w:right w:val="single" w:sz="12" w:space="4" w:color="00B0F0"/>
        </w:pBdr>
        <w:tabs>
          <w:tab w:val="left" w:pos="420"/>
          <w:tab w:val="left" w:pos="840"/>
        </w:tabs>
        <w:spacing w:before="0"/>
        <w:ind w:left="426" w:hanging="426"/>
        <w:rPr>
          <w:szCs w:val="24"/>
        </w:rPr>
      </w:pPr>
      <w:r w:rsidRPr="00600702">
        <w:rPr>
          <w:szCs w:val="24"/>
        </w:rPr>
        <w:t>m)</w:t>
      </w:r>
      <w:r w:rsidR="00600702">
        <w:rPr>
          <w:bCs/>
          <w:color w:val="00B0F0"/>
          <w:szCs w:val="24"/>
        </w:rPr>
        <w:tab/>
      </w:r>
      <w:r w:rsidRPr="00600702">
        <w:rPr>
          <w:szCs w:val="24"/>
        </w:rPr>
        <w:t xml:space="preserve">při odštěpení </w:t>
      </w:r>
      <w:r w:rsidRPr="00600702">
        <w:rPr>
          <w:bCs/>
          <w:color w:val="00B0F0"/>
          <w:szCs w:val="24"/>
        </w:rPr>
        <w:t xml:space="preserve">nebo vyčlenění </w:t>
      </w:r>
      <w:r w:rsidRPr="00600702">
        <w:rPr>
          <w:szCs w:val="24"/>
        </w:rPr>
        <w:t>případné změny zakladatelského právního jednání rozdělované společnosti nebo družstva</w:t>
      </w:r>
      <w:r w:rsidRPr="00600702">
        <w:rPr>
          <w:bCs/>
          <w:color w:val="00B0F0"/>
          <w:szCs w:val="24"/>
        </w:rPr>
        <w:t>, a</w:t>
      </w:r>
      <w:r w:rsidRPr="00600702">
        <w:rPr>
          <w:szCs w:val="24"/>
        </w:rPr>
        <w:t xml:space="preserve"> </w:t>
      </w:r>
    </w:p>
    <w:p w14:paraId="25E57A7B" w14:textId="691DC74B" w:rsidR="00615A2B" w:rsidRPr="00600702" w:rsidRDefault="00615A2B" w:rsidP="005F5A2E">
      <w:pPr>
        <w:pStyle w:val="PZTextpsmene"/>
        <w:pBdr>
          <w:top w:val="single" w:sz="12" w:space="1" w:color="00B0F0"/>
          <w:left w:val="single" w:sz="12" w:space="4" w:color="00B0F0"/>
          <w:bottom w:val="single" w:sz="12" w:space="1" w:color="00B0F0"/>
          <w:right w:val="single" w:sz="12" w:space="4" w:color="00B0F0"/>
        </w:pBdr>
        <w:tabs>
          <w:tab w:val="left" w:pos="420"/>
          <w:tab w:val="left" w:pos="840"/>
        </w:tabs>
        <w:spacing w:before="0"/>
        <w:ind w:left="426" w:hanging="426"/>
        <w:rPr>
          <w:bCs/>
          <w:color w:val="00B0F0"/>
          <w:szCs w:val="24"/>
        </w:rPr>
      </w:pPr>
      <w:bookmarkStart w:id="52" w:name="_Hlk118818434"/>
      <w:r w:rsidRPr="00600702">
        <w:rPr>
          <w:bCs/>
          <w:color w:val="00B0F0"/>
          <w:szCs w:val="24"/>
        </w:rPr>
        <w:t>n)</w:t>
      </w:r>
      <w:bookmarkEnd w:id="52"/>
      <w:r w:rsidR="00600702">
        <w:rPr>
          <w:bCs/>
          <w:color w:val="00B0F0"/>
          <w:szCs w:val="24"/>
        </w:rPr>
        <w:tab/>
      </w:r>
      <w:r w:rsidRPr="00600702">
        <w:rPr>
          <w:bCs/>
          <w:color w:val="00B0F0"/>
          <w:szCs w:val="24"/>
        </w:rPr>
        <w:t>při vyčlenění sloučením údaj o tom, kolik a jakých podílů nabude rozdělovaná společnost na nástupnické nebo nástupnických společnostech, popřípadě údaj o tom, že nové podíly nenabývá v případě, že je rozdělovaná společnost jediným společníkem nástupnické společnosti nebo nástupnických společností.</w:t>
      </w:r>
    </w:p>
    <w:p w14:paraId="6F9896A0" w14:textId="77777777" w:rsidR="00615A2B" w:rsidRPr="00600702" w:rsidRDefault="00615A2B" w:rsidP="005F5A2E">
      <w:pPr>
        <w:pStyle w:val="Textodstavce"/>
        <w:pBdr>
          <w:top w:val="single" w:sz="12" w:space="1" w:color="00B0F0"/>
          <w:left w:val="single" w:sz="12" w:space="4" w:color="00B0F0"/>
          <w:bottom w:val="single" w:sz="12" w:space="1" w:color="00B0F0"/>
          <w:right w:val="single" w:sz="12" w:space="4" w:color="00B0F0"/>
          <w:between w:val="single" w:sz="4" w:space="1" w:color="auto"/>
        </w:pBdr>
        <w:ind w:firstLine="425"/>
        <w:rPr>
          <w:szCs w:val="24"/>
        </w:rPr>
      </w:pPr>
      <w:r w:rsidRPr="00600702">
        <w:rPr>
          <w:szCs w:val="24"/>
        </w:rPr>
        <w:t xml:space="preserve">(2) Výměnný poměr může být stanoven buď tak, že podíl společníků nebo členů rozdělované společnosti nebo družstva ve všech nástupnických společnostech nebo družstvech bude stejný, jako byl v rozdělované společnosti nebo družstvu (rovnoměrný výměnný poměr), nebo může být stanoven v různých nástupnických společnostech nebo družstvech různě (nerovnoměrný výměnný poměr); ustanovení § 248 a 249 tím nejsou dotčena. </w:t>
      </w:r>
      <w:r w:rsidRPr="00600702">
        <w:rPr>
          <w:color w:val="00B0F0"/>
          <w:szCs w:val="24"/>
        </w:rPr>
        <w:t xml:space="preserve">Je-li podíl </w:t>
      </w:r>
      <w:r w:rsidRPr="00600702">
        <w:rPr>
          <w:color w:val="00B0F0"/>
          <w:szCs w:val="24"/>
        </w:rPr>
        <w:lastRenderedPageBreak/>
        <w:t>společníků nebo členů při odštěpení stanoven jinak než v rozdělované společnosti nebo družstvu, jde také o nerovnoměrný výměnný poměr.</w:t>
      </w:r>
    </w:p>
    <w:p w14:paraId="4BD75F13" w14:textId="77777777" w:rsidR="00615A2B" w:rsidRPr="00600702" w:rsidRDefault="00615A2B" w:rsidP="005F5A2E">
      <w:pPr>
        <w:pStyle w:val="Textodstavce"/>
        <w:ind w:firstLine="425"/>
        <w:rPr>
          <w:szCs w:val="24"/>
        </w:rPr>
      </w:pPr>
      <w:r w:rsidRPr="00600702">
        <w:rPr>
          <w:szCs w:val="24"/>
        </w:rPr>
        <w:t xml:space="preserve">(3) Výměnný poměr musí být vhodný a odůvodněný. Není-li výměnný poměr přiměřený reálné hodnotě podílu společníka nebo člena na zanikající společnosti nebo družstvu, musí mu být poskytnut doplatek, ledaže se tohoto práva vzdal. Ustanovení § 70 odst. 3 se použije obdobně. </w:t>
      </w:r>
    </w:p>
    <w:p w14:paraId="20674BEC" w14:textId="77777777" w:rsidR="00615A2B" w:rsidRPr="00600702" w:rsidRDefault="00615A2B" w:rsidP="005F5A2E">
      <w:pPr>
        <w:pStyle w:val="Textodstavce"/>
        <w:pBdr>
          <w:top w:val="single" w:sz="12" w:space="1" w:color="00B0F0"/>
          <w:left w:val="single" w:sz="12" w:space="4" w:color="00B0F0"/>
          <w:bottom w:val="single" w:sz="12" w:space="1" w:color="00B0F0"/>
          <w:right w:val="single" w:sz="12" w:space="4" w:color="00B0F0"/>
        </w:pBdr>
        <w:ind w:firstLine="425"/>
        <w:rPr>
          <w:szCs w:val="24"/>
        </w:rPr>
      </w:pPr>
      <w:r w:rsidRPr="00600702">
        <w:rPr>
          <w:szCs w:val="24"/>
        </w:rPr>
        <w:t xml:space="preserve">(4) Dojde-li v důsledku odštěpení </w:t>
      </w:r>
      <w:r w:rsidRPr="00600702">
        <w:rPr>
          <w:bCs/>
          <w:color w:val="00B0F0"/>
          <w:szCs w:val="24"/>
        </w:rPr>
        <w:t>nebo vyčlenění</w:t>
      </w:r>
      <w:r w:rsidRPr="00600702">
        <w:rPr>
          <w:szCs w:val="24"/>
        </w:rPr>
        <w:t xml:space="preserve"> k tomu, že snížení reálné hodnoty podílu dosavadního společníka nebo člena nástupnické nebo rozdělované společnosti nebo družstva na </w:t>
      </w:r>
      <w:r w:rsidRPr="00600702">
        <w:rPr>
          <w:bCs/>
          <w:color w:val="00B0F0"/>
          <w:szCs w:val="24"/>
        </w:rPr>
        <w:t>nástupnické nebo</w:t>
      </w:r>
      <w:r w:rsidRPr="00600702">
        <w:rPr>
          <w:szCs w:val="24"/>
        </w:rPr>
        <w:t xml:space="preserve"> rozdělované společnosti nebo družstvu nemá být zcela nahrazeno reálnou hodnotou podílu nebo podílů na nástupnické společnosti nebo nástupnických společnostech nebo nástupnickém družstvu nebo nástupnických družstvech, musí mu být přiznán doplatek, ledaže se tohoto práva vzdal. </w:t>
      </w:r>
    </w:p>
    <w:p w14:paraId="35D8656A" w14:textId="77777777" w:rsidR="00615A2B" w:rsidRPr="00600702" w:rsidRDefault="00615A2B" w:rsidP="00615A2B">
      <w:pPr>
        <w:pStyle w:val="Textodstavce"/>
        <w:spacing w:before="240"/>
        <w:ind w:firstLine="425"/>
        <w:rPr>
          <w:szCs w:val="24"/>
        </w:rPr>
      </w:pPr>
      <w:r w:rsidRPr="00600702">
        <w:rPr>
          <w:szCs w:val="24"/>
        </w:rPr>
        <w:t xml:space="preserve">(5) Doplatek nesmí být vyplacen před zápisem rozdělení do obchodního rejstříku a dříve, než budou zajištěny pohledávky věřitelů všech zúčastněných společností nebo družstev podle tohoto zákona. </w:t>
      </w:r>
    </w:p>
    <w:p w14:paraId="1E047455" w14:textId="77777777" w:rsidR="00615A2B" w:rsidRPr="00615A2B" w:rsidRDefault="00615A2B" w:rsidP="00992796">
      <w:pPr>
        <w:pStyle w:val="Nadpisparagrafu"/>
        <w:numPr>
          <w:ilvl w:val="0"/>
          <w:numId w:val="39"/>
        </w:numPr>
        <w:spacing w:after="120"/>
        <w:rPr>
          <w:b w:val="0"/>
          <w:szCs w:val="24"/>
        </w:rPr>
      </w:pPr>
      <w:r w:rsidRPr="00615A2B">
        <w:rPr>
          <w:b w:val="0"/>
          <w:szCs w:val="24"/>
        </w:rPr>
        <w:t>***</w:t>
      </w:r>
    </w:p>
    <w:p w14:paraId="2BEFA60A" w14:textId="77777777" w:rsidR="00615A2B" w:rsidRPr="00615A2B" w:rsidRDefault="00615A2B" w:rsidP="00F561CB">
      <w:pPr>
        <w:tabs>
          <w:tab w:val="left" w:pos="425"/>
          <w:tab w:val="left" w:pos="851"/>
        </w:tabs>
        <w:spacing w:after="120"/>
        <w:ind w:firstLine="0"/>
        <w:jc w:val="center"/>
        <w:rPr>
          <w:szCs w:val="24"/>
        </w:rPr>
      </w:pPr>
      <w:r w:rsidRPr="00615A2B">
        <w:rPr>
          <w:bCs/>
          <w:szCs w:val="24"/>
        </w:rPr>
        <w:t xml:space="preserve">§ </w:t>
      </w:r>
      <w:r w:rsidRPr="00615A2B">
        <w:rPr>
          <w:szCs w:val="24"/>
        </w:rPr>
        <w:t>254</w:t>
      </w:r>
    </w:p>
    <w:p w14:paraId="23C19A36" w14:textId="77777777" w:rsidR="00615A2B" w:rsidRPr="00615A2B" w:rsidRDefault="00615A2B" w:rsidP="00615A2B">
      <w:pPr>
        <w:pStyle w:val="Textodstavce"/>
        <w:spacing w:before="240"/>
        <w:ind w:firstLine="425"/>
        <w:rPr>
          <w:bCs/>
          <w:szCs w:val="24"/>
        </w:rPr>
      </w:pPr>
      <w:r w:rsidRPr="00615A2B">
        <w:rPr>
          <w:bCs/>
          <w:szCs w:val="24"/>
        </w:rPr>
        <w:t>Zanikající nebo rozdělovaná společnost je povinna nechat ocenit posudkem znalce pro ocenění jmění části svého jmění, které mají podle projektu rozdělení přejít na tu kterou nástupnickou společnost ke dni zpracování poslední řádné</w:t>
      </w:r>
      <w:r w:rsidRPr="00615A2B">
        <w:rPr>
          <w:bCs/>
          <w:strike/>
          <w:szCs w:val="24"/>
        </w:rPr>
        <w:t>, mimořádné</w:t>
      </w:r>
      <w:r w:rsidRPr="00615A2B">
        <w:rPr>
          <w:bCs/>
          <w:szCs w:val="24"/>
        </w:rPr>
        <w:t xml:space="preserve"> </w:t>
      </w:r>
      <w:r w:rsidRPr="00615A2B">
        <w:rPr>
          <w:b/>
          <w:szCs w:val="24"/>
        </w:rPr>
        <w:t>individuální</w:t>
      </w:r>
      <w:r w:rsidRPr="00615A2B">
        <w:rPr>
          <w:bCs/>
          <w:szCs w:val="24"/>
        </w:rPr>
        <w:t xml:space="preserve"> </w:t>
      </w:r>
      <w:r w:rsidRPr="00615A2B">
        <w:rPr>
          <w:b/>
          <w:bCs/>
          <w:szCs w:val="24"/>
        </w:rPr>
        <w:t>účetní závěrky</w:t>
      </w:r>
      <w:r w:rsidRPr="00615A2B">
        <w:rPr>
          <w:bCs/>
          <w:szCs w:val="24"/>
        </w:rPr>
        <w:t xml:space="preserve"> nebo konečné účetní závěrky sestavované zanikající nebo rozdělovanou společností před vyhotovením projektu rozdělení.</w:t>
      </w:r>
    </w:p>
    <w:p w14:paraId="5545D585" w14:textId="77777777" w:rsidR="00615A2B" w:rsidRPr="00615A2B" w:rsidRDefault="00615A2B" w:rsidP="00992796">
      <w:pPr>
        <w:pStyle w:val="Nadpisparagrafu"/>
        <w:numPr>
          <w:ilvl w:val="0"/>
          <w:numId w:val="39"/>
        </w:numPr>
        <w:spacing w:after="120"/>
        <w:rPr>
          <w:b w:val="0"/>
          <w:szCs w:val="24"/>
        </w:rPr>
      </w:pPr>
      <w:r w:rsidRPr="00615A2B">
        <w:rPr>
          <w:b w:val="0"/>
          <w:szCs w:val="24"/>
        </w:rPr>
        <w:t>***</w:t>
      </w:r>
    </w:p>
    <w:p w14:paraId="731D293A" w14:textId="77777777" w:rsidR="00615A2B" w:rsidRPr="00615A2B" w:rsidRDefault="00615A2B" w:rsidP="00F561CB">
      <w:pPr>
        <w:tabs>
          <w:tab w:val="left" w:pos="425"/>
          <w:tab w:val="left" w:pos="851"/>
        </w:tabs>
        <w:spacing w:after="120"/>
        <w:ind w:firstLine="0"/>
        <w:jc w:val="center"/>
        <w:rPr>
          <w:bCs/>
          <w:szCs w:val="24"/>
        </w:rPr>
      </w:pPr>
      <w:r w:rsidRPr="00615A2B">
        <w:rPr>
          <w:bCs/>
          <w:szCs w:val="24"/>
        </w:rPr>
        <w:t>§ 266a</w:t>
      </w:r>
    </w:p>
    <w:p w14:paraId="40C39513" w14:textId="77777777" w:rsidR="00615A2B" w:rsidRPr="00615A2B" w:rsidRDefault="00615A2B" w:rsidP="005F5A2E">
      <w:pPr>
        <w:pStyle w:val="Textodstavce"/>
        <w:pBdr>
          <w:top w:val="single" w:sz="12" w:space="1" w:color="00B0F0"/>
          <w:left w:val="single" w:sz="12" w:space="4" w:color="00B0F0"/>
          <w:bottom w:val="single" w:sz="12" w:space="1" w:color="00B0F0"/>
          <w:right w:val="single" w:sz="12" w:space="4" w:color="00B0F0"/>
        </w:pBdr>
        <w:ind w:firstLine="425"/>
        <w:rPr>
          <w:szCs w:val="24"/>
        </w:rPr>
      </w:pPr>
      <w:r w:rsidRPr="00615A2B">
        <w:rPr>
          <w:szCs w:val="24"/>
        </w:rPr>
        <w:t xml:space="preserve">(1) Jako součást odštěpení </w:t>
      </w:r>
      <w:r w:rsidRPr="00615A2B">
        <w:rPr>
          <w:bCs/>
          <w:iCs/>
          <w:color w:val="00B0F0"/>
          <w:szCs w:val="24"/>
        </w:rPr>
        <w:t>nebo vyčlenění</w:t>
      </w:r>
      <w:r w:rsidRPr="00615A2B">
        <w:rPr>
          <w:iCs/>
          <w:szCs w:val="24"/>
        </w:rPr>
        <w:t xml:space="preserve"> </w:t>
      </w:r>
      <w:r w:rsidRPr="00615A2B">
        <w:rPr>
          <w:szCs w:val="24"/>
        </w:rPr>
        <w:t xml:space="preserve">může rozdělovaná společnost vždy i snížit dosavadní základní kapitál nebo ho zvýšit z </w:t>
      </w:r>
      <w:r w:rsidRPr="00615A2B">
        <w:rPr>
          <w:strike/>
          <w:szCs w:val="24"/>
        </w:rPr>
        <w:t>vlastních zdrojů</w:t>
      </w:r>
      <w:r w:rsidRPr="00615A2B">
        <w:rPr>
          <w:szCs w:val="24"/>
        </w:rPr>
        <w:t xml:space="preserve"> </w:t>
      </w:r>
      <w:r w:rsidRPr="00615A2B">
        <w:rPr>
          <w:b/>
          <w:bCs/>
          <w:szCs w:val="24"/>
        </w:rPr>
        <w:t>jiných částí vlastního kapitálu</w:t>
      </w:r>
      <w:r w:rsidRPr="00615A2B">
        <w:rPr>
          <w:szCs w:val="24"/>
        </w:rPr>
        <w:t xml:space="preserve"> anebo rozhodnout o souběžném zvýšení a snížení základního kapitálu.</w:t>
      </w:r>
    </w:p>
    <w:p w14:paraId="2A3ACF3F" w14:textId="77777777" w:rsidR="00615A2B" w:rsidRPr="00615A2B" w:rsidRDefault="00615A2B" w:rsidP="005F5A2E">
      <w:pPr>
        <w:pStyle w:val="Textodstavce"/>
        <w:pBdr>
          <w:top w:val="single" w:sz="12" w:space="1" w:color="00B0F0"/>
          <w:left w:val="single" w:sz="12" w:space="4" w:color="00B0F0"/>
          <w:bottom w:val="single" w:sz="12" w:space="1" w:color="00B0F0"/>
          <w:right w:val="single" w:sz="12" w:space="4" w:color="00B0F0"/>
        </w:pBdr>
        <w:ind w:firstLine="425"/>
        <w:rPr>
          <w:szCs w:val="24"/>
        </w:rPr>
      </w:pPr>
      <w:r w:rsidRPr="00615A2B">
        <w:rPr>
          <w:szCs w:val="24"/>
        </w:rPr>
        <w:t>(2) Má-li rozdělovaná společnost snížit dosavadní základní kapitál v souvislosti s odštěpením</w:t>
      </w:r>
      <w:r w:rsidRPr="00615A2B">
        <w:rPr>
          <w:bCs/>
          <w:iCs/>
          <w:color w:val="00B0F0"/>
          <w:szCs w:val="24"/>
        </w:rPr>
        <w:t xml:space="preserve"> nebo vyčleněním</w:t>
      </w:r>
      <w:r w:rsidRPr="00615A2B">
        <w:rPr>
          <w:szCs w:val="24"/>
        </w:rPr>
        <w:t>, použije se na snížení základního kapitálu rozdělované společnosti ustanovení § 91 nebo § 110 a 126 obdobně. Má-li být základní kapitál snížen z důvodu uvedeného v § 266 odst. 2, nelze vyplatit částku snížení základního kapitálu společníkům.</w:t>
      </w:r>
    </w:p>
    <w:p w14:paraId="2D2D7975" w14:textId="77777777" w:rsidR="00615A2B" w:rsidRPr="00615A2B" w:rsidRDefault="00615A2B" w:rsidP="005F5A2E">
      <w:pPr>
        <w:pStyle w:val="Textodstavce"/>
        <w:pBdr>
          <w:top w:val="single" w:sz="12" w:space="1" w:color="00B0F0"/>
          <w:left w:val="single" w:sz="12" w:space="4" w:color="00B0F0"/>
          <w:bottom w:val="single" w:sz="12" w:space="1" w:color="00B0F0"/>
          <w:right w:val="single" w:sz="12" w:space="4" w:color="00B0F0"/>
        </w:pBdr>
        <w:ind w:firstLine="425"/>
        <w:rPr>
          <w:szCs w:val="24"/>
        </w:rPr>
      </w:pPr>
      <w:r w:rsidRPr="00615A2B">
        <w:rPr>
          <w:szCs w:val="24"/>
        </w:rPr>
        <w:t xml:space="preserve">(3) Má-li rozdělovaná společnost rozhodnout o zvýšení základního kapitálu z </w:t>
      </w:r>
      <w:r w:rsidRPr="00615A2B">
        <w:rPr>
          <w:strike/>
          <w:szCs w:val="24"/>
        </w:rPr>
        <w:t>vlastních zdrojů</w:t>
      </w:r>
      <w:r w:rsidRPr="00615A2B">
        <w:rPr>
          <w:szCs w:val="24"/>
        </w:rPr>
        <w:t xml:space="preserve"> </w:t>
      </w:r>
      <w:r w:rsidRPr="00615A2B">
        <w:rPr>
          <w:b/>
          <w:bCs/>
          <w:szCs w:val="24"/>
        </w:rPr>
        <w:t>jiných částí vlastního kapitálu</w:t>
      </w:r>
      <w:r w:rsidRPr="00615A2B">
        <w:rPr>
          <w:szCs w:val="24"/>
        </w:rPr>
        <w:t xml:space="preserve"> v souvislosti s odštěpením</w:t>
      </w:r>
      <w:r w:rsidRPr="00615A2B">
        <w:rPr>
          <w:bCs/>
          <w:iCs/>
          <w:color w:val="00B0F0"/>
          <w:szCs w:val="24"/>
        </w:rPr>
        <w:t xml:space="preserve"> nebo vyčleněním</w:t>
      </w:r>
      <w:r w:rsidRPr="00615A2B">
        <w:rPr>
          <w:szCs w:val="24"/>
        </w:rPr>
        <w:t>, použije se na zvýšení základního kapitálu rozdělované společnosti ustanovení § 90 nebo § 109 a 125 obdobně.</w:t>
      </w:r>
    </w:p>
    <w:p w14:paraId="4499419D" w14:textId="77777777" w:rsidR="00615A2B" w:rsidRPr="00615A2B" w:rsidRDefault="00615A2B" w:rsidP="005F5A2E">
      <w:pPr>
        <w:pStyle w:val="Textodstavce"/>
        <w:pBdr>
          <w:top w:val="single" w:sz="12" w:space="1" w:color="00B0F0"/>
          <w:left w:val="single" w:sz="12" w:space="4" w:color="00B0F0"/>
          <w:bottom w:val="single" w:sz="12" w:space="1" w:color="00B0F0"/>
          <w:right w:val="single" w:sz="12" w:space="4" w:color="00B0F0"/>
        </w:pBdr>
        <w:ind w:firstLine="425"/>
        <w:rPr>
          <w:szCs w:val="24"/>
        </w:rPr>
      </w:pPr>
      <w:r w:rsidRPr="00615A2B">
        <w:rPr>
          <w:szCs w:val="24"/>
        </w:rPr>
        <w:t>(4) Má-li rozdělovaná společnost rozhodnout o souběžném zvýšení a snížení základního kapitálu v souvislosti s odštěpením</w:t>
      </w:r>
      <w:r w:rsidRPr="00615A2B">
        <w:rPr>
          <w:bCs/>
          <w:iCs/>
          <w:color w:val="00B0F0"/>
          <w:szCs w:val="24"/>
        </w:rPr>
        <w:t xml:space="preserve"> nebo vyčleněním</w:t>
      </w:r>
      <w:r w:rsidRPr="00615A2B">
        <w:rPr>
          <w:szCs w:val="24"/>
        </w:rPr>
        <w:t>, použije se na souběžné zvýšení a snížení základního kapitálu rozdělované společnosti ustanovení § 91a odst. 2 nebo § 111 odst. 2 obdobně.</w:t>
      </w:r>
    </w:p>
    <w:p w14:paraId="46770225" w14:textId="77777777" w:rsidR="00615A2B" w:rsidRPr="00615A2B" w:rsidRDefault="00615A2B" w:rsidP="00992796">
      <w:pPr>
        <w:pStyle w:val="Nadpisparagrafu"/>
        <w:numPr>
          <w:ilvl w:val="0"/>
          <w:numId w:val="39"/>
        </w:numPr>
        <w:spacing w:after="120"/>
        <w:rPr>
          <w:b w:val="0"/>
          <w:szCs w:val="24"/>
        </w:rPr>
      </w:pPr>
      <w:r w:rsidRPr="00615A2B">
        <w:rPr>
          <w:b w:val="0"/>
          <w:szCs w:val="24"/>
        </w:rPr>
        <w:lastRenderedPageBreak/>
        <w:t>***</w:t>
      </w:r>
    </w:p>
    <w:p w14:paraId="5E9A24AC" w14:textId="77777777" w:rsidR="00615A2B" w:rsidRPr="00615A2B" w:rsidRDefault="00615A2B" w:rsidP="00F561CB">
      <w:pPr>
        <w:tabs>
          <w:tab w:val="left" w:pos="425"/>
          <w:tab w:val="left" w:pos="851"/>
        </w:tabs>
        <w:spacing w:after="120"/>
        <w:ind w:firstLine="0"/>
        <w:jc w:val="center"/>
        <w:rPr>
          <w:szCs w:val="24"/>
        </w:rPr>
      </w:pPr>
      <w:r w:rsidRPr="00615A2B">
        <w:rPr>
          <w:bCs/>
          <w:szCs w:val="24"/>
        </w:rPr>
        <w:t xml:space="preserve">§ </w:t>
      </w:r>
      <w:r w:rsidRPr="00615A2B">
        <w:rPr>
          <w:szCs w:val="24"/>
        </w:rPr>
        <w:t>269</w:t>
      </w:r>
    </w:p>
    <w:p w14:paraId="5A7DD584" w14:textId="77777777" w:rsidR="00615A2B" w:rsidRPr="00615A2B" w:rsidRDefault="00615A2B" w:rsidP="00615A2B">
      <w:pPr>
        <w:pStyle w:val="Textodstavce"/>
        <w:spacing w:before="240"/>
        <w:ind w:firstLine="425"/>
        <w:rPr>
          <w:bCs/>
          <w:szCs w:val="24"/>
        </w:rPr>
      </w:pPr>
      <w:r w:rsidRPr="00615A2B">
        <w:rPr>
          <w:bCs/>
          <w:szCs w:val="24"/>
        </w:rPr>
        <w:t>(1) Společníkovi musí být nejméně 2 týdny přede dnem, v němž má schválit rozdělení, doručeny</w:t>
      </w:r>
    </w:p>
    <w:p w14:paraId="28750C89" w14:textId="77777777" w:rsidR="00615A2B" w:rsidRPr="00615A2B" w:rsidRDefault="00615A2B" w:rsidP="00DE29D4">
      <w:pPr>
        <w:pStyle w:val="PZTextpsmene"/>
        <w:spacing w:before="0"/>
        <w:ind w:left="426" w:hanging="426"/>
        <w:rPr>
          <w:bCs/>
          <w:szCs w:val="24"/>
        </w:rPr>
      </w:pPr>
      <w:r w:rsidRPr="00615A2B">
        <w:rPr>
          <w:bCs/>
          <w:szCs w:val="24"/>
        </w:rPr>
        <w:t>a)</w:t>
      </w:r>
      <w:r w:rsidRPr="00615A2B">
        <w:rPr>
          <w:bCs/>
          <w:szCs w:val="24"/>
        </w:rPr>
        <w:tab/>
        <w:t>projekt rozdělení,</w:t>
      </w:r>
    </w:p>
    <w:p w14:paraId="2D6EA69B" w14:textId="77777777" w:rsidR="00615A2B" w:rsidRPr="00615A2B" w:rsidRDefault="00615A2B" w:rsidP="00DE29D4">
      <w:pPr>
        <w:pStyle w:val="PZTextpsmene"/>
        <w:spacing w:before="0"/>
        <w:ind w:left="426" w:hanging="426"/>
        <w:rPr>
          <w:bCs/>
          <w:szCs w:val="24"/>
        </w:rPr>
      </w:pPr>
      <w:r w:rsidRPr="00615A2B">
        <w:rPr>
          <w:bCs/>
          <w:szCs w:val="24"/>
        </w:rPr>
        <w:t>b)</w:t>
      </w:r>
      <w:r w:rsidRPr="00615A2B">
        <w:rPr>
          <w:bCs/>
          <w:szCs w:val="24"/>
        </w:rPr>
        <w:tab/>
      </w:r>
      <w:r w:rsidRPr="00615A2B">
        <w:rPr>
          <w:b/>
          <w:bCs/>
          <w:szCs w:val="24"/>
        </w:rPr>
        <w:t>řádné</w:t>
      </w:r>
      <w:r w:rsidRPr="00615A2B">
        <w:rPr>
          <w:bCs/>
          <w:szCs w:val="24"/>
        </w:rPr>
        <w:t xml:space="preserve"> </w:t>
      </w:r>
      <w:r w:rsidRPr="00615A2B">
        <w:rPr>
          <w:b/>
          <w:szCs w:val="24"/>
        </w:rPr>
        <w:t>individuální</w:t>
      </w:r>
      <w:r w:rsidRPr="00615A2B">
        <w:rPr>
          <w:bCs/>
          <w:szCs w:val="24"/>
        </w:rPr>
        <w:t xml:space="preserve"> účetní závěrky všech zúčastněných veřejných obchodních společností za poslední 3 účetní období, jestliže zúčastněná veřejná obchodní společnost po tuto dobu trvá, popřípadě takové účetní závěrky právního předchůdce, měla-li zúčastněná veřejná obchodní společnost právního předchůdce, a vyžadují-li se, také zprávy auditora o </w:t>
      </w:r>
      <w:r w:rsidRPr="00615A2B">
        <w:rPr>
          <w:strike/>
          <w:szCs w:val="24"/>
        </w:rPr>
        <w:t>jejich ověření</w:t>
      </w:r>
      <w:r w:rsidRPr="00615A2B">
        <w:rPr>
          <w:szCs w:val="24"/>
        </w:rPr>
        <w:t xml:space="preserve"> </w:t>
      </w:r>
      <w:r w:rsidRPr="00615A2B">
        <w:rPr>
          <w:b/>
          <w:szCs w:val="24"/>
        </w:rPr>
        <w:t>povinném auditu</w:t>
      </w:r>
      <w:r w:rsidRPr="00615A2B">
        <w:rPr>
          <w:bCs/>
          <w:szCs w:val="24"/>
        </w:rPr>
        <w:t>,</w:t>
      </w:r>
    </w:p>
    <w:p w14:paraId="08FA630D" w14:textId="77777777" w:rsidR="00615A2B" w:rsidRPr="00615A2B" w:rsidRDefault="00615A2B" w:rsidP="00DE29D4">
      <w:pPr>
        <w:pStyle w:val="PZTextpsmene"/>
        <w:spacing w:before="0"/>
        <w:ind w:left="426" w:hanging="426"/>
        <w:rPr>
          <w:bCs/>
          <w:szCs w:val="24"/>
        </w:rPr>
      </w:pPr>
      <w:r w:rsidRPr="00615A2B">
        <w:rPr>
          <w:bCs/>
          <w:szCs w:val="24"/>
        </w:rPr>
        <w:t>c)</w:t>
      </w:r>
      <w:r w:rsidRPr="00615A2B">
        <w:rPr>
          <w:bCs/>
          <w:szCs w:val="24"/>
        </w:rPr>
        <w:tab/>
        <w:t xml:space="preserve">konečné účetní závěrky všech zúčastněných veřejných obchodních společností, zahajovací rozvaha rozdělované nebo nástupnické společnosti nebo nástupnických společností, pokud rozhodný den předchází dni vyhotovení projektu rozdělení a vyžadují-li se, také zprávy auditora o </w:t>
      </w:r>
      <w:r w:rsidRPr="00615A2B">
        <w:rPr>
          <w:strike/>
          <w:szCs w:val="24"/>
        </w:rPr>
        <w:t>jejich ověření</w:t>
      </w:r>
      <w:r w:rsidRPr="00615A2B">
        <w:rPr>
          <w:szCs w:val="24"/>
        </w:rPr>
        <w:t xml:space="preserve"> </w:t>
      </w:r>
      <w:r w:rsidRPr="00615A2B">
        <w:rPr>
          <w:b/>
          <w:szCs w:val="24"/>
        </w:rPr>
        <w:t>povinném auditu</w:t>
      </w:r>
      <w:r w:rsidRPr="00615A2B">
        <w:rPr>
          <w:bCs/>
          <w:szCs w:val="24"/>
        </w:rPr>
        <w:t>,</w:t>
      </w:r>
    </w:p>
    <w:p w14:paraId="08B69BEE" w14:textId="77777777" w:rsidR="00615A2B" w:rsidRPr="00615A2B" w:rsidRDefault="00615A2B" w:rsidP="00DE29D4">
      <w:pPr>
        <w:pStyle w:val="PZTextpsmene"/>
        <w:spacing w:before="0"/>
        <w:ind w:left="426" w:hanging="426"/>
        <w:rPr>
          <w:bCs/>
          <w:szCs w:val="24"/>
        </w:rPr>
      </w:pPr>
      <w:r w:rsidRPr="00615A2B">
        <w:rPr>
          <w:bCs/>
          <w:szCs w:val="24"/>
        </w:rPr>
        <w:t>d)</w:t>
      </w:r>
      <w:r w:rsidRPr="00615A2B">
        <w:rPr>
          <w:bCs/>
          <w:szCs w:val="24"/>
        </w:rPr>
        <w:tab/>
        <w:t xml:space="preserve">mezitímní </w:t>
      </w:r>
      <w:r w:rsidRPr="00615A2B">
        <w:rPr>
          <w:b/>
          <w:szCs w:val="24"/>
        </w:rPr>
        <w:t>individuální</w:t>
      </w:r>
      <w:r w:rsidRPr="00615A2B">
        <w:rPr>
          <w:bCs/>
          <w:szCs w:val="24"/>
        </w:rPr>
        <w:t xml:space="preserve"> účetní závěrka a zpráva auditora o </w:t>
      </w:r>
      <w:r w:rsidRPr="00615A2B">
        <w:rPr>
          <w:strike/>
          <w:szCs w:val="24"/>
        </w:rPr>
        <w:t>jejich ověření</w:t>
      </w:r>
      <w:r w:rsidRPr="00615A2B">
        <w:rPr>
          <w:szCs w:val="24"/>
        </w:rPr>
        <w:t xml:space="preserve"> </w:t>
      </w:r>
      <w:r w:rsidRPr="00615A2B">
        <w:rPr>
          <w:b/>
          <w:szCs w:val="24"/>
        </w:rPr>
        <w:t>povinném auditu</w:t>
      </w:r>
      <w:r w:rsidRPr="00615A2B">
        <w:rPr>
          <w:bCs/>
          <w:szCs w:val="24"/>
        </w:rPr>
        <w:t>, anebo pololetní zpráva podle zákona o podnikání na kapitálovém trhu, pokud se vyžadují, a</w:t>
      </w:r>
    </w:p>
    <w:p w14:paraId="6088A165" w14:textId="77777777" w:rsidR="00615A2B" w:rsidRPr="00615A2B" w:rsidRDefault="00615A2B" w:rsidP="00DE29D4">
      <w:pPr>
        <w:spacing w:before="0"/>
        <w:ind w:left="426" w:hanging="426"/>
        <w:rPr>
          <w:bCs/>
          <w:szCs w:val="24"/>
        </w:rPr>
      </w:pPr>
      <w:r w:rsidRPr="00615A2B">
        <w:rPr>
          <w:bCs/>
          <w:szCs w:val="24"/>
        </w:rPr>
        <w:t>e)</w:t>
      </w:r>
      <w:r w:rsidRPr="00615A2B">
        <w:rPr>
          <w:bCs/>
          <w:szCs w:val="24"/>
        </w:rPr>
        <w:tab/>
        <w:t>znalecká zpráva o rozdělení, pokud se vyžaduje.</w:t>
      </w:r>
    </w:p>
    <w:p w14:paraId="74A498C6" w14:textId="77777777" w:rsidR="00615A2B" w:rsidRPr="00615A2B" w:rsidRDefault="00615A2B" w:rsidP="005F5A2E">
      <w:pPr>
        <w:pStyle w:val="Textodstavce"/>
        <w:ind w:firstLine="425"/>
        <w:rPr>
          <w:bCs/>
          <w:szCs w:val="24"/>
        </w:rPr>
      </w:pPr>
      <w:r w:rsidRPr="00615A2B">
        <w:rPr>
          <w:bCs/>
          <w:szCs w:val="24"/>
        </w:rPr>
        <w:t>(2) Pokud společník souhlasil s tím, že zúčastněná společnost bude k poskytování informací využívat elektronické prostředky, mohou mu být kopie listin uvedených v odstavci 1 zasílány elektronicky. Souhlas lze dát jakýmkoliv způsobem, z něhož plyne tato vůle společníka.</w:t>
      </w:r>
    </w:p>
    <w:p w14:paraId="6985D226" w14:textId="77777777" w:rsidR="00615A2B" w:rsidRPr="00615A2B" w:rsidRDefault="00615A2B" w:rsidP="005F5A2E">
      <w:pPr>
        <w:pStyle w:val="Textodstavce"/>
        <w:ind w:firstLine="425"/>
        <w:rPr>
          <w:bCs/>
          <w:szCs w:val="24"/>
        </w:rPr>
      </w:pPr>
      <w:r w:rsidRPr="00615A2B">
        <w:rPr>
          <w:bCs/>
          <w:szCs w:val="24"/>
        </w:rPr>
        <w:t>(3) Ustanovení odstavců 1 a 2 se nepoužijí, jestliže zúčastněná společnost zpřístupní dokumenty uvedené v odstavci 1 po dobu nejméně 2 týdnů přede dnem, v němž má společník schválit rozdělení, na internetové stránce a internetová stránka umožňuje společníkům po celou dobu uvedenou v odstavci 1 stažení a vytištění dokumentů uvedených v odstavci 1. Ustanovení § 33b se na zabezpečení internetových stránek použije obdobně.</w:t>
      </w:r>
    </w:p>
    <w:p w14:paraId="4DDBDD23" w14:textId="77777777" w:rsidR="00615A2B" w:rsidRPr="00615A2B" w:rsidRDefault="00615A2B" w:rsidP="005F5A2E">
      <w:pPr>
        <w:pStyle w:val="Textodstavce"/>
        <w:ind w:firstLine="425"/>
        <w:rPr>
          <w:bCs/>
          <w:szCs w:val="24"/>
        </w:rPr>
      </w:pPr>
      <w:r w:rsidRPr="00615A2B">
        <w:rPr>
          <w:bCs/>
          <w:szCs w:val="24"/>
        </w:rPr>
        <w:t>(4) Dojde-li z jakéhokoliv důvodu k souvislému přerušení přístupu na internetovou stránku po dobu delší než 24 hodin, doručí zúčastněná společnost společníkovi listiny uvedené v odstavci 1 bez zbytečného odkladu, nejpozději však 2 dny před tím, než má společník rozdělení schválit.</w:t>
      </w:r>
    </w:p>
    <w:p w14:paraId="06BF5FAF" w14:textId="77777777" w:rsidR="00615A2B" w:rsidRPr="00615A2B" w:rsidRDefault="00615A2B" w:rsidP="00992796">
      <w:pPr>
        <w:pStyle w:val="Nadpisparagrafu"/>
        <w:numPr>
          <w:ilvl w:val="0"/>
          <w:numId w:val="39"/>
        </w:numPr>
        <w:spacing w:after="120"/>
        <w:rPr>
          <w:b w:val="0"/>
          <w:szCs w:val="24"/>
        </w:rPr>
      </w:pPr>
      <w:r w:rsidRPr="00615A2B">
        <w:rPr>
          <w:b w:val="0"/>
          <w:szCs w:val="24"/>
        </w:rPr>
        <w:t>***</w:t>
      </w:r>
    </w:p>
    <w:p w14:paraId="76C6797D" w14:textId="77777777" w:rsidR="00615A2B" w:rsidRPr="00615A2B" w:rsidRDefault="00615A2B" w:rsidP="00044E7D">
      <w:pPr>
        <w:tabs>
          <w:tab w:val="left" w:pos="425"/>
          <w:tab w:val="left" w:pos="851"/>
        </w:tabs>
        <w:spacing w:after="120"/>
        <w:ind w:firstLine="0"/>
        <w:jc w:val="center"/>
        <w:rPr>
          <w:szCs w:val="24"/>
        </w:rPr>
      </w:pPr>
      <w:r w:rsidRPr="00615A2B">
        <w:rPr>
          <w:bCs/>
          <w:szCs w:val="24"/>
        </w:rPr>
        <w:t xml:space="preserve">§ </w:t>
      </w:r>
      <w:r w:rsidRPr="00615A2B">
        <w:rPr>
          <w:szCs w:val="24"/>
        </w:rPr>
        <w:t>282</w:t>
      </w:r>
    </w:p>
    <w:p w14:paraId="372FA41A" w14:textId="77777777" w:rsidR="00615A2B" w:rsidRPr="00615A2B" w:rsidRDefault="00615A2B" w:rsidP="00044E7D">
      <w:pPr>
        <w:spacing w:after="120"/>
        <w:ind w:firstLine="0"/>
        <w:jc w:val="center"/>
        <w:rPr>
          <w:bCs/>
          <w:iCs/>
          <w:szCs w:val="24"/>
          <w:u w:val="single"/>
        </w:rPr>
      </w:pPr>
      <w:r w:rsidRPr="00615A2B">
        <w:rPr>
          <w:b/>
          <w:iCs/>
          <w:szCs w:val="24"/>
        </w:rPr>
        <w:t>Zvýšení základního kapitálu nástupnické společnosti z</w:t>
      </w:r>
      <w:r w:rsidRPr="00615A2B">
        <w:rPr>
          <w:bCs/>
          <w:iCs/>
          <w:color w:val="00B0F0"/>
          <w:szCs w:val="24"/>
        </w:rPr>
        <w:t xml:space="preserve"> </w:t>
      </w:r>
      <w:r w:rsidRPr="00615A2B">
        <w:rPr>
          <w:b/>
          <w:bCs/>
          <w:iCs/>
          <w:strike/>
          <w:szCs w:val="24"/>
        </w:rPr>
        <w:t>jejích vlastních zdrojů</w:t>
      </w:r>
      <w:r w:rsidRPr="00615A2B">
        <w:rPr>
          <w:b/>
          <w:szCs w:val="24"/>
        </w:rPr>
        <w:t xml:space="preserve"> </w:t>
      </w:r>
      <w:r w:rsidRPr="00615A2B">
        <w:rPr>
          <w:b/>
          <w:szCs w:val="24"/>
          <w:u w:val="single"/>
        </w:rPr>
        <w:t>jiných částí jejího vlastního kapitálu</w:t>
      </w:r>
    </w:p>
    <w:p w14:paraId="39B73E4E" w14:textId="77777777" w:rsidR="00615A2B" w:rsidRPr="00615A2B" w:rsidRDefault="00615A2B" w:rsidP="005F5A2E">
      <w:pPr>
        <w:pStyle w:val="Textodstavce"/>
        <w:ind w:firstLine="425"/>
        <w:rPr>
          <w:bCs/>
          <w:iCs/>
          <w:szCs w:val="24"/>
        </w:rPr>
      </w:pPr>
      <w:r w:rsidRPr="00615A2B">
        <w:rPr>
          <w:bCs/>
          <w:iCs/>
          <w:szCs w:val="24"/>
        </w:rPr>
        <w:t xml:space="preserve">(1) </w:t>
      </w:r>
      <w:r w:rsidRPr="00615A2B">
        <w:rPr>
          <w:bCs/>
          <w:szCs w:val="24"/>
        </w:rPr>
        <w:t>Jako</w:t>
      </w:r>
      <w:r w:rsidRPr="00615A2B">
        <w:rPr>
          <w:bCs/>
          <w:iCs/>
          <w:szCs w:val="24"/>
        </w:rPr>
        <w:t xml:space="preserve"> součást rozdělení sloučením lze vždy zvýšit dosavadní základní kapitál nástupnické společnosti i z </w:t>
      </w:r>
      <w:r w:rsidRPr="00615A2B">
        <w:rPr>
          <w:bCs/>
          <w:iCs/>
          <w:strike/>
          <w:szCs w:val="24"/>
        </w:rPr>
        <w:t>vlastních zdrojů</w:t>
      </w:r>
      <w:r w:rsidRPr="00615A2B">
        <w:rPr>
          <w:b/>
          <w:szCs w:val="24"/>
        </w:rPr>
        <w:t xml:space="preserve"> jiných částí vlastního kapitálu</w:t>
      </w:r>
      <w:r w:rsidRPr="00615A2B">
        <w:rPr>
          <w:bCs/>
          <w:iCs/>
          <w:szCs w:val="24"/>
        </w:rPr>
        <w:t xml:space="preserve"> zjištěný</w:t>
      </w:r>
      <w:r w:rsidRPr="00615A2B">
        <w:rPr>
          <w:b/>
          <w:iCs/>
          <w:szCs w:val="24"/>
        </w:rPr>
        <w:t>ch</w:t>
      </w:r>
      <w:r w:rsidRPr="00615A2B">
        <w:rPr>
          <w:bCs/>
          <w:iCs/>
          <w:szCs w:val="24"/>
        </w:rPr>
        <w:t xml:space="preserve"> z její poslední </w:t>
      </w:r>
      <w:r w:rsidRPr="00615A2B">
        <w:rPr>
          <w:bCs/>
          <w:iCs/>
          <w:strike/>
          <w:szCs w:val="24"/>
        </w:rPr>
        <w:t>řádné, mimořádné, konečné nebo mezitímní</w:t>
      </w:r>
      <w:r w:rsidRPr="00615A2B">
        <w:rPr>
          <w:bCs/>
          <w:iCs/>
          <w:szCs w:val="24"/>
        </w:rPr>
        <w:t xml:space="preserve"> </w:t>
      </w:r>
      <w:r w:rsidRPr="00615A2B">
        <w:rPr>
          <w:b/>
          <w:szCs w:val="24"/>
        </w:rPr>
        <w:t>individuální</w:t>
      </w:r>
      <w:r w:rsidRPr="00615A2B">
        <w:rPr>
          <w:bCs/>
          <w:iCs/>
          <w:szCs w:val="24"/>
        </w:rPr>
        <w:t xml:space="preserve"> účetní závěrky sestavené před vyhotovením projektu rozdělení. Na tomto zvýšení základního kapitálu se podílejí pouze dosavadní společníci nástupnické společnosti.</w:t>
      </w:r>
    </w:p>
    <w:p w14:paraId="45DE0D67" w14:textId="77777777" w:rsidR="00615A2B" w:rsidRPr="00615A2B" w:rsidRDefault="00615A2B" w:rsidP="005F5A2E">
      <w:pPr>
        <w:pStyle w:val="Textodstavce"/>
        <w:ind w:firstLine="425"/>
        <w:rPr>
          <w:bCs/>
          <w:iCs/>
          <w:szCs w:val="24"/>
        </w:rPr>
      </w:pPr>
      <w:r w:rsidRPr="00615A2B">
        <w:rPr>
          <w:bCs/>
          <w:iCs/>
          <w:szCs w:val="24"/>
        </w:rPr>
        <w:t xml:space="preserve">(2) </w:t>
      </w:r>
      <w:r w:rsidRPr="00615A2B">
        <w:rPr>
          <w:bCs/>
          <w:szCs w:val="24"/>
        </w:rPr>
        <w:t>Jestliže</w:t>
      </w:r>
      <w:r w:rsidRPr="00615A2B">
        <w:rPr>
          <w:bCs/>
          <w:iCs/>
          <w:szCs w:val="24"/>
        </w:rPr>
        <w:t xml:space="preserve"> se zvyšuje základní kapitál nástupnické společnosti podle odstavce 1, použijí se ustanovení zákona, který upravuje právní poměry obchodních společností a družstev, o </w:t>
      </w:r>
      <w:r w:rsidRPr="00615A2B">
        <w:rPr>
          <w:bCs/>
          <w:iCs/>
          <w:szCs w:val="24"/>
        </w:rPr>
        <w:lastRenderedPageBreak/>
        <w:t xml:space="preserve">zvýšení základního kapitálu společnosti s ručením omezeným zvýšením vkladů společníků nebo vznikem nových podílů z </w:t>
      </w:r>
      <w:r w:rsidRPr="00615A2B">
        <w:rPr>
          <w:bCs/>
          <w:iCs/>
          <w:strike/>
          <w:szCs w:val="24"/>
        </w:rPr>
        <w:t xml:space="preserve">vlastních zdrojů </w:t>
      </w:r>
      <w:r w:rsidRPr="00615A2B">
        <w:rPr>
          <w:b/>
          <w:szCs w:val="24"/>
        </w:rPr>
        <w:t>jiných částí vlastního kapitálu</w:t>
      </w:r>
      <w:r w:rsidRPr="00615A2B">
        <w:rPr>
          <w:szCs w:val="24"/>
        </w:rPr>
        <w:t xml:space="preserve"> </w:t>
      </w:r>
      <w:r w:rsidRPr="00615A2B">
        <w:rPr>
          <w:bCs/>
          <w:iCs/>
          <w:szCs w:val="24"/>
        </w:rPr>
        <w:t>s výjimkou ustanovení o obsahu pozvánky na valnou hromadu při zvýšení základního kapitálu, o obsahu usnesení valné hromady a o zápisu zvýšení základního kapitálu do obchodního rejstříku.</w:t>
      </w:r>
    </w:p>
    <w:p w14:paraId="72B504CD" w14:textId="77777777" w:rsidR="00615A2B" w:rsidRPr="00615A2B" w:rsidRDefault="00615A2B" w:rsidP="005F5A2E">
      <w:pPr>
        <w:pStyle w:val="Textodstavce"/>
        <w:ind w:firstLine="425"/>
        <w:rPr>
          <w:bCs/>
          <w:iCs/>
          <w:szCs w:val="24"/>
        </w:rPr>
      </w:pPr>
      <w:r w:rsidRPr="00615A2B">
        <w:rPr>
          <w:bCs/>
          <w:iCs/>
          <w:szCs w:val="24"/>
        </w:rPr>
        <w:t>(3) Usnesení valné hromady nástupnické společnosti o rozdělení musí při postupu podle odstavců 1 a 2 obsahovat i</w:t>
      </w:r>
    </w:p>
    <w:p w14:paraId="25862B41" w14:textId="77777777" w:rsidR="00615A2B" w:rsidRPr="00615A2B" w:rsidRDefault="00615A2B" w:rsidP="00DE29D4">
      <w:pPr>
        <w:pStyle w:val="PZTextpsmene"/>
        <w:spacing w:before="0"/>
        <w:ind w:left="426" w:hanging="426"/>
        <w:rPr>
          <w:bCs/>
          <w:szCs w:val="24"/>
        </w:rPr>
      </w:pPr>
      <w:r w:rsidRPr="00615A2B">
        <w:rPr>
          <w:bCs/>
          <w:szCs w:val="24"/>
        </w:rPr>
        <w:t>a)</w:t>
      </w:r>
      <w:r w:rsidRPr="00615A2B">
        <w:rPr>
          <w:bCs/>
          <w:szCs w:val="24"/>
        </w:rPr>
        <w:tab/>
        <w:t xml:space="preserve">určení </w:t>
      </w:r>
      <w:r w:rsidRPr="00615A2B">
        <w:rPr>
          <w:bCs/>
          <w:strike/>
          <w:szCs w:val="24"/>
        </w:rPr>
        <w:t>vlastního zdroje nebo zdrojů</w:t>
      </w:r>
      <w:r w:rsidRPr="00615A2B">
        <w:rPr>
          <w:bCs/>
          <w:szCs w:val="24"/>
        </w:rPr>
        <w:t xml:space="preserve"> </w:t>
      </w:r>
      <w:r w:rsidRPr="00615A2B">
        <w:rPr>
          <w:b/>
          <w:szCs w:val="24"/>
        </w:rPr>
        <w:t>části nebo částí vlastního kapitálu</w:t>
      </w:r>
      <w:r w:rsidRPr="00615A2B">
        <w:rPr>
          <w:szCs w:val="24"/>
        </w:rPr>
        <w:t xml:space="preserve"> </w:t>
      </w:r>
      <w:r w:rsidRPr="00615A2B">
        <w:rPr>
          <w:bCs/>
          <w:szCs w:val="24"/>
        </w:rPr>
        <w:t>nástupnické společnosti, z nichž se základní kapitál zvyšuje, v členění podle struktury vlastního kapitálu v dané účetní závěrce,</w:t>
      </w:r>
    </w:p>
    <w:p w14:paraId="27361CFB" w14:textId="77777777" w:rsidR="00615A2B" w:rsidRPr="00615A2B" w:rsidRDefault="00615A2B" w:rsidP="00DE29D4">
      <w:pPr>
        <w:pStyle w:val="PZTextpsmene"/>
        <w:spacing w:before="0"/>
        <w:ind w:left="426" w:hanging="426"/>
        <w:rPr>
          <w:bCs/>
          <w:szCs w:val="24"/>
        </w:rPr>
      </w:pPr>
      <w:r w:rsidRPr="00615A2B">
        <w:rPr>
          <w:bCs/>
          <w:szCs w:val="24"/>
        </w:rPr>
        <w:t>b)</w:t>
      </w:r>
      <w:r w:rsidRPr="00615A2B">
        <w:rPr>
          <w:bCs/>
          <w:szCs w:val="24"/>
        </w:rPr>
        <w:tab/>
        <w:t xml:space="preserve">částku zvýšení základního kapitálu z </w:t>
      </w:r>
      <w:r w:rsidRPr="00615A2B">
        <w:rPr>
          <w:bCs/>
          <w:strike/>
          <w:szCs w:val="24"/>
        </w:rPr>
        <w:t>vlastních zdrojů</w:t>
      </w:r>
      <w:r w:rsidRPr="00615A2B">
        <w:rPr>
          <w:b/>
          <w:szCs w:val="24"/>
        </w:rPr>
        <w:t xml:space="preserve"> jiných částí vlastního kapitálu</w:t>
      </w:r>
      <w:r w:rsidRPr="00615A2B">
        <w:rPr>
          <w:bCs/>
          <w:szCs w:val="24"/>
        </w:rPr>
        <w:t xml:space="preserve"> a</w:t>
      </w:r>
    </w:p>
    <w:p w14:paraId="62027DC8" w14:textId="77777777" w:rsidR="00615A2B" w:rsidRPr="00615A2B" w:rsidRDefault="00615A2B" w:rsidP="00DE29D4">
      <w:pPr>
        <w:pStyle w:val="PZTextpsmene"/>
        <w:spacing w:before="0"/>
        <w:ind w:left="426" w:hanging="426"/>
        <w:rPr>
          <w:bCs/>
          <w:szCs w:val="24"/>
        </w:rPr>
      </w:pPr>
      <w:r w:rsidRPr="00615A2B">
        <w:rPr>
          <w:bCs/>
          <w:szCs w:val="24"/>
        </w:rPr>
        <w:t>c)</w:t>
      </w:r>
      <w:r w:rsidRPr="00615A2B">
        <w:rPr>
          <w:bCs/>
          <w:szCs w:val="24"/>
        </w:rPr>
        <w:tab/>
        <w:t>částku, o jakou se zvyšuje výše vkladu každého dosavadního společníka nástupnické společnosti, nebo údaj, jaký podíl s jemu odpovídající výší vkladu vznikne každému ze společníků.</w:t>
      </w:r>
    </w:p>
    <w:p w14:paraId="14A04F21" w14:textId="77777777" w:rsidR="00615A2B" w:rsidRPr="00615A2B" w:rsidRDefault="00615A2B" w:rsidP="00992796">
      <w:pPr>
        <w:pStyle w:val="Nadpisparagrafu"/>
        <w:numPr>
          <w:ilvl w:val="0"/>
          <w:numId w:val="39"/>
        </w:numPr>
        <w:spacing w:after="120"/>
        <w:rPr>
          <w:b w:val="0"/>
          <w:szCs w:val="24"/>
        </w:rPr>
      </w:pPr>
      <w:r w:rsidRPr="00615A2B">
        <w:rPr>
          <w:b w:val="0"/>
          <w:szCs w:val="24"/>
        </w:rPr>
        <w:t>***</w:t>
      </w:r>
    </w:p>
    <w:p w14:paraId="650866EC" w14:textId="77777777" w:rsidR="00615A2B" w:rsidRPr="00615A2B" w:rsidRDefault="00615A2B" w:rsidP="00044E7D">
      <w:pPr>
        <w:tabs>
          <w:tab w:val="left" w:pos="425"/>
          <w:tab w:val="left" w:pos="851"/>
        </w:tabs>
        <w:spacing w:after="120"/>
        <w:ind w:firstLine="0"/>
        <w:jc w:val="center"/>
        <w:rPr>
          <w:szCs w:val="24"/>
        </w:rPr>
      </w:pPr>
      <w:r w:rsidRPr="00615A2B">
        <w:rPr>
          <w:bCs/>
          <w:szCs w:val="24"/>
        </w:rPr>
        <w:t xml:space="preserve">§ </w:t>
      </w:r>
      <w:r w:rsidRPr="00615A2B">
        <w:rPr>
          <w:szCs w:val="24"/>
        </w:rPr>
        <w:t>285</w:t>
      </w:r>
    </w:p>
    <w:p w14:paraId="0E6165F2" w14:textId="77777777" w:rsidR="00615A2B" w:rsidRPr="00615A2B" w:rsidRDefault="00615A2B" w:rsidP="00615A2B">
      <w:pPr>
        <w:pStyle w:val="Textodstavce"/>
        <w:spacing w:before="240"/>
        <w:ind w:firstLine="425"/>
        <w:rPr>
          <w:szCs w:val="24"/>
        </w:rPr>
      </w:pPr>
      <w:r w:rsidRPr="00044E7D">
        <w:rPr>
          <w:rStyle w:val="PromnnHTML"/>
          <w:i w:val="0"/>
          <w:szCs w:val="24"/>
        </w:rPr>
        <w:t>(1)</w:t>
      </w:r>
      <w:r w:rsidRPr="00615A2B">
        <w:rPr>
          <w:szCs w:val="24"/>
        </w:rPr>
        <w:t xml:space="preserve"> Nejméně 2 týdny přede dnem konání valné hromady, na kterém má být schváleno rozdělení, musí být společníkům doručeny</w:t>
      </w:r>
    </w:p>
    <w:p w14:paraId="4990B235" w14:textId="77777777" w:rsidR="00615A2B" w:rsidRPr="00615A2B" w:rsidRDefault="00615A2B" w:rsidP="00DE29D4">
      <w:pPr>
        <w:pStyle w:val="PZTextpsmene"/>
        <w:spacing w:before="0"/>
        <w:ind w:left="426" w:hanging="426"/>
        <w:rPr>
          <w:szCs w:val="24"/>
        </w:rPr>
      </w:pPr>
      <w:r w:rsidRPr="00044E7D">
        <w:rPr>
          <w:rStyle w:val="PromnnHTML"/>
          <w:i w:val="0"/>
          <w:szCs w:val="24"/>
        </w:rPr>
        <w:t>a)</w:t>
      </w:r>
      <w:r w:rsidRPr="00615A2B">
        <w:rPr>
          <w:szCs w:val="24"/>
        </w:rPr>
        <w:tab/>
        <w:t>projekt rozdělení,</w:t>
      </w:r>
    </w:p>
    <w:p w14:paraId="4F11650F" w14:textId="77777777" w:rsidR="00615A2B" w:rsidRPr="00615A2B" w:rsidRDefault="00615A2B" w:rsidP="00DE29D4">
      <w:pPr>
        <w:pStyle w:val="PZTextpsmene"/>
        <w:spacing w:before="0"/>
        <w:ind w:left="426" w:hanging="426"/>
        <w:rPr>
          <w:szCs w:val="24"/>
        </w:rPr>
      </w:pPr>
      <w:r w:rsidRPr="00044E7D">
        <w:rPr>
          <w:rStyle w:val="PromnnHTML"/>
          <w:i w:val="0"/>
          <w:szCs w:val="24"/>
        </w:rPr>
        <w:t>b)</w:t>
      </w:r>
      <w:r w:rsidRPr="00615A2B">
        <w:rPr>
          <w:szCs w:val="24"/>
        </w:rPr>
        <w:tab/>
      </w:r>
      <w:r w:rsidRPr="00615A2B">
        <w:rPr>
          <w:b/>
          <w:szCs w:val="24"/>
        </w:rPr>
        <w:t>řádné</w:t>
      </w:r>
      <w:r w:rsidRPr="00615A2B">
        <w:rPr>
          <w:szCs w:val="24"/>
        </w:rPr>
        <w:t xml:space="preserve"> </w:t>
      </w:r>
      <w:r w:rsidRPr="00615A2B">
        <w:rPr>
          <w:b/>
          <w:szCs w:val="24"/>
        </w:rPr>
        <w:t>individuální</w:t>
      </w:r>
      <w:r w:rsidRPr="00615A2B">
        <w:rPr>
          <w:szCs w:val="24"/>
        </w:rPr>
        <w:t xml:space="preserve"> účetní závěrky všech zúčastněných společností s ručením omezeným za poslední 3 účetní období, jestliže zúčastněná společnost s ručením omezeným po tuto dobu trvá, popřípadě takové účetní závěrky právního předchůdce, měla-li zúčastněná společnost s ručením omezeným právního předchůdce, a vyžadují-li se, také zprávy auditora o </w:t>
      </w:r>
      <w:r w:rsidRPr="00615A2B">
        <w:rPr>
          <w:strike/>
          <w:szCs w:val="24"/>
        </w:rPr>
        <w:t>jejich ověření</w:t>
      </w:r>
      <w:r w:rsidRPr="00615A2B">
        <w:rPr>
          <w:szCs w:val="24"/>
        </w:rPr>
        <w:t xml:space="preserve"> </w:t>
      </w:r>
      <w:r w:rsidRPr="00615A2B">
        <w:rPr>
          <w:b/>
          <w:szCs w:val="24"/>
        </w:rPr>
        <w:t>povinném auditu</w:t>
      </w:r>
      <w:r w:rsidRPr="00615A2B">
        <w:rPr>
          <w:szCs w:val="24"/>
        </w:rPr>
        <w:t>,</w:t>
      </w:r>
    </w:p>
    <w:p w14:paraId="695EC710" w14:textId="77777777" w:rsidR="00615A2B" w:rsidRPr="00615A2B" w:rsidRDefault="00615A2B" w:rsidP="00DE29D4">
      <w:pPr>
        <w:pStyle w:val="PZTextpsmene"/>
        <w:spacing w:before="0"/>
        <w:ind w:left="426" w:hanging="426"/>
        <w:rPr>
          <w:szCs w:val="24"/>
        </w:rPr>
      </w:pPr>
      <w:r w:rsidRPr="00044E7D">
        <w:rPr>
          <w:rStyle w:val="PromnnHTML"/>
          <w:i w:val="0"/>
          <w:szCs w:val="24"/>
        </w:rPr>
        <w:t>c)</w:t>
      </w:r>
      <w:r w:rsidRPr="00615A2B">
        <w:rPr>
          <w:szCs w:val="24"/>
        </w:rPr>
        <w:tab/>
        <w:t xml:space="preserve">konečné účetní závěrky všech zúčastněných společností s ručením omezeným, zahajovací rozvaha rozdělované nebo nástupnické společnosti s ručením omezeným, pokud rozhodný den rozdělení předchází vyhotovení projektu fúze, a vyžadují-li se, také zprávy auditora o </w:t>
      </w:r>
      <w:r w:rsidRPr="00615A2B">
        <w:rPr>
          <w:strike/>
          <w:szCs w:val="24"/>
        </w:rPr>
        <w:t>jejich ověření</w:t>
      </w:r>
      <w:r w:rsidRPr="00615A2B">
        <w:rPr>
          <w:szCs w:val="24"/>
        </w:rPr>
        <w:t xml:space="preserve"> </w:t>
      </w:r>
      <w:r w:rsidRPr="00615A2B">
        <w:rPr>
          <w:b/>
          <w:szCs w:val="24"/>
        </w:rPr>
        <w:t>povinném auditu</w:t>
      </w:r>
      <w:r w:rsidRPr="00615A2B">
        <w:rPr>
          <w:szCs w:val="24"/>
        </w:rPr>
        <w:t>,</w:t>
      </w:r>
    </w:p>
    <w:p w14:paraId="7407B01D" w14:textId="77777777" w:rsidR="00615A2B" w:rsidRPr="00615A2B" w:rsidRDefault="00615A2B" w:rsidP="00DE29D4">
      <w:pPr>
        <w:pStyle w:val="PZTextpsmene"/>
        <w:spacing w:before="0"/>
        <w:ind w:left="426" w:hanging="426"/>
        <w:rPr>
          <w:szCs w:val="24"/>
        </w:rPr>
      </w:pPr>
      <w:r w:rsidRPr="00044E7D">
        <w:rPr>
          <w:rStyle w:val="PromnnHTML"/>
          <w:i w:val="0"/>
          <w:szCs w:val="24"/>
        </w:rPr>
        <w:t>d)</w:t>
      </w:r>
      <w:r w:rsidRPr="00615A2B">
        <w:rPr>
          <w:szCs w:val="24"/>
        </w:rPr>
        <w:tab/>
        <w:t xml:space="preserve">mezitímní </w:t>
      </w:r>
      <w:r w:rsidRPr="00615A2B">
        <w:rPr>
          <w:b/>
          <w:szCs w:val="24"/>
        </w:rPr>
        <w:t>individuální</w:t>
      </w:r>
      <w:r w:rsidRPr="00615A2B">
        <w:rPr>
          <w:szCs w:val="24"/>
        </w:rPr>
        <w:t xml:space="preserve"> účetní závěrka a zpráva auditora o </w:t>
      </w:r>
      <w:r w:rsidRPr="00615A2B">
        <w:rPr>
          <w:strike/>
          <w:szCs w:val="24"/>
        </w:rPr>
        <w:t>jejich ověření</w:t>
      </w:r>
      <w:r w:rsidRPr="00615A2B">
        <w:rPr>
          <w:szCs w:val="24"/>
        </w:rPr>
        <w:t xml:space="preserve"> </w:t>
      </w:r>
      <w:r w:rsidRPr="00615A2B">
        <w:rPr>
          <w:b/>
          <w:szCs w:val="24"/>
        </w:rPr>
        <w:t>povinném auditu</w:t>
      </w:r>
      <w:r w:rsidRPr="00615A2B">
        <w:rPr>
          <w:szCs w:val="24"/>
        </w:rPr>
        <w:t>, anebo pololetní zpráva podle zákona o podnikání na kapitálovém trhu, pokud se vyžadují,</w:t>
      </w:r>
    </w:p>
    <w:p w14:paraId="65FC39AD" w14:textId="77777777" w:rsidR="00615A2B" w:rsidRPr="00615A2B" w:rsidRDefault="00615A2B" w:rsidP="00DE29D4">
      <w:pPr>
        <w:pStyle w:val="PZTextpsmene"/>
        <w:spacing w:before="0"/>
        <w:ind w:left="426" w:hanging="426"/>
        <w:rPr>
          <w:szCs w:val="24"/>
        </w:rPr>
      </w:pPr>
      <w:r w:rsidRPr="00044E7D">
        <w:rPr>
          <w:rStyle w:val="PromnnHTML"/>
          <w:i w:val="0"/>
          <w:szCs w:val="24"/>
        </w:rPr>
        <w:t>e)</w:t>
      </w:r>
      <w:r w:rsidRPr="00615A2B">
        <w:rPr>
          <w:szCs w:val="24"/>
        </w:rPr>
        <w:tab/>
        <w:t>společná zpráva o rozdělení nebo všechny zprávy o rozdělení všech zúčastněných společností, pokud se vyžadují,</w:t>
      </w:r>
    </w:p>
    <w:p w14:paraId="183D867B" w14:textId="77777777" w:rsidR="00615A2B" w:rsidRPr="00615A2B" w:rsidRDefault="00615A2B" w:rsidP="00DE29D4">
      <w:pPr>
        <w:pStyle w:val="PZTextpsmene"/>
        <w:spacing w:before="0"/>
        <w:ind w:left="426" w:hanging="426"/>
        <w:rPr>
          <w:szCs w:val="24"/>
        </w:rPr>
      </w:pPr>
      <w:r w:rsidRPr="00044E7D">
        <w:rPr>
          <w:rStyle w:val="PromnnHTML"/>
          <w:i w:val="0"/>
          <w:szCs w:val="24"/>
        </w:rPr>
        <w:t>f)</w:t>
      </w:r>
      <w:r w:rsidRPr="00615A2B">
        <w:rPr>
          <w:szCs w:val="24"/>
        </w:rPr>
        <w:tab/>
        <w:t>znalecká zpráva o rozdělení nebo znalecké zprávy o rozdělení ostatních zúčastněných společností, pokud se vyžadují.</w:t>
      </w:r>
    </w:p>
    <w:p w14:paraId="0B5CCDFD" w14:textId="77777777" w:rsidR="00615A2B" w:rsidRPr="00615A2B" w:rsidRDefault="00615A2B" w:rsidP="005F5A2E">
      <w:pPr>
        <w:pStyle w:val="Textodstavce"/>
        <w:ind w:firstLine="425"/>
        <w:rPr>
          <w:szCs w:val="24"/>
        </w:rPr>
      </w:pPr>
      <w:r w:rsidRPr="00044E7D">
        <w:rPr>
          <w:rStyle w:val="PromnnHTML"/>
          <w:i w:val="0"/>
          <w:szCs w:val="24"/>
        </w:rPr>
        <w:t>(2)</w:t>
      </w:r>
      <w:r w:rsidRPr="00615A2B">
        <w:rPr>
          <w:szCs w:val="24"/>
        </w:rPr>
        <w:t xml:space="preserve"> Každá zúčastněná společnost zároveň s dokumenty podle odstavce 1 zašle společníkům upozornění, že mají právo se seznámit v sídle společnosti s posudkem znalce pro ocenění jmění.</w:t>
      </w:r>
    </w:p>
    <w:p w14:paraId="02572A52" w14:textId="77777777" w:rsidR="00615A2B" w:rsidRPr="00615A2B" w:rsidRDefault="00615A2B" w:rsidP="005F5A2E">
      <w:pPr>
        <w:pStyle w:val="Textodstavce"/>
        <w:ind w:firstLine="425"/>
        <w:rPr>
          <w:szCs w:val="24"/>
        </w:rPr>
      </w:pPr>
      <w:r w:rsidRPr="00044E7D">
        <w:rPr>
          <w:rStyle w:val="PromnnHTML"/>
          <w:i w:val="0"/>
          <w:szCs w:val="24"/>
        </w:rPr>
        <w:t>(3)</w:t>
      </w:r>
      <w:r w:rsidRPr="00615A2B">
        <w:rPr>
          <w:szCs w:val="24"/>
        </w:rPr>
        <w:t xml:space="preserve"> Jestliže má být rozdělení schváleno společníky mimo valnou hromadu, </w:t>
      </w:r>
      <w:r w:rsidRPr="00615A2B">
        <w:rPr>
          <w:bCs/>
          <w:szCs w:val="24"/>
        </w:rPr>
        <w:t>zašle</w:t>
      </w:r>
      <w:r w:rsidRPr="00615A2B">
        <w:rPr>
          <w:bCs/>
          <w:color w:val="00B0F0"/>
          <w:szCs w:val="24"/>
        </w:rPr>
        <w:t xml:space="preserve"> </w:t>
      </w:r>
      <w:r w:rsidRPr="00615A2B">
        <w:rPr>
          <w:szCs w:val="24"/>
        </w:rPr>
        <w:t>společnost dokumenty uvedené v odstavci 1 a upozornění podle odstavce 2 společníkům spolu s návrhem na rozhodnutí o rozdělení mimo valnou hromadu.</w:t>
      </w:r>
    </w:p>
    <w:p w14:paraId="64FF433C" w14:textId="77777777" w:rsidR="00615A2B" w:rsidRPr="00615A2B" w:rsidRDefault="00615A2B" w:rsidP="00992796">
      <w:pPr>
        <w:pStyle w:val="Nadpisparagrafu"/>
        <w:numPr>
          <w:ilvl w:val="0"/>
          <w:numId w:val="39"/>
        </w:numPr>
        <w:spacing w:after="120"/>
        <w:rPr>
          <w:b w:val="0"/>
          <w:szCs w:val="24"/>
        </w:rPr>
      </w:pPr>
      <w:r w:rsidRPr="00615A2B">
        <w:rPr>
          <w:b w:val="0"/>
          <w:szCs w:val="24"/>
        </w:rPr>
        <w:t>***</w:t>
      </w:r>
    </w:p>
    <w:p w14:paraId="2FC33E86" w14:textId="77777777" w:rsidR="00615A2B" w:rsidRPr="00615A2B" w:rsidRDefault="00615A2B" w:rsidP="00044E7D">
      <w:pPr>
        <w:tabs>
          <w:tab w:val="left" w:pos="425"/>
          <w:tab w:val="left" w:pos="851"/>
        </w:tabs>
        <w:spacing w:after="120"/>
        <w:ind w:firstLine="0"/>
        <w:jc w:val="center"/>
        <w:rPr>
          <w:szCs w:val="24"/>
        </w:rPr>
      </w:pPr>
      <w:r w:rsidRPr="00615A2B">
        <w:rPr>
          <w:bCs/>
          <w:szCs w:val="24"/>
        </w:rPr>
        <w:t xml:space="preserve">§ </w:t>
      </w:r>
      <w:r w:rsidRPr="00615A2B">
        <w:rPr>
          <w:szCs w:val="24"/>
        </w:rPr>
        <w:t>286</w:t>
      </w:r>
    </w:p>
    <w:p w14:paraId="70427078" w14:textId="77777777" w:rsidR="00615A2B" w:rsidRPr="00615A2B" w:rsidRDefault="00615A2B" w:rsidP="00615A2B">
      <w:pPr>
        <w:pStyle w:val="Textodstavce"/>
        <w:spacing w:before="240"/>
        <w:ind w:firstLine="425"/>
        <w:rPr>
          <w:szCs w:val="24"/>
        </w:rPr>
      </w:pPr>
      <w:r w:rsidRPr="00615A2B">
        <w:rPr>
          <w:szCs w:val="24"/>
        </w:rPr>
        <w:lastRenderedPageBreak/>
        <w:t>Usnesení valné hromady zúčastněné společnosti o schválení rozdělení musí obsahovat schválení</w:t>
      </w:r>
    </w:p>
    <w:p w14:paraId="3FE1AAF9" w14:textId="0B92653D" w:rsidR="00615A2B" w:rsidRPr="00615A2B" w:rsidRDefault="00615A2B" w:rsidP="00DE29D4">
      <w:pPr>
        <w:pStyle w:val="PZTextpsmene"/>
        <w:spacing w:before="0"/>
        <w:ind w:left="426" w:hanging="426"/>
        <w:rPr>
          <w:szCs w:val="24"/>
        </w:rPr>
      </w:pPr>
      <w:r w:rsidRPr="00044E7D">
        <w:rPr>
          <w:rStyle w:val="PromnnHTML"/>
          <w:i w:val="0"/>
          <w:szCs w:val="24"/>
        </w:rPr>
        <w:t>a)</w:t>
      </w:r>
      <w:r w:rsidR="00044E7D">
        <w:rPr>
          <w:szCs w:val="24"/>
        </w:rPr>
        <w:tab/>
      </w:r>
      <w:r w:rsidRPr="00615A2B">
        <w:rPr>
          <w:szCs w:val="24"/>
        </w:rPr>
        <w:t>projektu rozdělení a</w:t>
      </w:r>
    </w:p>
    <w:p w14:paraId="4F68E434" w14:textId="4DF64FC3" w:rsidR="00615A2B" w:rsidRPr="00615A2B" w:rsidRDefault="00615A2B" w:rsidP="00DE29D4">
      <w:pPr>
        <w:pStyle w:val="PZTextpsmene"/>
        <w:spacing w:before="0"/>
        <w:ind w:left="426" w:hanging="426"/>
        <w:rPr>
          <w:szCs w:val="24"/>
        </w:rPr>
      </w:pPr>
      <w:r w:rsidRPr="00044E7D">
        <w:rPr>
          <w:rStyle w:val="PromnnHTML"/>
          <w:i w:val="0"/>
          <w:szCs w:val="24"/>
        </w:rPr>
        <w:t>b)</w:t>
      </w:r>
      <w:r w:rsidR="00044E7D">
        <w:rPr>
          <w:szCs w:val="24"/>
        </w:rPr>
        <w:tab/>
      </w:r>
      <w:r w:rsidRPr="00615A2B">
        <w:rPr>
          <w:szCs w:val="24"/>
        </w:rPr>
        <w:t xml:space="preserve">konečné účetní závěrky příslušné zúčastněné společnosti a zahajovací rozvahy nástupnické společnosti nebo společností, pokud rozhodný den rozdělení předchází vyhotovení projektu rozdělení, popřípadě mezitímní </w:t>
      </w:r>
      <w:r w:rsidRPr="00615A2B">
        <w:rPr>
          <w:b/>
          <w:szCs w:val="24"/>
        </w:rPr>
        <w:t>individuální</w:t>
      </w:r>
      <w:r w:rsidRPr="00615A2B">
        <w:rPr>
          <w:szCs w:val="24"/>
        </w:rPr>
        <w:t xml:space="preserve"> účetní závěrky příslušné zúčastněné společnosti.</w:t>
      </w:r>
    </w:p>
    <w:p w14:paraId="06077F41" w14:textId="77777777" w:rsidR="00615A2B" w:rsidRPr="00615A2B" w:rsidRDefault="00615A2B" w:rsidP="00044E7D">
      <w:pPr>
        <w:pStyle w:val="Textodstavce"/>
        <w:spacing w:before="240"/>
        <w:jc w:val="center"/>
        <w:rPr>
          <w:szCs w:val="24"/>
        </w:rPr>
      </w:pPr>
      <w:r w:rsidRPr="00615A2B">
        <w:rPr>
          <w:szCs w:val="24"/>
        </w:rPr>
        <w:t>§ 287</w:t>
      </w:r>
    </w:p>
    <w:p w14:paraId="68A9845A" w14:textId="77777777" w:rsidR="00615A2B" w:rsidRPr="00615A2B" w:rsidRDefault="00615A2B" w:rsidP="00615A2B">
      <w:pPr>
        <w:pStyle w:val="Textodstavce"/>
        <w:spacing w:before="240"/>
        <w:ind w:firstLine="425"/>
        <w:rPr>
          <w:szCs w:val="24"/>
        </w:rPr>
      </w:pPr>
      <w:r w:rsidRPr="00615A2B">
        <w:rPr>
          <w:szCs w:val="24"/>
        </w:rPr>
        <w:t>Pokud dochází ke zvýšení nebo snížení základního kapitálu nástupnické nebo rozdělované společnosti podle tohoto zákona, obsahuje pozvánka na valnou hromadu všech zúčastněných společností i údaj o tom</w:t>
      </w:r>
    </w:p>
    <w:p w14:paraId="4A47632F" w14:textId="5D50CE8D" w:rsidR="00615A2B" w:rsidRPr="00615A2B" w:rsidRDefault="00044E7D" w:rsidP="00DE29D4">
      <w:pPr>
        <w:pStyle w:val="Textodstavce"/>
        <w:tabs>
          <w:tab w:val="left" w:pos="420"/>
        </w:tabs>
        <w:spacing w:before="0" w:after="0"/>
        <w:ind w:left="426" w:hanging="426"/>
        <w:rPr>
          <w:szCs w:val="24"/>
        </w:rPr>
      </w:pPr>
      <w:r>
        <w:rPr>
          <w:szCs w:val="24"/>
        </w:rPr>
        <w:t>a)</w:t>
      </w:r>
      <w:r>
        <w:rPr>
          <w:szCs w:val="24"/>
        </w:rPr>
        <w:tab/>
      </w:r>
      <w:r w:rsidR="00615A2B" w:rsidRPr="00615A2B">
        <w:rPr>
          <w:szCs w:val="24"/>
        </w:rPr>
        <w:t>pro společníky jakých zúčastněných společností je základní kapitál nástupnické společnosti zvyšován nebo snižován,</w:t>
      </w:r>
    </w:p>
    <w:p w14:paraId="2FB4F0E5" w14:textId="21769F70" w:rsidR="00615A2B" w:rsidRPr="00615A2B" w:rsidRDefault="00044E7D" w:rsidP="00DE29D4">
      <w:pPr>
        <w:pStyle w:val="Textodstavce"/>
        <w:tabs>
          <w:tab w:val="left" w:pos="420"/>
        </w:tabs>
        <w:spacing w:before="0" w:after="0"/>
        <w:ind w:left="426" w:hanging="426"/>
        <w:rPr>
          <w:szCs w:val="24"/>
        </w:rPr>
      </w:pPr>
      <w:r>
        <w:rPr>
          <w:szCs w:val="24"/>
        </w:rPr>
        <w:t>b)</w:t>
      </w:r>
      <w:r>
        <w:rPr>
          <w:szCs w:val="24"/>
        </w:rPr>
        <w:tab/>
      </w:r>
      <w:r w:rsidR="00615A2B" w:rsidRPr="00615A2B">
        <w:rPr>
          <w:szCs w:val="24"/>
        </w:rPr>
        <w:t xml:space="preserve">zda jde o zvýšení základního kapitálu z </w:t>
      </w:r>
      <w:r w:rsidR="00615A2B" w:rsidRPr="00615A2B">
        <w:rPr>
          <w:strike/>
          <w:szCs w:val="24"/>
        </w:rPr>
        <w:t>vlastních zdrojů</w:t>
      </w:r>
      <w:r w:rsidR="00615A2B" w:rsidRPr="00615A2B">
        <w:rPr>
          <w:szCs w:val="24"/>
        </w:rPr>
        <w:t xml:space="preserve"> </w:t>
      </w:r>
      <w:r w:rsidR="00615A2B" w:rsidRPr="00615A2B">
        <w:rPr>
          <w:b/>
          <w:bCs/>
          <w:szCs w:val="24"/>
        </w:rPr>
        <w:t>jiných částí vlastního kapitálu</w:t>
      </w:r>
      <w:r w:rsidR="00615A2B" w:rsidRPr="00615A2B">
        <w:rPr>
          <w:szCs w:val="24"/>
        </w:rPr>
        <w:t xml:space="preserve"> nástupnické společnosti nebo ze jmění zanikající nebo rozdělované společnosti a</w:t>
      </w:r>
    </w:p>
    <w:p w14:paraId="4B8A4D78" w14:textId="63308AD5" w:rsidR="00615A2B" w:rsidRPr="00615A2B" w:rsidRDefault="00044E7D" w:rsidP="00DE29D4">
      <w:pPr>
        <w:pStyle w:val="Textodstavce"/>
        <w:tabs>
          <w:tab w:val="left" w:pos="420"/>
        </w:tabs>
        <w:spacing w:before="0" w:after="0"/>
        <w:ind w:left="426" w:hanging="426"/>
        <w:rPr>
          <w:szCs w:val="24"/>
        </w:rPr>
      </w:pPr>
      <w:r>
        <w:rPr>
          <w:szCs w:val="24"/>
        </w:rPr>
        <w:t>c)</w:t>
      </w:r>
      <w:r>
        <w:rPr>
          <w:szCs w:val="24"/>
        </w:rPr>
        <w:tab/>
      </w:r>
      <w:r w:rsidR="00615A2B" w:rsidRPr="00615A2B">
        <w:rPr>
          <w:szCs w:val="24"/>
        </w:rPr>
        <w:t>zda dochází ke kombinovanému zvýšení základního kapitálu nebo ke kombinaci zvýšení a snížení základního kapitálu.</w:t>
      </w:r>
    </w:p>
    <w:p w14:paraId="13CACAFD" w14:textId="77777777" w:rsidR="00615A2B" w:rsidRPr="00615A2B" w:rsidRDefault="00615A2B" w:rsidP="00992796">
      <w:pPr>
        <w:pStyle w:val="Nadpisparagrafu"/>
        <w:numPr>
          <w:ilvl w:val="0"/>
          <w:numId w:val="39"/>
        </w:numPr>
        <w:spacing w:after="120"/>
        <w:rPr>
          <w:b w:val="0"/>
          <w:szCs w:val="24"/>
        </w:rPr>
      </w:pPr>
      <w:r w:rsidRPr="00615A2B">
        <w:rPr>
          <w:b w:val="0"/>
          <w:szCs w:val="24"/>
        </w:rPr>
        <w:t>***</w:t>
      </w:r>
    </w:p>
    <w:p w14:paraId="65DA0FF1" w14:textId="77777777" w:rsidR="00615A2B" w:rsidRPr="00615A2B" w:rsidRDefault="00615A2B" w:rsidP="00044E7D">
      <w:pPr>
        <w:tabs>
          <w:tab w:val="left" w:pos="425"/>
          <w:tab w:val="left" w:pos="851"/>
        </w:tabs>
        <w:spacing w:after="120"/>
        <w:ind w:firstLine="0"/>
        <w:jc w:val="center"/>
        <w:rPr>
          <w:szCs w:val="24"/>
        </w:rPr>
      </w:pPr>
      <w:r w:rsidRPr="00615A2B">
        <w:rPr>
          <w:bCs/>
          <w:szCs w:val="24"/>
        </w:rPr>
        <w:t xml:space="preserve">§ </w:t>
      </w:r>
      <w:r w:rsidRPr="00615A2B">
        <w:rPr>
          <w:szCs w:val="24"/>
        </w:rPr>
        <w:t>287a</w:t>
      </w:r>
    </w:p>
    <w:p w14:paraId="79A28E0D" w14:textId="77777777" w:rsidR="00615A2B" w:rsidRPr="00615A2B" w:rsidRDefault="00615A2B" w:rsidP="005F5A2E">
      <w:pPr>
        <w:pStyle w:val="Textodstavce"/>
        <w:ind w:firstLine="425"/>
        <w:rPr>
          <w:szCs w:val="24"/>
        </w:rPr>
      </w:pPr>
      <w:r w:rsidRPr="00615A2B">
        <w:rPr>
          <w:szCs w:val="24"/>
        </w:rPr>
        <w:t xml:space="preserve">(1) Jednatel zúčastněné společnosti seznámí před hlasováním o schválení rozdělení společníky se znaleckou zprávou o rozdělení, pokud se vyžaduje, a se všemi podstatnými změnami týkajícími se jmění, k nimž došlo v období od vyhotovení projektu rozdělení do dne konání valné hromady, která rozhoduje o rozdělení, ve všech zúčastněných společnostech. Správnost oznámení o změnách týkajících se jmění musí být potvrzena auditorem, pokud </w:t>
      </w:r>
      <w:r w:rsidRPr="00615A2B">
        <w:rPr>
          <w:strike/>
          <w:szCs w:val="24"/>
        </w:rPr>
        <w:t>podléhá</w:t>
      </w:r>
      <w:r w:rsidRPr="00615A2B">
        <w:rPr>
          <w:szCs w:val="24"/>
        </w:rPr>
        <w:t xml:space="preserve"> </w:t>
      </w:r>
      <w:r w:rsidRPr="00615A2B">
        <w:rPr>
          <w:b/>
          <w:szCs w:val="24"/>
        </w:rPr>
        <w:t>má</w:t>
      </w:r>
      <w:r w:rsidRPr="00615A2B">
        <w:rPr>
          <w:szCs w:val="24"/>
        </w:rPr>
        <w:t xml:space="preserve"> společnost </w:t>
      </w:r>
      <w:r w:rsidRPr="00615A2B">
        <w:rPr>
          <w:strike/>
          <w:szCs w:val="24"/>
        </w:rPr>
        <w:t>povinnému auditu</w:t>
      </w:r>
      <w:r w:rsidRPr="00615A2B">
        <w:rPr>
          <w:szCs w:val="24"/>
        </w:rPr>
        <w:t xml:space="preserve"> </w:t>
      </w:r>
      <w:r w:rsidRPr="00615A2B">
        <w:rPr>
          <w:b/>
          <w:szCs w:val="24"/>
        </w:rPr>
        <w:t>povinný audit</w:t>
      </w:r>
      <w:r w:rsidRPr="00615A2B">
        <w:rPr>
          <w:szCs w:val="24"/>
        </w:rPr>
        <w:t>, nebo znalcem, který prováděl ocenění jmění.</w:t>
      </w:r>
    </w:p>
    <w:p w14:paraId="6C309270" w14:textId="77777777" w:rsidR="00615A2B" w:rsidRPr="00615A2B" w:rsidRDefault="00615A2B" w:rsidP="005F5A2E">
      <w:pPr>
        <w:pStyle w:val="Textodstavce"/>
        <w:ind w:firstLine="425"/>
        <w:rPr>
          <w:szCs w:val="24"/>
        </w:rPr>
      </w:pPr>
      <w:r w:rsidRPr="00615A2B">
        <w:rPr>
          <w:szCs w:val="24"/>
        </w:rPr>
        <w:t>(2) Jednatel zúčastněné společnosti informuje o změnách jmění podle odstavce 1 jednatele ostatních zúčastněných společností tak, aby mohli informovat své příslušné valné hromady.</w:t>
      </w:r>
    </w:p>
    <w:p w14:paraId="1E6ECD7F" w14:textId="77777777" w:rsidR="00615A2B" w:rsidRPr="00615A2B" w:rsidRDefault="00615A2B" w:rsidP="005F5A2E">
      <w:pPr>
        <w:pStyle w:val="Textodstavce"/>
        <w:ind w:firstLine="425"/>
        <w:rPr>
          <w:szCs w:val="24"/>
        </w:rPr>
      </w:pPr>
      <w:r w:rsidRPr="00615A2B">
        <w:rPr>
          <w:szCs w:val="24"/>
        </w:rPr>
        <w:t>(3) Jestliže má být rozdělení schváleno společníky mimo valnou hromadu, je jednatel povinen poskytnout společníkům informace uvedené v odstavci 1 písemně spolu s návrhem na rozhodnutí o rozdělení mimo valnou hromadu.</w:t>
      </w:r>
    </w:p>
    <w:p w14:paraId="1BCE4FE4" w14:textId="77777777" w:rsidR="00615A2B" w:rsidRPr="00615A2B" w:rsidRDefault="00615A2B" w:rsidP="005F5A2E">
      <w:pPr>
        <w:pStyle w:val="Textodstavce"/>
        <w:ind w:firstLine="425"/>
        <w:rPr>
          <w:szCs w:val="24"/>
        </w:rPr>
      </w:pPr>
      <w:r w:rsidRPr="00615A2B">
        <w:rPr>
          <w:szCs w:val="24"/>
        </w:rPr>
        <w:t>(4) Seznámení se změnami jmění se nevyžaduje, pokud s tím předem souhlasili všichni společníci všech zúčastněných společností.</w:t>
      </w:r>
    </w:p>
    <w:p w14:paraId="54DB8DA2" w14:textId="77777777" w:rsidR="00615A2B" w:rsidRPr="00615A2B" w:rsidRDefault="00615A2B" w:rsidP="002330F4">
      <w:pPr>
        <w:tabs>
          <w:tab w:val="left" w:pos="425"/>
          <w:tab w:val="left" w:pos="851"/>
        </w:tabs>
        <w:spacing w:after="120"/>
        <w:ind w:firstLine="0"/>
        <w:jc w:val="center"/>
        <w:rPr>
          <w:szCs w:val="24"/>
        </w:rPr>
      </w:pPr>
      <w:r w:rsidRPr="00615A2B">
        <w:rPr>
          <w:szCs w:val="24"/>
        </w:rPr>
        <w:t>§ 287b</w:t>
      </w:r>
    </w:p>
    <w:p w14:paraId="05D55559" w14:textId="77777777" w:rsidR="00615A2B" w:rsidRPr="00615A2B" w:rsidRDefault="00615A2B" w:rsidP="005F5A2E">
      <w:pPr>
        <w:pStyle w:val="Textodstavce"/>
        <w:ind w:firstLine="425"/>
        <w:rPr>
          <w:szCs w:val="24"/>
        </w:rPr>
      </w:pPr>
      <w:r w:rsidRPr="00615A2B">
        <w:rPr>
          <w:iCs/>
          <w:szCs w:val="24"/>
        </w:rPr>
        <w:t>(</w:t>
      </w:r>
      <w:r w:rsidRPr="00615A2B">
        <w:rPr>
          <w:szCs w:val="24"/>
        </w:rPr>
        <w:t>1) Jestliže vlastní nástupnické společnosti všechny obchodní podíly zanikající nebo rozdělované společnosti, nevyžaduje se schválení rozdělení valnou hromadou, jediným společníkem ani společníky zúčastněných společností, jestliže všechny zúčastněné společnosti splnily povinnosti uvedené v odstavci 3 a v § 33 nebo 33a a v § 285 nebo 285a a nedochází ke změně jejich zakladatelských právních jednání.</w:t>
      </w:r>
    </w:p>
    <w:p w14:paraId="6437F479" w14:textId="77777777" w:rsidR="00615A2B" w:rsidRPr="00615A2B" w:rsidRDefault="00615A2B" w:rsidP="005F5A2E">
      <w:pPr>
        <w:pStyle w:val="Textodstavce"/>
        <w:ind w:firstLine="425"/>
        <w:rPr>
          <w:szCs w:val="24"/>
        </w:rPr>
      </w:pPr>
      <w:r w:rsidRPr="00615A2B">
        <w:rPr>
          <w:szCs w:val="24"/>
        </w:rPr>
        <w:t xml:space="preserve">(2) Nebude-li se konat valná hromada zanikající nebo rozdělované společnosti, informuje jednatel každé zúčastněné společnosti jednatele ostatních zúčastněných společností o všech </w:t>
      </w:r>
      <w:r w:rsidRPr="00615A2B">
        <w:rPr>
          <w:szCs w:val="24"/>
        </w:rPr>
        <w:lastRenderedPageBreak/>
        <w:t>podstatných změnách týkajících se jmění, k nimž došlo v období od vyhotovení projektu rozdělení.</w:t>
      </w:r>
    </w:p>
    <w:p w14:paraId="51AAA830" w14:textId="77777777" w:rsidR="00615A2B" w:rsidRPr="00615A2B" w:rsidRDefault="00615A2B" w:rsidP="005F5A2E">
      <w:pPr>
        <w:pStyle w:val="Textodstavce"/>
        <w:pBdr>
          <w:top w:val="single" w:sz="12" w:space="1" w:color="00B0F0"/>
          <w:left w:val="single" w:sz="12" w:space="4" w:color="00B0F0"/>
          <w:bottom w:val="single" w:sz="12" w:space="1" w:color="00B0F0"/>
          <w:right w:val="single" w:sz="12" w:space="4" w:color="00B0F0"/>
        </w:pBdr>
        <w:ind w:firstLine="425"/>
        <w:rPr>
          <w:iCs/>
          <w:szCs w:val="24"/>
        </w:rPr>
      </w:pPr>
      <w:r w:rsidRPr="00615A2B">
        <w:rPr>
          <w:iCs/>
          <w:szCs w:val="24"/>
        </w:rPr>
        <w:t>(3) </w:t>
      </w:r>
      <w:bookmarkStart w:id="53" w:name="_Hlk108716761"/>
      <w:r w:rsidRPr="00615A2B">
        <w:rPr>
          <w:bCs/>
          <w:iCs/>
          <w:color w:val="00B0F0"/>
          <w:szCs w:val="24"/>
        </w:rPr>
        <w:t>Upozornění podle</w:t>
      </w:r>
      <w:bookmarkEnd w:id="53"/>
      <w:r w:rsidRPr="00615A2B">
        <w:rPr>
          <w:bCs/>
          <w:iCs/>
          <w:color w:val="00B0F0"/>
          <w:szCs w:val="24"/>
        </w:rPr>
        <w:t xml:space="preserve"> </w:t>
      </w:r>
      <w:r w:rsidRPr="00615A2B">
        <w:rPr>
          <w:iCs/>
          <w:szCs w:val="24"/>
        </w:rPr>
        <w:t xml:space="preserve">§ 33 odst. 1 písm. b) </w:t>
      </w:r>
      <w:bookmarkStart w:id="54" w:name="_Hlk108716777"/>
      <w:r w:rsidRPr="00615A2B">
        <w:rPr>
          <w:bCs/>
          <w:iCs/>
          <w:color w:val="00B0F0"/>
          <w:szCs w:val="24"/>
        </w:rPr>
        <w:t>nebo § 33a odst. 2 písm. b)</w:t>
      </w:r>
      <w:bookmarkEnd w:id="54"/>
      <w:r w:rsidRPr="00615A2B">
        <w:rPr>
          <w:iCs/>
          <w:szCs w:val="24"/>
        </w:rPr>
        <w:t xml:space="preserve">, budou-li zúčastněné společnosti postupovat podle odstavce 1, musí být </w:t>
      </w:r>
      <w:r w:rsidRPr="00615A2B">
        <w:rPr>
          <w:bCs/>
          <w:iCs/>
          <w:color w:val="00B0F0"/>
          <w:szCs w:val="24"/>
        </w:rPr>
        <w:t>zveřejněno</w:t>
      </w:r>
      <w:r w:rsidRPr="00615A2B">
        <w:rPr>
          <w:iCs/>
          <w:szCs w:val="24"/>
        </w:rPr>
        <w:t xml:space="preserve"> nejpozději 1 měsíc přede dnem, v němž má být podán návrh na zápis rozdělení do obchodního rejstříku. Toto platí i pro plnění povinností podle § 285 nebo 285a.</w:t>
      </w:r>
    </w:p>
    <w:p w14:paraId="1B03184D" w14:textId="77777777" w:rsidR="00615A2B" w:rsidRPr="00615A2B" w:rsidRDefault="00615A2B" w:rsidP="005F5A2E">
      <w:pPr>
        <w:pStyle w:val="Textodstavce"/>
        <w:ind w:firstLine="425"/>
        <w:rPr>
          <w:iCs/>
          <w:szCs w:val="24"/>
        </w:rPr>
      </w:pPr>
      <w:r w:rsidRPr="00615A2B">
        <w:rPr>
          <w:iCs/>
          <w:szCs w:val="24"/>
        </w:rPr>
        <w:t xml:space="preserve">(4) Pokud poslední řádná </w:t>
      </w:r>
      <w:r w:rsidRPr="00615A2B">
        <w:rPr>
          <w:iCs/>
          <w:strike/>
          <w:szCs w:val="24"/>
        </w:rPr>
        <w:t>nebo mimořádná</w:t>
      </w:r>
      <w:r w:rsidRPr="00615A2B">
        <w:rPr>
          <w:iCs/>
          <w:szCs w:val="24"/>
        </w:rPr>
        <w:t xml:space="preserve"> </w:t>
      </w:r>
      <w:r w:rsidRPr="00615A2B">
        <w:rPr>
          <w:b/>
          <w:szCs w:val="24"/>
        </w:rPr>
        <w:t>individuální</w:t>
      </w:r>
      <w:r w:rsidRPr="00615A2B">
        <w:rPr>
          <w:iCs/>
          <w:szCs w:val="24"/>
        </w:rPr>
        <w:t xml:space="preserve"> účetní závěrka jakékoliv zúčastněné společnosti, popřípadě mezitímní </w:t>
      </w:r>
      <w:r w:rsidRPr="00615A2B">
        <w:rPr>
          <w:b/>
          <w:szCs w:val="24"/>
        </w:rPr>
        <w:t xml:space="preserve">individuální </w:t>
      </w:r>
      <w:r w:rsidRPr="00615A2B">
        <w:rPr>
          <w:iCs/>
          <w:szCs w:val="24"/>
        </w:rPr>
        <w:t>účetní závěrka, pokud se vyžaduje, anebo její konečná účetní závěrka nebyla schválena valnou hromadou, jediným společníkem nebo společníky této zúčastněné společnosti před zápisem rozdělení do obchodního rejstříku, schvaluje ji valná hromada, jediný společník nebo společníci nástupnické společnosti po zápisu rozdělení do obchodního rejstříku. Schválení zahajovací rozvahy se v tomto případě nevyžaduje.</w:t>
      </w:r>
    </w:p>
    <w:p w14:paraId="60C7F3CC" w14:textId="77777777" w:rsidR="00615A2B" w:rsidRPr="00615A2B" w:rsidRDefault="00615A2B" w:rsidP="005F5A2E">
      <w:pPr>
        <w:pStyle w:val="Textodstavce"/>
        <w:pBdr>
          <w:top w:val="single" w:sz="12" w:space="1" w:color="00B0F0"/>
          <w:left w:val="single" w:sz="12" w:space="4" w:color="00B0F0"/>
          <w:bottom w:val="single" w:sz="12" w:space="1" w:color="00B0F0"/>
          <w:right w:val="single" w:sz="12" w:space="4" w:color="00B0F0"/>
        </w:pBdr>
        <w:spacing w:before="240"/>
        <w:ind w:firstLine="425"/>
        <w:rPr>
          <w:iCs/>
          <w:szCs w:val="24"/>
        </w:rPr>
      </w:pPr>
      <w:r w:rsidRPr="00615A2B">
        <w:rPr>
          <w:iCs/>
          <w:szCs w:val="24"/>
        </w:rPr>
        <w:t xml:space="preserve">(5) Společníci nástupnické společnosti, jejichž vklady dosahují alespoň 5 % základního kapitálu nástupnické společnosti před rozdělením, mají právo požadovat svolání valné hromady nástupnické společnosti za účelem schválení rozdělení do 1 měsíce ode dne, v němž </w:t>
      </w:r>
      <w:bookmarkStart w:id="55" w:name="_Hlk108716726"/>
      <w:r w:rsidRPr="00615A2B">
        <w:rPr>
          <w:bCs/>
          <w:iCs/>
          <w:color w:val="00B0F0"/>
          <w:szCs w:val="24"/>
        </w:rPr>
        <w:t>bylo zveřejněno upozornění</w:t>
      </w:r>
      <w:r w:rsidRPr="00615A2B">
        <w:rPr>
          <w:iCs/>
          <w:szCs w:val="24"/>
        </w:rPr>
        <w:t xml:space="preserve"> </w:t>
      </w:r>
      <w:bookmarkEnd w:id="55"/>
      <w:r w:rsidRPr="00615A2B">
        <w:rPr>
          <w:iCs/>
          <w:szCs w:val="24"/>
        </w:rPr>
        <w:t xml:space="preserve">podle § 33 odst. 1 písm. b) </w:t>
      </w:r>
      <w:bookmarkStart w:id="56" w:name="_Hlk108716738"/>
      <w:r w:rsidRPr="00615A2B">
        <w:rPr>
          <w:bCs/>
          <w:iCs/>
          <w:color w:val="00B0F0"/>
          <w:szCs w:val="24"/>
        </w:rPr>
        <w:t>nebo § 33a odst. 2 písm. b)</w:t>
      </w:r>
      <w:bookmarkEnd w:id="56"/>
      <w:r w:rsidRPr="00615A2B">
        <w:rPr>
          <w:iCs/>
          <w:szCs w:val="24"/>
        </w:rPr>
        <w:t>.</w:t>
      </w:r>
    </w:p>
    <w:p w14:paraId="71E0D14B" w14:textId="77777777" w:rsidR="00615A2B" w:rsidRPr="00615A2B" w:rsidRDefault="00615A2B" w:rsidP="005F5A2E">
      <w:pPr>
        <w:pStyle w:val="Textodstavce"/>
        <w:pBdr>
          <w:top w:val="single" w:sz="12" w:space="1" w:color="00B0F0"/>
          <w:left w:val="single" w:sz="12" w:space="4" w:color="00B0F0"/>
          <w:bottom w:val="single" w:sz="12" w:space="1" w:color="00B0F0"/>
          <w:right w:val="single" w:sz="12" w:space="4" w:color="00B0F0"/>
        </w:pBdr>
        <w:spacing w:before="240"/>
        <w:ind w:firstLine="425"/>
        <w:rPr>
          <w:iCs/>
          <w:szCs w:val="24"/>
        </w:rPr>
      </w:pPr>
      <w:bookmarkStart w:id="57" w:name="_Hlk108716705"/>
      <w:r w:rsidRPr="00615A2B">
        <w:rPr>
          <w:bCs/>
          <w:iCs/>
          <w:color w:val="00B0F0"/>
          <w:szCs w:val="24"/>
        </w:rPr>
        <w:t xml:space="preserve">(6) </w:t>
      </w:r>
      <w:bookmarkEnd w:id="57"/>
      <w:r w:rsidRPr="00615A2B">
        <w:rPr>
          <w:bCs/>
          <w:iCs/>
          <w:color w:val="00B0F0"/>
          <w:szCs w:val="24"/>
        </w:rPr>
        <w:t>Nemá-li se konat pouze valná hromada zanikající nebo rozdělované společnosti podle odstavců 1 a 5, je rozhodný z hlediska doby pro splnění povinností podle § 33 nebo 33a, 59l a 285 nebo 285a zanikající nebo rozdělovanou společností den, na nějž je svolána valná hromada nástupnické společnosti. Mají-li se konat valné hromady nástupnických společností v různých dnech, je rozhodným den, na nějž je svolaná první z těchto valných hromad.</w:t>
      </w:r>
    </w:p>
    <w:p w14:paraId="58CA1192" w14:textId="77777777" w:rsidR="00615A2B" w:rsidRPr="00615A2B" w:rsidRDefault="00615A2B" w:rsidP="005F5A2E">
      <w:pPr>
        <w:pStyle w:val="Textodstavce"/>
        <w:pBdr>
          <w:top w:val="single" w:sz="12" w:space="1" w:color="00B0F0"/>
          <w:left w:val="single" w:sz="12" w:space="4" w:color="00B0F0"/>
          <w:bottom w:val="single" w:sz="12" w:space="1" w:color="00B0F0"/>
          <w:right w:val="single" w:sz="12" w:space="4" w:color="00B0F0"/>
        </w:pBdr>
        <w:spacing w:before="240"/>
        <w:ind w:firstLine="425"/>
        <w:rPr>
          <w:iCs/>
          <w:szCs w:val="24"/>
        </w:rPr>
      </w:pPr>
      <w:r w:rsidRPr="00615A2B">
        <w:rPr>
          <w:bCs/>
          <w:iCs/>
          <w:color w:val="00B0F0"/>
          <w:szCs w:val="24"/>
        </w:rPr>
        <w:t xml:space="preserve">(7) </w:t>
      </w:r>
      <w:r w:rsidRPr="00615A2B">
        <w:rPr>
          <w:iCs/>
          <w:szCs w:val="24"/>
        </w:rPr>
        <w:t>Jestliže má dojít ke změně společenské smlouvy nebo zakladatelské listiny nástupnické společnosti uvedené v odstavci 1, vyžaduje se k rozdělení sloučením souhlas alespoň valné hromady této nástupnické společnosti nebo jejího jediného společníka.</w:t>
      </w:r>
    </w:p>
    <w:p w14:paraId="5B10FA75" w14:textId="77777777" w:rsidR="00615A2B" w:rsidRPr="00615A2B" w:rsidRDefault="00615A2B" w:rsidP="005F5A2E">
      <w:pPr>
        <w:pStyle w:val="Textodstavce"/>
        <w:pBdr>
          <w:top w:val="single" w:sz="12" w:space="1" w:color="00B0F0"/>
          <w:left w:val="single" w:sz="12" w:space="4" w:color="00B0F0"/>
          <w:bottom w:val="single" w:sz="12" w:space="1" w:color="00B0F0"/>
          <w:right w:val="single" w:sz="12" w:space="4" w:color="00B0F0"/>
        </w:pBdr>
        <w:spacing w:before="240"/>
        <w:ind w:firstLine="425"/>
        <w:rPr>
          <w:iCs/>
          <w:szCs w:val="24"/>
        </w:rPr>
      </w:pPr>
      <w:bookmarkStart w:id="58" w:name="_Hlk118819373"/>
      <w:r w:rsidRPr="00615A2B">
        <w:rPr>
          <w:bCs/>
          <w:iCs/>
          <w:color w:val="00B0F0"/>
          <w:szCs w:val="24"/>
        </w:rPr>
        <w:t xml:space="preserve">(8) </w:t>
      </w:r>
      <w:r w:rsidRPr="00615A2B">
        <w:rPr>
          <w:bCs/>
          <w:color w:val="00B0F0"/>
          <w:szCs w:val="24"/>
        </w:rPr>
        <w:t xml:space="preserve">Je-li při vyčlenění sloučením rozdělovaná společnost jediným společníkem nástupnické nebo nástupnických společností, nevyžaduje se schválení rozdělení jediným společníkem této nástupnické nebo nástupnických společností. </w:t>
      </w:r>
      <w:r w:rsidRPr="00615A2B">
        <w:rPr>
          <w:bCs/>
          <w:iCs/>
          <w:color w:val="00B0F0"/>
          <w:szCs w:val="24"/>
        </w:rPr>
        <w:t>V takovém případě je rozhodný z hlediska doby pro splnění povinností podle § 33 nebo 33a, 59l a 285 nebo 285a nástupnickou společností den, na nějž je svolána valná hromada rozdělované společnosti.</w:t>
      </w:r>
    </w:p>
    <w:bookmarkEnd w:id="58"/>
    <w:p w14:paraId="35655457" w14:textId="77777777" w:rsidR="00615A2B" w:rsidRPr="00615A2B" w:rsidRDefault="00615A2B" w:rsidP="00992796">
      <w:pPr>
        <w:pStyle w:val="Nadpisparagrafu"/>
        <w:numPr>
          <w:ilvl w:val="0"/>
          <w:numId w:val="39"/>
        </w:numPr>
        <w:spacing w:after="120"/>
        <w:rPr>
          <w:b w:val="0"/>
          <w:szCs w:val="24"/>
        </w:rPr>
      </w:pPr>
      <w:r w:rsidRPr="00615A2B">
        <w:rPr>
          <w:b w:val="0"/>
          <w:szCs w:val="24"/>
        </w:rPr>
        <w:t>***</w:t>
      </w:r>
    </w:p>
    <w:p w14:paraId="0B614E6C" w14:textId="77777777" w:rsidR="00615A2B" w:rsidRPr="00615A2B" w:rsidRDefault="00615A2B" w:rsidP="002330F4">
      <w:pPr>
        <w:tabs>
          <w:tab w:val="left" w:pos="425"/>
          <w:tab w:val="left" w:pos="851"/>
        </w:tabs>
        <w:spacing w:after="120"/>
        <w:ind w:firstLine="0"/>
        <w:jc w:val="center"/>
        <w:rPr>
          <w:szCs w:val="24"/>
        </w:rPr>
      </w:pPr>
      <w:r w:rsidRPr="00615A2B">
        <w:rPr>
          <w:bCs/>
          <w:szCs w:val="24"/>
        </w:rPr>
        <w:t xml:space="preserve">§ </w:t>
      </w:r>
      <w:r w:rsidRPr="00615A2B">
        <w:rPr>
          <w:szCs w:val="24"/>
        </w:rPr>
        <w:t>299</w:t>
      </w:r>
    </w:p>
    <w:p w14:paraId="2F0A3D48" w14:textId="77777777" w:rsidR="00615A2B" w:rsidRPr="002330F4" w:rsidRDefault="00615A2B" w:rsidP="00615A2B">
      <w:pPr>
        <w:pStyle w:val="Textodstavce"/>
        <w:spacing w:before="240"/>
        <w:ind w:firstLine="425"/>
        <w:rPr>
          <w:szCs w:val="24"/>
        </w:rPr>
      </w:pPr>
      <w:r w:rsidRPr="002330F4">
        <w:rPr>
          <w:szCs w:val="24"/>
        </w:rPr>
        <w:t>(1) V sídle každé ze zúčastněných společností musí být k nahlédnutí pro akcionáře alespoň 1 měsíc před stanoveným dnem konání valné hromady, jež má rozhodnout o schválení rozdělení,</w:t>
      </w:r>
    </w:p>
    <w:p w14:paraId="36DDC7E7" w14:textId="77777777" w:rsidR="00615A2B" w:rsidRPr="002330F4" w:rsidRDefault="00615A2B" w:rsidP="005F5A2E">
      <w:pPr>
        <w:pStyle w:val="PZTextpsmene"/>
        <w:spacing w:before="0"/>
        <w:rPr>
          <w:szCs w:val="24"/>
        </w:rPr>
      </w:pPr>
      <w:r w:rsidRPr="002330F4">
        <w:rPr>
          <w:szCs w:val="24"/>
        </w:rPr>
        <w:t>a)</w:t>
      </w:r>
      <w:r w:rsidRPr="002330F4">
        <w:rPr>
          <w:szCs w:val="24"/>
        </w:rPr>
        <w:tab/>
        <w:t>projekt rozdělení,</w:t>
      </w:r>
    </w:p>
    <w:p w14:paraId="754AAD1A" w14:textId="77777777" w:rsidR="00615A2B" w:rsidRPr="002330F4" w:rsidRDefault="00615A2B" w:rsidP="005F5A2E">
      <w:pPr>
        <w:pStyle w:val="PZTextpsmene"/>
        <w:spacing w:before="0"/>
        <w:rPr>
          <w:szCs w:val="24"/>
        </w:rPr>
      </w:pPr>
      <w:r w:rsidRPr="002330F4">
        <w:rPr>
          <w:szCs w:val="24"/>
        </w:rPr>
        <w:t>b)</w:t>
      </w:r>
      <w:r w:rsidRPr="002330F4">
        <w:rPr>
          <w:szCs w:val="24"/>
        </w:rPr>
        <w:tab/>
      </w:r>
      <w:r w:rsidRPr="002330F4">
        <w:rPr>
          <w:b/>
          <w:szCs w:val="24"/>
        </w:rPr>
        <w:t>řádné</w:t>
      </w:r>
      <w:r w:rsidRPr="002330F4">
        <w:rPr>
          <w:szCs w:val="24"/>
        </w:rPr>
        <w:t xml:space="preserve"> </w:t>
      </w:r>
      <w:r w:rsidRPr="002330F4">
        <w:rPr>
          <w:b/>
          <w:szCs w:val="24"/>
        </w:rPr>
        <w:t>individuální</w:t>
      </w:r>
      <w:r w:rsidRPr="002330F4">
        <w:rPr>
          <w:szCs w:val="24"/>
        </w:rPr>
        <w:t xml:space="preserve"> účetní závěrky všech zúčastněných společností za poslední 3 účetní období, jestliže zúčastněná společnost po tuto dobu trvá, popřípadě takové účetní závěrky právního předchůdce, měla-li zúčastněná společnost právního předchůdce, a vyžadují-li se, také zprávy auditora o </w:t>
      </w:r>
      <w:r w:rsidRPr="002330F4">
        <w:rPr>
          <w:strike/>
          <w:szCs w:val="24"/>
        </w:rPr>
        <w:t>jejich ověření</w:t>
      </w:r>
      <w:r w:rsidRPr="002330F4">
        <w:rPr>
          <w:szCs w:val="24"/>
        </w:rPr>
        <w:t xml:space="preserve"> </w:t>
      </w:r>
      <w:r w:rsidRPr="002330F4">
        <w:rPr>
          <w:b/>
          <w:szCs w:val="24"/>
        </w:rPr>
        <w:t>povinném auditu</w:t>
      </w:r>
      <w:r w:rsidRPr="002330F4">
        <w:rPr>
          <w:szCs w:val="24"/>
        </w:rPr>
        <w:t>,</w:t>
      </w:r>
    </w:p>
    <w:p w14:paraId="4CDFA386" w14:textId="77777777" w:rsidR="00615A2B" w:rsidRPr="002330F4" w:rsidRDefault="00615A2B" w:rsidP="005F5A2E">
      <w:pPr>
        <w:pStyle w:val="PZTextpsmene"/>
        <w:spacing w:before="0"/>
        <w:rPr>
          <w:szCs w:val="24"/>
        </w:rPr>
      </w:pPr>
      <w:r w:rsidRPr="002330F4">
        <w:rPr>
          <w:szCs w:val="24"/>
        </w:rPr>
        <w:lastRenderedPageBreak/>
        <w:t>c)</w:t>
      </w:r>
      <w:r w:rsidRPr="002330F4">
        <w:rPr>
          <w:szCs w:val="24"/>
        </w:rPr>
        <w:tab/>
        <w:t xml:space="preserve">konečné účetní závěrky všech zúčastněných společností, zahajovací rozvaha rozdělované nebo nástupnické společnosti, pokud rozhodný den rozdělení předchází vyhotovení projektu rozdělení, a vyžadují-li se, také zprávy auditora o </w:t>
      </w:r>
      <w:r w:rsidRPr="002330F4">
        <w:rPr>
          <w:strike/>
          <w:szCs w:val="24"/>
        </w:rPr>
        <w:t>jejich ověření</w:t>
      </w:r>
      <w:r w:rsidRPr="002330F4">
        <w:rPr>
          <w:szCs w:val="24"/>
        </w:rPr>
        <w:t xml:space="preserve"> </w:t>
      </w:r>
      <w:r w:rsidRPr="002330F4">
        <w:rPr>
          <w:b/>
          <w:szCs w:val="24"/>
        </w:rPr>
        <w:t>povinném auditu</w:t>
      </w:r>
      <w:r w:rsidRPr="002330F4">
        <w:rPr>
          <w:szCs w:val="24"/>
        </w:rPr>
        <w:t>,</w:t>
      </w:r>
    </w:p>
    <w:p w14:paraId="3A9126DE" w14:textId="77777777" w:rsidR="00615A2B" w:rsidRPr="002330F4" w:rsidRDefault="00615A2B" w:rsidP="005F5A2E">
      <w:pPr>
        <w:spacing w:before="0"/>
        <w:ind w:left="425" w:hanging="425"/>
        <w:rPr>
          <w:szCs w:val="24"/>
        </w:rPr>
      </w:pPr>
      <w:r w:rsidRPr="002330F4">
        <w:rPr>
          <w:szCs w:val="24"/>
        </w:rPr>
        <w:t>d)</w:t>
      </w:r>
      <w:r w:rsidRPr="002330F4">
        <w:rPr>
          <w:szCs w:val="24"/>
        </w:rPr>
        <w:tab/>
        <w:t xml:space="preserve">mezitímní </w:t>
      </w:r>
      <w:r w:rsidRPr="002330F4">
        <w:rPr>
          <w:b/>
          <w:szCs w:val="24"/>
        </w:rPr>
        <w:t>individuální</w:t>
      </w:r>
      <w:r w:rsidRPr="002330F4">
        <w:rPr>
          <w:szCs w:val="24"/>
        </w:rPr>
        <w:t xml:space="preserve"> účetní závěrka a zpráva auditora o </w:t>
      </w:r>
      <w:r w:rsidRPr="002330F4">
        <w:rPr>
          <w:strike/>
          <w:szCs w:val="24"/>
        </w:rPr>
        <w:t>jejich ověření</w:t>
      </w:r>
      <w:r w:rsidRPr="002330F4">
        <w:rPr>
          <w:szCs w:val="24"/>
        </w:rPr>
        <w:t xml:space="preserve"> </w:t>
      </w:r>
      <w:r w:rsidRPr="002330F4">
        <w:rPr>
          <w:b/>
          <w:szCs w:val="24"/>
        </w:rPr>
        <w:t>povinném auditu</w:t>
      </w:r>
      <w:r w:rsidRPr="002330F4">
        <w:rPr>
          <w:szCs w:val="24"/>
        </w:rPr>
        <w:t>, anebo pololetní zpráva podle zákona o podnikání na kapitálovém trhu, pokud se vyžadují,</w:t>
      </w:r>
    </w:p>
    <w:p w14:paraId="6D8CEEA8" w14:textId="77777777" w:rsidR="00615A2B" w:rsidRPr="002330F4" w:rsidRDefault="00615A2B" w:rsidP="005F5A2E">
      <w:pPr>
        <w:pStyle w:val="PZTextpsmene"/>
        <w:spacing w:before="0"/>
        <w:rPr>
          <w:szCs w:val="24"/>
        </w:rPr>
      </w:pPr>
      <w:r w:rsidRPr="002330F4">
        <w:rPr>
          <w:szCs w:val="24"/>
        </w:rPr>
        <w:t>e)</w:t>
      </w:r>
      <w:r w:rsidRPr="002330F4">
        <w:rPr>
          <w:szCs w:val="24"/>
        </w:rPr>
        <w:tab/>
        <w:t>společná zpráva o rozdělení nebo všechny zprávy o rozdělení všech zúčastněných společností, pokud se vyžadují,</w:t>
      </w:r>
    </w:p>
    <w:p w14:paraId="52ACA555" w14:textId="77777777" w:rsidR="00615A2B" w:rsidRPr="002330F4" w:rsidRDefault="00615A2B" w:rsidP="005F5A2E">
      <w:pPr>
        <w:spacing w:before="0"/>
        <w:ind w:left="425" w:hanging="425"/>
        <w:rPr>
          <w:szCs w:val="24"/>
        </w:rPr>
      </w:pPr>
      <w:r w:rsidRPr="002330F4">
        <w:rPr>
          <w:szCs w:val="24"/>
        </w:rPr>
        <w:t>f)</w:t>
      </w:r>
      <w:r w:rsidRPr="002330F4">
        <w:rPr>
          <w:szCs w:val="24"/>
        </w:rPr>
        <w:tab/>
        <w:t>znalecká zpráva o rozdělení nebo všechny znalecké zprávy o rozdělení všech zúčastněných společností, pokud se vyžadují,</w:t>
      </w:r>
    </w:p>
    <w:p w14:paraId="444F82EC" w14:textId="77777777" w:rsidR="00615A2B" w:rsidRPr="002330F4" w:rsidRDefault="00615A2B" w:rsidP="005F5A2E">
      <w:pPr>
        <w:pStyle w:val="PZTextpsmene"/>
        <w:spacing w:before="0"/>
        <w:rPr>
          <w:szCs w:val="24"/>
        </w:rPr>
      </w:pPr>
      <w:r w:rsidRPr="002330F4">
        <w:rPr>
          <w:szCs w:val="24"/>
        </w:rPr>
        <w:t>g)</w:t>
      </w:r>
      <w:r w:rsidRPr="002330F4">
        <w:rPr>
          <w:szCs w:val="24"/>
        </w:rPr>
        <w:tab/>
        <w:t>posudek znalce pro ocenění jmění, není-li součástí znalecké zprávy o rozdělení.</w:t>
      </w:r>
    </w:p>
    <w:p w14:paraId="395E77CB" w14:textId="77777777" w:rsidR="00615A2B" w:rsidRPr="002330F4" w:rsidRDefault="00615A2B" w:rsidP="005F5A2E">
      <w:pPr>
        <w:pStyle w:val="Textodstavce"/>
        <w:ind w:firstLine="425"/>
        <w:rPr>
          <w:szCs w:val="24"/>
        </w:rPr>
      </w:pPr>
      <w:r w:rsidRPr="002330F4">
        <w:rPr>
          <w:szCs w:val="24"/>
        </w:rPr>
        <w:t>(2) Společnost vydá každému akcionáři, který o to požádá, bez zbytečného odkladu bezplatně opis nebo výpis z listin uvedených v odstavci 1 písm. a) až f), pokud se vyžadují.</w:t>
      </w:r>
    </w:p>
    <w:p w14:paraId="78267B56" w14:textId="77777777" w:rsidR="00615A2B" w:rsidRPr="00615A2B" w:rsidRDefault="00615A2B" w:rsidP="005F5A2E">
      <w:pPr>
        <w:pStyle w:val="Textodstavce"/>
        <w:ind w:firstLine="425"/>
        <w:rPr>
          <w:szCs w:val="24"/>
        </w:rPr>
      </w:pPr>
      <w:r w:rsidRPr="00615A2B">
        <w:rPr>
          <w:szCs w:val="24"/>
        </w:rPr>
        <w:t>(3) Pokud akcionář souhlasil s tím, že zúčastněná společnost bude k poskytování informací využívat elektronické prostředky, mohou mu být kopie listin zasílány elektronicky. Souhlas lze dát jakýmkoliv způsobem, z něhož plyne tato vůle akcionáře.</w:t>
      </w:r>
    </w:p>
    <w:p w14:paraId="77569537" w14:textId="77777777" w:rsidR="00615A2B" w:rsidRPr="00615A2B" w:rsidRDefault="00615A2B" w:rsidP="00CD43B5">
      <w:pPr>
        <w:pStyle w:val="Textodstavce"/>
        <w:pBdr>
          <w:top w:val="single" w:sz="12" w:space="1" w:color="00B0F0"/>
          <w:left w:val="single" w:sz="12" w:space="4" w:color="00B0F0"/>
          <w:bottom w:val="single" w:sz="12" w:space="1" w:color="00B0F0"/>
          <w:right w:val="single" w:sz="12" w:space="4" w:color="00B0F0"/>
        </w:pBdr>
        <w:ind w:firstLine="425"/>
        <w:rPr>
          <w:bCs/>
          <w:color w:val="00B0F0"/>
          <w:szCs w:val="24"/>
        </w:rPr>
      </w:pPr>
      <w:r w:rsidRPr="00615A2B">
        <w:rPr>
          <w:bCs/>
          <w:color w:val="00B0F0"/>
          <w:szCs w:val="24"/>
        </w:rPr>
        <w:t xml:space="preserve">(4) Jestliže má být rozdělení schváleno akcionáři mimo valnou hromadu, zašle společnost dokumenty podle odstavce 1 písm. a) až f) a upozornění, že akcionáři mají právo seznámit se v sídle společnosti s posudkem znalce pro ocenění jmění podle odstavce 1 písm. g), akcionářům spolu s návrhem rozhodnutí o rozdělení mimo valnou hromadu. </w:t>
      </w:r>
    </w:p>
    <w:p w14:paraId="60270069" w14:textId="77777777" w:rsidR="00615A2B" w:rsidRPr="00615A2B" w:rsidRDefault="00615A2B" w:rsidP="002330F4">
      <w:pPr>
        <w:tabs>
          <w:tab w:val="left" w:pos="425"/>
          <w:tab w:val="left" w:pos="851"/>
        </w:tabs>
        <w:spacing w:after="120"/>
        <w:ind w:firstLine="0"/>
        <w:jc w:val="center"/>
        <w:rPr>
          <w:bCs/>
          <w:szCs w:val="24"/>
        </w:rPr>
      </w:pPr>
      <w:r w:rsidRPr="00615A2B">
        <w:rPr>
          <w:bCs/>
          <w:szCs w:val="24"/>
        </w:rPr>
        <w:t xml:space="preserve">§ </w:t>
      </w:r>
      <w:r w:rsidRPr="00615A2B">
        <w:rPr>
          <w:szCs w:val="24"/>
        </w:rPr>
        <w:t>300</w:t>
      </w:r>
    </w:p>
    <w:p w14:paraId="53479F33" w14:textId="77777777" w:rsidR="00615A2B" w:rsidRPr="00615A2B" w:rsidRDefault="00615A2B" w:rsidP="00CD43B5">
      <w:pPr>
        <w:pStyle w:val="Textodstavce"/>
        <w:ind w:firstLine="425"/>
        <w:rPr>
          <w:szCs w:val="24"/>
        </w:rPr>
      </w:pPr>
      <w:r w:rsidRPr="00615A2B">
        <w:rPr>
          <w:szCs w:val="24"/>
        </w:rPr>
        <w:t>(1) V pozvánce na valnou hromadu nebo v oznámení o svolání valné hromady, která má schvalovat rozdělení, musí být akcionáři upozorněni na svá práva podle § 299 nebo 299a a pozvánka nebo oznámení musí obsahovat i vybrané údaje z účetní závěrky, která má být valnou hromadou schválena.</w:t>
      </w:r>
    </w:p>
    <w:p w14:paraId="7DB3464F" w14:textId="77777777" w:rsidR="00615A2B" w:rsidRPr="00615A2B" w:rsidRDefault="00615A2B" w:rsidP="00CD43B5">
      <w:pPr>
        <w:pStyle w:val="Textodstavce"/>
        <w:ind w:firstLine="425"/>
        <w:rPr>
          <w:szCs w:val="24"/>
        </w:rPr>
      </w:pPr>
      <w:r w:rsidRPr="00615A2B">
        <w:rPr>
          <w:szCs w:val="24"/>
        </w:rPr>
        <w:t xml:space="preserve">(2) V pozvánce na valnou hromadu nebo v oznámení o svolání valné hromady, která má schvalovat rozštěpení sloučením nebo odštěpení, se uvedou i údaje o vlivu rozštěpení nebo odštěpení na akcie dosavadních akcionářů nástupnické nebo rozdělované společnosti, zejména o tom, že akcie dosavadních akcionářů nástupnické nebo rozdělované společnosti nepodléhají výměně nebo že se štěpí, že se zvyšuje nebo snižuje jejich jmenovitá nebo </w:t>
      </w:r>
      <w:r w:rsidRPr="00615A2B">
        <w:rPr>
          <w:strike/>
          <w:szCs w:val="24"/>
        </w:rPr>
        <w:t>účetní</w:t>
      </w:r>
      <w:r w:rsidRPr="00615A2B">
        <w:rPr>
          <w:szCs w:val="24"/>
        </w:rPr>
        <w:t xml:space="preserve"> </w:t>
      </w:r>
      <w:r w:rsidRPr="00615A2B">
        <w:rPr>
          <w:b/>
          <w:bCs/>
          <w:szCs w:val="24"/>
        </w:rPr>
        <w:t>paritní</w:t>
      </w:r>
      <w:r w:rsidRPr="00615A2B">
        <w:rPr>
          <w:szCs w:val="24"/>
        </w:rPr>
        <w:t xml:space="preserve"> hodnota s uvedením celkové částky, o niž se zvýší nebo sníží jmenovitá hodnota všech akcií akcionářů nástupnické společnosti, anebo že se změní jejich druh nebo forma nebo dojde k výměně cenných papírů za zaknihované nebo imobilizované cenné papíry anebo obráceně.</w:t>
      </w:r>
    </w:p>
    <w:p w14:paraId="619D3C48" w14:textId="77777777" w:rsidR="00615A2B" w:rsidRPr="00615A2B" w:rsidRDefault="00615A2B" w:rsidP="00CD43B5">
      <w:pPr>
        <w:pStyle w:val="Textodstavce"/>
        <w:ind w:firstLine="425"/>
        <w:rPr>
          <w:szCs w:val="24"/>
        </w:rPr>
      </w:pPr>
      <w:r w:rsidRPr="00615A2B">
        <w:rPr>
          <w:szCs w:val="24"/>
        </w:rPr>
        <w:t xml:space="preserve">(3) Pokud dochází ke zvýšení nebo snížení základního kapitálu nástupnické nebo rozdělované společnosti podle tohoto zákona, obsahuje pozvánka na valnou hromadu všech zúčastněných společností nebo oznámení o jejím konání i údaj o tom, pro akcionáře jakých zúčastněných společností je základní kapitál zvyšován nebo snižován, zda jde o zvýšení základního kapitálu z </w:t>
      </w:r>
      <w:r w:rsidRPr="00615A2B">
        <w:rPr>
          <w:strike/>
          <w:szCs w:val="24"/>
        </w:rPr>
        <w:t>vlastních zdrojů</w:t>
      </w:r>
      <w:r w:rsidRPr="00615A2B">
        <w:rPr>
          <w:szCs w:val="24"/>
        </w:rPr>
        <w:t xml:space="preserve"> </w:t>
      </w:r>
      <w:r w:rsidRPr="00615A2B">
        <w:rPr>
          <w:b/>
          <w:bCs/>
          <w:szCs w:val="24"/>
        </w:rPr>
        <w:t>jiných částí vlastního kapitálu</w:t>
      </w:r>
      <w:r w:rsidRPr="00615A2B">
        <w:rPr>
          <w:szCs w:val="24"/>
        </w:rPr>
        <w:t xml:space="preserve"> nástupnické společnosti nebo ze jmění zanikající společnosti, zda dochází ke kombinovanému zvýšení základního kapitálu nebo ke kombinaci zvýšení a snížení základního kapitálu.</w:t>
      </w:r>
    </w:p>
    <w:p w14:paraId="681E9276" w14:textId="77777777" w:rsidR="00615A2B" w:rsidRPr="00615A2B" w:rsidRDefault="00615A2B" w:rsidP="002330F4">
      <w:pPr>
        <w:keepNext/>
        <w:tabs>
          <w:tab w:val="left" w:pos="425"/>
          <w:tab w:val="left" w:pos="851"/>
        </w:tabs>
        <w:spacing w:after="120"/>
        <w:ind w:firstLine="0"/>
        <w:jc w:val="center"/>
        <w:rPr>
          <w:szCs w:val="24"/>
        </w:rPr>
      </w:pPr>
      <w:r w:rsidRPr="00615A2B">
        <w:rPr>
          <w:bCs/>
          <w:szCs w:val="24"/>
        </w:rPr>
        <w:t xml:space="preserve">§ </w:t>
      </w:r>
      <w:r w:rsidRPr="00615A2B">
        <w:rPr>
          <w:szCs w:val="24"/>
        </w:rPr>
        <w:t>301</w:t>
      </w:r>
    </w:p>
    <w:p w14:paraId="77E59FD1" w14:textId="77777777" w:rsidR="00615A2B" w:rsidRPr="00615A2B" w:rsidRDefault="00615A2B" w:rsidP="00CD43B5">
      <w:pPr>
        <w:pStyle w:val="Textodstavce"/>
        <w:ind w:firstLine="425"/>
        <w:rPr>
          <w:szCs w:val="24"/>
        </w:rPr>
      </w:pPr>
      <w:r w:rsidRPr="00615A2B">
        <w:rPr>
          <w:szCs w:val="24"/>
        </w:rPr>
        <w:t>(1) Na valné hromadě musí být akcionářům volně přístupné k nahlédnutí listiny uvedené v § 299 odst. 1, pokud se vyžadují.</w:t>
      </w:r>
    </w:p>
    <w:p w14:paraId="3F3104CB" w14:textId="77777777" w:rsidR="00615A2B" w:rsidRPr="00615A2B" w:rsidRDefault="00615A2B" w:rsidP="00CD43B5">
      <w:pPr>
        <w:pStyle w:val="Textodstavce"/>
        <w:ind w:firstLine="425"/>
        <w:rPr>
          <w:szCs w:val="24"/>
        </w:rPr>
      </w:pPr>
      <w:r w:rsidRPr="00615A2B">
        <w:rPr>
          <w:szCs w:val="24"/>
        </w:rPr>
        <w:lastRenderedPageBreak/>
        <w:t>(2) Představenstvo na začátku valné hromady objasní akcionářům projekt rozdělení.</w:t>
      </w:r>
    </w:p>
    <w:p w14:paraId="5691C0ED" w14:textId="77777777" w:rsidR="00615A2B" w:rsidRPr="002330F4" w:rsidRDefault="00615A2B" w:rsidP="00CD43B5">
      <w:pPr>
        <w:pStyle w:val="Textodstavce"/>
        <w:ind w:firstLine="425"/>
        <w:rPr>
          <w:szCs w:val="24"/>
        </w:rPr>
      </w:pPr>
      <w:r w:rsidRPr="002330F4">
        <w:rPr>
          <w:szCs w:val="24"/>
        </w:rPr>
        <w:t xml:space="preserve">(3) Představenstvo zúčastněné společnosti seznámí před hlasováním o schválení rozdělení akcionáře se znaleckou zprávou o rozdělení, pokud se vyžaduje, a se všemi podstatnými změnami týkajícími se jmění, k nimž došlo v období od vyhotovení projektu rozdělení do dne konání valné hromady, která rozhoduje o rozdělení, ve všech zúčastněných společnostech. Správnost oznámení o změnách týkající se jmění musí být potvrzena auditorem, pokud </w:t>
      </w:r>
      <w:r w:rsidRPr="002330F4">
        <w:rPr>
          <w:strike/>
          <w:szCs w:val="24"/>
        </w:rPr>
        <w:t>podléhá</w:t>
      </w:r>
      <w:r w:rsidRPr="002330F4">
        <w:rPr>
          <w:szCs w:val="24"/>
        </w:rPr>
        <w:t xml:space="preserve"> </w:t>
      </w:r>
      <w:r w:rsidRPr="002330F4">
        <w:rPr>
          <w:b/>
          <w:szCs w:val="24"/>
        </w:rPr>
        <w:t>má</w:t>
      </w:r>
      <w:r w:rsidRPr="002330F4">
        <w:rPr>
          <w:szCs w:val="24"/>
        </w:rPr>
        <w:t xml:space="preserve"> společnost </w:t>
      </w:r>
      <w:r w:rsidRPr="002330F4">
        <w:rPr>
          <w:strike/>
          <w:szCs w:val="24"/>
        </w:rPr>
        <w:t>povinnému auditu</w:t>
      </w:r>
      <w:r w:rsidRPr="002330F4">
        <w:rPr>
          <w:szCs w:val="24"/>
        </w:rPr>
        <w:t xml:space="preserve"> </w:t>
      </w:r>
      <w:r w:rsidRPr="002330F4">
        <w:rPr>
          <w:b/>
          <w:szCs w:val="24"/>
        </w:rPr>
        <w:t>povinný audit</w:t>
      </w:r>
      <w:r w:rsidRPr="002330F4">
        <w:rPr>
          <w:szCs w:val="24"/>
        </w:rPr>
        <w:t>, nebo znalcem, který prováděl ocenění jmění.</w:t>
      </w:r>
    </w:p>
    <w:p w14:paraId="30A3347E" w14:textId="14E00A01" w:rsidR="00615A2B" w:rsidRPr="00615A2B" w:rsidRDefault="00615A2B" w:rsidP="00CD43B5">
      <w:pPr>
        <w:tabs>
          <w:tab w:val="left" w:pos="425"/>
          <w:tab w:val="left" w:pos="851"/>
        </w:tabs>
        <w:spacing w:before="120" w:after="120"/>
        <w:rPr>
          <w:szCs w:val="24"/>
        </w:rPr>
      </w:pPr>
      <w:r w:rsidRPr="00615A2B">
        <w:rPr>
          <w:szCs w:val="24"/>
        </w:rPr>
        <w:t>(4) Představenstvo zúčastněné společnosti informuje o změnách jmění podle odstavce 3 představenstva ostatních zúčastněných společností tak, aby mohla informovat své valné hromady.</w:t>
      </w:r>
    </w:p>
    <w:p w14:paraId="00218AF0" w14:textId="18073C67" w:rsidR="00615A2B" w:rsidRPr="00615A2B" w:rsidRDefault="00615A2B" w:rsidP="00CD43B5">
      <w:pPr>
        <w:pBdr>
          <w:top w:val="single" w:sz="12" w:space="1" w:color="00B0F0"/>
          <w:left w:val="single" w:sz="12" w:space="4" w:color="00B0F0"/>
          <w:bottom w:val="single" w:sz="12" w:space="1" w:color="00B0F0"/>
          <w:right w:val="single" w:sz="12" w:space="4" w:color="00B0F0"/>
        </w:pBdr>
        <w:tabs>
          <w:tab w:val="left" w:pos="425"/>
          <w:tab w:val="left" w:pos="851"/>
        </w:tabs>
        <w:spacing w:before="120" w:after="120"/>
        <w:rPr>
          <w:color w:val="00B0F0"/>
          <w:szCs w:val="24"/>
        </w:rPr>
      </w:pPr>
      <w:r w:rsidRPr="00615A2B">
        <w:rPr>
          <w:color w:val="00B0F0"/>
          <w:szCs w:val="24"/>
        </w:rPr>
        <w:t>(5) Jestliže má být rozdělení schváleno akcionáři mimo valnou hromadu, představenstvo zašle akcionářům informace podle odstavce 3 spolu s návrhem rozhodnutí o rozdělení mimo valnou hromadu.</w:t>
      </w:r>
    </w:p>
    <w:p w14:paraId="21DBBF67" w14:textId="1A6D98DE" w:rsidR="00615A2B" w:rsidRPr="00615A2B" w:rsidRDefault="00615A2B" w:rsidP="00615A2B">
      <w:pPr>
        <w:tabs>
          <w:tab w:val="left" w:pos="425"/>
          <w:tab w:val="left" w:pos="851"/>
        </w:tabs>
        <w:spacing w:after="120"/>
        <w:rPr>
          <w:szCs w:val="24"/>
        </w:rPr>
      </w:pPr>
      <w:r w:rsidRPr="00615A2B">
        <w:rPr>
          <w:szCs w:val="24"/>
        </w:rPr>
        <w:t>(6) Seznámení se změnami jmění podle odstavců 3 a 4 se nevyžaduje, pokud s tím předem souhlasili všichni akcionáři všech zúčastněných společností.</w:t>
      </w:r>
    </w:p>
    <w:p w14:paraId="77A89816" w14:textId="77777777" w:rsidR="00615A2B" w:rsidRPr="00615A2B" w:rsidRDefault="00615A2B" w:rsidP="006869DD">
      <w:pPr>
        <w:tabs>
          <w:tab w:val="left" w:pos="425"/>
          <w:tab w:val="left" w:pos="851"/>
        </w:tabs>
        <w:spacing w:after="120"/>
        <w:ind w:firstLine="0"/>
        <w:jc w:val="center"/>
        <w:rPr>
          <w:szCs w:val="24"/>
        </w:rPr>
      </w:pPr>
      <w:r w:rsidRPr="00615A2B">
        <w:rPr>
          <w:szCs w:val="24"/>
        </w:rPr>
        <w:t>§ 302</w:t>
      </w:r>
    </w:p>
    <w:p w14:paraId="19DF7E34" w14:textId="77777777" w:rsidR="00615A2B" w:rsidRPr="00615A2B" w:rsidRDefault="00615A2B" w:rsidP="00615A2B">
      <w:pPr>
        <w:pStyle w:val="Textodstavce"/>
        <w:spacing w:before="240"/>
        <w:ind w:firstLine="425"/>
        <w:rPr>
          <w:szCs w:val="24"/>
        </w:rPr>
      </w:pPr>
      <w:r w:rsidRPr="00615A2B">
        <w:rPr>
          <w:szCs w:val="24"/>
        </w:rPr>
        <w:t>Usnesení valné hromady zanikající nebo rozdělované společnosti o schválení rozdělení musí obsahovat schválení</w:t>
      </w:r>
    </w:p>
    <w:p w14:paraId="2DF94E42" w14:textId="77777777" w:rsidR="00615A2B" w:rsidRPr="00615A2B" w:rsidRDefault="00615A2B" w:rsidP="00DE29D4">
      <w:pPr>
        <w:pStyle w:val="PZTextpsmene"/>
        <w:tabs>
          <w:tab w:val="left" w:pos="434"/>
        </w:tabs>
        <w:spacing w:before="0"/>
        <w:ind w:left="426" w:hanging="426"/>
        <w:rPr>
          <w:szCs w:val="24"/>
        </w:rPr>
      </w:pPr>
      <w:r w:rsidRPr="00615A2B">
        <w:rPr>
          <w:iCs/>
          <w:szCs w:val="24"/>
        </w:rPr>
        <w:t>a)</w:t>
      </w:r>
      <w:r w:rsidRPr="00615A2B">
        <w:rPr>
          <w:szCs w:val="24"/>
        </w:rPr>
        <w:tab/>
        <w:t>projektu rozdělení a</w:t>
      </w:r>
    </w:p>
    <w:p w14:paraId="503C0AC0" w14:textId="77777777" w:rsidR="00615A2B" w:rsidRPr="00615A2B" w:rsidRDefault="00615A2B" w:rsidP="00CD43B5">
      <w:pPr>
        <w:pStyle w:val="PZTextpsmene"/>
        <w:pBdr>
          <w:top w:val="single" w:sz="12" w:space="1" w:color="00B0F0"/>
          <w:left w:val="single" w:sz="12" w:space="4" w:color="00B0F0"/>
          <w:bottom w:val="single" w:sz="12" w:space="1" w:color="00B0F0"/>
          <w:right w:val="single" w:sz="12" w:space="4" w:color="00B0F0"/>
        </w:pBdr>
        <w:tabs>
          <w:tab w:val="left" w:pos="434"/>
        </w:tabs>
        <w:spacing w:before="0"/>
        <w:ind w:left="426" w:hanging="426"/>
        <w:rPr>
          <w:szCs w:val="24"/>
        </w:rPr>
      </w:pPr>
      <w:r w:rsidRPr="00615A2B">
        <w:rPr>
          <w:iCs/>
          <w:szCs w:val="24"/>
        </w:rPr>
        <w:t>b)</w:t>
      </w:r>
      <w:r w:rsidRPr="00615A2B">
        <w:rPr>
          <w:szCs w:val="24"/>
        </w:rPr>
        <w:tab/>
        <w:t xml:space="preserve">konečné účetní závěrky zanikající nebo rozdělované společnosti a zahajovacích rozvah všech nástupnických společností a rozdělované společnosti při odštěpení </w:t>
      </w:r>
      <w:r w:rsidRPr="00615A2B">
        <w:rPr>
          <w:bCs/>
          <w:color w:val="00B0F0"/>
          <w:szCs w:val="24"/>
        </w:rPr>
        <w:t>nebo vyčlenění</w:t>
      </w:r>
      <w:r w:rsidRPr="00615A2B">
        <w:rPr>
          <w:szCs w:val="24"/>
        </w:rPr>
        <w:t xml:space="preserve">, pokud rozhodný den rozdělení předchází vyhotovení projektu rozdělení, popřípadě mezitímní </w:t>
      </w:r>
      <w:r w:rsidRPr="00615A2B">
        <w:rPr>
          <w:b/>
          <w:szCs w:val="24"/>
        </w:rPr>
        <w:t>individuální</w:t>
      </w:r>
      <w:r w:rsidRPr="00615A2B">
        <w:rPr>
          <w:szCs w:val="24"/>
        </w:rPr>
        <w:t xml:space="preserve"> účetní závěrky zanikající nebo rozdělované společnosti.</w:t>
      </w:r>
    </w:p>
    <w:p w14:paraId="2A753A3F" w14:textId="77777777" w:rsidR="00615A2B" w:rsidRPr="00615A2B" w:rsidRDefault="00615A2B" w:rsidP="006869DD">
      <w:pPr>
        <w:tabs>
          <w:tab w:val="left" w:pos="425"/>
          <w:tab w:val="left" w:pos="851"/>
        </w:tabs>
        <w:spacing w:after="120"/>
        <w:ind w:firstLine="0"/>
        <w:jc w:val="center"/>
        <w:rPr>
          <w:szCs w:val="24"/>
        </w:rPr>
      </w:pPr>
      <w:r w:rsidRPr="00615A2B">
        <w:rPr>
          <w:szCs w:val="24"/>
        </w:rPr>
        <w:t>§ 303</w:t>
      </w:r>
    </w:p>
    <w:p w14:paraId="6E485C33" w14:textId="77777777" w:rsidR="00615A2B" w:rsidRPr="00615A2B" w:rsidRDefault="00615A2B" w:rsidP="00615A2B">
      <w:pPr>
        <w:pStyle w:val="Textodstavce"/>
        <w:spacing w:before="240"/>
        <w:ind w:firstLine="425"/>
        <w:rPr>
          <w:szCs w:val="24"/>
        </w:rPr>
      </w:pPr>
      <w:r w:rsidRPr="00615A2B">
        <w:rPr>
          <w:szCs w:val="24"/>
        </w:rPr>
        <w:t>Usnesení valné hromady nástupnické společnosti o rozdělení sloučením musí obsahovat</w:t>
      </w:r>
    </w:p>
    <w:p w14:paraId="6905FE25" w14:textId="77777777" w:rsidR="00615A2B" w:rsidRPr="00615A2B" w:rsidRDefault="00615A2B" w:rsidP="00DE29D4">
      <w:pPr>
        <w:pStyle w:val="PZTextpsmene"/>
        <w:spacing w:before="0"/>
        <w:ind w:left="426" w:hanging="426"/>
        <w:rPr>
          <w:szCs w:val="24"/>
        </w:rPr>
      </w:pPr>
      <w:r w:rsidRPr="006869DD">
        <w:rPr>
          <w:rStyle w:val="PromnnHTML"/>
          <w:i w:val="0"/>
          <w:szCs w:val="24"/>
        </w:rPr>
        <w:t>a)</w:t>
      </w:r>
      <w:r w:rsidRPr="00615A2B">
        <w:rPr>
          <w:szCs w:val="24"/>
        </w:rPr>
        <w:tab/>
        <w:t>schválení projektu rozdělení sloučením,</w:t>
      </w:r>
    </w:p>
    <w:p w14:paraId="25F3C7C1" w14:textId="77777777" w:rsidR="00615A2B" w:rsidRPr="00615A2B" w:rsidRDefault="00615A2B" w:rsidP="00DE29D4">
      <w:pPr>
        <w:pStyle w:val="PZTextpsmene"/>
        <w:spacing w:before="0"/>
        <w:ind w:left="426" w:hanging="426"/>
        <w:rPr>
          <w:szCs w:val="24"/>
        </w:rPr>
      </w:pPr>
      <w:r w:rsidRPr="006869DD">
        <w:rPr>
          <w:rStyle w:val="PromnnHTML"/>
          <w:i w:val="0"/>
          <w:szCs w:val="24"/>
        </w:rPr>
        <w:t>b)</w:t>
      </w:r>
      <w:r w:rsidRPr="00615A2B">
        <w:rPr>
          <w:szCs w:val="24"/>
        </w:rPr>
        <w:tab/>
        <w:t>schválení konečné účetní závěrky a zahajovací rozvahy nástupnické společnosti, pokud rozhodný den rozdělení předchází vyhotovení projektu rozdělení, popřípadě mezitímní</w:t>
      </w:r>
      <w:r w:rsidRPr="00615A2B">
        <w:rPr>
          <w:b/>
          <w:szCs w:val="24"/>
        </w:rPr>
        <w:t xml:space="preserve"> individuální</w:t>
      </w:r>
      <w:r w:rsidRPr="00615A2B">
        <w:rPr>
          <w:szCs w:val="24"/>
        </w:rPr>
        <w:t xml:space="preserve"> účetní závěrky, a</w:t>
      </w:r>
    </w:p>
    <w:p w14:paraId="144309B0" w14:textId="77777777" w:rsidR="00615A2B" w:rsidRPr="00615A2B" w:rsidRDefault="00615A2B" w:rsidP="00CD43B5">
      <w:pPr>
        <w:pStyle w:val="PZTextpsmene"/>
        <w:pBdr>
          <w:top w:val="single" w:sz="12" w:space="1" w:color="00B0F0"/>
          <w:left w:val="single" w:sz="12" w:space="4" w:color="00B0F0"/>
          <w:bottom w:val="single" w:sz="12" w:space="1" w:color="00B0F0"/>
          <w:right w:val="single" w:sz="12" w:space="4" w:color="00B0F0"/>
        </w:pBdr>
        <w:spacing w:before="0"/>
        <w:ind w:left="426" w:hanging="426"/>
        <w:rPr>
          <w:szCs w:val="24"/>
        </w:rPr>
      </w:pPr>
      <w:r w:rsidRPr="006869DD">
        <w:rPr>
          <w:rStyle w:val="PromnnHTML"/>
          <w:i w:val="0"/>
          <w:szCs w:val="24"/>
        </w:rPr>
        <w:t>c)</w:t>
      </w:r>
      <w:r w:rsidRPr="00615A2B">
        <w:rPr>
          <w:szCs w:val="24"/>
        </w:rPr>
        <w:tab/>
        <w:t xml:space="preserve">rozhodnutí o vydání nových akcií, popřípadě pověření představenstva k vydání nových akcií nebo o možnosti nabýt vlastní akcie, je-li to třeba k výměně akcií zanikající nebo rozdělované společnosti za akcie nástupnické společnosti </w:t>
      </w:r>
      <w:r w:rsidRPr="00615A2B">
        <w:rPr>
          <w:bCs/>
          <w:color w:val="00B0F0"/>
          <w:szCs w:val="24"/>
        </w:rPr>
        <w:t>nebo nabytí akcií nástupnické společnosti rozdělovanou společností</w:t>
      </w:r>
      <w:r w:rsidRPr="00615A2B">
        <w:rPr>
          <w:szCs w:val="24"/>
        </w:rPr>
        <w:t>; ustanovení § 102 a 103 se na nabývání vlastních akcií za účelem výměny a na zvýšení základního kapitálu nástupnické společnosti ze jmění zanikající nebo rozdělované společnosti použijí obdobně.</w:t>
      </w:r>
    </w:p>
    <w:p w14:paraId="6AD75EDB" w14:textId="77777777" w:rsidR="00615A2B" w:rsidRPr="00615A2B" w:rsidRDefault="00615A2B" w:rsidP="006869DD">
      <w:pPr>
        <w:tabs>
          <w:tab w:val="left" w:pos="425"/>
          <w:tab w:val="left" w:pos="851"/>
        </w:tabs>
        <w:spacing w:after="120"/>
        <w:ind w:firstLine="0"/>
        <w:jc w:val="center"/>
        <w:rPr>
          <w:szCs w:val="24"/>
        </w:rPr>
      </w:pPr>
      <w:r w:rsidRPr="00615A2B">
        <w:rPr>
          <w:szCs w:val="24"/>
        </w:rPr>
        <w:t>§ 304</w:t>
      </w:r>
    </w:p>
    <w:p w14:paraId="635EE10E" w14:textId="77777777" w:rsidR="00615A2B" w:rsidRPr="00615A2B" w:rsidRDefault="00615A2B" w:rsidP="00615A2B">
      <w:pPr>
        <w:pStyle w:val="Textodstavce"/>
        <w:spacing w:before="240"/>
        <w:ind w:firstLine="425"/>
        <w:rPr>
          <w:szCs w:val="24"/>
        </w:rPr>
      </w:pPr>
      <w:r w:rsidRPr="00615A2B">
        <w:rPr>
          <w:szCs w:val="24"/>
        </w:rPr>
        <w:t>Bude-li se zvyšovat základní kapitál nástupnické společnosti podle § 296 a 109, musí usnesení valné hromady nástupnické společnosti o schválení rozdělení sloučením obsahovat též</w:t>
      </w:r>
    </w:p>
    <w:p w14:paraId="49ECCCB2" w14:textId="77777777" w:rsidR="00615A2B" w:rsidRPr="00615A2B" w:rsidRDefault="00615A2B" w:rsidP="00DE29D4">
      <w:pPr>
        <w:pStyle w:val="PZTextpsmene"/>
        <w:tabs>
          <w:tab w:val="left" w:pos="420"/>
        </w:tabs>
        <w:spacing w:before="0"/>
        <w:ind w:left="426" w:hanging="426"/>
        <w:rPr>
          <w:szCs w:val="24"/>
        </w:rPr>
      </w:pPr>
      <w:r w:rsidRPr="00615A2B">
        <w:rPr>
          <w:szCs w:val="24"/>
        </w:rPr>
        <w:lastRenderedPageBreak/>
        <w:t>a)</w:t>
      </w:r>
      <w:r w:rsidRPr="00615A2B">
        <w:rPr>
          <w:szCs w:val="24"/>
        </w:rPr>
        <w:tab/>
        <w:t xml:space="preserve">částku zvýšení základního kapitálu z </w:t>
      </w:r>
      <w:r w:rsidRPr="00615A2B">
        <w:rPr>
          <w:strike/>
          <w:szCs w:val="24"/>
        </w:rPr>
        <w:t>vlastních zdrojů</w:t>
      </w:r>
      <w:r w:rsidRPr="00615A2B">
        <w:rPr>
          <w:b/>
          <w:szCs w:val="24"/>
        </w:rPr>
        <w:t xml:space="preserve"> jiných částí vlastního kapitálu</w:t>
      </w:r>
      <w:r w:rsidRPr="00615A2B">
        <w:rPr>
          <w:szCs w:val="24"/>
        </w:rPr>
        <w:t xml:space="preserve"> nástupnické společnosti a</w:t>
      </w:r>
    </w:p>
    <w:p w14:paraId="1C75B71C" w14:textId="77777777" w:rsidR="00615A2B" w:rsidRPr="00615A2B" w:rsidRDefault="00615A2B" w:rsidP="00DE29D4">
      <w:pPr>
        <w:pStyle w:val="l7"/>
        <w:tabs>
          <w:tab w:val="left" w:pos="420"/>
        </w:tabs>
        <w:spacing w:before="0" w:beforeAutospacing="0" w:after="0" w:afterAutospacing="0"/>
        <w:ind w:left="426" w:hanging="426"/>
        <w:jc w:val="both"/>
      </w:pPr>
      <w:r w:rsidRPr="00615A2B">
        <w:t>b)</w:t>
      </w:r>
      <w:r w:rsidRPr="00615A2B">
        <w:tab/>
        <w:t xml:space="preserve">označení </w:t>
      </w:r>
      <w:r w:rsidRPr="00615A2B">
        <w:rPr>
          <w:strike/>
        </w:rPr>
        <w:t>vlastního zdroje nebo zdrojů</w:t>
      </w:r>
      <w:r w:rsidRPr="00615A2B">
        <w:t xml:space="preserve"> </w:t>
      </w:r>
      <w:r w:rsidRPr="00615A2B">
        <w:rPr>
          <w:b/>
        </w:rPr>
        <w:t>části nebo částí vlastního kapitálu</w:t>
      </w:r>
      <w:r w:rsidRPr="00615A2B">
        <w:t xml:space="preserve"> nástupnické společnosti z poslední </w:t>
      </w:r>
      <w:r w:rsidRPr="00615A2B">
        <w:rPr>
          <w:strike/>
        </w:rPr>
        <w:t>řádné, mimořádné, konečné nebo mezitímní</w:t>
      </w:r>
      <w:r w:rsidRPr="00615A2B">
        <w:t xml:space="preserve"> </w:t>
      </w:r>
      <w:r w:rsidRPr="00615A2B">
        <w:rPr>
          <w:b/>
        </w:rPr>
        <w:t>individuální účetní</w:t>
      </w:r>
      <w:r w:rsidRPr="00615A2B">
        <w:t xml:space="preserve"> závěrky sestavené před vyhotovením projektu rozdělení, z něhož bude základní kapitál zvyšován, v členění podle struktury vlastního kapitálu v dané účetní závěrce.</w:t>
      </w:r>
    </w:p>
    <w:p w14:paraId="6AFE7CF8" w14:textId="77777777" w:rsidR="00615A2B" w:rsidRPr="00615A2B" w:rsidRDefault="00615A2B" w:rsidP="00992796">
      <w:pPr>
        <w:pStyle w:val="Nadpisparagrafu"/>
        <w:numPr>
          <w:ilvl w:val="0"/>
          <w:numId w:val="39"/>
        </w:numPr>
        <w:spacing w:after="120"/>
        <w:rPr>
          <w:b w:val="0"/>
          <w:szCs w:val="24"/>
        </w:rPr>
      </w:pPr>
      <w:r w:rsidRPr="00615A2B">
        <w:rPr>
          <w:b w:val="0"/>
          <w:szCs w:val="24"/>
        </w:rPr>
        <w:t>***</w:t>
      </w:r>
    </w:p>
    <w:p w14:paraId="400D2117" w14:textId="77777777" w:rsidR="00615A2B" w:rsidRPr="00615A2B" w:rsidRDefault="00615A2B" w:rsidP="006869DD">
      <w:pPr>
        <w:tabs>
          <w:tab w:val="left" w:pos="425"/>
          <w:tab w:val="left" w:pos="851"/>
        </w:tabs>
        <w:spacing w:after="120"/>
        <w:ind w:firstLine="0"/>
        <w:jc w:val="center"/>
        <w:rPr>
          <w:szCs w:val="24"/>
        </w:rPr>
      </w:pPr>
      <w:r w:rsidRPr="00615A2B">
        <w:rPr>
          <w:bCs/>
          <w:szCs w:val="24"/>
        </w:rPr>
        <w:t xml:space="preserve">§ </w:t>
      </w:r>
      <w:r w:rsidRPr="00615A2B">
        <w:rPr>
          <w:szCs w:val="24"/>
        </w:rPr>
        <w:t>306a</w:t>
      </w:r>
    </w:p>
    <w:p w14:paraId="52BB57E1" w14:textId="77777777" w:rsidR="00615A2B" w:rsidRPr="00615A2B" w:rsidRDefault="00615A2B" w:rsidP="00CD43B5">
      <w:pPr>
        <w:pStyle w:val="Textodstavce"/>
        <w:ind w:firstLine="425"/>
        <w:rPr>
          <w:iCs/>
          <w:szCs w:val="24"/>
        </w:rPr>
      </w:pPr>
      <w:r w:rsidRPr="00615A2B">
        <w:rPr>
          <w:iCs/>
          <w:szCs w:val="24"/>
        </w:rPr>
        <w:t xml:space="preserve">(1) Jsou-li nástupnické společnosti vlastníkem všech akcií opravňujících hlasovat o projektu </w:t>
      </w:r>
      <w:r w:rsidRPr="00615A2B">
        <w:rPr>
          <w:szCs w:val="24"/>
        </w:rPr>
        <w:t>rozdělení</w:t>
      </w:r>
      <w:r w:rsidRPr="00615A2B">
        <w:rPr>
          <w:iCs/>
          <w:szCs w:val="24"/>
        </w:rPr>
        <w:t>, nevyžaduje se schválení rozdělení valnou hromadou, jestliže všechny zúčastněné společnosti splnily povinnosti uvedené v odstavci 3 a v § 33 nebo 33a a v § 299 nebo 299a a nedochází ke změně stanov žádné nástupnické společnosti.</w:t>
      </w:r>
    </w:p>
    <w:p w14:paraId="78273B7C" w14:textId="77777777" w:rsidR="00615A2B" w:rsidRPr="00615A2B" w:rsidRDefault="00615A2B" w:rsidP="00CD43B5">
      <w:pPr>
        <w:pStyle w:val="Textodstavce"/>
        <w:ind w:firstLine="425"/>
        <w:rPr>
          <w:iCs/>
          <w:szCs w:val="24"/>
        </w:rPr>
      </w:pPr>
      <w:r w:rsidRPr="00615A2B">
        <w:rPr>
          <w:iCs/>
          <w:szCs w:val="24"/>
        </w:rPr>
        <w:t xml:space="preserve">(2) Nebude-li se konat valná hromada, seznámí představenstvo každé zúčastněné společnosti představenstva ostatních zúčastněných společností se všemi podstatnými změnami týkajícími se jmění, k nimž došlo v období od vyhotovení projektu rozdělení. Správnost oznámení o změnách týkající se jmění musí být potvrzena auditorem, pokud </w:t>
      </w:r>
      <w:r w:rsidRPr="00615A2B">
        <w:rPr>
          <w:iCs/>
          <w:strike/>
          <w:szCs w:val="24"/>
        </w:rPr>
        <w:t>podléhá</w:t>
      </w:r>
      <w:r w:rsidRPr="00615A2B">
        <w:rPr>
          <w:iCs/>
          <w:szCs w:val="24"/>
        </w:rPr>
        <w:t xml:space="preserve"> </w:t>
      </w:r>
      <w:r w:rsidRPr="00615A2B">
        <w:rPr>
          <w:b/>
          <w:iCs/>
          <w:szCs w:val="24"/>
        </w:rPr>
        <w:t>má</w:t>
      </w:r>
      <w:r w:rsidRPr="00615A2B">
        <w:rPr>
          <w:iCs/>
          <w:szCs w:val="24"/>
        </w:rPr>
        <w:t xml:space="preserve"> společnost </w:t>
      </w:r>
      <w:r w:rsidRPr="00615A2B">
        <w:rPr>
          <w:iCs/>
          <w:strike/>
          <w:szCs w:val="24"/>
        </w:rPr>
        <w:t>povinnému auditu</w:t>
      </w:r>
      <w:r w:rsidRPr="00615A2B">
        <w:rPr>
          <w:iCs/>
          <w:szCs w:val="24"/>
        </w:rPr>
        <w:t xml:space="preserve"> </w:t>
      </w:r>
      <w:r w:rsidRPr="00615A2B">
        <w:rPr>
          <w:b/>
          <w:iCs/>
          <w:szCs w:val="24"/>
        </w:rPr>
        <w:t>povinný audit</w:t>
      </w:r>
      <w:r w:rsidRPr="00615A2B">
        <w:rPr>
          <w:iCs/>
          <w:szCs w:val="24"/>
        </w:rPr>
        <w:t>, nebo znalcem, který prováděl ocenění jmění.</w:t>
      </w:r>
    </w:p>
    <w:p w14:paraId="142201B4" w14:textId="77777777" w:rsidR="00615A2B" w:rsidRPr="00615A2B" w:rsidRDefault="00615A2B" w:rsidP="00CD43B5">
      <w:pPr>
        <w:pStyle w:val="Textodstavce"/>
        <w:pBdr>
          <w:top w:val="single" w:sz="4" w:space="1" w:color="auto"/>
          <w:left w:val="single" w:sz="4" w:space="4" w:color="auto"/>
          <w:bottom w:val="single" w:sz="4" w:space="1" w:color="auto"/>
          <w:right w:val="single" w:sz="4" w:space="4" w:color="auto"/>
        </w:pBdr>
        <w:ind w:firstLine="425"/>
        <w:rPr>
          <w:iCs/>
          <w:szCs w:val="24"/>
        </w:rPr>
      </w:pPr>
      <w:r w:rsidRPr="00615A2B">
        <w:rPr>
          <w:iCs/>
          <w:szCs w:val="24"/>
        </w:rPr>
        <w:t xml:space="preserve">(3) </w:t>
      </w:r>
      <w:r w:rsidRPr="00615A2B">
        <w:rPr>
          <w:bCs/>
          <w:iCs/>
          <w:color w:val="00B0F0"/>
          <w:szCs w:val="24"/>
        </w:rPr>
        <w:t xml:space="preserve">Upozornění podle </w:t>
      </w:r>
      <w:r w:rsidRPr="00615A2B">
        <w:rPr>
          <w:iCs/>
          <w:szCs w:val="24"/>
        </w:rPr>
        <w:t xml:space="preserve">§ 33 odst. 1 písm. b) </w:t>
      </w:r>
      <w:r w:rsidRPr="00615A2B">
        <w:rPr>
          <w:bCs/>
          <w:iCs/>
          <w:color w:val="00B0F0"/>
          <w:szCs w:val="24"/>
        </w:rPr>
        <w:t>nebo § 33a odst. 2 písm. b)</w:t>
      </w:r>
      <w:r w:rsidRPr="00615A2B">
        <w:rPr>
          <w:iCs/>
          <w:szCs w:val="24"/>
        </w:rPr>
        <w:t xml:space="preserve">, budou-li zúčastněné společnosti postupovat podle odstavce 1, musí být </w:t>
      </w:r>
      <w:r w:rsidRPr="00615A2B">
        <w:rPr>
          <w:bCs/>
          <w:iCs/>
          <w:color w:val="00B0F0"/>
          <w:szCs w:val="24"/>
        </w:rPr>
        <w:t>zveřejněno</w:t>
      </w:r>
      <w:r w:rsidRPr="00615A2B">
        <w:rPr>
          <w:iCs/>
          <w:szCs w:val="24"/>
        </w:rPr>
        <w:t xml:space="preserve"> nejpozději 1 měsíc přede dnem, v němž má být podán návrh na zápis rozdělení do obchodního rejstříku. To platí i pro plnění povinností podle § 299 nebo 299a.</w:t>
      </w:r>
    </w:p>
    <w:p w14:paraId="77A82164" w14:textId="77777777" w:rsidR="00615A2B" w:rsidRPr="00615A2B" w:rsidRDefault="00615A2B" w:rsidP="00CD43B5">
      <w:pPr>
        <w:pStyle w:val="Textodstavce"/>
        <w:ind w:firstLine="425"/>
        <w:rPr>
          <w:iCs/>
          <w:szCs w:val="24"/>
        </w:rPr>
      </w:pPr>
      <w:r w:rsidRPr="00615A2B">
        <w:rPr>
          <w:iCs/>
          <w:szCs w:val="24"/>
        </w:rPr>
        <w:t xml:space="preserve">(4) Pokud poslední řádná </w:t>
      </w:r>
      <w:r w:rsidRPr="00615A2B">
        <w:rPr>
          <w:iCs/>
          <w:strike/>
          <w:szCs w:val="24"/>
        </w:rPr>
        <w:t>nebo mimořádná</w:t>
      </w:r>
      <w:r w:rsidRPr="00615A2B">
        <w:rPr>
          <w:iCs/>
          <w:szCs w:val="24"/>
        </w:rPr>
        <w:t xml:space="preserve"> </w:t>
      </w:r>
      <w:r w:rsidRPr="00615A2B">
        <w:rPr>
          <w:b/>
          <w:szCs w:val="24"/>
        </w:rPr>
        <w:t>individuální</w:t>
      </w:r>
      <w:r w:rsidRPr="00615A2B">
        <w:rPr>
          <w:iCs/>
          <w:szCs w:val="24"/>
        </w:rPr>
        <w:t xml:space="preserve"> účetní závěrka jakékoliv zúčastněné společnosti, popřípadě mezitímní </w:t>
      </w:r>
      <w:r w:rsidRPr="00615A2B">
        <w:rPr>
          <w:b/>
          <w:szCs w:val="24"/>
        </w:rPr>
        <w:t>individuální</w:t>
      </w:r>
      <w:r w:rsidRPr="00615A2B">
        <w:rPr>
          <w:iCs/>
          <w:szCs w:val="24"/>
        </w:rPr>
        <w:t xml:space="preserve"> účetní závěrka, pokud se vyžaduje, anebo její konečná účetní závěrka nebyla schválena valnou hromadou nebo jediným akcionářem této zúčastněné společnosti před zápisem rozdělení do obchodního rejstříku, schvaluje ji valná hromada nebo jediný akcionář nástupnické společnosti po zápisu rozdělení do obchodního rejstříku. Schválení zahajovací rozvahy se v tomto případě nevyžaduje.</w:t>
      </w:r>
    </w:p>
    <w:p w14:paraId="0815F2B7" w14:textId="77777777" w:rsidR="00615A2B" w:rsidRPr="00615A2B" w:rsidRDefault="00615A2B" w:rsidP="00CD43B5">
      <w:pPr>
        <w:pStyle w:val="Textodstavce"/>
        <w:pBdr>
          <w:top w:val="single" w:sz="12" w:space="1" w:color="00B0F0"/>
          <w:left w:val="single" w:sz="12" w:space="4" w:color="00B0F0"/>
          <w:bottom w:val="single" w:sz="12" w:space="1" w:color="00B0F0"/>
          <w:right w:val="single" w:sz="12" w:space="4" w:color="00B0F0"/>
        </w:pBdr>
        <w:ind w:firstLine="425"/>
        <w:rPr>
          <w:iCs/>
          <w:szCs w:val="24"/>
        </w:rPr>
      </w:pPr>
      <w:r w:rsidRPr="00615A2B">
        <w:rPr>
          <w:iCs/>
          <w:szCs w:val="24"/>
        </w:rPr>
        <w:t xml:space="preserve">(5) Akcionáři nástupnické společnosti, jejichž podíly představují alespoň 5 % základního kapitálu nástupnické společnosti před rozdělením, mají právo požadovat svolání valné hromady nástupnické společnosti za účelem schválení rozdělení do 1 měsíce ode dne, v němž </w:t>
      </w:r>
      <w:r w:rsidRPr="00615A2B">
        <w:rPr>
          <w:bCs/>
          <w:iCs/>
          <w:color w:val="00B0F0"/>
          <w:szCs w:val="24"/>
        </w:rPr>
        <w:t xml:space="preserve">bylo zveřejněno upozornění </w:t>
      </w:r>
      <w:r w:rsidRPr="00615A2B">
        <w:rPr>
          <w:iCs/>
          <w:szCs w:val="24"/>
        </w:rPr>
        <w:t xml:space="preserve">podle § 33 odst. 1 písm. b) </w:t>
      </w:r>
      <w:r w:rsidRPr="00615A2B">
        <w:rPr>
          <w:bCs/>
          <w:iCs/>
          <w:color w:val="00B0F0"/>
          <w:szCs w:val="24"/>
        </w:rPr>
        <w:t>nebo § 33a odst. 2 písm. b)</w:t>
      </w:r>
      <w:r w:rsidRPr="00615A2B">
        <w:rPr>
          <w:iCs/>
          <w:szCs w:val="24"/>
        </w:rPr>
        <w:t>.</w:t>
      </w:r>
    </w:p>
    <w:p w14:paraId="4D0D13D9" w14:textId="77777777" w:rsidR="00615A2B" w:rsidRPr="00615A2B" w:rsidRDefault="00615A2B" w:rsidP="00CD43B5">
      <w:pPr>
        <w:pStyle w:val="Textodstavce"/>
        <w:pBdr>
          <w:top w:val="single" w:sz="12" w:space="1" w:color="00B0F0"/>
          <w:left w:val="single" w:sz="12" w:space="4" w:color="00B0F0"/>
          <w:bottom w:val="single" w:sz="12" w:space="1" w:color="00B0F0"/>
          <w:right w:val="single" w:sz="12" w:space="4" w:color="00B0F0"/>
        </w:pBdr>
        <w:ind w:firstLine="425"/>
        <w:rPr>
          <w:iCs/>
          <w:szCs w:val="24"/>
        </w:rPr>
      </w:pPr>
      <w:r w:rsidRPr="00615A2B">
        <w:rPr>
          <w:bCs/>
          <w:iCs/>
          <w:color w:val="00B0F0"/>
          <w:szCs w:val="24"/>
        </w:rPr>
        <w:t xml:space="preserve">(6) Nemá-li se konat pouze valná hromada zanikající nebo rozdělované společnosti podle odstavců 1 a 5, je rozhodný z hlediska doby pro splnění povinností podle </w:t>
      </w:r>
      <w:bookmarkStart w:id="59" w:name="_Hlk118819975"/>
      <w:r w:rsidRPr="00615A2B">
        <w:rPr>
          <w:bCs/>
          <w:iCs/>
          <w:color w:val="00B0F0"/>
          <w:szCs w:val="24"/>
        </w:rPr>
        <w:t xml:space="preserve">§ 33 nebo 33a, 59l a 299 nebo 299a </w:t>
      </w:r>
      <w:bookmarkEnd w:id="59"/>
      <w:r w:rsidRPr="00615A2B">
        <w:rPr>
          <w:bCs/>
          <w:iCs/>
          <w:color w:val="00B0F0"/>
          <w:szCs w:val="24"/>
        </w:rPr>
        <w:t>zanikající nebo rozdělovanou společností den, na nějž je svolána valná hromada nástupnické společnosti. Mají-li se konat valné hromady nástupnických společností v různých dnech, je rozhodným den, na nějž je svolaná prvá z těchto valných hromad.</w:t>
      </w:r>
    </w:p>
    <w:p w14:paraId="09BF3C9C" w14:textId="77777777" w:rsidR="00615A2B" w:rsidRPr="00615A2B" w:rsidRDefault="00615A2B" w:rsidP="00CD43B5">
      <w:pPr>
        <w:pStyle w:val="Textodstavce"/>
        <w:pBdr>
          <w:top w:val="single" w:sz="12" w:space="1" w:color="00B0F0"/>
          <w:left w:val="single" w:sz="12" w:space="4" w:color="00B0F0"/>
          <w:bottom w:val="single" w:sz="12" w:space="1" w:color="00B0F0"/>
          <w:right w:val="single" w:sz="12" w:space="4" w:color="00B0F0"/>
        </w:pBdr>
        <w:ind w:firstLine="425"/>
        <w:rPr>
          <w:iCs/>
          <w:szCs w:val="24"/>
        </w:rPr>
      </w:pPr>
      <w:r w:rsidRPr="00615A2B">
        <w:rPr>
          <w:bCs/>
          <w:iCs/>
          <w:color w:val="00B0F0"/>
          <w:szCs w:val="24"/>
        </w:rPr>
        <w:t xml:space="preserve">(7) </w:t>
      </w:r>
      <w:r w:rsidRPr="00615A2B">
        <w:rPr>
          <w:iCs/>
          <w:szCs w:val="24"/>
        </w:rPr>
        <w:t>Jestliže má dojít ke změně stanov nástupnické společnosti uvedené v odstavci 1, vyžaduje se k rozdělení sloučením souhlas alespoň valné hromady této nástupnické společnosti nebo jejího jediného společníka.</w:t>
      </w:r>
    </w:p>
    <w:p w14:paraId="0884D8CF" w14:textId="77777777" w:rsidR="00615A2B" w:rsidRPr="00615A2B" w:rsidRDefault="00615A2B" w:rsidP="00CD43B5">
      <w:pPr>
        <w:pStyle w:val="Textodstavce"/>
        <w:pBdr>
          <w:top w:val="single" w:sz="12" w:space="1" w:color="00B0F0"/>
          <w:left w:val="single" w:sz="12" w:space="4" w:color="00B0F0"/>
          <w:bottom w:val="single" w:sz="12" w:space="1" w:color="00B0F0"/>
          <w:right w:val="single" w:sz="12" w:space="4" w:color="00B0F0"/>
        </w:pBdr>
        <w:ind w:firstLine="425"/>
        <w:rPr>
          <w:iCs/>
          <w:szCs w:val="24"/>
        </w:rPr>
      </w:pPr>
      <w:bookmarkStart w:id="60" w:name="_Hlk118820137"/>
      <w:r w:rsidRPr="00615A2B">
        <w:rPr>
          <w:bCs/>
          <w:iCs/>
          <w:color w:val="00B0F0"/>
          <w:szCs w:val="24"/>
        </w:rPr>
        <w:t xml:space="preserve">(8) </w:t>
      </w:r>
      <w:r w:rsidRPr="00615A2B">
        <w:rPr>
          <w:bCs/>
          <w:color w:val="00B0F0"/>
          <w:szCs w:val="24"/>
        </w:rPr>
        <w:t xml:space="preserve">Je-li při vyčlenění sloučením rozdělovaná společnost jediným akcionářem nástupnické nebo nástupnických společností, nevyžaduje se schválení rozdělení jediným akcionářem této nástupnické nebo nástupnických společností. </w:t>
      </w:r>
      <w:r w:rsidRPr="00615A2B">
        <w:rPr>
          <w:bCs/>
          <w:iCs/>
          <w:color w:val="00B0F0"/>
          <w:szCs w:val="24"/>
        </w:rPr>
        <w:t xml:space="preserve">V takovém případě je rozhodný z hlediska doby </w:t>
      </w:r>
      <w:r w:rsidRPr="00615A2B">
        <w:rPr>
          <w:bCs/>
          <w:iCs/>
          <w:color w:val="00B0F0"/>
          <w:szCs w:val="24"/>
        </w:rPr>
        <w:lastRenderedPageBreak/>
        <w:t>pro splnění povinností podle § 33 nebo 33a, 59l a § 299 nebo 299a nástupnickou společností den, na nějž je svolána valná hromada rozdělované společnosti.</w:t>
      </w:r>
      <w:bookmarkEnd w:id="60"/>
    </w:p>
    <w:p w14:paraId="6B7E3026" w14:textId="77777777" w:rsidR="00615A2B" w:rsidRPr="00615A2B" w:rsidRDefault="00615A2B" w:rsidP="00992796">
      <w:pPr>
        <w:pStyle w:val="Nadpisparagrafu"/>
        <w:numPr>
          <w:ilvl w:val="0"/>
          <w:numId w:val="39"/>
        </w:numPr>
        <w:spacing w:after="120"/>
        <w:rPr>
          <w:b w:val="0"/>
          <w:szCs w:val="24"/>
        </w:rPr>
      </w:pPr>
      <w:r w:rsidRPr="00615A2B">
        <w:rPr>
          <w:b w:val="0"/>
          <w:szCs w:val="24"/>
        </w:rPr>
        <w:t>***</w:t>
      </w:r>
    </w:p>
    <w:p w14:paraId="630A0F6C" w14:textId="77777777" w:rsidR="00615A2B" w:rsidRPr="00615A2B" w:rsidRDefault="00615A2B" w:rsidP="00D97425">
      <w:pPr>
        <w:tabs>
          <w:tab w:val="left" w:pos="425"/>
          <w:tab w:val="left" w:pos="851"/>
        </w:tabs>
        <w:spacing w:after="120"/>
        <w:ind w:firstLine="0"/>
        <w:jc w:val="center"/>
        <w:rPr>
          <w:szCs w:val="24"/>
        </w:rPr>
      </w:pPr>
      <w:r w:rsidRPr="00615A2B">
        <w:rPr>
          <w:bCs/>
          <w:szCs w:val="24"/>
        </w:rPr>
        <w:t xml:space="preserve">§ </w:t>
      </w:r>
      <w:r w:rsidRPr="00615A2B">
        <w:rPr>
          <w:szCs w:val="24"/>
        </w:rPr>
        <w:t>310</w:t>
      </w:r>
    </w:p>
    <w:p w14:paraId="292F056F" w14:textId="01B735DD" w:rsidR="00615A2B" w:rsidRPr="00615A2B" w:rsidRDefault="00615A2B" w:rsidP="00D97425">
      <w:pPr>
        <w:pStyle w:val="Textodstavce"/>
        <w:spacing w:before="240"/>
        <w:ind w:firstLine="425"/>
        <w:rPr>
          <w:szCs w:val="24"/>
        </w:rPr>
      </w:pPr>
      <w:r w:rsidRPr="00615A2B">
        <w:rPr>
          <w:iCs/>
          <w:szCs w:val="24"/>
        </w:rPr>
        <w:t>Je-li při rozdělení se vznikem nových akciových společností stanoven rovnoměrný výměnný poměr, nevyžaduje se</w:t>
      </w:r>
      <w:r w:rsidRPr="00615A2B">
        <w:rPr>
          <w:szCs w:val="24"/>
        </w:rPr>
        <w:t xml:space="preserve"> </w:t>
      </w:r>
    </w:p>
    <w:p w14:paraId="0BF02D3F" w14:textId="77777777" w:rsidR="00615A2B" w:rsidRPr="00615A2B" w:rsidRDefault="00615A2B" w:rsidP="00DE29D4">
      <w:pPr>
        <w:pStyle w:val="PZTextpsmene"/>
        <w:tabs>
          <w:tab w:val="left" w:pos="426"/>
        </w:tabs>
        <w:spacing w:before="0"/>
        <w:ind w:left="426" w:hanging="426"/>
        <w:rPr>
          <w:szCs w:val="24"/>
        </w:rPr>
      </w:pPr>
      <w:r w:rsidRPr="00615A2B">
        <w:rPr>
          <w:szCs w:val="24"/>
        </w:rPr>
        <w:t>a)</w:t>
      </w:r>
      <w:r w:rsidRPr="00615A2B">
        <w:rPr>
          <w:szCs w:val="24"/>
        </w:rPr>
        <w:tab/>
        <w:t xml:space="preserve">zpráva o rozdělení, </w:t>
      </w:r>
    </w:p>
    <w:p w14:paraId="18048D06" w14:textId="77777777" w:rsidR="00615A2B" w:rsidRPr="00615A2B" w:rsidRDefault="00615A2B" w:rsidP="00DE29D4">
      <w:pPr>
        <w:pStyle w:val="PZTextpsmene"/>
        <w:tabs>
          <w:tab w:val="left" w:pos="426"/>
        </w:tabs>
        <w:spacing w:before="0"/>
        <w:ind w:left="426" w:hanging="426"/>
        <w:rPr>
          <w:szCs w:val="24"/>
        </w:rPr>
      </w:pPr>
      <w:r w:rsidRPr="00615A2B">
        <w:rPr>
          <w:szCs w:val="24"/>
        </w:rPr>
        <w:t>b)</w:t>
      </w:r>
      <w:r w:rsidRPr="00615A2B">
        <w:rPr>
          <w:szCs w:val="24"/>
        </w:rPr>
        <w:tab/>
        <w:t xml:space="preserve">přezkoumání projektu rozdělení znalcem a </w:t>
      </w:r>
    </w:p>
    <w:p w14:paraId="01A2EF6F" w14:textId="77777777" w:rsidR="00615A2B" w:rsidRPr="00615A2B" w:rsidRDefault="00615A2B" w:rsidP="00DE29D4">
      <w:pPr>
        <w:pStyle w:val="PZTextpsmene"/>
        <w:tabs>
          <w:tab w:val="left" w:pos="426"/>
        </w:tabs>
        <w:spacing w:before="0"/>
        <w:ind w:left="426" w:hanging="426"/>
        <w:rPr>
          <w:szCs w:val="24"/>
        </w:rPr>
      </w:pPr>
      <w:r w:rsidRPr="00615A2B">
        <w:rPr>
          <w:szCs w:val="24"/>
        </w:rPr>
        <w:t>c)</w:t>
      </w:r>
      <w:r w:rsidRPr="00615A2B">
        <w:rPr>
          <w:szCs w:val="24"/>
        </w:rPr>
        <w:tab/>
        <w:t>mezitímní</w:t>
      </w:r>
      <w:r w:rsidRPr="00615A2B">
        <w:rPr>
          <w:b/>
          <w:szCs w:val="24"/>
        </w:rPr>
        <w:t xml:space="preserve"> individuální</w:t>
      </w:r>
      <w:r w:rsidRPr="00615A2B">
        <w:rPr>
          <w:szCs w:val="24"/>
        </w:rPr>
        <w:t xml:space="preserve"> účetní závěrka ani pololetní zpráva podle zákona o podnikání na kapitálovém trhu. </w:t>
      </w:r>
    </w:p>
    <w:p w14:paraId="62C8170A" w14:textId="77777777" w:rsidR="00615A2B" w:rsidRPr="00615A2B" w:rsidRDefault="00615A2B" w:rsidP="00992796">
      <w:pPr>
        <w:pStyle w:val="Nadpisparagrafu"/>
        <w:numPr>
          <w:ilvl w:val="0"/>
          <w:numId w:val="39"/>
        </w:numPr>
        <w:spacing w:after="120"/>
        <w:rPr>
          <w:b w:val="0"/>
          <w:szCs w:val="24"/>
        </w:rPr>
      </w:pPr>
      <w:r w:rsidRPr="00615A2B">
        <w:rPr>
          <w:b w:val="0"/>
          <w:szCs w:val="24"/>
        </w:rPr>
        <w:t>***</w:t>
      </w:r>
    </w:p>
    <w:p w14:paraId="3128D0CC" w14:textId="77777777" w:rsidR="00615A2B" w:rsidRPr="00615A2B" w:rsidRDefault="00615A2B" w:rsidP="00D97425">
      <w:pPr>
        <w:tabs>
          <w:tab w:val="left" w:pos="425"/>
          <w:tab w:val="left" w:pos="851"/>
        </w:tabs>
        <w:spacing w:after="120"/>
        <w:ind w:firstLine="0"/>
        <w:jc w:val="center"/>
        <w:rPr>
          <w:szCs w:val="24"/>
        </w:rPr>
      </w:pPr>
      <w:r w:rsidRPr="00615A2B">
        <w:rPr>
          <w:bCs/>
          <w:szCs w:val="24"/>
        </w:rPr>
        <w:t xml:space="preserve">§ </w:t>
      </w:r>
      <w:r w:rsidRPr="00615A2B">
        <w:rPr>
          <w:szCs w:val="24"/>
        </w:rPr>
        <w:t>323</w:t>
      </w:r>
    </w:p>
    <w:p w14:paraId="05DEF236" w14:textId="77777777" w:rsidR="00615A2B" w:rsidRPr="00615A2B" w:rsidRDefault="00615A2B" w:rsidP="00615A2B">
      <w:pPr>
        <w:pStyle w:val="Textodstavce"/>
        <w:spacing w:before="240"/>
        <w:ind w:firstLine="425"/>
        <w:rPr>
          <w:szCs w:val="24"/>
        </w:rPr>
      </w:pPr>
      <w:r w:rsidRPr="00615A2B">
        <w:rPr>
          <w:szCs w:val="24"/>
        </w:rPr>
        <w:t>(1) V sídle každého ze zúčastněných družstev musí být k nahlédnutí pro členy alespoň 1 měsíc před stanoveným dnem konání členské schůze, jež má rozhodnout o schválení rozdělení,</w:t>
      </w:r>
    </w:p>
    <w:p w14:paraId="54FEBBC3" w14:textId="77777777" w:rsidR="00615A2B" w:rsidRPr="00615A2B" w:rsidRDefault="00615A2B" w:rsidP="00DE29D4">
      <w:pPr>
        <w:pStyle w:val="PZTextpsmene"/>
        <w:spacing w:before="0"/>
        <w:ind w:left="426" w:hanging="426"/>
        <w:rPr>
          <w:szCs w:val="24"/>
        </w:rPr>
      </w:pPr>
      <w:r w:rsidRPr="00615A2B">
        <w:rPr>
          <w:szCs w:val="24"/>
        </w:rPr>
        <w:t>a)</w:t>
      </w:r>
      <w:r w:rsidRPr="00615A2B">
        <w:rPr>
          <w:szCs w:val="24"/>
        </w:rPr>
        <w:tab/>
        <w:t>projekt rozdělení,</w:t>
      </w:r>
    </w:p>
    <w:p w14:paraId="4B75FFE1" w14:textId="77777777" w:rsidR="00615A2B" w:rsidRPr="00615A2B" w:rsidRDefault="00615A2B" w:rsidP="00DE29D4">
      <w:pPr>
        <w:pStyle w:val="PZTextpsmene"/>
        <w:spacing w:before="0"/>
        <w:ind w:left="426" w:hanging="426"/>
        <w:rPr>
          <w:szCs w:val="24"/>
        </w:rPr>
      </w:pPr>
      <w:r w:rsidRPr="00615A2B">
        <w:rPr>
          <w:szCs w:val="24"/>
        </w:rPr>
        <w:t>b)</w:t>
      </w:r>
      <w:r w:rsidRPr="00615A2B">
        <w:rPr>
          <w:szCs w:val="24"/>
        </w:rPr>
        <w:tab/>
      </w:r>
      <w:r w:rsidRPr="00615A2B">
        <w:rPr>
          <w:b/>
          <w:szCs w:val="24"/>
        </w:rPr>
        <w:t>řádné</w:t>
      </w:r>
      <w:r w:rsidRPr="00615A2B">
        <w:rPr>
          <w:szCs w:val="24"/>
        </w:rPr>
        <w:t xml:space="preserve"> </w:t>
      </w:r>
      <w:r w:rsidRPr="00615A2B">
        <w:rPr>
          <w:b/>
          <w:szCs w:val="24"/>
        </w:rPr>
        <w:t>individuální</w:t>
      </w:r>
      <w:r w:rsidRPr="00615A2B">
        <w:rPr>
          <w:szCs w:val="24"/>
        </w:rPr>
        <w:t xml:space="preserve"> účetní závěrky všech zúčastněných družstev za poslední 3 účetní období, jestliže zúčastněné družstvo po tuto dobu trvá, popřípadě takové účetní závěrky právního předchůdce, mělo-li zúčastněné družstvo právního předchůdce, a vyžadují-li se, také zprávy auditora o </w:t>
      </w:r>
      <w:r w:rsidRPr="00615A2B">
        <w:rPr>
          <w:strike/>
          <w:szCs w:val="24"/>
        </w:rPr>
        <w:t>jejich ověření</w:t>
      </w:r>
      <w:r w:rsidRPr="00615A2B">
        <w:rPr>
          <w:szCs w:val="24"/>
        </w:rPr>
        <w:t xml:space="preserve"> </w:t>
      </w:r>
      <w:r w:rsidRPr="00615A2B">
        <w:rPr>
          <w:b/>
          <w:szCs w:val="24"/>
        </w:rPr>
        <w:t>povinném auditu</w:t>
      </w:r>
      <w:r w:rsidRPr="00615A2B">
        <w:rPr>
          <w:szCs w:val="24"/>
        </w:rPr>
        <w:t>,</w:t>
      </w:r>
    </w:p>
    <w:p w14:paraId="08E644FE" w14:textId="77777777" w:rsidR="00615A2B" w:rsidRPr="00615A2B" w:rsidRDefault="00615A2B" w:rsidP="00DE29D4">
      <w:pPr>
        <w:pStyle w:val="PZTextpsmene"/>
        <w:spacing w:before="0"/>
        <w:ind w:left="426" w:hanging="426"/>
        <w:rPr>
          <w:szCs w:val="24"/>
        </w:rPr>
      </w:pPr>
      <w:r w:rsidRPr="00615A2B">
        <w:rPr>
          <w:szCs w:val="24"/>
        </w:rPr>
        <w:t>c)</w:t>
      </w:r>
      <w:r w:rsidRPr="00615A2B">
        <w:rPr>
          <w:szCs w:val="24"/>
        </w:rPr>
        <w:tab/>
        <w:t xml:space="preserve">konečné účetní závěrky všech zúčastněných družstev, zahajovací rozvaha rozdělovaného nebo nástupnického družstva nebo družstev, pokud rozhodný den rozdělení předchází vyhotovení projektu rozdělení, a vyžadují-li se, také zprávy auditora o </w:t>
      </w:r>
      <w:r w:rsidRPr="00615A2B">
        <w:rPr>
          <w:strike/>
          <w:szCs w:val="24"/>
        </w:rPr>
        <w:t>jejich ověření</w:t>
      </w:r>
      <w:r w:rsidRPr="00615A2B">
        <w:rPr>
          <w:szCs w:val="24"/>
        </w:rPr>
        <w:t xml:space="preserve"> </w:t>
      </w:r>
      <w:r w:rsidRPr="00615A2B">
        <w:rPr>
          <w:b/>
          <w:szCs w:val="24"/>
        </w:rPr>
        <w:t>povinném auditu</w:t>
      </w:r>
      <w:r w:rsidRPr="00615A2B">
        <w:rPr>
          <w:szCs w:val="24"/>
        </w:rPr>
        <w:t>,</w:t>
      </w:r>
    </w:p>
    <w:p w14:paraId="04F1671E" w14:textId="77777777" w:rsidR="00615A2B" w:rsidRPr="00615A2B" w:rsidRDefault="00615A2B" w:rsidP="00DE29D4">
      <w:pPr>
        <w:pStyle w:val="PZTextpsmene"/>
        <w:spacing w:before="0"/>
        <w:ind w:left="426" w:hanging="426"/>
        <w:rPr>
          <w:szCs w:val="24"/>
        </w:rPr>
      </w:pPr>
      <w:r w:rsidRPr="00615A2B">
        <w:rPr>
          <w:szCs w:val="24"/>
        </w:rPr>
        <w:t>d)</w:t>
      </w:r>
      <w:r w:rsidRPr="00615A2B">
        <w:rPr>
          <w:szCs w:val="24"/>
        </w:rPr>
        <w:tab/>
        <w:t xml:space="preserve">mezitímní </w:t>
      </w:r>
      <w:r w:rsidRPr="00615A2B">
        <w:rPr>
          <w:b/>
          <w:szCs w:val="24"/>
        </w:rPr>
        <w:t>individuální</w:t>
      </w:r>
      <w:r w:rsidRPr="00615A2B">
        <w:rPr>
          <w:szCs w:val="24"/>
        </w:rPr>
        <w:t xml:space="preserve"> účetní závěrka a zpráva auditora o </w:t>
      </w:r>
      <w:r w:rsidRPr="00615A2B">
        <w:rPr>
          <w:strike/>
          <w:szCs w:val="24"/>
        </w:rPr>
        <w:t>jejich ověření</w:t>
      </w:r>
      <w:r w:rsidRPr="00615A2B">
        <w:rPr>
          <w:szCs w:val="24"/>
        </w:rPr>
        <w:t xml:space="preserve"> </w:t>
      </w:r>
      <w:r w:rsidRPr="00615A2B">
        <w:rPr>
          <w:b/>
          <w:szCs w:val="24"/>
        </w:rPr>
        <w:t>povinném auditu</w:t>
      </w:r>
      <w:r w:rsidRPr="00615A2B">
        <w:rPr>
          <w:szCs w:val="24"/>
        </w:rPr>
        <w:t>, anebo pololetní zpráva podle zákona o podnikání na kapitálovém trhu, pokud se vyžadují,</w:t>
      </w:r>
    </w:p>
    <w:p w14:paraId="3C0DAF22" w14:textId="77777777" w:rsidR="00615A2B" w:rsidRPr="00615A2B" w:rsidRDefault="00615A2B" w:rsidP="00DE29D4">
      <w:pPr>
        <w:pStyle w:val="PZTextpsmene"/>
        <w:spacing w:before="0"/>
        <w:ind w:left="426" w:hanging="426"/>
        <w:rPr>
          <w:szCs w:val="24"/>
        </w:rPr>
      </w:pPr>
      <w:r w:rsidRPr="00615A2B">
        <w:rPr>
          <w:szCs w:val="24"/>
        </w:rPr>
        <w:t>e)</w:t>
      </w:r>
      <w:r w:rsidRPr="00615A2B">
        <w:rPr>
          <w:szCs w:val="24"/>
        </w:rPr>
        <w:tab/>
        <w:t>společná zpráva o rozdělení nebo všechny zprávy o rozdělení všech zúčastněných družstev, pokud se vyžadují,</w:t>
      </w:r>
    </w:p>
    <w:p w14:paraId="74047EE5" w14:textId="77777777" w:rsidR="00615A2B" w:rsidRPr="00615A2B" w:rsidRDefault="00615A2B" w:rsidP="00DE29D4">
      <w:pPr>
        <w:spacing w:before="0"/>
        <w:ind w:left="426" w:hanging="426"/>
        <w:rPr>
          <w:szCs w:val="24"/>
        </w:rPr>
      </w:pPr>
      <w:r w:rsidRPr="00615A2B">
        <w:rPr>
          <w:szCs w:val="24"/>
        </w:rPr>
        <w:t>f)</w:t>
      </w:r>
      <w:r w:rsidRPr="00615A2B">
        <w:rPr>
          <w:szCs w:val="24"/>
        </w:rPr>
        <w:tab/>
        <w:t>znalecká zpráva o rozdělení nebo všechny znalecké zprávy o rozdělení všech zúčastněných družstev, pokud se vyžadují.</w:t>
      </w:r>
    </w:p>
    <w:p w14:paraId="6B850555" w14:textId="77777777" w:rsidR="00615A2B" w:rsidRPr="00615A2B" w:rsidRDefault="00615A2B" w:rsidP="00CD43B5">
      <w:pPr>
        <w:pStyle w:val="Textodstavce"/>
        <w:ind w:firstLine="425"/>
        <w:rPr>
          <w:szCs w:val="24"/>
        </w:rPr>
      </w:pPr>
      <w:r w:rsidRPr="00615A2B">
        <w:rPr>
          <w:szCs w:val="24"/>
        </w:rPr>
        <w:t>(2) Družstvo je povinno vydat každému členovi, který o to požádá, bez zbytečného odkladu bezplatně opis nebo výpis z listin uvedených v odstavci 1, pokud se vyžadují.</w:t>
      </w:r>
    </w:p>
    <w:p w14:paraId="692A8EAE" w14:textId="77777777" w:rsidR="00615A2B" w:rsidRPr="00615A2B" w:rsidRDefault="00615A2B" w:rsidP="00CD43B5">
      <w:pPr>
        <w:pStyle w:val="Textodstavce"/>
        <w:ind w:firstLine="425"/>
        <w:rPr>
          <w:szCs w:val="24"/>
        </w:rPr>
      </w:pPr>
      <w:r w:rsidRPr="00615A2B">
        <w:rPr>
          <w:szCs w:val="24"/>
        </w:rPr>
        <w:t>(3) Pokud člen souhlasil s tím, že zúčastněné družstvo bude k poskytování informací využívat elektronické prostředky, mohou mu být kopie listin uvedených v odstavci 1 zasílány elektronicky. V takovém případě se nepoužije ustanovení odstavce 2. Souhlas lze dát jakýmkoliv způsobem, z něhož plyne tato vůle člena.</w:t>
      </w:r>
    </w:p>
    <w:p w14:paraId="20B08C58" w14:textId="77777777" w:rsidR="00615A2B" w:rsidRPr="00615A2B" w:rsidRDefault="00615A2B" w:rsidP="00CD43B5">
      <w:pPr>
        <w:pStyle w:val="Textodstavce"/>
        <w:pBdr>
          <w:top w:val="single" w:sz="12" w:space="1" w:color="00B0F0"/>
          <w:left w:val="single" w:sz="12" w:space="4" w:color="00B0F0"/>
          <w:bottom w:val="single" w:sz="12" w:space="1" w:color="00B0F0"/>
          <w:right w:val="single" w:sz="12" w:space="4" w:color="00B0F0"/>
        </w:pBdr>
        <w:ind w:firstLine="425"/>
        <w:rPr>
          <w:bCs/>
          <w:color w:val="00B0F0"/>
          <w:szCs w:val="24"/>
        </w:rPr>
      </w:pPr>
      <w:bookmarkStart w:id="61" w:name="_Hlk108788231"/>
      <w:r w:rsidRPr="00615A2B">
        <w:rPr>
          <w:bCs/>
          <w:color w:val="00B0F0"/>
          <w:szCs w:val="24"/>
        </w:rPr>
        <w:t xml:space="preserve">(4) </w:t>
      </w:r>
      <w:bookmarkEnd w:id="61"/>
      <w:r w:rsidRPr="00615A2B">
        <w:rPr>
          <w:bCs/>
          <w:color w:val="00B0F0"/>
          <w:szCs w:val="24"/>
        </w:rPr>
        <w:t>Jestliže má být rozdělení schváleno členy družstva mimo členskou schůzi, zašle družstvo dokumenty podle odstavce 1 členům spolu s návrhem rozhodnutí o rozdělení mimo členskou schůzi.</w:t>
      </w:r>
    </w:p>
    <w:p w14:paraId="3004CB5C" w14:textId="77777777" w:rsidR="00615A2B" w:rsidRPr="00615A2B" w:rsidRDefault="00615A2B" w:rsidP="00992796">
      <w:pPr>
        <w:pStyle w:val="Nadpisparagrafu"/>
        <w:numPr>
          <w:ilvl w:val="0"/>
          <w:numId w:val="39"/>
        </w:numPr>
        <w:spacing w:after="120"/>
        <w:rPr>
          <w:b w:val="0"/>
          <w:szCs w:val="24"/>
        </w:rPr>
      </w:pPr>
      <w:r w:rsidRPr="00615A2B">
        <w:rPr>
          <w:b w:val="0"/>
          <w:szCs w:val="24"/>
        </w:rPr>
        <w:lastRenderedPageBreak/>
        <w:t>***</w:t>
      </w:r>
    </w:p>
    <w:p w14:paraId="42FA5586" w14:textId="77777777" w:rsidR="00615A2B" w:rsidRPr="00615A2B" w:rsidRDefault="00615A2B" w:rsidP="00D97425">
      <w:pPr>
        <w:keepNext/>
        <w:keepLines/>
        <w:tabs>
          <w:tab w:val="left" w:pos="425"/>
          <w:tab w:val="left" w:pos="851"/>
        </w:tabs>
        <w:spacing w:after="120"/>
        <w:ind w:firstLine="0"/>
        <w:jc w:val="center"/>
        <w:rPr>
          <w:szCs w:val="24"/>
        </w:rPr>
      </w:pPr>
      <w:r w:rsidRPr="00615A2B">
        <w:rPr>
          <w:bCs/>
          <w:szCs w:val="24"/>
        </w:rPr>
        <w:t xml:space="preserve">§ </w:t>
      </w:r>
      <w:r w:rsidRPr="00615A2B">
        <w:rPr>
          <w:szCs w:val="24"/>
        </w:rPr>
        <w:t>325</w:t>
      </w:r>
    </w:p>
    <w:p w14:paraId="18AFCC00" w14:textId="77777777" w:rsidR="00615A2B" w:rsidRPr="00615A2B" w:rsidRDefault="00615A2B" w:rsidP="00CD43B5">
      <w:pPr>
        <w:pStyle w:val="Textodstavce"/>
        <w:ind w:firstLine="425"/>
        <w:rPr>
          <w:szCs w:val="24"/>
        </w:rPr>
      </w:pPr>
      <w:r w:rsidRPr="00615A2B">
        <w:rPr>
          <w:szCs w:val="24"/>
        </w:rPr>
        <w:t>(1) Na členské schůzi musí být členům volně přístupné k nahlédnutí listiny uvedené v § 323 odst. 1, pokud se vyžadují.</w:t>
      </w:r>
    </w:p>
    <w:p w14:paraId="2B31D911" w14:textId="77777777" w:rsidR="00615A2B" w:rsidRPr="00615A2B" w:rsidRDefault="00615A2B" w:rsidP="00CD43B5">
      <w:pPr>
        <w:pStyle w:val="Textodstavce"/>
        <w:ind w:firstLine="425"/>
        <w:rPr>
          <w:szCs w:val="24"/>
        </w:rPr>
      </w:pPr>
      <w:r w:rsidRPr="00615A2B">
        <w:rPr>
          <w:szCs w:val="24"/>
        </w:rPr>
        <w:t>(2) Představenstvo na začátku členské schůze objasní členům projekt rozdělení.</w:t>
      </w:r>
    </w:p>
    <w:p w14:paraId="32613C71" w14:textId="77777777" w:rsidR="00615A2B" w:rsidRPr="00615A2B" w:rsidRDefault="00615A2B" w:rsidP="00CD43B5">
      <w:pPr>
        <w:pStyle w:val="Textodstavce"/>
        <w:ind w:firstLine="425"/>
        <w:rPr>
          <w:szCs w:val="24"/>
        </w:rPr>
      </w:pPr>
      <w:r w:rsidRPr="00615A2B">
        <w:rPr>
          <w:szCs w:val="24"/>
        </w:rPr>
        <w:t xml:space="preserve">(3) Představenstvo seznámí před hlasováním o schválení rozdělení členy se znaleckou zprávou o rozdělení, pokud se vyžaduje, a se všemi podstatnými změnami týkajícími se jmění, k nimž došlo v období od vyhotovení projektu rozdělení do dne konání členské schůze, která rozhoduje o rozdělení, ve všech zúčastněných družstvech. Správnost oznámení o změnách týkající se jmění musí být potvrzena auditorem, pokud </w:t>
      </w:r>
      <w:proofErr w:type="gramStart"/>
      <w:r w:rsidRPr="00615A2B">
        <w:rPr>
          <w:strike/>
          <w:szCs w:val="24"/>
        </w:rPr>
        <w:t>podléhá</w:t>
      </w:r>
      <w:r w:rsidRPr="00615A2B">
        <w:rPr>
          <w:szCs w:val="24"/>
        </w:rPr>
        <w:t xml:space="preserve"> </w:t>
      </w:r>
      <w:r w:rsidRPr="00615A2B">
        <w:rPr>
          <w:b/>
          <w:szCs w:val="24"/>
        </w:rPr>
        <w:t>má</w:t>
      </w:r>
      <w:proofErr w:type="gramEnd"/>
      <w:r w:rsidRPr="00615A2B">
        <w:rPr>
          <w:szCs w:val="24"/>
        </w:rPr>
        <w:t xml:space="preserve"> družstvo </w:t>
      </w:r>
      <w:r w:rsidRPr="00615A2B">
        <w:rPr>
          <w:strike/>
          <w:szCs w:val="24"/>
        </w:rPr>
        <w:t>povinnému auditu</w:t>
      </w:r>
      <w:r w:rsidRPr="00615A2B">
        <w:rPr>
          <w:szCs w:val="24"/>
        </w:rPr>
        <w:t xml:space="preserve"> </w:t>
      </w:r>
      <w:r w:rsidRPr="00615A2B">
        <w:rPr>
          <w:b/>
          <w:szCs w:val="24"/>
        </w:rPr>
        <w:t>povinný audit</w:t>
      </w:r>
      <w:r w:rsidRPr="00615A2B">
        <w:rPr>
          <w:szCs w:val="24"/>
        </w:rPr>
        <w:t>.</w:t>
      </w:r>
    </w:p>
    <w:p w14:paraId="575877AB" w14:textId="77777777" w:rsidR="00615A2B" w:rsidRPr="00615A2B" w:rsidRDefault="00615A2B" w:rsidP="00CD43B5">
      <w:pPr>
        <w:pStyle w:val="Textodstavce"/>
        <w:ind w:firstLine="425"/>
        <w:rPr>
          <w:szCs w:val="24"/>
        </w:rPr>
      </w:pPr>
      <w:r w:rsidRPr="00615A2B">
        <w:rPr>
          <w:szCs w:val="24"/>
        </w:rPr>
        <w:t>(4) Představenstvo zúčastněného družstva informuje o změnách jmění podle odstavce 3 představenstva ostatních zúčastněných družstev tak, aby mohla informovat své členské schůze.</w:t>
      </w:r>
    </w:p>
    <w:p w14:paraId="77F3B2EF" w14:textId="77777777" w:rsidR="00615A2B" w:rsidRPr="00615A2B" w:rsidRDefault="00615A2B" w:rsidP="00CD43B5">
      <w:pPr>
        <w:pBdr>
          <w:top w:val="single" w:sz="12" w:space="1" w:color="00B0F0"/>
          <w:left w:val="single" w:sz="12" w:space="4" w:color="00B0F0"/>
          <w:bottom w:val="single" w:sz="12" w:space="1" w:color="00B0F0"/>
          <w:right w:val="single" w:sz="12" w:space="4" w:color="00B0F0"/>
        </w:pBdr>
        <w:spacing w:before="120" w:after="120"/>
        <w:rPr>
          <w:color w:val="00B0F0"/>
          <w:szCs w:val="24"/>
        </w:rPr>
      </w:pPr>
      <w:bookmarkStart w:id="62" w:name="_Hlk108788279"/>
      <w:r w:rsidRPr="00615A2B">
        <w:rPr>
          <w:color w:val="00B0F0"/>
          <w:szCs w:val="24"/>
        </w:rPr>
        <w:t>(5) Jestliže má být rozdělení schváleno členy družstva mimo členskou schůzi, představenstvo zašle členům informace podle odstavce 3 spolu s návrhem rozhodnutí o rozdělení mimo členskou schůzi.</w:t>
      </w:r>
      <w:bookmarkEnd w:id="62"/>
    </w:p>
    <w:p w14:paraId="5B247688" w14:textId="77777777" w:rsidR="00615A2B" w:rsidRPr="00615A2B" w:rsidRDefault="00615A2B" w:rsidP="00CD43B5">
      <w:pPr>
        <w:pStyle w:val="Textodstavce"/>
        <w:pBdr>
          <w:top w:val="single" w:sz="12" w:space="1" w:color="00B0F0"/>
          <w:left w:val="single" w:sz="12" w:space="4" w:color="00B0F0"/>
          <w:bottom w:val="single" w:sz="12" w:space="1" w:color="00B0F0"/>
          <w:right w:val="single" w:sz="12" w:space="4" w:color="00B0F0"/>
        </w:pBdr>
        <w:ind w:firstLine="425"/>
        <w:rPr>
          <w:szCs w:val="24"/>
        </w:rPr>
      </w:pPr>
      <w:r w:rsidRPr="00615A2B">
        <w:rPr>
          <w:color w:val="00B0F0"/>
          <w:szCs w:val="24"/>
        </w:rPr>
        <w:t xml:space="preserve">(6) </w:t>
      </w:r>
      <w:r w:rsidRPr="00615A2B">
        <w:rPr>
          <w:szCs w:val="24"/>
        </w:rPr>
        <w:t>Seznámení se změnami jmění se nevyžaduje, pokud s tím předem souhlasili všichni členové všech zúčastněných družstev.</w:t>
      </w:r>
    </w:p>
    <w:p w14:paraId="20E4150D" w14:textId="77777777" w:rsidR="00615A2B" w:rsidRPr="00615A2B" w:rsidRDefault="00615A2B" w:rsidP="00D97425">
      <w:pPr>
        <w:tabs>
          <w:tab w:val="left" w:pos="425"/>
          <w:tab w:val="left" w:pos="851"/>
        </w:tabs>
        <w:spacing w:after="120"/>
        <w:ind w:firstLine="0"/>
        <w:jc w:val="center"/>
        <w:rPr>
          <w:szCs w:val="24"/>
        </w:rPr>
      </w:pPr>
      <w:r w:rsidRPr="00615A2B">
        <w:rPr>
          <w:szCs w:val="24"/>
        </w:rPr>
        <w:t xml:space="preserve">§ 326 </w:t>
      </w:r>
    </w:p>
    <w:p w14:paraId="69085ECC" w14:textId="77777777" w:rsidR="00615A2B" w:rsidRPr="00615A2B" w:rsidRDefault="00615A2B" w:rsidP="00615A2B">
      <w:pPr>
        <w:pStyle w:val="Textodstavce"/>
        <w:spacing w:before="240"/>
        <w:ind w:firstLine="425"/>
        <w:rPr>
          <w:szCs w:val="24"/>
        </w:rPr>
      </w:pPr>
      <w:r w:rsidRPr="00615A2B">
        <w:rPr>
          <w:szCs w:val="24"/>
        </w:rPr>
        <w:t xml:space="preserve">Usnesení členské schůze zanikajícího nebo rozdělovaného družstva o schválení rozdělení musí obsahovat schválení </w:t>
      </w:r>
    </w:p>
    <w:p w14:paraId="0129B877" w14:textId="77777777" w:rsidR="00615A2B" w:rsidRPr="00615A2B" w:rsidRDefault="00615A2B" w:rsidP="00DE29D4">
      <w:pPr>
        <w:pStyle w:val="PZTextpsmene"/>
        <w:spacing w:before="0"/>
        <w:ind w:left="426" w:hanging="426"/>
        <w:rPr>
          <w:szCs w:val="24"/>
        </w:rPr>
      </w:pPr>
      <w:r w:rsidRPr="00615A2B">
        <w:rPr>
          <w:szCs w:val="24"/>
        </w:rPr>
        <w:t>a)</w:t>
      </w:r>
      <w:r w:rsidRPr="00615A2B">
        <w:rPr>
          <w:szCs w:val="24"/>
        </w:rPr>
        <w:tab/>
        <w:t xml:space="preserve">projektu rozdělení a </w:t>
      </w:r>
    </w:p>
    <w:p w14:paraId="3896667A" w14:textId="77777777" w:rsidR="00615A2B" w:rsidRPr="00615A2B" w:rsidRDefault="00615A2B" w:rsidP="00DE29D4">
      <w:pPr>
        <w:pStyle w:val="PZTextpsmene"/>
        <w:spacing w:before="0"/>
        <w:ind w:left="426" w:hanging="426"/>
        <w:rPr>
          <w:szCs w:val="24"/>
        </w:rPr>
      </w:pPr>
      <w:r w:rsidRPr="00615A2B">
        <w:rPr>
          <w:szCs w:val="24"/>
        </w:rPr>
        <w:t>b)</w:t>
      </w:r>
      <w:r w:rsidRPr="00615A2B">
        <w:rPr>
          <w:szCs w:val="24"/>
        </w:rPr>
        <w:tab/>
        <w:t xml:space="preserve">konečné účetní závěrky zanikajícího nebo rozdělovaného družstva a zahajovací rozvahy rozdělovaného nebo nástupnického družstva nebo nástupnických družstev, pokud rozhodný den rozdělení předchází vyhotovení projektu rozdělení, popřípadě mezitímní </w:t>
      </w:r>
      <w:r w:rsidRPr="00615A2B">
        <w:rPr>
          <w:b/>
          <w:szCs w:val="24"/>
        </w:rPr>
        <w:t xml:space="preserve">individuální </w:t>
      </w:r>
      <w:r w:rsidRPr="00615A2B">
        <w:rPr>
          <w:szCs w:val="24"/>
        </w:rPr>
        <w:t xml:space="preserve">účetní závěrky zanikajícího nebo rozdělovaného družstva. </w:t>
      </w:r>
    </w:p>
    <w:p w14:paraId="7CE62777" w14:textId="77777777" w:rsidR="00615A2B" w:rsidRPr="00615A2B" w:rsidRDefault="00615A2B" w:rsidP="00D97425">
      <w:pPr>
        <w:tabs>
          <w:tab w:val="left" w:pos="425"/>
          <w:tab w:val="left" w:pos="851"/>
        </w:tabs>
        <w:spacing w:after="120"/>
        <w:ind w:firstLine="0"/>
        <w:jc w:val="center"/>
        <w:rPr>
          <w:szCs w:val="24"/>
        </w:rPr>
      </w:pPr>
      <w:r w:rsidRPr="00615A2B">
        <w:rPr>
          <w:szCs w:val="24"/>
        </w:rPr>
        <w:t>§ 327</w:t>
      </w:r>
    </w:p>
    <w:p w14:paraId="24850109" w14:textId="77777777" w:rsidR="00615A2B" w:rsidRPr="00615A2B" w:rsidRDefault="00615A2B" w:rsidP="00615A2B">
      <w:pPr>
        <w:pStyle w:val="Textodstavce"/>
        <w:spacing w:before="240"/>
        <w:ind w:firstLine="425"/>
        <w:rPr>
          <w:szCs w:val="24"/>
        </w:rPr>
      </w:pPr>
      <w:r w:rsidRPr="00615A2B">
        <w:rPr>
          <w:szCs w:val="24"/>
        </w:rPr>
        <w:t>Usnesení členské schůze nástupnického družstva o schválení rozdělení sloučením musí obsahovat schválení</w:t>
      </w:r>
    </w:p>
    <w:p w14:paraId="1D85730A" w14:textId="77777777" w:rsidR="00615A2B" w:rsidRPr="00615A2B" w:rsidRDefault="00615A2B" w:rsidP="00DE29D4">
      <w:pPr>
        <w:pStyle w:val="PZTextpsmene"/>
        <w:spacing w:before="0"/>
        <w:ind w:left="426" w:hanging="426"/>
        <w:rPr>
          <w:szCs w:val="24"/>
        </w:rPr>
      </w:pPr>
      <w:r w:rsidRPr="00615A2B">
        <w:rPr>
          <w:szCs w:val="24"/>
        </w:rPr>
        <w:t>a)</w:t>
      </w:r>
      <w:r w:rsidRPr="00615A2B">
        <w:rPr>
          <w:szCs w:val="24"/>
        </w:rPr>
        <w:tab/>
        <w:t>projektu rozdělení sloučením a</w:t>
      </w:r>
    </w:p>
    <w:p w14:paraId="239B0606" w14:textId="77777777" w:rsidR="00615A2B" w:rsidRPr="00615A2B" w:rsidRDefault="00615A2B" w:rsidP="00DE29D4">
      <w:pPr>
        <w:pStyle w:val="PZTextpsmene"/>
        <w:spacing w:before="0"/>
        <w:ind w:left="426" w:hanging="426"/>
        <w:rPr>
          <w:szCs w:val="24"/>
        </w:rPr>
      </w:pPr>
      <w:r w:rsidRPr="00615A2B">
        <w:rPr>
          <w:szCs w:val="24"/>
        </w:rPr>
        <w:t>b)</w:t>
      </w:r>
      <w:r w:rsidRPr="00615A2B">
        <w:rPr>
          <w:szCs w:val="24"/>
        </w:rPr>
        <w:tab/>
        <w:t xml:space="preserve">konečné účetní závěrky nástupnického družstva a jeho zahajovací rozvahy, pokud rozhodný den rozdělení předchází vyhotovení projektu rozdělení, popřípadě mezitímní </w:t>
      </w:r>
      <w:r w:rsidRPr="00615A2B">
        <w:rPr>
          <w:b/>
          <w:szCs w:val="24"/>
        </w:rPr>
        <w:t xml:space="preserve">individuální </w:t>
      </w:r>
      <w:r w:rsidRPr="00615A2B">
        <w:rPr>
          <w:szCs w:val="24"/>
        </w:rPr>
        <w:t>účetní závěrky nástupnického družstva.</w:t>
      </w:r>
    </w:p>
    <w:p w14:paraId="0D42E149" w14:textId="77777777" w:rsidR="00615A2B" w:rsidRPr="00615A2B" w:rsidRDefault="00615A2B" w:rsidP="00D97425">
      <w:pPr>
        <w:tabs>
          <w:tab w:val="left" w:pos="425"/>
          <w:tab w:val="left" w:pos="851"/>
        </w:tabs>
        <w:spacing w:after="120"/>
        <w:ind w:firstLine="0"/>
        <w:jc w:val="center"/>
        <w:rPr>
          <w:szCs w:val="24"/>
        </w:rPr>
      </w:pPr>
      <w:r w:rsidRPr="00615A2B">
        <w:rPr>
          <w:szCs w:val="24"/>
        </w:rPr>
        <w:t>§ 328</w:t>
      </w:r>
    </w:p>
    <w:p w14:paraId="59C95D79" w14:textId="77777777" w:rsidR="00615A2B" w:rsidRPr="00615A2B" w:rsidRDefault="00615A2B" w:rsidP="00615A2B">
      <w:pPr>
        <w:pStyle w:val="Textodstavce"/>
        <w:spacing w:before="240"/>
        <w:ind w:firstLine="425"/>
        <w:rPr>
          <w:szCs w:val="24"/>
        </w:rPr>
      </w:pPr>
      <w:r w:rsidRPr="00615A2B">
        <w:rPr>
          <w:szCs w:val="24"/>
        </w:rPr>
        <w:t xml:space="preserve">Pokud poslední řádná </w:t>
      </w:r>
      <w:r w:rsidRPr="00615A2B">
        <w:rPr>
          <w:strike/>
          <w:szCs w:val="24"/>
        </w:rPr>
        <w:t>nebo mimořádná</w:t>
      </w:r>
      <w:r w:rsidRPr="00615A2B">
        <w:rPr>
          <w:szCs w:val="24"/>
        </w:rPr>
        <w:t xml:space="preserve"> </w:t>
      </w:r>
      <w:r w:rsidRPr="00615A2B">
        <w:rPr>
          <w:b/>
          <w:szCs w:val="24"/>
        </w:rPr>
        <w:t>individuální</w:t>
      </w:r>
      <w:r w:rsidRPr="00615A2B">
        <w:rPr>
          <w:szCs w:val="24"/>
        </w:rPr>
        <w:t xml:space="preserve"> účetní závěrka jakéhokoliv zúčastněného družstva, popřípadě mezitímní </w:t>
      </w:r>
      <w:r w:rsidRPr="00615A2B">
        <w:rPr>
          <w:b/>
          <w:szCs w:val="24"/>
        </w:rPr>
        <w:t>individuální</w:t>
      </w:r>
      <w:r w:rsidRPr="00615A2B">
        <w:rPr>
          <w:szCs w:val="24"/>
        </w:rPr>
        <w:t xml:space="preserve"> účetní závěrka, pokud se vyžaduje, anebo konečná účetní závěrka nebyla schválena členskou schůzí tohoto zúčastněného družstva před zápisem rozdělení do obchodního rejstříku, schvaluje ji členská schůze nástupnického </w:t>
      </w:r>
      <w:r w:rsidRPr="00615A2B">
        <w:rPr>
          <w:szCs w:val="24"/>
        </w:rPr>
        <w:lastRenderedPageBreak/>
        <w:t>družstva po zápisu rozdělení do obchodního rejstříku. Schválení zahajovací rozvahy se v tomto případě nevyžaduje.</w:t>
      </w:r>
    </w:p>
    <w:p w14:paraId="1D13CE64" w14:textId="77777777" w:rsidR="00615A2B" w:rsidRPr="00615A2B" w:rsidRDefault="00615A2B" w:rsidP="00992796">
      <w:pPr>
        <w:pStyle w:val="Nadpisparagrafu"/>
        <w:numPr>
          <w:ilvl w:val="0"/>
          <w:numId w:val="39"/>
        </w:numPr>
        <w:spacing w:after="120"/>
        <w:rPr>
          <w:b w:val="0"/>
          <w:szCs w:val="24"/>
        </w:rPr>
      </w:pPr>
      <w:r w:rsidRPr="00615A2B">
        <w:rPr>
          <w:b w:val="0"/>
          <w:szCs w:val="24"/>
        </w:rPr>
        <w:t>***</w:t>
      </w:r>
    </w:p>
    <w:p w14:paraId="1BE1873B" w14:textId="77777777" w:rsidR="00615A2B" w:rsidRPr="00615A2B" w:rsidRDefault="00615A2B" w:rsidP="00360D3A">
      <w:pPr>
        <w:tabs>
          <w:tab w:val="left" w:pos="425"/>
          <w:tab w:val="left" w:pos="851"/>
        </w:tabs>
        <w:spacing w:after="120"/>
        <w:ind w:firstLine="0"/>
        <w:jc w:val="center"/>
        <w:rPr>
          <w:szCs w:val="24"/>
        </w:rPr>
      </w:pPr>
      <w:r w:rsidRPr="00615A2B">
        <w:rPr>
          <w:szCs w:val="24"/>
        </w:rPr>
        <w:t>§ 339</w:t>
      </w:r>
    </w:p>
    <w:p w14:paraId="360D9F0D" w14:textId="77777777" w:rsidR="00615A2B" w:rsidRPr="00615A2B" w:rsidRDefault="00615A2B" w:rsidP="00615A2B">
      <w:pPr>
        <w:pStyle w:val="Textodstavce"/>
        <w:spacing w:before="240"/>
        <w:ind w:firstLine="425"/>
        <w:rPr>
          <w:szCs w:val="24"/>
        </w:rPr>
      </w:pPr>
      <w:r w:rsidRPr="00615A2B">
        <w:rPr>
          <w:szCs w:val="24"/>
        </w:rPr>
        <w:t>Projekt převodu jmění obsahuje alespoň</w:t>
      </w:r>
    </w:p>
    <w:p w14:paraId="439B8D8A" w14:textId="77777777" w:rsidR="00615A2B" w:rsidRPr="00615A2B" w:rsidRDefault="00615A2B" w:rsidP="00DE29D4">
      <w:pPr>
        <w:pStyle w:val="PZTextpsmene"/>
        <w:spacing w:before="0"/>
        <w:ind w:left="426" w:hanging="426"/>
        <w:rPr>
          <w:szCs w:val="24"/>
        </w:rPr>
      </w:pPr>
      <w:r w:rsidRPr="00615A2B">
        <w:rPr>
          <w:szCs w:val="24"/>
        </w:rPr>
        <w:t>a)</w:t>
      </w:r>
      <w:r w:rsidRPr="00615A2B">
        <w:rPr>
          <w:szCs w:val="24"/>
        </w:rPr>
        <w:tab/>
        <w:t>firmu, sídlo, identifikační číslo a právní formu zanikající společnosti,</w:t>
      </w:r>
    </w:p>
    <w:p w14:paraId="4191BC7A" w14:textId="77777777" w:rsidR="00615A2B" w:rsidRPr="00615A2B" w:rsidRDefault="00615A2B" w:rsidP="00DE29D4">
      <w:pPr>
        <w:pStyle w:val="PZTextpsmene"/>
        <w:spacing w:before="0"/>
        <w:ind w:left="426" w:hanging="426"/>
        <w:rPr>
          <w:szCs w:val="24"/>
        </w:rPr>
      </w:pPr>
      <w:r w:rsidRPr="00615A2B">
        <w:rPr>
          <w:szCs w:val="24"/>
        </w:rPr>
        <w:t>b)</w:t>
      </w:r>
      <w:r w:rsidRPr="00615A2B">
        <w:rPr>
          <w:szCs w:val="24"/>
        </w:rPr>
        <w:tab/>
        <w:t>firmu, sídlo, identifikační číslo a právní formu nebo jméno, příjmení, bydliště a rodné číslo, a nebylo-li přiděleno, datum narození přejímajícího společníka,</w:t>
      </w:r>
    </w:p>
    <w:p w14:paraId="0EF869E4" w14:textId="77777777" w:rsidR="00615A2B" w:rsidRPr="00615A2B" w:rsidRDefault="00615A2B" w:rsidP="00DE29D4">
      <w:pPr>
        <w:pStyle w:val="PZTextpsmene"/>
        <w:spacing w:before="0"/>
        <w:ind w:left="426" w:hanging="426"/>
        <w:rPr>
          <w:szCs w:val="24"/>
        </w:rPr>
      </w:pPr>
      <w:r w:rsidRPr="00615A2B">
        <w:rPr>
          <w:szCs w:val="24"/>
        </w:rPr>
        <w:t>c)</w:t>
      </w:r>
      <w:r w:rsidRPr="00615A2B">
        <w:rPr>
          <w:szCs w:val="24"/>
        </w:rPr>
        <w:tab/>
        <w:t xml:space="preserve">rozhodný den převodu jmění, pokud je přejímající společník účetní jednotkou podle zákona o účetnictví nebo se jí stane </w:t>
      </w:r>
      <w:r w:rsidRPr="00615A2B">
        <w:rPr>
          <w:strike/>
          <w:szCs w:val="24"/>
        </w:rPr>
        <w:t>zápisem převodu jmění do obchodního rejstříku</w:t>
      </w:r>
      <w:r w:rsidRPr="00615A2B">
        <w:rPr>
          <w:szCs w:val="24"/>
        </w:rPr>
        <w:t xml:space="preserve"> </w:t>
      </w:r>
      <w:r w:rsidRPr="00615A2B">
        <w:rPr>
          <w:b/>
          <w:szCs w:val="24"/>
        </w:rPr>
        <w:t>od rozhodného dne</w:t>
      </w:r>
      <w:r w:rsidRPr="00615A2B">
        <w:rPr>
          <w:szCs w:val="24"/>
        </w:rPr>
        <w:t xml:space="preserve">, </w:t>
      </w:r>
    </w:p>
    <w:p w14:paraId="6B0313F0" w14:textId="77777777" w:rsidR="00615A2B" w:rsidRPr="00615A2B" w:rsidRDefault="00615A2B" w:rsidP="00DE29D4">
      <w:pPr>
        <w:pStyle w:val="PZTextpsmene"/>
        <w:spacing w:before="0"/>
        <w:ind w:left="426" w:hanging="426"/>
        <w:rPr>
          <w:color w:val="00B0F0"/>
          <w:szCs w:val="24"/>
        </w:rPr>
      </w:pPr>
      <w:r w:rsidRPr="00360D3A">
        <w:rPr>
          <w:rStyle w:val="PromnnHTML"/>
          <w:i w:val="0"/>
          <w:szCs w:val="24"/>
        </w:rPr>
        <w:t>d)</w:t>
      </w:r>
      <w:r w:rsidRPr="00615A2B">
        <w:rPr>
          <w:szCs w:val="24"/>
        </w:rPr>
        <w:tab/>
        <w:t>nejde-li o převod jmění na jediného společníka, i podrobná pravidla pro určení výše a splatnosti vypořádání poskytovaného ostatním společníkům zanikající společnosti</w:t>
      </w:r>
      <w:r w:rsidRPr="00615A2B">
        <w:rPr>
          <w:color w:val="00B0F0"/>
          <w:szCs w:val="24"/>
        </w:rPr>
        <w:t xml:space="preserve">, a </w:t>
      </w:r>
    </w:p>
    <w:p w14:paraId="7020BC4B" w14:textId="77777777" w:rsidR="00615A2B" w:rsidRPr="00615A2B" w:rsidRDefault="00615A2B" w:rsidP="00CD43B5">
      <w:pPr>
        <w:pStyle w:val="l5"/>
        <w:pBdr>
          <w:top w:val="single" w:sz="12" w:space="1" w:color="00B0F0"/>
          <w:left w:val="single" w:sz="12" w:space="4" w:color="00B0F0"/>
          <w:bottom w:val="single" w:sz="12" w:space="1" w:color="00B0F0"/>
          <w:right w:val="single" w:sz="12" w:space="4" w:color="00B0F0"/>
        </w:pBdr>
        <w:spacing w:before="0" w:beforeAutospacing="0" w:after="0" w:afterAutospacing="0"/>
        <w:ind w:left="426" w:hanging="426"/>
        <w:jc w:val="both"/>
        <w:rPr>
          <w:bCs/>
          <w:color w:val="00B0F0"/>
        </w:rPr>
      </w:pPr>
      <w:bookmarkStart w:id="63" w:name="_Hlk108789818"/>
      <w:r w:rsidRPr="00615A2B">
        <w:rPr>
          <w:color w:val="00B0F0"/>
        </w:rPr>
        <w:t>e)</w:t>
      </w:r>
      <w:r w:rsidRPr="00615A2B">
        <w:rPr>
          <w:color w:val="00B0F0"/>
        </w:rPr>
        <w:tab/>
        <w:t>způsob a dobu pro odevzdání kmenových listů, byly-li v zanikající společnosti s ručením omezeným vydány, nebo akcií anebo zatímních listů, byly-li v zanikající akciové společnosti vydány.</w:t>
      </w:r>
      <w:bookmarkEnd w:id="63"/>
      <w:r w:rsidRPr="00615A2B">
        <w:rPr>
          <w:color w:val="00B0F0"/>
        </w:rPr>
        <w:t xml:space="preserve"> </w:t>
      </w:r>
    </w:p>
    <w:p w14:paraId="32E48ED8" w14:textId="77777777" w:rsidR="00615A2B" w:rsidRPr="00615A2B" w:rsidRDefault="00615A2B" w:rsidP="00992796">
      <w:pPr>
        <w:pStyle w:val="Nadpisparagrafu"/>
        <w:numPr>
          <w:ilvl w:val="0"/>
          <w:numId w:val="39"/>
        </w:numPr>
        <w:spacing w:after="120"/>
        <w:rPr>
          <w:b w:val="0"/>
          <w:szCs w:val="24"/>
        </w:rPr>
      </w:pPr>
      <w:r w:rsidRPr="00615A2B">
        <w:rPr>
          <w:b w:val="0"/>
          <w:szCs w:val="24"/>
        </w:rPr>
        <w:t>***</w:t>
      </w:r>
    </w:p>
    <w:p w14:paraId="0548C937" w14:textId="77777777" w:rsidR="00615A2B" w:rsidRPr="00615A2B" w:rsidRDefault="00615A2B" w:rsidP="00351B88">
      <w:pPr>
        <w:tabs>
          <w:tab w:val="left" w:pos="425"/>
          <w:tab w:val="left" w:pos="851"/>
        </w:tabs>
        <w:spacing w:after="120"/>
        <w:ind w:firstLine="0"/>
        <w:jc w:val="center"/>
        <w:rPr>
          <w:szCs w:val="24"/>
        </w:rPr>
      </w:pPr>
      <w:r w:rsidRPr="00615A2B">
        <w:rPr>
          <w:bCs/>
          <w:szCs w:val="24"/>
        </w:rPr>
        <w:t xml:space="preserve">§ </w:t>
      </w:r>
      <w:r w:rsidRPr="00615A2B">
        <w:rPr>
          <w:szCs w:val="24"/>
        </w:rPr>
        <w:t>343</w:t>
      </w:r>
    </w:p>
    <w:p w14:paraId="545C072A" w14:textId="77777777" w:rsidR="00615A2B" w:rsidRPr="00615A2B" w:rsidRDefault="00615A2B" w:rsidP="00615A2B">
      <w:pPr>
        <w:pStyle w:val="Textodstavce"/>
        <w:spacing w:before="240"/>
        <w:ind w:firstLine="425"/>
        <w:rPr>
          <w:iCs/>
          <w:szCs w:val="24"/>
        </w:rPr>
      </w:pPr>
      <w:r w:rsidRPr="00615A2B">
        <w:rPr>
          <w:iCs/>
          <w:szCs w:val="24"/>
        </w:rPr>
        <w:t>Rozhodnutí příslušného orgánu přejímajícího společníka, který je právnickou osobou, obsahuje schválení</w:t>
      </w:r>
    </w:p>
    <w:p w14:paraId="698BBB55" w14:textId="77777777" w:rsidR="00615A2B" w:rsidRPr="00615A2B" w:rsidRDefault="00615A2B" w:rsidP="00DE29D4">
      <w:pPr>
        <w:pStyle w:val="PZTextpsmene"/>
        <w:tabs>
          <w:tab w:val="left" w:pos="420"/>
        </w:tabs>
        <w:spacing w:before="0"/>
        <w:ind w:left="426" w:hanging="426"/>
        <w:rPr>
          <w:szCs w:val="24"/>
        </w:rPr>
      </w:pPr>
      <w:r w:rsidRPr="00615A2B">
        <w:rPr>
          <w:szCs w:val="24"/>
        </w:rPr>
        <w:t>a)</w:t>
      </w:r>
      <w:r w:rsidRPr="00615A2B">
        <w:rPr>
          <w:szCs w:val="24"/>
        </w:rPr>
        <w:tab/>
        <w:t>projektu převodu jmění a</w:t>
      </w:r>
    </w:p>
    <w:p w14:paraId="526D511A" w14:textId="2E649311" w:rsidR="00615A2B" w:rsidRPr="00351B88" w:rsidRDefault="00615A2B" w:rsidP="00DE29D4">
      <w:pPr>
        <w:pStyle w:val="PZTextpsmene"/>
        <w:tabs>
          <w:tab w:val="left" w:pos="420"/>
        </w:tabs>
        <w:spacing w:before="0"/>
        <w:ind w:left="426" w:hanging="426"/>
        <w:rPr>
          <w:szCs w:val="24"/>
        </w:rPr>
      </w:pPr>
      <w:r w:rsidRPr="00615A2B">
        <w:rPr>
          <w:szCs w:val="24"/>
        </w:rPr>
        <w:t>b)</w:t>
      </w:r>
      <w:r w:rsidRPr="00615A2B">
        <w:rPr>
          <w:szCs w:val="24"/>
        </w:rPr>
        <w:tab/>
        <w:t xml:space="preserve">konečné účetní závěrky a zahajovací rozvahy, jestliže se vyžaduje, pokud rozhodný den převodu jmění předchází vyhotovení projektu převodu jmění, popřípadě mezitímní </w:t>
      </w:r>
      <w:r w:rsidRPr="00615A2B">
        <w:rPr>
          <w:b/>
          <w:szCs w:val="24"/>
        </w:rPr>
        <w:t>individuální</w:t>
      </w:r>
      <w:r w:rsidRPr="00615A2B">
        <w:rPr>
          <w:szCs w:val="24"/>
        </w:rPr>
        <w:t xml:space="preserve"> účetní závěrky, pokud se vyžaduje.</w:t>
      </w:r>
    </w:p>
    <w:p w14:paraId="46CD3281" w14:textId="77777777" w:rsidR="00615A2B" w:rsidRPr="00615A2B" w:rsidRDefault="00615A2B" w:rsidP="00351B88">
      <w:pPr>
        <w:spacing w:after="120"/>
        <w:ind w:firstLine="0"/>
        <w:jc w:val="center"/>
        <w:rPr>
          <w:strike/>
          <w:szCs w:val="24"/>
        </w:rPr>
      </w:pPr>
      <w:r w:rsidRPr="00615A2B">
        <w:rPr>
          <w:strike/>
          <w:szCs w:val="24"/>
        </w:rPr>
        <w:t xml:space="preserve">§ </w:t>
      </w:r>
      <w:r w:rsidRPr="00615A2B">
        <w:rPr>
          <w:iCs/>
          <w:strike/>
          <w:szCs w:val="24"/>
        </w:rPr>
        <w:t>344</w:t>
      </w:r>
    </w:p>
    <w:p w14:paraId="49175375" w14:textId="77777777" w:rsidR="00615A2B" w:rsidRPr="00615A2B" w:rsidRDefault="00615A2B" w:rsidP="00615A2B">
      <w:pPr>
        <w:pStyle w:val="l5"/>
        <w:spacing w:before="240" w:beforeAutospacing="0" w:after="120" w:afterAutospacing="0"/>
        <w:jc w:val="both"/>
        <w:rPr>
          <w:strike/>
        </w:rPr>
      </w:pPr>
      <w:r w:rsidRPr="00615A2B">
        <w:rPr>
          <w:strike/>
        </w:rPr>
        <w:t>Zahajovací rozvaha a konečná účetní závěrka se u přejímajícího společníka sestavuje a schvaluje jen tehdy, jestliže je účetní jednotkou podle zákona o účetnictví.</w:t>
      </w:r>
    </w:p>
    <w:p w14:paraId="1EE98C1E" w14:textId="77777777" w:rsidR="00615A2B" w:rsidRPr="00615A2B" w:rsidRDefault="00615A2B" w:rsidP="00992796">
      <w:pPr>
        <w:pStyle w:val="Nadpisparagrafu"/>
        <w:numPr>
          <w:ilvl w:val="0"/>
          <w:numId w:val="39"/>
        </w:numPr>
        <w:spacing w:after="120"/>
        <w:rPr>
          <w:b w:val="0"/>
          <w:szCs w:val="24"/>
        </w:rPr>
      </w:pPr>
      <w:r w:rsidRPr="00615A2B">
        <w:rPr>
          <w:b w:val="0"/>
          <w:szCs w:val="24"/>
        </w:rPr>
        <w:t>***</w:t>
      </w:r>
    </w:p>
    <w:p w14:paraId="00B121DC" w14:textId="77777777" w:rsidR="00615A2B" w:rsidRPr="00615A2B" w:rsidRDefault="00615A2B" w:rsidP="00351B88">
      <w:pPr>
        <w:tabs>
          <w:tab w:val="left" w:pos="425"/>
          <w:tab w:val="left" w:pos="851"/>
        </w:tabs>
        <w:spacing w:after="120"/>
        <w:ind w:firstLine="0"/>
        <w:jc w:val="center"/>
        <w:rPr>
          <w:szCs w:val="24"/>
        </w:rPr>
      </w:pPr>
      <w:r w:rsidRPr="00615A2B">
        <w:rPr>
          <w:bCs/>
          <w:szCs w:val="24"/>
        </w:rPr>
        <w:t xml:space="preserve">§ </w:t>
      </w:r>
      <w:r w:rsidRPr="00615A2B">
        <w:rPr>
          <w:szCs w:val="24"/>
        </w:rPr>
        <w:t>363</w:t>
      </w:r>
    </w:p>
    <w:p w14:paraId="266CA8ED" w14:textId="77777777" w:rsidR="00615A2B" w:rsidRPr="00615A2B" w:rsidRDefault="00615A2B" w:rsidP="00615A2B">
      <w:pPr>
        <w:pStyle w:val="Textodstavce"/>
        <w:spacing w:before="240"/>
        <w:ind w:firstLine="425"/>
        <w:rPr>
          <w:szCs w:val="24"/>
        </w:rPr>
      </w:pPr>
      <w:r w:rsidRPr="00615A2B">
        <w:rPr>
          <w:szCs w:val="24"/>
        </w:rPr>
        <w:t>(1) V sídle akciové společnosti nebo družstva měnící svoji právní formu musí být k nahlédnutí pro akcionáře nebo členy alespoň 1 měsíc před stanoveným dnem konání valné hromady akciové společnosti nebo členské schůze družstva, jež má rozhodnout o schválení změny právní formy</w:t>
      </w:r>
    </w:p>
    <w:p w14:paraId="319941D3" w14:textId="77777777" w:rsidR="00615A2B" w:rsidRPr="00615A2B" w:rsidRDefault="00615A2B" w:rsidP="00DE29D4">
      <w:pPr>
        <w:pStyle w:val="PZTextpsmene"/>
        <w:tabs>
          <w:tab w:val="left" w:pos="420"/>
        </w:tabs>
        <w:spacing w:before="0"/>
        <w:ind w:left="426" w:hanging="426"/>
        <w:rPr>
          <w:szCs w:val="24"/>
        </w:rPr>
      </w:pPr>
      <w:r w:rsidRPr="00615A2B">
        <w:rPr>
          <w:szCs w:val="24"/>
        </w:rPr>
        <w:t>a)</w:t>
      </w:r>
      <w:r w:rsidRPr="00615A2B">
        <w:rPr>
          <w:szCs w:val="24"/>
        </w:rPr>
        <w:tab/>
        <w:t>projekt změny právní formy,</w:t>
      </w:r>
    </w:p>
    <w:p w14:paraId="5F7F03B2" w14:textId="77777777" w:rsidR="00615A2B" w:rsidRPr="00615A2B" w:rsidRDefault="00615A2B" w:rsidP="00DE29D4">
      <w:pPr>
        <w:pStyle w:val="PZTextpsmene"/>
        <w:tabs>
          <w:tab w:val="left" w:pos="420"/>
        </w:tabs>
        <w:spacing w:before="0"/>
        <w:ind w:left="426" w:hanging="426"/>
        <w:rPr>
          <w:szCs w:val="24"/>
        </w:rPr>
      </w:pPr>
      <w:r w:rsidRPr="00615A2B">
        <w:rPr>
          <w:szCs w:val="24"/>
        </w:rPr>
        <w:t>b)</w:t>
      </w:r>
      <w:r w:rsidRPr="00615A2B">
        <w:rPr>
          <w:szCs w:val="24"/>
        </w:rPr>
        <w:tab/>
        <w:t>zpráva o změně právní formy, pokud se vyžaduje,</w:t>
      </w:r>
    </w:p>
    <w:p w14:paraId="26BDA329" w14:textId="77777777" w:rsidR="00615A2B" w:rsidRPr="00615A2B" w:rsidRDefault="00615A2B" w:rsidP="00DE29D4">
      <w:pPr>
        <w:pStyle w:val="PZTextpsmene"/>
        <w:tabs>
          <w:tab w:val="left" w:pos="420"/>
        </w:tabs>
        <w:spacing w:before="0"/>
        <w:ind w:left="426" w:hanging="426"/>
        <w:rPr>
          <w:szCs w:val="24"/>
        </w:rPr>
      </w:pPr>
      <w:r w:rsidRPr="00615A2B">
        <w:rPr>
          <w:szCs w:val="24"/>
        </w:rPr>
        <w:t>c)</w:t>
      </w:r>
      <w:r w:rsidRPr="00615A2B">
        <w:rPr>
          <w:szCs w:val="24"/>
        </w:rPr>
        <w:tab/>
        <w:t>posudek znalce pro ocenění jmění, pokud se vyžaduje, a</w:t>
      </w:r>
    </w:p>
    <w:p w14:paraId="542935CF" w14:textId="77777777" w:rsidR="00615A2B" w:rsidRPr="00615A2B" w:rsidRDefault="00615A2B" w:rsidP="00DE29D4">
      <w:pPr>
        <w:pStyle w:val="PZTextpsmene"/>
        <w:tabs>
          <w:tab w:val="left" w:pos="420"/>
        </w:tabs>
        <w:spacing w:before="0"/>
        <w:ind w:left="426" w:hanging="426"/>
        <w:rPr>
          <w:strike/>
          <w:szCs w:val="24"/>
        </w:rPr>
      </w:pPr>
      <w:r w:rsidRPr="00615A2B">
        <w:rPr>
          <w:strike/>
          <w:szCs w:val="24"/>
        </w:rPr>
        <w:t>d)</w:t>
      </w:r>
      <w:r w:rsidRPr="00615A2B">
        <w:rPr>
          <w:strike/>
          <w:szCs w:val="24"/>
        </w:rPr>
        <w:tab/>
        <w:t>řádná, mimořádná nebo mezitímní účetní závěrka uvedená v § 365 a vyžadují-li se, také zprávy auditora o jejich ověření.</w:t>
      </w:r>
    </w:p>
    <w:p w14:paraId="4C021ED7" w14:textId="77777777" w:rsidR="00615A2B" w:rsidRPr="00615A2B" w:rsidRDefault="00615A2B" w:rsidP="00DE29D4">
      <w:pPr>
        <w:pStyle w:val="PZTextpsmene"/>
        <w:tabs>
          <w:tab w:val="left" w:pos="420"/>
        </w:tabs>
        <w:spacing w:before="0"/>
        <w:ind w:left="426" w:hanging="426"/>
        <w:rPr>
          <w:b/>
          <w:bCs/>
          <w:szCs w:val="24"/>
        </w:rPr>
      </w:pPr>
      <w:r w:rsidRPr="00615A2B">
        <w:rPr>
          <w:b/>
          <w:bCs/>
          <w:szCs w:val="24"/>
        </w:rPr>
        <w:lastRenderedPageBreak/>
        <w:t xml:space="preserve">d) </w:t>
      </w:r>
      <w:r w:rsidRPr="00615A2B">
        <w:rPr>
          <w:b/>
          <w:bCs/>
          <w:szCs w:val="24"/>
        </w:rPr>
        <w:tab/>
        <w:t>individuální účetní závěrka uvedená v § 365 a vyžaduje-li se, také zpráva auditora o povinném auditu.</w:t>
      </w:r>
    </w:p>
    <w:p w14:paraId="0865F361" w14:textId="77777777" w:rsidR="00615A2B" w:rsidRPr="00615A2B" w:rsidRDefault="00615A2B" w:rsidP="00CD43B5">
      <w:pPr>
        <w:pStyle w:val="Textodstavce"/>
        <w:ind w:firstLine="425"/>
        <w:rPr>
          <w:szCs w:val="24"/>
        </w:rPr>
      </w:pPr>
      <w:r w:rsidRPr="00615A2B">
        <w:rPr>
          <w:szCs w:val="24"/>
        </w:rPr>
        <w:t>(2) Akciová společnost nebo družstvo měnící svoji právní formu vydá každému akcionáři nebo členovi, který o to požádá, bez zbytečného odkladu bezplatně opis nebo výpis z listin uvedených v odstavci 1, pokud se vyžadují.</w:t>
      </w:r>
    </w:p>
    <w:p w14:paraId="4A367879" w14:textId="77777777" w:rsidR="00615A2B" w:rsidRPr="00615A2B" w:rsidRDefault="00615A2B" w:rsidP="00CD43B5">
      <w:pPr>
        <w:pStyle w:val="Textodstavce"/>
        <w:ind w:firstLine="425"/>
        <w:rPr>
          <w:szCs w:val="24"/>
        </w:rPr>
      </w:pPr>
      <w:r w:rsidRPr="00615A2B">
        <w:rPr>
          <w:szCs w:val="24"/>
        </w:rPr>
        <w:t>(3) Pokud akcionář nebo člen souhlasil s tím, že akciová společnost nebo družstvo měnící právní formu bude k poskytování informací využívat elektronické prostředky, mohou mu být kopie listin zasílány elektronicky. Souhlas lze dát jakýmkoliv způsobem, z něhož plyne tato vůle akcionáře nebo člena.</w:t>
      </w:r>
    </w:p>
    <w:p w14:paraId="26B8A88E" w14:textId="77777777" w:rsidR="00615A2B" w:rsidRPr="00615A2B" w:rsidRDefault="00615A2B" w:rsidP="00CD43B5">
      <w:pPr>
        <w:pStyle w:val="Textodstavce"/>
        <w:pBdr>
          <w:top w:val="single" w:sz="12" w:space="1" w:color="00B0F0"/>
          <w:left w:val="single" w:sz="12" w:space="4" w:color="00B0F0"/>
          <w:bottom w:val="single" w:sz="12" w:space="1" w:color="00B0F0"/>
          <w:right w:val="single" w:sz="12" w:space="4" w:color="00B0F0"/>
        </w:pBdr>
        <w:ind w:firstLine="425"/>
        <w:rPr>
          <w:bCs/>
          <w:color w:val="00B0F0"/>
          <w:szCs w:val="24"/>
        </w:rPr>
      </w:pPr>
      <w:bookmarkStart w:id="64" w:name="_Hlk108790245"/>
      <w:r w:rsidRPr="00615A2B">
        <w:rPr>
          <w:bCs/>
          <w:color w:val="00B0F0"/>
          <w:szCs w:val="24"/>
        </w:rPr>
        <w:t xml:space="preserve">(4) </w:t>
      </w:r>
      <w:bookmarkEnd w:id="64"/>
      <w:r w:rsidRPr="00615A2B">
        <w:rPr>
          <w:bCs/>
          <w:color w:val="00B0F0"/>
          <w:szCs w:val="24"/>
        </w:rPr>
        <w:t>Jestliže má být změna právní formy schválena akcionáři nebo členy družstva mimo valnou hromadu nebo členskou schůzi, zašle společnost nebo družstvo dokumenty podle odstavce 1 akcionářům nebo členům spolu s návrhem rozhodnutí o změně právní formy mimo valnou hromadu nebo členskou schůzi.</w:t>
      </w:r>
    </w:p>
    <w:p w14:paraId="152706F6" w14:textId="77777777" w:rsidR="00615A2B" w:rsidRPr="00615A2B" w:rsidRDefault="00615A2B" w:rsidP="00992796">
      <w:pPr>
        <w:pStyle w:val="Nadpisparagrafu"/>
        <w:numPr>
          <w:ilvl w:val="0"/>
          <w:numId w:val="39"/>
        </w:numPr>
        <w:spacing w:after="120"/>
        <w:rPr>
          <w:b w:val="0"/>
          <w:szCs w:val="24"/>
        </w:rPr>
      </w:pPr>
      <w:r w:rsidRPr="00615A2B">
        <w:rPr>
          <w:b w:val="0"/>
          <w:szCs w:val="24"/>
        </w:rPr>
        <w:t>***</w:t>
      </w:r>
    </w:p>
    <w:p w14:paraId="1542C7C3" w14:textId="77777777" w:rsidR="00615A2B" w:rsidRPr="00615A2B" w:rsidRDefault="00615A2B" w:rsidP="00133621">
      <w:pPr>
        <w:tabs>
          <w:tab w:val="left" w:pos="425"/>
          <w:tab w:val="left" w:pos="851"/>
        </w:tabs>
        <w:spacing w:after="120"/>
        <w:ind w:firstLine="0"/>
        <w:jc w:val="center"/>
        <w:rPr>
          <w:szCs w:val="24"/>
        </w:rPr>
      </w:pPr>
      <w:r w:rsidRPr="00615A2B">
        <w:rPr>
          <w:bCs/>
          <w:szCs w:val="24"/>
        </w:rPr>
        <w:t xml:space="preserve">§ </w:t>
      </w:r>
      <w:r w:rsidRPr="00615A2B">
        <w:rPr>
          <w:szCs w:val="24"/>
        </w:rPr>
        <w:t>365</w:t>
      </w:r>
    </w:p>
    <w:p w14:paraId="3DF646C0" w14:textId="77777777" w:rsidR="00615A2B" w:rsidRPr="00615A2B" w:rsidRDefault="00615A2B" w:rsidP="00CD43B5">
      <w:pPr>
        <w:pStyle w:val="Textodstavce"/>
        <w:ind w:firstLine="425"/>
        <w:rPr>
          <w:szCs w:val="24"/>
        </w:rPr>
      </w:pPr>
      <w:r w:rsidRPr="00615A2B">
        <w:rPr>
          <w:szCs w:val="24"/>
        </w:rPr>
        <w:t xml:space="preserve">(1) Společnost nebo družstvo je povinno sestavit ke dni, k němuž byl vyhotoven projekt změny právní formy, mezitímní </w:t>
      </w:r>
      <w:r w:rsidRPr="00615A2B">
        <w:rPr>
          <w:b/>
          <w:szCs w:val="24"/>
        </w:rPr>
        <w:t>individuální</w:t>
      </w:r>
      <w:r w:rsidRPr="00615A2B">
        <w:rPr>
          <w:szCs w:val="24"/>
        </w:rPr>
        <w:t xml:space="preserve"> účetní závěrku, není-li</w:t>
      </w:r>
      <w:r w:rsidRPr="00615A2B">
        <w:rPr>
          <w:strike/>
          <w:szCs w:val="24"/>
        </w:rPr>
        <w:t xml:space="preserve"> tento den rozvahovým dnem</w:t>
      </w:r>
      <w:r w:rsidRPr="00615A2B">
        <w:rPr>
          <w:b/>
          <w:szCs w:val="24"/>
        </w:rPr>
        <w:t xml:space="preserve"> k tomuto dni sestavena řádná individuální účetní závěrka</w:t>
      </w:r>
      <w:r w:rsidRPr="00615A2B">
        <w:rPr>
          <w:szCs w:val="24"/>
        </w:rPr>
        <w:t>.</w:t>
      </w:r>
    </w:p>
    <w:p w14:paraId="2C051575" w14:textId="77777777" w:rsidR="00615A2B" w:rsidRPr="00615A2B" w:rsidRDefault="00615A2B" w:rsidP="00CD43B5">
      <w:pPr>
        <w:pStyle w:val="Textodstavce"/>
        <w:ind w:firstLine="425"/>
        <w:rPr>
          <w:strike/>
          <w:szCs w:val="24"/>
        </w:rPr>
      </w:pPr>
      <w:r w:rsidRPr="00615A2B">
        <w:rPr>
          <w:strike/>
          <w:szCs w:val="24"/>
        </w:rPr>
        <w:t>(2) Mezitímní, řádná nebo mimořádná účetní závěrka sestavená ke dni, k němuž byl vyhotoven projekt změny právní formy, musí být ověřena auditorem, pokud ověření účetní závěrky auditorem vyžaduje zvláštní právní předpis.</w:t>
      </w:r>
    </w:p>
    <w:p w14:paraId="5A14FDF2" w14:textId="77777777" w:rsidR="00615A2B" w:rsidRPr="00615A2B" w:rsidRDefault="00615A2B" w:rsidP="00CD43B5">
      <w:pPr>
        <w:pStyle w:val="Textodstavce"/>
        <w:ind w:firstLine="425"/>
        <w:rPr>
          <w:szCs w:val="24"/>
        </w:rPr>
      </w:pPr>
      <w:proofErr w:type="gramStart"/>
      <w:r w:rsidRPr="00615A2B">
        <w:rPr>
          <w:strike/>
          <w:szCs w:val="24"/>
        </w:rPr>
        <w:t>(3)</w:t>
      </w:r>
      <w:r w:rsidRPr="00615A2B">
        <w:rPr>
          <w:b/>
          <w:szCs w:val="24"/>
        </w:rPr>
        <w:t>(2)</w:t>
      </w:r>
      <w:r w:rsidRPr="00615A2B">
        <w:rPr>
          <w:szCs w:val="24"/>
        </w:rPr>
        <w:t xml:space="preserve"> Údaje</w:t>
      </w:r>
      <w:proofErr w:type="gramEnd"/>
      <w:r w:rsidRPr="00615A2B">
        <w:rPr>
          <w:szCs w:val="24"/>
        </w:rPr>
        <w:t xml:space="preserve">, z nichž je sestavena </w:t>
      </w:r>
      <w:r w:rsidRPr="00615A2B">
        <w:rPr>
          <w:b/>
          <w:szCs w:val="24"/>
        </w:rPr>
        <w:t>individuální</w:t>
      </w:r>
      <w:r w:rsidRPr="00615A2B">
        <w:rPr>
          <w:szCs w:val="24"/>
        </w:rPr>
        <w:t xml:space="preserve"> účetní závěrka, nesmí být starší než 6 měsíců počítáno ke dni, v němž bude změna právní formy schválena.</w:t>
      </w:r>
    </w:p>
    <w:p w14:paraId="725F21F3" w14:textId="77777777" w:rsidR="00615A2B" w:rsidRPr="00615A2B" w:rsidRDefault="00615A2B" w:rsidP="00CD43B5">
      <w:pPr>
        <w:pStyle w:val="Textodstavce"/>
        <w:ind w:firstLine="425"/>
        <w:rPr>
          <w:szCs w:val="24"/>
        </w:rPr>
      </w:pPr>
      <w:proofErr w:type="gramStart"/>
      <w:r w:rsidRPr="00615A2B">
        <w:rPr>
          <w:strike/>
          <w:szCs w:val="24"/>
        </w:rPr>
        <w:t>(4)</w:t>
      </w:r>
      <w:r w:rsidRPr="00615A2B">
        <w:rPr>
          <w:b/>
          <w:szCs w:val="24"/>
        </w:rPr>
        <w:t>(3)</w:t>
      </w:r>
      <w:r w:rsidRPr="00615A2B">
        <w:rPr>
          <w:szCs w:val="24"/>
        </w:rPr>
        <w:t xml:space="preserve"> Jestliže</w:t>
      </w:r>
      <w:proofErr w:type="gramEnd"/>
      <w:r w:rsidRPr="00615A2B">
        <w:rPr>
          <w:szCs w:val="24"/>
        </w:rPr>
        <w:t xml:space="preserve"> je výše vlastního kapitálu v účetní závěrce sestavené ke dni, k němuž byl vyhotoven projekt změny právní formy, nižší než základní kapitál, který má mít společnost nebo družstvo podle projektu změny právní formy, není změna právní formy přípustná, ledaže se společníci nebo členové v projektu změny právní formy zaváží k příplatkům mimo základní kapitál v takové výši, aby ke dni zápisu změny právní formy do obchodního rejstříku byl vlastní kapitál stejný nebo vyšší než základní kapitál.</w:t>
      </w:r>
    </w:p>
    <w:p w14:paraId="46A65CD7" w14:textId="77777777" w:rsidR="00615A2B" w:rsidRPr="00615A2B" w:rsidRDefault="00615A2B" w:rsidP="00133621">
      <w:pPr>
        <w:tabs>
          <w:tab w:val="left" w:pos="425"/>
          <w:tab w:val="left" w:pos="851"/>
        </w:tabs>
        <w:spacing w:after="120"/>
        <w:ind w:firstLine="0"/>
        <w:jc w:val="center"/>
        <w:rPr>
          <w:strike/>
          <w:szCs w:val="24"/>
        </w:rPr>
      </w:pPr>
      <w:r w:rsidRPr="00615A2B">
        <w:rPr>
          <w:strike/>
          <w:szCs w:val="24"/>
        </w:rPr>
        <w:t>§ 366</w:t>
      </w:r>
    </w:p>
    <w:p w14:paraId="77447DCB" w14:textId="77777777" w:rsidR="00615A2B" w:rsidRPr="00615A2B" w:rsidRDefault="00615A2B" w:rsidP="00CD43B5">
      <w:pPr>
        <w:pStyle w:val="Textodstavce"/>
        <w:ind w:firstLine="425"/>
        <w:rPr>
          <w:strike/>
          <w:szCs w:val="24"/>
        </w:rPr>
      </w:pPr>
      <w:r w:rsidRPr="00615A2B">
        <w:rPr>
          <w:strike/>
          <w:szCs w:val="24"/>
        </w:rPr>
        <w:t>(1) Povinnost sestavit konečnou účetní závěrku ke dni předcházejícímu den zápisu změny právní formy do obchodního rejstříku má pouze veřejná obchodní společnost a dále společnosti a družstva, které ke dni předcházejícímu den zápisu změny právní formy do obchodního rejstříku podávají daňové přiznání. V ostatních případech se sestavuje pouze mezitímní účetní závěrka ke dni předcházejícímu den zápisu změny právní formy do obchodního rejstříku.</w:t>
      </w:r>
    </w:p>
    <w:p w14:paraId="199ABED9" w14:textId="77777777" w:rsidR="00615A2B" w:rsidRPr="00615A2B" w:rsidRDefault="00615A2B" w:rsidP="00CD43B5">
      <w:pPr>
        <w:pStyle w:val="Textodstavce"/>
        <w:ind w:firstLine="425"/>
        <w:rPr>
          <w:strike/>
          <w:szCs w:val="24"/>
        </w:rPr>
      </w:pPr>
      <w:r w:rsidRPr="00615A2B">
        <w:rPr>
          <w:strike/>
          <w:szCs w:val="24"/>
        </w:rPr>
        <w:t>(2) Při změně právní formy na akciovou společnost, společnost s ručením omezeným nebo družstvo musí být konečná nebo mezitímní účetní závěrka uvedená v odstavci 1 ověřena auditorem, pokud tak stanoví zvláštní právní předpis.</w:t>
      </w:r>
    </w:p>
    <w:p w14:paraId="60984619" w14:textId="77777777" w:rsidR="00615A2B" w:rsidRPr="00615A2B" w:rsidRDefault="00615A2B" w:rsidP="00992796">
      <w:pPr>
        <w:pStyle w:val="Nadpisparagrafu"/>
        <w:numPr>
          <w:ilvl w:val="0"/>
          <w:numId w:val="39"/>
        </w:numPr>
        <w:spacing w:after="120"/>
        <w:rPr>
          <w:b w:val="0"/>
          <w:szCs w:val="24"/>
        </w:rPr>
      </w:pPr>
      <w:r w:rsidRPr="00615A2B">
        <w:rPr>
          <w:b w:val="0"/>
          <w:szCs w:val="24"/>
        </w:rPr>
        <w:t>***</w:t>
      </w:r>
    </w:p>
    <w:p w14:paraId="4CC620EC" w14:textId="77777777" w:rsidR="00615A2B" w:rsidRPr="00615A2B" w:rsidRDefault="00615A2B" w:rsidP="00133621">
      <w:pPr>
        <w:tabs>
          <w:tab w:val="left" w:pos="425"/>
          <w:tab w:val="left" w:pos="851"/>
        </w:tabs>
        <w:spacing w:after="120"/>
        <w:ind w:firstLine="0"/>
        <w:jc w:val="center"/>
        <w:rPr>
          <w:szCs w:val="24"/>
        </w:rPr>
      </w:pPr>
      <w:r w:rsidRPr="00615A2B">
        <w:rPr>
          <w:bCs/>
          <w:szCs w:val="24"/>
        </w:rPr>
        <w:t xml:space="preserve">§ </w:t>
      </w:r>
      <w:r w:rsidRPr="00615A2B">
        <w:rPr>
          <w:szCs w:val="24"/>
        </w:rPr>
        <w:t>368</w:t>
      </w:r>
    </w:p>
    <w:p w14:paraId="67E9D087" w14:textId="77777777" w:rsidR="00615A2B" w:rsidRPr="00133621" w:rsidRDefault="00615A2B" w:rsidP="00CD43B5">
      <w:pPr>
        <w:pStyle w:val="Textodstavce"/>
        <w:ind w:firstLine="425"/>
        <w:rPr>
          <w:szCs w:val="24"/>
        </w:rPr>
      </w:pPr>
      <w:r w:rsidRPr="00133621">
        <w:rPr>
          <w:szCs w:val="24"/>
        </w:rPr>
        <w:lastRenderedPageBreak/>
        <w:t>(1) Jestliže vlastní kapitál akciové společnosti, společnosti s ručením omezeným nebo družstva po změně právní formy nedosáhne výše základního kapitálu v zahajovací rozvaze sestavené ke dni zápisu změny právní formy do obchodního rejstříku, jsou společníci povinni doplatit rozdíl v penězích bez zbytečného odkladu po zápisu změny právní formy do obchodního rejstříku společně a nerozdílně.</w:t>
      </w:r>
    </w:p>
    <w:p w14:paraId="0FF1C03C" w14:textId="77777777" w:rsidR="00615A2B" w:rsidRPr="00133621" w:rsidRDefault="00615A2B" w:rsidP="00CD43B5">
      <w:pPr>
        <w:pStyle w:val="Textodstavce"/>
        <w:ind w:firstLine="425"/>
        <w:rPr>
          <w:szCs w:val="24"/>
        </w:rPr>
      </w:pPr>
      <w:r w:rsidRPr="00133621">
        <w:rPr>
          <w:szCs w:val="24"/>
        </w:rPr>
        <w:t>(2)</w:t>
      </w:r>
      <w:r w:rsidRPr="00133621">
        <w:rPr>
          <w:strike/>
          <w:szCs w:val="24"/>
        </w:rPr>
        <w:t xml:space="preserve"> V případě, že společnost nebo družstvo nesestavuje zahajovací rozvahu, je pro účely povinnosti stanovené v odstavci 1 rozhodující výše vlastního kapitálu vyplývající z mezitímní účetní závěrky, sestavené podle § 366 odst. 1. </w:t>
      </w:r>
      <w:r w:rsidRPr="00133621">
        <w:rPr>
          <w:szCs w:val="24"/>
        </w:rPr>
        <w:t>Mezi sebou se společníci nebo členové vypořádají podle poměru, v jakém se podílí jmenovitá hodnota jejich akcií nebo výše vkladů do základního kapitálu na základním kapitálu společnosti nebo družstva před zápisem změny právní formy do obchodního rejstříku.</w:t>
      </w:r>
    </w:p>
    <w:p w14:paraId="6A4CD669" w14:textId="77777777" w:rsidR="00615A2B" w:rsidRPr="00615A2B" w:rsidRDefault="00615A2B" w:rsidP="00992796">
      <w:pPr>
        <w:pStyle w:val="Nadpisparagrafu"/>
        <w:numPr>
          <w:ilvl w:val="0"/>
          <w:numId w:val="39"/>
        </w:numPr>
        <w:spacing w:after="120"/>
        <w:rPr>
          <w:b w:val="0"/>
          <w:szCs w:val="24"/>
        </w:rPr>
      </w:pPr>
      <w:r w:rsidRPr="00615A2B">
        <w:rPr>
          <w:b w:val="0"/>
          <w:szCs w:val="24"/>
        </w:rPr>
        <w:t>***</w:t>
      </w:r>
    </w:p>
    <w:p w14:paraId="20CA5E07" w14:textId="77777777" w:rsidR="00615A2B" w:rsidRPr="00615A2B" w:rsidRDefault="00615A2B" w:rsidP="00133621">
      <w:pPr>
        <w:tabs>
          <w:tab w:val="left" w:pos="425"/>
          <w:tab w:val="left" w:pos="851"/>
        </w:tabs>
        <w:spacing w:after="120"/>
        <w:ind w:firstLine="0"/>
        <w:jc w:val="center"/>
        <w:rPr>
          <w:szCs w:val="24"/>
        </w:rPr>
      </w:pPr>
      <w:r w:rsidRPr="00615A2B">
        <w:rPr>
          <w:bCs/>
          <w:szCs w:val="24"/>
        </w:rPr>
        <w:t xml:space="preserve">§ </w:t>
      </w:r>
      <w:r w:rsidRPr="00615A2B">
        <w:rPr>
          <w:szCs w:val="24"/>
        </w:rPr>
        <w:t>369a</w:t>
      </w:r>
    </w:p>
    <w:p w14:paraId="0E85EAE4" w14:textId="77777777" w:rsidR="00615A2B" w:rsidRPr="00615A2B" w:rsidRDefault="00615A2B" w:rsidP="00615A2B">
      <w:pPr>
        <w:pStyle w:val="Textodstavce"/>
        <w:spacing w:before="240"/>
        <w:ind w:firstLine="425"/>
        <w:rPr>
          <w:szCs w:val="24"/>
        </w:rPr>
      </w:pPr>
      <w:r w:rsidRPr="00615A2B">
        <w:rPr>
          <w:szCs w:val="24"/>
        </w:rPr>
        <w:t>Rozhodnutí společnosti nebo družstva o změně právní formy musí obsahovat schválení</w:t>
      </w:r>
    </w:p>
    <w:p w14:paraId="4290F715" w14:textId="77777777" w:rsidR="00615A2B" w:rsidRPr="00615A2B" w:rsidRDefault="00615A2B" w:rsidP="00DE29D4">
      <w:pPr>
        <w:pStyle w:val="PZTextpsmene"/>
        <w:spacing w:before="0"/>
        <w:ind w:left="426" w:hanging="426"/>
        <w:rPr>
          <w:szCs w:val="24"/>
        </w:rPr>
      </w:pPr>
      <w:r w:rsidRPr="00615A2B">
        <w:rPr>
          <w:szCs w:val="24"/>
        </w:rPr>
        <w:t>a)</w:t>
      </w:r>
      <w:r w:rsidRPr="00615A2B">
        <w:rPr>
          <w:szCs w:val="24"/>
        </w:rPr>
        <w:tab/>
        <w:t>projektu změny právní formy a</w:t>
      </w:r>
    </w:p>
    <w:p w14:paraId="4E63BAB1" w14:textId="77777777" w:rsidR="00615A2B" w:rsidRPr="00615A2B" w:rsidRDefault="00615A2B" w:rsidP="00DE29D4">
      <w:pPr>
        <w:pStyle w:val="PZTextpsmene"/>
        <w:spacing w:before="0"/>
        <w:ind w:left="426" w:hanging="426"/>
        <w:rPr>
          <w:strike/>
          <w:szCs w:val="24"/>
        </w:rPr>
      </w:pPr>
      <w:r w:rsidRPr="00615A2B">
        <w:rPr>
          <w:strike/>
          <w:szCs w:val="24"/>
        </w:rPr>
        <w:t>b)</w:t>
      </w:r>
      <w:r w:rsidRPr="00615A2B">
        <w:rPr>
          <w:strike/>
          <w:szCs w:val="24"/>
        </w:rPr>
        <w:tab/>
        <w:t>řádné, mimořádné nebo mezitímní účetní závěrky uvedené v § 265, nebyla-li doposud schválena.</w:t>
      </w:r>
    </w:p>
    <w:p w14:paraId="4527CAC4" w14:textId="1BE06F30" w:rsidR="00615A2B" w:rsidRPr="00133621" w:rsidRDefault="00615A2B" w:rsidP="00DE29D4">
      <w:pPr>
        <w:pStyle w:val="PZTextpsmene"/>
        <w:spacing w:before="0"/>
        <w:ind w:left="426" w:hanging="426"/>
        <w:rPr>
          <w:b/>
          <w:bCs/>
          <w:szCs w:val="24"/>
        </w:rPr>
      </w:pPr>
      <w:r w:rsidRPr="00615A2B">
        <w:rPr>
          <w:b/>
          <w:bCs/>
          <w:szCs w:val="24"/>
        </w:rPr>
        <w:t>b)</w:t>
      </w:r>
      <w:r w:rsidRPr="00615A2B">
        <w:rPr>
          <w:b/>
          <w:bCs/>
          <w:szCs w:val="24"/>
        </w:rPr>
        <w:tab/>
        <w:t>individuální účetní závěrky sestavené ke dni, k němuž byl vyhotoven projekt změny právní formy, nebyla-li doposud schválena.</w:t>
      </w:r>
    </w:p>
    <w:p w14:paraId="229A908E" w14:textId="77777777" w:rsidR="00615A2B" w:rsidRPr="00615A2B" w:rsidRDefault="00615A2B" w:rsidP="00992796">
      <w:pPr>
        <w:pStyle w:val="Nadpisparagrafu"/>
        <w:numPr>
          <w:ilvl w:val="0"/>
          <w:numId w:val="39"/>
        </w:numPr>
        <w:spacing w:after="120"/>
        <w:ind w:firstLine="425"/>
        <w:rPr>
          <w:b w:val="0"/>
          <w:szCs w:val="24"/>
        </w:rPr>
      </w:pPr>
      <w:r w:rsidRPr="00615A2B">
        <w:rPr>
          <w:b w:val="0"/>
          <w:szCs w:val="24"/>
        </w:rPr>
        <w:t>***</w:t>
      </w:r>
    </w:p>
    <w:p w14:paraId="1EA858C7" w14:textId="77777777" w:rsidR="00615A2B" w:rsidRPr="00615A2B" w:rsidRDefault="00615A2B" w:rsidP="00615A2B">
      <w:pPr>
        <w:tabs>
          <w:tab w:val="left" w:pos="425"/>
          <w:tab w:val="left" w:pos="851"/>
        </w:tabs>
        <w:spacing w:after="120"/>
        <w:jc w:val="center"/>
        <w:rPr>
          <w:szCs w:val="24"/>
        </w:rPr>
      </w:pPr>
      <w:r w:rsidRPr="00615A2B">
        <w:rPr>
          <w:bCs/>
          <w:szCs w:val="24"/>
        </w:rPr>
        <w:t xml:space="preserve">§ </w:t>
      </w:r>
      <w:r w:rsidRPr="00615A2B">
        <w:rPr>
          <w:szCs w:val="24"/>
        </w:rPr>
        <w:t>379</w:t>
      </w:r>
    </w:p>
    <w:p w14:paraId="3B627ED1" w14:textId="77777777" w:rsidR="00615A2B" w:rsidRPr="00615A2B" w:rsidRDefault="00615A2B" w:rsidP="00CD43B5">
      <w:pPr>
        <w:pStyle w:val="Textodstavce"/>
        <w:ind w:firstLine="425"/>
        <w:rPr>
          <w:szCs w:val="24"/>
        </w:rPr>
      </w:pPr>
      <w:r w:rsidRPr="00F24AD5">
        <w:rPr>
          <w:rStyle w:val="PromnnHTML"/>
          <w:i w:val="0"/>
          <w:szCs w:val="24"/>
        </w:rPr>
        <w:t>(1)</w:t>
      </w:r>
      <w:r w:rsidRPr="00615A2B">
        <w:rPr>
          <w:szCs w:val="24"/>
        </w:rPr>
        <w:t xml:space="preserve"> Výše vypořádacího podílu společníka, jenž ze společnosti s ručením omezeným vystoupil podle tohoto zákona, se stanoví na základě údajů z </w:t>
      </w:r>
      <w:r w:rsidRPr="00615A2B">
        <w:rPr>
          <w:strike/>
          <w:szCs w:val="24"/>
        </w:rPr>
        <w:t>konečné, řádné, mimořádné nebo mezitímní</w:t>
      </w:r>
      <w:r w:rsidRPr="00615A2B">
        <w:rPr>
          <w:szCs w:val="24"/>
        </w:rPr>
        <w:t xml:space="preserve"> </w:t>
      </w:r>
      <w:r w:rsidRPr="00615A2B">
        <w:rPr>
          <w:b/>
          <w:szCs w:val="24"/>
        </w:rPr>
        <w:t xml:space="preserve">individuální </w:t>
      </w:r>
      <w:r w:rsidRPr="00615A2B">
        <w:rPr>
          <w:szCs w:val="24"/>
        </w:rPr>
        <w:t>účetní závěrky sestavené ke dni předcházejícímu den zápisu změny právní formy do obchodního rejstříku, nestanoví-li společenská smlouva jinak.</w:t>
      </w:r>
    </w:p>
    <w:p w14:paraId="4CA7FE6D" w14:textId="77777777" w:rsidR="00615A2B" w:rsidRPr="00615A2B" w:rsidRDefault="00615A2B" w:rsidP="00CD43B5">
      <w:pPr>
        <w:pStyle w:val="Textodstavce"/>
        <w:ind w:firstLine="425"/>
        <w:rPr>
          <w:szCs w:val="24"/>
        </w:rPr>
      </w:pPr>
      <w:r w:rsidRPr="00F24AD5">
        <w:rPr>
          <w:rStyle w:val="PromnnHTML"/>
          <w:i w:val="0"/>
          <w:szCs w:val="24"/>
        </w:rPr>
        <w:t>(2)</w:t>
      </w:r>
      <w:r w:rsidRPr="00615A2B">
        <w:rPr>
          <w:szCs w:val="24"/>
        </w:rPr>
        <w:t xml:space="preserve"> Vypořádací podíl je splatný v době a způsobem určeným ve společenské smlouvě společnosti s ručením omezeným podle stavu ke dni zápisu změny právní formy do obchodního rejstříku.</w:t>
      </w:r>
    </w:p>
    <w:p w14:paraId="607B1B28" w14:textId="77777777" w:rsidR="0022762B" w:rsidRDefault="0022762B" w:rsidP="0022762B">
      <w:pPr>
        <w:pStyle w:val="Textparagrafu"/>
        <w:tabs>
          <w:tab w:val="left" w:pos="392"/>
          <w:tab w:val="left" w:pos="840"/>
        </w:tabs>
        <w:spacing w:after="120"/>
        <w:ind w:firstLine="0"/>
        <w:jc w:val="center"/>
      </w:pPr>
    </w:p>
    <w:p w14:paraId="0498EB56" w14:textId="77777777" w:rsidR="0022762B" w:rsidRDefault="0022762B">
      <w:pPr>
        <w:pStyle w:val="Textparagrafu"/>
        <w:tabs>
          <w:tab w:val="left" w:pos="392"/>
          <w:tab w:val="left" w:pos="840"/>
        </w:tabs>
        <w:spacing w:after="120"/>
        <w:ind w:firstLine="0"/>
        <w:jc w:val="center"/>
        <w:sectPr w:rsidR="0022762B" w:rsidSect="00D4546A">
          <w:footnotePr>
            <w:numStart w:val="3"/>
          </w:footnotePr>
          <w:endnotePr>
            <w:numFmt w:val="decimal"/>
          </w:endnotePr>
          <w:pgSz w:w="11906" w:h="16838"/>
          <w:pgMar w:top="1418" w:right="1418" w:bottom="1418" w:left="1418" w:header="709" w:footer="709" w:gutter="0"/>
          <w:cols w:space="708"/>
          <w:docGrid w:linePitch="360"/>
        </w:sectPr>
      </w:pPr>
    </w:p>
    <w:p w14:paraId="7988EF45" w14:textId="538BAFAD" w:rsidR="0022762B" w:rsidRPr="00DE29D4" w:rsidRDefault="0022762B" w:rsidP="00CD43B5">
      <w:pPr>
        <w:tabs>
          <w:tab w:val="left" w:pos="851"/>
        </w:tabs>
        <w:spacing w:before="120" w:after="120"/>
        <w:ind w:firstLine="0"/>
        <w:jc w:val="center"/>
        <w:outlineLvl w:val="0"/>
        <w:rPr>
          <w:szCs w:val="24"/>
        </w:rPr>
      </w:pPr>
      <w:r w:rsidRPr="00DE29D4">
        <w:rPr>
          <w:b/>
          <w:szCs w:val="24"/>
        </w:rPr>
        <w:lastRenderedPageBreak/>
        <w:t xml:space="preserve">K části devadesáté </w:t>
      </w:r>
      <w:r w:rsidR="00DE29D4" w:rsidRPr="00DE29D4">
        <w:rPr>
          <w:b/>
          <w:szCs w:val="24"/>
        </w:rPr>
        <w:t>sedmé</w:t>
      </w:r>
      <w:r w:rsidRPr="00DE29D4">
        <w:rPr>
          <w:b/>
          <w:szCs w:val="24"/>
        </w:rPr>
        <w:t xml:space="preserve"> návrhu zákona – </w:t>
      </w:r>
      <w:r w:rsidRPr="00DE29D4">
        <w:rPr>
          <w:szCs w:val="24"/>
        </w:rPr>
        <w:t>změna zákona</w:t>
      </w:r>
      <w:r w:rsidRPr="00DE29D4">
        <w:t xml:space="preserve"> </w:t>
      </w:r>
      <w:r w:rsidR="009C37A5" w:rsidRPr="00DE29D4">
        <w:rPr>
          <w:szCs w:val="24"/>
        </w:rPr>
        <w:t>o některých opatřeních proti legalizaci výnosů z trestné činnosti a financování terorismu</w:t>
      </w:r>
    </w:p>
    <w:p w14:paraId="155030A4" w14:textId="27C7F8B2" w:rsidR="0022762B" w:rsidRPr="00DE29D4" w:rsidRDefault="0022762B" w:rsidP="0022762B">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DE29D4">
        <w:rPr>
          <w:b/>
          <w:szCs w:val="24"/>
        </w:rPr>
        <w:t>Platné znění</w:t>
      </w:r>
      <w:r w:rsidRPr="00DE29D4">
        <w:rPr>
          <w:szCs w:val="24"/>
        </w:rPr>
        <w:t xml:space="preserve"> zákona č. 253/2008 Sb., o některých opatřeních proti legalizaci výnosů z trestné činnosti a financování terorismu</w:t>
      </w:r>
    </w:p>
    <w:p w14:paraId="40D6D6C2" w14:textId="3107454B" w:rsidR="0022762B" w:rsidRPr="00CD43B5" w:rsidRDefault="00CD43B5" w:rsidP="00CD43B5">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AE4818">
        <w:rPr>
          <w:b/>
          <w:szCs w:val="24"/>
          <w:lang w:eastAsia="en-US"/>
        </w:rPr>
        <w:t>s vyznačením navrhovaných změn a doplnění k 1. lednu 2025</w:t>
      </w:r>
    </w:p>
    <w:p w14:paraId="0CF99830" w14:textId="77777777" w:rsidR="0022762B" w:rsidRPr="00DE29D4" w:rsidRDefault="0022762B" w:rsidP="0022762B">
      <w:pPr>
        <w:pStyle w:val="Textparagrafu"/>
        <w:numPr>
          <w:ilvl w:val="0"/>
          <w:numId w:val="27"/>
        </w:numPr>
        <w:tabs>
          <w:tab w:val="left" w:pos="392"/>
          <w:tab w:val="left" w:pos="840"/>
        </w:tabs>
        <w:spacing w:after="120"/>
        <w:jc w:val="center"/>
      </w:pPr>
      <w:r w:rsidRPr="00DE29D4">
        <w:t>***</w:t>
      </w:r>
    </w:p>
    <w:p w14:paraId="2989B0D2" w14:textId="77777777" w:rsidR="00DE29D4" w:rsidRDefault="00DE29D4" w:rsidP="00992796">
      <w:pPr>
        <w:pStyle w:val="Paragraf"/>
        <w:numPr>
          <w:ilvl w:val="0"/>
          <w:numId w:val="39"/>
        </w:numPr>
        <w:spacing w:after="120"/>
      </w:pPr>
      <w:r>
        <w:t>§ 29c</w:t>
      </w:r>
    </w:p>
    <w:p w14:paraId="22512369" w14:textId="77777777" w:rsidR="00DE29D4" w:rsidRDefault="00DE29D4" w:rsidP="00CD43B5">
      <w:pPr>
        <w:pStyle w:val="Textodstavce"/>
        <w:ind w:firstLine="425"/>
      </w:pPr>
      <w:r>
        <w:t xml:space="preserve">(1) </w:t>
      </w:r>
      <w:r w:rsidRPr="002854F7">
        <w:t>Zřizuje se Úřad jako správní úřad se sídlem v Praze, který plní funkci finanční zpravodajské jednotky pro Českou republiku a je podřízen Ministerstvu financí.</w:t>
      </w:r>
    </w:p>
    <w:p w14:paraId="1DC832B0" w14:textId="77777777" w:rsidR="00DE29D4" w:rsidRDefault="00DE29D4" w:rsidP="00CD43B5">
      <w:pPr>
        <w:pStyle w:val="Textodstavce"/>
        <w:ind w:firstLine="425"/>
      </w:pPr>
      <w:r>
        <w:t xml:space="preserve">(2) </w:t>
      </w:r>
      <w:r w:rsidRPr="002854F7">
        <w:t>Úřad působí v oblastech činnosti upravených tímto a dalšími právními předpisy, včetně rozhodování o zahájení a způsobu ukončení šetření, o získávání, zpracování a sdílení informací a o provádění kontrol.</w:t>
      </w:r>
    </w:p>
    <w:p w14:paraId="244D3E9D" w14:textId="77777777" w:rsidR="00DE29D4" w:rsidRDefault="00DE29D4" w:rsidP="00CD43B5">
      <w:pPr>
        <w:pStyle w:val="Textodstavce"/>
        <w:ind w:firstLine="425"/>
      </w:pPr>
      <w:r>
        <w:t xml:space="preserve">(3) </w:t>
      </w:r>
      <w:r w:rsidRPr="002854F7">
        <w:t>Úřad při své činnosti uplatňuje taková organizační, personální a jiná opatření, která zaručují, že s informacemi získanými při jeho činnosti podle tohoto zákona nepřijde do styku nepovolaná osoba.</w:t>
      </w:r>
    </w:p>
    <w:p w14:paraId="4267DB1C" w14:textId="77777777" w:rsidR="00DE29D4" w:rsidRPr="001F7D16" w:rsidRDefault="00DE29D4" w:rsidP="00CD43B5">
      <w:pPr>
        <w:pStyle w:val="Textodstavce"/>
        <w:ind w:firstLine="425"/>
      </w:pPr>
      <w:r>
        <w:t xml:space="preserve">(4) </w:t>
      </w:r>
      <w:r w:rsidRPr="002854F7">
        <w:t xml:space="preserve">Činnost Úřadu materiálně, administrativně a finančně zajišťuje Ministerstvo financí. </w:t>
      </w:r>
      <w:r w:rsidRPr="001C4BB4">
        <w:rPr>
          <w:strike/>
        </w:rPr>
        <w:t>Úřad je účetní jednotkou; jeho příjmy a výdaje jsou součástí rozpočtové kapitoly Ministerstva financí.</w:t>
      </w:r>
      <w:r w:rsidRPr="001C4BB4">
        <w:t xml:space="preserve"> </w:t>
      </w:r>
      <w:r w:rsidRPr="001C4BB4">
        <w:rPr>
          <w:b/>
        </w:rPr>
        <w:t>Příjmy a výdaje Úřadu jsou součástí rozpočtové kapitoly Ministerstva financí.</w:t>
      </w:r>
    </w:p>
    <w:p w14:paraId="254DA55A" w14:textId="77777777" w:rsidR="00DE29D4" w:rsidRDefault="00DE29D4" w:rsidP="00992796">
      <w:pPr>
        <w:pStyle w:val="Paragraf"/>
        <w:numPr>
          <w:ilvl w:val="0"/>
          <w:numId w:val="64"/>
        </w:numPr>
        <w:spacing w:after="120"/>
      </w:pPr>
      <w:r>
        <w:t>***</w:t>
      </w:r>
    </w:p>
    <w:p w14:paraId="2ECD41EB" w14:textId="77777777" w:rsidR="00DE29D4" w:rsidRDefault="00DE29D4" w:rsidP="00992796">
      <w:pPr>
        <w:pStyle w:val="Paragraf"/>
        <w:numPr>
          <w:ilvl w:val="0"/>
          <w:numId w:val="64"/>
        </w:numPr>
        <w:spacing w:after="120"/>
      </w:pPr>
      <w:r>
        <w:t>§ 44</w:t>
      </w:r>
    </w:p>
    <w:p w14:paraId="13668E25" w14:textId="77777777" w:rsidR="00DE29D4" w:rsidRDefault="00DE29D4" w:rsidP="00DE29D4">
      <w:pPr>
        <w:pStyle w:val="Nadpisparagrafu"/>
        <w:spacing w:after="120"/>
      </w:pPr>
      <w:r w:rsidRPr="001F7D16">
        <w:t>Nesplnění povinností při identifikaci a kontrole klienta</w:t>
      </w:r>
    </w:p>
    <w:p w14:paraId="6067D6A4" w14:textId="77777777" w:rsidR="00DE29D4" w:rsidRDefault="00DE29D4" w:rsidP="00DE29D4">
      <w:pPr>
        <w:pStyle w:val="Textodstavce"/>
        <w:spacing w:before="240"/>
        <w:ind w:firstLine="425"/>
      </w:pPr>
      <w:r>
        <w:t xml:space="preserve">(1) </w:t>
      </w:r>
      <w:r w:rsidRPr="001F7D16">
        <w:t>Povinná osoba se dopustí přestupku tím, že</w:t>
      </w:r>
    </w:p>
    <w:p w14:paraId="0AA22A12" w14:textId="77777777" w:rsidR="00DE29D4" w:rsidRDefault="00DE29D4" w:rsidP="00DE29D4">
      <w:pPr>
        <w:pStyle w:val="Textparagrafu"/>
        <w:numPr>
          <w:ilvl w:val="0"/>
          <w:numId w:val="27"/>
        </w:numPr>
        <w:tabs>
          <w:tab w:val="left" w:pos="392"/>
          <w:tab w:val="left" w:pos="840"/>
        </w:tabs>
        <w:spacing w:before="0"/>
        <w:ind w:left="425" w:hanging="425"/>
      </w:pPr>
      <w:r>
        <w:t>a)</w:t>
      </w:r>
      <w:r>
        <w:tab/>
      </w:r>
      <w:r w:rsidRPr="001F7D16">
        <w:t>nesplní povinnost identifikace klienta,</w:t>
      </w:r>
    </w:p>
    <w:p w14:paraId="0A34BBE0" w14:textId="77777777" w:rsidR="00DE29D4" w:rsidRDefault="00DE29D4" w:rsidP="00DE29D4">
      <w:pPr>
        <w:pStyle w:val="Textparagrafu"/>
        <w:numPr>
          <w:ilvl w:val="0"/>
          <w:numId w:val="27"/>
        </w:numPr>
        <w:tabs>
          <w:tab w:val="left" w:pos="392"/>
          <w:tab w:val="left" w:pos="840"/>
        </w:tabs>
        <w:spacing w:before="0"/>
        <w:ind w:left="425" w:hanging="425"/>
      </w:pPr>
      <w:r>
        <w:t>b)</w:t>
      </w:r>
      <w:r>
        <w:tab/>
      </w:r>
      <w:r w:rsidRPr="001F7D16">
        <w:t>nesplní povinnost kontroly klienta,</w:t>
      </w:r>
    </w:p>
    <w:p w14:paraId="241830DB" w14:textId="77777777" w:rsidR="00DE29D4" w:rsidRDefault="00DE29D4" w:rsidP="00DE29D4">
      <w:pPr>
        <w:pStyle w:val="Textparagrafu"/>
        <w:numPr>
          <w:ilvl w:val="0"/>
          <w:numId w:val="27"/>
        </w:numPr>
        <w:tabs>
          <w:tab w:val="left" w:pos="392"/>
          <w:tab w:val="left" w:pos="840"/>
        </w:tabs>
        <w:spacing w:before="0"/>
        <w:ind w:left="425" w:hanging="425"/>
      </w:pPr>
      <w:r>
        <w:t>c)</w:t>
      </w:r>
      <w:r>
        <w:tab/>
      </w:r>
      <w:r w:rsidRPr="001F7D16">
        <w:t>poruší zákaz uskutečnit obchod nebo navázat obchodní vztah podle § 15, nebo</w:t>
      </w:r>
    </w:p>
    <w:p w14:paraId="4F17090A" w14:textId="77777777" w:rsidR="00DE29D4" w:rsidRDefault="00DE29D4" w:rsidP="00DE29D4">
      <w:pPr>
        <w:pStyle w:val="Textparagrafu"/>
        <w:numPr>
          <w:ilvl w:val="0"/>
          <w:numId w:val="27"/>
        </w:numPr>
        <w:tabs>
          <w:tab w:val="left" w:pos="392"/>
          <w:tab w:val="left" w:pos="840"/>
        </w:tabs>
        <w:spacing w:before="0"/>
        <w:ind w:left="425" w:hanging="425"/>
      </w:pPr>
      <w:r>
        <w:t>d)</w:t>
      </w:r>
      <w:r>
        <w:tab/>
      </w:r>
      <w:r w:rsidRPr="001F7D16">
        <w:t>nesplní povinnost uchovávat údaje.</w:t>
      </w:r>
    </w:p>
    <w:p w14:paraId="41C2A969" w14:textId="77777777" w:rsidR="00DE29D4" w:rsidRDefault="00DE29D4" w:rsidP="00CD43B5">
      <w:pPr>
        <w:pStyle w:val="Textodstavce"/>
        <w:ind w:firstLine="425"/>
      </w:pPr>
      <w:r>
        <w:t xml:space="preserve">(2) </w:t>
      </w:r>
      <w:r w:rsidRPr="00BF06DC">
        <w:t>Povinná osoba se dopustí přestupku tím, že nesplní povinnost postupovat v souladu s pokynem Úřadu podle § 9b písm. b).</w:t>
      </w:r>
    </w:p>
    <w:p w14:paraId="63EA06BF" w14:textId="77777777" w:rsidR="00DE29D4" w:rsidRDefault="00DE29D4" w:rsidP="00CD43B5">
      <w:pPr>
        <w:pStyle w:val="Textodstavce"/>
        <w:ind w:firstLine="425"/>
      </w:pPr>
      <w:r>
        <w:t xml:space="preserve">(3) </w:t>
      </w:r>
      <w:r w:rsidRPr="001F7D16">
        <w:t>Za přestupek podle odstavce 1 lze uložit pokutu do 10 000 000 Kč.</w:t>
      </w:r>
    </w:p>
    <w:p w14:paraId="2411B2EB" w14:textId="77777777" w:rsidR="00DE29D4" w:rsidRDefault="00DE29D4" w:rsidP="00CD43B5">
      <w:pPr>
        <w:pStyle w:val="Textodstavce"/>
        <w:ind w:firstLine="425"/>
      </w:pPr>
      <w:r>
        <w:t xml:space="preserve">(4) </w:t>
      </w:r>
      <w:r w:rsidRPr="001F7D16">
        <w:t>Za přestupek podle odstavce 1, který byl spáchán závažně, opakovaně, nebo byl páchán soustavně, lze uložit</w:t>
      </w:r>
    </w:p>
    <w:p w14:paraId="56099991" w14:textId="77777777" w:rsidR="00DE29D4" w:rsidRDefault="00DE29D4" w:rsidP="00DE29D4">
      <w:pPr>
        <w:pStyle w:val="Textparagrafu"/>
        <w:numPr>
          <w:ilvl w:val="0"/>
          <w:numId w:val="27"/>
        </w:numPr>
        <w:tabs>
          <w:tab w:val="left" w:pos="392"/>
          <w:tab w:val="left" w:pos="840"/>
        </w:tabs>
        <w:spacing w:before="0"/>
        <w:ind w:left="425" w:hanging="425"/>
      </w:pPr>
      <w:r>
        <w:t>a)</w:t>
      </w:r>
      <w:r>
        <w:tab/>
      </w:r>
      <w:r w:rsidRPr="001F7D16">
        <w:t>pokutu do výše dvojnásobku neoprávněně získaného prospěchu nebo do 30 000 000 Kč, podle toho, která z těchto hodnot je vyšší,</w:t>
      </w:r>
    </w:p>
    <w:p w14:paraId="4955325B" w14:textId="77777777" w:rsidR="00DE29D4" w:rsidRDefault="00DE29D4" w:rsidP="00DE29D4">
      <w:pPr>
        <w:pStyle w:val="Textparagrafu"/>
        <w:numPr>
          <w:ilvl w:val="0"/>
          <w:numId w:val="27"/>
        </w:numPr>
        <w:tabs>
          <w:tab w:val="left" w:pos="392"/>
          <w:tab w:val="left" w:pos="840"/>
        </w:tabs>
        <w:spacing w:before="0"/>
        <w:ind w:left="425" w:hanging="425"/>
      </w:pPr>
      <w:r>
        <w:t>b)</w:t>
      </w:r>
      <w:r>
        <w:tab/>
      </w:r>
      <w:r w:rsidRPr="001F7D16">
        <w:t>pokutu do výše dvojnásobku neoprávněně získaného prospěchu nebo do 130 000 000 Kč, podle toho, která z těchto hodnot je vyšší, je-li pachatelem finanční instituce,</w:t>
      </w:r>
    </w:p>
    <w:p w14:paraId="6479AF5D" w14:textId="77777777" w:rsidR="00DE29D4" w:rsidRDefault="00DE29D4" w:rsidP="00DE29D4">
      <w:pPr>
        <w:pStyle w:val="Textparagrafu"/>
        <w:numPr>
          <w:ilvl w:val="0"/>
          <w:numId w:val="27"/>
        </w:numPr>
        <w:tabs>
          <w:tab w:val="left" w:pos="392"/>
          <w:tab w:val="left" w:pos="840"/>
        </w:tabs>
        <w:spacing w:before="0"/>
        <w:ind w:left="425" w:hanging="425"/>
      </w:pPr>
      <w:r>
        <w:t>c)</w:t>
      </w:r>
      <w:r>
        <w:tab/>
      </w:r>
      <w:r w:rsidRPr="001F7D16">
        <w:t xml:space="preserve">pokutu do výše dvojnásobku neoprávněně získaného prospěchu, do výše 130 000 000 Kč </w:t>
      </w:r>
      <w:r w:rsidRPr="001C4BB4">
        <w:t xml:space="preserve">nebo do výše 10 % čistého ročního obratu dosaženého pachatelem podle poslední řádné </w:t>
      </w:r>
      <w:r w:rsidRPr="001C4BB4">
        <w:rPr>
          <w:b/>
        </w:rPr>
        <w:lastRenderedPageBreak/>
        <w:t xml:space="preserve">individuální </w:t>
      </w:r>
      <w:r w:rsidRPr="001C4BB4">
        <w:t xml:space="preserve">účetní závěrky, podle toho, která z těchto hodnot </w:t>
      </w:r>
      <w:r w:rsidRPr="001F7D16">
        <w:t>je vyšší, je-li pachatelem úvěrová nebo finanční instituce, která je právnickou osobou,</w:t>
      </w:r>
    </w:p>
    <w:p w14:paraId="2B49689D" w14:textId="77777777" w:rsidR="00DE29D4" w:rsidRDefault="00DE29D4" w:rsidP="00DE29D4">
      <w:pPr>
        <w:pStyle w:val="Textparagrafu"/>
        <w:numPr>
          <w:ilvl w:val="0"/>
          <w:numId w:val="27"/>
        </w:numPr>
        <w:tabs>
          <w:tab w:val="left" w:pos="392"/>
          <w:tab w:val="left" w:pos="840"/>
        </w:tabs>
        <w:spacing w:before="0"/>
        <w:ind w:left="425" w:hanging="425"/>
      </w:pPr>
      <w:r>
        <w:t>d)</w:t>
      </w:r>
      <w:r>
        <w:tab/>
      </w:r>
      <w:r w:rsidRPr="001F7D16">
        <w:t xml:space="preserve">pokutu do výše dvojnásobku neoprávněně získaného prospěchu, do výše 130 000 000 Kč nebo do výše 10 % čistého ročního obratu dosaženého podle </w:t>
      </w:r>
      <w:r w:rsidRPr="001C4BB4">
        <w:t xml:space="preserve">poslední </w:t>
      </w:r>
      <w:r w:rsidRPr="001C4BB4">
        <w:rPr>
          <w:b/>
        </w:rPr>
        <w:t>řádné</w:t>
      </w:r>
      <w:r w:rsidRPr="001C4BB4">
        <w:t xml:space="preserve"> </w:t>
      </w:r>
      <w:r w:rsidRPr="001F7D16">
        <w:t xml:space="preserve">konsolidované účetní závěrky </w:t>
      </w:r>
      <w:r w:rsidRPr="005813C9">
        <w:t>konsolidačním celkem</w:t>
      </w:r>
      <w:r w:rsidRPr="001F7D16">
        <w:t>, do kterého</w:t>
      </w:r>
      <w:r>
        <w:t xml:space="preserve"> </w:t>
      </w:r>
      <w:r w:rsidRPr="001F7D16">
        <w:t>je pachatel zahrnut, podle toho, která z těchto hodnot je vyšší, je-li pachatelem úvěrová nebo finanční instituce, která je právnickou osobou zahrnutou do konsolidačního celku,</w:t>
      </w:r>
    </w:p>
    <w:p w14:paraId="3A3F231B" w14:textId="77777777" w:rsidR="00DE29D4" w:rsidRDefault="00DE29D4" w:rsidP="00DE29D4">
      <w:pPr>
        <w:pStyle w:val="Textparagrafu"/>
        <w:numPr>
          <w:ilvl w:val="0"/>
          <w:numId w:val="27"/>
        </w:numPr>
        <w:tabs>
          <w:tab w:val="left" w:pos="392"/>
          <w:tab w:val="left" w:pos="840"/>
        </w:tabs>
        <w:spacing w:before="0"/>
        <w:ind w:left="425" w:hanging="425"/>
      </w:pPr>
      <w:r>
        <w:t>e)</w:t>
      </w:r>
      <w:r>
        <w:tab/>
      </w:r>
      <w:r w:rsidRPr="001F7D16">
        <w:t>zákaz činnosti, nebo</w:t>
      </w:r>
    </w:p>
    <w:p w14:paraId="23329502" w14:textId="77777777" w:rsidR="00DE29D4" w:rsidRDefault="00DE29D4" w:rsidP="00DE29D4">
      <w:pPr>
        <w:pStyle w:val="Textparagrafu"/>
        <w:numPr>
          <w:ilvl w:val="0"/>
          <w:numId w:val="27"/>
        </w:numPr>
        <w:tabs>
          <w:tab w:val="left" w:pos="392"/>
          <w:tab w:val="left" w:pos="840"/>
        </w:tabs>
        <w:spacing w:before="0"/>
        <w:ind w:left="425" w:hanging="425"/>
      </w:pPr>
      <w:r>
        <w:t>f)</w:t>
      </w:r>
      <w:r>
        <w:tab/>
      </w:r>
      <w:r w:rsidRPr="001F7D16">
        <w:t>zveřejnění rozhodnutí o přestupku</w:t>
      </w:r>
      <w:r>
        <w:t>.</w:t>
      </w:r>
    </w:p>
    <w:p w14:paraId="668B2B2A" w14:textId="77777777" w:rsidR="00DE29D4" w:rsidRDefault="00DE29D4" w:rsidP="00DE29D4">
      <w:pPr>
        <w:pStyle w:val="Textodstavce"/>
        <w:spacing w:before="240"/>
        <w:ind w:firstLine="425"/>
      </w:pPr>
      <w:r>
        <w:t>(5) Za přestupek podle odstavce 2 lze uložit pokutu do</w:t>
      </w:r>
    </w:p>
    <w:p w14:paraId="0403E85E" w14:textId="77777777" w:rsidR="00DE29D4" w:rsidRDefault="00DE29D4" w:rsidP="00DE29D4">
      <w:pPr>
        <w:pStyle w:val="Textparagrafu"/>
        <w:numPr>
          <w:ilvl w:val="0"/>
          <w:numId w:val="27"/>
        </w:numPr>
        <w:tabs>
          <w:tab w:val="left" w:pos="392"/>
          <w:tab w:val="left" w:pos="840"/>
        </w:tabs>
        <w:spacing w:before="0"/>
        <w:ind w:left="425" w:hanging="425"/>
      </w:pPr>
      <w:r>
        <w:t xml:space="preserve">a) </w:t>
      </w:r>
      <w:r>
        <w:tab/>
        <w:t>200 000 Kč, nebo</w:t>
      </w:r>
    </w:p>
    <w:p w14:paraId="24F6062A" w14:textId="77777777" w:rsidR="00DE29D4" w:rsidRDefault="00DE29D4" w:rsidP="00DE29D4">
      <w:pPr>
        <w:pStyle w:val="Textparagrafu"/>
        <w:numPr>
          <w:ilvl w:val="0"/>
          <w:numId w:val="27"/>
        </w:numPr>
        <w:tabs>
          <w:tab w:val="left" w:pos="392"/>
          <w:tab w:val="left" w:pos="840"/>
        </w:tabs>
        <w:spacing w:before="0"/>
        <w:ind w:left="425" w:hanging="425"/>
      </w:pPr>
      <w:r>
        <w:t xml:space="preserve">b) </w:t>
      </w:r>
      <w:r>
        <w:tab/>
        <w:t>1 000 000 Kč, jestliže bylo tímto jednáním znemožněno nebo ztíženo zajištění nebo odčerpání výnosu z trestné činnosti nebo umožněno financování terorismu.</w:t>
      </w:r>
    </w:p>
    <w:p w14:paraId="0D572C96" w14:textId="77777777" w:rsidR="00DE29D4" w:rsidRDefault="00DE29D4" w:rsidP="00992796">
      <w:pPr>
        <w:pStyle w:val="Paragraf"/>
        <w:numPr>
          <w:ilvl w:val="0"/>
          <w:numId w:val="64"/>
        </w:numPr>
        <w:spacing w:after="120"/>
      </w:pPr>
      <w:r>
        <w:t>§ 45</w:t>
      </w:r>
    </w:p>
    <w:p w14:paraId="64563A3A" w14:textId="77777777" w:rsidR="00DE29D4" w:rsidRDefault="00DE29D4" w:rsidP="00DE29D4">
      <w:pPr>
        <w:pStyle w:val="Nadpisparagrafu"/>
        <w:spacing w:after="120"/>
      </w:pPr>
      <w:r w:rsidRPr="00FA28C9">
        <w:t>Nesplnění informační povinnosti</w:t>
      </w:r>
    </w:p>
    <w:p w14:paraId="5B04A4B3" w14:textId="77777777" w:rsidR="00DE29D4" w:rsidRDefault="00DE29D4" w:rsidP="00DE29D4">
      <w:pPr>
        <w:pStyle w:val="Textodstavce"/>
        <w:spacing w:before="240"/>
        <w:ind w:firstLine="425"/>
      </w:pPr>
      <w:r>
        <w:t xml:space="preserve">(1) </w:t>
      </w:r>
      <w:r w:rsidRPr="00FA28C9">
        <w:t>Povinná osoba se dopustí přestupku tím, že</w:t>
      </w:r>
    </w:p>
    <w:p w14:paraId="5C2F5ADD" w14:textId="77777777" w:rsidR="00DE29D4" w:rsidRDefault="00DE29D4" w:rsidP="00992796">
      <w:pPr>
        <w:pStyle w:val="Textpsmene"/>
        <w:numPr>
          <w:ilvl w:val="3"/>
          <w:numId w:val="64"/>
        </w:numPr>
        <w:spacing w:before="0"/>
      </w:pPr>
      <w:r w:rsidRPr="00FA28C9">
        <w:t>nesplní informační povinnost podle § 24 odst. 1, nebo</w:t>
      </w:r>
    </w:p>
    <w:p w14:paraId="1FBDC972" w14:textId="77777777" w:rsidR="00DE29D4" w:rsidRDefault="00DE29D4" w:rsidP="00992796">
      <w:pPr>
        <w:pStyle w:val="Textpsmene"/>
        <w:numPr>
          <w:ilvl w:val="3"/>
          <w:numId w:val="64"/>
        </w:numPr>
        <w:spacing w:before="0"/>
      </w:pPr>
      <w:r w:rsidRPr="00FA28C9">
        <w:t>nesplní informační povinnost podle § 24 odst. 3.</w:t>
      </w:r>
    </w:p>
    <w:p w14:paraId="4EE5E93D" w14:textId="77777777" w:rsidR="00DE29D4" w:rsidRDefault="00DE29D4" w:rsidP="00CD43B5">
      <w:pPr>
        <w:pStyle w:val="Textodstavce"/>
        <w:ind w:firstLine="425"/>
      </w:pPr>
      <w:r>
        <w:t xml:space="preserve">(2) </w:t>
      </w:r>
      <w:r w:rsidRPr="00FA28C9">
        <w:t>Za přestupek podle odstavce 1 lze uložit pokutu do 10 000 000 Kč.</w:t>
      </w:r>
    </w:p>
    <w:p w14:paraId="6531A64B" w14:textId="77777777" w:rsidR="00DE29D4" w:rsidRDefault="00DE29D4" w:rsidP="00CD43B5">
      <w:pPr>
        <w:pStyle w:val="Textodstavce"/>
        <w:ind w:firstLine="425"/>
      </w:pPr>
      <w:r>
        <w:t xml:space="preserve">(3) </w:t>
      </w:r>
      <w:r w:rsidRPr="00FA28C9">
        <w:t>Za přestupek podle odstavce 1 písm. a), který byl spáchán závažně, opakovaně, nebo byl páchán soustavně, lze uložit</w:t>
      </w:r>
    </w:p>
    <w:p w14:paraId="3CC582FB" w14:textId="77777777" w:rsidR="00DE29D4" w:rsidRDefault="00DE29D4" w:rsidP="00DE29D4">
      <w:pPr>
        <w:pStyle w:val="Textparagrafu"/>
        <w:numPr>
          <w:ilvl w:val="0"/>
          <w:numId w:val="27"/>
        </w:numPr>
        <w:tabs>
          <w:tab w:val="left" w:pos="392"/>
          <w:tab w:val="left" w:pos="840"/>
        </w:tabs>
        <w:spacing w:before="0"/>
        <w:ind w:left="425" w:hanging="425"/>
      </w:pPr>
      <w:r>
        <w:t>a)</w:t>
      </w:r>
      <w:r>
        <w:tab/>
      </w:r>
      <w:r w:rsidRPr="00FA28C9">
        <w:t>pokutu do výše dvojnásobku neoprávněně získaného prospěchu nebo do 30 000 000 Kč, podle toho, která z těchto hodnot je vyšší,</w:t>
      </w:r>
    </w:p>
    <w:p w14:paraId="003EBB11" w14:textId="77777777" w:rsidR="00DE29D4" w:rsidRDefault="00DE29D4" w:rsidP="00DE29D4">
      <w:pPr>
        <w:pStyle w:val="Textparagrafu"/>
        <w:numPr>
          <w:ilvl w:val="0"/>
          <w:numId w:val="27"/>
        </w:numPr>
        <w:tabs>
          <w:tab w:val="left" w:pos="392"/>
          <w:tab w:val="left" w:pos="840"/>
        </w:tabs>
        <w:spacing w:before="0"/>
        <w:ind w:left="425" w:hanging="425"/>
      </w:pPr>
      <w:r>
        <w:t>b)</w:t>
      </w:r>
      <w:r>
        <w:tab/>
      </w:r>
      <w:r w:rsidRPr="00FA28C9">
        <w:t>pokutu do výše dvojnásobku neoprávněně získaného prospěchu nebo do 130 000 000 Kč, podle toho, která z těchto hodnot je vyšší, je-li pachatelem finanční instituce,</w:t>
      </w:r>
    </w:p>
    <w:p w14:paraId="019B3387" w14:textId="77777777" w:rsidR="00DE29D4" w:rsidRDefault="00DE29D4" w:rsidP="00DE29D4">
      <w:pPr>
        <w:pStyle w:val="Textparagrafu"/>
        <w:numPr>
          <w:ilvl w:val="0"/>
          <w:numId w:val="27"/>
        </w:numPr>
        <w:tabs>
          <w:tab w:val="left" w:pos="392"/>
          <w:tab w:val="left" w:pos="840"/>
        </w:tabs>
        <w:spacing w:before="0"/>
        <w:ind w:left="425" w:hanging="425"/>
      </w:pPr>
      <w:r>
        <w:t>c)</w:t>
      </w:r>
      <w:r>
        <w:tab/>
      </w:r>
      <w:r w:rsidRPr="001C4BB4">
        <w:t xml:space="preserve">pokutu do výše dvojnásobku neoprávněně získaného prospěchu, do výše 130 000 000 Kč nebo do výše 10 % čistého ročního obratu dosaženého pachatelem podle poslední řádné </w:t>
      </w:r>
      <w:r w:rsidRPr="001C4BB4">
        <w:rPr>
          <w:b/>
        </w:rPr>
        <w:t xml:space="preserve">individuální </w:t>
      </w:r>
      <w:r w:rsidRPr="00FA28C9">
        <w:t>účetní závěrky, podle toho, která z těchto hodnot je vyšší, je-li pachatelem úvěrová nebo finanční instituce, která je právnickou osobou,</w:t>
      </w:r>
    </w:p>
    <w:p w14:paraId="3A1465F0" w14:textId="77777777" w:rsidR="00DE29D4" w:rsidRDefault="00DE29D4" w:rsidP="00DE29D4">
      <w:pPr>
        <w:pStyle w:val="Textparagrafu"/>
        <w:numPr>
          <w:ilvl w:val="0"/>
          <w:numId w:val="27"/>
        </w:numPr>
        <w:tabs>
          <w:tab w:val="left" w:pos="392"/>
          <w:tab w:val="left" w:pos="840"/>
        </w:tabs>
        <w:spacing w:before="0"/>
        <w:ind w:left="425" w:hanging="425"/>
      </w:pPr>
      <w:r>
        <w:t>d)</w:t>
      </w:r>
      <w:r>
        <w:tab/>
      </w:r>
      <w:r w:rsidRPr="00FA28C9">
        <w:t>pokutu do výše dvojnásobku neoprávněně získaného prospěchu, do výše 130 000 000 Kč nebo do výše 10 % čistého ročního obratu dosaženého podle poslední</w:t>
      </w:r>
      <w:r>
        <w:t xml:space="preserve"> </w:t>
      </w:r>
      <w:r w:rsidRPr="00BF06DC">
        <w:rPr>
          <w:b/>
        </w:rPr>
        <w:t>řádné</w:t>
      </w:r>
      <w:r w:rsidRPr="00BF06DC">
        <w:t xml:space="preserve"> </w:t>
      </w:r>
      <w:r w:rsidRPr="00FA28C9">
        <w:t>konsolidované účetní závěrky konsolidačním celkem, do kterého je pachatel zahrnut, podle toho, která z těchto hodnot je vyšší, je-li pachatelem úvěrová nebo finanční instituce, která je právnickou osobou zahrnutou do konsolidačního celku,</w:t>
      </w:r>
    </w:p>
    <w:p w14:paraId="3B976A43" w14:textId="77777777" w:rsidR="00DE29D4" w:rsidRDefault="00DE29D4" w:rsidP="00DE29D4">
      <w:pPr>
        <w:pStyle w:val="Textparagrafu"/>
        <w:numPr>
          <w:ilvl w:val="0"/>
          <w:numId w:val="27"/>
        </w:numPr>
        <w:tabs>
          <w:tab w:val="left" w:pos="392"/>
          <w:tab w:val="left" w:pos="840"/>
        </w:tabs>
        <w:spacing w:before="0"/>
        <w:ind w:left="425" w:hanging="425"/>
      </w:pPr>
      <w:r>
        <w:t>e)</w:t>
      </w:r>
      <w:r>
        <w:tab/>
      </w:r>
      <w:r w:rsidRPr="00FA28C9">
        <w:t>zákaz činnosti, nebo</w:t>
      </w:r>
    </w:p>
    <w:p w14:paraId="3AD462BC" w14:textId="77777777" w:rsidR="00DE29D4" w:rsidRPr="002854F7" w:rsidRDefault="00DE29D4" w:rsidP="00DE29D4">
      <w:pPr>
        <w:pStyle w:val="Textparagrafu"/>
        <w:numPr>
          <w:ilvl w:val="0"/>
          <w:numId w:val="27"/>
        </w:numPr>
        <w:tabs>
          <w:tab w:val="left" w:pos="392"/>
          <w:tab w:val="left" w:pos="840"/>
        </w:tabs>
        <w:spacing w:before="0"/>
        <w:ind w:left="425" w:hanging="425"/>
      </w:pPr>
      <w:r>
        <w:t>f)</w:t>
      </w:r>
      <w:r>
        <w:tab/>
      </w:r>
      <w:r w:rsidRPr="00FA28C9">
        <w:t>zveřejnění rozhodnutí o přestupku.</w:t>
      </w:r>
    </w:p>
    <w:p w14:paraId="00DC8A56" w14:textId="77777777" w:rsidR="00DE29D4" w:rsidRDefault="00DE29D4" w:rsidP="00992796">
      <w:pPr>
        <w:pStyle w:val="Paragraf"/>
        <w:numPr>
          <w:ilvl w:val="0"/>
          <w:numId w:val="64"/>
        </w:numPr>
        <w:spacing w:after="120"/>
      </w:pPr>
      <w:r>
        <w:t>§ 46</w:t>
      </w:r>
    </w:p>
    <w:p w14:paraId="27B3B606" w14:textId="77777777" w:rsidR="00DE29D4" w:rsidRDefault="00DE29D4" w:rsidP="00DE29D4">
      <w:pPr>
        <w:pStyle w:val="Nadpisparagrafu"/>
        <w:spacing w:after="120"/>
      </w:pPr>
      <w:r w:rsidRPr="00A959ED">
        <w:t>Nesplnění oznamovací povinnosti</w:t>
      </w:r>
    </w:p>
    <w:p w14:paraId="345AC12C" w14:textId="77777777" w:rsidR="00DE29D4" w:rsidRDefault="00DE29D4" w:rsidP="00CD43B5">
      <w:pPr>
        <w:pStyle w:val="Textodstavce"/>
        <w:ind w:firstLine="425"/>
      </w:pPr>
      <w:r>
        <w:t xml:space="preserve">(1) </w:t>
      </w:r>
      <w:r w:rsidRPr="00A959ED">
        <w:t>Povinná osoba se dopustí přestupku tím, že neoznámí Úřadu podezřelý obchod podle § 18 odst. 1.</w:t>
      </w:r>
    </w:p>
    <w:p w14:paraId="18B194C8" w14:textId="77777777" w:rsidR="00DE29D4" w:rsidRDefault="00DE29D4" w:rsidP="00CD43B5">
      <w:pPr>
        <w:pStyle w:val="Textodstavce"/>
        <w:ind w:firstLine="425"/>
      </w:pPr>
      <w:r>
        <w:lastRenderedPageBreak/>
        <w:t xml:space="preserve">(2) </w:t>
      </w:r>
      <w:r w:rsidRPr="00A959ED">
        <w:t>Povinná osoba, které je v § 22 odst. 1 uložena povinnost informovat Úřad o určení kontaktní osoby, se dopustí přestupku tím, že neinformuje o určení kontaktní osoby, nebo o následných změnách ve stanovené lhůtě.</w:t>
      </w:r>
    </w:p>
    <w:p w14:paraId="6FA58C0A" w14:textId="77777777" w:rsidR="00DE29D4" w:rsidRDefault="00DE29D4" w:rsidP="00CD43B5">
      <w:pPr>
        <w:pStyle w:val="Textodstavce"/>
        <w:ind w:firstLine="425"/>
      </w:pPr>
      <w:r>
        <w:t xml:space="preserve">(3) </w:t>
      </w:r>
      <w:r w:rsidRPr="00A959ED">
        <w:t>Za přestupek podle odstavce 2 lze uložit pokutu do 1 000 000 Kč.</w:t>
      </w:r>
    </w:p>
    <w:p w14:paraId="3CFA59DA" w14:textId="77777777" w:rsidR="00DE29D4" w:rsidRDefault="00DE29D4" w:rsidP="00CD43B5">
      <w:pPr>
        <w:pStyle w:val="Textodstavce"/>
        <w:ind w:firstLine="425"/>
      </w:pPr>
      <w:r>
        <w:t xml:space="preserve">(4) </w:t>
      </w:r>
      <w:r w:rsidRPr="00A959ED">
        <w:t>Za přestupek podle odstavce 1 lze uložit pokutu do 5 000 000 Kč.</w:t>
      </w:r>
    </w:p>
    <w:p w14:paraId="6B55C5F4" w14:textId="77777777" w:rsidR="00DE29D4" w:rsidRDefault="00DE29D4" w:rsidP="00CD43B5">
      <w:pPr>
        <w:pStyle w:val="Textodstavce"/>
        <w:ind w:firstLine="425"/>
      </w:pPr>
      <w:r>
        <w:t xml:space="preserve">(5) </w:t>
      </w:r>
      <w:r w:rsidRPr="00A959ED">
        <w:t>Za přestupek podle odstavce 1, který byl spáchán závažně, opakovaně, nebo byl páchán soustavně, lze uložit</w:t>
      </w:r>
    </w:p>
    <w:p w14:paraId="5497FF9A" w14:textId="77777777" w:rsidR="00DE29D4" w:rsidRDefault="00DE29D4" w:rsidP="00DE29D4">
      <w:pPr>
        <w:pStyle w:val="Textparagrafu"/>
        <w:numPr>
          <w:ilvl w:val="0"/>
          <w:numId w:val="27"/>
        </w:numPr>
        <w:tabs>
          <w:tab w:val="left" w:pos="392"/>
          <w:tab w:val="left" w:pos="840"/>
        </w:tabs>
        <w:spacing w:before="0"/>
        <w:ind w:left="425" w:hanging="425"/>
      </w:pPr>
      <w:r>
        <w:t>a)</w:t>
      </w:r>
      <w:r>
        <w:tab/>
      </w:r>
      <w:r w:rsidRPr="00A959ED">
        <w:t>pokutu do výše dvojnásobku neoprávněně získaného prospěchu nebo do 30 000 000 Kč, podle toho, která z těchto hodnot je vyšší,</w:t>
      </w:r>
    </w:p>
    <w:p w14:paraId="66358864" w14:textId="77777777" w:rsidR="00DE29D4" w:rsidRDefault="00DE29D4" w:rsidP="00DE29D4">
      <w:pPr>
        <w:pStyle w:val="Textparagrafu"/>
        <w:numPr>
          <w:ilvl w:val="0"/>
          <w:numId w:val="27"/>
        </w:numPr>
        <w:tabs>
          <w:tab w:val="left" w:pos="392"/>
          <w:tab w:val="left" w:pos="840"/>
        </w:tabs>
        <w:spacing w:before="0"/>
        <w:ind w:left="425" w:hanging="425"/>
      </w:pPr>
      <w:r>
        <w:t>b)</w:t>
      </w:r>
      <w:r>
        <w:tab/>
      </w:r>
      <w:r w:rsidRPr="00A959ED">
        <w:t>pokutu do výše dvojnásobku neoprávněně získaného prospěchu nebo do 130 000 000 Kč, podle toho, která z těchto hodnot je vyšší, je-li pachatelem finanční instituce,</w:t>
      </w:r>
    </w:p>
    <w:p w14:paraId="2EBE4F2D" w14:textId="77777777" w:rsidR="00DE29D4" w:rsidRPr="001C4BB4" w:rsidRDefault="00DE29D4" w:rsidP="00DE29D4">
      <w:pPr>
        <w:pStyle w:val="Textparagrafu"/>
        <w:numPr>
          <w:ilvl w:val="0"/>
          <w:numId w:val="27"/>
        </w:numPr>
        <w:tabs>
          <w:tab w:val="left" w:pos="392"/>
          <w:tab w:val="left" w:pos="840"/>
        </w:tabs>
        <w:spacing w:before="0"/>
        <w:ind w:left="425" w:hanging="425"/>
      </w:pPr>
      <w:r>
        <w:t>c)</w:t>
      </w:r>
      <w:r>
        <w:tab/>
      </w:r>
      <w:r w:rsidRPr="00A959ED">
        <w:t xml:space="preserve">pokutu do výše dvojnásobku neoprávněně získaného prospěchu, do výše 130 000 000 Kč nebo do výše 10 % čistého ročního obratu dosaženého pachatelem podle </w:t>
      </w:r>
      <w:r w:rsidRPr="001C4BB4">
        <w:t xml:space="preserve">poslední řádné </w:t>
      </w:r>
      <w:r w:rsidRPr="001C4BB4">
        <w:rPr>
          <w:b/>
        </w:rPr>
        <w:t xml:space="preserve">individuální </w:t>
      </w:r>
      <w:r w:rsidRPr="001C4BB4">
        <w:t>účetní závěrky, podle toho, která z těchto hodnot je vyšší, je-li pachatelem úvěrová nebo finanční instituce, která je právnickou osobou,</w:t>
      </w:r>
    </w:p>
    <w:p w14:paraId="55F04BEF" w14:textId="77777777" w:rsidR="00DE29D4" w:rsidRDefault="00DE29D4" w:rsidP="00DE29D4">
      <w:pPr>
        <w:pStyle w:val="Textparagrafu"/>
        <w:numPr>
          <w:ilvl w:val="0"/>
          <w:numId w:val="27"/>
        </w:numPr>
        <w:tabs>
          <w:tab w:val="left" w:pos="392"/>
          <w:tab w:val="left" w:pos="840"/>
        </w:tabs>
        <w:spacing w:before="0"/>
        <w:ind w:left="425" w:hanging="425"/>
      </w:pPr>
      <w:r w:rsidRPr="001C4BB4">
        <w:t>d)</w:t>
      </w:r>
      <w:r w:rsidRPr="001C4BB4">
        <w:tab/>
        <w:t xml:space="preserve">pokutu do výše dvojnásobku neoprávněně získaného prospěchu, do výše 130 000 000 Kč nebo do výše 10 % čistého ročního obratu dosaženého podle poslední </w:t>
      </w:r>
      <w:r w:rsidRPr="001C4BB4">
        <w:rPr>
          <w:b/>
        </w:rPr>
        <w:t xml:space="preserve">řádné </w:t>
      </w:r>
      <w:r w:rsidRPr="001C4BB4">
        <w:t xml:space="preserve">konsolidované </w:t>
      </w:r>
      <w:r w:rsidRPr="00A959ED">
        <w:t>účetní závěrky konsolidačním celkem, do kterého je pachatel zahrnut, podle toho, která z těchto hodnot je vyšší, je-li pachatelem úvěrová nebo finanční instituce, která je právnickou osobou zahrnutou do konsolidačního celku,</w:t>
      </w:r>
    </w:p>
    <w:p w14:paraId="7E9E00D0" w14:textId="77777777" w:rsidR="00DE29D4" w:rsidRDefault="00DE29D4" w:rsidP="00DE29D4">
      <w:pPr>
        <w:pStyle w:val="Textparagrafu"/>
        <w:numPr>
          <w:ilvl w:val="0"/>
          <w:numId w:val="27"/>
        </w:numPr>
        <w:tabs>
          <w:tab w:val="left" w:pos="392"/>
          <w:tab w:val="left" w:pos="840"/>
        </w:tabs>
        <w:spacing w:before="0"/>
        <w:ind w:left="425" w:hanging="425"/>
      </w:pPr>
      <w:r>
        <w:t>e)</w:t>
      </w:r>
      <w:r>
        <w:tab/>
      </w:r>
      <w:r w:rsidRPr="00A959ED">
        <w:t>zákaz činnosti, nebo</w:t>
      </w:r>
    </w:p>
    <w:p w14:paraId="0E922879" w14:textId="77777777" w:rsidR="00DE29D4" w:rsidRPr="00A959ED" w:rsidRDefault="00DE29D4" w:rsidP="00DE29D4">
      <w:pPr>
        <w:pStyle w:val="Textparagrafu"/>
        <w:numPr>
          <w:ilvl w:val="0"/>
          <w:numId w:val="27"/>
        </w:numPr>
        <w:tabs>
          <w:tab w:val="left" w:pos="392"/>
          <w:tab w:val="left" w:pos="840"/>
        </w:tabs>
        <w:spacing w:before="0"/>
        <w:ind w:left="425" w:hanging="425"/>
      </w:pPr>
      <w:r>
        <w:t>f)</w:t>
      </w:r>
      <w:r>
        <w:tab/>
      </w:r>
      <w:r w:rsidRPr="00A959ED">
        <w:t>zveřejnění rozhodnutí o přestupku.</w:t>
      </w:r>
    </w:p>
    <w:p w14:paraId="182755A5" w14:textId="77777777" w:rsidR="00DE29D4" w:rsidRDefault="00DE29D4" w:rsidP="00992796">
      <w:pPr>
        <w:pStyle w:val="Paragraf"/>
        <w:numPr>
          <w:ilvl w:val="0"/>
          <w:numId w:val="64"/>
        </w:numPr>
        <w:spacing w:after="120"/>
      </w:pPr>
      <w:r>
        <w:t>§ 47</w:t>
      </w:r>
    </w:p>
    <w:p w14:paraId="380D4A72" w14:textId="77777777" w:rsidR="00DE29D4" w:rsidRDefault="00DE29D4" w:rsidP="00DE29D4">
      <w:pPr>
        <w:pStyle w:val="Nadpisparagrafu"/>
        <w:spacing w:after="120"/>
      </w:pPr>
      <w:r w:rsidRPr="00A959ED">
        <w:t>Nesplnění povinnosti odložit příkaz klienta</w:t>
      </w:r>
    </w:p>
    <w:p w14:paraId="70EDD765" w14:textId="77777777" w:rsidR="00DE29D4" w:rsidRDefault="00DE29D4" w:rsidP="00CD43B5">
      <w:pPr>
        <w:pStyle w:val="Textodstavce"/>
        <w:ind w:firstLine="425"/>
      </w:pPr>
      <w:r>
        <w:t xml:space="preserve">(1) </w:t>
      </w:r>
      <w:r w:rsidRPr="00A959ED">
        <w:t>Povinná osoba se dopustí přestupku tím, že poruší povinnost odložit splnění příkazu klienta podle § 20 odst. 1.</w:t>
      </w:r>
    </w:p>
    <w:p w14:paraId="6F6D31AE" w14:textId="77777777" w:rsidR="00DE29D4" w:rsidRDefault="00DE29D4" w:rsidP="00CD43B5">
      <w:pPr>
        <w:pStyle w:val="Textodstavce"/>
        <w:ind w:firstLine="425"/>
      </w:pPr>
      <w:r>
        <w:t xml:space="preserve">(2) </w:t>
      </w:r>
      <w:r w:rsidRPr="00A959ED">
        <w:t>Povinná osoba se dopustí přestupku tím, že nesplní povinnost odložit splnění příkazu klienta nebo zajistit majetek na základě rozhodnutí vydaného Úřadem podle § 20 odst. 3.</w:t>
      </w:r>
    </w:p>
    <w:p w14:paraId="4B17C0F1" w14:textId="77777777" w:rsidR="00DE29D4" w:rsidRDefault="00DE29D4" w:rsidP="00CD43B5">
      <w:pPr>
        <w:pStyle w:val="Textodstavce"/>
        <w:ind w:firstLine="425"/>
      </w:pPr>
      <w:r>
        <w:t xml:space="preserve">(3) </w:t>
      </w:r>
      <w:r w:rsidRPr="00A959ED">
        <w:t>Za přestupek podle odstavce 1 lze uložit pokutu do 1 000 000 Kč.</w:t>
      </w:r>
    </w:p>
    <w:p w14:paraId="6951CA92" w14:textId="77777777" w:rsidR="00DE29D4" w:rsidRDefault="00DE29D4" w:rsidP="00CD43B5">
      <w:pPr>
        <w:pStyle w:val="Textodstavce"/>
        <w:ind w:firstLine="425"/>
      </w:pPr>
      <w:r>
        <w:t xml:space="preserve">(4) </w:t>
      </w:r>
      <w:r w:rsidRPr="00A959ED">
        <w:t>Za přestupek podle odstavce 2 lze uložit pokutu do 10 000 000 Kč.</w:t>
      </w:r>
    </w:p>
    <w:p w14:paraId="01D527E6" w14:textId="77777777" w:rsidR="00DE29D4" w:rsidRDefault="00DE29D4" w:rsidP="00CD43B5">
      <w:pPr>
        <w:pStyle w:val="Textodstavce"/>
        <w:ind w:firstLine="425"/>
      </w:pPr>
      <w:r>
        <w:t xml:space="preserve">(5) </w:t>
      </w:r>
      <w:r w:rsidRPr="00A959ED">
        <w:t>Za přestupek podle odstavce 1 nebo 2, který byl spáchán závažně, opakovaně, nebo byl páchán soustavně, lze uložit</w:t>
      </w:r>
    </w:p>
    <w:p w14:paraId="69684266" w14:textId="77777777" w:rsidR="00DE29D4" w:rsidRDefault="00DE29D4" w:rsidP="00DE29D4">
      <w:pPr>
        <w:pStyle w:val="Textparagrafu"/>
        <w:numPr>
          <w:ilvl w:val="0"/>
          <w:numId w:val="27"/>
        </w:numPr>
        <w:tabs>
          <w:tab w:val="left" w:pos="392"/>
          <w:tab w:val="left" w:pos="840"/>
        </w:tabs>
        <w:spacing w:before="0"/>
        <w:ind w:left="425" w:hanging="425"/>
      </w:pPr>
      <w:r>
        <w:t>a)</w:t>
      </w:r>
      <w:r>
        <w:tab/>
      </w:r>
      <w:r w:rsidRPr="00A959ED">
        <w:t>pokutu do výše dvojnásobku neoprávněně získaného prospěchu nebo do 30 000 000 Kč, podle toho, která z těchto hodnot je vyšší,</w:t>
      </w:r>
    </w:p>
    <w:p w14:paraId="5FC82476" w14:textId="77777777" w:rsidR="00DE29D4" w:rsidRDefault="00DE29D4" w:rsidP="00DE29D4">
      <w:pPr>
        <w:pStyle w:val="Textparagrafu"/>
        <w:numPr>
          <w:ilvl w:val="0"/>
          <w:numId w:val="27"/>
        </w:numPr>
        <w:tabs>
          <w:tab w:val="left" w:pos="392"/>
          <w:tab w:val="left" w:pos="840"/>
        </w:tabs>
        <w:spacing w:before="0"/>
        <w:ind w:left="425" w:hanging="425"/>
      </w:pPr>
      <w:r>
        <w:t>b)</w:t>
      </w:r>
      <w:r>
        <w:tab/>
      </w:r>
      <w:r w:rsidRPr="00A959ED">
        <w:t>pokutu do výše dvojnásobku neoprávněně získaného prospěchu nebo do 130 000 000 Kč, podle toho, která z těchto hodnot je vyšší, je-li pachatelem finanční instituce,</w:t>
      </w:r>
    </w:p>
    <w:p w14:paraId="1C2BB8CF" w14:textId="77777777" w:rsidR="00DE29D4" w:rsidRPr="001C4BB4" w:rsidRDefault="00DE29D4" w:rsidP="00DE29D4">
      <w:pPr>
        <w:pStyle w:val="Textparagrafu"/>
        <w:numPr>
          <w:ilvl w:val="0"/>
          <w:numId w:val="27"/>
        </w:numPr>
        <w:tabs>
          <w:tab w:val="left" w:pos="392"/>
          <w:tab w:val="left" w:pos="840"/>
        </w:tabs>
        <w:spacing w:before="0"/>
        <w:ind w:left="425" w:hanging="425"/>
      </w:pPr>
      <w:r>
        <w:t>c)</w:t>
      </w:r>
      <w:r>
        <w:tab/>
      </w:r>
      <w:r w:rsidRPr="001C4BB4">
        <w:t xml:space="preserve">pokutu do výše dvojnásobku neoprávněně získaného prospěchu, do výše 130 000 000 Kč nebo do výše 10 % čistého ročního obratu dosaženého pachatelem podle poslední řádné </w:t>
      </w:r>
      <w:r w:rsidRPr="001C4BB4">
        <w:rPr>
          <w:b/>
        </w:rPr>
        <w:t xml:space="preserve">individuální </w:t>
      </w:r>
      <w:r w:rsidRPr="001C4BB4">
        <w:t>účetní závěrky, podle toho, která z těchto hodnot je vyšší, je-li pachatelem úvěrová nebo finanční instituce, která je právnickou osobou,</w:t>
      </w:r>
    </w:p>
    <w:p w14:paraId="545D8CED" w14:textId="77777777" w:rsidR="00DE29D4" w:rsidRDefault="00DE29D4" w:rsidP="00DE29D4">
      <w:pPr>
        <w:pStyle w:val="Textparagrafu"/>
        <w:numPr>
          <w:ilvl w:val="0"/>
          <w:numId w:val="27"/>
        </w:numPr>
        <w:tabs>
          <w:tab w:val="left" w:pos="392"/>
          <w:tab w:val="left" w:pos="840"/>
        </w:tabs>
        <w:spacing w:before="0"/>
        <w:ind w:left="425" w:hanging="425"/>
      </w:pPr>
      <w:r w:rsidRPr="001C4BB4">
        <w:t>d)</w:t>
      </w:r>
      <w:r w:rsidRPr="001C4BB4">
        <w:tab/>
        <w:t xml:space="preserve">pokutu do výše dvojnásobku neoprávněně získaného prospěchu, do výše 130 000 000 Kč nebo do výše 10 % čistého ročního obratu dosaženého podle poslední </w:t>
      </w:r>
      <w:r w:rsidRPr="001C4BB4">
        <w:rPr>
          <w:b/>
        </w:rPr>
        <w:t xml:space="preserve">řádné </w:t>
      </w:r>
      <w:r w:rsidRPr="001C4BB4">
        <w:t xml:space="preserve">konsolidované </w:t>
      </w:r>
      <w:r w:rsidRPr="00A959ED">
        <w:t xml:space="preserve">účetní závěrky konsolidačním celkem, do kterého je pachatel zahrnut, podle toho, která z </w:t>
      </w:r>
      <w:r w:rsidRPr="00A959ED">
        <w:lastRenderedPageBreak/>
        <w:t>těchto hodnot je vyšší, je-li pachatelem úvěrová nebo finanční instituce, která je právnickou osobou zahrnutou do konsolidačního celku,</w:t>
      </w:r>
    </w:p>
    <w:p w14:paraId="23F454FD" w14:textId="77777777" w:rsidR="00DE29D4" w:rsidRDefault="00DE29D4" w:rsidP="00DE29D4">
      <w:pPr>
        <w:pStyle w:val="Textparagrafu"/>
        <w:numPr>
          <w:ilvl w:val="0"/>
          <w:numId w:val="27"/>
        </w:numPr>
        <w:tabs>
          <w:tab w:val="left" w:pos="392"/>
          <w:tab w:val="left" w:pos="840"/>
        </w:tabs>
        <w:spacing w:before="0"/>
        <w:ind w:left="425" w:hanging="425"/>
      </w:pPr>
      <w:r>
        <w:t>e)</w:t>
      </w:r>
      <w:r>
        <w:tab/>
      </w:r>
      <w:r w:rsidRPr="00777C47">
        <w:t>zákaz činnosti, nebo</w:t>
      </w:r>
    </w:p>
    <w:p w14:paraId="6F6D2F2C" w14:textId="77777777" w:rsidR="00DE29D4" w:rsidRPr="00A959ED" w:rsidRDefault="00DE29D4" w:rsidP="00DE29D4">
      <w:pPr>
        <w:pStyle w:val="Textparagrafu"/>
        <w:numPr>
          <w:ilvl w:val="0"/>
          <w:numId w:val="27"/>
        </w:numPr>
        <w:tabs>
          <w:tab w:val="left" w:pos="392"/>
          <w:tab w:val="left" w:pos="840"/>
        </w:tabs>
        <w:spacing w:before="0"/>
        <w:ind w:left="425" w:hanging="425"/>
      </w:pPr>
      <w:r>
        <w:t>f)</w:t>
      </w:r>
      <w:r>
        <w:tab/>
      </w:r>
      <w:r w:rsidRPr="00777C47">
        <w:t>zveřejnění rozhodnutí o přestupku.</w:t>
      </w:r>
    </w:p>
    <w:p w14:paraId="4AB78CD7" w14:textId="77777777" w:rsidR="00DE29D4" w:rsidRDefault="00DE29D4" w:rsidP="00992796">
      <w:pPr>
        <w:pStyle w:val="Paragraf"/>
        <w:numPr>
          <w:ilvl w:val="0"/>
          <w:numId w:val="64"/>
        </w:numPr>
        <w:spacing w:after="120"/>
      </w:pPr>
      <w:r>
        <w:t>§ 48</w:t>
      </w:r>
    </w:p>
    <w:p w14:paraId="7EA2F6A2" w14:textId="77777777" w:rsidR="00DE29D4" w:rsidRDefault="00DE29D4" w:rsidP="00CD43B5">
      <w:pPr>
        <w:pStyle w:val="Textodstavce"/>
        <w:ind w:firstLine="425"/>
      </w:pPr>
      <w:r>
        <w:t xml:space="preserve">(1) </w:t>
      </w:r>
      <w:r w:rsidRPr="00777C47">
        <w:t>Povinná osoba se dopustí přestupku tím, že v rozporu s § 21 odst. 1 nebo 6 nezavede, nebo neuplatňuje odpovídající strategie a postupy vnitřní kontroly a komunikace ke zmírňování a účinnému řízení rizik legalizace výnosů z trestné činnosti a financování terorismu identifikovaných v hodnocení rizik a k naplnění dalších povinností stanovených tímto zákonem.</w:t>
      </w:r>
    </w:p>
    <w:p w14:paraId="4CDC9F95" w14:textId="77777777" w:rsidR="00DE29D4" w:rsidRDefault="00DE29D4" w:rsidP="00CD43B5">
      <w:pPr>
        <w:pStyle w:val="Textodstavce"/>
        <w:ind w:firstLine="425"/>
      </w:pPr>
      <w:r>
        <w:t xml:space="preserve">(2) </w:t>
      </w:r>
      <w:r w:rsidRPr="00777C47">
        <w:t>Povinná osoba, které je v § 21 odst. 2 uložena povinnost vypracovat písemně systém vnitřních zásad a nevztahuje se na ni výjimka podle § 21 odst. 3 nebo 4, se dopustí přestupku tím, že systém vnitřních zásad nevypracuje v rozsahu podle § 21 odst. 5 nejpozději ve lhůtě 60 dnů ode dne, kdy se stala povinnou osobou.</w:t>
      </w:r>
    </w:p>
    <w:p w14:paraId="46E30559" w14:textId="77777777" w:rsidR="00DE29D4" w:rsidRDefault="00DE29D4" w:rsidP="00CD43B5">
      <w:pPr>
        <w:pStyle w:val="Textodstavce"/>
        <w:ind w:firstLine="425"/>
      </w:pPr>
      <w:r>
        <w:t xml:space="preserve">(3) </w:t>
      </w:r>
      <w:r w:rsidRPr="00A229F0">
        <w:t>Povinná osoba, které je podle § 21 odst. 8 nebo 9 uložena povinnost oznámit Úřadu nebo České národní bance znění systému vnitřních zásad, vnitřního předpisu nebo jejich změny, se dopustí přestupku tím, že znění systému vnitřních zásad, vnitřního předpisu nebo jejich změny neoznámí podle § 21 odst. 8.</w:t>
      </w:r>
    </w:p>
    <w:p w14:paraId="0E510898" w14:textId="77777777" w:rsidR="00DE29D4" w:rsidRDefault="00DE29D4" w:rsidP="00CD43B5">
      <w:pPr>
        <w:pStyle w:val="Textodstavce"/>
        <w:ind w:firstLine="425"/>
      </w:pPr>
      <w:r>
        <w:t xml:space="preserve">(4) </w:t>
      </w:r>
      <w:r w:rsidRPr="00777C47">
        <w:t>Povinná osoba, které je v § 21a odst. 2 uložena povinnost vypracovat písemně hodnocení rizik, se dopustí přestupku tím, že</w:t>
      </w:r>
    </w:p>
    <w:p w14:paraId="55C359DA" w14:textId="77777777" w:rsidR="00DE29D4" w:rsidRDefault="00DE29D4" w:rsidP="00DE29D4">
      <w:pPr>
        <w:pStyle w:val="Textparagrafu"/>
        <w:numPr>
          <w:ilvl w:val="0"/>
          <w:numId w:val="27"/>
        </w:numPr>
        <w:tabs>
          <w:tab w:val="left" w:pos="392"/>
          <w:tab w:val="left" w:pos="840"/>
        </w:tabs>
        <w:spacing w:before="0"/>
        <w:ind w:left="425" w:hanging="425"/>
      </w:pPr>
      <w:r>
        <w:t>a)</w:t>
      </w:r>
      <w:r>
        <w:tab/>
      </w:r>
      <w:r w:rsidRPr="00777C47">
        <w:t>nevypracuje hodnocení rizik ve stanoveném rozsahu nebo ve stanovené lhůtě, nebo</w:t>
      </w:r>
    </w:p>
    <w:p w14:paraId="425AE799" w14:textId="77777777" w:rsidR="00DE29D4" w:rsidRDefault="00DE29D4" w:rsidP="00DE29D4">
      <w:pPr>
        <w:pStyle w:val="Textparagrafu"/>
        <w:numPr>
          <w:ilvl w:val="0"/>
          <w:numId w:val="27"/>
        </w:numPr>
        <w:tabs>
          <w:tab w:val="left" w:pos="392"/>
          <w:tab w:val="left" w:pos="840"/>
        </w:tabs>
        <w:spacing w:before="0"/>
        <w:ind w:left="425" w:hanging="425"/>
      </w:pPr>
      <w:r>
        <w:t>b)</w:t>
      </w:r>
      <w:r>
        <w:tab/>
      </w:r>
      <w:r w:rsidRPr="00777C47">
        <w:t>hodnocení rizik pravidelně neaktualizuje.</w:t>
      </w:r>
    </w:p>
    <w:p w14:paraId="3473A589" w14:textId="77777777" w:rsidR="00DE29D4" w:rsidRDefault="00DE29D4" w:rsidP="00CD43B5">
      <w:pPr>
        <w:pStyle w:val="Textodstavce"/>
        <w:ind w:firstLine="425"/>
      </w:pPr>
      <w:r>
        <w:t xml:space="preserve">(5) </w:t>
      </w:r>
      <w:r w:rsidRPr="00777C47">
        <w:t>Povinná osoba se dopustí přestupku tím, že neurčí člena svého statutárního orgánu pověřeného zajištěním plnění povinností vyplývajících z tohoto zákona podle § 22a.</w:t>
      </w:r>
    </w:p>
    <w:p w14:paraId="53A24126" w14:textId="77777777" w:rsidR="00DE29D4" w:rsidRDefault="00DE29D4" w:rsidP="00CD43B5">
      <w:pPr>
        <w:pStyle w:val="Textodstavce"/>
        <w:ind w:firstLine="425"/>
      </w:pPr>
      <w:r>
        <w:t xml:space="preserve">(6) </w:t>
      </w:r>
      <w:r w:rsidRPr="00777C47">
        <w:t>Povinná osoba se dopustí přestupku tím, že nezajistí proškolení zaměstnanců podle § 23.</w:t>
      </w:r>
    </w:p>
    <w:p w14:paraId="12AA3A7B" w14:textId="77777777" w:rsidR="00DE29D4" w:rsidRDefault="00DE29D4" w:rsidP="00CD43B5">
      <w:pPr>
        <w:pStyle w:val="Textodstavce"/>
        <w:ind w:firstLine="425"/>
      </w:pPr>
      <w:r>
        <w:t xml:space="preserve">(7) </w:t>
      </w:r>
      <w:r w:rsidRPr="00777C47">
        <w:t>Za přestupek podle odstavců 2 až 5 lze uložit pokutu do 1 000 000 Kč.</w:t>
      </w:r>
    </w:p>
    <w:p w14:paraId="279234D6" w14:textId="77777777" w:rsidR="00DE29D4" w:rsidRDefault="00DE29D4" w:rsidP="00CD43B5">
      <w:pPr>
        <w:pStyle w:val="Textodstavce"/>
        <w:ind w:firstLine="425"/>
      </w:pPr>
      <w:r>
        <w:t xml:space="preserve">(8) </w:t>
      </w:r>
      <w:r w:rsidRPr="00A229F0">
        <w:t>Za přestupek podle odstavce 6 lze uložit pokutu do 5 000 000 Kč.</w:t>
      </w:r>
    </w:p>
    <w:p w14:paraId="2F01B967" w14:textId="77777777" w:rsidR="00DE29D4" w:rsidRDefault="00DE29D4" w:rsidP="00CD43B5">
      <w:pPr>
        <w:pStyle w:val="Textodstavce"/>
        <w:ind w:firstLine="425"/>
      </w:pPr>
      <w:r>
        <w:t xml:space="preserve">(9) </w:t>
      </w:r>
      <w:r w:rsidRPr="00A229F0">
        <w:t>Za přestupek podle odstavce 1 lze uložit pokutu do 10 000 000 Kč.</w:t>
      </w:r>
    </w:p>
    <w:p w14:paraId="70327F14" w14:textId="77777777" w:rsidR="00DE29D4" w:rsidRDefault="00DE29D4" w:rsidP="00CD43B5">
      <w:pPr>
        <w:pStyle w:val="Textodstavce"/>
        <w:ind w:firstLine="425"/>
      </w:pPr>
      <w:r>
        <w:t xml:space="preserve">(10) </w:t>
      </w:r>
      <w:r w:rsidRPr="00777C47">
        <w:t>Za přestupek podle odstavce 5 nebo 6, který byl spáchán závažně, opakovaně, nebo byl páchán soustavně, lze uložit</w:t>
      </w:r>
    </w:p>
    <w:p w14:paraId="5C421A39" w14:textId="77777777" w:rsidR="00DE29D4" w:rsidRDefault="00DE29D4" w:rsidP="00DE29D4">
      <w:pPr>
        <w:pStyle w:val="Textparagrafu"/>
        <w:numPr>
          <w:ilvl w:val="0"/>
          <w:numId w:val="27"/>
        </w:numPr>
        <w:tabs>
          <w:tab w:val="left" w:pos="392"/>
          <w:tab w:val="left" w:pos="840"/>
        </w:tabs>
        <w:spacing w:before="0"/>
        <w:ind w:left="425" w:hanging="425"/>
      </w:pPr>
      <w:r>
        <w:t>a)</w:t>
      </w:r>
      <w:r>
        <w:tab/>
      </w:r>
      <w:r w:rsidRPr="00777C47">
        <w:t>pokutu do výše dvojnásobku neoprávněně získaného prospěchu nebo do 30 000 000 Kč, podle toho, která z těchto hodnot je vyšší,</w:t>
      </w:r>
    </w:p>
    <w:p w14:paraId="6EF4F590" w14:textId="77777777" w:rsidR="00DE29D4" w:rsidRDefault="00DE29D4" w:rsidP="00DE29D4">
      <w:pPr>
        <w:pStyle w:val="Textparagrafu"/>
        <w:numPr>
          <w:ilvl w:val="0"/>
          <w:numId w:val="27"/>
        </w:numPr>
        <w:tabs>
          <w:tab w:val="left" w:pos="392"/>
          <w:tab w:val="left" w:pos="840"/>
        </w:tabs>
        <w:spacing w:before="0"/>
        <w:ind w:left="425" w:hanging="425"/>
      </w:pPr>
      <w:r>
        <w:t>b)</w:t>
      </w:r>
      <w:r>
        <w:tab/>
      </w:r>
      <w:r w:rsidRPr="00777C47">
        <w:t>pokutu do výše dvojnásobku neoprávněně získaného prospěchu nebo do 130 000 000 Kč, podle toho, která z těchto hodnot je vyšší, je-li pachatelem finanční instituce,</w:t>
      </w:r>
    </w:p>
    <w:p w14:paraId="467D94FE" w14:textId="77777777" w:rsidR="00DE29D4" w:rsidRPr="001C4BB4" w:rsidRDefault="00DE29D4" w:rsidP="00DE29D4">
      <w:pPr>
        <w:pStyle w:val="Textparagrafu"/>
        <w:numPr>
          <w:ilvl w:val="0"/>
          <w:numId w:val="27"/>
        </w:numPr>
        <w:tabs>
          <w:tab w:val="left" w:pos="392"/>
          <w:tab w:val="left" w:pos="840"/>
        </w:tabs>
        <w:spacing w:before="0"/>
        <w:ind w:left="425" w:hanging="425"/>
      </w:pPr>
      <w:r>
        <w:t>c)</w:t>
      </w:r>
      <w:r>
        <w:tab/>
      </w:r>
      <w:r w:rsidRPr="00777C47">
        <w:t xml:space="preserve">pokutu do výše dvojnásobku neoprávněně získaného prospěchu, do výše 130 000 000 Kč nebo do výše 10 % čistého </w:t>
      </w:r>
      <w:r w:rsidRPr="001C4BB4">
        <w:t xml:space="preserve">ročního obratu dosaženého pachatelem podle poslední řádné </w:t>
      </w:r>
      <w:r w:rsidRPr="001C4BB4">
        <w:rPr>
          <w:b/>
        </w:rPr>
        <w:t xml:space="preserve">individuální </w:t>
      </w:r>
      <w:r w:rsidRPr="001C4BB4">
        <w:t>účetní závěrky, podle toho, která z těchto hodnot je vyšší, je-li pachatelem úvěrová nebo finanční instituce, která je právnickou osobou,</w:t>
      </w:r>
    </w:p>
    <w:p w14:paraId="5AC99B87" w14:textId="77777777" w:rsidR="00DE29D4" w:rsidRDefault="00DE29D4" w:rsidP="00DE29D4">
      <w:pPr>
        <w:pStyle w:val="Textparagrafu"/>
        <w:numPr>
          <w:ilvl w:val="0"/>
          <w:numId w:val="27"/>
        </w:numPr>
        <w:tabs>
          <w:tab w:val="left" w:pos="392"/>
          <w:tab w:val="left" w:pos="840"/>
        </w:tabs>
        <w:spacing w:before="0"/>
        <w:ind w:left="425" w:hanging="425"/>
      </w:pPr>
      <w:r w:rsidRPr="001C4BB4">
        <w:t>d)</w:t>
      </w:r>
      <w:r w:rsidRPr="001C4BB4">
        <w:tab/>
        <w:t xml:space="preserve">pokutu do výše dvojnásobku neoprávněně získaného prospěchu, do výše 130 000 000 Kč nebo do výše 10 % čistého ročního obratu dosaženého podle poslední </w:t>
      </w:r>
      <w:r w:rsidRPr="001C4BB4">
        <w:rPr>
          <w:b/>
        </w:rPr>
        <w:t>řádné</w:t>
      </w:r>
      <w:r w:rsidRPr="001C4BB4">
        <w:t xml:space="preserve"> konsolidované </w:t>
      </w:r>
      <w:r w:rsidRPr="00777C47">
        <w:t>účetní závěrky konsolidačním celkem, do kterého je pachatel zahrnut, podle toho, která z těchto hodnot je vyšší, je-li pachatelem úvěrová nebo finanční instituce, která je právnickou osobou zahrnutou do konsolidačního celku,</w:t>
      </w:r>
    </w:p>
    <w:p w14:paraId="03608049" w14:textId="77777777" w:rsidR="00DE29D4" w:rsidRDefault="00DE29D4" w:rsidP="00DE29D4">
      <w:pPr>
        <w:pStyle w:val="Textparagrafu"/>
        <w:numPr>
          <w:ilvl w:val="0"/>
          <w:numId w:val="27"/>
        </w:numPr>
        <w:tabs>
          <w:tab w:val="left" w:pos="392"/>
          <w:tab w:val="left" w:pos="840"/>
        </w:tabs>
        <w:spacing w:before="0"/>
        <w:ind w:left="425" w:hanging="425"/>
      </w:pPr>
      <w:r>
        <w:lastRenderedPageBreak/>
        <w:t>e)</w:t>
      </w:r>
      <w:r>
        <w:tab/>
      </w:r>
      <w:r w:rsidRPr="00777C47">
        <w:t>zákaz činnosti, nebo</w:t>
      </w:r>
    </w:p>
    <w:p w14:paraId="282615C3" w14:textId="77777777" w:rsidR="00DE29D4" w:rsidRPr="00777C47" w:rsidRDefault="00DE29D4" w:rsidP="00DE29D4">
      <w:pPr>
        <w:pStyle w:val="Textparagrafu"/>
        <w:numPr>
          <w:ilvl w:val="0"/>
          <w:numId w:val="27"/>
        </w:numPr>
        <w:tabs>
          <w:tab w:val="left" w:pos="392"/>
          <w:tab w:val="left" w:pos="840"/>
        </w:tabs>
        <w:spacing w:before="0"/>
        <w:ind w:left="425" w:hanging="425"/>
      </w:pPr>
      <w:r>
        <w:t>f)</w:t>
      </w:r>
      <w:r>
        <w:tab/>
      </w:r>
      <w:r w:rsidRPr="00777C47">
        <w:t>zveřejnění rozhodnutí o přestupku.</w:t>
      </w:r>
    </w:p>
    <w:p w14:paraId="581D97E1" w14:textId="77777777" w:rsidR="00DE29D4" w:rsidRDefault="00DE29D4" w:rsidP="00992796">
      <w:pPr>
        <w:pStyle w:val="Paragraf"/>
        <w:numPr>
          <w:ilvl w:val="0"/>
          <w:numId w:val="64"/>
        </w:numPr>
      </w:pPr>
      <w:r>
        <w:t>§ 48a</w:t>
      </w:r>
    </w:p>
    <w:p w14:paraId="02587BDE" w14:textId="77777777" w:rsidR="00DE29D4" w:rsidRDefault="00DE29D4" w:rsidP="00DE29D4">
      <w:pPr>
        <w:pStyle w:val="Nadpisparagrafu"/>
      </w:pPr>
      <w:r w:rsidRPr="00777C47">
        <w:t>Neplnění povinností skupiny</w:t>
      </w:r>
    </w:p>
    <w:p w14:paraId="1794A10F" w14:textId="77777777" w:rsidR="00DE29D4" w:rsidRDefault="00DE29D4" w:rsidP="00DE29D4">
      <w:pPr>
        <w:pStyle w:val="Textodstavce"/>
        <w:spacing w:before="240"/>
        <w:ind w:firstLine="425"/>
      </w:pPr>
      <w:r>
        <w:t xml:space="preserve">(1) </w:t>
      </w:r>
      <w:r w:rsidRPr="00777C47">
        <w:t>Povinná osoba, která je součástí skupiny, se dopustí přestupku tím, že v rozporu s § 21 odst. 7</w:t>
      </w:r>
    </w:p>
    <w:p w14:paraId="3BF372C6" w14:textId="77777777" w:rsidR="00DE29D4" w:rsidRDefault="00DE29D4" w:rsidP="00DE29D4">
      <w:pPr>
        <w:pStyle w:val="Textparagrafu"/>
        <w:numPr>
          <w:ilvl w:val="0"/>
          <w:numId w:val="27"/>
        </w:numPr>
        <w:tabs>
          <w:tab w:val="left" w:pos="392"/>
          <w:tab w:val="left" w:pos="840"/>
        </w:tabs>
        <w:spacing w:before="0"/>
        <w:ind w:left="425" w:hanging="425"/>
      </w:pPr>
      <w:r>
        <w:t>a)</w:t>
      </w:r>
      <w:r>
        <w:tab/>
      </w:r>
      <w:r w:rsidRPr="00777C47">
        <w:t>neuplatňuje skupinové strategie a postupy vnitřní kontroly ke zmírňování a účinnému řízení rizik, nebo</w:t>
      </w:r>
    </w:p>
    <w:p w14:paraId="0586FADD" w14:textId="77777777" w:rsidR="00DE29D4" w:rsidRDefault="00DE29D4" w:rsidP="00DE29D4">
      <w:pPr>
        <w:pStyle w:val="Textparagrafu"/>
        <w:numPr>
          <w:ilvl w:val="0"/>
          <w:numId w:val="27"/>
        </w:numPr>
        <w:tabs>
          <w:tab w:val="left" w:pos="392"/>
          <w:tab w:val="left" w:pos="840"/>
        </w:tabs>
        <w:spacing w:before="0"/>
        <w:ind w:left="425" w:hanging="425"/>
      </w:pPr>
      <w:r>
        <w:t>b)</w:t>
      </w:r>
      <w:r>
        <w:tab/>
      </w:r>
      <w:r w:rsidRPr="00777C47">
        <w:t>nezajistí uplatňování skupinových strategií a postupů vnitřní kontroly ke zmírňování a účinnému řízení rizik ve svých dceřiných obchodních korporacích ve třetích zemích.</w:t>
      </w:r>
    </w:p>
    <w:p w14:paraId="2652971A" w14:textId="77777777" w:rsidR="00DE29D4" w:rsidRDefault="00DE29D4" w:rsidP="00DE29D4">
      <w:pPr>
        <w:pStyle w:val="Textodstavce"/>
        <w:spacing w:before="240"/>
        <w:ind w:firstLine="425"/>
      </w:pPr>
      <w:r>
        <w:t xml:space="preserve">(2) </w:t>
      </w:r>
      <w:r w:rsidRPr="00777C47">
        <w:t>Povinná osoba, která má pobočku, provozovnu nebo dceřinou obchodní korporaci ve třetí zemi, se dopustí přestupku tím, že</w:t>
      </w:r>
    </w:p>
    <w:p w14:paraId="497B775E" w14:textId="77777777" w:rsidR="00DE29D4" w:rsidRDefault="00DE29D4" w:rsidP="00DE29D4">
      <w:pPr>
        <w:pStyle w:val="Textparagrafu"/>
        <w:numPr>
          <w:ilvl w:val="0"/>
          <w:numId w:val="27"/>
        </w:numPr>
        <w:tabs>
          <w:tab w:val="left" w:pos="392"/>
          <w:tab w:val="left" w:pos="840"/>
        </w:tabs>
        <w:spacing w:before="0"/>
        <w:ind w:left="425" w:hanging="425"/>
      </w:pPr>
      <w:r>
        <w:t>a)</w:t>
      </w:r>
      <w:r>
        <w:tab/>
      </w:r>
      <w:r w:rsidRPr="00777C47">
        <w:t>v rozporu s § 24a odst. 1 neuplatňuje v dané pobočce, provozovně nebo dceřiné obchodní korporaci opatření pro kontrolu klienta a uchovávání záznamů alespoň rovnocenná požadavkům práva Evropské unie,</w:t>
      </w:r>
    </w:p>
    <w:p w14:paraId="209F3076" w14:textId="77777777" w:rsidR="00DE29D4" w:rsidRDefault="00DE29D4" w:rsidP="00DE29D4">
      <w:pPr>
        <w:pStyle w:val="Textparagrafu"/>
        <w:numPr>
          <w:ilvl w:val="0"/>
          <w:numId w:val="27"/>
        </w:numPr>
        <w:tabs>
          <w:tab w:val="left" w:pos="392"/>
          <w:tab w:val="left" w:pos="840"/>
        </w:tabs>
        <w:spacing w:before="0"/>
        <w:ind w:left="425" w:hanging="425"/>
      </w:pPr>
      <w:r>
        <w:t>b)</w:t>
      </w:r>
      <w:r>
        <w:tab/>
      </w:r>
      <w:r w:rsidRPr="00777C47">
        <w:t>v rozporu s § 24a odst. 1 nepředá relevantní informaci své pobočce, provozovně nebo obchodní korporaci,</w:t>
      </w:r>
    </w:p>
    <w:p w14:paraId="1612D425" w14:textId="77777777" w:rsidR="00DE29D4" w:rsidRDefault="00DE29D4" w:rsidP="00DE29D4">
      <w:pPr>
        <w:pStyle w:val="Textparagrafu"/>
        <w:numPr>
          <w:ilvl w:val="0"/>
          <w:numId w:val="27"/>
        </w:numPr>
        <w:tabs>
          <w:tab w:val="left" w:pos="392"/>
          <w:tab w:val="left" w:pos="840"/>
        </w:tabs>
        <w:spacing w:before="0"/>
        <w:ind w:left="425" w:hanging="425"/>
      </w:pPr>
      <w:r>
        <w:t>c)</w:t>
      </w:r>
      <w:r>
        <w:tab/>
      </w:r>
      <w:r w:rsidRPr="00777C47">
        <w:t>v rozporu s § 24a odst. 2 nepřijme odpovídající doplňková opatření k účinnému zvládání rizika zneužití, nebo</w:t>
      </w:r>
    </w:p>
    <w:p w14:paraId="6B614889" w14:textId="77777777" w:rsidR="00DE29D4" w:rsidRDefault="00DE29D4" w:rsidP="00DE29D4">
      <w:pPr>
        <w:pStyle w:val="Textparagrafu"/>
        <w:numPr>
          <w:ilvl w:val="0"/>
          <w:numId w:val="27"/>
        </w:numPr>
        <w:tabs>
          <w:tab w:val="left" w:pos="392"/>
          <w:tab w:val="left" w:pos="840"/>
        </w:tabs>
        <w:spacing w:before="0"/>
        <w:ind w:left="425" w:hanging="425"/>
      </w:pPr>
      <w:r>
        <w:t>d)</w:t>
      </w:r>
      <w:r>
        <w:tab/>
      </w:r>
      <w:r w:rsidRPr="00777C47">
        <w:t>v rozporu s § 24a odst. 2 neinformuje Úřad o tom, že právo třetího státu nedovoluje uplatňování opatření alespoň rovnocenných požadavkům práva Evropské unie.</w:t>
      </w:r>
    </w:p>
    <w:p w14:paraId="0E289959" w14:textId="77777777" w:rsidR="00DE29D4" w:rsidRDefault="00DE29D4" w:rsidP="00CD43B5">
      <w:pPr>
        <w:pStyle w:val="Textodstavce"/>
        <w:ind w:firstLine="425"/>
      </w:pPr>
      <w:r>
        <w:t xml:space="preserve">(3) </w:t>
      </w:r>
      <w:r w:rsidRPr="00777C47">
        <w:t>Povinná osoba, která má pobočku nebo provozovnu ve státě, který je členským státem Evropské unie nebo ve státě tvořícím Evropský hospodářský prostor, se dopustí přestupku tím, že v rozporu s § 24a odst. 3 nezajistí dodržování předpisů tohoto jiného státu v oblasti boje proti legalizaci výnosů z trestné činnosti a financování terorismu v dané pobočce nebo provozovně.</w:t>
      </w:r>
    </w:p>
    <w:p w14:paraId="468F9C43" w14:textId="77777777" w:rsidR="00DE29D4" w:rsidRDefault="00DE29D4" w:rsidP="00CD43B5">
      <w:pPr>
        <w:pStyle w:val="Textodstavce"/>
        <w:ind w:firstLine="425"/>
      </w:pPr>
      <w:r>
        <w:t xml:space="preserve">(4) </w:t>
      </w:r>
      <w:r w:rsidRPr="00777C47">
        <w:t>Za přestupek podle odstavců 1 až 3 lze uložit pokutu do 10 000 000 Kč.</w:t>
      </w:r>
    </w:p>
    <w:p w14:paraId="0E6A8146" w14:textId="77777777" w:rsidR="00DE29D4" w:rsidRDefault="00DE29D4" w:rsidP="00CD43B5">
      <w:pPr>
        <w:pStyle w:val="Textodstavce"/>
        <w:ind w:firstLine="425"/>
      </w:pPr>
      <w:r>
        <w:t xml:space="preserve">(5) </w:t>
      </w:r>
      <w:r w:rsidRPr="00777C47">
        <w:t>Za přestupek podle odstavce 1, odstavce 2 písm. a), c) a d) a odstavce 3, který byl spáchán závažně, opakovaně, nebo byl páchán soustavně, lze uložit</w:t>
      </w:r>
    </w:p>
    <w:p w14:paraId="26EE001F" w14:textId="77777777" w:rsidR="00DE29D4" w:rsidRDefault="00DE29D4" w:rsidP="00DE29D4">
      <w:pPr>
        <w:pStyle w:val="Textparagrafu"/>
        <w:numPr>
          <w:ilvl w:val="0"/>
          <w:numId w:val="27"/>
        </w:numPr>
        <w:tabs>
          <w:tab w:val="left" w:pos="392"/>
          <w:tab w:val="left" w:pos="840"/>
        </w:tabs>
        <w:spacing w:before="0"/>
        <w:ind w:left="425" w:hanging="425"/>
      </w:pPr>
      <w:r>
        <w:t>a)</w:t>
      </w:r>
      <w:r>
        <w:tab/>
      </w:r>
      <w:r w:rsidRPr="00DB7E9B">
        <w:t>pokutu do výše dvojnásobku neoprávněně získaného prospěchu nebo do 30 000 000 Kč, podle toho, která z těchto hodnot je vyšší,</w:t>
      </w:r>
    </w:p>
    <w:p w14:paraId="138766C1" w14:textId="77777777" w:rsidR="00DE29D4" w:rsidRDefault="00DE29D4" w:rsidP="00DE29D4">
      <w:pPr>
        <w:pStyle w:val="Textparagrafu"/>
        <w:numPr>
          <w:ilvl w:val="0"/>
          <w:numId w:val="27"/>
        </w:numPr>
        <w:tabs>
          <w:tab w:val="left" w:pos="392"/>
          <w:tab w:val="left" w:pos="840"/>
        </w:tabs>
        <w:spacing w:before="0"/>
        <w:ind w:left="425" w:hanging="425"/>
      </w:pPr>
      <w:r>
        <w:t>b)</w:t>
      </w:r>
      <w:r>
        <w:tab/>
      </w:r>
      <w:r w:rsidRPr="00DB7E9B">
        <w:t>pokutu do výše dvojnásobku neoprávněně získaného prospěchu nebo do 130 000 000 Kč, podle toho, která z těchto hodnot je vyšší, je-li pachatelem finanční instituce,</w:t>
      </w:r>
    </w:p>
    <w:p w14:paraId="4C7DA426" w14:textId="77777777" w:rsidR="00DE29D4" w:rsidRPr="001C4BB4" w:rsidRDefault="00DE29D4" w:rsidP="00DE29D4">
      <w:pPr>
        <w:pStyle w:val="Textparagrafu"/>
        <w:numPr>
          <w:ilvl w:val="0"/>
          <w:numId w:val="27"/>
        </w:numPr>
        <w:tabs>
          <w:tab w:val="left" w:pos="392"/>
          <w:tab w:val="left" w:pos="840"/>
        </w:tabs>
        <w:spacing w:before="0"/>
        <w:ind w:left="425" w:hanging="425"/>
      </w:pPr>
      <w:r>
        <w:t>c)</w:t>
      </w:r>
      <w:r>
        <w:tab/>
      </w:r>
      <w:r w:rsidRPr="00DB7E9B">
        <w:t xml:space="preserve">pokutu do výše </w:t>
      </w:r>
      <w:r w:rsidRPr="001C4BB4">
        <w:t xml:space="preserve">dvojnásobku neoprávněně získaného prospěchu, do výše 130 000 000 Kč nebo do výše 10 % čistého ročního obratu dosaženého pachatelem podle poslední řádné </w:t>
      </w:r>
      <w:r w:rsidRPr="001C4BB4">
        <w:rPr>
          <w:b/>
        </w:rPr>
        <w:t xml:space="preserve">individuální </w:t>
      </w:r>
      <w:r w:rsidRPr="001C4BB4">
        <w:t>účetní závěrky, podle toho, která z těchto hodnot je vyšší, je-li pachatelem úvěrová nebo finanční instituce, která je právnickou osobou,</w:t>
      </w:r>
    </w:p>
    <w:p w14:paraId="0B0F1BD3" w14:textId="77777777" w:rsidR="00DE29D4" w:rsidRDefault="00DE29D4" w:rsidP="00DE29D4">
      <w:pPr>
        <w:pStyle w:val="Textparagrafu"/>
        <w:numPr>
          <w:ilvl w:val="0"/>
          <w:numId w:val="27"/>
        </w:numPr>
        <w:tabs>
          <w:tab w:val="left" w:pos="392"/>
          <w:tab w:val="left" w:pos="840"/>
        </w:tabs>
        <w:spacing w:before="0"/>
        <w:ind w:left="425" w:hanging="425"/>
      </w:pPr>
      <w:r w:rsidRPr="001C4BB4">
        <w:t>d)</w:t>
      </w:r>
      <w:r w:rsidRPr="001C4BB4">
        <w:tab/>
        <w:t xml:space="preserve">pokutu do výše dvojnásobku neoprávněně získaného prospěchu, do výše 130 000 000 Kč nebo do výše 10 % čistého ročního obratu dosaženého podle poslední </w:t>
      </w:r>
      <w:r w:rsidRPr="001C4BB4">
        <w:rPr>
          <w:b/>
        </w:rPr>
        <w:t xml:space="preserve">řádné </w:t>
      </w:r>
      <w:r w:rsidRPr="001C4BB4">
        <w:t xml:space="preserve">konsolidované </w:t>
      </w:r>
      <w:r w:rsidRPr="00DB7E9B">
        <w:t>účetní závěrky konsolidačním celkem, do kterého je pachatel zahrnut, podle toho, která z těchto hodnot je vyšší, je-li pachatelem úvěrová nebo finanční instituce, která je právnickou osobou zahrnutou do konsolidačního celku,</w:t>
      </w:r>
    </w:p>
    <w:p w14:paraId="5DAB3535" w14:textId="77777777" w:rsidR="00DE29D4" w:rsidRDefault="00DE29D4" w:rsidP="00DE29D4">
      <w:pPr>
        <w:pStyle w:val="Textparagrafu"/>
        <w:numPr>
          <w:ilvl w:val="0"/>
          <w:numId w:val="27"/>
        </w:numPr>
        <w:tabs>
          <w:tab w:val="left" w:pos="392"/>
          <w:tab w:val="left" w:pos="840"/>
        </w:tabs>
        <w:spacing w:before="0"/>
        <w:ind w:left="425" w:hanging="425"/>
      </w:pPr>
      <w:r>
        <w:t>e)</w:t>
      </w:r>
      <w:r>
        <w:tab/>
      </w:r>
      <w:r w:rsidRPr="00DB7E9B">
        <w:t>zákaz činnosti, nebo</w:t>
      </w:r>
    </w:p>
    <w:p w14:paraId="0C251E01" w14:textId="77777777" w:rsidR="00DE29D4" w:rsidRDefault="00DE29D4" w:rsidP="00DE29D4">
      <w:pPr>
        <w:pStyle w:val="Textparagrafu"/>
        <w:numPr>
          <w:ilvl w:val="0"/>
          <w:numId w:val="27"/>
        </w:numPr>
        <w:tabs>
          <w:tab w:val="left" w:pos="392"/>
          <w:tab w:val="left" w:pos="840"/>
        </w:tabs>
        <w:spacing w:before="0"/>
        <w:ind w:left="425" w:hanging="425"/>
      </w:pPr>
      <w:r>
        <w:t>f)</w:t>
      </w:r>
      <w:r>
        <w:tab/>
      </w:r>
      <w:r w:rsidRPr="00DB7E9B">
        <w:t>zveřejnění rozhodnutí o přestupku.</w:t>
      </w:r>
    </w:p>
    <w:p w14:paraId="06FCC77C" w14:textId="77777777" w:rsidR="00DE29D4" w:rsidRDefault="00DE29D4" w:rsidP="00992796">
      <w:pPr>
        <w:pStyle w:val="Paragraf"/>
        <w:numPr>
          <w:ilvl w:val="0"/>
          <w:numId w:val="64"/>
        </w:numPr>
        <w:spacing w:after="120"/>
      </w:pPr>
      <w:r>
        <w:lastRenderedPageBreak/>
        <w:t>§ 49</w:t>
      </w:r>
    </w:p>
    <w:p w14:paraId="2A7D9F96" w14:textId="77777777" w:rsidR="00DE29D4" w:rsidRDefault="00DE29D4" w:rsidP="00DE29D4">
      <w:pPr>
        <w:pStyle w:val="Nadpisparagrafu"/>
        <w:spacing w:after="120"/>
      </w:pPr>
      <w:r w:rsidRPr="00DB7E9B">
        <w:t>Porušení povinností úvěrovými a finančními institucemi</w:t>
      </w:r>
    </w:p>
    <w:p w14:paraId="30601888" w14:textId="77777777" w:rsidR="00DE29D4" w:rsidRDefault="00DE29D4" w:rsidP="00DE29D4">
      <w:pPr>
        <w:pStyle w:val="Textodstavce"/>
        <w:spacing w:before="240"/>
        <w:ind w:firstLine="425"/>
      </w:pPr>
      <w:r>
        <w:t xml:space="preserve">(1) </w:t>
      </w:r>
      <w:r w:rsidRPr="00DB7E9B">
        <w:t>Povinná osoba jako poskytovatel platebních služeb nebo jako zprostředkující poskytovatel platebních služeb se při převodu peněžních prostředků dopustí přestupku tím, že v rozporu s přímo použitelným předpisem Evropské unie upravujícím informace doprovázející bezhotovostní převody peněžních prostředků</w:t>
      </w:r>
      <w:r>
        <w:rPr>
          <w:rStyle w:val="Znakapoznpodarou"/>
        </w:rPr>
        <w:footnoteReference w:customMarkFollows="1" w:id="516"/>
        <w:t>20)</w:t>
      </w:r>
      <w:r w:rsidRPr="00DB7E9B">
        <w:t>,</w:t>
      </w:r>
    </w:p>
    <w:p w14:paraId="7199E77B" w14:textId="77777777" w:rsidR="00DE29D4" w:rsidRDefault="00DE29D4" w:rsidP="00DE29D4">
      <w:pPr>
        <w:pStyle w:val="Textparagrafu"/>
        <w:numPr>
          <w:ilvl w:val="0"/>
          <w:numId w:val="27"/>
        </w:numPr>
        <w:tabs>
          <w:tab w:val="left" w:pos="392"/>
          <w:tab w:val="left" w:pos="840"/>
        </w:tabs>
        <w:spacing w:before="0"/>
        <w:ind w:left="425" w:hanging="425"/>
      </w:pPr>
      <w:r>
        <w:t>a)</w:t>
      </w:r>
      <w:r>
        <w:tab/>
      </w:r>
      <w:r w:rsidRPr="00DB7E9B">
        <w:t>nezajistí, aby převod peněžních prostředků doprovázely informace o plátci a příjemci,</w:t>
      </w:r>
    </w:p>
    <w:p w14:paraId="38523DDD" w14:textId="77777777" w:rsidR="00DE29D4" w:rsidRDefault="00DE29D4" w:rsidP="00DE29D4">
      <w:pPr>
        <w:pStyle w:val="Textparagrafu"/>
        <w:numPr>
          <w:ilvl w:val="0"/>
          <w:numId w:val="27"/>
        </w:numPr>
        <w:tabs>
          <w:tab w:val="left" w:pos="392"/>
          <w:tab w:val="left" w:pos="840"/>
        </w:tabs>
        <w:spacing w:before="0"/>
        <w:ind w:left="425" w:hanging="425"/>
      </w:pPr>
      <w:r>
        <w:t>b)</w:t>
      </w:r>
      <w:r>
        <w:tab/>
      </w:r>
      <w:r w:rsidRPr="00DB7E9B">
        <w:t>nemá zavedeny efektivní postupy pro identifikaci chybějících nebo neúplných informací o plátci a příjemci,</w:t>
      </w:r>
    </w:p>
    <w:p w14:paraId="461C1B94" w14:textId="77777777" w:rsidR="00DE29D4" w:rsidRDefault="00DE29D4" w:rsidP="00DE29D4">
      <w:pPr>
        <w:pStyle w:val="Textparagrafu"/>
        <w:numPr>
          <w:ilvl w:val="0"/>
          <w:numId w:val="27"/>
        </w:numPr>
        <w:tabs>
          <w:tab w:val="left" w:pos="392"/>
          <w:tab w:val="left" w:pos="840"/>
        </w:tabs>
        <w:spacing w:before="0"/>
        <w:ind w:left="425" w:hanging="425"/>
      </w:pPr>
      <w:r>
        <w:t>c)</w:t>
      </w:r>
      <w:r>
        <w:tab/>
      </w:r>
      <w:r w:rsidRPr="00DB7E9B">
        <w:t>nepřijme odpovídající opatření vůči poskytovateli platebních služeb plátce, který při převodu peněžních prostředků nezajistí, aby platba byla doprovázena informací o plátci a příjemci, nebo</w:t>
      </w:r>
    </w:p>
    <w:p w14:paraId="3F5AE3DE" w14:textId="77777777" w:rsidR="00DE29D4" w:rsidRDefault="00DE29D4" w:rsidP="00DE29D4">
      <w:pPr>
        <w:pStyle w:val="Textparagrafu"/>
        <w:numPr>
          <w:ilvl w:val="0"/>
          <w:numId w:val="27"/>
        </w:numPr>
        <w:tabs>
          <w:tab w:val="left" w:pos="392"/>
          <w:tab w:val="left" w:pos="840"/>
        </w:tabs>
        <w:spacing w:before="0"/>
        <w:ind w:left="425" w:hanging="425"/>
      </w:pPr>
      <w:r>
        <w:t>d)</w:t>
      </w:r>
      <w:r>
        <w:tab/>
      </w:r>
      <w:r w:rsidRPr="00DB7E9B">
        <w:t>nezpřístupní na vyžádání poskytovateli platebních služeb příjemce úplné informace o plátci a příjemci v případech, kdy převod není doprovázen úplnou informací o plátci a příjemci.</w:t>
      </w:r>
    </w:p>
    <w:p w14:paraId="1CE49318" w14:textId="77777777" w:rsidR="00DE29D4" w:rsidRDefault="00DE29D4" w:rsidP="00CD43B5">
      <w:pPr>
        <w:pStyle w:val="Textodstavce"/>
        <w:ind w:firstLine="425"/>
      </w:pPr>
      <w:r>
        <w:t xml:space="preserve">(2) </w:t>
      </w:r>
      <w:r w:rsidRPr="00DB7E9B">
        <w:t>Úvěrová nebo finanční instituce se dopustí přestupku tím, že poruší některou z povinností stanovených pro korespondenční vztah podle § 25 odst. 1 až 4.</w:t>
      </w:r>
    </w:p>
    <w:p w14:paraId="07EBB239" w14:textId="77777777" w:rsidR="00DE29D4" w:rsidRDefault="00DE29D4" w:rsidP="00CD43B5">
      <w:pPr>
        <w:pStyle w:val="Textodstavce"/>
        <w:ind w:firstLine="425"/>
      </w:pPr>
      <w:r>
        <w:t xml:space="preserve">(3) </w:t>
      </w:r>
      <w:r w:rsidRPr="00DB7E9B">
        <w:t>Zahraniční poskytovatel platebních služeb se dopustí přestupku tím, že v rozporu s § 25a</w:t>
      </w:r>
    </w:p>
    <w:p w14:paraId="7820F884" w14:textId="77777777" w:rsidR="00DE29D4" w:rsidRDefault="00DE29D4" w:rsidP="00DE29D4">
      <w:pPr>
        <w:pStyle w:val="Textparagrafu"/>
        <w:numPr>
          <w:ilvl w:val="0"/>
          <w:numId w:val="27"/>
        </w:numPr>
        <w:tabs>
          <w:tab w:val="left" w:pos="392"/>
          <w:tab w:val="left" w:pos="840"/>
        </w:tabs>
        <w:spacing w:before="0"/>
        <w:ind w:left="425" w:hanging="425"/>
      </w:pPr>
      <w:r>
        <w:t>a)</w:t>
      </w:r>
      <w:r>
        <w:tab/>
      </w:r>
      <w:r w:rsidRPr="00DB7E9B">
        <w:t>neurčí ústřední kontaktní místo, nebo</w:t>
      </w:r>
    </w:p>
    <w:p w14:paraId="23EAC88E" w14:textId="77777777" w:rsidR="00DE29D4" w:rsidRDefault="00DE29D4" w:rsidP="00DE29D4">
      <w:pPr>
        <w:pStyle w:val="Textparagrafu"/>
        <w:numPr>
          <w:ilvl w:val="0"/>
          <w:numId w:val="27"/>
        </w:numPr>
        <w:tabs>
          <w:tab w:val="left" w:pos="392"/>
          <w:tab w:val="left" w:pos="840"/>
        </w:tabs>
        <w:spacing w:before="0"/>
        <w:ind w:left="425" w:hanging="425"/>
      </w:pPr>
      <w:r>
        <w:t>b)</w:t>
      </w:r>
      <w:r>
        <w:tab/>
      </w:r>
      <w:r w:rsidRPr="00DB7E9B">
        <w:t>nevykonává činnost ústředního kontaktního místa ve vymezeném rozsahu.</w:t>
      </w:r>
    </w:p>
    <w:p w14:paraId="011CB8F2" w14:textId="77777777" w:rsidR="00DE29D4" w:rsidRDefault="00DE29D4" w:rsidP="00CD43B5">
      <w:pPr>
        <w:pStyle w:val="Textodstavce"/>
        <w:ind w:firstLine="425"/>
      </w:pPr>
      <w:r>
        <w:t xml:space="preserve">(4) </w:t>
      </w:r>
      <w:r w:rsidRPr="00DB7E9B">
        <w:t>Osoba podle § 29 odst. 1 se dopustí přestupku tím, že vykonává činnost na základě poštovní smlouvy a za podmínek stanovených zákonem o poštovních službách, jejímž účelem je dodání poukázané peněžní částky, bez osvědčení o způsobilosti podle § 29.</w:t>
      </w:r>
    </w:p>
    <w:p w14:paraId="45EFC8B9" w14:textId="77777777" w:rsidR="00DE29D4" w:rsidRDefault="00DE29D4" w:rsidP="00CD43B5">
      <w:pPr>
        <w:pStyle w:val="Textodstavce"/>
        <w:ind w:firstLine="425"/>
      </w:pPr>
      <w:r>
        <w:t xml:space="preserve">(5) </w:t>
      </w:r>
      <w:r w:rsidRPr="00DB7E9B">
        <w:t>Za přestupek podle odstavce 4 lze uložit pokutu do 5 000 000 Kč.</w:t>
      </w:r>
    </w:p>
    <w:p w14:paraId="1AF42C84" w14:textId="77777777" w:rsidR="00DE29D4" w:rsidRDefault="00DE29D4" w:rsidP="00CD43B5">
      <w:pPr>
        <w:pStyle w:val="Textodstavce"/>
        <w:ind w:firstLine="425"/>
      </w:pPr>
      <w:r>
        <w:t xml:space="preserve">(6) </w:t>
      </w:r>
      <w:r w:rsidRPr="00DB7E9B">
        <w:t>Za přestupek podle odstavce 1 až 3 lze uložit pokutu do 10 000 000 Kč.</w:t>
      </w:r>
    </w:p>
    <w:p w14:paraId="245C7196" w14:textId="77777777" w:rsidR="00DE29D4" w:rsidRDefault="00DE29D4" w:rsidP="00CD43B5">
      <w:pPr>
        <w:pStyle w:val="Textodstavce"/>
        <w:ind w:firstLine="425"/>
      </w:pPr>
      <w:r>
        <w:t xml:space="preserve">(7) </w:t>
      </w:r>
      <w:r w:rsidRPr="00DB7E9B">
        <w:t>Za přestupek podle odstavce 2, který byl spáchán závažně, opakovaně, nebo byl páchán soustavně, lze uložit</w:t>
      </w:r>
    </w:p>
    <w:p w14:paraId="097E52B9" w14:textId="77777777" w:rsidR="00DE29D4" w:rsidRDefault="00DE29D4" w:rsidP="00DE29D4">
      <w:pPr>
        <w:pStyle w:val="Textparagrafu"/>
        <w:numPr>
          <w:ilvl w:val="0"/>
          <w:numId w:val="27"/>
        </w:numPr>
        <w:tabs>
          <w:tab w:val="left" w:pos="392"/>
          <w:tab w:val="left" w:pos="840"/>
        </w:tabs>
        <w:spacing w:before="0"/>
        <w:ind w:left="425" w:hanging="425"/>
      </w:pPr>
      <w:r>
        <w:t>a)</w:t>
      </w:r>
      <w:r>
        <w:tab/>
      </w:r>
      <w:r w:rsidRPr="00DB7E9B">
        <w:t>pokutu do výše dvojnásobku neoprávněně získaného prospěchu nebo do 30 000 000 Kč, podle toho, která z těchto hodnot je vyšší,</w:t>
      </w:r>
    </w:p>
    <w:p w14:paraId="4E3844C5" w14:textId="77777777" w:rsidR="00DE29D4" w:rsidRDefault="00DE29D4" w:rsidP="00DE29D4">
      <w:pPr>
        <w:pStyle w:val="Textparagrafu"/>
        <w:numPr>
          <w:ilvl w:val="0"/>
          <w:numId w:val="27"/>
        </w:numPr>
        <w:tabs>
          <w:tab w:val="left" w:pos="392"/>
          <w:tab w:val="left" w:pos="840"/>
        </w:tabs>
        <w:spacing w:before="0"/>
        <w:ind w:left="425" w:hanging="425"/>
      </w:pPr>
      <w:r>
        <w:t>b)</w:t>
      </w:r>
      <w:r>
        <w:tab/>
      </w:r>
      <w:r w:rsidRPr="00DB7E9B">
        <w:t>pokutu do výše dvojnásobku neoprávněně získaného prospěchu nebo do 130 000 000 Kč, podle toho, která z těchto hodnot je vyšší, je-li pachatelem finanční instituce,</w:t>
      </w:r>
    </w:p>
    <w:p w14:paraId="5FB310EE" w14:textId="77777777" w:rsidR="00DE29D4" w:rsidRPr="00C550B2" w:rsidRDefault="00DE29D4" w:rsidP="00DE29D4">
      <w:pPr>
        <w:pStyle w:val="Textparagrafu"/>
        <w:numPr>
          <w:ilvl w:val="0"/>
          <w:numId w:val="27"/>
        </w:numPr>
        <w:tabs>
          <w:tab w:val="left" w:pos="392"/>
          <w:tab w:val="left" w:pos="840"/>
        </w:tabs>
        <w:spacing w:before="0"/>
        <w:ind w:left="425" w:hanging="425"/>
      </w:pPr>
      <w:r>
        <w:t>c)</w:t>
      </w:r>
      <w:r>
        <w:tab/>
      </w:r>
      <w:r w:rsidRPr="00DB7E9B">
        <w:t xml:space="preserve">pokutu do výše dvojnásobku neoprávněně získaného prospěchu, do výše 130 000 000 Kč nebo do </w:t>
      </w:r>
      <w:r w:rsidRPr="00C550B2">
        <w:t xml:space="preserve">výše 10 % čistého ročního obratu dosaženého pachatelem podle poslední řádné </w:t>
      </w:r>
      <w:r w:rsidRPr="00C550B2">
        <w:rPr>
          <w:b/>
        </w:rPr>
        <w:t>individuální</w:t>
      </w:r>
      <w:r w:rsidRPr="00C550B2">
        <w:t xml:space="preserve"> účetní závěrky, podle toho, která z těchto hodnot je vyšší, je-li pachatelem úvěrová nebo finanční instituce, která je právnickou osobou,</w:t>
      </w:r>
    </w:p>
    <w:p w14:paraId="739D72B8" w14:textId="77777777" w:rsidR="00DE29D4" w:rsidRDefault="00DE29D4" w:rsidP="00DE29D4">
      <w:pPr>
        <w:pStyle w:val="Textparagrafu"/>
        <w:numPr>
          <w:ilvl w:val="0"/>
          <w:numId w:val="27"/>
        </w:numPr>
        <w:tabs>
          <w:tab w:val="left" w:pos="392"/>
          <w:tab w:val="left" w:pos="840"/>
        </w:tabs>
        <w:spacing w:before="0"/>
        <w:ind w:left="425" w:hanging="425"/>
      </w:pPr>
      <w:r w:rsidRPr="00C550B2">
        <w:t>d)</w:t>
      </w:r>
      <w:r w:rsidRPr="00C550B2">
        <w:tab/>
        <w:t xml:space="preserve">pokutu do výše dvojnásobku neoprávněně získaného prospěchu, do výše 130 000 000 Kč nebo do výše 10 % čistého ročního obratu dosaženého podle poslední </w:t>
      </w:r>
      <w:r w:rsidRPr="00C550B2">
        <w:rPr>
          <w:b/>
        </w:rPr>
        <w:t xml:space="preserve">řádné </w:t>
      </w:r>
      <w:r w:rsidRPr="00C550B2">
        <w:t xml:space="preserve">konsolidované účetní závěrky konsolidačním celkem, do kterého je pachatel zahrnut, podle </w:t>
      </w:r>
      <w:r w:rsidRPr="00DB7E9B">
        <w:t>toho, která z těchto hodnot je vyšší, je-li pachatelem úvěrová nebo finanční instituce, která je právnickou osobou zahrnutou do konsolidačního celku,</w:t>
      </w:r>
    </w:p>
    <w:p w14:paraId="7A46EB23" w14:textId="77777777" w:rsidR="00DE29D4" w:rsidRDefault="00DE29D4" w:rsidP="00DE29D4">
      <w:pPr>
        <w:pStyle w:val="Textparagrafu"/>
        <w:numPr>
          <w:ilvl w:val="0"/>
          <w:numId w:val="27"/>
        </w:numPr>
        <w:tabs>
          <w:tab w:val="left" w:pos="392"/>
          <w:tab w:val="left" w:pos="840"/>
        </w:tabs>
        <w:spacing w:before="0"/>
        <w:ind w:left="425" w:hanging="425"/>
      </w:pPr>
      <w:r>
        <w:lastRenderedPageBreak/>
        <w:t>e)</w:t>
      </w:r>
      <w:r>
        <w:tab/>
      </w:r>
      <w:r w:rsidRPr="00DB7E9B">
        <w:t>zákaz činnosti, nebo</w:t>
      </w:r>
    </w:p>
    <w:p w14:paraId="0DB785F2" w14:textId="77777777" w:rsidR="00DE29D4" w:rsidRDefault="00DE29D4" w:rsidP="00DE29D4">
      <w:pPr>
        <w:pStyle w:val="Textparagrafu"/>
        <w:numPr>
          <w:ilvl w:val="0"/>
          <w:numId w:val="27"/>
        </w:numPr>
        <w:tabs>
          <w:tab w:val="left" w:pos="392"/>
          <w:tab w:val="left" w:pos="840"/>
        </w:tabs>
        <w:spacing w:before="0"/>
        <w:ind w:left="425" w:hanging="425"/>
      </w:pPr>
      <w:r>
        <w:t>f)</w:t>
      </w:r>
      <w:r>
        <w:tab/>
      </w:r>
      <w:r w:rsidRPr="00DB7E9B">
        <w:t>zveřejnění rozhodnutí o přestupku.</w:t>
      </w:r>
    </w:p>
    <w:p w14:paraId="51A8E86B" w14:textId="50A9290E" w:rsidR="0022762B" w:rsidRDefault="0022762B">
      <w:pPr>
        <w:pStyle w:val="Textparagrafu"/>
        <w:tabs>
          <w:tab w:val="left" w:pos="392"/>
          <w:tab w:val="left" w:pos="840"/>
        </w:tabs>
        <w:spacing w:after="120"/>
        <w:ind w:firstLine="0"/>
        <w:jc w:val="center"/>
      </w:pPr>
    </w:p>
    <w:p w14:paraId="6E9982F2" w14:textId="77777777" w:rsidR="009C37A5" w:rsidRDefault="009C37A5">
      <w:pPr>
        <w:pStyle w:val="Textparagrafu"/>
        <w:tabs>
          <w:tab w:val="left" w:pos="392"/>
          <w:tab w:val="left" w:pos="840"/>
        </w:tabs>
        <w:spacing w:after="120"/>
        <w:ind w:firstLine="0"/>
        <w:jc w:val="center"/>
        <w:sectPr w:rsidR="009C37A5" w:rsidSect="00554E2B">
          <w:footnotePr>
            <w:numStart w:val="3"/>
          </w:footnotePr>
          <w:endnotePr>
            <w:numFmt w:val="decimal"/>
          </w:endnotePr>
          <w:pgSz w:w="11906" w:h="16838"/>
          <w:pgMar w:top="1418" w:right="1418" w:bottom="1418" w:left="1418" w:header="709" w:footer="709" w:gutter="0"/>
          <w:cols w:space="708"/>
          <w:docGrid w:linePitch="360"/>
        </w:sectPr>
      </w:pPr>
    </w:p>
    <w:p w14:paraId="124169BD" w14:textId="5AFA367C" w:rsidR="009C37A5" w:rsidRPr="009A125D" w:rsidRDefault="009C37A5" w:rsidP="00CD43B5">
      <w:pPr>
        <w:tabs>
          <w:tab w:val="left" w:pos="851"/>
        </w:tabs>
        <w:spacing w:before="120" w:after="120"/>
        <w:ind w:firstLine="0"/>
        <w:jc w:val="center"/>
        <w:outlineLvl w:val="0"/>
        <w:rPr>
          <w:szCs w:val="24"/>
        </w:rPr>
      </w:pPr>
      <w:r w:rsidRPr="009A125D">
        <w:rPr>
          <w:b/>
          <w:szCs w:val="24"/>
        </w:rPr>
        <w:lastRenderedPageBreak/>
        <w:t xml:space="preserve">K části devadesáté </w:t>
      </w:r>
      <w:r w:rsidR="00721E99">
        <w:rPr>
          <w:b/>
          <w:szCs w:val="24"/>
        </w:rPr>
        <w:t>osmé</w:t>
      </w:r>
      <w:r w:rsidRPr="009A125D">
        <w:rPr>
          <w:b/>
          <w:szCs w:val="24"/>
        </w:rPr>
        <w:t xml:space="preserve"> návrhu zákona – </w:t>
      </w:r>
      <w:r w:rsidRPr="009A125D">
        <w:rPr>
          <w:szCs w:val="24"/>
        </w:rPr>
        <w:t>změna zákona</w:t>
      </w:r>
      <w:r w:rsidRPr="009A125D">
        <w:t xml:space="preserve"> </w:t>
      </w:r>
      <w:r w:rsidRPr="009A125D">
        <w:rPr>
          <w:szCs w:val="24"/>
        </w:rPr>
        <w:t>o Policii České republiky</w:t>
      </w:r>
    </w:p>
    <w:p w14:paraId="728239D2" w14:textId="415F9460" w:rsidR="009C37A5" w:rsidRPr="009A125D" w:rsidRDefault="009C37A5" w:rsidP="009C37A5">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9A125D">
        <w:rPr>
          <w:b/>
          <w:szCs w:val="24"/>
        </w:rPr>
        <w:t>Platné znění</w:t>
      </w:r>
      <w:r w:rsidRPr="009A125D">
        <w:rPr>
          <w:szCs w:val="24"/>
        </w:rPr>
        <w:t xml:space="preserve"> zákona č. 273/2008 Sb., o Policii České republiky</w:t>
      </w:r>
    </w:p>
    <w:p w14:paraId="08F1160B" w14:textId="40525A45" w:rsidR="009C37A5" w:rsidRPr="009A125D" w:rsidRDefault="00CD43B5" w:rsidP="009C37A5">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AE4818">
        <w:rPr>
          <w:b/>
          <w:szCs w:val="24"/>
          <w:lang w:eastAsia="en-US"/>
        </w:rPr>
        <w:t>s vyznačením navrhovaných změn a doplnění k 1. lednu 2025</w:t>
      </w:r>
    </w:p>
    <w:p w14:paraId="68CF230C" w14:textId="77777777" w:rsidR="00D85A83" w:rsidRDefault="00D85A83" w:rsidP="00D85A83">
      <w:pPr>
        <w:pStyle w:val="Nadpisparagrafu"/>
        <w:numPr>
          <w:ilvl w:val="0"/>
          <w:numId w:val="2"/>
        </w:numPr>
      </w:pPr>
      <w:r>
        <w:t>***</w:t>
      </w:r>
    </w:p>
    <w:p w14:paraId="6D807326" w14:textId="77777777" w:rsidR="00D85A83" w:rsidRDefault="00D85A83" w:rsidP="00D85A83">
      <w:pPr>
        <w:pStyle w:val="Textodstavce"/>
        <w:jc w:val="center"/>
      </w:pPr>
      <w:r>
        <w:t>§ 7</w:t>
      </w:r>
    </w:p>
    <w:p w14:paraId="73CE794E" w14:textId="77777777" w:rsidR="00D85A83" w:rsidRPr="00D85A83" w:rsidRDefault="00D85A83" w:rsidP="00D85A83">
      <w:pPr>
        <w:pStyle w:val="Textparagrafu"/>
      </w:pPr>
      <w:bookmarkStart w:id="65" w:name="_Hlk166141507"/>
      <w:r w:rsidRPr="00D85A83">
        <w:t xml:space="preserve">Policejní prezidium a útvary policie s celostátní působností </w:t>
      </w:r>
      <w:r w:rsidRPr="00D85A83">
        <w:rPr>
          <w:strike/>
        </w:rPr>
        <w:t>se</w:t>
      </w:r>
      <w:r w:rsidRPr="00D85A83">
        <w:t xml:space="preserve"> </w:t>
      </w:r>
      <w:r w:rsidRPr="00D85A83">
        <w:rPr>
          <w:b/>
        </w:rPr>
        <w:t>nejsou účetními jednotkami a</w:t>
      </w:r>
      <w:r w:rsidRPr="00D85A83">
        <w:t xml:space="preserve"> při nakládání s majetkem České republiky a v právních vztazích </w:t>
      </w:r>
      <w:r w:rsidRPr="00D85A83">
        <w:rPr>
          <w:b/>
        </w:rPr>
        <w:t xml:space="preserve">se </w:t>
      </w:r>
      <w:r w:rsidRPr="00D85A83">
        <w:t xml:space="preserve">považují za součást </w:t>
      </w:r>
      <w:r w:rsidRPr="00D85A83">
        <w:rPr>
          <w:strike/>
        </w:rPr>
        <w:t>organizační složky státu a účetní jednotky ministerstvo</w:t>
      </w:r>
      <w:r w:rsidRPr="00D85A83">
        <w:t xml:space="preserve"> </w:t>
      </w:r>
      <w:r w:rsidRPr="00D85A83">
        <w:rPr>
          <w:b/>
        </w:rPr>
        <w:t>ministerstva</w:t>
      </w:r>
      <w:r w:rsidRPr="00D85A83">
        <w:t>.</w:t>
      </w:r>
      <w:bookmarkEnd w:id="65"/>
    </w:p>
    <w:p w14:paraId="1BEAFEE7" w14:textId="77777777" w:rsidR="00D85A83" w:rsidRPr="00F31AE2" w:rsidRDefault="00D85A83" w:rsidP="00D85A83">
      <w:pPr>
        <w:pStyle w:val="Nadpisparagrafu"/>
        <w:numPr>
          <w:ilvl w:val="0"/>
          <w:numId w:val="2"/>
        </w:numPr>
      </w:pPr>
      <w:r w:rsidRPr="00F31AE2">
        <w:t>***</w:t>
      </w:r>
    </w:p>
    <w:p w14:paraId="2141A70E" w14:textId="77777777" w:rsidR="00D85A83" w:rsidRDefault="00D85A83" w:rsidP="00D85A83">
      <w:pPr>
        <w:pStyle w:val="Textodstavce"/>
        <w:jc w:val="center"/>
      </w:pPr>
      <w:r>
        <w:t>§ 8</w:t>
      </w:r>
    </w:p>
    <w:p w14:paraId="6EB29455" w14:textId="77777777" w:rsidR="00D85A83" w:rsidRDefault="00D85A83" w:rsidP="00CD43B5">
      <w:pPr>
        <w:pStyle w:val="Odstavec"/>
      </w:pPr>
      <w:r w:rsidRPr="007F2287">
        <w:t xml:space="preserve">(1) Krajské ředitelství je organizační složkou státu </w:t>
      </w:r>
      <w:r w:rsidRPr="007F2287">
        <w:rPr>
          <w:strike/>
        </w:rPr>
        <w:t>a účetní jednotkou</w:t>
      </w:r>
      <w:r w:rsidRPr="007F2287">
        <w:t xml:space="preserve">, jehož příjmy a </w:t>
      </w:r>
      <w:r w:rsidRPr="00FB4B69">
        <w:t>výdaje jsou součástí rozpočtové kapitoly ministerstva. V čele krajského ředitelství je krajský ředitel, který je také vedoucím organizační složky státu. Útvary policie zřízené v rámci jeho působnosti jsou vnitřními organizačními jednotkami krajského ředitelství.</w:t>
      </w:r>
    </w:p>
    <w:p w14:paraId="53F16F53" w14:textId="77777777" w:rsidR="00D85A83" w:rsidRDefault="00D85A83" w:rsidP="00CD43B5">
      <w:pPr>
        <w:pStyle w:val="Odstavec"/>
      </w:pPr>
      <w:r>
        <w:t xml:space="preserve">(2) </w:t>
      </w:r>
      <w:r w:rsidRPr="00FB4B69">
        <w:t>V policii se zřizuje 14 krajských ředitelství, jejichž názvy a sídla jsou uvedeny v příloze k tomuto zákonu. Územní obvod krajského ředitelství je shodný s územním obvodem vyššího územního samosprávného celku.</w:t>
      </w:r>
    </w:p>
    <w:p w14:paraId="49C8B611" w14:textId="77777777" w:rsidR="009C37A5" w:rsidRDefault="009C37A5">
      <w:pPr>
        <w:pStyle w:val="Textparagrafu"/>
        <w:tabs>
          <w:tab w:val="left" w:pos="392"/>
          <w:tab w:val="left" w:pos="840"/>
        </w:tabs>
        <w:spacing w:after="120"/>
        <w:ind w:firstLine="0"/>
        <w:jc w:val="center"/>
        <w:sectPr w:rsidR="009C37A5" w:rsidSect="00554E2B">
          <w:footnotePr>
            <w:numStart w:val="3"/>
          </w:footnotePr>
          <w:endnotePr>
            <w:numFmt w:val="decimal"/>
          </w:endnotePr>
          <w:pgSz w:w="11906" w:h="16838"/>
          <w:pgMar w:top="1418" w:right="1418" w:bottom="1418" w:left="1418" w:header="709" w:footer="709" w:gutter="0"/>
          <w:cols w:space="708"/>
          <w:docGrid w:linePitch="360"/>
        </w:sectPr>
      </w:pPr>
    </w:p>
    <w:p w14:paraId="33FD79AD" w14:textId="26F2C589" w:rsidR="009C37A5" w:rsidRPr="005802DC" w:rsidRDefault="009C37A5" w:rsidP="00CD43B5">
      <w:pPr>
        <w:tabs>
          <w:tab w:val="left" w:pos="851"/>
        </w:tabs>
        <w:spacing w:before="120" w:after="120"/>
        <w:ind w:firstLine="0"/>
        <w:jc w:val="center"/>
        <w:outlineLvl w:val="0"/>
        <w:rPr>
          <w:szCs w:val="24"/>
        </w:rPr>
      </w:pPr>
      <w:r w:rsidRPr="005802DC">
        <w:rPr>
          <w:b/>
          <w:szCs w:val="24"/>
        </w:rPr>
        <w:lastRenderedPageBreak/>
        <w:t xml:space="preserve">K části devadesáté </w:t>
      </w:r>
      <w:r w:rsidR="00721E99">
        <w:rPr>
          <w:b/>
          <w:szCs w:val="24"/>
        </w:rPr>
        <w:t>deváté</w:t>
      </w:r>
      <w:r w:rsidRPr="005802DC">
        <w:rPr>
          <w:b/>
          <w:szCs w:val="24"/>
        </w:rPr>
        <w:t xml:space="preserve"> návrhu zákona – </w:t>
      </w:r>
      <w:r w:rsidRPr="005802DC">
        <w:rPr>
          <w:szCs w:val="24"/>
        </w:rPr>
        <w:t>změna trestního zákoníku</w:t>
      </w:r>
    </w:p>
    <w:p w14:paraId="1E31B0F9" w14:textId="3F53CE9A" w:rsidR="009C37A5" w:rsidRPr="005802DC" w:rsidRDefault="009C37A5" w:rsidP="009C37A5">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5802DC">
        <w:rPr>
          <w:b/>
          <w:szCs w:val="24"/>
        </w:rPr>
        <w:t>Platné znění</w:t>
      </w:r>
      <w:r w:rsidRPr="005802DC">
        <w:rPr>
          <w:szCs w:val="24"/>
        </w:rPr>
        <w:t xml:space="preserve"> zákona č. 40/2009 Sb., trestní zákoník</w:t>
      </w:r>
    </w:p>
    <w:p w14:paraId="735F131A" w14:textId="296ACA6E" w:rsidR="009C37A5" w:rsidRPr="005802DC" w:rsidRDefault="00CD43B5" w:rsidP="009C37A5">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AE4818">
        <w:rPr>
          <w:b/>
          <w:szCs w:val="24"/>
          <w:lang w:eastAsia="en-US"/>
        </w:rPr>
        <w:t>s vyznačením navrhovaných změn a doplnění k 1. lednu 2025</w:t>
      </w:r>
    </w:p>
    <w:p w14:paraId="62369931" w14:textId="77777777" w:rsidR="009C37A5" w:rsidRPr="005802DC" w:rsidRDefault="009C37A5" w:rsidP="009C37A5">
      <w:pPr>
        <w:pStyle w:val="Textparagrafu"/>
        <w:numPr>
          <w:ilvl w:val="0"/>
          <w:numId w:val="27"/>
        </w:numPr>
        <w:tabs>
          <w:tab w:val="left" w:pos="392"/>
          <w:tab w:val="left" w:pos="840"/>
        </w:tabs>
        <w:spacing w:after="120"/>
        <w:jc w:val="center"/>
      </w:pPr>
      <w:r w:rsidRPr="005802DC">
        <w:t>***</w:t>
      </w:r>
    </w:p>
    <w:p w14:paraId="7878960E" w14:textId="2679D6B9" w:rsidR="005802DC" w:rsidRPr="00FB5302" w:rsidRDefault="009C37A5" w:rsidP="00356FBA">
      <w:pPr>
        <w:tabs>
          <w:tab w:val="left" w:pos="426"/>
        </w:tabs>
        <w:spacing w:after="120"/>
        <w:ind w:firstLine="0"/>
        <w:jc w:val="center"/>
        <w:rPr>
          <w:color w:val="000000"/>
          <w:szCs w:val="24"/>
        </w:rPr>
      </w:pPr>
      <w:r w:rsidRPr="005802DC">
        <w:t>§</w:t>
      </w:r>
      <w:r w:rsidR="00356FBA">
        <w:rPr>
          <w:color w:val="000000"/>
          <w:szCs w:val="24"/>
        </w:rPr>
        <w:t xml:space="preserve"> </w:t>
      </w:r>
      <w:r w:rsidR="005802DC" w:rsidRPr="00FB5302">
        <w:rPr>
          <w:color w:val="000000"/>
          <w:szCs w:val="24"/>
        </w:rPr>
        <w:t>254</w:t>
      </w:r>
    </w:p>
    <w:p w14:paraId="452181E5" w14:textId="77777777" w:rsidR="005802DC" w:rsidRPr="00356FBA" w:rsidRDefault="005802DC" w:rsidP="00356FBA">
      <w:pPr>
        <w:tabs>
          <w:tab w:val="left" w:pos="426"/>
        </w:tabs>
        <w:spacing w:after="120"/>
        <w:ind w:firstLine="0"/>
        <w:jc w:val="center"/>
        <w:rPr>
          <w:b/>
          <w:color w:val="000000"/>
          <w:szCs w:val="24"/>
        </w:rPr>
      </w:pPr>
      <w:r w:rsidRPr="00356FBA">
        <w:rPr>
          <w:b/>
          <w:color w:val="000000"/>
          <w:szCs w:val="24"/>
        </w:rPr>
        <w:t>Zkreslování údajů o stavu hospodaření a jmění</w:t>
      </w:r>
    </w:p>
    <w:p w14:paraId="31811884" w14:textId="77777777" w:rsidR="005802DC" w:rsidRPr="00FB5302" w:rsidRDefault="005802DC" w:rsidP="00356FBA">
      <w:pPr>
        <w:pStyle w:val="Odstavec"/>
        <w:spacing w:before="0" w:after="0"/>
        <w:rPr>
          <w:szCs w:val="24"/>
        </w:rPr>
      </w:pPr>
      <w:bookmarkStart w:id="66" w:name="_Hlk166828119"/>
      <w:r w:rsidRPr="00FB5302">
        <w:rPr>
          <w:szCs w:val="24"/>
        </w:rPr>
        <w:t xml:space="preserve">(1) Kdo nevede </w:t>
      </w:r>
      <w:r w:rsidRPr="00FB5302">
        <w:rPr>
          <w:strike/>
          <w:szCs w:val="24"/>
        </w:rPr>
        <w:t>účetní knihy, zápisy nebo</w:t>
      </w:r>
      <w:r w:rsidRPr="00FB5302">
        <w:rPr>
          <w:b/>
          <w:bCs/>
          <w:szCs w:val="24"/>
        </w:rPr>
        <w:t xml:space="preserve"> účetnictví nebo nevyhotovuje </w:t>
      </w:r>
      <w:r w:rsidRPr="00FB5302">
        <w:rPr>
          <w:szCs w:val="24"/>
        </w:rPr>
        <w:t>jiné doklady sloužící k přehledu o stavu hospodaření a majetku nebo k jejich kontrole, ač je k tomu podle zákona povinen,</w:t>
      </w:r>
    </w:p>
    <w:p w14:paraId="40965020" w14:textId="77777777" w:rsidR="005802DC" w:rsidRPr="00FB5302" w:rsidRDefault="005802DC" w:rsidP="00356FBA">
      <w:pPr>
        <w:pStyle w:val="Textparagrafu"/>
        <w:spacing w:before="0"/>
        <w:rPr>
          <w:szCs w:val="24"/>
        </w:rPr>
      </w:pPr>
      <w:r w:rsidRPr="00FB5302">
        <w:t xml:space="preserve">kdo v </w:t>
      </w:r>
      <w:r w:rsidRPr="00FB5302">
        <w:rPr>
          <w:strike/>
        </w:rPr>
        <w:t>takových účetních knihách, zápisech</w:t>
      </w:r>
      <w:r w:rsidRPr="00FB5302">
        <w:t xml:space="preserve"> </w:t>
      </w:r>
      <w:r w:rsidRPr="00FB5302">
        <w:rPr>
          <w:b/>
          <w:bCs/>
        </w:rPr>
        <w:t>účetních závěrkách,</w:t>
      </w:r>
      <w:r w:rsidRPr="00FB5302">
        <w:t xml:space="preserve"> </w:t>
      </w:r>
      <w:r w:rsidRPr="00FB5302">
        <w:rPr>
          <w:b/>
          <w:bCs/>
        </w:rPr>
        <w:t>účetních záznamech, účetních dokumentech</w:t>
      </w:r>
      <w:r w:rsidRPr="00FB5302">
        <w:t xml:space="preserve"> nebo jiných dokladech </w:t>
      </w:r>
      <w:r w:rsidRPr="00FB5302">
        <w:rPr>
          <w:b/>
          <w:bCs/>
        </w:rPr>
        <w:t>sloužících k přehledu o stavu hospodaření a</w:t>
      </w:r>
      <w:r>
        <w:rPr>
          <w:b/>
          <w:bCs/>
        </w:rPr>
        <w:t> </w:t>
      </w:r>
      <w:r w:rsidRPr="00FB5302">
        <w:rPr>
          <w:b/>
          <w:bCs/>
        </w:rPr>
        <w:t>majetku</w:t>
      </w:r>
      <w:r w:rsidRPr="00FB5302">
        <w:t xml:space="preserve"> </w:t>
      </w:r>
      <w:r w:rsidRPr="00FB5302">
        <w:rPr>
          <w:b/>
          <w:bCs/>
        </w:rPr>
        <w:t>nebo k jejich kontrole</w:t>
      </w:r>
      <w:r w:rsidRPr="00FB5302">
        <w:t xml:space="preserve"> uvede nepravdivé nebo hrubě zkreslené údaje, nebo</w:t>
      </w:r>
    </w:p>
    <w:p w14:paraId="618CC319" w14:textId="77777777" w:rsidR="005802DC" w:rsidRPr="00FB5302" w:rsidRDefault="005802DC" w:rsidP="00356FBA">
      <w:pPr>
        <w:pStyle w:val="Textparagrafu"/>
        <w:spacing w:before="0"/>
      </w:pPr>
      <w:r w:rsidRPr="00FB5302">
        <w:t xml:space="preserve">kdo </w:t>
      </w:r>
      <w:r w:rsidRPr="00FB5302">
        <w:rPr>
          <w:strike/>
        </w:rPr>
        <w:t>takové účetní knihy, zápisy</w:t>
      </w:r>
      <w:r w:rsidRPr="00FB5302">
        <w:t xml:space="preserve"> </w:t>
      </w:r>
      <w:r w:rsidRPr="00FB5302">
        <w:rPr>
          <w:b/>
          <w:bCs/>
        </w:rPr>
        <w:t xml:space="preserve">účetní závěrky, účetní záznamy, účetní dokumenty </w:t>
      </w:r>
      <w:r w:rsidRPr="00FB5302">
        <w:t xml:space="preserve">nebo jiné doklady </w:t>
      </w:r>
      <w:r w:rsidRPr="00FB5302">
        <w:rPr>
          <w:b/>
          <w:bCs/>
        </w:rPr>
        <w:t>sloužící k přehledu o stavu hospodaření a majetku nebo k jejich kontrole</w:t>
      </w:r>
      <w:r w:rsidRPr="00FB5302">
        <w:t xml:space="preserve"> změní, zničí, poškodí, učiní neupotřebitelnými nebo zatají, </w:t>
      </w:r>
    </w:p>
    <w:bookmarkEnd w:id="66"/>
    <w:p w14:paraId="7025905D" w14:textId="77777777" w:rsidR="005802DC" w:rsidRPr="00FB5302" w:rsidRDefault="005802DC" w:rsidP="00356FBA">
      <w:pPr>
        <w:pStyle w:val="Textparagrafu"/>
        <w:spacing w:before="0"/>
      </w:pPr>
      <w:r w:rsidRPr="00FB5302">
        <w:t>a ohrozí tak majetková práva jiného nebo včasné a řádné vyměření daně, bude potrestán odnětím svobody až na dvě léta nebo zákazem činnosti.</w:t>
      </w:r>
    </w:p>
    <w:p w14:paraId="6C202A68" w14:textId="77777777" w:rsidR="005802DC" w:rsidRPr="00FB5302" w:rsidRDefault="005802DC" w:rsidP="00356FBA">
      <w:pPr>
        <w:tabs>
          <w:tab w:val="left" w:pos="426"/>
        </w:tabs>
        <w:spacing w:after="120"/>
        <w:rPr>
          <w:color w:val="000000"/>
          <w:szCs w:val="24"/>
        </w:rPr>
      </w:pPr>
      <w:r w:rsidRPr="00FB5302">
        <w:rPr>
          <w:color w:val="000000"/>
          <w:szCs w:val="24"/>
        </w:rPr>
        <w:t>(2) Stejně bude potrestán,</w:t>
      </w:r>
    </w:p>
    <w:p w14:paraId="2907C3E8" w14:textId="77777777" w:rsidR="005802DC" w:rsidRPr="00FB5302" w:rsidRDefault="005802DC" w:rsidP="00356FBA">
      <w:pPr>
        <w:tabs>
          <w:tab w:val="left" w:pos="426"/>
        </w:tabs>
        <w:spacing w:before="0"/>
        <w:rPr>
          <w:color w:val="000000"/>
          <w:szCs w:val="24"/>
        </w:rPr>
      </w:pPr>
      <w:r w:rsidRPr="00FB5302">
        <w:rPr>
          <w:color w:val="000000"/>
          <w:szCs w:val="24"/>
        </w:rPr>
        <w:t>kdo uvede nepravdivé nebo hrubě zkreslené údaje v podkladech sloužících pro zápis do</w:t>
      </w:r>
      <w:r>
        <w:rPr>
          <w:color w:val="000000"/>
          <w:szCs w:val="24"/>
        </w:rPr>
        <w:t> </w:t>
      </w:r>
      <w:r w:rsidRPr="00FB5302">
        <w:rPr>
          <w:color w:val="000000"/>
          <w:szCs w:val="24"/>
        </w:rPr>
        <w:t>obchodního rejstříku, nadačního rejstříku, rejstříku obecně prospěšných společností nebo rejstříku společenství vlastníků jednotek anebo v takových podkladech zamlčí podstatné skutečnosti,</w:t>
      </w:r>
    </w:p>
    <w:p w14:paraId="29F352F4" w14:textId="77777777" w:rsidR="005802DC" w:rsidRPr="00FB5302" w:rsidRDefault="005802DC" w:rsidP="00356FBA">
      <w:pPr>
        <w:tabs>
          <w:tab w:val="left" w:pos="426"/>
        </w:tabs>
        <w:spacing w:before="0"/>
        <w:rPr>
          <w:color w:val="000000"/>
          <w:szCs w:val="24"/>
        </w:rPr>
      </w:pPr>
      <w:r w:rsidRPr="00FB5302">
        <w:rPr>
          <w:color w:val="000000"/>
          <w:szCs w:val="24"/>
        </w:rPr>
        <w:t>kdo v podkladech sloužících pro vypracování znaleckého posudku, který se přikládá k</w:t>
      </w:r>
      <w:r>
        <w:rPr>
          <w:color w:val="000000"/>
          <w:szCs w:val="24"/>
        </w:rPr>
        <w:t> </w:t>
      </w:r>
      <w:r w:rsidRPr="00FB5302">
        <w:rPr>
          <w:color w:val="000000"/>
          <w:szCs w:val="24"/>
        </w:rPr>
        <w:t>návrhu na zápis do obchodního rejstříku, nadačního rejstříku, rejstříku obecně prospěšných společností nebo rejstříku společenství vlastníků jednotek uvede nepravdivé nebo hrubě zkreslené údaje nebo v takových podkladech zamlčí podstatné údaje, nebo</w:t>
      </w:r>
    </w:p>
    <w:p w14:paraId="76C232E7" w14:textId="77777777" w:rsidR="005802DC" w:rsidRPr="00FB5302" w:rsidRDefault="005802DC" w:rsidP="00356FBA">
      <w:pPr>
        <w:tabs>
          <w:tab w:val="left" w:pos="426"/>
        </w:tabs>
        <w:spacing w:before="0"/>
        <w:rPr>
          <w:color w:val="000000"/>
          <w:szCs w:val="24"/>
        </w:rPr>
      </w:pPr>
      <w:r w:rsidRPr="00FB5302">
        <w:rPr>
          <w:color w:val="000000"/>
          <w:szCs w:val="24"/>
        </w:rPr>
        <w:t>kdo jiného ohrozí nebo omezí na právech tím, že bez zbytečného odkladu nepodá návrh na</w:t>
      </w:r>
      <w:r>
        <w:rPr>
          <w:color w:val="000000"/>
          <w:szCs w:val="24"/>
        </w:rPr>
        <w:t> </w:t>
      </w:r>
      <w:r w:rsidRPr="00FB5302">
        <w:rPr>
          <w:color w:val="000000"/>
          <w:szCs w:val="24"/>
        </w:rPr>
        <w:t>zápis zákonem stanoveného údaje do obchodního rejstříku, nadačního rejstříku, rejstříku obecně prospěšných společností nebo rejstříku společenství vlastníků jednotek nebo neuloží listinu do sbírky listin, ač je k tomu podle zákona nebo smlouvy povinen.</w:t>
      </w:r>
    </w:p>
    <w:p w14:paraId="1327C713" w14:textId="77777777" w:rsidR="005802DC" w:rsidRPr="00FB5302" w:rsidRDefault="005802DC" w:rsidP="00CD43B5">
      <w:pPr>
        <w:tabs>
          <w:tab w:val="left" w:pos="426"/>
        </w:tabs>
        <w:spacing w:before="120" w:after="120"/>
        <w:rPr>
          <w:color w:val="000000"/>
          <w:szCs w:val="24"/>
        </w:rPr>
      </w:pPr>
      <w:r w:rsidRPr="00FB5302">
        <w:rPr>
          <w:color w:val="000000"/>
          <w:szCs w:val="24"/>
        </w:rPr>
        <w:t>(3) Odnětím svobody na jeden rok až pět let nebo peněžitým trestem bude pachatel potrestán, způsobí-li činem uvedeným v odstavci 1 nebo 2 na cizím majetku značnou škodu.</w:t>
      </w:r>
    </w:p>
    <w:p w14:paraId="780CE0D1" w14:textId="77777777" w:rsidR="005802DC" w:rsidRPr="00FB5302" w:rsidRDefault="005802DC" w:rsidP="00CD43B5">
      <w:pPr>
        <w:tabs>
          <w:tab w:val="left" w:pos="426"/>
        </w:tabs>
        <w:spacing w:before="120" w:after="120"/>
        <w:rPr>
          <w:color w:val="000000"/>
          <w:szCs w:val="24"/>
        </w:rPr>
      </w:pPr>
      <w:r w:rsidRPr="00FB5302">
        <w:rPr>
          <w:color w:val="000000"/>
          <w:szCs w:val="24"/>
        </w:rPr>
        <w:t>(4) Odnětím svobody na dvě léta až osm let bude pachatel potrestán, způsobí-li činem uvedeným v odstavci 1 nebo 2 na cizím majetku škodu velkého rozsahu.</w:t>
      </w:r>
    </w:p>
    <w:p w14:paraId="639FCB5C" w14:textId="77777777" w:rsidR="009C37A5" w:rsidRDefault="009C37A5" w:rsidP="009C37A5">
      <w:pPr>
        <w:pStyle w:val="Textparagrafu"/>
        <w:tabs>
          <w:tab w:val="left" w:pos="392"/>
          <w:tab w:val="left" w:pos="840"/>
        </w:tabs>
        <w:spacing w:after="120"/>
        <w:ind w:firstLine="0"/>
        <w:jc w:val="center"/>
      </w:pPr>
    </w:p>
    <w:p w14:paraId="1414C779" w14:textId="77777777" w:rsidR="009C37A5" w:rsidRDefault="009C37A5">
      <w:pPr>
        <w:pStyle w:val="Textparagrafu"/>
        <w:tabs>
          <w:tab w:val="left" w:pos="392"/>
          <w:tab w:val="left" w:pos="840"/>
        </w:tabs>
        <w:spacing w:after="120"/>
        <w:ind w:firstLine="0"/>
        <w:jc w:val="center"/>
        <w:sectPr w:rsidR="009C37A5" w:rsidSect="00554E2B">
          <w:footnotePr>
            <w:numStart w:val="3"/>
          </w:footnotePr>
          <w:endnotePr>
            <w:numFmt w:val="decimal"/>
          </w:endnotePr>
          <w:pgSz w:w="11906" w:h="16838"/>
          <w:pgMar w:top="1418" w:right="1418" w:bottom="1418" w:left="1418" w:header="709" w:footer="709" w:gutter="0"/>
          <w:cols w:space="708"/>
          <w:docGrid w:linePitch="360"/>
        </w:sectPr>
      </w:pPr>
    </w:p>
    <w:p w14:paraId="7C3535B6" w14:textId="56594F64" w:rsidR="009C37A5" w:rsidRPr="00D7439D" w:rsidRDefault="009C37A5" w:rsidP="00DE144D">
      <w:pPr>
        <w:tabs>
          <w:tab w:val="left" w:pos="851"/>
        </w:tabs>
        <w:spacing w:before="120" w:after="120"/>
        <w:ind w:firstLine="0"/>
        <w:jc w:val="center"/>
        <w:outlineLvl w:val="0"/>
        <w:rPr>
          <w:szCs w:val="24"/>
        </w:rPr>
      </w:pPr>
      <w:r w:rsidRPr="00D7439D">
        <w:rPr>
          <w:b/>
          <w:szCs w:val="24"/>
        </w:rPr>
        <w:lastRenderedPageBreak/>
        <w:t xml:space="preserve">K části </w:t>
      </w:r>
      <w:r w:rsidR="00721E99">
        <w:rPr>
          <w:b/>
          <w:szCs w:val="24"/>
        </w:rPr>
        <w:t>sté</w:t>
      </w:r>
      <w:r w:rsidRPr="00D7439D">
        <w:rPr>
          <w:b/>
          <w:szCs w:val="24"/>
        </w:rPr>
        <w:t xml:space="preserve"> návrhu zákona – </w:t>
      </w:r>
      <w:r w:rsidRPr="00D7439D">
        <w:rPr>
          <w:szCs w:val="24"/>
        </w:rPr>
        <w:t xml:space="preserve">změna zákona </w:t>
      </w:r>
      <w:r w:rsidR="002C5CA6">
        <w:rPr>
          <w:szCs w:val="24"/>
        </w:rPr>
        <w:t>o auditorech</w:t>
      </w:r>
    </w:p>
    <w:p w14:paraId="78ABC7E1" w14:textId="77777777" w:rsidR="00CD43B5" w:rsidRDefault="009C37A5" w:rsidP="009C37A5">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color w:val="5B9BD5" w:themeColor="accent1"/>
          <w:szCs w:val="24"/>
        </w:rPr>
      </w:pPr>
      <w:r w:rsidRPr="00D7439D">
        <w:rPr>
          <w:b/>
          <w:szCs w:val="24"/>
        </w:rPr>
        <w:t>Platné znění</w:t>
      </w:r>
      <w:r w:rsidRPr="00D7439D">
        <w:rPr>
          <w:szCs w:val="24"/>
        </w:rPr>
        <w:t xml:space="preserve"> zákona č. 93/2009 Sb., o auditorech a o změně některých zákonů (zákon o auditorech)</w:t>
      </w:r>
    </w:p>
    <w:p w14:paraId="75CFB5D7" w14:textId="5084FE50" w:rsidR="00CD43B5" w:rsidRPr="00CD43B5" w:rsidRDefault="00CD43B5" w:rsidP="00CD43B5">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color w:val="5B9BD5" w:themeColor="accent1"/>
          <w:szCs w:val="24"/>
        </w:rPr>
      </w:pPr>
      <w:r>
        <w:rPr>
          <w:noProof/>
        </w:rPr>
        <mc:AlternateContent>
          <mc:Choice Requires="wps">
            <w:drawing>
              <wp:anchor distT="0" distB="0" distL="114300" distR="114300" simplePos="0" relativeHeight="251704320" behindDoc="1" locked="0" layoutInCell="1" allowOverlap="1" wp14:anchorId="6B0EE9AB" wp14:editId="2EF8F25D">
                <wp:simplePos x="0" y="0"/>
                <wp:positionH relativeFrom="margin">
                  <wp:align>right</wp:align>
                </wp:positionH>
                <wp:positionV relativeFrom="paragraph">
                  <wp:posOffset>179465</wp:posOffset>
                </wp:positionV>
                <wp:extent cx="5753100" cy="929768"/>
                <wp:effectExtent l="0" t="0" r="19050" b="22860"/>
                <wp:wrapNone/>
                <wp:docPr id="45" name="Obdélník 45"/>
                <wp:cNvGraphicFramePr/>
                <a:graphic xmlns:a="http://schemas.openxmlformats.org/drawingml/2006/main">
                  <a:graphicData uri="http://schemas.microsoft.com/office/word/2010/wordprocessingShape">
                    <wps:wsp>
                      <wps:cNvSpPr/>
                      <wps:spPr>
                        <a:xfrm>
                          <a:off x="0" y="0"/>
                          <a:ext cx="5753100" cy="929768"/>
                        </a:xfrm>
                        <a:prstGeom prst="rect">
                          <a:avLst/>
                        </a:prstGeom>
                        <a:ln w="19050">
                          <a:solidFill>
                            <a:srgbClr val="0070C0"/>
                          </a:solidFill>
                        </a:ln>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321AEAD" id="Obdélník 45" o:spid="_x0000_s1026" style="position:absolute;margin-left:401.8pt;margin-top:14.15pt;width:453pt;height:73.2pt;z-index:-25161216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" fillcolor="white [3201]" strokecolor="#0070c0" strokeweight="1.5pt">
                <w10:wrap anchorx="margin"/>
              </v:rect>
            </w:pict>
          </mc:Fallback>
        </mc:AlternateContent>
      </w:r>
      <w:r>
        <w:rPr>
          <w:b/>
          <w:szCs w:val="24"/>
          <w:lang w:eastAsia="en-US"/>
        </w:rPr>
        <w:t xml:space="preserve">s </w:t>
      </w:r>
      <w:r w:rsidRPr="00ED79D7">
        <w:rPr>
          <w:b/>
          <w:szCs w:val="24"/>
          <w:lang w:eastAsia="en-US"/>
        </w:rPr>
        <w:t xml:space="preserve">vyznačením navrhovaných </w:t>
      </w:r>
      <w:r>
        <w:rPr>
          <w:b/>
          <w:szCs w:val="24"/>
          <w:lang w:eastAsia="en-US"/>
        </w:rPr>
        <w:t>změn a doplnění k 1. lednu 2025</w:t>
      </w:r>
    </w:p>
    <w:p w14:paraId="205A6F45" w14:textId="7FB4A759" w:rsidR="009C37A5" w:rsidRPr="00CD43B5" w:rsidRDefault="00CD43B5" w:rsidP="00CD43B5">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b/>
          <w:color w:val="5B9BD5" w:themeColor="accent1"/>
          <w:szCs w:val="24"/>
        </w:rPr>
      </w:pPr>
      <w:r w:rsidRPr="00CD43B5">
        <w:rPr>
          <w:b/>
          <w:color w:val="5B9BD5" w:themeColor="accent1"/>
          <w:szCs w:val="24"/>
        </w:rPr>
        <w:t>s vyznačením navrhovaných změn a doplnění k účinnosti návrhu</w:t>
      </w:r>
      <w:r w:rsidRPr="00CD43B5">
        <w:rPr>
          <w:b/>
          <w:color w:val="0070C0"/>
          <w:szCs w:val="24"/>
        </w:rPr>
        <w:t xml:space="preserve"> </w:t>
      </w:r>
      <w:r w:rsidR="003B71E2" w:rsidRPr="00CD43B5">
        <w:rPr>
          <w:b/>
          <w:color w:val="5B9BD5" w:themeColor="accent1"/>
          <w:szCs w:val="24"/>
        </w:rPr>
        <w:t>zákona, kterým se mění zákon č. 563/1991 Sb., o účetnictví, ve znění pozdějších předpisů, zákon č. 93/2009 Sb., o auditorech a o změně některých zákonů (zákon o auditorech), ve znění pozdějších předpisů, a zákon č. 416/2023 Sb., o dorovnávacích daních pro velké nadnárodní skupiny a velké vnitrostátní skupiny</w:t>
      </w:r>
      <w:r w:rsidRPr="00CD43B5">
        <w:rPr>
          <w:b/>
          <w:color w:val="5B9BD5" w:themeColor="accent1"/>
          <w:szCs w:val="24"/>
        </w:rPr>
        <w:t>,</w:t>
      </w:r>
      <w:r w:rsidRPr="00CD43B5">
        <w:rPr>
          <w:noProof/>
        </w:rPr>
        <w:t xml:space="preserve"> </w:t>
      </w:r>
    </w:p>
    <w:p w14:paraId="4C1C32E5" w14:textId="77777777" w:rsidR="009C37A5" w:rsidRPr="00D7439D" w:rsidRDefault="009C37A5" w:rsidP="009C37A5">
      <w:pPr>
        <w:pStyle w:val="Textparagrafu"/>
        <w:numPr>
          <w:ilvl w:val="0"/>
          <w:numId w:val="27"/>
        </w:numPr>
        <w:tabs>
          <w:tab w:val="left" w:pos="392"/>
          <w:tab w:val="left" w:pos="840"/>
        </w:tabs>
        <w:spacing w:after="120"/>
        <w:jc w:val="center"/>
      </w:pPr>
      <w:r w:rsidRPr="00D7439D">
        <w:t>***</w:t>
      </w:r>
    </w:p>
    <w:p w14:paraId="214D920C" w14:textId="77777777" w:rsidR="003B71E2" w:rsidRPr="00496E56" w:rsidRDefault="003B71E2" w:rsidP="00D456BF">
      <w:pPr>
        <w:pStyle w:val="Paragraf"/>
        <w:spacing w:after="120"/>
      </w:pPr>
      <w:r w:rsidRPr="00496E56">
        <w:t>§ 2</w:t>
      </w:r>
    </w:p>
    <w:p w14:paraId="37E89D3E" w14:textId="77777777" w:rsidR="003B71E2" w:rsidRPr="00CD5251" w:rsidRDefault="003B71E2" w:rsidP="00D456BF">
      <w:pPr>
        <w:pStyle w:val="Nadpisparagrafu"/>
        <w:spacing w:after="120"/>
      </w:pPr>
      <w:r w:rsidRPr="00CD5251">
        <w:t>Vymezení pojmů</w:t>
      </w:r>
    </w:p>
    <w:p w14:paraId="71E526EA" w14:textId="77777777" w:rsidR="003B71E2" w:rsidRPr="00421EAB" w:rsidRDefault="003B71E2" w:rsidP="00D456BF">
      <w:pPr>
        <w:tabs>
          <w:tab w:val="left" w:pos="425"/>
          <w:tab w:val="left" w:pos="851"/>
        </w:tabs>
        <w:spacing w:after="120"/>
      </w:pPr>
      <w:r w:rsidRPr="00421EAB">
        <w:tab/>
        <w:t>Pro účely tohoto zákona se rozumí</w:t>
      </w:r>
    </w:p>
    <w:p w14:paraId="7F12E593" w14:textId="77777777" w:rsidR="003B71E2" w:rsidRPr="00B15C8A" w:rsidRDefault="003B71E2" w:rsidP="00721E99">
      <w:pPr>
        <w:tabs>
          <w:tab w:val="left" w:pos="426"/>
          <w:tab w:val="left" w:pos="851"/>
        </w:tabs>
        <w:spacing w:before="0"/>
        <w:ind w:left="426" w:hanging="426"/>
        <w:rPr>
          <w:strike/>
        </w:rPr>
      </w:pPr>
      <w:r w:rsidRPr="00B15C8A">
        <w:rPr>
          <w:strike/>
        </w:rPr>
        <w:t>a)</w:t>
      </w:r>
      <w:r w:rsidRPr="00B15C8A">
        <w:rPr>
          <w:strike/>
        </w:rPr>
        <w:tab/>
        <w:t>povinným auditem ověření účetní závěrky nebo konsolidované účetní závěrky, zda podává věrný a poctivý obraz předmětu účetnictví v souladu s právními předpisy a příslušným rámcem účetního výkaznictví, na jehož základě je účetní závěrka nebo konsolidovaná účetní závěrka sestavena, pokud takové ověření vyžaduje jiný právní předpis nebo přímo použitelný předpis Evropské unie,</w:t>
      </w:r>
    </w:p>
    <w:p w14:paraId="12FE414D" w14:textId="77777777" w:rsidR="003B71E2" w:rsidRPr="00B15C8A" w:rsidRDefault="003B71E2" w:rsidP="00721E99">
      <w:pPr>
        <w:tabs>
          <w:tab w:val="left" w:pos="426"/>
          <w:tab w:val="left" w:pos="851"/>
        </w:tabs>
        <w:spacing w:before="0"/>
        <w:ind w:left="426" w:hanging="426"/>
        <w:rPr>
          <w:strike/>
        </w:rPr>
      </w:pPr>
      <w:r w:rsidRPr="00B15C8A">
        <w:rPr>
          <w:strike/>
        </w:rPr>
        <w:t>b)</w:t>
      </w:r>
      <w:r w:rsidRPr="00B15C8A">
        <w:rPr>
          <w:strike/>
        </w:rPr>
        <w:tab/>
      </w:r>
      <w:r w:rsidRPr="00CE0E70">
        <w:rPr>
          <w:strike/>
        </w:rPr>
        <w:t>ověřením výroční zprávy</w:t>
      </w:r>
      <w:r w:rsidRPr="00B15C8A">
        <w:rPr>
          <w:strike/>
        </w:rPr>
        <w:t xml:space="preserve"> nebo konsolidované výroční zprávy ověření, zda údaje obsažené ve výroční zprávě nebo konsolidované výroční zprávě, které popisují skutečnosti, jež jsou též předmětem zobrazení v účetní závěrce nebo konsolidované účetní závěrce, jsou ve všech významných ohledech v souladu s příslušnou účetní závěrkou nebo konsolidovanou účetní závěrkou; ověření výroční zprávy nebo konsolidované výroční zprávy nezahrnuje ověření účetní závěrky nebo konsolidované účetní závěrky a zpráv auditora o jejich ověření,</w:t>
      </w:r>
    </w:p>
    <w:p w14:paraId="3F1BD50E" w14:textId="77777777" w:rsidR="003B71E2" w:rsidRPr="001F57C2" w:rsidRDefault="003B71E2" w:rsidP="00DE144D">
      <w:pPr>
        <w:pBdr>
          <w:top w:val="single" w:sz="12" w:space="1" w:color="0070C0"/>
          <w:left w:val="single" w:sz="12" w:space="4" w:color="0070C0"/>
          <w:bottom w:val="single" w:sz="12" w:space="1" w:color="0070C0"/>
          <w:right w:val="single" w:sz="12" w:space="4" w:color="0070C0"/>
        </w:pBdr>
        <w:tabs>
          <w:tab w:val="left" w:pos="426"/>
          <w:tab w:val="left" w:pos="851"/>
        </w:tabs>
        <w:spacing w:before="0"/>
        <w:ind w:left="426" w:hanging="426"/>
        <w:rPr>
          <w:strike/>
        </w:rPr>
      </w:pPr>
      <w:r w:rsidRPr="00A3545F">
        <w:rPr>
          <w:strike/>
        </w:rPr>
        <w:t>c</w:t>
      </w:r>
      <w:r w:rsidRPr="001F57C2">
        <w:rPr>
          <w:strike/>
        </w:rPr>
        <w:t>)</w:t>
      </w:r>
      <w:r w:rsidRPr="001F57C2">
        <w:rPr>
          <w:strike/>
        </w:rPr>
        <w:tab/>
        <w:t>auditorskou činností provádění povinného auditu, přezkoumání hospodaření podle jiného právního předpisu</w:t>
      </w:r>
      <w:r w:rsidRPr="001F57C2">
        <w:rPr>
          <w:strike/>
          <w:vertAlign w:val="superscript"/>
        </w:rPr>
        <w:t>6)</w:t>
      </w:r>
      <w:r w:rsidRPr="001F57C2">
        <w:rPr>
          <w:strike/>
        </w:rPr>
        <w:t xml:space="preserve">, pokud toto přezkoumání provádí auditor, ověřování účetních záznamů, ověřování jiných ekonomických informací auditorem, ověřování zprávy o udržitelnosti nebo provádění dalších činností auditorem, pokud tak stanoví jiný právní předpis nebo přímo použitelný předpis Evropské unie, </w:t>
      </w:r>
      <w:r w:rsidRPr="001F57C2">
        <w:rPr>
          <w:strike/>
          <w:color w:val="5B9BD5" w:themeColor="accent1"/>
        </w:rPr>
        <w:t>jiné ověřování účetní závěrky, jiných účetních záznamů nebo jejich částí prováděné auditorem, nebo jiné ověření založené na postupech, které jsou dohodnuty mezi auditorem a objednatelem, jsou-li zjištění z těchto postupů určena nebo mohou být zpřístupněna jinému než objednateli</w:t>
      </w:r>
      <w:r w:rsidRPr="001F57C2">
        <w:rPr>
          <w:strike/>
        </w:rPr>
        <w:t>,</w:t>
      </w:r>
    </w:p>
    <w:p w14:paraId="29C948C3" w14:textId="77777777" w:rsidR="003B71E2" w:rsidRPr="00496E56" w:rsidRDefault="003B71E2" w:rsidP="00721E99">
      <w:pPr>
        <w:tabs>
          <w:tab w:val="left" w:pos="426"/>
          <w:tab w:val="left" w:pos="851"/>
        </w:tabs>
        <w:spacing w:before="0"/>
        <w:ind w:left="426" w:hanging="426"/>
      </w:pPr>
      <w:r w:rsidRPr="00F13501">
        <w:rPr>
          <w:strike/>
        </w:rPr>
        <w:t>d)</w:t>
      </w:r>
      <w:r>
        <w:rPr>
          <w:b/>
        </w:rPr>
        <w:t>a</w:t>
      </w:r>
      <w:r w:rsidRPr="00F13501">
        <w:rPr>
          <w:b/>
        </w:rPr>
        <w:t>)</w:t>
      </w:r>
      <w:r>
        <w:tab/>
      </w:r>
      <w:r w:rsidRPr="00496E56">
        <w:t>statutárním auditorem fyzická osoba, které bylo Komorou vydáno rozhodnutí o oprávnění provádět auditorskou činnost (dále jen „auditorské oprávnění“),</w:t>
      </w:r>
    </w:p>
    <w:p w14:paraId="29F9300A" w14:textId="77777777" w:rsidR="003B71E2" w:rsidRPr="00496E56" w:rsidRDefault="003B71E2" w:rsidP="00721E99">
      <w:pPr>
        <w:tabs>
          <w:tab w:val="left" w:pos="426"/>
          <w:tab w:val="left" w:pos="851"/>
        </w:tabs>
        <w:spacing w:before="0"/>
        <w:ind w:left="426" w:hanging="426"/>
      </w:pPr>
      <w:r w:rsidRPr="00F13501">
        <w:rPr>
          <w:strike/>
        </w:rPr>
        <w:t>e)</w:t>
      </w:r>
      <w:r>
        <w:rPr>
          <w:b/>
        </w:rPr>
        <w:t>b</w:t>
      </w:r>
      <w:r w:rsidRPr="00F13501">
        <w:rPr>
          <w:b/>
        </w:rPr>
        <w:t>)</w:t>
      </w:r>
      <w:r w:rsidRPr="00F13501">
        <w:rPr>
          <w:b/>
        </w:rPr>
        <w:tab/>
      </w:r>
      <w:r>
        <w:t>auditorskou společností právnická osoba, které bylo Komorou vydáno auditorské oprávnění,</w:t>
      </w:r>
    </w:p>
    <w:p w14:paraId="57B4C93F" w14:textId="77777777" w:rsidR="003B71E2" w:rsidRPr="00496E56" w:rsidRDefault="003B71E2" w:rsidP="00721E99">
      <w:pPr>
        <w:tabs>
          <w:tab w:val="left" w:pos="426"/>
          <w:tab w:val="left" w:pos="851"/>
        </w:tabs>
        <w:spacing w:before="0"/>
        <w:ind w:left="426" w:hanging="426"/>
      </w:pPr>
      <w:r w:rsidRPr="00F13501">
        <w:rPr>
          <w:strike/>
        </w:rPr>
        <w:t>f)</w:t>
      </w:r>
      <w:r>
        <w:rPr>
          <w:b/>
        </w:rPr>
        <w:t>c</w:t>
      </w:r>
      <w:r w:rsidRPr="00F13501">
        <w:rPr>
          <w:b/>
        </w:rPr>
        <w:t>)</w:t>
      </w:r>
      <w:r>
        <w:tab/>
        <w:t>auditorem statutární auditor nebo auditorská společnost,</w:t>
      </w:r>
    </w:p>
    <w:p w14:paraId="4D995904" w14:textId="77777777" w:rsidR="003B71E2" w:rsidRPr="00482378" w:rsidRDefault="003B71E2" w:rsidP="00721E99">
      <w:pPr>
        <w:tabs>
          <w:tab w:val="left" w:pos="426"/>
          <w:tab w:val="left" w:pos="851"/>
        </w:tabs>
        <w:spacing w:before="0"/>
        <w:ind w:left="426" w:hanging="426"/>
      </w:pPr>
      <w:r w:rsidRPr="00F13501">
        <w:rPr>
          <w:strike/>
        </w:rPr>
        <w:t>g)</w:t>
      </w:r>
      <w:r>
        <w:rPr>
          <w:b/>
        </w:rPr>
        <w:t>d</w:t>
      </w:r>
      <w:r w:rsidRPr="00F13501">
        <w:rPr>
          <w:b/>
        </w:rPr>
        <w:t>)</w:t>
      </w:r>
      <w:r>
        <w:tab/>
        <w:t>auditorskou osobou ze třetí země jiná než fyzická osoba, která je oprávněna k provádění povinného auditu ve třetí zemi a není oprávněna k provádění povinného auditu v členském státě,</w:t>
      </w:r>
    </w:p>
    <w:p w14:paraId="0EF8D436" w14:textId="77777777" w:rsidR="003B71E2" w:rsidRPr="00482378" w:rsidRDefault="003B71E2" w:rsidP="00721E99">
      <w:pPr>
        <w:tabs>
          <w:tab w:val="left" w:pos="426"/>
          <w:tab w:val="left" w:pos="851"/>
        </w:tabs>
        <w:spacing w:before="0"/>
        <w:ind w:left="426" w:hanging="426"/>
      </w:pPr>
      <w:r w:rsidRPr="00F13501">
        <w:rPr>
          <w:strike/>
        </w:rPr>
        <w:t>h)</w:t>
      </w:r>
      <w:r>
        <w:rPr>
          <w:b/>
        </w:rPr>
        <w:t>e</w:t>
      </w:r>
      <w:r w:rsidRPr="00F13501">
        <w:rPr>
          <w:b/>
        </w:rPr>
        <w:t>)</w:t>
      </w:r>
      <w:r>
        <w:tab/>
        <w:t>auditorem ze třetí země fyzická osoba, která je oprávněna k provádění povinného auditu ve třetí zemi a není oprávněna k provádění povinného auditu v členském státě,</w:t>
      </w:r>
    </w:p>
    <w:p w14:paraId="7AF1C25A" w14:textId="77777777" w:rsidR="003B71E2" w:rsidRPr="00482378" w:rsidRDefault="003B71E2" w:rsidP="00721E99">
      <w:pPr>
        <w:tabs>
          <w:tab w:val="left" w:pos="426"/>
          <w:tab w:val="left" w:pos="851"/>
        </w:tabs>
        <w:spacing w:before="0"/>
        <w:ind w:left="426" w:hanging="426"/>
      </w:pPr>
      <w:r w:rsidRPr="00F13501">
        <w:rPr>
          <w:strike/>
        </w:rPr>
        <w:lastRenderedPageBreak/>
        <w:t>i)</w:t>
      </w:r>
      <w:r>
        <w:rPr>
          <w:b/>
        </w:rPr>
        <w:t>f</w:t>
      </w:r>
      <w:r w:rsidRPr="00F13501">
        <w:rPr>
          <w:b/>
        </w:rPr>
        <w:t>)</w:t>
      </w:r>
      <w:r w:rsidRPr="00482378">
        <w:tab/>
        <w:t>auditorskou osobou z jiného členského státu jiná než fyzická osoba, která je oprávněna k provádění povinného auditu v jiném členském státě,</w:t>
      </w:r>
    </w:p>
    <w:p w14:paraId="27B9F361" w14:textId="77777777" w:rsidR="003B71E2" w:rsidRPr="00482378" w:rsidRDefault="003B71E2" w:rsidP="00721E99">
      <w:pPr>
        <w:tabs>
          <w:tab w:val="left" w:pos="426"/>
          <w:tab w:val="left" w:pos="851"/>
        </w:tabs>
        <w:spacing w:before="0"/>
        <w:ind w:left="426" w:hanging="426"/>
      </w:pPr>
      <w:r w:rsidRPr="00F13501">
        <w:rPr>
          <w:strike/>
        </w:rPr>
        <w:t>j)</w:t>
      </w:r>
      <w:r>
        <w:rPr>
          <w:b/>
        </w:rPr>
        <w:t>g</w:t>
      </w:r>
      <w:r w:rsidRPr="00F13501">
        <w:rPr>
          <w:b/>
        </w:rPr>
        <w:t>)</w:t>
      </w:r>
      <w:r>
        <w:tab/>
        <w:t>auditorem z jiného členského státu fyzická osoba, která je oprávněna k provádění povinného auditu v jiném členském státě,</w:t>
      </w:r>
    </w:p>
    <w:p w14:paraId="23BA8D4F" w14:textId="77777777" w:rsidR="003B71E2" w:rsidRDefault="003B71E2" w:rsidP="00DE144D">
      <w:pPr>
        <w:pBdr>
          <w:top w:val="single" w:sz="12" w:space="1" w:color="0070C0"/>
          <w:left w:val="single" w:sz="12" w:space="4" w:color="0070C0"/>
          <w:bottom w:val="single" w:sz="12" w:space="1" w:color="0070C0"/>
          <w:right w:val="single" w:sz="12" w:space="4" w:color="0070C0"/>
        </w:pBdr>
        <w:tabs>
          <w:tab w:val="left" w:pos="426"/>
          <w:tab w:val="left" w:pos="851"/>
        </w:tabs>
        <w:spacing w:before="0"/>
        <w:ind w:left="426" w:hanging="426"/>
      </w:pPr>
      <w:r w:rsidRPr="00F13501">
        <w:rPr>
          <w:strike/>
        </w:rPr>
        <w:t>k)</w:t>
      </w:r>
      <w:r>
        <w:rPr>
          <w:b/>
        </w:rPr>
        <w:t>h</w:t>
      </w:r>
      <w:r w:rsidRPr="00F13501">
        <w:rPr>
          <w:b/>
        </w:rPr>
        <w:t>)</w:t>
      </w:r>
      <w:r>
        <w:tab/>
        <w:t xml:space="preserve">auditorem skupiny jeden nebo více auditorů, kteří provádějí povinný audit konsolidované účetní závěrky </w:t>
      </w:r>
      <w:r w:rsidRPr="00763A90">
        <w:rPr>
          <w:color w:val="5B9BD5" w:themeColor="accent1"/>
        </w:rPr>
        <w:t>nebo ověření konsolidované zprávy o udržitelnosti</w:t>
      </w:r>
      <w:r>
        <w:t>,</w:t>
      </w:r>
    </w:p>
    <w:p w14:paraId="46CBC499" w14:textId="77777777" w:rsidR="003B71E2" w:rsidRDefault="003B71E2" w:rsidP="00721E99">
      <w:pPr>
        <w:tabs>
          <w:tab w:val="left" w:pos="426"/>
          <w:tab w:val="left" w:pos="851"/>
        </w:tabs>
        <w:spacing w:before="0"/>
        <w:ind w:left="426" w:hanging="426"/>
      </w:pPr>
      <w:r w:rsidRPr="00F13501">
        <w:rPr>
          <w:strike/>
        </w:rPr>
        <w:t>l)</w:t>
      </w:r>
      <w:r>
        <w:rPr>
          <w:b/>
        </w:rPr>
        <w:t>i</w:t>
      </w:r>
      <w:r w:rsidRPr="00F13501">
        <w:rPr>
          <w:b/>
        </w:rPr>
        <w:t>)</w:t>
      </w:r>
      <w:r>
        <w:tab/>
      </w:r>
      <w:r w:rsidRPr="00496E56">
        <w:t xml:space="preserve">sítí rozsáhlejší struktura vztahů nebo osob, ke které auditor patří, a která je zaměřena na spolupráci a na sdílení výnosů nebo nákladů, nebo má společného majitele, stejnou ovládající osobu nebo společné </w:t>
      </w:r>
      <w:r w:rsidRPr="005324BC">
        <w:t>vedení</w:t>
      </w:r>
      <w:r w:rsidRPr="00496E56">
        <w:t>, společnou koncepci a postupy pro vnitřní systém řízení kvality, společnou obchodní strategii, či používají společnou obchodní značku nebo sdílí významnou část odborných kapacit,</w:t>
      </w:r>
    </w:p>
    <w:p w14:paraId="12420491" w14:textId="696F3810" w:rsidR="003B71E2" w:rsidRPr="00486EC8" w:rsidRDefault="003B71E2" w:rsidP="00721E99">
      <w:pPr>
        <w:tabs>
          <w:tab w:val="left" w:pos="426"/>
          <w:tab w:val="left" w:pos="851"/>
        </w:tabs>
        <w:spacing w:before="0"/>
        <w:ind w:left="426" w:hanging="426"/>
      </w:pPr>
      <w:proofErr w:type="gramStart"/>
      <w:r w:rsidRPr="00F13501">
        <w:rPr>
          <w:strike/>
        </w:rPr>
        <w:t>m)</w:t>
      </w:r>
      <w:r>
        <w:rPr>
          <w:b/>
        </w:rPr>
        <w:t>j</w:t>
      </w:r>
      <w:r w:rsidRPr="00F13501">
        <w:rPr>
          <w:b/>
        </w:rPr>
        <w:t>)</w:t>
      </w:r>
      <w:r w:rsidR="00DE144D">
        <w:t xml:space="preserve"> </w:t>
      </w:r>
      <w:r w:rsidRPr="00486EC8">
        <w:t>propojenou</w:t>
      </w:r>
      <w:proofErr w:type="gramEnd"/>
      <w:r w:rsidRPr="00486EC8">
        <w:t xml:space="preserve"> osobou auditorské společnosti osoba, </w:t>
      </w:r>
      <w:proofErr w:type="gramStart"/>
      <w:r w:rsidRPr="00486EC8">
        <w:t>která</w:t>
      </w:r>
      <w:proofErr w:type="gramEnd"/>
    </w:p>
    <w:p w14:paraId="09B5E022" w14:textId="77777777" w:rsidR="003B71E2" w:rsidRPr="00486EC8" w:rsidRDefault="003B71E2" w:rsidP="00DE144D">
      <w:pPr>
        <w:tabs>
          <w:tab w:val="left" w:pos="426"/>
          <w:tab w:val="left" w:pos="851"/>
        </w:tabs>
        <w:spacing w:before="0"/>
        <w:ind w:left="850" w:hanging="425"/>
      </w:pPr>
      <w:r w:rsidRPr="00486EC8">
        <w:tab/>
        <w:t>1.</w:t>
      </w:r>
      <w:r w:rsidRPr="00486EC8">
        <w:tab/>
        <w:t>má s auditorskou společností stejnou ovládající osobu, nebo</w:t>
      </w:r>
    </w:p>
    <w:p w14:paraId="21642755" w14:textId="53C712E1" w:rsidR="003B71E2" w:rsidRPr="00486EC8" w:rsidRDefault="00E61F4D" w:rsidP="00DE144D">
      <w:pPr>
        <w:tabs>
          <w:tab w:val="left" w:pos="426"/>
          <w:tab w:val="left" w:pos="851"/>
        </w:tabs>
        <w:spacing w:before="0"/>
        <w:ind w:left="850" w:hanging="425"/>
      </w:pPr>
      <w:r>
        <w:tab/>
      </w:r>
      <w:r w:rsidR="003B71E2" w:rsidRPr="00486EC8">
        <w:t>2.</w:t>
      </w:r>
      <w:r w:rsidR="003B71E2" w:rsidRPr="00486EC8">
        <w:tab/>
        <w:t>je s auditorskou společností pod podstatným vlivem stejné osoby podle zákona o účetnictví,</w:t>
      </w:r>
    </w:p>
    <w:p w14:paraId="1A45BD73" w14:textId="172C1D27" w:rsidR="003B71E2" w:rsidRPr="00496E56" w:rsidRDefault="00DE144D" w:rsidP="00DE144D">
      <w:pPr>
        <w:tabs>
          <w:tab w:val="left" w:pos="426"/>
          <w:tab w:val="left" w:pos="851"/>
        </w:tabs>
        <w:spacing w:before="0"/>
        <w:ind w:left="426" w:hanging="426"/>
      </w:pPr>
      <w:r>
        <w:rPr>
          <w:noProof/>
        </w:rPr>
        <mc:AlternateContent>
          <mc:Choice Requires="wps">
            <w:drawing>
              <wp:anchor distT="0" distB="0" distL="114300" distR="114300" simplePos="0" relativeHeight="251706368" behindDoc="1" locked="0" layoutInCell="1" allowOverlap="1" wp14:anchorId="14ABCDE0" wp14:editId="458D9138">
                <wp:simplePos x="0" y="0"/>
                <wp:positionH relativeFrom="margin">
                  <wp:align>left</wp:align>
                </wp:positionH>
                <wp:positionV relativeFrom="paragraph">
                  <wp:posOffset>10982</wp:posOffset>
                </wp:positionV>
                <wp:extent cx="5824092" cy="1782696"/>
                <wp:effectExtent l="0" t="0" r="24765" b="27305"/>
                <wp:wrapNone/>
                <wp:docPr id="46" name="Obdélník 46"/>
                <wp:cNvGraphicFramePr/>
                <a:graphic xmlns:a="http://schemas.openxmlformats.org/drawingml/2006/main">
                  <a:graphicData uri="http://schemas.microsoft.com/office/word/2010/wordprocessingShape">
                    <wps:wsp>
                      <wps:cNvSpPr/>
                      <wps:spPr>
                        <a:xfrm>
                          <a:off x="0" y="0"/>
                          <a:ext cx="5824092" cy="1782696"/>
                        </a:xfrm>
                        <a:prstGeom prst="rect">
                          <a:avLst/>
                        </a:prstGeom>
                        <a:ln w="19050">
                          <a:solidFill>
                            <a:srgbClr val="0070C0"/>
                          </a:solidFill>
                        </a:ln>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4EA62A3" id="Obdélník 46" o:spid="_x0000_s1026" style="position:absolute;margin-left:0;margin-top:.85pt;width:458.6pt;height:140.35pt;z-index:-251610112;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" fillcolor="white [3201]" strokecolor="#0070c0" strokeweight="1.5pt">
                <w10:wrap anchorx="margin"/>
              </v:rect>
            </w:pict>
          </mc:Fallback>
        </mc:AlternateContent>
      </w:r>
      <w:r w:rsidR="003B71E2" w:rsidRPr="00F13501">
        <w:rPr>
          <w:strike/>
        </w:rPr>
        <w:t>n)</w:t>
      </w:r>
      <w:r w:rsidR="003B71E2">
        <w:rPr>
          <w:b/>
        </w:rPr>
        <w:t>k</w:t>
      </w:r>
      <w:r w:rsidR="003B71E2" w:rsidRPr="00F13501">
        <w:rPr>
          <w:b/>
        </w:rPr>
        <w:t>)</w:t>
      </w:r>
      <w:r w:rsidR="003B71E2">
        <w:tab/>
        <w:t>klíčovým auditorským partnerem</w:t>
      </w:r>
    </w:p>
    <w:p w14:paraId="0081A8E4" w14:textId="3806EA49" w:rsidR="003B71E2" w:rsidRPr="00486EC8" w:rsidRDefault="00E61F4D" w:rsidP="00DE144D">
      <w:pPr>
        <w:tabs>
          <w:tab w:val="left" w:pos="426"/>
          <w:tab w:val="left" w:pos="851"/>
        </w:tabs>
        <w:spacing w:before="0"/>
        <w:ind w:left="850" w:hanging="425"/>
      </w:pPr>
      <w:r>
        <w:tab/>
      </w:r>
      <w:r w:rsidR="003B71E2" w:rsidRPr="00486EC8">
        <w:t>1.</w:t>
      </w:r>
      <w:r w:rsidR="003B71E2" w:rsidRPr="00486EC8">
        <w:tab/>
        <w:t>jeden nebo více statutárních auditorů, který je auditorskou společností určen jako osoba odpovědná za provedení povinného auditu</w:t>
      </w:r>
      <w:r w:rsidR="003B71E2" w:rsidRPr="6DEDB78F">
        <w:rPr>
          <w:b/>
          <w:bCs/>
        </w:rPr>
        <w:t xml:space="preserve"> </w:t>
      </w:r>
      <w:r w:rsidR="003B71E2" w:rsidRPr="00763A90">
        <w:rPr>
          <w:color w:val="5B9BD5" w:themeColor="accent1"/>
        </w:rPr>
        <w:t>nebo ověření zprávy o udržitelnosti</w:t>
      </w:r>
      <w:r w:rsidR="003B71E2" w:rsidRPr="00486EC8">
        <w:t xml:space="preserve"> jménem auditorské společnosti,</w:t>
      </w:r>
    </w:p>
    <w:p w14:paraId="0938EA94" w14:textId="41C668E1" w:rsidR="003B71E2" w:rsidRPr="00763A90" w:rsidRDefault="00E61F4D" w:rsidP="00DE144D">
      <w:pPr>
        <w:tabs>
          <w:tab w:val="left" w:pos="426"/>
          <w:tab w:val="left" w:pos="851"/>
        </w:tabs>
        <w:spacing w:before="0"/>
        <w:ind w:left="850" w:hanging="425"/>
      </w:pPr>
      <w:r>
        <w:rPr>
          <w:color w:val="5B9BD5" w:themeColor="accent1"/>
        </w:rPr>
        <w:tab/>
      </w:r>
      <w:r w:rsidR="003B71E2" w:rsidRPr="00763A90">
        <w:rPr>
          <w:color w:val="5B9BD5" w:themeColor="accent1"/>
        </w:rPr>
        <w:t>2.</w:t>
      </w:r>
      <w:r w:rsidR="003B71E2" w:rsidRPr="00177742">
        <w:rPr>
          <w:color w:val="5B9BD5" w:themeColor="accent1"/>
        </w:rPr>
        <w:tab/>
      </w:r>
      <w:r w:rsidR="003B71E2" w:rsidRPr="00763A90">
        <w:rPr>
          <w:color w:val="5B9BD5" w:themeColor="accent1"/>
        </w:rPr>
        <w:t>v případě auditu skupiny nebo ověření konsolidované zprávy o udržitelnosti jeden nebo více statutárních auditorů, kteří jsou určeni auditorskou společností jako odpovědné osoby za provedení povinného auditu nebo ověření zprávy o udržitelnosti na úrovni skupiny, a jeden nebo více statutárních auditorů, kteří jsou určeni jako odpovědné osoby na úrovni významných dceřiných společností, nebo</w:t>
      </w:r>
    </w:p>
    <w:p w14:paraId="678BE8A3" w14:textId="73B2584D" w:rsidR="003B71E2" w:rsidRDefault="00E61F4D" w:rsidP="00DE144D">
      <w:pPr>
        <w:tabs>
          <w:tab w:val="left" w:pos="426"/>
          <w:tab w:val="left" w:pos="851"/>
        </w:tabs>
        <w:spacing w:before="0"/>
        <w:ind w:left="850" w:hanging="425"/>
      </w:pPr>
      <w:r>
        <w:tab/>
      </w:r>
      <w:r w:rsidR="003B71E2">
        <w:t>3.</w:t>
      </w:r>
      <w:r w:rsidR="003B71E2" w:rsidRPr="00486EC8">
        <w:tab/>
        <w:t>jeden nebo více statutárních auditorů, kteří podepisují zprávu auditora,</w:t>
      </w:r>
    </w:p>
    <w:p w14:paraId="7D689562" w14:textId="77777777" w:rsidR="003B71E2" w:rsidRPr="00486EC8" w:rsidRDefault="003B71E2" w:rsidP="00721E99">
      <w:pPr>
        <w:tabs>
          <w:tab w:val="left" w:pos="426"/>
          <w:tab w:val="left" w:pos="851"/>
        </w:tabs>
        <w:spacing w:before="0"/>
        <w:ind w:left="426" w:hanging="426"/>
      </w:pPr>
      <w:r w:rsidRPr="00F13501">
        <w:rPr>
          <w:strike/>
        </w:rPr>
        <w:t>o)</w:t>
      </w:r>
      <w:r>
        <w:rPr>
          <w:b/>
        </w:rPr>
        <w:t>l</w:t>
      </w:r>
      <w:r w:rsidRPr="00F13501">
        <w:rPr>
          <w:b/>
        </w:rPr>
        <w:t>)</w:t>
      </w:r>
      <w:r>
        <w:tab/>
        <w:t>třetí zemí země, která není členským státem,</w:t>
      </w:r>
    </w:p>
    <w:p w14:paraId="3037C2CB" w14:textId="1D73C84D" w:rsidR="003B71E2" w:rsidRPr="00486EC8" w:rsidRDefault="003B71E2" w:rsidP="00721E99">
      <w:pPr>
        <w:tabs>
          <w:tab w:val="left" w:pos="567"/>
          <w:tab w:val="left" w:pos="851"/>
        </w:tabs>
        <w:spacing w:before="0"/>
        <w:ind w:left="426" w:hanging="426"/>
      </w:pPr>
      <w:r w:rsidRPr="00F13501">
        <w:rPr>
          <w:strike/>
        </w:rPr>
        <w:t>p)</w:t>
      </w:r>
      <w:r>
        <w:rPr>
          <w:b/>
        </w:rPr>
        <w:t>m</w:t>
      </w:r>
      <w:r w:rsidRPr="00F13501">
        <w:rPr>
          <w:b/>
        </w:rPr>
        <w:t>)</w:t>
      </w:r>
      <w:r w:rsidR="00E61F4D">
        <w:tab/>
      </w:r>
      <w:r>
        <w:t>členským státem členský stát Evropské unie nebo stát, který je smluvním státem Dohody o Evropském hospodářském prostoru,</w:t>
      </w:r>
    </w:p>
    <w:p w14:paraId="6638B8B1" w14:textId="26EAF4FE" w:rsidR="003B71E2" w:rsidRPr="00486EC8" w:rsidRDefault="003B71E2" w:rsidP="00721E99">
      <w:pPr>
        <w:tabs>
          <w:tab w:val="left" w:pos="567"/>
          <w:tab w:val="left" w:pos="851"/>
        </w:tabs>
        <w:spacing w:before="0"/>
        <w:ind w:left="426" w:hanging="426"/>
      </w:pPr>
      <w:r w:rsidRPr="008F0203">
        <w:rPr>
          <w:strike/>
        </w:rPr>
        <w:t>q)</w:t>
      </w:r>
      <w:r w:rsidRPr="008F0203">
        <w:rPr>
          <w:b/>
        </w:rPr>
        <w:t>n)</w:t>
      </w:r>
      <w:r w:rsidRPr="008F0203">
        <w:rPr>
          <w:b/>
        </w:rPr>
        <w:tab/>
      </w:r>
      <w:r w:rsidRPr="008F0203">
        <w:t>konsolidující účetní jednotkou účetní jednotka, která je obchodní společností a je ovládající</w:t>
      </w:r>
      <w:r>
        <w:t xml:space="preserve"> osobou, s výjimkou ovládajících osob, které vykonávají společný vliv,</w:t>
      </w:r>
    </w:p>
    <w:p w14:paraId="29123B10" w14:textId="77777777" w:rsidR="003B71E2" w:rsidRDefault="003B71E2" w:rsidP="00721E99">
      <w:pPr>
        <w:tabs>
          <w:tab w:val="left" w:pos="426"/>
          <w:tab w:val="left" w:pos="851"/>
        </w:tabs>
        <w:spacing w:before="0"/>
        <w:ind w:left="426" w:hanging="426"/>
      </w:pPr>
      <w:r w:rsidRPr="00F13501">
        <w:rPr>
          <w:strike/>
        </w:rPr>
        <w:t>r)</w:t>
      </w:r>
      <w:r>
        <w:rPr>
          <w:b/>
        </w:rPr>
        <w:t>o</w:t>
      </w:r>
      <w:r w:rsidRPr="00F13501">
        <w:rPr>
          <w:b/>
        </w:rPr>
        <w:t>)</w:t>
      </w:r>
      <w:r>
        <w:tab/>
        <w:t>domovským členským státem členský stát, v němž statutární auditor nebo auditor z jiného členského státu získal odbornou kvalifikaci k provádění povinného auditu postupem podle § 4 nebo obdobným postupem stanoveným jiným členským státem, nebo stát, v němž auditorská společnost nebo auditorská osoba z jiného členského státu získala auditorské oprávnění postupem podle § 5 nebo obdobným postupem stanoveným jiným členským státem</w:t>
      </w:r>
      <w:r w:rsidRPr="005D34A0">
        <w:rPr>
          <w:strike/>
        </w:rPr>
        <w:t>.</w:t>
      </w:r>
      <w:r w:rsidRPr="005D34A0">
        <w:rPr>
          <w:b/>
        </w:rPr>
        <w:t>,</w:t>
      </w:r>
    </w:p>
    <w:p w14:paraId="3B70A9B5" w14:textId="77777777" w:rsidR="003B71E2" w:rsidRDefault="003B71E2" w:rsidP="00721E99">
      <w:pPr>
        <w:tabs>
          <w:tab w:val="left" w:pos="426"/>
          <w:tab w:val="left" w:pos="851"/>
        </w:tabs>
        <w:spacing w:before="0"/>
        <w:ind w:left="426" w:hanging="426"/>
        <w:rPr>
          <w:b/>
        </w:rPr>
      </w:pPr>
      <w:r>
        <w:rPr>
          <w:b/>
        </w:rPr>
        <w:t>p</w:t>
      </w:r>
      <w:r w:rsidRPr="00F13501">
        <w:rPr>
          <w:b/>
        </w:rPr>
        <w:t>)</w:t>
      </w:r>
      <w:r w:rsidRPr="00F13501">
        <w:rPr>
          <w:b/>
        </w:rPr>
        <w:tab/>
        <w:t>kontrolním orgánem dozorčí rada, správní rada při výkonu kontrolní působnosti,</w:t>
      </w:r>
      <w:r w:rsidRPr="005D34A0">
        <w:rPr>
          <w:b/>
        </w:rPr>
        <w:t xml:space="preserve"> kontrolní komise nebo jiný orgán s obdobnou kontrolní působností, v závislosti na právní formě prá</w:t>
      </w:r>
      <w:r>
        <w:rPr>
          <w:b/>
        </w:rPr>
        <w:t>vnické osoby, o kterou se jedná,</w:t>
      </w:r>
    </w:p>
    <w:p w14:paraId="6C2B56DF" w14:textId="77777777" w:rsidR="003B71E2" w:rsidRPr="005D34A0" w:rsidRDefault="003B71E2" w:rsidP="00721E99">
      <w:pPr>
        <w:tabs>
          <w:tab w:val="left" w:pos="426"/>
          <w:tab w:val="left" w:pos="851"/>
        </w:tabs>
        <w:spacing w:before="0"/>
        <w:ind w:left="426" w:hanging="426"/>
        <w:rPr>
          <w:b/>
        </w:rPr>
      </w:pPr>
      <w:r>
        <w:rPr>
          <w:b/>
        </w:rPr>
        <w:t>q)</w:t>
      </w:r>
      <w:r>
        <w:rPr>
          <w:b/>
        </w:rPr>
        <w:tab/>
        <w:t>ř</w:t>
      </w:r>
      <w:r w:rsidRPr="00F13501">
        <w:rPr>
          <w:b/>
        </w:rPr>
        <w:t>ídicím orgánem statutární orgán obchodní korporace, u akciové společnosti nebo evropské společnosti s monistickým systémem vnitřní struktury společnosti správní rada při výkonu řídící působnosti, nebo jiný orgán vykonávající řídící funkce, v závislosti na právní formě právnické osoby, o kterou se jedná.</w:t>
      </w:r>
    </w:p>
    <w:p w14:paraId="55B0AC36" w14:textId="77777777" w:rsidR="003B71E2" w:rsidRPr="00D743D4" w:rsidRDefault="003B71E2" w:rsidP="00D456BF">
      <w:pPr>
        <w:tabs>
          <w:tab w:val="left" w:pos="425"/>
          <w:tab w:val="left" w:pos="851"/>
        </w:tabs>
        <w:spacing w:after="120"/>
        <w:ind w:left="420"/>
        <w:rPr>
          <w:szCs w:val="24"/>
        </w:rPr>
      </w:pPr>
      <w:r w:rsidRPr="00D743D4">
        <w:rPr>
          <w:szCs w:val="24"/>
        </w:rPr>
        <w:t xml:space="preserve">____________________ </w:t>
      </w:r>
    </w:p>
    <w:p w14:paraId="75CB6F8D" w14:textId="41D872A1" w:rsidR="003B71E2" w:rsidRPr="0085033C" w:rsidRDefault="003B71E2" w:rsidP="00DE144D">
      <w:pPr>
        <w:tabs>
          <w:tab w:val="left" w:pos="425"/>
          <w:tab w:val="left" w:pos="851"/>
        </w:tabs>
        <w:spacing w:after="120"/>
        <w:ind w:left="420" w:firstLine="0"/>
      </w:pPr>
      <w:r w:rsidRPr="1516795E">
        <w:rPr>
          <w:strike/>
          <w:vertAlign w:val="superscript"/>
        </w:rPr>
        <w:t>6)</w:t>
      </w:r>
      <w:r w:rsidRPr="00E61F4D">
        <w:rPr>
          <w:strike/>
          <w:sz w:val="20"/>
        </w:rPr>
        <w:t>Zákon č. 420/2004 Sb., o přezkoumávání hospodaření územních samosprávných celků a dobrovolných svazků obcí, ve znění pozdějších předpisů.</w:t>
      </w:r>
    </w:p>
    <w:p w14:paraId="18836F8F" w14:textId="77777777" w:rsidR="003B71E2" w:rsidRPr="00F13501" w:rsidRDefault="003B71E2" w:rsidP="00E61F4D">
      <w:pPr>
        <w:pStyle w:val="Paragraf"/>
        <w:spacing w:after="120"/>
        <w:rPr>
          <w:strike/>
        </w:rPr>
      </w:pPr>
      <w:r w:rsidRPr="00F13501">
        <w:rPr>
          <w:strike/>
        </w:rPr>
        <w:lastRenderedPageBreak/>
        <w:t>§ 2a</w:t>
      </w:r>
    </w:p>
    <w:p w14:paraId="055B73D4" w14:textId="77777777" w:rsidR="003B71E2" w:rsidRPr="00E61F4D" w:rsidRDefault="003B71E2" w:rsidP="00E61F4D">
      <w:pPr>
        <w:pStyle w:val="Nadpisparagrafu"/>
        <w:spacing w:after="120"/>
        <w:rPr>
          <w:b w:val="0"/>
          <w:strike/>
        </w:rPr>
      </w:pPr>
      <w:r w:rsidRPr="00E61F4D">
        <w:rPr>
          <w:b w:val="0"/>
          <w:strike/>
        </w:rPr>
        <w:t xml:space="preserve">Ověření zprávy o udržitelnosti </w:t>
      </w:r>
    </w:p>
    <w:p w14:paraId="20774C4E" w14:textId="77777777" w:rsidR="003B71E2" w:rsidRPr="00763A90" w:rsidRDefault="003B71E2" w:rsidP="00DE144D">
      <w:pPr>
        <w:pBdr>
          <w:top w:val="single" w:sz="12" w:space="1" w:color="0070C0"/>
          <w:left w:val="single" w:sz="12" w:space="4" w:color="0070C0"/>
          <w:bottom w:val="single" w:sz="12" w:space="1" w:color="0070C0"/>
          <w:right w:val="single" w:sz="12" w:space="4" w:color="0070C0"/>
        </w:pBdr>
        <w:tabs>
          <w:tab w:val="left" w:pos="425"/>
          <w:tab w:val="left" w:pos="851"/>
        </w:tabs>
        <w:spacing w:after="120"/>
        <w:rPr>
          <w:strike/>
        </w:rPr>
      </w:pPr>
      <w:r w:rsidRPr="00763A90">
        <w:rPr>
          <w:strike/>
          <w:color w:val="5B9BD5" w:themeColor="accent1"/>
        </w:rPr>
        <w:t>(1) Ověřením zprávy o udržitelnosti je ověření souladu zprávy o udržitelnosti s požadavky zákona o účetnictví včetně standardů pro podávání zpráv o udržitelnosti, postupu pro určování informací vykazovaných podle těchto standardů a značkování s přímo použitelným právním předpisem Evropské unie upravujícím jednotný elektronický formát pro podávání zpráv, a souladu s přímo použitelným právním předpisem Evropské unie upravujícím rámec pro usnadnění udržitelných investic.</w:t>
      </w:r>
    </w:p>
    <w:p w14:paraId="1BB72055" w14:textId="77777777" w:rsidR="003B71E2" w:rsidRPr="00F13501" w:rsidRDefault="003B71E2" w:rsidP="00DE144D">
      <w:pPr>
        <w:tabs>
          <w:tab w:val="left" w:pos="425"/>
          <w:tab w:val="left" w:pos="851"/>
        </w:tabs>
        <w:spacing w:after="120"/>
        <w:rPr>
          <w:strike/>
        </w:rPr>
      </w:pPr>
      <w:r w:rsidRPr="00F13501">
        <w:rPr>
          <w:strike/>
        </w:rPr>
        <w:t>(2) Není-li stanoveno jinak, na ověření konsolidované zprávy o udržitelnosti se použijí ustanovení tohoto zákona o ověření zprávy o udržitelnosti obdobně.</w:t>
      </w:r>
    </w:p>
    <w:p w14:paraId="5B60281B" w14:textId="77777777" w:rsidR="003B71E2" w:rsidRDefault="003B71E2" w:rsidP="00E61F4D">
      <w:pPr>
        <w:pStyle w:val="Paragraf"/>
        <w:spacing w:after="120"/>
        <w:rPr>
          <w:b/>
        </w:rPr>
      </w:pPr>
      <w:r w:rsidRPr="00B15C8A">
        <w:rPr>
          <w:b/>
        </w:rPr>
        <w:t>§ 2a</w:t>
      </w:r>
    </w:p>
    <w:p w14:paraId="12EF7BBD" w14:textId="77777777" w:rsidR="003B71E2" w:rsidRPr="007E618A" w:rsidRDefault="003B71E2" w:rsidP="00E61F4D">
      <w:pPr>
        <w:pStyle w:val="Nadpisparagrafu"/>
        <w:spacing w:after="120"/>
      </w:pPr>
      <w:r>
        <w:t>Povinný audit</w:t>
      </w:r>
    </w:p>
    <w:p w14:paraId="086AB2AB" w14:textId="77777777" w:rsidR="003B71E2" w:rsidRPr="00CF7E40" w:rsidRDefault="003B71E2" w:rsidP="00E61F4D">
      <w:pPr>
        <w:pStyle w:val="Textodstavce"/>
        <w:tabs>
          <w:tab w:val="clear" w:pos="851"/>
        </w:tabs>
        <w:spacing w:before="240"/>
        <w:ind w:firstLine="426"/>
        <w:rPr>
          <w:b/>
          <w:bCs/>
        </w:rPr>
      </w:pPr>
      <w:r w:rsidRPr="00CF7E40">
        <w:rPr>
          <w:b/>
          <w:bCs/>
        </w:rPr>
        <w:t>(1) Povinným auditem je audit účetní závěrky</w:t>
      </w:r>
    </w:p>
    <w:p w14:paraId="0054F5A9" w14:textId="77777777" w:rsidR="003B71E2" w:rsidRPr="00CF7E40" w:rsidRDefault="003B71E2" w:rsidP="00E61F4D">
      <w:pPr>
        <w:tabs>
          <w:tab w:val="left" w:pos="406"/>
          <w:tab w:val="left" w:pos="851"/>
        </w:tabs>
        <w:spacing w:before="0"/>
        <w:ind w:firstLine="0"/>
        <w:rPr>
          <w:b/>
        </w:rPr>
      </w:pPr>
      <w:r w:rsidRPr="00CF7E40">
        <w:rPr>
          <w:b/>
        </w:rPr>
        <w:t>a)</w:t>
      </w:r>
      <w:r w:rsidRPr="00CF7E40">
        <w:rPr>
          <w:b/>
        </w:rPr>
        <w:tab/>
        <w:t>pokud jej vyžaduje</w:t>
      </w:r>
    </w:p>
    <w:p w14:paraId="5660F5F6" w14:textId="361C8677" w:rsidR="003B71E2" w:rsidRPr="00CF7E40" w:rsidRDefault="00E61F4D" w:rsidP="00E61F4D">
      <w:pPr>
        <w:tabs>
          <w:tab w:val="left" w:pos="406"/>
          <w:tab w:val="left" w:pos="851"/>
        </w:tabs>
        <w:spacing w:before="0"/>
        <w:ind w:firstLine="0"/>
        <w:rPr>
          <w:b/>
        </w:rPr>
      </w:pPr>
      <w:r>
        <w:rPr>
          <w:b/>
        </w:rPr>
        <w:tab/>
      </w:r>
      <w:r w:rsidR="003B71E2" w:rsidRPr="00CF7E40">
        <w:rPr>
          <w:b/>
        </w:rPr>
        <w:t>1.</w:t>
      </w:r>
      <w:r w:rsidR="003B71E2" w:rsidRPr="00CF7E40">
        <w:rPr>
          <w:b/>
        </w:rPr>
        <w:tab/>
        <w:t>jiný právní předpis nebo přímo použitelný předpis Evropské unie, nebo</w:t>
      </w:r>
    </w:p>
    <w:p w14:paraId="60C8C698" w14:textId="7F5F4CBB" w:rsidR="003B71E2" w:rsidRPr="00C22BE5" w:rsidRDefault="00E61F4D" w:rsidP="00E61F4D">
      <w:pPr>
        <w:tabs>
          <w:tab w:val="left" w:pos="406"/>
          <w:tab w:val="left" w:pos="851"/>
        </w:tabs>
        <w:spacing w:before="0"/>
        <w:ind w:firstLine="0"/>
        <w:rPr>
          <w:b/>
        </w:rPr>
      </w:pPr>
      <w:r>
        <w:rPr>
          <w:b/>
        </w:rPr>
        <w:tab/>
      </w:r>
      <w:r w:rsidR="003B71E2" w:rsidRPr="00C22BE5">
        <w:rPr>
          <w:b/>
        </w:rPr>
        <w:t>2.</w:t>
      </w:r>
      <w:r w:rsidR="003B71E2" w:rsidRPr="00C22BE5">
        <w:rPr>
          <w:b/>
        </w:rPr>
        <w:tab/>
        <w:t>zakladatelské nebo obdobné právní jednání, nebo</w:t>
      </w:r>
    </w:p>
    <w:p w14:paraId="1177907C" w14:textId="1EFCEC5C" w:rsidR="003B71E2" w:rsidRPr="00C22BE5" w:rsidRDefault="00E61F4D" w:rsidP="00E61F4D">
      <w:pPr>
        <w:tabs>
          <w:tab w:val="left" w:pos="406"/>
          <w:tab w:val="left" w:pos="851"/>
        </w:tabs>
        <w:spacing w:before="0"/>
        <w:ind w:firstLine="0"/>
        <w:rPr>
          <w:b/>
        </w:rPr>
      </w:pPr>
      <w:r>
        <w:rPr>
          <w:b/>
        </w:rPr>
        <w:t>b)</w:t>
      </w:r>
      <w:r>
        <w:rPr>
          <w:b/>
        </w:rPr>
        <w:tab/>
      </w:r>
      <w:r w:rsidR="003B71E2" w:rsidRPr="00C22BE5">
        <w:rPr>
          <w:b/>
        </w:rPr>
        <w:t>sjednaný smlouvou o povinném auditu postupem podle § 17.</w:t>
      </w:r>
    </w:p>
    <w:p w14:paraId="32EEA1AA" w14:textId="77777777" w:rsidR="003B71E2" w:rsidRDefault="003B71E2" w:rsidP="00DE144D">
      <w:pPr>
        <w:pStyle w:val="Textodstavce"/>
        <w:tabs>
          <w:tab w:val="clear" w:pos="851"/>
        </w:tabs>
        <w:ind w:firstLine="425"/>
        <w:rPr>
          <w:b/>
          <w:bCs/>
        </w:rPr>
      </w:pPr>
      <w:r w:rsidRPr="16A27E25">
        <w:rPr>
          <w:b/>
          <w:bCs/>
        </w:rPr>
        <w:t>(2</w:t>
      </w:r>
      <w:r>
        <w:rPr>
          <w:b/>
          <w:bCs/>
        </w:rPr>
        <w:t xml:space="preserve">) </w:t>
      </w:r>
      <w:r w:rsidRPr="16A27E25">
        <w:rPr>
          <w:b/>
          <w:bCs/>
        </w:rPr>
        <w:t>Auditem účetní závěrky je ověření, zda účetní závěrka podává věrné a poctivé zobrazení finanční situace, finanční výkonnosti a jiných vykazovaných změn finanční situace v souladu s příslušným rámcem účetního výkaznictví, na jehož základě je účetní závěrka sestavena.</w:t>
      </w:r>
    </w:p>
    <w:p w14:paraId="07BCCE94" w14:textId="306D213B" w:rsidR="003B71E2" w:rsidRPr="008D0E14" w:rsidRDefault="003B71E2" w:rsidP="00DE144D">
      <w:pPr>
        <w:pStyle w:val="Textodstavce"/>
        <w:tabs>
          <w:tab w:val="clear" w:pos="851"/>
        </w:tabs>
        <w:ind w:firstLine="426"/>
        <w:rPr>
          <w:b/>
        </w:rPr>
      </w:pPr>
      <w:r w:rsidRPr="008D0E14">
        <w:rPr>
          <w:b/>
          <w:bCs/>
        </w:rPr>
        <w:t>(3)</w:t>
      </w:r>
      <w:r w:rsidR="008D0E14">
        <w:rPr>
          <w:b/>
        </w:rPr>
        <w:t xml:space="preserve"> </w:t>
      </w:r>
      <w:r w:rsidRPr="008D0E14">
        <w:rPr>
          <w:b/>
        </w:rPr>
        <w:t xml:space="preserve">Provádí-li auditor povinný audit, </w:t>
      </w:r>
      <w:r w:rsidRPr="008D0E14">
        <w:rPr>
          <w:b/>
          <w:bCs/>
        </w:rPr>
        <w:t>ověří</w:t>
      </w:r>
      <w:r w:rsidRPr="008D0E14">
        <w:rPr>
          <w:b/>
        </w:rPr>
        <w:t xml:space="preserve">, zda elektronický formát </w:t>
      </w:r>
      <w:r w:rsidRPr="008D0E14">
        <w:rPr>
          <w:b/>
          <w:bCs/>
        </w:rPr>
        <w:t xml:space="preserve">nebo </w:t>
      </w:r>
      <w:r w:rsidRPr="008D0E14">
        <w:rPr>
          <w:b/>
        </w:rPr>
        <w:t>značkování účetní závěrky</w:t>
      </w:r>
      <w:r w:rsidRPr="008D0E14">
        <w:rPr>
          <w:b/>
          <w:bCs/>
        </w:rPr>
        <w:t>, je-li vyžadováno nebo účetní jednotkou deklarováno, jsou</w:t>
      </w:r>
      <w:r w:rsidRPr="008D0E14">
        <w:rPr>
          <w:b/>
        </w:rPr>
        <w:t xml:space="preserve"> v souladu s </w:t>
      </w:r>
      <w:r w:rsidRPr="008D0E14">
        <w:rPr>
          <w:b/>
          <w:bCs/>
        </w:rPr>
        <w:t>příslušným obecně uznávaným standardem, právním předpisem</w:t>
      </w:r>
      <w:r w:rsidRPr="008D0E14">
        <w:rPr>
          <w:b/>
        </w:rPr>
        <w:t xml:space="preserve"> nebo přímo </w:t>
      </w:r>
      <w:r w:rsidRPr="008D0E14">
        <w:rPr>
          <w:b/>
          <w:bCs/>
        </w:rPr>
        <w:t>použitelným předpisem</w:t>
      </w:r>
      <w:r w:rsidRPr="008D0E14">
        <w:rPr>
          <w:b/>
        </w:rPr>
        <w:t xml:space="preserve"> Evropské unie.</w:t>
      </w:r>
    </w:p>
    <w:p w14:paraId="40E36144" w14:textId="5F9E0CDC" w:rsidR="003B71E2" w:rsidRDefault="003B71E2" w:rsidP="00DE144D">
      <w:pPr>
        <w:pStyle w:val="Textodstavce"/>
        <w:tabs>
          <w:tab w:val="clear" w:pos="851"/>
        </w:tabs>
        <w:ind w:firstLine="425"/>
        <w:rPr>
          <w:b/>
          <w:u w:val="single"/>
        </w:rPr>
      </w:pPr>
      <w:r w:rsidRPr="005B4E60">
        <w:rPr>
          <w:b/>
        </w:rPr>
        <w:t xml:space="preserve">(4) </w:t>
      </w:r>
      <w:r w:rsidRPr="0040122C">
        <w:rPr>
          <w:b/>
        </w:rPr>
        <w:t xml:space="preserve">Na ověření </w:t>
      </w:r>
      <w:r>
        <w:rPr>
          <w:b/>
        </w:rPr>
        <w:t>zahajovací rozvahy</w:t>
      </w:r>
      <w:r w:rsidRPr="0040122C">
        <w:rPr>
          <w:b/>
        </w:rPr>
        <w:t xml:space="preserve"> se </w:t>
      </w:r>
      <w:r>
        <w:rPr>
          <w:b/>
        </w:rPr>
        <w:t xml:space="preserve">použijí </w:t>
      </w:r>
      <w:r w:rsidRPr="0040122C">
        <w:rPr>
          <w:b/>
        </w:rPr>
        <w:t xml:space="preserve">ustanovení o </w:t>
      </w:r>
      <w:r>
        <w:rPr>
          <w:b/>
        </w:rPr>
        <w:t>auditu</w:t>
      </w:r>
      <w:r w:rsidRPr="0040122C">
        <w:rPr>
          <w:b/>
        </w:rPr>
        <w:t xml:space="preserve"> </w:t>
      </w:r>
      <w:r>
        <w:rPr>
          <w:b/>
        </w:rPr>
        <w:t>účetní závěrky s výjimkou ustanovení upravujících znění zprávy auditora obdobně.</w:t>
      </w:r>
    </w:p>
    <w:p w14:paraId="6E173362" w14:textId="77777777" w:rsidR="003B71E2" w:rsidRPr="00B15C8A" w:rsidRDefault="003B71E2" w:rsidP="00992796">
      <w:pPr>
        <w:pStyle w:val="Paragraf"/>
        <w:numPr>
          <w:ilvl w:val="0"/>
          <w:numId w:val="42"/>
        </w:numPr>
        <w:spacing w:after="120"/>
        <w:rPr>
          <w:strike/>
        </w:rPr>
      </w:pPr>
      <w:r>
        <w:rPr>
          <w:strike/>
        </w:rPr>
        <w:t>§ 2b</w:t>
      </w:r>
    </w:p>
    <w:p w14:paraId="0B1B33F6" w14:textId="77777777" w:rsidR="003B71E2" w:rsidRPr="00AD3ADE" w:rsidRDefault="003B71E2" w:rsidP="00992796">
      <w:pPr>
        <w:pStyle w:val="Nadpisparagrafu"/>
        <w:numPr>
          <w:ilvl w:val="0"/>
          <w:numId w:val="42"/>
        </w:numPr>
        <w:spacing w:after="120"/>
        <w:rPr>
          <w:strike/>
        </w:rPr>
      </w:pPr>
      <w:r w:rsidRPr="00AD3ADE">
        <w:rPr>
          <w:strike/>
        </w:rPr>
        <w:t>Obecná ustanovení</w:t>
      </w:r>
    </w:p>
    <w:p w14:paraId="2DA51380" w14:textId="77777777" w:rsidR="003B71E2" w:rsidRPr="00AD3ADE" w:rsidRDefault="003B71E2" w:rsidP="00DE144D">
      <w:pPr>
        <w:pStyle w:val="Textodstavce"/>
        <w:tabs>
          <w:tab w:val="clear" w:pos="851"/>
        </w:tabs>
        <w:ind w:firstLine="425"/>
        <w:rPr>
          <w:strike/>
        </w:rPr>
      </w:pPr>
      <w:r w:rsidRPr="00AD3ADE">
        <w:rPr>
          <w:strike/>
        </w:rPr>
        <w:t>(1) Kontrolním orgánem se v tomto zákoně rozumí dozorčí rada, správní rada při výkonu kontrolní působnosti, kontrolní komise nebo jiný orgán s obdobnou kontrolní působností, v závislosti na právní formě právnické osoby, o kterou se jedná.</w:t>
      </w:r>
    </w:p>
    <w:p w14:paraId="30E9D2A5" w14:textId="77777777" w:rsidR="003B71E2" w:rsidRPr="00AD3ADE" w:rsidRDefault="003B71E2" w:rsidP="00DE144D">
      <w:pPr>
        <w:pStyle w:val="Textodstavce"/>
        <w:tabs>
          <w:tab w:val="clear" w:pos="851"/>
        </w:tabs>
        <w:ind w:firstLine="425"/>
        <w:rPr>
          <w:strike/>
        </w:rPr>
      </w:pPr>
      <w:r w:rsidRPr="00AD3ADE">
        <w:rPr>
          <w:strike/>
        </w:rPr>
        <w:t>(2) Řídicím orgánem se v tomto zákoně rozumí statutární orgán obchodní korporace, u akciové společnosti nebo evropské společnosti s monistickým systémem vnitřní struktury společnosti správní rada při výkonu řídící působnosti, nebo jiný orgán vykonávající řídící funkce, v závislosti na právní formě právnické osoby, o kterou se jedná.</w:t>
      </w:r>
    </w:p>
    <w:p w14:paraId="1542BFD0" w14:textId="77777777" w:rsidR="003B71E2" w:rsidRPr="008C2FE3" w:rsidRDefault="003B71E2" w:rsidP="00DE144D">
      <w:pPr>
        <w:pStyle w:val="Textodstavce"/>
        <w:tabs>
          <w:tab w:val="clear" w:pos="851"/>
        </w:tabs>
        <w:ind w:firstLine="425"/>
        <w:rPr>
          <w:strike/>
        </w:rPr>
      </w:pPr>
      <w:r w:rsidRPr="5EDC5612">
        <w:rPr>
          <w:strike/>
        </w:rPr>
        <w:t>(3) Pokud tento zákon stanoví práva a povinnosti účetní jednotce, která nemá právní osobnost, vykonává tato práva a povinnosti ten, kdo ji zastupuje.</w:t>
      </w:r>
    </w:p>
    <w:p w14:paraId="3CC5470F" w14:textId="77777777" w:rsidR="003B71E2" w:rsidRDefault="003B71E2" w:rsidP="008D0E14">
      <w:pPr>
        <w:pStyle w:val="Paragraf"/>
        <w:spacing w:after="120"/>
        <w:rPr>
          <w:b/>
        </w:rPr>
      </w:pPr>
      <w:r>
        <w:rPr>
          <w:b/>
        </w:rPr>
        <w:lastRenderedPageBreak/>
        <w:t>§ 2b</w:t>
      </w:r>
    </w:p>
    <w:p w14:paraId="7743E2A3" w14:textId="77777777" w:rsidR="003B71E2" w:rsidRDefault="003B71E2" w:rsidP="008D0E14">
      <w:pPr>
        <w:pStyle w:val="Nadpisparagrafu"/>
        <w:spacing w:after="120"/>
        <w:rPr>
          <w:szCs w:val="24"/>
        </w:rPr>
      </w:pPr>
      <w:r>
        <w:rPr>
          <w:szCs w:val="24"/>
        </w:rPr>
        <w:t>Ověření zprávy vedení a zprávy o vztazích</w:t>
      </w:r>
    </w:p>
    <w:p w14:paraId="025A7F67" w14:textId="77777777" w:rsidR="003B71E2" w:rsidRPr="008D0E14" w:rsidRDefault="003B71E2" w:rsidP="008D0E14">
      <w:pPr>
        <w:pStyle w:val="Textodstavce"/>
        <w:tabs>
          <w:tab w:val="clear" w:pos="851"/>
        </w:tabs>
        <w:spacing w:before="240"/>
        <w:ind w:firstLine="426"/>
        <w:rPr>
          <w:b/>
        </w:rPr>
      </w:pPr>
      <w:r w:rsidRPr="008D0E14">
        <w:rPr>
          <w:b/>
        </w:rPr>
        <w:t>(1) Ověřením zprávy vedení je ověření, zda</w:t>
      </w:r>
    </w:p>
    <w:p w14:paraId="64D65361" w14:textId="77777777" w:rsidR="003B71E2" w:rsidRPr="008D0E14" w:rsidRDefault="003B71E2" w:rsidP="00721E99">
      <w:pPr>
        <w:pStyle w:val="PZTextpsmene"/>
        <w:spacing w:before="0"/>
        <w:ind w:left="426" w:hanging="426"/>
        <w:rPr>
          <w:b/>
          <w:color w:val="000000" w:themeColor="text1"/>
        </w:rPr>
      </w:pPr>
      <w:r w:rsidRPr="008D0E14">
        <w:rPr>
          <w:b/>
          <w:bCs/>
          <w:color w:val="000000" w:themeColor="text1"/>
        </w:rPr>
        <w:t>a)</w:t>
      </w:r>
      <w:r w:rsidRPr="008D0E14">
        <w:tab/>
      </w:r>
      <w:r w:rsidRPr="008D0E14">
        <w:rPr>
          <w:b/>
          <w:color w:val="000000" w:themeColor="text1"/>
        </w:rPr>
        <w:t>informace uvedené ve zprávě vedení jsou v souladu s účetní závěrkou,</w:t>
      </w:r>
    </w:p>
    <w:p w14:paraId="0D499C97" w14:textId="77777777" w:rsidR="003B71E2" w:rsidRPr="008D0E14" w:rsidRDefault="003B71E2" w:rsidP="00721E99">
      <w:pPr>
        <w:pStyle w:val="PZTextpsmene"/>
        <w:spacing w:before="0"/>
        <w:ind w:left="426" w:hanging="426"/>
        <w:rPr>
          <w:b/>
          <w:color w:val="000000" w:themeColor="text1"/>
        </w:rPr>
      </w:pPr>
      <w:r w:rsidRPr="008D0E14">
        <w:rPr>
          <w:b/>
          <w:bCs/>
          <w:color w:val="000000" w:themeColor="text1"/>
        </w:rPr>
        <w:t>b</w:t>
      </w:r>
      <w:r w:rsidRPr="008D0E14">
        <w:rPr>
          <w:b/>
          <w:color w:val="000000" w:themeColor="text1"/>
        </w:rPr>
        <w:t>)</w:t>
      </w:r>
      <w:r w:rsidRPr="008D0E14">
        <w:tab/>
      </w:r>
      <w:r w:rsidRPr="008D0E14">
        <w:rPr>
          <w:b/>
          <w:color w:val="000000" w:themeColor="text1"/>
        </w:rPr>
        <w:t xml:space="preserve">zpráva vedení s ohledem na poznatky a povědomí o podniku a jeho prostředí, k nimž auditor v průběhu povinného auditu </w:t>
      </w:r>
      <w:r w:rsidRPr="008D0E14">
        <w:rPr>
          <w:b/>
          <w:bCs/>
          <w:color w:val="000000" w:themeColor="text1"/>
        </w:rPr>
        <w:t>dospěl</w:t>
      </w:r>
      <w:r w:rsidRPr="008D0E14">
        <w:rPr>
          <w:b/>
          <w:color w:val="000000" w:themeColor="text1"/>
        </w:rPr>
        <w:t>, neobsahuje významné nesprávnosti, a</w:t>
      </w:r>
    </w:p>
    <w:p w14:paraId="5C0909FF" w14:textId="77777777" w:rsidR="003B71E2" w:rsidRPr="008D0E14" w:rsidRDefault="003B71E2" w:rsidP="00721E99">
      <w:pPr>
        <w:pStyle w:val="PZTextpsmene"/>
        <w:spacing w:before="0"/>
        <w:ind w:left="426" w:hanging="426"/>
        <w:rPr>
          <w:b/>
          <w:bCs/>
          <w:color w:val="000000" w:themeColor="text1"/>
        </w:rPr>
      </w:pPr>
      <w:r w:rsidRPr="008D0E14">
        <w:rPr>
          <w:b/>
          <w:bCs/>
          <w:color w:val="000000" w:themeColor="text1"/>
        </w:rPr>
        <w:t>c)</w:t>
      </w:r>
      <w:r w:rsidRPr="008D0E14">
        <w:tab/>
      </w:r>
      <w:r w:rsidRPr="008D0E14">
        <w:rPr>
          <w:b/>
          <w:bCs/>
          <w:color w:val="000000" w:themeColor="text1"/>
        </w:rPr>
        <w:t>zpráva vedení s výjimkou zprávy o udržitelnosti je vypracována v souladu s právními předpisy.</w:t>
      </w:r>
    </w:p>
    <w:p w14:paraId="61D15DDE" w14:textId="77777777" w:rsidR="003B71E2" w:rsidRPr="008D0E14" w:rsidRDefault="003B71E2" w:rsidP="00DE144D">
      <w:pPr>
        <w:pStyle w:val="Textodstavce"/>
        <w:tabs>
          <w:tab w:val="clear" w:pos="851"/>
        </w:tabs>
        <w:ind w:firstLine="425"/>
        <w:rPr>
          <w:b/>
        </w:rPr>
      </w:pPr>
      <w:r w:rsidRPr="008D0E14">
        <w:rPr>
          <w:b/>
        </w:rPr>
        <w:t xml:space="preserve">(2) Provádí-li auditor povinný audit, </w:t>
      </w:r>
      <w:r w:rsidRPr="008D0E14">
        <w:rPr>
          <w:b/>
          <w:bCs/>
        </w:rPr>
        <w:t>ověří</w:t>
      </w:r>
      <w:r w:rsidRPr="008D0E14">
        <w:rPr>
          <w:b/>
        </w:rPr>
        <w:t xml:space="preserve"> zprávu vedení</w:t>
      </w:r>
      <w:r w:rsidRPr="008D0E14">
        <w:rPr>
          <w:b/>
          <w:bCs/>
        </w:rPr>
        <w:t>, je-li vyhotovována</w:t>
      </w:r>
      <w:r w:rsidRPr="008D0E14">
        <w:rPr>
          <w:b/>
        </w:rPr>
        <w:t>.</w:t>
      </w:r>
    </w:p>
    <w:p w14:paraId="380AEC82" w14:textId="77777777" w:rsidR="003B71E2" w:rsidRPr="008D0E14" w:rsidRDefault="003B71E2" w:rsidP="00DE144D">
      <w:pPr>
        <w:pStyle w:val="Textodstavce"/>
        <w:tabs>
          <w:tab w:val="clear" w:pos="851"/>
        </w:tabs>
        <w:ind w:firstLine="425"/>
        <w:rPr>
          <w:b/>
        </w:rPr>
      </w:pPr>
      <w:r w:rsidRPr="008D0E14">
        <w:rPr>
          <w:b/>
        </w:rPr>
        <w:t xml:space="preserve">(3) Provádí-li auditor povinný audit, </w:t>
      </w:r>
      <w:r w:rsidRPr="008D0E14">
        <w:rPr>
          <w:b/>
          <w:bCs/>
        </w:rPr>
        <w:t>ověří</w:t>
      </w:r>
      <w:r w:rsidRPr="008D0E14">
        <w:rPr>
          <w:b/>
        </w:rPr>
        <w:t xml:space="preserve">, zda elektronický formát </w:t>
      </w:r>
      <w:r w:rsidRPr="008D0E14">
        <w:rPr>
          <w:b/>
          <w:bCs/>
        </w:rPr>
        <w:t xml:space="preserve">zprávy vedení nebo </w:t>
      </w:r>
      <w:r w:rsidRPr="008D0E14">
        <w:rPr>
          <w:b/>
        </w:rPr>
        <w:t xml:space="preserve">značkování zprávy vedení </w:t>
      </w:r>
      <w:r w:rsidRPr="008D0E14">
        <w:rPr>
          <w:b/>
          <w:bCs/>
        </w:rPr>
        <w:t>s výjimkou zprávy o udržitelnosti, jsou-li vyžadovány nebo účetní jednotkou deklarovány, jsou</w:t>
      </w:r>
      <w:r w:rsidRPr="008D0E14">
        <w:rPr>
          <w:b/>
        </w:rPr>
        <w:t xml:space="preserve"> v souladu s </w:t>
      </w:r>
      <w:r w:rsidRPr="008D0E14">
        <w:rPr>
          <w:b/>
          <w:bCs/>
        </w:rPr>
        <w:t>příslušným obecně uznávaným standardem, právním předpisem</w:t>
      </w:r>
      <w:r w:rsidRPr="008D0E14">
        <w:rPr>
          <w:b/>
        </w:rPr>
        <w:t xml:space="preserve"> nebo přímo </w:t>
      </w:r>
      <w:r w:rsidRPr="008D0E14">
        <w:rPr>
          <w:b/>
          <w:bCs/>
        </w:rPr>
        <w:t>použitelným předpisem</w:t>
      </w:r>
      <w:r w:rsidRPr="008D0E14">
        <w:rPr>
          <w:b/>
        </w:rPr>
        <w:t xml:space="preserve"> Evropské unie.</w:t>
      </w:r>
    </w:p>
    <w:p w14:paraId="783D66A0" w14:textId="51BFF86C" w:rsidR="003B71E2" w:rsidRDefault="003B71E2" w:rsidP="00DE144D">
      <w:pPr>
        <w:pStyle w:val="Textodstavce"/>
        <w:tabs>
          <w:tab w:val="clear" w:pos="851"/>
        </w:tabs>
        <w:ind w:firstLine="425"/>
        <w:rPr>
          <w:b/>
        </w:rPr>
      </w:pPr>
      <w:r w:rsidRPr="00C15340">
        <w:rPr>
          <w:b/>
          <w:szCs w:val="24"/>
        </w:rPr>
        <w:t xml:space="preserve">(4) </w:t>
      </w:r>
      <w:r w:rsidRPr="0040122C">
        <w:rPr>
          <w:b/>
        </w:rPr>
        <w:t>Na ověření zprávy o vztazích se ustanovení o ověření zprávy vedení použijí obdobně.</w:t>
      </w:r>
    </w:p>
    <w:p w14:paraId="6696F478" w14:textId="77777777" w:rsidR="003B71E2" w:rsidRPr="00B15C8A" w:rsidRDefault="003B71E2" w:rsidP="002003EB">
      <w:pPr>
        <w:pStyle w:val="Paragraf"/>
        <w:numPr>
          <w:ilvl w:val="0"/>
          <w:numId w:val="0"/>
        </w:numPr>
        <w:spacing w:after="120"/>
        <w:ind w:left="720"/>
        <w:rPr>
          <w:b/>
        </w:rPr>
      </w:pPr>
      <w:r w:rsidRPr="00B15C8A">
        <w:rPr>
          <w:b/>
        </w:rPr>
        <w:t xml:space="preserve">§ </w:t>
      </w:r>
      <w:r>
        <w:rPr>
          <w:b/>
        </w:rPr>
        <w:t>2c</w:t>
      </w:r>
    </w:p>
    <w:p w14:paraId="482D929C" w14:textId="52E1F8B6" w:rsidR="003B71E2" w:rsidRPr="0002222C" w:rsidRDefault="003B71E2" w:rsidP="002003EB">
      <w:pPr>
        <w:pStyle w:val="Nadpisparagrafu"/>
        <w:spacing w:after="120"/>
        <w:ind w:left="720"/>
        <w:rPr>
          <w:b w:val="0"/>
        </w:rPr>
      </w:pPr>
      <w:r>
        <w:t>Ověření zprávy o udržitelnosti</w:t>
      </w:r>
    </w:p>
    <w:p w14:paraId="175E3D8C" w14:textId="5CC68201" w:rsidR="003B71E2" w:rsidRPr="002003EB" w:rsidRDefault="003B71E2" w:rsidP="00DE144D">
      <w:pPr>
        <w:pStyle w:val="Textodstavce"/>
        <w:tabs>
          <w:tab w:val="clear" w:pos="851"/>
        </w:tabs>
        <w:ind w:firstLine="425"/>
        <w:rPr>
          <w:b/>
          <w:bCs/>
        </w:rPr>
      </w:pPr>
      <w:r w:rsidRPr="002003EB">
        <w:rPr>
          <w:b/>
        </w:rPr>
        <w:t xml:space="preserve">Ověřením zprávy o udržitelnosti je ověření </w:t>
      </w:r>
    </w:p>
    <w:p w14:paraId="156BD34B" w14:textId="6C753474" w:rsidR="003B71E2" w:rsidRPr="002003EB" w:rsidRDefault="00DE144D" w:rsidP="00DE144D">
      <w:pPr>
        <w:pStyle w:val="PZTextpsmene"/>
        <w:spacing w:before="0"/>
        <w:rPr>
          <w:b/>
        </w:rPr>
      </w:pPr>
      <w:r>
        <w:rPr>
          <w:b/>
        </w:rPr>
        <w:t>a)</w:t>
      </w:r>
      <w:r>
        <w:rPr>
          <w:b/>
        </w:rPr>
        <w:tab/>
      </w:r>
      <w:r w:rsidR="003B71E2" w:rsidRPr="002003EB">
        <w:rPr>
          <w:b/>
        </w:rPr>
        <w:t xml:space="preserve">souladu zprávy o udržitelnosti s požadavky zákona o účetnictví včetně </w:t>
      </w:r>
    </w:p>
    <w:p w14:paraId="649596E5" w14:textId="1770CE3A" w:rsidR="003B71E2" w:rsidRPr="002003EB" w:rsidRDefault="002003EB" w:rsidP="002003EB">
      <w:pPr>
        <w:pStyle w:val="Textodstavce"/>
        <w:tabs>
          <w:tab w:val="clear" w:pos="851"/>
        </w:tabs>
        <w:spacing w:before="0" w:after="0"/>
        <w:ind w:left="425"/>
        <w:rPr>
          <w:b/>
          <w:bCs/>
        </w:rPr>
      </w:pPr>
      <w:r w:rsidRPr="002003EB">
        <w:rPr>
          <w:b/>
          <w:bCs/>
        </w:rPr>
        <w:t>1.</w:t>
      </w:r>
      <w:r w:rsidRPr="002003EB">
        <w:rPr>
          <w:b/>
          <w:bCs/>
        </w:rPr>
        <w:tab/>
      </w:r>
      <w:r w:rsidR="003B71E2" w:rsidRPr="002003EB">
        <w:rPr>
          <w:b/>
          <w:bCs/>
        </w:rPr>
        <w:t>souladu se standardy</w:t>
      </w:r>
      <w:r w:rsidR="003B71E2" w:rsidRPr="002003EB">
        <w:rPr>
          <w:b/>
        </w:rPr>
        <w:t xml:space="preserve"> pro podávání zpráv o udržitelnosti, </w:t>
      </w:r>
    </w:p>
    <w:p w14:paraId="59CAC74D" w14:textId="5E13CF57" w:rsidR="003B71E2" w:rsidRPr="002003EB" w:rsidRDefault="002003EB" w:rsidP="002003EB">
      <w:pPr>
        <w:pStyle w:val="Textodstavce"/>
        <w:tabs>
          <w:tab w:val="clear" w:pos="851"/>
        </w:tabs>
        <w:spacing w:before="0" w:after="0"/>
        <w:ind w:firstLine="425"/>
        <w:rPr>
          <w:b/>
          <w:bCs/>
        </w:rPr>
      </w:pPr>
      <w:r w:rsidRPr="002003EB">
        <w:rPr>
          <w:b/>
        </w:rPr>
        <w:t>2.</w:t>
      </w:r>
      <w:r w:rsidRPr="002003EB">
        <w:rPr>
          <w:b/>
        </w:rPr>
        <w:tab/>
      </w:r>
      <w:r w:rsidR="003B71E2" w:rsidRPr="002003EB">
        <w:rPr>
          <w:b/>
        </w:rPr>
        <w:t xml:space="preserve">postupu pro určování informací vykazovaných podle těchto standardů a </w:t>
      </w:r>
    </w:p>
    <w:p w14:paraId="534CB554" w14:textId="18B59141" w:rsidR="003B71E2" w:rsidRPr="002003EB" w:rsidRDefault="002003EB" w:rsidP="002003EB">
      <w:pPr>
        <w:pStyle w:val="Textodstavce"/>
        <w:tabs>
          <w:tab w:val="clear" w:pos="851"/>
        </w:tabs>
        <w:spacing w:before="0" w:after="0"/>
        <w:ind w:left="845" w:hanging="420"/>
        <w:rPr>
          <w:b/>
          <w:bCs/>
        </w:rPr>
      </w:pPr>
      <w:r w:rsidRPr="002003EB">
        <w:rPr>
          <w:b/>
          <w:bCs/>
        </w:rPr>
        <w:t>3.</w:t>
      </w:r>
      <w:r w:rsidRPr="002003EB">
        <w:rPr>
          <w:b/>
          <w:bCs/>
        </w:rPr>
        <w:tab/>
      </w:r>
      <w:r w:rsidR="003B71E2" w:rsidRPr="002003EB">
        <w:rPr>
          <w:b/>
          <w:bCs/>
        </w:rPr>
        <w:t xml:space="preserve">souladu </w:t>
      </w:r>
      <w:r w:rsidR="003B71E2" w:rsidRPr="002003EB">
        <w:rPr>
          <w:b/>
        </w:rPr>
        <w:t xml:space="preserve">značkování s přímo použitelným právním předpisem Evropské unie upravujícím jednotný elektronický formát pro podávání zpráv, a </w:t>
      </w:r>
    </w:p>
    <w:p w14:paraId="539E674D" w14:textId="0F7853E1" w:rsidR="003B71E2" w:rsidRPr="002003EB" w:rsidRDefault="00DE144D" w:rsidP="00DE144D">
      <w:pPr>
        <w:pStyle w:val="PZTextpsmene"/>
        <w:spacing w:before="0"/>
        <w:rPr>
          <w:b/>
          <w:bCs/>
        </w:rPr>
      </w:pPr>
      <w:r>
        <w:rPr>
          <w:b/>
        </w:rPr>
        <w:t>b)</w:t>
      </w:r>
      <w:r>
        <w:rPr>
          <w:b/>
        </w:rPr>
        <w:tab/>
      </w:r>
      <w:r w:rsidR="003B71E2" w:rsidRPr="002003EB">
        <w:rPr>
          <w:b/>
        </w:rPr>
        <w:t>souladu s přímo použitelným právním předpisem Evropské unie upravujícím rámec pro usnadnění udržitelných investic.</w:t>
      </w:r>
    </w:p>
    <w:p w14:paraId="7EEDE79C" w14:textId="77777777" w:rsidR="003B71E2" w:rsidRPr="00B15C8A" w:rsidRDefault="003B71E2" w:rsidP="002003EB">
      <w:pPr>
        <w:pStyle w:val="Paragraf"/>
        <w:numPr>
          <w:ilvl w:val="0"/>
          <w:numId w:val="0"/>
        </w:numPr>
        <w:spacing w:after="120"/>
        <w:rPr>
          <w:b/>
          <w:highlight w:val="yellow"/>
        </w:rPr>
      </w:pPr>
      <w:r>
        <w:rPr>
          <w:b/>
          <w:bCs/>
        </w:rPr>
        <w:t>§ 2d</w:t>
      </w:r>
    </w:p>
    <w:p w14:paraId="07DB486E" w14:textId="2CD14D73" w:rsidR="003B71E2" w:rsidRPr="0002222C" w:rsidRDefault="003B71E2" w:rsidP="002003EB">
      <w:pPr>
        <w:pStyle w:val="Nadpisparagrafu"/>
        <w:spacing w:after="120"/>
        <w:rPr>
          <w:b w:val="0"/>
        </w:rPr>
      </w:pPr>
      <w:r>
        <w:t>Auditorská činnost</w:t>
      </w:r>
    </w:p>
    <w:p w14:paraId="138358A7" w14:textId="50638207" w:rsidR="003B71E2" w:rsidRPr="00DE144D" w:rsidRDefault="00665213" w:rsidP="00DE144D">
      <w:pPr>
        <w:pStyle w:val="Textodstavce"/>
        <w:tabs>
          <w:tab w:val="clear" w:pos="851"/>
        </w:tabs>
        <w:spacing w:before="240"/>
        <w:ind w:firstLine="425"/>
        <w:rPr>
          <w:b/>
          <w:szCs w:val="24"/>
        </w:rPr>
      </w:pPr>
      <w:r>
        <w:rPr>
          <w:b/>
          <w:szCs w:val="24"/>
        </w:rPr>
        <w:t>(1)</w:t>
      </w:r>
      <w:r w:rsidR="003B71E2">
        <w:rPr>
          <w:b/>
          <w:szCs w:val="24"/>
        </w:rPr>
        <w:t xml:space="preserve"> </w:t>
      </w:r>
      <w:r w:rsidR="003B71E2" w:rsidRPr="00FC2CDF">
        <w:rPr>
          <w:b/>
          <w:szCs w:val="24"/>
        </w:rPr>
        <w:t xml:space="preserve">Auditorskou činností je </w:t>
      </w:r>
      <w:r w:rsidR="003B71E2">
        <w:rPr>
          <w:b/>
          <w:szCs w:val="24"/>
        </w:rPr>
        <w:t>činnost prováděná auditorem</w:t>
      </w:r>
      <w:r w:rsidR="00DE144D">
        <w:rPr>
          <w:b/>
          <w:szCs w:val="24"/>
        </w:rPr>
        <w:t xml:space="preserve">, </w:t>
      </w:r>
      <w:r w:rsidR="003B71E2" w:rsidRPr="00DE144D">
        <w:rPr>
          <w:b/>
        </w:rPr>
        <w:t>jejímž výsledkem je poskytnutí přiměřeného nebo omezeného ujištění,</w:t>
      </w:r>
    </w:p>
    <w:p w14:paraId="30ECB78B" w14:textId="700AE6C7" w:rsidR="003B71E2" w:rsidRPr="00DE144D" w:rsidRDefault="00DE144D" w:rsidP="00DE144D">
      <w:pPr>
        <w:pStyle w:val="PZTextpsmene"/>
        <w:spacing w:before="0"/>
        <w:rPr>
          <w:b/>
        </w:rPr>
      </w:pPr>
      <w:r>
        <w:rPr>
          <w:b/>
        </w:rPr>
        <w:t>a)</w:t>
      </w:r>
      <w:r>
        <w:rPr>
          <w:b/>
        </w:rPr>
        <w:tab/>
      </w:r>
      <w:r w:rsidR="003B71E2" w:rsidRPr="00DE144D">
        <w:rPr>
          <w:b/>
        </w:rPr>
        <w:t xml:space="preserve">spočívající v postupech dohodnutých mezi auditorem a objednatelem, jsou-li zjištění z těchto postupů určena nebo mohou být zpřístupněna jinému než objednateli, </w:t>
      </w:r>
    </w:p>
    <w:p w14:paraId="044A14CF" w14:textId="79EC91C8" w:rsidR="003B71E2" w:rsidRPr="00DE144D" w:rsidRDefault="00DE144D" w:rsidP="00DE144D">
      <w:pPr>
        <w:pStyle w:val="PZTextpsmene"/>
        <w:spacing w:before="0"/>
        <w:rPr>
          <w:b/>
        </w:rPr>
      </w:pPr>
      <w:r>
        <w:rPr>
          <w:b/>
        </w:rPr>
        <w:t>b)</w:t>
      </w:r>
      <w:r>
        <w:rPr>
          <w:b/>
        </w:rPr>
        <w:tab/>
      </w:r>
      <w:r w:rsidR="003B71E2" w:rsidRPr="00DE144D">
        <w:rPr>
          <w:b/>
        </w:rPr>
        <w:t>na základě jiného právního předpisu nebo přímo použitelného předpisu Evropské unie, nebo</w:t>
      </w:r>
    </w:p>
    <w:p w14:paraId="290CFD5A" w14:textId="10732E6B" w:rsidR="003B71E2" w:rsidRPr="00DE144D" w:rsidRDefault="00DE144D" w:rsidP="00DE144D">
      <w:pPr>
        <w:pStyle w:val="PZTextpsmene"/>
        <w:spacing w:before="0"/>
        <w:rPr>
          <w:b/>
        </w:rPr>
      </w:pPr>
      <w:r>
        <w:rPr>
          <w:b/>
        </w:rPr>
        <w:t>c)</w:t>
      </w:r>
      <w:r>
        <w:rPr>
          <w:b/>
        </w:rPr>
        <w:tab/>
      </w:r>
      <w:r w:rsidR="003B71E2" w:rsidRPr="00DE144D">
        <w:rPr>
          <w:b/>
        </w:rPr>
        <w:t>pro účely činností uvedených v písmenech a) až c) prováděných jiným auditorem; to neplatí, pokud auditor tak činí ve vztahu k tomuto jinému auditorovi v rámci základního pracovněprávního vztahu nebo jako společník auditorské společnosti.</w:t>
      </w:r>
    </w:p>
    <w:p w14:paraId="7260295A" w14:textId="32779500" w:rsidR="003B71E2" w:rsidRDefault="00665213" w:rsidP="00DE144D">
      <w:pPr>
        <w:pStyle w:val="Textodstavce"/>
        <w:tabs>
          <w:tab w:val="clear" w:pos="851"/>
        </w:tabs>
        <w:ind w:firstLine="425"/>
        <w:rPr>
          <w:b/>
          <w:szCs w:val="24"/>
        </w:rPr>
      </w:pPr>
      <w:r>
        <w:rPr>
          <w:b/>
          <w:szCs w:val="24"/>
        </w:rPr>
        <w:t>(2)</w:t>
      </w:r>
      <w:r w:rsidR="003B71E2">
        <w:rPr>
          <w:b/>
          <w:szCs w:val="24"/>
        </w:rPr>
        <w:t xml:space="preserve"> </w:t>
      </w:r>
      <w:r w:rsidR="003B71E2" w:rsidRPr="009B21EF">
        <w:rPr>
          <w:b/>
          <w:szCs w:val="24"/>
        </w:rPr>
        <w:t>Poskytnutím přiměřeného ujištění je vyjádřen</w:t>
      </w:r>
      <w:r w:rsidR="003B71E2">
        <w:rPr>
          <w:b/>
          <w:szCs w:val="24"/>
        </w:rPr>
        <w:t>í</w:t>
      </w:r>
      <w:r w:rsidR="003B71E2" w:rsidRPr="009B21EF">
        <w:rPr>
          <w:b/>
          <w:szCs w:val="24"/>
        </w:rPr>
        <w:t xml:space="preserve"> </w:t>
      </w:r>
      <w:r w:rsidR="003B71E2">
        <w:rPr>
          <w:b/>
          <w:szCs w:val="24"/>
        </w:rPr>
        <w:t>závěru</w:t>
      </w:r>
      <w:r w:rsidR="003B71E2" w:rsidRPr="009B21EF">
        <w:rPr>
          <w:b/>
          <w:szCs w:val="24"/>
        </w:rPr>
        <w:t xml:space="preserve"> </w:t>
      </w:r>
      <w:r w:rsidR="003B71E2">
        <w:rPr>
          <w:b/>
          <w:szCs w:val="24"/>
        </w:rPr>
        <w:t>auditora</w:t>
      </w:r>
      <w:r w:rsidR="003B71E2" w:rsidRPr="009B21EF">
        <w:rPr>
          <w:b/>
          <w:szCs w:val="24"/>
        </w:rPr>
        <w:t xml:space="preserve">, zda </w:t>
      </w:r>
      <w:r w:rsidR="003B71E2">
        <w:rPr>
          <w:b/>
          <w:szCs w:val="24"/>
        </w:rPr>
        <w:t>předmět ověření vyhovuje</w:t>
      </w:r>
      <w:r w:rsidR="003B71E2" w:rsidRPr="009B21EF">
        <w:rPr>
          <w:b/>
          <w:szCs w:val="24"/>
        </w:rPr>
        <w:t xml:space="preserve"> </w:t>
      </w:r>
      <w:r w:rsidR="003B71E2">
        <w:rPr>
          <w:b/>
          <w:szCs w:val="24"/>
        </w:rPr>
        <w:t>stanoveným kritériím</w:t>
      </w:r>
      <w:r w:rsidR="003B71E2" w:rsidRPr="009B21EF">
        <w:rPr>
          <w:b/>
          <w:szCs w:val="24"/>
        </w:rPr>
        <w:t>.</w:t>
      </w:r>
    </w:p>
    <w:p w14:paraId="6E1F62B8" w14:textId="77777777" w:rsidR="003B71E2" w:rsidRDefault="003B71E2" w:rsidP="00DE144D">
      <w:pPr>
        <w:pStyle w:val="Textodstavce"/>
        <w:tabs>
          <w:tab w:val="clear" w:pos="851"/>
        </w:tabs>
        <w:ind w:firstLine="425"/>
        <w:rPr>
          <w:b/>
          <w:bCs/>
          <w:szCs w:val="24"/>
        </w:rPr>
      </w:pPr>
      <w:r>
        <w:rPr>
          <w:b/>
          <w:szCs w:val="24"/>
        </w:rPr>
        <w:lastRenderedPageBreak/>
        <w:t xml:space="preserve">(3) </w:t>
      </w:r>
      <w:r w:rsidRPr="00A54732">
        <w:rPr>
          <w:b/>
          <w:bCs/>
          <w:szCs w:val="24"/>
        </w:rPr>
        <w:t xml:space="preserve">Poskytnutím omezeného ujištění </w:t>
      </w:r>
      <w:r>
        <w:rPr>
          <w:b/>
          <w:bCs/>
          <w:szCs w:val="24"/>
        </w:rPr>
        <w:t>je vyjádření</w:t>
      </w:r>
      <w:r w:rsidRPr="00A54732">
        <w:rPr>
          <w:b/>
          <w:bCs/>
          <w:szCs w:val="24"/>
        </w:rPr>
        <w:t xml:space="preserve"> závěr</w:t>
      </w:r>
      <w:r>
        <w:rPr>
          <w:b/>
          <w:bCs/>
          <w:szCs w:val="24"/>
        </w:rPr>
        <w:t>u</w:t>
      </w:r>
      <w:r w:rsidRPr="00A54732">
        <w:rPr>
          <w:b/>
          <w:bCs/>
          <w:szCs w:val="24"/>
        </w:rPr>
        <w:t xml:space="preserve"> </w:t>
      </w:r>
      <w:r>
        <w:rPr>
          <w:b/>
          <w:bCs/>
          <w:szCs w:val="24"/>
        </w:rPr>
        <w:t>auditora</w:t>
      </w:r>
      <w:r w:rsidRPr="00A54732">
        <w:rPr>
          <w:b/>
          <w:bCs/>
          <w:szCs w:val="24"/>
        </w:rPr>
        <w:t xml:space="preserve">, že </w:t>
      </w:r>
      <w:r>
        <w:rPr>
          <w:b/>
          <w:bCs/>
          <w:szCs w:val="24"/>
        </w:rPr>
        <w:t xml:space="preserve">nebyly zjištěny žádné skutečnosti zakládající domněnku, </w:t>
      </w:r>
      <w:r w:rsidRPr="00A54732">
        <w:rPr>
          <w:b/>
          <w:bCs/>
          <w:szCs w:val="24"/>
        </w:rPr>
        <w:t xml:space="preserve">že </w:t>
      </w:r>
      <w:r>
        <w:rPr>
          <w:b/>
          <w:bCs/>
          <w:szCs w:val="24"/>
        </w:rPr>
        <w:t>předmět ověření nevyhovuje stanoveným kritériím.</w:t>
      </w:r>
    </w:p>
    <w:p w14:paraId="451B24F4" w14:textId="42605D09" w:rsidR="003B71E2" w:rsidRPr="002003EB" w:rsidRDefault="003B71E2" w:rsidP="00DE144D">
      <w:pPr>
        <w:tabs>
          <w:tab w:val="left" w:pos="425"/>
          <w:tab w:val="left" w:pos="851"/>
        </w:tabs>
        <w:spacing w:before="120" w:after="120"/>
        <w:rPr>
          <w:b/>
          <w:bCs/>
          <w:szCs w:val="24"/>
        </w:rPr>
      </w:pPr>
      <w:r w:rsidRPr="002003EB">
        <w:rPr>
          <w:b/>
          <w:bCs/>
          <w:szCs w:val="24"/>
        </w:rPr>
        <w:t>(4) Vyhotovuje-li auditor zprávu o provedení auditorské činnosti, musí být tato zpráva označena jako „zpráva auditora” nebo „zpráva nezávislého auditora”.</w:t>
      </w:r>
    </w:p>
    <w:p w14:paraId="3D658513" w14:textId="77777777" w:rsidR="003B71E2" w:rsidRPr="00BA5D7A" w:rsidRDefault="003B71E2" w:rsidP="00DE144D">
      <w:pPr>
        <w:pStyle w:val="Textodstavce"/>
        <w:tabs>
          <w:tab w:val="clear" w:pos="851"/>
        </w:tabs>
        <w:ind w:firstLine="425"/>
        <w:rPr>
          <w:b/>
          <w:szCs w:val="24"/>
        </w:rPr>
      </w:pPr>
      <w:r w:rsidRPr="00BA5D7A">
        <w:rPr>
          <w:b/>
          <w:bCs/>
          <w:szCs w:val="24"/>
        </w:rPr>
        <w:t>(</w:t>
      </w:r>
      <w:r>
        <w:rPr>
          <w:b/>
          <w:bCs/>
          <w:szCs w:val="24"/>
        </w:rPr>
        <w:t>5</w:t>
      </w:r>
      <w:r w:rsidRPr="00BA5D7A">
        <w:rPr>
          <w:b/>
          <w:bCs/>
          <w:szCs w:val="24"/>
        </w:rPr>
        <w:t xml:space="preserve">) Označení podle odstavce </w:t>
      </w:r>
      <w:r>
        <w:rPr>
          <w:b/>
          <w:bCs/>
          <w:szCs w:val="24"/>
        </w:rPr>
        <w:t>4</w:t>
      </w:r>
      <w:r w:rsidRPr="00BA5D7A">
        <w:rPr>
          <w:b/>
          <w:bCs/>
          <w:szCs w:val="24"/>
        </w:rPr>
        <w:t xml:space="preserve"> smí nést pouze zpráva vyhotovená v rámci auditorské činnosti.</w:t>
      </w:r>
    </w:p>
    <w:p w14:paraId="7AAEFAF9" w14:textId="57E90713" w:rsidR="003B71E2" w:rsidRDefault="003B71E2" w:rsidP="002003EB">
      <w:pPr>
        <w:pStyle w:val="paragraf0"/>
        <w:spacing w:after="120"/>
        <w:rPr>
          <w:noProof w:val="0"/>
        </w:rPr>
      </w:pPr>
      <w:r>
        <w:rPr>
          <w:noProof w:val="0"/>
        </w:rPr>
        <w:t>***</w:t>
      </w:r>
    </w:p>
    <w:p w14:paraId="25DF10D4" w14:textId="77777777" w:rsidR="003B71E2" w:rsidRDefault="003B71E2" w:rsidP="002003EB">
      <w:pPr>
        <w:pStyle w:val="Paragraf"/>
        <w:numPr>
          <w:ilvl w:val="0"/>
          <w:numId w:val="0"/>
        </w:numPr>
        <w:spacing w:after="120"/>
      </w:pPr>
      <w:r>
        <w:t>§ 7c</w:t>
      </w:r>
    </w:p>
    <w:p w14:paraId="7240F675" w14:textId="37649C7F" w:rsidR="003B71E2" w:rsidRDefault="003B71E2" w:rsidP="00665213">
      <w:pPr>
        <w:pStyle w:val="Nadpisparagrafu"/>
        <w:spacing w:after="120"/>
      </w:pPr>
      <w:r>
        <w:t>Společná ustanovení k pozastavení nebo zákazu výkonu auditorské činnosti nebo zániku oprávnění k výkonu auditorské činnosti</w:t>
      </w:r>
    </w:p>
    <w:p w14:paraId="413BCA89" w14:textId="1B9A5D71" w:rsidR="003B71E2" w:rsidRDefault="00665213" w:rsidP="00DE144D">
      <w:pPr>
        <w:pStyle w:val="PZTextodstavce"/>
      </w:pPr>
      <w:r>
        <w:t xml:space="preserve">(1) </w:t>
      </w:r>
      <w:r w:rsidR="003B71E2">
        <w:t>Auditorovi, který má zakázán výkon auditorské činnosti podle § 7, současně zaniká oprávnění k výkonu auditorské činnosti.</w:t>
      </w:r>
    </w:p>
    <w:p w14:paraId="2DD5B021" w14:textId="4FDA5146" w:rsidR="003B71E2" w:rsidRDefault="00665213" w:rsidP="00DE144D">
      <w:pPr>
        <w:pStyle w:val="PZTextodstavce"/>
      </w:pPr>
      <w:r>
        <w:t xml:space="preserve">(2) </w:t>
      </w:r>
      <w:r w:rsidR="003B71E2">
        <w:t xml:space="preserve">Zánikem oprávnění k výkonu auditorské činnosti není dotčena povinnost zachovávat mlčenlivost podle § 15, povinnost uchovávat dokumentaci, informace a záznamy podle čl. 15 nařízení Evropského parlamentu a Rady (EU) č. 537/2014 a spis auditora podle § </w:t>
      </w:r>
      <w:r w:rsidR="003B71E2" w:rsidRPr="384EB091">
        <w:rPr>
          <w:strike/>
        </w:rPr>
        <w:t>20a</w:t>
      </w:r>
      <w:r w:rsidR="003B71E2">
        <w:t xml:space="preserve"> </w:t>
      </w:r>
      <w:r w:rsidR="003B71E2" w:rsidRPr="384EB091">
        <w:rPr>
          <w:b/>
          <w:bCs/>
        </w:rPr>
        <w:t xml:space="preserve">14ha </w:t>
      </w:r>
      <w:r w:rsidR="003B71E2">
        <w:t>odst. 2.</w:t>
      </w:r>
    </w:p>
    <w:p w14:paraId="79D2AAF7" w14:textId="3DF5CE04" w:rsidR="003B71E2" w:rsidRDefault="00665213" w:rsidP="00DE144D">
      <w:pPr>
        <w:pStyle w:val="PZTextodstavce"/>
      </w:pPr>
      <w:r>
        <w:t xml:space="preserve">(3) </w:t>
      </w:r>
      <w:r w:rsidR="003B71E2">
        <w:t>Žádá-li ten, komu zaniklo oprávnění k výkonu auditorské činnosti, o vydání auditorského oprávnění ve lhůtě, která je kratší než 5 let ode dne zániku oprávnění k výkonu auditorské činnosti, § 4 odst. 1 písm. d), f) a h) se nepoužije.</w:t>
      </w:r>
    </w:p>
    <w:p w14:paraId="21F5C2CA" w14:textId="63C1C558" w:rsidR="003B71E2" w:rsidRDefault="00665213" w:rsidP="00DE144D">
      <w:pPr>
        <w:pStyle w:val="PZTextodstavce"/>
      </w:pPr>
      <w:r>
        <w:t xml:space="preserve">(4) </w:t>
      </w:r>
      <w:r w:rsidR="003B71E2">
        <w:t>Tomu, komu zaniklo oprávnění k výkonu auditorské činnosti, lhůta stanovená v odstavci 3 neběží po dobu, po kterou je kontrolorem kvality v rámci systému zajištění kvality podle § 24 odst. 2.</w:t>
      </w:r>
    </w:p>
    <w:p w14:paraId="6C3E7900" w14:textId="67C57E95" w:rsidR="003B71E2" w:rsidRDefault="00665213" w:rsidP="00DE144D">
      <w:pPr>
        <w:pStyle w:val="PZTextodstavce"/>
      </w:pPr>
      <w:r>
        <w:t xml:space="preserve">(5) </w:t>
      </w:r>
      <w:r w:rsidR="003B71E2">
        <w:t>Tomu, komu zaniklo oprávnění k výkonu auditorské činnosti zákazem podle § 7 odst. 1 písm. a) a b) nebo § 7 odst. 2 písm. a) a c), může být vydáno auditorské oprávnění nejdříve po uplynutí doby, na kterou byl zákaz výkonu auditorské činnosti uložen.</w:t>
      </w:r>
    </w:p>
    <w:p w14:paraId="33B4E8FD" w14:textId="13806B52" w:rsidR="003B71E2" w:rsidRDefault="00665213" w:rsidP="00DE144D">
      <w:pPr>
        <w:pStyle w:val="PZTextodstavce"/>
      </w:pPr>
      <w:r>
        <w:t xml:space="preserve">(6) </w:t>
      </w:r>
      <w:r w:rsidR="003B71E2">
        <w:t>Informaci o pozastavení výkonu auditorské činnosti nebo zániku oprávnění k výkonu auditorské činnosti a jejich důvodech zaznamená Komora bezodkladně v rejstříku. O těchto skutečnostech informuje Komora Radu a příslušný orgán členského státu, ve kterém je auditor oprávněn provádět povinný audit.</w:t>
      </w:r>
    </w:p>
    <w:p w14:paraId="3E5B12A5" w14:textId="478921A7" w:rsidR="003B71E2" w:rsidRDefault="003B71E2" w:rsidP="00665213">
      <w:pPr>
        <w:pStyle w:val="Paragraf"/>
        <w:numPr>
          <w:ilvl w:val="0"/>
          <w:numId w:val="0"/>
        </w:numPr>
        <w:spacing w:after="120"/>
        <w:rPr>
          <w:color w:val="000000" w:themeColor="text1"/>
        </w:rPr>
      </w:pPr>
      <w:r>
        <w:t>§ 8</w:t>
      </w:r>
    </w:p>
    <w:p w14:paraId="46E70A86" w14:textId="72DCDABB" w:rsidR="003B71E2" w:rsidRDefault="003B71E2" w:rsidP="00665213">
      <w:pPr>
        <w:pStyle w:val="Nadpisparagrafu"/>
        <w:spacing w:after="120"/>
        <w:rPr>
          <w:bCs/>
          <w:color w:val="000000" w:themeColor="text1"/>
          <w:szCs w:val="24"/>
        </w:rPr>
      </w:pPr>
      <w:r>
        <w:t>Auditorská zkouška</w:t>
      </w:r>
    </w:p>
    <w:p w14:paraId="288B9491" w14:textId="77777777" w:rsidR="003B71E2" w:rsidRDefault="003B71E2" w:rsidP="00DE144D">
      <w:pPr>
        <w:pStyle w:val="Textodstavce"/>
        <w:tabs>
          <w:tab w:val="clear" w:pos="851"/>
        </w:tabs>
        <w:ind w:firstLine="425"/>
        <w:rPr>
          <w:color w:val="000000" w:themeColor="text1"/>
          <w:szCs w:val="24"/>
        </w:rPr>
      </w:pPr>
      <w:r>
        <w:t>(1) Auditorská zkouška sestává z dílčích částí. Auditorská zkouška je složena, pokud jsou úspěšně vykonány všechny její dílčí části. Auditorská zkouška se koná v českém jazyce a je písemná.</w:t>
      </w:r>
    </w:p>
    <w:p w14:paraId="0DCF4902" w14:textId="51AC6782" w:rsidR="003B71E2" w:rsidRDefault="003B71E2" w:rsidP="00DE144D">
      <w:pPr>
        <w:pStyle w:val="Textodstavce"/>
        <w:tabs>
          <w:tab w:val="clear" w:pos="851"/>
        </w:tabs>
        <w:ind w:firstLine="425"/>
        <w:rPr>
          <w:color w:val="000000" w:themeColor="text1"/>
          <w:szCs w:val="24"/>
        </w:rPr>
      </w:pPr>
      <w:r>
        <w:t>(2) Obsah dílčích částí auditorské zkoušky musí odpovídat účelu auditorské zkoušky, kterým je z</w:t>
      </w:r>
      <w:r w:rsidR="00665213">
        <w:t xml:space="preserve">jistit úroveň znalostí žadatele </w:t>
      </w:r>
      <w:r>
        <w:t>potřebných k provádění auditorské činnosti.</w:t>
      </w:r>
    </w:p>
    <w:p w14:paraId="64308C65" w14:textId="77777777" w:rsidR="003B71E2" w:rsidRDefault="003B71E2" w:rsidP="00DE144D">
      <w:pPr>
        <w:pStyle w:val="Textodstavce"/>
        <w:pBdr>
          <w:top w:val="single" w:sz="12" w:space="1" w:color="0070C0"/>
          <w:left w:val="single" w:sz="12" w:space="4" w:color="0070C0"/>
          <w:bottom w:val="single" w:sz="12" w:space="1" w:color="0070C0"/>
          <w:right w:val="single" w:sz="12" w:space="4" w:color="0070C0"/>
        </w:pBdr>
        <w:tabs>
          <w:tab w:val="clear" w:pos="851"/>
        </w:tabs>
        <w:spacing w:before="240"/>
        <w:ind w:firstLine="425"/>
        <w:rPr>
          <w:color w:val="000000" w:themeColor="text1"/>
          <w:szCs w:val="24"/>
        </w:rPr>
      </w:pPr>
      <w:r>
        <w:t>(3) Auditorskou zkouškou jsou prověřovány znalosti v těchto oblastech:</w:t>
      </w:r>
    </w:p>
    <w:p w14:paraId="3586E126" w14:textId="5CD50C40" w:rsidR="003B71E2" w:rsidRPr="00DE144D" w:rsidRDefault="00DE144D" w:rsidP="00D842BE">
      <w:pPr>
        <w:pBdr>
          <w:top w:val="single" w:sz="12" w:space="1" w:color="0070C0"/>
          <w:left w:val="single" w:sz="12" w:space="4" w:color="0070C0"/>
          <w:bottom w:val="single" w:sz="12" w:space="1" w:color="0070C0"/>
          <w:right w:val="single" w:sz="12" w:space="4" w:color="0070C0"/>
        </w:pBdr>
        <w:tabs>
          <w:tab w:val="left" w:pos="425"/>
          <w:tab w:val="left" w:pos="851"/>
        </w:tabs>
        <w:spacing w:before="0"/>
        <w:ind w:left="425" w:hanging="425"/>
        <w:rPr>
          <w:color w:val="000000" w:themeColor="text1"/>
          <w:szCs w:val="24"/>
        </w:rPr>
      </w:pPr>
      <w:r>
        <w:rPr>
          <w:color w:val="000000" w:themeColor="text1"/>
          <w:szCs w:val="24"/>
        </w:rPr>
        <w:t>a)</w:t>
      </w:r>
      <w:r>
        <w:rPr>
          <w:color w:val="000000" w:themeColor="text1"/>
          <w:szCs w:val="24"/>
        </w:rPr>
        <w:tab/>
      </w:r>
      <w:r w:rsidR="003B71E2" w:rsidRPr="00DE144D">
        <w:rPr>
          <w:color w:val="000000" w:themeColor="text1"/>
          <w:szCs w:val="24"/>
        </w:rPr>
        <w:t>všeobecná účetní teorie a zásady,</w:t>
      </w:r>
    </w:p>
    <w:p w14:paraId="12783C35" w14:textId="2407FD7A" w:rsidR="003B71E2" w:rsidRPr="00DE144D" w:rsidRDefault="00DE144D" w:rsidP="00D842BE">
      <w:pPr>
        <w:pBdr>
          <w:top w:val="single" w:sz="12" w:space="1" w:color="0070C0"/>
          <w:left w:val="single" w:sz="12" w:space="4" w:color="0070C0"/>
          <w:bottom w:val="single" w:sz="12" w:space="1" w:color="0070C0"/>
          <w:right w:val="single" w:sz="12" w:space="4" w:color="0070C0"/>
        </w:pBdr>
        <w:tabs>
          <w:tab w:val="left" w:pos="425"/>
          <w:tab w:val="left" w:pos="851"/>
        </w:tabs>
        <w:spacing w:before="0"/>
        <w:ind w:left="425" w:hanging="425"/>
        <w:rPr>
          <w:color w:val="000000" w:themeColor="text1"/>
          <w:szCs w:val="24"/>
        </w:rPr>
      </w:pPr>
      <w:r>
        <w:rPr>
          <w:color w:val="000000" w:themeColor="text1"/>
          <w:szCs w:val="24"/>
        </w:rPr>
        <w:lastRenderedPageBreak/>
        <w:t>b)</w:t>
      </w:r>
      <w:r>
        <w:rPr>
          <w:color w:val="000000" w:themeColor="text1"/>
          <w:szCs w:val="24"/>
        </w:rPr>
        <w:tab/>
      </w:r>
      <w:r w:rsidR="003B71E2" w:rsidRPr="00DE144D">
        <w:rPr>
          <w:color w:val="000000" w:themeColor="text1"/>
          <w:szCs w:val="24"/>
        </w:rPr>
        <w:t xml:space="preserve">právní předpisy a standardy vztahující se k sestavení účetní závěrky </w:t>
      </w:r>
      <w:r w:rsidR="003B71E2" w:rsidRPr="00DE144D">
        <w:rPr>
          <w:strike/>
          <w:color w:val="000000" w:themeColor="text1"/>
          <w:szCs w:val="24"/>
        </w:rPr>
        <w:t>a konsolidované účetní závěrky</w:t>
      </w:r>
      <w:r w:rsidR="003B71E2" w:rsidRPr="00DE144D">
        <w:rPr>
          <w:color w:val="000000" w:themeColor="text1"/>
          <w:szCs w:val="24"/>
        </w:rPr>
        <w:t>,</w:t>
      </w:r>
    </w:p>
    <w:p w14:paraId="29AA8915" w14:textId="62C561FC" w:rsidR="003B71E2" w:rsidRPr="00DE144D" w:rsidRDefault="00DE144D" w:rsidP="00D842BE">
      <w:pPr>
        <w:pBdr>
          <w:top w:val="single" w:sz="12" w:space="1" w:color="0070C0"/>
          <w:left w:val="single" w:sz="12" w:space="4" w:color="0070C0"/>
          <w:bottom w:val="single" w:sz="12" w:space="1" w:color="0070C0"/>
          <w:right w:val="single" w:sz="12" w:space="4" w:color="0070C0"/>
        </w:pBdr>
        <w:tabs>
          <w:tab w:val="left" w:pos="425"/>
          <w:tab w:val="left" w:pos="851"/>
        </w:tabs>
        <w:spacing w:before="0"/>
        <w:ind w:left="425" w:hanging="425"/>
        <w:rPr>
          <w:color w:val="000000" w:themeColor="text1"/>
        </w:rPr>
      </w:pPr>
      <w:r>
        <w:rPr>
          <w:color w:val="000000" w:themeColor="text1"/>
        </w:rPr>
        <w:t>c)</w:t>
      </w:r>
      <w:r>
        <w:rPr>
          <w:color w:val="000000" w:themeColor="text1"/>
        </w:rPr>
        <w:tab/>
      </w:r>
      <w:r w:rsidR="003B71E2" w:rsidRPr="00DE144D">
        <w:rPr>
          <w:color w:val="000000" w:themeColor="text1"/>
        </w:rPr>
        <w:t xml:space="preserve">právní předpisy a standardy upravující podávání </w:t>
      </w:r>
      <w:r w:rsidR="003B71E2" w:rsidRPr="00DE144D">
        <w:rPr>
          <w:color w:val="5B9BD5" w:themeColor="accent1"/>
        </w:rPr>
        <w:t>zpráv</w:t>
      </w:r>
      <w:r w:rsidR="003B71E2" w:rsidRPr="00DE144D">
        <w:rPr>
          <w:b/>
          <w:bCs/>
          <w:color w:val="000000" w:themeColor="text1"/>
        </w:rPr>
        <w:t xml:space="preserve"> </w:t>
      </w:r>
      <w:r w:rsidR="003B71E2" w:rsidRPr="00DE144D">
        <w:rPr>
          <w:color w:val="000000" w:themeColor="text1"/>
        </w:rPr>
        <w:t>o udržitelnosti,</w:t>
      </w:r>
    </w:p>
    <w:p w14:paraId="0E59BD94" w14:textId="31B45DBB" w:rsidR="003B71E2" w:rsidRPr="00DE144D" w:rsidRDefault="00DE144D" w:rsidP="00D842BE">
      <w:pPr>
        <w:pBdr>
          <w:top w:val="single" w:sz="12" w:space="1" w:color="0070C0"/>
          <w:left w:val="single" w:sz="12" w:space="4" w:color="0070C0"/>
          <w:bottom w:val="single" w:sz="12" w:space="1" w:color="0070C0"/>
          <w:right w:val="single" w:sz="12" w:space="4" w:color="0070C0"/>
        </w:pBdr>
        <w:tabs>
          <w:tab w:val="left" w:pos="425"/>
          <w:tab w:val="left" w:pos="851"/>
        </w:tabs>
        <w:spacing w:before="0"/>
        <w:ind w:left="425" w:hanging="425"/>
        <w:rPr>
          <w:color w:val="000000" w:themeColor="text1"/>
          <w:szCs w:val="24"/>
        </w:rPr>
      </w:pPr>
      <w:r>
        <w:rPr>
          <w:color w:val="000000" w:themeColor="text1"/>
          <w:szCs w:val="24"/>
        </w:rPr>
        <w:t>d)</w:t>
      </w:r>
      <w:r>
        <w:rPr>
          <w:color w:val="000000" w:themeColor="text1"/>
          <w:szCs w:val="24"/>
        </w:rPr>
        <w:tab/>
      </w:r>
      <w:r w:rsidR="003B71E2" w:rsidRPr="00DE144D">
        <w:rPr>
          <w:color w:val="000000" w:themeColor="text1"/>
          <w:szCs w:val="24"/>
        </w:rPr>
        <w:t xml:space="preserve">mezinárodní účetní standardy, mezinárodní standardy účetního výkaznictví a související interpretace, novely těchto standardů a souvisejících interpretací vydané nebo přijaté Radou pro </w:t>
      </w:r>
      <w:r w:rsidR="00D842BE">
        <w:rPr>
          <w:color w:val="000000" w:themeColor="text1"/>
          <w:szCs w:val="24"/>
        </w:rPr>
        <w:t>e)</w:t>
      </w:r>
      <w:r w:rsidR="00D842BE">
        <w:rPr>
          <w:color w:val="000000" w:themeColor="text1"/>
          <w:szCs w:val="24"/>
        </w:rPr>
        <w:tab/>
      </w:r>
      <w:r w:rsidR="003B71E2" w:rsidRPr="00DE144D">
        <w:rPr>
          <w:color w:val="000000" w:themeColor="text1"/>
          <w:szCs w:val="24"/>
        </w:rPr>
        <w:t>mezinárodní účetní standardy,</w:t>
      </w:r>
    </w:p>
    <w:p w14:paraId="23CA8D2A" w14:textId="2FBDEBE2" w:rsidR="003B71E2" w:rsidRPr="00DE144D" w:rsidRDefault="00D842BE" w:rsidP="00D842BE">
      <w:pPr>
        <w:pBdr>
          <w:top w:val="single" w:sz="12" w:space="1" w:color="0070C0"/>
          <w:left w:val="single" w:sz="12" w:space="4" w:color="0070C0"/>
          <w:bottom w:val="single" w:sz="12" w:space="1" w:color="0070C0"/>
          <w:right w:val="single" w:sz="12" w:space="4" w:color="0070C0"/>
        </w:pBdr>
        <w:tabs>
          <w:tab w:val="left" w:pos="425"/>
          <w:tab w:val="left" w:pos="851"/>
        </w:tabs>
        <w:spacing w:before="0"/>
        <w:ind w:left="425" w:hanging="425"/>
        <w:rPr>
          <w:color w:val="000000" w:themeColor="text1"/>
          <w:szCs w:val="24"/>
        </w:rPr>
      </w:pPr>
      <w:r>
        <w:rPr>
          <w:color w:val="000000" w:themeColor="text1"/>
          <w:szCs w:val="24"/>
        </w:rPr>
        <w:t>f)</w:t>
      </w:r>
      <w:r>
        <w:rPr>
          <w:color w:val="000000" w:themeColor="text1"/>
          <w:szCs w:val="24"/>
        </w:rPr>
        <w:tab/>
      </w:r>
      <w:r w:rsidR="003B71E2" w:rsidRPr="00DE144D">
        <w:rPr>
          <w:color w:val="000000" w:themeColor="text1"/>
          <w:szCs w:val="24"/>
        </w:rPr>
        <w:t>finanční analýza,</w:t>
      </w:r>
    </w:p>
    <w:p w14:paraId="2C965927" w14:textId="0761934A" w:rsidR="003B71E2" w:rsidRPr="00DE144D" w:rsidRDefault="00D842BE" w:rsidP="00D842BE">
      <w:pPr>
        <w:pBdr>
          <w:top w:val="single" w:sz="12" w:space="1" w:color="0070C0"/>
          <w:left w:val="single" w:sz="12" w:space="4" w:color="0070C0"/>
          <w:bottom w:val="single" w:sz="12" w:space="1" w:color="0070C0"/>
          <w:right w:val="single" w:sz="12" w:space="4" w:color="0070C0"/>
        </w:pBdr>
        <w:tabs>
          <w:tab w:val="left" w:pos="425"/>
          <w:tab w:val="left" w:pos="851"/>
        </w:tabs>
        <w:spacing w:before="0"/>
        <w:ind w:left="425" w:hanging="425"/>
        <w:rPr>
          <w:color w:val="000000" w:themeColor="text1"/>
          <w:szCs w:val="24"/>
        </w:rPr>
      </w:pPr>
      <w:r>
        <w:rPr>
          <w:color w:val="000000" w:themeColor="text1"/>
          <w:szCs w:val="24"/>
        </w:rPr>
        <w:t>g)</w:t>
      </w:r>
      <w:r>
        <w:rPr>
          <w:color w:val="000000" w:themeColor="text1"/>
          <w:szCs w:val="24"/>
        </w:rPr>
        <w:tab/>
      </w:r>
      <w:r w:rsidR="003B71E2" w:rsidRPr="00DE144D">
        <w:rPr>
          <w:color w:val="000000" w:themeColor="text1"/>
          <w:szCs w:val="24"/>
        </w:rPr>
        <w:t>analýza udržitelnosti,</w:t>
      </w:r>
    </w:p>
    <w:p w14:paraId="1EE6FF4B" w14:textId="5D4F7FDE" w:rsidR="003B71E2" w:rsidRPr="00DE144D" w:rsidRDefault="00D842BE" w:rsidP="00D842BE">
      <w:pPr>
        <w:pBdr>
          <w:top w:val="single" w:sz="12" w:space="1" w:color="0070C0"/>
          <w:left w:val="single" w:sz="12" w:space="4" w:color="0070C0"/>
          <w:bottom w:val="single" w:sz="12" w:space="1" w:color="0070C0"/>
          <w:right w:val="single" w:sz="12" w:space="4" w:color="0070C0"/>
        </w:pBdr>
        <w:tabs>
          <w:tab w:val="left" w:pos="425"/>
          <w:tab w:val="left" w:pos="851"/>
        </w:tabs>
        <w:spacing w:before="0"/>
        <w:ind w:left="425" w:hanging="425"/>
        <w:rPr>
          <w:color w:val="000000" w:themeColor="text1"/>
          <w:szCs w:val="24"/>
        </w:rPr>
      </w:pPr>
      <w:r>
        <w:rPr>
          <w:color w:val="000000" w:themeColor="text1"/>
          <w:szCs w:val="24"/>
        </w:rPr>
        <w:t>h)</w:t>
      </w:r>
      <w:r>
        <w:rPr>
          <w:color w:val="000000" w:themeColor="text1"/>
          <w:szCs w:val="24"/>
        </w:rPr>
        <w:tab/>
      </w:r>
      <w:r w:rsidR="003B71E2" w:rsidRPr="00DE144D">
        <w:rPr>
          <w:color w:val="000000" w:themeColor="text1"/>
          <w:szCs w:val="24"/>
        </w:rPr>
        <w:t>manažerské účetnictví,</w:t>
      </w:r>
    </w:p>
    <w:p w14:paraId="1EDC96B9" w14:textId="7EA25A9C" w:rsidR="003B71E2" w:rsidRPr="00DE144D" w:rsidRDefault="00D842BE" w:rsidP="00D842BE">
      <w:pPr>
        <w:pBdr>
          <w:top w:val="single" w:sz="12" w:space="1" w:color="0070C0"/>
          <w:left w:val="single" w:sz="12" w:space="4" w:color="0070C0"/>
          <w:bottom w:val="single" w:sz="12" w:space="1" w:color="0070C0"/>
          <w:right w:val="single" w:sz="12" w:space="4" w:color="0070C0"/>
        </w:pBdr>
        <w:tabs>
          <w:tab w:val="left" w:pos="425"/>
          <w:tab w:val="left" w:pos="851"/>
        </w:tabs>
        <w:spacing w:before="0"/>
        <w:ind w:left="425" w:hanging="425"/>
        <w:rPr>
          <w:color w:val="000000" w:themeColor="text1"/>
          <w:szCs w:val="24"/>
        </w:rPr>
      </w:pPr>
      <w:r>
        <w:rPr>
          <w:color w:val="000000" w:themeColor="text1"/>
          <w:szCs w:val="24"/>
        </w:rPr>
        <w:t>i)</w:t>
      </w:r>
      <w:r>
        <w:rPr>
          <w:color w:val="000000" w:themeColor="text1"/>
          <w:szCs w:val="24"/>
        </w:rPr>
        <w:tab/>
      </w:r>
      <w:r w:rsidR="003B71E2" w:rsidRPr="00DE144D">
        <w:rPr>
          <w:color w:val="000000" w:themeColor="text1"/>
          <w:szCs w:val="24"/>
        </w:rPr>
        <w:t>řízení rizik a vnitřní kontrola,</w:t>
      </w:r>
    </w:p>
    <w:p w14:paraId="0F8EECB6" w14:textId="432AE169" w:rsidR="003B71E2" w:rsidRPr="00DE144D" w:rsidRDefault="00D842BE" w:rsidP="00D842BE">
      <w:pPr>
        <w:pBdr>
          <w:top w:val="single" w:sz="12" w:space="1" w:color="0070C0"/>
          <w:left w:val="single" w:sz="12" w:space="4" w:color="0070C0"/>
          <w:bottom w:val="single" w:sz="12" w:space="1" w:color="0070C0"/>
          <w:right w:val="single" w:sz="12" w:space="4" w:color="0070C0"/>
        </w:pBdr>
        <w:tabs>
          <w:tab w:val="left" w:pos="425"/>
          <w:tab w:val="left" w:pos="851"/>
        </w:tabs>
        <w:spacing w:before="0"/>
        <w:ind w:left="425" w:hanging="425"/>
        <w:rPr>
          <w:color w:val="000000" w:themeColor="text1"/>
          <w:szCs w:val="24"/>
        </w:rPr>
      </w:pPr>
      <w:r>
        <w:rPr>
          <w:color w:val="000000" w:themeColor="text1"/>
          <w:szCs w:val="24"/>
        </w:rPr>
        <w:t>j)</w:t>
      </w:r>
      <w:r>
        <w:rPr>
          <w:color w:val="000000" w:themeColor="text1"/>
          <w:szCs w:val="24"/>
        </w:rPr>
        <w:tab/>
      </w:r>
      <w:r w:rsidR="003B71E2" w:rsidRPr="00DE144D">
        <w:rPr>
          <w:color w:val="000000" w:themeColor="text1"/>
          <w:szCs w:val="24"/>
        </w:rPr>
        <w:t>provádění auditu a profesní znalosti,</w:t>
      </w:r>
    </w:p>
    <w:p w14:paraId="791BA9C0" w14:textId="49B0DA54" w:rsidR="003B71E2" w:rsidRPr="00DE144D" w:rsidRDefault="00D842BE" w:rsidP="00D842BE">
      <w:pPr>
        <w:pBdr>
          <w:top w:val="single" w:sz="12" w:space="1" w:color="0070C0"/>
          <w:left w:val="single" w:sz="12" w:space="4" w:color="0070C0"/>
          <w:bottom w:val="single" w:sz="12" w:space="1" w:color="0070C0"/>
          <w:right w:val="single" w:sz="12" w:space="4" w:color="0070C0"/>
        </w:pBdr>
        <w:tabs>
          <w:tab w:val="left" w:pos="425"/>
          <w:tab w:val="left" w:pos="851"/>
        </w:tabs>
        <w:spacing w:before="0"/>
        <w:ind w:left="425" w:hanging="425"/>
        <w:rPr>
          <w:color w:val="000000" w:themeColor="text1"/>
          <w:szCs w:val="24"/>
        </w:rPr>
      </w:pPr>
      <w:r>
        <w:rPr>
          <w:color w:val="000000" w:themeColor="text1"/>
          <w:szCs w:val="24"/>
        </w:rPr>
        <w:t>k)</w:t>
      </w:r>
      <w:r>
        <w:rPr>
          <w:color w:val="000000" w:themeColor="text1"/>
          <w:szCs w:val="24"/>
        </w:rPr>
        <w:tab/>
      </w:r>
      <w:r w:rsidR="003B71E2" w:rsidRPr="00DE144D">
        <w:rPr>
          <w:color w:val="000000" w:themeColor="text1"/>
          <w:szCs w:val="24"/>
        </w:rPr>
        <w:t>právní předpisy a profesní standardy vztahující se k povinnému auditu a statutárním auditorům,</w:t>
      </w:r>
    </w:p>
    <w:p w14:paraId="354C2E53" w14:textId="54500222" w:rsidR="003B71E2" w:rsidRPr="00DE144D" w:rsidRDefault="00D842BE" w:rsidP="00D842BE">
      <w:pPr>
        <w:pBdr>
          <w:top w:val="single" w:sz="12" w:space="1" w:color="0070C0"/>
          <w:left w:val="single" w:sz="12" w:space="4" w:color="0070C0"/>
          <w:bottom w:val="single" w:sz="12" w:space="1" w:color="0070C0"/>
          <w:right w:val="single" w:sz="12" w:space="4" w:color="0070C0"/>
        </w:pBdr>
        <w:tabs>
          <w:tab w:val="left" w:pos="425"/>
          <w:tab w:val="left" w:pos="851"/>
        </w:tabs>
        <w:spacing w:before="0"/>
        <w:ind w:left="425" w:hanging="425"/>
        <w:rPr>
          <w:color w:val="000000" w:themeColor="text1"/>
          <w:szCs w:val="24"/>
        </w:rPr>
      </w:pPr>
      <w:r>
        <w:rPr>
          <w:color w:val="000000" w:themeColor="text1"/>
          <w:szCs w:val="24"/>
        </w:rPr>
        <w:t>l)</w:t>
      </w:r>
      <w:r>
        <w:rPr>
          <w:color w:val="000000" w:themeColor="text1"/>
          <w:szCs w:val="24"/>
        </w:rPr>
        <w:tab/>
      </w:r>
      <w:r w:rsidR="003B71E2" w:rsidRPr="00DE144D">
        <w:rPr>
          <w:color w:val="000000" w:themeColor="text1"/>
          <w:szCs w:val="24"/>
        </w:rPr>
        <w:t>právní předpisy a profesní standardy vztahující se k ověření zprávy o udržitelnosti,</w:t>
      </w:r>
    </w:p>
    <w:p w14:paraId="4699FE7E" w14:textId="4F17975E" w:rsidR="003B71E2" w:rsidRDefault="00D842BE" w:rsidP="00D842BE">
      <w:pPr>
        <w:pStyle w:val="PZTextpsmene"/>
        <w:pBdr>
          <w:top w:val="single" w:sz="12" w:space="1" w:color="0070C0"/>
          <w:left w:val="single" w:sz="12" w:space="4" w:color="0070C0"/>
          <w:bottom w:val="single" w:sz="12" w:space="1" w:color="0070C0"/>
          <w:right w:val="single" w:sz="12" w:space="4" w:color="0070C0"/>
        </w:pBdr>
        <w:tabs>
          <w:tab w:val="left" w:pos="851"/>
        </w:tabs>
        <w:spacing w:before="0"/>
        <w:rPr>
          <w:color w:val="000000" w:themeColor="text1"/>
          <w:sz w:val="19"/>
          <w:szCs w:val="19"/>
        </w:rPr>
      </w:pPr>
      <w:r>
        <w:rPr>
          <w:color w:val="5B9BD5" w:themeColor="accent1"/>
        </w:rPr>
        <w:t>m)</w:t>
      </w:r>
      <w:r>
        <w:rPr>
          <w:color w:val="5B9BD5" w:themeColor="accent1"/>
        </w:rPr>
        <w:tab/>
      </w:r>
      <w:r w:rsidR="003B71E2" w:rsidRPr="00763A90">
        <w:rPr>
          <w:color w:val="5B9BD5" w:themeColor="accent1"/>
        </w:rPr>
        <w:t>auditorské standardy upravené právem Evropské unie</w:t>
      </w:r>
      <w:r w:rsidR="003B71E2" w:rsidRPr="00763A90">
        <w:rPr>
          <w:color w:val="5B9BD5" w:themeColor="accent1"/>
          <w:vertAlign w:val="superscript"/>
        </w:rPr>
        <w:t>17)</w:t>
      </w:r>
      <w:r w:rsidR="003B71E2" w:rsidRPr="00763A90">
        <w:rPr>
          <w:color w:val="5B9BD5" w:themeColor="accent1"/>
        </w:rPr>
        <w:t xml:space="preserve"> a auditorské standardy vydané Komorou a</w:t>
      </w:r>
      <w:r w:rsidR="003B71E2">
        <w:t xml:space="preserve"> </w:t>
      </w:r>
    </w:p>
    <w:p w14:paraId="1CC50789" w14:textId="2F4D288D" w:rsidR="003B71E2" w:rsidRPr="00DE144D" w:rsidRDefault="00D842BE" w:rsidP="00D842BE">
      <w:pPr>
        <w:pBdr>
          <w:top w:val="single" w:sz="12" w:space="1" w:color="0070C0"/>
          <w:left w:val="single" w:sz="12" w:space="4" w:color="0070C0"/>
          <w:bottom w:val="single" w:sz="12" w:space="1" w:color="0070C0"/>
          <w:right w:val="single" w:sz="12" w:space="4" w:color="0070C0"/>
        </w:pBdr>
        <w:tabs>
          <w:tab w:val="left" w:pos="425"/>
          <w:tab w:val="left" w:pos="851"/>
        </w:tabs>
        <w:spacing w:before="0"/>
        <w:ind w:left="425" w:hanging="425"/>
        <w:rPr>
          <w:color w:val="000000" w:themeColor="text1"/>
        </w:rPr>
      </w:pPr>
      <w:r>
        <w:rPr>
          <w:color w:val="000000" w:themeColor="text1"/>
        </w:rPr>
        <w:t>n)</w:t>
      </w:r>
      <w:r>
        <w:rPr>
          <w:color w:val="000000" w:themeColor="text1"/>
        </w:rPr>
        <w:tab/>
      </w:r>
      <w:r w:rsidR="003B71E2" w:rsidRPr="00DE144D">
        <w:rPr>
          <w:color w:val="000000" w:themeColor="text1"/>
        </w:rPr>
        <w:t>profesní etika a nezávislost.</w:t>
      </w:r>
    </w:p>
    <w:p w14:paraId="4DBECB7D" w14:textId="16A924D5" w:rsidR="003B71E2" w:rsidRDefault="003B71E2" w:rsidP="00665213">
      <w:pPr>
        <w:pStyle w:val="Textodstavce"/>
        <w:tabs>
          <w:tab w:val="clear" w:pos="851"/>
        </w:tabs>
        <w:spacing w:before="240"/>
        <w:ind w:firstLine="425"/>
        <w:rPr>
          <w:color w:val="000000" w:themeColor="text1"/>
          <w:szCs w:val="24"/>
        </w:rPr>
      </w:pPr>
      <w:r>
        <w:t>(4) Auditorská zkouška se dále zaměřuje v rozsahu významném pro provádění auditorské činnosti na znalosti v těchto oblastech:</w:t>
      </w:r>
    </w:p>
    <w:p w14:paraId="2B916782" w14:textId="0DDECA83" w:rsidR="003B71E2" w:rsidRDefault="00D842BE" w:rsidP="00665213">
      <w:pPr>
        <w:pStyle w:val="Textpsmene"/>
        <w:spacing w:before="0"/>
      </w:pPr>
      <w:r>
        <w:t>a)</w:t>
      </w:r>
      <w:r>
        <w:tab/>
      </w:r>
      <w:r w:rsidR="003B71E2" w:rsidRPr="0A677BDB">
        <w:t>správa a řízení obchodních korporací,</w:t>
      </w:r>
    </w:p>
    <w:p w14:paraId="043CABB0" w14:textId="16879754" w:rsidR="003B71E2" w:rsidRDefault="00D842BE" w:rsidP="00665213">
      <w:pPr>
        <w:pStyle w:val="Textpsmene"/>
        <w:spacing w:before="0"/>
      </w:pPr>
      <w:r>
        <w:t>b)</w:t>
      </w:r>
      <w:r>
        <w:tab/>
      </w:r>
      <w:r w:rsidR="003B71E2" w:rsidRPr="0A677BDB">
        <w:t>informační a komunikační systémy,</w:t>
      </w:r>
    </w:p>
    <w:p w14:paraId="26934107" w14:textId="3E7736CD" w:rsidR="003B71E2" w:rsidRDefault="00D842BE" w:rsidP="00665213">
      <w:pPr>
        <w:pStyle w:val="Textpsmene"/>
        <w:spacing w:before="0"/>
      </w:pPr>
      <w:r>
        <w:t>c)</w:t>
      </w:r>
      <w:r>
        <w:tab/>
      </w:r>
      <w:r w:rsidR="003B71E2" w:rsidRPr="0A677BDB">
        <w:t>podniková ekonomika a všeobecná a finanční ekonomie,</w:t>
      </w:r>
    </w:p>
    <w:p w14:paraId="7A3264F5" w14:textId="0F5960AA" w:rsidR="003B71E2" w:rsidRDefault="00D842BE" w:rsidP="00665213">
      <w:pPr>
        <w:pStyle w:val="Textpsmene"/>
        <w:spacing w:before="0"/>
      </w:pPr>
      <w:r>
        <w:t>d)</w:t>
      </w:r>
      <w:r>
        <w:tab/>
      </w:r>
      <w:r w:rsidR="003B71E2" w:rsidRPr="0A677BDB">
        <w:t>postupy náležité péče podniků v oblasti udržitelnosti,</w:t>
      </w:r>
    </w:p>
    <w:p w14:paraId="7A580CC7" w14:textId="626E3049" w:rsidR="003B71E2" w:rsidRDefault="00D842BE" w:rsidP="00665213">
      <w:pPr>
        <w:pStyle w:val="Textpsmene"/>
        <w:spacing w:before="0"/>
      </w:pPr>
      <w:r>
        <w:t>e)</w:t>
      </w:r>
      <w:r>
        <w:tab/>
      </w:r>
      <w:r w:rsidR="003B71E2" w:rsidRPr="0A677BDB">
        <w:t>matematika a statistika a</w:t>
      </w:r>
    </w:p>
    <w:p w14:paraId="1EEF1F36" w14:textId="4C64F613" w:rsidR="003B71E2" w:rsidRDefault="00D842BE" w:rsidP="00665213">
      <w:pPr>
        <w:pStyle w:val="Textpsmene"/>
        <w:spacing w:before="0"/>
      </w:pPr>
      <w:r>
        <w:t>f)</w:t>
      </w:r>
      <w:r>
        <w:tab/>
      </w:r>
      <w:r w:rsidR="003B71E2" w:rsidRPr="0A677BDB">
        <w:t>základní zásady finančního řízení.</w:t>
      </w:r>
    </w:p>
    <w:p w14:paraId="568D2A44" w14:textId="77777777" w:rsidR="003B71E2" w:rsidRDefault="003B71E2" w:rsidP="00665213">
      <w:pPr>
        <w:pStyle w:val="Textodstavce"/>
        <w:tabs>
          <w:tab w:val="clear" w:pos="851"/>
        </w:tabs>
        <w:spacing w:before="240"/>
        <w:ind w:firstLine="425"/>
        <w:rPr>
          <w:color w:val="000000" w:themeColor="text1"/>
          <w:szCs w:val="24"/>
        </w:rPr>
      </w:pPr>
      <w:r>
        <w:t>(5)</w:t>
      </w:r>
      <w:r>
        <w:tab/>
        <w:t>Auditorská zkouška se dále zaměřuje v rozsahu významném pro provádění auditorské činnosti na znalosti právního řádu České republiky v těchto oborech práva:</w:t>
      </w:r>
    </w:p>
    <w:p w14:paraId="009B4FC5" w14:textId="1E402F3E" w:rsidR="003B71E2" w:rsidRPr="00D842BE" w:rsidRDefault="00D842BE" w:rsidP="00D842BE">
      <w:pPr>
        <w:pStyle w:val="Textpsmene"/>
        <w:spacing w:before="0"/>
      </w:pPr>
      <w:r>
        <w:t>a)</w:t>
      </w:r>
      <w:r>
        <w:tab/>
      </w:r>
      <w:r w:rsidR="003B71E2" w:rsidRPr="00D842BE">
        <w:t>občanské a obchodní právo,</w:t>
      </w:r>
    </w:p>
    <w:p w14:paraId="614FDC9B" w14:textId="1E52079D" w:rsidR="003B71E2" w:rsidRPr="00D842BE" w:rsidRDefault="00D842BE" w:rsidP="00D842BE">
      <w:pPr>
        <w:pStyle w:val="Textpsmene"/>
        <w:spacing w:before="0"/>
      </w:pPr>
      <w:r>
        <w:t>b)</w:t>
      </w:r>
      <w:r>
        <w:tab/>
      </w:r>
      <w:r w:rsidR="003B71E2" w:rsidRPr="00D842BE">
        <w:t>finanční právo,</w:t>
      </w:r>
    </w:p>
    <w:p w14:paraId="4FCF0E4F" w14:textId="4848E35B" w:rsidR="003B71E2" w:rsidRPr="00D842BE" w:rsidRDefault="00D842BE" w:rsidP="00D842BE">
      <w:pPr>
        <w:pStyle w:val="Textpsmene"/>
        <w:spacing w:before="0"/>
      </w:pPr>
      <w:r>
        <w:t>c)</w:t>
      </w:r>
      <w:r>
        <w:tab/>
      </w:r>
      <w:r w:rsidR="003B71E2" w:rsidRPr="00D842BE">
        <w:t>insolvenční právo a</w:t>
      </w:r>
    </w:p>
    <w:p w14:paraId="5564D67F" w14:textId="1DDBE16F" w:rsidR="003B71E2" w:rsidRPr="00D842BE" w:rsidRDefault="00D842BE" w:rsidP="00D842BE">
      <w:pPr>
        <w:pStyle w:val="Textpsmene"/>
        <w:spacing w:before="0"/>
      </w:pPr>
      <w:r>
        <w:t>d)</w:t>
      </w:r>
      <w:r>
        <w:tab/>
      </w:r>
      <w:r w:rsidR="003B71E2" w:rsidRPr="00D842BE">
        <w:t>pracovní právo a právo sociálního zabezpečení.</w:t>
      </w:r>
    </w:p>
    <w:p w14:paraId="1885B243" w14:textId="77777777" w:rsidR="003B71E2" w:rsidRDefault="003B71E2" w:rsidP="00D842BE">
      <w:pPr>
        <w:pStyle w:val="Textodstavce"/>
        <w:tabs>
          <w:tab w:val="clear" w:pos="851"/>
        </w:tabs>
        <w:ind w:firstLine="425"/>
        <w:rPr>
          <w:color w:val="000000" w:themeColor="text1"/>
          <w:szCs w:val="24"/>
        </w:rPr>
      </w:pPr>
      <w:r>
        <w:t>(6) Komora stanoví v každém kalendářním pololetí nejméně jeden termín pro konání každé dílčí části auditorské zkoušky. Auditorská zkouška musí být složena nejpozději do 5 let ode dne konání první dílčí části auditorské zkoušky. Pokud některá z dílčích částí auditorské zkoušky byla úspěšně vykonána před více než 5 lety ode dne úspěšného vykonání poslední dílčí části auditorské zkoušky, k jejímu vykonání se nepřihlíží.</w:t>
      </w:r>
    </w:p>
    <w:p w14:paraId="5C146BEF" w14:textId="1849B35E" w:rsidR="003B71E2" w:rsidRDefault="003B71E2" w:rsidP="00D842BE">
      <w:pPr>
        <w:pStyle w:val="Textodstavce"/>
        <w:tabs>
          <w:tab w:val="clear" w:pos="851"/>
        </w:tabs>
        <w:ind w:firstLine="425"/>
        <w:rPr>
          <w:color w:val="000000" w:themeColor="text1"/>
          <w:szCs w:val="24"/>
        </w:rPr>
      </w:pPr>
      <w:r>
        <w:t>(7)</w:t>
      </w:r>
      <w:r>
        <w:tab/>
        <w:t xml:space="preserve"> Pokud uchazeč úspěšně vykonal zkoušku formou státní závěrečné zkoušky na vysoké škole nebo srovnatelnou profesní kvalifikační zkoušku v členském státě v jednom nebo více oblastech nebo oborech uvedených v odstavcích 3 až 5, rozsah a obsah této zkoušky se v rozhodující části shoduje s oblastmi nebo</w:t>
      </w:r>
      <w:r w:rsidR="00665213">
        <w:t xml:space="preserve"> </w:t>
      </w:r>
      <w:r>
        <w:t>obory auditorské zkoušky podle odstavců 3 až 5 a zkouška byla úspěšně vykonána nejvýše 5 let přede dnem, kdy uchazeč požádal o vykonání auditorské zkoušky, je tento uchazeč od dílčí auditorské zkoušky, které se taková zkouška týká, osvobozen, pokud o to požádá. O shodě rozsahu a obsahu zkoušky rozhoduje Komora. Proti rozhodnutí Komory se lze odvolat k Radě.</w:t>
      </w:r>
    </w:p>
    <w:p w14:paraId="167DA77D" w14:textId="77777777" w:rsidR="003B71E2" w:rsidRDefault="003B71E2" w:rsidP="00D842BE">
      <w:pPr>
        <w:pStyle w:val="Textodstavce"/>
        <w:tabs>
          <w:tab w:val="clear" w:pos="851"/>
        </w:tabs>
        <w:ind w:firstLine="425"/>
        <w:rPr>
          <w:color w:val="000000" w:themeColor="text1"/>
          <w:szCs w:val="24"/>
        </w:rPr>
      </w:pPr>
      <w:r>
        <w:lastRenderedPageBreak/>
        <w:t>(8) Komora uchovává osobní údaje uvedené v přihlášce k auditorské zkoušce a k jejím dílčím částem do doby ukončení řízení o udělení auditorského oprávnění.</w:t>
      </w:r>
    </w:p>
    <w:p w14:paraId="69F06CB2" w14:textId="77777777" w:rsidR="003B71E2" w:rsidRDefault="003B71E2" w:rsidP="00727900">
      <w:pPr>
        <w:pStyle w:val="Paragraf"/>
        <w:numPr>
          <w:ilvl w:val="0"/>
          <w:numId w:val="0"/>
        </w:numPr>
        <w:spacing w:after="120"/>
      </w:pPr>
      <w:r>
        <w:t>***</w:t>
      </w:r>
    </w:p>
    <w:p w14:paraId="4786CD38" w14:textId="77777777" w:rsidR="003B71E2" w:rsidRPr="007F7DCB" w:rsidRDefault="003B71E2" w:rsidP="00727900">
      <w:pPr>
        <w:pStyle w:val="Paragraf"/>
        <w:numPr>
          <w:ilvl w:val="0"/>
          <w:numId w:val="0"/>
        </w:numPr>
        <w:spacing w:after="120"/>
        <w:rPr>
          <w:szCs w:val="24"/>
        </w:rPr>
      </w:pPr>
      <w:r w:rsidRPr="007F7DCB">
        <w:rPr>
          <w:szCs w:val="24"/>
        </w:rPr>
        <w:t>§ 8b</w:t>
      </w:r>
    </w:p>
    <w:p w14:paraId="197BAE0B" w14:textId="77777777" w:rsidR="003B71E2" w:rsidRPr="007F7DCB" w:rsidRDefault="003B71E2" w:rsidP="00727900">
      <w:pPr>
        <w:pStyle w:val="Nadpisparagrafu"/>
        <w:spacing w:after="120"/>
        <w:rPr>
          <w:szCs w:val="24"/>
        </w:rPr>
      </w:pPr>
      <w:r w:rsidRPr="007F7DCB">
        <w:rPr>
          <w:szCs w:val="24"/>
        </w:rPr>
        <w:t>Zkušební řád</w:t>
      </w:r>
    </w:p>
    <w:p w14:paraId="38D0A786" w14:textId="77777777" w:rsidR="003B71E2" w:rsidRPr="007F7DCB" w:rsidRDefault="003B71E2" w:rsidP="00D842BE">
      <w:pPr>
        <w:pStyle w:val="Textodstavce"/>
        <w:tabs>
          <w:tab w:val="clear" w:pos="851"/>
        </w:tabs>
        <w:ind w:firstLine="425"/>
        <w:rPr>
          <w:szCs w:val="24"/>
        </w:rPr>
      </w:pPr>
      <w:r w:rsidRPr="007F7DCB">
        <w:rPr>
          <w:szCs w:val="24"/>
        </w:rPr>
        <w:t>(1) Komora vydá zkušební řád, který je vnitřním předpisem Komory.</w:t>
      </w:r>
    </w:p>
    <w:p w14:paraId="37B79D1E" w14:textId="77777777" w:rsidR="003B71E2" w:rsidRPr="007F7DCB" w:rsidRDefault="003B71E2" w:rsidP="00D842BE">
      <w:pPr>
        <w:pStyle w:val="Textodstavce"/>
        <w:tabs>
          <w:tab w:val="clear" w:pos="851"/>
        </w:tabs>
        <w:ind w:firstLine="425"/>
        <w:rPr>
          <w:szCs w:val="24"/>
        </w:rPr>
      </w:pPr>
      <w:r w:rsidRPr="007F7DCB">
        <w:rPr>
          <w:szCs w:val="24"/>
        </w:rPr>
        <w:t>(2) Zkušební řád stanoví</w:t>
      </w:r>
    </w:p>
    <w:p w14:paraId="1A134EC9" w14:textId="11EB8E3E" w:rsidR="003B71E2" w:rsidRPr="007F7DCB" w:rsidRDefault="00D842BE" w:rsidP="00D842BE">
      <w:pPr>
        <w:pStyle w:val="PZTextpsmene"/>
        <w:spacing w:before="0"/>
        <w:rPr>
          <w:color w:val="000000" w:themeColor="text1"/>
        </w:rPr>
      </w:pPr>
      <w:r>
        <w:rPr>
          <w:color w:val="000000" w:themeColor="text1"/>
        </w:rPr>
        <w:t>a)</w:t>
      </w:r>
      <w:r>
        <w:rPr>
          <w:color w:val="000000" w:themeColor="text1"/>
        </w:rPr>
        <w:tab/>
      </w:r>
      <w:r w:rsidR="003B71E2" w:rsidRPr="007F7DCB">
        <w:rPr>
          <w:color w:val="000000" w:themeColor="text1"/>
        </w:rPr>
        <w:t>postup při posuzování kvalifikačních předpokladů podle § 4,</w:t>
      </w:r>
    </w:p>
    <w:p w14:paraId="71C2220C" w14:textId="2ECD9810" w:rsidR="003B71E2" w:rsidRPr="007F7DCB" w:rsidRDefault="00D842BE" w:rsidP="00D842BE">
      <w:pPr>
        <w:pStyle w:val="PZTextpsmene"/>
        <w:spacing w:before="0"/>
        <w:rPr>
          <w:color w:val="000000" w:themeColor="text1"/>
        </w:rPr>
      </w:pPr>
      <w:r>
        <w:rPr>
          <w:color w:val="000000" w:themeColor="text1"/>
        </w:rPr>
        <w:t>b)</w:t>
      </w:r>
      <w:r>
        <w:rPr>
          <w:color w:val="000000" w:themeColor="text1"/>
        </w:rPr>
        <w:tab/>
      </w:r>
      <w:r w:rsidR="003B71E2" w:rsidRPr="007F7DCB">
        <w:rPr>
          <w:color w:val="000000" w:themeColor="text1"/>
        </w:rPr>
        <w:t>obsah jednotlivých dílčích částí auditorské zkoušky a dílčích částí rozdílové zkoušky,</w:t>
      </w:r>
    </w:p>
    <w:p w14:paraId="3FA12CEE" w14:textId="0A6FC0CB" w:rsidR="003B71E2" w:rsidRPr="007F7DCB" w:rsidRDefault="00D842BE" w:rsidP="00D842BE">
      <w:pPr>
        <w:pStyle w:val="PZTextpsmene"/>
        <w:spacing w:before="0"/>
        <w:rPr>
          <w:color w:val="000000" w:themeColor="text1"/>
        </w:rPr>
      </w:pPr>
      <w:r>
        <w:rPr>
          <w:color w:val="000000" w:themeColor="text1"/>
        </w:rPr>
        <w:t>c)</w:t>
      </w:r>
      <w:r>
        <w:rPr>
          <w:color w:val="000000" w:themeColor="text1"/>
        </w:rPr>
        <w:tab/>
      </w:r>
      <w:r w:rsidR="003B71E2" w:rsidRPr="007F7DCB">
        <w:rPr>
          <w:color w:val="000000" w:themeColor="text1"/>
        </w:rPr>
        <w:t>počet dílčích částí auditorské zkoušky a dílčích částí rozdílové zkoušky,</w:t>
      </w:r>
    </w:p>
    <w:p w14:paraId="254588FE" w14:textId="525682BA" w:rsidR="003B71E2" w:rsidRPr="007F7DCB" w:rsidRDefault="00D842BE" w:rsidP="00D842BE">
      <w:pPr>
        <w:pStyle w:val="PZTextpsmene"/>
        <w:spacing w:before="0"/>
        <w:rPr>
          <w:color w:val="000000" w:themeColor="text1"/>
        </w:rPr>
      </w:pPr>
      <w:r>
        <w:rPr>
          <w:color w:val="000000" w:themeColor="text1"/>
        </w:rPr>
        <w:t>d)</w:t>
      </w:r>
      <w:r>
        <w:rPr>
          <w:color w:val="000000" w:themeColor="text1"/>
        </w:rPr>
        <w:tab/>
      </w:r>
      <w:r w:rsidR="003B71E2" w:rsidRPr="007F7DCB">
        <w:rPr>
          <w:color w:val="000000" w:themeColor="text1"/>
        </w:rPr>
        <w:t xml:space="preserve">výši poplatku za přihlášku k dílčí části auditorské zkoušky a splatnost poplatku; výše </w:t>
      </w:r>
      <w:r w:rsidR="003B71E2" w:rsidRPr="00924946">
        <w:rPr>
          <w:color w:val="000000" w:themeColor="text1"/>
        </w:rPr>
        <w:t xml:space="preserve">poplatku za přihlášku k dílčí části auditorské zkoušky nesmí být vyšší než </w:t>
      </w:r>
      <w:r w:rsidR="003B71E2" w:rsidRPr="00924946">
        <w:rPr>
          <w:strike/>
          <w:color w:val="000000" w:themeColor="text1"/>
        </w:rPr>
        <w:t>7000</w:t>
      </w:r>
      <w:r w:rsidR="00135993">
        <w:rPr>
          <w:strike/>
          <w:color w:val="000000" w:themeColor="text1"/>
        </w:rPr>
        <w:t xml:space="preserve"> </w:t>
      </w:r>
      <w:r w:rsidR="003B71E2" w:rsidRPr="00924946">
        <w:rPr>
          <w:b/>
          <w:color w:val="000000" w:themeColor="text1"/>
        </w:rPr>
        <w:t>23000</w:t>
      </w:r>
      <w:r w:rsidR="003B71E2" w:rsidRPr="00924946">
        <w:rPr>
          <w:color w:val="000000" w:themeColor="text1"/>
        </w:rPr>
        <w:t xml:space="preserve"> Kč,</w:t>
      </w:r>
    </w:p>
    <w:p w14:paraId="77A54CA4" w14:textId="67050B2F" w:rsidR="003B71E2" w:rsidRPr="007F7DCB" w:rsidRDefault="00D842BE" w:rsidP="00D842BE">
      <w:pPr>
        <w:pStyle w:val="PZTextpsmene"/>
        <w:spacing w:before="0"/>
        <w:rPr>
          <w:color w:val="000000" w:themeColor="text1"/>
        </w:rPr>
      </w:pPr>
      <w:r>
        <w:rPr>
          <w:color w:val="000000" w:themeColor="text1"/>
        </w:rPr>
        <w:t>e)</w:t>
      </w:r>
      <w:r>
        <w:rPr>
          <w:color w:val="000000" w:themeColor="text1"/>
        </w:rPr>
        <w:tab/>
      </w:r>
      <w:r w:rsidR="003B71E2" w:rsidRPr="007F7DCB">
        <w:rPr>
          <w:color w:val="000000" w:themeColor="text1"/>
        </w:rPr>
        <w:t>výši poplatku za přihlášku k rozdílové zkoušce a splatnost poplatku; poplatek spojený s provedením rozdílové zkoušky nesmí být vyšší než částka stanovená podle zákona o uznávání odborné kvalifikace,</w:t>
      </w:r>
    </w:p>
    <w:p w14:paraId="1B7A1DA6" w14:textId="0E21DFDB" w:rsidR="003B71E2" w:rsidRPr="007F7DCB" w:rsidRDefault="00D842BE" w:rsidP="00D842BE">
      <w:pPr>
        <w:pStyle w:val="PZTextpsmene"/>
        <w:spacing w:before="0"/>
        <w:rPr>
          <w:color w:val="000000" w:themeColor="text1"/>
        </w:rPr>
      </w:pPr>
      <w:r>
        <w:rPr>
          <w:color w:val="000000" w:themeColor="text1"/>
        </w:rPr>
        <w:t>f)</w:t>
      </w:r>
      <w:r>
        <w:rPr>
          <w:color w:val="000000" w:themeColor="text1"/>
        </w:rPr>
        <w:tab/>
      </w:r>
      <w:r w:rsidR="003B71E2" w:rsidRPr="007F7DCB">
        <w:rPr>
          <w:color w:val="000000" w:themeColor="text1"/>
        </w:rPr>
        <w:t>postup při neúčasti na dílčí části auditorské zkoušky nebo dílčí části rozdílové zkoušky,</w:t>
      </w:r>
    </w:p>
    <w:p w14:paraId="36D03CB3" w14:textId="71C0FB23" w:rsidR="003B71E2" w:rsidRPr="007F7DCB" w:rsidRDefault="00D842BE" w:rsidP="00D842BE">
      <w:pPr>
        <w:pStyle w:val="PZTextpsmene"/>
        <w:spacing w:before="0"/>
        <w:rPr>
          <w:color w:val="000000" w:themeColor="text1"/>
        </w:rPr>
      </w:pPr>
      <w:r>
        <w:rPr>
          <w:color w:val="000000" w:themeColor="text1"/>
        </w:rPr>
        <w:t>g)</w:t>
      </w:r>
      <w:r>
        <w:rPr>
          <w:color w:val="000000" w:themeColor="text1"/>
        </w:rPr>
        <w:tab/>
      </w:r>
      <w:r w:rsidR="003B71E2" w:rsidRPr="007F7DCB">
        <w:rPr>
          <w:color w:val="000000" w:themeColor="text1"/>
        </w:rPr>
        <w:t>způsob, jakým je žadatel vyrozuměn o výsledku dílčí části auditorské zkoušky nebo dílčí části rozdílové zkoušky,</w:t>
      </w:r>
    </w:p>
    <w:p w14:paraId="6DB57F3C" w14:textId="34DCC73A" w:rsidR="003B71E2" w:rsidRPr="007F7DCB" w:rsidRDefault="00D842BE" w:rsidP="00D842BE">
      <w:pPr>
        <w:pStyle w:val="PZTextpsmene"/>
        <w:spacing w:before="0"/>
        <w:rPr>
          <w:color w:val="000000" w:themeColor="text1"/>
        </w:rPr>
      </w:pPr>
      <w:r>
        <w:rPr>
          <w:color w:val="000000" w:themeColor="text1"/>
        </w:rPr>
        <w:t>h)</w:t>
      </w:r>
      <w:r>
        <w:rPr>
          <w:color w:val="000000" w:themeColor="text1"/>
        </w:rPr>
        <w:tab/>
      </w:r>
      <w:r w:rsidR="003B71E2" w:rsidRPr="007F7DCB">
        <w:rPr>
          <w:color w:val="000000" w:themeColor="text1"/>
        </w:rPr>
        <w:t>počet členů odvolací zkušební komise a její postup při přezkumu hodnocení výsledku dílčí části auditorské zkoušky nebo výsledku dílčí části rozdílové zkoušky dílčí zkušební komisí,</w:t>
      </w:r>
    </w:p>
    <w:p w14:paraId="66DF0353" w14:textId="00676E9F" w:rsidR="003B71E2" w:rsidRPr="007F7DCB" w:rsidRDefault="00D842BE" w:rsidP="00D842BE">
      <w:pPr>
        <w:pStyle w:val="PZTextpsmene"/>
        <w:spacing w:before="0"/>
        <w:rPr>
          <w:color w:val="000000" w:themeColor="text1"/>
        </w:rPr>
      </w:pPr>
      <w:r>
        <w:rPr>
          <w:color w:val="000000" w:themeColor="text1"/>
        </w:rPr>
        <w:t>i)</w:t>
      </w:r>
      <w:r>
        <w:rPr>
          <w:color w:val="000000" w:themeColor="text1"/>
        </w:rPr>
        <w:tab/>
      </w:r>
      <w:r w:rsidR="003B71E2" w:rsidRPr="007F7DCB">
        <w:rPr>
          <w:color w:val="000000" w:themeColor="text1"/>
        </w:rPr>
        <w:t>způsob organizačního zajištění auditorské zkoušky a rozdílové zkoušky a způsob dokumentování konání, průběhu a hodnocení jednotlivých zkoušek a případných přezkumů.</w:t>
      </w:r>
    </w:p>
    <w:p w14:paraId="148F81F6" w14:textId="77777777" w:rsidR="003B71E2" w:rsidRDefault="003B71E2" w:rsidP="00135993">
      <w:pPr>
        <w:pStyle w:val="Paragraf"/>
        <w:numPr>
          <w:ilvl w:val="0"/>
          <w:numId w:val="0"/>
        </w:numPr>
        <w:spacing w:after="120"/>
      </w:pPr>
      <w:r>
        <w:t>***</w:t>
      </w:r>
    </w:p>
    <w:p w14:paraId="6079890A" w14:textId="77777777" w:rsidR="003B71E2" w:rsidRDefault="003B71E2" w:rsidP="00135993">
      <w:pPr>
        <w:pStyle w:val="Paragraf"/>
        <w:numPr>
          <w:ilvl w:val="0"/>
          <w:numId w:val="0"/>
        </w:numPr>
        <w:spacing w:after="120"/>
      </w:pPr>
      <w:r>
        <w:t>§ 11</w:t>
      </w:r>
    </w:p>
    <w:p w14:paraId="318B3A32" w14:textId="1A6A3289" w:rsidR="003B71E2" w:rsidRDefault="00135993" w:rsidP="00D842BE">
      <w:pPr>
        <w:pStyle w:val="PZTextodstavce"/>
        <w:pBdr>
          <w:top w:val="single" w:sz="12" w:space="1" w:color="0070C0"/>
          <w:left w:val="single" w:sz="12" w:space="4" w:color="0070C0"/>
          <w:bottom w:val="single" w:sz="12" w:space="1" w:color="0070C0"/>
          <w:right w:val="single" w:sz="12" w:space="4" w:color="0070C0"/>
        </w:pBdr>
        <w:tabs>
          <w:tab w:val="clear" w:pos="782"/>
          <w:tab w:val="clear" w:pos="851"/>
          <w:tab w:val="left" w:pos="1418"/>
        </w:tabs>
        <w:spacing w:before="240"/>
        <w:ind w:firstLine="426"/>
      </w:pPr>
      <w:r>
        <w:t xml:space="preserve">(1) </w:t>
      </w:r>
      <w:r w:rsidR="003B71E2">
        <w:t xml:space="preserve">Komora vede rejstřík, který obsahuje údaje o </w:t>
      </w:r>
    </w:p>
    <w:p w14:paraId="454469C7" w14:textId="4669109B" w:rsidR="003B71E2" w:rsidRDefault="00D842BE" w:rsidP="00D842BE">
      <w:pPr>
        <w:pBdr>
          <w:top w:val="single" w:sz="12" w:space="1" w:color="0070C0"/>
          <w:left w:val="single" w:sz="12" w:space="4" w:color="0070C0"/>
          <w:bottom w:val="single" w:sz="12" w:space="1" w:color="0070C0"/>
          <w:right w:val="single" w:sz="12" w:space="4" w:color="0070C0"/>
        </w:pBdr>
        <w:spacing w:before="0"/>
        <w:ind w:left="425" w:hanging="425"/>
      </w:pPr>
      <w:r>
        <w:t>a)</w:t>
      </w:r>
      <w:r>
        <w:tab/>
      </w:r>
      <w:r w:rsidR="003B71E2">
        <w:t xml:space="preserve">statutárních auditorech, </w:t>
      </w:r>
    </w:p>
    <w:p w14:paraId="6C9ADA6C" w14:textId="21937DEC" w:rsidR="003B71E2" w:rsidRDefault="00D842BE" w:rsidP="00D842BE">
      <w:pPr>
        <w:pBdr>
          <w:top w:val="single" w:sz="12" w:space="1" w:color="0070C0"/>
          <w:left w:val="single" w:sz="12" w:space="4" w:color="0070C0"/>
          <w:bottom w:val="single" w:sz="12" w:space="1" w:color="0070C0"/>
          <w:right w:val="single" w:sz="12" w:space="4" w:color="0070C0"/>
        </w:pBdr>
        <w:tabs>
          <w:tab w:val="left" w:pos="425"/>
          <w:tab w:val="left" w:pos="851"/>
        </w:tabs>
        <w:spacing w:before="0"/>
        <w:ind w:left="425" w:hanging="425"/>
      </w:pPr>
      <w:r>
        <w:t>b)</w:t>
      </w:r>
      <w:r>
        <w:tab/>
      </w:r>
      <w:r w:rsidR="003B71E2">
        <w:t xml:space="preserve">auditorských společnostech, </w:t>
      </w:r>
    </w:p>
    <w:p w14:paraId="0BBA46FE" w14:textId="04266057" w:rsidR="003B71E2" w:rsidRDefault="00D842BE" w:rsidP="00D842BE">
      <w:pPr>
        <w:pBdr>
          <w:top w:val="single" w:sz="12" w:space="1" w:color="0070C0"/>
          <w:left w:val="single" w:sz="12" w:space="4" w:color="0070C0"/>
          <w:bottom w:val="single" w:sz="12" w:space="1" w:color="0070C0"/>
          <w:right w:val="single" w:sz="12" w:space="4" w:color="0070C0"/>
        </w:pBdr>
        <w:tabs>
          <w:tab w:val="left" w:pos="425"/>
          <w:tab w:val="left" w:pos="851"/>
        </w:tabs>
        <w:spacing w:before="0"/>
        <w:ind w:left="425" w:hanging="425"/>
      </w:pPr>
      <w:r>
        <w:t>c)</w:t>
      </w:r>
      <w:r>
        <w:tab/>
      </w:r>
      <w:r w:rsidR="003B71E2">
        <w:t xml:space="preserve">osobách, které vykonávají auditorskou činnost v České republice dočasně nebo příležitostně podle § 10 odst. 4 nebo § 10b odst. 7, </w:t>
      </w:r>
    </w:p>
    <w:p w14:paraId="0442252A" w14:textId="08582B8C" w:rsidR="003B71E2" w:rsidRDefault="00D842BE" w:rsidP="00D842BE">
      <w:pPr>
        <w:pBdr>
          <w:top w:val="single" w:sz="12" w:space="1" w:color="0070C0"/>
          <w:left w:val="single" w:sz="12" w:space="4" w:color="0070C0"/>
          <w:bottom w:val="single" w:sz="12" w:space="1" w:color="0070C0"/>
          <w:right w:val="single" w:sz="12" w:space="4" w:color="0070C0"/>
        </w:pBdr>
        <w:tabs>
          <w:tab w:val="left" w:pos="425"/>
          <w:tab w:val="left" w:pos="851"/>
        </w:tabs>
        <w:spacing w:before="0"/>
        <w:ind w:left="425" w:hanging="425"/>
      </w:pPr>
      <w:r>
        <w:t>d)</w:t>
      </w:r>
      <w:r>
        <w:tab/>
      </w:r>
      <w:r w:rsidR="003B71E2">
        <w:t xml:space="preserve">asistentech auditora, </w:t>
      </w:r>
    </w:p>
    <w:p w14:paraId="78987A25" w14:textId="3D38892F" w:rsidR="003B71E2" w:rsidRDefault="00D842BE" w:rsidP="00D842BE">
      <w:pPr>
        <w:pStyle w:val="PZTextpsmene"/>
        <w:pBdr>
          <w:top w:val="single" w:sz="12" w:space="1" w:color="0070C0"/>
          <w:left w:val="single" w:sz="12" w:space="4" w:color="0070C0"/>
          <w:bottom w:val="single" w:sz="12" w:space="1" w:color="0070C0"/>
          <w:right w:val="single" w:sz="12" w:space="4" w:color="0070C0"/>
        </w:pBdr>
        <w:spacing w:before="0"/>
      </w:pPr>
      <w:r>
        <w:t>e)</w:t>
      </w:r>
      <w:r>
        <w:tab/>
      </w:r>
      <w:r w:rsidR="003B71E2">
        <w:t xml:space="preserve">osobách registrovaných podle § 47 </w:t>
      </w:r>
      <w:r w:rsidR="003B71E2" w:rsidRPr="00763A90">
        <w:rPr>
          <w:color w:val="5B9BD5" w:themeColor="accent1"/>
        </w:rPr>
        <w:t>a 47a</w:t>
      </w:r>
      <w:r w:rsidR="003B71E2">
        <w:t>.</w:t>
      </w:r>
    </w:p>
    <w:p w14:paraId="0C92DEFF" w14:textId="2A2BAA3E" w:rsidR="003B71E2" w:rsidRPr="003F46D4" w:rsidRDefault="00135993" w:rsidP="00D842BE">
      <w:pPr>
        <w:pStyle w:val="PZTextodstavce"/>
        <w:tabs>
          <w:tab w:val="clear" w:pos="782"/>
          <w:tab w:val="left" w:pos="426"/>
        </w:tabs>
      </w:pPr>
      <w:r>
        <w:t xml:space="preserve">(2) </w:t>
      </w:r>
      <w:r w:rsidR="003B71E2" w:rsidRPr="003F46D4">
        <w:t xml:space="preserve">Rejstřík obsahuje také adresu sídla a kontaktní údaje Komory a Rady a jejich orgánů příslušných ke kontrole kvality podle § 24 a řízení podle § 26 a hlavy XI. </w:t>
      </w:r>
    </w:p>
    <w:p w14:paraId="7981925B" w14:textId="4416B296" w:rsidR="003B71E2" w:rsidRDefault="00135993" w:rsidP="00D842BE">
      <w:pPr>
        <w:pStyle w:val="PZTextodstavce"/>
        <w:tabs>
          <w:tab w:val="clear" w:pos="782"/>
          <w:tab w:val="left" w:pos="426"/>
        </w:tabs>
      </w:pPr>
      <w:r>
        <w:t xml:space="preserve">(3) </w:t>
      </w:r>
      <w:r w:rsidR="003B71E2">
        <w:t xml:space="preserve">Rejstřík je veden v elektronické podobě. </w:t>
      </w:r>
    </w:p>
    <w:p w14:paraId="7AD8B653" w14:textId="19D20315" w:rsidR="003B71E2" w:rsidRDefault="00135993" w:rsidP="00D842BE">
      <w:pPr>
        <w:pStyle w:val="PZTextodstavce"/>
        <w:tabs>
          <w:tab w:val="clear" w:pos="782"/>
          <w:tab w:val="left" w:pos="426"/>
        </w:tabs>
      </w:pPr>
      <w:r>
        <w:t xml:space="preserve">(4) </w:t>
      </w:r>
      <w:r w:rsidR="003B71E2">
        <w:t xml:space="preserve">Údaje jsou v rejstříku vedeny v českém jazyce. </w:t>
      </w:r>
    </w:p>
    <w:p w14:paraId="66D7855C" w14:textId="5CB36B0A" w:rsidR="003B71E2" w:rsidRDefault="00135993" w:rsidP="00D842BE">
      <w:pPr>
        <w:pStyle w:val="PZTextodstavce"/>
        <w:tabs>
          <w:tab w:val="clear" w:pos="782"/>
          <w:tab w:val="left" w:pos="426"/>
        </w:tabs>
      </w:pPr>
      <w:r>
        <w:t xml:space="preserve">(5) </w:t>
      </w:r>
      <w:r w:rsidR="003B71E2">
        <w:t xml:space="preserve">Údaje obsažené v rejstříku jsou, s výjimkou rodného čísla, data narození, adresy bydliště a opatření napomenutí, veřejně přístupné na internetových stránkách Komory. </w:t>
      </w:r>
    </w:p>
    <w:p w14:paraId="75241A52" w14:textId="734388EE" w:rsidR="003B71E2" w:rsidRDefault="00135993" w:rsidP="00D842BE">
      <w:pPr>
        <w:pStyle w:val="PZTextodstavce"/>
        <w:tabs>
          <w:tab w:val="clear" w:pos="782"/>
          <w:tab w:val="left" w:pos="426"/>
        </w:tabs>
      </w:pPr>
      <w:r>
        <w:t xml:space="preserve">(6) </w:t>
      </w:r>
      <w:r w:rsidR="003B71E2">
        <w:t xml:space="preserve">Údaje o asistentech auditora se nezveřejňují. </w:t>
      </w:r>
    </w:p>
    <w:p w14:paraId="0512BE51" w14:textId="7E7D0899" w:rsidR="003B71E2" w:rsidRDefault="00135993" w:rsidP="00D842BE">
      <w:pPr>
        <w:pStyle w:val="PZTextodstavce"/>
        <w:tabs>
          <w:tab w:val="clear" w:pos="782"/>
          <w:tab w:val="left" w:pos="426"/>
        </w:tabs>
      </w:pPr>
      <w:r>
        <w:lastRenderedPageBreak/>
        <w:t xml:space="preserve">(7) </w:t>
      </w:r>
      <w:r w:rsidR="003B71E2">
        <w:t xml:space="preserve">Komora může ve statutu Komory stanovit, že se do neveřejné části rejstříku zapisují i další potřebné údaje. </w:t>
      </w:r>
    </w:p>
    <w:p w14:paraId="3B1BED16" w14:textId="185CA990" w:rsidR="003B71E2" w:rsidRDefault="00135993" w:rsidP="00D842BE">
      <w:pPr>
        <w:pStyle w:val="PZTextodstavce"/>
        <w:tabs>
          <w:tab w:val="clear" w:pos="782"/>
          <w:tab w:val="left" w:pos="426"/>
        </w:tabs>
      </w:pPr>
      <w:r>
        <w:t xml:space="preserve">(8) </w:t>
      </w:r>
      <w:r w:rsidR="003B71E2">
        <w:t xml:space="preserve">Údaje do rejstříku v českém jazyce a opatřené podpisem předává Komoře bez zbytečného odkladu osoba, jíž se údaje týkají. </w:t>
      </w:r>
    </w:p>
    <w:p w14:paraId="39633FA8" w14:textId="025CC17C" w:rsidR="003B71E2" w:rsidRDefault="00135993" w:rsidP="00D842BE">
      <w:pPr>
        <w:pStyle w:val="PZTextodstavce"/>
        <w:tabs>
          <w:tab w:val="clear" w:pos="782"/>
          <w:tab w:val="left" w:pos="426"/>
        </w:tabs>
      </w:pPr>
      <w:r>
        <w:t xml:space="preserve">(9) </w:t>
      </w:r>
      <w:r w:rsidR="003B71E2">
        <w:t>Údaje zapisované do rejstříku nebo jejich změny jsou osoby podle odstavce 1 povinny bezodkladně oznámit Komoře. Komora může při neoznámení změn a při závažném dopadu tohoto neoznámení zahájit řízení podle § 26.</w:t>
      </w:r>
    </w:p>
    <w:p w14:paraId="2F8DE1A1" w14:textId="77777777" w:rsidR="003B71E2" w:rsidRPr="00F6171C" w:rsidRDefault="003B71E2" w:rsidP="00135993">
      <w:pPr>
        <w:pStyle w:val="Paragraf"/>
        <w:numPr>
          <w:ilvl w:val="0"/>
          <w:numId w:val="0"/>
        </w:numPr>
        <w:spacing w:after="120"/>
      </w:pPr>
      <w:r w:rsidRPr="00F6171C">
        <w:t>§ 12</w:t>
      </w:r>
    </w:p>
    <w:p w14:paraId="7115AFE8" w14:textId="62D610E1" w:rsidR="003B71E2" w:rsidRPr="00A72D31" w:rsidRDefault="003B71E2" w:rsidP="00D842BE">
      <w:pPr>
        <w:pBdr>
          <w:top w:val="single" w:sz="12" w:space="1" w:color="0070C0"/>
          <w:left w:val="single" w:sz="12" w:space="4" w:color="0070C0"/>
          <w:bottom w:val="single" w:sz="12" w:space="1" w:color="0070C0"/>
          <w:right w:val="single" w:sz="12" w:space="4" w:color="0070C0"/>
        </w:pBdr>
        <w:tabs>
          <w:tab w:val="left" w:pos="425"/>
          <w:tab w:val="left" w:pos="851"/>
        </w:tabs>
        <w:spacing w:after="120"/>
      </w:pPr>
      <w:r w:rsidRPr="00A72D31">
        <w:t>Rejstřík obsahuje tyto údaje o statutárních auditorech:</w:t>
      </w:r>
    </w:p>
    <w:p w14:paraId="680A4FFD" w14:textId="20400E74" w:rsidR="003B71E2" w:rsidRPr="00A72D31" w:rsidRDefault="00D842BE" w:rsidP="00D842BE">
      <w:pPr>
        <w:pBdr>
          <w:top w:val="single" w:sz="12" w:space="1" w:color="0070C0"/>
          <w:left w:val="single" w:sz="12" w:space="4" w:color="0070C0"/>
          <w:bottom w:val="single" w:sz="12" w:space="1" w:color="0070C0"/>
          <w:right w:val="single" w:sz="12" w:space="4" w:color="0070C0"/>
        </w:pBdr>
        <w:tabs>
          <w:tab w:val="left" w:pos="851"/>
        </w:tabs>
        <w:spacing w:before="0"/>
        <w:ind w:left="425" w:hanging="425"/>
      </w:pPr>
      <w:r>
        <w:t>a)</w:t>
      </w:r>
      <w:r>
        <w:tab/>
      </w:r>
      <w:r w:rsidR="003B71E2">
        <w:t>jméno, rodné číslo, nebylo-li rodné číslo přiděleno, datum narození, adresu bydliště, je-li podnikatelem, jméno podnikatele, adresu sídla a identifikační číslo osoby,</w:t>
      </w:r>
    </w:p>
    <w:p w14:paraId="6EAB8EB9" w14:textId="26BFF216" w:rsidR="003B71E2" w:rsidRPr="00A72D31" w:rsidRDefault="00D842BE" w:rsidP="00D842BE">
      <w:pPr>
        <w:pBdr>
          <w:top w:val="single" w:sz="12" w:space="1" w:color="0070C0"/>
          <w:left w:val="single" w:sz="12" w:space="4" w:color="0070C0"/>
          <w:bottom w:val="single" w:sz="12" w:space="1" w:color="0070C0"/>
          <w:right w:val="single" w:sz="12" w:space="4" w:color="0070C0"/>
        </w:pBdr>
        <w:tabs>
          <w:tab w:val="left" w:pos="851"/>
        </w:tabs>
        <w:spacing w:before="0"/>
        <w:ind w:left="425" w:hanging="425"/>
      </w:pPr>
      <w:r>
        <w:t>b)</w:t>
      </w:r>
      <w:r>
        <w:tab/>
      </w:r>
      <w:r w:rsidR="003B71E2">
        <w:t>adresu internetových stránek, má-li je zřízeny,</w:t>
      </w:r>
    </w:p>
    <w:p w14:paraId="468F4C0A" w14:textId="08253C39" w:rsidR="003B71E2" w:rsidRPr="00A72D31" w:rsidRDefault="00D842BE" w:rsidP="00D842BE">
      <w:pPr>
        <w:pBdr>
          <w:top w:val="single" w:sz="12" w:space="1" w:color="0070C0"/>
          <w:left w:val="single" w:sz="12" w:space="4" w:color="0070C0"/>
          <w:bottom w:val="single" w:sz="12" w:space="1" w:color="0070C0"/>
          <w:right w:val="single" w:sz="12" w:space="4" w:color="0070C0"/>
        </w:pBdr>
        <w:tabs>
          <w:tab w:val="left" w:pos="851"/>
        </w:tabs>
        <w:spacing w:before="0"/>
        <w:ind w:left="425" w:hanging="425"/>
      </w:pPr>
      <w:r>
        <w:t>c)</w:t>
      </w:r>
      <w:r>
        <w:tab/>
      </w:r>
      <w:r w:rsidR="003B71E2" w:rsidRPr="00A72D31">
        <w:t>identifikátor datové schránky podle zákona upravujícího elektronické úkony,</w:t>
      </w:r>
    </w:p>
    <w:p w14:paraId="0264E6CA" w14:textId="1C324683" w:rsidR="003B71E2" w:rsidRDefault="00D842BE" w:rsidP="00D842BE">
      <w:pPr>
        <w:pBdr>
          <w:top w:val="single" w:sz="12" w:space="1" w:color="0070C0"/>
          <w:left w:val="single" w:sz="12" w:space="4" w:color="0070C0"/>
          <w:bottom w:val="single" w:sz="12" w:space="1" w:color="0070C0"/>
          <w:right w:val="single" w:sz="12" w:space="4" w:color="0070C0"/>
        </w:pBdr>
        <w:tabs>
          <w:tab w:val="left" w:pos="851"/>
        </w:tabs>
        <w:spacing w:before="0"/>
        <w:ind w:left="425" w:hanging="425"/>
      </w:pPr>
      <w:r>
        <w:t>d)</w:t>
      </w:r>
      <w:r>
        <w:tab/>
      </w:r>
      <w:r w:rsidR="003B71E2" w:rsidRPr="00A72D31">
        <w:t>den vzniku auditorského oprávnění,</w:t>
      </w:r>
    </w:p>
    <w:p w14:paraId="73F68DF9" w14:textId="31376889" w:rsidR="003B71E2" w:rsidRPr="00D842BE" w:rsidRDefault="00D842BE" w:rsidP="00D842BE">
      <w:pPr>
        <w:pBdr>
          <w:top w:val="single" w:sz="12" w:space="1" w:color="0070C0"/>
          <w:left w:val="single" w:sz="12" w:space="4" w:color="0070C0"/>
          <w:bottom w:val="single" w:sz="12" w:space="1" w:color="0070C0"/>
          <w:right w:val="single" w:sz="12" w:space="4" w:color="0070C0"/>
        </w:pBdr>
        <w:tabs>
          <w:tab w:val="left" w:pos="851"/>
        </w:tabs>
        <w:spacing w:before="0"/>
        <w:ind w:left="425" w:hanging="425"/>
        <w:rPr>
          <w:color w:val="000000" w:themeColor="text1"/>
        </w:rPr>
      </w:pPr>
      <w:r>
        <w:rPr>
          <w:color w:val="000000" w:themeColor="text1"/>
        </w:rPr>
        <w:t>e)</w:t>
      </w:r>
      <w:r>
        <w:rPr>
          <w:color w:val="000000" w:themeColor="text1"/>
        </w:rPr>
        <w:tab/>
      </w:r>
      <w:r w:rsidR="003B71E2" w:rsidRPr="00D842BE">
        <w:rPr>
          <w:color w:val="000000" w:themeColor="text1"/>
        </w:rPr>
        <w:t>informaci o auditorském oprávnění k výkonu auditorské činnosti s výjimkou provádění povinného auditu podle § 10 odst. 2,</w:t>
      </w:r>
    </w:p>
    <w:p w14:paraId="54B18B4F" w14:textId="7C1AE6C7" w:rsidR="003B71E2" w:rsidRPr="00D842BE" w:rsidRDefault="00D842BE" w:rsidP="00D842BE">
      <w:pPr>
        <w:pBdr>
          <w:top w:val="single" w:sz="12" w:space="1" w:color="0070C0"/>
          <w:left w:val="single" w:sz="12" w:space="4" w:color="0070C0"/>
          <w:bottom w:val="single" w:sz="12" w:space="1" w:color="0070C0"/>
          <w:right w:val="single" w:sz="12" w:space="4" w:color="0070C0"/>
        </w:pBdr>
        <w:tabs>
          <w:tab w:val="left" w:pos="851"/>
        </w:tabs>
        <w:spacing w:before="0"/>
        <w:ind w:left="425" w:hanging="425"/>
        <w:rPr>
          <w:color w:val="000000" w:themeColor="text1"/>
        </w:rPr>
      </w:pPr>
      <w:r>
        <w:rPr>
          <w:color w:val="000000" w:themeColor="text1"/>
        </w:rPr>
        <w:t>f)</w:t>
      </w:r>
      <w:r>
        <w:rPr>
          <w:color w:val="000000" w:themeColor="text1"/>
        </w:rPr>
        <w:tab/>
      </w:r>
      <w:r w:rsidR="003B71E2" w:rsidRPr="00D842BE">
        <w:rPr>
          <w:color w:val="000000" w:themeColor="text1"/>
        </w:rPr>
        <w:t>evidenční číslo, které mu bylo ke dni nabytí právní moci auditorského oprávnění přiděleno (dále jen „evidenční číslo“),</w:t>
      </w:r>
    </w:p>
    <w:p w14:paraId="3A3A3E3A" w14:textId="12E5A2BB" w:rsidR="003B71E2" w:rsidRPr="00D842BE" w:rsidRDefault="00D842BE" w:rsidP="00D842BE">
      <w:pPr>
        <w:pBdr>
          <w:top w:val="single" w:sz="12" w:space="1" w:color="0070C0"/>
          <w:left w:val="single" w:sz="12" w:space="4" w:color="0070C0"/>
          <w:bottom w:val="single" w:sz="12" w:space="1" w:color="0070C0"/>
          <w:right w:val="single" w:sz="12" w:space="4" w:color="0070C0"/>
        </w:pBdr>
        <w:tabs>
          <w:tab w:val="left" w:pos="851"/>
        </w:tabs>
        <w:spacing w:before="0"/>
        <w:ind w:left="425" w:hanging="425"/>
        <w:rPr>
          <w:color w:val="000000" w:themeColor="text1"/>
        </w:rPr>
      </w:pPr>
      <w:r>
        <w:rPr>
          <w:color w:val="000000" w:themeColor="text1"/>
        </w:rPr>
        <w:t>g)</w:t>
      </w:r>
      <w:r>
        <w:rPr>
          <w:color w:val="000000" w:themeColor="text1"/>
        </w:rPr>
        <w:tab/>
      </w:r>
      <w:r w:rsidR="003B71E2" w:rsidRPr="00D842BE">
        <w:rPr>
          <w:color w:val="000000" w:themeColor="text1"/>
        </w:rPr>
        <w:t>název auditorské společnosti, u které je statutární auditor zaměstnán nebo s níž je spojen jako společník nebo jinak, adresu jejího sídla a její evidenční číslo, nebo jméno statutárního auditora vykonávajícího auditorskou činnost vlastním jménem a na vlastní účet, u kterého je zaměstnán, adresu jeho sídla a jeho evidenční číslo, pokud existují,</w:t>
      </w:r>
    </w:p>
    <w:p w14:paraId="6771F974" w14:textId="74A245F9" w:rsidR="003B71E2" w:rsidRPr="00D842BE" w:rsidRDefault="00D842BE" w:rsidP="00D842BE">
      <w:pPr>
        <w:pBdr>
          <w:top w:val="single" w:sz="12" w:space="1" w:color="0070C0"/>
          <w:left w:val="single" w:sz="12" w:space="4" w:color="0070C0"/>
          <w:bottom w:val="single" w:sz="12" w:space="1" w:color="0070C0"/>
          <w:right w:val="single" w:sz="12" w:space="4" w:color="0070C0"/>
        </w:pBdr>
        <w:tabs>
          <w:tab w:val="left" w:pos="851"/>
        </w:tabs>
        <w:spacing w:before="0"/>
        <w:ind w:left="425" w:hanging="425"/>
        <w:rPr>
          <w:color w:val="000000" w:themeColor="text1"/>
        </w:rPr>
      </w:pPr>
      <w:r>
        <w:rPr>
          <w:color w:val="000000" w:themeColor="text1"/>
        </w:rPr>
        <w:t>h)</w:t>
      </w:r>
      <w:r>
        <w:rPr>
          <w:color w:val="000000" w:themeColor="text1"/>
        </w:rPr>
        <w:tab/>
      </w:r>
      <w:r w:rsidR="003B71E2" w:rsidRPr="00D842BE">
        <w:rPr>
          <w:color w:val="000000" w:themeColor="text1"/>
        </w:rPr>
        <w:t>přehled o uložených opatřeních, včetně druhu opatření, správních trestech uložených podle hlavy XI a zákona upravujícího některá opatření proti legalizaci výnosů z trestné činnosti a financování terorismu a důvodu jejich uložení, nestanoví-li tento zákon jinak</w:t>
      </w:r>
      <w:r w:rsidR="003B71E2" w:rsidRPr="00D842BE">
        <w:rPr>
          <w:strike/>
          <w:color w:val="000000" w:themeColor="text1"/>
        </w:rPr>
        <w:t>.</w:t>
      </w:r>
      <w:r w:rsidR="003B71E2" w:rsidRPr="00D842BE">
        <w:rPr>
          <w:b/>
          <w:bCs/>
          <w:color w:val="000000" w:themeColor="text1"/>
        </w:rPr>
        <w:t>,</w:t>
      </w:r>
    </w:p>
    <w:p w14:paraId="09B3F07E" w14:textId="2F652B8A" w:rsidR="00135993" w:rsidRPr="00D842BE" w:rsidRDefault="00D842BE" w:rsidP="00D842BE">
      <w:pPr>
        <w:pBdr>
          <w:top w:val="single" w:sz="12" w:space="1" w:color="0070C0"/>
          <w:left w:val="single" w:sz="12" w:space="4" w:color="0070C0"/>
          <w:bottom w:val="single" w:sz="12" w:space="1" w:color="0070C0"/>
          <w:right w:val="single" w:sz="12" w:space="4" w:color="0070C0"/>
        </w:pBdr>
        <w:tabs>
          <w:tab w:val="left" w:pos="851"/>
        </w:tabs>
        <w:spacing w:before="0"/>
        <w:ind w:left="425" w:hanging="425"/>
        <w:rPr>
          <w:color w:val="5B9BD5" w:themeColor="accent1"/>
        </w:rPr>
      </w:pPr>
      <w:r>
        <w:rPr>
          <w:color w:val="5B9BD5" w:themeColor="accent1"/>
        </w:rPr>
        <w:t>i)</w:t>
      </w:r>
      <w:r>
        <w:rPr>
          <w:color w:val="5B9BD5" w:themeColor="accent1"/>
        </w:rPr>
        <w:tab/>
      </w:r>
      <w:r w:rsidR="003B71E2" w:rsidRPr="00D842BE">
        <w:rPr>
          <w:color w:val="5B9BD5" w:themeColor="accent1"/>
        </w:rPr>
        <w:t>všechny další registrace jako statutárního auditora provedené u příslušných orgánů jiných členských států včetně názvu registračního orgánu nebo orgánů a registračního čísla nebo čísel, pokud existují, a informaci, zda registrace zahrnuje oprávnění k ověřování zpráv o udržitelnosti,</w:t>
      </w:r>
    </w:p>
    <w:p w14:paraId="1B9F610A" w14:textId="3D704388" w:rsidR="003B71E2" w:rsidRPr="00D842BE" w:rsidRDefault="00D842BE" w:rsidP="00D842BE">
      <w:pPr>
        <w:pBdr>
          <w:top w:val="single" w:sz="12" w:space="1" w:color="0070C0"/>
          <w:left w:val="single" w:sz="12" w:space="4" w:color="0070C0"/>
          <w:bottom w:val="single" w:sz="12" w:space="1" w:color="0070C0"/>
          <w:right w:val="single" w:sz="12" w:space="4" w:color="0070C0"/>
        </w:pBdr>
        <w:tabs>
          <w:tab w:val="left" w:pos="851"/>
        </w:tabs>
        <w:spacing w:before="0"/>
        <w:ind w:left="425" w:hanging="425"/>
        <w:rPr>
          <w:color w:val="5B9BD5" w:themeColor="accent1"/>
        </w:rPr>
      </w:pPr>
      <w:r>
        <w:rPr>
          <w:color w:val="5B9BD5" w:themeColor="accent1"/>
        </w:rPr>
        <w:t>j)</w:t>
      </w:r>
      <w:r>
        <w:rPr>
          <w:color w:val="5B9BD5" w:themeColor="accent1"/>
        </w:rPr>
        <w:tab/>
      </w:r>
      <w:r w:rsidR="003B71E2" w:rsidRPr="00D842BE">
        <w:rPr>
          <w:color w:val="5B9BD5" w:themeColor="accent1"/>
        </w:rPr>
        <w:t>všechny další registrace jako auditora provedené u příslušných orgánů ve třetích zemích včetně názvu registračního orgánu nebo orgánů a registračního čísla nebo čísel, pokud existují, a informaci, zda registrace zahrnuje oprávnění k ověřování srovnatelnému s povinným auditem nebo ověřováním zpráv o udržitelnosti.</w:t>
      </w:r>
    </w:p>
    <w:p w14:paraId="4C5A88AF" w14:textId="77777777" w:rsidR="003B71E2" w:rsidRPr="00B70231" w:rsidRDefault="003B71E2" w:rsidP="00793578">
      <w:pPr>
        <w:pStyle w:val="Paragraf"/>
        <w:numPr>
          <w:ilvl w:val="0"/>
          <w:numId w:val="0"/>
        </w:numPr>
        <w:spacing w:after="120"/>
      </w:pPr>
      <w:r>
        <w:t>§ 12a</w:t>
      </w:r>
    </w:p>
    <w:p w14:paraId="483A896D" w14:textId="524B7DC4" w:rsidR="003B71E2" w:rsidRPr="001F727B" w:rsidRDefault="003B71E2" w:rsidP="00793578">
      <w:pPr>
        <w:tabs>
          <w:tab w:val="left" w:pos="425"/>
          <w:tab w:val="left" w:pos="851"/>
        </w:tabs>
        <w:spacing w:after="120"/>
      </w:pPr>
      <w:r w:rsidRPr="001F727B">
        <w:t xml:space="preserve">Rejstřík obsahuje tyto údaje o auditorských společnostech: </w:t>
      </w:r>
    </w:p>
    <w:p w14:paraId="08B6EB00" w14:textId="13F11FA4" w:rsidR="003B71E2" w:rsidRPr="00D842BE" w:rsidRDefault="00D842BE" w:rsidP="00D842BE">
      <w:pPr>
        <w:tabs>
          <w:tab w:val="left" w:pos="851"/>
        </w:tabs>
        <w:spacing w:before="0"/>
        <w:ind w:left="425" w:hanging="425"/>
        <w:rPr>
          <w:color w:val="000000" w:themeColor="text1"/>
        </w:rPr>
      </w:pPr>
      <w:r>
        <w:rPr>
          <w:color w:val="000000" w:themeColor="text1"/>
        </w:rPr>
        <w:t>a)</w:t>
      </w:r>
      <w:r>
        <w:rPr>
          <w:color w:val="000000" w:themeColor="text1"/>
        </w:rPr>
        <w:tab/>
      </w:r>
      <w:r w:rsidR="003B71E2" w:rsidRPr="00D842BE">
        <w:rPr>
          <w:color w:val="000000" w:themeColor="text1"/>
        </w:rPr>
        <w:t xml:space="preserve">název, adresu sídla a identifikační číslo osoby, </w:t>
      </w:r>
    </w:p>
    <w:p w14:paraId="6C620EA7" w14:textId="334A70B0" w:rsidR="003B71E2" w:rsidRPr="00D842BE" w:rsidRDefault="00D842BE" w:rsidP="00D842BE">
      <w:pPr>
        <w:tabs>
          <w:tab w:val="left" w:pos="851"/>
        </w:tabs>
        <w:spacing w:before="0"/>
        <w:ind w:left="425" w:hanging="425"/>
        <w:rPr>
          <w:color w:val="000000" w:themeColor="text1"/>
        </w:rPr>
      </w:pPr>
      <w:r>
        <w:rPr>
          <w:color w:val="000000" w:themeColor="text1"/>
        </w:rPr>
        <w:t>b)</w:t>
      </w:r>
      <w:r>
        <w:rPr>
          <w:color w:val="000000" w:themeColor="text1"/>
        </w:rPr>
        <w:tab/>
      </w:r>
      <w:r w:rsidR="003B71E2" w:rsidRPr="00D842BE">
        <w:rPr>
          <w:color w:val="000000" w:themeColor="text1"/>
        </w:rPr>
        <w:t xml:space="preserve">údaje o členech řídicího orgánu </w:t>
      </w:r>
    </w:p>
    <w:p w14:paraId="08D90A97" w14:textId="64CEB9F1" w:rsidR="003B71E2" w:rsidRPr="00D842BE" w:rsidRDefault="00793578" w:rsidP="00D842BE">
      <w:pPr>
        <w:tabs>
          <w:tab w:val="left" w:pos="851"/>
        </w:tabs>
        <w:spacing w:before="0"/>
        <w:ind w:left="850" w:hanging="425"/>
        <w:rPr>
          <w:color w:val="000000" w:themeColor="text1"/>
        </w:rPr>
      </w:pPr>
      <w:r w:rsidRPr="00D842BE">
        <w:rPr>
          <w:color w:val="000000" w:themeColor="text1"/>
        </w:rPr>
        <w:t>1.</w:t>
      </w:r>
      <w:r w:rsidRPr="00D842BE">
        <w:rPr>
          <w:color w:val="000000" w:themeColor="text1"/>
        </w:rPr>
        <w:tab/>
      </w:r>
      <w:r w:rsidR="003B71E2" w:rsidRPr="00D842BE">
        <w:rPr>
          <w:color w:val="000000" w:themeColor="text1"/>
        </w:rPr>
        <w:t xml:space="preserve">u fyzických osob jméno, rodné číslo, nebylo-li rodné číslo přiděleno, datum narození, adresu bydliště, je-li podnikatelem, jméno podnikatele, adresu sídla a identifikační číslo osoby, </w:t>
      </w:r>
    </w:p>
    <w:p w14:paraId="09780851" w14:textId="0D933D12" w:rsidR="003B71E2" w:rsidRPr="00D842BE" w:rsidRDefault="00793578" w:rsidP="00D842BE">
      <w:pPr>
        <w:tabs>
          <w:tab w:val="left" w:pos="851"/>
        </w:tabs>
        <w:spacing w:before="0"/>
        <w:ind w:left="850" w:hanging="425"/>
        <w:rPr>
          <w:color w:val="000000" w:themeColor="text1"/>
        </w:rPr>
      </w:pPr>
      <w:r w:rsidRPr="00D842BE">
        <w:rPr>
          <w:color w:val="000000" w:themeColor="text1"/>
        </w:rPr>
        <w:t>2.</w:t>
      </w:r>
      <w:r w:rsidRPr="00D842BE">
        <w:rPr>
          <w:color w:val="000000" w:themeColor="text1"/>
        </w:rPr>
        <w:tab/>
      </w:r>
      <w:r w:rsidR="003B71E2" w:rsidRPr="00D842BE">
        <w:rPr>
          <w:color w:val="000000" w:themeColor="text1"/>
        </w:rPr>
        <w:t xml:space="preserve">u právnických osob název, adresu sídla a identifikační číslo osoby, bylo-li přiděleno, a jméno a adresu bydliště fyzické osoby, která ji při výkonu funkce zastupuje, </w:t>
      </w:r>
    </w:p>
    <w:p w14:paraId="5CE3CD83" w14:textId="045FC782" w:rsidR="003B71E2" w:rsidRPr="00D842BE" w:rsidRDefault="00D842BE" w:rsidP="00D842BE">
      <w:pPr>
        <w:tabs>
          <w:tab w:val="left" w:pos="851"/>
        </w:tabs>
        <w:spacing w:before="0"/>
        <w:ind w:left="425" w:hanging="425"/>
        <w:rPr>
          <w:color w:val="000000" w:themeColor="text1"/>
        </w:rPr>
      </w:pPr>
      <w:r>
        <w:rPr>
          <w:color w:val="000000" w:themeColor="text1"/>
        </w:rPr>
        <w:lastRenderedPageBreak/>
        <w:t>c)</w:t>
      </w:r>
      <w:r>
        <w:rPr>
          <w:color w:val="000000" w:themeColor="text1"/>
        </w:rPr>
        <w:tab/>
      </w:r>
      <w:r w:rsidR="003B71E2" w:rsidRPr="00D842BE">
        <w:rPr>
          <w:color w:val="000000" w:themeColor="text1"/>
        </w:rPr>
        <w:t xml:space="preserve">jméno a adresu bydliště nebo název nebo jméno podnikatele a adresu sídla všech společníků včetně rozsahu jejich hlasovacích práv, </w:t>
      </w:r>
    </w:p>
    <w:p w14:paraId="2A4FFC5F" w14:textId="378D3E1A" w:rsidR="003B71E2" w:rsidRPr="00D842BE" w:rsidRDefault="00D842BE" w:rsidP="00D842BE">
      <w:pPr>
        <w:tabs>
          <w:tab w:val="left" w:pos="851"/>
        </w:tabs>
        <w:spacing w:before="0"/>
        <w:ind w:left="425" w:hanging="425"/>
        <w:rPr>
          <w:color w:val="000000" w:themeColor="text1"/>
        </w:rPr>
      </w:pPr>
      <w:r>
        <w:rPr>
          <w:color w:val="000000" w:themeColor="text1"/>
        </w:rPr>
        <w:t>d)</w:t>
      </w:r>
      <w:r>
        <w:rPr>
          <w:color w:val="000000" w:themeColor="text1"/>
        </w:rPr>
        <w:tab/>
      </w:r>
      <w:r w:rsidR="003B71E2" w:rsidRPr="00D842BE">
        <w:rPr>
          <w:color w:val="000000" w:themeColor="text1"/>
        </w:rPr>
        <w:t xml:space="preserve">identifikátor datové schránky podle zákona upravujícího elektronické úkony, popřípadě kontaktní údaj a jméno kontaktní osoby, </w:t>
      </w:r>
    </w:p>
    <w:p w14:paraId="5991A3EC" w14:textId="1E9185AA" w:rsidR="003B71E2" w:rsidRPr="00D842BE" w:rsidRDefault="00D842BE" w:rsidP="00D842BE">
      <w:pPr>
        <w:tabs>
          <w:tab w:val="left" w:pos="851"/>
        </w:tabs>
        <w:spacing w:before="0"/>
        <w:ind w:left="425" w:hanging="425"/>
        <w:rPr>
          <w:color w:val="000000" w:themeColor="text1"/>
        </w:rPr>
      </w:pPr>
      <w:r>
        <w:rPr>
          <w:color w:val="000000" w:themeColor="text1"/>
        </w:rPr>
        <w:t>e)</w:t>
      </w:r>
      <w:r>
        <w:rPr>
          <w:color w:val="000000" w:themeColor="text1"/>
        </w:rPr>
        <w:tab/>
      </w:r>
      <w:r w:rsidR="003B71E2" w:rsidRPr="00D842BE">
        <w:rPr>
          <w:color w:val="000000" w:themeColor="text1"/>
        </w:rPr>
        <w:t xml:space="preserve">adresu místa provozovny, pokud je zřízena, </w:t>
      </w:r>
    </w:p>
    <w:p w14:paraId="434A85A7" w14:textId="11EB5C5D" w:rsidR="003B71E2" w:rsidRPr="00D842BE" w:rsidRDefault="00D842BE" w:rsidP="00D842BE">
      <w:pPr>
        <w:tabs>
          <w:tab w:val="left" w:pos="851"/>
        </w:tabs>
        <w:spacing w:before="0"/>
        <w:ind w:left="425" w:hanging="425"/>
        <w:rPr>
          <w:color w:val="000000" w:themeColor="text1"/>
        </w:rPr>
      </w:pPr>
      <w:r>
        <w:rPr>
          <w:color w:val="000000" w:themeColor="text1"/>
        </w:rPr>
        <w:t>f)</w:t>
      </w:r>
      <w:r>
        <w:rPr>
          <w:color w:val="000000" w:themeColor="text1"/>
        </w:rPr>
        <w:tab/>
      </w:r>
      <w:r w:rsidR="003B71E2" w:rsidRPr="00D842BE">
        <w:rPr>
          <w:color w:val="000000" w:themeColor="text1"/>
        </w:rPr>
        <w:t xml:space="preserve">adresu internetových stránek, má-li je zřízeny, </w:t>
      </w:r>
    </w:p>
    <w:p w14:paraId="1CF6273F" w14:textId="3820E252" w:rsidR="003B71E2" w:rsidRPr="00D842BE" w:rsidRDefault="00D842BE" w:rsidP="00D842BE">
      <w:pPr>
        <w:tabs>
          <w:tab w:val="left" w:pos="851"/>
        </w:tabs>
        <w:spacing w:before="0"/>
        <w:ind w:left="425" w:hanging="425"/>
        <w:rPr>
          <w:color w:val="000000" w:themeColor="text1"/>
        </w:rPr>
      </w:pPr>
      <w:r>
        <w:rPr>
          <w:color w:val="000000" w:themeColor="text1"/>
        </w:rPr>
        <w:t>g)</w:t>
      </w:r>
      <w:r>
        <w:rPr>
          <w:color w:val="000000" w:themeColor="text1"/>
        </w:rPr>
        <w:tab/>
      </w:r>
      <w:r w:rsidR="003B71E2" w:rsidRPr="00D842BE">
        <w:rPr>
          <w:color w:val="000000" w:themeColor="text1"/>
        </w:rPr>
        <w:t xml:space="preserve">den vzniku auditorského oprávnění, </w:t>
      </w:r>
    </w:p>
    <w:p w14:paraId="2A4C4B9E" w14:textId="6E27E226" w:rsidR="003B71E2" w:rsidRPr="00547160" w:rsidRDefault="00D842BE" w:rsidP="00D842BE">
      <w:pPr>
        <w:tabs>
          <w:tab w:val="left" w:pos="851"/>
        </w:tabs>
        <w:spacing w:before="0"/>
        <w:ind w:left="425" w:hanging="425"/>
      </w:pPr>
      <w:r>
        <w:t>h)</w:t>
      </w:r>
      <w:r>
        <w:tab/>
      </w:r>
      <w:r w:rsidR="003B71E2">
        <w:t xml:space="preserve">evidenční číslo, </w:t>
      </w:r>
    </w:p>
    <w:p w14:paraId="4BFDBAEC" w14:textId="43DE4B1A" w:rsidR="003B71E2" w:rsidRPr="00A72D31" w:rsidRDefault="00D842BE" w:rsidP="00D842BE">
      <w:pPr>
        <w:pBdr>
          <w:top w:val="single" w:sz="12" w:space="1" w:color="0070C0"/>
          <w:left w:val="single" w:sz="12" w:space="4" w:color="0070C0"/>
          <w:bottom w:val="single" w:sz="12" w:space="1" w:color="0070C0"/>
          <w:right w:val="single" w:sz="12" w:space="4" w:color="0070C0"/>
        </w:pBdr>
        <w:tabs>
          <w:tab w:val="left" w:pos="851"/>
        </w:tabs>
        <w:spacing w:before="0"/>
        <w:ind w:left="425" w:hanging="425"/>
      </w:pPr>
      <w:r>
        <w:t>i)</w:t>
      </w:r>
      <w:r>
        <w:tab/>
      </w:r>
      <w:r w:rsidR="003B71E2">
        <w:t xml:space="preserve">jméno a evidenční číslo statutárního auditora provádějícího </w:t>
      </w:r>
      <w:r w:rsidR="003B71E2" w:rsidRPr="002003EB">
        <w:rPr>
          <w:bCs/>
          <w:color w:val="5B9BD5" w:themeColor="accent1"/>
        </w:rPr>
        <w:t>auditorskou činnost</w:t>
      </w:r>
      <w:r w:rsidR="003B71E2" w:rsidRPr="002003EB">
        <w:rPr>
          <w:b/>
          <w:bCs/>
        </w:rPr>
        <w:t xml:space="preserve"> </w:t>
      </w:r>
      <w:r w:rsidR="003B71E2">
        <w:t>pro auditorskou společnost na základě pracovněprávního nebo jiného vztahu,</w:t>
      </w:r>
    </w:p>
    <w:p w14:paraId="5FF8D75C" w14:textId="37B8B401" w:rsidR="003B71E2" w:rsidRDefault="00D842BE" w:rsidP="00D842BE">
      <w:pPr>
        <w:tabs>
          <w:tab w:val="left" w:pos="851"/>
        </w:tabs>
        <w:spacing w:before="0"/>
        <w:ind w:left="425" w:hanging="425"/>
      </w:pPr>
      <w:r>
        <w:t>j)</w:t>
      </w:r>
      <w:r>
        <w:tab/>
      </w:r>
      <w:r w:rsidR="003B71E2">
        <w:t>případné členství v síti a seznam názvů a adres členských společností a propojených osob nebo udání místa, kde jsou takové informace veřejně dostupné,</w:t>
      </w:r>
    </w:p>
    <w:p w14:paraId="686AC647" w14:textId="79D26EAC" w:rsidR="003B71E2" w:rsidRPr="002003EB" w:rsidRDefault="005B6CD0" w:rsidP="005B6CD0">
      <w:pPr>
        <w:pBdr>
          <w:top w:val="single" w:sz="12" w:space="1" w:color="0070C0"/>
          <w:left w:val="single" w:sz="12" w:space="4" w:color="0070C0"/>
          <w:bottom w:val="single" w:sz="12" w:space="1" w:color="0070C0"/>
          <w:right w:val="single" w:sz="12" w:space="4" w:color="0070C0"/>
        </w:pBdr>
        <w:tabs>
          <w:tab w:val="left" w:pos="851"/>
        </w:tabs>
        <w:spacing w:before="0"/>
        <w:ind w:left="425" w:hanging="425"/>
        <w:rPr>
          <w:color w:val="5B9BD5" w:themeColor="accent1"/>
        </w:rPr>
      </w:pPr>
      <w:r>
        <w:rPr>
          <w:color w:val="5B9BD5" w:themeColor="accent1"/>
        </w:rPr>
        <w:t>k)</w:t>
      </w:r>
      <w:r>
        <w:rPr>
          <w:color w:val="5B9BD5" w:themeColor="accent1"/>
        </w:rPr>
        <w:tab/>
      </w:r>
      <w:r w:rsidR="003B71E2" w:rsidRPr="002003EB">
        <w:rPr>
          <w:color w:val="5B9BD5" w:themeColor="accent1"/>
        </w:rPr>
        <w:t>všechny další registrace jako auditorské společnosti provedené u příslušných orgánů jiných členských států včetně názvu registračního orgánu nebo orgánů a registračního čísla nebo čísel, pokud existují, a informaci, zda registrace zahrnuje oprávnění k ověřování zpráv o udržitelnosti,</w:t>
      </w:r>
    </w:p>
    <w:p w14:paraId="6345742C" w14:textId="36DC946A" w:rsidR="003B71E2" w:rsidRPr="000344A5" w:rsidRDefault="005B6CD0" w:rsidP="005B6CD0">
      <w:pPr>
        <w:pBdr>
          <w:top w:val="single" w:sz="12" w:space="1" w:color="0070C0"/>
          <w:left w:val="single" w:sz="12" w:space="4" w:color="0070C0"/>
          <w:bottom w:val="single" w:sz="12" w:space="1" w:color="0070C0"/>
          <w:right w:val="single" w:sz="12" w:space="4" w:color="0070C0"/>
        </w:pBdr>
        <w:tabs>
          <w:tab w:val="left" w:pos="851"/>
        </w:tabs>
        <w:spacing w:before="0"/>
        <w:ind w:left="425" w:hanging="425"/>
      </w:pPr>
      <w:r>
        <w:rPr>
          <w:color w:val="5B9BD5" w:themeColor="accent1"/>
        </w:rPr>
        <w:t>l)</w:t>
      </w:r>
      <w:r>
        <w:rPr>
          <w:color w:val="5B9BD5" w:themeColor="accent1"/>
        </w:rPr>
        <w:tab/>
      </w:r>
      <w:r w:rsidR="003B71E2" w:rsidRPr="002003EB">
        <w:rPr>
          <w:color w:val="5B9BD5" w:themeColor="accent1"/>
        </w:rPr>
        <w:t>všechny další registrace jako auditorského subjektu provedené u příslušných orgánů ve třetích zemích včetně názvu registračního orgánu nebo orgánů a registračního čísla nebo čísel, pokud existují, a informaci, zda registrace zahrnuje oprávnění k ověřování srovnatelnému s povinným auditem anebo ověřováním zpráv o udržitelnosti,</w:t>
      </w:r>
    </w:p>
    <w:p w14:paraId="7A86A8C7" w14:textId="57EB0742" w:rsidR="003B71E2" w:rsidRDefault="005B6CD0" w:rsidP="005B6CD0">
      <w:pPr>
        <w:tabs>
          <w:tab w:val="left" w:pos="851"/>
        </w:tabs>
        <w:spacing w:before="0"/>
        <w:ind w:left="425" w:hanging="425"/>
      </w:pPr>
      <w:r>
        <w:t>m)</w:t>
      </w:r>
      <w:r>
        <w:tab/>
      </w:r>
      <w:r w:rsidR="003B71E2">
        <w:t>přehled o uložených opatřeních, včetně druhu opatření, správních trestech uložených podle hlavy XI a zákona upravujícího některá opatření proti legalizaci výnosů z trestné činnosti a financování terorismu a důvodu jejich uložení, nestanoví-li tento zákon jinak.</w:t>
      </w:r>
    </w:p>
    <w:p w14:paraId="1B05D09B" w14:textId="77777777" w:rsidR="003B71E2" w:rsidRDefault="003B71E2" w:rsidP="00793578">
      <w:pPr>
        <w:pStyle w:val="paragraf0"/>
        <w:spacing w:after="120"/>
        <w:rPr>
          <w:noProof w:val="0"/>
        </w:rPr>
      </w:pPr>
      <w:r>
        <w:rPr>
          <w:noProof w:val="0"/>
        </w:rPr>
        <w:t>***</w:t>
      </w:r>
    </w:p>
    <w:p w14:paraId="49209CF4" w14:textId="77777777" w:rsidR="003B71E2" w:rsidRPr="000A4A3D" w:rsidRDefault="003B71E2" w:rsidP="005B6CD0">
      <w:pPr>
        <w:pStyle w:val="Nadpisparagrafu"/>
        <w:spacing w:after="120"/>
        <w:rPr>
          <w:b w:val="0"/>
          <w:strike/>
          <w:color w:val="5B9BD5" w:themeColor="accent1"/>
        </w:rPr>
      </w:pPr>
      <w:r w:rsidRPr="470ED69C">
        <w:rPr>
          <w:b w:val="0"/>
          <w:color w:val="5B9BD5" w:themeColor="accent1"/>
        </w:rPr>
        <w:t>§ 12d</w:t>
      </w:r>
    </w:p>
    <w:p w14:paraId="033223E5" w14:textId="6DB46E85" w:rsidR="003B71E2" w:rsidRPr="000A4A3D" w:rsidRDefault="003B71E2" w:rsidP="005B6CD0">
      <w:pPr>
        <w:pStyle w:val="PZTextodstavce"/>
        <w:numPr>
          <w:ilvl w:val="2"/>
          <w:numId w:val="28"/>
        </w:numPr>
        <w:pBdr>
          <w:top w:val="single" w:sz="12" w:space="1" w:color="0070C0"/>
          <w:left w:val="single" w:sz="12" w:space="4" w:color="0070C0"/>
          <w:bottom w:val="single" w:sz="12" w:space="1" w:color="0070C0"/>
          <w:right w:val="single" w:sz="12" w:space="4" w:color="0070C0"/>
        </w:pBdr>
        <w:spacing w:before="240"/>
        <w:rPr>
          <w:color w:val="5B9BD5" w:themeColor="accent1"/>
        </w:rPr>
      </w:pPr>
      <w:r w:rsidRPr="00877451">
        <w:rPr>
          <w:color w:val="5B9BD5" w:themeColor="accent1"/>
        </w:rPr>
        <w:t>V případě osoby registrované podle § 47 a 47a se do rejstříku zapisují informace podle § 12 a 12a, pokud jsou u této osoby v zahraničí evidovány, a informace, zda registrace zahrnuje oprávnění k ověřování srovnatelnému s ověřováním zpráv o udržitelnosti.</w:t>
      </w:r>
    </w:p>
    <w:p w14:paraId="3597C735" w14:textId="3E00E21F" w:rsidR="003B71E2" w:rsidRPr="00877451" w:rsidRDefault="003B71E2" w:rsidP="005B6CD0">
      <w:pPr>
        <w:pStyle w:val="PZTextodstavce"/>
        <w:numPr>
          <w:ilvl w:val="2"/>
          <w:numId w:val="28"/>
        </w:numPr>
        <w:pBdr>
          <w:top w:val="single" w:sz="12" w:space="1" w:color="0070C0"/>
          <w:left w:val="single" w:sz="12" w:space="4" w:color="0070C0"/>
          <w:bottom w:val="single" w:sz="12" w:space="1" w:color="0070C0"/>
          <w:right w:val="single" w:sz="12" w:space="4" w:color="0070C0"/>
        </w:pBdr>
        <w:spacing w:before="240"/>
        <w:rPr>
          <w:color w:val="5B9BD5" w:themeColor="accent1"/>
        </w:rPr>
      </w:pPr>
      <w:r w:rsidRPr="00877451">
        <w:rPr>
          <w:color w:val="5B9BD5" w:themeColor="accent1"/>
        </w:rPr>
        <w:t>Osoba uvedená v odstavci 1 se v rejstříku označí zřetelně jako auditor ze třetí země nebo auditorská osoba ze třetí země.</w:t>
      </w:r>
    </w:p>
    <w:p w14:paraId="1AC20CE2" w14:textId="77777777" w:rsidR="003B71E2" w:rsidRDefault="003B71E2" w:rsidP="002D495F">
      <w:pPr>
        <w:pStyle w:val="paragraf0"/>
        <w:spacing w:after="120"/>
        <w:rPr>
          <w:noProof w:val="0"/>
        </w:rPr>
      </w:pPr>
      <w:r>
        <w:rPr>
          <w:noProof w:val="0"/>
        </w:rPr>
        <w:t>***</w:t>
      </w:r>
    </w:p>
    <w:p w14:paraId="2174EF4E" w14:textId="77777777" w:rsidR="003B71E2" w:rsidRDefault="003B71E2" w:rsidP="002D495F">
      <w:pPr>
        <w:pStyle w:val="Paragraf"/>
        <w:numPr>
          <w:ilvl w:val="0"/>
          <w:numId w:val="0"/>
        </w:numPr>
        <w:spacing w:after="120"/>
      </w:pPr>
      <w:r>
        <w:t>§ 14</w:t>
      </w:r>
    </w:p>
    <w:p w14:paraId="1E0D3577" w14:textId="77777777" w:rsidR="003B71E2" w:rsidRDefault="003B71E2" w:rsidP="002D495F">
      <w:pPr>
        <w:pStyle w:val="Nadpisparagrafu"/>
        <w:keepNext w:val="0"/>
        <w:keepLines w:val="0"/>
        <w:widowControl w:val="0"/>
        <w:tabs>
          <w:tab w:val="left" w:pos="425"/>
          <w:tab w:val="left" w:pos="851"/>
        </w:tabs>
        <w:spacing w:after="120"/>
        <w:rPr>
          <w:szCs w:val="24"/>
        </w:rPr>
      </w:pPr>
      <w:r>
        <w:rPr>
          <w:szCs w:val="24"/>
        </w:rPr>
        <w:t>Nezávislost</w:t>
      </w:r>
    </w:p>
    <w:p w14:paraId="7BC8DD8F" w14:textId="469D884B" w:rsidR="003B71E2" w:rsidRPr="00992729" w:rsidRDefault="002D495F" w:rsidP="002D495F">
      <w:pPr>
        <w:pStyle w:val="PZTextodstavce"/>
        <w:spacing w:before="240"/>
      </w:pPr>
      <w:r>
        <w:t xml:space="preserve">(1) </w:t>
      </w:r>
      <w:r w:rsidR="003B71E2" w:rsidRPr="00992729">
        <w:t xml:space="preserve">Auditor musí být nezávislý na účetní jednotce, u které provádí auditorskou činnost. Provádí-li auditor u účetní jednotky povinný audit nebo ověřování zprávy o udržitelnosti, musí být nezávislý nejméně po dobu odpovídající účetnímu období, za které se účetní závěrka </w:t>
      </w:r>
      <w:r w:rsidR="003B71E2" w:rsidRPr="00665E85">
        <w:rPr>
          <w:strike/>
        </w:rPr>
        <w:t>nebo konsolidovaná účetní závěrka</w:t>
      </w:r>
      <w:r w:rsidR="003B71E2" w:rsidRPr="00992729">
        <w:t xml:space="preserve"> nebo zpráva o udržitelnosti sestavuje, a dále do vydání zprávy auditora.</w:t>
      </w:r>
    </w:p>
    <w:p w14:paraId="63E8B427" w14:textId="79129950" w:rsidR="003B71E2" w:rsidRPr="00992729" w:rsidRDefault="002D495F" w:rsidP="002D495F">
      <w:pPr>
        <w:pStyle w:val="PZTextodstavce"/>
        <w:spacing w:before="240"/>
      </w:pPr>
      <w:r>
        <w:t xml:space="preserve">(2) </w:t>
      </w:r>
      <w:r w:rsidR="003B71E2" w:rsidRPr="00992729">
        <w:t>Má se za to, že auditora nelze považovat za nezávislého na účetní jednotce, pokud</w:t>
      </w:r>
    </w:p>
    <w:p w14:paraId="71542A16" w14:textId="57A52190" w:rsidR="003B71E2" w:rsidRPr="00992729" w:rsidRDefault="005B6CD0" w:rsidP="005B6CD0">
      <w:pPr>
        <w:tabs>
          <w:tab w:val="left" w:pos="851"/>
        </w:tabs>
        <w:spacing w:before="0"/>
        <w:ind w:left="425" w:hanging="425"/>
      </w:pPr>
      <w:r>
        <w:lastRenderedPageBreak/>
        <w:t>a)</w:t>
      </w:r>
      <w:r>
        <w:tab/>
      </w:r>
      <w:r w:rsidR="003B71E2" w:rsidRPr="00992729">
        <w:t xml:space="preserve">existuje jakýkoliv finanční nebo obchodní vztah, nebo jiný smluvní vztah, včetně poskytování </w:t>
      </w:r>
      <w:proofErr w:type="spellStart"/>
      <w:r w:rsidR="003B71E2" w:rsidRPr="00992729">
        <w:t>neauditorských</w:t>
      </w:r>
      <w:proofErr w:type="spellEnd"/>
      <w:r w:rsidR="003B71E2" w:rsidRPr="00992729">
        <w:t xml:space="preserve"> služeb, mezi ním nebo osobami tvořícími s ním síť a účetní jednotkou,</w:t>
      </w:r>
    </w:p>
    <w:p w14:paraId="44DF79BD" w14:textId="6FBAEA60" w:rsidR="003B71E2" w:rsidRPr="00992729" w:rsidRDefault="005B6CD0" w:rsidP="005B6CD0">
      <w:pPr>
        <w:tabs>
          <w:tab w:val="left" w:pos="851"/>
        </w:tabs>
        <w:spacing w:before="0"/>
        <w:ind w:left="425" w:hanging="425"/>
      </w:pPr>
      <w:r>
        <w:t>b)</w:t>
      </w:r>
      <w:r>
        <w:tab/>
      </w:r>
      <w:r w:rsidR="003B71E2" w:rsidRPr="00992729">
        <w:t>by při provádění povinného auditu nebo ověření zprávy o udržitelnosti u účetní jednotky docházelo ke kontrole vlastních služeb, nebo</w:t>
      </w:r>
    </w:p>
    <w:p w14:paraId="4C4E294B" w14:textId="5DD02E2B" w:rsidR="003B71E2" w:rsidRPr="00992729" w:rsidRDefault="005B6CD0" w:rsidP="005B6CD0">
      <w:pPr>
        <w:tabs>
          <w:tab w:val="left" w:pos="851"/>
        </w:tabs>
        <w:spacing w:before="0"/>
        <w:ind w:left="425" w:hanging="425"/>
      </w:pPr>
      <w:r>
        <w:t>c)</w:t>
      </w:r>
      <w:r>
        <w:tab/>
      </w:r>
      <w:r w:rsidR="003B71E2" w:rsidRPr="00992729">
        <w:t>by při provádění povinného auditu nebo ověření zprávy o udržitelnosti u účetní jednotky existoval vlastní zájem na výsledku povinného auditu nebo ověření zprávy o udržitelnosti.</w:t>
      </w:r>
    </w:p>
    <w:p w14:paraId="6D92EFB8" w14:textId="54525308" w:rsidR="003B71E2" w:rsidRPr="00992729" w:rsidRDefault="002D495F" w:rsidP="005B6CD0">
      <w:pPr>
        <w:pStyle w:val="PZTextodstavce"/>
        <w:tabs>
          <w:tab w:val="clear" w:pos="782"/>
        </w:tabs>
      </w:pPr>
      <w:r>
        <w:t xml:space="preserve">(3) </w:t>
      </w:r>
      <w:r w:rsidR="003B71E2" w:rsidRPr="00992729">
        <w:t>Auditora lze považovat za nezávislého v případě, že skutečnosti uvedené v odstavci 2 nevyvolávají střet zájmů nebo neohrožují dodržování požadavků stanovených tímto zákonem nebo přímo použitelným předpisem Evropské unie upravujícím specifické požadavky na povinný audit subjektů veřejného zájmu.</w:t>
      </w:r>
    </w:p>
    <w:p w14:paraId="39035F01" w14:textId="60DCDA50" w:rsidR="003B71E2" w:rsidRPr="00992729" w:rsidRDefault="002D495F" w:rsidP="005B6CD0">
      <w:pPr>
        <w:pStyle w:val="PZTextodstavce"/>
        <w:tabs>
          <w:tab w:val="clear" w:pos="782"/>
        </w:tabs>
      </w:pPr>
      <w:r>
        <w:t xml:space="preserve">(4) </w:t>
      </w:r>
      <w:r w:rsidR="003B71E2" w:rsidRPr="00992729">
        <w:t>Auditor nesmí u účetní jednotky provést povinný audit nebo ověření zprávy o udržitelnosti, pokud</w:t>
      </w:r>
    </w:p>
    <w:p w14:paraId="51607843" w14:textId="2264CE63" w:rsidR="003B71E2" w:rsidRPr="00992729" w:rsidRDefault="005B6CD0" w:rsidP="005B6CD0">
      <w:pPr>
        <w:tabs>
          <w:tab w:val="left" w:pos="851"/>
        </w:tabs>
        <w:spacing w:before="0"/>
        <w:ind w:left="425" w:hanging="425"/>
      </w:pPr>
      <w:r>
        <w:t>a)</w:t>
      </w:r>
      <w:r>
        <w:tab/>
      </w:r>
      <w:r w:rsidR="003B71E2" w:rsidRPr="00992729">
        <w:t>má vliv na řízení účetní jednotky,</w:t>
      </w:r>
    </w:p>
    <w:p w14:paraId="7CF28671" w14:textId="46AFBD61" w:rsidR="003B71E2" w:rsidRPr="00992729" w:rsidRDefault="005B6CD0" w:rsidP="005B6CD0">
      <w:pPr>
        <w:tabs>
          <w:tab w:val="left" w:pos="851"/>
        </w:tabs>
        <w:spacing w:before="0"/>
        <w:ind w:left="425" w:hanging="425"/>
      </w:pPr>
      <w:r>
        <w:t>b)</w:t>
      </w:r>
      <w:r>
        <w:tab/>
      </w:r>
      <w:r w:rsidR="003B71E2" w:rsidRPr="00992729">
        <w:t>získává nebo má příslib získat od auditované účetní jednotky jakýkoliv jiný prospěch vyjma svých odměn za služby poskytnuté účetní jednotce, nebo</w:t>
      </w:r>
    </w:p>
    <w:p w14:paraId="7F1C90A9" w14:textId="249BD26F" w:rsidR="003B71E2" w:rsidRPr="00992729" w:rsidRDefault="005B6CD0" w:rsidP="005B6CD0">
      <w:pPr>
        <w:tabs>
          <w:tab w:val="left" w:pos="851"/>
        </w:tabs>
        <w:spacing w:before="0"/>
        <w:ind w:left="425" w:hanging="425"/>
      </w:pPr>
      <w:r>
        <w:t>c)</w:t>
      </w:r>
      <w:r>
        <w:tab/>
      </w:r>
      <w:r w:rsidR="003B71E2" w:rsidRPr="00992729">
        <w:t>drží investiční nástroje vydané, zajištěné nebo utvrzené účetní jednotkou, s výjimkou cenných papírů kolektivního investování vlastněných nepřímo prostřednictvím investičních fondů, podílových fondů nebo fondů obhospodařovaných penzijní společností, nebo má významný a přímý podíl na prospěchu z těchto investičních nástrojů nebo se účastní transakce s nimi.</w:t>
      </w:r>
    </w:p>
    <w:p w14:paraId="05E6AE17" w14:textId="0170D165" w:rsidR="003B71E2" w:rsidRPr="00992729" w:rsidRDefault="002D495F" w:rsidP="002D495F">
      <w:pPr>
        <w:pStyle w:val="PZTextodstavce"/>
        <w:tabs>
          <w:tab w:val="clear" w:pos="782"/>
        </w:tabs>
        <w:spacing w:before="240"/>
      </w:pPr>
      <w:r>
        <w:t xml:space="preserve">(5) </w:t>
      </w:r>
      <w:r w:rsidR="003B71E2" w:rsidRPr="00992729">
        <w:t>Auditor též nesmí u účetní jednotky provést povinný audit nebo ověření zprávy o udržitelnosti, pokud podmínky podle odstavce 4 naplňuje</w:t>
      </w:r>
    </w:p>
    <w:p w14:paraId="7DB16438" w14:textId="31DF6533" w:rsidR="003B71E2" w:rsidRPr="00992729" w:rsidRDefault="005B6CD0" w:rsidP="005B6CD0">
      <w:pPr>
        <w:tabs>
          <w:tab w:val="left" w:pos="851"/>
        </w:tabs>
        <w:spacing w:before="0"/>
        <w:ind w:left="425" w:hanging="425"/>
      </w:pPr>
      <w:r>
        <w:t>a)</w:t>
      </w:r>
      <w:r>
        <w:tab/>
      </w:r>
      <w:r w:rsidR="003B71E2" w:rsidRPr="00992729">
        <w:t>statutární auditor provádějící povinný audit nebo ověření zprávy o udržitelnosti jeho jménem,</w:t>
      </w:r>
    </w:p>
    <w:p w14:paraId="195EBD92" w14:textId="1652D127" w:rsidR="003B71E2" w:rsidRPr="00992729" w:rsidRDefault="005B6CD0" w:rsidP="005B6CD0">
      <w:pPr>
        <w:tabs>
          <w:tab w:val="left" w:pos="851"/>
        </w:tabs>
        <w:spacing w:before="0"/>
        <w:ind w:left="425" w:hanging="425"/>
      </w:pPr>
      <w:r>
        <w:t>b)</w:t>
      </w:r>
      <w:r>
        <w:tab/>
      </w:r>
      <w:r w:rsidR="003B71E2" w:rsidRPr="00992729">
        <w:t>jeho klíčový auditorský partner,</w:t>
      </w:r>
    </w:p>
    <w:p w14:paraId="629B3C04" w14:textId="7FB27DCD" w:rsidR="003B71E2" w:rsidRPr="00992729" w:rsidRDefault="005B6CD0" w:rsidP="005B6CD0">
      <w:pPr>
        <w:tabs>
          <w:tab w:val="left" w:pos="851"/>
        </w:tabs>
        <w:spacing w:before="0"/>
        <w:ind w:left="425" w:hanging="425"/>
      </w:pPr>
      <w:r>
        <w:t>c)</w:t>
      </w:r>
      <w:r>
        <w:tab/>
      </w:r>
      <w:r w:rsidR="003B71E2" w:rsidRPr="00992729">
        <w:t>zaměstnanec, zástupce auditora nebo ten, jehož služby auditor využívá, a kteří se přímo podílejí na činnostech souvisejících s povinným auditem nebo ověřením zprávy o udržitelnosti této účetní jednotky,</w:t>
      </w:r>
    </w:p>
    <w:p w14:paraId="785A4535" w14:textId="09BBADE8" w:rsidR="003B71E2" w:rsidRPr="00992729" w:rsidRDefault="005B6CD0" w:rsidP="005B6CD0">
      <w:pPr>
        <w:tabs>
          <w:tab w:val="left" w:pos="851"/>
        </w:tabs>
        <w:spacing w:before="0"/>
        <w:ind w:left="425" w:hanging="425"/>
      </w:pPr>
      <w:r>
        <w:t>d)</w:t>
      </w:r>
      <w:r>
        <w:tab/>
      </w:r>
      <w:r w:rsidR="003B71E2" w:rsidRPr="00992729">
        <w:t>manžel nebo partner podle zákona upravujícího registrované partnerství, nezaopatřené dítě podle zákona upravujícího poskytování státní sociální podpory nebo příbuzný v řadě přímé a sourozenec, kteří žijí ve společné domácnosti po dobu nejméně jednoho roku se statutárním auditorem vykonávajícím auditorskou činnost vlastním jménem a na vlastní účet nebo osobou uvedenou v písmenech a) až c),</w:t>
      </w:r>
    </w:p>
    <w:p w14:paraId="3A1E07B4" w14:textId="2BEB3E41" w:rsidR="003B71E2" w:rsidRPr="00992729" w:rsidRDefault="005B6CD0" w:rsidP="005B6CD0">
      <w:pPr>
        <w:tabs>
          <w:tab w:val="left" w:pos="851"/>
        </w:tabs>
        <w:spacing w:before="0"/>
        <w:ind w:left="425" w:hanging="425"/>
      </w:pPr>
      <w:r>
        <w:t>e)</w:t>
      </w:r>
      <w:r>
        <w:tab/>
      </w:r>
      <w:r w:rsidR="003B71E2" w:rsidRPr="00992729">
        <w:t>osoba ovládaná auditorem, osoba ovládající auditora, které se přímo podílejí na činnostech souvisejících s povinným auditem nebo ověřením zprávy o udržitelnosti této účetní jednotky,</w:t>
      </w:r>
    </w:p>
    <w:p w14:paraId="2D1A4B33" w14:textId="4C1B6F3B" w:rsidR="003B71E2" w:rsidRPr="00992729" w:rsidRDefault="005B6CD0" w:rsidP="005B6CD0">
      <w:pPr>
        <w:tabs>
          <w:tab w:val="left" w:pos="851"/>
        </w:tabs>
        <w:spacing w:before="0"/>
        <w:ind w:left="425" w:hanging="425"/>
      </w:pPr>
      <w:r>
        <w:t>f)</w:t>
      </w:r>
      <w:r>
        <w:tab/>
      </w:r>
      <w:r w:rsidR="003B71E2" w:rsidRPr="00992729">
        <w:t>právnická osoba, která je ovládána osobami uvedenými v písmenech a) až d),</w:t>
      </w:r>
    </w:p>
    <w:p w14:paraId="64C3AFF4" w14:textId="7A23D830" w:rsidR="003B71E2" w:rsidRPr="00992729" w:rsidRDefault="005B6CD0" w:rsidP="005B6CD0">
      <w:pPr>
        <w:tabs>
          <w:tab w:val="left" w:pos="851"/>
        </w:tabs>
        <w:spacing w:before="0"/>
        <w:ind w:left="425" w:hanging="425"/>
      </w:pPr>
      <w:r>
        <w:t>g)</w:t>
      </w:r>
      <w:r>
        <w:tab/>
      </w:r>
      <w:proofErr w:type="spellStart"/>
      <w:r w:rsidR="003B71E2" w:rsidRPr="00992729">
        <w:t>svěřenský</w:t>
      </w:r>
      <w:proofErr w:type="spellEnd"/>
      <w:r w:rsidR="003B71E2" w:rsidRPr="00992729">
        <w:t xml:space="preserve"> fond, jiné právní uspořádání bez právní osobnosti nebo jiný obdobný vztah podle zahraničního práva, který byl vytvořen ve prospěch auditora nebo osoby uvedené v písmenech a) až d), nebo</w:t>
      </w:r>
    </w:p>
    <w:p w14:paraId="424207F8" w14:textId="10F1A941" w:rsidR="003B71E2" w:rsidRPr="00992729" w:rsidRDefault="005B6CD0" w:rsidP="005B6CD0">
      <w:pPr>
        <w:tabs>
          <w:tab w:val="left" w:pos="851"/>
        </w:tabs>
        <w:spacing w:before="0"/>
        <w:ind w:left="425" w:hanging="425"/>
      </w:pPr>
      <w:r>
        <w:t>h)</w:t>
      </w:r>
      <w:r>
        <w:tab/>
      </w:r>
      <w:r w:rsidR="003B71E2" w:rsidRPr="00992729">
        <w:t>osoba, jejíž ekonomické zájmy jsou podstatnou měrou shodné s ekonomickými zájmy auditora nebo osob uvedených v písmenu a), b) nebo d).</w:t>
      </w:r>
    </w:p>
    <w:p w14:paraId="7A38973F" w14:textId="504A6D38" w:rsidR="003B71E2" w:rsidRPr="00992729" w:rsidRDefault="002D495F" w:rsidP="005B6CD0">
      <w:pPr>
        <w:pStyle w:val="PZTextodstavce"/>
        <w:tabs>
          <w:tab w:val="clear" w:pos="782"/>
        </w:tabs>
      </w:pPr>
      <w:r>
        <w:t xml:space="preserve">(6) </w:t>
      </w:r>
      <w:r w:rsidR="003B71E2" w:rsidRPr="00992729">
        <w:t>Odstavce 1 až 4 se obdobně použijí i na osobu, která by mohla ovlivnit výsledek povinného auditu nebo ověření zprávy o udržitelnosti.</w:t>
      </w:r>
    </w:p>
    <w:p w14:paraId="680F4A24" w14:textId="77C926AF" w:rsidR="003B71E2" w:rsidRPr="00992729" w:rsidRDefault="002D495F" w:rsidP="005B6CD0">
      <w:pPr>
        <w:pStyle w:val="PZTextodstavce"/>
        <w:tabs>
          <w:tab w:val="clear" w:pos="782"/>
        </w:tabs>
      </w:pPr>
      <w:r>
        <w:lastRenderedPageBreak/>
        <w:t xml:space="preserve">(7) </w:t>
      </w:r>
      <w:r w:rsidR="003B71E2" w:rsidRPr="00992729">
        <w:t xml:space="preserve">V případě, že v účetním období, za které se účetní závěrka </w:t>
      </w:r>
      <w:r w:rsidR="003B71E2" w:rsidRPr="00665E85">
        <w:rPr>
          <w:strike/>
        </w:rPr>
        <w:t xml:space="preserve">nebo konsolidovaná účetní závěrka </w:t>
      </w:r>
      <w:r w:rsidR="003B71E2" w:rsidRPr="00992729">
        <w:t>sestavuje, dojde k přeměně právnické osoby, u které je prováděn povinný audit nebo ověření zprávy o udržitelnosti, auditor ve vztahu k osobám zúčastněným na přeměně posoudí schopnost pokračovat v provádění povinného auditu nebo ověření zprávy o udržitelnosti účetní jednotky i po rozhodném dni přeměny, a to s ohledem na podmínky nezávislosti uvedené v odstavcích 2 až 5. Pokud auditor zjistí naplnění některé z podmínek uvedených v odstavci 2, 4 nebo 5, přijme bez zbytečného odkladu, avšak nejpozději do 3 měsíců, nezbytná opatření.</w:t>
      </w:r>
    </w:p>
    <w:p w14:paraId="5A0964A5" w14:textId="18D8F9C2" w:rsidR="003B71E2" w:rsidRPr="00992729" w:rsidRDefault="002D495F" w:rsidP="005B6CD0">
      <w:pPr>
        <w:pStyle w:val="PZTextodstavce"/>
        <w:tabs>
          <w:tab w:val="clear" w:pos="782"/>
        </w:tabs>
      </w:pPr>
      <w:r>
        <w:t xml:space="preserve">(8) </w:t>
      </w:r>
      <w:r w:rsidR="003B71E2" w:rsidRPr="00992729">
        <w:t>Odstavec 7 se použije obdobně v případě přeměny jiných účetních jednotek nebo v případě převzetí podílu v právnické osobě, u které je prováděn povinný audit nebo pokud tato právnická osoba převezme podíl v jiné právnické osobě.</w:t>
      </w:r>
    </w:p>
    <w:p w14:paraId="3566F4AB" w14:textId="77777777" w:rsidR="003B71E2" w:rsidRDefault="003B71E2" w:rsidP="002D495F">
      <w:pPr>
        <w:pStyle w:val="paragraf0"/>
        <w:spacing w:after="120"/>
        <w:rPr>
          <w:noProof w:val="0"/>
        </w:rPr>
      </w:pPr>
      <w:r>
        <w:rPr>
          <w:noProof w:val="0"/>
        </w:rPr>
        <w:t>***</w:t>
      </w:r>
    </w:p>
    <w:p w14:paraId="49C51F15" w14:textId="77777777" w:rsidR="003B71E2" w:rsidRDefault="003B71E2" w:rsidP="002D495F">
      <w:pPr>
        <w:pStyle w:val="Paragraf"/>
        <w:numPr>
          <w:ilvl w:val="0"/>
          <w:numId w:val="0"/>
        </w:numPr>
        <w:spacing w:after="120"/>
        <w:rPr>
          <w:b/>
          <w:bCs/>
        </w:rPr>
      </w:pPr>
      <w:r w:rsidRPr="5B192AB5">
        <w:rPr>
          <w:b/>
          <w:bCs/>
        </w:rPr>
        <w:t>§ 14ha</w:t>
      </w:r>
    </w:p>
    <w:p w14:paraId="2A46561A" w14:textId="0E6CA9CF" w:rsidR="003B71E2" w:rsidRDefault="003B71E2" w:rsidP="002D495F">
      <w:pPr>
        <w:pStyle w:val="Nadpisparagrafu"/>
        <w:spacing w:after="120"/>
      </w:pPr>
      <w:r>
        <w:t>Spis auditora</w:t>
      </w:r>
    </w:p>
    <w:p w14:paraId="6761E561" w14:textId="5CE97176" w:rsidR="003B71E2" w:rsidRPr="002D495F" w:rsidRDefault="002D495F" w:rsidP="005B6CD0">
      <w:pPr>
        <w:pStyle w:val="PZTextodstavce"/>
        <w:rPr>
          <w:b/>
        </w:rPr>
      </w:pPr>
      <w:r>
        <w:rPr>
          <w:b/>
          <w:bCs/>
        </w:rPr>
        <w:t xml:space="preserve">(1) </w:t>
      </w:r>
      <w:r w:rsidR="003B71E2" w:rsidRPr="002D495F">
        <w:rPr>
          <w:b/>
          <w:bCs/>
        </w:rPr>
        <w:t>O průběhu auditorské činnosti vede auditor spis, který obsahuje informace podle auditorských standardů a dále záznamy a dokumenty podle § 14a odst. 5, § 14b odst. 2, § 19 odst. 2, § 20, § 20a</w:t>
      </w:r>
      <w:r w:rsidR="003B71E2" w:rsidRPr="002D495F">
        <w:rPr>
          <w:b/>
        </w:rPr>
        <w:t>, § 20ab</w:t>
      </w:r>
      <w:r w:rsidR="003B71E2" w:rsidRPr="002D495F">
        <w:rPr>
          <w:b/>
          <w:bCs/>
        </w:rPr>
        <w:t>, § 45 odst. 2 a čl. 6, 8, 10, 11 a 12 nařízení Evropského parlamentu a Rady (EU) č. 537/2014.</w:t>
      </w:r>
    </w:p>
    <w:p w14:paraId="31A9B473" w14:textId="7113099A" w:rsidR="003B71E2" w:rsidRPr="002D495F" w:rsidRDefault="002D495F" w:rsidP="005B6CD0">
      <w:pPr>
        <w:pStyle w:val="PZTextodstavce"/>
        <w:rPr>
          <w:b/>
          <w:bCs/>
        </w:rPr>
      </w:pPr>
      <w:r>
        <w:rPr>
          <w:b/>
          <w:bCs/>
        </w:rPr>
        <w:t xml:space="preserve">(2) </w:t>
      </w:r>
      <w:r w:rsidR="003B71E2" w:rsidRPr="002D495F">
        <w:rPr>
          <w:b/>
          <w:bCs/>
        </w:rPr>
        <w:t>Auditorská společnost nebo statutární auditor vykonávající auditorskou činnost vlastním jménem a na vlastní účet uchovává spis nejméně po dobu 10 let ode dne vyhotovení zprávy auditora.</w:t>
      </w:r>
    </w:p>
    <w:p w14:paraId="567C5D11" w14:textId="22AD10D8" w:rsidR="003B71E2" w:rsidRPr="002D495F" w:rsidRDefault="002D495F" w:rsidP="005B6CD0">
      <w:pPr>
        <w:pStyle w:val="PZTextodstavce"/>
        <w:rPr>
          <w:b/>
          <w:bCs/>
        </w:rPr>
      </w:pPr>
      <w:r>
        <w:rPr>
          <w:b/>
          <w:bCs/>
        </w:rPr>
        <w:t xml:space="preserve">(3) </w:t>
      </w:r>
      <w:r w:rsidR="003B71E2" w:rsidRPr="002D495F">
        <w:rPr>
          <w:b/>
          <w:bCs/>
        </w:rPr>
        <w:t>Spis auditora musí být uzavřen nejpozději do 60 dní ode dne následujícího po dni data vyhotovení zprávy auditora.</w:t>
      </w:r>
    </w:p>
    <w:p w14:paraId="0245AE70" w14:textId="56D7EECC" w:rsidR="003B71E2" w:rsidRDefault="003B71E2" w:rsidP="005B6CD0">
      <w:pPr>
        <w:pStyle w:val="PZTextodstavce"/>
        <w:rPr>
          <w:b/>
        </w:rPr>
      </w:pPr>
      <w:r w:rsidRPr="72EA0736">
        <w:rPr>
          <w:b/>
        </w:rPr>
        <w:t>(4) Právo nahlížet do spisu mají</w:t>
      </w:r>
    </w:p>
    <w:p w14:paraId="4641A31A" w14:textId="28A8544A" w:rsidR="003B71E2" w:rsidRPr="005B6CD0" w:rsidRDefault="005B6CD0" w:rsidP="005B6CD0">
      <w:pPr>
        <w:tabs>
          <w:tab w:val="left" w:pos="851"/>
        </w:tabs>
        <w:spacing w:before="0"/>
        <w:ind w:left="425" w:hanging="425"/>
        <w:rPr>
          <w:b/>
        </w:rPr>
      </w:pPr>
      <w:r>
        <w:rPr>
          <w:b/>
        </w:rPr>
        <w:t>a)</w:t>
      </w:r>
      <w:r>
        <w:rPr>
          <w:b/>
        </w:rPr>
        <w:tab/>
      </w:r>
      <w:r w:rsidR="003B71E2" w:rsidRPr="005B6CD0">
        <w:rPr>
          <w:b/>
        </w:rPr>
        <w:t>auditor skupiny podle § 19,</w:t>
      </w:r>
    </w:p>
    <w:p w14:paraId="5F1B00ED" w14:textId="3F7C8AA0" w:rsidR="003B71E2" w:rsidRPr="005B6CD0" w:rsidRDefault="005B6CD0" w:rsidP="005B6CD0">
      <w:pPr>
        <w:tabs>
          <w:tab w:val="left" w:pos="851"/>
        </w:tabs>
        <w:spacing w:before="0"/>
        <w:ind w:left="425" w:hanging="425"/>
        <w:rPr>
          <w:b/>
        </w:rPr>
      </w:pPr>
      <w:r>
        <w:rPr>
          <w:b/>
        </w:rPr>
        <w:t>b)</w:t>
      </w:r>
      <w:r>
        <w:rPr>
          <w:b/>
        </w:rPr>
        <w:tab/>
      </w:r>
      <w:r w:rsidR="003B71E2" w:rsidRPr="005B6CD0">
        <w:rPr>
          <w:b/>
        </w:rPr>
        <w:t>výkonný výbor a prezident Komory pro účely výkonu činností uložených tímto zákonem,</w:t>
      </w:r>
    </w:p>
    <w:p w14:paraId="29FF64D5" w14:textId="71F38344" w:rsidR="003B71E2" w:rsidRPr="005B6CD0" w:rsidRDefault="005B6CD0" w:rsidP="005B6CD0">
      <w:pPr>
        <w:tabs>
          <w:tab w:val="left" w:pos="851"/>
        </w:tabs>
        <w:spacing w:before="0"/>
        <w:ind w:left="425" w:hanging="425"/>
        <w:rPr>
          <w:b/>
        </w:rPr>
      </w:pPr>
      <w:r>
        <w:rPr>
          <w:b/>
        </w:rPr>
        <w:t>c)</w:t>
      </w:r>
      <w:r>
        <w:rPr>
          <w:b/>
        </w:rPr>
        <w:tab/>
      </w:r>
      <w:r w:rsidR="003B71E2" w:rsidRPr="005B6CD0">
        <w:rPr>
          <w:b/>
        </w:rPr>
        <w:t>kárná komise Komory pro účely řízení podle § 26,</w:t>
      </w:r>
    </w:p>
    <w:p w14:paraId="45CC05F6" w14:textId="1EFD6B1D" w:rsidR="003B71E2" w:rsidRPr="005B6CD0" w:rsidRDefault="005B6CD0" w:rsidP="005B6CD0">
      <w:pPr>
        <w:tabs>
          <w:tab w:val="left" w:pos="851"/>
        </w:tabs>
        <w:spacing w:before="0"/>
        <w:ind w:left="425" w:hanging="425"/>
        <w:rPr>
          <w:b/>
        </w:rPr>
      </w:pPr>
      <w:r>
        <w:rPr>
          <w:b/>
        </w:rPr>
        <w:t>d)</w:t>
      </w:r>
      <w:r>
        <w:rPr>
          <w:b/>
        </w:rPr>
        <w:tab/>
      </w:r>
      <w:r w:rsidR="003B71E2" w:rsidRPr="005B6CD0">
        <w:rPr>
          <w:b/>
        </w:rPr>
        <w:t>dozorčí komise a kontroloři kvality pro účely kontroly kvality,</w:t>
      </w:r>
    </w:p>
    <w:p w14:paraId="3F0D8C41" w14:textId="52C88A74" w:rsidR="003B71E2" w:rsidRPr="005B6CD0" w:rsidRDefault="005B6CD0" w:rsidP="005B6CD0">
      <w:pPr>
        <w:tabs>
          <w:tab w:val="left" w:pos="851"/>
        </w:tabs>
        <w:spacing w:before="0"/>
        <w:ind w:left="425" w:hanging="425"/>
        <w:rPr>
          <w:b/>
        </w:rPr>
      </w:pPr>
      <w:r>
        <w:rPr>
          <w:b/>
        </w:rPr>
        <w:t>e)</w:t>
      </w:r>
      <w:r>
        <w:rPr>
          <w:b/>
        </w:rPr>
        <w:tab/>
      </w:r>
      <w:r w:rsidR="003B71E2" w:rsidRPr="005B6CD0">
        <w:rPr>
          <w:b/>
        </w:rPr>
        <w:t>členové Prezidia a jimi pověřené osoby pro účely výkonu působnosti Rady podle tohoto zákona a přímo použitelného předpisu Evropské unie upravujícího specifické požadavky na povinný audit subjektů veřejného zájmu nebo pro řešení krize podle zákona upravujícího ozdravné postupy a řešení krize na finančním trhu,</w:t>
      </w:r>
    </w:p>
    <w:p w14:paraId="05CA63F2" w14:textId="177D65F5" w:rsidR="003B71E2" w:rsidRPr="005B6CD0" w:rsidRDefault="005B6CD0" w:rsidP="005B6CD0">
      <w:pPr>
        <w:tabs>
          <w:tab w:val="left" w:pos="851"/>
        </w:tabs>
        <w:spacing w:before="0"/>
        <w:ind w:left="425" w:hanging="425"/>
        <w:rPr>
          <w:b/>
        </w:rPr>
      </w:pPr>
      <w:r>
        <w:rPr>
          <w:b/>
        </w:rPr>
        <w:t>f)</w:t>
      </w:r>
      <w:r>
        <w:rPr>
          <w:b/>
        </w:rPr>
        <w:tab/>
      </w:r>
      <w:r w:rsidR="003B71E2" w:rsidRPr="005B6CD0">
        <w:rPr>
          <w:b/>
        </w:rPr>
        <w:t>členové disciplinárního výboru pro účely § 39b odst. 3 a 4,</w:t>
      </w:r>
    </w:p>
    <w:p w14:paraId="4068F595" w14:textId="1B21E3BE" w:rsidR="003B71E2" w:rsidRPr="005B6CD0" w:rsidRDefault="005B6CD0" w:rsidP="005B6CD0">
      <w:pPr>
        <w:tabs>
          <w:tab w:val="left" w:pos="851"/>
        </w:tabs>
        <w:spacing w:before="0"/>
        <w:ind w:left="425" w:hanging="425"/>
        <w:rPr>
          <w:b/>
        </w:rPr>
      </w:pPr>
      <w:r>
        <w:rPr>
          <w:b/>
        </w:rPr>
        <w:t>g)</w:t>
      </w:r>
      <w:r>
        <w:rPr>
          <w:b/>
        </w:rPr>
        <w:tab/>
      </w:r>
      <w:r w:rsidR="003B71E2" w:rsidRPr="005B6CD0">
        <w:rPr>
          <w:b/>
        </w:rPr>
        <w:t>členové kontrolního výboru pro účely kontroly kvality,</w:t>
      </w:r>
    </w:p>
    <w:p w14:paraId="15A23796" w14:textId="190E84D2" w:rsidR="003B71E2" w:rsidRPr="005B6CD0" w:rsidRDefault="005B6CD0" w:rsidP="005B6CD0">
      <w:pPr>
        <w:tabs>
          <w:tab w:val="left" w:pos="851"/>
        </w:tabs>
        <w:spacing w:before="0"/>
        <w:ind w:left="425" w:hanging="425"/>
        <w:rPr>
          <w:b/>
        </w:rPr>
      </w:pPr>
      <w:r>
        <w:rPr>
          <w:b/>
        </w:rPr>
        <w:t>h)</w:t>
      </w:r>
      <w:r>
        <w:rPr>
          <w:b/>
        </w:rPr>
        <w:tab/>
      </w:r>
      <w:r w:rsidR="003B71E2" w:rsidRPr="005B6CD0">
        <w:rPr>
          <w:b/>
        </w:rPr>
        <w:t>zaměstnanci České národní banky, je-li to potřebné pro výkon dohledu nad finančním trhem,</w:t>
      </w:r>
    </w:p>
    <w:p w14:paraId="0B3B42E6" w14:textId="4374765A" w:rsidR="003B71E2" w:rsidRPr="005B6CD0" w:rsidRDefault="005B6CD0" w:rsidP="005B6CD0">
      <w:pPr>
        <w:tabs>
          <w:tab w:val="left" w:pos="851"/>
        </w:tabs>
        <w:spacing w:before="0"/>
        <w:ind w:left="425" w:hanging="425"/>
        <w:rPr>
          <w:b/>
        </w:rPr>
      </w:pPr>
      <w:r>
        <w:rPr>
          <w:b/>
        </w:rPr>
        <w:t>i)</w:t>
      </w:r>
      <w:r>
        <w:rPr>
          <w:b/>
        </w:rPr>
        <w:tab/>
      </w:r>
      <w:r w:rsidR="003B71E2" w:rsidRPr="005B6CD0">
        <w:rPr>
          <w:b/>
        </w:rPr>
        <w:t>soud, týká-li se občanskoprávní řízení činnosti auditora,</w:t>
      </w:r>
    </w:p>
    <w:p w14:paraId="7B821704" w14:textId="3A486F13" w:rsidR="003B71E2" w:rsidRPr="005B6CD0" w:rsidRDefault="005B6CD0" w:rsidP="005B6CD0">
      <w:pPr>
        <w:tabs>
          <w:tab w:val="left" w:pos="851"/>
        </w:tabs>
        <w:spacing w:before="0"/>
        <w:ind w:left="425" w:hanging="425"/>
        <w:rPr>
          <w:b/>
        </w:rPr>
      </w:pPr>
      <w:r>
        <w:rPr>
          <w:b/>
        </w:rPr>
        <w:t>j)</w:t>
      </w:r>
      <w:r>
        <w:rPr>
          <w:b/>
        </w:rPr>
        <w:tab/>
      </w:r>
      <w:r w:rsidR="003B71E2" w:rsidRPr="005B6CD0">
        <w:rPr>
          <w:b/>
        </w:rPr>
        <w:t>orgány činné v trestním řízení, týká-li se trestní řízení činnosti auditora.</w:t>
      </w:r>
    </w:p>
    <w:p w14:paraId="48B9EDC3" w14:textId="77777777" w:rsidR="003B71E2" w:rsidRDefault="003B71E2" w:rsidP="002D495F">
      <w:pPr>
        <w:pStyle w:val="paragraf0"/>
        <w:spacing w:after="120"/>
        <w:rPr>
          <w:noProof w:val="0"/>
        </w:rPr>
      </w:pPr>
      <w:r>
        <w:rPr>
          <w:noProof w:val="0"/>
        </w:rPr>
        <w:t>***</w:t>
      </w:r>
    </w:p>
    <w:p w14:paraId="1FE32EAE" w14:textId="02B299E8" w:rsidR="003B71E2" w:rsidRPr="00F57BD0" w:rsidRDefault="003B71E2" w:rsidP="002D495F">
      <w:pPr>
        <w:pStyle w:val="Paragraf"/>
        <w:keepNext w:val="0"/>
        <w:keepLines w:val="0"/>
        <w:widowControl w:val="0"/>
        <w:numPr>
          <w:ilvl w:val="0"/>
          <w:numId w:val="0"/>
        </w:numPr>
        <w:tabs>
          <w:tab w:val="left" w:pos="425"/>
          <w:tab w:val="left" w:pos="851"/>
        </w:tabs>
        <w:spacing w:after="120"/>
        <w:rPr>
          <w:szCs w:val="24"/>
        </w:rPr>
      </w:pPr>
      <w:r w:rsidRPr="00F57BD0">
        <w:rPr>
          <w:szCs w:val="24"/>
        </w:rPr>
        <w:t>§ 15</w:t>
      </w:r>
    </w:p>
    <w:p w14:paraId="69827EB5" w14:textId="18C70B30" w:rsidR="003B71E2" w:rsidRPr="00DB2106" w:rsidRDefault="003B71E2" w:rsidP="002D495F">
      <w:pPr>
        <w:pStyle w:val="Nadpisparagrafu"/>
        <w:keepNext w:val="0"/>
        <w:keepLines w:val="0"/>
        <w:widowControl w:val="0"/>
        <w:tabs>
          <w:tab w:val="left" w:pos="425"/>
          <w:tab w:val="left" w:pos="851"/>
        </w:tabs>
        <w:spacing w:after="120"/>
        <w:rPr>
          <w:szCs w:val="24"/>
        </w:rPr>
      </w:pPr>
      <w:r w:rsidRPr="00DB2106">
        <w:rPr>
          <w:szCs w:val="24"/>
        </w:rPr>
        <w:t>Povinnost auditora zachovávat mlčenlivost</w:t>
      </w:r>
    </w:p>
    <w:p w14:paraId="4E43DA1E" w14:textId="4D7718C4" w:rsidR="003B71E2" w:rsidRPr="00746196" w:rsidRDefault="002D495F" w:rsidP="005B6CD0">
      <w:pPr>
        <w:pStyle w:val="PZTextodstavce"/>
      </w:pPr>
      <w:r>
        <w:lastRenderedPageBreak/>
        <w:t xml:space="preserve">(1) </w:t>
      </w:r>
      <w:r w:rsidR="003B71E2" w:rsidRPr="00C949F0">
        <w:t>Auditor je povinen, pokud tento zákon nebo jiný právní předpis nestanoví jinak, zachovat mlčenlivost o všech skutečnostech, které nejsou veřejně známy a týkají se účetní jednotky, u které provádí auditorskou činnost, případně o všech skutečnostech, které nejsou veřejně známy a týkají se dalších účetních jednotek, ke kterým má přístup jako auditor skupiny</w:t>
      </w:r>
      <w:r w:rsidR="003B71E2">
        <w:t xml:space="preserve"> </w:t>
      </w:r>
      <w:r w:rsidR="003B71E2" w:rsidRPr="000C1355">
        <w:t xml:space="preserve">nebo auditor provádějící ověření konsolidované zprávy o udržitelnosti. Tato povinnost se </w:t>
      </w:r>
      <w:r w:rsidR="003B71E2" w:rsidRPr="00C949F0">
        <w:t>vztahuje i na auditora, který na auditorské zakázce přestal pracovat, na auditora, který má pozastaven výkon auditorské činnosti nebo kterému zaniklo oprávnění k výkonu auditorské činnosti, zaměstnance nebo zástupce auditora, společníky a</w:t>
      </w:r>
      <w:r w:rsidR="003B71E2">
        <w:t> </w:t>
      </w:r>
      <w:r w:rsidR="003B71E2" w:rsidRPr="00C949F0">
        <w:t>členy orgánů auditorské společnosti a další fyzické osoby, jejichž služeb auditor využívá v</w:t>
      </w:r>
      <w:r w:rsidR="003B71E2">
        <w:t> </w:t>
      </w:r>
      <w:r w:rsidR="003B71E2" w:rsidRPr="00C949F0">
        <w:t>souvislosti</w:t>
      </w:r>
      <w:r w:rsidR="003B71E2">
        <w:t xml:space="preserve"> s výkonem auditorské činnosti.</w:t>
      </w:r>
    </w:p>
    <w:p w14:paraId="1C138E1D" w14:textId="00D7B205" w:rsidR="003B71E2" w:rsidRPr="00C949F0" w:rsidRDefault="002D495F" w:rsidP="005B6CD0">
      <w:pPr>
        <w:pStyle w:val="PZTextodstavce"/>
      </w:pPr>
      <w:r>
        <w:t xml:space="preserve">(2) </w:t>
      </w:r>
      <w:r w:rsidR="003B71E2" w:rsidRPr="00C949F0">
        <w:t>Je-li auditor nahrazen jiným auditorem, poskytne novému auditorovi přístup ke všem shromážděným významným informacím, které se týkají auditované účetní jednotky a</w:t>
      </w:r>
      <w:r w:rsidR="003B71E2">
        <w:t> provedené auditorské činnosti.</w:t>
      </w:r>
    </w:p>
    <w:p w14:paraId="353FA083" w14:textId="6BE84E21" w:rsidR="003B71E2" w:rsidRPr="00C949F0" w:rsidRDefault="002D495F" w:rsidP="005B6CD0">
      <w:pPr>
        <w:pStyle w:val="PZTextodstavce"/>
      </w:pPr>
      <w:r>
        <w:t xml:space="preserve">(3) </w:t>
      </w:r>
      <w:r w:rsidR="003B71E2" w:rsidRPr="00C949F0">
        <w:t>Za poru</w:t>
      </w:r>
      <w:r w:rsidR="003B71E2">
        <w:t>šení mlčenlivosti se nepovažuje</w:t>
      </w:r>
    </w:p>
    <w:p w14:paraId="64FDA159" w14:textId="17AB3AD3" w:rsidR="003B71E2" w:rsidRPr="008C5F8F" w:rsidRDefault="005B6CD0" w:rsidP="005B6CD0">
      <w:pPr>
        <w:tabs>
          <w:tab w:val="left" w:pos="851"/>
        </w:tabs>
        <w:spacing w:before="0"/>
        <w:ind w:left="425" w:hanging="425"/>
      </w:pPr>
      <w:r>
        <w:t>a)</w:t>
      </w:r>
      <w:r>
        <w:tab/>
      </w:r>
      <w:r w:rsidR="003B71E2">
        <w:t>poskytnutí informací České národní bance v oblasti její dohledové působnosti na finančním trhu</w:t>
      </w:r>
      <w:r w:rsidR="002D495F">
        <w:rPr>
          <w:rStyle w:val="Znakapoznpodarou"/>
        </w:rPr>
        <w:footnoteReference w:customMarkFollows="1" w:id="517"/>
        <w:t>16)</w:t>
      </w:r>
      <w:r w:rsidR="003B71E2">
        <w:t xml:space="preserve"> nebo příslušnému orgánu podle jiného právního předpisu o některých opatřeních proti legalizaci výnosů z trestné činnosti a financování terorismu nebo jiného právního předpisu o provádění mezinárodních sankcí za účelem udržování mezinárodního míru a bezpečnosti, ochrany základních lidských práv a boje proti terorismu,</w:t>
      </w:r>
    </w:p>
    <w:p w14:paraId="7123B26A" w14:textId="7D057855" w:rsidR="003B71E2" w:rsidRPr="00746196" w:rsidRDefault="005B6CD0" w:rsidP="005B6CD0">
      <w:pPr>
        <w:tabs>
          <w:tab w:val="left" w:pos="851"/>
        </w:tabs>
        <w:spacing w:before="0"/>
        <w:ind w:left="425" w:hanging="425"/>
      </w:pPr>
      <w:r>
        <w:t>b)</w:t>
      </w:r>
      <w:r>
        <w:tab/>
      </w:r>
      <w:r w:rsidR="003B71E2">
        <w:t>poskytnutí informací novému auditorovi podle odstavce 2 nebo auditorovi skupiny v případě provádění povinného auditu</w:t>
      </w:r>
      <w:r w:rsidR="003B71E2" w:rsidRPr="005B6CD0">
        <w:t xml:space="preserve"> </w:t>
      </w:r>
      <w:r w:rsidR="003B71E2">
        <w:t xml:space="preserve">konsolidované účetní závěrky </w:t>
      </w:r>
      <w:r w:rsidR="003B71E2" w:rsidRPr="000C1355">
        <w:t>nebo ověření konsolidované zprávy o udržitelnosti</w:t>
      </w:r>
      <w:r w:rsidR="003B71E2" w:rsidRPr="005B6CD0">
        <w:t xml:space="preserve"> </w:t>
      </w:r>
      <w:r w:rsidR="003B71E2" w:rsidRPr="000C1355">
        <w:t xml:space="preserve">podle </w:t>
      </w:r>
      <w:r w:rsidR="003B71E2">
        <w:t>§ 19,</w:t>
      </w:r>
    </w:p>
    <w:p w14:paraId="0180799C" w14:textId="77384933" w:rsidR="003B71E2" w:rsidRPr="005B6CD0" w:rsidRDefault="005B6CD0" w:rsidP="005B6CD0">
      <w:pPr>
        <w:tabs>
          <w:tab w:val="left" w:pos="851"/>
        </w:tabs>
        <w:spacing w:before="0"/>
        <w:ind w:left="425" w:hanging="425"/>
      </w:pPr>
      <w:r>
        <w:t>c)</w:t>
      </w:r>
      <w:r>
        <w:tab/>
      </w:r>
      <w:r w:rsidR="003B71E2" w:rsidRPr="005B6CD0">
        <w:t>poskytnutí informací jinému auditorovi pro účely přezkumu řízení kvality zakázky a monitorování zásad a postupů vnitřního systému řízení kvality,</w:t>
      </w:r>
    </w:p>
    <w:p w14:paraId="38C5F4C5" w14:textId="24F50F8B" w:rsidR="003B71E2" w:rsidRPr="005B6CD0" w:rsidRDefault="005B6CD0" w:rsidP="005B6CD0">
      <w:pPr>
        <w:tabs>
          <w:tab w:val="left" w:pos="851"/>
        </w:tabs>
        <w:spacing w:before="0"/>
        <w:ind w:left="425" w:hanging="425"/>
      </w:pPr>
      <w:r>
        <w:t>d)</w:t>
      </w:r>
      <w:r>
        <w:tab/>
      </w:r>
      <w:r w:rsidR="003B71E2" w:rsidRPr="005B6CD0">
        <w:t>plnění povinností podle § 21 odst. 3 až 5,</w:t>
      </w:r>
    </w:p>
    <w:p w14:paraId="1D4BEBA8" w14:textId="7EC6E168" w:rsidR="003B71E2" w:rsidRPr="00C949F0" w:rsidRDefault="005B6CD0" w:rsidP="005B6CD0">
      <w:pPr>
        <w:tabs>
          <w:tab w:val="left" w:pos="851"/>
        </w:tabs>
        <w:spacing w:before="0"/>
        <w:ind w:left="425" w:hanging="425"/>
      </w:pPr>
      <w:r>
        <w:t>e)</w:t>
      </w:r>
      <w:r>
        <w:tab/>
      </w:r>
      <w:r w:rsidR="003B71E2">
        <w:t>poskytnutí dokumentů Radou příslušnému orgánu jiného členského státu podle § 42 odst. 1, případně příslušnému orgánu třetí země podle § 49, nebo auditorem příslušnému orgánu třetí země podle § 49 odst. 4,</w:t>
      </w:r>
    </w:p>
    <w:p w14:paraId="049C52EB" w14:textId="59D49D95" w:rsidR="003B71E2" w:rsidRPr="00C949F0" w:rsidRDefault="005B6CD0" w:rsidP="005B6CD0">
      <w:pPr>
        <w:tabs>
          <w:tab w:val="left" w:pos="851"/>
        </w:tabs>
        <w:spacing w:before="0"/>
        <w:ind w:left="425" w:hanging="425"/>
      </w:pPr>
      <w:r>
        <w:t>f)</w:t>
      </w:r>
      <w:r>
        <w:tab/>
      </w:r>
      <w:r w:rsidR="003B71E2">
        <w:t>poskytnutí informací kontrolorovi kvality pro účely kontroly kvality,</w:t>
      </w:r>
    </w:p>
    <w:p w14:paraId="7C25AE66" w14:textId="47535DE7" w:rsidR="003B71E2" w:rsidRPr="00C949F0" w:rsidRDefault="005B6CD0" w:rsidP="005B6CD0">
      <w:pPr>
        <w:tabs>
          <w:tab w:val="left" w:pos="851"/>
        </w:tabs>
        <w:spacing w:before="0"/>
        <w:ind w:left="425" w:hanging="425"/>
      </w:pPr>
      <w:r>
        <w:t>g)</w:t>
      </w:r>
      <w:r>
        <w:tab/>
      </w:r>
      <w:r w:rsidR="003B71E2">
        <w:t>poskytnutí informací příslušným orgánům činným v trestním řízení o skutečnostech svědčících o možném spáchání trestných činů úplatkářství,</w:t>
      </w:r>
    </w:p>
    <w:p w14:paraId="4CA085A0" w14:textId="21371BB6" w:rsidR="003B71E2" w:rsidRPr="00C949F0" w:rsidRDefault="005B6CD0" w:rsidP="005B6CD0">
      <w:pPr>
        <w:tabs>
          <w:tab w:val="left" w:pos="851"/>
        </w:tabs>
        <w:spacing w:before="0"/>
        <w:ind w:left="425" w:hanging="425"/>
      </w:pPr>
      <w:r>
        <w:t>h)</w:t>
      </w:r>
      <w:r>
        <w:tab/>
      </w:r>
      <w:r w:rsidR="003B71E2">
        <w:t xml:space="preserve">poskytnutí informací orgánům činným v trestním řízení, týká-li se trestní řízení auditora, </w:t>
      </w:r>
    </w:p>
    <w:p w14:paraId="45332DA8" w14:textId="6B2D3189" w:rsidR="003B71E2" w:rsidRPr="005B6CD0" w:rsidRDefault="005B6CD0" w:rsidP="005B6CD0">
      <w:pPr>
        <w:tabs>
          <w:tab w:val="left" w:pos="851"/>
        </w:tabs>
        <w:spacing w:before="0"/>
        <w:ind w:left="425" w:hanging="425"/>
      </w:pPr>
      <w:r>
        <w:t>i)</w:t>
      </w:r>
      <w:r>
        <w:tab/>
      </w:r>
      <w:r w:rsidR="003B71E2" w:rsidRPr="005B6CD0">
        <w:t>plnění zákonem uložené povinnosti překazit nebo oznámit trestný čin,</w:t>
      </w:r>
    </w:p>
    <w:p w14:paraId="576B5A66" w14:textId="26C30EE6" w:rsidR="003B71E2" w:rsidRPr="00C949F0" w:rsidRDefault="005B6CD0" w:rsidP="005B6CD0">
      <w:pPr>
        <w:tabs>
          <w:tab w:val="left" w:pos="851"/>
        </w:tabs>
        <w:spacing w:before="0"/>
        <w:ind w:left="425" w:hanging="425"/>
      </w:pPr>
      <w:r>
        <w:t>j)</w:t>
      </w:r>
      <w:r>
        <w:tab/>
      </w:r>
      <w:r w:rsidR="003B71E2">
        <w:t xml:space="preserve">poskytnutí informací </w:t>
      </w:r>
      <w:r w:rsidR="003B71E2" w:rsidRPr="000C1355">
        <w:t>podle § 43d odst. 2 nebo</w:t>
      </w:r>
      <w:r w:rsidR="003B71E2" w:rsidRPr="005B6CD0">
        <w:t xml:space="preserve"> </w:t>
      </w:r>
      <w:r w:rsidR="003B71E2">
        <w:t>čl. 7 nebo 12 nařízení Evropského parlamentu a Rady (EU) č. 537/2014,</w:t>
      </w:r>
    </w:p>
    <w:p w14:paraId="4BA91415" w14:textId="7C1A32AF" w:rsidR="002D495F" w:rsidRDefault="005B6CD0" w:rsidP="005B6CD0">
      <w:pPr>
        <w:tabs>
          <w:tab w:val="left" w:pos="851"/>
        </w:tabs>
        <w:spacing w:before="0"/>
        <w:ind w:left="425" w:hanging="425"/>
      </w:pPr>
      <w:r>
        <w:t>k)</w:t>
      </w:r>
      <w:r>
        <w:tab/>
      </w:r>
      <w:r w:rsidR="003B71E2">
        <w:t>poskytnutí informací podle čl. 12 odstavce 2 druhého pododstavce nařízení Evropského parlamentu a Rady (EU) č. 537/2014 Evropské radě pro systémová rizika nebo Výboru evropských orgánů dohledu nad auditem,</w:t>
      </w:r>
    </w:p>
    <w:p w14:paraId="2F3743F2" w14:textId="217BDA7A" w:rsidR="003B71E2" w:rsidRPr="002D495F" w:rsidRDefault="005B6CD0" w:rsidP="005B6CD0">
      <w:pPr>
        <w:pBdr>
          <w:top w:val="single" w:sz="12" w:space="1" w:color="0070C0"/>
          <w:left w:val="single" w:sz="12" w:space="4" w:color="0070C0"/>
          <w:bottom w:val="single" w:sz="12" w:space="1" w:color="0070C0"/>
          <w:right w:val="single" w:sz="12" w:space="4" w:color="0070C0"/>
        </w:pBdr>
        <w:tabs>
          <w:tab w:val="left" w:pos="851"/>
        </w:tabs>
        <w:spacing w:before="0"/>
        <w:ind w:left="425" w:hanging="425"/>
      </w:pPr>
      <w:r>
        <w:t>l)</w:t>
      </w:r>
      <w:r>
        <w:tab/>
      </w:r>
      <w:r w:rsidR="003B71E2">
        <w:t xml:space="preserve">poskytnutí informací jinému auditorovi pro účely společného provádění povinného auditu </w:t>
      </w:r>
      <w:r w:rsidR="003B71E2" w:rsidRPr="002D495F">
        <w:rPr>
          <w:color w:val="5B9BD5" w:themeColor="accent1"/>
        </w:rPr>
        <w:t>nebo ověření zprávy o udržitelnosti</w:t>
      </w:r>
      <w:r w:rsidR="003B71E2">
        <w:t xml:space="preserve"> podle § 20c,</w:t>
      </w:r>
    </w:p>
    <w:p w14:paraId="76367427" w14:textId="67BFFB15" w:rsidR="003B71E2" w:rsidRPr="005B6CD0" w:rsidRDefault="005B6CD0" w:rsidP="005B6CD0">
      <w:pPr>
        <w:tabs>
          <w:tab w:val="left" w:pos="851"/>
        </w:tabs>
        <w:spacing w:before="0"/>
        <w:ind w:left="425" w:hanging="425"/>
      </w:pPr>
      <w:r>
        <w:t>m)</w:t>
      </w:r>
      <w:r>
        <w:tab/>
      </w:r>
      <w:r w:rsidR="003B71E2" w:rsidRPr="005B6CD0">
        <w:t>poskytnutí informací správci daně při plnění povinností stanovených daňovým řádem auditorovi jako povinné osobě podle zákona o některých opatřeních proti legalizaci výnosů z trestné činnosti a financování terorismu,</w:t>
      </w:r>
    </w:p>
    <w:p w14:paraId="2212E2D2" w14:textId="24FE771C" w:rsidR="003B71E2" w:rsidRPr="00746196" w:rsidRDefault="005B6CD0" w:rsidP="005B6CD0">
      <w:pPr>
        <w:tabs>
          <w:tab w:val="left" w:pos="851"/>
        </w:tabs>
        <w:spacing w:before="0"/>
        <w:ind w:left="425" w:hanging="425"/>
      </w:pPr>
      <w:r>
        <w:lastRenderedPageBreak/>
        <w:t>n)</w:t>
      </w:r>
      <w:r>
        <w:tab/>
      </w:r>
      <w:r w:rsidR="003B71E2">
        <w:t>poskytnutí informací Radě nebo Komoře týkajících se oznámení podle zákona o ochraně oznamovatelů.</w:t>
      </w:r>
    </w:p>
    <w:p w14:paraId="4994666F" w14:textId="21345BDA" w:rsidR="003B71E2" w:rsidRPr="00C949F0" w:rsidRDefault="002D495F" w:rsidP="005B6CD0">
      <w:pPr>
        <w:pStyle w:val="PZTextodstavce"/>
      </w:pPr>
      <w:r>
        <w:t xml:space="preserve">(4) </w:t>
      </w:r>
      <w:r w:rsidR="003B71E2" w:rsidRPr="00C949F0">
        <w:t>Povinnosti zachovávat mlčenlivost se auditor nemůže dovolávat v souvislosti s</w:t>
      </w:r>
      <w:r w:rsidR="003B71E2">
        <w:t> </w:t>
      </w:r>
      <w:r w:rsidR="003B71E2" w:rsidRPr="00C949F0">
        <w:t>uplatňováním práv a povinností Komory nebo Rady v souvislosti s kontrolní činností a</w:t>
      </w:r>
      <w:r w:rsidR="003B71E2">
        <w:t> </w:t>
      </w:r>
      <w:r w:rsidR="003B71E2" w:rsidRPr="00C949F0">
        <w:t>dohledovou činností nebo uplatňováním přímo použitelného předpisu Evropské unie upravujícího specifické požadavky na povinný audit subjektů veřejného zájmu.</w:t>
      </w:r>
    </w:p>
    <w:p w14:paraId="5D2A897D" w14:textId="77777777" w:rsidR="003B71E2" w:rsidRDefault="003B71E2" w:rsidP="005B6CD0">
      <w:pPr>
        <w:pStyle w:val="paragraf0"/>
        <w:keepLines/>
        <w:spacing w:after="120"/>
        <w:rPr>
          <w:noProof w:val="0"/>
        </w:rPr>
      </w:pPr>
      <w:r>
        <w:rPr>
          <w:noProof w:val="0"/>
        </w:rPr>
        <w:t>***</w:t>
      </w:r>
    </w:p>
    <w:p w14:paraId="43E96018" w14:textId="77777777" w:rsidR="003B71E2" w:rsidRDefault="003B71E2" w:rsidP="005B6CD0">
      <w:pPr>
        <w:pStyle w:val="Paragraf"/>
        <w:numPr>
          <w:ilvl w:val="0"/>
          <w:numId w:val="0"/>
        </w:numPr>
        <w:spacing w:after="120"/>
      </w:pPr>
      <w:r>
        <w:t>§ 17</w:t>
      </w:r>
    </w:p>
    <w:p w14:paraId="6B1850D5" w14:textId="77777777" w:rsidR="003B71E2" w:rsidRDefault="003B71E2" w:rsidP="005B6CD0">
      <w:pPr>
        <w:pStyle w:val="Nadpisparagrafu"/>
        <w:widowControl w:val="0"/>
        <w:tabs>
          <w:tab w:val="left" w:pos="425"/>
          <w:tab w:val="left" w:pos="851"/>
        </w:tabs>
        <w:spacing w:after="120"/>
        <w:rPr>
          <w:szCs w:val="24"/>
        </w:rPr>
      </w:pPr>
      <w:r w:rsidRPr="00F5726B">
        <w:rPr>
          <w:szCs w:val="24"/>
        </w:rPr>
        <w:t>Určení auditora pro povinný audit a ověření zprávy o udržitelnosti</w:t>
      </w:r>
    </w:p>
    <w:p w14:paraId="1EE1EC99" w14:textId="45D993A8" w:rsidR="003B71E2" w:rsidRPr="00F5726B" w:rsidRDefault="002D495F" w:rsidP="005B6CD0">
      <w:pPr>
        <w:pStyle w:val="PZTextodstavce"/>
        <w:keepNext/>
        <w:keepLines/>
      </w:pPr>
      <w:r>
        <w:t xml:space="preserve">(1) </w:t>
      </w:r>
      <w:r w:rsidR="003B71E2" w:rsidRPr="00F5726B">
        <w:t xml:space="preserve">Pokud má účetní jednotka, která je právnickou osobou, </w:t>
      </w:r>
      <w:r w:rsidR="003B71E2" w:rsidRPr="00A7791B">
        <w:rPr>
          <w:strike/>
        </w:rPr>
        <w:t>povinnost mít účetní závěrku ověřenu auditorem</w:t>
      </w:r>
      <w:r w:rsidR="003B71E2" w:rsidRPr="008E6F43">
        <w:rPr>
          <w:strike/>
        </w:rPr>
        <w:t xml:space="preserve"> nebo konsolidovanou účetní závěrku ověřenu auditorem</w:t>
      </w:r>
      <w:r w:rsidR="003B71E2">
        <w:rPr>
          <w:strike/>
        </w:rPr>
        <w:t xml:space="preserve"> </w:t>
      </w:r>
      <w:r w:rsidR="003B71E2" w:rsidRPr="00A7791B">
        <w:rPr>
          <w:b/>
        </w:rPr>
        <w:t>povinný audit</w:t>
      </w:r>
      <w:r w:rsidR="003B71E2" w:rsidRPr="00F5726B">
        <w:t>, určí auditorskou společnost nebo statutárního auditora vykonávajícího auditorskou činnost vlastním jménem a na vlastní účet její nejvyšší orgán.</w:t>
      </w:r>
    </w:p>
    <w:p w14:paraId="5C3E6EBD" w14:textId="266958FA" w:rsidR="003B71E2" w:rsidRPr="00F5726B" w:rsidRDefault="002D495F" w:rsidP="005B6CD0">
      <w:pPr>
        <w:pStyle w:val="PZTextodstavce"/>
      </w:pPr>
      <w:r>
        <w:t xml:space="preserve">(2) </w:t>
      </w:r>
      <w:r w:rsidR="003B71E2" w:rsidRPr="00F5726B">
        <w:t>Nemá-li účetní jednotka uvedená v odstavci 1 nejvyšší orgán, určí auditorskou společnost nebo statutárního auditora vykonávajícího auditorskou činnost vlastním jménem a na vlastní účet její kontrolní orgán, nejsou-li členové kontrolního orgánu členy řídicího orgánu.</w:t>
      </w:r>
    </w:p>
    <w:p w14:paraId="622B3B99" w14:textId="3D615EA0" w:rsidR="003B71E2" w:rsidRPr="00F5726B" w:rsidRDefault="002D495F" w:rsidP="005B6CD0">
      <w:pPr>
        <w:pStyle w:val="PZTextodstavce"/>
      </w:pPr>
      <w:r>
        <w:t xml:space="preserve">(3) </w:t>
      </w:r>
      <w:r w:rsidR="003B71E2" w:rsidRPr="00F5726B">
        <w:t xml:space="preserve">Pokud má účetní jednotka bez právní osobnosti </w:t>
      </w:r>
      <w:r w:rsidR="003B71E2" w:rsidRPr="00A7791B">
        <w:rPr>
          <w:strike/>
        </w:rPr>
        <w:t>povinnost mít účetní závěrku ověřenu auditorem</w:t>
      </w:r>
      <w:r w:rsidR="003B71E2">
        <w:rPr>
          <w:strike/>
        </w:rPr>
        <w:t xml:space="preserve"> </w:t>
      </w:r>
      <w:r w:rsidR="003B71E2" w:rsidRPr="00A7791B">
        <w:rPr>
          <w:b/>
        </w:rPr>
        <w:t>povinný audit</w:t>
      </w:r>
      <w:r w:rsidR="003B71E2" w:rsidRPr="00F5726B">
        <w:t>, určí auditorskou společnost nebo statutárního auditora vykonávajícího auditorskou činnost vlastním jménem a na vlastní účet postupem podle odstavců 1, 2 a 4</w:t>
      </w:r>
    </w:p>
    <w:p w14:paraId="2F9A4ED9" w14:textId="692680CC" w:rsidR="003B71E2" w:rsidRPr="00F5726B" w:rsidRDefault="00772333" w:rsidP="00721E99">
      <w:pPr>
        <w:tabs>
          <w:tab w:val="left" w:pos="425"/>
          <w:tab w:val="left" w:pos="851"/>
        </w:tabs>
        <w:spacing w:before="0"/>
        <w:ind w:left="426" w:hanging="426"/>
      </w:pPr>
      <w:r>
        <w:t>a)</w:t>
      </w:r>
      <w:r>
        <w:tab/>
      </w:r>
      <w:r w:rsidR="003B71E2" w:rsidRPr="00F5726B">
        <w:t xml:space="preserve">obhospodařovatel, jde-li o jím obhospodařovaný podílový fond nebo </w:t>
      </w:r>
      <w:proofErr w:type="spellStart"/>
      <w:r w:rsidR="003B71E2" w:rsidRPr="00F5726B">
        <w:t>podfond</w:t>
      </w:r>
      <w:proofErr w:type="spellEnd"/>
      <w:r w:rsidR="003B71E2" w:rsidRPr="00F5726B">
        <w:t>,</w:t>
      </w:r>
    </w:p>
    <w:p w14:paraId="4DCFB4BF" w14:textId="40075D34" w:rsidR="003B71E2" w:rsidRPr="00F5726B" w:rsidRDefault="00772333" w:rsidP="00721E99">
      <w:pPr>
        <w:tabs>
          <w:tab w:val="left" w:pos="425"/>
          <w:tab w:val="left" w:pos="851"/>
        </w:tabs>
        <w:spacing w:before="0"/>
        <w:ind w:left="426" w:hanging="426"/>
      </w:pPr>
      <w:r>
        <w:t>b)</w:t>
      </w:r>
      <w:r>
        <w:tab/>
      </w:r>
      <w:r w:rsidR="003B71E2" w:rsidRPr="00F5726B">
        <w:t xml:space="preserve">obhospodařovatel, jde-li o </w:t>
      </w:r>
      <w:proofErr w:type="spellStart"/>
      <w:r w:rsidR="003B71E2" w:rsidRPr="00F5726B">
        <w:t>svěřenský</w:t>
      </w:r>
      <w:proofErr w:type="spellEnd"/>
      <w:r w:rsidR="003B71E2" w:rsidRPr="00F5726B">
        <w:t xml:space="preserve"> fond podle zákona upravujícího investiční společnosti a investiční fondy,</w:t>
      </w:r>
    </w:p>
    <w:p w14:paraId="3455DC07" w14:textId="444BA461" w:rsidR="003B71E2" w:rsidRPr="00F5726B" w:rsidRDefault="00772333" w:rsidP="00721E99">
      <w:pPr>
        <w:tabs>
          <w:tab w:val="left" w:pos="425"/>
          <w:tab w:val="left" w:pos="851"/>
        </w:tabs>
        <w:spacing w:before="0"/>
        <w:ind w:left="426" w:hanging="426"/>
      </w:pPr>
      <w:r>
        <w:t>c)</w:t>
      </w:r>
      <w:r>
        <w:tab/>
      </w:r>
      <w:r w:rsidR="003B71E2" w:rsidRPr="00F5726B">
        <w:t xml:space="preserve">penzijní společnost, jde-li o jí obhospodařovaný účastnický, transformovaný nebo důchodový </w:t>
      </w:r>
      <w:proofErr w:type="gramStart"/>
      <w:r w:rsidR="003B71E2" w:rsidRPr="00F5726B">
        <w:t>fond</w:t>
      </w:r>
      <w:r w:rsidR="003B71E2" w:rsidRPr="002D495F">
        <w:rPr>
          <w:strike/>
        </w:rPr>
        <w:t>,</w:t>
      </w:r>
      <w:r w:rsidR="003B71E2" w:rsidRPr="002D495F">
        <w:rPr>
          <w:b/>
        </w:rPr>
        <w:t>.</w:t>
      </w:r>
      <w:proofErr w:type="gramEnd"/>
    </w:p>
    <w:p w14:paraId="5CE6CDCF" w14:textId="2C60D568" w:rsidR="003B71E2" w:rsidRPr="002D495F" w:rsidRDefault="00772333" w:rsidP="00721E99">
      <w:pPr>
        <w:tabs>
          <w:tab w:val="left" w:pos="425"/>
          <w:tab w:val="left" w:pos="851"/>
        </w:tabs>
        <w:spacing w:before="0"/>
        <w:ind w:left="426" w:hanging="426"/>
        <w:rPr>
          <w:strike/>
        </w:rPr>
      </w:pPr>
      <w:r>
        <w:rPr>
          <w:strike/>
        </w:rPr>
        <w:t>d)</w:t>
      </w:r>
      <w:r>
        <w:rPr>
          <w:strike/>
        </w:rPr>
        <w:tab/>
      </w:r>
      <w:r w:rsidR="003B71E2" w:rsidRPr="002D495F">
        <w:rPr>
          <w:strike/>
        </w:rPr>
        <w:t>ten, kdo ji zřídil, jde-li o účetní jednotku, která je pobočkou.</w:t>
      </w:r>
    </w:p>
    <w:p w14:paraId="1D72732A" w14:textId="0E39134F" w:rsidR="003B71E2" w:rsidRPr="00F5726B" w:rsidRDefault="00772333" w:rsidP="005B6CD0">
      <w:pPr>
        <w:pStyle w:val="PZTextodstavce"/>
      </w:pPr>
      <w:r>
        <w:t xml:space="preserve">(4) </w:t>
      </w:r>
      <w:r w:rsidR="003B71E2" w:rsidRPr="00F5726B">
        <w:t xml:space="preserve">Pokud má účetní jednotka </w:t>
      </w:r>
      <w:r w:rsidR="003B71E2" w:rsidRPr="00A7791B">
        <w:rPr>
          <w:strike/>
        </w:rPr>
        <w:t>povinnost mít účetní závěrku ověřenu auditorem</w:t>
      </w:r>
      <w:r w:rsidR="003B71E2" w:rsidRPr="00F5726B">
        <w:t xml:space="preserve"> </w:t>
      </w:r>
      <w:r w:rsidR="003B71E2" w:rsidRPr="00A7791B">
        <w:rPr>
          <w:b/>
        </w:rPr>
        <w:t>povinný audit</w:t>
      </w:r>
      <w:r w:rsidR="003B71E2">
        <w:t xml:space="preserve"> </w:t>
      </w:r>
      <w:r w:rsidR="003B71E2" w:rsidRPr="00F5726B">
        <w:t>a nelze-li určit auditorskou společnost nebo statutárního auditora vykonávajícího auditorskou činnost vlastním jménem a na vlastní účet postupem podle odstavců 1 až 3, určí účetní jednotka auditorskou společnost nebo statutárního auditora vykonávajícího auditorskou činnost vlastním jménem a na vlastní účet způsobem, který je nezávislý na členech řídicího orgánu této auditované účetní jednotky. To se nepoužije, pokud je účetní jednotka fyzickou osobou.</w:t>
      </w:r>
    </w:p>
    <w:p w14:paraId="4AB8DA7D" w14:textId="451EB5D9" w:rsidR="003B71E2" w:rsidRPr="00F5726B" w:rsidRDefault="00772333" w:rsidP="005B6CD0">
      <w:pPr>
        <w:pStyle w:val="PZTextodstavce"/>
      </w:pPr>
      <w:r>
        <w:t xml:space="preserve">(5) </w:t>
      </w:r>
      <w:r w:rsidR="003B71E2" w:rsidRPr="00F5726B">
        <w:t>Osoba, která je oprávněna právně jednat za účetní jednotku, je oprávněna uzavřít smlouvu o povinném auditu pouze s auditorem určeným podle odstavců 1, 2, 3 nebo 4.</w:t>
      </w:r>
    </w:p>
    <w:p w14:paraId="30A2CB26" w14:textId="70D5D6AD" w:rsidR="003B71E2" w:rsidRPr="00F5726B" w:rsidRDefault="00772333" w:rsidP="005B6CD0">
      <w:pPr>
        <w:pStyle w:val="PZTextodstavce"/>
      </w:pPr>
      <w:r>
        <w:t xml:space="preserve">(6) </w:t>
      </w:r>
      <w:r w:rsidR="003B71E2" w:rsidRPr="00F5726B">
        <w:t>Odstavce 1 až 5 se použijí na ověření zprávy o udržitelnosti obdobně.</w:t>
      </w:r>
    </w:p>
    <w:p w14:paraId="70582D32" w14:textId="77777777" w:rsidR="003B71E2" w:rsidRPr="00E1102B" w:rsidRDefault="003B71E2" w:rsidP="00992796">
      <w:pPr>
        <w:pStyle w:val="paragraf0"/>
        <w:numPr>
          <w:ilvl w:val="0"/>
          <w:numId w:val="49"/>
        </w:numPr>
        <w:spacing w:after="120"/>
        <w:rPr>
          <w:noProof w:val="0"/>
        </w:rPr>
      </w:pPr>
      <w:r>
        <w:rPr>
          <w:noProof w:val="0"/>
        </w:rPr>
        <w:lastRenderedPageBreak/>
        <w:t>***</w:t>
      </w:r>
    </w:p>
    <w:p w14:paraId="01CAC071" w14:textId="77777777" w:rsidR="003B71E2" w:rsidRPr="000C7DDC" w:rsidRDefault="003B71E2" w:rsidP="00992796">
      <w:pPr>
        <w:pStyle w:val="Paragraf"/>
        <w:numPr>
          <w:ilvl w:val="0"/>
          <w:numId w:val="49"/>
        </w:numPr>
        <w:spacing w:after="120"/>
      </w:pPr>
      <w:r w:rsidRPr="000C7DDC">
        <w:t>§ 17b</w:t>
      </w:r>
    </w:p>
    <w:p w14:paraId="5A456A78" w14:textId="77777777" w:rsidR="003B71E2" w:rsidRPr="000C7DDC" w:rsidRDefault="003B71E2" w:rsidP="00992796">
      <w:pPr>
        <w:pStyle w:val="Nadpisparagrafu"/>
        <w:numPr>
          <w:ilvl w:val="0"/>
          <w:numId w:val="49"/>
        </w:numPr>
        <w:spacing w:after="120"/>
      </w:pPr>
      <w:r w:rsidRPr="000C7DDC">
        <w:t xml:space="preserve">Zakázaná ujednání </w:t>
      </w:r>
    </w:p>
    <w:p w14:paraId="34125902" w14:textId="77777777" w:rsidR="003B71E2" w:rsidRDefault="003B71E2" w:rsidP="005B6CD0">
      <w:pPr>
        <w:pStyle w:val="PZTextodstavce"/>
        <w:numPr>
          <w:ilvl w:val="0"/>
          <w:numId w:val="49"/>
        </w:numPr>
        <w:pBdr>
          <w:top w:val="single" w:sz="12" w:space="1" w:color="0070C0"/>
          <w:left w:val="single" w:sz="12" w:space="4" w:color="0070C0"/>
          <w:bottom w:val="single" w:sz="12" w:space="1" w:color="0070C0"/>
          <w:right w:val="single" w:sz="12" w:space="4" w:color="0070C0"/>
        </w:pBdr>
        <w:spacing w:before="240"/>
        <w:ind w:firstLine="426"/>
      </w:pPr>
      <w:r>
        <w:t xml:space="preserve">Ke smluvnímu ujednání mezi účetní jednotkou a třetí stranou, kterým je určení auditorské společnosti nebo statutárního auditora vykonávajícího auditorskou činnost vlastním jménem a na vlastní účet pro povinný audit </w:t>
      </w:r>
      <w:r w:rsidRPr="00757D69">
        <w:rPr>
          <w:color w:val="5B9BD5" w:themeColor="accent1"/>
        </w:rPr>
        <w:t>nebo ověření zprávy o udržitelnosti</w:t>
      </w:r>
      <w:r>
        <w:t xml:space="preserve"> omezeno na určité kategorie nebo seznamy statutárních auditorů nebo auditorských společností, se nepřihlíží.</w:t>
      </w:r>
    </w:p>
    <w:p w14:paraId="3EED8349" w14:textId="77777777" w:rsidR="003B71E2" w:rsidRDefault="003B71E2" w:rsidP="00992796">
      <w:pPr>
        <w:pStyle w:val="paragraf0"/>
        <w:numPr>
          <w:ilvl w:val="0"/>
          <w:numId w:val="49"/>
        </w:numPr>
        <w:spacing w:after="120"/>
        <w:rPr>
          <w:noProof w:val="0"/>
        </w:rPr>
      </w:pPr>
      <w:r>
        <w:rPr>
          <w:noProof w:val="0"/>
        </w:rPr>
        <w:t>***</w:t>
      </w:r>
    </w:p>
    <w:p w14:paraId="38D24E07" w14:textId="77777777" w:rsidR="003B71E2" w:rsidRDefault="003B71E2" w:rsidP="00992796">
      <w:pPr>
        <w:pStyle w:val="Paragraf"/>
        <w:numPr>
          <w:ilvl w:val="0"/>
          <w:numId w:val="49"/>
        </w:numPr>
        <w:spacing w:after="120"/>
      </w:pPr>
      <w:r>
        <w:t xml:space="preserve">§ 19 </w:t>
      </w:r>
    </w:p>
    <w:p w14:paraId="77083975" w14:textId="77777777" w:rsidR="003B71E2" w:rsidRDefault="003B71E2" w:rsidP="00992796">
      <w:pPr>
        <w:pStyle w:val="Nadpisparagrafu"/>
        <w:numPr>
          <w:ilvl w:val="0"/>
          <w:numId w:val="49"/>
        </w:numPr>
        <w:spacing w:after="120"/>
      </w:pPr>
      <w:r>
        <w:t xml:space="preserve">Povinný audit konsolidované účetní závěrky a ověření konsolidované zprávy o udržitelnosti </w:t>
      </w:r>
    </w:p>
    <w:p w14:paraId="11913252" w14:textId="509EC0DF" w:rsidR="003B71E2" w:rsidRDefault="003B71E2" w:rsidP="005B6CD0">
      <w:pPr>
        <w:pStyle w:val="PZTextodstavce"/>
        <w:numPr>
          <w:ilvl w:val="2"/>
          <w:numId w:val="49"/>
        </w:numPr>
        <w:ind w:left="284"/>
      </w:pPr>
      <w:r>
        <w:t>Při provádění povinného auditu konsolidované účetní závěrky určí konsolidující účetní jednotka auditora skupiny, který má plnou odpovědnost za zprávu auditora podle § 20</w:t>
      </w:r>
      <w:r w:rsidRPr="72629DD7">
        <w:rPr>
          <w:b/>
          <w:bCs/>
        </w:rPr>
        <w:t xml:space="preserve">, </w:t>
      </w:r>
      <w:r>
        <w:rPr>
          <w:b/>
          <w:bCs/>
        </w:rPr>
        <w:t xml:space="preserve">§ </w:t>
      </w:r>
      <w:r w:rsidRPr="72629DD7">
        <w:rPr>
          <w:b/>
          <w:bCs/>
        </w:rPr>
        <w:t>20a</w:t>
      </w:r>
      <w:r>
        <w:t xml:space="preserve"> nebo podle čl. 10 a 11 nařízení Evropského parlamentu a Rady (EU) č. 537/2014. </w:t>
      </w:r>
    </w:p>
    <w:p w14:paraId="0A442E29" w14:textId="7559F916" w:rsidR="003B71E2" w:rsidRDefault="003B71E2" w:rsidP="005B6CD0">
      <w:pPr>
        <w:pStyle w:val="PZTextodstavce"/>
        <w:numPr>
          <w:ilvl w:val="2"/>
          <w:numId w:val="49"/>
        </w:numPr>
        <w:ind w:left="284"/>
      </w:pPr>
      <w:r>
        <w:t xml:space="preserve">Auditor skupiny pro účely povinného auditu konsolidované účetní závěrky posoudí a písemně zdokumentuje povahu, časové rozpětí a rozsah činnosti provedené auditorem části skupiny a přezkoumá a písemně zdokumentuje způsob jejího provedení. Auditorem části skupiny se rozumí auditor, auditor z jiného členského státu nebo auditorská osoba z jiného členského státu, auditor ze třetí země nebo auditorská osoba ze třetí země, kteří provádějí činnost vztahující se k povinnému auditu konsolidované účetní závěrky. </w:t>
      </w:r>
    </w:p>
    <w:p w14:paraId="74ABA179" w14:textId="17B5A52D" w:rsidR="003B71E2" w:rsidRDefault="003B71E2" w:rsidP="005B6CD0">
      <w:pPr>
        <w:pStyle w:val="PZTextodstavce"/>
        <w:numPr>
          <w:ilvl w:val="2"/>
          <w:numId w:val="49"/>
        </w:numPr>
        <w:ind w:left="284"/>
      </w:pPr>
      <w:r>
        <w:t xml:space="preserve">Auditor skupiny uchovává dokumentaci podle odstavce 2 nejméně po dobu uvedenou v § </w:t>
      </w:r>
      <w:r w:rsidRPr="72629DD7">
        <w:rPr>
          <w:strike/>
        </w:rPr>
        <w:t>20a</w:t>
      </w:r>
      <w:r>
        <w:t xml:space="preserve"> </w:t>
      </w:r>
      <w:r w:rsidRPr="71250B35">
        <w:rPr>
          <w:b/>
          <w:bCs/>
        </w:rPr>
        <w:t xml:space="preserve">14ha </w:t>
      </w:r>
      <w:r>
        <w:t xml:space="preserve">odst. 2, a to v rozsahu, která příslušnému orgánu umožní řádné přezkoumání činnosti auditora skupiny. </w:t>
      </w:r>
    </w:p>
    <w:p w14:paraId="775EA334" w14:textId="2E8E5D48" w:rsidR="003B71E2" w:rsidRDefault="003B71E2" w:rsidP="005B6CD0">
      <w:pPr>
        <w:pStyle w:val="PZTextodstavce"/>
        <w:numPr>
          <w:ilvl w:val="2"/>
          <w:numId w:val="49"/>
        </w:numPr>
        <w:ind w:left="284"/>
      </w:pPr>
      <w:r>
        <w:t xml:space="preserve">Pro účely uvedené v odstavci 2 si auditor skupiny vyžádá souhlas auditora části skupiny s předáním jím provedené příslušné dokumentace o provedené činnosti. </w:t>
      </w:r>
    </w:p>
    <w:p w14:paraId="04A7F2A9" w14:textId="269D53E5" w:rsidR="003B71E2" w:rsidRDefault="003B71E2" w:rsidP="005B6CD0">
      <w:pPr>
        <w:pStyle w:val="PZTextodstavce"/>
        <w:numPr>
          <w:ilvl w:val="2"/>
          <w:numId w:val="49"/>
        </w:numPr>
        <w:ind w:left="284"/>
      </w:pPr>
      <w:r>
        <w:t xml:space="preserve">Není-li auditor skupiny schopen přezkoumat a písemně zdokumentovat způsob provedení činnosti provedené auditorem části skupiny podle odstavce 2, přijme vhodná opatření s cílem zjistit, jakým způsobem byla tato činnost provedena auditorem části skupiny, případně zajistí provedení dodatečné činnosti nebo ji provede sám. O této skutečnosti informuje Radu. </w:t>
      </w:r>
    </w:p>
    <w:p w14:paraId="3A14FF1B" w14:textId="7CA84FA1" w:rsidR="003B71E2" w:rsidRDefault="003B71E2" w:rsidP="005B6CD0">
      <w:pPr>
        <w:pStyle w:val="PZTextodstavce"/>
        <w:numPr>
          <w:ilvl w:val="2"/>
          <w:numId w:val="49"/>
        </w:numPr>
        <w:ind w:left="284"/>
      </w:pPr>
      <w:r>
        <w:t xml:space="preserve">Pokud je u významné části skupiny prováděn povinný audit u subjektu ze třetí země, s jejímiž příslušnými orgány není uzavřeno pracovní ujednání uvedené v § 49 odst. 1 písm. d), je auditor skupiny na žádost Rady povinen zajistit předložení dokumentace o auditu provedeném u tohoto subjektu auditorem části skupiny, a to v rozsahu potřebném pro povinný audit konsolidované účetní závěrky. </w:t>
      </w:r>
    </w:p>
    <w:p w14:paraId="528B941C" w14:textId="6003D2B7" w:rsidR="003B71E2" w:rsidRDefault="003B71E2" w:rsidP="005B6CD0">
      <w:pPr>
        <w:pStyle w:val="PZTextodstavce"/>
        <w:numPr>
          <w:ilvl w:val="2"/>
          <w:numId w:val="49"/>
        </w:numPr>
        <w:ind w:left="284"/>
      </w:pPr>
      <w:r>
        <w:t xml:space="preserve">Pro splnění povinnosti zajištění předložení dokumentace podle odstavce 6 auditor skupiny dále </w:t>
      </w:r>
    </w:p>
    <w:p w14:paraId="4FBDE630" w14:textId="12F04773" w:rsidR="003B71E2" w:rsidRDefault="005B6CD0" w:rsidP="005B6CD0">
      <w:pPr>
        <w:tabs>
          <w:tab w:val="left" w:pos="425"/>
          <w:tab w:val="left" w:pos="851"/>
        </w:tabs>
        <w:spacing w:before="0"/>
        <w:ind w:left="426" w:hanging="426"/>
      </w:pPr>
      <w:r>
        <w:t>a)</w:t>
      </w:r>
      <w:r>
        <w:tab/>
      </w:r>
      <w:r w:rsidR="003B71E2">
        <w:t xml:space="preserve">zajistí kopii této dokumentace, </w:t>
      </w:r>
    </w:p>
    <w:p w14:paraId="4334AE7B" w14:textId="731B1432" w:rsidR="003B71E2" w:rsidRDefault="005B6CD0" w:rsidP="005B6CD0">
      <w:pPr>
        <w:tabs>
          <w:tab w:val="left" w:pos="425"/>
          <w:tab w:val="left" w:pos="851"/>
        </w:tabs>
        <w:spacing w:before="0"/>
        <w:ind w:left="426" w:hanging="426"/>
      </w:pPr>
      <w:r>
        <w:t>b)</w:t>
      </w:r>
      <w:r>
        <w:tab/>
      </w:r>
      <w:r w:rsidR="003B71E2">
        <w:t xml:space="preserve">smluvně k této dokumentaci zajistí neomezený přístup na požádání, nebo </w:t>
      </w:r>
    </w:p>
    <w:p w14:paraId="571685DD" w14:textId="18707999" w:rsidR="003B71E2" w:rsidRDefault="005B6CD0" w:rsidP="005B6CD0">
      <w:pPr>
        <w:tabs>
          <w:tab w:val="left" w:pos="425"/>
          <w:tab w:val="left" w:pos="851"/>
        </w:tabs>
        <w:spacing w:before="0"/>
        <w:ind w:left="426" w:hanging="426"/>
      </w:pPr>
      <w:r>
        <w:t>c)</w:t>
      </w:r>
      <w:r>
        <w:tab/>
      </w:r>
      <w:r w:rsidR="003B71E2">
        <w:t xml:space="preserve">provede jiné vhodné opatření. </w:t>
      </w:r>
    </w:p>
    <w:p w14:paraId="161A5FAE" w14:textId="24AE09D0" w:rsidR="003B71E2" w:rsidRDefault="003B71E2" w:rsidP="005B6CD0">
      <w:pPr>
        <w:pStyle w:val="PZTextodstavce"/>
        <w:numPr>
          <w:ilvl w:val="2"/>
          <w:numId w:val="49"/>
        </w:numPr>
        <w:ind w:left="284"/>
      </w:pPr>
      <w:r>
        <w:lastRenderedPageBreak/>
        <w:t xml:space="preserve">Brání-li právní nebo jiná překážka předání dokumentace k auditu ze třetí země auditorovi skupiny, musí dokumentace, kterou uchovává auditor skupiny, obsahovat důkazní prostředek, že provedl náležité úkony, aby k dokumentaci k auditu získal přístup, a v případě jiných než právních překážek vyplývajících z právních předpisů příslušné země důkazní prostředek o takové překážce. </w:t>
      </w:r>
    </w:p>
    <w:p w14:paraId="0CD55B60" w14:textId="43BB34D3" w:rsidR="003B71E2" w:rsidRDefault="003B71E2" w:rsidP="005B6CD0">
      <w:pPr>
        <w:pStyle w:val="PZTextodstavce"/>
        <w:numPr>
          <w:ilvl w:val="2"/>
          <w:numId w:val="49"/>
        </w:numPr>
        <w:ind w:left="284"/>
      </w:pPr>
      <w:r>
        <w:t xml:space="preserve">Auditor skupiny je povinen na žádost Komory nebo Rady zpřístupnit dokumentaci podle odstavce 2 pro účely systému zajištění kvality podle § 24 nebo šetření podle § 40b. </w:t>
      </w:r>
    </w:p>
    <w:p w14:paraId="701F1816" w14:textId="7FE64855" w:rsidR="003B71E2" w:rsidRDefault="003B71E2" w:rsidP="005B6CD0">
      <w:pPr>
        <w:pStyle w:val="PZTextodstavce"/>
        <w:numPr>
          <w:ilvl w:val="2"/>
          <w:numId w:val="49"/>
        </w:numPr>
        <w:ind w:left="284"/>
      </w:pPr>
      <w:r>
        <w:t>Odstavce 1 až 9 se použijí na ověření konsolidované zprávy o udržitelnosti obdobně.</w:t>
      </w:r>
    </w:p>
    <w:p w14:paraId="73EBF641" w14:textId="77777777" w:rsidR="003B71E2" w:rsidRPr="0007525C" w:rsidRDefault="003B71E2" w:rsidP="00992796">
      <w:pPr>
        <w:pStyle w:val="Paragraf"/>
        <w:numPr>
          <w:ilvl w:val="0"/>
          <w:numId w:val="49"/>
        </w:numPr>
        <w:spacing w:after="120"/>
      </w:pPr>
      <w:r>
        <w:t>§ 20</w:t>
      </w:r>
    </w:p>
    <w:p w14:paraId="3E531BF7" w14:textId="77777777" w:rsidR="003B71E2" w:rsidRPr="0007525C" w:rsidRDefault="003B71E2" w:rsidP="00992796">
      <w:pPr>
        <w:pStyle w:val="Nadpisparagrafu"/>
        <w:numPr>
          <w:ilvl w:val="0"/>
          <w:numId w:val="49"/>
        </w:numPr>
        <w:spacing w:after="120"/>
      </w:pPr>
      <w:r w:rsidRPr="009A4354">
        <w:t xml:space="preserve">Zpráva auditora o povinném auditu </w:t>
      </w:r>
    </w:p>
    <w:p w14:paraId="1564B26B" w14:textId="0403CF31" w:rsidR="003B71E2" w:rsidRPr="0007525C" w:rsidRDefault="00772333" w:rsidP="00772333">
      <w:pPr>
        <w:pStyle w:val="PZTextodstavce"/>
        <w:spacing w:before="240"/>
        <w:ind w:firstLine="426"/>
      </w:pPr>
      <w:r>
        <w:t xml:space="preserve">(1) </w:t>
      </w:r>
      <w:r w:rsidR="003B71E2" w:rsidRPr="009A4354">
        <w:t xml:space="preserve">O povinném auditu vyhotoví auditor písemnou zprávu auditora. Zpráva auditora musí obsahovat </w:t>
      </w:r>
      <w:r w:rsidR="003B71E2" w:rsidRPr="009A4354">
        <w:rPr>
          <w:rFonts w:ascii="Arial" w:hAnsi="Arial" w:cs="Arial"/>
          <w:sz w:val="20"/>
        </w:rPr>
        <w:t xml:space="preserve"> </w:t>
      </w:r>
    </w:p>
    <w:p w14:paraId="4DF56A66" w14:textId="7B43862B" w:rsidR="00772333" w:rsidRDefault="005B6CD0" w:rsidP="005B6CD0">
      <w:pPr>
        <w:tabs>
          <w:tab w:val="left" w:pos="425"/>
          <w:tab w:val="left" w:pos="851"/>
        </w:tabs>
        <w:spacing w:before="0"/>
        <w:ind w:left="426" w:hanging="426"/>
      </w:pPr>
      <w:r>
        <w:t>a)</w:t>
      </w:r>
      <w:r>
        <w:tab/>
      </w:r>
      <w:r w:rsidR="003B71E2" w:rsidRPr="009A4354">
        <w:t xml:space="preserve">úvod, ve kterém auditor uvede </w:t>
      </w:r>
    </w:p>
    <w:p w14:paraId="6D77D850" w14:textId="77777777" w:rsidR="00772333" w:rsidRDefault="00772333" w:rsidP="00772333">
      <w:pPr>
        <w:pStyle w:val="PZTextpsmene"/>
        <w:spacing w:before="0"/>
        <w:ind w:left="845" w:hanging="420"/>
      </w:pPr>
      <w:r>
        <w:t>1.</w:t>
      </w:r>
      <w:r>
        <w:tab/>
      </w:r>
      <w:r w:rsidR="003B71E2" w:rsidRPr="009A4354">
        <w:t xml:space="preserve">obchodní firmu nebo jméno, adresu sídla, popřípadě adresu místa bydliště, liší-li se od adresy sídla, je-li účetní jednotka podnikající fyzickou osobou, anebo obchodní firmu nebo název a adresu sídla, je-li účetní jednotka právnickou osobou, pobočkou nebo jinou organizační složkou právnické osoby, anebo označení, jde-li o účetní jednotku bez právní osobnosti, a </w:t>
      </w:r>
    </w:p>
    <w:p w14:paraId="7D8D1A44" w14:textId="60E3B02A" w:rsidR="003B71E2" w:rsidRPr="0007525C" w:rsidRDefault="00772333" w:rsidP="00772333">
      <w:pPr>
        <w:pStyle w:val="PZTextpsmene"/>
        <w:spacing w:before="0"/>
        <w:ind w:left="845" w:hanging="420"/>
      </w:pPr>
      <w:r>
        <w:t>2.</w:t>
      </w:r>
      <w:r>
        <w:tab/>
      </w:r>
      <w:r w:rsidR="003B71E2" w:rsidRPr="009A4354">
        <w:t xml:space="preserve">identifikaci účetní závěrky </w:t>
      </w:r>
      <w:r w:rsidR="003B71E2" w:rsidRPr="00772333">
        <w:rPr>
          <w:strike/>
        </w:rPr>
        <w:t>nebo konsolidované účetní závěrky</w:t>
      </w:r>
      <w:r w:rsidR="003B71E2" w:rsidRPr="009A4354">
        <w:t xml:space="preserve"> účetní jednotky uvedené v bodu 1 včetně uvedení rozvahového dne nebo jiného okamžiku, k němuž je účetní závěrka </w:t>
      </w:r>
      <w:r w:rsidR="003B71E2" w:rsidRPr="00772333">
        <w:rPr>
          <w:strike/>
        </w:rPr>
        <w:t>nebo konsolidovaná účetní závěrka</w:t>
      </w:r>
      <w:r w:rsidR="003B71E2" w:rsidRPr="009A4354">
        <w:t xml:space="preserve"> sestavena, a identifikaci účetního období, za které je sestavena, a identifikaci příslušného rámce účetního výkaznictví, na jehož základě je účetní závěrka sestavena, </w:t>
      </w:r>
    </w:p>
    <w:p w14:paraId="29358EAD" w14:textId="597EDCD5" w:rsidR="003B71E2" w:rsidRPr="0007525C" w:rsidRDefault="008B5BFA" w:rsidP="008B5BFA">
      <w:pPr>
        <w:tabs>
          <w:tab w:val="left" w:pos="425"/>
          <w:tab w:val="left" w:pos="851"/>
        </w:tabs>
        <w:spacing w:before="0"/>
        <w:ind w:left="426" w:hanging="426"/>
      </w:pPr>
      <w:r>
        <w:t>b)</w:t>
      </w:r>
      <w:r>
        <w:tab/>
      </w:r>
      <w:r w:rsidR="003B71E2" w:rsidRPr="009A4354">
        <w:t>rozsah provedeného povinného auditu včetně odkazu na auditorské standardy podle</w:t>
      </w:r>
      <w:r w:rsidR="003B71E2">
        <w:t xml:space="preserve"> § 18</w:t>
      </w:r>
      <w:r w:rsidR="003B71E2" w:rsidRPr="009A4354">
        <w:t xml:space="preserve">, v souladu s kterými byl povinný audit proveden, </w:t>
      </w:r>
    </w:p>
    <w:p w14:paraId="06AF52F3" w14:textId="6F7E3428" w:rsidR="003B71E2" w:rsidRPr="0007525C" w:rsidRDefault="008B5BFA" w:rsidP="008B5BFA">
      <w:pPr>
        <w:pBdr>
          <w:top w:val="single" w:sz="12" w:space="1" w:color="0070C0"/>
          <w:left w:val="single" w:sz="12" w:space="4" w:color="0070C0"/>
          <w:bottom w:val="single" w:sz="12" w:space="1" w:color="0070C0"/>
          <w:right w:val="single" w:sz="12" w:space="4" w:color="0070C0"/>
        </w:pBdr>
        <w:tabs>
          <w:tab w:val="left" w:pos="425"/>
          <w:tab w:val="left" w:pos="851"/>
        </w:tabs>
        <w:spacing w:before="0"/>
        <w:ind w:left="426" w:hanging="426"/>
      </w:pPr>
      <w:r>
        <w:t>c)</w:t>
      </w:r>
      <w:r>
        <w:tab/>
      </w:r>
      <w:r w:rsidR="003B71E2">
        <w:t xml:space="preserve">výrok auditora, který musí jasně vyjádřit </w:t>
      </w:r>
      <w:r w:rsidR="003B71E2" w:rsidRPr="00757D69">
        <w:rPr>
          <w:color w:val="5B9BD5" w:themeColor="accent1"/>
        </w:rPr>
        <w:t>názor</w:t>
      </w:r>
      <w:r w:rsidR="003B71E2" w:rsidRPr="6373342F">
        <w:rPr>
          <w:b/>
          <w:bCs/>
        </w:rPr>
        <w:t xml:space="preserve"> </w:t>
      </w:r>
      <w:r w:rsidR="003B71E2">
        <w:t xml:space="preserve">auditora, zda účetní závěrka </w:t>
      </w:r>
      <w:r w:rsidR="003B71E2" w:rsidRPr="00143559">
        <w:rPr>
          <w:strike/>
        </w:rPr>
        <w:t>nebo konsolidovaná účetní závěrka</w:t>
      </w:r>
      <w:r w:rsidR="003B71E2">
        <w:t xml:space="preserve"> </w:t>
      </w:r>
      <w:r w:rsidR="003B71E2" w:rsidRPr="193933D4">
        <w:rPr>
          <w:strike/>
        </w:rPr>
        <w:t>podává věrný a poctivý obraz předmětu účetnictví</w:t>
      </w:r>
      <w:r w:rsidR="003B71E2" w:rsidRPr="00FA0BB7">
        <w:rPr>
          <w:strike/>
        </w:rPr>
        <w:t xml:space="preserve"> v souladu s právními předpisy a příslušným rámcem účetního výkaznictví, na jehož základě je účetní závěrka nebo konsolidovaná účetní závěrka sestavena</w:t>
      </w:r>
      <w:r w:rsidR="003B71E2">
        <w:rPr>
          <w:strike/>
        </w:rPr>
        <w:t xml:space="preserve"> </w:t>
      </w:r>
      <w:r w:rsidR="003B71E2" w:rsidRPr="16A27E25">
        <w:rPr>
          <w:b/>
          <w:bCs/>
        </w:rPr>
        <w:t>podává věrné a poctivé zobrazení finanční situace, finanční výkonnosti a jiných vykazovaných změn finanční situace v souladu s příslušným rámcem účetního výkaznictví, na jehož základě je účetní závěrka sestavena</w:t>
      </w:r>
      <w:r w:rsidR="003B71E2">
        <w:t>; výrok auditora je buď bez výhrad, s výhradou, záporný, nebo je vyjádření výroku odmítnuto, jestliže auditor není schopný výrok auditora vyjádřit,</w:t>
      </w:r>
    </w:p>
    <w:p w14:paraId="0F0DEE6D" w14:textId="613E4C74" w:rsidR="003B71E2" w:rsidRPr="0007525C" w:rsidRDefault="008B5BFA" w:rsidP="008B5BFA">
      <w:pPr>
        <w:tabs>
          <w:tab w:val="left" w:pos="425"/>
          <w:tab w:val="left" w:pos="851"/>
        </w:tabs>
        <w:spacing w:before="0"/>
        <w:ind w:left="426" w:hanging="426"/>
      </w:pPr>
      <w:r>
        <w:t>d)</w:t>
      </w:r>
      <w:r>
        <w:tab/>
      </w:r>
      <w:r w:rsidR="003B71E2">
        <w:t xml:space="preserve">popis všech skutečností, které nejsou obsaženy ve výroku podle písmene c) a auditor je považuje za nezbytné uvést nebo na ně auditor upozornil a považuje-li takové upozornění za významné, zejména významné nejistoty s významným vlivem na předpoklad nepřetržitého trvání účetní </w:t>
      </w:r>
      <w:proofErr w:type="gramStart"/>
      <w:r w:rsidR="003B71E2">
        <w:t>jednotky</w:t>
      </w:r>
      <w:r w:rsidR="003B71E2" w:rsidRPr="2B482095">
        <w:rPr>
          <w:strike/>
        </w:rPr>
        <w:t>,</w:t>
      </w:r>
      <w:r w:rsidR="003B71E2">
        <w:t xml:space="preserve"> </w:t>
      </w:r>
      <w:r w:rsidR="003B71E2" w:rsidRPr="2B482095">
        <w:rPr>
          <w:b/>
          <w:bCs/>
        </w:rPr>
        <w:t>.</w:t>
      </w:r>
      <w:proofErr w:type="gramEnd"/>
    </w:p>
    <w:p w14:paraId="24807D47" w14:textId="13BAC04D" w:rsidR="003B71E2" w:rsidRPr="0007525C" w:rsidRDefault="008B5BFA" w:rsidP="008B5BFA">
      <w:pPr>
        <w:tabs>
          <w:tab w:val="left" w:pos="425"/>
          <w:tab w:val="left" w:pos="851"/>
        </w:tabs>
        <w:spacing w:before="0"/>
        <w:ind w:left="426" w:hanging="426"/>
      </w:pPr>
      <w:r>
        <w:rPr>
          <w:strike/>
        </w:rPr>
        <w:t>e)</w:t>
      </w:r>
      <w:r>
        <w:rPr>
          <w:strike/>
        </w:rPr>
        <w:tab/>
      </w:r>
      <w:r w:rsidR="003B71E2" w:rsidRPr="320829FB">
        <w:rPr>
          <w:strike/>
        </w:rPr>
        <w:t>vyjádření, ve kterém auditor jasně uvede, zda údaje obsažené ve výroční zprávě nebo konsolidované výroční zprávě, které popisují skutečnosti, jež jsou též předmětem zobrazení v účetní závěrce nebo konsolidované účetní závěrce, jsou ve všech významných ohledech v souladu s příslušnou účetní závěrkou nebo konsolidovanou účetní závěrkou,</w:t>
      </w:r>
      <w:r w:rsidR="003B71E2" w:rsidRPr="009A4354">
        <w:t xml:space="preserve"> </w:t>
      </w:r>
    </w:p>
    <w:p w14:paraId="7052D0AD" w14:textId="17EBBFCD" w:rsidR="003B71E2" w:rsidRPr="0007525C" w:rsidRDefault="008B5BFA" w:rsidP="008B5BFA">
      <w:pPr>
        <w:tabs>
          <w:tab w:val="left" w:pos="425"/>
          <w:tab w:val="left" w:pos="851"/>
        </w:tabs>
        <w:spacing w:before="0"/>
        <w:ind w:left="426" w:hanging="426"/>
        <w:rPr>
          <w:b/>
          <w:bCs/>
        </w:rPr>
      </w:pPr>
      <w:r>
        <w:rPr>
          <w:strike/>
        </w:rPr>
        <w:t>f)</w:t>
      </w:r>
      <w:r>
        <w:rPr>
          <w:strike/>
        </w:rPr>
        <w:tab/>
      </w:r>
      <w:r w:rsidR="003B71E2" w:rsidRPr="5E8857B3">
        <w:rPr>
          <w:strike/>
        </w:rPr>
        <w:t>vyjádření auditora podle § 20b, nebo §20ba,</w:t>
      </w:r>
    </w:p>
    <w:p w14:paraId="341C6C6B" w14:textId="7EC83571" w:rsidR="003B71E2" w:rsidRPr="00757D69" w:rsidRDefault="008B5BFA" w:rsidP="008B5BFA">
      <w:pPr>
        <w:pBdr>
          <w:top w:val="single" w:sz="12" w:space="1" w:color="0070C0"/>
          <w:left w:val="single" w:sz="12" w:space="4" w:color="0070C0"/>
          <w:bottom w:val="single" w:sz="12" w:space="1" w:color="0070C0"/>
          <w:right w:val="single" w:sz="12" w:space="4" w:color="0070C0"/>
        </w:pBdr>
        <w:tabs>
          <w:tab w:val="left" w:pos="425"/>
          <w:tab w:val="left" w:pos="851"/>
        </w:tabs>
        <w:spacing w:before="0"/>
        <w:ind w:left="426" w:hanging="426"/>
        <w:rPr>
          <w:strike/>
          <w:color w:val="5B9BD5" w:themeColor="accent1"/>
        </w:rPr>
      </w:pPr>
      <w:r>
        <w:rPr>
          <w:strike/>
          <w:color w:val="5B9BD5" w:themeColor="accent1"/>
        </w:rPr>
        <w:t>g)</w:t>
      </w:r>
      <w:r>
        <w:rPr>
          <w:strike/>
          <w:color w:val="5B9BD5" w:themeColor="accent1"/>
        </w:rPr>
        <w:tab/>
      </w:r>
      <w:r w:rsidR="003B71E2" w:rsidRPr="00757D69">
        <w:rPr>
          <w:strike/>
          <w:color w:val="5B9BD5" w:themeColor="accent1"/>
        </w:rPr>
        <w:t xml:space="preserve">je-li povinný audit vyžadován zákonem o účetnictví, vyjádření, zda za účetní období bezprostředně předcházející účetnímu období, za které se sestavená účetní závěrka ověřuje, </w:t>
      </w:r>
      <w:r w:rsidR="003B71E2" w:rsidRPr="00757D69">
        <w:rPr>
          <w:strike/>
          <w:color w:val="5B9BD5" w:themeColor="accent1"/>
        </w:rPr>
        <w:lastRenderedPageBreak/>
        <w:t>byla účetní jednotka povinna zveřejnit zprávu o daních z příjmů nebo konsolidovanou zprávu o daních z příjmů, a pokud ano, zda tak učinila.</w:t>
      </w:r>
    </w:p>
    <w:p w14:paraId="41780A2E" w14:textId="42AB1255" w:rsidR="003B71E2" w:rsidRPr="0007525C" w:rsidRDefault="00772333" w:rsidP="008B5BFA">
      <w:pPr>
        <w:pStyle w:val="PZTextodstavce"/>
      </w:pPr>
      <w:r>
        <w:rPr>
          <w:strike/>
        </w:rPr>
        <w:t xml:space="preserve">(2) </w:t>
      </w:r>
      <w:r w:rsidR="003B71E2" w:rsidRPr="5E8857B3">
        <w:rPr>
          <w:strike/>
        </w:rPr>
        <w:t>Provádí-li auditor povinný audit subjektu veřejného zájmu, uvede ve zprávě auditora údaje podle odstavce 1 a čl. 10 nařízení Evropského parlamentu a Rady (EU) č. 537/2014.</w:t>
      </w:r>
    </w:p>
    <w:p w14:paraId="352B613A" w14:textId="11E9BC65" w:rsidR="003B71E2" w:rsidRPr="0007525C" w:rsidRDefault="00772333" w:rsidP="008B5BFA">
      <w:pPr>
        <w:pStyle w:val="PZTextodstavce"/>
      </w:pPr>
      <w:r>
        <w:rPr>
          <w:strike/>
        </w:rPr>
        <w:t xml:space="preserve">(3) </w:t>
      </w:r>
      <w:r w:rsidR="003B71E2" w:rsidRPr="5E8857B3">
        <w:rPr>
          <w:strike/>
        </w:rPr>
        <w:t>Provádí-li auditor povinný audit účetní jednotky, která vyhotovuje výroční zprávu nebo konsolidovanou výroční zprávu, je povinen ověřit výroční zprávu nebo konsolidovanou výroční zprávu.</w:t>
      </w:r>
      <w:r w:rsidR="003B71E2" w:rsidRPr="009A4354">
        <w:t xml:space="preserve"> </w:t>
      </w:r>
    </w:p>
    <w:p w14:paraId="5C3DB1BB" w14:textId="77777777" w:rsidR="003B71E2" w:rsidRPr="0007525C" w:rsidRDefault="003B71E2" w:rsidP="008B5BFA">
      <w:pPr>
        <w:pStyle w:val="PZTextodstavce"/>
        <w:numPr>
          <w:ilvl w:val="0"/>
          <w:numId w:val="49"/>
        </w:numPr>
        <w:ind w:firstLine="426"/>
      </w:pPr>
      <w:proofErr w:type="gramStart"/>
      <w:r w:rsidRPr="50ED9C0D">
        <w:rPr>
          <w:strike/>
        </w:rPr>
        <w:t>(4)</w:t>
      </w:r>
      <w:r w:rsidRPr="50ED9C0D">
        <w:rPr>
          <w:b/>
          <w:bCs/>
        </w:rPr>
        <w:t>(2</w:t>
      </w:r>
      <w:r w:rsidRPr="50ED9C0D">
        <w:rPr>
          <w:b/>
        </w:rPr>
        <w:t>)</w:t>
      </w:r>
      <w:r w:rsidRPr="009A4354">
        <w:t xml:space="preserve"> Statutární</w:t>
      </w:r>
      <w:proofErr w:type="gramEnd"/>
      <w:r w:rsidRPr="009A4354">
        <w:t xml:space="preserve"> auditor uvede ve zprávě auditora své jméno, adresu sídla, evidenční číslo, podpis a datum vyhotovení. </w:t>
      </w:r>
    </w:p>
    <w:p w14:paraId="45D82D99" w14:textId="77777777" w:rsidR="003B71E2" w:rsidRPr="0007525C" w:rsidRDefault="003B71E2" w:rsidP="008B5BFA">
      <w:pPr>
        <w:pStyle w:val="PZTextodstavce"/>
        <w:numPr>
          <w:ilvl w:val="0"/>
          <w:numId w:val="49"/>
        </w:numPr>
        <w:ind w:firstLine="426"/>
      </w:pPr>
      <w:proofErr w:type="gramStart"/>
      <w:r w:rsidRPr="50ED9C0D">
        <w:rPr>
          <w:strike/>
        </w:rPr>
        <w:t>(5)</w:t>
      </w:r>
      <w:r w:rsidRPr="50ED9C0D">
        <w:rPr>
          <w:b/>
          <w:bCs/>
        </w:rPr>
        <w:t>(3</w:t>
      </w:r>
      <w:r w:rsidRPr="50ED9C0D">
        <w:rPr>
          <w:b/>
        </w:rPr>
        <w:t>)</w:t>
      </w:r>
      <w:r w:rsidRPr="009A4354">
        <w:t xml:space="preserve"> Auditorská</w:t>
      </w:r>
      <w:proofErr w:type="gramEnd"/>
      <w:r w:rsidRPr="009A4354">
        <w:t xml:space="preserve"> společnost ve zprávě auditora uvede název, adresu sídla, evidenční číslo a jména statutárních auditorů, kteří pro auditorskou společnost vyhotovili zprávu auditora, jejich evidenční čísla, jejich podpis a datum vyhotovení. </w:t>
      </w:r>
    </w:p>
    <w:p w14:paraId="115A182F" w14:textId="77777777" w:rsidR="003B71E2" w:rsidRPr="0007525C" w:rsidRDefault="003B71E2" w:rsidP="008B5BFA">
      <w:pPr>
        <w:pStyle w:val="PZTextodstavce"/>
        <w:numPr>
          <w:ilvl w:val="0"/>
          <w:numId w:val="49"/>
        </w:numPr>
        <w:ind w:firstLine="426"/>
        <w:rPr>
          <w:strike/>
        </w:rPr>
      </w:pPr>
      <w:proofErr w:type="gramStart"/>
      <w:r w:rsidRPr="50ED9C0D">
        <w:rPr>
          <w:strike/>
        </w:rPr>
        <w:t>(6</w:t>
      </w:r>
      <w:r w:rsidRPr="0FB2BF45">
        <w:rPr>
          <w:strike/>
        </w:rPr>
        <w:t>)</w:t>
      </w:r>
      <w:r w:rsidRPr="0FB2BF45">
        <w:rPr>
          <w:b/>
          <w:bCs/>
          <w:strike/>
        </w:rPr>
        <w:t>(4</w:t>
      </w:r>
      <w:r w:rsidRPr="0FB2BF45">
        <w:rPr>
          <w:b/>
          <w:strike/>
        </w:rPr>
        <w:t>)</w:t>
      </w:r>
      <w:r w:rsidRPr="50ED9C0D">
        <w:rPr>
          <w:strike/>
        </w:rPr>
        <w:t xml:space="preserve"> Vydává</w:t>
      </w:r>
      <w:proofErr w:type="gramEnd"/>
      <w:r w:rsidRPr="50ED9C0D">
        <w:rPr>
          <w:strike/>
        </w:rPr>
        <w:t xml:space="preserve">-li auditor zprávu o ověření konsolidované účetní závěrky, ke které je přiložena účetní závěrka konsolidující účetní jednotky, mohou být zprávy auditora spojeny. </w:t>
      </w:r>
    </w:p>
    <w:p w14:paraId="485E6F22" w14:textId="77777777" w:rsidR="003B71E2" w:rsidRDefault="003B71E2" w:rsidP="008B5BFA">
      <w:pPr>
        <w:pStyle w:val="PZTextodstavce"/>
        <w:numPr>
          <w:ilvl w:val="0"/>
          <w:numId w:val="49"/>
        </w:numPr>
        <w:ind w:firstLine="426"/>
        <w:rPr>
          <w:strike/>
        </w:rPr>
      </w:pPr>
      <w:proofErr w:type="gramStart"/>
      <w:r w:rsidRPr="50ED9C0D">
        <w:rPr>
          <w:strike/>
        </w:rPr>
        <w:t>(7</w:t>
      </w:r>
      <w:r w:rsidRPr="0FB2BF45">
        <w:rPr>
          <w:strike/>
        </w:rPr>
        <w:t>)</w:t>
      </w:r>
      <w:r w:rsidRPr="0FB2BF45">
        <w:rPr>
          <w:b/>
          <w:bCs/>
          <w:strike/>
        </w:rPr>
        <w:t>(5</w:t>
      </w:r>
      <w:r w:rsidRPr="0FB2BF45">
        <w:rPr>
          <w:b/>
          <w:strike/>
        </w:rPr>
        <w:t>)</w:t>
      </w:r>
      <w:r w:rsidRPr="50ED9C0D">
        <w:rPr>
          <w:strike/>
        </w:rPr>
        <w:t xml:space="preserve"> Auditor</w:t>
      </w:r>
      <w:proofErr w:type="gramEnd"/>
      <w:r w:rsidRPr="50ED9C0D">
        <w:rPr>
          <w:strike/>
        </w:rPr>
        <w:t>, který vyhotovuje zprávu auditora o povinném auditu a zároveň vyhotovuje zprávu auditora o ověření zprávy o udržitelnosti, může vydat jednu zprávu za podmínky, že bude obsahovat také informace podle § 20ab.</w:t>
      </w:r>
    </w:p>
    <w:p w14:paraId="69DA3DB2" w14:textId="77777777" w:rsidR="003B71E2" w:rsidRPr="001523E0" w:rsidRDefault="003B71E2" w:rsidP="00992796">
      <w:pPr>
        <w:pStyle w:val="Paragraf"/>
        <w:numPr>
          <w:ilvl w:val="0"/>
          <w:numId w:val="49"/>
        </w:numPr>
        <w:spacing w:after="120"/>
        <w:rPr>
          <w:strike/>
        </w:rPr>
      </w:pPr>
      <w:r w:rsidRPr="5B192AB5">
        <w:rPr>
          <w:strike/>
        </w:rPr>
        <w:t>§ 20a</w:t>
      </w:r>
    </w:p>
    <w:p w14:paraId="747DC767" w14:textId="77777777" w:rsidR="003B71E2" w:rsidRPr="001523E0" w:rsidRDefault="003B71E2" w:rsidP="00992796">
      <w:pPr>
        <w:pStyle w:val="Nadpisparagrafu"/>
        <w:numPr>
          <w:ilvl w:val="0"/>
          <w:numId w:val="49"/>
        </w:numPr>
        <w:spacing w:after="120"/>
        <w:rPr>
          <w:strike/>
        </w:rPr>
      </w:pPr>
      <w:r w:rsidRPr="5B192AB5">
        <w:rPr>
          <w:strike/>
        </w:rPr>
        <w:t xml:space="preserve">Spis auditora </w:t>
      </w:r>
    </w:p>
    <w:p w14:paraId="1857B048" w14:textId="3B477073" w:rsidR="003B71E2" w:rsidRDefault="00772333" w:rsidP="008B5BFA">
      <w:pPr>
        <w:pStyle w:val="PZTextodstavce"/>
        <w:pBdr>
          <w:top w:val="single" w:sz="12" w:space="1" w:color="0070C0"/>
          <w:left w:val="single" w:sz="12" w:space="4" w:color="0070C0"/>
          <w:bottom w:val="single" w:sz="12" w:space="1" w:color="0070C0"/>
          <w:right w:val="single" w:sz="12" w:space="4" w:color="0070C0"/>
        </w:pBdr>
        <w:spacing w:before="240"/>
        <w:rPr>
          <w:strike/>
        </w:rPr>
      </w:pPr>
      <w:r>
        <w:rPr>
          <w:strike/>
        </w:rPr>
        <w:t xml:space="preserve">(1) </w:t>
      </w:r>
      <w:r w:rsidR="003B71E2" w:rsidRPr="5B192AB5">
        <w:rPr>
          <w:strike/>
        </w:rPr>
        <w:t>O průběhu auditorské činnosti vede auditor spis, který obsahuje informace podle auditorských standardů a dále záznamy a dokumenty podle § 14a odst. 5, § 14b odst. 2, § 19 odst. 2, § 20</w:t>
      </w:r>
      <w:r w:rsidR="003B71E2" w:rsidRPr="0060696A">
        <w:rPr>
          <w:strike/>
          <w:color w:val="5B9BD5" w:themeColor="accent1"/>
        </w:rPr>
        <w:t>, § 20ab</w:t>
      </w:r>
      <w:r w:rsidR="003B71E2" w:rsidRPr="5B192AB5">
        <w:rPr>
          <w:strike/>
        </w:rPr>
        <w:t xml:space="preserve">, § 45 odst. 2 a čl. 6, 8, 10, 11 a 12 nařízení Evropského parlamentu a Rady (EU) č. 537/2014. </w:t>
      </w:r>
    </w:p>
    <w:p w14:paraId="7712895A" w14:textId="295A4E32" w:rsidR="003B71E2" w:rsidRPr="001523E0" w:rsidRDefault="00772333" w:rsidP="008B5BFA">
      <w:pPr>
        <w:pStyle w:val="PZTextodstavce"/>
        <w:rPr>
          <w:strike/>
        </w:rPr>
      </w:pPr>
      <w:r>
        <w:rPr>
          <w:strike/>
        </w:rPr>
        <w:t xml:space="preserve">(2) </w:t>
      </w:r>
      <w:r w:rsidR="003B71E2" w:rsidRPr="5B192AB5">
        <w:rPr>
          <w:strike/>
        </w:rPr>
        <w:t xml:space="preserve">Auditorská společnost nebo statutární auditor vykonávající auditorskou činnost vlastním jménem a na vlastní účet uchovává spis nejméně po dobu 10 let ode dne vyhotovení zprávy auditora. </w:t>
      </w:r>
    </w:p>
    <w:p w14:paraId="1D2C41AD" w14:textId="034D1FD6" w:rsidR="003B71E2" w:rsidRPr="001523E0" w:rsidRDefault="00772333" w:rsidP="008B5BFA">
      <w:pPr>
        <w:pStyle w:val="PZTextodstavce"/>
        <w:rPr>
          <w:strike/>
        </w:rPr>
      </w:pPr>
      <w:r>
        <w:rPr>
          <w:strike/>
        </w:rPr>
        <w:t xml:space="preserve">(3) </w:t>
      </w:r>
      <w:r w:rsidR="003B71E2" w:rsidRPr="5B192AB5">
        <w:rPr>
          <w:strike/>
        </w:rPr>
        <w:t xml:space="preserve">Spis auditora musí být uzavřen nejpozději do 60 dní ode dne následujícího po dni data vyhotovení zprávy auditora. </w:t>
      </w:r>
    </w:p>
    <w:p w14:paraId="45E0469D" w14:textId="19360154" w:rsidR="003B71E2" w:rsidRPr="001523E0" w:rsidRDefault="00772333" w:rsidP="008B5BFA">
      <w:pPr>
        <w:pStyle w:val="PZTextodstavce"/>
        <w:ind w:firstLine="426"/>
        <w:rPr>
          <w:strike/>
        </w:rPr>
      </w:pPr>
      <w:r>
        <w:rPr>
          <w:strike/>
        </w:rPr>
        <w:t>(4)</w:t>
      </w:r>
      <w:r w:rsidR="003B71E2" w:rsidRPr="5B192AB5">
        <w:rPr>
          <w:strike/>
        </w:rPr>
        <w:t xml:space="preserve">Právo nahlížet do spisu mají </w:t>
      </w:r>
    </w:p>
    <w:p w14:paraId="4801DACA" w14:textId="679DC64E" w:rsidR="003B71E2" w:rsidRPr="001523E0" w:rsidRDefault="008B5BFA" w:rsidP="008B5BFA">
      <w:pPr>
        <w:tabs>
          <w:tab w:val="left" w:pos="425"/>
          <w:tab w:val="left" w:pos="851"/>
        </w:tabs>
        <w:spacing w:before="0"/>
        <w:ind w:left="426" w:hanging="426"/>
        <w:rPr>
          <w:strike/>
        </w:rPr>
      </w:pPr>
      <w:r>
        <w:rPr>
          <w:strike/>
        </w:rPr>
        <w:t>a)</w:t>
      </w:r>
      <w:r>
        <w:rPr>
          <w:strike/>
        </w:rPr>
        <w:tab/>
      </w:r>
      <w:r w:rsidR="003B71E2" w:rsidRPr="5B192AB5">
        <w:rPr>
          <w:strike/>
        </w:rPr>
        <w:t xml:space="preserve">auditor skupiny podle § 19, </w:t>
      </w:r>
    </w:p>
    <w:p w14:paraId="0A33447D" w14:textId="040E0E96" w:rsidR="003B71E2" w:rsidRPr="001523E0" w:rsidRDefault="008B5BFA" w:rsidP="008B5BFA">
      <w:pPr>
        <w:tabs>
          <w:tab w:val="left" w:pos="425"/>
          <w:tab w:val="left" w:pos="851"/>
        </w:tabs>
        <w:spacing w:before="0"/>
        <w:ind w:left="426" w:hanging="426"/>
        <w:rPr>
          <w:strike/>
        </w:rPr>
      </w:pPr>
      <w:r>
        <w:rPr>
          <w:strike/>
        </w:rPr>
        <w:t>b)</w:t>
      </w:r>
      <w:r>
        <w:rPr>
          <w:strike/>
        </w:rPr>
        <w:tab/>
      </w:r>
      <w:r w:rsidR="003B71E2" w:rsidRPr="5B192AB5">
        <w:rPr>
          <w:strike/>
        </w:rPr>
        <w:t xml:space="preserve">výkonný výbor a prezident Komory pro účely výkonu činností uložených tímto zákonem, </w:t>
      </w:r>
    </w:p>
    <w:p w14:paraId="6BD71F5D" w14:textId="4701886B" w:rsidR="003B71E2" w:rsidRPr="001523E0" w:rsidRDefault="008B5BFA" w:rsidP="008B5BFA">
      <w:pPr>
        <w:tabs>
          <w:tab w:val="left" w:pos="425"/>
          <w:tab w:val="left" w:pos="851"/>
        </w:tabs>
        <w:spacing w:before="0"/>
        <w:ind w:left="426" w:hanging="426"/>
        <w:rPr>
          <w:strike/>
        </w:rPr>
      </w:pPr>
      <w:r>
        <w:rPr>
          <w:strike/>
        </w:rPr>
        <w:t>c)</w:t>
      </w:r>
      <w:r>
        <w:rPr>
          <w:strike/>
        </w:rPr>
        <w:tab/>
      </w:r>
      <w:r w:rsidR="003B71E2" w:rsidRPr="5B192AB5">
        <w:rPr>
          <w:strike/>
        </w:rPr>
        <w:t xml:space="preserve">kárná komise Komory pro účely řízení podle § 26, </w:t>
      </w:r>
    </w:p>
    <w:p w14:paraId="36DB1637" w14:textId="3A03DBE0" w:rsidR="003B71E2" w:rsidRPr="001523E0" w:rsidRDefault="008B5BFA" w:rsidP="008B5BFA">
      <w:pPr>
        <w:tabs>
          <w:tab w:val="left" w:pos="425"/>
          <w:tab w:val="left" w:pos="851"/>
        </w:tabs>
        <w:spacing w:before="0"/>
        <w:ind w:left="426" w:hanging="426"/>
        <w:rPr>
          <w:strike/>
        </w:rPr>
      </w:pPr>
      <w:r>
        <w:rPr>
          <w:strike/>
        </w:rPr>
        <w:t>d)</w:t>
      </w:r>
      <w:r>
        <w:rPr>
          <w:strike/>
        </w:rPr>
        <w:tab/>
      </w:r>
      <w:r w:rsidR="003B71E2" w:rsidRPr="5B192AB5">
        <w:rPr>
          <w:strike/>
        </w:rPr>
        <w:t xml:space="preserve">dozorčí komise a kontroloři kvality pro účely kontroly kvality, </w:t>
      </w:r>
    </w:p>
    <w:p w14:paraId="0DF01752" w14:textId="49A55878" w:rsidR="003B71E2" w:rsidRPr="001523E0" w:rsidRDefault="008B5BFA" w:rsidP="008B5BFA">
      <w:pPr>
        <w:tabs>
          <w:tab w:val="left" w:pos="425"/>
          <w:tab w:val="left" w:pos="851"/>
        </w:tabs>
        <w:spacing w:before="0"/>
        <w:ind w:left="426" w:hanging="426"/>
        <w:rPr>
          <w:strike/>
        </w:rPr>
      </w:pPr>
      <w:r>
        <w:rPr>
          <w:strike/>
        </w:rPr>
        <w:t>e)</w:t>
      </w:r>
      <w:r>
        <w:rPr>
          <w:strike/>
        </w:rPr>
        <w:tab/>
      </w:r>
      <w:r w:rsidR="003B71E2" w:rsidRPr="5B192AB5">
        <w:rPr>
          <w:strike/>
        </w:rPr>
        <w:t xml:space="preserve">členové Prezidia a jimi pověřené osoby pro účely výkonu působnosti Rady podle tohoto zákona a přímo použitelného předpisu Evropské unie upravujícího specifické požadavky na povinný audit subjektů veřejného zájmu nebo pro řešení krize podle zákona upravujícího ozdravné postupy a řešení krize na finančním trhu, </w:t>
      </w:r>
    </w:p>
    <w:p w14:paraId="4EBB6860" w14:textId="744FB016" w:rsidR="003B71E2" w:rsidRPr="001523E0" w:rsidRDefault="008B5BFA" w:rsidP="008B5BFA">
      <w:pPr>
        <w:tabs>
          <w:tab w:val="left" w:pos="425"/>
          <w:tab w:val="left" w:pos="851"/>
        </w:tabs>
        <w:spacing w:before="0"/>
        <w:ind w:left="426" w:hanging="426"/>
        <w:rPr>
          <w:strike/>
        </w:rPr>
      </w:pPr>
      <w:r>
        <w:rPr>
          <w:strike/>
        </w:rPr>
        <w:t>f)</w:t>
      </w:r>
      <w:r>
        <w:rPr>
          <w:strike/>
        </w:rPr>
        <w:tab/>
      </w:r>
      <w:r w:rsidR="003B71E2" w:rsidRPr="5B192AB5">
        <w:rPr>
          <w:strike/>
        </w:rPr>
        <w:t xml:space="preserve">členové disciplinárního výboru pro účely § 39b odst. 3 a 4, </w:t>
      </w:r>
    </w:p>
    <w:p w14:paraId="069FFE93" w14:textId="4D1E1166" w:rsidR="003B71E2" w:rsidRPr="001523E0" w:rsidRDefault="008B5BFA" w:rsidP="008B5BFA">
      <w:pPr>
        <w:tabs>
          <w:tab w:val="left" w:pos="425"/>
          <w:tab w:val="left" w:pos="851"/>
        </w:tabs>
        <w:spacing w:before="0"/>
        <w:ind w:left="426" w:hanging="426"/>
        <w:rPr>
          <w:strike/>
        </w:rPr>
      </w:pPr>
      <w:r>
        <w:rPr>
          <w:strike/>
        </w:rPr>
        <w:t>g)</w:t>
      </w:r>
      <w:r>
        <w:rPr>
          <w:strike/>
        </w:rPr>
        <w:tab/>
      </w:r>
      <w:r w:rsidR="003B71E2" w:rsidRPr="5B192AB5">
        <w:rPr>
          <w:strike/>
        </w:rPr>
        <w:t xml:space="preserve">členové kontrolního výboru pro účely kontroly kvality, </w:t>
      </w:r>
    </w:p>
    <w:p w14:paraId="42F5FCC2" w14:textId="7C27EFF4" w:rsidR="003B71E2" w:rsidRPr="001523E0" w:rsidRDefault="008B5BFA" w:rsidP="008B5BFA">
      <w:pPr>
        <w:tabs>
          <w:tab w:val="left" w:pos="425"/>
          <w:tab w:val="left" w:pos="851"/>
        </w:tabs>
        <w:spacing w:before="0"/>
        <w:ind w:left="426" w:hanging="426"/>
        <w:rPr>
          <w:strike/>
        </w:rPr>
      </w:pPr>
      <w:r>
        <w:rPr>
          <w:strike/>
        </w:rPr>
        <w:t>h)</w:t>
      </w:r>
      <w:r>
        <w:rPr>
          <w:strike/>
        </w:rPr>
        <w:tab/>
      </w:r>
      <w:r w:rsidR="003B71E2" w:rsidRPr="5B192AB5">
        <w:rPr>
          <w:strike/>
        </w:rPr>
        <w:t xml:space="preserve">zaměstnanci České národní banky, je-li to potřebné pro výkon dohledu nad finančním trhem, </w:t>
      </w:r>
    </w:p>
    <w:p w14:paraId="71EE7085" w14:textId="4B78008E" w:rsidR="003B71E2" w:rsidRPr="001523E0" w:rsidRDefault="008B5BFA" w:rsidP="008B5BFA">
      <w:pPr>
        <w:tabs>
          <w:tab w:val="left" w:pos="425"/>
          <w:tab w:val="left" w:pos="851"/>
        </w:tabs>
        <w:spacing w:before="0"/>
        <w:ind w:left="426" w:hanging="426"/>
        <w:rPr>
          <w:strike/>
        </w:rPr>
      </w:pPr>
      <w:r>
        <w:rPr>
          <w:strike/>
        </w:rPr>
        <w:t>i)</w:t>
      </w:r>
      <w:r>
        <w:rPr>
          <w:strike/>
        </w:rPr>
        <w:tab/>
      </w:r>
      <w:r w:rsidR="003B71E2" w:rsidRPr="5B192AB5">
        <w:rPr>
          <w:strike/>
        </w:rPr>
        <w:t xml:space="preserve">soud, týká-li se občanskoprávní řízení činnosti auditora, </w:t>
      </w:r>
    </w:p>
    <w:p w14:paraId="635F9A8C" w14:textId="43EFFC3F" w:rsidR="003B71E2" w:rsidRPr="008B5BFA" w:rsidRDefault="008B5BFA" w:rsidP="008B5BFA">
      <w:pPr>
        <w:tabs>
          <w:tab w:val="left" w:pos="425"/>
          <w:tab w:val="left" w:pos="851"/>
        </w:tabs>
        <w:spacing w:before="0"/>
        <w:ind w:left="426" w:hanging="426"/>
        <w:rPr>
          <w:strike/>
        </w:rPr>
      </w:pPr>
      <w:r>
        <w:rPr>
          <w:strike/>
        </w:rPr>
        <w:lastRenderedPageBreak/>
        <w:t>j)</w:t>
      </w:r>
      <w:r>
        <w:rPr>
          <w:strike/>
        </w:rPr>
        <w:tab/>
      </w:r>
      <w:r w:rsidR="003B71E2" w:rsidRPr="5B192AB5">
        <w:rPr>
          <w:strike/>
        </w:rPr>
        <w:t>orgány činné v trestním řízení, týká-li se trestní řízení činnosti auditora.</w:t>
      </w:r>
    </w:p>
    <w:p w14:paraId="65B8CCFE" w14:textId="77777777" w:rsidR="003B71E2" w:rsidRDefault="003B71E2" w:rsidP="00992796">
      <w:pPr>
        <w:pStyle w:val="Paragraf"/>
        <w:numPr>
          <w:ilvl w:val="0"/>
          <w:numId w:val="49"/>
        </w:numPr>
        <w:spacing w:after="120"/>
        <w:rPr>
          <w:b/>
          <w:bCs/>
        </w:rPr>
      </w:pPr>
      <w:r w:rsidRPr="5B192AB5">
        <w:rPr>
          <w:b/>
          <w:bCs/>
        </w:rPr>
        <w:t>§ 20a</w:t>
      </w:r>
    </w:p>
    <w:p w14:paraId="7D9D07D5" w14:textId="77777777" w:rsidR="003B71E2" w:rsidRDefault="003B71E2" w:rsidP="00992796">
      <w:pPr>
        <w:pStyle w:val="Nadpisparagrafu"/>
        <w:numPr>
          <w:ilvl w:val="0"/>
          <w:numId w:val="49"/>
        </w:numPr>
        <w:spacing w:after="120"/>
      </w:pPr>
      <w:r>
        <w:t>Další náležitosti zprávy auditora o povinném auditu</w:t>
      </w:r>
    </w:p>
    <w:p w14:paraId="0C42753C" w14:textId="10EA2843" w:rsidR="003B71E2" w:rsidRPr="00A17843" w:rsidRDefault="00A17843" w:rsidP="00A17843">
      <w:pPr>
        <w:pStyle w:val="PZTextodstavce"/>
        <w:spacing w:before="240"/>
        <w:rPr>
          <w:b/>
        </w:rPr>
      </w:pPr>
      <w:r>
        <w:rPr>
          <w:b/>
        </w:rPr>
        <w:t xml:space="preserve">(1) </w:t>
      </w:r>
      <w:r w:rsidR="003B71E2" w:rsidRPr="00A17843">
        <w:rPr>
          <w:b/>
        </w:rPr>
        <w:t>Má-li být auditovaná účetní závěrka zveřejněna se zprávou vedení nebo samostatnou zprávou o vztazích, auditor ve zprávě o povinném auditu uvede</w:t>
      </w:r>
    </w:p>
    <w:p w14:paraId="6C984633" w14:textId="54DC6309" w:rsidR="003B71E2" w:rsidRPr="00A17843" w:rsidRDefault="008B5BFA" w:rsidP="008B5BFA">
      <w:pPr>
        <w:tabs>
          <w:tab w:val="left" w:pos="425"/>
          <w:tab w:val="left" w:pos="851"/>
        </w:tabs>
        <w:spacing w:before="0"/>
        <w:ind w:left="426" w:hanging="426"/>
      </w:pPr>
      <w:r>
        <w:rPr>
          <w:b/>
        </w:rPr>
        <w:t>a)</w:t>
      </w:r>
      <w:r>
        <w:rPr>
          <w:b/>
        </w:rPr>
        <w:tab/>
      </w:r>
      <w:r w:rsidR="003B71E2" w:rsidRPr="00A17843">
        <w:rPr>
          <w:b/>
        </w:rPr>
        <w:t xml:space="preserve">názor auditora na </w:t>
      </w:r>
      <w:r w:rsidR="003B71E2" w:rsidRPr="00A17843">
        <w:rPr>
          <w:b/>
          <w:bCs/>
        </w:rPr>
        <w:t>soulad účetní závěrky s informacemi v těchto zprávách,</w:t>
      </w:r>
    </w:p>
    <w:p w14:paraId="28CA16B4" w14:textId="45F2C68B" w:rsidR="003B71E2" w:rsidRPr="00A17843" w:rsidRDefault="008B5BFA" w:rsidP="008B5BFA">
      <w:pPr>
        <w:tabs>
          <w:tab w:val="left" w:pos="425"/>
          <w:tab w:val="left" w:pos="851"/>
        </w:tabs>
        <w:spacing w:before="0"/>
        <w:ind w:left="426" w:hanging="426"/>
        <w:rPr>
          <w:b/>
          <w:bCs/>
        </w:rPr>
      </w:pPr>
      <w:r>
        <w:rPr>
          <w:b/>
          <w:bCs/>
        </w:rPr>
        <w:t>b)</w:t>
      </w:r>
      <w:r>
        <w:rPr>
          <w:b/>
          <w:bCs/>
        </w:rPr>
        <w:tab/>
      </w:r>
      <w:r w:rsidR="003B71E2" w:rsidRPr="00A17843">
        <w:rPr>
          <w:b/>
          <w:bCs/>
        </w:rPr>
        <w:t>vyjádření, zda informace v těchto zprávách jsou v souladu se znalostmi auditora o účetní jednotce, a pokud tomu tak není, vysvětlení, které informace jsou v rozporu a</w:t>
      </w:r>
    </w:p>
    <w:p w14:paraId="6BD5BAC0" w14:textId="4441E9CB" w:rsidR="003B71E2" w:rsidRPr="00A17843" w:rsidRDefault="008B5BFA" w:rsidP="008B5BFA">
      <w:pPr>
        <w:tabs>
          <w:tab w:val="left" w:pos="425"/>
          <w:tab w:val="left" w:pos="851"/>
        </w:tabs>
        <w:spacing w:before="0"/>
        <w:ind w:left="426" w:hanging="426"/>
        <w:rPr>
          <w:b/>
        </w:rPr>
      </w:pPr>
      <w:r>
        <w:rPr>
          <w:b/>
          <w:bCs/>
        </w:rPr>
        <w:t>c)</w:t>
      </w:r>
      <w:r>
        <w:rPr>
          <w:b/>
          <w:bCs/>
        </w:rPr>
        <w:tab/>
      </w:r>
      <w:r w:rsidR="003B71E2" w:rsidRPr="00A17843">
        <w:rPr>
          <w:b/>
          <w:bCs/>
        </w:rPr>
        <w:t xml:space="preserve">názor auditora na </w:t>
      </w:r>
      <w:r w:rsidR="003B71E2" w:rsidRPr="00A17843">
        <w:rPr>
          <w:b/>
        </w:rPr>
        <w:t>to, zda zpráva vedení, s výjimkou zprávy o udržitelnosti, pokud ji zpráva vedení zahrnuje, byla vyhotovena v souladu s právními předpisy</w:t>
      </w:r>
      <w:r w:rsidR="003B71E2" w:rsidRPr="00A17843">
        <w:rPr>
          <w:b/>
          <w:bCs/>
        </w:rPr>
        <w:t>.</w:t>
      </w:r>
    </w:p>
    <w:p w14:paraId="63AF4C26" w14:textId="372BF317" w:rsidR="003B71E2" w:rsidRPr="00A17843" w:rsidRDefault="00A17843" w:rsidP="008B5BFA">
      <w:pPr>
        <w:pStyle w:val="PZTextodstavce"/>
        <w:tabs>
          <w:tab w:val="clear" w:pos="782"/>
        </w:tabs>
        <w:rPr>
          <w:b/>
          <w:bCs/>
        </w:rPr>
      </w:pPr>
      <w:r>
        <w:rPr>
          <w:b/>
        </w:rPr>
        <w:t xml:space="preserve">(2) </w:t>
      </w:r>
      <w:r w:rsidR="003B71E2" w:rsidRPr="00A17843">
        <w:rPr>
          <w:b/>
        </w:rPr>
        <w:t xml:space="preserve">Je-li audit účetní závěrky vyžadován </w:t>
      </w:r>
      <w:r w:rsidR="003B71E2" w:rsidRPr="00A17843">
        <w:rPr>
          <w:b/>
          <w:bCs/>
        </w:rPr>
        <w:t>právními předpisy upravující</w:t>
      </w:r>
      <w:r w:rsidR="003B71E2" w:rsidRPr="00A17843">
        <w:rPr>
          <w:b/>
        </w:rPr>
        <w:t xml:space="preserve"> účetnictví, auditor ve zprávě o povinném auditu uvede, zda za účetní období bezprostředně předcházející účetnímu období, za které </w:t>
      </w:r>
      <w:r w:rsidR="003B71E2" w:rsidRPr="00A17843">
        <w:rPr>
          <w:b/>
          <w:bCs/>
        </w:rPr>
        <w:t>byla sestavena auditovaná</w:t>
      </w:r>
      <w:r w:rsidR="003B71E2" w:rsidRPr="00A17843">
        <w:rPr>
          <w:b/>
        </w:rPr>
        <w:t xml:space="preserve"> účetní závěrka, byla účetní jednotka povinna </w:t>
      </w:r>
      <w:r w:rsidR="003B71E2" w:rsidRPr="00A17843">
        <w:rPr>
          <w:b/>
          <w:bCs/>
        </w:rPr>
        <w:t>vyhotovit</w:t>
      </w:r>
      <w:r w:rsidR="003B71E2" w:rsidRPr="00A17843">
        <w:rPr>
          <w:b/>
        </w:rPr>
        <w:t xml:space="preserve"> zprávu o daních z příjmů, a pokud ano, zda </w:t>
      </w:r>
      <w:r w:rsidR="003B71E2" w:rsidRPr="00A17843">
        <w:rPr>
          <w:b/>
          <w:bCs/>
        </w:rPr>
        <w:t>ji zveřejnila</w:t>
      </w:r>
      <w:r w:rsidR="003B71E2" w:rsidRPr="00A17843">
        <w:rPr>
          <w:b/>
        </w:rPr>
        <w:t>.</w:t>
      </w:r>
    </w:p>
    <w:p w14:paraId="1603596A" w14:textId="354EE3E7" w:rsidR="003B71E2" w:rsidRDefault="00A17843" w:rsidP="008B5BFA">
      <w:pPr>
        <w:pStyle w:val="PZTextodstavce"/>
        <w:tabs>
          <w:tab w:val="clear" w:pos="782"/>
        </w:tabs>
        <w:rPr>
          <w:b/>
          <w:bCs/>
        </w:rPr>
      </w:pPr>
      <w:r>
        <w:rPr>
          <w:b/>
          <w:bCs/>
        </w:rPr>
        <w:t xml:space="preserve">(3) </w:t>
      </w:r>
      <w:r w:rsidR="003B71E2" w:rsidRPr="00AF38AF">
        <w:rPr>
          <w:b/>
          <w:bCs/>
        </w:rPr>
        <w:t xml:space="preserve">Je-li účetní jednotka povinna vyhotovovat zprávu o odměňování, auditor ve zprávě o povinném auditu uvede, jaké informace, které měly být v souladu se zákonem o podnikání na kapitálových trzích poskytnuty prostřednictvím zprávy o odměňování v účetním období, za které byla sestavena auditovaná účetní závěrka, nebyly v tomto období poskytnuty; pokud zákonem vyžadované informace byly poskytnuty, auditor do zprávy o povinném auditu tuto skutečnost neuvádí. </w:t>
      </w:r>
    </w:p>
    <w:p w14:paraId="198A0151" w14:textId="74CDADEC" w:rsidR="003B71E2" w:rsidRPr="00A17843" w:rsidRDefault="00A17843" w:rsidP="008B5BFA">
      <w:pPr>
        <w:pStyle w:val="PZTextodstavce"/>
        <w:tabs>
          <w:tab w:val="clear" w:pos="782"/>
        </w:tabs>
        <w:rPr>
          <w:b/>
          <w:bCs/>
        </w:rPr>
      </w:pPr>
      <w:r>
        <w:rPr>
          <w:b/>
          <w:bCs/>
        </w:rPr>
        <w:t xml:space="preserve">(4) </w:t>
      </w:r>
      <w:r w:rsidR="003B71E2" w:rsidRPr="00A17843">
        <w:rPr>
          <w:b/>
          <w:bCs/>
        </w:rPr>
        <w:t xml:space="preserve">Auditor ve zprávě auditora o povinném auditu subjektu veřejného zájmu uvede údaje podle čl. </w:t>
      </w:r>
      <w:r w:rsidR="003B71E2" w:rsidRPr="00A17843">
        <w:rPr>
          <w:b/>
        </w:rPr>
        <w:t>10 nařízení Evropského parlamentu a Rady (EU) č. 537/2014.</w:t>
      </w:r>
    </w:p>
    <w:p w14:paraId="51955C26" w14:textId="04351F6D" w:rsidR="003B71E2" w:rsidRPr="00A17843" w:rsidRDefault="00A17843" w:rsidP="008B5BFA">
      <w:pPr>
        <w:pStyle w:val="PZTextodstavce"/>
        <w:tabs>
          <w:tab w:val="clear" w:pos="782"/>
        </w:tabs>
        <w:rPr>
          <w:b/>
        </w:rPr>
      </w:pPr>
      <w:r>
        <w:rPr>
          <w:b/>
          <w:bCs/>
        </w:rPr>
        <w:t xml:space="preserve">(5) </w:t>
      </w:r>
      <w:r w:rsidR="003B71E2" w:rsidRPr="00A17843">
        <w:rPr>
          <w:b/>
          <w:bCs/>
        </w:rPr>
        <w:t>Do zprávy o povinném auditu auditor dále uvede vyjádření, zda elektronický formát nebo značkování účetní závěrky nebo zprávy vedení s výjimkou zprávy o udržitelnosti, jsou-li vyžadovány nebo účetní jednotkou deklarovány, jsou v souladu s příslušným obecně uznávaným standardem, právním předpisem nebo přímo použitelným předpisem Evropské unie.</w:t>
      </w:r>
    </w:p>
    <w:p w14:paraId="44ED726C" w14:textId="77777777" w:rsidR="003B71E2" w:rsidRDefault="003B71E2" w:rsidP="00992796">
      <w:pPr>
        <w:pStyle w:val="Paragraf"/>
        <w:numPr>
          <w:ilvl w:val="0"/>
          <w:numId w:val="49"/>
        </w:numPr>
        <w:spacing w:after="120"/>
      </w:pPr>
      <w:r>
        <w:t>§ 20ab</w:t>
      </w:r>
    </w:p>
    <w:p w14:paraId="644B68E2" w14:textId="77777777" w:rsidR="003B71E2" w:rsidRPr="00653772" w:rsidRDefault="003B71E2" w:rsidP="00992796">
      <w:pPr>
        <w:pStyle w:val="Nadpisparagrafu"/>
        <w:numPr>
          <w:ilvl w:val="0"/>
          <w:numId w:val="49"/>
        </w:numPr>
        <w:spacing w:after="120"/>
      </w:pPr>
      <w:r w:rsidRPr="00653772">
        <w:t xml:space="preserve">Zpráva auditora o ověření zprávy o udržitelnosti </w:t>
      </w:r>
    </w:p>
    <w:p w14:paraId="3C03832A" w14:textId="134E5A91" w:rsidR="003B71E2" w:rsidRPr="00782946" w:rsidRDefault="00A17843" w:rsidP="008B5BFA">
      <w:pPr>
        <w:pStyle w:val="PZTextodstavce"/>
        <w:tabs>
          <w:tab w:val="clear" w:pos="782"/>
        </w:tabs>
      </w:pPr>
      <w:r>
        <w:t xml:space="preserve">(1) </w:t>
      </w:r>
      <w:r w:rsidR="003B71E2" w:rsidRPr="00782946">
        <w:t xml:space="preserve">O ověření zprávy o udržitelnosti vyhotoví auditor písemnou zprávu auditora. Zpráva auditora musí obsahovat </w:t>
      </w:r>
    </w:p>
    <w:p w14:paraId="6DCBACA9" w14:textId="2211D8BE" w:rsidR="003B71E2" w:rsidRPr="00653772" w:rsidRDefault="00A17843" w:rsidP="008B5BFA">
      <w:pPr>
        <w:tabs>
          <w:tab w:val="left" w:pos="425"/>
          <w:tab w:val="left" w:pos="851"/>
        </w:tabs>
        <w:spacing w:before="0"/>
        <w:ind w:left="426" w:hanging="426"/>
      </w:pPr>
      <w:r>
        <w:t>a)</w:t>
      </w:r>
      <w:r>
        <w:tab/>
      </w:r>
      <w:r w:rsidR="003B71E2" w:rsidRPr="00653772">
        <w:t xml:space="preserve">úvod, ve kterém auditor uvede </w:t>
      </w:r>
    </w:p>
    <w:p w14:paraId="39ABB765" w14:textId="5877D51A" w:rsidR="003B71E2" w:rsidRPr="00782946" w:rsidRDefault="00A17843" w:rsidP="00992796">
      <w:pPr>
        <w:pStyle w:val="Odstavecseseznamem"/>
        <w:numPr>
          <w:ilvl w:val="8"/>
          <w:numId w:val="49"/>
        </w:numPr>
        <w:tabs>
          <w:tab w:val="left" w:pos="425"/>
          <w:tab w:val="left" w:pos="851"/>
        </w:tabs>
        <w:spacing w:before="0"/>
        <w:ind w:left="851" w:hanging="425"/>
        <w:contextualSpacing w:val="0"/>
      </w:pPr>
      <w:r>
        <w:t>1.</w:t>
      </w:r>
      <w:r>
        <w:tab/>
      </w:r>
      <w:r w:rsidR="003B71E2" w:rsidRPr="00782946">
        <w:t xml:space="preserve">obchodní firmu nebo jméno, adresu sídla, popřípadě adresu místa bydliště, liší-li se od adresy sídla, je-li účetní jednotka podnikající fyzickou osobou, anebo obchodní firmu nebo název a adresu sídla, je-li účetní jednotka právnickou osobou, pobočkou nebo jinou organizační složkou právnické osoby, anebo označení, jde-li o účetní jednotku bez právní osobnosti, a </w:t>
      </w:r>
    </w:p>
    <w:p w14:paraId="0BA77C08" w14:textId="4C430A08" w:rsidR="003B71E2" w:rsidRPr="00782946" w:rsidRDefault="00A17843" w:rsidP="00992796">
      <w:pPr>
        <w:pStyle w:val="Odstavecseseznamem"/>
        <w:numPr>
          <w:ilvl w:val="6"/>
          <w:numId w:val="49"/>
        </w:numPr>
        <w:tabs>
          <w:tab w:val="left" w:pos="425"/>
          <w:tab w:val="left" w:pos="851"/>
        </w:tabs>
        <w:spacing w:before="0"/>
        <w:ind w:left="851" w:hanging="425"/>
        <w:contextualSpacing w:val="0"/>
      </w:pPr>
      <w:r>
        <w:t>2.</w:t>
      </w:r>
      <w:r>
        <w:tab/>
      </w:r>
      <w:r w:rsidR="003B71E2" w:rsidRPr="00782946">
        <w:t xml:space="preserve">identifikaci zprávy o udržitelnosti </w:t>
      </w:r>
      <w:r w:rsidR="003B71E2" w:rsidRPr="002003EB">
        <w:rPr>
          <w:strike/>
        </w:rPr>
        <w:t xml:space="preserve">nebo konsolidované zprávy o udržitelnosti </w:t>
      </w:r>
      <w:r w:rsidR="003B71E2" w:rsidRPr="00782946">
        <w:t xml:space="preserve">účetní jednotky uvedené v bodu 1 včetně uvedení dne nebo jiného okamžiku, k němuž je zpráva o udržitelnosti </w:t>
      </w:r>
      <w:r w:rsidR="003B71E2" w:rsidRPr="002003EB">
        <w:rPr>
          <w:strike/>
        </w:rPr>
        <w:t>nebo konsolidovaná zpráva o udržitelnosti</w:t>
      </w:r>
      <w:r w:rsidR="003B71E2" w:rsidRPr="00782946">
        <w:t xml:space="preserve"> sestavena, a identifikaci účetního období, za které je sestavena, a identifikaci příslušného rámce, </w:t>
      </w:r>
      <w:r w:rsidR="003B71E2" w:rsidRPr="00782946">
        <w:lastRenderedPageBreak/>
        <w:t xml:space="preserve">na jehož základě je zpráva o udržitelnosti </w:t>
      </w:r>
      <w:r w:rsidR="003B71E2" w:rsidRPr="002003EB">
        <w:rPr>
          <w:strike/>
        </w:rPr>
        <w:t xml:space="preserve">nebo konsolidovaná zpráva o udržitelnosti </w:t>
      </w:r>
      <w:r w:rsidR="003B71E2" w:rsidRPr="00782946">
        <w:t xml:space="preserve">sestavena, </w:t>
      </w:r>
    </w:p>
    <w:p w14:paraId="334DE652" w14:textId="69C54920" w:rsidR="003B71E2" w:rsidRPr="00782946" w:rsidRDefault="00A17843" w:rsidP="00111F23">
      <w:pPr>
        <w:pStyle w:val="PZTextpsmene"/>
        <w:spacing w:before="0"/>
      </w:pPr>
      <w:r>
        <w:t>b)</w:t>
      </w:r>
      <w:r>
        <w:tab/>
      </w:r>
      <w:r w:rsidR="003B71E2" w:rsidRPr="00782946">
        <w:t xml:space="preserve">rozsah provedeného ověřování včetně odkazu na auditorské standardy podle § 18, v souladu s kterými bylo ověření zprávy o udržitelnosti provedeno, </w:t>
      </w:r>
    </w:p>
    <w:p w14:paraId="4E89A018" w14:textId="50934058" w:rsidR="003B71E2" w:rsidRPr="00757D69" w:rsidRDefault="005C2B2D" w:rsidP="008B5BFA">
      <w:pPr>
        <w:pStyle w:val="PZTextpsmene"/>
        <w:spacing w:before="0"/>
        <w:rPr>
          <w:color w:val="5B9BD5" w:themeColor="accent1"/>
        </w:rPr>
      </w:pPr>
      <w:r>
        <w:rPr>
          <w:noProof/>
        </w:rPr>
        <mc:AlternateContent>
          <mc:Choice Requires="wps">
            <w:drawing>
              <wp:anchor distT="0" distB="0" distL="114300" distR="114300" simplePos="0" relativeHeight="251708416" behindDoc="1" locked="0" layoutInCell="1" allowOverlap="1" wp14:anchorId="7619759C" wp14:editId="67F690F3">
                <wp:simplePos x="0" y="0"/>
                <wp:positionH relativeFrom="margin">
                  <wp:align>left</wp:align>
                </wp:positionH>
                <wp:positionV relativeFrom="paragraph">
                  <wp:posOffset>7817</wp:posOffset>
                </wp:positionV>
                <wp:extent cx="5824092" cy="1329338"/>
                <wp:effectExtent l="0" t="0" r="24765" b="23495"/>
                <wp:wrapNone/>
                <wp:docPr id="47" name="Obdélník 47"/>
                <wp:cNvGraphicFramePr/>
                <a:graphic xmlns:a="http://schemas.openxmlformats.org/drawingml/2006/main">
                  <a:graphicData uri="http://schemas.microsoft.com/office/word/2010/wordprocessingShape">
                    <wps:wsp>
                      <wps:cNvSpPr/>
                      <wps:spPr>
                        <a:xfrm>
                          <a:off x="0" y="0"/>
                          <a:ext cx="5824092" cy="1329338"/>
                        </a:xfrm>
                        <a:prstGeom prst="rect">
                          <a:avLst/>
                        </a:prstGeom>
                        <a:ln w="19050">
                          <a:solidFill>
                            <a:srgbClr val="0070C0"/>
                          </a:solidFill>
                        </a:ln>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968618C" id="Obdélník 47" o:spid="_x0000_s1026" style="position:absolute;margin-left:0;margin-top:.6pt;width:458.6pt;height:104.65pt;z-index:-25160806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" fillcolor="white [3201]" strokecolor="#0070c0" strokeweight="1.5pt">
                <w10:wrap anchorx="margin"/>
              </v:rect>
            </w:pict>
          </mc:Fallback>
        </mc:AlternateContent>
      </w:r>
      <w:r w:rsidR="00A17843">
        <w:rPr>
          <w:color w:val="5B9BD5" w:themeColor="accent1"/>
        </w:rPr>
        <w:t>c)</w:t>
      </w:r>
      <w:r w:rsidR="00A17843">
        <w:rPr>
          <w:color w:val="5B9BD5" w:themeColor="accent1"/>
        </w:rPr>
        <w:tab/>
      </w:r>
      <w:r w:rsidR="003B71E2" w:rsidRPr="00757D69">
        <w:rPr>
          <w:color w:val="5B9BD5" w:themeColor="accent1"/>
        </w:rPr>
        <w:t>závěr auditora, zda</w:t>
      </w:r>
    </w:p>
    <w:p w14:paraId="10CF9D6D" w14:textId="53811F47" w:rsidR="003B71E2" w:rsidRPr="002003EB" w:rsidRDefault="008B5BFA" w:rsidP="008B5BFA">
      <w:pPr>
        <w:pStyle w:val="Odstavecseseznamem"/>
        <w:numPr>
          <w:ilvl w:val="6"/>
          <w:numId w:val="49"/>
        </w:numPr>
        <w:tabs>
          <w:tab w:val="left" w:pos="425"/>
          <w:tab w:val="left" w:pos="851"/>
        </w:tabs>
        <w:spacing w:before="0"/>
        <w:ind w:left="850" w:hanging="425"/>
        <w:contextualSpacing w:val="0"/>
        <w:rPr>
          <w:color w:val="5B9BD5" w:themeColor="accent1"/>
        </w:rPr>
      </w:pPr>
      <w:r>
        <w:rPr>
          <w:color w:val="5B9BD5" w:themeColor="accent1"/>
        </w:rPr>
        <w:t xml:space="preserve">1. </w:t>
      </w:r>
      <w:r>
        <w:rPr>
          <w:color w:val="5B9BD5" w:themeColor="accent1"/>
        </w:rPr>
        <w:tab/>
      </w:r>
      <w:r w:rsidR="003B71E2" w:rsidRPr="002003EB">
        <w:rPr>
          <w:color w:val="5B9BD5" w:themeColor="accent1"/>
        </w:rPr>
        <w:t xml:space="preserve">zjistil okolnosti, které by ho vedly k domněnce, že zpráva o udržitelnosti nebyla vyhotovena v souladu s požadavky zákona o účetnictví </w:t>
      </w:r>
      <w:r w:rsidR="003B71E2" w:rsidRPr="002003EB">
        <w:rPr>
          <w:strike/>
          <w:color w:val="5B9BD5" w:themeColor="accent1"/>
        </w:rPr>
        <w:t>včetně standardů</w:t>
      </w:r>
      <w:r w:rsidR="003B71E2" w:rsidRPr="002003EB">
        <w:rPr>
          <w:color w:val="5B9BD5" w:themeColor="accent1"/>
        </w:rPr>
        <w:t xml:space="preserve"> </w:t>
      </w:r>
      <w:r w:rsidR="003B71E2" w:rsidRPr="002003EB">
        <w:rPr>
          <w:b/>
          <w:bCs/>
        </w:rPr>
        <w:t>včetně</w:t>
      </w:r>
      <w:r w:rsidR="003B71E2" w:rsidRPr="5DD79CE4">
        <w:t xml:space="preserve"> </w:t>
      </w:r>
      <w:r w:rsidR="003B71E2" w:rsidRPr="002003EB">
        <w:rPr>
          <w:b/>
          <w:bCs/>
        </w:rPr>
        <w:t xml:space="preserve">souladu se standardy </w:t>
      </w:r>
      <w:r w:rsidR="003B71E2" w:rsidRPr="002003EB">
        <w:rPr>
          <w:color w:val="5B9BD5" w:themeColor="accent1"/>
        </w:rPr>
        <w:t xml:space="preserve">pro podávání zpráv o udržitelnosti, postupu pro určování informací vykazovaných podle těchto standardů </w:t>
      </w:r>
      <w:r w:rsidR="003B71E2" w:rsidRPr="002003EB">
        <w:rPr>
          <w:strike/>
          <w:color w:val="5B9BD5" w:themeColor="accent1"/>
        </w:rPr>
        <w:t>a značkování v souladu</w:t>
      </w:r>
      <w:r w:rsidR="003B71E2" w:rsidRPr="002003EB">
        <w:rPr>
          <w:color w:val="5B9BD5" w:themeColor="accent1"/>
        </w:rPr>
        <w:t xml:space="preserve"> </w:t>
      </w:r>
      <w:r w:rsidR="003B71E2" w:rsidRPr="002003EB">
        <w:rPr>
          <w:b/>
          <w:bCs/>
        </w:rPr>
        <w:t>a souladu značkování</w:t>
      </w:r>
      <w:r w:rsidR="003B71E2" w:rsidRPr="002003EB">
        <w:rPr>
          <w:b/>
        </w:rPr>
        <w:t xml:space="preserve"> </w:t>
      </w:r>
      <w:r w:rsidR="003B71E2" w:rsidRPr="002003EB">
        <w:rPr>
          <w:color w:val="5B9BD5" w:themeColor="accent1"/>
        </w:rPr>
        <w:t xml:space="preserve">s přímo použitelným právním předpisem Evropské unie upravujícím jednotný elektronický formát pro podávání zpráv, a v souladu s přímo použitelným </w:t>
      </w:r>
      <w:r w:rsidR="005C2B2D">
        <w:rPr>
          <w:noProof/>
        </w:rPr>
        <mc:AlternateContent>
          <mc:Choice Requires="wps">
            <w:drawing>
              <wp:anchor distT="0" distB="0" distL="114300" distR="114300" simplePos="0" relativeHeight="251710464" behindDoc="1" locked="0" layoutInCell="1" allowOverlap="1" wp14:anchorId="02935E1D" wp14:editId="1362CFA6">
                <wp:simplePos x="0" y="0"/>
                <wp:positionH relativeFrom="margin">
                  <wp:align>left</wp:align>
                </wp:positionH>
                <wp:positionV relativeFrom="paragraph">
                  <wp:posOffset>-47502</wp:posOffset>
                </wp:positionV>
                <wp:extent cx="5862918" cy="1667435"/>
                <wp:effectExtent l="0" t="0" r="24130" b="28575"/>
                <wp:wrapNone/>
                <wp:docPr id="48" name="Obdélník 48"/>
                <wp:cNvGraphicFramePr/>
                <a:graphic xmlns:a="http://schemas.openxmlformats.org/drawingml/2006/main">
                  <a:graphicData uri="http://schemas.microsoft.com/office/word/2010/wordprocessingShape">
                    <wps:wsp>
                      <wps:cNvSpPr/>
                      <wps:spPr>
                        <a:xfrm>
                          <a:off x="0" y="0"/>
                          <a:ext cx="5862918" cy="1667435"/>
                        </a:xfrm>
                        <a:prstGeom prst="rect">
                          <a:avLst/>
                        </a:prstGeom>
                        <a:ln w="19050">
                          <a:solidFill>
                            <a:srgbClr val="0070C0"/>
                          </a:solidFill>
                        </a:ln>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F18279" id="Obdélník 48" o:spid="_x0000_s1026" style="position:absolute;margin-left:0;margin-top:-3.75pt;width:461.65pt;height:131.3pt;z-index:-25160601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" fillcolor="white [3201]" strokecolor="#0070c0" strokeweight="1.5pt">
                <w10:wrap anchorx="margin"/>
              </v:rect>
            </w:pict>
          </mc:Fallback>
        </mc:AlternateContent>
      </w:r>
      <w:r w:rsidR="003B71E2" w:rsidRPr="002003EB">
        <w:rPr>
          <w:color w:val="5B9BD5" w:themeColor="accent1"/>
        </w:rPr>
        <w:t>právním předpisem Evropské unie upravujícím rámec pro usnadnění udržitelných investic, nebo</w:t>
      </w:r>
    </w:p>
    <w:p w14:paraId="07D716DF" w14:textId="7C93F73F" w:rsidR="003B71E2" w:rsidRPr="00757D69" w:rsidRDefault="00111F23" w:rsidP="008B5BFA">
      <w:pPr>
        <w:pStyle w:val="Odstavecseseznamem"/>
        <w:numPr>
          <w:ilvl w:val="6"/>
          <w:numId w:val="49"/>
        </w:numPr>
        <w:tabs>
          <w:tab w:val="left" w:pos="425"/>
          <w:tab w:val="left" w:pos="851"/>
        </w:tabs>
        <w:spacing w:before="0"/>
        <w:ind w:left="850" w:hanging="425"/>
        <w:contextualSpacing w:val="0"/>
      </w:pPr>
      <w:r>
        <w:rPr>
          <w:color w:val="5B9BD5" w:themeColor="accent1"/>
        </w:rPr>
        <w:t>2.</w:t>
      </w:r>
      <w:r>
        <w:rPr>
          <w:color w:val="5B9BD5" w:themeColor="accent1"/>
        </w:rPr>
        <w:tab/>
      </w:r>
      <w:r w:rsidR="003B71E2" w:rsidRPr="002003EB">
        <w:rPr>
          <w:color w:val="5B9BD5" w:themeColor="accent1"/>
        </w:rPr>
        <w:t xml:space="preserve">zpráva o udržitelnosti byla vyhotovena v souladu s požadavky zákona o účetnictví </w:t>
      </w:r>
      <w:r w:rsidR="003B71E2" w:rsidRPr="002003EB">
        <w:rPr>
          <w:strike/>
          <w:color w:val="5B9BD5" w:themeColor="accent1"/>
        </w:rPr>
        <w:t>včetně standardů</w:t>
      </w:r>
      <w:r w:rsidR="003B71E2" w:rsidRPr="002003EB">
        <w:rPr>
          <w:color w:val="5B9BD5" w:themeColor="accent1"/>
        </w:rPr>
        <w:t xml:space="preserve"> </w:t>
      </w:r>
      <w:r w:rsidR="003B71E2" w:rsidRPr="002003EB">
        <w:rPr>
          <w:b/>
          <w:bCs/>
        </w:rPr>
        <w:t>včetně souladu se standardy</w:t>
      </w:r>
      <w:r w:rsidR="003B71E2" w:rsidRPr="002003EB">
        <w:rPr>
          <w:bCs/>
          <w:color w:val="5B9BD5" w:themeColor="accent1"/>
        </w:rPr>
        <w:t xml:space="preserve"> </w:t>
      </w:r>
      <w:r w:rsidR="003B71E2" w:rsidRPr="002003EB">
        <w:rPr>
          <w:color w:val="5B9BD5" w:themeColor="accent1"/>
        </w:rPr>
        <w:t xml:space="preserve">pro podávání zpráv o udržitelnosti, postupu pro určování informací vykazovaných podle těchto standardů </w:t>
      </w:r>
      <w:r w:rsidR="003B71E2" w:rsidRPr="002003EB">
        <w:rPr>
          <w:strike/>
          <w:color w:val="5B9BD5" w:themeColor="accent1"/>
        </w:rPr>
        <w:t>a značkování v souladu</w:t>
      </w:r>
      <w:r w:rsidR="003B71E2" w:rsidRPr="002003EB">
        <w:rPr>
          <w:color w:val="5B9BD5" w:themeColor="accent1"/>
        </w:rPr>
        <w:t xml:space="preserve"> </w:t>
      </w:r>
      <w:r w:rsidR="003B71E2" w:rsidRPr="002003EB">
        <w:rPr>
          <w:b/>
          <w:bCs/>
        </w:rPr>
        <w:t>a souladu značkování</w:t>
      </w:r>
      <w:r w:rsidR="003B71E2" w:rsidRPr="002003EB">
        <w:rPr>
          <w:b/>
        </w:rPr>
        <w:t xml:space="preserve"> </w:t>
      </w:r>
      <w:r w:rsidR="003B71E2" w:rsidRPr="002003EB">
        <w:rPr>
          <w:color w:val="5B9BD5" w:themeColor="accent1"/>
        </w:rPr>
        <w:t>s přímo použitelným právním předpisem Evropské unie upravujícím jednotný elektronický formát pro podávání zpráv, a v souladu s přímo použitelným právním předpisem Evropské unie upravujícím rámec pro usnadnění udržitelných investic.</w:t>
      </w:r>
    </w:p>
    <w:p w14:paraId="61952C4C" w14:textId="2AE4CA22" w:rsidR="003B71E2" w:rsidRPr="00782946" w:rsidRDefault="00A17843" w:rsidP="008B5BFA">
      <w:pPr>
        <w:pStyle w:val="PZTextodstavce"/>
        <w:rPr>
          <w:bCs/>
        </w:rPr>
      </w:pPr>
      <w:r>
        <w:rPr>
          <w:bCs/>
        </w:rPr>
        <w:t xml:space="preserve">(2) </w:t>
      </w:r>
      <w:r w:rsidR="003B71E2" w:rsidRPr="00782946">
        <w:rPr>
          <w:bCs/>
        </w:rPr>
        <w:t xml:space="preserve">Statutární auditor uvede ve zprávě auditora své jméno, adresu sídla, evidenční číslo, podpis a datum vyhotovení. </w:t>
      </w:r>
    </w:p>
    <w:p w14:paraId="32D13DCC" w14:textId="1F8599E3" w:rsidR="003B71E2" w:rsidRPr="0092559A" w:rsidRDefault="00A17843" w:rsidP="008B5BFA">
      <w:pPr>
        <w:pStyle w:val="PZTextodstavce"/>
        <w:rPr>
          <w:bCs/>
        </w:rPr>
      </w:pPr>
      <w:r>
        <w:t xml:space="preserve">(3) </w:t>
      </w:r>
      <w:r w:rsidR="003B71E2">
        <w:t>Auditorská společnost ve zprávě auditora uvede název, adresu sídla, evidenční číslo a jména statutárních auditorů, kteří pro auditorskou společnost vyhotovili zprávu auditora, jejich evidenční čísla, jejich podpis a datum vyhotovení.</w:t>
      </w:r>
    </w:p>
    <w:p w14:paraId="203C7AF3" w14:textId="77777777" w:rsidR="003B71E2" w:rsidRDefault="003B71E2" w:rsidP="00992796">
      <w:pPr>
        <w:pStyle w:val="Paragraf"/>
        <w:numPr>
          <w:ilvl w:val="0"/>
          <w:numId w:val="49"/>
        </w:numPr>
        <w:spacing w:after="120"/>
        <w:rPr>
          <w:strike/>
        </w:rPr>
      </w:pPr>
      <w:r w:rsidRPr="5E8857B3">
        <w:rPr>
          <w:strike/>
        </w:rPr>
        <w:t>§ 20b</w:t>
      </w:r>
    </w:p>
    <w:p w14:paraId="4B458CD3" w14:textId="77777777" w:rsidR="003B71E2" w:rsidRPr="0067198E" w:rsidRDefault="003B71E2" w:rsidP="00992796">
      <w:pPr>
        <w:pStyle w:val="Paragraf"/>
        <w:numPr>
          <w:ilvl w:val="0"/>
          <w:numId w:val="49"/>
        </w:numPr>
        <w:spacing w:after="120"/>
        <w:rPr>
          <w:b/>
          <w:strike/>
        </w:rPr>
      </w:pPr>
      <w:r w:rsidRPr="5E8857B3">
        <w:rPr>
          <w:b/>
          <w:strike/>
        </w:rPr>
        <w:t>Další požadavky na ověření výroční zprávy a konsolidované výroční zprávy</w:t>
      </w:r>
    </w:p>
    <w:p w14:paraId="46385E9B" w14:textId="77777777" w:rsidR="003B71E2" w:rsidRDefault="003B71E2" w:rsidP="00992796">
      <w:pPr>
        <w:pStyle w:val="PZTextodstavce"/>
        <w:numPr>
          <w:ilvl w:val="0"/>
          <w:numId w:val="49"/>
        </w:numPr>
        <w:tabs>
          <w:tab w:val="clear" w:pos="782"/>
          <w:tab w:val="clear" w:pos="851"/>
        </w:tabs>
        <w:spacing w:before="240"/>
        <w:ind w:firstLine="426"/>
        <w:rPr>
          <w:strike/>
        </w:rPr>
      </w:pPr>
      <w:r w:rsidRPr="5E8857B3">
        <w:rPr>
          <w:strike/>
        </w:rPr>
        <w:t xml:space="preserve">Ověřuje-li auditor výroční zprávu nebo konsolidovanou výroční zprávu obchodní společnosti, auditor </w:t>
      </w:r>
    </w:p>
    <w:p w14:paraId="7B9245FC" w14:textId="6A9453CA" w:rsidR="003B71E2" w:rsidRPr="007E15F8" w:rsidRDefault="005C2B2D" w:rsidP="005C2B2D">
      <w:pPr>
        <w:pStyle w:val="PZTextpsmene"/>
        <w:spacing w:before="0"/>
        <w:rPr>
          <w:strike/>
        </w:rPr>
      </w:pPr>
      <w:r>
        <w:rPr>
          <w:strike/>
        </w:rPr>
        <w:t>a)</w:t>
      </w:r>
      <w:r>
        <w:rPr>
          <w:strike/>
        </w:rPr>
        <w:tab/>
      </w:r>
      <w:r w:rsidR="003B71E2" w:rsidRPr="5E8857B3">
        <w:rPr>
          <w:strike/>
        </w:rPr>
        <w:t>se také vyjádří, zda výroční zpráva nebo konsolidovaná výroční zpráva, s výjimkou zprávy o udržitelnosti, byla vypracována v souladu s právními předpisy nebo přímo použitelným předpisem Evropské unie,</w:t>
      </w:r>
    </w:p>
    <w:p w14:paraId="3593C10B" w14:textId="5E7EBBBA" w:rsidR="003B71E2" w:rsidRPr="007E15F8" w:rsidRDefault="005C2B2D" w:rsidP="005C2B2D">
      <w:pPr>
        <w:pStyle w:val="PZTextpsmene"/>
        <w:spacing w:before="0"/>
        <w:rPr>
          <w:bCs/>
        </w:rPr>
      </w:pPr>
      <w:r>
        <w:rPr>
          <w:strike/>
        </w:rPr>
        <w:t>b)</w:t>
      </w:r>
      <w:r>
        <w:rPr>
          <w:strike/>
        </w:rPr>
        <w:tab/>
      </w:r>
      <w:r w:rsidR="003B71E2" w:rsidRPr="5E8857B3">
        <w:rPr>
          <w:strike/>
        </w:rPr>
        <w:t>také uvede, zda na základě poznatků a povědomí o obchodní společnosti, k nimž dospěl při provádění povinného auditu, výroční zpráva nebo konsolidovaná výroční zpráva neobsahuje významné věcné nesprávnosti; dospěje-li k názoru, že výroční zpráva nebo konsolidovaná výroční zpráva obsahuje významné věcné nesprávnosti, uvede jejich povahu.</w:t>
      </w:r>
    </w:p>
    <w:p w14:paraId="00619D70" w14:textId="77777777" w:rsidR="003B71E2" w:rsidRDefault="003B71E2" w:rsidP="00992796">
      <w:pPr>
        <w:pStyle w:val="Paragraf"/>
        <w:numPr>
          <w:ilvl w:val="0"/>
          <w:numId w:val="49"/>
        </w:numPr>
        <w:spacing w:after="120"/>
        <w:rPr>
          <w:b/>
          <w:bCs/>
        </w:rPr>
      </w:pPr>
      <w:r w:rsidRPr="5E8857B3">
        <w:rPr>
          <w:b/>
          <w:bCs/>
        </w:rPr>
        <w:t>§ 20b</w:t>
      </w:r>
    </w:p>
    <w:p w14:paraId="3BE18E61" w14:textId="594E11A8" w:rsidR="003B71E2" w:rsidRDefault="002043DD" w:rsidP="00992796">
      <w:pPr>
        <w:pStyle w:val="Nadpisparagrafu"/>
        <w:numPr>
          <w:ilvl w:val="0"/>
          <w:numId w:val="49"/>
        </w:numPr>
        <w:spacing w:after="120"/>
        <w:rPr>
          <w:bCs/>
        </w:rPr>
      </w:pPr>
      <w:r>
        <w:t>Spojení zpráv auditora</w:t>
      </w:r>
    </w:p>
    <w:p w14:paraId="571FFE06" w14:textId="1521C4D2" w:rsidR="003B71E2" w:rsidRDefault="002043DD" w:rsidP="002043DD">
      <w:pPr>
        <w:pStyle w:val="PZTextodstavce"/>
        <w:spacing w:before="240"/>
        <w:rPr>
          <w:b/>
          <w:bCs/>
        </w:rPr>
      </w:pPr>
      <w:r>
        <w:rPr>
          <w:b/>
          <w:bCs/>
        </w:rPr>
        <w:t xml:space="preserve">(1) </w:t>
      </w:r>
      <w:r w:rsidR="003B71E2" w:rsidRPr="5E8857B3">
        <w:rPr>
          <w:b/>
          <w:bCs/>
        </w:rPr>
        <w:t xml:space="preserve">Vydává-li auditor zprávu o </w:t>
      </w:r>
      <w:r w:rsidR="003B71E2" w:rsidRPr="73900155">
        <w:rPr>
          <w:b/>
          <w:bCs/>
        </w:rPr>
        <w:t>povinném auditu</w:t>
      </w:r>
      <w:r w:rsidR="003B71E2" w:rsidRPr="5E8857B3">
        <w:rPr>
          <w:b/>
          <w:bCs/>
        </w:rPr>
        <w:t xml:space="preserve"> konsolidované účetní závěrky, ke </w:t>
      </w:r>
      <w:r w:rsidR="003B71E2" w:rsidRPr="00570673">
        <w:rPr>
          <w:b/>
          <w:bCs/>
        </w:rPr>
        <w:t xml:space="preserve">které je přiložena individuální účetní závěrka </w:t>
      </w:r>
      <w:r w:rsidR="003B71E2" w:rsidRPr="00570673">
        <w:rPr>
          <w:b/>
        </w:rPr>
        <w:t>konsolidující účetní jednotky</w:t>
      </w:r>
      <w:r w:rsidR="003B71E2" w:rsidRPr="00570673">
        <w:rPr>
          <w:b/>
          <w:bCs/>
        </w:rPr>
        <w:t>, mohou být</w:t>
      </w:r>
      <w:r w:rsidR="003B71E2" w:rsidRPr="5E8857B3">
        <w:rPr>
          <w:b/>
          <w:bCs/>
        </w:rPr>
        <w:t xml:space="preserve"> zprávy auditora </w:t>
      </w:r>
      <w:r w:rsidR="003B71E2">
        <w:rPr>
          <w:b/>
          <w:bCs/>
        </w:rPr>
        <w:t xml:space="preserve">o auditech obou účetních závěrek </w:t>
      </w:r>
      <w:r w:rsidR="003B71E2" w:rsidRPr="5E8857B3">
        <w:rPr>
          <w:b/>
          <w:bCs/>
        </w:rPr>
        <w:t xml:space="preserve">spojeny. </w:t>
      </w:r>
    </w:p>
    <w:p w14:paraId="01610BCB" w14:textId="4DF7332C" w:rsidR="003B71E2" w:rsidRPr="002043DD" w:rsidRDefault="002043DD" w:rsidP="002043DD">
      <w:pPr>
        <w:pStyle w:val="PZTextodstavce"/>
        <w:spacing w:before="240"/>
        <w:rPr>
          <w:b/>
        </w:rPr>
      </w:pPr>
      <w:r>
        <w:rPr>
          <w:b/>
        </w:rPr>
        <w:lastRenderedPageBreak/>
        <w:t xml:space="preserve">(2) </w:t>
      </w:r>
      <w:r w:rsidR="003B71E2" w:rsidRPr="002043DD">
        <w:rPr>
          <w:b/>
        </w:rPr>
        <w:t>Auditor, který vyhotovuje zprávu auditora o povinném auditu a zároveň vyhotovuje zprávu auditora o ověření zprávy o udržitelnosti, může vydat jednu zprávu za podmínky, že bude obsahovat informace podle § 20, 20a a 20ab</w:t>
      </w:r>
      <w:r w:rsidR="003B71E2" w:rsidRPr="002043DD">
        <w:rPr>
          <w:b/>
          <w:bCs/>
        </w:rPr>
        <w:t>.</w:t>
      </w:r>
    </w:p>
    <w:p w14:paraId="4E5CD162" w14:textId="77777777" w:rsidR="003B71E2" w:rsidRDefault="003B71E2" w:rsidP="00992796">
      <w:pPr>
        <w:pStyle w:val="Paragraf"/>
        <w:numPr>
          <w:ilvl w:val="0"/>
          <w:numId w:val="49"/>
        </w:numPr>
        <w:spacing w:after="120"/>
        <w:rPr>
          <w:strike/>
        </w:rPr>
      </w:pPr>
      <w:r w:rsidRPr="50ED9C0D">
        <w:rPr>
          <w:strike/>
        </w:rPr>
        <w:t>§ 20ba</w:t>
      </w:r>
    </w:p>
    <w:p w14:paraId="59D96CCF" w14:textId="77777777" w:rsidR="003B71E2" w:rsidRDefault="003B71E2" w:rsidP="00992796">
      <w:pPr>
        <w:pStyle w:val="Nadpisparagrafu"/>
        <w:numPr>
          <w:ilvl w:val="0"/>
          <w:numId w:val="49"/>
        </w:numPr>
        <w:spacing w:after="120"/>
        <w:rPr>
          <w:strike/>
        </w:rPr>
      </w:pPr>
      <w:r w:rsidRPr="50ED9C0D">
        <w:rPr>
          <w:strike/>
        </w:rPr>
        <w:t>Požadavky na ověření výroční finanční zprávy emitenta vyhotovujícího výroční finanční zprávu v souladu s přímo použitelným předpisem Evropské unie upravujícím jednotný elektronický formát pro podávání zpráv</w:t>
      </w:r>
    </w:p>
    <w:p w14:paraId="05302861" w14:textId="0EB63BED" w:rsidR="003B71E2" w:rsidRPr="00DC6B1C" w:rsidRDefault="002043DD" w:rsidP="005C2B2D">
      <w:pPr>
        <w:pStyle w:val="PZTextodstavce"/>
        <w:rPr>
          <w:strike/>
        </w:rPr>
      </w:pPr>
      <w:r>
        <w:rPr>
          <w:strike/>
        </w:rPr>
        <w:t xml:space="preserve">(1) </w:t>
      </w:r>
      <w:r w:rsidR="003B71E2" w:rsidRPr="50ED9C0D">
        <w:rPr>
          <w:strike/>
        </w:rPr>
        <w:t>Na ověření výroční finanční zprávy emitenta, který vyhotovuje výroční finanční zprávu v souladu s přímo použitelným předpisem Evropské unie upravujícím jednotný elektronický formát pro podávání zpráv</w:t>
      </w:r>
      <w:r w:rsidR="003B71E2" w:rsidRPr="50ED9C0D">
        <w:rPr>
          <w:strike/>
          <w:vertAlign w:val="superscript"/>
        </w:rPr>
        <w:t>26)</w:t>
      </w:r>
      <w:r w:rsidR="003B71E2" w:rsidRPr="50ED9C0D">
        <w:rPr>
          <w:strike/>
        </w:rPr>
        <w:t>, se obdobně použijí ustanovení tohoto zákona upravující ověření výroční zprávy a konsolidované výroční zprávy; požadavky na ověření výroční zprávy a konsolidované výroční zprávy tím nejsou dotčeny.</w:t>
      </w:r>
    </w:p>
    <w:p w14:paraId="118B56E4" w14:textId="43C69922" w:rsidR="003B71E2" w:rsidRDefault="002043DD" w:rsidP="005C2B2D">
      <w:pPr>
        <w:pStyle w:val="PZTextodstavce"/>
      </w:pPr>
      <w:r>
        <w:rPr>
          <w:strike/>
        </w:rPr>
        <w:t xml:space="preserve">(2) </w:t>
      </w:r>
      <w:r w:rsidR="003B71E2" w:rsidRPr="1516795E">
        <w:rPr>
          <w:strike/>
        </w:rPr>
        <w:t>Ověřuje-li auditor výroční finanční zprávu emitenta, který vyhotovuje výroční finanční zprávu v souladu s přímo použitelným předpisem Evropské unie upravujícím jednotný elektronický formát pro podávání zpráv</w:t>
      </w:r>
      <w:r>
        <w:rPr>
          <w:rStyle w:val="Znakapoznpodarou"/>
          <w:strike/>
        </w:rPr>
        <w:footnoteReference w:customMarkFollows="1" w:id="518"/>
        <w:t>26)</w:t>
      </w:r>
      <w:r w:rsidR="003B71E2" w:rsidRPr="1516795E">
        <w:rPr>
          <w:strike/>
        </w:rPr>
        <w:t>, auditor se také vyjádří, zda použité značkování je v souladu s právními předpisy nebo přímo použitelnými předpisy Evropské unie.</w:t>
      </w:r>
    </w:p>
    <w:p w14:paraId="299127B2" w14:textId="77777777" w:rsidR="003B71E2" w:rsidRDefault="003B71E2" w:rsidP="00992796">
      <w:pPr>
        <w:pStyle w:val="Paragraf"/>
        <w:numPr>
          <w:ilvl w:val="0"/>
          <w:numId w:val="49"/>
        </w:numPr>
        <w:spacing w:after="120"/>
      </w:pPr>
      <w:r>
        <w:t>§ 20c</w:t>
      </w:r>
    </w:p>
    <w:p w14:paraId="40AC9A5A" w14:textId="77777777" w:rsidR="003B71E2" w:rsidRDefault="003B71E2" w:rsidP="005C2B2D">
      <w:pPr>
        <w:pStyle w:val="Nadpisparagrafu"/>
        <w:numPr>
          <w:ilvl w:val="0"/>
          <w:numId w:val="49"/>
        </w:numPr>
        <w:pBdr>
          <w:top w:val="single" w:sz="12" w:space="1" w:color="0070C0"/>
          <w:left w:val="single" w:sz="12" w:space="4" w:color="0070C0"/>
          <w:bottom w:val="single" w:sz="12" w:space="1" w:color="0070C0"/>
          <w:right w:val="single" w:sz="12" w:space="4" w:color="0070C0"/>
        </w:pBdr>
        <w:spacing w:after="120"/>
        <w:rPr>
          <w:bCs/>
        </w:rPr>
      </w:pPr>
      <w:r w:rsidRPr="005B52D2">
        <w:rPr>
          <w:color w:val="5B9BD5" w:themeColor="accent1"/>
        </w:rPr>
        <w:t>Společné provedení povinného auditu nebo ověření zprávy o udržitelnosti</w:t>
      </w:r>
    </w:p>
    <w:p w14:paraId="38AA3B7F" w14:textId="77777777" w:rsidR="003B71E2" w:rsidRDefault="003B71E2" w:rsidP="005C2B2D">
      <w:pPr>
        <w:pStyle w:val="PZTextodstavce"/>
        <w:numPr>
          <w:ilvl w:val="0"/>
          <w:numId w:val="49"/>
        </w:numPr>
        <w:pBdr>
          <w:top w:val="single" w:sz="12" w:space="1" w:color="0070C0"/>
          <w:left w:val="single" w:sz="12" w:space="4" w:color="0070C0"/>
          <w:bottom w:val="single" w:sz="12" w:space="1" w:color="0070C0"/>
          <w:right w:val="single" w:sz="12" w:space="4" w:color="0070C0"/>
        </w:pBdr>
        <w:spacing w:before="240"/>
        <w:ind w:firstLine="426"/>
      </w:pPr>
      <w:r>
        <w:t>Určí-li účetní jednotka více než jednoho statutárního auditora vykonávajícího auditorskou činnost vlastním jménem a na vlastní účet nebo více než jednu auditorskou společnost pro společné provedení povinného auditu</w:t>
      </w:r>
      <w:r w:rsidRPr="3FAAB357">
        <w:rPr>
          <w:b/>
          <w:bCs/>
        </w:rPr>
        <w:t xml:space="preserve"> </w:t>
      </w:r>
      <w:r w:rsidRPr="00757D69">
        <w:rPr>
          <w:color w:val="5B9BD5" w:themeColor="accent1"/>
        </w:rPr>
        <w:t>nebo ověření zprávy o udržitelnosti</w:t>
      </w:r>
      <w:r>
        <w:t>, vyhotovují určení auditoři společnou zprávu auditora obsahující společný výrok auditora; § 20</w:t>
      </w:r>
      <w:r w:rsidRPr="72629DD7">
        <w:rPr>
          <w:b/>
          <w:bCs/>
        </w:rPr>
        <w:t>, 20a</w:t>
      </w:r>
      <w:r>
        <w:t xml:space="preserve"> </w:t>
      </w:r>
      <w:r w:rsidRPr="00757D69">
        <w:rPr>
          <w:color w:val="5B9BD5" w:themeColor="accent1"/>
        </w:rPr>
        <w:t>a 20ab</w:t>
      </w:r>
      <w:r>
        <w:t xml:space="preserve"> se použije obdobně. Dospějí-li statutární auditoři vykonávající auditorskou činnost vlastním jménem a na vlastní účet nebo auditorské společnosti vzájemně k rozdílnému stanovisku auditora, ve společné zprávě auditora uvede každý z nich vlastní výrok auditora a důvody neshody.</w:t>
      </w:r>
    </w:p>
    <w:p w14:paraId="75B957F1" w14:textId="77777777" w:rsidR="003B71E2" w:rsidRDefault="003B71E2" w:rsidP="00992796">
      <w:pPr>
        <w:pStyle w:val="paragraf0"/>
        <w:numPr>
          <w:ilvl w:val="0"/>
          <w:numId w:val="49"/>
        </w:numPr>
        <w:spacing w:after="120"/>
        <w:rPr>
          <w:noProof w:val="0"/>
        </w:rPr>
      </w:pPr>
      <w:r>
        <w:rPr>
          <w:noProof w:val="0"/>
        </w:rPr>
        <w:t>***</w:t>
      </w:r>
    </w:p>
    <w:p w14:paraId="626FAC77" w14:textId="77777777" w:rsidR="003B71E2" w:rsidRPr="008C557E" w:rsidRDefault="003B71E2" w:rsidP="00992796">
      <w:pPr>
        <w:pStyle w:val="Paragraf"/>
        <w:numPr>
          <w:ilvl w:val="0"/>
          <w:numId w:val="49"/>
        </w:numPr>
        <w:spacing w:after="120"/>
      </w:pPr>
      <w:r w:rsidRPr="008C557E">
        <w:t>§ 24</w:t>
      </w:r>
    </w:p>
    <w:p w14:paraId="71382B11" w14:textId="77777777" w:rsidR="003B71E2" w:rsidRPr="008C557E" w:rsidRDefault="003B71E2" w:rsidP="00992796">
      <w:pPr>
        <w:pStyle w:val="Nadpisparagrafu"/>
        <w:numPr>
          <w:ilvl w:val="0"/>
          <w:numId w:val="49"/>
        </w:numPr>
        <w:spacing w:after="120"/>
      </w:pPr>
      <w:r w:rsidRPr="008C557E">
        <w:t>Systém zajištění kvality</w:t>
      </w:r>
    </w:p>
    <w:p w14:paraId="12D92337" w14:textId="58A12C15" w:rsidR="003B71E2" w:rsidRPr="008C557E" w:rsidRDefault="002043DD" w:rsidP="002043DD">
      <w:pPr>
        <w:pStyle w:val="PZTextodstavce"/>
        <w:tabs>
          <w:tab w:val="clear" w:pos="851"/>
        </w:tabs>
        <w:spacing w:before="240"/>
      </w:pPr>
      <w:r>
        <w:t xml:space="preserve">(1) </w:t>
      </w:r>
      <w:r w:rsidR="003B71E2" w:rsidRPr="008C557E">
        <w:t>Kontrolou kvality u auditora se zjišťuje, zda auditor postupuje při provádění auditorské činnosti v souladu s</w:t>
      </w:r>
    </w:p>
    <w:p w14:paraId="2F28A828" w14:textId="2C78384A" w:rsidR="003B71E2" w:rsidRPr="008C557E" w:rsidRDefault="005C2B2D" w:rsidP="005C2B2D">
      <w:pPr>
        <w:pStyle w:val="PZTextpsmene"/>
        <w:spacing w:before="0"/>
      </w:pPr>
      <w:r>
        <w:t>a)</w:t>
      </w:r>
      <w:r>
        <w:tab/>
      </w:r>
      <w:r w:rsidR="003B71E2" w:rsidRPr="008C557E">
        <w:t>tímto zákonem, auditorskými standardy podle § 18, etickým kodexem a vnitřními předpisy Komory a</w:t>
      </w:r>
    </w:p>
    <w:p w14:paraId="45C7E2B1" w14:textId="2F05CF00" w:rsidR="003B71E2" w:rsidRPr="008C557E" w:rsidRDefault="005C2B2D" w:rsidP="005C2B2D">
      <w:pPr>
        <w:pStyle w:val="PZTextpsmene"/>
        <w:spacing w:before="0"/>
      </w:pPr>
      <w:r>
        <w:lastRenderedPageBreak/>
        <w:t>b)</w:t>
      </w:r>
      <w:r>
        <w:tab/>
      </w:r>
      <w:r w:rsidR="003B71E2" w:rsidRPr="008C557E">
        <w:t>přímo použitelným předpisem Evropské unie upravujícím specifické požadavky na povinný audit subjektů veřejného zájmu.</w:t>
      </w:r>
    </w:p>
    <w:p w14:paraId="20508A2D" w14:textId="317A718C" w:rsidR="003B71E2" w:rsidRPr="008C557E" w:rsidRDefault="002043DD" w:rsidP="002043DD">
      <w:pPr>
        <w:pStyle w:val="PZTextodstavce"/>
        <w:tabs>
          <w:tab w:val="clear" w:pos="851"/>
        </w:tabs>
        <w:spacing w:before="240"/>
        <w:ind w:left="426" w:firstLine="0"/>
      </w:pPr>
      <w:r>
        <w:t xml:space="preserve">(2) </w:t>
      </w:r>
      <w:r w:rsidR="003B71E2" w:rsidRPr="008C557E">
        <w:t>Systém zajištění kvality zahrnuje kontroly kvality organizované a řízené</w:t>
      </w:r>
    </w:p>
    <w:p w14:paraId="4CD1AD13" w14:textId="3FF09811" w:rsidR="003B71E2" w:rsidRPr="008C557E" w:rsidRDefault="005C2B2D" w:rsidP="005C2B2D">
      <w:pPr>
        <w:pStyle w:val="PZTextpsmene"/>
        <w:spacing w:before="0"/>
      </w:pPr>
      <w:r>
        <w:t>a)</w:t>
      </w:r>
      <w:r>
        <w:tab/>
      </w:r>
      <w:r w:rsidR="003B71E2" w:rsidRPr="008C557E">
        <w:t>kontrolním výborem podle § 39c odst. 4 písm. a) a</w:t>
      </w:r>
    </w:p>
    <w:p w14:paraId="22E98BBE" w14:textId="174239A2" w:rsidR="003B71E2" w:rsidRPr="008C557E" w:rsidRDefault="005C2B2D" w:rsidP="005C2B2D">
      <w:pPr>
        <w:pStyle w:val="PZTextpsmene"/>
        <w:spacing w:before="0"/>
      </w:pPr>
      <w:r>
        <w:t>b)</w:t>
      </w:r>
      <w:r>
        <w:tab/>
      </w:r>
      <w:r w:rsidR="003B71E2" w:rsidRPr="008C557E">
        <w:t>dozorčí komisí podle § 35 odst. 1.</w:t>
      </w:r>
    </w:p>
    <w:p w14:paraId="74A2C9B1" w14:textId="3F53FB4E" w:rsidR="003B71E2" w:rsidRPr="008C557E" w:rsidRDefault="002043DD" w:rsidP="002043DD">
      <w:pPr>
        <w:pStyle w:val="PZTextodstavce"/>
        <w:tabs>
          <w:tab w:val="clear" w:pos="851"/>
        </w:tabs>
        <w:spacing w:before="240"/>
      </w:pPr>
      <w:r>
        <w:t xml:space="preserve">(3) </w:t>
      </w:r>
      <w:r w:rsidR="003B71E2" w:rsidRPr="008C557E">
        <w:t>Systému zajištění kvality podléhají všichni auditoři, nestanoví-li tento zákon jinak.</w:t>
      </w:r>
    </w:p>
    <w:p w14:paraId="24208B0E" w14:textId="3CCA9753" w:rsidR="003B71E2" w:rsidRPr="008C557E" w:rsidRDefault="002043DD" w:rsidP="002043DD">
      <w:pPr>
        <w:pStyle w:val="PZTextodstavce"/>
        <w:tabs>
          <w:tab w:val="clear" w:pos="851"/>
        </w:tabs>
        <w:spacing w:before="240"/>
      </w:pPr>
      <w:r>
        <w:t xml:space="preserve">(4) </w:t>
      </w:r>
      <w:r w:rsidR="003B71E2" w:rsidRPr="008C557E">
        <w:t>Systém zajištění kvality musí splňovat tato kritéria:</w:t>
      </w:r>
    </w:p>
    <w:p w14:paraId="0F836664" w14:textId="38A54FB7" w:rsidR="003B71E2" w:rsidRPr="008C557E" w:rsidRDefault="005C2B2D" w:rsidP="005C2B2D">
      <w:pPr>
        <w:pStyle w:val="PZTextpsmene"/>
        <w:spacing w:before="0"/>
      </w:pPr>
      <w:r>
        <w:t>a)</w:t>
      </w:r>
      <w:r>
        <w:tab/>
      </w:r>
      <w:r w:rsidR="003B71E2" w:rsidRPr="008C557E">
        <w:t>je nezávislý na kontrolovaných auditorech,</w:t>
      </w:r>
    </w:p>
    <w:p w14:paraId="3EFBB6B0" w14:textId="79747A12" w:rsidR="003B71E2" w:rsidRPr="008C557E" w:rsidRDefault="005C2B2D" w:rsidP="005C2B2D">
      <w:pPr>
        <w:pStyle w:val="PZTextpsmene"/>
        <w:spacing w:before="0"/>
      </w:pPr>
      <w:r>
        <w:t>b)</w:t>
      </w:r>
      <w:r>
        <w:tab/>
      </w:r>
      <w:r w:rsidR="003B71E2" w:rsidRPr="008C557E">
        <w:t>podléhá veřejnému dohledu podle hlavy VI,</w:t>
      </w:r>
    </w:p>
    <w:p w14:paraId="599C45CB" w14:textId="4A1ED004" w:rsidR="003B71E2" w:rsidRPr="008C557E" w:rsidRDefault="005C2B2D" w:rsidP="005C2B2D">
      <w:pPr>
        <w:pStyle w:val="PZTextpsmene"/>
        <w:spacing w:before="0"/>
      </w:pPr>
      <w:r>
        <w:t>c)</w:t>
      </w:r>
      <w:r>
        <w:tab/>
      </w:r>
      <w:r w:rsidR="003B71E2" w:rsidRPr="008C557E">
        <w:t>kontrolu kvality provádí kontrolor kvality; tím není dotčen čl. 26 odst. 5 druhý pododstavec nařízení Evropského parlamentu a Rady (EU) č. 537/2014,</w:t>
      </w:r>
    </w:p>
    <w:p w14:paraId="5B2E5E00" w14:textId="131FF6D7" w:rsidR="003B71E2" w:rsidRPr="008C557E" w:rsidRDefault="005C2B2D" w:rsidP="005C2B2D">
      <w:pPr>
        <w:pStyle w:val="PZTextpsmene"/>
        <w:spacing w:before="0"/>
      </w:pPr>
      <w:r>
        <w:t>d)</w:t>
      </w:r>
      <w:r>
        <w:tab/>
      </w:r>
      <w:r w:rsidR="003B71E2" w:rsidRPr="008C557E">
        <w:t>provedení kontroly kvality se stanovuje na základě analýzy rizik, a to u</w:t>
      </w:r>
    </w:p>
    <w:p w14:paraId="1CD91D5D" w14:textId="16310727" w:rsidR="003B71E2" w:rsidRPr="009B3FCC" w:rsidRDefault="003A29DA" w:rsidP="00992796">
      <w:pPr>
        <w:pStyle w:val="Odstavecseseznamem"/>
        <w:numPr>
          <w:ilvl w:val="8"/>
          <w:numId w:val="51"/>
        </w:numPr>
        <w:tabs>
          <w:tab w:val="left" w:pos="426"/>
          <w:tab w:val="left" w:pos="851"/>
        </w:tabs>
        <w:spacing w:before="0"/>
        <w:ind w:left="850" w:hanging="425"/>
        <w:contextualSpacing w:val="0"/>
      </w:pPr>
      <w:r>
        <w:t>1.</w:t>
      </w:r>
      <w:r>
        <w:tab/>
      </w:r>
      <w:r w:rsidR="003B71E2" w:rsidRPr="009B3FCC">
        <w:t>auditora provádějícího povinný audit alespoň jednoho subjektu veřejného zájmu, ve lhůtách upravených v čl. 26 odst. 2 druhý pododstavec nařízení Evropského parlamentu a Rady (EU) č. 537/2014,</w:t>
      </w:r>
    </w:p>
    <w:p w14:paraId="504839D2" w14:textId="524D3245" w:rsidR="003B71E2" w:rsidRPr="009B3FCC" w:rsidRDefault="003A29DA" w:rsidP="00992796">
      <w:pPr>
        <w:pStyle w:val="Odstavecseseznamem"/>
        <w:numPr>
          <w:ilvl w:val="6"/>
          <w:numId w:val="51"/>
        </w:numPr>
        <w:tabs>
          <w:tab w:val="left" w:pos="426"/>
          <w:tab w:val="left" w:pos="851"/>
        </w:tabs>
        <w:spacing w:before="0"/>
        <w:ind w:left="850" w:hanging="425"/>
        <w:contextualSpacing w:val="0"/>
      </w:pPr>
      <w:r>
        <w:t>2.</w:t>
      </w:r>
      <w:r>
        <w:tab/>
      </w:r>
      <w:r w:rsidR="003B71E2" w:rsidRPr="009B3FCC">
        <w:t>auditora, který neprovádí povinný audit ani u jednoho subjektu veřejného zájmu, nejméně jednou za 6 let.</w:t>
      </w:r>
    </w:p>
    <w:p w14:paraId="7DDF209A" w14:textId="389CB561" w:rsidR="003B71E2" w:rsidRPr="008C557E" w:rsidRDefault="003A29DA" w:rsidP="003A29DA">
      <w:pPr>
        <w:pStyle w:val="PZTextodstavce"/>
        <w:tabs>
          <w:tab w:val="clear" w:pos="851"/>
        </w:tabs>
        <w:spacing w:before="240"/>
      </w:pPr>
      <w:r>
        <w:t xml:space="preserve">(5) </w:t>
      </w:r>
      <w:r w:rsidR="003B71E2" w:rsidRPr="008C557E">
        <w:t>Za auditora provádějícího povinný audit alespoň jednoho subjektu veřejného zájmu se pro účely systému zajištění kvality považuje auditor, který provedl povinný audit u subjektu veřejného zájmu</w:t>
      </w:r>
    </w:p>
    <w:p w14:paraId="73F2A2B0" w14:textId="25EEFF57" w:rsidR="003B71E2" w:rsidRPr="001F112A" w:rsidRDefault="005C2B2D" w:rsidP="005C2B2D">
      <w:pPr>
        <w:pStyle w:val="PZTextpsmene"/>
        <w:spacing w:before="0"/>
      </w:pPr>
      <w:r>
        <w:t>a)</w:t>
      </w:r>
      <w:r>
        <w:tab/>
      </w:r>
      <w:r w:rsidR="003B71E2" w:rsidRPr="001F112A">
        <w:t>podle čl. 26 odst. 2 písm. a) nařízení Evropského parlamentu a Rady (EU) č. 537/2014, a to po dobu 3 let od počátku účetního období, za které tento povinný audit u subjektu veřejného zájmu provedl,</w:t>
      </w:r>
    </w:p>
    <w:p w14:paraId="3E5825C2" w14:textId="2CE75910" w:rsidR="003B71E2" w:rsidRPr="001F112A" w:rsidRDefault="005C2B2D" w:rsidP="005C2B2D">
      <w:pPr>
        <w:pStyle w:val="PZTextpsmene"/>
        <w:spacing w:before="0"/>
      </w:pPr>
      <w:r>
        <w:t>b)</w:t>
      </w:r>
      <w:r>
        <w:tab/>
      </w:r>
      <w:r w:rsidR="003B71E2" w:rsidRPr="001F112A">
        <w:t>podle čl. 26 odst. 2 písm. b) nařízení Evropského parlamentu a Rady (EU) č. 537/2014, a to po dobu 6 let od počátku účetního období, za které tento povinný audit u subjektu veřejného zájmu provedl.</w:t>
      </w:r>
    </w:p>
    <w:p w14:paraId="56AD6C00" w14:textId="1B3A35C8" w:rsidR="003B71E2" w:rsidRDefault="003A29DA" w:rsidP="005C2B2D">
      <w:pPr>
        <w:pStyle w:val="PZTextodstavce"/>
        <w:tabs>
          <w:tab w:val="clear" w:pos="851"/>
        </w:tabs>
      </w:pPr>
      <w:r>
        <w:t xml:space="preserve">(6) </w:t>
      </w:r>
      <w:r w:rsidR="003B71E2">
        <w:t>Jednou ročně Komora zpracovává dílčí zprávu o výsledcích kontrol kvality prováděných Komorou, kterou předává Radě ve lhůtě nejpozději do 3 měsíců od skončení kalendářního roku.</w:t>
      </w:r>
    </w:p>
    <w:p w14:paraId="561524C0" w14:textId="67E8D00B" w:rsidR="003B71E2" w:rsidRPr="00900F74" w:rsidRDefault="003A29DA" w:rsidP="005C2B2D">
      <w:pPr>
        <w:pStyle w:val="PZTextodstavce"/>
        <w:tabs>
          <w:tab w:val="clear" w:pos="851"/>
        </w:tabs>
      </w:pPr>
      <w:r>
        <w:t xml:space="preserve">(7) </w:t>
      </w:r>
      <w:r w:rsidR="003B71E2">
        <w:t>Jednou ročně vydává Rada souhrnnou zprávu o systému zajištění kvality, v níž uvádí podstatná zjištění, zejména opakované nedostatky vnitřních systémů řízení kvality u</w:t>
      </w:r>
      <w:r w:rsidR="003B71E2" w:rsidRPr="001F112A">
        <w:rPr>
          <w:rFonts w:eastAsia="Calibri"/>
        </w:rPr>
        <w:t xml:space="preserve"> auditorů,</w:t>
      </w:r>
      <w:r w:rsidR="003B71E2" w:rsidRPr="7D137FA1">
        <w:rPr>
          <w:rFonts w:eastAsia="Calibri"/>
        </w:rPr>
        <w:t xml:space="preserve"> které vyplývají z provedených kontrol kvality </w:t>
      </w:r>
      <w:r w:rsidR="003B71E2" w:rsidRPr="003A29DA">
        <w:rPr>
          <w:rFonts w:eastAsiaTheme="minorEastAsia"/>
          <w:b/>
          <w:bCs/>
        </w:rPr>
        <w:t>a informace podle čl. 28 písm. c) a d) nařízení Evropského parlamentu a Rady (EU) č. 537/2014</w:t>
      </w:r>
      <w:r w:rsidR="003B71E2" w:rsidRPr="7D137FA1">
        <w:rPr>
          <w:rFonts w:eastAsia="Calibri"/>
        </w:rPr>
        <w:t>. Souhrnná zpráva o systému zajištění kvality obsahuje i informace vycházející z dílčí zprá</w:t>
      </w:r>
      <w:r w:rsidR="003B71E2">
        <w:rPr>
          <w:rFonts w:eastAsia="Calibri"/>
        </w:rPr>
        <w:t>vy zpracované podle odstavce 6</w:t>
      </w:r>
      <w:r w:rsidR="003B71E2" w:rsidRPr="7D137FA1">
        <w:rPr>
          <w:rFonts w:eastAsia="Calibri"/>
        </w:rPr>
        <w:t>. Souhrnnou zprávu o systému zajištění kvality zveřejní Rada na svých internetových stránkách nejpozději do 6 měsíců od skončení kalendářního roku.</w:t>
      </w:r>
    </w:p>
    <w:p w14:paraId="34A7BDED" w14:textId="77777777" w:rsidR="003B71E2" w:rsidRDefault="003B71E2" w:rsidP="00992796">
      <w:pPr>
        <w:pStyle w:val="Paragraf"/>
        <w:numPr>
          <w:ilvl w:val="0"/>
          <w:numId w:val="52"/>
        </w:numPr>
        <w:spacing w:after="120"/>
        <w:rPr>
          <w:color w:val="000000" w:themeColor="text1"/>
          <w:szCs w:val="24"/>
        </w:rPr>
      </w:pPr>
      <w:r w:rsidRPr="54FB3FA8">
        <w:rPr>
          <w:color w:val="000000" w:themeColor="text1"/>
          <w:szCs w:val="24"/>
        </w:rPr>
        <w:t>§ 24b</w:t>
      </w:r>
    </w:p>
    <w:p w14:paraId="222DF927" w14:textId="77777777" w:rsidR="003B71E2" w:rsidRDefault="003B71E2" w:rsidP="00992796">
      <w:pPr>
        <w:pStyle w:val="Nadpisparagrafu"/>
        <w:numPr>
          <w:ilvl w:val="0"/>
          <w:numId w:val="52"/>
        </w:numPr>
        <w:spacing w:after="120"/>
        <w:rPr>
          <w:bCs/>
          <w:color w:val="000000" w:themeColor="text1"/>
          <w:szCs w:val="24"/>
        </w:rPr>
      </w:pPr>
      <w:r w:rsidRPr="54FB3FA8">
        <w:rPr>
          <w:bCs/>
          <w:color w:val="000000" w:themeColor="text1"/>
          <w:szCs w:val="24"/>
        </w:rPr>
        <w:t>Plán kontrol kvality</w:t>
      </w:r>
    </w:p>
    <w:p w14:paraId="58BC0EA7" w14:textId="1A760DE9" w:rsidR="003B71E2" w:rsidRDefault="003A29DA" w:rsidP="005C2B2D">
      <w:pPr>
        <w:pStyle w:val="PZTextodstavce"/>
        <w:tabs>
          <w:tab w:val="clear" w:pos="851"/>
        </w:tabs>
        <w:rPr>
          <w:color w:val="000000" w:themeColor="text1"/>
          <w:szCs w:val="24"/>
        </w:rPr>
      </w:pPr>
      <w:r>
        <w:t xml:space="preserve">(1) </w:t>
      </w:r>
      <w:r w:rsidR="003B71E2" w:rsidRPr="54FB3FA8">
        <w:t>Komora předloží Radě v každém kalendářním pololetí návrh plánu na provedení kontrol kvality organizovaných a řízených dozorčí komisí. Při předložení návrhu plánu Radě Komora vždy uvede, jakým způsobem zohlednila kritéria uvedená v § 24 odst. 4 písm. d).</w:t>
      </w:r>
    </w:p>
    <w:p w14:paraId="418B136E" w14:textId="5A1A9BD9" w:rsidR="003B71E2" w:rsidRDefault="003A29DA" w:rsidP="005C2B2D">
      <w:pPr>
        <w:pStyle w:val="PZTextodstavce"/>
        <w:tabs>
          <w:tab w:val="clear" w:pos="851"/>
        </w:tabs>
        <w:rPr>
          <w:color w:val="000000" w:themeColor="text1"/>
          <w:szCs w:val="24"/>
        </w:rPr>
      </w:pPr>
      <w:r>
        <w:lastRenderedPageBreak/>
        <w:t xml:space="preserve">(2) </w:t>
      </w:r>
      <w:r w:rsidR="003B71E2" w:rsidRPr="54FB3FA8">
        <w:t xml:space="preserve">V návrhu plánu podle odstavce 1 Komora uvede jméno auditora, u něhož je kontrola kvality plánována, jméno, popřípadě jména kontrolorů kvality pověřených provedením kontroly kvality, jméno navrženého vedoucího kontrolní skupiny a </w:t>
      </w:r>
      <w:r w:rsidR="003B71E2" w:rsidRPr="54FB3FA8">
        <w:rPr>
          <w:b/>
          <w:bCs/>
        </w:rPr>
        <w:t>předpokládaný</w:t>
      </w:r>
      <w:r w:rsidR="003B71E2" w:rsidRPr="54FB3FA8">
        <w:t xml:space="preserve"> termín zahájení kontroly kvality.</w:t>
      </w:r>
    </w:p>
    <w:p w14:paraId="0F7538FB" w14:textId="25EC1042" w:rsidR="003B71E2" w:rsidRDefault="003A29DA" w:rsidP="005C2B2D">
      <w:pPr>
        <w:pStyle w:val="PZTextodstavce"/>
        <w:tabs>
          <w:tab w:val="clear" w:pos="851"/>
        </w:tabs>
        <w:rPr>
          <w:color w:val="000000" w:themeColor="text1"/>
          <w:szCs w:val="24"/>
        </w:rPr>
      </w:pPr>
      <w:r>
        <w:t xml:space="preserve">(3) </w:t>
      </w:r>
      <w:r w:rsidR="003B71E2" w:rsidRPr="54FB3FA8">
        <w:t>Rada zpracuje plán kontrol kvality kontrolního výboru a dozorčí komise pro účely splnění kritérií uvedených v § 24 odst. 4 písm. d); při jeho zpracování zohlední návrh plánu předložený Komorou. Plán kontrol kvality obsahuje údaje podle odstavce 2.</w:t>
      </w:r>
    </w:p>
    <w:p w14:paraId="1F17BCBE" w14:textId="13A8BDCF" w:rsidR="003B71E2" w:rsidRDefault="003A29DA" w:rsidP="005C2B2D">
      <w:pPr>
        <w:pStyle w:val="PZTextodstavce"/>
      </w:pPr>
      <w:r>
        <w:t xml:space="preserve">(4) </w:t>
      </w:r>
      <w:r w:rsidR="003B71E2" w:rsidRPr="54FB3FA8">
        <w:t>O záměru provést kontrolu kvality organizovanou a řízenou dozorčí komisí, která není zahrnuta v plánu kontrol kvality, je Komora povinna informovat Radu s uvedením důvodů nebo rizik, pro které má být taková kontrola kvality provedena.</w:t>
      </w:r>
    </w:p>
    <w:p w14:paraId="6CB08A68" w14:textId="77777777" w:rsidR="003B71E2" w:rsidRDefault="003B71E2" w:rsidP="00992796">
      <w:pPr>
        <w:pStyle w:val="paragraf0"/>
        <w:numPr>
          <w:ilvl w:val="0"/>
          <w:numId w:val="52"/>
        </w:numPr>
        <w:spacing w:after="120"/>
        <w:rPr>
          <w:noProof w:val="0"/>
        </w:rPr>
      </w:pPr>
      <w:r>
        <w:rPr>
          <w:noProof w:val="0"/>
        </w:rPr>
        <w:t>***</w:t>
      </w:r>
    </w:p>
    <w:p w14:paraId="4BBA9943" w14:textId="77777777" w:rsidR="003B71E2" w:rsidRDefault="003B71E2" w:rsidP="00992796">
      <w:pPr>
        <w:pStyle w:val="Paragraf"/>
        <w:numPr>
          <w:ilvl w:val="0"/>
          <w:numId w:val="52"/>
        </w:numPr>
        <w:spacing w:after="120"/>
      </w:pPr>
      <w:r>
        <w:t>§ 36</w:t>
      </w:r>
    </w:p>
    <w:p w14:paraId="50968551" w14:textId="77777777" w:rsidR="003B71E2" w:rsidRDefault="003B71E2" w:rsidP="00992796">
      <w:pPr>
        <w:pStyle w:val="Nadpisparagrafu"/>
        <w:numPr>
          <w:ilvl w:val="0"/>
          <w:numId w:val="52"/>
        </w:numPr>
        <w:spacing w:after="120"/>
      </w:pPr>
      <w:r>
        <w:t>Kárná komise</w:t>
      </w:r>
    </w:p>
    <w:p w14:paraId="3985566F" w14:textId="40B3E124" w:rsidR="003B71E2" w:rsidRDefault="003A29DA" w:rsidP="005C2B2D">
      <w:pPr>
        <w:pStyle w:val="PZTextodstavce"/>
      </w:pPr>
      <w:r>
        <w:t xml:space="preserve">(1) </w:t>
      </w:r>
      <w:r w:rsidR="003B71E2">
        <w:t>Kárná komise vykonává působnost stanovenou tímto zákonem. Počet členů a náhradníků kárné komise stanoví statut Komory.</w:t>
      </w:r>
    </w:p>
    <w:p w14:paraId="4B51AA47" w14:textId="1499AAF9" w:rsidR="003B71E2" w:rsidRDefault="003A29DA" w:rsidP="005C2B2D">
      <w:pPr>
        <w:pStyle w:val="PZTextodstavce"/>
      </w:pPr>
      <w:r>
        <w:t xml:space="preserve">(2) </w:t>
      </w:r>
      <w:r w:rsidR="003B71E2">
        <w:t>Kárná komise vykonává v prvním stupni působnost Komory v řízení o přestupku podle hlavy XIII a podle zákona o některých opatřeních proti legalizaci výnosů z trestné činnosti a financování terorismu. Odvolacím orgánem je Prezidium.</w:t>
      </w:r>
    </w:p>
    <w:p w14:paraId="16FE4A59" w14:textId="27B5E726" w:rsidR="003B71E2" w:rsidRDefault="003A29DA" w:rsidP="005C2B2D">
      <w:pPr>
        <w:pStyle w:val="PZTextodstavce"/>
      </w:pPr>
      <w:r>
        <w:t xml:space="preserve">(3) </w:t>
      </w:r>
      <w:r w:rsidR="003B71E2">
        <w:t>Kárná komise informuje nejméně jednou za 6 měsíců Komoru a Radu o výsledcích své činnosti.</w:t>
      </w:r>
    </w:p>
    <w:p w14:paraId="34770908" w14:textId="799BC1C7" w:rsidR="003B71E2" w:rsidRDefault="003A29DA" w:rsidP="005C2B2D">
      <w:pPr>
        <w:pStyle w:val="PZTextodstavce"/>
      </w:pPr>
      <w:r>
        <w:t xml:space="preserve">(4) </w:t>
      </w:r>
      <w:r w:rsidR="003B71E2">
        <w:t xml:space="preserve">Kárná komise poskytne Radě pravidelně jednou za kalendářní čtvrtletí informace o uložených opatřeních podle § 25 pro účely § 38 odst. 2 písm. </w:t>
      </w:r>
      <w:r w:rsidR="003B71E2" w:rsidRPr="1B99D3D7">
        <w:rPr>
          <w:strike/>
        </w:rPr>
        <w:t>q)</w:t>
      </w:r>
      <w:r w:rsidR="003B71E2">
        <w:t xml:space="preserve"> </w:t>
      </w:r>
      <w:r w:rsidR="003B71E2" w:rsidRPr="1B99D3D7">
        <w:rPr>
          <w:b/>
          <w:bCs/>
        </w:rPr>
        <w:t>r)</w:t>
      </w:r>
      <w:r w:rsidR="003B71E2">
        <w:t>.</w:t>
      </w:r>
    </w:p>
    <w:p w14:paraId="55A2436F" w14:textId="77777777" w:rsidR="003B71E2" w:rsidRDefault="003B71E2" w:rsidP="00992796">
      <w:pPr>
        <w:pStyle w:val="paragraf0"/>
        <w:numPr>
          <w:ilvl w:val="0"/>
          <w:numId w:val="52"/>
        </w:numPr>
        <w:spacing w:after="120"/>
        <w:rPr>
          <w:noProof w:val="0"/>
        </w:rPr>
      </w:pPr>
      <w:r>
        <w:rPr>
          <w:noProof w:val="0"/>
        </w:rPr>
        <w:t>***</w:t>
      </w:r>
    </w:p>
    <w:p w14:paraId="4D01D6C2" w14:textId="77777777" w:rsidR="003B71E2" w:rsidRPr="00B7145D" w:rsidRDefault="003B71E2" w:rsidP="00992796">
      <w:pPr>
        <w:pStyle w:val="Paragraf"/>
        <w:keepNext w:val="0"/>
        <w:keepLines w:val="0"/>
        <w:widowControl w:val="0"/>
        <w:numPr>
          <w:ilvl w:val="0"/>
          <w:numId w:val="52"/>
        </w:numPr>
        <w:tabs>
          <w:tab w:val="left" w:pos="426"/>
        </w:tabs>
        <w:spacing w:after="120"/>
        <w:ind w:left="426" w:hanging="426"/>
        <w:rPr>
          <w:szCs w:val="24"/>
        </w:rPr>
      </w:pPr>
      <w:r w:rsidRPr="00B7145D">
        <w:rPr>
          <w:szCs w:val="24"/>
        </w:rPr>
        <w:t>§ 38</w:t>
      </w:r>
    </w:p>
    <w:p w14:paraId="5A98BDB9" w14:textId="77777777" w:rsidR="003B71E2" w:rsidRPr="00CE59DD" w:rsidRDefault="003B71E2" w:rsidP="00992796">
      <w:pPr>
        <w:pStyle w:val="Nadpisparagrafu"/>
        <w:keepNext w:val="0"/>
        <w:keepLines w:val="0"/>
        <w:widowControl w:val="0"/>
        <w:numPr>
          <w:ilvl w:val="0"/>
          <w:numId w:val="52"/>
        </w:numPr>
        <w:tabs>
          <w:tab w:val="left" w:pos="425"/>
          <w:tab w:val="left" w:pos="851"/>
        </w:tabs>
        <w:spacing w:after="120"/>
        <w:rPr>
          <w:szCs w:val="24"/>
        </w:rPr>
      </w:pPr>
      <w:r>
        <w:rPr>
          <w:szCs w:val="24"/>
        </w:rPr>
        <w:t>Činnost Rady</w:t>
      </w:r>
    </w:p>
    <w:p w14:paraId="30B3359A" w14:textId="6870B218" w:rsidR="003B71E2" w:rsidRDefault="003A29DA" w:rsidP="00BF1739">
      <w:pPr>
        <w:pStyle w:val="PZTextodstavce"/>
        <w:pBdr>
          <w:top w:val="single" w:sz="12" w:space="1" w:color="0070C0"/>
          <w:left w:val="single" w:sz="12" w:space="1" w:color="0070C0"/>
          <w:bottom w:val="single" w:sz="12" w:space="1" w:color="0070C0"/>
          <w:right w:val="single" w:sz="12" w:space="1" w:color="0070C0"/>
        </w:pBdr>
        <w:spacing w:before="240"/>
      </w:pPr>
      <w:r>
        <w:t xml:space="preserve">(1) </w:t>
      </w:r>
      <w:r w:rsidR="003B71E2">
        <w:t xml:space="preserve">Výkonem veřejného dohledu podle § 37 odst. 2 se rozumí dohled nad </w:t>
      </w:r>
    </w:p>
    <w:p w14:paraId="661C3527" w14:textId="461FCB0D" w:rsidR="003B71E2" w:rsidRDefault="00BF1739" w:rsidP="00BF1739">
      <w:pPr>
        <w:pStyle w:val="PZTextpsmene"/>
        <w:pBdr>
          <w:top w:val="single" w:sz="12" w:space="1" w:color="0070C0"/>
          <w:left w:val="single" w:sz="12" w:space="1" w:color="0070C0"/>
          <w:bottom w:val="single" w:sz="12" w:space="1" w:color="0070C0"/>
          <w:right w:val="single" w:sz="12" w:space="1" w:color="0070C0"/>
        </w:pBdr>
        <w:spacing w:before="0"/>
      </w:pPr>
      <w:r>
        <w:t>a)</w:t>
      </w:r>
      <w:r>
        <w:tab/>
      </w:r>
      <w:r w:rsidR="003B71E2">
        <w:t>kontrolou dodržování ustanovení tohoto zákona, auditorských standardů podle § 18, etického kodexu a vnitřních předpisů Komory auditory a orgány Komory,</w:t>
      </w:r>
    </w:p>
    <w:p w14:paraId="632FFBB2" w14:textId="1516A9E5" w:rsidR="003B71E2" w:rsidRDefault="00BF1739" w:rsidP="00BF1739">
      <w:pPr>
        <w:pStyle w:val="PZTextpsmene"/>
        <w:pBdr>
          <w:top w:val="single" w:sz="12" w:space="1" w:color="0070C0"/>
          <w:left w:val="single" w:sz="12" w:space="1" w:color="0070C0"/>
          <w:bottom w:val="single" w:sz="12" w:space="1" w:color="0070C0"/>
          <w:right w:val="single" w:sz="12" w:space="1" w:color="0070C0"/>
        </w:pBdr>
        <w:spacing w:before="0"/>
      </w:pPr>
      <w:r>
        <w:t>b)</w:t>
      </w:r>
      <w:r>
        <w:tab/>
      </w:r>
      <w:r w:rsidR="003B71E2">
        <w:t>organizací, řízením a prováděním kontrol kvality organizovaných a řízených dozorčí komisí,</w:t>
      </w:r>
    </w:p>
    <w:p w14:paraId="42D7D666" w14:textId="7A6B8A69" w:rsidR="003B71E2" w:rsidRPr="003A29DA" w:rsidRDefault="00BF1739" w:rsidP="00BF1739">
      <w:pPr>
        <w:pStyle w:val="PZTextpsmene"/>
        <w:pBdr>
          <w:top w:val="single" w:sz="12" w:space="1" w:color="0070C0"/>
          <w:left w:val="single" w:sz="12" w:space="1" w:color="0070C0"/>
          <w:bottom w:val="single" w:sz="12" w:space="1" w:color="0070C0"/>
          <w:right w:val="single" w:sz="12" w:space="1" w:color="0070C0"/>
        </w:pBdr>
        <w:spacing w:before="0"/>
        <w:rPr>
          <w:color w:val="000000" w:themeColor="text1"/>
          <w:szCs w:val="24"/>
        </w:rPr>
      </w:pPr>
      <w:r>
        <w:rPr>
          <w:b/>
          <w:bCs/>
          <w:color w:val="000000" w:themeColor="text1"/>
          <w:szCs w:val="24"/>
        </w:rPr>
        <w:t>c)</w:t>
      </w:r>
      <w:r>
        <w:rPr>
          <w:b/>
          <w:bCs/>
          <w:color w:val="000000" w:themeColor="text1"/>
          <w:szCs w:val="24"/>
        </w:rPr>
        <w:tab/>
      </w:r>
      <w:r w:rsidR="003B71E2" w:rsidRPr="003A29DA">
        <w:rPr>
          <w:b/>
          <w:bCs/>
          <w:color w:val="000000" w:themeColor="text1"/>
          <w:szCs w:val="24"/>
        </w:rPr>
        <w:t>organizací a prováděním dílčích částí auditorské zkoušky a rozdílové zkoušky,</w:t>
      </w:r>
    </w:p>
    <w:p w14:paraId="1D30E22A" w14:textId="77777777" w:rsidR="003B71E2" w:rsidRDefault="003B71E2" w:rsidP="00BF1739">
      <w:pPr>
        <w:pStyle w:val="PZTextpsmene"/>
        <w:pBdr>
          <w:top w:val="single" w:sz="12" w:space="1" w:color="0070C0"/>
          <w:left w:val="single" w:sz="12" w:space="1" w:color="0070C0"/>
          <w:bottom w:val="single" w:sz="12" w:space="1" w:color="0070C0"/>
          <w:right w:val="single" w:sz="12" w:space="1" w:color="0070C0"/>
        </w:pBdr>
        <w:spacing w:before="0"/>
      </w:pPr>
      <w:r w:rsidRPr="08429720">
        <w:rPr>
          <w:strike/>
        </w:rPr>
        <w:t>c</w:t>
      </w:r>
      <w:r w:rsidRPr="1B99D3D7">
        <w:rPr>
          <w:b/>
        </w:rPr>
        <w:t>)</w:t>
      </w:r>
      <w:r w:rsidRPr="1B99D3D7">
        <w:rPr>
          <w:b/>
          <w:bCs/>
        </w:rPr>
        <w:t>d</w:t>
      </w:r>
      <w:r w:rsidRPr="08429720">
        <w:rPr>
          <w:b/>
        </w:rPr>
        <w:t>)</w:t>
      </w:r>
      <w:r>
        <w:tab/>
        <w:t>organizací a provozováním systému průběžného vzdělávání statutárních auditorů prováděného Komorou,</w:t>
      </w:r>
    </w:p>
    <w:p w14:paraId="77611822" w14:textId="77777777" w:rsidR="003B71E2" w:rsidRDefault="003B71E2" w:rsidP="00BF1739">
      <w:pPr>
        <w:pStyle w:val="PZTextpsmene"/>
        <w:pBdr>
          <w:top w:val="single" w:sz="12" w:space="1" w:color="0070C0"/>
          <w:left w:val="single" w:sz="12" w:space="1" w:color="0070C0"/>
          <w:bottom w:val="single" w:sz="12" w:space="1" w:color="0070C0"/>
          <w:right w:val="single" w:sz="12" w:space="1" w:color="0070C0"/>
        </w:pBdr>
        <w:spacing w:before="0"/>
      </w:pPr>
      <w:r w:rsidRPr="08429720">
        <w:rPr>
          <w:strike/>
        </w:rPr>
        <w:t>d</w:t>
      </w:r>
      <w:r w:rsidRPr="1B99D3D7">
        <w:rPr>
          <w:b/>
        </w:rPr>
        <w:t>)</w:t>
      </w:r>
      <w:r w:rsidRPr="1B99D3D7">
        <w:rPr>
          <w:b/>
          <w:bCs/>
        </w:rPr>
        <w:t>e</w:t>
      </w:r>
      <w:r w:rsidRPr="08429720">
        <w:rPr>
          <w:b/>
        </w:rPr>
        <w:t>)</w:t>
      </w:r>
      <w:r>
        <w:tab/>
        <w:t xml:space="preserve">uplatňováním kárných a jiných opatření podle tohoto zákona Komorou při řízeních proti auditorům, případně osobám registrovaným podle § 47 </w:t>
      </w:r>
      <w:r w:rsidRPr="00517D7D">
        <w:rPr>
          <w:color w:val="5B9BD5" w:themeColor="accent1"/>
        </w:rPr>
        <w:t>a 47a</w:t>
      </w:r>
      <w:r>
        <w:t>.</w:t>
      </w:r>
    </w:p>
    <w:p w14:paraId="6E647581" w14:textId="130E0621" w:rsidR="003B71E2" w:rsidRDefault="003A29DA" w:rsidP="003A29DA">
      <w:pPr>
        <w:pStyle w:val="PZTextodstavce"/>
        <w:spacing w:before="240"/>
      </w:pPr>
      <w:r>
        <w:t xml:space="preserve">(2) </w:t>
      </w:r>
      <w:r w:rsidR="003B71E2">
        <w:t>Rada</w:t>
      </w:r>
    </w:p>
    <w:p w14:paraId="1EFCD565" w14:textId="17B06F7A" w:rsidR="003B71E2" w:rsidRDefault="00BF1739" w:rsidP="00BF1739">
      <w:pPr>
        <w:pStyle w:val="PZTextpsmene"/>
        <w:spacing w:before="0"/>
      </w:pPr>
      <w:r>
        <w:t>a)</w:t>
      </w:r>
      <w:r>
        <w:tab/>
      </w:r>
      <w:r w:rsidR="003B71E2" w:rsidRPr="00F23D22">
        <w:t xml:space="preserve">spolupracuje s orgány podle čl. 25 nařízení Evropského parlamentu a Rady (EU) č. 537/2014 ve věcech týkajících se povinného auditu a plnění povinností podle tohoto zákona </w:t>
      </w:r>
      <w:r w:rsidR="003B71E2" w:rsidRPr="00F23D22">
        <w:lastRenderedPageBreak/>
        <w:t>a přímo použitelného předpisu Evropské unie upravujícího specifické požadavky na povinný audit subjektů veřejného zájmu,</w:t>
      </w:r>
    </w:p>
    <w:p w14:paraId="64933D29" w14:textId="5F468CB9" w:rsidR="003B71E2" w:rsidRDefault="00BF1739" w:rsidP="00BF1739">
      <w:pPr>
        <w:pStyle w:val="PZTextpsmene"/>
        <w:spacing w:before="0"/>
      </w:pPr>
      <w:r>
        <w:t>b)</w:t>
      </w:r>
      <w:r>
        <w:tab/>
      </w:r>
      <w:r w:rsidR="003B71E2" w:rsidRPr="00F23D22">
        <w:t>spolupracuje s orgány veřejného dohledu nad auditory ostatních členských států a třetích zemí za podmínek stanovených tímto zákonem a přímo použitelným předpisem Evropské unie upravujícím specifické požadavky na povinný audit subjektů veřejného zájmu a podílí se též na mezinárodní spolupráci dohledových orgánů, pokud je to nutné nebo žádoucí pro plnění povinností stanovených tímto zákonem nebo přímo použitelným předpisem Evropské unie upravujícím specifické požadavky na povinný audit subjektů veřejného zájmu,</w:t>
      </w:r>
    </w:p>
    <w:p w14:paraId="7F9E33F1" w14:textId="2DE80B54" w:rsidR="003B71E2" w:rsidRDefault="00BF1739" w:rsidP="00BF1739">
      <w:pPr>
        <w:pStyle w:val="PZTextpsmene"/>
        <w:spacing w:before="0"/>
      </w:pPr>
      <w:r>
        <w:t>c)</w:t>
      </w:r>
      <w:r>
        <w:tab/>
      </w:r>
      <w:r w:rsidR="003B71E2" w:rsidRPr="00F23D22">
        <w:t>spolupracuje s Českou národní bankou ve věci dohledu nad auditory provádějícími auditorskou činnost osobám podléhajícím dohledu České národní banky,</w:t>
      </w:r>
    </w:p>
    <w:p w14:paraId="733BB3E3" w14:textId="3EE5476E" w:rsidR="003B71E2" w:rsidRDefault="00BF1739" w:rsidP="00BF1739">
      <w:pPr>
        <w:pStyle w:val="PZTextpsmene"/>
        <w:spacing w:before="0"/>
      </w:pPr>
      <w:r>
        <w:t>d)</w:t>
      </w:r>
      <w:r>
        <w:tab/>
      </w:r>
      <w:r w:rsidR="003B71E2" w:rsidRPr="00F23D22">
        <w:t>spolupracuje s Komorou, Výborem evropských orgánů dohledu nad auditem a příslušnými orgány jiných členských států za účelem sjednocování požadavků na teoretickou přípravu a odbornou praxi a požadavků na rozdílovou zkoušku,</w:t>
      </w:r>
    </w:p>
    <w:p w14:paraId="5470F7BC" w14:textId="74E7E37B" w:rsidR="003B71E2" w:rsidRDefault="00BF1739" w:rsidP="00BF1739">
      <w:pPr>
        <w:pStyle w:val="PZTextpsmene"/>
        <w:spacing w:before="0"/>
      </w:pPr>
      <w:r>
        <w:t>e)</w:t>
      </w:r>
      <w:r>
        <w:tab/>
      </w:r>
      <w:r w:rsidR="003B71E2" w:rsidRPr="00F23D22">
        <w:t xml:space="preserve">plní funkci nadřízeného správního orgánu v případech stanovených tímto nebo jiným zákonem </w:t>
      </w:r>
      <w:r w:rsidR="003B71E2" w:rsidRPr="00BF1739">
        <w:rPr>
          <w:vertAlign w:val="superscript"/>
        </w:rPr>
        <w:t xml:space="preserve">21) </w:t>
      </w:r>
      <w:r w:rsidR="003B71E2" w:rsidRPr="00F23D22">
        <w:t>a dále ve věci přestupků projednávaných Komorou,</w:t>
      </w:r>
    </w:p>
    <w:p w14:paraId="0CDCD346" w14:textId="339B260A" w:rsidR="003B71E2" w:rsidRDefault="00BF1739" w:rsidP="00BF1739">
      <w:pPr>
        <w:pStyle w:val="PZTextpsmene"/>
        <w:spacing w:before="0"/>
      </w:pPr>
      <w:r>
        <w:t>f)</w:t>
      </w:r>
      <w:r>
        <w:tab/>
      </w:r>
      <w:r w:rsidR="003B71E2">
        <w:t>schvaluje</w:t>
      </w:r>
    </w:p>
    <w:p w14:paraId="0EA1CE18" w14:textId="6B7E4219" w:rsidR="003B71E2" w:rsidRDefault="00BF1739" w:rsidP="00BF1739">
      <w:pPr>
        <w:tabs>
          <w:tab w:val="left" w:pos="425"/>
        </w:tabs>
        <w:spacing w:before="0"/>
        <w:ind w:left="850" w:hanging="425"/>
      </w:pPr>
      <w:r>
        <w:t>1.</w:t>
      </w:r>
      <w:r>
        <w:tab/>
      </w:r>
      <w:r w:rsidR="003B71E2">
        <w:t>statut Rady</w:t>
      </w:r>
    </w:p>
    <w:p w14:paraId="706C21E4" w14:textId="583511DF" w:rsidR="003B71E2" w:rsidRDefault="00BF1739" w:rsidP="00BF1739">
      <w:pPr>
        <w:tabs>
          <w:tab w:val="left" w:pos="425"/>
        </w:tabs>
        <w:spacing w:before="0"/>
        <w:ind w:left="850" w:hanging="425"/>
      </w:pPr>
      <w:r>
        <w:t>2.</w:t>
      </w:r>
      <w:r>
        <w:tab/>
      </w:r>
      <w:r w:rsidR="003B71E2">
        <w:t>plán činnosti Rady,</w:t>
      </w:r>
    </w:p>
    <w:p w14:paraId="7F5D2A5A" w14:textId="52872B15" w:rsidR="003B71E2" w:rsidRDefault="00BF1739" w:rsidP="00BF1739">
      <w:pPr>
        <w:tabs>
          <w:tab w:val="left" w:pos="425"/>
        </w:tabs>
        <w:spacing w:before="0"/>
        <w:ind w:left="850" w:hanging="425"/>
      </w:pPr>
      <w:r>
        <w:t>3.</w:t>
      </w:r>
      <w:r>
        <w:tab/>
      </w:r>
      <w:r w:rsidR="003B71E2">
        <w:t>návrh rozpočtu Rady,</w:t>
      </w:r>
    </w:p>
    <w:p w14:paraId="342EA8B8" w14:textId="56C7EE1B" w:rsidR="003B71E2" w:rsidRDefault="00BF1739" w:rsidP="00BF1739">
      <w:pPr>
        <w:tabs>
          <w:tab w:val="left" w:pos="425"/>
        </w:tabs>
        <w:spacing w:before="0"/>
        <w:ind w:left="850" w:hanging="425"/>
      </w:pPr>
      <w:r>
        <w:t>4.</w:t>
      </w:r>
      <w:r>
        <w:tab/>
      </w:r>
      <w:r w:rsidR="003B71E2">
        <w:t>jednací řád Rady, organizační, spisový a podpisový řád Rady, řád ke kontrolám kvality a další vnitřní předpisy,</w:t>
      </w:r>
    </w:p>
    <w:p w14:paraId="7D0B7594" w14:textId="6D94D60C" w:rsidR="003B71E2" w:rsidRDefault="00BF1739" w:rsidP="00BF1739">
      <w:pPr>
        <w:tabs>
          <w:tab w:val="left" w:pos="425"/>
        </w:tabs>
        <w:spacing w:before="0"/>
        <w:ind w:left="850" w:hanging="425"/>
      </w:pPr>
      <w:r>
        <w:t>5.</w:t>
      </w:r>
      <w:r>
        <w:tab/>
      </w:r>
      <w:r w:rsidR="003B71E2">
        <w:t>zprávu o veřejném dohledu nad auditem podle odstavce 3,</w:t>
      </w:r>
    </w:p>
    <w:p w14:paraId="3BAAADB2" w14:textId="2E72EFDA" w:rsidR="003B71E2" w:rsidRDefault="00BF1739" w:rsidP="00BF1739">
      <w:pPr>
        <w:tabs>
          <w:tab w:val="left" w:pos="425"/>
        </w:tabs>
        <w:spacing w:before="0"/>
        <w:ind w:left="850" w:hanging="425"/>
      </w:pPr>
      <w:r>
        <w:t>6.</w:t>
      </w:r>
      <w:r>
        <w:tab/>
      </w:r>
      <w:r w:rsidR="003B71E2">
        <w:t>souhrnnou zprávu o systému zajištění kvality,</w:t>
      </w:r>
    </w:p>
    <w:p w14:paraId="1DD6541E" w14:textId="301E5931" w:rsidR="003B71E2" w:rsidRDefault="00BF1739" w:rsidP="00BF1739">
      <w:pPr>
        <w:tabs>
          <w:tab w:val="left" w:pos="425"/>
        </w:tabs>
        <w:spacing w:before="0"/>
        <w:ind w:left="850" w:hanging="425"/>
      </w:pPr>
      <w:r>
        <w:t>7.</w:t>
      </w:r>
      <w:r>
        <w:tab/>
      </w:r>
      <w:r w:rsidR="003B71E2">
        <w:t>plán kontrol kvality,</w:t>
      </w:r>
    </w:p>
    <w:p w14:paraId="4265BD31" w14:textId="564372AC" w:rsidR="003B71E2" w:rsidRDefault="00BF1739" w:rsidP="00BF1739">
      <w:pPr>
        <w:pStyle w:val="PZTextpsmene"/>
        <w:spacing w:before="0"/>
      </w:pPr>
      <w:r>
        <w:t>g)</w:t>
      </w:r>
      <w:r>
        <w:tab/>
      </w:r>
      <w:r w:rsidR="003B71E2">
        <w:t>projednává s Komorou návrhy změn vnitřních předpisů nebo návrhy vnitřních předpisů Komory před procesem jejich schvalování sněmem nebo výkonným výborem; členové Prezidia Rady mají právo účastnit se bez hlasovacího práva sněmu Komory nebo zasedání jiných orgánů Komory, členové disciplinárního výboru, kontrolního výboru a zaměstnanci Rady mají právo účastnit se bez hlasovacího práva sněmu Komory, zasedání dozorčí komise nebo kárné komise, a to po předchozím projednání s prezidentem Komory,</w:t>
      </w:r>
    </w:p>
    <w:p w14:paraId="5417E6C7" w14:textId="1D37AC25" w:rsidR="003B71E2" w:rsidRDefault="00BF1739" w:rsidP="00BF1739">
      <w:pPr>
        <w:pStyle w:val="PZTextpsmene"/>
        <w:spacing w:before="0"/>
      </w:pPr>
      <w:r>
        <w:t>h)</w:t>
      </w:r>
      <w:r>
        <w:tab/>
      </w:r>
      <w:r w:rsidR="003B71E2">
        <w:t>podává Komoře návrh na zrušení nebo změnu vnitřního předpisu Komory nebo jeho části, pokud jsou v rozporu s tímto zákonem nebo jiným právním předpisem; nevyhoví-li Komora tomuto návrhu ve lhůtě stanovené Radou, může podat návrh na zrušení vnitřního předpisu Komory nebo jeho části soudem,</w:t>
      </w:r>
    </w:p>
    <w:p w14:paraId="33FD424D" w14:textId="0171B846" w:rsidR="003B71E2" w:rsidRDefault="00BF1739" w:rsidP="00BF1739">
      <w:pPr>
        <w:pStyle w:val="PZTextpsmene"/>
        <w:spacing w:before="0"/>
      </w:pPr>
      <w:r>
        <w:t>i)</w:t>
      </w:r>
      <w:r>
        <w:tab/>
      </w:r>
      <w:r w:rsidR="003B71E2">
        <w:t>vydává doporučení pro účely výkonu veřejného dohledu podle § 37 odst. 2 a spolupráce podle písmene d),</w:t>
      </w:r>
    </w:p>
    <w:p w14:paraId="15E54DEE" w14:textId="53E3724C" w:rsidR="003B71E2" w:rsidRDefault="00BF1739" w:rsidP="00BF1739">
      <w:pPr>
        <w:pStyle w:val="PZTextpsmene"/>
        <w:spacing w:before="0"/>
      </w:pPr>
      <w:r>
        <w:t>j)</w:t>
      </w:r>
      <w:r>
        <w:tab/>
      </w:r>
      <w:r w:rsidR="003B71E2">
        <w:t>je oprávněna nařídit Komoře provedení kontroly kvality u auditora,</w:t>
      </w:r>
    </w:p>
    <w:p w14:paraId="18EB61A7" w14:textId="12C2C918" w:rsidR="003B71E2" w:rsidRDefault="00BF1739" w:rsidP="00BF1739">
      <w:pPr>
        <w:pStyle w:val="PZTextpsmene"/>
        <w:spacing w:before="0"/>
      </w:pPr>
      <w:r>
        <w:t>k)</w:t>
      </w:r>
      <w:r>
        <w:tab/>
      </w:r>
      <w:r w:rsidR="003B71E2">
        <w:t>dohlíží na provádění kontroly kvality organizované a řízené dozorčí komisí prostřednictvím Radou pověřeného člena nebo jiné pověřené osoby, která není s kontrolovaným auditorem ve střetu zájmů a splňuje požadavky uvedené v § 24c odst. 1,</w:t>
      </w:r>
    </w:p>
    <w:p w14:paraId="190E145E" w14:textId="4E8465B1" w:rsidR="003B71E2" w:rsidRDefault="00BF1739" w:rsidP="00BF1739">
      <w:pPr>
        <w:pStyle w:val="PZTextpsmene"/>
        <w:spacing w:before="0"/>
      </w:pPr>
      <w:r>
        <w:t>l)</w:t>
      </w:r>
      <w:r>
        <w:tab/>
      </w:r>
      <w:r w:rsidR="003B71E2">
        <w:t>provádí další činnosti, které jí stanoví tento zákon a jsou nezbytné k řádnému provádění veřejného dohledu nad auditem,</w:t>
      </w:r>
    </w:p>
    <w:p w14:paraId="4C3025AD" w14:textId="6CC129E8" w:rsidR="003B71E2" w:rsidRDefault="00BF1739" w:rsidP="00BF1739">
      <w:pPr>
        <w:pStyle w:val="PZTextpsmene"/>
        <w:spacing w:before="0"/>
      </w:pPr>
      <w:r>
        <w:t>m)</w:t>
      </w:r>
      <w:r>
        <w:tab/>
      </w:r>
      <w:r w:rsidR="003B71E2">
        <w:t>kontroluje, zda jsou auditory, osobami, které se přímo podílejí na činnostech souvisejících s povinným auditem u účetní jednotky, členy sítě a subjekty veřejného zájmu dodržována ustanovení přímo použitelného předpisu Evropské unie upravujícího specifické požadavky na povinný audit subjektů veřejného zájmu,</w:t>
      </w:r>
    </w:p>
    <w:p w14:paraId="6E223B48" w14:textId="3CA808DF" w:rsidR="003B71E2" w:rsidRDefault="00BF1739" w:rsidP="00BF1739">
      <w:pPr>
        <w:pStyle w:val="PZTextpsmene"/>
        <w:spacing w:before="0"/>
      </w:pPr>
      <w:r>
        <w:t>n)</w:t>
      </w:r>
      <w:r>
        <w:tab/>
      </w:r>
      <w:r w:rsidR="003B71E2">
        <w:t>rozhoduje o prodloužení podle čl. 17 odst. 6 nařízení Evropského parlamentu a Rady (EU) č. 537/2014,</w:t>
      </w:r>
    </w:p>
    <w:p w14:paraId="32492667" w14:textId="4C9EF746" w:rsidR="003B71E2" w:rsidRPr="003A29DA" w:rsidRDefault="003A29DA" w:rsidP="00721E99">
      <w:pPr>
        <w:pStyle w:val="PZTextpsmene"/>
        <w:spacing w:before="0"/>
        <w:ind w:left="426" w:hanging="426"/>
        <w:rPr>
          <w:color w:val="000000" w:themeColor="text1"/>
        </w:rPr>
      </w:pPr>
      <w:r>
        <w:rPr>
          <w:b/>
          <w:color w:val="000000" w:themeColor="text1"/>
        </w:rPr>
        <w:lastRenderedPageBreak/>
        <w:t>o)</w:t>
      </w:r>
      <w:r>
        <w:rPr>
          <w:b/>
          <w:color w:val="000000" w:themeColor="text1"/>
        </w:rPr>
        <w:tab/>
      </w:r>
      <w:r w:rsidR="003B71E2" w:rsidRPr="003A29DA">
        <w:rPr>
          <w:b/>
          <w:color w:val="000000" w:themeColor="text1"/>
        </w:rPr>
        <w:t>rozhoduje na žádost auditora, který provádí u auditovaného subjektu auditorskou činnost spočívající v ověření informací uvedených v prospektu nebo ověření založené na postupech, které jsou dohodnuty mezi auditorem a auditovaným subjektem v souvislosti s prospektem podle přímo použitelného předpisu Evropské unie upravujícího prospekt, aby se na něj po dobu nejvýše dvou účetních období nevztahovaly požadavky čl. 4 odst. 2 prvního pododstavce nařízení Evropského parlamentu a Rady (EU) č. 537/2014,</w:t>
      </w:r>
    </w:p>
    <w:p w14:paraId="7CBE9B82" w14:textId="77777777" w:rsidR="003B71E2" w:rsidRDefault="003B71E2" w:rsidP="00992796">
      <w:pPr>
        <w:pStyle w:val="PZTextpsmene"/>
        <w:numPr>
          <w:ilvl w:val="1"/>
          <w:numId w:val="52"/>
        </w:numPr>
        <w:spacing w:before="0"/>
        <w:ind w:left="426" w:hanging="426"/>
      </w:pPr>
      <w:r w:rsidRPr="307B96F1">
        <w:rPr>
          <w:strike/>
        </w:rPr>
        <w:t>o)</w:t>
      </w:r>
      <w:r w:rsidRPr="307B96F1">
        <w:rPr>
          <w:b/>
          <w:bCs/>
        </w:rPr>
        <w:t>p</w:t>
      </w:r>
      <w:r w:rsidRPr="307B96F1">
        <w:rPr>
          <w:b/>
        </w:rPr>
        <w:t>)</w:t>
      </w:r>
      <w:r>
        <w:tab/>
        <w:t>sleduje vývoj na trhu provádění povinného auditu subjektů veřejného zájmu a zpracovává zprávu o vývoji na trhu poskytování služeb povinného auditu subjektům veřejného zájmu v souladu s čl. 27 nařízení Evropského parlamentu a Rady (EU) č. 537/2014,</w:t>
      </w:r>
    </w:p>
    <w:p w14:paraId="3760CAE1" w14:textId="77777777" w:rsidR="003B71E2" w:rsidRDefault="003B71E2" w:rsidP="00992796">
      <w:pPr>
        <w:pStyle w:val="PZTextpsmene"/>
        <w:numPr>
          <w:ilvl w:val="1"/>
          <w:numId w:val="52"/>
        </w:numPr>
        <w:spacing w:before="0"/>
        <w:ind w:left="426" w:hanging="426"/>
      </w:pPr>
      <w:r w:rsidRPr="307B96F1">
        <w:rPr>
          <w:strike/>
        </w:rPr>
        <w:t>p)</w:t>
      </w:r>
      <w:r w:rsidRPr="307B96F1">
        <w:rPr>
          <w:b/>
          <w:bCs/>
        </w:rPr>
        <w:t>q</w:t>
      </w:r>
      <w:r w:rsidRPr="307B96F1">
        <w:rPr>
          <w:b/>
        </w:rPr>
        <w:t>)</w:t>
      </w:r>
      <w:r>
        <w:tab/>
        <w:t>sjednává a uzavírá dohody s příslušnými orgány třetích zemí za podmínek stanovených přímo použitelným předpisem Evropské unie upravujícím specifické požadavky na povinný audit subjektů veřejného zájmu,</w:t>
      </w:r>
    </w:p>
    <w:p w14:paraId="1753EEEF" w14:textId="77777777" w:rsidR="003B71E2" w:rsidRDefault="003B71E2" w:rsidP="00992796">
      <w:pPr>
        <w:pStyle w:val="PZTextpsmene"/>
        <w:numPr>
          <w:ilvl w:val="1"/>
          <w:numId w:val="52"/>
        </w:numPr>
        <w:spacing w:before="0"/>
        <w:ind w:left="426" w:hanging="426"/>
      </w:pPr>
      <w:r w:rsidRPr="307B96F1">
        <w:rPr>
          <w:strike/>
        </w:rPr>
        <w:t>q)</w:t>
      </w:r>
      <w:r w:rsidRPr="307B96F1">
        <w:rPr>
          <w:b/>
          <w:bCs/>
        </w:rPr>
        <w:t>r</w:t>
      </w:r>
      <w:r w:rsidRPr="307B96F1">
        <w:rPr>
          <w:b/>
        </w:rPr>
        <w:t>)</w:t>
      </w:r>
      <w:r>
        <w:tab/>
        <w:t>zpracovává přehled všech opatření, která byla za každý kalendářní rok uložena auditorům podle § 25 a hlavy XI a předává je Výboru evropských orgánů dohledu nad auditem,</w:t>
      </w:r>
    </w:p>
    <w:p w14:paraId="0A020E76" w14:textId="77777777" w:rsidR="003B71E2" w:rsidRDefault="003B71E2" w:rsidP="00992796">
      <w:pPr>
        <w:pStyle w:val="PZTextpsmene"/>
        <w:numPr>
          <w:ilvl w:val="1"/>
          <w:numId w:val="52"/>
        </w:numPr>
        <w:spacing w:before="0"/>
        <w:ind w:left="426" w:hanging="426"/>
      </w:pPr>
      <w:r w:rsidRPr="307B96F1">
        <w:rPr>
          <w:strike/>
        </w:rPr>
        <w:t>r)</w:t>
      </w:r>
      <w:r w:rsidRPr="307B96F1">
        <w:rPr>
          <w:b/>
          <w:bCs/>
        </w:rPr>
        <w:t>s</w:t>
      </w:r>
      <w:r w:rsidRPr="307B96F1">
        <w:rPr>
          <w:b/>
        </w:rPr>
        <w:t>)</w:t>
      </w:r>
      <w:r>
        <w:tab/>
        <w:t>zveřejní jména auditorů, jejichž podíl odměn za povinný audit účtovaných nebo evidovaných od subjektů veřejného zájmu nepřesahuje 15 % z celkových odměn účtovaných nebo evidovaných za povinný audit za kalendářní rok podle čl. 16 nařízení Evropského parlamentu a Rady (EU) č. 537/2014,</w:t>
      </w:r>
    </w:p>
    <w:p w14:paraId="0BF16ADC" w14:textId="77777777" w:rsidR="003B71E2" w:rsidRDefault="003B71E2" w:rsidP="00992796">
      <w:pPr>
        <w:pStyle w:val="PZTextpsmene"/>
        <w:numPr>
          <w:ilvl w:val="1"/>
          <w:numId w:val="52"/>
        </w:numPr>
        <w:spacing w:before="0"/>
        <w:ind w:left="426" w:hanging="426"/>
      </w:pPr>
      <w:r w:rsidRPr="307B96F1">
        <w:rPr>
          <w:strike/>
        </w:rPr>
        <w:t>s)</w:t>
      </w:r>
      <w:r w:rsidRPr="307B96F1">
        <w:rPr>
          <w:b/>
          <w:bCs/>
        </w:rPr>
        <w:t>t</w:t>
      </w:r>
      <w:r w:rsidRPr="307B96F1">
        <w:rPr>
          <w:b/>
        </w:rPr>
        <w:t>)</w:t>
      </w:r>
      <w:r>
        <w:tab/>
        <w:t>pro účely čl. 17 odst. 8 třetí pododstavec nařízení Evropského parlamentu a Rady (EU) č. 537/2014 určuje datum pro uplatňování požadavků na trvání auditorské zakázky,</w:t>
      </w:r>
    </w:p>
    <w:p w14:paraId="479D30EB" w14:textId="77777777" w:rsidR="003B71E2" w:rsidRDefault="003B71E2" w:rsidP="00992796">
      <w:pPr>
        <w:pStyle w:val="PZTextpsmene"/>
        <w:numPr>
          <w:ilvl w:val="1"/>
          <w:numId w:val="52"/>
        </w:numPr>
        <w:spacing w:before="0"/>
        <w:ind w:left="426" w:hanging="426"/>
      </w:pPr>
      <w:r w:rsidRPr="307B96F1">
        <w:rPr>
          <w:strike/>
        </w:rPr>
        <w:t>t)</w:t>
      </w:r>
      <w:r w:rsidRPr="307B96F1">
        <w:rPr>
          <w:b/>
          <w:bCs/>
        </w:rPr>
        <w:t>u</w:t>
      </w:r>
      <w:r w:rsidRPr="307B96F1">
        <w:rPr>
          <w:b/>
        </w:rPr>
        <w:t>)</w:t>
      </w:r>
      <w:r>
        <w:tab/>
        <w:t>informuje Výbor evropských orgánů dohledu nad auditem o uložených opatřeních zákazu výkonu auditorské činnosti a vyloučení z výkonu funkce člena řídicího orgánu auditorské společnosti nebo subjektu veřejného zájmu podle jiného právního předpisu.</w:t>
      </w:r>
    </w:p>
    <w:p w14:paraId="746A8DA5" w14:textId="5280CCCB" w:rsidR="003B71E2" w:rsidRDefault="003A29DA" w:rsidP="00BF1739">
      <w:pPr>
        <w:pStyle w:val="PZTextodstavce"/>
      </w:pPr>
      <w:r>
        <w:t xml:space="preserve">(3) </w:t>
      </w:r>
      <w:r w:rsidR="003B71E2">
        <w:t>Rada vydá každoročně, nejpozději do 30. června, zprávu o veřejném dohledu nad auditem v České republice za předcházející kalendářní rok</w:t>
      </w:r>
      <w:r w:rsidR="003B71E2" w:rsidRPr="003A29DA">
        <w:rPr>
          <w:b/>
          <w:bCs/>
        </w:rPr>
        <w:t>,</w:t>
      </w:r>
      <w:r w:rsidR="003B71E2" w:rsidRPr="003A29DA">
        <w:t xml:space="preserve"> </w:t>
      </w:r>
      <w:r w:rsidR="003B71E2" w:rsidRPr="003A29DA">
        <w:rPr>
          <w:b/>
          <w:bCs/>
        </w:rPr>
        <w:t>která zahrnuje</w:t>
      </w:r>
      <w:r w:rsidR="003B71E2" w:rsidRPr="003A29DA">
        <w:t xml:space="preserve"> </w:t>
      </w:r>
      <w:r w:rsidR="003B71E2" w:rsidRPr="003A29DA">
        <w:rPr>
          <w:rFonts w:eastAsiaTheme="minorEastAsia"/>
          <w:b/>
          <w:bCs/>
        </w:rPr>
        <w:t>také informace podle čl. 28 písm. a) a b) nařízení Evropského parlamentu a Rady (EU) č. 537/2014</w:t>
      </w:r>
      <w:r w:rsidR="003B71E2" w:rsidRPr="003A29DA">
        <w:t>.</w:t>
      </w:r>
    </w:p>
    <w:p w14:paraId="7C31F350" w14:textId="5A6324AC" w:rsidR="003B71E2" w:rsidRDefault="003A29DA" w:rsidP="00BF1739">
      <w:pPr>
        <w:pStyle w:val="PZTextodstavce"/>
      </w:pPr>
      <w:r>
        <w:t xml:space="preserve">(4) </w:t>
      </w:r>
      <w:r w:rsidR="003B71E2">
        <w:t>Rada zveřejní účetní závěrku Rady</w:t>
      </w:r>
      <w:r w:rsidR="003B71E2" w:rsidRPr="003A29DA">
        <w:rPr>
          <w:b/>
          <w:bCs/>
        </w:rPr>
        <w:t>, souhrnnou zprávu o systému zajištění kvality a zprávu o veřejném dohledu</w:t>
      </w:r>
      <w:r w:rsidR="003B71E2">
        <w:t xml:space="preserve"> za předcházející účetní období na svých internetových stránkách nejpozději do 30. června</w:t>
      </w:r>
      <w:r w:rsidR="003B71E2" w:rsidRPr="2B482095">
        <w:rPr>
          <w:strike/>
        </w:rPr>
        <w:t xml:space="preserve"> a dále informace podle čl. 28 nařízení Evropského parlamentu a Rady (EU) č. 537/2014</w:t>
      </w:r>
      <w:r w:rsidR="003B71E2">
        <w:t>. Tyto informace musejí být na internetových stránkách zveřejněny po dobu alespoň 5 let od jejich zveřejnění včetně případných oprav.</w:t>
      </w:r>
    </w:p>
    <w:p w14:paraId="0BBB0008" w14:textId="3688C779" w:rsidR="003B71E2" w:rsidRDefault="003A29DA" w:rsidP="00BF1739">
      <w:pPr>
        <w:pStyle w:val="PZTextodstavce"/>
      </w:pPr>
      <w:r>
        <w:t xml:space="preserve">(5) </w:t>
      </w:r>
      <w:r w:rsidR="003B71E2">
        <w:t>Rada informuje Českou národní banku o výpovědi závazku ze smlouvy o povinném auditu nebo o odstoupení od smlouvy o povinném auditu podle § 17a, je-li smluvní stranou účetní jednotka podléhající dohledu České národní banky.</w:t>
      </w:r>
    </w:p>
    <w:p w14:paraId="1FFCFBF7" w14:textId="7A9AF49B" w:rsidR="003B71E2" w:rsidRDefault="003A29DA" w:rsidP="00BF1739">
      <w:pPr>
        <w:pStyle w:val="PZTextodstavce"/>
      </w:pPr>
      <w:r>
        <w:t xml:space="preserve">(6) </w:t>
      </w:r>
      <w:r w:rsidR="003B71E2">
        <w:t>Rada se při výkonu své působnosti podle tohoto zákona a přímo použitelného předpisu Evropské unie upravujícího specifické požadavky na povinný audit subjektů veřejného zájmu podílí na činnosti Výboru evropských orgánů dohledu nad auditem podle čl. 30 nařízení Evropského parlamentu a Rady (EU) č. 537/2014.</w:t>
      </w:r>
    </w:p>
    <w:p w14:paraId="475AEA07" w14:textId="1073F488" w:rsidR="003B71E2" w:rsidRDefault="003A29DA" w:rsidP="00BF1739">
      <w:pPr>
        <w:pStyle w:val="PZTextodstavce"/>
      </w:pPr>
      <w:r>
        <w:t xml:space="preserve">(7) </w:t>
      </w:r>
      <w:r w:rsidR="003B71E2">
        <w:t>Rada se při výkonu své působnosti podle tohoto zákona a přímo použitelného předpisu Evropské unie upravujícího specifické požadavky na povinný audit subjektů veřejného zájmu podílí na činnosti kolegií orgánů dohledu v rámci spolupráce příslušných orgánů podle čl. 32 nařízení Evropského parlamentu a Rady (EU) č. 537/2014.</w:t>
      </w:r>
    </w:p>
    <w:p w14:paraId="05D0EA56" w14:textId="3C4FC145" w:rsidR="003B71E2" w:rsidRDefault="003A29DA" w:rsidP="00BF1739">
      <w:pPr>
        <w:pStyle w:val="PZTextodstavce"/>
      </w:pPr>
      <w:r>
        <w:t xml:space="preserve">(8) </w:t>
      </w:r>
      <w:r w:rsidR="003B71E2">
        <w:t>Rada sdělí na požádání České národní bance výsledek kontroly kvality u auditora, který provádí povinný audit účetní jednotky, jež podléhá dohledu České národní banky.</w:t>
      </w:r>
    </w:p>
    <w:p w14:paraId="3ABA85E9" w14:textId="24CA69A2" w:rsidR="003B71E2" w:rsidRDefault="003A29DA" w:rsidP="00BF1739">
      <w:pPr>
        <w:pStyle w:val="PZTextodstavce"/>
      </w:pPr>
      <w:r>
        <w:rPr>
          <w:b/>
          <w:bCs/>
          <w:color w:val="000000" w:themeColor="text1"/>
          <w:szCs w:val="24"/>
        </w:rPr>
        <w:t xml:space="preserve">(9) </w:t>
      </w:r>
      <w:r w:rsidR="003B71E2" w:rsidRPr="460A03AC">
        <w:rPr>
          <w:b/>
          <w:bCs/>
          <w:color w:val="000000" w:themeColor="text1"/>
          <w:szCs w:val="24"/>
        </w:rPr>
        <w:t>Proti rozhodnutí Rady podle odstavce 2 písm. n) a o) se nelze odvolat.</w:t>
      </w:r>
    </w:p>
    <w:p w14:paraId="20B01CFB" w14:textId="77777777" w:rsidR="003B71E2" w:rsidRDefault="003B71E2" w:rsidP="00992796">
      <w:pPr>
        <w:pStyle w:val="paragraf0"/>
        <w:numPr>
          <w:ilvl w:val="0"/>
          <w:numId w:val="52"/>
        </w:numPr>
        <w:spacing w:after="120"/>
        <w:rPr>
          <w:noProof w:val="0"/>
        </w:rPr>
      </w:pPr>
      <w:r>
        <w:rPr>
          <w:noProof w:val="0"/>
        </w:rPr>
        <w:lastRenderedPageBreak/>
        <w:t>***</w:t>
      </w:r>
    </w:p>
    <w:p w14:paraId="1F547ACA" w14:textId="77777777" w:rsidR="003B71E2" w:rsidRDefault="003B71E2" w:rsidP="00992796">
      <w:pPr>
        <w:pStyle w:val="Paragraf"/>
        <w:numPr>
          <w:ilvl w:val="0"/>
          <w:numId w:val="52"/>
        </w:numPr>
        <w:spacing w:after="120"/>
        <w:rPr>
          <w:color w:val="000000" w:themeColor="text1"/>
          <w:szCs w:val="24"/>
        </w:rPr>
      </w:pPr>
      <w:r w:rsidRPr="54FB3FA8">
        <w:rPr>
          <w:color w:val="000000" w:themeColor="text1"/>
          <w:szCs w:val="24"/>
        </w:rPr>
        <w:t>§ 39b</w:t>
      </w:r>
    </w:p>
    <w:p w14:paraId="06F7544E" w14:textId="77777777" w:rsidR="003B71E2" w:rsidRDefault="003B71E2" w:rsidP="00992796">
      <w:pPr>
        <w:pStyle w:val="Nadpisparagrafu"/>
        <w:numPr>
          <w:ilvl w:val="0"/>
          <w:numId w:val="52"/>
        </w:numPr>
        <w:spacing w:after="120"/>
        <w:rPr>
          <w:bCs/>
          <w:color w:val="000000" w:themeColor="text1"/>
          <w:szCs w:val="24"/>
        </w:rPr>
      </w:pPr>
      <w:r w:rsidRPr="54FB3FA8">
        <w:rPr>
          <w:bCs/>
          <w:color w:val="000000" w:themeColor="text1"/>
          <w:szCs w:val="24"/>
        </w:rPr>
        <w:t>Disciplinární výbor</w:t>
      </w:r>
    </w:p>
    <w:p w14:paraId="5969DB4C" w14:textId="77777777" w:rsidR="003B71E2" w:rsidRDefault="003B71E2" w:rsidP="00BF1739">
      <w:pPr>
        <w:pStyle w:val="Textodstavce"/>
        <w:numPr>
          <w:ilvl w:val="6"/>
          <w:numId w:val="52"/>
        </w:numPr>
        <w:tabs>
          <w:tab w:val="clear" w:pos="851"/>
        </w:tabs>
        <w:ind w:firstLine="425"/>
        <w:rPr>
          <w:color w:val="000000" w:themeColor="text1"/>
          <w:szCs w:val="24"/>
        </w:rPr>
      </w:pPr>
      <w:r w:rsidRPr="54FB3FA8">
        <w:rPr>
          <w:color w:val="000000" w:themeColor="text1"/>
          <w:szCs w:val="24"/>
        </w:rPr>
        <w:t>(1) Disciplinární výbor má 5 členů.</w:t>
      </w:r>
    </w:p>
    <w:p w14:paraId="4D0EDDD5" w14:textId="77777777" w:rsidR="003B71E2" w:rsidRDefault="003B71E2" w:rsidP="00BF1739">
      <w:pPr>
        <w:pStyle w:val="Textodstavce"/>
        <w:numPr>
          <w:ilvl w:val="6"/>
          <w:numId w:val="52"/>
        </w:numPr>
        <w:tabs>
          <w:tab w:val="clear" w:pos="851"/>
        </w:tabs>
        <w:ind w:firstLine="425"/>
        <w:rPr>
          <w:color w:val="000000" w:themeColor="text1"/>
          <w:szCs w:val="24"/>
        </w:rPr>
      </w:pPr>
      <w:r w:rsidRPr="54FB3FA8">
        <w:rPr>
          <w:color w:val="000000" w:themeColor="text1"/>
          <w:szCs w:val="24"/>
        </w:rPr>
        <w:t>(2) Členové disciplinárního výboru jsou jmenováni Prezidentem Rady na návrh Prezidia. Funkční období členů disciplinárního výboru, způsob jejich odvolání, odměňování a pravidla pro rozhodování stanoví statut Rady.</w:t>
      </w:r>
    </w:p>
    <w:p w14:paraId="4E610B72" w14:textId="77777777" w:rsidR="003B71E2" w:rsidRDefault="003B71E2" w:rsidP="00BF1739">
      <w:pPr>
        <w:pStyle w:val="Textodstavce"/>
        <w:numPr>
          <w:ilvl w:val="6"/>
          <w:numId w:val="52"/>
        </w:numPr>
        <w:tabs>
          <w:tab w:val="clear" w:pos="851"/>
        </w:tabs>
        <w:ind w:firstLine="425"/>
        <w:rPr>
          <w:color w:val="000000" w:themeColor="text1"/>
          <w:szCs w:val="24"/>
        </w:rPr>
      </w:pPr>
      <w:r w:rsidRPr="54FB3FA8">
        <w:rPr>
          <w:color w:val="000000" w:themeColor="text1"/>
          <w:szCs w:val="24"/>
        </w:rPr>
        <w:t>(3) Disciplinární výbor vykonává v prvním stupni působnost Rady v řízení o přestupku podle hlavy XI, hlavy XIII a podle zákona o některých opatřeních proti legalizaci výnosů z trestné činnosti a financování terorismu. Odvolacím orgánem je Prezidium.</w:t>
      </w:r>
    </w:p>
    <w:p w14:paraId="7C00F0CC" w14:textId="77777777" w:rsidR="003B71E2" w:rsidRDefault="003B71E2" w:rsidP="00BF1739">
      <w:pPr>
        <w:pStyle w:val="Textodstavce"/>
        <w:numPr>
          <w:ilvl w:val="6"/>
          <w:numId w:val="52"/>
        </w:numPr>
        <w:tabs>
          <w:tab w:val="clear" w:pos="851"/>
        </w:tabs>
        <w:ind w:firstLine="425"/>
        <w:rPr>
          <w:color w:val="000000" w:themeColor="text1"/>
          <w:szCs w:val="24"/>
        </w:rPr>
      </w:pPr>
      <w:r w:rsidRPr="54FB3FA8">
        <w:rPr>
          <w:color w:val="000000" w:themeColor="text1"/>
          <w:szCs w:val="24"/>
        </w:rPr>
        <w:t>(4) Disciplinární výbor vykonává působnost Rady v šetření podle § 40b.</w:t>
      </w:r>
    </w:p>
    <w:p w14:paraId="4B22C0E3" w14:textId="77777777" w:rsidR="003B71E2" w:rsidRDefault="003B71E2" w:rsidP="00BF1739">
      <w:pPr>
        <w:pStyle w:val="Textodstavce"/>
        <w:numPr>
          <w:ilvl w:val="6"/>
          <w:numId w:val="52"/>
        </w:numPr>
        <w:tabs>
          <w:tab w:val="clear" w:pos="851"/>
        </w:tabs>
        <w:ind w:firstLine="425"/>
        <w:rPr>
          <w:color w:val="000000" w:themeColor="text1"/>
          <w:szCs w:val="24"/>
        </w:rPr>
      </w:pPr>
      <w:r w:rsidRPr="54FB3FA8">
        <w:rPr>
          <w:b/>
          <w:bCs/>
          <w:color w:val="000000" w:themeColor="text1"/>
          <w:szCs w:val="24"/>
        </w:rPr>
        <w:t>(5) Disciplinární výbor zajišťuje zveřejnění rozhodnutí o přestupku podle § 49f a posuzuje výjimky ze zveřejnění. Je-li vydáno rozhodnutí o odvolání podaného proti rozhodnutí kárné komise nebo podána žaloba proti rozhodnutí o přestupku, zveřejnění společně s informací o výsledku soudního přezkumu zajišťuje Prezidium a posuzuje výjimky z tohoto zveřejnění.</w:t>
      </w:r>
      <w:r w:rsidRPr="54FB3FA8">
        <w:rPr>
          <w:color w:val="000000" w:themeColor="text1"/>
          <w:szCs w:val="24"/>
        </w:rPr>
        <w:t xml:space="preserve"> </w:t>
      </w:r>
    </w:p>
    <w:p w14:paraId="0F4EAB32" w14:textId="5C023E90" w:rsidR="003B71E2" w:rsidRDefault="003B71E2" w:rsidP="00BF1739">
      <w:pPr>
        <w:pStyle w:val="PZTextodstavce"/>
        <w:numPr>
          <w:ilvl w:val="0"/>
          <w:numId w:val="52"/>
        </w:numPr>
        <w:ind w:firstLine="425"/>
      </w:pPr>
      <w:proofErr w:type="gramStart"/>
      <w:r w:rsidRPr="54FB3FA8">
        <w:rPr>
          <w:strike/>
        </w:rPr>
        <w:t>(5</w:t>
      </w:r>
      <w:r w:rsidRPr="54FB3FA8">
        <w:t>)</w:t>
      </w:r>
      <w:r w:rsidRPr="54FB3FA8">
        <w:rPr>
          <w:b/>
          <w:bCs/>
        </w:rPr>
        <w:t>(6)</w:t>
      </w:r>
      <w:r w:rsidRPr="54FB3FA8">
        <w:t xml:space="preserve"> Plnění</w:t>
      </w:r>
      <w:proofErr w:type="gramEnd"/>
      <w:r w:rsidRPr="54FB3FA8">
        <w:t xml:space="preserve"> funkce člena disciplinárního výboru je výkonem veřejné funkce.</w:t>
      </w:r>
    </w:p>
    <w:p w14:paraId="580A51C3" w14:textId="77777777" w:rsidR="003B71E2" w:rsidRDefault="003B71E2" w:rsidP="00992796">
      <w:pPr>
        <w:pStyle w:val="paragraf0"/>
        <w:numPr>
          <w:ilvl w:val="0"/>
          <w:numId w:val="52"/>
        </w:numPr>
        <w:spacing w:after="120"/>
        <w:rPr>
          <w:noProof w:val="0"/>
        </w:rPr>
      </w:pPr>
      <w:r>
        <w:rPr>
          <w:noProof w:val="0"/>
        </w:rPr>
        <w:t>***</w:t>
      </w:r>
    </w:p>
    <w:p w14:paraId="1EEF9350" w14:textId="77777777" w:rsidR="003B71E2" w:rsidRDefault="003B71E2" w:rsidP="00992796">
      <w:pPr>
        <w:pStyle w:val="paragraf0"/>
        <w:numPr>
          <w:ilvl w:val="0"/>
          <w:numId w:val="52"/>
        </w:numPr>
        <w:spacing w:after="120"/>
        <w:rPr>
          <w:noProof w:val="0"/>
        </w:rPr>
      </w:pPr>
      <w:r>
        <w:rPr>
          <w:noProof w:val="0"/>
        </w:rPr>
        <w:t>§ 41</w:t>
      </w:r>
    </w:p>
    <w:p w14:paraId="67F325FF" w14:textId="77777777" w:rsidR="003B71E2" w:rsidRPr="00580E8D" w:rsidRDefault="003B71E2" w:rsidP="00992796">
      <w:pPr>
        <w:pStyle w:val="paragraf0"/>
        <w:numPr>
          <w:ilvl w:val="0"/>
          <w:numId w:val="52"/>
        </w:numPr>
        <w:spacing w:after="120"/>
        <w:rPr>
          <w:b/>
        </w:rPr>
      </w:pPr>
      <w:r w:rsidRPr="00580E8D">
        <w:rPr>
          <w:b/>
        </w:rPr>
        <w:t>Spolupráce s příslušnými orgány členských států</w:t>
      </w:r>
    </w:p>
    <w:p w14:paraId="7605A1D7" w14:textId="0F204E24" w:rsidR="003B71E2" w:rsidRDefault="00F56A8A" w:rsidP="00BF1739">
      <w:pPr>
        <w:pStyle w:val="PZTextodstavce"/>
        <w:pBdr>
          <w:top w:val="single" w:sz="12" w:space="1" w:color="0070C0"/>
          <w:left w:val="single" w:sz="12" w:space="4" w:color="0070C0"/>
          <w:bottom w:val="single" w:sz="12" w:space="1" w:color="0070C0"/>
          <w:right w:val="single" w:sz="12" w:space="4" w:color="0070C0"/>
        </w:pBdr>
        <w:spacing w:before="240"/>
      </w:pPr>
      <w:r>
        <w:t xml:space="preserve">(1) </w:t>
      </w:r>
      <w:r w:rsidR="003B71E2">
        <w:t xml:space="preserve">Rada má povinnost vzájemně spolupracovat s příslušnými orgány členských států kdykoli je to pro účely provádění veřejného dohledu podle tohoto zákona a přímo použitelného předpisu Evropské unie upravujícího specifické požadavky na povinný audit subjektů veřejného zájmu nutné nebo žádoucí. Jedná se zejména o výměnu informací a spolupráci při kontrolách kvality a šetřeních, která se týkají provádění povinných auditů </w:t>
      </w:r>
      <w:r w:rsidR="003B71E2" w:rsidRPr="00517D7D">
        <w:rPr>
          <w:color w:val="5B9BD5" w:themeColor="accent1"/>
        </w:rPr>
        <w:t>nebo ověřování zpráv o udržitelnosti</w:t>
      </w:r>
      <w:r w:rsidR="003B71E2">
        <w:t>.</w:t>
      </w:r>
    </w:p>
    <w:p w14:paraId="2396F895" w14:textId="3F38289D" w:rsidR="003B71E2" w:rsidRDefault="00F56A8A" w:rsidP="00F56A8A">
      <w:pPr>
        <w:pStyle w:val="PZTextodstavce"/>
        <w:tabs>
          <w:tab w:val="clear" w:pos="782"/>
        </w:tabs>
        <w:spacing w:before="240"/>
      </w:pPr>
      <w:r>
        <w:t xml:space="preserve">(2) </w:t>
      </w:r>
      <w:r w:rsidR="003B71E2">
        <w:t>Povinnost zachovávat mlčenlivost se vztahuje na všechny osoby, které jsou nebo byly zaměstnány Radou. Informace, na které se vztahuje požadavek mlčenlivosti, nesmějí být sděleny žádné jiné osobě či orgánu, nestanoví-li tento nebo jiný právní předpis jinak. Tím není dotčena možnost výměny důvěrných informací mezi příslušnými orgány. Rada zajistí, aby se na takto vyměněné informace rovněž vztahovala povinnost zachovávat mlčenlivost. Rada může rovněž požádat příslušný orgán jiného členského státu, aby provedl šetření na svém území. Může také požádat, aby její vlastní zaměstnanci nebo jí vybrané osoby mohli v průběhu šetření doprovázet osoby příslušného orgánu tohoto jiného členského státu. Rada může umožnit osobám pověřeným příslušným orgánem jiného členského státu být přítomny šetření prováděného Radou.</w:t>
      </w:r>
    </w:p>
    <w:p w14:paraId="71CB2A51" w14:textId="0E93E385" w:rsidR="003B71E2" w:rsidRDefault="00F56A8A" w:rsidP="00F56A8A">
      <w:pPr>
        <w:pStyle w:val="PZTextodstavce"/>
        <w:tabs>
          <w:tab w:val="clear" w:pos="782"/>
        </w:tabs>
        <w:spacing w:before="240"/>
      </w:pPr>
      <w:r>
        <w:t xml:space="preserve">(3) </w:t>
      </w:r>
      <w:r w:rsidR="003B71E2">
        <w:t>Rada může odmítnout provést šetření nebo odmítnout umožnit zaměstnancům nebo osobám vybraným příslušným orgánem jiného členského státu doprovázet své pracovníky, jak je uvedeno v odstavci 2, pokud</w:t>
      </w:r>
    </w:p>
    <w:p w14:paraId="1A235C7D" w14:textId="45F63283" w:rsidR="003B71E2" w:rsidRDefault="00BF1739" w:rsidP="00BF1739">
      <w:pPr>
        <w:pStyle w:val="PZTextpsmene"/>
        <w:spacing w:before="0"/>
      </w:pPr>
      <w:r>
        <w:lastRenderedPageBreak/>
        <w:t>a)</w:t>
      </w:r>
      <w:r>
        <w:tab/>
      </w:r>
      <w:r w:rsidR="003B71E2">
        <w:t>může mít takové šetření nepříznivý vliv na svrchovanost, bezpečnost nebo veřejný pořádek České republiky nebo by takové šetření mělo za následek porušení zákonů upravujících ochranu utajovaných informací a činnost zpravodajských služeb,</w:t>
      </w:r>
    </w:p>
    <w:p w14:paraId="599FF303" w14:textId="129D3C68" w:rsidR="003B71E2" w:rsidRDefault="00BF1739" w:rsidP="00BF1739">
      <w:pPr>
        <w:pStyle w:val="PZTextpsmene"/>
        <w:spacing w:before="0"/>
      </w:pPr>
      <w:r>
        <w:t>b)</w:t>
      </w:r>
      <w:r>
        <w:tab/>
      </w:r>
      <w:r w:rsidR="003B71E2">
        <w:t>bylo již proti auditorovi zahájeno soudní řízení ve stejné věci, nebo</w:t>
      </w:r>
    </w:p>
    <w:p w14:paraId="683A9E7E" w14:textId="7F3A2183" w:rsidR="003B71E2" w:rsidRDefault="00BF1739" w:rsidP="00BF1739">
      <w:pPr>
        <w:pStyle w:val="PZTextpsmene"/>
        <w:spacing w:before="0"/>
      </w:pPr>
      <w:r>
        <w:t>c)</w:t>
      </w:r>
      <w:r>
        <w:tab/>
      </w:r>
      <w:r w:rsidR="003B71E2">
        <w:t>Komora nebo Rada již u těchto osob v rámci kárného nebo jiného řízení v této věci rozhodly.</w:t>
      </w:r>
    </w:p>
    <w:p w14:paraId="2BDF30E6" w14:textId="77777777" w:rsidR="003B71E2" w:rsidRPr="00E135E9" w:rsidRDefault="003B71E2" w:rsidP="00992796">
      <w:pPr>
        <w:pStyle w:val="paragraf0"/>
        <w:numPr>
          <w:ilvl w:val="0"/>
          <w:numId w:val="52"/>
        </w:numPr>
        <w:spacing w:after="120"/>
        <w:rPr>
          <w:noProof w:val="0"/>
        </w:rPr>
      </w:pPr>
      <w:r>
        <w:rPr>
          <w:noProof w:val="0"/>
        </w:rPr>
        <w:t>***</w:t>
      </w:r>
    </w:p>
    <w:p w14:paraId="2C63BB53" w14:textId="77777777" w:rsidR="003B71E2" w:rsidRPr="00E135E9" w:rsidRDefault="003B71E2" w:rsidP="00992796">
      <w:pPr>
        <w:pStyle w:val="Paragraf"/>
        <w:numPr>
          <w:ilvl w:val="0"/>
          <w:numId w:val="52"/>
        </w:numPr>
        <w:spacing w:after="120"/>
      </w:pPr>
      <w:r>
        <w:t>§ 43b</w:t>
      </w:r>
    </w:p>
    <w:p w14:paraId="09163BD8" w14:textId="77777777" w:rsidR="003B71E2" w:rsidRDefault="003B71E2" w:rsidP="00992796">
      <w:pPr>
        <w:pStyle w:val="Nadpisparagrafu"/>
        <w:numPr>
          <w:ilvl w:val="0"/>
          <w:numId w:val="52"/>
        </w:numPr>
        <w:spacing w:after="120"/>
      </w:pPr>
      <w:r>
        <w:t>P</w:t>
      </w:r>
      <w:r w:rsidRPr="00E135E9">
        <w:t xml:space="preserve">oskytování </w:t>
      </w:r>
      <w:r>
        <w:t xml:space="preserve">některých </w:t>
      </w:r>
      <w:proofErr w:type="spellStart"/>
      <w:r w:rsidRPr="00E135E9">
        <w:t>neauditorských</w:t>
      </w:r>
      <w:proofErr w:type="spellEnd"/>
      <w:r w:rsidRPr="00E135E9">
        <w:t xml:space="preserve"> služeb</w:t>
      </w:r>
    </w:p>
    <w:p w14:paraId="35027508" w14:textId="3AAE9EBF" w:rsidR="003B71E2" w:rsidRPr="00580E8D" w:rsidRDefault="00F56A8A" w:rsidP="00F56A8A">
      <w:pPr>
        <w:pStyle w:val="PZTextodstavce"/>
        <w:spacing w:before="240"/>
      </w:pPr>
      <w:r>
        <w:t xml:space="preserve">(1) </w:t>
      </w:r>
      <w:r w:rsidR="003B71E2" w:rsidRPr="00580E8D">
        <w:t xml:space="preserve">Auditor, který provádí povinný audit subjektu veřejného zájmu, může v období počínajícím prvním dnem účetního období, za které je účetní závěrka </w:t>
      </w:r>
      <w:r w:rsidR="003B71E2" w:rsidRPr="41056E34">
        <w:rPr>
          <w:strike/>
        </w:rPr>
        <w:t>nebo konsolidovaná účetní závěrka</w:t>
      </w:r>
      <w:r w:rsidR="003B71E2" w:rsidRPr="00580E8D">
        <w:t xml:space="preserve"> ověřována, a dále do vydání zprávy auditora, poskytovat tomuto subjektu veřejného zájmu, jeho mateřské obchodní korporaci</w:t>
      </w:r>
      <w:hyperlink r:id="rId308" w:anchor="f5893798">
        <w:r w:rsidR="003B71E2" w:rsidRPr="41056E34">
          <w:rPr>
            <w:vertAlign w:val="superscript"/>
          </w:rPr>
          <w:t>25)</w:t>
        </w:r>
      </w:hyperlink>
      <w:r w:rsidR="003B71E2" w:rsidRPr="00580E8D">
        <w:t> se sídlem v České republice a jeho dceřiné obchodní korporaci</w:t>
      </w:r>
      <w:hyperlink r:id="rId309" w:anchor="f5893798">
        <w:r w:rsidR="003B71E2" w:rsidRPr="41056E34">
          <w:rPr>
            <w:vertAlign w:val="superscript"/>
          </w:rPr>
          <w:t>25)</w:t>
        </w:r>
      </w:hyperlink>
      <w:r w:rsidR="003B71E2" w:rsidRPr="00580E8D">
        <w:t xml:space="preserve"> se sídlem v České republice </w:t>
      </w:r>
      <w:proofErr w:type="spellStart"/>
      <w:r w:rsidR="003B71E2" w:rsidRPr="00580E8D">
        <w:t>neauditorské</w:t>
      </w:r>
      <w:proofErr w:type="spellEnd"/>
      <w:r w:rsidR="003B71E2" w:rsidRPr="00580E8D">
        <w:t xml:space="preserve"> služby uvedené v čl. 5 odst. 1 písm. a) bodu i), bodu </w:t>
      </w:r>
      <w:proofErr w:type="spellStart"/>
      <w:r w:rsidR="003B71E2" w:rsidRPr="00580E8D">
        <w:t>iv</w:t>
      </w:r>
      <w:proofErr w:type="spellEnd"/>
      <w:r w:rsidR="003B71E2" w:rsidRPr="00580E8D">
        <w:t xml:space="preserve">) až </w:t>
      </w:r>
      <w:proofErr w:type="spellStart"/>
      <w:r w:rsidR="003B71E2" w:rsidRPr="00580E8D">
        <w:t>vii</w:t>
      </w:r>
      <w:proofErr w:type="spellEnd"/>
      <w:r w:rsidR="003B71E2" w:rsidRPr="00580E8D">
        <w:t>) a v písm. f) nařízení Evropského parlamentu a Rady (EU) č. 537/2014, za podmínek stanovených tímto zákonem a pokud</w:t>
      </w:r>
    </w:p>
    <w:p w14:paraId="3A508A26" w14:textId="178D227D" w:rsidR="003B71E2" w:rsidRPr="00580E8D" w:rsidRDefault="00BF1739" w:rsidP="00BF1739">
      <w:pPr>
        <w:pStyle w:val="PZTextpsmene"/>
        <w:spacing w:before="0"/>
      </w:pPr>
      <w:r>
        <w:t>a)</w:t>
      </w:r>
      <w:r>
        <w:tab/>
      </w:r>
      <w:r w:rsidR="003B71E2" w:rsidRPr="00580E8D">
        <w:t xml:space="preserve">tyto </w:t>
      </w:r>
      <w:proofErr w:type="spellStart"/>
      <w:r w:rsidR="003B71E2" w:rsidRPr="00580E8D">
        <w:t>neauditorské</w:t>
      </w:r>
      <w:proofErr w:type="spellEnd"/>
      <w:r w:rsidR="003B71E2" w:rsidRPr="00580E8D">
        <w:t xml:space="preserve"> služby nemají přímý vliv nebo mají samostatně nebo v souhrnu nevýznamný vliv na ověřovanou účetní závěrku </w:t>
      </w:r>
      <w:r w:rsidR="003B71E2" w:rsidRPr="41056E34">
        <w:rPr>
          <w:strike/>
        </w:rPr>
        <w:t>nebo konsolidovanou účetní závěrku</w:t>
      </w:r>
      <w:r w:rsidR="003B71E2" w:rsidRPr="00580E8D">
        <w:t xml:space="preserve"> a</w:t>
      </w:r>
    </w:p>
    <w:p w14:paraId="3ED0B044" w14:textId="32E49E47" w:rsidR="003B71E2" w:rsidRPr="00580E8D" w:rsidRDefault="00BF1739" w:rsidP="00BF1739">
      <w:pPr>
        <w:pStyle w:val="PZTextpsmene"/>
        <w:spacing w:before="0"/>
      </w:pPr>
      <w:r>
        <w:t>b)</w:t>
      </w:r>
      <w:r>
        <w:tab/>
      </w:r>
      <w:r w:rsidR="003B71E2" w:rsidRPr="00580E8D">
        <w:t xml:space="preserve">odhad jejich vlivu na ověřovanou účetní závěrku </w:t>
      </w:r>
      <w:r w:rsidR="003B71E2" w:rsidRPr="41056E34">
        <w:rPr>
          <w:strike/>
        </w:rPr>
        <w:t>nebo konsolidovanou účetní závěrku</w:t>
      </w:r>
      <w:r w:rsidR="003B71E2" w:rsidRPr="00580E8D">
        <w:t xml:space="preserve"> je auditorem zdokumentován a vysvětlen v dodatečné zprávě výboru pro audit vyhotovené podle čl. 11 nařízení Evropského parlamentu a Rady (EU) č. 537/2014.</w:t>
      </w:r>
    </w:p>
    <w:p w14:paraId="67070016" w14:textId="6DB1E373" w:rsidR="003B71E2" w:rsidRPr="00580E8D" w:rsidRDefault="00F56A8A" w:rsidP="00BF1739">
      <w:pPr>
        <w:pStyle w:val="PZTextodstavce"/>
        <w:rPr>
          <w:rFonts w:eastAsia="Calibri"/>
          <w:bCs/>
        </w:rPr>
      </w:pPr>
      <w:r>
        <w:rPr>
          <w:rFonts w:eastAsia="Calibri"/>
          <w:bCs/>
        </w:rPr>
        <w:t xml:space="preserve">(2) </w:t>
      </w:r>
      <w:r w:rsidR="003B71E2" w:rsidRPr="00580E8D">
        <w:rPr>
          <w:rFonts w:eastAsia="Calibri"/>
          <w:bCs/>
        </w:rPr>
        <w:t>Auditor, který je členem sítě, do které náleží auditor, auditor z jiného členského státu nebo auditorská osoba z jiného členského státu provádějící povinný audit subjektu veřejného zájmu zřízeného podle práva členského státu, může tomuto subjektu veřejného zájmu, jeho mateřské obchodní korporaci</w:t>
      </w:r>
      <w:r>
        <w:rPr>
          <w:rStyle w:val="Znakapoznpodarou"/>
          <w:rFonts w:eastAsia="Calibri"/>
          <w:bCs/>
        </w:rPr>
        <w:footnoteReference w:customMarkFollows="1" w:id="519"/>
        <w:t>25)</w:t>
      </w:r>
      <w:r w:rsidR="003B71E2" w:rsidRPr="00580E8D">
        <w:rPr>
          <w:rFonts w:eastAsia="Calibri"/>
          <w:bCs/>
        </w:rPr>
        <w:t> se sídlem v České republice a jeho dceřiné obchodní korporaci</w:t>
      </w:r>
      <w:hyperlink r:id="rId310" w:anchor="f5893798">
        <w:r w:rsidR="003B71E2" w:rsidRPr="41056E34">
          <w:rPr>
            <w:rFonts w:eastAsia="Calibri"/>
            <w:vertAlign w:val="superscript"/>
          </w:rPr>
          <w:t>25)</w:t>
        </w:r>
      </w:hyperlink>
      <w:r w:rsidR="003B71E2" w:rsidRPr="00580E8D">
        <w:rPr>
          <w:rFonts w:eastAsia="Calibri"/>
          <w:bCs/>
        </w:rPr>
        <w:t xml:space="preserve"> se sídlem v České republice v období počínajícím prvním dnem účetního období, za které je účetní závěrka </w:t>
      </w:r>
      <w:r w:rsidR="003B71E2" w:rsidRPr="41056E34">
        <w:rPr>
          <w:rFonts w:eastAsia="Calibri"/>
          <w:strike/>
        </w:rPr>
        <w:t>nebo konsolidovaná účetní závěrka</w:t>
      </w:r>
      <w:r w:rsidR="003B71E2" w:rsidRPr="00580E8D">
        <w:rPr>
          <w:rFonts w:eastAsia="Calibri"/>
          <w:bCs/>
        </w:rPr>
        <w:t xml:space="preserve"> ověřována, a dále do vydání zprávy auditora, poskytovat </w:t>
      </w:r>
      <w:proofErr w:type="spellStart"/>
      <w:r w:rsidR="003B71E2" w:rsidRPr="00580E8D">
        <w:rPr>
          <w:rFonts w:eastAsia="Calibri"/>
          <w:bCs/>
        </w:rPr>
        <w:t>neauditorské</w:t>
      </w:r>
      <w:proofErr w:type="spellEnd"/>
      <w:r w:rsidR="003B71E2" w:rsidRPr="00580E8D">
        <w:rPr>
          <w:rFonts w:eastAsia="Calibri"/>
          <w:bCs/>
        </w:rPr>
        <w:t xml:space="preserve"> služby uvedené v čl. 5 odst. 1 písm. a) bodu i), bodu </w:t>
      </w:r>
      <w:proofErr w:type="spellStart"/>
      <w:r w:rsidR="003B71E2" w:rsidRPr="00580E8D">
        <w:rPr>
          <w:rFonts w:eastAsia="Calibri"/>
          <w:bCs/>
        </w:rPr>
        <w:t>iv</w:t>
      </w:r>
      <w:proofErr w:type="spellEnd"/>
      <w:r w:rsidR="003B71E2" w:rsidRPr="00580E8D">
        <w:rPr>
          <w:rFonts w:eastAsia="Calibri"/>
          <w:bCs/>
        </w:rPr>
        <w:t xml:space="preserve">) až </w:t>
      </w:r>
      <w:proofErr w:type="spellStart"/>
      <w:r w:rsidR="003B71E2" w:rsidRPr="00580E8D">
        <w:rPr>
          <w:rFonts w:eastAsia="Calibri"/>
          <w:bCs/>
        </w:rPr>
        <w:t>vii</w:t>
      </w:r>
      <w:proofErr w:type="spellEnd"/>
      <w:r w:rsidR="003B71E2" w:rsidRPr="00580E8D">
        <w:rPr>
          <w:rFonts w:eastAsia="Calibri"/>
          <w:bCs/>
        </w:rPr>
        <w:t>) a v písm. f) nařízení Evropského parlamentu a Rady (EU) č. 537/2014, a to za podmínek stanovených v odstavci 1.</w:t>
      </w:r>
    </w:p>
    <w:p w14:paraId="129B2E9A" w14:textId="0B976978" w:rsidR="003B71E2" w:rsidRPr="00580E8D" w:rsidRDefault="00F56A8A" w:rsidP="00BF1739">
      <w:pPr>
        <w:pStyle w:val="PZTextodstavce"/>
        <w:rPr>
          <w:rFonts w:eastAsia="Calibri"/>
          <w:bCs/>
        </w:rPr>
      </w:pPr>
      <w:r>
        <w:rPr>
          <w:rFonts w:eastAsia="Calibri"/>
          <w:bCs/>
        </w:rPr>
        <w:t xml:space="preserve">(3) </w:t>
      </w:r>
      <w:r w:rsidR="003B71E2" w:rsidRPr="00580E8D">
        <w:rPr>
          <w:rFonts w:eastAsia="Calibri"/>
          <w:bCs/>
        </w:rPr>
        <w:t xml:space="preserve">Na poskytování služeb uvedených v čl. 5 odst. 1 písm. a) bodu i), bodu </w:t>
      </w:r>
      <w:proofErr w:type="spellStart"/>
      <w:r w:rsidR="003B71E2" w:rsidRPr="00580E8D">
        <w:rPr>
          <w:rFonts w:eastAsia="Calibri"/>
          <w:bCs/>
        </w:rPr>
        <w:t>iv</w:t>
      </w:r>
      <w:proofErr w:type="spellEnd"/>
      <w:r w:rsidR="003B71E2" w:rsidRPr="00580E8D">
        <w:rPr>
          <w:rFonts w:eastAsia="Calibri"/>
          <w:bCs/>
        </w:rPr>
        <w:t xml:space="preserve">) až </w:t>
      </w:r>
      <w:proofErr w:type="spellStart"/>
      <w:r w:rsidR="003B71E2" w:rsidRPr="00580E8D">
        <w:rPr>
          <w:rFonts w:eastAsia="Calibri"/>
          <w:bCs/>
        </w:rPr>
        <w:t>vii</w:t>
      </w:r>
      <w:proofErr w:type="spellEnd"/>
      <w:r w:rsidR="003B71E2" w:rsidRPr="00580E8D">
        <w:rPr>
          <w:rFonts w:eastAsia="Calibri"/>
          <w:bCs/>
        </w:rPr>
        <w:t>) a v písm. f) nařízení Evropského parlamentu a Rady (EU) č. 537/2014 subjektu veřejného zájmu, jeho mateřské obchodní korporaci</w:t>
      </w:r>
      <w:hyperlink r:id="rId311" w:anchor="f5893798" w:history="1">
        <w:r w:rsidR="003B71E2" w:rsidRPr="00580E8D">
          <w:rPr>
            <w:rFonts w:eastAsia="Calibri"/>
            <w:vertAlign w:val="superscript"/>
          </w:rPr>
          <w:t>25)</w:t>
        </w:r>
      </w:hyperlink>
      <w:r w:rsidR="003B71E2" w:rsidRPr="00580E8D">
        <w:rPr>
          <w:rFonts w:eastAsia="Calibri"/>
          <w:bCs/>
        </w:rPr>
        <w:t> se sídlem v České republice a jeho dceřiné obchodní korporaci</w:t>
      </w:r>
      <w:hyperlink r:id="rId312" w:anchor="f5893798" w:history="1">
        <w:r w:rsidR="003B71E2" w:rsidRPr="00580E8D">
          <w:rPr>
            <w:rFonts w:eastAsia="Calibri"/>
            <w:vertAlign w:val="superscript"/>
          </w:rPr>
          <w:t>25)</w:t>
        </w:r>
      </w:hyperlink>
      <w:r w:rsidR="003B71E2" w:rsidRPr="00580E8D">
        <w:rPr>
          <w:rFonts w:eastAsia="Calibri"/>
          <w:bCs/>
          <w:vertAlign w:val="superscript"/>
        </w:rPr>
        <w:t> </w:t>
      </w:r>
      <w:r w:rsidR="003B71E2" w:rsidRPr="00580E8D">
        <w:rPr>
          <w:rFonts w:eastAsia="Calibri"/>
          <w:bCs/>
        </w:rPr>
        <w:t>se sídlem v České republice, členem sítě, do které náleží auditor provádějící povinný audit tohoto subjektu veřejného zájmu, se odstavce 1 a 2 použijí obdobně.</w:t>
      </w:r>
    </w:p>
    <w:p w14:paraId="45ACE752" w14:textId="34221945" w:rsidR="003B71E2" w:rsidRPr="00F56A8A" w:rsidRDefault="00F56A8A" w:rsidP="00BF1739">
      <w:pPr>
        <w:pStyle w:val="PZTextodstavce"/>
        <w:rPr>
          <w:rFonts w:eastAsia="Calibri"/>
          <w:bCs/>
        </w:rPr>
      </w:pPr>
      <w:r>
        <w:rPr>
          <w:rFonts w:eastAsia="Calibri"/>
          <w:bCs/>
        </w:rPr>
        <w:t xml:space="preserve">(4) </w:t>
      </w:r>
      <w:r w:rsidR="003B71E2" w:rsidRPr="00580E8D">
        <w:rPr>
          <w:rFonts w:eastAsia="Calibri"/>
          <w:bCs/>
        </w:rPr>
        <w:t xml:space="preserve">Auditor nesmí poskytnout subjektu veřejného zájmu, jeho mateřské obchodní korporaci nebo jeho dceřiné obchodní korporaci, </w:t>
      </w:r>
      <w:proofErr w:type="spellStart"/>
      <w:r w:rsidR="003B71E2" w:rsidRPr="00580E8D">
        <w:rPr>
          <w:rFonts w:eastAsia="Calibri"/>
          <w:bCs/>
        </w:rPr>
        <w:t>neauditorské</w:t>
      </w:r>
      <w:proofErr w:type="spellEnd"/>
      <w:r w:rsidR="003B71E2" w:rsidRPr="00580E8D">
        <w:rPr>
          <w:rFonts w:eastAsia="Calibri"/>
          <w:bCs/>
        </w:rPr>
        <w:t xml:space="preserve"> služby neuvedené v čl. 5 odst. 1 nařízení Evropského parlamentu a Rady (EU) č. 537/2014 bez schválení kontrolním orgánem podle § 44a odst. 1 písm. m) nebo výborem pro audit podle čl. 5 odst. 4 nařízení Evropského parlamentu a Rady (EU) č. 537/2014.</w:t>
      </w:r>
    </w:p>
    <w:p w14:paraId="1533087D" w14:textId="77777777" w:rsidR="003B71E2" w:rsidRPr="00E135E9" w:rsidRDefault="003B71E2" w:rsidP="00992796">
      <w:pPr>
        <w:pStyle w:val="Paragraf"/>
        <w:numPr>
          <w:ilvl w:val="0"/>
          <w:numId w:val="52"/>
        </w:numPr>
        <w:spacing w:after="120"/>
      </w:pPr>
      <w:r w:rsidRPr="00E135E9">
        <w:lastRenderedPageBreak/>
        <w:t>§ 43ba</w:t>
      </w:r>
    </w:p>
    <w:p w14:paraId="61D952C3" w14:textId="77777777" w:rsidR="003B71E2" w:rsidRPr="00E135E9" w:rsidRDefault="003B71E2" w:rsidP="00992796">
      <w:pPr>
        <w:pStyle w:val="Nadpisparagrafu"/>
        <w:numPr>
          <w:ilvl w:val="0"/>
          <w:numId w:val="52"/>
        </w:numPr>
        <w:spacing w:after="120"/>
      </w:pPr>
      <w:r w:rsidRPr="00E135E9">
        <w:t xml:space="preserve">Ověřování zprávy o udržitelnosti a poskytování </w:t>
      </w:r>
      <w:proofErr w:type="spellStart"/>
      <w:r w:rsidRPr="00E135E9">
        <w:t>neauditorských</w:t>
      </w:r>
      <w:proofErr w:type="spellEnd"/>
      <w:r w:rsidRPr="00E135E9">
        <w:t xml:space="preserve"> služeb</w:t>
      </w:r>
    </w:p>
    <w:p w14:paraId="6948FB3F" w14:textId="6CA08683" w:rsidR="003B71E2" w:rsidRPr="00F56A8A" w:rsidRDefault="00F56A8A" w:rsidP="00BF1739">
      <w:pPr>
        <w:pStyle w:val="PZTextodstavce"/>
        <w:pBdr>
          <w:top w:val="single" w:sz="12" w:space="1" w:color="0070C0"/>
          <w:left w:val="single" w:sz="12" w:space="4" w:color="0070C0"/>
          <w:bottom w:val="single" w:sz="12" w:space="1" w:color="0070C0"/>
          <w:right w:val="single" w:sz="12" w:space="4" w:color="0070C0"/>
        </w:pBdr>
        <w:spacing w:before="240"/>
        <w:rPr>
          <w:b/>
          <w:bCs/>
          <w:u w:val="single"/>
        </w:rPr>
      </w:pPr>
      <w:r>
        <w:t xml:space="preserve">(1) </w:t>
      </w:r>
      <w:r w:rsidR="003B71E2" w:rsidRPr="00E135E9">
        <w:t>Auditor, který ověřuje zprávu o udržitelnosti subjektu veřejného zájmu, nesmí v období počínajícím prvním dnem období, za které je zpráva o udržitelnosti podávána, a dále do vydání zprávy auditora o ověření zprávy o udržitelnosti, poskytovat tomuto subjektu veřejného zájmu, jeho mateřské obchodní korporaci</w:t>
      </w:r>
      <w:r w:rsidR="003B71E2" w:rsidRPr="00E135E9">
        <w:rPr>
          <w:vertAlign w:val="superscript"/>
        </w:rPr>
        <w:t xml:space="preserve">25) </w:t>
      </w:r>
      <w:r w:rsidR="003B71E2" w:rsidRPr="00E135E9">
        <w:t>se sídlem v České republice a jeho dceřiné obchodní korporaci</w:t>
      </w:r>
      <w:r w:rsidR="003B71E2" w:rsidRPr="00E135E9">
        <w:rPr>
          <w:vertAlign w:val="superscript"/>
        </w:rPr>
        <w:t>25)</w:t>
      </w:r>
      <w:r w:rsidR="003B71E2" w:rsidRPr="00E135E9">
        <w:t xml:space="preserve"> se sídlem v České republice </w:t>
      </w:r>
      <w:proofErr w:type="spellStart"/>
      <w:r w:rsidR="003B71E2" w:rsidRPr="00E135E9">
        <w:t>neauditorské</w:t>
      </w:r>
      <w:proofErr w:type="spellEnd"/>
      <w:r w:rsidR="003B71E2" w:rsidRPr="00E135E9">
        <w:t xml:space="preserve"> služby uvedené v čl. 5 odst. 1 druhém pododstavci písm. b), c) a e) až k) nařízení Evropského parlamentu a Rady (EU) č. 537/2014. </w:t>
      </w:r>
      <w:r w:rsidR="003B71E2" w:rsidRPr="00517D7D">
        <w:rPr>
          <w:color w:val="5B9BD5" w:themeColor="accent1"/>
        </w:rPr>
        <w:t>Auditor, který ověřuje zprávu o udržitelnosti subjektu veřejného zájmu, nesmí poskytovat tomuto subjektu veřejného zájmu, jeho mateřské obchodní korporaci</w:t>
      </w:r>
      <w:r w:rsidR="003B71E2" w:rsidRPr="00517D7D">
        <w:rPr>
          <w:color w:val="5B9BD5" w:themeColor="accent1"/>
          <w:vertAlign w:val="superscript"/>
        </w:rPr>
        <w:t xml:space="preserve">25) </w:t>
      </w:r>
      <w:r w:rsidR="003B71E2" w:rsidRPr="00517D7D">
        <w:rPr>
          <w:color w:val="5B9BD5" w:themeColor="accent1"/>
        </w:rPr>
        <w:t>se sídlem v České republice a jeho dceřiné obchodní korporaci</w:t>
      </w:r>
      <w:r w:rsidR="003B71E2" w:rsidRPr="00517D7D">
        <w:rPr>
          <w:color w:val="5B9BD5" w:themeColor="accent1"/>
          <w:vertAlign w:val="superscript"/>
        </w:rPr>
        <w:t>25)</w:t>
      </w:r>
      <w:r w:rsidR="003B71E2" w:rsidRPr="00517D7D">
        <w:rPr>
          <w:color w:val="5B9BD5" w:themeColor="accent1"/>
        </w:rPr>
        <w:t xml:space="preserve"> se sídlem v České republice </w:t>
      </w:r>
      <w:proofErr w:type="spellStart"/>
      <w:r w:rsidR="003B71E2" w:rsidRPr="00517D7D">
        <w:rPr>
          <w:color w:val="5B9BD5" w:themeColor="accent1"/>
        </w:rPr>
        <w:t>neauditorské</w:t>
      </w:r>
      <w:proofErr w:type="spellEnd"/>
      <w:r w:rsidR="003B71E2" w:rsidRPr="00517D7D">
        <w:rPr>
          <w:color w:val="5B9BD5" w:themeColor="accent1"/>
        </w:rPr>
        <w:t xml:space="preserve"> služby uvedené v čl. 5 odst. 1 druhém pododstavci písm. e) nařízení Evropského parlamentu a Rady (EU) č. 537/2014 také v účetním období bezprostředně předcházejícímu období uvedenému ve větě první.</w:t>
      </w:r>
    </w:p>
    <w:p w14:paraId="2FDB9C1E" w14:textId="0B424B85" w:rsidR="003B71E2" w:rsidRPr="00E135E9" w:rsidRDefault="00F56A8A" w:rsidP="00BF1739">
      <w:pPr>
        <w:pStyle w:val="PZTextodstavce"/>
        <w:rPr>
          <w:bCs/>
        </w:rPr>
      </w:pPr>
      <w:r>
        <w:rPr>
          <w:rFonts w:eastAsia="Calibri"/>
          <w:bCs/>
        </w:rPr>
        <w:t xml:space="preserve">(2) </w:t>
      </w:r>
      <w:r w:rsidR="003B71E2" w:rsidRPr="00E135E9">
        <w:rPr>
          <w:rFonts w:eastAsia="Calibri"/>
          <w:bCs/>
        </w:rPr>
        <w:t xml:space="preserve">Na poskytování služeb uvedených v odstavci 1 </w:t>
      </w:r>
      <w:r w:rsidR="003B71E2" w:rsidRPr="00E135E9">
        <w:rPr>
          <w:bCs/>
        </w:rPr>
        <w:t>subjektu veřejného zájmu, jeho mateřské obchodní korporaci</w:t>
      </w:r>
      <w:r w:rsidR="003B71E2" w:rsidRPr="00E135E9">
        <w:rPr>
          <w:bCs/>
          <w:vertAlign w:val="superscript"/>
        </w:rPr>
        <w:t xml:space="preserve">25) </w:t>
      </w:r>
      <w:r w:rsidR="003B71E2" w:rsidRPr="00E135E9">
        <w:rPr>
          <w:bCs/>
        </w:rPr>
        <w:t>se sídlem v České republice a jeho dceřiné obchodní korporaci</w:t>
      </w:r>
      <w:r w:rsidR="003B71E2" w:rsidRPr="00E135E9">
        <w:rPr>
          <w:bCs/>
          <w:vertAlign w:val="superscript"/>
        </w:rPr>
        <w:t>25)</w:t>
      </w:r>
      <w:r w:rsidR="003B71E2" w:rsidRPr="00E135E9">
        <w:rPr>
          <w:bCs/>
        </w:rPr>
        <w:t xml:space="preserve"> se sídlem v České republice osobou v síti, do které náleží auditor provádějící ověření zprávy o udržitelnosti tohoto subjektu veřejného zájmu, se odstavec 1 použije obdobně.</w:t>
      </w:r>
    </w:p>
    <w:p w14:paraId="17010AE2" w14:textId="4239C894" w:rsidR="003B71E2" w:rsidRPr="00E135E9" w:rsidRDefault="00C21126" w:rsidP="00BF1739">
      <w:pPr>
        <w:pStyle w:val="PZTextodstavce"/>
        <w:rPr>
          <w:rFonts w:eastAsia="Calibri"/>
          <w:bCs/>
        </w:rPr>
      </w:pPr>
      <w:r>
        <w:rPr>
          <w:bCs/>
        </w:rPr>
        <w:t xml:space="preserve">(3) </w:t>
      </w:r>
      <w:r w:rsidR="003B71E2" w:rsidRPr="00E135E9">
        <w:rPr>
          <w:bCs/>
        </w:rPr>
        <w:t>Auditor, který provádí ověření zprávy o udržitelnosti subjektu veřejného zájmu, může poskytovat tomuto subjektu veřejného zájmu, jeho mateřské obchodní korporaci</w:t>
      </w:r>
      <w:r w:rsidR="003B71E2" w:rsidRPr="00E135E9">
        <w:rPr>
          <w:bCs/>
          <w:vertAlign w:val="superscript"/>
        </w:rPr>
        <w:t>25)</w:t>
      </w:r>
      <w:r w:rsidR="003B71E2" w:rsidRPr="00E135E9">
        <w:rPr>
          <w:bCs/>
        </w:rPr>
        <w:t xml:space="preserve"> se sídlem v České republice a jeho dceřiné obchodní korporaci</w:t>
      </w:r>
      <w:r w:rsidR="003B71E2" w:rsidRPr="00E135E9">
        <w:rPr>
          <w:bCs/>
          <w:vertAlign w:val="superscript"/>
        </w:rPr>
        <w:t>25)</w:t>
      </w:r>
      <w:r w:rsidR="003B71E2" w:rsidRPr="00E135E9">
        <w:rPr>
          <w:bCs/>
        </w:rPr>
        <w:t xml:space="preserve"> se sídlem v České republice jiné </w:t>
      </w:r>
      <w:proofErr w:type="spellStart"/>
      <w:r w:rsidR="003B71E2" w:rsidRPr="00E135E9">
        <w:rPr>
          <w:bCs/>
        </w:rPr>
        <w:t>neauditorské</w:t>
      </w:r>
      <w:proofErr w:type="spellEnd"/>
      <w:r w:rsidR="003B71E2" w:rsidRPr="00E135E9">
        <w:rPr>
          <w:bCs/>
        </w:rPr>
        <w:t xml:space="preserve"> služby neuvedené v odstavci 1 nebo </w:t>
      </w:r>
      <w:proofErr w:type="spellStart"/>
      <w:r w:rsidR="003B71E2" w:rsidRPr="00E135E9">
        <w:rPr>
          <w:bCs/>
        </w:rPr>
        <w:t>neauditorské</w:t>
      </w:r>
      <w:proofErr w:type="spellEnd"/>
      <w:r w:rsidR="003B71E2" w:rsidRPr="00E135E9">
        <w:rPr>
          <w:bCs/>
        </w:rPr>
        <w:t xml:space="preserve"> služby uvedené v čl. 5 odst. 1 druhém pododstavci nařízení Evropského parlamentu a Rady (EU) č. 537/2014, pokud je schválí výbor pro audit po řádném posouzení auditorovy dokumentace posouzení rizika ohrožení nezávislosti a v případě existence rizika přijatých ochranných opatření k jeho zmírnění podle § 14b.</w:t>
      </w:r>
    </w:p>
    <w:p w14:paraId="1E0B4DBB" w14:textId="23A47242" w:rsidR="003B71E2" w:rsidRPr="00E135E9" w:rsidRDefault="00C21126" w:rsidP="00BF1739">
      <w:pPr>
        <w:pStyle w:val="PZTextodstavce"/>
        <w:rPr>
          <w:bCs/>
        </w:rPr>
      </w:pPr>
      <w:r>
        <w:rPr>
          <w:rFonts w:eastAsia="Calibri"/>
          <w:bCs/>
        </w:rPr>
        <w:t xml:space="preserve">(4) </w:t>
      </w:r>
      <w:r w:rsidR="003B71E2" w:rsidRPr="00E135E9">
        <w:rPr>
          <w:rFonts w:eastAsia="Calibri"/>
          <w:bCs/>
        </w:rPr>
        <w:t xml:space="preserve">Na poskytování služeb uvedených v odstavci 3 </w:t>
      </w:r>
      <w:r w:rsidR="003B71E2" w:rsidRPr="00E135E9">
        <w:rPr>
          <w:bCs/>
        </w:rPr>
        <w:t>subjektu veřejného zájmu, jeho mateřské obchodní korporaci</w:t>
      </w:r>
      <w:r w:rsidR="003B71E2" w:rsidRPr="00E135E9">
        <w:rPr>
          <w:bCs/>
          <w:vertAlign w:val="superscript"/>
        </w:rPr>
        <w:t xml:space="preserve">25) </w:t>
      </w:r>
      <w:r w:rsidR="003B71E2" w:rsidRPr="00E135E9">
        <w:rPr>
          <w:bCs/>
        </w:rPr>
        <w:t>se sídlem v České republice a jeho dceřiné obchodní korporaci</w:t>
      </w:r>
      <w:r w:rsidR="003B71E2" w:rsidRPr="00E135E9">
        <w:rPr>
          <w:bCs/>
          <w:vertAlign w:val="superscript"/>
        </w:rPr>
        <w:t>25)</w:t>
      </w:r>
      <w:r w:rsidR="003B71E2" w:rsidRPr="00E135E9">
        <w:rPr>
          <w:bCs/>
        </w:rPr>
        <w:t xml:space="preserve"> se sídlem v České republice osobou v síti, do které náleží auditor provádějící ověření zprávy o udržitelnosti tohoto subjektu veřejného zájmu, se odstavec 3 použije obdobně.</w:t>
      </w:r>
    </w:p>
    <w:p w14:paraId="32B1B94E" w14:textId="7DC4CDD0" w:rsidR="003B71E2" w:rsidRPr="00E135E9" w:rsidRDefault="00C21126" w:rsidP="00BF1739">
      <w:pPr>
        <w:pStyle w:val="PZTextodstavce"/>
        <w:rPr>
          <w:rFonts w:eastAsia="Calibri"/>
          <w:b/>
          <w:bCs/>
          <w:u w:val="single"/>
        </w:rPr>
      </w:pPr>
      <w:r>
        <w:rPr>
          <w:rFonts w:eastAsia="Calibri"/>
        </w:rPr>
        <w:t xml:space="preserve">(5) </w:t>
      </w:r>
      <w:r w:rsidR="003B71E2" w:rsidRPr="1FC842C7">
        <w:rPr>
          <w:rFonts w:eastAsia="Calibri"/>
        </w:rPr>
        <w:t xml:space="preserve">Pokud osoba v síti, do níž náleží auditor, který provádí ověření přehledu informací subjektu veřejného zájmu, poskytuje </w:t>
      </w:r>
      <w:proofErr w:type="spellStart"/>
      <w:r w:rsidR="003B71E2" w:rsidRPr="1FC842C7">
        <w:rPr>
          <w:rFonts w:eastAsia="Calibri"/>
        </w:rPr>
        <w:t>neauditorské</w:t>
      </w:r>
      <w:proofErr w:type="spellEnd"/>
      <w:r w:rsidR="003B71E2" w:rsidRPr="1FC842C7">
        <w:rPr>
          <w:rFonts w:eastAsia="Calibri"/>
        </w:rPr>
        <w:t xml:space="preserve"> služby uvedené v odstavci 1 </w:t>
      </w:r>
      <w:proofErr w:type="spellStart"/>
      <w:proofErr w:type="gramStart"/>
      <w:r w:rsidR="003B71E2" w:rsidRPr="1FC842C7">
        <w:rPr>
          <w:rFonts w:eastAsia="Calibri"/>
        </w:rPr>
        <w:t>dceřinné</w:t>
      </w:r>
      <w:proofErr w:type="spellEnd"/>
      <w:proofErr w:type="gramEnd"/>
      <w:r w:rsidR="003B71E2" w:rsidRPr="1FC842C7">
        <w:rPr>
          <w:rFonts w:eastAsia="Calibri"/>
        </w:rPr>
        <w:t xml:space="preserve"> entitě tohoto subjektu veřejného zájmu, která má sídlo ve třetí zemi, auditor posoudí riziko ohrožení jeho nezávislosti v souvislosti s poskytováním těchto </w:t>
      </w:r>
      <w:proofErr w:type="spellStart"/>
      <w:r w:rsidR="003B71E2" w:rsidRPr="1FC842C7">
        <w:rPr>
          <w:rFonts w:eastAsia="Calibri"/>
        </w:rPr>
        <w:t>neauditorských</w:t>
      </w:r>
      <w:proofErr w:type="spellEnd"/>
      <w:r w:rsidR="003B71E2" w:rsidRPr="1FC842C7">
        <w:rPr>
          <w:rFonts w:eastAsia="Calibri"/>
        </w:rPr>
        <w:t xml:space="preserve"> služeb osobou v síti. Má-li poskytování </w:t>
      </w:r>
      <w:proofErr w:type="spellStart"/>
      <w:r w:rsidR="003B71E2" w:rsidRPr="1FC842C7">
        <w:rPr>
          <w:rFonts w:eastAsia="Calibri"/>
        </w:rPr>
        <w:t>neauditorských</w:t>
      </w:r>
      <w:proofErr w:type="spellEnd"/>
      <w:r w:rsidR="003B71E2" w:rsidRPr="1FC842C7">
        <w:rPr>
          <w:rFonts w:eastAsia="Calibri"/>
        </w:rPr>
        <w:t xml:space="preserve"> služeb osobou v síti dopad na nezávislost auditora, auditor může ověření zprávy o udržitelnosti provést, pouze pokud přijme ochranná opatření k omezení rizika ohrožení jeho nezávislosti.</w:t>
      </w:r>
    </w:p>
    <w:p w14:paraId="4EFF924E" w14:textId="77777777" w:rsidR="003B71E2" w:rsidRPr="00E1102B" w:rsidRDefault="003B71E2" w:rsidP="00992796">
      <w:pPr>
        <w:pStyle w:val="paragraf0"/>
        <w:numPr>
          <w:ilvl w:val="0"/>
          <w:numId w:val="52"/>
        </w:numPr>
        <w:spacing w:after="120"/>
        <w:rPr>
          <w:noProof w:val="0"/>
        </w:rPr>
      </w:pPr>
      <w:r>
        <w:rPr>
          <w:noProof w:val="0"/>
        </w:rPr>
        <w:t>***</w:t>
      </w:r>
    </w:p>
    <w:p w14:paraId="3D9C9B5E" w14:textId="77777777" w:rsidR="003B71E2" w:rsidRPr="00F57BD0" w:rsidRDefault="003B71E2" w:rsidP="00992796">
      <w:pPr>
        <w:pStyle w:val="Paragraf"/>
        <w:numPr>
          <w:ilvl w:val="0"/>
          <w:numId w:val="52"/>
        </w:numPr>
        <w:spacing w:after="120"/>
      </w:pPr>
      <w:r w:rsidRPr="00F57BD0">
        <w:t xml:space="preserve">§ 44a </w:t>
      </w:r>
    </w:p>
    <w:p w14:paraId="3C01479B" w14:textId="77777777" w:rsidR="003B71E2" w:rsidRPr="009D7385" w:rsidRDefault="003B71E2" w:rsidP="00992796">
      <w:pPr>
        <w:pStyle w:val="Nadpisparagrafu"/>
        <w:keepNext w:val="0"/>
        <w:keepLines w:val="0"/>
        <w:widowControl w:val="0"/>
        <w:numPr>
          <w:ilvl w:val="0"/>
          <w:numId w:val="52"/>
        </w:numPr>
        <w:tabs>
          <w:tab w:val="left" w:pos="425"/>
          <w:tab w:val="left" w:pos="851"/>
        </w:tabs>
        <w:spacing w:after="120"/>
        <w:rPr>
          <w:szCs w:val="24"/>
        </w:rPr>
      </w:pPr>
      <w:r w:rsidRPr="009D7385">
        <w:rPr>
          <w:szCs w:val="24"/>
        </w:rPr>
        <w:t xml:space="preserve">Výbor pro audit </w:t>
      </w:r>
    </w:p>
    <w:p w14:paraId="1824D2B6" w14:textId="7050B30E" w:rsidR="003B71E2" w:rsidRPr="009D7385" w:rsidRDefault="00C21126" w:rsidP="00BF1739">
      <w:pPr>
        <w:pStyle w:val="PZTextodstavce"/>
        <w:pBdr>
          <w:top w:val="single" w:sz="12" w:space="1" w:color="0070C0"/>
          <w:left w:val="single" w:sz="12" w:space="1" w:color="0070C0"/>
          <w:bottom w:val="single" w:sz="12" w:space="1" w:color="0070C0"/>
          <w:right w:val="single" w:sz="12" w:space="1" w:color="0070C0"/>
        </w:pBdr>
        <w:spacing w:before="240"/>
      </w:pPr>
      <w:r>
        <w:lastRenderedPageBreak/>
        <w:t xml:space="preserve">(1) </w:t>
      </w:r>
      <w:r w:rsidR="003B71E2" w:rsidRPr="009D7385">
        <w:t>Výbor pro audit, aniž je dotčena odpovědnost řídicího nebo kontrolního or</w:t>
      </w:r>
      <w:r w:rsidR="003B71E2">
        <w:t>gánu nebo jejich členů, zejména</w:t>
      </w:r>
    </w:p>
    <w:p w14:paraId="57B45BF2" w14:textId="78487A22" w:rsidR="003B71E2" w:rsidRPr="009D7385" w:rsidRDefault="00BF1739" w:rsidP="00BF1739">
      <w:pPr>
        <w:pStyle w:val="PZTextpsmene"/>
        <w:pBdr>
          <w:top w:val="single" w:sz="12" w:space="1" w:color="0070C0"/>
          <w:left w:val="single" w:sz="12" w:space="1" w:color="0070C0"/>
          <w:bottom w:val="single" w:sz="12" w:space="1" w:color="0070C0"/>
          <w:right w:val="single" w:sz="12" w:space="1" w:color="0070C0"/>
        </w:pBdr>
        <w:spacing w:before="0"/>
      </w:pPr>
      <w:r>
        <w:t>a)</w:t>
      </w:r>
      <w:r>
        <w:tab/>
      </w:r>
      <w:r w:rsidR="003B71E2">
        <w:t>sleduje účinnost vnitřní kontroly, systému řízení rizik,</w:t>
      </w:r>
    </w:p>
    <w:p w14:paraId="3D3825DC" w14:textId="143D44BB" w:rsidR="003B71E2" w:rsidRPr="009D7385" w:rsidRDefault="00BF1739" w:rsidP="00BF1739">
      <w:pPr>
        <w:pStyle w:val="PZTextpsmene"/>
        <w:pBdr>
          <w:top w:val="single" w:sz="12" w:space="1" w:color="0070C0"/>
          <w:left w:val="single" w:sz="12" w:space="1" w:color="0070C0"/>
          <w:bottom w:val="single" w:sz="12" w:space="1" w:color="0070C0"/>
          <w:right w:val="single" w:sz="12" w:space="1" w:color="0070C0"/>
        </w:pBdr>
        <w:spacing w:before="0"/>
      </w:pPr>
      <w:r>
        <w:t>b)</w:t>
      </w:r>
      <w:r>
        <w:tab/>
      </w:r>
      <w:r w:rsidR="003B71E2">
        <w:t>sleduje účinnost vnitřního auditu a jeho funkční nezávislost, je-li funkce vnitřního auditu zřízena,</w:t>
      </w:r>
    </w:p>
    <w:p w14:paraId="2E1145AF" w14:textId="27032ECB" w:rsidR="003B71E2" w:rsidRDefault="00BF1739" w:rsidP="00BF1739">
      <w:pPr>
        <w:pStyle w:val="PZTextpsmene"/>
        <w:pBdr>
          <w:top w:val="single" w:sz="12" w:space="1" w:color="0070C0"/>
          <w:left w:val="single" w:sz="12" w:space="1" w:color="0070C0"/>
          <w:bottom w:val="single" w:sz="12" w:space="1" w:color="0070C0"/>
          <w:right w:val="single" w:sz="12" w:space="1" w:color="0070C0"/>
        </w:pBdr>
        <w:spacing w:before="0"/>
      </w:pPr>
      <w:r>
        <w:t>c)</w:t>
      </w:r>
      <w:r>
        <w:tab/>
      </w:r>
      <w:r w:rsidR="003B71E2">
        <w:t xml:space="preserve">sleduje postup sestavování účetní závěrky </w:t>
      </w:r>
      <w:r w:rsidR="003B71E2" w:rsidRPr="002003EB">
        <w:rPr>
          <w:strike/>
        </w:rPr>
        <w:t>a konsolidované účetní závěrky</w:t>
      </w:r>
      <w:r w:rsidR="003B71E2" w:rsidRPr="002003EB">
        <w:rPr>
          <w:b/>
          <w:bCs/>
        </w:rPr>
        <w:t xml:space="preserve"> </w:t>
      </w:r>
      <w:r w:rsidR="003B71E2" w:rsidRPr="00E135E9">
        <w:t xml:space="preserve">a postup vyhotovování zprávy o udržitelnosti </w:t>
      </w:r>
      <w:r w:rsidR="003B71E2" w:rsidRPr="00130AB5">
        <w:rPr>
          <w:b/>
          <w:color w:val="5B9BD5" w:themeColor="accent1"/>
        </w:rPr>
        <w:t>včetně postupu při určování informací vykazovaných v souladu se standardy pro podávání zpráv o udržitelnosti přijatými Evropskou komisí a formátování a značkování zprávy o udržitelnosti podle požadavku účetních předpisů</w:t>
      </w:r>
      <w:r w:rsidR="003B71E2">
        <w:t xml:space="preserve"> a předkládá řídicímu nebo kontrolnímu orgánu doporučení k zajištění integrity systémů účetnictví a finančního výkaznictví </w:t>
      </w:r>
      <w:r w:rsidR="003B71E2" w:rsidRPr="00130AB5">
        <w:rPr>
          <w:b/>
          <w:color w:val="5B9BD5" w:themeColor="accent1"/>
        </w:rPr>
        <w:t>a vyhotovování zpráv o udržitelnosti</w:t>
      </w:r>
      <w:r w:rsidR="003B71E2">
        <w:t>,</w:t>
      </w:r>
    </w:p>
    <w:p w14:paraId="67AB1F77" w14:textId="701C31F0" w:rsidR="003B71E2" w:rsidRPr="009D7385" w:rsidRDefault="00BF1739" w:rsidP="00BF1739">
      <w:pPr>
        <w:pStyle w:val="PZTextpsmene"/>
        <w:pBdr>
          <w:top w:val="single" w:sz="12" w:space="1" w:color="0070C0"/>
          <w:left w:val="single" w:sz="12" w:space="1" w:color="0070C0"/>
          <w:bottom w:val="single" w:sz="12" w:space="1" w:color="0070C0"/>
          <w:right w:val="single" w:sz="12" w:space="1" w:color="0070C0"/>
        </w:pBdr>
        <w:spacing w:before="0"/>
      </w:pPr>
      <w:r>
        <w:t>d)</w:t>
      </w:r>
      <w:r>
        <w:tab/>
      </w:r>
      <w:r w:rsidR="003B71E2" w:rsidRPr="009D7385">
        <w:t>doporučuje auditora kontrolnímu orgánu s tím, že toto doporučení, nestanoví-li přímo použitelný předpis Evropské unie upravující specifické požadavky na povinný audit subjektů veřejné</w:t>
      </w:r>
      <w:r w:rsidR="003B71E2">
        <w:t>ho zájmu jinak, řádně odůvodní,</w:t>
      </w:r>
    </w:p>
    <w:p w14:paraId="2AE310B7" w14:textId="2A760AC2" w:rsidR="003B71E2" w:rsidRPr="009D7385" w:rsidRDefault="00BF1739" w:rsidP="00BF1739">
      <w:pPr>
        <w:pStyle w:val="PZTextpsmene"/>
        <w:pBdr>
          <w:top w:val="single" w:sz="12" w:space="1" w:color="0070C0"/>
          <w:left w:val="single" w:sz="12" w:space="1" w:color="0070C0"/>
          <w:bottom w:val="single" w:sz="12" w:space="1" w:color="0070C0"/>
          <w:right w:val="single" w:sz="12" w:space="1" w:color="0070C0"/>
        </w:pBdr>
        <w:spacing w:before="0"/>
      </w:pPr>
      <w:r>
        <w:t>e)</w:t>
      </w:r>
      <w:r>
        <w:tab/>
      </w:r>
      <w:r w:rsidR="003B71E2">
        <w:t xml:space="preserve">posuzuje nezávislost statutárního auditora a auditorské společnosti a poskytování </w:t>
      </w:r>
      <w:proofErr w:type="spellStart"/>
      <w:r w:rsidR="003B71E2">
        <w:t>neauditorských</w:t>
      </w:r>
      <w:proofErr w:type="spellEnd"/>
      <w:r w:rsidR="003B71E2">
        <w:t xml:space="preserve"> služeb subjektu veřejného zájmu statutárním auditorem a auditorskou společností,</w:t>
      </w:r>
    </w:p>
    <w:p w14:paraId="64051951" w14:textId="0A6635CF" w:rsidR="003B71E2" w:rsidRPr="009D7385" w:rsidRDefault="00BF1739" w:rsidP="00BF1739">
      <w:pPr>
        <w:pStyle w:val="PZTextpsmene"/>
        <w:pBdr>
          <w:top w:val="single" w:sz="12" w:space="1" w:color="0070C0"/>
          <w:left w:val="single" w:sz="12" w:space="1" w:color="0070C0"/>
          <w:bottom w:val="single" w:sz="12" w:space="1" w:color="0070C0"/>
          <w:right w:val="single" w:sz="12" w:space="1" w:color="0070C0"/>
        </w:pBdr>
        <w:spacing w:before="0"/>
      </w:pPr>
      <w:r>
        <w:t>f)</w:t>
      </w:r>
      <w:r>
        <w:tab/>
      </w:r>
      <w:r w:rsidR="003B71E2">
        <w:t>projednává s auditorem rizika ohrožující jeho nezávislost a ochranná opatření, která byla auditorem přijata s cílem tato rizika zmírnit,</w:t>
      </w:r>
    </w:p>
    <w:p w14:paraId="32A9144A" w14:textId="63EBF1CD" w:rsidR="003B71E2" w:rsidRPr="009D7385" w:rsidRDefault="00BF1739" w:rsidP="00BF1739">
      <w:pPr>
        <w:pStyle w:val="PZTextpsmene"/>
        <w:pBdr>
          <w:top w:val="single" w:sz="12" w:space="1" w:color="0070C0"/>
          <w:left w:val="single" w:sz="12" w:space="1" w:color="0070C0"/>
          <w:bottom w:val="single" w:sz="12" w:space="1" w:color="0070C0"/>
          <w:right w:val="single" w:sz="12" w:space="1" w:color="0070C0"/>
        </w:pBdr>
        <w:spacing w:before="0"/>
      </w:pPr>
      <w:r>
        <w:t>g)</w:t>
      </w:r>
      <w:r>
        <w:tab/>
      </w:r>
      <w:r w:rsidR="003B71E2">
        <w:t xml:space="preserve">sleduje proces povinného auditu </w:t>
      </w:r>
      <w:r w:rsidR="003B71E2" w:rsidRPr="00E135E9">
        <w:t>a ověření zprávy o udržitelnosti</w:t>
      </w:r>
      <w:r w:rsidR="003B71E2">
        <w:t>; přitom vychází ze souhrnné zprávy o systému zajištění kvality,</w:t>
      </w:r>
    </w:p>
    <w:p w14:paraId="1B7C28E3" w14:textId="50635463" w:rsidR="003B71E2" w:rsidRPr="009D7385" w:rsidRDefault="00BF1739" w:rsidP="00BF1739">
      <w:pPr>
        <w:pStyle w:val="PZTextpsmene"/>
        <w:pBdr>
          <w:top w:val="single" w:sz="12" w:space="1" w:color="0070C0"/>
          <w:left w:val="single" w:sz="12" w:space="1" w:color="0070C0"/>
          <w:bottom w:val="single" w:sz="12" w:space="1" w:color="0070C0"/>
          <w:right w:val="single" w:sz="12" w:space="1" w:color="0070C0"/>
        </w:pBdr>
        <w:spacing w:before="0"/>
      </w:pPr>
      <w:r>
        <w:t>h)</w:t>
      </w:r>
      <w:r>
        <w:tab/>
      </w:r>
      <w:r w:rsidR="003B71E2">
        <w:t>vyjadřuje se k výpovědi závazku ze smlouvy o povinném auditu nebo odstoupení od smlouvy o povinném auditu podle § 17a odst. 1,</w:t>
      </w:r>
    </w:p>
    <w:p w14:paraId="05394351" w14:textId="5A499C58" w:rsidR="003B71E2" w:rsidRPr="009D7385" w:rsidRDefault="00BF1739" w:rsidP="00BF1739">
      <w:pPr>
        <w:pStyle w:val="PZTextpsmene"/>
        <w:pBdr>
          <w:top w:val="single" w:sz="12" w:space="1" w:color="0070C0"/>
          <w:left w:val="single" w:sz="12" w:space="1" w:color="0070C0"/>
          <w:bottom w:val="single" w:sz="12" w:space="1" w:color="0070C0"/>
          <w:right w:val="single" w:sz="12" w:space="1" w:color="0070C0"/>
        </w:pBdr>
        <w:spacing w:before="0"/>
      </w:pPr>
      <w:r>
        <w:t>i)</w:t>
      </w:r>
      <w:r>
        <w:tab/>
      </w:r>
      <w:r w:rsidR="003B71E2">
        <w:t>posuzuje, zda bude auditorská zakázka předmětem přezkumu řízení kvality auditorské zakázky jiným statutárním auditorem vykonávajícím auditorskou činnost vlastním jménem a na vlastní účet nebo auditorskou společností podle čl. 4 odst. 3 první pododstavec nařízení Evropského parlamentu a Rady (EU) č. 537/2014,</w:t>
      </w:r>
    </w:p>
    <w:p w14:paraId="00D82C68" w14:textId="2B4EF1F6" w:rsidR="003B71E2" w:rsidRPr="00E135E9" w:rsidRDefault="00BF1739" w:rsidP="00BF1739">
      <w:pPr>
        <w:pStyle w:val="PZTextpsmene"/>
        <w:pBdr>
          <w:top w:val="single" w:sz="12" w:space="1" w:color="0070C0"/>
          <w:left w:val="single" w:sz="12" w:space="1" w:color="0070C0"/>
          <w:bottom w:val="single" w:sz="12" w:space="1" w:color="0070C0"/>
          <w:right w:val="single" w:sz="12" w:space="1" w:color="0070C0"/>
        </w:pBdr>
        <w:spacing w:before="0"/>
      </w:pPr>
      <w:r>
        <w:t>j)</w:t>
      </w:r>
      <w:r>
        <w:tab/>
      </w:r>
      <w:r w:rsidR="003B71E2" w:rsidRPr="00E135E9">
        <w:t>informuje kontrolní orgán o výsledku povinného auditu a ověření zprávy o udržitelnosti a jeho poznatcích získaných ze sledování procesu povinného auditu a ověření zprávy o udržitelnosti,</w:t>
      </w:r>
    </w:p>
    <w:p w14:paraId="002C4B2E" w14:textId="7590E328" w:rsidR="003B71E2" w:rsidRDefault="00BF1739" w:rsidP="00BF1739">
      <w:pPr>
        <w:pStyle w:val="PZTextpsmene"/>
        <w:pBdr>
          <w:top w:val="single" w:sz="12" w:space="1" w:color="0070C0"/>
          <w:left w:val="single" w:sz="12" w:space="1" w:color="0070C0"/>
          <w:bottom w:val="single" w:sz="12" w:space="1" w:color="0070C0"/>
          <w:right w:val="single" w:sz="12" w:space="1" w:color="0070C0"/>
        </w:pBdr>
        <w:spacing w:before="0"/>
      </w:pPr>
      <w:r>
        <w:t>k)</w:t>
      </w:r>
      <w:r>
        <w:tab/>
      </w:r>
      <w:r w:rsidR="003B71E2">
        <w:t xml:space="preserve">informuje kontrolní orgán, jakým způsobem povinný audit </w:t>
      </w:r>
      <w:r w:rsidR="003B71E2" w:rsidRPr="00130AB5">
        <w:rPr>
          <w:b/>
          <w:color w:val="5B9BD5" w:themeColor="accent1"/>
        </w:rPr>
        <w:t>a ověření zprávy o udržitelnost</w:t>
      </w:r>
      <w:r w:rsidR="003B71E2" w:rsidRPr="00130AB5">
        <w:rPr>
          <w:color w:val="5B9BD5" w:themeColor="accent1"/>
        </w:rPr>
        <w:t xml:space="preserve">i </w:t>
      </w:r>
      <w:r w:rsidR="003B71E2" w:rsidRPr="00130AB5">
        <w:rPr>
          <w:b/>
          <w:color w:val="5B9BD5" w:themeColor="accent1"/>
        </w:rPr>
        <w:t>přispěly</w:t>
      </w:r>
      <w:r w:rsidR="003B71E2" w:rsidRPr="002003EB">
        <w:rPr>
          <w:b/>
          <w:bCs/>
        </w:rPr>
        <w:t xml:space="preserve"> </w:t>
      </w:r>
      <w:r w:rsidR="003B71E2">
        <w:t xml:space="preserve">k zajištění integrity systémů účetnictví a finančního výkaznictví </w:t>
      </w:r>
      <w:r w:rsidR="003B71E2" w:rsidRPr="00130AB5">
        <w:rPr>
          <w:b/>
          <w:color w:val="5B9BD5" w:themeColor="accent1"/>
        </w:rPr>
        <w:t>a vyhotovování zpráv o udržitelnosti</w:t>
      </w:r>
      <w:r w:rsidR="003B71E2">
        <w:t>,</w:t>
      </w:r>
    </w:p>
    <w:p w14:paraId="3E4CDC6F" w14:textId="3B985CA0" w:rsidR="003B71E2" w:rsidRPr="009D7385" w:rsidRDefault="00BF1739" w:rsidP="00BF1739">
      <w:pPr>
        <w:pStyle w:val="PZTextpsmene"/>
        <w:pBdr>
          <w:top w:val="single" w:sz="12" w:space="1" w:color="0070C0"/>
          <w:left w:val="single" w:sz="12" w:space="1" w:color="0070C0"/>
          <w:bottom w:val="single" w:sz="12" w:space="1" w:color="0070C0"/>
          <w:right w:val="single" w:sz="12" w:space="1" w:color="0070C0"/>
        </w:pBdr>
        <w:spacing w:before="0"/>
      </w:pPr>
      <w:r>
        <w:t>l)</w:t>
      </w:r>
      <w:r>
        <w:tab/>
      </w:r>
      <w:r w:rsidR="003B71E2" w:rsidRPr="009D7385">
        <w:t>rozhoduje o pokračování provádění povinného auditu auditorem podle čl. 4 odst. 3 druhý pododstavec nařízení Evropského parlamentu a Rady (EU) č. 537/2014</w:t>
      </w:r>
      <w:r w:rsidR="003B71E2">
        <w:t>,</w:t>
      </w:r>
    </w:p>
    <w:p w14:paraId="25B1608F" w14:textId="07C41C2F" w:rsidR="003B71E2" w:rsidRPr="009D7385" w:rsidRDefault="00BF1739" w:rsidP="00BF1739">
      <w:pPr>
        <w:pStyle w:val="PZTextpsmene"/>
        <w:pBdr>
          <w:top w:val="single" w:sz="12" w:space="1" w:color="0070C0"/>
          <w:left w:val="single" w:sz="12" w:space="1" w:color="0070C0"/>
          <w:bottom w:val="single" w:sz="12" w:space="1" w:color="0070C0"/>
          <w:right w:val="single" w:sz="12" w:space="1" w:color="0070C0"/>
        </w:pBdr>
        <w:spacing w:before="0"/>
      </w:pPr>
      <w:r>
        <w:t>m)</w:t>
      </w:r>
      <w:r>
        <w:tab/>
      </w:r>
      <w:r w:rsidR="003B71E2" w:rsidRPr="009D7385">
        <w:t>schvaluje poskytován</w:t>
      </w:r>
      <w:r w:rsidR="003B71E2">
        <w:t xml:space="preserve">í jiných </w:t>
      </w:r>
      <w:proofErr w:type="spellStart"/>
      <w:r w:rsidR="003B71E2">
        <w:t>neauditorských</w:t>
      </w:r>
      <w:proofErr w:type="spellEnd"/>
      <w:r w:rsidR="003B71E2">
        <w:t xml:space="preserve"> služeb,</w:t>
      </w:r>
    </w:p>
    <w:p w14:paraId="20D20DF1" w14:textId="01F265AB" w:rsidR="003B71E2" w:rsidRPr="009D7385" w:rsidRDefault="00BF1739" w:rsidP="00BF1739">
      <w:pPr>
        <w:pStyle w:val="PZTextpsmene"/>
        <w:pBdr>
          <w:top w:val="single" w:sz="12" w:space="1" w:color="0070C0"/>
          <w:left w:val="single" w:sz="12" w:space="1" w:color="0070C0"/>
          <w:bottom w:val="single" w:sz="12" w:space="1" w:color="0070C0"/>
          <w:right w:val="single" w:sz="12" w:space="1" w:color="0070C0"/>
        </w:pBdr>
        <w:spacing w:before="0"/>
      </w:pPr>
      <w:r>
        <w:t>n)</w:t>
      </w:r>
      <w:r>
        <w:tab/>
      </w:r>
      <w:r w:rsidR="003B71E2">
        <w:t>schvaluje zprávu o závěrech výběrového řízení ve výběrovém řízení v souladu s čl. 16 nařízení Evropského parlamentu a Rady (EU) č. 537/2014 a</w:t>
      </w:r>
    </w:p>
    <w:p w14:paraId="356D8EAC" w14:textId="50D6EA82" w:rsidR="003B71E2" w:rsidRPr="006D22EC" w:rsidRDefault="00BF1739" w:rsidP="00BF1739">
      <w:pPr>
        <w:pStyle w:val="PZTextpsmene"/>
        <w:pBdr>
          <w:top w:val="single" w:sz="12" w:space="1" w:color="0070C0"/>
          <w:left w:val="single" w:sz="12" w:space="1" w:color="0070C0"/>
          <w:bottom w:val="single" w:sz="12" w:space="1" w:color="0070C0"/>
          <w:right w:val="single" w:sz="12" w:space="1" w:color="0070C0"/>
        </w:pBdr>
        <w:spacing w:before="0"/>
      </w:pPr>
      <w:r>
        <w:t>o)</w:t>
      </w:r>
      <w:r>
        <w:tab/>
      </w:r>
      <w:r w:rsidR="003B71E2">
        <w:t>vykonává další působnost podle tohoto zákona nebo přímo použitelného předpisu Evropské unie upravujícího specifické požadavky na povinný audit subjektů veřejného zájmu.</w:t>
      </w:r>
    </w:p>
    <w:p w14:paraId="47073832" w14:textId="190FB5E9" w:rsidR="003B71E2" w:rsidRPr="006D22EC" w:rsidRDefault="00C21126" w:rsidP="00C21126">
      <w:pPr>
        <w:pStyle w:val="PZTextodstavce"/>
        <w:spacing w:before="240"/>
      </w:pPr>
      <w:r>
        <w:t xml:space="preserve">(2) </w:t>
      </w:r>
      <w:r w:rsidR="003B71E2" w:rsidRPr="009D7385">
        <w:t>Auditor průběžně podává výboru pro audit zprávy o významných skutečnostech vyplývajících z povinného auditu</w:t>
      </w:r>
      <w:r w:rsidR="003B71E2">
        <w:t xml:space="preserve"> </w:t>
      </w:r>
      <w:r w:rsidR="003B71E2" w:rsidRPr="00E135E9">
        <w:t xml:space="preserve">a ověření zprávy o udržitelnosti, </w:t>
      </w:r>
      <w:r w:rsidR="003B71E2" w:rsidRPr="009D7385">
        <w:t>zejména o zásadních nedostatcích ve vnitřní kontrole ve vztahu k postupu sestavování účetní závěrky</w:t>
      </w:r>
      <w:r w:rsidR="003B71E2" w:rsidRPr="00AE7954">
        <w:rPr>
          <w:strike/>
        </w:rPr>
        <w:t xml:space="preserve"> nebo konsolidované účetní závěrky</w:t>
      </w:r>
      <w:r w:rsidR="003B71E2">
        <w:t>.</w:t>
      </w:r>
    </w:p>
    <w:p w14:paraId="7B03BC96" w14:textId="77777777" w:rsidR="003B71E2" w:rsidRPr="00E1102B" w:rsidRDefault="003B71E2" w:rsidP="00992796">
      <w:pPr>
        <w:pStyle w:val="paragraf0"/>
        <w:numPr>
          <w:ilvl w:val="0"/>
          <w:numId w:val="52"/>
        </w:numPr>
        <w:spacing w:after="120"/>
        <w:rPr>
          <w:noProof w:val="0"/>
        </w:rPr>
      </w:pPr>
      <w:r>
        <w:rPr>
          <w:noProof w:val="0"/>
        </w:rPr>
        <w:lastRenderedPageBreak/>
        <w:t>***</w:t>
      </w:r>
    </w:p>
    <w:p w14:paraId="5966D24F" w14:textId="77777777" w:rsidR="003B71E2" w:rsidRDefault="003B71E2" w:rsidP="00992796">
      <w:pPr>
        <w:pStyle w:val="Paragraf"/>
        <w:numPr>
          <w:ilvl w:val="0"/>
          <w:numId w:val="52"/>
        </w:numPr>
        <w:spacing w:after="120"/>
      </w:pPr>
      <w:r>
        <w:t>§ 44c</w:t>
      </w:r>
    </w:p>
    <w:p w14:paraId="589EF870" w14:textId="77777777" w:rsidR="003B71E2" w:rsidRDefault="003B71E2" w:rsidP="00992796">
      <w:pPr>
        <w:pStyle w:val="Nadpisparagrafu"/>
        <w:numPr>
          <w:ilvl w:val="0"/>
          <w:numId w:val="52"/>
        </w:numPr>
        <w:spacing w:after="120"/>
      </w:pPr>
      <w:r>
        <w:t>Zřízení výboru pro audit některými subjekty s majetkovou účastí státu</w:t>
      </w:r>
    </w:p>
    <w:p w14:paraId="65ADD56C" w14:textId="0939FB02" w:rsidR="003B71E2" w:rsidRDefault="00C21126" w:rsidP="00C21126">
      <w:pPr>
        <w:pStyle w:val="PZTextodstavce"/>
        <w:spacing w:before="240"/>
      </w:pPr>
      <w:r>
        <w:t xml:space="preserve">(1) </w:t>
      </w:r>
      <w:r w:rsidR="003B71E2">
        <w:t>Výbor pro audit dále zřizuje účetní jednotka, která není subjektem veřejného zájmu, a která je</w:t>
      </w:r>
    </w:p>
    <w:p w14:paraId="58E19049" w14:textId="02CCE0A8" w:rsidR="003B71E2" w:rsidRDefault="00BF1739" w:rsidP="00BF1739">
      <w:pPr>
        <w:pStyle w:val="PZTextpsmene"/>
        <w:spacing w:before="0"/>
      </w:pPr>
      <w:r>
        <w:t>a)</w:t>
      </w:r>
      <w:r>
        <w:tab/>
      </w:r>
      <w:r w:rsidR="003B71E2">
        <w:t>obchodní korporací podle zákona o obchodních korporacích, která je velkou účetní jednotkou a ve které organizační složka státu, územní samosprávný celek, dobrovolný svazek obcí nebo městská část hlavního města Prahy nakládá samostatně nebo společně s jinou organizační složkou státu, územním samosprávným celkem, dobrovolným svazkem obcí nebo městskou částí hlavního města Prahy podílem na hlasovacích právech představujícím více než 50 % všech hlasů v obchodní korporaci,</w:t>
      </w:r>
    </w:p>
    <w:p w14:paraId="60692A9E" w14:textId="7C9F6921" w:rsidR="003B71E2" w:rsidRDefault="00BF1739" w:rsidP="00BF1739">
      <w:pPr>
        <w:pStyle w:val="PZTextpsmene"/>
        <w:spacing w:before="0"/>
      </w:pPr>
      <w:r>
        <w:t>b)</w:t>
      </w:r>
      <w:r>
        <w:tab/>
      </w:r>
      <w:r w:rsidR="003B71E2" w:rsidRPr="003B5508">
        <w:t>obchodní korporací, která je konsolidující účetní jednotkou, která na konsolidovaném</w:t>
      </w:r>
      <w:r w:rsidR="003B71E2">
        <w:t xml:space="preserve"> základě překračuje k rozvahovému dni alespoň 2 hraniční hodnoty uvedené v § </w:t>
      </w:r>
      <w:r w:rsidR="003B71E2" w:rsidRPr="5F94C20A">
        <w:rPr>
          <w:strike/>
        </w:rPr>
        <w:t>1b odst. 3</w:t>
      </w:r>
      <w:r w:rsidR="003B71E2">
        <w:t xml:space="preserve"> </w:t>
      </w:r>
      <w:r w:rsidR="003B71E2" w:rsidRPr="5F94C20A">
        <w:rPr>
          <w:b/>
          <w:bCs/>
        </w:rPr>
        <w:t>36 odst. 4</w:t>
      </w:r>
      <w:r w:rsidR="003B71E2">
        <w:t xml:space="preserve"> zákona o účetnictví, a ve které organizační složka státu, územní samosprávný celek, dobrovolný svazek obcí nebo městská část hlavního města Prahy nakládá samostatně nebo společně s jinou organizační složkou státu, územním samosprávným celkem, dobrovolným svazkem obcí nebo městskou částí hlavního města Prahy podílem na hlasovacích právech představujícím více než 50 % všech hlasů v obchodní korporaci,</w:t>
      </w:r>
    </w:p>
    <w:p w14:paraId="3D94D108" w14:textId="11C47BC9" w:rsidR="003B71E2" w:rsidRDefault="00BF1739" w:rsidP="00BF1739">
      <w:pPr>
        <w:pStyle w:val="PZTextpsmene"/>
        <w:spacing w:before="0"/>
      </w:pPr>
      <w:r>
        <w:t>c)</w:t>
      </w:r>
      <w:r>
        <w:tab/>
      </w:r>
      <w:r w:rsidR="003B71E2">
        <w:t>státním podnikem podle zákona o státním podniku, který je velkou účetní jednotkou,</w:t>
      </w:r>
    </w:p>
    <w:p w14:paraId="1123ED63" w14:textId="5E7C401D" w:rsidR="003B71E2" w:rsidRDefault="00BF1739" w:rsidP="00BF1739">
      <w:pPr>
        <w:pStyle w:val="PZTextpsmene"/>
        <w:spacing w:before="0"/>
      </w:pPr>
      <w:r>
        <w:t>d)</w:t>
      </w:r>
      <w:r>
        <w:tab/>
      </w:r>
      <w:r w:rsidR="003B71E2">
        <w:t>národním podnikem, který je velkou účetní jednotkou,</w:t>
      </w:r>
    </w:p>
    <w:p w14:paraId="2A569B66" w14:textId="664EFEDD" w:rsidR="003B71E2" w:rsidRDefault="00BF1739" w:rsidP="00BF1739">
      <w:pPr>
        <w:pStyle w:val="PZTextpsmene"/>
        <w:spacing w:before="0"/>
      </w:pPr>
      <w:r>
        <w:t>e)</w:t>
      </w:r>
      <w:r>
        <w:tab/>
      </w:r>
      <w:r w:rsidR="003B71E2">
        <w:t>státní organizací Správa železnic podle zákona upravujícího zřízení a činnost státní organizace Správa železnic, nebo</w:t>
      </w:r>
    </w:p>
    <w:p w14:paraId="579466E1" w14:textId="102BE628" w:rsidR="003B71E2" w:rsidRDefault="00BF1739" w:rsidP="00BF1739">
      <w:pPr>
        <w:pStyle w:val="PZTextpsmene"/>
        <w:spacing w:before="0"/>
      </w:pPr>
      <w:r>
        <w:t>f)</w:t>
      </w:r>
      <w:r>
        <w:tab/>
      </w:r>
      <w:r w:rsidR="003B71E2">
        <w:t>obchodní korporací podle zákona o obchodních korporacích, která je velkou účetní jednotkou, je-li její ovládající osobou účetní jednotka uvedená v písmenech a) až d), rozhodne-li tak její ovládající osoba.</w:t>
      </w:r>
    </w:p>
    <w:p w14:paraId="733BA2DF" w14:textId="4354D764" w:rsidR="003B71E2" w:rsidRDefault="00C21126" w:rsidP="00C21126">
      <w:pPr>
        <w:pStyle w:val="PZTextodstavce"/>
        <w:spacing w:before="240"/>
      </w:pPr>
      <w:r>
        <w:t xml:space="preserve">(2) </w:t>
      </w:r>
      <w:r w:rsidR="003B71E2">
        <w:t>Na zřízení a působnost výboru pro audit se § 44 až 44aa použijí obdobně.</w:t>
      </w:r>
    </w:p>
    <w:p w14:paraId="51E43CBF" w14:textId="77777777" w:rsidR="003B71E2" w:rsidRDefault="003B71E2" w:rsidP="00992796">
      <w:pPr>
        <w:pStyle w:val="paragraf0"/>
        <w:numPr>
          <w:ilvl w:val="0"/>
          <w:numId w:val="52"/>
        </w:numPr>
        <w:spacing w:after="120"/>
        <w:rPr>
          <w:noProof w:val="0"/>
        </w:rPr>
      </w:pPr>
      <w:r>
        <w:rPr>
          <w:noProof w:val="0"/>
        </w:rPr>
        <w:t>***</w:t>
      </w:r>
    </w:p>
    <w:p w14:paraId="3BFB4F6B" w14:textId="77777777" w:rsidR="003B71E2" w:rsidRDefault="003B71E2" w:rsidP="00992796">
      <w:pPr>
        <w:pStyle w:val="Paragraf"/>
        <w:numPr>
          <w:ilvl w:val="0"/>
          <w:numId w:val="52"/>
        </w:numPr>
        <w:spacing w:after="120"/>
      </w:pPr>
      <w:r>
        <w:t>§ 45</w:t>
      </w:r>
    </w:p>
    <w:p w14:paraId="33228228" w14:textId="77777777" w:rsidR="003B71E2" w:rsidRDefault="003B71E2" w:rsidP="00992796">
      <w:pPr>
        <w:pStyle w:val="Nadpisparagrafu"/>
        <w:numPr>
          <w:ilvl w:val="0"/>
          <w:numId w:val="52"/>
        </w:numPr>
        <w:spacing w:after="120"/>
      </w:pPr>
      <w:r w:rsidRPr="00490E4C">
        <w:t>Další požadavky na auditora subjektu s majetkovou účastí státu</w:t>
      </w:r>
      <w:r>
        <w:t xml:space="preserve"> </w:t>
      </w:r>
    </w:p>
    <w:p w14:paraId="4DE7FA8B" w14:textId="025047F4" w:rsidR="003B71E2" w:rsidRPr="00490E4C" w:rsidRDefault="00C21126" w:rsidP="00C21126">
      <w:pPr>
        <w:pStyle w:val="PZTextodstavce"/>
        <w:spacing w:before="240"/>
        <w:rPr>
          <w:bCs/>
        </w:rPr>
      </w:pPr>
      <w:r>
        <w:rPr>
          <w:bCs/>
        </w:rPr>
        <w:t xml:space="preserve">(1) </w:t>
      </w:r>
      <w:r w:rsidR="003B71E2" w:rsidRPr="00490E4C">
        <w:rPr>
          <w:bCs/>
        </w:rPr>
        <w:t>Auditor, který provádí povinný audit účetní jednotky uvedené v § 44c, je povinen</w:t>
      </w:r>
    </w:p>
    <w:p w14:paraId="5783814F" w14:textId="3C18AD06" w:rsidR="003B71E2" w:rsidRPr="00490E4C" w:rsidRDefault="00BF1739" w:rsidP="00BF1739">
      <w:pPr>
        <w:pStyle w:val="PZTextpsmene"/>
        <w:spacing w:before="0"/>
      </w:pPr>
      <w:r>
        <w:t>a)</w:t>
      </w:r>
      <w:r>
        <w:tab/>
      </w:r>
      <w:r w:rsidR="003B71E2" w:rsidRPr="00490E4C">
        <w:t>jednou ročně formou písemného prohlášení potvrdit výboru pro audit svou nezávislost na této účetní jednotce,</w:t>
      </w:r>
    </w:p>
    <w:p w14:paraId="6B04933B" w14:textId="33D9503B" w:rsidR="003B71E2" w:rsidRPr="00490E4C" w:rsidRDefault="00BF1739" w:rsidP="00BF1739">
      <w:pPr>
        <w:pStyle w:val="PZTextpsmene"/>
        <w:spacing w:before="0"/>
      </w:pPr>
      <w:r>
        <w:t>b)</w:t>
      </w:r>
      <w:r>
        <w:tab/>
      </w:r>
      <w:r w:rsidR="003B71E2" w:rsidRPr="00490E4C">
        <w:t xml:space="preserve">jednou ročně písemně sdělit výboru pro audit </w:t>
      </w:r>
      <w:proofErr w:type="spellStart"/>
      <w:r w:rsidR="003B71E2" w:rsidRPr="00490E4C">
        <w:t>neauditorské</w:t>
      </w:r>
      <w:proofErr w:type="spellEnd"/>
      <w:r w:rsidR="003B71E2" w:rsidRPr="00490E4C">
        <w:t xml:space="preserve"> služby poskytnuté této účetní jednotce a</w:t>
      </w:r>
    </w:p>
    <w:p w14:paraId="29912EFA" w14:textId="16747ADD" w:rsidR="003B71E2" w:rsidRPr="00490E4C" w:rsidRDefault="00BF1739" w:rsidP="00BF1739">
      <w:pPr>
        <w:pStyle w:val="PZTextpsmene"/>
        <w:spacing w:before="0"/>
      </w:pPr>
      <w:r>
        <w:t>c)</w:t>
      </w:r>
      <w:r>
        <w:tab/>
      </w:r>
      <w:r w:rsidR="003B71E2" w:rsidRPr="00490E4C">
        <w:t>projednat s výborem pro audit případné ohrožení své nezávislosti a opatření použitá k jejich zmírnění, a to v souladu s § 14.</w:t>
      </w:r>
    </w:p>
    <w:p w14:paraId="41C40011" w14:textId="5D383821" w:rsidR="003B71E2" w:rsidRPr="00490E4C" w:rsidRDefault="00C21126" w:rsidP="00C21126">
      <w:pPr>
        <w:pStyle w:val="PZTextodstavce"/>
        <w:spacing w:before="240"/>
      </w:pPr>
      <w:r>
        <w:t xml:space="preserve">(2) </w:t>
      </w:r>
      <w:r w:rsidR="003B71E2" w:rsidRPr="00490E4C">
        <w:t>Auditor provádějící povinný audit účetní jednotky uvedené v § 44c předloží nejpozději v den předložení zprávy auditora výboru pro audit písemnou dodatečnou zprávu určenou výboru pro audit; dodatečná zpráva určená výboru pro audit musí obsahovat</w:t>
      </w:r>
    </w:p>
    <w:p w14:paraId="17435E73" w14:textId="2A7F0BD9" w:rsidR="003B71E2" w:rsidRPr="00490E4C" w:rsidRDefault="00BF1739" w:rsidP="00BF1739">
      <w:pPr>
        <w:pStyle w:val="PZTextpsmene"/>
        <w:spacing w:before="0"/>
      </w:pPr>
      <w:r>
        <w:t>a)</w:t>
      </w:r>
      <w:r>
        <w:tab/>
      </w:r>
      <w:r w:rsidR="003B71E2" w:rsidRPr="00490E4C">
        <w:t>prohlášení o nezávislosti podle odstavce 1 písm. a),</w:t>
      </w:r>
    </w:p>
    <w:p w14:paraId="0E8B2631" w14:textId="7F574829" w:rsidR="003B71E2" w:rsidRPr="00490E4C" w:rsidRDefault="00BF1739" w:rsidP="00BF1739">
      <w:pPr>
        <w:pStyle w:val="PZTextpsmene"/>
        <w:spacing w:before="0"/>
      </w:pPr>
      <w:r>
        <w:lastRenderedPageBreak/>
        <w:t>b)</w:t>
      </w:r>
      <w:r>
        <w:tab/>
      </w:r>
      <w:r w:rsidR="003B71E2" w:rsidRPr="00490E4C">
        <w:t>jména všech klíčových auditorských partnerů,</w:t>
      </w:r>
    </w:p>
    <w:p w14:paraId="0B44D310" w14:textId="2CD4FDB5" w:rsidR="003B71E2" w:rsidRPr="00490E4C" w:rsidRDefault="00BF1739" w:rsidP="00BF1739">
      <w:pPr>
        <w:pStyle w:val="PZTextpsmene"/>
        <w:spacing w:before="0"/>
      </w:pPr>
      <w:r>
        <w:t>c)</w:t>
      </w:r>
      <w:r>
        <w:tab/>
      </w:r>
      <w:r w:rsidR="003B71E2" w:rsidRPr="00490E4C">
        <w:t>informace o tom, zda některou z jeho činností provedl jiný auditor, který není členem sítě, do které patří auditor provádějící povinný audit nebo jiná osoba a prohlášení o nezávislosti jiného auditora nebo jiné osoby,</w:t>
      </w:r>
    </w:p>
    <w:p w14:paraId="6A61B532" w14:textId="0F7FA4F7" w:rsidR="003B71E2" w:rsidRPr="00490E4C" w:rsidRDefault="00BF1739" w:rsidP="00BF1739">
      <w:pPr>
        <w:pStyle w:val="PZTextpsmene"/>
        <w:spacing w:before="0"/>
      </w:pPr>
      <w:r>
        <w:t>d)</w:t>
      </w:r>
      <w:r>
        <w:tab/>
      </w:r>
      <w:r w:rsidR="003B71E2" w:rsidRPr="00490E4C">
        <w:t>popis povahy, četnosti a rozsahu komunikace s výborem pro audit nebo orgánem, který plní funkce výboru pro audit podle § 44b odst. 2, s řídicím nebo kontrolním orgánem účetní jednotky, včetně uvedení dat jednání s těmito orgány,</w:t>
      </w:r>
    </w:p>
    <w:p w14:paraId="41713BB2" w14:textId="64B0FB9E" w:rsidR="003B71E2" w:rsidRPr="00490E4C" w:rsidRDefault="00BF1739" w:rsidP="00BF1739">
      <w:pPr>
        <w:pStyle w:val="PZTextpsmene"/>
        <w:spacing w:before="0"/>
      </w:pPr>
      <w:r>
        <w:t>e)</w:t>
      </w:r>
      <w:r>
        <w:tab/>
      </w:r>
      <w:r w:rsidR="003B71E2" w:rsidRPr="00490E4C">
        <w:t>popis rozsahu a časového rámce povinného auditu,</w:t>
      </w:r>
    </w:p>
    <w:p w14:paraId="300BF129" w14:textId="6AFE0C6B" w:rsidR="003B71E2" w:rsidRPr="00490E4C" w:rsidRDefault="00BF1739" w:rsidP="00BF1739">
      <w:pPr>
        <w:pStyle w:val="PZTextpsmene"/>
        <w:spacing w:before="0"/>
      </w:pPr>
      <w:r>
        <w:t>f)</w:t>
      </w:r>
      <w:r>
        <w:tab/>
      </w:r>
      <w:r w:rsidR="003B71E2" w:rsidRPr="00490E4C">
        <w:t>popis rozdělení úkolů mezi auditory, pokud byla pro povinný audit určena více než jedna auditorská společnost nebo statutární auditor vykonávající auditorskou činnost vlastním jménem a na vlastní účet,</w:t>
      </w:r>
    </w:p>
    <w:p w14:paraId="552F6F09" w14:textId="72AFED34" w:rsidR="003B71E2" w:rsidRPr="00490E4C" w:rsidRDefault="00BF1739" w:rsidP="00BF1739">
      <w:pPr>
        <w:pStyle w:val="PZTextpsmene"/>
        <w:spacing w:before="0"/>
      </w:pPr>
      <w:r>
        <w:t>g)</w:t>
      </w:r>
      <w:r>
        <w:tab/>
      </w:r>
      <w:r w:rsidR="003B71E2" w:rsidRPr="00490E4C">
        <w:t>popis použité metodiky, včetně toho, které kategorie rozvahy byly ověřovány přímo a které byly ověřovány na základě kontroly systému a souladu, včetně vysvětlení případných podstatných změn významu věcné kontroly a kontroly souladu v porovnání s předcházejícím účetním obdobím,</w:t>
      </w:r>
    </w:p>
    <w:p w14:paraId="17C38E81" w14:textId="46D7D2EC" w:rsidR="003B71E2" w:rsidRPr="00490E4C" w:rsidRDefault="00BF1739" w:rsidP="00BF1739">
      <w:pPr>
        <w:pStyle w:val="PZTextpsmene"/>
        <w:spacing w:before="0"/>
      </w:pPr>
      <w:r>
        <w:t>h)</w:t>
      </w:r>
      <w:r>
        <w:tab/>
      </w:r>
      <w:r w:rsidR="003B71E2" w:rsidRPr="00490E4C">
        <w:t xml:space="preserve">kvantitativní úroveň významnosti použitou při provedení povinného auditu pro účetní závěrku </w:t>
      </w:r>
      <w:r w:rsidR="003B71E2" w:rsidRPr="00230A62">
        <w:rPr>
          <w:strike/>
        </w:rPr>
        <w:t>nebo konsolidovanou účetní závěrku</w:t>
      </w:r>
      <w:r w:rsidR="003B71E2" w:rsidRPr="00490E4C">
        <w:t xml:space="preserve"> jako celek a případně úroveň nebo úrovně významnosti pro konkrétní kategorie transakcí, zůstatků účtů nebo údajů, jakož i kvalitativní faktory zohledněné při stanovování úrovně významnosti,</w:t>
      </w:r>
    </w:p>
    <w:p w14:paraId="443EA35C" w14:textId="04B32CC2" w:rsidR="003B71E2" w:rsidRPr="00490E4C" w:rsidRDefault="00BF1739" w:rsidP="00BF1739">
      <w:pPr>
        <w:pStyle w:val="PZTextpsmene"/>
        <w:spacing w:before="0"/>
      </w:pPr>
      <w:r>
        <w:t>i)</w:t>
      </w:r>
      <w:r>
        <w:tab/>
      </w:r>
      <w:r w:rsidR="003B71E2" w:rsidRPr="00490E4C">
        <w:t>vyhodnocení a vysvětlení událostí nebo okolností, které byly zjištěny v průběhu povinného auditu a které by mohly vyvolat podstatné pochybnosti s významným vlivem na předpoklad nepřetržitého trvání účetní jednotky, a otázky, zda tyto události nebo okolnosti představují významnou nejistotu, a dále souhrnné informace o všech zárukách, doporučujících prohlášeních, závazcích veřejného zásahu a dalších podpůrných opatřeních zohledněných při předpokladu nepřetržitého trvání účetní jednotky,</w:t>
      </w:r>
    </w:p>
    <w:p w14:paraId="320DD89D" w14:textId="3C1D819F" w:rsidR="003B71E2" w:rsidRPr="00490E4C" w:rsidRDefault="00BF1739" w:rsidP="00BF1739">
      <w:pPr>
        <w:pStyle w:val="PZTextpsmene"/>
        <w:spacing w:before="0"/>
      </w:pPr>
      <w:r>
        <w:t>j)</w:t>
      </w:r>
      <w:r>
        <w:tab/>
      </w:r>
      <w:r w:rsidR="003B71E2" w:rsidRPr="00490E4C">
        <w:t>informace o jakýchkoli závažných nedostatcích systému vnitřní finanční kontroly účetní jednotky nebo, v případě konsolidované účetní závěrky, mateřské obchodní korporace, jakož i jejich účetního systému; u každého z těchto závažných nedostatků auditor uvede, zda byly tyto nedostatky vyřešeny vedením účetní jednotky,</w:t>
      </w:r>
    </w:p>
    <w:p w14:paraId="583BD0DB" w14:textId="48586599" w:rsidR="003B71E2" w:rsidRPr="00490E4C" w:rsidRDefault="00BF1739" w:rsidP="00BF1739">
      <w:pPr>
        <w:pStyle w:val="PZTextpsmene"/>
        <w:spacing w:before="0"/>
      </w:pPr>
      <w:r>
        <w:t>k)</w:t>
      </w:r>
      <w:r>
        <w:tab/>
      </w:r>
      <w:r w:rsidR="003B71E2" w:rsidRPr="00490E4C">
        <w:t>informace o veškerých významných skutečnostech, které se týkají skutečného nesouladu s právními předpisy nebo zakladatelským právním jednáním odhaleném v průběhu provádění povinného auditu nebo podezření na takový nesoulad, jsou-li tyto záležitosti pokládány za významné pro to, aby výbor pro audit mohl plnit své úkoly,</w:t>
      </w:r>
    </w:p>
    <w:p w14:paraId="09C848E3" w14:textId="580723AE" w:rsidR="003B71E2" w:rsidRPr="00490E4C" w:rsidRDefault="00BF1739" w:rsidP="00BF1739">
      <w:pPr>
        <w:pStyle w:val="PZTextpsmene"/>
        <w:spacing w:before="0"/>
      </w:pPr>
      <w:r>
        <w:t>l)</w:t>
      </w:r>
      <w:r>
        <w:tab/>
      </w:r>
      <w:r w:rsidR="003B71E2" w:rsidRPr="00490E4C">
        <w:t xml:space="preserve">informace o použitých metodách oceňování jednotlivých položek v účetní závěrce </w:t>
      </w:r>
      <w:r w:rsidR="003B71E2" w:rsidRPr="00206B14">
        <w:rPr>
          <w:strike/>
        </w:rPr>
        <w:t xml:space="preserve">nebo konsolidované účetní závěrce </w:t>
      </w:r>
      <w:r w:rsidR="003B71E2" w:rsidRPr="00490E4C">
        <w:t>včetně případného dopadu jejich změn, jakož i posouzení těchto metod,</w:t>
      </w:r>
    </w:p>
    <w:p w14:paraId="63A0F272" w14:textId="1CE70B9F" w:rsidR="003B71E2" w:rsidRPr="00490E4C" w:rsidRDefault="00BF1739" w:rsidP="00BF1739">
      <w:pPr>
        <w:pStyle w:val="PZTextpsmene"/>
        <w:spacing w:before="0"/>
      </w:pPr>
      <w:r>
        <w:t>m)</w:t>
      </w:r>
      <w:r>
        <w:tab/>
      </w:r>
      <w:r w:rsidR="003B71E2" w:rsidRPr="00490E4C">
        <w:t>v případě povinného auditu konsolidované účetní závěrky vysvětlení rozsahu konsolidace a kritérií uplatněných účetní jednotkou pro nezahrnutí do konsolidačního celku včetně vysvětlení toho, zda jsou uplatněná kritéria v souladu s příslušným rámcem účetního výkaznictví,</w:t>
      </w:r>
    </w:p>
    <w:p w14:paraId="3081F248" w14:textId="46C8F267" w:rsidR="003B71E2" w:rsidRPr="00490E4C" w:rsidRDefault="00BF1739" w:rsidP="00BF1739">
      <w:pPr>
        <w:pStyle w:val="PZTextpsmene"/>
        <w:spacing w:before="0"/>
      </w:pPr>
      <w:r>
        <w:t>n)</w:t>
      </w:r>
      <w:r>
        <w:tab/>
      </w:r>
      <w:r w:rsidR="003B71E2" w:rsidRPr="00490E4C">
        <w:t>v případě povinného auditu konsolidované účetní závěrky povahu a rozsah auditorské činnosti provedené auditorem ze třetí země nebo auditorskou osobou ze třetí země, které nejsou členy sítě jako auditor provádějící povinný audit konsolidované účetní závěrky,</w:t>
      </w:r>
    </w:p>
    <w:p w14:paraId="04387918" w14:textId="1920A9C6" w:rsidR="003B71E2" w:rsidRPr="00490E4C" w:rsidRDefault="00BF1739" w:rsidP="00BF1739">
      <w:pPr>
        <w:pStyle w:val="PZTextpsmene"/>
        <w:spacing w:before="0"/>
      </w:pPr>
      <w:r>
        <w:t>o)</w:t>
      </w:r>
      <w:r>
        <w:tab/>
      </w:r>
      <w:r w:rsidR="003B71E2" w:rsidRPr="00490E4C">
        <w:t>informace o tom, zda účetní jednotka poskytla auditorovi všechna jím požadovaná vysvětlení a dokumenty, a</w:t>
      </w:r>
    </w:p>
    <w:p w14:paraId="49096A96" w14:textId="22B638DD" w:rsidR="00721E99" w:rsidRDefault="00BF1739" w:rsidP="00BF1739">
      <w:pPr>
        <w:pStyle w:val="PZTextpsmene"/>
        <w:spacing w:before="0"/>
      </w:pPr>
      <w:r>
        <w:t>p)</w:t>
      </w:r>
      <w:r>
        <w:tab/>
      </w:r>
      <w:r w:rsidR="003B71E2" w:rsidRPr="00490E4C">
        <w:t>informace o případnýc</w:t>
      </w:r>
      <w:r w:rsidR="00721E99">
        <w:t>h</w:t>
      </w:r>
    </w:p>
    <w:p w14:paraId="7B3CE771" w14:textId="5F6E9165" w:rsidR="00721E99" w:rsidRDefault="00BF1739" w:rsidP="00BF1739">
      <w:pPr>
        <w:pStyle w:val="PZTextpsmene"/>
        <w:tabs>
          <w:tab w:val="left" w:pos="425"/>
          <w:tab w:val="left" w:pos="840"/>
        </w:tabs>
        <w:spacing w:before="0"/>
        <w:ind w:left="850"/>
      </w:pPr>
      <w:r>
        <w:t>1.</w:t>
      </w:r>
      <w:r>
        <w:tab/>
      </w:r>
      <w:r w:rsidR="003B71E2" w:rsidRPr="00490E4C">
        <w:t>významných potížích, které se během povinného auditu vyskytly,</w:t>
      </w:r>
    </w:p>
    <w:p w14:paraId="5DB2F1CA" w14:textId="12B1B4A8" w:rsidR="00721E99" w:rsidRDefault="00BF1739" w:rsidP="00BF1739">
      <w:pPr>
        <w:pStyle w:val="PZTextpsmene"/>
        <w:tabs>
          <w:tab w:val="left" w:pos="425"/>
          <w:tab w:val="left" w:pos="840"/>
        </w:tabs>
        <w:spacing w:before="0"/>
        <w:ind w:left="850"/>
      </w:pPr>
      <w:r>
        <w:t>2.</w:t>
      </w:r>
      <w:r>
        <w:tab/>
      </w:r>
      <w:r w:rsidR="003B71E2" w:rsidRPr="00490E4C">
        <w:t>významných skutečnostech, které byly v souvislosti s povinným auditem projednávány s vedením účetní jednotky, a</w:t>
      </w:r>
    </w:p>
    <w:p w14:paraId="28DDC32F" w14:textId="11FA5780" w:rsidR="003B71E2" w:rsidRPr="00490E4C" w:rsidRDefault="00BF1739" w:rsidP="00BF1739">
      <w:pPr>
        <w:pStyle w:val="PZTextpsmene"/>
        <w:tabs>
          <w:tab w:val="left" w:pos="425"/>
          <w:tab w:val="left" w:pos="840"/>
        </w:tabs>
        <w:spacing w:before="0"/>
        <w:ind w:left="850"/>
      </w:pPr>
      <w:r>
        <w:lastRenderedPageBreak/>
        <w:t>3.</w:t>
      </w:r>
      <w:r>
        <w:tab/>
      </w:r>
      <w:r w:rsidR="003B71E2" w:rsidRPr="00490E4C">
        <w:t>dalších skutečnostech, které vyplynuly z povinného auditu a které auditor považuje za nezbytné uvést nebo na ně auditor upozornil a považuje-li takové upozornění za významné pro zajištění integrity systémů účetnictví a finančního výkaznictví.</w:t>
      </w:r>
    </w:p>
    <w:p w14:paraId="5E95AB0E" w14:textId="77777777" w:rsidR="003B71E2" w:rsidRDefault="003B71E2" w:rsidP="00992796">
      <w:pPr>
        <w:pStyle w:val="paragraf0"/>
        <w:numPr>
          <w:ilvl w:val="0"/>
          <w:numId w:val="53"/>
        </w:numPr>
        <w:spacing w:after="120"/>
        <w:rPr>
          <w:noProof w:val="0"/>
        </w:rPr>
      </w:pPr>
      <w:r>
        <w:rPr>
          <w:noProof w:val="0"/>
        </w:rPr>
        <w:t>***</w:t>
      </w:r>
    </w:p>
    <w:p w14:paraId="2ED00EC8" w14:textId="77777777" w:rsidR="003B71E2" w:rsidRDefault="003B71E2" w:rsidP="00992796">
      <w:pPr>
        <w:pStyle w:val="Paragraf"/>
        <w:numPr>
          <w:ilvl w:val="0"/>
          <w:numId w:val="53"/>
        </w:numPr>
        <w:spacing w:after="120"/>
      </w:pPr>
      <w:r>
        <w:t>§ 47</w:t>
      </w:r>
    </w:p>
    <w:p w14:paraId="7ED3C833" w14:textId="77777777" w:rsidR="003B71E2" w:rsidRDefault="003B71E2" w:rsidP="00992796">
      <w:pPr>
        <w:pStyle w:val="Nadpisparagrafu"/>
        <w:numPr>
          <w:ilvl w:val="0"/>
          <w:numId w:val="53"/>
        </w:numPr>
        <w:spacing w:after="120"/>
      </w:pPr>
      <w:r>
        <w:t xml:space="preserve">Registrace pro účely povinného auditu společnosti se sídlem ve třetí zemi </w:t>
      </w:r>
    </w:p>
    <w:p w14:paraId="1DB4398D" w14:textId="3B1458A3" w:rsidR="003B71E2" w:rsidRDefault="00A1209C" w:rsidP="00A1209C">
      <w:pPr>
        <w:pStyle w:val="PZTextodstavce"/>
        <w:spacing w:before="240"/>
      </w:pPr>
      <w:r>
        <w:t xml:space="preserve">(1) </w:t>
      </w:r>
      <w:r w:rsidR="003B71E2">
        <w:t xml:space="preserve">Komora zaregistruje v rejstříku auditora ze třetí země nebo auditorskou osobu ze třetí země, kteří předloží zprávu auditora týkající se účetní závěrky </w:t>
      </w:r>
      <w:r w:rsidR="003B71E2" w:rsidRPr="00AE7954">
        <w:rPr>
          <w:strike/>
        </w:rPr>
        <w:t>a konsolidované účetní závěrky</w:t>
      </w:r>
      <w:r w:rsidR="003B71E2">
        <w:t xml:space="preserve"> společnosti ze třetí země. Za společnost ze třetí země je považována společnost se sídlem ve třetí zemi, jejíž cenné papíry jsou k rozvahovému dni přijaty k obchodování na regulovaném trhu, s výjimkou případu, kdy společnost vydává pouze dluhopisy nebo jim obdobné cenné papíry představující právo na splacení dlužné částky přijaté k obchodování na regulovaném trhu </w:t>
      </w:r>
    </w:p>
    <w:p w14:paraId="261094CA" w14:textId="269D5E14" w:rsidR="003B71E2" w:rsidRDefault="00BF1739" w:rsidP="00BF1739">
      <w:pPr>
        <w:pStyle w:val="PZTextpsmene"/>
        <w:spacing w:before="0"/>
      </w:pPr>
      <w:r>
        <w:t>a)</w:t>
      </w:r>
      <w:r>
        <w:tab/>
      </w:r>
      <w:r w:rsidR="003B71E2">
        <w:t xml:space="preserve">před 31. prosincem 2010 a je-li jmenovitá hodnota takového cenného papíru nejméně 50 000 EUR nebo v případě dluhopisů se jmenovitou hodnotou vyjádřenou v jiné měně, která se ke dni jejich vydání rovná nejméně částce odpovídající 50 000 EUR při přepočtu kursem devizového trhu vyhlášeným Českou národní bankou pro den jejich vydání, </w:t>
      </w:r>
    </w:p>
    <w:p w14:paraId="6528D68F" w14:textId="7FEA5E5D" w:rsidR="003B71E2" w:rsidRDefault="00BF1739" w:rsidP="00BF1739">
      <w:pPr>
        <w:pStyle w:val="PZTextpsmene"/>
        <w:spacing w:before="0"/>
      </w:pPr>
      <w:r>
        <w:t>b)</w:t>
      </w:r>
      <w:r>
        <w:tab/>
      </w:r>
      <w:r w:rsidR="003B71E2">
        <w:t xml:space="preserve">po 31. prosinci 2010 a je-li jmenovitá hodnota takového cenného papíru nejméně 100 000 EUR nebo v případě dluhopisů se jmenovitou hodnotou vyjádřenou v jiné měně, která se ke dni jejich vydání rovná nejméně částce odpovídající 100 000 EUR při přepočtu kursem devizového trhu vyhlášeným Českou národní bankou pro den jejich vydání. </w:t>
      </w:r>
    </w:p>
    <w:p w14:paraId="6ABC093C" w14:textId="71186EF1" w:rsidR="003B71E2" w:rsidRDefault="00A1209C" w:rsidP="00A1209C">
      <w:pPr>
        <w:pStyle w:val="PZTextodstavce"/>
        <w:spacing w:before="240"/>
      </w:pPr>
      <w:r>
        <w:t xml:space="preserve">(2) </w:t>
      </w:r>
      <w:r w:rsidR="003B71E2">
        <w:t xml:space="preserve">Komora na žádost zaregistruje auditora ze třetí země, pokud </w:t>
      </w:r>
    </w:p>
    <w:p w14:paraId="4ABB221B" w14:textId="1911CA25" w:rsidR="003B71E2" w:rsidRDefault="00BF1739" w:rsidP="00BF1739">
      <w:pPr>
        <w:pStyle w:val="PZTextpsmene"/>
        <w:spacing w:before="0"/>
      </w:pPr>
      <w:r>
        <w:t>a)</w:t>
      </w:r>
      <w:r>
        <w:tab/>
      </w:r>
      <w:r w:rsidR="003B71E2">
        <w:t xml:space="preserve">jsou splněny požadavky rovnocenné požadavkům stanoveným v § 4 odst. 1 písm. a) až d) a f), </w:t>
      </w:r>
    </w:p>
    <w:p w14:paraId="08184173" w14:textId="39710279" w:rsidR="003B71E2" w:rsidRDefault="00BF1739" w:rsidP="00BF1739">
      <w:pPr>
        <w:pStyle w:val="PZTextpsmene"/>
        <w:spacing w:before="0"/>
      </w:pPr>
      <w:r>
        <w:t>b)</w:t>
      </w:r>
      <w:r>
        <w:tab/>
      </w:r>
      <w:r w:rsidR="003B71E2">
        <w:t xml:space="preserve">fyzická osoba provádějící pro tuto osobu audit účetní závěrky </w:t>
      </w:r>
      <w:r w:rsidR="003B71E2" w:rsidRPr="00AE7954">
        <w:rPr>
          <w:strike/>
        </w:rPr>
        <w:t>nebo konsolidované účetní závěrky</w:t>
      </w:r>
      <w:r w:rsidR="003B71E2" w:rsidRPr="00206B14">
        <w:rPr>
          <w:strike/>
        </w:rPr>
        <w:t xml:space="preserve"> </w:t>
      </w:r>
      <w:r w:rsidR="003B71E2">
        <w:t xml:space="preserve">společnosti ze třetí země splňuje požadavky rovnocenné požadavkům stanoveným v § 4 odst. 1 písm. a) až d) a f), </w:t>
      </w:r>
    </w:p>
    <w:p w14:paraId="259391E0" w14:textId="30B34C47" w:rsidR="003B71E2" w:rsidRDefault="00BF1739" w:rsidP="00BF1739">
      <w:pPr>
        <w:pStyle w:val="PZTextpsmene"/>
        <w:spacing w:before="0"/>
      </w:pPr>
      <w:r>
        <w:t>c)</w:t>
      </w:r>
      <w:r>
        <w:tab/>
      </w:r>
      <w:r w:rsidR="003B71E2">
        <w:t xml:space="preserve">audit účetní závěrky </w:t>
      </w:r>
      <w:r w:rsidR="003B71E2" w:rsidRPr="00AE7954">
        <w:rPr>
          <w:strike/>
        </w:rPr>
        <w:t>nebo konsolidované účetní závěrk</w:t>
      </w:r>
      <w:r w:rsidR="003B71E2" w:rsidRPr="00206B14">
        <w:rPr>
          <w:strike/>
        </w:rPr>
        <w:t xml:space="preserve">y </w:t>
      </w:r>
      <w:r w:rsidR="003B71E2">
        <w:t xml:space="preserve">společnosti ze třetí země je proveden v souladu s auditorskými standardy podle § 18 a s požadavky stanovenými v § 14, 14b a 16 nebo s rovnocennými standardy a požadavky, </w:t>
      </w:r>
    </w:p>
    <w:p w14:paraId="29500196" w14:textId="61E953A5" w:rsidR="003B71E2" w:rsidRDefault="00BF1739" w:rsidP="00BF1739">
      <w:pPr>
        <w:pStyle w:val="PZTextpsmene"/>
        <w:spacing w:before="0"/>
      </w:pPr>
      <w:r>
        <w:t>d)</w:t>
      </w:r>
      <w:r>
        <w:tab/>
      </w:r>
      <w:r w:rsidR="003B71E2">
        <w:t xml:space="preserve">zveřejní na svých internetových stránkách výroční zprávu o průhlednosti, která obsahuje informace uvedené v čl. 13 nařízení Evropského parlamentu a Rady (EU) č. 537/2014 nebo která splňuje rovnocenné požadavky na zveřejnění. </w:t>
      </w:r>
    </w:p>
    <w:p w14:paraId="7D59AEB5" w14:textId="26F0DA87" w:rsidR="003B71E2" w:rsidRDefault="00A1209C" w:rsidP="00BF1739">
      <w:pPr>
        <w:pStyle w:val="PZTextodstavce"/>
        <w:pBdr>
          <w:top w:val="single" w:sz="12" w:space="1" w:color="0070C0"/>
          <w:left w:val="single" w:sz="12" w:space="1" w:color="0070C0"/>
          <w:bottom w:val="single" w:sz="12" w:space="1" w:color="0070C0"/>
          <w:right w:val="single" w:sz="12" w:space="1" w:color="0070C0"/>
        </w:pBdr>
        <w:spacing w:before="240"/>
      </w:pPr>
      <w:r>
        <w:t xml:space="preserve">(3) </w:t>
      </w:r>
      <w:r w:rsidR="003B71E2">
        <w:t xml:space="preserve">Komora na žádost zaregistruje auditorskou osobu ze třetí země, pokud </w:t>
      </w:r>
    </w:p>
    <w:p w14:paraId="74904013" w14:textId="5E8C5CBA" w:rsidR="003B71E2" w:rsidRDefault="00BF1739" w:rsidP="00BF1739">
      <w:pPr>
        <w:pStyle w:val="PZTextpsmene"/>
        <w:pBdr>
          <w:top w:val="single" w:sz="12" w:space="1" w:color="0070C0"/>
          <w:left w:val="single" w:sz="12" w:space="1" w:color="0070C0"/>
          <w:bottom w:val="single" w:sz="12" w:space="1" w:color="0070C0"/>
          <w:right w:val="single" w:sz="12" w:space="1" w:color="0070C0"/>
        </w:pBdr>
        <w:spacing w:before="0"/>
      </w:pPr>
      <w:r>
        <w:t>a)</w:t>
      </w:r>
      <w:r>
        <w:tab/>
      </w:r>
      <w:r w:rsidR="003B71E2">
        <w:t xml:space="preserve">jsou splněny požadavky rovnocenné požadavkům stanoveným v § 5 odst. 1 písm. h), </w:t>
      </w:r>
    </w:p>
    <w:p w14:paraId="5CF70F83" w14:textId="2B1572E5" w:rsidR="003B71E2" w:rsidRDefault="00BF1739" w:rsidP="00BF1739">
      <w:pPr>
        <w:pStyle w:val="PZTextpsmene"/>
        <w:pBdr>
          <w:top w:val="single" w:sz="12" w:space="1" w:color="0070C0"/>
          <w:left w:val="single" w:sz="12" w:space="1" w:color="0070C0"/>
          <w:bottom w:val="single" w:sz="12" w:space="1" w:color="0070C0"/>
          <w:right w:val="single" w:sz="12" w:space="1" w:color="0070C0"/>
        </w:pBdr>
        <w:spacing w:before="0"/>
      </w:pPr>
      <w:r>
        <w:t>b)</w:t>
      </w:r>
      <w:r>
        <w:tab/>
      </w:r>
      <w:r w:rsidR="003B71E2">
        <w:t xml:space="preserve">většina členů jejího řídicího orgánu splňuje </w:t>
      </w:r>
      <w:r w:rsidR="003B71E2" w:rsidRPr="00517D7D">
        <w:rPr>
          <w:color w:val="5B9BD5" w:themeColor="accent1"/>
        </w:rPr>
        <w:t>v rozsahu významném pro provádění povinného auditu</w:t>
      </w:r>
      <w:r w:rsidR="003B71E2">
        <w:t xml:space="preserve"> požadavky rovnocenné požadavkům stanoveným v § 4 odst. 1 písm. a) až d) a f) a § 5 odst. 1 písm. h),</w:t>
      </w:r>
    </w:p>
    <w:p w14:paraId="0D1B031D" w14:textId="2E5C97AF" w:rsidR="003B71E2" w:rsidRDefault="00BF1739" w:rsidP="00BF1739">
      <w:pPr>
        <w:pStyle w:val="PZTextpsmene"/>
        <w:pBdr>
          <w:top w:val="single" w:sz="12" w:space="1" w:color="0070C0"/>
          <w:left w:val="single" w:sz="12" w:space="1" w:color="0070C0"/>
          <w:bottom w:val="single" w:sz="12" w:space="1" w:color="0070C0"/>
          <w:right w:val="single" w:sz="12" w:space="1" w:color="0070C0"/>
        </w:pBdr>
        <w:spacing w:before="0"/>
      </w:pPr>
      <w:r>
        <w:t>c)</w:t>
      </w:r>
      <w:r>
        <w:tab/>
      </w:r>
      <w:r w:rsidR="003B71E2">
        <w:t xml:space="preserve">fyzická osoba provádějící pro tuto osobu audit účetní závěrky </w:t>
      </w:r>
      <w:r w:rsidR="003B71E2" w:rsidRPr="00AE7954">
        <w:rPr>
          <w:strike/>
        </w:rPr>
        <w:t>nebo konsolidované účetní závěrky</w:t>
      </w:r>
      <w:r w:rsidR="003B71E2">
        <w:t xml:space="preserve"> společnosti ze třetí země splňuje </w:t>
      </w:r>
      <w:r w:rsidR="003B71E2" w:rsidRPr="00517D7D">
        <w:rPr>
          <w:color w:val="5B9BD5" w:themeColor="accent1"/>
        </w:rPr>
        <w:t>v rozsahu významném pro provádění povinného auditu</w:t>
      </w:r>
      <w:r w:rsidR="003B71E2">
        <w:t xml:space="preserve"> požadavky rovnocenné požadavkům stanoveným v § 4 odst. 1 písm. a) až d) a f),</w:t>
      </w:r>
    </w:p>
    <w:p w14:paraId="60531FF0" w14:textId="50DBB16B" w:rsidR="003B71E2" w:rsidRDefault="00BF1739" w:rsidP="00BF1739">
      <w:pPr>
        <w:pStyle w:val="PZTextpsmene"/>
        <w:pBdr>
          <w:top w:val="single" w:sz="12" w:space="1" w:color="0070C0"/>
          <w:left w:val="single" w:sz="12" w:space="1" w:color="0070C0"/>
          <w:bottom w:val="single" w:sz="12" w:space="1" w:color="0070C0"/>
          <w:right w:val="single" w:sz="12" w:space="1" w:color="0070C0"/>
        </w:pBdr>
        <w:spacing w:before="0"/>
      </w:pPr>
      <w:r>
        <w:lastRenderedPageBreak/>
        <w:t>d)</w:t>
      </w:r>
      <w:r>
        <w:tab/>
      </w:r>
      <w:r w:rsidR="003B71E2">
        <w:t xml:space="preserve">audit účetní závěrky </w:t>
      </w:r>
      <w:r w:rsidR="003B71E2" w:rsidRPr="00AE7954">
        <w:rPr>
          <w:strike/>
        </w:rPr>
        <w:t>nebo konsolidované účetní závěrky</w:t>
      </w:r>
      <w:r w:rsidR="003B71E2">
        <w:t xml:space="preserve"> společnosti ze třetí země je proveden v souladu s auditorskými standardy podle § 18 a s požadavky stanovenými v § 14, 14b a 16 nebo s rovnocennými standardy a požadavky, </w:t>
      </w:r>
    </w:p>
    <w:p w14:paraId="6FFD2110" w14:textId="0D4FD210" w:rsidR="003B71E2" w:rsidRDefault="00BF1739" w:rsidP="00BF1739">
      <w:pPr>
        <w:pStyle w:val="PZTextpsmene"/>
        <w:pBdr>
          <w:top w:val="single" w:sz="12" w:space="1" w:color="0070C0"/>
          <w:left w:val="single" w:sz="12" w:space="1" w:color="0070C0"/>
          <w:bottom w:val="single" w:sz="12" w:space="1" w:color="0070C0"/>
          <w:right w:val="single" w:sz="12" w:space="1" w:color="0070C0"/>
        </w:pBdr>
        <w:spacing w:before="0"/>
      </w:pPr>
      <w:r>
        <w:t>e)</w:t>
      </w:r>
      <w:r>
        <w:tab/>
      </w:r>
      <w:r w:rsidR="003B71E2">
        <w:t xml:space="preserve">zveřejní na svých internetových stránkách výroční zprávu o průhlednosti, která obsahuje informace uvedené v čl. 13 nařízení Evropského parlamentu a Rady (EU) č. 537/2014 nebo která splňuje rovnocenné požadavky na zveřejnění. </w:t>
      </w:r>
    </w:p>
    <w:p w14:paraId="5CEA4BB6" w14:textId="4DCEAB1E" w:rsidR="003B71E2" w:rsidRDefault="00A1209C" w:rsidP="00BF1739">
      <w:pPr>
        <w:pStyle w:val="PZTextodstavce"/>
      </w:pPr>
      <w:r>
        <w:t xml:space="preserve">(4) </w:t>
      </w:r>
      <w:r w:rsidR="003B71E2">
        <w:t xml:space="preserve">Na zaregistrované osoby podle odstavce 2 se vztahují ustanovení tohoto zákona upravující veřejný dohled, systém zajištění kvality, kárná opatření a přestupky podle hlavy XI. Pokud tyto osoby podléhají systému zajištění kvality jiného členského státu nebo pokud tyto osoby podléhají systému zajištění kvality ve třetí zemi, který byl vyhodnocen jako rovnocenný v souladu s § 24, a kontrola kvality byla u této osoby provedena v průběhu předcházejících 3 let, kontrola kvality se nemusí provést. </w:t>
      </w:r>
    </w:p>
    <w:p w14:paraId="23676A59" w14:textId="4AAE4683" w:rsidR="003B71E2" w:rsidRDefault="00A1209C" w:rsidP="00BF1739">
      <w:pPr>
        <w:pStyle w:val="PZTextodstavce"/>
      </w:pPr>
      <w:r>
        <w:t xml:space="preserve">(5) </w:t>
      </w:r>
      <w:r w:rsidR="003B71E2">
        <w:t xml:space="preserve">Pokud byla zpráva auditora týkající se účetní závěrky </w:t>
      </w:r>
      <w:r w:rsidR="003B71E2" w:rsidRPr="00AE7954">
        <w:rPr>
          <w:strike/>
        </w:rPr>
        <w:t>nebo konsolidované účetní závěrky</w:t>
      </w:r>
      <w:r w:rsidR="003B71E2">
        <w:t xml:space="preserve"> podle odstavce 1 vyhotovena osobou, která není zaregistrována u Komory podle odstavců 2 a 3, nelze tuto zprávu považovat za zprávu auditora podle tohoto zákona. </w:t>
      </w:r>
    </w:p>
    <w:p w14:paraId="51679B04" w14:textId="67AFF112" w:rsidR="003B71E2" w:rsidRDefault="00A1209C" w:rsidP="00BF1739">
      <w:pPr>
        <w:pStyle w:val="PZTextodstavce"/>
      </w:pPr>
      <w:r>
        <w:t xml:space="preserve">(6) </w:t>
      </w:r>
      <w:r w:rsidR="003B71E2">
        <w:t>Rada hodnotí rovnocennost uvedenou v odstavci 2 písm. c) a v odstavci 3 písm. d), pokud Evropská komise v této věci nerozhodla dříve. Rada v této věci případně může spolupracovat s Komorou.</w:t>
      </w:r>
    </w:p>
    <w:p w14:paraId="0EB2DB9F" w14:textId="77777777" w:rsidR="003B71E2" w:rsidRPr="00E1102B" w:rsidRDefault="003B71E2" w:rsidP="00992796">
      <w:pPr>
        <w:pStyle w:val="paragraf0"/>
        <w:numPr>
          <w:ilvl w:val="0"/>
          <w:numId w:val="55"/>
        </w:numPr>
        <w:spacing w:after="120"/>
        <w:rPr>
          <w:noProof w:val="0"/>
        </w:rPr>
      </w:pPr>
      <w:r>
        <w:rPr>
          <w:noProof w:val="0"/>
        </w:rPr>
        <w:t>***</w:t>
      </w:r>
    </w:p>
    <w:p w14:paraId="7EA01D34" w14:textId="77777777" w:rsidR="003B71E2" w:rsidRPr="00733306" w:rsidRDefault="003B71E2" w:rsidP="00992796">
      <w:pPr>
        <w:pStyle w:val="Paragraf"/>
        <w:numPr>
          <w:ilvl w:val="0"/>
          <w:numId w:val="55"/>
        </w:numPr>
        <w:spacing w:after="120"/>
      </w:pPr>
      <w:r w:rsidRPr="00733306">
        <w:t>§ 48</w:t>
      </w:r>
    </w:p>
    <w:p w14:paraId="5F8D47CE" w14:textId="77777777" w:rsidR="003B71E2" w:rsidRPr="00733306" w:rsidRDefault="003B71E2" w:rsidP="00992796">
      <w:pPr>
        <w:pStyle w:val="Nadpisparagrafu"/>
        <w:keepNext w:val="0"/>
        <w:keepLines w:val="0"/>
        <w:widowControl w:val="0"/>
        <w:numPr>
          <w:ilvl w:val="0"/>
          <w:numId w:val="55"/>
        </w:numPr>
        <w:tabs>
          <w:tab w:val="left" w:pos="425"/>
          <w:tab w:val="left" w:pos="851"/>
        </w:tabs>
        <w:spacing w:after="120"/>
        <w:rPr>
          <w:szCs w:val="24"/>
        </w:rPr>
      </w:pPr>
      <w:r w:rsidRPr="00733306">
        <w:rPr>
          <w:szCs w:val="24"/>
        </w:rPr>
        <w:t>Odchylky v případě rovnocennosti</w:t>
      </w:r>
    </w:p>
    <w:p w14:paraId="4A0883AD" w14:textId="6E2BE078" w:rsidR="003B71E2" w:rsidRPr="00517D7D" w:rsidRDefault="00383BC5" w:rsidP="00BF1739">
      <w:pPr>
        <w:pStyle w:val="PZTextodstavce"/>
        <w:pBdr>
          <w:top w:val="single" w:sz="12" w:space="1" w:color="0070C0"/>
          <w:left w:val="single" w:sz="12" w:space="4" w:color="0070C0"/>
          <w:bottom w:val="single" w:sz="12" w:space="1" w:color="0070C0"/>
          <w:right w:val="single" w:sz="12" w:space="4" w:color="0070C0"/>
        </w:pBdr>
        <w:spacing w:before="240"/>
      </w:pPr>
      <w:r>
        <w:rPr>
          <w:color w:val="5B9BD5" w:themeColor="accent1"/>
        </w:rPr>
        <w:t xml:space="preserve">(1) </w:t>
      </w:r>
      <w:r w:rsidR="003B71E2" w:rsidRPr="00517D7D">
        <w:rPr>
          <w:color w:val="5B9BD5" w:themeColor="accent1"/>
        </w:rPr>
        <w:t>Postup uvedený v § 47 odst. 1 až 3 a § 47a odst. 1 až 3 nemusí být použit v případě, že osoby podle § 47 odst. 1 a § 47a odst. 1 podléhají systémům veřejného dohledu, zajištění kvality a sankcí ve třetí zemi, které splňují požadavky rovnocenné požadavkům podle § 24, 25 a hlav VI a XI.</w:t>
      </w:r>
    </w:p>
    <w:p w14:paraId="43B05585" w14:textId="5E414C2F" w:rsidR="003B71E2" w:rsidRPr="00733306" w:rsidRDefault="00383BC5" w:rsidP="00BF1739">
      <w:pPr>
        <w:pStyle w:val="PZTextodstavce"/>
      </w:pPr>
      <w:r>
        <w:t xml:space="preserve">(2) </w:t>
      </w:r>
      <w:r w:rsidR="003B71E2" w:rsidRPr="00733306">
        <w:t>Rada hodnotí rovnocennost zmíněnou v odstavci 1, pokud Evropská komise v této věci nerozhodla dříve. Rada se případně může spoléhat na hodnocení jiných členských států. Pokud následně Evropská komise rozhodne, že požadavek rovnocennosti uvedený v odstavci 1 není splněn, lze postupovat podle odstavce 1 po přiměřenou přechodnou dobu, umožní-li to Evropská komise ve svém rozhodnutí.</w:t>
      </w:r>
    </w:p>
    <w:p w14:paraId="5ECDA8B4" w14:textId="7D6E730B" w:rsidR="003B71E2" w:rsidRPr="00733306" w:rsidRDefault="00383BC5" w:rsidP="00BF1739">
      <w:pPr>
        <w:pStyle w:val="PZTextodstavce"/>
      </w:pPr>
      <w:r>
        <w:t xml:space="preserve">(3) </w:t>
      </w:r>
      <w:r w:rsidR="003B71E2" w:rsidRPr="00733306">
        <w:t>Rada sdělí Evropské komisi bez zbytečného prodlení</w:t>
      </w:r>
    </w:p>
    <w:p w14:paraId="12CDF5FB" w14:textId="187E7FF2" w:rsidR="003B71E2" w:rsidRPr="00733306" w:rsidRDefault="00BF1739" w:rsidP="00BF1739">
      <w:pPr>
        <w:pStyle w:val="PZTextpsmene"/>
        <w:spacing w:before="0"/>
      </w:pPr>
      <w:r>
        <w:t>a)</w:t>
      </w:r>
      <w:r>
        <w:tab/>
      </w:r>
      <w:r w:rsidR="003B71E2" w:rsidRPr="00733306">
        <w:t>svá hodnocení rovnocennosti uvedená v odstavci 2 a</w:t>
      </w:r>
    </w:p>
    <w:p w14:paraId="026269F1" w14:textId="24EDDD42" w:rsidR="003B71E2" w:rsidRPr="006D22EC" w:rsidRDefault="00BF1739" w:rsidP="00BF1739">
      <w:pPr>
        <w:pStyle w:val="PZTextpsmene"/>
        <w:spacing w:before="0"/>
      </w:pPr>
      <w:r>
        <w:t>b)</w:t>
      </w:r>
      <w:r>
        <w:tab/>
      </w:r>
      <w:r w:rsidR="003B71E2" w:rsidRPr="00733306">
        <w:t>na základě odstavce 1 hlavní součásti svých ujednání o spolupráci s orgány třetích zemí v oblasti veřejného dohledu, zajištění kvality a šetření a sankcí.</w:t>
      </w:r>
    </w:p>
    <w:p w14:paraId="1486E82B" w14:textId="77777777" w:rsidR="003B71E2" w:rsidRPr="00E1102B" w:rsidRDefault="003B71E2" w:rsidP="00992796">
      <w:pPr>
        <w:pStyle w:val="paragraf0"/>
        <w:numPr>
          <w:ilvl w:val="0"/>
          <w:numId w:val="55"/>
        </w:numPr>
        <w:spacing w:after="120"/>
        <w:rPr>
          <w:noProof w:val="0"/>
        </w:rPr>
      </w:pPr>
      <w:r>
        <w:rPr>
          <w:noProof w:val="0"/>
        </w:rPr>
        <w:t>***</w:t>
      </w:r>
    </w:p>
    <w:p w14:paraId="16857425" w14:textId="77777777" w:rsidR="003B71E2" w:rsidRPr="00D743D4" w:rsidRDefault="003B71E2" w:rsidP="00992796">
      <w:pPr>
        <w:pStyle w:val="Paragraf"/>
        <w:numPr>
          <w:ilvl w:val="0"/>
          <w:numId w:val="55"/>
        </w:numPr>
        <w:spacing w:after="120"/>
      </w:pPr>
      <w:r w:rsidRPr="00D743D4">
        <w:t>§ 49b</w:t>
      </w:r>
    </w:p>
    <w:p w14:paraId="18C5749A" w14:textId="77777777" w:rsidR="003B71E2" w:rsidRPr="00D743D4" w:rsidRDefault="003B71E2" w:rsidP="00992796">
      <w:pPr>
        <w:pStyle w:val="Nadpisparagrafu"/>
        <w:keepNext w:val="0"/>
        <w:keepLines w:val="0"/>
        <w:widowControl w:val="0"/>
        <w:numPr>
          <w:ilvl w:val="0"/>
          <w:numId w:val="55"/>
        </w:numPr>
        <w:tabs>
          <w:tab w:val="left" w:pos="425"/>
          <w:tab w:val="left" w:pos="851"/>
        </w:tabs>
        <w:spacing w:after="120"/>
        <w:rPr>
          <w:szCs w:val="24"/>
        </w:rPr>
      </w:pPr>
      <w:r w:rsidRPr="00D743D4">
        <w:rPr>
          <w:szCs w:val="24"/>
        </w:rPr>
        <w:t>Přestupky právnických a podnikajících fyzických osob</w:t>
      </w:r>
    </w:p>
    <w:p w14:paraId="6A170485" w14:textId="267A46AB" w:rsidR="003B71E2" w:rsidRPr="00D743D4" w:rsidRDefault="00383BC5" w:rsidP="00BF1739">
      <w:pPr>
        <w:pStyle w:val="PZTextodstavce"/>
        <w:pBdr>
          <w:top w:val="single" w:sz="12" w:space="1" w:color="0070C0"/>
          <w:left w:val="single" w:sz="12" w:space="1" w:color="0070C0"/>
          <w:bottom w:val="single" w:sz="12" w:space="1" w:color="0070C0"/>
          <w:right w:val="single" w:sz="12" w:space="1" w:color="0070C0"/>
        </w:pBdr>
        <w:spacing w:before="240"/>
      </w:pPr>
      <w:r>
        <w:lastRenderedPageBreak/>
        <w:t xml:space="preserve">(1) </w:t>
      </w:r>
      <w:r w:rsidR="003B71E2" w:rsidRPr="00D743D4">
        <w:t>Statutární auditor vykonávající auditorskou činnost vlastním jménem a na vlastní účet nebo auditorská společnost se dopustí přestupku tím, že</w:t>
      </w:r>
    </w:p>
    <w:p w14:paraId="10155496" w14:textId="21937436" w:rsidR="003B71E2" w:rsidRPr="009F4C15" w:rsidRDefault="00BF1739" w:rsidP="00BF1739">
      <w:pPr>
        <w:pStyle w:val="PZTextpsmene"/>
        <w:pBdr>
          <w:top w:val="single" w:sz="12" w:space="1" w:color="0070C0"/>
          <w:left w:val="single" w:sz="12" w:space="1" w:color="0070C0"/>
          <w:bottom w:val="single" w:sz="12" w:space="1" w:color="0070C0"/>
          <w:right w:val="single" w:sz="12" w:space="1" w:color="0070C0"/>
        </w:pBdr>
        <w:spacing w:before="0"/>
      </w:pPr>
      <w:r>
        <w:t>a)</w:t>
      </w:r>
      <w:r>
        <w:tab/>
      </w:r>
      <w:r w:rsidR="003B71E2">
        <w:t>požaduje nebo přijme od subjektu veřejného zájmu odměnu za provedení povinného auditu</w:t>
      </w:r>
      <w:r w:rsidR="003B71E2" w:rsidRPr="002003EB">
        <w:rPr>
          <w:b/>
          <w:bCs/>
        </w:rPr>
        <w:t xml:space="preserve"> </w:t>
      </w:r>
      <w:r w:rsidR="003B71E2" w:rsidRPr="002003EB">
        <w:rPr>
          <w:color w:val="5B9BD5" w:themeColor="accent1"/>
        </w:rPr>
        <w:t>nebo ověření zprávy o udržitelnosti</w:t>
      </w:r>
      <w:r w:rsidR="003B71E2">
        <w:t>, která je v rozporu s § 16,</w:t>
      </w:r>
    </w:p>
    <w:p w14:paraId="1D5AB20C" w14:textId="081B2E45" w:rsidR="003B71E2" w:rsidRPr="00E135E9" w:rsidRDefault="00BF1739" w:rsidP="00BF1739">
      <w:pPr>
        <w:pStyle w:val="PZTextpsmene"/>
        <w:pBdr>
          <w:top w:val="single" w:sz="12" w:space="1" w:color="0070C0"/>
          <w:left w:val="single" w:sz="12" w:space="1" w:color="0070C0"/>
          <w:bottom w:val="single" w:sz="12" w:space="1" w:color="0070C0"/>
          <w:right w:val="single" w:sz="12" w:space="1" w:color="0070C0"/>
        </w:pBdr>
        <w:spacing w:before="0"/>
      </w:pPr>
      <w:r>
        <w:t>b)</w:t>
      </w:r>
      <w:r>
        <w:tab/>
      </w:r>
      <w:r w:rsidR="003B71E2" w:rsidRPr="00E135E9">
        <w:t>v rozporu s § 17a odst. 5 neoznámí výpověď závazku ze smlouvy o povinném auditu, výpověď závazku ze smlouvy o ověření zprávy o udržitelnosti, odstoupení od smlouvy o povinném auditu nebo odstoupení od smlouvy o ověření zprávy o udržitelnosti Radě,</w:t>
      </w:r>
    </w:p>
    <w:p w14:paraId="3B6D28A3" w14:textId="63876E2A" w:rsidR="003B71E2" w:rsidRPr="002003EB" w:rsidRDefault="00BF1739" w:rsidP="00BF1739">
      <w:pPr>
        <w:pStyle w:val="PZTextpsmene"/>
        <w:pBdr>
          <w:top w:val="single" w:sz="12" w:space="1" w:color="0070C0"/>
          <w:left w:val="single" w:sz="12" w:space="1" w:color="0070C0"/>
          <w:bottom w:val="single" w:sz="12" w:space="1" w:color="0070C0"/>
          <w:right w:val="single" w:sz="12" w:space="1" w:color="0070C0"/>
        </w:pBdr>
        <w:spacing w:before="0"/>
        <w:rPr>
          <w:szCs w:val="24"/>
        </w:rPr>
      </w:pPr>
      <w:r>
        <w:rPr>
          <w:szCs w:val="24"/>
        </w:rPr>
        <w:t>c)</w:t>
      </w:r>
      <w:r>
        <w:rPr>
          <w:szCs w:val="24"/>
        </w:rPr>
        <w:tab/>
      </w:r>
      <w:r w:rsidR="003B71E2" w:rsidRPr="002003EB">
        <w:rPr>
          <w:szCs w:val="24"/>
        </w:rPr>
        <w:t>nesplní informační povinnost podle § 21 odst. 3, 4, 5 nebo § 43d anebo nařízení Evropského parlamentu a Rady (EU) č. 537/2014,</w:t>
      </w:r>
    </w:p>
    <w:p w14:paraId="65BCCA7B" w14:textId="32D11422" w:rsidR="003B71E2" w:rsidRPr="002003EB" w:rsidRDefault="00BF1739" w:rsidP="00BF1739">
      <w:pPr>
        <w:pStyle w:val="PZTextpsmene"/>
        <w:pBdr>
          <w:top w:val="single" w:sz="12" w:space="1" w:color="0070C0"/>
          <w:left w:val="single" w:sz="12" w:space="1" w:color="0070C0"/>
          <w:bottom w:val="single" w:sz="12" w:space="1" w:color="0070C0"/>
          <w:right w:val="single" w:sz="12" w:space="1" w:color="0070C0"/>
        </w:pBdr>
        <w:spacing w:before="0"/>
        <w:rPr>
          <w:szCs w:val="24"/>
        </w:rPr>
      </w:pPr>
      <w:r>
        <w:rPr>
          <w:szCs w:val="24"/>
        </w:rPr>
        <w:t>d)</w:t>
      </w:r>
      <w:r>
        <w:rPr>
          <w:szCs w:val="24"/>
        </w:rPr>
        <w:tab/>
      </w:r>
      <w:r w:rsidR="003B71E2" w:rsidRPr="002003EB">
        <w:rPr>
          <w:szCs w:val="24"/>
        </w:rPr>
        <w:t>neposkytne České národní bance na základě její žádosti informace a vysvětlení týkající se průběhu povinného auditu a poznatky získané na základě povinného auditu v subjektu veřejného zájmu, který podléhá dohledu České národní banky podle § 21 odst. 6,</w:t>
      </w:r>
    </w:p>
    <w:p w14:paraId="16B0C5A6" w14:textId="6BD7FAE9" w:rsidR="003B71E2" w:rsidRPr="00E135E9" w:rsidRDefault="00BF1739" w:rsidP="00BF1739">
      <w:pPr>
        <w:pStyle w:val="PZTextpsmene"/>
        <w:pBdr>
          <w:top w:val="single" w:sz="12" w:space="1" w:color="0070C0"/>
          <w:left w:val="single" w:sz="12" w:space="1" w:color="0070C0"/>
          <w:bottom w:val="single" w:sz="12" w:space="1" w:color="0070C0"/>
          <w:right w:val="single" w:sz="12" w:space="1" w:color="0070C0"/>
        </w:pBdr>
        <w:spacing w:before="0"/>
      </w:pPr>
      <w:r>
        <w:t>e)</w:t>
      </w:r>
      <w:r>
        <w:tab/>
      </w:r>
      <w:r w:rsidR="003B71E2" w:rsidRPr="00E135E9">
        <w:t>v rozporu s § 24f odst. 5 neprovede opatření k nápravě,</w:t>
      </w:r>
    </w:p>
    <w:p w14:paraId="169B398A" w14:textId="4C8CC563" w:rsidR="003B71E2" w:rsidRPr="00E135E9" w:rsidRDefault="00BF1739" w:rsidP="00BF1739">
      <w:pPr>
        <w:pStyle w:val="PZTextpsmene"/>
        <w:pBdr>
          <w:top w:val="single" w:sz="12" w:space="1" w:color="0070C0"/>
          <w:left w:val="single" w:sz="12" w:space="1" w:color="0070C0"/>
          <w:bottom w:val="single" w:sz="12" w:space="1" w:color="0070C0"/>
          <w:right w:val="single" w:sz="12" w:space="1" w:color="0070C0"/>
        </w:pBdr>
        <w:spacing w:before="0"/>
      </w:pPr>
      <w:r>
        <w:t>f)</w:t>
      </w:r>
      <w:r>
        <w:tab/>
      </w:r>
      <w:r w:rsidR="003B71E2" w:rsidRPr="00E135E9">
        <w:t>v rozporu s § 43b odst. 1 a 2 poskytne subjektu veřejného zájmu, jeho mateřské obchodní korporaci</w:t>
      </w:r>
      <w:r w:rsidR="003B71E2" w:rsidRPr="002003EB">
        <w:rPr>
          <w:vertAlign w:val="superscript"/>
        </w:rPr>
        <w:t>25)</w:t>
      </w:r>
      <w:r w:rsidR="003B71E2" w:rsidRPr="00E135E9">
        <w:t xml:space="preserve"> se sídlem v České republice nebo jeho dceřiné obchodní korporaci</w:t>
      </w:r>
      <w:r w:rsidR="003B71E2" w:rsidRPr="002003EB">
        <w:rPr>
          <w:vertAlign w:val="superscript"/>
        </w:rPr>
        <w:t>25)</w:t>
      </w:r>
      <w:r w:rsidR="003B71E2" w:rsidRPr="00E135E9">
        <w:t xml:space="preserve"> se sídlem v České republice, </w:t>
      </w:r>
      <w:proofErr w:type="spellStart"/>
      <w:r w:rsidR="003B71E2" w:rsidRPr="00E135E9">
        <w:t>neauditorské</w:t>
      </w:r>
      <w:proofErr w:type="spellEnd"/>
      <w:r w:rsidR="003B71E2" w:rsidRPr="00E135E9">
        <w:t xml:space="preserve"> služby uvedené v čl. 5 odst. 1 písm. a) bodu i), bodu </w:t>
      </w:r>
      <w:proofErr w:type="spellStart"/>
      <w:r w:rsidR="003B71E2" w:rsidRPr="00E135E9">
        <w:t>iv</w:t>
      </w:r>
      <w:proofErr w:type="spellEnd"/>
      <w:r w:rsidR="003B71E2" w:rsidRPr="00E135E9">
        <w:t xml:space="preserve">) až </w:t>
      </w:r>
      <w:proofErr w:type="spellStart"/>
      <w:r w:rsidR="003B71E2" w:rsidRPr="00E135E9">
        <w:t>vii</w:t>
      </w:r>
      <w:proofErr w:type="spellEnd"/>
      <w:r w:rsidR="003B71E2" w:rsidRPr="00E135E9">
        <w:t>) a v písm. f) nařízení Evropského parlamentu a Rady (EU) č. 537/2014,</w:t>
      </w:r>
    </w:p>
    <w:p w14:paraId="5BFB1A81" w14:textId="3B2C76C7" w:rsidR="003B71E2" w:rsidRPr="002003EB" w:rsidRDefault="00BF1739" w:rsidP="00BF1739">
      <w:pPr>
        <w:pStyle w:val="PZTextpsmene"/>
        <w:pBdr>
          <w:top w:val="single" w:sz="12" w:space="1" w:color="0070C0"/>
          <w:left w:val="single" w:sz="12" w:space="1" w:color="0070C0"/>
          <w:bottom w:val="single" w:sz="12" w:space="1" w:color="0070C0"/>
          <w:right w:val="single" w:sz="12" w:space="1" w:color="0070C0"/>
        </w:pBdr>
        <w:spacing w:before="0"/>
        <w:rPr>
          <w:strike/>
        </w:rPr>
      </w:pPr>
      <w:r>
        <w:t>g)</w:t>
      </w:r>
      <w:r>
        <w:tab/>
      </w:r>
      <w:r w:rsidR="003B71E2" w:rsidRPr="00E135E9">
        <w:t xml:space="preserve">v rozporu s § 43b odst. 4 poskytne subjektu veřejného zájmu, jeho mateřské obchodní korporaci nebo jeho dceřiné obchodní korporaci, </w:t>
      </w:r>
      <w:proofErr w:type="spellStart"/>
      <w:r w:rsidR="003B71E2" w:rsidRPr="00E135E9">
        <w:t>neauditorské</w:t>
      </w:r>
      <w:proofErr w:type="spellEnd"/>
      <w:r w:rsidR="003B71E2" w:rsidRPr="00E135E9">
        <w:t xml:space="preserve"> služby neuvedené v čl. 5 odst. 1,</w:t>
      </w:r>
    </w:p>
    <w:p w14:paraId="4B34A99E" w14:textId="19761834" w:rsidR="003B71E2" w:rsidRPr="00E135E9" w:rsidRDefault="00BF1739" w:rsidP="00BF1739">
      <w:pPr>
        <w:pStyle w:val="PZTextpsmene"/>
        <w:pBdr>
          <w:top w:val="single" w:sz="12" w:space="1" w:color="0070C0"/>
          <w:left w:val="single" w:sz="12" w:space="1" w:color="0070C0"/>
          <w:bottom w:val="single" w:sz="12" w:space="1" w:color="0070C0"/>
          <w:right w:val="single" w:sz="12" w:space="1" w:color="0070C0"/>
        </w:pBdr>
        <w:spacing w:before="0"/>
      </w:pPr>
      <w:r>
        <w:t>h)</w:t>
      </w:r>
      <w:r>
        <w:tab/>
      </w:r>
      <w:r w:rsidR="003B71E2" w:rsidRPr="00E135E9">
        <w:t>v rozporu s § 43ba odst. 1 poskytne subjektu veřejného zájmu, jeho mateřské obchodní korporaci</w:t>
      </w:r>
      <w:r w:rsidR="003B71E2" w:rsidRPr="002003EB">
        <w:rPr>
          <w:vertAlign w:val="superscript"/>
        </w:rPr>
        <w:t>25)</w:t>
      </w:r>
      <w:r w:rsidR="003B71E2" w:rsidRPr="00E135E9">
        <w:t xml:space="preserve"> se sídlem v České republice a jeho dceřiné obchodní korporaci</w:t>
      </w:r>
      <w:r w:rsidR="003B71E2" w:rsidRPr="002003EB">
        <w:rPr>
          <w:vertAlign w:val="superscript"/>
        </w:rPr>
        <w:t xml:space="preserve"> 25)</w:t>
      </w:r>
      <w:r w:rsidR="003B71E2" w:rsidRPr="00E135E9">
        <w:t xml:space="preserve"> se sídlem v České republice </w:t>
      </w:r>
      <w:proofErr w:type="spellStart"/>
      <w:r w:rsidR="003B71E2" w:rsidRPr="00E135E9">
        <w:t>neauditorské</w:t>
      </w:r>
      <w:proofErr w:type="spellEnd"/>
      <w:r w:rsidR="003B71E2" w:rsidRPr="00E135E9">
        <w:t xml:space="preserve"> služby uvedené v čl. 5 odst. 1 druhém pododstavci písm. b), c) a e) až k) nařízení Evropského parlamentu a Rady (EU) č. 537/2014,</w:t>
      </w:r>
    </w:p>
    <w:p w14:paraId="3E5BFBAC" w14:textId="1783D533" w:rsidR="003B71E2" w:rsidRPr="002003EB" w:rsidRDefault="00BF1739" w:rsidP="00BF1739">
      <w:pPr>
        <w:pStyle w:val="PZTextpsmene"/>
        <w:pBdr>
          <w:top w:val="single" w:sz="12" w:space="1" w:color="0070C0"/>
          <w:left w:val="single" w:sz="12" w:space="1" w:color="0070C0"/>
          <w:bottom w:val="single" w:sz="12" w:space="1" w:color="0070C0"/>
          <w:right w:val="single" w:sz="12" w:space="1" w:color="0070C0"/>
        </w:pBdr>
        <w:spacing w:before="0"/>
        <w:rPr>
          <w:b/>
          <w:bCs/>
          <w:szCs w:val="24"/>
        </w:rPr>
      </w:pPr>
      <w:r>
        <w:rPr>
          <w:bCs/>
          <w:szCs w:val="24"/>
        </w:rPr>
        <w:t>i)</w:t>
      </w:r>
      <w:r>
        <w:rPr>
          <w:bCs/>
          <w:szCs w:val="24"/>
        </w:rPr>
        <w:tab/>
      </w:r>
      <w:r w:rsidR="003B71E2" w:rsidRPr="002003EB">
        <w:rPr>
          <w:bCs/>
          <w:szCs w:val="24"/>
        </w:rPr>
        <w:t>v rozporu s § 43ba odst. 3 poskytne subjektu veřejného zájmu, jeho mateřské obchodní korporaci</w:t>
      </w:r>
      <w:r w:rsidR="003B71E2" w:rsidRPr="002003EB">
        <w:rPr>
          <w:bCs/>
          <w:szCs w:val="24"/>
          <w:vertAlign w:val="superscript"/>
        </w:rPr>
        <w:t>25)</w:t>
      </w:r>
      <w:r w:rsidR="003B71E2" w:rsidRPr="002003EB">
        <w:rPr>
          <w:bCs/>
          <w:szCs w:val="24"/>
        </w:rPr>
        <w:t xml:space="preserve"> se sídlem v České republice a jeho dceřiné obchodní korporaci</w:t>
      </w:r>
      <w:r w:rsidR="003B71E2" w:rsidRPr="002003EB">
        <w:rPr>
          <w:bCs/>
          <w:szCs w:val="24"/>
          <w:vertAlign w:val="superscript"/>
        </w:rPr>
        <w:t xml:space="preserve"> 25)</w:t>
      </w:r>
      <w:r w:rsidR="003B71E2" w:rsidRPr="002003EB">
        <w:rPr>
          <w:bCs/>
          <w:szCs w:val="24"/>
        </w:rPr>
        <w:t xml:space="preserve"> se sídlem v České republice jiné </w:t>
      </w:r>
      <w:proofErr w:type="spellStart"/>
      <w:r w:rsidR="003B71E2" w:rsidRPr="002003EB">
        <w:rPr>
          <w:bCs/>
          <w:szCs w:val="24"/>
        </w:rPr>
        <w:t>neauditorské</w:t>
      </w:r>
      <w:proofErr w:type="spellEnd"/>
      <w:r w:rsidR="003B71E2" w:rsidRPr="002003EB">
        <w:rPr>
          <w:bCs/>
          <w:szCs w:val="24"/>
        </w:rPr>
        <w:t xml:space="preserve"> služby neuvedené v § 43ba odst. 1 nebo </w:t>
      </w:r>
      <w:proofErr w:type="spellStart"/>
      <w:r w:rsidR="003B71E2" w:rsidRPr="002003EB">
        <w:rPr>
          <w:bCs/>
          <w:szCs w:val="24"/>
        </w:rPr>
        <w:t>neauditorské</w:t>
      </w:r>
      <w:proofErr w:type="spellEnd"/>
      <w:r w:rsidR="003B71E2" w:rsidRPr="002003EB">
        <w:rPr>
          <w:bCs/>
          <w:szCs w:val="24"/>
        </w:rPr>
        <w:t xml:space="preserve"> služby uvedené v čl. 5 odst. 1 druhém pododstavci nařízení Evropského parlamentu a Rady (EU) č. 537/2014, nebo</w:t>
      </w:r>
    </w:p>
    <w:p w14:paraId="69D2D730" w14:textId="35B18979" w:rsidR="003B71E2" w:rsidRPr="00E135E9" w:rsidRDefault="00BF1739" w:rsidP="00BF1739">
      <w:pPr>
        <w:pStyle w:val="PZTextpsmene"/>
        <w:pBdr>
          <w:top w:val="single" w:sz="12" w:space="1" w:color="0070C0"/>
          <w:left w:val="single" w:sz="12" w:space="1" w:color="0070C0"/>
          <w:bottom w:val="single" w:sz="12" w:space="1" w:color="0070C0"/>
          <w:right w:val="single" w:sz="12" w:space="1" w:color="0070C0"/>
        </w:pBdr>
        <w:spacing w:before="0"/>
      </w:pPr>
      <w:r>
        <w:t>j)</w:t>
      </w:r>
      <w:r>
        <w:tab/>
      </w:r>
      <w:r w:rsidR="003B71E2" w:rsidRPr="00E135E9">
        <w:t>v rozporu s § 43c provede povinný audit.</w:t>
      </w:r>
    </w:p>
    <w:p w14:paraId="5896473E" w14:textId="72719B07" w:rsidR="003B71E2" w:rsidRPr="00D743D4" w:rsidRDefault="00494B21" w:rsidP="00494B21">
      <w:pPr>
        <w:pStyle w:val="PZTextodstavce"/>
        <w:spacing w:before="240"/>
      </w:pPr>
      <w:r>
        <w:t xml:space="preserve">(2) </w:t>
      </w:r>
      <w:r w:rsidR="003B71E2" w:rsidRPr="00E135E9">
        <w:t xml:space="preserve">Statutární auditor vykonávající auditorskou činnost vlastním jménem a na vlastní účet </w:t>
      </w:r>
      <w:r w:rsidR="003B71E2" w:rsidRPr="00D743D4">
        <w:t>nebo auditorská společnost se dopustí přestupku tím, že v rozporu s přímo použitelným předpisem Evropské unie upravujícím specifické požadavky na povinný audit subjektů veřejného zájmu</w:t>
      </w:r>
    </w:p>
    <w:p w14:paraId="18380A90" w14:textId="224039DE" w:rsidR="003B71E2" w:rsidRPr="009F4C15" w:rsidRDefault="00494B21" w:rsidP="00607B4B">
      <w:pPr>
        <w:pStyle w:val="PZTextpsmene"/>
        <w:spacing w:before="0"/>
      </w:pPr>
      <w:r>
        <w:t>a)</w:t>
      </w:r>
      <w:r>
        <w:tab/>
      </w:r>
      <w:r w:rsidR="003B71E2">
        <w:t>nesplní informační povinnost,</w:t>
      </w:r>
    </w:p>
    <w:p w14:paraId="38FA0583" w14:textId="4697CBC4" w:rsidR="003B71E2" w:rsidRPr="009F4C15" w:rsidRDefault="00494B21" w:rsidP="00607B4B">
      <w:pPr>
        <w:pStyle w:val="PZTextpsmene"/>
        <w:spacing w:before="0"/>
      </w:pPr>
      <w:r>
        <w:t>b)</w:t>
      </w:r>
      <w:r>
        <w:tab/>
      </w:r>
      <w:r w:rsidR="003B71E2">
        <w:t xml:space="preserve">přijme od subjektu veřejného zájmu, jeho mateřské obchodní korporace nebo jeho dceřiné obchodní korporace, odměnu za </w:t>
      </w:r>
      <w:proofErr w:type="spellStart"/>
      <w:r w:rsidR="003B71E2">
        <w:t>neauditorské</w:t>
      </w:r>
      <w:proofErr w:type="spellEnd"/>
      <w:r w:rsidR="003B71E2">
        <w:t xml:space="preserve"> služby neuvedené v čl. 5 odst. 1,</w:t>
      </w:r>
    </w:p>
    <w:p w14:paraId="6AB24C34" w14:textId="5F08A336" w:rsidR="003B71E2" w:rsidRPr="009F4C15" w:rsidRDefault="00494B21" w:rsidP="00607B4B">
      <w:pPr>
        <w:pStyle w:val="PZTextpsmene"/>
        <w:spacing w:before="0"/>
      </w:pPr>
      <w:r>
        <w:t>c)</w:t>
      </w:r>
      <w:r>
        <w:tab/>
      </w:r>
      <w:r w:rsidR="003B71E2" w:rsidRPr="009F4C15">
        <w:t>neprojedná s výborem pro audit rizika ohrožující nezávislost auditora a záruky přijaté k jejich omezení,</w:t>
      </w:r>
    </w:p>
    <w:p w14:paraId="55224A05" w14:textId="1D666E37" w:rsidR="003B71E2" w:rsidRPr="009F4C15" w:rsidRDefault="00494B21" w:rsidP="00607B4B">
      <w:pPr>
        <w:pStyle w:val="PZTextpsmene"/>
        <w:spacing w:before="0"/>
      </w:pPr>
      <w:r>
        <w:t>d)</w:t>
      </w:r>
      <w:r>
        <w:tab/>
      </w:r>
      <w:r w:rsidR="003B71E2" w:rsidRPr="009F4C15">
        <w:t xml:space="preserve">poskytne subjektu veřejného zájmu, jeho mateřské obchodní korporaci nebo jeho dceřiné obchodní korporaci, </w:t>
      </w:r>
      <w:proofErr w:type="spellStart"/>
      <w:r w:rsidR="003B71E2" w:rsidRPr="009F4C15">
        <w:t>neauditorské</w:t>
      </w:r>
      <w:proofErr w:type="spellEnd"/>
      <w:r w:rsidR="003B71E2" w:rsidRPr="009F4C15">
        <w:t xml:space="preserve"> služby uvedené v čl. 5 odst. 1 druhý pododstavec písm. a) bod </w:t>
      </w:r>
      <w:proofErr w:type="spellStart"/>
      <w:r w:rsidR="003B71E2" w:rsidRPr="009F4C15">
        <w:t>ii</w:t>
      </w:r>
      <w:proofErr w:type="spellEnd"/>
      <w:r w:rsidR="003B71E2" w:rsidRPr="009F4C15">
        <w:t xml:space="preserve">) a </w:t>
      </w:r>
      <w:proofErr w:type="spellStart"/>
      <w:r w:rsidR="003B71E2" w:rsidRPr="009F4C15">
        <w:t>iii</w:t>
      </w:r>
      <w:proofErr w:type="spellEnd"/>
      <w:r w:rsidR="003B71E2" w:rsidRPr="009F4C15">
        <w:t>), písm. b) až e) nebo písm. g) až k),</w:t>
      </w:r>
    </w:p>
    <w:p w14:paraId="1F7E8792" w14:textId="4798721C" w:rsidR="003B71E2" w:rsidRDefault="00494B21" w:rsidP="00607B4B">
      <w:pPr>
        <w:pStyle w:val="PZTextpsmene"/>
        <w:spacing w:before="0"/>
      </w:pPr>
      <w:r>
        <w:t>e)</w:t>
      </w:r>
      <w:r>
        <w:tab/>
      </w:r>
      <w:r w:rsidR="003B71E2">
        <w:t xml:space="preserve">neposoudí, zda poskytování </w:t>
      </w:r>
      <w:proofErr w:type="spellStart"/>
      <w:r w:rsidR="003B71E2">
        <w:t>neauditorských</w:t>
      </w:r>
      <w:proofErr w:type="spellEnd"/>
      <w:r w:rsidR="003B71E2">
        <w:t xml:space="preserve"> služeb uvedených v čl. 5 odst. 1 a 2 dceřiné společnosti subjektu veřejného zájmu, u kterého statutární auditor vykonávající auditorskou činnost vlastním jménem a na vlastní účet nebo auditorská společnost provádí povinný audit, členem sítě, do níž statutární auditor vykonávající auditorskou činnost </w:t>
      </w:r>
      <w:r w:rsidR="003B71E2">
        <w:lastRenderedPageBreak/>
        <w:t>vlastním jménem a na vlastní účet nebo auditorská společnost náleží, ohrožuje jeho nezávislost,</w:t>
      </w:r>
    </w:p>
    <w:p w14:paraId="5423B924" w14:textId="0E71B581" w:rsidR="003B71E2" w:rsidRPr="009F4C15" w:rsidRDefault="00494B21" w:rsidP="00607B4B">
      <w:pPr>
        <w:pStyle w:val="PZTextpsmene"/>
        <w:spacing w:before="0"/>
      </w:pPr>
      <w:r>
        <w:t>f)</w:t>
      </w:r>
      <w:r>
        <w:tab/>
      </w:r>
      <w:r w:rsidR="003B71E2">
        <w:t>neposoudí rizika ohrožení nezávislosti,</w:t>
      </w:r>
    </w:p>
    <w:p w14:paraId="79827064" w14:textId="37A16678" w:rsidR="003B71E2" w:rsidRPr="009F4C15" w:rsidRDefault="00494B21" w:rsidP="00607B4B">
      <w:pPr>
        <w:pStyle w:val="PZTextpsmene"/>
        <w:spacing w:before="0"/>
      </w:pPr>
      <w:r>
        <w:t>g)</w:t>
      </w:r>
      <w:r>
        <w:tab/>
      </w:r>
      <w:r w:rsidR="003B71E2">
        <w:t>nezdokumentuje rizika ohrožení nezávislosti,</w:t>
      </w:r>
    </w:p>
    <w:p w14:paraId="1C1EB620" w14:textId="4E95DB61" w:rsidR="003B71E2" w:rsidRPr="009F4C15" w:rsidRDefault="00494B21" w:rsidP="00607B4B">
      <w:pPr>
        <w:pStyle w:val="PZTextpsmene"/>
        <w:spacing w:before="0"/>
      </w:pPr>
      <w:r>
        <w:t>h)</w:t>
      </w:r>
      <w:r>
        <w:tab/>
      </w:r>
      <w:r w:rsidR="003B71E2">
        <w:t>neprojedná s výborem pro audit případná rizika ohrožující nezávislost auditora a záruky přijaté k jejich omezení,</w:t>
      </w:r>
    </w:p>
    <w:p w14:paraId="613D9E99" w14:textId="5F05C453" w:rsidR="003B71E2" w:rsidRPr="009F4C15" w:rsidRDefault="00494B21" w:rsidP="00607B4B">
      <w:pPr>
        <w:pStyle w:val="PZTextpsmene"/>
        <w:spacing w:before="0"/>
      </w:pPr>
      <w:r>
        <w:t>i)</w:t>
      </w:r>
      <w:r>
        <w:tab/>
      </w:r>
      <w:r w:rsidR="003B71E2" w:rsidRPr="009F4C15">
        <w:t>neprovede přezkum řízení kvality auditorské zakázky nebo nezajistí provedení přezkumu řízení kvality auditorské zakázky,</w:t>
      </w:r>
    </w:p>
    <w:p w14:paraId="13FA3D89" w14:textId="2D3F9318" w:rsidR="003B71E2" w:rsidRPr="009F4C15" w:rsidRDefault="00494B21" w:rsidP="00607B4B">
      <w:pPr>
        <w:pStyle w:val="PZTextpsmene"/>
        <w:spacing w:before="0"/>
      </w:pPr>
      <w:r>
        <w:t>j)</w:t>
      </w:r>
      <w:r>
        <w:tab/>
      </w:r>
      <w:r w:rsidR="003B71E2">
        <w:t>nevede záznamy o výsledcích přezkumu řízení kvality auditorské zakázky nebo je neuchová po stanovenou dobu,</w:t>
      </w:r>
    </w:p>
    <w:p w14:paraId="02175E1B" w14:textId="7382D683" w:rsidR="003B71E2" w:rsidRPr="009F4C15" w:rsidRDefault="00494B21" w:rsidP="00607B4B">
      <w:pPr>
        <w:pStyle w:val="PZTextpsmene"/>
        <w:spacing w:before="0"/>
      </w:pPr>
      <w:r>
        <w:t>k)</w:t>
      </w:r>
      <w:r>
        <w:tab/>
      </w:r>
      <w:r w:rsidR="003B71E2">
        <w:t>nevyhotoví zprávu auditora,</w:t>
      </w:r>
    </w:p>
    <w:p w14:paraId="5581E12A" w14:textId="1E0459B7" w:rsidR="003B71E2" w:rsidRPr="009F4C15" w:rsidRDefault="00494B21" w:rsidP="00607B4B">
      <w:pPr>
        <w:pStyle w:val="PZTextpsmene"/>
        <w:spacing w:before="0"/>
      </w:pPr>
      <w:r>
        <w:t>l)</w:t>
      </w:r>
      <w:r>
        <w:tab/>
      </w:r>
      <w:r w:rsidR="003B71E2" w:rsidRPr="009F4C15">
        <w:t>nevyhotoví nebo nepředloží výboru pro audit dodatečnou zprávu určenou výboru pro audit,</w:t>
      </w:r>
    </w:p>
    <w:p w14:paraId="72A7DA4E" w14:textId="1B47847D" w:rsidR="003B71E2" w:rsidRPr="00607B4B" w:rsidRDefault="00494B21" w:rsidP="00607B4B">
      <w:pPr>
        <w:pStyle w:val="PZTextpsmene"/>
        <w:spacing w:before="0"/>
      </w:pPr>
      <w:r w:rsidRPr="00607B4B">
        <w:t>m)</w:t>
      </w:r>
      <w:r w:rsidRPr="00607B4B">
        <w:tab/>
      </w:r>
      <w:r w:rsidR="003B71E2" w:rsidRPr="00607B4B">
        <w:t>neprojedná s výborem pro audit, řídicím nebo kontrolním orgánem dodatečnou zprávu určenou výboru pro audit na základě žádosti výboru pro audit,</w:t>
      </w:r>
    </w:p>
    <w:p w14:paraId="2C6ECF35" w14:textId="129BEBFB" w:rsidR="003B71E2" w:rsidRPr="009F4C15" w:rsidRDefault="00494B21" w:rsidP="00607B4B">
      <w:pPr>
        <w:pStyle w:val="PZTextpsmene"/>
        <w:spacing w:before="0"/>
      </w:pPr>
      <w:r>
        <w:t>n)</w:t>
      </w:r>
      <w:r>
        <w:tab/>
      </w:r>
      <w:r w:rsidR="003B71E2">
        <w:t>nezpřístupní novému auditorovi dodatečnou zprávu určenou výboru pro audit nebo informace předané Radě podle čl. 12 a 13,</w:t>
      </w:r>
    </w:p>
    <w:p w14:paraId="320FFB3F" w14:textId="35FA939C" w:rsidR="003B71E2" w:rsidRPr="009F4C15" w:rsidRDefault="00494B21" w:rsidP="00607B4B">
      <w:pPr>
        <w:pStyle w:val="PZTextpsmene"/>
        <w:spacing w:before="0"/>
      </w:pPr>
      <w:r>
        <w:t>o)</w:t>
      </w:r>
      <w:r>
        <w:tab/>
      </w:r>
      <w:r w:rsidR="003B71E2">
        <w:t>nevyhotoví nebo nezveřejní zprávu o transparentnosti,</w:t>
      </w:r>
    </w:p>
    <w:p w14:paraId="2A26754E" w14:textId="7F4F6812" w:rsidR="003B71E2" w:rsidRPr="009F4C15" w:rsidRDefault="00494B21" w:rsidP="00607B4B">
      <w:pPr>
        <w:pStyle w:val="PZTextpsmene"/>
        <w:spacing w:before="0"/>
      </w:pPr>
      <w:r>
        <w:t>p)</w:t>
      </w:r>
      <w:r>
        <w:tab/>
      </w:r>
      <w:r w:rsidR="003B71E2">
        <w:t>nepředloží Radě seznam auditovaných subjektů,</w:t>
      </w:r>
    </w:p>
    <w:p w14:paraId="206F0DE0" w14:textId="1BB5AD36" w:rsidR="003B71E2" w:rsidRPr="009F4C15" w:rsidRDefault="00494B21" w:rsidP="00607B4B">
      <w:pPr>
        <w:pStyle w:val="PZTextpsmene"/>
        <w:spacing w:before="0"/>
      </w:pPr>
      <w:r>
        <w:t>q)</w:t>
      </w:r>
      <w:r>
        <w:tab/>
      </w:r>
      <w:r w:rsidR="003B71E2">
        <w:t>neuchová informace nebo záznamy uvedené v čl. 15, nebo</w:t>
      </w:r>
    </w:p>
    <w:p w14:paraId="5F740A5D" w14:textId="7EE75396" w:rsidR="003B71E2" w:rsidRPr="009F4C15" w:rsidRDefault="00494B21" w:rsidP="00607B4B">
      <w:pPr>
        <w:pStyle w:val="PZTextpsmene"/>
        <w:spacing w:before="0"/>
      </w:pPr>
      <w:r>
        <w:t>r)</w:t>
      </w:r>
      <w:r>
        <w:tab/>
      </w:r>
      <w:r w:rsidR="003B71E2">
        <w:t>nezavede postup pro pravidelné postupné obměňování osob.</w:t>
      </w:r>
    </w:p>
    <w:p w14:paraId="01BE7046" w14:textId="7B71E7F0" w:rsidR="003B71E2" w:rsidRPr="00D743D4" w:rsidRDefault="00494B21" w:rsidP="00607B4B">
      <w:pPr>
        <w:pStyle w:val="PZTextodstavce"/>
        <w:pBdr>
          <w:top w:val="single" w:sz="12" w:space="1" w:color="0070C0"/>
          <w:left w:val="single" w:sz="12" w:space="1" w:color="0070C0"/>
          <w:bottom w:val="single" w:sz="12" w:space="1" w:color="0070C0"/>
          <w:right w:val="single" w:sz="12" w:space="1" w:color="0070C0"/>
        </w:pBdr>
        <w:tabs>
          <w:tab w:val="clear" w:pos="782"/>
        </w:tabs>
        <w:spacing w:before="240"/>
      </w:pPr>
      <w:r>
        <w:t xml:space="preserve">(3) </w:t>
      </w:r>
      <w:r w:rsidR="003B71E2" w:rsidRPr="00D743D4">
        <w:t xml:space="preserve">Statutární auditor vykonávající auditorskou činnost vlastním jménem a na vlastní účet nebo auditorská společnost se dopustí přestupku tím, že při provádění povinného auditu </w:t>
      </w:r>
      <w:r w:rsidR="003B71E2" w:rsidRPr="00517D7D">
        <w:rPr>
          <w:color w:val="5B9BD5" w:themeColor="accent1"/>
        </w:rPr>
        <w:t>nebo ověření zprávy o udržitelnosti</w:t>
      </w:r>
      <w:r w:rsidR="003B71E2" w:rsidRPr="00D743D4">
        <w:t xml:space="preserve"> subjektu veřejného zájmu</w:t>
      </w:r>
    </w:p>
    <w:p w14:paraId="6B39D2B8" w14:textId="1E15C2F5" w:rsidR="003B71E2" w:rsidRPr="009F4C15" w:rsidRDefault="00607B4B" w:rsidP="00607B4B">
      <w:pPr>
        <w:pStyle w:val="PZTextpsmene"/>
        <w:pBdr>
          <w:top w:val="single" w:sz="12" w:space="1" w:color="0070C0"/>
          <w:left w:val="single" w:sz="12" w:space="1" w:color="0070C0"/>
          <w:bottom w:val="single" w:sz="12" w:space="1" w:color="0070C0"/>
          <w:right w:val="single" w:sz="12" w:space="1" w:color="0070C0"/>
        </w:pBdr>
        <w:spacing w:before="0"/>
      </w:pPr>
      <w:r>
        <w:t>a)</w:t>
      </w:r>
      <w:r>
        <w:tab/>
      </w:r>
      <w:r w:rsidR="003B71E2">
        <w:t>postupuje v rozporu s § 3,</w:t>
      </w:r>
    </w:p>
    <w:p w14:paraId="2455D94C" w14:textId="4E628C09" w:rsidR="003B71E2" w:rsidRPr="009F4C15" w:rsidRDefault="00607B4B" w:rsidP="00607B4B">
      <w:pPr>
        <w:pStyle w:val="PZTextpsmene"/>
        <w:pBdr>
          <w:top w:val="single" w:sz="12" w:space="1" w:color="0070C0"/>
          <w:left w:val="single" w:sz="12" w:space="1" w:color="0070C0"/>
          <w:bottom w:val="single" w:sz="12" w:space="1" w:color="0070C0"/>
          <w:right w:val="single" w:sz="12" w:space="1" w:color="0070C0"/>
        </w:pBdr>
        <w:spacing w:before="0"/>
      </w:pPr>
      <w:r>
        <w:t>b)</w:t>
      </w:r>
      <w:r>
        <w:tab/>
      </w:r>
      <w:r w:rsidR="003B71E2">
        <w:t>nedodrží etický kodex podle § 13,</w:t>
      </w:r>
    </w:p>
    <w:p w14:paraId="0C7DFF92" w14:textId="508B62B2" w:rsidR="003B71E2" w:rsidRPr="00607B4B" w:rsidRDefault="00607B4B" w:rsidP="00607B4B">
      <w:pPr>
        <w:pStyle w:val="PZTextpsmene"/>
        <w:pBdr>
          <w:top w:val="single" w:sz="12" w:space="1" w:color="0070C0"/>
          <w:left w:val="single" w:sz="12" w:space="1" w:color="0070C0"/>
          <w:bottom w:val="single" w:sz="12" w:space="1" w:color="0070C0"/>
          <w:right w:val="single" w:sz="12" w:space="1" w:color="0070C0"/>
        </w:pBdr>
        <w:spacing w:before="0"/>
      </w:pPr>
      <w:r>
        <w:t>c)</w:t>
      </w:r>
      <w:r>
        <w:tab/>
      </w:r>
      <w:r w:rsidR="003B71E2" w:rsidRPr="00607B4B">
        <w:t>v rozporu s § 18 nepostupuje v souladu s auditorskými standardy upravenými právem Evropské unie a s auditorskými standardy vydanými Komorou nebo vnitřními předpisy Komory podle § 21 odst. 1 písm. a), nebo</w:t>
      </w:r>
    </w:p>
    <w:p w14:paraId="58C2380A" w14:textId="17ED4256" w:rsidR="003B71E2" w:rsidRDefault="00607B4B" w:rsidP="00607B4B">
      <w:pPr>
        <w:pStyle w:val="PZTextpsmene"/>
        <w:pBdr>
          <w:top w:val="single" w:sz="12" w:space="1" w:color="0070C0"/>
          <w:left w:val="single" w:sz="12" w:space="1" w:color="0070C0"/>
          <w:bottom w:val="single" w:sz="12" w:space="1" w:color="0070C0"/>
          <w:right w:val="single" w:sz="12" w:space="1" w:color="0070C0"/>
        </w:pBdr>
        <w:spacing w:before="0"/>
      </w:pPr>
      <w:r>
        <w:t>d)</w:t>
      </w:r>
      <w:r>
        <w:tab/>
      </w:r>
      <w:r w:rsidR="003B71E2">
        <w:t xml:space="preserve">nevede spis auditora podle § </w:t>
      </w:r>
      <w:r w:rsidR="003B71E2" w:rsidRPr="002003EB">
        <w:rPr>
          <w:strike/>
        </w:rPr>
        <w:t>20a</w:t>
      </w:r>
      <w:r w:rsidR="003B71E2">
        <w:t xml:space="preserve"> </w:t>
      </w:r>
      <w:r w:rsidR="003B71E2" w:rsidRPr="002003EB">
        <w:rPr>
          <w:b/>
          <w:bCs/>
        </w:rPr>
        <w:t>14ha</w:t>
      </w:r>
      <w:r w:rsidR="003B71E2">
        <w:t xml:space="preserve"> odst. 1 až 3.</w:t>
      </w:r>
    </w:p>
    <w:p w14:paraId="2DECB3B9" w14:textId="4DAD15E7" w:rsidR="003B71E2" w:rsidRPr="00D743D4" w:rsidRDefault="00383902" w:rsidP="00607B4B">
      <w:pPr>
        <w:pStyle w:val="PZTextodstavce"/>
        <w:tabs>
          <w:tab w:val="clear" w:pos="782"/>
        </w:tabs>
      </w:pPr>
      <w:r>
        <w:t>(4</w:t>
      </w:r>
      <w:r w:rsidR="00C97A32">
        <w:t xml:space="preserve">) </w:t>
      </w:r>
      <w:r w:rsidR="003B71E2" w:rsidRPr="00D743D4">
        <w:t>Auditorská společnost se dopustí přestupku tím, že v rozporu s přímo použitelným předpisem Evropské unie upravujícím specifické požadavky na povinný audit subjektů veřejného zájmu nestanoví postup pro určení způsobu řešení neshody mezi klíčovým auditorským partnerem a osobou provádějící přezkum řízení kvality auditorské zakázky.</w:t>
      </w:r>
    </w:p>
    <w:p w14:paraId="6CB77CBF" w14:textId="00B7B3B7" w:rsidR="003B71E2" w:rsidRPr="00D743D4" w:rsidRDefault="00383902" w:rsidP="00607B4B">
      <w:pPr>
        <w:pStyle w:val="PZTextodstavce"/>
        <w:tabs>
          <w:tab w:val="clear" w:pos="782"/>
        </w:tabs>
      </w:pPr>
      <w:r>
        <w:t>(5</w:t>
      </w:r>
      <w:r w:rsidR="00C97A32">
        <w:t xml:space="preserve">) </w:t>
      </w:r>
      <w:r w:rsidR="003B71E2" w:rsidRPr="00D743D4">
        <w:t xml:space="preserve">Právnická nebo fyzická podnikající osoba se jako </w:t>
      </w:r>
      <w:r w:rsidR="003B71E2" w:rsidRPr="00096894">
        <w:t>člen sítě</w:t>
      </w:r>
      <w:r w:rsidR="003B71E2" w:rsidRPr="00D743D4">
        <w:t>, do níž náleží auditor provádějící povinný audit subjektu veřejného zájmu, dopustí přestupku tím, že v rozporu s přímo použitelným předpisem Evropské unie upravujícím specifické požadavky na povinný audit subjektů veřejného zájmu</w:t>
      </w:r>
    </w:p>
    <w:p w14:paraId="5639A299" w14:textId="46167E50" w:rsidR="003B71E2" w:rsidRPr="00793F53" w:rsidRDefault="00607B4B" w:rsidP="00607B4B">
      <w:pPr>
        <w:pStyle w:val="PZTextpsmene"/>
        <w:spacing w:before="0"/>
      </w:pPr>
      <w:r>
        <w:t>a)</w:t>
      </w:r>
      <w:r>
        <w:tab/>
      </w:r>
      <w:r w:rsidR="003B71E2">
        <w:t xml:space="preserve">poskytne subjektu veřejného zájmu, jeho mateřské obchodní korporaci nebo jeho dceřiné obchodní korporaci, </w:t>
      </w:r>
      <w:proofErr w:type="spellStart"/>
      <w:r w:rsidR="003B71E2">
        <w:t>neauditorské</w:t>
      </w:r>
      <w:proofErr w:type="spellEnd"/>
      <w:r w:rsidR="003B71E2">
        <w:t xml:space="preserve"> služby uvedené v čl. 5 odst. 1 druhý pododstavec písm. a) bod </w:t>
      </w:r>
      <w:proofErr w:type="spellStart"/>
      <w:r w:rsidR="003B71E2">
        <w:t>ii</w:t>
      </w:r>
      <w:proofErr w:type="spellEnd"/>
      <w:r w:rsidR="003B71E2">
        <w:t xml:space="preserve">) a </w:t>
      </w:r>
      <w:proofErr w:type="spellStart"/>
      <w:r w:rsidR="003B71E2">
        <w:t>iii</w:t>
      </w:r>
      <w:proofErr w:type="spellEnd"/>
      <w:r w:rsidR="003B71E2">
        <w:t>), písm. b) až e) nebo písm. g) až k), nebo</w:t>
      </w:r>
    </w:p>
    <w:p w14:paraId="7C1FA11E" w14:textId="3901CB9D" w:rsidR="003B71E2" w:rsidRPr="00E135E9" w:rsidRDefault="00607B4B" w:rsidP="00607B4B">
      <w:pPr>
        <w:pStyle w:val="PZTextpsmene"/>
        <w:spacing w:before="0"/>
      </w:pPr>
      <w:r>
        <w:t>b)</w:t>
      </w:r>
      <w:r>
        <w:tab/>
      </w:r>
      <w:r w:rsidR="003B71E2">
        <w:t xml:space="preserve">poskytne subjektu veřejného zájmu, jeho mateřské obchodní korporaci nebo jeho dceřiné </w:t>
      </w:r>
      <w:r w:rsidR="003B71E2" w:rsidRPr="00E135E9">
        <w:t xml:space="preserve">obchodní korporaci, </w:t>
      </w:r>
      <w:proofErr w:type="spellStart"/>
      <w:r w:rsidR="003B71E2" w:rsidRPr="00E135E9">
        <w:t>neauditorské</w:t>
      </w:r>
      <w:proofErr w:type="spellEnd"/>
      <w:r w:rsidR="003B71E2" w:rsidRPr="00E135E9">
        <w:t xml:space="preserve"> služby neuvedené v čl. 5 odst. 1 bez schválení výborem pro audit podle čl. 5 odst. 4.</w:t>
      </w:r>
    </w:p>
    <w:p w14:paraId="6474FE6C" w14:textId="67C928AD" w:rsidR="003B71E2" w:rsidRPr="00E135E9" w:rsidRDefault="00D0292F" w:rsidP="00D0292F">
      <w:pPr>
        <w:pStyle w:val="PZTextodstavce"/>
        <w:tabs>
          <w:tab w:val="clear" w:pos="782"/>
        </w:tabs>
        <w:spacing w:before="240"/>
        <w:rPr>
          <w:bCs/>
        </w:rPr>
      </w:pPr>
      <w:r>
        <w:rPr>
          <w:bCs/>
        </w:rPr>
        <w:t xml:space="preserve">(6) </w:t>
      </w:r>
      <w:r w:rsidR="003B71E2" w:rsidRPr="00E135E9">
        <w:rPr>
          <w:bCs/>
        </w:rPr>
        <w:t>Právnická nebo fyzická podnikající osoba se jako osoba v síti, do níž náleží auditor provádějící ověření zprávy o udržitelnosti subjektu veřejného zájmu, dopustí přestupku tím, že</w:t>
      </w:r>
    </w:p>
    <w:p w14:paraId="77515F41" w14:textId="2FC051BF" w:rsidR="003B71E2" w:rsidRPr="00E135E9" w:rsidRDefault="00607B4B" w:rsidP="00607B4B">
      <w:pPr>
        <w:pStyle w:val="PZTextpsmene"/>
        <w:spacing w:before="0"/>
      </w:pPr>
      <w:r>
        <w:lastRenderedPageBreak/>
        <w:t>a)</w:t>
      </w:r>
      <w:r>
        <w:tab/>
      </w:r>
      <w:r w:rsidR="003B71E2" w:rsidRPr="00E135E9">
        <w:t>v rozporu s § 43ba odst. 2 poskytne subjektu veřejného zájmu, jeho mateřské obchodní korporaci</w:t>
      </w:r>
      <w:r w:rsidR="003B71E2" w:rsidRPr="002003EB">
        <w:rPr>
          <w:vertAlign w:val="superscript"/>
        </w:rPr>
        <w:t>25)</w:t>
      </w:r>
      <w:r w:rsidR="003B71E2" w:rsidRPr="00E135E9">
        <w:t xml:space="preserve"> se sídlem v České republice a jeho dceřiné obchodní korporaci</w:t>
      </w:r>
      <w:r w:rsidR="003B71E2" w:rsidRPr="002003EB">
        <w:rPr>
          <w:vertAlign w:val="superscript"/>
        </w:rPr>
        <w:t>25)</w:t>
      </w:r>
      <w:r w:rsidR="003B71E2" w:rsidRPr="00E135E9">
        <w:t xml:space="preserve"> se sídlem v České republice </w:t>
      </w:r>
      <w:proofErr w:type="spellStart"/>
      <w:r w:rsidR="003B71E2" w:rsidRPr="00E135E9">
        <w:t>neauditorské</w:t>
      </w:r>
      <w:proofErr w:type="spellEnd"/>
      <w:r w:rsidR="003B71E2" w:rsidRPr="00E135E9">
        <w:t xml:space="preserve"> služby uvedené v čl. 5 odst. 1 druhém pododstavci písm. b), c) a e) až k) nařízení Evropského parlamentu a Rady (EU) č. 537/2014, nebo</w:t>
      </w:r>
    </w:p>
    <w:p w14:paraId="07C041A5" w14:textId="10F21C05" w:rsidR="003B71E2" w:rsidRPr="002003EB" w:rsidRDefault="00607B4B" w:rsidP="00607B4B">
      <w:pPr>
        <w:pStyle w:val="PZTextpsmene"/>
        <w:spacing w:before="0"/>
        <w:rPr>
          <w:b/>
          <w:bCs/>
        </w:rPr>
      </w:pPr>
      <w:r>
        <w:t>b)</w:t>
      </w:r>
      <w:r>
        <w:tab/>
      </w:r>
      <w:r w:rsidR="003B71E2" w:rsidRPr="00E135E9">
        <w:t>v rozporu s § 43ba odst. 4 poskytne subjektu veřejného zájmu, jeho mateřské obchodní korporaci</w:t>
      </w:r>
      <w:r w:rsidR="003B71E2" w:rsidRPr="002003EB">
        <w:rPr>
          <w:vertAlign w:val="superscript"/>
        </w:rPr>
        <w:t>25)</w:t>
      </w:r>
      <w:r w:rsidR="003B71E2" w:rsidRPr="00E135E9">
        <w:t xml:space="preserve"> se sídlem v České republice a jeho dceřiné obchodní korporaci</w:t>
      </w:r>
      <w:r w:rsidR="003B71E2" w:rsidRPr="002003EB">
        <w:rPr>
          <w:vertAlign w:val="superscript"/>
        </w:rPr>
        <w:t>25)</w:t>
      </w:r>
      <w:r w:rsidR="003B71E2" w:rsidRPr="00E135E9">
        <w:t xml:space="preserve"> se sídlem v České republice jiné </w:t>
      </w:r>
      <w:proofErr w:type="spellStart"/>
      <w:r w:rsidR="003B71E2" w:rsidRPr="00E135E9">
        <w:t>neauditorské</w:t>
      </w:r>
      <w:proofErr w:type="spellEnd"/>
      <w:r w:rsidR="003B71E2" w:rsidRPr="00E135E9">
        <w:t xml:space="preserve"> služby neuvedené v § 43ba odst. 1 nebo </w:t>
      </w:r>
      <w:proofErr w:type="spellStart"/>
      <w:r w:rsidR="003B71E2" w:rsidRPr="00E135E9">
        <w:t>neauditorské</w:t>
      </w:r>
      <w:proofErr w:type="spellEnd"/>
      <w:r w:rsidR="003B71E2" w:rsidRPr="00E135E9">
        <w:t xml:space="preserve"> služby uvedené v čl. 5 odst. 1 druhém pododstavci nařízení Evropského parlamentu a Rady (EU) č. 537/2014.</w:t>
      </w:r>
    </w:p>
    <w:p w14:paraId="75A30252" w14:textId="19B129D7" w:rsidR="003B71E2" w:rsidRPr="00E135E9" w:rsidRDefault="00326551" w:rsidP="00607B4B">
      <w:pPr>
        <w:pStyle w:val="PZTextodstavce"/>
        <w:tabs>
          <w:tab w:val="clear" w:pos="782"/>
        </w:tabs>
        <w:rPr>
          <w:bCs/>
        </w:rPr>
      </w:pPr>
      <w:r>
        <w:rPr>
          <w:bCs/>
        </w:rPr>
        <w:t xml:space="preserve">(7) </w:t>
      </w:r>
      <w:r w:rsidR="003B71E2" w:rsidRPr="00E135E9">
        <w:rPr>
          <w:bCs/>
        </w:rPr>
        <w:t>Účetní jednotka se dopustí přestupku tím, že v rozporu s § 17a odst. 5 nebo 6 neoznámí výpověď závazku ze smlouvy o povinném auditu, výpověď závazku ze smlouvy o ověření zprávy o udržitelnosti, odstoupení od smlouvy o povinném auditu nebo odstoupení od smlouvy o ověření zprávy o udržitelnosti Radě.</w:t>
      </w:r>
    </w:p>
    <w:p w14:paraId="099D0A84" w14:textId="6EBC96E3" w:rsidR="003B71E2" w:rsidRPr="00E135E9" w:rsidRDefault="00326551" w:rsidP="00607B4B">
      <w:pPr>
        <w:tabs>
          <w:tab w:val="left" w:pos="425"/>
          <w:tab w:val="left" w:pos="851"/>
        </w:tabs>
        <w:spacing w:before="120" w:after="120"/>
        <w:ind w:firstLine="426"/>
      </w:pPr>
      <w:r>
        <w:t xml:space="preserve">(8) </w:t>
      </w:r>
      <w:r w:rsidR="003B71E2" w:rsidRPr="00E135E9">
        <w:t>Za přestupek lze uložit pokutu do</w:t>
      </w:r>
    </w:p>
    <w:p w14:paraId="68A90DD7" w14:textId="66FD67BF" w:rsidR="003B71E2" w:rsidRPr="00E135E9" w:rsidRDefault="00607B4B" w:rsidP="00607B4B">
      <w:pPr>
        <w:pStyle w:val="PZTextpsmene"/>
        <w:spacing w:before="0"/>
      </w:pPr>
      <w:r>
        <w:t>a)</w:t>
      </w:r>
      <w:r>
        <w:tab/>
      </w:r>
      <w:r w:rsidR="003B71E2" w:rsidRPr="00E135E9">
        <w:t>1 000 000 Kč, jde-li o přestupek podle odstavce 1 písm. b), c), d) nebo e), odstavce 2 písm. a), c), e), f), g), h), j), k), l), m), n), o), p), q) nebo r), odstavce 3 písm. d) nebo odstavce 4 nebo 7,</w:t>
      </w:r>
    </w:p>
    <w:p w14:paraId="3884F189" w14:textId="49C6AFC1" w:rsidR="003B71E2" w:rsidRPr="00E135E9" w:rsidRDefault="00607B4B" w:rsidP="00607B4B">
      <w:pPr>
        <w:pStyle w:val="PZTextpsmene"/>
        <w:spacing w:before="0"/>
      </w:pPr>
      <w:r>
        <w:t>b)</w:t>
      </w:r>
      <w:r>
        <w:tab/>
      </w:r>
      <w:r w:rsidR="003B71E2" w:rsidRPr="00E135E9">
        <w:t>5 000 000 Kč, jde-li o přestupek podle odstavce 2 písm. i) nebo odstavce 3 písm. a), b) nebo c),</w:t>
      </w:r>
    </w:p>
    <w:p w14:paraId="5F32D4FB" w14:textId="0FD083D4" w:rsidR="003B71E2" w:rsidRPr="00607B4B" w:rsidRDefault="00607B4B" w:rsidP="00607B4B">
      <w:pPr>
        <w:pStyle w:val="PZTextpsmene"/>
        <w:spacing w:before="0"/>
      </w:pPr>
      <w:r>
        <w:t>c)</w:t>
      </w:r>
      <w:r>
        <w:tab/>
      </w:r>
      <w:r w:rsidR="003B71E2" w:rsidRPr="00607B4B">
        <w:t>10 000 000 Kč, jde-li o přestupek podle odstavce 1 písm. a), f), g), h), i) nebo j), odstavce 2 písm. b) nebo d) nebo odstavce 5 nebo 6.</w:t>
      </w:r>
    </w:p>
    <w:p w14:paraId="3C219493" w14:textId="7BB77E67" w:rsidR="003B71E2" w:rsidRPr="00D743D4" w:rsidRDefault="00326551" w:rsidP="00326551">
      <w:pPr>
        <w:tabs>
          <w:tab w:val="left" w:pos="425"/>
          <w:tab w:val="left" w:pos="851"/>
        </w:tabs>
        <w:spacing w:after="120"/>
      </w:pPr>
      <w:r>
        <w:t xml:space="preserve">(9) </w:t>
      </w:r>
      <w:r w:rsidR="003B71E2" w:rsidRPr="00E135E9">
        <w:t xml:space="preserve">Za </w:t>
      </w:r>
      <w:r w:rsidR="003B71E2" w:rsidRPr="00326551">
        <w:rPr>
          <w:strike/>
        </w:rPr>
        <w:t xml:space="preserve">správní delikt </w:t>
      </w:r>
      <w:r w:rsidR="003B71E2" w:rsidRPr="00326551">
        <w:rPr>
          <w:b/>
        </w:rPr>
        <w:t>přestupek</w:t>
      </w:r>
      <w:r w:rsidR="003B71E2" w:rsidRPr="00E135E9">
        <w:t xml:space="preserve"> uvedený v odstavci 1, 2, 3 nebo 4 lze uložit zveřejnění rozhodnutí o přestupku nebo zákaz činnosti nejdéle </w:t>
      </w:r>
      <w:r w:rsidR="003B71E2" w:rsidRPr="00D743D4">
        <w:t>na dobu 5 let, nejde-li o zákaz činnosti spočívající ve výkonu funkce člena řídicího orgánu auditorské společnosti, který lze uložit nejdéle na dobu 3 let.</w:t>
      </w:r>
    </w:p>
    <w:p w14:paraId="219DE952" w14:textId="5BC0C8BF" w:rsidR="00C85CEA" w:rsidRDefault="00C85CEA" w:rsidP="00992796">
      <w:pPr>
        <w:pStyle w:val="Paragraf"/>
        <w:numPr>
          <w:ilvl w:val="0"/>
          <w:numId w:val="58"/>
        </w:numPr>
        <w:spacing w:after="120"/>
        <w:rPr>
          <w:color w:val="000000" w:themeColor="text1"/>
          <w:szCs w:val="24"/>
        </w:rPr>
      </w:pPr>
      <w:r>
        <w:rPr>
          <w:color w:val="000000" w:themeColor="text1"/>
          <w:szCs w:val="24"/>
        </w:rPr>
        <w:t>***</w:t>
      </w:r>
    </w:p>
    <w:p w14:paraId="6F4D9AC0" w14:textId="4F7A4B0C" w:rsidR="003B71E2" w:rsidRDefault="003B71E2" w:rsidP="00992796">
      <w:pPr>
        <w:pStyle w:val="Paragraf"/>
        <w:numPr>
          <w:ilvl w:val="0"/>
          <w:numId w:val="58"/>
        </w:numPr>
        <w:spacing w:after="120"/>
        <w:rPr>
          <w:color w:val="000000" w:themeColor="text1"/>
          <w:szCs w:val="24"/>
        </w:rPr>
      </w:pPr>
      <w:r w:rsidRPr="54FB3FA8">
        <w:rPr>
          <w:color w:val="000000" w:themeColor="text1"/>
          <w:szCs w:val="24"/>
        </w:rPr>
        <w:t>§ 49f</w:t>
      </w:r>
    </w:p>
    <w:p w14:paraId="0F369F4E" w14:textId="77777777" w:rsidR="003B71E2" w:rsidRDefault="003B71E2" w:rsidP="00992796">
      <w:pPr>
        <w:pStyle w:val="Nadpisparagrafu"/>
        <w:numPr>
          <w:ilvl w:val="0"/>
          <w:numId w:val="58"/>
        </w:numPr>
        <w:spacing w:after="120"/>
        <w:rPr>
          <w:bCs/>
          <w:color w:val="000000" w:themeColor="text1"/>
          <w:szCs w:val="24"/>
        </w:rPr>
      </w:pPr>
      <w:r w:rsidRPr="54FB3FA8">
        <w:rPr>
          <w:bCs/>
          <w:color w:val="000000" w:themeColor="text1"/>
          <w:szCs w:val="24"/>
        </w:rPr>
        <w:t>Zveřejnění rozhodnutí o přestupku</w:t>
      </w:r>
    </w:p>
    <w:p w14:paraId="3A7FD8F2" w14:textId="28D9CB3B" w:rsidR="00C85CEA" w:rsidRPr="002C0FE5" w:rsidRDefault="003B71E2" w:rsidP="00607B4B">
      <w:pPr>
        <w:pStyle w:val="Textodstavce"/>
        <w:numPr>
          <w:ilvl w:val="6"/>
          <w:numId w:val="58"/>
        </w:numPr>
        <w:tabs>
          <w:tab w:val="clear" w:pos="851"/>
        </w:tabs>
        <w:ind w:firstLine="425"/>
        <w:rPr>
          <w:color w:val="000000" w:themeColor="text1"/>
        </w:rPr>
      </w:pPr>
      <w:r w:rsidRPr="3FCA4F1D">
        <w:rPr>
          <w:color w:val="000000" w:themeColor="text1"/>
        </w:rPr>
        <w:t>(1) Rada ve spolupráci s Komorou zajistí, aby po nabytí právní moci rozhodnutí bylo v rejstříku bez zbytečného odkladu zveřejněno rozhodnutí o přestupku</w:t>
      </w:r>
      <w:r w:rsidRPr="00C85CEA">
        <w:rPr>
          <w:b/>
          <w:bCs/>
          <w:color w:val="000000" w:themeColor="text1"/>
        </w:rPr>
        <w:t>; toto zveřejnění Rada ve stejném rozsahu a po stejnou dobu přebírá i na své internetové stránky</w:t>
      </w:r>
      <w:r w:rsidRPr="3FCA4F1D">
        <w:rPr>
          <w:color w:val="000000" w:themeColor="text1"/>
        </w:rPr>
        <w:t>. Zveřejňuje se výroková část rozhodnutí o přestupku.</w:t>
      </w:r>
    </w:p>
    <w:p w14:paraId="0F8B3471" w14:textId="0DE237B5" w:rsidR="003B71E2" w:rsidRDefault="003B71E2" w:rsidP="00607B4B">
      <w:pPr>
        <w:pStyle w:val="Textodstavce"/>
        <w:numPr>
          <w:ilvl w:val="6"/>
          <w:numId w:val="58"/>
        </w:numPr>
        <w:tabs>
          <w:tab w:val="clear" w:pos="851"/>
        </w:tabs>
        <w:ind w:firstLine="425"/>
        <w:rPr>
          <w:color w:val="000000" w:themeColor="text1"/>
          <w:szCs w:val="24"/>
        </w:rPr>
      </w:pPr>
      <w:r w:rsidRPr="54FB3FA8">
        <w:rPr>
          <w:color w:val="000000" w:themeColor="text1"/>
          <w:szCs w:val="24"/>
        </w:rPr>
        <w:t>(2) Odchylně od odstavce 1 lze postupovat v případě, pokud by zveřejnění rozhodnutí o přestupku ohrozilo stabilitu finančních trhů, probíhající trestní řízení vedené proti auditorovi, nebo způsobilo účastníkům řízení nepřiměřené škody. Má-li Rada pochybnosti o možném ohrožení stability finančních trhů, může si vyžádat stanovisko České národní banky; přílohou žádosti je kopie rozhodnutí o přestupku.</w:t>
      </w:r>
    </w:p>
    <w:p w14:paraId="6A6780FB" w14:textId="77777777" w:rsidR="003B71E2" w:rsidRDefault="003B71E2" w:rsidP="00607B4B">
      <w:pPr>
        <w:pStyle w:val="Textodstavce"/>
        <w:numPr>
          <w:ilvl w:val="6"/>
          <w:numId w:val="58"/>
        </w:numPr>
        <w:tabs>
          <w:tab w:val="clear" w:pos="851"/>
        </w:tabs>
        <w:ind w:firstLine="425"/>
        <w:rPr>
          <w:color w:val="000000" w:themeColor="text1"/>
          <w:szCs w:val="24"/>
        </w:rPr>
      </w:pPr>
      <w:r w:rsidRPr="54FB3FA8">
        <w:rPr>
          <w:color w:val="000000" w:themeColor="text1"/>
          <w:szCs w:val="24"/>
        </w:rPr>
        <w:t>(3) Rada nezajistí zveřejnění rozhodnutí o přestupku statutárního auditora v rejstříku, pokud by zveřejnění osobních údajů bylo nepřiměřené vzhledem k povaze a závažnosti přestupku.</w:t>
      </w:r>
    </w:p>
    <w:p w14:paraId="1FCC044A" w14:textId="77777777" w:rsidR="003B71E2" w:rsidRDefault="003B71E2" w:rsidP="00607B4B">
      <w:pPr>
        <w:pStyle w:val="Textodstavce"/>
        <w:numPr>
          <w:ilvl w:val="6"/>
          <w:numId w:val="58"/>
        </w:numPr>
        <w:tabs>
          <w:tab w:val="clear" w:pos="851"/>
        </w:tabs>
        <w:ind w:firstLine="425"/>
        <w:rPr>
          <w:color w:val="000000" w:themeColor="text1"/>
          <w:szCs w:val="24"/>
        </w:rPr>
      </w:pPr>
      <w:r w:rsidRPr="54FB3FA8">
        <w:rPr>
          <w:color w:val="000000" w:themeColor="text1"/>
          <w:szCs w:val="24"/>
        </w:rPr>
        <w:t>(4) V případě postupu podle odstavce 2 nebo 3 Rada zveřejní rozhodnutí o přestupku bez uvedení údajů umožňujících identifikaci auditora, o jehož přestupku bylo rozhodnuto, bezodkladně poté, kdy rozhodnutí nabylo právní moci.</w:t>
      </w:r>
    </w:p>
    <w:p w14:paraId="70CD3BF5" w14:textId="77777777" w:rsidR="003B71E2" w:rsidRDefault="003B71E2" w:rsidP="00607B4B">
      <w:pPr>
        <w:pStyle w:val="Textodstavce"/>
        <w:numPr>
          <w:ilvl w:val="6"/>
          <w:numId w:val="58"/>
        </w:numPr>
        <w:tabs>
          <w:tab w:val="clear" w:pos="851"/>
        </w:tabs>
        <w:ind w:firstLine="425"/>
        <w:rPr>
          <w:color w:val="000000" w:themeColor="text1"/>
          <w:szCs w:val="24"/>
        </w:rPr>
      </w:pPr>
      <w:r w:rsidRPr="54FB3FA8">
        <w:rPr>
          <w:color w:val="000000" w:themeColor="text1"/>
          <w:szCs w:val="24"/>
        </w:rPr>
        <w:lastRenderedPageBreak/>
        <w:t>(5) Je-li proti rozhodnutí o přestupku podána žaloba, zveřejní Rada tuto skutečnost na svých internetových stránkách. Rada zveřejní stejným způsobem i informaci o výsledku soudního přezkumu.</w:t>
      </w:r>
    </w:p>
    <w:p w14:paraId="0C82253C" w14:textId="4E468225" w:rsidR="003B71E2" w:rsidRDefault="002C0FE5" w:rsidP="00607B4B">
      <w:pPr>
        <w:pStyle w:val="Odstavecseseznamem"/>
        <w:numPr>
          <w:ilvl w:val="0"/>
          <w:numId w:val="58"/>
        </w:numPr>
        <w:tabs>
          <w:tab w:val="left" w:pos="425"/>
          <w:tab w:val="left" w:pos="851"/>
        </w:tabs>
        <w:spacing w:before="120" w:after="120"/>
        <w:ind w:firstLine="425"/>
        <w:contextualSpacing w:val="0"/>
      </w:pPr>
      <w:r>
        <w:rPr>
          <w:color w:val="000000" w:themeColor="text1"/>
          <w:szCs w:val="24"/>
        </w:rPr>
        <w:t xml:space="preserve">(6) </w:t>
      </w:r>
      <w:r w:rsidR="003B71E2" w:rsidRPr="002003EB">
        <w:rPr>
          <w:color w:val="000000" w:themeColor="text1"/>
          <w:szCs w:val="24"/>
        </w:rPr>
        <w:t>Obsahem zveřejněného rozhodnutí o přestupku nesmějí být údaje umožňující identifikaci jiné osoby než auditora, o jehož přestupku bylo rozhodnuto.</w:t>
      </w:r>
    </w:p>
    <w:p w14:paraId="65FE06CE" w14:textId="18A7A602" w:rsidR="002C0FE5" w:rsidRPr="002C0FE5" w:rsidRDefault="002C0FE5" w:rsidP="00992796">
      <w:pPr>
        <w:pStyle w:val="Paragraf"/>
        <w:numPr>
          <w:ilvl w:val="0"/>
          <w:numId w:val="58"/>
        </w:numPr>
        <w:tabs>
          <w:tab w:val="left" w:pos="425"/>
          <w:tab w:val="left" w:pos="851"/>
        </w:tabs>
        <w:spacing w:after="120"/>
        <w:rPr>
          <w:b/>
        </w:rPr>
      </w:pPr>
      <w:r>
        <w:rPr>
          <w:b/>
        </w:rPr>
        <w:t>***</w:t>
      </w:r>
    </w:p>
    <w:p w14:paraId="77DB32C1" w14:textId="321B8D07" w:rsidR="003B71E2" w:rsidRDefault="003B71E2" w:rsidP="00992796">
      <w:pPr>
        <w:pStyle w:val="Paragraf"/>
        <w:numPr>
          <w:ilvl w:val="0"/>
          <w:numId w:val="58"/>
        </w:numPr>
        <w:tabs>
          <w:tab w:val="left" w:pos="425"/>
          <w:tab w:val="left" w:pos="851"/>
        </w:tabs>
        <w:spacing w:after="120"/>
        <w:rPr>
          <w:b/>
        </w:rPr>
      </w:pPr>
      <w:r>
        <w:t>§ 50</w:t>
      </w:r>
    </w:p>
    <w:p w14:paraId="2F370CA7" w14:textId="77777777" w:rsidR="003B71E2" w:rsidRDefault="003B71E2" w:rsidP="00992796">
      <w:pPr>
        <w:pStyle w:val="Nadpisparagrafu"/>
        <w:numPr>
          <w:ilvl w:val="0"/>
          <w:numId w:val="58"/>
        </w:numPr>
        <w:tabs>
          <w:tab w:val="left" w:pos="425"/>
          <w:tab w:val="left" w:pos="851"/>
        </w:tabs>
        <w:spacing w:after="120"/>
      </w:pPr>
      <w:r>
        <w:t>Vztah k jiným právním předpisům</w:t>
      </w:r>
    </w:p>
    <w:p w14:paraId="6DED23EE" w14:textId="5A682F68" w:rsidR="003B71E2" w:rsidRDefault="002C0FE5" w:rsidP="00607B4B">
      <w:pPr>
        <w:pStyle w:val="PZTextodstavce"/>
        <w:tabs>
          <w:tab w:val="left" w:pos="425"/>
        </w:tabs>
      </w:pPr>
      <w:r>
        <w:t xml:space="preserve">(1) </w:t>
      </w:r>
      <w:r w:rsidR="003B71E2">
        <w:t xml:space="preserve">Na kárné provinění a porušení povinnosti podle § 25a se obdobně použijí ustanovení zákona upravujícího odpovědnost za přestupky a řízení o nich. </w:t>
      </w:r>
    </w:p>
    <w:p w14:paraId="3D884351" w14:textId="2AA1D844" w:rsidR="003B71E2" w:rsidRDefault="002C0FE5" w:rsidP="00607B4B">
      <w:pPr>
        <w:pStyle w:val="PZTextodstavce"/>
        <w:tabs>
          <w:tab w:val="left" w:pos="425"/>
        </w:tabs>
      </w:pPr>
      <w:r>
        <w:t xml:space="preserve">(2) </w:t>
      </w:r>
      <w:r w:rsidR="003B71E2">
        <w:t>Požadavky na oprávněnou úřední osobu podle zákona upravujícího odpovědnost za přestupky a řízení o nich se nepoužijí na člena kárné komise, člena disciplinárního výboru, pokud není jeho předsedou, a člena Prezidia.</w:t>
      </w:r>
    </w:p>
    <w:p w14:paraId="2F8B5CF5" w14:textId="17C4AADD" w:rsidR="003B71E2" w:rsidRDefault="002C0FE5" w:rsidP="00607B4B">
      <w:pPr>
        <w:pStyle w:val="PZTextodstavce"/>
        <w:tabs>
          <w:tab w:val="left" w:pos="425"/>
        </w:tabs>
      </w:pPr>
      <w:r>
        <w:t xml:space="preserve">(3) </w:t>
      </w:r>
      <w:r w:rsidR="003B71E2">
        <w:t>Plní-li auditor v souvislosti s auditorskou činností u účetní jednotky povinnosti požadované zákonem o některých opatřeních proti legalizaci výnosů z trestné činnosti a financování terorismu, nepovažuje se toto plnění povinností za auditorskou činnost.</w:t>
      </w:r>
    </w:p>
    <w:p w14:paraId="1079F760" w14:textId="749B76C1" w:rsidR="003B71E2" w:rsidRDefault="002C0FE5" w:rsidP="00607B4B">
      <w:pPr>
        <w:pStyle w:val="PZTextodstavce"/>
        <w:tabs>
          <w:tab w:val="left" w:pos="425"/>
        </w:tabs>
      </w:pPr>
      <w:r>
        <w:t xml:space="preserve">(4) </w:t>
      </w:r>
      <w:r w:rsidR="003B71E2">
        <w:t>Oznámení podle zákona o ochraně oznamovatelů o porušení povinnosti podle tohoto zákona, jiného právního předpisu upravujícího výkon auditorské činnosti, přímo použitelného předpisu Evropské unie upravujícího specifické požadavky na povinný audit subjektů veřejného zájmu, etického kodexu, vnitřních předpisů Komory nebo auditorských standardů podle § 18 nelze podat Ministerstvu spravedlnosti.</w:t>
      </w:r>
    </w:p>
    <w:p w14:paraId="3213E595" w14:textId="31F12E86" w:rsidR="003B71E2" w:rsidRDefault="002C0FE5" w:rsidP="00607B4B">
      <w:pPr>
        <w:pStyle w:val="PZTextodstavce"/>
        <w:tabs>
          <w:tab w:val="left" w:pos="425"/>
        </w:tabs>
        <w:rPr>
          <w:b/>
          <w:color w:val="000000" w:themeColor="text1"/>
          <w:szCs w:val="24"/>
        </w:rPr>
      </w:pPr>
      <w:r>
        <w:rPr>
          <w:b/>
          <w:bCs/>
          <w:color w:val="000000" w:themeColor="text1"/>
          <w:szCs w:val="24"/>
        </w:rPr>
        <w:t xml:space="preserve">(5) </w:t>
      </w:r>
      <w:r w:rsidR="003B71E2" w:rsidRPr="54FB3FA8">
        <w:rPr>
          <w:b/>
          <w:bCs/>
          <w:color w:val="000000" w:themeColor="text1"/>
          <w:szCs w:val="24"/>
        </w:rPr>
        <w:t>Pokuta uložená Komorou v řízení o přestupku podle zákona o kontrole při provádění kontroly kvality je příjmem rozpočtu Komory.</w:t>
      </w:r>
    </w:p>
    <w:p w14:paraId="1EA8572D" w14:textId="3B753644" w:rsidR="009C37A5" w:rsidRPr="006660C2" w:rsidRDefault="002C0FE5" w:rsidP="00607B4B">
      <w:pPr>
        <w:pStyle w:val="PZTextodstavce"/>
        <w:tabs>
          <w:tab w:val="left" w:pos="425"/>
        </w:tabs>
        <w:rPr>
          <w:b/>
          <w:bCs/>
        </w:rPr>
        <w:sectPr w:rsidR="009C37A5" w:rsidRPr="006660C2" w:rsidSect="00D456BF">
          <w:footnotePr>
            <w:numStart w:val="3"/>
          </w:footnotePr>
          <w:endnotePr>
            <w:numFmt w:val="decimal"/>
          </w:endnotePr>
          <w:pgSz w:w="11906" w:h="16838"/>
          <w:pgMar w:top="1418" w:right="1418" w:bottom="1418" w:left="1418" w:header="709" w:footer="709" w:gutter="0"/>
          <w:cols w:space="708"/>
          <w:docGrid w:linePitch="360"/>
        </w:sectPr>
      </w:pPr>
      <w:r>
        <w:rPr>
          <w:b/>
          <w:bCs/>
        </w:rPr>
        <w:t xml:space="preserve">(6) </w:t>
      </w:r>
      <w:r w:rsidR="003B71E2" w:rsidRPr="5EDC5612">
        <w:rPr>
          <w:b/>
          <w:bCs/>
        </w:rPr>
        <w:t xml:space="preserve">Pokud tento zákon stanoví práva a povinnosti účetní jednotce, která nemá právní osobnost, vykonává tato práva a povinnosti ten, kdo ji zastupuje.  </w:t>
      </w:r>
    </w:p>
    <w:p w14:paraId="7B48D096" w14:textId="5FC3DFD1" w:rsidR="000D2511" w:rsidRPr="00A679B4" w:rsidRDefault="000D2511" w:rsidP="00607B4B">
      <w:pPr>
        <w:tabs>
          <w:tab w:val="left" w:pos="851"/>
        </w:tabs>
        <w:spacing w:before="120" w:after="120"/>
        <w:ind w:firstLine="0"/>
        <w:jc w:val="center"/>
        <w:outlineLvl w:val="0"/>
        <w:rPr>
          <w:szCs w:val="24"/>
        </w:rPr>
      </w:pPr>
      <w:r w:rsidRPr="00A679B4">
        <w:rPr>
          <w:b/>
          <w:szCs w:val="24"/>
        </w:rPr>
        <w:lastRenderedPageBreak/>
        <w:t xml:space="preserve">K části sté </w:t>
      </w:r>
      <w:r w:rsidR="0023635E" w:rsidRPr="00A679B4">
        <w:rPr>
          <w:b/>
          <w:szCs w:val="24"/>
        </w:rPr>
        <w:t xml:space="preserve">první </w:t>
      </w:r>
      <w:r w:rsidRPr="00A679B4">
        <w:rPr>
          <w:b/>
          <w:szCs w:val="24"/>
        </w:rPr>
        <w:t xml:space="preserve">návrhu zákona – </w:t>
      </w:r>
      <w:r w:rsidRPr="00A679B4">
        <w:rPr>
          <w:szCs w:val="24"/>
        </w:rPr>
        <w:t>změna zákona o pojišťovnictví</w:t>
      </w:r>
    </w:p>
    <w:p w14:paraId="7552E97B" w14:textId="7122059B" w:rsidR="000D2511" w:rsidRPr="00A679B4" w:rsidRDefault="000D2511" w:rsidP="000D2511">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A679B4">
        <w:rPr>
          <w:b/>
          <w:szCs w:val="24"/>
        </w:rPr>
        <w:t>Platné znění</w:t>
      </w:r>
      <w:r w:rsidRPr="00A679B4">
        <w:rPr>
          <w:szCs w:val="24"/>
        </w:rPr>
        <w:t xml:space="preserve"> zákona č. 277/2009 Sb., o pojišťovnictví</w:t>
      </w:r>
    </w:p>
    <w:p w14:paraId="5BBE0BC4" w14:textId="01869FE0" w:rsidR="00607B4B" w:rsidRPr="00607B4B" w:rsidRDefault="00607B4B" w:rsidP="00607B4B">
      <w:pPr>
        <w:pStyle w:val="Odstavecseseznamem"/>
        <w:numPr>
          <w:ilvl w:val="0"/>
          <w:numId w:val="27"/>
        </w:numPr>
        <w:pBdr>
          <w:top w:val="single" w:sz="12" w:space="6" w:color="auto"/>
          <w:left w:val="single" w:sz="12" w:space="0" w:color="auto"/>
          <w:bottom w:val="single" w:sz="12" w:space="6" w:color="auto"/>
          <w:right w:val="single" w:sz="12" w:space="0" w:color="auto"/>
        </w:pBdr>
        <w:spacing w:after="120"/>
        <w:jc w:val="center"/>
        <w:rPr>
          <w:b/>
          <w:szCs w:val="24"/>
          <w:lang w:eastAsia="en-US"/>
        </w:rPr>
      </w:pPr>
      <w:r w:rsidRPr="00607B4B">
        <w:rPr>
          <w:b/>
          <w:szCs w:val="24"/>
          <w:lang w:eastAsia="en-US"/>
        </w:rPr>
        <w:t>s vyznačením navrhovaných změn a doplnění k 1. lednu 2025</w:t>
      </w:r>
    </w:p>
    <w:p w14:paraId="479F04BB" w14:textId="77777777" w:rsidR="000D2511" w:rsidRPr="00A679B4" w:rsidRDefault="000D2511" w:rsidP="000D2511">
      <w:pPr>
        <w:pStyle w:val="Textparagrafu"/>
        <w:numPr>
          <w:ilvl w:val="0"/>
          <w:numId w:val="27"/>
        </w:numPr>
        <w:tabs>
          <w:tab w:val="left" w:pos="392"/>
          <w:tab w:val="left" w:pos="840"/>
        </w:tabs>
        <w:spacing w:after="120"/>
        <w:jc w:val="center"/>
      </w:pPr>
      <w:r w:rsidRPr="00A679B4">
        <w:t>***</w:t>
      </w:r>
    </w:p>
    <w:p w14:paraId="3CBBFF24" w14:textId="77777777" w:rsidR="00D8555D" w:rsidRPr="00C11E95" w:rsidRDefault="00D8555D" w:rsidP="00A679B4">
      <w:pPr>
        <w:keepNext/>
        <w:keepLines/>
        <w:spacing w:after="120"/>
        <w:ind w:firstLine="0"/>
        <w:jc w:val="center"/>
        <w:outlineLvl w:val="5"/>
      </w:pPr>
      <w:r w:rsidRPr="00C11E95">
        <w:t>§ 3</w:t>
      </w:r>
    </w:p>
    <w:p w14:paraId="1337DD93" w14:textId="77777777" w:rsidR="00D8555D" w:rsidRPr="003B4DBC" w:rsidRDefault="00D8555D" w:rsidP="00A679B4">
      <w:pPr>
        <w:keepNext/>
        <w:keepLines/>
        <w:spacing w:after="120"/>
        <w:ind w:firstLine="0"/>
        <w:jc w:val="center"/>
        <w:outlineLvl w:val="5"/>
        <w:rPr>
          <w:b/>
        </w:rPr>
      </w:pPr>
      <w:r w:rsidRPr="003B4DBC">
        <w:rPr>
          <w:b/>
        </w:rPr>
        <w:t>Vymezení pojmů</w:t>
      </w:r>
    </w:p>
    <w:p w14:paraId="613C0D8B" w14:textId="77777777" w:rsidR="00D8555D" w:rsidRPr="00C11E95" w:rsidRDefault="00D8555D" w:rsidP="00A679B4">
      <w:pPr>
        <w:tabs>
          <w:tab w:val="left" w:pos="782"/>
          <w:tab w:val="left" w:pos="851"/>
        </w:tabs>
        <w:spacing w:after="120"/>
        <w:outlineLvl w:val="6"/>
      </w:pPr>
      <w:r w:rsidRPr="00C11E95">
        <w:t>(1)</w:t>
      </w:r>
      <w:r w:rsidRPr="00C11E95">
        <w:tab/>
        <w:t>Pro účely tohoto zákona se rozumí</w:t>
      </w:r>
    </w:p>
    <w:p w14:paraId="57E06FBA" w14:textId="77777777" w:rsidR="00D8555D" w:rsidRPr="00C11E95" w:rsidRDefault="00D8555D" w:rsidP="00A679B4">
      <w:pPr>
        <w:spacing w:before="0"/>
        <w:ind w:left="425" w:hanging="425"/>
        <w:outlineLvl w:val="7"/>
      </w:pPr>
      <w:r w:rsidRPr="00C11E95">
        <w:t>a)</w:t>
      </w:r>
      <w:r w:rsidRPr="00C11E95">
        <w:tab/>
        <w:t>pojišťovnou tuzemská pojišťovna, pojišťovna z jiného členského státu nebo pojišťovna z třetího státu, s výjimkou pojišťovny, která je vyjmuta z působnosti směrnice Evropské unie upravující přístup k pojišťovací a zajišťovací činnosti a její výkon,</w:t>
      </w:r>
    </w:p>
    <w:p w14:paraId="582B116E" w14:textId="77777777" w:rsidR="00D8555D" w:rsidRPr="00C11E95" w:rsidRDefault="00D8555D" w:rsidP="00A679B4">
      <w:pPr>
        <w:spacing w:before="0"/>
        <w:ind w:left="425" w:hanging="425"/>
        <w:outlineLvl w:val="7"/>
      </w:pPr>
      <w:r w:rsidRPr="00C11E95">
        <w:t>b)</w:t>
      </w:r>
      <w:r w:rsidRPr="00C11E95">
        <w:tab/>
        <w:t>tuzemskou pojišťovnou právnická osoba se sídlem na území České republiky, které bylo Českou národní bankou uděleno povolení k provozování pojišťovací činnosti podle tohoto zákona,</w:t>
      </w:r>
    </w:p>
    <w:p w14:paraId="07488128" w14:textId="77777777" w:rsidR="00D8555D" w:rsidRPr="00C11E95" w:rsidRDefault="00D8555D" w:rsidP="00A679B4">
      <w:pPr>
        <w:spacing w:before="0"/>
        <w:ind w:left="425" w:hanging="425"/>
        <w:outlineLvl w:val="7"/>
      </w:pPr>
      <w:r w:rsidRPr="00C11E95">
        <w:t>c)</w:t>
      </w:r>
      <w:r w:rsidRPr="00C11E95">
        <w:tab/>
        <w:t>pojišťovnou z jiného členského státu právnická osoba se sídlem na území jiného členského státu, které bylo v tomto jiném členském státě uděleno povolení k provozování pojišťovací činnosti,</w:t>
      </w:r>
    </w:p>
    <w:p w14:paraId="038F86FE" w14:textId="77777777" w:rsidR="00D8555D" w:rsidRPr="00C11E95" w:rsidRDefault="00D8555D" w:rsidP="00A679B4">
      <w:pPr>
        <w:spacing w:before="0"/>
        <w:ind w:left="425" w:hanging="425"/>
        <w:outlineLvl w:val="7"/>
      </w:pPr>
      <w:r w:rsidRPr="00C11E95">
        <w:t>d)</w:t>
      </w:r>
      <w:r w:rsidRPr="00C11E95">
        <w:tab/>
        <w:t>pojišťovnou z třetího státu právnická osoba se sídlem na území třetího státu, která je v souladu s právem země svého sídla oprávněna provozovat pojišťovací činnost,</w:t>
      </w:r>
    </w:p>
    <w:p w14:paraId="343A7F3D" w14:textId="77777777" w:rsidR="00D8555D" w:rsidRPr="00C11E95" w:rsidRDefault="00D8555D" w:rsidP="00A679B4">
      <w:pPr>
        <w:spacing w:before="0"/>
        <w:ind w:left="425" w:hanging="425"/>
        <w:outlineLvl w:val="7"/>
      </w:pPr>
      <w:r w:rsidRPr="00C11E95">
        <w:t>e)</w:t>
      </w:r>
      <w:r w:rsidRPr="00C11E95">
        <w:tab/>
      </w:r>
      <w:proofErr w:type="spellStart"/>
      <w:r w:rsidRPr="00C11E95">
        <w:t>kaptivní</w:t>
      </w:r>
      <w:proofErr w:type="spellEnd"/>
      <w:r w:rsidRPr="00C11E95">
        <w:t xml:space="preserve"> pojišťovnou pojišťovna, kterou ovládá osoba z finančního sektoru</w:t>
      </w:r>
      <w:r>
        <w:rPr>
          <w:rStyle w:val="Znakapoznpodarou"/>
        </w:rPr>
        <w:footnoteReference w:customMarkFollows="1" w:id="520"/>
        <w:t>6)</w:t>
      </w:r>
      <w:r w:rsidRPr="00C11E95">
        <w:t xml:space="preserve"> jiná než pojišťovna nebo zajišťovna nebo jiná osoba než pojišťovací holdingová osoba nebo pojišťovací holdingová osoba se smíšenou činností anebo, kterou ovládá jiná osoba, která není osobou z finančního sektoru, pokud se činnost této pojišťovny výhradně omezuje na poskytování pojištění pojistných rizik osoby nebo osob společně tvořících podnikatelské seskupení,</w:t>
      </w:r>
    </w:p>
    <w:p w14:paraId="43300D25" w14:textId="77777777" w:rsidR="00D8555D" w:rsidRPr="00C11E95" w:rsidRDefault="00D8555D" w:rsidP="00A679B4">
      <w:pPr>
        <w:spacing w:before="0"/>
        <w:ind w:left="425" w:hanging="425"/>
        <w:outlineLvl w:val="7"/>
      </w:pPr>
      <w:r w:rsidRPr="00C11E95">
        <w:t>f)</w:t>
      </w:r>
      <w:r w:rsidRPr="00C11E95">
        <w:tab/>
        <w:t>pojišťovací činností přebírání pojistných rizik na základě uzavřených pojistných smluv a plnění z nich, přičemž součástí pojišťovací činnosti jsou činnosti přímo vyplývající z povolené pojišťovací činnosti, zejména činnosti související se vznikem pojištění a jeho správou, likvidace pojistných událostí, poskytování asistenčních služeb, investování, uzavírání smluv pojišťovnou se zajišťovnami o zajištění závazků pojišťovny vyplývajících z jí uzavřených pojistných smluv a činnost směřující k předcházení vzniku škod a zmírňování jejich následků,</w:t>
      </w:r>
    </w:p>
    <w:p w14:paraId="257510F2" w14:textId="77777777" w:rsidR="00D8555D" w:rsidRPr="00C11E95" w:rsidRDefault="00D8555D" w:rsidP="00A679B4">
      <w:pPr>
        <w:spacing w:before="0"/>
        <w:ind w:left="425" w:hanging="425"/>
        <w:outlineLvl w:val="7"/>
      </w:pPr>
      <w:r w:rsidRPr="00C11E95">
        <w:t>g)</w:t>
      </w:r>
      <w:r w:rsidRPr="00C11E95">
        <w:tab/>
        <w:t>zajišťovnou tuzemská zajišťovna, zajišťovna z jiného členského státu nebo zajišťovna z třetího státu, s výjimkou zajišťovny, která je vyjmuta z působnosti směrnice Evropské unie upravující přístup k pojišťovací a zajišťovací činnosti a její výkon,</w:t>
      </w:r>
    </w:p>
    <w:p w14:paraId="1717D8DA" w14:textId="77777777" w:rsidR="00D8555D" w:rsidRPr="00C11E95" w:rsidRDefault="00D8555D" w:rsidP="00A679B4">
      <w:pPr>
        <w:spacing w:before="0"/>
        <w:ind w:left="425" w:hanging="425"/>
        <w:outlineLvl w:val="7"/>
      </w:pPr>
      <w:r w:rsidRPr="00C11E95">
        <w:t>h)</w:t>
      </w:r>
      <w:r w:rsidRPr="00C11E95">
        <w:tab/>
        <w:t>tuzemskou zajišťovnou právnická osoba se sídlem na území České republiky, které bylo Českou národní bankou uděleno povolení k provozování zajišťovací činnosti podle tohoto zákona,</w:t>
      </w:r>
    </w:p>
    <w:p w14:paraId="08E6DADF" w14:textId="77777777" w:rsidR="00D8555D" w:rsidRPr="00C11E95" w:rsidRDefault="00D8555D" w:rsidP="00A679B4">
      <w:pPr>
        <w:spacing w:before="0"/>
        <w:ind w:left="425" w:hanging="425"/>
        <w:outlineLvl w:val="7"/>
      </w:pPr>
      <w:r w:rsidRPr="00C11E95">
        <w:lastRenderedPageBreak/>
        <w:t>i)</w:t>
      </w:r>
      <w:r w:rsidRPr="00C11E95">
        <w:tab/>
        <w:t>zajišťovnou z jiného členského státu právnická osoba se sídlem na území jiného členského státu, které bylo v tomto členském státě uděleno povolení k provozování zajišťovací činnosti,</w:t>
      </w:r>
    </w:p>
    <w:p w14:paraId="1B674EEB" w14:textId="77777777" w:rsidR="00D8555D" w:rsidRPr="00C11E95" w:rsidRDefault="00D8555D" w:rsidP="00A679B4">
      <w:pPr>
        <w:spacing w:before="0"/>
        <w:ind w:left="425" w:hanging="425"/>
        <w:outlineLvl w:val="7"/>
      </w:pPr>
      <w:r w:rsidRPr="00C11E95">
        <w:t>j)</w:t>
      </w:r>
      <w:r w:rsidRPr="00C11E95">
        <w:tab/>
        <w:t>zajišťovnou z třetího státu právnická osoba se sídlem na území třetího státu, která je v souladu s právem země svého sídla oprávněna provozovat zajišťovací činnost,</w:t>
      </w:r>
    </w:p>
    <w:p w14:paraId="654B3FCC" w14:textId="77777777" w:rsidR="00D8555D" w:rsidRPr="00C11E95" w:rsidRDefault="00D8555D" w:rsidP="00A679B4">
      <w:pPr>
        <w:spacing w:before="0"/>
        <w:ind w:left="425" w:hanging="425"/>
        <w:outlineLvl w:val="7"/>
      </w:pPr>
      <w:r w:rsidRPr="00C11E95">
        <w:t>k)</w:t>
      </w:r>
      <w:r w:rsidRPr="00C11E95">
        <w:tab/>
      </w:r>
      <w:proofErr w:type="spellStart"/>
      <w:r w:rsidRPr="00C11E95">
        <w:t>kaptivní</w:t>
      </w:r>
      <w:proofErr w:type="spellEnd"/>
      <w:r w:rsidRPr="00C11E95">
        <w:t xml:space="preserve"> zajišťovnou zajišťovna, kterou ovládá osoba z finančního sektoru</w:t>
      </w:r>
      <w:r w:rsidRPr="00C11E95">
        <w:rPr>
          <w:vertAlign w:val="superscript"/>
        </w:rPr>
        <w:t>6)</w:t>
      </w:r>
      <w:r w:rsidRPr="00C11E95">
        <w:t xml:space="preserve"> jiná než pojišťovna nebo zajišťovna nebo jiná osoba než pojišťovací holdingová osoba nebo pojišťovací holdingová osoba se smíšenou činností anebo, kterou ovládá jiná osoba, která není osobou z finančního sektoru, pokud se činnost této zajišťovny výhradně omezuje na poskytování zajištění pojistných rizik osoby nebo osob s ní vzájemně propojených,</w:t>
      </w:r>
    </w:p>
    <w:p w14:paraId="12DB5851" w14:textId="77777777" w:rsidR="00D8555D" w:rsidRPr="00C11E95" w:rsidRDefault="00D8555D" w:rsidP="00A679B4">
      <w:pPr>
        <w:spacing w:before="0"/>
        <w:ind w:left="425" w:hanging="425"/>
        <w:outlineLvl w:val="7"/>
      </w:pPr>
      <w:r w:rsidRPr="00C11E95">
        <w:t>l)</w:t>
      </w:r>
      <w:r w:rsidRPr="00C11E95">
        <w:tab/>
        <w:t xml:space="preserve">zajišťovací činností přebírání pojistných rizik na základě uzavřených smluv, kterými se zajišťovna zavazuje poskytnout pojišťovně ve sjednaném rozsahu plnění, nastane-li nahodilá událost ve smlouvě blíže označená, a pojistitel se zavazuje platit zajistiteli ve smlouvě určenou část pojistného (dále jen „zajistné“) z pojistných smluv uzavřených pojistitelem, které jsou předmětem této smlouvy (dále jen „zajišťovací smlouva“), plnění z těchto smluv a uzavírání zajišťovacích smluv mezi zajistiteli, přičemž součástí zajišťovací činnosti jsou činnosti přímo vyplývající z povolené zajišťovací činnosti, zejména činnosti související se vznikem zajištění a jeho správou, investování, poskytování statistického nebo </w:t>
      </w:r>
      <w:proofErr w:type="spellStart"/>
      <w:r w:rsidRPr="00C11E95">
        <w:t>pojistněmatematického</w:t>
      </w:r>
      <w:proofErr w:type="spellEnd"/>
      <w:r w:rsidRPr="00C11E95">
        <w:t xml:space="preserve"> poradenství v pojišťovnictví, analýza a průzkum pojistných rizik, činnost holdingové osoby a činnosti ve finančním sektoru podle zákona upravujícího doplňkový dohled nad finančními konglomeráty; zajišťovací činností se rozumí i uzavírání zajišťovacích smluv s institucemi zaměstnaneckého penzijního pojištění se sídlem v členských státech Evropské unie, kterým bylo uděleno povolení k činnosti provozování zaměstnaneckého penzijního pojištění v souladu s právem Evropské unie,</w:t>
      </w:r>
    </w:p>
    <w:p w14:paraId="03D7E1CA" w14:textId="77777777" w:rsidR="00D8555D" w:rsidRPr="00C11E95" w:rsidRDefault="00D8555D" w:rsidP="00A679B4">
      <w:pPr>
        <w:spacing w:before="0"/>
        <w:ind w:left="425" w:hanging="425"/>
        <w:outlineLvl w:val="7"/>
      </w:pPr>
      <w:r w:rsidRPr="00C11E95">
        <w:t>m)</w:t>
      </w:r>
      <w:r w:rsidRPr="00C11E95">
        <w:tab/>
        <w:t>investováním nakládání s veškerými aktivy v majetku pojišťovny nebo zajišťovny,</w:t>
      </w:r>
    </w:p>
    <w:p w14:paraId="0BFDA501" w14:textId="77777777" w:rsidR="00D8555D" w:rsidRPr="00C11E95" w:rsidRDefault="00D8555D" w:rsidP="00A679B4">
      <w:pPr>
        <w:spacing w:before="0"/>
        <w:ind w:left="425" w:hanging="425"/>
        <w:outlineLvl w:val="7"/>
      </w:pPr>
      <w:r w:rsidRPr="00C11E95">
        <w:t>n)</w:t>
      </w:r>
      <w:r w:rsidRPr="00C11E95">
        <w:tab/>
        <w:t>likvidací pojistné události soubor činností počínající šetřením směřujícím k určení povinnosti pojišťovny plnit z události vyvolané pojistným nebezpečím, stanovení výše tohoto plnění a končící jeho výplatou oprávněné osobě nebo poškozenému, anebo sdělením, že tato povinnost nevznikla,</w:t>
      </w:r>
    </w:p>
    <w:p w14:paraId="1CAFC7B2" w14:textId="77777777" w:rsidR="00D8555D" w:rsidRPr="00C11E95" w:rsidRDefault="00D8555D" w:rsidP="00A679B4">
      <w:pPr>
        <w:spacing w:before="0"/>
        <w:ind w:left="425" w:hanging="425"/>
        <w:outlineLvl w:val="7"/>
      </w:pPr>
      <w:r w:rsidRPr="00C11E95">
        <w:t>o)</w:t>
      </w:r>
      <w:r w:rsidRPr="00C11E95">
        <w:tab/>
        <w:t>domovským členským státem členský stát, ve kterém se nachází sídlo</w:t>
      </w:r>
    </w:p>
    <w:p w14:paraId="1E8CB136" w14:textId="77777777" w:rsidR="00D8555D" w:rsidRPr="00C11E95" w:rsidRDefault="00D8555D" w:rsidP="00A679B4">
      <w:pPr>
        <w:tabs>
          <w:tab w:val="left" w:pos="851"/>
        </w:tabs>
        <w:spacing w:before="0"/>
        <w:ind w:left="850" w:hanging="425"/>
        <w:jc w:val="left"/>
        <w:outlineLvl w:val="8"/>
      </w:pPr>
      <w:r w:rsidRPr="00C11E95">
        <w:t>1.</w:t>
      </w:r>
      <w:r w:rsidRPr="00C11E95">
        <w:tab/>
        <w:t>pojišťovny, u které je pojištěno pojistné riziko z neživotního pojištění,</w:t>
      </w:r>
    </w:p>
    <w:p w14:paraId="16772B47" w14:textId="77777777" w:rsidR="00D8555D" w:rsidRPr="00C11E95" w:rsidRDefault="00D8555D" w:rsidP="00A679B4">
      <w:pPr>
        <w:tabs>
          <w:tab w:val="left" w:pos="851"/>
        </w:tabs>
        <w:spacing w:before="0"/>
        <w:ind w:left="850" w:hanging="425"/>
        <w:jc w:val="left"/>
        <w:outlineLvl w:val="8"/>
      </w:pPr>
      <w:r w:rsidRPr="00C11E95">
        <w:t>2.</w:t>
      </w:r>
      <w:r w:rsidRPr="00C11E95">
        <w:tab/>
        <w:t>pojišťovny, u které je pojištěn závazek ze životního pojištění,</w:t>
      </w:r>
    </w:p>
    <w:p w14:paraId="74C40148" w14:textId="77777777" w:rsidR="00D8555D" w:rsidRPr="00C11E95" w:rsidRDefault="00D8555D" w:rsidP="00A679B4">
      <w:pPr>
        <w:tabs>
          <w:tab w:val="left" w:pos="851"/>
        </w:tabs>
        <w:spacing w:before="0"/>
        <w:ind w:left="850" w:hanging="425"/>
        <w:jc w:val="left"/>
        <w:outlineLvl w:val="8"/>
      </w:pPr>
      <w:r w:rsidRPr="00C11E95">
        <w:t>3.</w:t>
      </w:r>
      <w:r w:rsidRPr="00C11E95">
        <w:tab/>
        <w:t>zajišťovny, jedná-li se o zajištění,</w:t>
      </w:r>
    </w:p>
    <w:p w14:paraId="1E7213BB" w14:textId="77777777" w:rsidR="00D8555D" w:rsidRPr="00C11E95" w:rsidRDefault="00D8555D" w:rsidP="00A679B4">
      <w:pPr>
        <w:spacing w:before="0"/>
        <w:ind w:left="425" w:hanging="425"/>
        <w:outlineLvl w:val="7"/>
      </w:pPr>
      <w:r w:rsidRPr="00C11E95">
        <w:t>p)</w:t>
      </w:r>
      <w:r w:rsidRPr="00C11E95">
        <w:tab/>
        <w:t>hostitelským členským státem členský stát, ve kterém má pojišťovna nebo zajišťovna pobočku nebo, ve kterém dočasně poskytuje služby; v případě životního pojištění se členským státem, ve kterém pojišťovna poskytuje služby, rozumí členský stát závazku a v případě neživotního pojištění se takovým členským státem rozumí členský stát, ve kterém se nachází pojistné riziko, pokud je takový závazek nebo riziko pojištěno pojišťovnou nebo její pobočkou, která se nachází v jiném členském státě,</w:t>
      </w:r>
    </w:p>
    <w:p w14:paraId="196BA80E" w14:textId="77777777" w:rsidR="00D8555D" w:rsidRPr="00C11E95" w:rsidRDefault="00D8555D" w:rsidP="00A679B4">
      <w:pPr>
        <w:spacing w:before="0"/>
        <w:ind w:left="425" w:hanging="425"/>
        <w:outlineLvl w:val="7"/>
      </w:pPr>
      <w:r w:rsidRPr="00C11E95">
        <w:t>r)</w:t>
      </w:r>
      <w:r w:rsidRPr="00C11E95">
        <w:tab/>
        <w:t>pobočkou každá trvalá přítomnost pojišťovny nebo zajišťovny na území jiného než domovského členského státu, bez ohledu na to, zda má tato přítomnost formu organizační složky pojišťovny nebo zajišťovny, nebo se jedná o zastoupení této pojišťovny nebo zajišťovny třetí osobou, která má trvalé pověření jednat za pojišťovnu nebo zajišťovnu, jaké by měla její organizační složka; jedná-li se o pobočku pojišťovny nebo zajišťovny z třetího státu zřízenou na území České republiky, rozumí se jí odštěpný závod podle občanského zákoníku,</w:t>
      </w:r>
    </w:p>
    <w:p w14:paraId="521AE0A0" w14:textId="77777777" w:rsidR="00D8555D" w:rsidRPr="00C11E95" w:rsidRDefault="00D8555D" w:rsidP="00A679B4">
      <w:pPr>
        <w:spacing w:before="0"/>
        <w:ind w:left="425" w:hanging="425"/>
        <w:outlineLvl w:val="7"/>
      </w:pPr>
      <w:r w:rsidRPr="00C11E95">
        <w:t>s)</w:t>
      </w:r>
      <w:r w:rsidRPr="00C11E95">
        <w:tab/>
        <w:t xml:space="preserve">svobodou dočasně poskytovat služby právo provozovat pojišťovací nebo zajišťovací činnost na území hostitelského členského státu, a to v rozsahu povolení uděleného orgánem </w:t>
      </w:r>
      <w:r w:rsidRPr="00C11E95">
        <w:lastRenderedPageBreak/>
        <w:t>dohledu domovského členského státu, jestliže tato činnost nemá charakter trvalé přítomnosti na území hostitelského členského státu,</w:t>
      </w:r>
    </w:p>
    <w:p w14:paraId="6C283529" w14:textId="77777777" w:rsidR="00D8555D" w:rsidRPr="00C11E95" w:rsidRDefault="00D8555D" w:rsidP="00A679B4">
      <w:pPr>
        <w:spacing w:before="0"/>
        <w:ind w:left="425" w:hanging="425"/>
        <w:outlineLvl w:val="7"/>
      </w:pPr>
      <w:r w:rsidRPr="00C11E95">
        <w:t>t)</w:t>
      </w:r>
      <w:r w:rsidRPr="00C11E95">
        <w:tab/>
        <w:t>orgánem dohledu orgán vykonávající dohled nad pojišťovací nebo zajišťovací činností pojišťovny nebo nad zajišťovací činností zajišťovny,</w:t>
      </w:r>
    </w:p>
    <w:p w14:paraId="5D8C5A55" w14:textId="77777777" w:rsidR="00D8555D" w:rsidRPr="00C11E95" w:rsidRDefault="00D8555D" w:rsidP="00A679B4">
      <w:pPr>
        <w:spacing w:before="0"/>
        <w:ind w:left="425" w:hanging="425"/>
        <w:outlineLvl w:val="7"/>
      </w:pPr>
      <w:r w:rsidRPr="00C11E95">
        <w:t>u)</w:t>
      </w:r>
      <w:r w:rsidRPr="00C11E95">
        <w:tab/>
        <w:t>Evropským orgánem dohledu Evropský orgán pro pojišťovnictví a zaměstnanecké penzijní pojištění,</w:t>
      </w:r>
    </w:p>
    <w:p w14:paraId="6C725335" w14:textId="77777777" w:rsidR="00D8555D" w:rsidRPr="00C11E95" w:rsidRDefault="00D8555D" w:rsidP="00A679B4">
      <w:pPr>
        <w:spacing w:before="0"/>
        <w:ind w:left="425" w:hanging="425"/>
        <w:outlineLvl w:val="7"/>
      </w:pPr>
      <w:r w:rsidRPr="00C11E95">
        <w:t>v)</w:t>
      </w:r>
      <w:r w:rsidRPr="00C11E95">
        <w:tab/>
        <w:t>údajem o osobě jméno, popřípadě jména, příjmení, datum narození a adresa bydliště fyzické osoby, v případě fyzické osoby podnikající též místo jejího podnikání, nebo obchodní firma nebo název a sídlo právnické osoby.</w:t>
      </w:r>
    </w:p>
    <w:p w14:paraId="78EEFA68" w14:textId="77777777" w:rsidR="00D8555D" w:rsidRPr="00C11E95" w:rsidRDefault="00D8555D" w:rsidP="00A679B4">
      <w:pPr>
        <w:tabs>
          <w:tab w:val="left" w:pos="782"/>
          <w:tab w:val="left" w:pos="851"/>
        </w:tabs>
        <w:spacing w:after="120"/>
        <w:outlineLvl w:val="6"/>
      </w:pPr>
      <w:r w:rsidRPr="00C11E95">
        <w:t>(2)</w:t>
      </w:r>
      <w:r w:rsidRPr="00C11E95">
        <w:tab/>
        <w:t>Pro účely tohoto zákona se dále rozumí</w:t>
      </w:r>
    </w:p>
    <w:p w14:paraId="03096630" w14:textId="77777777" w:rsidR="00D8555D" w:rsidRPr="00C11E95" w:rsidRDefault="00D8555D" w:rsidP="00A679B4">
      <w:pPr>
        <w:spacing w:before="0"/>
        <w:ind w:left="425" w:hanging="425"/>
        <w:outlineLvl w:val="7"/>
      </w:pPr>
      <w:r w:rsidRPr="00C11E95">
        <w:t>a)</w:t>
      </w:r>
      <w:r w:rsidRPr="00C11E95">
        <w:tab/>
        <w:t>životním pojištěním pojistná odvětví uvedená v části A přílohy č. 1 k tomuto zákonu,</w:t>
      </w:r>
    </w:p>
    <w:p w14:paraId="1AA20366" w14:textId="77777777" w:rsidR="00D8555D" w:rsidRPr="00C11E95" w:rsidRDefault="00D8555D" w:rsidP="00A679B4">
      <w:pPr>
        <w:spacing w:before="0"/>
        <w:ind w:left="425" w:hanging="425"/>
        <w:outlineLvl w:val="7"/>
      </w:pPr>
      <w:r w:rsidRPr="00C11E95">
        <w:t>b)</w:t>
      </w:r>
      <w:r w:rsidRPr="00C11E95">
        <w:tab/>
        <w:t>neživotním pojištěním pojistná odvětví uvedená v části B přílohy č. 1 k tomuto zákonu,</w:t>
      </w:r>
    </w:p>
    <w:p w14:paraId="5469303B" w14:textId="77777777" w:rsidR="00D8555D" w:rsidRPr="00C11E95" w:rsidRDefault="00D8555D" w:rsidP="00A679B4">
      <w:pPr>
        <w:spacing w:before="0"/>
        <w:ind w:left="425" w:hanging="425"/>
        <w:outlineLvl w:val="7"/>
      </w:pPr>
      <w:r w:rsidRPr="00C11E95">
        <w:t>c)</w:t>
      </w:r>
      <w:r w:rsidRPr="00C11E95">
        <w:tab/>
        <w:t>životním zajištěním přebírání rizik vyplývajících z pojistných smluv životního pojištění,</w:t>
      </w:r>
    </w:p>
    <w:p w14:paraId="626C1F8C" w14:textId="77777777" w:rsidR="00D8555D" w:rsidRPr="00C11E95" w:rsidRDefault="00D8555D" w:rsidP="00A679B4">
      <w:pPr>
        <w:spacing w:before="0"/>
        <w:ind w:left="425" w:hanging="425"/>
        <w:outlineLvl w:val="7"/>
      </w:pPr>
      <w:r w:rsidRPr="00C11E95">
        <w:t>d)</w:t>
      </w:r>
      <w:r w:rsidRPr="00C11E95">
        <w:tab/>
        <w:t>neživotním zajištěním přebírání rizik vyplývajících z pojistných smluv neživotního pojištění,</w:t>
      </w:r>
    </w:p>
    <w:p w14:paraId="69032F13" w14:textId="77777777" w:rsidR="00D8555D" w:rsidRPr="00C11E95" w:rsidRDefault="00D8555D" w:rsidP="00A679B4">
      <w:pPr>
        <w:spacing w:before="0"/>
        <w:ind w:left="425" w:hanging="425"/>
        <w:outlineLvl w:val="7"/>
      </w:pPr>
      <w:r w:rsidRPr="00C11E95">
        <w:t>e)</w:t>
      </w:r>
      <w:r w:rsidRPr="00C11E95">
        <w:tab/>
        <w:t>solventností schopnost pojišťovny nebo zajišťovny zabezpečit vlastními zdroji trvalou splnitelnost závazků z pojišťovací nebo zajišťovací činnosti,</w:t>
      </w:r>
    </w:p>
    <w:p w14:paraId="3A31D75A" w14:textId="77777777" w:rsidR="00D8555D" w:rsidRPr="00C11E95" w:rsidRDefault="00D8555D" w:rsidP="00A679B4">
      <w:pPr>
        <w:spacing w:before="0"/>
        <w:ind w:left="425" w:hanging="425"/>
        <w:outlineLvl w:val="7"/>
      </w:pPr>
      <w:r w:rsidRPr="00C11E95">
        <w:t>f)</w:t>
      </w:r>
      <w:r w:rsidRPr="00C11E95">
        <w:tab/>
        <w:t>správou pojištění nebo zajištění činnosti zabezpečující trvání a aktualizaci stavu pojistných nebo zajišťovacích smluv,</w:t>
      </w:r>
    </w:p>
    <w:p w14:paraId="251F5D4E" w14:textId="77777777" w:rsidR="00D8555D" w:rsidRPr="00C11E95" w:rsidRDefault="00D8555D" w:rsidP="00A679B4">
      <w:pPr>
        <w:spacing w:before="0"/>
        <w:ind w:left="425" w:hanging="425"/>
        <w:outlineLvl w:val="7"/>
      </w:pPr>
      <w:r w:rsidRPr="00C11E95">
        <w:t>g)</w:t>
      </w:r>
      <w:r w:rsidRPr="00C11E95">
        <w:tab/>
        <w:t>pojistným kmenem souhrn závazků pojišťovny vyplývajících z pojistných smluv, včetně závazků z bezdůvodného obohacení nebo z protiprávních činů souvisejících s těmito smlouvami,</w:t>
      </w:r>
    </w:p>
    <w:p w14:paraId="3F4B495C" w14:textId="77777777" w:rsidR="00D8555D" w:rsidRPr="00C11E95" w:rsidRDefault="00D8555D" w:rsidP="00A679B4">
      <w:pPr>
        <w:spacing w:before="0"/>
        <w:ind w:left="425" w:hanging="425"/>
        <w:outlineLvl w:val="7"/>
      </w:pPr>
      <w:r w:rsidRPr="00C11E95">
        <w:t>h)</w:t>
      </w:r>
      <w:r w:rsidRPr="00C11E95">
        <w:tab/>
        <w:t>příslušenstvím pojistného kmene práva a povinnosti, které vyplývají z uzavřených pojistných smluv, a aktiva odpovídající tomuto kmeni,</w:t>
      </w:r>
    </w:p>
    <w:p w14:paraId="464A27F6" w14:textId="77777777" w:rsidR="00D8555D" w:rsidRPr="00C11E95" w:rsidRDefault="00D8555D" w:rsidP="00A679B4">
      <w:pPr>
        <w:spacing w:before="0"/>
        <w:ind w:left="425" w:hanging="425"/>
        <w:outlineLvl w:val="7"/>
      </w:pPr>
      <w:r w:rsidRPr="00C11E95">
        <w:t>i)</w:t>
      </w:r>
      <w:r w:rsidRPr="00C11E95">
        <w:tab/>
        <w:t>kmenem zajišťovacích smluv souhrn závazků zajišťovny vyplývajících ze zajišťovacích smluv, včetně závazků z bezdůvodného obohacení nebo z protiprávních činů souvisejících s těmito smlouvami,</w:t>
      </w:r>
    </w:p>
    <w:p w14:paraId="25EBE488" w14:textId="77777777" w:rsidR="00D8555D" w:rsidRPr="00C11E95" w:rsidRDefault="00D8555D" w:rsidP="00A679B4">
      <w:pPr>
        <w:spacing w:before="0"/>
        <w:ind w:left="425" w:hanging="425"/>
        <w:outlineLvl w:val="7"/>
      </w:pPr>
      <w:r w:rsidRPr="00C11E95">
        <w:t>j)</w:t>
      </w:r>
      <w:r w:rsidRPr="00C11E95">
        <w:tab/>
        <w:t>příslušenstvím kmene zajišťovacích smluv práva a povinnosti, které vyplývají z uzavřených zajišťovacích smluv, a aktiva odpovídající tomuto kmeni,</w:t>
      </w:r>
    </w:p>
    <w:p w14:paraId="65AAF8EA" w14:textId="77777777" w:rsidR="00D8555D" w:rsidRPr="00C11E95" w:rsidRDefault="00D8555D" w:rsidP="00A679B4">
      <w:pPr>
        <w:spacing w:before="0"/>
        <w:ind w:left="425" w:hanging="425"/>
        <w:outlineLvl w:val="7"/>
      </w:pPr>
      <w:r w:rsidRPr="00C11E95">
        <w:t>k)</w:t>
      </w:r>
      <w:r w:rsidRPr="00C11E95">
        <w:tab/>
        <w:t>pojistnými podmínkami smluvní podmínky zpracované pojišťovnou pro uzavírání pojistných smluv pro jednotlivá pojistná odvětví, pro skupiny těchto odvětví nebo pro jednotlivé typy pojištění sjednávaných v rámci pojistného odvětví, zejména všeobecné pojistné podmínky, zvláštní nebo doplňkové pojistné podmínky,</w:t>
      </w:r>
    </w:p>
    <w:p w14:paraId="6B1C1C18" w14:textId="77777777" w:rsidR="00D8555D" w:rsidRPr="00C11E95" w:rsidRDefault="00D8555D" w:rsidP="00A679B4">
      <w:pPr>
        <w:spacing w:before="0"/>
        <w:ind w:left="425" w:hanging="425"/>
        <w:outlineLvl w:val="7"/>
      </w:pPr>
      <w:r w:rsidRPr="00C11E95">
        <w:t>l)</w:t>
      </w:r>
      <w:r w:rsidRPr="00C11E95">
        <w:tab/>
        <w:t>asistenčními službami pomoc poskytovaná osobám, které se dostanou do nesnází během cestování nebo při pobytu mimo místo svého bydliště, která spočívá v závazku pojišťovny, která provozuje pojišťovací činnost podle pojistného odvětví uvedeného v části B bodě 18 přílohy č. 1 k tomuto zákonu, poskytnout na základě předchozí úhrady pojistného okamžitě dostupnou pomoc osobě oprávněné podle pojistné smlouvy, pokud se tato osoba dostane do nesnází v důsledku pojistné události, přičemž pomoc může mít formu peněžitého nebo věcného plnění a věcné plnění může být poskytováno na základě smluvního vztahu osobou odlišnou od pojišťovny; za asistenční službu se nepovažuje servis nebo údržba vozidla ani informace o poskytování této služby nebo její zprostředkování,</w:t>
      </w:r>
    </w:p>
    <w:p w14:paraId="306EC4EC" w14:textId="77777777" w:rsidR="00D8555D" w:rsidRPr="00C11E95" w:rsidRDefault="00D8555D" w:rsidP="00A679B4">
      <w:pPr>
        <w:spacing w:before="0"/>
        <w:ind w:left="425" w:hanging="425"/>
        <w:outlineLvl w:val="7"/>
      </w:pPr>
      <w:r w:rsidRPr="00C11E95">
        <w:t>m)</w:t>
      </w:r>
      <w:r w:rsidRPr="00C11E95">
        <w:tab/>
        <w:t>členským státem, ve kterém se nachází pojistné riziko pojištěné pojistnou smlouvou týkající se neživotního pojištění, členský stát,</w:t>
      </w:r>
    </w:p>
    <w:p w14:paraId="2485637C" w14:textId="77777777" w:rsidR="00D8555D" w:rsidRPr="00C11E95" w:rsidRDefault="00D8555D" w:rsidP="00A679B4">
      <w:pPr>
        <w:tabs>
          <w:tab w:val="left" w:pos="851"/>
        </w:tabs>
        <w:spacing w:before="0"/>
        <w:ind w:left="850" w:hanging="425"/>
        <w:jc w:val="left"/>
        <w:outlineLvl w:val="8"/>
      </w:pPr>
      <w:r w:rsidRPr="00C11E95">
        <w:t>1.</w:t>
      </w:r>
      <w:r w:rsidRPr="00C11E95">
        <w:tab/>
        <w:t>na jehož území se nacházejí pojištěné budovy, jejich součásti, příslušenství a věci, které se v nich nacházejí, jsou-li pojištěny stejnou pojistnou smlouvou,</w:t>
      </w:r>
    </w:p>
    <w:p w14:paraId="2C46460B" w14:textId="77777777" w:rsidR="00D8555D" w:rsidRPr="00C11E95" w:rsidRDefault="00D8555D" w:rsidP="00A679B4">
      <w:pPr>
        <w:tabs>
          <w:tab w:val="left" w:pos="851"/>
        </w:tabs>
        <w:spacing w:before="0"/>
        <w:ind w:left="850" w:hanging="425"/>
        <w:jc w:val="left"/>
        <w:outlineLvl w:val="8"/>
      </w:pPr>
      <w:r w:rsidRPr="00C11E95">
        <w:t>2.</w:t>
      </w:r>
      <w:r w:rsidRPr="00C11E95">
        <w:tab/>
        <w:t>kde je registrován pojištěný dopravní prostředek bez ohledu na jeho typ,</w:t>
      </w:r>
    </w:p>
    <w:p w14:paraId="1EF9DE1A" w14:textId="77777777" w:rsidR="00D8555D" w:rsidRPr="00C11E95" w:rsidRDefault="00D8555D" w:rsidP="00A679B4">
      <w:pPr>
        <w:tabs>
          <w:tab w:val="left" w:pos="851"/>
        </w:tabs>
        <w:spacing w:before="0"/>
        <w:ind w:left="850" w:hanging="425"/>
        <w:jc w:val="left"/>
        <w:outlineLvl w:val="8"/>
      </w:pPr>
      <w:r w:rsidRPr="00C11E95">
        <w:lastRenderedPageBreak/>
        <w:t>3.</w:t>
      </w:r>
      <w:r w:rsidRPr="00C11E95">
        <w:tab/>
        <w:t>kde pojistník uzavřel pojistnou smlouvu na dobu 4 a méně měsíců, která se týká pojistných rizik spojených s cestováním bez ohledu na pojistné odvětví, nebo</w:t>
      </w:r>
    </w:p>
    <w:p w14:paraId="72CA5792" w14:textId="77777777" w:rsidR="00D8555D" w:rsidRPr="00C11E95" w:rsidRDefault="00D8555D" w:rsidP="00A679B4">
      <w:pPr>
        <w:tabs>
          <w:tab w:val="left" w:pos="851"/>
        </w:tabs>
        <w:spacing w:before="0"/>
        <w:ind w:left="850" w:hanging="425"/>
        <w:jc w:val="left"/>
        <w:outlineLvl w:val="8"/>
      </w:pPr>
      <w:r w:rsidRPr="00C11E95">
        <w:t>4.</w:t>
      </w:r>
      <w:r w:rsidRPr="00C11E95">
        <w:tab/>
        <w:t>ve kterém má pojistník jako fyzická osoba bydliště, nebo jako právnická osoba svůj odštěpný závod, ke kterému se pojištění vztahuje, jedná-li se o případy, které nejsou uvedeny v bodech 1 až 3,</w:t>
      </w:r>
    </w:p>
    <w:p w14:paraId="578E6ADB" w14:textId="77777777" w:rsidR="00D8555D" w:rsidRPr="00C11E95" w:rsidRDefault="00D8555D" w:rsidP="00A679B4">
      <w:pPr>
        <w:spacing w:before="0"/>
        <w:ind w:left="425" w:hanging="425"/>
        <w:outlineLvl w:val="7"/>
      </w:pPr>
      <w:r w:rsidRPr="00C11E95">
        <w:t>n)</w:t>
      </w:r>
      <w:r w:rsidRPr="00C11E95">
        <w:tab/>
        <w:t>členským státem závazku členský stát, ve kterém má pojistník, který uzavřel pojistnou smlouvu týkající se životního pojištění, bydliště, nebo je-li pojistník právnickou osobou, členský stát, ve kterém se nachází sídlo nebo pobočka této právnické osoby, ke kterým se smlouva vztahuje,</w:t>
      </w:r>
    </w:p>
    <w:p w14:paraId="0DA64647" w14:textId="77777777" w:rsidR="00D8555D" w:rsidRPr="00C11E95" w:rsidRDefault="00D8555D" w:rsidP="00A679B4">
      <w:pPr>
        <w:spacing w:before="0"/>
        <w:ind w:left="425" w:hanging="425"/>
        <w:outlineLvl w:val="7"/>
      </w:pPr>
      <w:r w:rsidRPr="00C11E95">
        <w:t>o)</w:t>
      </w:r>
      <w:r w:rsidRPr="00C11E95">
        <w:tab/>
        <w:t xml:space="preserve">externím zajištěním činností ujednání pojišťovny nebo zajišťovny s poskytovatelem služby, procesu nebo činnosti, jehož prostřednictvím, a to buď </w:t>
      </w:r>
      <w:proofErr w:type="gramStart"/>
      <w:r w:rsidRPr="00C11E95">
        <w:t>přímo nebo</w:t>
      </w:r>
      <w:proofErr w:type="gramEnd"/>
      <w:r w:rsidRPr="00C11E95">
        <w:t xml:space="preserve"> prostřednictvím jejich dalšího externího zajištění, bez ohledu na to, zda činnost poskytovatele podléhá dohledu, si pojišťovna nebo zajišťovna zabezpečuje výkon služby, procesu nebo činnosti, kterou by jinak vykonávala sama.</w:t>
      </w:r>
    </w:p>
    <w:p w14:paraId="3EE2C8CA" w14:textId="77777777" w:rsidR="00D8555D" w:rsidRPr="00A6787A" w:rsidRDefault="00D8555D" w:rsidP="00A679B4">
      <w:pPr>
        <w:tabs>
          <w:tab w:val="left" w:pos="782"/>
          <w:tab w:val="left" w:pos="851"/>
        </w:tabs>
        <w:spacing w:after="120"/>
        <w:outlineLvl w:val="6"/>
        <w:rPr>
          <w:strike/>
        </w:rPr>
      </w:pPr>
      <w:proofErr w:type="gramStart"/>
      <w:r w:rsidRPr="00A6787A">
        <w:rPr>
          <w:strike/>
        </w:rPr>
        <w:t>(3)</w:t>
      </w:r>
      <w:r w:rsidRPr="00A6787A">
        <w:rPr>
          <w:strike/>
        </w:rPr>
        <w:tab/>
        <w:t>Pro</w:t>
      </w:r>
      <w:proofErr w:type="gramEnd"/>
      <w:r w:rsidRPr="00A6787A">
        <w:rPr>
          <w:strike/>
        </w:rPr>
        <w:t xml:space="preserve"> účely tohoto zákona se ovládající osobou rozumí osoba, </w:t>
      </w:r>
      <w:proofErr w:type="gramStart"/>
      <w:r w:rsidRPr="00A6787A">
        <w:rPr>
          <w:strike/>
        </w:rPr>
        <w:t>která</w:t>
      </w:r>
      <w:proofErr w:type="gramEnd"/>
    </w:p>
    <w:p w14:paraId="1D3DD3AA" w14:textId="77777777" w:rsidR="00D8555D" w:rsidRPr="00A6787A" w:rsidRDefault="00D8555D" w:rsidP="00A679B4">
      <w:pPr>
        <w:spacing w:before="0"/>
        <w:ind w:left="425" w:hanging="425"/>
        <w:outlineLvl w:val="7"/>
        <w:rPr>
          <w:strike/>
        </w:rPr>
      </w:pPr>
      <w:r w:rsidRPr="00A6787A">
        <w:rPr>
          <w:strike/>
        </w:rPr>
        <w:t>a)</w:t>
      </w:r>
      <w:r w:rsidRPr="00A6787A">
        <w:rPr>
          <w:strike/>
        </w:rPr>
        <w:tab/>
        <w:t>disponuje většinou hlasovacích práv společníků nebo členů v jiné obchodní korporaci; není-li prokázáno, že jiná osoba disponuje stejným nebo vyšším množstvím hlasovacích práv, má se za to, že osoba, která disponuje alespoň 40 % hlasovacích práv v určité osobě, je ovládající osobou, a že osoby jednající ve shodě, které disponují alespoň 40 % hlasovacích práv v určité osobě, jsou ovládajícími osobami,</w:t>
      </w:r>
    </w:p>
    <w:p w14:paraId="67EDD1E9" w14:textId="77777777" w:rsidR="00D8555D" w:rsidRPr="00A6787A" w:rsidRDefault="00D8555D" w:rsidP="00A679B4">
      <w:pPr>
        <w:spacing w:before="0"/>
        <w:ind w:left="425" w:hanging="425"/>
        <w:outlineLvl w:val="7"/>
        <w:rPr>
          <w:strike/>
        </w:rPr>
      </w:pPr>
      <w:r w:rsidRPr="00A6787A">
        <w:rPr>
          <w:strike/>
        </w:rPr>
        <w:t>b)</w:t>
      </w:r>
      <w:r w:rsidRPr="00A6787A">
        <w:rPr>
          <w:strike/>
        </w:rPr>
        <w:tab/>
        <w:t>má právo jmenovat, volit či odvolat většinu členů statutárního nebo kontrolního orgánu jiné obchodní korporace a je zároveň společníkem nebo členem takové korporace,</w:t>
      </w:r>
    </w:p>
    <w:p w14:paraId="299AB77B" w14:textId="77777777" w:rsidR="00D8555D" w:rsidRPr="00A6787A" w:rsidRDefault="00D8555D" w:rsidP="00A679B4">
      <w:pPr>
        <w:spacing w:before="0"/>
        <w:ind w:left="425" w:hanging="425"/>
        <w:outlineLvl w:val="7"/>
        <w:rPr>
          <w:strike/>
        </w:rPr>
      </w:pPr>
      <w:r w:rsidRPr="00A6787A">
        <w:rPr>
          <w:strike/>
        </w:rPr>
        <w:t>c)</w:t>
      </w:r>
      <w:r w:rsidRPr="00A6787A">
        <w:rPr>
          <w:strike/>
        </w:rPr>
        <w:tab/>
        <w:t>má právo uplatňovat rozhodující vliv v jakékoliv jiné obchodní korporaci, jejíž je společníkem nebo členem, na základě smlouvy, kterou s ní uzavřela, nebo podle jejích stanov, společenské nebo zakladatelské smlouvy, umožňuje-li právo, jímž se taková korporace řídí, aby se těmto smlouvám nebo stanovám, společenským nebo zakladatelským smlouvám podřídila,</w:t>
      </w:r>
    </w:p>
    <w:p w14:paraId="2F7DA960" w14:textId="77777777" w:rsidR="00D8555D" w:rsidRPr="00A6787A" w:rsidRDefault="00D8555D" w:rsidP="00A679B4">
      <w:pPr>
        <w:spacing w:before="0"/>
        <w:ind w:left="425" w:hanging="425"/>
        <w:outlineLvl w:val="7"/>
        <w:rPr>
          <w:strike/>
        </w:rPr>
      </w:pPr>
      <w:r w:rsidRPr="00A6787A">
        <w:rPr>
          <w:strike/>
        </w:rPr>
        <w:t>d)</w:t>
      </w:r>
      <w:r w:rsidRPr="00A6787A">
        <w:rPr>
          <w:strike/>
        </w:rPr>
        <w:tab/>
        <w:t>je společníkem nebo členem jakékoli jiné obchodní korporace a</w:t>
      </w:r>
    </w:p>
    <w:p w14:paraId="02D78A7E" w14:textId="77777777" w:rsidR="00D8555D" w:rsidRPr="00A6787A" w:rsidRDefault="00D8555D" w:rsidP="00A679B4">
      <w:pPr>
        <w:tabs>
          <w:tab w:val="left" w:pos="851"/>
        </w:tabs>
        <w:spacing w:before="0"/>
        <w:ind w:left="850" w:hanging="425"/>
        <w:jc w:val="left"/>
        <w:outlineLvl w:val="8"/>
        <w:rPr>
          <w:strike/>
        </w:rPr>
      </w:pPr>
      <w:r w:rsidRPr="00A6787A">
        <w:rPr>
          <w:strike/>
        </w:rPr>
        <w:t>1.</w:t>
      </w:r>
      <w:r w:rsidRPr="00A6787A">
        <w:rPr>
          <w:strike/>
        </w:rPr>
        <w:tab/>
        <w:t>většina členů statutárního nebo kontrolního orgánu této korporace byla jmenována výhradně pomocí využití jejích hlasovacích práv, nemá-li však jiná osoba vůči této ovládané osobě práva uvedená v písmenech a), b) nebo c), nebo</w:t>
      </w:r>
    </w:p>
    <w:p w14:paraId="21E8A33F" w14:textId="77777777" w:rsidR="00D8555D" w:rsidRPr="00A6787A" w:rsidRDefault="00D8555D" w:rsidP="00A679B4">
      <w:pPr>
        <w:tabs>
          <w:tab w:val="left" w:pos="851"/>
        </w:tabs>
        <w:spacing w:before="0"/>
        <w:ind w:left="850" w:hanging="425"/>
        <w:jc w:val="left"/>
        <w:outlineLvl w:val="8"/>
        <w:rPr>
          <w:strike/>
        </w:rPr>
      </w:pPr>
      <w:r w:rsidRPr="00A6787A">
        <w:rPr>
          <w:strike/>
        </w:rPr>
        <w:t>2.</w:t>
      </w:r>
      <w:r w:rsidRPr="00A6787A">
        <w:rPr>
          <w:strike/>
        </w:rPr>
        <w:tab/>
        <w:t>vykonává na základě dohody uzavřené s ostatními společníky nebo členy této korporace většinu hlasovacích práv společníků nebo členů v této korporaci, nebo</w:t>
      </w:r>
    </w:p>
    <w:p w14:paraId="74CB6674" w14:textId="77777777" w:rsidR="00D8555D" w:rsidRPr="00A6787A" w:rsidRDefault="00D8555D" w:rsidP="00A679B4">
      <w:pPr>
        <w:spacing w:before="0"/>
        <w:ind w:left="425" w:hanging="425"/>
        <w:outlineLvl w:val="7"/>
        <w:rPr>
          <w:strike/>
        </w:rPr>
      </w:pPr>
      <w:r w:rsidRPr="00A6787A">
        <w:rPr>
          <w:strike/>
        </w:rPr>
        <w:t>e)</w:t>
      </w:r>
      <w:r w:rsidRPr="00A6787A">
        <w:rPr>
          <w:strike/>
        </w:rPr>
        <w:tab/>
        <w:t>jinak než podle písmen a) až d) skutečně uplatňuje rozhodující vliv v jiné osobě.</w:t>
      </w:r>
    </w:p>
    <w:p w14:paraId="3A265452" w14:textId="77777777" w:rsidR="00D8555D" w:rsidRPr="00A6787A" w:rsidRDefault="00D8555D" w:rsidP="00A679B4">
      <w:pPr>
        <w:tabs>
          <w:tab w:val="left" w:pos="782"/>
          <w:tab w:val="left" w:pos="851"/>
        </w:tabs>
        <w:spacing w:after="120"/>
        <w:outlineLvl w:val="6"/>
        <w:rPr>
          <w:b/>
        </w:rPr>
      </w:pPr>
      <w:r w:rsidRPr="00A6787A">
        <w:rPr>
          <w:b/>
        </w:rPr>
        <w:t xml:space="preserve"> (3) Pro účely tohoto zákona se </w:t>
      </w:r>
    </w:p>
    <w:p w14:paraId="6B7DA215" w14:textId="77777777" w:rsidR="00D8555D" w:rsidRPr="00C4719F" w:rsidRDefault="00D8555D" w:rsidP="00A679B4">
      <w:pPr>
        <w:spacing w:before="0"/>
        <w:ind w:left="425" w:hanging="425"/>
        <w:outlineLvl w:val="7"/>
        <w:rPr>
          <w:b/>
        </w:rPr>
      </w:pPr>
      <w:r w:rsidRPr="00A6787A">
        <w:rPr>
          <w:b/>
        </w:rPr>
        <w:t>a)</w:t>
      </w:r>
      <w:r w:rsidRPr="00A6787A">
        <w:rPr>
          <w:b/>
        </w:rPr>
        <w:tab/>
      </w:r>
      <w:r w:rsidRPr="00C4719F">
        <w:rPr>
          <w:b/>
        </w:rPr>
        <w:t xml:space="preserve">ovládající osobou </w:t>
      </w:r>
      <w:r>
        <w:rPr>
          <w:b/>
        </w:rPr>
        <w:t xml:space="preserve">rozumí </w:t>
      </w:r>
      <w:r w:rsidRPr="00C4719F">
        <w:rPr>
          <w:b/>
        </w:rPr>
        <w:t>osoba, která</w:t>
      </w:r>
      <w:r>
        <w:rPr>
          <w:b/>
        </w:rPr>
        <w:t xml:space="preserve"> sama ovládá jinou osobu</w:t>
      </w:r>
      <w:r w:rsidRPr="00C4719F">
        <w:rPr>
          <w:b/>
        </w:rPr>
        <w:t>,</w:t>
      </w:r>
    </w:p>
    <w:p w14:paraId="4DBFE6BB" w14:textId="77777777" w:rsidR="00D8555D" w:rsidRPr="00566FC9" w:rsidRDefault="00D8555D" w:rsidP="00A679B4">
      <w:pPr>
        <w:spacing w:before="0"/>
        <w:ind w:left="425" w:hanging="425"/>
        <w:outlineLvl w:val="7"/>
        <w:rPr>
          <w:b/>
        </w:rPr>
      </w:pPr>
      <w:r w:rsidRPr="00C4719F">
        <w:rPr>
          <w:b/>
        </w:rPr>
        <w:t>b)</w:t>
      </w:r>
      <w:r w:rsidRPr="00C4719F">
        <w:rPr>
          <w:b/>
        </w:rPr>
        <w:tab/>
        <w:t>ovládání</w:t>
      </w:r>
      <w:r>
        <w:rPr>
          <w:b/>
        </w:rPr>
        <w:t xml:space="preserve"> posuzuje </w:t>
      </w:r>
      <w:r w:rsidRPr="00C4719F">
        <w:rPr>
          <w:b/>
        </w:rPr>
        <w:t xml:space="preserve">podle </w:t>
      </w:r>
      <w:r>
        <w:rPr>
          <w:b/>
        </w:rPr>
        <w:t>ustanovení</w:t>
      </w:r>
      <w:r w:rsidRPr="00C4719F">
        <w:rPr>
          <w:b/>
        </w:rPr>
        <w:t xml:space="preserve"> zákona </w:t>
      </w:r>
      <w:r>
        <w:rPr>
          <w:b/>
        </w:rPr>
        <w:t>o obchodních korporacích upravujících ovládající a ovládané osoby</w:t>
      </w:r>
      <w:r w:rsidRPr="00C4719F">
        <w:rPr>
          <w:b/>
        </w:rPr>
        <w:t>.</w:t>
      </w:r>
    </w:p>
    <w:p w14:paraId="56036B60" w14:textId="77777777" w:rsidR="00D8555D" w:rsidRPr="00A6787A" w:rsidRDefault="00D8555D" w:rsidP="00A679B4">
      <w:pPr>
        <w:tabs>
          <w:tab w:val="left" w:pos="782"/>
          <w:tab w:val="left" w:pos="851"/>
        </w:tabs>
        <w:spacing w:after="120"/>
        <w:outlineLvl w:val="6"/>
        <w:rPr>
          <w:strike/>
        </w:rPr>
      </w:pPr>
      <w:r w:rsidRPr="00A6787A">
        <w:rPr>
          <w:strike/>
        </w:rPr>
        <w:t>(4)</w:t>
      </w:r>
      <w:r w:rsidRPr="00A6787A">
        <w:rPr>
          <w:strike/>
        </w:rPr>
        <w:tab/>
        <w:t>Pro účely odstavce 3</w:t>
      </w:r>
    </w:p>
    <w:p w14:paraId="5C3B1ABD" w14:textId="77777777" w:rsidR="00D8555D" w:rsidRPr="00A6787A" w:rsidRDefault="00D8555D" w:rsidP="00A679B4">
      <w:pPr>
        <w:spacing w:before="0"/>
        <w:ind w:left="425" w:hanging="425"/>
        <w:outlineLvl w:val="7"/>
        <w:rPr>
          <w:strike/>
        </w:rPr>
      </w:pPr>
      <w:r w:rsidRPr="00A6787A">
        <w:rPr>
          <w:strike/>
        </w:rPr>
        <w:t>a)</w:t>
      </w:r>
      <w:r w:rsidRPr="00A6787A">
        <w:rPr>
          <w:strike/>
        </w:rPr>
        <w:tab/>
        <w:t>písm. a), b) a d) musí být k hlasovacím, jmenovacím a odvolacím právům ovládající osoby přičtena práva všech ostatních ovládaných osob a práva náležející kterékoli osobě jednající vlastním jménem, ale na účet ovládající osoby nebo jiné ovládané osoby,</w:t>
      </w:r>
    </w:p>
    <w:p w14:paraId="627DAED5" w14:textId="77777777" w:rsidR="00D8555D" w:rsidRPr="00A6787A" w:rsidRDefault="00D8555D" w:rsidP="00A679B4">
      <w:pPr>
        <w:spacing w:before="0"/>
        <w:ind w:left="425" w:hanging="425"/>
        <w:outlineLvl w:val="7"/>
        <w:rPr>
          <w:strike/>
        </w:rPr>
      </w:pPr>
      <w:r w:rsidRPr="00A6787A">
        <w:rPr>
          <w:strike/>
        </w:rPr>
        <w:t>b)</w:t>
      </w:r>
      <w:r w:rsidRPr="00A6787A">
        <w:rPr>
          <w:strike/>
        </w:rPr>
        <w:tab/>
        <w:t>písm. a), b) a d) se od práv uvedených v odstavci 3 musí odečíst práva</w:t>
      </w:r>
    </w:p>
    <w:p w14:paraId="0AA909FB" w14:textId="77777777" w:rsidR="00D8555D" w:rsidRPr="00A6787A" w:rsidRDefault="00D8555D" w:rsidP="00A679B4">
      <w:pPr>
        <w:tabs>
          <w:tab w:val="left" w:pos="851"/>
        </w:tabs>
        <w:spacing w:before="0"/>
        <w:ind w:left="850" w:hanging="425"/>
        <w:jc w:val="left"/>
        <w:outlineLvl w:val="8"/>
        <w:rPr>
          <w:strike/>
        </w:rPr>
      </w:pPr>
      <w:r w:rsidRPr="00A6787A">
        <w:rPr>
          <w:strike/>
        </w:rPr>
        <w:t>1.</w:t>
      </w:r>
      <w:r w:rsidRPr="00A6787A">
        <w:rPr>
          <w:strike/>
        </w:rPr>
        <w:tab/>
        <w:t>příslušející k akciím nebo podílům drženým na účet jakékoli osoby jiné než ovládající osoby nebo některé ovládané osoby, nebo</w:t>
      </w:r>
    </w:p>
    <w:p w14:paraId="11F0AB8B" w14:textId="77777777" w:rsidR="00D8555D" w:rsidRPr="00A6787A" w:rsidRDefault="00D8555D" w:rsidP="00A679B4">
      <w:pPr>
        <w:tabs>
          <w:tab w:val="left" w:pos="851"/>
        </w:tabs>
        <w:spacing w:before="0"/>
        <w:ind w:left="850" w:hanging="425"/>
        <w:jc w:val="left"/>
        <w:outlineLvl w:val="8"/>
        <w:rPr>
          <w:strike/>
        </w:rPr>
      </w:pPr>
      <w:r w:rsidRPr="00A6787A">
        <w:rPr>
          <w:strike/>
        </w:rPr>
        <w:lastRenderedPageBreak/>
        <w:t>2.</w:t>
      </w:r>
      <w:r w:rsidRPr="00A6787A">
        <w:rPr>
          <w:strike/>
        </w:rPr>
        <w:tab/>
        <w:t>příslušející k akciím nebo podílům drženým jako záruka, jsou-li tato práva vykonávána v souladu s přijatými pokyny nebo je-li držení těchto akcií nebo podílů pro držící obchodní závod součástí běžné obchodní činnosti ve spojitosti s poskytováním půjček, za podmínky, že hlasovací práva jsou vykonávána v zájmu osoby poskytující záruku,</w:t>
      </w:r>
    </w:p>
    <w:p w14:paraId="58F1A04D" w14:textId="77777777" w:rsidR="00D8555D" w:rsidRPr="00A6787A" w:rsidRDefault="00D8555D" w:rsidP="00A679B4">
      <w:pPr>
        <w:spacing w:before="0"/>
        <w:ind w:left="425" w:hanging="425"/>
        <w:outlineLvl w:val="7"/>
        <w:rPr>
          <w:strike/>
        </w:rPr>
      </w:pPr>
      <w:r w:rsidRPr="00A6787A">
        <w:rPr>
          <w:strike/>
        </w:rPr>
        <w:t>c)</w:t>
      </w:r>
      <w:r w:rsidRPr="00A6787A">
        <w:rPr>
          <w:strike/>
        </w:rPr>
        <w:tab/>
        <w:t>písm. a) a d) musí být od souhrnu hlasovacích práv společníků ovládané osoby odečtena hlasovací práva příslušející k akciím nebo podílům, které jsou v držení této osoby, jí ovládané osoby nebo osoby jednající vlastním jménem, ale na účet těchto osob.</w:t>
      </w:r>
    </w:p>
    <w:p w14:paraId="489F9BA4" w14:textId="77777777" w:rsidR="00D8555D" w:rsidRPr="00A6787A" w:rsidRDefault="00D8555D" w:rsidP="00607B4B">
      <w:pPr>
        <w:tabs>
          <w:tab w:val="left" w:pos="782"/>
          <w:tab w:val="left" w:pos="851"/>
        </w:tabs>
        <w:spacing w:before="120" w:after="120"/>
        <w:outlineLvl w:val="6"/>
        <w:rPr>
          <w:strike/>
        </w:rPr>
      </w:pPr>
      <w:r w:rsidRPr="00A6787A">
        <w:rPr>
          <w:strike/>
        </w:rPr>
        <w:t>(5)</w:t>
      </w:r>
      <w:r w:rsidRPr="00A6787A">
        <w:rPr>
          <w:strike/>
        </w:rPr>
        <w:tab/>
        <w:t>Při posuzování přímého nebo nepřímého podílu se nepřihlíží k hlasovacím právům ani podílům drženým bankami, spořitelními a úvěrními družstvy nebo obchodníky s cennými papíry v důsledku upsání nebo umístění finančních nástrojů na základě pevného závazku převzetí</w:t>
      </w:r>
      <w:r>
        <w:rPr>
          <w:rStyle w:val="Znakapoznpodarou"/>
          <w:strike/>
        </w:rPr>
        <w:footnoteReference w:customMarkFollows="1" w:id="521"/>
        <w:t>7)</w:t>
      </w:r>
      <w:r w:rsidRPr="00A6787A">
        <w:rPr>
          <w:strike/>
        </w:rPr>
        <w:t>, pokud práva spojená s tímto podílem nejsou vykonávána ani jinak využívána k zasahování do řízení emitenta a pokud do jednoho roku ode dne jejich nabytí dojde ke změně jejich vlastníka.</w:t>
      </w:r>
    </w:p>
    <w:p w14:paraId="2E22AB1C" w14:textId="77777777" w:rsidR="00D8555D" w:rsidRPr="00C11E95" w:rsidRDefault="00D8555D" w:rsidP="00607B4B">
      <w:pPr>
        <w:tabs>
          <w:tab w:val="left" w:pos="782"/>
          <w:tab w:val="left" w:pos="851"/>
        </w:tabs>
        <w:spacing w:before="120" w:after="120"/>
        <w:outlineLvl w:val="6"/>
      </w:pPr>
      <w:proofErr w:type="gramStart"/>
      <w:r w:rsidRPr="00A6787A">
        <w:rPr>
          <w:strike/>
        </w:rPr>
        <w:t>(6)</w:t>
      </w:r>
      <w:r w:rsidRPr="00A6787A">
        <w:rPr>
          <w:b/>
        </w:rPr>
        <w:t xml:space="preserve">(4) </w:t>
      </w:r>
      <w:r w:rsidRPr="00C11E95">
        <w:t>Pro</w:t>
      </w:r>
      <w:proofErr w:type="gramEnd"/>
      <w:r w:rsidRPr="00C11E95">
        <w:t xml:space="preserve"> účely tohoto zákona se dále rozumí</w:t>
      </w:r>
    </w:p>
    <w:p w14:paraId="030B246C" w14:textId="77777777" w:rsidR="00D8555D" w:rsidRPr="00C11E95" w:rsidRDefault="00D8555D" w:rsidP="00A679B4">
      <w:pPr>
        <w:spacing w:before="0"/>
        <w:ind w:left="425" w:hanging="425"/>
        <w:outlineLvl w:val="7"/>
      </w:pPr>
      <w:r w:rsidRPr="00C11E95">
        <w:t>a)</w:t>
      </w:r>
      <w:r w:rsidRPr="00C11E95">
        <w:tab/>
        <w:t>ovládanou osobou osoba, vůči níž je jiná osoba v postavení ovládající osoby; všechny ovládané osoby ovládaných osob jsou rovněž považovány za ovládané osoby ovládající osoby, která je v čele těchto osob,</w:t>
      </w:r>
    </w:p>
    <w:p w14:paraId="5D80EF24" w14:textId="77777777" w:rsidR="00D8555D" w:rsidRPr="00C11E95" w:rsidRDefault="00D8555D" w:rsidP="00A679B4">
      <w:pPr>
        <w:spacing w:before="0"/>
        <w:ind w:left="425" w:hanging="425"/>
        <w:outlineLvl w:val="7"/>
      </w:pPr>
      <w:r w:rsidRPr="00C11E95">
        <w:t>b)</w:t>
      </w:r>
      <w:r w:rsidRPr="00C11E95">
        <w:tab/>
        <w:t>osobou s účastí na jiné osobě</w:t>
      </w:r>
    </w:p>
    <w:p w14:paraId="366322DB" w14:textId="77777777" w:rsidR="00D8555D" w:rsidRPr="00C11E95" w:rsidRDefault="00D8555D" w:rsidP="00A679B4">
      <w:pPr>
        <w:tabs>
          <w:tab w:val="left" w:pos="851"/>
        </w:tabs>
        <w:spacing w:before="0"/>
        <w:ind w:left="850" w:hanging="425"/>
        <w:jc w:val="left"/>
        <w:outlineLvl w:val="8"/>
      </w:pPr>
      <w:r w:rsidRPr="00C11E95">
        <w:t>1.</w:t>
      </w:r>
      <w:r w:rsidRPr="00C11E95">
        <w:tab/>
        <w:t>ovládající osoba,</w:t>
      </w:r>
    </w:p>
    <w:p w14:paraId="143CEFD2" w14:textId="77777777" w:rsidR="00D8555D" w:rsidRPr="00C11E95" w:rsidRDefault="00D8555D" w:rsidP="00A679B4">
      <w:pPr>
        <w:tabs>
          <w:tab w:val="left" w:pos="851"/>
        </w:tabs>
        <w:spacing w:before="0"/>
        <w:ind w:left="850" w:hanging="425"/>
        <w:jc w:val="left"/>
        <w:outlineLvl w:val="8"/>
      </w:pPr>
      <w:r w:rsidRPr="00C11E95">
        <w:t>2.</w:t>
      </w:r>
      <w:r w:rsidRPr="00C11E95">
        <w:tab/>
        <w:t>jiná než ovládající osoba, která drží účast na jiné osobě,</w:t>
      </w:r>
    </w:p>
    <w:p w14:paraId="00C910FA" w14:textId="77777777" w:rsidR="00D8555D" w:rsidRPr="00C11E95" w:rsidRDefault="00D8555D" w:rsidP="00A679B4">
      <w:pPr>
        <w:tabs>
          <w:tab w:val="left" w:pos="851"/>
        </w:tabs>
        <w:spacing w:before="0"/>
        <w:ind w:left="850" w:hanging="425"/>
        <w:jc w:val="left"/>
        <w:outlineLvl w:val="8"/>
      </w:pPr>
      <w:r w:rsidRPr="00C11E95">
        <w:t>3.</w:t>
      </w:r>
      <w:r w:rsidRPr="00C11E95">
        <w:tab/>
        <w:t>osoba propojená s jinou osobou vztahem jednotného řízení, nebo</w:t>
      </w:r>
    </w:p>
    <w:p w14:paraId="3C9CF773" w14:textId="77777777" w:rsidR="00D8555D" w:rsidRPr="00C11E95" w:rsidRDefault="00D8555D" w:rsidP="00A679B4">
      <w:pPr>
        <w:tabs>
          <w:tab w:val="left" w:pos="851"/>
        </w:tabs>
        <w:spacing w:before="0"/>
        <w:ind w:left="850" w:hanging="425"/>
        <w:jc w:val="left"/>
        <w:outlineLvl w:val="8"/>
      </w:pPr>
      <w:r w:rsidRPr="00C11E95">
        <w:t>4.</w:t>
      </w:r>
      <w:r w:rsidRPr="00C11E95">
        <w:tab/>
        <w:t>osoba, která má během účetního období s jinou osobou převážně tytéž osoby s funkcí člena statutárního nebo kontrolního orgánu, aniž by mezi nimi byl vztah ovládání nebo jednotného řízení,</w:t>
      </w:r>
    </w:p>
    <w:p w14:paraId="6CCDCC32" w14:textId="77777777" w:rsidR="00D8555D" w:rsidRPr="00C11E95" w:rsidRDefault="00D8555D" w:rsidP="00A679B4">
      <w:pPr>
        <w:spacing w:before="0"/>
        <w:ind w:left="425" w:hanging="425"/>
        <w:outlineLvl w:val="7"/>
      </w:pPr>
      <w:r w:rsidRPr="00C11E95">
        <w:t>c)</w:t>
      </w:r>
      <w:r w:rsidRPr="00C11E95">
        <w:tab/>
        <w:t>přidruženou osobou</w:t>
      </w:r>
    </w:p>
    <w:p w14:paraId="2E1F822A" w14:textId="77777777" w:rsidR="00D8555D" w:rsidRPr="00C11E95" w:rsidRDefault="00D8555D" w:rsidP="00A679B4">
      <w:pPr>
        <w:tabs>
          <w:tab w:val="left" w:pos="851"/>
        </w:tabs>
        <w:spacing w:before="0"/>
        <w:ind w:left="850" w:hanging="425"/>
        <w:jc w:val="left"/>
        <w:outlineLvl w:val="8"/>
      </w:pPr>
      <w:r w:rsidRPr="00C11E95">
        <w:t>1.</w:t>
      </w:r>
      <w:r w:rsidRPr="00C11E95">
        <w:tab/>
        <w:t>ovládaná osoba,</w:t>
      </w:r>
    </w:p>
    <w:p w14:paraId="09D16399" w14:textId="77777777" w:rsidR="00D8555D" w:rsidRPr="00C11E95" w:rsidRDefault="00D8555D" w:rsidP="00A679B4">
      <w:pPr>
        <w:tabs>
          <w:tab w:val="left" w:pos="851"/>
        </w:tabs>
        <w:spacing w:before="0"/>
        <w:ind w:left="850" w:hanging="425"/>
        <w:jc w:val="left"/>
        <w:outlineLvl w:val="8"/>
      </w:pPr>
      <w:r w:rsidRPr="00C11E95">
        <w:t>2.</w:t>
      </w:r>
      <w:r w:rsidRPr="00C11E95">
        <w:tab/>
        <w:t>jiná než ovládaná osoba, ve které drží jiná osoba účast,</w:t>
      </w:r>
    </w:p>
    <w:p w14:paraId="40E68BFF" w14:textId="77777777" w:rsidR="00D8555D" w:rsidRPr="00C11E95" w:rsidRDefault="00D8555D" w:rsidP="00A679B4">
      <w:pPr>
        <w:tabs>
          <w:tab w:val="left" w:pos="851"/>
        </w:tabs>
        <w:spacing w:before="0"/>
        <w:ind w:left="850" w:hanging="425"/>
        <w:jc w:val="left"/>
        <w:outlineLvl w:val="8"/>
      </w:pPr>
      <w:r w:rsidRPr="00C11E95">
        <w:t>3.</w:t>
      </w:r>
      <w:r w:rsidRPr="00C11E95">
        <w:tab/>
        <w:t>řízená osoba propojená s jinou osobou vztahem jednotného řízení, nebo</w:t>
      </w:r>
    </w:p>
    <w:p w14:paraId="67957DF1" w14:textId="77777777" w:rsidR="00D8555D" w:rsidRPr="00C11E95" w:rsidRDefault="00D8555D" w:rsidP="00A679B4">
      <w:pPr>
        <w:tabs>
          <w:tab w:val="left" w:pos="851"/>
        </w:tabs>
        <w:spacing w:before="0"/>
        <w:ind w:left="850" w:hanging="425"/>
        <w:jc w:val="left"/>
        <w:outlineLvl w:val="8"/>
      </w:pPr>
      <w:r w:rsidRPr="00C11E95">
        <w:t>4.</w:t>
      </w:r>
      <w:r w:rsidRPr="00C11E95">
        <w:tab/>
        <w:t>osoba, která má během účetního období s jinou osobou převážně tytéž osoby s funkcí člena statutárního nebo kontrolního orgánu nebo osoby s účastí na jejich řízení, aniž by mezi nimi byl vztah ovládání nebo jednotného řízení,</w:t>
      </w:r>
    </w:p>
    <w:p w14:paraId="6D0D6B41" w14:textId="77777777" w:rsidR="00D8555D" w:rsidRPr="00C11E95" w:rsidRDefault="00D8555D" w:rsidP="00A679B4">
      <w:pPr>
        <w:spacing w:before="0"/>
        <w:ind w:left="425" w:hanging="425"/>
        <w:outlineLvl w:val="7"/>
      </w:pPr>
      <w:r w:rsidRPr="00C11E95">
        <w:t>d)</w:t>
      </w:r>
      <w:r w:rsidRPr="00C11E95">
        <w:tab/>
        <w:t>účastí přímý nebo nepřímý podíl posuzovaný samostatně nebo jejich součet představující alespoň 20 % na základním kapitálu nebo hlasovacích právech jiné osoby,</w:t>
      </w:r>
    </w:p>
    <w:p w14:paraId="36D87B40" w14:textId="77777777" w:rsidR="00D8555D" w:rsidRPr="00C11E95" w:rsidRDefault="00D8555D" w:rsidP="00A679B4">
      <w:pPr>
        <w:spacing w:before="0"/>
        <w:ind w:left="425" w:hanging="425"/>
        <w:outlineLvl w:val="7"/>
      </w:pPr>
      <w:r w:rsidRPr="00C11E95">
        <w:t>e)</w:t>
      </w:r>
      <w:r w:rsidRPr="00C11E95">
        <w:tab/>
        <w:t>kvalifikovanou účastí přímý nebo nepřímý podíl na základním kapitálu nebo hlasovacích právech právnické osoby nebo jejich součet, který představuje alespoň 10 % nebo umožňuje vykonávat významný vliv na řízení této právnické osoby; podíl se posuzuje obdobně jako podíl na hlasovacích právech emitenta podle zákona upravujícího podnikání na kapitálovém trhu,</w:t>
      </w:r>
    </w:p>
    <w:p w14:paraId="29FD099D" w14:textId="77777777" w:rsidR="00D8555D" w:rsidRPr="00C11E95" w:rsidRDefault="00D8555D" w:rsidP="00A679B4">
      <w:pPr>
        <w:spacing w:before="0"/>
        <w:ind w:left="425" w:hanging="425"/>
        <w:outlineLvl w:val="7"/>
      </w:pPr>
      <w:r w:rsidRPr="00C11E95">
        <w:t>f)</w:t>
      </w:r>
      <w:r w:rsidRPr="00C11E95">
        <w:tab/>
        <w:t>nepřímým podílem podíl držený prostřednictvím ovládané osoby nebo skupiny osob jednajících ve shodě včetně podílu na hlasovacích právech z cenných papírů,</w:t>
      </w:r>
    </w:p>
    <w:p w14:paraId="6B668AD3" w14:textId="77777777" w:rsidR="00D8555D" w:rsidRPr="00C11E95" w:rsidRDefault="00D8555D" w:rsidP="00A679B4">
      <w:pPr>
        <w:spacing w:before="0"/>
        <w:ind w:left="425" w:hanging="425"/>
        <w:outlineLvl w:val="7"/>
      </w:pPr>
      <w:r w:rsidRPr="00C11E95">
        <w:t>g)</w:t>
      </w:r>
      <w:r w:rsidRPr="00C11E95">
        <w:tab/>
        <w:t xml:space="preserve">pojišťovací holdingovou osobou ovládající osoba, která není smíšenou finanční holdingovou osobou podle zákona upravujícího doplňkový dohled nad finančními konglomeráty a jejíž hlavní činností je získávat a držet podíly v ovládaných osobách, které </w:t>
      </w:r>
      <w:r w:rsidRPr="00C11E95">
        <w:lastRenderedPageBreak/>
        <w:t>jsou výlučně nebo převážně pojišťovnami nebo zajišťovnami, přičemž alespoň jedna z těchto ovládaných osob je tuzemskou pojišťovnou nebo tuzemskou zajišťovnou,</w:t>
      </w:r>
    </w:p>
    <w:p w14:paraId="57E8A2BB" w14:textId="77777777" w:rsidR="00D8555D" w:rsidRPr="00C11E95" w:rsidRDefault="00D8555D" w:rsidP="00A679B4">
      <w:pPr>
        <w:spacing w:before="0"/>
        <w:ind w:left="425" w:hanging="425"/>
        <w:outlineLvl w:val="7"/>
      </w:pPr>
      <w:r w:rsidRPr="00C11E95">
        <w:t>h)</w:t>
      </w:r>
      <w:r w:rsidRPr="00C11E95">
        <w:tab/>
        <w:t>pojišťovací holdingovou osobou se smíšenou činností ovládající osoba jiná než pojišťovna nebo zajišťovna, pojišťovací holdingová osoba nebo smíšená finanční holdingová osoba podle zákona upravujícího finanční konglomeráty, jejíž alespoň jedna ovládaná osoba je tuzemskou pojišťovnou nebo tuzemskou zajišťovnou,</w:t>
      </w:r>
    </w:p>
    <w:p w14:paraId="12B7D74C" w14:textId="77777777" w:rsidR="00D8555D" w:rsidRPr="00C11E95" w:rsidRDefault="00D8555D" w:rsidP="00A679B4">
      <w:pPr>
        <w:spacing w:before="0"/>
        <w:ind w:left="425" w:hanging="425"/>
        <w:outlineLvl w:val="7"/>
      </w:pPr>
      <w:r w:rsidRPr="00C11E95">
        <w:t>i)</w:t>
      </w:r>
      <w:r w:rsidRPr="00C11E95">
        <w:tab/>
        <w:t>skupinou 2 nebo více osob, mezi kterými existuje úzké propojení,</w:t>
      </w:r>
    </w:p>
    <w:p w14:paraId="31CB3FA6" w14:textId="77777777" w:rsidR="00D8555D" w:rsidRPr="00C11E95" w:rsidRDefault="00D8555D" w:rsidP="00A679B4">
      <w:pPr>
        <w:spacing w:before="0"/>
        <w:ind w:left="425" w:hanging="425"/>
        <w:outlineLvl w:val="7"/>
      </w:pPr>
      <w:r w:rsidRPr="00C11E95">
        <w:t>j)</w:t>
      </w:r>
      <w:r w:rsidRPr="00C11E95">
        <w:tab/>
        <w:t>úzkým propojením vztah, kdy jsou 2 nebo více osob propojeny takovým způsobem, že</w:t>
      </w:r>
    </w:p>
    <w:p w14:paraId="5D559041" w14:textId="77777777" w:rsidR="00D8555D" w:rsidRPr="00C11E95" w:rsidRDefault="00D8555D" w:rsidP="00A679B4">
      <w:pPr>
        <w:tabs>
          <w:tab w:val="left" w:pos="851"/>
        </w:tabs>
        <w:spacing w:before="0"/>
        <w:ind w:left="850" w:hanging="425"/>
        <w:jc w:val="left"/>
        <w:outlineLvl w:val="8"/>
      </w:pPr>
      <w:r w:rsidRPr="00C11E95">
        <w:t>1</w:t>
      </w:r>
      <w:r>
        <w:t>.</w:t>
      </w:r>
      <w:r>
        <w:tab/>
      </w:r>
      <w:r w:rsidRPr="00C11E95">
        <w:t>jedna z osob je přidruženou osobou jiné osoby, a to přímo nebo prostřednictvím jiné osoby nebo osob,</w:t>
      </w:r>
    </w:p>
    <w:p w14:paraId="368BFC5C" w14:textId="77777777" w:rsidR="00D8555D" w:rsidRPr="00C11E95" w:rsidRDefault="00D8555D" w:rsidP="00A679B4">
      <w:pPr>
        <w:tabs>
          <w:tab w:val="left" w:pos="851"/>
        </w:tabs>
        <w:spacing w:before="0"/>
        <w:ind w:left="850" w:hanging="425"/>
        <w:jc w:val="left"/>
        <w:outlineLvl w:val="8"/>
      </w:pPr>
      <w:r w:rsidRPr="00C11E95">
        <w:t>2</w:t>
      </w:r>
      <w:r>
        <w:t>.</w:t>
      </w:r>
      <w:r>
        <w:tab/>
      </w:r>
      <w:r w:rsidRPr="00C11E95">
        <w:t>2 osoby jsou ovládanými osobami téže ovládající osoby, a to přímo nebo prostřednictvím jiné osoby nebo osob, nebo</w:t>
      </w:r>
    </w:p>
    <w:p w14:paraId="335D1ABB" w14:textId="77777777" w:rsidR="00D8555D" w:rsidRPr="00C11E95" w:rsidRDefault="00D8555D" w:rsidP="00A679B4">
      <w:pPr>
        <w:tabs>
          <w:tab w:val="left" w:pos="851"/>
        </w:tabs>
        <w:spacing w:before="0"/>
        <w:ind w:left="850" w:hanging="425"/>
        <w:jc w:val="left"/>
        <w:outlineLvl w:val="8"/>
      </w:pPr>
      <w:r w:rsidRPr="00C11E95">
        <w:t>3</w:t>
      </w:r>
      <w:r>
        <w:t>.</w:t>
      </w:r>
      <w:r>
        <w:tab/>
      </w:r>
      <w:r w:rsidRPr="00C11E95">
        <w:t>většinu členů statutárních nebo kontrolních orgánů jedné osoby tvoří po většinu účetního období osoby, které jsou ve statutárních nebo kontrolních orgánech jiné osoby nebo osob, které jsou s jinou osobou v úzkém propojení podle bodů 1 až 3, ledaže jde o osoby, které vykonávají takovou funkci v rámci svého podnikání na profesionálním základě a není-li účelem výkonu jejich funkce vzájemné propojení aktivit osob, v nichž je funkce člena statutárního, řídícího nebo dozorčího orgánu vykonávána,</w:t>
      </w:r>
    </w:p>
    <w:p w14:paraId="15D75273" w14:textId="77777777" w:rsidR="00D8555D" w:rsidRPr="00C11E95" w:rsidRDefault="00D8555D" w:rsidP="00A679B4">
      <w:pPr>
        <w:spacing w:before="0"/>
        <w:ind w:left="425" w:hanging="425"/>
        <w:outlineLvl w:val="7"/>
      </w:pPr>
      <w:r w:rsidRPr="00C11E95">
        <w:t>k)</w:t>
      </w:r>
      <w:r w:rsidRPr="00C11E95">
        <w:tab/>
        <w:t xml:space="preserve">osobou s klíčovou funkcí osoba, která skutečně řídí pojišťovnu nebo zajišťovnu nebo kontroluje činnost pojišťovny nebo zajišťovny nebo osoba odpovědná za řízení rizik, kontrolu zajišťování shody s předpisy, vnitřní audit nebo </w:t>
      </w:r>
      <w:proofErr w:type="spellStart"/>
      <w:r w:rsidRPr="00C11E95">
        <w:t>pojistněmatematické</w:t>
      </w:r>
      <w:proofErr w:type="spellEnd"/>
      <w:r w:rsidRPr="00C11E95">
        <w:t xml:space="preserve"> činnosti, anebo osoba odpovědná za výkon jiné činnosti určené pojišťovnou nebo zajišťovnou jako klíčové; jde-li o monistický systém vnitřní struktury tuzemské pojišťovny nebo zajišťovny, je osobou, která ji řídí, také člen její správní rady,</w:t>
      </w:r>
    </w:p>
    <w:p w14:paraId="0082C971" w14:textId="77777777" w:rsidR="00D8555D" w:rsidRPr="00C11E95" w:rsidRDefault="00D8555D" w:rsidP="00A679B4">
      <w:pPr>
        <w:spacing w:before="0"/>
        <w:ind w:left="425" w:hanging="425"/>
        <w:outlineLvl w:val="7"/>
      </w:pPr>
      <w:r w:rsidRPr="00C11E95">
        <w:t>l)</w:t>
      </w:r>
      <w:r w:rsidRPr="00C11E95">
        <w:tab/>
        <w:t>operací uvnitř skupiny transakce, v jejímž důsledku se pojišťovna nebo zajišťovna stává při úhradě svého dluhu nebo splnění pohledávky přímo či nepřímo závislou na rozhodování jiných osob ve stejné skupině nebo na rozhodování jiné osoby úzce propojené s osobami v této skupině.</w:t>
      </w:r>
    </w:p>
    <w:p w14:paraId="3476A85A" w14:textId="77777777" w:rsidR="00D8555D" w:rsidRPr="00C11E95" w:rsidRDefault="00D8555D" w:rsidP="00A679B4">
      <w:pPr>
        <w:tabs>
          <w:tab w:val="left" w:pos="782"/>
          <w:tab w:val="left" w:pos="851"/>
        </w:tabs>
        <w:spacing w:after="120"/>
        <w:outlineLvl w:val="6"/>
      </w:pPr>
      <w:proofErr w:type="gramStart"/>
      <w:r w:rsidRPr="00A6787A">
        <w:rPr>
          <w:strike/>
        </w:rPr>
        <w:t>(7)</w:t>
      </w:r>
      <w:r w:rsidRPr="00A6787A">
        <w:rPr>
          <w:b/>
        </w:rPr>
        <w:t xml:space="preserve">(5) </w:t>
      </w:r>
      <w:r w:rsidRPr="00C11E95">
        <w:t>Pro</w:t>
      </w:r>
      <w:proofErr w:type="gramEnd"/>
      <w:r w:rsidRPr="00C11E95">
        <w:t xml:space="preserve"> účely tohoto zákona se dále rozumí</w:t>
      </w:r>
    </w:p>
    <w:p w14:paraId="4725564B" w14:textId="77777777" w:rsidR="00D8555D" w:rsidRPr="00C11E95" w:rsidRDefault="00D8555D" w:rsidP="00A679B4">
      <w:pPr>
        <w:spacing w:before="0"/>
        <w:ind w:left="425" w:hanging="425"/>
        <w:outlineLvl w:val="7"/>
      </w:pPr>
      <w:r w:rsidRPr="00C11E95">
        <w:t>a)</w:t>
      </w:r>
      <w:r w:rsidRPr="00C11E95">
        <w:tab/>
        <w:t>upisovacím rizikem riziko ztráty nebo změny vyvolávající ztrátu hodnoty závazku z pojištění nebo zajištění způsobené nepřiměřenými předpoklady při stanovení výše pojistného, zajistného nebo technických rezerv,</w:t>
      </w:r>
    </w:p>
    <w:p w14:paraId="7E6C592A" w14:textId="77777777" w:rsidR="00D8555D" w:rsidRPr="00C11E95" w:rsidRDefault="00D8555D" w:rsidP="00A679B4">
      <w:pPr>
        <w:spacing w:before="0"/>
        <w:ind w:left="425" w:hanging="425"/>
        <w:outlineLvl w:val="7"/>
      </w:pPr>
      <w:r w:rsidRPr="00C11E95">
        <w:t>b)</w:t>
      </w:r>
      <w:r w:rsidRPr="00C11E95">
        <w:tab/>
        <w:t>tržním rizikem riziko ztráty nebo nepříznivé změny ve finanční situaci vyplývající přímo nebo nepřímo z kolísání úrovně a volatility tržních cen aktiv, závazků a finančních nástrojů,</w:t>
      </w:r>
    </w:p>
    <w:p w14:paraId="1DA5A795" w14:textId="77777777" w:rsidR="00D8555D" w:rsidRPr="00C11E95" w:rsidRDefault="00D8555D" w:rsidP="00A679B4">
      <w:pPr>
        <w:spacing w:before="0"/>
        <w:ind w:left="425" w:hanging="425"/>
        <w:outlineLvl w:val="7"/>
      </w:pPr>
      <w:r w:rsidRPr="00C11E95">
        <w:t>c)</w:t>
      </w:r>
      <w:r w:rsidRPr="00C11E95">
        <w:tab/>
        <w:t>úvěrovým rizikem riziko ztráty nebo nepříznivé změny ve finanční situaci vyplývající z kolísání úvěrového hodnocení emitentů cenných papírů, protistran a jakýchkoli dlužníků, jimž jsou pojišťovny a zajišťovny vystaveny, v podobě rizika selhání protistrany nebo rizika kreditního rozpětí nebo koncentrace tržních rizik,</w:t>
      </w:r>
    </w:p>
    <w:p w14:paraId="771AB466" w14:textId="77777777" w:rsidR="00D8555D" w:rsidRPr="00C11E95" w:rsidRDefault="00D8555D" w:rsidP="00A679B4">
      <w:pPr>
        <w:spacing w:before="0"/>
        <w:ind w:left="425" w:hanging="425"/>
        <w:outlineLvl w:val="7"/>
      </w:pPr>
      <w:r w:rsidRPr="00C11E95">
        <w:t>d)</w:t>
      </w:r>
      <w:r w:rsidRPr="00C11E95">
        <w:tab/>
        <w:t>operačním rizikem riziko ztráty vyplývající z nepřiměřenosti nebo selhání vnitřních procesů, zaměstnanců nebo osob činných pro pojišťovnu nebo zajišťovnu, systémů nebo z vnějších událostí,</w:t>
      </w:r>
    </w:p>
    <w:p w14:paraId="5687B2E0" w14:textId="77777777" w:rsidR="00D8555D" w:rsidRPr="00C11E95" w:rsidRDefault="00D8555D" w:rsidP="00A679B4">
      <w:pPr>
        <w:spacing w:before="0"/>
        <w:ind w:left="425" w:hanging="425"/>
        <w:outlineLvl w:val="7"/>
      </w:pPr>
      <w:r w:rsidRPr="00C11E95">
        <w:t>e)</w:t>
      </w:r>
      <w:r w:rsidRPr="00C11E95">
        <w:tab/>
        <w:t>rizikem likvidity riziko neschopnosti pojišťovny nebo zajišťovny zpeněžit své investice a další aktiva určená k úhradě svých dluhů v okamžiku, kdy se stávají splatnými,</w:t>
      </w:r>
    </w:p>
    <w:p w14:paraId="2EE6251A" w14:textId="77777777" w:rsidR="00D8555D" w:rsidRPr="00C11E95" w:rsidRDefault="00D8555D" w:rsidP="00A679B4">
      <w:pPr>
        <w:spacing w:before="0"/>
        <w:ind w:left="425" w:hanging="425"/>
        <w:outlineLvl w:val="7"/>
      </w:pPr>
      <w:r w:rsidRPr="00C11E95">
        <w:t>f)</w:t>
      </w:r>
      <w:r w:rsidRPr="00C11E95">
        <w:tab/>
        <w:t>rizikem koncentrace všechna vystavení rizikům s možnou ztrátou, která je dostatečně velká, aby ohrozila solventnost nebo finanční situaci pojišťovny nebo zajišťovny,</w:t>
      </w:r>
    </w:p>
    <w:p w14:paraId="4E2A153C" w14:textId="77777777" w:rsidR="00D8555D" w:rsidRPr="00C11E95" w:rsidRDefault="00D8555D" w:rsidP="00A679B4">
      <w:pPr>
        <w:spacing w:before="0"/>
        <w:ind w:left="425" w:hanging="425"/>
        <w:outlineLvl w:val="7"/>
      </w:pPr>
      <w:r w:rsidRPr="00C11E95">
        <w:t>g)</w:t>
      </w:r>
      <w:r w:rsidRPr="00C11E95">
        <w:tab/>
        <w:t>technikami snižování rizik všechny techniky, které umožňují pojišťovně nebo zajišťovně přenést část nebo všechna jejich rizika na jinou smluvní stranu,</w:t>
      </w:r>
    </w:p>
    <w:p w14:paraId="3F7D80E1" w14:textId="77777777" w:rsidR="00D8555D" w:rsidRPr="00C11E95" w:rsidRDefault="00D8555D" w:rsidP="00A679B4">
      <w:pPr>
        <w:spacing w:before="0"/>
        <w:ind w:left="425" w:hanging="425"/>
        <w:outlineLvl w:val="7"/>
      </w:pPr>
      <w:r w:rsidRPr="00C11E95">
        <w:lastRenderedPageBreak/>
        <w:t>h)</w:t>
      </w:r>
      <w:r w:rsidRPr="00C11E95">
        <w:tab/>
        <w:t>mírou rizika matematická funkce, která přiřazuje peněžní částku dané prognóze rozdělení pravděpodobnosti a monotónně roste s úrovní vystavení rizikům, která jsou podkladem dané prognózy rozdělení pravděpodobnosti,</w:t>
      </w:r>
    </w:p>
    <w:p w14:paraId="4CC608A9" w14:textId="77777777" w:rsidR="00D8555D" w:rsidRPr="00764B6F" w:rsidRDefault="00D8555D" w:rsidP="00A679B4">
      <w:pPr>
        <w:spacing w:before="0"/>
        <w:ind w:left="425" w:hanging="425"/>
        <w:outlineLvl w:val="7"/>
      </w:pPr>
      <w:r w:rsidRPr="00C11E95">
        <w:t>i)</w:t>
      </w:r>
      <w:r w:rsidRPr="00C11E95">
        <w:tab/>
        <w:t>externí ratingovou agenturou právnická osoba vydávající úvěrové hodnocení na základě povolení uděleného v souladu s přímo použitelným předpisem Evropské unie upravujícím ratingové agentury</w:t>
      </w:r>
      <w:r>
        <w:rPr>
          <w:rStyle w:val="Znakapoznpodarou"/>
        </w:rPr>
        <w:footnoteReference w:customMarkFollows="1" w:id="522"/>
        <w:t>41)</w:t>
      </w:r>
      <w:r w:rsidRPr="00C11E95">
        <w:t xml:space="preserve"> nebo centrální banka vydávající úvěrové hodnocení, na kterou se nevztahuje tento přímo použitelný předpis.</w:t>
      </w:r>
    </w:p>
    <w:p w14:paraId="64471BD3" w14:textId="77777777" w:rsidR="00D8555D" w:rsidRDefault="00D8555D" w:rsidP="00A679B4">
      <w:pPr>
        <w:pStyle w:val="Paragraf"/>
        <w:spacing w:after="120"/>
      </w:pPr>
      <w:r>
        <w:t>***</w:t>
      </w:r>
    </w:p>
    <w:p w14:paraId="17036517" w14:textId="77777777" w:rsidR="00D8555D" w:rsidRPr="00A94A2E" w:rsidRDefault="00D8555D" w:rsidP="00A679B4">
      <w:pPr>
        <w:keepNext/>
        <w:keepLines/>
        <w:spacing w:after="120"/>
        <w:ind w:firstLine="0"/>
        <w:jc w:val="center"/>
        <w:outlineLvl w:val="5"/>
      </w:pPr>
      <w:r w:rsidRPr="00A94A2E">
        <w:t xml:space="preserve">§ 7g </w:t>
      </w:r>
    </w:p>
    <w:p w14:paraId="7849EB5C" w14:textId="77777777" w:rsidR="00D8555D" w:rsidRPr="00A94A2E" w:rsidRDefault="00D8555D" w:rsidP="00A679B4">
      <w:pPr>
        <w:keepNext/>
        <w:keepLines/>
        <w:spacing w:after="120"/>
        <w:ind w:firstLine="0"/>
        <w:jc w:val="center"/>
        <w:outlineLvl w:val="5"/>
        <w:rPr>
          <w:b/>
        </w:rPr>
      </w:pPr>
      <w:r w:rsidRPr="00A94A2E">
        <w:rPr>
          <w:b/>
        </w:rPr>
        <w:t>Pravidla pro externí zajištění činností</w:t>
      </w:r>
    </w:p>
    <w:p w14:paraId="46D7179E" w14:textId="77777777" w:rsidR="00D8555D" w:rsidRPr="00A94A2E" w:rsidRDefault="00D8555D" w:rsidP="00607B4B">
      <w:pPr>
        <w:tabs>
          <w:tab w:val="left" w:pos="782"/>
          <w:tab w:val="left" w:pos="851"/>
        </w:tabs>
        <w:spacing w:before="120" w:after="120"/>
        <w:outlineLvl w:val="6"/>
      </w:pPr>
      <w:r w:rsidRPr="00A94A2E">
        <w:t>(1)</w:t>
      </w:r>
      <w:r w:rsidRPr="00A94A2E">
        <w:tab/>
        <w:t>Zajišťuje-li tuzemská pojišťovna nebo tuzemská zajišťovna externě svoji určitou činnost, není tím dotčena její odpovědnost za plnění povinností stanovených tímto zákonem nebo přímo použitelným předpisem Evropské unie.</w:t>
      </w:r>
    </w:p>
    <w:p w14:paraId="44B1D127" w14:textId="77777777" w:rsidR="00D8555D" w:rsidRPr="00A94A2E" w:rsidRDefault="00D8555D" w:rsidP="00607B4B">
      <w:pPr>
        <w:tabs>
          <w:tab w:val="left" w:pos="782"/>
          <w:tab w:val="left" w:pos="851"/>
        </w:tabs>
        <w:spacing w:before="120" w:after="120"/>
        <w:outlineLvl w:val="6"/>
      </w:pPr>
      <w:r w:rsidRPr="00A94A2E">
        <w:t>(2)</w:t>
      </w:r>
      <w:r w:rsidRPr="00A94A2E">
        <w:tab/>
        <w:t>Pojišťovna nebo zajišťovna podle odstavce 1 zavede opatření k vyloučení vzniku nepřiměřeného rizika vyplývajícího ze selhání poskytovatele služby a zajistí</w:t>
      </w:r>
    </w:p>
    <w:p w14:paraId="74B1AD51" w14:textId="77777777" w:rsidR="00D8555D" w:rsidRPr="00A94A2E" w:rsidRDefault="00D8555D" w:rsidP="00A679B4">
      <w:pPr>
        <w:spacing w:before="0"/>
        <w:ind w:left="425" w:hanging="425"/>
        <w:outlineLvl w:val="7"/>
      </w:pPr>
      <w:r w:rsidRPr="00A94A2E">
        <w:t>a)</w:t>
      </w:r>
      <w:r w:rsidRPr="00A94A2E">
        <w:tab/>
        <w:t>součinnost poskytovatele služby s pojišťovnou nebo zajišťovnou a s Českou národní bankou a</w:t>
      </w:r>
    </w:p>
    <w:p w14:paraId="5F52E8B2" w14:textId="77777777" w:rsidR="00D8555D" w:rsidRPr="00A94A2E" w:rsidRDefault="00D8555D" w:rsidP="00A679B4">
      <w:pPr>
        <w:spacing w:before="0"/>
        <w:ind w:left="425" w:hanging="425"/>
        <w:outlineLvl w:val="7"/>
      </w:pPr>
      <w:r w:rsidRPr="00A94A2E">
        <w:t>b)</w:t>
      </w:r>
      <w:r w:rsidRPr="00A94A2E">
        <w:tab/>
        <w:t xml:space="preserve">přístup orgánů pojišťovny nebo zajišťovny, České národní banky nebo jiného orgánu dohledu, kterému pojišťovna nebo zajišťovna podléhá, a auditora </w:t>
      </w:r>
      <w:r w:rsidRPr="00CB4328">
        <w:rPr>
          <w:strike/>
        </w:rPr>
        <w:t>podle § 80 odst. 2</w:t>
      </w:r>
      <w:r w:rsidRPr="00A94A2E">
        <w:t xml:space="preserve"> k údajům o takto zabezpečované činnosti pojišťovny nebo zajišťovny.</w:t>
      </w:r>
    </w:p>
    <w:p w14:paraId="0AB5E0A4" w14:textId="77777777" w:rsidR="00D8555D" w:rsidRPr="00A94A2E" w:rsidRDefault="00D8555D" w:rsidP="00607B4B">
      <w:pPr>
        <w:tabs>
          <w:tab w:val="left" w:pos="782"/>
          <w:tab w:val="left" w:pos="851"/>
        </w:tabs>
        <w:spacing w:before="120" w:after="120"/>
        <w:outlineLvl w:val="6"/>
      </w:pPr>
      <w:r w:rsidRPr="00A94A2E">
        <w:t>(3)</w:t>
      </w:r>
      <w:r w:rsidRPr="00A94A2E">
        <w:tab/>
        <w:t>Pojišťovna nebo zajišťovna podle odstavce 1 má v rámci řídicího a kontrolního systému písemnou koncepci pro externí zajištění některých činností.</w:t>
      </w:r>
    </w:p>
    <w:p w14:paraId="7E779D3C" w14:textId="77777777" w:rsidR="00D8555D" w:rsidRPr="00A94A2E" w:rsidRDefault="00D8555D" w:rsidP="00607B4B">
      <w:pPr>
        <w:tabs>
          <w:tab w:val="left" w:pos="782"/>
          <w:tab w:val="left" w:pos="851"/>
        </w:tabs>
        <w:spacing w:before="120" w:after="120"/>
        <w:outlineLvl w:val="6"/>
      </w:pPr>
      <w:r w:rsidRPr="00A94A2E">
        <w:t>(4)</w:t>
      </w:r>
      <w:r w:rsidRPr="00A94A2E">
        <w:tab/>
        <w:t>Externí zajištění rozhodujících nebo významných činností je zakázáno, pokud by vedlo k</w:t>
      </w:r>
    </w:p>
    <w:p w14:paraId="4DD806B3" w14:textId="77777777" w:rsidR="00D8555D" w:rsidRPr="00A94A2E" w:rsidRDefault="00D8555D" w:rsidP="00A679B4">
      <w:pPr>
        <w:spacing w:before="0"/>
        <w:ind w:left="425" w:hanging="425"/>
        <w:outlineLvl w:val="7"/>
      </w:pPr>
      <w:r w:rsidRPr="00A94A2E">
        <w:t>a)</w:t>
      </w:r>
      <w:r w:rsidRPr="00A94A2E">
        <w:tab/>
        <w:t>podstatnému zhoršení kvality řídicího a kontrolního systému pojišťovny nebo zajišťovny,</w:t>
      </w:r>
    </w:p>
    <w:p w14:paraId="7385DD43" w14:textId="77777777" w:rsidR="00D8555D" w:rsidRPr="00A94A2E" w:rsidRDefault="00D8555D" w:rsidP="00A679B4">
      <w:pPr>
        <w:spacing w:before="0"/>
        <w:ind w:left="425" w:hanging="425"/>
        <w:outlineLvl w:val="7"/>
      </w:pPr>
      <w:r w:rsidRPr="00A94A2E">
        <w:t>b)</w:t>
      </w:r>
      <w:r w:rsidRPr="00A94A2E">
        <w:tab/>
        <w:t>nadměrnému zvýšení operačního rizika,</w:t>
      </w:r>
    </w:p>
    <w:p w14:paraId="7186442E" w14:textId="77777777" w:rsidR="00D8555D" w:rsidRPr="00A94A2E" w:rsidRDefault="00D8555D" w:rsidP="00A679B4">
      <w:pPr>
        <w:spacing w:before="0"/>
        <w:ind w:left="425" w:hanging="425"/>
        <w:outlineLvl w:val="7"/>
      </w:pPr>
      <w:r w:rsidRPr="00A94A2E">
        <w:t>c)</w:t>
      </w:r>
      <w:r w:rsidRPr="00A94A2E">
        <w:tab/>
        <w:t>zhoršení možnosti České národní banky nebo jiného orgánu dohledu, kterému pojišťovna nebo zajišťovna podléhá, sledovat plnění jejích povinností, nebo</w:t>
      </w:r>
    </w:p>
    <w:p w14:paraId="46F287D4" w14:textId="77777777" w:rsidR="00D8555D" w:rsidRPr="00A94A2E" w:rsidRDefault="00D8555D" w:rsidP="00A679B4">
      <w:pPr>
        <w:spacing w:before="0"/>
        <w:ind w:left="425" w:hanging="425"/>
        <w:outlineLvl w:val="7"/>
      </w:pPr>
      <w:r w:rsidRPr="00A94A2E">
        <w:t>d)</w:t>
      </w:r>
      <w:r w:rsidRPr="00A94A2E">
        <w:tab/>
        <w:t>narušení kvality a nepřetržitého poskytování služeb pojistníkům.</w:t>
      </w:r>
    </w:p>
    <w:p w14:paraId="6151B83D" w14:textId="3436F9E0" w:rsidR="00D8555D" w:rsidRPr="00CB4328" w:rsidRDefault="00A679B4" w:rsidP="00A679B4">
      <w:pPr>
        <w:tabs>
          <w:tab w:val="left" w:pos="782"/>
          <w:tab w:val="left" w:pos="851"/>
        </w:tabs>
        <w:spacing w:after="120"/>
        <w:outlineLvl w:val="6"/>
      </w:pPr>
      <w:r>
        <w:t xml:space="preserve">(5) </w:t>
      </w:r>
      <w:r w:rsidR="00D8555D" w:rsidRPr="00A94A2E">
        <w:t>Tuzemská pojišťovna a tuzemská zajišťovna informuje předem Českou národní banku o každém svém rozhodnutí externě zajistit rozhodující nebo významnou činnost. O každém následném závažném vývoji takto zajištěné provozní činnosti informuje Českou národní banku bez zbytečného odkladu.</w:t>
      </w:r>
    </w:p>
    <w:p w14:paraId="1715EF67" w14:textId="77777777" w:rsidR="00D8555D" w:rsidRPr="00CB4328" w:rsidRDefault="00D8555D" w:rsidP="00A679B4">
      <w:pPr>
        <w:pStyle w:val="Paragraf"/>
        <w:spacing w:after="120"/>
      </w:pPr>
      <w:r>
        <w:lastRenderedPageBreak/>
        <w:t>***</w:t>
      </w:r>
    </w:p>
    <w:p w14:paraId="3F8E03D5" w14:textId="77777777" w:rsidR="00D8555D" w:rsidRPr="00AD0364" w:rsidRDefault="00D8555D" w:rsidP="00A679B4">
      <w:pPr>
        <w:keepNext/>
        <w:keepLines/>
        <w:spacing w:after="120"/>
        <w:ind w:firstLine="0"/>
        <w:jc w:val="center"/>
        <w:outlineLvl w:val="5"/>
        <w:rPr>
          <w:strike/>
        </w:rPr>
      </w:pPr>
      <w:r w:rsidRPr="00AD0364">
        <w:rPr>
          <w:strike/>
        </w:rPr>
        <w:t xml:space="preserve">§ 80 </w:t>
      </w:r>
    </w:p>
    <w:p w14:paraId="4635CBCF" w14:textId="77777777" w:rsidR="00D8555D" w:rsidRPr="00004AA4" w:rsidRDefault="00D8555D" w:rsidP="00A679B4">
      <w:pPr>
        <w:keepNext/>
        <w:keepLines/>
        <w:spacing w:after="120"/>
        <w:ind w:firstLine="0"/>
        <w:jc w:val="center"/>
        <w:outlineLvl w:val="5"/>
        <w:rPr>
          <w:b/>
          <w:strike/>
        </w:rPr>
      </w:pPr>
      <w:r w:rsidRPr="00004AA4">
        <w:rPr>
          <w:b/>
          <w:strike/>
        </w:rPr>
        <w:t xml:space="preserve">Účetnictví a audit </w:t>
      </w:r>
    </w:p>
    <w:p w14:paraId="18D89E57" w14:textId="77777777" w:rsidR="00D8555D" w:rsidRPr="001964F5" w:rsidRDefault="00D8555D" w:rsidP="00607B4B">
      <w:pPr>
        <w:tabs>
          <w:tab w:val="left" w:pos="782"/>
          <w:tab w:val="left" w:pos="851"/>
        </w:tabs>
        <w:spacing w:before="120" w:after="120"/>
        <w:outlineLvl w:val="6"/>
        <w:rPr>
          <w:szCs w:val="22"/>
        </w:rPr>
      </w:pPr>
      <w:r w:rsidRPr="001964F5">
        <w:rPr>
          <w:strike/>
          <w:szCs w:val="24"/>
        </w:rPr>
        <w:t>(1) Tuzemská pojišťovna, tuzemská zajišťovna a pojišťovna z jiného členského státu, pojišťovna z třetího státu, zajišťovna z jiného členského státu a zajišťovna z třetího státu, která svoji činnost na území České republiky provozuje prostřednictvím pobočky, vede účetnictví podle zákona upravujícího účetnictví.</w:t>
      </w:r>
    </w:p>
    <w:p w14:paraId="493F36CA" w14:textId="77777777" w:rsidR="00D8555D" w:rsidRPr="001964F5" w:rsidRDefault="00D8555D" w:rsidP="00607B4B">
      <w:pPr>
        <w:tabs>
          <w:tab w:val="left" w:pos="782"/>
          <w:tab w:val="left" w:pos="851"/>
        </w:tabs>
        <w:spacing w:before="120" w:after="120"/>
        <w:outlineLvl w:val="6"/>
        <w:rPr>
          <w:rFonts w:eastAsia="Calibri"/>
          <w:strike/>
          <w:szCs w:val="22"/>
          <w:lang w:eastAsia="en-US"/>
        </w:rPr>
      </w:pPr>
      <w:r w:rsidRPr="001964F5">
        <w:rPr>
          <w:rFonts w:eastAsia="Calibri"/>
          <w:strike/>
          <w:szCs w:val="22"/>
          <w:lang w:eastAsia="en-US"/>
        </w:rPr>
        <w:t>(2) Pojišťovna nebo zajišťovna, která podle zákona upravujícího účetnictví sestavuje účetní závěrku nebo konsolidovanou účetní závěrku, je povinna mít tuto účetní závěrku nebo konsolidovanou účetní závěrku ověřenu statutárním auditorem nebo auditorskou společností (dále jen "auditor"), kterého pojišťovna nebo zajišťovna určuje způsobem stanoveným v zákoně upravujícím auditorskou činnost.</w:t>
      </w:r>
    </w:p>
    <w:p w14:paraId="1925AC4A" w14:textId="77777777" w:rsidR="00D8555D" w:rsidRPr="001964F5" w:rsidRDefault="00D8555D" w:rsidP="00607B4B">
      <w:pPr>
        <w:tabs>
          <w:tab w:val="left" w:pos="782"/>
          <w:tab w:val="left" w:pos="851"/>
        </w:tabs>
        <w:spacing w:before="120" w:after="120"/>
        <w:outlineLvl w:val="6"/>
        <w:rPr>
          <w:strike/>
          <w:szCs w:val="22"/>
        </w:rPr>
      </w:pPr>
      <w:r w:rsidRPr="001964F5">
        <w:rPr>
          <w:strike/>
          <w:szCs w:val="22"/>
        </w:rPr>
        <w:t>(3)</w:t>
      </w:r>
      <w:r w:rsidRPr="001964F5">
        <w:rPr>
          <w:b/>
          <w:strike/>
          <w:szCs w:val="22"/>
        </w:rPr>
        <w:t xml:space="preserve"> </w:t>
      </w:r>
      <w:r w:rsidRPr="001964F5">
        <w:rPr>
          <w:strike/>
          <w:szCs w:val="22"/>
        </w:rPr>
        <w:t>Tuzemská pojišťovna, tuzemská zajišťovna nebo pojišťovna z třetího státu nebo zajišťovna z třetího státu je povinna oznámit České národní bance auditora, vybraného pro ověření účetní závěrky nebo konsolidované účetní závěrky, která je oprávněna vybraného auditora odmítnout. Pojišťovna nebo zajišťovna je povinna oznámit České národní bance auditora před jeho určením podle odstavce 2. Odmítne-li Česká národní banka vybraného auditora, je pojišťovna nebo zajišťovna povinna oznámit do 30 dnů ode dne doručení rozhodnutí o jeho odmítnutí České národní bance výběr nového auditora.</w:t>
      </w:r>
    </w:p>
    <w:p w14:paraId="554F629B" w14:textId="77777777" w:rsidR="00D8555D" w:rsidRPr="001964F5" w:rsidRDefault="00D8555D" w:rsidP="00607B4B">
      <w:pPr>
        <w:tabs>
          <w:tab w:val="left" w:pos="782"/>
          <w:tab w:val="left" w:pos="851"/>
        </w:tabs>
        <w:spacing w:before="120" w:after="120"/>
        <w:outlineLvl w:val="6"/>
        <w:rPr>
          <w:strike/>
          <w:szCs w:val="22"/>
        </w:rPr>
      </w:pPr>
      <w:r w:rsidRPr="001964F5">
        <w:rPr>
          <w:strike/>
          <w:szCs w:val="22"/>
        </w:rPr>
        <w:t xml:space="preserve">(4) Oznámení o výběru auditora tuzemské pojišťovny, tuzemské zajišťovny, pojišťovny z třetího státu nebo zajišťovny z třetího státu podle odstavce 3 obsahuje </w:t>
      </w:r>
    </w:p>
    <w:p w14:paraId="6186B856" w14:textId="77777777" w:rsidR="00D8555D" w:rsidRPr="001964F5" w:rsidRDefault="00D8555D" w:rsidP="00A679B4">
      <w:pPr>
        <w:spacing w:before="0"/>
        <w:ind w:left="425" w:hanging="425"/>
        <w:outlineLvl w:val="7"/>
        <w:rPr>
          <w:strike/>
          <w:szCs w:val="22"/>
        </w:rPr>
      </w:pPr>
      <w:r w:rsidRPr="001964F5">
        <w:rPr>
          <w:strike/>
          <w:szCs w:val="22"/>
        </w:rPr>
        <w:t>a)</w:t>
      </w:r>
      <w:r w:rsidRPr="001964F5">
        <w:rPr>
          <w:strike/>
          <w:szCs w:val="22"/>
        </w:rPr>
        <w:tab/>
        <w:t xml:space="preserve">jméno statutárního auditora nebo název auditorské společnosti a evidenční číslo přidělené Komorou auditorů České republiky, </w:t>
      </w:r>
    </w:p>
    <w:p w14:paraId="085AA7E4" w14:textId="77777777" w:rsidR="00D8555D" w:rsidRPr="001964F5" w:rsidRDefault="00D8555D" w:rsidP="00A679B4">
      <w:pPr>
        <w:spacing w:before="0"/>
        <w:ind w:left="425" w:hanging="425"/>
        <w:outlineLvl w:val="7"/>
        <w:rPr>
          <w:strike/>
          <w:szCs w:val="22"/>
        </w:rPr>
      </w:pPr>
      <w:r w:rsidRPr="001964F5">
        <w:rPr>
          <w:strike/>
          <w:szCs w:val="22"/>
        </w:rPr>
        <w:t>b)</w:t>
      </w:r>
      <w:r w:rsidRPr="001964F5">
        <w:rPr>
          <w:strike/>
          <w:szCs w:val="22"/>
        </w:rPr>
        <w:tab/>
        <w:t xml:space="preserve">dobu a rozsah dosavadní činnosti auditora v oblasti účetnictví pojišťoven nebo zajišťoven, </w:t>
      </w:r>
    </w:p>
    <w:p w14:paraId="18E797D8" w14:textId="77777777" w:rsidR="00D8555D" w:rsidRPr="001964F5" w:rsidRDefault="00D8555D" w:rsidP="00A679B4">
      <w:pPr>
        <w:spacing w:before="0"/>
        <w:ind w:left="425" w:hanging="425"/>
        <w:outlineLvl w:val="7"/>
        <w:rPr>
          <w:strike/>
          <w:szCs w:val="22"/>
        </w:rPr>
      </w:pPr>
      <w:r w:rsidRPr="001964F5">
        <w:rPr>
          <w:strike/>
          <w:szCs w:val="22"/>
        </w:rPr>
        <w:t>c)</w:t>
      </w:r>
      <w:r w:rsidRPr="001964F5">
        <w:rPr>
          <w:strike/>
          <w:szCs w:val="22"/>
        </w:rPr>
        <w:tab/>
        <w:t xml:space="preserve">popis činností doposud vykonávaných v oblasti auditu pojišťoven nebo zajišťoven, popřípadě jiných finančních institucí, </w:t>
      </w:r>
    </w:p>
    <w:p w14:paraId="07B8EDEC" w14:textId="77777777" w:rsidR="00D8555D" w:rsidRPr="001964F5" w:rsidRDefault="00D8555D" w:rsidP="00A679B4">
      <w:pPr>
        <w:spacing w:before="0"/>
        <w:ind w:left="425" w:hanging="425"/>
        <w:outlineLvl w:val="7"/>
        <w:rPr>
          <w:strike/>
          <w:szCs w:val="22"/>
        </w:rPr>
      </w:pPr>
      <w:r w:rsidRPr="001964F5">
        <w:rPr>
          <w:strike/>
          <w:szCs w:val="22"/>
        </w:rPr>
        <w:t>d)</w:t>
      </w:r>
      <w:r w:rsidRPr="001964F5">
        <w:rPr>
          <w:strike/>
          <w:szCs w:val="22"/>
        </w:rPr>
        <w:tab/>
        <w:t xml:space="preserve">kárná opatření přijatá Komorou auditorů České republiky nebo jinou obdobnou institucí v zahraničí vůči auditorovi, byla-li taková přijata, a </w:t>
      </w:r>
    </w:p>
    <w:p w14:paraId="5C8C2FE7" w14:textId="77777777" w:rsidR="00D8555D" w:rsidRPr="001964F5" w:rsidRDefault="00D8555D" w:rsidP="00A679B4">
      <w:pPr>
        <w:spacing w:before="0"/>
        <w:ind w:left="425" w:hanging="425"/>
        <w:outlineLvl w:val="7"/>
        <w:rPr>
          <w:strike/>
          <w:szCs w:val="22"/>
        </w:rPr>
      </w:pPr>
      <w:r w:rsidRPr="001964F5">
        <w:rPr>
          <w:strike/>
          <w:szCs w:val="22"/>
        </w:rPr>
        <w:t>e)</w:t>
      </w:r>
      <w:r w:rsidRPr="001964F5">
        <w:rPr>
          <w:strike/>
          <w:szCs w:val="22"/>
        </w:rPr>
        <w:tab/>
        <w:t>čestné prohlášení auditora o neexistenci propojení podle odstavce 5 písm. a) s pojišťovnou nebo zajišťovnou, ve které má provést ověření účetní závěrky nebo konsolidované účetní závěrky.</w:t>
      </w:r>
    </w:p>
    <w:p w14:paraId="0916A177" w14:textId="77777777" w:rsidR="00D8555D" w:rsidRPr="001964F5" w:rsidRDefault="00D8555D" w:rsidP="00A679B4">
      <w:pPr>
        <w:tabs>
          <w:tab w:val="left" w:pos="782"/>
          <w:tab w:val="left" w:pos="851"/>
        </w:tabs>
        <w:spacing w:after="120"/>
        <w:outlineLvl w:val="6"/>
        <w:rPr>
          <w:strike/>
          <w:szCs w:val="22"/>
        </w:rPr>
      </w:pPr>
      <w:r w:rsidRPr="001964F5">
        <w:rPr>
          <w:strike/>
          <w:szCs w:val="22"/>
        </w:rPr>
        <w:t xml:space="preserve">(5) Česká národní banka auditora odmítne, pokud </w:t>
      </w:r>
    </w:p>
    <w:p w14:paraId="443CFEF6" w14:textId="77777777" w:rsidR="00D8555D" w:rsidRPr="001964F5" w:rsidRDefault="00D8555D" w:rsidP="00A679B4">
      <w:pPr>
        <w:spacing w:before="0"/>
        <w:ind w:left="425" w:hanging="425"/>
        <w:outlineLvl w:val="7"/>
        <w:rPr>
          <w:strike/>
          <w:szCs w:val="22"/>
        </w:rPr>
      </w:pPr>
      <w:r w:rsidRPr="001964F5">
        <w:rPr>
          <w:strike/>
          <w:szCs w:val="22"/>
        </w:rPr>
        <w:t xml:space="preserve">a) </w:t>
      </w:r>
      <w:r w:rsidRPr="001964F5">
        <w:rPr>
          <w:strike/>
          <w:szCs w:val="22"/>
        </w:rPr>
        <w:tab/>
        <w:t xml:space="preserve">je nebo byl v posledních 2 letech před provedením ověření účetní závěrky nebo konsolidované účetní závěrky členem statutárního orgánu, kontrolního orgánu, výboru pro audit, prokuristou nebo zástupcem pobočky, osobou s klíčovou funkcí nebo zaměstnancem tuzemské pojišťovny, tuzemské zajišťovny, pojišťovny z třetího státu nebo zajišťovny z třetího státu, ve které má provést ověření účetní závěrky nebo konsolidované účetní závěrky, nebo </w:t>
      </w:r>
    </w:p>
    <w:p w14:paraId="730E0E10" w14:textId="77777777" w:rsidR="00D8555D" w:rsidRPr="001964F5" w:rsidRDefault="00D8555D" w:rsidP="00A679B4">
      <w:pPr>
        <w:spacing w:before="0"/>
        <w:ind w:left="425" w:hanging="425"/>
        <w:outlineLvl w:val="7"/>
        <w:rPr>
          <w:strike/>
          <w:szCs w:val="22"/>
        </w:rPr>
      </w:pPr>
      <w:r w:rsidRPr="001964F5">
        <w:rPr>
          <w:strike/>
          <w:szCs w:val="22"/>
        </w:rPr>
        <w:t xml:space="preserve">b) </w:t>
      </w:r>
      <w:r w:rsidRPr="001964F5">
        <w:rPr>
          <w:strike/>
          <w:szCs w:val="22"/>
        </w:rPr>
        <w:tab/>
        <w:t xml:space="preserve">jeho zkušenosti v oblasti účetnictví pojišťoven nebo zajišťoven nebo jeho dosavadní praxe v oblasti auditu pojišťoven nebo zajišťoven nezajišťují předpoklad řádného ověření účetní závěrky nebo konsolidované účetní závěrky, a to s ohledem na rozsah a složitost činností vykonávaných pojišťovnou nebo zajišťovnou, ve které má provést ověření účetní závěrky nebo konsolidované účetní závěrky. </w:t>
      </w:r>
    </w:p>
    <w:p w14:paraId="7D3E6ED3" w14:textId="77777777" w:rsidR="00D8555D" w:rsidRDefault="00D8555D" w:rsidP="00A679B4">
      <w:pPr>
        <w:keepNext/>
        <w:keepLines/>
        <w:spacing w:after="120"/>
        <w:ind w:firstLine="0"/>
        <w:jc w:val="center"/>
        <w:outlineLvl w:val="5"/>
        <w:rPr>
          <w:b/>
        </w:rPr>
      </w:pPr>
      <w:r w:rsidRPr="00AD0364">
        <w:rPr>
          <w:b/>
        </w:rPr>
        <w:lastRenderedPageBreak/>
        <w:t xml:space="preserve">§ 80 </w:t>
      </w:r>
    </w:p>
    <w:p w14:paraId="5F2E8DF6" w14:textId="77777777" w:rsidR="00D8555D" w:rsidRPr="00AD0364" w:rsidRDefault="00D8555D" w:rsidP="00A679B4">
      <w:pPr>
        <w:keepNext/>
        <w:keepLines/>
        <w:spacing w:after="120"/>
        <w:ind w:firstLine="0"/>
        <w:jc w:val="center"/>
        <w:outlineLvl w:val="5"/>
        <w:rPr>
          <w:b/>
        </w:rPr>
      </w:pPr>
      <w:r w:rsidRPr="00AD0364">
        <w:rPr>
          <w:b/>
        </w:rPr>
        <w:t xml:space="preserve">Použití </w:t>
      </w:r>
      <w:r>
        <w:rPr>
          <w:b/>
        </w:rPr>
        <w:t xml:space="preserve">vybraných </w:t>
      </w:r>
      <w:r w:rsidRPr="00AD0364">
        <w:rPr>
          <w:b/>
        </w:rPr>
        <w:t>účetních postupů a oznámení o výběru auditora</w:t>
      </w:r>
    </w:p>
    <w:p w14:paraId="1808F335" w14:textId="77777777" w:rsidR="00D8555D" w:rsidRPr="00F67D2B" w:rsidRDefault="00D8555D" w:rsidP="00607B4B">
      <w:pPr>
        <w:tabs>
          <w:tab w:val="left" w:pos="782"/>
          <w:tab w:val="left" w:pos="851"/>
        </w:tabs>
        <w:spacing w:before="120" w:after="120"/>
        <w:outlineLvl w:val="6"/>
        <w:rPr>
          <w:b/>
          <w:color w:val="FF0000"/>
          <w:szCs w:val="24"/>
        </w:rPr>
      </w:pPr>
      <w:r w:rsidRPr="00AD0364">
        <w:rPr>
          <w:b/>
          <w:szCs w:val="24"/>
        </w:rPr>
        <w:t xml:space="preserve">(1) Pojišťovna a zajišťovna se sídlem v jiném státu než České republice, která svoji činnost na území České republiky provozuje prostřednictvím pobočky, používá pro účely plnění povinností vůči České národní bance </w:t>
      </w:r>
      <w:r>
        <w:rPr>
          <w:b/>
          <w:szCs w:val="24"/>
        </w:rPr>
        <w:t xml:space="preserve">vybrané </w:t>
      </w:r>
      <w:r w:rsidRPr="00AD0364">
        <w:rPr>
          <w:b/>
          <w:szCs w:val="24"/>
        </w:rPr>
        <w:t xml:space="preserve">účetní postupy podle zákona upravujícího účetnictví. </w:t>
      </w:r>
    </w:p>
    <w:p w14:paraId="2A66EDC1" w14:textId="77777777" w:rsidR="00D8555D" w:rsidRPr="003A45A2" w:rsidRDefault="00D8555D" w:rsidP="00607B4B">
      <w:pPr>
        <w:tabs>
          <w:tab w:val="left" w:pos="782"/>
          <w:tab w:val="left" w:pos="851"/>
        </w:tabs>
        <w:spacing w:before="120" w:after="120"/>
        <w:outlineLvl w:val="6"/>
        <w:rPr>
          <w:b/>
          <w:szCs w:val="24"/>
        </w:rPr>
      </w:pPr>
      <w:r w:rsidRPr="003A45A2">
        <w:rPr>
          <w:b/>
          <w:szCs w:val="24"/>
        </w:rPr>
        <w:t>(2)</w:t>
      </w:r>
      <w:r>
        <w:rPr>
          <w:b/>
          <w:szCs w:val="24"/>
        </w:rPr>
        <w:t xml:space="preserve"> </w:t>
      </w:r>
      <w:r w:rsidRPr="003A45A2">
        <w:rPr>
          <w:b/>
          <w:szCs w:val="24"/>
        </w:rPr>
        <w:t xml:space="preserve">Tuzemská pojišťovna nebo tuzemská zajišťovna oznámí České národní bance auditora vybraného pro provedení </w:t>
      </w:r>
      <w:r w:rsidRPr="009C26B1">
        <w:rPr>
          <w:b/>
          <w:szCs w:val="24"/>
        </w:rPr>
        <w:t>povinného auditu</w:t>
      </w:r>
      <w:r w:rsidRPr="003A45A2">
        <w:rPr>
          <w:b/>
          <w:szCs w:val="24"/>
        </w:rPr>
        <w:t xml:space="preserve"> před jeho určením způsobem stanoveným zákonem upravujícím auditorskou činnost.</w:t>
      </w:r>
    </w:p>
    <w:p w14:paraId="49BBD31D" w14:textId="77777777" w:rsidR="00D8555D" w:rsidRPr="003A45A2" w:rsidRDefault="00D8555D" w:rsidP="00607B4B">
      <w:pPr>
        <w:tabs>
          <w:tab w:val="left" w:pos="782"/>
          <w:tab w:val="left" w:pos="851"/>
        </w:tabs>
        <w:spacing w:before="120" w:after="120"/>
        <w:outlineLvl w:val="6"/>
        <w:rPr>
          <w:b/>
          <w:szCs w:val="24"/>
        </w:rPr>
      </w:pPr>
      <w:r w:rsidRPr="003A45A2">
        <w:rPr>
          <w:b/>
          <w:szCs w:val="24"/>
        </w:rPr>
        <w:t>(3) Oznámení o výběru auditora podle odstavce 2 obsahuje</w:t>
      </w:r>
    </w:p>
    <w:p w14:paraId="459EDCBF" w14:textId="77777777" w:rsidR="00D8555D" w:rsidRPr="003A45A2" w:rsidRDefault="00D8555D" w:rsidP="00A679B4">
      <w:pPr>
        <w:spacing w:before="0"/>
        <w:ind w:left="425" w:hanging="425"/>
        <w:outlineLvl w:val="7"/>
        <w:rPr>
          <w:b/>
          <w:szCs w:val="24"/>
        </w:rPr>
      </w:pPr>
      <w:r w:rsidRPr="003A45A2">
        <w:rPr>
          <w:b/>
          <w:szCs w:val="24"/>
        </w:rPr>
        <w:t>a)</w:t>
      </w:r>
      <w:r w:rsidRPr="003A45A2">
        <w:rPr>
          <w:b/>
          <w:szCs w:val="24"/>
        </w:rPr>
        <w:tab/>
        <w:t>identifikaci auditora, klíčového auditorského partnera a dalších osob, které se budou podílet na povinném auditu,</w:t>
      </w:r>
    </w:p>
    <w:p w14:paraId="7A8763B9" w14:textId="77777777" w:rsidR="00D8555D" w:rsidRPr="003A45A2" w:rsidRDefault="00D8555D" w:rsidP="00A679B4">
      <w:pPr>
        <w:spacing w:before="0"/>
        <w:ind w:left="425" w:hanging="425"/>
        <w:outlineLvl w:val="7"/>
        <w:rPr>
          <w:b/>
          <w:szCs w:val="24"/>
        </w:rPr>
      </w:pPr>
      <w:r w:rsidRPr="003A45A2">
        <w:rPr>
          <w:b/>
          <w:szCs w:val="24"/>
        </w:rPr>
        <w:t>b)</w:t>
      </w:r>
      <w:r w:rsidRPr="003A45A2">
        <w:rPr>
          <w:b/>
          <w:szCs w:val="24"/>
        </w:rPr>
        <w:tab/>
        <w:t>popis činností doposud vykonávaných auditorem v oblasti povinného auditu pojišťoven nebo zajišťoven nebo jiných subjektů působících na finančním trhu,</w:t>
      </w:r>
    </w:p>
    <w:p w14:paraId="3709B654" w14:textId="77777777" w:rsidR="00D8555D" w:rsidRPr="003A45A2" w:rsidRDefault="00D8555D" w:rsidP="00A679B4">
      <w:pPr>
        <w:spacing w:before="0"/>
        <w:ind w:left="425" w:hanging="425"/>
        <w:outlineLvl w:val="7"/>
        <w:rPr>
          <w:b/>
          <w:szCs w:val="24"/>
        </w:rPr>
      </w:pPr>
      <w:r w:rsidRPr="003A45A2">
        <w:rPr>
          <w:b/>
          <w:szCs w:val="24"/>
        </w:rPr>
        <w:t>c)</w:t>
      </w:r>
      <w:r w:rsidRPr="003A45A2">
        <w:rPr>
          <w:b/>
          <w:szCs w:val="24"/>
        </w:rPr>
        <w:tab/>
        <w:t>období, na jaké má být auditor určen,</w:t>
      </w:r>
    </w:p>
    <w:p w14:paraId="0AA493C1" w14:textId="77777777" w:rsidR="00D8555D" w:rsidRPr="003A45A2" w:rsidRDefault="00D8555D" w:rsidP="00A679B4">
      <w:pPr>
        <w:spacing w:before="0"/>
        <w:ind w:left="425" w:hanging="425"/>
        <w:outlineLvl w:val="7"/>
        <w:rPr>
          <w:b/>
          <w:szCs w:val="24"/>
        </w:rPr>
      </w:pPr>
      <w:r w:rsidRPr="003A45A2">
        <w:rPr>
          <w:b/>
          <w:szCs w:val="24"/>
        </w:rPr>
        <w:t>d)</w:t>
      </w:r>
      <w:r w:rsidRPr="003A45A2">
        <w:rPr>
          <w:b/>
          <w:szCs w:val="24"/>
        </w:rPr>
        <w:tab/>
        <w:t>posouzení pojišťovny nebo zajišťovny, zda jsou splněny požadavky na nezávislost auditora.</w:t>
      </w:r>
    </w:p>
    <w:p w14:paraId="66C5016B" w14:textId="77777777" w:rsidR="00D8555D" w:rsidRPr="003A45A2" w:rsidRDefault="00D8555D" w:rsidP="00A679B4">
      <w:pPr>
        <w:tabs>
          <w:tab w:val="left" w:pos="782"/>
          <w:tab w:val="left" w:pos="851"/>
        </w:tabs>
        <w:spacing w:after="120"/>
        <w:outlineLvl w:val="6"/>
        <w:rPr>
          <w:b/>
          <w:szCs w:val="24"/>
        </w:rPr>
      </w:pPr>
      <w:r w:rsidRPr="003A45A2">
        <w:rPr>
          <w:b/>
          <w:szCs w:val="24"/>
        </w:rPr>
        <w:t>(4) Česká národní banka auditora oznámeného podle odstavce 2 odmítne do 30 dnů ode dne zahájení řízení, pokud</w:t>
      </w:r>
    </w:p>
    <w:p w14:paraId="2ED44974" w14:textId="77777777" w:rsidR="00D8555D" w:rsidRPr="003A45A2" w:rsidRDefault="00D8555D" w:rsidP="00A679B4">
      <w:pPr>
        <w:spacing w:before="0"/>
        <w:ind w:left="425" w:hanging="425"/>
        <w:outlineLvl w:val="7"/>
        <w:rPr>
          <w:b/>
          <w:szCs w:val="24"/>
        </w:rPr>
      </w:pPr>
      <w:r>
        <w:rPr>
          <w:b/>
          <w:szCs w:val="24"/>
        </w:rPr>
        <w:t>a)</w:t>
      </w:r>
      <w:r>
        <w:rPr>
          <w:b/>
          <w:szCs w:val="24"/>
        </w:rPr>
        <w:tab/>
      </w:r>
      <w:r w:rsidRPr="003A45A2">
        <w:rPr>
          <w:b/>
          <w:szCs w:val="24"/>
        </w:rPr>
        <w:t xml:space="preserve">nesplňuje podmínky nezávislosti podle zákona upravujícího </w:t>
      </w:r>
      <w:r>
        <w:rPr>
          <w:b/>
          <w:szCs w:val="24"/>
        </w:rPr>
        <w:t>auditorskou činnost</w:t>
      </w:r>
      <w:r w:rsidRPr="003A45A2">
        <w:rPr>
          <w:b/>
          <w:szCs w:val="24"/>
        </w:rPr>
        <w:t xml:space="preserve">, </w:t>
      </w:r>
    </w:p>
    <w:p w14:paraId="2112A9FB" w14:textId="77777777" w:rsidR="00D8555D" w:rsidRPr="003A45A2" w:rsidRDefault="00D8555D" w:rsidP="00A679B4">
      <w:pPr>
        <w:spacing w:before="0"/>
        <w:ind w:left="425" w:hanging="425"/>
        <w:outlineLvl w:val="7"/>
        <w:rPr>
          <w:b/>
          <w:szCs w:val="24"/>
        </w:rPr>
      </w:pPr>
      <w:r>
        <w:rPr>
          <w:b/>
          <w:szCs w:val="24"/>
        </w:rPr>
        <w:t>b)</w:t>
      </w:r>
      <w:r>
        <w:rPr>
          <w:b/>
          <w:szCs w:val="24"/>
        </w:rPr>
        <w:tab/>
      </w:r>
      <w:r w:rsidRPr="003A45A2">
        <w:rPr>
          <w:b/>
          <w:szCs w:val="24"/>
        </w:rPr>
        <w:t>jeho dosavadní činnost v oblasti povinného auditu pojišťoven nebo zajišťoven nebo jiných subjektů působících na finančním trhu, nezajišťuje předpoklad řádného provedení povinného auditu, a to s ohledem na rozsah a složitost činností vykonávaných pojišťovnou nebo zajišťovnou, ve které má být povinný audit proveden.</w:t>
      </w:r>
    </w:p>
    <w:p w14:paraId="640FB68E" w14:textId="77777777" w:rsidR="00D8555D" w:rsidRPr="003A45A2" w:rsidRDefault="00D8555D" w:rsidP="00607B4B">
      <w:pPr>
        <w:tabs>
          <w:tab w:val="left" w:pos="782"/>
          <w:tab w:val="left" w:pos="851"/>
        </w:tabs>
        <w:spacing w:before="120" w:after="120"/>
        <w:outlineLvl w:val="6"/>
        <w:rPr>
          <w:b/>
          <w:szCs w:val="24"/>
        </w:rPr>
      </w:pPr>
      <w:r w:rsidRPr="003A45A2">
        <w:rPr>
          <w:b/>
          <w:szCs w:val="24"/>
        </w:rPr>
        <w:t>(5) Řízení o odmítnutí auditora zahájí Česká národní banka do 30 dnů ode dne obdržení oznámení od tuzemské pojišťovny nebo tuzemské zajišťovny podle odstavce 3. Nezahájí-li Česká národní banka řízení ve stanovené lhůtě, platí, že auditora neodmítla.</w:t>
      </w:r>
    </w:p>
    <w:p w14:paraId="49DB6484" w14:textId="77777777" w:rsidR="00D8555D" w:rsidRPr="003A45A2" w:rsidRDefault="00D8555D" w:rsidP="00607B4B">
      <w:pPr>
        <w:tabs>
          <w:tab w:val="left" w:pos="782"/>
          <w:tab w:val="left" w:pos="851"/>
        </w:tabs>
        <w:spacing w:before="120" w:after="120"/>
        <w:outlineLvl w:val="6"/>
        <w:rPr>
          <w:b/>
          <w:szCs w:val="24"/>
        </w:rPr>
      </w:pPr>
      <w:r>
        <w:rPr>
          <w:b/>
          <w:szCs w:val="24"/>
        </w:rPr>
        <w:t>(6)</w:t>
      </w:r>
      <w:r>
        <w:rPr>
          <w:b/>
          <w:szCs w:val="24"/>
        </w:rPr>
        <w:tab/>
      </w:r>
      <w:r w:rsidRPr="003A45A2">
        <w:rPr>
          <w:b/>
          <w:szCs w:val="24"/>
        </w:rPr>
        <w:t>Odmítne-li Česká národní banka vybraného auditora, oznámí tuzemská pojišťovna nebo tuzemská zajišťovna České národní bance nově vybraného auditora do 30 dnů ode dne doručení rozhodnutí o odmítnutí auditora. Na nově vybraného auditora se použijí odstavce 3 a 4 obdobně.</w:t>
      </w:r>
    </w:p>
    <w:p w14:paraId="5E469255" w14:textId="108B7030" w:rsidR="00D8555D" w:rsidRDefault="00D8555D" w:rsidP="00607B4B">
      <w:pPr>
        <w:tabs>
          <w:tab w:val="left" w:pos="782"/>
          <w:tab w:val="left" w:pos="851"/>
        </w:tabs>
        <w:spacing w:before="120" w:after="120"/>
        <w:outlineLvl w:val="6"/>
        <w:rPr>
          <w:b/>
          <w:szCs w:val="24"/>
        </w:rPr>
      </w:pPr>
      <w:r w:rsidRPr="003A45A2">
        <w:rPr>
          <w:b/>
          <w:szCs w:val="24"/>
        </w:rPr>
        <w:t>(7) Proti rozhodnutí o odmítnutí auditora není přípustný rozklad.</w:t>
      </w:r>
    </w:p>
    <w:p w14:paraId="5468B519" w14:textId="77777777" w:rsidR="00D8555D" w:rsidRPr="00005809" w:rsidRDefault="00D8555D" w:rsidP="00A679B4">
      <w:pPr>
        <w:keepNext/>
        <w:keepLines/>
        <w:spacing w:after="120"/>
        <w:ind w:firstLine="0"/>
        <w:jc w:val="center"/>
        <w:outlineLvl w:val="5"/>
        <w:rPr>
          <w:strike/>
        </w:rPr>
      </w:pPr>
      <w:r w:rsidRPr="00005809">
        <w:rPr>
          <w:strike/>
        </w:rPr>
        <w:t xml:space="preserve">§ 80a  </w:t>
      </w:r>
    </w:p>
    <w:p w14:paraId="4FF86CCD" w14:textId="77777777" w:rsidR="00D8555D" w:rsidRPr="00005809" w:rsidRDefault="00D8555D" w:rsidP="00A679B4">
      <w:pPr>
        <w:keepNext/>
        <w:keepLines/>
        <w:spacing w:after="120"/>
        <w:ind w:firstLine="0"/>
        <w:jc w:val="center"/>
        <w:outlineLvl w:val="5"/>
        <w:rPr>
          <w:b/>
          <w:strike/>
        </w:rPr>
      </w:pPr>
      <w:r w:rsidRPr="00005809">
        <w:rPr>
          <w:b/>
          <w:strike/>
        </w:rPr>
        <w:t>Mimořádný audit</w:t>
      </w:r>
    </w:p>
    <w:p w14:paraId="0872E3D2" w14:textId="77777777" w:rsidR="00D8555D" w:rsidRPr="00005809" w:rsidRDefault="00D8555D" w:rsidP="00D8555D">
      <w:pPr>
        <w:tabs>
          <w:tab w:val="left" w:pos="782"/>
          <w:tab w:val="left" w:pos="851"/>
        </w:tabs>
        <w:spacing w:before="120" w:after="120"/>
        <w:outlineLvl w:val="6"/>
        <w:rPr>
          <w:strike/>
          <w:szCs w:val="22"/>
        </w:rPr>
      </w:pPr>
      <w:r w:rsidRPr="00005809">
        <w:rPr>
          <w:strike/>
          <w:szCs w:val="22"/>
        </w:rPr>
        <w:t xml:space="preserve">(1) Česká národní banka může nařídit tuzemské pojišťovně nebo tuzemské zajišťovně provedení mimořádného auditu, </w:t>
      </w:r>
    </w:p>
    <w:p w14:paraId="3A9A9F9E" w14:textId="77777777" w:rsidR="00D8555D" w:rsidRPr="00005809" w:rsidRDefault="00D8555D" w:rsidP="00A679B4">
      <w:pPr>
        <w:spacing w:before="0"/>
        <w:ind w:left="425" w:hanging="425"/>
        <w:outlineLvl w:val="7"/>
        <w:rPr>
          <w:strike/>
          <w:szCs w:val="22"/>
        </w:rPr>
      </w:pPr>
      <w:r w:rsidRPr="00005809">
        <w:rPr>
          <w:strike/>
          <w:szCs w:val="22"/>
        </w:rPr>
        <w:t>a)</w:t>
      </w:r>
      <w:r w:rsidRPr="00005809">
        <w:rPr>
          <w:strike/>
          <w:szCs w:val="22"/>
        </w:rPr>
        <w:tab/>
        <w:t xml:space="preserve">má-li za to, že ověření účetní závěrky nebo konsolidované účetní závěrky nebylo provedeno v souladu s právními předpisy, nebo </w:t>
      </w:r>
    </w:p>
    <w:p w14:paraId="58EA504E" w14:textId="77777777" w:rsidR="00D8555D" w:rsidRPr="00005809" w:rsidRDefault="00D8555D" w:rsidP="00A679B4">
      <w:pPr>
        <w:spacing w:before="0"/>
        <w:ind w:left="425" w:hanging="425"/>
        <w:outlineLvl w:val="7"/>
        <w:rPr>
          <w:strike/>
          <w:szCs w:val="22"/>
        </w:rPr>
      </w:pPr>
      <w:r w:rsidRPr="00005809">
        <w:rPr>
          <w:strike/>
          <w:szCs w:val="22"/>
        </w:rPr>
        <w:t>b)</w:t>
      </w:r>
      <w:r w:rsidRPr="00005809">
        <w:rPr>
          <w:strike/>
          <w:szCs w:val="22"/>
        </w:rPr>
        <w:tab/>
        <w:t xml:space="preserve">nesplní-li auditor svoji oznamovací povinnost stanovenou v zákoně upravujícím auditorskou činnost. </w:t>
      </w:r>
    </w:p>
    <w:p w14:paraId="3017AD5C" w14:textId="77777777" w:rsidR="00D8555D" w:rsidRPr="00005809" w:rsidRDefault="00D8555D" w:rsidP="00607B4B">
      <w:pPr>
        <w:tabs>
          <w:tab w:val="left" w:pos="782"/>
          <w:tab w:val="left" w:pos="851"/>
        </w:tabs>
        <w:spacing w:before="120" w:after="120"/>
        <w:outlineLvl w:val="6"/>
        <w:rPr>
          <w:strike/>
          <w:szCs w:val="22"/>
        </w:rPr>
      </w:pPr>
      <w:r w:rsidRPr="00005809">
        <w:rPr>
          <w:strike/>
          <w:szCs w:val="22"/>
        </w:rPr>
        <w:lastRenderedPageBreak/>
        <w:t xml:space="preserve">(2) S ohledem na zjištěné skutečnosti Česká národní banka určí podmínky provedení mimořádného auditu, zejména rozsah a způsob provedení mimořádného auditu, a určí auditora, který provede mimořádný audit. </w:t>
      </w:r>
    </w:p>
    <w:p w14:paraId="176260EA" w14:textId="77777777" w:rsidR="00D8555D" w:rsidRPr="00005809" w:rsidRDefault="00D8555D" w:rsidP="00607B4B">
      <w:pPr>
        <w:tabs>
          <w:tab w:val="left" w:pos="782"/>
          <w:tab w:val="left" w:pos="851"/>
        </w:tabs>
        <w:spacing w:before="120" w:after="120"/>
        <w:outlineLvl w:val="6"/>
        <w:rPr>
          <w:strike/>
          <w:szCs w:val="22"/>
        </w:rPr>
      </w:pPr>
      <w:r w:rsidRPr="00005809">
        <w:rPr>
          <w:strike/>
          <w:szCs w:val="22"/>
        </w:rPr>
        <w:t xml:space="preserve">(3) Náklady mimořádného auditu nese Česká národní banka. Pokud mimořádný audit potvrdí důvody, na jejichž základě Česká národní banka nařídila provedení mimořádného auditu, uhradí auditor, který provedl původní audit, České národní bance jí vynaložené náklady na provedení mimořádného auditu, v rozsahu, který se týká ověření účetní závěrky nebo konsolidované účetní závěrky, ostatní náklady mimořádného auditu nese Česká národní banka. </w:t>
      </w:r>
    </w:p>
    <w:p w14:paraId="342CB737" w14:textId="77777777" w:rsidR="00D8555D" w:rsidRPr="00005809" w:rsidRDefault="00D8555D" w:rsidP="00A679B4">
      <w:pPr>
        <w:keepNext/>
        <w:keepLines/>
        <w:spacing w:after="120"/>
        <w:jc w:val="center"/>
        <w:outlineLvl w:val="5"/>
        <w:rPr>
          <w:strike/>
        </w:rPr>
      </w:pPr>
      <w:r w:rsidRPr="00005809">
        <w:rPr>
          <w:strike/>
        </w:rPr>
        <w:t xml:space="preserve">§ 81 </w:t>
      </w:r>
    </w:p>
    <w:p w14:paraId="327D9A63" w14:textId="77777777" w:rsidR="00D8555D" w:rsidRPr="00005809" w:rsidRDefault="00D8555D" w:rsidP="00A679B4">
      <w:pPr>
        <w:keepNext/>
        <w:keepLines/>
        <w:spacing w:after="120"/>
        <w:jc w:val="center"/>
        <w:outlineLvl w:val="5"/>
        <w:rPr>
          <w:b/>
          <w:strike/>
        </w:rPr>
      </w:pPr>
      <w:r w:rsidRPr="00005809">
        <w:rPr>
          <w:b/>
          <w:strike/>
        </w:rPr>
        <w:t>Jiná ověření auditorem</w:t>
      </w:r>
    </w:p>
    <w:p w14:paraId="1798A6E7" w14:textId="77777777" w:rsidR="00D8555D" w:rsidRPr="00AD0364" w:rsidRDefault="00D8555D" w:rsidP="00607B4B">
      <w:pPr>
        <w:tabs>
          <w:tab w:val="left" w:pos="782"/>
          <w:tab w:val="left" w:pos="851"/>
        </w:tabs>
        <w:spacing w:before="120" w:after="120"/>
        <w:outlineLvl w:val="6"/>
        <w:rPr>
          <w:strike/>
          <w:szCs w:val="22"/>
        </w:rPr>
      </w:pPr>
      <w:r w:rsidRPr="00AD0364">
        <w:rPr>
          <w:strike/>
          <w:szCs w:val="22"/>
        </w:rPr>
        <w:t>(1)</w:t>
      </w:r>
      <w:r w:rsidRPr="00AD0364">
        <w:rPr>
          <w:strike/>
          <w:szCs w:val="22"/>
        </w:rPr>
        <w:tab/>
        <w:t xml:space="preserve">Česká národní banka může nařídit tuzemské pojišťovně, tuzemské zajišťovně, pojišťovně z třetího státu nebo zajišťovně z třetího státu zajistit, jestliže taková potřeba vyplyne ze zjištěných nedostatků v činnosti pojišťovny nebo zajišťovny, aby auditor provedl ověření </w:t>
      </w:r>
    </w:p>
    <w:p w14:paraId="5647A4B6" w14:textId="77777777" w:rsidR="00D8555D" w:rsidRPr="00AD0364" w:rsidRDefault="00D8555D" w:rsidP="00A679B4">
      <w:pPr>
        <w:pStyle w:val="PZTextpsmene"/>
        <w:spacing w:before="0"/>
        <w:rPr>
          <w:strike/>
          <w:szCs w:val="22"/>
        </w:rPr>
      </w:pPr>
      <w:r w:rsidRPr="00AD0364">
        <w:rPr>
          <w:strike/>
          <w:szCs w:val="22"/>
        </w:rPr>
        <w:t>a)</w:t>
      </w:r>
      <w:r w:rsidRPr="00AD0364">
        <w:rPr>
          <w:strike/>
          <w:szCs w:val="22"/>
        </w:rPr>
        <w:tab/>
        <w:t xml:space="preserve">jejího řídicího a kontrolního systému nebo jeho části, nebo </w:t>
      </w:r>
    </w:p>
    <w:p w14:paraId="1586CE2F" w14:textId="77777777" w:rsidR="00D8555D" w:rsidRPr="00AD0364" w:rsidRDefault="00D8555D" w:rsidP="00A679B4">
      <w:pPr>
        <w:spacing w:before="0"/>
        <w:ind w:left="425" w:hanging="425"/>
        <w:outlineLvl w:val="7"/>
        <w:rPr>
          <w:strike/>
          <w:szCs w:val="22"/>
        </w:rPr>
      </w:pPr>
      <w:r w:rsidRPr="00AD0364">
        <w:rPr>
          <w:strike/>
          <w:szCs w:val="22"/>
        </w:rPr>
        <w:t>b)</w:t>
      </w:r>
      <w:r w:rsidRPr="00AD0364">
        <w:rPr>
          <w:strike/>
          <w:szCs w:val="22"/>
        </w:rPr>
        <w:tab/>
        <w:t xml:space="preserve">informací uveřejňovaných podle § 82 odst. 3 ve zprávě o solventnosti a finanční situaci. </w:t>
      </w:r>
    </w:p>
    <w:p w14:paraId="6FA0A269" w14:textId="77777777" w:rsidR="00D8555D" w:rsidRPr="00AD0364" w:rsidRDefault="00D8555D" w:rsidP="00607B4B">
      <w:pPr>
        <w:tabs>
          <w:tab w:val="left" w:pos="782"/>
          <w:tab w:val="left" w:pos="851"/>
        </w:tabs>
        <w:spacing w:before="120" w:after="120"/>
        <w:outlineLvl w:val="6"/>
        <w:rPr>
          <w:strike/>
          <w:szCs w:val="22"/>
        </w:rPr>
      </w:pPr>
      <w:r w:rsidRPr="00AD0364">
        <w:rPr>
          <w:strike/>
          <w:szCs w:val="22"/>
        </w:rPr>
        <w:t xml:space="preserve">(2) V rozhodnutí podle odstavce 1 stanoví Česká národní banka přiměřenou lhůtu pro provedení ověření, která nesmí být kratší než 3 měsíce ode dne nabytí právní moci tohoto rozhodnutí, a </w:t>
      </w:r>
    </w:p>
    <w:p w14:paraId="00837EF9" w14:textId="77777777" w:rsidR="00D8555D" w:rsidRPr="00AD0364" w:rsidRDefault="00D8555D" w:rsidP="00A679B4">
      <w:pPr>
        <w:pStyle w:val="Textpsmene"/>
        <w:numPr>
          <w:ilvl w:val="3"/>
          <w:numId w:val="1"/>
        </w:numPr>
        <w:spacing w:before="0"/>
        <w:rPr>
          <w:strike/>
        </w:rPr>
      </w:pPr>
      <w:r w:rsidRPr="00AD0364">
        <w:rPr>
          <w:strike/>
        </w:rPr>
        <w:t xml:space="preserve">vymezení informací, k jejichž spolehlivosti se má auditor vyjádřit, a </w:t>
      </w:r>
    </w:p>
    <w:p w14:paraId="4FAACE6E" w14:textId="77777777" w:rsidR="00D8555D" w:rsidRPr="00AD0364" w:rsidRDefault="00D8555D" w:rsidP="00A679B4">
      <w:pPr>
        <w:spacing w:before="0"/>
        <w:ind w:left="425" w:hanging="425"/>
        <w:outlineLvl w:val="7"/>
        <w:rPr>
          <w:strike/>
          <w:szCs w:val="22"/>
        </w:rPr>
      </w:pPr>
      <w:r w:rsidRPr="00AD0364">
        <w:rPr>
          <w:strike/>
          <w:szCs w:val="22"/>
        </w:rPr>
        <w:t>b)</w:t>
      </w:r>
      <w:r w:rsidRPr="00AD0364">
        <w:rPr>
          <w:strike/>
          <w:szCs w:val="22"/>
        </w:rPr>
        <w:tab/>
        <w:t xml:space="preserve">v případě ověření podle odstavce 1 písm. a) vymezení oblastí řídicího a kontrolního systému, jež mají být auditu podrobeny. </w:t>
      </w:r>
    </w:p>
    <w:p w14:paraId="66BE1FBC" w14:textId="77777777" w:rsidR="00D8555D" w:rsidRPr="00AD0364" w:rsidRDefault="00D8555D" w:rsidP="00607B4B">
      <w:pPr>
        <w:tabs>
          <w:tab w:val="left" w:pos="782"/>
          <w:tab w:val="left" w:pos="851"/>
        </w:tabs>
        <w:spacing w:before="120" w:after="120"/>
        <w:outlineLvl w:val="6"/>
        <w:rPr>
          <w:strike/>
          <w:szCs w:val="22"/>
        </w:rPr>
      </w:pPr>
      <w:r w:rsidRPr="00AD0364">
        <w:rPr>
          <w:strike/>
          <w:szCs w:val="22"/>
        </w:rPr>
        <w:t xml:space="preserve">(3) Proti rozhodnutí podle odstavce 1 není přípustný rozklad. </w:t>
      </w:r>
    </w:p>
    <w:p w14:paraId="26D4696F" w14:textId="77777777" w:rsidR="00D8555D" w:rsidRPr="00AD0364" w:rsidRDefault="00D8555D" w:rsidP="00607B4B">
      <w:pPr>
        <w:tabs>
          <w:tab w:val="left" w:pos="782"/>
          <w:tab w:val="left" w:pos="851"/>
        </w:tabs>
        <w:spacing w:before="120" w:after="120"/>
        <w:outlineLvl w:val="6"/>
        <w:rPr>
          <w:strike/>
          <w:szCs w:val="22"/>
        </w:rPr>
      </w:pPr>
      <w:r w:rsidRPr="00AD0364">
        <w:rPr>
          <w:strike/>
          <w:szCs w:val="22"/>
        </w:rPr>
        <w:t xml:space="preserve">(4) Pojišťovna nebo zajišťovna podle odstavce 1 poskytne auditorovi potřebnou součinnost včetně poskytnutí informací o provedených vnitřních kontrolách, které se ověření řídicího a kontrolního systému nebo informací uveřejňovaných ve zprávě o solventnosti a finanční situaci týkaly. Pro výběr auditora se § 80 odst. 3 až 5 použije obdobně. </w:t>
      </w:r>
    </w:p>
    <w:p w14:paraId="3DDD7DA6" w14:textId="77777777" w:rsidR="00D8555D" w:rsidRPr="00AD0364" w:rsidRDefault="00D8555D" w:rsidP="00607B4B">
      <w:pPr>
        <w:tabs>
          <w:tab w:val="left" w:pos="782"/>
          <w:tab w:val="left" w:pos="851"/>
        </w:tabs>
        <w:spacing w:before="120" w:after="120"/>
        <w:outlineLvl w:val="6"/>
        <w:rPr>
          <w:strike/>
          <w:szCs w:val="22"/>
        </w:rPr>
      </w:pPr>
      <w:r w:rsidRPr="00AD0364">
        <w:rPr>
          <w:strike/>
          <w:szCs w:val="22"/>
        </w:rPr>
        <w:t>(5)</w:t>
      </w:r>
      <w:r w:rsidRPr="00AD0364">
        <w:rPr>
          <w:strike/>
          <w:szCs w:val="22"/>
        </w:rPr>
        <w:tab/>
        <w:t xml:space="preserve">O ověření podle odstavce 1 vypracuje auditor zprávu, kterou pojišťovna nebo zajišťovna předloží České národní bance. Náležitosti a strukturu zprávy stanoví prováděcí právní předpis. </w:t>
      </w:r>
    </w:p>
    <w:p w14:paraId="752A173A" w14:textId="77777777" w:rsidR="00D8555D" w:rsidRPr="00AD0364" w:rsidRDefault="00D8555D" w:rsidP="00A679B4">
      <w:pPr>
        <w:keepNext/>
        <w:keepLines/>
        <w:spacing w:after="120"/>
        <w:ind w:firstLine="0"/>
        <w:jc w:val="center"/>
        <w:outlineLvl w:val="5"/>
        <w:rPr>
          <w:b/>
          <w:szCs w:val="24"/>
        </w:rPr>
      </w:pPr>
      <w:r w:rsidRPr="00AD0364">
        <w:rPr>
          <w:b/>
          <w:szCs w:val="24"/>
        </w:rPr>
        <w:t xml:space="preserve">§ 81 </w:t>
      </w:r>
    </w:p>
    <w:p w14:paraId="6ACA08AC" w14:textId="77777777" w:rsidR="00D8555D" w:rsidRPr="00AD0364" w:rsidRDefault="00D8555D" w:rsidP="00A679B4">
      <w:pPr>
        <w:keepNext/>
        <w:keepLines/>
        <w:spacing w:after="120"/>
        <w:ind w:firstLine="0"/>
        <w:jc w:val="center"/>
        <w:outlineLvl w:val="5"/>
        <w:rPr>
          <w:szCs w:val="24"/>
        </w:rPr>
      </w:pPr>
      <w:r w:rsidRPr="00AD0364">
        <w:rPr>
          <w:b/>
          <w:szCs w:val="24"/>
        </w:rPr>
        <w:t>Jiná ověření auditorem</w:t>
      </w:r>
    </w:p>
    <w:p w14:paraId="63BBB162" w14:textId="77777777" w:rsidR="00D8555D" w:rsidRPr="00AD0364" w:rsidRDefault="00D8555D" w:rsidP="00607B4B">
      <w:pPr>
        <w:tabs>
          <w:tab w:val="left" w:pos="782"/>
          <w:tab w:val="left" w:pos="851"/>
        </w:tabs>
        <w:spacing w:before="120" w:after="120"/>
        <w:outlineLvl w:val="6"/>
        <w:rPr>
          <w:b/>
          <w:szCs w:val="24"/>
        </w:rPr>
      </w:pPr>
      <w:r>
        <w:rPr>
          <w:b/>
          <w:szCs w:val="24"/>
        </w:rPr>
        <w:t>(1)</w:t>
      </w:r>
      <w:r>
        <w:rPr>
          <w:b/>
          <w:szCs w:val="24"/>
        </w:rPr>
        <w:tab/>
      </w:r>
      <w:r w:rsidRPr="003A45A2">
        <w:rPr>
          <w:b/>
          <w:szCs w:val="24"/>
        </w:rPr>
        <w:t xml:space="preserve">Zjistí-li Česká národní banka v činnosti tuzemské pojišťovny, tuzemské zajišťovny, pojišťovny z třetího státu nebo zajišťovny z třetího státu nedostatky, které by mohly mít zásadní nepříznivý dopad na její činnost, její rizikový profil nebo postavení v rámci skupiny, jíž je součástí, může nařídit, aby taková pojišťovna nebo zajišťovna zajistila ověření svého řídicího a kontrolního systému nebo jeho části nebo informací uveřejňovaných podle § 82 odst. 3 ve zprávě o solventnosti a finanční situaci auditorem. Ověření je dokončeno předložením zprávy o ověření řídicího a kontrolního systému </w:t>
      </w:r>
      <w:r>
        <w:rPr>
          <w:b/>
          <w:szCs w:val="24"/>
        </w:rPr>
        <w:t xml:space="preserve">nebo zprávy o ověření </w:t>
      </w:r>
      <w:r w:rsidRPr="003A45A2">
        <w:rPr>
          <w:b/>
          <w:szCs w:val="24"/>
        </w:rPr>
        <w:t>informací uveřejňovaných podle § 82 odst. 3 ve zprávě o solventnosti a finanční situaci České národní bance.</w:t>
      </w:r>
    </w:p>
    <w:p w14:paraId="3290E308" w14:textId="77777777" w:rsidR="00D8555D" w:rsidRPr="003A45A2" w:rsidRDefault="00D8555D" w:rsidP="00607B4B">
      <w:pPr>
        <w:tabs>
          <w:tab w:val="left" w:pos="782"/>
          <w:tab w:val="left" w:pos="851"/>
        </w:tabs>
        <w:spacing w:before="120" w:after="120"/>
        <w:outlineLvl w:val="6"/>
        <w:rPr>
          <w:b/>
          <w:szCs w:val="24"/>
        </w:rPr>
      </w:pPr>
      <w:r w:rsidRPr="003A45A2">
        <w:rPr>
          <w:b/>
          <w:szCs w:val="24"/>
        </w:rPr>
        <w:t>(2) Proti rozhodnutí podle odstavce 1 není přípustný rozklad.</w:t>
      </w:r>
    </w:p>
    <w:p w14:paraId="7B6268FE" w14:textId="77777777" w:rsidR="00D8555D" w:rsidRPr="003A45A2" w:rsidRDefault="00D8555D" w:rsidP="00607B4B">
      <w:pPr>
        <w:tabs>
          <w:tab w:val="left" w:pos="782"/>
          <w:tab w:val="left" w:pos="851"/>
        </w:tabs>
        <w:spacing w:before="120" w:after="120"/>
        <w:outlineLvl w:val="6"/>
        <w:rPr>
          <w:b/>
          <w:szCs w:val="24"/>
        </w:rPr>
      </w:pPr>
      <w:r w:rsidRPr="003A45A2">
        <w:rPr>
          <w:b/>
          <w:szCs w:val="24"/>
        </w:rPr>
        <w:lastRenderedPageBreak/>
        <w:t>(3) Česká národní banka v rozhodnutí podle odstavce 1 stanoví přiměřenou lhůtu pro provedení ověření a předložení zprávy podle odstavce 1, která nesmí být kratší než 3 měsíce ode dne nabytí právní moci rozhodnutí, a určí část řídicího a kontrolního systému tuzemské pojišťovny, tuzemské zajišťovny, pojišťovny z třetího státu nebo zajišťovny z třetího státu, jejíž funkčnost a efektivnost má auditor ověřit</w:t>
      </w:r>
      <w:r>
        <w:rPr>
          <w:b/>
          <w:szCs w:val="24"/>
        </w:rPr>
        <w:t>,</w:t>
      </w:r>
      <w:r w:rsidRPr="003A45A2">
        <w:rPr>
          <w:b/>
          <w:szCs w:val="24"/>
        </w:rPr>
        <w:t xml:space="preserve"> nebo vymezí informace, k nimž se má auditor vyjádřit.</w:t>
      </w:r>
    </w:p>
    <w:p w14:paraId="0962D63B" w14:textId="77777777" w:rsidR="00D8555D" w:rsidRPr="003A45A2" w:rsidRDefault="00D8555D" w:rsidP="00607B4B">
      <w:pPr>
        <w:tabs>
          <w:tab w:val="left" w:pos="782"/>
          <w:tab w:val="left" w:pos="851"/>
        </w:tabs>
        <w:spacing w:before="120" w:after="120"/>
        <w:outlineLvl w:val="6"/>
        <w:rPr>
          <w:b/>
          <w:szCs w:val="24"/>
        </w:rPr>
      </w:pPr>
      <w:r w:rsidRPr="003A45A2">
        <w:rPr>
          <w:b/>
          <w:szCs w:val="24"/>
        </w:rPr>
        <w:t>(4) Tuzemská pojišťovna, tuzemská zajišťovna, pojišťovna z třetího státu nebo zajišťovna z třetího státu, které bylo nařízeno provést ověření, poskytne auditorovi potřebnou součinnost.</w:t>
      </w:r>
    </w:p>
    <w:p w14:paraId="2FC155F3" w14:textId="77777777" w:rsidR="00D8555D" w:rsidRPr="003A45A2" w:rsidRDefault="00D8555D" w:rsidP="00607B4B">
      <w:pPr>
        <w:tabs>
          <w:tab w:val="left" w:pos="782"/>
          <w:tab w:val="left" w:pos="851"/>
        </w:tabs>
        <w:spacing w:before="120" w:after="120"/>
        <w:outlineLvl w:val="6"/>
        <w:rPr>
          <w:b/>
          <w:szCs w:val="24"/>
        </w:rPr>
      </w:pPr>
      <w:r w:rsidRPr="003A45A2">
        <w:rPr>
          <w:b/>
          <w:szCs w:val="24"/>
        </w:rPr>
        <w:t>(5) Podrobnosti náležitostí a strukturu zprávy stanoví Česká národní banka vyhláškou.</w:t>
      </w:r>
    </w:p>
    <w:p w14:paraId="270B0DD1" w14:textId="77777777" w:rsidR="00D8555D" w:rsidRPr="00005809" w:rsidRDefault="00D8555D" w:rsidP="00A679B4">
      <w:pPr>
        <w:keepNext/>
        <w:keepLines/>
        <w:spacing w:after="120"/>
        <w:ind w:firstLine="0"/>
        <w:jc w:val="center"/>
        <w:outlineLvl w:val="5"/>
        <w:rPr>
          <w:b/>
          <w:szCs w:val="24"/>
        </w:rPr>
      </w:pPr>
      <w:r w:rsidRPr="00005809">
        <w:rPr>
          <w:b/>
          <w:szCs w:val="24"/>
        </w:rPr>
        <w:t>§ 81a</w:t>
      </w:r>
    </w:p>
    <w:p w14:paraId="6E1DC9CA" w14:textId="77777777" w:rsidR="00D8555D" w:rsidRPr="00005809" w:rsidRDefault="00D8555D" w:rsidP="00A679B4">
      <w:pPr>
        <w:keepNext/>
        <w:keepLines/>
        <w:spacing w:after="120"/>
        <w:ind w:firstLine="0"/>
        <w:jc w:val="center"/>
        <w:outlineLvl w:val="5"/>
        <w:rPr>
          <w:b/>
          <w:szCs w:val="24"/>
        </w:rPr>
      </w:pPr>
      <w:r w:rsidRPr="00005809">
        <w:rPr>
          <w:b/>
          <w:szCs w:val="24"/>
        </w:rPr>
        <w:t>Výběr auditora pro jiná ověření</w:t>
      </w:r>
    </w:p>
    <w:p w14:paraId="07D33370" w14:textId="77777777" w:rsidR="00D8555D" w:rsidRPr="00005809" w:rsidRDefault="00D8555D" w:rsidP="00607B4B">
      <w:pPr>
        <w:tabs>
          <w:tab w:val="left" w:pos="782"/>
          <w:tab w:val="left" w:pos="851"/>
        </w:tabs>
        <w:spacing w:before="120" w:after="120"/>
        <w:outlineLvl w:val="6"/>
        <w:rPr>
          <w:b/>
          <w:szCs w:val="24"/>
        </w:rPr>
      </w:pPr>
      <w:r w:rsidRPr="00005809">
        <w:rPr>
          <w:b/>
          <w:szCs w:val="24"/>
        </w:rPr>
        <w:t xml:space="preserve">(1) </w:t>
      </w:r>
      <w:r w:rsidRPr="003A45A2">
        <w:rPr>
          <w:b/>
          <w:szCs w:val="24"/>
        </w:rPr>
        <w:t>Tuzemská pojišťovna, tuzemská zajišťovna, pojišťovna z třetího státu nebo zajišťovna z třetího státu</w:t>
      </w:r>
      <w:r w:rsidRPr="00005809">
        <w:rPr>
          <w:b/>
          <w:szCs w:val="24"/>
        </w:rPr>
        <w:t xml:space="preserve"> oznámí České národní bance vybraného auditora do 30 dnů ode dne nabytí právní moci rozhodnutí podle § 81 odst. 1.</w:t>
      </w:r>
    </w:p>
    <w:p w14:paraId="4C68F646" w14:textId="77777777" w:rsidR="00D8555D" w:rsidRPr="00005809" w:rsidRDefault="00D8555D" w:rsidP="00607B4B">
      <w:pPr>
        <w:tabs>
          <w:tab w:val="left" w:pos="782"/>
          <w:tab w:val="left" w:pos="851"/>
        </w:tabs>
        <w:spacing w:before="120" w:after="120"/>
        <w:outlineLvl w:val="6"/>
        <w:rPr>
          <w:b/>
          <w:szCs w:val="24"/>
        </w:rPr>
      </w:pPr>
      <w:r w:rsidRPr="00005809">
        <w:rPr>
          <w:b/>
          <w:szCs w:val="24"/>
        </w:rPr>
        <w:t>(2) Oznámení o výběru auditora podle odstavce 1 obsahuje</w:t>
      </w:r>
    </w:p>
    <w:p w14:paraId="71BCCA2C" w14:textId="77777777" w:rsidR="00D8555D" w:rsidRPr="00802B96" w:rsidRDefault="00D8555D" w:rsidP="00A679B4">
      <w:pPr>
        <w:spacing w:before="0"/>
        <w:ind w:left="425" w:hanging="425"/>
        <w:outlineLvl w:val="7"/>
        <w:rPr>
          <w:b/>
          <w:szCs w:val="24"/>
        </w:rPr>
      </w:pPr>
      <w:r w:rsidRPr="00802B96">
        <w:rPr>
          <w:b/>
          <w:szCs w:val="24"/>
        </w:rPr>
        <w:t>a)</w:t>
      </w:r>
      <w:r w:rsidRPr="00802B96">
        <w:rPr>
          <w:b/>
          <w:szCs w:val="24"/>
        </w:rPr>
        <w:tab/>
        <w:t>identif</w:t>
      </w:r>
      <w:r>
        <w:rPr>
          <w:b/>
          <w:szCs w:val="24"/>
        </w:rPr>
        <w:t>ikaci auditora</w:t>
      </w:r>
      <w:r w:rsidRPr="00802B96">
        <w:rPr>
          <w:b/>
          <w:szCs w:val="24"/>
        </w:rPr>
        <w:t xml:space="preserve"> a dalších osob, které se budou podílet na ověření,</w:t>
      </w:r>
    </w:p>
    <w:p w14:paraId="72A4E5A7" w14:textId="77777777" w:rsidR="00D8555D" w:rsidRPr="00802B96" w:rsidRDefault="00D8555D" w:rsidP="00A679B4">
      <w:pPr>
        <w:spacing w:before="0"/>
        <w:ind w:left="425" w:hanging="425"/>
        <w:outlineLvl w:val="7"/>
        <w:rPr>
          <w:b/>
          <w:szCs w:val="24"/>
        </w:rPr>
      </w:pPr>
      <w:r w:rsidRPr="00802B96">
        <w:rPr>
          <w:b/>
          <w:szCs w:val="24"/>
        </w:rPr>
        <w:t>b)</w:t>
      </w:r>
      <w:r w:rsidRPr="00802B96">
        <w:rPr>
          <w:b/>
          <w:szCs w:val="24"/>
        </w:rPr>
        <w:tab/>
        <w:t xml:space="preserve">vymezení části řídicího a kontrolního systému, která má být daným </w:t>
      </w:r>
      <w:r>
        <w:rPr>
          <w:b/>
          <w:szCs w:val="24"/>
        </w:rPr>
        <w:t>auditorem</w:t>
      </w:r>
      <w:r w:rsidRPr="00802B96">
        <w:rPr>
          <w:b/>
          <w:szCs w:val="24"/>
        </w:rPr>
        <w:t xml:space="preserve"> ověřena, </w:t>
      </w:r>
      <w:r>
        <w:rPr>
          <w:b/>
          <w:szCs w:val="24"/>
        </w:rPr>
        <w:t xml:space="preserve">nebo </w:t>
      </w:r>
      <w:r w:rsidRPr="003A45A2">
        <w:rPr>
          <w:b/>
          <w:szCs w:val="24"/>
        </w:rPr>
        <w:t>informací uveřejňovaných podle § 82 odst. 3 ve zprávě o solventnosti a finanční situaci</w:t>
      </w:r>
      <w:r>
        <w:rPr>
          <w:b/>
          <w:szCs w:val="24"/>
        </w:rPr>
        <w:t>,</w:t>
      </w:r>
      <w:r w:rsidRPr="00B25791">
        <w:rPr>
          <w:szCs w:val="24"/>
        </w:rPr>
        <w:t xml:space="preserve"> </w:t>
      </w:r>
      <w:r w:rsidRPr="00B25791">
        <w:rPr>
          <w:b/>
          <w:szCs w:val="24"/>
        </w:rPr>
        <w:t>k nimž se má daný auditor vyjádřit</w:t>
      </w:r>
      <w:r>
        <w:rPr>
          <w:b/>
          <w:szCs w:val="24"/>
        </w:rPr>
        <w:t>,</w:t>
      </w:r>
    </w:p>
    <w:p w14:paraId="3B0B389F" w14:textId="77777777" w:rsidR="00D8555D" w:rsidRPr="00802B96" w:rsidRDefault="00D8555D" w:rsidP="00A679B4">
      <w:pPr>
        <w:spacing w:before="0"/>
        <w:ind w:left="425" w:hanging="425"/>
        <w:outlineLvl w:val="7"/>
        <w:rPr>
          <w:b/>
          <w:szCs w:val="24"/>
        </w:rPr>
      </w:pPr>
      <w:r w:rsidRPr="00802B96">
        <w:rPr>
          <w:b/>
          <w:szCs w:val="24"/>
        </w:rPr>
        <w:t>c)</w:t>
      </w:r>
      <w:r w:rsidRPr="00802B96">
        <w:rPr>
          <w:b/>
          <w:szCs w:val="24"/>
        </w:rPr>
        <w:tab/>
        <w:t>rozsa</w:t>
      </w:r>
      <w:r>
        <w:rPr>
          <w:b/>
          <w:szCs w:val="24"/>
        </w:rPr>
        <w:t>h dosavadní činnosti auditora</w:t>
      </w:r>
      <w:r w:rsidRPr="00802B96">
        <w:rPr>
          <w:b/>
          <w:szCs w:val="24"/>
        </w:rPr>
        <w:t xml:space="preserve"> v oblasti řídicího a kontrolního systému </w:t>
      </w:r>
      <w:r>
        <w:rPr>
          <w:b/>
          <w:szCs w:val="24"/>
        </w:rPr>
        <w:t>t</w:t>
      </w:r>
      <w:r w:rsidRPr="003A45A2">
        <w:rPr>
          <w:b/>
          <w:szCs w:val="24"/>
        </w:rPr>
        <w:t>uze</w:t>
      </w:r>
      <w:r>
        <w:rPr>
          <w:b/>
          <w:szCs w:val="24"/>
        </w:rPr>
        <w:t>mské pojišťovny, tuzemské zajišťovny, pojišťovny z třetího státu nebo zajišťovny</w:t>
      </w:r>
      <w:r w:rsidRPr="003A45A2">
        <w:rPr>
          <w:b/>
          <w:szCs w:val="24"/>
        </w:rPr>
        <w:t xml:space="preserve"> z třetího státu</w:t>
      </w:r>
      <w:r w:rsidRPr="00802B96">
        <w:rPr>
          <w:b/>
          <w:szCs w:val="24"/>
        </w:rPr>
        <w:t>, která má být ověřena,</w:t>
      </w:r>
    </w:p>
    <w:p w14:paraId="3887F677" w14:textId="77777777" w:rsidR="00D8555D" w:rsidRPr="00802B96" w:rsidRDefault="00D8555D" w:rsidP="00A679B4">
      <w:pPr>
        <w:spacing w:before="0"/>
        <w:ind w:left="425" w:hanging="425"/>
        <w:outlineLvl w:val="7"/>
        <w:rPr>
          <w:b/>
          <w:szCs w:val="24"/>
        </w:rPr>
      </w:pPr>
      <w:r w:rsidRPr="00802B96">
        <w:rPr>
          <w:b/>
          <w:szCs w:val="24"/>
        </w:rPr>
        <w:t>d)</w:t>
      </w:r>
      <w:r w:rsidRPr="00802B96">
        <w:rPr>
          <w:b/>
          <w:szCs w:val="24"/>
        </w:rPr>
        <w:tab/>
        <w:t>popis činností d</w:t>
      </w:r>
      <w:r>
        <w:rPr>
          <w:b/>
          <w:szCs w:val="24"/>
        </w:rPr>
        <w:t>oposud vykonávaných auditorem</w:t>
      </w:r>
      <w:r w:rsidRPr="00802B96">
        <w:rPr>
          <w:b/>
          <w:szCs w:val="24"/>
        </w:rPr>
        <w:t xml:space="preserve"> v oblasti činnosti </w:t>
      </w:r>
      <w:r>
        <w:rPr>
          <w:b/>
          <w:szCs w:val="24"/>
        </w:rPr>
        <w:t>pojišťoven nebo zajišťoven</w:t>
      </w:r>
      <w:r w:rsidRPr="00802B96">
        <w:rPr>
          <w:b/>
          <w:szCs w:val="24"/>
        </w:rPr>
        <w:t>,</w:t>
      </w:r>
      <w:r>
        <w:rPr>
          <w:b/>
          <w:szCs w:val="24"/>
        </w:rPr>
        <w:t xml:space="preserve"> </w:t>
      </w:r>
      <w:r w:rsidRPr="00802B96">
        <w:rPr>
          <w:b/>
          <w:szCs w:val="24"/>
        </w:rPr>
        <w:t>popřípadě jiných subjektů působících na finančním trhu,</w:t>
      </w:r>
    </w:p>
    <w:p w14:paraId="530710BD" w14:textId="77777777" w:rsidR="00D8555D" w:rsidRPr="00CE2A26" w:rsidRDefault="00D8555D" w:rsidP="00A679B4">
      <w:pPr>
        <w:spacing w:before="0"/>
        <w:ind w:left="425" w:hanging="425"/>
        <w:outlineLvl w:val="7"/>
        <w:rPr>
          <w:b/>
          <w:szCs w:val="24"/>
        </w:rPr>
      </w:pPr>
      <w:r>
        <w:rPr>
          <w:b/>
          <w:szCs w:val="24"/>
        </w:rPr>
        <w:t>e</w:t>
      </w:r>
      <w:r w:rsidRPr="00CE2A26">
        <w:rPr>
          <w:b/>
          <w:szCs w:val="24"/>
        </w:rPr>
        <w:t>)</w:t>
      </w:r>
      <w:r w:rsidRPr="00CE2A26">
        <w:rPr>
          <w:b/>
          <w:szCs w:val="24"/>
        </w:rPr>
        <w:tab/>
        <w:t xml:space="preserve">prohlášení </w:t>
      </w:r>
      <w:r>
        <w:rPr>
          <w:b/>
          <w:szCs w:val="24"/>
        </w:rPr>
        <w:t>t</w:t>
      </w:r>
      <w:r w:rsidRPr="003A45A2">
        <w:rPr>
          <w:b/>
          <w:szCs w:val="24"/>
        </w:rPr>
        <w:t>uze</w:t>
      </w:r>
      <w:r>
        <w:rPr>
          <w:b/>
          <w:szCs w:val="24"/>
        </w:rPr>
        <w:t>mské pojišťovny, tuzemské zajišťovny, pojišťovny z třetího státu nebo zajišťovny</w:t>
      </w:r>
      <w:r w:rsidRPr="003A45A2">
        <w:rPr>
          <w:b/>
          <w:szCs w:val="24"/>
        </w:rPr>
        <w:t xml:space="preserve"> z třetího státu</w:t>
      </w:r>
      <w:r>
        <w:rPr>
          <w:b/>
          <w:szCs w:val="24"/>
        </w:rPr>
        <w:t xml:space="preserve"> </w:t>
      </w:r>
      <w:r w:rsidRPr="00CE2A26">
        <w:rPr>
          <w:b/>
          <w:szCs w:val="24"/>
        </w:rPr>
        <w:t>o neexistenci propojení s</w:t>
      </w:r>
      <w:r>
        <w:rPr>
          <w:b/>
          <w:szCs w:val="24"/>
        </w:rPr>
        <w:t xml:space="preserve"> auditorem</w:t>
      </w:r>
      <w:r w:rsidRPr="00CE2A26">
        <w:rPr>
          <w:b/>
          <w:szCs w:val="24"/>
        </w:rPr>
        <w:t>, které by bránilo provedení nestranného ověření jejího řídicího a kontrolního systému nebo jeho části</w:t>
      </w:r>
      <w:r>
        <w:rPr>
          <w:b/>
          <w:szCs w:val="24"/>
        </w:rPr>
        <w:t xml:space="preserve"> nebo </w:t>
      </w:r>
      <w:r w:rsidRPr="003A45A2">
        <w:rPr>
          <w:b/>
          <w:szCs w:val="24"/>
        </w:rPr>
        <w:t>informací uveřejňovaných podle § 82 odst. 3 ve zprávě o solventnosti a finanční situaci</w:t>
      </w:r>
      <w:r w:rsidRPr="00CE2A26">
        <w:rPr>
          <w:b/>
          <w:szCs w:val="24"/>
        </w:rPr>
        <w:t>.</w:t>
      </w:r>
    </w:p>
    <w:p w14:paraId="511A16E0" w14:textId="77777777" w:rsidR="00D8555D" w:rsidRPr="00802B96" w:rsidRDefault="00D8555D" w:rsidP="00A679B4">
      <w:pPr>
        <w:pStyle w:val="PZTextodstavce"/>
        <w:spacing w:before="240"/>
        <w:rPr>
          <w:b/>
          <w:szCs w:val="24"/>
        </w:rPr>
      </w:pPr>
      <w:r w:rsidRPr="00802B96">
        <w:rPr>
          <w:b/>
          <w:szCs w:val="24"/>
        </w:rPr>
        <w:t xml:space="preserve"> (3)</w:t>
      </w:r>
      <w:r>
        <w:rPr>
          <w:b/>
          <w:szCs w:val="24"/>
        </w:rPr>
        <w:t xml:space="preserve"> Česká národní banka auditora</w:t>
      </w:r>
      <w:r w:rsidRPr="00802B96">
        <w:rPr>
          <w:b/>
          <w:szCs w:val="24"/>
        </w:rPr>
        <w:t xml:space="preserve"> oznámeného podle odstavce 1 odmítne</w:t>
      </w:r>
      <w:r>
        <w:rPr>
          <w:b/>
          <w:szCs w:val="24"/>
        </w:rPr>
        <w:t xml:space="preserve"> do 30 dnů ode dne zahájení řízení</w:t>
      </w:r>
      <w:r w:rsidRPr="00802B96">
        <w:rPr>
          <w:b/>
          <w:szCs w:val="24"/>
        </w:rPr>
        <w:t>, pokud</w:t>
      </w:r>
    </w:p>
    <w:p w14:paraId="70EC5EA5" w14:textId="77777777" w:rsidR="00D8555D" w:rsidRDefault="00D8555D" w:rsidP="00A679B4">
      <w:pPr>
        <w:tabs>
          <w:tab w:val="left" w:pos="425"/>
          <w:tab w:val="left" w:pos="851"/>
        </w:tabs>
        <w:spacing w:before="0"/>
        <w:ind w:left="425" w:hanging="425"/>
        <w:rPr>
          <w:b/>
          <w:szCs w:val="24"/>
        </w:rPr>
      </w:pPr>
      <w:r w:rsidRPr="00802B96">
        <w:rPr>
          <w:b/>
          <w:szCs w:val="24"/>
        </w:rPr>
        <w:t>a)</w:t>
      </w:r>
      <w:r w:rsidRPr="00802B96">
        <w:rPr>
          <w:b/>
          <w:szCs w:val="24"/>
        </w:rPr>
        <w:tab/>
        <w:t>je nebo byl v posledních 2 letech před provedením ověření k</w:t>
      </w:r>
      <w:r>
        <w:rPr>
          <w:b/>
          <w:szCs w:val="24"/>
        </w:rPr>
        <w:t> t</w:t>
      </w:r>
      <w:r w:rsidRPr="003A45A2">
        <w:rPr>
          <w:b/>
          <w:szCs w:val="24"/>
        </w:rPr>
        <w:t>uze</w:t>
      </w:r>
      <w:r>
        <w:rPr>
          <w:b/>
          <w:szCs w:val="24"/>
        </w:rPr>
        <w:t>mské pojišťovně, tuzemské zajišťovně, pojišťovně z třetího státu nebo zajišťovně</w:t>
      </w:r>
      <w:r w:rsidRPr="003A45A2">
        <w:rPr>
          <w:b/>
          <w:szCs w:val="24"/>
        </w:rPr>
        <w:t xml:space="preserve"> z třetího státu</w:t>
      </w:r>
      <w:r w:rsidRPr="00AC1944">
        <w:rPr>
          <w:b/>
          <w:szCs w:val="24"/>
        </w:rPr>
        <w:t xml:space="preserve"> </w:t>
      </w:r>
      <w:r w:rsidRPr="00802B96">
        <w:rPr>
          <w:b/>
          <w:szCs w:val="24"/>
        </w:rPr>
        <w:t>ve vztahu, který by mohl ovlivnit jeho nestrannost</w:t>
      </w:r>
      <w:r>
        <w:rPr>
          <w:b/>
          <w:szCs w:val="24"/>
        </w:rPr>
        <w:t>,</w:t>
      </w:r>
      <w:r w:rsidRPr="00802B96">
        <w:rPr>
          <w:b/>
          <w:szCs w:val="24"/>
        </w:rPr>
        <w:t xml:space="preserve"> </w:t>
      </w:r>
      <w:r>
        <w:rPr>
          <w:b/>
          <w:szCs w:val="24"/>
        </w:rPr>
        <w:t>nebo nesplňuje-li požadavky na nezávislost stanovené v zákoně upravujícím auditorskou činnost</w:t>
      </w:r>
      <w:r w:rsidRPr="00802B96">
        <w:rPr>
          <w:b/>
          <w:szCs w:val="24"/>
        </w:rPr>
        <w:t>,</w:t>
      </w:r>
    </w:p>
    <w:p w14:paraId="36F7E6E3" w14:textId="77777777" w:rsidR="00D8555D" w:rsidRPr="00802B96" w:rsidRDefault="00D8555D" w:rsidP="00A679B4">
      <w:pPr>
        <w:tabs>
          <w:tab w:val="left" w:pos="425"/>
          <w:tab w:val="left" w:pos="851"/>
        </w:tabs>
        <w:spacing w:before="0"/>
        <w:ind w:left="425" w:hanging="425"/>
        <w:rPr>
          <w:b/>
          <w:szCs w:val="24"/>
        </w:rPr>
      </w:pPr>
      <w:r w:rsidRPr="00802B96">
        <w:rPr>
          <w:b/>
          <w:szCs w:val="24"/>
        </w:rPr>
        <w:t>b)</w:t>
      </w:r>
      <w:r w:rsidRPr="00802B96">
        <w:rPr>
          <w:b/>
          <w:szCs w:val="24"/>
        </w:rPr>
        <w:tab/>
        <w:t xml:space="preserve">jeho dosavadní činnost v oblasti ověření řídicího a kontrolního systému nebo jeho části </w:t>
      </w:r>
      <w:r>
        <w:rPr>
          <w:b/>
          <w:szCs w:val="24"/>
        </w:rPr>
        <w:t xml:space="preserve">nebo ověření </w:t>
      </w:r>
      <w:r w:rsidRPr="003A45A2">
        <w:rPr>
          <w:b/>
          <w:szCs w:val="24"/>
        </w:rPr>
        <w:t>informací uveřejňovaných podle § 82 odst. 3 ve zprávě o solventnosti a finanční situaci</w:t>
      </w:r>
      <w:r w:rsidRPr="00802B96">
        <w:rPr>
          <w:b/>
          <w:szCs w:val="24"/>
        </w:rPr>
        <w:t xml:space="preserve"> nezajišťuje předpoklad řádného ověření, a to s ohledem na rozsah a složitost činností vykonávaných </w:t>
      </w:r>
      <w:r>
        <w:rPr>
          <w:b/>
          <w:szCs w:val="24"/>
        </w:rPr>
        <w:t>t</w:t>
      </w:r>
      <w:r w:rsidRPr="003A45A2">
        <w:rPr>
          <w:b/>
          <w:szCs w:val="24"/>
        </w:rPr>
        <w:t>uze</w:t>
      </w:r>
      <w:r>
        <w:rPr>
          <w:b/>
          <w:szCs w:val="24"/>
        </w:rPr>
        <w:t>mskou pojišťovnou, tuzemskou zajišťovnou, pojišťovnou z třetího státu nebo zajišťovnou</w:t>
      </w:r>
      <w:r w:rsidRPr="003A45A2">
        <w:rPr>
          <w:b/>
          <w:szCs w:val="24"/>
        </w:rPr>
        <w:t xml:space="preserve"> z třetího státu</w:t>
      </w:r>
      <w:r w:rsidRPr="00802B96">
        <w:rPr>
          <w:b/>
          <w:szCs w:val="24"/>
        </w:rPr>
        <w:t>, ve které má ověření provést.</w:t>
      </w:r>
    </w:p>
    <w:p w14:paraId="5F61718C" w14:textId="77777777" w:rsidR="00D8555D" w:rsidRDefault="00D8555D" w:rsidP="00607B4B">
      <w:pPr>
        <w:pStyle w:val="PZTextodstavce"/>
        <w:rPr>
          <w:b/>
        </w:rPr>
      </w:pPr>
      <w:r w:rsidRPr="00802B96">
        <w:rPr>
          <w:b/>
        </w:rPr>
        <w:lastRenderedPageBreak/>
        <w:t>(4</w:t>
      </w:r>
      <w:r>
        <w:rPr>
          <w:b/>
        </w:rPr>
        <w:t>) Řízení o odmítnutí auditora</w:t>
      </w:r>
      <w:r w:rsidRPr="00802B96">
        <w:rPr>
          <w:b/>
        </w:rPr>
        <w:t xml:space="preserve"> zahájí Česká národní banka do 30 dnů od</w:t>
      </w:r>
      <w:r>
        <w:rPr>
          <w:b/>
        </w:rPr>
        <w:t>e dne</w:t>
      </w:r>
      <w:r w:rsidRPr="00802B96">
        <w:rPr>
          <w:b/>
        </w:rPr>
        <w:t xml:space="preserve"> obdržení oznámení od </w:t>
      </w:r>
      <w:r>
        <w:rPr>
          <w:b/>
          <w:szCs w:val="24"/>
        </w:rPr>
        <w:t>t</w:t>
      </w:r>
      <w:r w:rsidRPr="003A45A2">
        <w:rPr>
          <w:b/>
          <w:szCs w:val="24"/>
        </w:rPr>
        <w:t>uze</w:t>
      </w:r>
      <w:r>
        <w:rPr>
          <w:b/>
          <w:szCs w:val="24"/>
        </w:rPr>
        <w:t>mské pojišťovny, tuzemské zajišťovny, pojišťovny z třetího státu nebo zajišťovny</w:t>
      </w:r>
      <w:r w:rsidRPr="003A45A2">
        <w:rPr>
          <w:b/>
          <w:szCs w:val="24"/>
        </w:rPr>
        <w:t xml:space="preserve"> z třetího státu</w:t>
      </w:r>
      <w:r w:rsidRPr="00802B96">
        <w:rPr>
          <w:b/>
        </w:rPr>
        <w:t xml:space="preserve"> podle odstavce 2. Nezahájí-li Česká národní banka řízení ve stanovené lhůtě, platí, že </w:t>
      </w:r>
      <w:r>
        <w:rPr>
          <w:b/>
        </w:rPr>
        <w:t>auditora</w:t>
      </w:r>
      <w:r w:rsidRPr="00802B96">
        <w:rPr>
          <w:b/>
        </w:rPr>
        <w:t xml:space="preserve"> neodmítla.</w:t>
      </w:r>
    </w:p>
    <w:p w14:paraId="384DF4F5" w14:textId="77777777" w:rsidR="00D8555D" w:rsidRPr="00802B96" w:rsidRDefault="00D8555D" w:rsidP="00607B4B">
      <w:pPr>
        <w:pStyle w:val="PZTextodstavce"/>
        <w:rPr>
          <w:b/>
        </w:rPr>
      </w:pPr>
      <w:r w:rsidRPr="00802B96">
        <w:rPr>
          <w:b/>
        </w:rPr>
        <w:t xml:space="preserve">(5) Pokud Česká národní banka zahájí řízení o odmítnutí </w:t>
      </w:r>
      <w:r>
        <w:rPr>
          <w:b/>
        </w:rPr>
        <w:t>auditora</w:t>
      </w:r>
      <w:r w:rsidRPr="00802B96">
        <w:rPr>
          <w:b/>
        </w:rPr>
        <w:t xml:space="preserve"> podle odstavce 4, lhůta pro provedení ověření </w:t>
      </w:r>
      <w:r>
        <w:rPr>
          <w:b/>
        </w:rPr>
        <w:t>řídicího</w:t>
      </w:r>
      <w:r w:rsidRPr="00802B96">
        <w:rPr>
          <w:b/>
        </w:rPr>
        <w:t xml:space="preserve"> a kontrolního systému nebo jeho části podle § </w:t>
      </w:r>
      <w:r>
        <w:rPr>
          <w:b/>
        </w:rPr>
        <w:t>81</w:t>
      </w:r>
      <w:r w:rsidRPr="00802B96">
        <w:rPr>
          <w:b/>
        </w:rPr>
        <w:t xml:space="preserve"> odst. 3 </w:t>
      </w:r>
      <w:r w:rsidRPr="00B62431">
        <w:rPr>
          <w:b/>
        </w:rPr>
        <w:t xml:space="preserve">nebo pro provedení ověření </w:t>
      </w:r>
      <w:r w:rsidRPr="00B62431">
        <w:rPr>
          <w:b/>
          <w:szCs w:val="24"/>
        </w:rPr>
        <w:t>informací uveřejňovaných podle § 82 odst. 3 ve zprávě o solventnosti a finanční situaci</w:t>
      </w:r>
      <w:r>
        <w:rPr>
          <w:szCs w:val="24"/>
        </w:rPr>
        <w:t xml:space="preserve"> </w:t>
      </w:r>
      <w:r w:rsidRPr="00802B96">
        <w:rPr>
          <w:b/>
        </w:rPr>
        <w:t>se o dobu trvání tohoto řízení prodlužuje.</w:t>
      </w:r>
    </w:p>
    <w:p w14:paraId="21BB2077" w14:textId="77777777" w:rsidR="00D8555D" w:rsidRDefault="00D8555D" w:rsidP="00607B4B">
      <w:pPr>
        <w:pStyle w:val="PZTextodstavce"/>
        <w:rPr>
          <w:b/>
        </w:rPr>
      </w:pPr>
      <w:r w:rsidRPr="00802B96">
        <w:rPr>
          <w:b/>
        </w:rPr>
        <w:t>(6)</w:t>
      </w:r>
      <w:r>
        <w:rPr>
          <w:b/>
        </w:rPr>
        <w:tab/>
      </w:r>
      <w:r w:rsidRPr="00802B96">
        <w:rPr>
          <w:b/>
        </w:rPr>
        <w:t xml:space="preserve">Odmítne-li Česká národní banka vybraného </w:t>
      </w:r>
      <w:r>
        <w:rPr>
          <w:b/>
        </w:rPr>
        <w:t>auditora</w:t>
      </w:r>
      <w:r w:rsidRPr="00802B96">
        <w:rPr>
          <w:b/>
        </w:rPr>
        <w:t xml:space="preserve">, oznámí </w:t>
      </w:r>
      <w:r>
        <w:rPr>
          <w:b/>
          <w:szCs w:val="24"/>
        </w:rPr>
        <w:t>t</w:t>
      </w:r>
      <w:r w:rsidRPr="003A45A2">
        <w:rPr>
          <w:b/>
          <w:szCs w:val="24"/>
        </w:rPr>
        <w:t>uzemská pojišťovna, tuzemská zajišťovna, pojišťovna z třetího státu nebo zajišťovna z třetího státu</w:t>
      </w:r>
      <w:r w:rsidRPr="00802B96">
        <w:rPr>
          <w:b/>
        </w:rPr>
        <w:t xml:space="preserve"> Česk</w:t>
      </w:r>
      <w:r>
        <w:rPr>
          <w:b/>
        </w:rPr>
        <w:t xml:space="preserve">é národní bance nově vybraného auditora </w:t>
      </w:r>
      <w:r w:rsidRPr="007D13A2">
        <w:rPr>
          <w:b/>
        </w:rPr>
        <w:t>do 30 dnů ode dne doručení rozhodnutí o odmítnutí auditora</w:t>
      </w:r>
      <w:r>
        <w:rPr>
          <w:b/>
        </w:rPr>
        <w:t>. Na nově vybraného auditora</w:t>
      </w:r>
      <w:r w:rsidRPr="00802B96">
        <w:rPr>
          <w:b/>
        </w:rPr>
        <w:t xml:space="preserve"> se použijí odstavce </w:t>
      </w:r>
      <w:r>
        <w:rPr>
          <w:b/>
        </w:rPr>
        <w:t>2</w:t>
      </w:r>
      <w:r w:rsidRPr="00802B96">
        <w:rPr>
          <w:b/>
        </w:rPr>
        <w:t xml:space="preserve"> až </w:t>
      </w:r>
      <w:r>
        <w:rPr>
          <w:b/>
        </w:rPr>
        <w:t>5</w:t>
      </w:r>
      <w:r w:rsidRPr="00802B96">
        <w:rPr>
          <w:b/>
        </w:rPr>
        <w:t xml:space="preserve"> obdobně.</w:t>
      </w:r>
    </w:p>
    <w:p w14:paraId="022C0036" w14:textId="3800D146" w:rsidR="00D8555D" w:rsidRPr="00A679B4" w:rsidRDefault="00D8555D" w:rsidP="00607B4B">
      <w:pPr>
        <w:spacing w:before="120" w:after="120"/>
        <w:rPr>
          <w:b/>
        </w:rPr>
      </w:pPr>
      <w:r>
        <w:rPr>
          <w:b/>
        </w:rPr>
        <w:t>(7) Proti rozhodnutí o odmítnutí a</w:t>
      </w:r>
      <w:r w:rsidR="00A679B4">
        <w:rPr>
          <w:b/>
        </w:rPr>
        <w:t>uditora není přípustný rozklad.</w:t>
      </w:r>
    </w:p>
    <w:p w14:paraId="6D10CCAA" w14:textId="77777777" w:rsidR="00D8555D" w:rsidRPr="00B82D5C" w:rsidRDefault="00D8555D" w:rsidP="00A679B4">
      <w:pPr>
        <w:keepNext/>
        <w:keepLines/>
        <w:ind w:firstLine="0"/>
        <w:jc w:val="center"/>
        <w:outlineLvl w:val="5"/>
        <w:rPr>
          <w:b/>
          <w:szCs w:val="24"/>
        </w:rPr>
      </w:pPr>
      <w:r w:rsidRPr="00F704F8">
        <w:rPr>
          <w:b/>
          <w:szCs w:val="24"/>
        </w:rPr>
        <w:t>Uveřejňování informací o činnosti pojišťovny a zajišťovny</w:t>
      </w:r>
    </w:p>
    <w:p w14:paraId="388886AE" w14:textId="77777777" w:rsidR="00D8555D" w:rsidRPr="00B82D5C" w:rsidRDefault="00D8555D" w:rsidP="00A679B4">
      <w:pPr>
        <w:keepNext/>
        <w:keepLines/>
        <w:ind w:firstLine="0"/>
        <w:jc w:val="center"/>
        <w:outlineLvl w:val="5"/>
        <w:rPr>
          <w:szCs w:val="24"/>
        </w:rPr>
      </w:pPr>
      <w:r w:rsidRPr="00B82D5C">
        <w:rPr>
          <w:szCs w:val="24"/>
        </w:rPr>
        <w:t xml:space="preserve">§ 82 </w:t>
      </w:r>
    </w:p>
    <w:p w14:paraId="68A3816C" w14:textId="77777777" w:rsidR="00D8555D" w:rsidRPr="004D0134" w:rsidRDefault="00D8555D" w:rsidP="00A679B4">
      <w:pPr>
        <w:keepNext/>
        <w:keepLines/>
        <w:ind w:firstLine="0"/>
        <w:jc w:val="center"/>
        <w:outlineLvl w:val="5"/>
        <w:rPr>
          <w:b/>
          <w:szCs w:val="24"/>
        </w:rPr>
      </w:pPr>
      <w:r>
        <w:rPr>
          <w:b/>
          <w:szCs w:val="24"/>
        </w:rPr>
        <w:t>nadpis vypuštěn</w:t>
      </w:r>
    </w:p>
    <w:p w14:paraId="63A8FF9F" w14:textId="77777777" w:rsidR="00D8555D" w:rsidRPr="00F3020F" w:rsidRDefault="00D8555D" w:rsidP="00607B4B">
      <w:pPr>
        <w:tabs>
          <w:tab w:val="left" w:pos="782"/>
          <w:tab w:val="left" w:pos="851"/>
        </w:tabs>
        <w:spacing w:before="120" w:after="120"/>
        <w:outlineLvl w:val="6"/>
        <w:rPr>
          <w:strike/>
          <w:szCs w:val="24"/>
        </w:rPr>
      </w:pPr>
      <w:r w:rsidRPr="00F704F8">
        <w:rPr>
          <w:strike/>
          <w:szCs w:val="24"/>
        </w:rPr>
        <w:t xml:space="preserve">(1) Tuzemská pojišťovna nebo tuzemská zajišťovna nejpozději do 4 měsíců po skončení účetního období předkládá České národní bance svoji výroční zprávu a konsolidovanou výroční zprávu podle zákona upravujícího účetnictví, jejichž součástí je účetní závěrka ověřená auditorem, a uveřejňuje ji způsobem umožňujícím dálkový přístup. Pokud valná hromada nebo členská schůze tuzemské pojišťovny nebo valná hromada tuzemské zajišťovny účetní závěrku nebo konsolidovanou účetní závěrku v uvedené lhůtě neschválí, zašle ji tato pojišťovna nebo zajišťovna České národní bance spolu s důvody, pro které nebyla schválena, a způsobem řešení připomínek valné hromady nebo členské schůze; tyto údaje současně uveřejní způsobem umožňujícím dálkový přístup. Tím není dotčena povinnost tuzemské pojišťovny nebo tuzemské zajišťovny zajistit schválení účetní závěrky nebo konsolidované účetní závěrky a schválenou účetní závěrku nebo konsolidovanou účetní závěrku uveřejnit. </w:t>
      </w:r>
    </w:p>
    <w:p w14:paraId="65636C79" w14:textId="77777777" w:rsidR="00D8555D" w:rsidRPr="00FB1079" w:rsidRDefault="00D8555D" w:rsidP="00607B4B">
      <w:pPr>
        <w:tabs>
          <w:tab w:val="left" w:pos="782"/>
          <w:tab w:val="left" w:pos="851"/>
        </w:tabs>
        <w:spacing w:before="120" w:after="120"/>
        <w:outlineLvl w:val="6"/>
        <w:rPr>
          <w:b/>
          <w:szCs w:val="24"/>
        </w:rPr>
      </w:pPr>
      <w:r w:rsidRPr="00F704F8">
        <w:rPr>
          <w:b/>
          <w:szCs w:val="24"/>
        </w:rPr>
        <w:t>(1)</w:t>
      </w:r>
      <w:r>
        <w:rPr>
          <w:szCs w:val="24"/>
        </w:rPr>
        <w:tab/>
      </w:r>
      <w:r w:rsidRPr="00F704F8">
        <w:rPr>
          <w:b/>
          <w:szCs w:val="24"/>
        </w:rPr>
        <w:t>Tuzemská pojišťovna nebo tuzemská zajišťovna</w:t>
      </w:r>
      <w:r w:rsidRPr="00F704F8">
        <w:rPr>
          <w:szCs w:val="24"/>
        </w:rPr>
        <w:t xml:space="preserve"> </w:t>
      </w:r>
      <w:r w:rsidRPr="00F704F8">
        <w:rPr>
          <w:b/>
          <w:szCs w:val="24"/>
        </w:rPr>
        <w:t xml:space="preserve">zveřejní </w:t>
      </w:r>
      <w:r>
        <w:rPr>
          <w:b/>
          <w:szCs w:val="24"/>
        </w:rPr>
        <w:t xml:space="preserve">řádnou účetní závěrku, zprávy podle zákona upravujícího účetnictví, jsou-li vyhotovovány, a zprávy o jejich ověření, jsou-li ověřovány, </w:t>
      </w:r>
      <w:r w:rsidRPr="00F704F8">
        <w:rPr>
          <w:b/>
          <w:szCs w:val="24"/>
        </w:rPr>
        <w:t xml:space="preserve">do 4 měsíců od </w:t>
      </w:r>
      <w:r>
        <w:rPr>
          <w:b/>
          <w:szCs w:val="24"/>
        </w:rPr>
        <w:t>konce</w:t>
      </w:r>
      <w:r w:rsidRPr="00F704F8">
        <w:rPr>
          <w:b/>
          <w:szCs w:val="24"/>
        </w:rPr>
        <w:t xml:space="preserve"> účetního období. V této lhůtě tuzemská pojišťovna nebo tuzemská zajišťovna také uveřejní </w:t>
      </w:r>
      <w:r>
        <w:rPr>
          <w:b/>
          <w:szCs w:val="24"/>
        </w:rPr>
        <w:t xml:space="preserve">tyto dokumenty </w:t>
      </w:r>
      <w:r w:rsidRPr="00F704F8">
        <w:rPr>
          <w:b/>
          <w:szCs w:val="24"/>
        </w:rPr>
        <w:t xml:space="preserve">na svých internetových stránkách. Pokud valná hromada nebo členská schůze tuzemské pojišťovny nebo valná hromada tuzemské zajišťovny </w:t>
      </w:r>
      <w:r w:rsidRPr="00FB1079">
        <w:rPr>
          <w:b/>
          <w:szCs w:val="24"/>
        </w:rPr>
        <w:t>řádnou</w:t>
      </w:r>
      <w:r w:rsidRPr="00F704F8">
        <w:rPr>
          <w:b/>
          <w:szCs w:val="24"/>
        </w:rPr>
        <w:t xml:space="preserve"> účetní závěrku v uvedené lhůtě neschválí, tato pojišťovna nebo zajišťovna</w:t>
      </w:r>
      <w:r w:rsidRPr="00F704F8">
        <w:rPr>
          <w:szCs w:val="24"/>
        </w:rPr>
        <w:t xml:space="preserve"> </w:t>
      </w:r>
      <w:r>
        <w:rPr>
          <w:b/>
        </w:rPr>
        <w:t>uveřejní na svých internetových stránkách tuto účetní závěrku společně s</w:t>
      </w:r>
      <w:r w:rsidRPr="00331B7A">
        <w:rPr>
          <w:b/>
        </w:rPr>
        <w:t xml:space="preserve"> informac</w:t>
      </w:r>
      <w:r>
        <w:rPr>
          <w:b/>
        </w:rPr>
        <w:t>í</w:t>
      </w:r>
      <w:r w:rsidRPr="00331B7A">
        <w:rPr>
          <w:b/>
        </w:rPr>
        <w:t xml:space="preserve"> o </w:t>
      </w:r>
      <w:r>
        <w:rPr>
          <w:b/>
        </w:rPr>
        <w:t xml:space="preserve">jejím neschválení, důvody jejího neschválení a </w:t>
      </w:r>
      <w:r w:rsidRPr="00331B7A">
        <w:rPr>
          <w:b/>
        </w:rPr>
        <w:t>způsob</w:t>
      </w:r>
      <w:r>
        <w:rPr>
          <w:b/>
        </w:rPr>
        <w:t>em</w:t>
      </w:r>
      <w:r w:rsidRPr="00331B7A">
        <w:rPr>
          <w:b/>
        </w:rPr>
        <w:t xml:space="preserve"> řešen</w:t>
      </w:r>
      <w:r>
        <w:rPr>
          <w:b/>
        </w:rPr>
        <w:t>í připomínek valné hromady nebo členské schůze k ní</w:t>
      </w:r>
      <w:r w:rsidRPr="00F704F8">
        <w:rPr>
          <w:b/>
          <w:szCs w:val="24"/>
        </w:rPr>
        <w:t xml:space="preserve">. </w:t>
      </w:r>
    </w:p>
    <w:p w14:paraId="32454582" w14:textId="77777777" w:rsidR="00D8555D" w:rsidRPr="00F704F8" w:rsidRDefault="00D8555D" w:rsidP="00607B4B">
      <w:pPr>
        <w:tabs>
          <w:tab w:val="left" w:pos="782"/>
          <w:tab w:val="left" w:pos="851"/>
        </w:tabs>
        <w:spacing w:before="120" w:after="120"/>
        <w:outlineLvl w:val="6"/>
        <w:rPr>
          <w:szCs w:val="24"/>
        </w:rPr>
      </w:pPr>
      <w:r>
        <w:rPr>
          <w:szCs w:val="24"/>
        </w:rPr>
        <w:t>(2)</w:t>
      </w:r>
      <w:r>
        <w:rPr>
          <w:szCs w:val="24"/>
        </w:rPr>
        <w:tab/>
      </w:r>
      <w:r w:rsidRPr="00F704F8">
        <w:rPr>
          <w:szCs w:val="24"/>
        </w:rPr>
        <w:t xml:space="preserve">Tuzemská pojišťovna, tuzemská zajišťovna, pojišťovna z třetího státu a zajišťovna z třetího státu je povinna uveřejňovat v rozsahu, způsobem a v termínech stanovených prováděcím právním předpisem informace o sobě, o složení akcionářů a o struktuře skupiny, jejíž je součástí, nejsou-li obsahem zprávy podle odstavce 3. Informace o právní, řídicí a organizační struktuře, včetně uvedení všech ovládaných osob a významných přidružených osob a poboček náležících ke skupině se uveřejní každoročně na úrovni skupiny; to se použije </w:t>
      </w:r>
      <w:r w:rsidRPr="00F704F8">
        <w:rPr>
          <w:szCs w:val="24"/>
        </w:rPr>
        <w:lastRenderedPageBreak/>
        <w:t xml:space="preserve">obdobně pro pojišťovací holdingovou osobu a smíšenou finanční holdingovou osobu se sídlem na území České republiky. </w:t>
      </w:r>
    </w:p>
    <w:p w14:paraId="2688671E" w14:textId="77777777" w:rsidR="00D8555D" w:rsidRPr="00F704F8" w:rsidRDefault="00D8555D" w:rsidP="00607B4B">
      <w:pPr>
        <w:tabs>
          <w:tab w:val="left" w:pos="782"/>
          <w:tab w:val="left" w:pos="851"/>
        </w:tabs>
        <w:spacing w:before="120" w:after="120"/>
        <w:outlineLvl w:val="6"/>
        <w:rPr>
          <w:szCs w:val="24"/>
        </w:rPr>
      </w:pPr>
      <w:r w:rsidRPr="00F704F8">
        <w:rPr>
          <w:szCs w:val="24"/>
        </w:rPr>
        <w:t xml:space="preserve">(3) Tuzemská pojišťovna, tuzemská zajišťovna, pojišťovna z třetího státu a zajišťovna z třetího státu je povinna uveřejnit zprávu o solventnosti a finanční situaci a o povaze a účincích důležitých změn v její činnosti po jejich schválení příslušným orgánem takové pojišťovny nebo zajišťovny, pokud tyto informace nejsou součástí skupinové zprávy o solventnosti a finanční situaci podle § 92l. Pokud se použije vyrovnávací úprava podle § 54b, zpráva o solventnosti a finanční situaci v části o oceňování pro účely solventnosti obsahuje také informaci o způsobu jejího použití, popis portfolia závazků z životního pojištění nebo zajištění nebo z rent z neživotního pojištění nebo zajištění a popis portfolia přiřazených aktiv, ke kterým se vyrovnávací úprava vztahuje, včetně kvantifikace dopadu poklesu vyrovnávací úpravy na nulu na její finanční situaci. Pokud se použije koeficient volatility podle § 54c, pojišťovna to ve zprávě o solventnosti a finanční situaci uvede spolu s kvantifikací dopadu jeho snížení na nulu na její finanční situaci. S výjimkou informace týkající se řízení kapitálu, nemusí být po předchozím souhlasu České národní banky ve zprávě o solventnosti a finanční situaci uveřejněna informace, která je citlivá nebo důvěrná. Na základě tohoto souhlasu může zpráva podle věty první obsahovat i odkaz na informaci již uveřejněnou podle jiného právního předpisu. </w:t>
      </w:r>
    </w:p>
    <w:p w14:paraId="59E8AA09" w14:textId="77777777" w:rsidR="00D8555D" w:rsidRPr="00F704F8" w:rsidRDefault="00D8555D" w:rsidP="00607B4B">
      <w:pPr>
        <w:tabs>
          <w:tab w:val="left" w:pos="782"/>
          <w:tab w:val="left" w:pos="851"/>
        </w:tabs>
        <w:spacing w:before="120" w:after="120"/>
        <w:outlineLvl w:val="6"/>
        <w:rPr>
          <w:szCs w:val="24"/>
        </w:rPr>
      </w:pPr>
      <w:r w:rsidRPr="00F704F8">
        <w:rPr>
          <w:szCs w:val="24"/>
        </w:rPr>
        <w:t xml:space="preserve">(4) Informace se považuje za citlivou, pokud by jejím uveřejněním mohlo být poškozeno postavení tuzemské pojišťovny a tuzemské zajišťovny v rámci soutěžního prostředí, zejména jde-li o informaci o produktech nebo systémech, nebo která by sdílením s ostatními soutěžiteli mohla znehodnotit investici tuzemské pojišťovny nebo tuzemské zajišťovny do těchto produktů nebo systémů. Informace se považuje za důvěrnou, pokud je tuzemská pojišťovna nebo tuzemská zajišťovna povinna zachovávat o ní mlčenlivost. </w:t>
      </w:r>
    </w:p>
    <w:p w14:paraId="4DD007B1" w14:textId="77777777" w:rsidR="00D8555D" w:rsidRPr="00F704F8" w:rsidRDefault="00D8555D" w:rsidP="00607B4B">
      <w:pPr>
        <w:tabs>
          <w:tab w:val="left" w:pos="782"/>
          <w:tab w:val="left" w:pos="851"/>
        </w:tabs>
        <w:spacing w:before="120" w:after="120"/>
        <w:outlineLvl w:val="6"/>
        <w:rPr>
          <w:szCs w:val="24"/>
        </w:rPr>
      </w:pPr>
      <w:r w:rsidRPr="00F704F8">
        <w:rPr>
          <w:szCs w:val="24"/>
        </w:rPr>
        <w:t xml:space="preserve">(5) Využije-li tuzemská pojišťovna nebo tuzemská zajišťovna možnost neuveřejnit citlivou nebo důvěrnou informaci, uvede ve zprávě podle odstavce 3, o který z požadavků na uveřejnění se jedná, a důvod jejího neuveřejnění. </w:t>
      </w:r>
    </w:p>
    <w:p w14:paraId="40C3E4C5" w14:textId="77777777" w:rsidR="00D8555D" w:rsidRPr="00F704F8" w:rsidRDefault="00D8555D" w:rsidP="00607B4B">
      <w:pPr>
        <w:tabs>
          <w:tab w:val="left" w:pos="782"/>
          <w:tab w:val="left" w:pos="851"/>
        </w:tabs>
        <w:spacing w:before="120" w:after="120"/>
        <w:outlineLvl w:val="6"/>
        <w:rPr>
          <w:szCs w:val="24"/>
        </w:rPr>
      </w:pPr>
      <w:r w:rsidRPr="00F704F8">
        <w:rPr>
          <w:szCs w:val="24"/>
        </w:rPr>
        <w:t xml:space="preserve">(6) Obsah informací určených k uveřejnění včetně informací, u nichž nelze využít možnost podle odstavce 3, formu, způsob, strukturu, četnost a lhůty uveřejňování informací stanoví přímo použitelný předpis Evropské unie. </w:t>
      </w:r>
    </w:p>
    <w:p w14:paraId="362C40BE" w14:textId="77777777" w:rsidR="00D8555D" w:rsidRDefault="00D8555D" w:rsidP="00607B4B">
      <w:pPr>
        <w:tabs>
          <w:tab w:val="left" w:pos="782"/>
          <w:tab w:val="left" w:pos="851"/>
        </w:tabs>
        <w:spacing w:before="120" w:after="120"/>
        <w:outlineLvl w:val="6"/>
        <w:rPr>
          <w:szCs w:val="24"/>
        </w:rPr>
      </w:pPr>
      <w:r>
        <w:rPr>
          <w:szCs w:val="24"/>
        </w:rPr>
        <w:t>(7)</w:t>
      </w:r>
      <w:r>
        <w:rPr>
          <w:szCs w:val="24"/>
        </w:rPr>
        <w:tab/>
      </w:r>
      <w:r w:rsidRPr="00F704F8">
        <w:rPr>
          <w:szCs w:val="24"/>
        </w:rPr>
        <w:t xml:space="preserve">Před sjednáním pojištění spadajícího do pojistných odvětví životního pojištění musí pojišťovna sdělit zájemci o pojištění konkrétní odkaz na zprávu o své solventnosti a finanční situaci. Tato informace musí být poskytnuta jasně, přesně, písemně a v jazyce členského státu závazku. </w:t>
      </w:r>
    </w:p>
    <w:p w14:paraId="5ABC976F" w14:textId="77777777" w:rsidR="00D8555D" w:rsidRPr="00CB4328" w:rsidRDefault="00D8555D" w:rsidP="00A679B4">
      <w:pPr>
        <w:pStyle w:val="Paragraf"/>
        <w:spacing w:after="120"/>
      </w:pPr>
      <w:r>
        <w:t>***</w:t>
      </w:r>
    </w:p>
    <w:p w14:paraId="100A5212" w14:textId="77777777" w:rsidR="00D8555D" w:rsidRPr="00CB4328" w:rsidRDefault="00D8555D" w:rsidP="00A679B4">
      <w:pPr>
        <w:keepNext/>
        <w:keepLines/>
        <w:spacing w:after="120"/>
        <w:ind w:firstLine="0"/>
        <w:jc w:val="center"/>
        <w:outlineLvl w:val="5"/>
        <w:rPr>
          <w:b/>
          <w:szCs w:val="24"/>
        </w:rPr>
      </w:pPr>
      <w:r w:rsidRPr="00CB4328">
        <w:rPr>
          <w:b/>
          <w:szCs w:val="24"/>
        </w:rPr>
        <w:t>§ 82b</w:t>
      </w:r>
    </w:p>
    <w:p w14:paraId="76FB40B9" w14:textId="77777777" w:rsidR="00D8555D" w:rsidRPr="00833300" w:rsidRDefault="00D8555D" w:rsidP="00A679B4">
      <w:pPr>
        <w:keepNext/>
        <w:keepLines/>
        <w:spacing w:after="120"/>
        <w:jc w:val="center"/>
        <w:outlineLvl w:val="5"/>
        <w:rPr>
          <w:b/>
          <w:szCs w:val="24"/>
        </w:rPr>
      </w:pPr>
      <w:r w:rsidRPr="00833300">
        <w:rPr>
          <w:b/>
          <w:szCs w:val="24"/>
        </w:rPr>
        <w:t xml:space="preserve">Uveřejňování informací o činnosti pojišťovny z jiného členského státu, pojišťovny z třetího státu, zajišťovny z jiného členského státu a zajišťovny z třetího státu </w:t>
      </w:r>
    </w:p>
    <w:p w14:paraId="1FEEDE4A" w14:textId="77777777" w:rsidR="00D8555D" w:rsidRPr="00CB4328" w:rsidRDefault="00D8555D" w:rsidP="00607B4B">
      <w:pPr>
        <w:tabs>
          <w:tab w:val="left" w:pos="782"/>
          <w:tab w:val="left" w:pos="851"/>
        </w:tabs>
        <w:spacing w:before="120" w:after="120"/>
        <w:outlineLvl w:val="6"/>
        <w:rPr>
          <w:b/>
          <w:szCs w:val="24"/>
        </w:rPr>
      </w:pPr>
      <w:r w:rsidRPr="00CB4328">
        <w:rPr>
          <w:b/>
          <w:szCs w:val="24"/>
        </w:rPr>
        <w:t>(1) Pojišťovna a zajišťovna podle § 80 odst. 1 uveřejní svou řádnou účetní závěrku, zprávu vedení, je-li vyhotovována, a zprávy o ověření těchto dokumentů, jsou-li ověřovány, a to na internetových stránkách svojí pobočky na území České republiky bez zbytečného odkladu po jejich zpřístupnění podle právní úpravy ve státě, ve kterém má sídlo.</w:t>
      </w:r>
    </w:p>
    <w:p w14:paraId="29D271B5" w14:textId="77777777" w:rsidR="00D8555D" w:rsidRDefault="00D8555D" w:rsidP="00607B4B">
      <w:pPr>
        <w:tabs>
          <w:tab w:val="left" w:pos="782"/>
          <w:tab w:val="left" w:pos="851"/>
        </w:tabs>
        <w:spacing w:before="120" w:after="120"/>
        <w:outlineLvl w:val="6"/>
        <w:rPr>
          <w:b/>
          <w:szCs w:val="24"/>
        </w:rPr>
      </w:pPr>
      <w:r w:rsidRPr="00CB4328">
        <w:rPr>
          <w:b/>
          <w:szCs w:val="24"/>
        </w:rPr>
        <w:lastRenderedPageBreak/>
        <w:t>(2) Pojišťovna a zajišťovna podle § 80 odst. 1 uveřejní překlad své řádné individuální účetní závěrky a zprávy o jejím ověření, je-li ověřována, v českém nebo anglickém jazyce, a to na internetových stránkách svojí pobočky na území České republiky bez zbytečného odkladu poté, co tuto svou účetní závěrku zpřístupní podle právní úpravy ve státě, ve kterém má sídlo. Jsou-li řádná individuální účetní závěrka takové pojišťovny nebo zajišťovny a zpráva o jejím ověření, je-li ověřována, ve slovenském jazyce, jejich překlad do českého nebo anglického jazyka nemusí být uveřejněn.</w:t>
      </w:r>
    </w:p>
    <w:p w14:paraId="3642F10C" w14:textId="19969BBD" w:rsidR="00D8555D" w:rsidRPr="00A679B4" w:rsidRDefault="00D8555D" w:rsidP="00607B4B">
      <w:pPr>
        <w:pStyle w:val="PZTextodstavce"/>
        <w:rPr>
          <w:b/>
        </w:rPr>
      </w:pPr>
      <w:r>
        <w:rPr>
          <w:b/>
        </w:rPr>
        <w:t xml:space="preserve">(3) Pokud valná hromada nebo obdobný orgán </w:t>
      </w:r>
      <w:r>
        <w:rPr>
          <w:b/>
          <w:szCs w:val="24"/>
        </w:rPr>
        <w:t>pojišťovny</w:t>
      </w:r>
      <w:r w:rsidRPr="00CB4328">
        <w:rPr>
          <w:b/>
          <w:szCs w:val="24"/>
        </w:rPr>
        <w:t xml:space="preserve"> a zajišťovn</w:t>
      </w:r>
      <w:r>
        <w:rPr>
          <w:b/>
          <w:szCs w:val="24"/>
        </w:rPr>
        <w:t>y</w:t>
      </w:r>
      <w:r w:rsidRPr="00CB4328">
        <w:rPr>
          <w:b/>
          <w:szCs w:val="24"/>
        </w:rPr>
        <w:t xml:space="preserve"> podle § 80 odst. 1</w:t>
      </w:r>
      <w:r>
        <w:rPr>
          <w:b/>
        </w:rPr>
        <w:t xml:space="preserve"> neschválí řádnou účetní závěrku ve lhůtě pro její zpřístupnění podle právní úpravy ve státě, ve kterém má sídlo, tato </w:t>
      </w:r>
      <w:r>
        <w:rPr>
          <w:b/>
          <w:szCs w:val="24"/>
        </w:rPr>
        <w:t>p</w:t>
      </w:r>
      <w:r w:rsidRPr="00CB4328">
        <w:rPr>
          <w:b/>
          <w:szCs w:val="24"/>
        </w:rPr>
        <w:t xml:space="preserve">ojišťovna a zajišťovna </w:t>
      </w:r>
      <w:r w:rsidRPr="007F66BC">
        <w:rPr>
          <w:b/>
        </w:rPr>
        <w:t>společně s</w:t>
      </w:r>
      <w:r>
        <w:rPr>
          <w:b/>
        </w:rPr>
        <w:t> touto účetní závěrkou</w:t>
      </w:r>
      <w:r w:rsidRPr="007F66BC">
        <w:rPr>
          <w:b/>
        </w:rPr>
        <w:t xml:space="preserve"> </w:t>
      </w:r>
      <w:r>
        <w:rPr>
          <w:b/>
        </w:rPr>
        <w:t xml:space="preserve">uveřejní na svých internetových stránkách informaci o jejím neschválení společně s důvody jejího </w:t>
      </w:r>
      <w:r w:rsidRPr="00A54912">
        <w:rPr>
          <w:b/>
        </w:rPr>
        <w:t>neschválení a</w:t>
      </w:r>
      <w:r w:rsidRPr="007F66BC">
        <w:rPr>
          <w:b/>
        </w:rPr>
        <w:t xml:space="preserve"> způsob</w:t>
      </w:r>
      <w:r>
        <w:rPr>
          <w:b/>
        </w:rPr>
        <w:t>em</w:t>
      </w:r>
      <w:r w:rsidRPr="007F66BC">
        <w:rPr>
          <w:b/>
        </w:rPr>
        <w:t xml:space="preserve"> řešení připomínek valné hromady</w:t>
      </w:r>
      <w:r>
        <w:rPr>
          <w:b/>
        </w:rPr>
        <w:t xml:space="preserve"> nebo obdobného orgánu </w:t>
      </w:r>
      <w:r w:rsidRPr="007F66BC">
        <w:rPr>
          <w:b/>
        </w:rPr>
        <w:t>k</w:t>
      </w:r>
      <w:r>
        <w:rPr>
          <w:b/>
        </w:rPr>
        <w:t> </w:t>
      </w:r>
      <w:r w:rsidRPr="007F66BC">
        <w:rPr>
          <w:b/>
        </w:rPr>
        <w:t>ní</w:t>
      </w:r>
      <w:r>
        <w:rPr>
          <w:b/>
        </w:rPr>
        <w:t>.</w:t>
      </w:r>
    </w:p>
    <w:p w14:paraId="41263273" w14:textId="77777777" w:rsidR="00D8555D" w:rsidRPr="00CB4328" w:rsidRDefault="00D8555D" w:rsidP="00A679B4">
      <w:pPr>
        <w:pStyle w:val="Paragraf"/>
        <w:spacing w:after="120"/>
      </w:pPr>
      <w:r>
        <w:t>***</w:t>
      </w:r>
    </w:p>
    <w:p w14:paraId="716A3E7D" w14:textId="77777777" w:rsidR="00D8555D" w:rsidRPr="009B737A" w:rsidRDefault="00D8555D" w:rsidP="00A679B4">
      <w:pPr>
        <w:keepNext/>
        <w:keepLines/>
        <w:spacing w:after="120"/>
        <w:ind w:firstLine="0"/>
        <w:jc w:val="center"/>
        <w:outlineLvl w:val="5"/>
        <w:rPr>
          <w:szCs w:val="24"/>
        </w:rPr>
      </w:pPr>
      <w:r w:rsidRPr="009B737A">
        <w:rPr>
          <w:szCs w:val="24"/>
        </w:rPr>
        <w:t xml:space="preserve">§ 85 </w:t>
      </w:r>
    </w:p>
    <w:p w14:paraId="13EC4403" w14:textId="77777777" w:rsidR="00D8555D" w:rsidRPr="00833300" w:rsidRDefault="00D8555D" w:rsidP="00A679B4">
      <w:pPr>
        <w:keepNext/>
        <w:keepLines/>
        <w:spacing w:after="120"/>
        <w:ind w:firstLine="0"/>
        <w:jc w:val="center"/>
        <w:outlineLvl w:val="5"/>
        <w:rPr>
          <w:b/>
          <w:szCs w:val="24"/>
        </w:rPr>
      </w:pPr>
      <w:r w:rsidRPr="009B737A">
        <w:rPr>
          <w:b/>
          <w:szCs w:val="24"/>
        </w:rPr>
        <w:t>Předmět dohledu v pojišťovnictví</w:t>
      </w:r>
    </w:p>
    <w:p w14:paraId="69F9F1A4" w14:textId="77777777" w:rsidR="00D8555D" w:rsidRPr="009B737A" w:rsidRDefault="00D8555D" w:rsidP="00A679B4">
      <w:pPr>
        <w:tabs>
          <w:tab w:val="left" w:pos="782"/>
          <w:tab w:val="left" w:pos="851"/>
        </w:tabs>
        <w:spacing w:after="120"/>
        <w:outlineLvl w:val="6"/>
        <w:rPr>
          <w:szCs w:val="24"/>
        </w:rPr>
      </w:pPr>
      <w:r w:rsidRPr="009B737A">
        <w:rPr>
          <w:szCs w:val="24"/>
        </w:rPr>
        <w:t xml:space="preserve">Předmětem dohledu České národní banky vůči osobám podle § 84 odst. 3 je dodržování tohoto zákona a jiných právních předpisů v rozsahu, v jakém se vztahují k provozování pojišťovací a zajišťovací činnosti, zejména </w:t>
      </w:r>
    </w:p>
    <w:p w14:paraId="34B81684" w14:textId="77777777" w:rsidR="00D8555D" w:rsidRPr="009B737A" w:rsidRDefault="00D8555D" w:rsidP="00A679B4">
      <w:pPr>
        <w:pStyle w:val="PZTextpsmene"/>
        <w:spacing w:before="0"/>
      </w:pPr>
      <w:r>
        <w:t>a)</w:t>
      </w:r>
      <w:r>
        <w:tab/>
      </w:r>
      <w:r w:rsidRPr="009B737A">
        <w:t xml:space="preserve">soulad provozovaných činností s uděleným povolením nebo právem zakládat pobočky nebo svobodou dočasně poskytovat služby, </w:t>
      </w:r>
    </w:p>
    <w:p w14:paraId="15449C0C" w14:textId="77777777" w:rsidR="00D8555D" w:rsidRPr="009B737A" w:rsidRDefault="00D8555D" w:rsidP="00A679B4">
      <w:pPr>
        <w:pStyle w:val="PZTextpsmene"/>
        <w:spacing w:before="0"/>
      </w:pPr>
      <w:r>
        <w:t>b)</w:t>
      </w:r>
      <w:r>
        <w:tab/>
      </w:r>
      <w:r w:rsidRPr="009B737A">
        <w:t xml:space="preserve">hospodaření tuzemské pojišťovny nebo tuzemské zajišťovny z hlediska zabezpečení splnitelnosti jejích závazků a pojišťovny z třetího státu nebo zajišťovny z třetího státu z hlediska zabezpečení splnitelnosti jejích závazků z její činnosti na území České republiky; v případě pojišťovny z třetího státu také z hlediska zabezpečení splnitelnosti jejích závazků z její činnosti na území jiných členských států, jestliže je Česká národní banka orgánem dohledu podle § 35, </w:t>
      </w:r>
    </w:p>
    <w:p w14:paraId="042346E3" w14:textId="77777777" w:rsidR="00D8555D" w:rsidRPr="009B737A" w:rsidRDefault="00D8555D" w:rsidP="00A679B4">
      <w:pPr>
        <w:pStyle w:val="PZTextpsmene"/>
        <w:spacing w:before="0"/>
      </w:pPr>
      <w:r>
        <w:t>c)</w:t>
      </w:r>
      <w:r>
        <w:tab/>
      </w:r>
      <w:r w:rsidRPr="009B737A">
        <w:t xml:space="preserve">výše, způsob tvorby a použití technických rezerv, dodržování zásady obezřetného investování aktiv, výpočet </w:t>
      </w:r>
      <w:proofErr w:type="spellStart"/>
      <w:r w:rsidRPr="009B737A">
        <w:t>solventnostního</w:t>
      </w:r>
      <w:proofErr w:type="spellEnd"/>
      <w:r w:rsidRPr="009B737A">
        <w:t xml:space="preserve"> a minimálního kapitálového požadavku a dostatečnost použitelného kapitálu tuzemské pojišťovny, pojišťovny z třetího státu, tuzemské zajišťovny nebo zajišťovny z třetího státu, </w:t>
      </w:r>
    </w:p>
    <w:p w14:paraId="586333BA" w14:textId="77777777" w:rsidR="00D8555D" w:rsidRPr="009B737A" w:rsidRDefault="00D8555D" w:rsidP="00A679B4">
      <w:pPr>
        <w:pStyle w:val="PZTextpsmene"/>
        <w:spacing w:before="0"/>
      </w:pPr>
      <w:r w:rsidRPr="009B737A">
        <w:t>d)</w:t>
      </w:r>
      <w:r>
        <w:tab/>
      </w:r>
      <w:r w:rsidRPr="009B737A">
        <w:t xml:space="preserve">plnění povinností uložených rozhodnutím České národní banky, </w:t>
      </w:r>
    </w:p>
    <w:p w14:paraId="70C4486D" w14:textId="77777777" w:rsidR="00D8555D" w:rsidRDefault="00D8555D" w:rsidP="00A679B4">
      <w:pPr>
        <w:pStyle w:val="PZTextpsmene"/>
        <w:spacing w:before="0"/>
        <w:rPr>
          <w:szCs w:val="24"/>
        </w:rPr>
      </w:pPr>
      <w:r w:rsidRPr="002D0A7F">
        <w:rPr>
          <w:strike/>
          <w:szCs w:val="24"/>
        </w:rPr>
        <w:t>e)</w:t>
      </w:r>
      <w:r w:rsidRPr="002D0A7F">
        <w:rPr>
          <w:strike/>
          <w:szCs w:val="24"/>
        </w:rPr>
        <w:tab/>
      </w:r>
      <w:r>
        <w:rPr>
          <w:strike/>
          <w:szCs w:val="24"/>
        </w:rPr>
        <w:t>vedení účetnictví,</w:t>
      </w:r>
    </w:p>
    <w:p w14:paraId="351B5FFB" w14:textId="77777777" w:rsidR="00D8555D" w:rsidRPr="009B737A" w:rsidRDefault="00D8555D" w:rsidP="00A679B4">
      <w:pPr>
        <w:pStyle w:val="PZTextpsmene"/>
        <w:spacing w:before="0"/>
        <w:rPr>
          <w:color w:val="FF0000"/>
          <w:szCs w:val="24"/>
        </w:rPr>
      </w:pPr>
      <w:r w:rsidRPr="002D0A7F">
        <w:rPr>
          <w:b/>
          <w:szCs w:val="24"/>
        </w:rPr>
        <w:t>e)</w:t>
      </w:r>
      <w:r w:rsidRPr="002D0A7F">
        <w:rPr>
          <w:b/>
          <w:szCs w:val="24"/>
        </w:rPr>
        <w:tab/>
      </w:r>
      <w:r w:rsidRPr="009B737A">
        <w:rPr>
          <w:b/>
          <w:szCs w:val="24"/>
        </w:rPr>
        <w:t xml:space="preserve">plnění povinností </w:t>
      </w:r>
      <w:r>
        <w:rPr>
          <w:b/>
          <w:szCs w:val="24"/>
        </w:rPr>
        <w:t> souvisejících s účetnictvím</w:t>
      </w:r>
      <w:r w:rsidRPr="002D0A7F">
        <w:rPr>
          <w:b/>
          <w:szCs w:val="24"/>
        </w:rPr>
        <w:t>,</w:t>
      </w:r>
      <w:r w:rsidRPr="009B737A">
        <w:rPr>
          <w:szCs w:val="24"/>
        </w:rPr>
        <w:t xml:space="preserve"> </w:t>
      </w:r>
    </w:p>
    <w:p w14:paraId="763DE6B0" w14:textId="77777777" w:rsidR="00D8555D" w:rsidRPr="009B737A" w:rsidRDefault="00D8555D" w:rsidP="00A679B4">
      <w:pPr>
        <w:pStyle w:val="PZTextpsmene"/>
        <w:spacing w:before="0"/>
        <w:rPr>
          <w:szCs w:val="24"/>
        </w:rPr>
      </w:pPr>
      <w:r w:rsidRPr="009B737A">
        <w:rPr>
          <w:szCs w:val="24"/>
        </w:rPr>
        <w:t>f</w:t>
      </w:r>
      <w:r>
        <w:rPr>
          <w:szCs w:val="24"/>
        </w:rPr>
        <w:t>)</w:t>
      </w:r>
      <w:r>
        <w:rPr>
          <w:szCs w:val="24"/>
        </w:rPr>
        <w:tab/>
      </w:r>
      <w:r w:rsidRPr="009B737A">
        <w:rPr>
          <w:szCs w:val="24"/>
        </w:rPr>
        <w:t xml:space="preserve">řídicí a kontrolní systém, </w:t>
      </w:r>
    </w:p>
    <w:p w14:paraId="3FC7EB38" w14:textId="77777777" w:rsidR="00D8555D" w:rsidRPr="009B737A" w:rsidRDefault="00D8555D" w:rsidP="00A679B4">
      <w:pPr>
        <w:pStyle w:val="PZTextpsmene"/>
        <w:spacing w:before="0"/>
        <w:rPr>
          <w:szCs w:val="24"/>
        </w:rPr>
      </w:pPr>
      <w:r w:rsidRPr="009B737A">
        <w:rPr>
          <w:szCs w:val="24"/>
        </w:rPr>
        <w:t>g</w:t>
      </w:r>
      <w:r>
        <w:rPr>
          <w:szCs w:val="24"/>
        </w:rPr>
        <w:t>)</w:t>
      </w:r>
      <w:r>
        <w:rPr>
          <w:szCs w:val="24"/>
        </w:rPr>
        <w:tab/>
      </w:r>
      <w:r w:rsidRPr="009B737A">
        <w:rPr>
          <w:szCs w:val="24"/>
        </w:rPr>
        <w:t xml:space="preserve">finanční a technické zdroje určené na zabezpečení asistenčních služeb, pokud je provozována pojišťovací činnost podle odvětví neživotních pojištění uvedeného v části B bodě 18 přílohy č. 1 k tomuto zákonu, </w:t>
      </w:r>
    </w:p>
    <w:p w14:paraId="739791CA" w14:textId="77777777" w:rsidR="00D8555D" w:rsidRPr="009B737A" w:rsidRDefault="00D8555D" w:rsidP="00A679B4">
      <w:pPr>
        <w:pStyle w:val="PZTextpsmene"/>
        <w:spacing w:before="0"/>
        <w:rPr>
          <w:szCs w:val="24"/>
        </w:rPr>
      </w:pPr>
      <w:r>
        <w:rPr>
          <w:szCs w:val="24"/>
        </w:rPr>
        <w:t>h)</w:t>
      </w:r>
      <w:r>
        <w:rPr>
          <w:szCs w:val="24"/>
        </w:rPr>
        <w:tab/>
      </w:r>
      <w:r w:rsidRPr="009B737A">
        <w:rPr>
          <w:szCs w:val="24"/>
        </w:rPr>
        <w:t xml:space="preserve">průběžné plnění požadavků na úplné anebo částečné interní modely, pokud pojišťovna nebo zajišťovna používá úplný nebo částečný interní model k výpočtu </w:t>
      </w:r>
      <w:proofErr w:type="spellStart"/>
      <w:r w:rsidRPr="009B737A">
        <w:rPr>
          <w:szCs w:val="24"/>
        </w:rPr>
        <w:t>solventnostního</w:t>
      </w:r>
      <w:proofErr w:type="spellEnd"/>
      <w:r w:rsidRPr="009B737A">
        <w:rPr>
          <w:szCs w:val="24"/>
        </w:rPr>
        <w:t xml:space="preserve"> kapitálového požadavku, </w:t>
      </w:r>
    </w:p>
    <w:p w14:paraId="18C0F968" w14:textId="77777777" w:rsidR="00D8555D" w:rsidRPr="009B737A" w:rsidRDefault="00D8555D" w:rsidP="00A679B4">
      <w:pPr>
        <w:pStyle w:val="PZTextpsmene"/>
        <w:spacing w:before="0"/>
        <w:rPr>
          <w:szCs w:val="24"/>
        </w:rPr>
      </w:pPr>
      <w:r w:rsidRPr="009B737A">
        <w:rPr>
          <w:szCs w:val="24"/>
        </w:rPr>
        <w:t>i</w:t>
      </w:r>
      <w:r>
        <w:rPr>
          <w:szCs w:val="24"/>
        </w:rPr>
        <w:t>)</w:t>
      </w:r>
      <w:r>
        <w:rPr>
          <w:szCs w:val="24"/>
        </w:rPr>
        <w:tab/>
      </w:r>
      <w:r w:rsidRPr="009B737A">
        <w:rPr>
          <w:szCs w:val="24"/>
        </w:rPr>
        <w:t xml:space="preserve">činnosti podle § 87 odst. 2, nebo </w:t>
      </w:r>
    </w:p>
    <w:p w14:paraId="57632670" w14:textId="29D02FE0" w:rsidR="00D8555D" w:rsidRPr="009B737A" w:rsidRDefault="00D8555D" w:rsidP="00A679B4">
      <w:pPr>
        <w:pStyle w:val="PZTextpsmene"/>
        <w:spacing w:before="0"/>
        <w:rPr>
          <w:szCs w:val="24"/>
        </w:rPr>
      </w:pPr>
      <w:r>
        <w:rPr>
          <w:szCs w:val="24"/>
        </w:rPr>
        <w:t>j)</w:t>
      </w:r>
      <w:r>
        <w:rPr>
          <w:szCs w:val="24"/>
        </w:rPr>
        <w:tab/>
      </w:r>
      <w:r w:rsidRPr="009B737A">
        <w:rPr>
          <w:szCs w:val="24"/>
        </w:rPr>
        <w:t xml:space="preserve">soulad provozované pojišťovací činnosti se zákonem stanovenými požadavky na jednání se zájemci o pojištění, s pojistníky, pojištěnými a oprávněnými osobami. </w:t>
      </w:r>
    </w:p>
    <w:p w14:paraId="11C67EC4" w14:textId="77777777" w:rsidR="00D8555D" w:rsidRPr="00CB4328" w:rsidRDefault="00D8555D" w:rsidP="00A679B4">
      <w:pPr>
        <w:pStyle w:val="Paragraf"/>
        <w:spacing w:before="120"/>
      </w:pPr>
      <w:r>
        <w:lastRenderedPageBreak/>
        <w:t>***</w:t>
      </w:r>
    </w:p>
    <w:p w14:paraId="06F9E426" w14:textId="77777777" w:rsidR="00D8555D" w:rsidRPr="009B737A" w:rsidRDefault="00D8555D" w:rsidP="00A679B4">
      <w:pPr>
        <w:keepNext/>
        <w:keepLines/>
        <w:ind w:firstLine="0"/>
        <w:jc w:val="center"/>
        <w:outlineLvl w:val="5"/>
        <w:rPr>
          <w:szCs w:val="24"/>
        </w:rPr>
      </w:pPr>
      <w:r w:rsidRPr="009B737A">
        <w:rPr>
          <w:szCs w:val="24"/>
        </w:rPr>
        <w:t xml:space="preserve">§ 95 </w:t>
      </w:r>
    </w:p>
    <w:p w14:paraId="3BB22919" w14:textId="77777777" w:rsidR="00D8555D" w:rsidRPr="00833300" w:rsidRDefault="00D8555D" w:rsidP="00A679B4">
      <w:pPr>
        <w:keepNext/>
        <w:keepLines/>
        <w:ind w:firstLine="0"/>
        <w:jc w:val="center"/>
        <w:outlineLvl w:val="5"/>
        <w:rPr>
          <w:b/>
          <w:szCs w:val="24"/>
        </w:rPr>
      </w:pPr>
      <w:r w:rsidRPr="009B737A">
        <w:rPr>
          <w:b/>
          <w:szCs w:val="24"/>
        </w:rPr>
        <w:t>Základní ustanovení</w:t>
      </w:r>
    </w:p>
    <w:p w14:paraId="3CDF6CC3" w14:textId="77777777" w:rsidR="00D8555D" w:rsidRPr="009B737A" w:rsidRDefault="00D8555D" w:rsidP="00607B4B">
      <w:pPr>
        <w:tabs>
          <w:tab w:val="left" w:pos="782"/>
          <w:tab w:val="left" w:pos="851"/>
        </w:tabs>
        <w:spacing w:before="120" w:after="120"/>
        <w:outlineLvl w:val="6"/>
        <w:rPr>
          <w:szCs w:val="24"/>
        </w:rPr>
      </w:pPr>
      <w:r w:rsidRPr="009B737A">
        <w:rPr>
          <w:szCs w:val="24"/>
        </w:rPr>
        <w:t xml:space="preserve">(1) Zjistí-li Česká národní banka při výkonu dohledu nad činností tuzemské pojišťovny nebo nad činností tuzemské zajišťovny porušení povinnosti, která se vztahuje k provozování pojišťovací nebo zajišťovací činnosti včetně externě zajišťovaných činností, stanovené tímto zákonem nebo jiným právním předpisem nebo právní úpravou státu, na jehož území je činnost vykonávána, uloží bez zbytečného odkladu této pojišťovně nebo zajišťovně opatření k nápravě k odstranění nedostatků a určí k tomu přiměřenou lhůtu. Tím není dotčeno oprávnění České národní banky uložit za toto jednání pojišťovně nebo zajišťovně pokutu podle § 120. </w:t>
      </w:r>
    </w:p>
    <w:p w14:paraId="625C5605" w14:textId="77777777" w:rsidR="00D8555D" w:rsidRPr="009B737A" w:rsidRDefault="00D8555D" w:rsidP="00607B4B">
      <w:pPr>
        <w:tabs>
          <w:tab w:val="left" w:pos="782"/>
          <w:tab w:val="left" w:pos="851"/>
        </w:tabs>
        <w:spacing w:before="120" w:after="120"/>
        <w:outlineLvl w:val="6"/>
        <w:rPr>
          <w:szCs w:val="24"/>
        </w:rPr>
      </w:pPr>
      <w:r w:rsidRPr="009B737A">
        <w:rPr>
          <w:szCs w:val="24"/>
        </w:rPr>
        <w:t xml:space="preserve">(2) Jestliže osoby uvedené v § 7a odst. 1, vedoucí pobočky tuzemské pojišťovny nebo tuzemské zajišťovny v zahraničí nebo škodní zástupce jmenovaný pro vyřizování škod v pojištění odpovědnosti z provozu vozidla nesplňují podmínku způsobilosti nebo důvěryhodnosti, nařídí Česká národní banka ve stanovené lhůtě provedení změny těchto osob nebo uloží zjištěný nedostatek v činnosti této pojišťovny nebo zajišťovny související s výkonem činnosti takové osoby odstranit. </w:t>
      </w:r>
    </w:p>
    <w:p w14:paraId="0B5CEE36" w14:textId="77777777" w:rsidR="00D8555D" w:rsidRPr="00DC0516" w:rsidRDefault="00D8555D" w:rsidP="00607B4B">
      <w:pPr>
        <w:tabs>
          <w:tab w:val="left" w:pos="782"/>
          <w:tab w:val="left" w:pos="851"/>
        </w:tabs>
        <w:spacing w:before="120" w:after="120"/>
        <w:outlineLvl w:val="6"/>
        <w:rPr>
          <w:strike/>
          <w:szCs w:val="24"/>
        </w:rPr>
      </w:pPr>
      <w:r w:rsidRPr="00DC0516">
        <w:rPr>
          <w:strike/>
          <w:szCs w:val="24"/>
        </w:rPr>
        <w:t xml:space="preserve">(3) Česká národní banka může tuzemské pojišťovně nebo tuzemské zajišťovně nařídit změnu auditora provádějícího ověření účetní závěrky nebo konsolidované účetní závěrky, a to z důvodů podle § 80a. </w:t>
      </w:r>
    </w:p>
    <w:p w14:paraId="072B52C8" w14:textId="77777777" w:rsidR="00D8555D" w:rsidRPr="00DC0516" w:rsidRDefault="00D8555D" w:rsidP="00607B4B">
      <w:pPr>
        <w:tabs>
          <w:tab w:val="left" w:pos="782"/>
          <w:tab w:val="left" w:pos="851"/>
        </w:tabs>
        <w:spacing w:before="120" w:after="120"/>
        <w:outlineLvl w:val="6"/>
        <w:rPr>
          <w:b/>
          <w:szCs w:val="22"/>
        </w:rPr>
      </w:pPr>
      <w:r w:rsidRPr="00DC0516">
        <w:rPr>
          <w:b/>
          <w:szCs w:val="22"/>
        </w:rPr>
        <w:t xml:space="preserve">(3) Česká národní banka může nařídit tuzemské pojišťovně nebo tuzemské zajišťovně změnu auditora, pokud auditor nesplní povinnost informovat Českou národní banku o skutečnostech zjištěných podle § 21 odst. 3 nebo 4 zákona </w:t>
      </w:r>
      <w:r>
        <w:rPr>
          <w:b/>
          <w:szCs w:val="22"/>
        </w:rPr>
        <w:t>o auditorech</w:t>
      </w:r>
      <w:r w:rsidRPr="00DC0516">
        <w:rPr>
          <w:b/>
          <w:szCs w:val="22"/>
        </w:rPr>
        <w:t>.</w:t>
      </w:r>
    </w:p>
    <w:p w14:paraId="241368DF" w14:textId="77777777" w:rsidR="00D8555D" w:rsidRPr="009B737A" w:rsidRDefault="00D8555D" w:rsidP="00607B4B">
      <w:pPr>
        <w:tabs>
          <w:tab w:val="left" w:pos="782"/>
          <w:tab w:val="left" w:pos="851"/>
        </w:tabs>
        <w:spacing w:before="120" w:after="120"/>
        <w:outlineLvl w:val="6"/>
        <w:rPr>
          <w:szCs w:val="24"/>
        </w:rPr>
      </w:pPr>
      <w:r w:rsidRPr="009B737A">
        <w:rPr>
          <w:szCs w:val="24"/>
        </w:rPr>
        <w:t xml:space="preserve">(4) Česká národní banka může nařídit tuzemské pojišťovně nebo tuzemské zajišťovně navýšení technických rezerv na úroveň, která odpovídá výpočtu podle § 52 až 57, nebo změnu metody výpočtu těchto rezerv, jestliže zjistí, že při výpočtu technických rezerv nepostupovala podle těchto ustanovení. Součástí tohoto opatření k nápravě může být postup podle odstavce 6 písm. b). </w:t>
      </w:r>
    </w:p>
    <w:p w14:paraId="17AAFEEB" w14:textId="3CFB8BB8" w:rsidR="00D8555D" w:rsidRPr="009B737A" w:rsidRDefault="00A679B4" w:rsidP="00607B4B">
      <w:pPr>
        <w:tabs>
          <w:tab w:val="left" w:pos="782"/>
          <w:tab w:val="left" w:pos="851"/>
        </w:tabs>
        <w:spacing w:before="120" w:after="120"/>
        <w:outlineLvl w:val="6"/>
        <w:rPr>
          <w:szCs w:val="24"/>
        </w:rPr>
      </w:pPr>
      <w:r>
        <w:rPr>
          <w:szCs w:val="24"/>
        </w:rPr>
        <w:t xml:space="preserve">(5) </w:t>
      </w:r>
      <w:r w:rsidR="00D8555D" w:rsidRPr="009B737A">
        <w:rPr>
          <w:szCs w:val="24"/>
        </w:rPr>
        <w:t xml:space="preserve">Česká národní banka může rozhodnout, aby tuzemská pojišťovna nebo tuzemská zajišťovna za předpokladu, že neuhrazená kumulovaná ztráta přesahuje 20 % jejího základního kapitálu, </w:t>
      </w:r>
    </w:p>
    <w:p w14:paraId="160230ED" w14:textId="77777777" w:rsidR="00D8555D" w:rsidRPr="009B737A" w:rsidRDefault="00D8555D" w:rsidP="00A679B4">
      <w:pPr>
        <w:pStyle w:val="PZTextpsmene"/>
        <w:spacing w:before="0"/>
        <w:rPr>
          <w:szCs w:val="24"/>
        </w:rPr>
      </w:pPr>
      <w:r>
        <w:rPr>
          <w:szCs w:val="24"/>
        </w:rPr>
        <w:t>a)</w:t>
      </w:r>
      <w:r>
        <w:rPr>
          <w:szCs w:val="24"/>
        </w:rPr>
        <w:tab/>
      </w:r>
      <w:r w:rsidRPr="009B737A">
        <w:rPr>
          <w:szCs w:val="24"/>
        </w:rPr>
        <w:t xml:space="preserve">přednostně použila zisk po zdanění k úhradě neuhrazené ztráty nebo doplnění rezervního fondu nebo ke zvýšení základního kapitálu, nebo </w:t>
      </w:r>
    </w:p>
    <w:p w14:paraId="6D1BA65F" w14:textId="77777777" w:rsidR="00D8555D" w:rsidRPr="009B737A" w:rsidRDefault="00D8555D" w:rsidP="00A679B4">
      <w:pPr>
        <w:pStyle w:val="PZTextpsmene"/>
        <w:spacing w:before="0"/>
        <w:rPr>
          <w:szCs w:val="24"/>
        </w:rPr>
      </w:pPr>
      <w:r>
        <w:rPr>
          <w:szCs w:val="24"/>
        </w:rPr>
        <w:t>b)</w:t>
      </w:r>
      <w:r>
        <w:rPr>
          <w:szCs w:val="24"/>
        </w:rPr>
        <w:tab/>
      </w:r>
      <w:r w:rsidRPr="009B737A">
        <w:rPr>
          <w:szCs w:val="24"/>
        </w:rPr>
        <w:t xml:space="preserve">snížila svůj základní kapitál o částku odpovídající ztrátě po jejím zúčtování s rezervním a dalšími fondy. </w:t>
      </w:r>
    </w:p>
    <w:p w14:paraId="58CA8624" w14:textId="77777777" w:rsidR="00D8555D" w:rsidRPr="009B737A" w:rsidRDefault="00D8555D" w:rsidP="00607B4B">
      <w:pPr>
        <w:tabs>
          <w:tab w:val="left" w:pos="782"/>
          <w:tab w:val="left" w:pos="851"/>
        </w:tabs>
        <w:spacing w:before="120" w:after="120"/>
        <w:outlineLvl w:val="6"/>
        <w:rPr>
          <w:szCs w:val="24"/>
        </w:rPr>
      </w:pPr>
      <w:r w:rsidRPr="009B737A">
        <w:rPr>
          <w:szCs w:val="24"/>
        </w:rPr>
        <w:t xml:space="preserve">(6) Pokud Česká národní banka zjistí v činnosti tuzemské pojišťovny nebo tuzemské zajišťovny nedostatky, které by mohly ohrozit nebo ohrožují splnitelnost jejích závazků, v závislosti na charakteru a rozsahu zjištěných nedostatků </w:t>
      </w:r>
    </w:p>
    <w:p w14:paraId="6C890830" w14:textId="77777777" w:rsidR="00D8555D" w:rsidRPr="009B737A" w:rsidRDefault="00D8555D" w:rsidP="00A679B4">
      <w:pPr>
        <w:pStyle w:val="PZTextpsmene"/>
        <w:spacing w:before="0"/>
        <w:rPr>
          <w:szCs w:val="24"/>
        </w:rPr>
      </w:pPr>
      <w:r>
        <w:rPr>
          <w:szCs w:val="24"/>
        </w:rPr>
        <w:t>a)</w:t>
      </w:r>
      <w:r>
        <w:rPr>
          <w:szCs w:val="24"/>
        </w:rPr>
        <w:tab/>
      </w:r>
      <w:r w:rsidRPr="009B737A">
        <w:rPr>
          <w:szCs w:val="24"/>
        </w:rPr>
        <w:t xml:space="preserve">nařídí předložení ozdravného plánu nebo plánu krátkodobého financování, </w:t>
      </w:r>
    </w:p>
    <w:p w14:paraId="600C15F7" w14:textId="77777777" w:rsidR="00D8555D" w:rsidRPr="009B737A" w:rsidRDefault="00D8555D" w:rsidP="00A679B4">
      <w:pPr>
        <w:pStyle w:val="PZTextpsmene"/>
        <w:spacing w:before="0"/>
        <w:rPr>
          <w:szCs w:val="24"/>
        </w:rPr>
      </w:pPr>
      <w:r>
        <w:rPr>
          <w:szCs w:val="24"/>
        </w:rPr>
        <w:t>b)</w:t>
      </w:r>
      <w:r>
        <w:rPr>
          <w:szCs w:val="24"/>
        </w:rPr>
        <w:tab/>
      </w:r>
      <w:r w:rsidRPr="009B737A">
        <w:rPr>
          <w:szCs w:val="24"/>
        </w:rPr>
        <w:t xml:space="preserve">omezí nebo zakáže volné nakládání s aktivy, </w:t>
      </w:r>
    </w:p>
    <w:p w14:paraId="4AB3A0BD" w14:textId="77777777" w:rsidR="00D8555D" w:rsidRPr="009B737A" w:rsidRDefault="00D8555D" w:rsidP="00A679B4">
      <w:pPr>
        <w:pStyle w:val="PZTextpsmene"/>
        <w:spacing w:before="0"/>
        <w:rPr>
          <w:szCs w:val="24"/>
        </w:rPr>
      </w:pPr>
      <w:r>
        <w:rPr>
          <w:szCs w:val="24"/>
        </w:rPr>
        <w:t>c)</w:t>
      </w:r>
      <w:r>
        <w:rPr>
          <w:szCs w:val="24"/>
        </w:rPr>
        <w:tab/>
      </w:r>
      <w:r w:rsidRPr="009B737A">
        <w:rPr>
          <w:szCs w:val="24"/>
        </w:rPr>
        <w:t xml:space="preserve">zavede nucenou správu, </w:t>
      </w:r>
    </w:p>
    <w:p w14:paraId="682A3DBC" w14:textId="77777777" w:rsidR="00D8555D" w:rsidRPr="009B737A" w:rsidRDefault="00D8555D" w:rsidP="00A679B4">
      <w:pPr>
        <w:pStyle w:val="PZTextpsmene"/>
        <w:spacing w:before="0"/>
        <w:rPr>
          <w:szCs w:val="24"/>
        </w:rPr>
      </w:pPr>
      <w:r>
        <w:rPr>
          <w:szCs w:val="24"/>
        </w:rPr>
        <w:t>d)</w:t>
      </w:r>
      <w:r>
        <w:rPr>
          <w:szCs w:val="24"/>
        </w:rPr>
        <w:tab/>
      </w:r>
      <w:r w:rsidRPr="009B737A">
        <w:rPr>
          <w:szCs w:val="24"/>
        </w:rPr>
        <w:t xml:space="preserve">pozastaví oprávnění k uzavírání pojistných smluv nebo oprávnění k uzavírání zajišťovacích smluv a k rozšiřování závazků již převzatých, nebo </w:t>
      </w:r>
    </w:p>
    <w:p w14:paraId="378F55A6" w14:textId="77777777" w:rsidR="00D8555D" w:rsidRPr="009B737A" w:rsidRDefault="00D8555D" w:rsidP="00A679B4">
      <w:pPr>
        <w:pStyle w:val="PZTextpsmene"/>
        <w:spacing w:before="0"/>
        <w:rPr>
          <w:szCs w:val="24"/>
        </w:rPr>
      </w:pPr>
      <w:r>
        <w:rPr>
          <w:szCs w:val="24"/>
        </w:rPr>
        <w:t>e)</w:t>
      </w:r>
      <w:r>
        <w:rPr>
          <w:szCs w:val="24"/>
        </w:rPr>
        <w:tab/>
      </w:r>
      <w:r w:rsidRPr="009B737A">
        <w:rPr>
          <w:szCs w:val="24"/>
        </w:rPr>
        <w:t xml:space="preserve">nařídí převedení pojistného kmene nebo převedení kmene zajišťovacích smluv, </w:t>
      </w:r>
    </w:p>
    <w:p w14:paraId="10D5A0EB" w14:textId="77777777" w:rsidR="00D8555D" w:rsidRPr="009B737A" w:rsidRDefault="00D8555D" w:rsidP="00A679B4">
      <w:pPr>
        <w:pStyle w:val="PZTextpsmene"/>
        <w:spacing w:before="0"/>
        <w:rPr>
          <w:szCs w:val="24"/>
        </w:rPr>
      </w:pPr>
      <w:r>
        <w:rPr>
          <w:szCs w:val="24"/>
        </w:rPr>
        <w:lastRenderedPageBreak/>
        <w:t>f)</w:t>
      </w:r>
      <w:r>
        <w:rPr>
          <w:szCs w:val="24"/>
        </w:rPr>
        <w:tab/>
      </w:r>
      <w:r w:rsidRPr="009B737A">
        <w:rPr>
          <w:szCs w:val="24"/>
        </w:rPr>
        <w:t xml:space="preserve">omezí pohyblivou složku odměny osob podle § 7a odst. 1, pokud pojišťovna nebo zajišťovna neudržuje kapitál podle § 73 a 79; tuzemská pojišťovna, tuzemská zajišťovna, pojišťovna z třetího státu nebo zajišťovna z třetího státu určí výši pohyblivé složky vnitřním předpisem, který je součástí koncepce podle § 7 odst. 3, </w:t>
      </w:r>
    </w:p>
    <w:p w14:paraId="6E8B0227" w14:textId="77777777" w:rsidR="00D8555D" w:rsidRPr="009B737A" w:rsidRDefault="00D8555D" w:rsidP="00A679B4">
      <w:pPr>
        <w:pStyle w:val="PZTextpsmene"/>
        <w:spacing w:before="0"/>
        <w:rPr>
          <w:szCs w:val="24"/>
        </w:rPr>
      </w:pPr>
      <w:r>
        <w:rPr>
          <w:szCs w:val="24"/>
        </w:rPr>
        <w:t>g)</w:t>
      </w:r>
      <w:r>
        <w:rPr>
          <w:szCs w:val="24"/>
        </w:rPr>
        <w:tab/>
      </w:r>
      <w:r w:rsidRPr="009B737A">
        <w:rPr>
          <w:szCs w:val="24"/>
        </w:rPr>
        <w:t xml:space="preserve">uloží upravit složení kapitálu tuzemské pojišťovny nebo tuzemské zajišťovny nahrazením položky primárního kapitálu, kterou lze v souladu s přímo použitelným předpisem Evropské unie zahrnout do primárního kapitálu, obdobnou položkou, nebo úměrným zvýšením základního kapitálu, </w:t>
      </w:r>
    </w:p>
    <w:p w14:paraId="65DE8781" w14:textId="77777777" w:rsidR="00D8555D" w:rsidRPr="009B737A" w:rsidRDefault="00D8555D" w:rsidP="00A679B4">
      <w:pPr>
        <w:pStyle w:val="PZTextpsmene"/>
        <w:spacing w:before="0"/>
        <w:rPr>
          <w:szCs w:val="24"/>
        </w:rPr>
      </w:pPr>
      <w:r>
        <w:rPr>
          <w:szCs w:val="24"/>
        </w:rPr>
        <w:t>h)</w:t>
      </w:r>
      <w:r>
        <w:rPr>
          <w:szCs w:val="24"/>
        </w:rPr>
        <w:tab/>
      </w:r>
      <w:r w:rsidRPr="009B737A">
        <w:rPr>
          <w:szCs w:val="24"/>
        </w:rPr>
        <w:t xml:space="preserve">uloží nevyplatit příslušenství, podíl na zisku nebo obdobné plnění vyplývající z položky primárního kapitálu tuzemské pojišťovny nebo tuzemské zajišťovny, kterou lze v souladu s přímo použitelným předpisem Evropské unie zahrnout do primárního kapitálu, nebo </w:t>
      </w:r>
    </w:p>
    <w:p w14:paraId="25014B16" w14:textId="77777777" w:rsidR="00D8555D" w:rsidRPr="009B737A" w:rsidRDefault="00D8555D" w:rsidP="00A679B4">
      <w:pPr>
        <w:pStyle w:val="PZTextpsmene"/>
        <w:spacing w:before="0"/>
        <w:rPr>
          <w:szCs w:val="24"/>
        </w:rPr>
      </w:pPr>
      <w:r>
        <w:rPr>
          <w:szCs w:val="24"/>
        </w:rPr>
        <w:t>i)</w:t>
      </w:r>
      <w:r>
        <w:rPr>
          <w:szCs w:val="24"/>
        </w:rPr>
        <w:tab/>
      </w:r>
      <w:r w:rsidRPr="009B737A">
        <w:rPr>
          <w:szCs w:val="24"/>
        </w:rPr>
        <w:t xml:space="preserve">navýší </w:t>
      </w:r>
      <w:proofErr w:type="spellStart"/>
      <w:r w:rsidRPr="009B737A">
        <w:rPr>
          <w:szCs w:val="24"/>
        </w:rPr>
        <w:t>solventnostní</w:t>
      </w:r>
      <w:proofErr w:type="spellEnd"/>
      <w:r w:rsidRPr="009B737A">
        <w:rPr>
          <w:szCs w:val="24"/>
        </w:rPr>
        <w:t xml:space="preserve"> kapitálový požadavek tuzemské pojišťovny nebo tuzemské zajišťovny podle § 95a. </w:t>
      </w:r>
    </w:p>
    <w:p w14:paraId="3DAA620F" w14:textId="77777777" w:rsidR="00D8555D" w:rsidRPr="009B737A" w:rsidRDefault="00D8555D" w:rsidP="00607B4B">
      <w:pPr>
        <w:tabs>
          <w:tab w:val="left" w:pos="782"/>
          <w:tab w:val="left" w:pos="851"/>
        </w:tabs>
        <w:spacing w:before="120" w:after="120"/>
        <w:outlineLvl w:val="6"/>
        <w:rPr>
          <w:szCs w:val="24"/>
        </w:rPr>
      </w:pPr>
      <w:r w:rsidRPr="009B737A">
        <w:rPr>
          <w:szCs w:val="24"/>
        </w:rPr>
        <w:t xml:space="preserve">(7) Účastníkem řízení podle odstavců 1 až 6 je pouze dotčená tuzemská pojišťovna nebo tuzemská zajišťovna. Hrozí-li nebezpečí z prodlení, může být vydání rozhodnutí prvním úkonem v řízení. Podání rozkladu proti rozhodnutí České národní banky podle odstavců 1 až 6 nemá odkladný účinek. </w:t>
      </w:r>
    </w:p>
    <w:p w14:paraId="4C80B5D6" w14:textId="77777777" w:rsidR="00D8555D" w:rsidRPr="009B737A" w:rsidRDefault="00D8555D" w:rsidP="00607B4B">
      <w:pPr>
        <w:tabs>
          <w:tab w:val="left" w:pos="782"/>
          <w:tab w:val="left" w:pos="851"/>
        </w:tabs>
        <w:spacing w:before="120" w:after="120"/>
        <w:outlineLvl w:val="6"/>
        <w:rPr>
          <w:szCs w:val="24"/>
        </w:rPr>
      </w:pPr>
      <w:r>
        <w:rPr>
          <w:szCs w:val="24"/>
        </w:rPr>
        <w:t>(8)</w:t>
      </w:r>
      <w:r>
        <w:rPr>
          <w:szCs w:val="24"/>
        </w:rPr>
        <w:tab/>
      </w:r>
      <w:r w:rsidRPr="009B737A">
        <w:rPr>
          <w:szCs w:val="24"/>
        </w:rPr>
        <w:t xml:space="preserve">Česká národní banka informuje orgán dohledu státu, na jehož území provozuje tuzemská pojišťovna nebo tuzemská zajišťovna svoji činnost, o všech rozhodnutích podle odstavce 6. </w:t>
      </w:r>
    </w:p>
    <w:p w14:paraId="00CCAB29" w14:textId="77777777" w:rsidR="00D8555D" w:rsidRPr="009B737A" w:rsidRDefault="00D8555D" w:rsidP="00607B4B">
      <w:pPr>
        <w:tabs>
          <w:tab w:val="left" w:pos="782"/>
          <w:tab w:val="left" w:pos="851"/>
        </w:tabs>
        <w:spacing w:before="120" w:after="120"/>
        <w:outlineLvl w:val="6"/>
        <w:rPr>
          <w:szCs w:val="24"/>
        </w:rPr>
      </w:pPr>
      <w:r w:rsidRPr="009B737A">
        <w:rPr>
          <w:szCs w:val="24"/>
        </w:rPr>
        <w:t xml:space="preserve">(9) Zjistí-li Česká národní banka nedostatky v činnosti tuzemské pojišťovny, které by mohly ohrozit nebo ohrožují splnitelnost jejích závazků, nevydá potvrzení o splnění požadavku její solventnosti podle § 20 odst. 2. </w:t>
      </w:r>
    </w:p>
    <w:p w14:paraId="46CF0442" w14:textId="77777777" w:rsidR="00D8555D" w:rsidRPr="009B737A" w:rsidRDefault="00D8555D" w:rsidP="00607B4B">
      <w:pPr>
        <w:tabs>
          <w:tab w:val="left" w:pos="782"/>
          <w:tab w:val="left" w:pos="851"/>
        </w:tabs>
        <w:spacing w:before="120" w:after="120"/>
        <w:outlineLvl w:val="6"/>
        <w:rPr>
          <w:szCs w:val="24"/>
        </w:rPr>
      </w:pPr>
      <w:r w:rsidRPr="009B737A">
        <w:rPr>
          <w:szCs w:val="24"/>
        </w:rPr>
        <w:t>(10) Česká národní banka může upustit od zahájení řízení o uložení opatření k nápravě, jestliže je vzhledem k významu a míře porušení nebo ohrožení chráněného zájmu, který je zjištěným nedostatkem dotčen, povaze zjištěného nedostatku, jeho následku, okolnostem, za nichž k nedostatku došlo, nebo vzhledem k chování tuzemské pojišťovny nebo tuzemské zajišťovny po zjištění nedostatku zřejmé, že účelu, jehož by bylo možno dosáhnout provedením řízení o uložení opatření k nápravě, bylo dosaženo. Nezahájí-li Česká národní banka řízení o uložení opatření k nápravě, provede o tom záznam do spisu a věc odloží. Rozhodnutí o odložení věci se nevydává.</w:t>
      </w:r>
      <w:r>
        <w:rPr>
          <w:szCs w:val="24"/>
        </w:rPr>
        <w:t xml:space="preserve"> </w:t>
      </w:r>
    </w:p>
    <w:p w14:paraId="0EE332F2" w14:textId="77777777" w:rsidR="00D8555D" w:rsidRPr="00CB4328" w:rsidRDefault="00D8555D" w:rsidP="00A679B4">
      <w:pPr>
        <w:pStyle w:val="Paragraf"/>
        <w:spacing w:before="120"/>
      </w:pPr>
      <w:r>
        <w:t>***</w:t>
      </w:r>
    </w:p>
    <w:p w14:paraId="3D261A1F" w14:textId="77777777" w:rsidR="00D8555D" w:rsidRPr="009B737A" w:rsidRDefault="00D8555D" w:rsidP="00A679B4">
      <w:pPr>
        <w:keepNext/>
        <w:keepLines/>
        <w:ind w:firstLine="0"/>
        <w:jc w:val="center"/>
        <w:outlineLvl w:val="5"/>
        <w:rPr>
          <w:szCs w:val="24"/>
        </w:rPr>
      </w:pPr>
      <w:r w:rsidRPr="009B737A">
        <w:rPr>
          <w:szCs w:val="24"/>
        </w:rPr>
        <w:t xml:space="preserve">§ 100  </w:t>
      </w:r>
    </w:p>
    <w:p w14:paraId="79C4F78B" w14:textId="77777777" w:rsidR="00D8555D" w:rsidRPr="00833300" w:rsidRDefault="00D8555D" w:rsidP="00A679B4">
      <w:pPr>
        <w:keepNext/>
        <w:keepLines/>
        <w:ind w:firstLine="0"/>
        <w:jc w:val="center"/>
        <w:outlineLvl w:val="5"/>
        <w:rPr>
          <w:b/>
          <w:szCs w:val="24"/>
        </w:rPr>
      </w:pPr>
      <w:r w:rsidRPr="00833300">
        <w:rPr>
          <w:b/>
          <w:szCs w:val="24"/>
        </w:rPr>
        <w:t>Správce a jeho zástupce</w:t>
      </w:r>
    </w:p>
    <w:p w14:paraId="14597900" w14:textId="77777777" w:rsidR="00D8555D" w:rsidRPr="009B737A" w:rsidRDefault="00D8555D" w:rsidP="00607B4B">
      <w:pPr>
        <w:tabs>
          <w:tab w:val="left" w:pos="782"/>
          <w:tab w:val="left" w:pos="851"/>
        </w:tabs>
        <w:spacing w:before="120" w:after="120"/>
        <w:outlineLvl w:val="6"/>
        <w:rPr>
          <w:szCs w:val="24"/>
        </w:rPr>
      </w:pPr>
      <w:r w:rsidRPr="009B737A">
        <w:rPr>
          <w:szCs w:val="24"/>
        </w:rPr>
        <w:t>(1) Česká národní banka jmenuje správce a jeho zástupce ze zvláštní části seznamu insolvenčních správců vedeného podle zákona o insolvenčních správcích.</w:t>
      </w:r>
    </w:p>
    <w:p w14:paraId="47839EE3" w14:textId="77777777" w:rsidR="00D8555D" w:rsidRPr="009B737A" w:rsidRDefault="00D8555D" w:rsidP="00607B4B">
      <w:pPr>
        <w:tabs>
          <w:tab w:val="left" w:pos="782"/>
          <w:tab w:val="left" w:pos="851"/>
        </w:tabs>
        <w:spacing w:before="120" w:after="120"/>
        <w:outlineLvl w:val="6"/>
        <w:rPr>
          <w:szCs w:val="24"/>
        </w:rPr>
      </w:pPr>
      <w:r>
        <w:rPr>
          <w:szCs w:val="24"/>
        </w:rPr>
        <w:t>(2)</w:t>
      </w:r>
      <w:r>
        <w:rPr>
          <w:szCs w:val="24"/>
        </w:rPr>
        <w:tab/>
      </w:r>
      <w:r w:rsidRPr="009B737A">
        <w:rPr>
          <w:szCs w:val="24"/>
        </w:rPr>
        <w:t xml:space="preserve">Správcem nebo jeho zástupcem nesmí být jmenována osoba, která byla nebo je auditorem </w:t>
      </w:r>
      <w:r w:rsidRPr="00833300">
        <w:rPr>
          <w:b/>
          <w:szCs w:val="24"/>
        </w:rPr>
        <w:t xml:space="preserve">provádějícím </w:t>
      </w:r>
      <w:r w:rsidRPr="009C26B1">
        <w:rPr>
          <w:b/>
          <w:szCs w:val="24"/>
        </w:rPr>
        <w:t>audit</w:t>
      </w:r>
      <w:r w:rsidRPr="004F751E">
        <w:rPr>
          <w:szCs w:val="24"/>
        </w:rPr>
        <w:t xml:space="preserve"> </w:t>
      </w:r>
      <w:r>
        <w:rPr>
          <w:b/>
          <w:szCs w:val="24"/>
        </w:rPr>
        <w:t xml:space="preserve">účetní závěrky </w:t>
      </w:r>
      <w:r w:rsidRPr="009B737A">
        <w:rPr>
          <w:szCs w:val="24"/>
        </w:rPr>
        <w:t>tuzemské pojišťovny nebo tuzemské zajišťovny uvedené v § 99 odst. 1 nebo se jakýmkoliv způsobem na auditu podílela, nebo osoba, která v této pojišťovně nebo zajišťovně byla osobou s klíčovou funkcí nebo má anebo měla k této pojišťovně nebo k této zajišťovně vztah, který by mohl být překážkou řádného výkonu funkce správce nebo jeho zástupce.</w:t>
      </w:r>
    </w:p>
    <w:p w14:paraId="1F73328C" w14:textId="77777777" w:rsidR="00D8555D" w:rsidRPr="009B737A" w:rsidRDefault="00D8555D" w:rsidP="00607B4B">
      <w:pPr>
        <w:tabs>
          <w:tab w:val="left" w:pos="782"/>
          <w:tab w:val="left" w:pos="851"/>
        </w:tabs>
        <w:spacing w:before="120" w:after="120"/>
        <w:outlineLvl w:val="6"/>
        <w:rPr>
          <w:szCs w:val="24"/>
        </w:rPr>
      </w:pPr>
      <w:r w:rsidRPr="009B737A">
        <w:rPr>
          <w:szCs w:val="24"/>
        </w:rPr>
        <w:t xml:space="preserve">(3) Náklady spojené s výkonem nucené správy jsou hrazeny z majetku tuzemské pojišťovny nebo tuzemské zajišťovny, ve které byla zavedena nucená správa. Způsob stanovení </w:t>
      </w:r>
      <w:r w:rsidRPr="009B737A">
        <w:rPr>
          <w:szCs w:val="24"/>
        </w:rPr>
        <w:lastRenderedPageBreak/>
        <w:t>náhrady hotových výdajů a odměny nuceného správce a jeho zástupce a způsob výplaty stanoví prováděcí právní předpis.</w:t>
      </w:r>
    </w:p>
    <w:p w14:paraId="2166F4A9" w14:textId="77777777" w:rsidR="00D8555D" w:rsidRPr="009B737A" w:rsidRDefault="00D8555D" w:rsidP="00607B4B">
      <w:pPr>
        <w:tabs>
          <w:tab w:val="left" w:pos="782"/>
          <w:tab w:val="left" w:pos="851"/>
        </w:tabs>
        <w:spacing w:before="120" w:after="120"/>
        <w:outlineLvl w:val="6"/>
        <w:rPr>
          <w:szCs w:val="24"/>
        </w:rPr>
      </w:pPr>
      <w:r w:rsidRPr="009B737A">
        <w:rPr>
          <w:szCs w:val="24"/>
        </w:rPr>
        <w:t>(4) Zástupce správce jedná jménem správce v případě jeho nepřítomnosti v plném rozsahu jeho pravomoci a odpovědnosti. Ustanovení tohoto zákona týkající se správce se použijí obdobně i pro zástupce správce.</w:t>
      </w:r>
    </w:p>
    <w:p w14:paraId="05C4BC08" w14:textId="77777777" w:rsidR="00D8555D" w:rsidRPr="009B737A" w:rsidRDefault="00D8555D" w:rsidP="00607B4B">
      <w:pPr>
        <w:tabs>
          <w:tab w:val="left" w:pos="782"/>
          <w:tab w:val="left" w:pos="851"/>
        </w:tabs>
        <w:spacing w:before="120" w:after="120"/>
        <w:outlineLvl w:val="6"/>
        <w:rPr>
          <w:szCs w:val="24"/>
        </w:rPr>
      </w:pPr>
      <w:r w:rsidRPr="009B737A">
        <w:rPr>
          <w:szCs w:val="24"/>
        </w:rPr>
        <w:t>(5) Rozhodnutí o věcech v působnosti valné hromady činí správce nebo jeho zástupce s předchozím souhlasem České národní banky. Rozhodnutí o zavedení nucené správy stanoví, kdy je správce oprávněn pověřit plněním úkolů spojených s výkonem nucené správy další osobu bez souhlasu České národní banky.</w:t>
      </w:r>
    </w:p>
    <w:p w14:paraId="676E4111" w14:textId="77777777" w:rsidR="00D8555D" w:rsidRPr="009B737A" w:rsidRDefault="00D8555D" w:rsidP="00607B4B">
      <w:pPr>
        <w:tabs>
          <w:tab w:val="left" w:pos="782"/>
          <w:tab w:val="left" w:pos="851"/>
        </w:tabs>
        <w:spacing w:before="120" w:after="120"/>
        <w:outlineLvl w:val="6"/>
        <w:rPr>
          <w:szCs w:val="24"/>
        </w:rPr>
      </w:pPr>
      <w:r w:rsidRPr="009B737A">
        <w:rPr>
          <w:szCs w:val="24"/>
        </w:rPr>
        <w:t>(6) Přestane-li správce nebo jeho zástupce splňovat podmínky pro své jmenování, informuje o tom bez zbytečného odkladu Českou národní banku, která bez zbytečného odkladu jmenuje jiného správce nebo jeho zástupce.</w:t>
      </w:r>
    </w:p>
    <w:p w14:paraId="0BC311EE" w14:textId="77777777" w:rsidR="00D8555D" w:rsidRPr="00CB4328" w:rsidRDefault="00D8555D" w:rsidP="00A679B4">
      <w:pPr>
        <w:pStyle w:val="Paragraf"/>
        <w:spacing w:after="120"/>
      </w:pPr>
      <w:r>
        <w:t>***</w:t>
      </w:r>
    </w:p>
    <w:p w14:paraId="55938863" w14:textId="77777777" w:rsidR="00D8555D" w:rsidRPr="009B737A" w:rsidRDefault="00D8555D" w:rsidP="00A679B4">
      <w:pPr>
        <w:keepNext/>
        <w:keepLines/>
        <w:spacing w:after="120"/>
        <w:jc w:val="center"/>
        <w:outlineLvl w:val="5"/>
        <w:rPr>
          <w:szCs w:val="24"/>
        </w:rPr>
      </w:pPr>
      <w:r w:rsidRPr="009B737A">
        <w:rPr>
          <w:szCs w:val="24"/>
        </w:rPr>
        <w:t xml:space="preserve">§ 113 </w:t>
      </w:r>
    </w:p>
    <w:p w14:paraId="17E42F42" w14:textId="77777777" w:rsidR="00D8555D" w:rsidRPr="00833300" w:rsidRDefault="00D8555D" w:rsidP="00A679B4">
      <w:pPr>
        <w:keepNext/>
        <w:keepLines/>
        <w:spacing w:after="120"/>
        <w:jc w:val="center"/>
        <w:outlineLvl w:val="5"/>
        <w:rPr>
          <w:b/>
          <w:szCs w:val="24"/>
        </w:rPr>
      </w:pPr>
      <w:r w:rsidRPr="00833300">
        <w:rPr>
          <w:b/>
          <w:szCs w:val="24"/>
        </w:rPr>
        <w:t>Rozsah a obsah opatření k nápravě</w:t>
      </w:r>
    </w:p>
    <w:p w14:paraId="27F5C308" w14:textId="77777777" w:rsidR="00D8555D" w:rsidRPr="009B737A" w:rsidRDefault="00D8555D" w:rsidP="00607B4B">
      <w:pPr>
        <w:tabs>
          <w:tab w:val="left" w:pos="782"/>
          <w:tab w:val="left" w:pos="851"/>
        </w:tabs>
        <w:spacing w:before="120" w:after="120"/>
        <w:outlineLvl w:val="6"/>
        <w:rPr>
          <w:szCs w:val="24"/>
        </w:rPr>
      </w:pPr>
      <w:r>
        <w:rPr>
          <w:szCs w:val="24"/>
        </w:rPr>
        <w:t>(1)</w:t>
      </w:r>
      <w:r>
        <w:rPr>
          <w:szCs w:val="24"/>
        </w:rPr>
        <w:tab/>
      </w:r>
      <w:r w:rsidRPr="009B737A">
        <w:rPr>
          <w:szCs w:val="24"/>
        </w:rPr>
        <w:t xml:space="preserve">Česká národní banka uloží opatření k nápravě za účelem odstranění zjištěných nedostatků včetně určení přiměřené lhůty k odstranění těchto nedostatků, zjistí-li, že pojišťovna z třetího státu nebo zajišťovna z třetího státu porušila povinnosti stanovené tímto zákonem nebo jiným právním předpisem. To platí i v případě porušení povinnosti stanovené právním předpisem jiného členského státu, pokud je Česká národní banka orgánem dohledu podle § 35. </w:t>
      </w:r>
    </w:p>
    <w:p w14:paraId="1A47CB65" w14:textId="77777777" w:rsidR="00D8555D" w:rsidRPr="009B737A" w:rsidRDefault="00D8555D" w:rsidP="00607B4B">
      <w:pPr>
        <w:tabs>
          <w:tab w:val="left" w:pos="782"/>
          <w:tab w:val="left" w:pos="851"/>
        </w:tabs>
        <w:spacing w:before="120" w:after="120"/>
        <w:outlineLvl w:val="6"/>
        <w:rPr>
          <w:szCs w:val="24"/>
        </w:rPr>
      </w:pPr>
      <w:r w:rsidRPr="009B737A">
        <w:rPr>
          <w:szCs w:val="24"/>
        </w:rPr>
        <w:t xml:space="preserve">(2) Česká národní banka nařídí pojišťovně z třetího státu nebo zajišťovně z třetího státu ve stanovené lhůtě provedení změny </w:t>
      </w:r>
    </w:p>
    <w:p w14:paraId="4F52B217" w14:textId="77777777" w:rsidR="00D8555D" w:rsidRPr="009B737A" w:rsidRDefault="00D8555D" w:rsidP="00A679B4">
      <w:pPr>
        <w:pStyle w:val="PZTextpsmene"/>
        <w:spacing w:before="0"/>
        <w:rPr>
          <w:szCs w:val="24"/>
        </w:rPr>
      </w:pPr>
      <w:r>
        <w:rPr>
          <w:szCs w:val="24"/>
        </w:rPr>
        <w:t>a)</w:t>
      </w:r>
      <w:r>
        <w:rPr>
          <w:szCs w:val="24"/>
        </w:rPr>
        <w:tab/>
      </w:r>
      <w:r w:rsidRPr="009B737A">
        <w:rPr>
          <w:szCs w:val="24"/>
        </w:rPr>
        <w:t xml:space="preserve">v osobě vedoucího její pobočky, </w:t>
      </w:r>
    </w:p>
    <w:p w14:paraId="3286F260" w14:textId="77777777" w:rsidR="00D8555D" w:rsidRPr="009B737A" w:rsidRDefault="00D8555D" w:rsidP="00A679B4">
      <w:pPr>
        <w:pStyle w:val="PZTextpsmene"/>
        <w:spacing w:before="0"/>
        <w:rPr>
          <w:szCs w:val="24"/>
        </w:rPr>
      </w:pPr>
      <w:r>
        <w:rPr>
          <w:szCs w:val="24"/>
        </w:rPr>
        <w:t>b)</w:t>
      </w:r>
      <w:r>
        <w:rPr>
          <w:szCs w:val="24"/>
        </w:rPr>
        <w:tab/>
      </w:r>
      <w:r w:rsidRPr="009B737A">
        <w:rPr>
          <w:szCs w:val="24"/>
        </w:rPr>
        <w:t xml:space="preserve">osoby odpovědné za plnění požadavků podle § 7j, nebo </w:t>
      </w:r>
    </w:p>
    <w:p w14:paraId="7E0D146E" w14:textId="77777777" w:rsidR="00D8555D" w:rsidRPr="009B737A" w:rsidRDefault="00D8555D" w:rsidP="00A679B4">
      <w:pPr>
        <w:pStyle w:val="PZTextpsmene"/>
        <w:spacing w:before="0" w:after="120"/>
        <w:rPr>
          <w:szCs w:val="24"/>
        </w:rPr>
      </w:pPr>
      <w:r>
        <w:rPr>
          <w:szCs w:val="24"/>
        </w:rPr>
        <w:t>c)</w:t>
      </w:r>
      <w:r>
        <w:rPr>
          <w:szCs w:val="24"/>
        </w:rPr>
        <w:tab/>
      </w:r>
      <w:proofErr w:type="spellStart"/>
      <w:r w:rsidRPr="009B737A">
        <w:rPr>
          <w:szCs w:val="24"/>
        </w:rPr>
        <w:t>škodního</w:t>
      </w:r>
      <w:proofErr w:type="spellEnd"/>
      <w:r w:rsidRPr="009B737A">
        <w:rPr>
          <w:szCs w:val="24"/>
        </w:rPr>
        <w:t xml:space="preserve"> zástupce ustanoveného pro vyřizování nároků z pojištění odpovědnosti z provozu vozidla, </w:t>
      </w:r>
    </w:p>
    <w:p w14:paraId="5E292062" w14:textId="6B9148E7" w:rsidR="00D8555D" w:rsidRDefault="00D8555D" w:rsidP="00A679B4">
      <w:pPr>
        <w:pStyle w:val="PZTextpsmene"/>
        <w:spacing w:before="0"/>
        <w:rPr>
          <w:szCs w:val="24"/>
        </w:rPr>
      </w:pPr>
      <w:r w:rsidRPr="009B737A">
        <w:rPr>
          <w:szCs w:val="24"/>
        </w:rPr>
        <w:tab/>
        <w:t xml:space="preserve">jestliže jí zjištěné nedostatky v činnosti této pojišťovny nebo zajišťovny souvisí s výkonem činnosti osoby podle písmen a), b) nebo c). </w:t>
      </w:r>
    </w:p>
    <w:p w14:paraId="6ACC4370" w14:textId="77777777" w:rsidR="00D8555D" w:rsidRPr="009B737A" w:rsidRDefault="00D8555D" w:rsidP="00D8555D">
      <w:pPr>
        <w:tabs>
          <w:tab w:val="left" w:pos="782"/>
          <w:tab w:val="left" w:pos="851"/>
        </w:tabs>
        <w:spacing w:before="120" w:after="120"/>
        <w:outlineLvl w:val="6"/>
        <w:rPr>
          <w:szCs w:val="24"/>
        </w:rPr>
      </w:pPr>
      <w:r w:rsidRPr="009B737A">
        <w:rPr>
          <w:szCs w:val="24"/>
        </w:rPr>
        <w:t xml:space="preserve">(3) Česká národní banka může pojišťovně z třetího státu nebo zajišťovně z třetího státu nařídit </w:t>
      </w:r>
    </w:p>
    <w:p w14:paraId="394418D9" w14:textId="77777777" w:rsidR="00D8555D" w:rsidRPr="00C44A12" w:rsidRDefault="00D8555D" w:rsidP="00A679B4">
      <w:pPr>
        <w:pStyle w:val="PZTextpsmene"/>
        <w:spacing w:before="0"/>
        <w:rPr>
          <w:strike/>
          <w:szCs w:val="24"/>
        </w:rPr>
      </w:pPr>
      <w:r>
        <w:rPr>
          <w:strike/>
          <w:szCs w:val="24"/>
        </w:rPr>
        <w:t>a)</w:t>
      </w:r>
      <w:r>
        <w:rPr>
          <w:strike/>
          <w:szCs w:val="24"/>
        </w:rPr>
        <w:tab/>
      </w:r>
      <w:r w:rsidRPr="009B737A">
        <w:rPr>
          <w:strike/>
          <w:szCs w:val="24"/>
        </w:rPr>
        <w:t xml:space="preserve">změnu auditora provádějícího ověření účetní závěrky nebo konsolidované účetní závěrky; § 95 odst. 3 se v takovém případě použije obdobně, nebo </w:t>
      </w:r>
    </w:p>
    <w:p w14:paraId="047A0BBC" w14:textId="77777777" w:rsidR="00D8555D" w:rsidRPr="009B737A" w:rsidRDefault="00D8555D" w:rsidP="00A679B4">
      <w:pPr>
        <w:pStyle w:val="PZTextpsmene"/>
        <w:spacing w:before="0"/>
        <w:rPr>
          <w:szCs w:val="24"/>
        </w:rPr>
      </w:pPr>
      <w:r w:rsidRPr="009B737A">
        <w:rPr>
          <w:strike/>
          <w:szCs w:val="24"/>
        </w:rPr>
        <w:t>b)</w:t>
      </w:r>
      <w:r>
        <w:rPr>
          <w:szCs w:val="24"/>
        </w:rPr>
        <w:tab/>
      </w:r>
      <w:r w:rsidRPr="009B737A">
        <w:rPr>
          <w:szCs w:val="24"/>
        </w:rPr>
        <w:t xml:space="preserve">navýšení technických rezerv na úroveň, která odpovídá výpočtu podle § 52 až 57, nebo změnu metody výpočtu těchto rezerv, jestliže zjistí, že při výpočtu technických rezerv nepostupovala podle těchto ustanovení. </w:t>
      </w:r>
    </w:p>
    <w:p w14:paraId="5920E909" w14:textId="77777777" w:rsidR="00D8555D" w:rsidRPr="009B737A" w:rsidRDefault="00D8555D" w:rsidP="00D8555D">
      <w:pPr>
        <w:tabs>
          <w:tab w:val="left" w:pos="782"/>
          <w:tab w:val="left" w:pos="851"/>
        </w:tabs>
        <w:spacing w:after="120"/>
        <w:outlineLvl w:val="6"/>
        <w:rPr>
          <w:szCs w:val="24"/>
        </w:rPr>
      </w:pPr>
      <w:r w:rsidRPr="009B737A">
        <w:rPr>
          <w:szCs w:val="24"/>
        </w:rPr>
        <w:t xml:space="preserve">(4) Pokud Česká národní banka zjistí v činnosti pojišťovny z třetího státu nebo zajišťovny z třetího státu nedostatky, které by mohly ohrozit nebo ohrožují splnitelnost jejích závazků, svým rozhodnutím v závislosti na charakteru zjištěných nedostatků </w:t>
      </w:r>
    </w:p>
    <w:p w14:paraId="5E98F1E2" w14:textId="77777777" w:rsidR="00D8555D" w:rsidRPr="009B737A" w:rsidRDefault="00D8555D" w:rsidP="00D8555D">
      <w:pPr>
        <w:pStyle w:val="PZTextpsmene"/>
        <w:rPr>
          <w:szCs w:val="24"/>
        </w:rPr>
      </w:pPr>
      <w:r>
        <w:rPr>
          <w:szCs w:val="24"/>
        </w:rPr>
        <w:t>a)</w:t>
      </w:r>
      <w:r>
        <w:rPr>
          <w:szCs w:val="24"/>
        </w:rPr>
        <w:tab/>
      </w:r>
      <w:r w:rsidRPr="009B737A">
        <w:rPr>
          <w:szCs w:val="24"/>
        </w:rPr>
        <w:t xml:space="preserve">nařídí předložení ozdravného plánu nebo plánu krátkodobého financování, </w:t>
      </w:r>
    </w:p>
    <w:p w14:paraId="2C844F5B" w14:textId="77777777" w:rsidR="00D8555D" w:rsidRPr="00AE2D47" w:rsidRDefault="00D8555D" w:rsidP="00D8555D">
      <w:pPr>
        <w:pStyle w:val="Textpsmene"/>
        <w:numPr>
          <w:ilvl w:val="3"/>
          <w:numId w:val="1"/>
        </w:numPr>
        <w:spacing w:before="0"/>
      </w:pPr>
      <w:r w:rsidRPr="009B737A">
        <w:t xml:space="preserve">omezí nebo zakáže volné nakládání s jejím majetkem umístěným na území České republiky nebo na území jiných členských států, </w:t>
      </w:r>
    </w:p>
    <w:p w14:paraId="6AE5313E" w14:textId="77777777" w:rsidR="00D8555D" w:rsidRPr="00AE2D47" w:rsidRDefault="00D8555D" w:rsidP="00D8555D">
      <w:pPr>
        <w:pStyle w:val="Textpsmene"/>
        <w:numPr>
          <w:ilvl w:val="3"/>
          <w:numId w:val="1"/>
        </w:numPr>
        <w:spacing w:before="0"/>
      </w:pPr>
      <w:r w:rsidRPr="009B737A">
        <w:lastRenderedPageBreak/>
        <w:t xml:space="preserve">pozastaví oprávnění k uzavírání pojistných smluv nebo oprávnění k uzavírání zajišťovacích smluv a k rozšiřování závazků již převzatých, </w:t>
      </w:r>
    </w:p>
    <w:p w14:paraId="759F19E5" w14:textId="77777777" w:rsidR="00D8555D" w:rsidRPr="00AE2D47" w:rsidRDefault="00D8555D" w:rsidP="00D8555D">
      <w:pPr>
        <w:pStyle w:val="Textpsmene"/>
        <w:numPr>
          <w:ilvl w:val="3"/>
          <w:numId w:val="1"/>
        </w:numPr>
        <w:spacing w:before="0"/>
      </w:pPr>
      <w:r w:rsidRPr="009B737A">
        <w:t xml:space="preserve">nařídí převedení jejího pojistného kmene nebo jeho části na jinou pojišťovnu, nebo </w:t>
      </w:r>
    </w:p>
    <w:p w14:paraId="73B1687D" w14:textId="77777777" w:rsidR="00D8555D" w:rsidRPr="00AE2D47" w:rsidRDefault="00D8555D" w:rsidP="00D8555D">
      <w:pPr>
        <w:pStyle w:val="Textpsmene"/>
        <w:numPr>
          <w:ilvl w:val="3"/>
          <w:numId w:val="1"/>
        </w:numPr>
        <w:spacing w:before="0"/>
      </w:pPr>
      <w:r w:rsidRPr="009B737A">
        <w:t xml:space="preserve">nařídí převedení jejího kmene zajišťovacích smluv nebo jeho části na jinou pojišťovnu nebo zajišťovnu. </w:t>
      </w:r>
    </w:p>
    <w:p w14:paraId="78027ED0" w14:textId="77777777" w:rsidR="00D8555D" w:rsidRPr="009B737A" w:rsidRDefault="00D8555D" w:rsidP="00607B4B">
      <w:pPr>
        <w:tabs>
          <w:tab w:val="left" w:pos="782"/>
          <w:tab w:val="left" w:pos="851"/>
        </w:tabs>
        <w:spacing w:before="120" w:after="120"/>
        <w:outlineLvl w:val="6"/>
        <w:rPr>
          <w:szCs w:val="24"/>
        </w:rPr>
      </w:pPr>
      <w:r w:rsidRPr="009B737A">
        <w:rPr>
          <w:szCs w:val="24"/>
        </w:rPr>
        <w:t xml:space="preserve">(5) Je-li ohrožena splnitelnost závazků pojišťovny z třetího státu, odejme Česká národní banka této pojišťovně zvýhodnění, která jí podle § 35 udělila. </w:t>
      </w:r>
    </w:p>
    <w:p w14:paraId="12C7F810" w14:textId="77777777" w:rsidR="00D8555D" w:rsidRDefault="00D8555D" w:rsidP="00607B4B">
      <w:pPr>
        <w:tabs>
          <w:tab w:val="left" w:pos="782"/>
          <w:tab w:val="left" w:pos="851"/>
        </w:tabs>
        <w:spacing w:before="120" w:after="120"/>
        <w:outlineLvl w:val="6"/>
        <w:rPr>
          <w:szCs w:val="24"/>
        </w:rPr>
      </w:pPr>
      <w:r w:rsidRPr="009B737A">
        <w:rPr>
          <w:szCs w:val="24"/>
        </w:rPr>
        <w:t xml:space="preserve">(6) Pro rozhodnutí podle odstavců 2 a 4 se 98, 98a, 102 až 104, 106 a 107 použijí obdobně, a to pouze pro tu část činnosti pojišťovny z třetího státu nebo zajišťovny z třetího státu, která podle tohoto zákona podléhá dohledu České národní banky. </w:t>
      </w:r>
    </w:p>
    <w:p w14:paraId="1C843317" w14:textId="77777777" w:rsidR="00D8555D" w:rsidRPr="009B737A" w:rsidRDefault="00D8555D" w:rsidP="00607B4B">
      <w:pPr>
        <w:tabs>
          <w:tab w:val="left" w:pos="782"/>
          <w:tab w:val="left" w:pos="851"/>
        </w:tabs>
        <w:spacing w:before="120" w:after="120"/>
        <w:outlineLvl w:val="6"/>
        <w:rPr>
          <w:szCs w:val="24"/>
        </w:rPr>
      </w:pPr>
      <w:r w:rsidRPr="009B737A">
        <w:rPr>
          <w:szCs w:val="24"/>
        </w:rPr>
        <w:t>(7) Účastníkem řízení podle odstavců 1 až 5 je pouze dotčená pojišťovna z třetího státu nebo zajišťovna z třetího státu. Řízení podle odstavce 1 může být zahájeno též doručením rozhodnutí o uložení opatření k nápravě za účelem odstranění zjištěných nedostatků, hrozí-li nebezpečí z prodlení.</w:t>
      </w:r>
    </w:p>
    <w:p w14:paraId="16A8B274" w14:textId="77777777" w:rsidR="00D8555D" w:rsidRDefault="00D8555D" w:rsidP="00D8555D">
      <w:pPr>
        <w:pStyle w:val="Paragraf"/>
        <w:spacing w:after="120"/>
      </w:pPr>
      <w:r>
        <w:t>***</w:t>
      </w:r>
    </w:p>
    <w:p w14:paraId="60D2CF5A" w14:textId="77777777" w:rsidR="00D8555D" w:rsidRPr="009B737A" w:rsidRDefault="00D8555D" w:rsidP="00D8555D">
      <w:pPr>
        <w:keepNext/>
        <w:keepLines/>
        <w:spacing w:after="120"/>
        <w:ind w:firstLine="0"/>
        <w:jc w:val="center"/>
        <w:outlineLvl w:val="5"/>
        <w:rPr>
          <w:szCs w:val="24"/>
        </w:rPr>
      </w:pPr>
      <w:r w:rsidRPr="009B737A">
        <w:rPr>
          <w:szCs w:val="24"/>
        </w:rPr>
        <w:t xml:space="preserve">§ 116 </w:t>
      </w:r>
    </w:p>
    <w:p w14:paraId="756982F7" w14:textId="2E04DE75" w:rsidR="00D8555D" w:rsidRPr="00D8555D" w:rsidRDefault="00D8555D" w:rsidP="00D8555D">
      <w:pPr>
        <w:keepNext/>
        <w:keepLines/>
        <w:spacing w:after="120"/>
        <w:ind w:firstLine="0"/>
        <w:jc w:val="center"/>
        <w:outlineLvl w:val="5"/>
        <w:rPr>
          <w:b/>
          <w:szCs w:val="24"/>
        </w:rPr>
      </w:pPr>
      <w:r w:rsidRPr="00D7791F">
        <w:rPr>
          <w:b/>
          <w:szCs w:val="24"/>
        </w:rPr>
        <w:t>Odnětí povolení tuzemské pojišťovně a tuzemské zajišťovně</w:t>
      </w:r>
    </w:p>
    <w:p w14:paraId="6BD23444" w14:textId="77777777" w:rsidR="00D8555D" w:rsidRPr="009B737A" w:rsidRDefault="00D8555D" w:rsidP="00D8555D">
      <w:pPr>
        <w:tabs>
          <w:tab w:val="left" w:pos="782"/>
          <w:tab w:val="left" w:pos="851"/>
        </w:tabs>
        <w:spacing w:after="120"/>
        <w:outlineLvl w:val="6"/>
        <w:rPr>
          <w:szCs w:val="24"/>
        </w:rPr>
      </w:pPr>
      <w:r w:rsidRPr="009B737A">
        <w:rPr>
          <w:szCs w:val="24"/>
        </w:rPr>
        <w:t>(1)</w:t>
      </w:r>
      <w:r>
        <w:rPr>
          <w:szCs w:val="24"/>
        </w:rPr>
        <w:tab/>
      </w:r>
      <w:r w:rsidRPr="009B737A">
        <w:rPr>
          <w:szCs w:val="24"/>
        </w:rPr>
        <w:t xml:space="preserve">Česká národní banka odejme tuzemské pojišťovně nebo tuzemské zajišťovně povolení k provozování pojišťovací nebo zajišťovací činnosti, které jí udělila, jestliže </w:t>
      </w:r>
    </w:p>
    <w:p w14:paraId="7A2BFC53" w14:textId="77777777" w:rsidR="00D8555D" w:rsidRPr="009B737A" w:rsidRDefault="00D8555D" w:rsidP="00D8555D">
      <w:pPr>
        <w:pStyle w:val="PZTextpsmene"/>
        <w:spacing w:before="0"/>
        <w:rPr>
          <w:szCs w:val="24"/>
        </w:rPr>
      </w:pPr>
      <w:r>
        <w:rPr>
          <w:szCs w:val="24"/>
        </w:rPr>
        <w:t>a)</w:t>
      </w:r>
      <w:r>
        <w:rPr>
          <w:szCs w:val="24"/>
        </w:rPr>
        <w:tab/>
      </w:r>
      <w:r w:rsidRPr="009B737A">
        <w:rPr>
          <w:szCs w:val="24"/>
        </w:rPr>
        <w:t xml:space="preserve">je tato pojišťovna nebo zajišťovna předlužena; pojišťovna nebo zajišťovna je předlužena, pokud souhrn peněžního vyjádření jejích závazků převyšuje hodnotu </w:t>
      </w:r>
      <w:r w:rsidRPr="009B737A">
        <w:rPr>
          <w:strike/>
          <w:szCs w:val="24"/>
        </w:rPr>
        <w:t>jejího majetku</w:t>
      </w:r>
      <w:r w:rsidRPr="009B737A">
        <w:rPr>
          <w:szCs w:val="24"/>
        </w:rPr>
        <w:t xml:space="preserve"> </w:t>
      </w:r>
      <w:r w:rsidRPr="009B737A">
        <w:rPr>
          <w:b/>
          <w:szCs w:val="24"/>
        </w:rPr>
        <w:t>jejích aktiv</w:t>
      </w:r>
      <w:r w:rsidRPr="009B737A">
        <w:rPr>
          <w:szCs w:val="24"/>
        </w:rPr>
        <w:t xml:space="preserve">; ocenění se provede v souladu s tímto zákonem a zákonem upravujícím účetnictví, </w:t>
      </w:r>
    </w:p>
    <w:p w14:paraId="047C0473" w14:textId="77777777" w:rsidR="00D8555D" w:rsidRPr="009B737A" w:rsidRDefault="00D8555D" w:rsidP="00D8555D">
      <w:pPr>
        <w:pStyle w:val="PZTextpsmene"/>
        <w:spacing w:before="0"/>
        <w:rPr>
          <w:szCs w:val="24"/>
        </w:rPr>
      </w:pPr>
      <w:r>
        <w:rPr>
          <w:szCs w:val="24"/>
        </w:rPr>
        <w:t>b)</w:t>
      </w:r>
      <w:r>
        <w:rPr>
          <w:szCs w:val="24"/>
        </w:rPr>
        <w:tab/>
      </w:r>
      <w:r w:rsidRPr="009B737A">
        <w:rPr>
          <w:szCs w:val="24"/>
        </w:rPr>
        <w:t xml:space="preserve">uložené opatření k nápravě nevedlo k obnovení její platební schopnosti, </w:t>
      </w:r>
    </w:p>
    <w:p w14:paraId="24C372D7" w14:textId="77777777" w:rsidR="00D8555D" w:rsidRPr="009B737A" w:rsidRDefault="00D8555D" w:rsidP="00D8555D">
      <w:pPr>
        <w:pStyle w:val="PZTextpsmene"/>
        <w:spacing w:before="0"/>
        <w:rPr>
          <w:szCs w:val="24"/>
        </w:rPr>
      </w:pPr>
      <w:r>
        <w:rPr>
          <w:szCs w:val="24"/>
        </w:rPr>
        <w:t>c)</w:t>
      </w:r>
      <w:r>
        <w:rPr>
          <w:szCs w:val="24"/>
        </w:rPr>
        <w:tab/>
      </w:r>
      <w:r w:rsidRPr="009B737A">
        <w:rPr>
          <w:szCs w:val="24"/>
        </w:rPr>
        <w:t xml:space="preserve">získala povolení k provozování pojišťovací nebo zajišťovací činnosti na základě nepravdivě nebo neúplně uvedeného údaje rozhodného pro udělení tohoto povolení nebo takový údaj zatajila, </w:t>
      </w:r>
    </w:p>
    <w:p w14:paraId="79196B62" w14:textId="77777777" w:rsidR="00D8555D" w:rsidRPr="009B737A" w:rsidRDefault="00D8555D" w:rsidP="00D8555D">
      <w:pPr>
        <w:pStyle w:val="PZTextpsmene"/>
        <w:spacing w:before="0"/>
        <w:rPr>
          <w:szCs w:val="24"/>
        </w:rPr>
      </w:pPr>
      <w:r>
        <w:rPr>
          <w:szCs w:val="24"/>
        </w:rPr>
        <w:t>d)</w:t>
      </w:r>
      <w:r>
        <w:rPr>
          <w:szCs w:val="24"/>
        </w:rPr>
        <w:tab/>
      </w:r>
      <w:r w:rsidRPr="009B737A">
        <w:rPr>
          <w:szCs w:val="24"/>
        </w:rPr>
        <w:t xml:space="preserve">její finanční situace nezaručuje trvalou splnitelnost jejích závazků z pojišťovací nebo zajišťovací činnosti, </w:t>
      </w:r>
    </w:p>
    <w:p w14:paraId="5F39812A" w14:textId="77777777" w:rsidR="00D8555D" w:rsidRPr="009B737A" w:rsidRDefault="00D8555D" w:rsidP="00D8555D">
      <w:pPr>
        <w:pStyle w:val="PZTextpsmene"/>
        <w:spacing w:before="0"/>
        <w:rPr>
          <w:szCs w:val="24"/>
        </w:rPr>
      </w:pPr>
      <w:r>
        <w:rPr>
          <w:szCs w:val="24"/>
        </w:rPr>
        <w:t>e)</w:t>
      </w:r>
      <w:r>
        <w:rPr>
          <w:szCs w:val="24"/>
        </w:rPr>
        <w:tab/>
      </w:r>
      <w:r w:rsidRPr="009B737A">
        <w:rPr>
          <w:szCs w:val="24"/>
        </w:rPr>
        <w:t xml:space="preserve">nedodržela minimální kapitálový požadavek a nepředložila plán krátkodobého financování nebo nebyl takový plán Českou národní bankou schválen, </w:t>
      </w:r>
    </w:p>
    <w:p w14:paraId="3C1D1E1F" w14:textId="77777777" w:rsidR="00D8555D" w:rsidRPr="009B737A" w:rsidRDefault="00D8555D" w:rsidP="00D8555D">
      <w:pPr>
        <w:pStyle w:val="PZTextpsmene"/>
        <w:spacing w:before="0"/>
        <w:rPr>
          <w:szCs w:val="24"/>
        </w:rPr>
      </w:pPr>
      <w:r>
        <w:rPr>
          <w:szCs w:val="24"/>
        </w:rPr>
        <w:t>f)</w:t>
      </w:r>
      <w:r>
        <w:rPr>
          <w:szCs w:val="24"/>
        </w:rPr>
        <w:tab/>
      </w:r>
      <w:r w:rsidRPr="009B737A">
        <w:rPr>
          <w:szCs w:val="24"/>
        </w:rPr>
        <w:t xml:space="preserve">přemístila svoje sídlo mimo území České republiky, </w:t>
      </w:r>
    </w:p>
    <w:p w14:paraId="44195A63" w14:textId="77777777" w:rsidR="00D8555D" w:rsidRPr="009B737A" w:rsidRDefault="00D8555D" w:rsidP="00D8555D">
      <w:pPr>
        <w:pStyle w:val="PZTextpsmene"/>
        <w:spacing w:before="0"/>
        <w:rPr>
          <w:szCs w:val="24"/>
        </w:rPr>
      </w:pPr>
      <w:r>
        <w:rPr>
          <w:szCs w:val="24"/>
        </w:rPr>
        <w:t>g)</w:t>
      </w:r>
      <w:r>
        <w:rPr>
          <w:szCs w:val="24"/>
        </w:rPr>
        <w:tab/>
      </w:r>
      <w:r w:rsidRPr="009B737A">
        <w:rPr>
          <w:szCs w:val="24"/>
        </w:rPr>
        <w:t xml:space="preserve">nesplnila do 3 měsíců schválený plán krátkodobého financování, nebo </w:t>
      </w:r>
    </w:p>
    <w:p w14:paraId="1BAD5A9D" w14:textId="77777777" w:rsidR="00D8555D" w:rsidRPr="009B737A" w:rsidRDefault="00D8555D" w:rsidP="00D8555D">
      <w:pPr>
        <w:pStyle w:val="PZTextpsmene"/>
        <w:spacing w:before="0"/>
        <w:rPr>
          <w:szCs w:val="24"/>
        </w:rPr>
      </w:pPr>
      <w:r w:rsidRPr="009B737A">
        <w:rPr>
          <w:szCs w:val="24"/>
        </w:rPr>
        <w:t>h)</w:t>
      </w:r>
      <w:r>
        <w:rPr>
          <w:szCs w:val="24"/>
        </w:rPr>
        <w:tab/>
      </w:r>
      <w:r w:rsidRPr="009B737A">
        <w:rPr>
          <w:szCs w:val="24"/>
        </w:rPr>
        <w:t xml:space="preserve">o to pojišťovna nebo zajišťovna požádá. </w:t>
      </w:r>
    </w:p>
    <w:p w14:paraId="6479F9EC" w14:textId="77777777" w:rsidR="00D8555D" w:rsidRPr="00D7791F" w:rsidRDefault="00D8555D" w:rsidP="00D8555D">
      <w:pPr>
        <w:tabs>
          <w:tab w:val="left" w:pos="782"/>
          <w:tab w:val="left" w:pos="851"/>
        </w:tabs>
        <w:spacing w:after="120"/>
        <w:outlineLvl w:val="6"/>
      </w:pPr>
      <w:r>
        <w:t xml:space="preserve">(2) </w:t>
      </w:r>
      <w:r w:rsidRPr="009B737A">
        <w:t xml:space="preserve">Česká národní banka může tuzemské pojišťovně nebo tuzemské zajišťovně odejmout povolení k provozování pojišťovací nebo zajišťovací činnosti, které jí udělila, jestliže </w:t>
      </w:r>
    </w:p>
    <w:p w14:paraId="3675B81D" w14:textId="77777777" w:rsidR="00D8555D" w:rsidRPr="009B737A" w:rsidRDefault="00D8555D" w:rsidP="00D8555D">
      <w:pPr>
        <w:pStyle w:val="PZTextpsmene"/>
        <w:spacing w:before="0"/>
        <w:rPr>
          <w:szCs w:val="24"/>
        </w:rPr>
      </w:pPr>
      <w:r>
        <w:rPr>
          <w:szCs w:val="24"/>
        </w:rPr>
        <w:t>a)</w:t>
      </w:r>
      <w:r>
        <w:rPr>
          <w:szCs w:val="24"/>
        </w:rPr>
        <w:tab/>
      </w:r>
      <w:r w:rsidRPr="009B737A">
        <w:rPr>
          <w:szCs w:val="24"/>
        </w:rPr>
        <w:t xml:space="preserve">již nesplňuje některou z podmínek pro provozování pojišťovací nebo zajišťovací činnosti, </w:t>
      </w:r>
    </w:p>
    <w:p w14:paraId="5D250128" w14:textId="77777777" w:rsidR="00D8555D" w:rsidRPr="009B737A" w:rsidRDefault="00D8555D" w:rsidP="00D8555D">
      <w:pPr>
        <w:pStyle w:val="PZTextpsmene"/>
        <w:spacing w:before="0"/>
        <w:rPr>
          <w:szCs w:val="24"/>
        </w:rPr>
      </w:pPr>
      <w:r>
        <w:rPr>
          <w:szCs w:val="24"/>
        </w:rPr>
        <w:t>b)</w:t>
      </w:r>
      <w:r>
        <w:rPr>
          <w:szCs w:val="24"/>
        </w:rPr>
        <w:tab/>
      </w:r>
      <w:r w:rsidRPr="009B737A">
        <w:rPr>
          <w:szCs w:val="24"/>
        </w:rPr>
        <w:t xml:space="preserve">opakovaně nebo závažným způsobem porušila povinnost stanovenou tímto zákonem nebo přímo použitelným předpisem Evropské unie, související s pojišťovací nebo zajišťovací činností, nebo opakovaně nebo závažným způsobem porušila povinnost stanovenou rozhodnutím České národní banky přijatým podle tohoto zákona nebo přímo použitelného předpisu Evropské unie, </w:t>
      </w:r>
    </w:p>
    <w:p w14:paraId="6FAA4674" w14:textId="77777777" w:rsidR="00D8555D" w:rsidRPr="009B737A" w:rsidRDefault="00D8555D" w:rsidP="00D8555D">
      <w:pPr>
        <w:pStyle w:val="PZTextpsmene"/>
        <w:spacing w:before="0"/>
        <w:rPr>
          <w:szCs w:val="24"/>
        </w:rPr>
      </w:pPr>
      <w:r>
        <w:rPr>
          <w:szCs w:val="24"/>
        </w:rPr>
        <w:t>c)</w:t>
      </w:r>
      <w:r>
        <w:rPr>
          <w:szCs w:val="24"/>
        </w:rPr>
        <w:tab/>
      </w:r>
      <w:r w:rsidRPr="009B737A">
        <w:rPr>
          <w:szCs w:val="24"/>
        </w:rPr>
        <w:t xml:space="preserve">do 1 roku ode dne nabytí právní moci rozhodnutí, kterým jí bylo uděleno povolení k provozování pojišťovací nebo zajišťovací činnosti, nezahájila povolenou činnost, nebo </w:t>
      </w:r>
    </w:p>
    <w:p w14:paraId="725DB1B2" w14:textId="77777777" w:rsidR="00D8555D" w:rsidRPr="009B737A" w:rsidRDefault="00D8555D" w:rsidP="00D8555D">
      <w:pPr>
        <w:pStyle w:val="PZTextpsmene"/>
        <w:spacing w:before="0"/>
        <w:rPr>
          <w:szCs w:val="24"/>
        </w:rPr>
      </w:pPr>
      <w:r>
        <w:rPr>
          <w:szCs w:val="24"/>
        </w:rPr>
        <w:lastRenderedPageBreak/>
        <w:t>d)</w:t>
      </w:r>
      <w:r>
        <w:rPr>
          <w:szCs w:val="24"/>
        </w:rPr>
        <w:tab/>
      </w:r>
      <w:r w:rsidRPr="009B737A">
        <w:rPr>
          <w:szCs w:val="24"/>
        </w:rPr>
        <w:t xml:space="preserve">neprovozuje pojišťovací nebo zajišťovací činnost déle než 6 měsíců. </w:t>
      </w:r>
    </w:p>
    <w:p w14:paraId="0F76E6B0" w14:textId="77777777" w:rsidR="00D8555D" w:rsidRPr="00D7791F" w:rsidRDefault="00D8555D" w:rsidP="00607B4B">
      <w:pPr>
        <w:tabs>
          <w:tab w:val="left" w:pos="782"/>
          <w:tab w:val="left" w:pos="851"/>
        </w:tabs>
        <w:spacing w:before="120" w:after="120"/>
        <w:outlineLvl w:val="6"/>
      </w:pPr>
      <w:r w:rsidRPr="00D7791F">
        <w:t xml:space="preserve">(3) Okamžikem nabytí právní moci rozhodnutí České národní banky o odnětí povolení vstupuje tuzemská pojišťovna nebo tuzemská zajišťovna do likvidace, s výjimkou případů uvedených v § 118 odst. 1. To se nepoužije v případě odnětí povolení podle odstavce 1 písm. h), jestliže se jedná o přeměnu tuzemské pojišťovny nebo tuzemské zajišťovny podle zákona upravujícího přeměny obchodních společností a družstev. </w:t>
      </w:r>
    </w:p>
    <w:p w14:paraId="5F7CAC80" w14:textId="77777777" w:rsidR="00D8555D" w:rsidRPr="00C44A12" w:rsidRDefault="00D8555D" w:rsidP="00607B4B">
      <w:pPr>
        <w:tabs>
          <w:tab w:val="left" w:pos="782"/>
          <w:tab w:val="left" w:pos="851"/>
        </w:tabs>
        <w:spacing w:before="120" w:after="120"/>
        <w:outlineLvl w:val="6"/>
      </w:pPr>
      <w:r>
        <w:t>(4)</w:t>
      </w:r>
      <w:r>
        <w:tab/>
      </w:r>
      <w:r w:rsidRPr="00D7791F">
        <w:t xml:space="preserve">Tuzemská pojišťovna nebo tuzemská zajišťovna, které bylo odňato povolení k provozování pojišťovací nebo zajišťovací činnosti, se i nadále řídí tímto zákonem v rozsahu, v jakém se vztahuje k provozování pojišťovací a zajišťovací činnosti, do vypořádání závazků z jí provozované pojišťovací a zajišťovací činnosti. Tato pojišťovna však nemůže uzavírat pojistné smlouvy, smlouvy o zprostředkování pojištění, prodlužovat pojistné smlouvy již uzavřené nebo zvyšovat pojistné částky nebo limity pojistného plnění. Tuzemská pojišťovna nebo tuzemská zajišťovna, které bylo odňato povolení k provozování zajišťovací činnosti, nemůže přebírat do zajištění nová pojistná nebo zajistná rizika ani prodlužovat již uzavřené zajišťovací smlouvy, kterými převzala do zajištění tato rizika, nebo zvyšovat u těchto smluv svůj podíl na krytí takových rizik. Tuzemská pojišťovna nebo tuzemská zajišťovna může uzavírat zajišťovací smlouvy pouze pro krytí pojistných nebo zajistných rizik, která na sebe převzala z provozovaného pojištění nebo zajištění přede dnem, ke kterému jí bylo odňato povolení k provozování této činnosti. </w:t>
      </w:r>
    </w:p>
    <w:p w14:paraId="4CF29E0A" w14:textId="77777777" w:rsidR="00D8555D" w:rsidRDefault="00D8555D" w:rsidP="00D8555D">
      <w:pPr>
        <w:pStyle w:val="Paragraf"/>
        <w:spacing w:after="120"/>
      </w:pPr>
      <w:r>
        <w:t>***</w:t>
      </w:r>
    </w:p>
    <w:p w14:paraId="12A5C2EC" w14:textId="77777777" w:rsidR="00D8555D" w:rsidRDefault="00D8555D" w:rsidP="00D8555D">
      <w:pPr>
        <w:pStyle w:val="Paragraf"/>
        <w:spacing w:after="120"/>
      </w:pPr>
      <w:r w:rsidRPr="00BB6614">
        <w:t>§</w:t>
      </w:r>
      <w:r>
        <w:t xml:space="preserve"> </w:t>
      </w:r>
      <w:r w:rsidRPr="00BB6614">
        <w:t>120</w:t>
      </w:r>
      <w:r>
        <w:t xml:space="preserve"> </w:t>
      </w:r>
    </w:p>
    <w:p w14:paraId="7C3390AD" w14:textId="77777777" w:rsidR="00D8555D" w:rsidRDefault="00D8555D" w:rsidP="00D8555D">
      <w:pPr>
        <w:pStyle w:val="Nadpisparagrafu"/>
        <w:numPr>
          <w:ilvl w:val="0"/>
          <w:numId w:val="1"/>
        </w:numPr>
        <w:spacing w:after="120"/>
      </w:pPr>
      <w:r>
        <w:t>Přestupky právnických a podnikajících fyzických osob</w:t>
      </w:r>
    </w:p>
    <w:p w14:paraId="61423ED9" w14:textId="5F971F81" w:rsidR="00D8555D" w:rsidRDefault="00D8555D" w:rsidP="00D8555D">
      <w:pPr>
        <w:pStyle w:val="PZTextodstavce"/>
        <w:spacing w:before="240"/>
      </w:pPr>
      <w:r w:rsidRPr="00BB6614">
        <w:t>(1</w:t>
      </w:r>
      <w:r>
        <w:t>)</w:t>
      </w:r>
      <w:r>
        <w:tab/>
      </w:r>
      <w:r w:rsidRPr="00BB6614">
        <w:t>Právnická</w:t>
      </w:r>
      <w:r>
        <w:t xml:space="preserve"> </w:t>
      </w:r>
      <w:r w:rsidRPr="00BB6614">
        <w:t>osoba</w:t>
      </w:r>
      <w:r>
        <w:t xml:space="preserve"> </w:t>
      </w:r>
      <w:r w:rsidRPr="00BB6614">
        <w:t>nebo</w:t>
      </w:r>
      <w:r>
        <w:t xml:space="preserve"> </w:t>
      </w:r>
      <w:r w:rsidRPr="00BB6614">
        <w:t>podnikající</w:t>
      </w:r>
      <w:r>
        <w:t xml:space="preserve"> </w:t>
      </w:r>
      <w:r w:rsidRPr="00BB6614">
        <w:t>fyzická</w:t>
      </w:r>
      <w:r>
        <w:t xml:space="preserve"> </w:t>
      </w:r>
      <w:r w:rsidRPr="00BB6614">
        <w:t>osoba</w:t>
      </w:r>
      <w:r>
        <w:t xml:space="preserve"> </w:t>
      </w:r>
      <w:r w:rsidRPr="00BB6614">
        <w:t>se</w:t>
      </w:r>
      <w:r>
        <w:t xml:space="preserve"> </w:t>
      </w:r>
      <w:r w:rsidRPr="00BB6614">
        <w:t>dopustí</w:t>
      </w:r>
      <w:r>
        <w:t xml:space="preserve"> </w:t>
      </w:r>
      <w:r w:rsidRPr="00BB6614">
        <w:t>přestupku</w:t>
      </w:r>
      <w:r>
        <w:t xml:space="preserve"> </w:t>
      </w:r>
      <w:r w:rsidRPr="00BB6614">
        <w:t>tím,</w:t>
      </w:r>
      <w:r>
        <w:t xml:space="preserve"> </w:t>
      </w:r>
      <w:r w:rsidRPr="00BB6614">
        <w:t>že</w:t>
      </w:r>
    </w:p>
    <w:p w14:paraId="4571EA5E" w14:textId="77777777" w:rsidR="00D8555D" w:rsidRDefault="00D8555D" w:rsidP="00D8555D">
      <w:pPr>
        <w:pStyle w:val="PZTextpsmene"/>
        <w:spacing w:before="0"/>
      </w:pPr>
      <w:r w:rsidRPr="00BB6614">
        <w:t>a</w:t>
      </w:r>
      <w:r>
        <w:t>)</w:t>
      </w:r>
      <w:r>
        <w:tab/>
      </w:r>
      <w:r w:rsidRPr="00BB6614">
        <w:t>v</w:t>
      </w:r>
      <w:r>
        <w:t xml:space="preserve"> </w:t>
      </w:r>
      <w:r w:rsidRPr="00BB6614">
        <w:t>žádosti</w:t>
      </w:r>
      <w:r>
        <w:t xml:space="preserve"> </w:t>
      </w:r>
      <w:r w:rsidRPr="00BB6614">
        <w:t>podle</w:t>
      </w:r>
      <w:r>
        <w:t xml:space="preserve"> </w:t>
      </w:r>
      <w:r w:rsidRPr="00BB6614">
        <w:t>§</w:t>
      </w:r>
      <w:r>
        <w:t xml:space="preserve"> </w:t>
      </w:r>
      <w:r w:rsidRPr="00BB6614">
        <w:t>13</w:t>
      </w:r>
      <w:r>
        <w:t xml:space="preserve"> </w:t>
      </w:r>
      <w:r w:rsidRPr="00BB6614">
        <w:t>odst.</w:t>
      </w:r>
      <w:r>
        <w:t xml:space="preserve"> </w:t>
      </w:r>
      <w:r w:rsidRPr="00BB6614">
        <w:t>5,</w:t>
      </w:r>
      <w:r>
        <w:t xml:space="preserve"> </w:t>
      </w:r>
      <w:r w:rsidRPr="00BB6614">
        <w:t>§</w:t>
      </w:r>
      <w:r>
        <w:t xml:space="preserve"> </w:t>
      </w:r>
      <w:r w:rsidRPr="00BB6614">
        <w:t>19</w:t>
      </w:r>
      <w:r>
        <w:t xml:space="preserve"> </w:t>
      </w:r>
      <w:r w:rsidRPr="00BB6614">
        <w:t>odst.</w:t>
      </w:r>
      <w:r>
        <w:t xml:space="preserve"> </w:t>
      </w:r>
      <w:r w:rsidRPr="00BB6614">
        <w:t>1,</w:t>
      </w:r>
      <w:r>
        <w:t xml:space="preserve"> </w:t>
      </w:r>
      <w:r w:rsidRPr="00BB6614">
        <w:t>§</w:t>
      </w:r>
      <w:r>
        <w:t xml:space="preserve"> </w:t>
      </w:r>
      <w:r w:rsidRPr="00BB6614">
        <w:t>32</w:t>
      </w:r>
      <w:r>
        <w:t xml:space="preserve"> </w:t>
      </w:r>
      <w:r w:rsidRPr="00BB6614">
        <w:t>odst.</w:t>
      </w:r>
      <w:r>
        <w:t xml:space="preserve"> </w:t>
      </w:r>
      <w:r w:rsidRPr="00BB6614">
        <w:t>4,</w:t>
      </w:r>
      <w:r>
        <w:t xml:space="preserve"> </w:t>
      </w:r>
      <w:r w:rsidRPr="00BB6614">
        <w:t>§</w:t>
      </w:r>
      <w:r>
        <w:t xml:space="preserve"> </w:t>
      </w:r>
      <w:r w:rsidRPr="00BB6614">
        <w:t>34a</w:t>
      </w:r>
      <w:r>
        <w:t xml:space="preserve"> </w:t>
      </w:r>
      <w:r w:rsidRPr="00BB6614">
        <w:t>odst.</w:t>
      </w:r>
      <w:r>
        <w:t xml:space="preserve"> </w:t>
      </w:r>
      <w:r w:rsidRPr="00BB6614">
        <w:t>2,</w:t>
      </w:r>
      <w:r>
        <w:t xml:space="preserve"> </w:t>
      </w:r>
      <w:r w:rsidRPr="00BB6614">
        <w:t>§</w:t>
      </w:r>
      <w:r>
        <w:t xml:space="preserve"> </w:t>
      </w:r>
      <w:r w:rsidRPr="00BB6614">
        <w:t>35</w:t>
      </w:r>
      <w:r>
        <w:t xml:space="preserve"> </w:t>
      </w:r>
      <w:r w:rsidRPr="00BB6614">
        <w:t>odst.</w:t>
      </w:r>
      <w:r>
        <w:t xml:space="preserve"> </w:t>
      </w:r>
      <w:r w:rsidRPr="00BB6614">
        <w:t>2,</w:t>
      </w:r>
      <w:r>
        <w:t xml:space="preserve"> </w:t>
      </w:r>
      <w:r w:rsidRPr="00BB6614">
        <w:t>§</w:t>
      </w:r>
      <w:r>
        <w:t xml:space="preserve"> </w:t>
      </w:r>
      <w:r w:rsidRPr="00BB6614">
        <w:t>36</w:t>
      </w:r>
      <w:r>
        <w:t xml:space="preserve"> </w:t>
      </w:r>
      <w:r w:rsidRPr="00BB6614">
        <w:t>odst.</w:t>
      </w:r>
      <w:r>
        <w:t xml:space="preserve"> </w:t>
      </w:r>
      <w:r w:rsidRPr="00BB6614">
        <w:t>5,</w:t>
      </w:r>
      <w:r>
        <w:t xml:space="preserve"> </w:t>
      </w:r>
      <w:r w:rsidRPr="00BB6614">
        <w:t>§</w:t>
      </w:r>
      <w:r>
        <w:t xml:space="preserve"> </w:t>
      </w:r>
      <w:r w:rsidRPr="00BB6614">
        <w:t>40</w:t>
      </w:r>
      <w:r>
        <w:t xml:space="preserve"> </w:t>
      </w:r>
      <w:r w:rsidRPr="00BB6614">
        <w:t>odst.</w:t>
      </w:r>
      <w:r>
        <w:t xml:space="preserve"> </w:t>
      </w:r>
      <w:r w:rsidRPr="00BB6614">
        <w:t>1,</w:t>
      </w:r>
      <w:r>
        <w:t xml:space="preserve"> </w:t>
      </w:r>
      <w:r w:rsidRPr="00BB6614">
        <w:t>§</w:t>
      </w:r>
      <w:r>
        <w:t xml:space="preserve"> </w:t>
      </w:r>
      <w:r w:rsidRPr="00BB6614">
        <w:t>47</w:t>
      </w:r>
      <w:r>
        <w:t xml:space="preserve"> </w:t>
      </w:r>
      <w:r w:rsidRPr="00BB6614">
        <w:t>odst.</w:t>
      </w:r>
      <w:r>
        <w:t xml:space="preserve"> </w:t>
      </w:r>
      <w:r w:rsidRPr="00BB6614">
        <w:t>2,</w:t>
      </w:r>
      <w:r>
        <w:t xml:space="preserve"> </w:t>
      </w:r>
      <w:r w:rsidRPr="00BB6614">
        <w:t>§</w:t>
      </w:r>
      <w:r>
        <w:t xml:space="preserve"> </w:t>
      </w:r>
      <w:r w:rsidRPr="00BB6614">
        <w:t>48</w:t>
      </w:r>
      <w:r>
        <w:t xml:space="preserve"> </w:t>
      </w:r>
      <w:r w:rsidRPr="00BB6614">
        <w:t>odst.</w:t>
      </w:r>
      <w:r>
        <w:t xml:space="preserve"> </w:t>
      </w:r>
      <w:r w:rsidRPr="00BB6614">
        <w:t>4,</w:t>
      </w:r>
      <w:r>
        <w:t xml:space="preserve"> </w:t>
      </w:r>
      <w:r w:rsidRPr="00BB6614">
        <w:t>§</w:t>
      </w:r>
      <w:r>
        <w:t xml:space="preserve"> </w:t>
      </w:r>
      <w:r w:rsidRPr="00BB6614">
        <w:t>49</w:t>
      </w:r>
      <w:r>
        <w:t xml:space="preserve"> </w:t>
      </w:r>
      <w:r w:rsidRPr="00BB6614">
        <w:t>odst.</w:t>
      </w:r>
      <w:r>
        <w:t xml:space="preserve"> </w:t>
      </w:r>
      <w:r w:rsidRPr="00BB6614">
        <w:t>1</w:t>
      </w:r>
      <w:r>
        <w:t xml:space="preserve"> </w:t>
      </w:r>
      <w:r w:rsidRPr="00BB6614">
        <w:t>až</w:t>
      </w:r>
      <w:r>
        <w:t xml:space="preserve"> </w:t>
      </w:r>
      <w:r w:rsidRPr="00BB6614">
        <w:t>3,</w:t>
      </w:r>
      <w:r>
        <w:t xml:space="preserve"> </w:t>
      </w:r>
      <w:r w:rsidRPr="00BB6614">
        <w:t>§</w:t>
      </w:r>
      <w:r>
        <w:t xml:space="preserve"> </w:t>
      </w:r>
      <w:r w:rsidRPr="00BB6614">
        <w:t>50a</w:t>
      </w:r>
      <w:r>
        <w:t xml:space="preserve"> </w:t>
      </w:r>
      <w:r w:rsidRPr="00BB6614">
        <w:t>odst.</w:t>
      </w:r>
      <w:r>
        <w:t xml:space="preserve"> </w:t>
      </w:r>
      <w:r w:rsidRPr="00BB6614">
        <w:t>2,</w:t>
      </w:r>
      <w:r>
        <w:t xml:space="preserve"> </w:t>
      </w:r>
      <w:r w:rsidRPr="00BB6614">
        <w:t>§</w:t>
      </w:r>
      <w:r>
        <w:t xml:space="preserve"> </w:t>
      </w:r>
      <w:r w:rsidRPr="00BB6614">
        <w:t>54b</w:t>
      </w:r>
      <w:r>
        <w:t xml:space="preserve"> </w:t>
      </w:r>
      <w:r w:rsidRPr="00BB6614">
        <w:t>odst.</w:t>
      </w:r>
      <w:r>
        <w:t xml:space="preserve"> </w:t>
      </w:r>
      <w:r w:rsidRPr="00BB6614">
        <w:t>1,</w:t>
      </w:r>
      <w:r>
        <w:t xml:space="preserve"> </w:t>
      </w:r>
      <w:r w:rsidRPr="00BB6614">
        <w:t>§</w:t>
      </w:r>
      <w:r>
        <w:t xml:space="preserve"> </w:t>
      </w:r>
      <w:r w:rsidRPr="00BB6614">
        <w:t>64</w:t>
      </w:r>
      <w:r>
        <w:t xml:space="preserve"> </w:t>
      </w:r>
      <w:r w:rsidRPr="00BB6614">
        <w:t>odst.</w:t>
      </w:r>
      <w:r>
        <w:t xml:space="preserve"> </w:t>
      </w:r>
      <w:r w:rsidRPr="00BB6614">
        <w:t>1,</w:t>
      </w:r>
      <w:r>
        <w:t xml:space="preserve"> </w:t>
      </w:r>
      <w:r w:rsidRPr="00BB6614">
        <w:t>§</w:t>
      </w:r>
      <w:r>
        <w:t xml:space="preserve"> </w:t>
      </w:r>
      <w:r w:rsidRPr="00BB6614">
        <w:t>69</w:t>
      </w:r>
      <w:r>
        <w:t xml:space="preserve"> </w:t>
      </w:r>
      <w:r w:rsidRPr="00BB6614">
        <w:t>odst.</w:t>
      </w:r>
      <w:r>
        <w:t xml:space="preserve"> </w:t>
      </w:r>
      <w:r w:rsidRPr="00BB6614">
        <w:t>2,</w:t>
      </w:r>
      <w:r>
        <w:t xml:space="preserve"> </w:t>
      </w:r>
      <w:r w:rsidRPr="00BB6614">
        <w:t>§</w:t>
      </w:r>
      <w:r>
        <w:t xml:space="preserve"> </w:t>
      </w:r>
      <w:r w:rsidRPr="00BB6614">
        <w:t>77</w:t>
      </w:r>
      <w:r>
        <w:t xml:space="preserve"> </w:t>
      </w:r>
      <w:r w:rsidRPr="00BB6614">
        <w:t>odst.</w:t>
      </w:r>
      <w:r>
        <w:t xml:space="preserve"> </w:t>
      </w:r>
      <w:r w:rsidRPr="00BB6614">
        <w:t>4,</w:t>
      </w:r>
      <w:r>
        <w:t xml:space="preserve"> </w:t>
      </w:r>
      <w:r w:rsidRPr="00BB6614">
        <w:t>§</w:t>
      </w:r>
      <w:r>
        <w:t xml:space="preserve"> </w:t>
      </w:r>
      <w:r w:rsidRPr="00BB6614">
        <w:t>90a</w:t>
      </w:r>
      <w:r>
        <w:t xml:space="preserve"> </w:t>
      </w:r>
      <w:r w:rsidRPr="00BB6614">
        <w:t>odst.</w:t>
      </w:r>
      <w:r>
        <w:t xml:space="preserve"> </w:t>
      </w:r>
      <w:r w:rsidRPr="00BB6614">
        <w:t>1,</w:t>
      </w:r>
      <w:r>
        <w:t xml:space="preserve"> </w:t>
      </w:r>
      <w:r w:rsidRPr="00BB6614">
        <w:t>§</w:t>
      </w:r>
      <w:r>
        <w:t xml:space="preserve"> </w:t>
      </w:r>
      <w:r w:rsidRPr="00BB6614">
        <w:t>91a</w:t>
      </w:r>
      <w:r>
        <w:t xml:space="preserve"> </w:t>
      </w:r>
      <w:r w:rsidRPr="00BB6614">
        <w:t>odst.</w:t>
      </w:r>
      <w:r>
        <w:t xml:space="preserve"> </w:t>
      </w:r>
      <w:r w:rsidRPr="00BB6614">
        <w:t>2,</w:t>
      </w:r>
      <w:r>
        <w:t xml:space="preserve"> </w:t>
      </w:r>
      <w:r w:rsidRPr="00BB6614">
        <w:t>§</w:t>
      </w:r>
      <w:r>
        <w:t xml:space="preserve"> </w:t>
      </w:r>
      <w:r w:rsidRPr="00BB6614">
        <w:t>92c</w:t>
      </w:r>
      <w:r>
        <w:t xml:space="preserve"> </w:t>
      </w:r>
      <w:r w:rsidRPr="00BB6614">
        <w:t>odst.</w:t>
      </w:r>
      <w:r>
        <w:t xml:space="preserve"> </w:t>
      </w:r>
      <w:r w:rsidRPr="00BB6614">
        <w:t>6,</w:t>
      </w:r>
      <w:r>
        <w:t xml:space="preserve"> </w:t>
      </w:r>
      <w:r w:rsidRPr="00BB6614">
        <w:t>§</w:t>
      </w:r>
      <w:r>
        <w:t xml:space="preserve"> </w:t>
      </w:r>
      <w:r w:rsidRPr="00BB6614">
        <w:t>92n</w:t>
      </w:r>
      <w:r>
        <w:t xml:space="preserve"> </w:t>
      </w:r>
      <w:r w:rsidRPr="00BB6614">
        <w:t>odst.</w:t>
      </w:r>
      <w:r>
        <w:t xml:space="preserve"> </w:t>
      </w:r>
      <w:r w:rsidRPr="00BB6614">
        <w:t>1,</w:t>
      </w:r>
      <w:r>
        <w:t xml:space="preserve"> </w:t>
      </w:r>
      <w:r w:rsidRPr="00BB6614">
        <w:t>§</w:t>
      </w:r>
      <w:r>
        <w:t xml:space="preserve"> </w:t>
      </w:r>
      <w:r w:rsidRPr="00BB6614">
        <w:t>103</w:t>
      </w:r>
      <w:r>
        <w:t xml:space="preserve"> </w:t>
      </w:r>
      <w:r w:rsidRPr="00BB6614">
        <w:t>odst.</w:t>
      </w:r>
      <w:r>
        <w:t xml:space="preserve"> </w:t>
      </w:r>
      <w:r w:rsidRPr="00BB6614">
        <w:t>3,</w:t>
      </w:r>
      <w:r>
        <w:t xml:space="preserve"> </w:t>
      </w:r>
      <w:r w:rsidRPr="00BB6614">
        <w:t>§</w:t>
      </w:r>
      <w:r>
        <w:t xml:space="preserve"> </w:t>
      </w:r>
      <w:r w:rsidRPr="00BB6614">
        <w:t>105</w:t>
      </w:r>
      <w:r>
        <w:t xml:space="preserve"> </w:t>
      </w:r>
      <w:r w:rsidRPr="00BB6614">
        <w:t>odst.</w:t>
      </w:r>
      <w:r>
        <w:t xml:space="preserve"> </w:t>
      </w:r>
      <w:r w:rsidRPr="00BB6614">
        <w:t>1,</w:t>
      </w:r>
      <w:r>
        <w:t xml:space="preserve"> </w:t>
      </w:r>
      <w:r w:rsidRPr="00BB6614">
        <w:t>§</w:t>
      </w:r>
      <w:r>
        <w:t xml:space="preserve"> </w:t>
      </w:r>
      <w:r w:rsidRPr="00BB6614">
        <w:t>105a</w:t>
      </w:r>
      <w:r>
        <w:t xml:space="preserve"> </w:t>
      </w:r>
      <w:r w:rsidRPr="00BB6614">
        <w:t>odst.</w:t>
      </w:r>
      <w:r>
        <w:t xml:space="preserve"> </w:t>
      </w:r>
      <w:r w:rsidRPr="00BB6614">
        <w:t>1,</w:t>
      </w:r>
      <w:r>
        <w:t xml:space="preserve"> </w:t>
      </w:r>
      <w:r w:rsidRPr="00BB6614">
        <w:t>§</w:t>
      </w:r>
      <w:r>
        <w:t xml:space="preserve"> </w:t>
      </w:r>
      <w:r w:rsidRPr="00BB6614">
        <w:t>106</w:t>
      </w:r>
      <w:r>
        <w:t xml:space="preserve"> </w:t>
      </w:r>
      <w:r w:rsidRPr="00BB6614">
        <w:t>odst.</w:t>
      </w:r>
      <w:r>
        <w:t xml:space="preserve"> </w:t>
      </w:r>
      <w:r w:rsidRPr="00BB6614">
        <w:t>3,</w:t>
      </w:r>
      <w:r>
        <w:t xml:space="preserve"> </w:t>
      </w:r>
      <w:r w:rsidRPr="00BB6614">
        <w:t>§</w:t>
      </w:r>
      <w:r>
        <w:t xml:space="preserve"> </w:t>
      </w:r>
      <w:r w:rsidRPr="00BB6614">
        <w:t>108</w:t>
      </w:r>
      <w:r>
        <w:t xml:space="preserve"> </w:t>
      </w:r>
      <w:r w:rsidRPr="00BB6614">
        <w:t>odst.</w:t>
      </w:r>
      <w:r>
        <w:t xml:space="preserve"> </w:t>
      </w:r>
      <w:r w:rsidRPr="00BB6614">
        <w:t>1,</w:t>
      </w:r>
      <w:r>
        <w:t xml:space="preserve"> </w:t>
      </w:r>
      <w:r w:rsidRPr="00BB6614">
        <w:t>§</w:t>
      </w:r>
      <w:r>
        <w:t xml:space="preserve"> </w:t>
      </w:r>
      <w:r w:rsidRPr="00BB6614">
        <w:t>108a</w:t>
      </w:r>
      <w:r>
        <w:t xml:space="preserve"> </w:t>
      </w:r>
      <w:r w:rsidRPr="00BB6614">
        <w:t>odst.</w:t>
      </w:r>
      <w:r>
        <w:t xml:space="preserve"> </w:t>
      </w:r>
      <w:r w:rsidRPr="00BB6614">
        <w:t>1</w:t>
      </w:r>
      <w:r>
        <w:t xml:space="preserve"> </w:t>
      </w:r>
      <w:r w:rsidRPr="00BB6614">
        <w:t>nebo</w:t>
      </w:r>
      <w:r>
        <w:t xml:space="preserve"> </w:t>
      </w:r>
      <w:r w:rsidRPr="00BB6614">
        <w:t>§</w:t>
      </w:r>
      <w:r>
        <w:t xml:space="preserve"> </w:t>
      </w:r>
      <w:r w:rsidRPr="00BB6614">
        <w:t>122</w:t>
      </w:r>
      <w:r>
        <w:t xml:space="preserve"> </w:t>
      </w:r>
      <w:r w:rsidRPr="00BB6614">
        <w:t>odst.</w:t>
      </w:r>
      <w:r>
        <w:t xml:space="preserve"> </w:t>
      </w:r>
      <w:r w:rsidRPr="00BB6614">
        <w:t>1</w:t>
      </w:r>
      <w:r>
        <w:t xml:space="preserve"> </w:t>
      </w:r>
      <w:r w:rsidRPr="00BB6614">
        <w:t>uvede</w:t>
      </w:r>
      <w:r>
        <w:t xml:space="preserve"> </w:t>
      </w:r>
      <w:r w:rsidRPr="00BB6614">
        <w:t>nepravdivý</w:t>
      </w:r>
      <w:r>
        <w:t xml:space="preserve"> </w:t>
      </w:r>
      <w:r w:rsidRPr="00BB6614">
        <w:t>údaj,</w:t>
      </w:r>
    </w:p>
    <w:p w14:paraId="3E38E254" w14:textId="77777777" w:rsidR="00D8555D" w:rsidRDefault="00D8555D" w:rsidP="00D8555D">
      <w:pPr>
        <w:pStyle w:val="PZTextpsmene"/>
        <w:spacing w:before="0"/>
      </w:pPr>
      <w:r w:rsidRPr="00BB6614">
        <w:t>b</w:t>
      </w:r>
      <w:r>
        <w:t>)</w:t>
      </w:r>
      <w:r>
        <w:tab/>
      </w:r>
      <w:r w:rsidRPr="00BB6614">
        <w:t>jako</w:t>
      </w:r>
      <w:r>
        <w:t xml:space="preserve"> </w:t>
      </w:r>
      <w:r w:rsidRPr="00BB6614">
        <w:t>osoba,</w:t>
      </w:r>
      <w:r>
        <w:t xml:space="preserve"> </w:t>
      </w:r>
      <w:r w:rsidRPr="00BB6614">
        <w:t>která</w:t>
      </w:r>
      <w:r>
        <w:t xml:space="preserve"> </w:t>
      </w:r>
      <w:r w:rsidRPr="00BB6614">
        <w:t>hodlá</w:t>
      </w:r>
      <w:r>
        <w:t xml:space="preserve"> </w:t>
      </w:r>
      <w:r w:rsidRPr="00BB6614">
        <w:t>přímo</w:t>
      </w:r>
      <w:r>
        <w:t xml:space="preserve"> </w:t>
      </w:r>
      <w:r w:rsidRPr="00BB6614">
        <w:t>nebo</w:t>
      </w:r>
      <w:r>
        <w:t xml:space="preserve"> </w:t>
      </w:r>
      <w:r w:rsidRPr="00BB6614">
        <w:t>zprostředkovaně</w:t>
      </w:r>
      <w:r>
        <w:t xml:space="preserve"> </w:t>
      </w:r>
      <w:r w:rsidRPr="00BB6614">
        <w:t>nabýt</w:t>
      </w:r>
      <w:r>
        <w:t xml:space="preserve"> </w:t>
      </w:r>
      <w:r w:rsidRPr="00BB6614">
        <w:t>kvalifikovanou</w:t>
      </w:r>
      <w:r>
        <w:t xml:space="preserve"> </w:t>
      </w:r>
      <w:r w:rsidRPr="00BB6614">
        <w:t>účast</w:t>
      </w:r>
      <w:r>
        <w:t xml:space="preserve"> </w:t>
      </w:r>
      <w:r w:rsidRPr="00BB6614">
        <w:t>v</w:t>
      </w:r>
      <w:r>
        <w:t xml:space="preserve"> </w:t>
      </w:r>
      <w:r w:rsidRPr="00BB6614">
        <w:t>tuzemské</w:t>
      </w:r>
      <w:r>
        <w:t xml:space="preserve"> </w:t>
      </w:r>
      <w:r w:rsidRPr="00BB6614">
        <w:t>pojišťovně</w:t>
      </w:r>
      <w:r>
        <w:t xml:space="preserve"> </w:t>
      </w:r>
      <w:r w:rsidRPr="00BB6614">
        <w:t>nebo</w:t>
      </w:r>
      <w:r>
        <w:t xml:space="preserve"> </w:t>
      </w:r>
      <w:r w:rsidRPr="00BB6614">
        <w:t>zajišťovně</w:t>
      </w:r>
      <w:r>
        <w:t xml:space="preserve"> </w:t>
      </w:r>
      <w:r w:rsidRPr="00BB6614">
        <w:t>nebo</w:t>
      </w:r>
      <w:r>
        <w:t xml:space="preserve"> </w:t>
      </w:r>
      <w:r w:rsidRPr="00BB6614">
        <w:t>zvýšit</w:t>
      </w:r>
      <w:r>
        <w:t xml:space="preserve"> </w:t>
      </w:r>
      <w:r w:rsidRPr="00BB6614">
        <w:t>tuto</w:t>
      </w:r>
      <w:r>
        <w:t xml:space="preserve"> </w:t>
      </w:r>
      <w:r w:rsidRPr="00BB6614">
        <w:t>svoji</w:t>
      </w:r>
      <w:r>
        <w:t xml:space="preserve"> </w:t>
      </w:r>
      <w:r w:rsidRPr="00BB6614">
        <w:t>účast</w:t>
      </w:r>
      <w:r>
        <w:t xml:space="preserve"> </w:t>
      </w:r>
      <w:r w:rsidRPr="00BB6614">
        <w:t>tak,</w:t>
      </w:r>
      <w:r>
        <w:t xml:space="preserve"> </w:t>
      </w:r>
      <w:r w:rsidRPr="00BB6614">
        <w:t>že</w:t>
      </w:r>
      <w:r>
        <w:t xml:space="preserve"> </w:t>
      </w:r>
      <w:r w:rsidRPr="00BB6614">
        <w:t>její</w:t>
      </w:r>
      <w:r>
        <w:t xml:space="preserve"> </w:t>
      </w:r>
      <w:r w:rsidRPr="00BB6614">
        <w:t>podíl</w:t>
      </w:r>
      <w:r>
        <w:t xml:space="preserve"> </w:t>
      </w:r>
      <w:r w:rsidRPr="00BB6614">
        <w:t>na</w:t>
      </w:r>
      <w:r>
        <w:t xml:space="preserve"> </w:t>
      </w:r>
      <w:r w:rsidRPr="00BB6614">
        <w:t>základním</w:t>
      </w:r>
      <w:r>
        <w:t xml:space="preserve"> </w:t>
      </w:r>
      <w:r w:rsidRPr="00BB6614">
        <w:t>kapitálu</w:t>
      </w:r>
      <w:r>
        <w:t xml:space="preserve"> </w:t>
      </w:r>
      <w:r w:rsidRPr="00BB6614">
        <w:t>nebo</w:t>
      </w:r>
      <w:r>
        <w:t xml:space="preserve"> </w:t>
      </w:r>
      <w:r w:rsidRPr="00BB6614">
        <w:t>hlasovacích</w:t>
      </w:r>
      <w:r>
        <w:t xml:space="preserve"> </w:t>
      </w:r>
      <w:r w:rsidRPr="00BB6614">
        <w:t>právech</w:t>
      </w:r>
      <w:r>
        <w:t xml:space="preserve"> </w:t>
      </w:r>
      <w:r w:rsidRPr="00BB6614">
        <w:t>dosáhne</w:t>
      </w:r>
      <w:r>
        <w:t xml:space="preserve"> </w:t>
      </w:r>
      <w:r w:rsidRPr="00BB6614">
        <w:t>nebo</w:t>
      </w:r>
      <w:r>
        <w:t xml:space="preserve"> </w:t>
      </w:r>
      <w:r w:rsidRPr="00BB6614">
        <w:t>překročí</w:t>
      </w:r>
      <w:r>
        <w:t xml:space="preserve"> </w:t>
      </w:r>
      <w:r w:rsidRPr="00BB6614">
        <w:t>20</w:t>
      </w:r>
      <w:r>
        <w:t xml:space="preserve"> </w:t>
      </w:r>
      <w:r w:rsidRPr="00BB6614">
        <w:t>%,</w:t>
      </w:r>
      <w:r>
        <w:t xml:space="preserve"> </w:t>
      </w:r>
      <w:r w:rsidRPr="00BB6614">
        <w:t>30</w:t>
      </w:r>
      <w:r>
        <w:t xml:space="preserve"> </w:t>
      </w:r>
      <w:r w:rsidRPr="00BB6614">
        <w:t>%</w:t>
      </w:r>
      <w:r>
        <w:t xml:space="preserve"> </w:t>
      </w:r>
      <w:r w:rsidRPr="00BB6614">
        <w:t>nebo</w:t>
      </w:r>
      <w:r>
        <w:t xml:space="preserve"> </w:t>
      </w:r>
      <w:r w:rsidRPr="00BB6614">
        <w:t>50</w:t>
      </w:r>
      <w:r>
        <w:t xml:space="preserve"> </w:t>
      </w:r>
      <w:r w:rsidRPr="00BB6614">
        <w:t>%,</w:t>
      </w:r>
      <w:r>
        <w:t xml:space="preserve"> </w:t>
      </w:r>
      <w:r w:rsidRPr="00BB6614">
        <w:t>anebo</w:t>
      </w:r>
      <w:r>
        <w:t xml:space="preserve"> </w:t>
      </w:r>
      <w:r w:rsidRPr="00BB6614">
        <w:t>tak,</w:t>
      </w:r>
      <w:r>
        <w:t xml:space="preserve"> </w:t>
      </w:r>
      <w:r w:rsidRPr="00BB6614">
        <w:t>že</w:t>
      </w:r>
      <w:r>
        <w:t xml:space="preserve"> </w:t>
      </w:r>
      <w:r w:rsidRPr="00BB6614">
        <w:t>se</w:t>
      </w:r>
      <w:r>
        <w:t xml:space="preserve"> </w:t>
      </w:r>
      <w:r w:rsidRPr="00BB6614">
        <w:t>tato</w:t>
      </w:r>
      <w:r>
        <w:t xml:space="preserve"> </w:t>
      </w:r>
      <w:r w:rsidRPr="00BB6614">
        <w:t>pojišťovna</w:t>
      </w:r>
      <w:r>
        <w:t xml:space="preserve"> </w:t>
      </w:r>
      <w:r w:rsidRPr="00BB6614">
        <w:t>nebo</w:t>
      </w:r>
      <w:r>
        <w:t xml:space="preserve"> </w:t>
      </w:r>
      <w:r w:rsidRPr="00BB6614">
        <w:t>zajišťovna</w:t>
      </w:r>
      <w:r>
        <w:t xml:space="preserve"> </w:t>
      </w:r>
      <w:r w:rsidRPr="00BB6614">
        <w:t>stane</w:t>
      </w:r>
      <w:r>
        <w:t xml:space="preserve"> </w:t>
      </w:r>
      <w:r w:rsidRPr="00BB6614">
        <w:t>její</w:t>
      </w:r>
      <w:r>
        <w:t xml:space="preserve"> </w:t>
      </w:r>
      <w:r w:rsidRPr="00BB6614">
        <w:t>ovládanou</w:t>
      </w:r>
      <w:r>
        <w:t xml:space="preserve"> </w:t>
      </w:r>
      <w:r w:rsidRPr="00BB6614">
        <w:t>osobou,</w:t>
      </w:r>
      <w:r>
        <w:t xml:space="preserve"> </w:t>
      </w:r>
      <w:r w:rsidRPr="00BB6614">
        <w:t>v</w:t>
      </w:r>
      <w:r>
        <w:t xml:space="preserve"> </w:t>
      </w:r>
      <w:r w:rsidRPr="00BB6614">
        <w:t>rozporu</w:t>
      </w:r>
      <w:r>
        <w:t xml:space="preserve"> </w:t>
      </w:r>
      <w:r w:rsidRPr="00BB6614">
        <w:t>s</w:t>
      </w:r>
      <w:r>
        <w:t xml:space="preserve"> </w:t>
      </w:r>
      <w:r w:rsidRPr="00BB6614">
        <w:t>§</w:t>
      </w:r>
      <w:r>
        <w:t xml:space="preserve"> </w:t>
      </w:r>
      <w:r w:rsidRPr="00BB6614">
        <w:t>24</w:t>
      </w:r>
      <w:r>
        <w:t xml:space="preserve"> </w:t>
      </w:r>
      <w:r w:rsidRPr="00BB6614">
        <w:t>odst.</w:t>
      </w:r>
      <w:r>
        <w:t xml:space="preserve"> </w:t>
      </w:r>
      <w:r w:rsidRPr="00BB6614">
        <w:t>1</w:t>
      </w:r>
      <w:r>
        <w:t xml:space="preserve"> </w:t>
      </w:r>
      <w:r w:rsidRPr="00BB6614">
        <w:t>nebo</w:t>
      </w:r>
      <w:r>
        <w:t xml:space="preserve"> </w:t>
      </w:r>
      <w:r w:rsidRPr="00BB6614">
        <w:t>§</w:t>
      </w:r>
      <w:r>
        <w:t xml:space="preserve"> </w:t>
      </w:r>
      <w:r w:rsidRPr="00BB6614">
        <w:t>42</w:t>
      </w:r>
      <w:r>
        <w:t xml:space="preserve"> </w:t>
      </w:r>
      <w:r w:rsidRPr="00BB6614">
        <w:t>odst.</w:t>
      </w:r>
      <w:r>
        <w:t xml:space="preserve"> </w:t>
      </w:r>
      <w:r w:rsidRPr="00BB6614">
        <w:t>1</w:t>
      </w:r>
      <w:r>
        <w:t xml:space="preserve"> </w:t>
      </w:r>
      <w:r w:rsidRPr="00BB6614">
        <w:t>nepodá</w:t>
      </w:r>
      <w:r>
        <w:t xml:space="preserve"> </w:t>
      </w:r>
      <w:r w:rsidRPr="00BB6614">
        <w:t>žádost</w:t>
      </w:r>
      <w:r>
        <w:t xml:space="preserve"> </w:t>
      </w:r>
      <w:r w:rsidRPr="00BB6614">
        <w:t>o</w:t>
      </w:r>
      <w:r>
        <w:t xml:space="preserve"> </w:t>
      </w:r>
      <w:r w:rsidRPr="00BB6614">
        <w:t>předchozí</w:t>
      </w:r>
      <w:r>
        <w:t xml:space="preserve"> </w:t>
      </w:r>
      <w:r w:rsidRPr="00BB6614">
        <w:t>souhlas</w:t>
      </w:r>
      <w:r>
        <w:t xml:space="preserve"> </w:t>
      </w:r>
      <w:r w:rsidRPr="00BB6614">
        <w:t>s</w:t>
      </w:r>
      <w:r>
        <w:t xml:space="preserve"> </w:t>
      </w:r>
      <w:r w:rsidRPr="00BB6614">
        <w:t>nabytím</w:t>
      </w:r>
      <w:r>
        <w:t xml:space="preserve"> </w:t>
      </w:r>
      <w:r w:rsidRPr="00BB6614">
        <w:t>nebo</w:t>
      </w:r>
      <w:r>
        <w:t xml:space="preserve"> </w:t>
      </w:r>
      <w:r w:rsidRPr="00BB6614">
        <w:t>zvýšením</w:t>
      </w:r>
      <w:r>
        <w:t xml:space="preserve"> </w:t>
      </w:r>
      <w:r w:rsidRPr="00BB6614">
        <w:t>této</w:t>
      </w:r>
      <w:r>
        <w:t xml:space="preserve"> </w:t>
      </w:r>
      <w:r w:rsidRPr="00BB6614">
        <w:t>účasti</w:t>
      </w:r>
      <w:r>
        <w:t xml:space="preserve"> </w:t>
      </w:r>
      <w:r w:rsidRPr="00BB6614">
        <w:t>s</w:t>
      </w:r>
      <w:r>
        <w:t xml:space="preserve"> </w:t>
      </w:r>
      <w:r w:rsidRPr="00BB6614">
        <w:t>výjimkou,</w:t>
      </w:r>
      <w:r>
        <w:t xml:space="preserve"> </w:t>
      </w:r>
      <w:r w:rsidRPr="00BB6614">
        <w:t>kdy</w:t>
      </w:r>
      <w:r>
        <w:t xml:space="preserve"> </w:t>
      </w:r>
      <w:r w:rsidRPr="00BB6614">
        <w:t>k</w:t>
      </w:r>
      <w:r>
        <w:t xml:space="preserve"> </w:t>
      </w:r>
      <w:r w:rsidRPr="00BB6614">
        <w:t>nabytí</w:t>
      </w:r>
      <w:r>
        <w:t xml:space="preserve"> </w:t>
      </w:r>
      <w:r w:rsidRPr="00BB6614">
        <w:t>nebo</w:t>
      </w:r>
      <w:r>
        <w:t xml:space="preserve"> </w:t>
      </w:r>
      <w:r w:rsidRPr="00BB6614">
        <w:t>zvýšení</w:t>
      </w:r>
      <w:r>
        <w:t xml:space="preserve"> </w:t>
      </w:r>
      <w:r w:rsidRPr="00BB6614">
        <w:t>této</w:t>
      </w:r>
      <w:r>
        <w:t xml:space="preserve"> </w:t>
      </w:r>
      <w:r w:rsidRPr="00BB6614">
        <w:t>účasti</w:t>
      </w:r>
      <w:r>
        <w:t xml:space="preserve"> </w:t>
      </w:r>
      <w:r w:rsidRPr="00BB6614">
        <w:t>dojde</w:t>
      </w:r>
      <w:r>
        <w:t xml:space="preserve"> </w:t>
      </w:r>
      <w:r w:rsidRPr="00BB6614">
        <w:t>přechodem</w:t>
      </w:r>
      <w:r>
        <w:t xml:space="preserve"> </w:t>
      </w:r>
      <w:r w:rsidRPr="00BB6614">
        <w:t>práva,</w:t>
      </w:r>
      <w:r>
        <w:t xml:space="preserve"> </w:t>
      </w:r>
      <w:r w:rsidRPr="00BB6614">
        <w:t>nebo</w:t>
      </w:r>
      <w:r>
        <w:t xml:space="preserve"> </w:t>
      </w:r>
      <w:r w:rsidRPr="00BB6614">
        <w:t>v</w:t>
      </w:r>
      <w:r>
        <w:t xml:space="preserve"> </w:t>
      </w:r>
      <w:r w:rsidRPr="00BB6614">
        <w:t>žádosti</w:t>
      </w:r>
      <w:r>
        <w:t xml:space="preserve"> </w:t>
      </w:r>
      <w:r w:rsidRPr="00BB6614">
        <w:t>podané</w:t>
      </w:r>
      <w:r>
        <w:t xml:space="preserve"> </w:t>
      </w:r>
      <w:r w:rsidRPr="00BB6614">
        <w:t>České</w:t>
      </w:r>
      <w:r>
        <w:t xml:space="preserve"> </w:t>
      </w:r>
      <w:r w:rsidRPr="00BB6614">
        <w:t>národní</w:t>
      </w:r>
      <w:r>
        <w:t xml:space="preserve"> </w:t>
      </w:r>
      <w:r w:rsidRPr="00BB6614">
        <w:t>bance</w:t>
      </w:r>
      <w:r>
        <w:t xml:space="preserve"> </w:t>
      </w:r>
      <w:r w:rsidRPr="00BB6614">
        <w:t>podle</w:t>
      </w:r>
      <w:r>
        <w:t xml:space="preserve"> </w:t>
      </w:r>
      <w:r w:rsidRPr="00BB6614">
        <w:t>§</w:t>
      </w:r>
      <w:r>
        <w:t xml:space="preserve"> </w:t>
      </w:r>
      <w:r w:rsidRPr="00BB6614">
        <w:t>24</w:t>
      </w:r>
      <w:r>
        <w:t xml:space="preserve"> </w:t>
      </w:r>
      <w:r w:rsidRPr="00BB6614">
        <w:t>odst.</w:t>
      </w:r>
      <w:r>
        <w:t xml:space="preserve"> </w:t>
      </w:r>
      <w:r w:rsidRPr="00BB6614">
        <w:t>3</w:t>
      </w:r>
      <w:r>
        <w:t xml:space="preserve"> </w:t>
      </w:r>
      <w:r w:rsidRPr="00BB6614">
        <w:t>nebo</w:t>
      </w:r>
      <w:r>
        <w:t xml:space="preserve"> </w:t>
      </w:r>
      <w:r w:rsidRPr="00BB6614">
        <w:t>podle</w:t>
      </w:r>
      <w:r>
        <w:t xml:space="preserve"> </w:t>
      </w:r>
      <w:r w:rsidRPr="00BB6614">
        <w:t>§</w:t>
      </w:r>
      <w:r>
        <w:t xml:space="preserve"> </w:t>
      </w:r>
      <w:r w:rsidRPr="00BB6614">
        <w:t>42</w:t>
      </w:r>
      <w:r>
        <w:t xml:space="preserve"> </w:t>
      </w:r>
      <w:r w:rsidRPr="00BB6614">
        <w:t>odst.</w:t>
      </w:r>
      <w:r>
        <w:t xml:space="preserve"> </w:t>
      </w:r>
      <w:r w:rsidRPr="00BB6614">
        <w:t>3</w:t>
      </w:r>
      <w:r>
        <w:t xml:space="preserve"> </w:t>
      </w:r>
      <w:r w:rsidRPr="00BB6614">
        <w:t>uvede</w:t>
      </w:r>
      <w:r>
        <w:t xml:space="preserve"> </w:t>
      </w:r>
      <w:r w:rsidRPr="00BB6614">
        <w:t>nepravdivý</w:t>
      </w:r>
      <w:r>
        <w:t xml:space="preserve"> </w:t>
      </w:r>
      <w:r w:rsidRPr="00BB6614">
        <w:t>údaj,</w:t>
      </w:r>
    </w:p>
    <w:p w14:paraId="274F839D" w14:textId="77777777" w:rsidR="00D8555D" w:rsidRDefault="00D8555D" w:rsidP="00D8555D">
      <w:pPr>
        <w:pStyle w:val="PZTextpsmene"/>
        <w:spacing w:before="0"/>
      </w:pPr>
      <w:r w:rsidRPr="00BB6614">
        <w:t>c</w:t>
      </w:r>
      <w:r>
        <w:t>)</w:t>
      </w:r>
      <w:r>
        <w:tab/>
      </w:r>
      <w:r w:rsidRPr="00BB6614">
        <w:t>jako</w:t>
      </w:r>
      <w:r>
        <w:t xml:space="preserve"> </w:t>
      </w:r>
      <w:r w:rsidRPr="00BB6614">
        <w:t>osoba,</w:t>
      </w:r>
      <w:r>
        <w:t xml:space="preserve"> </w:t>
      </w:r>
      <w:r w:rsidRPr="00BB6614">
        <w:t>která</w:t>
      </w:r>
      <w:r>
        <w:t xml:space="preserve"> </w:t>
      </w:r>
      <w:r w:rsidRPr="00BB6614">
        <w:t>přímo</w:t>
      </w:r>
      <w:r>
        <w:t xml:space="preserve"> </w:t>
      </w:r>
      <w:r w:rsidRPr="00BB6614">
        <w:t>nebo</w:t>
      </w:r>
      <w:r>
        <w:t xml:space="preserve"> </w:t>
      </w:r>
      <w:r w:rsidRPr="00BB6614">
        <w:t>zprostředkovaně</w:t>
      </w:r>
      <w:r>
        <w:t xml:space="preserve"> </w:t>
      </w:r>
      <w:r w:rsidRPr="00BB6614">
        <w:t>sníží</w:t>
      </w:r>
      <w:r>
        <w:t xml:space="preserve"> </w:t>
      </w:r>
      <w:r w:rsidRPr="00BB6614">
        <w:t>nebo</w:t>
      </w:r>
      <w:r>
        <w:t xml:space="preserve"> </w:t>
      </w:r>
      <w:r w:rsidRPr="00BB6614">
        <w:t>pozbude</w:t>
      </w:r>
      <w:r>
        <w:t xml:space="preserve"> </w:t>
      </w:r>
      <w:r w:rsidRPr="00BB6614">
        <w:t>svoji</w:t>
      </w:r>
      <w:r>
        <w:t xml:space="preserve"> </w:t>
      </w:r>
      <w:r w:rsidRPr="00BB6614">
        <w:t>účast</w:t>
      </w:r>
      <w:r>
        <w:t xml:space="preserve"> </w:t>
      </w:r>
      <w:r w:rsidRPr="00BB6614">
        <w:t>v</w:t>
      </w:r>
      <w:r>
        <w:t xml:space="preserve"> </w:t>
      </w:r>
      <w:r w:rsidRPr="00BB6614">
        <w:t>tuzemské</w:t>
      </w:r>
      <w:r>
        <w:t xml:space="preserve"> </w:t>
      </w:r>
      <w:r w:rsidRPr="00BB6614">
        <w:t>pojišťovně</w:t>
      </w:r>
      <w:r>
        <w:t xml:space="preserve"> </w:t>
      </w:r>
      <w:r w:rsidRPr="00BB6614">
        <w:t>nebo</w:t>
      </w:r>
      <w:r>
        <w:t xml:space="preserve"> </w:t>
      </w:r>
      <w:r w:rsidRPr="00BB6614">
        <w:t>v</w:t>
      </w:r>
      <w:r>
        <w:t xml:space="preserve"> </w:t>
      </w:r>
      <w:r w:rsidRPr="00BB6614">
        <w:t>tuzemské</w:t>
      </w:r>
      <w:r>
        <w:t xml:space="preserve"> </w:t>
      </w:r>
      <w:r w:rsidRPr="00BB6614">
        <w:t>zajišťovně,</w:t>
      </w:r>
      <w:r>
        <w:t xml:space="preserve"> </w:t>
      </w:r>
      <w:r w:rsidRPr="00BB6614">
        <w:t>aniž</w:t>
      </w:r>
      <w:r>
        <w:t xml:space="preserve"> </w:t>
      </w:r>
      <w:r w:rsidRPr="00BB6614">
        <w:t>tuto</w:t>
      </w:r>
      <w:r>
        <w:t xml:space="preserve"> </w:t>
      </w:r>
      <w:r w:rsidRPr="00BB6614">
        <w:t>skutečnost,</w:t>
      </w:r>
      <w:r>
        <w:t xml:space="preserve"> </w:t>
      </w:r>
      <w:r w:rsidRPr="00BB6614">
        <w:t>v</w:t>
      </w:r>
      <w:r>
        <w:t xml:space="preserve"> </w:t>
      </w:r>
      <w:r w:rsidRPr="00BB6614">
        <w:t>rozporu</w:t>
      </w:r>
      <w:r>
        <w:t xml:space="preserve"> </w:t>
      </w:r>
      <w:r w:rsidRPr="00BB6614">
        <w:t>s</w:t>
      </w:r>
      <w:r>
        <w:t xml:space="preserve"> </w:t>
      </w:r>
      <w:r w:rsidRPr="00BB6614">
        <w:t>§</w:t>
      </w:r>
      <w:r>
        <w:t xml:space="preserve"> </w:t>
      </w:r>
      <w:r w:rsidRPr="00BB6614">
        <w:t>27</w:t>
      </w:r>
      <w:r>
        <w:t xml:space="preserve"> </w:t>
      </w:r>
      <w:r w:rsidRPr="00BB6614">
        <w:t>odst.</w:t>
      </w:r>
      <w:r>
        <w:t xml:space="preserve"> </w:t>
      </w:r>
      <w:r w:rsidRPr="00BB6614">
        <w:t>1</w:t>
      </w:r>
      <w:r>
        <w:t xml:space="preserve"> </w:t>
      </w:r>
      <w:r w:rsidRPr="00BB6614">
        <w:t>nebo</w:t>
      </w:r>
      <w:r>
        <w:t xml:space="preserve"> </w:t>
      </w:r>
      <w:r w:rsidRPr="00BB6614">
        <w:t>s</w:t>
      </w:r>
      <w:r>
        <w:t xml:space="preserve"> </w:t>
      </w:r>
      <w:r w:rsidRPr="00BB6614">
        <w:t>§</w:t>
      </w:r>
      <w:r>
        <w:t xml:space="preserve"> </w:t>
      </w:r>
      <w:r w:rsidRPr="00BB6614">
        <w:t>45</w:t>
      </w:r>
      <w:r>
        <w:t xml:space="preserve"> </w:t>
      </w:r>
      <w:r w:rsidRPr="00BB6614">
        <w:t>odst.</w:t>
      </w:r>
      <w:r>
        <w:t xml:space="preserve"> </w:t>
      </w:r>
      <w:r w:rsidRPr="00BB6614">
        <w:t>1,</w:t>
      </w:r>
      <w:r>
        <w:t xml:space="preserve"> </w:t>
      </w:r>
      <w:r w:rsidRPr="00BB6614">
        <w:t>oznámí</w:t>
      </w:r>
      <w:r>
        <w:t xml:space="preserve"> </w:t>
      </w:r>
      <w:r w:rsidRPr="00BB6614">
        <w:t>České</w:t>
      </w:r>
      <w:r>
        <w:t xml:space="preserve"> </w:t>
      </w:r>
      <w:r w:rsidRPr="00BB6614">
        <w:t>národní</w:t>
      </w:r>
      <w:r>
        <w:t xml:space="preserve"> </w:t>
      </w:r>
      <w:r w:rsidRPr="00BB6614">
        <w:t>bance,</w:t>
      </w:r>
    </w:p>
    <w:p w14:paraId="3078E25F" w14:textId="77777777" w:rsidR="00D8555D" w:rsidRDefault="00D8555D" w:rsidP="00D8555D">
      <w:pPr>
        <w:pStyle w:val="PZTextpsmene"/>
        <w:spacing w:before="0"/>
      </w:pPr>
      <w:r w:rsidRPr="00BB6614">
        <w:t>d</w:t>
      </w:r>
      <w:r>
        <w:t>)</w:t>
      </w:r>
      <w:r>
        <w:tab/>
      </w:r>
      <w:r w:rsidRPr="00BB6614">
        <w:t>jako</w:t>
      </w:r>
      <w:r>
        <w:t xml:space="preserve"> </w:t>
      </w:r>
      <w:r w:rsidRPr="00BB6614">
        <w:t>osoba,</w:t>
      </w:r>
      <w:r>
        <w:t xml:space="preserve"> </w:t>
      </w:r>
      <w:r w:rsidRPr="00BB6614">
        <w:t>která</w:t>
      </w:r>
      <w:r>
        <w:t xml:space="preserve"> </w:t>
      </w:r>
      <w:r w:rsidRPr="00BB6614">
        <w:t>podle</w:t>
      </w:r>
      <w:r>
        <w:t xml:space="preserve"> </w:t>
      </w:r>
      <w:r w:rsidRPr="00BB6614">
        <w:t>§</w:t>
      </w:r>
      <w:r>
        <w:t xml:space="preserve"> </w:t>
      </w:r>
      <w:r w:rsidRPr="00BB6614">
        <w:t>7a</w:t>
      </w:r>
      <w:r>
        <w:t xml:space="preserve"> </w:t>
      </w:r>
      <w:r w:rsidRPr="00BB6614">
        <w:t>odst.</w:t>
      </w:r>
      <w:r>
        <w:t xml:space="preserve"> </w:t>
      </w:r>
      <w:r w:rsidRPr="00BB6614">
        <w:t>4</w:t>
      </w:r>
      <w:r>
        <w:t xml:space="preserve"> </w:t>
      </w:r>
      <w:r w:rsidRPr="00BB6614">
        <w:t>navrhuje</w:t>
      </w:r>
      <w:r>
        <w:t xml:space="preserve"> </w:t>
      </w:r>
      <w:r w:rsidRPr="00BB6614">
        <w:t>změnu</w:t>
      </w:r>
      <w:r>
        <w:t xml:space="preserve"> </w:t>
      </w:r>
      <w:r w:rsidRPr="00BB6614">
        <w:t>v</w:t>
      </w:r>
      <w:r>
        <w:t xml:space="preserve"> </w:t>
      </w:r>
      <w:r w:rsidRPr="00BB6614">
        <w:t>osobě</w:t>
      </w:r>
      <w:r>
        <w:t xml:space="preserve"> </w:t>
      </w:r>
      <w:r w:rsidRPr="00BB6614">
        <w:t>člena</w:t>
      </w:r>
      <w:r>
        <w:t xml:space="preserve"> </w:t>
      </w:r>
      <w:r w:rsidRPr="00BB6614">
        <w:t>statutárního</w:t>
      </w:r>
      <w:r>
        <w:t xml:space="preserve"> </w:t>
      </w:r>
      <w:r w:rsidRPr="00BB6614">
        <w:t>orgánu</w:t>
      </w:r>
      <w:r>
        <w:t xml:space="preserve"> </w:t>
      </w:r>
      <w:r w:rsidRPr="00BB6614">
        <w:t>tuzemské</w:t>
      </w:r>
      <w:r>
        <w:t xml:space="preserve"> </w:t>
      </w:r>
      <w:r w:rsidRPr="00BB6614">
        <w:t>pojišťovny</w:t>
      </w:r>
      <w:r>
        <w:t xml:space="preserve"> </w:t>
      </w:r>
      <w:r w:rsidRPr="00BB6614">
        <w:t>nebo</w:t>
      </w:r>
      <w:r>
        <w:t xml:space="preserve"> </w:t>
      </w:r>
      <w:r w:rsidRPr="00BB6614">
        <w:t>tuzemské</w:t>
      </w:r>
      <w:r>
        <w:t xml:space="preserve"> </w:t>
      </w:r>
      <w:r w:rsidRPr="00BB6614">
        <w:t>zajišťovny,</w:t>
      </w:r>
      <w:r>
        <w:t xml:space="preserve"> </w:t>
      </w:r>
      <w:r w:rsidRPr="00BB6614">
        <w:t>uvede</w:t>
      </w:r>
      <w:r>
        <w:t xml:space="preserve"> </w:t>
      </w:r>
      <w:r w:rsidRPr="00BB6614">
        <w:t>nepravdivý</w:t>
      </w:r>
      <w:r>
        <w:t xml:space="preserve"> </w:t>
      </w:r>
      <w:r w:rsidRPr="00BB6614">
        <w:t>údaj</w:t>
      </w:r>
      <w:r>
        <w:t xml:space="preserve"> </w:t>
      </w:r>
      <w:r w:rsidRPr="00BB6614">
        <w:t>nebo</w:t>
      </w:r>
      <w:r>
        <w:t xml:space="preserve"> </w:t>
      </w:r>
      <w:r w:rsidRPr="00BB6614">
        <w:t>zatají</w:t>
      </w:r>
      <w:r>
        <w:t xml:space="preserve"> </w:t>
      </w:r>
      <w:r w:rsidRPr="00BB6614">
        <w:t>některou</w:t>
      </w:r>
      <w:r>
        <w:t xml:space="preserve"> </w:t>
      </w:r>
      <w:r w:rsidRPr="00BB6614">
        <w:t>skutečnost</w:t>
      </w:r>
      <w:r>
        <w:t xml:space="preserve"> </w:t>
      </w:r>
      <w:r w:rsidRPr="00BB6614">
        <w:t>orgánu</w:t>
      </w:r>
      <w:r>
        <w:t xml:space="preserve"> </w:t>
      </w:r>
      <w:r w:rsidRPr="00BB6614">
        <w:t>pojišťovny</w:t>
      </w:r>
      <w:r>
        <w:t xml:space="preserve"> </w:t>
      </w:r>
      <w:r w:rsidRPr="00BB6614">
        <w:t>nebo</w:t>
      </w:r>
      <w:r>
        <w:t xml:space="preserve"> </w:t>
      </w:r>
      <w:r w:rsidRPr="00BB6614">
        <w:t>zajišťovny,</w:t>
      </w:r>
      <w:r>
        <w:t xml:space="preserve"> </w:t>
      </w:r>
      <w:r w:rsidRPr="00BB6614">
        <w:t>který</w:t>
      </w:r>
      <w:r>
        <w:t xml:space="preserve"> </w:t>
      </w:r>
      <w:r w:rsidRPr="00BB6614">
        <w:t>o</w:t>
      </w:r>
      <w:r>
        <w:t xml:space="preserve"> </w:t>
      </w:r>
      <w:r w:rsidRPr="00BB6614">
        <w:t>této</w:t>
      </w:r>
      <w:r>
        <w:t xml:space="preserve"> </w:t>
      </w:r>
      <w:r w:rsidRPr="00BB6614">
        <w:t>změně</w:t>
      </w:r>
      <w:r>
        <w:t xml:space="preserve"> </w:t>
      </w:r>
      <w:r w:rsidRPr="00BB6614">
        <w:t>rozhoduje,</w:t>
      </w:r>
    </w:p>
    <w:p w14:paraId="2891232A" w14:textId="77777777" w:rsidR="00D8555D" w:rsidRDefault="00D8555D" w:rsidP="00D8555D">
      <w:pPr>
        <w:pStyle w:val="PZTextpsmene"/>
        <w:spacing w:before="0"/>
      </w:pPr>
      <w:r w:rsidRPr="00BB6614">
        <w:t>e</w:t>
      </w:r>
      <w:r>
        <w:t>)</w:t>
      </w:r>
      <w:r>
        <w:tab/>
      </w:r>
      <w:r w:rsidRPr="00BB6614">
        <w:t>jako</w:t>
      </w:r>
      <w:r>
        <w:t xml:space="preserve"> </w:t>
      </w:r>
      <w:r w:rsidRPr="00BB6614">
        <w:t>osoba</w:t>
      </w:r>
      <w:r>
        <w:t xml:space="preserve"> </w:t>
      </w:r>
      <w:r w:rsidRPr="00BB6614">
        <w:t>činná</w:t>
      </w:r>
      <w:r>
        <w:t xml:space="preserve"> </w:t>
      </w:r>
      <w:r w:rsidRPr="00BB6614">
        <w:t>pro</w:t>
      </w:r>
      <w:r>
        <w:t xml:space="preserve"> </w:t>
      </w:r>
      <w:r w:rsidRPr="00BB6614">
        <w:t>pojišťovnu</w:t>
      </w:r>
      <w:r>
        <w:t xml:space="preserve"> </w:t>
      </w:r>
      <w:r w:rsidRPr="00BB6614">
        <w:t>nebo</w:t>
      </w:r>
      <w:r>
        <w:t xml:space="preserve"> </w:t>
      </w:r>
      <w:r w:rsidRPr="00BB6614">
        <w:t>zajišťovnu</w:t>
      </w:r>
      <w:r>
        <w:t xml:space="preserve"> </w:t>
      </w:r>
      <w:r w:rsidRPr="00BB6614">
        <w:t>postupuje</w:t>
      </w:r>
      <w:r>
        <w:t xml:space="preserve"> </w:t>
      </w:r>
      <w:r w:rsidRPr="00BB6614">
        <w:t>v</w:t>
      </w:r>
      <w:r>
        <w:t xml:space="preserve"> </w:t>
      </w:r>
      <w:r w:rsidRPr="00BB6614">
        <w:t>rozporu</w:t>
      </w:r>
      <w:r>
        <w:t xml:space="preserve"> </w:t>
      </w:r>
      <w:r w:rsidRPr="00BB6614">
        <w:t>s</w:t>
      </w:r>
      <w:r>
        <w:t xml:space="preserve"> </w:t>
      </w:r>
      <w:r w:rsidRPr="00BB6614">
        <w:t>§</w:t>
      </w:r>
      <w:r>
        <w:t xml:space="preserve"> </w:t>
      </w:r>
      <w:r w:rsidRPr="00BB6614">
        <w:t>86</w:t>
      </w:r>
      <w:r>
        <w:t xml:space="preserve"> </w:t>
      </w:r>
      <w:r w:rsidRPr="00BB6614">
        <w:t>odst.</w:t>
      </w:r>
      <w:r>
        <w:t xml:space="preserve"> </w:t>
      </w:r>
      <w:r w:rsidRPr="00BB6614">
        <w:t>6,</w:t>
      </w:r>
    </w:p>
    <w:p w14:paraId="62FED520" w14:textId="77777777" w:rsidR="00D8555D" w:rsidRDefault="00D8555D" w:rsidP="00D8555D">
      <w:pPr>
        <w:pStyle w:val="PZTextpsmene"/>
        <w:spacing w:before="0"/>
      </w:pPr>
      <w:r w:rsidRPr="00BB6614">
        <w:lastRenderedPageBreak/>
        <w:t>f</w:t>
      </w:r>
      <w:r>
        <w:t>)</w:t>
      </w:r>
      <w:r>
        <w:tab/>
      </w:r>
      <w:r w:rsidRPr="00BB6614">
        <w:t>jako</w:t>
      </w:r>
      <w:r>
        <w:t xml:space="preserve"> </w:t>
      </w:r>
      <w:r w:rsidRPr="00BB6614">
        <w:t>osoba</w:t>
      </w:r>
      <w:r>
        <w:t xml:space="preserve"> </w:t>
      </w:r>
      <w:r w:rsidRPr="00BB6614">
        <w:t>náležející</w:t>
      </w:r>
      <w:r>
        <w:t xml:space="preserve"> </w:t>
      </w:r>
      <w:r w:rsidRPr="00BB6614">
        <w:t>ke</w:t>
      </w:r>
      <w:r>
        <w:t xml:space="preserve"> </w:t>
      </w:r>
      <w:r w:rsidRPr="00BB6614">
        <w:t>skupině</w:t>
      </w:r>
      <w:r>
        <w:t xml:space="preserve"> </w:t>
      </w:r>
      <w:r w:rsidRPr="00BB6614">
        <w:t>v</w:t>
      </w:r>
      <w:r>
        <w:t xml:space="preserve"> </w:t>
      </w:r>
      <w:r w:rsidRPr="00BB6614">
        <w:t>rozporu</w:t>
      </w:r>
      <w:r>
        <w:t xml:space="preserve"> </w:t>
      </w:r>
      <w:r w:rsidRPr="00BB6614">
        <w:t>s</w:t>
      </w:r>
      <w:r>
        <w:t xml:space="preserve"> </w:t>
      </w:r>
      <w:r w:rsidRPr="00BB6614">
        <w:t>§</w:t>
      </w:r>
      <w:r>
        <w:t xml:space="preserve"> </w:t>
      </w:r>
      <w:r w:rsidRPr="00BB6614">
        <w:t>92k</w:t>
      </w:r>
      <w:r>
        <w:t xml:space="preserve"> </w:t>
      </w:r>
      <w:r w:rsidRPr="00BB6614">
        <w:t>odst.</w:t>
      </w:r>
      <w:r>
        <w:t xml:space="preserve"> </w:t>
      </w:r>
      <w:r w:rsidRPr="00BB6614">
        <w:t>1</w:t>
      </w:r>
      <w:r>
        <w:t xml:space="preserve"> </w:t>
      </w:r>
      <w:r w:rsidRPr="00BB6614">
        <w:t>a</w:t>
      </w:r>
      <w:r>
        <w:t xml:space="preserve"> </w:t>
      </w:r>
      <w:r w:rsidRPr="00BB6614">
        <w:t>2</w:t>
      </w:r>
      <w:r>
        <w:t xml:space="preserve"> </w:t>
      </w:r>
      <w:r w:rsidRPr="00BB6614">
        <w:t>nesplní</w:t>
      </w:r>
      <w:r>
        <w:t xml:space="preserve"> </w:t>
      </w:r>
      <w:r w:rsidRPr="00BB6614">
        <w:t>povinnost</w:t>
      </w:r>
      <w:r>
        <w:t xml:space="preserve"> </w:t>
      </w:r>
      <w:r w:rsidRPr="00BB6614">
        <w:t>poskytnout</w:t>
      </w:r>
      <w:r>
        <w:t xml:space="preserve"> </w:t>
      </w:r>
      <w:r w:rsidRPr="00BB6614">
        <w:t>tuzemské</w:t>
      </w:r>
      <w:r>
        <w:t xml:space="preserve"> </w:t>
      </w:r>
      <w:r w:rsidRPr="00BB6614">
        <w:t>pojišťovně</w:t>
      </w:r>
      <w:r>
        <w:t xml:space="preserve"> </w:t>
      </w:r>
      <w:r w:rsidRPr="00BB6614">
        <w:t>nebo</w:t>
      </w:r>
      <w:r>
        <w:t xml:space="preserve"> </w:t>
      </w:r>
      <w:r w:rsidRPr="00BB6614">
        <w:t>tuzemské</w:t>
      </w:r>
      <w:r>
        <w:t xml:space="preserve"> </w:t>
      </w:r>
      <w:r w:rsidRPr="00BB6614">
        <w:t>zajišťovně,</w:t>
      </w:r>
      <w:r>
        <w:t xml:space="preserve"> </w:t>
      </w:r>
      <w:r w:rsidRPr="00BB6614">
        <w:t>která</w:t>
      </w:r>
      <w:r>
        <w:t xml:space="preserve"> </w:t>
      </w:r>
      <w:r w:rsidRPr="00BB6614">
        <w:t>podle</w:t>
      </w:r>
      <w:r>
        <w:t xml:space="preserve"> </w:t>
      </w:r>
      <w:r w:rsidRPr="00BB6614">
        <w:t>tohoto</w:t>
      </w:r>
      <w:r>
        <w:t xml:space="preserve"> </w:t>
      </w:r>
      <w:r w:rsidRPr="00BB6614">
        <w:t>zákona</w:t>
      </w:r>
      <w:r>
        <w:t xml:space="preserve"> </w:t>
      </w:r>
      <w:r w:rsidRPr="00BB6614">
        <w:t>podléhá</w:t>
      </w:r>
      <w:r>
        <w:t xml:space="preserve"> </w:t>
      </w:r>
      <w:r w:rsidRPr="00BB6614">
        <w:t>výkonu</w:t>
      </w:r>
      <w:r>
        <w:t xml:space="preserve"> </w:t>
      </w:r>
      <w:r w:rsidRPr="00BB6614">
        <w:t>dohledu</w:t>
      </w:r>
      <w:r>
        <w:t xml:space="preserve"> </w:t>
      </w:r>
      <w:r w:rsidRPr="00BB6614">
        <w:t>nad</w:t>
      </w:r>
      <w:r>
        <w:t xml:space="preserve"> </w:t>
      </w:r>
      <w:r w:rsidRPr="00BB6614">
        <w:t>skupinou,</w:t>
      </w:r>
      <w:r>
        <w:t xml:space="preserve"> </w:t>
      </w:r>
      <w:r w:rsidRPr="00BB6614">
        <w:t>informace</w:t>
      </w:r>
      <w:r>
        <w:t xml:space="preserve"> </w:t>
      </w:r>
      <w:r w:rsidRPr="00BB6614">
        <w:t>nezbytné</w:t>
      </w:r>
      <w:r>
        <w:t xml:space="preserve"> </w:t>
      </w:r>
      <w:r w:rsidRPr="00BB6614">
        <w:t>pro</w:t>
      </w:r>
      <w:r>
        <w:t xml:space="preserve"> </w:t>
      </w:r>
      <w:r w:rsidRPr="00BB6614">
        <w:t>výkon</w:t>
      </w:r>
      <w:r>
        <w:t xml:space="preserve"> </w:t>
      </w:r>
      <w:r w:rsidRPr="00BB6614">
        <w:t>tohoto</w:t>
      </w:r>
      <w:r>
        <w:t xml:space="preserve"> </w:t>
      </w:r>
      <w:r w:rsidRPr="00BB6614">
        <w:t>dohledu,</w:t>
      </w:r>
      <w:r>
        <w:t xml:space="preserve"> </w:t>
      </w:r>
      <w:r w:rsidRPr="00BB6614">
        <w:t>nebo</w:t>
      </w:r>
      <w:r>
        <w:t xml:space="preserve"> </w:t>
      </w:r>
      <w:r w:rsidRPr="00BB6614">
        <w:t>povinnost</w:t>
      </w:r>
      <w:r>
        <w:t xml:space="preserve"> </w:t>
      </w:r>
      <w:r w:rsidRPr="00BB6614">
        <w:t>poskytnout</w:t>
      </w:r>
      <w:r>
        <w:t xml:space="preserve"> </w:t>
      </w:r>
      <w:r w:rsidRPr="00BB6614">
        <w:t>obdobné</w:t>
      </w:r>
      <w:r>
        <w:t xml:space="preserve"> </w:t>
      </w:r>
      <w:r w:rsidRPr="00BB6614">
        <w:t>informace</w:t>
      </w:r>
      <w:r>
        <w:t xml:space="preserve"> </w:t>
      </w:r>
      <w:r w:rsidRPr="00BB6614">
        <w:t>České</w:t>
      </w:r>
      <w:r>
        <w:t xml:space="preserve"> </w:t>
      </w:r>
      <w:r w:rsidRPr="00BB6614">
        <w:t>národní</w:t>
      </w:r>
      <w:r>
        <w:t xml:space="preserve"> </w:t>
      </w:r>
      <w:r w:rsidRPr="00BB6614">
        <w:t>bance,</w:t>
      </w:r>
    </w:p>
    <w:p w14:paraId="654328C7" w14:textId="77777777" w:rsidR="00D8555D" w:rsidRDefault="00D8555D" w:rsidP="00D8555D">
      <w:pPr>
        <w:pStyle w:val="PZTextpsmene"/>
        <w:spacing w:before="0"/>
      </w:pPr>
      <w:r w:rsidRPr="00BB6614">
        <w:t>g</w:t>
      </w:r>
      <w:r>
        <w:t>)</w:t>
      </w:r>
      <w:r>
        <w:tab/>
      </w:r>
      <w:r w:rsidRPr="00BB6614">
        <w:t>jako</w:t>
      </w:r>
      <w:r>
        <w:t xml:space="preserve"> </w:t>
      </w:r>
      <w:r w:rsidRPr="00BB6614">
        <w:t>osoba,</w:t>
      </w:r>
      <w:r>
        <w:t xml:space="preserve"> </w:t>
      </w:r>
      <w:r w:rsidRPr="00BB6614">
        <w:t>která</w:t>
      </w:r>
      <w:r>
        <w:t xml:space="preserve"> </w:t>
      </w:r>
      <w:r w:rsidRPr="00BB6614">
        <w:t>vykonává</w:t>
      </w:r>
      <w:r>
        <w:t xml:space="preserve"> </w:t>
      </w:r>
      <w:r w:rsidRPr="00BB6614">
        <w:t>funkci</w:t>
      </w:r>
      <w:r>
        <w:t xml:space="preserve"> </w:t>
      </w:r>
      <w:r w:rsidRPr="00BB6614">
        <w:t>likvidátora,</w:t>
      </w:r>
      <w:r>
        <w:t xml:space="preserve"> </w:t>
      </w:r>
      <w:r w:rsidRPr="00BB6614">
        <w:t>v</w:t>
      </w:r>
      <w:r>
        <w:t xml:space="preserve"> </w:t>
      </w:r>
      <w:r w:rsidRPr="00BB6614">
        <w:t>rozporu</w:t>
      </w:r>
      <w:r>
        <w:t xml:space="preserve"> </w:t>
      </w:r>
      <w:r w:rsidRPr="00BB6614">
        <w:t>s</w:t>
      </w:r>
      <w:r>
        <w:t xml:space="preserve"> </w:t>
      </w:r>
      <w:r w:rsidRPr="00BB6614">
        <w:t>§</w:t>
      </w:r>
      <w:r>
        <w:t xml:space="preserve"> </w:t>
      </w:r>
      <w:r w:rsidRPr="00BB6614">
        <w:t>124</w:t>
      </w:r>
      <w:r>
        <w:t xml:space="preserve"> </w:t>
      </w:r>
      <w:r w:rsidRPr="00BB6614">
        <w:t>odst.</w:t>
      </w:r>
      <w:r>
        <w:t xml:space="preserve"> </w:t>
      </w:r>
      <w:r w:rsidRPr="00BB6614">
        <w:t>4</w:t>
      </w:r>
      <w:r>
        <w:t xml:space="preserve"> </w:t>
      </w:r>
      <w:r w:rsidRPr="00BB6614">
        <w:t>bezodkladně</w:t>
      </w:r>
      <w:r>
        <w:t xml:space="preserve"> </w:t>
      </w:r>
      <w:r w:rsidRPr="00BB6614">
        <w:t>neinformuje</w:t>
      </w:r>
      <w:r>
        <w:t xml:space="preserve"> </w:t>
      </w:r>
      <w:r w:rsidRPr="00BB6614">
        <w:t>Českou</w:t>
      </w:r>
      <w:r>
        <w:t xml:space="preserve"> </w:t>
      </w:r>
      <w:r w:rsidRPr="00BB6614">
        <w:t>národní</w:t>
      </w:r>
      <w:r>
        <w:t xml:space="preserve"> </w:t>
      </w:r>
      <w:r w:rsidRPr="00BB6614">
        <w:t>banku</w:t>
      </w:r>
      <w:r>
        <w:t xml:space="preserve"> </w:t>
      </w:r>
      <w:r w:rsidRPr="00BB6614">
        <w:t>o</w:t>
      </w:r>
      <w:r>
        <w:t xml:space="preserve"> </w:t>
      </w:r>
      <w:r w:rsidRPr="00BB6614">
        <w:t>tom,</w:t>
      </w:r>
      <w:r>
        <w:t xml:space="preserve"> </w:t>
      </w:r>
      <w:r w:rsidRPr="00BB6614">
        <w:t>že</w:t>
      </w:r>
      <w:r>
        <w:t xml:space="preserve"> </w:t>
      </w:r>
      <w:r w:rsidRPr="00BB6614">
        <w:t>přestala</w:t>
      </w:r>
      <w:r>
        <w:t xml:space="preserve"> </w:t>
      </w:r>
      <w:r w:rsidRPr="00BB6614">
        <w:t>splňovat</w:t>
      </w:r>
      <w:r>
        <w:t xml:space="preserve"> </w:t>
      </w:r>
      <w:r w:rsidRPr="00BB6614">
        <w:t>podmínky</w:t>
      </w:r>
      <w:r>
        <w:t xml:space="preserve"> </w:t>
      </w:r>
      <w:r w:rsidRPr="00BB6614">
        <w:t>pro</w:t>
      </w:r>
      <w:r>
        <w:t xml:space="preserve"> </w:t>
      </w:r>
      <w:r w:rsidRPr="00BB6614">
        <w:t>své</w:t>
      </w:r>
      <w:r>
        <w:t xml:space="preserve"> </w:t>
      </w:r>
      <w:r w:rsidRPr="00BB6614">
        <w:t>jmenování,</w:t>
      </w:r>
    </w:p>
    <w:p w14:paraId="5C8059AB" w14:textId="77777777" w:rsidR="00D8555D" w:rsidRDefault="00D8555D" w:rsidP="00D8555D">
      <w:pPr>
        <w:pStyle w:val="PZTextpsmene"/>
        <w:spacing w:before="0"/>
      </w:pPr>
      <w:r w:rsidRPr="00BB6614">
        <w:t>h</w:t>
      </w:r>
      <w:r>
        <w:t>)</w:t>
      </w:r>
      <w:r>
        <w:tab/>
      </w:r>
      <w:r w:rsidRPr="00BB6614">
        <w:t>jako</w:t>
      </w:r>
      <w:r>
        <w:t xml:space="preserve"> </w:t>
      </w:r>
      <w:r w:rsidRPr="00BB6614">
        <w:t>osoba,</w:t>
      </w:r>
      <w:r>
        <w:t xml:space="preserve"> </w:t>
      </w:r>
      <w:r w:rsidRPr="00BB6614">
        <w:t>která</w:t>
      </w:r>
      <w:r>
        <w:t xml:space="preserve"> </w:t>
      </w:r>
      <w:r w:rsidRPr="00BB6614">
        <w:t>vykonává</w:t>
      </w:r>
      <w:r>
        <w:t xml:space="preserve"> </w:t>
      </w:r>
      <w:r w:rsidRPr="00BB6614">
        <w:t>funkci</w:t>
      </w:r>
      <w:r>
        <w:t xml:space="preserve"> </w:t>
      </w:r>
      <w:r w:rsidRPr="00BB6614">
        <w:t>likvidátora,</w:t>
      </w:r>
      <w:r>
        <w:t xml:space="preserve"> </w:t>
      </w:r>
      <w:r w:rsidRPr="00BB6614">
        <w:t>v</w:t>
      </w:r>
      <w:r>
        <w:t xml:space="preserve"> </w:t>
      </w:r>
      <w:r w:rsidRPr="00BB6614">
        <w:t>rozporu</w:t>
      </w:r>
      <w:r>
        <w:t xml:space="preserve"> </w:t>
      </w:r>
      <w:r w:rsidRPr="00BB6614">
        <w:t>s</w:t>
      </w:r>
      <w:r>
        <w:t xml:space="preserve"> </w:t>
      </w:r>
      <w:r w:rsidRPr="00BB6614">
        <w:t>§</w:t>
      </w:r>
      <w:r>
        <w:t xml:space="preserve"> </w:t>
      </w:r>
      <w:r w:rsidRPr="00BB6614">
        <w:t>124</w:t>
      </w:r>
      <w:r>
        <w:t xml:space="preserve"> </w:t>
      </w:r>
      <w:r w:rsidRPr="00BB6614">
        <w:t>odst.</w:t>
      </w:r>
      <w:r>
        <w:t xml:space="preserve"> </w:t>
      </w:r>
      <w:r w:rsidRPr="00BB6614">
        <w:t>3</w:t>
      </w:r>
      <w:r>
        <w:t xml:space="preserve"> </w:t>
      </w:r>
      <w:r w:rsidRPr="00BB6614">
        <w:t>nejedná</w:t>
      </w:r>
      <w:r>
        <w:t xml:space="preserve"> </w:t>
      </w:r>
      <w:r w:rsidRPr="00BB6614">
        <w:t>s</w:t>
      </w:r>
      <w:r>
        <w:t xml:space="preserve"> </w:t>
      </w:r>
      <w:r w:rsidRPr="00BB6614">
        <w:t>odbornou</w:t>
      </w:r>
      <w:r>
        <w:t xml:space="preserve"> </w:t>
      </w:r>
      <w:r w:rsidRPr="00BB6614">
        <w:t>péčí,</w:t>
      </w:r>
    </w:p>
    <w:p w14:paraId="42FCED3B" w14:textId="77777777" w:rsidR="00D8555D" w:rsidRDefault="00D8555D" w:rsidP="00D8555D">
      <w:pPr>
        <w:pStyle w:val="PZTextpsmene"/>
        <w:spacing w:before="0"/>
      </w:pPr>
      <w:r w:rsidRPr="00BB6614">
        <w:t>i</w:t>
      </w:r>
      <w:r>
        <w:t>)</w:t>
      </w:r>
      <w:r>
        <w:tab/>
      </w:r>
      <w:r w:rsidRPr="00BB6614">
        <w:t>nesplní</w:t>
      </w:r>
      <w:r>
        <w:t xml:space="preserve"> </w:t>
      </w:r>
      <w:r w:rsidRPr="00BB6614">
        <w:t>povinnost</w:t>
      </w:r>
      <w:r>
        <w:t xml:space="preserve"> </w:t>
      </w:r>
      <w:r w:rsidRPr="00BB6614">
        <w:t>mlčenlivosti</w:t>
      </w:r>
      <w:r>
        <w:t xml:space="preserve"> </w:t>
      </w:r>
      <w:r w:rsidRPr="00BB6614">
        <w:t>podle</w:t>
      </w:r>
      <w:r>
        <w:t xml:space="preserve"> </w:t>
      </w:r>
      <w:r w:rsidRPr="00BB6614">
        <w:t>§</w:t>
      </w:r>
      <w:r>
        <w:t xml:space="preserve"> </w:t>
      </w:r>
      <w:r w:rsidRPr="00BB6614">
        <w:t>127,</w:t>
      </w:r>
      <w:r>
        <w:t xml:space="preserve"> </w:t>
      </w:r>
      <w:r w:rsidRPr="00BB6614">
        <w:t>nebo</w:t>
      </w:r>
    </w:p>
    <w:p w14:paraId="7C25D0CA" w14:textId="77777777" w:rsidR="00D8555D" w:rsidRDefault="00D8555D" w:rsidP="00D8555D">
      <w:pPr>
        <w:pStyle w:val="PZTextpsmene"/>
        <w:spacing w:before="0"/>
      </w:pPr>
      <w:r w:rsidRPr="00BB6614">
        <w:t>j</w:t>
      </w:r>
      <w:r>
        <w:t>)</w:t>
      </w:r>
      <w:r>
        <w:tab/>
      </w:r>
      <w:r w:rsidRPr="00BB6614">
        <w:t>jako</w:t>
      </w:r>
      <w:r>
        <w:t xml:space="preserve"> </w:t>
      </w:r>
      <w:r w:rsidRPr="00BB6614">
        <w:t>osoba</w:t>
      </w:r>
      <w:r>
        <w:t xml:space="preserve"> </w:t>
      </w:r>
      <w:r w:rsidRPr="00BB6614">
        <w:t>činná</w:t>
      </w:r>
      <w:r>
        <w:t xml:space="preserve"> </w:t>
      </w:r>
      <w:r w:rsidRPr="00BB6614">
        <w:t>pro</w:t>
      </w:r>
      <w:r>
        <w:t xml:space="preserve"> </w:t>
      </w:r>
      <w:r w:rsidRPr="00BB6614">
        <w:t>pojišťovnu</w:t>
      </w:r>
      <w:r>
        <w:t xml:space="preserve"> </w:t>
      </w:r>
      <w:r w:rsidRPr="00BB6614">
        <w:t>nebo</w:t>
      </w:r>
      <w:r>
        <w:t xml:space="preserve"> </w:t>
      </w:r>
      <w:r w:rsidRPr="00BB6614">
        <w:t>zajišťovnu</w:t>
      </w:r>
      <w:r>
        <w:t xml:space="preserve"> </w:t>
      </w:r>
      <w:r w:rsidRPr="00BB6614">
        <w:t>nebo</w:t>
      </w:r>
      <w:r>
        <w:t xml:space="preserve"> </w:t>
      </w:r>
      <w:r w:rsidRPr="00BB6614">
        <w:t>jako</w:t>
      </w:r>
      <w:r>
        <w:t xml:space="preserve"> </w:t>
      </w:r>
      <w:r w:rsidRPr="00BB6614">
        <w:t>osoba</w:t>
      </w:r>
      <w:r>
        <w:t xml:space="preserve"> </w:t>
      </w:r>
      <w:r w:rsidRPr="00BB6614">
        <w:t>náležející</w:t>
      </w:r>
      <w:r>
        <w:t xml:space="preserve"> </w:t>
      </w:r>
      <w:r w:rsidRPr="00BB6614">
        <w:t>ke</w:t>
      </w:r>
      <w:r>
        <w:t xml:space="preserve"> </w:t>
      </w:r>
      <w:r w:rsidRPr="00BB6614">
        <w:t>skupině</w:t>
      </w:r>
      <w:r>
        <w:t xml:space="preserve"> </w:t>
      </w:r>
      <w:r w:rsidRPr="00BB6614">
        <w:t>znemožní</w:t>
      </w:r>
      <w:r>
        <w:t xml:space="preserve"> </w:t>
      </w:r>
      <w:r w:rsidRPr="00BB6614">
        <w:t>nebo</w:t>
      </w:r>
      <w:r>
        <w:t xml:space="preserve"> </w:t>
      </w:r>
      <w:r w:rsidRPr="00BB6614">
        <w:t>závažně</w:t>
      </w:r>
      <w:r>
        <w:t xml:space="preserve"> </w:t>
      </w:r>
      <w:r w:rsidRPr="00BB6614">
        <w:t>ztíží</w:t>
      </w:r>
      <w:r>
        <w:t xml:space="preserve"> </w:t>
      </w:r>
      <w:r w:rsidRPr="00BB6614">
        <w:t>výkon</w:t>
      </w:r>
      <w:r>
        <w:t xml:space="preserve"> </w:t>
      </w:r>
      <w:r w:rsidRPr="00BB6614">
        <w:t>dohledu</w:t>
      </w:r>
      <w:r>
        <w:t xml:space="preserve"> </w:t>
      </w:r>
      <w:r w:rsidRPr="00BB6614">
        <w:t>neposkytnutím</w:t>
      </w:r>
      <w:r>
        <w:t xml:space="preserve"> </w:t>
      </w:r>
      <w:r w:rsidRPr="00BB6614">
        <w:t>součinnosti</w:t>
      </w:r>
      <w:r>
        <w:t xml:space="preserve"> </w:t>
      </w:r>
      <w:r w:rsidRPr="00BB6614">
        <w:t>nebo</w:t>
      </w:r>
      <w:r>
        <w:t xml:space="preserve"> </w:t>
      </w:r>
      <w:r w:rsidRPr="00BB6614">
        <w:t>nevyhověním</w:t>
      </w:r>
      <w:r>
        <w:t xml:space="preserve"> </w:t>
      </w:r>
      <w:r w:rsidRPr="00BB6614">
        <w:t>výzvě</w:t>
      </w:r>
      <w:r>
        <w:t xml:space="preserve"> </w:t>
      </w:r>
      <w:r w:rsidRPr="00BB6614">
        <w:t>dané</w:t>
      </w:r>
      <w:r>
        <w:t xml:space="preserve"> </w:t>
      </w:r>
      <w:r w:rsidRPr="00BB6614">
        <w:t>podle</w:t>
      </w:r>
      <w:r>
        <w:t xml:space="preserve"> </w:t>
      </w:r>
      <w:r w:rsidRPr="00BB6614">
        <w:t>tohoto</w:t>
      </w:r>
      <w:r>
        <w:t xml:space="preserve"> </w:t>
      </w:r>
      <w:r w:rsidRPr="00BB6614">
        <w:t>zákona.</w:t>
      </w:r>
    </w:p>
    <w:p w14:paraId="51C7C5D9" w14:textId="571D6CBF" w:rsidR="00D8555D" w:rsidRDefault="00D8555D" w:rsidP="00D8555D">
      <w:pPr>
        <w:pStyle w:val="PZTextodstavce"/>
        <w:spacing w:before="240"/>
      </w:pPr>
      <w:r w:rsidRPr="00BB6614">
        <w:t>(2</w:t>
      </w:r>
      <w:r>
        <w:t xml:space="preserve">) </w:t>
      </w:r>
      <w:r w:rsidRPr="00BB6614">
        <w:t>Pojišťovna</w:t>
      </w:r>
      <w:r>
        <w:t xml:space="preserve"> </w:t>
      </w:r>
      <w:r w:rsidRPr="00BB6614">
        <w:t>nebo</w:t>
      </w:r>
      <w:r>
        <w:t xml:space="preserve"> </w:t>
      </w:r>
      <w:r w:rsidRPr="00BB6614">
        <w:t>zajišťovna</w:t>
      </w:r>
      <w:r>
        <w:t xml:space="preserve"> </w:t>
      </w:r>
      <w:r w:rsidRPr="00BB6614">
        <w:t>se</w:t>
      </w:r>
      <w:r>
        <w:t xml:space="preserve"> </w:t>
      </w:r>
      <w:r w:rsidRPr="00BB6614">
        <w:t>dopustí</w:t>
      </w:r>
      <w:r>
        <w:t xml:space="preserve"> </w:t>
      </w:r>
      <w:r w:rsidRPr="00BB6614">
        <w:t>přestupku</w:t>
      </w:r>
      <w:r>
        <w:t xml:space="preserve"> </w:t>
      </w:r>
      <w:r w:rsidRPr="00BB6614">
        <w:t>tím,</w:t>
      </w:r>
      <w:r>
        <w:t xml:space="preserve"> </w:t>
      </w:r>
      <w:r w:rsidRPr="00BB6614">
        <w:t>že</w:t>
      </w:r>
    </w:p>
    <w:p w14:paraId="77FE0865" w14:textId="77777777" w:rsidR="00D8555D" w:rsidRDefault="00D8555D" w:rsidP="00D8555D">
      <w:pPr>
        <w:pStyle w:val="PZTextpsmene"/>
        <w:spacing w:before="0"/>
      </w:pPr>
      <w:r w:rsidRPr="00BB6614">
        <w:t>a</w:t>
      </w:r>
      <w:r>
        <w:t>)</w:t>
      </w:r>
      <w:r>
        <w:tab/>
      </w:r>
      <w:r w:rsidRPr="00BB6614">
        <w:t>provozuje</w:t>
      </w:r>
      <w:r>
        <w:t xml:space="preserve"> </w:t>
      </w:r>
      <w:r w:rsidRPr="00BB6614">
        <w:t>pojišťovací</w:t>
      </w:r>
      <w:r>
        <w:t xml:space="preserve"> </w:t>
      </w:r>
      <w:r w:rsidRPr="00BB6614">
        <w:t>nebo</w:t>
      </w:r>
      <w:r>
        <w:t xml:space="preserve"> </w:t>
      </w:r>
      <w:r w:rsidRPr="00BB6614">
        <w:t>zajišťovací</w:t>
      </w:r>
      <w:r>
        <w:t xml:space="preserve"> </w:t>
      </w:r>
      <w:r w:rsidRPr="00BB6614">
        <w:t>činnost</w:t>
      </w:r>
      <w:r>
        <w:t xml:space="preserve"> </w:t>
      </w:r>
      <w:r w:rsidRPr="00BB6614">
        <w:t>v</w:t>
      </w:r>
      <w:r>
        <w:t xml:space="preserve"> </w:t>
      </w:r>
      <w:r w:rsidRPr="00BB6614">
        <w:t>rozporu</w:t>
      </w:r>
      <w:r>
        <w:t xml:space="preserve"> </w:t>
      </w:r>
      <w:r w:rsidRPr="00BB6614">
        <w:t>s</w:t>
      </w:r>
      <w:r>
        <w:t xml:space="preserve"> </w:t>
      </w:r>
      <w:r w:rsidRPr="00BB6614">
        <w:t>povolením</w:t>
      </w:r>
      <w:r>
        <w:t xml:space="preserve"> </w:t>
      </w:r>
      <w:r w:rsidRPr="00BB6614">
        <w:t>k</w:t>
      </w:r>
      <w:r>
        <w:t xml:space="preserve"> </w:t>
      </w:r>
      <w:r w:rsidRPr="00BB6614">
        <w:t>provozování</w:t>
      </w:r>
      <w:r>
        <w:t xml:space="preserve"> </w:t>
      </w:r>
      <w:r w:rsidRPr="00BB6614">
        <w:t>těchto</w:t>
      </w:r>
      <w:r>
        <w:t xml:space="preserve"> </w:t>
      </w:r>
      <w:r w:rsidRPr="00BB6614">
        <w:t>činností</w:t>
      </w:r>
      <w:r>
        <w:t xml:space="preserve"> </w:t>
      </w:r>
      <w:r w:rsidRPr="00BB6614">
        <w:t>uděleným</w:t>
      </w:r>
      <w:r>
        <w:t xml:space="preserve"> </w:t>
      </w:r>
      <w:r w:rsidRPr="00BB6614">
        <w:t>Českou</w:t>
      </w:r>
      <w:r>
        <w:t xml:space="preserve"> </w:t>
      </w:r>
      <w:r w:rsidRPr="00BB6614">
        <w:t>národní</w:t>
      </w:r>
      <w:r>
        <w:t xml:space="preserve"> </w:t>
      </w:r>
      <w:r w:rsidRPr="00BB6614">
        <w:t>bankou,</w:t>
      </w:r>
    </w:p>
    <w:p w14:paraId="6795007A" w14:textId="77777777" w:rsidR="00D8555D" w:rsidRDefault="00D8555D" w:rsidP="00D8555D">
      <w:pPr>
        <w:pStyle w:val="PZTextpsmene"/>
        <w:spacing w:before="0"/>
      </w:pPr>
      <w:r w:rsidRPr="00BB6614">
        <w:t>b</w:t>
      </w:r>
      <w:r>
        <w:t>)</w:t>
      </w:r>
      <w:r>
        <w:tab/>
      </w:r>
      <w:r w:rsidRPr="00BB6614">
        <w:t>v</w:t>
      </w:r>
      <w:r>
        <w:t xml:space="preserve"> </w:t>
      </w:r>
      <w:r w:rsidRPr="00BB6614">
        <w:t>rozporu</w:t>
      </w:r>
      <w:r>
        <w:t xml:space="preserve"> </w:t>
      </w:r>
      <w:r w:rsidRPr="00BB6614">
        <w:t>s</w:t>
      </w:r>
      <w:r>
        <w:t xml:space="preserve"> </w:t>
      </w:r>
      <w:r w:rsidRPr="00BB6614">
        <w:t>§</w:t>
      </w:r>
      <w:r>
        <w:t xml:space="preserve"> </w:t>
      </w:r>
      <w:r w:rsidRPr="00BB6614">
        <w:t>6</w:t>
      </w:r>
      <w:r>
        <w:t xml:space="preserve"> </w:t>
      </w:r>
      <w:r w:rsidRPr="00BB6614">
        <w:t>odst.</w:t>
      </w:r>
      <w:r>
        <w:t xml:space="preserve"> </w:t>
      </w:r>
      <w:r w:rsidRPr="00BB6614">
        <w:t>1</w:t>
      </w:r>
      <w:r>
        <w:t xml:space="preserve"> </w:t>
      </w:r>
      <w:r w:rsidRPr="00BB6614">
        <w:t>postupuje</w:t>
      </w:r>
      <w:r>
        <w:t xml:space="preserve"> </w:t>
      </w:r>
      <w:r w:rsidRPr="00BB6614">
        <w:t>způsobem,</w:t>
      </w:r>
      <w:r>
        <w:t xml:space="preserve"> </w:t>
      </w:r>
      <w:r w:rsidRPr="00BB6614">
        <w:t>který</w:t>
      </w:r>
      <w:r>
        <w:t xml:space="preserve"> </w:t>
      </w:r>
      <w:r w:rsidRPr="00BB6614">
        <w:t>poškozuje</w:t>
      </w:r>
      <w:r>
        <w:t xml:space="preserve"> </w:t>
      </w:r>
      <w:r w:rsidRPr="00BB6614">
        <w:t>majetek</w:t>
      </w:r>
      <w:r>
        <w:t xml:space="preserve"> </w:t>
      </w:r>
      <w:r w:rsidRPr="00BB6614">
        <w:t>jí</w:t>
      </w:r>
      <w:r>
        <w:t xml:space="preserve"> </w:t>
      </w:r>
      <w:r w:rsidRPr="00BB6614">
        <w:t>svěřený</w:t>
      </w:r>
      <w:r>
        <w:t xml:space="preserve"> </w:t>
      </w:r>
      <w:r w:rsidRPr="00BB6614">
        <w:t>třetími</w:t>
      </w:r>
      <w:r>
        <w:t xml:space="preserve"> </w:t>
      </w:r>
      <w:r w:rsidRPr="00BB6614">
        <w:t>osobami,</w:t>
      </w:r>
      <w:r>
        <w:t xml:space="preserve"> </w:t>
      </w:r>
      <w:r w:rsidRPr="00BB6614">
        <w:t>nebo</w:t>
      </w:r>
      <w:r>
        <w:t xml:space="preserve"> </w:t>
      </w:r>
      <w:r w:rsidRPr="00BB6614">
        <w:t>ohrožuje</w:t>
      </w:r>
      <w:r>
        <w:t xml:space="preserve"> </w:t>
      </w:r>
      <w:r w:rsidRPr="00BB6614">
        <w:t>svoji</w:t>
      </w:r>
      <w:r>
        <w:t xml:space="preserve"> </w:t>
      </w:r>
      <w:r w:rsidRPr="00BB6614">
        <w:t>bezpečnost</w:t>
      </w:r>
      <w:r>
        <w:t xml:space="preserve"> </w:t>
      </w:r>
      <w:r w:rsidRPr="00BB6614">
        <w:t>nebo</w:t>
      </w:r>
      <w:r>
        <w:t xml:space="preserve"> </w:t>
      </w:r>
      <w:r w:rsidRPr="00BB6614">
        <w:t>stabilitu</w:t>
      </w:r>
      <w:r>
        <w:t xml:space="preserve"> </w:t>
      </w:r>
      <w:r w:rsidRPr="00BB6614">
        <w:t>nebo</w:t>
      </w:r>
      <w:r>
        <w:t xml:space="preserve"> </w:t>
      </w:r>
      <w:r w:rsidRPr="00BB6614">
        <w:t>bezpečnost</w:t>
      </w:r>
      <w:r>
        <w:t xml:space="preserve"> </w:t>
      </w:r>
      <w:r w:rsidRPr="00BB6614">
        <w:t>a</w:t>
      </w:r>
      <w:r>
        <w:t xml:space="preserve"> </w:t>
      </w:r>
      <w:r w:rsidRPr="00BB6614">
        <w:t>stabilitu</w:t>
      </w:r>
      <w:r>
        <w:t xml:space="preserve"> </w:t>
      </w:r>
      <w:r w:rsidRPr="00BB6614">
        <w:t>osob</w:t>
      </w:r>
      <w:r>
        <w:t xml:space="preserve"> </w:t>
      </w:r>
      <w:r w:rsidRPr="00BB6614">
        <w:t>s</w:t>
      </w:r>
      <w:r>
        <w:t xml:space="preserve"> </w:t>
      </w:r>
      <w:r w:rsidRPr="00BB6614">
        <w:t>ní</w:t>
      </w:r>
      <w:r>
        <w:t xml:space="preserve"> </w:t>
      </w:r>
      <w:r w:rsidRPr="00BB6614">
        <w:t>propojených</w:t>
      </w:r>
      <w:r>
        <w:t xml:space="preserve"> </w:t>
      </w:r>
      <w:r w:rsidRPr="00BB6614">
        <w:t>nebo</w:t>
      </w:r>
      <w:r>
        <w:t xml:space="preserve"> </w:t>
      </w:r>
      <w:r w:rsidRPr="00BB6614">
        <w:t>jiným</w:t>
      </w:r>
      <w:r>
        <w:t xml:space="preserve"> </w:t>
      </w:r>
      <w:r w:rsidRPr="00BB6614">
        <w:t>způsobem</w:t>
      </w:r>
      <w:r>
        <w:t xml:space="preserve"> </w:t>
      </w:r>
      <w:r w:rsidRPr="00BB6614">
        <w:t>postupuje</w:t>
      </w:r>
      <w:r>
        <w:t xml:space="preserve"> </w:t>
      </w:r>
      <w:r w:rsidRPr="00BB6614">
        <w:t>v</w:t>
      </w:r>
      <w:r>
        <w:t xml:space="preserve"> </w:t>
      </w:r>
      <w:r w:rsidRPr="00BB6614">
        <w:t>rozporu</w:t>
      </w:r>
      <w:r>
        <w:t xml:space="preserve"> </w:t>
      </w:r>
      <w:r w:rsidRPr="00BB6614">
        <w:t>s</w:t>
      </w:r>
      <w:r>
        <w:t xml:space="preserve"> </w:t>
      </w:r>
      <w:r w:rsidRPr="00BB6614">
        <w:t>pravidly</w:t>
      </w:r>
      <w:r>
        <w:t xml:space="preserve"> </w:t>
      </w:r>
      <w:r w:rsidRPr="00BB6614">
        <w:t>obezřetného</w:t>
      </w:r>
      <w:r>
        <w:t xml:space="preserve"> </w:t>
      </w:r>
      <w:r w:rsidRPr="00BB6614">
        <w:t>řízení,</w:t>
      </w:r>
    </w:p>
    <w:p w14:paraId="5A4036D7" w14:textId="77777777" w:rsidR="00D8555D" w:rsidRDefault="00D8555D" w:rsidP="00D8555D">
      <w:pPr>
        <w:pStyle w:val="PZTextpsmene"/>
        <w:spacing w:before="0"/>
      </w:pPr>
      <w:r w:rsidRPr="00BB6614">
        <w:t>c</w:t>
      </w:r>
      <w:r>
        <w:t>)</w:t>
      </w:r>
      <w:r>
        <w:tab/>
      </w:r>
      <w:r w:rsidRPr="00BB6614">
        <w:t>v</w:t>
      </w:r>
      <w:r>
        <w:t xml:space="preserve"> </w:t>
      </w:r>
      <w:r w:rsidRPr="00BB6614">
        <w:t>rozporu</w:t>
      </w:r>
      <w:r>
        <w:t xml:space="preserve"> </w:t>
      </w:r>
      <w:r w:rsidRPr="00BB6614">
        <w:t>s</w:t>
      </w:r>
      <w:r>
        <w:t xml:space="preserve"> </w:t>
      </w:r>
      <w:r w:rsidRPr="00BB6614">
        <w:t>§</w:t>
      </w:r>
      <w:r>
        <w:t xml:space="preserve"> </w:t>
      </w:r>
      <w:r w:rsidRPr="00BB6614">
        <w:t>7</w:t>
      </w:r>
      <w:r>
        <w:t xml:space="preserve"> </w:t>
      </w:r>
      <w:r w:rsidRPr="00BB6614">
        <w:t>nezavede</w:t>
      </w:r>
      <w:r>
        <w:t xml:space="preserve"> </w:t>
      </w:r>
      <w:r w:rsidRPr="00BB6614">
        <w:t>a</w:t>
      </w:r>
      <w:r>
        <w:t xml:space="preserve"> </w:t>
      </w:r>
      <w:r w:rsidRPr="00BB6614">
        <w:t>neudržuje</w:t>
      </w:r>
      <w:r>
        <w:t xml:space="preserve"> </w:t>
      </w:r>
      <w:r w:rsidRPr="00BB6614">
        <w:t>účinný</w:t>
      </w:r>
      <w:r>
        <w:t xml:space="preserve"> </w:t>
      </w:r>
      <w:r w:rsidRPr="00BB6614">
        <w:t>řídicí</w:t>
      </w:r>
      <w:r>
        <w:t xml:space="preserve"> </w:t>
      </w:r>
      <w:r w:rsidRPr="00BB6614">
        <w:t>a</w:t>
      </w:r>
      <w:r>
        <w:t xml:space="preserve"> </w:t>
      </w:r>
      <w:r w:rsidRPr="00BB6614">
        <w:t>kontrolní</w:t>
      </w:r>
      <w:r>
        <w:t xml:space="preserve"> </w:t>
      </w:r>
      <w:r w:rsidRPr="00BB6614">
        <w:t>systém,</w:t>
      </w:r>
    </w:p>
    <w:p w14:paraId="6C84ACDF" w14:textId="77777777" w:rsidR="00D8555D" w:rsidRDefault="00D8555D" w:rsidP="00D8555D">
      <w:pPr>
        <w:pStyle w:val="PZTextpsmene"/>
        <w:spacing w:before="0"/>
      </w:pPr>
      <w:r w:rsidRPr="00BB6614">
        <w:t>d</w:t>
      </w:r>
      <w:r>
        <w:t>)</w:t>
      </w:r>
      <w:r>
        <w:tab/>
      </w:r>
      <w:r w:rsidRPr="00BB6614">
        <w:t>v</w:t>
      </w:r>
      <w:r>
        <w:t xml:space="preserve"> </w:t>
      </w:r>
      <w:r w:rsidRPr="00BB6614">
        <w:t>rozporu</w:t>
      </w:r>
      <w:r>
        <w:t xml:space="preserve"> </w:t>
      </w:r>
      <w:r w:rsidRPr="00BB6614">
        <w:t>s</w:t>
      </w:r>
      <w:r>
        <w:t xml:space="preserve"> </w:t>
      </w:r>
      <w:r w:rsidRPr="00BB6614">
        <w:t>§</w:t>
      </w:r>
      <w:r>
        <w:t xml:space="preserve"> </w:t>
      </w:r>
      <w:r w:rsidRPr="00BB6614">
        <w:t>7a</w:t>
      </w:r>
      <w:r>
        <w:t xml:space="preserve"> </w:t>
      </w:r>
      <w:r w:rsidRPr="00BB6614">
        <w:t>nezajistí</w:t>
      </w:r>
      <w:r>
        <w:t xml:space="preserve"> </w:t>
      </w:r>
      <w:r w:rsidRPr="00BB6614">
        <w:t>obsazení</w:t>
      </w:r>
      <w:r>
        <w:t xml:space="preserve"> </w:t>
      </w:r>
      <w:r w:rsidRPr="00BB6614">
        <w:t>odpovídajícími</w:t>
      </w:r>
      <w:r>
        <w:t xml:space="preserve"> </w:t>
      </w:r>
      <w:r w:rsidRPr="00BB6614">
        <w:t>osobami,</w:t>
      </w:r>
    </w:p>
    <w:p w14:paraId="38E8CDE4" w14:textId="77777777" w:rsidR="00D8555D" w:rsidRPr="00D7791F" w:rsidRDefault="00D8555D" w:rsidP="00D8555D">
      <w:pPr>
        <w:pStyle w:val="PZTextpsmene"/>
        <w:spacing w:before="0"/>
        <w:rPr>
          <w:szCs w:val="24"/>
        </w:rPr>
      </w:pPr>
      <w:r w:rsidRPr="00D7791F">
        <w:rPr>
          <w:szCs w:val="24"/>
        </w:rPr>
        <w:t>e</w:t>
      </w:r>
      <w:r>
        <w:rPr>
          <w:szCs w:val="24"/>
        </w:rPr>
        <w:t>)</w:t>
      </w:r>
      <w:r>
        <w:rPr>
          <w:szCs w:val="24"/>
        </w:rPr>
        <w:tab/>
      </w:r>
      <w:r w:rsidRPr="00D7791F">
        <w:rPr>
          <w:szCs w:val="24"/>
        </w:rPr>
        <w:t>v rozporu s § 7a odst. 2 a 3, § 23, 34a, 40, 82</w:t>
      </w:r>
      <w:r w:rsidRPr="006162FA">
        <w:rPr>
          <w:szCs w:val="24"/>
        </w:rPr>
        <w:t>, 82a</w:t>
      </w:r>
      <w:r w:rsidRPr="006162FA">
        <w:rPr>
          <w:b/>
          <w:szCs w:val="24"/>
        </w:rPr>
        <w:t>, § 82b</w:t>
      </w:r>
      <w:r w:rsidRPr="00D7791F">
        <w:rPr>
          <w:szCs w:val="24"/>
        </w:rPr>
        <w:t xml:space="preserve"> nebo 83 nesplní řádně informační povinnost nebo povinnost uveřejnit</w:t>
      </w:r>
      <w:r>
        <w:rPr>
          <w:szCs w:val="24"/>
        </w:rPr>
        <w:t xml:space="preserve"> </w:t>
      </w:r>
      <w:r w:rsidRPr="006162FA">
        <w:rPr>
          <w:b/>
          <w:szCs w:val="24"/>
        </w:rPr>
        <w:t>nebo zveřejnit</w:t>
      </w:r>
      <w:r w:rsidRPr="00D7791F">
        <w:rPr>
          <w:szCs w:val="24"/>
        </w:rPr>
        <w:t xml:space="preserve"> informace, </w:t>
      </w:r>
    </w:p>
    <w:p w14:paraId="562F6670" w14:textId="77777777" w:rsidR="00D8555D" w:rsidRPr="006859D5" w:rsidRDefault="00D8555D" w:rsidP="00D8555D">
      <w:pPr>
        <w:pStyle w:val="PZTextpsmene"/>
        <w:spacing w:before="0"/>
        <w:rPr>
          <w:b/>
          <w:szCs w:val="24"/>
        </w:rPr>
      </w:pPr>
      <w:r w:rsidRPr="006859D5">
        <w:rPr>
          <w:b/>
          <w:szCs w:val="24"/>
        </w:rPr>
        <w:t>f)</w:t>
      </w:r>
      <w:r>
        <w:rPr>
          <w:b/>
          <w:szCs w:val="24"/>
        </w:rPr>
        <w:tab/>
      </w:r>
      <w:r w:rsidRPr="003A45A2">
        <w:rPr>
          <w:b/>
          <w:szCs w:val="24"/>
        </w:rPr>
        <w:t>v rozporu s § 81 odst. 1 nezajistí ověření svého řídicího a kontrolního systému nebo jeho části nebo vybraných informací uveřejňovaných ve zprávě o solventnosti a finanční situaci podle § 82 odst. 3,</w:t>
      </w:r>
    </w:p>
    <w:p w14:paraId="7379C2E2" w14:textId="77777777" w:rsidR="00D8555D" w:rsidRPr="006859D5" w:rsidRDefault="00D8555D" w:rsidP="00D8555D">
      <w:pPr>
        <w:pStyle w:val="PZTextpsmene"/>
        <w:spacing w:before="0"/>
        <w:rPr>
          <w:b/>
          <w:szCs w:val="24"/>
        </w:rPr>
      </w:pPr>
      <w:r>
        <w:rPr>
          <w:b/>
          <w:szCs w:val="24"/>
        </w:rPr>
        <w:t>g)</w:t>
      </w:r>
      <w:r>
        <w:rPr>
          <w:b/>
          <w:szCs w:val="24"/>
        </w:rPr>
        <w:tab/>
      </w:r>
      <w:r w:rsidRPr="003A45A2">
        <w:rPr>
          <w:b/>
          <w:szCs w:val="24"/>
        </w:rPr>
        <w:t>v rozporu s § 81 odst. 4 neposkytn</w:t>
      </w:r>
      <w:r>
        <w:rPr>
          <w:b/>
          <w:szCs w:val="24"/>
        </w:rPr>
        <w:t>e</w:t>
      </w:r>
      <w:r w:rsidRPr="003A45A2">
        <w:rPr>
          <w:b/>
          <w:szCs w:val="24"/>
        </w:rPr>
        <w:t xml:space="preserve"> auditorovi součinnost,</w:t>
      </w:r>
    </w:p>
    <w:p w14:paraId="21363D08" w14:textId="77777777" w:rsidR="00D8555D" w:rsidRPr="002A6F1E" w:rsidRDefault="00D8555D" w:rsidP="00D8555D">
      <w:pPr>
        <w:pStyle w:val="PZTextpsmene"/>
        <w:spacing w:before="0"/>
        <w:rPr>
          <w:b/>
          <w:szCs w:val="24"/>
        </w:rPr>
      </w:pPr>
      <w:r>
        <w:rPr>
          <w:b/>
          <w:szCs w:val="24"/>
        </w:rPr>
        <w:t>h)</w:t>
      </w:r>
      <w:r>
        <w:rPr>
          <w:b/>
          <w:szCs w:val="24"/>
        </w:rPr>
        <w:tab/>
      </w:r>
      <w:r w:rsidRPr="003A45A2">
        <w:rPr>
          <w:b/>
          <w:szCs w:val="24"/>
        </w:rPr>
        <w:t xml:space="preserve">v rozporu s § 81 odst. </w:t>
      </w:r>
      <w:r>
        <w:rPr>
          <w:b/>
          <w:szCs w:val="24"/>
        </w:rPr>
        <w:t>1 a 3</w:t>
      </w:r>
      <w:r w:rsidRPr="003A45A2">
        <w:rPr>
          <w:b/>
          <w:szCs w:val="24"/>
        </w:rPr>
        <w:t xml:space="preserve"> </w:t>
      </w:r>
      <w:r>
        <w:rPr>
          <w:b/>
          <w:szCs w:val="24"/>
        </w:rPr>
        <w:t>nepředloží</w:t>
      </w:r>
      <w:r w:rsidRPr="003A45A2">
        <w:rPr>
          <w:b/>
          <w:szCs w:val="24"/>
        </w:rPr>
        <w:t xml:space="preserve"> České národní bance zprávu o ověření řídicího a kontrolního systému</w:t>
      </w:r>
      <w:r>
        <w:rPr>
          <w:b/>
          <w:szCs w:val="24"/>
        </w:rPr>
        <w:t xml:space="preserve"> nebo zprávu</w:t>
      </w:r>
      <w:r w:rsidRPr="0063541C">
        <w:rPr>
          <w:b/>
          <w:szCs w:val="24"/>
        </w:rPr>
        <w:t xml:space="preserve"> o ověření informací uveřejňovaných podle § 82 odst. 3 ve zprávě o solventnosti a finanční situaci</w:t>
      </w:r>
      <w:r w:rsidRPr="003A45A2">
        <w:rPr>
          <w:b/>
          <w:szCs w:val="24"/>
        </w:rPr>
        <w:t>,</w:t>
      </w:r>
    </w:p>
    <w:p w14:paraId="38D02928" w14:textId="77777777" w:rsidR="00D8555D" w:rsidRPr="00D7791F" w:rsidRDefault="00D8555D" w:rsidP="00D8555D">
      <w:pPr>
        <w:pStyle w:val="PZTextpsmene"/>
        <w:spacing w:before="0"/>
        <w:rPr>
          <w:szCs w:val="24"/>
        </w:rPr>
      </w:pPr>
      <w:r w:rsidRPr="006859D5">
        <w:rPr>
          <w:strike/>
          <w:szCs w:val="24"/>
        </w:rPr>
        <w:t>f)</w:t>
      </w:r>
      <w:r>
        <w:rPr>
          <w:b/>
          <w:szCs w:val="24"/>
        </w:rPr>
        <w:t>i)</w:t>
      </w:r>
      <w:r>
        <w:rPr>
          <w:szCs w:val="24"/>
        </w:rPr>
        <w:tab/>
      </w:r>
      <w:r w:rsidRPr="00D7791F">
        <w:rPr>
          <w:szCs w:val="24"/>
        </w:rPr>
        <w:t xml:space="preserve">nepředloží doklady a jiné materiály vyžádané Českou národní bankou podle § 82, 83 nebo 110, </w:t>
      </w:r>
    </w:p>
    <w:p w14:paraId="24C7C7CA" w14:textId="77777777" w:rsidR="00D8555D" w:rsidRPr="00D7791F" w:rsidRDefault="00D8555D" w:rsidP="00D8555D">
      <w:pPr>
        <w:pStyle w:val="PZTextpsmene"/>
        <w:spacing w:before="0"/>
        <w:rPr>
          <w:szCs w:val="24"/>
        </w:rPr>
      </w:pPr>
      <w:r w:rsidRPr="006859D5">
        <w:rPr>
          <w:strike/>
          <w:szCs w:val="24"/>
        </w:rPr>
        <w:t>g)</w:t>
      </w:r>
      <w:r>
        <w:rPr>
          <w:b/>
          <w:szCs w:val="24"/>
        </w:rPr>
        <w:t>j)</w:t>
      </w:r>
      <w:r>
        <w:rPr>
          <w:szCs w:val="24"/>
        </w:rPr>
        <w:tab/>
      </w:r>
      <w:r w:rsidRPr="00D7791F">
        <w:rPr>
          <w:szCs w:val="24"/>
        </w:rPr>
        <w:t xml:space="preserve">ve stanovené lhůtě nesplní některou z povinností podle § 95, 95a, 95b, 98, 98a, 110, 111 nebo 113, </w:t>
      </w:r>
    </w:p>
    <w:p w14:paraId="1F484536" w14:textId="77777777" w:rsidR="00D8555D" w:rsidRPr="00D7791F" w:rsidRDefault="00D8555D" w:rsidP="00D8555D">
      <w:pPr>
        <w:pStyle w:val="PZTextpsmene"/>
        <w:spacing w:before="0"/>
        <w:rPr>
          <w:szCs w:val="24"/>
        </w:rPr>
      </w:pPr>
      <w:r w:rsidRPr="006859D5">
        <w:rPr>
          <w:strike/>
          <w:szCs w:val="24"/>
        </w:rPr>
        <w:t>h)</w:t>
      </w:r>
      <w:r>
        <w:rPr>
          <w:b/>
          <w:szCs w:val="24"/>
        </w:rPr>
        <w:t>k)</w:t>
      </w:r>
      <w:r>
        <w:rPr>
          <w:szCs w:val="24"/>
        </w:rPr>
        <w:t xml:space="preserve"> </w:t>
      </w:r>
      <w:r w:rsidRPr="00D7791F">
        <w:rPr>
          <w:szCs w:val="24"/>
        </w:rPr>
        <w:t xml:space="preserve">postupuje v rozporu se schváleným ozdravným plánem nebo se schváleným plánem krátkodobého financování, </w:t>
      </w:r>
    </w:p>
    <w:p w14:paraId="3293DE44" w14:textId="77777777" w:rsidR="00D8555D" w:rsidRPr="00D7791F" w:rsidRDefault="00D8555D" w:rsidP="00D8555D">
      <w:pPr>
        <w:pStyle w:val="PZTextpsmene"/>
        <w:spacing w:before="0"/>
        <w:rPr>
          <w:szCs w:val="24"/>
        </w:rPr>
      </w:pPr>
      <w:r w:rsidRPr="006859D5">
        <w:rPr>
          <w:strike/>
          <w:szCs w:val="24"/>
        </w:rPr>
        <w:t>i)</w:t>
      </w:r>
      <w:r>
        <w:rPr>
          <w:b/>
          <w:szCs w:val="24"/>
        </w:rPr>
        <w:t>l)</w:t>
      </w:r>
      <w:r>
        <w:rPr>
          <w:szCs w:val="24"/>
        </w:rPr>
        <w:tab/>
      </w:r>
      <w:r w:rsidRPr="00D7791F">
        <w:rPr>
          <w:szCs w:val="24"/>
        </w:rPr>
        <w:t xml:space="preserve">nesplní ve lhůtě stanovené vykonatelným rozhodnutím České národní banky opatření k nápravě, nebo </w:t>
      </w:r>
    </w:p>
    <w:p w14:paraId="6DC2B2A3" w14:textId="77777777" w:rsidR="00D8555D" w:rsidRPr="00D7791F" w:rsidRDefault="00D8555D" w:rsidP="00D8555D">
      <w:pPr>
        <w:pStyle w:val="PZTextpsmene"/>
        <w:spacing w:before="0"/>
        <w:rPr>
          <w:szCs w:val="24"/>
        </w:rPr>
      </w:pPr>
      <w:r w:rsidRPr="006859D5">
        <w:rPr>
          <w:strike/>
          <w:szCs w:val="24"/>
        </w:rPr>
        <w:t>j)</w:t>
      </w:r>
      <w:r>
        <w:rPr>
          <w:b/>
          <w:szCs w:val="24"/>
        </w:rPr>
        <w:t xml:space="preserve">m) </w:t>
      </w:r>
      <w:r w:rsidRPr="00D7791F">
        <w:rPr>
          <w:szCs w:val="24"/>
        </w:rPr>
        <w:t xml:space="preserve">znemožní nebo závažně ztíží výkon dohledu neposkytnutím součinnosti nebo nevyhověním výzvě dané podle tohoto zákona. </w:t>
      </w:r>
    </w:p>
    <w:p w14:paraId="614C128C" w14:textId="77777777" w:rsidR="00D8555D" w:rsidRPr="00D7791F" w:rsidRDefault="00D8555D" w:rsidP="00D8555D">
      <w:pPr>
        <w:pStyle w:val="PZTextodstavce"/>
        <w:spacing w:before="240"/>
        <w:rPr>
          <w:szCs w:val="24"/>
        </w:rPr>
      </w:pPr>
      <w:r w:rsidRPr="00D7791F">
        <w:rPr>
          <w:szCs w:val="24"/>
        </w:rPr>
        <w:t xml:space="preserve">(3) Pojišťovna se dopustí přestupku tím, že </w:t>
      </w:r>
    </w:p>
    <w:p w14:paraId="3E705E19" w14:textId="77777777" w:rsidR="00D8555D" w:rsidRPr="00D7791F" w:rsidRDefault="00D8555D" w:rsidP="00D8555D">
      <w:pPr>
        <w:pStyle w:val="PZTextpsmene"/>
        <w:spacing w:before="0"/>
        <w:rPr>
          <w:szCs w:val="24"/>
        </w:rPr>
      </w:pPr>
      <w:r>
        <w:rPr>
          <w:szCs w:val="24"/>
        </w:rPr>
        <w:t>a)</w:t>
      </w:r>
      <w:r>
        <w:rPr>
          <w:szCs w:val="24"/>
        </w:rPr>
        <w:tab/>
      </w:r>
      <w:r w:rsidRPr="00D7791F">
        <w:rPr>
          <w:szCs w:val="24"/>
        </w:rPr>
        <w:t xml:space="preserve">postupuje v rozporu s § 59 odst. 2, nebo </w:t>
      </w:r>
    </w:p>
    <w:p w14:paraId="77D6CBBB" w14:textId="77777777" w:rsidR="00D8555D" w:rsidRPr="00D7791F" w:rsidRDefault="00D8555D" w:rsidP="00D8555D">
      <w:pPr>
        <w:pStyle w:val="PZTextpsmene"/>
        <w:spacing w:before="0"/>
        <w:rPr>
          <w:szCs w:val="24"/>
        </w:rPr>
      </w:pPr>
      <w:r>
        <w:rPr>
          <w:szCs w:val="24"/>
        </w:rPr>
        <w:t>b)</w:t>
      </w:r>
      <w:r>
        <w:rPr>
          <w:szCs w:val="24"/>
        </w:rPr>
        <w:tab/>
      </w:r>
      <w:r w:rsidRPr="00D7791F">
        <w:rPr>
          <w:szCs w:val="24"/>
        </w:rPr>
        <w:t xml:space="preserve">neposkytne zájemci o pojištění nebo pojistníkovi údaje podle tohoto zákona nebo občanského zákoníku anebo zákona upravujícího činnost pojišťovacích zprostředkovatelů a samostatných likvidátorů pojistných událostí týkající se pojištění. </w:t>
      </w:r>
    </w:p>
    <w:p w14:paraId="0652BF4C" w14:textId="51FC6BBD" w:rsidR="00D8555D" w:rsidRPr="00D7791F" w:rsidRDefault="00D8555D" w:rsidP="00D8555D">
      <w:pPr>
        <w:tabs>
          <w:tab w:val="left" w:pos="782"/>
          <w:tab w:val="left" w:pos="851"/>
        </w:tabs>
        <w:spacing w:after="120"/>
        <w:outlineLvl w:val="6"/>
        <w:rPr>
          <w:szCs w:val="24"/>
        </w:rPr>
      </w:pPr>
      <w:r>
        <w:rPr>
          <w:szCs w:val="24"/>
        </w:rPr>
        <w:lastRenderedPageBreak/>
        <w:t xml:space="preserve">(4) </w:t>
      </w:r>
      <w:r w:rsidRPr="00D7791F">
        <w:rPr>
          <w:szCs w:val="24"/>
        </w:rPr>
        <w:t xml:space="preserve">Tuzemská pojišťovna, tuzemská zajišťovna nebo tuzemská pojišťovací holdingová osoba se dopustí přestupku tím, že </w:t>
      </w:r>
    </w:p>
    <w:p w14:paraId="2F816B8D" w14:textId="77777777" w:rsidR="00D8555D" w:rsidRPr="00D7791F" w:rsidRDefault="00D8555D" w:rsidP="00D8555D">
      <w:pPr>
        <w:pStyle w:val="PZTextpsmene"/>
        <w:spacing w:before="0"/>
        <w:rPr>
          <w:szCs w:val="24"/>
        </w:rPr>
      </w:pPr>
      <w:r>
        <w:rPr>
          <w:szCs w:val="24"/>
        </w:rPr>
        <w:t>a)</w:t>
      </w:r>
      <w:r>
        <w:rPr>
          <w:szCs w:val="24"/>
        </w:rPr>
        <w:tab/>
      </w:r>
      <w:r w:rsidRPr="00D7791F">
        <w:rPr>
          <w:szCs w:val="24"/>
        </w:rPr>
        <w:t>ustanoví do klíčové funkce osobu, která není osobou způsobilou nebo důvěryhodnou, nebo</w:t>
      </w:r>
      <w:r>
        <w:rPr>
          <w:szCs w:val="24"/>
        </w:rPr>
        <w:t xml:space="preserve"> </w:t>
      </w:r>
    </w:p>
    <w:p w14:paraId="1307C8C2" w14:textId="77777777" w:rsidR="00D8555D" w:rsidRPr="00D7791F" w:rsidRDefault="00D8555D" w:rsidP="00D8555D">
      <w:pPr>
        <w:pStyle w:val="PZTextpsmene"/>
        <w:spacing w:before="0"/>
        <w:rPr>
          <w:szCs w:val="24"/>
        </w:rPr>
      </w:pPr>
      <w:r>
        <w:rPr>
          <w:szCs w:val="24"/>
        </w:rPr>
        <w:t>b)</w:t>
      </w:r>
      <w:r>
        <w:rPr>
          <w:szCs w:val="24"/>
        </w:rPr>
        <w:tab/>
      </w:r>
      <w:r w:rsidRPr="00D7791F">
        <w:rPr>
          <w:szCs w:val="24"/>
        </w:rPr>
        <w:t xml:space="preserve">nenahradí bez zbytečného odkladu osobu s klíčovou funkcí, která přestala splňovat některou z podmínek způsobilosti nebo důvěryhodnosti. </w:t>
      </w:r>
    </w:p>
    <w:p w14:paraId="2CAD675C" w14:textId="77777777" w:rsidR="00D8555D" w:rsidRPr="00D7791F" w:rsidRDefault="00D8555D" w:rsidP="00D8555D">
      <w:pPr>
        <w:tabs>
          <w:tab w:val="left" w:pos="782"/>
          <w:tab w:val="left" w:pos="851"/>
        </w:tabs>
        <w:spacing w:after="120"/>
        <w:outlineLvl w:val="6"/>
        <w:rPr>
          <w:szCs w:val="24"/>
        </w:rPr>
      </w:pPr>
      <w:r w:rsidRPr="00D7791F">
        <w:rPr>
          <w:szCs w:val="24"/>
        </w:rPr>
        <w:t xml:space="preserve">(5) Za přestupek podle odstavce 1 nebo 3 lze uložit pokutu do 1 000 000 Kč a za přestupek podle odstavce 2 nebo 4 pokutu do 50 000 000 Kč. </w:t>
      </w:r>
    </w:p>
    <w:p w14:paraId="136306B2" w14:textId="77777777" w:rsidR="00D8555D" w:rsidRDefault="00D8555D" w:rsidP="00D8555D">
      <w:pPr>
        <w:pStyle w:val="Paragraf"/>
        <w:spacing w:after="120"/>
      </w:pPr>
      <w:r>
        <w:t>***</w:t>
      </w:r>
    </w:p>
    <w:p w14:paraId="59049F13" w14:textId="77777777" w:rsidR="00D8555D" w:rsidRPr="00186C37" w:rsidRDefault="00D8555D" w:rsidP="00D8555D">
      <w:pPr>
        <w:pStyle w:val="Paragraf"/>
        <w:numPr>
          <w:ilvl w:val="0"/>
          <w:numId w:val="0"/>
        </w:numPr>
        <w:spacing w:after="120"/>
      </w:pPr>
      <w:r w:rsidRPr="00186C37">
        <w:t>§ 124</w:t>
      </w:r>
    </w:p>
    <w:p w14:paraId="21576F86" w14:textId="77777777" w:rsidR="00D8555D" w:rsidRPr="00186C37" w:rsidRDefault="00D8555D" w:rsidP="00D8555D">
      <w:pPr>
        <w:pStyle w:val="Paragraf"/>
        <w:spacing w:after="120"/>
        <w:rPr>
          <w:b/>
        </w:rPr>
      </w:pPr>
      <w:r w:rsidRPr="00186C37">
        <w:rPr>
          <w:b/>
        </w:rPr>
        <w:t>Likvidátor</w:t>
      </w:r>
    </w:p>
    <w:p w14:paraId="325E366E" w14:textId="77777777" w:rsidR="00D8555D" w:rsidRPr="00D7791F" w:rsidRDefault="00D8555D" w:rsidP="00607B4B">
      <w:pPr>
        <w:tabs>
          <w:tab w:val="left" w:pos="782"/>
          <w:tab w:val="left" w:pos="851"/>
        </w:tabs>
        <w:spacing w:before="120" w:after="120"/>
        <w:outlineLvl w:val="6"/>
        <w:rPr>
          <w:szCs w:val="24"/>
        </w:rPr>
      </w:pPr>
      <w:r w:rsidRPr="00D7791F">
        <w:rPr>
          <w:szCs w:val="24"/>
        </w:rPr>
        <w:t>(1)</w:t>
      </w:r>
      <w:r>
        <w:rPr>
          <w:szCs w:val="24"/>
        </w:rPr>
        <w:tab/>
      </w:r>
      <w:r w:rsidRPr="00D7791F">
        <w:rPr>
          <w:szCs w:val="24"/>
        </w:rPr>
        <w:t xml:space="preserve">Česká národní banka jmenuje likvidátora ze zvláštní části seznamu insolvenčních správců vedeného podle zákona o insolvenčních správcích. </w:t>
      </w:r>
    </w:p>
    <w:p w14:paraId="635AF020" w14:textId="77777777" w:rsidR="00D8555D" w:rsidRPr="00D7791F" w:rsidRDefault="00D8555D" w:rsidP="00607B4B">
      <w:pPr>
        <w:tabs>
          <w:tab w:val="left" w:pos="782"/>
          <w:tab w:val="left" w:pos="851"/>
        </w:tabs>
        <w:spacing w:before="120" w:after="120"/>
        <w:outlineLvl w:val="6"/>
        <w:rPr>
          <w:szCs w:val="24"/>
        </w:rPr>
      </w:pPr>
      <w:r w:rsidRPr="00D7791F">
        <w:rPr>
          <w:szCs w:val="24"/>
        </w:rPr>
        <w:t>(</w:t>
      </w:r>
      <w:r>
        <w:rPr>
          <w:szCs w:val="24"/>
        </w:rPr>
        <w:t>2)</w:t>
      </w:r>
      <w:r>
        <w:rPr>
          <w:szCs w:val="24"/>
        </w:rPr>
        <w:tab/>
      </w:r>
      <w:r w:rsidRPr="00D7791F">
        <w:rPr>
          <w:szCs w:val="24"/>
        </w:rPr>
        <w:t xml:space="preserve">Likvidátorem nemůže být jmenována osoba, </w:t>
      </w:r>
      <w:r w:rsidRPr="00186C37">
        <w:rPr>
          <w:szCs w:val="24"/>
        </w:rPr>
        <w:t xml:space="preserve">která </w:t>
      </w:r>
      <w:r w:rsidRPr="00186C37">
        <w:rPr>
          <w:b/>
          <w:szCs w:val="24"/>
        </w:rPr>
        <w:t>v posledních 5 letech</w:t>
      </w:r>
      <w:r w:rsidRPr="00237597">
        <w:rPr>
          <w:sz w:val="22"/>
          <w:szCs w:val="22"/>
        </w:rPr>
        <w:t xml:space="preserve"> </w:t>
      </w:r>
      <w:r w:rsidRPr="00D7791F">
        <w:rPr>
          <w:szCs w:val="24"/>
        </w:rPr>
        <w:t xml:space="preserve">byla nebo je auditorem </w:t>
      </w:r>
      <w:r w:rsidRPr="00760C2D">
        <w:rPr>
          <w:b/>
          <w:szCs w:val="24"/>
        </w:rPr>
        <w:t xml:space="preserve">provádějícím </w:t>
      </w:r>
      <w:r w:rsidRPr="00B35869">
        <w:rPr>
          <w:b/>
          <w:szCs w:val="24"/>
        </w:rPr>
        <w:t>audit</w:t>
      </w:r>
      <w:r>
        <w:rPr>
          <w:b/>
          <w:szCs w:val="24"/>
        </w:rPr>
        <w:t xml:space="preserve"> účetní závěrky</w:t>
      </w:r>
      <w:r w:rsidRPr="00D7791F">
        <w:rPr>
          <w:b/>
          <w:szCs w:val="24"/>
        </w:rPr>
        <w:t xml:space="preserve"> </w:t>
      </w:r>
      <w:r w:rsidRPr="00D7791F">
        <w:rPr>
          <w:szCs w:val="24"/>
        </w:rPr>
        <w:t xml:space="preserve">zrušované pojišťovny nebo zajišťovny nebo se jakýmkoliv způsobem na auditu podílela, nebo osoba, která je nebo byla v této pojišťovně nebo zajišťovně osobou s klíčovou funkcí nebo správcem, nebo k ní má nebo měla vztah, který by mohl být překážkou řádného výkonu funkce likvidátora. </w:t>
      </w:r>
    </w:p>
    <w:p w14:paraId="32BAF77C" w14:textId="77777777" w:rsidR="00D8555D" w:rsidRPr="00D7791F" w:rsidRDefault="00D8555D" w:rsidP="00607B4B">
      <w:pPr>
        <w:tabs>
          <w:tab w:val="left" w:pos="782"/>
          <w:tab w:val="left" w:pos="851"/>
        </w:tabs>
        <w:spacing w:before="120" w:after="120"/>
        <w:outlineLvl w:val="6"/>
        <w:rPr>
          <w:szCs w:val="24"/>
        </w:rPr>
      </w:pPr>
      <w:r w:rsidRPr="00D7791F">
        <w:rPr>
          <w:szCs w:val="24"/>
        </w:rPr>
        <w:t xml:space="preserve">(3) Likvidátor vykonává svoji činnost s odbornou péčí a </w:t>
      </w:r>
      <w:r w:rsidRPr="00D12378">
        <w:rPr>
          <w:szCs w:val="24"/>
        </w:rPr>
        <w:t>předkládá České národní bance</w:t>
      </w:r>
      <w:r w:rsidRPr="00D7791F">
        <w:rPr>
          <w:szCs w:val="24"/>
        </w:rPr>
        <w:t xml:space="preserve"> bez zbytečného odkladu </w:t>
      </w:r>
      <w:r w:rsidRPr="00D7791F">
        <w:rPr>
          <w:strike/>
          <w:szCs w:val="24"/>
        </w:rPr>
        <w:t>účetní závěrku</w:t>
      </w:r>
      <w:r w:rsidRPr="00D7791F">
        <w:rPr>
          <w:szCs w:val="24"/>
        </w:rPr>
        <w:t xml:space="preserve"> </w:t>
      </w:r>
      <w:r w:rsidRPr="00D7791F">
        <w:rPr>
          <w:b/>
          <w:szCs w:val="24"/>
        </w:rPr>
        <w:t xml:space="preserve">individuální </w:t>
      </w:r>
      <w:r>
        <w:rPr>
          <w:b/>
          <w:szCs w:val="24"/>
        </w:rPr>
        <w:t>účetní závěrku, zprávy podle zákona upravujícího účetnictví, jsou-li vyhotovovány, a zprávy o jejich ověření, jsou-li ověřovány,</w:t>
      </w:r>
      <w:r w:rsidRPr="00D7791F">
        <w:rPr>
          <w:b/>
          <w:szCs w:val="24"/>
        </w:rPr>
        <w:t xml:space="preserve"> </w:t>
      </w:r>
      <w:r w:rsidRPr="00D7791F">
        <w:rPr>
          <w:szCs w:val="24"/>
        </w:rPr>
        <w:t xml:space="preserve">a </w:t>
      </w:r>
      <w:r w:rsidRPr="00B35869">
        <w:rPr>
          <w:strike/>
          <w:szCs w:val="24"/>
        </w:rPr>
        <w:t>jiné</w:t>
      </w:r>
      <w:r w:rsidRPr="00D7791F">
        <w:rPr>
          <w:szCs w:val="24"/>
        </w:rPr>
        <w:t xml:space="preserve"> </w:t>
      </w:r>
      <w:r w:rsidRPr="00F22FBD">
        <w:rPr>
          <w:strike/>
          <w:szCs w:val="24"/>
        </w:rPr>
        <w:t>výkazy a</w:t>
      </w:r>
      <w:r w:rsidRPr="00D7791F">
        <w:rPr>
          <w:szCs w:val="24"/>
        </w:rPr>
        <w:t xml:space="preserve"> </w:t>
      </w:r>
      <w:r w:rsidRPr="00D12378">
        <w:rPr>
          <w:strike/>
          <w:szCs w:val="24"/>
        </w:rPr>
        <w:t>doklady</w:t>
      </w:r>
      <w:r w:rsidRPr="00D7791F">
        <w:rPr>
          <w:szCs w:val="24"/>
        </w:rPr>
        <w:t xml:space="preserve"> </w:t>
      </w:r>
      <w:r>
        <w:rPr>
          <w:b/>
          <w:szCs w:val="24"/>
        </w:rPr>
        <w:t xml:space="preserve">účetní záznamy </w:t>
      </w:r>
      <w:r w:rsidRPr="00D7791F">
        <w:rPr>
          <w:szCs w:val="24"/>
        </w:rPr>
        <w:t xml:space="preserve">zpracované v průběhu likvidace v souladu </w:t>
      </w:r>
      <w:r w:rsidRPr="00B62431">
        <w:rPr>
          <w:b/>
        </w:rPr>
        <w:t>s právními předpisy upravujícími účetnictví, občanským zákoníkem</w:t>
      </w:r>
      <w:r w:rsidRPr="00B62431">
        <w:rPr>
          <w:b/>
          <w:szCs w:val="24"/>
        </w:rPr>
        <w:t xml:space="preserve"> a</w:t>
      </w:r>
      <w:r w:rsidRPr="00D7791F">
        <w:rPr>
          <w:szCs w:val="24"/>
        </w:rPr>
        <w:t xml:space="preserve"> se zákonem upravujícím právní poměry obchodních společností a družstev, a na písemné vyžádání České národní banky další podklady nezbytné k posouzení činnosti likvidátora a nejpozději do 31. března výroční zprávu o průběhu likvidace. </w:t>
      </w:r>
    </w:p>
    <w:p w14:paraId="49B50D30" w14:textId="77777777" w:rsidR="00D8555D" w:rsidRPr="00705576" w:rsidRDefault="00D8555D" w:rsidP="00607B4B">
      <w:pPr>
        <w:tabs>
          <w:tab w:val="left" w:pos="782"/>
          <w:tab w:val="left" w:pos="851"/>
        </w:tabs>
        <w:spacing w:before="120" w:after="120"/>
        <w:outlineLvl w:val="6"/>
        <w:rPr>
          <w:szCs w:val="24"/>
        </w:rPr>
      </w:pPr>
      <w:r w:rsidRPr="00D7791F">
        <w:rPr>
          <w:szCs w:val="24"/>
        </w:rPr>
        <w:t xml:space="preserve">(4) Přestane-li likvidátor splňovat podmínky pro své jmenování, informuje o tom bez zbytečného odkladu Českou národní banku, která bez zbytečného odkladu jmenuje jiného likvidátora. </w:t>
      </w:r>
    </w:p>
    <w:p w14:paraId="41C7CCAB" w14:textId="77777777" w:rsidR="00D8555D" w:rsidRDefault="00D8555D" w:rsidP="00D8555D">
      <w:pPr>
        <w:pStyle w:val="Paragraf"/>
        <w:spacing w:after="120"/>
      </w:pPr>
      <w:r>
        <w:t>***</w:t>
      </w:r>
    </w:p>
    <w:p w14:paraId="29039AFB" w14:textId="77777777" w:rsidR="00D8555D" w:rsidRPr="00C157DB" w:rsidRDefault="00D8555D" w:rsidP="00D8555D">
      <w:pPr>
        <w:pStyle w:val="Paragraf"/>
        <w:numPr>
          <w:ilvl w:val="0"/>
          <w:numId w:val="0"/>
        </w:numPr>
        <w:spacing w:after="120"/>
      </w:pPr>
      <w:r w:rsidRPr="00C157DB">
        <w:t>§ 128</w:t>
      </w:r>
    </w:p>
    <w:p w14:paraId="3C539FB2" w14:textId="1E831DDD" w:rsidR="00D8555D" w:rsidRPr="00D8555D" w:rsidRDefault="00D8555D" w:rsidP="00D8555D">
      <w:pPr>
        <w:pStyle w:val="Paragraf"/>
        <w:numPr>
          <w:ilvl w:val="0"/>
          <w:numId w:val="0"/>
        </w:numPr>
        <w:spacing w:after="120"/>
        <w:rPr>
          <w:b/>
        </w:rPr>
      </w:pPr>
      <w:r w:rsidRPr="00C157DB">
        <w:rPr>
          <w:b/>
        </w:rPr>
        <w:t>Výjimky z povinnosti zachovávat mlčenlivost</w:t>
      </w:r>
    </w:p>
    <w:p w14:paraId="6F2256FD" w14:textId="77777777" w:rsidR="00D8555D" w:rsidRPr="00D7791F" w:rsidRDefault="00D8555D" w:rsidP="00D8555D">
      <w:pPr>
        <w:tabs>
          <w:tab w:val="left" w:pos="782"/>
          <w:tab w:val="left" w:pos="851"/>
        </w:tabs>
        <w:spacing w:after="120"/>
        <w:outlineLvl w:val="6"/>
        <w:rPr>
          <w:szCs w:val="24"/>
        </w:rPr>
      </w:pPr>
      <w:r w:rsidRPr="00D7791F">
        <w:rPr>
          <w:szCs w:val="24"/>
        </w:rPr>
        <w:t>(1) Porušením povinnosti zachovávat mlčenlivost stanovené v § 127 není poskytnutí informací se souhlasem osob, jichž se údaje týkají, a dále poskytnutí informací na písemné vyžádání</w:t>
      </w:r>
    </w:p>
    <w:p w14:paraId="13701442" w14:textId="77777777" w:rsidR="00D8555D" w:rsidRPr="00D7791F" w:rsidRDefault="00D8555D" w:rsidP="00D8555D">
      <w:pPr>
        <w:pStyle w:val="PZTextpsmene"/>
        <w:spacing w:before="0"/>
        <w:rPr>
          <w:szCs w:val="24"/>
        </w:rPr>
      </w:pPr>
      <w:r>
        <w:rPr>
          <w:szCs w:val="24"/>
        </w:rPr>
        <w:t>a)</w:t>
      </w:r>
      <w:r>
        <w:rPr>
          <w:szCs w:val="24"/>
        </w:rPr>
        <w:tab/>
      </w:r>
      <w:r w:rsidRPr="00D7791F">
        <w:rPr>
          <w:szCs w:val="24"/>
        </w:rPr>
        <w:t>České národní banky při výkonu dohledu podle tohoto zákona,</w:t>
      </w:r>
    </w:p>
    <w:p w14:paraId="4DC5F4A1" w14:textId="77777777" w:rsidR="00D8555D" w:rsidRPr="00D7791F" w:rsidRDefault="00D8555D" w:rsidP="00D8555D">
      <w:pPr>
        <w:pStyle w:val="PZTextpsmene"/>
        <w:spacing w:before="0"/>
        <w:rPr>
          <w:szCs w:val="24"/>
        </w:rPr>
      </w:pPr>
      <w:r>
        <w:rPr>
          <w:szCs w:val="24"/>
        </w:rPr>
        <w:t>b)</w:t>
      </w:r>
      <w:r>
        <w:rPr>
          <w:szCs w:val="24"/>
        </w:rPr>
        <w:tab/>
      </w:r>
      <w:r w:rsidRPr="00D7791F">
        <w:rPr>
          <w:szCs w:val="24"/>
        </w:rPr>
        <w:t>soudu,</w:t>
      </w:r>
    </w:p>
    <w:p w14:paraId="3E46975C" w14:textId="77777777" w:rsidR="00D8555D" w:rsidRPr="00D7791F" w:rsidRDefault="00D8555D" w:rsidP="00D8555D">
      <w:pPr>
        <w:pStyle w:val="PZTextpsmene"/>
        <w:spacing w:before="0"/>
        <w:rPr>
          <w:szCs w:val="24"/>
        </w:rPr>
      </w:pPr>
      <w:r>
        <w:rPr>
          <w:szCs w:val="24"/>
        </w:rPr>
        <w:t>c)</w:t>
      </w:r>
      <w:r>
        <w:rPr>
          <w:szCs w:val="24"/>
        </w:rPr>
        <w:tab/>
      </w:r>
      <w:r w:rsidRPr="00D7791F">
        <w:rPr>
          <w:szCs w:val="24"/>
        </w:rPr>
        <w:t>orgánu činného v trestním řízení nebo správním řízení vedeném ve věci přestupku,</w:t>
      </w:r>
    </w:p>
    <w:p w14:paraId="35297A37" w14:textId="77777777" w:rsidR="00D8555D" w:rsidRPr="00D7791F" w:rsidRDefault="00D8555D" w:rsidP="00D8555D">
      <w:pPr>
        <w:pStyle w:val="PZTextpsmene"/>
        <w:spacing w:before="0"/>
        <w:rPr>
          <w:szCs w:val="24"/>
        </w:rPr>
      </w:pPr>
      <w:r>
        <w:rPr>
          <w:szCs w:val="24"/>
        </w:rPr>
        <w:t>d)</w:t>
      </w:r>
      <w:r>
        <w:rPr>
          <w:szCs w:val="24"/>
        </w:rPr>
        <w:tab/>
      </w:r>
      <w:r w:rsidRPr="00D7791F">
        <w:rPr>
          <w:szCs w:val="24"/>
        </w:rPr>
        <w:t>správce daně, poplatku nebo jiného obdobného peněžitého plnění pro výkon jejich správy,</w:t>
      </w:r>
    </w:p>
    <w:p w14:paraId="13426900" w14:textId="77777777" w:rsidR="00D8555D" w:rsidRPr="00D7791F" w:rsidRDefault="00D8555D" w:rsidP="00D8555D">
      <w:pPr>
        <w:pStyle w:val="PZTextpsmene"/>
        <w:spacing w:before="0"/>
        <w:rPr>
          <w:szCs w:val="24"/>
        </w:rPr>
      </w:pPr>
      <w:r>
        <w:rPr>
          <w:szCs w:val="24"/>
        </w:rPr>
        <w:lastRenderedPageBreak/>
        <w:t>e)</w:t>
      </w:r>
      <w:r>
        <w:rPr>
          <w:szCs w:val="24"/>
        </w:rPr>
        <w:tab/>
      </w:r>
      <w:r w:rsidRPr="00D7791F">
        <w:rPr>
          <w:szCs w:val="24"/>
        </w:rPr>
        <w:t>orgánu dohledu členského státu nebo třetího státu, jestliže se jedná o pojištění sjednané pojišťovnou se sídlem na území tohoto státu,</w:t>
      </w:r>
    </w:p>
    <w:p w14:paraId="75C2D061" w14:textId="77777777" w:rsidR="00D8555D" w:rsidRPr="00D7791F" w:rsidRDefault="00D8555D" w:rsidP="00D8555D">
      <w:pPr>
        <w:pStyle w:val="PZTextpsmene"/>
        <w:spacing w:before="0"/>
        <w:rPr>
          <w:szCs w:val="24"/>
        </w:rPr>
      </w:pPr>
      <w:r w:rsidRPr="00D7791F">
        <w:rPr>
          <w:szCs w:val="24"/>
        </w:rPr>
        <w:t>f</w:t>
      </w:r>
      <w:r>
        <w:rPr>
          <w:szCs w:val="24"/>
        </w:rPr>
        <w:t>)</w:t>
      </w:r>
      <w:r>
        <w:rPr>
          <w:szCs w:val="24"/>
        </w:rPr>
        <w:tab/>
      </w:r>
      <w:r w:rsidRPr="00D7791F">
        <w:rPr>
          <w:szCs w:val="24"/>
        </w:rPr>
        <w:t>Úřadu pro ochranu hospodářské soutěže,</w:t>
      </w:r>
    </w:p>
    <w:p w14:paraId="4DC11FF5" w14:textId="77777777" w:rsidR="00D8555D" w:rsidRPr="00D7791F" w:rsidRDefault="00D8555D" w:rsidP="00D8555D">
      <w:pPr>
        <w:pStyle w:val="PZTextpsmene"/>
        <w:spacing w:before="0"/>
        <w:rPr>
          <w:szCs w:val="24"/>
        </w:rPr>
      </w:pPr>
      <w:r>
        <w:rPr>
          <w:szCs w:val="24"/>
        </w:rPr>
        <w:t>g)</w:t>
      </w:r>
      <w:r>
        <w:rPr>
          <w:szCs w:val="24"/>
        </w:rPr>
        <w:tab/>
      </w:r>
      <w:r w:rsidRPr="00D7791F">
        <w:rPr>
          <w:szCs w:val="24"/>
        </w:rPr>
        <w:t>orgánů sociálního zabezpečení ve věci řízení o pojistném na sociální zabezpečení a příspěvku na státní politiku zaměstnanosti nebo zdravotní pojišťovny ve věci vymáhání náhrady nákladů na péči hrazenou ze zdravotního pojištění vynaložených v důsledku protiprávního jednání třetí osoby vůči pojištěnci,</w:t>
      </w:r>
    </w:p>
    <w:p w14:paraId="04F3EAA0" w14:textId="77777777" w:rsidR="00D8555D" w:rsidRPr="00D7791F" w:rsidRDefault="00D8555D" w:rsidP="00D8555D">
      <w:pPr>
        <w:spacing w:before="0"/>
        <w:ind w:left="425" w:hanging="425"/>
        <w:contextualSpacing/>
        <w:rPr>
          <w:szCs w:val="24"/>
        </w:rPr>
      </w:pPr>
      <w:r>
        <w:rPr>
          <w:szCs w:val="24"/>
        </w:rPr>
        <w:t>h)</w:t>
      </w:r>
      <w:r>
        <w:rPr>
          <w:szCs w:val="24"/>
        </w:rPr>
        <w:tab/>
      </w:r>
      <w:r w:rsidRPr="00D7791F">
        <w:rPr>
          <w:szCs w:val="24"/>
        </w:rPr>
        <w:t>Veřejného ochránce práv v souvislosti s šetřením podle zákona upravujícího jeho působnost</w:t>
      </w:r>
      <w:r>
        <w:rPr>
          <w:rStyle w:val="Znakapoznpodarou"/>
          <w:szCs w:val="24"/>
        </w:rPr>
        <w:footnoteReference w:customMarkFollows="1" w:id="523"/>
        <w:t>32)</w:t>
      </w:r>
      <w:r w:rsidRPr="00D7791F">
        <w:rPr>
          <w:szCs w:val="24"/>
        </w:rPr>
        <w:t>,</w:t>
      </w:r>
    </w:p>
    <w:p w14:paraId="1C7CAFD4" w14:textId="77777777" w:rsidR="00D8555D" w:rsidRPr="00D7791F" w:rsidRDefault="00D8555D" w:rsidP="00D8555D">
      <w:pPr>
        <w:spacing w:before="0"/>
        <w:ind w:left="425" w:hanging="425"/>
        <w:contextualSpacing/>
        <w:rPr>
          <w:szCs w:val="24"/>
        </w:rPr>
      </w:pPr>
      <w:r>
        <w:rPr>
          <w:szCs w:val="24"/>
        </w:rPr>
        <w:t>i)</w:t>
      </w:r>
      <w:r>
        <w:rPr>
          <w:szCs w:val="24"/>
        </w:rPr>
        <w:tab/>
      </w:r>
      <w:r w:rsidRPr="00D7791F">
        <w:rPr>
          <w:szCs w:val="24"/>
        </w:rPr>
        <w:t>Národního bezpečnostního úřadu, zpravodajské služby nebo Ministerstva vnitra při provádění bezpečnostního řízení podle zákona upravujícího bezpečnostní způsobilost</w:t>
      </w:r>
      <w:r>
        <w:rPr>
          <w:rStyle w:val="Znakapoznpodarou"/>
          <w:szCs w:val="24"/>
        </w:rPr>
        <w:footnoteReference w:customMarkFollows="1" w:id="524"/>
        <w:t>33)</w:t>
      </w:r>
      <w:r w:rsidRPr="00D7791F">
        <w:rPr>
          <w:szCs w:val="24"/>
        </w:rPr>
        <w:t>,</w:t>
      </w:r>
    </w:p>
    <w:p w14:paraId="7672183A" w14:textId="77777777" w:rsidR="00D8555D" w:rsidRPr="00D7791F" w:rsidRDefault="00D8555D" w:rsidP="00D8555D">
      <w:pPr>
        <w:spacing w:before="0"/>
        <w:ind w:left="425" w:hanging="425"/>
        <w:contextualSpacing/>
        <w:rPr>
          <w:szCs w:val="24"/>
        </w:rPr>
      </w:pPr>
      <w:r>
        <w:rPr>
          <w:szCs w:val="24"/>
        </w:rPr>
        <w:t>j)</w:t>
      </w:r>
      <w:r>
        <w:rPr>
          <w:szCs w:val="24"/>
        </w:rPr>
        <w:tab/>
      </w:r>
      <w:r w:rsidRPr="00D7791F">
        <w:rPr>
          <w:szCs w:val="24"/>
        </w:rPr>
        <w:t>orgánu příslušnému rozhodovat o porušení povinnosti veřejných funkcionářů podle zákona upravujícího ochranu utajovaných informací a střet zájmů</w:t>
      </w:r>
      <w:r>
        <w:rPr>
          <w:rStyle w:val="Znakapoznpodarou"/>
          <w:szCs w:val="24"/>
        </w:rPr>
        <w:footnoteReference w:customMarkFollows="1" w:id="525"/>
        <w:t>34)</w:t>
      </w:r>
      <w:r w:rsidRPr="00D7791F">
        <w:rPr>
          <w:szCs w:val="24"/>
        </w:rPr>
        <w:t>,</w:t>
      </w:r>
    </w:p>
    <w:p w14:paraId="12185C77" w14:textId="77777777" w:rsidR="00D8555D" w:rsidRPr="00D7791F" w:rsidRDefault="00D8555D" w:rsidP="00D8555D">
      <w:pPr>
        <w:spacing w:before="0"/>
        <w:ind w:left="425" w:hanging="425"/>
        <w:contextualSpacing/>
        <w:rPr>
          <w:szCs w:val="24"/>
        </w:rPr>
      </w:pPr>
      <w:r>
        <w:rPr>
          <w:szCs w:val="24"/>
        </w:rPr>
        <w:t>k)</w:t>
      </w:r>
      <w:r>
        <w:rPr>
          <w:szCs w:val="24"/>
        </w:rPr>
        <w:tab/>
      </w:r>
      <w:r w:rsidRPr="00D7791F">
        <w:rPr>
          <w:szCs w:val="24"/>
        </w:rPr>
        <w:t>Úřadu pro ochranu osobních údajů,</w:t>
      </w:r>
    </w:p>
    <w:p w14:paraId="4B9FEA37" w14:textId="77777777" w:rsidR="00D8555D" w:rsidRPr="00D7791F" w:rsidRDefault="00D8555D" w:rsidP="00D8555D">
      <w:pPr>
        <w:spacing w:before="0"/>
        <w:ind w:left="425" w:hanging="425"/>
        <w:contextualSpacing/>
        <w:rPr>
          <w:szCs w:val="24"/>
        </w:rPr>
      </w:pPr>
      <w:r>
        <w:rPr>
          <w:szCs w:val="24"/>
        </w:rPr>
        <w:t>l)</w:t>
      </w:r>
      <w:r>
        <w:rPr>
          <w:szCs w:val="24"/>
        </w:rPr>
        <w:tab/>
      </w:r>
      <w:r w:rsidRPr="00D7791F">
        <w:rPr>
          <w:szCs w:val="24"/>
        </w:rPr>
        <w:t>soudního exekutora podle zákona upravujícího činnost soudních exekutorů a exekuce,</w:t>
      </w:r>
    </w:p>
    <w:p w14:paraId="50E92788" w14:textId="77777777" w:rsidR="00D8555D" w:rsidRPr="00D7791F" w:rsidRDefault="00D8555D" w:rsidP="00D8555D">
      <w:pPr>
        <w:ind w:left="425" w:hanging="425"/>
        <w:contextualSpacing/>
        <w:rPr>
          <w:szCs w:val="24"/>
        </w:rPr>
      </w:pPr>
      <w:r>
        <w:rPr>
          <w:szCs w:val="24"/>
        </w:rPr>
        <w:t>m)</w:t>
      </w:r>
      <w:r>
        <w:rPr>
          <w:szCs w:val="24"/>
        </w:rPr>
        <w:tab/>
      </w:r>
      <w:r w:rsidRPr="00D7791F">
        <w:rPr>
          <w:szCs w:val="24"/>
        </w:rPr>
        <w:t>finančního arbitra v souvislosti s šetřením podle zákona upravujícího jeho působnost,</w:t>
      </w:r>
    </w:p>
    <w:p w14:paraId="1B9E674C" w14:textId="77777777" w:rsidR="00D8555D" w:rsidRPr="00D7791F" w:rsidRDefault="00D8555D" w:rsidP="00D8555D">
      <w:pPr>
        <w:ind w:left="425" w:hanging="425"/>
        <w:contextualSpacing/>
        <w:rPr>
          <w:szCs w:val="24"/>
        </w:rPr>
      </w:pPr>
      <w:r>
        <w:rPr>
          <w:szCs w:val="24"/>
        </w:rPr>
        <w:t>n)</w:t>
      </w:r>
      <w:r>
        <w:rPr>
          <w:szCs w:val="24"/>
        </w:rPr>
        <w:tab/>
      </w:r>
      <w:r w:rsidRPr="00D7791F">
        <w:rPr>
          <w:szCs w:val="24"/>
        </w:rPr>
        <w:t>Ministerstva vnitra ve věcech týkajících se soukromého zdra</w:t>
      </w:r>
      <w:r>
        <w:rPr>
          <w:szCs w:val="24"/>
        </w:rPr>
        <w:t>votního pojištění cizinců, nebo</w:t>
      </w:r>
    </w:p>
    <w:p w14:paraId="26ED8EC0" w14:textId="77777777" w:rsidR="00D8555D" w:rsidRPr="00D7791F" w:rsidRDefault="00D8555D" w:rsidP="00D8555D">
      <w:pPr>
        <w:ind w:left="425" w:hanging="425"/>
        <w:contextualSpacing/>
        <w:rPr>
          <w:szCs w:val="24"/>
        </w:rPr>
      </w:pPr>
      <w:r>
        <w:rPr>
          <w:szCs w:val="24"/>
        </w:rPr>
        <w:t>o)</w:t>
      </w:r>
      <w:r>
        <w:rPr>
          <w:szCs w:val="24"/>
        </w:rPr>
        <w:tab/>
      </w:r>
      <w:r w:rsidRPr="00D7791F">
        <w:rPr>
          <w:szCs w:val="24"/>
        </w:rPr>
        <w:t>Ministerstva spravedlnosti pro účely řízení o žádosti o poskytnutí peněžité pomoci podle zákona o obětech trestných činů,</w:t>
      </w:r>
    </w:p>
    <w:p w14:paraId="028A21D0" w14:textId="77777777" w:rsidR="00D8555D" w:rsidRPr="00D7791F" w:rsidRDefault="00D8555D" w:rsidP="00D8555D">
      <w:pPr>
        <w:tabs>
          <w:tab w:val="left" w:pos="782"/>
          <w:tab w:val="left" w:pos="851"/>
        </w:tabs>
        <w:spacing w:before="120" w:after="120"/>
        <w:outlineLvl w:val="6"/>
        <w:rPr>
          <w:szCs w:val="24"/>
        </w:rPr>
      </w:pPr>
      <w:r w:rsidRPr="00D7791F">
        <w:rPr>
          <w:szCs w:val="24"/>
        </w:rPr>
        <w:t>a to za předpokladu, že se tyto požadované informace budou vztahovat ke konkrétní osobě a lze je použít pouze ke splnění povinnosti vyplývající z působnosti příslušného orgánu.</w:t>
      </w:r>
    </w:p>
    <w:p w14:paraId="083FD5AC" w14:textId="77777777" w:rsidR="00D8555D" w:rsidRPr="00D7791F" w:rsidRDefault="00D8555D" w:rsidP="00607B4B">
      <w:pPr>
        <w:tabs>
          <w:tab w:val="left" w:pos="782"/>
          <w:tab w:val="left" w:pos="851"/>
        </w:tabs>
        <w:spacing w:before="120" w:after="120"/>
        <w:outlineLvl w:val="6"/>
        <w:rPr>
          <w:szCs w:val="24"/>
        </w:rPr>
      </w:pPr>
      <w:r w:rsidRPr="00D7791F">
        <w:rPr>
          <w:szCs w:val="24"/>
        </w:rPr>
        <w:t>(2) Písemné vyžádání podle odstavce 1 musí obsahovat údaje, ze kterých je zřejmý oprávněný důvod tohoto vyžádání. Informace podle odstavce 1 písm. l) se poskytuje za úhradu nákladů s tím spojených.</w:t>
      </w:r>
    </w:p>
    <w:p w14:paraId="13F4E84D" w14:textId="77777777" w:rsidR="00D8555D" w:rsidRPr="00D7791F" w:rsidRDefault="00D8555D" w:rsidP="00607B4B">
      <w:pPr>
        <w:tabs>
          <w:tab w:val="left" w:pos="782"/>
          <w:tab w:val="left" w:pos="851"/>
        </w:tabs>
        <w:spacing w:before="120" w:after="120"/>
        <w:outlineLvl w:val="6"/>
        <w:rPr>
          <w:szCs w:val="24"/>
        </w:rPr>
      </w:pPr>
      <w:r w:rsidRPr="00D7791F">
        <w:rPr>
          <w:szCs w:val="24"/>
        </w:rPr>
        <w:t>(3) Porušením povinnosti zachovávat mlčenlivost stanovené v § 126 a 127 není výměna informací mezi Českou národní bankou a orgány dohledu jiných členských států, orgány dohledu třetích států a také výměna informací mezi Českou národní bankou a</w:t>
      </w:r>
    </w:p>
    <w:p w14:paraId="3580A103" w14:textId="77777777" w:rsidR="00D8555D" w:rsidRPr="00D7791F" w:rsidRDefault="00D8555D" w:rsidP="00D8555D">
      <w:pPr>
        <w:ind w:left="425" w:hanging="425"/>
        <w:contextualSpacing/>
        <w:rPr>
          <w:szCs w:val="24"/>
        </w:rPr>
      </w:pPr>
      <w:r>
        <w:rPr>
          <w:szCs w:val="24"/>
        </w:rPr>
        <w:t>a)</w:t>
      </w:r>
      <w:r>
        <w:rPr>
          <w:szCs w:val="24"/>
        </w:rPr>
        <w:tab/>
      </w:r>
      <w:r w:rsidRPr="00D7791F">
        <w:rPr>
          <w:szCs w:val="24"/>
        </w:rPr>
        <w:t>orgány, které jsou odpovědné za výkon dohledu nad bankami nebo obdobnými úvěrovými institucemi, a dalšími finančními institucemi a úřady odpovědnými za dohled nad finančními trhy,</w:t>
      </w:r>
    </w:p>
    <w:p w14:paraId="22ADD2E3" w14:textId="77777777" w:rsidR="00D8555D" w:rsidRPr="00D7791F" w:rsidRDefault="00D8555D" w:rsidP="00D8555D">
      <w:pPr>
        <w:ind w:left="425" w:hanging="425"/>
        <w:contextualSpacing/>
        <w:rPr>
          <w:szCs w:val="24"/>
        </w:rPr>
      </w:pPr>
      <w:r>
        <w:rPr>
          <w:szCs w:val="24"/>
        </w:rPr>
        <w:t>b)</w:t>
      </w:r>
      <w:r>
        <w:rPr>
          <w:szCs w:val="24"/>
        </w:rPr>
        <w:tab/>
      </w:r>
      <w:r w:rsidRPr="00D7791F">
        <w:rPr>
          <w:szCs w:val="24"/>
        </w:rPr>
        <w:t>orgány a osobami působícími při likvidaci nebo úpadku pojišťovny,</w:t>
      </w:r>
    </w:p>
    <w:p w14:paraId="018001B8" w14:textId="77777777" w:rsidR="00D8555D" w:rsidRPr="00D7791F" w:rsidRDefault="00D8555D" w:rsidP="00D8555D">
      <w:pPr>
        <w:ind w:left="425" w:hanging="425"/>
        <w:contextualSpacing/>
        <w:rPr>
          <w:strike/>
          <w:szCs w:val="24"/>
        </w:rPr>
      </w:pPr>
      <w:r>
        <w:rPr>
          <w:strike/>
          <w:szCs w:val="24"/>
        </w:rPr>
        <w:t>c)</w:t>
      </w:r>
      <w:r>
        <w:rPr>
          <w:strike/>
          <w:szCs w:val="24"/>
        </w:rPr>
        <w:tab/>
      </w:r>
      <w:r w:rsidRPr="00D7791F">
        <w:rPr>
          <w:strike/>
          <w:szCs w:val="24"/>
        </w:rPr>
        <w:t>osobami odpovědnými za provádění zákonem stanovených auditů pojišťoven a dalších finančních institucí,</w:t>
      </w:r>
    </w:p>
    <w:p w14:paraId="26CEAC9D" w14:textId="77777777" w:rsidR="00D8555D" w:rsidRPr="00C157DB" w:rsidRDefault="00D8555D" w:rsidP="00D8555D">
      <w:pPr>
        <w:ind w:left="425" w:hanging="425"/>
        <w:contextualSpacing/>
        <w:rPr>
          <w:b/>
          <w:szCs w:val="24"/>
        </w:rPr>
      </w:pPr>
      <w:r w:rsidRPr="00C157DB">
        <w:rPr>
          <w:b/>
          <w:szCs w:val="24"/>
        </w:rPr>
        <w:t>c)</w:t>
      </w:r>
      <w:r w:rsidRPr="00C157DB">
        <w:rPr>
          <w:b/>
          <w:szCs w:val="24"/>
        </w:rPr>
        <w:tab/>
        <w:t xml:space="preserve">auditory provádějícími </w:t>
      </w:r>
      <w:r w:rsidRPr="009C26B1">
        <w:rPr>
          <w:b/>
          <w:szCs w:val="24"/>
        </w:rPr>
        <w:t>povinný audit</w:t>
      </w:r>
      <w:r w:rsidRPr="00C157DB">
        <w:rPr>
          <w:b/>
          <w:szCs w:val="24"/>
        </w:rPr>
        <w:t xml:space="preserve"> pojišťoven a zajišťoven,</w:t>
      </w:r>
    </w:p>
    <w:p w14:paraId="61C0C26D" w14:textId="77777777" w:rsidR="00D8555D" w:rsidRPr="00D7791F" w:rsidRDefault="00D8555D" w:rsidP="00D8555D">
      <w:pPr>
        <w:ind w:left="425" w:hanging="425"/>
        <w:contextualSpacing/>
        <w:rPr>
          <w:szCs w:val="24"/>
        </w:rPr>
      </w:pPr>
      <w:r w:rsidRPr="00D7791F">
        <w:rPr>
          <w:szCs w:val="24"/>
        </w:rPr>
        <w:t>d)</w:t>
      </w:r>
      <w:r>
        <w:rPr>
          <w:szCs w:val="24"/>
        </w:rPr>
        <w:tab/>
      </w:r>
      <w:r w:rsidRPr="00D7791F">
        <w:rPr>
          <w:szCs w:val="24"/>
        </w:rPr>
        <w:t>nezávislými znalci pojišťoven a zajišťoven provádějícími dohled nad těmito pojišťovnami a zajišťovnami a úřady odpovědnými za kontrolu těchto zna</w:t>
      </w:r>
      <w:r>
        <w:rPr>
          <w:szCs w:val="24"/>
        </w:rPr>
        <w:t>lců při výkonu jejich činností,</w:t>
      </w:r>
    </w:p>
    <w:p w14:paraId="3AEFA833" w14:textId="77777777" w:rsidR="00D8555D" w:rsidRPr="00D7791F" w:rsidRDefault="00D8555D" w:rsidP="00D8555D">
      <w:pPr>
        <w:tabs>
          <w:tab w:val="left" w:pos="782"/>
          <w:tab w:val="left" w:pos="851"/>
        </w:tabs>
        <w:spacing w:before="120" w:after="120"/>
        <w:outlineLvl w:val="6"/>
        <w:rPr>
          <w:szCs w:val="24"/>
        </w:rPr>
      </w:pPr>
      <w:r w:rsidRPr="00D7791F">
        <w:rPr>
          <w:szCs w:val="24"/>
        </w:rPr>
        <w:t>a to za předpokladu, že právní úprava státu, ve kterém mají být tyto informace zpracovány, odpovídá stejným podmínkám stanoveným tímto zákonem; orgány a osoby, které získaly takové informace, zachovávají o nich mlčenlivost.</w:t>
      </w:r>
    </w:p>
    <w:p w14:paraId="17149189" w14:textId="77777777" w:rsidR="00D8555D" w:rsidRPr="00D7791F" w:rsidRDefault="00D8555D" w:rsidP="00607B4B">
      <w:pPr>
        <w:tabs>
          <w:tab w:val="left" w:pos="782"/>
          <w:tab w:val="left" w:pos="851"/>
        </w:tabs>
        <w:spacing w:before="120" w:after="120"/>
        <w:outlineLvl w:val="6"/>
        <w:rPr>
          <w:szCs w:val="24"/>
        </w:rPr>
      </w:pPr>
      <w:r w:rsidRPr="00D7791F">
        <w:rPr>
          <w:szCs w:val="24"/>
        </w:rPr>
        <w:t xml:space="preserve">(4) Česká národní banka informuje bez zbytečného odkladu orgán dohledu podle odstavce 3 písm. a) o každé skutečnosti, kterou považuje za podstatnou pro výkon dohledu tohoto orgánu. </w:t>
      </w:r>
      <w:r w:rsidRPr="00D7791F">
        <w:rPr>
          <w:szCs w:val="24"/>
        </w:rPr>
        <w:lastRenderedPageBreak/>
        <w:t>Na vyžádání orgánu dohledu Česká národní banka sdělí žádajícímu orgánu dohledu veškeré jí známé skutečnosti včetně výhrad k posuzovaným osobám.</w:t>
      </w:r>
    </w:p>
    <w:p w14:paraId="0B1FE28E" w14:textId="77777777" w:rsidR="00D8555D" w:rsidRPr="00D7791F" w:rsidRDefault="00D8555D" w:rsidP="00607B4B">
      <w:pPr>
        <w:tabs>
          <w:tab w:val="left" w:pos="782"/>
          <w:tab w:val="left" w:pos="851"/>
        </w:tabs>
        <w:spacing w:before="120" w:after="120"/>
        <w:outlineLvl w:val="6"/>
        <w:rPr>
          <w:szCs w:val="24"/>
        </w:rPr>
      </w:pPr>
      <w:r w:rsidRPr="00D7791F">
        <w:rPr>
          <w:szCs w:val="24"/>
        </w:rPr>
        <w:t>(5) Informace podle odstavců 3 a 4 musí být určeny výhradně pro výkon dohledu. V případech, kdy informace pocházejí z jiného členského státu, nemohou být poskytnuty jiné osobě nebo uveřejněny bez výslovného souhlasu orgánu dohledu, který je poskytl, nebo pouze pro takové účely, pro které tento orgán dal svůj souhlas. Tyto informace mohou být sděleny pouze fyzické osobě určené úřadem nebo orgánem, kterému se takové informace poskytují. Tento úřad nebo orgán sdělí orgánu dohledu jméno, popřípadě jména, příjmení a funkční zařazení této fyzické osoby opravňující ji k přijetí takové informace.</w:t>
      </w:r>
    </w:p>
    <w:p w14:paraId="61431463" w14:textId="77777777" w:rsidR="00D8555D" w:rsidRPr="00D7791F" w:rsidRDefault="00D8555D" w:rsidP="00607B4B">
      <w:pPr>
        <w:tabs>
          <w:tab w:val="left" w:pos="782"/>
          <w:tab w:val="left" w:pos="851"/>
        </w:tabs>
        <w:spacing w:before="120" w:after="120"/>
        <w:outlineLvl w:val="6"/>
        <w:rPr>
          <w:szCs w:val="24"/>
        </w:rPr>
      </w:pPr>
      <w:r w:rsidRPr="00D7791F">
        <w:rPr>
          <w:szCs w:val="24"/>
        </w:rPr>
        <w:t>(6)</w:t>
      </w:r>
      <w:r>
        <w:rPr>
          <w:szCs w:val="24"/>
        </w:rPr>
        <w:tab/>
      </w:r>
      <w:r w:rsidRPr="00D7791F">
        <w:rPr>
          <w:szCs w:val="24"/>
        </w:rPr>
        <w:t>Porušením povinnosti zachovávat mlčenlivost není oznámení pojišťovny nebo zajišťovny učiněné příslušným orgánům ve věci podezření ze spáchání trestného činu nebo přestupku ani podání vysvětlení, či svědecké výpovědi v trestním řízení, občanském soudním řízení a ve správním řízení ze strany pojišťovny nebo zajišťovny nebo osob pro ni činných, sdělení údajů nezbytných pro nakládání s pohledávkami pojišťovny ani sdělení v souvislosti s převodem pojistného kmene přebírající pojišťovně nebo v souvislosti s převodem kmene zajišťovacích smluv přebírající zajišťovně nebo pojišťovně.</w:t>
      </w:r>
    </w:p>
    <w:p w14:paraId="6571F9A5" w14:textId="77777777" w:rsidR="00D8555D" w:rsidRPr="00D7791F" w:rsidRDefault="00D8555D" w:rsidP="00607B4B">
      <w:pPr>
        <w:tabs>
          <w:tab w:val="left" w:pos="782"/>
          <w:tab w:val="left" w:pos="851"/>
        </w:tabs>
        <w:spacing w:before="120" w:after="120"/>
        <w:outlineLvl w:val="6"/>
        <w:rPr>
          <w:szCs w:val="24"/>
        </w:rPr>
      </w:pPr>
      <w:r w:rsidRPr="00D7791F">
        <w:rPr>
          <w:szCs w:val="24"/>
        </w:rPr>
        <w:t>(7) Porušením povinnosti zachovávat mlčenlivost není též plnění povinnosti vůči Finančnímu analytickému úřadu vyplývající ze zákona upravujícího některá opatření proti legalizaci výnosů z trestné činnosti a financování terorismu</w:t>
      </w:r>
      <w:r>
        <w:rPr>
          <w:rStyle w:val="Znakapoznpodarou"/>
          <w:szCs w:val="24"/>
        </w:rPr>
        <w:footnoteReference w:customMarkFollows="1" w:id="526"/>
        <w:t>35)</w:t>
      </w:r>
      <w:r w:rsidRPr="00D7791F">
        <w:rPr>
          <w:szCs w:val="24"/>
          <w:vertAlign w:val="superscript"/>
        </w:rPr>
        <w:t xml:space="preserve"> </w:t>
      </w:r>
      <w:r w:rsidRPr="00D7791F">
        <w:rPr>
          <w:szCs w:val="24"/>
        </w:rPr>
        <w:t>nebo ze zákona o provádění mezinárodních sankcí</w:t>
      </w:r>
      <w:r>
        <w:rPr>
          <w:rStyle w:val="Znakapoznpodarou"/>
          <w:szCs w:val="24"/>
        </w:rPr>
        <w:footnoteReference w:customMarkFollows="1" w:id="527"/>
        <w:t>36)</w:t>
      </w:r>
      <w:r w:rsidRPr="00D7791F">
        <w:rPr>
          <w:szCs w:val="24"/>
          <w:vertAlign w:val="superscript"/>
        </w:rPr>
        <w:t xml:space="preserve"> </w:t>
      </w:r>
      <w:r w:rsidRPr="00D7791F">
        <w:rPr>
          <w:szCs w:val="24"/>
        </w:rPr>
        <w:t>a vůči Ministerstvu financí, jde-li o plnění povinnosti vyplývající z tohoto zákona, pro účely analýz finančního trhu a přípravy právních předpisů v oblasti finančního trhu.</w:t>
      </w:r>
    </w:p>
    <w:p w14:paraId="023A7E7F" w14:textId="30DA2B4D" w:rsidR="00881B66" w:rsidRDefault="00881B66" w:rsidP="00881B66">
      <w:pPr>
        <w:pStyle w:val="Textparagrafu"/>
        <w:tabs>
          <w:tab w:val="left" w:pos="392"/>
          <w:tab w:val="left" w:pos="840"/>
        </w:tabs>
        <w:spacing w:after="120"/>
        <w:ind w:firstLine="0"/>
        <w:jc w:val="center"/>
        <w:sectPr w:rsidR="00881B66" w:rsidSect="00554E2B">
          <w:footnotePr>
            <w:numStart w:val="3"/>
          </w:footnotePr>
          <w:endnotePr>
            <w:numFmt w:val="decimal"/>
          </w:endnotePr>
          <w:pgSz w:w="11906" w:h="16838"/>
          <w:pgMar w:top="1418" w:right="1418" w:bottom="1418" w:left="1418" w:header="709" w:footer="709" w:gutter="0"/>
          <w:cols w:space="708"/>
          <w:docGrid w:linePitch="360"/>
        </w:sectPr>
      </w:pPr>
    </w:p>
    <w:p w14:paraId="1FFC41DC" w14:textId="48E54E91" w:rsidR="00881B66" w:rsidRPr="00657EF5" w:rsidRDefault="00881B66" w:rsidP="00BC64EF">
      <w:pPr>
        <w:tabs>
          <w:tab w:val="left" w:pos="851"/>
        </w:tabs>
        <w:spacing w:before="120" w:after="120"/>
        <w:ind w:firstLine="0"/>
        <w:jc w:val="center"/>
        <w:outlineLvl w:val="0"/>
        <w:rPr>
          <w:szCs w:val="24"/>
        </w:rPr>
      </w:pPr>
      <w:r w:rsidRPr="00657EF5">
        <w:rPr>
          <w:b/>
          <w:szCs w:val="24"/>
        </w:rPr>
        <w:lastRenderedPageBreak/>
        <w:t>K části sté</w:t>
      </w:r>
      <w:r w:rsidR="00A20F39" w:rsidRPr="00657EF5">
        <w:rPr>
          <w:b/>
          <w:szCs w:val="24"/>
        </w:rPr>
        <w:t xml:space="preserve"> druhé</w:t>
      </w:r>
      <w:r w:rsidRPr="00657EF5">
        <w:rPr>
          <w:b/>
          <w:szCs w:val="24"/>
        </w:rPr>
        <w:t xml:space="preserve"> návrhu zákona – </w:t>
      </w:r>
      <w:r w:rsidRPr="00657EF5">
        <w:rPr>
          <w:szCs w:val="24"/>
        </w:rPr>
        <w:t>změna daňového řádu</w:t>
      </w:r>
    </w:p>
    <w:p w14:paraId="2B774E78" w14:textId="77777777" w:rsidR="00881B66" w:rsidRPr="00657EF5" w:rsidRDefault="00881B66" w:rsidP="00881B66">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657EF5">
        <w:rPr>
          <w:b/>
          <w:szCs w:val="24"/>
        </w:rPr>
        <w:t>Platné znění</w:t>
      </w:r>
      <w:r w:rsidRPr="00657EF5">
        <w:rPr>
          <w:szCs w:val="24"/>
        </w:rPr>
        <w:t xml:space="preserve"> zákona č. 280/2009 Sb., daňový řád</w:t>
      </w:r>
    </w:p>
    <w:p w14:paraId="1B0A1841" w14:textId="65DBD6EF" w:rsidR="00881B66" w:rsidRPr="00657EF5" w:rsidRDefault="00657EF5" w:rsidP="00657EF5">
      <w:pPr>
        <w:pStyle w:val="Odstavecseseznamem"/>
        <w:numPr>
          <w:ilvl w:val="0"/>
          <w:numId w:val="27"/>
        </w:numPr>
        <w:pBdr>
          <w:top w:val="single" w:sz="12" w:space="6" w:color="auto"/>
          <w:left w:val="single" w:sz="12" w:space="0" w:color="auto"/>
          <w:bottom w:val="single" w:sz="12" w:space="6" w:color="auto"/>
          <w:right w:val="single" w:sz="12" w:space="0" w:color="auto"/>
        </w:pBdr>
        <w:spacing w:after="120"/>
        <w:jc w:val="center"/>
        <w:rPr>
          <w:b/>
          <w:szCs w:val="24"/>
          <w:lang w:eastAsia="en-US"/>
        </w:rPr>
      </w:pPr>
      <w:r w:rsidRPr="00657EF5">
        <w:rPr>
          <w:b/>
          <w:szCs w:val="24"/>
          <w:lang w:eastAsia="en-US"/>
        </w:rPr>
        <w:t>s vyznačením navrhovaných změn a doplnění k 1. lednu 2025</w:t>
      </w:r>
      <w:r w:rsidRPr="00181A4A">
        <w:t xml:space="preserve"> </w:t>
      </w:r>
    </w:p>
    <w:p w14:paraId="46A643D2" w14:textId="297CFBE6" w:rsidR="00657EF5" w:rsidRDefault="00657EF5" w:rsidP="00657EF5">
      <w:pPr>
        <w:keepNext/>
        <w:keepLines/>
        <w:spacing w:before="120" w:after="120"/>
        <w:jc w:val="center"/>
        <w:outlineLvl w:val="2"/>
        <w:rPr>
          <w:rFonts w:eastAsiaTheme="minorEastAsia"/>
          <w:szCs w:val="24"/>
        </w:rPr>
      </w:pPr>
      <w:r>
        <w:rPr>
          <w:rFonts w:eastAsiaTheme="minorEastAsia"/>
          <w:szCs w:val="24"/>
        </w:rPr>
        <w:t>***</w:t>
      </w:r>
    </w:p>
    <w:p w14:paraId="361834D2" w14:textId="1CB46C08" w:rsidR="00657EF5" w:rsidRPr="00657EF5" w:rsidRDefault="00657EF5" w:rsidP="00657EF5">
      <w:pPr>
        <w:keepNext/>
        <w:keepLines/>
        <w:spacing w:before="120" w:after="120"/>
        <w:jc w:val="center"/>
        <w:outlineLvl w:val="2"/>
        <w:rPr>
          <w:rFonts w:eastAsiaTheme="minorEastAsia"/>
          <w:szCs w:val="24"/>
        </w:rPr>
      </w:pPr>
      <w:r w:rsidRPr="00657EF5">
        <w:rPr>
          <w:rFonts w:eastAsiaTheme="minorEastAsia"/>
          <w:szCs w:val="24"/>
        </w:rPr>
        <w:t>§ 145</w:t>
      </w:r>
    </w:p>
    <w:p w14:paraId="59AF3CB8" w14:textId="77777777" w:rsidR="00657EF5" w:rsidRPr="00657EF5" w:rsidRDefault="00657EF5" w:rsidP="00657EF5">
      <w:pPr>
        <w:keepNext/>
        <w:keepLines/>
        <w:spacing w:before="120" w:after="120"/>
        <w:ind w:left="360" w:firstLine="0"/>
        <w:jc w:val="center"/>
        <w:outlineLvl w:val="2"/>
        <w:rPr>
          <w:rFonts w:eastAsiaTheme="minorEastAsia"/>
          <w:b/>
          <w:szCs w:val="24"/>
        </w:rPr>
      </w:pPr>
      <w:r w:rsidRPr="00657EF5">
        <w:rPr>
          <w:rFonts w:eastAsiaTheme="minorEastAsia"/>
          <w:b/>
          <w:szCs w:val="24"/>
        </w:rPr>
        <w:t>Výzva k podání daňového tvrzení</w:t>
      </w:r>
    </w:p>
    <w:p w14:paraId="32B95648" w14:textId="77777777" w:rsidR="00657EF5" w:rsidRPr="00657EF5" w:rsidRDefault="00657EF5" w:rsidP="00607B4B">
      <w:pPr>
        <w:tabs>
          <w:tab w:val="left" w:pos="851"/>
        </w:tabs>
        <w:spacing w:before="120" w:after="120"/>
        <w:outlineLvl w:val="6"/>
        <w:rPr>
          <w:rFonts w:eastAsiaTheme="minorEastAsia"/>
          <w:szCs w:val="24"/>
        </w:rPr>
      </w:pPr>
      <w:r w:rsidRPr="00657EF5">
        <w:rPr>
          <w:rFonts w:eastAsiaTheme="minorEastAsia"/>
          <w:szCs w:val="24"/>
        </w:rPr>
        <w:t xml:space="preserve">(1) Nebylo-li podáno řádné daňové tvrzení, vyzve správce daně daňový subjekt k jeho podání a stanoví náhradní lhůtu. Nevyhoví-li daňový subjekt této výzvě ve stanovené lhůtě, může správce daně vyměřit daň podle pomůcek nebo předpokládat, že daňový subjekt tvrdil v řádném daňovém tvrzení daň </w:t>
      </w:r>
      <w:r w:rsidRPr="00657EF5">
        <w:rPr>
          <w:rFonts w:eastAsiaTheme="minorEastAsia"/>
          <w:strike/>
          <w:szCs w:val="24"/>
        </w:rPr>
        <w:t>ve výši 0 Kč</w:t>
      </w:r>
      <w:r w:rsidRPr="00657EF5">
        <w:rPr>
          <w:rFonts w:eastAsiaTheme="minorEastAsia"/>
          <w:szCs w:val="24"/>
        </w:rPr>
        <w:t xml:space="preserve"> </w:t>
      </w:r>
      <w:r w:rsidRPr="00657EF5">
        <w:rPr>
          <w:rFonts w:eastAsiaTheme="minorEastAsia"/>
          <w:b/>
          <w:szCs w:val="24"/>
        </w:rPr>
        <w:t>v nulové výši</w:t>
      </w:r>
      <w:r w:rsidRPr="00657EF5">
        <w:rPr>
          <w:rFonts w:eastAsiaTheme="minorEastAsia"/>
          <w:szCs w:val="24"/>
        </w:rPr>
        <w:t>.</w:t>
      </w:r>
    </w:p>
    <w:p w14:paraId="0B2FD02A" w14:textId="77777777" w:rsidR="00657EF5" w:rsidRPr="00657EF5" w:rsidRDefault="00657EF5" w:rsidP="00607B4B">
      <w:pPr>
        <w:tabs>
          <w:tab w:val="left" w:pos="851"/>
        </w:tabs>
        <w:spacing w:before="120" w:after="120"/>
        <w:outlineLvl w:val="6"/>
        <w:rPr>
          <w:rFonts w:eastAsiaTheme="minorEastAsia"/>
          <w:szCs w:val="24"/>
        </w:rPr>
      </w:pPr>
      <w:r w:rsidRPr="00657EF5">
        <w:rPr>
          <w:rFonts w:eastAsiaTheme="minorEastAsia"/>
          <w:szCs w:val="24"/>
        </w:rPr>
        <w:t>(2) Pokud lze důvodně předpokládat, že bude daň doměřena, může správce daně vyzvat daňový subjekt k podání dodatečného daňového tvrzení a stanovit náhradní lhůtu. Nevyhoví-li daňový subjekt této výzvě ve stanovené lhůtě, může správce daně doměřit daň podle pomůcek.</w:t>
      </w:r>
    </w:p>
    <w:p w14:paraId="4451A417" w14:textId="77777777" w:rsidR="00657EF5" w:rsidRPr="00657EF5" w:rsidRDefault="00657EF5" w:rsidP="00607B4B">
      <w:pPr>
        <w:tabs>
          <w:tab w:val="left" w:pos="851"/>
        </w:tabs>
        <w:spacing w:before="120" w:after="120"/>
        <w:outlineLvl w:val="6"/>
        <w:rPr>
          <w:rFonts w:eastAsiaTheme="minorEastAsia"/>
          <w:szCs w:val="24"/>
        </w:rPr>
      </w:pPr>
      <w:r w:rsidRPr="00657EF5">
        <w:rPr>
          <w:rFonts w:eastAsiaTheme="minorEastAsia"/>
          <w:szCs w:val="24"/>
        </w:rPr>
        <w:t xml:space="preserve">(3) Výzva k podání daňového tvrzení nezahajuje vyměřovací nebo </w:t>
      </w:r>
      <w:proofErr w:type="spellStart"/>
      <w:r w:rsidRPr="00657EF5">
        <w:rPr>
          <w:rFonts w:eastAsiaTheme="minorEastAsia"/>
          <w:szCs w:val="24"/>
        </w:rPr>
        <w:t>doměřovací</w:t>
      </w:r>
      <w:proofErr w:type="spellEnd"/>
      <w:r w:rsidRPr="00657EF5">
        <w:rPr>
          <w:rFonts w:eastAsiaTheme="minorEastAsia"/>
          <w:szCs w:val="24"/>
        </w:rPr>
        <w:t xml:space="preserve"> řízení z moci úřední.</w:t>
      </w:r>
    </w:p>
    <w:p w14:paraId="0B10CF1D" w14:textId="77777777" w:rsidR="00657EF5" w:rsidRPr="00657EF5" w:rsidRDefault="00657EF5" w:rsidP="00607B4B">
      <w:pPr>
        <w:tabs>
          <w:tab w:val="left" w:pos="851"/>
        </w:tabs>
        <w:spacing w:before="120" w:after="120"/>
        <w:outlineLvl w:val="6"/>
        <w:rPr>
          <w:rFonts w:eastAsiaTheme="minorEastAsia"/>
          <w:szCs w:val="24"/>
        </w:rPr>
      </w:pPr>
      <w:r w:rsidRPr="00657EF5">
        <w:rPr>
          <w:rFonts w:eastAsiaTheme="minorEastAsia"/>
          <w:szCs w:val="24"/>
        </w:rPr>
        <w:t xml:space="preserve">(4) Nevyhoví-li daňový subjekt výzvě k podání daňového tvrzení a neučiní-li ve lhůtě uvedené ve výzvě podání, kterým se zahajuje vyměřovací nebo </w:t>
      </w:r>
      <w:proofErr w:type="spellStart"/>
      <w:r w:rsidRPr="00657EF5">
        <w:rPr>
          <w:rFonts w:eastAsiaTheme="minorEastAsia"/>
          <w:szCs w:val="24"/>
        </w:rPr>
        <w:t>doměřovací</w:t>
      </w:r>
      <w:proofErr w:type="spellEnd"/>
      <w:r w:rsidRPr="00657EF5">
        <w:rPr>
          <w:rFonts w:eastAsiaTheme="minorEastAsia"/>
          <w:szCs w:val="24"/>
        </w:rPr>
        <w:t xml:space="preserve"> řízení, je vyměřovací nebo </w:t>
      </w:r>
      <w:proofErr w:type="spellStart"/>
      <w:r w:rsidRPr="00657EF5">
        <w:rPr>
          <w:rFonts w:eastAsiaTheme="minorEastAsia"/>
          <w:szCs w:val="24"/>
        </w:rPr>
        <w:t>doměřovací</w:t>
      </w:r>
      <w:proofErr w:type="spellEnd"/>
      <w:r w:rsidRPr="00657EF5">
        <w:rPr>
          <w:rFonts w:eastAsiaTheme="minorEastAsia"/>
          <w:szCs w:val="24"/>
        </w:rPr>
        <w:t xml:space="preserve"> řízení zahájeno uplynutím této lhůty.</w:t>
      </w:r>
    </w:p>
    <w:p w14:paraId="7481E751" w14:textId="6090B130" w:rsidR="00657EF5" w:rsidRDefault="00657EF5" w:rsidP="00657EF5">
      <w:pPr>
        <w:keepNext/>
        <w:keepLines/>
        <w:spacing w:before="120" w:after="120"/>
        <w:jc w:val="center"/>
        <w:outlineLvl w:val="2"/>
        <w:rPr>
          <w:rFonts w:eastAsiaTheme="minorEastAsia"/>
          <w:szCs w:val="24"/>
        </w:rPr>
      </w:pPr>
      <w:r>
        <w:rPr>
          <w:rFonts w:eastAsiaTheme="minorEastAsia"/>
          <w:szCs w:val="24"/>
        </w:rPr>
        <w:t>***</w:t>
      </w:r>
    </w:p>
    <w:p w14:paraId="1EE64D53" w14:textId="7CE4E714" w:rsidR="00657EF5" w:rsidRPr="00657EF5" w:rsidRDefault="00657EF5" w:rsidP="00657EF5">
      <w:pPr>
        <w:keepNext/>
        <w:keepLines/>
        <w:spacing w:before="120" w:after="120"/>
        <w:ind w:left="360" w:firstLine="0"/>
        <w:jc w:val="center"/>
        <w:outlineLvl w:val="2"/>
        <w:rPr>
          <w:rFonts w:eastAsiaTheme="minorEastAsia"/>
          <w:szCs w:val="24"/>
        </w:rPr>
      </w:pPr>
      <w:r w:rsidRPr="00657EF5">
        <w:rPr>
          <w:rFonts w:eastAsiaTheme="minorEastAsia"/>
          <w:szCs w:val="24"/>
        </w:rPr>
        <w:t>§ 155a</w:t>
      </w:r>
    </w:p>
    <w:p w14:paraId="04312F10" w14:textId="77777777" w:rsidR="00657EF5" w:rsidRPr="00657EF5" w:rsidRDefault="00657EF5" w:rsidP="00657EF5">
      <w:pPr>
        <w:keepNext/>
        <w:keepLines/>
        <w:spacing w:before="120" w:after="120"/>
        <w:ind w:left="360" w:firstLine="0"/>
        <w:jc w:val="center"/>
        <w:outlineLvl w:val="2"/>
        <w:rPr>
          <w:rFonts w:eastAsiaTheme="minorEastAsia"/>
          <w:b/>
          <w:szCs w:val="24"/>
        </w:rPr>
      </w:pPr>
      <w:r w:rsidRPr="00657EF5">
        <w:rPr>
          <w:rFonts w:eastAsiaTheme="minorEastAsia"/>
          <w:b/>
          <w:szCs w:val="24"/>
        </w:rPr>
        <w:t>Postup při vrácení vratitelného přeplatku</w:t>
      </w:r>
    </w:p>
    <w:p w14:paraId="6DE73E58" w14:textId="77777777" w:rsidR="00657EF5" w:rsidRPr="00657EF5" w:rsidRDefault="00657EF5" w:rsidP="00607B4B">
      <w:pPr>
        <w:tabs>
          <w:tab w:val="left" w:pos="851"/>
        </w:tabs>
        <w:spacing w:before="120" w:after="120"/>
        <w:outlineLvl w:val="6"/>
        <w:rPr>
          <w:rFonts w:eastAsiaTheme="minorEastAsia"/>
          <w:szCs w:val="24"/>
        </w:rPr>
      </w:pPr>
      <w:r w:rsidRPr="00657EF5">
        <w:rPr>
          <w:rFonts w:eastAsiaTheme="minorEastAsia"/>
          <w:szCs w:val="24"/>
        </w:rPr>
        <w:t xml:space="preserve">(1) Vratitelný přeplatek vrací správce daně </w:t>
      </w:r>
      <w:r w:rsidRPr="00657EF5">
        <w:rPr>
          <w:rFonts w:eastAsiaTheme="minorEastAsia"/>
          <w:strike/>
          <w:szCs w:val="24"/>
        </w:rPr>
        <w:t>v české měně</w:t>
      </w:r>
      <w:r w:rsidRPr="00657EF5">
        <w:rPr>
          <w:rFonts w:eastAsiaTheme="minorEastAsia"/>
          <w:szCs w:val="24"/>
        </w:rPr>
        <w:t xml:space="preserve"> ve výši, v jaké byl evidován.</w:t>
      </w:r>
    </w:p>
    <w:p w14:paraId="5B4FA563" w14:textId="77777777" w:rsidR="00657EF5" w:rsidRPr="00657EF5" w:rsidRDefault="00657EF5" w:rsidP="00607B4B">
      <w:pPr>
        <w:tabs>
          <w:tab w:val="left" w:pos="851"/>
        </w:tabs>
        <w:spacing w:before="120" w:after="120"/>
        <w:outlineLvl w:val="6"/>
        <w:rPr>
          <w:rFonts w:eastAsiaTheme="minorEastAsia"/>
          <w:szCs w:val="24"/>
        </w:rPr>
      </w:pPr>
      <w:r w:rsidRPr="00657EF5">
        <w:rPr>
          <w:rFonts w:eastAsiaTheme="minorEastAsia"/>
          <w:szCs w:val="24"/>
        </w:rPr>
        <w:t>(2) Vratitelný přeplatek vrací správce daně</w:t>
      </w:r>
    </w:p>
    <w:p w14:paraId="1988A4B4" w14:textId="68D0338E" w:rsidR="00657EF5" w:rsidRPr="00657EF5" w:rsidRDefault="00657EF5" w:rsidP="00607B4B">
      <w:pPr>
        <w:pStyle w:val="PZTextpsmene"/>
        <w:spacing w:before="0"/>
      </w:pPr>
      <w:r w:rsidRPr="00657EF5">
        <w:t xml:space="preserve">a) </w:t>
      </w:r>
      <w:r>
        <w:tab/>
      </w:r>
      <w:r w:rsidRPr="00657EF5">
        <w:t>bezhotovostním převodem na účet vedený u poskytovatele platebních služeb určený daňovým subjektem,</w:t>
      </w:r>
    </w:p>
    <w:p w14:paraId="2A2349C9" w14:textId="3FE08916" w:rsidR="00657EF5" w:rsidRPr="00657EF5" w:rsidRDefault="00657EF5" w:rsidP="00607B4B">
      <w:pPr>
        <w:pStyle w:val="PZTextpsmene"/>
        <w:spacing w:before="0"/>
      </w:pPr>
      <w:r w:rsidRPr="00657EF5">
        <w:t xml:space="preserve">b) </w:t>
      </w:r>
      <w:r>
        <w:tab/>
      </w:r>
      <w:r w:rsidRPr="00657EF5">
        <w:t>poštovním poukazem, nebo</w:t>
      </w:r>
    </w:p>
    <w:p w14:paraId="26D266EF" w14:textId="23F7F493" w:rsidR="00657EF5" w:rsidRPr="00657EF5" w:rsidRDefault="00657EF5" w:rsidP="00607B4B">
      <w:pPr>
        <w:pStyle w:val="PZTextpsmene"/>
        <w:spacing w:before="0"/>
      </w:pPr>
      <w:r w:rsidRPr="00657EF5">
        <w:t xml:space="preserve">c) </w:t>
      </w:r>
      <w:r>
        <w:tab/>
      </w:r>
      <w:r w:rsidRPr="00657EF5">
        <w:t>v hotovosti, pokud jeho výše nepřesahuje 1 000 Kč a správce daně způsobem umožňujícím dálkový přístup zveřejní, že tento způsob vrácení vratitelného přeplatku umožňuje, a určí podmínky, které je při tom nutné dodržet.</w:t>
      </w:r>
    </w:p>
    <w:p w14:paraId="70C39A2A" w14:textId="77777777" w:rsidR="00657EF5" w:rsidRPr="00657EF5" w:rsidRDefault="00657EF5" w:rsidP="00607B4B">
      <w:pPr>
        <w:tabs>
          <w:tab w:val="left" w:pos="851"/>
        </w:tabs>
        <w:spacing w:before="120" w:after="120"/>
        <w:outlineLvl w:val="6"/>
        <w:rPr>
          <w:rFonts w:eastAsiaTheme="minorEastAsia"/>
          <w:szCs w:val="24"/>
        </w:rPr>
      </w:pPr>
      <w:r w:rsidRPr="00657EF5">
        <w:rPr>
          <w:rFonts w:eastAsiaTheme="minorEastAsia"/>
          <w:szCs w:val="24"/>
        </w:rPr>
        <w:t>(3) Je-li daňový subjekt u správce daně registrován, je povinen určit k vrácení vratitelného přeplatku jeden z účtů u poskytovatelů platebních služeb uvedených při registraci; při tom je povinen upřednostnit účet vedený u poskytovatele platebních služeb v České republice.</w:t>
      </w:r>
    </w:p>
    <w:p w14:paraId="1AFE3811" w14:textId="77777777" w:rsidR="00657EF5" w:rsidRPr="00657EF5" w:rsidRDefault="00657EF5" w:rsidP="00607B4B">
      <w:pPr>
        <w:tabs>
          <w:tab w:val="left" w:pos="851"/>
        </w:tabs>
        <w:spacing w:before="120" w:after="120"/>
        <w:outlineLvl w:val="6"/>
        <w:rPr>
          <w:rFonts w:eastAsiaTheme="minorEastAsia"/>
          <w:szCs w:val="24"/>
        </w:rPr>
      </w:pPr>
      <w:r w:rsidRPr="00657EF5">
        <w:rPr>
          <w:rFonts w:eastAsiaTheme="minorEastAsia"/>
          <w:szCs w:val="24"/>
        </w:rPr>
        <w:t>(4) Nesplní-li daňový subjekt povinnost podle odstavce 3, vyzve jej správce daně ke zjednání nápravy.</w:t>
      </w:r>
    </w:p>
    <w:p w14:paraId="25B9B2ED" w14:textId="77777777" w:rsidR="00657EF5" w:rsidRPr="00657EF5" w:rsidRDefault="00657EF5" w:rsidP="00607B4B">
      <w:pPr>
        <w:tabs>
          <w:tab w:val="left" w:pos="851"/>
        </w:tabs>
        <w:spacing w:before="120" w:after="120"/>
        <w:outlineLvl w:val="6"/>
        <w:rPr>
          <w:rFonts w:eastAsiaTheme="minorEastAsia"/>
          <w:szCs w:val="24"/>
        </w:rPr>
      </w:pPr>
      <w:r w:rsidRPr="00657EF5">
        <w:rPr>
          <w:rFonts w:eastAsiaTheme="minorEastAsia"/>
          <w:szCs w:val="24"/>
        </w:rPr>
        <w:t>(5) V případě bezhotovostního převodu na účet vedený u poskytovatele platebních služeb mimo území členského státu Evropské unie hradí náklady převodu daňový subjekt.</w:t>
      </w:r>
    </w:p>
    <w:p w14:paraId="5B4A1806" w14:textId="247B706F" w:rsidR="00657EF5" w:rsidRPr="00657EF5" w:rsidRDefault="00657EF5" w:rsidP="00607B4B">
      <w:pPr>
        <w:keepNext/>
        <w:keepLines/>
        <w:spacing w:before="120" w:after="120"/>
        <w:jc w:val="center"/>
        <w:outlineLvl w:val="2"/>
        <w:rPr>
          <w:rFonts w:eastAsiaTheme="minorEastAsia"/>
          <w:szCs w:val="24"/>
        </w:rPr>
      </w:pPr>
      <w:r>
        <w:rPr>
          <w:rFonts w:eastAsiaTheme="minorEastAsia"/>
          <w:szCs w:val="24"/>
        </w:rPr>
        <w:lastRenderedPageBreak/>
        <w:t>***</w:t>
      </w:r>
    </w:p>
    <w:p w14:paraId="60120443" w14:textId="24333377" w:rsidR="00657EF5" w:rsidRPr="00657EF5" w:rsidRDefault="00657EF5" w:rsidP="00607B4B">
      <w:pPr>
        <w:keepNext/>
        <w:keepLines/>
        <w:widowControl w:val="0"/>
        <w:spacing w:before="120" w:after="120"/>
        <w:ind w:left="360" w:firstLine="0"/>
        <w:jc w:val="center"/>
        <w:outlineLvl w:val="2"/>
        <w:rPr>
          <w:rFonts w:eastAsiaTheme="minorEastAsia"/>
          <w:strike/>
          <w:szCs w:val="24"/>
        </w:rPr>
      </w:pPr>
      <w:r w:rsidRPr="00657EF5">
        <w:rPr>
          <w:rFonts w:eastAsiaTheme="minorEastAsia"/>
          <w:strike/>
          <w:szCs w:val="24"/>
        </w:rPr>
        <w:t>§ 163</w:t>
      </w:r>
    </w:p>
    <w:p w14:paraId="2E3A7A33" w14:textId="77777777" w:rsidR="00657EF5" w:rsidRPr="00657EF5" w:rsidRDefault="00657EF5" w:rsidP="00607B4B">
      <w:pPr>
        <w:keepNext/>
        <w:keepLines/>
        <w:tabs>
          <w:tab w:val="left" w:pos="851"/>
        </w:tabs>
        <w:spacing w:before="120" w:after="120"/>
        <w:outlineLvl w:val="6"/>
        <w:rPr>
          <w:rFonts w:eastAsiaTheme="minorEastAsia"/>
          <w:strike/>
          <w:szCs w:val="24"/>
        </w:rPr>
      </w:pPr>
      <w:r w:rsidRPr="00657EF5">
        <w:rPr>
          <w:rFonts w:eastAsiaTheme="minorEastAsia"/>
          <w:strike/>
          <w:szCs w:val="24"/>
        </w:rPr>
        <w:t>(1) Daň se platí příslušnému správci daně v české měně.</w:t>
      </w:r>
    </w:p>
    <w:p w14:paraId="146EB3AC" w14:textId="77777777" w:rsidR="00657EF5" w:rsidRPr="00657EF5" w:rsidRDefault="00657EF5" w:rsidP="00607B4B">
      <w:pPr>
        <w:tabs>
          <w:tab w:val="left" w:pos="851"/>
        </w:tabs>
        <w:spacing w:before="120" w:after="120"/>
        <w:outlineLvl w:val="6"/>
        <w:rPr>
          <w:rFonts w:eastAsiaTheme="minorEastAsia"/>
          <w:strike/>
          <w:szCs w:val="24"/>
        </w:rPr>
      </w:pPr>
      <w:r w:rsidRPr="00657EF5">
        <w:rPr>
          <w:rFonts w:eastAsiaTheme="minorEastAsia"/>
          <w:strike/>
          <w:szCs w:val="24"/>
        </w:rPr>
        <w:t>(2) Je-li platba poukázána v cizí měně, zaeviduje ji správce daně na osobní daňový účet daňového subjektu ve výši, v jaké mu byla připsána na účet v české měně.</w:t>
      </w:r>
    </w:p>
    <w:p w14:paraId="75EF8959" w14:textId="77777777" w:rsidR="00657EF5" w:rsidRPr="00657EF5" w:rsidRDefault="00657EF5" w:rsidP="00607B4B">
      <w:pPr>
        <w:tabs>
          <w:tab w:val="left" w:pos="851"/>
        </w:tabs>
        <w:spacing w:before="120" w:after="120"/>
        <w:outlineLvl w:val="6"/>
        <w:rPr>
          <w:rFonts w:eastAsiaTheme="minorEastAsia"/>
          <w:strike/>
          <w:szCs w:val="24"/>
        </w:rPr>
      </w:pPr>
      <w:r w:rsidRPr="00657EF5">
        <w:rPr>
          <w:rFonts w:eastAsiaTheme="minorEastAsia"/>
          <w:strike/>
          <w:szCs w:val="24"/>
        </w:rPr>
        <w:t>(3) Daň lze platit</w:t>
      </w:r>
    </w:p>
    <w:p w14:paraId="0175208F" w14:textId="46521CEC" w:rsidR="00657EF5" w:rsidRPr="00657EF5" w:rsidRDefault="00657EF5" w:rsidP="00607B4B">
      <w:pPr>
        <w:pStyle w:val="PZTextpsmene"/>
        <w:spacing w:before="0"/>
        <w:rPr>
          <w:rFonts w:eastAsiaTheme="minorEastAsia"/>
          <w:strike/>
          <w:szCs w:val="24"/>
        </w:rPr>
      </w:pPr>
      <w:r w:rsidRPr="00657EF5">
        <w:rPr>
          <w:rFonts w:eastAsiaTheme="minorEastAsia"/>
          <w:strike/>
          <w:szCs w:val="24"/>
        </w:rPr>
        <w:t xml:space="preserve">a) </w:t>
      </w:r>
      <w:r>
        <w:rPr>
          <w:rFonts w:eastAsiaTheme="minorEastAsia"/>
          <w:strike/>
          <w:szCs w:val="24"/>
        </w:rPr>
        <w:tab/>
      </w:r>
      <w:r w:rsidRPr="00657EF5">
        <w:rPr>
          <w:rFonts w:eastAsiaTheme="minorEastAsia"/>
          <w:strike/>
          <w:szCs w:val="24"/>
        </w:rPr>
        <w:t>bezhotovostním převodem z účtu vedeného u poskytovatele platebních služeb na příslušný účet správce daně,</w:t>
      </w:r>
    </w:p>
    <w:p w14:paraId="056EBFEE" w14:textId="572C75C8" w:rsidR="00657EF5" w:rsidRPr="00657EF5" w:rsidRDefault="00657EF5" w:rsidP="00607B4B">
      <w:pPr>
        <w:pStyle w:val="PZTextpsmene"/>
        <w:spacing w:before="0"/>
        <w:rPr>
          <w:strike/>
          <w:szCs w:val="24"/>
        </w:rPr>
      </w:pPr>
      <w:r w:rsidRPr="00657EF5">
        <w:rPr>
          <w:strike/>
          <w:szCs w:val="24"/>
        </w:rPr>
        <w:t xml:space="preserve">b) </w:t>
      </w:r>
      <w:r>
        <w:rPr>
          <w:strike/>
          <w:szCs w:val="24"/>
        </w:rPr>
        <w:tab/>
      </w:r>
      <w:r w:rsidRPr="00657EF5">
        <w:rPr>
          <w:strike/>
          <w:szCs w:val="24"/>
        </w:rPr>
        <w:t>v hotovosti</w:t>
      </w:r>
    </w:p>
    <w:p w14:paraId="04C5C6DC" w14:textId="7140ECEC" w:rsidR="00657EF5" w:rsidRPr="00657EF5" w:rsidRDefault="00657EF5" w:rsidP="00607B4B">
      <w:pPr>
        <w:pStyle w:val="Textpsmene"/>
        <w:tabs>
          <w:tab w:val="num" w:pos="851"/>
        </w:tabs>
        <w:spacing w:before="0"/>
        <w:ind w:left="851" w:hanging="426"/>
        <w:rPr>
          <w:strike/>
        </w:rPr>
      </w:pPr>
      <w:r w:rsidRPr="00657EF5">
        <w:rPr>
          <w:strike/>
        </w:rPr>
        <w:t>1.</w:t>
      </w:r>
      <w:r w:rsidRPr="00657EF5">
        <w:rPr>
          <w:strike/>
        </w:rPr>
        <w:tab/>
        <w:t>prostřednictvím poskytovatele platebních služeb nebo poštovním poukazem na příslušný účet správce daně,</w:t>
      </w:r>
    </w:p>
    <w:p w14:paraId="326AAA24" w14:textId="4E5E117D" w:rsidR="00657EF5" w:rsidRPr="00657EF5" w:rsidRDefault="00657EF5" w:rsidP="00607B4B">
      <w:pPr>
        <w:pStyle w:val="Textpsmene"/>
        <w:tabs>
          <w:tab w:val="num" w:pos="851"/>
        </w:tabs>
        <w:spacing w:before="0"/>
        <w:ind w:left="851" w:hanging="426"/>
        <w:rPr>
          <w:strike/>
        </w:rPr>
      </w:pPr>
      <w:r w:rsidRPr="00657EF5">
        <w:rPr>
          <w:strike/>
        </w:rPr>
        <w:t>2.</w:t>
      </w:r>
      <w:r w:rsidRPr="00657EF5">
        <w:rPr>
          <w:strike/>
        </w:rPr>
        <w:tab/>
        <w:t>úřední osobě pověřené přijímat tyto platby, přičemž součet plateb na všechny druhy daně za jeden daňový subjekt nesmí v průběhu jednoho kalendářního dne u jednoho správce daně přesáhnout částku 500 000 Kč,</w:t>
      </w:r>
    </w:p>
    <w:p w14:paraId="410DF4D5" w14:textId="310A78A9" w:rsidR="00657EF5" w:rsidRPr="00657EF5" w:rsidRDefault="00657EF5" w:rsidP="00607B4B">
      <w:pPr>
        <w:pStyle w:val="Textpsmene"/>
        <w:tabs>
          <w:tab w:val="num" w:pos="851"/>
        </w:tabs>
        <w:spacing w:before="0"/>
        <w:ind w:left="851" w:hanging="426"/>
        <w:rPr>
          <w:strike/>
        </w:rPr>
      </w:pPr>
      <w:r w:rsidRPr="00657EF5">
        <w:rPr>
          <w:strike/>
        </w:rPr>
        <w:t>3.</w:t>
      </w:r>
      <w:r w:rsidRPr="00657EF5">
        <w:rPr>
          <w:strike/>
        </w:rPr>
        <w:tab/>
        <w:t>šekem, jehož proplacení je zajištěno poskytovatelem platebních služeb,</w:t>
      </w:r>
    </w:p>
    <w:p w14:paraId="4F7657E9" w14:textId="043D95AB" w:rsidR="00657EF5" w:rsidRPr="00657EF5" w:rsidRDefault="00657EF5" w:rsidP="00607B4B">
      <w:pPr>
        <w:pStyle w:val="Textpsmene"/>
        <w:tabs>
          <w:tab w:val="num" w:pos="851"/>
        </w:tabs>
        <w:spacing w:before="0"/>
        <w:ind w:left="851" w:hanging="426"/>
        <w:rPr>
          <w:strike/>
        </w:rPr>
      </w:pPr>
      <w:r w:rsidRPr="00657EF5">
        <w:rPr>
          <w:strike/>
        </w:rPr>
        <w:t>4.</w:t>
      </w:r>
      <w:r w:rsidRPr="00657EF5">
        <w:rPr>
          <w:strike/>
        </w:rPr>
        <w:tab/>
        <w:t>daňovému exekutorovi, jde-li o platbu při daňové exekuci, a</w:t>
      </w:r>
    </w:p>
    <w:p w14:paraId="0A1758E5" w14:textId="3BC693D5" w:rsidR="00657EF5" w:rsidRPr="00657EF5" w:rsidRDefault="00657EF5" w:rsidP="00607B4B">
      <w:pPr>
        <w:pStyle w:val="Textpsmene"/>
        <w:tabs>
          <w:tab w:val="num" w:pos="851"/>
        </w:tabs>
        <w:spacing w:before="0"/>
        <w:ind w:left="851" w:hanging="426"/>
        <w:rPr>
          <w:strike/>
        </w:rPr>
      </w:pPr>
      <w:r w:rsidRPr="00657EF5">
        <w:rPr>
          <w:strike/>
        </w:rPr>
        <w:t>5.</w:t>
      </w:r>
      <w:r w:rsidRPr="00657EF5">
        <w:rPr>
          <w:strike/>
        </w:rPr>
        <w:tab/>
        <w:t xml:space="preserve">oprávněné úřední osobě, jde-li o platbu </w:t>
      </w:r>
      <w:bookmarkStart w:id="67" w:name="_Hlk163631083"/>
      <w:r w:rsidRPr="00657EF5">
        <w:rPr>
          <w:strike/>
        </w:rPr>
        <w:t>pokuty, kterou lze na základě zjednodušeného řízení hradit na místě</w:t>
      </w:r>
      <w:bookmarkEnd w:id="67"/>
      <w:r w:rsidRPr="00657EF5">
        <w:rPr>
          <w:strike/>
        </w:rPr>
        <w:t>,</w:t>
      </w:r>
    </w:p>
    <w:p w14:paraId="3CB9F51A" w14:textId="5FAF50A5" w:rsidR="00657EF5" w:rsidRPr="00657EF5" w:rsidRDefault="00657EF5" w:rsidP="00607B4B">
      <w:pPr>
        <w:pStyle w:val="PZTextpsmene"/>
        <w:spacing w:before="0"/>
        <w:rPr>
          <w:rFonts w:eastAsiaTheme="minorEastAsia"/>
          <w:strike/>
          <w:szCs w:val="24"/>
        </w:rPr>
      </w:pPr>
      <w:r w:rsidRPr="00657EF5">
        <w:rPr>
          <w:rFonts w:eastAsiaTheme="minorEastAsia"/>
          <w:strike/>
          <w:szCs w:val="24"/>
        </w:rPr>
        <w:t xml:space="preserve">c) </w:t>
      </w:r>
      <w:r>
        <w:rPr>
          <w:rFonts w:eastAsiaTheme="minorEastAsia"/>
          <w:strike/>
          <w:szCs w:val="24"/>
        </w:rPr>
        <w:tab/>
      </w:r>
      <w:r w:rsidRPr="00657EF5">
        <w:rPr>
          <w:rFonts w:eastAsiaTheme="minorEastAsia"/>
          <w:strike/>
          <w:szCs w:val="24"/>
        </w:rPr>
        <w:t>přeplatkem na jiné dani.</w:t>
      </w:r>
    </w:p>
    <w:p w14:paraId="44FCAADB" w14:textId="77777777" w:rsidR="00657EF5" w:rsidRPr="00657EF5" w:rsidRDefault="00657EF5" w:rsidP="00607B4B">
      <w:pPr>
        <w:tabs>
          <w:tab w:val="left" w:pos="851"/>
        </w:tabs>
        <w:spacing w:before="120" w:after="120"/>
        <w:outlineLvl w:val="6"/>
        <w:rPr>
          <w:rFonts w:eastAsiaTheme="minorEastAsia"/>
          <w:strike/>
          <w:szCs w:val="24"/>
        </w:rPr>
      </w:pPr>
      <w:r w:rsidRPr="00657EF5">
        <w:rPr>
          <w:rFonts w:eastAsiaTheme="minorEastAsia"/>
          <w:strike/>
          <w:szCs w:val="24"/>
        </w:rPr>
        <w:t>(4) V případech podle odstavce 3 písm. b) bodů 2, 4 a 5 lze platit daň v hotovosti také v cizí měně, pokud pro ni vyhlašuje Česká národní banka kurz devizového trhu, a jedná-li se o druh daně, v jehož případě správce daně zveřejnil způsobem umožňujícím dálkový přístup skutečnost, že daň lze platit v hotovosti také v této cizí měně, a podmínky, které je při těchto platbách nutné dodržet.</w:t>
      </w:r>
    </w:p>
    <w:p w14:paraId="2C33672E" w14:textId="77777777" w:rsidR="00657EF5" w:rsidRPr="00657EF5" w:rsidRDefault="00657EF5" w:rsidP="00607B4B">
      <w:pPr>
        <w:tabs>
          <w:tab w:val="left" w:pos="851"/>
        </w:tabs>
        <w:spacing w:before="120" w:after="120"/>
        <w:outlineLvl w:val="6"/>
        <w:rPr>
          <w:rFonts w:eastAsiaTheme="minorEastAsia"/>
          <w:strike/>
          <w:szCs w:val="24"/>
        </w:rPr>
      </w:pPr>
      <w:r w:rsidRPr="00657EF5">
        <w:rPr>
          <w:rFonts w:eastAsiaTheme="minorEastAsia"/>
          <w:strike/>
          <w:szCs w:val="24"/>
        </w:rPr>
        <w:t>(5) Je-li daň podle odstavce 4 uhrazena v cizí měně, zaeviduje ji správce daně na osobní daňový účet daňového subjektu v české měně. Při přepočtu měny se použije kurz devizového trhu vyhlášený Českou národní bankou pro den, který předchází dni platby daně.</w:t>
      </w:r>
    </w:p>
    <w:p w14:paraId="4B0A1E76" w14:textId="77777777" w:rsidR="00657EF5" w:rsidRPr="00657EF5" w:rsidRDefault="00657EF5" w:rsidP="00607B4B">
      <w:pPr>
        <w:tabs>
          <w:tab w:val="left" w:pos="851"/>
        </w:tabs>
        <w:spacing w:before="120" w:after="120"/>
        <w:outlineLvl w:val="6"/>
        <w:rPr>
          <w:rFonts w:eastAsiaTheme="minorEastAsia"/>
          <w:strike/>
          <w:szCs w:val="24"/>
        </w:rPr>
      </w:pPr>
      <w:r w:rsidRPr="00657EF5">
        <w:rPr>
          <w:rFonts w:eastAsiaTheme="minorEastAsia"/>
          <w:strike/>
          <w:szCs w:val="24"/>
        </w:rPr>
        <w:t>(6) Vznikne-li nedoplatek nebo přeplatek pouze v důsledku kurzového rozdílu nebo zaokrouhlení při přepočtu měny, tento</w:t>
      </w:r>
    </w:p>
    <w:p w14:paraId="5E3F6B09" w14:textId="2ED444A1" w:rsidR="00657EF5" w:rsidRPr="00657EF5" w:rsidRDefault="00657EF5" w:rsidP="00607B4B">
      <w:pPr>
        <w:pStyle w:val="PZTextpsmene"/>
        <w:spacing w:before="0"/>
        <w:rPr>
          <w:rFonts w:eastAsiaTheme="minorEastAsia"/>
          <w:strike/>
          <w:szCs w:val="24"/>
        </w:rPr>
      </w:pPr>
      <w:r w:rsidRPr="00657EF5">
        <w:rPr>
          <w:rFonts w:eastAsiaTheme="minorEastAsia"/>
          <w:strike/>
          <w:szCs w:val="24"/>
        </w:rPr>
        <w:t xml:space="preserve">a) </w:t>
      </w:r>
      <w:r>
        <w:rPr>
          <w:rFonts w:eastAsiaTheme="minorEastAsia"/>
          <w:strike/>
          <w:szCs w:val="24"/>
        </w:rPr>
        <w:tab/>
      </w:r>
      <w:r w:rsidRPr="00657EF5">
        <w:rPr>
          <w:rFonts w:eastAsiaTheme="minorEastAsia"/>
          <w:strike/>
          <w:szCs w:val="24"/>
        </w:rPr>
        <w:t>nedoplatek zaniká,</w:t>
      </w:r>
    </w:p>
    <w:p w14:paraId="41FA0DC3" w14:textId="2059966D" w:rsidR="00657EF5" w:rsidRPr="00657EF5" w:rsidRDefault="00657EF5" w:rsidP="00607B4B">
      <w:pPr>
        <w:pStyle w:val="PZTextpsmene"/>
        <w:spacing w:before="0"/>
        <w:rPr>
          <w:rFonts w:eastAsiaTheme="minorEastAsia"/>
          <w:strike/>
          <w:szCs w:val="24"/>
        </w:rPr>
      </w:pPr>
      <w:r w:rsidRPr="00657EF5">
        <w:rPr>
          <w:rFonts w:eastAsiaTheme="minorEastAsia"/>
          <w:strike/>
          <w:szCs w:val="24"/>
        </w:rPr>
        <w:t xml:space="preserve">b) </w:t>
      </w:r>
      <w:r>
        <w:rPr>
          <w:rFonts w:eastAsiaTheme="minorEastAsia"/>
          <w:strike/>
          <w:szCs w:val="24"/>
        </w:rPr>
        <w:tab/>
      </w:r>
      <w:r w:rsidRPr="00657EF5">
        <w:rPr>
          <w:rFonts w:eastAsiaTheme="minorEastAsia"/>
          <w:strike/>
          <w:szCs w:val="24"/>
        </w:rPr>
        <w:t>přeplatek zaniká a stává se příjmem rozpočtu, ze kterého je hrazena činnost správce daně, který jej evidoval.</w:t>
      </w:r>
    </w:p>
    <w:p w14:paraId="30EED559" w14:textId="77777777" w:rsidR="00657EF5" w:rsidRPr="00657EF5" w:rsidRDefault="00657EF5" w:rsidP="00607B4B">
      <w:pPr>
        <w:keepNext/>
        <w:keepLines/>
        <w:spacing w:before="120" w:after="120"/>
        <w:ind w:left="360" w:firstLine="0"/>
        <w:jc w:val="center"/>
        <w:outlineLvl w:val="2"/>
        <w:rPr>
          <w:rFonts w:eastAsiaTheme="minorEastAsia"/>
          <w:b/>
          <w:szCs w:val="24"/>
        </w:rPr>
      </w:pPr>
      <w:r w:rsidRPr="00657EF5">
        <w:rPr>
          <w:rFonts w:eastAsiaTheme="minorEastAsia"/>
          <w:b/>
          <w:szCs w:val="24"/>
        </w:rPr>
        <w:t>§ 163</w:t>
      </w:r>
    </w:p>
    <w:p w14:paraId="557B7333" w14:textId="77777777" w:rsidR="00657EF5" w:rsidRPr="00657EF5" w:rsidRDefault="00657EF5" w:rsidP="00607B4B">
      <w:pPr>
        <w:keepNext/>
        <w:keepLines/>
        <w:spacing w:before="120" w:after="120"/>
        <w:ind w:left="360" w:firstLine="0"/>
        <w:jc w:val="center"/>
        <w:outlineLvl w:val="2"/>
        <w:rPr>
          <w:rFonts w:eastAsiaTheme="minorEastAsia"/>
          <w:b/>
          <w:szCs w:val="24"/>
        </w:rPr>
      </w:pPr>
      <w:r w:rsidRPr="00657EF5">
        <w:rPr>
          <w:rFonts w:eastAsiaTheme="minorEastAsia"/>
          <w:b/>
          <w:szCs w:val="24"/>
        </w:rPr>
        <w:t>Způsob placení daně</w:t>
      </w:r>
    </w:p>
    <w:p w14:paraId="7BFF4A62" w14:textId="77777777" w:rsidR="00657EF5" w:rsidRPr="00657EF5" w:rsidRDefault="00657EF5" w:rsidP="00607B4B">
      <w:pPr>
        <w:tabs>
          <w:tab w:val="left" w:pos="851"/>
        </w:tabs>
        <w:spacing w:before="120" w:after="120"/>
        <w:outlineLvl w:val="6"/>
        <w:rPr>
          <w:rFonts w:eastAsiaTheme="minorEastAsia"/>
          <w:b/>
          <w:szCs w:val="24"/>
        </w:rPr>
      </w:pPr>
      <w:r w:rsidRPr="00657EF5">
        <w:rPr>
          <w:rFonts w:eastAsiaTheme="minorEastAsia"/>
          <w:b/>
          <w:szCs w:val="24"/>
        </w:rPr>
        <w:t>(1) Daň se platí příslušnému správci daně.</w:t>
      </w:r>
    </w:p>
    <w:p w14:paraId="0BD59029" w14:textId="77777777" w:rsidR="00657EF5" w:rsidRPr="00657EF5" w:rsidRDefault="00657EF5" w:rsidP="00607B4B">
      <w:pPr>
        <w:tabs>
          <w:tab w:val="left" w:pos="851"/>
        </w:tabs>
        <w:spacing w:before="120" w:after="120"/>
        <w:outlineLvl w:val="6"/>
        <w:rPr>
          <w:rFonts w:eastAsiaTheme="minorEastAsia"/>
          <w:b/>
          <w:szCs w:val="24"/>
        </w:rPr>
      </w:pPr>
      <w:r w:rsidRPr="00657EF5">
        <w:rPr>
          <w:rFonts w:eastAsiaTheme="minorEastAsia"/>
          <w:b/>
          <w:szCs w:val="24"/>
        </w:rPr>
        <w:t>(2) Daň lze platit</w:t>
      </w:r>
    </w:p>
    <w:p w14:paraId="1B08206E" w14:textId="438EEBD4" w:rsidR="00657EF5" w:rsidRPr="00657EF5" w:rsidRDefault="00657EF5" w:rsidP="00607B4B">
      <w:pPr>
        <w:pStyle w:val="PZTextpsmene"/>
        <w:spacing w:before="0"/>
        <w:rPr>
          <w:rFonts w:eastAsiaTheme="minorEastAsia"/>
          <w:b/>
          <w:szCs w:val="24"/>
        </w:rPr>
      </w:pPr>
      <w:r w:rsidRPr="00657EF5">
        <w:rPr>
          <w:rFonts w:eastAsiaTheme="minorEastAsia"/>
          <w:b/>
          <w:szCs w:val="24"/>
        </w:rPr>
        <w:t xml:space="preserve">a) </w:t>
      </w:r>
      <w:r>
        <w:rPr>
          <w:rFonts w:eastAsiaTheme="minorEastAsia"/>
          <w:b/>
          <w:szCs w:val="24"/>
        </w:rPr>
        <w:tab/>
      </w:r>
      <w:r w:rsidRPr="00657EF5">
        <w:rPr>
          <w:rFonts w:eastAsiaTheme="minorEastAsia"/>
          <w:b/>
          <w:szCs w:val="24"/>
        </w:rPr>
        <w:t>bezhotovostním převodem z účtu vedeného u poskytovatele platebních služeb na příslušný účet správce daně,</w:t>
      </w:r>
    </w:p>
    <w:p w14:paraId="21D0E3E5" w14:textId="77777777" w:rsidR="00657EF5" w:rsidRPr="00657EF5" w:rsidRDefault="00657EF5" w:rsidP="00607B4B">
      <w:pPr>
        <w:pStyle w:val="PZTextpsmene"/>
        <w:spacing w:before="0"/>
        <w:rPr>
          <w:rFonts w:eastAsiaTheme="minorEastAsia"/>
          <w:b/>
          <w:szCs w:val="24"/>
        </w:rPr>
      </w:pPr>
      <w:r w:rsidRPr="00657EF5">
        <w:rPr>
          <w:rFonts w:eastAsiaTheme="minorEastAsia"/>
          <w:b/>
          <w:szCs w:val="24"/>
        </w:rPr>
        <w:t>b) v hotovosti</w:t>
      </w:r>
    </w:p>
    <w:p w14:paraId="65C38A0D" w14:textId="5BB76BB8" w:rsidR="00657EF5" w:rsidRPr="00657EF5" w:rsidRDefault="00657EF5" w:rsidP="00607B4B">
      <w:pPr>
        <w:pStyle w:val="Textpsmene"/>
        <w:tabs>
          <w:tab w:val="num" w:pos="851"/>
        </w:tabs>
        <w:spacing w:before="0"/>
        <w:ind w:left="851" w:hanging="426"/>
        <w:rPr>
          <w:b/>
        </w:rPr>
      </w:pPr>
      <w:r>
        <w:rPr>
          <w:b/>
        </w:rPr>
        <w:t>1.</w:t>
      </w:r>
      <w:r>
        <w:rPr>
          <w:b/>
        </w:rPr>
        <w:tab/>
      </w:r>
      <w:r w:rsidRPr="00657EF5">
        <w:rPr>
          <w:b/>
        </w:rPr>
        <w:t>prostřednictvím poskytovatele platebních služeb nebo poštovním poukazem na příslušný účet správce daně,</w:t>
      </w:r>
    </w:p>
    <w:p w14:paraId="199407F7" w14:textId="14617988" w:rsidR="00657EF5" w:rsidRPr="00657EF5" w:rsidRDefault="00657EF5" w:rsidP="00607B4B">
      <w:pPr>
        <w:pStyle w:val="Textpsmene"/>
        <w:tabs>
          <w:tab w:val="num" w:pos="851"/>
        </w:tabs>
        <w:spacing w:before="0"/>
        <w:ind w:left="851" w:hanging="426"/>
        <w:rPr>
          <w:b/>
        </w:rPr>
      </w:pPr>
      <w:r>
        <w:rPr>
          <w:b/>
        </w:rPr>
        <w:lastRenderedPageBreak/>
        <w:t xml:space="preserve">2. </w:t>
      </w:r>
      <w:r>
        <w:rPr>
          <w:b/>
        </w:rPr>
        <w:tab/>
      </w:r>
      <w:r w:rsidRPr="00657EF5">
        <w:rPr>
          <w:b/>
        </w:rPr>
        <w:t>úřední osobě pověřené přijímat tyto platby, přičemž součet plateb na všechny druhy daně za jeden daňový subjekt nesmí v průběhu jednoho kalendářního dne u jednoho správce daně přesáhnout částku 500 000 Kč,</w:t>
      </w:r>
    </w:p>
    <w:p w14:paraId="5F025024" w14:textId="7A800E39" w:rsidR="00657EF5" w:rsidRPr="00657EF5" w:rsidRDefault="00657EF5" w:rsidP="00607B4B">
      <w:pPr>
        <w:pStyle w:val="Textpsmene"/>
        <w:tabs>
          <w:tab w:val="num" w:pos="851"/>
        </w:tabs>
        <w:spacing w:before="0"/>
        <w:ind w:left="851" w:hanging="426"/>
        <w:rPr>
          <w:b/>
        </w:rPr>
      </w:pPr>
      <w:r>
        <w:rPr>
          <w:b/>
        </w:rPr>
        <w:t xml:space="preserve">3. </w:t>
      </w:r>
      <w:r>
        <w:rPr>
          <w:b/>
        </w:rPr>
        <w:tab/>
      </w:r>
      <w:r w:rsidRPr="00657EF5">
        <w:rPr>
          <w:b/>
        </w:rPr>
        <w:t>šekem, jehož proplacení je zajištěno poskytovatelem platebních služeb,</w:t>
      </w:r>
    </w:p>
    <w:p w14:paraId="76C964DE" w14:textId="3EF628C6" w:rsidR="00657EF5" w:rsidRPr="00657EF5" w:rsidRDefault="00657EF5" w:rsidP="00607B4B">
      <w:pPr>
        <w:pStyle w:val="Textpsmene"/>
        <w:tabs>
          <w:tab w:val="num" w:pos="851"/>
        </w:tabs>
        <w:spacing w:before="0"/>
        <w:ind w:left="851" w:hanging="426"/>
        <w:rPr>
          <w:b/>
        </w:rPr>
      </w:pPr>
      <w:r>
        <w:rPr>
          <w:b/>
        </w:rPr>
        <w:t>4.</w:t>
      </w:r>
      <w:r>
        <w:rPr>
          <w:b/>
        </w:rPr>
        <w:tab/>
      </w:r>
      <w:r w:rsidRPr="00657EF5">
        <w:rPr>
          <w:b/>
        </w:rPr>
        <w:t>daňovému exekutorovi, jde-li o platbu při daňové exekuci, a</w:t>
      </w:r>
    </w:p>
    <w:p w14:paraId="272F9927" w14:textId="47792846" w:rsidR="00657EF5" w:rsidRPr="00657EF5" w:rsidRDefault="00657EF5" w:rsidP="00607B4B">
      <w:pPr>
        <w:pStyle w:val="Textpsmene"/>
        <w:tabs>
          <w:tab w:val="num" w:pos="851"/>
        </w:tabs>
        <w:spacing w:before="0"/>
        <w:ind w:left="851" w:hanging="426"/>
        <w:rPr>
          <w:b/>
        </w:rPr>
      </w:pPr>
      <w:r>
        <w:rPr>
          <w:b/>
        </w:rPr>
        <w:t>5.</w:t>
      </w:r>
      <w:r>
        <w:rPr>
          <w:b/>
        </w:rPr>
        <w:tab/>
      </w:r>
      <w:r w:rsidRPr="00657EF5">
        <w:rPr>
          <w:b/>
        </w:rPr>
        <w:t>oprávněné úřední osobě, jde-li o platbu pokuty, kterou lze na základě zjednodušeného řízení hradit na místě,</w:t>
      </w:r>
    </w:p>
    <w:p w14:paraId="6813346C" w14:textId="4C83AB9A" w:rsidR="00657EF5" w:rsidRPr="00657EF5" w:rsidRDefault="00657EF5" w:rsidP="00607B4B">
      <w:pPr>
        <w:pStyle w:val="PZTextpsmene"/>
        <w:spacing w:before="0"/>
        <w:rPr>
          <w:rFonts w:eastAsiaTheme="minorEastAsia"/>
          <w:b/>
          <w:szCs w:val="24"/>
        </w:rPr>
      </w:pPr>
      <w:r w:rsidRPr="00657EF5">
        <w:rPr>
          <w:rFonts w:eastAsiaTheme="minorEastAsia"/>
          <w:b/>
          <w:szCs w:val="24"/>
        </w:rPr>
        <w:t xml:space="preserve">c) </w:t>
      </w:r>
      <w:r>
        <w:rPr>
          <w:rFonts w:eastAsiaTheme="minorEastAsia"/>
          <w:b/>
          <w:szCs w:val="24"/>
        </w:rPr>
        <w:tab/>
      </w:r>
      <w:r w:rsidRPr="00657EF5">
        <w:rPr>
          <w:rFonts w:eastAsiaTheme="minorEastAsia"/>
          <w:b/>
          <w:szCs w:val="24"/>
        </w:rPr>
        <w:t>přeplatkem na jiné dani.</w:t>
      </w:r>
    </w:p>
    <w:p w14:paraId="69D5F3BF" w14:textId="3FBD1EEA" w:rsidR="00657EF5" w:rsidRPr="00657EF5" w:rsidRDefault="00657EF5" w:rsidP="00607B4B">
      <w:pPr>
        <w:keepNext/>
        <w:keepLines/>
        <w:spacing w:before="120" w:after="120"/>
        <w:ind w:firstLine="0"/>
        <w:jc w:val="center"/>
        <w:outlineLvl w:val="2"/>
        <w:rPr>
          <w:rFonts w:eastAsiaTheme="minorEastAsia"/>
          <w:szCs w:val="24"/>
        </w:rPr>
      </w:pPr>
      <w:r>
        <w:rPr>
          <w:rFonts w:eastAsiaTheme="minorEastAsia"/>
          <w:szCs w:val="24"/>
        </w:rPr>
        <w:t>***</w:t>
      </w:r>
    </w:p>
    <w:p w14:paraId="43CF0979" w14:textId="29C0F078" w:rsidR="00657EF5" w:rsidRPr="00657EF5" w:rsidRDefault="00657EF5" w:rsidP="00607B4B">
      <w:pPr>
        <w:keepNext/>
        <w:keepLines/>
        <w:spacing w:before="120" w:after="120"/>
        <w:ind w:firstLine="0"/>
        <w:jc w:val="center"/>
        <w:outlineLvl w:val="5"/>
        <w:rPr>
          <w:szCs w:val="24"/>
        </w:rPr>
      </w:pPr>
      <w:r w:rsidRPr="00657EF5">
        <w:rPr>
          <w:szCs w:val="24"/>
        </w:rPr>
        <w:t>§ 215</w:t>
      </w:r>
    </w:p>
    <w:p w14:paraId="78AB328E" w14:textId="77777777" w:rsidR="00657EF5" w:rsidRPr="00657EF5" w:rsidRDefault="00657EF5" w:rsidP="00607B4B">
      <w:pPr>
        <w:tabs>
          <w:tab w:val="left" w:pos="851"/>
        </w:tabs>
        <w:spacing w:before="120" w:after="120"/>
        <w:outlineLvl w:val="6"/>
        <w:rPr>
          <w:rFonts w:eastAsiaTheme="minorEastAsia"/>
          <w:szCs w:val="24"/>
        </w:rPr>
      </w:pPr>
      <w:r w:rsidRPr="00657EF5">
        <w:rPr>
          <w:rFonts w:eastAsiaTheme="minorEastAsia"/>
          <w:szCs w:val="24"/>
        </w:rPr>
        <w:t>(1) Je-li sepsána vkladní knížka, vkladní list nebo jiná listina o obdobné formě vkladu, předloží ji správce daně poskytovateli platebních služeb spolu s exekučním příkazem na prodej movitých věcí a vybere z ní částku, na kterou má dlužník právo, maximálně však do výše vymáhaného nedoplatku.</w:t>
      </w:r>
    </w:p>
    <w:p w14:paraId="5ABF7C5A" w14:textId="77777777" w:rsidR="00657EF5" w:rsidRPr="00657EF5" w:rsidRDefault="00657EF5" w:rsidP="00607B4B">
      <w:pPr>
        <w:tabs>
          <w:tab w:val="left" w:pos="851"/>
        </w:tabs>
        <w:spacing w:before="120" w:after="120"/>
        <w:outlineLvl w:val="6"/>
        <w:rPr>
          <w:rFonts w:eastAsiaTheme="minorEastAsia"/>
          <w:szCs w:val="24"/>
        </w:rPr>
      </w:pPr>
      <w:r w:rsidRPr="00657EF5">
        <w:rPr>
          <w:rFonts w:eastAsiaTheme="minorEastAsia"/>
          <w:szCs w:val="24"/>
        </w:rPr>
        <w:t>(2) Poskytovatel platebních služeb provede výplatu vkladu tomuto správci daně, a to i tehdy, je-li výplata vkladu vázána.</w:t>
      </w:r>
    </w:p>
    <w:p w14:paraId="7F1271D1" w14:textId="77777777" w:rsidR="00657EF5" w:rsidRPr="00657EF5" w:rsidRDefault="00657EF5" w:rsidP="00607B4B">
      <w:pPr>
        <w:tabs>
          <w:tab w:val="left" w:pos="851"/>
        </w:tabs>
        <w:spacing w:before="120" w:after="120"/>
        <w:outlineLvl w:val="6"/>
        <w:rPr>
          <w:rFonts w:eastAsiaTheme="minorEastAsia"/>
          <w:szCs w:val="24"/>
        </w:rPr>
      </w:pPr>
      <w:r w:rsidRPr="00657EF5">
        <w:rPr>
          <w:rFonts w:eastAsiaTheme="minorEastAsia"/>
          <w:szCs w:val="24"/>
        </w:rPr>
        <w:t>(3) Je-li vklad veden v cizí měně, provede poskytovatel platebních služeb výplatu vkladu správci daně v </w:t>
      </w:r>
      <w:r w:rsidRPr="00657EF5">
        <w:rPr>
          <w:rFonts w:eastAsiaTheme="minorEastAsia"/>
          <w:strike/>
          <w:szCs w:val="24"/>
        </w:rPr>
        <w:t>české</w:t>
      </w:r>
      <w:r w:rsidRPr="00657EF5">
        <w:rPr>
          <w:rFonts w:eastAsiaTheme="minorEastAsia"/>
          <w:szCs w:val="24"/>
        </w:rPr>
        <w:t xml:space="preserve"> měně</w:t>
      </w:r>
      <w:r w:rsidRPr="00657EF5">
        <w:rPr>
          <w:rFonts w:eastAsiaTheme="minorEastAsia"/>
          <w:b/>
          <w:szCs w:val="24"/>
        </w:rPr>
        <w:t>, ve které dochází k vymáhání nedoplatku</w:t>
      </w:r>
      <w:r w:rsidRPr="00657EF5">
        <w:rPr>
          <w:rFonts w:eastAsiaTheme="minorEastAsia"/>
          <w:szCs w:val="24"/>
        </w:rPr>
        <w:t>.</w:t>
      </w:r>
    </w:p>
    <w:p w14:paraId="01A55910" w14:textId="77777777" w:rsidR="00657EF5" w:rsidRPr="00657EF5" w:rsidRDefault="00657EF5" w:rsidP="00607B4B">
      <w:pPr>
        <w:tabs>
          <w:tab w:val="left" w:pos="851"/>
        </w:tabs>
        <w:spacing w:before="120" w:after="120"/>
        <w:outlineLvl w:val="6"/>
        <w:rPr>
          <w:rFonts w:eastAsiaTheme="minorEastAsia"/>
          <w:szCs w:val="24"/>
        </w:rPr>
      </w:pPr>
      <w:r w:rsidRPr="00657EF5">
        <w:rPr>
          <w:rFonts w:eastAsiaTheme="minorEastAsia"/>
          <w:szCs w:val="24"/>
        </w:rPr>
        <w:t>(4) V rozsahu plnění vyplaceného správci daně se poskytovatel platebních služeb zprostí své povinnosti vůči dlužníkovi.</w:t>
      </w:r>
    </w:p>
    <w:p w14:paraId="3F567149" w14:textId="77777777" w:rsidR="00657EF5" w:rsidRPr="00657EF5" w:rsidRDefault="00657EF5" w:rsidP="00607B4B">
      <w:pPr>
        <w:tabs>
          <w:tab w:val="left" w:pos="851"/>
        </w:tabs>
        <w:spacing w:before="120" w:after="120"/>
        <w:outlineLvl w:val="6"/>
        <w:rPr>
          <w:rFonts w:eastAsiaTheme="minorEastAsia"/>
          <w:szCs w:val="24"/>
        </w:rPr>
      </w:pPr>
      <w:r w:rsidRPr="00657EF5">
        <w:rPr>
          <w:rFonts w:eastAsiaTheme="minorEastAsia"/>
          <w:szCs w:val="24"/>
        </w:rPr>
        <w:t>(5) Je-li sepsána listina prokazující existenci peněžité pohledávky nebo pohledávky na vydání nebo dodání movitých věcí, popřípadě jiného majetkového práva, předloží ji správce daně poddlužníkovi spolu s exekučním příkazem na prodej movitých věcí. Tím nastávají účinky doručení exekučního příkazu poddlužníkovi podle jednotlivých způsobů daňové exekuce postižením majetkových práv a dále se postupuje podle příslušných ustanovení pro daný způsob daňové exekuce.</w:t>
      </w:r>
    </w:p>
    <w:p w14:paraId="376567D9" w14:textId="5C5E1B22" w:rsidR="00657EF5" w:rsidRPr="00657EF5" w:rsidRDefault="00657EF5" w:rsidP="00607B4B">
      <w:pPr>
        <w:keepNext/>
        <w:keepLines/>
        <w:spacing w:before="120" w:after="120"/>
        <w:ind w:firstLine="0"/>
        <w:jc w:val="center"/>
        <w:outlineLvl w:val="2"/>
        <w:rPr>
          <w:rFonts w:eastAsiaTheme="minorEastAsia"/>
          <w:szCs w:val="24"/>
        </w:rPr>
      </w:pPr>
      <w:r>
        <w:rPr>
          <w:rFonts w:eastAsiaTheme="minorEastAsia"/>
          <w:szCs w:val="24"/>
        </w:rPr>
        <w:t>***</w:t>
      </w:r>
    </w:p>
    <w:p w14:paraId="652982DC" w14:textId="6D1C37CF" w:rsidR="00657EF5" w:rsidRDefault="00657EF5" w:rsidP="00607B4B">
      <w:pPr>
        <w:widowControl w:val="0"/>
        <w:spacing w:before="120" w:after="120"/>
        <w:ind w:firstLine="0"/>
        <w:jc w:val="center"/>
        <w:outlineLvl w:val="5"/>
        <w:rPr>
          <w:rFonts w:eastAsiaTheme="minorEastAsia"/>
          <w:b/>
          <w:szCs w:val="24"/>
        </w:rPr>
      </w:pPr>
      <w:r w:rsidRPr="00657EF5">
        <w:rPr>
          <w:rFonts w:eastAsiaTheme="minorEastAsia"/>
          <w:b/>
          <w:szCs w:val="24"/>
        </w:rPr>
        <w:t>Hlava VIII</w:t>
      </w:r>
    </w:p>
    <w:p w14:paraId="56545E11" w14:textId="77777777" w:rsidR="00657EF5" w:rsidRPr="00657EF5" w:rsidRDefault="00657EF5" w:rsidP="00607B4B">
      <w:pPr>
        <w:widowControl w:val="0"/>
        <w:spacing w:before="120" w:after="120"/>
        <w:ind w:firstLine="0"/>
        <w:jc w:val="center"/>
        <w:outlineLvl w:val="5"/>
        <w:rPr>
          <w:rFonts w:eastAsiaTheme="minorEastAsia"/>
          <w:b/>
          <w:szCs w:val="24"/>
        </w:rPr>
      </w:pPr>
      <w:r w:rsidRPr="00657EF5">
        <w:rPr>
          <w:rFonts w:eastAsiaTheme="minorEastAsia"/>
          <w:b/>
          <w:szCs w:val="24"/>
        </w:rPr>
        <w:t>Měna při správě daní</w:t>
      </w:r>
    </w:p>
    <w:p w14:paraId="7DA98784" w14:textId="77777777" w:rsidR="00657EF5" w:rsidRPr="00657EF5" w:rsidRDefault="00657EF5" w:rsidP="00607B4B">
      <w:pPr>
        <w:widowControl w:val="0"/>
        <w:spacing w:before="120" w:after="120"/>
        <w:ind w:firstLine="0"/>
        <w:jc w:val="center"/>
        <w:outlineLvl w:val="5"/>
        <w:rPr>
          <w:rFonts w:eastAsiaTheme="minorEastAsia"/>
          <w:b/>
          <w:szCs w:val="24"/>
        </w:rPr>
      </w:pPr>
      <w:r w:rsidRPr="00657EF5">
        <w:rPr>
          <w:rFonts w:eastAsiaTheme="minorEastAsia"/>
          <w:b/>
          <w:szCs w:val="24"/>
        </w:rPr>
        <w:t>§ 245a</w:t>
      </w:r>
    </w:p>
    <w:p w14:paraId="6BC0CEE2" w14:textId="77777777" w:rsidR="00657EF5" w:rsidRPr="00657EF5" w:rsidRDefault="00657EF5" w:rsidP="00607B4B">
      <w:pPr>
        <w:widowControl w:val="0"/>
        <w:spacing w:before="120" w:after="120"/>
        <w:ind w:firstLine="0"/>
        <w:jc w:val="center"/>
        <w:outlineLvl w:val="5"/>
        <w:rPr>
          <w:rFonts w:eastAsiaTheme="minorEastAsia"/>
          <w:b/>
          <w:szCs w:val="24"/>
        </w:rPr>
      </w:pPr>
      <w:r w:rsidRPr="00657EF5">
        <w:rPr>
          <w:rFonts w:eastAsiaTheme="minorEastAsia"/>
          <w:b/>
          <w:szCs w:val="24"/>
        </w:rPr>
        <w:t>Určení měny při správě daní</w:t>
      </w:r>
    </w:p>
    <w:p w14:paraId="5ECD9EB9" w14:textId="77777777" w:rsidR="00657EF5" w:rsidRPr="00657EF5" w:rsidRDefault="00657EF5" w:rsidP="00607B4B">
      <w:pPr>
        <w:tabs>
          <w:tab w:val="left" w:pos="851"/>
        </w:tabs>
        <w:spacing w:before="120" w:after="120"/>
        <w:outlineLvl w:val="6"/>
        <w:rPr>
          <w:rFonts w:eastAsiaTheme="minorEastAsia"/>
          <w:b/>
          <w:szCs w:val="24"/>
        </w:rPr>
      </w:pPr>
      <w:r w:rsidRPr="00657EF5">
        <w:rPr>
          <w:rFonts w:eastAsiaTheme="minorEastAsia"/>
          <w:b/>
          <w:szCs w:val="24"/>
        </w:rPr>
        <w:t>(1) Daň se spravuje v české měně.</w:t>
      </w:r>
    </w:p>
    <w:p w14:paraId="114F0B55" w14:textId="77777777" w:rsidR="00657EF5" w:rsidRPr="00657EF5" w:rsidRDefault="00657EF5" w:rsidP="00607B4B">
      <w:pPr>
        <w:tabs>
          <w:tab w:val="left" w:pos="851"/>
        </w:tabs>
        <w:spacing w:before="120" w:after="120"/>
        <w:outlineLvl w:val="6"/>
        <w:rPr>
          <w:rFonts w:eastAsiaTheme="minorEastAsia"/>
          <w:b/>
          <w:szCs w:val="24"/>
        </w:rPr>
      </w:pPr>
      <w:r w:rsidRPr="00657EF5">
        <w:rPr>
          <w:rFonts w:eastAsiaTheme="minorEastAsia"/>
          <w:b/>
          <w:szCs w:val="24"/>
        </w:rPr>
        <w:t>(2) Daň se spravuje v cizí měně, pokud tak stanoví zákon.</w:t>
      </w:r>
    </w:p>
    <w:p w14:paraId="2072737A" w14:textId="77777777" w:rsidR="00657EF5" w:rsidRPr="00657EF5" w:rsidRDefault="00657EF5" w:rsidP="00607B4B">
      <w:pPr>
        <w:tabs>
          <w:tab w:val="left" w:pos="851"/>
        </w:tabs>
        <w:spacing w:before="120" w:after="120"/>
        <w:outlineLvl w:val="6"/>
        <w:rPr>
          <w:rFonts w:eastAsiaTheme="minorEastAsia"/>
          <w:b/>
          <w:szCs w:val="24"/>
        </w:rPr>
      </w:pPr>
      <w:r w:rsidRPr="00657EF5">
        <w:rPr>
          <w:rFonts w:eastAsiaTheme="minorEastAsia"/>
          <w:b/>
          <w:szCs w:val="24"/>
        </w:rPr>
        <w:t>(3) Nestanoví-li zákon jinak, ke správě v cizí měně nedochází při</w:t>
      </w:r>
    </w:p>
    <w:p w14:paraId="61C4E09E" w14:textId="752A31F6" w:rsidR="00657EF5" w:rsidRPr="00657EF5" w:rsidRDefault="00657EF5" w:rsidP="00607B4B">
      <w:pPr>
        <w:pStyle w:val="PZTextpsmene"/>
        <w:spacing w:before="0"/>
        <w:rPr>
          <w:rFonts w:eastAsiaTheme="minorEastAsia"/>
          <w:b/>
          <w:szCs w:val="24"/>
        </w:rPr>
      </w:pPr>
      <w:r w:rsidRPr="00657EF5">
        <w:rPr>
          <w:rFonts w:eastAsiaTheme="minorEastAsia"/>
          <w:b/>
          <w:szCs w:val="24"/>
        </w:rPr>
        <w:t xml:space="preserve">a) </w:t>
      </w:r>
      <w:r>
        <w:rPr>
          <w:rFonts w:eastAsiaTheme="minorEastAsia"/>
          <w:b/>
          <w:szCs w:val="24"/>
        </w:rPr>
        <w:tab/>
      </w:r>
      <w:r w:rsidRPr="00657EF5">
        <w:rPr>
          <w:rFonts w:eastAsiaTheme="minorEastAsia"/>
          <w:b/>
          <w:szCs w:val="24"/>
        </w:rPr>
        <w:t>správě příslušenství, které nesleduje osud daně podle odstavce 2,</w:t>
      </w:r>
    </w:p>
    <w:p w14:paraId="58E9EA4F" w14:textId="6ECBADB7" w:rsidR="00657EF5" w:rsidRPr="00657EF5" w:rsidRDefault="00657EF5" w:rsidP="00607B4B">
      <w:pPr>
        <w:pStyle w:val="PZTextpsmene"/>
        <w:spacing w:before="0"/>
        <w:rPr>
          <w:rFonts w:eastAsiaTheme="minorEastAsia"/>
          <w:b/>
          <w:szCs w:val="24"/>
        </w:rPr>
      </w:pPr>
      <w:r w:rsidRPr="00657EF5">
        <w:rPr>
          <w:rFonts w:eastAsiaTheme="minorEastAsia"/>
          <w:b/>
          <w:szCs w:val="24"/>
        </w:rPr>
        <w:t xml:space="preserve">b) </w:t>
      </w:r>
      <w:r>
        <w:rPr>
          <w:rFonts w:eastAsiaTheme="minorEastAsia"/>
          <w:b/>
          <w:szCs w:val="24"/>
        </w:rPr>
        <w:tab/>
      </w:r>
      <w:r w:rsidRPr="00657EF5">
        <w:rPr>
          <w:rFonts w:eastAsiaTheme="minorEastAsia"/>
          <w:b/>
          <w:szCs w:val="24"/>
        </w:rPr>
        <w:t>vymáhání nedoplatku a evidenci vymožené částky na osobním depozitním účtu.</w:t>
      </w:r>
    </w:p>
    <w:p w14:paraId="0148FC87" w14:textId="3EC59485" w:rsidR="00657EF5" w:rsidRDefault="00657EF5" w:rsidP="00607B4B">
      <w:pPr>
        <w:tabs>
          <w:tab w:val="left" w:pos="851"/>
        </w:tabs>
        <w:spacing w:before="120" w:after="120"/>
        <w:outlineLvl w:val="6"/>
        <w:rPr>
          <w:rFonts w:eastAsiaTheme="minorEastAsia"/>
          <w:b/>
          <w:szCs w:val="24"/>
        </w:rPr>
      </w:pPr>
      <w:r w:rsidRPr="00657EF5">
        <w:rPr>
          <w:rFonts w:eastAsiaTheme="minorEastAsia"/>
          <w:b/>
          <w:szCs w:val="24"/>
        </w:rPr>
        <w:t>(4) Z důvodu hospodárnosti může správce daně rozšířit správu daně v cizí měně i na případy, kdy podle odstavce 3 ke správě v cizí měně nedochází.</w:t>
      </w:r>
    </w:p>
    <w:p w14:paraId="35FD1A49" w14:textId="466A90FC" w:rsidR="00657EF5" w:rsidRPr="00657EF5" w:rsidRDefault="00657EF5" w:rsidP="00607B4B">
      <w:pPr>
        <w:widowControl w:val="0"/>
        <w:spacing w:before="120" w:after="120"/>
        <w:ind w:firstLine="0"/>
        <w:jc w:val="center"/>
        <w:outlineLvl w:val="5"/>
        <w:rPr>
          <w:rFonts w:eastAsiaTheme="minorEastAsia"/>
          <w:b/>
          <w:szCs w:val="24"/>
        </w:rPr>
      </w:pPr>
      <w:r w:rsidRPr="00657EF5">
        <w:rPr>
          <w:rFonts w:eastAsiaTheme="minorEastAsia"/>
          <w:b/>
          <w:szCs w:val="24"/>
        </w:rPr>
        <w:t>§ 245b</w:t>
      </w:r>
    </w:p>
    <w:p w14:paraId="49E6401B" w14:textId="77777777" w:rsidR="00657EF5" w:rsidRPr="00657EF5" w:rsidRDefault="00657EF5" w:rsidP="00607B4B">
      <w:pPr>
        <w:widowControl w:val="0"/>
        <w:spacing w:before="120" w:after="120"/>
        <w:ind w:firstLine="0"/>
        <w:jc w:val="center"/>
        <w:outlineLvl w:val="5"/>
        <w:rPr>
          <w:rFonts w:eastAsiaTheme="minorEastAsia"/>
          <w:b/>
          <w:szCs w:val="24"/>
        </w:rPr>
      </w:pPr>
      <w:r w:rsidRPr="00657EF5">
        <w:rPr>
          <w:rFonts w:eastAsiaTheme="minorEastAsia"/>
          <w:b/>
          <w:szCs w:val="24"/>
        </w:rPr>
        <w:t>Přepočet měny a zaokrouhlování</w:t>
      </w:r>
    </w:p>
    <w:p w14:paraId="213620A1" w14:textId="77777777" w:rsidR="00657EF5" w:rsidRPr="00657EF5" w:rsidRDefault="00657EF5" w:rsidP="00607B4B">
      <w:pPr>
        <w:tabs>
          <w:tab w:val="left" w:pos="851"/>
        </w:tabs>
        <w:spacing w:before="120" w:after="120"/>
        <w:outlineLvl w:val="6"/>
        <w:rPr>
          <w:rFonts w:eastAsiaTheme="minorEastAsia"/>
          <w:b/>
          <w:szCs w:val="24"/>
        </w:rPr>
      </w:pPr>
      <w:r w:rsidRPr="00657EF5">
        <w:rPr>
          <w:rFonts w:eastAsiaTheme="minorEastAsia"/>
          <w:b/>
          <w:szCs w:val="24"/>
        </w:rPr>
        <w:lastRenderedPageBreak/>
        <w:t>(1) Při přepočtu měny při správě daní se použije kurz devizového trhu vyhlášený Českou národní bankou pro den, který předchází dni, kdy je</w:t>
      </w:r>
    </w:p>
    <w:p w14:paraId="348E8BA4" w14:textId="3F0435AE" w:rsidR="00657EF5" w:rsidRPr="00657EF5" w:rsidRDefault="00657EF5" w:rsidP="00607B4B">
      <w:pPr>
        <w:pStyle w:val="PZTextpsmene"/>
        <w:spacing w:before="0"/>
        <w:rPr>
          <w:rFonts w:eastAsiaTheme="minorEastAsia"/>
          <w:b/>
          <w:szCs w:val="24"/>
        </w:rPr>
      </w:pPr>
      <w:r w:rsidRPr="00657EF5">
        <w:rPr>
          <w:rFonts w:eastAsiaTheme="minorEastAsia"/>
          <w:b/>
          <w:szCs w:val="24"/>
        </w:rPr>
        <w:t xml:space="preserve">a) </w:t>
      </w:r>
      <w:r>
        <w:rPr>
          <w:rFonts w:eastAsiaTheme="minorEastAsia"/>
          <w:b/>
          <w:szCs w:val="24"/>
        </w:rPr>
        <w:tab/>
      </w:r>
      <w:r w:rsidRPr="00657EF5">
        <w:rPr>
          <w:rFonts w:eastAsiaTheme="minorEastAsia"/>
          <w:b/>
          <w:szCs w:val="24"/>
        </w:rPr>
        <w:t>učiněn úkon nebo nastala jiná právní skutečnost, v souvislosti s nimiž je přepočet měny prováděn, nebo</w:t>
      </w:r>
    </w:p>
    <w:p w14:paraId="5B8FF389" w14:textId="1F8C35EB" w:rsidR="00657EF5" w:rsidRPr="00657EF5" w:rsidRDefault="00657EF5" w:rsidP="00607B4B">
      <w:pPr>
        <w:pStyle w:val="PZTextpsmene"/>
        <w:spacing w:before="0"/>
        <w:rPr>
          <w:rFonts w:eastAsiaTheme="minorEastAsia"/>
          <w:b/>
          <w:szCs w:val="24"/>
        </w:rPr>
      </w:pPr>
      <w:r w:rsidRPr="00657EF5">
        <w:rPr>
          <w:rFonts w:eastAsiaTheme="minorEastAsia"/>
          <w:b/>
          <w:szCs w:val="24"/>
        </w:rPr>
        <w:t xml:space="preserve">b) </w:t>
      </w:r>
      <w:r>
        <w:rPr>
          <w:rFonts w:eastAsiaTheme="minorEastAsia"/>
          <w:b/>
          <w:szCs w:val="24"/>
        </w:rPr>
        <w:tab/>
      </w:r>
      <w:r w:rsidRPr="00657EF5">
        <w:rPr>
          <w:rFonts w:eastAsiaTheme="minorEastAsia"/>
          <w:b/>
          <w:szCs w:val="24"/>
        </w:rPr>
        <w:t>účinný úkon, v souvislosti s nímž je přepočet měny prováděn, pokud je účinnost úkonu odlišná od okamžiku, kdy byl učiněn.</w:t>
      </w:r>
    </w:p>
    <w:p w14:paraId="3C7EAA42" w14:textId="77777777" w:rsidR="00657EF5" w:rsidRPr="00657EF5" w:rsidRDefault="00657EF5" w:rsidP="00607B4B">
      <w:pPr>
        <w:tabs>
          <w:tab w:val="left" w:pos="851"/>
        </w:tabs>
        <w:spacing w:before="120" w:after="120"/>
        <w:outlineLvl w:val="6"/>
        <w:rPr>
          <w:rFonts w:eastAsiaTheme="minorEastAsia"/>
          <w:b/>
          <w:szCs w:val="24"/>
        </w:rPr>
      </w:pPr>
      <w:r w:rsidRPr="00657EF5">
        <w:rPr>
          <w:rFonts w:eastAsiaTheme="minorEastAsia"/>
          <w:b/>
          <w:szCs w:val="24"/>
        </w:rPr>
        <w:t>(2) Podle odstavce 1 se postupuje také při přepočtu částek, které jsou stanoveny zákonem v české měně.</w:t>
      </w:r>
    </w:p>
    <w:p w14:paraId="6256777F" w14:textId="77777777" w:rsidR="00657EF5" w:rsidRPr="00657EF5" w:rsidRDefault="00657EF5" w:rsidP="00607B4B">
      <w:pPr>
        <w:tabs>
          <w:tab w:val="left" w:pos="851"/>
        </w:tabs>
        <w:spacing w:before="120" w:after="120"/>
        <w:outlineLvl w:val="6"/>
        <w:rPr>
          <w:rFonts w:eastAsiaTheme="minorEastAsia"/>
          <w:b/>
          <w:szCs w:val="24"/>
        </w:rPr>
      </w:pPr>
      <w:r w:rsidRPr="00657EF5">
        <w:rPr>
          <w:rFonts w:eastAsiaTheme="minorEastAsia"/>
          <w:b/>
          <w:szCs w:val="24"/>
        </w:rPr>
        <w:t>(3) Je-li na osobní depozitní účet zaevidována částka v jiné měně, než je měna, ve které se daň spravuje, použije se při jejím převodu z osobního depozitního účtu na osobní daňový účet kurz devizového trhu vyhlášený Českou národní bankou pro den, kdy byla částka přijata na osobní depozitní účet.</w:t>
      </w:r>
    </w:p>
    <w:p w14:paraId="2A3334F4" w14:textId="77777777" w:rsidR="00657EF5" w:rsidRPr="00657EF5" w:rsidRDefault="00657EF5" w:rsidP="00607B4B">
      <w:pPr>
        <w:tabs>
          <w:tab w:val="left" w:pos="851"/>
        </w:tabs>
        <w:spacing w:before="120" w:after="120"/>
        <w:outlineLvl w:val="6"/>
        <w:rPr>
          <w:rFonts w:eastAsiaTheme="minorEastAsia"/>
          <w:b/>
          <w:szCs w:val="24"/>
        </w:rPr>
      </w:pPr>
      <w:r w:rsidRPr="00657EF5">
        <w:rPr>
          <w:rFonts w:eastAsiaTheme="minorEastAsia"/>
          <w:b/>
          <w:szCs w:val="24"/>
        </w:rPr>
        <w:t>(4) Je-li daň spravována v cizí měně, zaokrouhluje se daň nebo záloha na daň na celá čísla nahoru.</w:t>
      </w:r>
    </w:p>
    <w:p w14:paraId="09834B1D" w14:textId="77777777" w:rsidR="00657EF5" w:rsidRPr="00657EF5" w:rsidRDefault="00657EF5" w:rsidP="00607B4B">
      <w:pPr>
        <w:widowControl w:val="0"/>
        <w:spacing w:before="120" w:after="120"/>
        <w:ind w:firstLine="0"/>
        <w:jc w:val="center"/>
        <w:outlineLvl w:val="2"/>
        <w:rPr>
          <w:rFonts w:eastAsiaTheme="minorEastAsia"/>
          <w:b/>
          <w:szCs w:val="24"/>
        </w:rPr>
      </w:pPr>
      <w:r w:rsidRPr="00657EF5">
        <w:rPr>
          <w:rFonts w:eastAsiaTheme="minorEastAsia"/>
          <w:b/>
          <w:szCs w:val="24"/>
        </w:rPr>
        <w:t>§ 245c</w:t>
      </w:r>
    </w:p>
    <w:p w14:paraId="0CE53C2E" w14:textId="77777777" w:rsidR="00657EF5" w:rsidRPr="00657EF5" w:rsidRDefault="00657EF5" w:rsidP="00607B4B">
      <w:pPr>
        <w:widowControl w:val="0"/>
        <w:spacing w:before="120" w:after="120"/>
        <w:ind w:firstLine="0"/>
        <w:jc w:val="center"/>
        <w:outlineLvl w:val="2"/>
        <w:rPr>
          <w:rFonts w:eastAsiaTheme="minorEastAsia"/>
          <w:b/>
          <w:szCs w:val="24"/>
        </w:rPr>
      </w:pPr>
      <w:r w:rsidRPr="00657EF5">
        <w:rPr>
          <w:rFonts w:eastAsiaTheme="minorEastAsia"/>
          <w:b/>
          <w:szCs w:val="24"/>
        </w:rPr>
        <w:t>Placení daně v cizí měně</w:t>
      </w:r>
    </w:p>
    <w:p w14:paraId="51425D5E" w14:textId="77777777" w:rsidR="00657EF5" w:rsidRPr="00657EF5" w:rsidRDefault="00657EF5" w:rsidP="00607B4B">
      <w:pPr>
        <w:tabs>
          <w:tab w:val="left" w:pos="851"/>
        </w:tabs>
        <w:spacing w:before="120" w:after="120"/>
        <w:outlineLvl w:val="6"/>
        <w:rPr>
          <w:rFonts w:eastAsiaTheme="minorEastAsia"/>
          <w:b/>
          <w:szCs w:val="24"/>
        </w:rPr>
      </w:pPr>
      <w:r w:rsidRPr="00657EF5">
        <w:rPr>
          <w:rFonts w:eastAsiaTheme="minorEastAsia"/>
          <w:b/>
          <w:szCs w:val="24"/>
        </w:rPr>
        <w:t>(1) Je-li platba poukázána v jiné měně, než je měna, ve které se daň spravuje, zaeviduje ji správce daně na osobní daňový účet daňového subjektu ve výši, v jaké mu byla připsána na účet v měně, ve které se daň spravuje.</w:t>
      </w:r>
    </w:p>
    <w:p w14:paraId="7A04C2E0" w14:textId="77777777" w:rsidR="00657EF5" w:rsidRPr="00657EF5" w:rsidRDefault="00657EF5" w:rsidP="00607B4B">
      <w:pPr>
        <w:tabs>
          <w:tab w:val="left" w:pos="851"/>
        </w:tabs>
        <w:spacing w:before="120" w:after="120"/>
        <w:outlineLvl w:val="6"/>
        <w:rPr>
          <w:rFonts w:eastAsiaTheme="minorEastAsia"/>
          <w:b/>
          <w:szCs w:val="24"/>
        </w:rPr>
      </w:pPr>
      <w:r w:rsidRPr="00657EF5">
        <w:rPr>
          <w:rFonts w:eastAsiaTheme="minorEastAsia"/>
          <w:b/>
          <w:szCs w:val="24"/>
        </w:rPr>
        <w:t>(2) V případech podle § 163 odst. 2 písm. b) bodů 2, 4 a 5 lze platit daň v hotovosti také v cizí měně, pokud pro ni vyhlašuje Česká národní banka kurz devizového trhu, a jedná-li se o druh daně, v jehož případě správce daně zveřejnil způsobem umožňujícím dálkový přístup skutečnost, že daň lze platit v hotovosti také v této cizí měně, a podmínky, které je při těchto platbách nutné dodržet.</w:t>
      </w:r>
    </w:p>
    <w:p w14:paraId="23B50283" w14:textId="77777777" w:rsidR="00657EF5" w:rsidRPr="00657EF5" w:rsidRDefault="00657EF5" w:rsidP="00607B4B">
      <w:pPr>
        <w:widowControl w:val="0"/>
        <w:spacing w:before="120" w:after="120"/>
        <w:ind w:firstLine="0"/>
        <w:jc w:val="center"/>
        <w:outlineLvl w:val="2"/>
        <w:rPr>
          <w:rFonts w:eastAsiaTheme="minorEastAsia"/>
          <w:b/>
          <w:szCs w:val="24"/>
        </w:rPr>
      </w:pPr>
      <w:r w:rsidRPr="00657EF5">
        <w:rPr>
          <w:rFonts w:eastAsiaTheme="minorEastAsia"/>
          <w:b/>
          <w:szCs w:val="24"/>
        </w:rPr>
        <w:t>§ 245d</w:t>
      </w:r>
    </w:p>
    <w:p w14:paraId="722E2E3C" w14:textId="77777777" w:rsidR="00657EF5" w:rsidRPr="00657EF5" w:rsidRDefault="00657EF5" w:rsidP="00607B4B">
      <w:pPr>
        <w:widowControl w:val="0"/>
        <w:spacing w:before="120" w:after="120"/>
        <w:ind w:firstLine="0"/>
        <w:jc w:val="center"/>
        <w:outlineLvl w:val="2"/>
        <w:rPr>
          <w:rFonts w:eastAsiaTheme="minorEastAsia"/>
          <w:b/>
          <w:szCs w:val="24"/>
        </w:rPr>
      </w:pPr>
      <w:r w:rsidRPr="00657EF5">
        <w:rPr>
          <w:rFonts w:eastAsiaTheme="minorEastAsia"/>
          <w:b/>
          <w:szCs w:val="24"/>
        </w:rPr>
        <w:t>Kurzové rozdíly</w:t>
      </w:r>
    </w:p>
    <w:p w14:paraId="70B09B0C" w14:textId="77777777" w:rsidR="00657EF5" w:rsidRPr="00657EF5" w:rsidRDefault="00657EF5" w:rsidP="00607B4B">
      <w:pPr>
        <w:tabs>
          <w:tab w:val="left" w:pos="851"/>
        </w:tabs>
        <w:spacing w:before="120" w:after="120"/>
        <w:outlineLvl w:val="6"/>
        <w:rPr>
          <w:rFonts w:eastAsiaTheme="minorEastAsia"/>
          <w:b/>
          <w:szCs w:val="24"/>
        </w:rPr>
      </w:pPr>
      <w:r w:rsidRPr="00657EF5">
        <w:rPr>
          <w:rFonts w:eastAsiaTheme="minorEastAsia"/>
          <w:b/>
          <w:szCs w:val="24"/>
        </w:rPr>
        <w:t>Vznikne-li nedoplatek nebo přeplatek pouze v důsledku kurzového rozdílu nebo zaokrouhlení při přepočtu měny, tento</w:t>
      </w:r>
    </w:p>
    <w:p w14:paraId="423900E3" w14:textId="1AE042FD" w:rsidR="00657EF5" w:rsidRPr="00657EF5" w:rsidRDefault="00657EF5" w:rsidP="00607B4B">
      <w:pPr>
        <w:pStyle w:val="PZTextpsmene"/>
        <w:spacing w:before="0"/>
        <w:rPr>
          <w:rFonts w:eastAsiaTheme="minorEastAsia"/>
          <w:b/>
          <w:szCs w:val="24"/>
        </w:rPr>
      </w:pPr>
      <w:r w:rsidRPr="00657EF5">
        <w:rPr>
          <w:rFonts w:eastAsiaTheme="minorEastAsia"/>
          <w:b/>
          <w:szCs w:val="24"/>
        </w:rPr>
        <w:t xml:space="preserve">a) </w:t>
      </w:r>
      <w:r>
        <w:rPr>
          <w:rFonts w:eastAsiaTheme="minorEastAsia"/>
          <w:b/>
          <w:szCs w:val="24"/>
        </w:rPr>
        <w:tab/>
      </w:r>
      <w:r w:rsidRPr="00657EF5">
        <w:rPr>
          <w:rFonts w:eastAsiaTheme="minorEastAsia"/>
          <w:b/>
          <w:szCs w:val="24"/>
        </w:rPr>
        <w:t>nedoplatek zaniká,</w:t>
      </w:r>
    </w:p>
    <w:p w14:paraId="1FE3E31A" w14:textId="2876B1EA" w:rsidR="00657EF5" w:rsidRPr="00657EF5" w:rsidRDefault="00657EF5" w:rsidP="00607B4B">
      <w:pPr>
        <w:pStyle w:val="PZTextpsmene"/>
        <w:spacing w:before="0"/>
        <w:rPr>
          <w:rFonts w:eastAsiaTheme="minorEastAsia"/>
          <w:b/>
          <w:szCs w:val="24"/>
        </w:rPr>
      </w:pPr>
      <w:r w:rsidRPr="00657EF5">
        <w:rPr>
          <w:rFonts w:eastAsiaTheme="minorEastAsia"/>
          <w:b/>
          <w:szCs w:val="24"/>
        </w:rPr>
        <w:t xml:space="preserve">b) </w:t>
      </w:r>
      <w:r>
        <w:rPr>
          <w:rFonts w:eastAsiaTheme="minorEastAsia"/>
          <w:b/>
          <w:szCs w:val="24"/>
        </w:rPr>
        <w:tab/>
      </w:r>
      <w:r w:rsidRPr="00657EF5">
        <w:rPr>
          <w:rFonts w:eastAsiaTheme="minorEastAsia"/>
          <w:b/>
          <w:szCs w:val="24"/>
        </w:rPr>
        <w:t>přeplatek zaniká a stává se příjmem rozpočtu, ze kterého je hrazena činnost správce daně, který jej evidoval.</w:t>
      </w:r>
    </w:p>
    <w:p w14:paraId="048C1FBC" w14:textId="77777777" w:rsidR="00657EF5" w:rsidRPr="00657EF5" w:rsidRDefault="00657EF5" w:rsidP="00607B4B">
      <w:pPr>
        <w:widowControl w:val="0"/>
        <w:spacing w:before="120" w:after="120"/>
        <w:ind w:firstLine="0"/>
        <w:jc w:val="center"/>
        <w:outlineLvl w:val="2"/>
        <w:rPr>
          <w:rFonts w:eastAsiaTheme="minorEastAsia"/>
          <w:b/>
          <w:szCs w:val="24"/>
        </w:rPr>
      </w:pPr>
      <w:r w:rsidRPr="00657EF5">
        <w:rPr>
          <w:rFonts w:eastAsiaTheme="minorEastAsia"/>
          <w:b/>
          <w:szCs w:val="24"/>
        </w:rPr>
        <w:t>§ 245e</w:t>
      </w:r>
    </w:p>
    <w:p w14:paraId="0EAA271F" w14:textId="77777777" w:rsidR="00657EF5" w:rsidRPr="00657EF5" w:rsidRDefault="00657EF5" w:rsidP="00607B4B">
      <w:pPr>
        <w:widowControl w:val="0"/>
        <w:spacing w:before="120" w:after="120"/>
        <w:ind w:firstLine="0"/>
        <w:jc w:val="center"/>
        <w:outlineLvl w:val="2"/>
        <w:rPr>
          <w:rFonts w:eastAsiaTheme="minorEastAsia"/>
          <w:b/>
          <w:szCs w:val="24"/>
        </w:rPr>
      </w:pPr>
      <w:r w:rsidRPr="00657EF5">
        <w:rPr>
          <w:rFonts w:eastAsiaTheme="minorEastAsia"/>
          <w:b/>
          <w:szCs w:val="24"/>
        </w:rPr>
        <w:t>Evidence daní v různých měnách</w:t>
      </w:r>
    </w:p>
    <w:p w14:paraId="30AB901A" w14:textId="77777777" w:rsidR="00657EF5" w:rsidRPr="00657EF5" w:rsidRDefault="00657EF5" w:rsidP="00607B4B">
      <w:pPr>
        <w:tabs>
          <w:tab w:val="left" w:pos="851"/>
        </w:tabs>
        <w:spacing w:before="120" w:after="120"/>
        <w:outlineLvl w:val="6"/>
        <w:rPr>
          <w:rFonts w:eastAsiaTheme="minorEastAsia"/>
          <w:b/>
          <w:szCs w:val="24"/>
        </w:rPr>
      </w:pPr>
      <w:r w:rsidRPr="00657EF5">
        <w:rPr>
          <w:rFonts w:eastAsiaTheme="minorEastAsia"/>
          <w:b/>
          <w:szCs w:val="24"/>
        </w:rPr>
        <w:t>Jsou-li druh daně nebo jeho část spravovány ve více měnách, mohou být podle měny rozčleněny na více částí, o nichž se vedou samostatné osobní daňové účty.</w:t>
      </w:r>
    </w:p>
    <w:p w14:paraId="40C405FE" w14:textId="77777777" w:rsidR="00657EF5" w:rsidRPr="00657EF5" w:rsidRDefault="00657EF5" w:rsidP="00607B4B">
      <w:pPr>
        <w:widowControl w:val="0"/>
        <w:spacing w:before="120" w:after="120"/>
        <w:ind w:firstLine="0"/>
        <w:jc w:val="center"/>
        <w:outlineLvl w:val="2"/>
        <w:rPr>
          <w:rFonts w:eastAsiaTheme="minorEastAsia"/>
          <w:b/>
          <w:szCs w:val="24"/>
        </w:rPr>
      </w:pPr>
      <w:r w:rsidRPr="00657EF5">
        <w:rPr>
          <w:rFonts w:eastAsiaTheme="minorEastAsia"/>
          <w:b/>
          <w:szCs w:val="24"/>
        </w:rPr>
        <w:t>§ 245f</w:t>
      </w:r>
    </w:p>
    <w:p w14:paraId="3B26C53A" w14:textId="77777777" w:rsidR="00657EF5" w:rsidRPr="00657EF5" w:rsidRDefault="00657EF5" w:rsidP="00607B4B">
      <w:pPr>
        <w:widowControl w:val="0"/>
        <w:spacing w:before="120" w:after="120"/>
        <w:ind w:firstLine="0"/>
        <w:jc w:val="center"/>
        <w:outlineLvl w:val="2"/>
        <w:rPr>
          <w:rFonts w:eastAsiaTheme="minorEastAsia"/>
          <w:b/>
          <w:szCs w:val="24"/>
        </w:rPr>
      </w:pPr>
      <w:r w:rsidRPr="00657EF5">
        <w:rPr>
          <w:rFonts w:eastAsiaTheme="minorEastAsia"/>
          <w:b/>
          <w:szCs w:val="24"/>
        </w:rPr>
        <w:t>Převod a vracení přeplatku v různých měnách</w:t>
      </w:r>
    </w:p>
    <w:p w14:paraId="596927BF" w14:textId="77777777" w:rsidR="00657EF5" w:rsidRPr="00657EF5" w:rsidRDefault="00657EF5" w:rsidP="00607B4B">
      <w:pPr>
        <w:tabs>
          <w:tab w:val="left" w:pos="851"/>
        </w:tabs>
        <w:spacing w:before="120" w:after="120"/>
        <w:outlineLvl w:val="6"/>
        <w:rPr>
          <w:rFonts w:eastAsiaTheme="minorEastAsia"/>
          <w:b/>
          <w:szCs w:val="24"/>
        </w:rPr>
      </w:pPr>
      <w:r w:rsidRPr="00657EF5">
        <w:rPr>
          <w:rFonts w:eastAsiaTheme="minorEastAsia"/>
          <w:b/>
          <w:szCs w:val="24"/>
        </w:rPr>
        <w:t>(1) Při převodu přeplatku na úhradu nedoplatku se upřednostní nedoplatek na osobním daňovém účtu, který se váže ke stejnému druhu daně nebo jeho části, u kterých došlo k rozčlenění z důvodu správy ve více měnách.</w:t>
      </w:r>
    </w:p>
    <w:p w14:paraId="3226B6E2" w14:textId="77777777" w:rsidR="00657EF5" w:rsidRPr="00657EF5" w:rsidRDefault="00657EF5" w:rsidP="00607B4B">
      <w:pPr>
        <w:tabs>
          <w:tab w:val="left" w:pos="851"/>
        </w:tabs>
        <w:spacing w:before="120" w:after="120"/>
        <w:outlineLvl w:val="6"/>
        <w:rPr>
          <w:rFonts w:eastAsiaTheme="minorEastAsia"/>
          <w:b/>
          <w:szCs w:val="24"/>
        </w:rPr>
      </w:pPr>
      <w:r w:rsidRPr="00657EF5">
        <w:rPr>
          <w:rFonts w:eastAsiaTheme="minorEastAsia"/>
          <w:b/>
          <w:szCs w:val="24"/>
        </w:rPr>
        <w:lastRenderedPageBreak/>
        <w:t>(2) Při převodu přeplatku na úhradu nedoplatku na jiný osobní daňový účet než podle odstavce 1 se mezi nedoplatky evidovanými stejným správcem daně upřednostní nedoplatek evidovaný ve stejné měně, jako převáděný přeplatek.</w:t>
      </w:r>
    </w:p>
    <w:p w14:paraId="1242D68B" w14:textId="77777777" w:rsidR="00657EF5" w:rsidRPr="00657EF5" w:rsidRDefault="00657EF5" w:rsidP="00607B4B">
      <w:pPr>
        <w:tabs>
          <w:tab w:val="left" w:pos="851"/>
        </w:tabs>
        <w:spacing w:before="120" w:after="120"/>
        <w:outlineLvl w:val="6"/>
        <w:rPr>
          <w:rFonts w:eastAsiaTheme="minorEastAsia"/>
          <w:b/>
          <w:szCs w:val="24"/>
        </w:rPr>
      </w:pPr>
      <w:r w:rsidRPr="00657EF5">
        <w:rPr>
          <w:rFonts w:eastAsiaTheme="minorEastAsia"/>
          <w:b/>
          <w:szCs w:val="24"/>
        </w:rPr>
        <w:t>(3) Přeplatek se převede na úhradu nedoplatku evidovaného v jiné měně pouze, dosahuje-li výše 200 Kč.</w:t>
      </w:r>
    </w:p>
    <w:p w14:paraId="292D4F31" w14:textId="77777777" w:rsidR="00657EF5" w:rsidRPr="00657EF5" w:rsidRDefault="00657EF5" w:rsidP="00607B4B">
      <w:pPr>
        <w:tabs>
          <w:tab w:val="left" w:pos="851"/>
        </w:tabs>
        <w:spacing w:before="120" w:after="120"/>
        <w:outlineLvl w:val="6"/>
        <w:rPr>
          <w:rFonts w:eastAsiaTheme="minorEastAsia"/>
          <w:b/>
          <w:szCs w:val="24"/>
        </w:rPr>
      </w:pPr>
      <w:r w:rsidRPr="00657EF5">
        <w:rPr>
          <w:rFonts w:eastAsiaTheme="minorEastAsia"/>
          <w:b/>
          <w:szCs w:val="24"/>
        </w:rPr>
        <w:t>(4) Vratitelný přeplatek v cizí měně lze vrátit pouze bezhotovostním převodem.</w:t>
      </w:r>
    </w:p>
    <w:p w14:paraId="4A43C339" w14:textId="77777777" w:rsidR="00657EF5" w:rsidRPr="00657EF5" w:rsidRDefault="00657EF5" w:rsidP="00607B4B">
      <w:pPr>
        <w:widowControl w:val="0"/>
        <w:spacing w:before="120" w:after="120"/>
        <w:ind w:firstLine="0"/>
        <w:jc w:val="center"/>
        <w:outlineLvl w:val="2"/>
        <w:rPr>
          <w:rFonts w:eastAsiaTheme="minorEastAsia"/>
          <w:b/>
          <w:szCs w:val="24"/>
        </w:rPr>
      </w:pPr>
      <w:r w:rsidRPr="00657EF5">
        <w:rPr>
          <w:rFonts w:eastAsiaTheme="minorEastAsia"/>
          <w:b/>
          <w:szCs w:val="24"/>
        </w:rPr>
        <w:t>§ 245g</w:t>
      </w:r>
    </w:p>
    <w:p w14:paraId="24A532EE" w14:textId="77777777" w:rsidR="00657EF5" w:rsidRPr="00657EF5" w:rsidRDefault="00657EF5" w:rsidP="00607B4B">
      <w:pPr>
        <w:widowControl w:val="0"/>
        <w:spacing w:before="120" w:after="120"/>
        <w:ind w:firstLine="0"/>
        <w:jc w:val="center"/>
        <w:outlineLvl w:val="2"/>
        <w:rPr>
          <w:rFonts w:eastAsiaTheme="minorEastAsia"/>
          <w:b/>
          <w:szCs w:val="24"/>
        </w:rPr>
      </w:pPr>
      <w:r w:rsidRPr="00657EF5">
        <w:rPr>
          <w:rFonts w:eastAsiaTheme="minorEastAsia"/>
          <w:b/>
          <w:szCs w:val="24"/>
        </w:rPr>
        <w:t>Nejasné platby v různých měnách</w:t>
      </w:r>
    </w:p>
    <w:p w14:paraId="709FAA67" w14:textId="77777777" w:rsidR="00657EF5" w:rsidRPr="00657EF5" w:rsidRDefault="00657EF5" w:rsidP="00607B4B">
      <w:pPr>
        <w:tabs>
          <w:tab w:val="left" w:pos="851"/>
        </w:tabs>
        <w:spacing w:before="120" w:after="120"/>
        <w:outlineLvl w:val="6"/>
        <w:rPr>
          <w:rFonts w:eastAsiaTheme="minorEastAsia"/>
          <w:b/>
          <w:szCs w:val="24"/>
        </w:rPr>
      </w:pPr>
      <w:r w:rsidRPr="00657EF5">
        <w:rPr>
          <w:rFonts w:eastAsiaTheme="minorEastAsia"/>
          <w:b/>
          <w:szCs w:val="24"/>
        </w:rPr>
        <w:t>Účet nejasných plateb je veden samostatně podle měny, ve které byla nejasná platba připsána.</w:t>
      </w:r>
    </w:p>
    <w:p w14:paraId="589455BE" w14:textId="37A6EEBA" w:rsidR="00881B66" w:rsidRDefault="00881B66" w:rsidP="00881B66">
      <w:pPr>
        <w:pStyle w:val="Textparagrafu"/>
        <w:tabs>
          <w:tab w:val="left" w:pos="392"/>
          <w:tab w:val="left" w:pos="840"/>
        </w:tabs>
        <w:spacing w:after="120"/>
        <w:ind w:firstLine="0"/>
      </w:pPr>
    </w:p>
    <w:p w14:paraId="1A21309C" w14:textId="06529EC0" w:rsidR="00881B66" w:rsidRDefault="00881B66" w:rsidP="00881B66">
      <w:pPr>
        <w:pStyle w:val="Textparagrafu"/>
        <w:tabs>
          <w:tab w:val="left" w:pos="392"/>
          <w:tab w:val="left" w:pos="840"/>
        </w:tabs>
        <w:spacing w:after="120"/>
        <w:ind w:firstLine="0"/>
      </w:pPr>
    </w:p>
    <w:p w14:paraId="2AA0E991" w14:textId="77777777" w:rsidR="00881B66" w:rsidRDefault="00881B66" w:rsidP="00881B66">
      <w:pPr>
        <w:pStyle w:val="Textparagrafu"/>
        <w:tabs>
          <w:tab w:val="left" w:pos="392"/>
          <w:tab w:val="left" w:pos="840"/>
        </w:tabs>
        <w:spacing w:after="120"/>
        <w:ind w:firstLine="0"/>
        <w:sectPr w:rsidR="00881B66" w:rsidSect="00554E2B">
          <w:footnotePr>
            <w:numStart w:val="3"/>
          </w:footnotePr>
          <w:endnotePr>
            <w:numFmt w:val="decimal"/>
          </w:endnotePr>
          <w:pgSz w:w="11906" w:h="16838"/>
          <w:pgMar w:top="1418" w:right="1418" w:bottom="1418" w:left="1418" w:header="709" w:footer="709" w:gutter="0"/>
          <w:cols w:space="708"/>
          <w:docGrid w:linePitch="360"/>
        </w:sectPr>
      </w:pPr>
    </w:p>
    <w:p w14:paraId="738B5809" w14:textId="10F9D57A" w:rsidR="00881B66" w:rsidRPr="0036739D" w:rsidRDefault="00881B66" w:rsidP="00F5058F">
      <w:pPr>
        <w:tabs>
          <w:tab w:val="left" w:pos="851"/>
        </w:tabs>
        <w:spacing w:before="120" w:after="120"/>
        <w:ind w:firstLine="0"/>
        <w:jc w:val="center"/>
        <w:outlineLvl w:val="0"/>
        <w:rPr>
          <w:szCs w:val="24"/>
        </w:rPr>
      </w:pPr>
      <w:r w:rsidRPr="0036739D">
        <w:rPr>
          <w:b/>
          <w:szCs w:val="24"/>
        </w:rPr>
        <w:lastRenderedPageBreak/>
        <w:t xml:space="preserve">K části sté </w:t>
      </w:r>
      <w:r w:rsidR="00895B51">
        <w:rPr>
          <w:b/>
          <w:szCs w:val="24"/>
        </w:rPr>
        <w:t>třetí</w:t>
      </w:r>
      <w:r w:rsidRPr="0036739D">
        <w:rPr>
          <w:b/>
          <w:szCs w:val="24"/>
        </w:rPr>
        <w:t xml:space="preserve"> návrhu zákona – </w:t>
      </w:r>
      <w:r w:rsidRPr="0036739D">
        <w:rPr>
          <w:szCs w:val="24"/>
        </w:rPr>
        <w:t xml:space="preserve">změna </w:t>
      </w:r>
      <w:r>
        <w:rPr>
          <w:szCs w:val="24"/>
        </w:rPr>
        <w:t xml:space="preserve">zákona </w:t>
      </w:r>
      <w:r w:rsidRPr="0036739D">
        <w:rPr>
          <w:szCs w:val="24"/>
        </w:rPr>
        <w:t>o urychlení výstavby strategicky významné infrastruktury</w:t>
      </w:r>
    </w:p>
    <w:p w14:paraId="43BD5050" w14:textId="19A21390" w:rsidR="00881B66" w:rsidRDefault="00881B66" w:rsidP="00881B66">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36739D">
        <w:rPr>
          <w:b/>
          <w:szCs w:val="24"/>
        </w:rPr>
        <w:t>Platné znění</w:t>
      </w:r>
      <w:r w:rsidRPr="0036739D">
        <w:rPr>
          <w:szCs w:val="24"/>
        </w:rPr>
        <w:t xml:space="preserve"> zákona č. 416/2009 Sb., o urychlení výstavby strategicky významné infrastruktury</w:t>
      </w:r>
    </w:p>
    <w:p w14:paraId="7CAE5507" w14:textId="77777777" w:rsidR="00F5058F" w:rsidRPr="00607B4B" w:rsidRDefault="00F5058F" w:rsidP="00F5058F">
      <w:pPr>
        <w:pStyle w:val="Odstavecseseznamem"/>
        <w:numPr>
          <w:ilvl w:val="0"/>
          <w:numId w:val="27"/>
        </w:numPr>
        <w:pBdr>
          <w:top w:val="single" w:sz="12" w:space="6" w:color="auto"/>
          <w:left w:val="single" w:sz="12" w:space="0" w:color="auto"/>
          <w:bottom w:val="single" w:sz="12" w:space="6" w:color="auto"/>
          <w:right w:val="single" w:sz="12" w:space="0" w:color="auto"/>
        </w:pBdr>
        <w:spacing w:after="120"/>
        <w:jc w:val="center"/>
        <w:rPr>
          <w:b/>
          <w:szCs w:val="24"/>
          <w:lang w:eastAsia="en-US"/>
        </w:rPr>
      </w:pPr>
      <w:r w:rsidRPr="00607B4B">
        <w:rPr>
          <w:b/>
          <w:szCs w:val="24"/>
          <w:lang w:eastAsia="en-US"/>
        </w:rPr>
        <w:t>s vyznačením navrhovaných změn a doplnění k 1. lednu 2025</w:t>
      </w:r>
    </w:p>
    <w:p w14:paraId="43A4E082" w14:textId="77777777" w:rsidR="00881B66" w:rsidRPr="0036739D" w:rsidRDefault="00881B66" w:rsidP="00881B66">
      <w:pPr>
        <w:pStyle w:val="Textparagrafu"/>
        <w:numPr>
          <w:ilvl w:val="0"/>
          <w:numId w:val="27"/>
        </w:numPr>
        <w:tabs>
          <w:tab w:val="left" w:pos="392"/>
          <w:tab w:val="left" w:pos="840"/>
        </w:tabs>
        <w:spacing w:after="120"/>
        <w:jc w:val="center"/>
      </w:pPr>
      <w:r w:rsidRPr="0036739D">
        <w:t>***</w:t>
      </w:r>
    </w:p>
    <w:p w14:paraId="2745B4C5" w14:textId="77777777" w:rsidR="00881B66" w:rsidRDefault="00881B66" w:rsidP="00881B66">
      <w:pPr>
        <w:pStyle w:val="Textparagrafu"/>
        <w:numPr>
          <w:ilvl w:val="0"/>
          <w:numId w:val="27"/>
        </w:numPr>
        <w:tabs>
          <w:tab w:val="left" w:pos="392"/>
          <w:tab w:val="left" w:pos="840"/>
        </w:tabs>
        <w:spacing w:after="120"/>
        <w:jc w:val="center"/>
      </w:pPr>
      <w:r w:rsidRPr="008D53CD">
        <w:t>§</w:t>
      </w:r>
      <w:r>
        <w:t xml:space="preserve"> 3b</w:t>
      </w:r>
    </w:p>
    <w:p w14:paraId="38349F5E" w14:textId="77777777" w:rsidR="00881B66" w:rsidRDefault="00881B66" w:rsidP="00881B66">
      <w:pPr>
        <w:pStyle w:val="Textparagrafu"/>
        <w:numPr>
          <w:ilvl w:val="0"/>
          <w:numId w:val="27"/>
        </w:numPr>
        <w:tabs>
          <w:tab w:val="left" w:pos="392"/>
          <w:tab w:val="left" w:pos="840"/>
        </w:tabs>
        <w:spacing w:after="120"/>
        <w:ind w:firstLine="426"/>
      </w:pPr>
      <w:r w:rsidRPr="008D53CD">
        <w:t>(1)</w:t>
      </w:r>
      <w:r>
        <w:t xml:space="preserve"> </w:t>
      </w:r>
      <w:r w:rsidRPr="008D53CD">
        <w:t>Získávají-li</w:t>
      </w:r>
      <w:r>
        <w:t xml:space="preserve"> </w:t>
      </w:r>
      <w:r w:rsidRPr="008D53CD">
        <w:t>se</w:t>
      </w:r>
      <w:r>
        <w:t xml:space="preserve"> </w:t>
      </w:r>
      <w:r w:rsidRPr="008D53CD">
        <w:t>potřebná</w:t>
      </w:r>
      <w:r>
        <w:t xml:space="preserve"> </w:t>
      </w:r>
      <w:r w:rsidRPr="008D53CD">
        <w:t>práva</w:t>
      </w:r>
      <w:r>
        <w:t xml:space="preserve"> </w:t>
      </w:r>
      <w:r w:rsidRPr="008D53CD">
        <w:t>podle</w:t>
      </w:r>
      <w:r>
        <w:t xml:space="preserve"> </w:t>
      </w:r>
      <w:r w:rsidRPr="008D53CD">
        <w:t>§</w:t>
      </w:r>
      <w:r>
        <w:t xml:space="preserve"> </w:t>
      </w:r>
      <w:r w:rsidRPr="008D53CD">
        <w:t>3a</w:t>
      </w:r>
      <w:r>
        <w:t xml:space="preserve"> </w:t>
      </w:r>
      <w:r w:rsidRPr="008D53CD">
        <w:t>koupí,</w:t>
      </w:r>
      <w:r>
        <w:t xml:space="preserve"> </w:t>
      </w:r>
      <w:r w:rsidRPr="008D53CD">
        <w:t>sjednává</w:t>
      </w:r>
      <w:r>
        <w:t xml:space="preserve"> </w:t>
      </w:r>
      <w:r w:rsidRPr="008D53CD">
        <w:t>se</w:t>
      </w:r>
      <w:r>
        <w:t xml:space="preserve"> </w:t>
      </w:r>
      <w:r w:rsidRPr="008D53CD">
        <w:t>v</w:t>
      </w:r>
      <w:r>
        <w:t xml:space="preserve"> </w:t>
      </w:r>
      <w:r w:rsidRPr="008D53CD">
        <w:t>kupní</w:t>
      </w:r>
      <w:r>
        <w:t xml:space="preserve"> </w:t>
      </w:r>
      <w:r w:rsidRPr="008D53CD">
        <w:t>smlouvě</w:t>
      </w:r>
      <w:r>
        <w:t xml:space="preserve"> </w:t>
      </w:r>
      <w:r w:rsidRPr="008D53CD">
        <w:t>kupní</w:t>
      </w:r>
      <w:r>
        <w:t xml:space="preserve"> </w:t>
      </w:r>
      <w:r w:rsidRPr="008D53CD">
        <w:t>cena</w:t>
      </w:r>
      <w:r>
        <w:t xml:space="preserve"> </w:t>
      </w:r>
      <w:r w:rsidRPr="008D53CD">
        <w:t>ve</w:t>
      </w:r>
      <w:r>
        <w:t xml:space="preserve"> </w:t>
      </w:r>
      <w:r w:rsidRPr="008D53CD">
        <w:t>výši</w:t>
      </w:r>
    </w:p>
    <w:p w14:paraId="55D29CA8" w14:textId="77777777" w:rsidR="00881B66" w:rsidRDefault="00881B66" w:rsidP="00895B51">
      <w:pPr>
        <w:pStyle w:val="Textparagrafu"/>
        <w:numPr>
          <w:ilvl w:val="0"/>
          <w:numId w:val="27"/>
        </w:numPr>
        <w:tabs>
          <w:tab w:val="left" w:pos="392"/>
          <w:tab w:val="left" w:pos="840"/>
        </w:tabs>
        <w:spacing w:before="0"/>
        <w:ind w:left="426" w:hanging="426"/>
      </w:pPr>
      <w:r w:rsidRPr="008D53CD">
        <w:t>a)</w:t>
      </w:r>
      <w:r>
        <w:tab/>
      </w:r>
      <w:r w:rsidRPr="00347243">
        <w:rPr>
          <w:strike/>
        </w:rPr>
        <w:t>ceny stanovené</w:t>
      </w:r>
      <w:r>
        <w:t xml:space="preserve"> </w:t>
      </w:r>
      <w:r>
        <w:rPr>
          <w:b/>
        </w:rPr>
        <w:t xml:space="preserve">hodnoty určené </w:t>
      </w:r>
      <w:r w:rsidRPr="008D53CD">
        <w:t>znaleckým</w:t>
      </w:r>
      <w:r>
        <w:t xml:space="preserve"> </w:t>
      </w:r>
      <w:r w:rsidRPr="008D53CD">
        <w:t>posudkem</w:t>
      </w:r>
      <w:r>
        <w:t xml:space="preserve"> </w:t>
      </w:r>
      <w:r w:rsidRPr="008D53CD">
        <w:t>vynásobené</w:t>
      </w:r>
      <w:r>
        <w:t xml:space="preserve"> </w:t>
      </w:r>
      <w:r w:rsidRPr="008D53CD">
        <w:t>koeficientem</w:t>
      </w:r>
      <w:r>
        <w:t xml:space="preserve"> </w:t>
      </w:r>
      <w:r w:rsidRPr="008D53CD">
        <w:t>8</w:t>
      </w:r>
      <w:r>
        <w:t xml:space="preserve"> </w:t>
      </w:r>
      <w:r w:rsidRPr="008D53CD">
        <w:t>v</w:t>
      </w:r>
      <w:r>
        <w:t xml:space="preserve"> </w:t>
      </w:r>
      <w:r w:rsidRPr="008D53CD">
        <w:t>případě</w:t>
      </w:r>
      <w:r>
        <w:t xml:space="preserve"> </w:t>
      </w:r>
      <w:r w:rsidRPr="008D53CD">
        <w:t>pozemku</w:t>
      </w:r>
      <w:r>
        <w:t xml:space="preserve"> </w:t>
      </w:r>
      <w:r w:rsidRPr="008D53CD">
        <w:t>s</w:t>
      </w:r>
      <w:r>
        <w:t xml:space="preserve"> </w:t>
      </w:r>
      <w:r w:rsidRPr="008D53CD">
        <w:t>výjimkou</w:t>
      </w:r>
      <w:r>
        <w:t xml:space="preserve"> </w:t>
      </w:r>
      <w:r w:rsidRPr="008D53CD">
        <w:t>stavebního</w:t>
      </w:r>
      <w:r>
        <w:t xml:space="preserve"> pozemku</w:t>
      </w:r>
      <w:r>
        <w:rPr>
          <w:rStyle w:val="Znakapoznpodarou"/>
        </w:rPr>
        <w:footnoteReference w:id="528"/>
      </w:r>
      <w:r w:rsidRPr="00293671">
        <w:rPr>
          <w:vertAlign w:val="superscript"/>
        </w:rPr>
        <w:t>)</w:t>
      </w:r>
      <w:r w:rsidRPr="008D53CD">
        <w:t>,</w:t>
      </w:r>
      <w:r>
        <w:t xml:space="preserve"> </w:t>
      </w:r>
      <w:r w:rsidRPr="008D53CD">
        <w:t>nebo</w:t>
      </w:r>
    </w:p>
    <w:p w14:paraId="0BD0CC20" w14:textId="77777777" w:rsidR="00881B66" w:rsidRDefault="00881B66" w:rsidP="00895B51">
      <w:pPr>
        <w:pStyle w:val="Textparagrafu"/>
        <w:numPr>
          <w:ilvl w:val="0"/>
          <w:numId w:val="27"/>
        </w:numPr>
        <w:tabs>
          <w:tab w:val="left" w:pos="392"/>
          <w:tab w:val="left" w:pos="840"/>
        </w:tabs>
        <w:spacing w:before="0"/>
        <w:ind w:left="426" w:hanging="426"/>
      </w:pPr>
      <w:r w:rsidRPr="008D53CD">
        <w:t>b)</w:t>
      </w:r>
      <w:r>
        <w:tab/>
      </w:r>
      <w:r w:rsidRPr="00347243">
        <w:rPr>
          <w:strike/>
        </w:rPr>
        <w:t>ceny stanovené</w:t>
      </w:r>
      <w:r>
        <w:t xml:space="preserve"> </w:t>
      </w:r>
      <w:r>
        <w:rPr>
          <w:b/>
        </w:rPr>
        <w:t xml:space="preserve">hodnoty určené </w:t>
      </w:r>
      <w:r w:rsidRPr="008D53CD">
        <w:t>znaleckým</w:t>
      </w:r>
      <w:r>
        <w:t xml:space="preserve"> </w:t>
      </w:r>
      <w:r w:rsidRPr="008D53CD">
        <w:t>posudkem</w:t>
      </w:r>
      <w:r>
        <w:t xml:space="preserve"> </w:t>
      </w:r>
      <w:r w:rsidRPr="008D53CD">
        <w:t>vynásobené</w:t>
      </w:r>
      <w:r>
        <w:t xml:space="preserve"> </w:t>
      </w:r>
      <w:r w:rsidRPr="008D53CD">
        <w:t>koeficientem</w:t>
      </w:r>
      <w:r>
        <w:t xml:space="preserve"> </w:t>
      </w:r>
      <w:r w:rsidRPr="008D53CD">
        <w:t>1,5</w:t>
      </w:r>
      <w:r>
        <w:t xml:space="preserve"> </w:t>
      </w:r>
      <w:r w:rsidRPr="008D53CD">
        <w:t>v</w:t>
      </w:r>
      <w:r>
        <w:t xml:space="preserve"> </w:t>
      </w:r>
      <w:r w:rsidRPr="008D53CD">
        <w:t>případě</w:t>
      </w:r>
      <w:r>
        <w:t xml:space="preserve"> </w:t>
      </w:r>
      <w:r w:rsidRPr="008D53CD">
        <w:t>stavebního</w:t>
      </w:r>
      <w:r>
        <w:t xml:space="preserve"> </w:t>
      </w:r>
      <w:r w:rsidRPr="008D53CD">
        <w:t>pozemku</w:t>
      </w:r>
      <w:r w:rsidRPr="00634F54">
        <w:rPr>
          <w:vertAlign w:val="superscript"/>
        </w:rPr>
        <w:t>7)</w:t>
      </w:r>
      <w:r>
        <w:t xml:space="preserve"> </w:t>
      </w:r>
      <w:r w:rsidRPr="008D53CD">
        <w:t>nebo</w:t>
      </w:r>
      <w:r>
        <w:t xml:space="preserve"> </w:t>
      </w:r>
      <w:r w:rsidRPr="008D53CD">
        <w:t>stavby.</w:t>
      </w:r>
    </w:p>
    <w:p w14:paraId="64339B19" w14:textId="77777777" w:rsidR="00881B66" w:rsidRDefault="00881B66" w:rsidP="00F5058F">
      <w:pPr>
        <w:pStyle w:val="Textparagrafu"/>
        <w:numPr>
          <w:ilvl w:val="0"/>
          <w:numId w:val="27"/>
        </w:numPr>
        <w:tabs>
          <w:tab w:val="left" w:pos="392"/>
          <w:tab w:val="left" w:pos="840"/>
        </w:tabs>
        <w:spacing w:before="120" w:after="120"/>
        <w:ind w:firstLine="425"/>
        <w:rPr>
          <w:strike/>
        </w:rPr>
      </w:pPr>
      <w:r w:rsidRPr="006F349D">
        <w:rPr>
          <w:strike/>
        </w:rPr>
        <w:t>(2) Znalecký posudek, který je podkladem pro navržení výše kupní ceny v návrhu kupní smlouvy, stanoví cenu ve výši obvyklé ceny pozemku nebo stavby</w:t>
      </w:r>
      <w:r w:rsidRPr="006F349D">
        <w:rPr>
          <w:rStyle w:val="Znakapoznpodarou"/>
          <w:strike/>
        </w:rPr>
        <w:footnoteReference w:id="529"/>
      </w:r>
      <w:r w:rsidRPr="006F349D">
        <w:rPr>
          <w:strike/>
          <w:vertAlign w:val="superscript"/>
        </w:rPr>
        <w:t>)</w:t>
      </w:r>
      <w:r w:rsidRPr="006F349D">
        <w:rPr>
          <w:strike/>
        </w:rPr>
        <w:t>, včetně všech jejich součástí a příslušenství. Nelze-li stanovit cenu ve výši obvyklé ceny pozemku nebo stavby, stanoví znalecký posudek cenu ve výši zjištěné ceny pozemku nebo stavby. V takovém případě obsahuje znalecký posudek zdůvodnění nemožnosti stanovení ceny ve výši obvyklé ceny pozemku nebo stavby. Ocenění se provede podle oceňovacího předpisu</w:t>
      </w:r>
      <w:r w:rsidRPr="006F349D">
        <w:rPr>
          <w:rStyle w:val="Znakapoznpodarou"/>
          <w:strike/>
        </w:rPr>
        <w:footnoteReference w:id="530"/>
      </w:r>
      <w:r w:rsidRPr="006F349D">
        <w:rPr>
          <w:strike/>
        </w:rPr>
        <w:t xml:space="preserve"> a cena pozemku nebo stavby se ve znaleckém posudku určí vždy podle jejich skutečného stavu ke dni určení ceny ve znaleckém posudku; přitom se nepřihlédne k jejich zhodnocení nebo znehodnocení v souvislosti s tím, že jsou určeny k uskutečnění stavby dopravní infrastruktury. Při ocenění se rovněž nepřihlédne k navýšení obvyklé ceny jiného pozemku nebo stavby koeficienty podle odstavce 1. Podléhá-li získání potřebných práv podle § 3a koupí dani z přidané hodnoty, je cena stanovená znaleckým posudkem cenou včetně daně z přidané hodnoty.</w:t>
      </w:r>
    </w:p>
    <w:p w14:paraId="2AD2061E" w14:textId="77777777" w:rsidR="00881B66" w:rsidRPr="006F349D" w:rsidRDefault="00881B66" w:rsidP="00F5058F">
      <w:pPr>
        <w:pStyle w:val="Odstavecseseznamem"/>
        <w:numPr>
          <w:ilvl w:val="0"/>
          <w:numId w:val="27"/>
        </w:numPr>
        <w:shd w:val="clear" w:color="auto" w:fill="FFFFFF"/>
        <w:spacing w:before="120" w:after="120"/>
        <w:ind w:firstLine="425"/>
        <w:contextualSpacing w:val="0"/>
        <w:textAlignment w:val="baseline"/>
        <w:rPr>
          <w:b/>
        </w:rPr>
      </w:pPr>
      <w:r w:rsidRPr="006F349D">
        <w:rPr>
          <w:b/>
        </w:rPr>
        <w:t xml:space="preserve">(2) Znalecký posudek, který je podkladem pro navržení výše kupní ceny v návrhu kupní smlouvy, určí obvyklou hodnotu pozemku nebo stavby podle zákona o oceňování, včetně všech jejich součástí a příslušenství podle jejich skutečného stavu ke dni ocenění ve znaleckém posudku. Nelze-li tuto obvyklou hodnotu určit, pozemek nebo stavba, včetně všech jejich součástí a příslušenství, se ocení zjištěnou hodnotou podle jejich skutečného stavu ke dni ocenění ve znaleckém posudku; v takovém případě je ve znaleckém posudku uveden také důvod nemožnosti určit obvyklou hodnotu tohoto pozemku nebo stavby. Při oceňování se nepřihlíží ke zhodnocení nebo znehodnocení pozemku nebo stavby v souvislosti s tím, že jsou určeny k uskutečnění stavby dopravní infrastruktury, ani k navýšení obvyklé hodnoty jiného pozemku nebo stavby koeficienty podle odstavce 1. </w:t>
      </w:r>
      <w:r w:rsidRPr="006F349D">
        <w:rPr>
          <w:b/>
        </w:rPr>
        <w:lastRenderedPageBreak/>
        <w:t>Podléhá-li získání potřebných práv podle § 3a koupí dani z přidané hodnoty, je hodnota stanovená znaleckým posudkem cenou včetně daně z přidané hodnoty.</w:t>
      </w:r>
    </w:p>
    <w:p w14:paraId="56418649" w14:textId="77777777" w:rsidR="00881B66" w:rsidRDefault="00881B66" w:rsidP="00F5058F">
      <w:pPr>
        <w:pStyle w:val="Textparagrafu"/>
        <w:numPr>
          <w:ilvl w:val="0"/>
          <w:numId w:val="27"/>
        </w:numPr>
        <w:tabs>
          <w:tab w:val="left" w:pos="392"/>
          <w:tab w:val="left" w:pos="840"/>
        </w:tabs>
        <w:spacing w:before="120" w:after="120"/>
        <w:ind w:firstLine="425"/>
      </w:pPr>
      <w:r w:rsidRPr="008D53CD">
        <w:t>(3)</w:t>
      </w:r>
      <w:r>
        <w:t xml:space="preserve"> </w:t>
      </w:r>
      <w:r w:rsidRPr="008D53CD">
        <w:t>Oprávněný</w:t>
      </w:r>
      <w:r>
        <w:t xml:space="preserve"> </w:t>
      </w:r>
      <w:r w:rsidRPr="008D53CD">
        <w:t>investor</w:t>
      </w:r>
      <w:r>
        <w:t xml:space="preserve"> </w:t>
      </w:r>
      <w:r w:rsidRPr="008D53CD">
        <w:t>je</w:t>
      </w:r>
      <w:r>
        <w:t xml:space="preserve"> </w:t>
      </w:r>
      <w:r w:rsidRPr="008D53CD">
        <w:t>oprávněn</w:t>
      </w:r>
      <w:r>
        <w:t xml:space="preserve"> </w:t>
      </w:r>
      <w:r w:rsidRPr="008D53CD">
        <w:t>nechat</w:t>
      </w:r>
      <w:r>
        <w:t xml:space="preserve"> </w:t>
      </w:r>
      <w:r w:rsidRPr="008D53CD">
        <w:t>vyhotovit</w:t>
      </w:r>
      <w:r>
        <w:t xml:space="preserve"> </w:t>
      </w:r>
      <w:r w:rsidRPr="008D53CD">
        <w:t>jediný</w:t>
      </w:r>
      <w:r>
        <w:t xml:space="preserve"> </w:t>
      </w:r>
      <w:r w:rsidRPr="008D53CD">
        <w:t>znalecký</w:t>
      </w:r>
      <w:r>
        <w:t xml:space="preserve"> </w:t>
      </w:r>
      <w:r w:rsidRPr="008D53CD">
        <w:t>posudek</w:t>
      </w:r>
      <w:r>
        <w:t xml:space="preserve"> </w:t>
      </w:r>
      <w:r w:rsidRPr="008D53CD">
        <w:t>pro</w:t>
      </w:r>
      <w:r>
        <w:t xml:space="preserve"> </w:t>
      </w:r>
      <w:r w:rsidRPr="008D53CD">
        <w:t>více</w:t>
      </w:r>
      <w:r>
        <w:t xml:space="preserve"> </w:t>
      </w:r>
      <w:r w:rsidRPr="008D53CD">
        <w:t>pozemků</w:t>
      </w:r>
      <w:r>
        <w:t xml:space="preserve"> </w:t>
      </w:r>
      <w:r w:rsidRPr="008D53CD">
        <w:t>či</w:t>
      </w:r>
      <w:r>
        <w:t xml:space="preserve"> </w:t>
      </w:r>
      <w:r w:rsidRPr="008D53CD">
        <w:t>staveb</w:t>
      </w:r>
      <w:r>
        <w:t xml:space="preserve"> </w:t>
      </w:r>
      <w:r w:rsidRPr="008D53CD">
        <w:t>určených</w:t>
      </w:r>
      <w:r>
        <w:t xml:space="preserve"> </w:t>
      </w:r>
      <w:r w:rsidRPr="008D53CD">
        <w:t>pro</w:t>
      </w:r>
      <w:r>
        <w:t xml:space="preserve"> </w:t>
      </w:r>
      <w:r w:rsidRPr="008D53CD">
        <w:t>stavbu</w:t>
      </w:r>
      <w:r>
        <w:t xml:space="preserve"> </w:t>
      </w:r>
      <w:r w:rsidRPr="008D53CD">
        <w:t>dopravní</w:t>
      </w:r>
      <w:r>
        <w:t xml:space="preserve"> </w:t>
      </w:r>
      <w:r w:rsidRPr="008D53CD">
        <w:t>infrastruktury,</w:t>
      </w:r>
      <w:r>
        <w:t xml:space="preserve"> </w:t>
      </w:r>
      <w:r w:rsidRPr="008D53CD">
        <w:t>tak</w:t>
      </w:r>
      <w:r>
        <w:t xml:space="preserve"> </w:t>
      </w:r>
      <w:r w:rsidRPr="008D53CD">
        <w:t>aby</w:t>
      </w:r>
      <w:r>
        <w:t xml:space="preserve"> </w:t>
      </w:r>
      <w:r w:rsidRPr="008D53CD">
        <w:t>znalecký</w:t>
      </w:r>
      <w:r>
        <w:t xml:space="preserve"> </w:t>
      </w:r>
      <w:r w:rsidRPr="008D53CD">
        <w:t>posudek</w:t>
      </w:r>
      <w:r>
        <w:t xml:space="preserve"> </w:t>
      </w:r>
      <w:r w:rsidRPr="008D53CD">
        <w:t>pokryl</w:t>
      </w:r>
      <w:r>
        <w:t xml:space="preserve"> </w:t>
      </w:r>
      <w:r w:rsidRPr="008D53CD">
        <w:t>celé</w:t>
      </w:r>
      <w:r>
        <w:t xml:space="preserve"> </w:t>
      </w:r>
      <w:r w:rsidRPr="008D53CD">
        <w:t>území</w:t>
      </w:r>
      <w:r>
        <w:t xml:space="preserve"> </w:t>
      </w:r>
      <w:r w:rsidRPr="008D53CD">
        <w:t>dotčené</w:t>
      </w:r>
      <w:r>
        <w:t xml:space="preserve"> </w:t>
      </w:r>
      <w:r w:rsidRPr="008D53CD">
        <w:t>stavbou</w:t>
      </w:r>
      <w:r>
        <w:t xml:space="preserve"> </w:t>
      </w:r>
      <w:r w:rsidRPr="008D53CD">
        <w:t>nebo</w:t>
      </w:r>
      <w:r>
        <w:t xml:space="preserve"> </w:t>
      </w:r>
      <w:r w:rsidRPr="008D53CD">
        <w:t>některou</w:t>
      </w:r>
      <w:r>
        <w:t xml:space="preserve"> </w:t>
      </w:r>
      <w:r w:rsidRPr="008D53CD">
        <w:t>jeho</w:t>
      </w:r>
      <w:r>
        <w:t xml:space="preserve"> </w:t>
      </w:r>
      <w:r w:rsidRPr="008D53CD">
        <w:t>část.</w:t>
      </w:r>
    </w:p>
    <w:p w14:paraId="2AC9931C" w14:textId="77777777" w:rsidR="00881B66" w:rsidRDefault="00881B66" w:rsidP="00F5058F">
      <w:pPr>
        <w:pStyle w:val="Textparagrafu"/>
        <w:numPr>
          <w:ilvl w:val="0"/>
          <w:numId w:val="27"/>
        </w:numPr>
        <w:tabs>
          <w:tab w:val="left" w:pos="392"/>
          <w:tab w:val="left" w:pos="840"/>
        </w:tabs>
        <w:spacing w:before="120" w:after="120"/>
        <w:ind w:firstLine="425"/>
      </w:pPr>
      <w:r w:rsidRPr="008D53CD">
        <w:t>(4)</w:t>
      </w:r>
      <w:r>
        <w:t xml:space="preserve"> </w:t>
      </w:r>
      <w:r w:rsidRPr="00F030F3">
        <w:rPr>
          <w:strike/>
        </w:rPr>
        <w:t>Cena</w:t>
      </w:r>
      <w:r>
        <w:t xml:space="preserve"> </w:t>
      </w:r>
      <w:r>
        <w:rPr>
          <w:b/>
        </w:rPr>
        <w:t xml:space="preserve">Hodnota </w:t>
      </w:r>
      <w:r w:rsidRPr="008D53CD">
        <w:t>určená</w:t>
      </w:r>
      <w:r>
        <w:t xml:space="preserve"> </w:t>
      </w:r>
      <w:r w:rsidRPr="008D53CD">
        <w:t>ve</w:t>
      </w:r>
      <w:r>
        <w:t xml:space="preserve"> </w:t>
      </w:r>
      <w:r w:rsidRPr="008D53CD">
        <w:t>znaleckém</w:t>
      </w:r>
      <w:r>
        <w:t xml:space="preserve"> </w:t>
      </w:r>
      <w:r w:rsidRPr="008D53CD">
        <w:t>posudku</w:t>
      </w:r>
      <w:r>
        <w:t xml:space="preserve"> </w:t>
      </w:r>
      <w:r w:rsidRPr="008D53CD">
        <w:t>vyhotoveném</w:t>
      </w:r>
      <w:r>
        <w:t xml:space="preserve"> </w:t>
      </w:r>
      <w:r w:rsidRPr="008D53CD">
        <w:t>podle</w:t>
      </w:r>
      <w:r>
        <w:t xml:space="preserve"> </w:t>
      </w:r>
      <w:r w:rsidRPr="008D53CD">
        <w:t>odstavců</w:t>
      </w:r>
      <w:r>
        <w:t xml:space="preserve"> </w:t>
      </w:r>
      <w:r w:rsidRPr="008D53CD">
        <w:t>2</w:t>
      </w:r>
      <w:r>
        <w:t xml:space="preserve"> </w:t>
      </w:r>
      <w:r w:rsidRPr="008D53CD">
        <w:t>a</w:t>
      </w:r>
      <w:r>
        <w:t xml:space="preserve"> </w:t>
      </w:r>
      <w:r w:rsidRPr="008D53CD">
        <w:t>3</w:t>
      </w:r>
      <w:r>
        <w:t xml:space="preserve"> </w:t>
      </w:r>
      <w:r w:rsidRPr="008D53CD">
        <w:t>se</w:t>
      </w:r>
      <w:r>
        <w:t xml:space="preserve"> </w:t>
      </w:r>
      <w:r w:rsidRPr="008D53CD">
        <w:t>pro</w:t>
      </w:r>
      <w:r>
        <w:t xml:space="preserve"> </w:t>
      </w:r>
      <w:r w:rsidRPr="008D53CD">
        <w:t>splnění</w:t>
      </w:r>
      <w:r>
        <w:t xml:space="preserve"> </w:t>
      </w:r>
      <w:r w:rsidRPr="008D53CD">
        <w:t>podmínky</w:t>
      </w:r>
      <w:r>
        <w:t xml:space="preserve"> </w:t>
      </w:r>
      <w:r w:rsidRPr="008D53CD">
        <w:t>přípustnosti</w:t>
      </w:r>
      <w:r>
        <w:t xml:space="preserve"> </w:t>
      </w:r>
      <w:r w:rsidRPr="008D53CD">
        <w:t>vyvlastnění</w:t>
      </w:r>
      <w:r>
        <w:t xml:space="preserve"> </w:t>
      </w:r>
      <w:r w:rsidRPr="008D53CD">
        <w:t>podle</w:t>
      </w:r>
      <w:r>
        <w:t xml:space="preserve"> </w:t>
      </w:r>
      <w:r w:rsidRPr="008D53CD">
        <w:t>zákona</w:t>
      </w:r>
      <w:r>
        <w:t xml:space="preserve"> </w:t>
      </w:r>
      <w:r w:rsidRPr="008D53CD">
        <w:t>o</w:t>
      </w:r>
      <w:r>
        <w:t xml:space="preserve"> </w:t>
      </w:r>
      <w:r w:rsidRPr="008D53CD">
        <w:t>vyvlastnění,</w:t>
      </w:r>
      <w:r>
        <w:t xml:space="preserve"> </w:t>
      </w:r>
      <w:r w:rsidRPr="008D53CD">
        <w:t>spočívající</w:t>
      </w:r>
      <w:r>
        <w:t xml:space="preserve"> </w:t>
      </w:r>
      <w:r w:rsidRPr="008D53CD">
        <w:t>v</w:t>
      </w:r>
      <w:r>
        <w:t xml:space="preserve"> </w:t>
      </w:r>
      <w:r w:rsidRPr="008D53CD">
        <w:t>povinnosti</w:t>
      </w:r>
      <w:r>
        <w:t xml:space="preserve"> </w:t>
      </w:r>
      <w:r w:rsidRPr="008D53CD">
        <w:t>nejprve</w:t>
      </w:r>
      <w:r>
        <w:t xml:space="preserve"> </w:t>
      </w:r>
      <w:r w:rsidRPr="008D53CD">
        <w:t>učinit</w:t>
      </w:r>
      <w:r>
        <w:t xml:space="preserve"> </w:t>
      </w:r>
      <w:r w:rsidRPr="008D53CD">
        <w:t>návrh</w:t>
      </w:r>
      <w:r>
        <w:t xml:space="preserve"> </w:t>
      </w:r>
      <w:r w:rsidRPr="008D53CD">
        <w:t>na</w:t>
      </w:r>
      <w:r>
        <w:t xml:space="preserve"> </w:t>
      </w:r>
      <w:r w:rsidRPr="008D53CD">
        <w:t>získání</w:t>
      </w:r>
      <w:r>
        <w:t xml:space="preserve"> </w:t>
      </w:r>
      <w:r w:rsidRPr="008D53CD">
        <w:t>potřebných</w:t>
      </w:r>
      <w:r>
        <w:t xml:space="preserve"> </w:t>
      </w:r>
      <w:r w:rsidRPr="008D53CD">
        <w:t>práv</w:t>
      </w:r>
      <w:r>
        <w:t xml:space="preserve"> </w:t>
      </w:r>
      <w:r w:rsidRPr="008D53CD">
        <w:t>dohodou,</w:t>
      </w:r>
      <w:r>
        <w:t xml:space="preserve"> </w:t>
      </w:r>
      <w:r w:rsidRPr="008D53CD">
        <w:t>považuje</w:t>
      </w:r>
      <w:r>
        <w:t xml:space="preserve"> </w:t>
      </w:r>
      <w:r w:rsidRPr="008D53CD">
        <w:t>za</w:t>
      </w:r>
      <w:r>
        <w:t xml:space="preserve"> </w:t>
      </w:r>
      <w:r w:rsidRPr="006F349D">
        <w:rPr>
          <w:strike/>
        </w:rPr>
        <w:t>cenu ve výši obvyklé ceny</w:t>
      </w:r>
      <w:r w:rsidRPr="006F349D">
        <w:rPr>
          <w:rStyle w:val="Znakapoznpodarou"/>
          <w:strike/>
        </w:rPr>
        <w:footnoteReference w:id="531"/>
      </w:r>
      <w:r w:rsidRPr="006F349D">
        <w:rPr>
          <w:strike/>
          <w:vertAlign w:val="superscript"/>
        </w:rPr>
        <w:t>)</w:t>
      </w:r>
      <w:r>
        <w:t xml:space="preserve"> </w:t>
      </w:r>
      <w:r>
        <w:rPr>
          <w:b/>
        </w:rPr>
        <w:t>obvyklou hodnotu</w:t>
      </w:r>
      <w:r w:rsidRPr="008D53CD">
        <w:t>,</w:t>
      </w:r>
      <w:r>
        <w:t xml:space="preserve"> </w:t>
      </w:r>
      <w:r w:rsidRPr="008D53CD">
        <w:t>a</w:t>
      </w:r>
      <w:r>
        <w:t xml:space="preserve"> </w:t>
      </w:r>
      <w:r w:rsidRPr="008D53CD">
        <w:t>to</w:t>
      </w:r>
      <w:r>
        <w:t xml:space="preserve"> </w:t>
      </w:r>
      <w:r w:rsidRPr="008D53CD">
        <w:t>po</w:t>
      </w:r>
      <w:r>
        <w:t xml:space="preserve"> </w:t>
      </w:r>
      <w:r w:rsidRPr="008D53CD">
        <w:t>dobu</w:t>
      </w:r>
    </w:p>
    <w:p w14:paraId="121D64ED" w14:textId="77777777" w:rsidR="00881B66" w:rsidRDefault="00881B66" w:rsidP="00037791">
      <w:pPr>
        <w:pStyle w:val="Textparagrafu"/>
        <w:numPr>
          <w:ilvl w:val="0"/>
          <w:numId w:val="27"/>
        </w:numPr>
        <w:tabs>
          <w:tab w:val="left" w:pos="392"/>
          <w:tab w:val="left" w:pos="840"/>
        </w:tabs>
        <w:spacing w:before="0"/>
        <w:ind w:left="426" w:hanging="426"/>
      </w:pPr>
      <w:r w:rsidRPr="008D53CD">
        <w:t>a)</w:t>
      </w:r>
      <w:r>
        <w:tab/>
      </w:r>
      <w:r w:rsidRPr="008D53CD">
        <w:t>3</w:t>
      </w:r>
      <w:r>
        <w:t xml:space="preserve"> </w:t>
      </w:r>
      <w:r w:rsidRPr="008D53CD">
        <w:t>let</w:t>
      </w:r>
      <w:r>
        <w:t xml:space="preserve"> </w:t>
      </w:r>
      <w:r w:rsidRPr="008D53CD">
        <w:t>ode</w:t>
      </w:r>
      <w:r>
        <w:t xml:space="preserve"> </w:t>
      </w:r>
      <w:r w:rsidRPr="008D53CD">
        <w:t>dne,</w:t>
      </w:r>
      <w:r>
        <w:t xml:space="preserve"> </w:t>
      </w:r>
      <w:r w:rsidRPr="008D53CD">
        <w:t>ke</w:t>
      </w:r>
      <w:r>
        <w:t xml:space="preserve"> </w:t>
      </w:r>
      <w:r w:rsidRPr="008D53CD">
        <w:t>kterému</w:t>
      </w:r>
      <w:r>
        <w:t xml:space="preserve"> </w:t>
      </w:r>
      <w:r w:rsidRPr="008D53CD">
        <w:t>byla</w:t>
      </w:r>
      <w:r>
        <w:t xml:space="preserve"> </w:t>
      </w:r>
      <w:r w:rsidRPr="008D53CD">
        <w:t>ve</w:t>
      </w:r>
      <w:r>
        <w:t xml:space="preserve"> </w:t>
      </w:r>
      <w:r w:rsidRPr="008D53CD">
        <w:t>znaleckém</w:t>
      </w:r>
      <w:r>
        <w:t xml:space="preserve"> </w:t>
      </w:r>
      <w:r w:rsidRPr="008D53CD">
        <w:t>posudku</w:t>
      </w:r>
      <w:r>
        <w:t xml:space="preserve"> </w:t>
      </w:r>
      <w:r w:rsidRPr="008D53CD">
        <w:t>určena,</w:t>
      </w:r>
      <w:r>
        <w:t xml:space="preserve"> </w:t>
      </w:r>
      <w:r w:rsidRPr="008D53CD">
        <w:t>v</w:t>
      </w:r>
      <w:r>
        <w:t xml:space="preserve"> </w:t>
      </w:r>
      <w:r w:rsidRPr="008D53CD">
        <w:t>případě</w:t>
      </w:r>
      <w:r>
        <w:t xml:space="preserve"> </w:t>
      </w:r>
      <w:r w:rsidRPr="008D53CD">
        <w:t>pozemků</w:t>
      </w:r>
      <w:r>
        <w:t xml:space="preserve"> </w:t>
      </w:r>
      <w:r w:rsidRPr="008D53CD">
        <w:t>s</w:t>
      </w:r>
      <w:r>
        <w:t xml:space="preserve"> </w:t>
      </w:r>
      <w:r w:rsidRPr="008D53CD">
        <w:t>výjimkou</w:t>
      </w:r>
      <w:r>
        <w:t xml:space="preserve"> </w:t>
      </w:r>
      <w:r w:rsidRPr="008D53CD">
        <w:t>stavebních</w:t>
      </w:r>
      <w:r>
        <w:t xml:space="preserve"> </w:t>
      </w:r>
      <w:r w:rsidRPr="008D53CD">
        <w:t>pozemků</w:t>
      </w:r>
      <w:r>
        <w:t xml:space="preserve"> </w:t>
      </w:r>
      <w:r w:rsidRPr="008D53CD">
        <w:t>a</w:t>
      </w:r>
    </w:p>
    <w:p w14:paraId="0CB5A414" w14:textId="77777777" w:rsidR="00881B66" w:rsidRDefault="00881B66" w:rsidP="00037791">
      <w:pPr>
        <w:pStyle w:val="Textparagrafu"/>
        <w:numPr>
          <w:ilvl w:val="0"/>
          <w:numId w:val="27"/>
        </w:numPr>
        <w:tabs>
          <w:tab w:val="left" w:pos="392"/>
          <w:tab w:val="left" w:pos="840"/>
        </w:tabs>
        <w:spacing w:before="0"/>
        <w:ind w:left="426" w:hanging="426"/>
      </w:pPr>
      <w:r w:rsidRPr="008D53CD">
        <w:t>b)</w:t>
      </w:r>
      <w:r>
        <w:tab/>
      </w:r>
      <w:r w:rsidRPr="008D53CD">
        <w:t>1</w:t>
      </w:r>
      <w:r>
        <w:t xml:space="preserve"> </w:t>
      </w:r>
      <w:r w:rsidRPr="008D53CD">
        <w:t>roku</w:t>
      </w:r>
      <w:r>
        <w:t xml:space="preserve"> </w:t>
      </w:r>
      <w:r w:rsidRPr="008D53CD">
        <w:t>ode</w:t>
      </w:r>
      <w:r>
        <w:t xml:space="preserve"> </w:t>
      </w:r>
      <w:r w:rsidRPr="008D53CD">
        <w:t>dne,</w:t>
      </w:r>
      <w:r>
        <w:t xml:space="preserve"> </w:t>
      </w:r>
      <w:r w:rsidRPr="008D53CD">
        <w:t>ke</w:t>
      </w:r>
      <w:r>
        <w:t xml:space="preserve"> </w:t>
      </w:r>
      <w:r w:rsidRPr="008D53CD">
        <w:t>kterému</w:t>
      </w:r>
      <w:r>
        <w:t xml:space="preserve"> </w:t>
      </w:r>
      <w:r w:rsidRPr="008D53CD">
        <w:t>byla</w:t>
      </w:r>
      <w:r>
        <w:t xml:space="preserve"> </w:t>
      </w:r>
      <w:r w:rsidRPr="008D53CD">
        <w:t>ve</w:t>
      </w:r>
      <w:r>
        <w:t xml:space="preserve"> </w:t>
      </w:r>
      <w:r w:rsidRPr="008D53CD">
        <w:t>znaleckém</w:t>
      </w:r>
      <w:r>
        <w:t xml:space="preserve"> </w:t>
      </w:r>
      <w:r w:rsidRPr="008D53CD">
        <w:t>posudku</w:t>
      </w:r>
      <w:r>
        <w:t xml:space="preserve"> </w:t>
      </w:r>
      <w:r w:rsidRPr="008D53CD">
        <w:t>určena,</w:t>
      </w:r>
      <w:r>
        <w:t xml:space="preserve"> </w:t>
      </w:r>
      <w:r w:rsidRPr="008D53CD">
        <w:t>v</w:t>
      </w:r>
      <w:r>
        <w:t xml:space="preserve"> </w:t>
      </w:r>
      <w:r w:rsidRPr="008D53CD">
        <w:t>případě</w:t>
      </w:r>
      <w:r>
        <w:t xml:space="preserve"> </w:t>
      </w:r>
      <w:r w:rsidRPr="008D53CD">
        <w:t>stavebních</w:t>
      </w:r>
      <w:r>
        <w:t xml:space="preserve"> </w:t>
      </w:r>
      <w:r w:rsidRPr="008D53CD">
        <w:t>pozemků</w:t>
      </w:r>
      <w:r>
        <w:t xml:space="preserve"> </w:t>
      </w:r>
      <w:r w:rsidRPr="008D53CD">
        <w:t>a</w:t>
      </w:r>
      <w:r>
        <w:t xml:space="preserve"> </w:t>
      </w:r>
      <w:r w:rsidRPr="008D53CD">
        <w:t>staveb.</w:t>
      </w:r>
    </w:p>
    <w:p w14:paraId="2F644DC9" w14:textId="77777777" w:rsidR="00881B66" w:rsidRDefault="00881B66" w:rsidP="00F5058F">
      <w:pPr>
        <w:pStyle w:val="Textparagrafu"/>
        <w:numPr>
          <w:ilvl w:val="0"/>
          <w:numId w:val="27"/>
        </w:numPr>
        <w:tabs>
          <w:tab w:val="left" w:pos="392"/>
          <w:tab w:val="left" w:pos="840"/>
        </w:tabs>
        <w:spacing w:before="120" w:after="120"/>
        <w:ind w:firstLine="425"/>
      </w:pPr>
      <w:r w:rsidRPr="008D53CD">
        <w:t>(5)</w:t>
      </w:r>
      <w:r>
        <w:t xml:space="preserve"> </w:t>
      </w:r>
      <w:r w:rsidRPr="008D53CD">
        <w:t>Získávají-li</w:t>
      </w:r>
      <w:r>
        <w:t xml:space="preserve"> </w:t>
      </w:r>
      <w:r w:rsidRPr="008D53CD">
        <w:t>se</w:t>
      </w:r>
      <w:r>
        <w:t xml:space="preserve"> </w:t>
      </w:r>
      <w:r w:rsidRPr="008D53CD">
        <w:t>potřebná</w:t>
      </w:r>
      <w:r>
        <w:t xml:space="preserve"> </w:t>
      </w:r>
      <w:r w:rsidRPr="008D53CD">
        <w:t>práva</w:t>
      </w:r>
      <w:r>
        <w:t xml:space="preserve"> </w:t>
      </w:r>
      <w:r w:rsidRPr="008D53CD">
        <w:t>podle</w:t>
      </w:r>
      <w:r>
        <w:t xml:space="preserve"> </w:t>
      </w:r>
      <w:r w:rsidRPr="008D53CD">
        <w:t>§</w:t>
      </w:r>
      <w:r>
        <w:t xml:space="preserve"> </w:t>
      </w:r>
      <w:r w:rsidRPr="008D53CD">
        <w:t>3a</w:t>
      </w:r>
      <w:r>
        <w:t xml:space="preserve"> </w:t>
      </w:r>
      <w:r w:rsidRPr="008D53CD">
        <w:t>smlouvou</w:t>
      </w:r>
      <w:r>
        <w:t xml:space="preserve"> </w:t>
      </w:r>
      <w:r w:rsidRPr="008D53CD">
        <w:t>o</w:t>
      </w:r>
      <w:r>
        <w:t xml:space="preserve"> </w:t>
      </w:r>
      <w:r w:rsidRPr="008D53CD">
        <w:t>zřízení,</w:t>
      </w:r>
      <w:r>
        <w:t xml:space="preserve"> </w:t>
      </w:r>
      <w:r w:rsidRPr="008D53CD">
        <w:t>změně</w:t>
      </w:r>
      <w:r>
        <w:t xml:space="preserve"> </w:t>
      </w:r>
      <w:r w:rsidRPr="008D53CD">
        <w:t>nebo</w:t>
      </w:r>
      <w:r>
        <w:t xml:space="preserve"> </w:t>
      </w:r>
      <w:r w:rsidRPr="008D53CD">
        <w:t>zrušení</w:t>
      </w:r>
      <w:r>
        <w:t xml:space="preserve"> </w:t>
      </w:r>
      <w:r w:rsidRPr="008D53CD">
        <w:t>práva</w:t>
      </w:r>
      <w:r>
        <w:t xml:space="preserve"> </w:t>
      </w:r>
      <w:r w:rsidRPr="008D53CD">
        <w:t>odpovídajícího</w:t>
      </w:r>
      <w:r>
        <w:t xml:space="preserve"> </w:t>
      </w:r>
      <w:r w:rsidRPr="008D53CD">
        <w:t>věcnému</w:t>
      </w:r>
      <w:r>
        <w:t xml:space="preserve"> </w:t>
      </w:r>
      <w:r w:rsidRPr="008D53CD">
        <w:t>břemenu</w:t>
      </w:r>
      <w:r>
        <w:t xml:space="preserve"> </w:t>
      </w:r>
      <w:r w:rsidRPr="008D53CD">
        <w:t>nebo</w:t>
      </w:r>
      <w:r>
        <w:t xml:space="preserve"> </w:t>
      </w:r>
      <w:r w:rsidRPr="008D53CD">
        <w:t>práva</w:t>
      </w:r>
      <w:r>
        <w:t xml:space="preserve"> </w:t>
      </w:r>
      <w:r w:rsidRPr="008D53CD">
        <w:t>stavby,</w:t>
      </w:r>
      <w:r>
        <w:t xml:space="preserve"> </w:t>
      </w:r>
      <w:r w:rsidRPr="008D53CD">
        <w:t>sjednává</w:t>
      </w:r>
      <w:r>
        <w:t xml:space="preserve"> </w:t>
      </w:r>
      <w:r w:rsidRPr="008D53CD">
        <w:t>se</w:t>
      </w:r>
      <w:r>
        <w:t xml:space="preserve"> </w:t>
      </w:r>
      <w:r w:rsidRPr="008D53CD">
        <w:t>výše</w:t>
      </w:r>
      <w:r>
        <w:t xml:space="preserve"> </w:t>
      </w:r>
      <w:r w:rsidRPr="008D53CD">
        <w:t>úplaty</w:t>
      </w:r>
      <w:r>
        <w:t xml:space="preserve"> </w:t>
      </w:r>
      <w:r w:rsidRPr="008D53CD">
        <w:t>ve</w:t>
      </w:r>
      <w:r>
        <w:t xml:space="preserve"> </w:t>
      </w:r>
      <w:r w:rsidRPr="008D53CD">
        <w:t>výši</w:t>
      </w:r>
      <w:r>
        <w:t xml:space="preserve"> </w:t>
      </w:r>
      <w:r w:rsidRPr="008D53CD">
        <w:t>10</w:t>
      </w:r>
      <w:r>
        <w:t xml:space="preserve"> </w:t>
      </w:r>
      <w:r w:rsidRPr="008D53CD">
        <w:t>000</w:t>
      </w:r>
      <w:r>
        <w:t xml:space="preserve"> </w:t>
      </w:r>
      <w:r w:rsidRPr="008D53CD">
        <w:t>Kč.</w:t>
      </w:r>
      <w:r>
        <w:t xml:space="preserve"> </w:t>
      </w:r>
      <w:r w:rsidRPr="008D53CD">
        <w:t>Nesouhlasí-li</w:t>
      </w:r>
      <w:r>
        <w:t xml:space="preserve"> </w:t>
      </w:r>
      <w:r w:rsidRPr="008D53CD">
        <w:t>vyvlastňovaný</w:t>
      </w:r>
      <w:r>
        <w:t xml:space="preserve"> </w:t>
      </w:r>
      <w:r w:rsidRPr="008D53CD">
        <w:t>s</w:t>
      </w:r>
      <w:r>
        <w:t xml:space="preserve"> </w:t>
      </w:r>
      <w:r w:rsidRPr="008D53CD">
        <w:t>částkou</w:t>
      </w:r>
      <w:r>
        <w:t xml:space="preserve"> </w:t>
      </w:r>
      <w:r w:rsidRPr="008D53CD">
        <w:t>podle</w:t>
      </w:r>
      <w:r>
        <w:t xml:space="preserve"> </w:t>
      </w:r>
      <w:r w:rsidRPr="008D53CD">
        <w:t>předchozí</w:t>
      </w:r>
      <w:r>
        <w:t xml:space="preserve"> </w:t>
      </w:r>
      <w:r w:rsidRPr="008D53CD">
        <w:t>věty,</w:t>
      </w:r>
      <w:r>
        <w:t xml:space="preserve"> </w:t>
      </w:r>
      <w:r w:rsidRPr="008D53CD">
        <w:t>použijí</w:t>
      </w:r>
      <w:r>
        <w:t xml:space="preserve"> </w:t>
      </w:r>
      <w:r w:rsidRPr="008D53CD">
        <w:t>se</w:t>
      </w:r>
      <w:r>
        <w:t xml:space="preserve"> </w:t>
      </w:r>
      <w:r w:rsidRPr="008D53CD">
        <w:t>odstavce</w:t>
      </w:r>
      <w:r>
        <w:t xml:space="preserve"> </w:t>
      </w:r>
      <w:r w:rsidRPr="008D53CD">
        <w:t>1</w:t>
      </w:r>
      <w:r>
        <w:t xml:space="preserve"> </w:t>
      </w:r>
      <w:r w:rsidRPr="008D53CD">
        <w:t>a</w:t>
      </w:r>
      <w:r>
        <w:t xml:space="preserve"> </w:t>
      </w:r>
      <w:r w:rsidRPr="008D53CD">
        <w:t>2</w:t>
      </w:r>
      <w:r>
        <w:t xml:space="preserve"> </w:t>
      </w:r>
      <w:r w:rsidRPr="008D53CD">
        <w:t>přiměřeně.</w:t>
      </w:r>
    </w:p>
    <w:p w14:paraId="3608EC8A" w14:textId="77777777" w:rsidR="00881B66" w:rsidRDefault="00881B66" w:rsidP="00F5058F">
      <w:pPr>
        <w:pStyle w:val="Textparagrafu"/>
        <w:numPr>
          <w:ilvl w:val="0"/>
          <w:numId w:val="27"/>
        </w:numPr>
        <w:tabs>
          <w:tab w:val="left" w:pos="392"/>
          <w:tab w:val="left" w:pos="840"/>
        </w:tabs>
        <w:spacing w:before="120" w:after="120"/>
        <w:ind w:firstLine="425"/>
      </w:pPr>
      <w:r w:rsidRPr="008D53CD">
        <w:t>(6)</w:t>
      </w:r>
      <w:r>
        <w:t xml:space="preserve"> </w:t>
      </w:r>
      <w:r w:rsidRPr="008D53CD">
        <w:t>Získávají-li</w:t>
      </w:r>
      <w:r>
        <w:t xml:space="preserve"> </w:t>
      </w:r>
      <w:r w:rsidRPr="008D53CD">
        <w:t>se</w:t>
      </w:r>
      <w:r>
        <w:t xml:space="preserve"> </w:t>
      </w:r>
      <w:r w:rsidRPr="008D53CD">
        <w:t>potřebná</w:t>
      </w:r>
      <w:r>
        <w:t xml:space="preserve"> </w:t>
      </w:r>
      <w:r w:rsidRPr="008D53CD">
        <w:t>práva</w:t>
      </w:r>
      <w:r>
        <w:t xml:space="preserve"> </w:t>
      </w:r>
      <w:r w:rsidRPr="008D53CD">
        <w:t>podle</w:t>
      </w:r>
      <w:r>
        <w:t xml:space="preserve"> </w:t>
      </w:r>
      <w:r w:rsidRPr="008D53CD">
        <w:t>§</w:t>
      </w:r>
      <w:r>
        <w:t xml:space="preserve"> </w:t>
      </w:r>
      <w:r w:rsidRPr="008D53CD">
        <w:t>3a</w:t>
      </w:r>
      <w:r>
        <w:t xml:space="preserve"> </w:t>
      </w:r>
      <w:r w:rsidRPr="008D53CD">
        <w:t>za</w:t>
      </w:r>
      <w:r>
        <w:t xml:space="preserve"> </w:t>
      </w:r>
      <w:r w:rsidRPr="008D53CD">
        <w:t>úplatu</w:t>
      </w:r>
      <w:r>
        <w:t xml:space="preserve"> </w:t>
      </w:r>
      <w:r w:rsidRPr="008D53CD">
        <w:t>od</w:t>
      </w:r>
      <w:r>
        <w:t xml:space="preserve"> </w:t>
      </w:r>
      <w:r w:rsidRPr="008D53CD">
        <w:t>právnické</w:t>
      </w:r>
      <w:r>
        <w:t xml:space="preserve"> </w:t>
      </w:r>
      <w:r w:rsidRPr="008D53CD">
        <w:t>osoby</w:t>
      </w:r>
      <w:r>
        <w:t xml:space="preserve"> </w:t>
      </w:r>
      <w:r w:rsidRPr="008D53CD">
        <w:t>zřízené</w:t>
      </w:r>
      <w:r>
        <w:t xml:space="preserve"> </w:t>
      </w:r>
      <w:r w:rsidRPr="008D53CD">
        <w:t>zákonem</w:t>
      </w:r>
      <w:r>
        <w:t xml:space="preserve"> </w:t>
      </w:r>
      <w:r w:rsidRPr="008D53CD">
        <w:t>nebo</w:t>
      </w:r>
      <w:r>
        <w:t xml:space="preserve"> </w:t>
      </w:r>
      <w:r w:rsidRPr="008D53CD">
        <w:t>zřízené</w:t>
      </w:r>
      <w:r>
        <w:t xml:space="preserve"> </w:t>
      </w:r>
      <w:r w:rsidRPr="008D53CD">
        <w:t>nebo</w:t>
      </w:r>
      <w:r>
        <w:t xml:space="preserve"> </w:t>
      </w:r>
      <w:r w:rsidRPr="008D53CD">
        <w:t>založené</w:t>
      </w:r>
      <w:r>
        <w:t xml:space="preserve"> </w:t>
      </w:r>
      <w:r w:rsidRPr="008D53CD">
        <w:t>státem,</w:t>
      </w:r>
      <w:r>
        <w:t xml:space="preserve"> </w:t>
      </w:r>
      <w:r w:rsidRPr="008D53CD">
        <w:t>vůči</w:t>
      </w:r>
      <w:r>
        <w:t xml:space="preserve"> </w:t>
      </w:r>
      <w:r w:rsidRPr="008D53CD">
        <w:t>níž</w:t>
      </w:r>
      <w:r>
        <w:t xml:space="preserve"> </w:t>
      </w:r>
      <w:r w:rsidRPr="008D53CD">
        <w:t>je</w:t>
      </w:r>
      <w:r>
        <w:t xml:space="preserve"> </w:t>
      </w:r>
      <w:r w:rsidRPr="008D53CD">
        <w:t>stát</w:t>
      </w:r>
      <w:r>
        <w:t xml:space="preserve"> </w:t>
      </w:r>
      <w:r w:rsidRPr="008D53CD">
        <w:t>ovládající</w:t>
      </w:r>
      <w:r>
        <w:t xml:space="preserve"> </w:t>
      </w:r>
      <w:r w:rsidRPr="008D53CD">
        <w:t>osobou,</w:t>
      </w:r>
      <w:r>
        <w:t xml:space="preserve"> </w:t>
      </w:r>
      <w:r w:rsidRPr="008D53CD">
        <w:t>použije</w:t>
      </w:r>
      <w:r>
        <w:t xml:space="preserve"> </w:t>
      </w:r>
      <w:r w:rsidRPr="008D53CD">
        <w:t>se</w:t>
      </w:r>
      <w:r>
        <w:t xml:space="preserve"> </w:t>
      </w:r>
      <w:r w:rsidRPr="008D53CD">
        <w:t>pro</w:t>
      </w:r>
      <w:r>
        <w:t xml:space="preserve"> </w:t>
      </w:r>
      <w:r w:rsidRPr="008D53CD">
        <w:t>ocenění</w:t>
      </w:r>
      <w:r>
        <w:t xml:space="preserve"> </w:t>
      </w:r>
      <w:r w:rsidRPr="008D53CD">
        <w:t>odstavec</w:t>
      </w:r>
      <w:r>
        <w:t xml:space="preserve"> </w:t>
      </w:r>
      <w:r w:rsidRPr="008D53CD">
        <w:t>2</w:t>
      </w:r>
      <w:r>
        <w:t xml:space="preserve"> </w:t>
      </w:r>
      <w:r w:rsidRPr="008D53CD">
        <w:t>obdobně</w:t>
      </w:r>
      <w:r>
        <w:t xml:space="preserve"> </w:t>
      </w:r>
      <w:r w:rsidRPr="008D53CD">
        <w:t>a</w:t>
      </w:r>
      <w:r>
        <w:t xml:space="preserve"> </w:t>
      </w:r>
      <w:r w:rsidRPr="008D53CD">
        <w:t>odstavec</w:t>
      </w:r>
      <w:r>
        <w:t xml:space="preserve"> </w:t>
      </w:r>
      <w:r w:rsidRPr="008D53CD">
        <w:t>1</w:t>
      </w:r>
      <w:r>
        <w:t xml:space="preserve"> </w:t>
      </w:r>
      <w:r w:rsidRPr="008D53CD">
        <w:t>se</w:t>
      </w:r>
      <w:r>
        <w:t xml:space="preserve"> </w:t>
      </w:r>
      <w:r w:rsidRPr="008D53CD">
        <w:t>nepoužije.</w:t>
      </w:r>
      <w:r>
        <w:t xml:space="preserve"> </w:t>
      </w:r>
      <w:r w:rsidRPr="008D53CD">
        <w:t>Pokud</w:t>
      </w:r>
      <w:r>
        <w:t xml:space="preserve"> </w:t>
      </w:r>
      <w:r w:rsidRPr="008D53CD">
        <w:t>právnická</w:t>
      </w:r>
      <w:r>
        <w:t xml:space="preserve"> </w:t>
      </w:r>
      <w:r w:rsidRPr="008D53CD">
        <w:t>osoba</w:t>
      </w:r>
      <w:r>
        <w:t xml:space="preserve"> </w:t>
      </w:r>
      <w:r w:rsidRPr="008D53CD">
        <w:t>podle</w:t>
      </w:r>
      <w:r>
        <w:t xml:space="preserve"> </w:t>
      </w:r>
      <w:r w:rsidRPr="008D53CD">
        <w:t>věty</w:t>
      </w:r>
      <w:r>
        <w:t xml:space="preserve"> </w:t>
      </w:r>
      <w:r w:rsidRPr="008D53CD">
        <w:t>první</w:t>
      </w:r>
      <w:r>
        <w:t xml:space="preserve"> </w:t>
      </w:r>
      <w:r w:rsidRPr="008D53CD">
        <w:t>hospodaří</w:t>
      </w:r>
      <w:r>
        <w:t xml:space="preserve"> </w:t>
      </w:r>
      <w:r w:rsidRPr="008D53CD">
        <w:t>s</w:t>
      </w:r>
      <w:r>
        <w:t xml:space="preserve"> </w:t>
      </w:r>
      <w:r w:rsidRPr="008D53CD">
        <w:t>majetkem</w:t>
      </w:r>
      <w:r>
        <w:t xml:space="preserve"> </w:t>
      </w:r>
      <w:r w:rsidRPr="008D53CD">
        <w:t>státu,</w:t>
      </w:r>
      <w:r>
        <w:t xml:space="preserve"> </w:t>
      </w:r>
      <w:r w:rsidRPr="008D53CD">
        <w:t>je</w:t>
      </w:r>
      <w:r>
        <w:t xml:space="preserve"> </w:t>
      </w:r>
      <w:r w:rsidRPr="008D53CD">
        <w:t>vyloučena</w:t>
      </w:r>
      <w:r>
        <w:t xml:space="preserve"> </w:t>
      </w:r>
      <w:r w:rsidRPr="008D53CD">
        <w:t>možnost</w:t>
      </w:r>
      <w:r>
        <w:t xml:space="preserve"> </w:t>
      </w:r>
      <w:r w:rsidRPr="008D53CD">
        <w:t>poskytnout</w:t>
      </w:r>
      <w:r>
        <w:t xml:space="preserve"> </w:t>
      </w:r>
      <w:r w:rsidRPr="008D53CD">
        <w:t>za</w:t>
      </w:r>
      <w:r>
        <w:t xml:space="preserve"> </w:t>
      </w:r>
      <w:r w:rsidRPr="008D53CD">
        <w:t>práva</w:t>
      </w:r>
      <w:r>
        <w:t xml:space="preserve"> </w:t>
      </w:r>
      <w:r w:rsidRPr="008D53CD">
        <w:t>získaná</w:t>
      </w:r>
      <w:r>
        <w:t xml:space="preserve"> </w:t>
      </w:r>
      <w:r w:rsidRPr="008D53CD">
        <w:t>podle</w:t>
      </w:r>
      <w:r>
        <w:t xml:space="preserve"> </w:t>
      </w:r>
      <w:r w:rsidRPr="008D53CD">
        <w:t>§</w:t>
      </w:r>
      <w:r>
        <w:t xml:space="preserve"> </w:t>
      </w:r>
      <w:r w:rsidRPr="008D53CD">
        <w:t>3a</w:t>
      </w:r>
      <w:r>
        <w:t xml:space="preserve"> </w:t>
      </w:r>
      <w:r w:rsidRPr="008D53CD">
        <w:t>peněžité</w:t>
      </w:r>
      <w:r>
        <w:t xml:space="preserve"> </w:t>
      </w:r>
      <w:r w:rsidRPr="008D53CD">
        <w:t>nebo</w:t>
      </w:r>
      <w:r>
        <w:t xml:space="preserve"> </w:t>
      </w:r>
      <w:r w:rsidRPr="008D53CD">
        <w:t>jiné</w:t>
      </w:r>
      <w:r>
        <w:t xml:space="preserve"> </w:t>
      </w:r>
      <w:r w:rsidRPr="008D53CD">
        <w:t>plnění.</w:t>
      </w:r>
    </w:p>
    <w:p w14:paraId="0F673FC7" w14:textId="77777777" w:rsidR="00881B66" w:rsidRDefault="00881B66" w:rsidP="00F5058F">
      <w:pPr>
        <w:pStyle w:val="Textparagrafu"/>
        <w:numPr>
          <w:ilvl w:val="0"/>
          <w:numId w:val="27"/>
        </w:numPr>
        <w:tabs>
          <w:tab w:val="left" w:pos="392"/>
          <w:tab w:val="left" w:pos="840"/>
        </w:tabs>
        <w:spacing w:before="120" w:after="120"/>
        <w:ind w:firstLine="425"/>
      </w:pPr>
      <w:r w:rsidRPr="008D53CD">
        <w:t>(7)</w:t>
      </w:r>
      <w:r>
        <w:t xml:space="preserve"> </w:t>
      </w:r>
      <w:r w:rsidRPr="008D53CD">
        <w:t>Odstavce</w:t>
      </w:r>
      <w:r>
        <w:t xml:space="preserve"> </w:t>
      </w:r>
      <w:r w:rsidRPr="008D53CD">
        <w:t>1</w:t>
      </w:r>
      <w:r>
        <w:t xml:space="preserve"> </w:t>
      </w:r>
      <w:r w:rsidRPr="008D53CD">
        <w:t>až</w:t>
      </w:r>
      <w:r>
        <w:t xml:space="preserve"> </w:t>
      </w:r>
      <w:r w:rsidRPr="008D53CD">
        <w:t>6</w:t>
      </w:r>
      <w:r>
        <w:t xml:space="preserve"> </w:t>
      </w:r>
      <w:r w:rsidRPr="008D53CD">
        <w:t>se</w:t>
      </w:r>
      <w:r>
        <w:t xml:space="preserve"> </w:t>
      </w:r>
      <w:r w:rsidRPr="008D53CD">
        <w:t>použijí</w:t>
      </w:r>
      <w:r>
        <w:t xml:space="preserve"> </w:t>
      </w:r>
      <w:r w:rsidRPr="008D53CD">
        <w:t>na</w:t>
      </w:r>
      <w:r>
        <w:t xml:space="preserve"> </w:t>
      </w:r>
      <w:r w:rsidRPr="008D53CD">
        <w:t>získávání</w:t>
      </w:r>
      <w:r>
        <w:t xml:space="preserve"> </w:t>
      </w:r>
      <w:r w:rsidRPr="008D53CD">
        <w:t>potřebných</w:t>
      </w:r>
      <w:r>
        <w:t xml:space="preserve"> </w:t>
      </w:r>
      <w:r w:rsidRPr="008D53CD">
        <w:t>práv</w:t>
      </w:r>
      <w:r>
        <w:t xml:space="preserve"> </w:t>
      </w:r>
      <w:r w:rsidRPr="008D53CD">
        <w:t>podle</w:t>
      </w:r>
      <w:r>
        <w:t xml:space="preserve"> </w:t>
      </w:r>
      <w:r w:rsidRPr="008D53CD">
        <w:t>§</w:t>
      </w:r>
      <w:r>
        <w:t xml:space="preserve"> </w:t>
      </w:r>
      <w:r w:rsidRPr="008D53CD">
        <w:t>3a,</w:t>
      </w:r>
    </w:p>
    <w:p w14:paraId="07068060" w14:textId="77777777" w:rsidR="00881B66" w:rsidRDefault="00881B66" w:rsidP="00037791">
      <w:pPr>
        <w:pStyle w:val="Textparagrafu"/>
        <w:numPr>
          <w:ilvl w:val="0"/>
          <w:numId w:val="27"/>
        </w:numPr>
        <w:tabs>
          <w:tab w:val="left" w:pos="392"/>
          <w:tab w:val="left" w:pos="840"/>
        </w:tabs>
        <w:spacing w:before="0"/>
        <w:ind w:left="426" w:hanging="426"/>
      </w:pPr>
      <w:r w:rsidRPr="008D53CD">
        <w:t>a)</w:t>
      </w:r>
      <w:r>
        <w:tab/>
      </w:r>
      <w:r w:rsidRPr="008D53CD">
        <w:t>je-li</w:t>
      </w:r>
      <w:r>
        <w:t xml:space="preserve"> </w:t>
      </w:r>
      <w:r w:rsidRPr="008D53CD">
        <w:t>jejich</w:t>
      </w:r>
      <w:r>
        <w:t xml:space="preserve"> </w:t>
      </w:r>
      <w:r w:rsidRPr="008D53CD">
        <w:t>nabyvatelem</w:t>
      </w:r>
      <w:r>
        <w:t xml:space="preserve"> </w:t>
      </w:r>
      <w:r w:rsidRPr="008D53CD">
        <w:t>Česká</w:t>
      </w:r>
      <w:r>
        <w:t xml:space="preserve"> </w:t>
      </w:r>
      <w:r w:rsidRPr="008D53CD">
        <w:t>republika</w:t>
      </w:r>
      <w:r>
        <w:t xml:space="preserve"> </w:t>
      </w:r>
      <w:r w:rsidRPr="008D53CD">
        <w:t>nebo</w:t>
      </w:r>
      <w:r>
        <w:t xml:space="preserve"> </w:t>
      </w:r>
      <w:r w:rsidRPr="008D53CD">
        <w:t>právnická</w:t>
      </w:r>
      <w:r>
        <w:t xml:space="preserve"> </w:t>
      </w:r>
      <w:r w:rsidRPr="008D53CD">
        <w:t>osoba</w:t>
      </w:r>
      <w:r>
        <w:t xml:space="preserve"> </w:t>
      </w:r>
      <w:r w:rsidRPr="008D53CD">
        <w:t>zřízená</w:t>
      </w:r>
      <w:r>
        <w:t xml:space="preserve"> </w:t>
      </w:r>
      <w:r w:rsidRPr="008D53CD">
        <w:t>zákonem</w:t>
      </w:r>
      <w:r>
        <w:t xml:space="preserve"> </w:t>
      </w:r>
      <w:r w:rsidRPr="008D53CD">
        <w:t>nebo</w:t>
      </w:r>
      <w:r>
        <w:t xml:space="preserve"> </w:t>
      </w:r>
      <w:r w:rsidRPr="008D53CD">
        <w:t>zřízená</w:t>
      </w:r>
      <w:r>
        <w:t xml:space="preserve"> </w:t>
      </w:r>
      <w:r w:rsidRPr="008D53CD">
        <w:t>nebo</w:t>
      </w:r>
      <w:r>
        <w:t xml:space="preserve"> </w:t>
      </w:r>
      <w:r w:rsidRPr="008D53CD">
        <w:t>založená</w:t>
      </w:r>
      <w:r>
        <w:t xml:space="preserve"> </w:t>
      </w:r>
      <w:r w:rsidRPr="008D53CD">
        <w:t>státem,</w:t>
      </w:r>
      <w:r>
        <w:t xml:space="preserve"> </w:t>
      </w:r>
      <w:r w:rsidRPr="008D53CD">
        <w:t>vůči</w:t>
      </w:r>
      <w:r>
        <w:t xml:space="preserve"> </w:t>
      </w:r>
      <w:r w:rsidRPr="008D53CD">
        <w:t>níž</w:t>
      </w:r>
      <w:r>
        <w:t xml:space="preserve"> </w:t>
      </w:r>
      <w:r w:rsidRPr="008D53CD">
        <w:t>je</w:t>
      </w:r>
      <w:r>
        <w:t xml:space="preserve"> </w:t>
      </w:r>
      <w:r w:rsidRPr="008D53CD">
        <w:t>stát</w:t>
      </w:r>
      <w:r>
        <w:t xml:space="preserve"> </w:t>
      </w:r>
      <w:r w:rsidRPr="008D53CD">
        <w:t>ovládající</w:t>
      </w:r>
      <w:r>
        <w:t xml:space="preserve"> </w:t>
      </w:r>
      <w:r w:rsidRPr="008D53CD">
        <w:t>osobou,</w:t>
      </w:r>
      <w:r>
        <w:t xml:space="preserve"> </w:t>
      </w:r>
      <w:r w:rsidRPr="008D53CD">
        <w:t>nebo</w:t>
      </w:r>
    </w:p>
    <w:p w14:paraId="1F779681" w14:textId="77777777" w:rsidR="00881B66" w:rsidRDefault="00881B66" w:rsidP="00037791">
      <w:pPr>
        <w:pStyle w:val="Textparagrafu"/>
        <w:numPr>
          <w:ilvl w:val="0"/>
          <w:numId w:val="27"/>
        </w:numPr>
        <w:tabs>
          <w:tab w:val="left" w:pos="392"/>
          <w:tab w:val="left" w:pos="840"/>
        </w:tabs>
        <w:spacing w:before="0"/>
        <w:ind w:left="426" w:hanging="426"/>
      </w:pPr>
      <w:r w:rsidRPr="008D53CD">
        <w:t>b)</w:t>
      </w:r>
      <w:r>
        <w:tab/>
      </w:r>
      <w:r w:rsidRPr="008D53CD">
        <w:t>jde-li</w:t>
      </w:r>
      <w:r>
        <w:t xml:space="preserve"> </w:t>
      </w:r>
      <w:r w:rsidRPr="008D53CD">
        <w:t>o</w:t>
      </w:r>
      <w:r>
        <w:t xml:space="preserve"> </w:t>
      </w:r>
      <w:r w:rsidRPr="008D53CD">
        <w:t>zřízení,</w:t>
      </w:r>
      <w:r>
        <w:t xml:space="preserve"> </w:t>
      </w:r>
      <w:r w:rsidRPr="008D53CD">
        <w:t>změnu</w:t>
      </w:r>
      <w:r>
        <w:t xml:space="preserve"> </w:t>
      </w:r>
      <w:r w:rsidRPr="008D53CD">
        <w:t>nebo</w:t>
      </w:r>
      <w:r>
        <w:t xml:space="preserve"> </w:t>
      </w:r>
      <w:r w:rsidRPr="008D53CD">
        <w:t>zrušení</w:t>
      </w:r>
      <w:r>
        <w:t xml:space="preserve"> </w:t>
      </w:r>
      <w:r w:rsidRPr="008D53CD">
        <w:t>práva</w:t>
      </w:r>
      <w:r>
        <w:t xml:space="preserve"> </w:t>
      </w:r>
      <w:r w:rsidRPr="008D53CD">
        <w:t>odpovídajícího</w:t>
      </w:r>
      <w:r>
        <w:t xml:space="preserve"> </w:t>
      </w:r>
      <w:r w:rsidRPr="008D53CD">
        <w:t>věcnému</w:t>
      </w:r>
      <w:r>
        <w:t xml:space="preserve"> </w:t>
      </w:r>
      <w:r w:rsidRPr="008D53CD">
        <w:t>břemenu</w:t>
      </w:r>
      <w:r>
        <w:t xml:space="preserve"> </w:t>
      </w:r>
      <w:r w:rsidRPr="008D53CD">
        <w:t>nebo</w:t>
      </w:r>
      <w:r>
        <w:t xml:space="preserve"> </w:t>
      </w:r>
      <w:r w:rsidRPr="008D53CD">
        <w:t>práva</w:t>
      </w:r>
      <w:r>
        <w:t xml:space="preserve"> </w:t>
      </w:r>
      <w:r w:rsidRPr="008D53CD">
        <w:t>stavby</w:t>
      </w:r>
      <w:r>
        <w:t xml:space="preserve"> </w:t>
      </w:r>
      <w:r w:rsidRPr="008D53CD">
        <w:t>za</w:t>
      </w:r>
      <w:r>
        <w:t xml:space="preserve"> </w:t>
      </w:r>
      <w:r w:rsidRPr="008D53CD">
        <w:t>účelem</w:t>
      </w:r>
      <w:r>
        <w:t xml:space="preserve"> </w:t>
      </w:r>
      <w:r w:rsidRPr="008D53CD">
        <w:t>provedení</w:t>
      </w:r>
      <w:r>
        <w:t xml:space="preserve"> </w:t>
      </w:r>
      <w:r w:rsidRPr="008D53CD">
        <w:t>přeložky</w:t>
      </w:r>
      <w:r>
        <w:t xml:space="preserve"> </w:t>
      </w:r>
      <w:r w:rsidRPr="008D53CD">
        <w:t>inženýrské</w:t>
      </w:r>
      <w:r>
        <w:t xml:space="preserve"> </w:t>
      </w:r>
      <w:r w:rsidRPr="008D53CD">
        <w:t>sítě</w:t>
      </w:r>
      <w:r>
        <w:t xml:space="preserve"> </w:t>
      </w:r>
      <w:r w:rsidRPr="008D53CD">
        <w:t>v</w:t>
      </w:r>
      <w:r>
        <w:t xml:space="preserve"> </w:t>
      </w:r>
      <w:r w:rsidRPr="008D53CD">
        <w:t>souvislosti</w:t>
      </w:r>
      <w:r>
        <w:t xml:space="preserve"> </w:t>
      </w:r>
      <w:r w:rsidRPr="008D53CD">
        <w:t>se</w:t>
      </w:r>
      <w:r>
        <w:t xml:space="preserve"> </w:t>
      </w:r>
      <w:r w:rsidRPr="008D53CD">
        <w:t>stavbou</w:t>
      </w:r>
      <w:r>
        <w:t xml:space="preserve"> </w:t>
      </w:r>
      <w:r w:rsidRPr="008D53CD">
        <w:t>dálnice</w:t>
      </w:r>
      <w:r>
        <w:t xml:space="preserve"> </w:t>
      </w:r>
      <w:r w:rsidRPr="008D53CD">
        <w:t>nebo</w:t>
      </w:r>
      <w:r>
        <w:t xml:space="preserve"> </w:t>
      </w:r>
      <w:r w:rsidRPr="008D53CD">
        <w:t>silnice</w:t>
      </w:r>
      <w:r>
        <w:t xml:space="preserve"> </w:t>
      </w:r>
      <w:r w:rsidRPr="008D53CD">
        <w:t>I.</w:t>
      </w:r>
      <w:r>
        <w:t xml:space="preserve"> </w:t>
      </w:r>
      <w:r w:rsidRPr="008D53CD">
        <w:t>třídy.</w:t>
      </w:r>
    </w:p>
    <w:p w14:paraId="49D58C1C" w14:textId="77777777" w:rsidR="00881B66" w:rsidRDefault="00881B66" w:rsidP="00F5058F">
      <w:pPr>
        <w:pStyle w:val="Textparagrafu"/>
        <w:numPr>
          <w:ilvl w:val="0"/>
          <w:numId w:val="27"/>
        </w:numPr>
        <w:tabs>
          <w:tab w:val="left" w:pos="392"/>
          <w:tab w:val="left" w:pos="840"/>
        </w:tabs>
        <w:spacing w:before="120" w:after="120"/>
        <w:ind w:firstLine="425"/>
      </w:pPr>
      <w:r w:rsidRPr="008D53CD">
        <w:t>(8)</w:t>
      </w:r>
      <w:r>
        <w:t xml:space="preserve"> </w:t>
      </w:r>
      <w:r w:rsidRPr="008D53CD">
        <w:t>Postup</w:t>
      </w:r>
      <w:r>
        <w:t xml:space="preserve"> </w:t>
      </w:r>
      <w:r w:rsidRPr="008D53CD">
        <w:t>podle</w:t>
      </w:r>
      <w:r>
        <w:t xml:space="preserve"> </w:t>
      </w:r>
      <w:r w:rsidRPr="008D53CD">
        <w:t>odstavců</w:t>
      </w:r>
      <w:r>
        <w:t xml:space="preserve"> </w:t>
      </w:r>
      <w:r w:rsidRPr="008D53CD">
        <w:t>1</w:t>
      </w:r>
      <w:r>
        <w:t xml:space="preserve"> </w:t>
      </w:r>
      <w:r w:rsidRPr="008D53CD">
        <w:t>až</w:t>
      </w:r>
      <w:r>
        <w:t xml:space="preserve"> </w:t>
      </w:r>
      <w:r w:rsidRPr="008D53CD">
        <w:t>7</w:t>
      </w:r>
      <w:r>
        <w:t xml:space="preserve"> </w:t>
      </w:r>
      <w:r w:rsidRPr="008D53CD">
        <w:t>lze</w:t>
      </w:r>
      <w:r>
        <w:t xml:space="preserve"> </w:t>
      </w:r>
      <w:r w:rsidRPr="008D53CD">
        <w:t>rozšířit</w:t>
      </w:r>
      <w:r>
        <w:t xml:space="preserve"> </w:t>
      </w:r>
      <w:r w:rsidRPr="008D53CD">
        <w:t>i</w:t>
      </w:r>
      <w:r>
        <w:t xml:space="preserve"> </w:t>
      </w:r>
      <w:r w:rsidRPr="008D53CD">
        <w:t>na</w:t>
      </w:r>
      <w:r>
        <w:t xml:space="preserve"> </w:t>
      </w:r>
      <w:r w:rsidRPr="008D53CD">
        <w:t>právo</w:t>
      </w:r>
      <w:r>
        <w:t xml:space="preserve"> </w:t>
      </w:r>
      <w:r w:rsidRPr="008D53CD">
        <w:t>k</w:t>
      </w:r>
      <w:r>
        <w:t xml:space="preserve"> </w:t>
      </w:r>
      <w:r w:rsidRPr="008D53CD">
        <w:t>pozemku</w:t>
      </w:r>
      <w:r>
        <w:t xml:space="preserve"> </w:t>
      </w:r>
      <w:r w:rsidRPr="008D53CD">
        <w:t>nebo</w:t>
      </w:r>
      <w:r>
        <w:t xml:space="preserve"> </w:t>
      </w:r>
      <w:r w:rsidRPr="008D53CD">
        <w:t>stavbě,</w:t>
      </w:r>
      <w:r>
        <w:t xml:space="preserve"> </w:t>
      </w:r>
      <w:r w:rsidRPr="008D53CD">
        <w:t>které</w:t>
      </w:r>
      <w:r>
        <w:t xml:space="preserve"> </w:t>
      </w:r>
      <w:r w:rsidRPr="008D53CD">
        <w:t>není</w:t>
      </w:r>
      <w:r>
        <w:t xml:space="preserve"> </w:t>
      </w:r>
      <w:r w:rsidRPr="008D53CD">
        <w:t>nezbytné</w:t>
      </w:r>
      <w:r>
        <w:t xml:space="preserve"> </w:t>
      </w:r>
      <w:r w:rsidRPr="008D53CD">
        <w:t>pro</w:t>
      </w:r>
      <w:r>
        <w:t xml:space="preserve"> </w:t>
      </w:r>
      <w:r w:rsidRPr="008D53CD">
        <w:t>uskutečnění</w:t>
      </w:r>
      <w:r>
        <w:t xml:space="preserve"> </w:t>
      </w:r>
      <w:r w:rsidRPr="008D53CD">
        <w:t>stavby</w:t>
      </w:r>
      <w:r>
        <w:t xml:space="preserve"> </w:t>
      </w:r>
      <w:r w:rsidRPr="008D53CD">
        <w:t>dopravní</w:t>
      </w:r>
      <w:r>
        <w:t xml:space="preserve"> </w:t>
      </w:r>
      <w:r w:rsidRPr="008D53CD">
        <w:t>infrastruktury,</w:t>
      </w:r>
      <w:r>
        <w:t xml:space="preserve"> </w:t>
      </w:r>
      <w:r w:rsidRPr="008D53CD">
        <w:t>pokud</w:t>
      </w:r>
      <w:r>
        <w:t xml:space="preserve"> </w:t>
      </w:r>
      <w:r w:rsidRPr="008D53CD">
        <w:t>by</w:t>
      </w:r>
      <w:r>
        <w:t xml:space="preserve"> </w:t>
      </w:r>
      <w:r w:rsidRPr="008D53CD">
        <w:t>v</w:t>
      </w:r>
      <w:r>
        <w:t xml:space="preserve"> </w:t>
      </w:r>
      <w:r w:rsidRPr="008D53CD">
        <w:t>důsledku</w:t>
      </w:r>
      <w:r>
        <w:t xml:space="preserve"> </w:t>
      </w:r>
      <w:r w:rsidRPr="008D53CD">
        <w:t>převodu</w:t>
      </w:r>
      <w:r>
        <w:t xml:space="preserve"> </w:t>
      </w:r>
      <w:r w:rsidRPr="008D53CD">
        <w:t>práv</w:t>
      </w:r>
      <w:r>
        <w:t xml:space="preserve"> </w:t>
      </w:r>
      <w:r w:rsidRPr="008D53CD">
        <w:t>podle</w:t>
      </w:r>
      <w:r>
        <w:t xml:space="preserve"> </w:t>
      </w:r>
      <w:r w:rsidRPr="008D53CD">
        <w:t>§</w:t>
      </w:r>
      <w:r>
        <w:t xml:space="preserve"> </w:t>
      </w:r>
      <w:r w:rsidRPr="008D53CD">
        <w:t>3a</w:t>
      </w:r>
      <w:r>
        <w:t xml:space="preserve"> </w:t>
      </w:r>
      <w:r w:rsidRPr="008D53CD">
        <w:t>tento</w:t>
      </w:r>
      <w:r>
        <w:t xml:space="preserve"> </w:t>
      </w:r>
      <w:r w:rsidRPr="008D53CD">
        <w:t>pozemek</w:t>
      </w:r>
      <w:r>
        <w:t xml:space="preserve"> </w:t>
      </w:r>
      <w:r w:rsidRPr="008D53CD">
        <w:t>nebo</w:t>
      </w:r>
      <w:r>
        <w:t xml:space="preserve"> </w:t>
      </w:r>
      <w:r w:rsidRPr="008D53CD">
        <w:t>stavbu</w:t>
      </w:r>
      <w:r>
        <w:t xml:space="preserve"> </w:t>
      </w:r>
      <w:r w:rsidRPr="008D53CD">
        <w:t>nebylo</w:t>
      </w:r>
      <w:r>
        <w:t xml:space="preserve"> </w:t>
      </w:r>
      <w:r w:rsidRPr="008D53CD">
        <w:t>možné</w:t>
      </w:r>
      <w:r>
        <w:t xml:space="preserve"> </w:t>
      </w:r>
      <w:r w:rsidRPr="008D53CD">
        <w:t>užívat</w:t>
      </w:r>
      <w:r>
        <w:t xml:space="preserve"> </w:t>
      </w:r>
      <w:r w:rsidRPr="008D53CD">
        <w:t>vůbec</w:t>
      </w:r>
      <w:r>
        <w:t xml:space="preserve"> </w:t>
      </w:r>
      <w:r w:rsidRPr="008D53CD">
        <w:t>nebo</w:t>
      </w:r>
      <w:r>
        <w:t xml:space="preserve"> </w:t>
      </w:r>
      <w:r w:rsidRPr="008D53CD">
        <w:t>jen</w:t>
      </w:r>
      <w:r>
        <w:t xml:space="preserve"> </w:t>
      </w:r>
      <w:r w:rsidRPr="008D53CD">
        <w:t>s</w:t>
      </w:r>
      <w:r>
        <w:t xml:space="preserve"> </w:t>
      </w:r>
      <w:r w:rsidRPr="008D53CD">
        <w:t>nepřiměřenými</w:t>
      </w:r>
      <w:r>
        <w:t xml:space="preserve"> </w:t>
      </w:r>
      <w:r w:rsidRPr="008D53CD">
        <w:t>obtížemi.</w:t>
      </w:r>
    </w:p>
    <w:p w14:paraId="206CDF52" w14:textId="77777777" w:rsidR="00881B66" w:rsidRDefault="00881B66" w:rsidP="00F5058F">
      <w:pPr>
        <w:pStyle w:val="Textparagrafu"/>
        <w:numPr>
          <w:ilvl w:val="0"/>
          <w:numId w:val="27"/>
        </w:numPr>
        <w:tabs>
          <w:tab w:val="left" w:pos="392"/>
          <w:tab w:val="left" w:pos="840"/>
        </w:tabs>
        <w:spacing w:before="120" w:after="120"/>
        <w:ind w:firstLine="425"/>
      </w:pPr>
      <w:r w:rsidRPr="008D53CD">
        <w:t>(9)</w:t>
      </w:r>
      <w:r>
        <w:t xml:space="preserve"> </w:t>
      </w:r>
      <w:r w:rsidRPr="008D53CD">
        <w:t>U</w:t>
      </w:r>
      <w:r>
        <w:t xml:space="preserve"> </w:t>
      </w:r>
      <w:r w:rsidRPr="008D53CD">
        <w:t>energetické</w:t>
      </w:r>
      <w:r>
        <w:t xml:space="preserve"> </w:t>
      </w:r>
      <w:r w:rsidRPr="008D53CD">
        <w:t>nebo</w:t>
      </w:r>
      <w:r>
        <w:t xml:space="preserve"> </w:t>
      </w:r>
      <w:r w:rsidRPr="008D53CD">
        <w:t>těžební</w:t>
      </w:r>
      <w:r>
        <w:t xml:space="preserve"> </w:t>
      </w:r>
      <w:r w:rsidRPr="008D53CD">
        <w:t>infrastruktury,</w:t>
      </w:r>
      <w:r>
        <w:t xml:space="preserve"> </w:t>
      </w:r>
      <w:r w:rsidRPr="008D53CD">
        <w:t>infrastruktury</w:t>
      </w:r>
      <w:r>
        <w:t xml:space="preserve"> </w:t>
      </w:r>
      <w:r w:rsidRPr="008D53CD">
        <w:t>pro</w:t>
      </w:r>
      <w:r>
        <w:t xml:space="preserve"> </w:t>
      </w:r>
      <w:r w:rsidRPr="008D53CD">
        <w:t>ukládání</w:t>
      </w:r>
      <w:r>
        <w:t xml:space="preserve"> </w:t>
      </w:r>
      <w:r w:rsidRPr="008D53CD">
        <w:t>oxidu</w:t>
      </w:r>
      <w:r>
        <w:t xml:space="preserve"> </w:t>
      </w:r>
      <w:r w:rsidRPr="008D53CD">
        <w:t>uhličitého</w:t>
      </w:r>
      <w:r>
        <w:t xml:space="preserve"> </w:t>
      </w:r>
      <w:r w:rsidRPr="008D53CD">
        <w:t>nebo</w:t>
      </w:r>
      <w:r>
        <w:t xml:space="preserve"> </w:t>
      </w:r>
      <w:r w:rsidRPr="008D53CD">
        <w:t>infrastruktury</w:t>
      </w:r>
      <w:r>
        <w:t xml:space="preserve"> </w:t>
      </w:r>
      <w:r w:rsidRPr="008D53CD">
        <w:t>elektronických</w:t>
      </w:r>
      <w:r>
        <w:t xml:space="preserve"> </w:t>
      </w:r>
      <w:r w:rsidRPr="008D53CD">
        <w:t>komunikací</w:t>
      </w:r>
      <w:r>
        <w:t xml:space="preserve"> </w:t>
      </w:r>
      <w:r w:rsidRPr="008D53CD">
        <w:t>se</w:t>
      </w:r>
      <w:r>
        <w:t xml:space="preserve"> </w:t>
      </w:r>
      <w:r w:rsidRPr="008D53CD">
        <w:t>odstavce</w:t>
      </w:r>
      <w:r>
        <w:t xml:space="preserve"> </w:t>
      </w:r>
      <w:r w:rsidRPr="008D53CD">
        <w:t>1</w:t>
      </w:r>
      <w:r>
        <w:t xml:space="preserve"> </w:t>
      </w:r>
      <w:r w:rsidRPr="008D53CD">
        <w:t>až</w:t>
      </w:r>
      <w:r>
        <w:t xml:space="preserve"> </w:t>
      </w:r>
      <w:r w:rsidRPr="008D53CD">
        <w:t>8</w:t>
      </w:r>
      <w:r>
        <w:t xml:space="preserve"> </w:t>
      </w:r>
      <w:r w:rsidRPr="008D53CD">
        <w:t>nepoužijí.</w:t>
      </w:r>
    </w:p>
    <w:p w14:paraId="0D2B4138" w14:textId="3C9F3956" w:rsidR="0036739D" w:rsidRDefault="0036739D" w:rsidP="00881B66">
      <w:pPr>
        <w:pStyle w:val="Textparagrafu"/>
        <w:tabs>
          <w:tab w:val="left" w:pos="392"/>
          <w:tab w:val="left" w:pos="840"/>
        </w:tabs>
        <w:spacing w:after="120"/>
        <w:ind w:firstLine="0"/>
        <w:sectPr w:rsidR="0036739D" w:rsidSect="00554E2B">
          <w:footnotePr>
            <w:numStart w:val="3"/>
          </w:footnotePr>
          <w:endnotePr>
            <w:numFmt w:val="decimal"/>
          </w:endnotePr>
          <w:pgSz w:w="11906" w:h="16838"/>
          <w:pgMar w:top="1418" w:right="1418" w:bottom="1418" w:left="1418" w:header="709" w:footer="709" w:gutter="0"/>
          <w:cols w:space="708"/>
          <w:docGrid w:linePitch="360"/>
        </w:sectPr>
      </w:pPr>
    </w:p>
    <w:p w14:paraId="55397A62" w14:textId="02DDC345" w:rsidR="00881B66" w:rsidRPr="00037791" w:rsidRDefault="00881B66" w:rsidP="00F5058F">
      <w:pPr>
        <w:tabs>
          <w:tab w:val="left" w:pos="851"/>
        </w:tabs>
        <w:spacing w:before="120" w:after="120"/>
        <w:ind w:firstLine="0"/>
        <w:jc w:val="center"/>
        <w:outlineLvl w:val="0"/>
        <w:rPr>
          <w:szCs w:val="24"/>
        </w:rPr>
      </w:pPr>
      <w:r w:rsidRPr="00037791">
        <w:rPr>
          <w:b/>
          <w:szCs w:val="24"/>
        </w:rPr>
        <w:lastRenderedPageBreak/>
        <w:t xml:space="preserve">K části sté </w:t>
      </w:r>
      <w:r w:rsidR="00037791" w:rsidRPr="00037791">
        <w:rPr>
          <w:b/>
          <w:szCs w:val="24"/>
        </w:rPr>
        <w:t>čtvrté</w:t>
      </w:r>
      <w:r w:rsidRPr="00037791">
        <w:rPr>
          <w:b/>
          <w:szCs w:val="24"/>
        </w:rPr>
        <w:t xml:space="preserve"> návrhu zákona – </w:t>
      </w:r>
      <w:r w:rsidRPr="00037791">
        <w:rPr>
          <w:szCs w:val="24"/>
        </w:rPr>
        <w:t>změna zákona o zahraniční rozvojové spolupráci a humanitární pomoci poskytované do zahraničí a o změně souvisejících zákonů</w:t>
      </w:r>
    </w:p>
    <w:p w14:paraId="1918EFD3" w14:textId="55CBFFF6" w:rsidR="00881B66" w:rsidRPr="00037791" w:rsidRDefault="00881B66" w:rsidP="00881B66">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037791">
        <w:rPr>
          <w:b/>
          <w:szCs w:val="24"/>
        </w:rPr>
        <w:t>Platné znění</w:t>
      </w:r>
      <w:r w:rsidRPr="00037791">
        <w:rPr>
          <w:szCs w:val="24"/>
        </w:rPr>
        <w:t xml:space="preserve"> zákona č. 151/2010 Sb., o zahraniční rozvojové spolupráci a humanitární pomoci poskytované do zahraničí a o změně souvisejících zákonů</w:t>
      </w:r>
    </w:p>
    <w:p w14:paraId="0E276D8B" w14:textId="049CC21F" w:rsidR="00881B66" w:rsidRPr="00F5058F" w:rsidRDefault="00F5058F" w:rsidP="00F5058F">
      <w:pPr>
        <w:pStyle w:val="Odstavecseseznamem"/>
        <w:numPr>
          <w:ilvl w:val="0"/>
          <w:numId w:val="27"/>
        </w:numPr>
        <w:pBdr>
          <w:top w:val="single" w:sz="12" w:space="6" w:color="auto"/>
          <w:left w:val="single" w:sz="12" w:space="0" w:color="auto"/>
          <w:bottom w:val="single" w:sz="12" w:space="6" w:color="auto"/>
          <w:right w:val="single" w:sz="12" w:space="0" w:color="auto"/>
        </w:pBdr>
        <w:spacing w:after="120"/>
        <w:jc w:val="center"/>
        <w:rPr>
          <w:b/>
          <w:szCs w:val="24"/>
          <w:lang w:eastAsia="en-US"/>
        </w:rPr>
      </w:pPr>
      <w:r w:rsidRPr="00607B4B">
        <w:rPr>
          <w:b/>
          <w:szCs w:val="24"/>
          <w:lang w:eastAsia="en-US"/>
        </w:rPr>
        <w:t>s vyznačením navrhovaných změn a doplnění k 1. lednu 2025</w:t>
      </w:r>
    </w:p>
    <w:p w14:paraId="7D7AC7DA" w14:textId="77777777" w:rsidR="00881B66" w:rsidRPr="00037791" w:rsidRDefault="00881B66" w:rsidP="00881B66">
      <w:pPr>
        <w:pStyle w:val="Textparagrafu"/>
        <w:numPr>
          <w:ilvl w:val="0"/>
          <w:numId w:val="27"/>
        </w:numPr>
        <w:tabs>
          <w:tab w:val="left" w:pos="392"/>
          <w:tab w:val="left" w:pos="840"/>
        </w:tabs>
        <w:spacing w:after="120"/>
        <w:jc w:val="center"/>
      </w:pPr>
      <w:r w:rsidRPr="00037791">
        <w:t>***</w:t>
      </w:r>
    </w:p>
    <w:p w14:paraId="2B92924E" w14:textId="77777777" w:rsidR="00037791" w:rsidRDefault="00037791" w:rsidP="00037791">
      <w:pPr>
        <w:pStyle w:val="Textodstavce"/>
        <w:spacing w:before="240"/>
        <w:jc w:val="center"/>
      </w:pPr>
      <w:r>
        <w:t>§ 8</w:t>
      </w:r>
    </w:p>
    <w:p w14:paraId="3103741B" w14:textId="77777777" w:rsidR="00037791" w:rsidRDefault="00037791" w:rsidP="00037791">
      <w:pPr>
        <w:pStyle w:val="Nadpisparagrafu"/>
        <w:spacing w:after="120"/>
      </w:pPr>
      <w:r w:rsidRPr="001E1B8B">
        <w:t>Česká rozvojová agentura</w:t>
      </w:r>
    </w:p>
    <w:p w14:paraId="6C8A0B5E" w14:textId="77777777" w:rsidR="00037791" w:rsidRDefault="00037791" w:rsidP="00F5058F">
      <w:pPr>
        <w:pStyle w:val="Textodstavce"/>
        <w:ind w:firstLine="425"/>
      </w:pPr>
      <w:r>
        <w:t xml:space="preserve">(1) </w:t>
      </w:r>
      <w:r w:rsidRPr="001E1B8B">
        <w:t>Zřizuje se Česká rozvojová agentura jako organizační složka státu, která plní úkoly v oblasti zahraniční rozvojové spolupráce a humanitární pomoci poskytované do zahraničí.</w:t>
      </w:r>
    </w:p>
    <w:p w14:paraId="06E31401" w14:textId="77777777" w:rsidR="00037791" w:rsidRDefault="00037791" w:rsidP="00F5058F">
      <w:pPr>
        <w:pStyle w:val="Textodstavce"/>
        <w:ind w:firstLine="425"/>
      </w:pPr>
      <w:r>
        <w:t xml:space="preserve">(2) </w:t>
      </w:r>
      <w:r w:rsidRPr="001E1B8B">
        <w:t>Funkci zřizovatele České rozvojové agentury vykonává Ministerstvo zahraničních věcí, z jehož rozpočtové kapitoly je činnost České rozvojové agentury hrazena.</w:t>
      </w:r>
    </w:p>
    <w:p w14:paraId="508331C5" w14:textId="77777777" w:rsidR="00037791" w:rsidRPr="00C550B2" w:rsidRDefault="00037791" w:rsidP="00F5058F">
      <w:pPr>
        <w:pStyle w:val="Textodstavce"/>
        <w:ind w:firstLine="425"/>
        <w:rPr>
          <w:strike/>
        </w:rPr>
      </w:pPr>
      <w:r>
        <w:rPr>
          <w:strike/>
        </w:rPr>
        <w:t xml:space="preserve">(3) </w:t>
      </w:r>
      <w:r w:rsidRPr="00C550B2">
        <w:rPr>
          <w:strike/>
        </w:rPr>
        <w:t>Česká rozvojová agentura je účetní jednotkou.</w:t>
      </w:r>
    </w:p>
    <w:p w14:paraId="54193060" w14:textId="77777777" w:rsidR="00037791" w:rsidRDefault="00037791" w:rsidP="00F5058F">
      <w:pPr>
        <w:pStyle w:val="Textodstavce"/>
        <w:ind w:left="425"/>
      </w:pPr>
      <w:proofErr w:type="gramStart"/>
      <w:r w:rsidRPr="00C550B2">
        <w:rPr>
          <w:strike/>
        </w:rPr>
        <w:t>(4)</w:t>
      </w:r>
      <w:r w:rsidRPr="00C550B2">
        <w:rPr>
          <w:b/>
        </w:rPr>
        <w:t xml:space="preserve">(3) </w:t>
      </w:r>
      <w:r w:rsidRPr="00C550B2">
        <w:t>Česká</w:t>
      </w:r>
      <w:proofErr w:type="gramEnd"/>
      <w:r w:rsidRPr="00C550B2">
        <w:t xml:space="preserve"> </w:t>
      </w:r>
      <w:r w:rsidRPr="001E1B8B">
        <w:t>rozvojová agentura</w:t>
      </w:r>
    </w:p>
    <w:p w14:paraId="6561BC99" w14:textId="77777777" w:rsidR="00037791" w:rsidRDefault="00037791" w:rsidP="00037791">
      <w:pPr>
        <w:pStyle w:val="Textparagrafu"/>
        <w:numPr>
          <w:ilvl w:val="0"/>
          <w:numId w:val="27"/>
        </w:numPr>
        <w:tabs>
          <w:tab w:val="left" w:pos="392"/>
          <w:tab w:val="left" w:pos="840"/>
        </w:tabs>
        <w:spacing w:before="0"/>
        <w:ind w:left="425" w:hanging="425"/>
      </w:pPr>
      <w:r>
        <w:t>a)</w:t>
      </w:r>
      <w:r>
        <w:tab/>
      </w:r>
      <w:r w:rsidRPr="001E1B8B">
        <w:t>zajišťuje realizaci zahraniční rozvojové spolupráce v souladu s plánem zahraniční rozvojové spolupráce,</w:t>
      </w:r>
    </w:p>
    <w:p w14:paraId="718D1EBC" w14:textId="77777777" w:rsidR="00037791" w:rsidRDefault="00037791" w:rsidP="00037791">
      <w:pPr>
        <w:pStyle w:val="Textparagrafu"/>
        <w:numPr>
          <w:ilvl w:val="0"/>
          <w:numId w:val="27"/>
        </w:numPr>
        <w:tabs>
          <w:tab w:val="left" w:pos="392"/>
          <w:tab w:val="left" w:pos="840"/>
        </w:tabs>
        <w:spacing w:before="0"/>
        <w:ind w:left="425" w:hanging="425"/>
      </w:pPr>
      <w:r>
        <w:t>b)</w:t>
      </w:r>
      <w:r>
        <w:tab/>
      </w:r>
      <w:r w:rsidRPr="001E1B8B">
        <w:t>zajišťuje podle požadavků Ministerstva zahraničních věcí realizaci projektů humanitární pomoci,</w:t>
      </w:r>
    </w:p>
    <w:p w14:paraId="4DE0F461" w14:textId="77777777" w:rsidR="00037791" w:rsidRDefault="00037791" w:rsidP="00037791">
      <w:pPr>
        <w:pStyle w:val="Textparagrafu"/>
        <w:numPr>
          <w:ilvl w:val="0"/>
          <w:numId w:val="27"/>
        </w:numPr>
        <w:tabs>
          <w:tab w:val="left" w:pos="392"/>
          <w:tab w:val="left" w:pos="840"/>
        </w:tabs>
        <w:spacing w:before="0"/>
        <w:ind w:left="425" w:hanging="425"/>
      </w:pPr>
      <w:r>
        <w:t>c)</w:t>
      </w:r>
      <w:r>
        <w:tab/>
      </w:r>
      <w:r w:rsidRPr="001E1B8B">
        <w:t>poskytuje dotace subjektům v České republice v souladu s plánem zahraniční rozvojové spolupráce; jiné dotace může poskytnout pouze se souhlasem Ministerstva zahraničních věcí.</w:t>
      </w:r>
    </w:p>
    <w:p w14:paraId="6A520408" w14:textId="248C0B19" w:rsidR="00881B66" w:rsidRPr="00881B66" w:rsidRDefault="00881B66" w:rsidP="00881B66">
      <w:pPr>
        <w:pStyle w:val="Textparagrafu"/>
        <w:numPr>
          <w:ilvl w:val="0"/>
          <w:numId w:val="27"/>
        </w:numPr>
        <w:tabs>
          <w:tab w:val="left" w:pos="392"/>
          <w:tab w:val="left" w:pos="840"/>
        </w:tabs>
        <w:spacing w:after="120"/>
        <w:jc w:val="center"/>
        <w:rPr>
          <w:highlight w:val="red"/>
        </w:rPr>
      </w:pPr>
      <w:r w:rsidRPr="00881B66">
        <w:rPr>
          <w:highlight w:val="red"/>
        </w:rPr>
        <w:t xml:space="preserve"> </w:t>
      </w:r>
    </w:p>
    <w:p w14:paraId="0AF95452" w14:textId="77777777" w:rsidR="00881B66" w:rsidRDefault="00881B66" w:rsidP="00881B66">
      <w:pPr>
        <w:pStyle w:val="Textparagrafu"/>
        <w:numPr>
          <w:ilvl w:val="0"/>
          <w:numId w:val="27"/>
        </w:numPr>
        <w:tabs>
          <w:tab w:val="left" w:pos="392"/>
          <w:tab w:val="left" w:pos="840"/>
        </w:tabs>
        <w:spacing w:after="120"/>
        <w:jc w:val="center"/>
      </w:pPr>
    </w:p>
    <w:p w14:paraId="06394692" w14:textId="77777777" w:rsidR="00881B66" w:rsidRDefault="00881B66" w:rsidP="000D2511">
      <w:pPr>
        <w:pStyle w:val="Textparagrafu"/>
        <w:tabs>
          <w:tab w:val="left" w:pos="392"/>
          <w:tab w:val="left" w:pos="840"/>
        </w:tabs>
        <w:spacing w:after="120"/>
        <w:ind w:firstLine="0"/>
        <w:jc w:val="center"/>
        <w:sectPr w:rsidR="00881B66" w:rsidSect="00554E2B">
          <w:footnotePr>
            <w:numStart w:val="3"/>
          </w:footnotePr>
          <w:endnotePr>
            <w:numFmt w:val="decimal"/>
          </w:endnotePr>
          <w:pgSz w:w="11906" w:h="16838"/>
          <w:pgMar w:top="1418" w:right="1418" w:bottom="1418" w:left="1418" w:header="709" w:footer="709" w:gutter="0"/>
          <w:cols w:space="708"/>
          <w:docGrid w:linePitch="360"/>
        </w:sectPr>
      </w:pPr>
    </w:p>
    <w:p w14:paraId="24389ECD" w14:textId="50027C10" w:rsidR="00881B66" w:rsidRPr="0036739D" w:rsidRDefault="00881B66" w:rsidP="00F5058F">
      <w:pPr>
        <w:tabs>
          <w:tab w:val="left" w:pos="851"/>
        </w:tabs>
        <w:spacing w:before="120" w:after="120"/>
        <w:ind w:firstLine="0"/>
        <w:jc w:val="center"/>
        <w:outlineLvl w:val="0"/>
        <w:rPr>
          <w:szCs w:val="24"/>
        </w:rPr>
      </w:pPr>
      <w:r w:rsidRPr="0036739D">
        <w:rPr>
          <w:b/>
          <w:szCs w:val="24"/>
        </w:rPr>
        <w:lastRenderedPageBreak/>
        <w:t xml:space="preserve">K části sté </w:t>
      </w:r>
      <w:r w:rsidR="00037791">
        <w:rPr>
          <w:b/>
          <w:szCs w:val="24"/>
        </w:rPr>
        <w:t>páté</w:t>
      </w:r>
      <w:r w:rsidRPr="0036739D">
        <w:rPr>
          <w:b/>
          <w:szCs w:val="24"/>
        </w:rPr>
        <w:t xml:space="preserve"> návrhu zákona – </w:t>
      </w:r>
      <w:r w:rsidRPr="0036739D">
        <w:rPr>
          <w:szCs w:val="24"/>
        </w:rPr>
        <w:t xml:space="preserve">změna </w:t>
      </w:r>
      <w:r>
        <w:rPr>
          <w:szCs w:val="24"/>
        </w:rPr>
        <w:t xml:space="preserve">zákona </w:t>
      </w:r>
      <w:r w:rsidRPr="00881B66">
        <w:rPr>
          <w:szCs w:val="24"/>
        </w:rPr>
        <w:t>o Úřadu práce České republiky a o změně souvisejících zákonů</w:t>
      </w:r>
    </w:p>
    <w:p w14:paraId="2B30E296" w14:textId="0733EEE8" w:rsidR="00881B66" w:rsidRDefault="00881B66" w:rsidP="00881B66">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36739D">
        <w:rPr>
          <w:b/>
          <w:szCs w:val="24"/>
        </w:rPr>
        <w:t>Platné znění</w:t>
      </w:r>
      <w:r w:rsidRPr="0036739D">
        <w:rPr>
          <w:szCs w:val="24"/>
        </w:rPr>
        <w:t xml:space="preserve"> zákona č. </w:t>
      </w:r>
      <w:r>
        <w:rPr>
          <w:szCs w:val="24"/>
        </w:rPr>
        <w:t>73/2011</w:t>
      </w:r>
      <w:r w:rsidRPr="0036739D">
        <w:rPr>
          <w:szCs w:val="24"/>
        </w:rPr>
        <w:t xml:space="preserve"> Sb., </w:t>
      </w:r>
      <w:r w:rsidRPr="00881B66">
        <w:rPr>
          <w:szCs w:val="24"/>
        </w:rPr>
        <w:t>o Úřadu práce České republiky a o změně souvisejících zákonů</w:t>
      </w:r>
    </w:p>
    <w:p w14:paraId="2947DF27" w14:textId="77777777" w:rsidR="00F5058F" w:rsidRPr="00607B4B" w:rsidRDefault="00F5058F" w:rsidP="00F5058F">
      <w:pPr>
        <w:pStyle w:val="Odstavecseseznamem"/>
        <w:numPr>
          <w:ilvl w:val="0"/>
          <w:numId w:val="27"/>
        </w:numPr>
        <w:pBdr>
          <w:top w:val="single" w:sz="12" w:space="6" w:color="auto"/>
          <w:left w:val="single" w:sz="12" w:space="0" w:color="auto"/>
          <w:bottom w:val="single" w:sz="12" w:space="6" w:color="auto"/>
          <w:right w:val="single" w:sz="12" w:space="0" w:color="auto"/>
        </w:pBdr>
        <w:spacing w:after="120"/>
        <w:jc w:val="center"/>
        <w:rPr>
          <w:b/>
          <w:szCs w:val="24"/>
          <w:lang w:eastAsia="en-US"/>
        </w:rPr>
      </w:pPr>
      <w:r w:rsidRPr="00607B4B">
        <w:rPr>
          <w:b/>
          <w:szCs w:val="24"/>
          <w:lang w:eastAsia="en-US"/>
        </w:rPr>
        <w:t>s vyznačením navrhovaných změn a doplnění k 1. lednu 2025</w:t>
      </w:r>
    </w:p>
    <w:p w14:paraId="1EA7D459" w14:textId="2262EF69" w:rsidR="00B864F9" w:rsidRDefault="00B864F9" w:rsidP="00B864F9">
      <w:pPr>
        <w:pStyle w:val="Textparagrafu"/>
        <w:numPr>
          <w:ilvl w:val="0"/>
          <w:numId w:val="27"/>
        </w:numPr>
        <w:tabs>
          <w:tab w:val="left" w:pos="392"/>
          <w:tab w:val="left" w:pos="840"/>
        </w:tabs>
        <w:spacing w:after="120"/>
        <w:jc w:val="center"/>
      </w:pPr>
      <w:r w:rsidRPr="00FD11DF">
        <w:t>§</w:t>
      </w:r>
      <w:r>
        <w:t xml:space="preserve"> </w:t>
      </w:r>
      <w:r w:rsidRPr="00FD11DF">
        <w:t>1</w:t>
      </w:r>
    </w:p>
    <w:p w14:paraId="278A227D" w14:textId="77777777" w:rsidR="00B864F9" w:rsidRDefault="00B864F9" w:rsidP="00F5058F">
      <w:pPr>
        <w:pStyle w:val="Textparagrafu"/>
        <w:numPr>
          <w:ilvl w:val="0"/>
          <w:numId w:val="27"/>
        </w:numPr>
        <w:tabs>
          <w:tab w:val="left" w:pos="392"/>
          <w:tab w:val="left" w:pos="840"/>
        </w:tabs>
        <w:spacing w:before="120" w:after="120"/>
        <w:ind w:firstLine="425"/>
      </w:pPr>
      <w:r w:rsidRPr="00FD11DF">
        <w:t>(1)</w:t>
      </w:r>
      <w:r>
        <w:t xml:space="preserve"> </w:t>
      </w:r>
      <w:r w:rsidRPr="00FD11DF">
        <w:t>Tímto</w:t>
      </w:r>
      <w:r>
        <w:t xml:space="preserve"> </w:t>
      </w:r>
      <w:r w:rsidRPr="00FD11DF">
        <w:t>zákonem</w:t>
      </w:r>
      <w:r>
        <w:t xml:space="preserve"> </w:t>
      </w:r>
      <w:r w:rsidRPr="00FD11DF">
        <w:t>se</w:t>
      </w:r>
      <w:r>
        <w:t xml:space="preserve"> </w:t>
      </w:r>
      <w:r w:rsidRPr="00FD11DF">
        <w:t>zřizuje</w:t>
      </w:r>
      <w:r>
        <w:t xml:space="preserve"> </w:t>
      </w:r>
      <w:r w:rsidRPr="00FD11DF">
        <w:t>Úřad</w:t>
      </w:r>
      <w:r>
        <w:t xml:space="preserve"> </w:t>
      </w:r>
      <w:r w:rsidRPr="00FD11DF">
        <w:t>práce</w:t>
      </w:r>
      <w:r>
        <w:t xml:space="preserve"> </w:t>
      </w:r>
      <w:r w:rsidRPr="00FD11DF">
        <w:t>České</w:t>
      </w:r>
      <w:r>
        <w:t xml:space="preserve"> </w:t>
      </w:r>
      <w:r w:rsidRPr="00FD11DF">
        <w:t>republiky</w:t>
      </w:r>
      <w:r>
        <w:t xml:space="preserve"> </w:t>
      </w:r>
      <w:r w:rsidRPr="00FD11DF">
        <w:t>(dále</w:t>
      </w:r>
      <w:r>
        <w:t xml:space="preserve"> </w:t>
      </w:r>
      <w:r w:rsidRPr="00FD11DF">
        <w:t>jen</w:t>
      </w:r>
      <w:r>
        <w:t xml:space="preserve"> </w:t>
      </w:r>
      <w:r w:rsidRPr="00FD11DF">
        <w:t>„Úřad</w:t>
      </w:r>
      <w:r>
        <w:t xml:space="preserve"> </w:t>
      </w:r>
      <w:r w:rsidRPr="00FD11DF">
        <w:t>práce“),</w:t>
      </w:r>
      <w:r>
        <w:t xml:space="preserve"> </w:t>
      </w:r>
      <w:r w:rsidRPr="00FD11DF">
        <w:t>stanoví</w:t>
      </w:r>
      <w:r>
        <w:t xml:space="preserve"> </w:t>
      </w:r>
      <w:r w:rsidRPr="00FD11DF">
        <w:t>se</w:t>
      </w:r>
      <w:r>
        <w:t xml:space="preserve"> </w:t>
      </w:r>
      <w:r w:rsidRPr="00FD11DF">
        <w:t>jeho</w:t>
      </w:r>
      <w:r>
        <w:t xml:space="preserve"> </w:t>
      </w:r>
      <w:r w:rsidRPr="00FD11DF">
        <w:t>organizační</w:t>
      </w:r>
      <w:r>
        <w:t xml:space="preserve"> </w:t>
      </w:r>
      <w:r w:rsidRPr="00FD11DF">
        <w:t>členění</w:t>
      </w:r>
      <w:r>
        <w:t xml:space="preserve"> </w:t>
      </w:r>
      <w:r w:rsidRPr="00FD11DF">
        <w:t>a</w:t>
      </w:r>
      <w:r>
        <w:t xml:space="preserve"> </w:t>
      </w:r>
      <w:r w:rsidRPr="00FD11DF">
        <w:t>úkoly.</w:t>
      </w:r>
      <w:r>
        <w:t xml:space="preserve"> </w:t>
      </w:r>
      <w:r w:rsidRPr="00FD11DF">
        <w:t>Úřad</w:t>
      </w:r>
      <w:r>
        <w:t xml:space="preserve"> </w:t>
      </w:r>
      <w:r w:rsidRPr="00FD11DF">
        <w:t>práce</w:t>
      </w:r>
      <w:r>
        <w:t xml:space="preserve"> </w:t>
      </w:r>
      <w:r w:rsidRPr="00FD11DF">
        <w:t>je</w:t>
      </w:r>
      <w:r>
        <w:t xml:space="preserve"> </w:t>
      </w:r>
      <w:r w:rsidRPr="00FD11DF">
        <w:t>správním</w:t>
      </w:r>
      <w:r>
        <w:t xml:space="preserve"> </w:t>
      </w:r>
      <w:r w:rsidRPr="00FD11DF">
        <w:t>úřadem</w:t>
      </w:r>
      <w:r>
        <w:t xml:space="preserve"> </w:t>
      </w:r>
      <w:r w:rsidRPr="00FD11DF">
        <w:t>s</w:t>
      </w:r>
      <w:r>
        <w:t xml:space="preserve"> </w:t>
      </w:r>
      <w:r w:rsidRPr="00FD11DF">
        <w:t>celostátní</w:t>
      </w:r>
      <w:r>
        <w:t xml:space="preserve"> </w:t>
      </w:r>
      <w:r w:rsidRPr="00FD11DF">
        <w:t>působností.</w:t>
      </w:r>
      <w:r>
        <w:t xml:space="preserve"> </w:t>
      </w:r>
      <w:r w:rsidRPr="00B31139">
        <w:rPr>
          <w:strike/>
        </w:rPr>
        <w:t>Úřad práce je účetní jednotkou.</w:t>
      </w:r>
    </w:p>
    <w:p w14:paraId="7959EC2D" w14:textId="77777777" w:rsidR="00B864F9" w:rsidRDefault="00B864F9" w:rsidP="00F5058F">
      <w:pPr>
        <w:pStyle w:val="Textparagrafu"/>
        <w:numPr>
          <w:ilvl w:val="0"/>
          <w:numId w:val="27"/>
        </w:numPr>
        <w:tabs>
          <w:tab w:val="left" w:pos="392"/>
          <w:tab w:val="left" w:pos="840"/>
        </w:tabs>
        <w:spacing w:before="120" w:after="120"/>
        <w:ind w:firstLine="425"/>
      </w:pPr>
      <w:r w:rsidRPr="00FD11DF">
        <w:t>(2)</w:t>
      </w:r>
      <w:r>
        <w:t xml:space="preserve"> </w:t>
      </w:r>
      <w:r w:rsidRPr="00FD11DF">
        <w:t>Sídlem</w:t>
      </w:r>
      <w:r>
        <w:t xml:space="preserve"> </w:t>
      </w:r>
      <w:r w:rsidRPr="00FD11DF">
        <w:t>Úřadu</w:t>
      </w:r>
      <w:r>
        <w:t xml:space="preserve"> </w:t>
      </w:r>
      <w:r w:rsidRPr="00FD11DF">
        <w:t>práce</w:t>
      </w:r>
      <w:r>
        <w:t xml:space="preserve"> </w:t>
      </w:r>
      <w:r w:rsidRPr="00FD11DF">
        <w:t>je</w:t>
      </w:r>
      <w:r>
        <w:t xml:space="preserve"> </w:t>
      </w:r>
      <w:r w:rsidRPr="00FD11DF">
        <w:t>Praha.</w:t>
      </w:r>
    </w:p>
    <w:p w14:paraId="09C6613A" w14:textId="77777777" w:rsidR="00B864F9" w:rsidRPr="00FD11DF" w:rsidRDefault="00B864F9" w:rsidP="00F5058F">
      <w:pPr>
        <w:pStyle w:val="Textparagrafu"/>
        <w:numPr>
          <w:ilvl w:val="0"/>
          <w:numId w:val="27"/>
        </w:numPr>
        <w:tabs>
          <w:tab w:val="left" w:pos="392"/>
          <w:tab w:val="left" w:pos="840"/>
        </w:tabs>
        <w:spacing w:before="120" w:after="120"/>
        <w:ind w:firstLine="425"/>
      </w:pPr>
      <w:r w:rsidRPr="00FD11DF">
        <w:t>(3)</w:t>
      </w:r>
      <w:r>
        <w:t xml:space="preserve"> </w:t>
      </w:r>
      <w:r w:rsidRPr="00FD11DF">
        <w:t>Ministerstvo</w:t>
      </w:r>
      <w:r>
        <w:t xml:space="preserve"> </w:t>
      </w:r>
      <w:r w:rsidRPr="00FD11DF">
        <w:t>práce</w:t>
      </w:r>
      <w:r>
        <w:t xml:space="preserve"> </w:t>
      </w:r>
      <w:r w:rsidRPr="00FD11DF">
        <w:t>a</w:t>
      </w:r>
      <w:r>
        <w:t xml:space="preserve"> </w:t>
      </w:r>
      <w:r w:rsidRPr="00FD11DF">
        <w:t>sociálních</w:t>
      </w:r>
      <w:r>
        <w:t xml:space="preserve"> </w:t>
      </w:r>
      <w:r w:rsidRPr="00FD11DF">
        <w:t>věcí</w:t>
      </w:r>
      <w:r>
        <w:t xml:space="preserve"> </w:t>
      </w:r>
      <w:r w:rsidRPr="00FD11DF">
        <w:t>(dále</w:t>
      </w:r>
      <w:r>
        <w:t xml:space="preserve"> </w:t>
      </w:r>
      <w:r w:rsidRPr="00FD11DF">
        <w:t>jen</w:t>
      </w:r>
      <w:r>
        <w:t xml:space="preserve"> </w:t>
      </w:r>
      <w:r w:rsidRPr="00FD11DF">
        <w:t>„ministerstvo“)</w:t>
      </w:r>
      <w:r>
        <w:t xml:space="preserve"> </w:t>
      </w:r>
      <w:r w:rsidRPr="00FD11DF">
        <w:t>řídí</w:t>
      </w:r>
      <w:r>
        <w:t xml:space="preserve"> </w:t>
      </w:r>
      <w:r w:rsidRPr="00FD11DF">
        <w:t>Úřad</w:t>
      </w:r>
      <w:r>
        <w:t xml:space="preserve"> </w:t>
      </w:r>
      <w:r w:rsidRPr="00FD11DF">
        <w:t>práce</w:t>
      </w:r>
      <w:r>
        <w:t xml:space="preserve"> </w:t>
      </w:r>
      <w:r w:rsidRPr="00FD11DF">
        <w:t>a</w:t>
      </w:r>
      <w:r>
        <w:t xml:space="preserve"> </w:t>
      </w:r>
      <w:r w:rsidRPr="00FD11DF">
        <w:t>je</w:t>
      </w:r>
      <w:r>
        <w:t xml:space="preserve"> </w:t>
      </w:r>
      <w:r w:rsidRPr="00FD11DF">
        <w:t>jeho</w:t>
      </w:r>
      <w:r>
        <w:t xml:space="preserve"> </w:t>
      </w:r>
      <w:r w:rsidRPr="00FD11DF">
        <w:t>nadřízeným</w:t>
      </w:r>
      <w:r>
        <w:t xml:space="preserve"> </w:t>
      </w:r>
      <w:r w:rsidRPr="00FD11DF">
        <w:t>správním</w:t>
      </w:r>
      <w:r>
        <w:t xml:space="preserve"> </w:t>
      </w:r>
      <w:r w:rsidRPr="00FD11DF">
        <w:t>úřadem.</w:t>
      </w:r>
    </w:p>
    <w:p w14:paraId="6294CC33" w14:textId="77777777" w:rsidR="00881B66" w:rsidRDefault="00881B66" w:rsidP="00881B66">
      <w:pPr>
        <w:pStyle w:val="Textparagrafu"/>
        <w:numPr>
          <w:ilvl w:val="0"/>
          <w:numId w:val="27"/>
        </w:numPr>
        <w:tabs>
          <w:tab w:val="left" w:pos="392"/>
          <w:tab w:val="left" w:pos="840"/>
        </w:tabs>
        <w:spacing w:after="120"/>
        <w:jc w:val="center"/>
      </w:pPr>
    </w:p>
    <w:p w14:paraId="5BB86BC8" w14:textId="77777777" w:rsidR="00CD2724" w:rsidRDefault="00CD2724" w:rsidP="00881B66">
      <w:pPr>
        <w:tabs>
          <w:tab w:val="left" w:pos="851"/>
        </w:tabs>
        <w:spacing w:before="120" w:after="120"/>
        <w:ind w:firstLine="0"/>
        <w:outlineLvl w:val="0"/>
        <w:sectPr w:rsidR="00CD2724" w:rsidSect="00554E2B">
          <w:footnotePr>
            <w:numStart w:val="3"/>
          </w:footnotePr>
          <w:endnotePr>
            <w:numFmt w:val="decimal"/>
          </w:endnotePr>
          <w:pgSz w:w="11906" w:h="16838"/>
          <w:pgMar w:top="1418" w:right="1418" w:bottom="1418" w:left="1418" w:header="709" w:footer="709" w:gutter="0"/>
          <w:cols w:space="708"/>
          <w:docGrid w:linePitch="360"/>
        </w:sectPr>
      </w:pPr>
    </w:p>
    <w:p w14:paraId="62909F90" w14:textId="3E667A46" w:rsidR="00CD2724" w:rsidRPr="001702C9" w:rsidRDefault="00CD2724" w:rsidP="00F5058F">
      <w:pPr>
        <w:tabs>
          <w:tab w:val="left" w:pos="851"/>
        </w:tabs>
        <w:spacing w:before="120" w:after="120"/>
        <w:ind w:firstLine="0"/>
        <w:jc w:val="center"/>
        <w:outlineLvl w:val="0"/>
        <w:rPr>
          <w:szCs w:val="24"/>
        </w:rPr>
      </w:pPr>
      <w:r w:rsidRPr="001702C9">
        <w:rPr>
          <w:b/>
          <w:szCs w:val="24"/>
        </w:rPr>
        <w:lastRenderedPageBreak/>
        <w:t xml:space="preserve">K části sté </w:t>
      </w:r>
      <w:r w:rsidR="00037791">
        <w:rPr>
          <w:b/>
          <w:szCs w:val="24"/>
        </w:rPr>
        <w:t>šesté</w:t>
      </w:r>
      <w:r w:rsidRPr="001702C9">
        <w:rPr>
          <w:b/>
          <w:szCs w:val="24"/>
        </w:rPr>
        <w:t xml:space="preserve"> návrhu zákona – </w:t>
      </w:r>
      <w:r w:rsidRPr="001702C9">
        <w:rPr>
          <w:szCs w:val="24"/>
        </w:rPr>
        <w:t>změna zákona o Generální inspekci bezpečnostních sborů a o změně souvisejících zákonů</w:t>
      </w:r>
    </w:p>
    <w:p w14:paraId="614648FA" w14:textId="663CB155" w:rsidR="00CD2724" w:rsidRPr="001702C9" w:rsidRDefault="00CD2724" w:rsidP="00CD2724">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1702C9">
        <w:rPr>
          <w:b/>
          <w:szCs w:val="24"/>
        </w:rPr>
        <w:t>Platné znění</w:t>
      </w:r>
      <w:r w:rsidRPr="001702C9">
        <w:rPr>
          <w:szCs w:val="24"/>
        </w:rPr>
        <w:t xml:space="preserve"> zákona č. 341/2011 Sb., o Generální inspekci bezpečnostních sborů a o změně souvisejících zákonů</w:t>
      </w:r>
    </w:p>
    <w:p w14:paraId="20BE17AF" w14:textId="77777777" w:rsidR="00F5058F" w:rsidRPr="00607B4B" w:rsidRDefault="00F5058F" w:rsidP="00F5058F">
      <w:pPr>
        <w:pStyle w:val="Odstavecseseznamem"/>
        <w:numPr>
          <w:ilvl w:val="0"/>
          <w:numId w:val="27"/>
        </w:numPr>
        <w:pBdr>
          <w:top w:val="single" w:sz="12" w:space="6" w:color="auto"/>
          <w:left w:val="single" w:sz="12" w:space="0" w:color="auto"/>
          <w:bottom w:val="single" w:sz="12" w:space="6" w:color="auto"/>
          <w:right w:val="single" w:sz="12" w:space="0" w:color="auto"/>
        </w:pBdr>
        <w:spacing w:after="120"/>
        <w:jc w:val="center"/>
        <w:rPr>
          <w:b/>
          <w:szCs w:val="24"/>
          <w:lang w:eastAsia="en-US"/>
        </w:rPr>
      </w:pPr>
      <w:r w:rsidRPr="00607B4B">
        <w:rPr>
          <w:b/>
          <w:szCs w:val="24"/>
          <w:lang w:eastAsia="en-US"/>
        </w:rPr>
        <w:t>s vyznačením navrhovaných změn a doplnění k 1. lednu 2025</w:t>
      </w:r>
    </w:p>
    <w:p w14:paraId="017996A9" w14:textId="77777777" w:rsidR="00D85A83" w:rsidRDefault="00D85A83" w:rsidP="00C278F9">
      <w:pPr>
        <w:pStyle w:val="Textparagrafu"/>
        <w:numPr>
          <w:ilvl w:val="0"/>
          <w:numId w:val="27"/>
        </w:numPr>
        <w:tabs>
          <w:tab w:val="left" w:pos="392"/>
          <w:tab w:val="left" w:pos="840"/>
        </w:tabs>
        <w:spacing w:after="120"/>
        <w:jc w:val="center"/>
      </w:pPr>
      <w:r>
        <w:t>§ 1</w:t>
      </w:r>
    </w:p>
    <w:p w14:paraId="30957669" w14:textId="293A73E6" w:rsidR="00D85A83" w:rsidRDefault="00C278F9" w:rsidP="00F5058F">
      <w:pPr>
        <w:pStyle w:val="Textparagrafu"/>
        <w:numPr>
          <w:ilvl w:val="0"/>
          <w:numId w:val="27"/>
        </w:numPr>
        <w:tabs>
          <w:tab w:val="left" w:pos="392"/>
          <w:tab w:val="left" w:pos="840"/>
        </w:tabs>
        <w:spacing w:before="120" w:after="120"/>
        <w:ind w:firstLine="425"/>
      </w:pPr>
      <w:r>
        <w:t xml:space="preserve">(1) </w:t>
      </w:r>
      <w:r w:rsidR="00D85A83">
        <w:t>Zřizuje se Generální inspekce bezpečnostních sborů (dále jen „inspekce“), která je ozbrojeným bezpečnostním sborem.</w:t>
      </w:r>
    </w:p>
    <w:p w14:paraId="70EC69A4" w14:textId="36886293" w:rsidR="00D85A83" w:rsidRDefault="00C278F9" w:rsidP="00F5058F">
      <w:pPr>
        <w:pStyle w:val="Textparagrafu"/>
        <w:numPr>
          <w:ilvl w:val="0"/>
          <w:numId w:val="27"/>
        </w:numPr>
        <w:tabs>
          <w:tab w:val="left" w:pos="392"/>
          <w:tab w:val="left" w:pos="840"/>
        </w:tabs>
        <w:spacing w:before="120" w:after="120"/>
        <w:ind w:firstLine="425"/>
      </w:pPr>
      <w:r>
        <w:t xml:space="preserve">(2) </w:t>
      </w:r>
      <w:r w:rsidR="00D85A83">
        <w:t>V čele inspekce stojí ředitel inspekce (dále jen „ředit</w:t>
      </w:r>
      <w:r w:rsidR="001702C9">
        <w:t>el“), kterého jmenuje a odvolává</w:t>
      </w:r>
      <w:r w:rsidR="001702C9" w:rsidRPr="00C278F9">
        <w:rPr>
          <w:vertAlign w:val="superscript"/>
        </w:rPr>
        <w:footnoteReference w:customMarkFollows="1" w:id="532"/>
        <w:t>1)</w:t>
      </w:r>
      <w:r w:rsidR="00D85A83">
        <w:t xml:space="preserve"> na návrh vlády a po projednání ve výboru Poslanecké sněmovny příslušném ve věcech bezpečnosti předseda vlády, jemuž je ředitel z výkonu své funkce odpovědný.</w:t>
      </w:r>
    </w:p>
    <w:p w14:paraId="389DB991" w14:textId="73239141" w:rsidR="00D85A83" w:rsidRDefault="00C278F9" w:rsidP="00F5058F">
      <w:pPr>
        <w:pStyle w:val="Textparagrafu"/>
        <w:numPr>
          <w:ilvl w:val="0"/>
          <w:numId w:val="27"/>
        </w:numPr>
        <w:tabs>
          <w:tab w:val="left" w:pos="392"/>
          <w:tab w:val="left" w:pos="840"/>
        </w:tabs>
        <w:spacing w:before="120" w:after="120"/>
        <w:ind w:firstLine="425"/>
      </w:pPr>
      <w:r>
        <w:t xml:space="preserve">(3) </w:t>
      </w:r>
      <w:r w:rsidR="00D85A83">
        <w:t>Úkoly inspekce plní příslušníci inspekce vykonávající v inspekci službu podle zákona upravujícího služební poměr příslušníků bezpečnostních sborů</w:t>
      </w:r>
      <w:r w:rsidR="00D85A83" w:rsidRPr="00C278F9">
        <w:t>1)</w:t>
      </w:r>
      <w:r w:rsidR="00D85A83">
        <w:t>.</w:t>
      </w:r>
    </w:p>
    <w:p w14:paraId="3BCBCB10" w14:textId="490D3C83" w:rsidR="0022762B" w:rsidRDefault="00C278F9" w:rsidP="00F5058F">
      <w:pPr>
        <w:pStyle w:val="Textparagrafu"/>
        <w:numPr>
          <w:ilvl w:val="0"/>
          <w:numId w:val="27"/>
        </w:numPr>
        <w:tabs>
          <w:tab w:val="left" w:pos="392"/>
          <w:tab w:val="left" w:pos="840"/>
        </w:tabs>
        <w:spacing w:before="120" w:after="120"/>
        <w:ind w:firstLine="425"/>
      </w:pPr>
      <w:r>
        <w:t xml:space="preserve">(4) </w:t>
      </w:r>
      <w:r w:rsidR="00D85A83" w:rsidRPr="007F2287">
        <w:t xml:space="preserve">Inspekce je organizační složkou </w:t>
      </w:r>
      <w:r w:rsidR="00D85A83" w:rsidRPr="00D85A83">
        <w:t xml:space="preserve">státu </w:t>
      </w:r>
      <w:r w:rsidR="00D85A83" w:rsidRPr="00773B3F">
        <w:rPr>
          <w:strike/>
        </w:rPr>
        <w:t>a účetní jednotkou</w:t>
      </w:r>
      <w:r w:rsidR="00D85A83" w:rsidRPr="00D85A83">
        <w:t xml:space="preserve">. Její </w:t>
      </w:r>
      <w:r w:rsidR="00D85A83" w:rsidRPr="007F2287">
        <w:t xml:space="preserve">příjmy a výdaje tvoří </w:t>
      </w:r>
      <w:r w:rsidR="00D85A83">
        <w:t>samostatnou kapitolu státního rozpočtu. Ředitel plní funkci vedoucího organizační složky státu.</w:t>
      </w:r>
    </w:p>
    <w:p w14:paraId="629C35FC" w14:textId="1DCFE73B" w:rsidR="00C20D46" w:rsidRDefault="00C20D46" w:rsidP="00881B66">
      <w:pPr>
        <w:tabs>
          <w:tab w:val="left" w:pos="851"/>
        </w:tabs>
        <w:spacing w:before="120" w:after="120"/>
        <w:ind w:firstLine="0"/>
        <w:outlineLvl w:val="0"/>
      </w:pPr>
    </w:p>
    <w:p w14:paraId="11243182" w14:textId="77777777" w:rsidR="00C20D46" w:rsidRDefault="00C20D46" w:rsidP="00881B66">
      <w:pPr>
        <w:tabs>
          <w:tab w:val="left" w:pos="851"/>
        </w:tabs>
        <w:spacing w:before="120" w:after="120"/>
        <w:ind w:firstLine="0"/>
        <w:outlineLvl w:val="0"/>
        <w:sectPr w:rsidR="00C20D46" w:rsidSect="00554E2B">
          <w:footnotePr>
            <w:numStart w:val="3"/>
          </w:footnotePr>
          <w:endnotePr>
            <w:numFmt w:val="decimal"/>
          </w:endnotePr>
          <w:pgSz w:w="11906" w:h="16838"/>
          <w:pgMar w:top="1418" w:right="1418" w:bottom="1418" w:left="1418" w:header="709" w:footer="709" w:gutter="0"/>
          <w:cols w:space="708"/>
          <w:docGrid w:linePitch="360"/>
        </w:sectPr>
      </w:pPr>
    </w:p>
    <w:p w14:paraId="348BFD47" w14:textId="1ECD3E4C" w:rsidR="00C20D46" w:rsidRPr="005E17B3" w:rsidRDefault="00C20D46" w:rsidP="00F5058F">
      <w:pPr>
        <w:tabs>
          <w:tab w:val="left" w:pos="851"/>
        </w:tabs>
        <w:spacing w:before="120" w:after="120"/>
        <w:ind w:firstLine="0"/>
        <w:jc w:val="center"/>
        <w:outlineLvl w:val="0"/>
        <w:rPr>
          <w:szCs w:val="24"/>
        </w:rPr>
      </w:pPr>
      <w:r w:rsidRPr="005E17B3">
        <w:rPr>
          <w:b/>
          <w:szCs w:val="24"/>
        </w:rPr>
        <w:lastRenderedPageBreak/>
        <w:t>K části sté</w:t>
      </w:r>
      <w:r w:rsidR="00037791">
        <w:rPr>
          <w:b/>
          <w:szCs w:val="24"/>
        </w:rPr>
        <w:t xml:space="preserve"> sedmé</w:t>
      </w:r>
      <w:r w:rsidRPr="005E17B3">
        <w:rPr>
          <w:b/>
          <w:szCs w:val="24"/>
        </w:rPr>
        <w:t xml:space="preserve"> návrhu zákona – </w:t>
      </w:r>
      <w:r w:rsidRPr="005E17B3">
        <w:rPr>
          <w:szCs w:val="24"/>
        </w:rPr>
        <w:t xml:space="preserve">změna zákona </w:t>
      </w:r>
      <w:r w:rsidR="00F5058F">
        <w:rPr>
          <w:szCs w:val="24"/>
        </w:rPr>
        <w:t>o zdravotních službách</w:t>
      </w:r>
    </w:p>
    <w:p w14:paraId="79805758" w14:textId="4B7FB290" w:rsidR="00C20D46" w:rsidRPr="005E17B3" w:rsidRDefault="00C20D46" w:rsidP="005E17B3">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5E17B3">
        <w:rPr>
          <w:b/>
          <w:szCs w:val="24"/>
        </w:rPr>
        <w:t>Platné znění</w:t>
      </w:r>
      <w:r w:rsidRPr="005E17B3">
        <w:rPr>
          <w:szCs w:val="24"/>
        </w:rPr>
        <w:t xml:space="preserve"> zákona č. 372/2011 Sb., </w:t>
      </w:r>
      <w:r w:rsidR="005E17B3" w:rsidRPr="005E17B3">
        <w:rPr>
          <w:szCs w:val="24"/>
        </w:rPr>
        <w:t>o zdravotních službách a podmínkách jejich poskytování (zákon o zdravotních službách)</w:t>
      </w:r>
    </w:p>
    <w:p w14:paraId="35CD2100" w14:textId="77777777" w:rsidR="00F5058F" w:rsidRPr="00607B4B" w:rsidRDefault="00F5058F" w:rsidP="00F5058F">
      <w:pPr>
        <w:pStyle w:val="Odstavecseseznamem"/>
        <w:numPr>
          <w:ilvl w:val="0"/>
          <w:numId w:val="27"/>
        </w:numPr>
        <w:pBdr>
          <w:top w:val="single" w:sz="12" w:space="6" w:color="auto"/>
          <w:left w:val="single" w:sz="12" w:space="0" w:color="auto"/>
          <w:bottom w:val="single" w:sz="12" w:space="6" w:color="auto"/>
          <w:right w:val="single" w:sz="12" w:space="0" w:color="auto"/>
        </w:pBdr>
        <w:spacing w:after="120"/>
        <w:jc w:val="center"/>
        <w:rPr>
          <w:b/>
          <w:szCs w:val="24"/>
          <w:lang w:eastAsia="en-US"/>
        </w:rPr>
      </w:pPr>
      <w:r w:rsidRPr="00607B4B">
        <w:rPr>
          <w:b/>
          <w:szCs w:val="24"/>
          <w:lang w:eastAsia="en-US"/>
        </w:rPr>
        <w:t>s vyznačením navrhovaných změn a doplnění k 1. lednu 2025</w:t>
      </w:r>
    </w:p>
    <w:p w14:paraId="1499A325" w14:textId="77777777" w:rsidR="00C20D46" w:rsidRPr="005E17B3" w:rsidRDefault="00C20D46" w:rsidP="00C20D46">
      <w:pPr>
        <w:pStyle w:val="Textparagrafu"/>
        <w:numPr>
          <w:ilvl w:val="0"/>
          <w:numId w:val="27"/>
        </w:numPr>
        <w:tabs>
          <w:tab w:val="left" w:pos="392"/>
          <w:tab w:val="left" w:pos="840"/>
        </w:tabs>
        <w:spacing w:after="120"/>
        <w:jc w:val="center"/>
      </w:pPr>
      <w:r w:rsidRPr="005E17B3">
        <w:t>***</w:t>
      </w:r>
    </w:p>
    <w:p w14:paraId="188E752B" w14:textId="3CB351D6" w:rsidR="00DA3707" w:rsidRDefault="00DA3707" w:rsidP="00DA3707">
      <w:pPr>
        <w:pStyle w:val="Textparagrafu"/>
        <w:numPr>
          <w:ilvl w:val="0"/>
          <w:numId w:val="27"/>
        </w:numPr>
        <w:tabs>
          <w:tab w:val="left" w:pos="392"/>
          <w:tab w:val="left" w:pos="840"/>
        </w:tabs>
        <w:spacing w:after="120"/>
        <w:jc w:val="center"/>
      </w:pPr>
      <w:r w:rsidRPr="0073736D">
        <w:t>§</w:t>
      </w:r>
      <w:r>
        <w:t xml:space="preserve"> </w:t>
      </w:r>
      <w:r w:rsidRPr="0073736D">
        <w:t>113f</w:t>
      </w:r>
    </w:p>
    <w:p w14:paraId="2C31A68C" w14:textId="77777777" w:rsidR="00DA3707" w:rsidRDefault="00DA3707" w:rsidP="00F5058F">
      <w:pPr>
        <w:pStyle w:val="Textparagrafu"/>
        <w:numPr>
          <w:ilvl w:val="0"/>
          <w:numId w:val="27"/>
        </w:numPr>
        <w:tabs>
          <w:tab w:val="left" w:pos="392"/>
          <w:tab w:val="left" w:pos="840"/>
        </w:tabs>
        <w:spacing w:before="120" w:after="120"/>
        <w:ind w:firstLine="425"/>
      </w:pPr>
      <w:r w:rsidRPr="0073736D">
        <w:t>(1)</w:t>
      </w:r>
      <w:r>
        <w:t xml:space="preserve"> </w:t>
      </w:r>
      <w:r w:rsidRPr="0073736D">
        <w:t>Pacientskou</w:t>
      </w:r>
      <w:r>
        <w:t xml:space="preserve"> </w:t>
      </w:r>
      <w:r w:rsidRPr="0073736D">
        <w:t>organizací</w:t>
      </w:r>
      <w:r>
        <w:t xml:space="preserve"> </w:t>
      </w:r>
      <w:r w:rsidRPr="0073736D">
        <w:t>se</w:t>
      </w:r>
      <w:r>
        <w:t xml:space="preserve"> </w:t>
      </w:r>
      <w:r w:rsidRPr="0073736D">
        <w:t>rozumí</w:t>
      </w:r>
      <w:r>
        <w:t xml:space="preserve"> </w:t>
      </w:r>
      <w:r w:rsidRPr="0073736D">
        <w:t>zapsaný</w:t>
      </w:r>
      <w:r>
        <w:t xml:space="preserve"> </w:t>
      </w:r>
      <w:r w:rsidRPr="0073736D">
        <w:t>spolek,</w:t>
      </w:r>
      <w:r>
        <w:t xml:space="preserve"> </w:t>
      </w:r>
      <w:r w:rsidRPr="0073736D">
        <w:t>jehož</w:t>
      </w:r>
      <w:r>
        <w:t xml:space="preserve"> </w:t>
      </w:r>
      <w:r w:rsidRPr="0073736D">
        <w:t>hlavní</w:t>
      </w:r>
      <w:r>
        <w:t xml:space="preserve"> </w:t>
      </w:r>
      <w:r w:rsidRPr="0073736D">
        <w:t>činnost</w:t>
      </w:r>
      <w:r>
        <w:t xml:space="preserve"> </w:t>
      </w:r>
      <w:r w:rsidRPr="0073736D">
        <w:t>spočívá</w:t>
      </w:r>
      <w:r>
        <w:t xml:space="preserve"> </w:t>
      </w:r>
      <w:r w:rsidRPr="0073736D">
        <w:t>v</w:t>
      </w:r>
      <w:r>
        <w:t xml:space="preserve"> </w:t>
      </w:r>
      <w:r w:rsidRPr="0073736D">
        <w:t>pomoci</w:t>
      </w:r>
      <w:r>
        <w:t xml:space="preserve"> </w:t>
      </w:r>
      <w:r w:rsidRPr="0073736D">
        <w:t>pacientům</w:t>
      </w:r>
      <w:r>
        <w:t xml:space="preserve"> </w:t>
      </w:r>
      <w:r w:rsidRPr="0073736D">
        <w:t>a</w:t>
      </w:r>
      <w:r>
        <w:t xml:space="preserve"> </w:t>
      </w:r>
      <w:r w:rsidRPr="0073736D">
        <w:t>ochraně</w:t>
      </w:r>
      <w:r>
        <w:t xml:space="preserve"> </w:t>
      </w:r>
      <w:r w:rsidRPr="0073736D">
        <w:t>jejich</w:t>
      </w:r>
      <w:r>
        <w:t xml:space="preserve"> </w:t>
      </w:r>
      <w:r w:rsidRPr="0073736D">
        <w:t>práv</w:t>
      </w:r>
      <w:r>
        <w:t xml:space="preserve"> </w:t>
      </w:r>
      <w:r w:rsidRPr="0073736D">
        <w:t>a</w:t>
      </w:r>
      <w:r>
        <w:t xml:space="preserve"> </w:t>
      </w:r>
      <w:r w:rsidRPr="0073736D">
        <w:t>zájmů</w:t>
      </w:r>
      <w:r>
        <w:t xml:space="preserve"> </w:t>
      </w:r>
      <w:r w:rsidRPr="0073736D">
        <w:t>a</w:t>
      </w:r>
      <w:r>
        <w:t xml:space="preserve"> </w:t>
      </w:r>
      <w:r w:rsidRPr="0073736D">
        <w:t>jehož</w:t>
      </w:r>
      <w:r>
        <w:t xml:space="preserve"> </w:t>
      </w:r>
      <w:r w:rsidRPr="0073736D">
        <w:t>členy</w:t>
      </w:r>
      <w:r>
        <w:t xml:space="preserve"> </w:t>
      </w:r>
      <w:r w:rsidRPr="0073736D">
        <w:t>jsou</w:t>
      </w:r>
      <w:r>
        <w:t xml:space="preserve"> </w:t>
      </w:r>
      <w:r w:rsidRPr="0073736D">
        <w:t>zpravidla</w:t>
      </w:r>
      <w:r>
        <w:t xml:space="preserve"> </w:t>
      </w:r>
      <w:r w:rsidRPr="0073736D">
        <w:t>osoby</w:t>
      </w:r>
      <w:r>
        <w:t xml:space="preserve"> </w:t>
      </w:r>
      <w:r w:rsidRPr="0073736D">
        <w:t>s</w:t>
      </w:r>
      <w:r>
        <w:t xml:space="preserve"> </w:t>
      </w:r>
      <w:r w:rsidRPr="0073736D">
        <w:t>určitým</w:t>
      </w:r>
      <w:r>
        <w:t xml:space="preserve"> </w:t>
      </w:r>
      <w:r w:rsidRPr="0073736D">
        <w:t>onemocněním</w:t>
      </w:r>
      <w:r>
        <w:t xml:space="preserve"> </w:t>
      </w:r>
      <w:r w:rsidRPr="0073736D">
        <w:t>nebo</w:t>
      </w:r>
      <w:r>
        <w:t xml:space="preserve"> </w:t>
      </w:r>
      <w:r w:rsidRPr="0073736D">
        <w:t>zdravotním</w:t>
      </w:r>
      <w:r>
        <w:t xml:space="preserve"> </w:t>
      </w:r>
      <w:r w:rsidRPr="0073736D">
        <w:t>postižením,</w:t>
      </w:r>
      <w:r>
        <w:t xml:space="preserve"> </w:t>
      </w:r>
      <w:r w:rsidRPr="0073736D">
        <w:t>jejich</w:t>
      </w:r>
      <w:r>
        <w:t xml:space="preserve"> </w:t>
      </w:r>
      <w:r w:rsidRPr="0073736D">
        <w:t>osoby</w:t>
      </w:r>
      <w:r>
        <w:t xml:space="preserve"> </w:t>
      </w:r>
      <w:r w:rsidRPr="0073736D">
        <w:t>blízké</w:t>
      </w:r>
      <w:r>
        <w:t xml:space="preserve"> </w:t>
      </w:r>
      <w:r w:rsidRPr="0073736D">
        <w:t>nebo</w:t>
      </w:r>
      <w:r>
        <w:t xml:space="preserve"> </w:t>
      </w:r>
      <w:r w:rsidRPr="0073736D">
        <w:t>jejich</w:t>
      </w:r>
      <w:r>
        <w:t xml:space="preserve"> </w:t>
      </w:r>
      <w:r w:rsidRPr="0073736D">
        <w:t>zástupci</w:t>
      </w:r>
      <w:r>
        <w:t xml:space="preserve"> </w:t>
      </w:r>
      <w:r w:rsidRPr="0073736D">
        <w:t>podle</w:t>
      </w:r>
      <w:r>
        <w:t xml:space="preserve"> </w:t>
      </w:r>
      <w:r w:rsidRPr="0073736D">
        <w:t>občanského</w:t>
      </w:r>
      <w:r>
        <w:t xml:space="preserve"> </w:t>
      </w:r>
      <w:r w:rsidRPr="0073736D">
        <w:t>zákoníku,</w:t>
      </w:r>
      <w:r>
        <w:t xml:space="preserve"> </w:t>
      </w:r>
      <w:r w:rsidRPr="0073736D">
        <w:t>přičemž</w:t>
      </w:r>
      <w:r>
        <w:t xml:space="preserve"> </w:t>
      </w:r>
      <w:r w:rsidRPr="0073736D">
        <w:t>tyto</w:t>
      </w:r>
      <w:r>
        <w:t xml:space="preserve"> </w:t>
      </w:r>
      <w:r w:rsidRPr="0073736D">
        <w:t>osoby</w:t>
      </w:r>
      <w:r>
        <w:t xml:space="preserve"> </w:t>
      </w:r>
      <w:r w:rsidRPr="0073736D">
        <w:t>mají</w:t>
      </w:r>
      <w:r>
        <w:t xml:space="preserve"> </w:t>
      </w:r>
      <w:r w:rsidRPr="0073736D">
        <w:t>rozhodující</w:t>
      </w:r>
      <w:r>
        <w:t xml:space="preserve"> </w:t>
      </w:r>
      <w:r w:rsidRPr="0073736D">
        <w:t>vliv</w:t>
      </w:r>
      <w:r>
        <w:t xml:space="preserve"> </w:t>
      </w:r>
      <w:r w:rsidRPr="0073736D">
        <w:t>na</w:t>
      </w:r>
      <w:r>
        <w:t xml:space="preserve"> </w:t>
      </w:r>
      <w:r w:rsidRPr="0073736D">
        <w:t>jeho</w:t>
      </w:r>
      <w:r>
        <w:t xml:space="preserve"> </w:t>
      </w:r>
      <w:r w:rsidRPr="0073736D">
        <w:t>řízení.</w:t>
      </w:r>
      <w:r>
        <w:t xml:space="preserve"> </w:t>
      </w:r>
      <w:r w:rsidRPr="0073736D">
        <w:t>Pacientskou</w:t>
      </w:r>
      <w:r>
        <w:t xml:space="preserve"> </w:t>
      </w:r>
      <w:r w:rsidRPr="0073736D">
        <w:t>organizací</w:t>
      </w:r>
      <w:r>
        <w:t xml:space="preserve"> </w:t>
      </w:r>
      <w:r w:rsidRPr="0073736D">
        <w:t>se</w:t>
      </w:r>
      <w:r>
        <w:t xml:space="preserve"> </w:t>
      </w:r>
      <w:r w:rsidRPr="0073736D">
        <w:t>rozumí</w:t>
      </w:r>
      <w:r>
        <w:t xml:space="preserve"> </w:t>
      </w:r>
      <w:r w:rsidRPr="0073736D">
        <w:t>též</w:t>
      </w:r>
      <w:r>
        <w:t xml:space="preserve"> </w:t>
      </w:r>
      <w:r w:rsidRPr="0073736D">
        <w:t>spolek,</w:t>
      </w:r>
      <w:r>
        <w:t xml:space="preserve"> </w:t>
      </w:r>
      <w:r w:rsidRPr="0073736D">
        <w:t>jehož</w:t>
      </w:r>
      <w:r>
        <w:t xml:space="preserve"> </w:t>
      </w:r>
      <w:r w:rsidRPr="0073736D">
        <w:t>členy</w:t>
      </w:r>
      <w:r>
        <w:t xml:space="preserve"> </w:t>
      </w:r>
      <w:r w:rsidRPr="0073736D">
        <w:t>jsou</w:t>
      </w:r>
      <w:r>
        <w:t xml:space="preserve"> </w:t>
      </w:r>
      <w:r w:rsidRPr="0073736D">
        <w:t>spolky,</w:t>
      </w:r>
      <w:r>
        <w:t xml:space="preserve"> </w:t>
      </w:r>
      <w:r w:rsidRPr="0073736D">
        <w:t>které</w:t>
      </w:r>
      <w:r>
        <w:t xml:space="preserve"> </w:t>
      </w:r>
      <w:r w:rsidRPr="0073736D">
        <w:t>splňují</w:t>
      </w:r>
      <w:r>
        <w:t xml:space="preserve"> </w:t>
      </w:r>
      <w:r w:rsidRPr="0073736D">
        <w:t>podmínky</w:t>
      </w:r>
      <w:r>
        <w:t xml:space="preserve"> </w:t>
      </w:r>
      <w:r w:rsidRPr="0073736D">
        <w:t>podle</w:t>
      </w:r>
      <w:r>
        <w:t xml:space="preserve"> </w:t>
      </w:r>
      <w:r w:rsidRPr="0073736D">
        <w:t>věty</w:t>
      </w:r>
      <w:r>
        <w:t xml:space="preserve"> </w:t>
      </w:r>
      <w:r w:rsidRPr="0073736D">
        <w:t>první</w:t>
      </w:r>
      <w:r>
        <w:t xml:space="preserve"> </w:t>
      </w:r>
      <w:r w:rsidRPr="0073736D">
        <w:t>a</w:t>
      </w:r>
      <w:r>
        <w:t xml:space="preserve"> </w:t>
      </w:r>
      <w:r w:rsidRPr="0073736D">
        <w:t>které</w:t>
      </w:r>
      <w:r>
        <w:t xml:space="preserve"> </w:t>
      </w:r>
      <w:r w:rsidRPr="0073736D">
        <w:t>volí</w:t>
      </w:r>
      <w:r>
        <w:t xml:space="preserve"> </w:t>
      </w:r>
      <w:r w:rsidRPr="0073736D">
        <w:t>členy</w:t>
      </w:r>
      <w:r>
        <w:t xml:space="preserve"> </w:t>
      </w:r>
      <w:r w:rsidRPr="0073736D">
        <w:t>jeho</w:t>
      </w:r>
      <w:r>
        <w:t xml:space="preserve"> </w:t>
      </w:r>
      <w:r w:rsidRPr="0073736D">
        <w:t>statutárního</w:t>
      </w:r>
      <w:r>
        <w:t xml:space="preserve"> </w:t>
      </w:r>
      <w:r w:rsidRPr="0073736D">
        <w:t>orgánu.</w:t>
      </w:r>
    </w:p>
    <w:p w14:paraId="07CF1DFB" w14:textId="77777777" w:rsidR="00DA3707" w:rsidRDefault="00DA3707" w:rsidP="00F5058F">
      <w:pPr>
        <w:pStyle w:val="Textparagrafu"/>
        <w:numPr>
          <w:ilvl w:val="0"/>
          <w:numId w:val="27"/>
        </w:numPr>
        <w:tabs>
          <w:tab w:val="left" w:pos="392"/>
          <w:tab w:val="left" w:pos="840"/>
        </w:tabs>
        <w:spacing w:before="120" w:after="120"/>
        <w:ind w:firstLine="425"/>
      </w:pPr>
      <w:r w:rsidRPr="0073736D">
        <w:t>(2)</w:t>
      </w:r>
      <w:r>
        <w:t xml:space="preserve"> </w:t>
      </w:r>
      <w:r w:rsidRPr="0073736D">
        <w:t>Pacientské</w:t>
      </w:r>
      <w:r>
        <w:t xml:space="preserve"> </w:t>
      </w:r>
      <w:r w:rsidRPr="0073736D">
        <w:t>organizace,</w:t>
      </w:r>
      <w:r>
        <w:t xml:space="preserve"> </w:t>
      </w:r>
      <w:r w:rsidRPr="0073736D">
        <w:t>které</w:t>
      </w:r>
      <w:r>
        <w:t xml:space="preserve"> </w:t>
      </w:r>
      <w:r w:rsidRPr="0073736D">
        <w:t>jsou</w:t>
      </w:r>
      <w:r>
        <w:t xml:space="preserve"> </w:t>
      </w:r>
      <w:r w:rsidRPr="0073736D">
        <w:t>zapsány</w:t>
      </w:r>
      <w:r>
        <w:t xml:space="preserve"> </w:t>
      </w:r>
      <w:r w:rsidRPr="0073736D">
        <w:t>v</w:t>
      </w:r>
      <w:r>
        <w:t xml:space="preserve"> </w:t>
      </w:r>
      <w:r w:rsidRPr="0073736D">
        <w:t>seznamu</w:t>
      </w:r>
      <w:r>
        <w:t xml:space="preserve"> </w:t>
      </w:r>
      <w:r w:rsidRPr="0073736D">
        <w:t>pacientských</w:t>
      </w:r>
      <w:r>
        <w:t xml:space="preserve"> </w:t>
      </w:r>
      <w:r w:rsidRPr="0073736D">
        <w:t>organizací</w:t>
      </w:r>
      <w:r>
        <w:t xml:space="preserve"> </w:t>
      </w:r>
      <w:r w:rsidRPr="0073736D">
        <w:t>podle</w:t>
      </w:r>
      <w:r>
        <w:t xml:space="preserve"> </w:t>
      </w:r>
      <w:r w:rsidRPr="0073736D">
        <w:t>odstavce</w:t>
      </w:r>
      <w:r>
        <w:t xml:space="preserve"> </w:t>
      </w:r>
      <w:r w:rsidRPr="0073736D">
        <w:t>3,</w:t>
      </w:r>
      <w:r>
        <w:t xml:space="preserve"> </w:t>
      </w:r>
      <w:r w:rsidRPr="0073736D">
        <w:t>mohou</w:t>
      </w:r>
      <w:r>
        <w:t xml:space="preserve"> </w:t>
      </w:r>
      <w:r w:rsidRPr="0073736D">
        <w:t>zastupovat</w:t>
      </w:r>
      <w:r>
        <w:t xml:space="preserve"> </w:t>
      </w:r>
      <w:r w:rsidRPr="0073736D">
        <w:t>za</w:t>
      </w:r>
      <w:r>
        <w:t xml:space="preserve"> </w:t>
      </w:r>
      <w:r w:rsidRPr="0073736D">
        <w:t>podmínek</w:t>
      </w:r>
      <w:r>
        <w:t xml:space="preserve"> </w:t>
      </w:r>
      <w:r w:rsidRPr="0073736D">
        <w:t>stanovených</w:t>
      </w:r>
      <w:r>
        <w:t xml:space="preserve"> </w:t>
      </w:r>
      <w:r w:rsidRPr="0073736D">
        <w:t>tímto</w:t>
      </w:r>
      <w:r>
        <w:t xml:space="preserve"> </w:t>
      </w:r>
      <w:r w:rsidRPr="0073736D">
        <w:t>zákonem</w:t>
      </w:r>
      <w:r>
        <w:t xml:space="preserve"> </w:t>
      </w:r>
      <w:r w:rsidRPr="0073736D">
        <w:t>v</w:t>
      </w:r>
      <w:r>
        <w:t xml:space="preserve"> </w:t>
      </w:r>
      <w:r w:rsidRPr="0073736D">
        <w:t>řízeních</w:t>
      </w:r>
      <w:r>
        <w:t xml:space="preserve"> </w:t>
      </w:r>
      <w:r w:rsidRPr="0073736D">
        <w:t>a</w:t>
      </w:r>
      <w:r>
        <w:t xml:space="preserve"> </w:t>
      </w:r>
      <w:r w:rsidRPr="0073736D">
        <w:t>procesech</w:t>
      </w:r>
      <w:r>
        <w:t xml:space="preserve"> </w:t>
      </w:r>
      <w:r w:rsidRPr="0073736D">
        <w:t>pacientskou</w:t>
      </w:r>
      <w:r>
        <w:t xml:space="preserve"> </w:t>
      </w:r>
      <w:r w:rsidRPr="0073736D">
        <w:t>veřejnost,</w:t>
      </w:r>
      <w:r>
        <w:t xml:space="preserve"> </w:t>
      </w:r>
      <w:r w:rsidRPr="0073736D">
        <w:t>pokud</w:t>
      </w:r>
      <w:r>
        <w:t xml:space="preserve"> </w:t>
      </w:r>
      <w:r w:rsidRPr="0073736D">
        <w:t>tak</w:t>
      </w:r>
      <w:r>
        <w:t xml:space="preserve"> </w:t>
      </w:r>
      <w:r w:rsidRPr="0073736D">
        <w:t>stanoví</w:t>
      </w:r>
      <w:r>
        <w:t xml:space="preserve"> </w:t>
      </w:r>
      <w:r w:rsidRPr="0073736D">
        <w:t>zákon</w:t>
      </w:r>
      <w:r>
        <w:t xml:space="preserve"> </w:t>
      </w:r>
      <w:r w:rsidRPr="0073736D">
        <w:t>nebo</w:t>
      </w:r>
      <w:r>
        <w:t xml:space="preserve"> </w:t>
      </w:r>
      <w:r w:rsidRPr="0073736D">
        <w:t>pokud</w:t>
      </w:r>
      <w:r>
        <w:t xml:space="preserve"> </w:t>
      </w:r>
      <w:r w:rsidRPr="0073736D">
        <w:t>je</w:t>
      </w:r>
      <w:r>
        <w:t xml:space="preserve"> </w:t>
      </w:r>
      <w:r w:rsidRPr="0073736D">
        <w:t>orgán</w:t>
      </w:r>
      <w:r>
        <w:t xml:space="preserve"> </w:t>
      </w:r>
      <w:r w:rsidRPr="0073736D">
        <w:t>veřejné</w:t>
      </w:r>
      <w:r>
        <w:t xml:space="preserve"> </w:t>
      </w:r>
      <w:r w:rsidRPr="0073736D">
        <w:t>moci,</w:t>
      </w:r>
      <w:r>
        <w:t xml:space="preserve"> </w:t>
      </w:r>
      <w:r w:rsidRPr="0073736D">
        <w:t>který</w:t>
      </w:r>
      <w:r>
        <w:t xml:space="preserve"> </w:t>
      </w:r>
      <w:r w:rsidRPr="0073736D">
        <w:t>vede</w:t>
      </w:r>
      <w:r>
        <w:t xml:space="preserve"> </w:t>
      </w:r>
      <w:r w:rsidRPr="0073736D">
        <w:t>řízení,</w:t>
      </w:r>
      <w:r>
        <w:t xml:space="preserve"> </w:t>
      </w:r>
      <w:r w:rsidRPr="0073736D">
        <w:t>přizve.</w:t>
      </w:r>
      <w:r>
        <w:t xml:space="preserve"> </w:t>
      </w:r>
      <w:r w:rsidRPr="0073736D">
        <w:t>Pacientskou</w:t>
      </w:r>
      <w:r>
        <w:t xml:space="preserve"> </w:t>
      </w:r>
      <w:r w:rsidRPr="0073736D">
        <w:t>veřejností</w:t>
      </w:r>
      <w:r>
        <w:t xml:space="preserve"> </w:t>
      </w:r>
      <w:r w:rsidRPr="0073736D">
        <w:t>se</w:t>
      </w:r>
      <w:r>
        <w:t xml:space="preserve"> </w:t>
      </w:r>
      <w:r w:rsidRPr="0073736D">
        <w:t>rozumí</w:t>
      </w:r>
      <w:r>
        <w:t xml:space="preserve"> </w:t>
      </w:r>
      <w:r w:rsidRPr="0073736D">
        <w:t>osoby,</w:t>
      </w:r>
      <w:r>
        <w:t xml:space="preserve"> </w:t>
      </w:r>
      <w:r w:rsidRPr="0073736D">
        <w:t>které</w:t>
      </w:r>
      <w:r>
        <w:t xml:space="preserve"> </w:t>
      </w:r>
      <w:r w:rsidRPr="0073736D">
        <w:t>mohou</w:t>
      </w:r>
      <w:r>
        <w:t xml:space="preserve"> </w:t>
      </w:r>
      <w:r w:rsidRPr="0073736D">
        <w:t>být</w:t>
      </w:r>
      <w:r>
        <w:t xml:space="preserve"> </w:t>
      </w:r>
      <w:r w:rsidRPr="0073736D">
        <w:t>v</w:t>
      </w:r>
      <w:r>
        <w:t xml:space="preserve"> </w:t>
      </w:r>
      <w:r w:rsidRPr="0073736D">
        <w:t>rámci</w:t>
      </w:r>
      <w:r>
        <w:t xml:space="preserve"> </w:t>
      </w:r>
      <w:r w:rsidRPr="0073736D">
        <w:t>daného</w:t>
      </w:r>
      <w:r>
        <w:t xml:space="preserve"> </w:t>
      </w:r>
      <w:r w:rsidRPr="0073736D">
        <w:t>řízení</w:t>
      </w:r>
      <w:r>
        <w:t xml:space="preserve"> </w:t>
      </w:r>
      <w:r w:rsidRPr="0073736D">
        <w:t>nebo</w:t>
      </w:r>
      <w:r>
        <w:t xml:space="preserve"> </w:t>
      </w:r>
      <w:r w:rsidRPr="0073736D">
        <w:t>procesu</w:t>
      </w:r>
      <w:r>
        <w:t xml:space="preserve"> </w:t>
      </w:r>
      <w:r w:rsidRPr="0073736D">
        <w:t>dotčeny</w:t>
      </w:r>
      <w:r>
        <w:t xml:space="preserve"> </w:t>
      </w:r>
      <w:r w:rsidRPr="0073736D">
        <w:t>ve</w:t>
      </w:r>
      <w:r>
        <w:t xml:space="preserve"> </w:t>
      </w:r>
      <w:r w:rsidRPr="0073736D">
        <w:t>svých</w:t>
      </w:r>
      <w:r>
        <w:t xml:space="preserve"> </w:t>
      </w:r>
      <w:r w:rsidRPr="0073736D">
        <w:t>právech</w:t>
      </w:r>
      <w:r>
        <w:t xml:space="preserve"> </w:t>
      </w:r>
      <w:r w:rsidRPr="0073736D">
        <w:t>nebo</w:t>
      </w:r>
      <w:r>
        <w:t xml:space="preserve"> </w:t>
      </w:r>
      <w:r w:rsidRPr="0073736D">
        <w:t>povinnostech</w:t>
      </w:r>
      <w:r>
        <w:t xml:space="preserve"> </w:t>
      </w:r>
      <w:r w:rsidRPr="0073736D">
        <w:t>souvisejících</w:t>
      </w:r>
      <w:r>
        <w:t xml:space="preserve"> </w:t>
      </w:r>
      <w:r w:rsidRPr="0073736D">
        <w:t>s</w:t>
      </w:r>
      <w:r>
        <w:t xml:space="preserve"> </w:t>
      </w:r>
      <w:r w:rsidRPr="0073736D">
        <w:t>jejich</w:t>
      </w:r>
      <w:r>
        <w:t xml:space="preserve"> </w:t>
      </w:r>
      <w:r w:rsidRPr="0073736D">
        <w:t>zdravotním</w:t>
      </w:r>
      <w:r>
        <w:t xml:space="preserve"> </w:t>
      </w:r>
      <w:r w:rsidRPr="0073736D">
        <w:t>stavem</w:t>
      </w:r>
      <w:r>
        <w:t xml:space="preserve"> </w:t>
      </w:r>
      <w:r w:rsidRPr="0073736D">
        <w:t>nebo</w:t>
      </w:r>
      <w:r>
        <w:t xml:space="preserve"> </w:t>
      </w:r>
      <w:r w:rsidRPr="0073736D">
        <w:t>poskytováním</w:t>
      </w:r>
      <w:r>
        <w:t xml:space="preserve"> </w:t>
      </w:r>
      <w:r w:rsidRPr="0073736D">
        <w:t>zdravotních</w:t>
      </w:r>
      <w:r>
        <w:t xml:space="preserve"> </w:t>
      </w:r>
      <w:r w:rsidRPr="0073736D">
        <w:t>služeb.</w:t>
      </w:r>
    </w:p>
    <w:p w14:paraId="2FBDE6D9" w14:textId="77777777" w:rsidR="00DA3707" w:rsidRDefault="00DA3707" w:rsidP="00F5058F">
      <w:pPr>
        <w:pStyle w:val="Textparagrafu"/>
        <w:numPr>
          <w:ilvl w:val="0"/>
          <w:numId w:val="27"/>
        </w:numPr>
        <w:tabs>
          <w:tab w:val="left" w:pos="392"/>
          <w:tab w:val="left" w:pos="840"/>
        </w:tabs>
        <w:spacing w:before="120" w:after="120"/>
        <w:ind w:firstLine="425"/>
      </w:pPr>
      <w:r w:rsidRPr="0073736D">
        <w:t>(3)</w:t>
      </w:r>
      <w:r>
        <w:t xml:space="preserve"> </w:t>
      </w:r>
      <w:r w:rsidRPr="0073736D">
        <w:t>Ministerstvo</w:t>
      </w:r>
      <w:r>
        <w:t xml:space="preserve"> </w:t>
      </w:r>
      <w:r w:rsidRPr="0073736D">
        <w:t>zapíše</w:t>
      </w:r>
      <w:r>
        <w:t xml:space="preserve"> </w:t>
      </w:r>
      <w:r w:rsidRPr="0073736D">
        <w:t>pacientskou</w:t>
      </w:r>
      <w:r>
        <w:t xml:space="preserve"> </w:t>
      </w:r>
      <w:r w:rsidRPr="0073736D">
        <w:t>organizaci</w:t>
      </w:r>
      <w:r>
        <w:t xml:space="preserve"> </w:t>
      </w:r>
      <w:r w:rsidRPr="0073736D">
        <w:t>do</w:t>
      </w:r>
      <w:r>
        <w:t xml:space="preserve"> </w:t>
      </w:r>
      <w:r w:rsidRPr="0073736D">
        <w:t>seznamu</w:t>
      </w:r>
      <w:r>
        <w:t xml:space="preserve"> </w:t>
      </w:r>
      <w:r w:rsidRPr="0073736D">
        <w:t>pacientských</w:t>
      </w:r>
      <w:r>
        <w:t xml:space="preserve"> </w:t>
      </w:r>
      <w:r w:rsidRPr="0073736D">
        <w:t>organizací</w:t>
      </w:r>
      <w:r>
        <w:t xml:space="preserve"> </w:t>
      </w:r>
      <w:r w:rsidRPr="0073736D">
        <w:t>do</w:t>
      </w:r>
      <w:r>
        <w:t xml:space="preserve"> </w:t>
      </w:r>
      <w:r w:rsidRPr="0073736D">
        <w:t>30</w:t>
      </w:r>
      <w:r>
        <w:t xml:space="preserve"> </w:t>
      </w:r>
      <w:r w:rsidRPr="0073736D">
        <w:t>dnů</w:t>
      </w:r>
      <w:r>
        <w:t xml:space="preserve"> </w:t>
      </w:r>
      <w:r w:rsidRPr="0073736D">
        <w:t>ode</w:t>
      </w:r>
      <w:r>
        <w:t xml:space="preserve"> </w:t>
      </w:r>
      <w:r w:rsidRPr="0073736D">
        <w:t>dne</w:t>
      </w:r>
      <w:r>
        <w:t xml:space="preserve"> </w:t>
      </w:r>
      <w:r w:rsidRPr="0073736D">
        <w:t>obdržení</w:t>
      </w:r>
      <w:r>
        <w:t xml:space="preserve"> </w:t>
      </w:r>
      <w:r w:rsidRPr="0073736D">
        <w:t>její</w:t>
      </w:r>
      <w:r>
        <w:t xml:space="preserve"> </w:t>
      </w:r>
      <w:r w:rsidRPr="0073736D">
        <w:t>žádosti</w:t>
      </w:r>
      <w:r>
        <w:t xml:space="preserve"> </w:t>
      </w:r>
      <w:r w:rsidRPr="0073736D">
        <w:t>podle</w:t>
      </w:r>
      <w:r>
        <w:t xml:space="preserve"> </w:t>
      </w:r>
      <w:r w:rsidRPr="0073736D">
        <w:t>odstavce</w:t>
      </w:r>
      <w:r>
        <w:t xml:space="preserve"> </w:t>
      </w:r>
      <w:r w:rsidRPr="0073736D">
        <w:t>4,</w:t>
      </w:r>
      <w:r>
        <w:t xml:space="preserve"> </w:t>
      </w:r>
      <w:r w:rsidRPr="0073736D">
        <w:t>jestliže</w:t>
      </w:r>
    </w:p>
    <w:p w14:paraId="234DE34F" w14:textId="5827C0A4" w:rsidR="00DA3707" w:rsidRDefault="00DA3707" w:rsidP="00037791">
      <w:pPr>
        <w:pStyle w:val="Textparagrafu"/>
        <w:numPr>
          <w:ilvl w:val="0"/>
          <w:numId w:val="27"/>
        </w:numPr>
        <w:tabs>
          <w:tab w:val="left" w:pos="392"/>
          <w:tab w:val="left" w:pos="840"/>
        </w:tabs>
        <w:spacing w:before="0"/>
        <w:ind w:left="426" w:hanging="426"/>
      </w:pPr>
      <w:r w:rsidRPr="0073736D">
        <w:t>a)</w:t>
      </w:r>
      <w:r>
        <w:tab/>
      </w:r>
      <w:r w:rsidRPr="0073736D">
        <w:t>splňuje</w:t>
      </w:r>
      <w:r>
        <w:t xml:space="preserve"> </w:t>
      </w:r>
      <w:r w:rsidRPr="0073736D">
        <w:t>podmínky</w:t>
      </w:r>
      <w:r>
        <w:t xml:space="preserve"> </w:t>
      </w:r>
      <w:r w:rsidRPr="0073736D">
        <w:t>uvedené</w:t>
      </w:r>
      <w:r>
        <w:t xml:space="preserve"> </w:t>
      </w:r>
      <w:r w:rsidRPr="0073736D">
        <w:t>v</w:t>
      </w:r>
      <w:r>
        <w:t xml:space="preserve"> </w:t>
      </w:r>
      <w:r w:rsidRPr="0073736D">
        <w:t>odstavci</w:t>
      </w:r>
      <w:r>
        <w:t xml:space="preserve"> </w:t>
      </w:r>
      <w:r w:rsidRPr="0073736D">
        <w:t>1,</w:t>
      </w:r>
    </w:p>
    <w:p w14:paraId="7E160452" w14:textId="2E337F62" w:rsidR="00DA3707" w:rsidRDefault="00DA3707" w:rsidP="00037791">
      <w:pPr>
        <w:pStyle w:val="Textparagrafu"/>
        <w:numPr>
          <w:ilvl w:val="0"/>
          <w:numId w:val="27"/>
        </w:numPr>
        <w:tabs>
          <w:tab w:val="left" w:pos="392"/>
          <w:tab w:val="left" w:pos="840"/>
        </w:tabs>
        <w:spacing w:before="0"/>
        <w:ind w:left="426" w:hanging="426"/>
      </w:pPr>
      <w:r w:rsidRPr="0073736D">
        <w:t>b)</w:t>
      </w:r>
      <w:r>
        <w:tab/>
      </w:r>
      <w:r w:rsidRPr="0073736D">
        <w:t>členové</w:t>
      </w:r>
      <w:r>
        <w:t xml:space="preserve"> </w:t>
      </w:r>
      <w:r w:rsidRPr="0073736D">
        <w:t>statutárního</w:t>
      </w:r>
      <w:r>
        <w:t xml:space="preserve"> </w:t>
      </w:r>
      <w:r w:rsidRPr="0073736D">
        <w:t>a</w:t>
      </w:r>
      <w:r>
        <w:t xml:space="preserve"> </w:t>
      </w:r>
      <w:r w:rsidRPr="0073736D">
        <w:t>nejvyššího</w:t>
      </w:r>
      <w:r>
        <w:t xml:space="preserve"> </w:t>
      </w:r>
      <w:r w:rsidRPr="0073736D">
        <w:t>orgánu,</w:t>
      </w:r>
      <w:r>
        <w:t xml:space="preserve"> </w:t>
      </w:r>
      <w:r w:rsidRPr="0073736D">
        <w:t>není-li</w:t>
      </w:r>
      <w:r>
        <w:t xml:space="preserve"> </w:t>
      </w:r>
      <w:r w:rsidRPr="0073736D">
        <w:t>tento</w:t>
      </w:r>
      <w:r>
        <w:t xml:space="preserve"> </w:t>
      </w:r>
      <w:r w:rsidRPr="0073736D">
        <w:t>orgán</w:t>
      </w:r>
      <w:r>
        <w:t xml:space="preserve"> </w:t>
      </w:r>
      <w:r w:rsidRPr="0073736D">
        <w:t>členskou</w:t>
      </w:r>
      <w:r>
        <w:t xml:space="preserve"> </w:t>
      </w:r>
      <w:r w:rsidRPr="0073736D">
        <w:t>schůzí,</w:t>
      </w:r>
      <w:r>
        <w:t xml:space="preserve"> </w:t>
      </w:r>
      <w:r w:rsidRPr="0073736D">
        <w:t>jsou</w:t>
      </w:r>
      <w:r>
        <w:t xml:space="preserve"> </w:t>
      </w:r>
      <w:r w:rsidRPr="0073736D">
        <w:t>voleni</w:t>
      </w:r>
      <w:r>
        <w:t xml:space="preserve"> </w:t>
      </w:r>
      <w:r w:rsidRPr="0073736D">
        <w:t>členy</w:t>
      </w:r>
      <w:r>
        <w:t xml:space="preserve"> </w:t>
      </w:r>
      <w:r w:rsidRPr="0073736D">
        <w:t>spolku,</w:t>
      </w:r>
      <w:r>
        <w:t xml:space="preserve"> </w:t>
      </w:r>
      <w:r w:rsidRPr="0073736D">
        <w:t>kterými</w:t>
      </w:r>
      <w:r>
        <w:t xml:space="preserve"> </w:t>
      </w:r>
      <w:r w:rsidRPr="0073736D">
        <w:t>jsou</w:t>
      </w:r>
      <w:r>
        <w:t xml:space="preserve"> </w:t>
      </w:r>
      <w:r w:rsidRPr="0073736D">
        <w:t>zpravidla</w:t>
      </w:r>
      <w:r>
        <w:t xml:space="preserve"> </w:t>
      </w:r>
      <w:r w:rsidRPr="0073736D">
        <w:t>osoby</w:t>
      </w:r>
      <w:r>
        <w:t xml:space="preserve"> </w:t>
      </w:r>
      <w:r w:rsidRPr="0073736D">
        <w:t>s</w:t>
      </w:r>
      <w:r>
        <w:t xml:space="preserve"> </w:t>
      </w:r>
      <w:r w:rsidRPr="0073736D">
        <w:t>určitým</w:t>
      </w:r>
      <w:r>
        <w:t xml:space="preserve"> </w:t>
      </w:r>
      <w:r w:rsidRPr="0073736D">
        <w:t>onemocněním</w:t>
      </w:r>
      <w:r>
        <w:t xml:space="preserve"> </w:t>
      </w:r>
      <w:r w:rsidRPr="0073736D">
        <w:t>nebo</w:t>
      </w:r>
      <w:r>
        <w:t xml:space="preserve"> </w:t>
      </w:r>
      <w:r w:rsidRPr="0073736D">
        <w:t>zdravotním</w:t>
      </w:r>
      <w:r>
        <w:t xml:space="preserve"> </w:t>
      </w:r>
      <w:r w:rsidRPr="0073736D">
        <w:t>postižením,</w:t>
      </w:r>
      <w:r>
        <w:t xml:space="preserve"> </w:t>
      </w:r>
      <w:r w:rsidRPr="0073736D">
        <w:t>jejich</w:t>
      </w:r>
      <w:r>
        <w:t xml:space="preserve"> </w:t>
      </w:r>
      <w:r w:rsidRPr="0073736D">
        <w:t>osoby</w:t>
      </w:r>
      <w:r>
        <w:t xml:space="preserve"> </w:t>
      </w:r>
      <w:r w:rsidRPr="0073736D">
        <w:t>blízké</w:t>
      </w:r>
      <w:r>
        <w:t xml:space="preserve"> </w:t>
      </w:r>
      <w:r w:rsidRPr="0073736D">
        <w:t>nebo</w:t>
      </w:r>
      <w:r>
        <w:t xml:space="preserve"> </w:t>
      </w:r>
      <w:r w:rsidRPr="0073736D">
        <w:t>jejich</w:t>
      </w:r>
      <w:r>
        <w:t xml:space="preserve"> </w:t>
      </w:r>
      <w:r w:rsidRPr="0073736D">
        <w:t>zástupci</w:t>
      </w:r>
      <w:r>
        <w:t xml:space="preserve"> </w:t>
      </w:r>
      <w:r w:rsidRPr="0073736D">
        <w:t>podle</w:t>
      </w:r>
      <w:r>
        <w:t xml:space="preserve"> </w:t>
      </w:r>
      <w:r w:rsidRPr="0073736D">
        <w:t>občanského</w:t>
      </w:r>
      <w:r>
        <w:t xml:space="preserve"> </w:t>
      </w:r>
      <w:r w:rsidRPr="0073736D">
        <w:t>zákoníku,</w:t>
      </w:r>
      <w:r>
        <w:t xml:space="preserve"> </w:t>
      </w:r>
      <w:r w:rsidRPr="0073736D">
        <w:t>anebo</w:t>
      </w:r>
      <w:r>
        <w:t xml:space="preserve"> </w:t>
      </w:r>
      <w:r w:rsidRPr="0073736D">
        <w:t>spolky</w:t>
      </w:r>
      <w:r>
        <w:t xml:space="preserve"> </w:t>
      </w:r>
      <w:r w:rsidRPr="0073736D">
        <w:t>podle</w:t>
      </w:r>
      <w:r>
        <w:t xml:space="preserve"> </w:t>
      </w:r>
      <w:r w:rsidRPr="0073736D">
        <w:t>odstavce</w:t>
      </w:r>
      <w:r>
        <w:t xml:space="preserve"> </w:t>
      </w:r>
      <w:r w:rsidRPr="0073736D">
        <w:t>1</w:t>
      </w:r>
      <w:r>
        <w:t xml:space="preserve"> </w:t>
      </w:r>
      <w:r w:rsidRPr="0073736D">
        <w:t>věty</w:t>
      </w:r>
      <w:r>
        <w:t xml:space="preserve"> </w:t>
      </w:r>
      <w:r w:rsidRPr="0073736D">
        <w:t>druhé,</w:t>
      </w:r>
    </w:p>
    <w:p w14:paraId="2DB0A797" w14:textId="629BEDD7" w:rsidR="00DA3707" w:rsidRDefault="00DA3707" w:rsidP="00037791">
      <w:pPr>
        <w:pStyle w:val="Textparagrafu"/>
        <w:numPr>
          <w:ilvl w:val="0"/>
          <w:numId w:val="27"/>
        </w:numPr>
        <w:tabs>
          <w:tab w:val="left" w:pos="392"/>
          <w:tab w:val="left" w:pos="840"/>
        </w:tabs>
        <w:spacing w:before="0"/>
        <w:ind w:left="426" w:hanging="426"/>
      </w:pPr>
      <w:r w:rsidRPr="0073736D">
        <w:t>c)</w:t>
      </w:r>
      <w:r>
        <w:tab/>
      </w:r>
      <w:proofErr w:type="gramStart"/>
      <w:r w:rsidRPr="002A0535">
        <w:rPr>
          <w:strike/>
        </w:rPr>
        <w:t>zveřejňuje</w:t>
      </w:r>
      <w:r>
        <w:t xml:space="preserve"> </w:t>
      </w:r>
      <w:r w:rsidR="002A0535">
        <w:rPr>
          <w:b/>
        </w:rPr>
        <w:t>uveřejňuje</w:t>
      </w:r>
      <w:proofErr w:type="gramEnd"/>
      <w:r w:rsidR="002A0535">
        <w:rPr>
          <w:b/>
        </w:rPr>
        <w:t xml:space="preserve"> </w:t>
      </w:r>
      <w:r w:rsidRPr="0073736D">
        <w:t>na</w:t>
      </w:r>
      <w:r>
        <w:t xml:space="preserve"> </w:t>
      </w:r>
      <w:r w:rsidRPr="0073736D">
        <w:t>svých</w:t>
      </w:r>
      <w:r>
        <w:t xml:space="preserve"> </w:t>
      </w:r>
      <w:r w:rsidRPr="0073736D">
        <w:t>internetových</w:t>
      </w:r>
      <w:r>
        <w:t xml:space="preserve"> </w:t>
      </w:r>
      <w:r w:rsidRPr="0073736D">
        <w:t>stránkách</w:t>
      </w:r>
      <w:r>
        <w:t xml:space="preserve"> </w:t>
      </w:r>
      <w:r w:rsidRPr="0073736D">
        <w:t>svou</w:t>
      </w:r>
      <w:r>
        <w:t xml:space="preserve"> </w:t>
      </w:r>
      <w:r w:rsidR="00941C1F" w:rsidRPr="00941C1F">
        <w:rPr>
          <w:b/>
        </w:rPr>
        <w:t>řádnou individuální</w:t>
      </w:r>
      <w:r w:rsidR="00941C1F">
        <w:t xml:space="preserve"> </w:t>
      </w:r>
      <w:r w:rsidRPr="0073736D">
        <w:t>účetní</w:t>
      </w:r>
      <w:r>
        <w:t xml:space="preserve"> </w:t>
      </w:r>
      <w:r w:rsidRPr="0073736D">
        <w:t>závěrku</w:t>
      </w:r>
      <w:r>
        <w:t xml:space="preserve"> </w:t>
      </w:r>
      <w:r w:rsidRPr="0073736D">
        <w:t>a</w:t>
      </w:r>
      <w:r>
        <w:t xml:space="preserve"> </w:t>
      </w:r>
      <w:r w:rsidRPr="0073736D">
        <w:t>zdroje</w:t>
      </w:r>
      <w:r>
        <w:t xml:space="preserve"> </w:t>
      </w:r>
      <w:r w:rsidRPr="0073736D">
        <w:t>financování</w:t>
      </w:r>
      <w:r>
        <w:t xml:space="preserve"> </w:t>
      </w:r>
      <w:r w:rsidRPr="0073736D">
        <w:t>a</w:t>
      </w:r>
    </w:p>
    <w:p w14:paraId="6D1A119C" w14:textId="56AC7020" w:rsidR="00DA3707" w:rsidRDefault="00DA3707" w:rsidP="00037791">
      <w:pPr>
        <w:pStyle w:val="Textparagrafu"/>
        <w:numPr>
          <w:ilvl w:val="0"/>
          <w:numId w:val="27"/>
        </w:numPr>
        <w:tabs>
          <w:tab w:val="left" w:pos="392"/>
          <w:tab w:val="left" w:pos="840"/>
        </w:tabs>
        <w:spacing w:before="0"/>
        <w:ind w:left="426" w:hanging="426"/>
      </w:pPr>
      <w:r w:rsidRPr="0073736D">
        <w:t>d)</w:t>
      </w:r>
      <w:r>
        <w:tab/>
      </w:r>
      <w:r w:rsidRPr="0073736D">
        <w:t>provozuje</w:t>
      </w:r>
      <w:r>
        <w:t xml:space="preserve"> </w:t>
      </w:r>
      <w:r w:rsidRPr="0073736D">
        <w:t>činnost</w:t>
      </w:r>
      <w:r>
        <w:t xml:space="preserve"> </w:t>
      </w:r>
      <w:r w:rsidRPr="0073736D">
        <w:t>v</w:t>
      </w:r>
      <w:r>
        <w:t xml:space="preserve"> </w:t>
      </w:r>
      <w:r w:rsidRPr="0073736D">
        <w:t>oblasti</w:t>
      </w:r>
      <w:r>
        <w:t xml:space="preserve"> </w:t>
      </w:r>
      <w:r w:rsidRPr="0073736D">
        <w:t>pomoci</w:t>
      </w:r>
      <w:r>
        <w:t xml:space="preserve"> </w:t>
      </w:r>
      <w:r w:rsidRPr="0073736D">
        <w:t>pacientské</w:t>
      </w:r>
      <w:r>
        <w:t xml:space="preserve"> </w:t>
      </w:r>
      <w:r w:rsidRPr="0073736D">
        <w:t>veřejnosti</w:t>
      </w:r>
      <w:r>
        <w:t xml:space="preserve"> </w:t>
      </w:r>
      <w:r w:rsidRPr="0073736D">
        <w:t>a</w:t>
      </w:r>
      <w:r>
        <w:t xml:space="preserve"> </w:t>
      </w:r>
      <w:r w:rsidRPr="0073736D">
        <w:t>ochrany</w:t>
      </w:r>
      <w:r>
        <w:t xml:space="preserve"> </w:t>
      </w:r>
      <w:r w:rsidRPr="0073736D">
        <w:t>jejich</w:t>
      </w:r>
      <w:r>
        <w:t xml:space="preserve"> </w:t>
      </w:r>
      <w:r w:rsidRPr="0073736D">
        <w:t>práv</w:t>
      </w:r>
      <w:r>
        <w:t xml:space="preserve"> </w:t>
      </w:r>
      <w:r w:rsidRPr="0073736D">
        <w:t>a</w:t>
      </w:r>
      <w:r>
        <w:t xml:space="preserve"> </w:t>
      </w:r>
      <w:r w:rsidRPr="0073736D">
        <w:t>zájmů</w:t>
      </w:r>
      <w:r>
        <w:t xml:space="preserve"> </w:t>
      </w:r>
      <w:r w:rsidRPr="0073736D">
        <w:t>po</w:t>
      </w:r>
      <w:r>
        <w:t xml:space="preserve"> </w:t>
      </w:r>
      <w:r w:rsidRPr="0073736D">
        <w:t>dobu</w:t>
      </w:r>
      <w:r>
        <w:t xml:space="preserve"> </w:t>
      </w:r>
      <w:r w:rsidRPr="0073736D">
        <w:t>nejméně</w:t>
      </w:r>
      <w:r>
        <w:t xml:space="preserve"> </w:t>
      </w:r>
      <w:r w:rsidRPr="0073736D">
        <w:t>12</w:t>
      </w:r>
      <w:r>
        <w:t xml:space="preserve"> </w:t>
      </w:r>
      <w:r w:rsidRPr="0073736D">
        <w:t>měsíců</w:t>
      </w:r>
      <w:r>
        <w:t xml:space="preserve"> </w:t>
      </w:r>
      <w:r w:rsidRPr="0073736D">
        <w:t>bezprostředně</w:t>
      </w:r>
      <w:r>
        <w:t xml:space="preserve"> </w:t>
      </w:r>
      <w:r w:rsidRPr="0073736D">
        <w:t>předcházejících</w:t>
      </w:r>
      <w:r>
        <w:t xml:space="preserve"> </w:t>
      </w:r>
      <w:r w:rsidRPr="0073736D">
        <w:t>datu</w:t>
      </w:r>
      <w:r>
        <w:t xml:space="preserve"> </w:t>
      </w:r>
      <w:r w:rsidRPr="0073736D">
        <w:t>podání</w:t>
      </w:r>
      <w:r>
        <w:t xml:space="preserve"> </w:t>
      </w:r>
      <w:r w:rsidRPr="0073736D">
        <w:t>žádosti.</w:t>
      </w:r>
    </w:p>
    <w:p w14:paraId="1C2291FF" w14:textId="06E4F7B2" w:rsidR="00DA3707" w:rsidRDefault="00DA3707" w:rsidP="00F5058F">
      <w:pPr>
        <w:pStyle w:val="Textparagrafu"/>
        <w:numPr>
          <w:ilvl w:val="0"/>
          <w:numId w:val="27"/>
        </w:numPr>
        <w:tabs>
          <w:tab w:val="left" w:pos="392"/>
          <w:tab w:val="left" w:pos="840"/>
        </w:tabs>
        <w:spacing w:before="120" w:after="120"/>
        <w:ind w:firstLine="425"/>
      </w:pPr>
      <w:r w:rsidRPr="0073736D">
        <w:t>(4)</w:t>
      </w:r>
      <w:r>
        <w:t xml:space="preserve"> </w:t>
      </w:r>
      <w:r w:rsidRPr="0073736D">
        <w:t>Pacientská</w:t>
      </w:r>
      <w:r>
        <w:t xml:space="preserve"> </w:t>
      </w:r>
      <w:r w:rsidRPr="0073736D">
        <w:t>organizace</w:t>
      </w:r>
      <w:r>
        <w:t xml:space="preserve"> </w:t>
      </w:r>
      <w:r w:rsidRPr="0073736D">
        <w:t>v</w:t>
      </w:r>
      <w:r>
        <w:t xml:space="preserve"> </w:t>
      </w:r>
      <w:r w:rsidRPr="0073736D">
        <w:t>písemné</w:t>
      </w:r>
      <w:r>
        <w:t xml:space="preserve"> </w:t>
      </w:r>
      <w:r w:rsidRPr="0073736D">
        <w:t>žádosti</w:t>
      </w:r>
      <w:r>
        <w:t xml:space="preserve"> </w:t>
      </w:r>
      <w:r w:rsidRPr="0073736D">
        <w:t>uvede</w:t>
      </w:r>
      <w:r>
        <w:t xml:space="preserve"> </w:t>
      </w:r>
      <w:r w:rsidRPr="0073736D">
        <w:t>svůj</w:t>
      </w:r>
      <w:r>
        <w:t xml:space="preserve"> </w:t>
      </w:r>
      <w:r w:rsidRPr="0073736D">
        <w:t>název,</w:t>
      </w:r>
      <w:r>
        <w:t xml:space="preserve"> </w:t>
      </w:r>
      <w:r w:rsidRPr="0073736D">
        <w:t>identifikační</w:t>
      </w:r>
      <w:r>
        <w:t xml:space="preserve"> </w:t>
      </w:r>
      <w:r w:rsidRPr="0073736D">
        <w:t>číslo</w:t>
      </w:r>
      <w:r>
        <w:t xml:space="preserve"> </w:t>
      </w:r>
      <w:r w:rsidRPr="0073736D">
        <w:t>a</w:t>
      </w:r>
      <w:r>
        <w:t xml:space="preserve"> </w:t>
      </w:r>
      <w:r w:rsidRPr="0073736D">
        <w:t>adresu</w:t>
      </w:r>
      <w:r>
        <w:t xml:space="preserve"> </w:t>
      </w:r>
      <w:r w:rsidRPr="0073736D">
        <w:t>sídla,</w:t>
      </w:r>
      <w:r>
        <w:t xml:space="preserve"> </w:t>
      </w:r>
      <w:r w:rsidRPr="0073736D">
        <w:t>popřípadě</w:t>
      </w:r>
      <w:r>
        <w:t xml:space="preserve"> </w:t>
      </w:r>
      <w:r w:rsidRPr="0073736D">
        <w:t>jinou</w:t>
      </w:r>
      <w:r>
        <w:t xml:space="preserve"> </w:t>
      </w:r>
      <w:r w:rsidRPr="0073736D">
        <w:t>adresu</w:t>
      </w:r>
      <w:r>
        <w:t xml:space="preserve"> </w:t>
      </w:r>
      <w:r w:rsidRPr="0073736D">
        <w:t>pro</w:t>
      </w:r>
      <w:r>
        <w:t xml:space="preserve"> </w:t>
      </w:r>
      <w:r w:rsidRPr="0073736D">
        <w:t>doručování.</w:t>
      </w:r>
      <w:r>
        <w:t xml:space="preserve"> </w:t>
      </w:r>
      <w:r w:rsidRPr="0073736D">
        <w:t>K</w:t>
      </w:r>
      <w:r>
        <w:t xml:space="preserve"> </w:t>
      </w:r>
      <w:r w:rsidRPr="0073736D">
        <w:t>žádosti</w:t>
      </w:r>
      <w:r>
        <w:t xml:space="preserve"> </w:t>
      </w:r>
      <w:r w:rsidRPr="0073736D">
        <w:t>přiloží</w:t>
      </w:r>
      <w:r>
        <w:t xml:space="preserve"> </w:t>
      </w:r>
      <w:r w:rsidRPr="0073736D">
        <w:t>čestné</w:t>
      </w:r>
      <w:r>
        <w:t xml:space="preserve"> </w:t>
      </w:r>
      <w:r w:rsidRPr="0073736D">
        <w:t>prohlášení</w:t>
      </w:r>
      <w:r>
        <w:t xml:space="preserve"> </w:t>
      </w:r>
      <w:r w:rsidRPr="0073736D">
        <w:t>o</w:t>
      </w:r>
      <w:r>
        <w:t xml:space="preserve"> </w:t>
      </w:r>
      <w:r w:rsidRPr="0073736D">
        <w:t>počtu</w:t>
      </w:r>
      <w:r>
        <w:t xml:space="preserve"> </w:t>
      </w:r>
      <w:r w:rsidRPr="0073736D">
        <w:t>členů</w:t>
      </w:r>
      <w:r>
        <w:t xml:space="preserve"> </w:t>
      </w:r>
      <w:r w:rsidRPr="0073736D">
        <w:t>spolku</w:t>
      </w:r>
      <w:r>
        <w:t xml:space="preserve"> </w:t>
      </w:r>
      <w:r w:rsidRPr="0073736D">
        <w:t>a</w:t>
      </w:r>
      <w:r>
        <w:t xml:space="preserve"> </w:t>
      </w:r>
      <w:r w:rsidRPr="0073736D">
        <w:t>v</w:t>
      </w:r>
      <w:r>
        <w:t xml:space="preserve"> </w:t>
      </w:r>
      <w:r w:rsidRPr="0073736D">
        <w:t>jakém</w:t>
      </w:r>
      <w:r>
        <w:t xml:space="preserve"> </w:t>
      </w:r>
      <w:r w:rsidRPr="0073736D">
        <w:t>poměru</w:t>
      </w:r>
      <w:r>
        <w:t xml:space="preserve"> </w:t>
      </w:r>
      <w:r w:rsidRPr="0073736D">
        <w:t>se</w:t>
      </w:r>
      <w:r>
        <w:t xml:space="preserve"> </w:t>
      </w:r>
      <w:r w:rsidRPr="0073736D">
        <w:t>jedná</w:t>
      </w:r>
      <w:r>
        <w:t xml:space="preserve"> </w:t>
      </w:r>
      <w:r w:rsidRPr="0073736D">
        <w:t>o</w:t>
      </w:r>
      <w:r>
        <w:t xml:space="preserve"> </w:t>
      </w:r>
      <w:r w:rsidRPr="0073736D">
        <w:t>pacienty,</w:t>
      </w:r>
      <w:r>
        <w:t xml:space="preserve"> </w:t>
      </w:r>
      <w:r w:rsidRPr="0073736D">
        <w:t>osoby</w:t>
      </w:r>
      <w:r>
        <w:t xml:space="preserve"> </w:t>
      </w:r>
      <w:r w:rsidRPr="0073736D">
        <w:t>blízké</w:t>
      </w:r>
      <w:r>
        <w:t xml:space="preserve"> </w:t>
      </w:r>
      <w:r w:rsidRPr="0073736D">
        <w:t>nebo</w:t>
      </w:r>
      <w:r>
        <w:t xml:space="preserve"> </w:t>
      </w:r>
      <w:r w:rsidRPr="0073736D">
        <w:t>jiné</w:t>
      </w:r>
      <w:r>
        <w:t xml:space="preserve"> </w:t>
      </w:r>
      <w:r w:rsidRPr="0073736D">
        <w:t>osoby,</w:t>
      </w:r>
      <w:r>
        <w:t xml:space="preserve"> </w:t>
      </w:r>
      <w:r w:rsidRPr="0073736D">
        <w:t>stanovy</w:t>
      </w:r>
      <w:r>
        <w:t xml:space="preserve"> </w:t>
      </w:r>
      <w:r w:rsidRPr="0073736D">
        <w:t>spolku,</w:t>
      </w:r>
      <w:r>
        <w:t xml:space="preserve"> </w:t>
      </w:r>
      <w:r w:rsidRPr="0073736D">
        <w:t>výroční</w:t>
      </w:r>
      <w:r>
        <w:t xml:space="preserve"> </w:t>
      </w:r>
      <w:r w:rsidRPr="0073736D">
        <w:t>zprávu</w:t>
      </w:r>
      <w:r>
        <w:t xml:space="preserve"> </w:t>
      </w:r>
      <w:r w:rsidRPr="0073736D">
        <w:t>za</w:t>
      </w:r>
      <w:r>
        <w:t xml:space="preserve"> </w:t>
      </w:r>
      <w:r w:rsidRPr="0073736D">
        <w:t>předchozí</w:t>
      </w:r>
      <w:r>
        <w:t xml:space="preserve"> </w:t>
      </w:r>
      <w:r w:rsidRPr="0073736D">
        <w:t>kalendářní</w:t>
      </w:r>
      <w:r>
        <w:t xml:space="preserve"> </w:t>
      </w:r>
      <w:r w:rsidRPr="0073736D">
        <w:t>rok</w:t>
      </w:r>
      <w:r>
        <w:t xml:space="preserve"> </w:t>
      </w:r>
      <w:r w:rsidRPr="0073736D">
        <w:t>s</w:t>
      </w:r>
      <w:r w:rsidR="00941C1F">
        <w:t> </w:t>
      </w:r>
      <w:r w:rsidR="00941C1F">
        <w:rPr>
          <w:b/>
        </w:rPr>
        <w:t xml:space="preserve">řádnou individuální </w:t>
      </w:r>
      <w:r w:rsidRPr="0073736D">
        <w:t>účetní</w:t>
      </w:r>
      <w:r>
        <w:t xml:space="preserve"> </w:t>
      </w:r>
      <w:r w:rsidRPr="0073736D">
        <w:t>závěrkou,</w:t>
      </w:r>
      <w:r>
        <w:t xml:space="preserve"> </w:t>
      </w:r>
      <w:r w:rsidRPr="0073736D">
        <w:t>nejsou-li</w:t>
      </w:r>
      <w:r>
        <w:t xml:space="preserve"> </w:t>
      </w:r>
      <w:r w:rsidRPr="0073736D">
        <w:t>tyto</w:t>
      </w:r>
      <w:r>
        <w:t xml:space="preserve"> </w:t>
      </w:r>
      <w:r w:rsidRPr="0073736D">
        <w:t>dokumenty</w:t>
      </w:r>
      <w:r>
        <w:t xml:space="preserve"> </w:t>
      </w:r>
      <w:r w:rsidRPr="0073736D">
        <w:t>vedeny</w:t>
      </w:r>
      <w:r>
        <w:t xml:space="preserve"> </w:t>
      </w:r>
      <w:r w:rsidRPr="0073736D">
        <w:t>v</w:t>
      </w:r>
      <w:r>
        <w:t xml:space="preserve"> </w:t>
      </w:r>
      <w:r w:rsidRPr="0073736D">
        <w:t>základním</w:t>
      </w:r>
      <w:r>
        <w:t xml:space="preserve"> </w:t>
      </w:r>
      <w:r w:rsidRPr="0073736D">
        <w:t>registru</w:t>
      </w:r>
      <w:r>
        <w:t xml:space="preserve"> </w:t>
      </w:r>
      <w:r w:rsidRPr="0073736D">
        <w:t>nebo</w:t>
      </w:r>
      <w:r>
        <w:t xml:space="preserve"> </w:t>
      </w:r>
      <w:proofErr w:type="spellStart"/>
      <w:r w:rsidRPr="0073736D">
        <w:t>agendovém</w:t>
      </w:r>
      <w:proofErr w:type="spellEnd"/>
      <w:r>
        <w:t xml:space="preserve"> </w:t>
      </w:r>
      <w:r w:rsidRPr="0073736D">
        <w:t>informačním</w:t>
      </w:r>
      <w:r>
        <w:t xml:space="preserve"> </w:t>
      </w:r>
      <w:r w:rsidRPr="0073736D">
        <w:t>systému</w:t>
      </w:r>
      <w:r>
        <w:t xml:space="preserve"> </w:t>
      </w:r>
      <w:r w:rsidRPr="0073736D">
        <w:t>a</w:t>
      </w:r>
      <w:r>
        <w:t xml:space="preserve"> </w:t>
      </w:r>
      <w:r w:rsidRPr="0073736D">
        <w:t>nejsou-li</w:t>
      </w:r>
      <w:r>
        <w:t xml:space="preserve"> </w:t>
      </w:r>
      <w:r w:rsidRPr="0073736D">
        <w:t>ministerstvu</w:t>
      </w:r>
      <w:r>
        <w:t xml:space="preserve"> </w:t>
      </w:r>
      <w:r w:rsidRPr="0073736D">
        <w:t>zpřístupněné</w:t>
      </w:r>
      <w:r>
        <w:t xml:space="preserve"> </w:t>
      </w:r>
      <w:r w:rsidRPr="0073736D">
        <w:t>pro</w:t>
      </w:r>
      <w:r>
        <w:t xml:space="preserve"> </w:t>
      </w:r>
      <w:r w:rsidRPr="0073736D">
        <w:t>výkon</w:t>
      </w:r>
      <w:r>
        <w:t xml:space="preserve"> </w:t>
      </w:r>
      <w:r w:rsidRPr="0073736D">
        <w:t>agendy.</w:t>
      </w:r>
    </w:p>
    <w:p w14:paraId="7547B515" w14:textId="77777777" w:rsidR="00DA3707" w:rsidRDefault="00DA3707" w:rsidP="00F5058F">
      <w:pPr>
        <w:pStyle w:val="Textparagrafu"/>
        <w:numPr>
          <w:ilvl w:val="0"/>
          <w:numId w:val="27"/>
        </w:numPr>
        <w:tabs>
          <w:tab w:val="left" w:pos="392"/>
          <w:tab w:val="left" w:pos="840"/>
        </w:tabs>
        <w:spacing w:before="120" w:after="120"/>
        <w:ind w:firstLine="425"/>
      </w:pPr>
      <w:r w:rsidRPr="0073736D">
        <w:t>(5)</w:t>
      </w:r>
      <w:r>
        <w:t xml:space="preserve"> </w:t>
      </w:r>
      <w:r w:rsidRPr="0073736D">
        <w:t>Ministerstvo</w:t>
      </w:r>
      <w:r>
        <w:t xml:space="preserve"> </w:t>
      </w:r>
      <w:r w:rsidRPr="0073736D">
        <w:t>vydá</w:t>
      </w:r>
      <w:r>
        <w:t xml:space="preserve"> </w:t>
      </w:r>
      <w:r w:rsidRPr="0073736D">
        <w:t>pacientské</w:t>
      </w:r>
      <w:r>
        <w:t xml:space="preserve"> </w:t>
      </w:r>
      <w:r w:rsidRPr="0073736D">
        <w:t>organizaci</w:t>
      </w:r>
      <w:r>
        <w:t xml:space="preserve"> </w:t>
      </w:r>
      <w:r w:rsidRPr="0073736D">
        <w:t>o</w:t>
      </w:r>
      <w:r>
        <w:t xml:space="preserve"> </w:t>
      </w:r>
      <w:r w:rsidRPr="0073736D">
        <w:t>jejím</w:t>
      </w:r>
      <w:r>
        <w:t xml:space="preserve"> </w:t>
      </w:r>
      <w:r w:rsidRPr="0073736D">
        <w:t>zapsání</w:t>
      </w:r>
      <w:r>
        <w:t xml:space="preserve"> </w:t>
      </w:r>
      <w:r w:rsidRPr="0073736D">
        <w:t>do</w:t>
      </w:r>
      <w:r>
        <w:t xml:space="preserve"> </w:t>
      </w:r>
      <w:r w:rsidRPr="0073736D">
        <w:t>seznamu</w:t>
      </w:r>
      <w:r>
        <w:t xml:space="preserve"> </w:t>
      </w:r>
      <w:r w:rsidRPr="0073736D">
        <w:t>pacientských</w:t>
      </w:r>
      <w:r>
        <w:t xml:space="preserve"> </w:t>
      </w:r>
      <w:r w:rsidRPr="0073736D">
        <w:t>organizací</w:t>
      </w:r>
      <w:r>
        <w:t xml:space="preserve"> </w:t>
      </w:r>
      <w:r w:rsidRPr="0073736D">
        <w:t>osvědčení,</w:t>
      </w:r>
      <w:r>
        <w:t xml:space="preserve"> </w:t>
      </w:r>
      <w:r w:rsidRPr="0073736D">
        <w:t>a</w:t>
      </w:r>
      <w:r>
        <w:t xml:space="preserve"> </w:t>
      </w:r>
      <w:r w:rsidRPr="0073736D">
        <w:t>to</w:t>
      </w:r>
      <w:r>
        <w:t xml:space="preserve"> </w:t>
      </w:r>
      <w:r w:rsidRPr="0073736D">
        <w:t>do</w:t>
      </w:r>
      <w:r>
        <w:t xml:space="preserve"> </w:t>
      </w:r>
      <w:r w:rsidRPr="0073736D">
        <w:t>7</w:t>
      </w:r>
      <w:r>
        <w:t xml:space="preserve"> </w:t>
      </w:r>
      <w:r w:rsidRPr="0073736D">
        <w:t>pracovních</w:t>
      </w:r>
      <w:r>
        <w:t xml:space="preserve"> </w:t>
      </w:r>
      <w:r w:rsidRPr="0073736D">
        <w:t>dnů</w:t>
      </w:r>
      <w:r>
        <w:t xml:space="preserve"> </w:t>
      </w:r>
      <w:r w:rsidRPr="0073736D">
        <w:t>ode</w:t>
      </w:r>
      <w:r>
        <w:t xml:space="preserve"> </w:t>
      </w:r>
      <w:r w:rsidRPr="0073736D">
        <w:t>dne</w:t>
      </w:r>
      <w:r>
        <w:t xml:space="preserve"> </w:t>
      </w:r>
      <w:r w:rsidRPr="0073736D">
        <w:t>jejího</w:t>
      </w:r>
      <w:r>
        <w:t xml:space="preserve"> </w:t>
      </w:r>
      <w:r w:rsidRPr="0073736D">
        <w:t>zapsání.</w:t>
      </w:r>
      <w:r>
        <w:t xml:space="preserve"> </w:t>
      </w:r>
      <w:r w:rsidRPr="0073736D">
        <w:t>V</w:t>
      </w:r>
      <w:r>
        <w:t xml:space="preserve"> </w:t>
      </w:r>
      <w:r w:rsidRPr="0073736D">
        <w:t>případě</w:t>
      </w:r>
      <w:r>
        <w:t xml:space="preserve"> </w:t>
      </w:r>
      <w:r w:rsidRPr="0073736D">
        <w:t>nesplnění</w:t>
      </w:r>
      <w:r>
        <w:t xml:space="preserve"> </w:t>
      </w:r>
      <w:r w:rsidRPr="0073736D">
        <w:t>podmínek</w:t>
      </w:r>
      <w:r>
        <w:t xml:space="preserve"> </w:t>
      </w:r>
      <w:r w:rsidRPr="0073736D">
        <w:t>uvedených</w:t>
      </w:r>
      <w:r>
        <w:t xml:space="preserve"> </w:t>
      </w:r>
      <w:r w:rsidRPr="0073736D">
        <w:t>v</w:t>
      </w:r>
      <w:r>
        <w:t xml:space="preserve"> </w:t>
      </w:r>
      <w:r w:rsidRPr="0073736D">
        <w:t>odstavci</w:t>
      </w:r>
      <w:r>
        <w:t xml:space="preserve"> </w:t>
      </w:r>
      <w:r w:rsidRPr="0073736D">
        <w:t>3</w:t>
      </w:r>
      <w:r>
        <w:t xml:space="preserve"> </w:t>
      </w:r>
      <w:r w:rsidRPr="0073736D">
        <w:t>vydá</w:t>
      </w:r>
      <w:r>
        <w:t xml:space="preserve"> </w:t>
      </w:r>
      <w:r w:rsidRPr="0073736D">
        <w:t>ministerstvo</w:t>
      </w:r>
      <w:r>
        <w:t xml:space="preserve"> </w:t>
      </w:r>
      <w:r w:rsidRPr="0073736D">
        <w:t>do</w:t>
      </w:r>
      <w:r>
        <w:t xml:space="preserve"> </w:t>
      </w:r>
      <w:r w:rsidRPr="0073736D">
        <w:t>30</w:t>
      </w:r>
      <w:r>
        <w:t xml:space="preserve"> </w:t>
      </w:r>
      <w:r w:rsidRPr="0073736D">
        <w:t>dnů</w:t>
      </w:r>
      <w:r>
        <w:t xml:space="preserve"> </w:t>
      </w:r>
      <w:r w:rsidRPr="0073736D">
        <w:t>ode</w:t>
      </w:r>
      <w:r>
        <w:t xml:space="preserve"> </w:t>
      </w:r>
      <w:r w:rsidRPr="0073736D">
        <w:t>dne</w:t>
      </w:r>
      <w:r>
        <w:t xml:space="preserve"> </w:t>
      </w:r>
      <w:r w:rsidRPr="0073736D">
        <w:t>obdržení</w:t>
      </w:r>
      <w:r>
        <w:t xml:space="preserve"> </w:t>
      </w:r>
      <w:r w:rsidRPr="0073736D">
        <w:t>žádosti</w:t>
      </w:r>
      <w:r>
        <w:t xml:space="preserve"> </w:t>
      </w:r>
      <w:r w:rsidRPr="0073736D">
        <w:t>podle</w:t>
      </w:r>
      <w:r>
        <w:t xml:space="preserve"> </w:t>
      </w:r>
      <w:r w:rsidRPr="0073736D">
        <w:t>odstavce</w:t>
      </w:r>
      <w:r>
        <w:t xml:space="preserve"> </w:t>
      </w:r>
      <w:r w:rsidRPr="0073736D">
        <w:t>4</w:t>
      </w:r>
      <w:r>
        <w:t xml:space="preserve"> </w:t>
      </w:r>
      <w:r w:rsidRPr="0073736D">
        <w:t>rozhodnutí</w:t>
      </w:r>
      <w:r>
        <w:t xml:space="preserve"> </w:t>
      </w:r>
      <w:r w:rsidRPr="0073736D">
        <w:t>o</w:t>
      </w:r>
      <w:r>
        <w:t xml:space="preserve"> </w:t>
      </w:r>
      <w:r w:rsidRPr="0073736D">
        <w:t>zamítnutí</w:t>
      </w:r>
      <w:r>
        <w:t xml:space="preserve"> </w:t>
      </w:r>
      <w:r w:rsidRPr="0073736D">
        <w:t>žádosti.</w:t>
      </w:r>
    </w:p>
    <w:p w14:paraId="5AFAD17A" w14:textId="77777777" w:rsidR="00DA3707" w:rsidRDefault="00DA3707" w:rsidP="00F5058F">
      <w:pPr>
        <w:pStyle w:val="Textparagrafu"/>
        <w:numPr>
          <w:ilvl w:val="0"/>
          <w:numId w:val="27"/>
        </w:numPr>
        <w:tabs>
          <w:tab w:val="left" w:pos="392"/>
          <w:tab w:val="left" w:pos="840"/>
        </w:tabs>
        <w:spacing w:before="120" w:after="120"/>
        <w:ind w:firstLine="425"/>
      </w:pPr>
      <w:r w:rsidRPr="0073736D">
        <w:t>(6)</w:t>
      </w:r>
      <w:r>
        <w:t xml:space="preserve"> </w:t>
      </w:r>
      <w:r w:rsidRPr="0073736D">
        <w:t>Přestane-li</w:t>
      </w:r>
      <w:r>
        <w:t xml:space="preserve"> </w:t>
      </w:r>
      <w:r w:rsidRPr="0073736D">
        <w:t>pacientská</w:t>
      </w:r>
      <w:r>
        <w:t xml:space="preserve"> </w:t>
      </w:r>
      <w:r w:rsidRPr="0073736D">
        <w:t>organizace</w:t>
      </w:r>
      <w:r>
        <w:t xml:space="preserve"> </w:t>
      </w:r>
      <w:r w:rsidRPr="0073736D">
        <w:t>splňovat</w:t>
      </w:r>
      <w:r>
        <w:t xml:space="preserve"> </w:t>
      </w:r>
      <w:r w:rsidRPr="0073736D">
        <w:t>podmínky</w:t>
      </w:r>
      <w:r>
        <w:t xml:space="preserve"> </w:t>
      </w:r>
      <w:r w:rsidRPr="0073736D">
        <w:t>uvedené</w:t>
      </w:r>
      <w:r>
        <w:t xml:space="preserve"> </w:t>
      </w:r>
      <w:r w:rsidRPr="0073736D">
        <w:t>v</w:t>
      </w:r>
      <w:r>
        <w:t xml:space="preserve"> </w:t>
      </w:r>
      <w:r w:rsidRPr="0073736D">
        <w:t>odstavci</w:t>
      </w:r>
      <w:r>
        <w:t xml:space="preserve"> </w:t>
      </w:r>
      <w:r w:rsidRPr="0073736D">
        <w:t>3,</w:t>
      </w:r>
      <w:r>
        <w:t xml:space="preserve"> </w:t>
      </w:r>
      <w:r w:rsidRPr="0073736D">
        <w:t>ministerstvo</w:t>
      </w:r>
      <w:r>
        <w:t xml:space="preserve"> </w:t>
      </w:r>
      <w:r w:rsidRPr="0073736D">
        <w:t>rozhodne</w:t>
      </w:r>
      <w:r>
        <w:t xml:space="preserve"> </w:t>
      </w:r>
      <w:r w:rsidRPr="0073736D">
        <w:t>o</w:t>
      </w:r>
      <w:r>
        <w:t xml:space="preserve"> </w:t>
      </w:r>
      <w:r w:rsidRPr="0073736D">
        <w:t>vyřazení</w:t>
      </w:r>
      <w:r>
        <w:t xml:space="preserve"> </w:t>
      </w:r>
      <w:r w:rsidRPr="0073736D">
        <w:t>organizace</w:t>
      </w:r>
      <w:r>
        <w:t xml:space="preserve"> </w:t>
      </w:r>
      <w:r w:rsidRPr="0073736D">
        <w:t>ze</w:t>
      </w:r>
      <w:r>
        <w:t xml:space="preserve"> </w:t>
      </w:r>
      <w:r w:rsidRPr="0073736D">
        <w:t>seznamu</w:t>
      </w:r>
      <w:r>
        <w:t xml:space="preserve"> </w:t>
      </w:r>
      <w:r w:rsidRPr="0073736D">
        <w:t>pacientských</w:t>
      </w:r>
      <w:r>
        <w:t xml:space="preserve"> </w:t>
      </w:r>
      <w:r w:rsidRPr="0073736D">
        <w:t>organizací.</w:t>
      </w:r>
    </w:p>
    <w:p w14:paraId="6343100F" w14:textId="77777777" w:rsidR="00DA3707" w:rsidRDefault="00DA3707" w:rsidP="00F5058F">
      <w:pPr>
        <w:pStyle w:val="Textparagrafu"/>
        <w:numPr>
          <w:ilvl w:val="0"/>
          <w:numId w:val="27"/>
        </w:numPr>
        <w:tabs>
          <w:tab w:val="left" w:pos="392"/>
          <w:tab w:val="left" w:pos="840"/>
        </w:tabs>
        <w:spacing w:before="120" w:after="120"/>
        <w:ind w:firstLine="425"/>
      </w:pPr>
      <w:r w:rsidRPr="0073736D">
        <w:lastRenderedPageBreak/>
        <w:t>(7)</w:t>
      </w:r>
      <w:r>
        <w:t xml:space="preserve"> </w:t>
      </w:r>
      <w:r w:rsidRPr="0073736D">
        <w:t>Pacientskou</w:t>
      </w:r>
      <w:r>
        <w:t xml:space="preserve"> </w:t>
      </w:r>
      <w:r w:rsidRPr="0073736D">
        <w:t>organizací</w:t>
      </w:r>
      <w:r>
        <w:t xml:space="preserve"> </w:t>
      </w:r>
      <w:r w:rsidRPr="0073736D">
        <w:t>může</w:t>
      </w:r>
      <w:r>
        <w:t xml:space="preserve"> </w:t>
      </w:r>
      <w:r w:rsidRPr="0073736D">
        <w:t>být</w:t>
      </w:r>
      <w:r>
        <w:t xml:space="preserve"> </w:t>
      </w:r>
      <w:r w:rsidRPr="0073736D">
        <w:t>rovněž</w:t>
      </w:r>
      <w:r>
        <w:t xml:space="preserve"> </w:t>
      </w:r>
      <w:r w:rsidRPr="0073736D">
        <w:t>ústav</w:t>
      </w:r>
      <w:r>
        <w:t xml:space="preserve"> </w:t>
      </w:r>
      <w:r w:rsidRPr="0073736D">
        <w:t>či</w:t>
      </w:r>
      <w:r>
        <w:t xml:space="preserve"> </w:t>
      </w:r>
      <w:r w:rsidRPr="0073736D">
        <w:t>obecně</w:t>
      </w:r>
      <w:r>
        <w:t xml:space="preserve"> </w:t>
      </w:r>
      <w:r w:rsidRPr="0073736D">
        <w:t>prospěšná</w:t>
      </w:r>
      <w:r>
        <w:t xml:space="preserve"> </w:t>
      </w:r>
      <w:r w:rsidRPr="0073736D">
        <w:t>společnost,</w:t>
      </w:r>
      <w:r>
        <w:t xml:space="preserve"> </w:t>
      </w:r>
      <w:r w:rsidRPr="0073736D">
        <w:t>jejichž</w:t>
      </w:r>
      <w:r>
        <w:t xml:space="preserve"> </w:t>
      </w:r>
      <w:r w:rsidRPr="0073736D">
        <w:t>hlavní</w:t>
      </w:r>
      <w:r>
        <w:t xml:space="preserve"> </w:t>
      </w:r>
      <w:r w:rsidRPr="0073736D">
        <w:t>činnost</w:t>
      </w:r>
      <w:r>
        <w:t xml:space="preserve"> </w:t>
      </w:r>
      <w:r w:rsidRPr="0073736D">
        <w:t>spočívá</w:t>
      </w:r>
      <w:r>
        <w:t xml:space="preserve"> </w:t>
      </w:r>
      <w:r w:rsidRPr="0073736D">
        <w:t>v</w:t>
      </w:r>
      <w:r>
        <w:t xml:space="preserve"> </w:t>
      </w:r>
      <w:r w:rsidRPr="0073736D">
        <w:t>pomoci</w:t>
      </w:r>
      <w:r>
        <w:t xml:space="preserve"> </w:t>
      </w:r>
      <w:r w:rsidRPr="0073736D">
        <w:t>pacientům</w:t>
      </w:r>
      <w:r>
        <w:t xml:space="preserve"> </w:t>
      </w:r>
      <w:r w:rsidRPr="0073736D">
        <w:t>a</w:t>
      </w:r>
      <w:r>
        <w:t xml:space="preserve"> </w:t>
      </w:r>
      <w:r w:rsidRPr="0073736D">
        <w:t>ochraně</w:t>
      </w:r>
      <w:r>
        <w:t xml:space="preserve"> </w:t>
      </w:r>
      <w:r w:rsidRPr="0073736D">
        <w:t>jejich</w:t>
      </w:r>
      <w:r>
        <w:t xml:space="preserve"> </w:t>
      </w:r>
      <w:r w:rsidRPr="0073736D">
        <w:t>práv</w:t>
      </w:r>
      <w:r>
        <w:t xml:space="preserve"> </w:t>
      </w:r>
      <w:r w:rsidRPr="0073736D">
        <w:t>a</w:t>
      </w:r>
      <w:r>
        <w:t xml:space="preserve"> </w:t>
      </w:r>
      <w:r w:rsidRPr="0073736D">
        <w:t>zájmů,</w:t>
      </w:r>
      <w:r>
        <w:t xml:space="preserve"> </w:t>
      </w:r>
      <w:r w:rsidRPr="0073736D">
        <w:t>a</w:t>
      </w:r>
      <w:r>
        <w:t xml:space="preserve"> </w:t>
      </w:r>
      <w:r w:rsidRPr="0073736D">
        <w:t>kde</w:t>
      </w:r>
      <w:r>
        <w:t xml:space="preserve"> </w:t>
      </w:r>
      <w:r w:rsidRPr="0073736D">
        <w:t>pacienti,</w:t>
      </w:r>
      <w:r>
        <w:t xml:space="preserve"> </w:t>
      </w:r>
      <w:r w:rsidRPr="0073736D">
        <w:t>osoby</w:t>
      </w:r>
      <w:r>
        <w:t xml:space="preserve"> </w:t>
      </w:r>
      <w:r w:rsidRPr="0073736D">
        <w:t>jim</w:t>
      </w:r>
      <w:r>
        <w:t xml:space="preserve"> </w:t>
      </w:r>
      <w:r w:rsidRPr="0073736D">
        <w:t>blízké</w:t>
      </w:r>
      <w:r>
        <w:t xml:space="preserve"> </w:t>
      </w:r>
      <w:r w:rsidRPr="0073736D">
        <w:t>nebo</w:t>
      </w:r>
      <w:r>
        <w:t xml:space="preserve"> </w:t>
      </w:r>
      <w:r w:rsidRPr="0073736D">
        <w:t>jejich</w:t>
      </w:r>
      <w:r>
        <w:t xml:space="preserve"> </w:t>
      </w:r>
      <w:r w:rsidRPr="0073736D">
        <w:t>zástupci</w:t>
      </w:r>
      <w:r>
        <w:t xml:space="preserve"> </w:t>
      </w:r>
      <w:r w:rsidRPr="0073736D">
        <w:t>podle</w:t>
      </w:r>
      <w:r>
        <w:t xml:space="preserve"> </w:t>
      </w:r>
      <w:r w:rsidRPr="0073736D">
        <w:t>občanského</w:t>
      </w:r>
      <w:r>
        <w:t xml:space="preserve"> </w:t>
      </w:r>
      <w:r w:rsidRPr="0073736D">
        <w:t>zákoníku</w:t>
      </w:r>
      <w:r>
        <w:t xml:space="preserve"> </w:t>
      </w:r>
      <w:r w:rsidRPr="0073736D">
        <w:t>mají</w:t>
      </w:r>
      <w:r>
        <w:t xml:space="preserve"> </w:t>
      </w:r>
      <w:r w:rsidRPr="0073736D">
        <w:t>prokazatelně</w:t>
      </w:r>
      <w:r>
        <w:t xml:space="preserve"> </w:t>
      </w:r>
      <w:r w:rsidRPr="0073736D">
        <w:t>rozhodující</w:t>
      </w:r>
      <w:r>
        <w:t xml:space="preserve"> </w:t>
      </w:r>
      <w:r w:rsidRPr="0073736D">
        <w:t>vliv</w:t>
      </w:r>
      <w:r>
        <w:t xml:space="preserve"> </w:t>
      </w:r>
      <w:r w:rsidRPr="0073736D">
        <w:t>na</w:t>
      </w:r>
      <w:r>
        <w:t xml:space="preserve"> </w:t>
      </w:r>
      <w:r w:rsidRPr="0073736D">
        <w:t>řízení.</w:t>
      </w:r>
      <w:r>
        <w:t xml:space="preserve"> </w:t>
      </w:r>
      <w:r w:rsidRPr="0073736D">
        <w:t>Ustanovení</w:t>
      </w:r>
      <w:r>
        <w:t xml:space="preserve"> </w:t>
      </w:r>
      <w:r w:rsidRPr="0073736D">
        <w:t>odstavců</w:t>
      </w:r>
      <w:r>
        <w:t xml:space="preserve"> </w:t>
      </w:r>
      <w:r w:rsidRPr="0073736D">
        <w:t>3</w:t>
      </w:r>
      <w:r>
        <w:t xml:space="preserve"> </w:t>
      </w:r>
      <w:r w:rsidRPr="0073736D">
        <w:t>a</w:t>
      </w:r>
      <w:r>
        <w:t xml:space="preserve"> </w:t>
      </w:r>
      <w:r w:rsidRPr="0073736D">
        <w:t>4</w:t>
      </w:r>
      <w:r>
        <w:t xml:space="preserve"> </w:t>
      </w:r>
      <w:r w:rsidRPr="0073736D">
        <w:t>se</w:t>
      </w:r>
      <w:r>
        <w:t xml:space="preserve"> </w:t>
      </w:r>
      <w:r w:rsidRPr="0073736D">
        <w:t>použijí</w:t>
      </w:r>
      <w:r>
        <w:t xml:space="preserve"> </w:t>
      </w:r>
      <w:r w:rsidRPr="0073736D">
        <w:t>přiměřeně.</w:t>
      </w:r>
    </w:p>
    <w:p w14:paraId="1ECBE804" w14:textId="77777777" w:rsidR="00DA3707" w:rsidRPr="0073736D" w:rsidRDefault="00DA3707" w:rsidP="00F5058F">
      <w:pPr>
        <w:pStyle w:val="Textparagrafu"/>
        <w:numPr>
          <w:ilvl w:val="0"/>
          <w:numId w:val="27"/>
        </w:numPr>
        <w:tabs>
          <w:tab w:val="left" w:pos="392"/>
          <w:tab w:val="left" w:pos="840"/>
        </w:tabs>
        <w:spacing w:before="120" w:after="120"/>
        <w:ind w:firstLine="425"/>
      </w:pPr>
      <w:r w:rsidRPr="0073736D">
        <w:t>(8)</w:t>
      </w:r>
      <w:r>
        <w:t xml:space="preserve"> </w:t>
      </w:r>
      <w:r w:rsidRPr="0073736D">
        <w:t>Ministerstvo</w:t>
      </w:r>
      <w:r>
        <w:t xml:space="preserve"> </w:t>
      </w:r>
      <w:r w:rsidRPr="0073736D">
        <w:t>vede</w:t>
      </w:r>
      <w:r>
        <w:t xml:space="preserve"> </w:t>
      </w:r>
      <w:r w:rsidRPr="0073736D">
        <w:t>seznam</w:t>
      </w:r>
      <w:r>
        <w:t xml:space="preserve"> </w:t>
      </w:r>
      <w:r w:rsidRPr="0073736D">
        <w:t>pacientských</w:t>
      </w:r>
      <w:r>
        <w:t xml:space="preserve"> </w:t>
      </w:r>
      <w:r w:rsidRPr="0073736D">
        <w:t>organizací</w:t>
      </w:r>
      <w:r>
        <w:t xml:space="preserve"> </w:t>
      </w:r>
      <w:r w:rsidRPr="0073736D">
        <w:t>podle</w:t>
      </w:r>
      <w:r>
        <w:t xml:space="preserve"> </w:t>
      </w:r>
      <w:r w:rsidRPr="0073736D">
        <w:t>odstavce</w:t>
      </w:r>
      <w:r>
        <w:t xml:space="preserve"> </w:t>
      </w:r>
      <w:r w:rsidRPr="0073736D">
        <w:t>3</w:t>
      </w:r>
      <w:r>
        <w:t xml:space="preserve"> </w:t>
      </w:r>
      <w:r w:rsidRPr="0073736D">
        <w:t>a</w:t>
      </w:r>
      <w:r>
        <w:t xml:space="preserve"> </w:t>
      </w:r>
      <w:r w:rsidRPr="0073736D">
        <w:t>uveřejňuje</w:t>
      </w:r>
      <w:r>
        <w:t xml:space="preserve"> </w:t>
      </w:r>
      <w:r w:rsidRPr="0073736D">
        <w:t>ho</w:t>
      </w:r>
      <w:r>
        <w:t xml:space="preserve"> </w:t>
      </w:r>
      <w:r w:rsidRPr="0073736D">
        <w:t>na</w:t>
      </w:r>
      <w:r>
        <w:t xml:space="preserve"> </w:t>
      </w:r>
      <w:r w:rsidRPr="0073736D">
        <w:t>svých</w:t>
      </w:r>
      <w:r>
        <w:t xml:space="preserve"> </w:t>
      </w:r>
      <w:r w:rsidRPr="0073736D">
        <w:t>internetových</w:t>
      </w:r>
      <w:r>
        <w:t xml:space="preserve"> </w:t>
      </w:r>
      <w:r w:rsidRPr="0073736D">
        <w:t>stránkách.</w:t>
      </w:r>
    </w:p>
    <w:p w14:paraId="123766C0" w14:textId="77777777" w:rsidR="00DA3707" w:rsidRDefault="00DA3707" w:rsidP="00881B66">
      <w:pPr>
        <w:tabs>
          <w:tab w:val="left" w:pos="851"/>
        </w:tabs>
        <w:spacing w:before="120" w:after="120"/>
        <w:ind w:firstLine="0"/>
        <w:outlineLvl w:val="0"/>
        <w:sectPr w:rsidR="00DA3707" w:rsidSect="00554E2B">
          <w:footnotePr>
            <w:numStart w:val="3"/>
          </w:footnotePr>
          <w:endnotePr>
            <w:numFmt w:val="decimal"/>
          </w:endnotePr>
          <w:pgSz w:w="11906" w:h="16838"/>
          <w:pgMar w:top="1418" w:right="1418" w:bottom="1418" w:left="1418" w:header="709" w:footer="709" w:gutter="0"/>
          <w:cols w:space="708"/>
          <w:docGrid w:linePitch="360"/>
        </w:sectPr>
      </w:pPr>
    </w:p>
    <w:p w14:paraId="67FE3BFC" w14:textId="71002FCA" w:rsidR="00DA3707" w:rsidRPr="0001063A" w:rsidRDefault="00DA3707" w:rsidP="00F5058F">
      <w:pPr>
        <w:tabs>
          <w:tab w:val="left" w:pos="851"/>
        </w:tabs>
        <w:spacing w:before="120" w:after="120"/>
        <w:ind w:firstLine="0"/>
        <w:jc w:val="center"/>
        <w:outlineLvl w:val="0"/>
        <w:rPr>
          <w:szCs w:val="24"/>
        </w:rPr>
      </w:pPr>
      <w:r w:rsidRPr="0001063A">
        <w:rPr>
          <w:b/>
          <w:szCs w:val="24"/>
        </w:rPr>
        <w:lastRenderedPageBreak/>
        <w:t>K části sté</w:t>
      </w:r>
      <w:r w:rsidR="00037791" w:rsidRPr="0001063A">
        <w:rPr>
          <w:b/>
          <w:szCs w:val="24"/>
        </w:rPr>
        <w:t xml:space="preserve"> osmé</w:t>
      </w:r>
      <w:r w:rsidRPr="0001063A">
        <w:rPr>
          <w:b/>
          <w:szCs w:val="24"/>
        </w:rPr>
        <w:t xml:space="preserve"> návrhu zákona – </w:t>
      </w:r>
      <w:r w:rsidRPr="0001063A">
        <w:rPr>
          <w:szCs w:val="24"/>
        </w:rPr>
        <w:t>změna zákona</w:t>
      </w:r>
      <w:r w:rsidRPr="0001063A">
        <w:t xml:space="preserve"> </w:t>
      </w:r>
      <w:r w:rsidRPr="0001063A">
        <w:rPr>
          <w:szCs w:val="24"/>
        </w:rPr>
        <w:t>o doplňkovém penzijním spoření</w:t>
      </w:r>
    </w:p>
    <w:p w14:paraId="1F501EAC" w14:textId="6A5C0325" w:rsidR="00DA3707" w:rsidRPr="0001063A" w:rsidRDefault="00DA3707" w:rsidP="00DA3707">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01063A">
        <w:rPr>
          <w:b/>
          <w:szCs w:val="24"/>
        </w:rPr>
        <w:t>Platné znění</w:t>
      </w:r>
      <w:r w:rsidRPr="0001063A">
        <w:rPr>
          <w:szCs w:val="24"/>
        </w:rPr>
        <w:t xml:space="preserve"> zákona č. 427/2011 Sb., o doplňkovém penzijním spoření</w:t>
      </w:r>
    </w:p>
    <w:p w14:paraId="5FB56414" w14:textId="074B9B2B" w:rsidR="00DA3707" w:rsidRPr="00F5058F" w:rsidRDefault="00F5058F" w:rsidP="00F5058F">
      <w:pPr>
        <w:pStyle w:val="Odstavecseseznamem"/>
        <w:numPr>
          <w:ilvl w:val="0"/>
          <w:numId w:val="27"/>
        </w:numPr>
        <w:pBdr>
          <w:top w:val="single" w:sz="12" w:space="6" w:color="auto"/>
          <w:left w:val="single" w:sz="12" w:space="0" w:color="auto"/>
          <w:bottom w:val="single" w:sz="12" w:space="6" w:color="auto"/>
          <w:right w:val="single" w:sz="12" w:space="0" w:color="auto"/>
        </w:pBdr>
        <w:spacing w:after="120"/>
        <w:jc w:val="center"/>
        <w:rPr>
          <w:b/>
          <w:szCs w:val="24"/>
          <w:lang w:eastAsia="en-US"/>
        </w:rPr>
      </w:pPr>
      <w:r w:rsidRPr="00607B4B">
        <w:rPr>
          <w:b/>
          <w:szCs w:val="24"/>
          <w:lang w:eastAsia="en-US"/>
        </w:rPr>
        <w:t>s vyznačením navrhovaných změn a doplnění k 1. lednu 2025</w:t>
      </w:r>
    </w:p>
    <w:p w14:paraId="7AC04301" w14:textId="77777777" w:rsidR="00DA3707" w:rsidRPr="0001063A" w:rsidRDefault="00DA3707" w:rsidP="00DA3707">
      <w:pPr>
        <w:pStyle w:val="Textparagrafu"/>
        <w:numPr>
          <w:ilvl w:val="0"/>
          <w:numId w:val="27"/>
        </w:numPr>
        <w:tabs>
          <w:tab w:val="left" w:pos="392"/>
          <w:tab w:val="left" w:pos="840"/>
        </w:tabs>
        <w:spacing w:after="120"/>
        <w:jc w:val="center"/>
      </w:pPr>
      <w:r w:rsidRPr="0001063A">
        <w:t>***</w:t>
      </w:r>
    </w:p>
    <w:p w14:paraId="16542567" w14:textId="77777777" w:rsidR="0001063A" w:rsidRPr="000A0706" w:rsidRDefault="0001063A" w:rsidP="0001063A">
      <w:pPr>
        <w:pStyle w:val="Dl"/>
        <w:keepNext w:val="0"/>
        <w:spacing w:after="120"/>
        <w:ind w:firstLine="0"/>
        <w:rPr>
          <w:szCs w:val="24"/>
        </w:rPr>
      </w:pPr>
      <w:r w:rsidRPr="000A0706">
        <w:rPr>
          <w:szCs w:val="24"/>
        </w:rPr>
        <w:t>Díl 6</w:t>
      </w:r>
    </w:p>
    <w:p w14:paraId="352B8D00" w14:textId="77777777" w:rsidR="0001063A" w:rsidRPr="000A0706" w:rsidRDefault="0001063A" w:rsidP="0001063A">
      <w:pPr>
        <w:keepNext/>
        <w:keepLines/>
        <w:spacing w:after="120"/>
        <w:ind w:firstLine="0"/>
        <w:jc w:val="center"/>
        <w:outlineLvl w:val="5"/>
        <w:rPr>
          <w:b/>
          <w:szCs w:val="24"/>
        </w:rPr>
      </w:pPr>
      <w:r w:rsidRPr="000A0706">
        <w:rPr>
          <w:b/>
          <w:strike/>
          <w:szCs w:val="24"/>
        </w:rPr>
        <w:t>Oddělené účtování o majetku penzijní společnosti a účastnického fondu</w:t>
      </w:r>
      <w:r w:rsidRPr="000A0706">
        <w:rPr>
          <w:b/>
          <w:szCs w:val="24"/>
        </w:rPr>
        <w:t xml:space="preserve"> </w:t>
      </w:r>
    </w:p>
    <w:p w14:paraId="70C8AEBB" w14:textId="794EB4C0" w:rsidR="0001063A" w:rsidRPr="00F5058F" w:rsidRDefault="0001063A" w:rsidP="00F5058F">
      <w:pPr>
        <w:keepNext/>
        <w:keepLines/>
        <w:spacing w:after="120"/>
        <w:ind w:firstLine="0"/>
        <w:jc w:val="center"/>
        <w:outlineLvl w:val="5"/>
        <w:rPr>
          <w:strike/>
          <w:szCs w:val="24"/>
        </w:rPr>
      </w:pPr>
      <w:r w:rsidRPr="000A0706">
        <w:rPr>
          <w:strike/>
          <w:szCs w:val="24"/>
        </w:rPr>
        <w:t>§ 56</w:t>
      </w:r>
    </w:p>
    <w:p w14:paraId="5DE4346B" w14:textId="77777777" w:rsidR="0001063A" w:rsidRPr="000A0706" w:rsidRDefault="0001063A" w:rsidP="00F5058F">
      <w:pPr>
        <w:tabs>
          <w:tab w:val="left" w:pos="782"/>
          <w:tab w:val="left" w:pos="851"/>
        </w:tabs>
        <w:spacing w:before="120" w:after="120"/>
        <w:outlineLvl w:val="6"/>
        <w:rPr>
          <w:strike/>
          <w:szCs w:val="24"/>
        </w:rPr>
      </w:pPr>
      <w:r w:rsidRPr="000A0706">
        <w:rPr>
          <w:strike/>
          <w:szCs w:val="24"/>
        </w:rPr>
        <w:t xml:space="preserve">(1) Penzijní společnost účtuje o stavu a pohybu majetku a jiných aktiv, závazků a jiných pasiv, dále o nákladech a výnosech a o výsledku hospodaření s majetkem v účastnickém fondu odděleně od předmětu účetnictví svého a ostatních účastnických fondů. </w:t>
      </w:r>
    </w:p>
    <w:p w14:paraId="16BBC9B6" w14:textId="77777777" w:rsidR="0001063A" w:rsidRPr="000A0706" w:rsidRDefault="0001063A" w:rsidP="00F5058F">
      <w:pPr>
        <w:tabs>
          <w:tab w:val="left" w:pos="782"/>
          <w:tab w:val="left" w:pos="851"/>
        </w:tabs>
        <w:spacing w:before="120" w:after="120"/>
        <w:outlineLvl w:val="6"/>
        <w:rPr>
          <w:b/>
          <w:strike/>
          <w:szCs w:val="24"/>
        </w:rPr>
      </w:pPr>
      <w:r w:rsidRPr="000A0706">
        <w:rPr>
          <w:strike/>
          <w:szCs w:val="24"/>
        </w:rPr>
        <w:t>(2) Penzijní společnost zajišťuje v souladu s účetními metodami podle zákona upravujícího účetnictví účtování o předmětu účetnictví v účetních knihách vedených odděleně pro jednotlivé účastnické fondy, jejichž majetek obhospodařuje, tak, aby jí to umožnilo sestavení účetní závěrky za každý účastnický fond</w:t>
      </w:r>
      <w:r>
        <w:rPr>
          <w:strike/>
          <w:szCs w:val="24"/>
        </w:rPr>
        <w:t>.</w:t>
      </w:r>
      <w:r w:rsidRPr="000A0706">
        <w:rPr>
          <w:b/>
          <w:strike/>
          <w:szCs w:val="24"/>
        </w:rPr>
        <w:t xml:space="preserve"> </w:t>
      </w:r>
    </w:p>
    <w:p w14:paraId="3D36009E" w14:textId="77777777" w:rsidR="0001063A" w:rsidRPr="000A0706" w:rsidRDefault="0001063A" w:rsidP="0001063A">
      <w:pPr>
        <w:keepNext/>
        <w:keepLines/>
        <w:spacing w:after="120"/>
        <w:ind w:firstLine="0"/>
        <w:jc w:val="center"/>
        <w:outlineLvl w:val="5"/>
        <w:rPr>
          <w:b/>
          <w:szCs w:val="24"/>
        </w:rPr>
      </w:pPr>
      <w:r w:rsidRPr="000A0706">
        <w:rPr>
          <w:b/>
          <w:szCs w:val="24"/>
        </w:rPr>
        <w:t>§ 56</w:t>
      </w:r>
    </w:p>
    <w:p w14:paraId="5BC27B66" w14:textId="77777777" w:rsidR="0001063A" w:rsidRPr="000A0706" w:rsidRDefault="0001063A" w:rsidP="0001063A">
      <w:pPr>
        <w:keepNext/>
        <w:keepLines/>
        <w:spacing w:after="120"/>
        <w:ind w:firstLine="0"/>
        <w:jc w:val="center"/>
        <w:outlineLvl w:val="5"/>
        <w:rPr>
          <w:b/>
          <w:szCs w:val="24"/>
        </w:rPr>
      </w:pPr>
      <w:r w:rsidRPr="000A0706">
        <w:rPr>
          <w:b/>
          <w:szCs w:val="24"/>
        </w:rPr>
        <w:t>Účetnictví a daně účastnického fondu</w:t>
      </w:r>
    </w:p>
    <w:p w14:paraId="4F04D544" w14:textId="77777777" w:rsidR="0001063A" w:rsidRPr="000A0706" w:rsidRDefault="0001063A" w:rsidP="0001063A">
      <w:pPr>
        <w:tabs>
          <w:tab w:val="left" w:pos="782"/>
          <w:tab w:val="left" w:pos="851"/>
        </w:tabs>
        <w:spacing w:after="120"/>
        <w:outlineLvl w:val="6"/>
        <w:rPr>
          <w:b/>
          <w:szCs w:val="24"/>
        </w:rPr>
      </w:pPr>
      <w:r w:rsidRPr="000A0706">
        <w:rPr>
          <w:b/>
          <w:szCs w:val="24"/>
        </w:rPr>
        <w:t>Penzijní společnost zajišťuje plnění povinností obhospodařovaného účastnického fondu souvisejících s </w:t>
      </w:r>
    </w:p>
    <w:p w14:paraId="07766A0C" w14:textId="77777777" w:rsidR="0001063A" w:rsidRPr="000A0706" w:rsidRDefault="0001063A" w:rsidP="0001063A">
      <w:pPr>
        <w:spacing w:before="0"/>
        <w:ind w:left="425" w:hanging="425"/>
        <w:outlineLvl w:val="7"/>
        <w:rPr>
          <w:b/>
          <w:szCs w:val="24"/>
        </w:rPr>
      </w:pPr>
      <w:r w:rsidRPr="000A0706">
        <w:rPr>
          <w:b/>
          <w:szCs w:val="24"/>
        </w:rPr>
        <w:t>a)</w:t>
      </w:r>
      <w:r w:rsidRPr="000A0706">
        <w:rPr>
          <w:b/>
          <w:szCs w:val="24"/>
        </w:rPr>
        <w:tab/>
        <w:t xml:space="preserve">účetnictvím a </w:t>
      </w:r>
    </w:p>
    <w:p w14:paraId="64CF07C1" w14:textId="77777777" w:rsidR="0001063A" w:rsidRPr="000A0706" w:rsidRDefault="0001063A" w:rsidP="0001063A">
      <w:pPr>
        <w:spacing w:before="0"/>
        <w:ind w:left="425" w:hanging="425"/>
        <w:outlineLvl w:val="7"/>
        <w:rPr>
          <w:b/>
          <w:szCs w:val="24"/>
        </w:rPr>
      </w:pPr>
      <w:r w:rsidRPr="000A0706">
        <w:rPr>
          <w:b/>
          <w:szCs w:val="24"/>
        </w:rPr>
        <w:t xml:space="preserve">b) </w:t>
      </w:r>
      <w:r w:rsidRPr="000A0706">
        <w:rPr>
          <w:b/>
          <w:szCs w:val="24"/>
        </w:rPr>
        <w:tab/>
        <w:t>daněmi, poplatky nebo jinými obdobnými peněžitými plněními.</w:t>
      </w:r>
      <w:r w:rsidRPr="000A0706">
        <w:rPr>
          <w:b/>
          <w:strike/>
          <w:szCs w:val="24"/>
        </w:rPr>
        <w:t xml:space="preserve"> </w:t>
      </w:r>
    </w:p>
    <w:p w14:paraId="75695632" w14:textId="77777777" w:rsidR="0001063A" w:rsidRDefault="0001063A" w:rsidP="0001063A">
      <w:pPr>
        <w:pStyle w:val="Dl"/>
        <w:spacing w:before="0"/>
        <w:rPr>
          <w:szCs w:val="24"/>
        </w:rPr>
      </w:pPr>
    </w:p>
    <w:p w14:paraId="651CA942" w14:textId="77777777" w:rsidR="0001063A" w:rsidRPr="000A0706" w:rsidRDefault="0001063A" w:rsidP="0001063A">
      <w:pPr>
        <w:pStyle w:val="Dl"/>
        <w:spacing w:after="120"/>
        <w:ind w:firstLine="0"/>
        <w:rPr>
          <w:szCs w:val="24"/>
        </w:rPr>
      </w:pPr>
      <w:r w:rsidRPr="000A0706">
        <w:rPr>
          <w:szCs w:val="24"/>
        </w:rPr>
        <w:t>Díl 7</w:t>
      </w:r>
    </w:p>
    <w:p w14:paraId="179634CD" w14:textId="77777777" w:rsidR="0001063A" w:rsidRPr="000A0706" w:rsidRDefault="0001063A" w:rsidP="0001063A">
      <w:pPr>
        <w:pStyle w:val="Dl"/>
        <w:spacing w:after="120"/>
        <w:ind w:firstLine="0"/>
        <w:rPr>
          <w:b/>
          <w:szCs w:val="24"/>
        </w:rPr>
      </w:pPr>
      <w:r w:rsidRPr="00931E46">
        <w:rPr>
          <w:b/>
          <w:strike/>
          <w:szCs w:val="24"/>
        </w:rPr>
        <w:t>Výroční</w:t>
      </w:r>
      <w:r w:rsidRPr="00931E46">
        <w:rPr>
          <w:b/>
          <w:szCs w:val="24"/>
        </w:rPr>
        <w:t xml:space="preserve"> </w:t>
      </w:r>
      <w:r>
        <w:rPr>
          <w:b/>
          <w:szCs w:val="24"/>
        </w:rPr>
        <w:t xml:space="preserve">Účetnictví, audit </w:t>
      </w:r>
      <w:r w:rsidRPr="000A0706">
        <w:rPr>
          <w:b/>
          <w:szCs w:val="24"/>
        </w:rPr>
        <w:t>a pololetní zpráva</w:t>
      </w:r>
    </w:p>
    <w:p w14:paraId="78745E8E" w14:textId="77777777" w:rsidR="0001063A" w:rsidRPr="000A0706" w:rsidRDefault="0001063A" w:rsidP="0001063A">
      <w:pPr>
        <w:keepNext/>
        <w:keepLines/>
        <w:spacing w:after="120"/>
        <w:ind w:firstLine="0"/>
        <w:jc w:val="center"/>
        <w:outlineLvl w:val="5"/>
        <w:rPr>
          <w:b/>
          <w:szCs w:val="24"/>
        </w:rPr>
      </w:pPr>
      <w:r w:rsidRPr="000A0706">
        <w:rPr>
          <w:b/>
          <w:szCs w:val="24"/>
        </w:rPr>
        <w:t xml:space="preserve">§ 57 </w:t>
      </w:r>
    </w:p>
    <w:p w14:paraId="235C75BC" w14:textId="77777777" w:rsidR="0001063A" w:rsidRPr="000A0706" w:rsidRDefault="0001063A" w:rsidP="0001063A">
      <w:pPr>
        <w:keepNext/>
        <w:keepLines/>
        <w:spacing w:after="120"/>
        <w:ind w:firstLine="0"/>
        <w:jc w:val="center"/>
        <w:outlineLvl w:val="5"/>
        <w:rPr>
          <w:b/>
          <w:szCs w:val="24"/>
        </w:rPr>
      </w:pPr>
      <w:r w:rsidRPr="000A0706">
        <w:rPr>
          <w:b/>
          <w:strike/>
          <w:szCs w:val="24"/>
        </w:rPr>
        <w:t>Výroční zprávy</w:t>
      </w:r>
      <w:r w:rsidRPr="000A0706">
        <w:rPr>
          <w:b/>
          <w:szCs w:val="24"/>
        </w:rPr>
        <w:t xml:space="preserve"> </w:t>
      </w:r>
      <w:r>
        <w:rPr>
          <w:b/>
          <w:szCs w:val="24"/>
        </w:rPr>
        <w:t>Účetnictví a audit</w:t>
      </w:r>
    </w:p>
    <w:p w14:paraId="2D1D626C" w14:textId="77777777" w:rsidR="0001063A" w:rsidRPr="00B45466" w:rsidRDefault="0001063A" w:rsidP="00F5058F">
      <w:pPr>
        <w:tabs>
          <w:tab w:val="left" w:pos="782"/>
          <w:tab w:val="left" w:pos="851"/>
        </w:tabs>
        <w:spacing w:before="120" w:after="120"/>
        <w:outlineLvl w:val="6"/>
        <w:rPr>
          <w:b/>
          <w:color w:val="FF0000"/>
          <w:szCs w:val="24"/>
        </w:rPr>
      </w:pPr>
      <w:r w:rsidRPr="000A0706">
        <w:rPr>
          <w:strike/>
          <w:szCs w:val="24"/>
        </w:rPr>
        <w:t>(1) Penzijní společnost nejpozději do 4 měsíců po skončení účetního období zašle České národní bance svou výroční zprávu podle zákona upravujícího účetnictví a výroční zprávu za každý obhospodařovaný účastnický fond a uveřejní je na svých internetových stránkách. Zaslaná výroční zpráva penzijní společnosti a výroční zprávy za každý obhospodařovaný účastnický fond musí být ověřeny auditorem.</w:t>
      </w:r>
      <w:r w:rsidRPr="000A0706">
        <w:rPr>
          <w:szCs w:val="24"/>
        </w:rPr>
        <w:t xml:space="preserve"> </w:t>
      </w:r>
    </w:p>
    <w:p w14:paraId="5B559AC1" w14:textId="77777777" w:rsidR="0001063A" w:rsidRPr="000A0706" w:rsidRDefault="0001063A" w:rsidP="00F5058F">
      <w:pPr>
        <w:tabs>
          <w:tab w:val="left" w:pos="782"/>
          <w:tab w:val="left" w:pos="851"/>
        </w:tabs>
        <w:spacing w:before="120" w:after="120"/>
        <w:outlineLvl w:val="6"/>
        <w:rPr>
          <w:strike/>
          <w:szCs w:val="24"/>
        </w:rPr>
      </w:pPr>
      <w:r w:rsidRPr="000A0706">
        <w:rPr>
          <w:strike/>
          <w:szCs w:val="24"/>
        </w:rPr>
        <w:t>(2)</w:t>
      </w:r>
      <w:r>
        <w:rPr>
          <w:b/>
          <w:strike/>
          <w:szCs w:val="24"/>
        </w:rPr>
        <w:tab/>
      </w:r>
      <w:r w:rsidRPr="000A0706">
        <w:rPr>
          <w:strike/>
          <w:szCs w:val="24"/>
        </w:rPr>
        <w:t>Pokud valná hromada penzijní společnosti neschválí ve lhůtě podle odstavce 1 řádnou účetní závěrku, penzijní společnost ji zašle České národní bance spolu s důvody, pro které nebyla schválena, a způsobem řešení připomínek valné hromady; tyto údaje současně uveřejní na svých internetových stránkách.</w:t>
      </w:r>
    </w:p>
    <w:p w14:paraId="7E1ECFED" w14:textId="77777777" w:rsidR="0001063A" w:rsidRPr="00760672" w:rsidRDefault="0001063A" w:rsidP="00F5058F">
      <w:pPr>
        <w:tabs>
          <w:tab w:val="left" w:pos="782"/>
          <w:tab w:val="left" w:pos="851"/>
        </w:tabs>
        <w:spacing w:before="120" w:after="120"/>
        <w:outlineLvl w:val="6"/>
        <w:rPr>
          <w:b/>
          <w:szCs w:val="24"/>
        </w:rPr>
      </w:pPr>
      <w:r w:rsidRPr="00760672">
        <w:rPr>
          <w:b/>
          <w:szCs w:val="24"/>
        </w:rPr>
        <w:lastRenderedPageBreak/>
        <w:t>(1)</w:t>
      </w:r>
      <w:r>
        <w:rPr>
          <w:b/>
          <w:szCs w:val="24"/>
        </w:rPr>
        <w:tab/>
      </w:r>
      <w:r w:rsidRPr="00760672">
        <w:rPr>
          <w:b/>
          <w:szCs w:val="24"/>
        </w:rPr>
        <w:t xml:space="preserve">Penzijní společnost a účastnický fond obhospodařovaný penzijní společností </w:t>
      </w:r>
      <w:r w:rsidRPr="00BF1803">
        <w:rPr>
          <w:b/>
          <w:szCs w:val="24"/>
        </w:rPr>
        <w:t>jako účetní jednotka</w:t>
      </w:r>
      <w:r>
        <w:rPr>
          <w:b/>
          <w:szCs w:val="24"/>
        </w:rPr>
        <w:t xml:space="preserve"> mají povinnost auditu řádné účetní závěrky</w:t>
      </w:r>
      <w:r w:rsidRPr="00760672">
        <w:rPr>
          <w:b/>
          <w:szCs w:val="24"/>
        </w:rPr>
        <w:t>.</w:t>
      </w:r>
    </w:p>
    <w:p w14:paraId="7F1BB3ED" w14:textId="77777777" w:rsidR="0001063A" w:rsidRPr="000319BD" w:rsidRDefault="0001063A" w:rsidP="00F5058F">
      <w:pPr>
        <w:tabs>
          <w:tab w:val="left" w:pos="782"/>
          <w:tab w:val="left" w:pos="851"/>
        </w:tabs>
        <w:spacing w:before="120" w:after="120"/>
        <w:outlineLvl w:val="6"/>
        <w:rPr>
          <w:b/>
          <w:szCs w:val="24"/>
        </w:rPr>
      </w:pPr>
      <w:r w:rsidRPr="000319BD">
        <w:rPr>
          <w:b/>
          <w:szCs w:val="24"/>
        </w:rPr>
        <w:t>(2)</w:t>
      </w:r>
      <w:r>
        <w:rPr>
          <w:b/>
          <w:szCs w:val="24"/>
        </w:rPr>
        <w:tab/>
      </w:r>
      <w:r w:rsidRPr="000319BD">
        <w:rPr>
          <w:b/>
          <w:szCs w:val="24"/>
        </w:rPr>
        <w:t xml:space="preserve">Penzijní společnost a účastnický fond obhospodařovaný penzijní společností </w:t>
      </w:r>
      <w:r w:rsidRPr="00BF1803">
        <w:rPr>
          <w:b/>
          <w:szCs w:val="24"/>
        </w:rPr>
        <w:t>jako účetní jednotka</w:t>
      </w:r>
      <w:r>
        <w:rPr>
          <w:b/>
          <w:szCs w:val="24"/>
        </w:rPr>
        <w:t xml:space="preserve"> </w:t>
      </w:r>
      <w:r w:rsidRPr="000319BD">
        <w:rPr>
          <w:b/>
          <w:szCs w:val="24"/>
        </w:rPr>
        <w:t>vyhotovují individuální zprávu vedení.</w:t>
      </w:r>
    </w:p>
    <w:p w14:paraId="64D27C9D" w14:textId="77777777" w:rsidR="0001063A" w:rsidRPr="00017FA5" w:rsidRDefault="0001063A" w:rsidP="00F5058F">
      <w:pPr>
        <w:tabs>
          <w:tab w:val="left" w:pos="782"/>
          <w:tab w:val="left" w:pos="851"/>
        </w:tabs>
        <w:spacing w:before="120" w:after="120"/>
        <w:outlineLvl w:val="6"/>
        <w:rPr>
          <w:szCs w:val="24"/>
        </w:rPr>
      </w:pPr>
      <w:r w:rsidRPr="000319BD">
        <w:rPr>
          <w:b/>
          <w:szCs w:val="24"/>
        </w:rPr>
        <w:t>(3)</w:t>
      </w:r>
      <w:r>
        <w:rPr>
          <w:b/>
          <w:szCs w:val="24"/>
        </w:rPr>
        <w:tab/>
      </w:r>
      <w:r w:rsidRPr="000319BD">
        <w:rPr>
          <w:b/>
          <w:szCs w:val="24"/>
        </w:rPr>
        <w:t xml:space="preserve">Penzijní společnost a účastnický fond obhospodařovaný penzijní společností </w:t>
      </w:r>
      <w:r w:rsidRPr="007C076C">
        <w:rPr>
          <w:b/>
          <w:szCs w:val="24"/>
        </w:rPr>
        <w:t>jako účetní jednotka</w:t>
      </w:r>
      <w:r w:rsidRPr="000319BD">
        <w:rPr>
          <w:b/>
          <w:szCs w:val="24"/>
        </w:rPr>
        <w:t xml:space="preserve"> zveřejní </w:t>
      </w:r>
      <w:r>
        <w:rPr>
          <w:b/>
          <w:szCs w:val="24"/>
        </w:rPr>
        <w:t xml:space="preserve">řádnou účetní závěrku, zprávy podle zákona upravujícího účetnictví, jsou-li vyhotovovány, a zprávy o jejich ověření, jsou-li ověřovány, </w:t>
      </w:r>
      <w:r w:rsidRPr="000319BD">
        <w:rPr>
          <w:b/>
          <w:szCs w:val="24"/>
        </w:rPr>
        <w:t xml:space="preserve">do 4 měsíců od </w:t>
      </w:r>
      <w:r>
        <w:rPr>
          <w:b/>
          <w:szCs w:val="24"/>
        </w:rPr>
        <w:t>konce</w:t>
      </w:r>
      <w:r w:rsidRPr="000319BD">
        <w:rPr>
          <w:b/>
          <w:szCs w:val="24"/>
        </w:rPr>
        <w:t xml:space="preserve"> účetního období</w:t>
      </w:r>
      <w:r w:rsidRPr="00863E94">
        <w:rPr>
          <w:szCs w:val="24"/>
        </w:rPr>
        <w:t xml:space="preserve">. </w:t>
      </w:r>
      <w:r w:rsidRPr="00017FA5">
        <w:rPr>
          <w:color w:val="FF0000"/>
          <w:szCs w:val="24"/>
          <w:highlight w:val="yellow"/>
        </w:rPr>
        <w:t xml:space="preserve"> </w:t>
      </w:r>
    </w:p>
    <w:p w14:paraId="7A037410" w14:textId="77777777" w:rsidR="0001063A" w:rsidRPr="003354C4" w:rsidRDefault="0001063A" w:rsidP="00F5058F">
      <w:pPr>
        <w:tabs>
          <w:tab w:val="left" w:pos="782"/>
          <w:tab w:val="left" w:pos="851"/>
        </w:tabs>
        <w:spacing w:before="120" w:after="120"/>
        <w:outlineLvl w:val="6"/>
        <w:rPr>
          <w:b/>
          <w:szCs w:val="24"/>
        </w:rPr>
      </w:pPr>
      <w:r w:rsidRPr="003354C4">
        <w:rPr>
          <w:b/>
          <w:szCs w:val="24"/>
        </w:rPr>
        <w:t>(4)</w:t>
      </w:r>
      <w:r>
        <w:rPr>
          <w:b/>
          <w:szCs w:val="24"/>
        </w:rPr>
        <w:tab/>
      </w:r>
      <w:r w:rsidRPr="007C076C">
        <w:rPr>
          <w:b/>
          <w:szCs w:val="24"/>
        </w:rPr>
        <w:t xml:space="preserve">Řádná individuální </w:t>
      </w:r>
      <w:r>
        <w:rPr>
          <w:b/>
          <w:szCs w:val="24"/>
        </w:rPr>
        <w:t>účetní závěrka, zprávy účastnického</w:t>
      </w:r>
      <w:r w:rsidRPr="003354C4">
        <w:rPr>
          <w:b/>
          <w:szCs w:val="24"/>
        </w:rPr>
        <w:t xml:space="preserve"> fond</w:t>
      </w:r>
      <w:r>
        <w:rPr>
          <w:b/>
          <w:szCs w:val="24"/>
        </w:rPr>
        <w:t>u obhospodařovaného</w:t>
      </w:r>
      <w:r w:rsidRPr="003354C4">
        <w:rPr>
          <w:b/>
          <w:szCs w:val="24"/>
        </w:rPr>
        <w:t xml:space="preserve"> penzijní společností </w:t>
      </w:r>
      <w:r>
        <w:rPr>
          <w:b/>
          <w:szCs w:val="24"/>
        </w:rPr>
        <w:t xml:space="preserve">podle zákona upravujícího účetnictví, jsou-li vyhotovovány, a zprávy o jejich ověření, jsou-li ověřovány, </w:t>
      </w:r>
      <w:r w:rsidRPr="007C076C">
        <w:rPr>
          <w:b/>
          <w:szCs w:val="24"/>
        </w:rPr>
        <w:t>se zveřejňuj</w:t>
      </w:r>
      <w:r>
        <w:rPr>
          <w:b/>
          <w:szCs w:val="24"/>
        </w:rPr>
        <w:t>í</w:t>
      </w:r>
      <w:r w:rsidRPr="006D6EFE">
        <w:rPr>
          <w:b/>
          <w:color w:val="FF0000"/>
          <w:szCs w:val="24"/>
        </w:rPr>
        <w:t xml:space="preserve"> </w:t>
      </w:r>
      <w:r w:rsidRPr="003354C4">
        <w:rPr>
          <w:b/>
          <w:szCs w:val="24"/>
        </w:rPr>
        <w:t>ve veřejném rejstříku uložením do sbírky listin veřejného rejstříku, ve které</w:t>
      </w:r>
      <w:r>
        <w:rPr>
          <w:b/>
          <w:szCs w:val="24"/>
        </w:rPr>
        <w:t>m</w:t>
      </w:r>
      <w:r w:rsidRPr="003354C4">
        <w:rPr>
          <w:b/>
          <w:szCs w:val="24"/>
        </w:rPr>
        <w:t xml:space="preserve"> se zveřejňuj</w:t>
      </w:r>
      <w:r>
        <w:rPr>
          <w:b/>
          <w:szCs w:val="24"/>
        </w:rPr>
        <w:t>e</w:t>
      </w:r>
      <w:r w:rsidRPr="003354C4">
        <w:rPr>
          <w:b/>
          <w:szCs w:val="24"/>
        </w:rPr>
        <w:t xml:space="preserve"> </w:t>
      </w:r>
      <w:r>
        <w:rPr>
          <w:b/>
          <w:szCs w:val="24"/>
        </w:rPr>
        <w:t>řádná individuální účetní závěrka</w:t>
      </w:r>
      <w:r w:rsidRPr="003354C4">
        <w:rPr>
          <w:b/>
          <w:szCs w:val="24"/>
        </w:rPr>
        <w:t xml:space="preserve"> penzijní společnosti, která ho obhospodařuje. </w:t>
      </w:r>
    </w:p>
    <w:p w14:paraId="718892A1" w14:textId="77777777" w:rsidR="0001063A" w:rsidRPr="006D6EFE" w:rsidRDefault="0001063A" w:rsidP="00F5058F">
      <w:pPr>
        <w:tabs>
          <w:tab w:val="left" w:pos="782"/>
          <w:tab w:val="left" w:pos="851"/>
        </w:tabs>
        <w:spacing w:before="120" w:after="120"/>
        <w:outlineLvl w:val="6"/>
        <w:rPr>
          <w:b/>
          <w:color w:val="FF0000"/>
          <w:szCs w:val="24"/>
        </w:rPr>
      </w:pPr>
      <w:r w:rsidRPr="003354C4">
        <w:rPr>
          <w:b/>
          <w:szCs w:val="24"/>
        </w:rPr>
        <w:t>(5)</w:t>
      </w:r>
      <w:r>
        <w:rPr>
          <w:b/>
          <w:szCs w:val="24"/>
        </w:rPr>
        <w:tab/>
      </w:r>
      <w:r w:rsidRPr="003354C4">
        <w:rPr>
          <w:b/>
          <w:szCs w:val="24"/>
        </w:rPr>
        <w:t xml:space="preserve">Ve lhůtě podle odstavce 3 penzijní společnost </w:t>
      </w:r>
      <w:r w:rsidRPr="00F85BCC">
        <w:rPr>
          <w:b/>
          <w:szCs w:val="24"/>
        </w:rPr>
        <w:t xml:space="preserve">uveřejní řádnou </w:t>
      </w:r>
      <w:r>
        <w:rPr>
          <w:b/>
          <w:szCs w:val="24"/>
        </w:rPr>
        <w:t>účetní závěrku a zprávy podle zákona upravujícího účetnictví penzijní společnosti a</w:t>
      </w:r>
      <w:r w:rsidRPr="00F85BCC">
        <w:rPr>
          <w:b/>
          <w:szCs w:val="24"/>
        </w:rPr>
        <w:t xml:space="preserve"> účastnického fondu obhospodařovaného touto penzijní společností</w:t>
      </w:r>
      <w:r>
        <w:rPr>
          <w:b/>
          <w:szCs w:val="24"/>
        </w:rPr>
        <w:t>, jsou-li vyhotovovány, a zprávy o jejich ověření, jsou-li ověřovány,</w:t>
      </w:r>
      <w:r w:rsidRPr="00F85BCC">
        <w:rPr>
          <w:b/>
          <w:szCs w:val="24"/>
        </w:rPr>
        <w:t xml:space="preserve"> na internetových stránkách této penzijní společnosti.</w:t>
      </w:r>
    </w:p>
    <w:p w14:paraId="1F6E1E68" w14:textId="77777777" w:rsidR="0001063A" w:rsidRDefault="0001063A" w:rsidP="00F5058F">
      <w:pPr>
        <w:pStyle w:val="Nadpisdlu"/>
        <w:spacing w:before="120" w:after="120"/>
        <w:jc w:val="both"/>
      </w:pPr>
      <w:r w:rsidRPr="003354C4">
        <w:t xml:space="preserve">(6) Pokud valná hromada penzijní společnosti neschválí řádnou účetní závěrku penzijní společnosti nebo </w:t>
      </w:r>
      <w:r w:rsidRPr="003354C4">
        <w:rPr>
          <w:szCs w:val="24"/>
        </w:rPr>
        <w:t>účastnického fondu obhospodařovaného touto penzijní společností</w:t>
      </w:r>
      <w:r w:rsidRPr="003354C4">
        <w:t xml:space="preserve"> ve lhůtě podle odstavce 3, penzijní společnost </w:t>
      </w:r>
      <w:r>
        <w:t xml:space="preserve">uveřejní na svých internetových stránkách tuto účetní závěrku </w:t>
      </w:r>
      <w:r w:rsidRPr="008E26DD">
        <w:t xml:space="preserve">společně </w:t>
      </w:r>
      <w:r w:rsidRPr="00EA5AE2">
        <w:t>s</w:t>
      </w:r>
      <w:r w:rsidRPr="003354C4">
        <w:t> </w:t>
      </w:r>
      <w:r>
        <w:t>informací o jejím neschválení, důvodech jejího neschválení a způsobu</w:t>
      </w:r>
      <w:r w:rsidRPr="007F3518">
        <w:t xml:space="preserve"> řešení připomínek valné hromady k</w:t>
      </w:r>
      <w:r>
        <w:t> ní.</w:t>
      </w:r>
      <w:r w:rsidRPr="007F3518" w:rsidDel="007F3518">
        <w:t xml:space="preserve"> </w:t>
      </w:r>
    </w:p>
    <w:p w14:paraId="5E912F41" w14:textId="77777777" w:rsidR="0001063A" w:rsidRPr="000A0706" w:rsidRDefault="0001063A" w:rsidP="00F5058F">
      <w:pPr>
        <w:tabs>
          <w:tab w:val="left" w:pos="782"/>
          <w:tab w:val="left" w:pos="851"/>
        </w:tabs>
        <w:spacing w:before="120" w:after="120"/>
        <w:outlineLvl w:val="6"/>
        <w:rPr>
          <w:szCs w:val="24"/>
        </w:rPr>
      </w:pPr>
      <w:proofErr w:type="gramStart"/>
      <w:r w:rsidRPr="000A0706">
        <w:rPr>
          <w:strike/>
          <w:szCs w:val="24"/>
        </w:rPr>
        <w:t>(3)</w:t>
      </w:r>
      <w:r w:rsidRPr="000A0706">
        <w:rPr>
          <w:b/>
          <w:szCs w:val="24"/>
        </w:rPr>
        <w:t>(7)</w:t>
      </w:r>
      <w:r w:rsidRPr="000A0706">
        <w:rPr>
          <w:szCs w:val="24"/>
        </w:rPr>
        <w:t xml:space="preserve"> Pokud</w:t>
      </w:r>
      <w:proofErr w:type="gramEnd"/>
      <w:r w:rsidRPr="000A0706">
        <w:rPr>
          <w:szCs w:val="24"/>
        </w:rPr>
        <w:t xml:space="preserve"> soud rozhodne o neplatnosti usnesení valné hromady, kterým valná hromada penzijní společnosti schválila účetní závěrku</w:t>
      </w:r>
      <w:r w:rsidRPr="00F03FC2">
        <w:rPr>
          <w:strike/>
          <w:szCs w:val="24"/>
        </w:rPr>
        <w:t xml:space="preserve">, </w:t>
      </w:r>
      <w:r w:rsidRPr="008E26DD">
        <w:rPr>
          <w:strike/>
          <w:szCs w:val="24"/>
        </w:rPr>
        <w:t>zašle penzijní společnost bez zbytečného odkladu České národní bance pravomocný rozsudek v této věci a současně jej</w:t>
      </w:r>
      <w:r w:rsidRPr="000A0706">
        <w:rPr>
          <w:szCs w:val="24"/>
        </w:rPr>
        <w:t xml:space="preserve"> </w:t>
      </w:r>
      <w:r w:rsidRPr="000A0706">
        <w:rPr>
          <w:b/>
          <w:szCs w:val="24"/>
        </w:rPr>
        <w:t>penzijní společnosti nebo účastnického fondu obhospodařovaného touto penzijní společností</w:t>
      </w:r>
      <w:r>
        <w:rPr>
          <w:b/>
          <w:szCs w:val="24"/>
        </w:rPr>
        <w:t>,</w:t>
      </w:r>
      <w:r w:rsidRPr="008E26DD">
        <w:rPr>
          <w:b/>
          <w:szCs w:val="24"/>
        </w:rPr>
        <w:t xml:space="preserve"> penzijní společnost </w:t>
      </w:r>
      <w:r>
        <w:rPr>
          <w:b/>
          <w:szCs w:val="24"/>
        </w:rPr>
        <w:t>pravomocné rozhodnutí</w:t>
      </w:r>
      <w:r w:rsidRPr="008E26DD">
        <w:rPr>
          <w:b/>
          <w:szCs w:val="24"/>
        </w:rPr>
        <w:t xml:space="preserve"> bez zbytečného odkladu</w:t>
      </w:r>
      <w:r>
        <w:rPr>
          <w:szCs w:val="24"/>
        </w:rPr>
        <w:t xml:space="preserve"> </w:t>
      </w:r>
      <w:r w:rsidRPr="000A0706">
        <w:rPr>
          <w:szCs w:val="24"/>
        </w:rPr>
        <w:t xml:space="preserve">uveřejní na svých internetových stránkách. </w:t>
      </w:r>
    </w:p>
    <w:p w14:paraId="02CEC8A7" w14:textId="77777777" w:rsidR="0001063A" w:rsidRPr="000A0706" w:rsidRDefault="0001063A" w:rsidP="00F5058F">
      <w:pPr>
        <w:tabs>
          <w:tab w:val="left" w:pos="782"/>
          <w:tab w:val="left" w:pos="851"/>
        </w:tabs>
        <w:spacing w:before="120" w:after="120"/>
        <w:outlineLvl w:val="6"/>
        <w:rPr>
          <w:szCs w:val="24"/>
        </w:rPr>
      </w:pPr>
      <w:proofErr w:type="gramStart"/>
      <w:r w:rsidRPr="000A0706">
        <w:rPr>
          <w:strike/>
          <w:szCs w:val="24"/>
        </w:rPr>
        <w:t>(4)</w:t>
      </w:r>
      <w:r w:rsidRPr="000A0706">
        <w:rPr>
          <w:b/>
          <w:szCs w:val="24"/>
        </w:rPr>
        <w:t>(8)</w:t>
      </w:r>
      <w:r w:rsidRPr="000A0706">
        <w:rPr>
          <w:szCs w:val="24"/>
        </w:rPr>
        <w:t xml:space="preserve"> </w:t>
      </w:r>
      <w:r w:rsidRPr="000A0706">
        <w:rPr>
          <w:strike/>
          <w:szCs w:val="24"/>
        </w:rPr>
        <w:t>Výroční</w:t>
      </w:r>
      <w:proofErr w:type="gramEnd"/>
      <w:r w:rsidRPr="000A0706">
        <w:rPr>
          <w:strike/>
          <w:szCs w:val="24"/>
        </w:rPr>
        <w:t xml:space="preserve"> zprávy podle odstavce 1</w:t>
      </w:r>
      <w:r w:rsidRPr="000A0706">
        <w:rPr>
          <w:szCs w:val="24"/>
        </w:rPr>
        <w:t xml:space="preserve"> </w:t>
      </w:r>
      <w:r w:rsidRPr="000A0706">
        <w:rPr>
          <w:b/>
          <w:szCs w:val="24"/>
        </w:rPr>
        <w:t xml:space="preserve">Řádné </w:t>
      </w:r>
      <w:r>
        <w:rPr>
          <w:b/>
          <w:szCs w:val="24"/>
        </w:rPr>
        <w:t xml:space="preserve">účetní závěrky a zprávy podle zákona upravujícího účetnictví </w:t>
      </w:r>
      <w:r w:rsidRPr="000A0706">
        <w:rPr>
          <w:b/>
          <w:szCs w:val="24"/>
        </w:rPr>
        <w:t>penzijní společnosti a účastnického fondu obhospodařovaného touto penzijní společností</w:t>
      </w:r>
      <w:r>
        <w:rPr>
          <w:b/>
          <w:szCs w:val="24"/>
        </w:rPr>
        <w:t xml:space="preserve">, jsou-li vyhotovovány, </w:t>
      </w:r>
      <w:r w:rsidRPr="000A0706">
        <w:rPr>
          <w:szCs w:val="24"/>
        </w:rPr>
        <w:t xml:space="preserve">za poslední 3 účetní období </w:t>
      </w:r>
      <w:r>
        <w:rPr>
          <w:b/>
          <w:szCs w:val="24"/>
        </w:rPr>
        <w:t xml:space="preserve">a zprávy o jejich ověření, jsou-li ověřovány, </w:t>
      </w:r>
      <w:r w:rsidRPr="000A0706">
        <w:rPr>
          <w:szCs w:val="24"/>
        </w:rPr>
        <w:t xml:space="preserve">musí být veřejně přístupné v sídle penzijní společnosti. Penzijní společnost poskytne účastníkovi na jeho žádost bez zbytečného odkladu </w:t>
      </w:r>
      <w:r w:rsidRPr="000A0706">
        <w:rPr>
          <w:strike/>
          <w:szCs w:val="24"/>
        </w:rPr>
        <w:t>výroční zprávy</w:t>
      </w:r>
      <w:r w:rsidRPr="000A0706">
        <w:rPr>
          <w:szCs w:val="24"/>
        </w:rPr>
        <w:t xml:space="preserve"> </w:t>
      </w:r>
      <w:r w:rsidRPr="000A0706">
        <w:rPr>
          <w:b/>
          <w:szCs w:val="24"/>
        </w:rPr>
        <w:t>řádné individuální</w:t>
      </w:r>
      <w:r w:rsidRPr="000A0706">
        <w:rPr>
          <w:szCs w:val="24"/>
        </w:rPr>
        <w:t xml:space="preserve"> </w:t>
      </w:r>
      <w:r>
        <w:rPr>
          <w:b/>
          <w:szCs w:val="24"/>
        </w:rPr>
        <w:t xml:space="preserve">účetní závěrky a zprávy podle zákona upravujícího účetnictví </w:t>
      </w:r>
      <w:r w:rsidRPr="000A0706">
        <w:rPr>
          <w:b/>
          <w:szCs w:val="24"/>
        </w:rPr>
        <w:t>penzijní společnosti nebo účastnického fondu obhospodařovaného touto penzijní společností</w:t>
      </w:r>
      <w:r>
        <w:rPr>
          <w:b/>
          <w:szCs w:val="24"/>
        </w:rPr>
        <w:t xml:space="preserve">, jsou-li vyhotovovány, </w:t>
      </w:r>
      <w:r w:rsidRPr="000A0706">
        <w:rPr>
          <w:szCs w:val="24"/>
        </w:rPr>
        <w:t xml:space="preserve">za poslední 3 účetní období </w:t>
      </w:r>
      <w:r>
        <w:rPr>
          <w:b/>
          <w:szCs w:val="24"/>
        </w:rPr>
        <w:t>a zprávy o jejich ověření, jsou-li ověřovány,</w:t>
      </w:r>
      <w:r w:rsidRPr="000A0706">
        <w:rPr>
          <w:b/>
          <w:szCs w:val="24"/>
        </w:rPr>
        <w:t xml:space="preserve"> </w:t>
      </w:r>
      <w:r w:rsidRPr="000A0706">
        <w:rPr>
          <w:szCs w:val="24"/>
        </w:rPr>
        <w:t xml:space="preserve">bezplatně elektronicky nebo v listinné podobě za náhradu účelně vynaložených nákladů. </w:t>
      </w:r>
    </w:p>
    <w:p w14:paraId="51F461B2" w14:textId="77777777" w:rsidR="0001063A" w:rsidRDefault="0001063A" w:rsidP="0001063A">
      <w:pPr>
        <w:spacing w:after="120"/>
        <w:jc w:val="center"/>
        <w:outlineLvl w:val="5"/>
        <w:rPr>
          <w:b/>
          <w:szCs w:val="24"/>
        </w:rPr>
      </w:pPr>
      <w:r w:rsidRPr="00456BEF">
        <w:rPr>
          <w:b/>
          <w:szCs w:val="24"/>
        </w:rPr>
        <w:t>§ 57a</w:t>
      </w:r>
    </w:p>
    <w:p w14:paraId="2754B7E5" w14:textId="77777777" w:rsidR="0001063A" w:rsidRPr="00456BEF" w:rsidRDefault="0001063A" w:rsidP="0001063A">
      <w:pPr>
        <w:spacing w:after="120"/>
        <w:jc w:val="center"/>
        <w:outlineLvl w:val="5"/>
        <w:rPr>
          <w:b/>
          <w:szCs w:val="24"/>
        </w:rPr>
      </w:pPr>
      <w:r>
        <w:rPr>
          <w:b/>
          <w:szCs w:val="24"/>
        </w:rPr>
        <w:t>Výběr auditora</w:t>
      </w:r>
    </w:p>
    <w:p w14:paraId="781F8895" w14:textId="77777777" w:rsidR="0001063A" w:rsidRPr="00FA3E77" w:rsidRDefault="0001063A" w:rsidP="00F5058F">
      <w:pPr>
        <w:tabs>
          <w:tab w:val="left" w:pos="782"/>
          <w:tab w:val="left" w:pos="851"/>
        </w:tabs>
        <w:spacing w:before="120" w:after="120"/>
        <w:outlineLvl w:val="6"/>
        <w:rPr>
          <w:b/>
          <w:szCs w:val="24"/>
        </w:rPr>
      </w:pPr>
      <w:r w:rsidRPr="00FA3E77">
        <w:rPr>
          <w:b/>
          <w:szCs w:val="24"/>
        </w:rPr>
        <w:t xml:space="preserve">(1) </w:t>
      </w:r>
      <w:r>
        <w:rPr>
          <w:b/>
          <w:szCs w:val="24"/>
        </w:rPr>
        <w:t>Penzijní společnost</w:t>
      </w:r>
      <w:r w:rsidRPr="00FA3E77">
        <w:rPr>
          <w:b/>
          <w:szCs w:val="24"/>
        </w:rPr>
        <w:t xml:space="preserve"> </w:t>
      </w:r>
      <w:r>
        <w:rPr>
          <w:b/>
          <w:szCs w:val="24"/>
        </w:rPr>
        <w:t xml:space="preserve">a účastnický fond </w:t>
      </w:r>
      <w:r w:rsidRPr="009644FD">
        <w:rPr>
          <w:b/>
          <w:szCs w:val="24"/>
        </w:rPr>
        <w:t>obhospodařovaný penzijní společností</w:t>
      </w:r>
      <w:r w:rsidRPr="00FA3E77">
        <w:rPr>
          <w:b/>
          <w:szCs w:val="24"/>
        </w:rPr>
        <w:t xml:space="preserve"> oznámí České národní bance auditora vybraného</w:t>
      </w:r>
      <w:r>
        <w:rPr>
          <w:b/>
          <w:szCs w:val="24"/>
        </w:rPr>
        <w:t xml:space="preserve"> pro provedení </w:t>
      </w:r>
      <w:r w:rsidRPr="00A833DD">
        <w:rPr>
          <w:b/>
          <w:szCs w:val="24"/>
        </w:rPr>
        <w:t>povinného auditu</w:t>
      </w:r>
      <w:r w:rsidRPr="00FA3E77">
        <w:rPr>
          <w:b/>
          <w:szCs w:val="24"/>
        </w:rPr>
        <w:t xml:space="preserve"> před jeho urče</w:t>
      </w:r>
      <w:r>
        <w:rPr>
          <w:b/>
          <w:szCs w:val="24"/>
        </w:rPr>
        <w:t>ním způsobem stanoveným zákonem</w:t>
      </w:r>
      <w:r w:rsidRPr="00FA3E77">
        <w:rPr>
          <w:b/>
          <w:szCs w:val="24"/>
        </w:rPr>
        <w:t xml:space="preserve"> upravujícím auditorskou činnost.</w:t>
      </w:r>
    </w:p>
    <w:p w14:paraId="6CC7A567" w14:textId="77777777" w:rsidR="0001063A" w:rsidRPr="00FA3E77" w:rsidRDefault="0001063A" w:rsidP="00F5058F">
      <w:pPr>
        <w:tabs>
          <w:tab w:val="left" w:pos="782"/>
          <w:tab w:val="left" w:pos="851"/>
        </w:tabs>
        <w:spacing w:before="120" w:after="120"/>
        <w:outlineLvl w:val="6"/>
        <w:rPr>
          <w:b/>
          <w:szCs w:val="24"/>
        </w:rPr>
      </w:pPr>
      <w:r w:rsidRPr="00FA3E77">
        <w:rPr>
          <w:b/>
          <w:szCs w:val="24"/>
        </w:rPr>
        <w:t xml:space="preserve">(2) Oznámení o </w:t>
      </w:r>
      <w:r>
        <w:rPr>
          <w:b/>
          <w:szCs w:val="24"/>
        </w:rPr>
        <w:t>výběru auditora podle odstavce 1</w:t>
      </w:r>
      <w:r w:rsidRPr="00FA3E77">
        <w:rPr>
          <w:b/>
          <w:szCs w:val="24"/>
        </w:rPr>
        <w:t xml:space="preserve"> obsahuje</w:t>
      </w:r>
    </w:p>
    <w:p w14:paraId="42214233" w14:textId="77777777" w:rsidR="0001063A" w:rsidRPr="00FA3E77" w:rsidRDefault="0001063A" w:rsidP="0001063A">
      <w:pPr>
        <w:spacing w:before="0"/>
        <w:ind w:left="425" w:hanging="425"/>
        <w:outlineLvl w:val="7"/>
        <w:rPr>
          <w:b/>
          <w:szCs w:val="24"/>
        </w:rPr>
      </w:pPr>
      <w:r w:rsidRPr="00FA3E77">
        <w:rPr>
          <w:b/>
          <w:szCs w:val="24"/>
        </w:rPr>
        <w:lastRenderedPageBreak/>
        <w:t>a)</w:t>
      </w:r>
      <w:r w:rsidRPr="00FA3E77">
        <w:rPr>
          <w:b/>
          <w:szCs w:val="24"/>
        </w:rPr>
        <w:tab/>
        <w:t>identifikaci auditora, klíčového auditorského partnera a dalších osob, které se budou podílet na povinném auditu,</w:t>
      </w:r>
    </w:p>
    <w:p w14:paraId="10F57A05" w14:textId="77777777" w:rsidR="0001063A" w:rsidRPr="00FA3E77" w:rsidRDefault="0001063A" w:rsidP="0001063A">
      <w:pPr>
        <w:spacing w:before="0"/>
        <w:ind w:left="425" w:hanging="425"/>
        <w:outlineLvl w:val="7"/>
        <w:rPr>
          <w:b/>
          <w:szCs w:val="24"/>
        </w:rPr>
      </w:pPr>
      <w:r w:rsidRPr="00FA3E77">
        <w:rPr>
          <w:b/>
          <w:szCs w:val="24"/>
        </w:rPr>
        <w:t>b)</w:t>
      </w:r>
      <w:r w:rsidRPr="00FA3E77">
        <w:rPr>
          <w:b/>
          <w:szCs w:val="24"/>
        </w:rPr>
        <w:tab/>
        <w:t xml:space="preserve">popis činností doposud vykonávaných auditorem v oblasti povinného auditu </w:t>
      </w:r>
      <w:r>
        <w:rPr>
          <w:b/>
          <w:szCs w:val="24"/>
        </w:rPr>
        <w:t xml:space="preserve">penzijních společností a účastnických fondů </w:t>
      </w:r>
      <w:r w:rsidRPr="009644FD">
        <w:rPr>
          <w:b/>
          <w:szCs w:val="24"/>
        </w:rPr>
        <w:t>obhospodařovaný</w:t>
      </w:r>
      <w:r>
        <w:rPr>
          <w:b/>
          <w:szCs w:val="24"/>
        </w:rPr>
        <w:t>ch</w:t>
      </w:r>
      <w:r w:rsidRPr="009644FD">
        <w:rPr>
          <w:b/>
          <w:szCs w:val="24"/>
        </w:rPr>
        <w:t xml:space="preserve"> penzijní</w:t>
      </w:r>
      <w:r>
        <w:rPr>
          <w:b/>
          <w:szCs w:val="24"/>
        </w:rPr>
        <w:t>mi společnostmi</w:t>
      </w:r>
      <w:r w:rsidRPr="00FA3E77">
        <w:rPr>
          <w:b/>
          <w:szCs w:val="24"/>
        </w:rPr>
        <w:t>,</w:t>
      </w:r>
    </w:p>
    <w:p w14:paraId="3456BCFA" w14:textId="77777777" w:rsidR="0001063A" w:rsidRPr="00FA3E77" w:rsidRDefault="0001063A" w:rsidP="0001063A">
      <w:pPr>
        <w:spacing w:before="0"/>
        <w:ind w:left="425" w:hanging="425"/>
        <w:outlineLvl w:val="7"/>
        <w:rPr>
          <w:b/>
          <w:szCs w:val="24"/>
        </w:rPr>
      </w:pPr>
      <w:r w:rsidRPr="00FA3E77">
        <w:rPr>
          <w:b/>
          <w:szCs w:val="24"/>
        </w:rPr>
        <w:t>c)</w:t>
      </w:r>
      <w:r w:rsidRPr="00FA3E77">
        <w:rPr>
          <w:b/>
          <w:szCs w:val="24"/>
        </w:rPr>
        <w:tab/>
        <w:t>období, na jaké má být auditor určen</w:t>
      </w:r>
      <w:r>
        <w:rPr>
          <w:b/>
          <w:szCs w:val="24"/>
        </w:rPr>
        <w:t>, a</w:t>
      </w:r>
    </w:p>
    <w:p w14:paraId="7E9C8E45" w14:textId="77777777" w:rsidR="0001063A" w:rsidRPr="00FA3E77" w:rsidRDefault="0001063A" w:rsidP="0001063A">
      <w:pPr>
        <w:spacing w:before="0"/>
        <w:ind w:left="425" w:hanging="425"/>
        <w:outlineLvl w:val="7"/>
        <w:rPr>
          <w:b/>
          <w:szCs w:val="24"/>
        </w:rPr>
      </w:pPr>
      <w:r w:rsidRPr="00FA3E77">
        <w:rPr>
          <w:b/>
          <w:szCs w:val="24"/>
        </w:rPr>
        <w:t>d)</w:t>
      </w:r>
      <w:r w:rsidRPr="00FA3E77">
        <w:rPr>
          <w:b/>
          <w:szCs w:val="24"/>
        </w:rPr>
        <w:tab/>
        <w:t xml:space="preserve">posouzení </w:t>
      </w:r>
      <w:r>
        <w:rPr>
          <w:b/>
          <w:szCs w:val="24"/>
        </w:rPr>
        <w:t>penzijní společnosti a účastnického fondu obhospodařovaného</w:t>
      </w:r>
      <w:r w:rsidRPr="009644FD">
        <w:rPr>
          <w:b/>
          <w:szCs w:val="24"/>
        </w:rPr>
        <w:t xml:space="preserve"> penzijní společností</w:t>
      </w:r>
      <w:r w:rsidRPr="00FA3E77">
        <w:rPr>
          <w:b/>
          <w:szCs w:val="24"/>
        </w:rPr>
        <w:t>, zda jsou splněny požadavky na nezávislost auditora.</w:t>
      </w:r>
    </w:p>
    <w:p w14:paraId="570AE9E5" w14:textId="77777777" w:rsidR="0001063A" w:rsidRPr="00FA3E77" w:rsidRDefault="0001063A" w:rsidP="00F5058F">
      <w:pPr>
        <w:pStyle w:val="Nadpisdlu"/>
        <w:keepNext w:val="0"/>
        <w:keepLines w:val="0"/>
        <w:spacing w:before="120"/>
        <w:jc w:val="both"/>
        <w:rPr>
          <w:b w:val="0"/>
          <w:szCs w:val="24"/>
        </w:rPr>
      </w:pPr>
      <w:r w:rsidRPr="00FA3E77">
        <w:rPr>
          <w:szCs w:val="24"/>
        </w:rPr>
        <w:t>(3) Česká národní banka auditora oznámeného podle odstavce 2 odmítne do 30 dnů od</w:t>
      </w:r>
      <w:r>
        <w:rPr>
          <w:szCs w:val="24"/>
        </w:rPr>
        <w:t>e dne</w:t>
      </w:r>
      <w:r w:rsidRPr="00FA3E77">
        <w:rPr>
          <w:szCs w:val="24"/>
        </w:rPr>
        <w:t xml:space="preserve"> zahájení řízení, pokud</w:t>
      </w:r>
    </w:p>
    <w:p w14:paraId="58BBE7B5" w14:textId="77777777" w:rsidR="0001063A" w:rsidRPr="00FA3E77" w:rsidRDefault="0001063A" w:rsidP="00F5058F">
      <w:pPr>
        <w:spacing w:before="0"/>
        <w:ind w:left="425" w:hanging="425"/>
        <w:outlineLvl w:val="7"/>
        <w:rPr>
          <w:b/>
          <w:szCs w:val="24"/>
        </w:rPr>
      </w:pPr>
      <w:r w:rsidRPr="00FA3E77">
        <w:rPr>
          <w:b/>
          <w:szCs w:val="24"/>
        </w:rPr>
        <w:t>a)</w:t>
      </w:r>
      <w:r w:rsidRPr="00FA3E77">
        <w:rPr>
          <w:b/>
          <w:szCs w:val="24"/>
        </w:rPr>
        <w:tab/>
        <w:t xml:space="preserve"> nesplňuje podmínky nezávislosti podle zákona upravujícího </w:t>
      </w:r>
      <w:r>
        <w:rPr>
          <w:b/>
          <w:szCs w:val="24"/>
        </w:rPr>
        <w:t>auditorskou činnost</w:t>
      </w:r>
      <w:r w:rsidRPr="00FA3E77">
        <w:rPr>
          <w:b/>
          <w:szCs w:val="24"/>
        </w:rPr>
        <w:t xml:space="preserve">, </w:t>
      </w:r>
    </w:p>
    <w:p w14:paraId="3BB4EBB6" w14:textId="77777777" w:rsidR="0001063A" w:rsidRPr="00FA3E77" w:rsidRDefault="0001063A" w:rsidP="00F5058F">
      <w:pPr>
        <w:spacing w:before="0"/>
        <w:ind w:left="425" w:hanging="425"/>
        <w:outlineLvl w:val="7"/>
        <w:rPr>
          <w:b/>
          <w:szCs w:val="24"/>
        </w:rPr>
      </w:pPr>
      <w:r w:rsidRPr="00FA3E77">
        <w:rPr>
          <w:b/>
          <w:szCs w:val="24"/>
        </w:rPr>
        <w:t>b)</w:t>
      </w:r>
      <w:r w:rsidRPr="00FA3E77">
        <w:rPr>
          <w:b/>
          <w:szCs w:val="24"/>
        </w:rPr>
        <w:tab/>
        <w:t xml:space="preserve"> jeho dosavadní činnost v oblasti povinného auditu </w:t>
      </w:r>
      <w:r>
        <w:rPr>
          <w:b/>
          <w:szCs w:val="24"/>
        </w:rPr>
        <w:t>penzijních společností a účastnických fondů</w:t>
      </w:r>
      <w:r w:rsidRPr="00FA3E77">
        <w:rPr>
          <w:b/>
          <w:szCs w:val="24"/>
        </w:rPr>
        <w:t xml:space="preserve"> </w:t>
      </w:r>
      <w:r w:rsidRPr="009644FD">
        <w:rPr>
          <w:b/>
          <w:szCs w:val="24"/>
        </w:rPr>
        <w:t>obhospodařovaný</w:t>
      </w:r>
      <w:r>
        <w:rPr>
          <w:b/>
          <w:szCs w:val="24"/>
        </w:rPr>
        <w:t>ch</w:t>
      </w:r>
      <w:r w:rsidRPr="009644FD">
        <w:rPr>
          <w:b/>
          <w:szCs w:val="24"/>
        </w:rPr>
        <w:t xml:space="preserve"> penzijní</w:t>
      </w:r>
      <w:r>
        <w:rPr>
          <w:b/>
          <w:szCs w:val="24"/>
        </w:rPr>
        <w:t>mi společnostmi</w:t>
      </w:r>
      <w:r w:rsidRPr="00FA3E77">
        <w:rPr>
          <w:b/>
          <w:szCs w:val="24"/>
        </w:rPr>
        <w:t xml:space="preserve"> nezajišťuje předpoklad řádného provedení povinného auditu, a to s ohledem na rozsah a složitost činností vykonávaných </w:t>
      </w:r>
      <w:r>
        <w:rPr>
          <w:b/>
          <w:szCs w:val="24"/>
        </w:rPr>
        <w:t>penzijní společností</w:t>
      </w:r>
      <w:r w:rsidRPr="00705A20">
        <w:rPr>
          <w:b/>
          <w:szCs w:val="24"/>
        </w:rPr>
        <w:t xml:space="preserve"> </w:t>
      </w:r>
      <w:r>
        <w:rPr>
          <w:b/>
          <w:szCs w:val="24"/>
        </w:rPr>
        <w:t xml:space="preserve">a účastnickým fondem obhospodařovaným </w:t>
      </w:r>
      <w:r w:rsidRPr="009644FD">
        <w:rPr>
          <w:b/>
          <w:szCs w:val="24"/>
        </w:rPr>
        <w:t>penzijní společností</w:t>
      </w:r>
      <w:r>
        <w:rPr>
          <w:b/>
          <w:szCs w:val="24"/>
        </w:rPr>
        <w:t>, ve kterých</w:t>
      </w:r>
      <w:r w:rsidRPr="00FA3E77">
        <w:rPr>
          <w:b/>
          <w:szCs w:val="24"/>
        </w:rPr>
        <w:t xml:space="preserve"> má být povinný audit proveden.</w:t>
      </w:r>
    </w:p>
    <w:p w14:paraId="26C3809B" w14:textId="77777777" w:rsidR="0001063A" w:rsidRPr="00456BEF" w:rsidRDefault="0001063A" w:rsidP="00F5058F">
      <w:pPr>
        <w:pStyle w:val="Nadpisdlu"/>
        <w:keepNext w:val="0"/>
        <w:keepLines w:val="0"/>
        <w:spacing w:before="120"/>
        <w:jc w:val="both"/>
        <w:rPr>
          <w:szCs w:val="24"/>
        </w:rPr>
      </w:pPr>
      <w:r w:rsidRPr="00FA3E77">
        <w:rPr>
          <w:szCs w:val="24"/>
        </w:rPr>
        <w:t xml:space="preserve">(4) Řízení o odmítnutí auditora zahájí Česká národní banka do 30 dnů ode dne obdržení oznámení od </w:t>
      </w:r>
      <w:r>
        <w:rPr>
          <w:szCs w:val="24"/>
        </w:rPr>
        <w:t>p</w:t>
      </w:r>
      <w:r w:rsidRPr="009644FD">
        <w:rPr>
          <w:szCs w:val="24"/>
        </w:rPr>
        <w:t>enzijní společnost</w:t>
      </w:r>
      <w:r>
        <w:rPr>
          <w:szCs w:val="24"/>
        </w:rPr>
        <w:t>i a účastnického</w:t>
      </w:r>
      <w:r w:rsidRPr="009644FD">
        <w:rPr>
          <w:szCs w:val="24"/>
        </w:rPr>
        <w:t xml:space="preserve"> fond</w:t>
      </w:r>
      <w:r>
        <w:rPr>
          <w:szCs w:val="24"/>
        </w:rPr>
        <w:t>u obhospodařovaného</w:t>
      </w:r>
      <w:r w:rsidRPr="009644FD">
        <w:rPr>
          <w:szCs w:val="24"/>
        </w:rPr>
        <w:t xml:space="preserve"> penzijní společností</w:t>
      </w:r>
      <w:r w:rsidRPr="00FA3E77">
        <w:rPr>
          <w:szCs w:val="24"/>
        </w:rPr>
        <w:t xml:space="preserve"> podle odstavce 3. Nezahájí-li Česká národní banka řízení ve stanovené lhůtě, platí, že auditora neodmítla.</w:t>
      </w:r>
    </w:p>
    <w:p w14:paraId="35298BD5" w14:textId="77777777" w:rsidR="0001063A" w:rsidRPr="00456BEF" w:rsidRDefault="0001063A" w:rsidP="00F5058F">
      <w:pPr>
        <w:pStyle w:val="Nadpisdlu"/>
        <w:keepNext w:val="0"/>
        <w:keepLines w:val="0"/>
        <w:spacing w:before="120"/>
        <w:jc w:val="both"/>
        <w:rPr>
          <w:szCs w:val="24"/>
        </w:rPr>
      </w:pPr>
      <w:r w:rsidRPr="00FA3E77">
        <w:rPr>
          <w:szCs w:val="24"/>
        </w:rPr>
        <w:t xml:space="preserve">(5) Odmítne-li Česká národní banka vybraného auditora, oznámí </w:t>
      </w:r>
      <w:r>
        <w:rPr>
          <w:szCs w:val="24"/>
        </w:rPr>
        <w:t>p</w:t>
      </w:r>
      <w:r w:rsidRPr="009644FD">
        <w:rPr>
          <w:szCs w:val="24"/>
        </w:rPr>
        <w:t>enzijní společnost a účastnický fond obhospodařovaný penzijní společností</w:t>
      </w:r>
      <w:r w:rsidRPr="00FA3E77">
        <w:rPr>
          <w:szCs w:val="24"/>
        </w:rPr>
        <w:t xml:space="preserve"> České národní bance nově vybraného auditora do 30 dnů ode dne doručení rozhodnutí o odmítnutí auditora. Na nově vybraného auditora se použijí odstavce 2 a</w:t>
      </w:r>
      <w:r>
        <w:rPr>
          <w:szCs w:val="24"/>
        </w:rPr>
        <w:t>ž 4</w:t>
      </w:r>
      <w:r w:rsidRPr="00FA3E77">
        <w:rPr>
          <w:szCs w:val="24"/>
        </w:rPr>
        <w:t xml:space="preserve"> obdobně.</w:t>
      </w:r>
    </w:p>
    <w:p w14:paraId="15E635D6" w14:textId="77777777" w:rsidR="0001063A" w:rsidRPr="008E2A61" w:rsidRDefault="0001063A" w:rsidP="00F5058F">
      <w:pPr>
        <w:pStyle w:val="Nadpisdlu"/>
        <w:keepNext w:val="0"/>
        <w:keepLines w:val="0"/>
        <w:spacing w:before="120"/>
        <w:jc w:val="both"/>
        <w:rPr>
          <w:szCs w:val="24"/>
        </w:rPr>
      </w:pPr>
      <w:r w:rsidRPr="00FA3E77">
        <w:rPr>
          <w:szCs w:val="24"/>
        </w:rPr>
        <w:t>(6) Proti rozhodnutí o odmítnutí auditora není přípustný rozklad.</w:t>
      </w:r>
    </w:p>
    <w:p w14:paraId="3BAC02D9" w14:textId="77777777" w:rsidR="0001063A" w:rsidRPr="00CD54D1" w:rsidRDefault="0001063A" w:rsidP="0001063A">
      <w:pPr>
        <w:pStyle w:val="Paragraf"/>
        <w:keepNext w:val="0"/>
        <w:keepLines w:val="0"/>
      </w:pPr>
      <w:r>
        <w:t>***</w:t>
      </w:r>
    </w:p>
    <w:p w14:paraId="50F609D6" w14:textId="77777777" w:rsidR="0001063A" w:rsidRPr="000A0706" w:rsidRDefault="0001063A" w:rsidP="0001063A">
      <w:pPr>
        <w:ind w:firstLine="0"/>
        <w:jc w:val="center"/>
        <w:outlineLvl w:val="5"/>
      </w:pPr>
      <w:r w:rsidRPr="000A0706">
        <w:t>§ 59</w:t>
      </w:r>
    </w:p>
    <w:p w14:paraId="09E429C4" w14:textId="77777777" w:rsidR="0001063A" w:rsidRPr="000A0706" w:rsidRDefault="0001063A" w:rsidP="0001063A">
      <w:pPr>
        <w:keepNext/>
        <w:tabs>
          <w:tab w:val="left" w:pos="782"/>
          <w:tab w:val="left" w:pos="851"/>
        </w:tabs>
        <w:spacing w:before="120" w:after="120"/>
        <w:outlineLvl w:val="6"/>
        <w:rPr>
          <w:szCs w:val="24"/>
        </w:rPr>
      </w:pPr>
      <w:r w:rsidRPr="000A0706">
        <w:rPr>
          <w:szCs w:val="24"/>
        </w:rPr>
        <w:t>Prováděcí právní předpis stanoví</w:t>
      </w:r>
    </w:p>
    <w:p w14:paraId="11230193" w14:textId="77777777" w:rsidR="0001063A" w:rsidRPr="000A0706" w:rsidRDefault="0001063A" w:rsidP="0001063A">
      <w:pPr>
        <w:keepNext/>
        <w:spacing w:before="0"/>
        <w:ind w:left="425" w:hanging="425"/>
        <w:outlineLvl w:val="7"/>
        <w:rPr>
          <w:szCs w:val="24"/>
        </w:rPr>
      </w:pPr>
      <w:r>
        <w:rPr>
          <w:szCs w:val="24"/>
        </w:rPr>
        <w:t>a)</w:t>
      </w:r>
      <w:r>
        <w:rPr>
          <w:szCs w:val="24"/>
        </w:rPr>
        <w:tab/>
      </w:r>
      <w:r w:rsidRPr="000A0706">
        <w:t>informace</w:t>
      </w:r>
      <w:r w:rsidRPr="000A0706">
        <w:rPr>
          <w:szCs w:val="24"/>
        </w:rPr>
        <w:t xml:space="preserve">, které obsahuje </w:t>
      </w:r>
      <w:r w:rsidRPr="00F13ED9">
        <w:rPr>
          <w:strike/>
          <w:szCs w:val="24"/>
        </w:rPr>
        <w:t>výroční zpráva</w:t>
      </w:r>
      <w:r>
        <w:rPr>
          <w:color w:val="FF0000"/>
          <w:szCs w:val="24"/>
        </w:rPr>
        <w:t xml:space="preserve"> </w:t>
      </w:r>
      <w:proofErr w:type="spellStart"/>
      <w:r w:rsidRPr="000A0706">
        <w:rPr>
          <w:b/>
          <w:szCs w:val="24"/>
        </w:rPr>
        <w:t>zpráva</w:t>
      </w:r>
      <w:proofErr w:type="spellEnd"/>
      <w:r w:rsidRPr="000A0706">
        <w:rPr>
          <w:b/>
          <w:szCs w:val="24"/>
        </w:rPr>
        <w:t xml:space="preserve"> vedení</w:t>
      </w:r>
      <w:r w:rsidRPr="000A0706">
        <w:rPr>
          <w:szCs w:val="24"/>
        </w:rPr>
        <w:t xml:space="preserve"> penzijní společnosti </w:t>
      </w:r>
      <w:r w:rsidRPr="00F13ED9">
        <w:rPr>
          <w:strike/>
          <w:szCs w:val="24"/>
        </w:rPr>
        <w:t>a účastnického fondu</w:t>
      </w:r>
      <w:r w:rsidRPr="000A0706">
        <w:rPr>
          <w:szCs w:val="24"/>
        </w:rPr>
        <w:t xml:space="preserve"> </w:t>
      </w:r>
      <w:r w:rsidRPr="00B92FD4">
        <w:rPr>
          <w:szCs w:val="24"/>
        </w:rPr>
        <w:t>nad rámec zákona upravujícího účetnictví</w:t>
      </w:r>
      <w:r w:rsidRPr="000A0706">
        <w:rPr>
          <w:szCs w:val="24"/>
        </w:rPr>
        <w:t xml:space="preserve">, </w:t>
      </w:r>
    </w:p>
    <w:p w14:paraId="07000ED1" w14:textId="77777777" w:rsidR="0001063A" w:rsidRPr="00AD1C09" w:rsidRDefault="0001063A" w:rsidP="0001063A">
      <w:pPr>
        <w:keepNext/>
        <w:keepLines/>
        <w:spacing w:before="0"/>
        <w:ind w:left="425" w:hanging="425"/>
        <w:outlineLvl w:val="7"/>
        <w:rPr>
          <w:b/>
          <w:szCs w:val="24"/>
        </w:rPr>
      </w:pPr>
      <w:r w:rsidRPr="00AD1C09">
        <w:rPr>
          <w:b/>
          <w:szCs w:val="24"/>
        </w:rPr>
        <w:t>b)</w:t>
      </w:r>
      <w:r w:rsidRPr="00AD1C09">
        <w:rPr>
          <w:b/>
          <w:szCs w:val="24"/>
        </w:rPr>
        <w:tab/>
      </w:r>
      <w:r w:rsidRPr="00F13ED9">
        <w:rPr>
          <w:b/>
          <w:szCs w:val="24"/>
        </w:rPr>
        <w:t>rozsah informací vykazovaných zprávou vedení účastnického fondu odlišný od rozsahu stanoveného zákonem upravujícím účetnictví tak, aby odpovídal povaze a činnosti účastnického fondu</w:t>
      </w:r>
      <w:r w:rsidRPr="00AD1C09">
        <w:rPr>
          <w:b/>
          <w:szCs w:val="24"/>
        </w:rPr>
        <w:t>,</w:t>
      </w:r>
    </w:p>
    <w:p w14:paraId="2845140F" w14:textId="77777777" w:rsidR="0001063A" w:rsidRPr="000A0706" w:rsidRDefault="0001063A" w:rsidP="0001063A">
      <w:pPr>
        <w:spacing w:before="0"/>
        <w:ind w:left="425" w:hanging="425"/>
        <w:outlineLvl w:val="7"/>
        <w:rPr>
          <w:szCs w:val="24"/>
        </w:rPr>
      </w:pPr>
      <w:r w:rsidRPr="000A0706">
        <w:rPr>
          <w:strike/>
          <w:szCs w:val="24"/>
        </w:rPr>
        <w:t>b)</w:t>
      </w:r>
      <w:r w:rsidRPr="000A0706">
        <w:rPr>
          <w:b/>
          <w:szCs w:val="24"/>
        </w:rPr>
        <w:t>c)</w:t>
      </w:r>
      <w:r w:rsidRPr="000A0706">
        <w:rPr>
          <w:szCs w:val="24"/>
        </w:rPr>
        <w:t xml:space="preserve"> informace, které obsahuje pololetní zpráva penzijní společnosti a účastnického fondu, </w:t>
      </w:r>
    </w:p>
    <w:p w14:paraId="7D1F5CC3" w14:textId="77777777" w:rsidR="0001063A" w:rsidRPr="000A0706" w:rsidRDefault="0001063A" w:rsidP="0001063A">
      <w:pPr>
        <w:spacing w:before="0"/>
        <w:ind w:left="425" w:hanging="425"/>
        <w:outlineLvl w:val="7"/>
        <w:rPr>
          <w:szCs w:val="24"/>
        </w:rPr>
      </w:pPr>
      <w:r w:rsidRPr="000A0706">
        <w:rPr>
          <w:strike/>
          <w:szCs w:val="24"/>
        </w:rPr>
        <w:t>c)</w:t>
      </w:r>
      <w:r w:rsidRPr="000A0706">
        <w:rPr>
          <w:b/>
          <w:szCs w:val="24"/>
        </w:rPr>
        <w:t>d)</w:t>
      </w:r>
      <w:r>
        <w:rPr>
          <w:szCs w:val="24"/>
        </w:rPr>
        <w:tab/>
      </w:r>
      <w:r w:rsidRPr="000A0706">
        <w:rPr>
          <w:szCs w:val="24"/>
        </w:rPr>
        <w:t xml:space="preserve">způsob poskytování </w:t>
      </w:r>
      <w:r w:rsidRPr="000A0706">
        <w:rPr>
          <w:strike/>
          <w:szCs w:val="24"/>
        </w:rPr>
        <w:t>výroční zprávy</w:t>
      </w:r>
      <w:r w:rsidRPr="000A0706">
        <w:rPr>
          <w:b/>
          <w:szCs w:val="24"/>
        </w:rPr>
        <w:t xml:space="preserve"> </w:t>
      </w:r>
      <w:r>
        <w:rPr>
          <w:b/>
          <w:szCs w:val="24"/>
        </w:rPr>
        <w:t>řádné účetní závěrky, zpráv podle zákona upravujícího účetnictví, zprávy auditora o povinném auditu</w:t>
      </w:r>
      <w:r w:rsidRPr="000A0706">
        <w:rPr>
          <w:szCs w:val="24"/>
        </w:rPr>
        <w:t xml:space="preserve"> a pololetní zprávy účastnického fondu </w:t>
      </w:r>
      <w:r w:rsidRPr="000A0706">
        <w:rPr>
          <w:strike/>
          <w:szCs w:val="24"/>
        </w:rPr>
        <w:t>a důchodového fondu</w:t>
      </w:r>
      <w:r w:rsidRPr="000A0706">
        <w:rPr>
          <w:szCs w:val="24"/>
        </w:rPr>
        <w:t xml:space="preserve"> účastníkům. </w:t>
      </w:r>
    </w:p>
    <w:p w14:paraId="37369276" w14:textId="77777777" w:rsidR="0001063A" w:rsidRPr="00B906D2" w:rsidRDefault="0001063A" w:rsidP="0001063A">
      <w:pPr>
        <w:pStyle w:val="Paragraf"/>
        <w:spacing w:after="120"/>
      </w:pPr>
      <w:r>
        <w:t>***</w:t>
      </w:r>
    </w:p>
    <w:p w14:paraId="439D88D1" w14:textId="77777777" w:rsidR="0001063A" w:rsidRPr="00AD1C09" w:rsidRDefault="0001063A" w:rsidP="0001063A">
      <w:pPr>
        <w:keepNext/>
        <w:keepLines/>
        <w:spacing w:after="120"/>
        <w:ind w:firstLine="0"/>
        <w:jc w:val="center"/>
        <w:outlineLvl w:val="5"/>
      </w:pPr>
      <w:r w:rsidRPr="00AD1C09">
        <w:t xml:space="preserve">§ 110 </w:t>
      </w:r>
    </w:p>
    <w:p w14:paraId="6398C46B" w14:textId="58992526" w:rsidR="0001063A" w:rsidRPr="0001063A" w:rsidRDefault="0001063A" w:rsidP="0001063A">
      <w:pPr>
        <w:keepNext/>
        <w:keepLines/>
        <w:spacing w:after="120"/>
        <w:ind w:firstLine="0"/>
        <w:jc w:val="center"/>
        <w:outlineLvl w:val="5"/>
        <w:rPr>
          <w:b/>
        </w:rPr>
      </w:pPr>
      <w:r w:rsidRPr="00AD1C09">
        <w:rPr>
          <w:b/>
        </w:rPr>
        <w:t>Zrušení účastnického fondu</w:t>
      </w:r>
    </w:p>
    <w:p w14:paraId="76B4265E" w14:textId="77777777" w:rsidR="0001063A" w:rsidRPr="000A0706" w:rsidRDefault="0001063A" w:rsidP="0001063A">
      <w:pPr>
        <w:tabs>
          <w:tab w:val="left" w:pos="782"/>
          <w:tab w:val="left" w:pos="851"/>
        </w:tabs>
        <w:spacing w:after="120"/>
        <w:outlineLvl w:val="6"/>
        <w:rPr>
          <w:szCs w:val="24"/>
        </w:rPr>
      </w:pPr>
      <w:r w:rsidRPr="000A0706">
        <w:rPr>
          <w:szCs w:val="24"/>
        </w:rPr>
        <w:t xml:space="preserve">(1) Účastnický fond se zrušuje </w:t>
      </w:r>
    </w:p>
    <w:p w14:paraId="7830DAC2" w14:textId="77777777" w:rsidR="0001063A" w:rsidRPr="00AD1C09" w:rsidRDefault="0001063A" w:rsidP="0001063A">
      <w:pPr>
        <w:spacing w:before="0"/>
        <w:ind w:left="425" w:hanging="425"/>
        <w:outlineLvl w:val="7"/>
      </w:pPr>
      <w:r>
        <w:lastRenderedPageBreak/>
        <w:t>a)</w:t>
      </w:r>
      <w:r>
        <w:tab/>
      </w:r>
      <w:r w:rsidRPr="00AD1C09">
        <w:t xml:space="preserve">odnětím povolení k vytvoření účastnického fondu na žádost podle § 111, </w:t>
      </w:r>
    </w:p>
    <w:p w14:paraId="05453300" w14:textId="77777777" w:rsidR="0001063A" w:rsidRPr="00AD1C09" w:rsidRDefault="0001063A" w:rsidP="0001063A">
      <w:pPr>
        <w:spacing w:before="0"/>
        <w:ind w:left="425" w:hanging="425"/>
        <w:outlineLvl w:val="7"/>
      </w:pPr>
      <w:r>
        <w:t>b)</w:t>
      </w:r>
      <w:r>
        <w:tab/>
      </w:r>
      <w:r w:rsidRPr="00AD1C09">
        <w:t xml:space="preserve">odnětím povolení k vytvoření účastnického fondu z moci úřední podle § 153, </w:t>
      </w:r>
    </w:p>
    <w:p w14:paraId="4AC2377A" w14:textId="77777777" w:rsidR="0001063A" w:rsidRPr="00AD1C09" w:rsidRDefault="0001063A" w:rsidP="0001063A">
      <w:pPr>
        <w:spacing w:before="0"/>
        <w:ind w:left="425" w:hanging="425"/>
        <w:outlineLvl w:val="7"/>
      </w:pPr>
      <w:r>
        <w:t>c)</w:t>
      </w:r>
      <w:r>
        <w:tab/>
      </w:r>
      <w:r w:rsidRPr="00AD1C09">
        <w:t xml:space="preserve">odnětím povolení k činnosti penzijní společnosti podle § 69 a 152, ledaže Česká národní banka povolí převod obhospodařování všech účastnických fondů na jinou penzijní společnost podle § 109, nebo </w:t>
      </w:r>
    </w:p>
    <w:p w14:paraId="17D7312B" w14:textId="77777777" w:rsidR="0001063A" w:rsidRPr="00AD1C09" w:rsidRDefault="0001063A" w:rsidP="0001063A">
      <w:pPr>
        <w:spacing w:before="0"/>
        <w:ind w:left="425" w:hanging="425"/>
        <w:outlineLvl w:val="7"/>
      </w:pPr>
      <w:r>
        <w:t>d)</w:t>
      </w:r>
      <w:r>
        <w:tab/>
      </w:r>
      <w:r w:rsidRPr="00AD1C09">
        <w:t xml:space="preserve">sloučením účastnických fondů podle § 113. </w:t>
      </w:r>
    </w:p>
    <w:p w14:paraId="3585FD0A" w14:textId="77777777" w:rsidR="0001063A" w:rsidRPr="000A0706" w:rsidRDefault="0001063A" w:rsidP="00F5058F">
      <w:pPr>
        <w:tabs>
          <w:tab w:val="left" w:pos="782"/>
          <w:tab w:val="left" w:pos="851"/>
        </w:tabs>
        <w:spacing w:before="120" w:after="120"/>
        <w:outlineLvl w:val="6"/>
        <w:rPr>
          <w:strike/>
          <w:szCs w:val="24"/>
        </w:rPr>
      </w:pPr>
      <w:r w:rsidRPr="000A0706">
        <w:rPr>
          <w:strike/>
          <w:szCs w:val="24"/>
        </w:rPr>
        <w:t xml:space="preserve">(2) Ke dni zrušení účastnického fondu je penzijní společnost, která jej obhospodařuje, povinna sestavit mimořádnou účetní závěrku tohoto účastnického fondu podle zákona upravujícího účetnictví. </w:t>
      </w:r>
    </w:p>
    <w:p w14:paraId="704927DF" w14:textId="77777777" w:rsidR="0001063A" w:rsidRPr="009554EE" w:rsidRDefault="0001063A" w:rsidP="00F5058F">
      <w:pPr>
        <w:tabs>
          <w:tab w:val="left" w:pos="782"/>
          <w:tab w:val="left" w:pos="851"/>
        </w:tabs>
        <w:spacing w:before="120" w:after="120"/>
        <w:outlineLvl w:val="6"/>
        <w:rPr>
          <w:b/>
          <w:szCs w:val="24"/>
        </w:rPr>
      </w:pPr>
      <w:r w:rsidRPr="00AD1C09">
        <w:rPr>
          <w:b/>
          <w:szCs w:val="24"/>
        </w:rPr>
        <w:t>(2) Zvláštním posledním dnem účetního období účastnického fondu není den předcházející dni vstupu účastnického fondu do likvidace.</w:t>
      </w:r>
    </w:p>
    <w:p w14:paraId="418B7B8A" w14:textId="77777777" w:rsidR="0001063A" w:rsidRPr="00CD54D1" w:rsidRDefault="0001063A" w:rsidP="0001063A">
      <w:pPr>
        <w:pStyle w:val="Paragraf"/>
        <w:spacing w:after="120"/>
      </w:pPr>
      <w:r w:rsidRPr="006F1E5A">
        <w:rPr>
          <w:color w:val="BFBFBF" w:themeColor="background1" w:themeShade="BF"/>
        </w:rPr>
        <w:t xml:space="preserve"> </w:t>
      </w:r>
      <w:r>
        <w:t>***</w:t>
      </w:r>
    </w:p>
    <w:p w14:paraId="2674B7DB" w14:textId="2BB07F72" w:rsidR="0001063A" w:rsidRDefault="00F5058F" w:rsidP="00F5058F">
      <w:pPr>
        <w:keepNext/>
        <w:widowControl w:val="0"/>
        <w:spacing w:after="120"/>
        <w:ind w:left="284" w:hanging="284"/>
        <w:jc w:val="center"/>
        <w:rPr>
          <w:color w:val="000000" w:themeColor="text1"/>
          <w:szCs w:val="24"/>
        </w:rPr>
      </w:pPr>
      <w:r>
        <w:rPr>
          <w:color w:val="000000" w:themeColor="text1"/>
          <w:szCs w:val="24"/>
        </w:rPr>
        <w:t>§ 115</w:t>
      </w:r>
    </w:p>
    <w:p w14:paraId="66BE0461" w14:textId="77777777" w:rsidR="0001063A" w:rsidRPr="009554EE" w:rsidRDefault="0001063A" w:rsidP="0001063A">
      <w:pPr>
        <w:keepNext/>
        <w:widowControl w:val="0"/>
        <w:spacing w:after="120"/>
        <w:ind w:left="284" w:hanging="284"/>
        <w:jc w:val="center"/>
        <w:rPr>
          <w:b/>
          <w:color w:val="000000" w:themeColor="text1"/>
          <w:szCs w:val="24"/>
        </w:rPr>
      </w:pPr>
      <w:r>
        <w:rPr>
          <w:b/>
          <w:color w:val="000000" w:themeColor="text1"/>
          <w:szCs w:val="24"/>
        </w:rPr>
        <w:t>Oceňování majetku v účastnickém fondu a závazků účastnického fondu</w:t>
      </w:r>
    </w:p>
    <w:p w14:paraId="22BAE371" w14:textId="77777777" w:rsidR="0001063A" w:rsidRDefault="0001063A" w:rsidP="00F5058F">
      <w:pPr>
        <w:tabs>
          <w:tab w:val="left" w:pos="782"/>
          <w:tab w:val="left" w:pos="851"/>
        </w:tabs>
        <w:spacing w:before="120" w:after="120"/>
        <w:outlineLvl w:val="6"/>
        <w:rPr>
          <w:color w:val="000000" w:themeColor="text1"/>
          <w:szCs w:val="24"/>
        </w:rPr>
      </w:pPr>
      <w:r>
        <w:rPr>
          <w:color w:val="000000" w:themeColor="text1"/>
          <w:szCs w:val="24"/>
        </w:rPr>
        <w:t>(1) Investiční nástroje v majetku v účastnickém fondu musí být oceňovány pravidelně, a to ve lhůtě uvedené ve statutu tohoto účastnického fondu; tato lhůta nesmí být delší než 1 týden.</w:t>
      </w:r>
    </w:p>
    <w:p w14:paraId="76B43698" w14:textId="77777777" w:rsidR="0001063A" w:rsidRDefault="0001063A" w:rsidP="00F5058F">
      <w:pPr>
        <w:tabs>
          <w:tab w:val="left" w:pos="782"/>
          <w:tab w:val="left" w:pos="851"/>
        </w:tabs>
        <w:spacing w:before="120" w:after="120"/>
        <w:outlineLvl w:val="6"/>
        <w:rPr>
          <w:color w:val="000000" w:themeColor="text1"/>
          <w:szCs w:val="24"/>
        </w:rPr>
      </w:pPr>
      <w:r>
        <w:rPr>
          <w:color w:val="000000" w:themeColor="text1"/>
          <w:szCs w:val="24"/>
        </w:rPr>
        <w:t>(2) Majetek neuvedený v odstavci 1 a závazky plynoucí ze smluv uzavřených na účet účastnického fondu musí být pravidelně oceňovány, a to ve lhůtách uvedených ve statutu, nejméně však jedenkrát ročně.</w:t>
      </w:r>
    </w:p>
    <w:p w14:paraId="7A9F6F88" w14:textId="77777777" w:rsidR="0001063A" w:rsidRDefault="0001063A" w:rsidP="00F5058F">
      <w:pPr>
        <w:tabs>
          <w:tab w:val="left" w:pos="782"/>
          <w:tab w:val="left" w:pos="851"/>
        </w:tabs>
        <w:spacing w:before="120" w:after="120"/>
        <w:outlineLvl w:val="6"/>
        <w:rPr>
          <w:color w:val="000000" w:themeColor="text1"/>
          <w:szCs w:val="24"/>
        </w:rPr>
      </w:pPr>
      <w:r>
        <w:rPr>
          <w:color w:val="000000" w:themeColor="text1"/>
          <w:szCs w:val="24"/>
        </w:rPr>
        <w:t xml:space="preserve">(3) Účastnický fond oceňuje v průběhu </w:t>
      </w:r>
      <w:r>
        <w:rPr>
          <w:b/>
          <w:color w:val="000000" w:themeColor="text1"/>
          <w:szCs w:val="24"/>
        </w:rPr>
        <w:t xml:space="preserve">individuálního </w:t>
      </w:r>
      <w:r>
        <w:rPr>
          <w:color w:val="000000" w:themeColor="text1"/>
          <w:szCs w:val="24"/>
        </w:rPr>
        <w:t xml:space="preserve">účetního období svůj majetek a závazky alespoň ke dni stanovení aktuální hodnoty penzijní jednotky, a to bez sestavení </w:t>
      </w:r>
      <w:r w:rsidRPr="00473D98">
        <w:rPr>
          <w:b/>
          <w:szCs w:val="24"/>
        </w:rPr>
        <w:t xml:space="preserve">individuální </w:t>
      </w:r>
      <w:r>
        <w:rPr>
          <w:color w:val="000000" w:themeColor="text1"/>
          <w:szCs w:val="24"/>
        </w:rPr>
        <w:t>účetní závěrky.</w:t>
      </w:r>
    </w:p>
    <w:p w14:paraId="5186C099" w14:textId="77777777" w:rsidR="0001063A" w:rsidRPr="009554EE" w:rsidRDefault="0001063A" w:rsidP="00F5058F">
      <w:pPr>
        <w:tabs>
          <w:tab w:val="left" w:pos="782"/>
          <w:tab w:val="left" w:pos="851"/>
        </w:tabs>
        <w:spacing w:before="120" w:after="120"/>
        <w:outlineLvl w:val="6"/>
        <w:rPr>
          <w:rFonts w:eastAsiaTheme="minorHAnsi"/>
          <w:color w:val="0070C0"/>
          <w:szCs w:val="24"/>
          <w:lang w:eastAsia="en-US"/>
        </w:rPr>
      </w:pPr>
      <w:r>
        <w:rPr>
          <w:color w:val="000000" w:themeColor="text1"/>
          <w:szCs w:val="24"/>
        </w:rPr>
        <w:t xml:space="preserve"> (4) Majetek</w:t>
      </w:r>
      <w:r>
        <w:rPr>
          <w:rFonts w:eastAsiaTheme="minorHAnsi"/>
          <w:szCs w:val="24"/>
          <w:lang w:eastAsia="en-US"/>
        </w:rPr>
        <w:t xml:space="preserve"> a závazky plynoucí z obhospodařování majetku v účastnickém fondu se oceňují </w:t>
      </w:r>
      <w:r w:rsidRPr="00882CE7">
        <w:rPr>
          <w:rFonts w:eastAsiaTheme="minorHAnsi"/>
          <w:szCs w:val="24"/>
          <w:lang w:eastAsia="en-US"/>
        </w:rPr>
        <w:t>podle zvláštního právního předpisu upravujícího účetnictví.</w:t>
      </w:r>
    </w:p>
    <w:p w14:paraId="399781BA" w14:textId="77777777" w:rsidR="0001063A" w:rsidRPr="00AD1C09" w:rsidRDefault="0001063A" w:rsidP="0001063A">
      <w:pPr>
        <w:pStyle w:val="Paragraf"/>
        <w:spacing w:after="120"/>
      </w:pPr>
      <w:r>
        <w:t>***</w:t>
      </w:r>
    </w:p>
    <w:p w14:paraId="045895BD" w14:textId="77777777" w:rsidR="0001063A" w:rsidRPr="00AD1C09" w:rsidRDefault="0001063A" w:rsidP="0001063A">
      <w:pPr>
        <w:keepNext/>
        <w:keepLines/>
        <w:spacing w:after="120"/>
        <w:ind w:firstLine="0"/>
        <w:jc w:val="center"/>
        <w:outlineLvl w:val="5"/>
        <w:rPr>
          <w:b/>
        </w:rPr>
      </w:pPr>
      <w:r w:rsidRPr="00AD1C09">
        <w:rPr>
          <w:b/>
        </w:rPr>
        <w:t>Sdělení klíčových informací pro účastníky</w:t>
      </w:r>
    </w:p>
    <w:p w14:paraId="55752CFB" w14:textId="77777777" w:rsidR="0001063A" w:rsidRPr="00AD1C09" w:rsidRDefault="0001063A" w:rsidP="0001063A">
      <w:pPr>
        <w:keepNext/>
        <w:keepLines/>
        <w:spacing w:after="120"/>
        <w:ind w:firstLine="0"/>
        <w:jc w:val="center"/>
        <w:outlineLvl w:val="5"/>
      </w:pPr>
      <w:r w:rsidRPr="00AD1C09">
        <w:t xml:space="preserve">§ 134 </w:t>
      </w:r>
    </w:p>
    <w:p w14:paraId="0B4B714E" w14:textId="09CF372B" w:rsidR="0001063A" w:rsidRDefault="0001063A" w:rsidP="00F5058F">
      <w:pPr>
        <w:tabs>
          <w:tab w:val="left" w:pos="782"/>
          <w:tab w:val="left" w:pos="851"/>
        </w:tabs>
        <w:spacing w:before="120" w:after="120"/>
        <w:outlineLvl w:val="6"/>
      </w:pPr>
      <w:r>
        <w:t>(1)</w:t>
      </w:r>
      <w:r w:rsidR="00F5058F">
        <w:t xml:space="preserve"> </w:t>
      </w:r>
      <w:r>
        <w:t>Sdělení klíčových informací pro účastníky (dále jen „sdělení klíčových informací“) je dokument obsahující stručné základní charakteristiky systému doplňkového penzijního spoření a stručné základní charakteristiky účastnického fondu, nezbytné pro účastníky k odpovědnému posouzení povahy a rizik účastnického fondu, který je jim nabízen, zpracované formou srozumitelnou osobě uvedené v § 132.</w:t>
      </w:r>
    </w:p>
    <w:p w14:paraId="684661D3" w14:textId="387131DA" w:rsidR="0001063A" w:rsidRDefault="0001063A" w:rsidP="00F5058F">
      <w:pPr>
        <w:tabs>
          <w:tab w:val="left" w:pos="782"/>
          <w:tab w:val="left" w:pos="851"/>
        </w:tabs>
        <w:spacing w:before="120" w:after="120"/>
        <w:outlineLvl w:val="6"/>
      </w:pPr>
      <w:r>
        <w:t xml:space="preserve">(2) Sdělení klíčových informací účastnického fondu vždy obsahuje </w:t>
      </w:r>
    </w:p>
    <w:p w14:paraId="6F23C719" w14:textId="77777777" w:rsidR="0001063A" w:rsidRPr="00AD1C09" w:rsidRDefault="0001063A" w:rsidP="0001063A">
      <w:pPr>
        <w:spacing w:before="0"/>
        <w:ind w:left="425" w:hanging="425"/>
        <w:outlineLvl w:val="7"/>
      </w:pPr>
      <w:r>
        <w:t>a)</w:t>
      </w:r>
      <w:r>
        <w:tab/>
      </w:r>
      <w:r w:rsidRPr="00AD1C09">
        <w:t xml:space="preserve">zřetelné označení, z něhož je patrné, že obsahuje klíčové informace pro účastníky, </w:t>
      </w:r>
    </w:p>
    <w:p w14:paraId="4A99F60E" w14:textId="77777777" w:rsidR="0001063A" w:rsidRPr="00AD1C09" w:rsidRDefault="0001063A" w:rsidP="0001063A">
      <w:pPr>
        <w:spacing w:before="0"/>
        <w:ind w:left="425" w:hanging="425"/>
        <w:outlineLvl w:val="7"/>
      </w:pPr>
      <w:r>
        <w:t>b)</w:t>
      </w:r>
      <w:r>
        <w:tab/>
      </w:r>
      <w:r w:rsidRPr="00AD1C09">
        <w:t xml:space="preserve">označení penzijní společnosti a účastnického fondu, ke kterému se vztahuje, </w:t>
      </w:r>
    </w:p>
    <w:p w14:paraId="0F814730" w14:textId="77777777" w:rsidR="0001063A" w:rsidRPr="00AD1C09" w:rsidRDefault="0001063A" w:rsidP="0001063A">
      <w:pPr>
        <w:spacing w:before="0"/>
        <w:ind w:left="425" w:hanging="425"/>
        <w:outlineLvl w:val="7"/>
      </w:pPr>
      <w:r>
        <w:t>c)</w:t>
      </w:r>
      <w:r>
        <w:tab/>
      </w:r>
      <w:r w:rsidRPr="00AD1C09">
        <w:t xml:space="preserve">popis </w:t>
      </w:r>
    </w:p>
    <w:p w14:paraId="6D94B694" w14:textId="77777777" w:rsidR="0001063A" w:rsidRPr="00AD1C09" w:rsidRDefault="0001063A" w:rsidP="0001063A">
      <w:pPr>
        <w:tabs>
          <w:tab w:val="left" w:pos="851"/>
        </w:tabs>
        <w:spacing w:before="0"/>
        <w:ind w:left="850" w:hanging="425"/>
        <w:outlineLvl w:val="8"/>
      </w:pPr>
      <w:r>
        <w:t>1.</w:t>
      </w:r>
      <w:r>
        <w:tab/>
      </w:r>
      <w:r w:rsidRPr="00AD1C09">
        <w:t xml:space="preserve">investičních cílů účastnického fondu, </w:t>
      </w:r>
    </w:p>
    <w:p w14:paraId="7D2D4A2B" w14:textId="77777777" w:rsidR="0001063A" w:rsidRPr="00AD1C09" w:rsidRDefault="0001063A" w:rsidP="0001063A">
      <w:pPr>
        <w:tabs>
          <w:tab w:val="left" w:pos="851"/>
        </w:tabs>
        <w:spacing w:before="0"/>
        <w:ind w:left="850" w:hanging="425"/>
        <w:outlineLvl w:val="8"/>
      </w:pPr>
      <w:r>
        <w:t>2.</w:t>
      </w:r>
      <w:r>
        <w:tab/>
      </w:r>
      <w:r w:rsidRPr="00AD1C09">
        <w:t xml:space="preserve">způsobu investování účastnického fondu, </w:t>
      </w:r>
    </w:p>
    <w:p w14:paraId="4D833DF2" w14:textId="77777777" w:rsidR="0001063A" w:rsidRPr="00AD1C09" w:rsidRDefault="0001063A" w:rsidP="0001063A">
      <w:pPr>
        <w:tabs>
          <w:tab w:val="left" w:pos="851"/>
        </w:tabs>
        <w:spacing w:before="0"/>
        <w:ind w:left="850" w:hanging="425"/>
        <w:outlineLvl w:val="8"/>
      </w:pPr>
      <w:r>
        <w:t>3.</w:t>
      </w:r>
      <w:r>
        <w:tab/>
      </w:r>
      <w:r w:rsidRPr="00AD1C09">
        <w:t xml:space="preserve">historické výkonnosti účastnického fondu, popřípadě její kvalifikovaný odhad, </w:t>
      </w:r>
    </w:p>
    <w:p w14:paraId="3EEC3D2A" w14:textId="77777777" w:rsidR="0001063A" w:rsidRPr="00AD1C09" w:rsidRDefault="0001063A" w:rsidP="0001063A">
      <w:pPr>
        <w:tabs>
          <w:tab w:val="left" w:pos="851"/>
        </w:tabs>
        <w:spacing w:before="0"/>
        <w:ind w:left="850" w:hanging="425"/>
        <w:outlineLvl w:val="8"/>
      </w:pPr>
      <w:r>
        <w:t>4.</w:t>
      </w:r>
      <w:r>
        <w:tab/>
      </w:r>
      <w:r w:rsidRPr="00AD1C09">
        <w:t xml:space="preserve">nákladů a poplatků souvisejících s investicí do účastnického fondu, </w:t>
      </w:r>
    </w:p>
    <w:p w14:paraId="07F33C58" w14:textId="77777777" w:rsidR="0001063A" w:rsidRDefault="0001063A" w:rsidP="0001063A">
      <w:pPr>
        <w:spacing w:before="0"/>
        <w:ind w:left="425" w:hanging="425"/>
        <w:outlineLvl w:val="7"/>
      </w:pPr>
      <w:r>
        <w:lastRenderedPageBreak/>
        <w:t>d)</w:t>
      </w:r>
      <w:r>
        <w:tab/>
        <w:t xml:space="preserve">rizikový profil, včetně popisu jednotlivých rizik spojených s účastenstvím v účastnickém fondu, </w:t>
      </w:r>
    </w:p>
    <w:p w14:paraId="195EA568" w14:textId="77777777" w:rsidR="0001063A" w:rsidRPr="00AD1C09" w:rsidRDefault="0001063A" w:rsidP="0001063A">
      <w:pPr>
        <w:spacing w:before="0"/>
        <w:ind w:left="425" w:hanging="425"/>
        <w:outlineLvl w:val="7"/>
      </w:pPr>
      <w:r>
        <w:t>e)</w:t>
      </w:r>
      <w:r>
        <w:tab/>
        <w:t xml:space="preserve">upozornění, kde a jak lze na žádost bezplatně získat další informace týkající se daného účastnického fondu, včetně statutu, </w:t>
      </w:r>
      <w:r w:rsidRPr="00D53089">
        <w:rPr>
          <w:strike/>
        </w:rPr>
        <w:t>výroční zprávy</w:t>
      </w:r>
      <w:r w:rsidRPr="00D53089">
        <w:t xml:space="preserve"> </w:t>
      </w:r>
      <w:r w:rsidRPr="00FE1E81">
        <w:rPr>
          <w:b/>
        </w:rPr>
        <w:t xml:space="preserve">řádné </w:t>
      </w:r>
      <w:r>
        <w:rPr>
          <w:b/>
        </w:rPr>
        <w:t>účetní závěrky, zprávy vedení, zprávy auditora o povinném auditu</w:t>
      </w:r>
      <w:r w:rsidRPr="00D53089">
        <w:t xml:space="preserve"> </w:t>
      </w:r>
      <w:r>
        <w:t xml:space="preserve">a </w:t>
      </w:r>
      <w:r w:rsidRPr="00C9398B">
        <w:t>pololetní zprávy</w:t>
      </w:r>
      <w:r>
        <w:t xml:space="preserve"> účastnického fondu a sdělení o právu vyžádat si statut důchodového fondu a sdělení klíčových informací v listinné podobě. </w:t>
      </w:r>
    </w:p>
    <w:p w14:paraId="5EFC4B6A" w14:textId="77777777" w:rsidR="0001063A" w:rsidRDefault="0001063A" w:rsidP="0001063A">
      <w:pPr>
        <w:tabs>
          <w:tab w:val="left" w:pos="782"/>
          <w:tab w:val="left" w:pos="851"/>
        </w:tabs>
        <w:spacing w:after="120"/>
        <w:outlineLvl w:val="6"/>
      </w:pPr>
      <w:r>
        <w:t xml:space="preserve">(3) Sdělení klíčových informací </w:t>
      </w:r>
    </w:p>
    <w:p w14:paraId="0FE60A09" w14:textId="77777777" w:rsidR="0001063A" w:rsidRDefault="0001063A" w:rsidP="0001063A">
      <w:pPr>
        <w:spacing w:before="0"/>
        <w:ind w:left="425" w:hanging="425"/>
        <w:outlineLvl w:val="7"/>
      </w:pPr>
      <w:r>
        <w:t>a)</w:t>
      </w:r>
      <w:r>
        <w:tab/>
        <w:t xml:space="preserve">nesmí obsahovat nejasné, nepravdivé, neúplné, zavádějící nebo klamavé informace, </w:t>
      </w:r>
    </w:p>
    <w:p w14:paraId="071BBDA9" w14:textId="77777777" w:rsidR="0001063A" w:rsidRDefault="0001063A" w:rsidP="0001063A">
      <w:pPr>
        <w:spacing w:before="0"/>
        <w:ind w:left="425" w:hanging="425"/>
        <w:outlineLvl w:val="7"/>
      </w:pPr>
      <w:r>
        <w:t>b)</w:t>
      </w:r>
      <w:r>
        <w:tab/>
        <w:t xml:space="preserve">musí být v souladu s informacemi uvedenými ve statutu účastnického fondu a </w:t>
      </w:r>
    </w:p>
    <w:p w14:paraId="4E47AD52" w14:textId="77777777" w:rsidR="0001063A" w:rsidRDefault="0001063A" w:rsidP="0001063A">
      <w:pPr>
        <w:spacing w:before="0"/>
        <w:ind w:left="425" w:hanging="425"/>
        <w:outlineLvl w:val="7"/>
      </w:pPr>
      <w:r>
        <w:t>c)</w:t>
      </w:r>
      <w:r>
        <w:tab/>
        <w:t xml:space="preserve">musí být srozumitelné bez nutnosti seznámit se s jinými dokumenty uveřejněnými účastnickým fondem. </w:t>
      </w:r>
    </w:p>
    <w:p w14:paraId="2ED11415" w14:textId="77777777" w:rsidR="0001063A" w:rsidRDefault="0001063A" w:rsidP="00F5058F">
      <w:pPr>
        <w:tabs>
          <w:tab w:val="left" w:pos="782"/>
          <w:tab w:val="left" w:pos="851"/>
        </w:tabs>
        <w:spacing w:before="120" w:after="120"/>
        <w:outlineLvl w:val="6"/>
      </w:pPr>
      <w:r>
        <w:t xml:space="preserve">(4) Pravidla pro přijímání sdělení klíčových informací účastnického fondu a jeho změn určí stanovy penzijní společnosti. Účastnický fond zasílá sdělení klíčových informací a každou jeho změnu bez zbytečného odkladu České národní bance. </w:t>
      </w:r>
    </w:p>
    <w:p w14:paraId="25FC35AF" w14:textId="77777777" w:rsidR="0001063A" w:rsidRDefault="0001063A" w:rsidP="00F5058F">
      <w:pPr>
        <w:tabs>
          <w:tab w:val="left" w:pos="782"/>
          <w:tab w:val="left" w:pos="851"/>
        </w:tabs>
        <w:spacing w:before="120" w:after="120"/>
        <w:outlineLvl w:val="6"/>
      </w:pPr>
      <w:r>
        <w:t xml:space="preserve">(5) Náležitosti, strukturu, formu a požadavky na jazykové vyjádření sdělení klíčových informací účastnického fondu, jakož i podmínky a způsob jeho průběžné aktualizace a lhůty pro jeho uveřejňování stanoví vláda nařízením. </w:t>
      </w:r>
    </w:p>
    <w:p w14:paraId="57A43C0F" w14:textId="77777777" w:rsidR="0001063A" w:rsidRPr="00B906D2" w:rsidRDefault="0001063A" w:rsidP="0001063A">
      <w:pPr>
        <w:pStyle w:val="Paragraf"/>
        <w:spacing w:after="120"/>
        <w:ind w:firstLine="142"/>
      </w:pPr>
      <w:r>
        <w:t>***</w:t>
      </w:r>
    </w:p>
    <w:p w14:paraId="52A10236" w14:textId="77777777" w:rsidR="0001063A" w:rsidRPr="00AD1C09" w:rsidRDefault="0001063A" w:rsidP="0001063A">
      <w:pPr>
        <w:keepNext/>
        <w:keepLines/>
        <w:spacing w:after="120"/>
        <w:ind w:firstLine="142"/>
        <w:jc w:val="center"/>
        <w:outlineLvl w:val="5"/>
      </w:pPr>
      <w:r w:rsidRPr="00AD1C09">
        <w:t xml:space="preserve">§ 142 </w:t>
      </w:r>
    </w:p>
    <w:p w14:paraId="05DEA7A4" w14:textId="3FC7FCF1" w:rsidR="0001063A" w:rsidRDefault="0001063A" w:rsidP="0001063A">
      <w:pPr>
        <w:tabs>
          <w:tab w:val="left" w:pos="782"/>
          <w:tab w:val="left" w:pos="851"/>
        </w:tabs>
        <w:spacing w:after="120"/>
        <w:outlineLvl w:val="6"/>
      </w:pPr>
      <w:r>
        <w:t xml:space="preserve">(1) Česká národní banka může osobě podléhající dohledu, která porušila povinnost stanovenou tímto zákonem, rozsah jí uděleného povolení k výkonu činnosti, statut účastnického fondu, smlouvu o doplňkovém penzijním spoření, </w:t>
      </w:r>
      <w:proofErr w:type="spellStart"/>
      <w:r>
        <w:t>depozitářskou</w:t>
      </w:r>
      <w:proofErr w:type="spellEnd"/>
      <w:r>
        <w:t xml:space="preserve"> smlouvu nebo ohrozila zájmy účastníků, uložit opatření k nápravě zjištěného nedostatku odpovídající povaze porušení a jeho závažnosti a stanovit lhůtu k přijetí opatření k nápravě. </w:t>
      </w:r>
    </w:p>
    <w:p w14:paraId="49D1DFC5" w14:textId="45F06150" w:rsidR="0001063A" w:rsidRDefault="0001063A" w:rsidP="0001063A">
      <w:pPr>
        <w:tabs>
          <w:tab w:val="left" w:pos="782"/>
          <w:tab w:val="left" w:pos="851"/>
        </w:tabs>
        <w:spacing w:after="120"/>
        <w:outlineLvl w:val="6"/>
      </w:pPr>
      <w:r>
        <w:t xml:space="preserve">(2) Česká národní banka může, v závislosti na zjištěných nedostatcích, jako jiné opatření </w:t>
      </w:r>
    </w:p>
    <w:p w14:paraId="13827451" w14:textId="77777777" w:rsidR="0001063A" w:rsidRPr="00C20D54" w:rsidRDefault="0001063A" w:rsidP="0001063A">
      <w:pPr>
        <w:spacing w:before="0"/>
        <w:ind w:left="425" w:hanging="425"/>
        <w:outlineLvl w:val="7"/>
        <w:rPr>
          <w:strike/>
          <w:szCs w:val="24"/>
        </w:rPr>
      </w:pPr>
      <w:r w:rsidRPr="00C20D54">
        <w:rPr>
          <w:strike/>
        </w:rPr>
        <w:t>a)</w:t>
      </w:r>
      <w:r w:rsidRPr="00C20D54">
        <w:rPr>
          <w:strike/>
        </w:rPr>
        <w:tab/>
      </w:r>
      <w:r w:rsidRPr="00C20D54">
        <w:rPr>
          <w:strike/>
          <w:szCs w:val="24"/>
        </w:rPr>
        <w:t>nařídit penzijní společnosti provedení mimořádného auditu účetní závěrky penzijní společnosti, účastnického fondu nebo transformovaného fondu</w:t>
      </w:r>
      <w:r>
        <w:rPr>
          <w:strike/>
          <w:szCs w:val="24"/>
        </w:rPr>
        <w:t>,</w:t>
      </w:r>
      <w:r w:rsidRPr="00C20D54">
        <w:rPr>
          <w:strike/>
          <w:szCs w:val="24"/>
        </w:rPr>
        <w:t xml:space="preserve"> </w:t>
      </w:r>
    </w:p>
    <w:p w14:paraId="0EB5028C" w14:textId="77777777" w:rsidR="0001063A" w:rsidRDefault="0001063A" w:rsidP="0001063A">
      <w:pPr>
        <w:spacing w:before="0"/>
        <w:ind w:left="425" w:hanging="425"/>
        <w:outlineLvl w:val="7"/>
      </w:pPr>
      <w:r w:rsidRPr="00C20D54">
        <w:rPr>
          <w:b/>
          <w:szCs w:val="24"/>
        </w:rPr>
        <w:t>a)</w:t>
      </w:r>
      <w:r w:rsidRPr="00C20D54">
        <w:rPr>
          <w:b/>
          <w:szCs w:val="24"/>
        </w:rPr>
        <w:tab/>
        <w:t>nařídit penzijní společnosti</w:t>
      </w:r>
      <w:r w:rsidRPr="00254F59">
        <w:rPr>
          <w:szCs w:val="24"/>
        </w:rPr>
        <w:t xml:space="preserve"> </w:t>
      </w:r>
      <w:r>
        <w:rPr>
          <w:b/>
          <w:szCs w:val="24"/>
        </w:rPr>
        <w:t>ověření jejího</w:t>
      </w:r>
      <w:r w:rsidRPr="00254F59">
        <w:rPr>
          <w:b/>
          <w:szCs w:val="24"/>
        </w:rPr>
        <w:t xml:space="preserve"> řídicího a kontrolního systému nebo jeho části auditore</w:t>
      </w:r>
      <w:r w:rsidRPr="00C20D54">
        <w:rPr>
          <w:b/>
          <w:szCs w:val="24"/>
        </w:rPr>
        <w:t>m,</w:t>
      </w:r>
      <w:r>
        <w:t xml:space="preserve"> </w:t>
      </w:r>
    </w:p>
    <w:p w14:paraId="512F7466" w14:textId="77777777" w:rsidR="0001063A" w:rsidRDefault="0001063A" w:rsidP="0001063A">
      <w:pPr>
        <w:spacing w:before="0"/>
        <w:ind w:left="425" w:hanging="425"/>
        <w:outlineLvl w:val="7"/>
      </w:pPr>
      <w:r>
        <w:t>b)</w:t>
      </w:r>
      <w:r>
        <w:tab/>
        <w:t xml:space="preserve">nařídit penzijní společnosti změnu depozitáře, </w:t>
      </w:r>
    </w:p>
    <w:p w14:paraId="24914818" w14:textId="77777777" w:rsidR="0001063A" w:rsidRDefault="0001063A" w:rsidP="0001063A">
      <w:pPr>
        <w:spacing w:before="0"/>
        <w:ind w:left="425" w:hanging="425"/>
        <w:outlineLvl w:val="7"/>
      </w:pPr>
      <w:r>
        <w:t>c)</w:t>
      </w:r>
      <w:r>
        <w:tab/>
        <w:t xml:space="preserve">nařídit penzijní společnosti, samostatnému zprostředkovateli nebo vázanému zástupci změnu vedoucí osoby, </w:t>
      </w:r>
    </w:p>
    <w:p w14:paraId="74878ECB" w14:textId="77777777" w:rsidR="0001063A" w:rsidRPr="00924ECD" w:rsidRDefault="0001063A" w:rsidP="0001063A">
      <w:pPr>
        <w:spacing w:before="0"/>
        <w:ind w:left="425" w:hanging="425"/>
        <w:outlineLvl w:val="7"/>
        <w:rPr>
          <w:szCs w:val="24"/>
        </w:rPr>
      </w:pPr>
      <w:r>
        <w:t>d)</w:t>
      </w:r>
      <w:r>
        <w:tab/>
      </w:r>
      <w:r w:rsidRPr="00254F59">
        <w:rPr>
          <w:szCs w:val="24"/>
        </w:rPr>
        <w:t>nařídit penzijní společnosti změnu auditora penzijní spole</w:t>
      </w:r>
      <w:r>
        <w:rPr>
          <w:szCs w:val="24"/>
        </w:rPr>
        <w:t>čnosti nebo účastnického fondu</w:t>
      </w:r>
      <w:r w:rsidRPr="009644FD">
        <w:rPr>
          <w:b/>
          <w:szCs w:val="24"/>
        </w:rPr>
        <w:t xml:space="preserve">, pokud auditor nesplní povinnost informovat Českou národní banku o skutečnostech zjištěných podle § 21 odst. 3 nebo 4 zákona </w:t>
      </w:r>
      <w:r>
        <w:rPr>
          <w:b/>
          <w:szCs w:val="24"/>
        </w:rPr>
        <w:t>o auditorech</w:t>
      </w:r>
      <w:r>
        <w:rPr>
          <w:szCs w:val="24"/>
        </w:rPr>
        <w:t>,</w:t>
      </w:r>
    </w:p>
    <w:p w14:paraId="0F7DE5EE" w14:textId="77777777" w:rsidR="0001063A" w:rsidRDefault="0001063A" w:rsidP="0001063A">
      <w:pPr>
        <w:spacing w:before="0"/>
        <w:ind w:left="425" w:hanging="425"/>
        <w:outlineLvl w:val="7"/>
      </w:pPr>
      <w:r>
        <w:t>e)</w:t>
      </w:r>
      <w:r>
        <w:tab/>
        <w:t xml:space="preserve">pozastavit připisování a odepisování penzijních jednotek, </w:t>
      </w:r>
    </w:p>
    <w:p w14:paraId="6BEA8964" w14:textId="77777777" w:rsidR="0001063A" w:rsidRDefault="0001063A" w:rsidP="0001063A">
      <w:pPr>
        <w:spacing w:before="0"/>
        <w:ind w:left="425" w:hanging="425"/>
        <w:outlineLvl w:val="7"/>
      </w:pPr>
      <w:r>
        <w:t>f)</w:t>
      </w:r>
      <w:r>
        <w:tab/>
        <w:t xml:space="preserve">zavést nucenou správu penzijní společnosti, </w:t>
      </w:r>
    </w:p>
    <w:p w14:paraId="1FA5A86F" w14:textId="77777777" w:rsidR="0001063A" w:rsidRDefault="0001063A" w:rsidP="0001063A">
      <w:pPr>
        <w:spacing w:before="0"/>
        <w:ind w:left="425" w:hanging="425"/>
        <w:outlineLvl w:val="7"/>
      </w:pPr>
      <w:r>
        <w:t>g)</w:t>
      </w:r>
      <w:r>
        <w:tab/>
        <w:t xml:space="preserve">nařídit penzijní společnosti převod obhospodařování účastnických fondů na jinou penzijní společnost, </w:t>
      </w:r>
    </w:p>
    <w:p w14:paraId="313B5B67" w14:textId="77777777" w:rsidR="0001063A" w:rsidRDefault="0001063A" w:rsidP="0001063A">
      <w:pPr>
        <w:spacing w:before="0"/>
        <w:ind w:left="425" w:hanging="425"/>
        <w:outlineLvl w:val="7"/>
      </w:pPr>
      <w:r>
        <w:t>h)</w:t>
      </w:r>
      <w:r>
        <w:tab/>
        <w:t xml:space="preserve">pozastavit penzijní společnosti, samostatnému zprostředkovateli nebo vázanému zástupci výkon činnosti nebo omezit penzijní společnosti rozsah povolené činnosti, </w:t>
      </w:r>
    </w:p>
    <w:p w14:paraId="4D2E5748" w14:textId="77777777" w:rsidR="0001063A" w:rsidRDefault="0001063A" w:rsidP="0001063A">
      <w:pPr>
        <w:spacing w:before="0"/>
        <w:ind w:left="425" w:hanging="425"/>
        <w:outlineLvl w:val="7"/>
      </w:pPr>
      <w:r>
        <w:t>i)</w:t>
      </w:r>
      <w:r>
        <w:tab/>
        <w:t xml:space="preserve">odejmout povolení nebo souhlas udělené podle tohoto zákona. </w:t>
      </w:r>
    </w:p>
    <w:p w14:paraId="05D74F55" w14:textId="527E06CD" w:rsidR="0001063A" w:rsidRDefault="0001063A" w:rsidP="00F5058F">
      <w:pPr>
        <w:tabs>
          <w:tab w:val="left" w:pos="782"/>
          <w:tab w:val="left" w:pos="851"/>
        </w:tabs>
        <w:spacing w:before="120" w:after="120"/>
        <w:outlineLvl w:val="6"/>
      </w:pPr>
      <w:r>
        <w:lastRenderedPageBreak/>
        <w:t xml:space="preserve">(3) Osoba, které bylo uloženo některé z opatření k nápravě zjištěných nedostatků, bez zbytečného odkladu oznámí České národní bance způsob plnění uloženého opatření. </w:t>
      </w:r>
    </w:p>
    <w:p w14:paraId="300B321E" w14:textId="7CC2ABE9" w:rsidR="0001063A" w:rsidRDefault="0001063A" w:rsidP="00F5058F">
      <w:pPr>
        <w:tabs>
          <w:tab w:val="left" w:pos="782"/>
          <w:tab w:val="left" w:pos="851"/>
        </w:tabs>
        <w:spacing w:before="120" w:after="120"/>
        <w:outlineLvl w:val="6"/>
      </w:pPr>
      <w:r>
        <w:t xml:space="preserve">(4) Česká národní banka současně se zahájením správního řízení o uložení opatření k nápravě zjištěného nedostatku může uložit předběžné opatření, jestliže hrozí nebezpečí z prodlení nebo neodstranitelný zásah do práv jiných osob. </w:t>
      </w:r>
    </w:p>
    <w:p w14:paraId="388E7241" w14:textId="77777777" w:rsidR="0001063A" w:rsidRPr="00500217" w:rsidRDefault="0001063A" w:rsidP="0001063A">
      <w:pPr>
        <w:keepNext/>
        <w:keepLines/>
        <w:spacing w:after="120"/>
        <w:ind w:firstLine="0"/>
        <w:jc w:val="center"/>
        <w:outlineLvl w:val="5"/>
        <w:rPr>
          <w:strike/>
        </w:rPr>
      </w:pPr>
      <w:r w:rsidRPr="00500217">
        <w:rPr>
          <w:strike/>
        </w:rPr>
        <w:t xml:space="preserve">§ 143 </w:t>
      </w:r>
    </w:p>
    <w:p w14:paraId="4BC1FAC9" w14:textId="77777777" w:rsidR="0001063A" w:rsidRPr="00500217" w:rsidRDefault="0001063A" w:rsidP="0001063A">
      <w:pPr>
        <w:keepNext/>
        <w:keepLines/>
        <w:spacing w:after="120"/>
        <w:ind w:firstLine="0"/>
        <w:jc w:val="center"/>
        <w:outlineLvl w:val="5"/>
        <w:rPr>
          <w:b/>
          <w:strike/>
        </w:rPr>
      </w:pPr>
      <w:r w:rsidRPr="00500217">
        <w:rPr>
          <w:b/>
          <w:strike/>
        </w:rPr>
        <w:t>Nařízení mimořádného auditu</w:t>
      </w:r>
    </w:p>
    <w:p w14:paraId="6BBEBC52" w14:textId="6C3BE61F" w:rsidR="0001063A" w:rsidRPr="00500217" w:rsidRDefault="0001063A" w:rsidP="00F5058F">
      <w:pPr>
        <w:tabs>
          <w:tab w:val="left" w:pos="782"/>
          <w:tab w:val="left" w:pos="851"/>
        </w:tabs>
        <w:spacing w:before="120" w:after="120"/>
        <w:outlineLvl w:val="6"/>
        <w:rPr>
          <w:strike/>
        </w:rPr>
      </w:pPr>
      <w:r>
        <w:rPr>
          <w:strike/>
        </w:rPr>
        <w:t xml:space="preserve">(1) </w:t>
      </w:r>
      <w:r w:rsidRPr="00500217">
        <w:rPr>
          <w:strike/>
        </w:rPr>
        <w:t xml:space="preserve">Česká národní banka může nařídit penzijní společnosti provedení mimořádného auditu účetní závěrky penzijní společnosti, účastnického fondu nebo transformovaného fondu, zjistí-li závažné nedostatky ve zprávě </w:t>
      </w:r>
      <w:proofErr w:type="gramStart"/>
      <w:r w:rsidRPr="00500217">
        <w:rPr>
          <w:strike/>
        </w:rPr>
        <w:t>auditora nebo</w:t>
      </w:r>
      <w:proofErr w:type="gramEnd"/>
      <w:r w:rsidRPr="00500217">
        <w:rPr>
          <w:strike/>
        </w:rPr>
        <w:t xml:space="preserve"> pokud auditor nebo auditorská společnost nesplní svoji oznamovací povinnost podle zákona upravujícího činnost auditorů. S ohledem na zjištěné skutečnosti Česká národní banka určí podmínky provedení mimořádného auditu účetní závěrky, zejména rozsah a způsob provedení mimořádného auditu. </w:t>
      </w:r>
    </w:p>
    <w:p w14:paraId="0F4B84B0" w14:textId="2D2FE10C" w:rsidR="0001063A" w:rsidRPr="00500217" w:rsidRDefault="0001063A" w:rsidP="00F5058F">
      <w:pPr>
        <w:tabs>
          <w:tab w:val="left" w:pos="782"/>
          <w:tab w:val="left" w:pos="851"/>
        </w:tabs>
        <w:spacing w:before="120" w:after="120"/>
        <w:outlineLvl w:val="6"/>
        <w:rPr>
          <w:strike/>
        </w:rPr>
      </w:pPr>
      <w:r>
        <w:rPr>
          <w:strike/>
        </w:rPr>
        <w:t xml:space="preserve">(2) </w:t>
      </w:r>
      <w:r w:rsidRPr="00500217">
        <w:rPr>
          <w:strike/>
        </w:rPr>
        <w:t xml:space="preserve">Penzijní společnost zajistí provedení mimořádného auditu a sdělí České národní bance do 30 dnů ode dne právní moci rozhodnutí, kterým bylo nařízeno provedení mimořádného auditu, údaje o auditorovi, který mimořádný audit provede. Tento auditor musí být osobou odlišnou od auditora, který provedl ověření účetní závěrky. </w:t>
      </w:r>
    </w:p>
    <w:p w14:paraId="5F2E00D1" w14:textId="77777777" w:rsidR="0001063A" w:rsidRPr="00500217" w:rsidRDefault="0001063A" w:rsidP="00F5058F">
      <w:pPr>
        <w:tabs>
          <w:tab w:val="left" w:pos="782"/>
          <w:tab w:val="left" w:pos="851"/>
        </w:tabs>
        <w:spacing w:before="120" w:after="120"/>
        <w:outlineLvl w:val="6"/>
        <w:rPr>
          <w:strike/>
        </w:rPr>
      </w:pPr>
      <w:r w:rsidRPr="00500217">
        <w:rPr>
          <w:strike/>
        </w:rPr>
        <w:t xml:space="preserve">(3) Česká národní banka může do 30 dnů ode dne sdělení údajů podle odstavce 2 odmítnout auditora, který jí byl penzijní společností oznámen, a určit jiného auditora, který mimořádný audit provede. </w:t>
      </w:r>
    </w:p>
    <w:p w14:paraId="02E24A90" w14:textId="77777777" w:rsidR="0001063A" w:rsidRPr="00C17E29" w:rsidRDefault="0001063A" w:rsidP="00F5058F">
      <w:pPr>
        <w:tabs>
          <w:tab w:val="left" w:pos="782"/>
          <w:tab w:val="left" w:pos="851"/>
        </w:tabs>
        <w:spacing w:before="120" w:after="120"/>
        <w:outlineLvl w:val="6"/>
        <w:rPr>
          <w:strike/>
        </w:rPr>
      </w:pPr>
      <w:r w:rsidRPr="00500217">
        <w:rPr>
          <w:strike/>
        </w:rPr>
        <w:t>(4) Náklady mimořádného auditu nese penzijní společnost. Pokud nejsou na základě mimořádného</w:t>
      </w:r>
      <w:r w:rsidRPr="00500217">
        <w:rPr>
          <w:b/>
          <w:strike/>
        </w:rPr>
        <w:t xml:space="preserve"> </w:t>
      </w:r>
      <w:r w:rsidRPr="00500217">
        <w:rPr>
          <w:strike/>
        </w:rPr>
        <w:t>auditu potvrzeny závažn</w:t>
      </w:r>
      <w:r>
        <w:rPr>
          <w:strike/>
        </w:rPr>
        <w:t xml:space="preserve">é nedostatky ve zprávě auditora </w:t>
      </w:r>
      <w:r w:rsidRPr="00500217">
        <w:rPr>
          <w:strike/>
        </w:rPr>
        <w:t xml:space="preserve">nebo nesplnění oznamovací povinnosti podle odstavce 1, uhradí Česká národní banka penzijní společnosti jí účelně vynaložené náklady na provedení mimořádného auditu. </w:t>
      </w:r>
    </w:p>
    <w:p w14:paraId="3E533AB9" w14:textId="77777777" w:rsidR="0001063A" w:rsidRPr="00C12252" w:rsidRDefault="0001063A" w:rsidP="0001063A">
      <w:pPr>
        <w:keepNext/>
        <w:keepLines/>
        <w:spacing w:after="120"/>
        <w:jc w:val="center"/>
        <w:outlineLvl w:val="5"/>
        <w:rPr>
          <w:b/>
          <w:szCs w:val="24"/>
        </w:rPr>
      </w:pPr>
      <w:r w:rsidRPr="00C12252">
        <w:rPr>
          <w:b/>
          <w:szCs w:val="24"/>
        </w:rPr>
        <w:t>§ 143</w:t>
      </w:r>
    </w:p>
    <w:p w14:paraId="1A009ED5" w14:textId="77777777" w:rsidR="0001063A" w:rsidRPr="00F04829" w:rsidRDefault="0001063A" w:rsidP="0001063A">
      <w:pPr>
        <w:keepNext/>
        <w:keepLines/>
        <w:spacing w:after="120"/>
        <w:jc w:val="center"/>
        <w:outlineLvl w:val="5"/>
        <w:rPr>
          <w:b/>
          <w:szCs w:val="24"/>
        </w:rPr>
      </w:pPr>
      <w:r>
        <w:rPr>
          <w:b/>
          <w:szCs w:val="24"/>
        </w:rPr>
        <w:t xml:space="preserve">Ověření řídicího a kontrolního </w:t>
      </w:r>
      <w:r w:rsidRPr="00924ECD">
        <w:rPr>
          <w:b/>
        </w:rPr>
        <w:t>systému</w:t>
      </w:r>
    </w:p>
    <w:p w14:paraId="24DA10C5" w14:textId="77777777" w:rsidR="0001063A" w:rsidRPr="001148AE" w:rsidRDefault="0001063A" w:rsidP="00F5058F">
      <w:pPr>
        <w:tabs>
          <w:tab w:val="left" w:pos="782"/>
          <w:tab w:val="left" w:pos="851"/>
        </w:tabs>
        <w:spacing w:before="120" w:after="120"/>
        <w:outlineLvl w:val="6"/>
        <w:rPr>
          <w:b/>
        </w:rPr>
      </w:pPr>
      <w:r>
        <w:rPr>
          <w:b/>
        </w:rPr>
        <w:t xml:space="preserve">(1) </w:t>
      </w:r>
      <w:r w:rsidRPr="003576E1">
        <w:rPr>
          <w:b/>
        </w:rPr>
        <w:t>Zjistí-li Česká národní banka v činnosti penzijní společnosti nedostatky, které by mohly mít zásadní nepříznivý dopad na její činnost, její rizikový profil nebo postavení v rámci skupiny, jíž je součástí, může nařídit, aby taková penzijní společnost zajistila ověření svého řídicího a kontrolního systému nebo jeho části auditorem. Ověření je dokončeno předložením zprávy o ověření řídicího a kontrolního systému České národní bance</w:t>
      </w:r>
      <w:r w:rsidRPr="00B94748">
        <w:rPr>
          <w:b/>
        </w:rPr>
        <w:t>.</w:t>
      </w:r>
      <w:r w:rsidRPr="001148AE">
        <w:rPr>
          <w:b/>
        </w:rPr>
        <w:t xml:space="preserve"> </w:t>
      </w:r>
    </w:p>
    <w:p w14:paraId="5CC222AB" w14:textId="77777777" w:rsidR="0001063A" w:rsidRPr="00D036CA" w:rsidRDefault="0001063A" w:rsidP="00F5058F">
      <w:pPr>
        <w:tabs>
          <w:tab w:val="left" w:pos="782"/>
          <w:tab w:val="left" w:pos="851"/>
        </w:tabs>
        <w:spacing w:before="120" w:after="120"/>
        <w:outlineLvl w:val="6"/>
        <w:rPr>
          <w:b/>
        </w:rPr>
      </w:pPr>
      <w:r>
        <w:rPr>
          <w:b/>
        </w:rPr>
        <w:t>(2)</w:t>
      </w:r>
      <w:r>
        <w:rPr>
          <w:b/>
        </w:rPr>
        <w:tab/>
      </w:r>
      <w:r w:rsidRPr="00D036CA">
        <w:rPr>
          <w:b/>
        </w:rPr>
        <w:t>Proti rozhodnutí podle odstavce 1 není přípustný rozklad.</w:t>
      </w:r>
    </w:p>
    <w:p w14:paraId="1EB8D071" w14:textId="77777777" w:rsidR="0001063A" w:rsidRPr="00802B96" w:rsidRDefault="0001063A" w:rsidP="00F5058F">
      <w:pPr>
        <w:tabs>
          <w:tab w:val="left" w:pos="782"/>
          <w:tab w:val="left" w:pos="851"/>
        </w:tabs>
        <w:spacing w:before="120" w:after="120"/>
        <w:outlineLvl w:val="6"/>
        <w:rPr>
          <w:b/>
        </w:rPr>
      </w:pPr>
      <w:r w:rsidRPr="00802B96">
        <w:rPr>
          <w:b/>
        </w:rPr>
        <w:t>(3) Česká národní banka v rozhodnutí podle odstavce 1 stanoví přiměřenou lhůtu pro provedení ověření</w:t>
      </w:r>
      <w:r w:rsidRPr="00302F64">
        <w:rPr>
          <w:b/>
        </w:rPr>
        <w:t xml:space="preserve"> </w:t>
      </w:r>
      <w:r>
        <w:rPr>
          <w:b/>
        </w:rPr>
        <w:t>a předložení zprávy podle odstavce 1 České národní bance</w:t>
      </w:r>
      <w:r w:rsidRPr="00802B96">
        <w:rPr>
          <w:b/>
        </w:rPr>
        <w:t xml:space="preserve">, která nesmí být kratší než 3 měsíce ode dne nabytí právní moci rozhodnutí, a určí část řídicího a kontrolního systému </w:t>
      </w:r>
      <w:r>
        <w:rPr>
          <w:b/>
        </w:rPr>
        <w:t>penzijní společnosti</w:t>
      </w:r>
      <w:r w:rsidRPr="00802B96">
        <w:rPr>
          <w:b/>
        </w:rPr>
        <w:t xml:space="preserve">, jejíž funkčnost a efektivnost má </w:t>
      </w:r>
      <w:r>
        <w:rPr>
          <w:b/>
        </w:rPr>
        <w:t>auditor</w:t>
      </w:r>
      <w:r w:rsidRPr="00802B96">
        <w:rPr>
          <w:b/>
        </w:rPr>
        <w:t xml:space="preserve"> ověřit. </w:t>
      </w:r>
    </w:p>
    <w:p w14:paraId="33213C1E" w14:textId="77777777" w:rsidR="0001063A" w:rsidRPr="00802B96" w:rsidRDefault="0001063A" w:rsidP="00F5058F">
      <w:pPr>
        <w:tabs>
          <w:tab w:val="left" w:pos="782"/>
          <w:tab w:val="left" w:pos="851"/>
        </w:tabs>
        <w:spacing w:before="120" w:after="120"/>
        <w:outlineLvl w:val="6"/>
        <w:rPr>
          <w:b/>
        </w:rPr>
      </w:pPr>
      <w:r>
        <w:rPr>
          <w:b/>
        </w:rPr>
        <w:t>(4)</w:t>
      </w:r>
      <w:r>
        <w:rPr>
          <w:b/>
        </w:rPr>
        <w:tab/>
        <w:t>Penzijní společnost</w:t>
      </w:r>
      <w:r w:rsidRPr="00802B96">
        <w:rPr>
          <w:b/>
        </w:rPr>
        <w:t>, které bylo nařízeno prové</w:t>
      </w:r>
      <w:r>
        <w:rPr>
          <w:b/>
        </w:rPr>
        <w:t>st ověření, poskytne auditorovi</w:t>
      </w:r>
      <w:r w:rsidRPr="00802B96">
        <w:rPr>
          <w:b/>
        </w:rPr>
        <w:t xml:space="preserve"> potřebnou součinnost.</w:t>
      </w:r>
    </w:p>
    <w:p w14:paraId="1D0C262A" w14:textId="77777777" w:rsidR="0001063A" w:rsidRDefault="0001063A" w:rsidP="00F5058F">
      <w:pPr>
        <w:tabs>
          <w:tab w:val="left" w:pos="782"/>
          <w:tab w:val="left" w:pos="851"/>
        </w:tabs>
        <w:spacing w:before="120" w:after="120"/>
        <w:outlineLvl w:val="6"/>
        <w:rPr>
          <w:b/>
        </w:rPr>
      </w:pPr>
      <w:r w:rsidRPr="00802B96">
        <w:rPr>
          <w:b/>
        </w:rPr>
        <w:t>(5) Podrobnosti náležitostí a strukturu zprávy stanoví Česká národní banka vyhláškou.</w:t>
      </w:r>
    </w:p>
    <w:p w14:paraId="7620D5DF" w14:textId="77777777" w:rsidR="0001063A" w:rsidRPr="00802B96" w:rsidRDefault="0001063A" w:rsidP="00F5058F">
      <w:pPr>
        <w:pStyle w:val="Paragraf"/>
        <w:spacing w:after="120"/>
        <w:rPr>
          <w:b/>
        </w:rPr>
      </w:pPr>
      <w:r>
        <w:rPr>
          <w:b/>
        </w:rPr>
        <w:lastRenderedPageBreak/>
        <w:t>§ 143a</w:t>
      </w:r>
    </w:p>
    <w:p w14:paraId="64B9CA30" w14:textId="77777777" w:rsidR="0001063A" w:rsidRPr="00802B96" w:rsidRDefault="0001063A" w:rsidP="00F5058F">
      <w:pPr>
        <w:pStyle w:val="Textparagrafu"/>
        <w:keepNext/>
        <w:keepLines/>
        <w:spacing w:after="120"/>
        <w:ind w:firstLine="0"/>
        <w:contextualSpacing/>
        <w:jc w:val="center"/>
        <w:rPr>
          <w:b/>
        </w:rPr>
      </w:pPr>
      <w:r>
        <w:rPr>
          <w:b/>
        </w:rPr>
        <w:t xml:space="preserve">Výběr auditora pro ověření </w:t>
      </w:r>
      <w:r>
        <w:rPr>
          <w:b/>
          <w:szCs w:val="24"/>
        </w:rPr>
        <w:t>řídicího a kontrolního systému</w:t>
      </w:r>
    </w:p>
    <w:p w14:paraId="468E8F25" w14:textId="77777777" w:rsidR="0001063A" w:rsidRDefault="0001063A" w:rsidP="00F5058F">
      <w:pPr>
        <w:keepNext/>
        <w:keepLines/>
        <w:tabs>
          <w:tab w:val="left" w:pos="782"/>
          <w:tab w:val="left" w:pos="851"/>
        </w:tabs>
        <w:spacing w:after="120"/>
        <w:outlineLvl w:val="6"/>
        <w:rPr>
          <w:b/>
        </w:rPr>
      </w:pPr>
      <w:r w:rsidRPr="00802B96">
        <w:rPr>
          <w:b/>
        </w:rPr>
        <w:t xml:space="preserve">(1) </w:t>
      </w:r>
      <w:r>
        <w:rPr>
          <w:b/>
        </w:rPr>
        <w:t>Penzijní společnost</w:t>
      </w:r>
      <w:r w:rsidRPr="00802B96">
        <w:rPr>
          <w:b/>
        </w:rPr>
        <w:t xml:space="preserve"> </w:t>
      </w:r>
      <w:r>
        <w:rPr>
          <w:b/>
        </w:rPr>
        <w:t xml:space="preserve">oznámí </w:t>
      </w:r>
      <w:r w:rsidRPr="00802B96">
        <w:rPr>
          <w:b/>
        </w:rPr>
        <w:t xml:space="preserve">České národní bance vybraného </w:t>
      </w:r>
      <w:r>
        <w:rPr>
          <w:b/>
        </w:rPr>
        <w:t>auditora</w:t>
      </w:r>
      <w:r w:rsidRPr="00802B96">
        <w:rPr>
          <w:b/>
        </w:rPr>
        <w:t xml:space="preserve"> do 30 dnů ode dne nabytí právní moci rozhodnutí podle § </w:t>
      </w:r>
      <w:r>
        <w:rPr>
          <w:b/>
        </w:rPr>
        <w:t>143</w:t>
      </w:r>
      <w:r w:rsidRPr="00802B96">
        <w:rPr>
          <w:b/>
        </w:rPr>
        <w:t xml:space="preserve"> odst. 1.</w:t>
      </w:r>
    </w:p>
    <w:p w14:paraId="66165402" w14:textId="77777777" w:rsidR="0001063A" w:rsidRPr="00802B96" w:rsidRDefault="0001063A" w:rsidP="0001063A">
      <w:pPr>
        <w:tabs>
          <w:tab w:val="left" w:pos="782"/>
          <w:tab w:val="left" w:pos="851"/>
        </w:tabs>
        <w:spacing w:after="120"/>
        <w:outlineLvl w:val="6"/>
        <w:rPr>
          <w:b/>
        </w:rPr>
      </w:pPr>
      <w:r w:rsidRPr="00802B96">
        <w:rPr>
          <w:b/>
        </w:rPr>
        <w:t>(</w:t>
      </w:r>
      <w:r>
        <w:rPr>
          <w:b/>
        </w:rPr>
        <w:t>2) Oznámení o výběru auditora</w:t>
      </w:r>
      <w:r w:rsidRPr="00802B96">
        <w:rPr>
          <w:b/>
        </w:rPr>
        <w:t xml:space="preserve"> podle odstavce 1 obsahuje</w:t>
      </w:r>
    </w:p>
    <w:p w14:paraId="01A1BB34" w14:textId="77777777" w:rsidR="0001063A" w:rsidRPr="00924ECD" w:rsidRDefault="0001063A" w:rsidP="0001063A">
      <w:pPr>
        <w:spacing w:before="0"/>
        <w:ind w:left="425" w:hanging="425"/>
        <w:outlineLvl w:val="7"/>
        <w:rPr>
          <w:b/>
        </w:rPr>
      </w:pPr>
      <w:r w:rsidRPr="00924ECD">
        <w:rPr>
          <w:b/>
        </w:rPr>
        <w:t>a)</w:t>
      </w:r>
      <w:r w:rsidRPr="00924ECD">
        <w:rPr>
          <w:b/>
        </w:rPr>
        <w:tab/>
        <w:t>identifikaci auditora a dalších osob, které se budou podílet na ověření,</w:t>
      </w:r>
    </w:p>
    <w:p w14:paraId="349771A3" w14:textId="77777777" w:rsidR="0001063A" w:rsidRPr="00924ECD" w:rsidRDefault="0001063A" w:rsidP="0001063A">
      <w:pPr>
        <w:spacing w:before="0"/>
        <w:ind w:left="425" w:hanging="425"/>
        <w:outlineLvl w:val="7"/>
        <w:rPr>
          <w:b/>
        </w:rPr>
      </w:pPr>
      <w:r w:rsidRPr="00924ECD">
        <w:rPr>
          <w:b/>
        </w:rPr>
        <w:t>b)</w:t>
      </w:r>
      <w:r w:rsidRPr="00924ECD">
        <w:rPr>
          <w:b/>
        </w:rPr>
        <w:tab/>
        <w:t xml:space="preserve">vymezení části řídicího a kontrolního systému, která má být daným auditorem ověřena, </w:t>
      </w:r>
    </w:p>
    <w:p w14:paraId="30EF5973" w14:textId="77777777" w:rsidR="0001063A" w:rsidRPr="00924ECD" w:rsidRDefault="0001063A" w:rsidP="0001063A">
      <w:pPr>
        <w:spacing w:before="0"/>
        <w:ind w:left="425" w:hanging="425"/>
        <w:outlineLvl w:val="7"/>
        <w:rPr>
          <w:b/>
        </w:rPr>
      </w:pPr>
      <w:r w:rsidRPr="00924ECD">
        <w:rPr>
          <w:b/>
        </w:rPr>
        <w:t>c)</w:t>
      </w:r>
      <w:r w:rsidRPr="00924ECD">
        <w:rPr>
          <w:b/>
        </w:rPr>
        <w:tab/>
        <w:t>rozsah dosavadní činnosti auditora v oblasti řídicího a kontrolního systému penzijní společnosti, která má být ověřena,</w:t>
      </w:r>
    </w:p>
    <w:p w14:paraId="694770F2" w14:textId="77777777" w:rsidR="0001063A" w:rsidRPr="00924ECD" w:rsidRDefault="0001063A" w:rsidP="0001063A">
      <w:pPr>
        <w:spacing w:before="0"/>
        <w:ind w:left="425" w:hanging="425"/>
        <w:outlineLvl w:val="7"/>
        <w:rPr>
          <w:b/>
        </w:rPr>
      </w:pPr>
      <w:r w:rsidRPr="00924ECD">
        <w:rPr>
          <w:b/>
        </w:rPr>
        <w:t>d)</w:t>
      </w:r>
      <w:r w:rsidRPr="00924ECD">
        <w:rPr>
          <w:b/>
        </w:rPr>
        <w:tab/>
        <w:t>popis činností doposud vykonávaných auditorem v oblasti činnosti penzijních společností</w:t>
      </w:r>
      <w:r>
        <w:rPr>
          <w:b/>
        </w:rPr>
        <w:t xml:space="preserve"> a</w:t>
      </w:r>
    </w:p>
    <w:p w14:paraId="74C4E624" w14:textId="77777777" w:rsidR="0001063A" w:rsidRPr="00924ECD" w:rsidRDefault="0001063A" w:rsidP="0001063A">
      <w:pPr>
        <w:spacing w:before="0"/>
        <w:ind w:left="425" w:hanging="425"/>
        <w:outlineLvl w:val="7"/>
        <w:rPr>
          <w:b/>
        </w:rPr>
      </w:pPr>
      <w:r w:rsidRPr="00924ECD">
        <w:rPr>
          <w:b/>
        </w:rPr>
        <w:t>e)</w:t>
      </w:r>
      <w:r w:rsidRPr="00924ECD">
        <w:rPr>
          <w:b/>
        </w:rPr>
        <w:tab/>
        <w:t>prohlášení penzijní společnosti o neexistenci propojení s auditorem, které by bránilo provedení nestranného ověření jejího řídicího a kontrolního systému nebo jeho části.</w:t>
      </w:r>
    </w:p>
    <w:p w14:paraId="40BDDCBA" w14:textId="77777777" w:rsidR="0001063A" w:rsidRPr="00802B96" w:rsidRDefault="0001063A" w:rsidP="0001063A">
      <w:pPr>
        <w:tabs>
          <w:tab w:val="left" w:pos="782"/>
          <w:tab w:val="left" w:pos="851"/>
        </w:tabs>
        <w:spacing w:after="120"/>
        <w:outlineLvl w:val="6"/>
        <w:rPr>
          <w:b/>
          <w:szCs w:val="24"/>
        </w:rPr>
      </w:pPr>
      <w:r w:rsidRPr="00802B96">
        <w:rPr>
          <w:b/>
          <w:szCs w:val="24"/>
        </w:rPr>
        <w:t xml:space="preserve"> (3)</w:t>
      </w:r>
      <w:r>
        <w:rPr>
          <w:b/>
          <w:szCs w:val="24"/>
        </w:rPr>
        <w:t xml:space="preserve"> Česká národní banka auditora</w:t>
      </w:r>
      <w:r w:rsidRPr="00802B96">
        <w:rPr>
          <w:b/>
          <w:szCs w:val="24"/>
        </w:rPr>
        <w:t xml:space="preserve"> oznámeného podle odstavce 1 odmítne</w:t>
      </w:r>
      <w:r>
        <w:rPr>
          <w:b/>
          <w:szCs w:val="24"/>
        </w:rPr>
        <w:t xml:space="preserve"> do 30 dnů ode dne zahájení řízení</w:t>
      </w:r>
      <w:r w:rsidRPr="00802B96">
        <w:rPr>
          <w:b/>
          <w:szCs w:val="24"/>
        </w:rPr>
        <w:t>, pokud</w:t>
      </w:r>
    </w:p>
    <w:p w14:paraId="4EC9A9E8" w14:textId="77777777" w:rsidR="0001063A" w:rsidRPr="00924ECD" w:rsidRDefault="0001063A" w:rsidP="0001063A">
      <w:pPr>
        <w:spacing w:before="0"/>
        <w:ind w:left="425" w:hanging="425"/>
        <w:outlineLvl w:val="7"/>
        <w:rPr>
          <w:b/>
        </w:rPr>
      </w:pPr>
      <w:r w:rsidRPr="00924ECD">
        <w:rPr>
          <w:b/>
        </w:rPr>
        <w:t>a)</w:t>
      </w:r>
      <w:r w:rsidRPr="00924ECD">
        <w:rPr>
          <w:b/>
        </w:rPr>
        <w:tab/>
        <w:t xml:space="preserve">je nebo byl v posledních 2 letech před provedením ověření k penzijní společnosti ve vztahu, který by mohl ovlivnit jeho nestrannost nebo nesplňuje-li požadavky na nezávislost stanovené v zákoně upravujícím </w:t>
      </w:r>
      <w:r>
        <w:rPr>
          <w:b/>
        </w:rPr>
        <w:t>auditorskou činnost</w:t>
      </w:r>
      <w:r w:rsidRPr="00924ECD">
        <w:rPr>
          <w:b/>
        </w:rPr>
        <w:t>,</w:t>
      </w:r>
    </w:p>
    <w:p w14:paraId="2987F70F" w14:textId="77777777" w:rsidR="0001063A" w:rsidRPr="00924ECD" w:rsidRDefault="0001063A" w:rsidP="0001063A">
      <w:pPr>
        <w:spacing w:before="0"/>
        <w:ind w:left="425" w:hanging="425"/>
        <w:outlineLvl w:val="7"/>
        <w:rPr>
          <w:b/>
        </w:rPr>
      </w:pPr>
      <w:r w:rsidRPr="00924ECD">
        <w:rPr>
          <w:b/>
        </w:rPr>
        <w:t>b)</w:t>
      </w:r>
      <w:r w:rsidRPr="00924ECD">
        <w:rPr>
          <w:b/>
        </w:rPr>
        <w:tab/>
        <w:t>jeho dosavadní činnost v oblasti ověření řídicího a kontrolního systému nebo jeho části nezajišťuje předpoklad řádného ověření, a to s ohledem na rozsah a složitost činností vykonávaných penzijní společností, ve které má ověření provést.</w:t>
      </w:r>
    </w:p>
    <w:p w14:paraId="601DC2C1" w14:textId="77777777" w:rsidR="0001063A" w:rsidRPr="00924ECD" w:rsidRDefault="0001063A" w:rsidP="00F5058F">
      <w:pPr>
        <w:tabs>
          <w:tab w:val="left" w:pos="782"/>
          <w:tab w:val="left" w:pos="851"/>
        </w:tabs>
        <w:spacing w:before="120" w:after="120"/>
        <w:outlineLvl w:val="6"/>
        <w:rPr>
          <w:b/>
          <w:szCs w:val="24"/>
        </w:rPr>
      </w:pPr>
      <w:r w:rsidRPr="00924ECD">
        <w:rPr>
          <w:b/>
          <w:szCs w:val="24"/>
        </w:rPr>
        <w:t>(4) Řízení o odmítnutí auditora zahájí Česká národní banka do 30 dnů ode dne obdržení oznámení od penzijní společnosti podle odstavce 2. Nezahájí-li Česká národní banka řízení ve stanovené lhůtě, platí, že auditora neodmítla.</w:t>
      </w:r>
    </w:p>
    <w:p w14:paraId="70C54AD0" w14:textId="77777777" w:rsidR="0001063A" w:rsidRPr="00924ECD" w:rsidRDefault="0001063A" w:rsidP="00F5058F">
      <w:pPr>
        <w:tabs>
          <w:tab w:val="left" w:pos="782"/>
          <w:tab w:val="left" w:pos="851"/>
        </w:tabs>
        <w:spacing w:before="120" w:after="120"/>
        <w:outlineLvl w:val="6"/>
        <w:rPr>
          <w:b/>
          <w:szCs w:val="24"/>
        </w:rPr>
      </w:pPr>
      <w:r w:rsidRPr="00924ECD">
        <w:rPr>
          <w:b/>
          <w:szCs w:val="24"/>
        </w:rPr>
        <w:t>(5) Pokud Česká národní banka zahájí řízení o odmítnutí auditora podle odstavce 4, lhůta pro provedení ověření řídicího a kontrolního systému nebo jeho části podle § 143 odst. 3 se o dobu trvání tohoto řízení prodlužuje.</w:t>
      </w:r>
    </w:p>
    <w:p w14:paraId="5BD4128F" w14:textId="77777777" w:rsidR="0001063A" w:rsidRPr="00924ECD" w:rsidRDefault="0001063A" w:rsidP="00F5058F">
      <w:pPr>
        <w:tabs>
          <w:tab w:val="left" w:pos="782"/>
          <w:tab w:val="left" w:pos="851"/>
        </w:tabs>
        <w:spacing w:before="120" w:after="120"/>
        <w:outlineLvl w:val="6"/>
        <w:rPr>
          <w:b/>
          <w:szCs w:val="24"/>
        </w:rPr>
      </w:pPr>
      <w:r w:rsidRPr="00924ECD">
        <w:rPr>
          <w:b/>
          <w:szCs w:val="24"/>
        </w:rPr>
        <w:t>(6)</w:t>
      </w:r>
      <w:r w:rsidRPr="00924ECD">
        <w:rPr>
          <w:b/>
          <w:szCs w:val="24"/>
        </w:rPr>
        <w:tab/>
        <w:t xml:space="preserve">Odmítne-li Česká národní banka vybraného auditora, oznámí penzijní společnost České národní bance nově vybraného auditora do 30 dnů ode dne doručení rozhodnutí o odmítnutí auditora. Na nově vybraného auditora se použijí odstavce </w:t>
      </w:r>
      <w:r>
        <w:rPr>
          <w:b/>
          <w:szCs w:val="24"/>
        </w:rPr>
        <w:t>2</w:t>
      </w:r>
      <w:r w:rsidRPr="00924ECD">
        <w:rPr>
          <w:b/>
          <w:szCs w:val="24"/>
        </w:rPr>
        <w:t xml:space="preserve"> až 5 obdobně.</w:t>
      </w:r>
    </w:p>
    <w:p w14:paraId="71D8E1AC" w14:textId="77777777" w:rsidR="0001063A" w:rsidRPr="00924ECD" w:rsidRDefault="0001063A" w:rsidP="00F5058F">
      <w:pPr>
        <w:tabs>
          <w:tab w:val="left" w:pos="782"/>
          <w:tab w:val="left" w:pos="851"/>
        </w:tabs>
        <w:spacing w:before="120" w:after="120"/>
        <w:outlineLvl w:val="6"/>
        <w:rPr>
          <w:b/>
          <w:szCs w:val="24"/>
        </w:rPr>
      </w:pPr>
      <w:r w:rsidRPr="00924ECD">
        <w:rPr>
          <w:b/>
          <w:szCs w:val="24"/>
        </w:rPr>
        <w:t>(7) Proti rozhodnutí o odmítnutí auditora není přípustný rozklad.</w:t>
      </w:r>
    </w:p>
    <w:p w14:paraId="285668A4" w14:textId="77777777" w:rsidR="0001063A" w:rsidRPr="00CD54D1" w:rsidRDefault="0001063A" w:rsidP="0001063A">
      <w:pPr>
        <w:pStyle w:val="Paragraf"/>
        <w:spacing w:after="120"/>
      </w:pPr>
      <w:r>
        <w:t>***</w:t>
      </w:r>
    </w:p>
    <w:p w14:paraId="15F91773" w14:textId="77777777" w:rsidR="0001063A" w:rsidRPr="00862B16" w:rsidRDefault="0001063A" w:rsidP="0001063A">
      <w:pPr>
        <w:keepNext/>
        <w:keepLines/>
        <w:spacing w:after="120"/>
        <w:ind w:firstLine="0"/>
        <w:jc w:val="center"/>
        <w:outlineLvl w:val="5"/>
      </w:pPr>
      <w:r w:rsidRPr="00862B16">
        <w:t>§ 160</w:t>
      </w:r>
    </w:p>
    <w:p w14:paraId="10054F47" w14:textId="77777777" w:rsidR="0001063A" w:rsidRPr="00CD44E6" w:rsidRDefault="0001063A" w:rsidP="0001063A">
      <w:pPr>
        <w:keepNext/>
        <w:keepLines/>
        <w:spacing w:after="120"/>
        <w:ind w:firstLine="0"/>
        <w:jc w:val="center"/>
        <w:outlineLvl w:val="5"/>
        <w:rPr>
          <w:b/>
        </w:rPr>
      </w:pPr>
      <w:r w:rsidRPr="00CD44E6">
        <w:rPr>
          <w:b/>
        </w:rPr>
        <w:t>Přestupky penzijní společnosti</w:t>
      </w:r>
    </w:p>
    <w:p w14:paraId="36BF089F" w14:textId="77777777" w:rsidR="0001063A" w:rsidRDefault="0001063A" w:rsidP="0001063A">
      <w:pPr>
        <w:tabs>
          <w:tab w:val="left" w:pos="782"/>
          <w:tab w:val="left" w:pos="851"/>
        </w:tabs>
        <w:spacing w:after="120"/>
        <w:outlineLvl w:val="6"/>
      </w:pPr>
      <w:r>
        <w:t xml:space="preserve">(1) Penzijní společnost se dopustí přestupku tím, že </w:t>
      </w:r>
    </w:p>
    <w:p w14:paraId="59BA8D95" w14:textId="77777777" w:rsidR="0001063A" w:rsidRDefault="0001063A" w:rsidP="0001063A">
      <w:pPr>
        <w:spacing w:before="0"/>
        <w:ind w:left="425" w:hanging="425"/>
        <w:outlineLvl w:val="7"/>
      </w:pPr>
      <w:r>
        <w:t>a)</w:t>
      </w:r>
      <w:r>
        <w:tab/>
        <w:t xml:space="preserve">uzavře smlouvu o doplňkovém penzijním spoření v rozporu s § 2, 4 nebo 5, </w:t>
      </w:r>
    </w:p>
    <w:p w14:paraId="64D67474" w14:textId="77777777" w:rsidR="0001063A" w:rsidRDefault="0001063A" w:rsidP="0001063A">
      <w:pPr>
        <w:spacing w:before="0"/>
        <w:ind w:left="425" w:hanging="425"/>
        <w:outlineLvl w:val="7"/>
      </w:pPr>
      <w:r>
        <w:t xml:space="preserve">b) </w:t>
      </w:r>
      <w:r>
        <w:tab/>
        <w:t xml:space="preserve">poruší povinnost podle § 6 odst. 2, </w:t>
      </w:r>
    </w:p>
    <w:p w14:paraId="123E727D" w14:textId="77777777" w:rsidR="0001063A" w:rsidRDefault="0001063A" w:rsidP="0001063A">
      <w:pPr>
        <w:spacing w:before="0"/>
        <w:ind w:left="425" w:hanging="425"/>
        <w:outlineLvl w:val="7"/>
      </w:pPr>
      <w:r>
        <w:t xml:space="preserve">c) </w:t>
      </w:r>
      <w:r>
        <w:tab/>
        <w:t xml:space="preserve">vypoví smlouvu o doplňkovém penzijním spoření v rozporu s § 7, </w:t>
      </w:r>
    </w:p>
    <w:p w14:paraId="00BAF1EB" w14:textId="77777777" w:rsidR="0001063A" w:rsidRDefault="0001063A" w:rsidP="0001063A">
      <w:pPr>
        <w:spacing w:before="0"/>
        <w:ind w:left="425" w:hanging="425"/>
        <w:outlineLvl w:val="7"/>
      </w:pPr>
      <w:r>
        <w:lastRenderedPageBreak/>
        <w:t xml:space="preserve">d) </w:t>
      </w:r>
      <w:r>
        <w:tab/>
        <w:t xml:space="preserve">neeviduje státní příspěvky podle § 12 odst. 2, </w:t>
      </w:r>
    </w:p>
    <w:p w14:paraId="1EDF62F2" w14:textId="77777777" w:rsidR="0001063A" w:rsidRDefault="0001063A" w:rsidP="0001063A">
      <w:pPr>
        <w:spacing w:before="0"/>
        <w:ind w:left="425" w:hanging="425"/>
        <w:outlineLvl w:val="7"/>
      </w:pPr>
      <w:r>
        <w:t xml:space="preserve">e) </w:t>
      </w:r>
      <w:r>
        <w:tab/>
        <w:t xml:space="preserve">v rozporu s § 16 nepodá žádost o poskytnutí státního příspěvku, </w:t>
      </w:r>
    </w:p>
    <w:p w14:paraId="7AE39595" w14:textId="77777777" w:rsidR="0001063A" w:rsidRDefault="0001063A" w:rsidP="0001063A">
      <w:pPr>
        <w:spacing w:before="0"/>
        <w:ind w:left="425" w:hanging="425"/>
        <w:outlineLvl w:val="7"/>
      </w:pPr>
      <w:r>
        <w:t xml:space="preserve">f) </w:t>
      </w:r>
      <w:r>
        <w:tab/>
        <w:t xml:space="preserve">nevrátí státní příspěvek ve lhůtách stanovených podle § 18 odst. 2 nebo 3, </w:t>
      </w:r>
    </w:p>
    <w:p w14:paraId="07EE7F43" w14:textId="77777777" w:rsidR="0001063A" w:rsidRDefault="0001063A" w:rsidP="0001063A">
      <w:pPr>
        <w:spacing w:before="0"/>
        <w:ind w:left="425" w:hanging="425"/>
        <w:outlineLvl w:val="7"/>
      </w:pPr>
      <w:r>
        <w:t xml:space="preserve">g) </w:t>
      </w:r>
      <w:r>
        <w:tab/>
        <w:t xml:space="preserve">nepodá zprávu o vracení státního příspěvku podle § 18 odst. 4, </w:t>
      </w:r>
    </w:p>
    <w:p w14:paraId="6394EE73" w14:textId="77777777" w:rsidR="0001063A" w:rsidRDefault="0001063A" w:rsidP="0001063A">
      <w:pPr>
        <w:spacing w:before="0"/>
        <w:ind w:left="425" w:hanging="425"/>
        <w:outlineLvl w:val="7"/>
      </w:pPr>
      <w:r>
        <w:t xml:space="preserve">h) </w:t>
      </w:r>
      <w:r>
        <w:tab/>
        <w:t xml:space="preserve">nevyplácí dávky nebo je vyplácí v rozporu s § 20 až 25, </w:t>
      </w:r>
    </w:p>
    <w:p w14:paraId="638CAC0F" w14:textId="77777777" w:rsidR="0001063A" w:rsidRDefault="0001063A" w:rsidP="0001063A">
      <w:pPr>
        <w:spacing w:before="0"/>
        <w:ind w:left="425" w:hanging="425"/>
        <w:outlineLvl w:val="7"/>
      </w:pPr>
      <w:r>
        <w:t xml:space="preserve">i) </w:t>
      </w:r>
      <w:r>
        <w:tab/>
        <w:t xml:space="preserve">neinformuje určenou osobu podle § 26, </w:t>
      </w:r>
    </w:p>
    <w:p w14:paraId="26B1A613" w14:textId="77777777" w:rsidR="0001063A" w:rsidRDefault="0001063A" w:rsidP="0001063A">
      <w:pPr>
        <w:spacing w:before="0"/>
        <w:ind w:left="425" w:hanging="425"/>
        <w:outlineLvl w:val="7"/>
      </w:pPr>
      <w:r>
        <w:t xml:space="preserve">j) </w:t>
      </w:r>
      <w:r>
        <w:tab/>
        <w:t xml:space="preserve">nepřevede prostředky účastníka podle § 27 odst. 3, </w:t>
      </w:r>
    </w:p>
    <w:p w14:paraId="083CEC97" w14:textId="77777777" w:rsidR="0001063A" w:rsidRDefault="0001063A" w:rsidP="0001063A">
      <w:pPr>
        <w:spacing w:before="0"/>
        <w:ind w:left="425" w:hanging="425"/>
        <w:outlineLvl w:val="7"/>
      </w:pPr>
      <w:r>
        <w:t xml:space="preserve">k) </w:t>
      </w:r>
      <w:r>
        <w:tab/>
        <w:t xml:space="preserve">jako penzijní společnost, ke které byly převedeny prostředky účastníka od jiné penzijní společnosti, nepodá žádost ministerstvu o poskytnutí státního příspěvku, který nebyl penzijní společnosti poukázán za dobu před převedením prostředků podle § 27 odst. 5, </w:t>
      </w:r>
    </w:p>
    <w:p w14:paraId="244D0D7C" w14:textId="77777777" w:rsidR="0001063A" w:rsidRDefault="0001063A" w:rsidP="0001063A">
      <w:pPr>
        <w:spacing w:before="0"/>
        <w:ind w:left="425" w:hanging="425"/>
        <w:outlineLvl w:val="7"/>
      </w:pPr>
      <w:r>
        <w:t xml:space="preserve">l) </w:t>
      </w:r>
      <w:r>
        <w:tab/>
        <w:t xml:space="preserve">vykonává činnost v rozporu s povolením podle § 29, </w:t>
      </w:r>
    </w:p>
    <w:p w14:paraId="3B0B2377" w14:textId="77777777" w:rsidR="0001063A" w:rsidRDefault="0001063A" w:rsidP="0001063A">
      <w:pPr>
        <w:spacing w:before="0"/>
        <w:ind w:left="425" w:hanging="425"/>
        <w:outlineLvl w:val="7"/>
      </w:pPr>
      <w:r>
        <w:t>m)</w:t>
      </w:r>
      <w:r>
        <w:tab/>
        <w:t xml:space="preserve">vykonává další činnosti penzijní společnosti v rozporu s povolením podle § 35, </w:t>
      </w:r>
    </w:p>
    <w:p w14:paraId="355C68C5" w14:textId="77777777" w:rsidR="0001063A" w:rsidRDefault="0001063A" w:rsidP="0001063A">
      <w:pPr>
        <w:spacing w:before="0"/>
        <w:ind w:left="425" w:hanging="425"/>
        <w:outlineLvl w:val="7"/>
      </w:pPr>
      <w:r>
        <w:t>n)</w:t>
      </w:r>
      <w:r>
        <w:tab/>
        <w:t xml:space="preserve">poruší povinnost podle § 36 odst. 1, </w:t>
      </w:r>
    </w:p>
    <w:p w14:paraId="352C0D8E" w14:textId="77777777" w:rsidR="0001063A" w:rsidRDefault="0001063A" w:rsidP="0001063A">
      <w:pPr>
        <w:spacing w:before="0"/>
        <w:ind w:left="425" w:hanging="425"/>
        <w:outlineLvl w:val="7"/>
      </w:pPr>
      <w:r>
        <w:t>o)</w:t>
      </w:r>
      <w:r>
        <w:tab/>
        <w:t xml:space="preserve">nezamezí poklesu kapitálu pod hodnotu uvedenou v § 38, </w:t>
      </w:r>
    </w:p>
    <w:p w14:paraId="7610DF11" w14:textId="77777777" w:rsidR="0001063A" w:rsidRDefault="0001063A" w:rsidP="0001063A">
      <w:pPr>
        <w:spacing w:before="0"/>
        <w:ind w:left="425" w:hanging="425"/>
        <w:outlineLvl w:val="7"/>
      </w:pPr>
      <w:r>
        <w:t>p)</w:t>
      </w:r>
      <w:r>
        <w:tab/>
        <w:t xml:space="preserve">nevykonává svoji činnost s odbornou péčí podle § 48, </w:t>
      </w:r>
    </w:p>
    <w:p w14:paraId="004A9141" w14:textId="77777777" w:rsidR="0001063A" w:rsidRDefault="0001063A" w:rsidP="0001063A">
      <w:pPr>
        <w:spacing w:before="0"/>
        <w:ind w:left="425" w:hanging="425"/>
        <w:outlineLvl w:val="7"/>
      </w:pPr>
      <w:r>
        <w:t>q)</w:t>
      </w:r>
      <w:r>
        <w:tab/>
        <w:t xml:space="preserve">nezavede nebo neudržuje systém, postupy nebo opatření podle § 49, </w:t>
      </w:r>
    </w:p>
    <w:p w14:paraId="47B32AAD" w14:textId="77777777" w:rsidR="0001063A" w:rsidRDefault="0001063A" w:rsidP="0001063A">
      <w:pPr>
        <w:spacing w:before="0"/>
        <w:ind w:left="425" w:hanging="425"/>
        <w:outlineLvl w:val="7"/>
      </w:pPr>
      <w:r>
        <w:t>r)</w:t>
      </w:r>
      <w:r>
        <w:tab/>
        <w:t xml:space="preserve">průběžně neověřuje a pravidelně nehodnotí přiměřenost a účinnost řídicího a kontrolního systému podle § 50, </w:t>
      </w:r>
    </w:p>
    <w:p w14:paraId="3F79144D" w14:textId="77777777" w:rsidR="0001063A" w:rsidRDefault="0001063A" w:rsidP="0001063A">
      <w:pPr>
        <w:spacing w:before="0"/>
        <w:ind w:left="425" w:hanging="425"/>
        <w:outlineLvl w:val="7"/>
      </w:pPr>
      <w:r>
        <w:t>s)</w:t>
      </w:r>
      <w:r>
        <w:tab/>
        <w:t xml:space="preserve">pověří jinou osobu výkonem významné provozní činnosti v rozporu s § 51, </w:t>
      </w:r>
    </w:p>
    <w:p w14:paraId="230CB3F4" w14:textId="77777777" w:rsidR="0001063A" w:rsidRDefault="0001063A" w:rsidP="0001063A">
      <w:pPr>
        <w:spacing w:before="0"/>
        <w:ind w:left="425" w:hanging="425"/>
        <w:outlineLvl w:val="7"/>
      </w:pPr>
      <w:r>
        <w:t>t)</w:t>
      </w:r>
      <w:r>
        <w:tab/>
        <w:t xml:space="preserve">nezajistí pro výkon činnosti penzijní společnosti a výkon činností souvisejících s činností penzijní společnosti personální vybavení podle § 53, </w:t>
      </w:r>
    </w:p>
    <w:p w14:paraId="39605349" w14:textId="77777777" w:rsidR="0001063A" w:rsidRDefault="0001063A" w:rsidP="0001063A">
      <w:pPr>
        <w:spacing w:before="0"/>
        <w:ind w:left="425" w:hanging="425"/>
        <w:outlineLvl w:val="7"/>
      </w:pPr>
      <w:r>
        <w:t>u)</w:t>
      </w:r>
      <w:r>
        <w:tab/>
        <w:t xml:space="preserve">nevykonává svoji činnost kvalifikovaně, čestně, spravedlivě a v nejlepším zájmu účastníků podle § 54, </w:t>
      </w:r>
    </w:p>
    <w:p w14:paraId="3F67E179" w14:textId="77777777" w:rsidR="0001063A" w:rsidRDefault="0001063A" w:rsidP="0001063A">
      <w:pPr>
        <w:spacing w:before="0"/>
        <w:ind w:left="425" w:hanging="425"/>
        <w:outlineLvl w:val="7"/>
      </w:pPr>
      <w:r>
        <w:t>v)</w:t>
      </w:r>
      <w:r>
        <w:tab/>
        <w:t xml:space="preserve">neuchovává dokumenty a záznamy podle § 55, </w:t>
      </w:r>
    </w:p>
    <w:p w14:paraId="0F41C384" w14:textId="77777777" w:rsidR="0001063A" w:rsidRDefault="0001063A" w:rsidP="0001063A">
      <w:pPr>
        <w:spacing w:before="0"/>
        <w:ind w:left="425" w:hanging="425"/>
        <w:outlineLvl w:val="7"/>
      </w:pPr>
      <w:r>
        <w:t>w)</w:t>
      </w:r>
      <w:r>
        <w:tab/>
      </w:r>
      <w:r w:rsidRPr="00D53089">
        <w:t xml:space="preserve">v rozporu s § 57 </w:t>
      </w:r>
      <w:proofErr w:type="gramStart"/>
      <w:r w:rsidRPr="00B06CCD">
        <w:rPr>
          <w:strike/>
        </w:rPr>
        <w:t>nepředloží</w:t>
      </w:r>
      <w:r>
        <w:t xml:space="preserve"> </w:t>
      </w:r>
      <w:r w:rsidRPr="00B06CCD">
        <w:rPr>
          <w:b/>
          <w:szCs w:val="24"/>
        </w:rPr>
        <w:t>nezveřejní</w:t>
      </w:r>
      <w:proofErr w:type="gramEnd"/>
      <w:r w:rsidRPr="00B06CCD">
        <w:rPr>
          <w:szCs w:val="24"/>
        </w:rPr>
        <w:t>,</w:t>
      </w:r>
      <w:r w:rsidRPr="003B7420">
        <w:rPr>
          <w:color w:val="FF0000"/>
        </w:rPr>
        <w:t xml:space="preserve"> </w:t>
      </w:r>
      <w:r w:rsidRPr="000E26A1">
        <w:t>neuveřejní nebo nezpřístupní</w:t>
      </w:r>
      <w:r w:rsidRPr="00D53089">
        <w:rPr>
          <w:strike/>
        </w:rPr>
        <w:t xml:space="preserve"> svou výroční zprávu nebo výroční zprávu účastnického fondu, který obhospodařuje</w:t>
      </w:r>
      <w:r w:rsidRPr="00D53089">
        <w:t xml:space="preserve"> </w:t>
      </w:r>
      <w:r w:rsidRPr="00D53089">
        <w:rPr>
          <w:b/>
        </w:rPr>
        <w:t xml:space="preserve">řádnou </w:t>
      </w:r>
      <w:r>
        <w:rPr>
          <w:b/>
        </w:rPr>
        <w:t>účetní závěrku,</w:t>
      </w:r>
      <w:r w:rsidRPr="00D53089">
        <w:rPr>
          <w:b/>
        </w:rPr>
        <w:t xml:space="preserve"> zprávu</w:t>
      </w:r>
      <w:r>
        <w:rPr>
          <w:b/>
        </w:rPr>
        <w:t xml:space="preserve"> podle zákona upravujícího účetnictví </w:t>
      </w:r>
      <w:r w:rsidRPr="00D53089">
        <w:rPr>
          <w:b/>
          <w:szCs w:val="24"/>
        </w:rPr>
        <w:t>penzijní společnost</w:t>
      </w:r>
      <w:r>
        <w:rPr>
          <w:b/>
          <w:szCs w:val="24"/>
        </w:rPr>
        <w:t>i nebo účastnického</w:t>
      </w:r>
      <w:r w:rsidRPr="00D53089">
        <w:rPr>
          <w:b/>
          <w:szCs w:val="24"/>
        </w:rPr>
        <w:t xml:space="preserve"> fond</w:t>
      </w:r>
      <w:r>
        <w:rPr>
          <w:b/>
          <w:szCs w:val="24"/>
        </w:rPr>
        <w:t>u</w:t>
      </w:r>
      <w:r w:rsidRPr="00D53089">
        <w:rPr>
          <w:b/>
          <w:szCs w:val="24"/>
        </w:rPr>
        <w:t xml:space="preserve"> obhospodařovan</w:t>
      </w:r>
      <w:r>
        <w:rPr>
          <w:b/>
          <w:szCs w:val="24"/>
        </w:rPr>
        <w:t>ého</w:t>
      </w:r>
      <w:r w:rsidRPr="00D53089">
        <w:rPr>
          <w:b/>
          <w:szCs w:val="24"/>
        </w:rPr>
        <w:t xml:space="preserve"> touto penzijní společností</w:t>
      </w:r>
      <w:r>
        <w:rPr>
          <w:b/>
          <w:szCs w:val="24"/>
        </w:rPr>
        <w:t>, je-li vyhotovována,</w:t>
      </w:r>
      <w:r w:rsidRPr="00D94ABD">
        <w:rPr>
          <w:b/>
        </w:rPr>
        <w:t xml:space="preserve"> </w:t>
      </w:r>
      <w:r>
        <w:rPr>
          <w:b/>
        </w:rPr>
        <w:t>nebo zprávu o jejich ověření, jsou-li ověřovány</w:t>
      </w:r>
      <w:r w:rsidRPr="00D53089">
        <w:t xml:space="preserve">, </w:t>
      </w:r>
    </w:p>
    <w:p w14:paraId="68F64949" w14:textId="77777777" w:rsidR="0001063A" w:rsidRDefault="0001063A" w:rsidP="0001063A">
      <w:pPr>
        <w:spacing w:before="0"/>
        <w:ind w:left="425" w:hanging="425"/>
        <w:outlineLvl w:val="7"/>
      </w:pPr>
      <w:r>
        <w:t>x)</w:t>
      </w:r>
      <w:r>
        <w:tab/>
        <w:t xml:space="preserve">v rozporu s § 58 nepředloží, neuveřejní nebo nezpřístupní svou pololetní zprávu nebo pololetní zprávu účastnického fondu, který obhospodařuje, </w:t>
      </w:r>
    </w:p>
    <w:p w14:paraId="4B666769" w14:textId="77777777" w:rsidR="0001063A" w:rsidRDefault="0001063A" w:rsidP="0001063A">
      <w:pPr>
        <w:spacing w:before="0"/>
        <w:ind w:left="425" w:hanging="425"/>
        <w:outlineLvl w:val="7"/>
      </w:pPr>
      <w:r>
        <w:t xml:space="preserve">y) </w:t>
      </w:r>
      <w:r>
        <w:tab/>
        <w:t xml:space="preserve">stanoví úplatu v rozporu s § 60, nebo </w:t>
      </w:r>
    </w:p>
    <w:p w14:paraId="329A0495" w14:textId="77777777" w:rsidR="0001063A" w:rsidRDefault="0001063A" w:rsidP="0001063A">
      <w:pPr>
        <w:spacing w:before="0"/>
        <w:ind w:left="425" w:hanging="425"/>
        <w:outlineLvl w:val="7"/>
      </w:pPr>
      <w:r>
        <w:t>z)</w:t>
      </w:r>
      <w:r>
        <w:tab/>
        <w:t xml:space="preserve">účtuje poplatek v rozporu s § 61. </w:t>
      </w:r>
    </w:p>
    <w:p w14:paraId="59AE8F03" w14:textId="77777777" w:rsidR="0001063A" w:rsidRDefault="0001063A" w:rsidP="0001063A">
      <w:pPr>
        <w:tabs>
          <w:tab w:val="left" w:pos="782"/>
          <w:tab w:val="left" w:pos="851"/>
        </w:tabs>
        <w:spacing w:after="120"/>
        <w:outlineLvl w:val="6"/>
      </w:pPr>
      <w:r>
        <w:t xml:space="preserve">(2) Penzijní společnost se dále dopustí přestupku tím, že </w:t>
      </w:r>
    </w:p>
    <w:p w14:paraId="18B1397D" w14:textId="77777777" w:rsidR="0001063A" w:rsidRDefault="0001063A" w:rsidP="0001063A">
      <w:pPr>
        <w:spacing w:before="0"/>
        <w:ind w:left="425" w:hanging="425"/>
        <w:outlineLvl w:val="7"/>
      </w:pPr>
      <w:r>
        <w:t>a)</w:t>
      </w:r>
      <w:r>
        <w:tab/>
        <w:t xml:space="preserve">účtuje poplatek v rozporu s výjimkou podle § 62, </w:t>
      </w:r>
    </w:p>
    <w:p w14:paraId="61F72A41" w14:textId="77777777" w:rsidR="0001063A" w:rsidRDefault="0001063A" w:rsidP="0001063A">
      <w:pPr>
        <w:spacing w:before="0"/>
        <w:ind w:left="425" w:hanging="425"/>
        <w:outlineLvl w:val="7"/>
      </w:pPr>
      <w:r>
        <w:t>b)</w:t>
      </w:r>
      <w:r>
        <w:tab/>
        <w:t xml:space="preserve">poskytne úplatu v rozporu s § 63, </w:t>
      </w:r>
    </w:p>
    <w:p w14:paraId="621CE224" w14:textId="77777777" w:rsidR="0001063A" w:rsidRDefault="0001063A" w:rsidP="0001063A">
      <w:pPr>
        <w:spacing w:before="0"/>
        <w:ind w:left="425" w:hanging="425"/>
        <w:outlineLvl w:val="7"/>
      </w:pPr>
      <w:r>
        <w:t>c)</w:t>
      </w:r>
      <w:r>
        <w:tab/>
        <w:t xml:space="preserve">uskuteční fúzi penzijních společností bez předchozího povolení České národní banky podle § 64, </w:t>
      </w:r>
    </w:p>
    <w:p w14:paraId="091C79D0" w14:textId="77777777" w:rsidR="0001063A" w:rsidRDefault="0001063A" w:rsidP="0001063A">
      <w:pPr>
        <w:spacing w:before="0"/>
        <w:ind w:left="425" w:hanging="425"/>
        <w:outlineLvl w:val="7"/>
      </w:pPr>
      <w:r>
        <w:t>d)</w:t>
      </w:r>
      <w:r>
        <w:tab/>
        <w:t xml:space="preserve">změní předmět podnikání v rozporu s § 72, </w:t>
      </w:r>
    </w:p>
    <w:p w14:paraId="2479E845" w14:textId="77777777" w:rsidR="0001063A" w:rsidRDefault="0001063A" w:rsidP="0001063A">
      <w:pPr>
        <w:spacing w:before="0"/>
        <w:ind w:left="425" w:hanging="425"/>
        <w:outlineLvl w:val="7"/>
      </w:pPr>
      <w:r>
        <w:t>e)</w:t>
      </w:r>
      <w:r>
        <w:tab/>
        <w:t xml:space="preserve">poruší některou povinnost podle § 73, </w:t>
      </w:r>
    </w:p>
    <w:p w14:paraId="73D07262" w14:textId="77777777" w:rsidR="0001063A" w:rsidRDefault="0001063A" w:rsidP="0001063A">
      <w:pPr>
        <w:spacing w:before="0"/>
        <w:ind w:left="425" w:hanging="425"/>
        <w:outlineLvl w:val="7"/>
      </w:pPr>
      <w:r>
        <w:t>f)</w:t>
      </w:r>
      <w:r>
        <w:tab/>
        <w:t xml:space="preserve">poruší některou povinnost vůči depozitáři podle § 90, </w:t>
      </w:r>
    </w:p>
    <w:p w14:paraId="1EC11935" w14:textId="77777777" w:rsidR="0001063A" w:rsidRDefault="0001063A" w:rsidP="0001063A">
      <w:pPr>
        <w:spacing w:before="0"/>
        <w:ind w:left="425" w:hanging="425"/>
        <w:outlineLvl w:val="7"/>
      </w:pPr>
      <w:r>
        <w:t>g)</w:t>
      </w:r>
      <w:r>
        <w:tab/>
        <w:t xml:space="preserve">v rozporu s § 97 odst. 2 se neřídí schváleným statutem účastnického fondu, </w:t>
      </w:r>
    </w:p>
    <w:p w14:paraId="70F0C69D" w14:textId="77777777" w:rsidR="0001063A" w:rsidRDefault="0001063A" w:rsidP="0001063A">
      <w:pPr>
        <w:spacing w:before="0"/>
        <w:ind w:left="425" w:hanging="425"/>
        <w:outlineLvl w:val="7"/>
      </w:pPr>
      <w:r>
        <w:t>h)</w:t>
      </w:r>
      <w:r>
        <w:tab/>
        <w:t xml:space="preserve">neuveřejní statut účastnického fondu nebo jeho změnu podle § 97 odst. 4, </w:t>
      </w:r>
    </w:p>
    <w:p w14:paraId="6000765C" w14:textId="77777777" w:rsidR="0001063A" w:rsidRDefault="0001063A" w:rsidP="0001063A">
      <w:pPr>
        <w:spacing w:before="0"/>
        <w:ind w:left="425" w:hanging="425"/>
        <w:outlineLvl w:val="7"/>
      </w:pPr>
      <w:r>
        <w:t>i)</w:t>
      </w:r>
      <w:r>
        <w:tab/>
        <w:t xml:space="preserve">nepředloží statut účastnického fondu nebo jeho změnu k předchozímu schválení České národní bance podle § 97 odst. 5, </w:t>
      </w:r>
    </w:p>
    <w:p w14:paraId="0CC9950C" w14:textId="77777777" w:rsidR="0001063A" w:rsidRDefault="0001063A" w:rsidP="0001063A">
      <w:pPr>
        <w:spacing w:before="0"/>
        <w:ind w:left="425" w:hanging="425"/>
        <w:outlineLvl w:val="7"/>
      </w:pPr>
      <w:r>
        <w:t>j)</w:t>
      </w:r>
      <w:r>
        <w:tab/>
        <w:t xml:space="preserve">nedodrží skladbu </w:t>
      </w:r>
      <w:r w:rsidRPr="00E4619D">
        <w:t>majetku</w:t>
      </w:r>
      <w:r>
        <w:t xml:space="preserve"> v povinném konzervativním fondu podle § 98 nebo § 99, </w:t>
      </w:r>
    </w:p>
    <w:p w14:paraId="2C6796DF" w14:textId="77777777" w:rsidR="0001063A" w:rsidRDefault="0001063A" w:rsidP="0001063A">
      <w:pPr>
        <w:spacing w:before="0"/>
        <w:ind w:left="425" w:hanging="425"/>
        <w:outlineLvl w:val="7"/>
      </w:pPr>
      <w:r>
        <w:t>k)</w:t>
      </w:r>
      <w:r>
        <w:tab/>
        <w:t xml:space="preserve">nedodrží skladbu </w:t>
      </w:r>
      <w:r w:rsidRPr="00E4619D">
        <w:t>majetku</w:t>
      </w:r>
      <w:r>
        <w:t xml:space="preserve"> v účastnickém fondu podle § 100 a § 102 až 106, </w:t>
      </w:r>
    </w:p>
    <w:p w14:paraId="1D13B49E" w14:textId="77777777" w:rsidR="0001063A" w:rsidRDefault="0001063A" w:rsidP="0001063A">
      <w:pPr>
        <w:spacing w:before="0"/>
        <w:ind w:left="425" w:hanging="425"/>
        <w:outlineLvl w:val="7"/>
      </w:pPr>
      <w:r>
        <w:t>l)</w:t>
      </w:r>
      <w:r>
        <w:tab/>
        <w:t xml:space="preserve">nepoužije vnitřní postupy pro kontrolu rizik podle § 101, </w:t>
      </w:r>
    </w:p>
    <w:p w14:paraId="1804CF71" w14:textId="77777777" w:rsidR="0001063A" w:rsidRDefault="0001063A" w:rsidP="0001063A">
      <w:pPr>
        <w:spacing w:before="0"/>
        <w:ind w:left="425" w:hanging="425"/>
        <w:outlineLvl w:val="7"/>
      </w:pPr>
      <w:r>
        <w:lastRenderedPageBreak/>
        <w:t>m)</w:t>
      </w:r>
      <w:r>
        <w:tab/>
        <w:t xml:space="preserve">poruší dočasnou výjimku z limitů investování podle § 107, </w:t>
      </w:r>
    </w:p>
    <w:p w14:paraId="0B96E4D1" w14:textId="77777777" w:rsidR="0001063A" w:rsidRDefault="0001063A" w:rsidP="0001063A">
      <w:pPr>
        <w:spacing w:before="0"/>
        <w:ind w:left="425" w:hanging="425"/>
        <w:outlineLvl w:val="7"/>
      </w:pPr>
      <w:r>
        <w:t>n)</w:t>
      </w:r>
      <w:r>
        <w:tab/>
        <w:t xml:space="preserve">nakládá s </w:t>
      </w:r>
      <w:r w:rsidRPr="00E4619D">
        <w:t>majetkem</w:t>
      </w:r>
      <w:r>
        <w:t xml:space="preserve"> v účastnickém fondu v rozporu s § 108, </w:t>
      </w:r>
    </w:p>
    <w:p w14:paraId="36D4D355" w14:textId="77777777" w:rsidR="0001063A" w:rsidRDefault="0001063A" w:rsidP="0001063A">
      <w:pPr>
        <w:spacing w:before="0"/>
        <w:ind w:left="425" w:hanging="425"/>
        <w:outlineLvl w:val="7"/>
      </w:pPr>
      <w:r>
        <w:t>o)</w:t>
      </w:r>
      <w:r>
        <w:tab/>
        <w:t xml:space="preserve">převede obhospodařování účastnického fondu v rozporu s § 109, </w:t>
      </w:r>
    </w:p>
    <w:p w14:paraId="1DBC4091" w14:textId="77777777" w:rsidR="0001063A" w:rsidRPr="002D468C" w:rsidRDefault="0001063A" w:rsidP="0001063A">
      <w:pPr>
        <w:spacing w:before="0"/>
        <w:ind w:left="425" w:hanging="425"/>
        <w:outlineLvl w:val="7"/>
        <w:rPr>
          <w:strike/>
        </w:rPr>
      </w:pPr>
      <w:r w:rsidRPr="00D53089">
        <w:rPr>
          <w:strike/>
        </w:rPr>
        <w:t>p</w:t>
      </w:r>
      <w:r>
        <w:rPr>
          <w:strike/>
        </w:rPr>
        <w:t>)</w:t>
      </w:r>
      <w:r>
        <w:rPr>
          <w:strike/>
        </w:rPr>
        <w:tab/>
      </w:r>
      <w:r w:rsidRPr="00D53089">
        <w:rPr>
          <w:strike/>
        </w:rPr>
        <w:t>nesestaví mimořádnou účetní závěrku účastnického fondu podle § 110 odst. 2,</w:t>
      </w:r>
    </w:p>
    <w:p w14:paraId="5A05C89A" w14:textId="77777777" w:rsidR="0001063A" w:rsidRPr="00D53089" w:rsidRDefault="0001063A" w:rsidP="0001063A">
      <w:pPr>
        <w:spacing w:before="0"/>
        <w:ind w:left="425" w:hanging="425"/>
        <w:outlineLvl w:val="7"/>
      </w:pPr>
      <w:r w:rsidRPr="00D53089">
        <w:rPr>
          <w:strike/>
        </w:rPr>
        <w:t>q)</w:t>
      </w:r>
      <w:r w:rsidRPr="00D53089">
        <w:rPr>
          <w:b/>
        </w:rPr>
        <w:t>p)</w:t>
      </w:r>
      <w:r w:rsidRPr="00D53089">
        <w:t xml:space="preserve"> neuveřejní informace v rozsahu a způsobem podle § 113 odst. 7, </w:t>
      </w:r>
    </w:p>
    <w:p w14:paraId="2AED9230" w14:textId="77777777" w:rsidR="0001063A" w:rsidRPr="00D53089" w:rsidRDefault="0001063A" w:rsidP="0001063A">
      <w:pPr>
        <w:spacing w:before="0"/>
        <w:ind w:left="425" w:hanging="425"/>
        <w:outlineLvl w:val="7"/>
      </w:pPr>
      <w:r w:rsidRPr="00D53089">
        <w:rPr>
          <w:strike/>
        </w:rPr>
        <w:t>r)</w:t>
      </w:r>
      <w:r w:rsidRPr="00D53089">
        <w:rPr>
          <w:b/>
        </w:rPr>
        <w:t>q)</w:t>
      </w:r>
      <w:r>
        <w:tab/>
      </w:r>
      <w:r w:rsidRPr="00D53089">
        <w:t xml:space="preserve">nesplní některou z povinností podle § 114, </w:t>
      </w:r>
    </w:p>
    <w:p w14:paraId="770E17E5" w14:textId="77777777" w:rsidR="0001063A" w:rsidRPr="00D53089" w:rsidRDefault="0001063A" w:rsidP="0001063A">
      <w:pPr>
        <w:spacing w:before="0"/>
        <w:ind w:left="425" w:hanging="425"/>
        <w:outlineLvl w:val="7"/>
      </w:pPr>
      <w:r w:rsidRPr="00D53089">
        <w:rPr>
          <w:strike/>
        </w:rPr>
        <w:t>s)</w:t>
      </w:r>
      <w:r w:rsidRPr="00D53089">
        <w:rPr>
          <w:b/>
        </w:rPr>
        <w:t>r)</w:t>
      </w:r>
      <w:r w:rsidRPr="00D53089">
        <w:t xml:space="preserve"> nesplní některou z povinností při oceňování majetku a závazků účastnického fondu podle § 115, </w:t>
      </w:r>
    </w:p>
    <w:p w14:paraId="72B7B1F0" w14:textId="77777777" w:rsidR="0001063A" w:rsidRPr="00D53089" w:rsidRDefault="0001063A" w:rsidP="0001063A">
      <w:pPr>
        <w:spacing w:before="0"/>
        <w:ind w:left="425" w:hanging="425"/>
        <w:outlineLvl w:val="7"/>
      </w:pPr>
      <w:r w:rsidRPr="00D53089">
        <w:rPr>
          <w:strike/>
        </w:rPr>
        <w:t>t)</w:t>
      </w:r>
      <w:r w:rsidRPr="00D53089">
        <w:rPr>
          <w:b/>
        </w:rPr>
        <w:t>s)</w:t>
      </w:r>
      <w:r w:rsidRPr="00D53089">
        <w:t xml:space="preserve"> nepostupuje při obhospodařování majetku v účastnickém fondu za nejlepších podmínek podle § 116, </w:t>
      </w:r>
    </w:p>
    <w:p w14:paraId="0C3226DF" w14:textId="77777777" w:rsidR="0001063A" w:rsidRPr="00D53089" w:rsidRDefault="0001063A" w:rsidP="0001063A">
      <w:pPr>
        <w:spacing w:before="0"/>
        <w:ind w:left="425" w:hanging="425"/>
        <w:outlineLvl w:val="7"/>
      </w:pPr>
      <w:r w:rsidRPr="00D53089">
        <w:rPr>
          <w:strike/>
        </w:rPr>
        <w:t>u)</w:t>
      </w:r>
      <w:r w:rsidRPr="00D53089">
        <w:rPr>
          <w:b/>
        </w:rPr>
        <w:t>t)</w:t>
      </w:r>
      <w:r w:rsidRPr="00D53089">
        <w:t xml:space="preserve"> neuveřejní některou z informací podle § 118, </w:t>
      </w:r>
    </w:p>
    <w:p w14:paraId="7B09F507" w14:textId="77777777" w:rsidR="0001063A" w:rsidRPr="00D53089" w:rsidRDefault="0001063A" w:rsidP="0001063A">
      <w:pPr>
        <w:spacing w:before="0"/>
        <w:ind w:left="425" w:hanging="425"/>
        <w:outlineLvl w:val="7"/>
      </w:pPr>
      <w:r w:rsidRPr="00D53089">
        <w:rPr>
          <w:strike/>
        </w:rPr>
        <w:t>v)</w:t>
      </w:r>
      <w:r w:rsidRPr="00D53089">
        <w:rPr>
          <w:b/>
        </w:rPr>
        <w:t>u)</w:t>
      </w:r>
      <w:r w:rsidRPr="00D53089">
        <w:t xml:space="preserve"> nesplní některou z informačních povinností podle § 119, nebo </w:t>
      </w:r>
    </w:p>
    <w:p w14:paraId="4809FA57" w14:textId="77777777" w:rsidR="0001063A" w:rsidRPr="00D53089" w:rsidRDefault="0001063A" w:rsidP="0001063A">
      <w:pPr>
        <w:spacing w:before="0"/>
        <w:ind w:left="425" w:hanging="425"/>
        <w:outlineLvl w:val="7"/>
      </w:pPr>
      <w:r w:rsidRPr="00D53089">
        <w:rPr>
          <w:strike/>
        </w:rPr>
        <w:t>w)</w:t>
      </w:r>
      <w:r w:rsidRPr="00D53089">
        <w:rPr>
          <w:b/>
        </w:rPr>
        <w:t>v)</w:t>
      </w:r>
      <w:r w:rsidRPr="00D53089">
        <w:t xml:space="preserve"> nevede osobní penzijní účet podle § 120. </w:t>
      </w:r>
    </w:p>
    <w:p w14:paraId="41D5AB8E" w14:textId="77777777" w:rsidR="0001063A" w:rsidRPr="00D53089" w:rsidRDefault="0001063A" w:rsidP="0001063A">
      <w:pPr>
        <w:tabs>
          <w:tab w:val="left" w:pos="782"/>
          <w:tab w:val="left" w:pos="851"/>
        </w:tabs>
        <w:spacing w:after="120"/>
        <w:outlineLvl w:val="6"/>
      </w:pPr>
      <w:r w:rsidRPr="00D53089">
        <w:t xml:space="preserve">(3) Penzijní společnost se dále dopustí přestupku tím, že </w:t>
      </w:r>
    </w:p>
    <w:p w14:paraId="3D233928" w14:textId="77777777" w:rsidR="0001063A" w:rsidRPr="00D53089" w:rsidRDefault="0001063A" w:rsidP="0001063A">
      <w:pPr>
        <w:spacing w:before="0"/>
        <w:ind w:left="425" w:hanging="425"/>
        <w:outlineLvl w:val="7"/>
      </w:pPr>
      <w:r w:rsidRPr="00D53089">
        <w:t>a</w:t>
      </w:r>
      <w:r>
        <w:t>)</w:t>
      </w:r>
      <w:r>
        <w:tab/>
      </w:r>
      <w:r w:rsidRPr="00D53089">
        <w:t xml:space="preserve">nevede osobní penzijní účet podle § 120, </w:t>
      </w:r>
    </w:p>
    <w:p w14:paraId="0B5493D1" w14:textId="77777777" w:rsidR="0001063A" w:rsidRPr="00D53089" w:rsidRDefault="0001063A" w:rsidP="0001063A">
      <w:pPr>
        <w:spacing w:before="0"/>
        <w:ind w:left="425" w:hanging="425"/>
        <w:outlineLvl w:val="7"/>
      </w:pPr>
      <w:r>
        <w:t>b)</w:t>
      </w:r>
      <w:r>
        <w:tab/>
      </w:r>
      <w:r w:rsidRPr="00D53089">
        <w:t xml:space="preserve">poruší některou z povinností podle § 123 odst. 3, </w:t>
      </w:r>
    </w:p>
    <w:p w14:paraId="46B77C10" w14:textId="77777777" w:rsidR="0001063A" w:rsidRDefault="0001063A" w:rsidP="0001063A">
      <w:pPr>
        <w:spacing w:before="0"/>
        <w:ind w:left="425" w:hanging="425"/>
        <w:outlineLvl w:val="7"/>
      </w:pPr>
      <w:r>
        <w:t>c)</w:t>
      </w:r>
      <w:r>
        <w:tab/>
        <w:t xml:space="preserve">neeviduje prostředky účastníka podle § 124, </w:t>
      </w:r>
    </w:p>
    <w:p w14:paraId="081F4210" w14:textId="77777777" w:rsidR="0001063A" w:rsidRDefault="0001063A" w:rsidP="0001063A">
      <w:pPr>
        <w:spacing w:before="0"/>
        <w:ind w:left="425" w:hanging="425"/>
        <w:outlineLvl w:val="7"/>
      </w:pPr>
      <w:r>
        <w:t>d)</w:t>
      </w:r>
      <w:r>
        <w:tab/>
        <w:t xml:space="preserve">poruší některou z povinností podle § 125, </w:t>
      </w:r>
    </w:p>
    <w:p w14:paraId="323627E5" w14:textId="77777777" w:rsidR="0001063A" w:rsidRPr="005D47D1" w:rsidRDefault="0001063A" w:rsidP="0001063A">
      <w:pPr>
        <w:spacing w:before="0"/>
        <w:ind w:left="425" w:hanging="425"/>
        <w:outlineLvl w:val="7"/>
        <w:rPr>
          <w:strike/>
        </w:rPr>
      </w:pPr>
      <w:r w:rsidRPr="005D47D1">
        <w:rPr>
          <w:strike/>
        </w:rPr>
        <w:t xml:space="preserve">e) </w:t>
      </w:r>
      <w:r w:rsidRPr="005D47D1">
        <w:rPr>
          <w:strike/>
        </w:rPr>
        <w:tab/>
        <w:t>nepřijme ve stanovené lhůtě opatření podle § 142 odst. 1 nebo 2,</w:t>
      </w:r>
    </w:p>
    <w:p w14:paraId="62A54BFD" w14:textId="77777777" w:rsidR="0001063A" w:rsidRPr="005D47D1" w:rsidRDefault="0001063A" w:rsidP="0001063A">
      <w:pPr>
        <w:spacing w:before="0"/>
        <w:ind w:left="425" w:hanging="425"/>
        <w:outlineLvl w:val="7"/>
        <w:rPr>
          <w:b/>
        </w:rPr>
      </w:pPr>
      <w:r>
        <w:rPr>
          <w:b/>
        </w:rPr>
        <w:t xml:space="preserve">e) </w:t>
      </w:r>
      <w:r>
        <w:rPr>
          <w:b/>
        </w:rPr>
        <w:tab/>
        <w:t>nezajistí ověření svého řídicího a kontrolního systému nebo jeho části podle § 143 odst. 1,</w:t>
      </w:r>
    </w:p>
    <w:p w14:paraId="7A6113E8" w14:textId="77777777" w:rsidR="0001063A" w:rsidRDefault="0001063A" w:rsidP="0001063A">
      <w:pPr>
        <w:spacing w:before="0"/>
        <w:ind w:left="425" w:hanging="425"/>
        <w:outlineLvl w:val="7"/>
        <w:rPr>
          <w:b/>
        </w:rPr>
      </w:pPr>
      <w:r>
        <w:rPr>
          <w:b/>
        </w:rPr>
        <w:t>f)</w:t>
      </w:r>
      <w:r>
        <w:rPr>
          <w:b/>
        </w:rPr>
        <w:tab/>
        <w:t>neposkytne auditorovi součinnost podle § 143 odst. 4,</w:t>
      </w:r>
    </w:p>
    <w:p w14:paraId="794593CE" w14:textId="77777777" w:rsidR="0001063A" w:rsidRPr="005D47D1" w:rsidRDefault="0001063A" w:rsidP="0001063A">
      <w:pPr>
        <w:spacing w:before="0"/>
        <w:ind w:left="425" w:hanging="425"/>
        <w:outlineLvl w:val="7"/>
        <w:rPr>
          <w:b/>
        </w:rPr>
      </w:pPr>
      <w:r>
        <w:rPr>
          <w:b/>
        </w:rPr>
        <w:t>g)</w:t>
      </w:r>
      <w:r>
        <w:rPr>
          <w:b/>
        </w:rPr>
        <w:tab/>
        <w:t>nepředloží České národní bance zprávu o ověření řídicího a kontrolního systému podle § 143 odst. 1 a 3,</w:t>
      </w:r>
    </w:p>
    <w:p w14:paraId="7D442EA8" w14:textId="77777777" w:rsidR="0001063A" w:rsidRDefault="0001063A" w:rsidP="0001063A">
      <w:pPr>
        <w:spacing w:before="0"/>
        <w:ind w:left="425" w:hanging="425"/>
        <w:outlineLvl w:val="7"/>
      </w:pPr>
      <w:r w:rsidRPr="005D47D1">
        <w:rPr>
          <w:strike/>
        </w:rPr>
        <w:t>f)</w:t>
      </w:r>
      <w:r>
        <w:rPr>
          <w:b/>
        </w:rPr>
        <w:t>h)</w:t>
      </w:r>
      <w:r>
        <w:tab/>
        <w:t xml:space="preserve">nepřijme ve stanovené lhůtě opatření podle § 157 odst. 1, </w:t>
      </w:r>
    </w:p>
    <w:p w14:paraId="3BBEE7BB" w14:textId="77777777" w:rsidR="0001063A" w:rsidRDefault="0001063A" w:rsidP="0001063A">
      <w:pPr>
        <w:spacing w:before="0"/>
        <w:ind w:left="425" w:hanging="425"/>
        <w:outlineLvl w:val="7"/>
      </w:pPr>
      <w:r w:rsidRPr="005D47D1">
        <w:rPr>
          <w:strike/>
        </w:rPr>
        <w:t>g)</w:t>
      </w:r>
      <w:r>
        <w:rPr>
          <w:b/>
        </w:rPr>
        <w:t>i)</w:t>
      </w:r>
      <w:r>
        <w:tab/>
        <w:t xml:space="preserve">poruší povinnost podle § 22 odst. 4, nebo </w:t>
      </w:r>
    </w:p>
    <w:p w14:paraId="25CCBEC9" w14:textId="77777777" w:rsidR="0001063A" w:rsidRDefault="0001063A" w:rsidP="0001063A">
      <w:pPr>
        <w:spacing w:before="0"/>
        <w:ind w:left="425" w:hanging="425"/>
        <w:outlineLvl w:val="7"/>
      </w:pPr>
      <w:r w:rsidRPr="005D47D1">
        <w:rPr>
          <w:strike/>
        </w:rPr>
        <w:t>h)</w:t>
      </w:r>
      <w:r>
        <w:rPr>
          <w:b/>
        </w:rPr>
        <w:t>j)</w:t>
      </w:r>
      <w:r>
        <w:tab/>
        <w:t xml:space="preserve">poruší povinnost podle § 47a odst. 1 a 3. </w:t>
      </w:r>
    </w:p>
    <w:p w14:paraId="3ABFF44B" w14:textId="77777777" w:rsidR="0001063A" w:rsidRDefault="0001063A" w:rsidP="0001063A">
      <w:pPr>
        <w:tabs>
          <w:tab w:val="left" w:pos="782"/>
          <w:tab w:val="left" w:pos="851"/>
        </w:tabs>
        <w:spacing w:after="120"/>
        <w:outlineLvl w:val="6"/>
      </w:pPr>
      <w:r>
        <w:t xml:space="preserve">(4) Penzijní společnost nebo samostatný zprostředkovatel se dopustí přestupku tím, že </w:t>
      </w:r>
    </w:p>
    <w:p w14:paraId="710BC1D3" w14:textId="77777777" w:rsidR="0001063A" w:rsidRDefault="0001063A" w:rsidP="0001063A">
      <w:pPr>
        <w:spacing w:before="0"/>
        <w:ind w:left="425" w:hanging="425"/>
        <w:outlineLvl w:val="7"/>
      </w:pPr>
      <w:r>
        <w:t>a)</w:t>
      </w:r>
      <w:r>
        <w:tab/>
        <w:t xml:space="preserve">jako zastoupený </w:t>
      </w:r>
    </w:p>
    <w:p w14:paraId="6B17C106" w14:textId="77777777" w:rsidR="0001063A" w:rsidRDefault="0001063A" w:rsidP="0001063A">
      <w:pPr>
        <w:tabs>
          <w:tab w:val="left" w:pos="851"/>
        </w:tabs>
        <w:spacing w:before="0"/>
        <w:ind w:left="850" w:hanging="425"/>
        <w:outlineLvl w:val="8"/>
      </w:pPr>
      <w:r>
        <w:t>1.</w:t>
      </w:r>
      <w:r>
        <w:tab/>
        <w:t xml:space="preserve">nemá uzavřenou písemnou smlouvu s vázaným zástupcem podle § 78 odst. 2, </w:t>
      </w:r>
    </w:p>
    <w:p w14:paraId="0954E950" w14:textId="77777777" w:rsidR="0001063A" w:rsidRDefault="0001063A" w:rsidP="0001063A">
      <w:pPr>
        <w:tabs>
          <w:tab w:val="left" w:pos="851"/>
        </w:tabs>
        <w:spacing w:before="0"/>
        <w:ind w:left="850" w:hanging="425"/>
        <w:outlineLvl w:val="8"/>
      </w:pPr>
      <w:r>
        <w:t>2.</w:t>
      </w:r>
      <w:r>
        <w:tab/>
        <w:t xml:space="preserve">oznámí vázaného zástupce v rozporu s § 78b odst. 1, </w:t>
      </w:r>
    </w:p>
    <w:p w14:paraId="1987455B" w14:textId="77777777" w:rsidR="0001063A" w:rsidRDefault="0001063A" w:rsidP="0001063A">
      <w:pPr>
        <w:tabs>
          <w:tab w:val="left" w:pos="851"/>
        </w:tabs>
        <w:spacing w:before="0"/>
        <w:ind w:left="850" w:hanging="425"/>
        <w:outlineLvl w:val="8"/>
      </w:pPr>
      <w:r>
        <w:t>3.</w:t>
      </w:r>
      <w:r>
        <w:tab/>
        <w:t xml:space="preserve">neukončí bez zbytečného odkladu </w:t>
      </w:r>
      <w:r w:rsidRPr="000F127B">
        <w:t>závazek</w:t>
      </w:r>
      <w:r>
        <w:t xml:space="preserve"> ze smlouvy o zastoupení podle § 78d odst. 1, </w:t>
      </w:r>
    </w:p>
    <w:p w14:paraId="757C7CBC" w14:textId="77777777" w:rsidR="0001063A" w:rsidRDefault="0001063A" w:rsidP="0001063A">
      <w:pPr>
        <w:tabs>
          <w:tab w:val="left" w:pos="851"/>
        </w:tabs>
        <w:spacing w:before="0"/>
        <w:ind w:left="850" w:hanging="425"/>
        <w:outlineLvl w:val="8"/>
      </w:pPr>
      <w:r>
        <w:t>4.</w:t>
      </w:r>
      <w:r>
        <w:tab/>
        <w:t xml:space="preserve">neoznámí České národní bance bez zbytečného odkladu zánik </w:t>
      </w:r>
      <w:r w:rsidRPr="000F127B">
        <w:t>závazku</w:t>
      </w:r>
      <w:r>
        <w:t xml:space="preserve"> ze smlouvy o zastoupení podle § 78d odst. 3, nebo </w:t>
      </w:r>
    </w:p>
    <w:p w14:paraId="43CA3FD8" w14:textId="77777777" w:rsidR="0001063A" w:rsidRDefault="0001063A" w:rsidP="0001063A">
      <w:pPr>
        <w:tabs>
          <w:tab w:val="left" w:pos="851"/>
        </w:tabs>
        <w:spacing w:before="0"/>
        <w:ind w:left="850" w:hanging="425"/>
        <w:outlineLvl w:val="8"/>
      </w:pPr>
      <w:r>
        <w:t>5.</w:t>
      </w:r>
      <w:r>
        <w:tab/>
        <w:t xml:space="preserve">neuchovává dokumenty podle § 78f, nebo </w:t>
      </w:r>
    </w:p>
    <w:p w14:paraId="41000B93" w14:textId="77777777" w:rsidR="0001063A" w:rsidRDefault="0001063A" w:rsidP="0001063A">
      <w:pPr>
        <w:spacing w:before="0"/>
        <w:ind w:left="425" w:hanging="425"/>
        <w:outlineLvl w:val="7"/>
      </w:pPr>
      <w:r>
        <w:t>b)</w:t>
      </w:r>
      <w:r>
        <w:tab/>
        <w:t xml:space="preserve">neoznámí bez zbytečného odkladu České národní bance změnu některého z údajů podle § 83 odst. 1 nebo v oznámení změny údajů uvede neúplný nebo nepravdivý údaj o skutečnosti zapisované do registru. </w:t>
      </w:r>
    </w:p>
    <w:p w14:paraId="39C8D288" w14:textId="77777777" w:rsidR="0001063A" w:rsidRDefault="0001063A" w:rsidP="0001063A">
      <w:pPr>
        <w:tabs>
          <w:tab w:val="left" w:pos="782"/>
          <w:tab w:val="left" w:pos="851"/>
        </w:tabs>
        <w:spacing w:after="120"/>
        <w:outlineLvl w:val="6"/>
      </w:pPr>
      <w:r>
        <w:t xml:space="preserve">(5) Penzijní společnost, samostatný zprostředkovatel nebo vázaný zástupce se dopustí přestupku tím, že </w:t>
      </w:r>
    </w:p>
    <w:p w14:paraId="684173DC" w14:textId="77777777" w:rsidR="0001063A" w:rsidRDefault="0001063A" w:rsidP="0001063A">
      <w:pPr>
        <w:spacing w:before="0"/>
        <w:ind w:left="425" w:hanging="425"/>
        <w:outlineLvl w:val="7"/>
      </w:pPr>
      <w:r>
        <w:t>a)</w:t>
      </w:r>
      <w:r>
        <w:tab/>
        <w:t xml:space="preserve">v rozporu s § 76 odst. 1 vyžaduje od osoby, která se podílí nebo má podílet na distribuci doplňkového penzijního spoření, složení vstupní nebo jiné obdobné platby jako podmínky výplaty příštích odměn za tuto činnost, </w:t>
      </w:r>
    </w:p>
    <w:p w14:paraId="3206B190" w14:textId="77777777" w:rsidR="0001063A" w:rsidRDefault="0001063A" w:rsidP="0001063A">
      <w:pPr>
        <w:spacing w:before="0"/>
        <w:ind w:left="425" w:hanging="425"/>
        <w:outlineLvl w:val="7"/>
      </w:pPr>
      <w:r>
        <w:lastRenderedPageBreak/>
        <w:t>b)</w:t>
      </w:r>
      <w:r>
        <w:tab/>
        <w:t xml:space="preserve">v rozporu s § 76 odst. 2 odvozuje odměny osoby, která se podílí nebo má podílet na distribuci doplňkového penzijního spoření, od získání dalších osob pro tuto činnost touto osobou, </w:t>
      </w:r>
    </w:p>
    <w:p w14:paraId="45D6B7B4" w14:textId="77777777" w:rsidR="0001063A" w:rsidRDefault="0001063A" w:rsidP="0001063A">
      <w:pPr>
        <w:spacing w:before="0"/>
        <w:ind w:left="425" w:hanging="425"/>
        <w:outlineLvl w:val="7"/>
      </w:pPr>
      <w:r>
        <w:t>c)</w:t>
      </w:r>
      <w:r>
        <w:tab/>
        <w:t xml:space="preserve">nejedná kvalifikovaně, čestně a spravedlivě a v nejlepším zájmu účastníků nebo zájemců o doplňkové penzijní spoření podle § 126, </w:t>
      </w:r>
    </w:p>
    <w:p w14:paraId="59525ECA" w14:textId="77777777" w:rsidR="0001063A" w:rsidRDefault="0001063A" w:rsidP="0001063A">
      <w:pPr>
        <w:spacing w:before="0"/>
        <w:ind w:left="425" w:hanging="425"/>
        <w:outlineLvl w:val="7"/>
      </w:pPr>
      <w:r>
        <w:t>d)</w:t>
      </w:r>
      <w:r>
        <w:tab/>
        <w:t xml:space="preserve">přijme, nabídne nebo poskytne pobídku v rozporu s § 127, </w:t>
      </w:r>
    </w:p>
    <w:p w14:paraId="480B4286" w14:textId="77777777" w:rsidR="0001063A" w:rsidRDefault="0001063A" w:rsidP="0001063A">
      <w:pPr>
        <w:pStyle w:val="Dl"/>
        <w:keepNext w:val="0"/>
        <w:spacing w:before="0"/>
        <w:jc w:val="both"/>
      </w:pPr>
      <w:r>
        <w:t xml:space="preserve"> </w:t>
      </w:r>
    </w:p>
    <w:p w14:paraId="7303F208" w14:textId="77777777" w:rsidR="0001063A" w:rsidRDefault="0001063A" w:rsidP="0001063A">
      <w:pPr>
        <w:spacing w:before="0"/>
        <w:ind w:left="425" w:hanging="425"/>
        <w:outlineLvl w:val="7"/>
      </w:pPr>
      <w:r>
        <w:t>e)</w:t>
      </w:r>
      <w:r>
        <w:tab/>
        <w:t xml:space="preserve">jedná při komunikaci se zájemcem o doplňkové penzijní spoření nebo účastníkem v rozporu s § 130 až 132, </w:t>
      </w:r>
    </w:p>
    <w:p w14:paraId="79691790" w14:textId="77777777" w:rsidR="0001063A" w:rsidRDefault="0001063A" w:rsidP="0001063A">
      <w:pPr>
        <w:spacing w:before="0"/>
        <w:ind w:left="425" w:hanging="425"/>
        <w:outlineLvl w:val="7"/>
      </w:pPr>
      <w:r>
        <w:t>f)</w:t>
      </w:r>
      <w:r>
        <w:tab/>
        <w:t xml:space="preserve">neinformuje účastníka podle § 133 nebo poruší některou z povinností týkajících se sdělení klíčových informací pro účastníky podle § 134 nebo 135, nebo </w:t>
      </w:r>
    </w:p>
    <w:p w14:paraId="4FB9D67D" w14:textId="77777777" w:rsidR="0001063A" w:rsidRDefault="0001063A" w:rsidP="0001063A">
      <w:pPr>
        <w:spacing w:before="0"/>
        <w:ind w:left="425" w:hanging="425"/>
        <w:outlineLvl w:val="7"/>
      </w:pPr>
      <w:r>
        <w:t>g)</w:t>
      </w:r>
      <w:r>
        <w:tab/>
        <w:t xml:space="preserve">nevyžaduje od zájemce o doplňkové penzijní spoření nebo účastníka informace podle § 136. </w:t>
      </w:r>
    </w:p>
    <w:p w14:paraId="276657E6" w14:textId="77777777" w:rsidR="0001063A" w:rsidRDefault="0001063A" w:rsidP="0001063A">
      <w:pPr>
        <w:tabs>
          <w:tab w:val="left" w:pos="782"/>
          <w:tab w:val="left" w:pos="851"/>
        </w:tabs>
        <w:spacing w:after="120"/>
        <w:outlineLvl w:val="6"/>
      </w:pPr>
      <w:r>
        <w:t xml:space="preserve">(6) Akreditovaná osoba se dopustí přestupku tím, že </w:t>
      </w:r>
    </w:p>
    <w:p w14:paraId="1C46C7E8" w14:textId="77777777" w:rsidR="0001063A" w:rsidRDefault="0001063A" w:rsidP="0001063A">
      <w:pPr>
        <w:spacing w:before="0"/>
        <w:ind w:left="425" w:hanging="425"/>
        <w:outlineLvl w:val="7"/>
      </w:pPr>
      <w:r>
        <w:t>a)</w:t>
      </w:r>
      <w:r>
        <w:tab/>
        <w:t xml:space="preserve">v žádosti o prodloužení akreditace uvede nepravdivý nebo neúplný údaj o skutečnosti, která je podmínkou prodloužení akreditace, nebo takový údaj zatají, </w:t>
      </w:r>
    </w:p>
    <w:p w14:paraId="626FCF58" w14:textId="77777777" w:rsidR="0001063A" w:rsidRDefault="0001063A" w:rsidP="0001063A">
      <w:pPr>
        <w:spacing w:before="0"/>
        <w:ind w:left="425" w:hanging="425"/>
        <w:outlineLvl w:val="7"/>
      </w:pPr>
      <w:r>
        <w:t xml:space="preserve">b) </w:t>
      </w:r>
      <w:r>
        <w:tab/>
        <w:t xml:space="preserve">v rozporu s § 86 odst. 5 neoznámí bez zbytečného odkladu změnu, která se týká podmínek udělení nebo prodloužení akreditace, </w:t>
      </w:r>
    </w:p>
    <w:p w14:paraId="7672486B" w14:textId="77777777" w:rsidR="0001063A" w:rsidRDefault="0001063A" w:rsidP="0001063A">
      <w:pPr>
        <w:spacing w:before="0"/>
        <w:ind w:left="425" w:hanging="425"/>
        <w:outlineLvl w:val="7"/>
      </w:pPr>
      <w:r>
        <w:t>c)</w:t>
      </w:r>
      <w:r>
        <w:tab/>
        <w:t xml:space="preserve">postupuje při provádění odborných zkoušek v rozporu s § 87 odst. 1 a 2, </w:t>
      </w:r>
    </w:p>
    <w:p w14:paraId="19512ED4" w14:textId="77777777" w:rsidR="0001063A" w:rsidRDefault="0001063A" w:rsidP="0001063A">
      <w:pPr>
        <w:spacing w:before="0"/>
        <w:ind w:left="425" w:hanging="425"/>
        <w:outlineLvl w:val="7"/>
      </w:pPr>
      <w:r>
        <w:t>d)</w:t>
      </w:r>
      <w:r>
        <w:tab/>
        <w:t xml:space="preserve">neinformuje zkoušeného o výsledku odborné zkoušky podle § 87 odst. 3, </w:t>
      </w:r>
    </w:p>
    <w:p w14:paraId="5A7E3B87" w14:textId="77777777" w:rsidR="0001063A" w:rsidRDefault="0001063A" w:rsidP="0001063A">
      <w:pPr>
        <w:spacing w:before="0"/>
        <w:ind w:left="425" w:hanging="425"/>
        <w:outlineLvl w:val="7"/>
      </w:pPr>
      <w:r>
        <w:t>e)</w:t>
      </w:r>
      <w:r>
        <w:tab/>
        <w:t xml:space="preserve">poruší některou z povinností týkajících se vydání osvědčení o absolvování odborné zkoušky podle § 87 odst. 4, nebo </w:t>
      </w:r>
    </w:p>
    <w:p w14:paraId="37BE92F2" w14:textId="77777777" w:rsidR="0001063A" w:rsidRDefault="0001063A" w:rsidP="0001063A">
      <w:pPr>
        <w:spacing w:before="0"/>
        <w:ind w:left="425" w:hanging="425"/>
        <w:outlineLvl w:val="7"/>
      </w:pPr>
      <w:r>
        <w:t>f)</w:t>
      </w:r>
      <w:r>
        <w:tab/>
        <w:t xml:space="preserve">poruší některou z povinností týkajících se uchovávání dokumentů nebo záznamů podle § 87 odst. 6 nebo 7. </w:t>
      </w:r>
    </w:p>
    <w:p w14:paraId="25180CC8" w14:textId="77777777" w:rsidR="0001063A" w:rsidRDefault="0001063A" w:rsidP="00F5058F">
      <w:pPr>
        <w:tabs>
          <w:tab w:val="left" w:pos="782"/>
          <w:tab w:val="left" w:pos="851"/>
        </w:tabs>
        <w:spacing w:before="120" w:after="120"/>
        <w:outlineLvl w:val="6"/>
      </w:pPr>
      <w:r>
        <w:t xml:space="preserve">(7) Za přestupek podle odstavce 4 písm. a) bodu 4, odstavce 4 písm. b) nebo podle odstavce 6 písm. d) lze uložit pokutu do 1 000 000 Kč. </w:t>
      </w:r>
    </w:p>
    <w:p w14:paraId="26AF1758" w14:textId="77777777" w:rsidR="0001063A" w:rsidRDefault="0001063A" w:rsidP="00F5058F">
      <w:pPr>
        <w:tabs>
          <w:tab w:val="left" w:pos="782"/>
          <w:tab w:val="left" w:pos="851"/>
        </w:tabs>
        <w:spacing w:before="120" w:after="120"/>
        <w:outlineLvl w:val="6"/>
      </w:pPr>
      <w:r>
        <w:t xml:space="preserve">(8) Za přestupek podle odstavce 4 písm. a) bodu 1, 2, 3 nebo 5 lze uložit pokutu do 5 000 000 Kč. </w:t>
      </w:r>
    </w:p>
    <w:p w14:paraId="261F57C6" w14:textId="77777777" w:rsidR="0001063A" w:rsidRDefault="0001063A" w:rsidP="00F5058F">
      <w:pPr>
        <w:tabs>
          <w:tab w:val="left" w:pos="782"/>
          <w:tab w:val="left" w:pos="851"/>
        </w:tabs>
        <w:spacing w:before="120" w:after="120"/>
        <w:outlineLvl w:val="6"/>
      </w:pPr>
      <w:r>
        <w:t>(9)</w:t>
      </w:r>
      <w:r>
        <w:tab/>
        <w:t xml:space="preserve">Za přestupek podle odstavce 5 nebo odstavce 6 písm. a), b), c), e) nebo f) lze uložit pokutu do 10 000 000 Kč. </w:t>
      </w:r>
    </w:p>
    <w:p w14:paraId="1B770160" w14:textId="77777777" w:rsidR="0001063A" w:rsidRDefault="0001063A" w:rsidP="00F5058F">
      <w:pPr>
        <w:tabs>
          <w:tab w:val="left" w:pos="782"/>
          <w:tab w:val="left" w:pos="851"/>
        </w:tabs>
        <w:spacing w:before="120" w:after="120"/>
        <w:outlineLvl w:val="6"/>
      </w:pPr>
      <w:r>
        <w:t xml:space="preserve">(10) Za přestupek podle odstavců 1 až 3 lze uložit pokutu do 20 000 000 Kč. </w:t>
      </w:r>
    </w:p>
    <w:p w14:paraId="3F7C8D6D" w14:textId="77777777" w:rsidR="0001063A" w:rsidRPr="00CD54D1" w:rsidRDefault="0001063A" w:rsidP="0001063A">
      <w:pPr>
        <w:pStyle w:val="Paragraf"/>
        <w:spacing w:after="120"/>
      </w:pPr>
      <w:r>
        <w:t>***</w:t>
      </w:r>
    </w:p>
    <w:p w14:paraId="284A685D" w14:textId="77777777" w:rsidR="0001063A" w:rsidRPr="00CD44E6" w:rsidRDefault="0001063A" w:rsidP="0001063A">
      <w:pPr>
        <w:keepNext/>
        <w:keepLines/>
        <w:spacing w:after="120"/>
        <w:ind w:firstLine="0"/>
        <w:jc w:val="center"/>
        <w:outlineLvl w:val="5"/>
      </w:pPr>
      <w:r w:rsidRPr="00CD44E6">
        <w:t>§ 188</w:t>
      </w:r>
    </w:p>
    <w:p w14:paraId="4992827D" w14:textId="77777777" w:rsidR="0001063A" w:rsidRPr="00A34F84" w:rsidRDefault="0001063A" w:rsidP="0001063A">
      <w:pPr>
        <w:keepNext/>
        <w:keepLines/>
        <w:spacing w:after="120"/>
        <w:ind w:firstLine="0"/>
        <w:jc w:val="center"/>
        <w:outlineLvl w:val="5"/>
        <w:rPr>
          <w:b/>
        </w:rPr>
      </w:pPr>
      <w:r w:rsidRPr="00CD44E6">
        <w:rPr>
          <w:b/>
        </w:rPr>
        <w:t>Účetnictví transformovaného fondu</w:t>
      </w:r>
    </w:p>
    <w:p w14:paraId="14A4D2EC" w14:textId="77777777" w:rsidR="0001063A" w:rsidRPr="005A29FA" w:rsidRDefault="0001063A" w:rsidP="0001063A">
      <w:pPr>
        <w:tabs>
          <w:tab w:val="left" w:pos="782"/>
          <w:tab w:val="left" w:pos="851"/>
        </w:tabs>
        <w:spacing w:after="120"/>
        <w:outlineLvl w:val="6"/>
        <w:rPr>
          <w:strike/>
        </w:rPr>
      </w:pPr>
      <w:r w:rsidRPr="005A29FA">
        <w:rPr>
          <w:strike/>
        </w:rPr>
        <w:t xml:space="preserve">(1) Penzijní společnost účtuje o stavu a pohybu majetku a jiných aktiv, závazků a jiných pasiv, dále o nákladech a výnosech a o výsledku hospodaření s majetkem v transformovaném fondu odděleně od předmětu účetnictví svého a ostatních fondů. </w:t>
      </w:r>
    </w:p>
    <w:p w14:paraId="123C7597" w14:textId="77777777" w:rsidR="0001063A" w:rsidRPr="005A29FA" w:rsidRDefault="0001063A" w:rsidP="0001063A">
      <w:pPr>
        <w:tabs>
          <w:tab w:val="left" w:pos="782"/>
          <w:tab w:val="left" w:pos="851"/>
        </w:tabs>
        <w:spacing w:after="120"/>
        <w:outlineLvl w:val="6"/>
        <w:rPr>
          <w:b/>
        </w:rPr>
      </w:pPr>
      <w:r>
        <w:rPr>
          <w:b/>
        </w:rPr>
        <w:t>(1)</w:t>
      </w:r>
      <w:r>
        <w:rPr>
          <w:b/>
        </w:rPr>
        <w:tab/>
      </w:r>
      <w:r w:rsidRPr="005A29FA">
        <w:rPr>
          <w:b/>
        </w:rPr>
        <w:t>Penzijní společnost</w:t>
      </w:r>
      <w:r>
        <w:rPr>
          <w:b/>
        </w:rPr>
        <w:t>, která vykonává pomocí majetku v transformovaném fondu penzijní připojištění,</w:t>
      </w:r>
      <w:r w:rsidRPr="005A29FA">
        <w:rPr>
          <w:b/>
        </w:rPr>
        <w:t xml:space="preserve"> zajišťuje plnění povinností </w:t>
      </w:r>
      <w:r w:rsidRPr="00F601DE">
        <w:rPr>
          <w:b/>
        </w:rPr>
        <w:t xml:space="preserve">tohoto </w:t>
      </w:r>
      <w:r w:rsidRPr="005A29FA">
        <w:rPr>
          <w:b/>
        </w:rPr>
        <w:t>transformovaného fondu</w:t>
      </w:r>
      <w:r w:rsidRPr="00F601DE">
        <w:rPr>
          <w:b/>
          <w:color w:val="FF0000"/>
        </w:rPr>
        <w:t xml:space="preserve"> </w:t>
      </w:r>
      <w:r w:rsidRPr="005A29FA">
        <w:rPr>
          <w:b/>
        </w:rPr>
        <w:t>souvisejících s </w:t>
      </w:r>
    </w:p>
    <w:p w14:paraId="3477CAC4" w14:textId="77777777" w:rsidR="0001063A" w:rsidRPr="005A29FA" w:rsidRDefault="0001063A" w:rsidP="0001063A">
      <w:pPr>
        <w:spacing w:before="0"/>
        <w:ind w:left="425" w:hanging="425"/>
        <w:outlineLvl w:val="7"/>
        <w:rPr>
          <w:b/>
        </w:rPr>
      </w:pPr>
      <w:r w:rsidRPr="005A29FA">
        <w:rPr>
          <w:b/>
        </w:rPr>
        <w:t>a</w:t>
      </w:r>
      <w:r>
        <w:rPr>
          <w:b/>
        </w:rPr>
        <w:t>)</w:t>
      </w:r>
      <w:r>
        <w:rPr>
          <w:b/>
        </w:rPr>
        <w:tab/>
      </w:r>
      <w:r w:rsidRPr="005A29FA">
        <w:rPr>
          <w:b/>
        </w:rPr>
        <w:t xml:space="preserve">účetnictvím a </w:t>
      </w:r>
    </w:p>
    <w:p w14:paraId="72AAA1C8" w14:textId="77777777" w:rsidR="0001063A" w:rsidRPr="00A34F84" w:rsidRDefault="0001063A" w:rsidP="0001063A">
      <w:pPr>
        <w:spacing w:before="0"/>
        <w:ind w:left="425" w:hanging="425"/>
        <w:outlineLvl w:val="7"/>
        <w:rPr>
          <w:b/>
          <w:strike/>
        </w:rPr>
      </w:pPr>
      <w:r w:rsidRPr="005A29FA">
        <w:rPr>
          <w:b/>
        </w:rPr>
        <w:lastRenderedPageBreak/>
        <w:t>b)</w:t>
      </w:r>
      <w:r>
        <w:rPr>
          <w:b/>
        </w:rPr>
        <w:tab/>
      </w:r>
      <w:r w:rsidRPr="005A29FA">
        <w:rPr>
          <w:b/>
        </w:rPr>
        <w:t>daněmi, poplatky nebo jinými obdobnými peněžitými plněními.</w:t>
      </w:r>
      <w:r w:rsidRPr="005A29FA">
        <w:rPr>
          <w:b/>
          <w:strike/>
        </w:rPr>
        <w:t xml:space="preserve"> </w:t>
      </w:r>
    </w:p>
    <w:p w14:paraId="170D7B08" w14:textId="77777777" w:rsidR="0001063A" w:rsidRPr="00E2605E" w:rsidRDefault="0001063A" w:rsidP="006D6A87">
      <w:pPr>
        <w:tabs>
          <w:tab w:val="left" w:pos="782"/>
          <w:tab w:val="left" w:pos="851"/>
        </w:tabs>
        <w:spacing w:before="120" w:after="120"/>
        <w:outlineLvl w:val="6"/>
        <w:rPr>
          <w:strike/>
        </w:rPr>
      </w:pPr>
      <w:r w:rsidRPr="005A29FA">
        <w:rPr>
          <w:strike/>
        </w:rPr>
        <w:t xml:space="preserve">(2) Penzijní společnost zajišťuje v souladu s účetními metodami podle zvláštního právního předpisu upravujícího účetnictví účtování o předmětu účetnictví v účetních knihách vedených odděleně pro transformovaný fond tak, aby jí to umožnilo sestavení účetní závěrky pro transformovaný fond. </w:t>
      </w:r>
    </w:p>
    <w:p w14:paraId="7B35A1AB" w14:textId="77777777" w:rsidR="0001063A" w:rsidRPr="00F93C36" w:rsidRDefault="0001063A" w:rsidP="006D6A87">
      <w:pPr>
        <w:tabs>
          <w:tab w:val="left" w:pos="782"/>
          <w:tab w:val="left" w:pos="851"/>
        </w:tabs>
        <w:spacing w:before="120" w:after="120"/>
        <w:outlineLvl w:val="6"/>
        <w:rPr>
          <w:rFonts w:eastAsiaTheme="minorHAnsi"/>
          <w:szCs w:val="24"/>
          <w:lang w:eastAsia="en-US"/>
        </w:rPr>
      </w:pPr>
      <w:proofErr w:type="gramStart"/>
      <w:r w:rsidRPr="00CF444F">
        <w:rPr>
          <w:strike/>
        </w:rPr>
        <w:t>(3)</w:t>
      </w:r>
      <w:r w:rsidRPr="00CF444F">
        <w:rPr>
          <w:b/>
        </w:rPr>
        <w:t>(2)</w:t>
      </w:r>
      <w:r w:rsidRPr="00CF444F">
        <w:t xml:space="preserve"> </w:t>
      </w:r>
      <w:r w:rsidRPr="009554EE">
        <w:rPr>
          <w:rFonts w:eastAsiaTheme="minorHAnsi"/>
          <w:strike/>
          <w:szCs w:val="24"/>
          <w:lang w:eastAsia="en-US"/>
        </w:rPr>
        <w:t>Majetek</w:t>
      </w:r>
      <w:proofErr w:type="gramEnd"/>
      <w:r w:rsidRPr="009554EE">
        <w:rPr>
          <w:rFonts w:eastAsiaTheme="minorHAnsi"/>
          <w:strike/>
          <w:szCs w:val="24"/>
          <w:lang w:eastAsia="en-US"/>
        </w:rPr>
        <w:t xml:space="preserve"> a jiná aktiva a závazky a jiná pasiva</w:t>
      </w:r>
      <w:r>
        <w:rPr>
          <w:rFonts w:eastAsiaTheme="minorHAnsi"/>
          <w:szCs w:val="24"/>
          <w:lang w:eastAsia="en-US"/>
        </w:rPr>
        <w:t xml:space="preserve"> </w:t>
      </w:r>
      <w:r w:rsidRPr="00812FA6">
        <w:rPr>
          <w:rFonts w:eastAsiaTheme="minorHAnsi"/>
          <w:b/>
          <w:szCs w:val="24"/>
          <w:lang w:eastAsia="en-US"/>
        </w:rPr>
        <w:t>Aktiva, dluhy</w:t>
      </w:r>
      <w:r>
        <w:rPr>
          <w:rFonts w:eastAsiaTheme="minorHAnsi"/>
          <w:b/>
          <w:szCs w:val="24"/>
          <w:lang w:eastAsia="en-US"/>
        </w:rPr>
        <w:t xml:space="preserve"> podle zákona upravujícího účetnictví</w:t>
      </w:r>
      <w:r w:rsidRPr="00812FA6">
        <w:rPr>
          <w:rFonts w:eastAsiaTheme="minorHAnsi"/>
          <w:b/>
          <w:szCs w:val="24"/>
          <w:lang w:eastAsia="en-US"/>
        </w:rPr>
        <w:t xml:space="preserve"> a vlastní kapitál</w:t>
      </w:r>
      <w:r>
        <w:rPr>
          <w:rFonts w:eastAsiaTheme="minorHAnsi"/>
          <w:szCs w:val="24"/>
          <w:lang w:eastAsia="en-US"/>
        </w:rPr>
        <w:t xml:space="preserve"> v transformovaném fondu se oceňují podle zvláštního právního předpisu upravujícího účetnictví.</w:t>
      </w:r>
    </w:p>
    <w:p w14:paraId="53880D10" w14:textId="77777777" w:rsidR="0001063A" w:rsidRPr="005A29FA" w:rsidRDefault="0001063A" w:rsidP="006D6A87">
      <w:pPr>
        <w:tabs>
          <w:tab w:val="left" w:pos="782"/>
          <w:tab w:val="left" w:pos="851"/>
        </w:tabs>
        <w:spacing w:before="120" w:after="120"/>
        <w:outlineLvl w:val="6"/>
      </w:pPr>
      <w:proofErr w:type="gramStart"/>
      <w:r w:rsidRPr="00A34F84">
        <w:rPr>
          <w:strike/>
        </w:rPr>
        <w:t>(4)</w:t>
      </w:r>
      <w:r w:rsidRPr="00A34F84">
        <w:rPr>
          <w:b/>
          <w:strike/>
        </w:rPr>
        <w:t>(3)</w:t>
      </w:r>
      <w:r w:rsidRPr="00A34F84">
        <w:rPr>
          <w:strike/>
        </w:rPr>
        <w:t xml:space="preserve"> Účetní</w:t>
      </w:r>
      <w:proofErr w:type="gramEnd"/>
      <w:r w:rsidRPr="005A29FA">
        <w:rPr>
          <w:strike/>
        </w:rPr>
        <w:t xml:space="preserve"> závěrka transformovaného fondu musí být ověřena auditorem a zveřejněna ve lhůtě stanovené tímto zákonem účastnickému fondu</w:t>
      </w:r>
      <w:r w:rsidRPr="005A29FA">
        <w:t xml:space="preserve">. </w:t>
      </w:r>
    </w:p>
    <w:p w14:paraId="256A070A" w14:textId="77777777" w:rsidR="0001063A" w:rsidRPr="00A34F84" w:rsidRDefault="0001063A" w:rsidP="006D6A87">
      <w:pPr>
        <w:tabs>
          <w:tab w:val="left" w:pos="782"/>
          <w:tab w:val="left" w:pos="851"/>
        </w:tabs>
        <w:spacing w:before="120" w:after="120"/>
        <w:outlineLvl w:val="6"/>
        <w:rPr>
          <w:b/>
        </w:rPr>
      </w:pPr>
      <w:r w:rsidRPr="00A34F84">
        <w:rPr>
          <w:b/>
        </w:rPr>
        <w:t>(3) Na transformovaný fond a penzijní společnost, která pomocí majetku v</w:t>
      </w:r>
      <w:r>
        <w:rPr>
          <w:b/>
        </w:rPr>
        <w:t xml:space="preserve"> tomto </w:t>
      </w:r>
      <w:r w:rsidRPr="00A34F84">
        <w:rPr>
          <w:b/>
        </w:rPr>
        <w:t>fondu vykonává penzijní připojištění, se ustanovení § 57</w:t>
      </w:r>
      <w:r>
        <w:rPr>
          <w:b/>
        </w:rPr>
        <w:t>, § 57a a § 59</w:t>
      </w:r>
      <w:r w:rsidRPr="00A34F84">
        <w:rPr>
          <w:b/>
        </w:rPr>
        <w:t xml:space="preserve"> použij</w:t>
      </w:r>
      <w:r>
        <w:rPr>
          <w:b/>
        </w:rPr>
        <w:t>í</w:t>
      </w:r>
      <w:r w:rsidRPr="00A34F84">
        <w:rPr>
          <w:b/>
        </w:rPr>
        <w:t xml:space="preserve"> obdobně. </w:t>
      </w:r>
    </w:p>
    <w:p w14:paraId="6F9CD782" w14:textId="77777777" w:rsidR="0001063A" w:rsidRPr="00A34F84" w:rsidRDefault="0001063A" w:rsidP="006D6A87">
      <w:pPr>
        <w:tabs>
          <w:tab w:val="left" w:pos="782"/>
          <w:tab w:val="left" w:pos="851"/>
        </w:tabs>
        <w:spacing w:before="120" w:after="120"/>
        <w:outlineLvl w:val="6"/>
      </w:pPr>
      <w:proofErr w:type="gramStart"/>
      <w:r w:rsidRPr="005A29FA">
        <w:rPr>
          <w:strike/>
        </w:rPr>
        <w:t>(5)</w:t>
      </w:r>
      <w:r w:rsidRPr="005A29FA">
        <w:rPr>
          <w:b/>
          <w:strike/>
        </w:rPr>
        <w:t>(4)</w:t>
      </w:r>
      <w:r>
        <w:rPr>
          <w:b/>
          <w:strike/>
        </w:rPr>
        <w:t xml:space="preserve"> </w:t>
      </w:r>
      <w:r w:rsidRPr="005A29FA">
        <w:rPr>
          <w:strike/>
        </w:rPr>
        <w:t>Pro</w:t>
      </w:r>
      <w:proofErr w:type="gramEnd"/>
      <w:r w:rsidRPr="005A29FA">
        <w:rPr>
          <w:strike/>
        </w:rPr>
        <w:t xml:space="preserve"> účely konsolidace se nezohledňují aktiva ani pasiva evidovaná v účetnictví transformovaného fondu.</w:t>
      </w:r>
      <w:r w:rsidRPr="005A29FA">
        <w:t xml:space="preserve">  </w:t>
      </w:r>
    </w:p>
    <w:p w14:paraId="6F047E00" w14:textId="77777777" w:rsidR="0001063A" w:rsidRPr="00CD54D1" w:rsidRDefault="0001063A" w:rsidP="0001063A">
      <w:pPr>
        <w:pStyle w:val="Paragraf"/>
        <w:spacing w:after="120"/>
      </w:pPr>
      <w:r>
        <w:t>***</w:t>
      </w:r>
    </w:p>
    <w:p w14:paraId="1A62B5DF" w14:textId="77777777" w:rsidR="0001063A" w:rsidRPr="00A34F84" w:rsidRDefault="0001063A" w:rsidP="0001063A">
      <w:pPr>
        <w:keepNext/>
        <w:keepLines/>
        <w:spacing w:after="120"/>
        <w:ind w:firstLine="0"/>
        <w:jc w:val="center"/>
        <w:outlineLvl w:val="5"/>
      </w:pPr>
      <w:r w:rsidRPr="00A34F84">
        <w:t>§ 192</w:t>
      </w:r>
    </w:p>
    <w:p w14:paraId="57E7E6D4" w14:textId="77777777" w:rsidR="0001063A" w:rsidRPr="00A34F84" w:rsidRDefault="0001063A" w:rsidP="0001063A">
      <w:pPr>
        <w:keepNext/>
        <w:keepLines/>
        <w:spacing w:after="120"/>
        <w:ind w:firstLine="0"/>
        <w:jc w:val="center"/>
        <w:outlineLvl w:val="5"/>
        <w:rPr>
          <w:b/>
        </w:rPr>
      </w:pPr>
      <w:r w:rsidRPr="00A34F84">
        <w:rPr>
          <w:b/>
        </w:rPr>
        <w:t>Úplata</w:t>
      </w:r>
    </w:p>
    <w:p w14:paraId="768F4368" w14:textId="70131AFF" w:rsidR="0001063A" w:rsidRDefault="0001063A" w:rsidP="006D6A87">
      <w:pPr>
        <w:tabs>
          <w:tab w:val="left" w:pos="782"/>
          <w:tab w:val="left" w:pos="851"/>
        </w:tabs>
        <w:spacing w:before="120" w:after="120"/>
        <w:outlineLvl w:val="6"/>
      </w:pPr>
      <w:r>
        <w:t xml:space="preserve">(1) Penzijní společnost má nárok na úplatu za provozování penzijního připojištění prostřednictvím transformovaného fondu; § 60 se použije obdobně. </w:t>
      </w:r>
    </w:p>
    <w:p w14:paraId="7119D84D" w14:textId="77777777" w:rsidR="0001063A" w:rsidRDefault="0001063A" w:rsidP="006D6A87">
      <w:pPr>
        <w:tabs>
          <w:tab w:val="left" w:pos="782"/>
          <w:tab w:val="left" w:pos="851"/>
        </w:tabs>
        <w:spacing w:before="120" w:after="120"/>
        <w:outlineLvl w:val="6"/>
      </w:pPr>
      <w:r>
        <w:t xml:space="preserve">(2) Úplata penzijní společnosti se hradí z </w:t>
      </w:r>
      <w:r w:rsidRPr="003648A8">
        <w:t>majetku</w:t>
      </w:r>
      <w:r>
        <w:t xml:space="preserve"> v transformovaném fondu. </w:t>
      </w:r>
    </w:p>
    <w:p w14:paraId="078BF4FE" w14:textId="26B756C1" w:rsidR="0001063A" w:rsidRDefault="0001063A" w:rsidP="006D6A87">
      <w:pPr>
        <w:tabs>
          <w:tab w:val="left" w:pos="782"/>
          <w:tab w:val="left" w:pos="851"/>
        </w:tabs>
        <w:spacing w:before="120" w:after="120"/>
        <w:outlineLvl w:val="6"/>
        <w:rPr>
          <w:rFonts w:eastAsiaTheme="minorHAnsi"/>
          <w:szCs w:val="24"/>
          <w:lang w:eastAsia="en-US"/>
        </w:rPr>
      </w:pPr>
      <w:r>
        <w:rPr>
          <w:color w:val="000000" w:themeColor="text1"/>
          <w:szCs w:val="24"/>
        </w:rPr>
        <w:t>(3) Výše úplaty</w:t>
      </w:r>
      <w:r>
        <w:rPr>
          <w:rFonts w:eastAsiaTheme="minorHAnsi"/>
          <w:szCs w:val="24"/>
          <w:lang w:eastAsia="en-US"/>
        </w:rPr>
        <w:t xml:space="preserve"> činí nejvíce</w:t>
      </w:r>
    </w:p>
    <w:p w14:paraId="1F4260DC" w14:textId="77777777" w:rsidR="0001063A" w:rsidRDefault="0001063A" w:rsidP="0001063A">
      <w:pPr>
        <w:spacing w:before="0"/>
        <w:ind w:left="425" w:hanging="425"/>
        <w:outlineLvl w:val="7"/>
        <w:rPr>
          <w:rFonts w:eastAsiaTheme="minorHAnsi"/>
          <w:szCs w:val="24"/>
          <w:lang w:eastAsia="en-US"/>
        </w:rPr>
      </w:pPr>
      <w:r>
        <w:rPr>
          <w:rFonts w:eastAsiaTheme="minorHAnsi"/>
          <w:szCs w:val="24"/>
          <w:lang w:eastAsia="en-US"/>
        </w:rPr>
        <w:t>a)</w:t>
      </w:r>
      <w:r>
        <w:rPr>
          <w:rFonts w:eastAsiaTheme="minorHAnsi"/>
          <w:szCs w:val="24"/>
          <w:lang w:eastAsia="en-US"/>
        </w:rPr>
        <w:tab/>
        <w:t xml:space="preserve">0,8 % z </w:t>
      </w:r>
      <w:r>
        <w:rPr>
          <w:color w:val="000000" w:themeColor="text1"/>
          <w:szCs w:val="24"/>
        </w:rPr>
        <w:t>průměrné</w:t>
      </w:r>
      <w:r>
        <w:rPr>
          <w:rFonts w:eastAsiaTheme="minorHAnsi"/>
          <w:szCs w:val="24"/>
          <w:lang w:eastAsia="en-US"/>
        </w:rPr>
        <w:t xml:space="preserve"> roční hodnoty bilanční sumy v transformovaném fondu a</w:t>
      </w:r>
    </w:p>
    <w:p w14:paraId="508A8E52" w14:textId="77777777" w:rsidR="0001063A" w:rsidRPr="009170CD" w:rsidRDefault="0001063A" w:rsidP="0001063A">
      <w:pPr>
        <w:spacing w:before="0"/>
        <w:ind w:left="425" w:hanging="425"/>
        <w:outlineLvl w:val="7"/>
        <w:rPr>
          <w:rFonts w:eastAsiaTheme="minorHAnsi"/>
          <w:color w:val="0070C0"/>
          <w:szCs w:val="24"/>
          <w:u w:val="single"/>
          <w:lang w:eastAsia="en-US"/>
        </w:rPr>
      </w:pPr>
      <w:r>
        <w:rPr>
          <w:rFonts w:eastAsiaTheme="minorHAnsi"/>
          <w:szCs w:val="24"/>
          <w:lang w:eastAsia="en-US"/>
        </w:rPr>
        <w:t>b)</w:t>
      </w:r>
      <w:r>
        <w:rPr>
          <w:rFonts w:eastAsiaTheme="minorHAnsi"/>
          <w:szCs w:val="24"/>
          <w:lang w:eastAsia="en-US"/>
        </w:rPr>
        <w:tab/>
        <w:t>10 % ze zisku vykázaného v </w:t>
      </w:r>
      <w:r w:rsidRPr="00135314">
        <w:rPr>
          <w:rFonts w:eastAsiaTheme="minorHAnsi"/>
          <w:b/>
          <w:szCs w:val="24"/>
          <w:lang w:eastAsia="en-US"/>
        </w:rPr>
        <w:t xml:space="preserve">řádné individuální </w:t>
      </w:r>
      <w:r>
        <w:rPr>
          <w:rFonts w:eastAsiaTheme="minorHAnsi"/>
          <w:szCs w:val="24"/>
          <w:lang w:eastAsia="en-US"/>
        </w:rPr>
        <w:t>účetní závěrce transformovaného fondu</w:t>
      </w:r>
      <w:r w:rsidRPr="009170CD">
        <w:rPr>
          <w:rFonts w:eastAsiaTheme="minorHAnsi"/>
          <w:szCs w:val="24"/>
          <w:lang w:eastAsia="en-US"/>
        </w:rPr>
        <w:t>;</w:t>
      </w:r>
      <w:r w:rsidRPr="00135314">
        <w:rPr>
          <w:rFonts w:eastAsiaTheme="minorHAnsi"/>
          <w:b/>
          <w:color w:val="808080" w:themeColor="background1" w:themeShade="80"/>
          <w:szCs w:val="24"/>
          <w:lang w:eastAsia="en-US"/>
        </w:rPr>
        <w:t xml:space="preserve"> </w:t>
      </w:r>
      <w:r w:rsidRPr="009170CD">
        <w:rPr>
          <w:rFonts w:eastAsiaTheme="minorHAnsi"/>
          <w:szCs w:val="24"/>
          <w:lang w:eastAsia="en-US"/>
        </w:rPr>
        <w:t>ziskem vykázaným v</w:t>
      </w:r>
      <w:r w:rsidRPr="009170CD">
        <w:rPr>
          <w:rFonts w:eastAsiaTheme="minorHAnsi"/>
          <w:b/>
          <w:szCs w:val="24"/>
          <w:lang w:eastAsia="en-US"/>
        </w:rPr>
        <w:t xml:space="preserve"> řádné individuální </w:t>
      </w:r>
      <w:r w:rsidRPr="009170CD">
        <w:rPr>
          <w:rFonts w:eastAsiaTheme="minorHAnsi"/>
          <w:szCs w:val="24"/>
          <w:lang w:eastAsia="en-US"/>
        </w:rPr>
        <w:t xml:space="preserve">účetní závěrce transformovaného fondu se rozumí součet zisku za </w:t>
      </w:r>
      <w:r>
        <w:rPr>
          <w:rFonts w:eastAsiaTheme="minorHAnsi"/>
          <w:b/>
          <w:szCs w:val="24"/>
          <w:lang w:eastAsia="en-US"/>
        </w:rPr>
        <w:t xml:space="preserve">individuální </w:t>
      </w:r>
      <w:r w:rsidRPr="009170CD">
        <w:rPr>
          <w:rFonts w:eastAsiaTheme="minorHAnsi"/>
          <w:szCs w:val="24"/>
          <w:lang w:eastAsia="en-US"/>
        </w:rPr>
        <w:t xml:space="preserve">účetní období a nerozděleného zisku z předchozích období snížený o ztrátu za </w:t>
      </w:r>
      <w:r>
        <w:rPr>
          <w:rFonts w:eastAsiaTheme="minorHAnsi"/>
          <w:b/>
          <w:szCs w:val="24"/>
          <w:lang w:eastAsia="en-US"/>
        </w:rPr>
        <w:t xml:space="preserve">individuální </w:t>
      </w:r>
      <w:r w:rsidRPr="009170CD">
        <w:rPr>
          <w:rFonts w:eastAsiaTheme="minorHAnsi"/>
          <w:szCs w:val="24"/>
          <w:lang w:eastAsia="en-US"/>
        </w:rPr>
        <w:t>účetní období a o neuhrazenou ztrátu za předchozí období.</w:t>
      </w:r>
    </w:p>
    <w:p w14:paraId="6E82B4AE" w14:textId="77777777" w:rsidR="0001063A" w:rsidRDefault="0001063A" w:rsidP="006D6A87">
      <w:pPr>
        <w:tabs>
          <w:tab w:val="left" w:pos="782"/>
          <w:tab w:val="left" w:pos="851"/>
        </w:tabs>
        <w:spacing w:before="120" w:after="120"/>
        <w:outlineLvl w:val="6"/>
      </w:pPr>
      <w:r>
        <w:t xml:space="preserve">(4) Způsob úhrady úplaty podle odstavce 3 písm. a) stanoví statut transformovaného fondu. </w:t>
      </w:r>
    </w:p>
    <w:p w14:paraId="275A6FB3" w14:textId="77777777" w:rsidR="0001063A" w:rsidRDefault="0001063A" w:rsidP="006D6A87">
      <w:pPr>
        <w:tabs>
          <w:tab w:val="left" w:pos="782"/>
          <w:tab w:val="left" w:pos="851"/>
        </w:tabs>
        <w:spacing w:before="120" w:after="120"/>
        <w:outlineLvl w:val="6"/>
      </w:pPr>
      <w:r>
        <w:t xml:space="preserve">(5) Průměrná roční hodnota bilanční sumy v transformovaném fondu se stanoví k poslednímu dni příslušného období jako prostý aritmetický průměr hodnot bilančních sum transformovaného fondu za každý den příslušného období. </w:t>
      </w:r>
    </w:p>
    <w:p w14:paraId="74041E9B" w14:textId="0F2AD8EB" w:rsidR="00DA3707" w:rsidRPr="0001063A" w:rsidRDefault="00DA3707" w:rsidP="0001063A">
      <w:pPr>
        <w:pStyle w:val="Textparagrafu"/>
        <w:numPr>
          <w:ilvl w:val="0"/>
          <w:numId w:val="27"/>
        </w:numPr>
        <w:tabs>
          <w:tab w:val="left" w:pos="392"/>
          <w:tab w:val="left" w:pos="840"/>
        </w:tabs>
        <w:spacing w:after="120"/>
        <w:jc w:val="center"/>
        <w:rPr>
          <w:highlight w:val="red"/>
        </w:rPr>
      </w:pPr>
      <w:r w:rsidRPr="00DA3707">
        <w:rPr>
          <w:highlight w:val="red"/>
        </w:rPr>
        <w:t xml:space="preserve"> </w:t>
      </w:r>
    </w:p>
    <w:p w14:paraId="135A17F1" w14:textId="77777777" w:rsidR="00DA3707" w:rsidRDefault="00DA3707" w:rsidP="00881B66">
      <w:pPr>
        <w:tabs>
          <w:tab w:val="left" w:pos="851"/>
        </w:tabs>
        <w:spacing w:before="120" w:after="120"/>
        <w:ind w:firstLine="0"/>
        <w:outlineLvl w:val="0"/>
        <w:sectPr w:rsidR="00DA3707" w:rsidSect="00554E2B">
          <w:footnotePr>
            <w:numStart w:val="3"/>
          </w:footnotePr>
          <w:endnotePr>
            <w:numFmt w:val="decimal"/>
          </w:endnotePr>
          <w:pgSz w:w="11906" w:h="16838"/>
          <w:pgMar w:top="1418" w:right="1418" w:bottom="1418" w:left="1418" w:header="709" w:footer="709" w:gutter="0"/>
          <w:cols w:space="708"/>
          <w:docGrid w:linePitch="360"/>
        </w:sectPr>
      </w:pPr>
    </w:p>
    <w:p w14:paraId="1DC0F9E2" w14:textId="2DD9ACBC" w:rsidR="00DA3707" w:rsidRPr="00C93479" w:rsidRDefault="00DA3707" w:rsidP="006D6A87">
      <w:pPr>
        <w:tabs>
          <w:tab w:val="left" w:pos="851"/>
        </w:tabs>
        <w:spacing w:before="120" w:after="120"/>
        <w:ind w:firstLine="0"/>
        <w:jc w:val="center"/>
        <w:outlineLvl w:val="0"/>
        <w:rPr>
          <w:szCs w:val="24"/>
        </w:rPr>
      </w:pPr>
      <w:r w:rsidRPr="00C93479">
        <w:rPr>
          <w:b/>
          <w:szCs w:val="24"/>
        </w:rPr>
        <w:lastRenderedPageBreak/>
        <w:t xml:space="preserve">K části sté </w:t>
      </w:r>
      <w:r w:rsidR="00C93479" w:rsidRPr="00C93479">
        <w:rPr>
          <w:b/>
          <w:szCs w:val="24"/>
        </w:rPr>
        <w:t>deváté</w:t>
      </w:r>
      <w:r w:rsidRPr="00C93479">
        <w:rPr>
          <w:b/>
          <w:szCs w:val="24"/>
        </w:rPr>
        <w:t xml:space="preserve"> návrhu zákona – </w:t>
      </w:r>
      <w:r w:rsidRPr="00C93479">
        <w:rPr>
          <w:szCs w:val="24"/>
        </w:rPr>
        <w:t>změna zákona</w:t>
      </w:r>
      <w:r w:rsidRPr="00C93479">
        <w:t xml:space="preserve"> </w:t>
      </w:r>
      <w:r w:rsidRPr="00C93479">
        <w:rPr>
          <w:szCs w:val="24"/>
        </w:rPr>
        <w:t>o Finanční správě České republiky</w:t>
      </w:r>
    </w:p>
    <w:p w14:paraId="0F3F1E8F" w14:textId="49178715" w:rsidR="00DA3707" w:rsidRPr="00C93479" w:rsidRDefault="00DA3707" w:rsidP="00DA3707">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C93479">
        <w:rPr>
          <w:b/>
          <w:szCs w:val="24"/>
        </w:rPr>
        <w:t>Platné znění</w:t>
      </w:r>
      <w:r w:rsidRPr="00C93479">
        <w:rPr>
          <w:szCs w:val="24"/>
        </w:rPr>
        <w:t xml:space="preserve"> zákona č. 456/2011 Sb., o Finanční správě České republiky</w:t>
      </w:r>
    </w:p>
    <w:p w14:paraId="25F85431" w14:textId="77777777" w:rsidR="006D6A87" w:rsidRPr="00607B4B" w:rsidRDefault="006D6A87" w:rsidP="006D6A87">
      <w:pPr>
        <w:pStyle w:val="Odstavecseseznamem"/>
        <w:numPr>
          <w:ilvl w:val="0"/>
          <w:numId w:val="27"/>
        </w:numPr>
        <w:pBdr>
          <w:top w:val="single" w:sz="12" w:space="6" w:color="auto"/>
          <w:left w:val="single" w:sz="12" w:space="0" w:color="auto"/>
          <w:bottom w:val="single" w:sz="12" w:space="6" w:color="auto"/>
          <w:right w:val="single" w:sz="12" w:space="0" w:color="auto"/>
        </w:pBdr>
        <w:spacing w:after="120"/>
        <w:jc w:val="center"/>
        <w:rPr>
          <w:b/>
          <w:szCs w:val="24"/>
          <w:lang w:eastAsia="en-US"/>
        </w:rPr>
      </w:pPr>
      <w:r w:rsidRPr="00607B4B">
        <w:rPr>
          <w:b/>
          <w:szCs w:val="24"/>
          <w:lang w:eastAsia="en-US"/>
        </w:rPr>
        <w:t>s vyznačením navrhovaných změn a doplnění k 1. lednu 2025</w:t>
      </w:r>
    </w:p>
    <w:p w14:paraId="518C86D2" w14:textId="77777777" w:rsidR="00C93479" w:rsidRDefault="00C93479" w:rsidP="00C93479">
      <w:pPr>
        <w:pStyle w:val="Textodstavce"/>
        <w:spacing w:before="240"/>
        <w:jc w:val="center"/>
      </w:pPr>
      <w:r>
        <w:t>§ 1</w:t>
      </w:r>
    </w:p>
    <w:p w14:paraId="171D0394" w14:textId="77777777" w:rsidR="00C93479" w:rsidRDefault="00C93479" w:rsidP="006D6A87">
      <w:pPr>
        <w:pStyle w:val="Textodstavce"/>
        <w:ind w:firstLine="425"/>
      </w:pPr>
      <w:r>
        <w:t xml:space="preserve">(1) </w:t>
      </w:r>
      <w:r w:rsidRPr="000F4F0C">
        <w:t>Finanční správa České republiky je soustavou správních orgánů pro výkon správy daní.</w:t>
      </w:r>
    </w:p>
    <w:p w14:paraId="4F1EFDB6" w14:textId="77777777" w:rsidR="00C93479" w:rsidRDefault="00C93479" w:rsidP="006D6A87">
      <w:pPr>
        <w:pStyle w:val="Textodstavce"/>
        <w:ind w:firstLine="425"/>
      </w:pPr>
      <w:r>
        <w:t xml:space="preserve">(2) </w:t>
      </w:r>
      <w:r w:rsidRPr="000F4F0C">
        <w:t>Jako orgány Finanční správy České republiky (dále jen „orgány finanční správy“) se zřizují Generální finanční ředitelství, Odvolací finanční ředitelství a finanční úřady, které jsou správními úřady a organizačními složkami státu.</w:t>
      </w:r>
    </w:p>
    <w:p w14:paraId="72F80AC0" w14:textId="77777777" w:rsidR="00C93479" w:rsidRDefault="00C93479" w:rsidP="006D6A87">
      <w:pPr>
        <w:pStyle w:val="Textodstavce"/>
        <w:ind w:firstLine="425"/>
      </w:pPr>
      <w:r>
        <w:t xml:space="preserve">(3) </w:t>
      </w:r>
      <w:r w:rsidRPr="000F4F0C">
        <w:t>Generální finanční ředitelství je podřízeno Ministerstvu financí (dále jen „ministerstvo“). Odvolací finanční ředitelství je podřízeno Generálnímu finančnímu ředitelství. Finanční úřady jsou podřízeny Odvolacímu finančnímu ředitelství.</w:t>
      </w:r>
    </w:p>
    <w:p w14:paraId="30C16D93" w14:textId="77777777" w:rsidR="00C93479" w:rsidRDefault="00C93479" w:rsidP="006D6A87">
      <w:pPr>
        <w:pStyle w:val="Textodstavce"/>
        <w:ind w:firstLine="425"/>
      </w:pPr>
      <w:r w:rsidRPr="00CF0ED5">
        <w:t>(4)</w:t>
      </w:r>
      <w:r>
        <w:rPr>
          <w:strike/>
        </w:rPr>
        <w:t xml:space="preserve"> </w:t>
      </w:r>
      <w:r w:rsidRPr="00CF0ED5">
        <w:rPr>
          <w:strike/>
        </w:rPr>
        <w:t>Generální finanční ředitelství je účetní jednotkou.</w:t>
      </w:r>
      <w:r w:rsidRPr="00CF0ED5">
        <w:t xml:space="preserve"> </w:t>
      </w:r>
      <w:r w:rsidRPr="000F4F0C">
        <w:t>Odvolací finanční ředitelství a finanční úřady nejsou účetními jednotkami a pro účely hospodaření s majetkem státu, účetnictví a pracovněprávních vztahů mají postavení vnitřních organizačních jednotek Generálního finančního ředitelství.</w:t>
      </w:r>
    </w:p>
    <w:p w14:paraId="079563C4" w14:textId="77777777" w:rsidR="00C93479" w:rsidRDefault="00C93479" w:rsidP="006D6A87">
      <w:pPr>
        <w:pStyle w:val="Textodstavce"/>
        <w:ind w:firstLine="425"/>
      </w:pPr>
      <w:r>
        <w:t xml:space="preserve">(5) </w:t>
      </w:r>
      <w:r w:rsidRPr="000F4F0C">
        <w:t>Příjmy a výdaje Generálního finančního ředitelství jsou součástí rozpočtové kapitoly ministerstva.</w:t>
      </w:r>
    </w:p>
    <w:p w14:paraId="092114FF" w14:textId="77777777" w:rsidR="00C93479" w:rsidRDefault="00C93479" w:rsidP="006D6A87">
      <w:pPr>
        <w:pStyle w:val="Textodstavce"/>
        <w:ind w:firstLine="425"/>
      </w:pPr>
      <w:r>
        <w:t xml:space="preserve">(6) </w:t>
      </w:r>
      <w:r w:rsidRPr="000F4F0C">
        <w:t>Pro účely zákona o státní službě je Generální finanční ředitelství bezprostředně nadřízeným služebním úřadem Odvolacího finančního ředitelství a finančních úřadů.</w:t>
      </w:r>
    </w:p>
    <w:p w14:paraId="552F365B" w14:textId="77777777" w:rsidR="00C93479" w:rsidRDefault="00C93479" w:rsidP="00992796">
      <w:pPr>
        <w:pStyle w:val="Paragraf"/>
        <w:numPr>
          <w:ilvl w:val="0"/>
          <w:numId w:val="40"/>
        </w:numPr>
        <w:spacing w:after="120"/>
      </w:pPr>
      <w:r>
        <w:t>***</w:t>
      </w:r>
    </w:p>
    <w:p w14:paraId="0F4511FC" w14:textId="77777777" w:rsidR="00C93479" w:rsidRDefault="00C93479" w:rsidP="00C93479">
      <w:pPr>
        <w:pStyle w:val="Textodstavce"/>
        <w:spacing w:before="240"/>
        <w:jc w:val="center"/>
      </w:pPr>
      <w:r>
        <w:t>§ 10</w:t>
      </w:r>
    </w:p>
    <w:p w14:paraId="67CFAA9D" w14:textId="77777777" w:rsidR="00C93479" w:rsidRDefault="00C93479" w:rsidP="00C93479">
      <w:pPr>
        <w:pStyle w:val="Nadpisparagrafu"/>
        <w:spacing w:after="120"/>
      </w:pPr>
      <w:r w:rsidRPr="00CA23CD">
        <w:t>Věcná působnost</w:t>
      </w:r>
    </w:p>
    <w:p w14:paraId="24D14079" w14:textId="77777777" w:rsidR="00C93479" w:rsidRDefault="00C93479" w:rsidP="00C93479">
      <w:pPr>
        <w:pStyle w:val="Textodstavce"/>
        <w:spacing w:before="240"/>
        <w:ind w:firstLine="425"/>
      </w:pPr>
      <w:r>
        <w:t xml:space="preserve">(1) </w:t>
      </w:r>
      <w:r w:rsidRPr="00CA23CD">
        <w:t>Finanční úřad</w:t>
      </w:r>
    </w:p>
    <w:p w14:paraId="0AA329F7" w14:textId="77777777" w:rsidR="00C93479" w:rsidRDefault="00C93479" w:rsidP="00C93479">
      <w:pPr>
        <w:pStyle w:val="Textparagrafu"/>
        <w:numPr>
          <w:ilvl w:val="0"/>
          <w:numId w:val="27"/>
        </w:numPr>
        <w:tabs>
          <w:tab w:val="left" w:pos="392"/>
          <w:tab w:val="left" w:pos="840"/>
        </w:tabs>
        <w:spacing w:before="0"/>
        <w:ind w:left="425" w:hanging="425"/>
      </w:pPr>
      <w:r>
        <w:t>a)</w:t>
      </w:r>
      <w:r>
        <w:tab/>
      </w:r>
      <w:r w:rsidRPr="00CA23CD">
        <w:t>vykonává správu daní,</w:t>
      </w:r>
    </w:p>
    <w:p w14:paraId="308DB190" w14:textId="77777777" w:rsidR="00C93479" w:rsidRDefault="00C93479" w:rsidP="00C93479">
      <w:pPr>
        <w:pStyle w:val="Textparagrafu"/>
        <w:numPr>
          <w:ilvl w:val="0"/>
          <w:numId w:val="27"/>
        </w:numPr>
        <w:tabs>
          <w:tab w:val="left" w:pos="392"/>
          <w:tab w:val="left" w:pos="840"/>
        </w:tabs>
        <w:spacing w:before="0"/>
        <w:ind w:left="425" w:hanging="425"/>
      </w:pPr>
      <w:r>
        <w:t>b)</w:t>
      </w:r>
      <w:r>
        <w:tab/>
      </w:r>
      <w:r w:rsidRPr="00CA23CD">
        <w:t>provádí řízení o správních deliktech,</w:t>
      </w:r>
    </w:p>
    <w:p w14:paraId="46E1AA11" w14:textId="77777777" w:rsidR="00C93479" w:rsidRDefault="00C93479" w:rsidP="00C93479">
      <w:pPr>
        <w:pStyle w:val="Textparagrafu"/>
        <w:numPr>
          <w:ilvl w:val="0"/>
          <w:numId w:val="27"/>
        </w:numPr>
        <w:tabs>
          <w:tab w:val="left" w:pos="392"/>
          <w:tab w:val="left" w:pos="840"/>
        </w:tabs>
        <w:spacing w:before="0"/>
        <w:ind w:left="425" w:hanging="425"/>
      </w:pPr>
      <w:r>
        <w:t>c)</w:t>
      </w:r>
      <w:r>
        <w:tab/>
      </w:r>
      <w:r w:rsidRPr="00CA23CD">
        <w:t>převádí výnosy daní, které vybírá a vymáhá a které nejsou příjmem státního rozpočtu, převádí výnosy daní, které vybírá a vymáhá a které nejsou příjmem státního rozpočtu,</w:t>
      </w:r>
    </w:p>
    <w:p w14:paraId="5A463653" w14:textId="77777777" w:rsidR="00C93479" w:rsidRDefault="00C93479" w:rsidP="00C93479">
      <w:pPr>
        <w:pStyle w:val="Textparagrafu"/>
        <w:numPr>
          <w:ilvl w:val="0"/>
          <w:numId w:val="27"/>
        </w:numPr>
        <w:tabs>
          <w:tab w:val="left" w:pos="392"/>
          <w:tab w:val="left" w:pos="840"/>
        </w:tabs>
        <w:spacing w:before="0"/>
        <w:ind w:left="425" w:hanging="425"/>
      </w:pPr>
      <w:r>
        <w:t>d)</w:t>
      </w:r>
      <w:r>
        <w:tab/>
      </w:r>
      <w:r w:rsidRPr="00CA23CD">
        <w:t>přijímá a eviduje splátky návratných finančních výpomocí poskytnutých Ministerstvem zemědělství v letech 1991 až 1995 včetně a případné úroky z nich vyplývající,</w:t>
      </w:r>
    </w:p>
    <w:p w14:paraId="529EFA6C" w14:textId="77777777" w:rsidR="00C93479" w:rsidRDefault="00C93479" w:rsidP="00C93479">
      <w:pPr>
        <w:pStyle w:val="Textparagrafu"/>
        <w:numPr>
          <w:ilvl w:val="0"/>
          <w:numId w:val="27"/>
        </w:numPr>
        <w:tabs>
          <w:tab w:val="left" w:pos="392"/>
          <w:tab w:val="left" w:pos="840"/>
        </w:tabs>
        <w:spacing w:before="0"/>
        <w:ind w:left="425" w:hanging="425"/>
      </w:pPr>
      <w:r>
        <w:t>e)</w:t>
      </w:r>
      <w:r>
        <w:tab/>
      </w:r>
      <w:r w:rsidRPr="00CA23CD">
        <w:t>vybírá a vymáhá peněžitá plnění, která uložily orgány finanční správy,</w:t>
      </w:r>
    </w:p>
    <w:p w14:paraId="37F9ED22" w14:textId="77777777" w:rsidR="00C93479" w:rsidRDefault="00C93479" w:rsidP="00C93479">
      <w:pPr>
        <w:pStyle w:val="Textparagrafu"/>
        <w:numPr>
          <w:ilvl w:val="0"/>
          <w:numId w:val="27"/>
        </w:numPr>
        <w:tabs>
          <w:tab w:val="left" w:pos="392"/>
          <w:tab w:val="left" w:pos="840"/>
        </w:tabs>
        <w:spacing w:before="0"/>
        <w:ind w:left="425" w:hanging="425"/>
      </w:pPr>
      <w:r>
        <w:t>f)</w:t>
      </w:r>
      <w:r>
        <w:tab/>
      </w:r>
      <w:r w:rsidRPr="00CA23CD">
        <w:t>vede evidence a registry nezbytné pro výkon působnosti orgánů finanční správy,</w:t>
      </w:r>
    </w:p>
    <w:p w14:paraId="0A0AFA69" w14:textId="77777777" w:rsidR="00C93479" w:rsidRDefault="00C93479" w:rsidP="00C93479">
      <w:pPr>
        <w:pStyle w:val="Textparagrafu"/>
        <w:numPr>
          <w:ilvl w:val="0"/>
          <w:numId w:val="27"/>
        </w:numPr>
        <w:tabs>
          <w:tab w:val="left" w:pos="392"/>
          <w:tab w:val="left" w:pos="840"/>
        </w:tabs>
        <w:spacing w:before="0"/>
        <w:ind w:left="425" w:hanging="425"/>
      </w:pPr>
      <w:r>
        <w:t>g)</w:t>
      </w:r>
      <w:r>
        <w:tab/>
      </w:r>
      <w:r w:rsidRPr="00CA23CD">
        <w:t>vykonává další působnost, stanoví-li jiný právní předpis, že tuto působnost vykonávají orgány finanční správy.</w:t>
      </w:r>
    </w:p>
    <w:p w14:paraId="62354571" w14:textId="77777777" w:rsidR="00C93479" w:rsidRDefault="00C93479" w:rsidP="00C93479">
      <w:pPr>
        <w:pStyle w:val="Textodstavce"/>
        <w:spacing w:before="240"/>
        <w:ind w:firstLine="425"/>
      </w:pPr>
      <w:r>
        <w:t xml:space="preserve">(2) </w:t>
      </w:r>
      <w:r w:rsidRPr="00CA23CD">
        <w:t>Finanční úřad vykonává</w:t>
      </w:r>
    </w:p>
    <w:p w14:paraId="30B5DBD7" w14:textId="77777777" w:rsidR="00C93479" w:rsidRDefault="00C93479" w:rsidP="00C93479">
      <w:pPr>
        <w:pStyle w:val="Textparagrafu"/>
        <w:numPr>
          <w:ilvl w:val="0"/>
          <w:numId w:val="27"/>
        </w:numPr>
        <w:tabs>
          <w:tab w:val="left" w:pos="392"/>
          <w:tab w:val="left" w:pos="840"/>
        </w:tabs>
        <w:spacing w:before="0"/>
        <w:ind w:left="425" w:hanging="425"/>
      </w:pPr>
      <w:r>
        <w:t>a)</w:t>
      </w:r>
      <w:r>
        <w:tab/>
      </w:r>
      <w:r w:rsidRPr="00CA23CD">
        <w:t>finanční kontrolu,</w:t>
      </w:r>
    </w:p>
    <w:p w14:paraId="4BBF8E23" w14:textId="77777777" w:rsidR="00C93479" w:rsidRPr="00CF0ED5" w:rsidRDefault="00C93479" w:rsidP="00C93479">
      <w:pPr>
        <w:pStyle w:val="Textparagrafu"/>
        <w:numPr>
          <w:ilvl w:val="0"/>
          <w:numId w:val="27"/>
        </w:numPr>
        <w:tabs>
          <w:tab w:val="left" w:pos="392"/>
          <w:tab w:val="left" w:pos="840"/>
        </w:tabs>
        <w:spacing w:before="0"/>
        <w:ind w:left="425" w:hanging="425"/>
        <w:rPr>
          <w:strike/>
        </w:rPr>
      </w:pPr>
      <w:r>
        <w:rPr>
          <w:strike/>
        </w:rPr>
        <w:t>b)</w:t>
      </w:r>
      <w:r>
        <w:rPr>
          <w:strike/>
        </w:rPr>
        <w:tab/>
      </w:r>
      <w:r w:rsidRPr="00CF0ED5">
        <w:rPr>
          <w:strike/>
        </w:rPr>
        <w:t>kontrolu dodržování povinností stanovených právními předpisy upravujícími účetnictví a ukládá účetním jednotkám pokuty podle těchto právních předpisů,</w:t>
      </w:r>
    </w:p>
    <w:p w14:paraId="0EBCB60D" w14:textId="77777777" w:rsidR="00C93479" w:rsidRPr="00CF0ED5" w:rsidRDefault="00C93479" w:rsidP="00C93479">
      <w:pPr>
        <w:pStyle w:val="Textparagrafu"/>
        <w:numPr>
          <w:ilvl w:val="0"/>
          <w:numId w:val="27"/>
        </w:numPr>
        <w:tabs>
          <w:tab w:val="left" w:pos="392"/>
          <w:tab w:val="left" w:pos="840"/>
        </w:tabs>
        <w:spacing w:before="0"/>
        <w:ind w:left="425" w:hanging="425"/>
        <w:rPr>
          <w:b/>
        </w:rPr>
      </w:pPr>
      <w:r w:rsidRPr="00CF0ED5">
        <w:rPr>
          <w:b/>
        </w:rPr>
        <w:lastRenderedPageBreak/>
        <w:t xml:space="preserve">b) </w:t>
      </w:r>
      <w:r w:rsidRPr="00CF0ED5">
        <w:rPr>
          <w:b/>
        </w:rPr>
        <w:tab/>
        <w:t>kontrolu dodržování povinností stanovených právními předpisy upravujícími účetnictví a vede řízení o přestupku podle těchto právních předpisů,</w:t>
      </w:r>
    </w:p>
    <w:p w14:paraId="78A0C252" w14:textId="77777777" w:rsidR="00C93479" w:rsidRDefault="00C93479" w:rsidP="00C93479">
      <w:pPr>
        <w:pStyle w:val="Textparagrafu"/>
        <w:numPr>
          <w:ilvl w:val="0"/>
          <w:numId w:val="27"/>
        </w:numPr>
        <w:tabs>
          <w:tab w:val="left" w:pos="392"/>
          <w:tab w:val="left" w:pos="840"/>
        </w:tabs>
        <w:spacing w:before="0"/>
        <w:ind w:left="425" w:hanging="425"/>
      </w:pPr>
      <w:r>
        <w:t>c)</w:t>
      </w:r>
      <w:r>
        <w:tab/>
      </w:r>
      <w:r w:rsidRPr="00CA23CD">
        <w:t>kontrolu výkonu správy poplatků, které jsou příjmem státního rozpočtu, jsou-li k jejich správě věcně příslušné jiné orgány.</w:t>
      </w:r>
    </w:p>
    <w:p w14:paraId="4A4BCD6F" w14:textId="77777777" w:rsidR="00C93479" w:rsidRDefault="00C93479" w:rsidP="00C93479">
      <w:pPr>
        <w:pStyle w:val="Textodstavce"/>
        <w:spacing w:before="240"/>
        <w:ind w:firstLine="425"/>
      </w:pPr>
      <w:r>
        <w:t xml:space="preserve">(3) </w:t>
      </w:r>
      <w:r w:rsidRPr="00CA23CD">
        <w:t>Finanční úřad z pověření ministerstva</w:t>
      </w:r>
    </w:p>
    <w:p w14:paraId="5914E8B9" w14:textId="77777777" w:rsidR="00C93479" w:rsidRDefault="00C93479" w:rsidP="00C93479">
      <w:pPr>
        <w:pStyle w:val="Textparagrafu"/>
        <w:numPr>
          <w:ilvl w:val="0"/>
          <w:numId w:val="27"/>
        </w:numPr>
        <w:tabs>
          <w:tab w:val="left" w:pos="392"/>
          <w:tab w:val="left" w:pos="840"/>
        </w:tabs>
        <w:spacing w:before="0"/>
        <w:ind w:left="425" w:hanging="425"/>
      </w:pPr>
      <w:r>
        <w:t>a)</w:t>
      </w:r>
      <w:r>
        <w:tab/>
      </w:r>
      <w:r w:rsidRPr="00CA23CD">
        <w:t>přezkoumává hospodaření krajů a hlavního města Prahy a vykonává dozor nad přezkoumáváním hospodaření obcí, dobrovolných svazků obcí a městských částí hlavního města Prahy,</w:t>
      </w:r>
    </w:p>
    <w:p w14:paraId="1230F367" w14:textId="77777777" w:rsidR="00C93479" w:rsidRDefault="00C93479" w:rsidP="00C93479">
      <w:pPr>
        <w:pStyle w:val="Textparagrafu"/>
        <w:numPr>
          <w:ilvl w:val="0"/>
          <w:numId w:val="27"/>
        </w:numPr>
        <w:tabs>
          <w:tab w:val="left" w:pos="392"/>
          <w:tab w:val="left" w:pos="840"/>
        </w:tabs>
        <w:spacing w:before="0"/>
        <w:ind w:left="425" w:hanging="425"/>
      </w:pPr>
      <w:r>
        <w:t>b)</w:t>
      </w:r>
      <w:r>
        <w:tab/>
      </w:r>
      <w:r w:rsidRPr="00CA23CD">
        <w:t>vykonává působnost dílčího kontaktního orgánu nebo kontaktního útvaru při vymáhání některých finančních pohledávek,</w:t>
      </w:r>
    </w:p>
    <w:p w14:paraId="7AF662FF" w14:textId="77777777" w:rsidR="00C93479" w:rsidRDefault="00C93479" w:rsidP="00C93479">
      <w:pPr>
        <w:pStyle w:val="Textparagrafu"/>
        <w:numPr>
          <w:ilvl w:val="0"/>
          <w:numId w:val="27"/>
        </w:numPr>
        <w:tabs>
          <w:tab w:val="left" w:pos="392"/>
          <w:tab w:val="left" w:pos="840"/>
        </w:tabs>
        <w:spacing w:before="0"/>
        <w:ind w:left="425" w:hanging="425"/>
      </w:pPr>
      <w:r>
        <w:t>c)</w:t>
      </w:r>
      <w:r>
        <w:tab/>
      </w:r>
      <w:r w:rsidRPr="00CA23CD">
        <w:t>vykonává působnost kontaktního orgánu při provádění mezinárodní spolupráce při správě daní.</w:t>
      </w:r>
    </w:p>
    <w:p w14:paraId="5940D3C3" w14:textId="77777777" w:rsidR="00C93479" w:rsidRDefault="00C93479" w:rsidP="00C93479">
      <w:pPr>
        <w:pStyle w:val="Textodstavce"/>
        <w:spacing w:before="240"/>
        <w:ind w:firstLine="425"/>
      </w:pPr>
      <w:r>
        <w:t xml:space="preserve">(4) </w:t>
      </w:r>
      <w:r w:rsidRPr="00CA23CD">
        <w:t>Vybranou působností se pro účely tohoto zákona rozumí provádění</w:t>
      </w:r>
    </w:p>
    <w:p w14:paraId="2708B4E3" w14:textId="77777777" w:rsidR="00C93479" w:rsidRDefault="00C93479" w:rsidP="00C93479">
      <w:pPr>
        <w:pStyle w:val="Textparagrafu"/>
        <w:numPr>
          <w:ilvl w:val="0"/>
          <w:numId w:val="27"/>
        </w:numPr>
        <w:tabs>
          <w:tab w:val="left" w:pos="392"/>
          <w:tab w:val="left" w:pos="840"/>
        </w:tabs>
        <w:spacing w:before="0"/>
        <w:ind w:left="425" w:hanging="425"/>
      </w:pPr>
      <w:r>
        <w:t>a)</w:t>
      </w:r>
      <w:r>
        <w:tab/>
      </w:r>
      <w:r w:rsidRPr="00CA23CD">
        <w:t>vyhledávací činnosti při správě daní, nebo</w:t>
      </w:r>
    </w:p>
    <w:p w14:paraId="1410222A" w14:textId="77777777" w:rsidR="00C93479" w:rsidRPr="00CA23CD" w:rsidRDefault="00C93479" w:rsidP="00C93479">
      <w:pPr>
        <w:pStyle w:val="Textparagrafu"/>
        <w:numPr>
          <w:ilvl w:val="0"/>
          <w:numId w:val="27"/>
        </w:numPr>
        <w:tabs>
          <w:tab w:val="left" w:pos="392"/>
          <w:tab w:val="left" w:pos="840"/>
        </w:tabs>
        <w:spacing w:before="0"/>
        <w:ind w:left="425" w:hanging="425"/>
      </w:pPr>
      <w:r>
        <w:t>b)</w:t>
      </w:r>
      <w:r>
        <w:tab/>
      </w:r>
      <w:r w:rsidRPr="00CA23CD">
        <w:t>postupu k odstranění pochybností, daňové kontroly nebo jiných kontrolních postupů při správě daní.</w:t>
      </w:r>
    </w:p>
    <w:p w14:paraId="49FB537D" w14:textId="77777777" w:rsidR="00C93479" w:rsidRDefault="00C93479" w:rsidP="00992796">
      <w:pPr>
        <w:pStyle w:val="Paragraf"/>
        <w:numPr>
          <w:ilvl w:val="0"/>
          <w:numId w:val="66"/>
        </w:numPr>
        <w:spacing w:after="120"/>
      </w:pPr>
      <w:r>
        <w:t>***</w:t>
      </w:r>
    </w:p>
    <w:p w14:paraId="49BEBF05" w14:textId="77777777" w:rsidR="00C93479" w:rsidRDefault="00C93479" w:rsidP="00C93479">
      <w:pPr>
        <w:pStyle w:val="Textodstavce"/>
        <w:spacing w:before="240"/>
        <w:jc w:val="center"/>
      </w:pPr>
      <w:r>
        <w:t>§ 12</w:t>
      </w:r>
    </w:p>
    <w:p w14:paraId="35B31023" w14:textId="77777777" w:rsidR="00C93479" w:rsidRDefault="00C93479" w:rsidP="00C93479">
      <w:pPr>
        <w:pStyle w:val="Nadpisparagrafu"/>
        <w:spacing w:after="120"/>
      </w:pPr>
      <w:r w:rsidRPr="00B008A7">
        <w:t>Zvláštní ustanovení o místní příslušnosti</w:t>
      </w:r>
    </w:p>
    <w:p w14:paraId="317EE914" w14:textId="77777777" w:rsidR="00C93479" w:rsidRDefault="00C93479" w:rsidP="006D6A87">
      <w:pPr>
        <w:pStyle w:val="Textodstavce"/>
        <w:ind w:firstLine="425"/>
      </w:pPr>
      <w:r>
        <w:t xml:space="preserve">(1) </w:t>
      </w:r>
      <w:r w:rsidRPr="00B008A7">
        <w:t>Nelze-li určit místní příslušnost finančního úřadu podle jiného právního předpisu, je místně příslušný Finanční úřad pro hlavní město Prahu.</w:t>
      </w:r>
    </w:p>
    <w:p w14:paraId="6CC0805A" w14:textId="77777777" w:rsidR="00C93479" w:rsidRDefault="00C93479" w:rsidP="006D6A87">
      <w:pPr>
        <w:pStyle w:val="Textodstavce"/>
        <w:ind w:firstLine="425"/>
      </w:pPr>
      <w:r>
        <w:t xml:space="preserve">(2) </w:t>
      </w:r>
      <w:r w:rsidRPr="00B008A7">
        <w:t>Kontrolu podle § 10 odst. 2 písm. c) provádí finanční úřad v obvodu své územní působnosti, i když jinak není pro kontrolovaný subjekt místně příslušný.</w:t>
      </w:r>
    </w:p>
    <w:p w14:paraId="3008DF9A" w14:textId="77777777" w:rsidR="00C93479" w:rsidRDefault="00C93479" w:rsidP="006D6A87">
      <w:pPr>
        <w:pStyle w:val="Textodstavce"/>
        <w:ind w:firstLine="425"/>
      </w:pPr>
      <w:r>
        <w:t xml:space="preserve">(3) </w:t>
      </w:r>
      <w:r w:rsidRPr="00B008A7">
        <w:t>Kontrolní postup při správě daní provede finanční úřad, který jej zahájil nejdříve.</w:t>
      </w:r>
    </w:p>
    <w:p w14:paraId="5F76E7CB" w14:textId="77777777" w:rsidR="00C93479" w:rsidRPr="00CF0ED5" w:rsidRDefault="00C93479" w:rsidP="006D6A87">
      <w:pPr>
        <w:pStyle w:val="Textodstavce"/>
        <w:ind w:firstLine="425"/>
        <w:rPr>
          <w:b/>
        </w:rPr>
      </w:pPr>
      <w:r w:rsidRPr="00CF0ED5">
        <w:rPr>
          <w:b/>
        </w:rPr>
        <w:t>(4) Kontrolu dodržování povinností stanovených právními předpisy upravujícími účetnictví provádí</w:t>
      </w:r>
    </w:p>
    <w:p w14:paraId="6FA73035" w14:textId="77777777" w:rsidR="00C93479" w:rsidRPr="00CF0ED5" w:rsidRDefault="00C93479" w:rsidP="00C93479">
      <w:pPr>
        <w:pStyle w:val="Textparagrafu"/>
        <w:numPr>
          <w:ilvl w:val="0"/>
          <w:numId w:val="27"/>
        </w:numPr>
        <w:tabs>
          <w:tab w:val="left" w:pos="392"/>
          <w:tab w:val="left" w:pos="840"/>
        </w:tabs>
        <w:spacing w:before="0"/>
        <w:ind w:left="425" w:hanging="425"/>
        <w:rPr>
          <w:b/>
        </w:rPr>
      </w:pPr>
      <w:r w:rsidRPr="00CF0ED5">
        <w:rPr>
          <w:b/>
        </w:rPr>
        <w:t>a)</w:t>
      </w:r>
      <w:r w:rsidRPr="00CF0ED5">
        <w:rPr>
          <w:b/>
        </w:rPr>
        <w:tab/>
        <w:t>finanční úřad, který je příslušný ke správě daní z příjmů daňového subjektu, který je účetní jednotkou, nebo</w:t>
      </w:r>
    </w:p>
    <w:p w14:paraId="7BF15CCF" w14:textId="77777777" w:rsidR="00C93479" w:rsidRPr="00CF0ED5" w:rsidRDefault="00C93479" w:rsidP="00C93479">
      <w:pPr>
        <w:pStyle w:val="Textpsmene"/>
        <w:spacing w:before="0"/>
        <w:ind w:left="425" w:hanging="425"/>
        <w:rPr>
          <w:b/>
        </w:rPr>
      </w:pPr>
      <w:r w:rsidRPr="00CF0ED5">
        <w:rPr>
          <w:b/>
        </w:rPr>
        <w:t>b)</w:t>
      </w:r>
      <w:r w:rsidRPr="00CF0ED5">
        <w:rPr>
          <w:b/>
        </w:rPr>
        <w:tab/>
        <w:t>v případě zahraniční entity, která není účetní jednotkou, finanční úřad, v jehož obvodu územní působnosti se nachází pobočka této zahraniční entity.</w:t>
      </w:r>
    </w:p>
    <w:p w14:paraId="33FB6F9B" w14:textId="14851BE9" w:rsidR="00DA3707" w:rsidRPr="002A0535" w:rsidRDefault="00DA3707" w:rsidP="00DA3707">
      <w:pPr>
        <w:pStyle w:val="Textparagrafu"/>
        <w:numPr>
          <w:ilvl w:val="0"/>
          <w:numId w:val="27"/>
        </w:numPr>
        <w:tabs>
          <w:tab w:val="left" w:pos="392"/>
          <w:tab w:val="left" w:pos="840"/>
        </w:tabs>
        <w:spacing w:after="120"/>
        <w:jc w:val="center"/>
        <w:rPr>
          <w:highlight w:val="red"/>
        </w:rPr>
      </w:pPr>
      <w:r w:rsidRPr="002A0535">
        <w:rPr>
          <w:highlight w:val="red"/>
        </w:rPr>
        <w:t xml:space="preserve"> </w:t>
      </w:r>
    </w:p>
    <w:p w14:paraId="5AD41882" w14:textId="68AE22E9" w:rsidR="00DA3707" w:rsidRDefault="00DA3707" w:rsidP="00881B66">
      <w:pPr>
        <w:tabs>
          <w:tab w:val="left" w:pos="851"/>
        </w:tabs>
        <w:spacing w:before="120" w:after="120"/>
        <w:ind w:firstLine="0"/>
        <w:outlineLvl w:val="0"/>
      </w:pPr>
    </w:p>
    <w:p w14:paraId="64530A04" w14:textId="77777777" w:rsidR="00DA3707" w:rsidRDefault="00DA3707" w:rsidP="00881B66">
      <w:pPr>
        <w:tabs>
          <w:tab w:val="left" w:pos="851"/>
        </w:tabs>
        <w:spacing w:before="120" w:after="120"/>
        <w:ind w:firstLine="0"/>
        <w:outlineLvl w:val="0"/>
        <w:sectPr w:rsidR="00DA3707" w:rsidSect="00554E2B">
          <w:footnotePr>
            <w:numStart w:val="3"/>
          </w:footnotePr>
          <w:endnotePr>
            <w:numFmt w:val="decimal"/>
          </w:endnotePr>
          <w:pgSz w:w="11906" w:h="16838"/>
          <w:pgMar w:top="1418" w:right="1418" w:bottom="1418" w:left="1418" w:header="709" w:footer="709" w:gutter="0"/>
          <w:cols w:space="708"/>
          <w:docGrid w:linePitch="360"/>
        </w:sectPr>
      </w:pPr>
    </w:p>
    <w:p w14:paraId="60B41C2F" w14:textId="7F7A0D12" w:rsidR="00DA3707" w:rsidRPr="00C93479" w:rsidRDefault="00DA3707" w:rsidP="006D6A87">
      <w:pPr>
        <w:tabs>
          <w:tab w:val="left" w:pos="851"/>
        </w:tabs>
        <w:spacing w:before="120" w:after="120"/>
        <w:ind w:firstLine="0"/>
        <w:jc w:val="center"/>
        <w:outlineLvl w:val="0"/>
        <w:rPr>
          <w:szCs w:val="24"/>
        </w:rPr>
      </w:pPr>
      <w:r w:rsidRPr="00C93479">
        <w:rPr>
          <w:b/>
          <w:szCs w:val="24"/>
        </w:rPr>
        <w:lastRenderedPageBreak/>
        <w:t xml:space="preserve">K části sté </w:t>
      </w:r>
      <w:r w:rsidR="00C93479" w:rsidRPr="00C93479">
        <w:rPr>
          <w:b/>
          <w:szCs w:val="24"/>
        </w:rPr>
        <w:t>desáté</w:t>
      </w:r>
      <w:r w:rsidRPr="00C93479">
        <w:rPr>
          <w:b/>
          <w:szCs w:val="24"/>
        </w:rPr>
        <w:t xml:space="preserve"> návrhu zákona – </w:t>
      </w:r>
      <w:r w:rsidRPr="00C93479">
        <w:rPr>
          <w:szCs w:val="24"/>
        </w:rPr>
        <w:t>změna zákona</w:t>
      </w:r>
      <w:r w:rsidRPr="00C93479">
        <w:t xml:space="preserve"> </w:t>
      </w:r>
      <w:r w:rsidRPr="00C93479">
        <w:rPr>
          <w:szCs w:val="24"/>
        </w:rPr>
        <w:t>o Celní správě České republiky</w:t>
      </w:r>
    </w:p>
    <w:p w14:paraId="78AA2404" w14:textId="64AEFA85" w:rsidR="00DA3707" w:rsidRPr="00C93479" w:rsidRDefault="00DA3707" w:rsidP="00DA3707">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C93479">
        <w:rPr>
          <w:b/>
          <w:szCs w:val="24"/>
        </w:rPr>
        <w:t>Platné znění</w:t>
      </w:r>
      <w:r w:rsidRPr="00C93479">
        <w:rPr>
          <w:szCs w:val="24"/>
        </w:rPr>
        <w:t xml:space="preserve"> zákona č. 17/2012 Sb., o Celní správě České republiky</w:t>
      </w:r>
    </w:p>
    <w:p w14:paraId="671A11DE" w14:textId="77777777" w:rsidR="006D6A87" w:rsidRPr="00607B4B" w:rsidRDefault="006D6A87" w:rsidP="006D6A87">
      <w:pPr>
        <w:pStyle w:val="Odstavecseseznamem"/>
        <w:numPr>
          <w:ilvl w:val="0"/>
          <w:numId w:val="27"/>
        </w:numPr>
        <w:pBdr>
          <w:top w:val="single" w:sz="12" w:space="6" w:color="auto"/>
          <w:left w:val="single" w:sz="12" w:space="0" w:color="auto"/>
          <w:bottom w:val="single" w:sz="12" w:space="6" w:color="auto"/>
          <w:right w:val="single" w:sz="12" w:space="0" w:color="auto"/>
        </w:pBdr>
        <w:spacing w:after="120"/>
        <w:jc w:val="center"/>
        <w:rPr>
          <w:b/>
          <w:szCs w:val="24"/>
          <w:lang w:eastAsia="en-US"/>
        </w:rPr>
      </w:pPr>
      <w:r w:rsidRPr="00607B4B">
        <w:rPr>
          <w:b/>
          <w:szCs w:val="24"/>
          <w:lang w:eastAsia="en-US"/>
        </w:rPr>
        <w:t>s vyznačením navrhovaných změn a doplnění k 1. lednu 2025</w:t>
      </w:r>
    </w:p>
    <w:p w14:paraId="2088AAA1" w14:textId="77777777" w:rsidR="00C93479" w:rsidRDefault="00C93479" w:rsidP="00C93479">
      <w:pPr>
        <w:pStyle w:val="Textodstavce"/>
        <w:spacing w:before="240"/>
        <w:jc w:val="center"/>
      </w:pPr>
      <w:r>
        <w:t>§ 1</w:t>
      </w:r>
    </w:p>
    <w:p w14:paraId="3606A699" w14:textId="036BA6D9" w:rsidR="00C93479" w:rsidRDefault="00C93479" w:rsidP="006D6A87">
      <w:pPr>
        <w:pStyle w:val="Textodstavce"/>
        <w:tabs>
          <w:tab w:val="clear" w:pos="851"/>
        </w:tabs>
        <w:ind w:firstLine="425"/>
      </w:pPr>
      <w:r>
        <w:t xml:space="preserve">(1) </w:t>
      </w:r>
      <w:r w:rsidRPr="00131FF2">
        <w:t>Celní správa České republiky (dále jen „celní správa“) je soustavou správních orgánů a ozbrojeným bezpečnostním sborem.</w:t>
      </w:r>
    </w:p>
    <w:p w14:paraId="383219B1" w14:textId="03AE7931" w:rsidR="00C93479" w:rsidRDefault="00C93479" w:rsidP="006D6A87">
      <w:pPr>
        <w:pStyle w:val="Textodstavce"/>
        <w:tabs>
          <w:tab w:val="clear" w:pos="851"/>
        </w:tabs>
        <w:ind w:firstLine="425"/>
      </w:pPr>
      <w:r>
        <w:t xml:space="preserve">(2) </w:t>
      </w:r>
      <w:r w:rsidRPr="00131FF2">
        <w:t>Jako orgány celní správy se zřizují Generální ředitelství cel a celní úřady, které jsou správními úřady a organizačními složkami státu.</w:t>
      </w:r>
    </w:p>
    <w:p w14:paraId="75107A88" w14:textId="00731CBC" w:rsidR="00C93479" w:rsidRDefault="00C93479" w:rsidP="006D6A87">
      <w:pPr>
        <w:pStyle w:val="Textodstavce"/>
        <w:tabs>
          <w:tab w:val="clear" w:pos="851"/>
        </w:tabs>
        <w:ind w:firstLine="425"/>
      </w:pPr>
      <w:r>
        <w:t xml:space="preserve">(3) </w:t>
      </w:r>
      <w:r w:rsidRPr="00131FF2">
        <w:t>Generální ředitelství cel je podřízeno Ministerstvu financí (dále jen „ministerstvo“). Celní úřady jsou podřízeny Generálnímu ředitelství cel.</w:t>
      </w:r>
    </w:p>
    <w:p w14:paraId="1439AE71" w14:textId="561A4D5F" w:rsidR="00C93479" w:rsidRDefault="00C93479" w:rsidP="006D6A87">
      <w:pPr>
        <w:pStyle w:val="Textodstavce"/>
        <w:tabs>
          <w:tab w:val="clear" w:pos="851"/>
        </w:tabs>
        <w:ind w:firstLine="425"/>
      </w:pPr>
      <w:r w:rsidRPr="00C93479">
        <w:t>(4)</w:t>
      </w:r>
      <w:r>
        <w:rPr>
          <w:strike/>
        </w:rPr>
        <w:t xml:space="preserve"> </w:t>
      </w:r>
      <w:r w:rsidRPr="00256D48">
        <w:rPr>
          <w:strike/>
        </w:rPr>
        <w:t>Generální ředitelství cel je účetní jednotkou.</w:t>
      </w:r>
      <w:r w:rsidRPr="00256D48">
        <w:t xml:space="preserve"> Celní </w:t>
      </w:r>
      <w:r w:rsidRPr="00131FF2">
        <w:t>úřady nejsou účetními jednotkami a pro účely hospodaření s majetkem státu, účetnictví a pracovněprávních vztahů mají postavení vnitřních organizačních jednotek Generálního ředitelství cel.</w:t>
      </w:r>
    </w:p>
    <w:p w14:paraId="03E5E26C" w14:textId="4036F1A2" w:rsidR="00C93479" w:rsidRDefault="00C93479" w:rsidP="006D6A87">
      <w:pPr>
        <w:pStyle w:val="Textodstavce"/>
        <w:tabs>
          <w:tab w:val="clear" w:pos="851"/>
        </w:tabs>
        <w:ind w:firstLine="425"/>
      </w:pPr>
      <w:r>
        <w:t xml:space="preserve">(5) </w:t>
      </w:r>
      <w:r w:rsidRPr="00131FF2">
        <w:t>Příjmy a výdaje Generálního ředitelství cel jsou součástí rozpočtové kapitoly ministerstva.</w:t>
      </w:r>
    </w:p>
    <w:p w14:paraId="1AB734B9" w14:textId="459FDA5B" w:rsidR="00DA3707" w:rsidRPr="000B7E7B" w:rsidRDefault="00DA3707" w:rsidP="00DA3707">
      <w:pPr>
        <w:pStyle w:val="Textparagrafu"/>
        <w:numPr>
          <w:ilvl w:val="0"/>
          <w:numId w:val="27"/>
        </w:numPr>
        <w:tabs>
          <w:tab w:val="left" w:pos="392"/>
          <w:tab w:val="left" w:pos="840"/>
        </w:tabs>
        <w:spacing w:after="120"/>
        <w:jc w:val="center"/>
        <w:rPr>
          <w:highlight w:val="red"/>
        </w:rPr>
      </w:pPr>
      <w:r w:rsidRPr="000B7E7B">
        <w:rPr>
          <w:highlight w:val="red"/>
        </w:rPr>
        <w:t xml:space="preserve"> </w:t>
      </w:r>
    </w:p>
    <w:p w14:paraId="016E6AFD" w14:textId="77777777" w:rsidR="00DA3707" w:rsidRDefault="00DA3707" w:rsidP="00DA3707">
      <w:pPr>
        <w:tabs>
          <w:tab w:val="left" w:pos="851"/>
        </w:tabs>
        <w:spacing w:before="120" w:after="120"/>
        <w:ind w:firstLine="0"/>
        <w:outlineLvl w:val="0"/>
      </w:pPr>
    </w:p>
    <w:p w14:paraId="5CC53CA9" w14:textId="77777777" w:rsidR="000B7E7B" w:rsidRDefault="000B7E7B" w:rsidP="00881B66">
      <w:pPr>
        <w:tabs>
          <w:tab w:val="left" w:pos="851"/>
        </w:tabs>
        <w:spacing w:before="120" w:after="120"/>
        <w:ind w:firstLine="0"/>
        <w:outlineLvl w:val="0"/>
        <w:sectPr w:rsidR="000B7E7B" w:rsidSect="00554E2B">
          <w:footnotePr>
            <w:numStart w:val="3"/>
          </w:footnotePr>
          <w:endnotePr>
            <w:numFmt w:val="decimal"/>
          </w:endnotePr>
          <w:pgSz w:w="11906" w:h="16838"/>
          <w:pgMar w:top="1418" w:right="1418" w:bottom="1418" w:left="1418" w:header="709" w:footer="709" w:gutter="0"/>
          <w:cols w:space="708"/>
          <w:docGrid w:linePitch="360"/>
        </w:sectPr>
      </w:pPr>
    </w:p>
    <w:p w14:paraId="15B50B25" w14:textId="1FC9346E" w:rsidR="000B7E7B" w:rsidRPr="003630ED" w:rsidRDefault="000B7E7B" w:rsidP="006D6A87">
      <w:pPr>
        <w:tabs>
          <w:tab w:val="left" w:pos="851"/>
        </w:tabs>
        <w:spacing w:before="120" w:after="120"/>
        <w:ind w:firstLine="0"/>
        <w:jc w:val="center"/>
        <w:outlineLvl w:val="0"/>
        <w:rPr>
          <w:szCs w:val="24"/>
        </w:rPr>
      </w:pPr>
      <w:r w:rsidRPr="003630ED">
        <w:rPr>
          <w:b/>
          <w:szCs w:val="24"/>
        </w:rPr>
        <w:lastRenderedPageBreak/>
        <w:t xml:space="preserve">K části sté </w:t>
      </w:r>
      <w:r w:rsidR="00635DDD">
        <w:rPr>
          <w:b/>
          <w:szCs w:val="24"/>
        </w:rPr>
        <w:t>jedenácté</w:t>
      </w:r>
      <w:r w:rsidRPr="003630ED">
        <w:rPr>
          <w:b/>
          <w:szCs w:val="24"/>
        </w:rPr>
        <w:t xml:space="preserve"> návrhu zákona – </w:t>
      </w:r>
      <w:r w:rsidRPr="003630ED">
        <w:rPr>
          <w:szCs w:val="24"/>
        </w:rPr>
        <w:t xml:space="preserve">změna </w:t>
      </w:r>
      <w:r w:rsidR="007C4A57" w:rsidRPr="003630ED">
        <w:rPr>
          <w:szCs w:val="24"/>
        </w:rPr>
        <w:t>občanského zákoníku</w:t>
      </w:r>
    </w:p>
    <w:p w14:paraId="5D79458F" w14:textId="76B5C664" w:rsidR="000B7E7B" w:rsidRPr="003630ED" w:rsidRDefault="000B7E7B" w:rsidP="007C4A57">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3630ED">
        <w:rPr>
          <w:b/>
          <w:szCs w:val="24"/>
        </w:rPr>
        <w:t>Platné znění</w:t>
      </w:r>
      <w:r w:rsidRPr="003630ED">
        <w:rPr>
          <w:szCs w:val="24"/>
        </w:rPr>
        <w:t xml:space="preserve"> zákona č. </w:t>
      </w:r>
      <w:r w:rsidR="007C4A57" w:rsidRPr="003630ED">
        <w:rPr>
          <w:szCs w:val="24"/>
        </w:rPr>
        <w:t>89</w:t>
      </w:r>
      <w:r w:rsidRPr="003630ED">
        <w:rPr>
          <w:szCs w:val="24"/>
        </w:rPr>
        <w:t xml:space="preserve">/2012 Sb., </w:t>
      </w:r>
      <w:r w:rsidR="007C4A57" w:rsidRPr="003630ED">
        <w:rPr>
          <w:szCs w:val="24"/>
        </w:rPr>
        <w:t>občanský zákoník</w:t>
      </w:r>
    </w:p>
    <w:p w14:paraId="6E2C7080" w14:textId="77777777" w:rsidR="006D6A87" w:rsidRPr="00607B4B" w:rsidRDefault="006D6A87" w:rsidP="006D6A87">
      <w:pPr>
        <w:pStyle w:val="Odstavecseseznamem"/>
        <w:numPr>
          <w:ilvl w:val="0"/>
          <w:numId w:val="27"/>
        </w:numPr>
        <w:pBdr>
          <w:top w:val="single" w:sz="12" w:space="6" w:color="auto"/>
          <w:left w:val="single" w:sz="12" w:space="0" w:color="auto"/>
          <w:bottom w:val="single" w:sz="12" w:space="6" w:color="auto"/>
          <w:right w:val="single" w:sz="12" w:space="0" w:color="auto"/>
        </w:pBdr>
        <w:spacing w:after="120"/>
        <w:jc w:val="center"/>
        <w:rPr>
          <w:b/>
          <w:szCs w:val="24"/>
          <w:lang w:eastAsia="en-US"/>
        </w:rPr>
      </w:pPr>
      <w:r w:rsidRPr="00607B4B">
        <w:rPr>
          <w:b/>
          <w:szCs w:val="24"/>
          <w:lang w:eastAsia="en-US"/>
        </w:rPr>
        <w:t>s vyznačením navrhovaných změn a doplnění k 1. lednu 2025</w:t>
      </w:r>
    </w:p>
    <w:p w14:paraId="30C82686" w14:textId="77777777" w:rsidR="00F11E27" w:rsidRPr="00F11E27" w:rsidRDefault="00F11E27" w:rsidP="00992796">
      <w:pPr>
        <w:pStyle w:val="Paragraf"/>
        <w:numPr>
          <w:ilvl w:val="0"/>
          <w:numId w:val="39"/>
        </w:numPr>
        <w:spacing w:after="120"/>
        <w:outlineLvl w:val="9"/>
        <w:rPr>
          <w:szCs w:val="24"/>
        </w:rPr>
      </w:pPr>
      <w:r w:rsidRPr="00F11E27">
        <w:rPr>
          <w:szCs w:val="24"/>
        </w:rPr>
        <w:t>***</w:t>
      </w:r>
    </w:p>
    <w:p w14:paraId="097AB64E" w14:textId="77777777" w:rsidR="00F11E27" w:rsidRPr="00F11E27" w:rsidRDefault="00F11E27" w:rsidP="003630ED">
      <w:pPr>
        <w:pStyle w:val="Paragraf"/>
        <w:spacing w:after="120"/>
        <w:outlineLvl w:val="9"/>
        <w:rPr>
          <w:szCs w:val="24"/>
        </w:rPr>
      </w:pPr>
      <w:r w:rsidRPr="00F11E27">
        <w:rPr>
          <w:szCs w:val="24"/>
        </w:rPr>
        <w:t>§ 119</w:t>
      </w:r>
    </w:p>
    <w:p w14:paraId="43B076B9" w14:textId="77777777" w:rsidR="00F11E27" w:rsidRPr="00160E90" w:rsidRDefault="00F11E27" w:rsidP="00F11E27">
      <w:pPr>
        <w:pStyle w:val="Textparagrafu"/>
        <w:spacing w:after="120"/>
        <w:outlineLvl w:val="9"/>
        <w:rPr>
          <w:szCs w:val="24"/>
        </w:rPr>
      </w:pPr>
      <w:r w:rsidRPr="00160E90">
        <w:rPr>
          <w:szCs w:val="24"/>
        </w:rPr>
        <w:t xml:space="preserve">Právnické osoby vedou spolehlivé záznamy o svých majetkových poměrech, i když nejsou </w:t>
      </w:r>
      <w:r w:rsidRPr="00160E90">
        <w:rPr>
          <w:strike/>
          <w:szCs w:val="24"/>
        </w:rPr>
        <w:t>povinny vést účetnictví podle jiného právního předpisu</w:t>
      </w:r>
      <w:r w:rsidRPr="00160E90">
        <w:rPr>
          <w:b/>
          <w:szCs w:val="24"/>
        </w:rPr>
        <w:t xml:space="preserve"> účetními jednotkami</w:t>
      </w:r>
      <w:r w:rsidRPr="00160E90">
        <w:rPr>
          <w:szCs w:val="24"/>
        </w:rPr>
        <w:t>.</w:t>
      </w:r>
    </w:p>
    <w:p w14:paraId="74BBD15E" w14:textId="77777777" w:rsidR="00F11E27" w:rsidRPr="00F11E27" w:rsidRDefault="00F11E27" w:rsidP="00F11E27">
      <w:pPr>
        <w:pStyle w:val="Paragraf"/>
        <w:spacing w:after="120"/>
        <w:outlineLvl w:val="9"/>
        <w:rPr>
          <w:szCs w:val="24"/>
        </w:rPr>
      </w:pPr>
      <w:r w:rsidRPr="00F11E27">
        <w:rPr>
          <w:szCs w:val="24"/>
        </w:rPr>
        <w:t>***</w:t>
      </w:r>
    </w:p>
    <w:p w14:paraId="645BE6A7" w14:textId="39A3341D" w:rsidR="00F11E27" w:rsidRPr="00F11E27" w:rsidRDefault="00F11E27" w:rsidP="00F11E27">
      <w:pPr>
        <w:pStyle w:val="Paragraf"/>
        <w:spacing w:after="120"/>
        <w:outlineLvl w:val="9"/>
        <w:rPr>
          <w:szCs w:val="24"/>
        </w:rPr>
      </w:pPr>
      <w:r w:rsidRPr="00F11E27">
        <w:rPr>
          <w:szCs w:val="24"/>
        </w:rPr>
        <w:t>§ 176</w:t>
      </w:r>
    </w:p>
    <w:p w14:paraId="34AC76E6" w14:textId="77777777" w:rsidR="00F11E27" w:rsidRPr="00F11E27" w:rsidRDefault="00F11E27" w:rsidP="00F11E27">
      <w:pPr>
        <w:pStyle w:val="PZTextodstavce"/>
        <w:spacing w:before="240"/>
        <w:outlineLvl w:val="9"/>
        <w:rPr>
          <w:szCs w:val="24"/>
        </w:rPr>
      </w:pPr>
      <w:r w:rsidRPr="00F11E27">
        <w:rPr>
          <w:szCs w:val="24"/>
        </w:rPr>
        <w:t xml:space="preserve">(1) Při přeměně musí být stanoven rozhodný den, od něhož se jednání </w:t>
      </w:r>
      <w:r w:rsidRPr="00F11E27">
        <w:rPr>
          <w:strike/>
          <w:szCs w:val="24"/>
        </w:rPr>
        <w:t>zanikající</w:t>
      </w:r>
      <w:r w:rsidRPr="00F11E27">
        <w:rPr>
          <w:b/>
          <w:bCs/>
          <w:szCs w:val="24"/>
        </w:rPr>
        <w:t xml:space="preserve"> zúčastněné</w:t>
      </w:r>
      <w:r w:rsidRPr="00F11E27">
        <w:rPr>
          <w:szCs w:val="24"/>
        </w:rPr>
        <w:t xml:space="preserve"> právnické osoby považuje z účetního hlediska za jednání uskutečněné na účet nástupnické právnické osoby.</w:t>
      </w:r>
    </w:p>
    <w:p w14:paraId="575A346A" w14:textId="77777777" w:rsidR="00F11E27" w:rsidRPr="00F11E27" w:rsidRDefault="00F11E27" w:rsidP="00F11E27">
      <w:pPr>
        <w:pStyle w:val="PZTextodstavce"/>
        <w:spacing w:before="240"/>
        <w:outlineLvl w:val="9"/>
        <w:rPr>
          <w:strike/>
          <w:szCs w:val="24"/>
        </w:rPr>
      </w:pPr>
      <w:r w:rsidRPr="00F11E27">
        <w:rPr>
          <w:strike/>
          <w:szCs w:val="24"/>
        </w:rPr>
        <w:t>(2) Ke dni předcházejícímu rozhodný den sestaví zanikající právnická osoba nebo právnická osoba rozdělovaná odštěpením konečnou účetní závěrku. K rozhodnému dni sestaví nástupnická právnická osoba nebo právnická osoba rozdělovaná odštěpením zahajovací rozvahu.</w:t>
      </w:r>
    </w:p>
    <w:p w14:paraId="3A999EB3" w14:textId="1A83F8EE" w:rsidR="00F11E27" w:rsidRPr="00F11E27" w:rsidRDefault="00F11E27" w:rsidP="00F11E27">
      <w:pPr>
        <w:pStyle w:val="Paragraf"/>
        <w:spacing w:after="120"/>
        <w:outlineLvl w:val="9"/>
        <w:rPr>
          <w:szCs w:val="24"/>
        </w:rPr>
      </w:pPr>
      <w:r w:rsidRPr="00F11E27">
        <w:rPr>
          <w:szCs w:val="24"/>
        </w:rPr>
        <w:t>§ 177</w:t>
      </w:r>
    </w:p>
    <w:p w14:paraId="326A0ADA" w14:textId="77777777" w:rsidR="00F11E27" w:rsidRPr="00F11E27" w:rsidRDefault="00F11E27" w:rsidP="00C902C6">
      <w:pPr>
        <w:pStyle w:val="PZTextodstavce"/>
        <w:outlineLvl w:val="9"/>
        <w:rPr>
          <w:strike/>
          <w:szCs w:val="24"/>
        </w:rPr>
      </w:pPr>
      <w:r w:rsidRPr="00F11E27">
        <w:rPr>
          <w:szCs w:val="24"/>
        </w:rPr>
        <w:t xml:space="preserve">(1) Účinnost přeměny právnické osoby zapisované do veřejného rejstříku nastává dnem zápisu do veřejného rejstříku. </w:t>
      </w:r>
      <w:r w:rsidRPr="00F11E27">
        <w:rPr>
          <w:strike/>
          <w:szCs w:val="24"/>
        </w:rPr>
        <w:t>V takovém případě se rozhodný den stanoví tak, aby nepředcházel den podání návrhu na zápis přeměny do veřejného rejstříku o více než dvanáct měsíců.</w:t>
      </w:r>
      <w:r w:rsidRPr="00F11E27">
        <w:rPr>
          <w:szCs w:val="24"/>
        </w:rPr>
        <w:t xml:space="preserve"> </w:t>
      </w:r>
      <w:r w:rsidRPr="00F11E27">
        <w:rPr>
          <w:b/>
          <w:szCs w:val="24"/>
        </w:rPr>
        <w:t>Návrh na zápis přeměny do veřejného rejstříku musí být podán do 12 měsíců od rozhodného dne.</w:t>
      </w:r>
    </w:p>
    <w:p w14:paraId="292F0E29" w14:textId="77777777" w:rsidR="00F11E27" w:rsidRPr="00F11E27" w:rsidRDefault="00F11E27" w:rsidP="00C902C6">
      <w:pPr>
        <w:pStyle w:val="PZTextodstavce"/>
        <w:outlineLvl w:val="9"/>
        <w:rPr>
          <w:szCs w:val="24"/>
        </w:rPr>
      </w:pPr>
      <w:r w:rsidRPr="00F11E27">
        <w:rPr>
          <w:szCs w:val="24"/>
        </w:rPr>
        <w:t>(2) Jsou-li zúčastněné osoby zapsány do veřejného rejstříku v různých obvodech, podá se návrh na zápis přeměny v kterémkoli z nich a orgán veřejné moci zapíše do veřejného rejstříku všechny zapisované skutečnosti k témuž dni.</w:t>
      </w:r>
    </w:p>
    <w:p w14:paraId="0D3F00E2" w14:textId="77777777" w:rsidR="00F11E27" w:rsidRPr="00F11E27" w:rsidRDefault="00F11E27" w:rsidP="00F11E27">
      <w:pPr>
        <w:pStyle w:val="Paragraf"/>
        <w:spacing w:after="120"/>
        <w:outlineLvl w:val="9"/>
        <w:rPr>
          <w:szCs w:val="24"/>
        </w:rPr>
      </w:pPr>
      <w:r w:rsidRPr="00F11E27">
        <w:rPr>
          <w:szCs w:val="24"/>
        </w:rPr>
        <w:t>***</w:t>
      </w:r>
    </w:p>
    <w:p w14:paraId="4511843D" w14:textId="3FE00C73" w:rsidR="00F11E27" w:rsidRPr="00F11E27" w:rsidRDefault="00F11E27" w:rsidP="00F11E27">
      <w:pPr>
        <w:pStyle w:val="Paragraf"/>
        <w:spacing w:after="120"/>
        <w:outlineLvl w:val="9"/>
        <w:rPr>
          <w:szCs w:val="24"/>
        </w:rPr>
      </w:pPr>
      <w:r w:rsidRPr="00F11E27">
        <w:rPr>
          <w:szCs w:val="24"/>
        </w:rPr>
        <w:t>§ 183</w:t>
      </w:r>
    </w:p>
    <w:p w14:paraId="4C0B0375" w14:textId="77777777" w:rsidR="00F11E27" w:rsidRPr="00F11E27" w:rsidRDefault="00F11E27" w:rsidP="00C902C6">
      <w:pPr>
        <w:pStyle w:val="PZTextodstavce"/>
        <w:outlineLvl w:val="9"/>
        <w:rPr>
          <w:szCs w:val="24"/>
        </w:rPr>
      </w:pPr>
      <w:r w:rsidRPr="00F11E27">
        <w:rPr>
          <w:szCs w:val="24"/>
        </w:rPr>
        <w:t>(1)</w:t>
      </w:r>
      <w:r w:rsidRPr="00F11E27">
        <w:rPr>
          <w:szCs w:val="24"/>
        </w:rPr>
        <w:tab/>
        <w:t>Při změně právní formy se neruší ani nezaniká právnická osoba, jejíž právní forma se mění, pouze se mění její právní poměry, a jde-li o korporaci, také právní postavení jejích členů.</w:t>
      </w:r>
    </w:p>
    <w:p w14:paraId="5D907D8A" w14:textId="77777777" w:rsidR="00F11E27" w:rsidRPr="00F11E27" w:rsidRDefault="00F11E27" w:rsidP="00C902C6">
      <w:pPr>
        <w:pStyle w:val="PZTextodstavce"/>
        <w:outlineLvl w:val="9"/>
        <w:rPr>
          <w:strike/>
          <w:szCs w:val="24"/>
        </w:rPr>
      </w:pPr>
      <w:r w:rsidRPr="00F11E27">
        <w:rPr>
          <w:strike/>
          <w:szCs w:val="24"/>
        </w:rPr>
        <w:t>(2)</w:t>
      </w:r>
      <w:r w:rsidRPr="00F11E27">
        <w:rPr>
          <w:strike/>
          <w:szCs w:val="24"/>
        </w:rPr>
        <w:tab/>
        <w:t>Není-li den, k němuž byl vyhotoven návrh smlouvy nebo rozhodnutí o změně právní formy rozvahovým dnem podle jiného právního předpisu, sestaví právnická osoba k tomuto dni mezitímní účetní závěrku. Údaje, z nichž je sestavena účetní závěrka ke dni zpracování změny právní formy, nesmí předcházet den rozhodnutí právnické osoby o změně právní formy více než tři měsíce.</w:t>
      </w:r>
    </w:p>
    <w:p w14:paraId="0B2CEF67" w14:textId="77777777" w:rsidR="00F11E27" w:rsidRPr="00F11E27" w:rsidRDefault="00F11E27" w:rsidP="00C902C6">
      <w:pPr>
        <w:pStyle w:val="Textodstavce"/>
        <w:ind w:firstLine="425"/>
        <w:outlineLvl w:val="9"/>
        <w:rPr>
          <w:b/>
          <w:szCs w:val="24"/>
        </w:rPr>
      </w:pPr>
      <w:r w:rsidRPr="00F11E27">
        <w:rPr>
          <w:b/>
          <w:szCs w:val="24"/>
        </w:rPr>
        <w:t xml:space="preserve">(2) Nebyla-li ke dni, k němuž byl vyhotoven návrh smlouvy nebo rozhodnutí o změně právní formy, sestavena řádná individuální účetní závěrka, sestaví právnická osoba </w:t>
      </w:r>
      <w:r w:rsidRPr="00F11E27">
        <w:rPr>
          <w:b/>
          <w:szCs w:val="24"/>
        </w:rPr>
        <w:lastRenderedPageBreak/>
        <w:t>k tomuto dni mezitímní individuální účetní závěrku. Den, ke kterému byl vyhotoven návrh smlouvy nebo rozhodnutí, nesmí předcházet den rozhodnutí právnické osoby o změně právní formy o více než 6 měsíců.</w:t>
      </w:r>
    </w:p>
    <w:p w14:paraId="55E8F4D8" w14:textId="77777777" w:rsidR="00F11E27" w:rsidRPr="00F11E27" w:rsidRDefault="00F11E27" w:rsidP="00F11E27">
      <w:pPr>
        <w:pStyle w:val="Paragraf"/>
        <w:spacing w:after="120"/>
        <w:outlineLvl w:val="9"/>
        <w:rPr>
          <w:szCs w:val="24"/>
        </w:rPr>
      </w:pPr>
      <w:r w:rsidRPr="00F11E27">
        <w:rPr>
          <w:szCs w:val="24"/>
        </w:rPr>
        <w:t>***</w:t>
      </w:r>
    </w:p>
    <w:p w14:paraId="6505E5AC" w14:textId="77777777" w:rsidR="00F11E27" w:rsidRPr="00F11E27" w:rsidRDefault="00F11E27" w:rsidP="00F11E27">
      <w:pPr>
        <w:pStyle w:val="Textodstavce"/>
        <w:spacing w:before="240"/>
        <w:jc w:val="center"/>
        <w:outlineLvl w:val="9"/>
        <w:rPr>
          <w:szCs w:val="24"/>
        </w:rPr>
      </w:pPr>
      <w:r w:rsidRPr="00F11E27">
        <w:rPr>
          <w:szCs w:val="24"/>
        </w:rPr>
        <w:t>§ 199</w:t>
      </w:r>
    </w:p>
    <w:p w14:paraId="2E48E435" w14:textId="4E9FF303" w:rsidR="00F11E27" w:rsidRPr="00F11E27" w:rsidRDefault="00F11E27" w:rsidP="00C902C6">
      <w:pPr>
        <w:pStyle w:val="PZTextodstavce"/>
        <w:outlineLvl w:val="9"/>
        <w:rPr>
          <w:szCs w:val="24"/>
        </w:rPr>
      </w:pPr>
      <w:r w:rsidRPr="00F11E27">
        <w:rPr>
          <w:szCs w:val="24"/>
        </w:rPr>
        <w:t>(1</w:t>
      </w:r>
      <w:r>
        <w:rPr>
          <w:szCs w:val="24"/>
        </w:rPr>
        <w:t xml:space="preserve">) </w:t>
      </w:r>
      <w:r w:rsidRPr="00F11E27">
        <w:rPr>
          <w:szCs w:val="24"/>
        </w:rPr>
        <w:t xml:space="preserve">Likvidátor sestaví ke dni vstupu právnické osoby do likvidace </w:t>
      </w:r>
      <w:r w:rsidRPr="00F11E27">
        <w:rPr>
          <w:strike/>
          <w:szCs w:val="24"/>
        </w:rPr>
        <w:t>zahajovací rozvahu a</w:t>
      </w:r>
      <w:r w:rsidRPr="00F11E27">
        <w:rPr>
          <w:szCs w:val="24"/>
        </w:rPr>
        <w:t xml:space="preserve"> soupis jmění právnické osoby.</w:t>
      </w:r>
    </w:p>
    <w:p w14:paraId="3D678E3C" w14:textId="5AADB72B" w:rsidR="00F11E27" w:rsidRPr="00F11E27" w:rsidRDefault="00F11E27" w:rsidP="00C902C6">
      <w:pPr>
        <w:pStyle w:val="PZTextodstavce"/>
        <w:outlineLvl w:val="9"/>
        <w:rPr>
          <w:szCs w:val="24"/>
        </w:rPr>
      </w:pPr>
      <w:r w:rsidRPr="00F11E27">
        <w:rPr>
          <w:szCs w:val="24"/>
        </w:rPr>
        <w:t>(2</w:t>
      </w:r>
      <w:r>
        <w:rPr>
          <w:szCs w:val="24"/>
        </w:rPr>
        <w:t xml:space="preserve">) </w:t>
      </w:r>
      <w:r w:rsidRPr="00F11E27">
        <w:rPr>
          <w:szCs w:val="24"/>
        </w:rPr>
        <w:t>Likvidátor vydá proti úhradě nákladů soupis jmění každému věřiteli, který o to požádá.</w:t>
      </w:r>
    </w:p>
    <w:p w14:paraId="48C86A7D" w14:textId="77777777" w:rsidR="00F11E27" w:rsidRPr="00F11E27" w:rsidRDefault="00F11E27" w:rsidP="00992796">
      <w:pPr>
        <w:pStyle w:val="Paragraf"/>
        <w:numPr>
          <w:ilvl w:val="0"/>
          <w:numId w:val="39"/>
        </w:numPr>
        <w:spacing w:after="120"/>
        <w:outlineLvl w:val="9"/>
        <w:rPr>
          <w:szCs w:val="24"/>
        </w:rPr>
      </w:pPr>
      <w:r w:rsidRPr="00F11E27">
        <w:rPr>
          <w:szCs w:val="24"/>
        </w:rPr>
        <w:t>***</w:t>
      </w:r>
    </w:p>
    <w:p w14:paraId="4BAA1D51" w14:textId="77777777" w:rsidR="00F11E27" w:rsidRPr="00F11E27" w:rsidRDefault="00F11E27" w:rsidP="00F11E27">
      <w:pPr>
        <w:pStyle w:val="Textodstavce"/>
        <w:spacing w:before="240"/>
        <w:jc w:val="center"/>
        <w:outlineLvl w:val="9"/>
        <w:rPr>
          <w:szCs w:val="24"/>
        </w:rPr>
      </w:pPr>
      <w:r w:rsidRPr="00F11E27">
        <w:rPr>
          <w:szCs w:val="24"/>
        </w:rPr>
        <w:t>§ 205</w:t>
      </w:r>
    </w:p>
    <w:p w14:paraId="58339972" w14:textId="582723ED" w:rsidR="00F11E27" w:rsidRPr="00F11E27" w:rsidRDefault="00F11E27" w:rsidP="00C902C6">
      <w:pPr>
        <w:pStyle w:val="PZTextodstavce"/>
        <w:outlineLvl w:val="9"/>
        <w:rPr>
          <w:strike/>
          <w:szCs w:val="24"/>
        </w:rPr>
      </w:pPr>
      <w:r w:rsidRPr="00F11E27">
        <w:rPr>
          <w:szCs w:val="24"/>
        </w:rPr>
        <w:t>(1</w:t>
      </w:r>
      <w:r>
        <w:rPr>
          <w:szCs w:val="24"/>
        </w:rPr>
        <w:t xml:space="preserve">) </w:t>
      </w:r>
      <w:r w:rsidRPr="00F11E27">
        <w:rPr>
          <w:szCs w:val="24"/>
        </w:rPr>
        <w:t xml:space="preserve">Jakmile likvidátor dokončí vše, co předchází naložení s likvidačním zůstatkem nebo předání likvidační podstaty podle § 202 nebo oznámení podle § 204, vyhotoví konečnou zprávu o průběhu likvidace, v níž uvede alespoň, jak bylo s likvidační podstatou naloženo, a popřípadě též návrh na použití likvidačního zůstatku. </w:t>
      </w:r>
      <w:r w:rsidRPr="00F11E27">
        <w:rPr>
          <w:strike/>
          <w:szCs w:val="24"/>
        </w:rPr>
        <w:t>K témuž dni likvidátor sestaví účetní závěrku. Likvidátor k účetní závěrce připojuje podpisový záznam.</w:t>
      </w:r>
    </w:p>
    <w:p w14:paraId="4E928F44" w14:textId="781EAE79" w:rsidR="00F11E27" w:rsidRPr="00F11E27" w:rsidRDefault="00F11E27" w:rsidP="00C902C6">
      <w:pPr>
        <w:pStyle w:val="PZTextodstavce"/>
        <w:outlineLvl w:val="9"/>
        <w:rPr>
          <w:szCs w:val="24"/>
        </w:rPr>
      </w:pPr>
      <w:r w:rsidRPr="00F11E27">
        <w:rPr>
          <w:szCs w:val="24"/>
        </w:rPr>
        <w:t>(2</w:t>
      </w:r>
      <w:r>
        <w:rPr>
          <w:szCs w:val="24"/>
        </w:rPr>
        <w:t xml:space="preserve">) </w:t>
      </w:r>
      <w:r w:rsidRPr="00F11E27">
        <w:rPr>
          <w:szCs w:val="24"/>
        </w:rPr>
        <w:t xml:space="preserve">Konečnou zprávu, návrh na použití likvidačního zůstatku a </w:t>
      </w:r>
      <w:r w:rsidRPr="00F11E27">
        <w:rPr>
          <w:strike/>
          <w:szCs w:val="24"/>
        </w:rPr>
        <w:t>účetní závěrku</w:t>
      </w:r>
      <w:r w:rsidRPr="00F11E27">
        <w:rPr>
          <w:szCs w:val="24"/>
        </w:rPr>
        <w:t xml:space="preserve"> </w:t>
      </w:r>
      <w:r w:rsidRPr="00F11E27">
        <w:rPr>
          <w:b/>
          <w:szCs w:val="24"/>
        </w:rPr>
        <w:t>individuální</w:t>
      </w:r>
      <w:r w:rsidRPr="00F11E27">
        <w:rPr>
          <w:szCs w:val="24"/>
        </w:rPr>
        <w:t xml:space="preserve"> </w:t>
      </w:r>
      <w:r w:rsidRPr="00F11E27">
        <w:rPr>
          <w:b/>
          <w:szCs w:val="24"/>
        </w:rPr>
        <w:t>účetní závěrku sestavenou ke dni vyhotovení konečné zprávy o průběhu likvidace</w:t>
      </w:r>
      <w:r w:rsidRPr="00F11E27">
        <w:rPr>
          <w:szCs w:val="24"/>
        </w:rPr>
        <w:t xml:space="preserve"> předloží likvidátor ke schválení tomu, kdo jej povolal do funkce. Ten, kdo se stal likvidátorem podle § 189 odst. 1, předloží konečnou zprávu, návrh na použití likvidačního zůstatku a </w:t>
      </w:r>
      <w:r w:rsidRPr="00F11E27">
        <w:rPr>
          <w:strike/>
          <w:szCs w:val="24"/>
        </w:rPr>
        <w:t>účetní závěrku</w:t>
      </w:r>
      <w:r w:rsidRPr="00F11E27">
        <w:rPr>
          <w:szCs w:val="24"/>
        </w:rPr>
        <w:t xml:space="preserve"> </w:t>
      </w:r>
      <w:r w:rsidRPr="00F11E27">
        <w:rPr>
          <w:b/>
          <w:szCs w:val="24"/>
        </w:rPr>
        <w:t>individuální účetní závěrku podle věty první</w:t>
      </w:r>
      <w:r w:rsidRPr="00F11E27">
        <w:rPr>
          <w:szCs w:val="24"/>
        </w:rPr>
        <w:t xml:space="preserve"> tomu orgánu právnické osoby, který má působnost ho z funkce odvolat, popřípadě působnost ho kontrolovat. Není-li takový orgán, předloží likvidátor tyto doklady a návrhy ke schválení soudu.</w:t>
      </w:r>
    </w:p>
    <w:p w14:paraId="678F1046" w14:textId="77777777" w:rsidR="00F11E27" w:rsidRPr="00F11E27" w:rsidRDefault="00F11E27" w:rsidP="00992796">
      <w:pPr>
        <w:pStyle w:val="Paragraf"/>
        <w:numPr>
          <w:ilvl w:val="0"/>
          <w:numId w:val="40"/>
        </w:numPr>
        <w:spacing w:after="120"/>
        <w:outlineLvl w:val="9"/>
        <w:rPr>
          <w:szCs w:val="24"/>
        </w:rPr>
      </w:pPr>
      <w:r w:rsidRPr="00F11E27">
        <w:rPr>
          <w:szCs w:val="24"/>
        </w:rPr>
        <w:t>***</w:t>
      </w:r>
    </w:p>
    <w:p w14:paraId="76702ED5" w14:textId="7F7A6E5A" w:rsidR="00F11E27" w:rsidRPr="00F11E27" w:rsidRDefault="00F11E27" w:rsidP="00F11E27">
      <w:pPr>
        <w:pStyle w:val="Paragraf"/>
        <w:spacing w:after="120"/>
        <w:outlineLvl w:val="9"/>
        <w:rPr>
          <w:szCs w:val="24"/>
        </w:rPr>
      </w:pPr>
      <w:r w:rsidRPr="00F11E27">
        <w:rPr>
          <w:szCs w:val="24"/>
        </w:rPr>
        <w:t>§ 329</w:t>
      </w:r>
    </w:p>
    <w:p w14:paraId="48C1A6AD" w14:textId="14EEBE1E" w:rsidR="00F11E27" w:rsidRPr="00F11E27" w:rsidRDefault="00F11E27" w:rsidP="00F11E27">
      <w:pPr>
        <w:pStyle w:val="PZTextodstavce"/>
        <w:spacing w:before="240"/>
        <w:outlineLvl w:val="9"/>
        <w:rPr>
          <w:szCs w:val="24"/>
        </w:rPr>
      </w:pPr>
      <w:r w:rsidRPr="00F11E27">
        <w:rPr>
          <w:szCs w:val="24"/>
        </w:rPr>
        <w:t>(1</w:t>
      </w:r>
      <w:r>
        <w:rPr>
          <w:szCs w:val="24"/>
        </w:rPr>
        <w:t xml:space="preserve">) </w:t>
      </w:r>
      <w:r w:rsidRPr="00F11E27">
        <w:rPr>
          <w:szCs w:val="24"/>
        </w:rPr>
        <w:t>Je-li předmětem vkladu jiná věc než investiční cenný papír nebo nástroj peněžního trhu podle zákona upravujícího podnikání na kapitálovém trhu, může být hodnota určena také</w:t>
      </w:r>
    </w:p>
    <w:p w14:paraId="48241A15" w14:textId="77777777" w:rsidR="00F11E27" w:rsidRPr="00F11E27" w:rsidRDefault="00F11E27" w:rsidP="00635DDD">
      <w:pPr>
        <w:pStyle w:val="PZTextpsmene"/>
        <w:tabs>
          <w:tab w:val="left" w:pos="420"/>
          <w:tab w:val="left" w:pos="840"/>
        </w:tabs>
        <w:spacing w:before="0"/>
        <w:ind w:left="426" w:hanging="426"/>
        <w:outlineLvl w:val="9"/>
        <w:rPr>
          <w:szCs w:val="24"/>
        </w:rPr>
      </w:pPr>
      <w:r w:rsidRPr="00F11E27">
        <w:rPr>
          <w:szCs w:val="24"/>
        </w:rPr>
        <w:t>a)</w:t>
      </w:r>
      <w:r w:rsidRPr="00F11E27">
        <w:rPr>
          <w:szCs w:val="24"/>
        </w:rPr>
        <w:tab/>
      </w:r>
      <w:r w:rsidRPr="00F11E27">
        <w:rPr>
          <w:strike/>
          <w:szCs w:val="24"/>
        </w:rPr>
        <w:t xml:space="preserve">tržní </w:t>
      </w:r>
      <w:r w:rsidRPr="00F11E27">
        <w:rPr>
          <w:b/>
          <w:bCs/>
          <w:szCs w:val="24"/>
        </w:rPr>
        <w:t>reálnou</w:t>
      </w:r>
      <w:r w:rsidRPr="00F11E27">
        <w:rPr>
          <w:szCs w:val="24"/>
        </w:rPr>
        <w:t xml:space="preserve"> hodnotou věci určenou obecně uznávaným nezávislým odborníkem za využití obecně uznávaných postupů a zásad oceňování ne dříve než šest měsíců před splněním vkladové povinnosti, nebo</w:t>
      </w:r>
    </w:p>
    <w:p w14:paraId="2C096C4D" w14:textId="77777777" w:rsidR="00F11E27" w:rsidRPr="00F11E27" w:rsidRDefault="00F11E27" w:rsidP="00635DDD">
      <w:pPr>
        <w:pStyle w:val="PZTextpsmene"/>
        <w:tabs>
          <w:tab w:val="left" w:pos="420"/>
          <w:tab w:val="left" w:pos="840"/>
        </w:tabs>
        <w:spacing w:before="0"/>
        <w:ind w:left="426" w:hanging="426"/>
        <w:outlineLvl w:val="9"/>
        <w:rPr>
          <w:strike/>
          <w:szCs w:val="24"/>
        </w:rPr>
      </w:pPr>
      <w:r w:rsidRPr="00F11E27">
        <w:rPr>
          <w:strike/>
          <w:szCs w:val="24"/>
        </w:rPr>
        <w:t>b)</w:t>
      </w:r>
      <w:r w:rsidRPr="00F11E27">
        <w:rPr>
          <w:strike/>
          <w:szCs w:val="24"/>
        </w:rPr>
        <w:tab/>
        <w:t>výší ocenění věci v účetní závěrce za účetní období bezprostředně předcházející vznik vkladové povinnosti, pokud je tato věc oceněna reálnou hodnotou podle jiného právního předpisu a pokud auditor ověřil účetní závěrku s výrokem bez výhrad.</w:t>
      </w:r>
    </w:p>
    <w:p w14:paraId="008C8331" w14:textId="2388719F" w:rsidR="00F11E27" w:rsidRPr="00F11E27" w:rsidRDefault="00F11E27" w:rsidP="00635DDD">
      <w:pPr>
        <w:pStyle w:val="Textpsmene"/>
        <w:tabs>
          <w:tab w:val="left" w:pos="420"/>
          <w:tab w:val="left" w:pos="840"/>
        </w:tabs>
        <w:spacing w:before="0"/>
        <w:ind w:left="426" w:hanging="426"/>
        <w:outlineLvl w:val="9"/>
        <w:rPr>
          <w:b/>
          <w:szCs w:val="24"/>
        </w:rPr>
      </w:pPr>
      <w:r>
        <w:rPr>
          <w:b/>
          <w:szCs w:val="24"/>
        </w:rPr>
        <w:t>b)</w:t>
      </w:r>
      <w:r w:rsidRPr="00F11E27">
        <w:rPr>
          <w:b/>
          <w:szCs w:val="24"/>
        </w:rPr>
        <w:tab/>
        <w:t>účetní hodnotou věci uvedené v řádné individuální účetní závěrce sestavené za účetní období bezprostředně předcházející vzniku vkladové povinnosti, pokud je oceněna reálnou hodnotou</w:t>
      </w:r>
      <w:r w:rsidRPr="00F11E27">
        <w:rPr>
          <w:szCs w:val="24"/>
        </w:rPr>
        <w:t xml:space="preserve"> </w:t>
      </w:r>
      <w:r w:rsidRPr="00F11E27">
        <w:rPr>
          <w:b/>
          <w:szCs w:val="24"/>
        </w:rPr>
        <w:t>a tato účetní závěrka je ověřena auditorem, podle jehož názoru podává věrné a poctivé zobrazení finanční situace, finanční výkonnosti a jiných vykazovaných změn finanční situace.</w:t>
      </w:r>
    </w:p>
    <w:p w14:paraId="2991B1A3" w14:textId="7CD3563F" w:rsidR="00F11E27" w:rsidRPr="00F11E27" w:rsidRDefault="00F11E27" w:rsidP="00F11E27">
      <w:pPr>
        <w:pStyle w:val="PZTextodstavce"/>
        <w:spacing w:before="240"/>
        <w:outlineLvl w:val="9"/>
        <w:rPr>
          <w:szCs w:val="24"/>
        </w:rPr>
      </w:pPr>
      <w:r w:rsidRPr="00F11E27">
        <w:rPr>
          <w:szCs w:val="24"/>
        </w:rPr>
        <w:t>(2</w:t>
      </w:r>
      <w:r>
        <w:rPr>
          <w:szCs w:val="24"/>
        </w:rPr>
        <w:t xml:space="preserve">) </w:t>
      </w:r>
      <w:r w:rsidRPr="00F11E27">
        <w:rPr>
          <w:szCs w:val="24"/>
        </w:rPr>
        <w:t>Odstavec 1 se nepoužije, pokud nastaly nové okolnosti, jež by mohly hodnotu vkladu ke dni splnění vkladové povinnosti významně změnit.</w:t>
      </w:r>
    </w:p>
    <w:p w14:paraId="555894F4" w14:textId="77777777" w:rsidR="00F11E27" w:rsidRPr="00F11E27" w:rsidRDefault="00F11E27" w:rsidP="00992796">
      <w:pPr>
        <w:pStyle w:val="Paragraf"/>
        <w:numPr>
          <w:ilvl w:val="0"/>
          <w:numId w:val="40"/>
        </w:numPr>
        <w:spacing w:after="120"/>
        <w:outlineLvl w:val="9"/>
        <w:rPr>
          <w:szCs w:val="24"/>
        </w:rPr>
      </w:pPr>
      <w:r w:rsidRPr="00F11E27">
        <w:rPr>
          <w:szCs w:val="24"/>
        </w:rPr>
        <w:lastRenderedPageBreak/>
        <w:t>***</w:t>
      </w:r>
    </w:p>
    <w:p w14:paraId="425738B5" w14:textId="77777777" w:rsidR="00F11E27" w:rsidRPr="00F11E27" w:rsidRDefault="00F11E27" w:rsidP="00F11E27">
      <w:pPr>
        <w:pStyle w:val="Textodstavce"/>
        <w:spacing w:before="240"/>
        <w:jc w:val="center"/>
        <w:outlineLvl w:val="9"/>
        <w:rPr>
          <w:strike/>
          <w:szCs w:val="24"/>
        </w:rPr>
      </w:pPr>
      <w:r w:rsidRPr="00F11E27">
        <w:rPr>
          <w:strike/>
          <w:szCs w:val="24"/>
        </w:rPr>
        <w:t>§ 341</w:t>
      </w:r>
    </w:p>
    <w:p w14:paraId="272754AB" w14:textId="6A01FC4B" w:rsidR="00F11E27" w:rsidRPr="00F11E27" w:rsidRDefault="00F11E27" w:rsidP="00C902C6">
      <w:pPr>
        <w:pStyle w:val="PZTextodstavce"/>
        <w:outlineLvl w:val="9"/>
        <w:rPr>
          <w:strike/>
          <w:szCs w:val="24"/>
        </w:rPr>
      </w:pPr>
      <w:r>
        <w:rPr>
          <w:strike/>
          <w:szCs w:val="24"/>
        </w:rPr>
        <w:t xml:space="preserve">(1) </w:t>
      </w:r>
      <w:r w:rsidRPr="00F11E27">
        <w:rPr>
          <w:strike/>
          <w:szCs w:val="24"/>
        </w:rPr>
        <w:t>Dosahuje-li nadační kapitál nebo obrat nadace v uplynulém účetním období výše alespoň desetkrát vyšší, než stanoví § 330 odst. 1, podléhají řádná účetní závěrka, mimořádná účetní závěrka a konsolidovaná účetní závěrka ověření auditorem.</w:t>
      </w:r>
    </w:p>
    <w:p w14:paraId="2AE7E097" w14:textId="52F9D01F" w:rsidR="00F11E27" w:rsidRPr="00F11E27" w:rsidRDefault="00F11E27" w:rsidP="00C902C6">
      <w:pPr>
        <w:pStyle w:val="PZTextodstavce"/>
        <w:outlineLvl w:val="9"/>
        <w:rPr>
          <w:strike/>
          <w:szCs w:val="24"/>
        </w:rPr>
      </w:pPr>
      <w:r>
        <w:rPr>
          <w:strike/>
          <w:szCs w:val="24"/>
        </w:rPr>
        <w:t xml:space="preserve">(2) </w:t>
      </w:r>
      <w:r w:rsidRPr="00F11E27">
        <w:rPr>
          <w:strike/>
          <w:szCs w:val="24"/>
        </w:rPr>
        <w:t>Ověření auditorem podléhá účetní závěrka i v případě, rozhoduje-li se podle ní o zvýšení nebo snížení nadačního kapitálu, nebo o přeměně nadace.</w:t>
      </w:r>
    </w:p>
    <w:p w14:paraId="1C9FCABD" w14:textId="77777777" w:rsidR="00F11E27" w:rsidRPr="00F11E27" w:rsidRDefault="00F11E27" w:rsidP="00F11E27">
      <w:pPr>
        <w:pStyle w:val="Textparagrafu"/>
        <w:spacing w:after="120"/>
        <w:ind w:firstLine="0"/>
        <w:jc w:val="center"/>
        <w:outlineLvl w:val="9"/>
        <w:rPr>
          <w:strike/>
          <w:szCs w:val="24"/>
        </w:rPr>
      </w:pPr>
      <w:r w:rsidRPr="00F11E27">
        <w:rPr>
          <w:b/>
          <w:szCs w:val="24"/>
        </w:rPr>
        <w:t>§ 341</w:t>
      </w:r>
    </w:p>
    <w:p w14:paraId="39316BE2" w14:textId="77777777" w:rsidR="00F11E27" w:rsidRPr="00F11E27" w:rsidRDefault="00F11E27" w:rsidP="00C902C6">
      <w:pPr>
        <w:pStyle w:val="Textparagrafu"/>
        <w:spacing w:before="120" w:after="120"/>
        <w:outlineLvl w:val="9"/>
        <w:rPr>
          <w:b/>
          <w:szCs w:val="24"/>
        </w:rPr>
      </w:pPr>
      <w:r w:rsidRPr="00F11E27">
        <w:rPr>
          <w:b/>
          <w:szCs w:val="24"/>
        </w:rPr>
        <w:t>(1) Dosáhl-li nadační kapitál nebo roční úhrn čistého obratu nadace v uplynulém individuálním účetním období výše alespoň desetkrát vyšší, než stanoví § 330 odst. 1, má nadace povinnost auditu účetní závěrky.</w:t>
      </w:r>
    </w:p>
    <w:p w14:paraId="380491EC" w14:textId="77777777" w:rsidR="00F11E27" w:rsidRPr="00F11E27" w:rsidRDefault="00F11E27" w:rsidP="00C902C6">
      <w:pPr>
        <w:pStyle w:val="Textparagrafu"/>
        <w:spacing w:before="120" w:after="120"/>
        <w:outlineLvl w:val="9"/>
        <w:rPr>
          <w:b/>
          <w:szCs w:val="24"/>
        </w:rPr>
      </w:pPr>
      <w:r w:rsidRPr="00F11E27">
        <w:rPr>
          <w:b/>
          <w:szCs w:val="24"/>
        </w:rPr>
        <w:t xml:space="preserve">(2) Rozhoduje-li nadace o zvýšení nebo snížení nadačního kapitálu nebo o přeměně nadace, má povinnost auditu individuální účetní závěrky, na základě které se o těchto skutečnostech rozhoduje. </w:t>
      </w:r>
    </w:p>
    <w:p w14:paraId="225ED5E4" w14:textId="77777777" w:rsidR="00F11E27" w:rsidRPr="00F11E27" w:rsidRDefault="00F11E27" w:rsidP="00F11E27">
      <w:pPr>
        <w:pStyle w:val="Paragraf"/>
        <w:spacing w:after="120"/>
        <w:outlineLvl w:val="9"/>
        <w:rPr>
          <w:szCs w:val="24"/>
        </w:rPr>
      </w:pPr>
      <w:r w:rsidRPr="00F11E27">
        <w:rPr>
          <w:szCs w:val="24"/>
        </w:rPr>
        <w:t>§ 342</w:t>
      </w:r>
    </w:p>
    <w:p w14:paraId="2B40466C" w14:textId="3447F44D" w:rsidR="00F11E27" w:rsidRPr="00F11E27" w:rsidRDefault="00F11E27" w:rsidP="00F11E27">
      <w:pPr>
        <w:pStyle w:val="PZTextodstavce"/>
        <w:spacing w:before="240"/>
        <w:outlineLvl w:val="9"/>
        <w:rPr>
          <w:szCs w:val="24"/>
        </w:rPr>
      </w:pPr>
      <w:r w:rsidRPr="00F11E27">
        <w:rPr>
          <w:szCs w:val="24"/>
        </w:rPr>
        <w:t>(1</w:t>
      </w:r>
      <w:r>
        <w:rPr>
          <w:szCs w:val="24"/>
        </w:rPr>
        <w:t xml:space="preserve">) </w:t>
      </w:r>
      <w:r w:rsidRPr="00F11E27">
        <w:rPr>
          <w:szCs w:val="24"/>
        </w:rPr>
        <w:t xml:space="preserve">Po schválení </w:t>
      </w:r>
      <w:r w:rsidRPr="00F11E27">
        <w:rPr>
          <w:b/>
          <w:szCs w:val="24"/>
        </w:rPr>
        <w:t xml:space="preserve">řádné individuální </w:t>
      </w:r>
      <w:r w:rsidRPr="00F11E27">
        <w:rPr>
          <w:szCs w:val="24"/>
        </w:rPr>
        <w:t>účetní závěrky může správní rada do jednoho roku ode dne, ke kterému byly zjištěny údaje, z nichž byla účetní závěrka sestavena, rozhodnout o rozmnožení nadační jistiny a zvýšení nadačního kapitálu,</w:t>
      </w:r>
    </w:p>
    <w:p w14:paraId="5BDA78B8" w14:textId="77777777" w:rsidR="00F11E27" w:rsidRPr="00F11E27" w:rsidRDefault="00F11E27" w:rsidP="00C902C6">
      <w:pPr>
        <w:pStyle w:val="PZTextpsmene"/>
        <w:tabs>
          <w:tab w:val="left" w:pos="406"/>
          <w:tab w:val="left" w:pos="840"/>
        </w:tabs>
        <w:spacing w:before="0"/>
        <w:ind w:left="426" w:hanging="426"/>
        <w:outlineLvl w:val="9"/>
        <w:rPr>
          <w:szCs w:val="24"/>
        </w:rPr>
      </w:pPr>
      <w:r w:rsidRPr="00F11E27">
        <w:rPr>
          <w:szCs w:val="24"/>
        </w:rPr>
        <w:t>a)</w:t>
      </w:r>
      <w:r w:rsidRPr="00F11E27">
        <w:rPr>
          <w:szCs w:val="24"/>
        </w:rPr>
        <w:tab/>
        <w:t xml:space="preserve">nebude-li zvýšení nadačního kapitálu vyšší než rozdíl mezi výší </w:t>
      </w:r>
      <w:r w:rsidRPr="00F11E27">
        <w:rPr>
          <w:strike/>
          <w:szCs w:val="24"/>
        </w:rPr>
        <w:t>vlastních zdrojů financování majetku nadace vykazovaných v rozvaze na straně pasiv a nadačním kapitálem</w:t>
      </w:r>
      <w:r w:rsidRPr="00F11E27">
        <w:rPr>
          <w:b/>
          <w:szCs w:val="24"/>
        </w:rPr>
        <w:t> vlastního kapitálu v této účetní závěrce a výší</w:t>
      </w:r>
      <w:r w:rsidRPr="00F11E27">
        <w:rPr>
          <w:szCs w:val="24"/>
        </w:rPr>
        <w:t xml:space="preserve"> </w:t>
      </w:r>
      <w:r w:rsidRPr="00F11E27">
        <w:rPr>
          <w:b/>
          <w:szCs w:val="24"/>
        </w:rPr>
        <w:t>nadačního kapitálu</w:t>
      </w:r>
      <w:r w:rsidRPr="00F11E27">
        <w:rPr>
          <w:szCs w:val="24"/>
        </w:rPr>
        <w:t xml:space="preserve"> a</w:t>
      </w:r>
    </w:p>
    <w:p w14:paraId="675622BA" w14:textId="77777777" w:rsidR="00F11E27" w:rsidRPr="00F11E27" w:rsidRDefault="00F11E27" w:rsidP="00C902C6">
      <w:pPr>
        <w:pStyle w:val="PZTextpsmene"/>
        <w:tabs>
          <w:tab w:val="left" w:pos="406"/>
          <w:tab w:val="left" w:pos="840"/>
        </w:tabs>
        <w:spacing w:before="0"/>
        <w:ind w:left="426" w:hanging="426"/>
        <w:outlineLvl w:val="9"/>
        <w:rPr>
          <w:szCs w:val="24"/>
        </w:rPr>
      </w:pPr>
      <w:r w:rsidRPr="00F11E27">
        <w:rPr>
          <w:szCs w:val="24"/>
        </w:rPr>
        <w:t>b)</w:t>
      </w:r>
      <w:r w:rsidRPr="00F11E27">
        <w:rPr>
          <w:szCs w:val="24"/>
        </w:rPr>
        <w:tab/>
        <w:t xml:space="preserve">nebudou-li ke zvýšení nadačního kapitálu použity </w:t>
      </w:r>
      <w:r w:rsidRPr="00F11E27">
        <w:rPr>
          <w:strike/>
          <w:szCs w:val="24"/>
        </w:rPr>
        <w:t>vlastní zdroje</w:t>
      </w:r>
      <w:r w:rsidRPr="00F11E27">
        <w:rPr>
          <w:szCs w:val="24"/>
        </w:rPr>
        <w:t xml:space="preserve"> </w:t>
      </w:r>
      <w:r w:rsidRPr="00F11E27">
        <w:rPr>
          <w:b/>
          <w:szCs w:val="24"/>
        </w:rPr>
        <w:t>části vlastního kapitálu</w:t>
      </w:r>
      <w:r w:rsidRPr="00F11E27">
        <w:rPr>
          <w:szCs w:val="24"/>
        </w:rPr>
        <w:t>, které jsou účelově vázány a jejichž účel není nadace oprávněna měnit.</w:t>
      </w:r>
    </w:p>
    <w:p w14:paraId="6E7F2B62" w14:textId="71DE5544" w:rsidR="00F11E27" w:rsidRPr="00F11E27" w:rsidRDefault="00F11E27" w:rsidP="00C902C6">
      <w:pPr>
        <w:pStyle w:val="PZTextodstavce"/>
        <w:outlineLvl w:val="9"/>
        <w:rPr>
          <w:szCs w:val="24"/>
        </w:rPr>
      </w:pPr>
      <w:r w:rsidRPr="00F11E27">
        <w:rPr>
          <w:szCs w:val="24"/>
        </w:rPr>
        <w:t>(2</w:t>
      </w:r>
      <w:r>
        <w:rPr>
          <w:szCs w:val="24"/>
        </w:rPr>
        <w:t xml:space="preserve">) </w:t>
      </w:r>
      <w:r w:rsidRPr="00F11E27">
        <w:rPr>
          <w:szCs w:val="24"/>
        </w:rPr>
        <w:t xml:space="preserve">Rozhodnutí o rozmnožení nadační jistiny a zvýšení nadačního kapitálu obsahuje částku, o niž se nadační kapitál zvyšuje, a označení </w:t>
      </w:r>
      <w:r w:rsidRPr="00F11E27">
        <w:rPr>
          <w:strike/>
          <w:szCs w:val="24"/>
        </w:rPr>
        <w:t>zdroje, z něhož</w:t>
      </w:r>
      <w:r w:rsidRPr="00F11E27">
        <w:rPr>
          <w:szCs w:val="24"/>
        </w:rPr>
        <w:t xml:space="preserve"> </w:t>
      </w:r>
      <w:r w:rsidRPr="00F11E27">
        <w:rPr>
          <w:b/>
          <w:szCs w:val="24"/>
        </w:rPr>
        <w:t>částí vlastního kapitálu, z nichž</w:t>
      </w:r>
      <w:r w:rsidRPr="00F11E27">
        <w:rPr>
          <w:szCs w:val="24"/>
        </w:rPr>
        <w:t xml:space="preserve"> se nadační kapitál zvyšuje</w:t>
      </w:r>
      <w:r w:rsidRPr="00F11E27">
        <w:rPr>
          <w:strike/>
          <w:szCs w:val="24"/>
        </w:rPr>
        <w:t>, podle struktury vlastních zdrojů financování majetku nadace</w:t>
      </w:r>
      <w:r w:rsidRPr="00F11E27">
        <w:rPr>
          <w:szCs w:val="24"/>
        </w:rPr>
        <w:t xml:space="preserve"> </w:t>
      </w:r>
      <w:r w:rsidRPr="00F11E27">
        <w:rPr>
          <w:strike/>
          <w:szCs w:val="24"/>
        </w:rPr>
        <w:t>v účetní závěrce</w:t>
      </w:r>
      <w:r w:rsidRPr="00F11E27">
        <w:rPr>
          <w:szCs w:val="24"/>
        </w:rPr>
        <w:t>.</w:t>
      </w:r>
    </w:p>
    <w:p w14:paraId="1FB04B6F" w14:textId="77777777" w:rsidR="00F11E27" w:rsidRPr="00F11E27" w:rsidRDefault="00F11E27" w:rsidP="00C902C6">
      <w:pPr>
        <w:pStyle w:val="PZTextodstavce"/>
        <w:outlineLvl w:val="9"/>
        <w:rPr>
          <w:szCs w:val="24"/>
        </w:rPr>
      </w:pPr>
      <w:r w:rsidRPr="00F11E27">
        <w:rPr>
          <w:szCs w:val="24"/>
        </w:rPr>
        <w:t>(3)</w:t>
      </w:r>
      <w:r w:rsidRPr="00F11E27">
        <w:rPr>
          <w:szCs w:val="24"/>
        </w:rPr>
        <w:tab/>
        <w:t xml:space="preserve">Zjistí-li nadace z jakékoliv následně sestavené </w:t>
      </w:r>
      <w:r w:rsidRPr="00F11E27">
        <w:rPr>
          <w:b/>
          <w:szCs w:val="24"/>
        </w:rPr>
        <w:t>individuální</w:t>
      </w:r>
      <w:r w:rsidRPr="00F11E27">
        <w:rPr>
          <w:szCs w:val="24"/>
        </w:rPr>
        <w:t xml:space="preserve"> účetní závěrky snížení </w:t>
      </w:r>
      <w:r w:rsidRPr="00F11E27">
        <w:rPr>
          <w:strike/>
          <w:szCs w:val="24"/>
        </w:rPr>
        <w:t xml:space="preserve">vlastních zdrojů </w:t>
      </w:r>
      <w:r w:rsidRPr="00F11E27">
        <w:rPr>
          <w:b/>
          <w:szCs w:val="24"/>
        </w:rPr>
        <w:t>vlastního kapitálu</w:t>
      </w:r>
      <w:r w:rsidRPr="00F11E27">
        <w:rPr>
          <w:szCs w:val="24"/>
        </w:rPr>
        <w:t>, vychází se při rozhodování o zvýšení nadačního kapitálu z této účetní závěrky.</w:t>
      </w:r>
    </w:p>
    <w:p w14:paraId="494AAC7A" w14:textId="77777777" w:rsidR="00F11E27" w:rsidRPr="00F11E27" w:rsidRDefault="00F11E27" w:rsidP="00F11E27">
      <w:pPr>
        <w:pStyle w:val="PZTextodstavce"/>
        <w:keepNext/>
        <w:keepLines/>
        <w:spacing w:before="240"/>
        <w:ind w:firstLine="0"/>
        <w:jc w:val="center"/>
        <w:outlineLvl w:val="9"/>
        <w:rPr>
          <w:szCs w:val="24"/>
        </w:rPr>
      </w:pPr>
      <w:r w:rsidRPr="00F11E27">
        <w:rPr>
          <w:szCs w:val="24"/>
        </w:rPr>
        <w:t>***</w:t>
      </w:r>
    </w:p>
    <w:p w14:paraId="50C7A547" w14:textId="77777777" w:rsidR="00F11E27" w:rsidRPr="00F11E27" w:rsidRDefault="00F11E27" w:rsidP="00F11E27">
      <w:pPr>
        <w:pStyle w:val="Textodstavce"/>
        <w:keepNext/>
        <w:keepLines/>
        <w:spacing w:before="240"/>
        <w:jc w:val="center"/>
        <w:outlineLvl w:val="9"/>
        <w:rPr>
          <w:szCs w:val="24"/>
        </w:rPr>
      </w:pPr>
      <w:r w:rsidRPr="00F11E27">
        <w:rPr>
          <w:szCs w:val="24"/>
        </w:rPr>
        <w:t>§ 355</w:t>
      </w:r>
    </w:p>
    <w:p w14:paraId="161C7049" w14:textId="4AF0A268" w:rsidR="00F11E27" w:rsidRPr="00F11E27" w:rsidRDefault="00F11E27" w:rsidP="00F11E27">
      <w:pPr>
        <w:pStyle w:val="PZTextodstavce"/>
        <w:keepNext/>
        <w:keepLines/>
        <w:spacing w:before="240"/>
        <w:outlineLvl w:val="9"/>
        <w:rPr>
          <w:szCs w:val="24"/>
        </w:rPr>
      </w:pPr>
      <w:r w:rsidRPr="00F11E27">
        <w:rPr>
          <w:szCs w:val="24"/>
        </w:rPr>
        <w:t>(1</w:t>
      </w:r>
      <w:r>
        <w:rPr>
          <w:szCs w:val="24"/>
        </w:rPr>
        <w:t xml:space="preserve">) </w:t>
      </w:r>
      <w:r w:rsidRPr="00F11E27">
        <w:rPr>
          <w:szCs w:val="24"/>
        </w:rPr>
        <w:t xml:space="preserve">Nadace nesmí poskytnout nadační příspěvky, je-li výše </w:t>
      </w:r>
      <w:r w:rsidRPr="00F11E27">
        <w:rPr>
          <w:strike/>
          <w:szCs w:val="24"/>
        </w:rPr>
        <w:t>vlastních zdrojů financování majetku nadace vykazovaných v rozvaze na straně pasiv</w:t>
      </w:r>
      <w:r w:rsidRPr="00F11E27">
        <w:rPr>
          <w:b/>
          <w:szCs w:val="24"/>
        </w:rPr>
        <w:t> vlastního kapitálu v individuální účetní závěrce</w:t>
      </w:r>
      <w:r w:rsidRPr="00F11E27">
        <w:rPr>
          <w:szCs w:val="24"/>
        </w:rPr>
        <w:t xml:space="preserve"> nižší než výše nadačního kapitálu upravená podle odstavce 2, nebo byla-li by nižší než upravená výše nadačního kapitálu v důsledku poskytnutí nadačních příspěvků.</w:t>
      </w:r>
    </w:p>
    <w:p w14:paraId="5C0C4BAD" w14:textId="5D972094" w:rsidR="00F11E27" w:rsidRPr="00F11E27" w:rsidRDefault="00F11E27" w:rsidP="00F11E27">
      <w:pPr>
        <w:pStyle w:val="PZTextodstavce"/>
        <w:spacing w:before="240"/>
        <w:outlineLvl w:val="9"/>
        <w:rPr>
          <w:szCs w:val="24"/>
        </w:rPr>
      </w:pPr>
      <w:r w:rsidRPr="00F11E27">
        <w:rPr>
          <w:szCs w:val="24"/>
        </w:rPr>
        <w:t>(2</w:t>
      </w:r>
      <w:r>
        <w:rPr>
          <w:szCs w:val="24"/>
        </w:rPr>
        <w:t xml:space="preserve">) </w:t>
      </w:r>
      <w:r w:rsidRPr="00F11E27">
        <w:rPr>
          <w:szCs w:val="24"/>
        </w:rPr>
        <w:t>K výši nadačního kapitálu se připočtou pro účely stanovené v odstavci 1</w:t>
      </w:r>
    </w:p>
    <w:p w14:paraId="5EC01DAA" w14:textId="77777777" w:rsidR="00F11E27" w:rsidRPr="00F11E27" w:rsidRDefault="00F11E27" w:rsidP="00C902C6">
      <w:pPr>
        <w:pStyle w:val="PZTextpsmene"/>
        <w:tabs>
          <w:tab w:val="left" w:pos="406"/>
          <w:tab w:val="left" w:pos="840"/>
        </w:tabs>
        <w:spacing w:before="0"/>
        <w:ind w:left="426" w:hanging="426"/>
        <w:outlineLvl w:val="9"/>
        <w:rPr>
          <w:szCs w:val="24"/>
        </w:rPr>
      </w:pPr>
      <w:r w:rsidRPr="00F11E27">
        <w:rPr>
          <w:szCs w:val="24"/>
        </w:rPr>
        <w:t>a)</w:t>
      </w:r>
      <w:r w:rsidRPr="00F11E27">
        <w:rPr>
          <w:szCs w:val="24"/>
        </w:rPr>
        <w:tab/>
        <w:t>zvýšení nadačního kapitálu v důsledku přijetí nadačního kapitálu nebo rozhodnutí, i když ještě nebylo zapsáno do veřejného rejstříku, a</w:t>
      </w:r>
    </w:p>
    <w:p w14:paraId="0B3ED93B" w14:textId="77777777" w:rsidR="00F11E27" w:rsidRPr="00F11E27" w:rsidRDefault="00F11E27" w:rsidP="00C902C6">
      <w:pPr>
        <w:pStyle w:val="PZTextpsmene"/>
        <w:tabs>
          <w:tab w:val="left" w:pos="406"/>
          <w:tab w:val="left" w:pos="840"/>
        </w:tabs>
        <w:spacing w:before="0"/>
        <w:ind w:left="426" w:hanging="426"/>
        <w:outlineLvl w:val="9"/>
        <w:rPr>
          <w:szCs w:val="24"/>
        </w:rPr>
      </w:pPr>
      <w:r w:rsidRPr="00F11E27">
        <w:rPr>
          <w:szCs w:val="24"/>
        </w:rPr>
        <w:lastRenderedPageBreak/>
        <w:t>b)</w:t>
      </w:r>
      <w:r w:rsidRPr="00F11E27">
        <w:rPr>
          <w:szCs w:val="24"/>
        </w:rPr>
        <w:tab/>
      </w:r>
      <w:r w:rsidRPr="00F11E27">
        <w:rPr>
          <w:strike/>
          <w:szCs w:val="24"/>
        </w:rPr>
        <w:t xml:space="preserve">vlastní zdroje </w:t>
      </w:r>
      <w:r w:rsidRPr="00F11E27">
        <w:rPr>
          <w:b/>
          <w:szCs w:val="24"/>
        </w:rPr>
        <w:t>části vlastního kapitálu</w:t>
      </w:r>
      <w:r w:rsidRPr="00F11E27">
        <w:rPr>
          <w:szCs w:val="24"/>
        </w:rPr>
        <w:t>, které jsou účelově vázány a jejichž účel není nadace oprávněna měnit.</w:t>
      </w:r>
    </w:p>
    <w:p w14:paraId="05205114" w14:textId="5083A219" w:rsidR="00F11E27" w:rsidRPr="00F11E27" w:rsidRDefault="00267E7F" w:rsidP="00F11E27">
      <w:pPr>
        <w:pStyle w:val="PZTextodstavce"/>
        <w:spacing w:before="240"/>
        <w:outlineLvl w:val="9"/>
        <w:rPr>
          <w:szCs w:val="24"/>
        </w:rPr>
      </w:pPr>
      <w:r>
        <w:rPr>
          <w:szCs w:val="24"/>
        </w:rPr>
        <w:t xml:space="preserve">(3) </w:t>
      </w:r>
      <w:r w:rsidR="00F11E27" w:rsidRPr="00F11E27">
        <w:rPr>
          <w:szCs w:val="24"/>
        </w:rPr>
        <w:t>Ustanovení odstavců 1 a 2 se nepoužijí pro případ poskytování příspěvků z darů určených k tomuto účelu dárcem.</w:t>
      </w:r>
    </w:p>
    <w:p w14:paraId="43D318EC" w14:textId="77777777" w:rsidR="00F11E27" w:rsidRPr="00F11E27" w:rsidRDefault="00F11E27" w:rsidP="00267E7F">
      <w:pPr>
        <w:pStyle w:val="Textodstavce"/>
        <w:spacing w:before="240"/>
        <w:jc w:val="center"/>
        <w:outlineLvl w:val="9"/>
        <w:rPr>
          <w:szCs w:val="24"/>
        </w:rPr>
      </w:pPr>
      <w:r w:rsidRPr="00F11E27">
        <w:rPr>
          <w:szCs w:val="24"/>
        </w:rPr>
        <w:t>***</w:t>
      </w:r>
    </w:p>
    <w:p w14:paraId="146FF978" w14:textId="5EB4FC15" w:rsidR="00F11E27" w:rsidRPr="00F11E27" w:rsidRDefault="00F11E27" w:rsidP="00267E7F">
      <w:pPr>
        <w:pStyle w:val="Textodstavce"/>
        <w:spacing w:before="240"/>
        <w:jc w:val="center"/>
        <w:outlineLvl w:val="9"/>
        <w:rPr>
          <w:strike/>
          <w:szCs w:val="24"/>
        </w:rPr>
      </w:pPr>
      <w:r w:rsidRPr="00F11E27">
        <w:rPr>
          <w:strike/>
          <w:szCs w:val="24"/>
        </w:rPr>
        <w:t>§ 357</w:t>
      </w:r>
    </w:p>
    <w:p w14:paraId="26C21B01" w14:textId="77777777" w:rsidR="00F11E27" w:rsidRPr="00267E7F" w:rsidRDefault="00F11E27" w:rsidP="00267E7F">
      <w:pPr>
        <w:pStyle w:val="Nadpisparagrafu"/>
        <w:spacing w:after="120"/>
        <w:outlineLvl w:val="9"/>
        <w:rPr>
          <w:b w:val="0"/>
          <w:strike/>
          <w:szCs w:val="24"/>
        </w:rPr>
      </w:pPr>
      <w:r w:rsidRPr="00267E7F">
        <w:rPr>
          <w:b w:val="0"/>
          <w:strike/>
          <w:szCs w:val="24"/>
        </w:rPr>
        <w:t>Náklady správy</w:t>
      </w:r>
    </w:p>
    <w:p w14:paraId="7F92C7DB" w14:textId="77777777" w:rsidR="00F11E27" w:rsidRPr="00F11E27" w:rsidRDefault="00F11E27" w:rsidP="00F11E27">
      <w:pPr>
        <w:pStyle w:val="Textodstavce"/>
        <w:spacing w:before="240"/>
        <w:ind w:firstLine="425"/>
        <w:outlineLvl w:val="9"/>
        <w:rPr>
          <w:strike/>
          <w:szCs w:val="24"/>
        </w:rPr>
      </w:pPr>
      <w:r w:rsidRPr="00F11E27">
        <w:rPr>
          <w:strike/>
          <w:szCs w:val="24"/>
        </w:rPr>
        <w:t>Nadace účtuje odděleně o nadačních příspěvcích, o ostatních činnostech k naplnění účelu nadace a o nákladech na její správu.</w:t>
      </w:r>
    </w:p>
    <w:p w14:paraId="3D0A1C3D" w14:textId="60379C1A" w:rsidR="00F11E27" w:rsidRPr="00267E7F" w:rsidRDefault="00F11E27" w:rsidP="00363067">
      <w:pPr>
        <w:pStyle w:val="Textodstavce"/>
        <w:spacing w:before="240"/>
        <w:jc w:val="center"/>
        <w:outlineLvl w:val="9"/>
        <w:rPr>
          <w:b/>
          <w:szCs w:val="24"/>
        </w:rPr>
      </w:pPr>
      <w:r w:rsidRPr="00267E7F">
        <w:rPr>
          <w:b/>
          <w:szCs w:val="24"/>
        </w:rPr>
        <w:t>§ 357</w:t>
      </w:r>
    </w:p>
    <w:p w14:paraId="47EA176B" w14:textId="77777777" w:rsidR="00F11E27" w:rsidRPr="00267E7F" w:rsidRDefault="00F11E27" w:rsidP="00363067">
      <w:pPr>
        <w:pStyle w:val="Nadpisparagrafu"/>
        <w:spacing w:after="120"/>
        <w:outlineLvl w:val="9"/>
        <w:rPr>
          <w:szCs w:val="24"/>
        </w:rPr>
      </w:pPr>
      <w:r w:rsidRPr="00267E7F">
        <w:rPr>
          <w:szCs w:val="24"/>
        </w:rPr>
        <w:t>Náklady správy</w:t>
      </w:r>
    </w:p>
    <w:p w14:paraId="7A9133BE" w14:textId="77777777" w:rsidR="00F11E27" w:rsidRPr="00F11E27" w:rsidRDefault="00F11E27" w:rsidP="00267E7F">
      <w:pPr>
        <w:pStyle w:val="Textodstavce"/>
        <w:spacing w:before="240"/>
        <w:ind w:firstLine="425"/>
        <w:outlineLvl w:val="9"/>
        <w:rPr>
          <w:b/>
          <w:szCs w:val="24"/>
        </w:rPr>
      </w:pPr>
      <w:r w:rsidRPr="00F11E27">
        <w:rPr>
          <w:b/>
          <w:szCs w:val="24"/>
        </w:rPr>
        <w:t>Nadace v účetním systému samostatně sleduje nadační příspěvky, náklady na ostatní činnosti k naplnění účelu nadace a náklady na správu nadace.</w:t>
      </w:r>
    </w:p>
    <w:p w14:paraId="2F7AF1FE" w14:textId="18C1F69A" w:rsidR="00F11E27" w:rsidRPr="00F11E27" w:rsidRDefault="00F11E27" w:rsidP="00267E7F">
      <w:pPr>
        <w:pStyle w:val="Nadpisparagrafu"/>
        <w:spacing w:after="120"/>
        <w:outlineLvl w:val="9"/>
        <w:rPr>
          <w:strike/>
          <w:szCs w:val="24"/>
        </w:rPr>
      </w:pPr>
      <w:r w:rsidRPr="00F11E27">
        <w:rPr>
          <w:strike/>
          <w:szCs w:val="24"/>
        </w:rPr>
        <w:t>Výroční zpráva</w:t>
      </w:r>
    </w:p>
    <w:p w14:paraId="1AA25B64" w14:textId="77777777" w:rsidR="00F11E27" w:rsidRPr="00F11E27" w:rsidRDefault="00F11E27" w:rsidP="00267E7F">
      <w:pPr>
        <w:pStyle w:val="Textodstavce"/>
        <w:spacing w:before="240"/>
        <w:jc w:val="center"/>
        <w:outlineLvl w:val="9"/>
        <w:rPr>
          <w:strike/>
          <w:szCs w:val="24"/>
        </w:rPr>
      </w:pPr>
      <w:r w:rsidRPr="00F11E27">
        <w:rPr>
          <w:strike/>
          <w:szCs w:val="24"/>
        </w:rPr>
        <w:t>§ 358</w:t>
      </w:r>
    </w:p>
    <w:p w14:paraId="6198D50E" w14:textId="77777777" w:rsidR="00F11E27" w:rsidRPr="00F11E27" w:rsidRDefault="00F11E27" w:rsidP="00C902C6">
      <w:pPr>
        <w:pStyle w:val="PZTextodstavce"/>
        <w:outlineLvl w:val="9"/>
        <w:rPr>
          <w:strike/>
          <w:szCs w:val="24"/>
        </w:rPr>
      </w:pPr>
      <w:r w:rsidRPr="00F11E27">
        <w:rPr>
          <w:strike/>
          <w:szCs w:val="24"/>
        </w:rPr>
        <w:t>(1) Nadace sestaví výroční zprávu do konce šestého měsíce od uplynutí předcházejícího účetního období.</w:t>
      </w:r>
    </w:p>
    <w:p w14:paraId="3F327019" w14:textId="6594BB72" w:rsidR="00F11E27" w:rsidRPr="00F11E27" w:rsidRDefault="00267E7F" w:rsidP="00C902C6">
      <w:pPr>
        <w:pStyle w:val="PZTextodstavce"/>
        <w:outlineLvl w:val="9"/>
        <w:rPr>
          <w:strike/>
          <w:szCs w:val="24"/>
        </w:rPr>
      </w:pPr>
      <w:r>
        <w:rPr>
          <w:strike/>
          <w:szCs w:val="24"/>
        </w:rPr>
        <w:t xml:space="preserve">(2) </w:t>
      </w:r>
      <w:r w:rsidR="00F11E27" w:rsidRPr="00F11E27">
        <w:rPr>
          <w:strike/>
          <w:szCs w:val="24"/>
        </w:rPr>
        <w:t>Výroční zpráva obsahuje účetní závěrku a přehled o veškeré činnosti nadace včetně zhodnocení této činnosti.</w:t>
      </w:r>
    </w:p>
    <w:p w14:paraId="0D034C25" w14:textId="77777777" w:rsidR="00F11E27" w:rsidRPr="00F11E27" w:rsidRDefault="00F11E27" w:rsidP="00C902C6">
      <w:pPr>
        <w:pStyle w:val="PZTextodstavce"/>
        <w:outlineLvl w:val="9"/>
        <w:rPr>
          <w:strike/>
          <w:szCs w:val="24"/>
        </w:rPr>
      </w:pPr>
      <w:r w:rsidRPr="00F11E27">
        <w:rPr>
          <w:strike/>
          <w:szCs w:val="24"/>
        </w:rPr>
        <w:t xml:space="preserve">(3) Ve výroční zprávě nadace uvede alespoň </w:t>
      </w:r>
    </w:p>
    <w:p w14:paraId="528CF1D8" w14:textId="77777777" w:rsidR="00F11E27" w:rsidRPr="00F11E27" w:rsidRDefault="00F11E27" w:rsidP="00635DDD">
      <w:pPr>
        <w:pStyle w:val="PZTextpsmene"/>
        <w:tabs>
          <w:tab w:val="left" w:pos="392"/>
        </w:tabs>
        <w:spacing w:before="0"/>
        <w:ind w:left="426" w:hanging="426"/>
        <w:outlineLvl w:val="9"/>
        <w:rPr>
          <w:strike/>
          <w:szCs w:val="24"/>
        </w:rPr>
      </w:pPr>
      <w:r w:rsidRPr="00F11E27">
        <w:rPr>
          <w:strike/>
          <w:szCs w:val="24"/>
        </w:rPr>
        <w:t>a)</w:t>
      </w:r>
      <w:r w:rsidRPr="00F11E27">
        <w:rPr>
          <w:strike/>
          <w:szCs w:val="24"/>
        </w:rPr>
        <w:tab/>
        <w:t>přehled o vlastním majetku a závazcích,</w:t>
      </w:r>
    </w:p>
    <w:p w14:paraId="0426D379" w14:textId="77777777" w:rsidR="00F11E27" w:rsidRPr="00F11E27" w:rsidRDefault="00F11E27" w:rsidP="00635DDD">
      <w:pPr>
        <w:pStyle w:val="PZTextpsmene"/>
        <w:tabs>
          <w:tab w:val="left" w:pos="392"/>
        </w:tabs>
        <w:spacing w:before="0"/>
        <w:ind w:left="426" w:hanging="426"/>
        <w:outlineLvl w:val="9"/>
        <w:rPr>
          <w:strike/>
          <w:szCs w:val="24"/>
        </w:rPr>
      </w:pPr>
      <w:r w:rsidRPr="00F11E27">
        <w:rPr>
          <w:strike/>
          <w:szCs w:val="24"/>
        </w:rPr>
        <w:t>b)</w:t>
      </w:r>
      <w:r w:rsidRPr="00F11E27">
        <w:rPr>
          <w:strike/>
          <w:szCs w:val="24"/>
        </w:rPr>
        <w:tab/>
        <w:t>u jednotlivých nadačních darů přehled o osobách, které poskytly nadační dar v hodnotě vyšší než 10 000 Kč,</w:t>
      </w:r>
    </w:p>
    <w:p w14:paraId="608B80ED" w14:textId="77777777" w:rsidR="00F11E27" w:rsidRPr="00F11E27" w:rsidRDefault="00F11E27" w:rsidP="00635DDD">
      <w:pPr>
        <w:pStyle w:val="PZTextpsmene"/>
        <w:tabs>
          <w:tab w:val="left" w:pos="392"/>
        </w:tabs>
        <w:spacing w:before="0"/>
        <w:ind w:left="426" w:hanging="426"/>
        <w:outlineLvl w:val="9"/>
        <w:rPr>
          <w:strike/>
          <w:szCs w:val="24"/>
        </w:rPr>
      </w:pPr>
      <w:r w:rsidRPr="00F11E27">
        <w:rPr>
          <w:strike/>
          <w:szCs w:val="24"/>
        </w:rPr>
        <w:t>c)</w:t>
      </w:r>
      <w:r w:rsidRPr="00F11E27">
        <w:rPr>
          <w:strike/>
          <w:szCs w:val="24"/>
        </w:rPr>
        <w:tab/>
        <w:t>přehled o tom, jak byl majetek nadace použit,</w:t>
      </w:r>
    </w:p>
    <w:p w14:paraId="62DDF83C" w14:textId="77777777" w:rsidR="00F11E27" w:rsidRPr="00F11E27" w:rsidRDefault="00F11E27" w:rsidP="00635DDD">
      <w:pPr>
        <w:pStyle w:val="PZTextpsmene"/>
        <w:tabs>
          <w:tab w:val="left" w:pos="392"/>
        </w:tabs>
        <w:spacing w:before="0"/>
        <w:ind w:left="426" w:hanging="426"/>
        <w:outlineLvl w:val="9"/>
        <w:rPr>
          <w:strike/>
          <w:szCs w:val="24"/>
        </w:rPr>
      </w:pPr>
      <w:r w:rsidRPr="00F11E27">
        <w:rPr>
          <w:strike/>
          <w:szCs w:val="24"/>
        </w:rPr>
        <w:t>d)</w:t>
      </w:r>
      <w:r w:rsidRPr="00F11E27">
        <w:rPr>
          <w:strike/>
          <w:szCs w:val="24"/>
        </w:rPr>
        <w:tab/>
        <w:t>přehled o osobách, kterým byl poskytnut nadační příspěvek v hodnotě vyšší než 10 000 Kč,</w:t>
      </w:r>
    </w:p>
    <w:p w14:paraId="78890476" w14:textId="77777777" w:rsidR="00F11E27" w:rsidRPr="00F11E27" w:rsidRDefault="00F11E27" w:rsidP="00635DDD">
      <w:pPr>
        <w:pStyle w:val="PZTextpsmene"/>
        <w:tabs>
          <w:tab w:val="left" w:pos="392"/>
        </w:tabs>
        <w:spacing w:before="0"/>
        <w:ind w:left="426" w:hanging="426"/>
        <w:outlineLvl w:val="9"/>
        <w:rPr>
          <w:strike/>
          <w:szCs w:val="24"/>
        </w:rPr>
      </w:pPr>
      <w:r w:rsidRPr="00F11E27">
        <w:rPr>
          <w:strike/>
          <w:szCs w:val="24"/>
        </w:rPr>
        <w:t>e)</w:t>
      </w:r>
      <w:r w:rsidRPr="00F11E27">
        <w:rPr>
          <w:strike/>
          <w:szCs w:val="24"/>
        </w:rPr>
        <w:tab/>
        <w:t>zhodnocení, zda nadace při svém hospodaření dodržela pravidla pro poskytování nadačních příspěvků podle § 353 až 356, a přehled nákladů na vlastní správu a</w:t>
      </w:r>
    </w:p>
    <w:p w14:paraId="3B7D2DEF" w14:textId="77777777" w:rsidR="00F11E27" w:rsidRPr="00F11E27" w:rsidRDefault="00F11E27" w:rsidP="00635DDD">
      <w:pPr>
        <w:pStyle w:val="PZTextpsmene"/>
        <w:tabs>
          <w:tab w:val="left" w:pos="392"/>
        </w:tabs>
        <w:spacing w:before="0"/>
        <w:ind w:left="426" w:hanging="426"/>
        <w:outlineLvl w:val="9"/>
        <w:rPr>
          <w:strike/>
          <w:szCs w:val="24"/>
        </w:rPr>
      </w:pPr>
      <w:r w:rsidRPr="00F11E27">
        <w:rPr>
          <w:strike/>
          <w:szCs w:val="24"/>
        </w:rPr>
        <w:t>f)</w:t>
      </w:r>
      <w:r w:rsidRPr="00F11E27">
        <w:rPr>
          <w:strike/>
          <w:szCs w:val="24"/>
        </w:rPr>
        <w:tab/>
        <w:t>zhodnocení základních údajů roční účetní závěrky a zprávu auditora, je-li nadace povinna mít účetní závěrku ověřenou auditorem.</w:t>
      </w:r>
    </w:p>
    <w:p w14:paraId="4C580875" w14:textId="77777777" w:rsidR="00F11E27" w:rsidRPr="00F11E27" w:rsidRDefault="00F11E27" w:rsidP="00F11E27">
      <w:pPr>
        <w:pStyle w:val="PZTextodstavce"/>
        <w:spacing w:before="240"/>
        <w:outlineLvl w:val="9"/>
        <w:rPr>
          <w:strike/>
          <w:szCs w:val="24"/>
        </w:rPr>
      </w:pPr>
      <w:r w:rsidRPr="00F11E27">
        <w:rPr>
          <w:strike/>
          <w:szCs w:val="24"/>
        </w:rPr>
        <w:t>(4) Vyjde-li po uveřejnění zprávy</w:t>
      </w:r>
      <w:r w:rsidRPr="00F11E27">
        <w:rPr>
          <w:b/>
          <w:strike/>
          <w:szCs w:val="24"/>
        </w:rPr>
        <w:t xml:space="preserve"> </w:t>
      </w:r>
      <w:r w:rsidRPr="00F11E27">
        <w:rPr>
          <w:strike/>
          <w:szCs w:val="24"/>
        </w:rPr>
        <w:t>najevo skutečnost, která odůvodňuje opravu zprávy, nadace opravu bez zbytečného odkladu provede a uveřejní.</w:t>
      </w:r>
    </w:p>
    <w:p w14:paraId="68495A27" w14:textId="77777777" w:rsidR="00F11E27" w:rsidRPr="00F11E27" w:rsidRDefault="00F11E27" w:rsidP="00267E7F">
      <w:pPr>
        <w:pStyle w:val="Textodstavce"/>
        <w:keepNext/>
        <w:keepLines/>
        <w:spacing w:before="240"/>
        <w:jc w:val="center"/>
        <w:outlineLvl w:val="9"/>
        <w:rPr>
          <w:strike/>
          <w:szCs w:val="24"/>
        </w:rPr>
      </w:pPr>
      <w:r w:rsidRPr="00F11E27">
        <w:rPr>
          <w:strike/>
          <w:szCs w:val="24"/>
        </w:rPr>
        <w:lastRenderedPageBreak/>
        <w:t>§ 359</w:t>
      </w:r>
    </w:p>
    <w:p w14:paraId="6114685A" w14:textId="2C09FDC2" w:rsidR="00F11E27" w:rsidRPr="00F11E27" w:rsidRDefault="00267E7F" w:rsidP="00C902C6">
      <w:pPr>
        <w:pStyle w:val="PZTextodstavce"/>
        <w:keepNext/>
        <w:keepLines/>
        <w:outlineLvl w:val="9"/>
        <w:rPr>
          <w:strike/>
          <w:szCs w:val="24"/>
        </w:rPr>
      </w:pPr>
      <w:r>
        <w:rPr>
          <w:strike/>
          <w:szCs w:val="24"/>
        </w:rPr>
        <w:t xml:space="preserve">(1) </w:t>
      </w:r>
      <w:r w:rsidR="00F11E27" w:rsidRPr="00F11E27">
        <w:rPr>
          <w:strike/>
          <w:szCs w:val="24"/>
        </w:rPr>
        <w:t>Požádá-li o to dárce, nadace údaje o dárci ve výroční zprávě neuvede. Stejné právo má i příjemce nadačního příspěvku. Při poskytnutí nadačního příspěvku v hodnotě vyšší než 10 000 Kč, může žádat o zachování anonymity jen člověk, jenž dostal nadační příspěvek z humanitárních důvodů, zejména z důvodů zdravotních.</w:t>
      </w:r>
    </w:p>
    <w:p w14:paraId="66F42AE5" w14:textId="23CC4189" w:rsidR="00F11E27" w:rsidRPr="00F11E27" w:rsidRDefault="00267E7F" w:rsidP="00C902C6">
      <w:pPr>
        <w:pStyle w:val="PZTextodstavce"/>
        <w:outlineLvl w:val="9"/>
        <w:rPr>
          <w:strike/>
          <w:szCs w:val="24"/>
        </w:rPr>
      </w:pPr>
      <w:r>
        <w:rPr>
          <w:strike/>
          <w:szCs w:val="24"/>
        </w:rPr>
        <w:t xml:space="preserve">(2) </w:t>
      </w:r>
      <w:r w:rsidR="00F11E27" w:rsidRPr="00F11E27">
        <w:rPr>
          <w:strike/>
          <w:szCs w:val="24"/>
        </w:rPr>
        <w:t>Nadace zachová anonymitu, doručí-li jí oprávněné osoby žádost před schválením výroční zprávy. Člověk, jenž dostal nadační příspěvek z humanitárních důvodů, však může uplatnit své právo na anonymitu kdykoli, jestliže jej nadace o jeho právu při poskytnutí příspěvku nepoučila; má se za to, že poučení nebylo dáno.</w:t>
      </w:r>
    </w:p>
    <w:p w14:paraId="401E8A1A" w14:textId="77777777" w:rsidR="00F11E27" w:rsidRPr="00F11E27" w:rsidRDefault="00F11E27" w:rsidP="00992796">
      <w:pPr>
        <w:pStyle w:val="Paragraf"/>
        <w:numPr>
          <w:ilvl w:val="0"/>
          <w:numId w:val="40"/>
        </w:numPr>
        <w:spacing w:after="120"/>
        <w:outlineLvl w:val="9"/>
        <w:rPr>
          <w:strike/>
          <w:szCs w:val="24"/>
        </w:rPr>
      </w:pPr>
      <w:r w:rsidRPr="00F11E27">
        <w:rPr>
          <w:strike/>
          <w:szCs w:val="24"/>
        </w:rPr>
        <w:t>§ 360</w:t>
      </w:r>
    </w:p>
    <w:p w14:paraId="6EA4EB66" w14:textId="406634E9" w:rsidR="00F11E27" w:rsidRPr="00F11E27" w:rsidRDefault="00267E7F" w:rsidP="00C902C6">
      <w:pPr>
        <w:pStyle w:val="PZTextodstavce"/>
        <w:outlineLvl w:val="9"/>
        <w:rPr>
          <w:strike/>
          <w:szCs w:val="24"/>
        </w:rPr>
      </w:pPr>
      <w:r>
        <w:rPr>
          <w:strike/>
          <w:szCs w:val="24"/>
        </w:rPr>
        <w:t xml:space="preserve">(1) </w:t>
      </w:r>
      <w:r w:rsidR="00F11E27" w:rsidRPr="00F11E27">
        <w:rPr>
          <w:strike/>
          <w:szCs w:val="24"/>
        </w:rPr>
        <w:t>Nadace výroční zprávu uveřejní do třiceti dnů od jejího schválení správní radou a zpřístupní ji také ve svém sídle. Není-li nadace zřízena jako veřejně prospěšná, postačí zpřístupnit výroční zprávu v jejím sídle.</w:t>
      </w:r>
    </w:p>
    <w:p w14:paraId="47E78DBB" w14:textId="64250B05" w:rsidR="00F11E27" w:rsidRPr="00F11E27" w:rsidRDefault="00267E7F" w:rsidP="00C902C6">
      <w:pPr>
        <w:pStyle w:val="Textodstavce"/>
        <w:ind w:firstLine="425"/>
        <w:outlineLvl w:val="9"/>
        <w:rPr>
          <w:strike/>
          <w:szCs w:val="24"/>
        </w:rPr>
      </w:pPr>
      <w:r>
        <w:rPr>
          <w:strike/>
          <w:szCs w:val="24"/>
        </w:rPr>
        <w:t xml:space="preserve">(2) </w:t>
      </w:r>
      <w:r w:rsidR="00F11E27" w:rsidRPr="00F11E27">
        <w:rPr>
          <w:strike/>
          <w:szCs w:val="24"/>
        </w:rPr>
        <w:t>Neschválila-li správní rada výroční zprávu, uveřejní nadace výroční zprávu způsobem upraveným v odstavci 1 nejpozději do konce bezprostředně následujícího účetního období a uvede, že výroční zpráva nebyla schválena a z jakých důvodů.</w:t>
      </w:r>
    </w:p>
    <w:p w14:paraId="19352B82" w14:textId="77777777" w:rsidR="00F11E27" w:rsidRPr="00F11E27" w:rsidRDefault="00F11E27" w:rsidP="00992796">
      <w:pPr>
        <w:pStyle w:val="Paragraf"/>
        <w:numPr>
          <w:ilvl w:val="0"/>
          <w:numId w:val="40"/>
        </w:numPr>
        <w:spacing w:after="120"/>
        <w:outlineLvl w:val="9"/>
        <w:rPr>
          <w:strike/>
          <w:szCs w:val="24"/>
        </w:rPr>
      </w:pPr>
      <w:r w:rsidRPr="00F11E27">
        <w:rPr>
          <w:strike/>
          <w:szCs w:val="24"/>
        </w:rPr>
        <w:t>§ 361</w:t>
      </w:r>
    </w:p>
    <w:p w14:paraId="27D2D546" w14:textId="77777777" w:rsidR="00F11E27" w:rsidRPr="00F11E27" w:rsidRDefault="00F11E27" w:rsidP="00F11E27">
      <w:pPr>
        <w:pStyle w:val="Textparagrafu"/>
        <w:spacing w:after="120"/>
        <w:outlineLvl w:val="9"/>
        <w:rPr>
          <w:strike/>
          <w:szCs w:val="24"/>
        </w:rPr>
      </w:pPr>
      <w:r w:rsidRPr="00F11E27">
        <w:rPr>
          <w:strike/>
          <w:szCs w:val="24"/>
        </w:rPr>
        <w:t>Každý může ve veřejném rejstříku do výroční zprávy nahlížet a činit si z ní výpisy, opisy nebo kopie. Stejné právo lze uplatnit také v sídle nadace.</w:t>
      </w:r>
    </w:p>
    <w:p w14:paraId="5E4C9700" w14:textId="77777777" w:rsidR="00F11E27" w:rsidRPr="00F11E27" w:rsidRDefault="00F11E27" w:rsidP="00267E7F">
      <w:pPr>
        <w:pStyle w:val="Paragraf"/>
        <w:spacing w:after="120"/>
        <w:outlineLvl w:val="9"/>
        <w:rPr>
          <w:szCs w:val="24"/>
        </w:rPr>
      </w:pPr>
      <w:r w:rsidRPr="00F11E27">
        <w:rPr>
          <w:szCs w:val="24"/>
        </w:rPr>
        <w:t>***</w:t>
      </w:r>
    </w:p>
    <w:p w14:paraId="3B49BA29" w14:textId="77777777" w:rsidR="00F11E27" w:rsidRPr="00F11E27" w:rsidRDefault="00F11E27" w:rsidP="00267E7F">
      <w:pPr>
        <w:pStyle w:val="Textodstavce"/>
        <w:spacing w:before="240"/>
        <w:jc w:val="center"/>
        <w:outlineLvl w:val="9"/>
        <w:rPr>
          <w:szCs w:val="24"/>
        </w:rPr>
      </w:pPr>
      <w:r w:rsidRPr="00F11E27">
        <w:rPr>
          <w:szCs w:val="24"/>
        </w:rPr>
        <w:t>§ 370</w:t>
      </w:r>
    </w:p>
    <w:p w14:paraId="16778499" w14:textId="37985E72" w:rsidR="00F11E27" w:rsidRPr="00F11E27" w:rsidRDefault="00267E7F" w:rsidP="00F11E27">
      <w:pPr>
        <w:pStyle w:val="PZTextodstavce"/>
        <w:spacing w:before="240"/>
        <w:outlineLvl w:val="9"/>
        <w:rPr>
          <w:szCs w:val="24"/>
        </w:rPr>
      </w:pPr>
      <w:r>
        <w:rPr>
          <w:szCs w:val="24"/>
        </w:rPr>
        <w:t xml:space="preserve">(1) </w:t>
      </w:r>
      <w:r w:rsidR="00F11E27" w:rsidRPr="00F11E27">
        <w:rPr>
          <w:szCs w:val="24"/>
        </w:rPr>
        <w:t>Nesvěří-li nadační listina nebo v mezích jejího určení statut nadace dozorčí radě další působnost, dozorčí rada</w:t>
      </w:r>
    </w:p>
    <w:p w14:paraId="0226A2EC" w14:textId="065E0E96" w:rsidR="00F11E27" w:rsidRPr="00F11E27" w:rsidRDefault="00F11E27" w:rsidP="00635DDD">
      <w:pPr>
        <w:pStyle w:val="PZTextpsmene"/>
        <w:tabs>
          <w:tab w:val="left" w:pos="426"/>
        </w:tabs>
        <w:spacing w:before="0"/>
        <w:ind w:left="426" w:hanging="426"/>
        <w:outlineLvl w:val="9"/>
        <w:rPr>
          <w:szCs w:val="24"/>
        </w:rPr>
      </w:pPr>
      <w:r w:rsidRPr="00F11E27">
        <w:rPr>
          <w:szCs w:val="24"/>
        </w:rPr>
        <w:t>a)</w:t>
      </w:r>
      <w:r w:rsidRPr="00F11E27">
        <w:rPr>
          <w:szCs w:val="24"/>
        </w:rPr>
        <w:tab/>
        <w:t>dohlíží, zda správní rada vykonává působnost podle zákona a ve shodě s nadační listinou i statutem,</w:t>
      </w:r>
    </w:p>
    <w:p w14:paraId="1F44FA33" w14:textId="0FA6EF47" w:rsidR="00F11E27" w:rsidRPr="00F11E27" w:rsidRDefault="00267E7F" w:rsidP="00635DDD">
      <w:pPr>
        <w:pStyle w:val="PZTextpsmene"/>
        <w:tabs>
          <w:tab w:val="left" w:pos="426"/>
        </w:tabs>
        <w:spacing w:before="0"/>
        <w:ind w:left="426" w:hanging="426"/>
        <w:outlineLvl w:val="9"/>
        <w:rPr>
          <w:szCs w:val="24"/>
        </w:rPr>
      </w:pPr>
      <w:r>
        <w:rPr>
          <w:szCs w:val="24"/>
        </w:rPr>
        <w:t>b)</w:t>
      </w:r>
      <w:r>
        <w:rPr>
          <w:szCs w:val="24"/>
        </w:rPr>
        <w:tab/>
      </w:r>
      <w:r w:rsidR="00F11E27" w:rsidRPr="00F11E27">
        <w:rPr>
          <w:szCs w:val="24"/>
        </w:rPr>
        <w:t>kontroluje plnění podmínek stanovených pro poskytování nadačních příspěvků,</w:t>
      </w:r>
    </w:p>
    <w:p w14:paraId="343F2E6D" w14:textId="44481BFF" w:rsidR="00F11E27" w:rsidRPr="00F11E27" w:rsidRDefault="00267E7F" w:rsidP="00635DDD">
      <w:pPr>
        <w:pStyle w:val="PZTextpsmene"/>
        <w:tabs>
          <w:tab w:val="left" w:pos="426"/>
        </w:tabs>
        <w:spacing w:before="0"/>
        <w:ind w:left="426" w:hanging="426"/>
        <w:outlineLvl w:val="9"/>
        <w:rPr>
          <w:szCs w:val="24"/>
        </w:rPr>
      </w:pPr>
      <w:r>
        <w:rPr>
          <w:szCs w:val="24"/>
        </w:rPr>
        <w:t>c)</w:t>
      </w:r>
      <w:r>
        <w:rPr>
          <w:szCs w:val="24"/>
        </w:rPr>
        <w:tab/>
      </w:r>
      <w:r w:rsidR="00F11E27" w:rsidRPr="00F11E27">
        <w:rPr>
          <w:szCs w:val="24"/>
        </w:rPr>
        <w:t>upozorňuje správní radu na zjištěné nedostatky a podává návrhy na jejich odstranění,</w:t>
      </w:r>
    </w:p>
    <w:p w14:paraId="76E4E968" w14:textId="0D1CAE11" w:rsidR="00F11E27" w:rsidRPr="00F11E27" w:rsidRDefault="00F11E27" w:rsidP="00635DDD">
      <w:pPr>
        <w:pStyle w:val="PZTextpsmene"/>
        <w:tabs>
          <w:tab w:val="left" w:pos="426"/>
        </w:tabs>
        <w:spacing w:before="0"/>
        <w:ind w:left="426" w:hanging="426"/>
        <w:outlineLvl w:val="9"/>
        <w:rPr>
          <w:b/>
          <w:bCs/>
          <w:szCs w:val="24"/>
        </w:rPr>
      </w:pPr>
      <w:r w:rsidRPr="00F11E27">
        <w:rPr>
          <w:strike/>
          <w:szCs w:val="24"/>
        </w:rPr>
        <w:t>d)</w:t>
      </w:r>
      <w:r w:rsidR="00267E7F">
        <w:rPr>
          <w:szCs w:val="24"/>
        </w:rPr>
        <w:tab/>
      </w:r>
      <w:r w:rsidRPr="00F11E27">
        <w:rPr>
          <w:strike/>
          <w:szCs w:val="24"/>
        </w:rPr>
        <w:t>kontroluje, jak je vedeno účetnictví a přezkoumává roční, mimořádnou a konsolidovanou účetní závěrku,</w:t>
      </w:r>
    </w:p>
    <w:p w14:paraId="46DB2481" w14:textId="7DFB8E37" w:rsidR="00F11E27" w:rsidRPr="00F11E27" w:rsidRDefault="00267E7F" w:rsidP="00635DDD">
      <w:pPr>
        <w:pStyle w:val="PZTextpsmene"/>
        <w:tabs>
          <w:tab w:val="left" w:pos="426"/>
        </w:tabs>
        <w:spacing w:before="0"/>
        <w:ind w:left="426" w:hanging="426"/>
        <w:outlineLvl w:val="9"/>
        <w:rPr>
          <w:b/>
          <w:bCs/>
          <w:szCs w:val="24"/>
        </w:rPr>
      </w:pPr>
      <w:r>
        <w:rPr>
          <w:b/>
          <w:bCs/>
          <w:szCs w:val="24"/>
        </w:rPr>
        <w:t>d)</w:t>
      </w:r>
      <w:r>
        <w:rPr>
          <w:b/>
          <w:bCs/>
          <w:szCs w:val="24"/>
        </w:rPr>
        <w:tab/>
      </w:r>
      <w:r w:rsidR="00F11E27" w:rsidRPr="00F11E27">
        <w:rPr>
          <w:b/>
          <w:bCs/>
          <w:szCs w:val="24"/>
        </w:rPr>
        <w:t xml:space="preserve">kontroluje plnění povinností souvisejících s účetnictvím a přezkoumává účetní závěrku a </w:t>
      </w:r>
    </w:p>
    <w:p w14:paraId="60144E17" w14:textId="2BE7F160" w:rsidR="00F11E27" w:rsidRPr="00F11E27" w:rsidRDefault="00F11E27" w:rsidP="00635DDD">
      <w:pPr>
        <w:pStyle w:val="PZTextpsmene"/>
        <w:tabs>
          <w:tab w:val="left" w:pos="426"/>
        </w:tabs>
        <w:spacing w:before="0"/>
        <w:ind w:left="426" w:hanging="426"/>
        <w:outlineLvl w:val="9"/>
        <w:rPr>
          <w:strike/>
          <w:szCs w:val="24"/>
        </w:rPr>
      </w:pPr>
      <w:r w:rsidRPr="00F11E27">
        <w:rPr>
          <w:strike/>
          <w:szCs w:val="24"/>
        </w:rPr>
        <w:t>e)</w:t>
      </w:r>
      <w:r w:rsidR="00267E7F">
        <w:rPr>
          <w:szCs w:val="24"/>
        </w:rPr>
        <w:tab/>
      </w:r>
      <w:r w:rsidRPr="00F11E27">
        <w:rPr>
          <w:strike/>
          <w:szCs w:val="24"/>
        </w:rPr>
        <w:t>vyjadřuje se k výroční zprávě a</w:t>
      </w:r>
    </w:p>
    <w:p w14:paraId="0604B169" w14:textId="5E28D82A" w:rsidR="00F11E27" w:rsidRPr="00F11E27" w:rsidRDefault="00F11E27" w:rsidP="00635DDD">
      <w:pPr>
        <w:pStyle w:val="PZTextpsmene"/>
        <w:tabs>
          <w:tab w:val="left" w:pos="567"/>
        </w:tabs>
        <w:spacing w:before="0"/>
        <w:ind w:left="426" w:hanging="426"/>
        <w:outlineLvl w:val="9"/>
        <w:rPr>
          <w:szCs w:val="24"/>
        </w:rPr>
      </w:pPr>
      <w:proofErr w:type="gramStart"/>
      <w:r w:rsidRPr="00F11E27">
        <w:rPr>
          <w:strike/>
          <w:szCs w:val="24"/>
        </w:rPr>
        <w:t>f)</w:t>
      </w:r>
      <w:r w:rsidRPr="00F11E27">
        <w:rPr>
          <w:b/>
          <w:bCs/>
          <w:szCs w:val="24"/>
        </w:rPr>
        <w:t>(e)</w:t>
      </w:r>
      <w:r w:rsidR="00267E7F">
        <w:rPr>
          <w:szCs w:val="24"/>
        </w:rPr>
        <w:tab/>
      </w:r>
      <w:r w:rsidRPr="00F11E27">
        <w:rPr>
          <w:szCs w:val="24"/>
        </w:rPr>
        <w:t>nejméně</w:t>
      </w:r>
      <w:proofErr w:type="gramEnd"/>
      <w:r w:rsidRPr="00F11E27">
        <w:rPr>
          <w:szCs w:val="24"/>
        </w:rPr>
        <w:t xml:space="preserve"> jedenkrát ročně podává správní radě v písemné formě zprávu o své kontrolní činnosti.</w:t>
      </w:r>
    </w:p>
    <w:p w14:paraId="7D16AF94" w14:textId="3A400B61" w:rsidR="00F11E27" w:rsidRPr="00F11E27" w:rsidRDefault="00267E7F" w:rsidP="00F11E27">
      <w:pPr>
        <w:pStyle w:val="PZTextodstavce"/>
        <w:spacing w:before="240"/>
        <w:outlineLvl w:val="9"/>
        <w:rPr>
          <w:szCs w:val="24"/>
        </w:rPr>
      </w:pPr>
      <w:r>
        <w:rPr>
          <w:szCs w:val="24"/>
        </w:rPr>
        <w:t xml:space="preserve">(2) </w:t>
      </w:r>
      <w:r w:rsidR="00F11E27" w:rsidRPr="00F11E27">
        <w:rPr>
          <w:szCs w:val="24"/>
        </w:rPr>
        <w:t>Dozorčí rada zastupuje nadaci proti členu správní rady, jakož i v každé záležitosti, kdy zájem členů správní rady odporuje zájmům nadace. Za tím účelem pověří dozorčí rada jednoho ze svých členů.</w:t>
      </w:r>
    </w:p>
    <w:p w14:paraId="6A5AC7EF" w14:textId="77777777" w:rsidR="00F11E27" w:rsidRPr="00F11E27" w:rsidRDefault="00F11E27" w:rsidP="00267E7F">
      <w:pPr>
        <w:pStyle w:val="Paragraf"/>
        <w:spacing w:after="120"/>
        <w:outlineLvl w:val="9"/>
        <w:rPr>
          <w:szCs w:val="24"/>
        </w:rPr>
      </w:pPr>
      <w:r w:rsidRPr="00F11E27">
        <w:rPr>
          <w:szCs w:val="24"/>
        </w:rPr>
        <w:lastRenderedPageBreak/>
        <w:t>***</w:t>
      </w:r>
    </w:p>
    <w:p w14:paraId="37B50FBD" w14:textId="77777777" w:rsidR="00F11E27" w:rsidRPr="00F11E27" w:rsidRDefault="00F11E27" w:rsidP="00267E7F">
      <w:pPr>
        <w:pStyle w:val="Textodstavce"/>
        <w:keepNext/>
        <w:keepLines/>
        <w:spacing w:before="240"/>
        <w:jc w:val="center"/>
        <w:outlineLvl w:val="9"/>
        <w:rPr>
          <w:szCs w:val="24"/>
        </w:rPr>
      </w:pPr>
      <w:r w:rsidRPr="00F11E27">
        <w:rPr>
          <w:szCs w:val="24"/>
        </w:rPr>
        <w:t>§ 384</w:t>
      </w:r>
    </w:p>
    <w:p w14:paraId="38299F6D" w14:textId="593EBB48" w:rsidR="00F11E27" w:rsidRPr="00F11E27" w:rsidRDefault="0034744E" w:rsidP="00C902C6">
      <w:pPr>
        <w:pStyle w:val="PZTextodstavce"/>
        <w:keepNext/>
        <w:keepLines/>
        <w:outlineLvl w:val="9"/>
        <w:rPr>
          <w:szCs w:val="24"/>
        </w:rPr>
      </w:pPr>
      <w:r>
        <w:rPr>
          <w:szCs w:val="24"/>
        </w:rPr>
        <w:t xml:space="preserve">(1) </w:t>
      </w:r>
      <w:r w:rsidR="00F11E27" w:rsidRPr="00F11E27">
        <w:rPr>
          <w:szCs w:val="24"/>
        </w:rPr>
        <w:t xml:space="preserve">Zúčastněné osoby si před uzavřením smlouvy o sloučení navzájem zpřístupní </w:t>
      </w:r>
      <w:r w:rsidR="00F11E27" w:rsidRPr="00F11E27">
        <w:rPr>
          <w:strike/>
          <w:szCs w:val="24"/>
        </w:rPr>
        <w:t>své</w:t>
      </w:r>
      <w:r w:rsidR="00F11E27" w:rsidRPr="00F11E27">
        <w:rPr>
          <w:szCs w:val="24"/>
        </w:rPr>
        <w:t xml:space="preserve"> </w:t>
      </w:r>
      <w:r w:rsidR="00F11E27" w:rsidRPr="00F11E27">
        <w:rPr>
          <w:strike/>
          <w:szCs w:val="24"/>
        </w:rPr>
        <w:t>účetnictví</w:t>
      </w:r>
      <w:r w:rsidR="00F11E27" w:rsidRPr="00F11E27">
        <w:rPr>
          <w:szCs w:val="24"/>
        </w:rPr>
        <w:t xml:space="preserve"> </w:t>
      </w:r>
      <w:r w:rsidR="00F11E27" w:rsidRPr="00F11E27">
        <w:rPr>
          <w:b/>
          <w:szCs w:val="24"/>
        </w:rPr>
        <w:t xml:space="preserve">účetní závěrky a účetní záznamy </w:t>
      </w:r>
      <w:r w:rsidR="00F11E27" w:rsidRPr="00F11E27">
        <w:rPr>
          <w:szCs w:val="24"/>
        </w:rPr>
        <w:t>a poskytnou další informace a písemnosti potřebné pro posouzení právních a hospodářských důsledků sloučení.</w:t>
      </w:r>
    </w:p>
    <w:p w14:paraId="2FD5E34D" w14:textId="6896823E" w:rsidR="00F11E27" w:rsidRPr="00F11E27" w:rsidRDefault="0034744E" w:rsidP="00C902C6">
      <w:pPr>
        <w:pStyle w:val="PZTextodstavce"/>
        <w:outlineLvl w:val="9"/>
        <w:rPr>
          <w:szCs w:val="24"/>
        </w:rPr>
      </w:pPr>
      <w:r>
        <w:rPr>
          <w:szCs w:val="24"/>
        </w:rPr>
        <w:t xml:space="preserve">(2) </w:t>
      </w:r>
      <w:r w:rsidR="00F11E27" w:rsidRPr="00F11E27">
        <w:rPr>
          <w:szCs w:val="24"/>
        </w:rPr>
        <w:t>Kdo se seznámí s údaji podle odstavce 1, zachová mlčenlivost o skutečnostech, které zákon zakazuje uveřejnit nebo jejichž prozrazení může zúčastněné osobě způsobit vážnou újmu.</w:t>
      </w:r>
    </w:p>
    <w:p w14:paraId="3B7DDE7C" w14:textId="77777777" w:rsidR="00F11E27" w:rsidRPr="00F11E27" w:rsidRDefault="00F11E27" w:rsidP="0034744E">
      <w:pPr>
        <w:pStyle w:val="Paragraf"/>
        <w:spacing w:after="120"/>
        <w:outlineLvl w:val="9"/>
        <w:rPr>
          <w:szCs w:val="24"/>
        </w:rPr>
      </w:pPr>
      <w:r w:rsidRPr="00F11E27">
        <w:rPr>
          <w:szCs w:val="24"/>
        </w:rPr>
        <w:t>§ 385</w:t>
      </w:r>
    </w:p>
    <w:p w14:paraId="66CD08E5" w14:textId="77777777" w:rsidR="00F11E27" w:rsidRPr="00F11E27" w:rsidRDefault="00F11E27" w:rsidP="00F11E27">
      <w:pPr>
        <w:pStyle w:val="Textparagrafu"/>
        <w:spacing w:after="120"/>
        <w:outlineLvl w:val="9"/>
        <w:rPr>
          <w:szCs w:val="24"/>
        </w:rPr>
      </w:pPr>
      <w:r w:rsidRPr="00F11E27">
        <w:rPr>
          <w:szCs w:val="24"/>
        </w:rPr>
        <w:t xml:space="preserve">Dozorčí rady nebo revizoři zúčastněných osob přezkoumají účetnictví každé ze zúčastněných osob a sestaví </w:t>
      </w:r>
      <w:r w:rsidRPr="00F11E27">
        <w:rPr>
          <w:b/>
          <w:szCs w:val="24"/>
        </w:rPr>
        <w:t xml:space="preserve">o tomto přezkumu </w:t>
      </w:r>
      <w:r w:rsidRPr="00F11E27">
        <w:rPr>
          <w:szCs w:val="24"/>
        </w:rPr>
        <w:t xml:space="preserve">zprávu </w:t>
      </w:r>
      <w:r w:rsidRPr="00F11E27">
        <w:rPr>
          <w:strike/>
          <w:szCs w:val="24"/>
        </w:rPr>
        <w:t xml:space="preserve">o skutečnostech, které jsou předmětem jejich účetnictví </w:t>
      </w:r>
      <w:r w:rsidRPr="00F11E27">
        <w:rPr>
          <w:szCs w:val="24"/>
        </w:rPr>
        <w:t>včetně stanoviska k návrhu smlouvy o sloučení a k hospodářským důsledkům sloučení; zprávu lze sestavit i jako společnou pro všechny zúčastněné osoby.</w:t>
      </w:r>
    </w:p>
    <w:p w14:paraId="62DB2ED4" w14:textId="77777777" w:rsidR="00F11E27" w:rsidRPr="00F11E27" w:rsidRDefault="00F11E27" w:rsidP="0034744E">
      <w:pPr>
        <w:pStyle w:val="Textodstavce"/>
        <w:keepNext/>
        <w:keepLines/>
        <w:spacing w:before="240"/>
        <w:jc w:val="center"/>
        <w:outlineLvl w:val="9"/>
        <w:rPr>
          <w:szCs w:val="24"/>
        </w:rPr>
      </w:pPr>
      <w:r w:rsidRPr="00F11E27">
        <w:rPr>
          <w:szCs w:val="24"/>
        </w:rPr>
        <w:t>§ 386</w:t>
      </w:r>
    </w:p>
    <w:p w14:paraId="0DA05B9A" w14:textId="1D946327" w:rsidR="00F11E27" w:rsidRPr="00F11E27" w:rsidRDefault="0034744E" w:rsidP="00F11E27">
      <w:pPr>
        <w:pStyle w:val="PZTextodstavce"/>
        <w:keepNext/>
        <w:keepLines/>
        <w:spacing w:before="240"/>
        <w:outlineLvl w:val="9"/>
        <w:rPr>
          <w:szCs w:val="24"/>
        </w:rPr>
      </w:pPr>
      <w:r>
        <w:rPr>
          <w:szCs w:val="24"/>
        </w:rPr>
        <w:t xml:space="preserve">(1) </w:t>
      </w:r>
      <w:r w:rsidR="00F11E27" w:rsidRPr="00F11E27">
        <w:rPr>
          <w:szCs w:val="24"/>
        </w:rPr>
        <w:t>Je-li sestavena zpráva podle § 385, rozhodnou o sloučení správní rady zúčastněných osob. Zasedání správní rady musí být ohlášeno nejméně třicet dnů před jeho konáním; v této lhůtě se každému členu správní rady zpřístupní</w:t>
      </w:r>
    </w:p>
    <w:p w14:paraId="5BE6DB97" w14:textId="77777777" w:rsidR="00F11E27" w:rsidRPr="00F11E27" w:rsidRDefault="00F11E27" w:rsidP="00635DDD">
      <w:pPr>
        <w:pStyle w:val="PZTextpsmene"/>
        <w:tabs>
          <w:tab w:val="left" w:pos="406"/>
        </w:tabs>
        <w:spacing w:before="0"/>
        <w:ind w:left="426" w:hanging="426"/>
        <w:outlineLvl w:val="9"/>
        <w:rPr>
          <w:szCs w:val="24"/>
        </w:rPr>
      </w:pPr>
      <w:r w:rsidRPr="00F11E27">
        <w:rPr>
          <w:szCs w:val="24"/>
        </w:rPr>
        <w:t>a)</w:t>
      </w:r>
      <w:r w:rsidRPr="00F11E27">
        <w:rPr>
          <w:szCs w:val="24"/>
        </w:rPr>
        <w:tab/>
        <w:t>návrh smlouvy o sloučení,</w:t>
      </w:r>
    </w:p>
    <w:p w14:paraId="428315FC" w14:textId="77777777" w:rsidR="00F11E27" w:rsidRPr="00F11E27" w:rsidRDefault="00F11E27" w:rsidP="00635DDD">
      <w:pPr>
        <w:pStyle w:val="PZTextpsmene"/>
        <w:tabs>
          <w:tab w:val="left" w:pos="406"/>
        </w:tabs>
        <w:spacing w:before="0"/>
        <w:ind w:left="426" w:hanging="426"/>
        <w:outlineLvl w:val="9"/>
        <w:rPr>
          <w:szCs w:val="24"/>
        </w:rPr>
      </w:pPr>
      <w:r w:rsidRPr="00F11E27">
        <w:rPr>
          <w:szCs w:val="24"/>
        </w:rPr>
        <w:t>b)</w:t>
      </w:r>
      <w:r w:rsidRPr="00F11E27">
        <w:rPr>
          <w:szCs w:val="24"/>
        </w:rPr>
        <w:tab/>
        <w:t>má-li dojít v důsledku sloučení ke změně stanov nástupnické osoby, její stanovy,</w:t>
      </w:r>
    </w:p>
    <w:p w14:paraId="39EF2E21" w14:textId="77777777" w:rsidR="00F11E27" w:rsidRPr="00F11E27" w:rsidRDefault="00F11E27" w:rsidP="00635DDD">
      <w:pPr>
        <w:pStyle w:val="PZTextpsmene"/>
        <w:tabs>
          <w:tab w:val="left" w:pos="406"/>
        </w:tabs>
        <w:spacing w:before="0"/>
        <w:ind w:left="426" w:hanging="426"/>
        <w:outlineLvl w:val="9"/>
        <w:rPr>
          <w:szCs w:val="24"/>
        </w:rPr>
      </w:pPr>
      <w:r w:rsidRPr="00F11E27">
        <w:rPr>
          <w:szCs w:val="24"/>
        </w:rPr>
        <w:t>c)</w:t>
      </w:r>
      <w:r w:rsidRPr="00F11E27">
        <w:rPr>
          <w:szCs w:val="24"/>
        </w:rPr>
        <w:tab/>
      </w:r>
      <w:r w:rsidRPr="00F11E27">
        <w:rPr>
          <w:b/>
          <w:szCs w:val="24"/>
        </w:rPr>
        <w:t xml:space="preserve">řádné individuální </w:t>
      </w:r>
      <w:r w:rsidRPr="00F11E27">
        <w:rPr>
          <w:szCs w:val="24"/>
        </w:rPr>
        <w:t xml:space="preserve">účetní závěrky všech zúčastněných osob; je-li </w:t>
      </w:r>
      <w:r w:rsidRPr="00F11E27">
        <w:rPr>
          <w:b/>
          <w:szCs w:val="24"/>
        </w:rPr>
        <w:t>tato</w:t>
      </w:r>
      <w:r w:rsidRPr="00F11E27">
        <w:rPr>
          <w:szCs w:val="24"/>
        </w:rPr>
        <w:t xml:space="preserve"> účetní závěrka sestavena z údajů ke dni, od něhož ke dni vyhotovení návrhu smlouvy o sloučení uplynulo více než šest měsíců, také mezitímní </w:t>
      </w:r>
      <w:r w:rsidRPr="00F11E27">
        <w:rPr>
          <w:b/>
          <w:szCs w:val="24"/>
        </w:rPr>
        <w:t>individuální</w:t>
      </w:r>
      <w:r w:rsidRPr="00F11E27">
        <w:rPr>
          <w:szCs w:val="24"/>
        </w:rPr>
        <w:t xml:space="preserve"> účetní závěrka příslušné osoby,</w:t>
      </w:r>
    </w:p>
    <w:p w14:paraId="27C969B4" w14:textId="77777777" w:rsidR="00F11E27" w:rsidRPr="00F11E27" w:rsidRDefault="00F11E27" w:rsidP="00635DDD">
      <w:pPr>
        <w:pStyle w:val="PZTextpsmene"/>
        <w:tabs>
          <w:tab w:val="left" w:pos="406"/>
        </w:tabs>
        <w:spacing w:before="0"/>
        <w:ind w:left="426" w:hanging="426"/>
        <w:outlineLvl w:val="9"/>
        <w:rPr>
          <w:szCs w:val="24"/>
        </w:rPr>
      </w:pPr>
      <w:r w:rsidRPr="00F11E27">
        <w:rPr>
          <w:szCs w:val="24"/>
        </w:rPr>
        <w:t>d)</w:t>
      </w:r>
      <w:r w:rsidRPr="00F11E27">
        <w:rPr>
          <w:szCs w:val="24"/>
        </w:rPr>
        <w:tab/>
        <w:t>zahajovací rozvaha nástupnické osoby a</w:t>
      </w:r>
    </w:p>
    <w:p w14:paraId="74E8DD54" w14:textId="77777777" w:rsidR="00F11E27" w:rsidRPr="00F11E27" w:rsidRDefault="00F11E27" w:rsidP="00635DDD">
      <w:pPr>
        <w:pStyle w:val="PZTextpsmene"/>
        <w:tabs>
          <w:tab w:val="left" w:pos="406"/>
        </w:tabs>
        <w:spacing w:before="0"/>
        <w:ind w:left="426" w:hanging="426"/>
        <w:outlineLvl w:val="9"/>
        <w:rPr>
          <w:szCs w:val="24"/>
        </w:rPr>
      </w:pPr>
      <w:r w:rsidRPr="00F11E27">
        <w:rPr>
          <w:szCs w:val="24"/>
        </w:rPr>
        <w:t>e)</w:t>
      </w:r>
      <w:r w:rsidRPr="00F11E27">
        <w:rPr>
          <w:szCs w:val="24"/>
        </w:rPr>
        <w:tab/>
        <w:t>zpráva podle § 385.</w:t>
      </w:r>
    </w:p>
    <w:p w14:paraId="247FCF89" w14:textId="799241AB" w:rsidR="00F11E27" w:rsidRPr="00F11E27" w:rsidRDefault="0034744E" w:rsidP="00C902C6">
      <w:pPr>
        <w:pStyle w:val="PZTextodstavce"/>
        <w:outlineLvl w:val="9"/>
        <w:rPr>
          <w:szCs w:val="24"/>
        </w:rPr>
      </w:pPr>
      <w:r>
        <w:rPr>
          <w:szCs w:val="24"/>
        </w:rPr>
        <w:t xml:space="preserve">(2) </w:t>
      </w:r>
      <w:r w:rsidR="00F11E27" w:rsidRPr="00F11E27">
        <w:rPr>
          <w:szCs w:val="24"/>
        </w:rPr>
        <w:t>Správní rada může návrh smlouvy o sloučení jen přijmout nebo odmítnout.</w:t>
      </w:r>
    </w:p>
    <w:p w14:paraId="56498386" w14:textId="0C5C6403" w:rsidR="00F11E27" w:rsidRPr="00F11E27" w:rsidRDefault="0034744E" w:rsidP="00C902C6">
      <w:pPr>
        <w:pStyle w:val="PZTextodstavce"/>
        <w:outlineLvl w:val="9"/>
        <w:rPr>
          <w:szCs w:val="24"/>
        </w:rPr>
      </w:pPr>
      <w:r>
        <w:rPr>
          <w:szCs w:val="24"/>
        </w:rPr>
        <w:t xml:space="preserve">(3) </w:t>
      </w:r>
      <w:r w:rsidR="00F11E27" w:rsidRPr="00F11E27">
        <w:rPr>
          <w:szCs w:val="24"/>
        </w:rPr>
        <w:t>Svolá-li se zasedání správních rad zúčastněných osob jako společné, hlasují jednotlivé správní rady o návrhu smlouvy o sloučení odděleně. Pokud se však po schválení smlouvy volí členové orgánů nástupnické osoby, mohou správní rady zúčastněných osob rozhodnout, že budou o těchto členech hlasovat společně.</w:t>
      </w:r>
    </w:p>
    <w:p w14:paraId="5D4793D4" w14:textId="77777777" w:rsidR="00F11E27" w:rsidRPr="00F11E27" w:rsidRDefault="00F11E27" w:rsidP="0034744E">
      <w:pPr>
        <w:pStyle w:val="Paragraf"/>
        <w:spacing w:after="120"/>
        <w:outlineLvl w:val="9"/>
        <w:rPr>
          <w:szCs w:val="24"/>
        </w:rPr>
      </w:pPr>
      <w:r w:rsidRPr="00F11E27">
        <w:rPr>
          <w:szCs w:val="24"/>
        </w:rPr>
        <w:t>***</w:t>
      </w:r>
    </w:p>
    <w:p w14:paraId="1DFF184A" w14:textId="77777777" w:rsidR="00F11E27" w:rsidRPr="00F11E27" w:rsidRDefault="00F11E27" w:rsidP="0034744E">
      <w:pPr>
        <w:pStyle w:val="Nadpisparagrafu"/>
        <w:spacing w:after="120"/>
        <w:outlineLvl w:val="9"/>
        <w:rPr>
          <w:szCs w:val="24"/>
        </w:rPr>
      </w:pPr>
      <w:r w:rsidRPr="00F11E27">
        <w:rPr>
          <w:szCs w:val="24"/>
        </w:rPr>
        <w:t>Změna právní formy nadace na nadační fond</w:t>
      </w:r>
    </w:p>
    <w:p w14:paraId="5E53946A" w14:textId="4F75764B" w:rsidR="00F11E27" w:rsidRPr="00F11E27" w:rsidRDefault="00F11E27" w:rsidP="0034744E">
      <w:pPr>
        <w:pStyle w:val="Paragraf"/>
        <w:spacing w:after="120"/>
        <w:outlineLvl w:val="9"/>
        <w:rPr>
          <w:szCs w:val="24"/>
        </w:rPr>
      </w:pPr>
      <w:r w:rsidRPr="00F11E27">
        <w:rPr>
          <w:szCs w:val="24"/>
        </w:rPr>
        <w:t>§ 391</w:t>
      </w:r>
    </w:p>
    <w:p w14:paraId="477195ED" w14:textId="77777777" w:rsidR="00F11E27" w:rsidRPr="00F11E27" w:rsidRDefault="00F11E27" w:rsidP="00C902C6">
      <w:pPr>
        <w:pStyle w:val="PZTextodstavce"/>
        <w:outlineLvl w:val="9"/>
        <w:rPr>
          <w:szCs w:val="24"/>
        </w:rPr>
      </w:pPr>
      <w:r w:rsidRPr="00F11E27">
        <w:rPr>
          <w:szCs w:val="24"/>
        </w:rPr>
        <w:t>(1) Připustí-li to nadační listina výslovně, může správní rada po předchozím vyjádření dozorčí rady nebo revizora rozhodnout o změně právní formy nadace na nadační fond, avšak jen pokud došlo ke snížení hodnoty nadační jistiny pod výši stanovenou v § 330 odst. 1 na dobu nikoli přechodnou.</w:t>
      </w:r>
    </w:p>
    <w:p w14:paraId="6B9182C1" w14:textId="77777777" w:rsidR="00F11E27" w:rsidRPr="00F11E27" w:rsidRDefault="00F11E27" w:rsidP="00C902C6">
      <w:pPr>
        <w:pStyle w:val="PZTextodstavce"/>
        <w:outlineLvl w:val="9"/>
        <w:rPr>
          <w:szCs w:val="24"/>
        </w:rPr>
      </w:pPr>
      <w:r w:rsidRPr="00F11E27">
        <w:rPr>
          <w:szCs w:val="24"/>
        </w:rPr>
        <w:t>(2) Rozhodnutí o změně právní formy musí obsahovat</w:t>
      </w:r>
    </w:p>
    <w:p w14:paraId="48522843" w14:textId="5978677E" w:rsidR="00F11E27" w:rsidRPr="00F11E27" w:rsidRDefault="0034744E" w:rsidP="0034744E">
      <w:pPr>
        <w:pStyle w:val="PZTextpsmene"/>
        <w:tabs>
          <w:tab w:val="left" w:pos="420"/>
        </w:tabs>
        <w:spacing w:before="0"/>
        <w:ind w:left="0" w:firstLine="0"/>
        <w:outlineLvl w:val="9"/>
        <w:rPr>
          <w:szCs w:val="24"/>
        </w:rPr>
      </w:pPr>
      <w:r>
        <w:rPr>
          <w:szCs w:val="24"/>
        </w:rPr>
        <w:t>a)</w:t>
      </w:r>
      <w:r w:rsidR="00F11E27" w:rsidRPr="00F11E27">
        <w:rPr>
          <w:szCs w:val="24"/>
        </w:rPr>
        <w:tab/>
      </w:r>
      <w:r w:rsidR="00F11E27" w:rsidRPr="00F11E27">
        <w:rPr>
          <w:szCs w:val="24"/>
        </w:rPr>
        <w:tab/>
        <w:t>označení nadace názvem, sídlem a identifikujícím údajem,</w:t>
      </w:r>
    </w:p>
    <w:p w14:paraId="12DF7FD0" w14:textId="2AC726C4" w:rsidR="00F11E27" w:rsidRPr="00F11E27" w:rsidRDefault="0034744E" w:rsidP="0034744E">
      <w:pPr>
        <w:pStyle w:val="PZTextpsmene"/>
        <w:tabs>
          <w:tab w:val="left" w:pos="420"/>
        </w:tabs>
        <w:spacing w:before="0"/>
        <w:ind w:left="0" w:firstLine="0"/>
        <w:outlineLvl w:val="9"/>
        <w:rPr>
          <w:szCs w:val="24"/>
        </w:rPr>
      </w:pPr>
      <w:r>
        <w:rPr>
          <w:szCs w:val="24"/>
        </w:rPr>
        <w:t>b)</w:t>
      </w:r>
      <w:r w:rsidR="00F11E27" w:rsidRPr="00F11E27">
        <w:rPr>
          <w:szCs w:val="24"/>
        </w:rPr>
        <w:tab/>
      </w:r>
      <w:r w:rsidR="00F11E27" w:rsidRPr="00F11E27">
        <w:rPr>
          <w:szCs w:val="24"/>
        </w:rPr>
        <w:tab/>
        <w:t>název nadačního fondu po změně právní formy,</w:t>
      </w:r>
    </w:p>
    <w:p w14:paraId="23371080" w14:textId="3226E69F" w:rsidR="00F11E27" w:rsidRPr="00F11E27" w:rsidRDefault="0034744E" w:rsidP="0034744E">
      <w:pPr>
        <w:pStyle w:val="PZTextpsmene"/>
        <w:tabs>
          <w:tab w:val="left" w:pos="420"/>
        </w:tabs>
        <w:spacing w:before="0"/>
        <w:ind w:left="0" w:firstLine="0"/>
        <w:outlineLvl w:val="9"/>
        <w:rPr>
          <w:strike/>
          <w:szCs w:val="24"/>
        </w:rPr>
      </w:pPr>
      <w:r>
        <w:rPr>
          <w:strike/>
          <w:szCs w:val="24"/>
        </w:rPr>
        <w:lastRenderedPageBreak/>
        <w:t>c)</w:t>
      </w:r>
      <w:r w:rsidR="00F11E27" w:rsidRPr="00F11E27">
        <w:rPr>
          <w:strike/>
          <w:szCs w:val="24"/>
        </w:rPr>
        <w:tab/>
      </w:r>
      <w:r w:rsidR="00F11E27" w:rsidRPr="00F11E27">
        <w:rPr>
          <w:strike/>
          <w:szCs w:val="24"/>
        </w:rPr>
        <w:tab/>
        <w:t>rozhodný den,</w:t>
      </w:r>
    </w:p>
    <w:p w14:paraId="1280D259" w14:textId="5E7BD5F8" w:rsidR="00F11E27" w:rsidRPr="00F11E27" w:rsidRDefault="00F11E27" w:rsidP="0034744E">
      <w:pPr>
        <w:pStyle w:val="PZTextpsmene"/>
        <w:tabs>
          <w:tab w:val="left" w:pos="567"/>
        </w:tabs>
        <w:spacing w:before="0"/>
        <w:ind w:left="0" w:firstLine="0"/>
        <w:outlineLvl w:val="9"/>
        <w:rPr>
          <w:szCs w:val="24"/>
        </w:rPr>
      </w:pPr>
      <w:proofErr w:type="gramStart"/>
      <w:r w:rsidRPr="00F11E27">
        <w:rPr>
          <w:strike/>
          <w:szCs w:val="24"/>
        </w:rPr>
        <w:t>d)</w:t>
      </w:r>
      <w:r w:rsidRPr="00F11E27">
        <w:rPr>
          <w:b/>
          <w:bCs/>
          <w:szCs w:val="24"/>
        </w:rPr>
        <w:t>(c)</w:t>
      </w:r>
      <w:r w:rsidR="0034744E">
        <w:rPr>
          <w:b/>
          <w:bCs/>
          <w:szCs w:val="24"/>
        </w:rPr>
        <w:tab/>
      </w:r>
      <w:r w:rsidRPr="00F11E27">
        <w:rPr>
          <w:szCs w:val="24"/>
        </w:rPr>
        <w:t>údaje</w:t>
      </w:r>
      <w:proofErr w:type="gramEnd"/>
      <w:r w:rsidRPr="00F11E27">
        <w:rPr>
          <w:szCs w:val="24"/>
        </w:rPr>
        <w:t xml:space="preserve"> o členech orgánů nadačního fondu, které se zapisují do veřejného rejstříku. </w:t>
      </w:r>
    </w:p>
    <w:p w14:paraId="73125D9F" w14:textId="77777777" w:rsidR="00F11E27" w:rsidRPr="00F11E27" w:rsidRDefault="00F11E27" w:rsidP="00C902C6">
      <w:pPr>
        <w:pStyle w:val="PZTextodstavce"/>
        <w:outlineLvl w:val="9"/>
        <w:rPr>
          <w:szCs w:val="24"/>
        </w:rPr>
      </w:pPr>
      <w:r w:rsidRPr="00F11E27">
        <w:rPr>
          <w:szCs w:val="24"/>
        </w:rPr>
        <w:t>(3) Rozhodnutí vyžaduje formu veřejné listiny.</w:t>
      </w:r>
    </w:p>
    <w:p w14:paraId="229E8CEE" w14:textId="77777777" w:rsidR="00F11E27" w:rsidRPr="00F11E27" w:rsidRDefault="00F11E27" w:rsidP="0034744E">
      <w:pPr>
        <w:pStyle w:val="Paragraf"/>
        <w:spacing w:after="120"/>
        <w:outlineLvl w:val="9"/>
        <w:rPr>
          <w:szCs w:val="24"/>
        </w:rPr>
      </w:pPr>
      <w:r w:rsidRPr="00F11E27">
        <w:rPr>
          <w:szCs w:val="24"/>
        </w:rPr>
        <w:t>***</w:t>
      </w:r>
    </w:p>
    <w:p w14:paraId="37915D27" w14:textId="77777777" w:rsidR="00F11E27" w:rsidRPr="00F11E27" w:rsidRDefault="00F11E27" w:rsidP="0034744E">
      <w:pPr>
        <w:pStyle w:val="lnek"/>
        <w:spacing w:after="120"/>
        <w:outlineLvl w:val="9"/>
        <w:rPr>
          <w:szCs w:val="24"/>
        </w:rPr>
      </w:pPr>
      <w:r w:rsidRPr="00F11E27">
        <w:rPr>
          <w:szCs w:val="24"/>
        </w:rPr>
        <w:t>§ 411</w:t>
      </w:r>
    </w:p>
    <w:p w14:paraId="5EAF8113" w14:textId="3CCD188C" w:rsidR="00F11E27" w:rsidRPr="00F11E27" w:rsidRDefault="0034744E" w:rsidP="00C902C6">
      <w:pPr>
        <w:pStyle w:val="PZTextodstavce"/>
        <w:outlineLvl w:val="9"/>
        <w:rPr>
          <w:strike/>
          <w:szCs w:val="24"/>
        </w:rPr>
      </w:pPr>
      <w:r>
        <w:rPr>
          <w:strike/>
          <w:szCs w:val="24"/>
        </w:rPr>
        <w:t xml:space="preserve">(1) </w:t>
      </w:r>
      <w:r w:rsidR="00F11E27" w:rsidRPr="00F11E27">
        <w:rPr>
          <w:strike/>
          <w:szCs w:val="24"/>
        </w:rPr>
        <w:t>Správní rada schvaluje rozpočet,</w:t>
      </w:r>
      <w:r w:rsidR="00F11E27" w:rsidRPr="00F11E27">
        <w:rPr>
          <w:b/>
          <w:bCs/>
          <w:strike/>
          <w:szCs w:val="24"/>
        </w:rPr>
        <w:t xml:space="preserve"> </w:t>
      </w:r>
      <w:r w:rsidR="00F11E27" w:rsidRPr="00F11E27">
        <w:rPr>
          <w:strike/>
          <w:szCs w:val="24"/>
        </w:rPr>
        <w:t>řádnou a mimořádnou účetní závěrku a výroční zprávu ústavu.</w:t>
      </w:r>
    </w:p>
    <w:p w14:paraId="0DF7A2ED" w14:textId="77777777" w:rsidR="00F11E27" w:rsidRPr="00F11E27" w:rsidRDefault="00F11E27" w:rsidP="00C902C6">
      <w:pPr>
        <w:pStyle w:val="PZTextodstavce"/>
        <w:outlineLvl w:val="9"/>
        <w:rPr>
          <w:b/>
          <w:bCs/>
          <w:szCs w:val="24"/>
        </w:rPr>
      </w:pPr>
      <w:r w:rsidRPr="00F11E27">
        <w:rPr>
          <w:b/>
          <w:bCs/>
          <w:szCs w:val="24"/>
        </w:rPr>
        <w:t>(1) Správní rada schvaluje rozpočet a účetní závěrku ústavu.</w:t>
      </w:r>
    </w:p>
    <w:p w14:paraId="70321C96" w14:textId="47A184DB" w:rsidR="00F11E27" w:rsidRPr="00F11E27" w:rsidRDefault="0034744E" w:rsidP="00C902C6">
      <w:pPr>
        <w:pStyle w:val="PZTextodstavce"/>
        <w:outlineLvl w:val="9"/>
        <w:rPr>
          <w:szCs w:val="24"/>
        </w:rPr>
      </w:pPr>
      <w:r>
        <w:rPr>
          <w:szCs w:val="24"/>
        </w:rPr>
        <w:t xml:space="preserve">(2) </w:t>
      </w:r>
      <w:r w:rsidR="00F11E27" w:rsidRPr="00F11E27">
        <w:rPr>
          <w:szCs w:val="24"/>
        </w:rPr>
        <w:t>Správní rada rozhoduje o zahájení provozu obchodního závodu nebo jiné vedlejší činnosti ústavu nebo o změně jejího předmětu, pokud zakladatelské právní jednání neurčí něco jiného.</w:t>
      </w:r>
    </w:p>
    <w:p w14:paraId="4D7F9310" w14:textId="77777777" w:rsidR="00F11E27" w:rsidRPr="00F11E27" w:rsidRDefault="00F11E27" w:rsidP="0034744E">
      <w:pPr>
        <w:pStyle w:val="Paragraf"/>
        <w:spacing w:after="120"/>
        <w:outlineLvl w:val="9"/>
        <w:rPr>
          <w:szCs w:val="24"/>
        </w:rPr>
      </w:pPr>
      <w:r w:rsidRPr="00F11E27">
        <w:rPr>
          <w:szCs w:val="24"/>
        </w:rPr>
        <w:t>***</w:t>
      </w:r>
    </w:p>
    <w:p w14:paraId="3239AE4C" w14:textId="77777777" w:rsidR="00F11E27" w:rsidRPr="00F11E27" w:rsidRDefault="00F11E27" w:rsidP="0034744E">
      <w:pPr>
        <w:pStyle w:val="lnek"/>
        <w:numPr>
          <w:ilvl w:val="0"/>
          <w:numId w:val="0"/>
        </w:numPr>
        <w:spacing w:after="120"/>
        <w:outlineLvl w:val="9"/>
        <w:rPr>
          <w:strike/>
          <w:szCs w:val="24"/>
        </w:rPr>
      </w:pPr>
      <w:r w:rsidRPr="00F11E27">
        <w:rPr>
          <w:strike/>
          <w:szCs w:val="24"/>
        </w:rPr>
        <w:t>§ 415</w:t>
      </w:r>
    </w:p>
    <w:p w14:paraId="69E05925" w14:textId="630CC2C1" w:rsidR="00F11E27" w:rsidRPr="00F11E27" w:rsidRDefault="0034744E" w:rsidP="00C902C6">
      <w:pPr>
        <w:pStyle w:val="PZTextodstavce"/>
        <w:outlineLvl w:val="9"/>
        <w:rPr>
          <w:strike/>
          <w:szCs w:val="24"/>
        </w:rPr>
      </w:pPr>
      <w:r>
        <w:rPr>
          <w:strike/>
          <w:szCs w:val="24"/>
        </w:rPr>
        <w:t xml:space="preserve">(1) </w:t>
      </w:r>
      <w:r w:rsidR="00F11E27" w:rsidRPr="00F11E27">
        <w:rPr>
          <w:strike/>
          <w:szCs w:val="24"/>
        </w:rPr>
        <w:t>Ústav účtuje odděleně o nákladech a výnosech spojených s hlavním předmětem činnosti, s provozem obchodního závodu nebo jinou vedlejší činností a se správou ústavu.</w:t>
      </w:r>
    </w:p>
    <w:p w14:paraId="5EC8E1D7" w14:textId="3A89E2EB" w:rsidR="00F11E27" w:rsidRPr="00F11E27" w:rsidRDefault="0034744E" w:rsidP="00C902C6">
      <w:pPr>
        <w:pStyle w:val="PZTextodstavce"/>
        <w:outlineLvl w:val="9"/>
        <w:rPr>
          <w:strike/>
          <w:szCs w:val="24"/>
        </w:rPr>
      </w:pPr>
      <w:r>
        <w:rPr>
          <w:strike/>
          <w:szCs w:val="24"/>
        </w:rPr>
        <w:t xml:space="preserve">(2) </w:t>
      </w:r>
      <w:r w:rsidR="00F11E27" w:rsidRPr="00F11E27">
        <w:rPr>
          <w:strike/>
          <w:szCs w:val="24"/>
        </w:rPr>
        <w:t>Účetní závěrku ústavu ověřuje auditor, pokud mu to ukládá zakladatelské právní jednání nebo statut, anebo pokud výše čistého obratu ústavu překročí deset milionů Kč. V těchto případech auditor ověřuje i výroční zprávu ústavu.</w:t>
      </w:r>
    </w:p>
    <w:p w14:paraId="5B8CE98B" w14:textId="77777777" w:rsidR="00F11E27" w:rsidRPr="00F11E27" w:rsidRDefault="00F11E27" w:rsidP="0034744E">
      <w:pPr>
        <w:pStyle w:val="PZTextodstavce"/>
        <w:tabs>
          <w:tab w:val="clear" w:pos="782"/>
        </w:tabs>
        <w:spacing w:before="240"/>
        <w:ind w:firstLine="0"/>
        <w:jc w:val="center"/>
        <w:outlineLvl w:val="9"/>
        <w:rPr>
          <w:b/>
          <w:szCs w:val="24"/>
        </w:rPr>
      </w:pPr>
      <w:r w:rsidRPr="00F11E27">
        <w:rPr>
          <w:b/>
          <w:szCs w:val="24"/>
        </w:rPr>
        <w:t>§ 415</w:t>
      </w:r>
    </w:p>
    <w:p w14:paraId="47E85DAD" w14:textId="77777777" w:rsidR="00F11E27" w:rsidRPr="00F11E27" w:rsidRDefault="00F11E27" w:rsidP="00C902C6">
      <w:pPr>
        <w:pStyle w:val="PZTextodstavce"/>
        <w:outlineLvl w:val="9"/>
        <w:rPr>
          <w:b/>
          <w:szCs w:val="24"/>
        </w:rPr>
      </w:pPr>
      <w:r w:rsidRPr="00F11E27">
        <w:rPr>
          <w:b/>
          <w:szCs w:val="24"/>
        </w:rPr>
        <w:t>(1) Ústav v účetním systému samostatně sleduje náklady a výnosy spojené s hlavním předmětem činnosti, náklady a výnosy spojené s provozem obchodního závodu nebo jinou vedlejší činností a náklady a výnosy spojené se správou ústavu.</w:t>
      </w:r>
    </w:p>
    <w:p w14:paraId="385E8A11" w14:textId="77777777" w:rsidR="00F11E27" w:rsidRPr="00F11E27" w:rsidRDefault="00F11E27" w:rsidP="00C902C6">
      <w:pPr>
        <w:pStyle w:val="PZTextodstavce"/>
        <w:outlineLvl w:val="9"/>
        <w:rPr>
          <w:b/>
          <w:szCs w:val="24"/>
        </w:rPr>
      </w:pPr>
      <w:r w:rsidRPr="00F11E27">
        <w:rPr>
          <w:b/>
          <w:szCs w:val="24"/>
        </w:rPr>
        <w:t>(2) Dosáhl-li roční úhrn čistého obratu ústavu ke konci individuálního účetního období výše alespoň deset milionů Kč, má ústav povinnost auditu účetní závěrky.</w:t>
      </w:r>
    </w:p>
    <w:p w14:paraId="1DE38E50" w14:textId="77777777" w:rsidR="00F11E27" w:rsidRPr="00F11E27" w:rsidRDefault="00F11E27" w:rsidP="0034744E">
      <w:pPr>
        <w:pStyle w:val="lnek"/>
        <w:spacing w:after="120"/>
        <w:outlineLvl w:val="9"/>
        <w:rPr>
          <w:strike/>
          <w:szCs w:val="24"/>
        </w:rPr>
      </w:pPr>
      <w:r w:rsidRPr="00F11E27">
        <w:rPr>
          <w:strike/>
          <w:szCs w:val="24"/>
        </w:rPr>
        <w:t>§ 416</w:t>
      </w:r>
    </w:p>
    <w:p w14:paraId="3DD74843" w14:textId="77777777" w:rsidR="00F11E27" w:rsidRPr="0034744E" w:rsidRDefault="00F11E27" w:rsidP="0034744E">
      <w:pPr>
        <w:pStyle w:val="Nadpisparagrafu"/>
        <w:spacing w:after="120"/>
        <w:outlineLvl w:val="9"/>
        <w:rPr>
          <w:b w:val="0"/>
          <w:strike/>
          <w:szCs w:val="24"/>
        </w:rPr>
      </w:pPr>
      <w:r w:rsidRPr="0034744E">
        <w:rPr>
          <w:b w:val="0"/>
          <w:strike/>
          <w:szCs w:val="24"/>
        </w:rPr>
        <w:t>Výroční zpráva</w:t>
      </w:r>
    </w:p>
    <w:p w14:paraId="06FC0AD5" w14:textId="77777777" w:rsidR="00F11E27" w:rsidRPr="00F11E27" w:rsidRDefault="00F11E27" w:rsidP="00C902C6">
      <w:pPr>
        <w:pStyle w:val="PZTextodstavce"/>
        <w:outlineLvl w:val="9"/>
        <w:rPr>
          <w:strike/>
          <w:szCs w:val="24"/>
        </w:rPr>
      </w:pPr>
      <w:r w:rsidRPr="00F11E27">
        <w:rPr>
          <w:strike/>
          <w:szCs w:val="24"/>
        </w:rPr>
        <w:t>(1)</w:t>
      </w:r>
      <w:r w:rsidRPr="00F11E27">
        <w:rPr>
          <w:strike/>
          <w:szCs w:val="24"/>
        </w:rPr>
        <w:tab/>
        <w:t>Výroční zpráva ústavu obsahuje kromě náležitostí stanovených jiným právním předpisem upravujícím účetnictví další významnější údaje o činnosti a hospodaření ústavu, včetně výše plnění poskytnutých členům orgánů ústavu, a o případných změnách zakladatelského právního jednání nebo změnách členství v orgánech ústavu.</w:t>
      </w:r>
    </w:p>
    <w:p w14:paraId="0E3854B7" w14:textId="77777777" w:rsidR="00F11E27" w:rsidRPr="00F11E27" w:rsidRDefault="00F11E27" w:rsidP="00C902C6">
      <w:pPr>
        <w:pStyle w:val="PZTextodstavce"/>
        <w:outlineLvl w:val="9"/>
        <w:rPr>
          <w:strike/>
          <w:szCs w:val="24"/>
        </w:rPr>
      </w:pPr>
      <w:r w:rsidRPr="00F11E27">
        <w:rPr>
          <w:strike/>
          <w:szCs w:val="24"/>
        </w:rPr>
        <w:t>(2)</w:t>
      </w:r>
      <w:r w:rsidRPr="00F11E27">
        <w:rPr>
          <w:strike/>
          <w:szCs w:val="24"/>
        </w:rPr>
        <w:tab/>
        <w:t>Neurčí-li zakladatelské právní jednání i další způsob uveřejnění, uveřejní ústav výroční zprávu nejpozději do šesti měsíců po skončení účetního období uložením do sbírky listin. Každý může ve veřejném rejstříku do statutu nahlížet a pořizovat si z něj výpisy, opisy nebo kopie.</w:t>
      </w:r>
    </w:p>
    <w:p w14:paraId="2216A0F6" w14:textId="77777777" w:rsidR="00F11E27" w:rsidRPr="00F11E27" w:rsidRDefault="00F11E27" w:rsidP="0034744E">
      <w:pPr>
        <w:pStyle w:val="Paragraf"/>
        <w:spacing w:after="120"/>
        <w:outlineLvl w:val="9"/>
        <w:rPr>
          <w:szCs w:val="24"/>
        </w:rPr>
      </w:pPr>
      <w:r w:rsidRPr="00F11E27">
        <w:rPr>
          <w:szCs w:val="24"/>
        </w:rPr>
        <w:lastRenderedPageBreak/>
        <w:t>***</w:t>
      </w:r>
    </w:p>
    <w:p w14:paraId="5929C4D9" w14:textId="77777777" w:rsidR="00F11E27" w:rsidRPr="00F11E27" w:rsidRDefault="00F11E27" w:rsidP="0034744E">
      <w:pPr>
        <w:pStyle w:val="Textodstavce"/>
        <w:keepNext/>
        <w:keepLines/>
        <w:numPr>
          <w:ilvl w:val="0"/>
          <w:numId w:val="1"/>
        </w:numPr>
        <w:spacing w:before="240"/>
        <w:jc w:val="center"/>
        <w:outlineLvl w:val="9"/>
        <w:rPr>
          <w:szCs w:val="24"/>
        </w:rPr>
      </w:pPr>
      <w:r w:rsidRPr="00F11E27">
        <w:rPr>
          <w:szCs w:val="24"/>
        </w:rPr>
        <w:t>§ 1179</w:t>
      </w:r>
    </w:p>
    <w:p w14:paraId="32719D9D" w14:textId="77777777" w:rsidR="00F11E27" w:rsidRPr="00F11E27" w:rsidRDefault="00F11E27" w:rsidP="00F11E27">
      <w:pPr>
        <w:pStyle w:val="Textodstavce"/>
        <w:keepNext/>
        <w:keepLines/>
        <w:numPr>
          <w:ilvl w:val="0"/>
          <w:numId w:val="1"/>
        </w:numPr>
        <w:spacing w:before="240"/>
        <w:ind w:firstLine="425"/>
        <w:outlineLvl w:val="9"/>
        <w:rPr>
          <w:szCs w:val="24"/>
        </w:rPr>
      </w:pPr>
      <w:r w:rsidRPr="00F11E27">
        <w:rPr>
          <w:szCs w:val="24"/>
        </w:rPr>
        <w:t xml:space="preserve">Vlastník jednotky má právo seznámit se, jak osoba odpovědná za správu domu hospodaří a jak dům nebo pozemek spravuje. U této osoby může vlastník jednotky nahlížet do smluv uzavřených ve věcech správy, jakož i do </w:t>
      </w:r>
      <w:r w:rsidRPr="00F11E27">
        <w:rPr>
          <w:strike/>
          <w:szCs w:val="24"/>
        </w:rPr>
        <w:t xml:space="preserve">účetních knih a </w:t>
      </w:r>
      <w:r w:rsidRPr="00F11E27">
        <w:rPr>
          <w:szCs w:val="24"/>
        </w:rPr>
        <w:t>dokladů</w:t>
      </w:r>
      <w:r w:rsidRPr="00F11E27">
        <w:rPr>
          <w:b/>
          <w:bCs/>
          <w:szCs w:val="24"/>
        </w:rPr>
        <w:t xml:space="preserve"> a účetních záznamů</w:t>
      </w:r>
      <w:r w:rsidRPr="00F11E27">
        <w:rPr>
          <w:szCs w:val="24"/>
        </w:rPr>
        <w:t>, a pořizovat si z nich výpisy, opisy a kopie.</w:t>
      </w:r>
    </w:p>
    <w:p w14:paraId="4BB84F46" w14:textId="77777777" w:rsidR="00F11E27" w:rsidRPr="00F11E27" w:rsidRDefault="00F11E27" w:rsidP="0034744E">
      <w:pPr>
        <w:pStyle w:val="lnek"/>
        <w:spacing w:after="120"/>
        <w:outlineLvl w:val="9"/>
        <w:rPr>
          <w:szCs w:val="24"/>
        </w:rPr>
      </w:pPr>
      <w:r w:rsidRPr="00F11E27">
        <w:rPr>
          <w:szCs w:val="24"/>
        </w:rPr>
        <w:t>§ 1180</w:t>
      </w:r>
    </w:p>
    <w:p w14:paraId="78C615F4" w14:textId="77777777" w:rsidR="00F11E27" w:rsidRPr="00F11E27" w:rsidRDefault="00F11E27" w:rsidP="00C902C6">
      <w:pPr>
        <w:pStyle w:val="PZTextodstavce"/>
        <w:outlineLvl w:val="9"/>
        <w:rPr>
          <w:szCs w:val="24"/>
        </w:rPr>
      </w:pPr>
      <w:r w:rsidRPr="00F11E27">
        <w:rPr>
          <w:szCs w:val="24"/>
        </w:rPr>
        <w:t>(1)</w:t>
      </w:r>
      <w:r w:rsidRPr="00F11E27">
        <w:rPr>
          <w:szCs w:val="24"/>
        </w:rPr>
        <w:tab/>
        <w:t>Vlastník jednotky přispívá na správu domu a pozemku v poměru odpovídajícím jeho podílu na společných částech, nebylo-li v prohlášení určeno jinak, zejména se zřetelem k povaze, rozměrům a umístění společné části, která slouží jen některému vlastníku jednotky k výlučnému užívání, a k rozsahu povinnosti vlastníka jednotky spravovat tuto část na vlastní náklad.</w:t>
      </w:r>
    </w:p>
    <w:p w14:paraId="62453690" w14:textId="77777777" w:rsidR="00F11E27" w:rsidRPr="00F11E27" w:rsidRDefault="00F11E27" w:rsidP="00C902C6">
      <w:pPr>
        <w:pStyle w:val="PZTextodstavce"/>
        <w:outlineLvl w:val="9"/>
        <w:rPr>
          <w:szCs w:val="24"/>
        </w:rPr>
      </w:pPr>
      <w:r w:rsidRPr="00F11E27">
        <w:rPr>
          <w:szCs w:val="24"/>
        </w:rPr>
        <w:t>(2)</w:t>
      </w:r>
      <w:r w:rsidRPr="00F11E27">
        <w:rPr>
          <w:szCs w:val="24"/>
        </w:rPr>
        <w:tab/>
        <w:t xml:space="preserve">Příspěvky určené na odměňování osoby, která dům spravuje, nebo členů jejích orgánů, na </w:t>
      </w:r>
      <w:r w:rsidRPr="00F11E27">
        <w:rPr>
          <w:strike/>
          <w:szCs w:val="24"/>
        </w:rPr>
        <w:t>vedení účetnictví</w:t>
      </w:r>
      <w:r w:rsidRPr="00F11E27">
        <w:rPr>
          <w:szCs w:val="24"/>
        </w:rPr>
        <w:t xml:space="preserve"> </w:t>
      </w:r>
      <w:r w:rsidRPr="00F11E27">
        <w:rPr>
          <w:b/>
          <w:szCs w:val="24"/>
        </w:rPr>
        <w:t>plnění povinností souvisejících s účetnictvím</w:t>
      </w:r>
      <w:r w:rsidRPr="00F11E27">
        <w:rPr>
          <w:szCs w:val="24"/>
        </w:rPr>
        <w:t xml:space="preserve"> a na podobné náklady vlastní správní činnosti se rozvrhnou na každou jednotku stejně.</w:t>
      </w:r>
    </w:p>
    <w:p w14:paraId="144B1525" w14:textId="77777777" w:rsidR="00F11E27" w:rsidRPr="00F11E27" w:rsidRDefault="00F11E27" w:rsidP="004F7FCD">
      <w:pPr>
        <w:pStyle w:val="Paragraf"/>
        <w:spacing w:after="120"/>
        <w:outlineLvl w:val="9"/>
        <w:rPr>
          <w:szCs w:val="24"/>
        </w:rPr>
      </w:pPr>
      <w:r w:rsidRPr="00F11E27">
        <w:rPr>
          <w:szCs w:val="24"/>
        </w:rPr>
        <w:t>***</w:t>
      </w:r>
    </w:p>
    <w:p w14:paraId="1F76F653" w14:textId="77777777" w:rsidR="00F11E27" w:rsidRPr="00F11E27" w:rsidRDefault="00F11E27" w:rsidP="004F7FCD">
      <w:pPr>
        <w:pStyle w:val="Paragraf"/>
        <w:spacing w:after="120"/>
        <w:outlineLvl w:val="9"/>
        <w:rPr>
          <w:szCs w:val="24"/>
        </w:rPr>
      </w:pPr>
      <w:r w:rsidRPr="00F11E27">
        <w:rPr>
          <w:szCs w:val="24"/>
        </w:rPr>
        <w:t>§ 1437</w:t>
      </w:r>
    </w:p>
    <w:p w14:paraId="31D48560" w14:textId="77777777" w:rsidR="00F11E27" w:rsidRPr="00F11E27" w:rsidRDefault="00F11E27" w:rsidP="00F11E27">
      <w:pPr>
        <w:pStyle w:val="Paragraf"/>
        <w:spacing w:after="120"/>
        <w:ind w:firstLine="425"/>
        <w:jc w:val="both"/>
        <w:outlineLvl w:val="9"/>
        <w:rPr>
          <w:szCs w:val="24"/>
        </w:rPr>
      </w:pPr>
      <w:r w:rsidRPr="00F11E27">
        <w:rPr>
          <w:szCs w:val="24"/>
        </w:rPr>
        <w:t xml:space="preserve">Správce beneficientovi umožní kdykoli přezkoumat účetní </w:t>
      </w:r>
      <w:r w:rsidRPr="00F11E27">
        <w:rPr>
          <w:strike/>
          <w:szCs w:val="24"/>
        </w:rPr>
        <w:t xml:space="preserve">knihy a </w:t>
      </w:r>
      <w:r w:rsidRPr="00F11E27">
        <w:rPr>
          <w:szCs w:val="24"/>
        </w:rPr>
        <w:t>doklady</w:t>
      </w:r>
      <w:r w:rsidRPr="00F11E27">
        <w:rPr>
          <w:b/>
          <w:bCs/>
          <w:szCs w:val="24"/>
        </w:rPr>
        <w:t xml:space="preserve"> a účetní záznamy </w:t>
      </w:r>
      <w:r w:rsidRPr="00F11E27">
        <w:rPr>
          <w:szCs w:val="24"/>
        </w:rPr>
        <w:t>týkající se správy a poskytne mu na vyžádání potřebné informace, jak je správa vedena.</w:t>
      </w:r>
    </w:p>
    <w:p w14:paraId="410D88B2" w14:textId="77777777" w:rsidR="00F11E27" w:rsidRPr="00F11E27" w:rsidRDefault="00F11E27" w:rsidP="004F7FCD">
      <w:pPr>
        <w:pStyle w:val="Paragraf"/>
        <w:spacing w:after="120"/>
        <w:outlineLvl w:val="9"/>
        <w:rPr>
          <w:szCs w:val="24"/>
        </w:rPr>
      </w:pPr>
      <w:r w:rsidRPr="00F11E27">
        <w:rPr>
          <w:szCs w:val="24"/>
        </w:rPr>
        <w:t>***</w:t>
      </w:r>
    </w:p>
    <w:p w14:paraId="3F41DFD1" w14:textId="77777777" w:rsidR="00F11E27" w:rsidRPr="00F11E27" w:rsidRDefault="00F11E27" w:rsidP="004F7FCD">
      <w:pPr>
        <w:pStyle w:val="lnek"/>
        <w:spacing w:after="120"/>
        <w:outlineLvl w:val="9"/>
        <w:rPr>
          <w:szCs w:val="24"/>
        </w:rPr>
      </w:pPr>
      <w:r w:rsidRPr="00F11E27">
        <w:rPr>
          <w:szCs w:val="24"/>
        </w:rPr>
        <w:t>§ 2752</w:t>
      </w:r>
    </w:p>
    <w:p w14:paraId="5D3435E2" w14:textId="77777777" w:rsidR="00F11E27" w:rsidRPr="00F11E27" w:rsidRDefault="00F11E27" w:rsidP="00F11E27">
      <w:pPr>
        <w:pStyle w:val="Textparagrafu"/>
        <w:spacing w:after="120"/>
        <w:outlineLvl w:val="9"/>
        <w:rPr>
          <w:szCs w:val="24"/>
        </w:rPr>
      </w:pPr>
      <w:r w:rsidRPr="00F11E27">
        <w:rPr>
          <w:szCs w:val="24"/>
        </w:rPr>
        <w:t xml:space="preserve">Podíl na zisku vyplatí podnikatel do třiceti dnů po vyhotovení </w:t>
      </w:r>
      <w:r w:rsidRPr="00F11E27">
        <w:rPr>
          <w:b/>
          <w:szCs w:val="24"/>
        </w:rPr>
        <w:t>řádné individuální</w:t>
      </w:r>
      <w:r w:rsidRPr="00F11E27">
        <w:rPr>
          <w:szCs w:val="24"/>
        </w:rPr>
        <w:t xml:space="preserve"> účetní závěrky a jejím případném schválení, je-li vyžadováno. Vklad tichého společníka se nezvyšuje o jeho podíl na zisku, který nevybere.</w:t>
      </w:r>
    </w:p>
    <w:p w14:paraId="099143C4" w14:textId="77777777" w:rsidR="000B7E7B" w:rsidRDefault="000B7E7B" w:rsidP="000B7E7B">
      <w:pPr>
        <w:tabs>
          <w:tab w:val="left" w:pos="851"/>
        </w:tabs>
        <w:spacing w:before="120" w:after="120"/>
        <w:ind w:firstLine="0"/>
        <w:outlineLvl w:val="0"/>
      </w:pPr>
    </w:p>
    <w:p w14:paraId="7E756AD8" w14:textId="77777777" w:rsidR="006C2301" w:rsidRDefault="006C2301" w:rsidP="00881B66">
      <w:pPr>
        <w:tabs>
          <w:tab w:val="left" w:pos="851"/>
        </w:tabs>
        <w:spacing w:before="120" w:after="120"/>
        <w:ind w:firstLine="0"/>
        <w:outlineLvl w:val="0"/>
        <w:sectPr w:rsidR="006C2301" w:rsidSect="00554E2B">
          <w:footnotePr>
            <w:numStart w:val="3"/>
          </w:footnotePr>
          <w:endnotePr>
            <w:numFmt w:val="decimal"/>
          </w:endnotePr>
          <w:pgSz w:w="11906" w:h="16838"/>
          <w:pgMar w:top="1418" w:right="1418" w:bottom="1418" w:left="1418" w:header="709" w:footer="709" w:gutter="0"/>
          <w:cols w:space="708"/>
          <w:docGrid w:linePitch="360"/>
        </w:sectPr>
      </w:pPr>
    </w:p>
    <w:p w14:paraId="30CB7DCE" w14:textId="22AD3C6A" w:rsidR="006C2301" w:rsidRPr="00CD2102" w:rsidRDefault="006C2301" w:rsidP="00C902C6">
      <w:pPr>
        <w:keepNext/>
        <w:keepLines/>
        <w:tabs>
          <w:tab w:val="left" w:pos="851"/>
        </w:tabs>
        <w:spacing w:before="120" w:after="120"/>
        <w:ind w:firstLine="0"/>
        <w:jc w:val="center"/>
        <w:outlineLvl w:val="0"/>
        <w:rPr>
          <w:szCs w:val="24"/>
        </w:rPr>
      </w:pPr>
      <w:r w:rsidRPr="00CD2102">
        <w:rPr>
          <w:b/>
          <w:szCs w:val="24"/>
        </w:rPr>
        <w:lastRenderedPageBreak/>
        <w:t xml:space="preserve">K části sté </w:t>
      </w:r>
      <w:r w:rsidR="00635DDD">
        <w:rPr>
          <w:b/>
          <w:szCs w:val="24"/>
        </w:rPr>
        <w:t>dvanácté</w:t>
      </w:r>
      <w:r w:rsidRPr="00CD2102">
        <w:rPr>
          <w:b/>
          <w:szCs w:val="24"/>
        </w:rPr>
        <w:t xml:space="preserve"> návrhu zákona – </w:t>
      </w:r>
      <w:r w:rsidRPr="00CD2102">
        <w:rPr>
          <w:szCs w:val="24"/>
        </w:rPr>
        <w:t>změna zákona</w:t>
      </w:r>
      <w:r w:rsidRPr="00CD2102">
        <w:t xml:space="preserve"> </w:t>
      </w:r>
      <w:r w:rsidRPr="00CD2102">
        <w:rPr>
          <w:szCs w:val="24"/>
        </w:rPr>
        <w:t xml:space="preserve">o </w:t>
      </w:r>
      <w:r w:rsidR="00C902C6">
        <w:rPr>
          <w:szCs w:val="24"/>
        </w:rPr>
        <w:t>obchodních korporacích</w:t>
      </w:r>
    </w:p>
    <w:p w14:paraId="428F7C3D" w14:textId="5381E271" w:rsidR="006C2301" w:rsidRPr="00C902C6" w:rsidRDefault="006C2301" w:rsidP="00C902C6">
      <w:pPr>
        <w:pStyle w:val="Odstavecseseznamem"/>
        <w:keepNext/>
        <w:keepLines/>
        <w:numPr>
          <w:ilvl w:val="0"/>
          <w:numId w:val="27"/>
        </w:numPr>
        <w:pBdr>
          <w:top w:val="single" w:sz="12" w:space="6" w:color="auto"/>
          <w:left w:val="single" w:sz="12" w:space="0" w:color="auto"/>
          <w:bottom w:val="single" w:sz="12" w:space="6" w:color="auto"/>
          <w:right w:val="single" w:sz="12" w:space="0" w:color="auto"/>
        </w:pBdr>
        <w:jc w:val="center"/>
        <w:rPr>
          <w:szCs w:val="24"/>
        </w:rPr>
      </w:pPr>
      <w:r w:rsidRPr="00CD2102">
        <w:rPr>
          <w:b/>
          <w:szCs w:val="24"/>
        </w:rPr>
        <w:t>Platné znění</w:t>
      </w:r>
      <w:r w:rsidRPr="00CD2102">
        <w:rPr>
          <w:szCs w:val="24"/>
        </w:rPr>
        <w:t xml:space="preserve"> zákona č. 90/2012 Sb., o obchodních společnostech a družstvech (zákon o obchodních korporacích)</w:t>
      </w:r>
    </w:p>
    <w:p w14:paraId="159E105F" w14:textId="297D176F" w:rsidR="006C2301" w:rsidRPr="00CD2102" w:rsidRDefault="006C2301" w:rsidP="00920D1C">
      <w:pPr>
        <w:pStyle w:val="Odstavecseseznamem"/>
        <w:keepNext/>
        <w:keepLines/>
        <w:numPr>
          <w:ilvl w:val="0"/>
          <w:numId w:val="27"/>
        </w:numPr>
        <w:pBdr>
          <w:top w:val="single" w:sz="12" w:space="6" w:color="auto"/>
          <w:left w:val="single" w:sz="12" w:space="0" w:color="auto"/>
          <w:bottom w:val="single" w:sz="12" w:space="6" w:color="auto"/>
          <w:right w:val="single" w:sz="12" w:space="0" w:color="auto"/>
        </w:pBdr>
        <w:spacing w:after="120"/>
        <w:jc w:val="center"/>
        <w:rPr>
          <w:b/>
          <w:szCs w:val="24"/>
          <w:lang w:eastAsia="en-US"/>
        </w:rPr>
      </w:pPr>
      <w:r w:rsidRPr="00CD2102">
        <w:rPr>
          <w:b/>
          <w:szCs w:val="24"/>
          <w:lang w:eastAsia="en-US"/>
        </w:rPr>
        <w:t>s vyznačením navrhovaných změn a doplnění k</w:t>
      </w:r>
      <w:r w:rsidR="00C902C6">
        <w:rPr>
          <w:b/>
          <w:szCs w:val="24"/>
          <w:lang w:eastAsia="en-US"/>
        </w:rPr>
        <w:t> 1. lednu 2025</w:t>
      </w:r>
    </w:p>
    <w:p w14:paraId="6BE6C8AD" w14:textId="77777777" w:rsidR="006C2301" w:rsidRPr="00CD2102" w:rsidRDefault="006C2301" w:rsidP="00920D1C">
      <w:pPr>
        <w:pStyle w:val="Textparagrafu"/>
        <w:keepNext/>
        <w:keepLines/>
        <w:numPr>
          <w:ilvl w:val="0"/>
          <w:numId w:val="27"/>
        </w:numPr>
        <w:tabs>
          <w:tab w:val="left" w:pos="392"/>
          <w:tab w:val="left" w:pos="840"/>
        </w:tabs>
        <w:spacing w:after="120"/>
        <w:jc w:val="center"/>
      </w:pPr>
      <w:r w:rsidRPr="00CD2102">
        <w:t>***</w:t>
      </w:r>
    </w:p>
    <w:p w14:paraId="1C338E7D" w14:textId="7C36E20C" w:rsidR="00CD2102" w:rsidRDefault="00CD2102" w:rsidP="00920D1C">
      <w:pPr>
        <w:pStyle w:val="Paragraf"/>
        <w:numPr>
          <w:ilvl w:val="0"/>
          <w:numId w:val="27"/>
        </w:numPr>
        <w:tabs>
          <w:tab w:val="left" w:pos="420"/>
          <w:tab w:val="left" w:pos="840"/>
        </w:tabs>
        <w:spacing w:after="120"/>
      </w:pPr>
      <w:r w:rsidRPr="009F54D9">
        <w:t>§</w:t>
      </w:r>
      <w:r>
        <w:t xml:space="preserve"> </w:t>
      </w:r>
      <w:r w:rsidRPr="009F54D9">
        <w:t>34</w:t>
      </w:r>
    </w:p>
    <w:p w14:paraId="00EE1B98" w14:textId="77777777" w:rsidR="00CD2102" w:rsidRPr="00032FFC" w:rsidRDefault="00CD2102" w:rsidP="00B5467D">
      <w:pPr>
        <w:pStyle w:val="Nadpisparagrafu"/>
        <w:tabs>
          <w:tab w:val="left" w:pos="420"/>
          <w:tab w:val="left" w:pos="840"/>
        </w:tabs>
        <w:spacing w:after="120"/>
        <w:ind w:firstLine="425"/>
        <w:rPr>
          <w:b w:val="0"/>
        </w:rPr>
      </w:pPr>
      <w:r>
        <w:t xml:space="preserve">Podíl na zisku a na jiných </w:t>
      </w:r>
      <w:r w:rsidRPr="002556C5">
        <w:rPr>
          <w:strike/>
        </w:rPr>
        <w:t>vlastních zdrojích</w:t>
      </w:r>
      <w:r w:rsidRPr="002556C5">
        <w:t xml:space="preserve"> </w:t>
      </w:r>
      <w:r w:rsidRPr="00C12532">
        <w:rPr>
          <w:u w:val="single"/>
        </w:rPr>
        <w:t>částech vlastního kapitálu</w:t>
      </w:r>
    </w:p>
    <w:p w14:paraId="49A542F3" w14:textId="2E1E7043" w:rsidR="00CD2102" w:rsidRDefault="00CD2102" w:rsidP="00C902C6">
      <w:pPr>
        <w:pStyle w:val="PZTextodstavce"/>
        <w:keepNext/>
        <w:keepLines/>
        <w:tabs>
          <w:tab w:val="clear" w:pos="851"/>
          <w:tab w:val="left" w:pos="420"/>
          <w:tab w:val="left" w:pos="840"/>
        </w:tabs>
      </w:pPr>
      <w:r w:rsidRPr="009F54D9">
        <w:t>(1</w:t>
      </w:r>
      <w:r>
        <w:t>)</w:t>
      </w:r>
      <w:r w:rsidR="00920D1C">
        <w:t xml:space="preserve"> </w:t>
      </w:r>
      <w:r w:rsidRPr="009F54D9">
        <w:t>Podíl</w:t>
      </w:r>
      <w:r>
        <w:t xml:space="preserve"> </w:t>
      </w:r>
      <w:r w:rsidRPr="009F54D9">
        <w:t>na</w:t>
      </w:r>
      <w:r>
        <w:t xml:space="preserve"> </w:t>
      </w:r>
      <w:r w:rsidRPr="009F54D9">
        <w:t>zisku</w:t>
      </w:r>
      <w:r>
        <w:t xml:space="preserve"> </w:t>
      </w:r>
      <w:r w:rsidRPr="009F54D9">
        <w:t>a</w:t>
      </w:r>
      <w:r>
        <w:t xml:space="preserve"> </w:t>
      </w:r>
      <w:r w:rsidRPr="009F54D9">
        <w:t>na</w:t>
      </w:r>
      <w:r>
        <w:t xml:space="preserve"> </w:t>
      </w:r>
      <w:r w:rsidRPr="009F54D9">
        <w:t>jiných</w:t>
      </w:r>
      <w:r>
        <w:t xml:space="preserve"> </w:t>
      </w:r>
      <w:r w:rsidRPr="002556C5">
        <w:rPr>
          <w:strike/>
        </w:rPr>
        <w:t>vlastních zdrojích</w:t>
      </w:r>
      <w:r w:rsidRPr="002556C5">
        <w:t xml:space="preserve"> </w:t>
      </w:r>
      <w:r w:rsidRPr="002556C5">
        <w:rPr>
          <w:b/>
        </w:rPr>
        <w:t>částech vlastního kapitálu</w:t>
      </w:r>
      <w:r w:rsidRPr="009F54D9">
        <w:t xml:space="preserve"> se</w:t>
      </w:r>
      <w:r>
        <w:t xml:space="preserve"> </w:t>
      </w:r>
      <w:r w:rsidRPr="009F54D9">
        <w:t>stanoví</w:t>
      </w:r>
      <w:r>
        <w:t xml:space="preserve"> </w:t>
      </w:r>
      <w:r w:rsidRPr="009F54D9">
        <w:t>na</w:t>
      </w:r>
      <w:r>
        <w:t xml:space="preserve"> </w:t>
      </w:r>
      <w:r w:rsidRPr="009F54D9">
        <w:t>základě</w:t>
      </w:r>
      <w:r>
        <w:t xml:space="preserve"> </w:t>
      </w:r>
      <w:r w:rsidRPr="009F54D9">
        <w:t>řádné</w:t>
      </w:r>
      <w:r>
        <w:t xml:space="preserve"> </w:t>
      </w:r>
      <w:r w:rsidRPr="002556C5">
        <w:rPr>
          <w:strike/>
        </w:rPr>
        <w:t>nebo mimořádné</w:t>
      </w:r>
      <w:r w:rsidRPr="002F7872">
        <w:t xml:space="preserve"> </w:t>
      </w:r>
      <w:r w:rsidRPr="002556C5">
        <w:rPr>
          <w:b/>
        </w:rPr>
        <w:t>individuální</w:t>
      </w:r>
      <w:r>
        <w:t xml:space="preserve"> </w:t>
      </w:r>
      <w:r w:rsidRPr="009F54D9">
        <w:t>účetní</w:t>
      </w:r>
      <w:r>
        <w:t xml:space="preserve"> </w:t>
      </w:r>
      <w:r w:rsidRPr="009F54D9">
        <w:t>závěrky</w:t>
      </w:r>
      <w:r>
        <w:t xml:space="preserve"> </w:t>
      </w:r>
      <w:r w:rsidRPr="009F54D9">
        <w:t>schválené</w:t>
      </w:r>
      <w:r>
        <w:t xml:space="preserve"> </w:t>
      </w:r>
      <w:r w:rsidRPr="009F54D9">
        <w:t>nejvyšším</w:t>
      </w:r>
      <w:r>
        <w:t xml:space="preserve"> </w:t>
      </w:r>
      <w:r w:rsidRPr="009F54D9">
        <w:t>orgánem</w:t>
      </w:r>
      <w:r>
        <w:t xml:space="preserve"> </w:t>
      </w:r>
      <w:r w:rsidRPr="009F54D9">
        <w:t>obchodní</w:t>
      </w:r>
      <w:r>
        <w:t xml:space="preserve"> </w:t>
      </w:r>
      <w:r w:rsidRPr="009F54D9">
        <w:t>korporace.</w:t>
      </w:r>
      <w:r>
        <w:t xml:space="preserve"> </w:t>
      </w:r>
      <w:r w:rsidRPr="009F54D9">
        <w:t>Na</w:t>
      </w:r>
      <w:r>
        <w:t xml:space="preserve"> </w:t>
      </w:r>
      <w:r w:rsidRPr="009F54D9">
        <w:t>základě</w:t>
      </w:r>
      <w:r>
        <w:t xml:space="preserve"> </w:t>
      </w:r>
      <w:r w:rsidRPr="009F54D9">
        <w:t>účetní</w:t>
      </w:r>
      <w:r>
        <w:t xml:space="preserve"> </w:t>
      </w:r>
      <w:r w:rsidRPr="009F54D9">
        <w:t>závěrky</w:t>
      </w:r>
      <w:r>
        <w:t xml:space="preserve"> </w:t>
      </w:r>
      <w:r w:rsidRPr="009F54D9">
        <w:t>podle</w:t>
      </w:r>
      <w:r>
        <w:t xml:space="preserve"> </w:t>
      </w:r>
      <w:r w:rsidRPr="009F54D9">
        <w:t>věty</w:t>
      </w:r>
      <w:r>
        <w:t xml:space="preserve"> </w:t>
      </w:r>
      <w:r w:rsidRPr="009F54D9">
        <w:t>první</w:t>
      </w:r>
      <w:r>
        <w:t xml:space="preserve"> </w:t>
      </w:r>
      <w:r w:rsidRPr="009F54D9">
        <w:t>lze</w:t>
      </w:r>
      <w:r>
        <w:t xml:space="preserve"> </w:t>
      </w:r>
      <w:r w:rsidRPr="009F54D9">
        <w:t>rozdělit</w:t>
      </w:r>
      <w:r>
        <w:t xml:space="preserve"> </w:t>
      </w:r>
      <w:r w:rsidRPr="009F54D9">
        <w:t>zisk</w:t>
      </w:r>
      <w:r>
        <w:t xml:space="preserve"> </w:t>
      </w:r>
      <w:r w:rsidRPr="009F54D9">
        <w:t>a</w:t>
      </w:r>
      <w:r>
        <w:t xml:space="preserve"> </w:t>
      </w:r>
      <w:r w:rsidRPr="009F54D9">
        <w:t>jiné</w:t>
      </w:r>
      <w:r>
        <w:t xml:space="preserve"> </w:t>
      </w:r>
      <w:r w:rsidRPr="002556C5">
        <w:rPr>
          <w:strike/>
        </w:rPr>
        <w:t>vlastní zdroje</w:t>
      </w:r>
      <w:r w:rsidRPr="002556C5">
        <w:t xml:space="preserve"> </w:t>
      </w:r>
      <w:r w:rsidRPr="002556C5">
        <w:rPr>
          <w:b/>
          <w:bCs/>
        </w:rPr>
        <w:t>části vlastního kapitálu</w:t>
      </w:r>
      <w:r>
        <w:t xml:space="preserve"> </w:t>
      </w:r>
      <w:r w:rsidRPr="009F54D9">
        <w:t>do</w:t>
      </w:r>
      <w:r>
        <w:t xml:space="preserve"> </w:t>
      </w:r>
      <w:r w:rsidRPr="009F54D9">
        <w:t>konce</w:t>
      </w:r>
      <w:r>
        <w:t xml:space="preserve"> </w:t>
      </w:r>
      <w:r w:rsidRPr="009F54D9">
        <w:t>účetního</w:t>
      </w:r>
      <w:r>
        <w:t xml:space="preserve"> </w:t>
      </w:r>
      <w:r w:rsidRPr="009F54D9">
        <w:t>období</w:t>
      </w:r>
      <w:r>
        <w:t xml:space="preserve"> </w:t>
      </w:r>
      <w:r w:rsidRPr="009F54D9">
        <w:t>následujícího</w:t>
      </w:r>
      <w:r>
        <w:t xml:space="preserve"> </w:t>
      </w:r>
      <w:r w:rsidRPr="009F54D9">
        <w:t>po</w:t>
      </w:r>
      <w:r>
        <w:t xml:space="preserve"> </w:t>
      </w:r>
      <w:r w:rsidRPr="009F54D9">
        <w:t>účetním</w:t>
      </w:r>
      <w:r>
        <w:t xml:space="preserve"> </w:t>
      </w:r>
      <w:r w:rsidRPr="009F54D9">
        <w:t>období,</w:t>
      </w:r>
      <w:r>
        <w:t xml:space="preserve"> </w:t>
      </w:r>
      <w:r w:rsidRPr="009F54D9">
        <w:t>za</w:t>
      </w:r>
      <w:r>
        <w:t xml:space="preserve"> </w:t>
      </w:r>
      <w:r w:rsidRPr="009F54D9">
        <w:t>něž</w:t>
      </w:r>
      <w:r>
        <w:t xml:space="preserve"> </w:t>
      </w:r>
      <w:r w:rsidRPr="009F54D9">
        <w:t>byla</w:t>
      </w:r>
      <w:r>
        <w:t xml:space="preserve"> </w:t>
      </w:r>
      <w:r w:rsidRPr="009F54D9">
        <w:t>účetní</w:t>
      </w:r>
      <w:r>
        <w:t xml:space="preserve"> </w:t>
      </w:r>
      <w:r w:rsidRPr="009F54D9">
        <w:t>závěrka</w:t>
      </w:r>
      <w:r>
        <w:t xml:space="preserve"> </w:t>
      </w:r>
      <w:r w:rsidRPr="009F54D9">
        <w:t>sestavena.</w:t>
      </w:r>
      <w:r>
        <w:t xml:space="preserve"> </w:t>
      </w:r>
      <w:r w:rsidRPr="009F54D9">
        <w:t>Zisk</w:t>
      </w:r>
      <w:r>
        <w:t xml:space="preserve"> </w:t>
      </w:r>
      <w:r w:rsidRPr="009F54D9">
        <w:t>a</w:t>
      </w:r>
      <w:r>
        <w:t xml:space="preserve"> </w:t>
      </w:r>
      <w:r w:rsidRPr="009F54D9">
        <w:t>jiné</w:t>
      </w:r>
      <w:r>
        <w:t xml:space="preserve"> </w:t>
      </w:r>
      <w:r w:rsidRPr="002556C5">
        <w:rPr>
          <w:strike/>
        </w:rPr>
        <w:t>vlastní zdroje</w:t>
      </w:r>
      <w:r w:rsidRPr="002556C5">
        <w:t xml:space="preserve"> </w:t>
      </w:r>
      <w:r w:rsidRPr="002556C5">
        <w:rPr>
          <w:b/>
        </w:rPr>
        <w:t>části vlastního kapitálu</w:t>
      </w:r>
      <w:r>
        <w:t xml:space="preserve"> </w:t>
      </w:r>
      <w:r w:rsidRPr="009F54D9">
        <w:t>lze</w:t>
      </w:r>
      <w:r>
        <w:t xml:space="preserve"> </w:t>
      </w:r>
      <w:r w:rsidRPr="009F54D9">
        <w:t>rozdělit</w:t>
      </w:r>
      <w:r>
        <w:t xml:space="preserve"> </w:t>
      </w:r>
      <w:r w:rsidRPr="009F54D9">
        <w:t>pouze</w:t>
      </w:r>
      <w:r>
        <w:t xml:space="preserve"> </w:t>
      </w:r>
      <w:r w:rsidRPr="009F54D9">
        <w:t>mezi</w:t>
      </w:r>
      <w:r>
        <w:t xml:space="preserve"> </w:t>
      </w:r>
      <w:r w:rsidRPr="009F54D9">
        <w:t>společníky,</w:t>
      </w:r>
      <w:r>
        <w:t xml:space="preserve"> </w:t>
      </w:r>
      <w:r w:rsidRPr="009F54D9">
        <w:t>ledaže</w:t>
      </w:r>
      <w:r>
        <w:t xml:space="preserve"> </w:t>
      </w:r>
      <w:r w:rsidRPr="009F54D9">
        <w:t>společenská</w:t>
      </w:r>
      <w:r>
        <w:t xml:space="preserve"> </w:t>
      </w:r>
      <w:r w:rsidRPr="009F54D9">
        <w:t>smlouva</w:t>
      </w:r>
      <w:r>
        <w:t xml:space="preserve"> </w:t>
      </w:r>
      <w:r w:rsidRPr="009F54D9">
        <w:t>určí</w:t>
      </w:r>
      <w:r>
        <w:t xml:space="preserve"> </w:t>
      </w:r>
      <w:r w:rsidRPr="009F54D9">
        <w:t>jinak.</w:t>
      </w:r>
    </w:p>
    <w:p w14:paraId="64064EF9" w14:textId="666EC349" w:rsidR="00CD2102" w:rsidRPr="00647D5E" w:rsidRDefault="00CD2102" w:rsidP="00C902C6">
      <w:pPr>
        <w:pStyle w:val="PZTextodstavce"/>
        <w:keepNext/>
        <w:keepLines/>
        <w:tabs>
          <w:tab w:val="clear" w:pos="851"/>
          <w:tab w:val="left" w:pos="420"/>
          <w:tab w:val="left" w:pos="840"/>
        </w:tabs>
      </w:pPr>
      <w:r w:rsidRPr="00647D5E">
        <w:t>(2)</w:t>
      </w:r>
      <w:r w:rsidR="00920D1C" w:rsidRPr="00647D5E">
        <w:t xml:space="preserve"> </w:t>
      </w:r>
      <w:r w:rsidRPr="00647D5E">
        <w:t>Částka k rozdělení nesmí v kapitálové společnosti nebo družstvu překročit součet výsledku hospodaření posledního skončeného účetního období, výsledku hospodaření minulých let a ostatních fondů, které může kapitálová společnost nebo družstvo použít podle svého uvážení, snížený o příděly do rezervních a jiných fondů v souladu se zákonem a společenskou smlouvou. Rozhodnutí nejvyššího orgánu učiněné v rozporu s větou první nemá právní účinky. K rozdělení nelze použít fondy, jejichž vznik, změnu nebo zánik upravuje právní předpis nebo společenská smlouva způsobem, který jejich rozdělení nepřipouští.</w:t>
      </w:r>
    </w:p>
    <w:p w14:paraId="6110A4EF" w14:textId="44C35C78" w:rsidR="00CD2102" w:rsidRDefault="00CD2102" w:rsidP="00C902C6">
      <w:pPr>
        <w:pStyle w:val="PZTextodstavce"/>
        <w:keepNext/>
        <w:keepLines/>
        <w:tabs>
          <w:tab w:val="clear" w:pos="851"/>
          <w:tab w:val="left" w:pos="420"/>
          <w:tab w:val="left" w:pos="840"/>
        </w:tabs>
      </w:pPr>
      <w:r w:rsidRPr="009F54D9">
        <w:t>(3</w:t>
      </w:r>
      <w:r>
        <w:t>)</w:t>
      </w:r>
      <w:r w:rsidR="00920D1C">
        <w:t xml:space="preserve"> </w:t>
      </w:r>
      <w:r w:rsidRPr="009F54D9">
        <w:t>O</w:t>
      </w:r>
      <w:r>
        <w:t xml:space="preserve"> </w:t>
      </w:r>
      <w:r w:rsidRPr="009F54D9">
        <w:t>vyplacení</w:t>
      </w:r>
      <w:r>
        <w:t xml:space="preserve"> </w:t>
      </w:r>
      <w:r w:rsidRPr="009F54D9">
        <w:t>podílu</w:t>
      </w:r>
      <w:r>
        <w:t xml:space="preserve"> </w:t>
      </w:r>
      <w:r w:rsidRPr="009F54D9">
        <w:t>na</w:t>
      </w:r>
      <w:r>
        <w:t xml:space="preserve"> </w:t>
      </w:r>
      <w:r w:rsidRPr="009F54D9">
        <w:t>zisku</w:t>
      </w:r>
      <w:r>
        <w:t xml:space="preserve"> </w:t>
      </w:r>
      <w:r w:rsidRPr="009F54D9">
        <w:t>a</w:t>
      </w:r>
      <w:r>
        <w:t xml:space="preserve"> </w:t>
      </w:r>
      <w:r w:rsidRPr="009F54D9">
        <w:t>na</w:t>
      </w:r>
      <w:r>
        <w:t xml:space="preserve"> </w:t>
      </w:r>
      <w:r w:rsidRPr="009F54D9">
        <w:t>jiných</w:t>
      </w:r>
      <w:r>
        <w:t xml:space="preserve"> </w:t>
      </w:r>
      <w:r w:rsidRPr="002556C5">
        <w:rPr>
          <w:strike/>
        </w:rPr>
        <w:t>vlastních zdrojích</w:t>
      </w:r>
      <w:r w:rsidRPr="002556C5">
        <w:t xml:space="preserve"> </w:t>
      </w:r>
      <w:r w:rsidRPr="002556C5">
        <w:rPr>
          <w:b/>
        </w:rPr>
        <w:t>částech vlastního kapitálu</w:t>
      </w:r>
      <w:r>
        <w:t xml:space="preserve"> </w:t>
      </w:r>
      <w:r w:rsidRPr="009F54D9">
        <w:t>rozhoduje</w:t>
      </w:r>
      <w:r>
        <w:t xml:space="preserve"> </w:t>
      </w:r>
      <w:r w:rsidRPr="009F54D9">
        <w:t>statutární</w:t>
      </w:r>
      <w:r>
        <w:t xml:space="preserve"> </w:t>
      </w:r>
      <w:r w:rsidRPr="009F54D9">
        <w:t>orgán.</w:t>
      </w:r>
      <w:r>
        <w:t xml:space="preserve"> </w:t>
      </w:r>
      <w:r w:rsidRPr="009F54D9">
        <w:t>Je-li</w:t>
      </w:r>
      <w:r>
        <w:t xml:space="preserve"> </w:t>
      </w:r>
      <w:r w:rsidRPr="009F54D9">
        <w:t>rozdělení</w:t>
      </w:r>
      <w:r>
        <w:t xml:space="preserve"> </w:t>
      </w:r>
      <w:r w:rsidRPr="009F54D9">
        <w:t>v</w:t>
      </w:r>
      <w:r>
        <w:t xml:space="preserve"> </w:t>
      </w:r>
      <w:r w:rsidRPr="009F54D9">
        <w:t>rozporu</w:t>
      </w:r>
      <w:r>
        <w:t xml:space="preserve"> </w:t>
      </w:r>
      <w:r w:rsidRPr="009F54D9">
        <w:t>se</w:t>
      </w:r>
      <w:r>
        <w:t xml:space="preserve"> </w:t>
      </w:r>
      <w:r w:rsidRPr="009F54D9">
        <w:t>zákonem,</w:t>
      </w:r>
      <w:r>
        <w:t xml:space="preserve"> </w:t>
      </w:r>
      <w:r w:rsidRPr="009F54D9">
        <w:t>podíly</w:t>
      </w:r>
      <w:r>
        <w:t xml:space="preserve"> </w:t>
      </w:r>
      <w:r w:rsidRPr="009F54D9">
        <w:t>na</w:t>
      </w:r>
      <w:r>
        <w:t xml:space="preserve"> </w:t>
      </w:r>
      <w:r w:rsidRPr="009F54D9">
        <w:t>zisku</w:t>
      </w:r>
      <w:r>
        <w:t xml:space="preserve"> </w:t>
      </w:r>
      <w:r w:rsidRPr="009F54D9">
        <w:t>nebo</w:t>
      </w:r>
      <w:r>
        <w:t xml:space="preserve"> </w:t>
      </w:r>
      <w:r w:rsidRPr="009F54D9">
        <w:t>jiných</w:t>
      </w:r>
      <w:r>
        <w:t xml:space="preserve"> </w:t>
      </w:r>
      <w:r w:rsidRPr="002556C5">
        <w:rPr>
          <w:strike/>
        </w:rPr>
        <w:t>vlastních zdrojích</w:t>
      </w:r>
      <w:r w:rsidRPr="002556C5">
        <w:t xml:space="preserve"> </w:t>
      </w:r>
      <w:r w:rsidRPr="002556C5">
        <w:rPr>
          <w:b/>
        </w:rPr>
        <w:t>částech vlastního kapitálu</w:t>
      </w:r>
      <w:r w:rsidRPr="002556C5">
        <w:t xml:space="preserve"> </w:t>
      </w:r>
      <w:r w:rsidRPr="009F54D9">
        <w:t>se</w:t>
      </w:r>
      <w:r>
        <w:t xml:space="preserve"> </w:t>
      </w:r>
      <w:r w:rsidRPr="009F54D9">
        <w:t>nevyplatí.</w:t>
      </w:r>
      <w:r>
        <w:t xml:space="preserve"> </w:t>
      </w:r>
      <w:r w:rsidRPr="009F54D9">
        <w:t>Má</w:t>
      </w:r>
      <w:r>
        <w:t xml:space="preserve"> </w:t>
      </w:r>
      <w:r w:rsidRPr="009F54D9">
        <w:t>se</w:t>
      </w:r>
      <w:r>
        <w:t xml:space="preserve"> </w:t>
      </w:r>
      <w:r w:rsidRPr="009F54D9">
        <w:t>za</w:t>
      </w:r>
      <w:r>
        <w:t xml:space="preserve"> </w:t>
      </w:r>
      <w:r w:rsidRPr="009F54D9">
        <w:t>to,</w:t>
      </w:r>
      <w:r>
        <w:t xml:space="preserve"> </w:t>
      </w:r>
      <w:r w:rsidRPr="009F54D9">
        <w:t>že</w:t>
      </w:r>
      <w:r>
        <w:t xml:space="preserve"> </w:t>
      </w:r>
      <w:r w:rsidRPr="009F54D9">
        <w:t>ti</w:t>
      </w:r>
      <w:r>
        <w:t xml:space="preserve"> </w:t>
      </w:r>
      <w:r w:rsidRPr="009F54D9">
        <w:t>členové</w:t>
      </w:r>
      <w:r>
        <w:t xml:space="preserve"> </w:t>
      </w:r>
      <w:r w:rsidRPr="009F54D9">
        <w:t>statutárního</w:t>
      </w:r>
      <w:r>
        <w:t xml:space="preserve"> </w:t>
      </w:r>
      <w:r w:rsidRPr="009F54D9">
        <w:t>orgánu,</w:t>
      </w:r>
      <w:r>
        <w:t xml:space="preserve"> </w:t>
      </w:r>
      <w:r w:rsidRPr="009F54D9">
        <w:t>kteří</w:t>
      </w:r>
      <w:r>
        <w:t xml:space="preserve"> </w:t>
      </w:r>
      <w:r w:rsidRPr="009F54D9">
        <w:t>s</w:t>
      </w:r>
      <w:r>
        <w:t xml:space="preserve"> </w:t>
      </w:r>
      <w:r w:rsidRPr="009F54D9">
        <w:t>vyplacením</w:t>
      </w:r>
      <w:r>
        <w:t xml:space="preserve"> </w:t>
      </w:r>
      <w:r w:rsidRPr="009F54D9">
        <w:t>v</w:t>
      </w:r>
      <w:r>
        <w:t xml:space="preserve"> </w:t>
      </w:r>
      <w:r w:rsidRPr="009F54D9">
        <w:t>rozporu</w:t>
      </w:r>
      <w:r>
        <w:t xml:space="preserve"> </w:t>
      </w:r>
      <w:r w:rsidRPr="009F54D9">
        <w:t>se</w:t>
      </w:r>
      <w:r>
        <w:t xml:space="preserve"> </w:t>
      </w:r>
      <w:r w:rsidRPr="009F54D9">
        <w:t>zákonem</w:t>
      </w:r>
      <w:r>
        <w:t xml:space="preserve"> </w:t>
      </w:r>
      <w:r w:rsidRPr="009F54D9">
        <w:t>souhlasili,</w:t>
      </w:r>
      <w:r>
        <w:t xml:space="preserve"> </w:t>
      </w:r>
      <w:r w:rsidRPr="009F54D9">
        <w:t>nejednali</w:t>
      </w:r>
      <w:r>
        <w:t xml:space="preserve"> </w:t>
      </w:r>
      <w:r w:rsidRPr="009F54D9">
        <w:t>s</w:t>
      </w:r>
      <w:r>
        <w:t xml:space="preserve"> </w:t>
      </w:r>
      <w:r w:rsidRPr="009F54D9">
        <w:t>péčí</w:t>
      </w:r>
      <w:r>
        <w:t xml:space="preserve"> </w:t>
      </w:r>
      <w:r w:rsidRPr="009F54D9">
        <w:t>řádného</w:t>
      </w:r>
      <w:r>
        <w:t xml:space="preserve"> </w:t>
      </w:r>
      <w:r w:rsidRPr="009F54D9">
        <w:t>hospodáře.</w:t>
      </w:r>
    </w:p>
    <w:p w14:paraId="5694560A" w14:textId="312F7864" w:rsidR="00CD2102" w:rsidRDefault="00CD2102" w:rsidP="00C902C6">
      <w:pPr>
        <w:pStyle w:val="PZTextodstavce"/>
        <w:keepNext/>
        <w:keepLines/>
        <w:tabs>
          <w:tab w:val="clear" w:pos="851"/>
          <w:tab w:val="left" w:pos="420"/>
          <w:tab w:val="left" w:pos="840"/>
        </w:tabs>
      </w:pPr>
      <w:r w:rsidRPr="009F54D9">
        <w:t>(4</w:t>
      </w:r>
      <w:r>
        <w:t>)</w:t>
      </w:r>
      <w:r w:rsidR="00920D1C">
        <w:t xml:space="preserve"> </w:t>
      </w:r>
      <w:r w:rsidRPr="009F54D9">
        <w:t>Podíl</w:t>
      </w:r>
      <w:r>
        <w:t xml:space="preserve"> </w:t>
      </w:r>
      <w:r w:rsidRPr="009F54D9">
        <w:t>na</w:t>
      </w:r>
      <w:r>
        <w:t xml:space="preserve"> </w:t>
      </w:r>
      <w:r w:rsidRPr="009F54D9">
        <w:t>zisku</w:t>
      </w:r>
      <w:r>
        <w:t xml:space="preserve"> </w:t>
      </w:r>
      <w:r w:rsidRPr="009F54D9">
        <w:t>a</w:t>
      </w:r>
      <w:r>
        <w:t xml:space="preserve"> </w:t>
      </w:r>
      <w:r w:rsidRPr="009F54D9">
        <w:t>na</w:t>
      </w:r>
      <w:r>
        <w:t xml:space="preserve"> </w:t>
      </w:r>
      <w:r w:rsidRPr="009F54D9">
        <w:t>jiných</w:t>
      </w:r>
      <w:r>
        <w:t xml:space="preserve"> </w:t>
      </w:r>
      <w:r w:rsidRPr="002556C5">
        <w:rPr>
          <w:strike/>
        </w:rPr>
        <w:t>vlastních zdrojích</w:t>
      </w:r>
      <w:r w:rsidRPr="002556C5">
        <w:t xml:space="preserve"> </w:t>
      </w:r>
      <w:r w:rsidRPr="002556C5">
        <w:rPr>
          <w:b/>
        </w:rPr>
        <w:t>částech vlastního kapitálu</w:t>
      </w:r>
      <w:r>
        <w:t xml:space="preserve"> </w:t>
      </w:r>
      <w:r w:rsidRPr="009F54D9">
        <w:t>je</w:t>
      </w:r>
      <w:r>
        <w:t xml:space="preserve"> </w:t>
      </w:r>
      <w:r w:rsidRPr="009F54D9">
        <w:t>splatný</w:t>
      </w:r>
      <w:r>
        <w:t xml:space="preserve"> </w:t>
      </w:r>
      <w:r w:rsidRPr="009F54D9">
        <w:t>do</w:t>
      </w:r>
      <w:r>
        <w:t xml:space="preserve"> </w:t>
      </w:r>
      <w:r w:rsidRPr="009F54D9">
        <w:t>3</w:t>
      </w:r>
      <w:r>
        <w:t xml:space="preserve"> </w:t>
      </w:r>
      <w:r w:rsidRPr="009F54D9">
        <w:t>měsíců</w:t>
      </w:r>
      <w:r>
        <w:t xml:space="preserve"> </w:t>
      </w:r>
      <w:r w:rsidRPr="009F54D9">
        <w:t>ode</w:t>
      </w:r>
      <w:r>
        <w:t xml:space="preserve"> </w:t>
      </w:r>
      <w:r w:rsidRPr="009F54D9">
        <w:t>dne,</w:t>
      </w:r>
      <w:r>
        <w:t xml:space="preserve"> </w:t>
      </w:r>
      <w:r w:rsidRPr="009F54D9">
        <w:t>kdy</w:t>
      </w:r>
      <w:r>
        <w:t xml:space="preserve"> </w:t>
      </w:r>
      <w:r w:rsidRPr="009F54D9">
        <w:t>bylo</w:t>
      </w:r>
      <w:r>
        <w:t xml:space="preserve"> </w:t>
      </w:r>
      <w:r w:rsidRPr="009F54D9">
        <w:t>přijato</w:t>
      </w:r>
      <w:r>
        <w:t xml:space="preserve"> </w:t>
      </w:r>
      <w:r w:rsidRPr="009F54D9">
        <w:t>rozhodnutí</w:t>
      </w:r>
      <w:r>
        <w:t xml:space="preserve"> </w:t>
      </w:r>
      <w:r w:rsidRPr="009F54D9">
        <w:t>nejvyššího</w:t>
      </w:r>
      <w:r>
        <w:t xml:space="preserve"> </w:t>
      </w:r>
      <w:r w:rsidRPr="009F54D9">
        <w:t>orgánu</w:t>
      </w:r>
      <w:r>
        <w:t xml:space="preserve"> </w:t>
      </w:r>
      <w:r w:rsidRPr="009F54D9">
        <w:t>společnosti</w:t>
      </w:r>
      <w:r>
        <w:t xml:space="preserve"> </w:t>
      </w:r>
      <w:r w:rsidRPr="009F54D9">
        <w:t>o</w:t>
      </w:r>
      <w:r>
        <w:t xml:space="preserve"> </w:t>
      </w:r>
      <w:r w:rsidRPr="009F54D9">
        <w:t>jeho</w:t>
      </w:r>
      <w:r>
        <w:t xml:space="preserve"> </w:t>
      </w:r>
      <w:r w:rsidRPr="009F54D9">
        <w:t>rozdělení,</w:t>
      </w:r>
      <w:r>
        <w:t xml:space="preserve"> </w:t>
      </w:r>
      <w:r w:rsidRPr="009F54D9">
        <w:t>ledaže</w:t>
      </w:r>
      <w:r>
        <w:t xml:space="preserve"> </w:t>
      </w:r>
      <w:r w:rsidRPr="009F54D9">
        <w:t>zákon,</w:t>
      </w:r>
      <w:r>
        <w:t xml:space="preserve"> </w:t>
      </w:r>
      <w:r w:rsidRPr="009F54D9">
        <w:t>společenská</w:t>
      </w:r>
      <w:r>
        <w:t xml:space="preserve"> </w:t>
      </w:r>
      <w:r w:rsidRPr="009F54D9">
        <w:t>smlouva</w:t>
      </w:r>
      <w:r>
        <w:t xml:space="preserve"> </w:t>
      </w:r>
      <w:r w:rsidRPr="009F54D9">
        <w:t>nebo</w:t>
      </w:r>
      <w:r>
        <w:t xml:space="preserve"> </w:t>
      </w:r>
      <w:r w:rsidRPr="009F54D9">
        <w:t>nejvyšší</w:t>
      </w:r>
      <w:r>
        <w:t xml:space="preserve"> </w:t>
      </w:r>
      <w:r w:rsidRPr="009F54D9">
        <w:t>orgán</w:t>
      </w:r>
      <w:r>
        <w:t xml:space="preserve"> </w:t>
      </w:r>
      <w:r w:rsidRPr="009F54D9">
        <w:t>určí</w:t>
      </w:r>
      <w:r>
        <w:t xml:space="preserve"> </w:t>
      </w:r>
      <w:r w:rsidRPr="009F54D9">
        <w:t>jinak.</w:t>
      </w:r>
    </w:p>
    <w:p w14:paraId="13B5A915" w14:textId="60FF5A5A" w:rsidR="00CD2102" w:rsidRDefault="00CD2102" w:rsidP="00C902C6">
      <w:pPr>
        <w:pStyle w:val="PZTextodstavce"/>
        <w:keepNext/>
        <w:keepLines/>
        <w:tabs>
          <w:tab w:val="clear" w:pos="851"/>
          <w:tab w:val="left" w:pos="420"/>
          <w:tab w:val="left" w:pos="840"/>
        </w:tabs>
      </w:pPr>
      <w:r w:rsidRPr="009F54D9">
        <w:t>(5</w:t>
      </w:r>
      <w:r w:rsidR="00920D1C">
        <w:t xml:space="preserve">) </w:t>
      </w:r>
      <w:r w:rsidRPr="009F54D9">
        <w:t>Ustanovení</w:t>
      </w:r>
      <w:r>
        <w:t xml:space="preserve"> </w:t>
      </w:r>
      <w:r w:rsidRPr="009F54D9">
        <w:t>tohoto</w:t>
      </w:r>
      <w:r>
        <w:t xml:space="preserve"> </w:t>
      </w:r>
      <w:r w:rsidRPr="009F54D9">
        <w:t>zákona</w:t>
      </w:r>
      <w:r>
        <w:t xml:space="preserve"> </w:t>
      </w:r>
      <w:r w:rsidRPr="009F54D9">
        <w:t>o</w:t>
      </w:r>
      <w:r>
        <w:t xml:space="preserve"> </w:t>
      </w:r>
      <w:r w:rsidRPr="009F54D9">
        <w:t>rozdělení</w:t>
      </w:r>
      <w:r>
        <w:t xml:space="preserve"> </w:t>
      </w:r>
      <w:r w:rsidRPr="009F54D9">
        <w:t>a</w:t>
      </w:r>
      <w:r>
        <w:t xml:space="preserve"> </w:t>
      </w:r>
      <w:r w:rsidRPr="009F54D9">
        <w:t>výplatě</w:t>
      </w:r>
      <w:r>
        <w:t xml:space="preserve"> </w:t>
      </w:r>
      <w:r w:rsidRPr="009F54D9">
        <w:t>jiných</w:t>
      </w:r>
      <w:r>
        <w:t xml:space="preserve"> </w:t>
      </w:r>
      <w:r w:rsidRPr="002556C5">
        <w:rPr>
          <w:strike/>
        </w:rPr>
        <w:t>vlastních zdrojů</w:t>
      </w:r>
      <w:r w:rsidRPr="002556C5">
        <w:t xml:space="preserve"> </w:t>
      </w:r>
      <w:r w:rsidRPr="002556C5">
        <w:rPr>
          <w:b/>
        </w:rPr>
        <w:t>částí vlastního kapitálu</w:t>
      </w:r>
      <w:r>
        <w:t xml:space="preserve"> </w:t>
      </w:r>
      <w:r w:rsidRPr="009F54D9">
        <w:t>se</w:t>
      </w:r>
      <w:r>
        <w:t xml:space="preserve"> </w:t>
      </w:r>
      <w:r w:rsidRPr="009F54D9">
        <w:t>nepoužijí</w:t>
      </w:r>
      <w:r>
        <w:t xml:space="preserve"> </w:t>
      </w:r>
      <w:r w:rsidRPr="009F54D9">
        <w:t>na</w:t>
      </w:r>
      <w:r>
        <w:t xml:space="preserve"> </w:t>
      </w:r>
      <w:r w:rsidRPr="009F54D9">
        <w:t>snižování</w:t>
      </w:r>
      <w:r>
        <w:t xml:space="preserve"> </w:t>
      </w:r>
      <w:r w:rsidRPr="009F54D9">
        <w:t>základního</w:t>
      </w:r>
      <w:r>
        <w:t xml:space="preserve"> </w:t>
      </w:r>
      <w:r w:rsidRPr="009F54D9">
        <w:t>kapitálu.</w:t>
      </w:r>
    </w:p>
    <w:p w14:paraId="7B27042E" w14:textId="415C5904" w:rsidR="00CD2102" w:rsidRDefault="00CD2102" w:rsidP="00B5467D">
      <w:pPr>
        <w:pStyle w:val="Paragraf"/>
        <w:numPr>
          <w:ilvl w:val="0"/>
          <w:numId w:val="27"/>
        </w:numPr>
        <w:tabs>
          <w:tab w:val="left" w:pos="420"/>
          <w:tab w:val="left" w:pos="840"/>
        </w:tabs>
        <w:spacing w:after="120"/>
        <w:ind w:firstLine="425"/>
      </w:pPr>
      <w:r w:rsidRPr="009F54D9">
        <w:t>§</w:t>
      </w:r>
      <w:r>
        <w:t xml:space="preserve"> </w:t>
      </w:r>
      <w:r w:rsidRPr="009F54D9">
        <w:t>35</w:t>
      </w:r>
    </w:p>
    <w:p w14:paraId="22D8589E" w14:textId="77777777" w:rsidR="00CD2102" w:rsidRDefault="00CD2102" w:rsidP="00B5467D">
      <w:pPr>
        <w:pStyle w:val="Nadpisparagrafu"/>
        <w:tabs>
          <w:tab w:val="left" w:pos="420"/>
          <w:tab w:val="left" w:pos="840"/>
        </w:tabs>
        <w:spacing w:after="120"/>
        <w:ind w:firstLine="425"/>
      </w:pPr>
      <w:r>
        <w:t>Záloha na podíl na zisku</w:t>
      </w:r>
    </w:p>
    <w:p w14:paraId="60CC5B45" w14:textId="0F3B227B" w:rsidR="00CD2102" w:rsidRPr="00647D5E" w:rsidRDefault="00920D1C" w:rsidP="00C902C6">
      <w:pPr>
        <w:pStyle w:val="PZTextodstavce"/>
        <w:keepNext/>
        <w:keepLines/>
        <w:tabs>
          <w:tab w:val="clear" w:pos="851"/>
          <w:tab w:val="left" w:pos="420"/>
          <w:tab w:val="left" w:pos="840"/>
        </w:tabs>
      </w:pPr>
      <w:r w:rsidRPr="00647D5E">
        <w:t xml:space="preserve">(1) </w:t>
      </w:r>
      <w:r w:rsidR="00CD2102" w:rsidRPr="00647D5E">
        <w:t xml:space="preserve">Zálohu na podíl na zisku lze vyplácet jen na základě mezitímní </w:t>
      </w:r>
      <w:r w:rsidR="00CD2102" w:rsidRPr="00647D5E">
        <w:rPr>
          <w:b/>
        </w:rPr>
        <w:t>individuální</w:t>
      </w:r>
      <w:r w:rsidR="00CD2102" w:rsidRPr="00647D5E">
        <w:t xml:space="preserve"> účetní závěrky, ze které vyplyne, že obchodní korporace má dostatek zdrojů na rozdělení zisku. Součet záloh na podíl na zisku nemůže být vyšší, než kolik činí součet výsledku hospodaření běžného účetního období, výsledku hospodaření minulých let a ostatních fondů tvořených ze zisku, které může obchodní korporace použít podle svého uvážení, snížený o příděly do rezervních a jiných fondů v souladu se zákonem a společenskou smlouvou.</w:t>
      </w:r>
    </w:p>
    <w:p w14:paraId="1AD656E9" w14:textId="01167218" w:rsidR="00CD2102" w:rsidRDefault="00CD2102" w:rsidP="00C902C6">
      <w:pPr>
        <w:pStyle w:val="PZTextodstavce"/>
        <w:keepNext/>
        <w:keepLines/>
        <w:tabs>
          <w:tab w:val="clear" w:pos="851"/>
          <w:tab w:val="left" w:pos="420"/>
          <w:tab w:val="left" w:pos="840"/>
        </w:tabs>
      </w:pPr>
      <w:r w:rsidRPr="009F54D9">
        <w:lastRenderedPageBreak/>
        <w:t>(2</w:t>
      </w:r>
      <w:r w:rsidR="00920D1C">
        <w:t xml:space="preserve">) </w:t>
      </w:r>
      <w:r w:rsidRPr="009F54D9">
        <w:t>Záloha</w:t>
      </w:r>
      <w:r>
        <w:t xml:space="preserve"> </w:t>
      </w:r>
      <w:r w:rsidRPr="009F54D9">
        <w:t>na</w:t>
      </w:r>
      <w:r>
        <w:t xml:space="preserve"> </w:t>
      </w:r>
      <w:r w:rsidRPr="009F54D9">
        <w:t>podíl</w:t>
      </w:r>
      <w:r>
        <w:t xml:space="preserve"> </w:t>
      </w:r>
      <w:r w:rsidRPr="009F54D9">
        <w:t>na</w:t>
      </w:r>
      <w:r>
        <w:t xml:space="preserve"> </w:t>
      </w:r>
      <w:r w:rsidRPr="009F54D9">
        <w:t>zisku</w:t>
      </w:r>
      <w:r>
        <w:t xml:space="preserve"> </w:t>
      </w:r>
      <w:r w:rsidRPr="009F54D9">
        <w:t>se</w:t>
      </w:r>
      <w:r>
        <w:t xml:space="preserve"> </w:t>
      </w:r>
      <w:r w:rsidRPr="009F54D9">
        <w:t>vrací</w:t>
      </w:r>
      <w:r>
        <w:t xml:space="preserve"> </w:t>
      </w:r>
      <w:r w:rsidRPr="009F54D9">
        <w:t>do</w:t>
      </w:r>
      <w:r>
        <w:t xml:space="preserve"> </w:t>
      </w:r>
      <w:r w:rsidRPr="009F54D9">
        <w:t>3</w:t>
      </w:r>
      <w:r>
        <w:t xml:space="preserve"> </w:t>
      </w:r>
      <w:r w:rsidRPr="009F54D9">
        <w:t>měsíců</w:t>
      </w:r>
      <w:r>
        <w:t xml:space="preserve"> </w:t>
      </w:r>
      <w:r w:rsidRPr="009F54D9">
        <w:t>ode</w:t>
      </w:r>
      <w:r>
        <w:t xml:space="preserve"> </w:t>
      </w:r>
      <w:r w:rsidRPr="009F54D9">
        <w:t>dne,</w:t>
      </w:r>
      <w:r>
        <w:t xml:space="preserve"> </w:t>
      </w:r>
      <w:r w:rsidRPr="009F54D9">
        <w:t>kdy</w:t>
      </w:r>
      <w:r>
        <w:t xml:space="preserve"> </w:t>
      </w:r>
      <w:r w:rsidRPr="009F54D9">
        <w:t>řádná</w:t>
      </w:r>
      <w:r>
        <w:t xml:space="preserve"> </w:t>
      </w:r>
      <w:r w:rsidRPr="002556C5">
        <w:rPr>
          <w:strike/>
        </w:rPr>
        <w:t>nebo mimořádná</w:t>
      </w:r>
      <w:r w:rsidRPr="00070ECF">
        <w:t xml:space="preserve"> </w:t>
      </w:r>
      <w:r w:rsidRPr="002556C5">
        <w:rPr>
          <w:b/>
        </w:rPr>
        <w:t>individuální</w:t>
      </w:r>
      <w:r w:rsidRPr="009F54D9">
        <w:t xml:space="preserve"> účetní</w:t>
      </w:r>
      <w:r>
        <w:t xml:space="preserve"> </w:t>
      </w:r>
      <w:r w:rsidRPr="009F54D9">
        <w:t>závěrka</w:t>
      </w:r>
      <w:r>
        <w:t xml:space="preserve"> </w:t>
      </w:r>
      <w:r w:rsidRPr="009F54D9">
        <w:t>byla</w:t>
      </w:r>
      <w:r>
        <w:t xml:space="preserve"> </w:t>
      </w:r>
      <w:r w:rsidRPr="009F54D9">
        <w:t>nebo</w:t>
      </w:r>
      <w:r>
        <w:t xml:space="preserve"> </w:t>
      </w:r>
      <w:r w:rsidRPr="009F54D9">
        <w:t>měla</w:t>
      </w:r>
      <w:r>
        <w:t xml:space="preserve"> </w:t>
      </w:r>
      <w:r w:rsidRPr="009F54D9">
        <w:t>být</w:t>
      </w:r>
      <w:r>
        <w:t xml:space="preserve"> </w:t>
      </w:r>
      <w:r w:rsidRPr="009F54D9">
        <w:t>schválena,</w:t>
      </w:r>
      <w:r>
        <w:t xml:space="preserve"> </w:t>
      </w:r>
      <w:r w:rsidRPr="009F54D9">
        <w:t>ledaže</w:t>
      </w:r>
      <w:r>
        <w:t xml:space="preserve"> </w:t>
      </w:r>
      <w:r w:rsidRPr="009F54D9">
        <w:t>částka</w:t>
      </w:r>
      <w:r>
        <w:t xml:space="preserve"> </w:t>
      </w:r>
      <w:r w:rsidRPr="009F54D9">
        <w:t>zisku</w:t>
      </w:r>
      <w:r>
        <w:t xml:space="preserve"> </w:t>
      </w:r>
      <w:r w:rsidRPr="009F54D9">
        <w:t>k</w:t>
      </w:r>
      <w:r>
        <w:t xml:space="preserve"> </w:t>
      </w:r>
      <w:r w:rsidRPr="009F54D9">
        <w:t>rozdělení</w:t>
      </w:r>
      <w:r>
        <w:t xml:space="preserve"> </w:t>
      </w:r>
      <w:r w:rsidRPr="009F54D9">
        <w:t>vyplývající</w:t>
      </w:r>
      <w:r>
        <w:t xml:space="preserve"> </w:t>
      </w:r>
      <w:r w:rsidRPr="009F54D9">
        <w:t>z</w:t>
      </w:r>
      <w:r>
        <w:t xml:space="preserve"> </w:t>
      </w:r>
      <w:r w:rsidRPr="009F54D9">
        <w:t>řádné</w:t>
      </w:r>
      <w:r>
        <w:t xml:space="preserve"> </w:t>
      </w:r>
      <w:r w:rsidRPr="002556C5">
        <w:rPr>
          <w:strike/>
        </w:rPr>
        <w:t>nebo mimořádné</w:t>
      </w:r>
      <w:r w:rsidRPr="00211118">
        <w:t xml:space="preserve"> </w:t>
      </w:r>
      <w:r w:rsidRPr="002556C5">
        <w:rPr>
          <w:b/>
        </w:rPr>
        <w:t>individuální</w:t>
      </w:r>
      <w:r>
        <w:t xml:space="preserve"> </w:t>
      </w:r>
      <w:r w:rsidRPr="009F54D9">
        <w:t>účetní</w:t>
      </w:r>
      <w:r>
        <w:t xml:space="preserve"> </w:t>
      </w:r>
      <w:r w:rsidRPr="009F54D9">
        <w:t>závěrky</w:t>
      </w:r>
      <w:r>
        <w:t xml:space="preserve"> </w:t>
      </w:r>
      <w:r w:rsidRPr="009F54D9">
        <w:t>dosahuje</w:t>
      </w:r>
      <w:r>
        <w:t xml:space="preserve"> </w:t>
      </w:r>
      <w:r w:rsidRPr="009F54D9">
        <w:t>alespoň</w:t>
      </w:r>
      <w:r>
        <w:t xml:space="preserve"> </w:t>
      </w:r>
      <w:r w:rsidRPr="009F54D9">
        <w:t>součtu</w:t>
      </w:r>
      <w:r>
        <w:t xml:space="preserve"> </w:t>
      </w:r>
      <w:r w:rsidRPr="009F54D9">
        <w:t>záloh</w:t>
      </w:r>
      <w:r>
        <w:t xml:space="preserve"> </w:t>
      </w:r>
      <w:r w:rsidRPr="009F54D9">
        <w:t>na</w:t>
      </w:r>
      <w:r>
        <w:t xml:space="preserve"> </w:t>
      </w:r>
      <w:r w:rsidRPr="009F54D9">
        <w:t>podíl</w:t>
      </w:r>
      <w:r>
        <w:t xml:space="preserve"> </w:t>
      </w:r>
      <w:r w:rsidRPr="009F54D9">
        <w:t>na</w:t>
      </w:r>
      <w:r>
        <w:t xml:space="preserve"> </w:t>
      </w:r>
      <w:r w:rsidRPr="009F54D9">
        <w:t>zisku</w:t>
      </w:r>
      <w:r>
        <w:t xml:space="preserve"> </w:t>
      </w:r>
      <w:r w:rsidRPr="009F54D9">
        <w:t>vyplacených</w:t>
      </w:r>
      <w:r>
        <w:t xml:space="preserve"> </w:t>
      </w:r>
      <w:r w:rsidRPr="009F54D9">
        <w:t>v</w:t>
      </w:r>
      <w:r>
        <w:t xml:space="preserve"> </w:t>
      </w:r>
      <w:r w:rsidRPr="009F54D9">
        <w:t>souladu</w:t>
      </w:r>
      <w:r>
        <w:t xml:space="preserve"> </w:t>
      </w:r>
      <w:r w:rsidRPr="009F54D9">
        <w:t>se</w:t>
      </w:r>
      <w:r>
        <w:t xml:space="preserve"> </w:t>
      </w:r>
      <w:r w:rsidRPr="009F54D9">
        <w:t>zákonem</w:t>
      </w:r>
      <w:r>
        <w:t xml:space="preserve"> </w:t>
      </w:r>
      <w:r w:rsidRPr="009F54D9">
        <w:t>a</w:t>
      </w:r>
      <w:r>
        <w:t xml:space="preserve"> </w:t>
      </w:r>
      <w:r w:rsidRPr="009F54D9">
        <w:t>nejvyšší</w:t>
      </w:r>
      <w:r>
        <w:t xml:space="preserve"> </w:t>
      </w:r>
      <w:r w:rsidRPr="009F54D9">
        <w:t>orgán</w:t>
      </w:r>
      <w:r>
        <w:t xml:space="preserve"> </w:t>
      </w:r>
      <w:r w:rsidRPr="009F54D9">
        <w:t>rozhodl</w:t>
      </w:r>
      <w:r>
        <w:t xml:space="preserve"> </w:t>
      </w:r>
      <w:r w:rsidRPr="009F54D9">
        <w:t>o</w:t>
      </w:r>
      <w:r>
        <w:t xml:space="preserve"> </w:t>
      </w:r>
      <w:r w:rsidRPr="009F54D9">
        <w:t>rozdělení</w:t>
      </w:r>
      <w:r>
        <w:t xml:space="preserve"> </w:t>
      </w:r>
      <w:r w:rsidRPr="009F54D9">
        <w:t>této</w:t>
      </w:r>
      <w:r>
        <w:t xml:space="preserve"> </w:t>
      </w:r>
      <w:r w:rsidRPr="009F54D9">
        <w:t>částky.</w:t>
      </w:r>
    </w:p>
    <w:p w14:paraId="09C3FE78" w14:textId="722E643C" w:rsidR="00CD2102" w:rsidRPr="006B719B" w:rsidRDefault="00395F03" w:rsidP="00920D1C">
      <w:pPr>
        <w:pStyle w:val="Paragraf"/>
        <w:numPr>
          <w:ilvl w:val="0"/>
          <w:numId w:val="27"/>
        </w:numPr>
        <w:tabs>
          <w:tab w:val="left" w:pos="420"/>
          <w:tab w:val="left" w:pos="840"/>
        </w:tabs>
        <w:spacing w:after="120"/>
      </w:pPr>
      <w:r>
        <w:t>§ 36</w:t>
      </w:r>
    </w:p>
    <w:p w14:paraId="3F05E962" w14:textId="77777777" w:rsidR="00CD2102" w:rsidRPr="006B719B" w:rsidRDefault="00CD2102" w:rsidP="00920D1C">
      <w:pPr>
        <w:pStyle w:val="Nadpisparagrafu"/>
        <w:tabs>
          <w:tab w:val="left" w:pos="420"/>
          <w:tab w:val="left" w:pos="840"/>
        </w:tabs>
        <w:spacing w:after="120"/>
      </w:pPr>
      <w:r w:rsidRPr="006B719B">
        <w:t>Vypořádací podíl</w:t>
      </w:r>
    </w:p>
    <w:p w14:paraId="60D71962" w14:textId="0AAB0E4B" w:rsidR="00CD2102" w:rsidRPr="006B719B" w:rsidRDefault="00920D1C" w:rsidP="00C902C6">
      <w:pPr>
        <w:pStyle w:val="PZTextodstavce"/>
        <w:keepNext/>
        <w:keepLines/>
        <w:tabs>
          <w:tab w:val="clear" w:pos="851"/>
          <w:tab w:val="left" w:pos="420"/>
          <w:tab w:val="left" w:pos="840"/>
        </w:tabs>
      </w:pPr>
      <w:r>
        <w:t xml:space="preserve">(1) </w:t>
      </w:r>
      <w:r w:rsidR="00CD2102" w:rsidRPr="006B719B">
        <w:t>Při zániku účasti společníka v obchodní korporaci za jejího trvání bez právního nástupce vzniká právo na vypořádání (dále jen „vypořádací podíl“), ledaže jiný právní předpis stanoví jinak.</w:t>
      </w:r>
    </w:p>
    <w:p w14:paraId="36F5BB10" w14:textId="2CD7FE1F" w:rsidR="00CD2102" w:rsidRPr="006B719B" w:rsidRDefault="00920D1C" w:rsidP="00C902C6">
      <w:pPr>
        <w:pStyle w:val="PZTextodstavce"/>
        <w:keepNext/>
        <w:keepLines/>
        <w:tabs>
          <w:tab w:val="clear" w:pos="851"/>
          <w:tab w:val="left" w:pos="420"/>
          <w:tab w:val="left" w:pos="840"/>
        </w:tabs>
      </w:pPr>
      <w:r>
        <w:t xml:space="preserve">(2) </w:t>
      </w:r>
      <w:r w:rsidR="00CD2102" w:rsidRPr="006B719B">
        <w:t>Neurčí-li společenská smlouva jiný vhodný způsob určení výše vypořádacího podílu, použijí se odstavce 3 a 4.</w:t>
      </w:r>
    </w:p>
    <w:p w14:paraId="0C163553" w14:textId="1D6DDC51" w:rsidR="00CD2102" w:rsidRPr="007D0CFC" w:rsidRDefault="00920D1C" w:rsidP="00C902C6">
      <w:pPr>
        <w:pStyle w:val="PZTextodstavce"/>
        <w:keepNext/>
        <w:keepLines/>
        <w:tabs>
          <w:tab w:val="clear" w:pos="851"/>
          <w:tab w:val="left" w:pos="420"/>
          <w:tab w:val="left" w:pos="840"/>
        </w:tabs>
      </w:pPr>
      <w:r>
        <w:t xml:space="preserve">(3) </w:t>
      </w:r>
      <w:r w:rsidR="00CD2102" w:rsidRPr="007D0CFC">
        <w:t xml:space="preserve">Vypořádací podíl se stanoví ke dni zániku účasti společníka v obchodní korporaci, a to z vlastního kapitálu zjištěného z </w:t>
      </w:r>
      <w:r w:rsidR="00CD2102" w:rsidRPr="002556C5">
        <w:rPr>
          <w:strike/>
        </w:rPr>
        <w:t xml:space="preserve">mezitímní, řádné nebo mimořádné </w:t>
      </w:r>
      <w:r w:rsidR="00CD2102" w:rsidRPr="002556C5">
        <w:rPr>
          <w:b/>
          <w:bCs/>
        </w:rPr>
        <w:t>individuální</w:t>
      </w:r>
      <w:r w:rsidR="00CD2102" w:rsidRPr="002556C5">
        <w:t xml:space="preserve"> </w:t>
      </w:r>
      <w:r w:rsidR="00CD2102" w:rsidRPr="007D0CFC">
        <w:t>účetní závěrky sestavené ke dni zániku účasti společníka v obchodní korporaci. To neplatí, liší-li se podstatně reálná hodnota majetku společnosti od jeho</w:t>
      </w:r>
      <w:r w:rsidR="00CD2102" w:rsidRPr="002556C5">
        <w:t xml:space="preserve"> </w:t>
      </w:r>
      <w:r w:rsidR="00CD2102" w:rsidRPr="002556C5">
        <w:rPr>
          <w:strike/>
        </w:rPr>
        <w:t xml:space="preserve">ocenění v účetnictví </w:t>
      </w:r>
      <w:r w:rsidR="00CD2102" w:rsidRPr="002556C5">
        <w:rPr>
          <w:b/>
          <w:bCs/>
        </w:rPr>
        <w:t>účetní hodnoty</w:t>
      </w:r>
      <w:r w:rsidR="00CD2102" w:rsidRPr="007D0CFC">
        <w:t xml:space="preserve">. V takovém případě se při určení vypořádacího podílu vychází z reálné hodnoty majetku snížené o výši </w:t>
      </w:r>
      <w:r w:rsidR="00CD2102" w:rsidRPr="00395F03">
        <w:rPr>
          <w:bCs/>
          <w:strike/>
        </w:rPr>
        <w:t>účetních</w:t>
      </w:r>
      <w:r w:rsidR="00CD2102" w:rsidRPr="007D0CFC">
        <w:rPr>
          <w:b/>
          <w:bCs/>
        </w:rPr>
        <w:t xml:space="preserve"> </w:t>
      </w:r>
      <w:r w:rsidR="00CD2102" w:rsidRPr="007D0CFC">
        <w:t>dluhů vykázaných v účetní závěrce podle věty první.</w:t>
      </w:r>
    </w:p>
    <w:p w14:paraId="4B0862D4" w14:textId="5FFC0DCA" w:rsidR="00CD2102" w:rsidRPr="006B719B" w:rsidRDefault="00920D1C" w:rsidP="00C902C6">
      <w:pPr>
        <w:pStyle w:val="PZTextodstavce"/>
        <w:keepNext/>
        <w:keepLines/>
        <w:tabs>
          <w:tab w:val="clear" w:pos="851"/>
          <w:tab w:val="left" w:pos="420"/>
          <w:tab w:val="left" w:pos="840"/>
        </w:tabs>
      </w:pPr>
      <w:r>
        <w:t xml:space="preserve">(4) </w:t>
      </w:r>
      <w:r w:rsidR="00CD2102" w:rsidRPr="006B719B">
        <w:t>Vypořádací podíl se určí poměrem podílů společníků u jednotlivých forem obchodních korporací.</w:t>
      </w:r>
    </w:p>
    <w:p w14:paraId="1BC44944" w14:textId="6DA9BA53" w:rsidR="00CD2102" w:rsidRDefault="00920D1C" w:rsidP="00C902C6">
      <w:pPr>
        <w:pStyle w:val="PZTextodstavce"/>
        <w:keepNext/>
        <w:keepLines/>
        <w:tabs>
          <w:tab w:val="clear" w:pos="851"/>
          <w:tab w:val="left" w:pos="420"/>
          <w:tab w:val="left" w:pos="840"/>
        </w:tabs>
      </w:pPr>
      <w:r>
        <w:t xml:space="preserve">(5) </w:t>
      </w:r>
      <w:r w:rsidR="00CD2102" w:rsidRPr="006B719B">
        <w:t>Vypořádací podíl se vyplácí v penězích bez zbytečného odkladu poté, co je nebo mohla být zjištěna jeho výše, ledaže společenská smlouva nebo dohoda určí jinak.</w:t>
      </w:r>
    </w:p>
    <w:p w14:paraId="543B7EE8" w14:textId="77777777" w:rsidR="00CD2102" w:rsidRDefault="00CD2102" w:rsidP="00920D1C">
      <w:pPr>
        <w:pStyle w:val="Paragraf"/>
        <w:numPr>
          <w:ilvl w:val="0"/>
          <w:numId w:val="27"/>
        </w:numPr>
        <w:tabs>
          <w:tab w:val="left" w:pos="420"/>
          <w:tab w:val="left" w:pos="840"/>
        </w:tabs>
        <w:spacing w:after="120"/>
      </w:pPr>
      <w:r w:rsidRPr="00AA135D">
        <w:t>***</w:t>
      </w:r>
    </w:p>
    <w:p w14:paraId="098075E2" w14:textId="77777777" w:rsidR="00CD2102" w:rsidRDefault="00CD2102" w:rsidP="00920D1C">
      <w:pPr>
        <w:pStyle w:val="Paragraf"/>
        <w:numPr>
          <w:ilvl w:val="0"/>
          <w:numId w:val="27"/>
        </w:numPr>
        <w:tabs>
          <w:tab w:val="left" w:pos="420"/>
          <w:tab w:val="left" w:pos="840"/>
        </w:tabs>
        <w:spacing w:after="120"/>
      </w:pPr>
      <w:r w:rsidRPr="00B42F8A">
        <w:t>§</w:t>
      </w:r>
      <w:r>
        <w:t xml:space="preserve"> </w:t>
      </w:r>
      <w:r w:rsidRPr="00B42F8A">
        <w:t>40</w:t>
      </w:r>
      <w:r>
        <w:t xml:space="preserve"> </w:t>
      </w:r>
    </w:p>
    <w:p w14:paraId="20370C49" w14:textId="77777777" w:rsidR="00CD2102" w:rsidRPr="00F418BA" w:rsidRDefault="00CD2102" w:rsidP="00920D1C">
      <w:pPr>
        <w:pStyle w:val="Nadpisparagrafu"/>
        <w:tabs>
          <w:tab w:val="left" w:pos="420"/>
          <w:tab w:val="left" w:pos="840"/>
        </w:tabs>
        <w:spacing w:after="120"/>
      </w:pPr>
      <w:r>
        <w:t xml:space="preserve">Omezení rozdělení a výplaty podílu na zisku nebo jiných </w:t>
      </w:r>
      <w:r w:rsidRPr="002556C5">
        <w:rPr>
          <w:strike/>
        </w:rPr>
        <w:t>vlastních zdrojích</w:t>
      </w:r>
      <w:r w:rsidRPr="002556C5">
        <w:rPr>
          <w:b w:val="0"/>
        </w:rPr>
        <w:t xml:space="preserve"> </w:t>
      </w:r>
      <w:r w:rsidRPr="00C12532">
        <w:rPr>
          <w:u w:val="single"/>
        </w:rPr>
        <w:t>částech vlastního kapitálu</w:t>
      </w:r>
    </w:p>
    <w:p w14:paraId="7ADF144C" w14:textId="3DD53206" w:rsidR="00CD2102" w:rsidRPr="00647D5E" w:rsidRDefault="00920D1C" w:rsidP="00C902C6">
      <w:pPr>
        <w:pStyle w:val="PZTextodstavce"/>
        <w:keepNext/>
        <w:keepLines/>
        <w:tabs>
          <w:tab w:val="clear" w:pos="851"/>
          <w:tab w:val="left" w:pos="420"/>
          <w:tab w:val="left" w:pos="840"/>
        </w:tabs>
      </w:pPr>
      <w:r w:rsidRPr="00647D5E">
        <w:t xml:space="preserve">(1) </w:t>
      </w:r>
      <w:r w:rsidR="00CD2102" w:rsidRPr="00647D5E">
        <w:t xml:space="preserve">Kapitálová společnost nebo družstvo nesmí rozdělit zisk nebo jiné </w:t>
      </w:r>
      <w:r w:rsidR="00CD2102" w:rsidRPr="00647D5E">
        <w:rPr>
          <w:strike/>
        </w:rPr>
        <w:t>vlastní zdroje</w:t>
      </w:r>
      <w:r w:rsidR="00CD2102" w:rsidRPr="00647D5E">
        <w:rPr>
          <w:b/>
        </w:rPr>
        <w:t xml:space="preserve"> části vlastního kapitálu</w:t>
      </w:r>
      <w:r w:rsidR="00CD2102" w:rsidRPr="00647D5E">
        <w:t xml:space="preserve">, pokud se ke dni skončení </w:t>
      </w:r>
      <w:r w:rsidR="00CD2102" w:rsidRPr="00647D5E">
        <w:rPr>
          <w:strike/>
        </w:rPr>
        <w:t xml:space="preserve">posledního </w:t>
      </w:r>
      <w:r w:rsidR="00CD2102" w:rsidRPr="00647D5E">
        <w:rPr>
          <w:b/>
        </w:rPr>
        <w:t>bezprostředně předcházejícího individuálního</w:t>
      </w:r>
      <w:r w:rsidR="00CD2102" w:rsidRPr="00647D5E">
        <w:t xml:space="preserve"> účetního období vlastní kapitál vyplývající z řádné </w:t>
      </w:r>
      <w:r w:rsidR="00CD2102" w:rsidRPr="00647D5E">
        <w:rPr>
          <w:strike/>
        </w:rPr>
        <w:t>nebo mimořádné</w:t>
      </w:r>
      <w:r w:rsidR="00CD2102" w:rsidRPr="00647D5E">
        <w:t xml:space="preserve"> </w:t>
      </w:r>
      <w:r w:rsidR="00CD2102" w:rsidRPr="00647D5E">
        <w:rPr>
          <w:b/>
        </w:rPr>
        <w:t xml:space="preserve">individuální </w:t>
      </w:r>
      <w:r w:rsidR="00CD2102" w:rsidRPr="00647D5E">
        <w:t>účetní závěrky nebo vlastní kapitál po tomto rozdělení sníží pod výši upsaného základního kapitálu zvýšeného o fondy, které nelze podle zákona nebo společenské smlouvy rozdělit. Rozhodnutí nejvyššího orgánu učiněné v rozporu s tím nemá právní účinky.</w:t>
      </w:r>
    </w:p>
    <w:p w14:paraId="5B1AA843" w14:textId="34CE2F82" w:rsidR="00CD2102" w:rsidRDefault="00CD2102" w:rsidP="00C902C6">
      <w:pPr>
        <w:pStyle w:val="PZTextodstavce"/>
        <w:keepNext/>
        <w:keepLines/>
        <w:tabs>
          <w:tab w:val="clear" w:pos="851"/>
          <w:tab w:val="left" w:pos="420"/>
          <w:tab w:val="left" w:pos="840"/>
        </w:tabs>
      </w:pPr>
      <w:r w:rsidRPr="00B42F8A">
        <w:t>(2</w:t>
      </w:r>
      <w:r w:rsidR="00920D1C">
        <w:t xml:space="preserve">) </w:t>
      </w:r>
      <w:r w:rsidRPr="00B42F8A">
        <w:t>Jsou-li</w:t>
      </w:r>
      <w:r>
        <w:t xml:space="preserve"> </w:t>
      </w:r>
      <w:r w:rsidRPr="00B42F8A">
        <w:t>v</w:t>
      </w:r>
      <w:r>
        <w:t xml:space="preserve"> </w:t>
      </w:r>
      <w:r w:rsidRPr="00B42F8A">
        <w:t>aktivech</w:t>
      </w:r>
      <w:r>
        <w:t xml:space="preserve"> </w:t>
      </w:r>
      <w:r w:rsidRPr="00B42F8A">
        <w:t>rozvahy</w:t>
      </w:r>
      <w:r>
        <w:t xml:space="preserve"> </w:t>
      </w:r>
      <w:r w:rsidRPr="00B42F8A">
        <w:t>vykazovány</w:t>
      </w:r>
      <w:r>
        <w:t xml:space="preserve"> </w:t>
      </w:r>
      <w:r w:rsidRPr="00B42F8A">
        <w:t>náklady</w:t>
      </w:r>
      <w:r>
        <w:t xml:space="preserve"> </w:t>
      </w:r>
      <w:r w:rsidRPr="00B42F8A">
        <w:t>na</w:t>
      </w:r>
      <w:r>
        <w:t xml:space="preserve"> </w:t>
      </w:r>
      <w:r w:rsidRPr="00B42F8A">
        <w:t>vývoj,</w:t>
      </w:r>
      <w:r>
        <w:t xml:space="preserve"> </w:t>
      </w:r>
      <w:r w:rsidRPr="00B42F8A">
        <w:t>nesmí</w:t>
      </w:r>
      <w:r>
        <w:t xml:space="preserve"> </w:t>
      </w:r>
      <w:r w:rsidRPr="00B42F8A">
        <w:t>kapitálová</w:t>
      </w:r>
      <w:r>
        <w:t xml:space="preserve"> </w:t>
      </w:r>
      <w:r w:rsidRPr="00B42F8A">
        <w:t>společnost</w:t>
      </w:r>
      <w:r>
        <w:t xml:space="preserve"> </w:t>
      </w:r>
      <w:r w:rsidRPr="00B42F8A">
        <w:t>nebo</w:t>
      </w:r>
      <w:r>
        <w:t xml:space="preserve"> </w:t>
      </w:r>
      <w:r w:rsidRPr="00B42F8A">
        <w:t>družstvo</w:t>
      </w:r>
      <w:r>
        <w:t xml:space="preserve"> </w:t>
      </w:r>
      <w:r w:rsidRPr="00B42F8A">
        <w:t>rozdělit</w:t>
      </w:r>
      <w:r>
        <w:t xml:space="preserve"> </w:t>
      </w:r>
      <w:r w:rsidRPr="00B42F8A">
        <w:t>zisk</w:t>
      </w:r>
      <w:r>
        <w:t xml:space="preserve"> </w:t>
      </w:r>
      <w:r w:rsidRPr="00B42F8A">
        <w:t>nebo</w:t>
      </w:r>
      <w:r>
        <w:t xml:space="preserve"> </w:t>
      </w:r>
      <w:r w:rsidRPr="00B42F8A">
        <w:t>jiné</w:t>
      </w:r>
      <w:r>
        <w:t xml:space="preserve"> </w:t>
      </w:r>
      <w:r w:rsidRPr="002556C5">
        <w:rPr>
          <w:strike/>
        </w:rPr>
        <w:t>vlastní zdroje</w:t>
      </w:r>
      <w:r w:rsidRPr="002556C5">
        <w:rPr>
          <w:b/>
        </w:rPr>
        <w:t xml:space="preserve"> části vlastního kapitálu</w:t>
      </w:r>
      <w:r w:rsidRPr="00B42F8A">
        <w:t>,</w:t>
      </w:r>
      <w:r>
        <w:t xml:space="preserve"> </w:t>
      </w:r>
      <w:r w:rsidRPr="00B42F8A">
        <w:t>pokud</w:t>
      </w:r>
      <w:r>
        <w:t xml:space="preserve"> </w:t>
      </w:r>
      <w:r w:rsidRPr="00B42F8A">
        <w:t>není</w:t>
      </w:r>
      <w:r>
        <w:t xml:space="preserve"> </w:t>
      </w:r>
      <w:r w:rsidRPr="00B42F8A">
        <w:t>částka</w:t>
      </w:r>
      <w:r>
        <w:t xml:space="preserve"> </w:t>
      </w:r>
      <w:r w:rsidRPr="00B42F8A">
        <w:t>k</w:t>
      </w:r>
      <w:r>
        <w:t xml:space="preserve"> </w:t>
      </w:r>
      <w:r w:rsidRPr="00B42F8A">
        <w:t>rozdělení</w:t>
      </w:r>
      <w:r>
        <w:t xml:space="preserve"> </w:t>
      </w:r>
      <w:r w:rsidRPr="00B42F8A">
        <w:t>podle</w:t>
      </w:r>
      <w:r>
        <w:t xml:space="preserve"> </w:t>
      </w:r>
      <w:r w:rsidRPr="00B42F8A">
        <w:t>§</w:t>
      </w:r>
      <w:r>
        <w:t xml:space="preserve"> </w:t>
      </w:r>
      <w:r w:rsidRPr="00B42F8A">
        <w:t>34</w:t>
      </w:r>
      <w:r>
        <w:t xml:space="preserve"> </w:t>
      </w:r>
      <w:r w:rsidRPr="00B42F8A">
        <w:t>odst.</w:t>
      </w:r>
      <w:r>
        <w:t xml:space="preserve"> </w:t>
      </w:r>
      <w:r w:rsidRPr="00B42F8A">
        <w:t>2</w:t>
      </w:r>
      <w:r>
        <w:t xml:space="preserve"> </w:t>
      </w:r>
      <w:r w:rsidRPr="00B42F8A">
        <w:t>alespoň</w:t>
      </w:r>
      <w:r>
        <w:t xml:space="preserve"> </w:t>
      </w:r>
      <w:r w:rsidRPr="00B42F8A">
        <w:t>rovna</w:t>
      </w:r>
      <w:r>
        <w:t xml:space="preserve"> </w:t>
      </w:r>
      <w:r w:rsidRPr="00B42F8A">
        <w:t>neodepsané</w:t>
      </w:r>
      <w:r>
        <w:t xml:space="preserve"> </w:t>
      </w:r>
      <w:r w:rsidRPr="00B42F8A">
        <w:t>části</w:t>
      </w:r>
      <w:r>
        <w:t xml:space="preserve"> </w:t>
      </w:r>
      <w:r w:rsidRPr="00B42F8A">
        <w:t>nákladů</w:t>
      </w:r>
      <w:r>
        <w:t xml:space="preserve"> </w:t>
      </w:r>
      <w:r w:rsidRPr="00B42F8A">
        <w:t>na</w:t>
      </w:r>
      <w:r>
        <w:t xml:space="preserve"> </w:t>
      </w:r>
      <w:r w:rsidRPr="00B42F8A">
        <w:t>vývoj.</w:t>
      </w:r>
      <w:r>
        <w:t xml:space="preserve"> </w:t>
      </w:r>
      <w:r w:rsidRPr="00B42F8A">
        <w:t>O</w:t>
      </w:r>
      <w:r>
        <w:t xml:space="preserve"> </w:t>
      </w:r>
      <w:r w:rsidRPr="00B42F8A">
        <w:t>částku</w:t>
      </w:r>
      <w:r>
        <w:t xml:space="preserve"> </w:t>
      </w:r>
      <w:r w:rsidRPr="00B42F8A">
        <w:t>neodepsaných</w:t>
      </w:r>
      <w:r>
        <w:t xml:space="preserve"> </w:t>
      </w:r>
      <w:r w:rsidRPr="00B42F8A">
        <w:t>nákladů</w:t>
      </w:r>
      <w:r>
        <w:t xml:space="preserve"> </w:t>
      </w:r>
      <w:r w:rsidRPr="00B42F8A">
        <w:t>na</w:t>
      </w:r>
      <w:r>
        <w:t xml:space="preserve"> </w:t>
      </w:r>
      <w:r w:rsidRPr="00B42F8A">
        <w:t>vývoj</w:t>
      </w:r>
      <w:r>
        <w:t xml:space="preserve"> </w:t>
      </w:r>
      <w:r w:rsidRPr="00B42F8A">
        <w:t>se</w:t>
      </w:r>
      <w:r>
        <w:t xml:space="preserve"> </w:t>
      </w:r>
      <w:r w:rsidRPr="00B42F8A">
        <w:t>snižuje</w:t>
      </w:r>
      <w:r>
        <w:t xml:space="preserve"> </w:t>
      </w:r>
      <w:r w:rsidRPr="00B42F8A">
        <w:t>částka</w:t>
      </w:r>
      <w:r>
        <w:t xml:space="preserve"> </w:t>
      </w:r>
      <w:r w:rsidRPr="00B42F8A">
        <w:t>k</w:t>
      </w:r>
      <w:r>
        <w:t xml:space="preserve"> </w:t>
      </w:r>
      <w:r w:rsidRPr="00B42F8A">
        <w:t>rozdělení</w:t>
      </w:r>
      <w:r>
        <w:t xml:space="preserve"> </w:t>
      </w:r>
      <w:r w:rsidRPr="00B42F8A">
        <w:t>podle</w:t>
      </w:r>
      <w:r>
        <w:t xml:space="preserve"> </w:t>
      </w:r>
      <w:r w:rsidRPr="00B42F8A">
        <w:t>§</w:t>
      </w:r>
      <w:r>
        <w:t xml:space="preserve"> </w:t>
      </w:r>
      <w:r w:rsidRPr="00B42F8A">
        <w:t>34</w:t>
      </w:r>
      <w:r>
        <w:t xml:space="preserve"> </w:t>
      </w:r>
      <w:r w:rsidRPr="00B42F8A">
        <w:t>odst.</w:t>
      </w:r>
      <w:r>
        <w:t xml:space="preserve"> </w:t>
      </w:r>
      <w:r w:rsidRPr="00B42F8A">
        <w:t>2.</w:t>
      </w:r>
      <w:r>
        <w:t xml:space="preserve"> </w:t>
      </w:r>
      <w:r w:rsidRPr="00B42F8A">
        <w:t>Rozhodnutí</w:t>
      </w:r>
      <w:r>
        <w:t xml:space="preserve"> </w:t>
      </w:r>
      <w:r w:rsidRPr="00B42F8A">
        <w:t>nejvyššího</w:t>
      </w:r>
      <w:r>
        <w:t xml:space="preserve"> </w:t>
      </w:r>
      <w:r w:rsidRPr="00B42F8A">
        <w:t>orgánu</w:t>
      </w:r>
      <w:r>
        <w:t xml:space="preserve"> </w:t>
      </w:r>
      <w:r w:rsidRPr="00B42F8A">
        <w:t>učiněné</w:t>
      </w:r>
      <w:r>
        <w:t xml:space="preserve"> </w:t>
      </w:r>
      <w:r w:rsidRPr="00B42F8A">
        <w:t>v</w:t>
      </w:r>
      <w:r>
        <w:t xml:space="preserve"> </w:t>
      </w:r>
      <w:r w:rsidRPr="00B42F8A">
        <w:t>rozporu</w:t>
      </w:r>
      <w:r>
        <w:t xml:space="preserve"> </w:t>
      </w:r>
      <w:r w:rsidRPr="00B42F8A">
        <w:t>s</w:t>
      </w:r>
      <w:r>
        <w:t xml:space="preserve"> </w:t>
      </w:r>
      <w:r w:rsidRPr="00B42F8A">
        <w:t>tím</w:t>
      </w:r>
      <w:r>
        <w:t xml:space="preserve"> </w:t>
      </w:r>
      <w:r w:rsidRPr="00B42F8A">
        <w:t>nemá</w:t>
      </w:r>
      <w:r>
        <w:t xml:space="preserve"> </w:t>
      </w:r>
      <w:r w:rsidRPr="00B42F8A">
        <w:t>právní</w:t>
      </w:r>
      <w:r>
        <w:t xml:space="preserve"> </w:t>
      </w:r>
      <w:r w:rsidRPr="00B42F8A">
        <w:t>účinky.</w:t>
      </w:r>
    </w:p>
    <w:p w14:paraId="28B5E789" w14:textId="66604015" w:rsidR="00CD2102" w:rsidRDefault="00CD2102" w:rsidP="00C902C6">
      <w:pPr>
        <w:pStyle w:val="PZTextodstavce"/>
        <w:keepNext/>
        <w:keepLines/>
        <w:tabs>
          <w:tab w:val="clear" w:pos="851"/>
          <w:tab w:val="left" w:pos="420"/>
          <w:tab w:val="left" w:pos="840"/>
        </w:tabs>
      </w:pPr>
      <w:r w:rsidRPr="00B42F8A">
        <w:t>(3</w:t>
      </w:r>
      <w:r w:rsidR="00920D1C">
        <w:t xml:space="preserve">) </w:t>
      </w:r>
      <w:r w:rsidRPr="00B42F8A">
        <w:t>Obchodní</w:t>
      </w:r>
      <w:r>
        <w:t xml:space="preserve"> </w:t>
      </w:r>
      <w:r w:rsidRPr="00B42F8A">
        <w:t>korporace</w:t>
      </w:r>
      <w:r>
        <w:t xml:space="preserve"> </w:t>
      </w:r>
      <w:r w:rsidRPr="00B42F8A">
        <w:t>nesmí</w:t>
      </w:r>
      <w:r>
        <w:t xml:space="preserve"> </w:t>
      </w:r>
      <w:r w:rsidRPr="00B42F8A">
        <w:t>vyplatit</w:t>
      </w:r>
      <w:r>
        <w:t xml:space="preserve"> </w:t>
      </w:r>
      <w:r w:rsidRPr="00B42F8A">
        <w:t>podíl</w:t>
      </w:r>
      <w:r>
        <w:t xml:space="preserve"> </w:t>
      </w:r>
      <w:r w:rsidRPr="00B42F8A">
        <w:t>na</w:t>
      </w:r>
      <w:r>
        <w:t xml:space="preserve"> </w:t>
      </w:r>
      <w:r w:rsidRPr="00B42F8A">
        <w:t>zisku</w:t>
      </w:r>
      <w:r>
        <w:t xml:space="preserve"> </w:t>
      </w:r>
      <w:r w:rsidRPr="00B42F8A">
        <w:t>nebo</w:t>
      </w:r>
      <w:r>
        <w:t xml:space="preserve"> </w:t>
      </w:r>
      <w:r w:rsidRPr="00B42F8A">
        <w:t>jiných</w:t>
      </w:r>
      <w:r>
        <w:t xml:space="preserve"> </w:t>
      </w:r>
      <w:r w:rsidRPr="002556C5">
        <w:rPr>
          <w:strike/>
        </w:rPr>
        <w:t>vlastních zdrojích</w:t>
      </w:r>
      <w:r w:rsidRPr="002556C5">
        <w:rPr>
          <w:b/>
        </w:rPr>
        <w:t xml:space="preserve"> částech vlastního kapitálu</w:t>
      </w:r>
      <w:r w:rsidRPr="00B42F8A">
        <w:t>,</w:t>
      </w:r>
      <w:r>
        <w:t xml:space="preserve"> </w:t>
      </w:r>
      <w:r w:rsidRPr="00B42F8A">
        <w:t>pokud</w:t>
      </w:r>
      <w:r>
        <w:t xml:space="preserve"> </w:t>
      </w:r>
      <w:r w:rsidRPr="00B42F8A">
        <w:t>by</w:t>
      </w:r>
      <w:r>
        <w:t xml:space="preserve"> </w:t>
      </w:r>
      <w:r w:rsidRPr="00B42F8A">
        <w:t>si</w:t>
      </w:r>
      <w:r>
        <w:t xml:space="preserve"> </w:t>
      </w:r>
      <w:r w:rsidRPr="00B42F8A">
        <w:t>tím</w:t>
      </w:r>
      <w:r>
        <w:t xml:space="preserve"> </w:t>
      </w:r>
      <w:r w:rsidRPr="00B42F8A">
        <w:t>přivodila</w:t>
      </w:r>
      <w:r>
        <w:t xml:space="preserve"> </w:t>
      </w:r>
      <w:r w:rsidRPr="00B42F8A">
        <w:t>úpadek</w:t>
      </w:r>
      <w:r>
        <w:t xml:space="preserve"> </w:t>
      </w:r>
      <w:r w:rsidRPr="00B42F8A">
        <w:t>podle</w:t>
      </w:r>
      <w:r>
        <w:t xml:space="preserve"> </w:t>
      </w:r>
      <w:r w:rsidRPr="00B42F8A">
        <w:t>jiného</w:t>
      </w:r>
      <w:r>
        <w:t xml:space="preserve"> </w:t>
      </w:r>
      <w:r w:rsidRPr="00B42F8A">
        <w:t>právního</w:t>
      </w:r>
      <w:r>
        <w:t xml:space="preserve"> </w:t>
      </w:r>
      <w:r w:rsidRPr="00B42F8A">
        <w:t>předpisu.</w:t>
      </w:r>
      <w:r>
        <w:t xml:space="preserve"> </w:t>
      </w:r>
      <w:r w:rsidRPr="00B42F8A">
        <w:t>To</w:t>
      </w:r>
      <w:r>
        <w:t xml:space="preserve"> </w:t>
      </w:r>
      <w:r w:rsidRPr="00B42F8A">
        <w:t>platí</w:t>
      </w:r>
      <w:r>
        <w:t xml:space="preserve"> </w:t>
      </w:r>
      <w:r w:rsidRPr="00B42F8A">
        <w:t>i</w:t>
      </w:r>
      <w:r>
        <w:t xml:space="preserve"> </w:t>
      </w:r>
      <w:r w:rsidRPr="00B42F8A">
        <w:t>pro</w:t>
      </w:r>
      <w:r>
        <w:t xml:space="preserve"> </w:t>
      </w:r>
      <w:r w:rsidRPr="00B42F8A">
        <w:t>výplatu</w:t>
      </w:r>
      <w:r>
        <w:t xml:space="preserve"> </w:t>
      </w:r>
      <w:r w:rsidRPr="00B42F8A">
        <w:t>zálohy</w:t>
      </w:r>
      <w:r>
        <w:t xml:space="preserve"> </w:t>
      </w:r>
      <w:r w:rsidRPr="00B42F8A">
        <w:t>na</w:t>
      </w:r>
      <w:r>
        <w:t xml:space="preserve"> </w:t>
      </w:r>
      <w:r w:rsidRPr="00B42F8A">
        <w:t>podíl</w:t>
      </w:r>
      <w:r>
        <w:t xml:space="preserve"> </w:t>
      </w:r>
      <w:r w:rsidRPr="00B42F8A">
        <w:t>na</w:t>
      </w:r>
      <w:r>
        <w:t xml:space="preserve"> </w:t>
      </w:r>
      <w:r w:rsidRPr="00B42F8A">
        <w:t>zisku.</w:t>
      </w:r>
    </w:p>
    <w:p w14:paraId="65803A66" w14:textId="42DC89A5" w:rsidR="00CD2102" w:rsidRDefault="00CD2102" w:rsidP="00C902C6">
      <w:pPr>
        <w:pStyle w:val="PZTextodstavce"/>
        <w:keepNext/>
        <w:keepLines/>
        <w:tabs>
          <w:tab w:val="clear" w:pos="851"/>
          <w:tab w:val="left" w:pos="420"/>
          <w:tab w:val="left" w:pos="840"/>
        </w:tabs>
      </w:pPr>
      <w:r w:rsidRPr="00B42F8A">
        <w:lastRenderedPageBreak/>
        <w:t>(4</w:t>
      </w:r>
      <w:r w:rsidR="00920D1C">
        <w:t xml:space="preserve">) </w:t>
      </w:r>
      <w:r w:rsidRPr="00B42F8A">
        <w:t>Právo</w:t>
      </w:r>
      <w:r>
        <w:t xml:space="preserve"> </w:t>
      </w:r>
      <w:r w:rsidRPr="00B42F8A">
        <w:t>na</w:t>
      </w:r>
      <w:r>
        <w:t xml:space="preserve"> </w:t>
      </w:r>
      <w:r w:rsidRPr="00B42F8A">
        <w:t>podíl</w:t>
      </w:r>
      <w:r>
        <w:t xml:space="preserve"> </w:t>
      </w:r>
      <w:r w:rsidRPr="00B42F8A">
        <w:t>na</w:t>
      </w:r>
      <w:r>
        <w:t xml:space="preserve"> </w:t>
      </w:r>
      <w:r w:rsidRPr="00B42F8A">
        <w:t>zisku</w:t>
      </w:r>
      <w:r>
        <w:t xml:space="preserve"> </w:t>
      </w:r>
      <w:r w:rsidRPr="00B42F8A">
        <w:t>nebo</w:t>
      </w:r>
      <w:r>
        <w:t xml:space="preserve"> </w:t>
      </w:r>
      <w:r w:rsidRPr="00B42F8A">
        <w:t>jiných</w:t>
      </w:r>
      <w:r>
        <w:t xml:space="preserve"> </w:t>
      </w:r>
      <w:r w:rsidRPr="002556C5">
        <w:rPr>
          <w:strike/>
        </w:rPr>
        <w:t>vlastních zdrojích</w:t>
      </w:r>
      <w:r w:rsidRPr="002556C5">
        <w:rPr>
          <w:b/>
        </w:rPr>
        <w:t xml:space="preserve"> částech vlastního kapitálu</w:t>
      </w:r>
      <w:r w:rsidRPr="00B42F8A">
        <w:t>,</w:t>
      </w:r>
      <w:r>
        <w:t xml:space="preserve"> </w:t>
      </w:r>
      <w:r w:rsidRPr="00B42F8A">
        <w:t>který</w:t>
      </w:r>
      <w:r>
        <w:t xml:space="preserve"> </w:t>
      </w:r>
      <w:r w:rsidRPr="00B42F8A">
        <w:t>nebyl</w:t>
      </w:r>
      <w:r>
        <w:t xml:space="preserve"> </w:t>
      </w:r>
      <w:r w:rsidRPr="00B42F8A">
        <w:t>v</w:t>
      </w:r>
      <w:r>
        <w:t xml:space="preserve"> </w:t>
      </w:r>
      <w:r w:rsidRPr="00B42F8A">
        <w:t>důsledku</w:t>
      </w:r>
      <w:r>
        <w:t xml:space="preserve"> </w:t>
      </w:r>
      <w:r w:rsidRPr="00B42F8A">
        <w:t>odstavce</w:t>
      </w:r>
      <w:r>
        <w:t xml:space="preserve"> </w:t>
      </w:r>
      <w:r w:rsidRPr="00B42F8A">
        <w:t>3</w:t>
      </w:r>
      <w:r>
        <w:t xml:space="preserve"> </w:t>
      </w:r>
      <w:r w:rsidRPr="00B42F8A">
        <w:t>vyplacen</w:t>
      </w:r>
      <w:r>
        <w:t xml:space="preserve"> </w:t>
      </w:r>
      <w:r w:rsidRPr="00B42F8A">
        <w:t>do</w:t>
      </w:r>
      <w:r>
        <w:t xml:space="preserve"> </w:t>
      </w:r>
      <w:r w:rsidRPr="00B42F8A">
        <w:t>konce</w:t>
      </w:r>
      <w:r>
        <w:t xml:space="preserve"> </w:t>
      </w:r>
      <w:r w:rsidRPr="00B42F8A">
        <w:t>účetního</w:t>
      </w:r>
      <w:r>
        <w:t xml:space="preserve"> </w:t>
      </w:r>
      <w:r w:rsidRPr="00B42F8A">
        <w:t>období,</w:t>
      </w:r>
      <w:r>
        <w:t xml:space="preserve"> </w:t>
      </w:r>
      <w:r w:rsidRPr="00B42F8A">
        <w:t>zaniká.</w:t>
      </w:r>
      <w:r>
        <w:t xml:space="preserve"> </w:t>
      </w:r>
      <w:r w:rsidRPr="00B42F8A">
        <w:t>Nevyplacený</w:t>
      </w:r>
      <w:r>
        <w:t xml:space="preserve"> </w:t>
      </w:r>
      <w:r w:rsidRPr="00B42F8A">
        <w:t>zisk</w:t>
      </w:r>
      <w:r>
        <w:t xml:space="preserve"> </w:t>
      </w:r>
      <w:r w:rsidRPr="00B42F8A">
        <w:t>nebo</w:t>
      </w:r>
      <w:r>
        <w:t xml:space="preserve"> </w:t>
      </w:r>
      <w:r w:rsidRPr="00B42F8A">
        <w:t>jiné</w:t>
      </w:r>
      <w:r>
        <w:t xml:space="preserve"> </w:t>
      </w:r>
      <w:r w:rsidRPr="002556C5">
        <w:rPr>
          <w:strike/>
        </w:rPr>
        <w:t>vlastní zdroje</w:t>
      </w:r>
      <w:r w:rsidRPr="002556C5">
        <w:rPr>
          <w:b/>
        </w:rPr>
        <w:t xml:space="preserve"> části vlastního kapitálu</w:t>
      </w:r>
      <w:r>
        <w:t xml:space="preserve"> </w:t>
      </w:r>
      <w:r w:rsidRPr="00B42F8A">
        <w:t>kapitálová</w:t>
      </w:r>
      <w:r>
        <w:t xml:space="preserve"> </w:t>
      </w:r>
      <w:r w:rsidRPr="00B42F8A">
        <w:t>společnost</w:t>
      </w:r>
      <w:r>
        <w:t xml:space="preserve"> </w:t>
      </w:r>
      <w:r w:rsidRPr="00B42F8A">
        <w:t>nebo</w:t>
      </w:r>
      <w:r>
        <w:t xml:space="preserve"> </w:t>
      </w:r>
      <w:r w:rsidRPr="00B42F8A">
        <w:t>družstvo</w:t>
      </w:r>
      <w:r>
        <w:t xml:space="preserve"> </w:t>
      </w:r>
      <w:r w:rsidRPr="00B42F8A">
        <w:t>zaúčtuje</w:t>
      </w:r>
      <w:r>
        <w:t xml:space="preserve"> </w:t>
      </w:r>
      <w:r w:rsidRPr="00B42F8A">
        <w:t>ve</w:t>
      </w:r>
      <w:r>
        <w:t xml:space="preserve"> </w:t>
      </w:r>
      <w:r w:rsidRPr="00B42F8A">
        <w:t>prospěch</w:t>
      </w:r>
      <w:r>
        <w:t xml:space="preserve"> </w:t>
      </w:r>
      <w:r w:rsidRPr="00B42F8A">
        <w:t>účtu,</w:t>
      </w:r>
      <w:r>
        <w:t xml:space="preserve"> </w:t>
      </w:r>
      <w:r w:rsidRPr="00B42F8A">
        <w:t>proti</w:t>
      </w:r>
      <w:r>
        <w:t xml:space="preserve"> </w:t>
      </w:r>
      <w:r w:rsidRPr="00B42F8A">
        <w:t>kterému</w:t>
      </w:r>
      <w:r>
        <w:t xml:space="preserve"> </w:t>
      </w:r>
      <w:r w:rsidRPr="00B42F8A">
        <w:t>byl</w:t>
      </w:r>
      <w:r>
        <w:t xml:space="preserve"> </w:t>
      </w:r>
      <w:r w:rsidRPr="00B42F8A">
        <w:t>původně</w:t>
      </w:r>
      <w:r>
        <w:t xml:space="preserve"> </w:t>
      </w:r>
      <w:r w:rsidRPr="00B42F8A">
        <w:t>zaúčtován,</w:t>
      </w:r>
      <w:r>
        <w:t xml:space="preserve"> </w:t>
      </w:r>
      <w:r w:rsidRPr="00B42F8A">
        <w:t>a</w:t>
      </w:r>
      <w:r>
        <w:t xml:space="preserve"> </w:t>
      </w:r>
      <w:r w:rsidRPr="00B42F8A">
        <w:t>není-li</w:t>
      </w:r>
      <w:r>
        <w:t xml:space="preserve"> </w:t>
      </w:r>
      <w:r w:rsidRPr="00B42F8A">
        <w:t>to</w:t>
      </w:r>
      <w:r>
        <w:t xml:space="preserve"> </w:t>
      </w:r>
      <w:r w:rsidRPr="00B42F8A">
        <w:t>již</w:t>
      </w:r>
      <w:r>
        <w:t xml:space="preserve"> </w:t>
      </w:r>
      <w:r w:rsidRPr="00B42F8A">
        <w:t>možné,</w:t>
      </w:r>
      <w:r>
        <w:t xml:space="preserve"> </w:t>
      </w:r>
      <w:r w:rsidRPr="00B42F8A">
        <w:t>ve</w:t>
      </w:r>
      <w:r>
        <w:t xml:space="preserve"> </w:t>
      </w:r>
      <w:r w:rsidRPr="00B42F8A">
        <w:t>prospěch</w:t>
      </w:r>
      <w:r>
        <w:t xml:space="preserve"> </w:t>
      </w:r>
      <w:r w:rsidRPr="00B42F8A">
        <w:t>účtu</w:t>
      </w:r>
      <w:r>
        <w:t xml:space="preserve"> </w:t>
      </w:r>
      <w:r w:rsidRPr="00B42F8A">
        <w:t>nerozděleného</w:t>
      </w:r>
      <w:r>
        <w:t xml:space="preserve"> </w:t>
      </w:r>
      <w:r w:rsidRPr="00B42F8A">
        <w:t>zisku</w:t>
      </w:r>
      <w:r>
        <w:t xml:space="preserve"> </w:t>
      </w:r>
      <w:r w:rsidRPr="00B42F8A">
        <w:t>minulých</w:t>
      </w:r>
      <w:r>
        <w:t xml:space="preserve"> </w:t>
      </w:r>
      <w:r w:rsidRPr="00B42F8A">
        <w:t>let.</w:t>
      </w:r>
      <w:r>
        <w:t xml:space="preserve"> </w:t>
      </w:r>
      <w:r w:rsidRPr="00B42F8A">
        <w:t>To</w:t>
      </w:r>
      <w:r>
        <w:t xml:space="preserve"> </w:t>
      </w:r>
      <w:r w:rsidRPr="00B42F8A">
        <w:t>neplatí</w:t>
      </w:r>
      <w:r>
        <w:t xml:space="preserve"> </w:t>
      </w:r>
      <w:r w:rsidRPr="00B42F8A">
        <w:t>pro</w:t>
      </w:r>
      <w:r>
        <w:t xml:space="preserve"> </w:t>
      </w:r>
      <w:r w:rsidRPr="00B42F8A">
        <w:t>společníky</w:t>
      </w:r>
      <w:r>
        <w:t xml:space="preserve"> </w:t>
      </w:r>
      <w:r w:rsidRPr="00B42F8A">
        <w:t>veřejné</w:t>
      </w:r>
      <w:r>
        <w:t xml:space="preserve"> </w:t>
      </w:r>
      <w:r w:rsidRPr="00B42F8A">
        <w:t>obchodní</w:t>
      </w:r>
      <w:r>
        <w:t xml:space="preserve"> </w:t>
      </w:r>
      <w:r w:rsidRPr="00B42F8A">
        <w:t>společnosti</w:t>
      </w:r>
      <w:r>
        <w:t xml:space="preserve"> </w:t>
      </w:r>
      <w:r w:rsidRPr="00B42F8A">
        <w:t>a</w:t>
      </w:r>
      <w:r>
        <w:t xml:space="preserve"> </w:t>
      </w:r>
      <w:r w:rsidRPr="00B42F8A">
        <w:t>komplementáře.</w:t>
      </w:r>
    </w:p>
    <w:p w14:paraId="034D4DC6" w14:textId="4E4CD21C" w:rsidR="00CD2102" w:rsidRDefault="00CD2102" w:rsidP="00C902C6">
      <w:pPr>
        <w:pStyle w:val="PZTextodstavce"/>
        <w:keepNext/>
        <w:keepLines/>
        <w:tabs>
          <w:tab w:val="clear" w:pos="851"/>
          <w:tab w:val="left" w:pos="420"/>
          <w:tab w:val="left" w:pos="840"/>
        </w:tabs>
      </w:pPr>
      <w:r w:rsidRPr="00B42F8A">
        <w:t>(5</w:t>
      </w:r>
      <w:r w:rsidR="00920D1C">
        <w:t xml:space="preserve">) </w:t>
      </w:r>
      <w:r w:rsidRPr="00B42F8A">
        <w:t>Obchodní</w:t>
      </w:r>
      <w:r>
        <w:t xml:space="preserve"> </w:t>
      </w:r>
      <w:r w:rsidRPr="00B42F8A">
        <w:t>korporace</w:t>
      </w:r>
      <w:r>
        <w:t xml:space="preserve"> </w:t>
      </w:r>
      <w:r w:rsidRPr="00B42F8A">
        <w:t>nesmí</w:t>
      </w:r>
      <w:r>
        <w:t xml:space="preserve"> </w:t>
      </w:r>
      <w:r w:rsidRPr="00B42F8A">
        <w:t>poskytnout</w:t>
      </w:r>
      <w:r>
        <w:t xml:space="preserve"> </w:t>
      </w:r>
      <w:r w:rsidRPr="00B42F8A">
        <w:t>bezúplatné</w:t>
      </w:r>
      <w:r>
        <w:t xml:space="preserve"> </w:t>
      </w:r>
      <w:r w:rsidRPr="00B42F8A">
        <w:t>plnění</w:t>
      </w:r>
      <w:r>
        <w:t xml:space="preserve"> </w:t>
      </w:r>
      <w:r w:rsidRPr="00B42F8A">
        <w:t>společníkovi</w:t>
      </w:r>
      <w:r>
        <w:t xml:space="preserve"> </w:t>
      </w:r>
      <w:r w:rsidRPr="00B42F8A">
        <w:t>nebo</w:t>
      </w:r>
      <w:r>
        <w:t xml:space="preserve"> </w:t>
      </w:r>
      <w:r w:rsidRPr="00B42F8A">
        <w:t>osobě</w:t>
      </w:r>
      <w:r>
        <w:t xml:space="preserve"> </w:t>
      </w:r>
      <w:r w:rsidRPr="00B42F8A">
        <w:t>jemu</w:t>
      </w:r>
      <w:r>
        <w:t xml:space="preserve"> </w:t>
      </w:r>
      <w:r w:rsidRPr="00B42F8A">
        <w:t>blízké.</w:t>
      </w:r>
      <w:r>
        <w:t xml:space="preserve"> </w:t>
      </w:r>
      <w:r w:rsidRPr="00B42F8A">
        <w:t>To</w:t>
      </w:r>
      <w:r>
        <w:t xml:space="preserve"> </w:t>
      </w:r>
      <w:r w:rsidRPr="00B42F8A">
        <w:t>neplatí,</w:t>
      </w:r>
      <w:r>
        <w:t xml:space="preserve"> </w:t>
      </w:r>
      <w:r w:rsidRPr="00B42F8A">
        <w:t>jedná-li</w:t>
      </w:r>
      <w:r>
        <w:t xml:space="preserve"> </w:t>
      </w:r>
      <w:r w:rsidRPr="00B42F8A">
        <w:t>se</w:t>
      </w:r>
      <w:r>
        <w:t xml:space="preserve"> </w:t>
      </w:r>
      <w:r w:rsidRPr="00B42F8A">
        <w:t>o</w:t>
      </w:r>
    </w:p>
    <w:p w14:paraId="47AD5BED" w14:textId="77777777" w:rsidR="00CD2102" w:rsidRDefault="00CD2102" w:rsidP="00245602">
      <w:pPr>
        <w:pStyle w:val="PZTextpsmene"/>
        <w:keepNext/>
        <w:keepLines/>
        <w:tabs>
          <w:tab w:val="left" w:pos="420"/>
          <w:tab w:val="left" w:pos="840"/>
        </w:tabs>
        <w:spacing w:before="0"/>
      </w:pPr>
      <w:r w:rsidRPr="00B42F8A">
        <w:t>a</w:t>
      </w:r>
      <w:r>
        <w:t>)</w:t>
      </w:r>
      <w:r>
        <w:tab/>
      </w:r>
      <w:r w:rsidRPr="00B42F8A">
        <w:t>obvyklé</w:t>
      </w:r>
      <w:r>
        <w:t xml:space="preserve"> </w:t>
      </w:r>
      <w:r w:rsidRPr="00B42F8A">
        <w:t>příležitostné</w:t>
      </w:r>
      <w:r>
        <w:t xml:space="preserve"> </w:t>
      </w:r>
      <w:r w:rsidRPr="00B42F8A">
        <w:t>dary,</w:t>
      </w:r>
    </w:p>
    <w:p w14:paraId="60AC7960" w14:textId="77777777" w:rsidR="00CD2102" w:rsidRDefault="00CD2102" w:rsidP="00245602">
      <w:pPr>
        <w:pStyle w:val="PZTextpsmene"/>
        <w:keepNext/>
        <w:keepLines/>
        <w:tabs>
          <w:tab w:val="left" w:pos="420"/>
          <w:tab w:val="left" w:pos="840"/>
        </w:tabs>
        <w:spacing w:before="0"/>
      </w:pPr>
      <w:r w:rsidRPr="00B42F8A">
        <w:t>b</w:t>
      </w:r>
      <w:r>
        <w:t>)</w:t>
      </w:r>
      <w:r>
        <w:tab/>
      </w:r>
      <w:r w:rsidRPr="00B42F8A">
        <w:t>věnování</w:t>
      </w:r>
      <w:r>
        <w:t xml:space="preserve"> </w:t>
      </w:r>
      <w:r w:rsidRPr="00B42F8A">
        <w:t>učiněné</w:t>
      </w:r>
      <w:r>
        <w:t xml:space="preserve"> </w:t>
      </w:r>
      <w:r w:rsidRPr="00B42F8A">
        <w:t>v</w:t>
      </w:r>
      <w:r>
        <w:t xml:space="preserve"> </w:t>
      </w:r>
      <w:r w:rsidRPr="00B42F8A">
        <w:t>přiměřené</w:t>
      </w:r>
      <w:r>
        <w:t xml:space="preserve"> </w:t>
      </w:r>
      <w:r w:rsidRPr="00B42F8A">
        <w:t>výši</w:t>
      </w:r>
      <w:r>
        <w:t xml:space="preserve"> </w:t>
      </w:r>
      <w:r w:rsidRPr="00B42F8A">
        <w:t>na</w:t>
      </w:r>
      <w:r>
        <w:t xml:space="preserve"> </w:t>
      </w:r>
      <w:r w:rsidRPr="00B42F8A">
        <w:t>veřejně</w:t>
      </w:r>
      <w:r>
        <w:t xml:space="preserve"> </w:t>
      </w:r>
      <w:r w:rsidRPr="00B42F8A">
        <w:t>prospěšný</w:t>
      </w:r>
      <w:r>
        <w:t xml:space="preserve"> </w:t>
      </w:r>
      <w:r w:rsidRPr="00B42F8A">
        <w:t>účel,</w:t>
      </w:r>
    </w:p>
    <w:p w14:paraId="53B94665" w14:textId="77777777" w:rsidR="00CD2102" w:rsidRDefault="00CD2102" w:rsidP="00245602">
      <w:pPr>
        <w:pStyle w:val="PZTextpsmene"/>
        <w:keepNext/>
        <w:keepLines/>
        <w:tabs>
          <w:tab w:val="left" w:pos="420"/>
          <w:tab w:val="left" w:pos="840"/>
        </w:tabs>
        <w:spacing w:before="0"/>
      </w:pPr>
      <w:r w:rsidRPr="00B42F8A">
        <w:t>c</w:t>
      </w:r>
      <w:r>
        <w:t>)</w:t>
      </w:r>
      <w:r>
        <w:tab/>
      </w:r>
      <w:r w:rsidRPr="00B42F8A">
        <w:t>plnění,</w:t>
      </w:r>
      <w:r>
        <w:t xml:space="preserve"> </w:t>
      </w:r>
      <w:r w:rsidRPr="00B42F8A">
        <w:t>kterým</w:t>
      </w:r>
      <w:r>
        <w:t xml:space="preserve"> </w:t>
      </w:r>
      <w:r w:rsidRPr="00B42F8A">
        <w:t>bylo</w:t>
      </w:r>
      <w:r>
        <w:t xml:space="preserve"> </w:t>
      </w:r>
      <w:r w:rsidRPr="00B42F8A">
        <w:t>vyhověno</w:t>
      </w:r>
      <w:r>
        <w:t xml:space="preserve"> </w:t>
      </w:r>
      <w:r w:rsidRPr="00B42F8A">
        <w:t>mravnímu</w:t>
      </w:r>
      <w:r>
        <w:t xml:space="preserve"> </w:t>
      </w:r>
      <w:r w:rsidRPr="00B42F8A">
        <w:t>závazku</w:t>
      </w:r>
      <w:r>
        <w:t xml:space="preserve"> </w:t>
      </w:r>
      <w:r w:rsidRPr="00B42F8A">
        <w:t>nebo</w:t>
      </w:r>
      <w:r>
        <w:t xml:space="preserve"> </w:t>
      </w:r>
      <w:r w:rsidRPr="00B42F8A">
        <w:t>ohledům</w:t>
      </w:r>
      <w:r>
        <w:t xml:space="preserve"> </w:t>
      </w:r>
      <w:r w:rsidRPr="00B42F8A">
        <w:t>slušnosti,</w:t>
      </w:r>
      <w:r>
        <w:t xml:space="preserve"> </w:t>
      </w:r>
      <w:r w:rsidRPr="00B42F8A">
        <w:t>nebo</w:t>
      </w:r>
    </w:p>
    <w:p w14:paraId="05CE6776" w14:textId="77777777" w:rsidR="00CD2102" w:rsidRDefault="00CD2102" w:rsidP="00245602">
      <w:pPr>
        <w:pStyle w:val="PZTextpsmene"/>
        <w:keepNext/>
        <w:keepLines/>
        <w:tabs>
          <w:tab w:val="left" w:pos="420"/>
          <w:tab w:val="left" w:pos="840"/>
        </w:tabs>
        <w:spacing w:before="0"/>
      </w:pPr>
      <w:r w:rsidRPr="00B42F8A">
        <w:t>d</w:t>
      </w:r>
      <w:r>
        <w:t>)</w:t>
      </w:r>
      <w:r>
        <w:tab/>
      </w:r>
      <w:r w:rsidRPr="00B42F8A">
        <w:t>výhodu</w:t>
      </w:r>
      <w:r>
        <w:t xml:space="preserve"> </w:t>
      </w:r>
      <w:r w:rsidRPr="00B42F8A">
        <w:t>poskytovanou</w:t>
      </w:r>
      <w:r>
        <w:t xml:space="preserve"> </w:t>
      </w:r>
      <w:r w:rsidRPr="00B42F8A">
        <w:t>obchodní</w:t>
      </w:r>
      <w:r>
        <w:t xml:space="preserve"> </w:t>
      </w:r>
      <w:r w:rsidRPr="00B42F8A">
        <w:t>korporací</w:t>
      </w:r>
      <w:r>
        <w:t xml:space="preserve"> </w:t>
      </w:r>
      <w:r w:rsidRPr="00B42F8A">
        <w:t>podle</w:t>
      </w:r>
      <w:r>
        <w:t xml:space="preserve"> </w:t>
      </w:r>
      <w:r w:rsidRPr="00B42F8A">
        <w:t>zákona.</w:t>
      </w:r>
    </w:p>
    <w:p w14:paraId="43BDA423" w14:textId="77777777" w:rsidR="00CD2102" w:rsidRDefault="00CD2102" w:rsidP="00245602">
      <w:pPr>
        <w:pStyle w:val="Paragraf"/>
        <w:numPr>
          <w:ilvl w:val="0"/>
          <w:numId w:val="27"/>
        </w:numPr>
        <w:tabs>
          <w:tab w:val="left" w:pos="420"/>
          <w:tab w:val="left" w:pos="840"/>
        </w:tabs>
        <w:spacing w:after="120"/>
      </w:pPr>
      <w:r w:rsidRPr="00AA135D">
        <w:t>***</w:t>
      </w:r>
    </w:p>
    <w:p w14:paraId="5D4EB7F1" w14:textId="532A88B5" w:rsidR="00CD2102" w:rsidRPr="00B07233" w:rsidRDefault="00245602" w:rsidP="00245602">
      <w:pPr>
        <w:pStyle w:val="Paragraf"/>
        <w:numPr>
          <w:ilvl w:val="0"/>
          <w:numId w:val="27"/>
        </w:numPr>
        <w:tabs>
          <w:tab w:val="left" w:pos="420"/>
          <w:tab w:val="left" w:pos="840"/>
        </w:tabs>
        <w:spacing w:after="120"/>
      </w:pPr>
      <w:bookmarkStart w:id="68" w:name="_Hlk160471011"/>
      <w:r>
        <w:t>§ 82</w:t>
      </w:r>
    </w:p>
    <w:p w14:paraId="2FF3819A" w14:textId="151DF7DF" w:rsidR="00CD2102" w:rsidRPr="00647D5E" w:rsidRDefault="00245602" w:rsidP="00B5467D">
      <w:pPr>
        <w:pStyle w:val="PZTextodstavce"/>
        <w:keepNext/>
        <w:keepLines/>
        <w:tabs>
          <w:tab w:val="clear" w:pos="851"/>
          <w:tab w:val="left" w:pos="420"/>
          <w:tab w:val="left" w:pos="840"/>
        </w:tabs>
        <w:spacing w:before="240"/>
      </w:pPr>
      <w:r w:rsidRPr="00647D5E">
        <w:t xml:space="preserve">(1) </w:t>
      </w:r>
      <w:r w:rsidR="00CD2102" w:rsidRPr="00647D5E">
        <w:t xml:space="preserve">Statutární orgán ovládané osoby vypracuje do </w:t>
      </w:r>
      <w:r w:rsidR="00CD2102" w:rsidRPr="00647D5E">
        <w:rPr>
          <w:strike/>
        </w:rPr>
        <w:t>3</w:t>
      </w:r>
      <w:r w:rsidR="00CD2102" w:rsidRPr="00647D5E">
        <w:rPr>
          <w:b/>
          <w:bCs/>
        </w:rPr>
        <w:t>6</w:t>
      </w:r>
      <w:r w:rsidR="00CD2102" w:rsidRPr="00647D5E">
        <w:t xml:space="preserve"> měsíců od skončení </w:t>
      </w:r>
      <w:r w:rsidR="00CD2102" w:rsidRPr="00647D5E">
        <w:rPr>
          <w:b/>
        </w:rPr>
        <w:t xml:space="preserve">individuálního </w:t>
      </w:r>
      <w:r w:rsidR="00CD2102" w:rsidRPr="00647D5E">
        <w:t>účetního období písemnou zprávu o vztazích mezi ovládající osobou a osobou ovládanou a mezi ovládanou osobou a osobami ovládanými stejnou ovládající osobou (dále jen „zpráva o vztazích“) za uplynulé účetní období.</w:t>
      </w:r>
    </w:p>
    <w:p w14:paraId="2BBFBDC0" w14:textId="0A19E944" w:rsidR="00CD2102" w:rsidRPr="00647D5E" w:rsidRDefault="00245602" w:rsidP="00B5467D">
      <w:pPr>
        <w:pStyle w:val="PZTextodstavce"/>
        <w:keepNext/>
        <w:keepLines/>
        <w:tabs>
          <w:tab w:val="clear" w:pos="851"/>
          <w:tab w:val="left" w:pos="420"/>
          <w:tab w:val="left" w:pos="840"/>
        </w:tabs>
        <w:spacing w:before="240"/>
      </w:pPr>
      <w:r w:rsidRPr="00647D5E">
        <w:t xml:space="preserve">(2) </w:t>
      </w:r>
      <w:r w:rsidR="00CD2102" w:rsidRPr="00647D5E">
        <w:t>Ve zprávě o vztazích se uvedou</w:t>
      </w:r>
    </w:p>
    <w:p w14:paraId="75DF2931" w14:textId="77777777" w:rsidR="00CD2102" w:rsidRPr="00647D5E" w:rsidRDefault="00CD2102" w:rsidP="00245602">
      <w:pPr>
        <w:pStyle w:val="PZTextpsmene"/>
        <w:keepNext/>
        <w:keepLines/>
        <w:tabs>
          <w:tab w:val="left" w:pos="420"/>
          <w:tab w:val="left" w:pos="840"/>
        </w:tabs>
        <w:spacing w:before="0"/>
      </w:pPr>
      <w:r w:rsidRPr="00647D5E">
        <w:t>a)</w:t>
      </w:r>
      <w:r w:rsidRPr="00647D5E">
        <w:tab/>
        <w:t>struktura vztahů mezi osobami podle odstavce 1,</w:t>
      </w:r>
    </w:p>
    <w:p w14:paraId="0D3C30B8" w14:textId="77777777" w:rsidR="00CD2102" w:rsidRPr="00647D5E" w:rsidRDefault="00CD2102" w:rsidP="00245602">
      <w:pPr>
        <w:pStyle w:val="PZTextpsmene"/>
        <w:keepNext/>
        <w:keepLines/>
        <w:tabs>
          <w:tab w:val="left" w:pos="420"/>
          <w:tab w:val="left" w:pos="840"/>
        </w:tabs>
        <w:spacing w:before="0"/>
      </w:pPr>
      <w:r w:rsidRPr="00647D5E">
        <w:t>b)</w:t>
      </w:r>
      <w:r w:rsidRPr="00647D5E">
        <w:tab/>
        <w:t>úloha ovládané osoby ve struktuře vztahů podle písmene a),</w:t>
      </w:r>
    </w:p>
    <w:p w14:paraId="5925B651" w14:textId="77777777" w:rsidR="00CD2102" w:rsidRPr="00647D5E" w:rsidRDefault="00CD2102" w:rsidP="00245602">
      <w:pPr>
        <w:pStyle w:val="PZTextpsmene"/>
        <w:keepNext/>
        <w:keepLines/>
        <w:tabs>
          <w:tab w:val="left" w:pos="420"/>
          <w:tab w:val="left" w:pos="840"/>
        </w:tabs>
        <w:spacing w:before="0"/>
      </w:pPr>
      <w:r w:rsidRPr="00647D5E">
        <w:t>c)</w:t>
      </w:r>
      <w:r w:rsidRPr="00647D5E">
        <w:tab/>
        <w:t>způsob a prostředky ovládání,</w:t>
      </w:r>
    </w:p>
    <w:p w14:paraId="16D03977" w14:textId="77777777" w:rsidR="00CD2102" w:rsidRPr="00647D5E" w:rsidRDefault="00CD2102" w:rsidP="00245602">
      <w:pPr>
        <w:pStyle w:val="PZTextpsmene"/>
        <w:keepNext/>
        <w:keepLines/>
        <w:tabs>
          <w:tab w:val="left" w:pos="420"/>
          <w:tab w:val="left" w:pos="840"/>
        </w:tabs>
        <w:spacing w:before="0"/>
        <w:rPr>
          <w:strike/>
        </w:rPr>
      </w:pPr>
      <w:r w:rsidRPr="00647D5E">
        <w:rPr>
          <w:strike/>
        </w:rPr>
        <w:t>d)</w:t>
      </w:r>
      <w:r w:rsidRPr="00647D5E">
        <w:rPr>
          <w:strike/>
        </w:rPr>
        <w:tab/>
        <w:t>přehled jednání učiněných v posledním účetním období, která byla učiněna na popud nebo v zájmu ovládající osoby nebo jí ovládaných osob, pokud se takovéto jednání týkalo majetku, který přesahuje 10 % vlastního kapitálu ovládané osoby zjištěného podle účetní závěrky za účetní období bezprostředně předcházející účetnímu období, za něž se zpracovává zpráva o vztazích, a</w:t>
      </w:r>
    </w:p>
    <w:p w14:paraId="4D393D42" w14:textId="7D6A06DE" w:rsidR="00CD2102" w:rsidRPr="00647D5E" w:rsidRDefault="00245602" w:rsidP="00245602">
      <w:pPr>
        <w:pStyle w:val="PZTextpsmene"/>
        <w:keepNext/>
        <w:keepLines/>
        <w:tabs>
          <w:tab w:val="left" w:pos="420"/>
          <w:tab w:val="left" w:pos="840"/>
        </w:tabs>
        <w:spacing w:before="0"/>
        <w:rPr>
          <w:b/>
          <w:bCs/>
        </w:rPr>
      </w:pPr>
      <w:r w:rsidRPr="00647D5E">
        <w:rPr>
          <w:b/>
          <w:bCs/>
        </w:rPr>
        <w:t>d)</w:t>
      </w:r>
      <w:r w:rsidR="00CD2102" w:rsidRPr="00647D5E">
        <w:rPr>
          <w:b/>
          <w:bCs/>
        </w:rPr>
        <w:tab/>
        <w:t>přehled jednání učiněných v uplynulém účetním období, která byla učiněna na popud nebo v zájmu ovládající osoby nebo jí ovládaných osob, pokud se takovéto jednání týkalo aktiv, jejichž účetní hodnota přesahuje 10 % vlastního kapitálu ovládané osoby zjištěného podle řádné individuální účetní závěrky za individuální účetní období, za něž se zpracovává zpráva o vztazích, a</w:t>
      </w:r>
    </w:p>
    <w:p w14:paraId="27EFDB34" w14:textId="77777777" w:rsidR="00CD2102" w:rsidRPr="00647D5E" w:rsidRDefault="00CD2102" w:rsidP="00245602">
      <w:pPr>
        <w:pStyle w:val="PZTextpsmene"/>
        <w:keepNext/>
        <w:keepLines/>
        <w:tabs>
          <w:tab w:val="left" w:pos="420"/>
          <w:tab w:val="left" w:pos="840"/>
        </w:tabs>
        <w:spacing w:before="0"/>
      </w:pPr>
      <w:r w:rsidRPr="00647D5E">
        <w:t>e)</w:t>
      </w:r>
      <w:r w:rsidRPr="00647D5E">
        <w:tab/>
        <w:t>přehled vzájemných smluv mezi osobou ovládanou a osobou ovládající nebo mezi osobami ovládanými.</w:t>
      </w:r>
    </w:p>
    <w:p w14:paraId="37B925A5" w14:textId="48342588" w:rsidR="00CD2102" w:rsidRPr="00D1012C" w:rsidRDefault="00245602" w:rsidP="00C902C6">
      <w:pPr>
        <w:pStyle w:val="PZTextodstavce"/>
        <w:keepNext/>
        <w:keepLines/>
        <w:tabs>
          <w:tab w:val="clear" w:pos="851"/>
          <w:tab w:val="left" w:pos="420"/>
          <w:tab w:val="left" w:pos="840"/>
        </w:tabs>
      </w:pPr>
      <w:r>
        <w:t xml:space="preserve">(3) </w:t>
      </w:r>
      <w:r w:rsidR="00CD2102" w:rsidRPr="00D1012C">
        <w:t xml:space="preserve">Nemá-li statutární orgán potřebné informace pro vypracování </w:t>
      </w:r>
      <w:r w:rsidR="00CD2102" w:rsidRPr="000A58F6">
        <w:t>zprávy o vztazích</w:t>
      </w:r>
      <w:r w:rsidR="00CD2102" w:rsidRPr="00D1012C">
        <w:t xml:space="preserve">, tuto skutečnost ve </w:t>
      </w:r>
      <w:r w:rsidR="00CD2102" w:rsidRPr="000A58F6">
        <w:t>zprávě</w:t>
      </w:r>
      <w:r w:rsidR="00CD2102" w:rsidRPr="00D1012C">
        <w:t xml:space="preserve"> s vysvětlením uvede.</w:t>
      </w:r>
    </w:p>
    <w:p w14:paraId="54E5F6EB" w14:textId="4DA2386D" w:rsidR="00CD2102" w:rsidRPr="00D1012C" w:rsidRDefault="00245602" w:rsidP="00C902C6">
      <w:pPr>
        <w:pStyle w:val="PZTextodstavce"/>
        <w:keepNext/>
        <w:keepLines/>
        <w:tabs>
          <w:tab w:val="clear" w:pos="851"/>
          <w:tab w:val="left" w:pos="420"/>
          <w:tab w:val="left" w:pos="840"/>
        </w:tabs>
      </w:pPr>
      <w:r>
        <w:t xml:space="preserve">(4) </w:t>
      </w:r>
      <w:r w:rsidR="00CD2102" w:rsidRPr="00D1012C">
        <w:t xml:space="preserve">Statutární orgán ve </w:t>
      </w:r>
      <w:r w:rsidR="00CD2102" w:rsidRPr="000A58F6">
        <w:t>zprávě o vztazích</w:t>
      </w:r>
      <w:r w:rsidR="00CD2102" w:rsidRPr="00D1012C">
        <w:t xml:space="preserve"> zároveň zhodnotí výhody a nevýhody plynoucí ze vztahů mezi osobami podle odstavce 1 a uvede, zda převládají výhody nebo nevýhody a jaká z toho pro ovládanou osobu plynou rizika. Současně uvede, zda, jakým způsobem a v jakém období byla nebo bude vyrovnána případná újma podle § 71 nebo 72.</w:t>
      </w:r>
    </w:p>
    <w:p w14:paraId="153E7642" w14:textId="6AC0D3F0" w:rsidR="00CD2102" w:rsidRDefault="00245602" w:rsidP="00C902C6">
      <w:pPr>
        <w:pStyle w:val="PZTextodstavce"/>
        <w:tabs>
          <w:tab w:val="clear" w:pos="851"/>
          <w:tab w:val="left" w:pos="420"/>
          <w:tab w:val="left" w:pos="840"/>
        </w:tabs>
      </w:pPr>
      <w:r>
        <w:t xml:space="preserve">(5) </w:t>
      </w:r>
      <w:r w:rsidR="00CD2102" w:rsidRPr="00D1012C">
        <w:t xml:space="preserve">Ve </w:t>
      </w:r>
      <w:r w:rsidR="00CD2102" w:rsidRPr="000A58F6">
        <w:t xml:space="preserve">zprávě o vztazích se neuvádí informace, které podléhají </w:t>
      </w:r>
      <w:proofErr w:type="gramStart"/>
      <w:r w:rsidR="00CD2102" w:rsidRPr="000A58F6">
        <w:t>ochraně nebo</w:t>
      </w:r>
      <w:proofErr w:type="gramEnd"/>
      <w:r w:rsidR="00CD2102" w:rsidRPr="000A58F6">
        <w:t xml:space="preserve"> utajení podle jiného právního předpisu</w:t>
      </w:r>
      <w:r w:rsidR="00926978">
        <w:rPr>
          <w:rStyle w:val="Znakapoznpodarou"/>
        </w:rPr>
        <w:footnoteReference w:customMarkFollows="1" w:id="533"/>
        <w:t>2)</w:t>
      </w:r>
      <w:r w:rsidR="00CD2102" w:rsidRPr="00D1012C">
        <w:t xml:space="preserve"> V takovém případě musí zpráva obsahovat sdělení, že je neúplná a</w:t>
      </w:r>
      <w:r w:rsidR="00CD2102">
        <w:t xml:space="preserve"> </w:t>
      </w:r>
      <w:r w:rsidR="00CD2102" w:rsidRPr="00B42F8A">
        <w:t>z</w:t>
      </w:r>
      <w:r w:rsidR="00CD2102">
        <w:t xml:space="preserve"> </w:t>
      </w:r>
      <w:r w:rsidR="00CD2102" w:rsidRPr="00B42F8A">
        <w:t>jakého</w:t>
      </w:r>
      <w:r w:rsidR="00CD2102">
        <w:t xml:space="preserve"> </w:t>
      </w:r>
      <w:r w:rsidR="00CD2102" w:rsidRPr="00B42F8A">
        <w:t>důvodu</w:t>
      </w:r>
      <w:r w:rsidR="00CD2102">
        <w:t xml:space="preserve"> </w:t>
      </w:r>
      <w:r w:rsidR="00CD2102" w:rsidRPr="00B42F8A">
        <w:t>se</w:t>
      </w:r>
      <w:r w:rsidR="00CD2102">
        <w:t xml:space="preserve"> </w:t>
      </w:r>
      <w:r w:rsidR="00CD2102" w:rsidRPr="00B42F8A">
        <w:t>jinak</w:t>
      </w:r>
      <w:r w:rsidR="00CD2102">
        <w:t xml:space="preserve"> </w:t>
      </w:r>
      <w:r w:rsidR="00CD2102" w:rsidRPr="00B42F8A">
        <w:t>vyžadované</w:t>
      </w:r>
      <w:r w:rsidR="00CD2102">
        <w:t xml:space="preserve"> </w:t>
      </w:r>
      <w:r w:rsidR="00CD2102" w:rsidRPr="00B42F8A">
        <w:t>informace</w:t>
      </w:r>
      <w:r w:rsidR="00CD2102">
        <w:t xml:space="preserve"> </w:t>
      </w:r>
      <w:r w:rsidR="00CD2102" w:rsidRPr="00B42F8A">
        <w:t>neuvádějí.</w:t>
      </w:r>
    </w:p>
    <w:p w14:paraId="184B7023" w14:textId="2E2F6019" w:rsidR="00CD2102" w:rsidRDefault="00CD2102" w:rsidP="00C902C6">
      <w:pPr>
        <w:pStyle w:val="PZTextodstavce"/>
        <w:tabs>
          <w:tab w:val="clear" w:pos="851"/>
          <w:tab w:val="left" w:pos="420"/>
          <w:tab w:val="left" w:pos="840"/>
        </w:tabs>
      </w:pPr>
      <w:r w:rsidRPr="00B42F8A">
        <w:lastRenderedPageBreak/>
        <w:t>(6</w:t>
      </w:r>
      <w:r w:rsidR="00245602">
        <w:t xml:space="preserve">) </w:t>
      </w:r>
      <w:r w:rsidRPr="00B42F8A">
        <w:t>Informace,</w:t>
      </w:r>
      <w:r>
        <w:t xml:space="preserve"> </w:t>
      </w:r>
      <w:r w:rsidRPr="00B42F8A">
        <w:t>které</w:t>
      </w:r>
      <w:r>
        <w:t xml:space="preserve"> </w:t>
      </w:r>
      <w:r w:rsidRPr="00B42F8A">
        <w:t>tvoří</w:t>
      </w:r>
      <w:r>
        <w:t xml:space="preserve"> </w:t>
      </w:r>
      <w:r w:rsidRPr="00B42F8A">
        <w:t>předmět</w:t>
      </w:r>
      <w:r>
        <w:t xml:space="preserve"> </w:t>
      </w:r>
      <w:r w:rsidRPr="00B42F8A">
        <w:t>obchodního</w:t>
      </w:r>
      <w:r>
        <w:t xml:space="preserve"> </w:t>
      </w:r>
      <w:r w:rsidRPr="00D1012C">
        <w:t xml:space="preserve">tajemství, se ve </w:t>
      </w:r>
      <w:r w:rsidRPr="000A58F6">
        <w:t>zprávě o vztazích</w:t>
      </w:r>
      <w:r w:rsidRPr="00D1012C">
        <w:t xml:space="preserve"> uvádí v přiměřené míře zobecnění, která odpovídá účelu zprávy o vztazích.</w:t>
      </w:r>
    </w:p>
    <w:p w14:paraId="17DAE879" w14:textId="391B56F0" w:rsidR="00CD2102" w:rsidRPr="0043775F" w:rsidRDefault="00CD2102" w:rsidP="00C902C6">
      <w:pPr>
        <w:pStyle w:val="Paragraf"/>
        <w:keepNext w:val="0"/>
        <w:keepLines w:val="0"/>
        <w:numPr>
          <w:ilvl w:val="0"/>
          <w:numId w:val="27"/>
        </w:numPr>
        <w:tabs>
          <w:tab w:val="left" w:pos="420"/>
          <w:tab w:val="left" w:pos="840"/>
        </w:tabs>
        <w:spacing w:after="120"/>
      </w:pPr>
      <w:r w:rsidRPr="0043775F">
        <w:t>§</w:t>
      </w:r>
      <w:r w:rsidR="00245602">
        <w:t xml:space="preserve"> 83</w:t>
      </w:r>
    </w:p>
    <w:p w14:paraId="44152347" w14:textId="016BE3F1" w:rsidR="00CD2102" w:rsidRPr="0043775F" w:rsidRDefault="00245602" w:rsidP="00C902C6">
      <w:pPr>
        <w:pStyle w:val="PZTextodstavce"/>
        <w:tabs>
          <w:tab w:val="clear" w:pos="851"/>
          <w:tab w:val="left" w:pos="420"/>
          <w:tab w:val="left" w:pos="840"/>
        </w:tabs>
        <w:spacing w:before="240"/>
      </w:pPr>
      <w:r>
        <w:t xml:space="preserve">(1) </w:t>
      </w:r>
      <w:r w:rsidR="00CD2102" w:rsidRPr="0043775F">
        <w:t>Má-li ovládaná osoba kontrolní orgán, přezkoumá tento orgán zprávu o vztazích. O výsledcích přezkumu informuje její nejvyšší orgán a sdělí mu své stanovisko, které obsahuje také názor na vyrovnání újmy podle § 71 nebo 72.</w:t>
      </w:r>
    </w:p>
    <w:p w14:paraId="79F732E8" w14:textId="70FCBD0C" w:rsidR="00CD2102" w:rsidRPr="0043775F" w:rsidRDefault="00245602" w:rsidP="00C902C6">
      <w:pPr>
        <w:pStyle w:val="PZTextodstavce"/>
        <w:tabs>
          <w:tab w:val="clear" w:pos="851"/>
          <w:tab w:val="left" w:pos="420"/>
          <w:tab w:val="left" w:pos="840"/>
        </w:tabs>
        <w:spacing w:before="240"/>
      </w:pPr>
      <w:r>
        <w:t xml:space="preserve">(2) </w:t>
      </w:r>
      <w:r w:rsidR="00CD2102" w:rsidRPr="0043775F">
        <w:t>Zjistí-li kontrolní orgán v rámci ověřování zprávy o vztazích, že zpráva obsahuje vady, vyzve statutární orgán k nápravě.</w:t>
      </w:r>
    </w:p>
    <w:p w14:paraId="1B68DF80" w14:textId="140B0329" w:rsidR="00CD2102" w:rsidRPr="0043775F" w:rsidRDefault="00245602" w:rsidP="00C902C6">
      <w:pPr>
        <w:pStyle w:val="PZTextodstavce"/>
        <w:tabs>
          <w:tab w:val="clear" w:pos="851"/>
          <w:tab w:val="left" w:pos="420"/>
          <w:tab w:val="left" w:pos="840"/>
        </w:tabs>
        <w:spacing w:before="240"/>
      </w:pPr>
      <w:r>
        <w:t xml:space="preserve">(3) </w:t>
      </w:r>
      <w:r w:rsidR="00CD2102" w:rsidRPr="0043775F">
        <w:t>Přezkum zprávy o vztazích kontrolním orgánem se nevyžaduje, je-li ovládající osobou jediný společník ovládané osoby, nebo jsou-li všichni společníci ovládané osoby osobami jednajícími ve shodě vůči ovládané osobě.</w:t>
      </w:r>
    </w:p>
    <w:p w14:paraId="2152F6A9" w14:textId="13B3E2A7" w:rsidR="00CD2102" w:rsidRPr="002556C5" w:rsidRDefault="00245602" w:rsidP="00C902C6">
      <w:pPr>
        <w:pStyle w:val="PZTextodstavce"/>
        <w:tabs>
          <w:tab w:val="clear" w:pos="851"/>
          <w:tab w:val="left" w:pos="420"/>
          <w:tab w:val="left" w:pos="840"/>
        </w:tabs>
        <w:spacing w:before="240"/>
        <w:rPr>
          <w:strike/>
        </w:rPr>
      </w:pPr>
      <w:r>
        <w:rPr>
          <w:strike/>
        </w:rPr>
        <w:t xml:space="preserve">(4) </w:t>
      </w:r>
      <w:r w:rsidR="00CD2102" w:rsidRPr="002556C5">
        <w:rPr>
          <w:strike/>
        </w:rPr>
        <w:t>Vyhotovuje-li ovládaná osoba výroční zprávu, je zpráva o vztazích její součástí a podléhá tak ověření auditorem.</w:t>
      </w:r>
    </w:p>
    <w:p w14:paraId="06CD7DFA" w14:textId="77777777" w:rsidR="00CD2102" w:rsidRPr="002556C5" w:rsidRDefault="00CD2102" w:rsidP="00C902C6">
      <w:pPr>
        <w:pStyle w:val="PZTextodstavce"/>
        <w:tabs>
          <w:tab w:val="clear" w:pos="851"/>
          <w:tab w:val="left" w:pos="420"/>
          <w:tab w:val="left" w:pos="840"/>
        </w:tabs>
        <w:spacing w:before="240"/>
        <w:rPr>
          <w:b/>
          <w:bCs/>
        </w:rPr>
      </w:pPr>
      <w:r w:rsidRPr="002556C5">
        <w:rPr>
          <w:b/>
          <w:bCs/>
        </w:rPr>
        <w:t>(4) Má-li ovládaná osoba povinný audit, zpráva o vztazích musí být ověřena auditorem.</w:t>
      </w:r>
    </w:p>
    <w:p w14:paraId="1466855D" w14:textId="77777777" w:rsidR="00CD2102" w:rsidRPr="0043775F" w:rsidRDefault="00CD2102" w:rsidP="00C902C6">
      <w:pPr>
        <w:pStyle w:val="Paragraf"/>
        <w:keepNext w:val="0"/>
        <w:keepLines w:val="0"/>
        <w:numPr>
          <w:ilvl w:val="0"/>
          <w:numId w:val="27"/>
        </w:numPr>
        <w:tabs>
          <w:tab w:val="left" w:pos="420"/>
          <w:tab w:val="left" w:pos="840"/>
        </w:tabs>
        <w:spacing w:after="120"/>
      </w:pPr>
      <w:bookmarkStart w:id="69" w:name="_Hlk160471209"/>
      <w:bookmarkEnd w:id="68"/>
      <w:r w:rsidRPr="0043775F">
        <w:t xml:space="preserve">§ 84 </w:t>
      </w:r>
    </w:p>
    <w:p w14:paraId="3C16F456" w14:textId="16D4C0D2" w:rsidR="00CD2102" w:rsidRDefault="00372F78" w:rsidP="00C902C6">
      <w:pPr>
        <w:pStyle w:val="PZTextodstavce"/>
        <w:keepNext/>
        <w:keepLines/>
        <w:tabs>
          <w:tab w:val="clear" w:pos="782"/>
          <w:tab w:val="clear" w:pos="851"/>
          <w:tab w:val="left" w:pos="426"/>
          <w:tab w:val="left" w:pos="840"/>
        </w:tabs>
        <w:ind w:firstLine="426"/>
      </w:pPr>
      <w:r>
        <w:t xml:space="preserve">(1) </w:t>
      </w:r>
      <w:r w:rsidR="00CD2102" w:rsidRPr="0043775F">
        <w:t>Společníci ovládané osoby mají právo se seznámit se zprávou o vztazích a případným stanoviskem kontrolního orgánu ve stejné lhůtě a za stejných podmínek jako s účetní závěrkou; se závěry zprávy o vztazích a popřípadě s výsledkem ověření zprávy o vztazích auditorem společníky seznámí statutární orgán na nejbližším jednání nejvyššího orgánu.</w:t>
      </w:r>
    </w:p>
    <w:p w14:paraId="57A85FE2" w14:textId="1F7A014E" w:rsidR="00CD2102" w:rsidRPr="00673BD5" w:rsidRDefault="00372F78" w:rsidP="00C902C6">
      <w:pPr>
        <w:pStyle w:val="PZTextodstavce"/>
        <w:keepNext/>
        <w:keepLines/>
        <w:tabs>
          <w:tab w:val="clear" w:pos="782"/>
          <w:tab w:val="clear" w:pos="851"/>
          <w:tab w:val="left" w:pos="426"/>
          <w:tab w:val="left" w:pos="840"/>
        </w:tabs>
        <w:ind w:firstLine="426"/>
        <w:rPr>
          <w:strike/>
        </w:rPr>
      </w:pPr>
      <w:r>
        <w:rPr>
          <w:strike/>
        </w:rPr>
        <w:t xml:space="preserve">(2) </w:t>
      </w:r>
      <w:r w:rsidR="00CD2102" w:rsidRPr="00673BD5">
        <w:rPr>
          <w:strike/>
        </w:rPr>
        <w:t>Vyhotovuje-li ovládaná osoba výroční zprávu, uloží zprávu o vztazích do sbírky listin jako součást výroční zprávy. V opačném případě ji ovládaná osoba uloží do sbírky listin ve lhůtě pro uložení účetní závěrky sestavené za účetní období, za něž se zpráva o vztazích zpracovává.</w:t>
      </w:r>
    </w:p>
    <w:p w14:paraId="6BF9A91C" w14:textId="7B9B63D0" w:rsidR="00CD2102" w:rsidRDefault="00CD2102" w:rsidP="00C902C6">
      <w:pPr>
        <w:pStyle w:val="PZTextodstavce"/>
        <w:keepNext/>
        <w:keepLines/>
        <w:tabs>
          <w:tab w:val="clear" w:pos="851"/>
          <w:tab w:val="left" w:pos="420"/>
          <w:tab w:val="left" w:pos="840"/>
        </w:tabs>
        <w:rPr>
          <w:b/>
          <w:bCs/>
        </w:rPr>
      </w:pPr>
      <w:r w:rsidRPr="002556C5">
        <w:rPr>
          <w:b/>
          <w:bCs/>
        </w:rPr>
        <w:t>(2) Vyhotovuje-li ovládaná osoba individuální zprávu vedení, je zpráva o vztazích její součástí. V opačném případě musí být zpráva o vztazích zveřejněna společně s účetní závěrkou sestavenou za účetní období, za něž se zpráva o vztazích zpracovává.</w:t>
      </w:r>
      <w:r w:rsidRPr="002556C5" w:rsidDel="000D52E0">
        <w:rPr>
          <w:b/>
          <w:bCs/>
        </w:rPr>
        <w:t xml:space="preserve"> </w:t>
      </w:r>
    </w:p>
    <w:p w14:paraId="135128C3" w14:textId="79B4FCA5" w:rsidR="00926978" w:rsidRPr="00372F78" w:rsidRDefault="00926978" w:rsidP="00C902C6">
      <w:pPr>
        <w:pStyle w:val="PZTextodstavce"/>
        <w:tabs>
          <w:tab w:val="clear" w:pos="851"/>
          <w:tab w:val="left" w:pos="420"/>
          <w:tab w:val="left" w:pos="840"/>
        </w:tabs>
        <w:spacing w:before="240"/>
        <w:ind w:firstLine="0"/>
        <w:jc w:val="center"/>
        <w:rPr>
          <w:b/>
          <w:bCs/>
        </w:rPr>
      </w:pPr>
      <w:r>
        <w:rPr>
          <w:b/>
          <w:bCs/>
        </w:rPr>
        <w:t>***</w:t>
      </w:r>
    </w:p>
    <w:bookmarkEnd w:id="69"/>
    <w:p w14:paraId="2AF06DE3" w14:textId="484C7671" w:rsidR="00CD2102" w:rsidRDefault="00CD2102" w:rsidP="00C902C6">
      <w:pPr>
        <w:pStyle w:val="Paragraf"/>
        <w:keepNext w:val="0"/>
        <w:keepLines w:val="0"/>
        <w:numPr>
          <w:ilvl w:val="0"/>
          <w:numId w:val="0"/>
        </w:numPr>
        <w:tabs>
          <w:tab w:val="left" w:pos="420"/>
          <w:tab w:val="left" w:pos="840"/>
        </w:tabs>
        <w:spacing w:after="120"/>
      </w:pPr>
      <w:r w:rsidRPr="008C6668">
        <w:t>§</w:t>
      </w:r>
      <w:r>
        <w:t xml:space="preserve"> </w:t>
      </w:r>
      <w:r w:rsidRPr="008C6668">
        <w:t>94</w:t>
      </w:r>
    </w:p>
    <w:p w14:paraId="64B45CB4" w14:textId="77777777" w:rsidR="00CD2102" w:rsidRDefault="00CD2102" w:rsidP="00C902C6">
      <w:pPr>
        <w:pStyle w:val="PZTextodstavce"/>
        <w:tabs>
          <w:tab w:val="clear" w:pos="851"/>
          <w:tab w:val="left" w:pos="420"/>
          <w:tab w:val="left" w:pos="840"/>
        </w:tabs>
        <w:spacing w:before="240"/>
      </w:pPr>
      <w:r w:rsidRPr="008C6668">
        <w:t>Konečnou</w:t>
      </w:r>
      <w:r>
        <w:t xml:space="preserve"> </w:t>
      </w:r>
      <w:r w:rsidRPr="008C6668">
        <w:t>zprávu</w:t>
      </w:r>
      <w:r>
        <w:t xml:space="preserve"> </w:t>
      </w:r>
      <w:r w:rsidRPr="008C6668">
        <w:t>o</w:t>
      </w:r>
      <w:r>
        <w:t xml:space="preserve"> </w:t>
      </w:r>
      <w:r w:rsidRPr="008C6668">
        <w:t>průběhu</w:t>
      </w:r>
      <w:r>
        <w:t xml:space="preserve"> </w:t>
      </w:r>
      <w:r w:rsidRPr="008C6668">
        <w:t>likvidace,</w:t>
      </w:r>
      <w:r>
        <w:t xml:space="preserve"> </w:t>
      </w:r>
      <w:r w:rsidRPr="008C6668">
        <w:t>návrh</w:t>
      </w:r>
      <w:r>
        <w:t xml:space="preserve"> </w:t>
      </w:r>
      <w:r w:rsidRPr="008C6668">
        <w:t>na</w:t>
      </w:r>
      <w:r>
        <w:t xml:space="preserve"> </w:t>
      </w:r>
      <w:r w:rsidRPr="008C6668">
        <w:t>použití</w:t>
      </w:r>
      <w:r>
        <w:t xml:space="preserve"> </w:t>
      </w:r>
      <w:r w:rsidRPr="008C6668">
        <w:t>likvidačního</w:t>
      </w:r>
      <w:r>
        <w:t xml:space="preserve"> </w:t>
      </w:r>
      <w:r w:rsidRPr="008C6668">
        <w:t>zůstatku</w:t>
      </w:r>
      <w:r>
        <w:t xml:space="preserve"> </w:t>
      </w:r>
      <w:r w:rsidRPr="008C6668">
        <w:t>a</w:t>
      </w:r>
      <w:r>
        <w:t xml:space="preserve"> </w:t>
      </w:r>
      <w:r w:rsidRPr="002556C5">
        <w:rPr>
          <w:b/>
        </w:rPr>
        <w:t xml:space="preserve">řádnou individuální </w:t>
      </w:r>
      <w:r w:rsidRPr="00722C63">
        <w:t xml:space="preserve">účetní závěrku </w:t>
      </w:r>
      <w:r w:rsidRPr="002556C5">
        <w:rPr>
          <w:b/>
        </w:rPr>
        <w:t>sestavenou ke dni vyhotovení konečné zprávy o průběhu likvidace</w:t>
      </w:r>
      <w:r>
        <w:t xml:space="preserve"> </w:t>
      </w:r>
      <w:r w:rsidRPr="008C6668">
        <w:t>předloží</w:t>
      </w:r>
      <w:r>
        <w:t xml:space="preserve"> </w:t>
      </w:r>
      <w:r w:rsidRPr="008C6668">
        <w:t>likvidátor</w:t>
      </w:r>
      <w:r>
        <w:t xml:space="preserve"> </w:t>
      </w:r>
      <w:r w:rsidRPr="008C6668">
        <w:t>také</w:t>
      </w:r>
      <w:r>
        <w:t xml:space="preserve"> </w:t>
      </w:r>
      <w:r w:rsidRPr="008C6668">
        <w:t>nejvyššímu</w:t>
      </w:r>
      <w:r>
        <w:t xml:space="preserve"> </w:t>
      </w:r>
      <w:r w:rsidRPr="008C6668">
        <w:t>orgánu</w:t>
      </w:r>
      <w:r>
        <w:t xml:space="preserve"> </w:t>
      </w:r>
      <w:r w:rsidRPr="008C6668">
        <w:t>obchodní</w:t>
      </w:r>
      <w:r>
        <w:t xml:space="preserve"> </w:t>
      </w:r>
      <w:r w:rsidRPr="008C6668">
        <w:t>korporace.</w:t>
      </w:r>
    </w:p>
    <w:p w14:paraId="76554AEA" w14:textId="77777777" w:rsidR="00CD2102" w:rsidRDefault="00CD2102" w:rsidP="00372F78">
      <w:pPr>
        <w:pStyle w:val="Paragraf"/>
        <w:numPr>
          <w:ilvl w:val="0"/>
          <w:numId w:val="27"/>
        </w:numPr>
        <w:tabs>
          <w:tab w:val="left" w:pos="420"/>
          <w:tab w:val="left" w:pos="840"/>
        </w:tabs>
        <w:spacing w:after="120"/>
      </w:pPr>
      <w:r w:rsidRPr="00AA135D">
        <w:lastRenderedPageBreak/>
        <w:t>***</w:t>
      </w:r>
    </w:p>
    <w:p w14:paraId="4127F7EE" w14:textId="77777777" w:rsidR="00CD2102" w:rsidRPr="00BB1E0A" w:rsidRDefault="00CD2102" w:rsidP="00372F78">
      <w:pPr>
        <w:pStyle w:val="Paragraf"/>
        <w:numPr>
          <w:ilvl w:val="0"/>
          <w:numId w:val="27"/>
        </w:numPr>
        <w:tabs>
          <w:tab w:val="left" w:pos="420"/>
          <w:tab w:val="left" w:pos="840"/>
        </w:tabs>
        <w:spacing w:after="120"/>
      </w:pPr>
      <w:r w:rsidRPr="00BB1E0A">
        <w:t>§ 112</w:t>
      </w:r>
    </w:p>
    <w:p w14:paraId="355F484B" w14:textId="77777777" w:rsidR="00CD2102" w:rsidRPr="00BB1E0A" w:rsidRDefault="00CD2102" w:rsidP="00C902C6">
      <w:pPr>
        <w:pStyle w:val="PZTextodstavce"/>
        <w:keepNext/>
        <w:keepLines/>
        <w:tabs>
          <w:tab w:val="clear" w:pos="851"/>
          <w:tab w:val="left" w:pos="420"/>
          <w:tab w:val="left" w:pos="840"/>
        </w:tabs>
      </w:pPr>
      <w:r w:rsidRPr="00BB1E0A">
        <w:t xml:space="preserve">(1) Veškerý zisk, jiné </w:t>
      </w:r>
      <w:r w:rsidRPr="002556C5">
        <w:rPr>
          <w:strike/>
        </w:rPr>
        <w:t>vlastní zdroje</w:t>
      </w:r>
      <w:r>
        <w:t xml:space="preserve"> </w:t>
      </w:r>
      <w:r w:rsidRPr="002556C5">
        <w:rPr>
          <w:b/>
          <w:bCs/>
        </w:rPr>
        <w:t>části vlastního kapitálu</w:t>
      </w:r>
      <w:r w:rsidRPr="002556C5">
        <w:t xml:space="preserve"> </w:t>
      </w:r>
      <w:r w:rsidRPr="00BB1E0A">
        <w:t>a ztráta se dělí mezi společníky rovným dílem, neurčí-li společenská smlouva jiný poměr.</w:t>
      </w:r>
    </w:p>
    <w:p w14:paraId="23652F21" w14:textId="77777777" w:rsidR="00CD2102" w:rsidRPr="00BB1E0A" w:rsidRDefault="00CD2102" w:rsidP="00C902C6">
      <w:pPr>
        <w:pStyle w:val="PZTextodstavce"/>
        <w:keepNext/>
        <w:keepLines/>
        <w:tabs>
          <w:tab w:val="clear" w:pos="851"/>
          <w:tab w:val="left" w:pos="420"/>
          <w:tab w:val="left" w:pos="840"/>
        </w:tabs>
      </w:pPr>
      <w:r w:rsidRPr="00BB1E0A">
        <w:t>(2) Společník má právo na podíl na zisku ve výši 25 % z částky, v níž splnil svou vkladovou povinnost. Pokud zisk společnosti k vyplacení této částky nepostačuje, rozdělí se mezi společníky v poměru částek, v nichž splnili svou vkladovou povinnost. Zbylý zisk se dělí mezi společníky podle odstavce 1.</w:t>
      </w:r>
    </w:p>
    <w:p w14:paraId="7BCDBC35" w14:textId="77777777" w:rsidR="00CD2102" w:rsidRPr="00BB1E0A" w:rsidRDefault="00CD2102" w:rsidP="00C902C6">
      <w:pPr>
        <w:pStyle w:val="PZTextodstavce"/>
        <w:keepNext/>
        <w:keepLines/>
        <w:tabs>
          <w:tab w:val="clear" w:pos="851"/>
          <w:tab w:val="left" w:pos="420"/>
          <w:tab w:val="left" w:pos="840"/>
        </w:tabs>
      </w:pPr>
      <w:r w:rsidRPr="00BB1E0A">
        <w:t>(3) Jestliže je společníkovi poskytován podíl na zisku podle § 103 odst. 2, použije se ustanovení odstavce 1 nebo 2 jen na tu část zisku, která není takto rozdělena.</w:t>
      </w:r>
    </w:p>
    <w:p w14:paraId="1EBA3870" w14:textId="77777777" w:rsidR="00CD2102" w:rsidRPr="00BB1E0A" w:rsidRDefault="00CD2102" w:rsidP="00C902C6">
      <w:pPr>
        <w:pStyle w:val="PZTextodstavce"/>
        <w:keepNext/>
        <w:keepLines/>
        <w:tabs>
          <w:tab w:val="clear" w:pos="851"/>
          <w:tab w:val="left" w:pos="420"/>
          <w:tab w:val="left" w:pos="840"/>
        </w:tabs>
      </w:pPr>
      <w:r w:rsidRPr="00BB1E0A">
        <w:t>(4) Obsahuje-li společenská smlouva ustanovení odchylné od odstavce 1 jen pro podíl na zisku nebo jen pro podíl na ztrátě, platí, existují-li pochybnosti, že se toto ustanovení společenské smlouvy vztahuje jak na podíl na zisku, tak na podíl na ztrátě.</w:t>
      </w:r>
    </w:p>
    <w:p w14:paraId="6913EBD7" w14:textId="77777777" w:rsidR="00CD2102" w:rsidRPr="00BB1E0A" w:rsidRDefault="00CD2102" w:rsidP="00C902C6">
      <w:pPr>
        <w:pStyle w:val="PZTextodstavce"/>
        <w:keepNext/>
        <w:keepLines/>
        <w:tabs>
          <w:tab w:val="clear" w:pos="851"/>
          <w:tab w:val="left" w:pos="420"/>
          <w:tab w:val="left" w:pos="840"/>
        </w:tabs>
      </w:pPr>
      <w:r w:rsidRPr="00BB1E0A">
        <w:t>(5) Odstavce 2 a 3 se použijí, nestanoví-li společenská smlouva jinak.</w:t>
      </w:r>
    </w:p>
    <w:p w14:paraId="3649D94D" w14:textId="1F5F652F" w:rsidR="00CD2102" w:rsidRPr="00BB1E0A" w:rsidRDefault="00CD2102" w:rsidP="00C902C6">
      <w:pPr>
        <w:pStyle w:val="PZTextodstavce"/>
        <w:keepNext/>
        <w:keepLines/>
        <w:tabs>
          <w:tab w:val="clear" w:pos="851"/>
          <w:tab w:val="left" w:pos="420"/>
          <w:tab w:val="left" w:pos="840"/>
        </w:tabs>
      </w:pPr>
      <w:r w:rsidRPr="00BB1E0A">
        <w:t>(6) Podíl na zisku je splatný do 6 měsíců od konce</w:t>
      </w:r>
      <w:r>
        <w:t xml:space="preserve"> </w:t>
      </w:r>
      <w:r w:rsidRPr="002556C5">
        <w:rPr>
          <w:b/>
          <w:bCs/>
        </w:rPr>
        <w:t>individuálního</w:t>
      </w:r>
      <w:r w:rsidRPr="00BB1E0A">
        <w:t xml:space="preserve"> účetního období, ledaže společenská smlouva nebo rozhodnutí nejvyššího orgánu určí jinak.</w:t>
      </w:r>
    </w:p>
    <w:p w14:paraId="4A22307F" w14:textId="77777777" w:rsidR="00CD2102" w:rsidRDefault="00CD2102" w:rsidP="00372F78">
      <w:pPr>
        <w:pStyle w:val="Paragraf"/>
        <w:numPr>
          <w:ilvl w:val="0"/>
          <w:numId w:val="27"/>
        </w:numPr>
        <w:tabs>
          <w:tab w:val="left" w:pos="420"/>
          <w:tab w:val="left" w:pos="840"/>
        </w:tabs>
        <w:spacing w:after="120"/>
      </w:pPr>
      <w:r w:rsidRPr="00AA135D">
        <w:t>***</w:t>
      </w:r>
    </w:p>
    <w:p w14:paraId="1CAB4398" w14:textId="77777777" w:rsidR="00CD2102" w:rsidRPr="00BB1E0A" w:rsidRDefault="00CD2102" w:rsidP="00372F78">
      <w:pPr>
        <w:pStyle w:val="Paragraf"/>
        <w:numPr>
          <w:ilvl w:val="0"/>
          <w:numId w:val="27"/>
        </w:numPr>
        <w:tabs>
          <w:tab w:val="left" w:pos="420"/>
          <w:tab w:val="left" w:pos="840"/>
        </w:tabs>
        <w:spacing w:after="120"/>
      </w:pPr>
      <w:r w:rsidRPr="00BB1E0A">
        <w:t>§ 149</w:t>
      </w:r>
    </w:p>
    <w:p w14:paraId="714CCE52" w14:textId="77777777" w:rsidR="00CD2102" w:rsidRPr="00BB1E0A" w:rsidRDefault="00CD2102" w:rsidP="00C902C6">
      <w:pPr>
        <w:pStyle w:val="PZTextodstavce"/>
        <w:keepNext/>
        <w:keepLines/>
        <w:tabs>
          <w:tab w:val="clear" w:pos="851"/>
          <w:tab w:val="left" w:pos="420"/>
          <w:tab w:val="left" w:pos="840"/>
        </w:tabs>
      </w:pPr>
      <w:r w:rsidRPr="00BB1E0A">
        <w:t>(1) Společnost může nabýt svůj podíl, nejde-li o jeho nabytí smlouvou o převodu podílu.</w:t>
      </w:r>
    </w:p>
    <w:p w14:paraId="2A941128" w14:textId="77777777" w:rsidR="00CD2102" w:rsidRPr="00BB1E0A" w:rsidRDefault="00CD2102" w:rsidP="00C902C6">
      <w:pPr>
        <w:pStyle w:val="PZTextodstavce"/>
        <w:keepNext/>
        <w:keepLines/>
        <w:tabs>
          <w:tab w:val="clear" w:pos="851"/>
          <w:tab w:val="left" w:pos="420"/>
          <w:tab w:val="left" w:pos="840"/>
        </w:tabs>
      </w:pPr>
      <w:r w:rsidRPr="00BB1E0A">
        <w:t>(2) Společnost, která nabude svůj podíl, nevykonává s tímto podílem hlasovací práva.</w:t>
      </w:r>
    </w:p>
    <w:p w14:paraId="0D62FEA1" w14:textId="77777777" w:rsidR="00CD2102" w:rsidRPr="00BB1E0A" w:rsidRDefault="00CD2102" w:rsidP="00C902C6">
      <w:pPr>
        <w:pStyle w:val="PZTextodstavce"/>
        <w:keepNext/>
        <w:keepLines/>
        <w:tabs>
          <w:tab w:val="clear" w:pos="851"/>
          <w:tab w:val="left" w:pos="420"/>
          <w:tab w:val="left" w:pos="840"/>
        </w:tabs>
      </w:pPr>
      <w:r w:rsidRPr="00BB1E0A">
        <w:t xml:space="preserve">(3) Právo na podíl na zisku nebo jiných </w:t>
      </w:r>
      <w:r w:rsidRPr="002556C5">
        <w:rPr>
          <w:strike/>
        </w:rPr>
        <w:t>vlastních zdrojích</w:t>
      </w:r>
      <w:r w:rsidRPr="002556C5">
        <w:t xml:space="preserve"> </w:t>
      </w:r>
      <w:r w:rsidRPr="002556C5">
        <w:rPr>
          <w:b/>
          <w:bCs/>
        </w:rPr>
        <w:t>částech vlastního kapitálu</w:t>
      </w:r>
      <w:r w:rsidRPr="00BB1E0A">
        <w:t xml:space="preserve"> spojené s vlastním podílem v majetku společnosti zaniká jeho splatností. Nevyplacený zisk nebo jiné </w:t>
      </w:r>
      <w:r w:rsidRPr="002556C5">
        <w:rPr>
          <w:strike/>
        </w:rPr>
        <w:t>vlastní zdroje</w:t>
      </w:r>
      <w:r>
        <w:t xml:space="preserve"> </w:t>
      </w:r>
      <w:r w:rsidRPr="002556C5">
        <w:rPr>
          <w:b/>
          <w:bCs/>
        </w:rPr>
        <w:t>části vlastního kapitálu</w:t>
      </w:r>
      <w:r w:rsidRPr="002556C5">
        <w:t xml:space="preserve"> </w:t>
      </w:r>
      <w:r w:rsidRPr="00BB1E0A">
        <w:t>společnost zaúčtuje ve prospěch účtu, proti kterému byl původně zaúčtován, a není-li to již možné, tak ve prospěch účtu nerozděleného zisku minulých let.</w:t>
      </w:r>
    </w:p>
    <w:p w14:paraId="29CF2AD3" w14:textId="77777777" w:rsidR="00CD2102" w:rsidRPr="00BB1E0A" w:rsidRDefault="00CD2102" w:rsidP="00C902C6">
      <w:pPr>
        <w:pStyle w:val="PZTextodstavce"/>
        <w:keepNext/>
        <w:keepLines/>
        <w:tabs>
          <w:tab w:val="clear" w:pos="851"/>
          <w:tab w:val="left" w:pos="420"/>
          <w:tab w:val="left" w:pos="840"/>
        </w:tabs>
      </w:pPr>
      <w:r w:rsidRPr="00BB1E0A">
        <w:t>(4) V případě, že společnost nabude všechny své podíly, převede je nebo některý z nich jednatel do 3 měsíců od nabytí posledního z nich na třetí osobu, jinak soud společnost i bez návrhu zruší. Hodnota podílů se určí na základě znaleckého posudku; § 143 se použije obdobně.</w:t>
      </w:r>
    </w:p>
    <w:p w14:paraId="0BAAAD4F" w14:textId="77777777" w:rsidR="00CD2102" w:rsidRPr="00BB1E0A" w:rsidRDefault="00CD2102" w:rsidP="00C902C6">
      <w:pPr>
        <w:pStyle w:val="PZTextodstavce"/>
        <w:keepNext/>
        <w:keepLines/>
        <w:tabs>
          <w:tab w:val="clear" w:pos="851"/>
          <w:tab w:val="left" w:pos="420"/>
          <w:tab w:val="left" w:pos="840"/>
        </w:tabs>
      </w:pPr>
      <w:r w:rsidRPr="00BB1E0A">
        <w:t>(5) Převádí-li společnost vlastní podíl, mají k němu společníci předkupní právo. Využije-li předkupní právo více společníků, rozdělí se převáděný podíl mezi tyto společníky podle poměru jejich podílů.</w:t>
      </w:r>
    </w:p>
    <w:p w14:paraId="2DC75C35" w14:textId="77777777" w:rsidR="00CD2102" w:rsidRPr="00BB1E0A" w:rsidRDefault="00CD2102" w:rsidP="00C902C6">
      <w:pPr>
        <w:pStyle w:val="PZTextodstavce"/>
        <w:keepNext/>
        <w:keepLines/>
        <w:tabs>
          <w:tab w:val="clear" w:pos="851"/>
          <w:tab w:val="left" w:pos="420"/>
          <w:tab w:val="left" w:pos="840"/>
        </w:tabs>
      </w:pPr>
      <w:r w:rsidRPr="00BB1E0A">
        <w:t>(6) Odstavce 1, 2 a 4 se použijí obdobně pro nabytí podílu společnosti jí ovládanou osobou nebo osobou jednající svým jménem na účet této ovládané osoby.</w:t>
      </w:r>
    </w:p>
    <w:p w14:paraId="5429330C" w14:textId="77777777" w:rsidR="00CD2102" w:rsidRDefault="00CD2102" w:rsidP="00C902C6">
      <w:pPr>
        <w:pStyle w:val="Paragraf"/>
        <w:keepNext w:val="0"/>
        <w:keepLines w:val="0"/>
        <w:numPr>
          <w:ilvl w:val="0"/>
          <w:numId w:val="27"/>
        </w:numPr>
        <w:tabs>
          <w:tab w:val="left" w:pos="420"/>
          <w:tab w:val="left" w:pos="840"/>
        </w:tabs>
        <w:spacing w:after="120"/>
      </w:pPr>
      <w:r w:rsidRPr="00AA135D">
        <w:t>***</w:t>
      </w:r>
    </w:p>
    <w:p w14:paraId="4B982C60" w14:textId="30283B4E" w:rsidR="00CD2102" w:rsidRDefault="00CD2102" w:rsidP="00C902C6">
      <w:pPr>
        <w:pStyle w:val="Paragraf"/>
        <w:keepNext w:val="0"/>
        <w:keepLines w:val="0"/>
        <w:numPr>
          <w:ilvl w:val="0"/>
          <w:numId w:val="27"/>
        </w:numPr>
        <w:tabs>
          <w:tab w:val="left" w:pos="420"/>
          <w:tab w:val="left" w:pos="840"/>
        </w:tabs>
        <w:spacing w:after="120"/>
      </w:pPr>
      <w:r w:rsidRPr="008C6668">
        <w:t>§</w:t>
      </w:r>
      <w:r>
        <w:t xml:space="preserve"> </w:t>
      </w:r>
      <w:r w:rsidRPr="008C6668">
        <w:t>161</w:t>
      </w:r>
    </w:p>
    <w:p w14:paraId="27EB30A0" w14:textId="77777777" w:rsidR="00CD2102" w:rsidRPr="00634BDC" w:rsidRDefault="00CD2102" w:rsidP="0056049B">
      <w:pPr>
        <w:pStyle w:val="Nadpisparagrafu"/>
        <w:keepNext w:val="0"/>
        <w:keepLines w:val="0"/>
        <w:tabs>
          <w:tab w:val="left" w:pos="420"/>
          <w:tab w:val="left" w:pos="840"/>
        </w:tabs>
        <w:spacing w:after="120"/>
      </w:pPr>
      <w:r>
        <w:t xml:space="preserve">Podíl na zisku a na jiných </w:t>
      </w:r>
      <w:r w:rsidRPr="002556C5">
        <w:rPr>
          <w:strike/>
        </w:rPr>
        <w:t>vlastních zdrojích</w:t>
      </w:r>
      <w:r w:rsidRPr="002556C5">
        <w:t xml:space="preserve"> </w:t>
      </w:r>
      <w:r w:rsidRPr="00372F78">
        <w:rPr>
          <w:u w:val="single"/>
        </w:rPr>
        <w:t>částech vlastního kapitálu</w:t>
      </w:r>
    </w:p>
    <w:p w14:paraId="04B52420" w14:textId="4714DE44" w:rsidR="00CD2102" w:rsidRDefault="00CD2102" w:rsidP="0056049B">
      <w:pPr>
        <w:pStyle w:val="PZTextodstavce"/>
        <w:tabs>
          <w:tab w:val="clear" w:pos="851"/>
          <w:tab w:val="left" w:pos="420"/>
          <w:tab w:val="left" w:pos="840"/>
        </w:tabs>
      </w:pPr>
      <w:r w:rsidRPr="008C6668">
        <w:t>(1</w:t>
      </w:r>
      <w:r w:rsidR="00372F78">
        <w:t xml:space="preserve">) </w:t>
      </w:r>
      <w:r w:rsidRPr="008C6668">
        <w:t>Společníci</w:t>
      </w:r>
      <w:r>
        <w:t xml:space="preserve"> </w:t>
      </w:r>
      <w:r w:rsidRPr="008C6668">
        <w:t>se</w:t>
      </w:r>
      <w:r>
        <w:t xml:space="preserve"> </w:t>
      </w:r>
      <w:r w:rsidRPr="008C6668">
        <w:t>podílejí</w:t>
      </w:r>
      <w:r>
        <w:t xml:space="preserve"> </w:t>
      </w:r>
      <w:r w:rsidRPr="008C6668">
        <w:t>na</w:t>
      </w:r>
      <w:r>
        <w:t xml:space="preserve"> </w:t>
      </w:r>
      <w:r w:rsidRPr="008C6668">
        <w:t>zisku</w:t>
      </w:r>
      <w:r>
        <w:t xml:space="preserve"> </w:t>
      </w:r>
      <w:r w:rsidRPr="008C6668">
        <w:t>a</w:t>
      </w:r>
      <w:r>
        <w:t xml:space="preserve"> </w:t>
      </w:r>
      <w:r w:rsidRPr="008C6668">
        <w:t>na</w:t>
      </w:r>
      <w:r>
        <w:t xml:space="preserve"> </w:t>
      </w:r>
      <w:r w:rsidRPr="008C6668">
        <w:t>jiných</w:t>
      </w:r>
      <w:r>
        <w:t xml:space="preserve"> </w:t>
      </w:r>
      <w:r w:rsidRPr="002556C5">
        <w:rPr>
          <w:strike/>
        </w:rPr>
        <w:t>vlastních zdrojích</w:t>
      </w:r>
      <w:r w:rsidRPr="002556C5">
        <w:t xml:space="preserve"> </w:t>
      </w:r>
      <w:r w:rsidRPr="002556C5">
        <w:rPr>
          <w:b/>
        </w:rPr>
        <w:t>částech vlastního kapitálu</w:t>
      </w:r>
      <w:r>
        <w:t xml:space="preserve"> </w:t>
      </w:r>
      <w:r w:rsidRPr="008C6668">
        <w:t>určených</w:t>
      </w:r>
      <w:r>
        <w:t xml:space="preserve"> </w:t>
      </w:r>
      <w:r w:rsidRPr="008C6668">
        <w:t>valnou</w:t>
      </w:r>
      <w:r>
        <w:t xml:space="preserve"> </w:t>
      </w:r>
      <w:r w:rsidRPr="008C6668">
        <w:t>hromadou</w:t>
      </w:r>
      <w:r>
        <w:t xml:space="preserve"> </w:t>
      </w:r>
      <w:r w:rsidRPr="008C6668">
        <w:t>k</w:t>
      </w:r>
      <w:r>
        <w:t xml:space="preserve"> </w:t>
      </w:r>
      <w:r w:rsidRPr="008C6668">
        <w:t>rozdělení</w:t>
      </w:r>
      <w:r>
        <w:t xml:space="preserve"> </w:t>
      </w:r>
      <w:r w:rsidRPr="008C6668">
        <w:t>mezi</w:t>
      </w:r>
      <w:r>
        <w:t xml:space="preserve"> </w:t>
      </w:r>
      <w:r w:rsidRPr="008C6668">
        <w:t>společníky</w:t>
      </w:r>
      <w:r>
        <w:t xml:space="preserve"> </w:t>
      </w:r>
      <w:r w:rsidRPr="008C6668">
        <w:t>v</w:t>
      </w:r>
      <w:r>
        <w:t xml:space="preserve"> </w:t>
      </w:r>
      <w:r w:rsidRPr="008C6668">
        <w:t>poměru</w:t>
      </w:r>
      <w:r>
        <w:t xml:space="preserve"> </w:t>
      </w:r>
      <w:r w:rsidRPr="008C6668">
        <w:t>svých</w:t>
      </w:r>
      <w:r>
        <w:t xml:space="preserve"> </w:t>
      </w:r>
      <w:r w:rsidRPr="008C6668">
        <w:t>podílů,</w:t>
      </w:r>
      <w:r>
        <w:t xml:space="preserve"> </w:t>
      </w:r>
      <w:r w:rsidRPr="008C6668">
        <w:lastRenderedPageBreak/>
        <w:t>ledaže</w:t>
      </w:r>
      <w:r>
        <w:t xml:space="preserve"> </w:t>
      </w:r>
      <w:r w:rsidRPr="008C6668">
        <w:t>společenská</w:t>
      </w:r>
      <w:r>
        <w:t xml:space="preserve"> </w:t>
      </w:r>
      <w:r w:rsidRPr="008C6668">
        <w:t>smlouva</w:t>
      </w:r>
      <w:r>
        <w:t xml:space="preserve"> </w:t>
      </w:r>
      <w:r w:rsidRPr="008C6668">
        <w:t>určí</w:t>
      </w:r>
      <w:r>
        <w:t xml:space="preserve"> </w:t>
      </w:r>
      <w:r w:rsidRPr="008C6668">
        <w:t>jinak.</w:t>
      </w:r>
      <w:r>
        <w:t xml:space="preserve"> </w:t>
      </w:r>
      <w:r w:rsidRPr="008C6668">
        <w:t>Neurčí-li</w:t>
      </w:r>
      <w:r>
        <w:t xml:space="preserve"> </w:t>
      </w:r>
      <w:r w:rsidRPr="008C6668">
        <w:t>společenská</w:t>
      </w:r>
      <w:r>
        <w:t xml:space="preserve"> </w:t>
      </w:r>
      <w:r w:rsidRPr="008C6668">
        <w:t>smlouva</w:t>
      </w:r>
      <w:r>
        <w:t xml:space="preserve"> </w:t>
      </w:r>
      <w:r w:rsidRPr="008C6668">
        <w:t>jinak,</w:t>
      </w:r>
      <w:r>
        <w:t xml:space="preserve"> </w:t>
      </w:r>
      <w:r w:rsidRPr="008C6668">
        <w:t>vyplácí</w:t>
      </w:r>
      <w:r>
        <w:t xml:space="preserve"> </w:t>
      </w:r>
      <w:r w:rsidRPr="008C6668">
        <w:t>se</w:t>
      </w:r>
      <w:r>
        <w:t xml:space="preserve"> </w:t>
      </w:r>
      <w:r w:rsidRPr="008C6668">
        <w:t>podíl</w:t>
      </w:r>
      <w:r>
        <w:t xml:space="preserve"> </w:t>
      </w:r>
      <w:r w:rsidRPr="008C6668">
        <w:t>na</w:t>
      </w:r>
      <w:r>
        <w:t xml:space="preserve"> </w:t>
      </w:r>
      <w:r w:rsidRPr="008C6668">
        <w:t>zisku</w:t>
      </w:r>
      <w:r>
        <w:t xml:space="preserve"> </w:t>
      </w:r>
      <w:r w:rsidRPr="008C6668">
        <w:t>a</w:t>
      </w:r>
      <w:r>
        <w:t xml:space="preserve"> </w:t>
      </w:r>
      <w:r w:rsidRPr="008C6668">
        <w:t>na</w:t>
      </w:r>
      <w:r>
        <w:t xml:space="preserve"> </w:t>
      </w:r>
      <w:r w:rsidRPr="008C6668">
        <w:t>jiných</w:t>
      </w:r>
      <w:r>
        <w:t xml:space="preserve"> </w:t>
      </w:r>
      <w:r w:rsidRPr="002556C5">
        <w:rPr>
          <w:strike/>
        </w:rPr>
        <w:t>vlastních zdrojích</w:t>
      </w:r>
      <w:r w:rsidRPr="002556C5">
        <w:rPr>
          <w:b/>
        </w:rPr>
        <w:t xml:space="preserve"> částech vlastního kapitálu</w:t>
      </w:r>
      <w:r>
        <w:t xml:space="preserve"> </w:t>
      </w:r>
      <w:r w:rsidRPr="008C6668">
        <w:t>v</w:t>
      </w:r>
      <w:r>
        <w:t xml:space="preserve"> </w:t>
      </w:r>
      <w:r w:rsidRPr="008C6668">
        <w:t>penězích.</w:t>
      </w:r>
    </w:p>
    <w:p w14:paraId="3437835E" w14:textId="4FD26F75" w:rsidR="00CD2102" w:rsidRDefault="00CD2102" w:rsidP="0056049B">
      <w:pPr>
        <w:pStyle w:val="PZTextodstavce"/>
        <w:tabs>
          <w:tab w:val="clear" w:pos="851"/>
          <w:tab w:val="left" w:pos="420"/>
          <w:tab w:val="left" w:pos="840"/>
        </w:tabs>
      </w:pPr>
      <w:r w:rsidRPr="008C6668">
        <w:t>(2</w:t>
      </w:r>
      <w:r w:rsidR="00372F78">
        <w:t xml:space="preserve">) </w:t>
      </w:r>
      <w:r w:rsidRPr="008C6668">
        <w:t>Společnost</w:t>
      </w:r>
      <w:r>
        <w:t xml:space="preserve"> </w:t>
      </w:r>
      <w:r w:rsidRPr="008C6668">
        <w:t>vyplatí</w:t>
      </w:r>
      <w:r>
        <w:t xml:space="preserve"> </w:t>
      </w:r>
      <w:r w:rsidRPr="008C6668">
        <w:t>podíl</w:t>
      </w:r>
      <w:r>
        <w:t xml:space="preserve"> </w:t>
      </w:r>
      <w:r w:rsidRPr="008C6668">
        <w:t>na</w:t>
      </w:r>
      <w:r>
        <w:t xml:space="preserve"> </w:t>
      </w:r>
      <w:r w:rsidRPr="008C6668">
        <w:t>zisku</w:t>
      </w:r>
      <w:r>
        <w:t xml:space="preserve"> </w:t>
      </w:r>
      <w:r w:rsidRPr="008C6668">
        <w:t>a</w:t>
      </w:r>
      <w:r>
        <w:t xml:space="preserve"> </w:t>
      </w:r>
      <w:r w:rsidRPr="008C6668">
        <w:t>na</w:t>
      </w:r>
      <w:r>
        <w:t xml:space="preserve"> </w:t>
      </w:r>
      <w:r w:rsidRPr="008C6668">
        <w:t>jiných</w:t>
      </w:r>
      <w:r>
        <w:t xml:space="preserve"> </w:t>
      </w:r>
      <w:r w:rsidRPr="002556C5">
        <w:rPr>
          <w:strike/>
        </w:rPr>
        <w:t>vlastních zdrojích</w:t>
      </w:r>
      <w:r w:rsidRPr="002556C5">
        <w:t xml:space="preserve"> </w:t>
      </w:r>
      <w:r w:rsidRPr="002556C5">
        <w:rPr>
          <w:b/>
        </w:rPr>
        <w:t>částech vlastního kapitálu</w:t>
      </w:r>
      <w:r>
        <w:t xml:space="preserve"> </w:t>
      </w:r>
      <w:r w:rsidRPr="008C6668">
        <w:t>na</w:t>
      </w:r>
      <w:r>
        <w:t xml:space="preserve"> </w:t>
      </w:r>
      <w:r w:rsidRPr="008C6668">
        <w:t>své</w:t>
      </w:r>
      <w:r>
        <w:t xml:space="preserve"> </w:t>
      </w:r>
      <w:r w:rsidRPr="008C6668">
        <w:t>náklady</w:t>
      </w:r>
      <w:r>
        <w:t xml:space="preserve"> </w:t>
      </w:r>
      <w:r w:rsidRPr="008C6668">
        <w:t>a</w:t>
      </w:r>
      <w:r>
        <w:t xml:space="preserve"> </w:t>
      </w:r>
      <w:r w:rsidRPr="008C6668">
        <w:t>nebezpečí</w:t>
      </w:r>
      <w:r>
        <w:t xml:space="preserve"> </w:t>
      </w:r>
      <w:r w:rsidRPr="008C6668">
        <w:t>na</w:t>
      </w:r>
      <w:r>
        <w:t xml:space="preserve"> </w:t>
      </w:r>
      <w:r w:rsidRPr="008C6668">
        <w:t>adresu</w:t>
      </w:r>
      <w:r>
        <w:t xml:space="preserve"> </w:t>
      </w:r>
      <w:r w:rsidRPr="008C6668">
        <w:t>společníka</w:t>
      </w:r>
      <w:r>
        <w:t xml:space="preserve"> </w:t>
      </w:r>
      <w:r w:rsidRPr="008C6668">
        <w:t>nebo</w:t>
      </w:r>
      <w:r>
        <w:t xml:space="preserve"> </w:t>
      </w:r>
      <w:r w:rsidRPr="008C6668">
        <w:t>bezhotovostním</w:t>
      </w:r>
      <w:r>
        <w:t xml:space="preserve"> </w:t>
      </w:r>
      <w:r w:rsidRPr="008C6668">
        <w:t>převodem</w:t>
      </w:r>
      <w:r>
        <w:t xml:space="preserve"> </w:t>
      </w:r>
      <w:r w:rsidRPr="008C6668">
        <w:t>na</w:t>
      </w:r>
      <w:r>
        <w:t xml:space="preserve"> </w:t>
      </w:r>
      <w:r w:rsidRPr="008C6668">
        <w:t>jeho</w:t>
      </w:r>
      <w:r>
        <w:t xml:space="preserve"> </w:t>
      </w:r>
      <w:r w:rsidRPr="008C6668">
        <w:t>účet,</w:t>
      </w:r>
      <w:r>
        <w:t xml:space="preserve"> </w:t>
      </w:r>
      <w:r w:rsidRPr="008C6668">
        <w:t>ledaže</w:t>
      </w:r>
      <w:r>
        <w:t xml:space="preserve"> </w:t>
      </w:r>
      <w:r w:rsidRPr="008C6668">
        <w:t>společenská</w:t>
      </w:r>
      <w:r>
        <w:t xml:space="preserve"> </w:t>
      </w:r>
      <w:r w:rsidRPr="008C6668">
        <w:t>smlouva</w:t>
      </w:r>
      <w:r>
        <w:t xml:space="preserve"> </w:t>
      </w:r>
      <w:r w:rsidRPr="008C6668">
        <w:t>nebo</w:t>
      </w:r>
      <w:r>
        <w:t xml:space="preserve"> </w:t>
      </w:r>
      <w:r w:rsidRPr="008C6668">
        <w:t>usnesení</w:t>
      </w:r>
      <w:r>
        <w:t xml:space="preserve"> </w:t>
      </w:r>
      <w:r w:rsidRPr="008C6668">
        <w:t>valné</w:t>
      </w:r>
      <w:r>
        <w:t xml:space="preserve"> </w:t>
      </w:r>
      <w:r w:rsidRPr="008C6668">
        <w:t>hromady</w:t>
      </w:r>
      <w:r>
        <w:t xml:space="preserve"> </w:t>
      </w:r>
      <w:r w:rsidRPr="008C6668">
        <w:t>určí</w:t>
      </w:r>
      <w:r>
        <w:t xml:space="preserve"> </w:t>
      </w:r>
      <w:r w:rsidRPr="008C6668">
        <w:t>jinak.</w:t>
      </w:r>
    </w:p>
    <w:p w14:paraId="50B77946" w14:textId="2B9F9A2F" w:rsidR="00CD2102" w:rsidRDefault="00CD2102" w:rsidP="0056049B">
      <w:pPr>
        <w:pStyle w:val="PZTextodstavce"/>
        <w:tabs>
          <w:tab w:val="clear" w:pos="851"/>
          <w:tab w:val="left" w:pos="420"/>
          <w:tab w:val="left" w:pos="840"/>
        </w:tabs>
      </w:pPr>
      <w:r w:rsidRPr="008C6668">
        <w:t>(3</w:t>
      </w:r>
      <w:r w:rsidR="00372F78">
        <w:t xml:space="preserve">) </w:t>
      </w:r>
      <w:r w:rsidRPr="008C6668">
        <w:t>U</w:t>
      </w:r>
      <w:r>
        <w:t xml:space="preserve"> </w:t>
      </w:r>
      <w:r w:rsidRPr="008C6668">
        <w:t>podílů,</w:t>
      </w:r>
      <w:r>
        <w:t xml:space="preserve"> </w:t>
      </w:r>
      <w:r w:rsidRPr="008C6668">
        <w:t>se</w:t>
      </w:r>
      <w:r>
        <w:t xml:space="preserve"> </w:t>
      </w:r>
      <w:r w:rsidRPr="008C6668">
        <w:t>kterými</w:t>
      </w:r>
      <w:r>
        <w:t xml:space="preserve"> </w:t>
      </w:r>
      <w:r w:rsidRPr="008C6668">
        <w:t>je</w:t>
      </w:r>
      <w:r>
        <w:t xml:space="preserve"> </w:t>
      </w:r>
      <w:r w:rsidRPr="008C6668">
        <w:t>spojen</w:t>
      </w:r>
      <w:r>
        <w:t xml:space="preserve"> </w:t>
      </w:r>
      <w:r w:rsidRPr="008C6668">
        <w:t>pevný</w:t>
      </w:r>
      <w:r>
        <w:t xml:space="preserve"> </w:t>
      </w:r>
      <w:r w:rsidRPr="008C6668">
        <w:t>podíl</w:t>
      </w:r>
      <w:r>
        <w:t xml:space="preserve"> </w:t>
      </w:r>
      <w:r w:rsidRPr="008C6668">
        <w:t>na</w:t>
      </w:r>
      <w:r>
        <w:t xml:space="preserve"> </w:t>
      </w:r>
      <w:r w:rsidRPr="008C6668">
        <w:t>zisku,</w:t>
      </w:r>
      <w:r>
        <w:t xml:space="preserve"> </w:t>
      </w:r>
      <w:r w:rsidRPr="008C6668">
        <w:t>se</w:t>
      </w:r>
      <w:r>
        <w:t xml:space="preserve"> </w:t>
      </w:r>
      <w:r w:rsidRPr="008C6668">
        <w:t>usnesení</w:t>
      </w:r>
      <w:r>
        <w:t xml:space="preserve"> </w:t>
      </w:r>
      <w:r w:rsidRPr="008C6668">
        <w:t>valné</w:t>
      </w:r>
      <w:r>
        <w:t xml:space="preserve"> </w:t>
      </w:r>
      <w:r w:rsidRPr="008C6668">
        <w:t>hromady</w:t>
      </w:r>
      <w:r>
        <w:t xml:space="preserve"> </w:t>
      </w:r>
      <w:r w:rsidRPr="008C6668">
        <w:t>o</w:t>
      </w:r>
      <w:r>
        <w:t xml:space="preserve"> </w:t>
      </w:r>
      <w:r w:rsidRPr="008C6668">
        <w:t>rozdělení</w:t>
      </w:r>
      <w:r>
        <w:t xml:space="preserve"> </w:t>
      </w:r>
      <w:r w:rsidRPr="008C6668">
        <w:t>podílu</w:t>
      </w:r>
      <w:r>
        <w:t xml:space="preserve"> </w:t>
      </w:r>
      <w:r w:rsidRPr="008C6668">
        <w:t>na</w:t>
      </w:r>
      <w:r>
        <w:t xml:space="preserve"> </w:t>
      </w:r>
      <w:r w:rsidRPr="008C6668">
        <w:t>zisku</w:t>
      </w:r>
      <w:r>
        <w:t xml:space="preserve"> </w:t>
      </w:r>
      <w:r w:rsidRPr="008C6668">
        <w:t>nevyžaduje.</w:t>
      </w:r>
      <w:r>
        <w:t xml:space="preserve"> </w:t>
      </w:r>
      <w:r w:rsidRPr="008C6668">
        <w:t>Nestanoví-li</w:t>
      </w:r>
      <w:r>
        <w:t xml:space="preserve"> </w:t>
      </w:r>
      <w:r w:rsidRPr="008C6668">
        <w:t>společenská</w:t>
      </w:r>
      <w:r>
        <w:t xml:space="preserve"> </w:t>
      </w:r>
      <w:r w:rsidRPr="008C6668">
        <w:t>smlouva</w:t>
      </w:r>
      <w:r>
        <w:t xml:space="preserve"> </w:t>
      </w:r>
      <w:r w:rsidRPr="008C6668">
        <w:t>jinak,</w:t>
      </w:r>
      <w:r>
        <w:t xml:space="preserve"> </w:t>
      </w:r>
      <w:r w:rsidRPr="008C6668">
        <w:t>pevný</w:t>
      </w:r>
      <w:r>
        <w:t xml:space="preserve"> </w:t>
      </w:r>
      <w:r w:rsidRPr="008C6668">
        <w:t>podíl</w:t>
      </w:r>
      <w:r>
        <w:t xml:space="preserve"> </w:t>
      </w:r>
      <w:r w:rsidRPr="008C6668">
        <w:t>na</w:t>
      </w:r>
      <w:r>
        <w:t xml:space="preserve"> </w:t>
      </w:r>
      <w:r w:rsidRPr="008C6668">
        <w:t>zisku</w:t>
      </w:r>
      <w:r>
        <w:t xml:space="preserve"> </w:t>
      </w:r>
      <w:r w:rsidRPr="008C6668">
        <w:t>je</w:t>
      </w:r>
      <w:r>
        <w:t xml:space="preserve"> </w:t>
      </w:r>
      <w:r w:rsidRPr="008C6668">
        <w:t>splatný</w:t>
      </w:r>
      <w:r>
        <w:t xml:space="preserve"> </w:t>
      </w:r>
      <w:r w:rsidRPr="008C6668">
        <w:t>do</w:t>
      </w:r>
      <w:r>
        <w:t xml:space="preserve"> </w:t>
      </w:r>
      <w:r w:rsidRPr="008C6668">
        <w:t>3</w:t>
      </w:r>
      <w:r>
        <w:t xml:space="preserve"> </w:t>
      </w:r>
      <w:r w:rsidRPr="008C6668">
        <w:t>měsíců</w:t>
      </w:r>
      <w:r>
        <w:t xml:space="preserve"> </w:t>
      </w:r>
      <w:r w:rsidRPr="008C6668">
        <w:t>od</w:t>
      </w:r>
      <w:r>
        <w:t xml:space="preserve"> </w:t>
      </w:r>
      <w:r w:rsidRPr="008C6668">
        <w:t>schválení</w:t>
      </w:r>
      <w:r>
        <w:t xml:space="preserve"> </w:t>
      </w:r>
      <w:r w:rsidRPr="002556C5">
        <w:rPr>
          <w:b/>
        </w:rPr>
        <w:t>řádné individuální</w:t>
      </w:r>
      <w:r w:rsidRPr="008C6668">
        <w:t xml:space="preserve"> účetní</w:t>
      </w:r>
      <w:r>
        <w:t xml:space="preserve"> </w:t>
      </w:r>
      <w:r w:rsidRPr="008C6668">
        <w:t>závěrky,</w:t>
      </w:r>
      <w:r>
        <w:t xml:space="preserve"> </w:t>
      </w:r>
      <w:r w:rsidRPr="008C6668">
        <w:t>z</w:t>
      </w:r>
      <w:r>
        <w:t xml:space="preserve"> </w:t>
      </w:r>
      <w:r w:rsidRPr="008C6668">
        <w:t>níž</w:t>
      </w:r>
      <w:r>
        <w:t xml:space="preserve"> </w:t>
      </w:r>
      <w:r w:rsidRPr="008C6668">
        <w:t>právo</w:t>
      </w:r>
      <w:r>
        <w:t xml:space="preserve"> </w:t>
      </w:r>
      <w:r w:rsidRPr="008C6668">
        <w:t>na</w:t>
      </w:r>
      <w:r>
        <w:t xml:space="preserve"> </w:t>
      </w:r>
      <w:r w:rsidRPr="008C6668">
        <w:t>podíl</w:t>
      </w:r>
      <w:r>
        <w:t xml:space="preserve"> </w:t>
      </w:r>
      <w:r w:rsidRPr="008C6668">
        <w:t>na</w:t>
      </w:r>
      <w:r>
        <w:t xml:space="preserve"> </w:t>
      </w:r>
      <w:r w:rsidRPr="008C6668">
        <w:t>zisku</w:t>
      </w:r>
      <w:r>
        <w:t xml:space="preserve"> </w:t>
      </w:r>
      <w:r w:rsidRPr="008C6668">
        <w:t>vyplývá.</w:t>
      </w:r>
    </w:p>
    <w:p w14:paraId="29B46140" w14:textId="77777777" w:rsidR="00CD2102" w:rsidRDefault="00CD2102" w:rsidP="0056049B">
      <w:pPr>
        <w:pStyle w:val="Paragraf"/>
        <w:keepNext w:val="0"/>
        <w:keepLines w:val="0"/>
        <w:numPr>
          <w:ilvl w:val="0"/>
          <w:numId w:val="27"/>
        </w:numPr>
        <w:tabs>
          <w:tab w:val="left" w:pos="420"/>
          <w:tab w:val="left" w:pos="840"/>
        </w:tabs>
        <w:spacing w:after="120"/>
      </w:pPr>
      <w:r w:rsidRPr="00AA135D">
        <w:t>***</w:t>
      </w:r>
    </w:p>
    <w:p w14:paraId="0803A088" w14:textId="3EE537A6" w:rsidR="00CD2102" w:rsidRDefault="00CD2102" w:rsidP="0056049B">
      <w:pPr>
        <w:pStyle w:val="Paragraf"/>
        <w:keepNext w:val="0"/>
        <w:keepLines w:val="0"/>
        <w:numPr>
          <w:ilvl w:val="0"/>
          <w:numId w:val="27"/>
        </w:numPr>
        <w:tabs>
          <w:tab w:val="left" w:pos="420"/>
          <w:tab w:val="left" w:pos="840"/>
        </w:tabs>
        <w:spacing w:after="120"/>
      </w:pPr>
      <w:r w:rsidRPr="008C6668">
        <w:t>§</w:t>
      </w:r>
      <w:r>
        <w:t xml:space="preserve"> </w:t>
      </w:r>
      <w:r w:rsidRPr="008C6668">
        <w:t>181</w:t>
      </w:r>
    </w:p>
    <w:p w14:paraId="0E323170" w14:textId="0DBBC048" w:rsidR="00CD2102" w:rsidRDefault="00CD2102" w:rsidP="0056049B">
      <w:pPr>
        <w:pStyle w:val="PZTextodstavce"/>
        <w:tabs>
          <w:tab w:val="clear" w:pos="851"/>
          <w:tab w:val="left" w:pos="420"/>
          <w:tab w:val="left" w:pos="840"/>
        </w:tabs>
      </w:pPr>
      <w:r w:rsidRPr="008C6668">
        <w:t>(1</w:t>
      </w:r>
      <w:r w:rsidR="00372F78">
        <w:t xml:space="preserve">) </w:t>
      </w:r>
      <w:r w:rsidRPr="008C6668">
        <w:t>Valnou</w:t>
      </w:r>
      <w:r>
        <w:t xml:space="preserve"> </w:t>
      </w:r>
      <w:r w:rsidRPr="008C6668">
        <w:t>hromadu</w:t>
      </w:r>
      <w:r>
        <w:t xml:space="preserve"> </w:t>
      </w:r>
      <w:r w:rsidRPr="008C6668">
        <w:t>svolává</w:t>
      </w:r>
      <w:r>
        <w:t xml:space="preserve"> </w:t>
      </w:r>
      <w:r w:rsidRPr="008C6668">
        <w:t>jednatel</w:t>
      </w:r>
      <w:r>
        <w:t xml:space="preserve"> </w:t>
      </w:r>
      <w:r w:rsidRPr="008C6668">
        <w:t>alespoň</w:t>
      </w:r>
      <w:r>
        <w:t xml:space="preserve"> </w:t>
      </w:r>
      <w:r w:rsidRPr="008C6668">
        <w:t>jednou</w:t>
      </w:r>
      <w:r>
        <w:t xml:space="preserve"> </w:t>
      </w:r>
      <w:r w:rsidRPr="008C6668">
        <w:t>za</w:t>
      </w:r>
      <w:r>
        <w:t xml:space="preserve"> </w:t>
      </w:r>
      <w:r w:rsidRPr="002556C5">
        <w:rPr>
          <w:b/>
          <w:bCs/>
        </w:rPr>
        <w:t>individuální</w:t>
      </w:r>
      <w:r>
        <w:t xml:space="preserve"> </w:t>
      </w:r>
      <w:r w:rsidRPr="008C6668">
        <w:t>účetní</w:t>
      </w:r>
      <w:r>
        <w:t xml:space="preserve"> </w:t>
      </w:r>
      <w:r w:rsidRPr="008C6668">
        <w:t>období,</w:t>
      </w:r>
      <w:r>
        <w:t xml:space="preserve"> </w:t>
      </w:r>
      <w:r w:rsidRPr="008C6668">
        <w:t>ledaže</w:t>
      </w:r>
      <w:r>
        <w:t xml:space="preserve"> </w:t>
      </w:r>
      <w:r w:rsidRPr="008C6668">
        <w:t>tento</w:t>
      </w:r>
      <w:r>
        <w:t xml:space="preserve"> </w:t>
      </w:r>
      <w:r w:rsidRPr="008C6668">
        <w:t>zákon</w:t>
      </w:r>
      <w:r>
        <w:t xml:space="preserve"> </w:t>
      </w:r>
      <w:r w:rsidRPr="008C6668">
        <w:t>nebo</w:t>
      </w:r>
      <w:r>
        <w:t xml:space="preserve"> </w:t>
      </w:r>
      <w:r w:rsidRPr="008C6668">
        <w:t>společenská</w:t>
      </w:r>
      <w:r>
        <w:t xml:space="preserve"> </w:t>
      </w:r>
      <w:r w:rsidRPr="008C6668">
        <w:t>smlouva</w:t>
      </w:r>
      <w:r>
        <w:t xml:space="preserve"> </w:t>
      </w:r>
      <w:r w:rsidRPr="008C6668">
        <w:t>určí,</w:t>
      </w:r>
      <w:r>
        <w:t xml:space="preserve"> </w:t>
      </w:r>
      <w:r w:rsidRPr="008C6668">
        <w:t>že</w:t>
      </w:r>
      <w:r>
        <w:t xml:space="preserve"> </w:t>
      </w:r>
      <w:r w:rsidRPr="008C6668">
        <w:t>valná</w:t>
      </w:r>
      <w:r>
        <w:t xml:space="preserve"> </w:t>
      </w:r>
      <w:r w:rsidRPr="008C6668">
        <w:t>hromada</w:t>
      </w:r>
      <w:r>
        <w:t xml:space="preserve"> </w:t>
      </w:r>
      <w:r w:rsidRPr="008C6668">
        <w:t>má</w:t>
      </w:r>
      <w:r>
        <w:t xml:space="preserve"> </w:t>
      </w:r>
      <w:r w:rsidRPr="008C6668">
        <w:t>být</w:t>
      </w:r>
      <w:r>
        <w:t xml:space="preserve"> </w:t>
      </w:r>
      <w:r w:rsidRPr="008C6668">
        <w:t>svolána</w:t>
      </w:r>
      <w:r>
        <w:t xml:space="preserve"> </w:t>
      </w:r>
      <w:r w:rsidRPr="008C6668">
        <w:t>častěji.</w:t>
      </w:r>
    </w:p>
    <w:p w14:paraId="369F59B9" w14:textId="11A18EA9" w:rsidR="00CD2102" w:rsidRDefault="00CD2102" w:rsidP="0056049B">
      <w:pPr>
        <w:pStyle w:val="PZTextodstavce"/>
        <w:tabs>
          <w:tab w:val="clear" w:pos="851"/>
          <w:tab w:val="left" w:pos="420"/>
          <w:tab w:val="left" w:pos="840"/>
        </w:tabs>
      </w:pPr>
      <w:r w:rsidRPr="008C6668">
        <w:t>(2</w:t>
      </w:r>
      <w:r w:rsidR="00372F78">
        <w:t xml:space="preserve">) </w:t>
      </w:r>
      <w:r w:rsidRPr="000A58F6">
        <w:t xml:space="preserve">Řádnou účetní </w:t>
      </w:r>
      <w:r w:rsidRPr="00DE17A2">
        <w:t xml:space="preserve">závěrku projedná </w:t>
      </w:r>
      <w:r w:rsidRPr="00B44F7F">
        <w:t xml:space="preserve">valná hromada nejpozději do 6 měsíců od posledního dne </w:t>
      </w:r>
      <w:r w:rsidRPr="002556C5">
        <w:rPr>
          <w:strike/>
        </w:rPr>
        <w:t>předcházejícího</w:t>
      </w:r>
      <w:r w:rsidRPr="00B44F7F">
        <w:t xml:space="preserve"> </w:t>
      </w:r>
      <w:r w:rsidRPr="000A58F6">
        <w:t xml:space="preserve">účetního </w:t>
      </w:r>
      <w:r>
        <w:t>období</w:t>
      </w:r>
      <w:r w:rsidRPr="002556C5">
        <w:rPr>
          <w:b/>
        </w:rPr>
        <w:t>, za které se sestavuje</w:t>
      </w:r>
      <w:r w:rsidRPr="008C6668">
        <w:t>.</w:t>
      </w:r>
    </w:p>
    <w:p w14:paraId="1A41E55A" w14:textId="77777777" w:rsidR="00CD2102" w:rsidRDefault="00CD2102" w:rsidP="0056049B">
      <w:pPr>
        <w:pStyle w:val="Paragraf"/>
        <w:keepNext w:val="0"/>
        <w:keepLines w:val="0"/>
        <w:numPr>
          <w:ilvl w:val="0"/>
          <w:numId w:val="27"/>
        </w:numPr>
        <w:tabs>
          <w:tab w:val="left" w:pos="420"/>
          <w:tab w:val="left" w:pos="840"/>
        </w:tabs>
        <w:spacing w:after="120"/>
      </w:pPr>
      <w:r w:rsidRPr="00AA135D">
        <w:t>***</w:t>
      </w:r>
    </w:p>
    <w:p w14:paraId="6D086AAF" w14:textId="445B8F66" w:rsidR="00CD2102" w:rsidRDefault="00CD2102" w:rsidP="0056049B">
      <w:pPr>
        <w:pStyle w:val="Paragraf"/>
        <w:keepNext w:val="0"/>
        <w:keepLines w:val="0"/>
        <w:numPr>
          <w:ilvl w:val="0"/>
          <w:numId w:val="27"/>
        </w:numPr>
        <w:tabs>
          <w:tab w:val="left" w:pos="420"/>
          <w:tab w:val="left" w:pos="840"/>
        </w:tabs>
        <w:spacing w:after="120"/>
      </w:pPr>
      <w:r w:rsidRPr="008C6668">
        <w:t>§</w:t>
      </w:r>
      <w:r>
        <w:t xml:space="preserve"> </w:t>
      </w:r>
      <w:r w:rsidRPr="008C6668">
        <w:t>190</w:t>
      </w:r>
    </w:p>
    <w:p w14:paraId="76F1B63B" w14:textId="71FB8E65" w:rsidR="00CD2102" w:rsidRDefault="00CD2102" w:rsidP="0056049B">
      <w:pPr>
        <w:pStyle w:val="PZTextodstavce"/>
        <w:tabs>
          <w:tab w:val="clear" w:pos="851"/>
          <w:tab w:val="left" w:pos="420"/>
          <w:tab w:val="left" w:pos="840"/>
        </w:tabs>
        <w:spacing w:before="240"/>
      </w:pPr>
      <w:r w:rsidRPr="008C6668">
        <w:t>(1</w:t>
      </w:r>
      <w:r w:rsidR="00372F78">
        <w:t xml:space="preserve">) </w:t>
      </w:r>
      <w:r w:rsidRPr="008C6668">
        <w:t>Valná</w:t>
      </w:r>
      <w:r>
        <w:t xml:space="preserve"> </w:t>
      </w:r>
      <w:r w:rsidRPr="008C6668">
        <w:t>hromada</w:t>
      </w:r>
      <w:r>
        <w:t xml:space="preserve"> </w:t>
      </w:r>
      <w:r w:rsidRPr="008C6668">
        <w:t>rozhoduje</w:t>
      </w:r>
      <w:r>
        <w:t xml:space="preserve"> </w:t>
      </w:r>
      <w:r w:rsidRPr="008C6668">
        <w:t>usnesením.</w:t>
      </w:r>
    </w:p>
    <w:p w14:paraId="31E8DC9C" w14:textId="723DDE57" w:rsidR="00CD2102" w:rsidRDefault="00CD2102" w:rsidP="0056049B">
      <w:pPr>
        <w:pStyle w:val="PZTextodstavce"/>
        <w:tabs>
          <w:tab w:val="clear" w:pos="851"/>
          <w:tab w:val="left" w:pos="420"/>
          <w:tab w:val="left" w:pos="840"/>
        </w:tabs>
        <w:spacing w:before="240"/>
      </w:pPr>
      <w:r w:rsidRPr="008C6668">
        <w:t>(</w:t>
      </w:r>
      <w:r w:rsidR="00372F78">
        <w:t xml:space="preserve">2) </w:t>
      </w:r>
      <w:r w:rsidRPr="005E0556">
        <w:t>Do působnosti valné hromady patří</w:t>
      </w:r>
    </w:p>
    <w:p w14:paraId="4D642B28" w14:textId="77777777" w:rsidR="00CD2102" w:rsidRDefault="00CD2102" w:rsidP="0056049B">
      <w:pPr>
        <w:pStyle w:val="PZTextpsmene"/>
        <w:tabs>
          <w:tab w:val="left" w:pos="426"/>
          <w:tab w:val="left" w:pos="840"/>
        </w:tabs>
        <w:spacing w:before="0"/>
        <w:ind w:left="426" w:hanging="426"/>
      </w:pPr>
      <w:r w:rsidRPr="008C6668">
        <w:t>a</w:t>
      </w:r>
      <w:r>
        <w:t>)</w:t>
      </w:r>
      <w:r>
        <w:tab/>
      </w:r>
      <w:r w:rsidRPr="008C6668">
        <w:t>rozhodování</w:t>
      </w:r>
      <w:r>
        <w:t xml:space="preserve"> </w:t>
      </w:r>
      <w:r w:rsidRPr="008C6668">
        <w:t>o</w:t>
      </w:r>
      <w:r>
        <w:t xml:space="preserve"> </w:t>
      </w:r>
      <w:r w:rsidRPr="008C6668">
        <w:t>změně</w:t>
      </w:r>
      <w:r>
        <w:t xml:space="preserve"> </w:t>
      </w:r>
      <w:r w:rsidRPr="008C6668">
        <w:t>obsahu</w:t>
      </w:r>
      <w:r>
        <w:t xml:space="preserve"> </w:t>
      </w:r>
      <w:r w:rsidRPr="008C6668">
        <w:t>společenské</w:t>
      </w:r>
      <w:r>
        <w:t xml:space="preserve"> </w:t>
      </w:r>
      <w:r w:rsidRPr="008C6668">
        <w:t>smlouvy,</w:t>
      </w:r>
      <w:r>
        <w:t xml:space="preserve"> </w:t>
      </w:r>
      <w:r w:rsidRPr="008C6668">
        <w:t>určí-li</w:t>
      </w:r>
      <w:r>
        <w:t xml:space="preserve"> </w:t>
      </w:r>
      <w:r w:rsidRPr="008C6668">
        <w:t>tak</w:t>
      </w:r>
      <w:r>
        <w:t xml:space="preserve"> </w:t>
      </w:r>
      <w:r w:rsidRPr="008C6668">
        <w:t>společenská</w:t>
      </w:r>
      <w:r>
        <w:t xml:space="preserve"> </w:t>
      </w:r>
      <w:r w:rsidRPr="008C6668">
        <w:t>smlouva</w:t>
      </w:r>
      <w:r>
        <w:t xml:space="preserve"> </w:t>
      </w:r>
      <w:r w:rsidRPr="008C6668">
        <w:t>nebo</w:t>
      </w:r>
      <w:r>
        <w:t xml:space="preserve"> </w:t>
      </w:r>
      <w:r w:rsidRPr="008C6668">
        <w:t>zákon,</w:t>
      </w:r>
      <w:r>
        <w:t xml:space="preserve"> </w:t>
      </w:r>
      <w:r w:rsidRPr="008C6668">
        <w:t>nedochází-li</w:t>
      </w:r>
      <w:r>
        <w:t xml:space="preserve"> </w:t>
      </w:r>
      <w:r w:rsidRPr="008C6668">
        <w:t>k</w:t>
      </w:r>
      <w:r>
        <w:t xml:space="preserve"> </w:t>
      </w:r>
      <w:r w:rsidRPr="008C6668">
        <w:t>ní</w:t>
      </w:r>
      <w:r>
        <w:t xml:space="preserve"> </w:t>
      </w:r>
      <w:r w:rsidRPr="008C6668">
        <w:t>na</w:t>
      </w:r>
      <w:r>
        <w:t xml:space="preserve"> </w:t>
      </w:r>
      <w:r w:rsidRPr="008C6668">
        <w:t>základě</w:t>
      </w:r>
      <w:r>
        <w:t xml:space="preserve"> </w:t>
      </w:r>
      <w:r w:rsidRPr="008C6668">
        <w:t>zákona,</w:t>
      </w:r>
    </w:p>
    <w:p w14:paraId="16D8793F" w14:textId="77777777" w:rsidR="00CD2102" w:rsidRDefault="00CD2102" w:rsidP="0056049B">
      <w:pPr>
        <w:pStyle w:val="PZTextpsmene"/>
        <w:tabs>
          <w:tab w:val="left" w:pos="426"/>
          <w:tab w:val="left" w:pos="840"/>
        </w:tabs>
        <w:spacing w:before="0"/>
        <w:ind w:left="426" w:hanging="426"/>
      </w:pPr>
      <w:r w:rsidRPr="008C6668">
        <w:t>b</w:t>
      </w:r>
      <w:r>
        <w:t>)</w:t>
      </w:r>
      <w:r>
        <w:tab/>
      </w:r>
      <w:r w:rsidRPr="00647D5E">
        <w:t>rozhodování o změnách výše základního kapitálu nebo o připuštění nepeněžitého vkladu či o možnosti započtení peněžité pohledávky vůči společnosti proti pohledávce na splnění vkladové povinnosti,</w:t>
      </w:r>
    </w:p>
    <w:p w14:paraId="09B025F4" w14:textId="77777777" w:rsidR="00CD2102" w:rsidRDefault="00CD2102" w:rsidP="0056049B">
      <w:pPr>
        <w:pStyle w:val="PZTextpsmene"/>
        <w:tabs>
          <w:tab w:val="left" w:pos="426"/>
          <w:tab w:val="left" w:pos="840"/>
        </w:tabs>
        <w:spacing w:before="0"/>
        <w:ind w:left="426" w:hanging="426"/>
      </w:pPr>
      <w:r w:rsidRPr="008C6668">
        <w:t>c</w:t>
      </w:r>
      <w:r>
        <w:t>)</w:t>
      </w:r>
      <w:r>
        <w:tab/>
      </w:r>
      <w:r w:rsidRPr="008C6668">
        <w:t>volba</w:t>
      </w:r>
      <w:r>
        <w:t xml:space="preserve"> </w:t>
      </w:r>
      <w:r w:rsidRPr="008C6668">
        <w:t>a</w:t>
      </w:r>
      <w:r>
        <w:t xml:space="preserve"> </w:t>
      </w:r>
      <w:r w:rsidRPr="008C6668">
        <w:t>odvolání</w:t>
      </w:r>
      <w:r>
        <w:t xml:space="preserve"> </w:t>
      </w:r>
      <w:r w:rsidRPr="008C6668">
        <w:t>jednatele,</w:t>
      </w:r>
      <w:r>
        <w:t xml:space="preserve"> </w:t>
      </w:r>
      <w:r w:rsidRPr="008C6668">
        <w:t>případně</w:t>
      </w:r>
      <w:r>
        <w:t xml:space="preserve"> </w:t>
      </w:r>
      <w:r w:rsidRPr="008C6668">
        <w:t>členů</w:t>
      </w:r>
      <w:r>
        <w:t xml:space="preserve"> </w:t>
      </w:r>
      <w:r w:rsidRPr="008C6668">
        <w:t>dozorčí</w:t>
      </w:r>
      <w:r>
        <w:t xml:space="preserve"> </w:t>
      </w:r>
      <w:r w:rsidRPr="008C6668">
        <w:t>rady,</w:t>
      </w:r>
      <w:r>
        <w:t xml:space="preserve"> </w:t>
      </w:r>
      <w:r w:rsidRPr="008C6668">
        <w:t>byla-li</w:t>
      </w:r>
      <w:r>
        <w:t xml:space="preserve"> </w:t>
      </w:r>
      <w:r w:rsidRPr="008C6668">
        <w:t>zřízena,</w:t>
      </w:r>
    </w:p>
    <w:p w14:paraId="45ACC0BB" w14:textId="77777777" w:rsidR="00CD2102" w:rsidRDefault="00CD2102" w:rsidP="0056049B">
      <w:pPr>
        <w:pStyle w:val="PZTextpsmene"/>
        <w:tabs>
          <w:tab w:val="left" w:pos="426"/>
          <w:tab w:val="left" w:pos="840"/>
        </w:tabs>
        <w:spacing w:before="0"/>
        <w:ind w:left="426" w:hanging="426"/>
      </w:pPr>
      <w:r w:rsidRPr="008C6668">
        <w:t>d</w:t>
      </w:r>
      <w:r>
        <w:t>)</w:t>
      </w:r>
      <w:r>
        <w:tab/>
      </w:r>
      <w:r w:rsidRPr="008C6668">
        <w:t>volba</w:t>
      </w:r>
      <w:r>
        <w:t xml:space="preserve"> </w:t>
      </w:r>
      <w:r w:rsidRPr="008C6668">
        <w:t>a</w:t>
      </w:r>
      <w:r>
        <w:t xml:space="preserve"> </w:t>
      </w:r>
      <w:r w:rsidRPr="008C6668">
        <w:t>odvolání</w:t>
      </w:r>
      <w:r>
        <w:t xml:space="preserve"> </w:t>
      </w:r>
      <w:r w:rsidRPr="008C6668">
        <w:t>likvidátora,</w:t>
      </w:r>
      <w:r>
        <w:t xml:space="preserve"> </w:t>
      </w:r>
      <w:r w:rsidRPr="008C6668">
        <w:t>určí-li</w:t>
      </w:r>
      <w:r>
        <w:t xml:space="preserve"> </w:t>
      </w:r>
      <w:r w:rsidRPr="008C6668">
        <w:t>tak</w:t>
      </w:r>
      <w:r>
        <w:t xml:space="preserve"> </w:t>
      </w:r>
      <w:r w:rsidRPr="008C6668">
        <w:t>společenská</w:t>
      </w:r>
      <w:r>
        <w:t xml:space="preserve"> </w:t>
      </w:r>
      <w:r w:rsidRPr="008C6668">
        <w:t>smlouva,</w:t>
      </w:r>
    </w:p>
    <w:p w14:paraId="0F6A9D87" w14:textId="77777777" w:rsidR="00CD2102" w:rsidRDefault="00CD2102" w:rsidP="0056049B">
      <w:pPr>
        <w:pStyle w:val="PZTextpsmene"/>
        <w:tabs>
          <w:tab w:val="left" w:pos="426"/>
          <w:tab w:val="left" w:pos="840"/>
        </w:tabs>
        <w:spacing w:before="0"/>
        <w:ind w:left="426" w:hanging="426"/>
      </w:pPr>
      <w:r w:rsidRPr="008C6668">
        <w:t>e</w:t>
      </w:r>
      <w:r>
        <w:t>)</w:t>
      </w:r>
      <w:r>
        <w:tab/>
      </w:r>
      <w:r w:rsidRPr="008C6668">
        <w:t>schvalování</w:t>
      </w:r>
      <w:r>
        <w:t xml:space="preserve"> </w:t>
      </w:r>
      <w:r w:rsidRPr="008C6668">
        <w:t>udělení</w:t>
      </w:r>
      <w:r>
        <w:t xml:space="preserve"> </w:t>
      </w:r>
      <w:r w:rsidRPr="008C6668">
        <w:t>a</w:t>
      </w:r>
      <w:r>
        <w:t xml:space="preserve"> </w:t>
      </w:r>
      <w:r w:rsidRPr="008C6668">
        <w:t>odvolání</w:t>
      </w:r>
      <w:r>
        <w:t xml:space="preserve"> </w:t>
      </w:r>
      <w:r w:rsidRPr="008C6668">
        <w:t>prokury,</w:t>
      </w:r>
      <w:r>
        <w:t xml:space="preserve"> </w:t>
      </w:r>
      <w:r w:rsidRPr="008C6668">
        <w:t>ledaže</w:t>
      </w:r>
      <w:r>
        <w:t xml:space="preserve"> </w:t>
      </w:r>
      <w:r w:rsidRPr="008C6668">
        <w:t>společenská</w:t>
      </w:r>
      <w:r>
        <w:t xml:space="preserve"> </w:t>
      </w:r>
      <w:r w:rsidRPr="008C6668">
        <w:t>smlouva</w:t>
      </w:r>
      <w:r>
        <w:t xml:space="preserve"> </w:t>
      </w:r>
      <w:r w:rsidRPr="008C6668">
        <w:t>určí</w:t>
      </w:r>
      <w:r>
        <w:t xml:space="preserve"> </w:t>
      </w:r>
      <w:r w:rsidRPr="008C6668">
        <w:t>jinak,</w:t>
      </w:r>
    </w:p>
    <w:p w14:paraId="082A047C" w14:textId="77777777" w:rsidR="00CD2102" w:rsidRDefault="00CD2102" w:rsidP="0056049B">
      <w:pPr>
        <w:pStyle w:val="PZTextpsmene"/>
        <w:tabs>
          <w:tab w:val="left" w:pos="426"/>
          <w:tab w:val="left" w:pos="840"/>
        </w:tabs>
        <w:spacing w:before="0"/>
        <w:ind w:left="426" w:hanging="426"/>
      </w:pPr>
      <w:r w:rsidRPr="008C6668">
        <w:t>f</w:t>
      </w:r>
      <w:r>
        <w:t>)</w:t>
      </w:r>
      <w:r>
        <w:tab/>
      </w:r>
      <w:r w:rsidRPr="008C6668">
        <w:t>rozhodování</w:t>
      </w:r>
      <w:r>
        <w:t xml:space="preserve"> </w:t>
      </w:r>
      <w:r w:rsidRPr="008C6668">
        <w:t>o</w:t>
      </w:r>
      <w:r>
        <w:t xml:space="preserve"> </w:t>
      </w:r>
      <w:r w:rsidRPr="008C6668">
        <w:t>zrušení</w:t>
      </w:r>
      <w:r>
        <w:t xml:space="preserve"> </w:t>
      </w:r>
      <w:r w:rsidRPr="008C6668">
        <w:t>společnosti</w:t>
      </w:r>
      <w:r>
        <w:t xml:space="preserve"> </w:t>
      </w:r>
      <w:r w:rsidRPr="008C6668">
        <w:t>s</w:t>
      </w:r>
      <w:r>
        <w:t xml:space="preserve"> </w:t>
      </w:r>
      <w:r w:rsidRPr="008C6668">
        <w:t>likvidací,</w:t>
      </w:r>
      <w:r>
        <w:t xml:space="preserve"> </w:t>
      </w:r>
      <w:r w:rsidRPr="008C6668">
        <w:t>určí-li</w:t>
      </w:r>
      <w:r>
        <w:t xml:space="preserve"> </w:t>
      </w:r>
      <w:r w:rsidRPr="008C6668">
        <w:t>tak</w:t>
      </w:r>
      <w:r>
        <w:t xml:space="preserve"> </w:t>
      </w:r>
      <w:r w:rsidRPr="008C6668">
        <w:t>společenská</w:t>
      </w:r>
      <w:r>
        <w:t xml:space="preserve"> </w:t>
      </w:r>
      <w:r w:rsidRPr="008C6668">
        <w:t>smlouva,</w:t>
      </w:r>
    </w:p>
    <w:p w14:paraId="4EFAC49D" w14:textId="77777777" w:rsidR="00CD2102" w:rsidRDefault="00CD2102" w:rsidP="0056049B">
      <w:pPr>
        <w:pStyle w:val="PZTextpsmene"/>
        <w:tabs>
          <w:tab w:val="left" w:pos="426"/>
          <w:tab w:val="left" w:pos="840"/>
        </w:tabs>
        <w:spacing w:before="0"/>
        <w:ind w:left="426" w:hanging="426"/>
      </w:pPr>
      <w:r w:rsidRPr="008C6668">
        <w:t>g</w:t>
      </w:r>
      <w:r>
        <w:t>)</w:t>
      </w:r>
      <w:r>
        <w:tab/>
      </w:r>
      <w:r w:rsidRPr="008C6668">
        <w:t>schvalování</w:t>
      </w:r>
      <w:r>
        <w:t xml:space="preserve"> </w:t>
      </w:r>
      <w:r w:rsidRPr="008C6668">
        <w:t>řádné</w:t>
      </w:r>
      <w:r w:rsidRPr="002556C5">
        <w:rPr>
          <w:strike/>
        </w:rPr>
        <w:t>, mimořádné, konsolidované</w:t>
      </w:r>
      <w:r w:rsidRPr="002556C5">
        <w:t xml:space="preserve"> </w:t>
      </w:r>
      <w:r w:rsidRPr="008C6668">
        <w:t>účetní</w:t>
      </w:r>
      <w:r>
        <w:t xml:space="preserve"> </w:t>
      </w:r>
      <w:r w:rsidRPr="008C6668">
        <w:t>závěrky</w:t>
      </w:r>
      <w:r>
        <w:t xml:space="preserve"> </w:t>
      </w:r>
      <w:r w:rsidRPr="008C6668">
        <w:t>a</w:t>
      </w:r>
      <w:r>
        <w:t xml:space="preserve"> </w:t>
      </w:r>
      <w:r w:rsidRPr="008C6668">
        <w:t>v</w:t>
      </w:r>
      <w:r>
        <w:t xml:space="preserve"> </w:t>
      </w:r>
      <w:r w:rsidRPr="008C6668">
        <w:t>případech</w:t>
      </w:r>
      <w:r>
        <w:t xml:space="preserve"> </w:t>
      </w:r>
      <w:r w:rsidRPr="008C6668">
        <w:t>stanovených</w:t>
      </w:r>
      <w:r>
        <w:t xml:space="preserve"> </w:t>
      </w:r>
      <w:r w:rsidRPr="008C6668">
        <w:t>zákonem</w:t>
      </w:r>
      <w:r>
        <w:t xml:space="preserve"> </w:t>
      </w:r>
      <w:r w:rsidRPr="008C6668">
        <w:t>i</w:t>
      </w:r>
      <w:r>
        <w:t xml:space="preserve"> </w:t>
      </w:r>
      <w:r w:rsidRPr="008C6668">
        <w:t>mezitímní</w:t>
      </w:r>
      <w:r>
        <w:t xml:space="preserve"> </w:t>
      </w:r>
      <w:r w:rsidRPr="008C6668">
        <w:t>účetní</w:t>
      </w:r>
      <w:r>
        <w:t xml:space="preserve"> </w:t>
      </w:r>
      <w:r w:rsidRPr="008C6668">
        <w:t>závěrky,</w:t>
      </w:r>
      <w:r>
        <w:t xml:space="preserve"> </w:t>
      </w:r>
      <w:r w:rsidRPr="008C6668">
        <w:t>rozdělení</w:t>
      </w:r>
      <w:r>
        <w:t xml:space="preserve"> </w:t>
      </w:r>
      <w:r w:rsidRPr="008C6668">
        <w:t>zisku</w:t>
      </w:r>
      <w:r>
        <w:t xml:space="preserve"> </w:t>
      </w:r>
      <w:r w:rsidRPr="008C6668">
        <w:t>nebo</w:t>
      </w:r>
      <w:r>
        <w:t xml:space="preserve"> </w:t>
      </w:r>
      <w:r w:rsidRPr="008C6668">
        <w:t>jiných</w:t>
      </w:r>
      <w:r>
        <w:t xml:space="preserve"> </w:t>
      </w:r>
      <w:r w:rsidRPr="002556C5">
        <w:rPr>
          <w:strike/>
        </w:rPr>
        <w:t>vlastních zdrojů</w:t>
      </w:r>
      <w:r w:rsidRPr="002556C5">
        <w:rPr>
          <w:b/>
        </w:rPr>
        <w:t xml:space="preserve"> částí vlastního kapitálu</w:t>
      </w:r>
      <w:r>
        <w:t xml:space="preserve"> </w:t>
      </w:r>
      <w:r w:rsidRPr="008C6668">
        <w:t>a</w:t>
      </w:r>
      <w:r>
        <w:t xml:space="preserve"> </w:t>
      </w:r>
      <w:r w:rsidRPr="008C6668">
        <w:t>úhrady</w:t>
      </w:r>
      <w:r>
        <w:t xml:space="preserve"> </w:t>
      </w:r>
      <w:r w:rsidRPr="008C6668">
        <w:t>ztrát,</w:t>
      </w:r>
    </w:p>
    <w:p w14:paraId="0555A463" w14:textId="77777777" w:rsidR="00CD2102" w:rsidRDefault="00CD2102" w:rsidP="0056049B">
      <w:pPr>
        <w:pStyle w:val="PZTextpsmene"/>
        <w:tabs>
          <w:tab w:val="left" w:pos="426"/>
          <w:tab w:val="left" w:pos="840"/>
        </w:tabs>
        <w:spacing w:before="0"/>
        <w:ind w:left="426" w:hanging="426"/>
      </w:pPr>
      <w:r w:rsidRPr="008C6668">
        <w:t>h</w:t>
      </w:r>
      <w:r>
        <w:t>)</w:t>
      </w:r>
      <w:r>
        <w:tab/>
      </w:r>
      <w:r w:rsidRPr="008C6668">
        <w:t>rozhodnutí</w:t>
      </w:r>
      <w:r>
        <w:t xml:space="preserve"> </w:t>
      </w:r>
      <w:r w:rsidRPr="008C6668">
        <w:t>o</w:t>
      </w:r>
      <w:r>
        <w:t xml:space="preserve"> </w:t>
      </w:r>
      <w:r w:rsidRPr="008C6668">
        <w:t>přeměně</w:t>
      </w:r>
      <w:r>
        <w:t xml:space="preserve"> </w:t>
      </w:r>
      <w:r w:rsidRPr="008C6668">
        <w:t>společnosti,</w:t>
      </w:r>
      <w:r>
        <w:t xml:space="preserve"> </w:t>
      </w:r>
      <w:r w:rsidRPr="008C6668">
        <w:t>ledaže</w:t>
      </w:r>
      <w:r>
        <w:t xml:space="preserve"> </w:t>
      </w:r>
      <w:r w:rsidRPr="008C6668">
        <w:t>zákon</w:t>
      </w:r>
      <w:r>
        <w:t xml:space="preserve"> </w:t>
      </w:r>
      <w:r w:rsidRPr="008C6668">
        <w:t>upravující</w:t>
      </w:r>
      <w:r>
        <w:t xml:space="preserve"> </w:t>
      </w:r>
      <w:r w:rsidRPr="008C6668">
        <w:t>přeměny</w:t>
      </w:r>
      <w:r>
        <w:t xml:space="preserve"> </w:t>
      </w:r>
      <w:r w:rsidRPr="008C6668">
        <w:t>obchodních</w:t>
      </w:r>
      <w:r>
        <w:t xml:space="preserve"> </w:t>
      </w:r>
      <w:r w:rsidRPr="008C6668">
        <w:t>společností</w:t>
      </w:r>
      <w:r>
        <w:t xml:space="preserve"> </w:t>
      </w:r>
      <w:r w:rsidRPr="008C6668">
        <w:t>a</w:t>
      </w:r>
      <w:r>
        <w:t xml:space="preserve"> </w:t>
      </w:r>
      <w:r w:rsidRPr="008C6668">
        <w:t>družstev</w:t>
      </w:r>
      <w:r>
        <w:t xml:space="preserve"> </w:t>
      </w:r>
      <w:r w:rsidRPr="008C6668">
        <w:t>stanoví</w:t>
      </w:r>
      <w:r>
        <w:t xml:space="preserve"> </w:t>
      </w:r>
      <w:r w:rsidRPr="008C6668">
        <w:t>jinak,</w:t>
      </w:r>
    </w:p>
    <w:p w14:paraId="41902C47" w14:textId="77777777" w:rsidR="00CD2102" w:rsidRDefault="00CD2102" w:rsidP="0056049B">
      <w:pPr>
        <w:pStyle w:val="PZTextpsmene"/>
        <w:tabs>
          <w:tab w:val="left" w:pos="426"/>
          <w:tab w:val="left" w:pos="840"/>
        </w:tabs>
        <w:spacing w:before="0"/>
        <w:ind w:left="426" w:hanging="426"/>
      </w:pPr>
      <w:r w:rsidRPr="008C6668">
        <w:t>i</w:t>
      </w:r>
      <w:r>
        <w:t>)</w:t>
      </w:r>
      <w:r>
        <w:tab/>
      </w:r>
      <w:r w:rsidRPr="008C6668">
        <w:t>schválení</w:t>
      </w:r>
      <w:r>
        <w:t xml:space="preserve"> </w:t>
      </w:r>
      <w:r w:rsidRPr="008C6668">
        <w:t>převodu</w:t>
      </w:r>
      <w:r>
        <w:t xml:space="preserve"> </w:t>
      </w:r>
      <w:r w:rsidRPr="008C6668">
        <w:t>nebo</w:t>
      </w:r>
      <w:r>
        <w:t xml:space="preserve"> </w:t>
      </w:r>
      <w:r w:rsidRPr="008C6668">
        <w:t>zastavení</w:t>
      </w:r>
      <w:r>
        <w:t xml:space="preserve"> </w:t>
      </w:r>
      <w:r w:rsidRPr="008C6668">
        <w:t>závodu</w:t>
      </w:r>
      <w:r>
        <w:t xml:space="preserve"> </w:t>
      </w:r>
      <w:r w:rsidRPr="008C6668">
        <w:t>nebo</w:t>
      </w:r>
      <w:r>
        <w:t xml:space="preserve"> </w:t>
      </w:r>
      <w:r w:rsidRPr="008C6668">
        <w:t>takové</w:t>
      </w:r>
      <w:r>
        <w:t xml:space="preserve"> </w:t>
      </w:r>
      <w:r w:rsidRPr="008C6668">
        <w:t>části</w:t>
      </w:r>
      <w:r>
        <w:t xml:space="preserve"> </w:t>
      </w:r>
      <w:r w:rsidRPr="008C6668">
        <w:t>jmění,</w:t>
      </w:r>
      <w:r>
        <w:t xml:space="preserve"> </w:t>
      </w:r>
      <w:r w:rsidRPr="008C6668">
        <w:t>která</w:t>
      </w:r>
      <w:r>
        <w:t xml:space="preserve"> </w:t>
      </w:r>
      <w:r w:rsidRPr="008C6668">
        <w:t>by</w:t>
      </w:r>
      <w:r>
        <w:t xml:space="preserve"> </w:t>
      </w:r>
      <w:r w:rsidRPr="008C6668">
        <w:t>znamenala</w:t>
      </w:r>
      <w:r>
        <w:t xml:space="preserve"> </w:t>
      </w:r>
      <w:r w:rsidRPr="008C6668">
        <w:t>podstatnou</w:t>
      </w:r>
      <w:r>
        <w:t xml:space="preserve"> </w:t>
      </w:r>
      <w:r w:rsidRPr="008C6668">
        <w:t>změnu</w:t>
      </w:r>
      <w:r>
        <w:t xml:space="preserve"> </w:t>
      </w:r>
      <w:r w:rsidRPr="008C6668">
        <w:t>skutečného</w:t>
      </w:r>
      <w:r>
        <w:t xml:space="preserve"> </w:t>
      </w:r>
      <w:r w:rsidRPr="008C6668">
        <w:t>předmětu</w:t>
      </w:r>
      <w:r>
        <w:t xml:space="preserve"> </w:t>
      </w:r>
      <w:r w:rsidRPr="008C6668">
        <w:t>podnikání</w:t>
      </w:r>
      <w:r>
        <w:t xml:space="preserve"> </w:t>
      </w:r>
      <w:r w:rsidRPr="008C6668">
        <w:t>nebo</w:t>
      </w:r>
      <w:r>
        <w:t xml:space="preserve"> </w:t>
      </w:r>
      <w:r w:rsidRPr="008C6668">
        <w:t>činnosti</w:t>
      </w:r>
      <w:r>
        <w:t xml:space="preserve"> </w:t>
      </w:r>
      <w:r w:rsidRPr="008C6668">
        <w:t>společnosti,</w:t>
      </w:r>
    </w:p>
    <w:p w14:paraId="52FF701E" w14:textId="77777777" w:rsidR="00CD2102" w:rsidRDefault="00CD2102" w:rsidP="0056049B">
      <w:pPr>
        <w:pStyle w:val="PZTextpsmene"/>
        <w:tabs>
          <w:tab w:val="left" w:pos="426"/>
          <w:tab w:val="left" w:pos="840"/>
        </w:tabs>
        <w:spacing w:before="0"/>
        <w:ind w:left="426" w:hanging="426"/>
      </w:pPr>
      <w:r w:rsidRPr="008C6668">
        <w:t>j</w:t>
      </w:r>
      <w:r>
        <w:t>)</w:t>
      </w:r>
      <w:r>
        <w:tab/>
      </w:r>
      <w:r w:rsidRPr="008C6668">
        <w:t>schválení</w:t>
      </w:r>
      <w:r>
        <w:t xml:space="preserve"> </w:t>
      </w:r>
      <w:r w:rsidRPr="008C6668">
        <w:t>smlouvy</w:t>
      </w:r>
      <w:r>
        <w:t xml:space="preserve"> </w:t>
      </w:r>
      <w:r w:rsidRPr="008C6668">
        <w:t>o</w:t>
      </w:r>
      <w:r>
        <w:t xml:space="preserve"> </w:t>
      </w:r>
      <w:r w:rsidRPr="008C6668">
        <w:t>tiché</w:t>
      </w:r>
      <w:r>
        <w:t xml:space="preserve"> </w:t>
      </w:r>
      <w:r w:rsidRPr="008C6668">
        <w:t>společnosti</w:t>
      </w:r>
      <w:r>
        <w:t xml:space="preserve"> </w:t>
      </w:r>
      <w:r w:rsidRPr="008C6668">
        <w:t>a</w:t>
      </w:r>
      <w:r>
        <w:t xml:space="preserve"> </w:t>
      </w:r>
      <w:r w:rsidRPr="008C6668">
        <w:t>jiných</w:t>
      </w:r>
      <w:r>
        <w:t xml:space="preserve"> </w:t>
      </w:r>
      <w:r w:rsidRPr="008C6668">
        <w:t>smluv,</w:t>
      </w:r>
      <w:r>
        <w:t xml:space="preserve"> </w:t>
      </w:r>
      <w:r w:rsidRPr="008C6668">
        <w:t>jimiž</w:t>
      </w:r>
      <w:r>
        <w:t xml:space="preserve"> </w:t>
      </w:r>
      <w:r w:rsidRPr="008C6668">
        <w:t>se</w:t>
      </w:r>
      <w:r>
        <w:t xml:space="preserve"> </w:t>
      </w:r>
      <w:r w:rsidRPr="008C6668">
        <w:t>zakládá</w:t>
      </w:r>
      <w:r>
        <w:t xml:space="preserve"> </w:t>
      </w:r>
      <w:r w:rsidRPr="008C6668">
        <w:t>právo</w:t>
      </w:r>
      <w:r>
        <w:t xml:space="preserve"> </w:t>
      </w:r>
      <w:r w:rsidRPr="008C6668">
        <w:t>na</w:t>
      </w:r>
      <w:r>
        <w:t xml:space="preserve"> </w:t>
      </w:r>
      <w:r w:rsidRPr="008C6668">
        <w:t>podíl</w:t>
      </w:r>
      <w:r>
        <w:t xml:space="preserve"> </w:t>
      </w:r>
      <w:r w:rsidRPr="008C6668">
        <w:t>na</w:t>
      </w:r>
      <w:r>
        <w:t xml:space="preserve"> </w:t>
      </w:r>
      <w:r w:rsidRPr="008C6668">
        <w:t>zisku</w:t>
      </w:r>
      <w:r>
        <w:t xml:space="preserve"> </w:t>
      </w:r>
      <w:r w:rsidRPr="008C6668">
        <w:t>společnosti</w:t>
      </w:r>
      <w:r>
        <w:t xml:space="preserve"> </w:t>
      </w:r>
      <w:r w:rsidRPr="008C6668">
        <w:t>nebo</w:t>
      </w:r>
      <w:r>
        <w:t xml:space="preserve"> </w:t>
      </w:r>
      <w:r w:rsidRPr="008C6668">
        <w:t>jiných</w:t>
      </w:r>
      <w:r>
        <w:t xml:space="preserve"> </w:t>
      </w:r>
      <w:r w:rsidRPr="002556C5">
        <w:rPr>
          <w:strike/>
        </w:rPr>
        <w:t>vlastních zdrojích</w:t>
      </w:r>
      <w:r w:rsidRPr="002556C5">
        <w:rPr>
          <w:b/>
        </w:rPr>
        <w:t xml:space="preserve"> část</w:t>
      </w:r>
      <w:r>
        <w:rPr>
          <w:b/>
        </w:rPr>
        <w:t>ech</w:t>
      </w:r>
      <w:r w:rsidRPr="002556C5">
        <w:rPr>
          <w:b/>
        </w:rPr>
        <w:t xml:space="preserve"> vlastního kapitálu</w:t>
      </w:r>
      <w:r w:rsidRPr="008C6668">
        <w:t>,</w:t>
      </w:r>
    </w:p>
    <w:p w14:paraId="2C7CFDF3" w14:textId="77777777" w:rsidR="00CD2102" w:rsidRDefault="00CD2102" w:rsidP="0056049B">
      <w:pPr>
        <w:pStyle w:val="PZTextpsmene"/>
        <w:tabs>
          <w:tab w:val="left" w:pos="426"/>
          <w:tab w:val="left" w:pos="840"/>
        </w:tabs>
        <w:spacing w:before="0"/>
        <w:ind w:left="426" w:hanging="426"/>
      </w:pPr>
      <w:r w:rsidRPr="008C6668">
        <w:t>k</w:t>
      </w:r>
      <w:r>
        <w:t>)</w:t>
      </w:r>
      <w:r>
        <w:tab/>
      </w:r>
      <w:r w:rsidRPr="008C6668">
        <w:t>schválení</w:t>
      </w:r>
      <w:r>
        <w:t xml:space="preserve"> </w:t>
      </w:r>
      <w:r w:rsidRPr="008C6668">
        <w:t>finanční</w:t>
      </w:r>
      <w:r>
        <w:t xml:space="preserve"> </w:t>
      </w:r>
      <w:r w:rsidRPr="008C6668">
        <w:t>asistence,</w:t>
      </w:r>
    </w:p>
    <w:p w14:paraId="52271EF4" w14:textId="77777777" w:rsidR="00CD2102" w:rsidRDefault="00CD2102" w:rsidP="0056049B">
      <w:pPr>
        <w:pStyle w:val="PZTextpsmene"/>
        <w:tabs>
          <w:tab w:val="left" w:pos="426"/>
          <w:tab w:val="left" w:pos="840"/>
        </w:tabs>
        <w:spacing w:before="0"/>
        <w:ind w:left="426" w:hanging="426"/>
      </w:pPr>
      <w:r w:rsidRPr="008C6668">
        <w:t>l</w:t>
      </w:r>
      <w:r>
        <w:t>)</w:t>
      </w:r>
      <w:r>
        <w:tab/>
      </w:r>
      <w:r w:rsidRPr="008C6668">
        <w:t>rozhodnutí</w:t>
      </w:r>
      <w:r>
        <w:t xml:space="preserve"> </w:t>
      </w:r>
      <w:r w:rsidRPr="008C6668">
        <w:t>o</w:t>
      </w:r>
      <w:r>
        <w:t xml:space="preserve"> </w:t>
      </w:r>
      <w:r w:rsidRPr="008C6668">
        <w:t>převzetí</w:t>
      </w:r>
      <w:r>
        <w:t xml:space="preserve"> </w:t>
      </w:r>
      <w:r w:rsidRPr="008C6668">
        <w:t>účinků</w:t>
      </w:r>
      <w:r>
        <w:t xml:space="preserve"> </w:t>
      </w:r>
      <w:r w:rsidRPr="008C6668">
        <w:t>jednání</w:t>
      </w:r>
      <w:r>
        <w:t xml:space="preserve"> </w:t>
      </w:r>
      <w:r w:rsidRPr="008C6668">
        <w:t>učiněných</w:t>
      </w:r>
      <w:r>
        <w:t xml:space="preserve"> </w:t>
      </w:r>
      <w:r w:rsidRPr="008C6668">
        <w:t>za</w:t>
      </w:r>
      <w:r>
        <w:t xml:space="preserve"> </w:t>
      </w:r>
      <w:r w:rsidRPr="008C6668">
        <w:t>společnost</w:t>
      </w:r>
      <w:r>
        <w:t xml:space="preserve"> </w:t>
      </w:r>
      <w:r w:rsidRPr="008C6668">
        <w:t>před</w:t>
      </w:r>
      <w:r>
        <w:t xml:space="preserve"> </w:t>
      </w:r>
      <w:r w:rsidRPr="008C6668">
        <w:t>jejím</w:t>
      </w:r>
      <w:r>
        <w:t xml:space="preserve"> </w:t>
      </w:r>
      <w:r w:rsidRPr="008C6668">
        <w:t>vznikem,</w:t>
      </w:r>
    </w:p>
    <w:p w14:paraId="41DB6203" w14:textId="77777777" w:rsidR="00CD2102" w:rsidRDefault="00CD2102" w:rsidP="0056049B">
      <w:pPr>
        <w:pStyle w:val="PZTextpsmene"/>
        <w:tabs>
          <w:tab w:val="left" w:pos="426"/>
          <w:tab w:val="left" w:pos="840"/>
        </w:tabs>
        <w:spacing w:before="0"/>
        <w:ind w:left="426" w:hanging="426"/>
      </w:pPr>
      <w:r w:rsidRPr="008C6668">
        <w:t>m</w:t>
      </w:r>
      <w:r>
        <w:t>)</w:t>
      </w:r>
      <w:r>
        <w:tab/>
      </w:r>
      <w:r w:rsidRPr="008C6668">
        <w:t>rozhodnutí</w:t>
      </w:r>
      <w:r>
        <w:t xml:space="preserve"> </w:t>
      </w:r>
      <w:r w:rsidRPr="008C6668">
        <w:t>o</w:t>
      </w:r>
      <w:r>
        <w:t xml:space="preserve"> </w:t>
      </w:r>
      <w:proofErr w:type="gramStart"/>
      <w:r w:rsidRPr="008C6668">
        <w:t>naložení</w:t>
      </w:r>
      <w:r>
        <w:t xml:space="preserve"> </w:t>
      </w:r>
      <w:r w:rsidRPr="008C6668">
        <w:t>s</w:t>
      </w:r>
      <w:r>
        <w:t xml:space="preserve"> </w:t>
      </w:r>
      <w:r w:rsidRPr="008C6668">
        <w:t>vkladovým</w:t>
      </w:r>
      <w:proofErr w:type="gramEnd"/>
      <w:r>
        <w:t xml:space="preserve"> </w:t>
      </w:r>
      <w:r w:rsidRPr="008C6668">
        <w:t>ážiem,</w:t>
      </w:r>
    </w:p>
    <w:p w14:paraId="184BF219" w14:textId="77777777" w:rsidR="00CD2102" w:rsidRDefault="00CD2102" w:rsidP="0056049B">
      <w:pPr>
        <w:pStyle w:val="PZTextpsmene"/>
        <w:tabs>
          <w:tab w:val="left" w:pos="426"/>
          <w:tab w:val="left" w:pos="840"/>
        </w:tabs>
        <w:spacing w:before="0"/>
        <w:ind w:left="426" w:hanging="426"/>
      </w:pPr>
      <w:r w:rsidRPr="008C6668">
        <w:t>n</w:t>
      </w:r>
      <w:r>
        <w:t>)</w:t>
      </w:r>
      <w:r>
        <w:tab/>
      </w:r>
      <w:r w:rsidRPr="008C6668">
        <w:t>schválení</w:t>
      </w:r>
      <w:r>
        <w:t xml:space="preserve"> </w:t>
      </w:r>
      <w:r w:rsidRPr="008C6668">
        <w:t>konečné</w:t>
      </w:r>
      <w:r>
        <w:t xml:space="preserve"> </w:t>
      </w:r>
      <w:r w:rsidRPr="008C6668">
        <w:t>zprávy</w:t>
      </w:r>
      <w:r>
        <w:t xml:space="preserve"> </w:t>
      </w:r>
      <w:r w:rsidRPr="008C6668">
        <w:t>o</w:t>
      </w:r>
      <w:r>
        <w:t xml:space="preserve"> </w:t>
      </w:r>
      <w:r w:rsidRPr="008C6668">
        <w:t>průběhu</w:t>
      </w:r>
      <w:r>
        <w:t xml:space="preserve"> </w:t>
      </w:r>
      <w:r w:rsidRPr="008C6668">
        <w:t>likvidace</w:t>
      </w:r>
      <w:r>
        <w:t xml:space="preserve"> </w:t>
      </w:r>
      <w:r w:rsidRPr="008C6668">
        <w:t>a</w:t>
      </w:r>
      <w:r>
        <w:t xml:space="preserve"> </w:t>
      </w:r>
      <w:r w:rsidRPr="008C6668">
        <w:t>návrhu</w:t>
      </w:r>
      <w:r>
        <w:t xml:space="preserve"> </w:t>
      </w:r>
      <w:r w:rsidRPr="008C6668">
        <w:t>na</w:t>
      </w:r>
      <w:r>
        <w:t xml:space="preserve"> </w:t>
      </w:r>
      <w:r w:rsidRPr="008C6668">
        <w:t>použití</w:t>
      </w:r>
      <w:r>
        <w:t xml:space="preserve"> </w:t>
      </w:r>
      <w:r w:rsidRPr="008C6668">
        <w:t>likvidačního</w:t>
      </w:r>
      <w:r>
        <w:t xml:space="preserve"> </w:t>
      </w:r>
      <w:r w:rsidRPr="008C6668">
        <w:t>zůstatku,</w:t>
      </w:r>
    </w:p>
    <w:p w14:paraId="349356DD" w14:textId="77777777" w:rsidR="00CD2102" w:rsidRDefault="00CD2102" w:rsidP="0056049B">
      <w:pPr>
        <w:pStyle w:val="PZTextpsmene"/>
        <w:tabs>
          <w:tab w:val="left" w:pos="426"/>
          <w:tab w:val="left" w:pos="840"/>
        </w:tabs>
        <w:spacing w:before="0"/>
        <w:ind w:left="426" w:hanging="426"/>
      </w:pPr>
      <w:r w:rsidRPr="008C6668">
        <w:t>o</w:t>
      </w:r>
      <w:r>
        <w:t>)</w:t>
      </w:r>
      <w:r>
        <w:tab/>
      </w:r>
      <w:r w:rsidRPr="008C6668">
        <w:t>rozhodování</w:t>
      </w:r>
      <w:r>
        <w:t xml:space="preserve"> </w:t>
      </w:r>
      <w:r w:rsidRPr="008C6668">
        <w:t>o</w:t>
      </w:r>
      <w:r>
        <w:t xml:space="preserve"> </w:t>
      </w:r>
      <w:r w:rsidRPr="008C6668">
        <w:t>podání</w:t>
      </w:r>
      <w:r>
        <w:t xml:space="preserve"> </w:t>
      </w:r>
      <w:r w:rsidRPr="008C6668">
        <w:t>návrhu</w:t>
      </w:r>
      <w:r>
        <w:t xml:space="preserve"> </w:t>
      </w:r>
      <w:r w:rsidRPr="008C6668">
        <w:t>na</w:t>
      </w:r>
      <w:r>
        <w:t xml:space="preserve"> </w:t>
      </w:r>
      <w:r w:rsidRPr="008C6668">
        <w:t>vyloučení</w:t>
      </w:r>
      <w:r>
        <w:t xml:space="preserve"> </w:t>
      </w:r>
      <w:r w:rsidRPr="008C6668">
        <w:t>společníka</w:t>
      </w:r>
      <w:r>
        <w:t xml:space="preserve"> </w:t>
      </w:r>
      <w:r w:rsidRPr="008C6668">
        <w:t>soudem,</w:t>
      </w:r>
    </w:p>
    <w:p w14:paraId="13783574" w14:textId="77777777" w:rsidR="00CD2102" w:rsidRDefault="00CD2102" w:rsidP="0056049B">
      <w:pPr>
        <w:pStyle w:val="PZTextpsmene"/>
        <w:tabs>
          <w:tab w:val="left" w:pos="426"/>
          <w:tab w:val="left" w:pos="840"/>
        </w:tabs>
        <w:spacing w:before="0"/>
        <w:ind w:left="426" w:hanging="426"/>
      </w:pPr>
      <w:r w:rsidRPr="008C6668">
        <w:lastRenderedPageBreak/>
        <w:t>p</w:t>
      </w:r>
      <w:r>
        <w:t>)</w:t>
      </w:r>
      <w:r>
        <w:tab/>
      </w:r>
      <w:r w:rsidRPr="008C6668">
        <w:t>další</w:t>
      </w:r>
      <w:r>
        <w:t xml:space="preserve"> </w:t>
      </w:r>
      <w:r w:rsidRPr="008C6668">
        <w:t>případy,</w:t>
      </w:r>
      <w:r>
        <w:t xml:space="preserve"> </w:t>
      </w:r>
      <w:r w:rsidRPr="008C6668">
        <w:t>které</w:t>
      </w:r>
      <w:r>
        <w:t xml:space="preserve"> </w:t>
      </w:r>
      <w:r w:rsidRPr="008C6668">
        <w:t>do</w:t>
      </w:r>
      <w:r>
        <w:t xml:space="preserve"> </w:t>
      </w:r>
      <w:r w:rsidRPr="008C6668">
        <w:t>působnosti</w:t>
      </w:r>
      <w:r>
        <w:t xml:space="preserve"> </w:t>
      </w:r>
      <w:r w:rsidRPr="008C6668">
        <w:t>valné</w:t>
      </w:r>
      <w:r>
        <w:t xml:space="preserve"> </w:t>
      </w:r>
      <w:r w:rsidRPr="008C6668">
        <w:t>hromady</w:t>
      </w:r>
      <w:r>
        <w:t xml:space="preserve"> </w:t>
      </w:r>
      <w:r w:rsidRPr="008C6668">
        <w:t>svěřuje</w:t>
      </w:r>
      <w:r>
        <w:t xml:space="preserve"> </w:t>
      </w:r>
      <w:r w:rsidRPr="008C6668">
        <w:t>tento</w:t>
      </w:r>
      <w:r>
        <w:t xml:space="preserve"> </w:t>
      </w:r>
      <w:r w:rsidRPr="008C6668">
        <w:t>zákon,</w:t>
      </w:r>
      <w:r>
        <w:t xml:space="preserve"> </w:t>
      </w:r>
      <w:r w:rsidRPr="008C6668">
        <w:t>jiný</w:t>
      </w:r>
      <w:r>
        <w:t xml:space="preserve"> </w:t>
      </w:r>
      <w:r w:rsidRPr="008C6668">
        <w:t>právní</w:t>
      </w:r>
      <w:r>
        <w:t xml:space="preserve"> </w:t>
      </w:r>
      <w:r w:rsidRPr="008C6668">
        <w:t>předpis</w:t>
      </w:r>
      <w:r>
        <w:t xml:space="preserve"> </w:t>
      </w:r>
      <w:r w:rsidRPr="008C6668">
        <w:t>nebo</w:t>
      </w:r>
      <w:r>
        <w:t xml:space="preserve"> </w:t>
      </w:r>
      <w:r w:rsidRPr="008C6668">
        <w:t>společenská</w:t>
      </w:r>
      <w:r>
        <w:t xml:space="preserve"> </w:t>
      </w:r>
      <w:r w:rsidRPr="008C6668">
        <w:t>smlouva.</w:t>
      </w:r>
    </w:p>
    <w:p w14:paraId="05A75C77" w14:textId="22A6F51F" w:rsidR="00CD2102" w:rsidRDefault="00CD2102" w:rsidP="0056049B">
      <w:pPr>
        <w:pStyle w:val="PZTextodstavce"/>
        <w:tabs>
          <w:tab w:val="clear" w:pos="851"/>
          <w:tab w:val="left" w:pos="420"/>
          <w:tab w:val="left" w:pos="840"/>
        </w:tabs>
        <w:spacing w:before="240"/>
      </w:pPr>
      <w:r w:rsidRPr="008C6668">
        <w:t>(3</w:t>
      </w:r>
      <w:r w:rsidR="00674B20">
        <w:t xml:space="preserve">) </w:t>
      </w:r>
      <w:r w:rsidRPr="008C6668">
        <w:t>Valná</w:t>
      </w:r>
      <w:r>
        <w:t xml:space="preserve"> </w:t>
      </w:r>
      <w:r w:rsidRPr="008C6668">
        <w:t>hromada</w:t>
      </w:r>
      <w:r>
        <w:t xml:space="preserve"> </w:t>
      </w:r>
      <w:r w:rsidRPr="008C6668">
        <w:t>si</w:t>
      </w:r>
      <w:r>
        <w:t xml:space="preserve"> </w:t>
      </w:r>
      <w:r w:rsidRPr="008C6668">
        <w:t>může</w:t>
      </w:r>
      <w:r>
        <w:t xml:space="preserve"> </w:t>
      </w:r>
      <w:r w:rsidRPr="008C6668">
        <w:t>vyhradit</w:t>
      </w:r>
      <w:r>
        <w:t xml:space="preserve"> </w:t>
      </w:r>
      <w:r w:rsidRPr="008C6668">
        <w:t>rozhodování</w:t>
      </w:r>
      <w:r>
        <w:t xml:space="preserve"> </w:t>
      </w:r>
      <w:r w:rsidRPr="008C6668">
        <w:t>případů,</w:t>
      </w:r>
      <w:r>
        <w:t xml:space="preserve"> </w:t>
      </w:r>
      <w:r w:rsidRPr="008C6668">
        <w:t>které</w:t>
      </w:r>
      <w:r>
        <w:t xml:space="preserve"> </w:t>
      </w:r>
      <w:r w:rsidRPr="008C6668">
        <w:t>podle</w:t>
      </w:r>
      <w:r>
        <w:t xml:space="preserve"> </w:t>
      </w:r>
      <w:r w:rsidRPr="008C6668">
        <w:t>tohoto</w:t>
      </w:r>
      <w:r>
        <w:t xml:space="preserve"> </w:t>
      </w:r>
      <w:r w:rsidRPr="008C6668">
        <w:t>zákona</w:t>
      </w:r>
      <w:r>
        <w:t xml:space="preserve"> </w:t>
      </w:r>
      <w:r w:rsidRPr="008C6668">
        <w:t>náleží</w:t>
      </w:r>
      <w:r>
        <w:t xml:space="preserve"> </w:t>
      </w:r>
      <w:r w:rsidRPr="008C6668">
        <w:t>do</w:t>
      </w:r>
      <w:r>
        <w:t xml:space="preserve"> </w:t>
      </w:r>
      <w:r w:rsidRPr="008C6668">
        <w:t>působnosti</w:t>
      </w:r>
      <w:r>
        <w:t xml:space="preserve"> </w:t>
      </w:r>
      <w:r w:rsidRPr="008C6668">
        <w:t>jiného</w:t>
      </w:r>
      <w:r>
        <w:t xml:space="preserve"> </w:t>
      </w:r>
      <w:r w:rsidRPr="008C6668">
        <w:t>orgánu</w:t>
      </w:r>
      <w:r>
        <w:t xml:space="preserve"> </w:t>
      </w:r>
      <w:r w:rsidRPr="008C6668">
        <w:t>společnosti.</w:t>
      </w:r>
    </w:p>
    <w:p w14:paraId="20807867" w14:textId="77777777" w:rsidR="00CD2102" w:rsidRDefault="00CD2102" w:rsidP="0056049B">
      <w:pPr>
        <w:pStyle w:val="Paragraf"/>
        <w:keepNext w:val="0"/>
        <w:keepLines w:val="0"/>
        <w:numPr>
          <w:ilvl w:val="0"/>
          <w:numId w:val="27"/>
        </w:numPr>
        <w:tabs>
          <w:tab w:val="left" w:pos="420"/>
          <w:tab w:val="left" w:pos="840"/>
        </w:tabs>
        <w:spacing w:after="120"/>
      </w:pPr>
      <w:r w:rsidRPr="00AA135D">
        <w:t>***</w:t>
      </w:r>
    </w:p>
    <w:p w14:paraId="7B97CC80" w14:textId="77777777" w:rsidR="00CD2102" w:rsidRDefault="00CD2102" w:rsidP="0056049B">
      <w:pPr>
        <w:pStyle w:val="Paragraf"/>
        <w:keepNext w:val="0"/>
        <w:keepLines w:val="0"/>
        <w:numPr>
          <w:ilvl w:val="0"/>
          <w:numId w:val="27"/>
        </w:numPr>
        <w:tabs>
          <w:tab w:val="left" w:pos="420"/>
          <w:tab w:val="left" w:pos="840"/>
        </w:tabs>
        <w:spacing w:after="120"/>
      </w:pPr>
      <w:r>
        <w:t>§ 196</w:t>
      </w:r>
    </w:p>
    <w:p w14:paraId="098D41FA" w14:textId="77777777" w:rsidR="00CD2102" w:rsidRPr="00674B20" w:rsidRDefault="00CD2102" w:rsidP="0056049B">
      <w:pPr>
        <w:pStyle w:val="PZTextodstavce"/>
        <w:tabs>
          <w:tab w:val="clear" w:pos="851"/>
          <w:tab w:val="left" w:pos="420"/>
          <w:tab w:val="left" w:pos="840"/>
        </w:tabs>
        <w:spacing w:before="240"/>
      </w:pPr>
      <w:r w:rsidRPr="00674B20">
        <w:t>Jednatel zajišťuje řádné vedení předepsané evidence</w:t>
      </w:r>
      <w:r w:rsidRPr="00674B20">
        <w:rPr>
          <w:strike/>
        </w:rPr>
        <w:t xml:space="preserve"> a účetnictví</w:t>
      </w:r>
      <w:r w:rsidRPr="00674B20">
        <w:rPr>
          <w:b/>
          <w:szCs w:val="24"/>
        </w:rPr>
        <w:t>, plnění povinností souvisejících s účetnictvím</w:t>
      </w:r>
      <w:r w:rsidRPr="00674B20">
        <w:t>, vedení seznamu společníků a na žádost informuje společníky o věcech společnosti.</w:t>
      </w:r>
    </w:p>
    <w:p w14:paraId="373037BF" w14:textId="77777777" w:rsidR="00CD2102" w:rsidRDefault="00CD2102" w:rsidP="0056049B">
      <w:pPr>
        <w:pStyle w:val="Paragraf"/>
        <w:keepNext w:val="0"/>
        <w:keepLines w:val="0"/>
        <w:numPr>
          <w:ilvl w:val="0"/>
          <w:numId w:val="27"/>
        </w:numPr>
        <w:tabs>
          <w:tab w:val="left" w:pos="420"/>
          <w:tab w:val="left" w:pos="840"/>
        </w:tabs>
        <w:spacing w:after="120"/>
      </w:pPr>
      <w:r w:rsidRPr="00AA135D">
        <w:t>***</w:t>
      </w:r>
    </w:p>
    <w:p w14:paraId="4FD77054" w14:textId="77777777" w:rsidR="00CD2102" w:rsidRDefault="00CD2102" w:rsidP="0056049B">
      <w:pPr>
        <w:pStyle w:val="Paragraf"/>
        <w:keepNext w:val="0"/>
        <w:keepLines w:val="0"/>
        <w:numPr>
          <w:ilvl w:val="0"/>
          <w:numId w:val="27"/>
        </w:numPr>
        <w:tabs>
          <w:tab w:val="left" w:pos="420"/>
          <w:tab w:val="left" w:pos="840"/>
        </w:tabs>
        <w:spacing w:after="120"/>
      </w:pPr>
      <w:r w:rsidRPr="003C5719">
        <w:t>§</w:t>
      </w:r>
      <w:r>
        <w:t xml:space="preserve"> </w:t>
      </w:r>
      <w:r w:rsidRPr="003C5719">
        <w:t>201</w:t>
      </w:r>
      <w:r>
        <w:t xml:space="preserve"> </w:t>
      </w:r>
    </w:p>
    <w:p w14:paraId="16FD2D78" w14:textId="3DD2813E" w:rsidR="00CD2102" w:rsidRDefault="00CD2102" w:rsidP="0056049B">
      <w:pPr>
        <w:pStyle w:val="PZTextodstavce"/>
        <w:tabs>
          <w:tab w:val="clear" w:pos="851"/>
          <w:tab w:val="left" w:pos="420"/>
          <w:tab w:val="left" w:pos="840"/>
        </w:tabs>
        <w:spacing w:before="240"/>
      </w:pPr>
      <w:r w:rsidRPr="003C5719">
        <w:t>(1</w:t>
      </w:r>
      <w:r w:rsidR="00674B20">
        <w:t xml:space="preserve">) </w:t>
      </w:r>
      <w:r w:rsidRPr="003C5719">
        <w:t>Společnost</w:t>
      </w:r>
      <w:r>
        <w:t xml:space="preserve"> </w:t>
      </w:r>
      <w:r w:rsidRPr="003C5719">
        <w:t>zřídí</w:t>
      </w:r>
      <w:r>
        <w:t xml:space="preserve"> </w:t>
      </w:r>
      <w:r w:rsidRPr="003C5719">
        <w:t>dozorčí</w:t>
      </w:r>
      <w:r>
        <w:t xml:space="preserve"> </w:t>
      </w:r>
      <w:r w:rsidRPr="003C5719">
        <w:t>radu,</w:t>
      </w:r>
      <w:r>
        <w:t xml:space="preserve"> </w:t>
      </w:r>
      <w:r w:rsidRPr="003C5719">
        <w:t>určí-li</w:t>
      </w:r>
      <w:r>
        <w:t xml:space="preserve"> </w:t>
      </w:r>
      <w:r w:rsidRPr="003C5719">
        <w:t>tak</w:t>
      </w:r>
      <w:r>
        <w:t xml:space="preserve"> </w:t>
      </w:r>
      <w:r w:rsidRPr="003C5719">
        <w:t>společenská</w:t>
      </w:r>
      <w:r>
        <w:t xml:space="preserve"> </w:t>
      </w:r>
      <w:r w:rsidRPr="003C5719">
        <w:t>smlouva</w:t>
      </w:r>
      <w:r>
        <w:t xml:space="preserve"> </w:t>
      </w:r>
      <w:r w:rsidRPr="003C5719">
        <w:t>nebo</w:t>
      </w:r>
      <w:r>
        <w:t xml:space="preserve"> </w:t>
      </w:r>
      <w:r w:rsidRPr="003C5719">
        <w:t>jiný</w:t>
      </w:r>
      <w:r>
        <w:t xml:space="preserve"> </w:t>
      </w:r>
      <w:r w:rsidRPr="003C5719">
        <w:t>právní</w:t>
      </w:r>
      <w:r>
        <w:t xml:space="preserve"> </w:t>
      </w:r>
      <w:r w:rsidRPr="003C5719">
        <w:t>předpis.</w:t>
      </w:r>
    </w:p>
    <w:p w14:paraId="09C61E1A" w14:textId="4498C7DE" w:rsidR="00CD2102" w:rsidRDefault="00CD2102" w:rsidP="0056049B">
      <w:pPr>
        <w:pStyle w:val="PZTextodstavce"/>
        <w:tabs>
          <w:tab w:val="clear" w:pos="851"/>
          <w:tab w:val="left" w:pos="420"/>
          <w:tab w:val="left" w:pos="840"/>
        </w:tabs>
        <w:spacing w:before="240"/>
      </w:pPr>
      <w:r w:rsidRPr="003C5719">
        <w:t>(2</w:t>
      </w:r>
      <w:r w:rsidR="00674B20">
        <w:t xml:space="preserve">) </w:t>
      </w:r>
      <w:r w:rsidRPr="003C5719">
        <w:t>Neurčí-li</w:t>
      </w:r>
      <w:r>
        <w:t xml:space="preserve"> </w:t>
      </w:r>
      <w:r w:rsidRPr="003C5719">
        <w:t>společenská</w:t>
      </w:r>
      <w:r>
        <w:t xml:space="preserve"> </w:t>
      </w:r>
      <w:r w:rsidRPr="003C5719">
        <w:t>smlouva</w:t>
      </w:r>
      <w:r>
        <w:t xml:space="preserve"> </w:t>
      </w:r>
      <w:r w:rsidRPr="003C5719">
        <w:t>jinak,</w:t>
      </w:r>
      <w:r>
        <w:t xml:space="preserve"> </w:t>
      </w:r>
      <w:r w:rsidRPr="003C5719">
        <w:t>dozorčí</w:t>
      </w:r>
      <w:r>
        <w:t xml:space="preserve"> </w:t>
      </w:r>
      <w:r w:rsidRPr="003C5719">
        <w:t>rada</w:t>
      </w:r>
    </w:p>
    <w:p w14:paraId="107D8631" w14:textId="77777777" w:rsidR="00CD2102" w:rsidRDefault="00CD2102" w:rsidP="0056049B">
      <w:pPr>
        <w:pStyle w:val="PZTextpsmene"/>
        <w:tabs>
          <w:tab w:val="left" w:pos="420"/>
          <w:tab w:val="left" w:pos="840"/>
        </w:tabs>
        <w:spacing w:before="0"/>
        <w:ind w:left="426" w:hanging="426"/>
      </w:pPr>
      <w:r w:rsidRPr="003C5719">
        <w:t>a</w:t>
      </w:r>
      <w:r>
        <w:t>)</w:t>
      </w:r>
      <w:r>
        <w:tab/>
      </w:r>
      <w:r w:rsidRPr="003C5719">
        <w:t>dohlíží</w:t>
      </w:r>
      <w:r>
        <w:t xml:space="preserve"> </w:t>
      </w:r>
      <w:r w:rsidRPr="003C5719">
        <w:t>na</w:t>
      </w:r>
      <w:r>
        <w:t xml:space="preserve"> </w:t>
      </w:r>
      <w:r w:rsidRPr="003C5719">
        <w:t>činnost</w:t>
      </w:r>
      <w:r>
        <w:t xml:space="preserve"> </w:t>
      </w:r>
      <w:r w:rsidRPr="003C5719">
        <w:t>jednatelů,</w:t>
      </w:r>
    </w:p>
    <w:p w14:paraId="3A91C8DD" w14:textId="77777777" w:rsidR="00CD2102" w:rsidRDefault="00CD2102" w:rsidP="0056049B">
      <w:pPr>
        <w:pStyle w:val="Textpsmene"/>
        <w:tabs>
          <w:tab w:val="left" w:pos="420"/>
          <w:tab w:val="left" w:pos="840"/>
        </w:tabs>
        <w:spacing w:before="0"/>
        <w:ind w:left="426" w:hanging="426"/>
      </w:pPr>
      <w:r w:rsidRPr="003C5719">
        <w:t>b</w:t>
      </w:r>
      <w:r>
        <w:t>)</w:t>
      </w:r>
      <w:r>
        <w:tab/>
      </w:r>
      <w:r w:rsidRPr="003C5719">
        <w:t>nahlíží</w:t>
      </w:r>
      <w:r>
        <w:t xml:space="preserve"> </w:t>
      </w:r>
      <w:r w:rsidRPr="004C375A">
        <w:t xml:space="preserve">do obchodních </w:t>
      </w:r>
      <w:r w:rsidRPr="002556C5">
        <w:rPr>
          <w:strike/>
        </w:rPr>
        <w:t>a účetních knih,</w:t>
      </w:r>
      <w:r>
        <w:t xml:space="preserve"> </w:t>
      </w:r>
      <w:r w:rsidRPr="002556C5">
        <w:rPr>
          <w:b/>
        </w:rPr>
        <w:t>knih, účetních záznamů a</w:t>
      </w:r>
      <w:r w:rsidRPr="002556C5">
        <w:t xml:space="preserve"> </w:t>
      </w:r>
      <w:r w:rsidRPr="00DE17A2">
        <w:t>jiných</w:t>
      </w:r>
      <w:r w:rsidRPr="004C375A">
        <w:t xml:space="preserve"> dokladů </w:t>
      </w:r>
      <w:r w:rsidRPr="000C0E1C">
        <w:t>a</w:t>
      </w:r>
      <w:r w:rsidRPr="002556C5">
        <w:rPr>
          <w:strike/>
        </w:rPr>
        <w:t xml:space="preserve"> </w:t>
      </w:r>
      <w:r w:rsidRPr="000C0E1C">
        <w:t>účetních závěrek</w:t>
      </w:r>
      <w:r w:rsidRPr="004C375A">
        <w:t xml:space="preserve"> a kontroluje tam obsažené údaje,</w:t>
      </w:r>
    </w:p>
    <w:p w14:paraId="05D38F92" w14:textId="77777777" w:rsidR="00CD2102" w:rsidRDefault="00CD2102" w:rsidP="0056049B">
      <w:pPr>
        <w:pStyle w:val="PZTextpsmene"/>
        <w:tabs>
          <w:tab w:val="left" w:pos="420"/>
          <w:tab w:val="left" w:pos="840"/>
        </w:tabs>
        <w:spacing w:before="0"/>
        <w:ind w:left="426" w:hanging="426"/>
      </w:pPr>
      <w:r w:rsidRPr="003C5719">
        <w:t>c</w:t>
      </w:r>
      <w:r>
        <w:t>)</w:t>
      </w:r>
      <w:r>
        <w:tab/>
      </w:r>
      <w:r w:rsidRPr="003C5719">
        <w:t>podává</w:t>
      </w:r>
      <w:r>
        <w:t xml:space="preserve"> </w:t>
      </w:r>
      <w:r w:rsidRPr="003C5719">
        <w:t>žalobu</w:t>
      </w:r>
      <w:r>
        <w:t xml:space="preserve"> </w:t>
      </w:r>
      <w:r w:rsidRPr="003C5719">
        <w:t>podle</w:t>
      </w:r>
      <w:r>
        <w:t xml:space="preserve"> </w:t>
      </w:r>
      <w:r w:rsidRPr="003C5719">
        <w:t>§</w:t>
      </w:r>
      <w:r>
        <w:t xml:space="preserve"> </w:t>
      </w:r>
      <w:r w:rsidRPr="003C5719">
        <w:t>159</w:t>
      </w:r>
      <w:r>
        <w:t xml:space="preserve"> </w:t>
      </w:r>
      <w:r w:rsidRPr="003C5719">
        <w:t>a</w:t>
      </w:r>
    </w:p>
    <w:p w14:paraId="203779E1" w14:textId="77777777" w:rsidR="00CD2102" w:rsidRDefault="00CD2102" w:rsidP="0056049B">
      <w:pPr>
        <w:pStyle w:val="PZTextpsmene"/>
        <w:tabs>
          <w:tab w:val="left" w:pos="420"/>
          <w:tab w:val="left" w:pos="840"/>
        </w:tabs>
        <w:spacing w:before="0"/>
        <w:ind w:left="426" w:hanging="426"/>
      </w:pPr>
      <w:r w:rsidRPr="003C5719">
        <w:t>d</w:t>
      </w:r>
      <w:r>
        <w:t>)</w:t>
      </w:r>
      <w:r>
        <w:tab/>
      </w:r>
      <w:r w:rsidRPr="003C5719">
        <w:t>podává</w:t>
      </w:r>
      <w:r>
        <w:t xml:space="preserve"> </w:t>
      </w:r>
      <w:r w:rsidRPr="003C5719">
        <w:t>jednou</w:t>
      </w:r>
      <w:r>
        <w:t xml:space="preserve"> </w:t>
      </w:r>
      <w:r w:rsidRPr="003C5719">
        <w:t>ročně</w:t>
      </w:r>
      <w:r>
        <w:t xml:space="preserve"> </w:t>
      </w:r>
      <w:r w:rsidRPr="003C5719">
        <w:t>zprávu</w:t>
      </w:r>
      <w:r>
        <w:t xml:space="preserve"> </w:t>
      </w:r>
      <w:r w:rsidRPr="003C5719">
        <w:t>o</w:t>
      </w:r>
      <w:r>
        <w:t xml:space="preserve"> </w:t>
      </w:r>
      <w:r w:rsidRPr="003C5719">
        <w:t>své</w:t>
      </w:r>
      <w:r>
        <w:t xml:space="preserve"> </w:t>
      </w:r>
      <w:r w:rsidRPr="003C5719">
        <w:t>činnosti</w:t>
      </w:r>
      <w:r>
        <w:t xml:space="preserve"> </w:t>
      </w:r>
      <w:r w:rsidRPr="003C5719">
        <w:t>valné</w:t>
      </w:r>
      <w:r>
        <w:t xml:space="preserve"> </w:t>
      </w:r>
      <w:r w:rsidRPr="003C5719">
        <w:t>hromadě.</w:t>
      </w:r>
    </w:p>
    <w:p w14:paraId="0B4B7C2A" w14:textId="6C49B665" w:rsidR="00CD2102" w:rsidRDefault="00CD2102" w:rsidP="0056049B">
      <w:pPr>
        <w:pStyle w:val="PZTextodstavce"/>
        <w:keepNext/>
        <w:keepLines/>
        <w:tabs>
          <w:tab w:val="clear" w:pos="851"/>
          <w:tab w:val="left" w:pos="420"/>
          <w:tab w:val="left" w:pos="840"/>
        </w:tabs>
      </w:pPr>
      <w:r w:rsidRPr="003C5719">
        <w:t>(3</w:t>
      </w:r>
      <w:r w:rsidR="00674B20">
        <w:t xml:space="preserve">) </w:t>
      </w:r>
      <w:r w:rsidRPr="003C5719">
        <w:t>Oprávnění</w:t>
      </w:r>
      <w:r>
        <w:t xml:space="preserve"> </w:t>
      </w:r>
      <w:r w:rsidRPr="003C5719">
        <w:t>podle</w:t>
      </w:r>
      <w:r>
        <w:t xml:space="preserve"> </w:t>
      </w:r>
      <w:r w:rsidRPr="003C5719">
        <w:t>odstavce</w:t>
      </w:r>
      <w:r>
        <w:t xml:space="preserve"> </w:t>
      </w:r>
      <w:r w:rsidRPr="003C5719">
        <w:t>2</w:t>
      </w:r>
      <w:r>
        <w:t xml:space="preserve"> </w:t>
      </w:r>
      <w:r w:rsidRPr="003C5719">
        <w:t>písm.</w:t>
      </w:r>
      <w:r>
        <w:t xml:space="preserve"> </w:t>
      </w:r>
      <w:r w:rsidRPr="003C5719">
        <w:t>b)</w:t>
      </w:r>
      <w:r>
        <w:t xml:space="preserve"> </w:t>
      </w:r>
      <w:r w:rsidRPr="003C5719">
        <w:t>mohou</w:t>
      </w:r>
      <w:r>
        <w:t xml:space="preserve"> </w:t>
      </w:r>
      <w:r w:rsidRPr="003C5719">
        <w:t>členové</w:t>
      </w:r>
      <w:r>
        <w:t xml:space="preserve"> </w:t>
      </w:r>
      <w:r w:rsidRPr="003C5719">
        <w:t>dozorčí</w:t>
      </w:r>
      <w:r>
        <w:t xml:space="preserve"> </w:t>
      </w:r>
      <w:r w:rsidRPr="003C5719">
        <w:t>rady</w:t>
      </w:r>
      <w:r>
        <w:t xml:space="preserve"> </w:t>
      </w:r>
      <w:r w:rsidRPr="003C5719">
        <w:t>využívat</w:t>
      </w:r>
      <w:r>
        <w:t xml:space="preserve"> </w:t>
      </w:r>
      <w:r w:rsidRPr="003C5719">
        <w:t>jen</w:t>
      </w:r>
      <w:r>
        <w:t xml:space="preserve"> </w:t>
      </w:r>
      <w:r w:rsidRPr="003C5719">
        <w:t>na</w:t>
      </w:r>
      <w:r>
        <w:t xml:space="preserve"> </w:t>
      </w:r>
      <w:r w:rsidRPr="003C5719">
        <w:t>základě</w:t>
      </w:r>
      <w:r>
        <w:t xml:space="preserve"> </w:t>
      </w:r>
      <w:r w:rsidRPr="003C5719">
        <w:t>rozhodnutí</w:t>
      </w:r>
      <w:r>
        <w:t xml:space="preserve"> </w:t>
      </w:r>
      <w:r w:rsidRPr="003C5719">
        <w:t>dozorčí</w:t>
      </w:r>
      <w:r>
        <w:t xml:space="preserve"> </w:t>
      </w:r>
      <w:r w:rsidRPr="003C5719">
        <w:t>rady,</w:t>
      </w:r>
      <w:r>
        <w:t xml:space="preserve"> </w:t>
      </w:r>
      <w:r w:rsidRPr="003C5719">
        <w:t>ledaže</w:t>
      </w:r>
      <w:r>
        <w:t xml:space="preserve"> </w:t>
      </w:r>
      <w:r w:rsidRPr="003C5719">
        <w:t>dozorčí</w:t>
      </w:r>
      <w:r>
        <w:t xml:space="preserve"> </w:t>
      </w:r>
      <w:r w:rsidRPr="003C5719">
        <w:t>rada</w:t>
      </w:r>
      <w:r>
        <w:t xml:space="preserve"> </w:t>
      </w:r>
      <w:r w:rsidRPr="003C5719">
        <w:t>není</w:t>
      </w:r>
      <w:r>
        <w:t xml:space="preserve"> </w:t>
      </w:r>
      <w:r w:rsidRPr="003C5719">
        <w:t>schopna</w:t>
      </w:r>
      <w:r>
        <w:t xml:space="preserve"> </w:t>
      </w:r>
      <w:r w:rsidRPr="003C5719">
        <w:t>plnit</w:t>
      </w:r>
      <w:r>
        <w:t xml:space="preserve"> </w:t>
      </w:r>
      <w:r w:rsidRPr="003C5719">
        <w:t>své</w:t>
      </w:r>
      <w:r>
        <w:t xml:space="preserve"> </w:t>
      </w:r>
      <w:r w:rsidRPr="003C5719">
        <w:t>funkce.</w:t>
      </w:r>
    </w:p>
    <w:p w14:paraId="69E71F69" w14:textId="32F38279" w:rsidR="00CD2102" w:rsidRDefault="00CD2102" w:rsidP="0056049B">
      <w:pPr>
        <w:pStyle w:val="PZTextodstavce"/>
        <w:keepNext/>
        <w:keepLines/>
        <w:tabs>
          <w:tab w:val="clear" w:pos="851"/>
          <w:tab w:val="left" w:pos="420"/>
          <w:tab w:val="left" w:pos="840"/>
        </w:tabs>
      </w:pPr>
      <w:r w:rsidRPr="003C5719">
        <w:t>(4</w:t>
      </w:r>
      <w:r w:rsidR="00674B20">
        <w:t xml:space="preserve">) </w:t>
      </w:r>
      <w:r w:rsidRPr="003C5719">
        <w:t>Členem</w:t>
      </w:r>
      <w:r>
        <w:t xml:space="preserve"> </w:t>
      </w:r>
      <w:r w:rsidRPr="003C5719">
        <w:t>dozorčí</w:t>
      </w:r>
      <w:r>
        <w:t xml:space="preserve"> </w:t>
      </w:r>
      <w:r w:rsidRPr="003C5719">
        <w:t>rady</w:t>
      </w:r>
      <w:r>
        <w:t xml:space="preserve"> </w:t>
      </w:r>
      <w:r w:rsidRPr="003C5719">
        <w:t>nemůže</w:t>
      </w:r>
      <w:r>
        <w:t xml:space="preserve"> </w:t>
      </w:r>
      <w:r w:rsidRPr="003C5719">
        <w:t>být</w:t>
      </w:r>
      <w:r>
        <w:t xml:space="preserve"> </w:t>
      </w:r>
      <w:r w:rsidRPr="003C5719">
        <w:t>jednatel</w:t>
      </w:r>
      <w:r>
        <w:t xml:space="preserve"> </w:t>
      </w:r>
      <w:r w:rsidRPr="003C5719">
        <w:t>společnosti</w:t>
      </w:r>
      <w:r>
        <w:t xml:space="preserve"> </w:t>
      </w:r>
      <w:r w:rsidRPr="003C5719">
        <w:t>nebo</w:t>
      </w:r>
      <w:r>
        <w:t xml:space="preserve"> </w:t>
      </w:r>
      <w:r w:rsidRPr="003C5719">
        <w:t>jiná</w:t>
      </w:r>
      <w:r>
        <w:t xml:space="preserve"> </w:t>
      </w:r>
      <w:r w:rsidRPr="003C5719">
        <w:t>osoba</w:t>
      </w:r>
      <w:r>
        <w:t xml:space="preserve"> </w:t>
      </w:r>
      <w:r w:rsidRPr="003C5719">
        <w:t>oprávněná</w:t>
      </w:r>
      <w:r>
        <w:t xml:space="preserve"> </w:t>
      </w:r>
      <w:r w:rsidRPr="003C5719">
        <w:t>podle</w:t>
      </w:r>
      <w:r>
        <w:t xml:space="preserve"> </w:t>
      </w:r>
      <w:r w:rsidRPr="003C5719">
        <w:t>zápisu</w:t>
      </w:r>
      <w:r>
        <w:t xml:space="preserve"> </w:t>
      </w:r>
      <w:r w:rsidRPr="003C5719">
        <w:t>v</w:t>
      </w:r>
      <w:r>
        <w:t xml:space="preserve"> </w:t>
      </w:r>
      <w:r w:rsidRPr="003C5719">
        <w:t>obchodním</w:t>
      </w:r>
      <w:r>
        <w:t xml:space="preserve"> </w:t>
      </w:r>
      <w:r w:rsidRPr="003C5719">
        <w:t>rejstříku</w:t>
      </w:r>
      <w:r>
        <w:t xml:space="preserve"> </w:t>
      </w:r>
      <w:r w:rsidRPr="003C5719">
        <w:t>jednat</w:t>
      </w:r>
      <w:r>
        <w:t xml:space="preserve"> </w:t>
      </w:r>
      <w:r w:rsidRPr="003C5719">
        <w:t>za</w:t>
      </w:r>
      <w:r>
        <w:t xml:space="preserve"> </w:t>
      </w:r>
      <w:r w:rsidRPr="003C5719">
        <w:t>společnost.</w:t>
      </w:r>
    </w:p>
    <w:p w14:paraId="62ACFC46" w14:textId="295BADB4" w:rsidR="00CD2102" w:rsidRDefault="00CD2102" w:rsidP="0056049B">
      <w:pPr>
        <w:pStyle w:val="PZTextodstavce"/>
        <w:keepNext/>
        <w:keepLines/>
        <w:tabs>
          <w:tab w:val="clear" w:pos="851"/>
          <w:tab w:val="left" w:pos="420"/>
          <w:tab w:val="left" w:pos="840"/>
        </w:tabs>
      </w:pPr>
      <w:r w:rsidRPr="003C5719">
        <w:t>(5</w:t>
      </w:r>
      <w:r w:rsidR="00674B20">
        <w:t xml:space="preserve">) </w:t>
      </w:r>
      <w:r w:rsidRPr="003C5719">
        <w:t>Na</w:t>
      </w:r>
      <w:r>
        <w:t xml:space="preserve"> </w:t>
      </w:r>
      <w:r w:rsidRPr="003C5719">
        <w:t>členy</w:t>
      </w:r>
      <w:r>
        <w:t xml:space="preserve"> </w:t>
      </w:r>
      <w:r w:rsidRPr="003C5719">
        <w:t>dozorčí</w:t>
      </w:r>
      <w:r>
        <w:t xml:space="preserve"> </w:t>
      </w:r>
      <w:r w:rsidRPr="003C5719">
        <w:t>rady</w:t>
      </w:r>
      <w:r>
        <w:t xml:space="preserve"> </w:t>
      </w:r>
      <w:r w:rsidRPr="003C5719">
        <w:t>se</w:t>
      </w:r>
      <w:r>
        <w:t xml:space="preserve"> </w:t>
      </w:r>
      <w:r w:rsidRPr="003C5719">
        <w:t>použijí</w:t>
      </w:r>
      <w:r>
        <w:t xml:space="preserve"> </w:t>
      </w:r>
      <w:r w:rsidRPr="003C5719">
        <w:t>obdobně</w:t>
      </w:r>
      <w:r>
        <w:t xml:space="preserve"> </w:t>
      </w:r>
      <w:r w:rsidRPr="003C5719">
        <w:t>§</w:t>
      </w:r>
      <w:r>
        <w:t xml:space="preserve"> </w:t>
      </w:r>
      <w:r w:rsidRPr="003C5719">
        <w:t>198</w:t>
      </w:r>
      <w:r>
        <w:t xml:space="preserve"> </w:t>
      </w:r>
      <w:r w:rsidRPr="003C5719">
        <w:t>a</w:t>
      </w:r>
      <w:r>
        <w:t xml:space="preserve"> </w:t>
      </w:r>
      <w:r w:rsidRPr="003C5719">
        <w:t>199;</w:t>
      </w:r>
      <w:r>
        <w:t xml:space="preserve"> </w:t>
      </w:r>
      <w:r w:rsidRPr="003C5719">
        <w:t>§</w:t>
      </w:r>
      <w:r>
        <w:t xml:space="preserve"> </w:t>
      </w:r>
      <w:r w:rsidRPr="003C5719">
        <w:t>446</w:t>
      </w:r>
      <w:r>
        <w:t xml:space="preserve"> </w:t>
      </w:r>
      <w:r w:rsidRPr="003C5719">
        <w:t>odst.</w:t>
      </w:r>
      <w:r>
        <w:t xml:space="preserve"> </w:t>
      </w:r>
      <w:r w:rsidRPr="003C5719">
        <w:t>2</w:t>
      </w:r>
      <w:r>
        <w:t xml:space="preserve"> </w:t>
      </w:r>
      <w:r w:rsidRPr="003C5719">
        <w:t>a</w:t>
      </w:r>
      <w:r>
        <w:t xml:space="preserve"> </w:t>
      </w:r>
      <w:r w:rsidRPr="003C5719">
        <w:t>3,</w:t>
      </w:r>
      <w:r>
        <w:t xml:space="preserve"> </w:t>
      </w:r>
      <w:r w:rsidRPr="003C5719">
        <w:t>§</w:t>
      </w:r>
      <w:r>
        <w:t xml:space="preserve"> </w:t>
      </w:r>
      <w:r w:rsidRPr="003C5719">
        <w:t>448</w:t>
      </w:r>
      <w:r>
        <w:t xml:space="preserve"> </w:t>
      </w:r>
      <w:r w:rsidRPr="003C5719">
        <w:t>odst.</w:t>
      </w:r>
      <w:r>
        <w:t xml:space="preserve"> </w:t>
      </w:r>
      <w:r w:rsidRPr="003C5719">
        <w:t>1,</w:t>
      </w:r>
      <w:r>
        <w:t xml:space="preserve"> </w:t>
      </w:r>
      <w:r w:rsidRPr="003C5719">
        <w:t>§</w:t>
      </w:r>
      <w:r>
        <w:t xml:space="preserve"> </w:t>
      </w:r>
      <w:r w:rsidRPr="003C5719">
        <w:t>448</w:t>
      </w:r>
      <w:r>
        <w:t xml:space="preserve"> </w:t>
      </w:r>
      <w:r w:rsidRPr="003C5719">
        <w:t>odst.</w:t>
      </w:r>
      <w:r>
        <w:t xml:space="preserve"> </w:t>
      </w:r>
      <w:r w:rsidRPr="003C5719">
        <w:t>3,</w:t>
      </w:r>
      <w:r>
        <w:t xml:space="preserve"> </w:t>
      </w:r>
      <w:r w:rsidRPr="003C5719">
        <w:t>§</w:t>
      </w:r>
      <w:r>
        <w:t xml:space="preserve"> </w:t>
      </w:r>
      <w:r w:rsidRPr="003C5719">
        <w:t>448b,</w:t>
      </w:r>
      <w:r>
        <w:t xml:space="preserve"> </w:t>
      </w:r>
      <w:r w:rsidRPr="003C5719">
        <w:t>449,</w:t>
      </w:r>
      <w:r>
        <w:t xml:space="preserve"> </w:t>
      </w:r>
      <w:r w:rsidRPr="003C5719">
        <w:t>450</w:t>
      </w:r>
      <w:r>
        <w:t xml:space="preserve"> </w:t>
      </w:r>
      <w:r w:rsidRPr="003C5719">
        <w:t>a</w:t>
      </w:r>
      <w:r>
        <w:t xml:space="preserve"> </w:t>
      </w:r>
      <w:r w:rsidRPr="003C5719">
        <w:t>454</w:t>
      </w:r>
      <w:r>
        <w:t xml:space="preserve"> </w:t>
      </w:r>
      <w:r w:rsidRPr="003C5719">
        <w:t>se</w:t>
      </w:r>
      <w:r>
        <w:t xml:space="preserve"> </w:t>
      </w:r>
      <w:r w:rsidRPr="003C5719">
        <w:t>použijí</w:t>
      </w:r>
      <w:r>
        <w:t xml:space="preserve"> </w:t>
      </w:r>
      <w:r w:rsidRPr="003C5719">
        <w:t>obdobně,</w:t>
      </w:r>
      <w:r>
        <w:t xml:space="preserve"> </w:t>
      </w:r>
      <w:r w:rsidRPr="003C5719">
        <w:t>neurčí-li</w:t>
      </w:r>
      <w:r>
        <w:t xml:space="preserve"> </w:t>
      </w:r>
      <w:r w:rsidRPr="003C5719">
        <w:t>společenská</w:t>
      </w:r>
      <w:r>
        <w:t xml:space="preserve"> </w:t>
      </w:r>
      <w:r w:rsidRPr="003C5719">
        <w:t>smlouva</w:t>
      </w:r>
      <w:r>
        <w:t xml:space="preserve"> </w:t>
      </w:r>
      <w:r w:rsidRPr="003C5719">
        <w:t>jinak.</w:t>
      </w:r>
    </w:p>
    <w:p w14:paraId="2156F04F" w14:textId="77777777" w:rsidR="00CD2102" w:rsidRDefault="00CD2102" w:rsidP="0056049B">
      <w:pPr>
        <w:pStyle w:val="Paragraf"/>
        <w:keepNext w:val="0"/>
        <w:keepLines w:val="0"/>
        <w:numPr>
          <w:ilvl w:val="0"/>
          <w:numId w:val="27"/>
        </w:numPr>
        <w:tabs>
          <w:tab w:val="left" w:pos="420"/>
          <w:tab w:val="left" w:pos="840"/>
        </w:tabs>
        <w:spacing w:after="120"/>
      </w:pPr>
      <w:r w:rsidRPr="00AA135D">
        <w:t>***</w:t>
      </w:r>
    </w:p>
    <w:p w14:paraId="1F4DC93D" w14:textId="77777777" w:rsidR="00CD2102" w:rsidRPr="00BB1E0A" w:rsidRDefault="00CD2102" w:rsidP="0056049B">
      <w:pPr>
        <w:pStyle w:val="Paragraf"/>
        <w:keepNext w:val="0"/>
        <w:keepLines w:val="0"/>
        <w:numPr>
          <w:ilvl w:val="0"/>
          <w:numId w:val="27"/>
        </w:numPr>
        <w:tabs>
          <w:tab w:val="left" w:pos="420"/>
          <w:tab w:val="left" w:pos="840"/>
        </w:tabs>
        <w:spacing w:after="120"/>
      </w:pPr>
      <w:r>
        <w:t xml:space="preserve">§ </w:t>
      </w:r>
      <w:r w:rsidRPr="00BB1E0A">
        <w:t>216</w:t>
      </w:r>
    </w:p>
    <w:p w14:paraId="062DE807" w14:textId="77777777" w:rsidR="00CD2102" w:rsidRPr="00BB1E0A" w:rsidRDefault="00CD2102" w:rsidP="0056049B">
      <w:pPr>
        <w:pStyle w:val="PZTextodstavce"/>
        <w:tabs>
          <w:tab w:val="clear" w:pos="851"/>
          <w:tab w:val="left" w:pos="420"/>
          <w:tab w:val="left" w:pos="840"/>
        </w:tabs>
        <w:spacing w:before="240"/>
      </w:pPr>
      <w:r w:rsidRPr="00BB1E0A">
        <w:t>(1) Základní kapitál lze zvýšit</w:t>
      </w:r>
    </w:p>
    <w:p w14:paraId="2A2B173B" w14:textId="1BAE2227" w:rsidR="00CD2102" w:rsidRPr="00BB1E0A" w:rsidRDefault="00674B20" w:rsidP="0056049B">
      <w:pPr>
        <w:pStyle w:val="PZTextodstavce"/>
        <w:tabs>
          <w:tab w:val="clear" w:pos="851"/>
          <w:tab w:val="left" w:pos="420"/>
          <w:tab w:val="left" w:pos="840"/>
        </w:tabs>
        <w:spacing w:before="0" w:after="0"/>
        <w:ind w:firstLine="0"/>
      </w:pPr>
      <w:r>
        <w:t>a)</w:t>
      </w:r>
      <w:r>
        <w:tab/>
      </w:r>
      <w:r w:rsidR="00CD2102" w:rsidRPr="00BB1E0A">
        <w:t>převzetím vkladové povinnosti ke zvýšení dosavadních vkladů nebo k novému vkladu,</w:t>
      </w:r>
    </w:p>
    <w:p w14:paraId="5226FF3C" w14:textId="7720F478" w:rsidR="00CD2102" w:rsidRPr="00AE7D38" w:rsidRDefault="00674B20" w:rsidP="0056049B">
      <w:pPr>
        <w:pStyle w:val="PZTextodstavce"/>
        <w:tabs>
          <w:tab w:val="clear" w:pos="851"/>
          <w:tab w:val="left" w:pos="420"/>
          <w:tab w:val="left" w:pos="840"/>
        </w:tabs>
        <w:spacing w:before="0" w:after="0"/>
        <w:ind w:firstLine="0"/>
      </w:pPr>
      <w:r>
        <w:t>b)</w:t>
      </w:r>
      <w:r>
        <w:tab/>
      </w:r>
      <w:r w:rsidR="00CD2102" w:rsidRPr="00AE7D38">
        <w:t xml:space="preserve">z </w:t>
      </w:r>
      <w:r w:rsidR="00CD2102" w:rsidRPr="002556C5">
        <w:rPr>
          <w:strike/>
        </w:rPr>
        <w:t>vlastních zdrojů</w:t>
      </w:r>
      <w:r w:rsidR="00CD2102" w:rsidRPr="002556C5">
        <w:t xml:space="preserve"> </w:t>
      </w:r>
      <w:r w:rsidR="00CD2102" w:rsidRPr="002556C5">
        <w:rPr>
          <w:b/>
          <w:bCs/>
        </w:rPr>
        <w:t>jiných částí vlastního kapitálu</w:t>
      </w:r>
      <w:r w:rsidR="00CD2102" w:rsidRPr="00AE7D38">
        <w:t>, nebo</w:t>
      </w:r>
    </w:p>
    <w:p w14:paraId="3D1A819B" w14:textId="23E4A774" w:rsidR="00CD2102" w:rsidRPr="00BB1E0A" w:rsidRDefault="00674B20" w:rsidP="0056049B">
      <w:pPr>
        <w:pStyle w:val="PZTextodstavce"/>
        <w:tabs>
          <w:tab w:val="clear" w:pos="851"/>
          <w:tab w:val="left" w:pos="420"/>
          <w:tab w:val="left" w:pos="840"/>
        </w:tabs>
        <w:spacing w:before="0" w:after="0"/>
        <w:ind w:firstLine="0"/>
      </w:pPr>
      <w:r>
        <w:t>c)</w:t>
      </w:r>
      <w:r>
        <w:tab/>
      </w:r>
      <w:r w:rsidR="00CD2102" w:rsidRPr="00BB1E0A">
        <w:t>kombinací způsobů zvýšení základního kapitálu uvedených v</w:t>
      </w:r>
      <w:r w:rsidR="00CD2102">
        <w:t> </w:t>
      </w:r>
      <w:r w:rsidR="00CD2102" w:rsidRPr="00BB1E0A">
        <w:t>písmenech a) a b).</w:t>
      </w:r>
    </w:p>
    <w:p w14:paraId="3CEAE4DC" w14:textId="77777777" w:rsidR="00CD2102" w:rsidRPr="00674B20" w:rsidRDefault="00CD2102" w:rsidP="0056049B">
      <w:pPr>
        <w:pStyle w:val="PZTextodstavce"/>
        <w:tabs>
          <w:tab w:val="clear" w:pos="851"/>
          <w:tab w:val="left" w:pos="420"/>
          <w:tab w:val="left" w:pos="840"/>
        </w:tabs>
        <w:spacing w:before="240"/>
      </w:pPr>
      <w:r w:rsidRPr="00674B20">
        <w:t xml:space="preserve">(2) Účinky zvýšení základního kapitálu převzetím vkladové povinnosti nastávají převzetím vkladové povinnosti a vnesením všech nepeněžitých vkladů nebo splacením takové části peněžitých vkladů určené společenskou smlouvou nebo rozhodnutím valné hromady o zvýšení základního kapitálu, s jejímž splacením společenská smlouva nebo toto rozhodnutí spojuje účinky zvýšení základního kapitálu; je-li taková část peněžitých vkladů určená společenskou smlouvou, může rozhodnutí valné hromady o zvýšení základního kapitálu určit, že účinky </w:t>
      </w:r>
      <w:r w:rsidRPr="00674B20">
        <w:lastRenderedPageBreak/>
        <w:t>zvýšení základního kapitálu nastávají později. Účinky zvýšení základního kapitálu však nemohou nastat později, než je nová výše základního kapitálu zapsána do obchodního rejstříku. Účinky zvýšení základního kapitálu z </w:t>
      </w:r>
      <w:r w:rsidRPr="00674B20">
        <w:rPr>
          <w:strike/>
        </w:rPr>
        <w:t>vlastních zdrojů</w:t>
      </w:r>
      <w:r w:rsidRPr="00674B20">
        <w:t xml:space="preserve"> </w:t>
      </w:r>
      <w:r w:rsidRPr="00674B20">
        <w:rPr>
          <w:b/>
          <w:bCs/>
        </w:rPr>
        <w:t>jiných částí vlastního kapitálu</w:t>
      </w:r>
      <w:r w:rsidRPr="00674B20">
        <w:t xml:space="preserve"> nebo kombinací způsobů uvedených v odstavci 1 písm. a) a b) nastávají okamžikem zápisu nové výše základního kapitálu do obchodního rejstříku.</w:t>
      </w:r>
    </w:p>
    <w:p w14:paraId="22931BA5" w14:textId="77777777" w:rsidR="00CD2102" w:rsidRDefault="00CD2102" w:rsidP="0056049B">
      <w:pPr>
        <w:pStyle w:val="Paragraf"/>
        <w:keepNext w:val="0"/>
        <w:keepLines w:val="0"/>
        <w:numPr>
          <w:ilvl w:val="0"/>
          <w:numId w:val="27"/>
        </w:numPr>
        <w:tabs>
          <w:tab w:val="left" w:pos="420"/>
          <w:tab w:val="left" w:pos="840"/>
        </w:tabs>
        <w:spacing w:after="120"/>
      </w:pPr>
      <w:r w:rsidRPr="00AA135D">
        <w:t>***</w:t>
      </w:r>
    </w:p>
    <w:p w14:paraId="00984018" w14:textId="77777777" w:rsidR="00CD2102" w:rsidRDefault="00CD2102" w:rsidP="0056049B">
      <w:pPr>
        <w:pStyle w:val="Paragraf"/>
        <w:keepNext w:val="0"/>
        <w:keepLines w:val="0"/>
        <w:numPr>
          <w:ilvl w:val="0"/>
          <w:numId w:val="27"/>
        </w:numPr>
        <w:tabs>
          <w:tab w:val="left" w:pos="420"/>
          <w:tab w:val="left" w:pos="840"/>
        </w:tabs>
        <w:spacing w:after="120"/>
      </w:pPr>
      <w:r>
        <w:t>§ 227</w:t>
      </w:r>
    </w:p>
    <w:p w14:paraId="6BDF8034" w14:textId="77777777" w:rsidR="00CD2102" w:rsidRDefault="00CD2102" w:rsidP="0056049B">
      <w:pPr>
        <w:pStyle w:val="PZTextodstavce"/>
        <w:tabs>
          <w:tab w:val="clear" w:pos="851"/>
          <w:tab w:val="left" w:pos="420"/>
          <w:tab w:val="left" w:pos="840"/>
        </w:tabs>
        <w:spacing w:before="240"/>
      </w:pPr>
      <w:r>
        <w:t xml:space="preserve">(1) </w:t>
      </w:r>
      <w:r w:rsidRPr="00B44F7F">
        <w:t xml:space="preserve">Valná hromada může rozhodnout o zvýšení základního kapitálu z </w:t>
      </w:r>
      <w:r w:rsidRPr="002556C5">
        <w:rPr>
          <w:strike/>
        </w:rPr>
        <w:t>vlastních zdrojů</w:t>
      </w:r>
      <w:r w:rsidRPr="002556C5">
        <w:rPr>
          <w:b/>
        </w:rPr>
        <w:t xml:space="preserve"> jiných částí vlastního kapitálu</w:t>
      </w:r>
      <w:r w:rsidRPr="00B44F7F">
        <w:t xml:space="preserve"> vykázaných ve schválené </w:t>
      </w:r>
      <w:r w:rsidRPr="002556C5">
        <w:rPr>
          <w:strike/>
        </w:rPr>
        <w:t>řádné, mimořádné nebo mezitímní</w:t>
      </w:r>
      <w:r w:rsidRPr="0083048E">
        <w:t xml:space="preserve"> </w:t>
      </w:r>
      <w:r w:rsidRPr="002556C5">
        <w:rPr>
          <w:b/>
        </w:rPr>
        <w:t>individuální</w:t>
      </w:r>
      <w:r w:rsidRPr="002556C5">
        <w:t xml:space="preserve"> </w:t>
      </w:r>
      <w:r w:rsidRPr="0083048E">
        <w:t>účetní závěrce</w:t>
      </w:r>
      <w:r w:rsidRPr="00B44F7F">
        <w:t xml:space="preserve"> ve vlastním kapitálu společnosti, ledaže jsou tyto zdroje účelově vázány a společnost není oprávněna jejich účel měnit.</w:t>
      </w:r>
    </w:p>
    <w:p w14:paraId="78464087" w14:textId="77777777" w:rsidR="00CD2102" w:rsidRDefault="00CD2102" w:rsidP="0056049B">
      <w:pPr>
        <w:pStyle w:val="PZTextodstavce"/>
        <w:tabs>
          <w:tab w:val="clear" w:pos="851"/>
          <w:tab w:val="left" w:pos="420"/>
          <w:tab w:val="left" w:pos="840"/>
        </w:tabs>
        <w:spacing w:before="240"/>
      </w:pPr>
      <w:r>
        <w:t xml:space="preserve">(2) </w:t>
      </w:r>
      <w:r w:rsidRPr="00B44F7F">
        <w:t xml:space="preserve">Čistý zisk nelze použít při zvyšování základního kapitálu na základě </w:t>
      </w:r>
      <w:r w:rsidRPr="007427FB">
        <w:t xml:space="preserve">mezitímní </w:t>
      </w:r>
      <w:r w:rsidRPr="002556C5">
        <w:rPr>
          <w:b/>
        </w:rPr>
        <w:t>individuální</w:t>
      </w:r>
      <w:r w:rsidRPr="002556C5">
        <w:t xml:space="preserve"> </w:t>
      </w:r>
      <w:r w:rsidRPr="007427FB">
        <w:t>účetní závěrky</w:t>
      </w:r>
      <w:r w:rsidRPr="00B44F7F">
        <w:t>.</w:t>
      </w:r>
    </w:p>
    <w:p w14:paraId="3A26672A" w14:textId="77777777" w:rsidR="00CD2102" w:rsidRDefault="00CD2102" w:rsidP="0056049B">
      <w:pPr>
        <w:pStyle w:val="Paragraf"/>
        <w:keepNext w:val="0"/>
        <w:keepLines w:val="0"/>
        <w:numPr>
          <w:ilvl w:val="0"/>
          <w:numId w:val="27"/>
        </w:numPr>
        <w:tabs>
          <w:tab w:val="left" w:pos="420"/>
          <w:tab w:val="left" w:pos="840"/>
        </w:tabs>
        <w:spacing w:after="120"/>
      </w:pPr>
      <w:r>
        <w:t>§ 229</w:t>
      </w:r>
    </w:p>
    <w:p w14:paraId="6E50944A" w14:textId="77777777" w:rsidR="00CD2102" w:rsidRPr="00BB1E0A" w:rsidRDefault="00CD2102" w:rsidP="0056049B">
      <w:pPr>
        <w:pStyle w:val="PZTextodstavce"/>
        <w:tabs>
          <w:tab w:val="clear" w:pos="851"/>
          <w:tab w:val="left" w:pos="420"/>
          <w:tab w:val="left" w:pos="840"/>
        </w:tabs>
      </w:pPr>
      <w:r w:rsidRPr="00BB1E0A">
        <w:t xml:space="preserve">(1) V důsledku zvýšení základního kapitálu z </w:t>
      </w:r>
      <w:r w:rsidRPr="002556C5">
        <w:rPr>
          <w:strike/>
        </w:rPr>
        <w:t>vlastních zdrojů</w:t>
      </w:r>
      <w:r w:rsidRPr="002556C5">
        <w:t xml:space="preserve"> </w:t>
      </w:r>
      <w:r w:rsidRPr="002556C5">
        <w:rPr>
          <w:b/>
          <w:bCs/>
        </w:rPr>
        <w:t>jiných částí vlastního kapitálu</w:t>
      </w:r>
      <w:r w:rsidRPr="00BB1E0A">
        <w:t xml:space="preserve"> se mění výše vkladů společníků v poměru dosavadních vkladů, ledaže společenská smlouva připouští více podílů a valná hromada rozhodla, že vzniká podíl nový.</w:t>
      </w:r>
    </w:p>
    <w:p w14:paraId="2455D983" w14:textId="77777777" w:rsidR="00CD2102" w:rsidRPr="00BB1E0A" w:rsidRDefault="00CD2102" w:rsidP="0056049B">
      <w:pPr>
        <w:pStyle w:val="PZTextodstavce"/>
        <w:tabs>
          <w:tab w:val="clear" w:pos="851"/>
          <w:tab w:val="left" w:pos="420"/>
          <w:tab w:val="left" w:pos="840"/>
        </w:tabs>
      </w:pPr>
      <w:r w:rsidRPr="00BB1E0A">
        <w:t>(2) Mají-li takto vzniknout nové podíly, musí vzniknout nový podíl všem společníkům, a to v poměru výše jejich dosavadních podílů.</w:t>
      </w:r>
    </w:p>
    <w:p w14:paraId="0C864F88" w14:textId="77777777" w:rsidR="00CD2102" w:rsidRPr="00BB1E0A" w:rsidRDefault="00CD2102" w:rsidP="0056049B">
      <w:pPr>
        <w:pStyle w:val="PZTextodstavce"/>
        <w:tabs>
          <w:tab w:val="clear" w:pos="851"/>
          <w:tab w:val="left" w:pos="420"/>
          <w:tab w:val="left" w:pos="840"/>
        </w:tabs>
      </w:pPr>
      <w:r w:rsidRPr="00BB1E0A">
        <w:t xml:space="preserve">(3) Společník se může postupem podle § 221 vzdát práva podílet se na zvýšení základního kapitálu z </w:t>
      </w:r>
      <w:r w:rsidRPr="002556C5">
        <w:rPr>
          <w:strike/>
        </w:rPr>
        <w:t>vlastních zdrojů</w:t>
      </w:r>
      <w:r w:rsidRPr="002556C5">
        <w:rPr>
          <w:b/>
          <w:bCs/>
        </w:rPr>
        <w:t xml:space="preserve"> jiných částí vlastního kapitálu</w:t>
      </w:r>
      <w:r w:rsidRPr="00BB1E0A">
        <w:t xml:space="preserve"> podle odstavce 2 jen do rozhodnutí valné hromady rozhodující o tomto zvýšení; částka, o niž se základní kapitál zvyšuje, tím není dotčena, a rozdělí se mezi ostatní společníky podle odstavce 2. Toto vzdání se práva má účinky i vůči každému dalšímu nabyvateli tohoto společníkova podílu.</w:t>
      </w:r>
    </w:p>
    <w:p w14:paraId="17A5DF30" w14:textId="77777777" w:rsidR="00CD2102" w:rsidRPr="00F2667D" w:rsidRDefault="00CD2102" w:rsidP="0056049B">
      <w:pPr>
        <w:pStyle w:val="Paragraf"/>
        <w:keepNext w:val="0"/>
        <w:keepLines w:val="0"/>
        <w:numPr>
          <w:ilvl w:val="0"/>
          <w:numId w:val="27"/>
        </w:numPr>
        <w:tabs>
          <w:tab w:val="left" w:pos="420"/>
          <w:tab w:val="left" w:pos="840"/>
        </w:tabs>
        <w:spacing w:after="120"/>
        <w:rPr>
          <w:strike/>
        </w:rPr>
      </w:pPr>
      <w:r w:rsidRPr="00F2667D">
        <w:rPr>
          <w:strike/>
        </w:rPr>
        <w:t>§ 231</w:t>
      </w:r>
    </w:p>
    <w:p w14:paraId="516FF28D" w14:textId="77777777" w:rsidR="00CD2102" w:rsidRPr="002556C5" w:rsidRDefault="00CD2102" w:rsidP="0056049B">
      <w:pPr>
        <w:pStyle w:val="PZTextodstavce"/>
        <w:tabs>
          <w:tab w:val="clear" w:pos="851"/>
          <w:tab w:val="left" w:pos="420"/>
          <w:tab w:val="left" w:pos="840"/>
        </w:tabs>
        <w:spacing w:before="240"/>
        <w:rPr>
          <w:strike/>
        </w:rPr>
      </w:pPr>
      <w:r w:rsidRPr="002556C5">
        <w:rPr>
          <w:strike/>
        </w:rPr>
        <w:t>(1) Zvýšení základního kapitálu z vlastních zdrojů je možné pouze tehdy, je-li část účetní závěrky, na základě které valná hromada o zvýšení rozhoduje, ověřena auditorem s výrokem bez výhrad.</w:t>
      </w:r>
    </w:p>
    <w:p w14:paraId="4EB8FB51" w14:textId="77777777" w:rsidR="00CD2102" w:rsidRPr="00F2667D" w:rsidRDefault="00CD2102" w:rsidP="0056049B">
      <w:pPr>
        <w:pStyle w:val="PZTextodstavce"/>
        <w:tabs>
          <w:tab w:val="clear" w:pos="851"/>
          <w:tab w:val="left" w:pos="420"/>
          <w:tab w:val="left" w:pos="840"/>
        </w:tabs>
        <w:spacing w:before="240"/>
        <w:rPr>
          <w:strike/>
        </w:rPr>
      </w:pPr>
      <w:r w:rsidRPr="00F2667D">
        <w:rPr>
          <w:strike/>
        </w:rPr>
        <w:t>(2) Společnost sestavuje účetní závěrku pro potřeby rozhodnutí podle odstavce 1 z údajů zjištěných nejpozději ke dni, od něhož v den rozhodování valné hromady o zvýšení základního kapitálu z vlastních zdrojů neuplynulo více než 6 měsíců.</w:t>
      </w:r>
    </w:p>
    <w:p w14:paraId="298E2214" w14:textId="77777777" w:rsidR="00CD2102" w:rsidRPr="002556C5" w:rsidRDefault="00CD2102" w:rsidP="0056049B">
      <w:pPr>
        <w:pStyle w:val="PZTextodstavce"/>
        <w:tabs>
          <w:tab w:val="clear" w:pos="851"/>
          <w:tab w:val="left" w:pos="420"/>
          <w:tab w:val="left" w:pos="840"/>
        </w:tabs>
        <w:spacing w:before="240"/>
        <w:rPr>
          <w:strike/>
        </w:rPr>
      </w:pPr>
      <w:r w:rsidRPr="002556C5">
        <w:rPr>
          <w:strike/>
        </w:rPr>
        <w:t>(3) V případě, že společnost z mezitímní účetní závěrky zjistí snížení vlastních zdrojů, nepoužije údaje z řádné nebo mimořádné účetní závěrky, ale vyjde z této mezitímní účetní závěrky.</w:t>
      </w:r>
    </w:p>
    <w:p w14:paraId="4CBE0FF6" w14:textId="77777777" w:rsidR="00CD2102" w:rsidRDefault="00CD2102" w:rsidP="0056049B">
      <w:pPr>
        <w:pStyle w:val="Textodstavce"/>
        <w:tabs>
          <w:tab w:val="clear" w:pos="851"/>
          <w:tab w:val="left" w:pos="0"/>
          <w:tab w:val="left" w:pos="420"/>
          <w:tab w:val="left" w:pos="840"/>
        </w:tabs>
        <w:spacing w:before="240"/>
        <w:jc w:val="center"/>
        <w:rPr>
          <w:b/>
        </w:rPr>
      </w:pPr>
      <w:r>
        <w:rPr>
          <w:b/>
        </w:rPr>
        <w:t>§ 231</w:t>
      </w:r>
    </w:p>
    <w:p w14:paraId="32774123" w14:textId="77777777" w:rsidR="00CD2102" w:rsidRPr="002556C5" w:rsidRDefault="00CD2102" w:rsidP="0056049B">
      <w:pPr>
        <w:pStyle w:val="Textparagrafu"/>
        <w:tabs>
          <w:tab w:val="left" w:pos="420"/>
          <w:tab w:val="left" w:pos="840"/>
        </w:tabs>
        <w:spacing w:after="120"/>
        <w:rPr>
          <w:b/>
        </w:rPr>
      </w:pPr>
      <w:r w:rsidRPr="002556C5">
        <w:rPr>
          <w:b/>
        </w:rPr>
        <w:t xml:space="preserve">(1) Zvýšení základního kapitálu z jiných částí vlastního kapitálu je možné pouze tehdy, pokud je individuální účetní závěrka, na základě které valná hromada o zvýšení </w:t>
      </w:r>
      <w:r w:rsidRPr="002556C5">
        <w:rPr>
          <w:b/>
        </w:rPr>
        <w:lastRenderedPageBreak/>
        <w:t>rozhoduje,</w:t>
      </w:r>
      <w:r w:rsidRPr="002556C5">
        <w:t xml:space="preserve"> </w:t>
      </w:r>
      <w:r w:rsidRPr="002556C5">
        <w:rPr>
          <w:b/>
        </w:rPr>
        <w:t>ověřena auditorem a podle jeho názoru podává věrné a poctivé zobrazení finanční situace, finanční výkonnosti a jiných vykazovaných změn finanční situace.</w:t>
      </w:r>
    </w:p>
    <w:p w14:paraId="240A9D5B" w14:textId="77777777" w:rsidR="00CD2102" w:rsidRDefault="00CD2102" w:rsidP="0056049B">
      <w:pPr>
        <w:pStyle w:val="Textodstavce"/>
        <w:tabs>
          <w:tab w:val="clear" w:pos="851"/>
          <w:tab w:val="left" w:pos="420"/>
          <w:tab w:val="left" w:pos="840"/>
        </w:tabs>
        <w:spacing w:before="240"/>
        <w:ind w:firstLine="425"/>
        <w:rPr>
          <w:b/>
        </w:rPr>
      </w:pPr>
      <w:r>
        <w:rPr>
          <w:b/>
        </w:rPr>
        <w:t>(2) Pro potřeby rozhodnutí podle odstavce 1 se vychází z individuální účetní závěrky sestavené ke dni, od něhož v den rozhodování valné hromady o zvýšení základního kapitálu z jiných částí vlastního kapitálu neuplynulo více než 6 měsíců.</w:t>
      </w:r>
    </w:p>
    <w:p w14:paraId="46436408" w14:textId="6559E075" w:rsidR="00CD2102" w:rsidRPr="002556C5" w:rsidRDefault="00EA0AD2" w:rsidP="0056049B">
      <w:pPr>
        <w:pStyle w:val="Textodstavce"/>
        <w:tabs>
          <w:tab w:val="clear" w:pos="851"/>
          <w:tab w:val="left" w:pos="420"/>
          <w:tab w:val="left" w:pos="840"/>
        </w:tabs>
        <w:spacing w:before="240"/>
        <w:ind w:firstLine="425"/>
        <w:rPr>
          <w:b/>
        </w:rPr>
      </w:pPr>
      <w:r>
        <w:rPr>
          <w:b/>
        </w:rPr>
        <w:t xml:space="preserve">(3) </w:t>
      </w:r>
      <w:r w:rsidR="00CD2102" w:rsidRPr="002556C5">
        <w:rPr>
          <w:b/>
        </w:rPr>
        <w:t>Zjistí-li společnost z jakékoliv následně sestavené individuální účetní závěrky snížení vlastního kapitálu, vychází se při rozhodování o zvýšení základního kapitálu z této účetní závěrky.</w:t>
      </w:r>
    </w:p>
    <w:p w14:paraId="226154AF" w14:textId="77777777" w:rsidR="00CD2102" w:rsidRDefault="00CD2102" w:rsidP="0056049B">
      <w:pPr>
        <w:pStyle w:val="Paragraf"/>
        <w:keepNext w:val="0"/>
        <w:keepLines w:val="0"/>
        <w:numPr>
          <w:ilvl w:val="0"/>
          <w:numId w:val="27"/>
        </w:numPr>
        <w:tabs>
          <w:tab w:val="left" w:pos="420"/>
          <w:tab w:val="left" w:pos="840"/>
        </w:tabs>
        <w:spacing w:after="120"/>
      </w:pPr>
      <w:r>
        <w:t>§ 232</w:t>
      </w:r>
    </w:p>
    <w:p w14:paraId="0AFA85E2" w14:textId="77777777" w:rsidR="00CD2102" w:rsidRDefault="00CD2102" w:rsidP="0056049B">
      <w:pPr>
        <w:pStyle w:val="PZTextodstavce"/>
        <w:tabs>
          <w:tab w:val="clear" w:pos="851"/>
          <w:tab w:val="left" w:pos="420"/>
          <w:tab w:val="left" w:pos="840"/>
        </w:tabs>
        <w:spacing w:before="240"/>
      </w:pPr>
      <w:r w:rsidRPr="004D6741">
        <w:t xml:space="preserve">Usnesení valné hromady o zvýšení základního kapitálu z </w:t>
      </w:r>
      <w:r w:rsidRPr="002556C5">
        <w:rPr>
          <w:strike/>
        </w:rPr>
        <w:t>vlastních zdrojů</w:t>
      </w:r>
      <w:r w:rsidRPr="002556C5">
        <w:t xml:space="preserve"> </w:t>
      </w:r>
      <w:r w:rsidRPr="002556C5">
        <w:rPr>
          <w:b/>
        </w:rPr>
        <w:t>jiných částí vlastního kapitálu</w:t>
      </w:r>
      <w:r w:rsidRPr="004D6741">
        <w:t xml:space="preserve"> společnosti obsahuje</w:t>
      </w:r>
    </w:p>
    <w:p w14:paraId="47EEED71" w14:textId="77777777" w:rsidR="00CD2102" w:rsidRDefault="00CD2102" w:rsidP="0056049B">
      <w:pPr>
        <w:pStyle w:val="PZTextpsmene"/>
        <w:tabs>
          <w:tab w:val="left" w:pos="420"/>
          <w:tab w:val="left" w:pos="840"/>
        </w:tabs>
        <w:spacing w:before="0"/>
        <w:ind w:left="426" w:hanging="426"/>
      </w:pPr>
      <w:r>
        <w:t>a)</w:t>
      </w:r>
      <w:r>
        <w:tab/>
      </w:r>
      <w:r w:rsidRPr="004D6741">
        <w:t>částku, o niž se základní kapitál zvyšuje,</w:t>
      </w:r>
    </w:p>
    <w:p w14:paraId="3417E6B0" w14:textId="77777777" w:rsidR="00CD2102" w:rsidRDefault="00CD2102" w:rsidP="0056049B">
      <w:pPr>
        <w:pStyle w:val="PZTextpsmene"/>
        <w:tabs>
          <w:tab w:val="left" w:pos="420"/>
          <w:tab w:val="left" w:pos="840"/>
        </w:tabs>
        <w:spacing w:before="0"/>
        <w:ind w:left="426" w:hanging="426"/>
      </w:pPr>
      <w:r>
        <w:t>b)</w:t>
      </w:r>
      <w:r>
        <w:tab/>
      </w:r>
      <w:r w:rsidRPr="004D6741">
        <w:t xml:space="preserve">označení </w:t>
      </w:r>
      <w:r w:rsidRPr="002556C5">
        <w:rPr>
          <w:strike/>
        </w:rPr>
        <w:t>vlastního zdroje nebo zdrojů</w:t>
      </w:r>
      <w:r w:rsidRPr="002556C5">
        <w:t xml:space="preserve"> </w:t>
      </w:r>
      <w:r w:rsidRPr="002556C5">
        <w:rPr>
          <w:b/>
          <w:bCs/>
        </w:rPr>
        <w:t>části nebo částí vlastního kapitálu</w:t>
      </w:r>
      <w:r w:rsidRPr="004D6741">
        <w:t xml:space="preserve">, z nichž se základní kapitál zvyšuje, v členění podle struktury vlastního kapitálu v </w:t>
      </w:r>
      <w:r w:rsidRPr="002556C5">
        <w:rPr>
          <w:b/>
        </w:rPr>
        <w:t xml:space="preserve">individuální </w:t>
      </w:r>
      <w:r w:rsidRPr="0059143E">
        <w:t>účetní závěrce</w:t>
      </w:r>
      <w:r w:rsidRPr="004D6741">
        <w:t>,</w:t>
      </w:r>
    </w:p>
    <w:p w14:paraId="13F9B13A" w14:textId="77777777" w:rsidR="00CD2102" w:rsidRDefault="00CD2102" w:rsidP="0056049B">
      <w:pPr>
        <w:pStyle w:val="PZTextpsmene"/>
        <w:tabs>
          <w:tab w:val="left" w:pos="420"/>
          <w:tab w:val="left" w:pos="840"/>
        </w:tabs>
        <w:spacing w:before="0"/>
        <w:ind w:left="426" w:hanging="426"/>
      </w:pPr>
      <w:r>
        <w:t>c)</w:t>
      </w:r>
      <w:r>
        <w:tab/>
      </w:r>
      <w:r w:rsidRPr="004D6741">
        <w:t>novou výši vkladu společníka nebo výši nového vkladu společníka, případně</w:t>
      </w:r>
    </w:p>
    <w:p w14:paraId="6D10B5E4" w14:textId="77777777" w:rsidR="00CD2102" w:rsidRDefault="00CD2102" w:rsidP="0056049B">
      <w:pPr>
        <w:pStyle w:val="PZTextpsmene"/>
        <w:tabs>
          <w:tab w:val="left" w:pos="420"/>
          <w:tab w:val="left" w:pos="840"/>
        </w:tabs>
        <w:spacing w:before="0"/>
        <w:ind w:left="426" w:hanging="426"/>
      </w:pPr>
      <w:r>
        <w:t>d)</w:t>
      </w:r>
      <w:r>
        <w:tab/>
      </w:r>
      <w:r w:rsidRPr="004D6741">
        <w:t>označení podílu, připadá-li nový vklad společníka na nový podíl, a název druhu podílu, připouští-li společenská smlouva vznik různých druhů podílů, popřípadě</w:t>
      </w:r>
    </w:p>
    <w:p w14:paraId="351ED208" w14:textId="77777777" w:rsidR="00CD2102" w:rsidRPr="00B44F7F" w:rsidRDefault="00CD2102" w:rsidP="0056049B">
      <w:pPr>
        <w:pStyle w:val="PZTextpsmene"/>
        <w:tabs>
          <w:tab w:val="left" w:pos="420"/>
          <w:tab w:val="left" w:pos="840"/>
        </w:tabs>
        <w:spacing w:before="0"/>
        <w:ind w:left="426" w:hanging="426"/>
      </w:pPr>
      <w:r>
        <w:t>e)</w:t>
      </w:r>
      <w:r>
        <w:tab/>
      </w:r>
      <w:r w:rsidRPr="004D6741">
        <w:t>lhůtu pro odevzdání kmenového listu nebo pro převzetí nového kmenového listu.</w:t>
      </w:r>
    </w:p>
    <w:p w14:paraId="7A6C4D73" w14:textId="77777777" w:rsidR="00CD2102" w:rsidRDefault="00CD2102" w:rsidP="0056049B">
      <w:pPr>
        <w:pStyle w:val="Paragraf"/>
        <w:keepNext w:val="0"/>
        <w:keepLines w:val="0"/>
        <w:numPr>
          <w:ilvl w:val="0"/>
          <w:numId w:val="27"/>
        </w:numPr>
        <w:tabs>
          <w:tab w:val="left" w:pos="420"/>
          <w:tab w:val="left" w:pos="840"/>
        </w:tabs>
        <w:spacing w:after="120"/>
      </w:pPr>
      <w:r w:rsidRPr="00AA135D">
        <w:t>***</w:t>
      </w:r>
    </w:p>
    <w:p w14:paraId="27E43F19" w14:textId="77777777" w:rsidR="00CD2102" w:rsidRDefault="00CD2102" w:rsidP="0056049B">
      <w:pPr>
        <w:pStyle w:val="Paragraf"/>
        <w:keepNext w:val="0"/>
        <w:keepLines w:val="0"/>
        <w:numPr>
          <w:ilvl w:val="0"/>
          <w:numId w:val="27"/>
        </w:numPr>
        <w:tabs>
          <w:tab w:val="left" w:pos="420"/>
          <w:tab w:val="left" w:pos="840"/>
        </w:tabs>
        <w:spacing w:after="120"/>
      </w:pPr>
      <w:r>
        <w:t>§ 246</w:t>
      </w:r>
    </w:p>
    <w:p w14:paraId="7A55618B" w14:textId="77777777" w:rsidR="00CD2102" w:rsidRDefault="00CD2102" w:rsidP="0056049B">
      <w:pPr>
        <w:pStyle w:val="PZTextodstavce"/>
        <w:tabs>
          <w:tab w:val="clear" w:pos="851"/>
          <w:tab w:val="left" w:pos="420"/>
          <w:tab w:val="left" w:pos="840"/>
        </w:tabs>
        <w:spacing w:before="240"/>
      </w:pPr>
      <w:r>
        <w:t>(1)</w:t>
      </w:r>
      <w:r>
        <w:tab/>
      </w:r>
      <w:r w:rsidRPr="004C0661">
        <w:t xml:space="preserve">Základní kapitál se vyjadřuje v českých korunách. </w:t>
      </w:r>
      <w:r w:rsidRPr="0059143E">
        <w:t xml:space="preserve">V případě, že </w:t>
      </w:r>
      <w:r w:rsidRPr="002556C5">
        <w:rPr>
          <w:strike/>
        </w:rPr>
        <w:t>akciová společnost vede podle zvláštního zákona účetnictví v eurech</w:t>
      </w:r>
      <w:r w:rsidRPr="0059143E">
        <w:rPr>
          <w:b/>
        </w:rPr>
        <w:t xml:space="preserve"> </w:t>
      </w:r>
      <w:r w:rsidRPr="002556C5">
        <w:rPr>
          <w:b/>
        </w:rPr>
        <w:t>měnou účetnictví akciové společnosti je euro</w:t>
      </w:r>
      <w:r w:rsidRPr="00CA6390">
        <w:t>,</w:t>
      </w:r>
      <w:r w:rsidRPr="0059143E">
        <w:t xml:space="preserve"> může vyjádřit základní kapitál v eurech.</w:t>
      </w:r>
    </w:p>
    <w:p w14:paraId="388C0BEE" w14:textId="77777777" w:rsidR="00CD2102" w:rsidRPr="00674B20" w:rsidRDefault="00CD2102" w:rsidP="0056049B">
      <w:pPr>
        <w:pStyle w:val="PZTextodstavce"/>
        <w:tabs>
          <w:tab w:val="clear" w:pos="851"/>
          <w:tab w:val="left" w:pos="420"/>
          <w:tab w:val="left" w:pos="840"/>
        </w:tabs>
        <w:spacing w:before="240"/>
      </w:pPr>
      <w:r w:rsidRPr="00674B20">
        <w:t>(2)</w:t>
      </w:r>
      <w:r w:rsidRPr="00674B20">
        <w:tab/>
        <w:t>Výše základního kapitálu akciové společnosti je alespoň 2 000 000 Kč, nebo 80 000 EUR.</w:t>
      </w:r>
    </w:p>
    <w:p w14:paraId="2D447F94" w14:textId="77777777" w:rsidR="00CD2102" w:rsidRDefault="00CD2102" w:rsidP="0056049B">
      <w:pPr>
        <w:pStyle w:val="Paragraf"/>
        <w:keepNext w:val="0"/>
        <w:keepLines w:val="0"/>
        <w:numPr>
          <w:ilvl w:val="0"/>
          <w:numId w:val="27"/>
        </w:numPr>
        <w:tabs>
          <w:tab w:val="left" w:pos="420"/>
          <w:tab w:val="left" w:pos="840"/>
        </w:tabs>
        <w:spacing w:after="120"/>
        <w:ind w:firstLine="425"/>
      </w:pPr>
      <w:r>
        <w:t>§ 247</w:t>
      </w:r>
    </w:p>
    <w:p w14:paraId="37DF206A" w14:textId="77777777" w:rsidR="00CD2102" w:rsidRDefault="00CD2102" w:rsidP="0056049B">
      <w:pPr>
        <w:pStyle w:val="Nadpisparagrafu"/>
        <w:keepNext w:val="0"/>
        <w:keepLines w:val="0"/>
        <w:tabs>
          <w:tab w:val="left" w:pos="420"/>
          <w:tab w:val="left" w:pos="840"/>
        </w:tabs>
        <w:spacing w:after="120"/>
        <w:ind w:firstLine="425"/>
      </w:pPr>
      <w:r>
        <w:t>Emisní kurs akcie</w:t>
      </w:r>
    </w:p>
    <w:p w14:paraId="05EB5F93" w14:textId="77777777" w:rsidR="00CD2102" w:rsidRPr="00674B20" w:rsidRDefault="00CD2102" w:rsidP="0056049B">
      <w:pPr>
        <w:pStyle w:val="PZTextodstavce"/>
        <w:tabs>
          <w:tab w:val="clear" w:pos="851"/>
          <w:tab w:val="left" w:pos="420"/>
          <w:tab w:val="left" w:pos="840"/>
        </w:tabs>
        <w:spacing w:before="240"/>
      </w:pPr>
      <w:r w:rsidRPr="00674B20">
        <w:t>(1)</w:t>
      </w:r>
      <w:r w:rsidRPr="00674B20">
        <w:tab/>
        <w:t>Emisní kurs akcie nesmí být nižší, než je jmenovitá hodnota akcie.</w:t>
      </w:r>
    </w:p>
    <w:p w14:paraId="31BE2E72" w14:textId="77777777" w:rsidR="00CD2102" w:rsidRPr="00674B20" w:rsidRDefault="00CD2102" w:rsidP="0056049B">
      <w:pPr>
        <w:pStyle w:val="PZTextodstavce"/>
        <w:tabs>
          <w:tab w:val="clear" w:pos="851"/>
          <w:tab w:val="left" w:pos="420"/>
          <w:tab w:val="left" w:pos="840"/>
        </w:tabs>
        <w:spacing w:before="240"/>
      </w:pPr>
      <w:r w:rsidRPr="00674B20">
        <w:t>(2)</w:t>
      </w:r>
      <w:r w:rsidRPr="00674B20">
        <w:tab/>
        <w:t xml:space="preserve">Emisní kurs akcie, která nemá jmenovitou hodnotu a představuje stejný podíl na základním kapitálu společnosti (dále jen "kusová akcie"), nesmí být nižší, než je její </w:t>
      </w:r>
      <w:r w:rsidRPr="00674B20">
        <w:rPr>
          <w:strike/>
        </w:rPr>
        <w:t xml:space="preserve">účetní </w:t>
      </w:r>
      <w:r w:rsidRPr="00674B20">
        <w:rPr>
          <w:b/>
        </w:rPr>
        <w:t>paritní</w:t>
      </w:r>
      <w:r w:rsidRPr="00674B20">
        <w:t xml:space="preserve"> hodnota. </w:t>
      </w:r>
      <w:r w:rsidRPr="00674B20">
        <w:rPr>
          <w:strike/>
        </w:rPr>
        <w:t>Účetní</w:t>
      </w:r>
      <w:r w:rsidRPr="00674B20">
        <w:t xml:space="preserve"> </w:t>
      </w:r>
      <w:r w:rsidRPr="00674B20">
        <w:rPr>
          <w:b/>
        </w:rPr>
        <w:t>Paritní</w:t>
      </w:r>
      <w:r w:rsidRPr="00674B20">
        <w:t xml:space="preserve"> hodnota kusové akcie se určí tak, že se částka základního kapitálu vydělí počtem akcií.</w:t>
      </w:r>
    </w:p>
    <w:p w14:paraId="2B180A0F" w14:textId="77777777" w:rsidR="00CD2102" w:rsidRDefault="00CD2102" w:rsidP="0056049B">
      <w:pPr>
        <w:pStyle w:val="Paragraf"/>
        <w:keepNext w:val="0"/>
        <w:keepLines w:val="0"/>
        <w:numPr>
          <w:ilvl w:val="0"/>
          <w:numId w:val="27"/>
        </w:numPr>
        <w:tabs>
          <w:tab w:val="left" w:pos="420"/>
          <w:tab w:val="left" w:pos="840"/>
        </w:tabs>
        <w:spacing w:after="120"/>
      </w:pPr>
      <w:r w:rsidRPr="00AA135D">
        <w:t>***</w:t>
      </w:r>
    </w:p>
    <w:p w14:paraId="5446AF39" w14:textId="77777777" w:rsidR="00CD2102" w:rsidRPr="00BB1E0A" w:rsidRDefault="00CD2102" w:rsidP="0056049B">
      <w:pPr>
        <w:pStyle w:val="PZTextodstavce"/>
        <w:tabs>
          <w:tab w:val="clear" w:pos="851"/>
          <w:tab w:val="left" w:pos="420"/>
          <w:tab w:val="left" w:pos="840"/>
        </w:tabs>
        <w:spacing w:before="240"/>
        <w:ind w:firstLine="0"/>
        <w:jc w:val="center"/>
        <w:rPr>
          <w:b/>
          <w:bCs/>
        </w:rPr>
      </w:pPr>
      <w:r w:rsidRPr="00BB1E0A">
        <w:rPr>
          <w:b/>
          <w:bCs/>
        </w:rPr>
        <w:t>Ocenění nepeněžitého vkladu</w:t>
      </w:r>
    </w:p>
    <w:p w14:paraId="36BD0C61" w14:textId="77777777" w:rsidR="00CD2102" w:rsidRPr="00BB1E0A" w:rsidRDefault="00CD2102" w:rsidP="0056049B">
      <w:pPr>
        <w:pStyle w:val="Paragraf"/>
        <w:keepNext w:val="0"/>
        <w:keepLines w:val="0"/>
        <w:numPr>
          <w:ilvl w:val="0"/>
          <w:numId w:val="27"/>
        </w:numPr>
        <w:tabs>
          <w:tab w:val="left" w:pos="420"/>
          <w:tab w:val="left" w:pos="840"/>
        </w:tabs>
        <w:spacing w:after="120"/>
      </w:pPr>
      <w:r w:rsidRPr="00BB1E0A">
        <w:t>§ 251</w:t>
      </w:r>
    </w:p>
    <w:p w14:paraId="0D90A395" w14:textId="77777777" w:rsidR="00CD2102" w:rsidRPr="00674B20" w:rsidRDefault="00CD2102" w:rsidP="0056049B">
      <w:pPr>
        <w:pStyle w:val="PZTextodstavce"/>
        <w:tabs>
          <w:tab w:val="clear" w:pos="851"/>
          <w:tab w:val="left" w:pos="420"/>
          <w:tab w:val="left" w:pos="840"/>
        </w:tabs>
        <w:spacing w:before="240"/>
      </w:pPr>
      <w:r w:rsidRPr="00674B20">
        <w:lastRenderedPageBreak/>
        <w:t xml:space="preserve">(1) Cena nepeněžitého vkladu se určí na základě posudku zpracovaného znalcem </w:t>
      </w:r>
      <w:r w:rsidRPr="00674B20">
        <w:rPr>
          <w:b/>
          <w:bCs/>
        </w:rPr>
        <w:t>vybraným ze seznamu znalců vedeným</w:t>
      </w:r>
      <w:r w:rsidRPr="00674B20">
        <w:t xml:space="preserve"> podle jiného právního předpisu, nesmí však být vyšší, než kolik činí částka určená znalcem. Znalce vybírají při zakládání společnosti zakladatelé, jinak představenstvo nebo správní rada.</w:t>
      </w:r>
    </w:p>
    <w:p w14:paraId="00E04367" w14:textId="77777777" w:rsidR="00CD2102" w:rsidRPr="00674B20" w:rsidRDefault="00CD2102" w:rsidP="0056049B">
      <w:pPr>
        <w:pStyle w:val="PZTextodstavce"/>
        <w:tabs>
          <w:tab w:val="clear" w:pos="851"/>
          <w:tab w:val="left" w:pos="420"/>
          <w:tab w:val="left" w:pos="840"/>
        </w:tabs>
        <w:spacing w:before="240"/>
      </w:pPr>
      <w:r w:rsidRPr="00674B20">
        <w:t>(2) Posudek znalce oceňujícího nepeněžitý vklad obsahuje alespoň</w:t>
      </w:r>
    </w:p>
    <w:p w14:paraId="368689B4" w14:textId="47390C5F" w:rsidR="00CD2102" w:rsidRPr="00674B20" w:rsidRDefault="004435C8" w:rsidP="0056049B">
      <w:pPr>
        <w:pStyle w:val="PZTextpsmene"/>
        <w:tabs>
          <w:tab w:val="left" w:pos="420"/>
          <w:tab w:val="left" w:pos="840"/>
        </w:tabs>
        <w:spacing w:before="0"/>
        <w:ind w:left="426" w:hanging="426"/>
      </w:pPr>
      <w:r>
        <w:t>a)</w:t>
      </w:r>
      <w:r>
        <w:tab/>
      </w:r>
      <w:r w:rsidR="00CD2102" w:rsidRPr="00674B20">
        <w:t>popis nepeněžitého vkladu,</w:t>
      </w:r>
    </w:p>
    <w:p w14:paraId="625D9C93" w14:textId="5EC05476" w:rsidR="00CD2102" w:rsidRPr="00674B20" w:rsidRDefault="004435C8" w:rsidP="0056049B">
      <w:pPr>
        <w:pStyle w:val="PZTextpsmene"/>
        <w:tabs>
          <w:tab w:val="left" w:pos="420"/>
          <w:tab w:val="left" w:pos="840"/>
        </w:tabs>
        <w:spacing w:before="0"/>
        <w:ind w:left="426" w:hanging="426"/>
      </w:pPr>
      <w:r>
        <w:t>b)</w:t>
      </w:r>
      <w:r>
        <w:tab/>
      </w:r>
      <w:r w:rsidR="00CD2102" w:rsidRPr="00674B20">
        <w:t>použité způsoby jeho ocenění a údaj o tom, zda cena nepeněžitého vkladu získaná použitými způsoby odpovídá alespoň úhrnnému emisnímu kursu akcií, které mají být společností vydány jako protiplnění za tento nepeněžitý vklad a</w:t>
      </w:r>
    </w:p>
    <w:p w14:paraId="3C4CA512" w14:textId="456E04F9" w:rsidR="00CD2102" w:rsidRPr="00674B20" w:rsidRDefault="004435C8" w:rsidP="0056049B">
      <w:pPr>
        <w:pStyle w:val="PZTextpsmene"/>
        <w:tabs>
          <w:tab w:val="left" w:pos="420"/>
          <w:tab w:val="left" w:pos="840"/>
        </w:tabs>
        <w:spacing w:before="0"/>
        <w:ind w:left="426" w:hanging="426"/>
      </w:pPr>
      <w:r>
        <w:t>c)</w:t>
      </w:r>
      <w:r>
        <w:tab/>
      </w:r>
      <w:r w:rsidR="00CD2102" w:rsidRPr="00674B20">
        <w:t>částku, na kterou se nepeněžitý vklad oceňuje.</w:t>
      </w:r>
    </w:p>
    <w:p w14:paraId="63656C11" w14:textId="77777777" w:rsidR="00CD2102" w:rsidRPr="00BB1E0A" w:rsidRDefault="00CD2102" w:rsidP="0056049B">
      <w:pPr>
        <w:pStyle w:val="PZTextodstavce"/>
        <w:keepNext/>
        <w:keepLines/>
        <w:tabs>
          <w:tab w:val="clear" w:pos="851"/>
          <w:tab w:val="left" w:pos="420"/>
          <w:tab w:val="left" w:pos="840"/>
        </w:tabs>
      </w:pPr>
      <w:r w:rsidRPr="00BB1E0A">
        <w:t>(3) Posudek znalce podle odstavce 1 společnost uloží do sbírky listin.</w:t>
      </w:r>
    </w:p>
    <w:p w14:paraId="44EFC1C9" w14:textId="77777777" w:rsidR="00CD2102" w:rsidRPr="00BB1E0A" w:rsidRDefault="00CD2102" w:rsidP="0056049B">
      <w:pPr>
        <w:pStyle w:val="PZTextodstavce"/>
        <w:keepNext/>
        <w:keepLines/>
        <w:tabs>
          <w:tab w:val="clear" w:pos="851"/>
          <w:tab w:val="left" w:pos="420"/>
          <w:tab w:val="left" w:pos="840"/>
        </w:tabs>
      </w:pPr>
      <w:r w:rsidRPr="00BB1E0A">
        <w:t>(4) Odměna znalce za zpracování posudku se určí dohodou a hradí ji společnost. Vedle odměny náleží znalci náhrada za účelně vynaložené náklady spojené s vypracováním znaleckého posudku. V případě, že společnost nevznikne, hradí odměnu společně a nerozdílně zakladatelé.</w:t>
      </w:r>
    </w:p>
    <w:p w14:paraId="7A3317A7" w14:textId="77777777" w:rsidR="00CD2102" w:rsidRDefault="00CD2102" w:rsidP="0056049B">
      <w:pPr>
        <w:pStyle w:val="Paragraf"/>
        <w:keepNext w:val="0"/>
        <w:keepLines w:val="0"/>
        <w:numPr>
          <w:ilvl w:val="0"/>
          <w:numId w:val="27"/>
        </w:numPr>
        <w:tabs>
          <w:tab w:val="left" w:pos="420"/>
          <w:tab w:val="left" w:pos="840"/>
        </w:tabs>
        <w:spacing w:after="120"/>
      </w:pPr>
      <w:r w:rsidRPr="00AA135D">
        <w:t>***</w:t>
      </w:r>
    </w:p>
    <w:p w14:paraId="151F5BA7" w14:textId="77777777" w:rsidR="00CD2102" w:rsidRDefault="00CD2102" w:rsidP="0056049B">
      <w:pPr>
        <w:pStyle w:val="Paragraf"/>
        <w:keepNext w:val="0"/>
        <w:keepLines w:val="0"/>
        <w:numPr>
          <w:ilvl w:val="0"/>
          <w:numId w:val="27"/>
        </w:numPr>
        <w:tabs>
          <w:tab w:val="left" w:pos="420"/>
          <w:tab w:val="left" w:pos="840"/>
        </w:tabs>
        <w:spacing w:after="120"/>
      </w:pPr>
      <w:r>
        <w:t>§ 257</w:t>
      </w:r>
    </w:p>
    <w:p w14:paraId="6F0BE46A" w14:textId="77777777" w:rsidR="00CD2102" w:rsidRDefault="00CD2102" w:rsidP="0056049B">
      <w:pPr>
        <w:pStyle w:val="Nadpisparagrafu"/>
        <w:keepNext w:val="0"/>
        <w:keepLines w:val="0"/>
        <w:tabs>
          <w:tab w:val="left" w:pos="420"/>
          <w:tab w:val="left" w:pos="840"/>
        </w:tabs>
        <w:spacing w:after="120"/>
      </w:pPr>
      <w:r>
        <w:t>Kusové akcie</w:t>
      </w:r>
    </w:p>
    <w:p w14:paraId="3646B30A" w14:textId="09D80658" w:rsidR="00CD2102" w:rsidRDefault="004435C8" w:rsidP="0056049B">
      <w:pPr>
        <w:pStyle w:val="PZTextodstavce"/>
        <w:tabs>
          <w:tab w:val="clear" w:pos="851"/>
          <w:tab w:val="left" w:pos="420"/>
          <w:tab w:val="left" w:pos="840"/>
        </w:tabs>
      </w:pPr>
      <w:r>
        <w:t xml:space="preserve">(1) </w:t>
      </w:r>
      <w:r w:rsidR="00CD2102" w:rsidRPr="009460AD">
        <w:t>Určí-li tak stanovy, může společnost vydat kusové akcie.</w:t>
      </w:r>
    </w:p>
    <w:p w14:paraId="514F5C46" w14:textId="2F577753" w:rsidR="00CD2102" w:rsidRDefault="004435C8" w:rsidP="0056049B">
      <w:pPr>
        <w:pStyle w:val="PZTextodstavce"/>
        <w:tabs>
          <w:tab w:val="clear" w:pos="851"/>
          <w:tab w:val="left" w:pos="420"/>
          <w:tab w:val="left" w:pos="840"/>
        </w:tabs>
      </w:pPr>
      <w:r>
        <w:t xml:space="preserve">(2) </w:t>
      </w:r>
      <w:r w:rsidR="00CD2102" w:rsidRPr="009460AD">
        <w:t>Vydá-li společnost kusové akcie, nemůže vydat nebo mít vydány akcie se jmenovitou hodnotou.</w:t>
      </w:r>
    </w:p>
    <w:p w14:paraId="6C93DADE" w14:textId="0CD648D5" w:rsidR="00CD2102" w:rsidRDefault="004435C8" w:rsidP="0056049B">
      <w:pPr>
        <w:pStyle w:val="PZTextodstavce"/>
        <w:tabs>
          <w:tab w:val="clear" w:pos="851"/>
          <w:tab w:val="left" w:pos="420"/>
          <w:tab w:val="left" w:pos="840"/>
        </w:tabs>
      </w:pPr>
      <w:r>
        <w:t xml:space="preserve">(3) </w:t>
      </w:r>
      <w:r w:rsidR="00CD2102" w:rsidRPr="009460AD">
        <w:t>Podíl na základním kapitálu se u kusové akcie určí podle počtu akcií.</w:t>
      </w:r>
    </w:p>
    <w:p w14:paraId="7F4076FF" w14:textId="0FB0C56E" w:rsidR="00CD2102" w:rsidRDefault="004435C8" w:rsidP="0056049B">
      <w:pPr>
        <w:pStyle w:val="PZTextodstavce"/>
        <w:tabs>
          <w:tab w:val="clear" w:pos="851"/>
          <w:tab w:val="left" w:pos="420"/>
          <w:tab w:val="left" w:pos="840"/>
        </w:tabs>
      </w:pPr>
      <w:r>
        <w:t xml:space="preserve">(4) </w:t>
      </w:r>
      <w:r w:rsidR="00CD2102" w:rsidRPr="009460AD">
        <w:t xml:space="preserve">Kde se v tomto zákoně stanoví o jmenovité hodnotě, rozumí se tím v případě kusových akcií </w:t>
      </w:r>
      <w:r w:rsidR="00CD2102" w:rsidRPr="002556C5">
        <w:rPr>
          <w:strike/>
        </w:rPr>
        <w:t xml:space="preserve">účetní </w:t>
      </w:r>
      <w:r w:rsidR="00CD2102" w:rsidRPr="002556C5">
        <w:rPr>
          <w:b/>
        </w:rPr>
        <w:t>paritní</w:t>
      </w:r>
      <w:r w:rsidR="00CD2102" w:rsidRPr="00D60FC7">
        <w:t xml:space="preserve"> </w:t>
      </w:r>
      <w:r w:rsidR="00CD2102" w:rsidRPr="00911C54">
        <w:t>hodnota</w:t>
      </w:r>
      <w:r w:rsidR="00CD2102" w:rsidRPr="009460AD">
        <w:t>, ledaže z povahy ustanovení plyne, že se na kusové akcie nepoužije. Vyžaduje-li tento zákon uvedení údaje o jmenovité hodnotě akcie, nahradí se údajem o tom, že jde o kusovou akcii, není-li dále stanoveno jinak.</w:t>
      </w:r>
    </w:p>
    <w:p w14:paraId="67221AAE" w14:textId="77777777" w:rsidR="00CD2102" w:rsidRDefault="00CD2102" w:rsidP="0056049B">
      <w:pPr>
        <w:pStyle w:val="Paragraf"/>
        <w:keepNext w:val="0"/>
        <w:keepLines w:val="0"/>
        <w:numPr>
          <w:ilvl w:val="0"/>
          <w:numId w:val="27"/>
        </w:numPr>
        <w:tabs>
          <w:tab w:val="left" w:pos="420"/>
          <w:tab w:val="left" w:pos="840"/>
        </w:tabs>
        <w:spacing w:after="120"/>
      </w:pPr>
      <w:r>
        <w:t>§ 258</w:t>
      </w:r>
    </w:p>
    <w:p w14:paraId="226683C4" w14:textId="77777777" w:rsidR="00CD2102" w:rsidRPr="004435C8" w:rsidRDefault="00CD2102" w:rsidP="0056049B">
      <w:pPr>
        <w:pStyle w:val="PZTextodstavce"/>
        <w:tabs>
          <w:tab w:val="clear" w:pos="851"/>
          <w:tab w:val="left" w:pos="420"/>
          <w:tab w:val="left" w:pos="840"/>
        </w:tabs>
      </w:pPr>
      <w:r w:rsidRPr="004435C8">
        <w:t>(1) Stanovy mohou určit, že zaměstnanci společnosti mohou nabývat její akcie nebo akcie společností s ní propojených za zvýhodněných podmínek uvedených v odstavci 2.</w:t>
      </w:r>
    </w:p>
    <w:p w14:paraId="51D9C806" w14:textId="77777777" w:rsidR="00CD2102" w:rsidRPr="004435C8" w:rsidRDefault="00CD2102" w:rsidP="0056049B">
      <w:pPr>
        <w:pStyle w:val="PZTextodstavce"/>
        <w:tabs>
          <w:tab w:val="clear" w:pos="851"/>
          <w:tab w:val="left" w:pos="420"/>
          <w:tab w:val="left" w:pos="840"/>
        </w:tabs>
      </w:pPr>
      <w:r w:rsidRPr="004435C8">
        <w:t xml:space="preserve">(2) Stanovy nebo rozhodnutí valné hromady o zvýšení základního kapitálu mohou určit, že zaměstnanci nemusí splatit celý emisní kurs upsaných akcií nebo je mohou nabývat za jiných zvýhodněných podmínek, pokud bude případný rozdíl mezi splacenou částí emisního kursu a cenou nebo emisním kursem a cenou pokryt z </w:t>
      </w:r>
      <w:r w:rsidRPr="004435C8">
        <w:rPr>
          <w:strike/>
        </w:rPr>
        <w:t>vlastních zdrojů</w:t>
      </w:r>
      <w:r w:rsidRPr="004435C8">
        <w:t xml:space="preserve"> </w:t>
      </w:r>
      <w:r w:rsidRPr="004435C8">
        <w:rPr>
          <w:b/>
          <w:bCs/>
        </w:rPr>
        <w:t>vlastního kapitálu</w:t>
      </w:r>
      <w:r w:rsidRPr="004435C8">
        <w:t xml:space="preserve"> společnosti.</w:t>
      </w:r>
    </w:p>
    <w:p w14:paraId="2ADB7582" w14:textId="77777777" w:rsidR="00CD2102" w:rsidRPr="004435C8" w:rsidRDefault="00CD2102" w:rsidP="0056049B">
      <w:pPr>
        <w:pStyle w:val="PZTextodstavce"/>
        <w:tabs>
          <w:tab w:val="clear" w:pos="851"/>
          <w:tab w:val="left" w:pos="420"/>
          <w:tab w:val="left" w:pos="840"/>
        </w:tabs>
      </w:pPr>
      <w:r w:rsidRPr="004435C8">
        <w:t>(3) Odstavce 1 a 2 se použijí obdobně na zaměstnance společnosti, kteří odešli do důchodu.</w:t>
      </w:r>
    </w:p>
    <w:p w14:paraId="36225E1F" w14:textId="77777777" w:rsidR="00CD2102" w:rsidRDefault="00CD2102" w:rsidP="0056049B">
      <w:pPr>
        <w:pStyle w:val="Paragraf"/>
        <w:keepNext w:val="0"/>
        <w:keepLines w:val="0"/>
        <w:numPr>
          <w:ilvl w:val="0"/>
          <w:numId w:val="27"/>
        </w:numPr>
        <w:tabs>
          <w:tab w:val="left" w:pos="420"/>
          <w:tab w:val="left" w:pos="840"/>
        </w:tabs>
        <w:spacing w:after="120"/>
      </w:pPr>
      <w:r w:rsidRPr="00AA135D">
        <w:t>***</w:t>
      </w:r>
    </w:p>
    <w:p w14:paraId="5F819032" w14:textId="77777777" w:rsidR="00CD2102" w:rsidRPr="00BB1E0A" w:rsidRDefault="00CD2102" w:rsidP="0056049B">
      <w:pPr>
        <w:pStyle w:val="Paragraf"/>
        <w:keepNext w:val="0"/>
        <w:keepLines w:val="0"/>
        <w:numPr>
          <w:ilvl w:val="0"/>
          <w:numId w:val="27"/>
        </w:numPr>
        <w:tabs>
          <w:tab w:val="left" w:pos="420"/>
          <w:tab w:val="left" w:pos="840"/>
        </w:tabs>
        <w:spacing w:after="120"/>
      </w:pPr>
      <w:r w:rsidRPr="00BB1E0A">
        <w:t>§ 280</w:t>
      </w:r>
    </w:p>
    <w:p w14:paraId="0885AC34" w14:textId="77777777" w:rsidR="00CD2102" w:rsidRPr="00BB1E0A" w:rsidRDefault="00CD2102" w:rsidP="0056049B">
      <w:pPr>
        <w:pStyle w:val="PZTextodstavce"/>
        <w:tabs>
          <w:tab w:val="clear" w:pos="851"/>
          <w:tab w:val="left" w:pos="420"/>
          <w:tab w:val="left" w:pos="840"/>
        </w:tabs>
      </w:pPr>
      <w:r w:rsidRPr="00BB1E0A">
        <w:t xml:space="preserve">(1) Ode dne, který následuje po dni, v němž valná hromada rozhodla o tom, že přednostní podíl na zisku nebude přiznán, nebo ode dne prodlení s výplatou podílu na zisku, nabývá </w:t>
      </w:r>
      <w:r w:rsidRPr="00BB1E0A">
        <w:lastRenderedPageBreak/>
        <w:t xml:space="preserve">vlastník prioritní akcie hlasovacího práva do doby, kdy valná hromada rozhodne o přiznání přednostního podílu na zisku nebo do okamžiku jeho vyplacení, byla-li společnost s jeho výplatou v prodlení. To platí obdobně pro přednostní podíl na jiných </w:t>
      </w:r>
      <w:r w:rsidRPr="002556C5">
        <w:rPr>
          <w:strike/>
        </w:rPr>
        <w:t>vlastních zdrojích</w:t>
      </w:r>
      <w:r w:rsidRPr="002556C5">
        <w:t xml:space="preserve"> </w:t>
      </w:r>
      <w:r w:rsidRPr="002556C5">
        <w:rPr>
          <w:b/>
          <w:bCs/>
        </w:rPr>
        <w:t>částech vlastního kapitálu</w:t>
      </w:r>
      <w:r w:rsidRPr="00BB1E0A">
        <w:t xml:space="preserve">, jestliže valná hromada rozhodne o rozdělení jiných </w:t>
      </w:r>
      <w:r w:rsidRPr="002556C5">
        <w:rPr>
          <w:strike/>
        </w:rPr>
        <w:t>vlastních zdrojů</w:t>
      </w:r>
      <w:r w:rsidRPr="002556C5">
        <w:t xml:space="preserve"> </w:t>
      </w:r>
      <w:r w:rsidRPr="002556C5">
        <w:rPr>
          <w:b/>
          <w:bCs/>
        </w:rPr>
        <w:t>částí vlastního kapitálu</w:t>
      </w:r>
      <w:r w:rsidRPr="00BB1E0A">
        <w:t>.</w:t>
      </w:r>
    </w:p>
    <w:p w14:paraId="30F45C8A" w14:textId="20A64D7F" w:rsidR="00CD2102" w:rsidRPr="00BB1E0A" w:rsidRDefault="00CD2102" w:rsidP="0056049B">
      <w:pPr>
        <w:pStyle w:val="PZTextodstavce"/>
        <w:tabs>
          <w:tab w:val="clear" w:pos="851"/>
          <w:tab w:val="left" w:pos="420"/>
          <w:tab w:val="left" w:pos="840"/>
        </w:tabs>
      </w:pPr>
      <w:r w:rsidRPr="00BB1E0A">
        <w:t>(2) Vlastník prioritní akcie, který přechodně nabyl hlasovací právo podle odstavce 1, má právo hlasovat ještě v rozsahu celého pořadu na valné hromadě, která rozhodne o přiznání přednostního podílu na zisku.</w:t>
      </w:r>
    </w:p>
    <w:p w14:paraId="298ED6FA" w14:textId="77777777" w:rsidR="00CD2102" w:rsidRDefault="00CD2102" w:rsidP="0056049B">
      <w:pPr>
        <w:pStyle w:val="Paragraf"/>
        <w:keepNext w:val="0"/>
        <w:keepLines w:val="0"/>
        <w:numPr>
          <w:ilvl w:val="0"/>
          <w:numId w:val="27"/>
        </w:numPr>
        <w:tabs>
          <w:tab w:val="left" w:pos="420"/>
          <w:tab w:val="left" w:pos="840"/>
        </w:tabs>
        <w:spacing w:after="120"/>
      </w:pPr>
      <w:r w:rsidRPr="00AA135D">
        <w:t>***</w:t>
      </w:r>
    </w:p>
    <w:p w14:paraId="67D9FB2D" w14:textId="77777777" w:rsidR="00CD2102" w:rsidRPr="00BB1E0A" w:rsidRDefault="00CD2102" w:rsidP="0056049B">
      <w:pPr>
        <w:pStyle w:val="Paragraf"/>
        <w:keepNext w:val="0"/>
        <w:keepLines w:val="0"/>
        <w:numPr>
          <w:ilvl w:val="0"/>
          <w:numId w:val="27"/>
        </w:numPr>
        <w:tabs>
          <w:tab w:val="left" w:pos="420"/>
          <w:tab w:val="left" w:pos="840"/>
        </w:tabs>
        <w:spacing w:after="120"/>
      </w:pPr>
      <w:r w:rsidRPr="00BB1E0A">
        <w:t>§ 301</w:t>
      </w:r>
    </w:p>
    <w:p w14:paraId="3085DCB1" w14:textId="77777777" w:rsidR="00CD2102" w:rsidRPr="004435C8" w:rsidRDefault="00CD2102" w:rsidP="0056049B">
      <w:pPr>
        <w:pStyle w:val="PZTextodstavce"/>
        <w:tabs>
          <w:tab w:val="clear" w:pos="851"/>
          <w:tab w:val="left" w:pos="420"/>
          <w:tab w:val="left" w:pos="840"/>
        </w:tabs>
        <w:spacing w:before="240"/>
      </w:pPr>
      <w:r w:rsidRPr="004435C8">
        <w:t>(1) Společnost může sama nebo prostřednictvím jiné osoby jednající vlastním jménem na účet společnosti nabývat vlastní akcie, jen byl-li zcela splacen jejich emisní kurs, a jen pokud</w:t>
      </w:r>
    </w:p>
    <w:p w14:paraId="1A7048FF" w14:textId="52DF6E76" w:rsidR="00CD2102" w:rsidRPr="004435C8" w:rsidRDefault="004435C8" w:rsidP="0056049B">
      <w:pPr>
        <w:pStyle w:val="PZTextodstavce"/>
        <w:tabs>
          <w:tab w:val="clear" w:pos="851"/>
          <w:tab w:val="left" w:pos="420"/>
          <w:tab w:val="left" w:pos="840"/>
        </w:tabs>
        <w:spacing w:before="0" w:after="0"/>
        <w:ind w:left="426" w:hanging="426"/>
      </w:pPr>
      <w:r>
        <w:t>a)</w:t>
      </w:r>
      <w:r>
        <w:tab/>
      </w:r>
      <w:r w:rsidR="00CD2102" w:rsidRPr="004435C8">
        <w:t>se na nabytí vlastních akcií usnesla valná hromada,</w:t>
      </w:r>
    </w:p>
    <w:p w14:paraId="60AD182E" w14:textId="621806FF" w:rsidR="00CD2102" w:rsidRPr="004435C8" w:rsidRDefault="004435C8" w:rsidP="0056049B">
      <w:pPr>
        <w:pStyle w:val="PZTextodstavce"/>
        <w:tabs>
          <w:tab w:val="clear" w:pos="851"/>
          <w:tab w:val="left" w:pos="420"/>
          <w:tab w:val="left" w:pos="840"/>
        </w:tabs>
        <w:spacing w:before="0" w:after="0"/>
        <w:ind w:left="426" w:hanging="426"/>
      </w:pPr>
      <w:r>
        <w:t>b)</w:t>
      </w:r>
      <w:r>
        <w:tab/>
      </w:r>
      <w:r w:rsidR="00CD2102" w:rsidRPr="004435C8">
        <w:t>nabytí akcií, včetně akcií, které společnost nabyla již dříve a které stále vlastní, a akcií, které na účet společnosti nabyla jiná osoba jednající vlastním jménem, nezpůsobí snížení vlastního kapitálu pod upsaný základní kapitál zvýšený o fondy, které nelze podle tohoto zákona nebo stanov rozdělit mezi akcionáře, a</w:t>
      </w:r>
    </w:p>
    <w:p w14:paraId="6B8589BB" w14:textId="0C10D0A3" w:rsidR="00CD2102" w:rsidRPr="004435C8" w:rsidRDefault="004435C8" w:rsidP="0056049B">
      <w:pPr>
        <w:pStyle w:val="PZTextodstavce"/>
        <w:tabs>
          <w:tab w:val="clear" w:pos="851"/>
          <w:tab w:val="left" w:pos="420"/>
          <w:tab w:val="left" w:pos="840"/>
        </w:tabs>
        <w:spacing w:before="0" w:after="0"/>
        <w:ind w:left="426" w:hanging="426"/>
      </w:pPr>
      <w:r>
        <w:t>c)</w:t>
      </w:r>
      <w:r>
        <w:tab/>
      </w:r>
      <w:r w:rsidR="00CD2102" w:rsidRPr="004435C8">
        <w:t xml:space="preserve">společnost má </w:t>
      </w:r>
      <w:r w:rsidR="00CD2102" w:rsidRPr="004435C8">
        <w:rPr>
          <w:strike/>
        </w:rPr>
        <w:t>zdroje na</w:t>
      </w:r>
      <w:r w:rsidR="00CD2102" w:rsidRPr="004435C8">
        <w:t xml:space="preserve"> </w:t>
      </w:r>
      <w:r w:rsidR="00CD2102" w:rsidRPr="004435C8">
        <w:rPr>
          <w:b/>
        </w:rPr>
        <w:t>disponibilní vlastní kapitál dostatečný k</w:t>
      </w:r>
      <w:r w:rsidR="00CD2102" w:rsidRPr="004435C8">
        <w:t xml:space="preserve"> vytvoření zvláštního rezervního fondu na vlastní akcie, je-li vytvoření tohoto fondu podle § 316 vyžadováno.</w:t>
      </w:r>
    </w:p>
    <w:p w14:paraId="7D01AFC9" w14:textId="77777777" w:rsidR="00CD2102" w:rsidRPr="004435C8" w:rsidRDefault="00CD2102" w:rsidP="0056049B">
      <w:pPr>
        <w:pStyle w:val="PZTextodstavce"/>
        <w:tabs>
          <w:tab w:val="clear" w:pos="851"/>
          <w:tab w:val="left" w:pos="420"/>
          <w:tab w:val="left" w:pos="840"/>
        </w:tabs>
        <w:spacing w:before="240"/>
      </w:pPr>
      <w:r w:rsidRPr="004435C8">
        <w:t>(2) Usnesení valné hromady podle odstavce 1 písm. a) upraví podrobnosti předpokládaného nabytí akcií, a to alespoň</w:t>
      </w:r>
    </w:p>
    <w:p w14:paraId="44C19EBE" w14:textId="50D44473" w:rsidR="00CD2102" w:rsidRPr="004435C8" w:rsidRDefault="004435C8" w:rsidP="0056049B">
      <w:pPr>
        <w:pStyle w:val="PZTextodstavce"/>
        <w:tabs>
          <w:tab w:val="clear" w:pos="851"/>
          <w:tab w:val="left" w:pos="420"/>
          <w:tab w:val="left" w:pos="840"/>
        </w:tabs>
        <w:spacing w:before="0" w:after="0"/>
        <w:ind w:left="426" w:hanging="426"/>
      </w:pPr>
      <w:r>
        <w:t>a)</w:t>
      </w:r>
      <w:r>
        <w:tab/>
      </w:r>
      <w:r w:rsidR="00CD2102" w:rsidRPr="004435C8">
        <w:t>nejvyšší počet akcií, které může společnost nabýt, a jejich jmenovitou hodnotu,</w:t>
      </w:r>
    </w:p>
    <w:p w14:paraId="52F3A814" w14:textId="2828CA94" w:rsidR="00CD2102" w:rsidRPr="004435C8" w:rsidRDefault="004435C8" w:rsidP="0056049B">
      <w:pPr>
        <w:pStyle w:val="PZTextodstavce"/>
        <w:tabs>
          <w:tab w:val="clear" w:pos="851"/>
          <w:tab w:val="left" w:pos="420"/>
          <w:tab w:val="left" w:pos="840"/>
        </w:tabs>
        <w:spacing w:before="0" w:after="0"/>
        <w:ind w:left="426" w:hanging="426"/>
      </w:pPr>
      <w:r>
        <w:t>b)</w:t>
      </w:r>
      <w:r>
        <w:tab/>
      </w:r>
      <w:r w:rsidR="00CD2102" w:rsidRPr="004435C8">
        <w:t>dobu, po kterou může společnost na základě tohoto pověření akcie nabývat, ne delší než 5 let, a</w:t>
      </w:r>
    </w:p>
    <w:p w14:paraId="6883E4ED" w14:textId="6FB42DAA" w:rsidR="00CD2102" w:rsidRPr="004435C8" w:rsidRDefault="004435C8" w:rsidP="0056049B">
      <w:pPr>
        <w:pStyle w:val="PZTextodstavce"/>
        <w:tabs>
          <w:tab w:val="clear" w:pos="851"/>
          <w:tab w:val="left" w:pos="420"/>
          <w:tab w:val="left" w:pos="840"/>
        </w:tabs>
        <w:spacing w:before="0" w:after="0"/>
        <w:ind w:left="426" w:hanging="426"/>
      </w:pPr>
      <w:r>
        <w:t>c)</w:t>
      </w:r>
      <w:r>
        <w:tab/>
      </w:r>
      <w:r w:rsidR="00CD2102" w:rsidRPr="004435C8">
        <w:t>nejvyšší a nejnižší cenu, za niž může společnost akcie nabýt, a to při nabývání akcií za úplatu.</w:t>
      </w:r>
    </w:p>
    <w:p w14:paraId="34BD527F" w14:textId="77777777" w:rsidR="00CD2102" w:rsidRDefault="00CD2102" w:rsidP="0056049B">
      <w:pPr>
        <w:pStyle w:val="Paragraf"/>
        <w:keepNext w:val="0"/>
        <w:keepLines w:val="0"/>
        <w:numPr>
          <w:ilvl w:val="0"/>
          <w:numId w:val="27"/>
        </w:numPr>
        <w:tabs>
          <w:tab w:val="left" w:pos="420"/>
          <w:tab w:val="left" w:pos="840"/>
        </w:tabs>
        <w:spacing w:after="120"/>
      </w:pPr>
      <w:r w:rsidRPr="00AA135D">
        <w:t>***</w:t>
      </w:r>
    </w:p>
    <w:p w14:paraId="5E12B378" w14:textId="77777777" w:rsidR="00CD2102" w:rsidRPr="002556C5" w:rsidRDefault="00CD2102" w:rsidP="0056049B">
      <w:pPr>
        <w:pStyle w:val="Paragraf"/>
        <w:keepNext w:val="0"/>
        <w:keepLines w:val="0"/>
        <w:numPr>
          <w:ilvl w:val="0"/>
          <w:numId w:val="27"/>
        </w:numPr>
        <w:tabs>
          <w:tab w:val="left" w:pos="420"/>
          <w:tab w:val="left" w:pos="840"/>
        </w:tabs>
        <w:spacing w:after="120"/>
        <w:rPr>
          <w:strike/>
        </w:rPr>
      </w:pPr>
      <w:r w:rsidRPr="002556C5">
        <w:rPr>
          <w:strike/>
        </w:rPr>
        <w:t>§ 307</w:t>
      </w:r>
    </w:p>
    <w:p w14:paraId="0E7BDA90" w14:textId="77777777" w:rsidR="00CD2102" w:rsidRPr="004435C8" w:rsidRDefault="00CD2102" w:rsidP="0056049B">
      <w:pPr>
        <w:pStyle w:val="PZTextodstavce"/>
        <w:tabs>
          <w:tab w:val="clear" w:pos="851"/>
          <w:tab w:val="left" w:pos="420"/>
          <w:tab w:val="left" w:pos="840"/>
        </w:tabs>
        <w:spacing w:before="240"/>
        <w:rPr>
          <w:strike/>
        </w:rPr>
      </w:pPr>
      <w:r w:rsidRPr="004435C8">
        <w:rPr>
          <w:strike/>
        </w:rPr>
        <w:t>(1)</w:t>
      </w:r>
      <w:r w:rsidRPr="004435C8">
        <w:rPr>
          <w:strike/>
        </w:rPr>
        <w:tab/>
        <w:t>V případě nabytí vlastních akcií obsahuje výroční zpráva podle jiného právního předpisu také tyto údaje</w:t>
      </w:r>
    </w:p>
    <w:p w14:paraId="407C833B" w14:textId="77777777" w:rsidR="00CD2102" w:rsidRPr="004435C8" w:rsidRDefault="00CD2102" w:rsidP="0056049B">
      <w:pPr>
        <w:pStyle w:val="PZTextpsmene"/>
        <w:tabs>
          <w:tab w:val="left" w:pos="420"/>
          <w:tab w:val="left" w:pos="840"/>
        </w:tabs>
        <w:spacing w:before="0"/>
        <w:ind w:left="426" w:hanging="426"/>
        <w:rPr>
          <w:strike/>
        </w:rPr>
      </w:pPr>
      <w:r w:rsidRPr="004435C8">
        <w:rPr>
          <w:strike/>
        </w:rPr>
        <w:t>a)</w:t>
      </w:r>
      <w:r w:rsidRPr="004435C8">
        <w:rPr>
          <w:strike/>
        </w:rPr>
        <w:tab/>
        <w:t>důvody nabytí akcií, k němuž došlo v průběhu účetního období,</w:t>
      </w:r>
    </w:p>
    <w:p w14:paraId="03C33BC3" w14:textId="77777777" w:rsidR="00CD2102" w:rsidRPr="004435C8" w:rsidRDefault="00CD2102" w:rsidP="0056049B">
      <w:pPr>
        <w:pStyle w:val="PZTextpsmene"/>
        <w:tabs>
          <w:tab w:val="left" w:pos="420"/>
          <w:tab w:val="left" w:pos="840"/>
        </w:tabs>
        <w:spacing w:before="0"/>
        <w:ind w:left="426" w:hanging="426"/>
        <w:rPr>
          <w:strike/>
        </w:rPr>
      </w:pPr>
      <w:r w:rsidRPr="004435C8">
        <w:rPr>
          <w:strike/>
        </w:rPr>
        <w:t>b)</w:t>
      </w:r>
      <w:r w:rsidRPr="004435C8">
        <w:rPr>
          <w:strike/>
        </w:rPr>
        <w:tab/>
        <w:t>počet a jmenovitou hodnotu akcií nabytých a zcizených v průběhu účetního období a jejich podíl na upsaném základním kapitálu, který tyto akcie představují,</w:t>
      </w:r>
    </w:p>
    <w:p w14:paraId="73D86CB2" w14:textId="77777777" w:rsidR="00CD2102" w:rsidRPr="004435C8" w:rsidRDefault="00CD2102" w:rsidP="0056049B">
      <w:pPr>
        <w:pStyle w:val="PZTextpsmene"/>
        <w:tabs>
          <w:tab w:val="left" w:pos="420"/>
          <w:tab w:val="left" w:pos="840"/>
        </w:tabs>
        <w:spacing w:before="0"/>
        <w:ind w:left="426" w:hanging="426"/>
        <w:rPr>
          <w:strike/>
        </w:rPr>
      </w:pPr>
      <w:r w:rsidRPr="004435C8">
        <w:rPr>
          <w:strike/>
        </w:rPr>
        <w:t>c)</w:t>
      </w:r>
      <w:r w:rsidRPr="004435C8">
        <w:rPr>
          <w:strike/>
        </w:rPr>
        <w:tab/>
        <w:t>počet a jmenovitou hodnotu akcií ve vlastnictví společnosti a jejich podíl na upsaném základním kapitálu, a to na počátku a na konci účetního období,</w:t>
      </w:r>
    </w:p>
    <w:p w14:paraId="50CEE618" w14:textId="77777777" w:rsidR="00CD2102" w:rsidRPr="004435C8" w:rsidRDefault="00CD2102" w:rsidP="0056049B">
      <w:pPr>
        <w:pStyle w:val="PZTextpsmene"/>
        <w:tabs>
          <w:tab w:val="left" w:pos="420"/>
          <w:tab w:val="left" w:pos="840"/>
        </w:tabs>
        <w:spacing w:before="0"/>
        <w:ind w:left="426" w:hanging="426"/>
        <w:rPr>
          <w:strike/>
        </w:rPr>
      </w:pPr>
      <w:r w:rsidRPr="004435C8">
        <w:rPr>
          <w:strike/>
        </w:rPr>
        <w:t>d)</w:t>
      </w:r>
      <w:r w:rsidRPr="004435C8">
        <w:rPr>
          <w:strike/>
        </w:rPr>
        <w:tab/>
        <w:t>v případě nabytí nebo převodu za úplatu, protihodnotu poskytnutou za tyto akcie a</w:t>
      </w:r>
    </w:p>
    <w:p w14:paraId="2C5E0342" w14:textId="77777777" w:rsidR="00CD2102" w:rsidRPr="004435C8" w:rsidRDefault="00CD2102" w:rsidP="0056049B">
      <w:pPr>
        <w:pStyle w:val="PZTextpsmene"/>
        <w:tabs>
          <w:tab w:val="left" w:pos="420"/>
          <w:tab w:val="left" w:pos="840"/>
        </w:tabs>
        <w:spacing w:before="0"/>
        <w:ind w:left="426" w:hanging="426"/>
        <w:rPr>
          <w:strike/>
        </w:rPr>
      </w:pPr>
      <w:r w:rsidRPr="004435C8">
        <w:rPr>
          <w:strike/>
        </w:rPr>
        <w:t>e)</w:t>
      </w:r>
      <w:r w:rsidRPr="004435C8">
        <w:rPr>
          <w:strike/>
        </w:rPr>
        <w:tab/>
        <w:t>uvedení osoby, od které společnost akcie nabyla, ledaže je nabyla na evropském regulovaném trhu.</w:t>
      </w:r>
    </w:p>
    <w:p w14:paraId="2DAFBAF7" w14:textId="77777777" w:rsidR="00CD2102" w:rsidRPr="004435C8" w:rsidRDefault="00CD2102" w:rsidP="0056049B">
      <w:pPr>
        <w:pStyle w:val="PZTextodstavce"/>
        <w:tabs>
          <w:tab w:val="clear" w:pos="851"/>
          <w:tab w:val="left" w:pos="420"/>
          <w:tab w:val="left" w:pos="840"/>
        </w:tabs>
        <w:spacing w:before="240"/>
        <w:rPr>
          <w:strike/>
        </w:rPr>
      </w:pPr>
      <w:r w:rsidRPr="004435C8">
        <w:rPr>
          <w:strike/>
        </w:rPr>
        <w:t>(2)</w:t>
      </w:r>
      <w:r w:rsidRPr="004435C8">
        <w:rPr>
          <w:strike/>
        </w:rPr>
        <w:tab/>
        <w:t>Nemá-li společnost povinnost vyhotovit výroční zprávu, uvede údaje podle odstavce 1 v příloze v účetní závěrce podle právních předpisů upravujících účetnictví.</w:t>
      </w:r>
    </w:p>
    <w:p w14:paraId="450B3DB1" w14:textId="77777777" w:rsidR="00CD2102" w:rsidRDefault="00CD2102" w:rsidP="0056049B">
      <w:pPr>
        <w:pStyle w:val="Paragraf"/>
        <w:keepNext w:val="0"/>
        <w:keepLines w:val="0"/>
        <w:numPr>
          <w:ilvl w:val="0"/>
          <w:numId w:val="27"/>
        </w:numPr>
        <w:tabs>
          <w:tab w:val="left" w:pos="420"/>
          <w:tab w:val="left" w:pos="840"/>
        </w:tabs>
        <w:spacing w:before="120" w:after="120"/>
      </w:pPr>
      <w:r w:rsidRPr="00AA135D">
        <w:lastRenderedPageBreak/>
        <w:t>***</w:t>
      </w:r>
    </w:p>
    <w:p w14:paraId="5B4A95BA" w14:textId="77777777" w:rsidR="00CD2102" w:rsidRDefault="00CD2102" w:rsidP="0056049B">
      <w:pPr>
        <w:pStyle w:val="Paragraf"/>
        <w:keepNext w:val="0"/>
        <w:keepLines w:val="0"/>
        <w:numPr>
          <w:ilvl w:val="0"/>
          <w:numId w:val="27"/>
        </w:numPr>
        <w:tabs>
          <w:tab w:val="left" w:pos="420"/>
          <w:tab w:val="left" w:pos="840"/>
        </w:tabs>
        <w:spacing w:before="120" w:after="120"/>
      </w:pPr>
      <w:r>
        <w:t>§ 309</w:t>
      </w:r>
    </w:p>
    <w:p w14:paraId="575EE606" w14:textId="77777777" w:rsidR="00CD2102" w:rsidRPr="004435C8" w:rsidRDefault="00CD2102" w:rsidP="0056049B">
      <w:pPr>
        <w:pStyle w:val="PZTextodstavce"/>
        <w:tabs>
          <w:tab w:val="clear" w:pos="782"/>
          <w:tab w:val="clear" w:pos="851"/>
          <w:tab w:val="left" w:pos="420"/>
          <w:tab w:val="left" w:pos="840"/>
        </w:tabs>
      </w:pPr>
      <w:r w:rsidRPr="004435C8">
        <w:t>(1) Společnost, která nabyla vlastní akcie, nevykonává s nimi spojená hlasovací práva.</w:t>
      </w:r>
    </w:p>
    <w:p w14:paraId="6EAB4BC5" w14:textId="77777777" w:rsidR="00CD2102" w:rsidRPr="004435C8" w:rsidRDefault="00CD2102" w:rsidP="0056049B">
      <w:pPr>
        <w:pStyle w:val="PZTextodstavce"/>
        <w:tabs>
          <w:tab w:val="clear" w:pos="782"/>
          <w:tab w:val="clear" w:pos="851"/>
          <w:tab w:val="left" w:pos="420"/>
          <w:tab w:val="left" w:pos="840"/>
        </w:tabs>
        <w:spacing w:before="240"/>
      </w:pPr>
      <w:r w:rsidRPr="004435C8">
        <w:t xml:space="preserve">(2) Právo na podíl na zisku nebo jiných </w:t>
      </w:r>
      <w:r w:rsidRPr="004435C8">
        <w:rPr>
          <w:strike/>
        </w:rPr>
        <w:t>vlastních zdrojích</w:t>
      </w:r>
      <w:r w:rsidRPr="004435C8">
        <w:t xml:space="preserve"> </w:t>
      </w:r>
      <w:r w:rsidRPr="004435C8">
        <w:rPr>
          <w:b/>
          <w:bCs/>
        </w:rPr>
        <w:t>částech vlastního kapitálu</w:t>
      </w:r>
      <w:r w:rsidRPr="004435C8">
        <w:t xml:space="preserve"> spojené s vlastní akcií v majetku společnosti zaniká jeho splatností. Nevyplacený zisk nebo jiné </w:t>
      </w:r>
      <w:r w:rsidRPr="004435C8">
        <w:rPr>
          <w:strike/>
        </w:rPr>
        <w:t>vlastní zdroje</w:t>
      </w:r>
      <w:r w:rsidRPr="004435C8">
        <w:t xml:space="preserve"> </w:t>
      </w:r>
      <w:r w:rsidRPr="004435C8">
        <w:rPr>
          <w:b/>
        </w:rPr>
        <w:t xml:space="preserve">části vlastního kapitálu </w:t>
      </w:r>
      <w:r w:rsidRPr="004435C8">
        <w:t>společnost zaúčtuje ve prospěch účtu, proti kterému byl původně zaúčtován, a není-li to již možné, tak ve prospěch účtu nerozděleného zisku minulých let.</w:t>
      </w:r>
    </w:p>
    <w:p w14:paraId="15691715" w14:textId="77777777" w:rsidR="00CD2102" w:rsidRDefault="00CD2102" w:rsidP="0056049B">
      <w:pPr>
        <w:pStyle w:val="Paragraf"/>
        <w:keepNext w:val="0"/>
        <w:keepLines w:val="0"/>
        <w:numPr>
          <w:ilvl w:val="0"/>
          <w:numId w:val="27"/>
        </w:numPr>
        <w:tabs>
          <w:tab w:val="left" w:pos="420"/>
          <w:tab w:val="left" w:pos="840"/>
        </w:tabs>
        <w:spacing w:after="120"/>
      </w:pPr>
      <w:r w:rsidRPr="00AA135D">
        <w:t>***</w:t>
      </w:r>
    </w:p>
    <w:p w14:paraId="7BA7439D" w14:textId="77777777" w:rsidR="00CD2102" w:rsidRDefault="00CD2102" w:rsidP="0056049B">
      <w:pPr>
        <w:pStyle w:val="Paragraf"/>
        <w:keepNext w:val="0"/>
        <w:keepLines w:val="0"/>
        <w:numPr>
          <w:ilvl w:val="0"/>
          <w:numId w:val="27"/>
        </w:numPr>
        <w:tabs>
          <w:tab w:val="left" w:pos="420"/>
          <w:tab w:val="left" w:pos="840"/>
        </w:tabs>
        <w:spacing w:after="120"/>
      </w:pPr>
      <w:r>
        <w:t>§ 348</w:t>
      </w:r>
    </w:p>
    <w:p w14:paraId="5AD9C6B5" w14:textId="644F45E2" w:rsidR="00CD2102" w:rsidRPr="004435C8" w:rsidRDefault="004435C8" w:rsidP="0056049B">
      <w:pPr>
        <w:pStyle w:val="PZTextodstavce"/>
        <w:tabs>
          <w:tab w:val="clear" w:pos="851"/>
          <w:tab w:val="left" w:pos="420"/>
          <w:tab w:val="left" w:pos="840"/>
        </w:tabs>
      </w:pPr>
      <w:r>
        <w:t xml:space="preserve">(1) </w:t>
      </w:r>
      <w:r w:rsidR="00CD2102" w:rsidRPr="004435C8">
        <w:t xml:space="preserve">Akcionář má právo na podíl na zisku a na jiných </w:t>
      </w:r>
      <w:r w:rsidR="00CD2102" w:rsidRPr="004435C8">
        <w:rPr>
          <w:strike/>
        </w:rPr>
        <w:t>vlastních zdrojích</w:t>
      </w:r>
      <w:r w:rsidR="00CD2102" w:rsidRPr="004435C8">
        <w:t xml:space="preserve"> </w:t>
      </w:r>
      <w:r w:rsidR="00CD2102" w:rsidRPr="004435C8">
        <w:rPr>
          <w:b/>
        </w:rPr>
        <w:t>částech vlastního kapitálu</w:t>
      </w:r>
      <w:r w:rsidR="00CD2102" w:rsidRPr="004435C8">
        <w:t>, který valná hromada schválila k rozdělení mezi akcionáře. Neurčí-li stanovy ve vztahu k určitému druhu akcií jinak, určuje se tento podíl poměrem jmenovité hodnoty akcií vlastněných akcionářem k základnímu kapitálu.</w:t>
      </w:r>
    </w:p>
    <w:p w14:paraId="6FA90483" w14:textId="1C433B91" w:rsidR="00CD2102" w:rsidRPr="004435C8" w:rsidRDefault="004435C8" w:rsidP="0056049B">
      <w:pPr>
        <w:pStyle w:val="PZTextodstavce"/>
        <w:tabs>
          <w:tab w:val="clear" w:pos="851"/>
          <w:tab w:val="left" w:pos="420"/>
          <w:tab w:val="left" w:pos="840"/>
        </w:tabs>
      </w:pPr>
      <w:r>
        <w:t xml:space="preserve">(2) </w:t>
      </w:r>
      <w:r w:rsidR="00CD2102" w:rsidRPr="004435C8">
        <w:t xml:space="preserve">Neurčí-li stanovy jinak, vyplácí se podíl na zisku a na jiných </w:t>
      </w:r>
      <w:r w:rsidR="00CD2102" w:rsidRPr="004435C8">
        <w:rPr>
          <w:strike/>
        </w:rPr>
        <w:t>vlastních zdrojích</w:t>
      </w:r>
      <w:r w:rsidR="00CD2102" w:rsidRPr="004435C8">
        <w:rPr>
          <w:b/>
        </w:rPr>
        <w:t xml:space="preserve"> částech vlastního kapitálu</w:t>
      </w:r>
      <w:r w:rsidR="00CD2102" w:rsidRPr="004435C8">
        <w:t xml:space="preserve"> v penězích.</w:t>
      </w:r>
    </w:p>
    <w:p w14:paraId="421F11F9" w14:textId="008CD90D" w:rsidR="00CD2102" w:rsidRPr="004435C8" w:rsidRDefault="004435C8" w:rsidP="0056049B">
      <w:pPr>
        <w:pStyle w:val="PZTextodstavce"/>
        <w:tabs>
          <w:tab w:val="clear" w:pos="851"/>
          <w:tab w:val="left" w:pos="420"/>
          <w:tab w:val="left" w:pos="840"/>
        </w:tabs>
      </w:pPr>
      <w:r>
        <w:t xml:space="preserve">(3) </w:t>
      </w:r>
      <w:r w:rsidR="00CD2102" w:rsidRPr="004435C8">
        <w:t xml:space="preserve">U akcií, s kterými je spojen pevný podíl na zisku, se rozhodnutí valné hromady o jeho rozdělení nevyžaduje. Podíl na zisku je splatný do 3 měsíců od schválení </w:t>
      </w:r>
      <w:r w:rsidR="00CD2102" w:rsidRPr="004435C8">
        <w:rPr>
          <w:b/>
        </w:rPr>
        <w:t xml:space="preserve">řádné individuální </w:t>
      </w:r>
      <w:r w:rsidR="00CD2102" w:rsidRPr="004435C8">
        <w:t>účetní závěrky, neurčí-li stanovy jinak.</w:t>
      </w:r>
    </w:p>
    <w:p w14:paraId="3D014504" w14:textId="0F167C75" w:rsidR="00CD2102" w:rsidRPr="004435C8" w:rsidRDefault="004435C8" w:rsidP="0056049B">
      <w:pPr>
        <w:pStyle w:val="PZTextodstavce"/>
        <w:tabs>
          <w:tab w:val="clear" w:pos="851"/>
          <w:tab w:val="left" w:pos="420"/>
          <w:tab w:val="left" w:pos="840"/>
        </w:tabs>
      </w:pPr>
      <w:r>
        <w:t xml:space="preserve">(4) </w:t>
      </w:r>
      <w:r w:rsidR="00CD2102" w:rsidRPr="004435C8">
        <w:t xml:space="preserve">Podíl na zisku ani na jiných </w:t>
      </w:r>
      <w:r w:rsidR="00CD2102" w:rsidRPr="004435C8">
        <w:rPr>
          <w:strike/>
        </w:rPr>
        <w:t>vlastních zdrojích</w:t>
      </w:r>
      <w:r w:rsidR="00CD2102" w:rsidRPr="004435C8">
        <w:rPr>
          <w:b/>
        </w:rPr>
        <w:t xml:space="preserve"> částech vlastního kapitálu</w:t>
      </w:r>
      <w:r w:rsidR="00CD2102" w:rsidRPr="004435C8">
        <w:t xml:space="preserve"> se nevrací, ledaže osoba, které byl podíl vyplacen, věděla nebo měla vědět, že při vyplacení byly porušeny podmínky stanovené tímto zákonem.</w:t>
      </w:r>
    </w:p>
    <w:p w14:paraId="74C16FD5" w14:textId="26D677FF" w:rsidR="00CD2102" w:rsidRDefault="004435C8" w:rsidP="0056049B">
      <w:pPr>
        <w:pStyle w:val="PZTextodstavce"/>
        <w:tabs>
          <w:tab w:val="clear" w:pos="851"/>
          <w:tab w:val="left" w:pos="420"/>
          <w:tab w:val="left" w:pos="840"/>
        </w:tabs>
      </w:pPr>
      <w:r>
        <w:t xml:space="preserve">(5) </w:t>
      </w:r>
      <w:r w:rsidR="00CD2102" w:rsidRPr="00B21598">
        <w:t>Odstavec 4 se nepoužije na zálohy podle § 35.</w:t>
      </w:r>
    </w:p>
    <w:p w14:paraId="724EDEAF" w14:textId="77777777" w:rsidR="00CD2102" w:rsidRPr="00BB1E0A" w:rsidRDefault="00CD2102" w:rsidP="0056049B">
      <w:pPr>
        <w:pStyle w:val="Paragraf"/>
        <w:keepNext w:val="0"/>
        <w:keepLines w:val="0"/>
        <w:numPr>
          <w:ilvl w:val="0"/>
          <w:numId w:val="27"/>
        </w:numPr>
        <w:tabs>
          <w:tab w:val="left" w:pos="420"/>
          <w:tab w:val="left" w:pos="840"/>
        </w:tabs>
        <w:spacing w:after="120"/>
      </w:pPr>
      <w:r w:rsidRPr="00BB1E0A">
        <w:t>§ 351</w:t>
      </w:r>
    </w:p>
    <w:p w14:paraId="56C1C194" w14:textId="77777777" w:rsidR="00CD2102" w:rsidRPr="004435C8" w:rsidRDefault="00CD2102" w:rsidP="0056049B">
      <w:pPr>
        <w:pStyle w:val="PZTextodstavce"/>
        <w:tabs>
          <w:tab w:val="clear" w:pos="851"/>
          <w:tab w:val="left" w:pos="420"/>
          <w:tab w:val="left" w:pos="840"/>
        </w:tabs>
        <w:spacing w:before="240"/>
      </w:pPr>
      <w:r w:rsidRPr="004435C8">
        <w:t xml:space="preserve">Neurčí-li stanovy jiný den, je rozhodným dnem pro uplatnění práva na podíl na zisku nebo jiných </w:t>
      </w:r>
      <w:r w:rsidRPr="004435C8">
        <w:rPr>
          <w:strike/>
        </w:rPr>
        <w:t>vlastních zdrojích</w:t>
      </w:r>
      <w:r w:rsidRPr="004435C8">
        <w:rPr>
          <w:b/>
          <w:bCs/>
        </w:rPr>
        <w:t xml:space="preserve"> částech vlastního kapitálu</w:t>
      </w:r>
      <w:r w:rsidRPr="004435C8">
        <w:t xml:space="preserve"> rozhodný den k účasti na valné hromadě, která o rozdělení zisku nebo jiných </w:t>
      </w:r>
      <w:r w:rsidRPr="004435C8">
        <w:rPr>
          <w:strike/>
        </w:rPr>
        <w:t>vlastních zdrojů</w:t>
      </w:r>
      <w:r w:rsidRPr="004435C8">
        <w:rPr>
          <w:b/>
          <w:bCs/>
        </w:rPr>
        <w:t xml:space="preserve"> částí vlastního kapitálu</w:t>
      </w:r>
      <w:r w:rsidRPr="004435C8">
        <w:t xml:space="preserve"> rozhodla.</w:t>
      </w:r>
    </w:p>
    <w:p w14:paraId="55E3792F" w14:textId="77777777" w:rsidR="00CD2102" w:rsidRPr="00BB1E0A" w:rsidRDefault="00CD2102" w:rsidP="0056049B">
      <w:pPr>
        <w:pStyle w:val="Paragraf"/>
        <w:keepNext w:val="0"/>
        <w:keepLines w:val="0"/>
        <w:numPr>
          <w:ilvl w:val="0"/>
          <w:numId w:val="27"/>
        </w:numPr>
        <w:tabs>
          <w:tab w:val="left" w:pos="420"/>
          <w:tab w:val="left" w:pos="840"/>
        </w:tabs>
        <w:spacing w:after="120"/>
      </w:pPr>
      <w:r w:rsidRPr="00BB1E0A">
        <w:t>§ 352</w:t>
      </w:r>
    </w:p>
    <w:p w14:paraId="12ACD0C6" w14:textId="77777777" w:rsidR="00CD2102" w:rsidRPr="004435C8" w:rsidRDefault="00CD2102" w:rsidP="0056049B">
      <w:pPr>
        <w:pStyle w:val="PZTextodstavce"/>
        <w:tabs>
          <w:tab w:val="clear" w:pos="851"/>
          <w:tab w:val="left" w:pos="420"/>
          <w:tab w:val="left" w:pos="840"/>
        </w:tabs>
      </w:pPr>
      <w:r w:rsidRPr="004435C8">
        <w:t xml:space="preserve">(1) Právo na podíl na zisku nebo jiných </w:t>
      </w:r>
      <w:r w:rsidRPr="004435C8">
        <w:rPr>
          <w:strike/>
        </w:rPr>
        <w:t>vlastních zdrojích</w:t>
      </w:r>
      <w:r w:rsidRPr="004435C8">
        <w:t xml:space="preserve"> </w:t>
      </w:r>
      <w:r w:rsidRPr="004435C8">
        <w:rPr>
          <w:b/>
          <w:bCs/>
        </w:rPr>
        <w:t>částech vlastního kapitálu</w:t>
      </w:r>
      <w:r w:rsidRPr="004435C8">
        <w:t xml:space="preserve"> je samostatně převoditelné ode dne, kdy valná hromada o rozdělení zisku nebo jiných </w:t>
      </w:r>
      <w:r w:rsidRPr="004435C8">
        <w:rPr>
          <w:strike/>
        </w:rPr>
        <w:t>vlastních zdrojů</w:t>
      </w:r>
      <w:r w:rsidRPr="004435C8">
        <w:rPr>
          <w:b/>
          <w:bCs/>
        </w:rPr>
        <w:t xml:space="preserve"> částí vlastního kapitálu</w:t>
      </w:r>
      <w:r w:rsidRPr="004435C8">
        <w:t xml:space="preserve"> rozhodla.</w:t>
      </w:r>
    </w:p>
    <w:p w14:paraId="0AD20776" w14:textId="77777777" w:rsidR="00CD2102" w:rsidRPr="004435C8" w:rsidRDefault="00CD2102" w:rsidP="0056049B">
      <w:pPr>
        <w:pStyle w:val="PZTextodstavce"/>
        <w:tabs>
          <w:tab w:val="clear" w:pos="851"/>
          <w:tab w:val="left" w:pos="420"/>
          <w:tab w:val="left" w:pos="840"/>
        </w:tabs>
      </w:pPr>
      <w:r w:rsidRPr="004435C8">
        <w:t xml:space="preserve">(2) V případě, že byly vydány nebo mají být vydány k uplatnění práva na podíl na zisku nebo jiných </w:t>
      </w:r>
      <w:r w:rsidRPr="004435C8">
        <w:rPr>
          <w:strike/>
        </w:rPr>
        <w:t>vlastních zdrojích</w:t>
      </w:r>
      <w:r w:rsidRPr="004435C8">
        <w:rPr>
          <w:b/>
          <w:bCs/>
        </w:rPr>
        <w:t xml:space="preserve"> částech vlastního kapitálu</w:t>
      </w:r>
      <w:r w:rsidRPr="004435C8">
        <w:t xml:space="preserve"> kupóny podle jiného právního předpisu, je toto právo převoditelné pouze s kupónem.</w:t>
      </w:r>
    </w:p>
    <w:p w14:paraId="3674F0F1" w14:textId="77777777" w:rsidR="00CD2102" w:rsidRPr="004435C8" w:rsidRDefault="00CD2102" w:rsidP="0056049B">
      <w:pPr>
        <w:pStyle w:val="PZTextodstavce"/>
        <w:tabs>
          <w:tab w:val="clear" w:pos="851"/>
          <w:tab w:val="left" w:pos="420"/>
          <w:tab w:val="left" w:pos="840"/>
        </w:tabs>
      </w:pPr>
      <w:r w:rsidRPr="004435C8">
        <w:t>(3) Kupóny může společnost vydat i před rozhodnutím valné hromady o rozdělení zisku za účetní období, k němuž se kupón vztahuje. Ustanovení odstavce 1 se nepoužije.</w:t>
      </w:r>
    </w:p>
    <w:p w14:paraId="64B8B9B8" w14:textId="77777777" w:rsidR="00CD2102" w:rsidRDefault="00CD2102" w:rsidP="0056049B">
      <w:pPr>
        <w:pStyle w:val="Paragraf"/>
        <w:keepNext w:val="0"/>
        <w:keepLines w:val="0"/>
        <w:numPr>
          <w:ilvl w:val="0"/>
          <w:numId w:val="27"/>
        </w:numPr>
        <w:tabs>
          <w:tab w:val="left" w:pos="420"/>
          <w:tab w:val="left" w:pos="840"/>
        </w:tabs>
        <w:spacing w:after="120"/>
      </w:pPr>
      <w:r>
        <w:t>§ 403</w:t>
      </w:r>
    </w:p>
    <w:p w14:paraId="1DB9A80E" w14:textId="1DFE6F61" w:rsidR="00CD2102" w:rsidRDefault="004435C8" w:rsidP="0056049B">
      <w:pPr>
        <w:pStyle w:val="PZTextodstavce"/>
        <w:tabs>
          <w:tab w:val="clear" w:pos="851"/>
          <w:tab w:val="left" w:pos="420"/>
          <w:tab w:val="left" w:pos="840"/>
        </w:tabs>
      </w:pPr>
      <w:r>
        <w:lastRenderedPageBreak/>
        <w:t xml:space="preserve">(1) </w:t>
      </w:r>
      <w:r w:rsidR="00CD2102">
        <w:t xml:space="preserve">Řádnou </w:t>
      </w:r>
      <w:r w:rsidR="00CD2102" w:rsidRPr="00D60FC7">
        <w:t xml:space="preserve">účetní </w:t>
      </w:r>
      <w:r w:rsidR="00CD2102" w:rsidRPr="00911C54">
        <w:t>závěrku</w:t>
      </w:r>
      <w:r w:rsidR="00CD2102" w:rsidRPr="002556C5">
        <w:rPr>
          <w:b/>
        </w:rPr>
        <w:t xml:space="preserve"> </w:t>
      </w:r>
      <w:r w:rsidR="00CD2102" w:rsidRPr="001666E7">
        <w:t xml:space="preserve">projedná valná hromada nejpozději do 6 měsíců od posledního dne </w:t>
      </w:r>
      <w:r w:rsidR="00CD2102" w:rsidRPr="002556C5">
        <w:rPr>
          <w:strike/>
        </w:rPr>
        <w:t xml:space="preserve">předcházejícího </w:t>
      </w:r>
      <w:r w:rsidR="00CD2102" w:rsidRPr="00D60FC7">
        <w:t xml:space="preserve">účetního </w:t>
      </w:r>
      <w:r w:rsidR="00CD2102" w:rsidRPr="001666E7">
        <w:t>období</w:t>
      </w:r>
      <w:r w:rsidR="00CD2102" w:rsidRPr="002556C5">
        <w:rPr>
          <w:b/>
        </w:rPr>
        <w:t>, za které se sestavuje</w:t>
      </w:r>
      <w:r w:rsidR="00CD2102" w:rsidRPr="001666E7">
        <w:t>.</w:t>
      </w:r>
    </w:p>
    <w:p w14:paraId="7670DD40" w14:textId="42B048AF" w:rsidR="00CD2102" w:rsidRPr="004435C8" w:rsidRDefault="004435C8" w:rsidP="0056049B">
      <w:pPr>
        <w:pStyle w:val="PZTextodstavce"/>
        <w:tabs>
          <w:tab w:val="clear" w:pos="851"/>
          <w:tab w:val="left" w:pos="420"/>
          <w:tab w:val="left" w:pos="840"/>
        </w:tabs>
      </w:pPr>
      <w:r>
        <w:t xml:space="preserve">(2) </w:t>
      </w:r>
      <w:r w:rsidR="00CD2102" w:rsidRPr="004435C8">
        <w:t xml:space="preserve">Představenstvo nebo správní rada svolá valnou hromadu bez zbytečného odkladu poté, co zjistí, že celková ztráta společnosti na základě </w:t>
      </w:r>
      <w:r w:rsidR="00CD2102" w:rsidRPr="004435C8">
        <w:rPr>
          <w:b/>
        </w:rPr>
        <w:t>individuální</w:t>
      </w:r>
      <w:r w:rsidR="00CD2102" w:rsidRPr="004435C8">
        <w:t xml:space="preserve"> účetní závěrky dosáhla takové výše, že při jejím uhrazení z </w:t>
      </w:r>
      <w:r w:rsidR="00CD2102" w:rsidRPr="004435C8">
        <w:rPr>
          <w:strike/>
        </w:rPr>
        <w:t>disponibilních zdrojů</w:t>
      </w:r>
      <w:r w:rsidR="00CD2102" w:rsidRPr="004435C8">
        <w:t xml:space="preserve"> </w:t>
      </w:r>
      <w:r w:rsidR="00CD2102" w:rsidRPr="004435C8">
        <w:rPr>
          <w:b/>
        </w:rPr>
        <w:t xml:space="preserve">disponibilního vlastního kapitálu </w:t>
      </w:r>
      <w:r w:rsidR="00CD2102" w:rsidRPr="004435C8">
        <w:t>společnosti by neuhrazená ztráta dosáhla poloviny základního kapitálu nebo to lze s ohledem na všechny okolnosti očekávat, nebo z jiného vážného důvodu, a navrhne valné hromadě zrušení společnosti nebo přijetí jiného vhodného opatření.</w:t>
      </w:r>
    </w:p>
    <w:p w14:paraId="00B1BD68" w14:textId="77777777" w:rsidR="00CD2102" w:rsidRDefault="00CD2102" w:rsidP="0056049B">
      <w:pPr>
        <w:pStyle w:val="Paragraf"/>
        <w:keepNext w:val="0"/>
        <w:keepLines w:val="0"/>
        <w:numPr>
          <w:ilvl w:val="0"/>
          <w:numId w:val="27"/>
        </w:numPr>
        <w:tabs>
          <w:tab w:val="left" w:pos="420"/>
          <w:tab w:val="left" w:pos="840"/>
        </w:tabs>
        <w:spacing w:after="120"/>
      </w:pPr>
      <w:r w:rsidRPr="00AA135D">
        <w:t>***</w:t>
      </w:r>
    </w:p>
    <w:p w14:paraId="3DBBF9AD" w14:textId="77777777" w:rsidR="00CD2102" w:rsidRPr="00BB1E0A" w:rsidRDefault="00CD2102" w:rsidP="0056049B">
      <w:pPr>
        <w:pStyle w:val="Paragraf"/>
        <w:keepNext w:val="0"/>
        <w:keepLines w:val="0"/>
        <w:numPr>
          <w:ilvl w:val="0"/>
          <w:numId w:val="27"/>
        </w:numPr>
        <w:tabs>
          <w:tab w:val="left" w:pos="420"/>
          <w:tab w:val="left" w:pos="840"/>
        </w:tabs>
        <w:spacing w:after="120"/>
      </w:pPr>
      <w:r>
        <w:t xml:space="preserve">§ </w:t>
      </w:r>
      <w:r w:rsidRPr="00BB1E0A">
        <w:t>417</w:t>
      </w:r>
    </w:p>
    <w:p w14:paraId="6F6632D8" w14:textId="77777777" w:rsidR="00CD2102" w:rsidRPr="004435C8" w:rsidRDefault="00CD2102" w:rsidP="0056049B">
      <w:pPr>
        <w:pStyle w:val="PZTextodstavce"/>
        <w:tabs>
          <w:tab w:val="clear" w:pos="851"/>
          <w:tab w:val="left" w:pos="420"/>
          <w:tab w:val="left" w:pos="840"/>
        </w:tabs>
      </w:pPr>
      <w:r w:rsidRPr="004435C8">
        <w:t>(1) K rozhodnutí podle § 421 odst. 2 písm. m) a o změně výše základního kapitálu se vyžaduje také souhlas akcionářů za každý druh akcií, jejichž práva jsou tímto rozhodnutím dotčena; při hlasování v rámci druhu je potřeba alespoň dvoutřetinové většiny hlasů přítomných akcionářů.</w:t>
      </w:r>
    </w:p>
    <w:p w14:paraId="3EB97B56" w14:textId="77777777" w:rsidR="00CD2102" w:rsidRPr="004435C8" w:rsidRDefault="00CD2102" w:rsidP="0056049B">
      <w:pPr>
        <w:pStyle w:val="PZTextodstavce"/>
        <w:tabs>
          <w:tab w:val="clear" w:pos="851"/>
          <w:tab w:val="left" w:pos="420"/>
          <w:tab w:val="left" w:pos="840"/>
        </w:tabs>
      </w:pPr>
      <w:r w:rsidRPr="004435C8">
        <w:t>(2) K rozhodnutí o změně druhu nebo formy akcií, o změně práv spojených s určitým druhem akcií, o omezení převoditelnosti akcií na jméno a o vyřazení účastnických cenných papírů z obchodování na evropském regulovaném trhu se vyžaduje také souhlas alespoň tříčtvrtinové většiny hlasů přítomných akcionářů vlastnících tyto akcie.</w:t>
      </w:r>
    </w:p>
    <w:p w14:paraId="6CBD5740" w14:textId="77777777" w:rsidR="00CD2102" w:rsidRPr="004435C8" w:rsidRDefault="00CD2102" w:rsidP="0056049B">
      <w:pPr>
        <w:pStyle w:val="PZTextodstavce"/>
        <w:tabs>
          <w:tab w:val="clear" w:pos="851"/>
          <w:tab w:val="left" w:pos="420"/>
          <w:tab w:val="left" w:pos="840"/>
        </w:tabs>
      </w:pPr>
      <w:r w:rsidRPr="004435C8">
        <w:t xml:space="preserve">(3) K rozhodnutí o vyloučení nebo o omezení přednostního práva na získání vyměnitelných nebo prioritních dluhopisů o rozdělení zisku nebo jiných </w:t>
      </w:r>
      <w:r w:rsidRPr="004435C8">
        <w:rPr>
          <w:strike/>
        </w:rPr>
        <w:t>vlastních zdrojů</w:t>
      </w:r>
      <w:r w:rsidRPr="004435C8">
        <w:rPr>
          <w:b/>
          <w:bCs/>
        </w:rPr>
        <w:t xml:space="preserve"> částí vlastního kapitálu</w:t>
      </w:r>
      <w:r w:rsidRPr="004435C8">
        <w:t xml:space="preserve"> jiným osobám než akcionářům podle § 34 odst. 1, o vyloučení nebo omezení přednostního práva akcionáře při zvyšování základního kapitálu úpisem nových akcií a o zvýšení základního kapitálu nepeněžitými vklady se vyžaduje souhlas alespoň tříčtvrtinové většiny hlasů přítomných akcionářů. Jestliže společnost vydala akcie různého druhu, vyžaduje se k těmto rozhodnutím také souhlas akcionářů za každý druh akcií, jejichž práva jsou tímto rozhodnutím dotčena; při hlasování v rámci druhu je potřeba alespoň tříčtvrtinové většiny hlasů přítomných akcionářů.</w:t>
      </w:r>
    </w:p>
    <w:p w14:paraId="36C91741" w14:textId="77777777" w:rsidR="00CD2102" w:rsidRPr="004435C8" w:rsidRDefault="00CD2102" w:rsidP="0056049B">
      <w:pPr>
        <w:pStyle w:val="PZTextodstavce"/>
        <w:tabs>
          <w:tab w:val="clear" w:pos="851"/>
          <w:tab w:val="left" w:pos="420"/>
          <w:tab w:val="left" w:pos="840"/>
        </w:tabs>
      </w:pPr>
      <w:r w:rsidRPr="004435C8">
        <w:t>(4) K rozhodnutí o spojení akcií nebo o změně druhu akcií na akcie, se kterými není spojeno hlasovací právo, se vyžaduje také souhlas všech dotčených akcionářů.</w:t>
      </w:r>
    </w:p>
    <w:p w14:paraId="6EC0A7A4" w14:textId="77777777" w:rsidR="00CD2102" w:rsidRDefault="00CD2102" w:rsidP="0056049B">
      <w:pPr>
        <w:pStyle w:val="Paragraf"/>
        <w:keepNext w:val="0"/>
        <w:keepLines w:val="0"/>
        <w:numPr>
          <w:ilvl w:val="0"/>
          <w:numId w:val="27"/>
        </w:numPr>
        <w:tabs>
          <w:tab w:val="left" w:pos="420"/>
          <w:tab w:val="left" w:pos="840"/>
        </w:tabs>
        <w:spacing w:after="120"/>
      </w:pPr>
      <w:r w:rsidRPr="00AA135D">
        <w:t>***</w:t>
      </w:r>
    </w:p>
    <w:p w14:paraId="6FEC1E42" w14:textId="39D82B33" w:rsidR="00CD2102" w:rsidRDefault="00CD2102" w:rsidP="0056049B">
      <w:pPr>
        <w:pStyle w:val="Paragraf"/>
        <w:keepNext w:val="0"/>
        <w:keepLines w:val="0"/>
        <w:numPr>
          <w:ilvl w:val="0"/>
          <w:numId w:val="27"/>
        </w:numPr>
        <w:tabs>
          <w:tab w:val="left" w:pos="420"/>
          <w:tab w:val="left" w:pos="840"/>
        </w:tabs>
        <w:spacing w:after="120"/>
      </w:pPr>
      <w:r w:rsidRPr="00193498">
        <w:t>§</w:t>
      </w:r>
      <w:r>
        <w:t xml:space="preserve"> </w:t>
      </w:r>
      <w:r w:rsidRPr="00193498">
        <w:t>421</w:t>
      </w:r>
    </w:p>
    <w:p w14:paraId="5051C888" w14:textId="674EE71D" w:rsidR="00CD2102" w:rsidRDefault="00CD2102" w:rsidP="0056049B">
      <w:pPr>
        <w:pStyle w:val="PZTextodstavce"/>
        <w:tabs>
          <w:tab w:val="clear" w:pos="851"/>
          <w:tab w:val="left" w:pos="420"/>
          <w:tab w:val="left" w:pos="840"/>
        </w:tabs>
        <w:spacing w:before="240"/>
      </w:pPr>
      <w:r w:rsidRPr="00193498">
        <w:t>(1</w:t>
      </w:r>
      <w:r w:rsidR="004435C8">
        <w:t xml:space="preserve">) </w:t>
      </w:r>
      <w:r w:rsidRPr="00193498">
        <w:t>Valná</w:t>
      </w:r>
      <w:r>
        <w:t xml:space="preserve"> </w:t>
      </w:r>
      <w:r w:rsidRPr="00193498">
        <w:t>hromada</w:t>
      </w:r>
      <w:r>
        <w:t xml:space="preserve"> </w:t>
      </w:r>
      <w:r w:rsidRPr="00193498">
        <w:t>rozhoduje</w:t>
      </w:r>
      <w:r>
        <w:t xml:space="preserve"> </w:t>
      </w:r>
      <w:r w:rsidRPr="00193498">
        <w:t>usnesením.</w:t>
      </w:r>
    </w:p>
    <w:p w14:paraId="6C86DB4D" w14:textId="2DAF4E95" w:rsidR="00CD2102" w:rsidRDefault="00CD2102" w:rsidP="0056049B">
      <w:pPr>
        <w:pStyle w:val="PZTextodstavce"/>
        <w:tabs>
          <w:tab w:val="clear" w:pos="851"/>
          <w:tab w:val="left" w:pos="420"/>
          <w:tab w:val="left" w:pos="840"/>
        </w:tabs>
        <w:spacing w:before="240"/>
      </w:pPr>
      <w:r w:rsidRPr="00193498">
        <w:t>(2</w:t>
      </w:r>
      <w:r w:rsidR="004435C8">
        <w:t xml:space="preserve">) </w:t>
      </w:r>
      <w:r w:rsidRPr="00193498">
        <w:t>Do</w:t>
      </w:r>
      <w:r>
        <w:t xml:space="preserve"> </w:t>
      </w:r>
      <w:r w:rsidRPr="00193498">
        <w:t>působnosti</w:t>
      </w:r>
      <w:r>
        <w:t xml:space="preserve"> </w:t>
      </w:r>
      <w:r w:rsidRPr="00193498">
        <w:t>valné</w:t>
      </w:r>
      <w:r>
        <w:t xml:space="preserve"> </w:t>
      </w:r>
      <w:r w:rsidRPr="00193498">
        <w:t>hromady</w:t>
      </w:r>
      <w:r>
        <w:t xml:space="preserve"> </w:t>
      </w:r>
      <w:r w:rsidRPr="00193498">
        <w:t>náleží</w:t>
      </w:r>
    </w:p>
    <w:p w14:paraId="0C980745" w14:textId="77777777" w:rsidR="00CD2102" w:rsidRDefault="00CD2102" w:rsidP="0056049B">
      <w:pPr>
        <w:pStyle w:val="PZTextpsmene"/>
        <w:tabs>
          <w:tab w:val="left" w:pos="420"/>
          <w:tab w:val="left" w:pos="840"/>
        </w:tabs>
        <w:spacing w:before="0"/>
        <w:ind w:left="426" w:hanging="426"/>
      </w:pPr>
      <w:r w:rsidRPr="00193498">
        <w:t>a</w:t>
      </w:r>
      <w:r>
        <w:t>)</w:t>
      </w:r>
      <w:r>
        <w:tab/>
      </w:r>
      <w:r w:rsidRPr="00193498">
        <w:t>rozhodování</w:t>
      </w:r>
      <w:r>
        <w:t xml:space="preserve"> </w:t>
      </w:r>
      <w:r w:rsidRPr="00193498">
        <w:t>o</w:t>
      </w:r>
      <w:r>
        <w:t xml:space="preserve"> </w:t>
      </w:r>
      <w:r w:rsidRPr="00193498">
        <w:t>změně</w:t>
      </w:r>
      <w:r>
        <w:t xml:space="preserve"> </w:t>
      </w:r>
      <w:r w:rsidRPr="00193498">
        <w:t>stanov,</w:t>
      </w:r>
      <w:r>
        <w:t xml:space="preserve"> </w:t>
      </w:r>
      <w:r w:rsidRPr="00193498">
        <w:t>nejde-li</w:t>
      </w:r>
      <w:r>
        <w:t xml:space="preserve"> </w:t>
      </w:r>
      <w:r w:rsidRPr="00193498">
        <w:t>o</w:t>
      </w:r>
      <w:r>
        <w:t xml:space="preserve"> </w:t>
      </w:r>
      <w:r w:rsidRPr="00193498">
        <w:t>změnu</w:t>
      </w:r>
      <w:r>
        <w:t xml:space="preserve"> </w:t>
      </w:r>
      <w:r w:rsidRPr="00193498">
        <w:t>v</w:t>
      </w:r>
      <w:r>
        <w:t xml:space="preserve"> </w:t>
      </w:r>
      <w:r w:rsidRPr="00193498">
        <w:t>důsledku</w:t>
      </w:r>
      <w:r>
        <w:t xml:space="preserve"> </w:t>
      </w:r>
      <w:r w:rsidRPr="00193498">
        <w:t>zvýšení</w:t>
      </w:r>
      <w:r>
        <w:t xml:space="preserve"> </w:t>
      </w:r>
      <w:r w:rsidRPr="00193498">
        <w:t>základního</w:t>
      </w:r>
      <w:r>
        <w:t xml:space="preserve"> </w:t>
      </w:r>
      <w:r w:rsidRPr="00193498">
        <w:t>kapitálu</w:t>
      </w:r>
      <w:r>
        <w:t xml:space="preserve"> </w:t>
      </w:r>
      <w:r w:rsidRPr="00193498">
        <w:t>pověřeným</w:t>
      </w:r>
      <w:r>
        <w:t xml:space="preserve"> </w:t>
      </w:r>
      <w:r w:rsidRPr="00193498">
        <w:t>představenstvem</w:t>
      </w:r>
      <w:r>
        <w:t xml:space="preserve"> </w:t>
      </w:r>
      <w:r w:rsidRPr="00193498">
        <w:t>nebo</w:t>
      </w:r>
      <w:r>
        <w:t xml:space="preserve"> </w:t>
      </w:r>
      <w:r w:rsidRPr="00193498">
        <w:t>správní</w:t>
      </w:r>
      <w:r>
        <w:t xml:space="preserve"> </w:t>
      </w:r>
      <w:r w:rsidRPr="00193498">
        <w:t>radou,</w:t>
      </w:r>
      <w:r>
        <w:t xml:space="preserve"> </w:t>
      </w:r>
      <w:r w:rsidRPr="00193498">
        <w:t>nebo</w:t>
      </w:r>
      <w:r>
        <w:t xml:space="preserve"> </w:t>
      </w:r>
      <w:r w:rsidRPr="00193498">
        <w:t>o</w:t>
      </w:r>
      <w:r>
        <w:t xml:space="preserve"> </w:t>
      </w:r>
      <w:r w:rsidRPr="00193498">
        <w:t>změnu,</w:t>
      </w:r>
      <w:r>
        <w:t xml:space="preserve"> </w:t>
      </w:r>
      <w:r w:rsidRPr="00193498">
        <w:t>ke</w:t>
      </w:r>
      <w:r>
        <w:t xml:space="preserve"> </w:t>
      </w:r>
      <w:r w:rsidRPr="00193498">
        <w:t>které</w:t>
      </w:r>
      <w:r>
        <w:t xml:space="preserve"> </w:t>
      </w:r>
      <w:r w:rsidRPr="00193498">
        <w:t>došlo</w:t>
      </w:r>
      <w:r>
        <w:t xml:space="preserve"> </w:t>
      </w:r>
      <w:r w:rsidRPr="00193498">
        <w:t>na</w:t>
      </w:r>
      <w:r>
        <w:t xml:space="preserve"> </w:t>
      </w:r>
      <w:r w:rsidRPr="00193498">
        <w:t>základě</w:t>
      </w:r>
      <w:r>
        <w:t xml:space="preserve"> </w:t>
      </w:r>
      <w:r w:rsidRPr="00193498">
        <w:t>jiných</w:t>
      </w:r>
      <w:r>
        <w:t xml:space="preserve"> </w:t>
      </w:r>
      <w:r w:rsidRPr="00193498">
        <w:t>právních</w:t>
      </w:r>
      <w:r>
        <w:t xml:space="preserve"> </w:t>
      </w:r>
      <w:r w:rsidRPr="00193498">
        <w:t>skutečností,</w:t>
      </w:r>
    </w:p>
    <w:p w14:paraId="3F5BA3EE" w14:textId="77777777" w:rsidR="00CD2102" w:rsidRDefault="00CD2102" w:rsidP="0056049B">
      <w:pPr>
        <w:pStyle w:val="PZTextpsmene"/>
        <w:tabs>
          <w:tab w:val="left" w:pos="420"/>
          <w:tab w:val="left" w:pos="840"/>
        </w:tabs>
        <w:spacing w:before="0"/>
        <w:ind w:left="426" w:hanging="426"/>
      </w:pPr>
      <w:r w:rsidRPr="00193498">
        <w:t>b</w:t>
      </w:r>
      <w:r>
        <w:t>)</w:t>
      </w:r>
      <w:r>
        <w:tab/>
      </w:r>
      <w:r w:rsidRPr="005A47E7">
        <w:t>rozhodování o změně výše základního kapitálu a o pověření představenstva nebo správní rady ke zvýšení základního kapitálu,</w:t>
      </w:r>
    </w:p>
    <w:p w14:paraId="39ACAE57" w14:textId="77777777" w:rsidR="00CD2102" w:rsidRDefault="00CD2102" w:rsidP="0056049B">
      <w:pPr>
        <w:pStyle w:val="PZTextpsmene"/>
        <w:tabs>
          <w:tab w:val="left" w:pos="420"/>
          <w:tab w:val="left" w:pos="840"/>
        </w:tabs>
        <w:spacing w:before="0"/>
        <w:ind w:left="426" w:hanging="426"/>
      </w:pPr>
      <w:r w:rsidRPr="00193498">
        <w:t>c</w:t>
      </w:r>
      <w:r>
        <w:t>)</w:t>
      </w:r>
      <w:r>
        <w:tab/>
      </w:r>
      <w:r w:rsidRPr="00193498">
        <w:t>rozhodování</w:t>
      </w:r>
      <w:r>
        <w:t xml:space="preserve"> </w:t>
      </w:r>
      <w:r w:rsidRPr="00193498">
        <w:t>o</w:t>
      </w:r>
      <w:r>
        <w:t xml:space="preserve"> </w:t>
      </w:r>
      <w:r w:rsidRPr="00193498">
        <w:t>možnosti</w:t>
      </w:r>
      <w:r>
        <w:t xml:space="preserve"> </w:t>
      </w:r>
      <w:r w:rsidRPr="00193498">
        <w:t>započtení</w:t>
      </w:r>
      <w:r>
        <w:t xml:space="preserve"> </w:t>
      </w:r>
      <w:r w:rsidRPr="00193498">
        <w:t>peněžité</w:t>
      </w:r>
      <w:r>
        <w:t xml:space="preserve"> </w:t>
      </w:r>
      <w:r w:rsidRPr="00193498">
        <w:t>pohledávky</w:t>
      </w:r>
      <w:r>
        <w:t xml:space="preserve"> </w:t>
      </w:r>
      <w:r w:rsidRPr="00193498">
        <w:t>vůči</w:t>
      </w:r>
      <w:r>
        <w:t xml:space="preserve"> </w:t>
      </w:r>
      <w:r w:rsidRPr="00193498">
        <w:t>společnosti</w:t>
      </w:r>
      <w:r>
        <w:t xml:space="preserve"> </w:t>
      </w:r>
      <w:r w:rsidRPr="00193498">
        <w:t>proti</w:t>
      </w:r>
      <w:r>
        <w:t xml:space="preserve"> </w:t>
      </w:r>
      <w:r w:rsidRPr="00193498">
        <w:t>pohledávce</w:t>
      </w:r>
      <w:r>
        <w:t xml:space="preserve"> </w:t>
      </w:r>
      <w:r w:rsidRPr="00193498">
        <w:t>na</w:t>
      </w:r>
      <w:r>
        <w:t xml:space="preserve"> </w:t>
      </w:r>
      <w:r w:rsidRPr="00193498">
        <w:t>splacení</w:t>
      </w:r>
      <w:r>
        <w:t xml:space="preserve"> </w:t>
      </w:r>
      <w:r w:rsidRPr="00193498">
        <w:t>emisního</w:t>
      </w:r>
      <w:r>
        <w:t xml:space="preserve"> </w:t>
      </w:r>
      <w:r w:rsidRPr="00193498">
        <w:t>kursu,</w:t>
      </w:r>
    </w:p>
    <w:p w14:paraId="30A90105" w14:textId="77777777" w:rsidR="00CD2102" w:rsidRDefault="00CD2102" w:rsidP="0056049B">
      <w:pPr>
        <w:pStyle w:val="PZTextpsmene"/>
        <w:tabs>
          <w:tab w:val="left" w:pos="420"/>
          <w:tab w:val="left" w:pos="840"/>
        </w:tabs>
        <w:spacing w:before="0"/>
        <w:ind w:left="426" w:hanging="426"/>
      </w:pPr>
      <w:r w:rsidRPr="00193498">
        <w:t>d</w:t>
      </w:r>
      <w:r>
        <w:t>)</w:t>
      </w:r>
      <w:r>
        <w:tab/>
      </w:r>
      <w:r w:rsidRPr="00193498">
        <w:t>rozhodování</w:t>
      </w:r>
      <w:r>
        <w:t xml:space="preserve"> </w:t>
      </w:r>
      <w:r w:rsidRPr="00193498">
        <w:t>o</w:t>
      </w:r>
      <w:r>
        <w:t xml:space="preserve"> </w:t>
      </w:r>
      <w:r w:rsidRPr="00193498">
        <w:t>vydání</w:t>
      </w:r>
      <w:r>
        <w:t xml:space="preserve"> </w:t>
      </w:r>
      <w:r w:rsidRPr="00193498">
        <w:t>vyměnitelných</w:t>
      </w:r>
      <w:r>
        <w:t xml:space="preserve"> </w:t>
      </w:r>
      <w:r w:rsidRPr="00193498">
        <w:t>nebo</w:t>
      </w:r>
      <w:r>
        <w:t xml:space="preserve"> </w:t>
      </w:r>
      <w:r w:rsidRPr="00193498">
        <w:t>prioritních</w:t>
      </w:r>
      <w:r>
        <w:t xml:space="preserve"> </w:t>
      </w:r>
      <w:r w:rsidRPr="00193498">
        <w:t>dluhopisů,</w:t>
      </w:r>
    </w:p>
    <w:p w14:paraId="5E98E63F" w14:textId="77777777" w:rsidR="00CD2102" w:rsidRDefault="00CD2102" w:rsidP="0056049B">
      <w:pPr>
        <w:pStyle w:val="PZTextpsmene"/>
        <w:tabs>
          <w:tab w:val="left" w:pos="420"/>
          <w:tab w:val="left" w:pos="840"/>
        </w:tabs>
        <w:spacing w:before="0"/>
        <w:ind w:left="426" w:hanging="426"/>
      </w:pPr>
      <w:r w:rsidRPr="00193498">
        <w:lastRenderedPageBreak/>
        <w:t>e</w:t>
      </w:r>
      <w:r>
        <w:t>)</w:t>
      </w:r>
      <w:r>
        <w:tab/>
      </w:r>
      <w:r w:rsidRPr="00193498">
        <w:t>volba</w:t>
      </w:r>
      <w:r>
        <w:t xml:space="preserve"> </w:t>
      </w:r>
      <w:r w:rsidRPr="00193498">
        <w:t>a</w:t>
      </w:r>
      <w:r>
        <w:t xml:space="preserve"> </w:t>
      </w:r>
      <w:r w:rsidRPr="00193498">
        <w:t>odvolání</w:t>
      </w:r>
      <w:r>
        <w:t xml:space="preserve"> </w:t>
      </w:r>
      <w:r w:rsidRPr="00193498">
        <w:t>členů</w:t>
      </w:r>
      <w:r>
        <w:t xml:space="preserve"> </w:t>
      </w:r>
      <w:r w:rsidRPr="00193498">
        <w:t>představenstva,</w:t>
      </w:r>
      <w:r>
        <w:t xml:space="preserve"> </w:t>
      </w:r>
      <w:r w:rsidRPr="00193498">
        <w:t>nestanoví-li</w:t>
      </w:r>
      <w:r>
        <w:t xml:space="preserve"> </w:t>
      </w:r>
      <w:r w:rsidRPr="00193498">
        <w:t>tento</w:t>
      </w:r>
      <w:r>
        <w:t xml:space="preserve"> </w:t>
      </w:r>
      <w:r w:rsidRPr="00193498">
        <w:t>zákon</w:t>
      </w:r>
      <w:r>
        <w:t xml:space="preserve"> </w:t>
      </w:r>
      <w:r w:rsidRPr="00193498">
        <w:t>jinak,</w:t>
      </w:r>
    </w:p>
    <w:p w14:paraId="2AC5D907" w14:textId="77777777" w:rsidR="00CD2102" w:rsidRDefault="00CD2102" w:rsidP="0056049B">
      <w:pPr>
        <w:pStyle w:val="PZTextpsmene"/>
        <w:tabs>
          <w:tab w:val="left" w:pos="420"/>
          <w:tab w:val="left" w:pos="840"/>
        </w:tabs>
        <w:spacing w:before="0"/>
        <w:ind w:left="426" w:hanging="426"/>
      </w:pPr>
      <w:r w:rsidRPr="00193498">
        <w:t>f</w:t>
      </w:r>
      <w:r>
        <w:t>)</w:t>
      </w:r>
      <w:r>
        <w:tab/>
      </w:r>
      <w:r w:rsidRPr="00193498">
        <w:t>volba</w:t>
      </w:r>
      <w:r>
        <w:t xml:space="preserve"> </w:t>
      </w:r>
      <w:r w:rsidRPr="00193498">
        <w:t>a</w:t>
      </w:r>
      <w:r>
        <w:t xml:space="preserve"> </w:t>
      </w:r>
      <w:r w:rsidRPr="00193498">
        <w:t>odvolání</w:t>
      </w:r>
      <w:r>
        <w:t xml:space="preserve"> </w:t>
      </w:r>
      <w:r w:rsidRPr="00193498">
        <w:t>členů</w:t>
      </w:r>
      <w:r>
        <w:t xml:space="preserve"> </w:t>
      </w:r>
      <w:r w:rsidRPr="00193498">
        <w:t>dozorčí</w:t>
      </w:r>
      <w:r>
        <w:t xml:space="preserve"> </w:t>
      </w:r>
      <w:r w:rsidRPr="00193498">
        <w:t>nebo</w:t>
      </w:r>
      <w:r>
        <w:t xml:space="preserve"> </w:t>
      </w:r>
      <w:r w:rsidRPr="00193498">
        <w:t>správní</w:t>
      </w:r>
      <w:r>
        <w:t xml:space="preserve"> </w:t>
      </w:r>
      <w:r w:rsidRPr="00193498">
        <w:t>rady</w:t>
      </w:r>
      <w:r>
        <w:t xml:space="preserve"> </w:t>
      </w:r>
      <w:r w:rsidRPr="00193498">
        <w:t>a</w:t>
      </w:r>
      <w:r>
        <w:t xml:space="preserve"> </w:t>
      </w:r>
      <w:r w:rsidRPr="00193498">
        <w:t>jiných</w:t>
      </w:r>
      <w:r>
        <w:t xml:space="preserve"> </w:t>
      </w:r>
      <w:r w:rsidRPr="00193498">
        <w:t>orgánů</w:t>
      </w:r>
      <w:r>
        <w:t xml:space="preserve"> </w:t>
      </w:r>
      <w:r w:rsidRPr="00193498">
        <w:t>určených</w:t>
      </w:r>
      <w:r>
        <w:t xml:space="preserve"> </w:t>
      </w:r>
      <w:r w:rsidRPr="00193498">
        <w:t>stanovami,</w:t>
      </w:r>
      <w:r>
        <w:t xml:space="preserve"> </w:t>
      </w:r>
      <w:r w:rsidRPr="00193498">
        <w:t>nestanoví-li</w:t>
      </w:r>
      <w:r>
        <w:t xml:space="preserve"> </w:t>
      </w:r>
      <w:r w:rsidRPr="00193498">
        <w:t>tento</w:t>
      </w:r>
      <w:r>
        <w:t xml:space="preserve"> </w:t>
      </w:r>
      <w:r w:rsidRPr="00193498">
        <w:t>zákon</w:t>
      </w:r>
      <w:r>
        <w:t xml:space="preserve"> </w:t>
      </w:r>
      <w:r w:rsidRPr="00193498">
        <w:t>jinak,</w:t>
      </w:r>
    </w:p>
    <w:p w14:paraId="0323A8BB" w14:textId="77777777" w:rsidR="00CD2102" w:rsidRDefault="00CD2102" w:rsidP="0056049B">
      <w:pPr>
        <w:pStyle w:val="PZTextpsmene"/>
        <w:tabs>
          <w:tab w:val="left" w:pos="420"/>
          <w:tab w:val="left" w:pos="840"/>
        </w:tabs>
        <w:spacing w:before="0"/>
        <w:ind w:left="426" w:hanging="426"/>
      </w:pPr>
      <w:r w:rsidRPr="00193498">
        <w:t>g</w:t>
      </w:r>
      <w:r>
        <w:t>)</w:t>
      </w:r>
      <w:r>
        <w:tab/>
      </w:r>
      <w:r w:rsidRPr="00193498">
        <w:t>schválení</w:t>
      </w:r>
      <w:r>
        <w:t xml:space="preserve"> </w:t>
      </w:r>
      <w:r w:rsidRPr="00193498">
        <w:t>řádné</w:t>
      </w:r>
      <w:r w:rsidRPr="002556C5">
        <w:rPr>
          <w:strike/>
        </w:rPr>
        <w:t>, mimořádné nebo konsolidované</w:t>
      </w:r>
      <w:r w:rsidRPr="00911C54">
        <w:t xml:space="preserve"> účetní závěrky</w:t>
      </w:r>
      <w:r w:rsidRPr="001666E7">
        <w:t xml:space="preserve"> a v</w:t>
      </w:r>
      <w:r>
        <w:t xml:space="preserve"> případech, stanovených zákonem</w:t>
      </w:r>
      <w:r w:rsidRPr="00193498">
        <w:t>,</w:t>
      </w:r>
      <w:r>
        <w:t xml:space="preserve"> </w:t>
      </w:r>
      <w:r w:rsidRPr="00193498">
        <w:t>i</w:t>
      </w:r>
      <w:r>
        <w:t xml:space="preserve"> </w:t>
      </w:r>
      <w:r w:rsidRPr="00193498">
        <w:t>mezitímní</w:t>
      </w:r>
      <w:r>
        <w:t xml:space="preserve"> </w:t>
      </w:r>
      <w:r w:rsidRPr="00193498">
        <w:t>účetní</w:t>
      </w:r>
      <w:r>
        <w:t xml:space="preserve"> </w:t>
      </w:r>
      <w:r w:rsidRPr="00193498">
        <w:t>závěrky,</w:t>
      </w:r>
    </w:p>
    <w:p w14:paraId="0A0CB07B" w14:textId="77777777" w:rsidR="00CD2102" w:rsidRDefault="00CD2102" w:rsidP="0056049B">
      <w:pPr>
        <w:pStyle w:val="PZTextpsmene"/>
        <w:tabs>
          <w:tab w:val="left" w:pos="420"/>
          <w:tab w:val="left" w:pos="840"/>
        </w:tabs>
        <w:spacing w:before="0"/>
        <w:ind w:left="426" w:hanging="426"/>
      </w:pPr>
      <w:r w:rsidRPr="00193498">
        <w:t>h</w:t>
      </w:r>
      <w:r>
        <w:t>)</w:t>
      </w:r>
      <w:r>
        <w:tab/>
      </w:r>
      <w:r w:rsidRPr="00193498">
        <w:t>rozhodnutí</w:t>
      </w:r>
      <w:r>
        <w:t xml:space="preserve"> </w:t>
      </w:r>
      <w:r w:rsidRPr="00193498">
        <w:t>o</w:t>
      </w:r>
      <w:r>
        <w:t xml:space="preserve"> </w:t>
      </w:r>
      <w:r w:rsidRPr="00193498">
        <w:t>rozdělení</w:t>
      </w:r>
      <w:r>
        <w:t xml:space="preserve"> </w:t>
      </w:r>
      <w:r w:rsidRPr="00193498">
        <w:t>zisku</w:t>
      </w:r>
      <w:r>
        <w:t xml:space="preserve"> </w:t>
      </w:r>
      <w:r w:rsidRPr="00193498">
        <w:t>nebo</w:t>
      </w:r>
      <w:r>
        <w:t xml:space="preserve"> </w:t>
      </w:r>
      <w:r w:rsidRPr="00193498">
        <w:t>jiných</w:t>
      </w:r>
      <w:r>
        <w:t xml:space="preserve"> </w:t>
      </w:r>
      <w:r w:rsidRPr="002556C5">
        <w:rPr>
          <w:strike/>
        </w:rPr>
        <w:t>vlastních zdrojů</w:t>
      </w:r>
      <w:r w:rsidRPr="002556C5">
        <w:rPr>
          <w:b/>
        </w:rPr>
        <w:t xml:space="preserve"> částí vlastního kapitálu</w:t>
      </w:r>
      <w:r w:rsidRPr="00193498">
        <w:t>,</w:t>
      </w:r>
      <w:r>
        <w:t xml:space="preserve"> </w:t>
      </w:r>
      <w:r w:rsidRPr="00193498">
        <w:t>nebo</w:t>
      </w:r>
      <w:r>
        <w:t xml:space="preserve"> </w:t>
      </w:r>
      <w:r w:rsidRPr="00193498">
        <w:t>o</w:t>
      </w:r>
      <w:r>
        <w:t xml:space="preserve"> </w:t>
      </w:r>
      <w:r w:rsidRPr="00193498">
        <w:t>úhradě</w:t>
      </w:r>
      <w:r>
        <w:t xml:space="preserve"> </w:t>
      </w:r>
      <w:r w:rsidRPr="00193498">
        <w:t>ztráty,</w:t>
      </w:r>
    </w:p>
    <w:p w14:paraId="23DB080C" w14:textId="77777777" w:rsidR="00CD2102" w:rsidRDefault="00CD2102" w:rsidP="0056049B">
      <w:pPr>
        <w:pStyle w:val="PZTextpsmene"/>
        <w:tabs>
          <w:tab w:val="left" w:pos="420"/>
          <w:tab w:val="left" w:pos="840"/>
        </w:tabs>
        <w:spacing w:before="0"/>
        <w:ind w:left="426" w:hanging="426"/>
      </w:pPr>
      <w:r w:rsidRPr="00193498">
        <w:t>i</w:t>
      </w:r>
      <w:r>
        <w:t>)</w:t>
      </w:r>
      <w:r>
        <w:tab/>
      </w:r>
      <w:r w:rsidRPr="00193498">
        <w:t>rozhodování</w:t>
      </w:r>
      <w:r>
        <w:t xml:space="preserve"> </w:t>
      </w:r>
      <w:r w:rsidRPr="00193498">
        <w:t>o</w:t>
      </w:r>
      <w:r>
        <w:t xml:space="preserve"> </w:t>
      </w:r>
      <w:r w:rsidRPr="00193498">
        <w:t>podání</w:t>
      </w:r>
      <w:r>
        <w:t xml:space="preserve"> </w:t>
      </w:r>
      <w:r w:rsidRPr="00193498">
        <w:t>žádosti</w:t>
      </w:r>
      <w:r>
        <w:t xml:space="preserve"> </w:t>
      </w:r>
      <w:r w:rsidRPr="00193498">
        <w:t>k</w:t>
      </w:r>
      <w:r>
        <w:t xml:space="preserve"> </w:t>
      </w:r>
      <w:r w:rsidRPr="00193498">
        <w:t>přijetí</w:t>
      </w:r>
      <w:r>
        <w:t xml:space="preserve"> </w:t>
      </w:r>
      <w:r w:rsidRPr="00193498">
        <w:t>účastnických</w:t>
      </w:r>
      <w:r>
        <w:t xml:space="preserve"> </w:t>
      </w:r>
      <w:r w:rsidRPr="00193498">
        <w:t>cenných</w:t>
      </w:r>
      <w:r>
        <w:t xml:space="preserve"> </w:t>
      </w:r>
      <w:r w:rsidRPr="00193498">
        <w:t>papírů</w:t>
      </w:r>
      <w:r>
        <w:t xml:space="preserve"> </w:t>
      </w:r>
      <w:r w:rsidRPr="00193498">
        <w:t>společnosti</w:t>
      </w:r>
      <w:r>
        <w:t xml:space="preserve"> </w:t>
      </w:r>
      <w:r w:rsidRPr="00193498">
        <w:t>k</w:t>
      </w:r>
      <w:r>
        <w:t xml:space="preserve"> </w:t>
      </w:r>
      <w:r w:rsidRPr="00193498">
        <w:t>obchodování</w:t>
      </w:r>
      <w:r>
        <w:t xml:space="preserve"> </w:t>
      </w:r>
      <w:r w:rsidRPr="00193498">
        <w:t>na</w:t>
      </w:r>
      <w:r>
        <w:t xml:space="preserve"> </w:t>
      </w:r>
      <w:r w:rsidRPr="00193498">
        <w:t>evropském</w:t>
      </w:r>
      <w:r>
        <w:t xml:space="preserve"> </w:t>
      </w:r>
      <w:r w:rsidRPr="00193498">
        <w:t>regulovaném</w:t>
      </w:r>
      <w:r>
        <w:t xml:space="preserve"> </w:t>
      </w:r>
      <w:r w:rsidRPr="00193498">
        <w:t>trhu</w:t>
      </w:r>
      <w:r>
        <w:t xml:space="preserve"> </w:t>
      </w:r>
      <w:r w:rsidRPr="00193498">
        <w:t>nebo</w:t>
      </w:r>
      <w:r>
        <w:t xml:space="preserve"> </w:t>
      </w:r>
      <w:r w:rsidRPr="00193498">
        <w:t>o</w:t>
      </w:r>
      <w:r>
        <w:t xml:space="preserve"> </w:t>
      </w:r>
      <w:r w:rsidRPr="00193498">
        <w:t>vyřazení</w:t>
      </w:r>
      <w:r>
        <w:t xml:space="preserve"> </w:t>
      </w:r>
      <w:r w:rsidRPr="00193498">
        <w:t>těchto</w:t>
      </w:r>
      <w:r>
        <w:t xml:space="preserve"> </w:t>
      </w:r>
      <w:r w:rsidRPr="00193498">
        <w:t>cenných</w:t>
      </w:r>
      <w:r>
        <w:t xml:space="preserve"> </w:t>
      </w:r>
      <w:r w:rsidRPr="00193498">
        <w:t>papírů</w:t>
      </w:r>
      <w:r>
        <w:t xml:space="preserve"> </w:t>
      </w:r>
      <w:r w:rsidRPr="00193498">
        <w:t>z</w:t>
      </w:r>
      <w:r>
        <w:t xml:space="preserve"> </w:t>
      </w:r>
      <w:r w:rsidRPr="00193498">
        <w:t>obchodování</w:t>
      </w:r>
      <w:r>
        <w:t xml:space="preserve"> </w:t>
      </w:r>
      <w:r w:rsidRPr="00193498">
        <w:t>na</w:t>
      </w:r>
      <w:r>
        <w:t xml:space="preserve"> </w:t>
      </w:r>
      <w:r w:rsidRPr="00193498">
        <w:t>evropském</w:t>
      </w:r>
      <w:r>
        <w:t xml:space="preserve"> </w:t>
      </w:r>
      <w:r w:rsidRPr="00193498">
        <w:t>regulovaném</w:t>
      </w:r>
      <w:r>
        <w:t xml:space="preserve"> </w:t>
      </w:r>
      <w:r w:rsidRPr="00193498">
        <w:t>trhu,</w:t>
      </w:r>
    </w:p>
    <w:p w14:paraId="24D08905" w14:textId="77777777" w:rsidR="00CD2102" w:rsidRDefault="00CD2102" w:rsidP="0056049B">
      <w:pPr>
        <w:pStyle w:val="PZTextpsmene"/>
        <w:tabs>
          <w:tab w:val="left" w:pos="420"/>
          <w:tab w:val="left" w:pos="840"/>
        </w:tabs>
        <w:spacing w:before="0"/>
        <w:ind w:left="426" w:hanging="426"/>
      </w:pPr>
      <w:r w:rsidRPr="00193498">
        <w:t>j</w:t>
      </w:r>
      <w:r>
        <w:t>)</w:t>
      </w:r>
      <w:r>
        <w:tab/>
      </w:r>
      <w:r w:rsidRPr="00193498">
        <w:t>rozhodnutí</w:t>
      </w:r>
      <w:r>
        <w:t xml:space="preserve"> </w:t>
      </w:r>
      <w:r w:rsidRPr="00193498">
        <w:t>o</w:t>
      </w:r>
      <w:r>
        <w:t xml:space="preserve"> </w:t>
      </w:r>
      <w:r w:rsidRPr="00193498">
        <w:t>zrušení</w:t>
      </w:r>
      <w:r>
        <w:t xml:space="preserve"> </w:t>
      </w:r>
      <w:r w:rsidRPr="00193498">
        <w:t>společnosti</w:t>
      </w:r>
      <w:r>
        <w:t xml:space="preserve"> </w:t>
      </w:r>
      <w:r w:rsidRPr="00193498">
        <w:t>s</w:t>
      </w:r>
      <w:r>
        <w:t xml:space="preserve"> </w:t>
      </w:r>
      <w:r w:rsidRPr="00193498">
        <w:t>likvidací,</w:t>
      </w:r>
    </w:p>
    <w:p w14:paraId="6F255925" w14:textId="77777777" w:rsidR="00CD2102" w:rsidRDefault="00CD2102" w:rsidP="0056049B">
      <w:pPr>
        <w:pStyle w:val="PZTextpsmene"/>
        <w:tabs>
          <w:tab w:val="left" w:pos="420"/>
          <w:tab w:val="left" w:pos="840"/>
        </w:tabs>
        <w:spacing w:before="0"/>
        <w:ind w:left="426" w:hanging="426"/>
      </w:pPr>
      <w:r w:rsidRPr="00193498">
        <w:t>k</w:t>
      </w:r>
      <w:r>
        <w:t>)</w:t>
      </w:r>
      <w:r>
        <w:tab/>
      </w:r>
      <w:r w:rsidRPr="00193498">
        <w:t>jmenování</w:t>
      </w:r>
      <w:r>
        <w:t xml:space="preserve"> </w:t>
      </w:r>
      <w:r w:rsidRPr="00193498">
        <w:t>a</w:t>
      </w:r>
      <w:r>
        <w:t xml:space="preserve"> </w:t>
      </w:r>
      <w:r w:rsidRPr="00193498">
        <w:t>odvolání</w:t>
      </w:r>
      <w:r>
        <w:t xml:space="preserve"> </w:t>
      </w:r>
      <w:r w:rsidRPr="00193498">
        <w:t>likvidátora,</w:t>
      </w:r>
      <w:r>
        <w:t xml:space="preserve"> </w:t>
      </w:r>
      <w:r w:rsidRPr="00193498">
        <w:t>určí-li</w:t>
      </w:r>
      <w:r>
        <w:t xml:space="preserve"> </w:t>
      </w:r>
      <w:r w:rsidRPr="00193498">
        <w:t>tak</w:t>
      </w:r>
      <w:r>
        <w:t xml:space="preserve"> </w:t>
      </w:r>
      <w:r w:rsidRPr="00193498">
        <w:t>stanovy,</w:t>
      </w:r>
    </w:p>
    <w:p w14:paraId="06D9DE36" w14:textId="77777777" w:rsidR="00CD2102" w:rsidRDefault="00CD2102" w:rsidP="0056049B">
      <w:pPr>
        <w:pStyle w:val="PZTextpsmene"/>
        <w:tabs>
          <w:tab w:val="left" w:pos="420"/>
          <w:tab w:val="left" w:pos="840"/>
        </w:tabs>
        <w:spacing w:before="0"/>
        <w:ind w:left="426" w:hanging="426"/>
      </w:pPr>
      <w:r w:rsidRPr="00193498">
        <w:t>l</w:t>
      </w:r>
      <w:r>
        <w:t>)</w:t>
      </w:r>
      <w:r>
        <w:tab/>
      </w:r>
      <w:r w:rsidRPr="00193498">
        <w:t>schválení</w:t>
      </w:r>
      <w:r>
        <w:t xml:space="preserve"> </w:t>
      </w:r>
      <w:r w:rsidRPr="00193498">
        <w:t>konečné</w:t>
      </w:r>
      <w:r>
        <w:t xml:space="preserve"> </w:t>
      </w:r>
      <w:r w:rsidRPr="00193498">
        <w:t>zprávy</w:t>
      </w:r>
      <w:r>
        <w:t xml:space="preserve"> </w:t>
      </w:r>
      <w:r w:rsidRPr="00193498">
        <w:t>o</w:t>
      </w:r>
      <w:r>
        <w:t xml:space="preserve"> </w:t>
      </w:r>
      <w:r w:rsidRPr="00193498">
        <w:t>průběhu</w:t>
      </w:r>
      <w:r>
        <w:t xml:space="preserve"> </w:t>
      </w:r>
      <w:r w:rsidRPr="00193498">
        <w:t>likvidace</w:t>
      </w:r>
      <w:r>
        <w:t xml:space="preserve"> </w:t>
      </w:r>
      <w:r w:rsidRPr="00193498">
        <w:t>a</w:t>
      </w:r>
      <w:r>
        <w:t xml:space="preserve"> </w:t>
      </w:r>
      <w:r w:rsidRPr="00193498">
        <w:t>návrhu</w:t>
      </w:r>
      <w:r>
        <w:t xml:space="preserve"> </w:t>
      </w:r>
      <w:r w:rsidRPr="00193498">
        <w:t>na</w:t>
      </w:r>
      <w:r>
        <w:t xml:space="preserve"> </w:t>
      </w:r>
      <w:r w:rsidRPr="00193498">
        <w:t>použití</w:t>
      </w:r>
      <w:r>
        <w:t xml:space="preserve"> </w:t>
      </w:r>
      <w:r w:rsidRPr="00193498">
        <w:t>likvidačního</w:t>
      </w:r>
      <w:r>
        <w:t xml:space="preserve"> </w:t>
      </w:r>
      <w:r w:rsidRPr="00193498">
        <w:t>zůstatku,</w:t>
      </w:r>
    </w:p>
    <w:p w14:paraId="6F2E7FED" w14:textId="77777777" w:rsidR="00CD2102" w:rsidRPr="00431D16" w:rsidRDefault="00CD2102" w:rsidP="0056049B">
      <w:pPr>
        <w:pStyle w:val="PZTextpsmene"/>
        <w:tabs>
          <w:tab w:val="left" w:pos="420"/>
          <w:tab w:val="left" w:pos="840"/>
        </w:tabs>
        <w:spacing w:before="0"/>
        <w:ind w:left="426" w:hanging="426"/>
      </w:pPr>
      <w:r w:rsidRPr="00193498">
        <w:t>m</w:t>
      </w:r>
      <w:r>
        <w:t>)</w:t>
      </w:r>
      <w:r>
        <w:tab/>
      </w:r>
      <w:r w:rsidRPr="00431D16">
        <w:t>schválení převodu nebo zastavení závodu nebo takové části jmění, která by znamenala podstatnou změnu skutečného předmětu podnikání nebo činnosti společnosti,</w:t>
      </w:r>
    </w:p>
    <w:p w14:paraId="65EE9DC8" w14:textId="77777777" w:rsidR="00CD2102" w:rsidRDefault="00CD2102" w:rsidP="0056049B">
      <w:pPr>
        <w:pStyle w:val="PZTextpsmene"/>
        <w:tabs>
          <w:tab w:val="left" w:pos="420"/>
          <w:tab w:val="left" w:pos="840"/>
        </w:tabs>
        <w:spacing w:before="0"/>
        <w:ind w:left="426" w:hanging="426"/>
      </w:pPr>
      <w:r w:rsidRPr="00193498">
        <w:t>n</w:t>
      </w:r>
      <w:r>
        <w:t>)</w:t>
      </w:r>
      <w:r>
        <w:tab/>
      </w:r>
      <w:r w:rsidRPr="00193498">
        <w:t>rozhodnutí</w:t>
      </w:r>
      <w:r>
        <w:t xml:space="preserve"> </w:t>
      </w:r>
      <w:r w:rsidRPr="00193498">
        <w:t>o</w:t>
      </w:r>
      <w:r>
        <w:t xml:space="preserve"> </w:t>
      </w:r>
      <w:r w:rsidRPr="00193498">
        <w:t>převzetí</w:t>
      </w:r>
      <w:r>
        <w:t xml:space="preserve"> </w:t>
      </w:r>
      <w:r w:rsidRPr="00193498">
        <w:t>účinků</w:t>
      </w:r>
      <w:r>
        <w:t xml:space="preserve"> </w:t>
      </w:r>
      <w:r w:rsidRPr="00193498">
        <w:t>jednání</w:t>
      </w:r>
      <w:r>
        <w:t xml:space="preserve"> </w:t>
      </w:r>
      <w:r w:rsidRPr="00193498">
        <w:t>učiněných</w:t>
      </w:r>
      <w:r>
        <w:t xml:space="preserve"> </w:t>
      </w:r>
      <w:r w:rsidRPr="00193498">
        <w:t>za</w:t>
      </w:r>
      <w:r>
        <w:t xml:space="preserve"> </w:t>
      </w:r>
      <w:r w:rsidRPr="00193498">
        <w:t>společnost</w:t>
      </w:r>
      <w:r>
        <w:t xml:space="preserve"> </w:t>
      </w:r>
      <w:r w:rsidRPr="00193498">
        <w:t>před</w:t>
      </w:r>
      <w:r>
        <w:t xml:space="preserve"> </w:t>
      </w:r>
      <w:r w:rsidRPr="00193498">
        <w:t>jejím</w:t>
      </w:r>
      <w:r>
        <w:t xml:space="preserve"> </w:t>
      </w:r>
      <w:r w:rsidRPr="00193498">
        <w:t>vznikem,</w:t>
      </w:r>
    </w:p>
    <w:p w14:paraId="0E27F712" w14:textId="77777777" w:rsidR="00CD2102" w:rsidRDefault="00CD2102" w:rsidP="0056049B">
      <w:pPr>
        <w:pStyle w:val="PZTextpsmene"/>
        <w:tabs>
          <w:tab w:val="left" w:pos="420"/>
          <w:tab w:val="left" w:pos="840"/>
        </w:tabs>
        <w:spacing w:before="0"/>
        <w:ind w:left="426" w:hanging="426"/>
      </w:pPr>
      <w:r w:rsidRPr="00193498">
        <w:t>o</w:t>
      </w:r>
      <w:r>
        <w:t>)</w:t>
      </w:r>
      <w:r>
        <w:tab/>
      </w:r>
      <w:r w:rsidRPr="00193498">
        <w:t>schválení</w:t>
      </w:r>
      <w:r>
        <w:t xml:space="preserve"> </w:t>
      </w:r>
      <w:r w:rsidRPr="00193498">
        <w:t>smlouvy</w:t>
      </w:r>
      <w:r>
        <w:t xml:space="preserve"> </w:t>
      </w:r>
      <w:r w:rsidRPr="00193498">
        <w:t>o</w:t>
      </w:r>
      <w:r>
        <w:t xml:space="preserve"> </w:t>
      </w:r>
      <w:r w:rsidRPr="00193498">
        <w:t>tiché</w:t>
      </w:r>
      <w:r>
        <w:t xml:space="preserve"> </w:t>
      </w:r>
      <w:r w:rsidRPr="00193498">
        <w:t>společnosti</w:t>
      </w:r>
      <w:r>
        <w:t xml:space="preserve"> </w:t>
      </w:r>
      <w:r w:rsidRPr="00193498">
        <w:t>a</w:t>
      </w:r>
      <w:r>
        <w:t xml:space="preserve"> </w:t>
      </w:r>
      <w:r w:rsidRPr="00193498">
        <w:t>jiných</w:t>
      </w:r>
      <w:r>
        <w:t xml:space="preserve"> </w:t>
      </w:r>
      <w:r w:rsidRPr="00193498">
        <w:t>smluv,</w:t>
      </w:r>
      <w:r>
        <w:t xml:space="preserve"> </w:t>
      </w:r>
      <w:r w:rsidRPr="00193498">
        <w:t>jimiž</w:t>
      </w:r>
      <w:r>
        <w:t xml:space="preserve"> </w:t>
      </w:r>
      <w:r w:rsidRPr="00193498">
        <w:t>se</w:t>
      </w:r>
      <w:r>
        <w:t xml:space="preserve"> </w:t>
      </w:r>
      <w:r w:rsidRPr="00193498">
        <w:t>zakládá</w:t>
      </w:r>
      <w:r>
        <w:t xml:space="preserve"> </w:t>
      </w:r>
      <w:r w:rsidRPr="00193498">
        <w:t>právo</w:t>
      </w:r>
      <w:r>
        <w:t xml:space="preserve"> </w:t>
      </w:r>
      <w:r w:rsidRPr="00193498">
        <w:t>na</w:t>
      </w:r>
      <w:r>
        <w:t xml:space="preserve"> </w:t>
      </w:r>
      <w:r w:rsidRPr="00193498">
        <w:t>podílu</w:t>
      </w:r>
      <w:r>
        <w:t xml:space="preserve"> </w:t>
      </w:r>
      <w:r w:rsidRPr="00193498">
        <w:t>na</w:t>
      </w:r>
      <w:r>
        <w:t xml:space="preserve"> </w:t>
      </w:r>
      <w:r w:rsidRPr="00193498">
        <w:t>zisku</w:t>
      </w:r>
      <w:r>
        <w:t xml:space="preserve"> </w:t>
      </w:r>
      <w:r w:rsidRPr="00193498">
        <w:t>nebo</w:t>
      </w:r>
      <w:r>
        <w:t xml:space="preserve"> </w:t>
      </w:r>
      <w:r w:rsidRPr="00193498">
        <w:t>jiných</w:t>
      </w:r>
      <w:r>
        <w:t xml:space="preserve"> </w:t>
      </w:r>
      <w:r w:rsidRPr="002556C5">
        <w:rPr>
          <w:strike/>
        </w:rPr>
        <w:t>vlastních zdrojích</w:t>
      </w:r>
      <w:r w:rsidRPr="002556C5">
        <w:rPr>
          <w:b/>
        </w:rPr>
        <w:t xml:space="preserve"> částech vlastního kapitálu</w:t>
      </w:r>
      <w:r>
        <w:t xml:space="preserve"> </w:t>
      </w:r>
      <w:r w:rsidRPr="00193498">
        <w:t>společnosti,</w:t>
      </w:r>
    </w:p>
    <w:p w14:paraId="2E3E3938" w14:textId="77777777" w:rsidR="00CD2102" w:rsidRDefault="00CD2102" w:rsidP="0056049B">
      <w:pPr>
        <w:pStyle w:val="PZTextpsmene"/>
        <w:tabs>
          <w:tab w:val="left" w:pos="420"/>
          <w:tab w:val="left" w:pos="840"/>
        </w:tabs>
        <w:spacing w:before="0"/>
        <w:ind w:left="426" w:hanging="426"/>
      </w:pPr>
      <w:r w:rsidRPr="00193498">
        <w:t>p</w:t>
      </w:r>
      <w:r>
        <w:t>)</w:t>
      </w:r>
      <w:r>
        <w:tab/>
      </w:r>
      <w:r w:rsidRPr="00193498">
        <w:t>další</w:t>
      </w:r>
      <w:r>
        <w:t xml:space="preserve"> </w:t>
      </w:r>
      <w:r w:rsidRPr="00193498">
        <w:t>rozhodnutí,</w:t>
      </w:r>
      <w:r>
        <w:t xml:space="preserve"> </w:t>
      </w:r>
      <w:r w:rsidRPr="00193498">
        <w:t>která</w:t>
      </w:r>
      <w:r>
        <w:t xml:space="preserve"> </w:t>
      </w:r>
      <w:r w:rsidRPr="00193498">
        <w:t>tento</w:t>
      </w:r>
      <w:r>
        <w:t xml:space="preserve"> </w:t>
      </w:r>
      <w:r w:rsidRPr="00193498">
        <w:t>zákon</w:t>
      </w:r>
      <w:r>
        <w:t xml:space="preserve"> </w:t>
      </w:r>
      <w:r w:rsidRPr="00193498">
        <w:t>nebo</w:t>
      </w:r>
      <w:r>
        <w:t xml:space="preserve"> </w:t>
      </w:r>
      <w:r w:rsidRPr="00193498">
        <w:t>stanovy</w:t>
      </w:r>
      <w:r>
        <w:t xml:space="preserve"> </w:t>
      </w:r>
      <w:r w:rsidRPr="00193498">
        <w:t>svěřují</w:t>
      </w:r>
      <w:r>
        <w:t xml:space="preserve"> </w:t>
      </w:r>
      <w:r w:rsidRPr="00193498">
        <w:t>do</w:t>
      </w:r>
      <w:r>
        <w:t xml:space="preserve"> </w:t>
      </w:r>
      <w:r w:rsidRPr="00193498">
        <w:t>působnosti</w:t>
      </w:r>
      <w:r>
        <w:t xml:space="preserve"> </w:t>
      </w:r>
      <w:r w:rsidRPr="00193498">
        <w:t>valné</w:t>
      </w:r>
      <w:r>
        <w:t xml:space="preserve"> </w:t>
      </w:r>
      <w:r w:rsidRPr="00193498">
        <w:t>hromady,</w:t>
      </w:r>
    </w:p>
    <w:p w14:paraId="2425DE5B" w14:textId="77777777" w:rsidR="00CD2102" w:rsidRDefault="00CD2102" w:rsidP="0056049B">
      <w:pPr>
        <w:pStyle w:val="PZTextpsmene"/>
        <w:tabs>
          <w:tab w:val="left" w:pos="420"/>
          <w:tab w:val="left" w:pos="840"/>
        </w:tabs>
        <w:spacing w:before="0"/>
        <w:ind w:left="426" w:hanging="426"/>
      </w:pPr>
      <w:r w:rsidRPr="00193498">
        <w:t>q</w:t>
      </w:r>
      <w:r>
        <w:t>)</w:t>
      </w:r>
      <w:r>
        <w:tab/>
      </w:r>
      <w:r w:rsidRPr="00193498">
        <w:t>rozhodnutí</w:t>
      </w:r>
      <w:r>
        <w:t xml:space="preserve"> </w:t>
      </w:r>
      <w:r w:rsidRPr="00193498">
        <w:t>o</w:t>
      </w:r>
      <w:r>
        <w:t xml:space="preserve"> </w:t>
      </w:r>
      <w:r w:rsidRPr="00193498">
        <w:t>přeměně</w:t>
      </w:r>
      <w:r>
        <w:t xml:space="preserve"> </w:t>
      </w:r>
      <w:r w:rsidRPr="00193498">
        <w:t>společnosti,</w:t>
      </w:r>
      <w:r>
        <w:t xml:space="preserve"> </w:t>
      </w:r>
      <w:r w:rsidRPr="00193498">
        <w:t>ledaže</w:t>
      </w:r>
      <w:r>
        <w:t xml:space="preserve"> </w:t>
      </w:r>
      <w:r w:rsidRPr="00193498">
        <w:t>zákon</w:t>
      </w:r>
      <w:r>
        <w:t xml:space="preserve"> </w:t>
      </w:r>
      <w:r w:rsidRPr="00193498">
        <w:t>upravující</w:t>
      </w:r>
      <w:r>
        <w:t xml:space="preserve"> </w:t>
      </w:r>
      <w:r w:rsidRPr="00193498">
        <w:t>přeměny</w:t>
      </w:r>
      <w:r>
        <w:t xml:space="preserve"> </w:t>
      </w:r>
      <w:r w:rsidRPr="00193498">
        <w:t>obchodních</w:t>
      </w:r>
      <w:r>
        <w:t xml:space="preserve"> </w:t>
      </w:r>
      <w:r w:rsidRPr="00193498">
        <w:t>společností</w:t>
      </w:r>
      <w:r>
        <w:t xml:space="preserve"> </w:t>
      </w:r>
      <w:r w:rsidRPr="00193498">
        <w:t>a</w:t>
      </w:r>
      <w:r>
        <w:t xml:space="preserve"> </w:t>
      </w:r>
      <w:r w:rsidRPr="00193498">
        <w:t>družstev</w:t>
      </w:r>
      <w:r>
        <w:t xml:space="preserve"> </w:t>
      </w:r>
      <w:r w:rsidRPr="00193498">
        <w:t>stanoví</w:t>
      </w:r>
      <w:r>
        <w:t xml:space="preserve"> </w:t>
      </w:r>
      <w:r w:rsidRPr="00193498">
        <w:t>jinak.</w:t>
      </w:r>
    </w:p>
    <w:p w14:paraId="5BD007B3" w14:textId="47A5541A" w:rsidR="00CD2102" w:rsidRDefault="00CD2102" w:rsidP="0056049B">
      <w:pPr>
        <w:pStyle w:val="PZTextodstavce"/>
        <w:tabs>
          <w:tab w:val="clear" w:pos="851"/>
          <w:tab w:val="left" w:pos="420"/>
          <w:tab w:val="left" w:pos="840"/>
        </w:tabs>
        <w:spacing w:before="240"/>
      </w:pPr>
      <w:r w:rsidRPr="00193498">
        <w:t>(3</w:t>
      </w:r>
      <w:r w:rsidR="004435C8">
        <w:t xml:space="preserve">) </w:t>
      </w:r>
      <w:r w:rsidRPr="00193498">
        <w:t>Valná</w:t>
      </w:r>
      <w:r>
        <w:t xml:space="preserve"> </w:t>
      </w:r>
      <w:r w:rsidRPr="00193498">
        <w:t>hromada</w:t>
      </w:r>
      <w:r>
        <w:t xml:space="preserve"> </w:t>
      </w:r>
      <w:r w:rsidRPr="00193498">
        <w:t>si</w:t>
      </w:r>
      <w:r>
        <w:t xml:space="preserve"> </w:t>
      </w:r>
      <w:r w:rsidRPr="00193498">
        <w:t>nemůže</w:t>
      </w:r>
      <w:r>
        <w:t xml:space="preserve"> </w:t>
      </w:r>
      <w:r w:rsidRPr="00193498">
        <w:t>vyhradit</w:t>
      </w:r>
      <w:r>
        <w:t xml:space="preserve"> </w:t>
      </w:r>
      <w:r w:rsidRPr="00193498">
        <w:t>rozhodování</w:t>
      </w:r>
      <w:r>
        <w:t xml:space="preserve"> </w:t>
      </w:r>
      <w:r w:rsidRPr="00193498">
        <w:t>případů,</w:t>
      </w:r>
      <w:r>
        <w:t xml:space="preserve"> </w:t>
      </w:r>
      <w:r w:rsidRPr="00193498">
        <w:t>které</w:t>
      </w:r>
      <w:r>
        <w:t xml:space="preserve"> </w:t>
      </w:r>
      <w:r w:rsidRPr="00193498">
        <w:t>do</w:t>
      </w:r>
      <w:r>
        <w:t xml:space="preserve"> </w:t>
      </w:r>
      <w:r w:rsidRPr="00193498">
        <w:t>její</w:t>
      </w:r>
      <w:r>
        <w:t xml:space="preserve"> </w:t>
      </w:r>
      <w:r w:rsidRPr="00193498">
        <w:t>působnosti</w:t>
      </w:r>
      <w:r>
        <w:t xml:space="preserve"> </w:t>
      </w:r>
      <w:r w:rsidRPr="00193498">
        <w:t>nesvěřuje</w:t>
      </w:r>
      <w:r>
        <w:t xml:space="preserve"> </w:t>
      </w:r>
      <w:r w:rsidRPr="00193498">
        <w:t>tento</w:t>
      </w:r>
      <w:r>
        <w:t xml:space="preserve"> </w:t>
      </w:r>
      <w:r w:rsidRPr="00193498">
        <w:t>zákon</w:t>
      </w:r>
      <w:r>
        <w:t xml:space="preserve"> </w:t>
      </w:r>
      <w:r w:rsidRPr="00193498">
        <w:t>nebo</w:t>
      </w:r>
      <w:r>
        <w:t xml:space="preserve"> </w:t>
      </w:r>
      <w:r w:rsidRPr="00193498">
        <w:t>stanovy.</w:t>
      </w:r>
    </w:p>
    <w:p w14:paraId="3FC59B26" w14:textId="77777777" w:rsidR="00CD2102" w:rsidRDefault="00CD2102" w:rsidP="0056049B">
      <w:pPr>
        <w:pStyle w:val="Paragraf"/>
        <w:keepNext w:val="0"/>
        <w:keepLines w:val="0"/>
        <w:numPr>
          <w:ilvl w:val="0"/>
          <w:numId w:val="27"/>
        </w:numPr>
        <w:tabs>
          <w:tab w:val="left" w:pos="420"/>
          <w:tab w:val="left" w:pos="840"/>
        </w:tabs>
        <w:spacing w:after="120"/>
      </w:pPr>
      <w:r w:rsidRPr="00AA135D">
        <w:t>***</w:t>
      </w:r>
    </w:p>
    <w:p w14:paraId="1ADDE07E" w14:textId="77777777" w:rsidR="00CD2102" w:rsidRDefault="00CD2102" w:rsidP="0056049B">
      <w:pPr>
        <w:pStyle w:val="Paragraf"/>
        <w:keepNext w:val="0"/>
        <w:keepLines w:val="0"/>
        <w:numPr>
          <w:ilvl w:val="0"/>
          <w:numId w:val="27"/>
        </w:numPr>
        <w:tabs>
          <w:tab w:val="left" w:pos="420"/>
          <w:tab w:val="left" w:pos="840"/>
        </w:tabs>
        <w:spacing w:after="120"/>
      </w:pPr>
      <w:r>
        <w:t>§ 435</w:t>
      </w:r>
    </w:p>
    <w:p w14:paraId="4CF9F386" w14:textId="372F8FEF" w:rsidR="00CD2102" w:rsidRPr="004435C8" w:rsidRDefault="005E4900" w:rsidP="0056049B">
      <w:pPr>
        <w:pStyle w:val="PZTextodstavce"/>
        <w:tabs>
          <w:tab w:val="clear" w:pos="851"/>
          <w:tab w:val="left" w:pos="420"/>
          <w:tab w:val="left" w:pos="840"/>
        </w:tabs>
      </w:pPr>
      <w:r>
        <w:t xml:space="preserve">(1) </w:t>
      </w:r>
      <w:r w:rsidR="00CD2102" w:rsidRPr="004435C8">
        <w:t>Statutárním orgánem společnosti je představenstvo.</w:t>
      </w:r>
    </w:p>
    <w:p w14:paraId="2C004CE6" w14:textId="335E00F1" w:rsidR="00CD2102" w:rsidRPr="004435C8" w:rsidRDefault="005E4900" w:rsidP="0056049B">
      <w:pPr>
        <w:pStyle w:val="PZTextodstavce"/>
        <w:tabs>
          <w:tab w:val="clear" w:pos="851"/>
          <w:tab w:val="left" w:pos="420"/>
          <w:tab w:val="left" w:pos="840"/>
        </w:tabs>
      </w:pPr>
      <w:r>
        <w:t xml:space="preserve">(2) </w:t>
      </w:r>
      <w:r w:rsidR="00CD2102" w:rsidRPr="004435C8">
        <w:t>Představenstvu přísluší obchodní vedení společnosti.</w:t>
      </w:r>
    </w:p>
    <w:p w14:paraId="2292D8A4" w14:textId="48C80F4E" w:rsidR="00CD2102" w:rsidRDefault="005E4900" w:rsidP="0056049B">
      <w:pPr>
        <w:pStyle w:val="PZTextodstavce"/>
        <w:tabs>
          <w:tab w:val="clear" w:pos="851"/>
          <w:tab w:val="left" w:pos="420"/>
          <w:tab w:val="left" w:pos="840"/>
        </w:tabs>
      </w:pPr>
      <w:r>
        <w:t xml:space="preserve">(3) </w:t>
      </w:r>
      <w:r w:rsidR="00CD2102" w:rsidRPr="00114057">
        <w:t>Představenstvo se řídí zásadami a pokyny schválenými valnou hromadou, pokud jsou v souladu s právními předpisy a stanovami. Nikdo však není oprávněn udělovat představenstvu pokyny týkající se obchodního vedení; tím není dotčen § 51 odst. 2.</w:t>
      </w:r>
    </w:p>
    <w:p w14:paraId="768DD12F" w14:textId="006935C6" w:rsidR="00CD2102" w:rsidRPr="004435C8" w:rsidRDefault="005E4900" w:rsidP="0056049B">
      <w:pPr>
        <w:pStyle w:val="PZTextodstavce"/>
        <w:tabs>
          <w:tab w:val="clear" w:pos="851"/>
          <w:tab w:val="left" w:pos="420"/>
          <w:tab w:val="left" w:pos="840"/>
        </w:tabs>
      </w:pPr>
      <w:r>
        <w:t xml:space="preserve">(4) </w:t>
      </w:r>
      <w:r w:rsidR="00CD2102" w:rsidRPr="004435C8">
        <w:t xml:space="preserve">Představenstvo zajišťuje řádné </w:t>
      </w:r>
      <w:r w:rsidR="00CD2102" w:rsidRPr="004435C8">
        <w:rPr>
          <w:strike/>
        </w:rPr>
        <w:t>vedení účetnictví</w:t>
      </w:r>
      <w:r w:rsidR="00CD2102" w:rsidRPr="004435C8">
        <w:rPr>
          <w:b/>
          <w:szCs w:val="24"/>
        </w:rPr>
        <w:t xml:space="preserve"> plnění povinností souvisejících s účetnictvím</w:t>
      </w:r>
      <w:r w:rsidR="00CD2102" w:rsidRPr="004435C8">
        <w:t xml:space="preserve">, předkládá valné hromadě ke schválení </w:t>
      </w:r>
      <w:r w:rsidR="00CD2102" w:rsidRPr="004435C8">
        <w:rPr>
          <w:strike/>
        </w:rPr>
        <w:t xml:space="preserve">řádnou, mimořádnou, konsolidovanou, případně mezitímní </w:t>
      </w:r>
      <w:r w:rsidR="00CD2102" w:rsidRPr="004435C8">
        <w:t xml:space="preserve">účetní závěrku a v souladu se stanovami také návrh na rozdělení zisku nebo jiných </w:t>
      </w:r>
      <w:r w:rsidR="00CD2102" w:rsidRPr="004435C8">
        <w:rPr>
          <w:strike/>
        </w:rPr>
        <w:t>vlastních zdrojů</w:t>
      </w:r>
      <w:r w:rsidR="00CD2102" w:rsidRPr="004435C8">
        <w:t xml:space="preserve"> </w:t>
      </w:r>
      <w:r w:rsidR="00CD2102" w:rsidRPr="004435C8">
        <w:rPr>
          <w:b/>
        </w:rPr>
        <w:t>částí vlastního kapitálu</w:t>
      </w:r>
      <w:r w:rsidR="00CD2102" w:rsidRPr="004435C8">
        <w:t xml:space="preserve"> nebo úhradu ztráty.</w:t>
      </w:r>
    </w:p>
    <w:p w14:paraId="399EEE76" w14:textId="64757DAD" w:rsidR="00CD2102" w:rsidRPr="002E5FBF" w:rsidRDefault="005E4900" w:rsidP="0056049B">
      <w:pPr>
        <w:pStyle w:val="PZTextodstavce"/>
        <w:tabs>
          <w:tab w:val="clear" w:pos="851"/>
          <w:tab w:val="left" w:pos="420"/>
          <w:tab w:val="left" w:pos="840"/>
        </w:tabs>
        <w:rPr>
          <w:strike/>
        </w:rPr>
      </w:pPr>
      <w:r>
        <w:rPr>
          <w:strike/>
        </w:rPr>
        <w:t xml:space="preserve">(5) </w:t>
      </w:r>
      <w:r w:rsidR="00CD2102" w:rsidRPr="002E5FBF">
        <w:rPr>
          <w:strike/>
        </w:rPr>
        <w:t>Představenstvo společnosti, která nezpracovává výroční zprávu podle jiného právního předpisu, vyhotoví zprávu o podnikatelské činnosti a o stavu jejího majetku, v níž zhodnotí stav majetku a podnikatelskou činnost společnosti v </w:t>
      </w:r>
      <w:r w:rsidR="00CD2102" w:rsidRPr="002E5FBF">
        <w:rPr>
          <w:b/>
          <w:strike/>
        </w:rPr>
        <w:t xml:space="preserve"> </w:t>
      </w:r>
      <w:r w:rsidR="00CD2102" w:rsidRPr="002E5FBF">
        <w:rPr>
          <w:strike/>
        </w:rPr>
        <w:t>účetním období, za něž se sestavuje účetní závěrka, a předpokládaný další vývoj podnikatelské činnosti společnosti. Zpráva o podnikatelské činnosti a o stavu jejího majetku se uloží do sbírky listin ve lhůtě pro uložení účetní závěrky sestavené za účetní období, za něž se zpráva sestavuje.</w:t>
      </w:r>
    </w:p>
    <w:p w14:paraId="212EFE69" w14:textId="4D3B4483" w:rsidR="00CD2102" w:rsidRPr="002E5FBF" w:rsidRDefault="005E4900" w:rsidP="0056049B">
      <w:pPr>
        <w:pStyle w:val="PZTextodstavce"/>
        <w:tabs>
          <w:tab w:val="clear" w:pos="851"/>
          <w:tab w:val="left" w:pos="420"/>
          <w:tab w:val="left" w:pos="840"/>
        </w:tabs>
        <w:rPr>
          <w:b/>
          <w:bCs/>
        </w:rPr>
      </w:pPr>
      <w:r>
        <w:rPr>
          <w:b/>
          <w:bCs/>
        </w:rPr>
        <w:t xml:space="preserve">(5) </w:t>
      </w:r>
      <w:r w:rsidR="00CD2102" w:rsidRPr="002E5FBF">
        <w:rPr>
          <w:b/>
          <w:bCs/>
        </w:rPr>
        <w:t xml:space="preserve">Představenstvo společnosti, která nevyhotovuje individuální zprávu vedení, vyhotoví zprávu o podnikatelské činnosti, v níž zhodnotí stav aktiv a podnikatelskou činnost společnosti v individuálním účetním období, za něž se sestavuje řádná individuální účetní závěrka, a předpokládaný další vývoj podnikatelské činnosti společnosti. Zpráva o </w:t>
      </w:r>
      <w:r w:rsidR="00CD2102" w:rsidRPr="002E5FBF">
        <w:rPr>
          <w:b/>
          <w:bCs/>
        </w:rPr>
        <w:lastRenderedPageBreak/>
        <w:t>podnikatelské činnosti se uloží do sbírky listin ve lhůtě pro uložení řádné individuální účetní závěrky sestavené za individuální účetní období, za něž se zpráva sestavuje.</w:t>
      </w:r>
    </w:p>
    <w:p w14:paraId="6EB7826C" w14:textId="77777777" w:rsidR="00CD2102" w:rsidRDefault="00CD2102" w:rsidP="0056049B">
      <w:pPr>
        <w:pStyle w:val="Paragraf"/>
        <w:keepNext w:val="0"/>
        <w:keepLines w:val="0"/>
        <w:numPr>
          <w:ilvl w:val="0"/>
          <w:numId w:val="27"/>
        </w:numPr>
        <w:tabs>
          <w:tab w:val="left" w:pos="420"/>
          <w:tab w:val="left" w:pos="840"/>
        </w:tabs>
        <w:spacing w:after="120"/>
      </w:pPr>
      <w:r>
        <w:t>§ 436</w:t>
      </w:r>
    </w:p>
    <w:p w14:paraId="11135C54" w14:textId="77777777" w:rsidR="00CD2102" w:rsidRDefault="00CD2102" w:rsidP="0056049B">
      <w:pPr>
        <w:pStyle w:val="PZTextodstavce"/>
        <w:tabs>
          <w:tab w:val="clear" w:pos="851"/>
          <w:tab w:val="left" w:pos="420"/>
          <w:tab w:val="left" w:pos="840"/>
        </w:tabs>
      </w:pPr>
      <w:r w:rsidRPr="006C4E4F">
        <w:t>(1)</w:t>
      </w:r>
      <w:r w:rsidRPr="00F5673F">
        <w:t xml:space="preserve"> </w:t>
      </w:r>
      <w:r w:rsidRPr="00D60FC7">
        <w:t>Účetní</w:t>
      </w:r>
      <w:r w:rsidRPr="002556C5">
        <w:rPr>
          <w:b/>
        </w:rPr>
        <w:t xml:space="preserve"> </w:t>
      </w:r>
      <w:r w:rsidRPr="006C4E4F">
        <w:t>závěrku</w:t>
      </w:r>
      <w:r w:rsidRPr="002556C5">
        <w:t xml:space="preserve"> </w:t>
      </w:r>
      <w:r w:rsidRPr="00114057">
        <w:t xml:space="preserve">uveřejní představenstvo na internetových stránkách společnosti alespoň po dobu 30 dnů přede dnem konání valné hromady a po dobu 30 dnů od schválení nebo neschválení </w:t>
      </w:r>
      <w:r w:rsidRPr="002556C5">
        <w:rPr>
          <w:b/>
        </w:rPr>
        <w:t xml:space="preserve">této </w:t>
      </w:r>
      <w:r w:rsidRPr="006C4E4F">
        <w:t>účetní závěrky</w:t>
      </w:r>
      <w:r w:rsidRPr="00114057">
        <w:t>.</w:t>
      </w:r>
    </w:p>
    <w:p w14:paraId="2EC9B5FE" w14:textId="434A2496" w:rsidR="00CD2102" w:rsidRPr="006C4E4F" w:rsidRDefault="005E4900" w:rsidP="0056049B">
      <w:pPr>
        <w:pStyle w:val="PZTextodstavce"/>
        <w:tabs>
          <w:tab w:val="clear" w:pos="851"/>
          <w:tab w:val="left" w:pos="420"/>
          <w:tab w:val="left" w:pos="840"/>
        </w:tabs>
      </w:pPr>
      <w:r>
        <w:t xml:space="preserve">(2) </w:t>
      </w:r>
      <w:r w:rsidR="00CD2102" w:rsidRPr="00FC105F">
        <w:t>Společně s účetní závěrkou uveřejní představenstvo</w:t>
      </w:r>
      <w:r w:rsidR="00CD2102" w:rsidRPr="002556C5">
        <w:t xml:space="preserve"> </w:t>
      </w:r>
      <w:r w:rsidR="00CD2102" w:rsidRPr="002556C5">
        <w:rPr>
          <w:strike/>
        </w:rPr>
        <w:t>výroční zprávu</w:t>
      </w:r>
      <w:r w:rsidR="00CD2102" w:rsidRPr="002556C5">
        <w:t xml:space="preserve"> </w:t>
      </w:r>
      <w:r w:rsidR="00CD2102" w:rsidRPr="002556C5">
        <w:rPr>
          <w:b/>
          <w:bCs/>
        </w:rPr>
        <w:t xml:space="preserve">individuální zprávu vedení </w:t>
      </w:r>
      <w:r w:rsidR="00CD2102" w:rsidRPr="00FC105F">
        <w:t>zpracovanou podle právních předpisů upravujících účetnictví.</w:t>
      </w:r>
      <w:r w:rsidR="00CD2102" w:rsidRPr="002556C5">
        <w:t xml:space="preserve"> </w:t>
      </w:r>
      <w:r w:rsidR="00CD2102" w:rsidRPr="002556C5">
        <w:rPr>
          <w:strike/>
        </w:rPr>
        <w:t xml:space="preserve">Nezpracovává-li se výroční </w:t>
      </w:r>
      <w:proofErr w:type="gramStart"/>
      <w:r w:rsidR="00CD2102" w:rsidRPr="002556C5">
        <w:rPr>
          <w:strike/>
        </w:rPr>
        <w:t>zpráva</w:t>
      </w:r>
      <w:r w:rsidR="00CD2102" w:rsidRPr="002556C5">
        <w:rPr>
          <w:b/>
        </w:rPr>
        <w:t xml:space="preserve"> Nevyhotovuje</w:t>
      </w:r>
      <w:proofErr w:type="gramEnd"/>
      <w:r w:rsidR="00CD2102" w:rsidRPr="002556C5">
        <w:rPr>
          <w:b/>
        </w:rPr>
        <w:t>-li se individuální zpráva vedení</w:t>
      </w:r>
      <w:r w:rsidR="00CD2102" w:rsidRPr="00F5673F">
        <w:t>, uveřejní představenstvo společně s </w:t>
      </w:r>
      <w:r w:rsidR="00CD2102" w:rsidRPr="002556C5">
        <w:rPr>
          <w:b/>
        </w:rPr>
        <w:t xml:space="preserve">individuální </w:t>
      </w:r>
      <w:r w:rsidR="00CD2102" w:rsidRPr="00F5673F">
        <w:t xml:space="preserve">účetní závěrkou zprávu o podnikatelské činnosti společnosti </w:t>
      </w:r>
      <w:r w:rsidR="00CD2102" w:rsidRPr="002556C5">
        <w:rPr>
          <w:strike/>
        </w:rPr>
        <w:t>a o stavu jejího majetku</w:t>
      </w:r>
      <w:r w:rsidR="00CD2102" w:rsidRPr="006C4E4F">
        <w:t>.</w:t>
      </w:r>
    </w:p>
    <w:p w14:paraId="0B57A2F3" w14:textId="77777777" w:rsidR="00CD2102" w:rsidRDefault="00CD2102" w:rsidP="0056049B">
      <w:pPr>
        <w:pStyle w:val="Paragraf"/>
        <w:keepNext w:val="0"/>
        <w:keepLines w:val="0"/>
        <w:numPr>
          <w:ilvl w:val="0"/>
          <w:numId w:val="27"/>
        </w:numPr>
        <w:tabs>
          <w:tab w:val="left" w:pos="420"/>
          <w:tab w:val="left" w:pos="840"/>
        </w:tabs>
        <w:spacing w:after="120"/>
      </w:pPr>
      <w:r w:rsidRPr="00AA135D">
        <w:t>***</w:t>
      </w:r>
    </w:p>
    <w:p w14:paraId="3C12F74E" w14:textId="77777777" w:rsidR="00CD2102" w:rsidRDefault="00CD2102" w:rsidP="0056049B">
      <w:pPr>
        <w:pStyle w:val="Paragraf"/>
        <w:keepNext w:val="0"/>
        <w:keepLines w:val="0"/>
        <w:numPr>
          <w:ilvl w:val="0"/>
          <w:numId w:val="27"/>
        </w:numPr>
        <w:tabs>
          <w:tab w:val="left" w:pos="420"/>
          <w:tab w:val="left" w:pos="840"/>
        </w:tabs>
        <w:spacing w:after="120"/>
      </w:pPr>
      <w:r>
        <w:t>§ 447</w:t>
      </w:r>
    </w:p>
    <w:p w14:paraId="3EA63990" w14:textId="0889FCED" w:rsidR="00CD2102" w:rsidRDefault="005E4900" w:rsidP="0056049B">
      <w:pPr>
        <w:pStyle w:val="PZTextodstavce"/>
        <w:tabs>
          <w:tab w:val="clear" w:pos="851"/>
          <w:tab w:val="left" w:pos="420"/>
          <w:tab w:val="left" w:pos="840"/>
        </w:tabs>
      </w:pPr>
      <w:r>
        <w:t xml:space="preserve">(1) </w:t>
      </w:r>
      <w:r w:rsidR="00CD2102" w:rsidRPr="00114057">
        <w:t xml:space="preserve">Dozorčí rada je oprávněna nahlížet do všech dokladů a záznamů týkajících se činnosti společnosti a kontrolovat, zda </w:t>
      </w:r>
      <w:r w:rsidR="00CD2102" w:rsidRPr="002556C5">
        <w:rPr>
          <w:strike/>
        </w:rPr>
        <w:t>jsou účetní zápisy</w:t>
      </w:r>
      <w:r w:rsidR="00CD2102" w:rsidRPr="002556C5">
        <w:rPr>
          <w:b/>
          <w:strike/>
        </w:rPr>
        <w:t xml:space="preserve"> </w:t>
      </w:r>
      <w:r w:rsidR="00CD2102" w:rsidRPr="002556C5">
        <w:rPr>
          <w:strike/>
        </w:rPr>
        <w:t>vedeny</w:t>
      </w:r>
      <w:r w:rsidR="00CD2102" w:rsidRPr="002556C5">
        <w:t xml:space="preserve"> </w:t>
      </w:r>
      <w:r w:rsidR="00CD2102" w:rsidRPr="002556C5">
        <w:rPr>
          <w:b/>
        </w:rPr>
        <w:t>je účetnictví vedeno</w:t>
      </w:r>
      <w:r w:rsidR="00CD2102" w:rsidRPr="00F5673F">
        <w:t xml:space="preserve"> řádně</w:t>
      </w:r>
      <w:r w:rsidR="00CD2102" w:rsidRPr="00114057">
        <w:t xml:space="preserve"> a v souladu se skutečností a zda se podnikatelská či jiná činnost společnosti děje v souladu s právními předpisy a stanovami.</w:t>
      </w:r>
    </w:p>
    <w:p w14:paraId="09FB1512" w14:textId="75CD25B8" w:rsidR="00CD2102" w:rsidRPr="00B05AED" w:rsidRDefault="005E4900" w:rsidP="0056049B">
      <w:pPr>
        <w:pStyle w:val="PZTextodstavce"/>
        <w:tabs>
          <w:tab w:val="clear" w:pos="851"/>
          <w:tab w:val="left" w:pos="420"/>
          <w:tab w:val="left" w:pos="840"/>
        </w:tabs>
      </w:pPr>
      <w:r>
        <w:t xml:space="preserve">(2) </w:t>
      </w:r>
      <w:r w:rsidR="00CD2102" w:rsidRPr="00114057">
        <w:t xml:space="preserve">Oprávnění podle odstavce 1 mohou členové dozorčí rady využívat jen na základě rozhodnutí dozorčí rady, ledaže </w:t>
      </w:r>
      <w:r w:rsidR="00CD2102" w:rsidRPr="00B05AED">
        <w:t>dozorčí rada není schopna plnit své funkce.</w:t>
      </w:r>
    </w:p>
    <w:p w14:paraId="0063F928" w14:textId="22075A3B" w:rsidR="00CD2102" w:rsidRPr="005E4900" w:rsidRDefault="005E4900" w:rsidP="0056049B">
      <w:pPr>
        <w:pStyle w:val="PZTextodstavce"/>
        <w:tabs>
          <w:tab w:val="clear" w:pos="851"/>
          <w:tab w:val="left" w:pos="420"/>
          <w:tab w:val="left" w:pos="840"/>
        </w:tabs>
      </w:pPr>
      <w:r>
        <w:t xml:space="preserve">(3) </w:t>
      </w:r>
      <w:r w:rsidR="00CD2102" w:rsidRPr="005E4900">
        <w:t xml:space="preserve">Dozorčí rada přezkoumává </w:t>
      </w:r>
      <w:r w:rsidR="00CD2102" w:rsidRPr="005E4900">
        <w:rPr>
          <w:strike/>
        </w:rPr>
        <w:t>řádnou, mimořádnou, konsolidovanou, popřípadě také mezitímní</w:t>
      </w:r>
      <w:r w:rsidR="00CD2102" w:rsidRPr="005E4900">
        <w:t xml:space="preserve"> účetní závěrku a návrh na rozdělení zisku nebo jiných </w:t>
      </w:r>
      <w:r w:rsidR="00CD2102" w:rsidRPr="005E4900">
        <w:rPr>
          <w:strike/>
        </w:rPr>
        <w:t>vlastních zdrojů</w:t>
      </w:r>
      <w:r w:rsidR="00CD2102" w:rsidRPr="005E4900">
        <w:t xml:space="preserve"> </w:t>
      </w:r>
      <w:r w:rsidR="00CD2102" w:rsidRPr="005E4900">
        <w:rPr>
          <w:b/>
        </w:rPr>
        <w:t>částí vlastního kapitálu</w:t>
      </w:r>
      <w:r w:rsidR="00CD2102" w:rsidRPr="005E4900">
        <w:t xml:space="preserve"> nebo na úhradu ztráty a předkládá svá vyjádření valné hromadě.</w:t>
      </w:r>
    </w:p>
    <w:p w14:paraId="165A2E0E" w14:textId="692BC41D" w:rsidR="00CD2102" w:rsidRDefault="005E4900" w:rsidP="0056049B">
      <w:pPr>
        <w:pStyle w:val="PZTextodstavce"/>
        <w:tabs>
          <w:tab w:val="clear" w:pos="851"/>
          <w:tab w:val="left" w:pos="420"/>
          <w:tab w:val="left" w:pos="840"/>
        </w:tabs>
      </w:pPr>
      <w:r>
        <w:t xml:space="preserve">(4) </w:t>
      </w:r>
      <w:r w:rsidR="00CD2102" w:rsidRPr="00114057">
        <w:t>Dozorčí rada určí svého člena, který zastupuje společnost v řízení před soudy a jinými orgány proti členu představenstva.</w:t>
      </w:r>
    </w:p>
    <w:p w14:paraId="13C29789" w14:textId="77777777" w:rsidR="00CD2102" w:rsidRDefault="00CD2102" w:rsidP="0056049B">
      <w:pPr>
        <w:pStyle w:val="Paragraf"/>
        <w:keepNext w:val="0"/>
        <w:keepLines w:val="0"/>
        <w:numPr>
          <w:ilvl w:val="0"/>
          <w:numId w:val="27"/>
        </w:numPr>
        <w:tabs>
          <w:tab w:val="left" w:pos="420"/>
          <w:tab w:val="left" w:pos="840"/>
        </w:tabs>
        <w:spacing w:after="120"/>
      </w:pPr>
      <w:r w:rsidRPr="00AA135D">
        <w:t>***</w:t>
      </w:r>
    </w:p>
    <w:p w14:paraId="2B3C30EC" w14:textId="77777777" w:rsidR="00CD2102" w:rsidRDefault="00CD2102" w:rsidP="0056049B">
      <w:pPr>
        <w:pStyle w:val="Paragraf"/>
        <w:keepNext w:val="0"/>
        <w:keepLines w:val="0"/>
        <w:numPr>
          <w:ilvl w:val="0"/>
          <w:numId w:val="27"/>
        </w:numPr>
        <w:tabs>
          <w:tab w:val="left" w:pos="420"/>
          <w:tab w:val="left" w:pos="840"/>
        </w:tabs>
        <w:spacing w:after="120"/>
      </w:pPr>
      <w:r>
        <w:t>§ 456</w:t>
      </w:r>
    </w:p>
    <w:p w14:paraId="3F2D9285" w14:textId="5F008A07" w:rsidR="00CD2102" w:rsidRDefault="005E4900" w:rsidP="0056049B">
      <w:pPr>
        <w:pStyle w:val="PZTextodstavce"/>
        <w:tabs>
          <w:tab w:val="clear" w:pos="851"/>
          <w:tab w:val="left" w:pos="420"/>
          <w:tab w:val="left" w:pos="840"/>
        </w:tabs>
      </w:pPr>
      <w:r>
        <w:t xml:space="preserve">(1) </w:t>
      </w:r>
      <w:r w:rsidR="00CD2102" w:rsidRPr="00754120">
        <w:t>Statutárním orgánem společnosti je správní rada.</w:t>
      </w:r>
    </w:p>
    <w:p w14:paraId="525AC86A" w14:textId="1CC091E7" w:rsidR="00CD2102" w:rsidRDefault="005E4900" w:rsidP="0056049B">
      <w:pPr>
        <w:pStyle w:val="PZTextodstavce"/>
        <w:tabs>
          <w:tab w:val="clear" w:pos="851"/>
          <w:tab w:val="left" w:pos="420"/>
          <w:tab w:val="left" w:pos="840"/>
        </w:tabs>
      </w:pPr>
      <w:r>
        <w:t xml:space="preserve">(2) </w:t>
      </w:r>
      <w:r w:rsidR="00CD2102" w:rsidRPr="00754120">
        <w:t>Správní radě přísluší obchodní vedení a dohled nad činností společnosti.</w:t>
      </w:r>
    </w:p>
    <w:p w14:paraId="7FC76B03" w14:textId="304B0051" w:rsidR="00CD2102" w:rsidRDefault="00CD2102" w:rsidP="0056049B">
      <w:pPr>
        <w:pStyle w:val="PZTextodstavce"/>
        <w:tabs>
          <w:tab w:val="clear" w:pos="851"/>
          <w:tab w:val="left" w:pos="420"/>
          <w:tab w:val="left" w:pos="840"/>
        </w:tabs>
      </w:pPr>
      <w:r>
        <w:t>(3</w:t>
      </w:r>
      <w:r w:rsidR="005E4900">
        <w:t xml:space="preserve">) </w:t>
      </w:r>
      <w:r w:rsidRPr="00754120">
        <w:t>Správní rada se řídí zásadami a pokyny schválenými valnou hromadou, pokud jsou v souladu s právními předpisy a stanovami. Nikdo však není oprávněn udělovat správní radě pokyny týkající se obchodního vedení nebo dohledu nad činností společnosti; tím není dotčen § 51 odst. 2.</w:t>
      </w:r>
    </w:p>
    <w:p w14:paraId="2061507F" w14:textId="241181BA" w:rsidR="00CD2102" w:rsidRDefault="005E4900" w:rsidP="0056049B">
      <w:pPr>
        <w:pStyle w:val="PZTextodstavce"/>
        <w:tabs>
          <w:tab w:val="clear" w:pos="851"/>
          <w:tab w:val="left" w:pos="420"/>
          <w:tab w:val="left" w:pos="840"/>
        </w:tabs>
      </w:pPr>
      <w:r>
        <w:t xml:space="preserve">(4) </w:t>
      </w:r>
      <w:r w:rsidR="00CD2102" w:rsidRPr="00754120">
        <w:t>Působností správní rady určovat základní zaměření obchodního vedení a základní zaměření dohledu nad činností společnosti nelze pověřit osoby odlišné od členů správní rady; tuto působnost nelze ani rozdělit mezi členy správní rady podle určitých oborů podle občanského zákoníku.</w:t>
      </w:r>
    </w:p>
    <w:p w14:paraId="5059DC19" w14:textId="5AA2877D" w:rsidR="00CD2102" w:rsidRDefault="005E4900" w:rsidP="0056049B">
      <w:pPr>
        <w:pStyle w:val="PZTextodstavce"/>
        <w:tabs>
          <w:tab w:val="clear" w:pos="851"/>
          <w:tab w:val="left" w:pos="420"/>
          <w:tab w:val="left" w:pos="840"/>
        </w:tabs>
      </w:pPr>
      <w:r>
        <w:t xml:space="preserve">(5) </w:t>
      </w:r>
      <w:r w:rsidR="00CD2102" w:rsidRPr="00754120">
        <w:t xml:space="preserve">Správní rada zajišťuje </w:t>
      </w:r>
      <w:r w:rsidR="00CD2102" w:rsidRPr="00B05AED">
        <w:t xml:space="preserve">řádné </w:t>
      </w:r>
      <w:r w:rsidR="00CD2102" w:rsidRPr="002556C5">
        <w:rPr>
          <w:strike/>
        </w:rPr>
        <w:t>vedení účetnictví</w:t>
      </w:r>
      <w:r w:rsidR="00CD2102" w:rsidRPr="002556C5">
        <w:rPr>
          <w:b/>
          <w:szCs w:val="24"/>
        </w:rPr>
        <w:t xml:space="preserve"> plnění povinností souvisejících s účetnictvím</w:t>
      </w:r>
      <w:r w:rsidR="00CD2102" w:rsidRPr="00754120">
        <w:t xml:space="preserve">, předkládá valné hromadě ke schválení </w:t>
      </w:r>
      <w:r w:rsidR="00CD2102" w:rsidRPr="002556C5">
        <w:rPr>
          <w:strike/>
        </w:rPr>
        <w:t>řádnou, mimořádnou, konsolidovanou, případně mezitímní</w:t>
      </w:r>
      <w:r w:rsidR="00CD2102" w:rsidRPr="002556C5">
        <w:t xml:space="preserve"> </w:t>
      </w:r>
      <w:r w:rsidR="00CD2102" w:rsidRPr="00B05AED">
        <w:t>účetní závěrku</w:t>
      </w:r>
      <w:r w:rsidR="00CD2102" w:rsidRPr="00754120">
        <w:t xml:space="preserve"> a v souladu se stanovami také návrh na rozdělení zisku nebo jiných </w:t>
      </w:r>
      <w:r w:rsidR="00CD2102" w:rsidRPr="002556C5">
        <w:rPr>
          <w:strike/>
        </w:rPr>
        <w:t>vlastních zdrojů</w:t>
      </w:r>
      <w:r w:rsidR="00CD2102" w:rsidRPr="002556C5">
        <w:rPr>
          <w:b/>
        </w:rPr>
        <w:t xml:space="preserve"> částí vlastního kapitálu</w:t>
      </w:r>
      <w:r w:rsidR="00CD2102" w:rsidRPr="00754120">
        <w:t xml:space="preserve"> nebo úhradu ztráty.</w:t>
      </w:r>
    </w:p>
    <w:p w14:paraId="225D7B42" w14:textId="2291DDEA" w:rsidR="00CD2102" w:rsidRPr="002E5FBF" w:rsidRDefault="005E4900" w:rsidP="0056049B">
      <w:pPr>
        <w:pStyle w:val="PZTextodstavce"/>
        <w:tabs>
          <w:tab w:val="clear" w:pos="851"/>
          <w:tab w:val="left" w:pos="420"/>
          <w:tab w:val="left" w:pos="840"/>
        </w:tabs>
        <w:rPr>
          <w:strike/>
        </w:rPr>
      </w:pPr>
      <w:r>
        <w:rPr>
          <w:strike/>
        </w:rPr>
        <w:lastRenderedPageBreak/>
        <w:t xml:space="preserve">(6) </w:t>
      </w:r>
      <w:r w:rsidR="00CD2102" w:rsidRPr="002E5FBF">
        <w:rPr>
          <w:strike/>
        </w:rPr>
        <w:t>Správní rada společnosti, která nezpracovává výroční zprávu podle jiného právního předpisu, vyhotoví zprávu o podnikatelské činnosti a o stavu jejího majetku, v níž zhodnotí stav majetku a podnikatelskou činnost společnosti v </w:t>
      </w:r>
      <w:r w:rsidR="00CD2102" w:rsidRPr="002E5FBF">
        <w:rPr>
          <w:b/>
          <w:strike/>
        </w:rPr>
        <w:t xml:space="preserve"> </w:t>
      </w:r>
      <w:r w:rsidR="00CD2102" w:rsidRPr="002E5FBF">
        <w:rPr>
          <w:strike/>
        </w:rPr>
        <w:t>účetním období, za něž se sestavuje účetní závěrka, a předpokládaný další vývoj podnikatelské činnosti společnosti. Zpráva o podnikatelské činnosti a o stavu jejího majetku se uloží do sbírky listin ve lhůtě pro uložení účetní závěrky sestavené za účetní období, za něž se zpráva sestavuje.</w:t>
      </w:r>
    </w:p>
    <w:p w14:paraId="774E5416" w14:textId="77777777" w:rsidR="00CD2102" w:rsidRPr="002E5FBF" w:rsidRDefault="00CD2102" w:rsidP="0056049B">
      <w:pPr>
        <w:pStyle w:val="PZTextodstavce"/>
        <w:tabs>
          <w:tab w:val="clear" w:pos="851"/>
          <w:tab w:val="left" w:pos="420"/>
          <w:tab w:val="left" w:pos="840"/>
        </w:tabs>
        <w:rPr>
          <w:b/>
          <w:bCs/>
        </w:rPr>
      </w:pPr>
      <w:r>
        <w:rPr>
          <w:b/>
          <w:bCs/>
        </w:rPr>
        <w:t xml:space="preserve">(6) </w:t>
      </w:r>
      <w:r w:rsidRPr="002E5FBF">
        <w:rPr>
          <w:b/>
          <w:bCs/>
        </w:rPr>
        <w:t>Správní rada společnosti, která nevyhotovuje individuální zprávu vedení, vyhotoví zprávu o podnikatelské činnosti, v níž zhodnotí stav aktiv a podnikatelskou činnost společnosti v individuálním účetním období, za něž se sestavuje řádná individuální účetní závěrka, a předpokládaný další vývoj podnikatelské činnosti společnosti. Zpráva o podnikatelské činnosti se uloží do sbírky listin ve lhůtě pro uložení řádné individuální účetní závěrky sestavené za individuální účetní období, za něž se zpráva sestavuje.</w:t>
      </w:r>
    </w:p>
    <w:p w14:paraId="12FCCA47" w14:textId="44C2041B" w:rsidR="00CD2102" w:rsidRDefault="005E4900" w:rsidP="0056049B">
      <w:pPr>
        <w:pStyle w:val="PZTextodstavce"/>
        <w:tabs>
          <w:tab w:val="clear" w:pos="851"/>
          <w:tab w:val="left" w:pos="420"/>
          <w:tab w:val="left" w:pos="840"/>
        </w:tabs>
      </w:pPr>
      <w:r>
        <w:t xml:space="preserve">(7) </w:t>
      </w:r>
      <w:r w:rsidR="00CD2102" w:rsidRPr="00D60FC7">
        <w:t xml:space="preserve">Účetní </w:t>
      </w:r>
      <w:r w:rsidR="00CD2102" w:rsidRPr="00BB7B6B">
        <w:t>závěrku</w:t>
      </w:r>
      <w:r w:rsidR="00CD2102" w:rsidRPr="002556C5">
        <w:t xml:space="preserve"> </w:t>
      </w:r>
      <w:r w:rsidR="00CD2102" w:rsidRPr="00754120">
        <w:t xml:space="preserve">uveřejní správní rada na internetových stránkách společnosti alespoň po dobu 30 dnů přede dnem konání valné hromady a po dobu 30 dnů od schválení nebo neschválení </w:t>
      </w:r>
      <w:r w:rsidR="00CD2102" w:rsidRPr="002556C5">
        <w:rPr>
          <w:b/>
        </w:rPr>
        <w:t xml:space="preserve">této </w:t>
      </w:r>
      <w:r w:rsidR="00CD2102" w:rsidRPr="00B05AED">
        <w:t>účetní závěrky.</w:t>
      </w:r>
    </w:p>
    <w:p w14:paraId="06E8CA0E" w14:textId="0AFFB175" w:rsidR="00CD2102" w:rsidRPr="002556C5" w:rsidRDefault="005E4900" w:rsidP="0056049B">
      <w:pPr>
        <w:pStyle w:val="PZTextodstavce"/>
        <w:tabs>
          <w:tab w:val="clear" w:pos="851"/>
          <w:tab w:val="left" w:pos="420"/>
          <w:tab w:val="left" w:pos="840"/>
        </w:tabs>
        <w:rPr>
          <w:strike/>
        </w:rPr>
      </w:pPr>
      <w:r>
        <w:t xml:space="preserve">(8) </w:t>
      </w:r>
      <w:r w:rsidR="00CD2102" w:rsidRPr="00FC105F">
        <w:t xml:space="preserve">Společně s účetní závěrkou uveřejní správní rada také </w:t>
      </w:r>
      <w:r w:rsidR="00CD2102" w:rsidRPr="002556C5">
        <w:rPr>
          <w:strike/>
        </w:rPr>
        <w:t>výroční zprávu</w:t>
      </w:r>
      <w:r w:rsidR="00CD2102" w:rsidRPr="002556C5">
        <w:t xml:space="preserve"> </w:t>
      </w:r>
      <w:r w:rsidR="00CD2102" w:rsidRPr="002556C5">
        <w:rPr>
          <w:b/>
          <w:bCs/>
        </w:rPr>
        <w:t xml:space="preserve">individuální zprávu vedení </w:t>
      </w:r>
      <w:r w:rsidR="00CD2102" w:rsidRPr="00FC105F">
        <w:t>zpracovanou podle právních předpisů upravujících účetnictví, zpracovává-li se.</w:t>
      </w:r>
      <w:r w:rsidR="00CD2102" w:rsidRPr="00FC105F">
        <w:rPr>
          <w:strike/>
        </w:rPr>
        <w:t xml:space="preserve"> </w:t>
      </w:r>
      <w:r w:rsidR="00CD2102" w:rsidRPr="002556C5">
        <w:rPr>
          <w:strike/>
        </w:rPr>
        <w:t xml:space="preserve">Nezpracovává-li se výroční </w:t>
      </w:r>
      <w:proofErr w:type="gramStart"/>
      <w:r w:rsidR="00CD2102" w:rsidRPr="002556C5">
        <w:rPr>
          <w:strike/>
        </w:rPr>
        <w:t>zpráva</w:t>
      </w:r>
      <w:r w:rsidR="00CD2102" w:rsidRPr="002556C5">
        <w:rPr>
          <w:b/>
          <w:strike/>
        </w:rPr>
        <w:t xml:space="preserve"> </w:t>
      </w:r>
      <w:r w:rsidR="00CD2102" w:rsidRPr="002556C5">
        <w:rPr>
          <w:b/>
        </w:rPr>
        <w:t>Nevyhotovuje</w:t>
      </w:r>
      <w:proofErr w:type="gramEnd"/>
      <w:r w:rsidR="00CD2102" w:rsidRPr="002556C5">
        <w:rPr>
          <w:b/>
        </w:rPr>
        <w:t>-li se individuální zpráva vedení</w:t>
      </w:r>
      <w:r w:rsidR="00CD2102" w:rsidRPr="00F5673F">
        <w:t>, uveřejní správní rada společně s </w:t>
      </w:r>
      <w:r w:rsidR="00CD2102" w:rsidRPr="002556C5">
        <w:rPr>
          <w:b/>
        </w:rPr>
        <w:t xml:space="preserve">individuální </w:t>
      </w:r>
      <w:r w:rsidR="00CD2102" w:rsidRPr="00F5673F">
        <w:t xml:space="preserve">účetní závěrkou zprávu o podnikatelské činnosti společnosti </w:t>
      </w:r>
      <w:r w:rsidR="00CD2102" w:rsidRPr="002556C5">
        <w:rPr>
          <w:strike/>
        </w:rPr>
        <w:t>a o stavu jejího majetku</w:t>
      </w:r>
      <w:r w:rsidR="00CD2102" w:rsidRPr="00F5673F">
        <w:t>.</w:t>
      </w:r>
    </w:p>
    <w:p w14:paraId="2B9C40C5" w14:textId="77777777" w:rsidR="00CD2102" w:rsidRDefault="00CD2102" w:rsidP="0056049B">
      <w:pPr>
        <w:pStyle w:val="Textparagrafu"/>
        <w:tabs>
          <w:tab w:val="left" w:pos="420"/>
          <w:tab w:val="left" w:pos="840"/>
        </w:tabs>
        <w:spacing w:before="120" w:after="120"/>
      </w:pPr>
      <w:r w:rsidRPr="00B5693B">
        <w:t>(9)</w:t>
      </w:r>
      <w:r w:rsidRPr="002556C5">
        <w:t xml:space="preserve"> </w:t>
      </w:r>
      <w:r w:rsidRPr="00754120">
        <w:t xml:space="preserve">Stanovy mohou určit jiný způsob, jakým správní rada může </w:t>
      </w:r>
      <w:r w:rsidRPr="00B5693B">
        <w:t xml:space="preserve">své povinnosti podle odstavců 7 a 8 </w:t>
      </w:r>
      <w:r w:rsidRPr="00754120">
        <w:t>splnit, pokud takový postup nebude omezovat právo akcionářů na požadované informace.</w:t>
      </w:r>
    </w:p>
    <w:p w14:paraId="246D9C8F" w14:textId="77777777" w:rsidR="00CD2102" w:rsidRDefault="00CD2102" w:rsidP="0056049B">
      <w:pPr>
        <w:pStyle w:val="Paragraf"/>
        <w:keepNext w:val="0"/>
        <w:keepLines w:val="0"/>
        <w:numPr>
          <w:ilvl w:val="0"/>
          <w:numId w:val="27"/>
        </w:numPr>
        <w:tabs>
          <w:tab w:val="left" w:pos="420"/>
          <w:tab w:val="left" w:pos="840"/>
        </w:tabs>
        <w:spacing w:after="120"/>
      </w:pPr>
      <w:r w:rsidRPr="00AA135D">
        <w:t>***</w:t>
      </w:r>
    </w:p>
    <w:p w14:paraId="1C1BEF5F" w14:textId="77777777" w:rsidR="00CD2102" w:rsidRDefault="00CD2102" w:rsidP="0056049B">
      <w:pPr>
        <w:pStyle w:val="Paragraf"/>
        <w:keepNext w:val="0"/>
        <w:keepLines w:val="0"/>
        <w:numPr>
          <w:ilvl w:val="0"/>
          <w:numId w:val="27"/>
        </w:numPr>
        <w:tabs>
          <w:tab w:val="left" w:pos="420"/>
          <w:tab w:val="left" w:pos="840"/>
        </w:tabs>
        <w:spacing w:after="120"/>
      </w:pPr>
      <w:r>
        <w:t>§ 469</w:t>
      </w:r>
    </w:p>
    <w:p w14:paraId="76BAC5AF" w14:textId="6028A597" w:rsidR="00CD2102" w:rsidRPr="005E4900" w:rsidRDefault="005E4900" w:rsidP="0056049B">
      <w:pPr>
        <w:pStyle w:val="PZTextodstavce"/>
        <w:tabs>
          <w:tab w:val="clear" w:pos="851"/>
          <w:tab w:val="left" w:pos="420"/>
          <w:tab w:val="left" w:pos="840"/>
        </w:tabs>
      </w:pPr>
      <w:r>
        <w:t xml:space="preserve">(1) </w:t>
      </w:r>
      <w:r w:rsidR="00CD2102" w:rsidRPr="005E4900">
        <w:t>Je-li nepeněžitým vkladem do společnosti jiný majetek než majetek vymezený v § 468 a rozhodne-li tak představenstvo nebo správní rada této společnosti, použije se pro určení jeho ceny jeho reálná hodnota určená obecně uznávaným nezávislým odborníkem za využití obecně uznávaných standardů a zásad oceňování ne déle než 6 měsíců před vnesením vkladu.</w:t>
      </w:r>
    </w:p>
    <w:p w14:paraId="763EB0EC" w14:textId="69907B18" w:rsidR="00CD2102" w:rsidRPr="005E4900" w:rsidRDefault="00CD2102" w:rsidP="0056049B">
      <w:pPr>
        <w:pStyle w:val="PZTextodstavce"/>
        <w:tabs>
          <w:tab w:val="clear" w:pos="851"/>
          <w:tab w:val="left" w:pos="420"/>
          <w:tab w:val="left" w:pos="840"/>
        </w:tabs>
        <w:rPr>
          <w:bCs/>
          <w:strike/>
        </w:rPr>
      </w:pPr>
      <w:r w:rsidRPr="005E4900">
        <w:rPr>
          <w:strike/>
        </w:rPr>
        <w:t>(</w:t>
      </w:r>
      <w:r w:rsidR="005E4900">
        <w:rPr>
          <w:strike/>
        </w:rPr>
        <w:t xml:space="preserve">2) </w:t>
      </w:r>
      <w:r w:rsidRPr="005E4900">
        <w:rPr>
          <w:strike/>
        </w:rPr>
        <w:t>Je-li nepeněžitým vkladem do společnosti jiný majetek než majetek vymezený v § 468 a rozhodne-li tak představenstvo nebo správní rada této společnosti, použije se, účtuje-li upisovatel podle jiného právního předpisu o takovém majetku v reálných hodnotách, pro určení jeho ceny tato reálná hodnota, je-li vykázaná v  účetní závěrce za předchozí účetní období před valnou hromadou rozhodující o tomto vkladu, byla-li ověřena auditorem s výrokem bez výhrad</w:t>
      </w:r>
      <w:r w:rsidRPr="005E4900">
        <w:rPr>
          <w:bCs/>
          <w:strike/>
        </w:rPr>
        <w:t>.</w:t>
      </w:r>
    </w:p>
    <w:p w14:paraId="5E1652BB" w14:textId="15959761" w:rsidR="00CD2102" w:rsidRPr="005E4900" w:rsidRDefault="00CD2102" w:rsidP="0056049B">
      <w:pPr>
        <w:pStyle w:val="PZTextodstavce"/>
        <w:tabs>
          <w:tab w:val="clear" w:pos="851"/>
          <w:tab w:val="left" w:pos="420"/>
          <w:tab w:val="left" w:pos="840"/>
        </w:tabs>
        <w:rPr>
          <w:b/>
        </w:rPr>
      </w:pPr>
      <w:r w:rsidRPr="005E4900">
        <w:rPr>
          <w:b/>
        </w:rPr>
        <w:t>(2)</w:t>
      </w:r>
      <w:r w:rsidR="005E4900">
        <w:rPr>
          <w:b/>
        </w:rPr>
        <w:t xml:space="preserve"> </w:t>
      </w:r>
      <w:r w:rsidRPr="005E4900">
        <w:rPr>
          <w:b/>
        </w:rPr>
        <w:t>Je-li nepeněžitým vkladem do společnosti jiný majetek než majetek vymezený v § 468 a rozhodne-li tak představenstvo nebo správní rada této společnosti, použije se, pro určení jeho ceny jeho účetní hodnota uvedená v řádné individuální účetní závěrce sestavené za účetní období bezprostředně předcházející valné hromadě rozhodující o tomto vkladu, pokud je oceněn reálnou hodnotou a tato účetní závěrka je ověřena auditorem, podle jehož názoru podává věrné a poctivé zobrazení finanční situace, finanční výkonnosti a jiných vykazovaných změn finanční situace.</w:t>
      </w:r>
    </w:p>
    <w:p w14:paraId="148F4730" w14:textId="77777777" w:rsidR="00CD2102" w:rsidRDefault="00CD2102" w:rsidP="0056049B">
      <w:pPr>
        <w:pStyle w:val="Paragraf"/>
        <w:keepNext w:val="0"/>
        <w:keepLines w:val="0"/>
        <w:numPr>
          <w:ilvl w:val="0"/>
          <w:numId w:val="27"/>
        </w:numPr>
        <w:tabs>
          <w:tab w:val="left" w:pos="420"/>
          <w:tab w:val="left" w:pos="840"/>
        </w:tabs>
        <w:spacing w:after="120"/>
      </w:pPr>
      <w:r w:rsidRPr="00AA135D">
        <w:t>***</w:t>
      </w:r>
    </w:p>
    <w:p w14:paraId="57AAB827" w14:textId="77777777" w:rsidR="00CD2102" w:rsidRDefault="00CD2102" w:rsidP="0056049B">
      <w:pPr>
        <w:pStyle w:val="Paragraf"/>
        <w:keepNext w:val="0"/>
        <w:keepLines w:val="0"/>
        <w:numPr>
          <w:ilvl w:val="0"/>
          <w:numId w:val="27"/>
        </w:numPr>
        <w:tabs>
          <w:tab w:val="left" w:pos="420"/>
          <w:tab w:val="left" w:pos="840"/>
        </w:tabs>
        <w:spacing w:after="120"/>
      </w:pPr>
      <w:r>
        <w:t>§ 495</w:t>
      </w:r>
    </w:p>
    <w:p w14:paraId="4B67A774" w14:textId="45231F58" w:rsidR="00CD2102" w:rsidRDefault="005E4900" w:rsidP="0056049B">
      <w:pPr>
        <w:pStyle w:val="PZTextodstavce"/>
        <w:tabs>
          <w:tab w:val="clear" w:pos="851"/>
          <w:tab w:val="left" w:pos="420"/>
          <w:tab w:val="left" w:pos="840"/>
        </w:tabs>
      </w:pPr>
      <w:r>
        <w:lastRenderedPageBreak/>
        <w:t xml:space="preserve">(1) </w:t>
      </w:r>
      <w:r w:rsidR="00CD2102" w:rsidRPr="00F24B9B">
        <w:t xml:space="preserve">Valná hromada může rozhodnout o zvýšení základního kapitálu z </w:t>
      </w:r>
      <w:r w:rsidR="00CD2102" w:rsidRPr="002556C5">
        <w:rPr>
          <w:strike/>
        </w:rPr>
        <w:t>vlastních zdrojů</w:t>
      </w:r>
      <w:r w:rsidR="00CD2102" w:rsidRPr="002556C5">
        <w:rPr>
          <w:b/>
        </w:rPr>
        <w:t xml:space="preserve"> jiných částí vlastního kapitálu</w:t>
      </w:r>
      <w:r w:rsidR="00CD2102" w:rsidRPr="00F24B9B">
        <w:t xml:space="preserve"> vykázaných ve </w:t>
      </w:r>
      <w:r w:rsidR="00CD2102" w:rsidRPr="00B05AED">
        <w:t xml:space="preserve">schválené </w:t>
      </w:r>
      <w:r w:rsidR="00CD2102" w:rsidRPr="002556C5">
        <w:rPr>
          <w:strike/>
        </w:rPr>
        <w:t>řádné, mimořádné nebo mezitímní</w:t>
      </w:r>
      <w:r w:rsidR="00CD2102" w:rsidRPr="00B05AED">
        <w:t xml:space="preserve"> </w:t>
      </w:r>
      <w:r w:rsidR="00CD2102" w:rsidRPr="002556C5">
        <w:rPr>
          <w:b/>
        </w:rPr>
        <w:t>individuální</w:t>
      </w:r>
      <w:r w:rsidR="00CD2102" w:rsidRPr="002556C5">
        <w:t xml:space="preserve"> </w:t>
      </w:r>
      <w:r w:rsidR="00CD2102" w:rsidRPr="00B05AED">
        <w:t>účetní závěrce ve</w:t>
      </w:r>
      <w:r w:rsidR="00CD2102" w:rsidRPr="00F24B9B">
        <w:t xml:space="preserve"> vlastním kapitálu společnosti, ledaže jsou tyto zdroje účelově vázány a společnost není oprávněna jejich účel měnit. Čistý zisk nelze použít při zvyšování základního kapitálu na </w:t>
      </w:r>
      <w:r w:rsidR="00CD2102" w:rsidRPr="00B05AED">
        <w:t xml:space="preserve">základě mezitímní </w:t>
      </w:r>
      <w:r w:rsidR="00CD2102" w:rsidRPr="002556C5">
        <w:rPr>
          <w:b/>
        </w:rPr>
        <w:t>individuální</w:t>
      </w:r>
      <w:r w:rsidR="00CD2102" w:rsidRPr="002556C5">
        <w:t xml:space="preserve"> </w:t>
      </w:r>
      <w:r w:rsidR="00CD2102" w:rsidRPr="00B05AED">
        <w:t>účetní závěrky.</w:t>
      </w:r>
    </w:p>
    <w:p w14:paraId="628FED92" w14:textId="42B81BC0" w:rsidR="00CD2102" w:rsidRDefault="005E4900" w:rsidP="0056049B">
      <w:pPr>
        <w:pStyle w:val="PZTextodstavce"/>
        <w:tabs>
          <w:tab w:val="clear" w:pos="851"/>
          <w:tab w:val="left" w:pos="420"/>
          <w:tab w:val="left" w:pos="840"/>
        </w:tabs>
      </w:pPr>
      <w:r>
        <w:t xml:space="preserve">(2) </w:t>
      </w:r>
      <w:r w:rsidR="00CD2102" w:rsidRPr="00F24B9B">
        <w:t xml:space="preserve">Zvýšení základního kapitálu nemůže být vyšší, než kolik činí rozdíl mezi výší vlastního kapitálu a součtem základního kapitálu a jiných </w:t>
      </w:r>
      <w:r w:rsidR="00CD2102" w:rsidRPr="002556C5">
        <w:rPr>
          <w:strike/>
        </w:rPr>
        <w:t>vlastních zdrojů</w:t>
      </w:r>
      <w:r w:rsidR="00CD2102" w:rsidRPr="002556C5">
        <w:t xml:space="preserve"> </w:t>
      </w:r>
      <w:r w:rsidR="00CD2102" w:rsidRPr="002556C5">
        <w:rPr>
          <w:b/>
        </w:rPr>
        <w:t>částí vlastního kapitálu</w:t>
      </w:r>
      <w:r w:rsidR="00CD2102" w:rsidRPr="00F24B9B">
        <w:t xml:space="preserve">, které jsou účelově </w:t>
      </w:r>
      <w:proofErr w:type="gramStart"/>
      <w:r w:rsidR="00CD2102" w:rsidRPr="00F24B9B">
        <w:t>vázány a společnost</w:t>
      </w:r>
      <w:proofErr w:type="gramEnd"/>
      <w:r w:rsidR="00CD2102" w:rsidRPr="00F24B9B">
        <w:t xml:space="preserve"> není oprávněna jejich účel měnit.</w:t>
      </w:r>
    </w:p>
    <w:p w14:paraId="4699F17A" w14:textId="77777777" w:rsidR="00CD2102" w:rsidRDefault="00CD2102" w:rsidP="0056049B">
      <w:pPr>
        <w:pStyle w:val="Paragraf"/>
        <w:keepNext w:val="0"/>
        <w:keepLines w:val="0"/>
        <w:numPr>
          <w:ilvl w:val="0"/>
          <w:numId w:val="27"/>
        </w:numPr>
        <w:tabs>
          <w:tab w:val="left" w:pos="420"/>
          <w:tab w:val="left" w:pos="840"/>
        </w:tabs>
        <w:spacing w:after="120"/>
      </w:pPr>
      <w:r w:rsidRPr="00AA135D">
        <w:t>***</w:t>
      </w:r>
    </w:p>
    <w:p w14:paraId="1AD19D54" w14:textId="77777777" w:rsidR="00CD2102" w:rsidRPr="002E5FBF" w:rsidRDefault="00CD2102" w:rsidP="0056049B">
      <w:pPr>
        <w:pStyle w:val="Paragraf"/>
        <w:keepNext w:val="0"/>
        <w:keepLines w:val="0"/>
        <w:numPr>
          <w:ilvl w:val="0"/>
          <w:numId w:val="27"/>
        </w:numPr>
        <w:tabs>
          <w:tab w:val="left" w:pos="420"/>
          <w:tab w:val="left" w:pos="840"/>
        </w:tabs>
        <w:spacing w:after="120"/>
        <w:rPr>
          <w:strike/>
        </w:rPr>
      </w:pPr>
      <w:r w:rsidRPr="002E5FBF">
        <w:rPr>
          <w:strike/>
        </w:rPr>
        <w:t>§ 497</w:t>
      </w:r>
    </w:p>
    <w:p w14:paraId="768D6858" w14:textId="0F94C2B4" w:rsidR="00CD2102" w:rsidRPr="002556C5" w:rsidRDefault="005E4900" w:rsidP="0056049B">
      <w:pPr>
        <w:pStyle w:val="PZTextodstavce"/>
        <w:tabs>
          <w:tab w:val="clear" w:pos="851"/>
          <w:tab w:val="left" w:pos="420"/>
          <w:tab w:val="left" w:pos="840"/>
        </w:tabs>
        <w:rPr>
          <w:strike/>
        </w:rPr>
      </w:pPr>
      <w:r>
        <w:rPr>
          <w:strike/>
        </w:rPr>
        <w:t xml:space="preserve">(1) </w:t>
      </w:r>
      <w:r w:rsidR="00CD2102" w:rsidRPr="002556C5">
        <w:rPr>
          <w:strike/>
        </w:rPr>
        <w:t>Zvýšení základního kapitálu z vlastních zdrojů je možné pouze tehdy, je-li účetní závěrka, na základě které valná hromada o zvýšení rozhoduje, ověřena auditorem s výrokem bez výhrad.</w:t>
      </w:r>
    </w:p>
    <w:p w14:paraId="29E8E717" w14:textId="31448518" w:rsidR="00CD2102" w:rsidRPr="002E5FBF" w:rsidRDefault="005E4900" w:rsidP="0056049B">
      <w:pPr>
        <w:pStyle w:val="PZTextodstavce"/>
        <w:tabs>
          <w:tab w:val="clear" w:pos="851"/>
          <w:tab w:val="left" w:pos="420"/>
          <w:tab w:val="left" w:pos="840"/>
        </w:tabs>
        <w:rPr>
          <w:strike/>
        </w:rPr>
      </w:pPr>
      <w:r>
        <w:rPr>
          <w:strike/>
        </w:rPr>
        <w:t xml:space="preserve">(2) </w:t>
      </w:r>
      <w:r w:rsidR="00CD2102" w:rsidRPr="002E5FBF">
        <w:rPr>
          <w:strike/>
        </w:rPr>
        <w:t>Auditor ověřuje účetní závěrku pro potřeby rozhodnutí podle odstavce 1 z údajů zjištěných nejpozději ke dni, od něhož v den rozhodování valné hromady o zvýšení základního kapitálu z vlastních zdrojů neuplynulo více než 6 měsíců.</w:t>
      </w:r>
    </w:p>
    <w:p w14:paraId="66F61F37" w14:textId="4EC5C3A1" w:rsidR="00CD2102" w:rsidRPr="002556C5" w:rsidRDefault="005E4900" w:rsidP="0056049B">
      <w:pPr>
        <w:pStyle w:val="PZTextodstavce"/>
        <w:tabs>
          <w:tab w:val="clear" w:pos="851"/>
          <w:tab w:val="left" w:pos="420"/>
          <w:tab w:val="left" w:pos="840"/>
        </w:tabs>
        <w:rPr>
          <w:strike/>
        </w:rPr>
      </w:pPr>
      <w:r>
        <w:rPr>
          <w:strike/>
        </w:rPr>
        <w:t xml:space="preserve">(3) </w:t>
      </w:r>
      <w:r w:rsidR="00CD2102" w:rsidRPr="002556C5">
        <w:rPr>
          <w:strike/>
        </w:rPr>
        <w:t>V případě, že společnost z mezitímní účetní závěrky zjistí snížení vlastních zdrojů, nepoužije údaje z řádné nebo mimořádné účetní závěrky, ale vyjde z této mezitímní účetní závěrky.</w:t>
      </w:r>
    </w:p>
    <w:p w14:paraId="0B187439" w14:textId="77777777" w:rsidR="00CD2102" w:rsidRDefault="00CD2102" w:rsidP="0056049B">
      <w:pPr>
        <w:pStyle w:val="Textodstavce"/>
        <w:tabs>
          <w:tab w:val="clear" w:pos="851"/>
          <w:tab w:val="left" w:pos="0"/>
          <w:tab w:val="left" w:pos="420"/>
          <w:tab w:val="left" w:pos="840"/>
        </w:tabs>
        <w:spacing w:before="240"/>
        <w:jc w:val="center"/>
        <w:rPr>
          <w:b/>
        </w:rPr>
      </w:pPr>
      <w:r>
        <w:rPr>
          <w:b/>
        </w:rPr>
        <w:t>§ 497</w:t>
      </w:r>
    </w:p>
    <w:p w14:paraId="442F701F" w14:textId="77777777" w:rsidR="00CD2102" w:rsidRPr="00002766" w:rsidRDefault="00CD2102" w:rsidP="0056049B">
      <w:pPr>
        <w:pStyle w:val="Textparagrafu"/>
        <w:tabs>
          <w:tab w:val="left" w:pos="420"/>
          <w:tab w:val="left" w:pos="840"/>
        </w:tabs>
        <w:spacing w:before="120" w:after="120"/>
        <w:rPr>
          <w:b/>
          <w:bCs/>
        </w:rPr>
      </w:pPr>
      <w:r w:rsidRPr="002556C5">
        <w:rPr>
          <w:b/>
        </w:rPr>
        <w:t xml:space="preserve">(1) Zvýšení základního kapitálu z jiných částí vlastního kapitálu je možné pouze tehdy, pokud je individuální účetní závěrka, na základě které valná hromada o zvýšení rozhoduje, ověřena auditorem, podle jehož názoru podává věrné a poctivé zobrazení finanční situace, </w:t>
      </w:r>
      <w:r w:rsidRPr="00002766">
        <w:rPr>
          <w:b/>
          <w:bCs/>
        </w:rPr>
        <w:t>finanční výkonnosti a jiných vykazovaných změn finanční situace.</w:t>
      </w:r>
    </w:p>
    <w:p w14:paraId="6AED1EB0" w14:textId="77777777" w:rsidR="00CD2102" w:rsidRPr="002E5FBF" w:rsidRDefault="00CD2102" w:rsidP="0056049B">
      <w:pPr>
        <w:pStyle w:val="Textparagrafu"/>
        <w:tabs>
          <w:tab w:val="left" w:pos="420"/>
          <w:tab w:val="left" w:pos="840"/>
        </w:tabs>
        <w:spacing w:before="120" w:after="120"/>
        <w:rPr>
          <w:b/>
          <w:bCs/>
        </w:rPr>
      </w:pPr>
      <w:r w:rsidRPr="002E5FBF">
        <w:rPr>
          <w:b/>
          <w:bCs/>
        </w:rPr>
        <w:t>(2) Pro potřeby rozhodnutí podle odstavce 1 se vychází z individuální účetní závěrky sestavené ke dni, od něhož v den rozhodování valné hromady o zvýšení základního kapitálu z jiných částí vlastního kapitálu neuplynulo více než 6 měsíců.</w:t>
      </w:r>
    </w:p>
    <w:p w14:paraId="25BF4671" w14:textId="5F874B0A" w:rsidR="00CD2102" w:rsidRPr="002556C5" w:rsidRDefault="005E4900" w:rsidP="0056049B">
      <w:pPr>
        <w:pStyle w:val="Textodstavce"/>
        <w:tabs>
          <w:tab w:val="clear" w:pos="851"/>
          <w:tab w:val="left" w:pos="420"/>
          <w:tab w:val="left" w:pos="840"/>
        </w:tabs>
        <w:ind w:firstLine="425"/>
        <w:rPr>
          <w:b/>
        </w:rPr>
      </w:pPr>
      <w:r>
        <w:rPr>
          <w:b/>
        </w:rPr>
        <w:t xml:space="preserve">(3) </w:t>
      </w:r>
      <w:r w:rsidR="00CD2102" w:rsidRPr="002556C5">
        <w:rPr>
          <w:b/>
        </w:rPr>
        <w:t>Zjistí-li společnost z jakékoliv následně sestavené individuální účetní závěrky snížení vlastního kapitálu, vychází se při rozhodování o zvýšení základního kapitálu z této účetní závěrky.</w:t>
      </w:r>
    </w:p>
    <w:p w14:paraId="35FE244F" w14:textId="77777777" w:rsidR="00CD2102" w:rsidRDefault="00CD2102" w:rsidP="0056049B">
      <w:pPr>
        <w:pStyle w:val="Paragraf"/>
        <w:keepNext w:val="0"/>
        <w:keepLines w:val="0"/>
        <w:numPr>
          <w:ilvl w:val="0"/>
          <w:numId w:val="27"/>
        </w:numPr>
        <w:tabs>
          <w:tab w:val="left" w:pos="420"/>
          <w:tab w:val="left" w:pos="840"/>
        </w:tabs>
        <w:spacing w:after="120"/>
      </w:pPr>
      <w:r w:rsidRPr="001654EE">
        <w:t>§</w:t>
      </w:r>
      <w:r>
        <w:t xml:space="preserve"> 498</w:t>
      </w:r>
    </w:p>
    <w:p w14:paraId="71C3BA92" w14:textId="77777777" w:rsidR="00CD2102" w:rsidRDefault="00CD2102" w:rsidP="0056049B">
      <w:pPr>
        <w:pStyle w:val="Textparagrafu"/>
        <w:tabs>
          <w:tab w:val="left" w:pos="420"/>
          <w:tab w:val="left" w:pos="840"/>
        </w:tabs>
        <w:spacing w:after="120"/>
      </w:pPr>
      <w:r w:rsidRPr="001654EE">
        <w:t>Usnesení</w:t>
      </w:r>
      <w:r>
        <w:t xml:space="preserve"> </w:t>
      </w:r>
      <w:r w:rsidRPr="001654EE">
        <w:t>valné</w:t>
      </w:r>
      <w:r>
        <w:t xml:space="preserve"> </w:t>
      </w:r>
      <w:r w:rsidRPr="001654EE">
        <w:t>hromady</w:t>
      </w:r>
      <w:r>
        <w:t xml:space="preserve"> </w:t>
      </w:r>
      <w:r w:rsidRPr="001654EE">
        <w:t>o</w:t>
      </w:r>
      <w:r>
        <w:t xml:space="preserve"> </w:t>
      </w:r>
      <w:r w:rsidRPr="001654EE">
        <w:t>zvýšení</w:t>
      </w:r>
      <w:r>
        <w:t xml:space="preserve"> </w:t>
      </w:r>
      <w:r w:rsidRPr="001654EE">
        <w:t>základního</w:t>
      </w:r>
      <w:r>
        <w:t xml:space="preserve"> </w:t>
      </w:r>
      <w:r w:rsidRPr="001654EE">
        <w:t>kapitálu</w:t>
      </w:r>
      <w:r>
        <w:t xml:space="preserve"> </w:t>
      </w:r>
      <w:r w:rsidRPr="001654EE">
        <w:t>z</w:t>
      </w:r>
      <w:r>
        <w:t xml:space="preserve"> </w:t>
      </w:r>
      <w:r w:rsidRPr="001654EE">
        <w:t>vlastních</w:t>
      </w:r>
      <w:r>
        <w:t xml:space="preserve"> </w:t>
      </w:r>
      <w:r w:rsidRPr="001654EE">
        <w:t>zdrojů</w:t>
      </w:r>
      <w:r>
        <w:t xml:space="preserve"> </w:t>
      </w:r>
      <w:r w:rsidRPr="001654EE">
        <w:t>společnosti</w:t>
      </w:r>
      <w:r>
        <w:t xml:space="preserve"> </w:t>
      </w:r>
      <w:r w:rsidRPr="001654EE">
        <w:t>obsahuje</w:t>
      </w:r>
    </w:p>
    <w:p w14:paraId="7CD96500" w14:textId="77777777" w:rsidR="00CD2102" w:rsidRDefault="00CD2102" w:rsidP="0056049B">
      <w:pPr>
        <w:pStyle w:val="PZTextpsmene"/>
        <w:tabs>
          <w:tab w:val="left" w:pos="420"/>
          <w:tab w:val="left" w:pos="840"/>
        </w:tabs>
        <w:spacing w:before="0"/>
        <w:ind w:left="426" w:hanging="426"/>
      </w:pPr>
      <w:r w:rsidRPr="001654EE">
        <w:t>a</w:t>
      </w:r>
      <w:r>
        <w:t>)</w:t>
      </w:r>
      <w:r>
        <w:tab/>
      </w:r>
      <w:r w:rsidRPr="001654EE">
        <w:t>částku,</w:t>
      </w:r>
      <w:r>
        <w:t xml:space="preserve"> </w:t>
      </w:r>
      <w:r w:rsidRPr="001654EE">
        <w:t>o</w:t>
      </w:r>
      <w:r>
        <w:t xml:space="preserve"> </w:t>
      </w:r>
      <w:r w:rsidRPr="001654EE">
        <w:t>kterou</w:t>
      </w:r>
      <w:r>
        <w:t xml:space="preserve"> </w:t>
      </w:r>
      <w:r w:rsidRPr="001654EE">
        <w:t>se</w:t>
      </w:r>
      <w:r>
        <w:t xml:space="preserve"> </w:t>
      </w:r>
      <w:r w:rsidRPr="001654EE">
        <w:t>základní</w:t>
      </w:r>
      <w:r>
        <w:t xml:space="preserve"> </w:t>
      </w:r>
      <w:r w:rsidRPr="001654EE">
        <w:t>kapitál</w:t>
      </w:r>
      <w:r>
        <w:t xml:space="preserve"> </w:t>
      </w:r>
      <w:r w:rsidRPr="001654EE">
        <w:t>zvyšuje,</w:t>
      </w:r>
    </w:p>
    <w:p w14:paraId="3B04BBD8" w14:textId="77777777" w:rsidR="00CD2102" w:rsidRDefault="00CD2102" w:rsidP="0056049B">
      <w:pPr>
        <w:pStyle w:val="PZTextpsmene"/>
        <w:tabs>
          <w:tab w:val="left" w:pos="420"/>
          <w:tab w:val="left" w:pos="840"/>
        </w:tabs>
        <w:spacing w:before="0"/>
        <w:ind w:left="426" w:hanging="426"/>
      </w:pPr>
      <w:r w:rsidRPr="001654EE">
        <w:t>b</w:t>
      </w:r>
      <w:r>
        <w:t>)</w:t>
      </w:r>
      <w:r>
        <w:tab/>
      </w:r>
      <w:r w:rsidRPr="001654EE">
        <w:t>označení</w:t>
      </w:r>
      <w:r>
        <w:t xml:space="preserve"> </w:t>
      </w:r>
      <w:r w:rsidRPr="002556C5">
        <w:rPr>
          <w:strike/>
        </w:rPr>
        <w:t>vlastního zdroje nebo zdrojů</w:t>
      </w:r>
      <w:r w:rsidRPr="002556C5">
        <w:t xml:space="preserve"> </w:t>
      </w:r>
      <w:r w:rsidRPr="002556C5">
        <w:rPr>
          <w:b/>
        </w:rPr>
        <w:t>části nebo částí vlastního kapitálu</w:t>
      </w:r>
      <w:r w:rsidRPr="001654EE">
        <w:t>,</w:t>
      </w:r>
      <w:r>
        <w:t xml:space="preserve"> </w:t>
      </w:r>
      <w:r w:rsidRPr="001654EE">
        <w:t>z</w:t>
      </w:r>
      <w:r>
        <w:t xml:space="preserve"> </w:t>
      </w:r>
      <w:r w:rsidRPr="001654EE">
        <w:t>nichž</w:t>
      </w:r>
      <w:r>
        <w:t xml:space="preserve"> </w:t>
      </w:r>
      <w:r w:rsidRPr="001654EE">
        <w:t>se</w:t>
      </w:r>
      <w:r>
        <w:t xml:space="preserve"> </w:t>
      </w:r>
      <w:r w:rsidRPr="001654EE">
        <w:t>základní</w:t>
      </w:r>
      <w:r>
        <w:t xml:space="preserve"> </w:t>
      </w:r>
      <w:r w:rsidRPr="001654EE">
        <w:t>kapitál</w:t>
      </w:r>
      <w:r>
        <w:t xml:space="preserve"> </w:t>
      </w:r>
      <w:r w:rsidRPr="001654EE">
        <w:t>zvyšuje,</w:t>
      </w:r>
      <w:r>
        <w:t xml:space="preserve"> </w:t>
      </w:r>
      <w:r w:rsidRPr="001654EE">
        <w:t>v</w:t>
      </w:r>
      <w:r>
        <w:t xml:space="preserve"> </w:t>
      </w:r>
      <w:r w:rsidRPr="001654EE">
        <w:t>členění</w:t>
      </w:r>
      <w:r>
        <w:t xml:space="preserve"> </w:t>
      </w:r>
      <w:r w:rsidRPr="001654EE">
        <w:t>podle</w:t>
      </w:r>
      <w:r>
        <w:t xml:space="preserve"> </w:t>
      </w:r>
      <w:r w:rsidRPr="001654EE">
        <w:t>struktury</w:t>
      </w:r>
      <w:r>
        <w:t xml:space="preserve"> </w:t>
      </w:r>
      <w:r w:rsidRPr="001654EE">
        <w:t>vlastního</w:t>
      </w:r>
      <w:r>
        <w:t xml:space="preserve"> </w:t>
      </w:r>
      <w:r w:rsidRPr="001654EE">
        <w:t>kapitálu</w:t>
      </w:r>
      <w:r>
        <w:t xml:space="preserve"> </w:t>
      </w:r>
      <w:r w:rsidRPr="001654EE">
        <w:t>v</w:t>
      </w:r>
      <w:r w:rsidRPr="002556C5">
        <w:rPr>
          <w:b/>
        </w:rPr>
        <w:t xml:space="preserve"> individuální</w:t>
      </w:r>
      <w:r>
        <w:t xml:space="preserve"> </w:t>
      </w:r>
      <w:r w:rsidRPr="001654EE">
        <w:t>účetní</w:t>
      </w:r>
      <w:r>
        <w:t xml:space="preserve"> </w:t>
      </w:r>
      <w:r w:rsidRPr="001654EE">
        <w:t>závěrce,</w:t>
      </w:r>
    </w:p>
    <w:p w14:paraId="3FA71746" w14:textId="77777777" w:rsidR="00CD2102" w:rsidRDefault="00CD2102" w:rsidP="0056049B">
      <w:pPr>
        <w:pStyle w:val="PZTextpsmene"/>
        <w:tabs>
          <w:tab w:val="left" w:pos="420"/>
          <w:tab w:val="left" w:pos="840"/>
        </w:tabs>
        <w:spacing w:before="0"/>
        <w:ind w:left="426" w:hanging="426"/>
      </w:pPr>
      <w:r w:rsidRPr="001654EE">
        <w:t>c</w:t>
      </w:r>
      <w:r>
        <w:t>)</w:t>
      </w:r>
      <w:r>
        <w:tab/>
      </w:r>
      <w:r w:rsidRPr="001654EE">
        <w:t>určení,</w:t>
      </w:r>
      <w:r>
        <w:t xml:space="preserve"> </w:t>
      </w:r>
      <w:r w:rsidRPr="001654EE">
        <w:t>zda</w:t>
      </w:r>
      <w:r>
        <w:t xml:space="preserve"> </w:t>
      </w:r>
      <w:r w:rsidRPr="001654EE">
        <w:t>se</w:t>
      </w:r>
      <w:r>
        <w:t xml:space="preserve"> </w:t>
      </w:r>
      <w:r w:rsidRPr="001654EE">
        <w:t>zvýší</w:t>
      </w:r>
      <w:r>
        <w:t xml:space="preserve"> </w:t>
      </w:r>
      <w:r w:rsidRPr="001654EE">
        <w:t>jmenovitá</w:t>
      </w:r>
      <w:r>
        <w:t xml:space="preserve"> </w:t>
      </w:r>
      <w:r w:rsidRPr="001654EE">
        <w:t>hodnota</w:t>
      </w:r>
      <w:r>
        <w:t xml:space="preserve"> </w:t>
      </w:r>
      <w:r w:rsidRPr="001654EE">
        <w:t>akcií,</w:t>
      </w:r>
      <w:r>
        <w:t xml:space="preserve"> </w:t>
      </w:r>
      <w:r w:rsidRPr="001654EE">
        <w:t>s</w:t>
      </w:r>
      <w:r>
        <w:t xml:space="preserve"> </w:t>
      </w:r>
      <w:r w:rsidRPr="001654EE">
        <w:t>uvedením</w:t>
      </w:r>
      <w:r>
        <w:t xml:space="preserve"> </w:t>
      </w:r>
      <w:r w:rsidRPr="001654EE">
        <w:t>o</w:t>
      </w:r>
      <w:r>
        <w:t xml:space="preserve"> </w:t>
      </w:r>
      <w:r w:rsidRPr="001654EE">
        <w:t>jakou</w:t>
      </w:r>
      <w:r>
        <w:t xml:space="preserve"> </w:t>
      </w:r>
      <w:r w:rsidRPr="001654EE">
        <w:t>částku,</w:t>
      </w:r>
      <w:r>
        <w:t xml:space="preserve"> </w:t>
      </w:r>
      <w:r w:rsidRPr="001654EE">
        <w:t>nebo</w:t>
      </w:r>
      <w:r>
        <w:t xml:space="preserve"> </w:t>
      </w:r>
      <w:r w:rsidRPr="001654EE">
        <w:t>zda</w:t>
      </w:r>
      <w:r>
        <w:t xml:space="preserve"> </w:t>
      </w:r>
      <w:r w:rsidRPr="001654EE">
        <w:t>budou</w:t>
      </w:r>
      <w:r>
        <w:t xml:space="preserve"> </w:t>
      </w:r>
      <w:r w:rsidRPr="001654EE">
        <w:t>vydány</w:t>
      </w:r>
      <w:r>
        <w:t xml:space="preserve"> </w:t>
      </w:r>
      <w:r w:rsidRPr="001654EE">
        <w:t>akcie</w:t>
      </w:r>
      <w:r>
        <w:t xml:space="preserve"> </w:t>
      </w:r>
      <w:r w:rsidRPr="001654EE">
        <w:t>nové,</w:t>
      </w:r>
      <w:r>
        <w:t xml:space="preserve"> </w:t>
      </w:r>
      <w:r w:rsidRPr="001654EE">
        <w:t>s</w:t>
      </w:r>
      <w:r>
        <w:t xml:space="preserve"> </w:t>
      </w:r>
      <w:r w:rsidRPr="001654EE">
        <w:t>uvedením</w:t>
      </w:r>
      <w:r>
        <w:t xml:space="preserve"> </w:t>
      </w:r>
      <w:r w:rsidRPr="001654EE">
        <w:t>údajů</w:t>
      </w:r>
      <w:r>
        <w:t xml:space="preserve"> </w:t>
      </w:r>
      <w:r w:rsidRPr="001654EE">
        <w:t>uvedených</w:t>
      </w:r>
      <w:r>
        <w:t xml:space="preserve"> </w:t>
      </w:r>
      <w:r w:rsidRPr="001654EE">
        <w:t>v</w:t>
      </w:r>
      <w:r>
        <w:t xml:space="preserve"> </w:t>
      </w:r>
      <w:r w:rsidRPr="001654EE">
        <w:t>§</w:t>
      </w:r>
      <w:r>
        <w:t xml:space="preserve"> </w:t>
      </w:r>
      <w:r w:rsidRPr="001654EE">
        <w:t>475</w:t>
      </w:r>
      <w:r>
        <w:t xml:space="preserve"> </w:t>
      </w:r>
      <w:r w:rsidRPr="001654EE">
        <w:t>písm.</w:t>
      </w:r>
      <w:r>
        <w:t xml:space="preserve"> </w:t>
      </w:r>
      <w:r w:rsidRPr="001654EE">
        <w:t>b),</w:t>
      </w:r>
      <w:r>
        <w:t xml:space="preserve"> </w:t>
      </w:r>
      <w:r w:rsidRPr="001654EE">
        <w:t>a</w:t>
      </w:r>
    </w:p>
    <w:p w14:paraId="0834AF0D" w14:textId="77777777" w:rsidR="00CD2102" w:rsidRDefault="00CD2102" w:rsidP="0056049B">
      <w:pPr>
        <w:pStyle w:val="PZTextpsmene"/>
        <w:tabs>
          <w:tab w:val="left" w:pos="420"/>
          <w:tab w:val="left" w:pos="840"/>
        </w:tabs>
        <w:spacing w:before="0"/>
        <w:ind w:left="426" w:hanging="426"/>
      </w:pPr>
      <w:r w:rsidRPr="001654EE">
        <w:lastRenderedPageBreak/>
        <w:t>d</w:t>
      </w:r>
      <w:r>
        <w:t>)</w:t>
      </w:r>
      <w:r>
        <w:tab/>
      </w:r>
      <w:r w:rsidRPr="001654EE">
        <w:t>jestliže</w:t>
      </w:r>
      <w:r>
        <w:t xml:space="preserve"> </w:t>
      </w:r>
      <w:r w:rsidRPr="001654EE">
        <w:t>se</w:t>
      </w:r>
      <w:r>
        <w:t xml:space="preserve"> </w:t>
      </w:r>
      <w:r w:rsidRPr="001654EE">
        <w:t>základní</w:t>
      </w:r>
      <w:r>
        <w:t xml:space="preserve"> </w:t>
      </w:r>
      <w:r w:rsidRPr="001654EE">
        <w:t>kapitál</w:t>
      </w:r>
      <w:r>
        <w:t xml:space="preserve"> </w:t>
      </w:r>
      <w:r w:rsidRPr="001654EE">
        <w:t>zvyšuje</w:t>
      </w:r>
      <w:r>
        <w:t xml:space="preserve"> </w:t>
      </w:r>
      <w:r w:rsidRPr="001654EE">
        <w:t>zvýšením</w:t>
      </w:r>
      <w:r>
        <w:t xml:space="preserve"> </w:t>
      </w:r>
      <w:r w:rsidRPr="001654EE">
        <w:t>jmenovité</w:t>
      </w:r>
      <w:r>
        <w:t xml:space="preserve"> </w:t>
      </w:r>
      <w:r w:rsidRPr="001654EE">
        <w:t>hodnoty</w:t>
      </w:r>
      <w:r>
        <w:t xml:space="preserve"> </w:t>
      </w:r>
      <w:r w:rsidRPr="001654EE">
        <w:t>akcií,</w:t>
      </w:r>
      <w:r>
        <w:t xml:space="preserve"> </w:t>
      </w:r>
      <w:r w:rsidRPr="001654EE">
        <w:t>i</w:t>
      </w:r>
      <w:r>
        <w:t xml:space="preserve"> </w:t>
      </w:r>
      <w:r w:rsidRPr="001654EE">
        <w:t>lhůtu</w:t>
      </w:r>
      <w:r>
        <w:t xml:space="preserve"> </w:t>
      </w:r>
      <w:r w:rsidRPr="001654EE">
        <w:t>pro</w:t>
      </w:r>
      <w:r>
        <w:t xml:space="preserve"> </w:t>
      </w:r>
      <w:r w:rsidRPr="001654EE">
        <w:t>předložení</w:t>
      </w:r>
      <w:r>
        <w:t xml:space="preserve"> </w:t>
      </w:r>
      <w:r w:rsidRPr="001654EE">
        <w:t>akcií;</w:t>
      </w:r>
      <w:r>
        <w:t xml:space="preserve"> </w:t>
      </w:r>
      <w:r w:rsidRPr="001654EE">
        <w:t>počátek</w:t>
      </w:r>
      <w:r>
        <w:t xml:space="preserve"> </w:t>
      </w:r>
      <w:r w:rsidRPr="001654EE">
        <w:t>této</w:t>
      </w:r>
      <w:r>
        <w:t xml:space="preserve"> </w:t>
      </w:r>
      <w:r w:rsidRPr="001654EE">
        <w:t>lhůty</w:t>
      </w:r>
      <w:r>
        <w:t xml:space="preserve"> </w:t>
      </w:r>
      <w:r w:rsidRPr="001654EE">
        <w:t>nesmí</w:t>
      </w:r>
      <w:r>
        <w:t xml:space="preserve"> </w:t>
      </w:r>
      <w:r w:rsidRPr="001654EE">
        <w:t>předcházet</w:t>
      </w:r>
      <w:r>
        <w:t xml:space="preserve"> </w:t>
      </w:r>
      <w:r w:rsidRPr="001654EE">
        <w:t>dni,</w:t>
      </w:r>
      <w:r>
        <w:t xml:space="preserve"> </w:t>
      </w:r>
      <w:r w:rsidRPr="001654EE">
        <w:t>kdy</w:t>
      </w:r>
      <w:r>
        <w:t xml:space="preserve"> </w:t>
      </w:r>
      <w:r w:rsidRPr="001654EE">
        <w:t>bude</w:t>
      </w:r>
      <w:r>
        <w:t xml:space="preserve"> </w:t>
      </w:r>
      <w:r w:rsidRPr="001654EE">
        <w:t>zapsána</w:t>
      </w:r>
      <w:r>
        <w:t xml:space="preserve"> </w:t>
      </w:r>
      <w:r w:rsidRPr="001654EE">
        <w:t>nová</w:t>
      </w:r>
      <w:r>
        <w:t xml:space="preserve"> </w:t>
      </w:r>
      <w:r w:rsidRPr="001654EE">
        <w:t>výše</w:t>
      </w:r>
      <w:r>
        <w:t xml:space="preserve"> </w:t>
      </w:r>
      <w:r w:rsidRPr="001654EE">
        <w:t>základního</w:t>
      </w:r>
      <w:r>
        <w:t xml:space="preserve"> </w:t>
      </w:r>
      <w:r w:rsidRPr="001654EE">
        <w:t>kapitálu</w:t>
      </w:r>
      <w:r>
        <w:t xml:space="preserve"> </w:t>
      </w:r>
      <w:r w:rsidRPr="001654EE">
        <w:t>do</w:t>
      </w:r>
      <w:r>
        <w:t xml:space="preserve"> </w:t>
      </w:r>
      <w:r w:rsidRPr="001654EE">
        <w:t>obchodního</w:t>
      </w:r>
      <w:r>
        <w:t xml:space="preserve"> </w:t>
      </w:r>
      <w:r w:rsidRPr="001654EE">
        <w:t>rejstříku.</w:t>
      </w:r>
    </w:p>
    <w:p w14:paraId="682C384C" w14:textId="77777777" w:rsidR="00CD2102" w:rsidRDefault="00CD2102" w:rsidP="0056049B">
      <w:pPr>
        <w:pStyle w:val="Paragraf"/>
        <w:keepNext w:val="0"/>
        <w:keepLines w:val="0"/>
        <w:numPr>
          <w:ilvl w:val="0"/>
          <w:numId w:val="27"/>
        </w:numPr>
        <w:tabs>
          <w:tab w:val="left" w:pos="420"/>
          <w:tab w:val="left" w:pos="840"/>
        </w:tabs>
        <w:spacing w:after="120"/>
      </w:pPr>
      <w:r w:rsidRPr="00AA135D">
        <w:t>***</w:t>
      </w:r>
    </w:p>
    <w:p w14:paraId="0378ACC1" w14:textId="77777777" w:rsidR="00CD2102" w:rsidRDefault="00CD2102" w:rsidP="0056049B">
      <w:pPr>
        <w:pStyle w:val="Paragraf"/>
        <w:keepNext w:val="0"/>
        <w:keepLines w:val="0"/>
        <w:numPr>
          <w:ilvl w:val="0"/>
          <w:numId w:val="27"/>
        </w:numPr>
        <w:tabs>
          <w:tab w:val="left" w:pos="420"/>
          <w:tab w:val="left" w:pos="840"/>
        </w:tabs>
        <w:spacing w:after="120"/>
      </w:pPr>
      <w:r>
        <w:t xml:space="preserve">§ </w:t>
      </w:r>
      <w:r w:rsidRPr="00BB1E0A">
        <w:t>511</w:t>
      </w:r>
    </w:p>
    <w:p w14:paraId="4788263B" w14:textId="77777777" w:rsidR="00CD2102" w:rsidRPr="005E4900" w:rsidRDefault="00CD2102" w:rsidP="0056049B">
      <w:pPr>
        <w:pStyle w:val="PZTextodstavce"/>
        <w:tabs>
          <w:tab w:val="clear" w:pos="851"/>
          <w:tab w:val="left" w:pos="420"/>
          <w:tab w:val="left" w:pos="840"/>
        </w:tabs>
      </w:pPr>
      <w:r w:rsidRPr="005E4900">
        <w:t xml:space="preserve">(1) Valná hromada může pověřit představenstvo nebo správní radu, aby za podmínek stanovených tímto zákonem a stanovami zvýšily základní kapitál upisováním nových akcií, podmíněným zvýšením základního kapitálu nebo z </w:t>
      </w:r>
      <w:r w:rsidRPr="005E4900">
        <w:rPr>
          <w:strike/>
        </w:rPr>
        <w:t>vlastních zdrojů</w:t>
      </w:r>
      <w:r w:rsidRPr="005E4900">
        <w:t xml:space="preserve"> </w:t>
      </w:r>
      <w:r w:rsidRPr="005E4900">
        <w:rPr>
          <w:b/>
          <w:bCs/>
        </w:rPr>
        <w:t>jiných částí vlastního kapitálu</w:t>
      </w:r>
      <w:r w:rsidRPr="005E4900">
        <w:t xml:space="preserve"> společnosti, nejvýše však o jednu polovinu dosavadní výše základního kapitálu v době pověření.</w:t>
      </w:r>
    </w:p>
    <w:p w14:paraId="4D2F6F2A" w14:textId="77777777" w:rsidR="00CD2102" w:rsidRPr="005E4900" w:rsidRDefault="00CD2102" w:rsidP="0056049B">
      <w:pPr>
        <w:pStyle w:val="PZTextodstavce"/>
        <w:tabs>
          <w:tab w:val="clear" w:pos="851"/>
          <w:tab w:val="left" w:pos="420"/>
          <w:tab w:val="left" w:pos="840"/>
        </w:tabs>
      </w:pPr>
      <w:r w:rsidRPr="005E4900">
        <w:t>(2) Pověření podle odstavce 1 nahrazuje rozhodnutí valné hromady o zvýšení základního kapitálu a určí</w:t>
      </w:r>
    </w:p>
    <w:p w14:paraId="2FC86DE8" w14:textId="01E38C04" w:rsidR="00CD2102" w:rsidRPr="005E4900" w:rsidRDefault="005E4900" w:rsidP="0056049B">
      <w:pPr>
        <w:pStyle w:val="PZTextpsmene"/>
        <w:tabs>
          <w:tab w:val="left" w:pos="420"/>
          <w:tab w:val="left" w:pos="840"/>
        </w:tabs>
        <w:spacing w:before="0"/>
        <w:ind w:left="426" w:hanging="426"/>
      </w:pPr>
      <w:r>
        <w:t>a)</w:t>
      </w:r>
      <w:r>
        <w:tab/>
      </w:r>
      <w:r w:rsidR="00CD2102" w:rsidRPr="005E4900">
        <w:t>maximální počet akcií a další údaje o akciích, které mají být na zvýšení základního kapitálu vydány, uvedené v § 475 písm. b), a</w:t>
      </w:r>
    </w:p>
    <w:p w14:paraId="372D3A58" w14:textId="664FD2D6" w:rsidR="00CD2102" w:rsidRPr="005E4900" w:rsidRDefault="005E4900" w:rsidP="0056049B">
      <w:pPr>
        <w:pStyle w:val="PZTextpsmene"/>
        <w:tabs>
          <w:tab w:val="left" w:pos="420"/>
          <w:tab w:val="left" w:pos="840"/>
        </w:tabs>
        <w:spacing w:before="0"/>
        <w:ind w:left="426" w:hanging="426"/>
      </w:pPr>
      <w:r>
        <w:t>b)</w:t>
      </w:r>
      <w:r>
        <w:tab/>
      </w:r>
      <w:r w:rsidR="00CD2102" w:rsidRPr="005E4900">
        <w:t>který orgán společnosti rozhodne o ocenění nepeněžitého vkladu na základě posudku znalce, jestliže je představenstvo pověřeno nebo správní rada pověřena zvýšit základní kapitál.</w:t>
      </w:r>
    </w:p>
    <w:p w14:paraId="2D7DFFED" w14:textId="07463BA7" w:rsidR="00CD2102" w:rsidRPr="00BB1E0A" w:rsidRDefault="00CD2102" w:rsidP="0056049B">
      <w:pPr>
        <w:pStyle w:val="Paragraf"/>
        <w:keepNext w:val="0"/>
        <w:keepLines w:val="0"/>
        <w:numPr>
          <w:ilvl w:val="0"/>
          <w:numId w:val="27"/>
        </w:numPr>
        <w:tabs>
          <w:tab w:val="left" w:pos="420"/>
          <w:tab w:val="left" w:pos="840"/>
        </w:tabs>
        <w:spacing w:after="120"/>
      </w:pPr>
      <w:r w:rsidRPr="00AA135D">
        <w:t>***</w:t>
      </w:r>
    </w:p>
    <w:p w14:paraId="55CFF4DF" w14:textId="77777777" w:rsidR="00CD2102" w:rsidRPr="00BB1E0A" w:rsidRDefault="00CD2102" w:rsidP="0056049B">
      <w:pPr>
        <w:pStyle w:val="PZTextpsmene"/>
        <w:tabs>
          <w:tab w:val="left" w:pos="420"/>
          <w:tab w:val="left" w:pos="840"/>
        </w:tabs>
        <w:spacing w:after="120"/>
        <w:jc w:val="center"/>
      </w:pPr>
      <w:r w:rsidRPr="00BB1E0A">
        <w:t>§ 515</w:t>
      </w:r>
    </w:p>
    <w:p w14:paraId="25F1FDAF" w14:textId="77777777" w:rsidR="00CD2102" w:rsidRPr="00647D5E" w:rsidRDefault="00CD2102" w:rsidP="0056049B">
      <w:pPr>
        <w:pStyle w:val="PZTextodstavce"/>
        <w:tabs>
          <w:tab w:val="clear" w:pos="851"/>
          <w:tab w:val="left" w:pos="420"/>
          <w:tab w:val="left" w:pos="840"/>
        </w:tabs>
      </w:pPr>
      <w:r w:rsidRPr="00647D5E">
        <w:t>(1) Rozhodnutí představenstva nebo správní rady o zvýšení základního kapitálu se osvědčuje veřejnou listinou a toto rozhodnutí se zapisuje do obchodního rejstříku.</w:t>
      </w:r>
    </w:p>
    <w:p w14:paraId="4F9DE0EA" w14:textId="77777777" w:rsidR="00CD2102" w:rsidRPr="00647D5E" w:rsidRDefault="00CD2102" w:rsidP="0056049B">
      <w:pPr>
        <w:pStyle w:val="PZTextodstavce"/>
        <w:tabs>
          <w:tab w:val="clear" w:pos="851"/>
          <w:tab w:val="left" w:pos="420"/>
          <w:tab w:val="left" w:pos="840"/>
        </w:tabs>
      </w:pPr>
      <w:r w:rsidRPr="00647D5E">
        <w:t xml:space="preserve">(2) Při zvýšení základního kapitálu představenstvem nebo správní radou se postupuje obdobně podle ustanovení tohoto zákona o zvýšení základního kapitálu upisováním nových akcií, o podmíněném zvýšení základního kapitálu nebo o zvýšení základního kapitálu z </w:t>
      </w:r>
      <w:r w:rsidRPr="00647D5E">
        <w:rPr>
          <w:strike/>
        </w:rPr>
        <w:t>vlastních zdrojů</w:t>
      </w:r>
      <w:r w:rsidRPr="00647D5E">
        <w:t xml:space="preserve"> </w:t>
      </w:r>
      <w:r w:rsidRPr="00647D5E">
        <w:rPr>
          <w:b/>
          <w:bCs/>
        </w:rPr>
        <w:t>jiných částí vlastního kapitálu</w:t>
      </w:r>
      <w:r w:rsidRPr="00647D5E">
        <w:t xml:space="preserve"> společnosti, s ohledem na zvolený způsob zvýšení základního kapitálu.</w:t>
      </w:r>
    </w:p>
    <w:p w14:paraId="4A5E303A" w14:textId="77777777" w:rsidR="00CD2102" w:rsidRDefault="00CD2102" w:rsidP="0056049B">
      <w:pPr>
        <w:pStyle w:val="Paragraf"/>
        <w:keepNext w:val="0"/>
        <w:keepLines w:val="0"/>
        <w:numPr>
          <w:ilvl w:val="0"/>
          <w:numId w:val="27"/>
        </w:numPr>
        <w:tabs>
          <w:tab w:val="left" w:pos="420"/>
          <w:tab w:val="left" w:pos="840"/>
        </w:tabs>
        <w:spacing w:after="120"/>
      </w:pPr>
      <w:r w:rsidRPr="00AA135D">
        <w:t>***</w:t>
      </w:r>
    </w:p>
    <w:p w14:paraId="1A6CFF68" w14:textId="77777777" w:rsidR="00CD2102" w:rsidRPr="00FC105F" w:rsidRDefault="00CD2102" w:rsidP="0056049B">
      <w:pPr>
        <w:pStyle w:val="Paragraf"/>
        <w:keepNext w:val="0"/>
        <w:keepLines w:val="0"/>
        <w:numPr>
          <w:ilvl w:val="0"/>
          <w:numId w:val="27"/>
        </w:numPr>
        <w:tabs>
          <w:tab w:val="left" w:pos="420"/>
          <w:tab w:val="left" w:pos="840"/>
        </w:tabs>
        <w:spacing w:after="120"/>
        <w:rPr>
          <w:b/>
          <w:bCs/>
        </w:rPr>
      </w:pPr>
      <w:r w:rsidRPr="00FC105F">
        <w:rPr>
          <w:b/>
          <w:bCs/>
        </w:rPr>
        <w:t xml:space="preserve">Snížení jmenovité nebo </w:t>
      </w:r>
      <w:r w:rsidRPr="00FC105F">
        <w:rPr>
          <w:b/>
          <w:bCs/>
          <w:strike/>
        </w:rPr>
        <w:t>účetní</w:t>
      </w:r>
      <w:r>
        <w:rPr>
          <w:b/>
          <w:bCs/>
        </w:rPr>
        <w:t xml:space="preserve"> </w:t>
      </w:r>
      <w:r w:rsidRPr="002E5FBF">
        <w:rPr>
          <w:b/>
          <w:bCs/>
          <w:u w:val="single"/>
        </w:rPr>
        <w:t>paritní</w:t>
      </w:r>
      <w:r w:rsidRPr="00FC105F">
        <w:rPr>
          <w:b/>
          <w:bCs/>
        </w:rPr>
        <w:t xml:space="preserve"> hodnoty akcií nebo zatímních listů</w:t>
      </w:r>
    </w:p>
    <w:p w14:paraId="628F068E" w14:textId="77777777" w:rsidR="00CD2102" w:rsidRDefault="00CD2102" w:rsidP="0056049B">
      <w:pPr>
        <w:pStyle w:val="Paragraf"/>
        <w:keepNext w:val="0"/>
        <w:keepLines w:val="0"/>
        <w:numPr>
          <w:ilvl w:val="0"/>
          <w:numId w:val="27"/>
        </w:numPr>
        <w:tabs>
          <w:tab w:val="left" w:pos="420"/>
          <w:tab w:val="left" w:pos="840"/>
        </w:tabs>
        <w:spacing w:after="120"/>
      </w:pPr>
      <w:r>
        <w:t>§ 524</w:t>
      </w:r>
    </w:p>
    <w:p w14:paraId="23FB6442" w14:textId="381758A9" w:rsidR="00CD2102" w:rsidRDefault="00647D5E" w:rsidP="0056049B">
      <w:pPr>
        <w:pStyle w:val="PZTextodstavce"/>
        <w:tabs>
          <w:tab w:val="clear" w:pos="851"/>
          <w:tab w:val="left" w:pos="420"/>
          <w:tab w:val="left" w:pos="840"/>
        </w:tabs>
      </w:pPr>
      <w:r>
        <w:t xml:space="preserve">(1) </w:t>
      </w:r>
      <w:r w:rsidR="00CD2102" w:rsidRPr="00F24B9B">
        <w:t>Jmenovitá hodnota akcií se snižuje poměrně u všech akcií společnosti, ledaže je účelem snížení základního kapitálu prominutí nesplacené části emisního kursu akcií.</w:t>
      </w:r>
    </w:p>
    <w:p w14:paraId="7E41F650" w14:textId="4AF58040" w:rsidR="00CD2102" w:rsidRDefault="00CD2102" w:rsidP="0056049B">
      <w:pPr>
        <w:pStyle w:val="PZTextodstavce"/>
        <w:tabs>
          <w:tab w:val="clear" w:pos="851"/>
          <w:tab w:val="left" w:pos="420"/>
          <w:tab w:val="left" w:pos="840"/>
        </w:tabs>
      </w:pPr>
      <w:r w:rsidRPr="00B05AED">
        <w:t>(2)</w:t>
      </w:r>
      <w:r w:rsidR="00647D5E">
        <w:rPr>
          <w:strike/>
        </w:rPr>
        <w:t xml:space="preserve"> </w:t>
      </w:r>
      <w:r w:rsidRPr="002556C5">
        <w:rPr>
          <w:strike/>
        </w:rPr>
        <w:t>Účetní</w:t>
      </w:r>
      <w:r w:rsidRPr="002556C5">
        <w:t xml:space="preserve"> </w:t>
      </w:r>
      <w:r w:rsidRPr="002556C5">
        <w:rPr>
          <w:b/>
        </w:rPr>
        <w:t>Paritní</w:t>
      </w:r>
      <w:r w:rsidRPr="00D60FC7">
        <w:t xml:space="preserve"> </w:t>
      </w:r>
      <w:r w:rsidRPr="00B05AED">
        <w:t>hodnota</w:t>
      </w:r>
      <w:r w:rsidRPr="00F24B9B">
        <w:t xml:space="preserve"> se snižuje poměrně u všech kusových akcií společnosti.</w:t>
      </w:r>
    </w:p>
    <w:p w14:paraId="4393600F" w14:textId="77777777" w:rsidR="00CD2102" w:rsidRDefault="00CD2102" w:rsidP="0056049B">
      <w:pPr>
        <w:pStyle w:val="Paragraf"/>
        <w:keepNext w:val="0"/>
        <w:keepLines w:val="0"/>
        <w:numPr>
          <w:ilvl w:val="0"/>
          <w:numId w:val="27"/>
        </w:numPr>
        <w:tabs>
          <w:tab w:val="left" w:pos="420"/>
          <w:tab w:val="left" w:pos="840"/>
        </w:tabs>
        <w:spacing w:after="120"/>
      </w:pPr>
      <w:r w:rsidRPr="00AA135D">
        <w:t>***</w:t>
      </w:r>
    </w:p>
    <w:p w14:paraId="07D9092D" w14:textId="77777777" w:rsidR="00CD2102" w:rsidRDefault="00CD2102" w:rsidP="0056049B">
      <w:pPr>
        <w:pStyle w:val="Paragraf"/>
        <w:keepNext w:val="0"/>
        <w:keepLines w:val="0"/>
        <w:numPr>
          <w:ilvl w:val="0"/>
          <w:numId w:val="27"/>
        </w:numPr>
        <w:tabs>
          <w:tab w:val="left" w:pos="420"/>
          <w:tab w:val="left" w:pos="840"/>
        </w:tabs>
        <w:spacing w:after="120"/>
      </w:pPr>
      <w:r>
        <w:t>§ 567</w:t>
      </w:r>
    </w:p>
    <w:p w14:paraId="2C41C224" w14:textId="190E70D2" w:rsidR="00CD2102" w:rsidRDefault="00647D5E" w:rsidP="0056049B">
      <w:pPr>
        <w:pStyle w:val="PZTextodstavce"/>
        <w:tabs>
          <w:tab w:val="clear" w:pos="851"/>
          <w:tab w:val="left" w:pos="420"/>
          <w:tab w:val="left" w:pos="840"/>
        </w:tabs>
      </w:pPr>
      <w:r>
        <w:t xml:space="preserve">(1) </w:t>
      </w:r>
      <w:r w:rsidR="00CD2102" w:rsidRPr="00C365D5">
        <w:t xml:space="preserve">Členská schůze může rozhodnout, že se základní členský vklad poměrně zvýší všem členům z </w:t>
      </w:r>
      <w:r w:rsidR="00CD2102" w:rsidRPr="002556C5">
        <w:rPr>
          <w:strike/>
        </w:rPr>
        <w:t>vlastních zdrojů</w:t>
      </w:r>
      <w:r w:rsidR="00CD2102" w:rsidRPr="002556C5">
        <w:t xml:space="preserve"> </w:t>
      </w:r>
      <w:r w:rsidR="00CD2102" w:rsidRPr="002556C5">
        <w:rPr>
          <w:b/>
        </w:rPr>
        <w:t>vlastního kapitálu</w:t>
      </w:r>
      <w:r w:rsidR="00CD2102" w:rsidRPr="002556C5">
        <w:t xml:space="preserve"> </w:t>
      </w:r>
      <w:r w:rsidR="00CD2102" w:rsidRPr="00C365D5">
        <w:t>družstva.</w:t>
      </w:r>
    </w:p>
    <w:p w14:paraId="71C19ACB" w14:textId="4230526C" w:rsidR="00CD2102" w:rsidRPr="002556C5" w:rsidRDefault="00647D5E" w:rsidP="0056049B">
      <w:pPr>
        <w:pStyle w:val="PZTextodstavce"/>
        <w:tabs>
          <w:tab w:val="clear" w:pos="851"/>
          <w:tab w:val="left" w:pos="420"/>
          <w:tab w:val="left" w:pos="840"/>
        </w:tabs>
        <w:rPr>
          <w:strike/>
        </w:rPr>
      </w:pPr>
      <w:r>
        <w:rPr>
          <w:strike/>
        </w:rPr>
        <w:lastRenderedPageBreak/>
        <w:t xml:space="preserve">(2) </w:t>
      </w:r>
      <w:r w:rsidR="00CD2102" w:rsidRPr="002556C5">
        <w:rPr>
          <w:strike/>
        </w:rPr>
        <w:t>Zvýšení základního členského vkladu z vlastních zdrojů je možné pouze tehdy, je-li účetní závěrka, na základě které členská schůze o zvýšení rozhoduje, ověřena auditorem s výrokem bez výhrad.</w:t>
      </w:r>
    </w:p>
    <w:p w14:paraId="2B5C5509" w14:textId="47158DA9" w:rsidR="00CD2102" w:rsidRPr="002556C5" w:rsidRDefault="00CD2102" w:rsidP="0056049B">
      <w:pPr>
        <w:pStyle w:val="Textparagrafu"/>
        <w:tabs>
          <w:tab w:val="left" w:pos="420"/>
          <w:tab w:val="left" w:pos="840"/>
        </w:tabs>
        <w:spacing w:before="120" w:after="120"/>
        <w:rPr>
          <w:b/>
        </w:rPr>
      </w:pPr>
      <w:r w:rsidRPr="002556C5">
        <w:rPr>
          <w:b/>
        </w:rPr>
        <w:t>(2) Zvýšení základního členského vkladu z vlastního kapitálu je možné pouze tehdy, pokud je řádná individuální účetní závěrka, na základě které valná hromada o zvýšení rozhoduje, ověřena auditorem, podle jehož názoru podává věrné a poctivé zobrazení finanční situace, finanční výkonnosti a jiných změn finanční situace.</w:t>
      </w:r>
    </w:p>
    <w:p w14:paraId="1036F458" w14:textId="2441F8AF" w:rsidR="00CD2102" w:rsidRDefault="00647D5E" w:rsidP="0056049B">
      <w:pPr>
        <w:pStyle w:val="PZTextodstavce"/>
        <w:tabs>
          <w:tab w:val="clear" w:pos="851"/>
          <w:tab w:val="left" w:pos="420"/>
          <w:tab w:val="left" w:pos="840"/>
        </w:tabs>
      </w:pPr>
      <w:r>
        <w:t xml:space="preserve">(3) </w:t>
      </w:r>
      <w:r w:rsidR="00CD2102" w:rsidRPr="00C365D5">
        <w:t xml:space="preserve">Ke zvýšení základního členského vkladu z </w:t>
      </w:r>
      <w:r w:rsidR="00CD2102" w:rsidRPr="002556C5">
        <w:rPr>
          <w:strike/>
        </w:rPr>
        <w:t>vlastních zdrojů</w:t>
      </w:r>
      <w:r w:rsidR="00CD2102" w:rsidRPr="002556C5">
        <w:t xml:space="preserve"> </w:t>
      </w:r>
      <w:r w:rsidR="00CD2102" w:rsidRPr="002556C5">
        <w:rPr>
          <w:b/>
        </w:rPr>
        <w:t xml:space="preserve">vlastního kapitálu </w:t>
      </w:r>
      <w:r w:rsidR="00CD2102" w:rsidRPr="00C365D5">
        <w:t xml:space="preserve">nelze použít rezervní fond, pokud se podle jiného právního předpisu nebo stanov zřizuje, jiné fondy, které jsou vytvořeny k jiným účelům než ke zvýšení základního členského vkladu, ani </w:t>
      </w:r>
      <w:r w:rsidR="00CD2102" w:rsidRPr="002556C5">
        <w:rPr>
          <w:strike/>
        </w:rPr>
        <w:t>vlastní zdroje</w:t>
      </w:r>
      <w:r w:rsidR="00CD2102" w:rsidRPr="002556C5">
        <w:rPr>
          <w:b/>
        </w:rPr>
        <w:t xml:space="preserve"> ty části vlastního kapitálu</w:t>
      </w:r>
      <w:r w:rsidR="00CD2102" w:rsidRPr="00C365D5">
        <w:t>, které jsou účelově vázány a jejichž účel není družstvo oprávněno měnit.</w:t>
      </w:r>
    </w:p>
    <w:p w14:paraId="27487EAE" w14:textId="036CB57B" w:rsidR="00CD2102" w:rsidRDefault="00647D5E" w:rsidP="0056049B">
      <w:pPr>
        <w:pStyle w:val="PZTextodstavce"/>
        <w:tabs>
          <w:tab w:val="clear" w:pos="851"/>
          <w:tab w:val="left" w:pos="420"/>
          <w:tab w:val="left" w:pos="840"/>
        </w:tabs>
      </w:pPr>
      <w:r>
        <w:t xml:space="preserve">(4) </w:t>
      </w:r>
      <w:r w:rsidR="00CD2102" w:rsidRPr="00C365D5">
        <w:t xml:space="preserve">Souhrn částek, o něž se zvyšuje základní členský vklad z </w:t>
      </w:r>
      <w:r w:rsidR="00CD2102" w:rsidRPr="002556C5">
        <w:rPr>
          <w:strike/>
        </w:rPr>
        <w:t>vlastních zdrojů</w:t>
      </w:r>
      <w:r w:rsidR="00CD2102" w:rsidRPr="002556C5">
        <w:t xml:space="preserve"> </w:t>
      </w:r>
      <w:r w:rsidR="00CD2102" w:rsidRPr="002556C5">
        <w:rPr>
          <w:b/>
        </w:rPr>
        <w:t>vlastního kapitálu</w:t>
      </w:r>
      <w:r w:rsidR="00CD2102" w:rsidRPr="00C365D5">
        <w:t xml:space="preserve">, nesmí být vyšší, než kolik činí rozdíl mezi vlastním kapitálem a součtem dosavadního základního kapitálu a jiných </w:t>
      </w:r>
      <w:r w:rsidR="00CD2102" w:rsidRPr="002556C5">
        <w:rPr>
          <w:strike/>
        </w:rPr>
        <w:t>vlastních zdrojů</w:t>
      </w:r>
      <w:r w:rsidR="00CD2102" w:rsidRPr="002556C5">
        <w:rPr>
          <w:b/>
        </w:rPr>
        <w:t xml:space="preserve"> částí vlastního kapitálu</w:t>
      </w:r>
      <w:r w:rsidR="00CD2102" w:rsidRPr="00C365D5">
        <w:t>, které jsou účelově vázány a jejichž účel není družstvo oprávněno měnit.</w:t>
      </w:r>
    </w:p>
    <w:p w14:paraId="2330A138" w14:textId="77777777" w:rsidR="00CD2102" w:rsidRDefault="00CD2102" w:rsidP="0056049B">
      <w:pPr>
        <w:pStyle w:val="Paragraf"/>
        <w:keepNext w:val="0"/>
        <w:keepLines w:val="0"/>
        <w:numPr>
          <w:ilvl w:val="0"/>
          <w:numId w:val="27"/>
        </w:numPr>
        <w:tabs>
          <w:tab w:val="left" w:pos="420"/>
          <w:tab w:val="left" w:pos="840"/>
        </w:tabs>
        <w:spacing w:after="120"/>
      </w:pPr>
      <w:r w:rsidRPr="00AA135D">
        <w:t>***</w:t>
      </w:r>
    </w:p>
    <w:p w14:paraId="1BA5AA2D" w14:textId="77777777" w:rsidR="00CD2102" w:rsidRPr="00BB1E0A" w:rsidRDefault="00CD2102" w:rsidP="0056049B">
      <w:pPr>
        <w:pStyle w:val="Paragraf"/>
        <w:keepNext w:val="0"/>
        <w:keepLines w:val="0"/>
        <w:numPr>
          <w:ilvl w:val="0"/>
          <w:numId w:val="27"/>
        </w:numPr>
        <w:tabs>
          <w:tab w:val="left" w:pos="420"/>
          <w:tab w:val="left" w:pos="840"/>
        </w:tabs>
        <w:spacing w:after="120"/>
      </w:pPr>
      <w:r>
        <w:t xml:space="preserve">§ </w:t>
      </w:r>
      <w:r w:rsidRPr="00BB1E0A">
        <w:t>586</w:t>
      </w:r>
    </w:p>
    <w:p w14:paraId="3D7E491A" w14:textId="77777777" w:rsidR="00CD2102" w:rsidRPr="00BB1E0A" w:rsidRDefault="00CD2102" w:rsidP="0056049B">
      <w:pPr>
        <w:pStyle w:val="PZTextodstavce"/>
        <w:tabs>
          <w:tab w:val="clear" w:pos="851"/>
          <w:tab w:val="left" w:pos="420"/>
          <w:tab w:val="left" w:pos="840"/>
        </w:tabs>
      </w:pPr>
      <w:r w:rsidRPr="00BB1E0A">
        <w:t xml:space="preserve">(1) Stanovy mohou určit, že člen nebo někteří členové mají za podmínek určených ve stanovách právo na podíl na zisku nebo jiných </w:t>
      </w:r>
      <w:r w:rsidRPr="002556C5">
        <w:rPr>
          <w:strike/>
        </w:rPr>
        <w:t>vlastních zdrojích</w:t>
      </w:r>
      <w:r w:rsidRPr="002556C5">
        <w:t xml:space="preserve"> </w:t>
      </w:r>
      <w:r w:rsidRPr="002556C5">
        <w:rPr>
          <w:b/>
          <w:bCs/>
        </w:rPr>
        <w:t>částech vlastního kapitálu</w:t>
      </w:r>
      <w:r w:rsidRPr="00BB1E0A">
        <w:t>.</w:t>
      </w:r>
    </w:p>
    <w:p w14:paraId="30C75299" w14:textId="77777777" w:rsidR="00CD2102" w:rsidRPr="00BB1E0A" w:rsidRDefault="00CD2102" w:rsidP="0056049B">
      <w:pPr>
        <w:pStyle w:val="PZTextodstavce"/>
        <w:tabs>
          <w:tab w:val="clear" w:pos="851"/>
          <w:tab w:val="left" w:pos="420"/>
          <w:tab w:val="left" w:pos="840"/>
        </w:tabs>
      </w:pPr>
      <w:r w:rsidRPr="00BB1E0A">
        <w:t xml:space="preserve">(2) Neurčují-li stanovy způsob určení podílu člena na zisku nebo jiných </w:t>
      </w:r>
      <w:r w:rsidRPr="002556C5">
        <w:rPr>
          <w:strike/>
        </w:rPr>
        <w:t>vlastních zdrojích</w:t>
      </w:r>
      <w:r w:rsidRPr="002556C5">
        <w:rPr>
          <w:b/>
          <w:bCs/>
        </w:rPr>
        <w:t xml:space="preserve"> částech vlastního kapitálu</w:t>
      </w:r>
      <w:r w:rsidRPr="00BB1E0A">
        <w:t xml:space="preserve"> určených k rozdělení mezi členy, určí se v poměru jeho splněné vkladové povinnosti k členskému vkladu ke splacenému základnímu kapitálu družstva; u člena, jehož členství v rozhodném roce trvalo jen část účetního období, se podíl na zisku poměrně zkrátí.</w:t>
      </w:r>
    </w:p>
    <w:p w14:paraId="69B87D7D" w14:textId="77777777" w:rsidR="00CD2102" w:rsidRDefault="00CD2102" w:rsidP="0056049B">
      <w:pPr>
        <w:pStyle w:val="Paragraf"/>
        <w:keepNext w:val="0"/>
        <w:keepLines w:val="0"/>
        <w:numPr>
          <w:ilvl w:val="0"/>
          <w:numId w:val="27"/>
        </w:numPr>
        <w:tabs>
          <w:tab w:val="left" w:pos="420"/>
          <w:tab w:val="left" w:pos="840"/>
        </w:tabs>
        <w:spacing w:after="120"/>
      </w:pPr>
      <w:r w:rsidRPr="00AA135D">
        <w:t>***</w:t>
      </w:r>
    </w:p>
    <w:p w14:paraId="65B3104E" w14:textId="77777777" w:rsidR="00CD2102" w:rsidRDefault="00CD2102" w:rsidP="0056049B">
      <w:pPr>
        <w:pStyle w:val="Paragraf"/>
        <w:keepNext w:val="0"/>
        <w:keepLines w:val="0"/>
        <w:numPr>
          <w:ilvl w:val="0"/>
          <w:numId w:val="27"/>
        </w:numPr>
        <w:tabs>
          <w:tab w:val="left" w:pos="420"/>
          <w:tab w:val="left" w:pos="840"/>
        </w:tabs>
        <w:spacing w:after="120"/>
      </w:pPr>
      <w:r>
        <w:t>§ 593</w:t>
      </w:r>
    </w:p>
    <w:p w14:paraId="21856FC2" w14:textId="77777777" w:rsidR="00CD2102" w:rsidRDefault="00CD2102" w:rsidP="0056049B">
      <w:pPr>
        <w:pStyle w:val="Textparagrafu"/>
        <w:tabs>
          <w:tab w:val="left" w:pos="420"/>
          <w:tab w:val="left" w:pos="840"/>
        </w:tabs>
        <w:spacing w:after="120"/>
      </w:pPr>
      <w:r w:rsidRPr="004F3AB5">
        <w:t>Uhrazovací povinnost lze uložit, jestliže</w:t>
      </w:r>
    </w:p>
    <w:p w14:paraId="171D1CC7" w14:textId="77777777" w:rsidR="00CD2102" w:rsidRDefault="00CD2102" w:rsidP="0056049B">
      <w:pPr>
        <w:pStyle w:val="PZTextpsmene"/>
        <w:tabs>
          <w:tab w:val="left" w:pos="420"/>
          <w:tab w:val="left" w:pos="840"/>
        </w:tabs>
        <w:spacing w:before="0"/>
        <w:ind w:left="426" w:hanging="426"/>
      </w:pPr>
      <w:r>
        <w:t>a)</w:t>
      </w:r>
      <w:r>
        <w:tab/>
      </w:r>
      <w:r w:rsidRPr="004F3AB5">
        <w:t xml:space="preserve">ztráta družstva byla zjištěna </w:t>
      </w:r>
      <w:r w:rsidRPr="00C32E3C">
        <w:t xml:space="preserve">řádnou </w:t>
      </w:r>
      <w:r w:rsidRPr="002556C5">
        <w:rPr>
          <w:strike/>
        </w:rPr>
        <w:t>nebo mimořádnou</w:t>
      </w:r>
      <w:r w:rsidRPr="002556C5">
        <w:t xml:space="preserve"> </w:t>
      </w:r>
      <w:r w:rsidRPr="002556C5">
        <w:rPr>
          <w:b/>
        </w:rPr>
        <w:t xml:space="preserve">individuální </w:t>
      </w:r>
      <w:r w:rsidRPr="00C32E3C">
        <w:t>účetní závěrkou</w:t>
      </w:r>
      <w:r w:rsidRPr="004F3AB5">
        <w:t>,</w:t>
      </w:r>
    </w:p>
    <w:p w14:paraId="52E5B3B7" w14:textId="77777777" w:rsidR="00CD2102" w:rsidRDefault="00CD2102" w:rsidP="0056049B">
      <w:pPr>
        <w:pStyle w:val="PZTextpsmene"/>
        <w:tabs>
          <w:tab w:val="left" w:pos="420"/>
          <w:tab w:val="left" w:pos="840"/>
        </w:tabs>
        <w:spacing w:before="0"/>
        <w:ind w:left="426" w:hanging="426"/>
      </w:pPr>
      <w:r>
        <w:t>b)</w:t>
      </w:r>
      <w:r>
        <w:tab/>
      </w:r>
      <w:r w:rsidRPr="004F3AB5">
        <w:t xml:space="preserve">členská schůze projednala </w:t>
      </w:r>
      <w:r w:rsidRPr="00C32E3C">
        <w:t xml:space="preserve">řádnou </w:t>
      </w:r>
      <w:r w:rsidRPr="002556C5">
        <w:rPr>
          <w:strike/>
        </w:rPr>
        <w:t>nebo mimořádnou</w:t>
      </w:r>
      <w:r w:rsidRPr="002556C5">
        <w:t xml:space="preserve"> </w:t>
      </w:r>
      <w:r w:rsidRPr="002556C5">
        <w:rPr>
          <w:b/>
        </w:rPr>
        <w:t xml:space="preserve">individuální </w:t>
      </w:r>
      <w:r w:rsidRPr="00C32E3C">
        <w:t>účetní závěrku</w:t>
      </w:r>
      <w:r w:rsidRPr="004F3AB5">
        <w:t>,</w:t>
      </w:r>
    </w:p>
    <w:p w14:paraId="512C60E0" w14:textId="77777777" w:rsidR="00CD2102" w:rsidRDefault="00CD2102" w:rsidP="0056049B">
      <w:pPr>
        <w:pStyle w:val="PZTextpsmene"/>
        <w:tabs>
          <w:tab w:val="left" w:pos="420"/>
          <w:tab w:val="left" w:pos="840"/>
        </w:tabs>
        <w:spacing w:before="0"/>
        <w:ind w:left="426" w:hanging="426"/>
      </w:pPr>
      <w:r>
        <w:t>c)</w:t>
      </w:r>
      <w:r>
        <w:tab/>
      </w:r>
      <w:r w:rsidRPr="004F3AB5">
        <w:t>k úhradě ztráty byl použit nerozdělený zisk z minulých let a rezervní a jiné fondy, jsou-li zřízeny, které lze podle stanov k úhradě ztráty použít, a</w:t>
      </w:r>
    </w:p>
    <w:p w14:paraId="2E8D52B5" w14:textId="77777777" w:rsidR="00CD2102" w:rsidRDefault="00CD2102" w:rsidP="0056049B">
      <w:pPr>
        <w:pStyle w:val="PZTextpsmene"/>
        <w:tabs>
          <w:tab w:val="left" w:pos="420"/>
          <w:tab w:val="left" w:pos="840"/>
        </w:tabs>
        <w:spacing w:before="0"/>
        <w:ind w:left="426" w:hanging="426"/>
      </w:pPr>
      <w:r>
        <w:t>d)</w:t>
      </w:r>
      <w:r>
        <w:tab/>
      </w:r>
      <w:r w:rsidRPr="004F3AB5">
        <w:t xml:space="preserve">rozhodnutí členské schůze o uhrazovací povinnosti členů bylo přijato do 1 roku ode dne skončení </w:t>
      </w:r>
      <w:r w:rsidRPr="00C32E3C">
        <w:t>účetního období, v</w:t>
      </w:r>
      <w:r w:rsidRPr="004F3AB5">
        <w:t xml:space="preserve"> němž ztráta hrazená uhrazovací povinností vznikla.</w:t>
      </w:r>
    </w:p>
    <w:p w14:paraId="7EAAC1B7" w14:textId="77777777" w:rsidR="00CD2102" w:rsidRDefault="00CD2102" w:rsidP="0056049B">
      <w:pPr>
        <w:pStyle w:val="Paragraf"/>
        <w:keepNext w:val="0"/>
        <w:keepLines w:val="0"/>
        <w:numPr>
          <w:ilvl w:val="0"/>
          <w:numId w:val="27"/>
        </w:numPr>
        <w:tabs>
          <w:tab w:val="left" w:pos="420"/>
          <w:tab w:val="left" w:pos="840"/>
        </w:tabs>
        <w:spacing w:after="120"/>
      </w:pPr>
      <w:r w:rsidRPr="00AA135D">
        <w:t>***</w:t>
      </w:r>
    </w:p>
    <w:p w14:paraId="77D6931F" w14:textId="77777777" w:rsidR="00CD2102" w:rsidRDefault="00CD2102" w:rsidP="0056049B">
      <w:pPr>
        <w:pStyle w:val="Paragraf"/>
        <w:keepNext w:val="0"/>
        <w:keepLines w:val="0"/>
        <w:numPr>
          <w:ilvl w:val="0"/>
          <w:numId w:val="27"/>
        </w:numPr>
        <w:tabs>
          <w:tab w:val="left" w:pos="420"/>
          <w:tab w:val="left" w:pos="840"/>
        </w:tabs>
        <w:spacing w:after="120"/>
      </w:pPr>
      <w:r>
        <w:t>§ 623</w:t>
      </w:r>
    </w:p>
    <w:p w14:paraId="7DD70006" w14:textId="55E92A5F" w:rsidR="00CD2102" w:rsidRDefault="00647D5E" w:rsidP="0056049B">
      <w:pPr>
        <w:pStyle w:val="PZTextodstavce"/>
        <w:tabs>
          <w:tab w:val="clear" w:pos="851"/>
          <w:tab w:val="left" w:pos="420"/>
          <w:tab w:val="left" w:pos="840"/>
        </w:tabs>
      </w:pPr>
      <w:r>
        <w:t xml:space="preserve">(1) </w:t>
      </w:r>
      <w:r w:rsidR="00CD2102" w:rsidRPr="004F3AB5">
        <w:t>Vypořádací podíl se určí poměrem splněné vkladové povinnosti člena, kterému v</w:t>
      </w:r>
      <w:r w:rsidR="00CD2102">
        <w:t> </w:t>
      </w:r>
      <w:r w:rsidR="00CD2102" w:rsidRPr="004F3AB5">
        <w:t>daném</w:t>
      </w:r>
      <w:r w:rsidR="00CD2102" w:rsidRPr="002556C5">
        <w:t xml:space="preserve"> </w:t>
      </w:r>
      <w:r w:rsidR="00CD2102" w:rsidRPr="002556C5">
        <w:rPr>
          <w:b/>
          <w:bCs/>
        </w:rPr>
        <w:t>individuálním</w:t>
      </w:r>
      <w:r w:rsidR="00CD2102" w:rsidRPr="004F3AB5">
        <w:t xml:space="preserve"> </w:t>
      </w:r>
      <w:r w:rsidR="00CD2102" w:rsidRPr="00C32E3C">
        <w:t xml:space="preserve">účetním období zaniklo členství, k členskému vkladu vůči souhrnu splněných vkladových povinností všech členů k členským vkladům k poslednímu dni tohoto </w:t>
      </w:r>
      <w:r w:rsidR="00CD2102" w:rsidRPr="002556C5">
        <w:rPr>
          <w:b/>
          <w:bCs/>
        </w:rPr>
        <w:t xml:space="preserve">individuálního </w:t>
      </w:r>
      <w:r w:rsidR="00CD2102" w:rsidRPr="00C32E3C">
        <w:t>účetního období.</w:t>
      </w:r>
    </w:p>
    <w:p w14:paraId="3C28D872" w14:textId="76C11D8B" w:rsidR="00CD2102" w:rsidRDefault="00647D5E" w:rsidP="0056049B">
      <w:pPr>
        <w:pStyle w:val="PZTextodstavce"/>
        <w:tabs>
          <w:tab w:val="clear" w:pos="851"/>
          <w:tab w:val="left" w:pos="420"/>
          <w:tab w:val="left" w:pos="840"/>
        </w:tabs>
      </w:pPr>
      <w:r>
        <w:lastRenderedPageBreak/>
        <w:t xml:space="preserve">(2) </w:t>
      </w:r>
      <w:r w:rsidR="00CD2102" w:rsidRPr="004F3AB5">
        <w:t>Při výpočtu vypořádacího podílu se poměr podle odstavce 1 násobí výší vlastního kapitálu družstva po odečtení rezervního fondu, je-li podle jiného právního předpisu nebo stanov zřízen, a to v rozsahu, v jakém podle jiného právního předpisu nebo stanov nelze rezervní fond rozdělit mezi členy družstva, zjištěného z</w:t>
      </w:r>
      <w:r w:rsidR="00CD2102">
        <w:t xml:space="preserve"> </w:t>
      </w:r>
      <w:r w:rsidR="00CD2102" w:rsidRPr="002556C5">
        <w:rPr>
          <w:strike/>
        </w:rPr>
        <w:t>účetní závěrky sestavené</w:t>
      </w:r>
      <w:r w:rsidR="00CD2102" w:rsidRPr="002556C5">
        <w:t xml:space="preserve"> </w:t>
      </w:r>
      <w:r w:rsidR="00CD2102" w:rsidRPr="002556C5">
        <w:rPr>
          <w:strike/>
        </w:rPr>
        <w:t>k poslednímu dni</w:t>
      </w:r>
      <w:r w:rsidR="00CD2102" w:rsidRPr="002556C5">
        <w:t xml:space="preserve"> </w:t>
      </w:r>
      <w:r w:rsidR="00CD2102" w:rsidRPr="002556C5">
        <w:rPr>
          <w:b/>
        </w:rPr>
        <w:t xml:space="preserve">řádné individuální účetní závěrky sestavené ke konci </w:t>
      </w:r>
      <w:r w:rsidR="00CD2102" w:rsidRPr="00C32E3C">
        <w:t>účetního období, v němž</w:t>
      </w:r>
      <w:r w:rsidR="00CD2102" w:rsidRPr="004F3AB5">
        <w:t xml:space="preserve"> členství zaniklo. Zanikne-li členství do </w:t>
      </w:r>
      <w:r w:rsidR="00CD2102" w:rsidRPr="002556C5">
        <w:rPr>
          <w:strike/>
        </w:rPr>
        <w:t>30. června daného</w:t>
      </w:r>
      <w:r w:rsidR="00CD2102" w:rsidRPr="002556C5">
        <w:t xml:space="preserve"> </w:t>
      </w:r>
      <w:r w:rsidR="00CD2102" w:rsidRPr="002556C5">
        <w:rPr>
          <w:b/>
        </w:rPr>
        <w:t xml:space="preserve">poloviny </w:t>
      </w:r>
      <w:r w:rsidR="00CD2102" w:rsidRPr="00414181">
        <w:t>účetního</w:t>
      </w:r>
      <w:r w:rsidR="00CD2102" w:rsidRPr="00C32E3C">
        <w:t xml:space="preserve"> období, určí</w:t>
      </w:r>
      <w:r w:rsidR="00CD2102" w:rsidRPr="004F3AB5">
        <w:t xml:space="preserve"> se vypořádací podíl z vlastního kapitálu družstva </w:t>
      </w:r>
      <w:r w:rsidR="00CD2102" w:rsidRPr="002556C5">
        <w:rPr>
          <w:strike/>
        </w:rPr>
        <w:t>k poslednímu dni</w:t>
      </w:r>
      <w:r w:rsidR="00CD2102" w:rsidRPr="002556C5">
        <w:t xml:space="preserve"> </w:t>
      </w:r>
      <w:r w:rsidR="00CD2102" w:rsidRPr="002556C5">
        <w:rPr>
          <w:b/>
        </w:rPr>
        <w:t>zjištěného</w:t>
      </w:r>
      <w:r w:rsidR="00CD2102" w:rsidRPr="002556C5">
        <w:t xml:space="preserve"> </w:t>
      </w:r>
      <w:r w:rsidR="00CD2102" w:rsidRPr="002556C5">
        <w:rPr>
          <w:b/>
        </w:rPr>
        <w:t>z řádné individuální účetní závěrky sestavené</w:t>
      </w:r>
      <w:r w:rsidR="00CD2102" w:rsidRPr="002556C5">
        <w:t xml:space="preserve"> </w:t>
      </w:r>
      <w:r w:rsidR="00CD2102" w:rsidRPr="002556C5">
        <w:rPr>
          <w:b/>
        </w:rPr>
        <w:t xml:space="preserve">ke konci bezprostředně </w:t>
      </w:r>
      <w:r w:rsidR="00CD2102" w:rsidRPr="00C32E3C">
        <w:t>předcházejícího účetního období, je-li</w:t>
      </w:r>
      <w:r w:rsidR="00CD2102" w:rsidRPr="004F3AB5">
        <w:t xml:space="preserve"> takto zjištěný vypořádací podíl vyšší.</w:t>
      </w:r>
    </w:p>
    <w:p w14:paraId="06046768" w14:textId="77777777" w:rsidR="00CD2102" w:rsidRDefault="00CD2102" w:rsidP="0056049B">
      <w:pPr>
        <w:pStyle w:val="Textodstavce"/>
        <w:tabs>
          <w:tab w:val="clear" w:pos="851"/>
          <w:tab w:val="left" w:pos="420"/>
          <w:tab w:val="left" w:pos="840"/>
        </w:tabs>
        <w:spacing w:before="240"/>
        <w:jc w:val="center"/>
      </w:pPr>
      <w:r w:rsidRPr="00AA135D">
        <w:t>***</w:t>
      </w:r>
    </w:p>
    <w:p w14:paraId="71FFBA06" w14:textId="77777777" w:rsidR="00CD2102" w:rsidRPr="00BB1E0A" w:rsidRDefault="00CD2102" w:rsidP="0056049B">
      <w:pPr>
        <w:pStyle w:val="Textodstavce"/>
        <w:tabs>
          <w:tab w:val="clear" w:pos="851"/>
          <w:tab w:val="left" w:pos="420"/>
          <w:tab w:val="left" w:pos="840"/>
        </w:tabs>
        <w:spacing w:before="240"/>
        <w:jc w:val="center"/>
      </w:pPr>
      <w:r w:rsidRPr="00FB3CC6">
        <w:t>§</w:t>
      </w:r>
      <w:r>
        <w:t xml:space="preserve"> </w:t>
      </w:r>
      <w:r w:rsidRPr="00BB1E0A">
        <w:t>638</w:t>
      </w:r>
    </w:p>
    <w:p w14:paraId="7A906FB0" w14:textId="77777777" w:rsidR="00CD2102" w:rsidRPr="00BB1E0A" w:rsidRDefault="00CD2102" w:rsidP="0056049B">
      <w:pPr>
        <w:pStyle w:val="PZTextodstavce"/>
        <w:tabs>
          <w:tab w:val="clear" w:pos="851"/>
          <w:tab w:val="left" w:pos="420"/>
          <w:tab w:val="left" w:pos="840"/>
        </w:tabs>
      </w:pPr>
      <w:r w:rsidRPr="00BB1E0A">
        <w:t>(1) Představenstvo svolává členskou schůzi ve lhůtách určených stanovami, nejméně však jednou za každé</w:t>
      </w:r>
      <w:r>
        <w:t xml:space="preserve"> </w:t>
      </w:r>
      <w:r w:rsidRPr="002556C5">
        <w:rPr>
          <w:b/>
          <w:bCs/>
        </w:rPr>
        <w:t>individuální</w:t>
      </w:r>
      <w:r w:rsidRPr="00FC105F">
        <w:t xml:space="preserve"> </w:t>
      </w:r>
      <w:r w:rsidRPr="00BB1E0A">
        <w:t>účetní období.</w:t>
      </w:r>
    </w:p>
    <w:p w14:paraId="1219A85A" w14:textId="77777777" w:rsidR="00CD2102" w:rsidRPr="00BB1E0A" w:rsidRDefault="00CD2102" w:rsidP="0056049B">
      <w:pPr>
        <w:pStyle w:val="PZTextodstavce"/>
        <w:tabs>
          <w:tab w:val="clear" w:pos="851"/>
          <w:tab w:val="left" w:pos="420"/>
          <w:tab w:val="left" w:pos="840"/>
        </w:tabs>
      </w:pPr>
      <w:r w:rsidRPr="00BB1E0A">
        <w:t>(2) Členská schůze, na které se má projednat řádná účetní závěrka, se musí konat nejpozději do 6 měsíců po skončení účetního období, za které je řádná účetní závěrka sestavena.</w:t>
      </w:r>
    </w:p>
    <w:p w14:paraId="7D5C5072" w14:textId="77777777" w:rsidR="00CD2102" w:rsidRPr="00BB1E0A" w:rsidRDefault="00CD2102" w:rsidP="0056049B">
      <w:pPr>
        <w:pStyle w:val="Textodstavce"/>
        <w:tabs>
          <w:tab w:val="clear" w:pos="851"/>
          <w:tab w:val="left" w:pos="420"/>
          <w:tab w:val="left" w:pos="840"/>
        </w:tabs>
        <w:spacing w:before="240"/>
        <w:jc w:val="center"/>
      </w:pPr>
      <w:r w:rsidRPr="00BB1E0A">
        <w:t>***</w:t>
      </w:r>
    </w:p>
    <w:p w14:paraId="598717C1" w14:textId="77777777" w:rsidR="00CD2102" w:rsidRDefault="00CD2102" w:rsidP="0056049B">
      <w:pPr>
        <w:pStyle w:val="Paragraf"/>
        <w:keepNext w:val="0"/>
        <w:keepLines w:val="0"/>
        <w:numPr>
          <w:ilvl w:val="0"/>
          <w:numId w:val="0"/>
        </w:numPr>
        <w:tabs>
          <w:tab w:val="left" w:pos="420"/>
          <w:tab w:val="left" w:pos="840"/>
        </w:tabs>
        <w:spacing w:after="120"/>
      </w:pPr>
      <w:r w:rsidRPr="00FB3CC6">
        <w:t>§</w:t>
      </w:r>
      <w:r>
        <w:t xml:space="preserve"> 656</w:t>
      </w:r>
    </w:p>
    <w:p w14:paraId="2EA72826" w14:textId="77777777" w:rsidR="00CD2102" w:rsidRDefault="00CD2102" w:rsidP="0056049B">
      <w:pPr>
        <w:pStyle w:val="Textparagrafu"/>
        <w:tabs>
          <w:tab w:val="left" w:pos="420"/>
          <w:tab w:val="left" w:pos="840"/>
        </w:tabs>
        <w:spacing w:after="120"/>
      </w:pPr>
      <w:r w:rsidRPr="00FB3CC6">
        <w:t>Členská</w:t>
      </w:r>
      <w:r>
        <w:t xml:space="preserve"> </w:t>
      </w:r>
      <w:r w:rsidRPr="00FB3CC6">
        <w:t>schůze</w:t>
      </w:r>
    </w:p>
    <w:p w14:paraId="5DBBF5E5" w14:textId="77777777" w:rsidR="00CD2102" w:rsidRDefault="00CD2102" w:rsidP="0056049B">
      <w:pPr>
        <w:pStyle w:val="PZTextpsmene"/>
        <w:tabs>
          <w:tab w:val="left" w:pos="420"/>
          <w:tab w:val="left" w:pos="840"/>
        </w:tabs>
        <w:spacing w:before="0"/>
        <w:ind w:left="426" w:hanging="426"/>
      </w:pPr>
      <w:r w:rsidRPr="00FB3CC6">
        <w:t>a</w:t>
      </w:r>
      <w:r>
        <w:t>)</w:t>
      </w:r>
      <w:r>
        <w:tab/>
      </w:r>
      <w:r w:rsidRPr="00FB3CC6">
        <w:t>mění</w:t>
      </w:r>
      <w:r>
        <w:t xml:space="preserve"> </w:t>
      </w:r>
      <w:r w:rsidRPr="00FB3CC6">
        <w:t>stanovy,</w:t>
      </w:r>
      <w:r>
        <w:t xml:space="preserve"> </w:t>
      </w:r>
      <w:r w:rsidRPr="00FB3CC6">
        <w:t>nedochází-li</w:t>
      </w:r>
      <w:r>
        <w:t xml:space="preserve"> </w:t>
      </w:r>
      <w:r w:rsidRPr="00FB3CC6">
        <w:t>k</w:t>
      </w:r>
      <w:r>
        <w:t xml:space="preserve"> </w:t>
      </w:r>
      <w:r w:rsidRPr="00FB3CC6">
        <w:t>jejich</w:t>
      </w:r>
      <w:r>
        <w:t xml:space="preserve"> </w:t>
      </w:r>
      <w:r w:rsidRPr="00FB3CC6">
        <w:t>změně</w:t>
      </w:r>
      <w:r>
        <w:t xml:space="preserve"> </w:t>
      </w:r>
      <w:r w:rsidRPr="00FB3CC6">
        <w:t>na</w:t>
      </w:r>
      <w:r>
        <w:t xml:space="preserve"> </w:t>
      </w:r>
      <w:r w:rsidRPr="00FB3CC6">
        <w:t>základě</w:t>
      </w:r>
      <w:r>
        <w:t xml:space="preserve"> </w:t>
      </w:r>
      <w:r w:rsidRPr="00FB3CC6">
        <w:t>jiné</w:t>
      </w:r>
      <w:r>
        <w:t xml:space="preserve"> </w:t>
      </w:r>
      <w:r w:rsidRPr="00FB3CC6">
        <w:t>právní</w:t>
      </w:r>
      <w:r>
        <w:t xml:space="preserve"> </w:t>
      </w:r>
      <w:r w:rsidRPr="00FB3CC6">
        <w:t>skutečnosti,</w:t>
      </w:r>
    </w:p>
    <w:p w14:paraId="0ED545F5" w14:textId="77777777" w:rsidR="00CD2102" w:rsidRDefault="00CD2102" w:rsidP="0056049B">
      <w:pPr>
        <w:pStyle w:val="PZTextpsmene"/>
        <w:tabs>
          <w:tab w:val="left" w:pos="420"/>
          <w:tab w:val="left" w:pos="840"/>
        </w:tabs>
        <w:spacing w:before="0"/>
        <w:ind w:left="426" w:hanging="426"/>
      </w:pPr>
      <w:r w:rsidRPr="00FB3CC6">
        <w:t>b</w:t>
      </w:r>
      <w:r>
        <w:t>)</w:t>
      </w:r>
      <w:r>
        <w:tab/>
      </w:r>
      <w:r w:rsidRPr="00FB3CC6">
        <w:t>volí</w:t>
      </w:r>
      <w:r>
        <w:t xml:space="preserve"> </w:t>
      </w:r>
      <w:r w:rsidRPr="00FB3CC6">
        <w:t>a</w:t>
      </w:r>
      <w:r>
        <w:t xml:space="preserve"> </w:t>
      </w:r>
      <w:r w:rsidRPr="00FB3CC6">
        <w:t>odvolává</w:t>
      </w:r>
      <w:r>
        <w:t xml:space="preserve"> </w:t>
      </w:r>
      <w:r w:rsidRPr="00FB3CC6">
        <w:t>členy</w:t>
      </w:r>
      <w:r>
        <w:t xml:space="preserve"> </w:t>
      </w:r>
      <w:r w:rsidRPr="00FB3CC6">
        <w:t>a</w:t>
      </w:r>
      <w:r>
        <w:t xml:space="preserve"> </w:t>
      </w:r>
      <w:r w:rsidRPr="00FB3CC6">
        <w:t>náhradníky</w:t>
      </w:r>
      <w:r>
        <w:t xml:space="preserve"> </w:t>
      </w:r>
      <w:r w:rsidRPr="00FB3CC6">
        <w:t>členů</w:t>
      </w:r>
      <w:r>
        <w:t xml:space="preserve"> </w:t>
      </w:r>
      <w:r w:rsidRPr="00FB3CC6">
        <w:t>představenstva</w:t>
      </w:r>
      <w:r>
        <w:t xml:space="preserve"> </w:t>
      </w:r>
      <w:r w:rsidRPr="00FB3CC6">
        <w:t>a</w:t>
      </w:r>
      <w:r>
        <w:t xml:space="preserve"> </w:t>
      </w:r>
      <w:r w:rsidRPr="00FB3CC6">
        <w:t>kontrolní</w:t>
      </w:r>
      <w:r>
        <w:t xml:space="preserve"> </w:t>
      </w:r>
      <w:r w:rsidRPr="00FB3CC6">
        <w:t>komise,</w:t>
      </w:r>
      <w:r>
        <w:t xml:space="preserve"> </w:t>
      </w:r>
      <w:r w:rsidRPr="00FB3CC6">
        <w:t>ledaže</w:t>
      </w:r>
      <w:r>
        <w:t xml:space="preserve"> </w:t>
      </w:r>
      <w:r w:rsidRPr="00FB3CC6">
        <w:t>jiný</w:t>
      </w:r>
      <w:r>
        <w:t xml:space="preserve"> </w:t>
      </w:r>
      <w:r w:rsidRPr="00FB3CC6">
        <w:t>právní</w:t>
      </w:r>
      <w:r>
        <w:t xml:space="preserve"> </w:t>
      </w:r>
      <w:r w:rsidRPr="00FB3CC6">
        <w:t>předpis</w:t>
      </w:r>
      <w:r>
        <w:t xml:space="preserve"> </w:t>
      </w:r>
      <w:r w:rsidRPr="00FB3CC6">
        <w:t>stanoví,</w:t>
      </w:r>
      <w:r>
        <w:t xml:space="preserve"> </w:t>
      </w:r>
      <w:r w:rsidRPr="00FB3CC6">
        <w:t>že</w:t>
      </w:r>
      <w:r>
        <w:t xml:space="preserve"> </w:t>
      </w:r>
      <w:r w:rsidRPr="00FB3CC6">
        <w:t>jednoho</w:t>
      </w:r>
      <w:r>
        <w:t xml:space="preserve"> </w:t>
      </w:r>
      <w:r w:rsidRPr="00FB3CC6">
        <w:t>nebo</w:t>
      </w:r>
      <w:r>
        <w:t xml:space="preserve"> </w:t>
      </w:r>
      <w:r w:rsidRPr="00FB3CC6">
        <w:t>více</w:t>
      </w:r>
      <w:r>
        <w:t xml:space="preserve"> </w:t>
      </w:r>
      <w:r w:rsidRPr="00FB3CC6">
        <w:t>členů</w:t>
      </w:r>
      <w:r>
        <w:t xml:space="preserve"> </w:t>
      </w:r>
      <w:r w:rsidRPr="00FB3CC6">
        <w:t>kontrolní</w:t>
      </w:r>
      <w:r>
        <w:t xml:space="preserve"> </w:t>
      </w:r>
      <w:r w:rsidRPr="00FB3CC6">
        <w:t>komise</w:t>
      </w:r>
      <w:r>
        <w:t xml:space="preserve"> </w:t>
      </w:r>
      <w:r w:rsidRPr="00FB3CC6">
        <w:t>volí</w:t>
      </w:r>
      <w:r>
        <w:t xml:space="preserve"> </w:t>
      </w:r>
      <w:r w:rsidRPr="00FB3CC6">
        <w:t>zaměstnanci</w:t>
      </w:r>
      <w:r>
        <w:t xml:space="preserve"> </w:t>
      </w:r>
      <w:r w:rsidRPr="00FB3CC6">
        <w:t>družstva,</w:t>
      </w:r>
    </w:p>
    <w:p w14:paraId="26E993D5" w14:textId="77777777" w:rsidR="00CD2102" w:rsidRDefault="00CD2102" w:rsidP="0056049B">
      <w:pPr>
        <w:pStyle w:val="PZTextpsmene"/>
        <w:tabs>
          <w:tab w:val="left" w:pos="420"/>
          <w:tab w:val="left" w:pos="840"/>
        </w:tabs>
        <w:spacing w:before="0"/>
        <w:ind w:left="426" w:hanging="426"/>
      </w:pPr>
      <w:r w:rsidRPr="00FB3CC6">
        <w:t>c</w:t>
      </w:r>
      <w:r>
        <w:t>)</w:t>
      </w:r>
      <w:r>
        <w:tab/>
      </w:r>
      <w:r w:rsidRPr="00FB3CC6">
        <w:t>určuje</w:t>
      </w:r>
      <w:r>
        <w:t xml:space="preserve"> </w:t>
      </w:r>
      <w:r w:rsidRPr="00FB3CC6">
        <w:t>výši</w:t>
      </w:r>
      <w:r>
        <w:t xml:space="preserve"> </w:t>
      </w:r>
      <w:r w:rsidRPr="00FB3CC6">
        <w:t>odměny</w:t>
      </w:r>
      <w:r>
        <w:t xml:space="preserve"> </w:t>
      </w:r>
      <w:r w:rsidRPr="00FB3CC6">
        <w:t>představenstva,</w:t>
      </w:r>
      <w:r>
        <w:t xml:space="preserve"> </w:t>
      </w:r>
      <w:r w:rsidRPr="00FB3CC6">
        <w:t>kontrolní</w:t>
      </w:r>
      <w:r>
        <w:t xml:space="preserve"> </w:t>
      </w:r>
      <w:r w:rsidRPr="00FB3CC6">
        <w:t>komise</w:t>
      </w:r>
      <w:r>
        <w:t xml:space="preserve"> </w:t>
      </w:r>
      <w:r w:rsidRPr="00FB3CC6">
        <w:t>a</w:t>
      </w:r>
      <w:r>
        <w:t xml:space="preserve"> </w:t>
      </w:r>
      <w:r w:rsidRPr="00FB3CC6">
        <w:t>členů</w:t>
      </w:r>
      <w:r>
        <w:t xml:space="preserve"> </w:t>
      </w:r>
      <w:r w:rsidRPr="00FB3CC6">
        <w:t>jiných</w:t>
      </w:r>
      <w:r>
        <w:t xml:space="preserve"> </w:t>
      </w:r>
      <w:r w:rsidRPr="00FB3CC6">
        <w:t>orgánů</w:t>
      </w:r>
      <w:r>
        <w:t xml:space="preserve"> </w:t>
      </w:r>
      <w:r w:rsidRPr="00FB3CC6">
        <w:t>družstva</w:t>
      </w:r>
      <w:r>
        <w:t xml:space="preserve"> </w:t>
      </w:r>
      <w:r w:rsidRPr="00FB3CC6">
        <w:t>zřízených</w:t>
      </w:r>
      <w:r>
        <w:t xml:space="preserve"> </w:t>
      </w:r>
      <w:r w:rsidRPr="00FB3CC6">
        <w:t>stanovami,</w:t>
      </w:r>
      <w:r>
        <w:t xml:space="preserve"> </w:t>
      </w:r>
      <w:r w:rsidRPr="00FB3CC6">
        <w:t>pokud</w:t>
      </w:r>
      <w:r>
        <w:t xml:space="preserve"> </w:t>
      </w:r>
      <w:r w:rsidRPr="00FB3CC6">
        <w:t>je</w:t>
      </w:r>
      <w:r>
        <w:t xml:space="preserve"> </w:t>
      </w:r>
      <w:r w:rsidRPr="00FB3CC6">
        <w:t>oprávněna</w:t>
      </w:r>
      <w:r>
        <w:t xml:space="preserve"> </w:t>
      </w:r>
      <w:r w:rsidRPr="00FB3CC6">
        <w:t>podle</w:t>
      </w:r>
      <w:r>
        <w:t xml:space="preserve"> </w:t>
      </w:r>
      <w:r w:rsidRPr="00FB3CC6">
        <w:t>stanov</w:t>
      </w:r>
      <w:r>
        <w:t xml:space="preserve"> </w:t>
      </w:r>
      <w:r w:rsidRPr="00FB3CC6">
        <w:t>tyto</w:t>
      </w:r>
      <w:r>
        <w:t xml:space="preserve"> </w:t>
      </w:r>
      <w:r w:rsidRPr="00FB3CC6">
        <w:t>orgány</w:t>
      </w:r>
      <w:r>
        <w:t xml:space="preserve"> </w:t>
      </w:r>
      <w:r w:rsidRPr="00FB3CC6">
        <w:t>nebo</w:t>
      </w:r>
      <w:r>
        <w:t xml:space="preserve"> </w:t>
      </w:r>
      <w:r w:rsidRPr="00FB3CC6">
        <w:t>jejich</w:t>
      </w:r>
      <w:r>
        <w:t xml:space="preserve"> </w:t>
      </w:r>
      <w:r w:rsidRPr="00FB3CC6">
        <w:t>členy</w:t>
      </w:r>
      <w:r>
        <w:t xml:space="preserve"> </w:t>
      </w:r>
      <w:r w:rsidRPr="00FB3CC6">
        <w:t>volit</w:t>
      </w:r>
      <w:r>
        <w:t xml:space="preserve"> </w:t>
      </w:r>
      <w:r w:rsidRPr="00FB3CC6">
        <w:t>a</w:t>
      </w:r>
      <w:r>
        <w:t xml:space="preserve"> </w:t>
      </w:r>
      <w:r w:rsidRPr="00FB3CC6">
        <w:t>odvolávat,</w:t>
      </w:r>
    </w:p>
    <w:p w14:paraId="69D92553" w14:textId="77777777" w:rsidR="00CD2102" w:rsidRDefault="00CD2102" w:rsidP="0056049B">
      <w:pPr>
        <w:pStyle w:val="PZTextpsmene"/>
        <w:tabs>
          <w:tab w:val="left" w:pos="420"/>
          <w:tab w:val="left" w:pos="840"/>
        </w:tabs>
        <w:spacing w:before="0"/>
        <w:ind w:left="426" w:hanging="426"/>
      </w:pPr>
      <w:r w:rsidRPr="00FB3CC6">
        <w:t>d</w:t>
      </w:r>
      <w:r>
        <w:t>)</w:t>
      </w:r>
      <w:r>
        <w:tab/>
      </w:r>
      <w:r w:rsidRPr="00FB3CC6">
        <w:t>schvaluje</w:t>
      </w:r>
      <w:r>
        <w:t xml:space="preserve"> </w:t>
      </w:r>
      <w:r w:rsidRPr="00FB3CC6">
        <w:t>řádnou</w:t>
      </w:r>
      <w:r w:rsidRPr="002556C5">
        <w:rPr>
          <w:strike/>
        </w:rPr>
        <w:t>, mimořádnou nebo konsolidovanou</w:t>
      </w:r>
      <w:r w:rsidRPr="00FB3CC6">
        <w:t xml:space="preserve"> účetní</w:t>
      </w:r>
      <w:r>
        <w:t xml:space="preserve"> </w:t>
      </w:r>
      <w:r w:rsidRPr="00FB3CC6">
        <w:t>závěrku,</w:t>
      </w:r>
      <w:r>
        <w:t xml:space="preserve"> </w:t>
      </w:r>
      <w:r w:rsidRPr="00FB3CC6">
        <w:t>a</w:t>
      </w:r>
      <w:r>
        <w:t xml:space="preserve"> </w:t>
      </w:r>
      <w:r w:rsidRPr="00FB3CC6">
        <w:t>v</w:t>
      </w:r>
      <w:r>
        <w:t xml:space="preserve"> </w:t>
      </w:r>
      <w:r w:rsidRPr="00FB3CC6">
        <w:t>případech</w:t>
      </w:r>
      <w:r>
        <w:t xml:space="preserve"> </w:t>
      </w:r>
      <w:r w:rsidRPr="00FB3CC6">
        <w:t>stanovených</w:t>
      </w:r>
      <w:r>
        <w:t xml:space="preserve"> </w:t>
      </w:r>
      <w:r w:rsidRPr="00FB3CC6">
        <w:t>zákonem</w:t>
      </w:r>
      <w:r>
        <w:t xml:space="preserve"> </w:t>
      </w:r>
      <w:r w:rsidRPr="00FB3CC6">
        <w:t>i</w:t>
      </w:r>
      <w:r>
        <w:t xml:space="preserve"> </w:t>
      </w:r>
      <w:r w:rsidRPr="00FB3CC6">
        <w:t>mezitímní</w:t>
      </w:r>
      <w:r>
        <w:t xml:space="preserve"> </w:t>
      </w:r>
      <w:r w:rsidRPr="00FB3CC6">
        <w:t>účetní</w:t>
      </w:r>
      <w:r>
        <w:t xml:space="preserve"> </w:t>
      </w:r>
      <w:r w:rsidRPr="00FB3CC6">
        <w:t>závěrku,</w:t>
      </w:r>
    </w:p>
    <w:p w14:paraId="4A79BDEA" w14:textId="77777777" w:rsidR="00CD2102" w:rsidRDefault="00CD2102" w:rsidP="0056049B">
      <w:pPr>
        <w:pStyle w:val="PZTextpsmene"/>
        <w:tabs>
          <w:tab w:val="left" w:pos="420"/>
          <w:tab w:val="left" w:pos="840"/>
        </w:tabs>
        <w:spacing w:before="0"/>
        <w:ind w:left="426" w:hanging="426"/>
      </w:pPr>
      <w:r w:rsidRPr="00FB3CC6">
        <w:t>e</w:t>
      </w:r>
      <w:r>
        <w:t>)</w:t>
      </w:r>
      <w:r>
        <w:tab/>
      </w:r>
      <w:r w:rsidRPr="00FB3CC6">
        <w:t>schvaluje</w:t>
      </w:r>
      <w:r>
        <w:t xml:space="preserve"> </w:t>
      </w:r>
      <w:r w:rsidRPr="00FB3CC6">
        <w:t>smlouvu</w:t>
      </w:r>
      <w:r>
        <w:t xml:space="preserve"> </w:t>
      </w:r>
      <w:r w:rsidRPr="00FB3CC6">
        <w:t>o</w:t>
      </w:r>
      <w:r>
        <w:t xml:space="preserve"> </w:t>
      </w:r>
      <w:r w:rsidRPr="00FB3CC6">
        <w:t>výkonu</w:t>
      </w:r>
      <w:r>
        <w:t xml:space="preserve"> </w:t>
      </w:r>
      <w:r w:rsidRPr="00FB3CC6">
        <w:t>funkce</w:t>
      </w:r>
      <w:r>
        <w:t xml:space="preserve"> </w:t>
      </w:r>
      <w:r w:rsidRPr="00FB3CC6">
        <w:t>podle</w:t>
      </w:r>
      <w:r>
        <w:t xml:space="preserve"> </w:t>
      </w:r>
      <w:r w:rsidRPr="00FB3CC6">
        <w:t>§</w:t>
      </w:r>
      <w:r>
        <w:t xml:space="preserve"> </w:t>
      </w:r>
      <w:r w:rsidRPr="00FB3CC6">
        <w:t>59,</w:t>
      </w:r>
    </w:p>
    <w:p w14:paraId="3B778EE7" w14:textId="77777777" w:rsidR="00CD2102" w:rsidRDefault="00CD2102" w:rsidP="0056049B">
      <w:pPr>
        <w:pStyle w:val="PZTextpsmene"/>
        <w:tabs>
          <w:tab w:val="left" w:pos="420"/>
          <w:tab w:val="left" w:pos="840"/>
        </w:tabs>
        <w:spacing w:before="0"/>
        <w:ind w:left="426" w:hanging="426"/>
      </w:pPr>
      <w:r w:rsidRPr="00FB3CC6">
        <w:t>f</w:t>
      </w:r>
      <w:r>
        <w:t>)</w:t>
      </w:r>
      <w:r>
        <w:tab/>
      </w:r>
      <w:r w:rsidRPr="00FB3CC6">
        <w:t>schvaluje</w:t>
      </w:r>
      <w:r>
        <w:t xml:space="preserve"> </w:t>
      </w:r>
      <w:r w:rsidRPr="00FB3CC6">
        <w:t>poskytnutí</w:t>
      </w:r>
      <w:r>
        <w:t xml:space="preserve"> </w:t>
      </w:r>
      <w:r w:rsidRPr="00FB3CC6">
        <w:t>finanční</w:t>
      </w:r>
      <w:r>
        <w:t xml:space="preserve"> </w:t>
      </w:r>
      <w:r w:rsidRPr="00FB3CC6">
        <w:t>asistence,</w:t>
      </w:r>
    </w:p>
    <w:p w14:paraId="74B20609" w14:textId="77777777" w:rsidR="00CD2102" w:rsidRDefault="00CD2102" w:rsidP="0056049B">
      <w:pPr>
        <w:pStyle w:val="PZTextpsmene"/>
        <w:tabs>
          <w:tab w:val="left" w:pos="420"/>
          <w:tab w:val="left" w:pos="840"/>
        </w:tabs>
        <w:spacing w:before="0"/>
        <w:ind w:left="426" w:hanging="426"/>
      </w:pPr>
      <w:r w:rsidRPr="00FB3CC6">
        <w:t>g</w:t>
      </w:r>
      <w:r>
        <w:t>)</w:t>
      </w:r>
      <w:r>
        <w:tab/>
      </w:r>
      <w:r w:rsidRPr="00FB3CC6">
        <w:t>rozhoduje</w:t>
      </w:r>
      <w:r>
        <w:t xml:space="preserve"> </w:t>
      </w:r>
      <w:r w:rsidRPr="00FB3CC6">
        <w:t>o</w:t>
      </w:r>
      <w:r>
        <w:t xml:space="preserve"> </w:t>
      </w:r>
      <w:r w:rsidRPr="00FB3CC6">
        <w:t>námitkách</w:t>
      </w:r>
      <w:r>
        <w:t xml:space="preserve"> </w:t>
      </w:r>
      <w:r w:rsidRPr="00FB3CC6">
        <w:t>člena</w:t>
      </w:r>
      <w:r>
        <w:t xml:space="preserve"> </w:t>
      </w:r>
      <w:r w:rsidRPr="00FB3CC6">
        <w:t>proti</w:t>
      </w:r>
      <w:r>
        <w:t xml:space="preserve"> </w:t>
      </w:r>
      <w:r w:rsidRPr="00FB3CC6">
        <w:t>rozhodnutí</w:t>
      </w:r>
      <w:r>
        <w:t xml:space="preserve"> </w:t>
      </w:r>
      <w:r w:rsidRPr="00FB3CC6">
        <w:t>o</w:t>
      </w:r>
      <w:r>
        <w:t xml:space="preserve"> </w:t>
      </w:r>
      <w:r w:rsidRPr="00FB3CC6">
        <w:t>jeho</w:t>
      </w:r>
      <w:r>
        <w:t xml:space="preserve"> </w:t>
      </w:r>
      <w:r w:rsidRPr="00FB3CC6">
        <w:t>vyloučení,</w:t>
      </w:r>
    </w:p>
    <w:p w14:paraId="6C9E8A77" w14:textId="77777777" w:rsidR="00CD2102" w:rsidRDefault="00CD2102" w:rsidP="0056049B">
      <w:pPr>
        <w:pStyle w:val="PZTextpsmene"/>
        <w:tabs>
          <w:tab w:val="left" w:pos="420"/>
          <w:tab w:val="left" w:pos="840"/>
        </w:tabs>
        <w:spacing w:before="0"/>
        <w:ind w:left="426" w:hanging="426"/>
      </w:pPr>
      <w:r w:rsidRPr="00FB3CC6">
        <w:t>h</w:t>
      </w:r>
      <w:r>
        <w:t>)</w:t>
      </w:r>
      <w:r>
        <w:tab/>
      </w:r>
      <w:r w:rsidRPr="00FB3CC6">
        <w:t>schvaluje</w:t>
      </w:r>
      <w:r>
        <w:t xml:space="preserve"> </w:t>
      </w:r>
      <w:r w:rsidRPr="00FB3CC6">
        <w:t>jednání</w:t>
      </w:r>
      <w:r>
        <w:t xml:space="preserve"> </w:t>
      </w:r>
      <w:r w:rsidRPr="00FB3CC6">
        <w:t>učiněná</w:t>
      </w:r>
      <w:r>
        <w:t xml:space="preserve"> </w:t>
      </w:r>
      <w:r w:rsidRPr="00FB3CC6">
        <w:t>za</w:t>
      </w:r>
      <w:r>
        <w:t xml:space="preserve"> </w:t>
      </w:r>
      <w:r w:rsidRPr="00FB3CC6">
        <w:t>družstvo</w:t>
      </w:r>
      <w:r>
        <w:t xml:space="preserve"> </w:t>
      </w:r>
      <w:r w:rsidRPr="00FB3CC6">
        <w:t>do</w:t>
      </w:r>
      <w:r>
        <w:t xml:space="preserve"> </w:t>
      </w:r>
      <w:r w:rsidRPr="00FB3CC6">
        <w:t>jeho</w:t>
      </w:r>
      <w:r>
        <w:t xml:space="preserve"> </w:t>
      </w:r>
      <w:r w:rsidRPr="00FB3CC6">
        <w:t>vzniku,</w:t>
      </w:r>
    </w:p>
    <w:p w14:paraId="1932F989" w14:textId="77777777" w:rsidR="00CD2102" w:rsidRDefault="00CD2102" w:rsidP="0056049B">
      <w:pPr>
        <w:pStyle w:val="PZTextpsmene"/>
        <w:tabs>
          <w:tab w:val="left" w:pos="420"/>
          <w:tab w:val="left" w:pos="840"/>
        </w:tabs>
        <w:spacing w:before="0"/>
        <w:ind w:left="426" w:hanging="426"/>
      </w:pPr>
      <w:r w:rsidRPr="00FB3CC6">
        <w:t>i</w:t>
      </w:r>
      <w:r>
        <w:t>)</w:t>
      </w:r>
      <w:r>
        <w:tab/>
      </w:r>
      <w:r w:rsidRPr="00FB3CC6">
        <w:t>rozhoduje</w:t>
      </w:r>
      <w:r>
        <w:t xml:space="preserve"> </w:t>
      </w:r>
      <w:r w:rsidRPr="00FB3CC6">
        <w:t>o</w:t>
      </w:r>
      <w:r>
        <w:t xml:space="preserve"> </w:t>
      </w:r>
      <w:r w:rsidRPr="00FB3CC6">
        <w:t>rozdělení</w:t>
      </w:r>
      <w:r>
        <w:t xml:space="preserve"> </w:t>
      </w:r>
      <w:r w:rsidRPr="00FB3CC6">
        <w:t>zisku</w:t>
      </w:r>
      <w:r>
        <w:t xml:space="preserve"> </w:t>
      </w:r>
      <w:r w:rsidRPr="00FB3CC6">
        <w:t>nebo</w:t>
      </w:r>
      <w:r>
        <w:t xml:space="preserve"> </w:t>
      </w:r>
      <w:r w:rsidRPr="00FB3CC6">
        <w:t>jiných</w:t>
      </w:r>
      <w:r>
        <w:t xml:space="preserve"> </w:t>
      </w:r>
      <w:r w:rsidRPr="002556C5">
        <w:rPr>
          <w:strike/>
        </w:rPr>
        <w:t>vlastních zdrojů</w:t>
      </w:r>
      <w:r w:rsidRPr="002556C5">
        <w:t xml:space="preserve"> </w:t>
      </w:r>
      <w:r w:rsidRPr="002556C5">
        <w:rPr>
          <w:b/>
        </w:rPr>
        <w:t>částí</w:t>
      </w:r>
      <w:r>
        <w:t xml:space="preserve"> </w:t>
      </w:r>
      <w:r w:rsidRPr="002556C5">
        <w:rPr>
          <w:b/>
        </w:rPr>
        <w:t>vlastního kapitálu</w:t>
      </w:r>
      <w:r>
        <w:t xml:space="preserve"> </w:t>
      </w:r>
      <w:r w:rsidRPr="00FB3CC6">
        <w:t>nebo</w:t>
      </w:r>
      <w:r>
        <w:t xml:space="preserve"> </w:t>
      </w:r>
      <w:r w:rsidRPr="00FB3CC6">
        <w:t>úhradě</w:t>
      </w:r>
      <w:r>
        <w:t xml:space="preserve"> </w:t>
      </w:r>
      <w:r w:rsidRPr="00FB3CC6">
        <w:t>ztráty,</w:t>
      </w:r>
    </w:p>
    <w:p w14:paraId="539BAB73" w14:textId="77777777" w:rsidR="00CD2102" w:rsidRDefault="00CD2102" w:rsidP="0056049B">
      <w:pPr>
        <w:pStyle w:val="PZTextpsmene"/>
        <w:tabs>
          <w:tab w:val="left" w:pos="420"/>
          <w:tab w:val="left" w:pos="840"/>
        </w:tabs>
        <w:spacing w:before="0"/>
        <w:ind w:left="426" w:hanging="426"/>
      </w:pPr>
      <w:r w:rsidRPr="00FB3CC6">
        <w:t>j</w:t>
      </w:r>
      <w:r>
        <w:t>)</w:t>
      </w:r>
      <w:r>
        <w:tab/>
      </w:r>
      <w:r w:rsidRPr="00FB3CC6">
        <w:t>rozhoduje</w:t>
      </w:r>
      <w:r>
        <w:t xml:space="preserve"> </w:t>
      </w:r>
      <w:r w:rsidRPr="00FB3CC6">
        <w:t>o</w:t>
      </w:r>
      <w:r>
        <w:t xml:space="preserve"> </w:t>
      </w:r>
      <w:r w:rsidRPr="00FB3CC6">
        <w:t>uhrazovací</w:t>
      </w:r>
      <w:r>
        <w:t xml:space="preserve"> </w:t>
      </w:r>
      <w:r w:rsidRPr="00FB3CC6">
        <w:t>povinnosti,</w:t>
      </w:r>
    </w:p>
    <w:p w14:paraId="160D3AD7" w14:textId="77777777" w:rsidR="00CD2102" w:rsidRDefault="00CD2102" w:rsidP="0056049B">
      <w:pPr>
        <w:pStyle w:val="PZTextpsmene"/>
        <w:tabs>
          <w:tab w:val="left" w:pos="420"/>
          <w:tab w:val="left" w:pos="840"/>
        </w:tabs>
        <w:spacing w:before="0"/>
        <w:ind w:left="426" w:hanging="426"/>
      </w:pPr>
      <w:r w:rsidRPr="00FB3CC6">
        <w:t>k</w:t>
      </w:r>
      <w:r>
        <w:t>)</w:t>
      </w:r>
      <w:r>
        <w:tab/>
      </w:r>
      <w:r w:rsidRPr="00FB3CC6">
        <w:t>rozhoduje</w:t>
      </w:r>
      <w:r>
        <w:t xml:space="preserve"> </w:t>
      </w:r>
      <w:r w:rsidRPr="00FB3CC6">
        <w:t>o</w:t>
      </w:r>
      <w:r>
        <w:t xml:space="preserve"> </w:t>
      </w:r>
      <w:r w:rsidRPr="00FB3CC6">
        <w:t>použití</w:t>
      </w:r>
      <w:r>
        <w:t xml:space="preserve"> </w:t>
      </w:r>
      <w:r w:rsidRPr="00FB3CC6">
        <w:t>rezervního</w:t>
      </w:r>
      <w:r>
        <w:t xml:space="preserve"> </w:t>
      </w:r>
      <w:r w:rsidRPr="00FB3CC6">
        <w:t>fondu,</w:t>
      </w:r>
    </w:p>
    <w:p w14:paraId="1496F857" w14:textId="77777777" w:rsidR="00CD2102" w:rsidRDefault="00CD2102" w:rsidP="0056049B">
      <w:pPr>
        <w:pStyle w:val="PZTextpsmene"/>
        <w:tabs>
          <w:tab w:val="left" w:pos="420"/>
          <w:tab w:val="left" w:pos="840"/>
        </w:tabs>
        <w:spacing w:before="0"/>
        <w:ind w:left="426" w:hanging="426"/>
      </w:pPr>
      <w:r w:rsidRPr="00FB3CC6">
        <w:t>l</w:t>
      </w:r>
      <w:r>
        <w:t>)</w:t>
      </w:r>
      <w:r>
        <w:tab/>
      </w:r>
      <w:r w:rsidRPr="00FB3CC6">
        <w:t>rozhoduje</w:t>
      </w:r>
      <w:r>
        <w:t xml:space="preserve"> </w:t>
      </w:r>
      <w:r w:rsidRPr="00FB3CC6">
        <w:t>o</w:t>
      </w:r>
      <w:r>
        <w:t xml:space="preserve"> </w:t>
      </w:r>
      <w:r w:rsidRPr="00FB3CC6">
        <w:t>vydání</w:t>
      </w:r>
      <w:r>
        <w:t xml:space="preserve"> </w:t>
      </w:r>
      <w:r w:rsidRPr="00FB3CC6">
        <w:t>dluhopisů,</w:t>
      </w:r>
    </w:p>
    <w:p w14:paraId="7EC1D7DA" w14:textId="77777777" w:rsidR="00CD2102" w:rsidRDefault="00CD2102" w:rsidP="0056049B">
      <w:pPr>
        <w:pStyle w:val="PZTextpsmene"/>
        <w:tabs>
          <w:tab w:val="left" w:pos="420"/>
          <w:tab w:val="left" w:pos="840"/>
        </w:tabs>
        <w:spacing w:before="0"/>
        <w:ind w:left="426" w:hanging="426"/>
      </w:pPr>
      <w:r w:rsidRPr="00FB3CC6">
        <w:t>m</w:t>
      </w:r>
      <w:r>
        <w:t>)</w:t>
      </w:r>
      <w:r>
        <w:tab/>
      </w:r>
      <w:r w:rsidRPr="00FB3CC6">
        <w:t>schvaluje</w:t>
      </w:r>
      <w:r>
        <w:t xml:space="preserve"> </w:t>
      </w:r>
      <w:r w:rsidRPr="00FB3CC6">
        <w:t>převod</w:t>
      </w:r>
      <w:r>
        <w:t xml:space="preserve"> </w:t>
      </w:r>
      <w:r w:rsidRPr="00FB3CC6">
        <w:t>nebo</w:t>
      </w:r>
      <w:r>
        <w:t xml:space="preserve"> </w:t>
      </w:r>
      <w:r w:rsidRPr="00FB3CC6">
        <w:t>zastavení</w:t>
      </w:r>
      <w:r>
        <w:t xml:space="preserve"> </w:t>
      </w:r>
      <w:r w:rsidRPr="00FB3CC6">
        <w:t>závodu</w:t>
      </w:r>
      <w:r>
        <w:t xml:space="preserve"> </w:t>
      </w:r>
      <w:r w:rsidRPr="00FB3CC6">
        <w:t>nebo</w:t>
      </w:r>
      <w:r>
        <w:t xml:space="preserve"> </w:t>
      </w:r>
      <w:r w:rsidRPr="00FB3CC6">
        <w:t>takové</w:t>
      </w:r>
      <w:r>
        <w:t xml:space="preserve"> </w:t>
      </w:r>
      <w:r w:rsidRPr="00FB3CC6">
        <w:t>části</w:t>
      </w:r>
      <w:r>
        <w:t xml:space="preserve"> </w:t>
      </w:r>
      <w:r w:rsidRPr="00FB3CC6">
        <w:t>jmění,</w:t>
      </w:r>
      <w:r>
        <w:t xml:space="preserve"> </w:t>
      </w:r>
      <w:r w:rsidRPr="00FB3CC6">
        <w:t>která</w:t>
      </w:r>
      <w:r>
        <w:t xml:space="preserve"> </w:t>
      </w:r>
      <w:r w:rsidRPr="00FB3CC6">
        <w:t>by</w:t>
      </w:r>
      <w:r>
        <w:t xml:space="preserve"> </w:t>
      </w:r>
      <w:r w:rsidRPr="00FB3CC6">
        <w:t>znamenala</w:t>
      </w:r>
      <w:r>
        <w:t xml:space="preserve"> </w:t>
      </w:r>
      <w:r w:rsidRPr="00FB3CC6">
        <w:t>podstatnou</w:t>
      </w:r>
      <w:r>
        <w:t xml:space="preserve"> </w:t>
      </w:r>
      <w:r w:rsidRPr="00FB3CC6">
        <w:t>změnu</w:t>
      </w:r>
      <w:r>
        <w:t xml:space="preserve"> </w:t>
      </w:r>
      <w:r w:rsidRPr="00FB3CC6">
        <w:t>skutečného</w:t>
      </w:r>
      <w:r>
        <w:t xml:space="preserve"> </w:t>
      </w:r>
      <w:r w:rsidRPr="00FB3CC6">
        <w:t>předmětu</w:t>
      </w:r>
      <w:r>
        <w:t xml:space="preserve"> </w:t>
      </w:r>
      <w:r w:rsidRPr="00FB3CC6">
        <w:t>podnikání</w:t>
      </w:r>
      <w:r>
        <w:t xml:space="preserve"> </w:t>
      </w:r>
      <w:r w:rsidRPr="00FB3CC6">
        <w:t>nebo</w:t>
      </w:r>
      <w:r>
        <w:t xml:space="preserve"> </w:t>
      </w:r>
      <w:r w:rsidRPr="00FB3CC6">
        <w:t>činnosti</w:t>
      </w:r>
      <w:r>
        <w:t xml:space="preserve"> </w:t>
      </w:r>
      <w:r w:rsidRPr="00FB3CC6">
        <w:t>družstva,</w:t>
      </w:r>
    </w:p>
    <w:p w14:paraId="6D82B383" w14:textId="77777777" w:rsidR="00CD2102" w:rsidRDefault="00CD2102" w:rsidP="0056049B">
      <w:pPr>
        <w:pStyle w:val="PZTextpsmene"/>
        <w:tabs>
          <w:tab w:val="left" w:pos="420"/>
          <w:tab w:val="left" w:pos="840"/>
        </w:tabs>
        <w:spacing w:before="0"/>
        <w:ind w:left="426" w:hanging="426"/>
      </w:pPr>
      <w:r w:rsidRPr="00FB3CC6">
        <w:t>n</w:t>
      </w:r>
      <w:r>
        <w:t>)</w:t>
      </w:r>
      <w:r>
        <w:tab/>
      </w:r>
      <w:r w:rsidRPr="00FB3CC6">
        <w:t>rozhoduje</w:t>
      </w:r>
      <w:r>
        <w:t xml:space="preserve"> </w:t>
      </w:r>
      <w:r w:rsidRPr="00FB3CC6">
        <w:t>o</w:t>
      </w:r>
      <w:r>
        <w:t xml:space="preserve"> </w:t>
      </w:r>
      <w:r w:rsidRPr="00FB3CC6">
        <w:t>přeměně</w:t>
      </w:r>
      <w:r>
        <w:t xml:space="preserve"> </w:t>
      </w:r>
      <w:r w:rsidRPr="00FB3CC6">
        <w:t>družstva,</w:t>
      </w:r>
    </w:p>
    <w:p w14:paraId="4A2DA964" w14:textId="77777777" w:rsidR="00CD2102" w:rsidRDefault="00CD2102" w:rsidP="0056049B">
      <w:pPr>
        <w:pStyle w:val="PZTextpsmene"/>
        <w:tabs>
          <w:tab w:val="left" w:pos="420"/>
          <w:tab w:val="left" w:pos="840"/>
        </w:tabs>
        <w:spacing w:before="0"/>
        <w:ind w:left="426" w:hanging="426"/>
      </w:pPr>
      <w:r w:rsidRPr="00FB3CC6">
        <w:t>o</w:t>
      </w:r>
      <w:r>
        <w:t>)</w:t>
      </w:r>
      <w:r>
        <w:tab/>
      </w:r>
      <w:r w:rsidRPr="00FB3CC6">
        <w:t>schvaluje</w:t>
      </w:r>
      <w:r>
        <w:t xml:space="preserve"> </w:t>
      </w:r>
      <w:r w:rsidRPr="00FB3CC6">
        <w:t>smlouvu</w:t>
      </w:r>
      <w:r>
        <w:t xml:space="preserve"> </w:t>
      </w:r>
      <w:r w:rsidRPr="00FB3CC6">
        <w:t>o</w:t>
      </w:r>
      <w:r>
        <w:t xml:space="preserve"> </w:t>
      </w:r>
      <w:r w:rsidRPr="00FB3CC6">
        <w:t>tiché</w:t>
      </w:r>
      <w:r>
        <w:t xml:space="preserve"> </w:t>
      </w:r>
      <w:r w:rsidRPr="00FB3CC6">
        <w:t>společnosti</w:t>
      </w:r>
      <w:r>
        <w:t xml:space="preserve"> </w:t>
      </w:r>
      <w:r w:rsidRPr="00FB3CC6">
        <w:t>a</w:t>
      </w:r>
      <w:r>
        <w:t xml:space="preserve"> </w:t>
      </w:r>
      <w:r w:rsidRPr="00FB3CC6">
        <w:t>jiné</w:t>
      </w:r>
      <w:r>
        <w:t xml:space="preserve"> </w:t>
      </w:r>
      <w:r w:rsidRPr="00FB3CC6">
        <w:t>smlouvy,</w:t>
      </w:r>
      <w:r>
        <w:t xml:space="preserve"> </w:t>
      </w:r>
      <w:r w:rsidRPr="00FB3CC6">
        <w:t>jimiž</w:t>
      </w:r>
      <w:r>
        <w:t xml:space="preserve"> </w:t>
      </w:r>
      <w:r w:rsidRPr="00FB3CC6">
        <w:t>se</w:t>
      </w:r>
      <w:r>
        <w:t xml:space="preserve"> </w:t>
      </w:r>
      <w:r w:rsidRPr="00FB3CC6">
        <w:t>zakládá</w:t>
      </w:r>
      <w:r>
        <w:t xml:space="preserve"> </w:t>
      </w:r>
      <w:r w:rsidRPr="00FB3CC6">
        <w:t>právo</w:t>
      </w:r>
      <w:r>
        <w:t xml:space="preserve"> </w:t>
      </w:r>
      <w:r w:rsidRPr="00FB3CC6">
        <w:t>na</w:t>
      </w:r>
      <w:r>
        <w:t xml:space="preserve"> </w:t>
      </w:r>
      <w:r w:rsidRPr="00FB3CC6">
        <w:t>podílu</w:t>
      </w:r>
      <w:r>
        <w:t xml:space="preserve"> </w:t>
      </w:r>
      <w:r w:rsidRPr="00FB3CC6">
        <w:t>na</w:t>
      </w:r>
      <w:r>
        <w:t xml:space="preserve"> </w:t>
      </w:r>
      <w:r w:rsidRPr="00FB3CC6">
        <w:t>zisku</w:t>
      </w:r>
      <w:r>
        <w:t xml:space="preserve"> </w:t>
      </w:r>
      <w:r w:rsidRPr="00FB3CC6">
        <w:t>nebo</w:t>
      </w:r>
      <w:r>
        <w:t xml:space="preserve"> </w:t>
      </w:r>
      <w:r w:rsidRPr="00FB3CC6">
        <w:t>jiných</w:t>
      </w:r>
      <w:r>
        <w:t xml:space="preserve"> </w:t>
      </w:r>
      <w:r w:rsidRPr="002556C5">
        <w:rPr>
          <w:strike/>
        </w:rPr>
        <w:t>vlastních zdrojích</w:t>
      </w:r>
      <w:r w:rsidRPr="002556C5">
        <w:t xml:space="preserve"> </w:t>
      </w:r>
      <w:r w:rsidRPr="002556C5">
        <w:rPr>
          <w:b/>
        </w:rPr>
        <w:t>částech</w:t>
      </w:r>
      <w:r w:rsidRPr="002556C5">
        <w:t xml:space="preserve"> </w:t>
      </w:r>
      <w:r w:rsidRPr="002556C5">
        <w:rPr>
          <w:b/>
        </w:rPr>
        <w:t xml:space="preserve">vlastního kapitálu </w:t>
      </w:r>
      <w:r w:rsidRPr="00FB3CC6">
        <w:t>družstva,</w:t>
      </w:r>
    </w:p>
    <w:p w14:paraId="54C84475" w14:textId="77777777" w:rsidR="00CD2102" w:rsidRDefault="00CD2102" w:rsidP="0056049B">
      <w:pPr>
        <w:pStyle w:val="PZTextpsmene"/>
        <w:tabs>
          <w:tab w:val="left" w:pos="420"/>
          <w:tab w:val="left" w:pos="840"/>
        </w:tabs>
        <w:spacing w:before="0"/>
        <w:ind w:left="426" w:hanging="426"/>
      </w:pPr>
      <w:r w:rsidRPr="00FB3CC6">
        <w:t>p</w:t>
      </w:r>
      <w:r>
        <w:t>)</w:t>
      </w:r>
      <w:r>
        <w:tab/>
      </w:r>
      <w:r w:rsidRPr="00FB3CC6">
        <w:t>schvaluje</w:t>
      </w:r>
      <w:r>
        <w:t xml:space="preserve"> </w:t>
      </w:r>
      <w:r w:rsidRPr="00FB3CC6">
        <w:t>smlouvu</w:t>
      </w:r>
      <w:r>
        <w:t xml:space="preserve"> </w:t>
      </w:r>
      <w:r w:rsidRPr="00FB3CC6">
        <w:t>o</w:t>
      </w:r>
      <w:r>
        <w:t xml:space="preserve"> </w:t>
      </w:r>
      <w:r w:rsidRPr="00FB3CC6">
        <w:t>dalším</w:t>
      </w:r>
      <w:r>
        <w:t xml:space="preserve"> </w:t>
      </w:r>
      <w:r w:rsidRPr="00FB3CC6">
        <w:t>členském</w:t>
      </w:r>
      <w:r>
        <w:t xml:space="preserve"> </w:t>
      </w:r>
      <w:r w:rsidRPr="00FB3CC6">
        <w:t>vkladu</w:t>
      </w:r>
      <w:r>
        <w:t xml:space="preserve"> </w:t>
      </w:r>
      <w:r w:rsidRPr="00FB3CC6">
        <w:t>a</w:t>
      </w:r>
      <w:r>
        <w:t xml:space="preserve"> </w:t>
      </w:r>
      <w:r w:rsidRPr="00FB3CC6">
        <w:t>její</w:t>
      </w:r>
      <w:r>
        <w:t xml:space="preserve"> </w:t>
      </w:r>
      <w:r w:rsidRPr="00FB3CC6">
        <w:t>změnu</w:t>
      </w:r>
      <w:r>
        <w:t xml:space="preserve"> </w:t>
      </w:r>
      <w:r w:rsidRPr="00FB3CC6">
        <w:t>a</w:t>
      </w:r>
      <w:r>
        <w:t xml:space="preserve"> </w:t>
      </w:r>
      <w:r w:rsidRPr="00FB3CC6">
        <w:t>zrušení,</w:t>
      </w:r>
      <w:r>
        <w:t xml:space="preserve"> </w:t>
      </w:r>
      <w:r w:rsidRPr="00FB3CC6">
        <w:t>neurčí-li</w:t>
      </w:r>
      <w:r>
        <w:t xml:space="preserve"> </w:t>
      </w:r>
      <w:r w:rsidRPr="00FB3CC6">
        <w:t>stanovy,</w:t>
      </w:r>
      <w:r>
        <w:t xml:space="preserve"> </w:t>
      </w:r>
      <w:r w:rsidRPr="00FB3CC6">
        <w:t>že</w:t>
      </w:r>
      <w:r>
        <w:t xml:space="preserve"> </w:t>
      </w:r>
      <w:r w:rsidRPr="00FB3CC6">
        <w:t>ji</w:t>
      </w:r>
      <w:r>
        <w:t xml:space="preserve"> </w:t>
      </w:r>
      <w:r w:rsidRPr="00FB3CC6">
        <w:t>členská</w:t>
      </w:r>
      <w:r>
        <w:t xml:space="preserve"> </w:t>
      </w:r>
      <w:r w:rsidRPr="00FB3CC6">
        <w:t>schůze</w:t>
      </w:r>
      <w:r>
        <w:t xml:space="preserve"> </w:t>
      </w:r>
      <w:r w:rsidRPr="00FB3CC6">
        <w:t>neschvaluje,</w:t>
      </w:r>
    </w:p>
    <w:p w14:paraId="21F72242" w14:textId="77777777" w:rsidR="00CD2102" w:rsidRDefault="00CD2102" w:rsidP="0056049B">
      <w:pPr>
        <w:pStyle w:val="PZTextpsmene"/>
        <w:tabs>
          <w:tab w:val="left" w:pos="420"/>
          <w:tab w:val="left" w:pos="840"/>
        </w:tabs>
        <w:spacing w:before="0"/>
        <w:ind w:left="426" w:hanging="426"/>
      </w:pPr>
      <w:r w:rsidRPr="00FB3CC6">
        <w:lastRenderedPageBreak/>
        <w:t>q</w:t>
      </w:r>
      <w:r>
        <w:t>)</w:t>
      </w:r>
      <w:r>
        <w:tab/>
      </w:r>
      <w:r w:rsidRPr="00FB3CC6">
        <w:t>rozhoduje</w:t>
      </w:r>
      <w:r>
        <w:t xml:space="preserve"> </w:t>
      </w:r>
      <w:r w:rsidRPr="00FB3CC6">
        <w:t>o</w:t>
      </w:r>
      <w:r>
        <w:t xml:space="preserve"> </w:t>
      </w:r>
      <w:r w:rsidRPr="00FB3CC6">
        <w:t>zrušení</w:t>
      </w:r>
      <w:r>
        <w:t xml:space="preserve"> </w:t>
      </w:r>
      <w:r w:rsidRPr="00FB3CC6">
        <w:t>družstva</w:t>
      </w:r>
      <w:r>
        <w:t xml:space="preserve"> </w:t>
      </w:r>
      <w:r w:rsidRPr="00FB3CC6">
        <w:t>s</w:t>
      </w:r>
      <w:r>
        <w:t xml:space="preserve"> </w:t>
      </w:r>
      <w:r w:rsidRPr="00FB3CC6">
        <w:t>likvidací,</w:t>
      </w:r>
    </w:p>
    <w:p w14:paraId="20EA0B14" w14:textId="77777777" w:rsidR="00CD2102" w:rsidRDefault="00CD2102" w:rsidP="0056049B">
      <w:pPr>
        <w:pStyle w:val="PZTextpsmene"/>
        <w:tabs>
          <w:tab w:val="left" w:pos="420"/>
          <w:tab w:val="left" w:pos="840"/>
        </w:tabs>
        <w:spacing w:before="0"/>
        <w:ind w:left="426" w:hanging="426"/>
      </w:pPr>
      <w:r w:rsidRPr="00FB3CC6">
        <w:t>r</w:t>
      </w:r>
      <w:r>
        <w:t>)</w:t>
      </w:r>
      <w:r>
        <w:tab/>
      </w:r>
      <w:r w:rsidRPr="00FB3CC6">
        <w:t>volí</w:t>
      </w:r>
      <w:r>
        <w:t xml:space="preserve"> </w:t>
      </w:r>
      <w:r w:rsidRPr="00FB3CC6">
        <w:t>a</w:t>
      </w:r>
      <w:r>
        <w:t xml:space="preserve"> </w:t>
      </w:r>
      <w:r w:rsidRPr="00FB3CC6">
        <w:t>odvolává</w:t>
      </w:r>
      <w:r>
        <w:t xml:space="preserve"> </w:t>
      </w:r>
      <w:r w:rsidRPr="00FB3CC6">
        <w:t>likvidátora</w:t>
      </w:r>
      <w:r>
        <w:t xml:space="preserve"> </w:t>
      </w:r>
      <w:r w:rsidRPr="00FB3CC6">
        <w:t>a</w:t>
      </w:r>
      <w:r>
        <w:t xml:space="preserve"> </w:t>
      </w:r>
      <w:r w:rsidRPr="00FB3CC6">
        <w:t>rozhoduje</w:t>
      </w:r>
      <w:r>
        <w:t xml:space="preserve"> </w:t>
      </w:r>
      <w:r w:rsidRPr="00FB3CC6">
        <w:t>o</w:t>
      </w:r>
      <w:r>
        <w:t xml:space="preserve"> </w:t>
      </w:r>
      <w:r w:rsidRPr="00FB3CC6">
        <w:t>jeho</w:t>
      </w:r>
      <w:r>
        <w:t xml:space="preserve"> </w:t>
      </w:r>
      <w:r w:rsidRPr="00FB3CC6">
        <w:t>odměně,</w:t>
      </w:r>
    </w:p>
    <w:p w14:paraId="4DB7D495" w14:textId="77777777" w:rsidR="00CD2102" w:rsidRDefault="00CD2102" w:rsidP="0056049B">
      <w:pPr>
        <w:pStyle w:val="PZTextpsmene"/>
        <w:tabs>
          <w:tab w:val="left" w:pos="420"/>
          <w:tab w:val="left" w:pos="840"/>
        </w:tabs>
        <w:spacing w:before="0"/>
        <w:ind w:left="426" w:hanging="426"/>
      </w:pPr>
      <w:r w:rsidRPr="00FB3CC6">
        <w:t>s</w:t>
      </w:r>
      <w:r>
        <w:t>)</w:t>
      </w:r>
      <w:r>
        <w:tab/>
      </w:r>
      <w:r w:rsidRPr="00FB3CC6">
        <w:t>schvaluje</w:t>
      </w:r>
      <w:r>
        <w:t xml:space="preserve"> </w:t>
      </w:r>
      <w:r w:rsidRPr="00FB3CC6">
        <w:t>konečnou</w:t>
      </w:r>
      <w:r>
        <w:t xml:space="preserve"> </w:t>
      </w:r>
      <w:r w:rsidRPr="00FB3CC6">
        <w:t>zprávu</w:t>
      </w:r>
      <w:r>
        <w:t xml:space="preserve"> </w:t>
      </w:r>
      <w:r w:rsidRPr="00FB3CC6">
        <w:t>o</w:t>
      </w:r>
      <w:r>
        <w:t xml:space="preserve"> </w:t>
      </w:r>
      <w:r w:rsidRPr="00FB3CC6">
        <w:t>průběhu</w:t>
      </w:r>
      <w:r>
        <w:t xml:space="preserve"> </w:t>
      </w:r>
      <w:r w:rsidRPr="00FB3CC6">
        <w:t>likvidace</w:t>
      </w:r>
      <w:r>
        <w:t xml:space="preserve"> </w:t>
      </w:r>
      <w:r w:rsidRPr="00FB3CC6">
        <w:t>a</w:t>
      </w:r>
      <w:r>
        <w:t xml:space="preserve"> </w:t>
      </w:r>
      <w:r w:rsidRPr="00FB3CC6">
        <w:t>návrh</w:t>
      </w:r>
      <w:r>
        <w:t xml:space="preserve"> </w:t>
      </w:r>
      <w:r w:rsidRPr="00FB3CC6">
        <w:t>na</w:t>
      </w:r>
      <w:r>
        <w:t xml:space="preserve"> </w:t>
      </w:r>
      <w:r w:rsidRPr="00FB3CC6">
        <w:t>použití</w:t>
      </w:r>
      <w:r>
        <w:t xml:space="preserve"> </w:t>
      </w:r>
      <w:r w:rsidRPr="00FB3CC6">
        <w:t>likvidačního</w:t>
      </w:r>
      <w:r>
        <w:t xml:space="preserve"> </w:t>
      </w:r>
      <w:r w:rsidRPr="00FB3CC6">
        <w:t>zůstatku,</w:t>
      </w:r>
    </w:p>
    <w:p w14:paraId="20633B90" w14:textId="77777777" w:rsidR="00CD2102" w:rsidRDefault="00CD2102" w:rsidP="0056049B">
      <w:pPr>
        <w:pStyle w:val="PZTextpsmene"/>
        <w:tabs>
          <w:tab w:val="left" w:pos="420"/>
          <w:tab w:val="left" w:pos="840"/>
        </w:tabs>
        <w:spacing w:before="0"/>
        <w:ind w:left="426" w:hanging="426"/>
      </w:pPr>
      <w:r w:rsidRPr="00FB3CC6">
        <w:t>t</w:t>
      </w:r>
      <w:r>
        <w:t>)</w:t>
      </w:r>
      <w:r>
        <w:tab/>
      </w:r>
      <w:r w:rsidRPr="00FB3CC6">
        <w:t>rozhoduje</w:t>
      </w:r>
      <w:r>
        <w:t xml:space="preserve"> </w:t>
      </w:r>
      <w:r w:rsidRPr="00FB3CC6">
        <w:t>o</w:t>
      </w:r>
      <w:r>
        <w:t xml:space="preserve"> </w:t>
      </w:r>
      <w:r w:rsidRPr="00FB3CC6">
        <w:t>dalších</w:t>
      </w:r>
      <w:r>
        <w:t xml:space="preserve"> </w:t>
      </w:r>
      <w:r w:rsidRPr="00FB3CC6">
        <w:t>otázkách,</w:t>
      </w:r>
      <w:r>
        <w:t xml:space="preserve"> </w:t>
      </w:r>
      <w:r w:rsidRPr="00FB3CC6">
        <w:t>které</w:t>
      </w:r>
      <w:r>
        <w:t xml:space="preserve"> </w:t>
      </w:r>
      <w:r w:rsidRPr="00FB3CC6">
        <w:t>zákon</w:t>
      </w:r>
      <w:r>
        <w:t xml:space="preserve"> </w:t>
      </w:r>
      <w:r w:rsidRPr="00FB3CC6">
        <w:t>nebo</w:t>
      </w:r>
      <w:r>
        <w:t xml:space="preserve"> </w:t>
      </w:r>
      <w:r w:rsidRPr="00FB3CC6">
        <w:t>stanovy</w:t>
      </w:r>
      <w:r>
        <w:t xml:space="preserve"> </w:t>
      </w:r>
      <w:r w:rsidRPr="00FB3CC6">
        <w:t>svěřují</w:t>
      </w:r>
      <w:r>
        <w:t xml:space="preserve"> </w:t>
      </w:r>
      <w:r w:rsidRPr="00FB3CC6">
        <w:t>do</w:t>
      </w:r>
      <w:r>
        <w:t xml:space="preserve"> </w:t>
      </w:r>
      <w:r w:rsidRPr="00FB3CC6">
        <w:t>její</w:t>
      </w:r>
      <w:r>
        <w:t xml:space="preserve"> </w:t>
      </w:r>
      <w:r w:rsidRPr="00FB3CC6">
        <w:t>působnosti.</w:t>
      </w:r>
    </w:p>
    <w:p w14:paraId="19F0B837" w14:textId="77777777" w:rsidR="00CD2102" w:rsidRDefault="00CD2102" w:rsidP="0056049B">
      <w:pPr>
        <w:pStyle w:val="Paragraf"/>
        <w:keepNext w:val="0"/>
        <w:keepLines w:val="0"/>
        <w:numPr>
          <w:ilvl w:val="0"/>
          <w:numId w:val="27"/>
        </w:numPr>
        <w:tabs>
          <w:tab w:val="left" w:pos="420"/>
          <w:tab w:val="left" w:pos="840"/>
        </w:tabs>
        <w:spacing w:after="120"/>
      </w:pPr>
      <w:r w:rsidRPr="00AA135D">
        <w:t>***</w:t>
      </w:r>
    </w:p>
    <w:p w14:paraId="42D7D299" w14:textId="77777777" w:rsidR="00CD2102" w:rsidRDefault="00CD2102" w:rsidP="0056049B">
      <w:pPr>
        <w:pStyle w:val="Paragraf"/>
        <w:keepNext w:val="0"/>
        <w:keepLines w:val="0"/>
        <w:numPr>
          <w:ilvl w:val="0"/>
          <w:numId w:val="27"/>
        </w:numPr>
        <w:tabs>
          <w:tab w:val="left" w:pos="420"/>
          <w:tab w:val="left" w:pos="840"/>
        </w:tabs>
        <w:spacing w:after="120"/>
      </w:pPr>
      <w:r>
        <w:t>§ 707</w:t>
      </w:r>
    </w:p>
    <w:p w14:paraId="6CB70F65" w14:textId="7AEAB2CE" w:rsidR="00CD2102" w:rsidRPr="00647D5E" w:rsidRDefault="00647D5E" w:rsidP="0056049B">
      <w:pPr>
        <w:pStyle w:val="PZTextodstavce"/>
        <w:tabs>
          <w:tab w:val="clear" w:pos="851"/>
          <w:tab w:val="left" w:pos="420"/>
          <w:tab w:val="left" w:pos="840"/>
        </w:tabs>
      </w:pPr>
      <w:r w:rsidRPr="00647D5E">
        <w:t xml:space="preserve">(1) </w:t>
      </w:r>
      <w:r w:rsidR="00CD2102" w:rsidRPr="00647D5E">
        <w:t xml:space="preserve">Představenstvo zajišťuje řádné </w:t>
      </w:r>
      <w:r w:rsidR="00CD2102" w:rsidRPr="00647D5E">
        <w:rPr>
          <w:strike/>
        </w:rPr>
        <w:t>vedení</w:t>
      </w:r>
      <w:r w:rsidR="00CD2102" w:rsidRPr="00647D5E">
        <w:t xml:space="preserve"> </w:t>
      </w:r>
      <w:r w:rsidR="00CD2102" w:rsidRPr="00647D5E">
        <w:rPr>
          <w:strike/>
        </w:rPr>
        <w:t>účetnictví</w:t>
      </w:r>
      <w:r w:rsidR="00CD2102" w:rsidRPr="00647D5E">
        <w:t xml:space="preserve"> </w:t>
      </w:r>
      <w:r w:rsidR="00CD2102" w:rsidRPr="00647D5E">
        <w:rPr>
          <w:b/>
          <w:szCs w:val="24"/>
        </w:rPr>
        <w:t>plnění povinností souvisejících s účetnictvím</w:t>
      </w:r>
      <w:r w:rsidR="00CD2102" w:rsidRPr="00647D5E">
        <w:t xml:space="preserve">, předkládá členské schůzi ke schválení účetní závěrku a v souladu se stanovami také návrh na rozdělení zisku nebo jiných </w:t>
      </w:r>
      <w:r w:rsidR="00CD2102" w:rsidRPr="00647D5E">
        <w:rPr>
          <w:strike/>
        </w:rPr>
        <w:t>vlastních zdrojů</w:t>
      </w:r>
      <w:r w:rsidR="00CD2102" w:rsidRPr="00647D5E">
        <w:rPr>
          <w:b/>
        </w:rPr>
        <w:t xml:space="preserve"> částí vlastního kapitálu</w:t>
      </w:r>
      <w:r w:rsidR="00CD2102" w:rsidRPr="00647D5E">
        <w:t xml:space="preserve"> anebo úhradu ztráty.</w:t>
      </w:r>
    </w:p>
    <w:p w14:paraId="45D69166" w14:textId="75A073ED" w:rsidR="00CD2102" w:rsidRPr="00647D5E" w:rsidRDefault="00647D5E" w:rsidP="0056049B">
      <w:pPr>
        <w:pStyle w:val="PZTextodstavce"/>
        <w:tabs>
          <w:tab w:val="clear" w:pos="851"/>
          <w:tab w:val="left" w:pos="420"/>
          <w:tab w:val="left" w:pos="840"/>
        </w:tabs>
      </w:pPr>
      <w:r w:rsidRPr="00647D5E">
        <w:t xml:space="preserve">(2) </w:t>
      </w:r>
      <w:r w:rsidR="00CD2102" w:rsidRPr="00647D5E">
        <w:t>Účetní závěrku zpřístupní představenstvo alespoň 15 dnů přede dnem konání členské schůze v sídle družstva nebo v jiném místě určeném v pozvánce na členskou schůzi družstva.</w:t>
      </w:r>
    </w:p>
    <w:p w14:paraId="0E575D1C" w14:textId="77777777" w:rsidR="00CD2102" w:rsidRDefault="00CD2102" w:rsidP="0056049B">
      <w:pPr>
        <w:pStyle w:val="PZTextodstavce"/>
        <w:keepNext/>
        <w:keepLines/>
        <w:tabs>
          <w:tab w:val="clear" w:pos="851"/>
          <w:tab w:val="left" w:pos="420"/>
          <w:tab w:val="left" w:pos="840"/>
        </w:tabs>
        <w:spacing w:before="240"/>
        <w:ind w:firstLine="0"/>
        <w:jc w:val="center"/>
      </w:pPr>
      <w:r>
        <w:t>***</w:t>
      </w:r>
    </w:p>
    <w:p w14:paraId="489BAECC" w14:textId="77777777" w:rsidR="00CD2102" w:rsidRPr="00BB1E0A" w:rsidRDefault="00CD2102" w:rsidP="0056049B">
      <w:pPr>
        <w:pStyle w:val="PZTextodstavce"/>
        <w:keepNext/>
        <w:keepLines/>
        <w:tabs>
          <w:tab w:val="clear" w:pos="851"/>
          <w:tab w:val="left" w:pos="420"/>
          <w:tab w:val="left" w:pos="840"/>
        </w:tabs>
        <w:spacing w:before="240"/>
        <w:ind w:firstLine="0"/>
        <w:jc w:val="center"/>
      </w:pPr>
      <w:r w:rsidRPr="00BB1E0A">
        <w:t>§ 716</w:t>
      </w:r>
    </w:p>
    <w:p w14:paraId="178DA7B8" w14:textId="77777777" w:rsidR="00CD2102" w:rsidRPr="00BB1E0A" w:rsidRDefault="00CD2102" w:rsidP="0056049B">
      <w:pPr>
        <w:pStyle w:val="PZTextodstavce"/>
        <w:keepNext/>
        <w:keepLines/>
        <w:tabs>
          <w:tab w:val="clear" w:pos="851"/>
          <w:tab w:val="left" w:pos="420"/>
          <w:tab w:val="left" w:pos="840"/>
        </w:tabs>
      </w:pPr>
      <w:r w:rsidRPr="00BB1E0A">
        <w:t xml:space="preserve">(1) Kontrolní komise dává písemné stanovisko ke každé účetní závěrce, k návrhu na rozdělení zisku nebo jiných </w:t>
      </w:r>
      <w:r w:rsidRPr="002556C5">
        <w:rPr>
          <w:strike/>
        </w:rPr>
        <w:t>vlastních zdrojů</w:t>
      </w:r>
      <w:r w:rsidRPr="002556C5">
        <w:rPr>
          <w:b/>
          <w:bCs/>
        </w:rPr>
        <w:t xml:space="preserve"> částí vlastního kapitálu</w:t>
      </w:r>
      <w:r w:rsidRPr="00BB1E0A">
        <w:t xml:space="preserve"> anebo úhradě ztráty družstva a k návrhu na rozhodnutí o uhrazovací povinnosti členů.</w:t>
      </w:r>
    </w:p>
    <w:p w14:paraId="30680EFE" w14:textId="77777777" w:rsidR="00CD2102" w:rsidRPr="00BB1E0A" w:rsidRDefault="00CD2102" w:rsidP="0056049B">
      <w:pPr>
        <w:pStyle w:val="PZTextodstavce"/>
        <w:keepNext/>
        <w:keepLines/>
        <w:tabs>
          <w:tab w:val="clear" w:pos="851"/>
          <w:tab w:val="left" w:pos="420"/>
          <w:tab w:val="left" w:pos="840"/>
        </w:tabs>
      </w:pPr>
      <w:r w:rsidRPr="00BB1E0A">
        <w:t>(2) Na zjištěné nedostatky kontrolní komise upozorní představenstvo a dohlíží na zjednání nápravy.</w:t>
      </w:r>
    </w:p>
    <w:p w14:paraId="2313F540" w14:textId="77777777" w:rsidR="00CD2102" w:rsidRDefault="00CD2102" w:rsidP="0056049B">
      <w:pPr>
        <w:pStyle w:val="PZTextodstavce"/>
        <w:tabs>
          <w:tab w:val="clear" w:pos="851"/>
          <w:tab w:val="left" w:pos="420"/>
          <w:tab w:val="left" w:pos="840"/>
        </w:tabs>
        <w:spacing w:before="240"/>
        <w:ind w:firstLine="0"/>
        <w:jc w:val="center"/>
      </w:pPr>
      <w:r>
        <w:t>***</w:t>
      </w:r>
    </w:p>
    <w:p w14:paraId="4FB45CF5" w14:textId="77777777" w:rsidR="00CD2102" w:rsidRPr="00BB1E0A" w:rsidRDefault="00CD2102" w:rsidP="0056049B">
      <w:pPr>
        <w:pStyle w:val="PZTextodstavce"/>
        <w:tabs>
          <w:tab w:val="clear" w:pos="851"/>
          <w:tab w:val="left" w:pos="420"/>
          <w:tab w:val="left" w:pos="840"/>
        </w:tabs>
        <w:spacing w:before="240"/>
        <w:ind w:firstLine="0"/>
        <w:jc w:val="center"/>
      </w:pPr>
      <w:r w:rsidRPr="00BB1E0A">
        <w:t>§ 750</w:t>
      </w:r>
    </w:p>
    <w:p w14:paraId="555F127F" w14:textId="77777777" w:rsidR="00CD2102" w:rsidRPr="00BB1E0A" w:rsidRDefault="00CD2102" w:rsidP="0056049B">
      <w:pPr>
        <w:pStyle w:val="PZTextodstavce"/>
        <w:tabs>
          <w:tab w:val="clear" w:pos="851"/>
          <w:tab w:val="left" w:pos="420"/>
          <w:tab w:val="left" w:pos="840"/>
        </w:tabs>
        <w:spacing w:before="240"/>
      </w:pPr>
      <w:r w:rsidRPr="00BB1E0A">
        <w:t xml:space="preserve">(1) Bytové družstvo může, připouští-li to stanovy, rozdělit nejvýše 33 % zisku a jiných </w:t>
      </w:r>
      <w:r w:rsidRPr="002556C5">
        <w:rPr>
          <w:strike/>
        </w:rPr>
        <w:t>vlastních zdrojů</w:t>
      </w:r>
      <w:r w:rsidRPr="002556C5">
        <w:t xml:space="preserve"> </w:t>
      </w:r>
      <w:r w:rsidRPr="002556C5">
        <w:rPr>
          <w:b/>
          <w:bCs/>
        </w:rPr>
        <w:t>částí vlastního kapitálu</w:t>
      </w:r>
      <w:r w:rsidRPr="00BB1E0A">
        <w:t xml:space="preserve"> podle § 34 odst. 2 pouze mezi své členy,</w:t>
      </w:r>
    </w:p>
    <w:p w14:paraId="3B5576C4" w14:textId="78D9D72E" w:rsidR="00CD2102" w:rsidRPr="00BB1E0A" w:rsidRDefault="00635DDD" w:rsidP="0056049B">
      <w:pPr>
        <w:pStyle w:val="PZTextodstavce"/>
        <w:tabs>
          <w:tab w:val="clear" w:pos="851"/>
          <w:tab w:val="left" w:pos="420"/>
          <w:tab w:val="left" w:pos="840"/>
        </w:tabs>
        <w:spacing w:before="0" w:after="0"/>
        <w:ind w:left="426" w:hanging="426"/>
      </w:pPr>
      <w:r>
        <w:t>a)</w:t>
      </w:r>
      <w:r>
        <w:tab/>
      </w:r>
      <w:r w:rsidR="00CD2102" w:rsidRPr="00BB1E0A">
        <w:t>jsou-li splněny podmínky v § 40,</w:t>
      </w:r>
    </w:p>
    <w:p w14:paraId="58BA14DE" w14:textId="153EDF50" w:rsidR="00CD2102" w:rsidRPr="00BB1E0A" w:rsidRDefault="00635DDD" w:rsidP="0056049B">
      <w:pPr>
        <w:pStyle w:val="PZTextodstavce"/>
        <w:tabs>
          <w:tab w:val="clear" w:pos="851"/>
          <w:tab w:val="left" w:pos="420"/>
          <w:tab w:val="left" w:pos="840"/>
        </w:tabs>
        <w:spacing w:before="0" w:after="0"/>
        <w:ind w:left="426" w:hanging="426"/>
      </w:pPr>
      <w:r>
        <w:t>b)</w:t>
      </w:r>
      <w:r>
        <w:tab/>
      </w:r>
      <w:r w:rsidR="00CD2102" w:rsidRPr="00BB1E0A">
        <w:t>neohrozí-li uspokojování bytových potřeb svých členů a</w:t>
      </w:r>
    </w:p>
    <w:p w14:paraId="75BF766A" w14:textId="2E69A9B3" w:rsidR="00CD2102" w:rsidRPr="00BB1E0A" w:rsidRDefault="00635DDD" w:rsidP="0056049B">
      <w:pPr>
        <w:pStyle w:val="PZTextodstavce"/>
        <w:tabs>
          <w:tab w:val="clear" w:pos="851"/>
          <w:tab w:val="left" w:pos="420"/>
          <w:tab w:val="left" w:pos="840"/>
        </w:tabs>
        <w:spacing w:before="0" w:after="0"/>
        <w:ind w:left="426" w:hanging="426"/>
      </w:pPr>
      <w:r>
        <w:t>c)</w:t>
      </w:r>
      <w:r>
        <w:tab/>
      </w:r>
      <w:r w:rsidR="00CD2102" w:rsidRPr="00BB1E0A">
        <w:t>vytvoří-li fond ze zisku ve výši nejméně 30 % základního kapitálu, který nelze rozdělit mezi členy.</w:t>
      </w:r>
    </w:p>
    <w:p w14:paraId="0FAD8F95" w14:textId="60596AF4" w:rsidR="006C2301" w:rsidRPr="00CD2102" w:rsidRDefault="00CD2102" w:rsidP="0056049B">
      <w:pPr>
        <w:pStyle w:val="PZTextodstavce"/>
        <w:tabs>
          <w:tab w:val="clear" w:pos="851"/>
          <w:tab w:val="left" w:pos="420"/>
          <w:tab w:val="left" w:pos="840"/>
        </w:tabs>
        <w:spacing w:before="240"/>
      </w:pPr>
      <w:r w:rsidRPr="00BB1E0A">
        <w:t>(2) Ustanovení § 35 se nepoužije.</w:t>
      </w:r>
    </w:p>
    <w:p w14:paraId="7B7E3D33" w14:textId="106A0EFD" w:rsidR="00DA3707" w:rsidRDefault="00DA3707" w:rsidP="00881B66">
      <w:pPr>
        <w:tabs>
          <w:tab w:val="left" w:pos="851"/>
        </w:tabs>
        <w:spacing w:before="120" w:after="120"/>
        <w:ind w:firstLine="0"/>
        <w:outlineLvl w:val="0"/>
      </w:pPr>
    </w:p>
    <w:p w14:paraId="33896E02" w14:textId="77777777" w:rsidR="006C2301" w:rsidRDefault="006C2301" w:rsidP="00881B66">
      <w:pPr>
        <w:tabs>
          <w:tab w:val="left" w:pos="851"/>
        </w:tabs>
        <w:spacing w:before="120" w:after="120"/>
        <w:ind w:firstLine="0"/>
        <w:outlineLvl w:val="0"/>
        <w:sectPr w:rsidR="006C2301" w:rsidSect="00554E2B">
          <w:footnotePr>
            <w:numStart w:val="3"/>
          </w:footnotePr>
          <w:endnotePr>
            <w:numFmt w:val="decimal"/>
          </w:endnotePr>
          <w:pgSz w:w="11906" w:h="16838"/>
          <w:pgMar w:top="1418" w:right="1418" w:bottom="1418" w:left="1418" w:header="709" w:footer="709" w:gutter="0"/>
          <w:cols w:space="708"/>
          <w:docGrid w:linePitch="360"/>
        </w:sectPr>
      </w:pPr>
    </w:p>
    <w:p w14:paraId="6BB16EA2" w14:textId="6353A0B1" w:rsidR="006C2301" w:rsidRPr="006C2301" w:rsidRDefault="006C2301" w:rsidP="0056049B">
      <w:pPr>
        <w:tabs>
          <w:tab w:val="left" w:pos="851"/>
        </w:tabs>
        <w:spacing w:before="120" w:after="120"/>
        <w:ind w:firstLine="0"/>
        <w:jc w:val="center"/>
        <w:outlineLvl w:val="0"/>
        <w:rPr>
          <w:szCs w:val="24"/>
        </w:rPr>
      </w:pPr>
      <w:r w:rsidRPr="006C2301">
        <w:rPr>
          <w:b/>
          <w:szCs w:val="24"/>
        </w:rPr>
        <w:lastRenderedPageBreak/>
        <w:t xml:space="preserve">K části sté </w:t>
      </w:r>
      <w:r w:rsidR="00635DDD">
        <w:rPr>
          <w:b/>
          <w:szCs w:val="24"/>
        </w:rPr>
        <w:t>třinácté</w:t>
      </w:r>
      <w:r w:rsidRPr="006C2301">
        <w:rPr>
          <w:b/>
          <w:szCs w:val="24"/>
        </w:rPr>
        <w:t xml:space="preserve"> návrhu zákona – </w:t>
      </w:r>
      <w:r w:rsidRPr="006C2301">
        <w:rPr>
          <w:szCs w:val="24"/>
        </w:rPr>
        <w:t>změna zákona</w:t>
      </w:r>
      <w:r w:rsidRPr="006C2301">
        <w:t xml:space="preserve"> </w:t>
      </w:r>
      <w:r w:rsidRPr="006C2301">
        <w:rPr>
          <w:szCs w:val="24"/>
        </w:rPr>
        <w:t>o audioviz</w:t>
      </w:r>
      <w:r w:rsidR="002C5CA6">
        <w:rPr>
          <w:szCs w:val="24"/>
        </w:rPr>
        <w:t>i</w:t>
      </w:r>
    </w:p>
    <w:p w14:paraId="10EE1CD7" w14:textId="541C0C85" w:rsidR="006C2301" w:rsidRPr="006C2301" w:rsidRDefault="006C2301" w:rsidP="006C2301">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6C2301">
        <w:rPr>
          <w:b/>
          <w:szCs w:val="24"/>
        </w:rPr>
        <w:t>Platné znění</w:t>
      </w:r>
      <w:r w:rsidRPr="006C2301">
        <w:rPr>
          <w:szCs w:val="24"/>
        </w:rPr>
        <w:t xml:space="preserve"> zákona č. 496/2012 Sb., o audiovizuálních dílech a podpoře kinematografie a o změně některých zákonů</w:t>
      </w:r>
      <w:r>
        <w:rPr>
          <w:szCs w:val="24"/>
        </w:rPr>
        <w:t xml:space="preserve"> </w:t>
      </w:r>
      <w:r w:rsidRPr="006C2301">
        <w:rPr>
          <w:szCs w:val="24"/>
        </w:rPr>
        <w:t>(zákon o audiovizi)</w:t>
      </w:r>
    </w:p>
    <w:p w14:paraId="6D1201B8" w14:textId="77777777" w:rsidR="0056049B" w:rsidRPr="0056049B" w:rsidRDefault="0056049B" w:rsidP="0056049B">
      <w:pPr>
        <w:pStyle w:val="Odstavecseseznamem"/>
        <w:numPr>
          <w:ilvl w:val="0"/>
          <w:numId w:val="27"/>
        </w:numPr>
        <w:pBdr>
          <w:top w:val="single" w:sz="12" w:space="6" w:color="auto"/>
          <w:left w:val="single" w:sz="12" w:space="0" w:color="auto"/>
          <w:bottom w:val="single" w:sz="12" w:space="6" w:color="auto"/>
          <w:right w:val="single" w:sz="12" w:space="0" w:color="auto"/>
        </w:pBdr>
        <w:spacing w:after="120"/>
        <w:jc w:val="center"/>
        <w:rPr>
          <w:b/>
          <w:szCs w:val="24"/>
          <w:lang w:eastAsia="en-US"/>
        </w:rPr>
      </w:pPr>
      <w:r w:rsidRPr="0056049B">
        <w:rPr>
          <w:b/>
          <w:szCs w:val="24"/>
          <w:lang w:eastAsia="en-US"/>
        </w:rPr>
        <w:t>s vyznačením navrhovaných změn a doplnění k 1. lednu 2025</w:t>
      </w:r>
      <w:r w:rsidRPr="00181A4A">
        <w:t xml:space="preserve"> </w:t>
      </w:r>
    </w:p>
    <w:p w14:paraId="29290F94" w14:textId="77777777" w:rsidR="006C2301" w:rsidRPr="006C2301" w:rsidRDefault="006C2301" w:rsidP="00A20090">
      <w:pPr>
        <w:pStyle w:val="Textparagrafu"/>
        <w:numPr>
          <w:ilvl w:val="0"/>
          <w:numId w:val="27"/>
        </w:numPr>
        <w:tabs>
          <w:tab w:val="left" w:pos="392"/>
          <w:tab w:val="left" w:pos="840"/>
        </w:tabs>
        <w:spacing w:after="120"/>
        <w:jc w:val="center"/>
      </w:pPr>
      <w:r w:rsidRPr="006C2301">
        <w:t>***</w:t>
      </w:r>
    </w:p>
    <w:p w14:paraId="57062936" w14:textId="77777777" w:rsidR="00A0644C" w:rsidRDefault="00A0644C" w:rsidP="00A20090">
      <w:pPr>
        <w:pStyle w:val="Textparagrafu"/>
        <w:numPr>
          <w:ilvl w:val="0"/>
          <w:numId w:val="27"/>
        </w:numPr>
        <w:tabs>
          <w:tab w:val="left" w:pos="392"/>
          <w:tab w:val="left" w:pos="840"/>
        </w:tabs>
        <w:spacing w:after="120"/>
        <w:jc w:val="center"/>
      </w:pPr>
      <w:r w:rsidRPr="00B055B4">
        <w:t>§</w:t>
      </w:r>
      <w:r>
        <w:t xml:space="preserve"> </w:t>
      </w:r>
      <w:r w:rsidRPr="00B055B4">
        <w:t>9</w:t>
      </w:r>
    </w:p>
    <w:p w14:paraId="2267D197" w14:textId="77777777" w:rsidR="00A0644C" w:rsidRDefault="00A0644C" w:rsidP="0056049B">
      <w:pPr>
        <w:pStyle w:val="Textparagrafu"/>
        <w:numPr>
          <w:ilvl w:val="0"/>
          <w:numId w:val="27"/>
        </w:numPr>
        <w:tabs>
          <w:tab w:val="left" w:pos="392"/>
          <w:tab w:val="left" w:pos="840"/>
        </w:tabs>
        <w:spacing w:before="120" w:after="120"/>
        <w:ind w:firstLine="425"/>
      </w:pPr>
      <w:r w:rsidRPr="00B055B4">
        <w:t>(1)</w:t>
      </w:r>
      <w:r>
        <w:t xml:space="preserve"> </w:t>
      </w:r>
      <w:r w:rsidRPr="00B055B4">
        <w:t>Zřizuje</w:t>
      </w:r>
      <w:r>
        <w:t xml:space="preserve"> </w:t>
      </w:r>
      <w:r w:rsidRPr="00B055B4">
        <w:t>se</w:t>
      </w:r>
      <w:r>
        <w:t xml:space="preserve"> </w:t>
      </w:r>
      <w:r w:rsidRPr="00B055B4">
        <w:t>Státní</w:t>
      </w:r>
      <w:r>
        <w:t xml:space="preserve"> </w:t>
      </w:r>
      <w:r w:rsidRPr="00B055B4">
        <w:t>fond</w:t>
      </w:r>
      <w:r>
        <w:t xml:space="preserve"> </w:t>
      </w:r>
      <w:r w:rsidRPr="00B055B4">
        <w:t>kinematografie</w:t>
      </w:r>
      <w:r>
        <w:t xml:space="preserve"> </w:t>
      </w:r>
      <w:r w:rsidRPr="00B055B4">
        <w:t>(dále</w:t>
      </w:r>
      <w:r>
        <w:t xml:space="preserve"> </w:t>
      </w:r>
      <w:r w:rsidRPr="00B055B4">
        <w:t>jen</w:t>
      </w:r>
      <w:r>
        <w:t xml:space="preserve"> </w:t>
      </w:r>
      <w:r w:rsidRPr="00B055B4">
        <w:t>„Fond“)</w:t>
      </w:r>
      <w:r>
        <w:t xml:space="preserve"> </w:t>
      </w:r>
      <w:r w:rsidRPr="00B055B4">
        <w:t>se</w:t>
      </w:r>
      <w:r>
        <w:t xml:space="preserve"> </w:t>
      </w:r>
      <w:r w:rsidRPr="00B055B4">
        <w:t>sídlem</w:t>
      </w:r>
      <w:r>
        <w:t xml:space="preserve"> </w:t>
      </w:r>
      <w:r w:rsidRPr="00B055B4">
        <w:t>v</w:t>
      </w:r>
      <w:r>
        <w:t xml:space="preserve"> </w:t>
      </w:r>
      <w:r w:rsidRPr="00B055B4">
        <w:t>Praze.</w:t>
      </w:r>
    </w:p>
    <w:p w14:paraId="03E04096" w14:textId="77777777" w:rsidR="00A0644C" w:rsidRDefault="00A0644C" w:rsidP="0056049B">
      <w:pPr>
        <w:pStyle w:val="Textparagrafu"/>
        <w:numPr>
          <w:ilvl w:val="0"/>
          <w:numId w:val="27"/>
        </w:numPr>
        <w:tabs>
          <w:tab w:val="left" w:pos="392"/>
          <w:tab w:val="left" w:pos="840"/>
        </w:tabs>
        <w:spacing w:before="120" w:after="120"/>
        <w:ind w:firstLine="425"/>
      </w:pPr>
      <w:r w:rsidRPr="00B055B4">
        <w:t>(2)</w:t>
      </w:r>
      <w:r>
        <w:t xml:space="preserve"> </w:t>
      </w:r>
      <w:r w:rsidRPr="00B055B4">
        <w:t>Fond</w:t>
      </w:r>
      <w:r>
        <w:t xml:space="preserve"> </w:t>
      </w:r>
      <w:r w:rsidRPr="00B055B4">
        <w:t>je</w:t>
      </w:r>
      <w:r>
        <w:t xml:space="preserve"> </w:t>
      </w:r>
      <w:r w:rsidRPr="00B055B4">
        <w:t>státním</w:t>
      </w:r>
      <w:r>
        <w:t xml:space="preserve"> </w:t>
      </w:r>
      <w:r w:rsidRPr="00B055B4">
        <w:t>fondem23),</w:t>
      </w:r>
      <w:r>
        <w:t xml:space="preserve"> </w:t>
      </w:r>
      <w:r w:rsidRPr="00B055B4">
        <w:t>který</w:t>
      </w:r>
      <w:r>
        <w:t xml:space="preserve"> </w:t>
      </w:r>
      <w:r w:rsidRPr="00B055B4">
        <w:t>je</w:t>
      </w:r>
      <w:r>
        <w:t xml:space="preserve"> </w:t>
      </w:r>
      <w:r w:rsidRPr="00B055B4">
        <w:t>příslušný</w:t>
      </w:r>
      <w:r>
        <w:t xml:space="preserve"> </w:t>
      </w:r>
      <w:r w:rsidRPr="00B055B4">
        <w:t>hospodařit</w:t>
      </w:r>
      <w:r>
        <w:t xml:space="preserve"> </w:t>
      </w:r>
      <w:r w:rsidRPr="00B055B4">
        <w:t>s</w:t>
      </w:r>
      <w:r>
        <w:t xml:space="preserve"> </w:t>
      </w:r>
      <w:r w:rsidRPr="00B055B4">
        <w:t>majetkem</w:t>
      </w:r>
      <w:r>
        <w:t xml:space="preserve"> </w:t>
      </w:r>
      <w:r w:rsidRPr="00B055B4">
        <w:t>České</w:t>
      </w:r>
      <w:r>
        <w:t xml:space="preserve"> </w:t>
      </w:r>
      <w:r w:rsidRPr="00B055B4">
        <w:t>republiky.</w:t>
      </w:r>
    </w:p>
    <w:p w14:paraId="4D1A6CD8" w14:textId="77777777" w:rsidR="00A0644C" w:rsidRDefault="00A0644C" w:rsidP="0056049B">
      <w:pPr>
        <w:pStyle w:val="Textparagrafu"/>
        <w:numPr>
          <w:ilvl w:val="0"/>
          <w:numId w:val="27"/>
        </w:numPr>
        <w:tabs>
          <w:tab w:val="left" w:pos="392"/>
          <w:tab w:val="left" w:pos="840"/>
        </w:tabs>
        <w:spacing w:before="120" w:after="120"/>
        <w:ind w:firstLine="425"/>
      </w:pPr>
      <w:r w:rsidRPr="00B055B4">
        <w:t>(3)</w:t>
      </w:r>
      <w:r>
        <w:t xml:space="preserve"> </w:t>
      </w:r>
      <w:r w:rsidRPr="00B055B4">
        <w:t>Podrobnosti</w:t>
      </w:r>
      <w:r>
        <w:t xml:space="preserve"> </w:t>
      </w:r>
      <w:r w:rsidRPr="00B055B4">
        <w:t>o</w:t>
      </w:r>
      <w:r>
        <w:t xml:space="preserve"> </w:t>
      </w:r>
      <w:r w:rsidRPr="00B055B4">
        <w:t>činnosti,</w:t>
      </w:r>
      <w:r>
        <w:t xml:space="preserve"> </w:t>
      </w:r>
      <w:r w:rsidRPr="00B055B4">
        <w:t>vnitřní</w:t>
      </w:r>
      <w:r>
        <w:t xml:space="preserve"> </w:t>
      </w:r>
      <w:r w:rsidRPr="00B055B4">
        <w:t>organizaci,</w:t>
      </w:r>
      <w:r>
        <w:t xml:space="preserve"> </w:t>
      </w:r>
      <w:r w:rsidRPr="00B055B4">
        <w:t>hospodaření</w:t>
      </w:r>
      <w:r>
        <w:t xml:space="preserve"> </w:t>
      </w:r>
      <w:r w:rsidRPr="00B055B4">
        <w:t>Fondu</w:t>
      </w:r>
      <w:r>
        <w:t xml:space="preserve"> </w:t>
      </w:r>
      <w:r w:rsidRPr="00B055B4">
        <w:t>a</w:t>
      </w:r>
      <w:r>
        <w:t xml:space="preserve"> </w:t>
      </w:r>
      <w:r w:rsidRPr="00B055B4">
        <w:t>poskytování</w:t>
      </w:r>
      <w:r>
        <w:t xml:space="preserve"> </w:t>
      </w:r>
      <w:r w:rsidRPr="00B055B4">
        <w:t>podpor</w:t>
      </w:r>
      <w:r>
        <w:t xml:space="preserve"> </w:t>
      </w:r>
      <w:r w:rsidRPr="00B055B4">
        <w:t>kinematografie</w:t>
      </w:r>
      <w:r>
        <w:t xml:space="preserve"> </w:t>
      </w:r>
      <w:r w:rsidRPr="00B055B4">
        <w:t>a</w:t>
      </w:r>
      <w:r>
        <w:t xml:space="preserve"> </w:t>
      </w:r>
      <w:r w:rsidRPr="00B055B4">
        <w:t>poskytování</w:t>
      </w:r>
      <w:r>
        <w:t xml:space="preserve"> </w:t>
      </w:r>
      <w:r w:rsidRPr="00B055B4">
        <w:t>filmových</w:t>
      </w:r>
      <w:r>
        <w:t xml:space="preserve"> </w:t>
      </w:r>
      <w:r w:rsidRPr="00B055B4">
        <w:t>pobídek</w:t>
      </w:r>
      <w:r>
        <w:t xml:space="preserve"> </w:t>
      </w:r>
      <w:r w:rsidRPr="00B055B4">
        <w:t>stanoví</w:t>
      </w:r>
      <w:r>
        <w:t xml:space="preserve"> </w:t>
      </w:r>
      <w:r w:rsidRPr="00B055B4">
        <w:t>statut</w:t>
      </w:r>
      <w:r>
        <w:t xml:space="preserve"> </w:t>
      </w:r>
      <w:r w:rsidRPr="00B055B4">
        <w:t>Fondu.</w:t>
      </w:r>
      <w:r>
        <w:t xml:space="preserve"> </w:t>
      </w:r>
      <w:r w:rsidRPr="00B055B4">
        <w:t>Statut</w:t>
      </w:r>
      <w:r>
        <w:t xml:space="preserve"> </w:t>
      </w:r>
      <w:r w:rsidRPr="00B055B4">
        <w:t>Fondu</w:t>
      </w:r>
      <w:r>
        <w:t xml:space="preserve"> </w:t>
      </w:r>
      <w:r w:rsidRPr="00B055B4">
        <w:t>dále</w:t>
      </w:r>
      <w:r>
        <w:t xml:space="preserve"> </w:t>
      </w:r>
      <w:r w:rsidRPr="00B055B4">
        <w:t>upraví</w:t>
      </w:r>
      <w:r>
        <w:t xml:space="preserve"> </w:t>
      </w:r>
      <w:r w:rsidRPr="00B055B4">
        <w:t>podrobnosti</w:t>
      </w:r>
      <w:r>
        <w:t xml:space="preserve"> </w:t>
      </w:r>
      <w:r w:rsidRPr="00B055B4">
        <w:t>ve</w:t>
      </w:r>
      <w:r>
        <w:t xml:space="preserve"> </w:t>
      </w:r>
      <w:r w:rsidRPr="00B055B4">
        <w:t>věcech,</w:t>
      </w:r>
      <w:r>
        <w:t xml:space="preserve"> </w:t>
      </w:r>
      <w:r w:rsidRPr="00B055B4">
        <w:t>o</w:t>
      </w:r>
      <w:r>
        <w:t xml:space="preserve"> </w:t>
      </w:r>
      <w:r w:rsidRPr="00B055B4">
        <w:t>nichž</w:t>
      </w:r>
      <w:r>
        <w:t xml:space="preserve"> </w:t>
      </w:r>
      <w:r w:rsidRPr="00B055B4">
        <w:t>to</w:t>
      </w:r>
      <w:r>
        <w:t xml:space="preserve"> </w:t>
      </w:r>
      <w:r w:rsidRPr="00B055B4">
        <w:t>stanoví</w:t>
      </w:r>
      <w:r>
        <w:t xml:space="preserve"> </w:t>
      </w:r>
      <w:r w:rsidRPr="00B055B4">
        <w:t>tento</w:t>
      </w:r>
      <w:r>
        <w:t xml:space="preserve"> </w:t>
      </w:r>
      <w:r w:rsidRPr="00B055B4">
        <w:t>zákon.</w:t>
      </w:r>
      <w:r>
        <w:t xml:space="preserve"> </w:t>
      </w:r>
      <w:r w:rsidRPr="00B055B4">
        <w:t>Návrh</w:t>
      </w:r>
      <w:r>
        <w:t xml:space="preserve"> </w:t>
      </w:r>
      <w:r w:rsidRPr="00B055B4">
        <w:t>statutu</w:t>
      </w:r>
      <w:r>
        <w:t xml:space="preserve"> </w:t>
      </w:r>
      <w:r w:rsidRPr="00B055B4">
        <w:t>Fondu</w:t>
      </w:r>
      <w:r>
        <w:t xml:space="preserve"> </w:t>
      </w:r>
      <w:r w:rsidRPr="00B055B4">
        <w:t>nebo</w:t>
      </w:r>
      <w:r>
        <w:t xml:space="preserve"> </w:t>
      </w:r>
      <w:r w:rsidRPr="00B055B4">
        <w:t>jeho</w:t>
      </w:r>
      <w:r>
        <w:t xml:space="preserve"> </w:t>
      </w:r>
      <w:r w:rsidRPr="00B055B4">
        <w:t>změn</w:t>
      </w:r>
      <w:r>
        <w:t xml:space="preserve"> </w:t>
      </w:r>
      <w:r w:rsidRPr="00B055B4">
        <w:t>předkládá</w:t>
      </w:r>
      <w:r>
        <w:t xml:space="preserve"> </w:t>
      </w:r>
      <w:r w:rsidRPr="00B055B4">
        <w:t>ředitel</w:t>
      </w:r>
      <w:r>
        <w:t xml:space="preserve"> </w:t>
      </w:r>
      <w:r w:rsidRPr="00B055B4">
        <w:t>Fondu</w:t>
      </w:r>
      <w:r>
        <w:t xml:space="preserve"> </w:t>
      </w:r>
      <w:r w:rsidRPr="00B055B4">
        <w:t>ministru</w:t>
      </w:r>
      <w:r>
        <w:t xml:space="preserve"> </w:t>
      </w:r>
      <w:r w:rsidRPr="00B055B4">
        <w:t>kultury</w:t>
      </w:r>
      <w:r>
        <w:t xml:space="preserve"> </w:t>
      </w:r>
      <w:r w:rsidRPr="00B055B4">
        <w:t>(dále</w:t>
      </w:r>
      <w:r>
        <w:t xml:space="preserve"> </w:t>
      </w:r>
      <w:r w:rsidRPr="00B055B4">
        <w:t>jen</w:t>
      </w:r>
      <w:r>
        <w:t xml:space="preserve"> </w:t>
      </w:r>
      <w:r w:rsidRPr="00B055B4">
        <w:t>"ministr"),</w:t>
      </w:r>
      <w:r>
        <w:t xml:space="preserve"> </w:t>
      </w:r>
      <w:r w:rsidRPr="00B055B4">
        <w:t>a</w:t>
      </w:r>
      <w:r>
        <w:t xml:space="preserve"> </w:t>
      </w:r>
      <w:r w:rsidRPr="00B055B4">
        <w:t>to</w:t>
      </w:r>
      <w:r>
        <w:t xml:space="preserve"> </w:t>
      </w:r>
      <w:r w:rsidRPr="00B055B4">
        <w:t>po</w:t>
      </w:r>
      <w:r>
        <w:t xml:space="preserve"> </w:t>
      </w:r>
      <w:r w:rsidRPr="00B055B4">
        <w:t>projednání</w:t>
      </w:r>
      <w:r>
        <w:t xml:space="preserve"> </w:t>
      </w:r>
      <w:r w:rsidRPr="00B055B4">
        <w:t>s</w:t>
      </w:r>
      <w:r>
        <w:t xml:space="preserve"> </w:t>
      </w:r>
      <w:r w:rsidRPr="00B055B4">
        <w:t>Dozorčím</w:t>
      </w:r>
      <w:r>
        <w:t xml:space="preserve"> </w:t>
      </w:r>
      <w:r w:rsidRPr="00B055B4">
        <w:t>výborem</w:t>
      </w:r>
      <w:r>
        <w:t xml:space="preserve"> </w:t>
      </w:r>
      <w:r w:rsidRPr="00B055B4">
        <w:t>(dále</w:t>
      </w:r>
      <w:r>
        <w:t xml:space="preserve"> </w:t>
      </w:r>
      <w:r w:rsidRPr="00B055B4">
        <w:t>jen</w:t>
      </w:r>
      <w:r>
        <w:t xml:space="preserve"> </w:t>
      </w:r>
      <w:r w:rsidRPr="00B055B4">
        <w:t>"Výbor")</w:t>
      </w:r>
      <w:r>
        <w:t xml:space="preserve"> </w:t>
      </w:r>
      <w:r w:rsidRPr="00B055B4">
        <w:t>a</w:t>
      </w:r>
      <w:r>
        <w:t xml:space="preserve"> </w:t>
      </w:r>
      <w:r w:rsidRPr="00B055B4">
        <w:t>odsouhlasení</w:t>
      </w:r>
      <w:r>
        <w:t xml:space="preserve"> </w:t>
      </w:r>
      <w:r w:rsidRPr="00B055B4">
        <w:t>Radou</w:t>
      </w:r>
      <w:r>
        <w:t xml:space="preserve"> </w:t>
      </w:r>
      <w:r w:rsidRPr="00B055B4">
        <w:t>Fondu</w:t>
      </w:r>
      <w:r>
        <w:t xml:space="preserve"> </w:t>
      </w:r>
      <w:r w:rsidRPr="00B055B4">
        <w:t>(dále</w:t>
      </w:r>
      <w:r>
        <w:t xml:space="preserve"> </w:t>
      </w:r>
      <w:r w:rsidRPr="00B055B4">
        <w:t>jen</w:t>
      </w:r>
      <w:r>
        <w:t xml:space="preserve"> </w:t>
      </w:r>
      <w:r w:rsidRPr="00B055B4">
        <w:t>"Rada").</w:t>
      </w:r>
      <w:r>
        <w:t xml:space="preserve"> </w:t>
      </w:r>
      <w:r w:rsidRPr="00B055B4">
        <w:t>Rada</w:t>
      </w:r>
      <w:r>
        <w:t xml:space="preserve"> </w:t>
      </w:r>
      <w:r w:rsidRPr="00B055B4">
        <w:t>posuzuje</w:t>
      </w:r>
      <w:r>
        <w:t xml:space="preserve"> </w:t>
      </w:r>
      <w:r w:rsidRPr="00B055B4">
        <w:t>návrh</w:t>
      </w:r>
      <w:r>
        <w:t xml:space="preserve"> </w:t>
      </w:r>
      <w:r w:rsidRPr="00B055B4">
        <w:t>statutu</w:t>
      </w:r>
      <w:r>
        <w:t xml:space="preserve"> </w:t>
      </w:r>
      <w:r w:rsidRPr="00B055B4">
        <w:t>Fondu</w:t>
      </w:r>
      <w:r>
        <w:t xml:space="preserve"> </w:t>
      </w:r>
      <w:r w:rsidRPr="00B055B4">
        <w:t>nebo</w:t>
      </w:r>
      <w:r>
        <w:t xml:space="preserve"> </w:t>
      </w:r>
      <w:r w:rsidRPr="00B055B4">
        <w:t>jeho</w:t>
      </w:r>
      <w:r>
        <w:t xml:space="preserve"> </w:t>
      </w:r>
      <w:r w:rsidRPr="00B055B4">
        <w:t>změn</w:t>
      </w:r>
      <w:r>
        <w:t xml:space="preserve"> </w:t>
      </w:r>
      <w:r w:rsidRPr="00B055B4">
        <w:t>v</w:t>
      </w:r>
      <w:r>
        <w:t xml:space="preserve"> </w:t>
      </w:r>
      <w:r w:rsidRPr="00B055B4">
        <w:t>rozsahu</w:t>
      </w:r>
      <w:r>
        <w:t xml:space="preserve"> </w:t>
      </w:r>
      <w:r w:rsidRPr="00B055B4">
        <w:t>své</w:t>
      </w:r>
      <w:r>
        <w:t xml:space="preserve"> </w:t>
      </w:r>
      <w:r w:rsidRPr="00B055B4">
        <w:t>působnosti</w:t>
      </w:r>
      <w:r>
        <w:t xml:space="preserve"> </w:t>
      </w:r>
      <w:r w:rsidRPr="00B055B4">
        <w:t>podle</w:t>
      </w:r>
      <w:r>
        <w:t xml:space="preserve"> </w:t>
      </w:r>
      <w:r w:rsidRPr="00B055B4">
        <w:t>§</w:t>
      </w:r>
      <w:r>
        <w:t xml:space="preserve"> </w:t>
      </w:r>
      <w:r w:rsidRPr="00B055B4">
        <w:t>13</w:t>
      </w:r>
      <w:r>
        <w:t xml:space="preserve"> </w:t>
      </w:r>
      <w:r w:rsidRPr="00B055B4">
        <w:t>odst.</w:t>
      </w:r>
      <w:r>
        <w:t xml:space="preserve"> </w:t>
      </w:r>
      <w:r w:rsidRPr="00B055B4">
        <w:t>1.</w:t>
      </w:r>
      <w:r>
        <w:t xml:space="preserve"> </w:t>
      </w:r>
      <w:r w:rsidRPr="00B055B4">
        <w:t>Statut</w:t>
      </w:r>
      <w:r>
        <w:t xml:space="preserve"> </w:t>
      </w:r>
      <w:r w:rsidRPr="00B055B4">
        <w:t>Fondu</w:t>
      </w:r>
      <w:r>
        <w:t xml:space="preserve"> </w:t>
      </w:r>
      <w:r w:rsidRPr="00B055B4">
        <w:t>schvaluje</w:t>
      </w:r>
      <w:r>
        <w:t xml:space="preserve"> </w:t>
      </w:r>
      <w:r w:rsidRPr="00B055B4">
        <w:t>vláda</w:t>
      </w:r>
      <w:r>
        <w:t xml:space="preserve"> </w:t>
      </w:r>
      <w:r w:rsidRPr="00B055B4">
        <w:t>na</w:t>
      </w:r>
      <w:r>
        <w:t xml:space="preserve"> </w:t>
      </w:r>
      <w:r w:rsidRPr="00B055B4">
        <w:t>návrh</w:t>
      </w:r>
      <w:r>
        <w:t xml:space="preserve"> </w:t>
      </w:r>
      <w:r w:rsidRPr="00B055B4">
        <w:t>ministra.</w:t>
      </w:r>
    </w:p>
    <w:p w14:paraId="09CE76B6" w14:textId="77777777" w:rsidR="00A0644C" w:rsidRDefault="00A0644C" w:rsidP="0056049B">
      <w:pPr>
        <w:pStyle w:val="Textparagrafu"/>
        <w:numPr>
          <w:ilvl w:val="0"/>
          <w:numId w:val="27"/>
        </w:numPr>
        <w:tabs>
          <w:tab w:val="left" w:pos="392"/>
          <w:tab w:val="left" w:pos="840"/>
        </w:tabs>
        <w:spacing w:before="120" w:after="120"/>
        <w:ind w:firstLine="425"/>
      </w:pPr>
      <w:r w:rsidRPr="00B055B4">
        <w:t>(4)</w:t>
      </w:r>
      <w:r>
        <w:t xml:space="preserve"> </w:t>
      </w:r>
      <w:r w:rsidRPr="00B055B4">
        <w:t>Fond</w:t>
      </w:r>
      <w:r>
        <w:t xml:space="preserve"> </w:t>
      </w:r>
      <w:r w:rsidRPr="00B055B4">
        <w:t>patří</w:t>
      </w:r>
      <w:r>
        <w:t xml:space="preserve"> </w:t>
      </w:r>
      <w:r w:rsidRPr="00B055B4">
        <w:t>do</w:t>
      </w:r>
      <w:r>
        <w:t xml:space="preserve"> </w:t>
      </w:r>
      <w:r w:rsidRPr="00B055B4">
        <w:t>působnosti</w:t>
      </w:r>
      <w:r>
        <w:t xml:space="preserve"> </w:t>
      </w:r>
      <w:r w:rsidRPr="00B055B4">
        <w:t>ministerstva.</w:t>
      </w:r>
      <w:r>
        <w:t xml:space="preserve"> </w:t>
      </w:r>
      <w:r w:rsidRPr="00B055B4">
        <w:t>Ministerstvo</w:t>
      </w:r>
      <w:r>
        <w:t xml:space="preserve"> </w:t>
      </w:r>
      <w:r w:rsidRPr="00B055B4">
        <w:t>je</w:t>
      </w:r>
      <w:r>
        <w:t xml:space="preserve"> </w:t>
      </w:r>
      <w:r w:rsidRPr="00B055B4">
        <w:t>nadřízeným</w:t>
      </w:r>
      <w:r>
        <w:t xml:space="preserve"> </w:t>
      </w:r>
      <w:r w:rsidRPr="00B055B4">
        <w:t>správním</w:t>
      </w:r>
      <w:r>
        <w:t xml:space="preserve"> </w:t>
      </w:r>
      <w:r w:rsidRPr="00B055B4">
        <w:t>orgánem</w:t>
      </w:r>
      <w:r>
        <w:t xml:space="preserve"> </w:t>
      </w:r>
      <w:r w:rsidRPr="00B055B4">
        <w:t>Fondu.</w:t>
      </w:r>
    </w:p>
    <w:p w14:paraId="50ACC83B" w14:textId="77777777" w:rsidR="00A0644C" w:rsidRDefault="00A0644C" w:rsidP="0056049B">
      <w:pPr>
        <w:pStyle w:val="Textparagrafu"/>
        <w:numPr>
          <w:ilvl w:val="0"/>
          <w:numId w:val="27"/>
        </w:numPr>
        <w:tabs>
          <w:tab w:val="left" w:pos="392"/>
          <w:tab w:val="left" w:pos="840"/>
        </w:tabs>
        <w:spacing w:before="120" w:after="120"/>
        <w:ind w:firstLine="425"/>
      </w:pPr>
      <w:r w:rsidRPr="00B055B4">
        <w:t>(5)</w:t>
      </w:r>
      <w:r>
        <w:t xml:space="preserve"> </w:t>
      </w:r>
      <w:r w:rsidRPr="00B055B4">
        <w:t>Ministerstvo</w:t>
      </w:r>
      <w:r>
        <w:t xml:space="preserve"> </w:t>
      </w:r>
      <w:r w:rsidRPr="00B055B4">
        <w:t>předkládá</w:t>
      </w:r>
      <w:r>
        <w:t xml:space="preserve"> </w:t>
      </w:r>
      <w:r w:rsidRPr="00B055B4">
        <w:t>vládě</w:t>
      </w:r>
      <w:r>
        <w:t xml:space="preserve"> </w:t>
      </w:r>
      <w:r w:rsidRPr="00B055B4">
        <w:t>návrh</w:t>
      </w:r>
      <w:r>
        <w:t xml:space="preserve"> </w:t>
      </w:r>
      <w:r w:rsidRPr="00B055B4">
        <w:t>rozpočtu</w:t>
      </w:r>
      <w:r>
        <w:t xml:space="preserve"> </w:t>
      </w:r>
      <w:r w:rsidRPr="00B055B4">
        <w:t>Fondu</w:t>
      </w:r>
      <w:r>
        <w:t xml:space="preserve"> </w:t>
      </w:r>
      <w:r w:rsidRPr="00B055B4">
        <w:t>vždy</w:t>
      </w:r>
      <w:r>
        <w:t xml:space="preserve"> </w:t>
      </w:r>
      <w:r w:rsidRPr="00B055B4">
        <w:t>do</w:t>
      </w:r>
      <w:r>
        <w:t xml:space="preserve"> </w:t>
      </w:r>
      <w:r w:rsidRPr="00B055B4">
        <w:t>31.</w:t>
      </w:r>
      <w:r>
        <w:t xml:space="preserve"> </w:t>
      </w:r>
      <w:r w:rsidRPr="00B055B4">
        <w:t>srpna.</w:t>
      </w:r>
      <w:r>
        <w:t xml:space="preserve"> </w:t>
      </w:r>
      <w:r w:rsidRPr="00B055B4">
        <w:t>Vláda</w:t>
      </w:r>
      <w:r>
        <w:t xml:space="preserve"> </w:t>
      </w:r>
      <w:r w:rsidRPr="00B055B4">
        <w:t>předkládá</w:t>
      </w:r>
      <w:r>
        <w:t xml:space="preserve"> </w:t>
      </w:r>
      <w:r w:rsidRPr="00B055B4">
        <w:t>návrh</w:t>
      </w:r>
      <w:r>
        <w:t xml:space="preserve"> </w:t>
      </w:r>
      <w:r w:rsidRPr="00B055B4">
        <w:t>rozpočtu</w:t>
      </w:r>
      <w:r>
        <w:t xml:space="preserve"> </w:t>
      </w:r>
      <w:r w:rsidRPr="00B055B4">
        <w:t>Fondu</w:t>
      </w:r>
      <w:r>
        <w:t xml:space="preserve"> </w:t>
      </w:r>
      <w:r w:rsidRPr="00B055B4">
        <w:t>po</w:t>
      </w:r>
      <w:r>
        <w:t xml:space="preserve"> </w:t>
      </w:r>
      <w:r w:rsidRPr="00B055B4">
        <w:t>případných</w:t>
      </w:r>
      <w:r>
        <w:t xml:space="preserve"> </w:t>
      </w:r>
      <w:r w:rsidRPr="00B055B4">
        <w:t>změnách,</w:t>
      </w:r>
      <w:r>
        <w:t xml:space="preserve"> </w:t>
      </w:r>
      <w:r w:rsidRPr="00B055B4">
        <w:t>které</w:t>
      </w:r>
      <w:r>
        <w:t xml:space="preserve"> </w:t>
      </w:r>
      <w:r w:rsidRPr="00B055B4">
        <w:t>v</w:t>
      </w:r>
      <w:r>
        <w:t xml:space="preserve"> </w:t>
      </w:r>
      <w:r w:rsidRPr="00B055B4">
        <w:t>něm</w:t>
      </w:r>
      <w:r>
        <w:t xml:space="preserve"> </w:t>
      </w:r>
      <w:r w:rsidRPr="00B055B4">
        <w:t>provede,</w:t>
      </w:r>
      <w:r>
        <w:t xml:space="preserve"> </w:t>
      </w:r>
      <w:r w:rsidRPr="00B055B4">
        <w:t>ke</w:t>
      </w:r>
      <w:r>
        <w:t xml:space="preserve"> </w:t>
      </w:r>
      <w:r w:rsidRPr="00B055B4">
        <w:t>schválení</w:t>
      </w:r>
      <w:r>
        <w:t xml:space="preserve"> </w:t>
      </w:r>
      <w:r w:rsidRPr="00B055B4">
        <w:t>Poslanecké</w:t>
      </w:r>
      <w:r>
        <w:t xml:space="preserve"> </w:t>
      </w:r>
      <w:r w:rsidRPr="00B055B4">
        <w:t>sněmovně</w:t>
      </w:r>
      <w:r>
        <w:t xml:space="preserve"> </w:t>
      </w:r>
      <w:r w:rsidRPr="00B055B4">
        <w:t>spolu</w:t>
      </w:r>
      <w:r>
        <w:t xml:space="preserve"> </w:t>
      </w:r>
      <w:r w:rsidRPr="00B055B4">
        <w:t>s</w:t>
      </w:r>
      <w:r>
        <w:t xml:space="preserve"> </w:t>
      </w:r>
      <w:r w:rsidRPr="00B055B4">
        <w:t>návrhem</w:t>
      </w:r>
      <w:r>
        <w:t xml:space="preserve"> </w:t>
      </w:r>
      <w:r w:rsidRPr="00B055B4">
        <w:t>státního</w:t>
      </w:r>
      <w:r>
        <w:t xml:space="preserve"> </w:t>
      </w:r>
      <w:r w:rsidRPr="00B055B4">
        <w:t>rozpočtu.</w:t>
      </w:r>
    </w:p>
    <w:p w14:paraId="0F8A6E68" w14:textId="77777777" w:rsidR="00A0644C" w:rsidRDefault="00A0644C" w:rsidP="0056049B">
      <w:pPr>
        <w:pStyle w:val="Textparagrafu"/>
        <w:numPr>
          <w:ilvl w:val="0"/>
          <w:numId w:val="27"/>
        </w:numPr>
        <w:tabs>
          <w:tab w:val="left" w:pos="392"/>
          <w:tab w:val="left" w:pos="840"/>
        </w:tabs>
        <w:spacing w:before="120" w:after="120"/>
        <w:ind w:firstLine="425"/>
      </w:pPr>
      <w:r w:rsidRPr="00B055B4">
        <w:t>(6)</w:t>
      </w:r>
      <w:r>
        <w:t xml:space="preserve"> </w:t>
      </w:r>
      <w:r w:rsidRPr="00B055B4">
        <w:t>Není-li</w:t>
      </w:r>
      <w:r>
        <w:t xml:space="preserve"> </w:t>
      </w:r>
      <w:r w:rsidRPr="00B055B4">
        <w:t>Poslaneckou</w:t>
      </w:r>
      <w:r>
        <w:t xml:space="preserve"> </w:t>
      </w:r>
      <w:r w:rsidRPr="00B055B4">
        <w:t>sněmovnou</w:t>
      </w:r>
      <w:r>
        <w:t xml:space="preserve"> </w:t>
      </w:r>
      <w:r w:rsidRPr="00B055B4">
        <w:t>schválen</w:t>
      </w:r>
      <w:r>
        <w:t xml:space="preserve"> </w:t>
      </w:r>
      <w:r w:rsidRPr="00B055B4">
        <w:t>rozpočet</w:t>
      </w:r>
      <w:r>
        <w:t xml:space="preserve"> </w:t>
      </w:r>
      <w:r w:rsidRPr="00B055B4">
        <w:t>Fondu</w:t>
      </w:r>
      <w:r>
        <w:t xml:space="preserve"> </w:t>
      </w:r>
      <w:r w:rsidRPr="00B055B4">
        <w:t>na</w:t>
      </w:r>
      <w:r>
        <w:t xml:space="preserve"> </w:t>
      </w:r>
      <w:r w:rsidRPr="00B055B4">
        <w:t>příslušný</w:t>
      </w:r>
      <w:r>
        <w:t xml:space="preserve"> </w:t>
      </w:r>
      <w:r w:rsidRPr="00B055B4">
        <w:t>rozpočtový</w:t>
      </w:r>
      <w:r>
        <w:t xml:space="preserve"> </w:t>
      </w:r>
      <w:r w:rsidRPr="00B055B4">
        <w:t>rok</w:t>
      </w:r>
      <w:r>
        <w:t xml:space="preserve"> </w:t>
      </w:r>
      <w:r w:rsidRPr="00B055B4">
        <w:t>před</w:t>
      </w:r>
      <w:r>
        <w:t xml:space="preserve"> </w:t>
      </w:r>
      <w:r w:rsidRPr="00B055B4">
        <w:t>prvním</w:t>
      </w:r>
      <w:r>
        <w:t xml:space="preserve"> </w:t>
      </w:r>
      <w:r w:rsidRPr="00B055B4">
        <w:t>dnem</w:t>
      </w:r>
      <w:r>
        <w:t xml:space="preserve"> </w:t>
      </w:r>
      <w:r w:rsidRPr="00B055B4">
        <w:t>rozpočtového</w:t>
      </w:r>
      <w:r>
        <w:t xml:space="preserve"> </w:t>
      </w:r>
      <w:r w:rsidRPr="00B055B4">
        <w:t>roku,</w:t>
      </w:r>
      <w:r>
        <w:t xml:space="preserve"> </w:t>
      </w:r>
      <w:r w:rsidRPr="00B055B4">
        <w:t>řídí</w:t>
      </w:r>
      <w:r>
        <w:t xml:space="preserve"> </w:t>
      </w:r>
      <w:r w:rsidRPr="00B055B4">
        <w:t>se</w:t>
      </w:r>
      <w:r>
        <w:t xml:space="preserve"> </w:t>
      </w:r>
      <w:r w:rsidRPr="00B055B4">
        <w:t>rozpočtové</w:t>
      </w:r>
      <w:r>
        <w:t xml:space="preserve"> </w:t>
      </w:r>
      <w:r w:rsidRPr="00B055B4">
        <w:t>hospodaření</w:t>
      </w:r>
      <w:r>
        <w:t xml:space="preserve"> </w:t>
      </w:r>
      <w:r w:rsidRPr="00B055B4">
        <w:t>Fondu</w:t>
      </w:r>
      <w:r>
        <w:t xml:space="preserve"> </w:t>
      </w:r>
      <w:r w:rsidRPr="00B055B4">
        <w:t>v</w:t>
      </w:r>
      <w:r>
        <w:t xml:space="preserve"> </w:t>
      </w:r>
      <w:r w:rsidRPr="00B055B4">
        <w:t>době</w:t>
      </w:r>
      <w:r>
        <w:t xml:space="preserve"> </w:t>
      </w:r>
      <w:r w:rsidRPr="00B055B4">
        <w:t>od</w:t>
      </w:r>
      <w:r>
        <w:t xml:space="preserve"> </w:t>
      </w:r>
      <w:r w:rsidRPr="00B055B4">
        <w:t>prvního</w:t>
      </w:r>
      <w:r>
        <w:t xml:space="preserve"> </w:t>
      </w:r>
      <w:r w:rsidRPr="00B055B4">
        <w:t>dne</w:t>
      </w:r>
      <w:r>
        <w:t xml:space="preserve"> </w:t>
      </w:r>
      <w:r w:rsidRPr="00B055B4">
        <w:t>rozpočtového</w:t>
      </w:r>
      <w:r>
        <w:t xml:space="preserve"> </w:t>
      </w:r>
      <w:r w:rsidRPr="00B055B4">
        <w:t>roku</w:t>
      </w:r>
      <w:r>
        <w:t xml:space="preserve"> </w:t>
      </w:r>
      <w:r w:rsidRPr="00B055B4">
        <w:t>do</w:t>
      </w:r>
      <w:r>
        <w:t xml:space="preserve"> </w:t>
      </w:r>
      <w:r w:rsidRPr="00B055B4">
        <w:t>doby</w:t>
      </w:r>
      <w:r>
        <w:t xml:space="preserve"> </w:t>
      </w:r>
      <w:r w:rsidRPr="00B055B4">
        <w:t>schválení</w:t>
      </w:r>
      <w:r>
        <w:t xml:space="preserve"> </w:t>
      </w:r>
      <w:r w:rsidRPr="00B055B4">
        <w:t>rozpočtu</w:t>
      </w:r>
      <w:r>
        <w:t xml:space="preserve"> </w:t>
      </w:r>
      <w:r w:rsidRPr="00B055B4">
        <w:t>na</w:t>
      </w:r>
      <w:r>
        <w:t xml:space="preserve"> </w:t>
      </w:r>
      <w:r w:rsidRPr="00B055B4">
        <w:t>tento</w:t>
      </w:r>
      <w:r>
        <w:t xml:space="preserve"> </w:t>
      </w:r>
      <w:r w:rsidRPr="00B055B4">
        <w:t>rozpočtový</w:t>
      </w:r>
      <w:r>
        <w:t xml:space="preserve"> </w:t>
      </w:r>
      <w:r w:rsidRPr="00B055B4">
        <w:t>rok</w:t>
      </w:r>
      <w:r>
        <w:t xml:space="preserve"> </w:t>
      </w:r>
      <w:r w:rsidRPr="00B055B4">
        <w:t>objemem</w:t>
      </w:r>
      <w:r>
        <w:t xml:space="preserve"> </w:t>
      </w:r>
      <w:r w:rsidRPr="00B055B4">
        <w:t>příjmů</w:t>
      </w:r>
      <w:r>
        <w:t xml:space="preserve"> </w:t>
      </w:r>
      <w:r w:rsidRPr="00B055B4">
        <w:t>a</w:t>
      </w:r>
      <w:r>
        <w:t xml:space="preserve"> </w:t>
      </w:r>
      <w:r w:rsidRPr="00B055B4">
        <w:t>výdajů</w:t>
      </w:r>
      <w:r>
        <w:t xml:space="preserve"> </w:t>
      </w:r>
      <w:r w:rsidRPr="00B055B4">
        <w:t>Fondu</w:t>
      </w:r>
      <w:r>
        <w:t xml:space="preserve"> </w:t>
      </w:r>
      <w:r w:rsidRPr="00B055B4">
        <w:t>schváleným</w:t>
      </w:r>
      <w:r>
        <w:t xml:space="preserve"> </w:t>
      </w:r>
      <w:r w:rsidRPr="00B055B4">
        <w:t>pro</w:t>
      </w:r>
      <w:r>
        <w:t xml:space="preserve"> </w:t>
      </w:r>
      <w:r w:rsidRPr="00B055B4">
        <w:t>předchozí</w:t>
      </w:r>
      <w:r>
        <w:t xml:space="preserve"> </w:t>
      </w:r>
      <w:r w:rsidRPr="00B055B4">
        <w:t>rozpočtový</w:t>
      </w:r>
      <w:r>
        <w:t xml:space="preserve"> </w:t>
      </w:r>
      <w:r w:rsidRPr="00B055B4">
        <w:t>rok.</w:t>
      </w:r>
    </w:p>
    <w:p w14:paraId="4CBA3FA2" w14:textId="475E6F3B" w:rsidR="00A0644C" w:rsidRDefault="00A0644C" w:rsidP="0056049B">
      <w:pPr>
        <w:pStyle w:val="Textparagrafu"/>
        <w:numPr>
          <w:ilvl w:val="0"/>
          <w:numId w:val="27"/>
        </w:numPr>
        <w:tabs>
          <w:tab w:val="left" w:pos="392"/>
          <w:tab w:val="left" w:pos="840"/>
        </w:tabs>
        <w:spacing w:before="120" w:after="120"/>
        <w:ind w:firstLine="425"/>
        <w:rPr>
          <w:strike/>
        </w:rPr>
      </w:pPr>
      <w:r w:rsidRPr="001140F0">
        <w:rPr>
          <w:strike/>
        </w:rPr>
        <w:t>(7) Fond vede účetnictví podle jiného právního předpisu</w:t>
      </w:r>
      <w:r w:rsidRPr="001140F0">
        <w:rPr>
          <w:rStyle w:val="Znakapoznpodarou"/>
          <w:strike/>
        </w:rPr>
        <w:footnoteReference w:customMarkFollows="1" w:id="534"/>
        <w:t>24)</w:t>
      </w:r>
      <w:r w:rsidRPr="001140F0">
        <w:rPr>
          <w:strike/>
        </w:rPr>
        <w:t>. Po skončení rozpočtového roku sestavuje Fond návrh roční účetní závěrky a výroční zprávy o činnosti Fondu a předkládá ji prostřednictvím ministra k projednání vládě a ke schválení Poslanecké sněmovně do 3 měsíců po skončení rozpočtového roku. Roční účetní závěrka Fondu musí být před jejím předložením Poslanecké sněmovně ověřena auditorem.</w:t>
      </w:r>
    </w:p>
    <w:p w14:paraId="76FB9FF2" w14:textId="77777777" w:rsidR="00B45D5C" w:rsidRPr="00B45D5C" w:rsidRDefault="001140F0" w:rsidP="0056049B">
      <w:pPr>
        <w:pStyle w:val="Textparagrafu"/>
        <w:numPr>
          <w:ilvl w:val="0"/>
          <w:numId w:val="27"/>
        </w:numPr>
        <w:tabs>
          <w:tab w:val="left" w:pos="392"/>
          <w:tab w:val="left" w:pos="840"/>
        </w:tabs>
        <w:spacing w:before="120" w:after="120"/>
        <w:ind w:firstLine="425"/>
        <w:rPr>
          <w:strike/>
        </w:rPr>
      </w:pPr>
      <w:r w:rsidRPr="001140F0">
        <w:rPr>
          <w:b/>
        </w:rPr>
        <w:t>(7)</w:t>
      </w:r>
      <w:r w:rsidRPr="001140F0">
        <w:t xml:space="preserve"> </w:t>
      </w:r>
      <w:r w:rsidRPr="00D709DA">
        <w:rPr>
          <w:b/>
        </w:rPr>
        <w:t>Po skončení rozpočtového roku sestavuje Fond návrh řádné individuální účetní závěrky a výroční zprávy o činnosti Fondu a předkládá ji společně se zprávou auditora o povinném auditu prostřednictvím ministra k projednání vládě a ke schválení Poslanecké sněmovně do 3 měsíců po skončení rozpočtového roku. Fond má povinnost auditu účetní závěrky.</w:t>
      </w:r>
    </w:p>
    <w:p w14:paraId="4FCDBACE" w14:textId="5A5B2DDF" w:rsidR="006C2301" w:rsidRPr="00B45D5C" w:rsidRDefault="00A0644C" w:rsidP="0056049B">
      <w:pPr>
        <w:pStyle w:val="Textparagrafu"/>
        <w:keepNext/>
        <w:keepLines/>
        <w:numPr>
          <w:ilvl w:val="0"/>
          <w:numId w:val="27"/>
        </w:numPr>
        <w:tabs>
          <w:tab w:val="left" w:pos="392"/>
          <w:tab w:val="left" w:pos="840"/>
        </w:tabs>
        <w:spacing w:after="120"/>
        <w:jc w:val="center"/>
        <w:rPr>
          <w:strike/>
        </w:rPr>
      </w:pPr>
      <w:r>
        <w:lastRenderedPageBreak/>
        <w:t>***</w:t>
      </w:r>
    </w:p>
    <w:p w14:paraId="129E511D" w14:textId="77777777" w:rsidR="00A0644C" w:rsidRDefault="00A0644C" w:rsidP="0056049B">
      <w:pPr>
        <w:pStyle w:val="Textparagrafu"/>
        <w:keepNext/>
        <w:keepLines/>
        <w:tabs>
          <w:tab w:val="left" w:pos="392"/>
          <w:tab w:val="left" w:pos="840"/>
        </w:tabs>
        <w:spacing w:after="120"/>
        <w:ind w:firstLine="0"/>
        <w:jc w:val="center"/>
      </w:pPr>
      <w:r w:rsidRPr="00B055B4">
        <w:t>§</w:t>
      </w:r>
      <w:r>
        <w:t xml:space="preserve"> </w:t>
      </w:r>
      <w:r w:rsidRPr="00B055B4">
        <w:t>24a</w:t>
      </w:r>
    </w:p>
    <w:p w14:paraId="5E9A8440" w14:textId="77777777" w:rsidR="00A0644C" w:rsidRDefault="00A0644C" w:rsidP="0056049B">
      <w:pPr>
        <w:pStyle w:val="Textparagrafu"/>
        <w:keepNext/>
        <w:keepLines/>
        <w:tabs>
          <w:tab w:val="left" w:pos="392"/>
          <w:tab w:val="left" w:pos="840"/>
        </w:tabs>
        <w:spacing w:before="120" w:after="120"/>
      </w:pPr>
      <w:r w:rsidRPr="00B055B4">
        <w:t>(1)</w:t>
      </w:r>
      <w:r>
        <w:t xml:space="preserve"> </w:t>
      </w:r>
      <w:r w:rsidRPr="00B055B4">
        <w:t>Finančním</w:t>
      </w:r>
      <w:r>
        <w:t xml:space="preserve"> </w:t>
      </w:r>
      <w:r w:rsidRPr="00B055B4">
        <w:t>zdrojem</w:t>
      </w:r>
      <w:r>
        <w:t xml:space="preserve"> </w:t>
      </w:r>
      <w:r w:rsidRPr="00B055B4">
        <w:t>Fondu</w:t>
      </w:r>
      <w:r>
        <w:t xml:space="preserve"> </w:t>
      </w:r>
      <w:r w:rsidRPr="00B055B4">
        <w:t>je</w:t>
      </w:r>
      <w:r>
        <w:t xml:space="preserve"> </w:t>
      </w:r>
      <w:r w:rsidRPr="00B055B4">
        <w:t>každoročně</w:t>
      </w:r>
      <w:r>
        <w:t xml:space="preserve"> </w:t>
      </w:r>
      <w:r w:rsidRPr="00B055B4">
        <w:t>poskytovaná</w:t>
      </w:r>
      <w:r>
        <w:t xml:space="preserve"> </w:t>
      </w:r>
      <w:r w:rsidRPr="00B055B4">
        <w:t>dotace</w:t>
      </w:r>
      <w:r>
        <w:t xml:space="preserve"> </w:t>
      </w:r>
      <w:r w:rsidRPr="00B055B4">
        <w:t>ze</w:t>
      </w:r>
      <w:r>
        <w:t xml:space="preserve"> </w:t>
      </w:r>
      <w:r w:rsidRPr="00B055B4">
        <w:t>státního</w:t>
      </w:r>
      <w:r>
        <w:t xml:space="preserve"> </w:t>
      </w:r>
      <w:r w:rsidRPr="00B055B4">
        <w:t>rozpočtu,</w:t>
      </w:r>
      <w:r>
        <w:t xml:space="preserve"> </w:t>
      </w:r>
      <w:r w:rsidRPr="00B055B4">
        <w:t>jejíž</w:t>
      </w:r>
      <w:r>
        <w:t xml:space="preserve"> </w:t>
      </w:r>
      <w:r w:rsidRPr="00B055B4">
        <w:t>výše</w:t>
      </w:r>
      <w:r>
        <w:t xml:space="preserve"> </w:t>
      </w:r>
      <w:r w:rsidRPr="00B055B4">
        <w:t>odpovídá</w:t>
      </w:r>
      <w:r>
        <w:t xml:space="preserve"> </w:t>
      </w:r>
      <w:r w:rsidRPr="00B055B4">
        <w:t>částce</w:t>
      </w:r>
      <w:r>
        <w:t xml:space="preserve"> </w:t>
      </w:r>
      <w:r w:rsidRPr="00B055B4">
        <w:t>výnosů</w:t>
      </w:r>
      <w:r>
        <w:t xml:space="preserve"> </w:t>
      </w:r>
      <w:r w:rsidRPr="00B055B4">
        <w:t>Fondu</w:t>
      </w:r>
      <w:r>
        <w:t xml:space="preserve"> </w:t>
      </w:r>
      <w:r w:rsidRPr="00B055B4">
        <w:t>z</w:t>
      </w:r>
      <w:r>
        <w:t xml:space="preserve"> </w:t>
      </w:r>
      <w:r w:rsidRPr="00B055B4">
        <w:t>audiovizuálních</w:t>
      </w:r>
      <w:r>
        <w:t xml:space="preserve"> </w:t>
      </w:r>
      <w:r w:rsidRPr="00B055B4">
        <w:t>poplatků</w:t>
      </w:r>
      <w:r>
        <w:t xml:space="preserve"> </w:t>
      </w:r>
      <w:r w:rsidRPr="00B055B4">
        <w:t>za</w:t>
      </w:r>
      <w:r>
        <w:t xml:space="preserve"> </w:t>
      </w:r>
      <w:r w:rsidRPr="00B055B4">
        <w:t>kalendářní</w:t>
      </w:r>
      <w:r>
        <w:t xml:space="preserve"> </w:t>
      </w:r>
      <w:r w:rsidRPr="00B055B4">
        <w:t>rok</w:t>
      </w:r>
      <w:r>
        <w:t xml:space="preserve"> </w:t>
      </w:r>
      <w:r w:rsidRPr="00B055B4">
        <w:t>předcházející</w:t>
      </w:r>
      <w:r>
        <w:t xml:space="preserve"> </w:t>
      </w:r>
      <w:r w:rsidRPr="00B055B4">
        <w:t>kalendářnímu</w:t>
      </w:r>
      <w:r>
        <w:t xml:space="preserve"> </w:t>
      </w:r>
      <w:r w:rsidRPr="00B055B4">
        <w:t>roku,</w:t>
      </w:r>
      <w:r>
        <w:t xml:space="preserve"> </w:t>
      </w:r>
      <w:r w:rsidRPr="00B055B4">
        <w:t>ve</w:t>
      </w:r>
      <w:r>
        <w:t xml:space="preserve"> </w:t>
      </w:r>
      <w:r w:rsidRPr="00B055B4">
        <w:t>kterém</w:t>
      </w:r>
      <w:r>
        <w:t xml:space="preserve"> </w:t>
      </w:r>
      <w:r w:rsidRPr="00B055B4">
        <w:t>se</w:t>
      </w:r>
      <w:r>
        <w:t xml:space="preserve"> </w:t>
      </w:r>
      <w:r w:rsidRPr="00B055B4">
        <w:t>sestavuje</w:t>
      </w:r>
      <w:r>
        <w:t xml:space="preserve"> </w:t>
      </w:r>
      <w:r w:rsidRPr="00B055B4">
        <w:t>rozpočet</w:t>
      </w:r>
      <w:r>
        <w:t xml:space="preserve"> </w:t>
      </w:r>
      <w:r w:rsidRPr="00B055B4">
        <w:t>Fondu</w:t>
      </w:r>
      <w:r>
        <w:t xml:space="preserve"> </w:t>
      </w:r>
      <w:r w:rsidRPr="00B055B4">
        <w:t>na</w:t>
      </w:r>
      <w:r>
        <w:t xml:space="preserve"> </w:t>
      </w:r>
      <w:r w:rsidRPr="00B055B4">
        <w:t>následující</w:t>
      </w:r>
      <w:r>
        <w:t xml:space="preserve"> </w:t>
      </w:r>
      <w:r w:rsidRPr="00B055B4">
        <w:t>kalendářní</w:t>
      </w:r>
      <w:r>
        <w:t xml:space="preserve"> </w:t>
      </w:r>
      <w:r w:rsidRPr="00B055B4">
        <w:t>rok.</w:t>
      </w:r>
    </w:p>
    <w:p w14:paraId="68D0665C" w14:textId="428E2ED7" w:rsidR="00A0644C" w:rsidRPr="00B055B4" w:rsidRDefault="00A0644C" w:rsidP="0056049B">
      <w:pPr>
        <w:pStyle w:val="Textparagrafu"/>
        <w:tabs>
          <w:tab w:val="left" w:pos="392"/>
          <w:tab w:val="left" w:pos="840"/>
        </w:tabs>
        <w:spacing w:before="120" w:after="120"/>
      </w:pPr>
      <w:r w:rsidRPr="00B055B4">
        <w:t>(2)</w:t>
      </w:r>
      <w:r>
        <w:t xml:space="preserve"> </w:t>
      </w:r>
      <w:r w:rsidRPr="00B055B4">
        <w:t>Podkladem</w:t>
      </w:r>
      <w:r>
        <w:t xml:space="preserve"> </w:t>
      </w:r>
      <w:r w:rsidRPr="00B055B4">
        <w:t>pro</w:t>
      </w:r>
      <w:r>
        <w:t xml:space="preserve"> </w:t>
      </w:r>
      <w:r w:rsidRPr="00B055B4">
        <w:t>určení</w:t>
      </w:r>
      <w:r>
        <w:t xml:space="preserve"> </w:t>
      </w:r>
      <w:r w:rsidRPr="00B055B4">
        <w:t>částky</w:t>
      </w:r>
      <w:r>
        <w:t xml:space="preserve"> </w:t>
      </w:r>
      <w:r w:rsidRPr="00B055B4">
        <w:t>výnosů</w:t>
      </w:r>
      <w:r>
        <w:t xml:space="preserve"> </w:t>
      </w:r>
      <w:r w:rsidRPr="00B055B4">
        <w:t>podle</w:t>
      </w:r>
      <w:r>
        <w:t xml:space="preserve"> </w:t>
      </w:r>
      <w:r w:rsidRPr="00B055B4">
        <w:t>odstavce</w:t>
      </w:r>
      <w:r>
        <w:t xml:space="preserve"> </w:t>
      </w:r>
      <w:r w:rsidRPr="00B055B4">
        <w:t>1</w:t>
      </w:r>
      <w:r>
        <w:t xml:space="preserve"> </w:t>
      </w:r>
      <w:r w:rsidRPr="00B055B4">
        <w:t>je</w:t>
      </w:r>
      <w:r>
        <w:t xml:space="preserve"> </w:t>
      </w:r>
      <w:r w:rsidRPr="005C03C8">
        <w:rPr>
          <w:strike/>
        </w:rPr>
        <w:t>roční</w:t>
      </w:r>
      <w:r>
        <w:t xml:space="preserve"> </w:t>
      </w:r>
      <w:r w:rsidR="005C03C8">
        <w:rPr>
          <w:b/>
        </w:rPr>
        <w:t xml:space="preserve">řádná individuální </w:t>
      </w:r>
      <w:r w:rsidRPr="00B055B4">
        <w:t>účetní</w:t>
      </w:r>
      <w:r>
        <w:t xml:space="preserve"> </w:t>
      </w:r>
      <w:r w:rsidRPr="00B055B4">
        <w:t>závěrka</w:t>
      </w:r>
      <w:r>
        <w:t xml:space="preserve"> </w:t>
      </w:r>
      <w:r w:rsidRPr="00B055B4">
        <w:t>Fondu.</w:t>
      </w:r>
    </w:p>
    <w:p w14:paraId="29FF8885" w14:textId="2C6A2956" w:rsidR="00A0644C" w:rsidRDefault="00A0644C" w:rsidP="00881B66">
      <w:pPr>
        <w:tabs>
          <w:tab w:val="left" w:pos="851"/>
        </w:tabs>
        <w:spacing w:before="120" w:after="120"/>
        <w:ind w:firstLine="0"/>
        <w:outlineLvl w:val="0"/>
      </w:pPr>
    </w:p>
    <w:p w14:paraId="25CB12F5" w14:textId="77777777" w:rsidR="001318FB" w:rsidRDefault="001318FB" w:rsidP="00881B66">
      <w:pPr>
        <w:tabs>
          <w:tab w:val="left" w:pos="851"/>
        </w:tabs>
        <w:spacing w:before="120" w:after="120"/>
        <w:ind w:firstLine="0"/>
        <w:outlineLvl w:val="0"/>
        <w:sectPr w:rsidR="001318FB" w:rsidSect="00554E2B">
          <w:footnotePr>
            <w:numStart w:val="3"/>
          </w:footnotePr>
          <w:endnotePr>
            <w:numFmt w:val="decimal"/>
          </w:endnotePr>
          <w:pgSz w:w="11906" w:h="16838"/>
          <w:pgMar w:top="1418" w:right="1418" w:bottom="1418" w:left="1418" w:header="709" w:footer="709" w:gutter="0"/>
          <w:cols w:space="708"/>
          <w:docGrid w:linePitch="360"/>
        </w:sectPr>
      </w:pPr>
    </w:p>
    <w:p w14:paraId="4E071410" w14:textId="7A71D432" w:rsidR="001318FB" w:rsidRPr="006C2301" w:rsidRDefault="001318FB" w:rsidP="0056049B">
      <w:pPr>
        <w:tabs>
          <w:tab w:val="left" w:pos="851"/>
        </w:tabs>
        <w:spacing w:before="120" w:after="120"/>
        <w:ind w:firstLine="0"/>
        <w:jc w:val="center"/>
        <w:outlineLvl w:val="0"/>
        <w:rPr>
          <w:szCs w:val="24"/>
        </w:rPr>
      </w:pPr>
      <w:r>
        <w:rPr>
          <w:b/>
          <w:szCs w:val="24"/>
        </w:rPr>
        <w:lastRenderedPageBreak/>
        <w:t xml:space="preserve">K části sté </w:t>
      </w:r>
      <w:r w:rsidR="00635DDD">
        <w:rPr>
          <w:b/>
          <w:szCs w:val="24"/>
        </w:rPr>
        <w:t>čtrnácté</w:t>
      </w:r>
      <w:r w:rsidRPr="006C2301">
        <w:rPr>
          <w:b/>
          <w:szCs w:val="24"/>
        </w:rPr>
        <w:t xml:space="preserve"> návrhu zákona – </w:t>
      </w:r>
      <w:r w:rsidRPr="006C2301">
        <w:rPr>
          <w:szCs w:val="24"/>
        </w:rPr>
        <w:t>změna zákona</w:t>
      </w:r>
      <w:r w:rsidRPr="006C2301">
        <w:t xml:space="preserve"> </w:t>
      </w:r>
      <w:r w:rsidRPr="001318FB">
        <w:rPr>
          <w:szCs w:val="24"/>
        </w:rPr>
        <w:t>o Státním pozemkovém úřadu a o změně některých souvisejících zákonů</w:t>
      </w:r>
    </w:p>
    <w:p w14:paraId="00997C76" w14:textId="3A1BDCA7" w:rsidR="001318FB" w:rsidRPr="006C2301" w:rsidRDefault="001318FB" w:rsidP="001318FB">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6C2301">
        <w:rPr>
          <w:b/>
          <w:szCs w:val="24"/>
        </w:rPr>
        <w:t>Platné znění</w:t>
      </w:r>
      <w:r w:rsidRPr="006C2301">
        <w:rPr>
          <w:szCs w:val="24"/>
        </w:rPr>
        <w:t xml:space="preserve"> zákona č. </w:t>
      </w:r>
      <w:r>
        <w:rPr>
          <w:szCs w:val="24"/>
        </w:rPr>
        <w:t>503</w:t>
      </w:r>
      <w:r w:rsidRPr="006C2301">
        <w:rPr>
          <w:szCs w:val="24"/>
        </w:rPr>
        <w:t xml:space="preserve">/2012 Sb., </w:t>
      </w:r>
      <w:r w:rsidRPr="001318FB">
        <w:rPr>
          <w:szCs w:val="24"/>
        </w:rPr>
        <w:t>o Státním pozemkovém úřadu a o změně některých souvisejících zákonů</w:t>
      </w:r>
    </w:p>
    <w:p w14:paraId="2DC02570" w14:textId="77777777" w:rsidR="0056049B" w:rsidRPr="0056049B" w:rsidRDefault="0056049B" w:rsidP="0056049B">
      <w:pPr>
        <w:pStyle w:val="Odstavecseseznamem"/>
        <w:numPr>
          <w:ilvl w:val="0"/>
          <w:numId w:val="27"/>
        </w:numPr>
        <w:pBdr>
          <w:top w:val="single" w:sz="12" w:space="6" w:color="auto"/>
          <w:left w:val="single" w:sz="12" w:space="0" w:color="auto"/>
          <w:bottom w:val="single" w:sz="12" w:space="6" w:color="auto"/>
          <w:right w:val="single" w:sz="12" w:space="0" w:color="auto"/>
        </w:pBdr>
        <w:spacing w:after="120"/>
        <w:jc w:val="center"/>
        <w:rPr>
          <w:b/>
          <w:szCs w:val="24"/>
          <w:lang w:eastAsia="en-US"/>
        </w:rPr>
      </w:pPr>
      <w:r w:rsidRPr="0056049B">
        <w:rPr>
          <w:b/>
          <w:szCs w:val="24"/>
          <w:lang w:eastAsia="en-US"/>
        </w:rPr>
        <w:t>s vyznačením navrhovaných změn a doplnění k 1. lednu 2025</w:t>
      </w:r>
      <w:r w:rsidRPr="00181A4A">
        <w:t xml:space="preserve"> </w:t>
      </w:r>
    </w:p>
    <w:p w14:paraId="576973B9" w14:textId="74E8DD53" w:rsidR="001318FB" w:rsidRDefault="001318FB" w:rsidP="001318FB">
      <w:pPr>
        <w:pStyle w:val="Textparagrafu"/>
        <w:numPr>
          <w:ilvl w:val="0"/>
          <w:numId w:val="27"/>
        </w:numPr>
        <w:tabs>
          <w:tab w:val="left" w:pos="392"/>
          <w:tab w:val="left" w:pos="840"/>
        </w:tabs>
        <w:spacing w:after="120"/>
        <w:jc w:val="center"/>
      </w:pPr>
      <w:r w:rsidRPr="00B055B4">
        <w:t>§</w:t>
      </w:r>
      <w:r>
        <w:t xml:space="preserve"> </w:t>
      </w:r>
      <w:r w:rsidR="001965B7">
        <w:t>1</w:t>
      </w:r>
    </w:p>
    <w:p w14:paraId="7251CEA2" w14:textId="77777777" w:rsidR="001965B7" w:rsidRDefault="001965B7" w:rsidP="005D3450">
      <w:pPr>
        <w:pStyle w:val="Textparagrafu"/>
        <w:numPr>
          <w:ilvl w:val="0"/>
          <w:numId w:val="27"/>
        </w:numPr>
        <w:tabs>
          <w:tab w:val="left" w:pos="392"/>
          <w:tab w:val="left" w:pos="840"/>
        </w:tabs>
        <w:spacing w:before="120" w:after="120"/>
        <w:ind w:firstLine="425"/>
      </w:pPr>
      <w:r w:rsidRPr="009255ED">
        <w:t>(1)</w:t>
      </w:r>
      <w:r>
        <w:t xml:space="preserve"> </w:t>
      </w:r>
      <w:r w:rsidRPr="009255ED">
        <w:t>Zřizuje</w:t>
      </w:r>
      <w:r>
        <w:t xml:space="preserve"> </w:t>
      </w:r>
      <w:r w:rsidRPr="009255ED">
        <w:t>se</w:t>
      </w:r>
      <w:r>
        <w:t xml:space="preserve"> </w:t>
      </w:r>
      <w:r w:rsidRPr="009255ED">
        <w:t>Státní</w:t>
      </w:r>
      <w:r>
        <w:t xml:space="preserve"> </w:t>
      </w:r>
      <w:r w:rsidRPr="009255ED">
        <w:t>pozemkový</w:t>
      </w:r>
      <w:r>
        <w:t xml:space="preserve"> </w:t>
      </w:r>
      <w:r w:rsidRPr="009255ED">
        <w:t>úřad</w:t>
      </w:r>
      <w:r>
        <w:t xml:space="preserve"> </w:t>
      </w:r>
      <w:r w:rsidRPr="009255ED">
        <w:t>jako</w:t>
      </w:r>
      <w:r>
        <w:t xml:space="preserve"> </w:t>
      </w:r>
      <w:r w:rsidRPr="009255ED">
        <w:t>správní</w:t>
      </w:r>
      <w:r>
        <w:t xml:space="preserve"> </w:t>
      </w:r>
      <w:r w:rsidRPr="009255ED">
        <w:t>úřad</w:t>
      </w:r>
      <w:r>
        <w:t xml:space="preserve"> </w:t>
      </w:r>
      <w:r w:rsidRPr="009255ED">
        <w:t>s</w:t>
      </w:r>
      <w:r>
        <w:t xml:space="preserve"> </w:t>
      </w:r>
      <w:r w:rsidRPr="009255ED">
        <w:t>celostátní</w:t>
      </w:r>
      <w:r>
        <w:t xml:space="preserve"> </w:t>
      </w:r>
      <w:r w:rsidRPr="009255ED">
        <w:t>působností.</w:t>
      </w:r>
    </w:p>
    <w:p w14:paraId="4771188F" w14:textId="77777777" w:rsidR="001965B7" w:rsidRDefault="001965B7" w:rsidP="005D3450">
      <w:pPr>
        <w:pStyle w:val="Textparagrafu"/>
        <w:numPr>
          <w:ilvl w:val="0"/>
          <w:numId w:val="27"/>
        </w:numPr>
        <w:tabs>
          <w:tab w:val="left" w:pos="392"/>
          <w:tab w:val="left" w:pos="840"/>
        </w:tabs>
        <w:spacing w:before="120" w:after="120"/>
        <w:ind w:firstLine="425"/>
      </w:pPr>
      <w:r w:rsidRPr="009255ED">
        <w:t>(2)</w:t>
      </w:r>
      <w:r>
        <w:t xml:space="preserve"> </w:t>
      </w:r>
      <w:r w:rsidRPr="009255ED">
        <w:t>Státní</w:t>
      </w:r>
      <w:r>
        <w:t xml:space="preserve"> </w:t>
      </w:r>
      <w:r w:rsidRPr="009255ED">
        <w:t>pozemkový</w:t>
      </w:r>
      <w:r>
        <w:t xml:space="preserve"> </w:t>
      </w:r>
      <w:r w:rsidRPr="009255ED">
        <w:t>úřad</w:t>
      </w:r>
      <w:r>
        <w:t xml:space="preserve"> </w:t>
      </w:r>
      <w:r w:rsidRPr="009255ED">
        <w:t>je</w:t>
      </w:r>
      <w:r>
        <w:t xml:space="preserve"> </w:t>
      </w:r>
      <w:r w:rsidRPr="009255ED">
        <w:t>organizační</w:t>
      </w:r>
      <w:r>
        <w:t xml:space="preserve"> </w:t>
      </w:r>
      <w:r w:rsidRPr="009255ED">
        <w:t>složkou</w:t>
      </w:r>
      <w:r>
        <w:t xml:space="preserve"> </w:t>
      </w:r>
      <w:r w:rsidRPr="009255ED">
        <w:t>státu</w:t>
      </w:r>
      <w:r>
        <w:t xml:space="preserve"> </w:t>
      </w:r>
      <w:r w:rsidRPr="00572C2B">
        <w:rPr>
          <w:strike/>
        </w:rPr>
        <w:t>a účetní jednotkou</w:t>
      </w:r>
      <w:r w:rsidRPr="009255ED">
        <w:t>.</w:t>
      </w:r>
    </w:p>
    <w:p w14:paraId="58C7FB97" w14:textId="77777777" w:rsidR="001965B7" w:rsidRDefault="001965B7" w:rsidP="005D3450">
      <w:pPr>
        <w:pStyle w:val="Textparagrafu"/>
        <w:numPr>
          <w:ilvl w:val="0"/>
          <w:numId w:val="27"/>
        </w:numPr>
        <w:tabs>
          <w:tab w:val="left" w:pos="392"/>
          <w:tab w:val="left" w:pos="840"/>
        </w:tabs>
        <w:spacing w:before="120" w:after="120"/>
        <w:ind w:firstLine="425"/>
      </w:pPr>
      <w:r w:rsidRPr="009255ED">
        <w:t>(3)</w:t>
      </w:r>
      <w:r>
        <w:t xml:space="preserve"> </w:t>
      </w:r>
      <w:r w:rsidRPr="009255ED">
        <w:t>Sídlem</w:t>
      </w:r>
      <w:r>
        <w:t xml:space="preserve"> </w:t>
      </w:r>
      <w:r w:rsidRPr="009255ED">
        <w:t>Státního</w:t>
      </w:r>
      <w:r>
        <w:t xml:space="preserve"> </w:t>
      </w:r>
      <w:r w:rsidRPr="009255ED">
        <w:t>pozemkového</w:t>
      </w:r>
      <w:r>
        <w:t xml:space="preserve"> </w:t>
      </w:r>
      <w:r w:rsidRPr="009255ED">
        <w:t>úřadu</w:t>
      </w:r>
      <w:r>
        <w:t xml:space="preserve"> </w:t>
      </w:r>
      <w:r w:rsidRPr="009255ED">
        <w:t>je</w:t>
      </w:r>
      <w:r>
        <w:t xml:space="preserve"> </w:t>
      </w:r>
      <w:r w:rsidRPr="009255ED">
        <w:t>Praha.</w:t>
      </w:r>
    </w:p>
    <w:p w14:paraId="0B0BC14D" w14:textId="77777777" w:rsidR="001965B7" w:rsidRDefault="001965B7" w:rsidP="005D3450">
      <w:pPr>
        <w:pStyle w:val="Textparagrafu"/>
        <w:numPr>
          <w:ilvl w:val="0"/>
          <w:numId w:val="27"/>
        </w:numPr>
        <w:tabs>
          <w:tab w:val="left" w:pos="392"/>
          <w:tab w:val="left" w:pos="840"/>
        </w:tabs>
        <w:spacing w:before="120" w:after="120"/>
        <w:ind w:firstLine="425"/>
      </w:pPr>
      <w:r w:rsidRPr="009255ED">
        <w:t>(4)</w:t>
      </w:r>
      <w:r>
        <w:t xml:space="preserve"> </w:t>
      </w:r>
      <w:r w:rsidRPr="009255ED">
        <w:t>Státní</w:t>
      </w:r>
      <w:r>
        <w:t xml:space="preserve"> </w:t>
      </w:r>
      <w:r w:rsidRPr="009255ED">
        <w:t>pozemkový</w:t>
      </w:r>
      <w:r>
        <w:t xml:space="preserve"> </w:t>
      </w:r>
      <w:r w:rsidRPr="009255ED">
        <w:t>úřad</w:t>
      </w:r>
      <w:r>
        <w:t xml:space="preserve"> </w:t>
      </w:r>
      <w:r w:rsidRPr="009255ED">
        <w:t>je</w:t>
      </w:r>
      <w:r>
        <w:t xml:space="preserve"> </w:t>
      </w:r>
      <w:r w:rsidRPr="009255ED">
        <w:t>podřízen</w:t>
      </w:r>
      <w:r>
        <w:t xml:space="preserve"> </w:t>
      </w:r>
      <w:r w:rsidRPr="009255ED">
        <w:t>Ministerstvu</w:t>
      </w:r>
      <w:r>
        <w:t xml:space="preserve"> </w:t>
      </w:r>
      <w:r w:rsidRPr="009255ED">
        <w:t>zemědělství</w:t>
      </w:r>
      <w:r>
        <w:t xml:space="preserve"> </w:t>
      </w:r>
      <w:r w:rsidRPr="009255ED">
        <w:t>(dále</w:t>
      </w:r>
      <w:r>
        <w:t xml:space="preserve"> </w:t>
      </w:r>
      <w:r w:rsidRPr="009255ED">
        <w:t>jen</w:t>
      </w:r>
      <w:r>
        <w:t xml:space="preserve"> </w:t>
      </w:r>
      <w:r w:rsidRPr="009255ED">
        <w:t>„ministerstvo“).</w:t>
      </w:r>
    </w:p>
    <w:p w14:paraId="5D035A99" w14:textId="77777777" w:rsidR="001965B7" w:rsidRDefault="001965B7" w:rsidP="005D3450">
      <w:pPr>
        <w:pStyle w:val="Textparagrafu"/>
        <w:numPr>
          <w:ilvl w:val="0"/>
          <w:numId w:val="27"/>
        </w:numPr>
        <w:tabs>
          <w:tab w:val="left" w:pos="392"/>
          <w:tab w:val="left" w:pos="840"/>
        </w:tabs>
        <w:spacing w:before="120" w:after="120"/>
        <w:ind w:firstLine="425"/>
      </w:pPr>
      <w:r w:rsidRPr="009255ED">
        <w:t>(5)</w:t>
      </w:r>
      <w:r>
        <w:t xml:space="preserve"> </w:t>
      </w:r>
      <w:r w:rsidRPr="009255ED">
        <w:t>Státní</w:t>
      </w:r>
      <w:r>
        <w:t xml:space="preserve"> </w:t>
      </w:r>
      <w:r w:rsidRPr="009255ED">
        <w:t>pozemkový</w:t>
      </w:r>
      <w:r>
        <w:t xml:space="preserve"> </w:t>
      </w:r>
      <w:r w:rsidRPr="009255ED">
        <w:t>úřad</w:t>
      </w:r>
      <w:r>
        <w:t xml:space="preserve"> </w:t>
      </w:r>
      <w:r w:rsidRPr="009255ED">
        <w:t>vykonává</w:t>
      </w:r>
      <w:r>
        <w:t xml:space="preserve"> </w:t>
      </w:r>
      <w:r w:rsidRPr="009255ED">
        <w:t>působnost</w:t>
      </w:r>
      <w:r>
        <w:t xml:space="preserve"> </w:t>
      </w:r>
      <w:r w:rsidRPr="009255ED">
        <w:t>podle</w:t>
      </w:r>
    </w:p>
    <w:p w14:paraId="64B77F30" w14:textId="554C586B" w:rsidR="001965B7" w:rsidRDefault="001965B7" w:rsidP="00635DDD">
      <w:pPr>
        <w:pStyle w:val="Textparagrafu"/>
        <w:numPr>
          <w:ilvl w:val="0"/>
          <w:numId w:val="27"/>
        </w:numPr>
        <w:tabs>
          <w:tab w:val="left" w:pos="392"/>
          <w:tab w:val="left" w:pos="840"/>
        </w:tabs>
        <w:spacing w:before="0"/>
        <w:ind w:left="426" w:hanging="426"/>
      </w:pPr>
      <w:r w:rsidRPr="009255ED">
        <w:t>a)</w:t>
      </w:r>
      <w:r w:rsidR="003F4257">
        <w:tab/>
      </w:r>
      <w:r w:rsidRPr="009255ED">
        <w:t>tohoto</w:t>
      </w:r>
      <w:r>
        <w:t xml:space="preserve"> </w:t>
      </w:r>
      <w:r w:rsidRPr="009255ED">
        <w:t>zákona,</w:t>
      </w:r>
    </w:p>
    <w:p w14:paraId="6E974BF2" w14:textId="501B378F" w:rsidR="001965B7" w:rsidRDefault="001965B7" w:rsidP="00635DDD">
      <w:pPr>
        <w:pStyle w:val="Textparagrafu"/>
        <w:numPr>
          <w:ilvl w:val="0"/>
          <w:numId w:val="27"/>
        </w:numPr>
        <w:tabs>
          <w:tab w:val="left" w:pos="392"/>
          <w:tab w:val="left" w:pos="840"/>
        </w:tabs>
        <w:spacing w:before="0"/>
        <w:ind w:left="426" w:hanging="426"/>
      </w:pPr>
      <w:r w:rsidRPr="009255ED">
        <w:t>b)</w:t>
      </w:r>
      <w:r w:rsidR="003F4257">
        <w:tab/>
      </w:r>
      <w:r w:rsidRPr="009255ED">
        <w:t>zákona</w:t>
      </w:r>
      <w:r>
        <w:t xml:space="preserve"> </w:t>
      </w:r>
      <w:r w:rsidRPr="009255ED">
        <w:t>o</w:t>
      </w:r>
      <w:r>
        <w:t xml:space="preserve"> </w:t>
      </w:r>
      <w:r w:rsidRPr="009255ED">
        <w:t>majetkovém</w:t>
      </w:r>
      <w:r>
        <w:t xml:space="preserve"> </w:t>
      </w:r>
      <w:r w:rsidRPr="009255ED">
        <w:t>vyrovnání</w:t>
      </w:r>
      <w:r>
        <w:t xml:space="preserve"> </w:t>
      </w:r>
      <w:r w:rsidRPr="009255ED">
        <w:t>s</w:t>
      </w:r>
      <w:r>
        <w:t xml:space="preserve"> </w:t>
      </w:r>
      <w:r w:rsidRPr="009255ED">
        <w:t>církvemi</w:t>
      </w:r>
      <w:r>
        <w:t xml:space="preserve"> </w:t>
      </w:r>
      <w:r w:rsidRPr="009255ED">
        <w:t>a</w:t>
      </w:r>
      <w:r>
        <w:t xml:space="preserve"> </w:t>
      </w:r>
      <w:r w:rsidRPr="009255ED">
        <w:t>náboženskými</w:t>
      </w:r>
      <w:r>
        <w:t xml:space="preserve"> </w:t>
      </w:r>
      <w:r w:rsidRPr="009255ED">
        <w:t>společnostmi,</w:t>
      </w:r>
    </w:p>
    <w:p w14:paraId="3D497841" w14:textId="6932CCC8" w:rsidR="001965B7" w:rsidRDefault="001965B7" w:rsidP="00635DDD">
      <w:pPr>
        <w:pStyle w:val="Textparagrafu"/>
        <w:numPr>
          <w:ilvl w:val="0"/>
          <w:numId w:val="27"/>
        </w:numPr>
        <w:tabs>
          <w:tab w:val="left" w:pos="392"/>
          <w:tab w:val="left" w:pos="840"/>
        </w:tabs>
        <w:spacing w:before="0"/>
        <w:ind w:left="426" w:hanging="426"/>
      </w:pPr>
      <w:r w:rsidRPr="009255ED">
        <w:t>c)</w:t>
      </w:r>
      <w:r w:rsidR="003F4257">
        <w:tab/>
      </w:r>
      <w:r w:rsidRPr="009255ED">
        <w:t>zákona</w:t>
      </w:r>
      <w:r>
        <w:t xml:space="preserve"> </w:t>
      </w:r>
      <w:r w:rsidRPr="009255ED">
        <w:t>č.</w:t>
      </w:r>
      <w:r>
        <w:t xml:space="preserve"> </w:t>
      </w:r>
      <w:r w:rsidRPr="009255ED">
        <w:t>229/1991</w:t>
      </w:r>
      <w:r>
        <w:t xml:space="preserve"> </w:t>
      </w:r>
      <w:r w:rsidRPr="009255ED">
        <w:t>Sb.,</w:t>
      </w:r>
      <w:r>
        <w:t xml:space="preserve"> </w:t>
      </w:r>
      <w:r w:rsidRPr="009255ED">
        <w:t>o</w:t>
      </w:r>
      <w:r>
        <w:t xml:space="preserve"> </w:t>
      </w:r>
      <w:r w:rsidRPr="009255ED">
        <w:t>úpravě</w:t>
      </w:r>
      <w:r>
        <w:t xml:space="preserve"> </w:t>
      </w:r>
      <w:r w:rsidRPr="009255ED">
        <w:t>vlastnických</w:t>
      </w:r>
      <w:r>
        <w:t xml:space="preserve"> </w:t>
      </w:r>
      <w:r w:rsidRPr="009255ED">
        <w:t>vztahů</w:t>
      </w:r>
      <w:r>
        <w:t xml:space="preserve"> </w:t>
      </w:r>
      <w:r w:rsidRPr="009255ED">
        <w:t>k</w:t>
      </w:r>
      <w:r>
        <w:t xml:space="preserve"> </w:t>
      </w:r>
      <w:r w:rsidRPr="009255ED">
        <w:t>půdě</w:t>
      </w:r>
      <w:r>
        <w:t xml:space="preserve"> </w:t>
      </w:r>
      <w:r w:rsidRPr="009255ED">
        <w:t>a</w:t>
      </w:r>
      <w:r>
        <w:t xml:space="preserve"> </w:t>
      </w:r>
      <w:r w:rsidRPr="009255ED">
        <w:t>jinému</w:t>
      </w:r>
      <w:r>
        <w:t xml:space="preserve"> </w:t>
      </w:r>
      <w:r w:rsidRPr="009255ED">
        <w:t>zemědělskému</w:t>
      </w:r>
      <w:r>
        <w:t xml:space="preserve"> </w:t>
      </w:r>
      <w:r w:rsidRPr="009255ED">
        <w:t>majetku,</w:t>
      </w:r>
      <w:r>
        <w:t xml:space="preserve"> </w:t>
      </w:r>
      <w:r w:rsidRPr="009255ED">
        <w:t>ve</w:t>
      </w:r>
      <w:r>
        <w:t xml:space="preserve"> </w:t>
      </w:r>
      <w:r w:rsidRPr="009255ED">
        <w:t>znění</w:t>
      </w:r>
      <w:r>
        <w:t xml:space="preserve"> </w:t>
      </w:r>
      <w:r w:rsidRPr="009255ED">
        <w:t>pozdějších</w:t>
      </w:r>
      <w:r>
        <w:t xml:space="preserve"> </w:t>
      </w:r>
      <w:r w:rsidRPr="009255ED">
        <w:t>předpisů,</w:t>
      </w:r>
    </w:p>
    <w:p w14:paraId="46971A79" w14:textId="4FE5470A" w:rsidR="001965B7" w:rsidRDefault="001965B7" w:rsidP="00635DDD">
      <w:pPr>
        <w:pStyle w:val="Textparagrafu"/>
        <w:numPr>
          <w:ilvl w:val="0"/>
          <w:numId w:val="27"/>
        </w:numPr>
        <w:tabs>
          <w:tab w:val="left" w:pos="392"/>
          <w:tab w:val="left" w:pos="840"/>
        </w:tabs>
        <w:spacing w:before="0"/>
        <w:ind w:left="426" w:hanging="426"/>
      </w:pPr>
      <w:r w:rsidRPr="009255ED">
        <w:t>d)</w:t>
      </w:r>
      <w:r w:rsidR="003F4257">
        <w:tab/>
      </w:r>
      <w:r w:rsidRPr="009255ED">
        <w:t>zákona</w:t>
      </w:r>
      <w:r>
        <w:t xml:space="preserve"> </w:t>
      </w:r>
      <w:r w:rsidRPr="009255ED">
        <w:t>č.</w:t>
      </w:r>
      <w:r>
        <w:t xml:space="preserve"> </w:t>
      </w:r>
      <w:r w:rsidRPr="009255ED">
        <w:t>139/2002</w:t>
      </w:r>
      <w:r>
        <w:t xml:space="preserve"> </w:t>
      </w:r>
      <w:r w:rsidRPr="009255ED">
        <w:t>Sb.,</w:t>
      </w:r>
      <w:r>
        <w:t xml:space="preserve"> </w:t>
      </w:r>
      <w:r w:rsidRPr="009255ED">
        <w:t>o</w:t>
      </w:r>
      <w:r>
        <w:t xml:space="preserve"> </w:t>
      </w:r>
      <w:r w:rsidRPr="009255ED">
        <w:t>pozemkových</w:t>
      </w:r>
      <w:r>
        <w:t xml:space="preserve"> </w:t>
      </w:r>
      <w:r w:rsidRPr="009255ED">
        <w:t>úpravách</w:t>
      </w:r>
      <w:r>
        <w:t xml:space="preserve"> </w:t>
      </w:r>
      <w:r w:rsidRPr="009255ED">
        <w:t>a</w:t>
      </w:r>
      <w:r>
        <w:t xml:space="preserve"> </w:t>
      </w:r>
      <w:r w:rsidRPr="009255ED">
        <w:t>pozemkových</w:t>
      </w:r>
      <w:r>
        <w:t xml:space="preserve"> </w:t>
      </w:r>
      <w:r w:rsidRPr="009255ED">
        <w:t>úřadech</w:t>
      </w:r>
      <w:r>
        <w:t xml:space="preserve"> </w:t>
      </w:r>
      <w:r w:rsidRPr="009255ED">
        <w:t>a</w:t>
      </w:r>
      <w:r>
        <w:t xml:space="preserve"> </w:t>
      </w:r>
      <w:r w:rsidRPr="009255ED">
        <w:t>o</w:t>
      </w:r>
      <w:r>
        <w:t xml:space="preserve"> </w:t>
      </w:r>
      <w:r w:rsidRPr="009255ED">
        <w:t>změně</w:t>
      </w:r>
      <w:r>
        <w:t xml:space="preserve"> </w:t>
      </w:r>
      <w:r w:rsidRPr="009255ED">
        <w:t>zákona</w:t>
      </w:r>
      <w:r>
        <w:t xml:space="preserve"> </w:t>
      </w:r>
      <w:r w:rsidRPr="009255ED">
        <w:t>č.</w:t>
      </w:r>
      <w:r>
        <w:t xml:space="preserve"> </w:t>
      </w:r>
      <w:r w:rsidRPr="009255ED">
        <w:t>229/1991</w:t>
      </w:r>
      <w:r>
        <w:t xml:space="preserve"> </w:t>
      </w:r>
      <w:r w:rsidRPr="009255ED">
        <w:t>Sb.,</w:t>
      </w:r>
      <w:r>
        <w:t xml:space="preserve"> </w:t>
      </w:r>
      <w:r w:rsidRPr="009255ED">
        <w:t>o</w:t>
      </w:r>
      <w:r>
        <w:t xml:space="preserve"> </w:t>
      </w:r>
      <w:r w:rsidRPr="009255ED">
        <w:t>úpravě</w:t>
      </w:r>
      <w:r>
        <w:t xml:space="preserve"> </w:t>
      </w:r>
      <w:r w:rsidRPr="009255ED">
        <w:t>vlastnických</w:t>
      </w:r>
      <w:r>
        <w:t xml:space="preserve"> </w:t>
      </w:r>
      <w:r w:rsidRPr="009255ED">
        <w:t>vztahů</w:t>
      </w:r>
      <w:r>
        <w:t xml:space="preserve"> </w:t>
      </w:r>
      <w:r w:rsidRPr="009255ED">
        <w:t>k</w:t>
      </w:r>
      <w:r>
        <w:t xml:space="preserve"> </w:t>
      </w:r>
      <w:r w:rsidRPr="009255ED">
        <w:t>půdě</w:t>
      </w:r>
      <w:r>
        <w:t xml:space="preserve"> </w:t>
      </w:r>
      <w:r w:rsidRPr="009255ED">
        <w:t>a</w:t>
      </w:r>
      <w:r>
        <w:t xml:space="preserve"> </w:t>
      </w:r>
      <w:r w:rsidRPr="009255ED">
        <w:t>jinému</w:t>
      </w:r>
      <w:r>
        <w:t xml:space="preserve"> </w:t>
      </w:r>
      <w:r w:rsidRPr="009255ED">
        <w:t>zemědělskému</w:t>
      </w:r>
      <w:r>
        <w:t xml:space="preserve"> </w:t>
      </w:r>
      <w:r w:rsidRPr="009255ED">
        <w:t>majetku,</w:t>
      </w:r>
      <w:r>
        <w:t xml:space="preserve"> </w:t>
      </w:r>
      <w:r w:rsidRPr="009255ED">
        <w:t>ve</w:t>
      </w:r>
      <w:r>
        <w:t xml:space="preserve"> </w:t>
      </w:r>
      <w:r w:rsidRPr="009255ED">
        <w:t>znění</w:t>
      </w:r>
      <w:r>
        <w:t xml:space="preserve"> </w:t>
      </w:r>
      <w:r w:rsidRPr="009255ED">
        <w:t>pozdějších</w:t>
      </w:r>
      <w:r>
        <w:t xml:space="preserve"> </w:t>
      </w:r>
      <w:r w:rsidRPr="009255ED">
        <w:t>předpisů,</w:t>
      </w:r>
      <w:r>
        <w:t xml:space="preserve"> </w:t>
      </w:r>
      <w:r w:rsidRPr="009255ED">
        <w:t>ve</w:t>
      </w:r>
      <w:r>
        <w:t xml:space="preserve"> </w:t>
      </w:r>
      <w:r w:rsidRPr="009255ED">
        <w:t>znění</w:t>
      </w:r>
      <w:r>
        <w:t xml:space="preserve"> </w:t>
      </w:r>
      <w:r w:rsidRPr="009255ED">
        <w:t>pozdějších</w:t>
      </w:r>
      <w:r>
        <w:t xml:space="preserve"> </w:t>
      </w:r>
      <w:r w:rsidRPr="009255ED">
        <w:t>předpisů,</w:t>
      </w:r>
      <w:r>
        <w:t xml:space="preserve"> </w:t>
      </w:r>
      <w:r w:rsidRPr="009255ED">
        <w:t>a</w:t>
      </w:r>
    </w:p>
    <w:p w14:paraId="2DDF6B06" w14:textId="2DD89B04" w:rsidR="001965B7" w:rsidRDefault="001965B7" w:rsidP="00635DDD">
      <w:pPr>
        <w:pStyle w:val="Textparagrafu"/>
        <w:numPr>
          <w:ilvl w:val="0"/>
          <w:numId w:val="27"/>
        </w:numPr>
        <w:tabs>
          <w:tab w:val="left" w:pos="392"/>
          <w:tab w:val="left" w:pos="840"/>
        </w:tabs>
        <w:spacing w:before="0"/>
        <w:ind w:left="426" w:hanging="426"/>
      </w:pPr>
      <w:r w:rsidRPr="009255ED">
        <w:t>e)</w:t>
      </w:r>
      <w:r w:rsidR="003F4257">
        <w:tab/>
      </w:r>
      <w:r w:rsidRPr="009255ED">
        <w:t>zákona</w:t>
      </w:r>
      <w:r>
        <w:t xml:space="preserve"> </w:t>
      </w:r>
      <w:r w:rsidRPr="009255ED">
        <w:t>č.</w:t>
      </w:r>
      <w:r>
        <w:t xml:space="preserve"> </w:t>
      </w:r>
      <w:r w:rsidRPr="009255ED">
        <w:t>92/1991</w:t>
      </w:r>
      <w:r>
        <w:t xml:space="preserve"> </w:t>
      </w:r>
      <w:r w:rsidRPr="009255ED">
        <w:t>Sb.,</w:t>
      </w:r>
      <w:r>
        <w:t xml:space="preserve"> </w:t>
      </w:r>
      <w:r w:rsidRPr="009255ED">
        <w:t>o</w:t>
      </w:r>
      <w:r>
        <w:t xml:space="preserve"> </w:t>
      </w:r>
      <w:r w:rsidRPr="009255ED">
        <w:t>podmínkách</w:t>
      </w:r>
      <w:r>
        <w:t xml:space="preserve"> </w:t>
      </w:r>
      <w:r w:rsidRPr="009255ED">
        <w:t>převodu</w:t>
      </w:r>
      <w:r>
        <w:t xml:space="preserve"> </w:t>
      </w:r>
      <w:r w:rsidRPr="009255ED">
        <w:t>majetku</w:t>
      </w:r>
      <w:r>
        <w:t xml:space="preserve"> </w:t>
      </w:r>
      <w:r w:rsidRPr="009255ED">
        <w:t>státu</w:t>
      </w:r>
      <w:r>
        <w:t xml:space="preserve"> </w:t>
      </w:r>
      <w:r w:rsidRPr="009255ED">
        <w:t>na</w:t>
      </w:r>
      <w:r>
        <w:t xml:space="preserve"> </w:t>
      </w:r>
      <w:r w:rsidRPr="009255ED">
        <w:t>jiné</w:t>
      </w:r>
      <w:r>
        <w:t xml:space="preserve"> </w:t>
      </w:r>
      <w:r w:rsidRPr="009255ED">
        <w:t>osoby,</w:t>
      </w:r>
      <w:r>
        <w:t xml:space="preserve"> </w:t>
      </w:r>
      <w:r w:rsidRPr="009255ED">
        <w:t>ve</w:t>
      </w:r>
      <w:r>
        <w:t xml:space="preserve"> </w:t>
      </w:r>
      <w:r w:rsidRPr="009255ED">
        <w:t>znění</w:t>
      </w:r>
      <w:r>
        <w:t xml:space="preserve"> </w:t>
      </w:r>
      <w:r w:rsidRPr="009255ED">
        <w:t>pozdějších</w:t>
      </w:r>
      <w:r>
        <w:t xml:space="preserve"> </w:t>
      </w:r>
      <w:r w:rsidRPr="009255ED">
        <w:t>předpisů.</w:t>
      </w:r>
    </w:p>
    <w:p w14:paraId="6F19A190" w14:textId="77777777" w:rsidR="001965B7" w:rsidRDefault="001965B7" w:rsidP="005D3450">
      <w:pPr>
        <w:pStyle w:val="Textparagrafu"/>
        <w:numPr>
          <w:ilvl w:val="0"/>
          <w:numId w:val="27"/>
        </w:numPr>
        <w:tabs>
          <w:tab w:val="left" w:pos="392"/>
          <w:tab w:val="left" w:pos="840"/>
        </w:tabs>
        <w:spacing w:before="120" w:after="120"/>
        <w:ind w:firstLine="425"/>
      </w:pPr>
      <w:r w:rsidRPr="009255ED">
        <w:t>(6)</w:t>
      </w:r>
      <w:r>
        <w:t xml:space="preserve"> </w:t>
      </w:r>
      <w:r w:rsidRPr="009255ED">
        <w:t>Státní</w:t>
      </w:r>
      <w:r>
        <w:t xml:space="preserve"> </w:t>
      </w:r>
      <w:r w:rsidRPr="009255ED">
        <w:t>pozemkový</w:t>
      </w:r>
      <w:r>
        <w:t xml:space="preserve"> </w:t>
      </w:r>
      <w:r w:rsidRPr="009255ED">
        <w:t>úřad</w:t>
      </w:r>
      <w:r>
        <w:t xml:space="preserve"> </w:t>
      </w:r>
      <w:r w:rsidRPr="009255ED">
        <w:t>zajišťuje</w:t>
      </w:r>
      <w:r>
        <w:t xml:space="preserve"> </w:t>
      </w:r>
      <w:r w:rsidRPr="009255ED">
        <w:t>činnosti</w:t>
      </w:r>
      <w:r>
        <w:t xml:space="preserve"> </w:t>
      </w:r>
      <w:r w:rsidRPr="009255ED">
        <w:t>související</w:t>
      </w:r>
      <w:r>
        <w:t xml:space="preserve"> </w:t>
      </w:r>
      <w:r w:rsidRPr="009255ED">
        <w:t>s</w:t>
      </w:r>
      <w:r>
        <w:t xml:space="preserve"> </w:t>
      </w:r>
      <w:r w:rsidRPr="009255ED">
        <w:t>aktualizací</w:t>
      </w:r>
      <w:r>
        <w:t xml:space="preserve"> </w:t>
      </w:r>
      <w:r w:rsidRPr="009255ED">
        <w:t>a</w:t>
      </w:r>
      <w:r>
        <w:t xml:space="preserve"> </w:t>
      </w:r>
      <w:r w:rsidRPr="009255ED">
        <w:t>vedením</w:t>
      </w:r>
      <w:r>
        <w:t xml:space="preserve"> </w:t>
      </w:r>
      <w:r w:rsidRPr="009255ED">
        <w:t>celostátní</w:t>
      </w:r>
      <w:r>
        <w:t xml:space="preserve"> </w:t>
      </w:r>
      <w:r w:rsidRPr="009255ED">
        <w:t>databáze</w:t>
      </w:r>
      <w:r>
        <w:t xml:space="preserve"> </w:t>
      </w:r>
      <w:r w:rsidRPr="009255ED">
        <w:t>bonitovaných</w:t>
      </w:r>
      <w:r>
        <w:t xml:space="preserve"> </w:t>
      </w:r>
      <w:r w:rsidRPr="009255ED">
        <w:t>půdně</w:t>
      </w:r>
      <w:r>
        <w:t xml:space="preserve"> </w:t>
      </w:r>
      <w:r w:rsidRPr="009255ED">
        <w:t>ekologických</w:t>
      </w:r>
      <w:r>
        <w:t xml:space="preserve"> </w:t>
      </w:r>
      <w:r w:rsidRPr="009255ED">
        <w:t>jednotek;</w:t>
      </w:r>
      <w:r>
        <w:t xml:space="preserve"> </w:t>
      </w:r>
      <w:r w:rsidRPr="009255ED">
        <w:t>správu</w:t>
      </w:r>
      <w:r>
        <w:t xml:space="preserve"> </w:t>
      </w:r>
      <w:r w:rsidRPr="009255ED">
        <w:t>této</w:t>
      </w:r>
      <w:r>
        <w:t xml:space="preserve"> </w:t>
      </w:r>
      <w:r w:rsidRPr="009255ED">
        <w:t>databáze</w:t>
      </w:r>
      <w:r>
        <w:t xml:space="preserve"> </w:t>
      </w:r>
      <w:r w:rsidRPr="009255ED">
        <w:t>zajišťuje</w:t>
      </w:r>
      <w:r>
        <w:t xml:space="preserve"> </w:t>
      </w:r>
      <w:r w:rsidRPr="009255ED">
        <w:t>ministerstvo.</w:t>
      </w:r>
    </w:p>
    <w:p w14:paraId="45581017" w14:textId="77777777" w:rsidR="001965B7" w:rsidRDefault="001965B7" w:rsidP="005D3450">
      <w:pPr>
        <w:pStyle w:val="Textparagrafu"/>
        <w:numPr>
          <w:ilvl w:val="0"/>
          <w:numId w:val="27"/>
        </w:numPr>
        <w:tabs>
          <w:tab w:val="left" w:pos="392"/>
          <w:tab w:val="left" w:pos="840"/>
        </w:tabs>
        <w:spacing w:before="120" w:after="120"/>
        <w:ind w:firstLine="425"/>
      </w:pPr>
      <w:r w:rsidRPr="009255ED">
        <w:t>(7)</w:t>
      </w:r>
      <w:r>
        <w:t xml:space="preserve"> </w:t>
      </w:r>
      <w:r w:rsidRPr="009255ED">
        <w:t>Státní</w:t>
      </w:r>
      <w:r>
        <w:t xml:space="preserve"> </w:t>
      </w:r>
      <w:r w:rsidRPr="009255ED">
        <w:t>pozemkový</w:t>
      </w:r>
      <w:r>
        <w:t xml:space="preserve"> </w:t>
      </w:r>
      <w:r w:rsidRPr="009255ED">
        <w:t>úřad</w:t>
      </w:r>
      <w:r>
        <w:t xml:space="preserve"> </w:t>
      </w:r>
      <w:r w:rsidRPr="009255ED">
        <w:t>je</w:t>
      </w:r>
      <w:r>
        <w:t xml:space="preserve"> </w:t>
      </w:r>
      <w:r w:rsidRPr="009255ED">
        <w:t>editorem</w:t>
      </w:r>
      <w:r>
        <w:t xml:space="preserve"> </w:t>
      </w:r>
      <w:r w:rsidRPr="009255ED">
        <w:t>údajů</w:t>
      </w:r>
      <w:r>
        <w:t xml:space="preserve"> </w:t>
      </w:r>
      <w:r w:rsidRPr="009255ED">
        <w:t>o</w:t>
      </w:r>
      <w:r>
        <w:t xml:space="preserve"> </w:t>
      </w:r>
      <w:r w:rsidRPr="009255ED">
        <w:t>bonitovaných</w:t>
      </w:r>
      <w:r>
        <w:t xml:space="preserve"> </w:t>
      </w:r>
      <w:r w:rsidRPr="009255ED">
        <w:t>půdně</w:t>
      </w:r>
      <w:r>
        <w:t xml:space="preserve"> </w:t>
      </w:r>
      <w:r w:rsidRPr="009255ED">
        <w:t>ekologických</w:t>
      </w:r>
      <w:r>
        <w:t xml:space="preserve"> </w:t>
      </w:r>
      <w:r w:rsidRPr="009255ED">
        <w:t>jednotkách</w:t>
      </w:r>
      <w:r>
        <w:t xml:space="preserve"> </w:t>
      </w:r>
      <w:r w:rsidRPr="009255ED">
        <w:t>v</w:t>
      </w:r>
      <w:r>
        <w:t xml:space="preserve"> </w:t>
      </w:r>
      <w:r w:rsidRPr="009255ED">
        <w:t>základním</w:t>
      </w:r>
      <w:r>
        <w:t xml:space="preserve"> </w:t>
      </w:r>
      <w:r w:rsidRPr="009255ED">
        <w:t>registru</w:t>
      </w:r>
      <w:r>
        <w:t xml:space="preserve"> </w:t>
      </w:r>
      <w:r w:rsidRPr="009255ED">
        <w:t>územní</w:t>
      </w:r>
      <w:r>
        <w:t xml:space="preserve"> </w:t>
      </w:r>
      <w:r w:rsidRPr="009255ED">
        <w:t>identifikace,</w:t>
      </w:r>
      <w:r>
        <w:t xml:space="preserve"> </w:t>
      </w:r>
      <w:r w:rsidRPr="009255ED">
        <w:t>adres</w:t>
      </w:r>
      <w:r>
        <w:t xml:space="preserve"> </w:t>
      </w:r>
      <w:r w:rsidRPr="009255ED">
        <w:t>a</w:t>
      </w:r>
      <w:r>
        <w:t xml:space="preserve"> </w:t>
      </w:r>
      <w:r w:rsidRPr="009255ED">
        <w:t>nemovitostí.</w:t>
      </w:r>
      <w:r>
        <w:t xml:space="preserve"> </w:t>
      </w:r>
      <w:r w:rsidRPr="009255ED">
        <w:t>Bonitované</w:t>
      </w:r>
      <w:r>
        <w:t xml:space="preserve"> </w:t>
      </w:r>
      <w:r w:rsidRPr="009255ED">
        <w:t>půdně</w:t>
      </w:r>
      <w:r>
        <w:t xml:space="preserve"> </w:t>
      </w:r>
      <w:r w:rsidRPr="009255ED">
        <w:t>ekologické</w:t>
      </w:r>
      <w:r>
        <w:t xml:space="preserve"> </w:t>
      </w:r>
      <w:r w:rsidRPr="009255ED">
        <w:t>jednotky</w:t>
      </w:r>
      <w:r>
        <w:t xml:space="preserve"> </w:t>
      </w:r>
      <w:r w:rsidRPr="009255ED">
        <w:t>jsou</w:t>
      </w:r>
      <w:r>
        <w:t xml:space="preserve"> </w:t>
      </w:r>
      <w:r w:rsidRPr="009255ED">
        <w:t>v</w:t>
      </w:r>
      <w:r>
        <w:t xml:space="preserve"> </w:t>
      </w:r>
      <w:r w:rsidRPr="009255ED">
        <w:t>základním</w:t>
      </w:r>
      <w:r>
        <w:t xml:space="preserve"> </w:t>
      </w:r>
      <w:r w:rsidRPr="009255ED">
        <w:t>registru</w:t>
      </w:r>
      <w:r>
        <w:t xml:space="preserve"> </w:t>
      </w:r>
      <w:r w:rsidRPr="009255ED">
        <w:t>územní</w:t>
      </w:r>
      <w:r>
        <w:t xml:space="preserve"> </w:t>
      </w:r>
      <w:r w:rsidRPr="009255ED">
        <w:t>identifikace,</w:t>
      </w:r>
      <w:r>
        <w:t xml:space="preserve"> </w:t>
      </w:r>
      <w:r w:rsidRPr="009255ED">
        <w:t>adres</w:t>
      </w:r>
      <w:r>
        <w:t xml:space="preserve"> </w:t>
      </w:r>
      <w:r w:rsidRPr="009255ED">
        <w:t>a</w:t>
      </w:r>
      <w:r>
        <w:t xml:space="preserve"> </w:t>
      </w:r>
      <w:r w:rsidRPr="009255ED">
        <w:t>nemovitostí</w:t>
      </w:r>
      <w:r>
        <w:t xml:space="preserve"> </w:t>
      </w:r>
      <w:r w:rsidRPr="009255ED">
        <w:t>vedeny</w:t>
      </w:r>
      <w:r>
        <w:t xml:space="preserve"> </w:t>
      </w:r>
      <w:r w:rsidRPr="009255ED">
        <w:t>jako</w:t>
      </w:r>
      <w:r>
        <w:t xml:space="preserve"> </w:t>
      </w:r>
      <w:r w:rsidRPr="009255ED">
        <w:t>účelové</w:t>
      </w:r>
      <w:r>
        <w:t xml:space="preserve"> </w:t>
      </w:r>
      <w:r w:rsidRPr="009255ED">
        <w:t>územní</w:t>
      </w:r>
      <w:r>
        <w:t xml:space="preserve"> </w:t>
      </w:r>
      <w:r w:rsidRPr="009255ED">
        <w:t>prvky.</w:t>
      </w:r>
      <w:r>
        <w:t xml:space="preserve"> </w:t>
      </w:r>
      <w:r w:rsidRPr="009255ED">
        <w:t>O</w:t>
      </w:r>
      <w:r>
        <w:t xml:space="preserve"> </w:t>
      </w:r>
      <w:r w:rsidRPr="009255ED">
        <w:t>bonitovaných</w:t>
      </w:r>
      <w:r>
        <w:t xml:space="preserve"> </w:t>
      </w:r>
      <w:r w:rsidRPr="009255ED">
        <w:t>půdně</w:t>
      </w:r>
      <w:r>
        <w:t xml:space="preserve"> </w:t>
      </w:r>
      <w:r w:rsidRPr="009255ED">
        <w:t>ekologických</w:t>
      </w:r>
      <w:r>
        <w:t xml:space="preserve"> </w:t>
      </w:r>
      <w:r w:rsidRPr="009255ED">
        <w:t>jednotkách</w:t>
      </w:r>
      <w:r>
        <w:t xml:space="preserve"> </w:t>
      </w:r>
      <w:r w:rsidRPr="009255ED">
        <w:t>se</w:t>
      </w:r>
      <w:r>
        <w:t xml:space="preserve"> </w:t>
      </w:r>
      <w:r w:rsidRPr="009255ED">
        <w:t>v</w:t>
      </w:r>
      <w:r>
        <w:t xml:space="preserve"> </w:t>
      </w:r>
      <w:r w:rsidRPr="009255ED">
        <w:t>základním</w:t>
      </w:r>
      <w:r>
        <w:t xml:space="preserve"> </w:t>
      </w:r>
      <w:r w:rsidRPr="009255ED">
        <w:t>registru</w:t>
      </w:r>
      <w:r>
        <w:t xml:space="preserve"> </w:t>
      </w:r>
      <w:r w:rsidRPr="009255ED">
        <w:t>územní</w:t>
      </w:r>
      <w:r>
        <w:t xml:space="preserve"> </w:t>
      </w:r>
      <w:r w:rsidRPr="009255ED">
        <w:t>identifikace,</w:t>
      </w:r>
      <w:r>
        <w:t xml:space="preserve"> </w:t>
      </w:r>
      <w:r w:rsidRPr="009255ED">
        <w:t>adres</w:t>
      </w:r>
      <w:r>
        <w:t xml:space="preserve"> </w:t>
      </w:r>
      <w:r w:rsidRPr="009255ED">
        <w:t>a</w:t>
      </w:r>
      <w:r>
        <w:t xml:space="preserve"> </w:t>
      </w:r>
      <w:r w:rsidRPr="009255ED">
        <w:t>nemovitostí</w:t>
      </w:r>
      <w:r>
        <w:t xml:space="preserve"> </w:t>
      </w:r>
      <w:r w:rsidRPr="009255ED">
        <w:t>vedou</w:t>
      </w:r>
    </w:p>
    <w:p w14:paraId="5E6E2915" w14:textId="2BC7EA51" w:rsidR="001965B7" w:rsidRDefault="001965B7" w:rsidP="00635DDD">
      <w:pPr>
        <w:pStyle w:val="Textparagrafu"/>
        <w:numPr>
          <w:ilvl w:val="0"/>
          <w:numId w:val="27"/>
        </w:numPr>
        <w:tabs>
          <w:tab w:val="left" w:pos="392"/>
          <w:tab w:val="left" w:pos="840"/>
        </w:tabs>
        <w:spacing w:before="0"/>
        <w:ind w:left="426" w:hanging="426"/>
      </w:pPr>
      <w:r w:rsidRPr="009255ED">
        <w:t>a)</w:t>
      </w:r>
      <w:r w:rsidR="003F4257">
        <w:tab/>
      </w:r>
      <w:r w:rsidRPr="009255ED">
        <w:t>identifikační</w:t>
      </w:r>
      <w:r>
        <w:t xml:space="preserve"> </w:t>
      </w:r>
      <w:r w:rsidRPr="009255ED">
        <w:t>údaje,</w:t>
      </w:r>
      <w:r>
        <w:t xml:space="preserve"> </w:t>
      </w:r>
      <w:r w:rsidRPr="009255ED">
        <w:t>kterými</w:t>
      </w:r>
      <w:r>
        <w:t xml:space="preserve"> </w:t>
      </w:r>
      <w:r w:rsidRPr="009255ED">
        <w:t>jsou</w:t>
      </w:r>
      <w:r>
        <w:t xml:space="preserve"> </w:t>
      </w:r>
      <w:r w:rsidRPr="009255ED">
        <w:t>kód</w:t>
      </w:r>
      <w:r>
        <w:t xml:space="preserve"> </w:t>
      </w:r>
      <w:r w:rsidRPr="009255ED">
        <w:t>územního</w:t>
      </w:r>
      <w:r>
        <w:t xml:space="preserve"> </w:t>
      </w:r>
      <w:r w:rsidRPr="009255ED">
        <w:t>prvku</w:t>
      </w:r>
      <w:r>
        <w:t xml:space="preserve"> </w:t>
      </w:r>
      <w:r w:rsidRPr="009255ED">
        <w:t>a</w:t>
      </w:r>
      <w:r>
        <w:t xml:space="preserve"> </w:t>
      </w:r>
      <w:r w:rsidRPr="009255ED">
        <w:t>kód</w:t>
      </w:r>
      <w:r>
        <w:t xml:space="preserve"> </w:t>
      </w:r>
      <w:r w:rsidRPr="009255ED">
        <w:t>bonitované</w:t>
      </w:r>
      <w:r>
        <w:t xml:space="preserve"> </w:t>
      </w:r>
      <w:r w:rsidRPr="009255ED">
        <w:t>půdně</w:t>
      </w:r>
      <w:r>
        <w:t xml:space="preserve"> </w:t>
      </w:r>
      <w:r w:rsidRPr="009255ED">
        <w:t>ekologické</w:t>
      </w:r>
      <w:r>
        <w:t xml:space="preserve"> </w:t>
      </w:r>
      <w:r w:rsidRPr="009255ED">
        <w:t>jednotky,</w:t>
      </w:r>
    </w:p>
    <w:p w14:paraId="432AE598" w14:textId="6C8C7B45" w:rsidR="001965B7" w:rsidRDefault="001965B7" w:rsidP="00635DDD">
      <w:pPr>
        <w:pStyle w:val="Textparagrafu"/>
        <w:numPr>
          <w:ilvl w:val="0"/>
          <w:numId w:val="27"/>
        </w:numPr>
        <w:tabs>
          <w:tab w:val="left" w:pos="392"/>
          <w:tab w:val="left" w:pos="840"/>
        </w:tabs>
        <w:spacing w:before="0"/>
        <w:ind w:left="426" w:hanging="426"/>
      </w:pPr>
      <w:r w:rsidRPr="009255ED">
        <w:t>b)</w:t>
      </w:r>
      <w:r w:rsidR="003F4257">
        <w:tab/>
      </w:r>
      <w:r w:rsidRPr="009255ED">
        <w:t>lokalizační</w:t>
      </w:r>
      <w:r>
        <w:t xml:space="preserve"> </w:t>
      </w:r>
      <w:r w:rsidRPr="009255ED">
        <w:t>údaje</w:t>
      </w:r>
      <w:r>
        <w:t xml:space="preserve"> </w:t>
      </w:r>
      <w:r w:rsidRPr="009255ED">
        <w:t>a</w:t>
      </w:r>
    </w:p>
    <w:p w14:paraId="5FB6BF53" w14:textId="3B4342F3" w:rsidR="001965B7" w:rsidRPr="009255ED" w:rsidRDefault="001965B7" w:rsidP="00635DDD">
      <w:pPr>
        <w:pStyle w:val="Textparagrafu"/>
        <w:numPr>
          <w:ilvl w:val="0"/>
          <w:numId w:val="27"/>
        </w:numPr>
        <w:tabs>
          <w:tab w:val="left" w:pos="392"/>
          <w:tab w:val="left" w:pos="840"/>
        </w:tabs>
        <w:spacing w:before="0"/>
        <w:ind w:left="426" w:hanging="426"/>
      </w:pPr>
      <w:r w:rsidRPr="009255ED">
        <w:t>c)</w:t>
      </w:r>
      <w:r w:rsidR="003F4257">
        <w:tab/>
      </w:r>
      <w:r w:rsidRPr="009255ED">
        <w:t>údaje</w:t>
      </w:r>
      <w:r>
        <w:t xml:space="preserve"> </w:t>
      </w:r>
      <w:r w:rsidRPr="009255ED">
        <w:t>o</w:t>
      </w:r>
      <w:r>
        <w:t xml:space="preserve"> </w:t>
      </w:r>
      <w:r w:rsidRPr="009255ED">
        <w:t>vazbách</w:t>
      </w:r>
      <w:r>
        <w:t xml:space="preserve"> </w:t>
      </w:r>
      <w:r w:rsidRPr="009255ED">
        <w:t>na</w:t>
      </w:r>
      <w:r>
        <w:t xml:space="preserve"> </w:t>
      </w:r>
      <w:r w:rsidRPr="009255ED">
        <w:t>ostatní</w:t>
      </w:r>
      <w:r>
        <w:t xml:space="preserve"> </w:t>
      </w:r>
      <w:r w:rsidRPr="009255ED">
        <w:t>územní</w:t>
      </w:r>
      <w:r>
        <w:t xml:space="preserve"> </w:t>
      </w:r>
      <w:r w:rsidRPr="009255ED">
        <w:t>prvky.</w:t>
      </w:r>
    </w:p>
    <w:p w14:paraId="7FC0A599" w14:textId="0B678F2A" w:rsidR="00A0644C" w:rsidRDefault="001965B7" w:rsidP="003F4257">
      <w:pPr>
        <w:tabs>
          <w:tab w:val="left" w:pos="851"/>
        </w:tabs>
        <w:spacing w:after="120"/>
        <w:ind w:firstLine="0"/>
        <w:jc w:val="center"/>
        <w:outlineLvl w:val="0"/>
      </w:pPr>
      <w:r>
        <w:t>***</w:t>
      </w:r>
    </w:p>
    <w:p w14:paraId="3C9BC8A2" w14:textId="0A8A1FF9" w:rsidR="001965B7" w:rsidRDefault="001965B7" w:rsidP="003F4257">
      <w:pPr>
        <w:pStyle w:val="Textparagrafu"/>
        <w:tabs>
          <w:tab w:val="left" w:pos="392"/>
          <w:tab w:val="left" w:pos="840"/>
        </w:tabs>
        <w:spacing w:after="120"/>
        <w:ind w:firstLine="0"/>
        <w:jc w:val="center"/>
      </w:pPr>
      <w:r w:rsidRPr="009255ED">
        <w:t>§</w:t>
      </w:r>
      <w:r>
        <w:t xml:space="preserve"> </w:t>
      </w:r>
      <w:r w:rsidRPr="009255ED">
        <w:t>3</w:t>
      </w:r>
    </w:p>
    <w:p w14:paraId="3F6CC877" w14:textId="77777777" w:rsidR="001965B7" w:rsidRDefault="001965B7" w:rsidP="005D3450">
      <w:pPr>
        <w:pStyle w:val="Textparagrafu"/>
        <w:tabs>
          <w:tab w:val="left" w:pos="392"/>
          <w:tab w:val="left" w:pos="840"/>
        </w:tabs>
        <w:spacing w:before="120" w:after="120"/>
      </w:pPr>
      <w:r w:rsidRPr="009255ED">
        <w:t>(1)</w:t>
      </w:r>
      <w:r>
        <w:t xml:space="preserve"> </w:t>
      </w:r>
      <w:r w:rsidRPr="009255ED">
        <w:t>Státní</w:t>
      </w:r>
      <w:r>
        <w:t xml:space="preserve"> </w:t>
      </w:r>
      <w:r w:rsidRPr="009255ED">
        <w:t>pozemkový</w:t>
      </w:r>
      <w:r>
        <w:t xml:space="preserve"> </w:t>
      </w:r>
      <w:r w:rsidRPr="009255ED">
        <w:t>úřad</w:t>
      </w:r>
      <w:r>
        <w:t xml:space="preserve"> </w:t>
      </w:r>
      <w:r w:rsidRPr="009255ED">
        <w:t>vytváří</w:t>
      </w:r>
      <w:r>
        <w:t xml:space="preserve"> </w:t>
      </w:r>
      <w:r w:rsidRPr="009255ED">
        <w:t>a</w:t>
      </w:r>
      <w:r>
        <w:t xml:space="preserve"> </w:t>
      </w:r>
      <w:r w:rsidRPr="009255ED">
        <w:t>spravuje</w:t>
      </w:r>
      <w:r>
        <w:t xml:space="preserve"> </w:t>
      </w:r>
      <w:r w:rsidRPr="009255ED">
        <w:t>rezervu</w:t>
      </w:r>
      <w:r>
        <w:t xml:space="preserve"> </w:t>
      </w:r>
      <w:r w:rsidRPr="009255ED">
        <w:t>státních</w:t>
      </w:r>
      <w:r>
        <w:t xml:space="preserve"> </w:t>
      </w:r>
      <w:r w:rsidRPr="009255ED">
        <w:t>pozemků</w:t>
      </w:r>
      <w:r>
        <w:t xml:space="preserve"> </w:t>
      </w:r>
      <w:r w:rsidRPr="009255ED">
        <w:t>(dále</w:t>
      </w:r>
      <w:r>
        <w:t xml:space="preserve"> </w:t>
      </w:r>
      <w:r w:rsidRPr="009255ED">
        <w:t>jen</w:t>
      </w:r>
      <w:r>
        <w:t xml:space="preserve"> </w:t>
      </w:r>
      <w:r w:rsidRPr="009255ED">
        <w:t>"rezerva"),</w:t>
      </w:r>
      <w:r>
        <w:t xml:space="preserve"> </w:t>
      </w:r>
      <w:r w:rsidRPr="009255ED">
        <w:t>která</w:t>
      </w:r>
      <w:r>
        <w:t xml:space="preserve"> </w:t>
      </w:r>
      <w:r w:rsidRPr="009255ED">
        <w:t>zahrnuje</w:t>
      </w:r>
      <w:r>
        <w:t xml:space="preserve"> </w:t>
      </w:r>
      <w:r w:rsidRPr="009255ED">
        <w:t>pozemky,</w:t>
      </w:r>
      <w:r>
        <w:t xml:space="preserve"> </w:t>
      </w:r>
      <w:r w:rsidRPr="009255ED">
        <w:t>s</w:t>
      </w:r>
      <w:r>
        <w:t xml:space="preserve"> </w:t>
      </w:r>
      <w:r w:rsidRPr="009255ED">
        <w:t>nimiž</w:t>
      </w:r>
      <w:r>
        <w:t xml:space="preserve"> </w:t>
      </w:r>
      <w:r w:rsidRPr="009255ED">
        <w:t>je</w:t>
      </w:r>
      <w:r>
        <w:t xml:space="preserve"> </w:t>
      </w:r>
      <w:r w:rsidRPr="009255ED">
        <w:t>Státní</w:t>
      </w:r>
      <w:r>
        <w:t xml:space="preserve"> </w:t>
      </w:r>
      <w:r w:rsidRPr="009255ED">
        <w:t>pozemkový</w:t>
      </w:r>
      <w:r>
        <w:t xml:space="preserve"> </w:t>
      </w:r>
      <w:r w:rsidRPr="009255ED">
        <w:t>úřad</w:t>
      </w:r>
      <w:r>
        <w:t xml:space="preserve"> </w:t>
      </w:r>
      <w:r w:rsidRPr="009255ED">
        <w:t>příslušný</w:t>
      </w:r>
      <w:r>
        <w:t xml:space="preserve"> </w:t>
      </w:r>
      <w:r w:rsidRPr="009255ED">
        <w:t>hospodařit,</w:t>
      </w:r>
      <w:r>
        <w:t xml:space="preserve"> </w:t>
      </w:r>
      <w:r w:rsidRPr="009255ED">
        <w:t>a</w:t>
      </w:r>
      <w:r>
        <w:t xml:space="preserve"> </w:t>
      </w:r>
      <w:r w:rsidRPr="009255ED">
        <w:t>která</w:t>
      </w:r>
      <w:r>
        <w:t xml:space="preserve"> </w:t>
      </w:r>
      <w:r w:rsidRPr="009255ED">
        <w:t>slouží</w:t>
      </w:r>
      <w:r>
        <w:t xml:space="preserve"> </w:t>
      </w:r>
      <w:r w:rsidRPr="009255ED">
        <w:t>k</w:t>
      </w:r>
    </w:p>
    <w:p w14:paraId="4B53605C" w14:textId="01952F11" w:rsidR="001965B7" w:rsidRDefault="001965B7" w:rsidP="003F4257">
      <w:pPr>
        <w:pStyle w:val="Textparagrafu"/>
        <w:tabs>
          <w:tab w:val="left" w:pos="392"/>
          <w:tab w:val="left" w:pos="840"/>
        </w:tabs>
        <w:spacing w:before="0"/>
        <w:ind w:firstLine="0"/>
      </w:pPr>
      <w:r w:rsidRPr="009255ED">
        <w:t>a)</w:t>
      </w:r>
      <w:r w:rsidR="003F4257">
        <w:tab/>
      </w:r>
      <w:r w:rsidRPr="009255ED">
        <w:t>výkonu</w:t>
      </w:r>
      <w:r>
        <w:t xml:space="preserve"> </w:t>
      </w:r>
      <w:r w:rsidRPr="009255ED">
        <w:t>působnosti</w:t>
      </w:r>
      <w:r>
        <w:t xml:space="preserve"> </w:t>
      </w:r>
      <w:r w:rsidRPr="009255ED">
        <w:t>Státního</w:t>
      </w:r>
      <w:r>
        <w:t xml:space="preserve"> </w:t>
      </w:r>
      <w:r w:rsidRPr="009255ED">
        <w:t>pozemkového</w:t>
      </w:r>
      <w:r>
        <w:t xml:space="preserve"> </w:t>
      </w:r>
      <w:r w:rsidRPr="009255ED">
        <w:t>úřadu</w:t>
      </w:r>
      <w:r>
        <w:t xml:space="preserve"> </w:t>
      </w:r>
      <w:r w:rsidRPr="009255ED">
        <w:t>a</w:t>
      </w:r>
    </w:p>
    <w:p w14:paraId="58A48F2C" w14:textId="15FC6900" w:rsidR="001965B7" w:rsidRDefault="001965B7" w:rsidP="003F4257">
      <w:pPr>
        <w:pStyle w:val="Textparagrafu"/>
        <w:tabs>
          <w:tab w:val="left" w:pos="392"/>
          <w:tab w:val="left" w:pos="840"/>
        </w:tabs>
        <w:spacing w:before="0"/>
        <w:ind w:firstLine="0"/>
      </w:pPr>
      <w:r w:rsidRPr="009255ED">
        <w:t>b)</w:t>
      </w:r>
      <w:r w:rsidR="003F4257">
        <w:tab/>
      </w:r>
      <w:r w:rsidRPr="009255ED">
        <w:t>uskutečnění</w:t>
      </w:r>
      <w:r>
        <w:t xml:space="preserve"> </w:t>
      </w:r>
      <w:r w:rsidRPr="009255ED">
        <w:t>rozvojových</w:t>
      </w:r>
      <w:r>
        <w:t xml:space="preserve"> </w:t>
      </w:r>
      <w:r w:rsidRPr="009255ED">
        <w:t>programů</w:t>
      </w:r>
      <w:r>
        <w:t xml:space="preserve"> </w:t>
      </w:r>
      <w:r w:rsidRPr="009255ED">
        <w:t>státu</w:t>
      </w:r>
      <w:r>
        <w:t xml:space="preserve"> </w:t>
      </w:r>
      <w:r w:rsidRPr="009255ED">
        <w:t>schválených</w:t>
      </w:r>
      <w:r>
        <w:t xml:space="preserve"> </w:t>
      </w:r>
      <w:r w:rsidRPr="009255ED">
        <w:t>vládou.</w:t>
      </w:r>
    </w:p>
    <w:p w14:paraId="3C157E73" w14:textId="5CB1088F" w:rsidR="001965B7" w:rsidRDefault="001965B7" w:rsidP="005D3450">
      <w:pPr>
        <w:pStyle w:val="Textparagrafu"/>
        <w:tabs>
          <w:tab w:val="left" w:pos="392"/>
          <w:tab w:val="left" w:pos="840"/>
        </w:tabs>
        <w:spacing w:before="120" w:after="120"/>
      </w:pPr>
      <w:r w:rsidRPr="009255ED">
        <w:lastRenderedPageBreak/>
        <w:t>(2)</w:t>
      </w:r>
      <w:r>
        <w:t xml:space="preserve"> </w:t>
      </w:r>
      <w:r w:rsidRPr="009255ED">
        <w:t>Vytvoření</w:t>
      </w:r>
      <w:r>
        <w:t xml:space="preserve"> </w:t>
      </w:r>
      <w:r w:rsidRPr="009255ED">
        <w:t>a</w:t>
      </w:r>
      <w:r>
        <w:t xml:space="preserve"> </w:t>
      </w:r>
      <w:r w:rsidRPr="009255ED">
        <w:t>zachování</w:t>
      </w:r>
      <w:r>
        <w:t xml:space="preserve"> </w:t>
      </w:r>
      <w:r w:rsidRPr="009255ED">
        <w:t>potřebného</w:t>
      </w:r>
      <w:r>
        <w:t xml:space="preserve"> </w:t>
      </w:r>
      <w:r w:rsidRPr="009255ED">
        <w:t>rozsahu</w:t>
      </w:r>
      <w:r>
        <w:t xml:space="preserve"> </w:t>
      </w:r>
      <w:r w:rsidRPr="009255ED">
        <w:t>a</w:t>
      </w:r>
      <w:r>
        <w:t xml:space="preserve"> </w:t>
      </w:r>
      <w:r w:rsidRPr="009255ED">
        <w:t>složení</w:t>
      </w:r>
      <w:r>
        <w:t xml:space="preserve"> </w:t>
      </w:r>
      <w:r w:rsidRPr="009255ED">
        <w:t>rezervy</w:t>
      </w:r>
      <w:r>
        <w:t xml:space="preserve"> </w:t>
      </w:r>
      <w:r w:rsidRPr="009255ED">
        <w:t>podle</w:t>
      </w:r>
      <w:r>
        <w:t xml:space="preserve"> </w:t>
      </w:r>
      <w:r w:rsidRPr="009255ED">
        <w:t>odstavce</w:t>
      </w:r>
      <w:r>
        <w:t xml:space="preserve"> </w:t>
      </w:r>
      <w:r w:rsidRPr="009255ED">
        <w:t>1</w:t>
      </w:r>
      <w:r>
        <w:t xml:space="preserve"> </w:t>
      </w:r>
      <w:r w:rsidRPr="009255ED">
        <w:t>zajišťuje</w:t>
      </w:r>
      <w:r>
        <w:t xml:space="preserve"> </w:t>
      </w:r>
      <w:r w:rsidRPr="009255ED">
        <w:t>Státní</w:t>
      </w:r>
      <w:r>
        <w:t xml:space="preserve"> </w:t>
      </w:r>
      <w:r w:rsidRPr="009255ED">
        <w:t>pozemkový</w:t>
      </w:r>
      <w:r>
        <w:t xml:space="preserve"> </w:t>
      </w:r>
      <w:r w:rsidRPr="009255ED">
        <w:t>úřad</w:t>
      </w:r>
      <w:r>
        <w:t xml:space="preserve"> </w:t>
      </w:r>
      <w:r w:rsidRPr="009255ED">
        <w:t>zejména</w:t>
      </w:r>
      <w:r>
        <w:t xml:space="preserve"> </w:t>
      </w:r>
      <w:r w:rsidRPr="009255ED">
        <w:t>směnou</w:t>
      </w:r>
      <w:r>
        <w:t xml:space="preserve"> </w:t>
      </w:r>
      <w:r w:rsidRPr="009255ED">
        <w:t>a</w:t>
      </w:r>
      <w:r>
        <w:t xml:space="preserve"> </w:t>
      </w:r>
      <w:r w:rsidRPr="009255ED">
        <w:t>koupí.</w:t>
      </w:r>
      <w:r>
        <w:t xml:space="preserve"> </w:t>
      </w:r>
      <w:r w:rsidRPr="009255ED">
        <w:t>Celková</w:t>
      </w:r>
      <w:r>
        <w:t xml:space="preserve"> </w:t>
      </w:r>
      <w:r w:rsidRPr="009255ED">
        <w:t>výměra</w:t>
      </w:r>
      <w:r>
        <w:t xml:space="preserve"> </w:t>
      </w:r>
      <w:r w:rsidRPr="009255ED">
        <w:t>části</w:t>
      </w:r>
      <w:r>
        <w:t xml:space="preserve"> </w:t>
      </w:r>
      <w:r w:rsidRPr="009255ED">
        <w:t>rezervy</w:t>
      </w:r>
      <w:r>
        <w:t xml:space="preserve"> </w:t>
      </w:r>
      <w:r w:rsidRPr="009255ED">
        <w:t>podle</w:t>
      </w:r>
      <w:r>
        <w:t xml:space="preserve"> </w:t>
      </w:r>
      <w:r w:rsidRPr="009255ED">
        <w:t>odstavce</w:t>
      </w:r>
      <w:r>
        <w:t xml:space="preserve"> </w:t>
      </w:r>
      <w:r w:rsidRPr="009255ED">
        <w:t>1</w:t>
      </w:r>
      <w:r>
        <w:t xml:space="preserve"> </w:t>
      </w:r>
      <w:r w:rsidRPr="009255ED">
        <w:t>písm.</w:t>
      </w:r>
      <w:r>
        <w:t xml:space="preserve"> </w:t>
      </w:r>
      <w:r w:rsidRPr="009255ED">
        <w:t>a)</w:t>
      </w:r>
      <w:r>
        <w:t xml:space="preserve"> </w:t>
      </w:r>
      <w:r w:rsidRPr="009255ED">
        <w:t>nesmí</w:t>
      </w:r>
      <w:r>
        <w:t xml:space="preserve"> </w:t>
      </w:r>
      <w:r w:rsidRPr="009255ED">
        <w:t>klesnout</w:t>
      </w:r>
      <w:r>
        <w:t xml:space="preserve"> </w:t>
      </w:r>
      <w:r w:rsidRPr="009255ED">
        <w:t>pod</w:t>
      </w:r>
      <w:r>
        <w:t xml:space="preserve"> </w:t>
      </w:r>
      <w:r w:rsidRPr="009255ED">
        <w:t>50</w:t>
      </w:r>
      <w:r>
        <w:t xml:space="preserve"> </w:t>
      </w:r>
      <w:r w:rsidRPr="009255ED">
        <w:t>000</w:t>
      </w:r>
      <w:r>
        <w:t xml:space="preserve"> </w:t>
      </w:r>
      <w:r w:rsidRPr="009255ED">
        <w:t>ha.</w:t>
      </w:r>
      <w:r>
        <w:t xml:space="preserve"> </w:t>
      </w:r>
      <w:r w:rsidRPr="009255ED">
        <w:t>Směna</w:t>
      </w:r>
      <w:r>
        <w:t xml:space="preserve"> </w:t>
      </w:r>
      <w:r w:rsidRPr="009255ED">
        <w:t>a</w:t>
      </w:r>
      <w:r>
        <w:t xml:space="preserve"> </w:t>
      </w:r>
      <w:r w:rsidRPr="009255ED">
        <w:t>koupě</w:t>
      </w:r>
      <w:r>
        <w:t xml:space="preserve"> </w:t>
      </w:r>
      <w:r w:rsidRPr="009255ED">
        <w:t>pozemků</w:t>
      </w:r>
      <w:r>
        <w:t xml:space="preserve"> </w:t>
      </w:r>
      <w:r w:rsidRPr="009255ED">
        <w:t>se</w:t>
      </w:r>
      <w:r>
        <w:t xml:space="preserve"> </w:t>
      </w:r>
      <w:r w:rsidRPr="009255ED">
        <w:t>uskutečňují</w:t>
      </w:r>
      <w:r>
        <w:t xml:space="preserve"> </w:t>
      </w:r>
      <w:r w:rsidRPr="009255ED">
        <w:t>nejvýše</w:t>
      </w:r>
      <w:r>
        <w:t xml:space="preserve"> </w:t>
      </w:r>
      <w:r w:rsidRPr="009255ED">
        <w:t>za</w:t>
      </w:r>
      <w:r>
        <w:t xml:space="preserve"> </w:t>
      </w:r>
      <w:r w:rsidRPr="00DA22D1">
        <w:rPr>
          <w:strike/>
        </w:rPr>
        <w:t xml:space="preserve">cenu </w:t>
      </w:r>
      <w:r w:rsidR="004749D9" w:rsidRPr="00DA22D1">
        <w:rPr>
          <w:strike/>
        </w:rPr>
        <w:t>obvyklou</w:t>
      </w:r>
      <w:r w:rsidR="004749D9" w:rsidRPr="00DA22D1">
        <w:rPr>
          <w:rStyle w:val="Znakapoznpodarou"/>
          <w:strike/>
        </w:rPr>
        <w:footnoteReference w:customMarkFollows="1" w:id="535"/>
        <w:t>38)</w:t>
      </w:r>
      <w:r w:rsidR="00DA22D1">
        <w:t xml:space="preserve"> </w:t>
      </w:r>
      <w:r w:rsidR="00DA22D1" w:rsidRPr="00DA22D1">
        <w:rPr>
          <w:b/>
        </w:rPr>
        <w:t>obvyklou hodnotu</w:t>
      </w:r>
      <w:r w:rsidRPr="009255ED">
        <w:t>.</w:t>
      </w:r>
    </w:p>
    <w:p w14:paraId="1FA0D819" w14:textId="77777777" w:rsidR="001965B7" w:rsidRDefault="001965B7" w:rsidP="005D3450">
      <w:pPr>
        <w:pStyle w:val="Textparagrafu"/>
        <w:tabs>
          <w:tab w:val="left" w:pos="392"/>
          <w:tab w:val="left" w:pos="840"/>
        </w:tabs>
        <w:spacing w:before="120" w:after="120"/>
      </w:pPr>
      <w:r w:rsidRPr="009255ED">
        <w:t>(3)</w:t>
      </w:r>
      <w:r>
        <w:t xml:space="preserve"> </w:t>
      </w:r>
      <w:r w:rsidRPr="009255ED">
        <w:t>Je-li</w:t>
      </w:r>
      <w:r>
        <w:t xml:space="preserve"> </w:t>
      </w:r>
      <w:r w:rsidRPr="009255ED">
        <w:t>pozemek</w:t>
      </w:r>
      <w:r>
        <w:t xml:space="preserve"> </w:t>
      </w:r>
      <w:r w:rsidRPr="009255ED">
        <w:t>vedený</w:t>
      </w:r>
      <w:r>
        <w:t xml:space="preserve"> </w:t>
      </w:r>
      <w:r w:rsidRPr="009255ED">
        <w:t>v</w:t>
      </w:r>
      <w:r>
        <w:t xml:space="preserve"> </w:t>
      </w:r>
      <w:r w:rsidRPr="009255ED">
        <w:t>rezervě</w:t>
      </w:r>
      <w:r>
        <w:t xml:space="preserve"> </w:t>
      </w:r>
      <w:r w:rsidRPr="009255ED">
        <w:t>podle</w:t>
      </w:r>
      <w:r>
        <w:t xml:space="preserve"> </w:t>
      </w:r>
      <w:r w:rsidRPr="009255ED">
        <w:t>odstavce</w:t>
      </w:r>
      <w:r>
        <w:t xml:space="preserve"> </w:t>
      </w:r>
      <w:r w:rsidRPr="009255ED">
        <w:t>1</w:t>
      </w:r>
      <w:r>
        <w:t xml:space="preserve"> </w:t>
      </w:r>
      <w:r w:rsidRPr="009255ED">
        <w:t>písm.</w:t>
      </w:r>
      <w:r>
        <w:t xml:space="preserve"> </w:t>
      </w:r>
      <w:r w:rsidRPr="009255ED">
        <w:t>a)</w:t>
      </w:r>
      <w:r>
        <w:t xml:space="preserve"> </w:t>
      </w:r>
      <w:r w:rsidRPr="009255ED">
        <w:t>potřebný</w:t>
      </w:r>
      <w:r>
        <w:t xml:space="preserve"> </w:t>
      </w:r>
      <w:r w:rsidRPr="009255ED">
        <w:t>k</w:t>
      </w:r>
      <w:r>
        <w:t xml:space="preserve"> </w:t>
      </w:r>
      <w:r w:rsidRPr="009255ED">
        <w:t>uskutečnění</w:t>
      </w:r>
      <w:r>
        <w:t xml:space="preserve"> </w:t>
      </w:r>
      <w:r w:rsidRPr="009255ED">
        <w:t>vládou</w:t>
      </w:r>
      <w:r>
        <w:t xml:space="preserve"> </w:t>
      </w:r>
      <w:r w:rsidRPr="009255ED">
        <w:t>schváleného</w:t>
      </w:r>
      <w:r>
        <w:t xml:space="preserve"> </w:t>
      </w:r>
      <w:r w:rsidRPr="009255ED">
        <w:t>rozvojového</w:t>
      </w:r>
      <w:r>
        <w:t xml:space="preserve"> </w:t>
      </w:r>
      <w:r w:rsidRPr="009255ED">
        <w:t>programu</w:t>
      </w:r>
      <w:r>
        <w:t xml:space="preserve"> </w:t>
      </w:r>
      <w:r w:rsidRPr="009255ED">
        <w:t>státu,</w:t>
      </w:r>
      <w:r>
        <w:t xml:space="preserve"> </w:t>
      </w:r>
      <w:r w:rsidRPr="009255ED">
        <w:t>převede</w:t>
      </w:r>
      <w:r>
        <w:t xml:space="preserve"> </w:t>
      </w:r>
      <w:r w:rsidRPr="009255ED">
        <w:t>jej</w:t>
      </w:r>
      <w:r>
        <w:t xml:space="preserve"> </w:t>
      </w:r>
      <w:r w:rsidRPr="009255ED">
        <w:t>Státní</w:t>
      </w:r>
      <w:r>
        <w:t xml:space="preserve"> </w:t>
      </w:r>
      <w:r w:rsidRPr="009255ED">
        <w:t>pozemkový</w:t>
      </w:r>
      <w:r>
        <w:t xml:space="preserve"> </w:t>
      </w:r>
      <w:r w:rsidRPr="009255ED">
        <w:t>úřad</w:t>
      </w:r>
      <w:r>
        <w:t xml:space="preserve"> </w:t>
      </w:r>
      <w:r w:rsidRPr="009255ED">
        <w:t>rozhodnutím</w:t>
      </w:r>
      <w:r>
        <w:t xml:space="preserve"> </w:t>
      </w:r>
      <w:r w:rsidRPr="009255ED">
        <w:t>vydávaným</w:t>
      </w:r>
      <w:r>
        <w:t xml:space="preserve"> </w:t>
      </w:r>
      <w:r w:rsidRPr="009255ED">
        <w:t>z</w:t>
      </w:r>
      <w:r>
        <w:t xml:space="preserve"> </w:t>
      </w:r>
      <w:r w:rsidRPr="009255ED">
        <w:t>moci</w:t>
      </w:r>
      <w:r>
        <w:t xml:space="preserve"> </w:t>
      </w:r>
      <w:r w:rsidRPr="009255ED">
        <w:t>úřední</w:t>
      </w:r>
      <w:r>
        <w:t xml:space="preserve"> </w:t>
      </w:r>
      <w:r w:rsidRPr="009255ED">
        <w:t>do</w:t>
      </w:r>
      <w:r>
        <w:t xml:space="preserve"> </w:t>
      </w:r>
      <w:r w:rsidRPr="009255ED">
        <w:t>rezervy</w:t>
      </w:r>
      <w:r>
        <w:t xml:space="preserve"> </w:t>
      </w:r>
      <w:r w:rsidRPr="009255ED">
        <w:t>podle</w:t>
      </w:r>
      <w:r>
        <w:t xml:space="preserve"> </w:t>
      </w:r>
      <w:r w:rsidRPr="009255ED">
        <w:t>odstavce</w:t>
      </w:r>
      <w:r>
        <w:t xml:space="preserve"> </w:t>
      </w:r>
      <w:r w:rsidRPr="009255ED">
        <w:t>1</w:t>
      </w:r>
      <w:r>
        <w:t xml:space="preserve"> </w:t>
      </w:r>
      <w:r w:rsidRPr="009255ED">
        <w:t>písm.</w:t>
      </w:r>
      <w:r>
        <w:t xml:space="preserve"> </w:t>
      </w:r>
      <w:r w:rsidRPr="009255ED">
        <w:t>b)</w:t>
      </w:r>
      <w:r>
        <w:t xml:space="preserve"> </w:t>
      </w:r>
      <w:r w:rsidRPr="009255ED">
        <w:t>a</w:t>
      </w:r>
      <w:r>
        <w:t xml:space="preserve"> </w:t>
      </w:r>
      <w:r w:rsidRPr="009255ED">
        <w:t>do</w:t>
      </w:r>
      <w:r>
        <w:t xml:space="preserve"> </w:t>
      </w:r>
      <w:r w:rsidRPr="009255ED">
        <w:t>15</w:t>
      </w:r>
      <w:r>
        <w:t xml:space="preserve"> </w:t>
      </w:r>
      <w:r w:rsidRPr="009255ED">
        <w:t>pracovních</w:t>
      </w:r>
      <w:r>
        <w:t xml:space="preserve"> </w:t>
      </w:r>
      <w:r w:rsidRPr="009255ED">
        <w:t>dnů</w:t>
      </w:r>
      <w:r>
        <w:t xml:space="preserve"> </w:t>
      </w:r>
      <w:r w:rsidRPr="009255ED">
        <w:t>od</w:t>
      </w:r>
      <w:r>
        <w:t xml:space="preserve"> </w:t>
      </w:r>
      <w:r w:rsidRPr="009255ED">
        <w:t>právní</w:t>
      </w:r>
      <w:r>
        <w:t xml:space="preserve"> </w:t>
      </w:r>
      <w:r w:rsidRPr="009255ED">
        <w:t>moci</w:t>
      </w:r>
      <w:r>
        <w:t xml:space="preserve"> </w:t>
      </w:r>
      <w:r w:rsidRPr="009255ED">
        <w:t>tohoto</w:t>
      </w:r>
      <w:r>
        <w:t xml:space="preserve"> </w:t>
      </w:r>
      <w:r w:rsidRPr="009255ED">
        <w:t>rozhodnutí</w:t>
      </w:r>
      <w:r>
        <w:t xml:space="preserve"> </w:t>
      </w:r>
      <w:r w:rsidRPr="009255ED">
        <w:t>podá</w:t>
      </w:r>
      <w:r>
        <w:t xml:space="preserve"> </w:t>
      </w:r>
      <w:r w:rsidRPr="009255ED">
        <w:t>u</w:t>
      </w:r>
      <w:r>
        <w:t xml:space="preserve"> </w:t>
      </w:r>
      <w:r w:rsidRPr="009255ED">
        <w:t>příslušného</w:t>
      </w:r>
      <w:r>
        <w:t xml:space="preserve"> </w:t>
      </w:r>
      <w:r w:rsidRPr="009255ED">
        <w:t>katastrálního</w:t>
      </w:r>
      <w:r>
        <w:t xml:space="preserve"> </w:t>
      </w:r>
      <w:r w:rsidRPr="009255ED">
        <w:t>úřadu</w:t>
      </w:r>
      <w:r>
        <w:t xml:space="preserve"> </w:t>
      </w:r>
      <w:r w:rsidRPr="009255ED">
        <w:t>návrh</w:t>
      </w:r>
      <w:r>
        <w:t xml:space="preserve"> </w:t>
      </w:r>
      <w:r w:rsidRPr="009255ED">
        <w:t>na</w:t>
      </w:r>
      <w:r>
        <w:t xml:space="preserve"> </w:t>
      </w:r>
      <w:r w:rsidRPr="009255ED">
        <w:t>zápis</w:t>
      </w:r>
      <w:r>
        <w:t xml:space="preserve"> </w:t>
      </w:r>
      <w:r w:rsidRPr="009255ED">
        <w:t>poznámky</w:t>
      </w:r>
      <w:r>
        <w:t xml:space="preserve"> </w:t>
      </w:r>
      <w:r w:rsidRPr="009255ED">
        <w:t>o</w:t>
      </w:r>
      <w:r>
        <w:t xml:space="preserve"> </w:t>
      </w:r>
      <w:r w:rsidRPr="009255ED">
        <w:t>zařazení</w:t>
      </w:r>
      <w:r>
        <w:t xml:space="preserve"> </w:t>
      </w:r>
      <w:r w:rsidRPr="009255ED">
        <w:t>převedeného</w:t>
      </w:r>
      <w:r>
        <w:t xml:space="preserve"> </w:t>
      </w:r>
      <w:r w:rsidRPr="009255ED">
        <w:t>pozemku</w:t>
      </w:r>
      <w:r>
        <w:t xml:space="preserve"> </w:t>
      </w:r>
      <w:r w:rsidRPr="009255ED">
        <w:t>do</w:t>
      </w:r>
      <w:r>
        <w:t xml:space="preserve"> </w:t>
      </w:r>
      <w:r w:rsidRPr="009255ED">
        <w:t>rezervy</w:t>
      </w:r>
      <w:r>
        <w:t xml:space="preserve"> </w:t>
      </w:r>
      <w:r w:rsidRPr="009255ED">
        <w:t>podle</w:t>
      </w:r>
      <w:r>
        <w:t xml:space="preserve"> </w:t>
      </w:r>
      <w:r w:rsidRPr="009255ED">
        <w:t>odstavce</w:t>
      </w:r>
      <w:r>
        <w:t xml:space="preserve"> </w:t>
      </w:r>
      <w:r w:rsidRPr="009255ED">
        <w:t>1</w:t>
      </w:r>
      <w:r>
        <w:t xml:space="preserve"> </w:t>
      </w:r>
      <w:r w:rsidRPr="009255ED">
        <w:t>písm.</w:t>
      </w:r>
      <w:r>
        <w:t xml:space="preserve"> </w:t>
      </w:r>
      <w:r w:rsidRPr="009255ED">
        <w:t>b).</w:t>
      </w:r>
    </w:p>
    <w:p w14:paraId="788EF425" w14:textId="77777777" w:rsidR="001965B7" w:rsidRDefault="001965B7" w:rsidP="005D3450">
      <w:pPr>
        <w:pStyle w:val="Textparagrafu"/>
        <w:tabs>
          <w:tab w:val="left" w:pos="392"/>
          <w:tab w:val="left" w:pos="840"/>
        </w:tabs>
        <w:spacing w:before="120" w:after="120"/>
      </w:pPr>
      <w:r w:rsidRPr="009255ED">
        <w:t>(4)</w:t>
      </w:r>
      <w:r>
        <w:t xml:space="preserve"> </w:t>
      </w:r>
      <w:r w:rsidRPr="009255ED">
        <w:t>Má-li</w:t>
      </w:r>
      <w:r>
        <w:t xml:space="preserve"> </w:t>
      </w:r>
      <w:r w:rsidRPr="009255ED">
        <w:t>být</w:t>
      </w:r>
      <w:r>
        <w:t xml:space="preserve"> </w:t>
      </w:r>
      <w:r w:rsidRPr="009255ED">
        <w:t>pozemek</w:t>
      </w:r>
      <w:r>
        <w:t xml:space="preserve"> </w:t>
      </w:r>
      <w:r w:rsidRPr="009255ED">
        <w:t>vedený</w:t>
      </w:r>
      <w:r>
        <w:t xml:space="preserve"> </w:t>
      </w:r>
      <w:r w:rsidRPr="009255ED">
        <w:t>v</w:t>
      </w:r>
      <w:r>
        <w:t xml:space="preserve"> </w:t>
      </w:r>
      <w:r w:rsidRPr="009255ED">
        <w:t>rezervě</w:t>
      </w:r>
      <w:r>
        <w:t xml:space="preserve"> </w:t>
      </w:r>
      <w:r w:rsidRPr="009255ED">
        <w:t>podle</w:t>
      </w:r>
      <w:r>
        <w:t xml:space="preserve"> </w:t>
      </w:r>
      <w:r w:rsidRPr="009255ED">
        <w:t>odstavce</w:t>
      </w:r>
      <w:r>
        <w:t xml:space="preserve"> </w:t>
      </w:r>
      <w:r w:rsidRPr="009255ED">
        <w:t>1</w:t>
      </w:r>
      <w:r>
        <w:t xml:space="preserve"> </w:t>
      </w:r>
      <w:r w:rsidRPr="009255ED">
        <w:t>písm.</w:t>
      </w:r>
      <w:r>
        <w:t xml:space="preserve"> </w:t>
      </w:r>
      <w:r w:rsidRPr="009255ED">
        <w:t>b)</w:t>
      </w:r>
      <w:r>
        <w:t xml:space="preserve"> </w:t>
      </w:r>
      <w:r w:rsidRPr="009255ED">
        <w:t>využit</w:t>
      </w:r>
      <w:r>
        <w:t xml:space="preserve"> </w:t>
      </w:r>
      <w:r w:rsidRPr="009255ED">
        <w:t>k</w:t>
      </w:r>
      <w:r>
        <w:t xml:space="preserve"> </w:t>
      </w:r>
      <w:r w:rsidRPr="009255ED">
        <w:t>uskutečnění</w:t>
      </w:r>
      <w:r>
        <w:t xml:space="preserve"> </w:t>
      </w:r>
      <w:r w:rsidRPr="009255ED">
        <w:t>rozvojového</w:t>
      </w:r>
      <w:r>
        <w:t xml:space="preserve"> </w:t>
      </w:r>
      <w:r w:rsidRPr="009255ED">
        <w:t>programu</w:t>
      </w:r>
      <w:r>
        <w:t xml:space="preserve"> </w:t>
      </w:r>
      <w:r w:rsidRPr="009255ED">
        <w:t>státu</w:t>
      </w:r>
      <w:r>
        <w:t xml:space="preserve"> </w:t>
      </w:r>
      <w:r w:rsidRPr="009255ED">
        <w:t>schváleného</w:t>
      </w:r>
      <w:r>
        <w:t xml:space="preserve"> </w:t>
      </w:r>
      <w:r w:rsidRPr="009255ED">
        <w:t>vládou,</w:t>
      </w:r>
      <w:r>
        <w:t xml:space="preserve"> </w:t>
      </w:r>
      <w:r w:rsidRPr="009255ED">
        <w:t>Státní</w:t>
      </w:r>
      <w:r>
        <w:t xml:space="preserve"> </w:t>
      </w:r>
      <w:r w:rsidRPr="009255ED">
        <w:t>pozemkový</w:t>
      </w:r>
      <w:r>
        <w:t xml:space="preserve"> </w:t>
      </w:r>
      <w:r w:rsidRPr="009255ED">
        <w:t>úřad</w:t>
      </w:r>
      <w:r>
        <w:t xml:space="preserve"> </w:t>
      </w:r>
      <w:r w:rsidRPr="009255ED">
        <w:t>na</w:t>
      </w:r>
      <w:r>
        <w:t xml:space="preserve"> </w:t>
      </w:r>
      <w:r w:rsidRPr="009255ED">
        <w:t>základě</w:t>
      </w:r>
      <w:r>
        <w:t xml:space="preserve"> </w:t>
      </w:r>
      <w:r w:rsidRPr="009255ED">
        <w:t>pravomocného</w:t>
      </w:r>
      <w:r>
        <w:t xml:space="preserve"> </w:t>
      </w:r>
      <w:r w:rsidRPr="009255ED">
        <w:t>rozhodnutí</w:t>
      </w:r>
      <w:r>
        <w:t xml:space="preserve"> </w:t>
      </w:r>
      <w:r w:rsidRPr="009255ED">
        <w:t>o</w:t>
      </w:r>
      <w:r>
        <w:t xml:space="preserve"> </w:t>
      </w:r>
      <w:r w:rsidRPr="009255ED">
        <w:t>umístění</w:t>
      </w:r>
      <w:r>
        <w:t xml:space="preserve"> </w:t>
      </w:r>
      <w:r w:rsidRPr="009255ED">
        <w:t>stavby,</w:t>
      </w:r>
      <w:r>
        <w:t xml:space="preserve"> </w:t>
      </w:r>
      <w:r w:rsidRPr="009255ED">
        <w:t>kterým</w:t>
      </w:r>
      <w:r>
        <w:t xml:space="preserve"> </w:t>
      </w:r>
      <w:r w:rsidRPr="009255ED">
        <w:t>je</w:t>
      </w:r>
      <w:r>
        <w:t xml:space="preserve"> </w:t>
      </w:r>
      <w:r w:rsidRPr="009255ED">
        <w:t>takový</w:t>
      </w:r>
      <w:r>
        <w:t xml:space="preserve"> </w:t>
      </w:r>
      <w:r w:rsidRPr="009255ED">
        <w:t>pozemek</w:t>
      </w:r>
      <w:r>
        <w:t xml:space="preserve"> </w:t>
      </w:r>
      <w:r w:rsidRPr="009255ED">
        <w:t>dotčen,</w:t>
      </w:r>
      <w:r>
        <w:t xml:space="preserve"> </w:t>
      </w:r>
      <w:r w:rsidRPr="009255ED">
        <w:t>popřípadě</w:t>
      </w:r>
      <w:r>
        <w:t xml:space="preserve"> </w:t>
      </w:r>
      <w:r w:rsidRPr="009255ED">
        <w:t>na</w:t>
      </w:r>
      <w:r>
        <w:t xml:space="preserve"> </w:t>
      </w:r>
      <w:r w:rsidRPr="009255ED">
        <w:t>základě</w:t>
      </w:r>
      <w:r>
        <w:t xml:space="preserve"> </w:t>
      </w:r>
      <w:r w:rsidRPr="009255ED">
        <w:t>územního</w:t>
      </w:r>
      <w:r>
        <w:t xml:space="preserve"> </w:t>
      </w:r>
      <w:r w:rsidRPr="009255ED">
        <w:t>souhlasu</w:t>
      </w:r>
      <w:r>
        <w:t xml:space="preserve"> </w:t>
      </w:r>
      <w:r w:rsidRPr="009255ED">
        <w:t>nebo</w:t>
      </w:r>
      <w:r>
        <w:t xml:space="preserve"> </w:t>
      </w:r>
      <w:r w:rsidRPr="009255ED">
        <w:t>veřejnoprávní</w:t>
      </w:r>
      <w:r>
        <w:t xml:space="preserve"> </w:t>
      </w:r>
      <w:r w:rsidRPr="009255ED">
        <w:t>smlouvy,</w:t>
      </w:r>
      <w:r>
        <w:t xml:space="preserve"> </w:t>
      </w:r>
      <w:r w:rsidRPr="009255ED">
        <w:t>jimiž</w:t>
      </w:r>
      <w:r>
        <w:t xml:space="preserve"> </w:t>
      </w:r>
      <w:r w:rsidRPr="009255ED">
        <w:t>může</w:t>
      </w:r>
      <w:r>
        <w:t xml:space="preserve"> </w:t>
      </w:r>
      <w:r w:rsidRPr="009255ED">
        <w:t>být</w:t>
      </w:r>
      <w:r>
        <w:t xml:space="preserve"> </w:t>
      </w:r>
      <w:r w:rsidRPr="009255ED">
        <w:t>rozhodnutí</w:t>
      </w:r>
      <w:r>
        <w:t xml:space="preserve"> </w:t>
      </w:r>
      <w:r w:rsidRPr="009255ED">
        <w:t>o</w:t>
      </w:r>
      <w:r>
        <w:t xml:space="preserve"> </w:t>
      </w:r>
      <w:r w:rsidRPr="009255ED">
        <w:t>umístění</w:t>
      </w:r>
      <w:r>
        <w:t xml:space="preserve"> </w:t>
      </w:r>
      <w:r w:rsidRPr="009255ED">
        <w:t>stavby</w:t>
      </w:r>
      <w:r>
        <w:t xml:space="preserve"> </w:t>
      </w:r>
      <w:r w:rsidRPr="009255ED">
        <w:t>podle</w:t>
      </w:r>
      <w:r>
        <w:t xml:space="preserve"> </w:t>
      </w:r>
      <w:r w:rsidRPr="009255ED">
        <w:t>stavebního</w:t>
      </w:r>
      <w:r>
        <w:t xml:space="preserve"> </w:t>
      </w:r>
      <w:r w:rsidRPr="009255ED">
        <w:t>zákona</w:t>
      </w:r>
      <w:r>
        <w:t xml:space="preserve"> </w:t>
      </w:r>
      <w:r w:rsidRPr="009255ED">
        <w:t>nahrazeno,</w:t>
      </w:r>
      <w:r>
        <w:t xml:space="preserve"> </w:t>
      </w:r>
      <w:r w:rsidRPr="009255ED">
        <w:t>bezúplatně</w:t>
      </w:r>
      <w:r>
        <w:t xml:space="preserve"> </w:t>
      </w:r>
      <w:r w:rsidRPr="009255ED">
        <w:t>převede</w:t>
      </w:r>
      <w:r>
        <w:t xml:space="preserve"> </w:t>
      </w:r>
      <w:r w:rsidRPr="009255ED">
        <w:t>příslušnost</w:t>
      </w:r>
      <w:r>
        <w:t xml:space="preserve"> </w:t>
      </w:r>
      <w:r w:rsidRPr="009255ED">
        <w:t>hospodaření</w:t>
      </w:r>
      <w:r>
        <w:t xml:space="preserve"> </w:t>
      </w:r>
      <w:r w:rsidRPr="009255ED">
        <w:t>k</w:t>
      </w:r>
      <w:r>
        <w:t xml:space="preserve"> </w:t>
      </w:r>
      <w:r w:rsidRPr="009255ED">
        <w:t>tomuto</w:t>
      </w:r>
      <w:r>
        <w:t xml:space="preserve"> </w:t>
      </w:r>
      <w:r w:rsidRPr="009255ED">
        <w:t>pozemku</w:t>
      </w:r>
      <w:r>
        <w:t xml:space="preserve"> </w:t>
      </w:r>
      <w:r w:rsidRPr="009255ED">
        <w:t>nebo</w:t>
      </w:r>
      <w:r>
        <w:t xml:space="preserve"> </w:t>
      </w:r>
      <w:r w:rsidRPr="009255ED">
        <w:t>jeho</w:t>
      </w:r>
      <w:r>
        <w:t xml:space="preserve"> </w:t>
      </w:r>
      <w:r w:rsidRPr="009255ED">
        <w:t>nezbytné</w:t>
      </w:r>
      <w:r>
        <w:t xml:space="preserve"> </w:t>
      </w:r>
      <w:r w:rsidRPr="009255ED">
        <w:t>oddělené</w:t>
      </w:r>
      <w:r>
        <w:t xml:space="preserve"> </w:t>
      </w:r>
      <w:r w:rsidRPr="009255ED">
        <w:t>části</w:t>
      </w:r>
      <w:r>
        <w:t xml:space="preserve"> </w:t>
      </w:r>
      <w:r w:rsidRPr="009255ED">
        <w:t>v</w:t>
      </w:r>
      <w:r>
        <w:t xml:space="preserve"> </w:t>
      </w:r>
      <w:r w:rsidRPr="009255ED">
        <w:t>podobě</w:t>
      </w:r>
      <w:r>
        <w:t xml:space="preserve"> </w:t>
      </w:r>
      <w:r w:rsidRPr="009255ED">
        <w:t>parcely</w:t>
      </w:r>
      <w:r>
        <w:t xml:space="preserve"> </w:t>
      </w:r>
      <w:r w:rsidRPr="009255ED">
        <w:t>ve</w:t>
      </w:r>
      <w:r>
        <w:t xml:space="preserve"> </w:t>
      </w:r>
      <w:r w:rsidRPr="009255ED">
        <w:t>prospěch</w:t>
      </w:r>
      <w:r>
        <w:t xml:space="preserve"> </w:t>
      </w:r>
      <w:r w:rsidRPr="009255ED">
        <w:t>ústředního</w:t>
      </w:r>
      <w:r>
        <w:t xml:space="preserve"> </w:t>
      </w:r>
      <w:r w:rsidRPr="009255ED">
        <w:t>správního</w:t>
      </w:r>
      <w:r>
        <w:t xml:space="preserve"> </w:t>
      </w:r>
      <w:r w:rsidRPr="009255ED">
        <w:t>úřadu,</w:t>
      </w:r>
      <w:r>
        <w:t xml:space="preserve"> </w:t>
      </w:r>
      <w:r w:rsidRPr="009255ED">
        <w:t>pro</w:t>
      </w:r>
      <w:r>
        <w:t xml:space="preserve"> </w:t>
      </w:r>
      <w:r w:rsidRPr="009255ED">
        <w:t>který</w:t>
      </w:r>
      <w:r>
        <w:t xml:space="preserve"> </w:t>
      </w:r>
      <w:r w:rsidRPr="009255ED">
        <w:t>byla</w:t>
      </w:r>
      <w:r>
        <w:t xml:space="preserve"> </w:t>
      </w:r>
      <w:r w:rsidRPr="009255ED">
        <w:t>tato</w:t>
      </w:r>
      <w:r>
        <w:t xml:space="preserve"> </w:t>
      </w:r>
      <w:r w:rsidRPr="009255ED">
        <w:t>rezerva</w:t>
      </w:r>
      <w:r>
        <w:t xml:space="preserve"> </w:t>
      </w:r>
      <w:r w:rsidRPr="009255ED">
        <w:t>vytvořena,</w:t>
      </w:r>
      <w:r>
        <w:t xml:space="preserve"> </w:t>
      </w:r>
      <w:r w:rsidRPr="009255ED">
        <w:t>nebo</w:t>
      </w:r>
      <w:r>
        <w:t xml:space="preserve"> </w:t>
      </w:r>
      <w:r w:rsidRPr="009255ED">
        <w:t>s</w:t>
      </w:r>
      <w:r>
        <w:t xml:space="preserve"> </w:t>
      </w:r>
      <w:r w:rsidRPr="009255ED">
        <w:t>jeho</w:t>
      </w:r>
      <w:r>
        <w:t xml:space="preserve"> </w:t>
      </w:r>
      <w:r w:rsidRPr="009255ED">
        <w:t>písemným</w:t>
      </w:r>
      <w:r>
        <w:t xml:space="preserve"> </w:t>
      </w:r>
      <w:r w:rsidRPr="009255ED">
        <w:t>souhlasem</w:t>
      </w:r>
      <w:r>
        <w:t xml:space="preserve"> </w:t>
      </w:r>
      <w:r w:rsidRPr="009255ED">
        <w:t>na</w:t>
      </w:r>
      <w:r>
        <w:t xml:space="preserve"> </w:t>
      </w:r>
      <w:r w:rsidRPr="009255ED">
        <w:t>jím</w:t>
      </w:r>
      <w:r>
        <w:t xml:space="preserve"> </w:t>
      </w:r>
      <w:r w:rsidRPr="009255ED">
        <w:t>zřízenou</w:t>
      </w:r>
      <w:r>
        <w:t xml:space="preserve"> </w:t>
      </w:r>
      <w:r w:rsidRPr="009255ED">
        <w:t>příspěvkovou</w:t>
      </w:r>
      <w:r>
        <w:t xml:space="preserve"> </w:t>
      </w:r>
      <w:r w:rsidRPr="009255ED">
        <w:t>organizaci,</w:t>
      </w:r>
      <w:r>
        <w:t xml:space="preserve"> </w:t>
      </w:r>
      <w:r w:rsidRPr="009255ED">
        <w:t>založený</w:t>
      </w:r>
      <w:r>
        <w:t xml:space="preserve"> </w:t>
      </w:r>
      <w:r w:rsidRPr="009255ED">
        <w:t>státní</w:t>
      </w:r>
      <w:r>
        <w:t xml:space="preserve"> </w:t>
      </w:r>
      <w:r w:rsidRPr="009255ED">
        <w:t>podnik</w:t>
      </w:r>
      <w:r>
        <w:t xml:space="preserve"> </w:t>
      </w:r>
      <w:r w:rsidRPr="009255ED">
        <w:t>nebo</w:t>
      </w:r>
      <w:r>
        <w:t xml:space="preserve"> </w:t>
      </w:r>
      <w:r w:rsidRPr="009255ED">
        <w:t>jemu</w:t>
      </w:r>
      <w:r>
        <w:t xml:space="preserve"> </w:t>
      </w:r>
      <w:r w:rsidRPr="009255ED">
        <w:t>podřízenou</w:t>
      </w:r>
      <w:r>
        <w:t xml:space="preserve"> </w:t>
      </w:r>
      <w:r w:rsidRPr="009255ED">
        <w:t>organizační</w:t>
      </w:r>
      <w:r>
        <w:t xml:space="preserve"> </w:t>
      </w:r>
      <w:r w:rsidRPr="009255ED">
        <w:t>složku</w:t>
      </w:r>
      <w:r>
        <w:t xml:space="preserve"> </w:t>
      </w:r>
      <w:r w:rsidRPr="009255ED">
        <w:t>státu.</w:t>
      </w:r>
      <w:r>
        <w:t xml:space="preserve"> </w:t>
      </w:r>
      <w:r w:rsidRPr="009255ED">
        <w:t>Státní</w:t>
      </w:r>
      <w:r>
        <w:t xml:space="preserve"> </w:t>
      </w:r>
      <w:r w:rsidRPr="009255ED">
        <w:t>pozemkový</w:t>
      </w:r>
      <w:r>
        <w:t xml:space="preserve"> </w:t>
      </w:r>
      <w:r w:rsidRPr="009255ED">
        <w:t>úřad</w:t>
      </w:r>
      <w:r>
        <w:t xml:space="preserve"> </w:t>
      </w:r>
      <w:r w:rsidRPr="009255ED">
        <w:t>podá</w:t>
      </w:r>
      <w:r>
        <w:t xml:space="preserve"> </w:t>
      </w:r>
      <w:r w:rsidRPr="009255ED">
        <w:t>do</w:t>
      </w:r>
      <w:r>
        <w:t xml:space="preserve"> </w:t>
      </w:r>
      <w:r w:rsidRPr="009255ED">
        <w:t>15</w:t>
      </w:r>
      <w:r>
        <w:t xml:space="preserve"> </w:t>
      </w:r>
      <w:r w:rsidRPr="009255ED">
        <w:t>pracovních</w:t>
      </w:r>
      <w:r>
        <w:t xml:space="preserve"> </w:t>
      </w:r>
      <w:r w:rsidRPr="009255ED">
        <w:t>dnů</w:t>
      </w:r>
      <w:r>
        <w:t xml:space="preserve"> </w:t>
      </w:r>
      <w:r w:rsidRPr="009255ED">
        <w:t>od</w:t>
      </w:r>
      <w:r>
        <w:t xml:space="preserve"> </w:t>
      </w:r>
      <w:r w:rsidRPr="009255ED">
        <w:t>data</w:t>
      </w:r>
      <w:r>
        <w:t xml:space="preserve"> </w:t>
      </w:r>
      <w:r w:rsidRPr="009255ED">
        <w:t>převedení</w:t>
      </w:r>
      <w:r>
        <w:t xml:space="preserve"> </w:t>
      </w:r>
      <w:r w:rsidRPr="009255ED">
        <w:t>příslušnosti</w:t>
      </w:r>
      <w:r>
        <w:t xml:space="preserve"> </w:t>
      </w:r>
      <w:r w:rsidRPr="009255ED">
        <w:t>hospodaření</w:t>
      </w:r>
      <w:r>
        <w:t xml:space="preserve"> </w:t>
      </w:r>
      <w:r w:rsidRPr="009255ED">
        <w:t>podle</w:t>
      </w:r>
      <w:r>
        <w:t xml:space="preserve"> </w:t>
      </w:r>
      <w:r w:rsidRPr="009255ED">
        <w:t>věty</w:t>
      </w:r>
      <w:r>
        <w:t xml:space="preserve"> </w:t>
      </w:r>
      <w:r w:rsidRPr="009255ED">
        <w:t>první</w:t>
      </w:r>
      <w:r>
        <w:t xml:space="preserve"> </w:t>
      </w:r>
      <w:r w:rsidRPr="009255ED">
        <w:t>u</w:t>
      </w:r>
      <w:r>
        <w:t xml:space="preserve"> </w:t>
      </w:r>
      <w:r w:rsidRPr="009255ED">
        <w:t>příslušného</w:t>
      </w:r>
      <w:r>
        <w:t xml:space="preserve"> </w:t>
      </w:r>
      <w:r w:rsidRPr="009255ED">
        <w:t>katastrálního</w:t>
      </w:r>
      <w:r>
        <w:t xml:space="preserve"> </w:t>
      </w:r>
      <w:r w:rsidRPr="009255ED">
        <w:t>úřadu</w:t>
      </w:r>
      <w:r>
        <w:t xml:space="preserve"> </w:t>
      </w:r>
      <w:r w:rsidRPr="009255ED">
        <w:t>návrh</w:t>
      </w:r>
      <w:r>
        <w:t xml:space="preserve"> </w:t>
      </w:r>
      <w:r w:rsidRPr="009255ED">
        <w:t>na</w:t>
      </w:r>
      <w:r>
        <w:t xml:space="preserve"> </w:t>
      </w:r>
      <w:r w:rsidRPr="009255ED">
        <w:t>zápis</w:t>
      </w:r>
      <w:r>
        <w:t xml:space="preserve"> </w:t>
      </w:r>
      <w:r w:rsidRPr="009255ED">
        <w:t>změny</w:t>
      </w:r>
      <w:r>
        <w:t xml:space="preserve"> </w:t>
      </w:r>
      <w:r w:rsidRPr="009255ED">
        <w:t>příslušnosti</w:t>
      </w:r>
      <w:r>
        <w:t xml:space="preserve"> </w:t>
      </w:r>
      <w:r w:rsidRPr="009255ED">
        <w:t>hospodaření</w:t>
      </w:r>
      <w:r>
        <w:t xml:space="preserve"> </w:t>
      </w:r>
      <w:r w:rsidRPr="009255ED">
        <w:t>společně</w:t>
      </w:r>
      <w:r>
        <w:t xml:space="preserve"> </w:t>
      </w:r>
      <w:r w:rsidRPr="009255ED">
        <w:t>s</w:t>
      </w:r>
      <w:r>
        <w:t xml:space="preserve"> </w:t>
      </w:r>
      <w:r w:rsidRPr="009255ED">
        <w:t>návrhem</w:t>
      </w:r>
      <w:r>
        <w:t xml:space="preserve"> </w:t>
      </w:r>
      <w:r w:rsidRPr="009255ED">
        <w:t>na</w:t>
      </w:r>
      <w:r>
        <w:t xml:space="preserve"> </w:t>
      </w:r>
      <w:r w:rsidRPr="009255ED">
        <w:t>výmaz</w:t>
      </w:r>
      <w:r>
        <w:t xml:space="preserve"> </w:t>
      </w:r>
      <w:r w:rsidRPr="009255ED">
        <w:t>poznámky</w:t>
      </w:r>
      <w:r>
        <w:t xml:space="preserve"> </w:t>
      </w:r>
      <w:r w:rsidRPr="009255ED">
        <w:t>o</w:t>
      </w:r>
      <w:r>
        <w:t xml:space="preserve"> </w:t>
      </w:r>
      <w:r w:rsidRPr="009255ED">
        <w:t>zařazení</w:t>
      </w:r>
      <w:r>
        <w:t xml:space="preserve"> </w:t>
      </w:r>
      <w:r w:rsidRPr="009255ED">
        <w:t>pozemku</w:t>
      </w:r>
      <w:r>
        <w:t xml:space="preserve"> </w:t>
      </w:r>
      <w:r w:rsidRPr="009255ED">
        <w:t>do</w:t>
      </w:r>
      <w:r>
        <w:t xml:space="preserve"> </w:t>
      </w:r>
      <w:r w:rsidRPr="009255ED">
        <w:t>rezervy</w:t>
      </w:r>
      <w:r>
        <w:t xml:space="preserve"> </w:t>
      </w:r>
      <w:r w:rsidRPr="009255ED">
        <w:t>podle</w:t>
      </w:r>
      <w:r>
        <w:t xml:space="preserve"> </w:t>
      </w:r>
      <w:r w:rsidRPr="009255ED">
        <w:t>odstavce</w:t>
      </w:r>
      <w:r>
        <w:t xml:space="preserve"> </w:t>
      </w:r>
      <w:r w:rsidRPr="009255ED">
        <w:t>1</w:t>
      </w:r>
      <w:r>
        <w:t xml:space="preserve"> </w:t>
      </w:r>
      <w:r w:rsidRPr="009255ED">
        <w:t>písm.</w:t>
      </w:r>
      <w:r>
        <w:t xml:space="preserve"> </w:t>
      </w:r>
      <w:r w:rsidRPr="009255ED">
        <w:t>b),</w:t>
      </w:r>
      <w:r>
        <w:t xml:space="preserve"> </w:t>
      </w:r>
      <w:r w:rsidRPr="009255ED">
        <w:t>ve</w:t>
      </w:r>
      <w:r>
        <w:t xml:space="preserve"> </w:t>
      </w:r>
      <w:r w:rsidRPr="009255ED">
        <w:t>kterém</w:t>
      </w:r>
      <w:r>
        <w:t xml:space="preserve"> </w:t>
      </w:r>
      <w:r w:rsidRPr="009255ED">
        <w:t>potvrdí,</w:t>
      </w:r>
      <w:r>
        <w:t xml:space="preserve"> </w:t>
      </w:r>
      <w:r w:rsidRPr="009255ED">
        <w:t>že</w:t>
      </w:r>
      <w:r>
        <w:t xml:space="preserve"> </w:t>
      </w:r>
      <w:r w:rsidRPr="009255ED">
        <w:t>důvody</w:t>
      </w:r>
      <w:r>
        <w:t xml:space="preserve"> </w:t>
      </w:r>
      <w:r w:rsidRPr="009255ED">
        <w:t>pro</w:t>
      </w:r>
      <w:r>
        <w:t xml:space="preserve"> </w:t>
      </w:r>
      <w:r w:rsidRPr="009255ED">
        <w:t>vyznačení</w:t>
      </w:r>
      <w:r>
        <w:t xml:space="preserve"> </w:t>
      </w:r>
      <w:r w:rsidRPr="009255ED">
        <w:t>této</w:t>
      </w:r>
      <w:r>
        <w:t xml:space="preserve"> </w:t>
      </w:r>
      <w:r w:rsidRPr="009255ED">
        <w:t>poznámky</w:t>
      </w:r>
      <w:r>
        <w:t xml:space="preserve"> </w:t>
      </w:r>
      <w:r w:rsidRPr="009255ED">
        <w:t>pominuly.</w:t>
      </w:r>
    </w:p>
    <w:p w14:paraId="1F393112" w14:textId="77777777" w:rsidR="001965B7" w:rsidRDefault="001965B7" w:rsidP="005D3450">
      <w:pPr>
        <w:pStyle w:val="Textparagrafu"/>
        <w:tabs>
          <w:tab w:val="left" w:pos="392"/>
          <w:tab w:val="left" w:pos="840"/>
        </w:tabs>
        <w:spacing w:before="120" w:after="120"/>
      </w:pPr>
      <w:r w:rsidRPr="009255ED">
        <w:t>(5)</w:t>
      </w:r>
      <w:r>
        <w:t xml:space="preserve"> </w:t>
      </w:r>
      <w:r w:rsidRPr="009255ED">
        <w:t>Státní</w:t>
      </w:r>
      <w:r>
        <w:t xml:space="preserve"> </w:t>
      </w:r>
      <w:r w:rsidRPr="009255ED">
        <w:t>pozemkový</w:t>
      </w:r>
      <w:r>
        <w:t xml:space="preserve"> </w:t>
      </w:r>
      <w:r w:rsidRPr="009255ED">
        <w:t>úřad</w:t>
      </w:r>
      <w:r>
        <w:t xml:space="preserve"> </w:t>
      </w:r>
      <w:r w:rsidRPr="009255ED">
        <w:t>převede</w:t>
      </w:r>
      <w:r>
        <w:t xml:space="preserve"> </w:t>
      </w:r>
      <w:r w:rsidRPr="009255ED">
        <w:t>rozhodnutím</w:t>
      </w:r>
      <w:r>
        <w:t xml:space="preserve"> </w:t>
      </w:r>
      <w:r w:rsidRPr="009255ED">
        <w:t>vydávaným</w:t>
      </w:r>
      <w:r>
        <w:t xml:space="preserve"> </w:t>
      </w:r>
      <w:r w:rsidRPr="009255ED">
        <w:t>z</w:t>
      </w:r>
      <w:r>
        <w:t xml:space="preserve"> </w:t>
      </w:r>
      <w:r w:rsidRPr="009255ED">
        <w:t>moci</w:t>
      </w:r>
      <w:r>
        <w:t xml:space="preserve"> </w:t>
      </w:r>
      <w:r w:rsidRPr="009255ED">
        <w:t>úřední</w:t>
      </w:r>
      <w:r>
        <w:t xml:space="preserve"> </w:t>
      </w:r>
      <w:r w:rsidRPr="009255ED">
        <w:t>pozemek</w:t>
      </w:r>
      <w:r>
        <w:t xml:space="preserve"> </w:t>
      </w:r>
      <w:r w:rsidRPr="009255ED">
        <w:t>z</w:t>
      </w:r>
      <w:r>
        <w:t xml:space="preserve"> </w:t>
      </w:r>
      <w:r w:rsidRPr="009255ED">
        <w:t>rezervy</w:t>
      </w:r>
      <w:r>
        <w:t xml:space="preserve"> </w:t>
      </w:r>
      <w:r w:rsidRPr="009255ED">
        <w:t>podle</w:t>
      </w:r>
      <w:r>
        <w:t xml:space="preserve"> </w:t>
      </w:r>
      <w:r w:rsidRPr="009255ED">
        <w:t>odstavce</w:t>
      </w:r>
      <w:r>
        <w:t xml:space="preserve"> </w:t>
      </w:r>
      <w:r w:rsidRPr="009255ED">
        <w:t>1</w:t>
      </w:r>
      <w:r>
        <w:t xml:space="preserve"> </w:t>
      </w:r>
      <w:r w:rsidRPr="009255ED">
        <w:t>písm.</w:t>
      </w:r>
      <w:r>
        <w:t xml:space="preserve"> </w:t>
      </w:r>
      <w:r w:rsidRPr="009255ED">
        <w:t>b)</w:t>
      </w:r>
      <w:r>
        <w:t xml:space="preserve"> </w:t>
      </w:r>
      <w:r w:rsidRPr="009255ED">
        <w:t>do</w:t>
      </w:r>
      <w:r>
        <w:t xml:space="preserve"> </w:t>
      </w:r>
      <w:r w:rsidRPr="009255ED">
        <w:t>rezervy</w:t>
      </w:r>
      <w:r>
        <w:t xml:space="preserve"> </w:t>
      </w:r>
      <w:r w:rsidRPr="009255ED">
        <w:t>podle</w:t>
      </w:r>
      <w:r>
        <w:t xml:space="preserve"> </w:t>
      </w:r>
      <w:r w:rsidRPr="009255ED">
        <w:t>odstavce</w:t>
      </w:r>
      <w:r>
        <w:t xml:space="preserve"> </w:t>
      </w:r>
      <w:r w:rsidRPr="009255ED">
        <w:t>1</w:t>
      </w:r>
      <w:r>
        <w:t xml:space="preserve"> </w:t>
      </w:r>
      <w:r w:rsidRPr="009255ED">
        <w:t>písm.</w:t>
      </w:r>
      <w:r>
        <w:t xml:space="preserve"> </w:t>
      </w:r>
      <w:r w:rsidRPr="009255ED">
        <w:t>a)</w:t>
      </w:r>
      <w:r>
        <w:t xml:space="preserve"> </w:t>
      </w:r>
      <w:r w:rsidRPr="009255ED">
        <w:t>a</w:t>
      </w:r>
      <w:r>
        <w:t xml:space="preserve"> </w:t>
      </w:r>
      <w:r w:rsidRPr="009255ED">
        <w:t>do</w:t>
      </w:r>
      <w:r>
        <w:t xml:space="preserve"> </w:t>
      </w:r>
      <w:r w:rsidRPr="009255ED">
        <w:t>15</w:t>
      </w:r>
      <w:r>
        <w:t xml:space="preserve"> </w:t>
      </w:r>
      <w:r w:rsidRPr="009255ED">
        <w:t>dnů</w:t>
      </w:r>
      <w:r>
        <w:t xml:space="preserve"> </w:t>
      </w:r>
      <w:r w:rsidRPr="009255ED">
        <w:t>od</w:t>
      </w:r>
      <w:r>
        <w:t xml:space="preserve"> </w:t>
      </w:r>
      <w:r w:rsidRPr="009255ED">
        <w:t>nabytí</w:t>
      </w:r>
      <w:r>
        <w:t xml:space="preserve"> </w:t>
      </w:r>
      <w:r w:rsidRPr="009255ED">
        <w:t>právní</w:t>
      </w:r>
      <w:r>
        <w:t xml:space="preserve"> </w:t>
      </w:r>
      <w:r w:rsidRPr="009255ED">
        <w:t>moci</w:t>
      </w:r>
      <w:r>
        <w:t xml:space="preserve"> </w:t>
      </w:r>
      <w:r w:rsidRPr="009255ED">
        <w:t>tohoto</w:t>
      </w:r>
      <w:r>
        <w:t xml:space="preserve"> </w:t>
      </w:r>
      <w:r w:rsidRPr="009255ED">
        <w:t>rozhodnutí</w:t>
      </w:r>
      <w:r>
        <w:t xml:space="preserve"> </w:t>
      </w:r>
      <w:r w:rsidRPr="009255ED">
        <w:t>podá</w:t>
      </w:r>
      <w:r>
        <w:t xml:space="preserve"> </w:t>
      </w:r>
      <w:r w:rsidRPr="009255ED">
        <w:t>u</w:t>
      </w:r>
      <w:r>
        <w:t xml:space="preserve"> </w:t>
      </w:r>
      <w:r w:rsidRPr="009255ED">
        <w:t>příslušného</w:t>
      </w:r>
      <w:r>
        <w:t xml:space="preserve"> </w:t>
      </w:r>
      <w:r w:rsidRPr="009255ED">
        <w:t>katastrálního</w:t>
      </w:r>
      <w:r>
        <w:t xml:space="preserve"> </w:t>
      </w:r>
      <w:r w:rsidRPr="009255ED">
        <w:t>úřadu</w:t>
      </w:r>
      <w:r>
        <w:t xml:space="preserve"> </w:t>
      </w:r>
      <w:r w:rsidRPr="009255ED">
        <w:t>návrh</w:t>
      </w:r>
      <w:r>
        <w:t xml:space="preserve"> </w:t>
      </w:r>
      <w:r w:rsidRPr="009255ED">
        <w:t>na</w:t>
      </w:r>
      <w:r>
        <w:t xml:space="preserve"> </w:t>
      </w:r>
      <w:r w:rsidRPr="009255ED">
        <w:t>výmaz</w:t>
      </w:r>
      <w:r>
        <w:t xml:space="preserve"> </w:t>
      </w:r>
      <w:r w:rsidRPr="009255ED">
        <w:t>poznámky</w:t>
      </w:r>
      <w:r>
        <w:t xml:space="preserve"> </w:t>
      </w:r>
      <w:r w:rsidRPr="009255ED">
        <w:t>o</w:t>
      </w:r>
      <w:r>
        <w:t xml:space="preserve"> </w:t>
      </w:r>
      <w:r w:rsidRPr="009255ED">
        <w:t>zařazení</w:t>
      </w:r>
      <w:r>
        <w:t xml:space="preserve"> </w:t>
      </w:r>
      <w:r w:rsidRPr="009255ED">
        <w:t>převedeného</w:t>
      </w:r>
      <w:r>
        <w:t xml:space="preserve"> </w:t>
      </w:r>
      <w:r w:rsidRPr="009255ED">
        <w:t>pozemku</w:t>
      </w:r>
      <w:r>
        <w:t xml:space="preserve"> </w:t>
      </w:r>
      <w:r w:rsidRPr="009255ED">
        <w:t>nebo</w:t>
      </w:r>
      <w:r>
        <w:t xml:space="preserve"> </w:t>
      </w:r>
      <w:r w:rsidRPr="009255ED">
        <w:t>jeho</w:t>
      </w:r>
      <w:r>
        <w:t xml:space="preserve"> </w:t>
      </w:r>
      <w:r w:rsidRPr="009255ED">
        <w:t>oddělené</w:t>
      </w:r>
      <w:r>
        <w:t xml:space="preserve"> </w:t>
      </w:r>
      <w:r w:rsidRPr="009255ED">
        <w:t>části</w:t>
      </w:r>
      <w:r>
        <w:t xml:space="preserve"> </w:t>
      </w:r>
      <w:r w:rsidRPr="009255ED">
        <w:t>v</w:t>
      </w:r>
      <w:r>
        <w:t xml:space="preserve"> </w:t>
      </w:r>
      <w:r w:rsidRPr="009255ED">
        <w:t>podobě</w:t>
      </w:r>
      <w:r>
        <w:t xml:space="preserve"> </w:t>
      </w:r>
      <w:r w:rsidRPr="009255ED">
        <w:t>parcely</w:t>
      </w:r>
      <w:r>
        <w:t xml:space="preserve"> </w:t>
      </w:r>
      <w:r w:rsidRPr="009255ED">
        <w:t>do</w:t>
      </w:r>
      <w:r>
        <w:t xml:space="preserve"> </w:t>
      </w:r>
      <w:r w:rsidRPr="009255ED">
        <w:t>rezervy</w:t>
      </w:r>
      <w:r>
        <w:t xml:space="preserve"> </w:t>
      </w:r>
      <w:r w:rsidRPr="009255ED">
        <w:t>podle</w:t>
      </w:r>
      <w:r>
        <w:t xml:space="preserve"> </w:t>
      </w:r>
      <w:r w:rsidRPr="009255ED">
        <w:t>odstavce</w:t>
      </w:r>
      <w:r>
        <w:t xml:space="preserve"> </w:t>
      </w:r>
      <w:r w:rsidRPr="009255ED">
        <w:t>1</w:t>
      </w:r>
      <w:r>
        <w:t xml:space="preserve"> </w:t>
      </w:r>
      <w:r w:rsidRPr="009255ED">
        <w:t>písm.</w:t>
      </w:r>
      <w:r>
        <w:t xml:space="preserve"> </w:t>
      </w:r>
      <w:r w:rsidRPr="009255ED">
        <w:t>b),</w:t>
      </w:r>
      <w:r>
        <w:t xml:space="preserve"> </w:t>
      </w:r>
      <w:r w:rsidRPr="009255ED">
        <w:t>jestliže</w:t>
      </w:r>
    </w:p>
    <w:p w14:paraId="701C3C4E" w14:textId="78333F03" w:rsidR="001965B7" w:rsidRDefault="001965B7" w:rsidP="00635DDD">
      <w:pPr>
        <w:pStyle w:val="Textparagrafu"/>
        <w:tabs>
          <w:tab w:val="left" w:pos="392"/>
          <w:tab w:val="left" w:pos="840"/>
        </w:tabs>
        <w:spacing w:before="0"/>
        <w:ind w:left="426" w:hanging="426"/>
      </w:pPr>
      <w:r w:rsidRPr="009255ED">
        <w:t>a)</w:t>
      </w:r>
      <w:r w:rsidR="004749D9">
        <w:tab/>
      </w:r>
      <w:r w:rsidRPr="009255ED">
        <w:t>nebyl</w:t>
      </w:r>
      <w:r>
        <w:t xml:space="preserve"> </w:t>
      </w:r>
      <w:r w:rsidRPr="009255ED">
        <w:t>zcela</w:t>
      </w:r>
      <w:r>
        <w:t xml:space="preserve"> </w:t>
      </w:r>
      <w:r w:rsidRPr="009255ED">
        <w:t>nebo</w:t>
      </w:r>
      <w:r>
        <w:t xml:space="preserve"> </w:t>
      </w:r>
      <w:r w:rsidRPr="009255ED">
        <w:t>zčásti</w:t>
      </w:r>
      <w:r>
        <w:t xml:space="preserve"> </w:t>
      </w:r>
      <w:r w:rsidRPr="009255ED">
        <w:t>využit</w:t>
      </w:r>
      <w:r>
        <w:t xml:space="preserve"> </w:t>
      </w:r>
      <w:r w:rsidRPr="009255ED">
        <w:t>při</w:t>
      </w:r>
      <w:r>
        <w:t xml:space="preserve"> </w:t>
      </w:r>
      <w:r w:rsidRPr="009255ED">
        <w:t>uskutečnění</w:t>
      </w:r>
      <w:r>
        <w:t xml:space="preserve"> </w:t>
      </w:r>
      <w:r w:rsidRPr="009255ED">
        <w:t>příslušného</w:t>
      </w:r>
      <w:r>
        <w:t xml:space="preserve"> </w:t>
      </w:r>
      <w:r w:rsidRPr="009255ED">
        <w:t>rozvojového</w:t>
      </w:r>
      <w:r>
        <w:t xml:space="preserve"> </w:t>
      </w:r>
      <w:r w:rsidRPr="009255ED">
        <w:t>programu</w:t>
      </w:r>
      <w:r>
        <w:t xml:space="preserve"> </w:t>
      </w:r>
      <w:r w:rsidRPr="009255ED">
        <w:t>státu</w:t>
      </w:r>
      <w:r>
        <w:t xml:space="preserve"> </w:t>
      </w:r>
      <w:r w:rsidRPr="009255ED">
        <w:t>schváleného</w:t>
      </w:r>
      <w:r>
        <w:t xml:space="preserve"> </w:t>
      </w:r>
      <w:r w:rsidRPr="009255ED">
        <w:t>vládou,</w:t>
      </w:r>
    </w:p>
    <w:p w14:paraId="06426218" w14:textId="4C74526B" w:rsidR="001965B7" w:rsidRDefault="001965B7" w:rsidP="00635DDD">
      <w:pPr>
        <w:pStyle w:val="Textparagrafu"/>
        <w:tabs>
          <w:tab w:val="left" w:pos="392"/>
          <w:tab w:val="left" w:pos="840"/>
        </w:tabs>
        <w:spacing w:before="0"/>
        <w:ind w:left="426" w:hanging="426"/>
      </w:pPr>
      <w:r w:rsidRPr="009255ED">
        <w:t>b)</w:t>
      </w:r>
      <w:r w:rsidR="004749D9">
        <w:tab/>
      </w:r>
      <w:r w:rsidRPr="009255ED">
        <w:t>zanikl</w:t>
      </w:r>
      <w:r>
        <w:t xml:space="preserve"> </w:t>
      </w:r>
      <w:r w:rsidRPr="009255ED">
        <w:t>účel</w:t>
      </w:r>
      <w:r>
        <w:t xml:space="preserve"> </w:t>
      </w:r>
      <w:r w:rsidRPr="009255ED">
        <w:t>jeho</w:t>
      </w:r>
      <w:r>
        <w:t xml:space="preserve"> </w:t>
      </w:r>
      <w:r w:rsidRPr="009255ED">
        <w:t>zařazení</w:t>
      </w:r>
      <w:r>
        <w:t xml:space="preserve"> </w:t>
      </w:r>
      <w:r w:rsidRPr="009255ED">
        <w:t>v</w:t>
      </w:r>
      <w:r>
        <w:t xml:space="preserve"> </w:t>
      </w:r>
      <w:r w:rsidRPr="009255ED">
        <w:t>rezervě</w:t>
      </w:r>
      <w:r>
        <w:t xml:space="preserve"> </w:t>
      </w:r>
      <w:r w:rsidRPr="009255ED">
        <w:t>podle</w:t>
      </w:r>
      <w:r>
        <w:t xml:space="preserve"> </w:t>
      </w:r>
      <w:r w:rsidRPr="009255ED">
        <w:t>odstavce</w:t>
      </w:r>
      <w:r>
        <w:t xml:space="preserve"> </w:t>
      </w:r>
      <w:r w:rsidRPr="009255ED">
        <w:t>1</w:t>
      </w:r>
      <w:r>
        <w:t xml:space="preserve"> </w:t>
      </w:r>
      <w:r w:rsidRPr="009255ED">
        <w:t>písm.</w:t>
      </w:r>
      <w:r>
        <w:t xml:space="preserve"> </w:t>
      </w:r>
      <w:r w:rsidRPr="009255ED">
        <w:t>b),</w:t>
      </w:r>
      <w:r>
        <w:t xml:space="preserve"> </w:t>
      </w:r>
      <w:r w:rsidRPr="009255ED">
        <w:t>nebo</w:t>
      </w:r>
    </w:p>
    <w:p w14:paraId="3BB9D99B" w14:textId="57435CE8" w:rsidR="001965B7" w:rsidRDefault="001965B7" w:rsidP="00635DDD">
      <w:pPr>
        <w:pStyle w:val="Textparagrafu"/>
        <w:tabs>
          <w:tab w:val="left" w:pos="392"/>
          <w:tab w:val="left" w:pos="840"/>
        </w:tabs>
        <w:spacing w:before="0"/>
        <w:ind w:left="426" w:hanging="426"/>
      </w:pPr>
      <w:r w:rsidRPr="009255ED">
        <w:t>c)</w:t>
      </w:r>
      <w:r w:rsidR="004749D9">
        <w:tab/>
      </w:r>
      <w:r w:rsidRPr="009255ED">
        <w:t>v</w:t>
      </w:r>
      <w:r>
        <w:t xml:space="preserve"> </w:t>
      </w:r>
      <w:r w:rsidRPr="009255ED">
        <w:t>rámci</w:t>
      </w:r>
      <w:r>
        <w:t xml:space="preserve"> </w:t>
      </w:r>
      <w:r w:rsidRPr="009255ED">
        <w:t>uskutečnění</w:t>
      </w:r>
      <w:r>
        <w:t xml:space="preserve"> </w:t>
      </w:r>
      <w:r w:rsidRPr="009255ED">
        <w:t>rozvojového</w:t>
      </w:r>
      <w:r>
        <w:t xml:space="preserve"> </w:t>
      </w:r>
      <w:r w:rsidRPr="009255ED">
        <w:t>programu</w:t>
      </w:r>
      <w:r>
        <w:t xml:space="preserve"> </w:t>
      </w:r>
      <w:r w:rsidRPr="009255ED">
        <w:t>státu</w:t>
      </w:r>
      <w:r>
        <w:t xml:space="preserve"> </w:t>
      </w:r>
      <w:r w:rsidRPr="009255ED">
        <w:t>schváleného</w:t>
      </w:r>
      <w:r>
        <w:t xml:space="preserve"> </w:t>
      </w:r>
      <w:r w:rsidRPr="009255ED">
        <w:t>vládou</w:t>
      </w:r>
      <w:r>
        <w:t xml:space="preserve"> </w:t>
      </w:r>
      <w:r w:rsidRPr="009255ED">
        <w:t>bylo</w:t>
      </w:r>
      <w:r>
        <w:t xml:space="preserve"> </w:t>
      </w:r>
      <w:r w:rsidRPr="009255ED">
        <w:t>vydáno</w:t>
      </w:r>
      <w:r>
        <w:t xml:space="preserve"> </w:t>
      </w:r>
      <w:r w:rsidRPr="009255ED">
        <w:t>pravomocné</w:t>
      </w:r>
      <w:r>
        <w:t xml:space="preserve"> </w:t>
      </w:r>
      <w:r w:rsidRPr="009255ED">
        <w:t>rozhodnutí</w:t>
      </w:r>
      <w:r>
        <w:t xml:space="preserve"> </w:t>
      </w:r>
      <w:r w:rsidRPr="009255ED">
        <w:t>o</w:t>
      </w:r>
      <w:r>
        <w:t xml:space="preserve"> </w:t>
      </w:r>
      <w:r w:rsidRPr="009255ED">
        <w:t>umístění</w:t>
      </w:r>
      <w:r>
        <w:t xml:space="preserve"> </w:t>
      </w:r>
      <w:r w:rsidRPr="009255ED">
        <w:t>stavby</w:t>
      </w:r>
      <w:r>
        <w:t xml:space="preserve"> </w:t>
      </w:r>
      <w:r w:rsidRPr="009255ED">
        <w:t>anebo</w:t>
      </w:r>
      <w:r>
        <w:t xml:space="preserve"> </w:t>
      </w:r>
      <w:r w:rsidRPr="009255ED">
        <w:t>byl</w:t>
      </w:r>
      <w:r>
        <w:t xml:space="preserve"> </w:t>
      </w:r>
      <w:r w:rsidRPr="009255ED">
        <w:t>vydán</w:t>
      </w:r>
      <w:r>
        <w:t xml:space="preserve"> </w:t>
      </w:r>
      <w:r w:rsidRPr="009255ED">
        <w:t>územní</w:t>
      </w:r>
      <w:r>
        <w:t xml:space="preserve"> </w:t>
      </w:r>
      <w:r w:rsidRPr="009255ED">
        <w:t>souhlas</w:t>
      </w:r>
      <w:r>
        <w:t xml:space="preserve"> </w:t>
      </w:r>
      <w:r w:rsidRPr="009255ED">
        <w:t>nebo</w:t>
      </w:r>
      <w:r>
        <w:t xml:space="preserve"> </w:t>
      </w:r>
      <w:r w:rsidRPr="009255ED">
        <w:t>byla</w:t>
      </w:r>
      <w:r>
        <w:t xml:space="preserve"> </w:t>
      </w:r>
      <w:r w:rsidRPr="009255ED">
        <w:t>uzavřena</w:t>
      </w:r>
      <w:r>
        <w:t xml:space="preserve"> </w:t>
      </w:r>
      <w:r w:rsidRPr="009255ED">
        <w:t>veřejnoprávní</w:t>
      </w:r>
      <w:r>
        <w:t xml:space="preserve"> </w:t>
      </w:r>
      <w:r w:rsidRPr="009255ED">
        <w:t>smlouva,</w:t>
      </w:r>
      <w:r>
        <w:t xml:space="preserve"> </w:t>
      </w:r>
      <w:r w:rsidRPr="009255ED">
        <w:t>jimiž</w:t>
      </w:r>
      <w:r>
        <w:t xml:space="preserve"> </w:t>
      </w:r>
      <w:r w:rsidRPr="009255ED">
        <w:t>může</w:t>
      </w:r>
      <w:r>
        <w:t xml:space="preserve"> </w:t>
      </w:r>
      <w:r w:rsidRPr="009255ED">
        <w:t>být</w:t>
      </w:r>
      <w:r>
        <w:t xml:space="preserve"> </w:t>
      </w:r>
      <w:r w:rsidRPr="009255ED">
        <w:t>rozhodnutí</w:t>
      </w:r>
      <w:r>
        <w:t xml:space="preserve"> </w:t>
      </w:r>
      <w:r w:rsidRPr="009255ED">
        <w:t>o</w:t>
      </w:r>
      <w:r>
        <w:t xml:space="preserve"> </w:t>
      </w:r>
      <w:r w:rsidRPr="009255ED">
        <w:t>umístění</w:t>
      </w:r>
      <w:r>
        <w:t xml:space="preserve"> </w:t>
      </w:r>
      <w:r w:rsidRPr="009255ED">
        <w:t>stavby</w:t>
      </w:r>
      <w:r>
        <w:t xml:space="preserve"> </w:t>
      </w:r>
      <w:r w:rsidRPr="009255ED">
        <w:t>podle</w:t>
      </w:r>
      <w:r>
        <w:t xml:space="preserve"> </w:t>
      </w:r>
      <w:r w:rsidRPr="009255ED">
        <w:t>stavebního</w:t>
      </w:r>
      <w:r>
        <w:t xml:space="preserve"> </w:t>
      </w:r>
      <w:r w:rsidRPr="009255ED">
        <w:t>zákona</w:t>
      </w:r>
      <w:r>
        <w:t xml:space="preserve"> </w:t>
      </w:r>
      <w:r w:rsidRPr="009255ED">
        <w:t>nahrazeno,</w:t>
      </w:r>
      <w:r>
        <w:t xml:space="preserve"> </w:t>
      </w:r>
      <w:r w:rsidRPr="009255ED">
        <w:t>ze</w:t>
      </w:r>
      <w:r>
        <w:t xml:space="preserve"> </w:t>
      </w:r>
      <w:r w:rsidRPr="009255ED">
        <w:t>kterých</w:t>
      </w:r>
      <w:r>
        <w:t xml:space="preserve"> </w:t>
      </w:r>
      <w:r w:rsidRPr="009255ED">
        <w:t>je</w:t>
      </w:r>
      <w:r>
        <w:t xml:space="preserve"> </w:t>
      </w:r>
      <w:r w:rsidRPr="009255ED">
        <w:t>zřejmé,</w:t>
      </w:r>
      <w:r>
        <w:t xml:space="preserve"> </w:t>
      </w:r>
      <w:r w:rsidRPr="009255ED">
        <w:t>že</w:t>
      </w:r>
      <w:r>
        <w:t xml:space="preserve"> </w:t>
      </w:r>
      <w:r w:rsidRPr="009255ED">
        <w:t>pozemek</w:t>
      </w:r>
      <w:r>
        <w:t xml:space="preserve"> </w:t>
      </w:r>
      <w:r w:rsidRPr="009255ED">
        <w:t>z</w:t>
      </w:r>
      <w:r>
        <w:t xml:space="preserve"> </w:t>
      </w:r>
      <w:r w:rsidRPr="009255ED">
        <w:t>rezervy</w:t>
      </w:r>
      <w:r>
        <w:t xml:space="preserve"> </w:t>
      </w:r>
      <w:r w:rsidRPr="009255ED">
        <w:t>podle</w:t>
      </w:r>
      <w:r>
        <w:t xml:space="preserve"> </w:t>
      </w:r>
      <w:r w:rsidRPr="009255ED">
        <w:t>odstavce</w:t>
      </w:r>
      <w:r>
        <w:t xml:space="preserve"> </w:t>
      </w:r>
      <w:r w:rsidRPr="009255ED">
        <w:t>1</w:t>
      </w:r>
      <w:r>
        <w:t xml:space="preserve"> </w:t>
      </w:r>
      <w:r w:rsidRPr="009255ED">
        <w:t>písm.</w:t>
      </w:r>
      <w:r>
        <w:t xml:space="preserve"> </w:t>
      </w:r>
      <w:r w:rsidRPr="009255ED">
        <w:t>b)</w:t>
      </w:r>
      <w:r>
        <w:t xml:space="preserve"> </w:t>
      </w:r>
      <w:r w:rsidRPr="009255ED">
        <w:t>nebude</w:t>
      </w:r>
      <w:r>
        <w:t xml:space="preserve"> </w:t>
      </w:r>
      <w:r w:rsidRPr="009255ED">
        <w:t>tímto</w:t>
      </w:r>
      <w:r>
        <w:t xml:space="preserve"> </w:t>
      </w:r>
      <w:r w:rsidRPr="009255ED">
        <w:t>rozvojovým</w:t>
      </w:r>
      <w:r>
        <w:t xml:space="preserve"> </w:t>
      </w:r>
      <w:r w:rsidRPr="009255ED">
        <w:t>programem</w:t>
      </w:r>
      <w:r>
        <w:t xml:space="preserve"> </w:t>
      </w:r>
      <w:r w:rsidRPr="009255ED">
        <w:t>dotčen.</w:t>
      </w:r>
    </w:p>
    <w:p w14:paraId="63DDF390" w14:textId="77777777" w:rsidR="001965B7" w:rsidRPr="009255ED" w:rsidRDefault="001965B7" w:rsidP="005D3450">
      <w:pPr>
        <w:pStyle w:val="Textparagrafu"/>
        <w:tabs>
          <w:tab w:val="left" w:pos="392"/>
          <w:tab w:val="left" w:pos="840"/>
        </w:tabs>
        <w:spacing w:before="120" w:after="120"/>
      </w:pPr>
      <w:r w:rsidRPr="009255ED">
        <w:t>(6)</w:t>
      </w:r>
      <w:r>
        <w:t xml:space="preserve"> </w:t>
      </w:r>
      <w:r w:rsidRPr="009255ED">
        <w:t>Pokud</w:t>
      </w:r>
      <w:r>
        <w:t xml:space="preserve"> </w:t>
      </w:r>
      <w:r w:rsidRPr="009255ED">
        <w:t>bylo</w:t>
      </w:r>
      <w:r>
        <w:t xml:space="preserve"> </w:t>
      </w:r>
      <w:r w:rsidRPr="009255ED">
        <w:t>Státním</w:t>
      </w:r>
      <w:r>
        <w:t xml:space="preserve"> </w:t>
      </w:r>
      <w:r w:rsidRPr="009255ED">
        <w:t>pozemkovým</w:t>
      </w:r>
      <w:r>
        <w:t xml:space="preserve"> </w:t>
      </w:r>
      <w:r w:rsidRPr="009255ED">
        <w:t>úřadem</w:t>
      </w:r>
      <w:r>
        <w:t xml:space="preserve"> </w:t>
      </w:r>
      <w:r w:rsidRPr="009255ED">
        <w:t>zahájeno</w:t>
      </w:r>
      <w:r>
        <w:t xml:space="preserve"> </w:t>
      </w:r>
      <w:r w:rsidRPr="009255ED">
        <w:t>správní</w:t>
      </w:r>
      <w:r>
        <w:t xml:space="preserve"> </w:t>
      </w:r>
      <w:r w:rsidRPr="009255ED">
        <w:t>řízení</w:t>
      </w:r>
      <w:r>
        <w:t xml:space="preserve"> </w:t>
      </w:r>
      <w:r w:rsidRPr="009255ED">
        <w:t>podle</w:t>
      </w:r>
      <w:r>
        <w:t xml:space="preserve"> </w:t>
      </w:r>
      <w:r w:rsidRPr="009255ED">
        <w:t>odstavce</w:t>
      </w:r>
      <w:r>
        <w:t xml:space="preserve"> </w:t>
      </w:r>
      <w:r w:rsidRPr="009255ED">
        <w:t>3</w:t>
      </w:r>
      <w:r>
        <w:t xml:space="preserve"> </w:t>
      </w:r>
      <w:r w:rsidRPr="009255ED">
        <w:t>a</w:t>
      </w:r>
      <w:r>
        <w:t xml:space="preserve"> </w:t>
      </w:r>
      <w:r w:rsidRPr="009255ED">
        <w:t>před</w:t>
      </w:r>
      <w:r>
        <w:t xml:space="preserve"> </w:t>
      </w:r>
      <w:r w:rsidRPr="009255ED">
        <w:t>jeho</w:t>
      </w:r>
      <w:r>
        <w:t xml:space="preserve"> </w:t>
      </w:r>
      <w:r w:rsidRPr="009255ED">
        <w:t>skončením</w:t>
      </w:r>
      <w:r>
        <w:t xml:space="preserve"> </w:t>
      </w:r>
      <w:r w:rsidRPr="009255ED">
        <w:t>požádala</w:t>
      </w:r>
      <w:r>
        <w:t xml:space="preserve"> </w:t>
      </w:r>
      <w:r w:rsidRPr="009255ED">
        <w:t>o</w:t>
      </w:r>
      <w:r>
        <w:t xml:space="preserve"> </w:t>
      </w:r>
      <w:r w:rsidRPr="009255ED">
        <w:t>převod</w:t>
      </w:r>
      <w:r>
        <w:t xml:space="preserve"> </w:t>
      </w:r>
      <w:r w:rsidRPr="009255ED">
        <w:t>zemědělského</w:t>
      </w:r>
      <w:r>
        <w:t xml:space="preserve"> </w:t>
      </w:r>
      <w:r w:rsidRPr="009255ED">
        <w:t>pozemku</w:t>
      </w:r>
      <w:r>
        <w:t xml:space="preserve"> </w:t>
      </w:r>
      <w:r w:rsidRPr="009255ED">
        <w:t>osoba</w:t>
      </w:r>
      <w:r>
        <w:t xml:space="preserve"> </w:t>
      </w:r>
      <w:r w:rsidRPr="009255ED">
        <w:t>podle</w:t>
      </w:r>
      <w:r>
        <w:t xml:space="preserve"> </w:t>
      </w:r>
      <w:r w:rsidRPr="009255ED">
        <w:t>§</w:t>
      </w:r>
      <w:r>
        <w:t xml:space="preserve"> </w:t>
      </w:r>
      <w:r w:rsidRPr="009255ED">
        <w:t>7,</w:t>
      </w:r>
      <w:r>
        <w:t xml:space="preserve"> </w:t>
      </w:r>
      <w:r w:rsidRPr="009255ED">
        <w:t>10,</w:t>
      </w:r>
      <w:r>
        <w:t xml:space="preserve"> </w:t>
      </w:r>
      <w:r w:rsidRPr="009255ED">
        <w:t>10a</w:t>
      </w:r>
      <w:r>
        <w:t xml:space="preserve"> </w:t>
      </w:r>
      <w:r w:rsidRPr="009255ED">
        <w:t>nebo</w:t>
      </w:r>
      <w:r>
        <w:t xml:space="preserve"> </w:t>
      </w:r>
      <w:r w:rsidRPr="009255ED">
        <w:t>10b,</w:t>
      </w:r>
      <w:r>
        <w:t xml:space="preserve"> </w:t>
      </w:r>
      <w:r w:rsidRPr="009255ED">
        <w:t>má</w:t>
      </w:r>
      <w:r>
        <w:t xml:space="preserve"> </w:t>
      </w:r>
      <w:r w:rsidRPr="009255ED">
        <w:t>zařazení</w:t>
      </w:r>
      <w:r>
        <w:t xml:space="preserve"> </w:t>
      </w:r>
      <w:r w:rsidRPr="009255ED">
        <w:t>pozemků</w:t>
      </w:r>
      <w:r>
        <w:t xml:space="preserve"> </w:t>
      </w:r>
      <w:r w:rsidRPr="009255ED">
        <w:t>do</w:t>
      </w:r>
      <w:r>
        <w:t xml:space="preserve"> </w:t>
      </w:r>
      <w:r w:rsidRPr="009255ED">
        <w:t>rezervy</w:t>
      </w:r>
      <w:r>
        <w:t xml:space="preserve"> </w:t>
      </w:r>
      <w:r w:rsidRPr="009255ED">
        <w:t>podle</w:t>
      </w:r>
      <w:r>
        <w:t xml:space="preserve"> </w:t>
      </w:r>
      <w:r w:rsidRPr="009255ED">
        <w:t>odstavce</w:t>
      </w:r>
      <w:r>
        <w:t xml:space="preserve"> </w:t>
      </w:r>
      <w:r w:rsidRPr="009255ED">
        <w:t>1</w:t>
      </w:r>
      <w:r>
        <w:t xml:space="preserve"> </w:t>
      </w:r>
      <w:r w:rsidRPr="009255ED">
        <w:t>písm.</w:t>
      </w:r>
      <w:r>
        <w:t xml:space="preserve"> </w:t>
      </w:r>
      <w:r w:rsidRPr="009255ED">
        <w:t>b)</w:t>
      </w:r>
      <w:r>
        <w:t xml:space="preserve"> </w:t>
      </w:r>
      <w:r w:rsidRPr="009255ED">
        <w:t>přednost</w:t>
      </w:r>
      <w:r>
        <w:t xml:space="preserve"> </w:t>
      </w:r>
      <w:r w:rsidRPr="009255ED">
        <w:t>před</w:t>
      </w:r>
      <w:r>
        <w:t xml:space="preserve"> </w:t>
      </w:r>
      <w:r w:rsidRPr="009255ED">
        <w:t>uspokojením</w:t>
      </w:r>
      <w:r>
        <w:t xml:space="preserve"> </w:t>
      </w:r>
      <w:r w:rsidRPr="009255ED">
        <w:t>žadatelů,</w:t>
      </w:r>
      <w:r>
        <w:t xml:space="preserve"> </w:t>
      </w:r>
      <w:r w:rsidRPr="009255ED">
        <w:t>i</w:t>
      </w:r>
      <w:r>
        <w:t xml:space="preserve"> </w:t>
      </w:r>
      <w:r w:rsidRPr="009255ED">
        <w:t>když</w:t>
      </w:r>
      <w:r>
        <w:t xml:space="preserve"> </w:t>
      </w:r>
      <w:r w:rsidRPr="009255ED">
        <w:t>splnili</w:t>
      </w:r>
      <w:r>
        <w:t xml:space="preserve"> </w:t>
      </w:r>
      <w:r w:rsidRPr="009255ED">
        <w:t>podmínky</w:t>
      </w:r>
      <w:r>
        <w:t xml:space="preserve"> </w:t>
      </w:r>
      <w:r w:rsidRPr="009255ED">
        <w:t>pro</w:t>
      </w:r>
      <w:r>
        <w:t xml:space="preserve"> </w:t>
      </w:r>
      <w:r w:rsidRPr="009255ED">
        <w:t>převod.</w:t>
      </w:r>
    </w:p>
    <w:p w14:paraId="1EEBE67F" w14:textId="5262E103" w:rsidR="001965B7" w:rsidRDefault="001965B7" w:rsidP="005D3450">
      <w:pPr>
        <w:keepNext/>
        <w:keepLines/>
        <w:tabs>
          <w:tab w:val="left" w:pos="851"/>
        </w:tabs>
        <w:spacing w:after="120"/>
        <w:ind w:firstLine="0"/>
        <w:jc w:val="center"/>
        <w:outlineLvl w:val="0"/>
      </w:pPr>
      <w:r>
        <w:lastRenderedPageBreak/>
        <w:t>***</w:t>
      </w:r>
    </w:p>
    <w:p w14:paraId="1ABAF429" w14:textId="603291FA" w:rsidR="001965B7" w:rsidRDefault="001965B7" w:rsidP="005D3450">
      <w:pPr>
        <w:pStyle w:val="Textparagrafu"/>
        <w:keepNext/>
        <w:keepLines/>
        <w:tabs>
          <w:tab w:val="left" w:pos="392"/>
          <w:tab w:val="left" w:pos="840"/>
        </w:tabs>
        <w:spacing w:after="120"/>
        <w:ind w:firstLine="0"/>
        <w:jc w:val="center"/>
      </w:pPr>
      <w:r w:rsidRPr="009255ED">
        <w:t>§</w:t>
      </w:r>
      <w:r>
        <w:t xml:space="preserve"> </w:t>
      </w:r>
      <w:r w:rsidRPr="009255ED">
        <w:t>8</w:t>
      </w:r>
    </w:p>
    <w:p w14:paraId="113576E7" w14:textId="56E77A6B" w:rsidR="001965B7" w:rsidRDefault="001965B7" w:rsidP="005D3450">
      <w:pPr>
        <w:pStyle w:val="Textparagrafu"/>
        <w:keepNext/>
        <w:keepLines/>
        <w:tabs>
          <w:tab w:val="left" w:pos="392"/>
          <w:tab w:val="left" w:pos="840"/>
        </w:tabs>
        <w:spacing w:before="120" w:after="120"/>
      </w:pPr>
      <w:r w:rsidRPr="009255ED">
        <w:t>(1)</w:t>
      </w:r>
      <w:r>
        <w:t xml:space="preserve"> </w:t>
      </w:r>
      <w:r w:rsidRPr="009255ED">
        <w:t>V</w:t>
      </w:r>
      <w:r>
        <w:t xml:space="preserve"> </w:t>
      </w:r>
      <w:r w:rsidRPr="009255ED">
        <w:t>případě</w:t>
      </w:r>
      <w:r>
        <w:t xml:space="preserve"> </w:t>
      </w:r>
      <w:r w:rsidRPr="009255ED">
        <w:t>změny</w:t>
      </w:r>
      <w:r>
        <w:t xml:space="preserve"> </w:t>
      </w:r>
      <w:r w:rsidRPr="009255ED">
        <w:t>územně</w:t>
      </w:r>
      <w:r>
        <w:t xml:space="preserve"> </w:t>
      </w:r>
      <w:r w:rsidRPr="009255ED">
        <w:t>plánovací</w:t>
      </w:r>
      <w:r>
        <w:t xml:space="preserve"> </w:t>
      </w:r>
      <w:r w:rsidRPr="009255ED">
        <w:t>dokumentace,</w:t>
      </w:r>
      <w:r>
        <w:t xml:space="preserve"> </w:t>
      </w:r>
      <w:r w:rsidRPr="009255ED">
        <w:t>která</w:t>
      </w:r>
      <w:r>
        <w:t xml:space="preserve"> </w:t>
      </w:r>
      <w:r w:rsidRPr="009255ED">
        <w:t>by</w:t>
      </w:r>
      <w:r>
        <w:t xml:space="preserve"> </w:t>
      </w:r>
      <w:r w:rsidRPr="009255ED">
        <w:t>v</w:t>
      </w:r>
      <w:r>
        <w:t xml:space="preserve"> </w:t>
      </w:r>
      <w:r w:rsidRPr="009255ED">
        <w:t>rámci</w:t>
      </w:r>
      <w:r>
        <w:t xml:space="preserve"> </w:t>
      </w:r>
      <w:r w:rsidRPr="009255ED">
        <w:t>hlavního</w:t>
      </w:r>
      <w:r>
        <w:t xml:space="preserve"> </w:t>
      </w:r>
      <w:r w:rsidRPr="009255ED">
        <w:t>funkčního</w:t>
      </w:r>
      <w:r>
        <w:t xml:space="preserve"> </w:t>
      </w:r>
      <w:r w:rsidRPr="009255ED">
        <w:t>využití</w:t>
      </w:r>
      <w:r>
        <w:t xml:space="preserve"> </w:t>
      </w:r>
      <w:r w:rsidRPr="009255ED">
        <w:t>plochy</w:t>
      </w:r>
      <w:r>
        <w:t xml:space="preserve"> </w:t>
      </w:r>
      <w:r w:rsidRPr="009255ED">
        <w:t>neumožnila</w:t>
      </w:r>
      <w:r>
        <w:t xml:space="preserve"> </w:t>
      </w:r>
      <w:r w:rsidRPr="009255ED">
        <w:t>naplnění</w:t>
      </w:r>
      <w:r>
        <w:t xml:space="preserve"> </w:t>
      </w:r>
      <w:r w:rsidRPr="009255ED">
        <w:t>účelu</w:t>
      </w:r>
      <w:r>
        <w:t xml:space="preserve"> </w:t>
      </w:r>
      <w:r w:rsidRPr="009255ED">
        <w:t>převodu</w:t>
      </w:r>
      <w:r>
        <w:t xml:space="preserve"> </w:t>
      </w:r>
      <w:r w:rsidRPr="009255ED">
        <w:t>pozemku</w:t>
      </w:r>
      <w:r>
        <w:t xml:space="preserve"> </w:t>
      </w:r>
      <w:r w:rsidRPr="009255ED">
        <w:t>podle</w:t>
      </w:r>
      <w:r>
        <w:t xml:space="preserve"> </w:t>
      </w:r>
      <w:r w:rsidRPr="009255ED">
        <w:t>§</w:t>
      </w:r>
      <w:r>
        <w:t xml:space="preserve"> </w:t>
      </w:r>
      <w:r w:rsidRPr="009255ED">
        <w:t>7,</w:t>
      </w:r>
      <w:r>
        <w:t xml:space="preserve"> </w:t>
      </w:r>
      <w:r w:rsidRPr="009255ED">
        <w:t>či</w:t>
      </w:r>
      <w:r>
        <w:t xml:space="preserve"> </w:t>
      </w:r>
      <w:r w:rsidRPr="009255ED">
        <w:t>změny</w:t>
      </w:r>
      <w:r>
        <w:t xml:space="preserve"> </w:t>
      </w:r>
      <w:r w:rsidRPr="009255ED">
        <w:t>rozhodnutí</w:t>
      </w:r>
      <w:r>
        <w:t xml:space="preserve"> </w:t>
      </w:r>
      <w:r w:rsidRPr="009255ED">
        <w:t>o</w:t>
      </w:r>
      <w:r>
        <w:t xml:space="preserve"> </w:t>
      </w:r>
      <w:r w:rsidRPr="009255ED">
        <w:t>umístění</w:t>
      </w:r>
      <w:r>
        <w:t xml:space="preserve"> </w:t>
      </w:r>
      <w:r w:rsidRPr="009255ED">
        <w:t>stavby,</w:t>
      </w:r>
      <w:r>
        <w:t xml:space="preserve"> </w:t>
      </w:r>
      <w:r w:rsidRPr="009255ED">
        <w:t>na</w:t>
      </w:r>
      <w:r>
        <w:t xml:space="preserve"> </w:t>
      </w:r>
      <w:r w:rsidRPr="009255ED">
        <w:t>základě</w:t>
      </w:r>
      <w:r>
        <w:t xml:space="preserve"> </w:t>
      </w:r>
      <w:r w:rsidRPr="009255ED">
        <w:t>kterého</w:t>
      </w:r>
      <w:r>
        <w:t xml:space="preserve"> </w:t>
      </w:r>
      <w:r w:rsidRPr="009255ED">
        <w:t>došlo</w:t>
      </w:r>
      <w:r>
        <w:t xml:space="preserve"> </w:t>
      </w:r>
      <w:r w:rsidRPr="009255ED">
        <w:t>k</w:t>
      </w:r>
      <w:r>
        <w:t xml:space="preserve"> </w:t>
      </w:r>
      <w:r w:rsidRPr="009255ED">
        <w:t>bezúplatnému</w:t>
      </w:r>
      <w:r>
        <w:t xml:space="preserve"> </w:t>
      </w:r>
      <w:r w:rsidRPr="009255ED">
        <w:t>převodu</w:t>
      </w:r>
      <w:r>
        <w:t xml:space="preserve"> </w:t>
      </w:r>
      <w:r w:rsidRPr="009255ED">
        <w:t>pozemku</w:t>
      </w:r>
      <w:r>
        <w:t xml:space="preserve"> </w:t>
      </w:r>
      <w:r w:rsidRPr="009255ED">
        <w:t>do</w:t>
      </w:r>
      <w:r>
        <w:t xml:space="preserve"> </w:t>
      </w:r>
      <w:r w:rsidRPr="009255ED">
        <w:t>vlastnictví</w:t>
      </w:r>
      <w:r>
        <w:t xml:space="preserve"> </w:t>
      </w:r>
      <w:r w:rsidRPr="009255ED">
        <w:t>obce,</w:t>
      </w:r>
      <w:r>
        <w:t xml:space="preserve"> </w:t>
      </w:r>
      <w:r w:rsidRPr="009255ED">
        <w:t>kterým</w:t>
      </w:r>
      <w:r>
        <w:t xml:space="preserve"> </w:t>
      </w:r>
      <w:r w:rsidRPr="009255ED">
        <w:t>by</w:t>
      </w:r>
      <w:r>
        <w:t xml:space="preserve"> </w:t>
      </w:r>
      <w:r w:rsidRPr="009255ED">
        <w:t>zamýšlená</w:t>
      </w:r>
      <w:r>
        <w:t xml:space="preserve"> </w:t>
      </w:r>
      <w:r w:rsidRPr="009255ED">
        <w:t>stavba</w:t>
      </w:r>
      <w:r>
        <w:t xml:space="preserve"> </w:t>
      </w:r>
      <w:r w:rsidRPr="009255ED">
        <w:t>nebyla</w:t>
      </w:r>
      <w:r>
        <w:t xml:space="preserve"> </w:t>
      </w:r>
      <w:r w:rsidRPr="009255ED">
        <w:t>stavbou</w:t>
      </w:r>
      <w:r>
        <w:t xml:space="preserve"> </w:t>
      </w:r>
      <w:r w:rsidRPr="009255ED">
        <w:t>veřejně</w:t>
      </w:r>
      <w:r>
        <w:t xml:space="preserve"> </w:t>
      </w:r>
      <w:r w:rsidRPr="009255ED">
        <w:t>prospěšnou</w:t>
      </w:r>
      <w:r>
        <w:t xml:space="preserve"> </w:t>
      </w:r>
      <w:r w:rsidRPr="009255ED">
        <w:t>nebo</w:t>
      </w:r>
      <w:r>
        <w:t xml:space="preserve"> </w:t>
      </w:r>
      <w:r w:rsidRPr="009255ED">
        <w:t>stavbou</w:t>
      </w:r>
      <w:r>
        <w:t xml:space="preserve"> </w:t>
      </w:r>
      <w:r w:rsidRPr="009255ED">
        <w:t>pro</w:t>
      </w:r>
      <w:r>
        <w:t xml:space="preserve"> </w:t>
      </w:r>
      <w:r w:rsidRPr="009255ED">
        <w:t>bydlení,</w:t>
      </w:r>
      <w:r>
        <w:t xml:space="preserve"> </w:t>
      </w:r>
      <w:r w:rsidRPr="009255ED">
        <w:t>je</w:t>
      </w:r>
      <w:r>
        <w:t xml:space="preserve"> </w:t>
      </w:r>
      <w:r w:rsidRPr="009255ED">
        <w:t>obec</w:t>
      </w:r>
      <w:r>
        <w:t xml:space="preserve"> </w:t>
      </w:r>
      <w:r w:rsidRPr="009255ED">
        <w:t>povinna</w:t>
      </w:r>
      <w:r>
        <w:t xml:space="preserve"> </w:t>
      </w:r>
      <w:r w:rsidRPr="009255ED">
        <w:t>zemědělský</w:t>
      </w:r>
      <w:r>
        <w:t xml:space="preserve"> </w:t>
      </w:r>
      <w:r w:rsidRPr="009255ED">
        <w:t>pozemek</w:t>
      </w:r>
      <w:r>
        <w:t xml:space="preserve"> </w:t>
      </w:r>
      <w:r w:rsidRPr="009255ED">
        <w:t>převést</w:t>
      </w:r>
      <w:r>
        <w:t xml:space="preserve"> </w:t>
      </w:r>
      <w:r w:rsidRPr="009255ED">
        <w:t>zpět</w:t>
      </w:r>
      <w:r>
        <w:t xml:space="preserve"> </w:t>
      </w:r>
      <w:r w:rsidRPr="009255ED">
        <w:t>za</w:t>
      </w:r>
      <w:r>
        <w:t xml:space="preserve"> </w:t>
      </w:r>
      <w:r w:rsidRPr="009255ED">
        <w:t>stejných</w:t>
      </w:r>
      <w:r>
        <w:t xml:space="preserve"> </w:t>
      </w:r>
      <w:r w:rsidRPr="009255ED">
        <w:t>podmínek,</w:t>
      </w:r>
      <w:r>
        <w:t xml:space="preserve"> </w:t>
      </w:r>
      <w:r w:rsidRPr="009255ED">
        <w:t>za</w:t>
      </w:r>
      <w:r>
        <w:t xml:space="preserve"> </w:t>
      </w:r>
      <w:r w:rsidRPr="009255ED">
        <w:t>jakých</w:t>
      </w:r>
      <w:r>
        <w:t xml:space="preserve"> </w:t>
      </w:r>
      <w:r w:rsidRPr="009255ED">
        <w:t>byl</w:t>
      </w:r>
      <w:r>
        <w:t xml:space="preserve"> </w:t>
      </w:r>
      <w:r w:rsidRPr="009255ED">
        <w:t>na</w:t>
      </w:r>
      <w:r>
        <w:t xml:space="preserve"> </w:t>
      </w:r>
      <w:r w:rsidRPr="009255ED">
        <w:t>obec</w:t>
      </w:r>
      <w:r>
        <w:t xml:space="preserve"> </w:t>
      </w:r>
      <w:r w:rsidRPr="009255ED">
        <w:t>převeden,</w:t>
      </w:r>
      <w:r>
        <w:t xml:space="preserve"> </w:t>
      </w:r>
      <w:r w:rsidRPr="009255ED">
        <w:t>a</w:t>
      </w:r>
      <w:r>
        <w:t xml:space="preserve"> </w:t>
      </w:r>
      <w:r w:rsidRPr="009255ED">
        <w:t>to</w:t>
      </w:r>
      <w:r>
        <w:t xml:space="preserve"> </w:t>
      </w:r>
      <w:r w:rsidRPr="009255ED">
        <w:t>ve</w:t>
      </w:r>
      <w:r>
        <w:t xml:space="preserve"> </w:t>
      </w:r>
      <w:r w:rsidRPr="009255ED">
        <w:t>lhůtě</w:t>
      </w:r>
      <w:r>
        <w:t xml:space="preserve"> </w:t>
      </w:r>
      <w:r w:rsidRPr="009255ED">
        <w:t>do</w:t>
      </w:r>
      <w:r>
        <w:t xml:space="preserve"> </w:t>
      </w:r>
      <w:r w:rsidRPr="009255ED">
        <w:t>90</w:t>
      </w:r>
      <w:r>
        <w:t xml:space="preserve"> </w:t>
      </w:r>
      <w:r w:rsidRPr="009255ED">
        <w:t>dnů</w:t>
      </w:r>
      <w:r>
        <w:t xml:space="preserve"> </w:t>
      </w:r>
      <w:r w:rsidRPr="009255ED">
        <w:t>od</w:t>
      </w:r>
      <w:r>
        <w:t xml:space="preserve"> </w:t>
      </w:r>
      <w:r w:rsidRPr="009255ED">
        <w:t>nabytí</w:t>
      </w:r>
      <w:r>
        <w:t xml:space="preserve"> </w:t>
      </w:r>
      <w:r w:rsidRPr="009255ED">
        <w:t>právní</w:t>
      </w:r>
      <w:r>
        <w:t xml:space="preserve"> </w:t>
      </w:r>
      <w:r w:rsidRPr="009255ED">
        <w:t>moci</w:t>
      </w:r>
      <w:r>
        <w:t xml:space="preserve"> </w:t>
      </w:r>
      <w:r w:rsidRPr="009255ED">
        <w:t>změny</w:t>
      </w:r>
      <w:r>
        <w:t xml:space="preserve"> </w:t>
      </w:r>
      <w:r w:rsidRPr="009255ED">
        <w:t>územního</w:t>
      </w:r>
      <w:r>
        <w:t xml:space="preserve"> </w:t>
      </w:r>
      <w:r w:rsidRPr="009255ED">
        <w:t>plánu</w:t>
      </w:r>
      <w:r>
        <w:t xml:space="preserve"> </w:t>
      </w:r>
      <w:r w:rsidRPr="009255ED">
        <w:t>nebo</w:t>
      </w:r>
      <w:r>
        <w:t xml:space="preserve"> </w:t>
      </w:r>
      <w:r w:rsidRPr="009255ED">
        <w:t>změny</w:t>
      </w:r>
      <w:r>
        <w:t xml:space="preserve"> </w:t>
      </w:r>
      <w:r w:rsidRPr="009255ED">
        <w:t>regulačního</w:t>
      </w:r>
      <w:r>
        <w:t xml:space="preserve"> </w:t>
      </w:r>
      <w:r w:rsidRPr="009255ED">
        <w:t>plánu</w:t>
      </w:r>
      <w:r>
        <w:t xml:space="preserve"> </w:t>
      </w:r>
      <w:r w:rsidRPr="009255ED">
        <w:t>nebo</w:t>
      </w:r>
      <w:r>
        <w:t xml:space="preserve"> </w:t>
      </w:r>
      <w:r w:rsidRPr="009255ED">
        <w:t>nabytí</w:t>
      </w:r>
      <w:r>
        <w:t xml:space="preserve"> </w:t>
      </w:r>
      <w:r w:rsidRPr="009255ED">
        <w:t>právní</w:t>
      </w:r>
      <w:r>
        <w:t xml:space="preserve"> </w:t>
      </w:r>
      <w:r w:rsidRPr="009255ED">
        <w:t>moci</w:t>
      </w:r>
      <w:r>
        <w:t xml:space="preserve"> </w:t>
      </w:r>
      <w:r w:rsidRPr="009255ED">
        <w:t>rozhodnutí</w:t>
      </w:r>
      <w:r>
        <w:t xml:space="preserve"> </w:t>
      </w:r>
      <w:r w:rsidRPr="009255ED">
        <w:t>o</w:t>
      </w:r>
      <w:r>
        <w:t xml:space="preserve"> </w:t>
      </w:r>
      <w:r w:rsidRPr="009255ED">
        <w:t>umístění</w:t>
      </w:r>
      <w:r>
        <w:t xml:space="preserve"> </w:t>
      </w:r>
      <w:r w:rsidRPr="009255ED">
        <w:t>stavby.</w:t>
      </w:r>
      <w:r>
        <w:t xml:space="preserve"> </w:t>
      </w:r>
      <w:r w:rsidRPr="009255ED">
        <w:t>Jestliže</w:t>
      </w:r>
      <w:r>
        <w:t xml:space="preserve"> </w:t>
      </w:r>
      <w:r w:rsidRPr="009255ED">
        <w:t>nebude</w:t>
      </w:r>
      <w:r>
        <w:t xml:space="preserve"> </w:t>
      </w:r>
      <w:r w:rsidRPr="009255ED">
        <w:t>možné</w:t>
      </w:r>
      <w:r>
        <w:t xml:space="preserve"> </w:t>
      </w:r>
      <w:r w:rsidRPr="009255ED">
        <w:t>pozemek</w:t>
      </w:r>
      <w:r>
        <w:t xml:space="preserve"> </w:t>
      </w:r>
      <w:r w:rsidRPr="009255ED">
        <w:t>převést</w:t>
      </w:r>
      <w:r>
        <w:t xml:space="preserve"> </w:t>
      </w:r>
      <w:r w:rsidRPr="009255ED">
        <w:t>zpět,</w:t>
      </w:r>
      <w:r>
        <w:t xml:space="preserve"> </w:t>
      </w:r>
      <w:r w:rsidRPr="009255ED">
        <w:t>protože</w:t>
      </w:r>
      <w:r>
        <w:t xml:space="preserve"> </w:t>
      </w:r>
      <w:r w:rsidRPr="009255ED">
        <w:t>bude</w:t>
      </w:r>
      <w:r>
        <w:t xml:space="preserve"> </w:t>
      </w:r>
      <w:r w:rsidRPr="009255ED">
        <w:t>ve</w:t>
      </w:r>
      <w:r>
        <w:t xml:space="preserve"> </w:t>
      </w:r>
      <w:r w:rsidRPr="009255ED">
        <w:t>vlastnictví</w:t>
      </w:r>
      <w:r>
        <w:t xml:space="preserve"> </w:t>
      </w:r>
      <w:r w:rsidRPr="009255ED">
        <w:t>třetí</w:t>
      </w:r>
      <w:r>
        <w:t xml:space="preserve"> </w:t>
      </w:r>
      <w:r w:rsidRPr="009255ED">
        <w:t>osoby,</w:t>
      </w:r>
      <w:r>
        <w:t xml:space="preserve"> </w:t>
      </w:r>
      <w:r w:rsidRPr="009255ED">
        <w:t>je</w:t>
      </w:r>
      <w:r>
        <w:t xml:space="preserve"> </w:t>
      </w:r>
      <w:r w:rsidRPr="009255ED">
        <w:t>obec</w:t>
      </w:r>
      <w:r>
        <w:t xml:space="preserve"> </w:t>
      </w:r>
      <w:r w:rsidRPr="009255ED">
        <w:t>povinna</w:t>
      </w:r>
      <w:r>
        <w:t xml:space="preserve"> </w:t>
      </w:r>
      <w:r w:rsidRPr="009255ED">
        <w:t>ve</w:t>
      </w:r>
      <w:r>
        <w:t xml:space="preserve"> </w:t>
      </w:r>
      <w:r w:rsidRPr="009255ED">
        <w:t>stejné</w:t>
      </w:r>
      <w:r>
        <w:t xml:space="preserve"> </w:t>
      </w:r>
      <w:r w:rsidRPr="009255ED">
        <w:t>lhůtě</w:t>
      </w:r>
      <w:r>
        <w:t xml:space="preserve"> </w:t>
      </w:r>
      <w:r w:rsidRPr="009255ED">
        <w:t>poskytnout</w:t>
      </w:r>
      <w:r>
        <w:t xml:space="preserve"> </w:t>
      </w:r>
      <w:r w:rsidRPr="009255ED">
        <w:t>Státnímu</w:t>
      </w:r>
      <w:r>
        <w:t xml:space="preserve"> </w:t>
      </w:r>
      <w:r w:rsidRPr="009255ED">
        <w:t>pozemkovému</w:t>
      </w:r>
      <w:r>
        <w:t xml:space="preserve"> </w:t>
      </w:r>
      <w:r w:rsidRPr="009255ED">
        <w:t>úřadu</w:t>
      </w:r>
      <w:r>
        <w:t xml:space="preserve"> </w:t>
      </w:r>
      <w:r w:rsidRPr="009255ED">
        <w:t>finanční</w:t>
      </w:r>
      <w:r>
        <w:t xml:space="preserve"> </w:t>
      </w:r>
      <w:r w:rsidRPr="009255ED">
        <w:t>náhradu</w:t>
      </w:r>
      <w:r>
        <w:t xml:space="preserve"> </w:t>
      </w:r>
      <w:r w:rsidRPr="00DA22D1">
        <w:rPr>
          <w:strike/>
        </w:rPr>
        <w:t xml:space="preserve">ve výši ceny pozemku zjištěné podle cenového </w:t>
      </w:r>
      <w:r w:rsidR="004749D9" w:rsidRPr="00DA22D1">
        <w:rPr>
          <w:strike/>
        </w:rPr>
        <w:t>předpisu</w:t>
      </w:r>
      <w:r w:rsidR="004749D9" w:rsidRPr="00DA22D1">
        <w:rPr>
          <w:rStyle w:val="Znakapoznpodarou"/>
          <w:strike/>
        </w:rPr>
        <w:footnoteReference w:customMarkFollows="1" w:id="536"/>
        <w:t>18)</w:t>
      </w:r>
      <w:r>
        <w:t xml:space="preserve"> </w:t>
      </w:r>
      <w:r w:rsidR="00DA22D1" w:rsidRPr="00166AF2">
        <w:rPr>
          <w:b/>
        </w:rPr>
        <w:t>zjištěné hodnoty pozemku určené podle zákona o oceňování</w:t>
      </w:r>
      <w:r w:rsidR="00513817">
        <w:rPr>
          <w:vertAlign w:val="superscript"/>
        </w:rPr>
        <w:t xml:space="preserve"> </w:t>
      </w:r>
      <w:r w:rsidRPr="009255ED">
        <w:t>platného</w:t>
      </w:r>
      <w:r>
        <w:t xml:space="preserve"> </w:t>
      </w:r>
      <w:r w:rsidRPr="009255ED">
        <w:t>ke</w:t>
      </w:r>
      <w:r>
        <w:t xml:space="preserve"> </w:t>
      </w:r>
      <w:r w:rsidRPr="009255ED">
        <w:t>dni</w:t>
      </w:r>
      <w:r>
        <w:t xml:space="preserve"> </w:t>
      </w:r>
      <w:r w:rsidRPr="009255ED">
        <w:t>uzavření</w:t>
      </w:r>
      <w:r>
        <w:t xml:space="preserve"> </w:t>
      </w:r>
      <w:r w:rsidRPr="009255ED">
        <w:t>smlouvy,</w:t>
      </w:r>
      <w:r>
        <w:t xml:space="preserve"> </w:t>
      </w:r>
      <w:r w:rsidRPr="009255ED">
        <w:t>podle</w:t>
      </w:r>
      <w:r>
        <w:t xml:space="preserve"> </w:t>
      </w:r>
      <w:r w:rsidRPr="009255ED">
        <w:t>které</w:t>
      </w:r>
      <w:r>
        <w:t xml:space="preserve"> </w:t>
      </w:r>
      <w:r w:rsidRPr="009255ED">
        <w:t>byl</w:t>
      </w:r>
      <w:r>
        <w:t xml:space="preserve"> </w:t>
      </w:r>
      <w:r w:rsidRPr="009255ED">
        <w:t>pozemek</w:t>
      </w:r>
      <w:r>
        <w:t xml:space="preserve"> </w:t>
      </w:r>
      <w:r w:rsidRPr="009255ED">
        <w:t>obci</w:t>
      </w:r>
      <w:r>
        <w:t xml:space="preserve"> </w:t>
      </w:r>
      <w:r w:rsidRPr="009255ED">
        <w:t>převeden,</w:t>
      </w:r>
      <w:r>
        <w:t xml:space="preserve"> </w:t>
      </w:r>
      <w:r w:rsidRPr="009255ED">
        <w:t>a</w:t>
      </w:r>
      <w:r>
        <w:t xml:space="preserve"> </w:t>
      </w:r>
      <w:r w:rsidRPr="009255ED">
        <w:t>podle</w:t>
      </w:r>
      <w:r>
        <w:t xml:space="preserve"> </w:t>
      </w:r>
      <w:r w:rsidRPr="009255ED">
        <w:t>současného</w:t>
      </w:r>
      <w:r>
        <w:t xml:space="preserve"> </w:t>
      </w:r>
      <w:r w:rsidRPr="009255ED">
        <w:t>způsobu</w:t>
      </w:r>
      <w:r>
        <w:t xml:space="preserve"> </w:t>
      </w:r>
      <w:r w:rsidRPr="009255ED">
        <w:t>využití</w:t>
      </w:r>
      <w:r>
        <w:t xml:space="preserve"> </w:t>
      </w:r>
      <w:r w:rsidRPr="009255ED">
        <w:t>pozemku.</w:t>
      </w:r>
      <w:r>
        <w:t xml:space="preserve"> </w:t>
      </w:r>
      <w:r w:rsidRPr="009255ED">
        <w:t>Totéž</w:t>
      </w:r>
      <w:r>
        <w:t xml:space="preserve"> </w:t>
      </w:r>
      <w:r w:rsidRPr="009255ED">
        <w:t>platí</w:t>
      </w:r>
      <w:r>
        <w:t xml:space="preserve"> </w:t>
      </w:r>
      <w:r w:rsidRPr="009255ED">
        <w:t>i</w:t>
      </w:r>
      <w:r>
        <w:t xml:space="preserve"> </w:t>
      </w:r>
      <w:r w:rsidRPr="009255ED">
        <w:t>v</w:t>
      </w:r>
      <w:r>
        <w:t xml:space="preserve"> </w:t>
      </w:r>
      <w:r w:rsidRPr="009255ED">
        <w:t>případech,</w:t>
      </w:r>
      <w:r>
        <w:t xml:space="preserve"> </w:t>
      </w:r>
      <w:r w:rsidRPr="009255ED">
        <w:t>kdy</w:t>
      </w:r>
      <w:r>
        <w:t xml:space="preserve"> </w:t>
      </w:r>
      <w:r w:rsidRPr="009255ED">
        <w:t>došlo</w:t>
      </w:r>
      <w:r>
        <w:t xml:space="preserve"> </w:t>
      </w:r>
      <w:r w:rsidRPr="009255ED">
        <w:t>k</w:t>
      </w:r>
      <w:r>
        <w:t xml:space="preserve"> </w:t>
      </w:r>
      <w:r w:rsidRPr="009255ED">
        <w:t>bezúplatnému</w:t>
      </w:r>
      <w:r>
        <w:t xml:space="preserve"> </w:t>
      </w:r>
      <w:r w:rsidRPr="009255ED">
        <w:t>převodu</w:t>
      </w:r>
      <w:r>
        <w:t xml:space="preserve"> </w:t>
      </w:r>
      <w:r w:rsidRPr="009255ED">
        <w:t>pozemku</w:t>
      </w:r>
      <w:r>
        <w:t xml:space="preserve"> </w:t>
      </w:r>
      <w:r w:rsidRPr="009255ED">
        <w:t>do</w:t>
      </w:r>
      <w:r>
        <w:t xml:space="preserve"> </w:t>
      </w:r>
      <w:r w:rsidRPr="009255ED">
        <w:t>vlastnictví</w:t>
      </w:r>
      <w:r>
        <w:t xml:space="preserve"> </w:t>
      </w:r>
      <w:r w:rsidRPr="009255ED">
        <w:t>obce</w:t>
      </w:r>
      <w:r>
        <w:t xml:space="preserve"> </w:t>
      </w:r>
      <w:r w:rsidRPr="009255ED">
        <w:t>podle</w:t>
      </w:r>
      <w:r>
        <w:t xml:space="preserve"> </w:t>
      </w:r>
      <w:r w:rsidRPr="009255ED">
        <w:t>§</w:t>
      </w:r>
      <w:r>
        <w:t xml:space="preserve"> </w:t>
      </w:r>
      <w:r w:rsidRPr="009255ED">
        <w:t>7</w:t>
      </w:r>
      <w:r>
        <w:t xml:space="preserve"> </w:t>
      </w:r>
      <w:r w:rsidRPr="009255ED">
        <w:t>odst.</w:t>
      </w:r>
      <w:r>
        <w:t xml:space="preserve"> </w:t>
      </w:r>
      <w:r w:rsidRPr="009255ED">
        <w:t>1</w:t>
      </w:r>
      <w:r>
        <w:t xml:space="preserve"> </w:t>
      </w:r>
      <w:r w:rsidRPr="009255ED">
        <w:t>písm.</w:t>
      </w:r>
      <w:r>
        <w:t xml:space="preserve"> </w:t>
      </w:r>
      <w:r w:rsidRPr="009255ED">
        <w:t>e)</w:t>
      </w:r>
      <w:r>
        <w:t xml:space="preserve"> </w:t>
      </w:r>
      <w:r w:rsidRPr="009255ED">
        <w:t>a</w:t>
      </w:r>
      <w:r>
        <w:t xml:space="preserve"> </w:t>
      </w:r>
      <w:r w:rsidRPr="009255ED">
        <w:t>pozemek</w:t>
      </w:r>
      <w:r>
        <w:t xml:space="preserve"> </w:t>
      </w:r>
      <w:r w:rsidRPr="009255ED">
        <w:t>byl</w:t>
      </w:r>
      <w:r>
        <w:t xml:space="preserve"> </w:t>
      </w:r>
      <w:r w:rsidRPr="009255ED">
        <w:t>využit</w:t>
      </w:r>
      <w:r>
        <w:t xml:space="preserve"> </w:t>
      </w:r>
      <w:r w:rsidRPr="009255ED">
        <w:t>jinak</w:t>
      </w:r>
      <w:r>
        <w:t xml:space="preserve"> </w:t>
      </w:r>
      <w:r w:rsidRPr="009255ED">
        <w:t>než</w:t>
      </w:r>
      <w:r>
        <w:t xml:space="preserve"> </w:t>
      </w:r>
      <w:r w:rsidRPr="009255ED">
        <w:t>k</w:t>
      </w:r>
      <w:r>
        <w:t xml:space="preserve"> </w:t>
      </w:r>
      <w:r w:rsidRPr="009255ED">
        <w:t>realizaci</w:t>
      </w:r>
      <w:r>
        <w:t xml:space="preserve"> </w:t>
      </w:r>
      <w:r w:rsidRPr="009255ED">
        <w:t>veřejné</w:t>
      </w:r>
      <w:r>
        <w:t xml:space="preserve"> </w:t>
      </w:r>
      <w:r w:rsidRPr="009255ED">
        <w:t>zeleně</w:t>
      </w:r>
      <w:r>
        <w:t xml:space="preserve"> </w:t>
      </w:r>
      <w:r w:rsidRPr="009255ED">
        <w:t>nebo</w:t>
      </w:r>
      <w:r>
        <w:t xml:space="preserve"> </w:t>
      </w:r>
      <w:r w:rsidRPr="009255ED">
        <w:t>k</w:t>
      </w:r>
      <w:r>
        <w:t xml:space="preserve"> </w:t>
      </w:r>
      <w:r w:rsidRPr="009255ED">
        <w:t>realizaci</w:t>
      </w:r>
      <w:r>
        <w:t xml:space="preserve"> </w:t>
      </w:r>
      <w:r w:rsidRPr="009255ED">
        <w:t>veřejně</w:t>
      </w:r>
      <w:r>
        <w:t xml:space="preserve"> </w:t>
      </w:r>
      <w:r w:rsidRPr="009255ED">
        <w:t>prospěšných</w:t>
      </w:r>
      <w:r>
        <w:t xml:space="preserve"> </w:t>
      </w:r>
      <w:r w:rsidRPr="009255ED">
        <w:t>opatření.</w:t>
      </w:r>
    </w:p>
    <w:p w14:paraId="4B1F43A0" w14:textId="18E57576" w:rsidR="001965B7" w:rsidRDefault="001965B7" w:rsidP="005D3450">
      <w:pPr>
        <w:pStyle w:val="Textparagrafu"/>
        <w:keepNext/>
        <w:keepLines/>
        <w:tabs>
          <w:tab w:val="left" w:pos="392"/>
          <w:tab w:val="left" w:pos="840"/>
        </w:tabs>
        <w:spacing w:before="120" w:after="120"/>
      </w:pPr>
      <w:r w:rsidRPr="009255ED">
        <w:t>(2)</w:t>
      </w:r>
      <w:r>
        <w:t xml:space="preserve"> </w:t>
      </w:r>
      <w:r w:rsidRPr="009255ED">
        <w:t>V</w:t>
      </w:r>
      <w:r>
        <w:t xml:space="preserve"> </w:t>
      </w:r>
      <w:r w:rsidRPr="009255ED">
        <w:t>případě</w:t>
      </w:r>
      <w:r>
        <w:t xml:space="preserve"> </w:t>
      </w:r>
      <w:r w:rsidRPr="009255ED">
        <w:t>změny</w:t>
      </w:r>
      <w:r>
        <w:t xml:space="preserve"> </w:t>
      </w:r>
      <w:r w:rsidRPr="009255ED">
        <w:t>územně</w:t>
      </w:r>
      <w:r>
        <w:t xml:space="preserve"> </w:t>
      </w:r>
      <w:r w:rsidRPr="009255ED">
        <w:t>plánovací</w:t>
      </w:r>
      <w:r>
        <w:t xml:space="preserve"> </w:t>
      </w:r>
      <w:r w:rsidRPr="009255ED">
        <w:t>dokumentace,</w:t>
      </w:r>
      <w:r>
        <w:t xml:space="preserve"> </w:t>
      </w:r>
      <w:r w:rsidRPr="009255ED">
        <w:t>která</w:t>
      </w:r>
      <w:r>
        <w:t xml:space="preserve"> </w:t>
      </w:r>
      <w:r w:rsidRPr="009255ED">
        <w:t>by</w:t>
      </w:r>
      <w:r>
        <w:t xml:space="preserve"> </w:t>
      </w:r>
      <w:r w:rsidRPr="009255ED">
        <w:t>v</w:t>
      </w:r>
      <w:r>
        <w:t xml:space="preserve"> </w:t>
      </w:r>
      <w:r w:rsidRPr="009255ED">
        <w:t>rámci</w:t>
      </w:r>
      <w:r>
        <w:t xml:space="preserve"> </w:t>
      </w:r>
      <w:r w:rsidRPr="009255ED">
        <w:t>hlavního</w:t>
      </w:r>
      <w:r>
        <w:t xml:space="preserve"> </w:t>
      </w:r>
      <w:r w:rsidRPr="009255ED">
        <w:t>funkčního</w:t>
      </w:r>
      <w:r>
        <w:t xml:space="preserve"> </w:t>
      </w:r>
      <w:r w:rsidRPr="009255ED">
        <w:t>využití</w:t>
      </w:r>
      <w:r>
        <w:t xml:space="preserve"> </w:t>
      </w:r>
      <w:r w:rsidRPr="009255ED">
        <w:t>plochy</w:t>
      </w:r>
      <w:r>
        <w:t xml:space="preserve"> </w:t>
      </w:r>
      <w:r w:rsidRPr="009255ED">
        <w:t>neumožnila</w:t>
      </w:r>
      <w:r>
        <w:t xml:space="preserve"> </w:t>
      </w:r>
      <w:r w:rsidRPr="009255ED">
        <w:t>naplnění</w:t>
      </w:r>
      <w:r>
        <w:t xml:space="preserve"> </w:t>
      </w:r>
      <w:r w:rsidRPr="009255ED">
        <w:t>účelu</w:t>
      </w:r>
      <w:r>
        <w:t xml:space="preserve"> </w:t>
      </w:r>
      <w:r w:rsidRPr="009255ED">
        <w:t>převodu</w:t>
      </w:r>
      <w:r>
        <w:t xml:space="preserve"> </w:t>
      </w:r>
      <w:r w:rsidRPr="009255ED">
        <w:t>pozemku</w:t>
      </w:r>
      <w:r>
        <w:t xml:space="preserve"> </w:t>
      </w:r>
      <w:r w:rsidRPr="009255ED">
        <w:t>podle§</w:t>
      </w:r>
      <w:r>
        <w:t xml:space="preserve"> </w:t>
      </w:r>
      <w:r w:rsidRPr="009255ED">
        <w:t>7,</w:t>
      </w:r>
      <w:r>
        <w:t xml:space="preserve"> </w:t>
      </w:r>
      <w:r w:rsidRPr="009255ED">
        <w:t>či</w:t>
      </w:r>
      <w:r>
        <w:t xml:space="preserve"> </w:t>
      </w:r>
      <w:r w:rsidRPr="009255ED">
        <w:t>změny</w:t>
      </w:r>
      <w:r>
        <w:t xml:space="preserve"> </w:t>
      </w:r>
      <w:r w:rsidRPr="009255ED">
        <w:t>rozhodnutí</w:t>
      </w:r>
      <w:r>
        <w:t xml:space="preserve"> </w:t>
      </w:r>
      <w:r w:rsidRPr="009255ED">
        <w:t>o</w:t>
      </w:r>
      <w:r>
        <w:t xml:space="preserve"> </w:t>
      </w:r>
      <w:r w:rsidRPr="009255ED">
        <w:t>umístění</w:t>
      </w:r>
      <w:r>
        <w:t xml:space="preserve"> </w:t>
      </w:r>
      <w:r w:rsidRPr="009255ED">
        <w:t>stavby,</w:t>
      </w:r>
      <w:r>
        <w:t xml:space="preserve"> </w:t>
      </w:r>
      <w:r w:rsidRPr="009255ED">
        <w:t>na</w:t>
      </w:r>
      <w:r>
        <w:t xml:space="preserve"> </w:t>
      </w:r>
      <w:r w:rsidRPr="009255ED">
        <w:t>základě</w:t>
      </w:r>
      <w:r>
        <w:t xml:space="preserve"> </w:t>
      </w:r>
      <w:r w:rsidRPr="009255ED">
        <w:t>kterého</w:t>
      </w:r>
      <w:r>
        <w:t xml:space="preserve"> </w:t>
      </w:r>
      <w:r w:rsidRPr="009255ED">
        <w:t>došlo</w:t>
      </w:r>
      <w:r>
        <w:t xml:space="preserve"> </w:t>
      </w:r>
      <w:r w:rsidRPr="009255ED">
        <w:t>k</w:t>
      </w:r>
      <w:r>
        <w:t xml:space="preserve"> </w:t>
      </w:r>
      <w:r w:rsidRPr="009255ED">
        <w:t>bezúplatnému</w:t>
      </w:r>
      <w:r>
        <w:t xml:space="preserve"> </w:t>
      </w:r>
      <w:r w:rsidRPr="009255ED">
        <w:t>převodu</w:t>
      </w:r>
      <w:r>
        <w:t xml:space="preserve"> </w:t>
      </w:r>
      <w:r w:rsidRPr="009255ED">
        <w:t>pozemku</w:t>
      </w:r>
      <w:r>
        <w:t xml:space="preserve"> </w:t>
      </w:r>
      <w:r w:rsidRPr="009255ED">
        <w:t>do</w:t>
      </w:r>
      <w:r>
        <w:t xml:space="preserve"> </w:t>
      </w:r>
      <w:r w:rsidRPr="009255ED">
        <w:t>vlastnictví</w:t>
      </w:r>
      <w:r>
        <w:t xml:space="preserve"> </w:t>
      </w:r>
      <w:r w:rsidRPr="009255ED">
        <w:t>kraje</w:t>
      </w:r>
      <w:r>
        <w:t xml:space="preserve"> </w:t>
      </w:r>
      <w:r w:rsidRPr="009255ED">
        <w:t>podle</w:t>
      </w:r>
      <w:r>
        <w:t xml:space="preserve"> </w:t>
      </w:r>
      <w:r w:rsidRPr="009255ED">
        <w:t>§</w:t>
      </w:r>
      <w:r>
        <w:t xml:space="preserve"> </w:t>
      </w:r>
      <w:r w:rsidRPr="009255ED">
        <w:t>7</w:t>
      </w:r>
      <w:r>
        <w:t xml:space="preserve"> </w:t>
      </w:r>
      <w:r w:rsidRPr="009255ED">
        <w:t>odst.</w:t>
      </w:r>
      <w:r>
        <w:t xml:space="preserve"> </w:t>
      </w:r>
      <w:r w:rsidRPr="009255ED">
        <w:t>3</w:t>
      </w:r>
      <w:r>
        <w:t xml:space="preserve"> </w:t>
      </w:r>
      <w:r w:rsidRPr="009255ED">
        <w:t>písm.</w:t>
      </w:r>
      <w:r>
        <w:t xml:space="preserve"> </w:t>
      </w:r>
      <w:r w:rsidRPr="009255ED">
        <w:t>a),</w:t>
      </w:r>
      <w:r>
        <w:t xml:space="preserve"> </w:t>
      </w:r>
      <w:r w:rsidRPr="009255ED">
        <w:t>b)</w:t>
      </w:r>
      <w:r>
        <w:t xml:space="preserve"> </w:t>
      </w:r>
      <w:r w:rsidRPr="009255ED">
        <w:t>nebo</w:t>
      </w:r>
      <w:r>
        <w:t xml:space="preserve"> </w:t>
      </w:r>
      <w:r w:rsidRPr="009255ED">
        <w:t>c),</w:t>
      </w:r>
      <w:r>
        <w:t xml:space="preserve"> </w:t>
      </w:r>
      <w:r w:rsidRPr="009255ED">
        <w:t>kterým</w:t>
      </w:r>
      <w:r>
        <w:t xml:space="preserve"> </w:t>
      </w:r>
      <w:r w:rsidRPr="009255ED">
        <w:t>by</w:t>
      </w:r>
      <w:r>
        <w:t xml:space="preserve"> </w:t>
      </w:r>
      <w:r w:rsidRPr="009255ED">
        <w:t>zamýšlená</w:t>
      </w:r>
      <w:r>
        <w:t xml:space="preserve"> </w:t>
      </w:r>
      <w:r w:rsidRPr="009255ED">
        <w:t>stavba</w:t>
      </w:r>
      <w:r>
        <w:t xml:space="preserve"> </w:t>
      </w:r>
      <w:r w:rsidRPr="009255ED">
        <w:t>nebyla</w:t>
      </w:r>
      <w:r>
        <w:t xml:space="preserve"> </w:t>
      </w:r>
      <w:r w:rsidRPr="009255ED">
        <w:t>veřejně</w:t>
      </w:r>
      <w:r>
        <w:t xml:space="preserve"> </w:t>
      </w:r>
      <w:r w:rsidRPr="009255ED">
        <w:t>prospěšnou</w:t>
      </w:r>
      <w:r>
        <w:t xml:space="preserve"> </w:t>
      </w:r>
      <w:r w:rsidRPr="009255ED">
        <w:t>stavbou,</w:t>
      </w:r>
      <w:r>
        <w:t xml:space="preserve"> </w:t>
      </w:r>
      <w:r w:rsidRPr="009255ED">
        <w:t>je</w:t>
      </w:r>
      <w:r>
        <w:t xml:space="preserve"> </w:t>
      </w:r>
      <w:r w:rsidRPr="009255ED">
        <w:t>kraj</w:t>
      </w:r>
      <w:r>
        <w:t xml:space="preserve"> </w:t>
      </w:r>
      <w:r w:rsidRPr="009255ED">
        <w:t>povinen</w:t>
      </w:r>
      <w:r>
        <w:t xml:space="preserve"> </w:t>
      </w:r>
      <w:r w:rsidRPr="009255ED">
        <w:t>zemědělský</w:t>
      </w:r>
      <w:r>
        <w:t xml:space="preserve"> </w:t>
      </w:r>
      <w:r w:rsidRPr="009255ED">
        <w:t>pozemek</w:t>
      </w:r>
      <w:r>
        <w:t xml:space="preserve"> </w:t>
      </w:r>
      <w:r w:rsidRPr="009255ED">
        <w:t>převést</w:t>
      </w:r>
      <w:r>
        <w:t xml:space="preserve"> </w:t>
      </w:r>
      <w:r w:rsidRPr="009255ED">
        <w:t>zpět</w:t>
      </w:r>
      <w:r>
        <w:t xml:space="preserve"> </w:t>
      </w:r>
      <w:r w:rsidRPr="009255ED">
        <w:t>za</w:t>
      </w:r>
      <w:r>
        <w:t xml:space="preserve"> </w:t>
      </w:r>
      <w:r w:rsidRPr="009255ED">
        <w:t>stejných</w:t>
      </w:r>
      <w:r>
        <w:t xml:space="preserve"> </w:t>
      </w:r>
      <w:r w:rsidRPr="009255ED">
        <w:t>podmínek,</w:t>
      </w:r>
      <w:r>
        <w:t xml:space="preserve"> </w:t>
      </w:r>
      <w:r w:rsidRPr="009255ED">
        <w:t>za</w:t>
      </w:r>
      <w:r>
        <w:t xml:space="preserve"> </w:t>
      </w:r>
      <w:r w:rsidRPr="009255ED">
        <w:t>jakých</w:t>
      </w:r>
      <w:r>
        <w:t xml:space="preserve"> </w:t>
      </w:r>
      <w:r w:rsidRPr="009255ED">
        <w:t>byl</w:t>
      </w:r>
      <w:r>
        <w:t xml:space="preserve"> </w:t>
      </w:r>
      <w:r w:rsidRPr="009255ED">
        <w:t>na</w:t>
      </w:r>
      <w:r>
        <w:t xml:space="preserve"> </w:t>
      </w:r>
      <w:r w:rsidRPr="009255ED">
        <w:t>kraj</w:t>
      </w:r>
      <w:r>
        <w:t xml:space="preserve"> </w:t>
      </w:r>
      <w:r w:rsidRPr="009255ED">
        <w:t>převeden,</w:t>
      </w:r>
      <w:r>
        <w:t xml:space="preserve"> </w:t>
      </w:r>
      <w:r w:rsidRPr="009255ED">
        <w:t>a</w:t>
      </w:r>
      <w:r>
        <w:t xml:space="preserve"> </w:t>
      </w:r>
      <w:r w:rsidRPr="009255ED">
        <w:t>to</w:t>
      </w:r>
      <w:r>
        <w:t xml:space="preserve"> </w:t>
      </w:r>
      <w:r w:rsidRPr="009255ED">
        <w:t>ve</w:t>
      </w:r>
      <w:r>
        <w:t xml:space="preserve"> </w:t>
      </w:r>
      <w:r w:rsidRPr="009255ED">
        <w:t>lhůtě</w:t>
      </w:r>
      <w:r>
        <w:t xml:space="preserve"> </w:t>
      </w:r>
      <w:r w:rsidRPr="009255ED">
        <w:t>do</w:t>
      </w:r>
      <w:r>
        <w:t xml:space="preserve"> </w:t>
      </w:r>
      <w:r w:rsidRPr="009255ED">
        <w:t>6</w:t>
      </w:r>
      <w:r>
        <w:t xml:space="preserve"> </w:t>
      </w:r>
      <w:r w:rsidRPr="009255ED">
        <w:t>měsíců</w:t>
      </w:r>
      <w:r>
        <w:t xml:space="preserve"> </w:t>
      </w:r>
      <w:r w:rsidRPr="009255ED">
        <w:t>ode</w:t>
      </w:r>
      <w:r>
        <w:t xml:space="preserve"> </w:t>
      </w:r>
      <w:r w:rsidRPr="009255ED">
        <w:t>dne</w:t>
      </w:r>
      <w:r>
        <w:t xml:space="preserve"> </w:t>
      </w:r>
      <w:r w:rsidRPr="009255ED">
        <w:t>nabytí</w:t>
      </w:r>
      <w:r>
        <w:t xml:space="preserve"> </w:t>
      </w:r>
      <w:r w:rsidRPr="009255ED">
        <w:t>účinnosti</w:t>
      </w:r>
      <w:r>
        <w:t xml:space="preserve"> </w:t>
      </w:r>
      <w:r w:rsidRPr="009255ED">
        <w:t>změny</w:t>
      </w:r>
      <w:r>
        <w:t xml:space="preserve"> </w:t>
      </w:r>
      <w:r w:rsidRPr="009255ED">
        <w:t>územního</w:t>
      </w:r>
      <w:r>
        <w:t xml:space="preserve"> </w:t>
      </w:r>
      <w:r w:rsidRPr="009255ED">
        <w:t>plánu</w:t>
      </w:r>
      <w:r>
        <w:t xml:space="preserve"> </w:t>
      </w:r>
      <w:r w:rsidRPr="009255ED">
        <w:t>nebo</w:t>
      </w:r>
      <w:r>
        <w:t xml:space="preserve"> </w:t>
      </w:r>
      <w:r w:rsidRPr="009255ED">
        <w:t>změny</w:t>
      </w:r>
      <w:r>
        <w:t xml:space="preserve"> </w:t>
      </w:r>
      <w:r w:rsidRPr="009255ED">
        <w:t>regulačního</w:t>
      </w:r>
      <w:r>
        <w:t xml:space="preserve"> </w:t>
      </w:r>
      <w:r w:rsidRPr="009255ED">
        <w:t>plánu</w:t>
      </w:r>
      <w:r>
        <w:t xml:space="preserve"> </w:t>
      </w:r>
      <w:r w:rsidRPr="009255ED">
        <w:t>nebo</w:t>
      </w:r>
      <w:r>
        <w:t xml:space="preserve"> </w:t>
      </w:r>
      <w:r w:rsidRPr="009255ED">
        <w:t>ode</w:t>
      </w:r>
      <w:r>
        <w:t xml:space="preserve"> </w:t>
      </w:r>
      <w:r w:rsidRPr="009255ED">
        <w:t>dne</w:t>
      </w:r>
      <w:r>
        <w:t xml:space="preserve"> </w:t>
      </w:r>
      <w:r w:rsidRPr="009255ED">
        <w:t>nabytí</w:t>
      </w:r>
      <w:r>
        <w:t xml:space="preserve"> </w:t>
      </w:r>
      <w:r w:rsidRPr="009255ED">
        <w:t>právní</w:t>
      </w:r>
      <w:r>
        <w:t xml:space="preserve"> </w:t>
      </w:r>
      <w:r w:rsidRPr="009255ED">
        <w:t>moci</w:t>
      </w:r>
      <w:r>
        <w:t xml:space="preserve"> </w:t>
      </w:r>
      <w:r w:rsidRPr="009255ED">
        <w:t>rozhodnutí</w:t>
      </w:r>
      <w:r>
        <w:t xml:space="preserve"> </w:t>
      </w:r>
      <w:r w:rsidRPr="009255ED">
        <w:t>o</w:t>
      </w:r>
      <w:r>
        <w:t xml:space="preserve"> </w:t>
      </w:r>
      <w:r w:rsidRPr="009255ED">
        <w:t>umístění</w:t>
      </w:r>
      <w:r>
        <w:t xml:space="preserve"> </w:t>
      </w:r>
      <w:r w:rsidRPr="009255ED">
        <w:t>stavby.</w:t>
      </w:r>
      <w:r>
        <w:t xml:space="preserve"> </w:t>
      </w:r>
      <w:r w:rsidRPr="009255ED">
        <w:t>Jestliže</w:t>
      </w:r>
      <w:r>
        <w:t xml:space="preserve"> </w:t>
      </w:r>
      <w:r w:rsidRPr="009255ED">
        <w:t>nebude</w:t>
      </w:r>
      <w:r>
        <w:t xml:space="preserve"> </w:t>
      </w:r>
      <w:r w:rsidRPr="009255ED">
        <w:t>možné</w:t>
      </w:r>
      <w:r>
        <w:t xml:space="preserve"> </w:t>
      </w:r>
      <w:r w:rsidRPr="009255ED">
        <w:t>pozemek</w:t>
      </w:r>
      <w:r>
        <w:t xml:space="preserve"> </w:t>
      </w:r>
      <w:r w:rsidRPr="009255ED">
        <w:t>převést</w:t>
      </w:r>
      <w:r>
        <w:t xml:space="preserve"> </w:t>
      </w:r>
      <w:r w:rsidRPr="009255ED">
        <w:t>zpět,</w:t>
      </w:r>
      <w:r>
        <w:t xml:space="preserve"> </w:t>
      </w:r>
      <w:r w:rsidRPr="009255ED">
        <w:t>protože</w:t>
      </w:r>
      <w:r>
        <w:t xml:space="preserve"> </w:t>
      </w:r>
      <w:r w:rsidRPr="009255ED">
        <w:t>je</w:t>
      </w:r>
      <w:r>
        <w:t xml:space="preserve"> </w:t>
      </w:r>
      <w:r w:rsidRPr="009255ED">
        <w:t>ve</w:t>
      </w:r>
      <w:r>
        <w:t xml:space="preserve"> </w:t>
      </w:r>
      <w:r w:rsidRPr="009255ED">
        <w:t>vlastnictví</w:t>
      </w:r>
      <w:r>
        <w:t xml:space="preserve"> </w:t>
      </w:r>
      <w:r w:rsidRPr="009255ED">
        <w:t>třetí</w:t>
      </w:r>
      <w:r>
        <w:t xml:space="preserve"> </w:t>
      </w:r>
      <w:r w:rsidRPr="009255ED">
        <w:t>osoby,</w:t>
      </w:r>
      <w:r>
        <w:t xml:space="preserve"> </w:t>
      </w:r>
      <w:r w:rsidRPr="009255ED">
        <w:t>je</w:t>
      </w:r>
      <w:r>
        <w:t xml:space="preserve"> </w:t>
      </w:r>
      <w:r w:rsidRPr="009255ED">
        <w:t>kraj</w:t>
      </w:r>
      <w:r>
        <w:t xml:space="preserve"> </w:t>
      </w:r>
      <w:r w:rsidRPr="009255ED">
        <w:t>povinen</w:t>
      </w:r>
      <w:r>
        <w:t xml:space="preserve"> </w:t>
      </w:r>
      <w:r w:rsidRPr="009255ED">
        <w:t>ve</w:t>
      </w:r>
      <w:r>
        <w:t xml:space="preserve"> </w:t>
      </w:r>
      <w:r w:rsidRPr="009255ED">
        <w:t>stejné</w:t>
      </w:r>
      <w:r>
        <w:t xml:space="preserve"> </w:t>
      </w:r>
      <w:r w:rsidRPr="009255ED">
        <w:t>lhůtě</w:t>
      </w:r>
      <w:r>
        <w:t xml:space="preserve"> </w:t>
      </w:r>
      <w:r w:rsidRPr="009255ED">
        <w:t>poskytnout</w:t>
      </w:r>
      <w:r>
        <w:t xml:space="preserve"> </w:t>
      </w:r>
      <w:r w:rsidRPr="009255ED">
        <w:t>Státnímu</w:t>
      </w:r>
      <w:r>
        <w:t xml:space="preserve"> </w:t>
      </w:r>
      <w:r w:rsidRPr="009255ED">
        <w:t>pozemkovému</w:t>
      </w:r>
      <w:r>
        <w:t xml:space="preserve"> </w:t>
      </w:r>
      <w:r w:rsidRPr="009255ED">
        <w:t>úřadu</w:t>
      </w:r>
      <w:r>
        <w:t xml:space="preserve"> </w:t>
      </w:r>
      <w:r w:rsidRPr="009255ED">
        <w:t>finanční</w:t>
      </w:r>
      <w:r>
        <w:t xml:space="preserve"> </w:t>
      </w:r>
      <w:r w:rsidRPr="009255ED">
        <w:t>náhradu</w:t>
      </w:r>
      <w:r>
        <w:t xml:space="preserve"> </w:t>
      </w:r>
      <w:r w:rsidRPr="009255ED">
        <w:t>ve</w:t>
      </w:r>
      <w:r>
        <w:t xml:space="preserve"> </w:t>
      </w:r>
      <w:r w:rsidRPr="009255ED">
        <w:t>výši</w:t>
      </w:r>
      <w:r>
        <w:t xml:space="preserve"> </w:t>
      </w:r>
      <w:r w:rsidRPr="00DA22D1">
        <w:rPr>
          <w:strike/>
        </w:rPr>
        <w:t xml:space="preserve">ceny pozemku zjištěné podle cenového </w:t>
      </w:r>
      <w:r w:rsidR="00257D6B" w:rsidRPr="00DA22D1">
        <w:rPr>
          <w:strike/>
        </w:rPr>
        <w:t>předpisu</w:t>
      </w:r>
      <w:r w:rsidR="004749D9" w:rsidRPr="00DA22D1">
        <w:rPr>
          <w:strike/>
          <w:vertAlign w:val="superscript"/>
        </w:rPr>
        <w:t>18)</w:t>
      </w:r>
      <w:r>
        <w:t xml:space="preserve"> </w:t>
      </w:r>
      <w:r w:rsidR="00DA22D1" w:rsidRPr="00166AF2">
        <w:rPr>
          <w:b/>
        </w:rPr>
        <w:t>zjištěné hodnoty pozemku určené podle zákona o oceňování</w:t>
      </w:r>
      <w:r w:rsidR="00DA22D1" w:rsidRPr="009255ED">
        <w:t xml:space="preserve"> </w:t>
      </w:r>
      <w:r w:rsidRPr="009255ED">
        <w:t>platného</w:t>
      </w:r>
      <w:r>
        <w:t xml:space="preserve"> </w:t>
      </w:r>
      <w:r w:rsidRPr="009255ED">
        <w:t>ke</w:t>
      </w:r>
      <w:r>
        <w:t xml:space="preserve"> </w:t>
      </w:r>
      <w:r w:rsidRPr="009255ED">
        <w:t>dni</w:t>
      </w:r>
      <w:r>
        <w:t xml:space="preserve"> </w:t>
      </w:r>
      <w:r w:rsidRPr="009255ED">
        <w:t>uzavření</w:t>
      </w:r>
      <w:r>
        <w:t xml:space="preserve"> </w:t>
      </w:r>
      <w:r w:rsidRPr="009255ED">
        <w:t>smlouvy,</w:t>
      </w:r>
      <w:r>
        <w:t xml:space="preserve"> </w:t>
      </w:r>
      <w:r w:rsidRPr="009255ED">
        <w:t>podle</w:t>
      </w:r>
      <w:r>
        <w:t xml:space="preserve"> </w:t>
      </w:r>
      <w:r w:rsidRPr="009255ED">
        <w:t>které</w:t>
      </w:r>
      <w:r>
        <w:t xml:space="preserve"> </w:t>
      </w:r>
      <w:r w:rsidRPr="009255ED">
        <w:t>byl</w:t>
      </w:r>
      <w:r>
        <w:t xml:space="preserve"> </w:t>
      </w:r>
      <w:r w:rsidRPr="009255ED">
        <w:t>pozemek</w:t>
      </w:r>
      <w:r>
        <w:t xml:space="preserve"> </w:t>
      </w:r>
      <w:r w:rsidRPr="009255ED">
        <w:t>kraji</w:t>
      </w:r>
      <w:r>
        <w:t xml:space="preserve"> </w:t>
      </w:r>
      <w:r w:rsidRPr="009255ED">
        <w:t>převeden,</w:t>
      </w:r>
      <w:r>
        <w:t xml:space="preserve"> </w:t>
      </w:r>
      <w:r w:rsidRPr="009255ED">
        <w:t>a</w:t>
      </w:r>
      <w:r>
        <w:t xml:space="preserve"> </w:t>
      </w:r>
      <w:r w:rsidRPr="009255ED">
        <w:t>podle</w:t>
      </w:r>
      <w:r>
        <w:t xml:space="preserve"> </w:t>
      </w:r>
      <w:r w:rsidRPr="009255ED">
        <w:t>současného</w:t>
      </w:r>
      <w:r>
        <w:t xml:space="preserve"> </w:t>
      </w:r>
      <w:r w:rsidRPr="009255ED">
        <w:t>způsobu</w:t>
      </w:r>
      <w:r>
        <w:t xml:space="preserve"> </w:t>
      </w:r>
      <w:r w:rsidRPr="009255ED">
        <w:t>využití</w:t>
      </w:r>
      <w:r>
        <w:t xml:space="preserve"> </w:t>
      </w:r>
      <w:r w:rsidRPr="009255ED">
        <w:t>pozemku.</w:t>
      </w:r>
    </w:p>
    <w:p w14:paraId="09722473" w14:textId="77777777" w:rsidR="001965B7" w:rsidRDefault="001965B7" w:rsidP="005D3450">
      <w:pPr>
        <w:pStyle w:val="Textparagrafu"/>
        <w:keepNext/>
        <w:keepLines/>
        <w:tabs>
          <w:tab w:val="left" w:pos="392"/>
          <w:tab w:val="left" w:pos="840"/>
        </w:tabs>
        <w:spacing w:before="120" w:after="120"/>
      </w:pPr>
      <w:r w:rsidRPr="009255ED">
        <w:t>(3)</w:t>
      </w:r>
      <w:r>
        <w:t xml:space="preserve"> </w:t>
      </w:r>
      <w:r w:rsidRPr="009255ED">
        <w:t>Ustanovení</w:t>
      </w:r>
      <w:r>
        <w:t xml:space="preserve"> </w:t>
      </w:r>
      <w:r w:rsidRPr="009255ED">
        <w:t>odstavce</w:t>
      </w:r>
      <w:r>
        <w:t xml:space="preserve"> </w:t>
      </w:r>
      <w:r w:rsidRPr="009255ED">
        <w:t>2</w:t>
      </w:r>
      <w:r>
        <w:t xml:space="preserve"> </w:t>
      </w:r>
      <w:r w:rsidRPr="009255ED">
        <w:t>platí</w:t>
      </w:r>
      <w:r>
        <w:t xml:space="preserve"> </w:t>
      </w:r>
      <w:r w:rsidRPr="009255ED">
        <w:t>i</w:t>
      </w:r>
      <w:r>
        <w:t xml:space="preserve"> </w:t>
      </w:r>
      <w:r w:rsidRPr="009255ED">
        <w:t>v</w:t>
      </w:r>
      <w:r>
        <w:t xml:space="preserve"> </w:t>
      </w:r>
      <w:r w:rsidRPr="009255ED">
        <w:t>případech,</w:t>
      </w:r>
      <w:r>
        <w:t xml:space="preserve"> </w:t>
      </w:r>
      <w:r w:rsidRPr="009255ED">
        <w:t>kdy</w:t>
      </w:r>
      <w:r>
        <w:t xml:space="preserve"> </w:t>
      </w:r>
      <w:r w:rsidRPr="009255ED">
        <w:t>došlo</w:t>
      </w:r>
      <w:r>
        <w:t xml:space="preserve"> </w:t>
      </w:r>
      <w:r w:rsidRPr="009255ED">
        <w:t>k</w:t>
      </w:r>
      <w:r>
        <w:t xml:space="preserve"> </w:t>
      </w:r>
      <w:r w:rsidRPr="009255ED">
        <w:t>bezúplatnému</w:t>
      </w:r>
      <w:r>
        <w:t xml:space="preserve"> </w:t>
      </w:r>
      <w:r w:rsidRPr="009255ED">
        <w:t>převodu</w:t>
      </w:r>
      <w:r>
        <w:t xml:space="preserve"> </w:t>
      </w:r>
      <w:r w:rsidRPr="009255ED">
        <w:t>pozemku</w:t>
      </w:r>
      <w:r>
        <w:t xml:space="preserve"> </w:t>
      </w:r>
      <w:r w:rsidRPr="009255ED">
        <w:t>do</w:t>
      </w:r>
      <w:r>
        <w:t xml:space="preserve"> </w:t>
      </w:r>
      <w:r w:rsidRPr="009255ED">
        <w:t>vlastnictví</w:t>
      </w:r>
      <w:r>
        <w:t xml:space="preserve"> </w:t>
      </w:r>
      <w:r w:rsidRPr="009255ED">
        <w:t>kraje</w:t>
      </w:r>
      <w:r>
        <w:t xml:space="preserve"> </w:t>
      </w:r>
      <w:r w:rsidRPr="009255ED">
        <w:t>podle</w:t>
      </w:r>
      <w:r>
        <w:t xml:space="preserve"> </w:t>
      </w:r>
      <w:r w:rsidRPr="009255ED">
        <w:t>§</w:t>
      </w:r>
      <w:r>
        <w:t xml:space="preserve"> </w:t>
      </w:r>
      <w:r w:rsidRPr="009255ED">
        <w:t>7</w:t>
      </w:r>
      <w:r>
        <w:t xml:space="preserve"> </w:t>
      </w:r>
      <w:r w:rsidRPr="009255ED">
        <w:t>odst.</w:t>
      </w:r>
      <w:r>
        <w:t xml:space="preserve"> </w:t>
      </w:r>
      <w:r w:rsidRPr="009255ED">
        <w:t>3</w:t>
      </w:r>
      <w:r>
        <w:t xml:space="preserve"> </w:t>
      </w:r>
      <w:r w:rsidRPr="009255ED">
        <w:t>písm.</w:t>
      </w:r>
      <w:r>
        <w:t xml:space="preserve"> </w:t>
      </w:r>
      <w:r w:rsidRPr="009255ED">
        <w:t>e)</w:t>
      </w:r>
      <w:r>
        <w:t xml:space="preserve"> </w:t>
      </w:r>
      <w:r w:rsidRPr="009255ED">
        <w:t>a</w:t>
      </w:r>
      <w:r>
        <w:t xml:space="preserve"> </w:t>
      </w:r>
      <w:r w:rsidRPr="009255ED">
        <w:t>pozemek</w:t>
      </w:r>
      <w:r>
        <w:t xml:space="preserve"> </w:t>
      </w:r>
      <w:r w:rsidRPr="009255ED">
        <w:t>byl</w:t>
      </w:r>
      <w:r>
        <w:t xml:space="preserve"> </w:t>
      </w:r>
      <w:r w:rsidRPr="009255ED">
        <w:t>využit</w:t>
      </w:r>
      <w:r>
        <w:t xml:space="preserve"> </w:t>
      </w:r>
      <w:r w:rsidRPr="009255ED">
        <w:t>jinak</w:t>
      </w:r>
      <w:r>
        <w:t xml:space="preserve"> </w:t>
      </w:r>
      <w:r w:rsidRPr="009255ED">
        <w:t>než</w:t>
      </w:r>
      <w:r>
        <w:t xml:space="preserve"> </w:t>
      </w:r>
      <w:r w:rsidRPr="009255ED">
        <w:t>k</w:t>
      </w:r>
      <w:r>
        <w:t xml:space="preserve"> </w:t>
      </w:r>
      <w:r w:rsidRPr="009255ED">
        <w:t>realizaci</w:t>
      </w:r>
      <w:r>
        <w:t xml:space="preserve"> </w:t>
      </w:r>
      <w:r w:rsidRPr="009255ED">
        <w:t>veřejné</w:t>
      </w:r>
      <w:r>
        <w:t xml:space="preserve"> </w:t>
      </w:r>
      <w:r w:rsidRPr="009255ED">
        <w:t>zeleně</w:t>
      </w:r>
      <w:r>
        <w:t xml:space="preserve"> </w:t>
      </w:r>
      <w:r w:rsidRPr="009255ED">
        <w:t>nebo</w:t>
      </w:r>
      <w:r>
        <w:t xml:space="preserve"> </w:t>
      </w:r>
      <w:r w:rsidRPr="009255ED">
        <w:t>k</w:t>
      </w:r>
      <w:r>
        <w:t xml:space="preserve"> </w:t>
      </w:r>
      <w:r w:rsidRPr="009255ED">
        <w:t>realizaci</w:t>
      </w:r>
      <w:r>
        <w:t xml:space="preserve"> </w:t>
      </w:r>
      <w:r w:rsidRPr="009255ED">
        <w:t>veřejně</w:t>
      </w:r>
      <w:r>
        <w:t xml:space="preserve"> </w:t>
      </w:r>
      <w:r w:rsidRPr="009255ED">
        <w:t>prospěšných</w:t>
      </w:r>
      <w:r>
        <w:t xml:space="preserve"> </w:t>
      </w:r>
      <w:r w:rsidRPr="009255ED">
        <w:t>opatření.</w:t>
      </w:r>
    </w:p>
    <w:p w14:paraId="7AED02A6" w14:textId="51D485EA" w:rsidR="001965B7" w:rsidRDefault="001965B7" w:rsidP="005D3450">
      <w:pPr>
        <w:pStyle w:val="Textparagrafu"/>
        <w:keepNext/>
        <w:keepLines/>
        <w:tabs>
          <w:tab w:val="left" w:pos="392"/>
          <w:tab w:val="left" w:pos="840"/>
        </w:tabs>
        <w:spacing w:before="120" w:after="120"/>
      </w:pPr>
      <w:r w:rsidRPr="009255ED">
        <w:t>(4)</w:t>
      </w:r>
      <w:r>
        <w:t xml:space="preserve"> </w:t>
      </w:r>
      <w:r w:rsidRPr="009255ED">
        <w:t>V</w:t>
      </w:r>
      <w:r>
        <w:t xml:space="preserve"> </w:t>
      </w:r>
      <w:r w:rsidRPr="009255ED">
        <w:t>případě</w:t>
      </w:r>
      <w:r>
        <w:t xml:space="preserve"> </w:t>
      </w:r>
      <w:r w:rsidRPr="009255ED">
        <w:t>zrušení</w:t>
      </w:r>
      <w:r>
        <w:t xml:space="preserve"> </w:t>
      </w:r>
      <w:r w:rsidRPr="009255ED">
        <w:t>školy</w:t>
      </w:r>
      <w:r>
        <w:t xml:space="preserve"> </w:t>
      </w:r>
      <w:r w:rsidRPr="009255ED">
        <w:t>nebo</w:t>
      </w:r>
      <w:r>
        <w:t xml:space="preserve"> </w:t>
      </w:r>
      <w:r w:rsidRPr="009255ED">
        <w:t>školského</w:t>
      </w:r>
      <w:r>
        <w:t xml:space="preserve"> </w:t>
      </w:r>
      <w:r w:rsidRPr="009255ED">
        <w:t>zařízení</w:t>
      </w:r>
      <w:r>
        <w:t xml:space="preserve"> </w:t>
      </w:r>
      <w:r w:rsidRPr="009255ED">
        <w:t>zřízeného</w:t>
      </w:r>
      <w:r>
        <w:t xml:space="preserve"> </w:t>
      </w:r>
      <w:r w:rsidRPr="009255ED">
        <w:t>krajem</w:t>
      </w:r>
      <w:r>
        <w:t xml:space="preserve"> </w:t>
      </w:r>
      <w:r w:rsidRPr="009255ED">
        <w:t>je</w:t>
      </w:r>
      <w:r>
        <w:t xml:space="preserve"> </w:t>
      </w:r>
      <w:r w:rsidRPr="009255ED">
        <w:t>kraj</w:t>
      </w:r>
      <w:r>
        <w:t xml:space="preserve"> </w:t>
      </w:r>
      <w:r w:rsidRPr="009255ED">
        <w:t>povinen</w:t>
      </w:r>
      <w:r>
        <w:t xml:space="preserve"> </w:t>
      </w:r>
      <w:r w:rsidRPr="009255ED">
        <w:t>přednostně</w:t>
      </w:r>
      <w:r>
        <w:t xml:space="preserve"> </w:t>
      </w:r>
      <w:r w:rsidRPr="009255ED">
        <w:t>nabídnout</w:t>
      </w:r>
      <w:r>
        <w:t xml:space="preserve"> </w:t>
      </w:r>
      <w:r w:rsidRPr="009255ED">
        <w:t>Státnímu</w:t>
      </w:r>
      <w:r>
        <w:t xml:space="preserve"> </w:t>
      </w:r>
      <w:r w:rsidRPr="009255ED">
        <w:t>pozemkovému</w:t>
      </w:r>
      <w:r>
        <w:t xml:space="preserve"> </w:t>
      </w:r>
      <w:r w:rsidRPr="009255ED">
        <w:t>úřadu</w:t>
      </w:r>
      <w:r>
        <w:t xml:space="preserve"> </w:t>
      </w:r>
      <w:r w:rsidRPr="009255ED">
        <w:t>nemovité</w:t>
      </w:r>
      <w:r>
        <w:t xml:space="preserve"> </w:t>
      </w:r>
      <w:r w:rsidRPr="009255ED">
        <w:t>věci,</w:t>
      </w:r>
      <w:r>
        <w:t xml:space="preserve"> </w:t>
      </w:r>
      <w:r w:rsidRPr="009255ED">
        <w:t>které</w:t>
      </w:r>
      <w:r>
        <w:t xml:space="preserve"> </w:t>
      </w:r>
      <w:r w:rsidRPr="009255ED">
        <w:t>byly</w:t>
      </w:r>
      <w:r>
        <w:t xml:space="preserve"> </w:t>
      </w:r>
      <w:r w:rsidRPr="009255ED">
        <w:t>obci</w:t>
      </w:r>
      <w:r>
        <w:t xml:space="preserve"> </w:t>
      </w:r>
      <w:r w:rsidRPr="009255ED">
        <w:t>nebo</w:t>
      </w:r>
      <w:r>
        <w:t xml:space="preserve"> </w:t>
      </w:r>
      <w:r w:rsidRPr="009255ED">
        <w:t>kraji</w:t>
      </w:r>
      <w:r>
        <w:t xml:space="preserve"> </w:t>
      </w:r>
      <w:r w:rsidRPr="009255ED">
        <w:t>bezúplatně</w:t>
      </w:r>
      <w:r>
        <w:t xml:space="preserve"> </w:t>
      </w:r>
      <w:r w:rsidRPr="009255ED">
        <w:t>převedeny</w:t>
      </w:r>
      <w:r>
        <w:t xml:space="preserve"> </w:t>
      </w:r>
      <w:r w:rsidRPr="009255ED">
        <w:t>Pozemkovým</w:t>
      </w:r>
      <w:r>
        <w:t xml:space="preserve"> </w:t>
      </w:r>
      <w:r w:rsidRPr="009255ED">
        <w:t>fondem</w:t>
      </w:r>
      <w:r>
        <w:t xml:space="preserve"> </w:t>
      </w:r>
      <w:r w:rsidRPr="009255ED">
        <w:t>České</w:t>
      </w:r>
      <w:r>
        <w:t xml:space="preserve"> </w:t>
      </w:r>
      <w:r w:rsidRPr="009255ED">
        <w:t>republiky</w:t>
      </w:r>
      <w:r>
        <w:t xml:space="preserve"> </w:t>
      </w:r>
      <w:r w:rsidRPr="009255ED">
        <w:t>podle</w:t>
      </w:r>
      <w:r>
        <w:t xml:space="preserve"> </w:t>
      </w:r>
      <w:r w:rsidRPr="009255ED">
        <w:t>jiného</w:t>
      </w:r>
      <w:r>
        <w:t xml:space="preserve"> </w:t>
      </w:r>
      <w:r w:rsidRPr="009255ED">
        <w:t>právního</w:t>
      </w:r>
      <w:r>
        <w:t xml:space="preserve"> </w:t>
      </w:r>
      <w:r w:rsidR="00257D6B">
        <w:t>předpisu</w:t>
      </w:r>
      <w:r w:rsidR="00257D6B">
        <w:rPr>
          <w:rStyle w:val="Znakapoznpodarou"/>
        </w:rPr>
        <w:footnoteReference w:customMarkFollows="1" w:id="537"/>
        <w:t>36)</w:t>
      </w:r>
      <w:r>
        <w:t xml:space="preserve"> </w:t>
      </w:r>
      <w:r w:rsidRPr="009255ED">
        <w:t>za</w:t>
      </w:r>
      <w:r>
        <w:t xml:space="preserve"> </w:t>
      </w:r>
      <w:r w:rsidRPr="009255ED">
        <w:t>účelem</w:t>
      </w:r>
      <w:r>
        <w:t xml:space="preserve"> </w:t>
      </w:r>
      <w:r w:rsidRPr="009255ED">
        <w:t>jejich</w:t>
      </w:r>
      <w:r>
        <w:t xml:space="preserve"> </w:t>
      </w:r>
      <w:r w:rsidRPr="009255ED">
        <w:t>potřebnosti</w:t>
      </w:r>
      <w:r>
        <w:t xml:space="preserve"> </w:t>
      </w:r>
      <w:r w:rsidRPr="009255ED">
        <w:t>pro</w:t>
      </w:r>
      <w:r>
        <w:t xml:space="preserve"> </w:t>
      </w:r>
      <w:r w:rsidRPr="009255ED">
        <w:t>činnost</w:t>
      </w:r>
      <w:r>
        <w:t xml:space="preserve"> </w:t>
      </w:r>
      <w:r w:rsidRPr="009255ED">
        <w:t>školy</w:t>
      </w:r>
      <w:r>
        <w:t xml:space="preserve"> </w:t>
      </w:r>
      <w:r w:rsidRPr="009255ED">
        <w:t>nebo</w:t>
      </w:r>
      <w:r>
        <w:t xml:space="preserve"> </w:t>
      </w:r>
      <w:r w:rsidRPr="009255ED">
        <w:t>školského</w:t>
      </w:r>
      <w:r>
        <w:t xml:space="preserve"> </w:t>
      </w:r>
      <w:r w:rsidRPr="009255ED">
        <w:t>zařízení</w:t>
      </w:r>
      <w:r>
        <w:t xml:space="preserve"> </w:t>
      </w:r>
      <w:r w:rsidRPr="009255ED">
        <w:t>zřízených</w:t>
      </w:r>
      <w:r>
        <w:t xml:space="preserve"> </w:t>
      </w:r>
      <w:r w:rsidRPr="009255ED">
        <w:t>tímto</w:t>
      </w:r>
      <w:r>
        <w:t xml:space="preserve"> </w:t>
      </w:r>
      <w:r w:rsidRPr="009255ED">
        <w:t>krajem</w:t>
      </w:r>
      <w:r>
        <w:t xml:space="preserve"> </w:t>
      </w:r>
      <w:r w:rsidRPr="009255ED">
        <w:t>a</w:t>
      </w:r>
      <w:r>
        <w:t xml:space="preserve"> </w:t>
      </w:r>
      <w:r w:rsidRPr="009255ED">
        <w:t>zapsaných</w:t>
      </w:r>
      <w:r>
        <w:t xml:space="preserve"> </w:t>
      </w:r>
      <w:r w:rsidRPr="009255ED">
        <w:t>do</w:t>
      </w:r>
      <w:r>
        <w:t xml:space="preserve"> </w:t>
      </w:r>
      <w:r w:rsidRPr="009255ED">
        <w:t>rejstříku</w:t>
      </w:r>
      <w:r>
        <w:t xml:space="preserve"> </w:t>
      </w:r>
      <w:r w:rsidRPr="009255ED">
        <w:t>škol</w:t>
      </w:r>
      <w:r>
        <w:t xml:space="preserve"> </w:t>
      </w:r>
      <w:r w:rsidRPr="009255ED">
        <w:t>a</w:t>
      </w:r>
      <w:r>
        <w:t xml:space="preserve"> </w:t>
      </w:r>
      <w:r w:rsidRPr="009255ED">
        <w:t>školských</w:t>
      </w:r>
      <w:r>
        <w:t xml:space="preserve"> </w:t>
      </w:r>
      <w:r w:rsidRPr="009255ED">
        <w:t>zařízení</w:t>
      </w:r>
      <w:r>
        <w:t xml:space="preserve"> </w:t>
      </w:r>
      <w:r w:rsidRPr="009255ED">
        <w:t>podle</w:t>
      </w:r>
      <w:r>
        <w:t xml:space="preserve"> </w:t>
      </w:r>
      <w:r w:rsidRPr="009255ED">
        <w:t>jiného</w:t>
      </w:r>
      <w:r>
        <w:t xml:space="preserve"> </w:t>
      </w:r>
      <w:r w:rsidRPr="009255ED">
        <w:t>právního</w:t>
      </w:r>
      <w:r>
        <w:t xml:space="preserve"> </w:t>
      </w:r>
      <w:r w:rsidR="00257D6B">
        <w:t>předpisu</w:t>
      </w:r>
      <w:r w:rsidR="00257D6B">
        <w:rPr>
          <w:rStyle w:val="Znakapoznpodarou"/>
        </w:rPr>
        <w:footnoteReference w:customMarkFollows="1" w:id="538"/>
        <w:t>37)</w:t>
      </w:r>
      <w:r w:rsidRPr="009255ED">
        <w:t>.</w:t>
      </w:r>
    </w:p>
    <w:p w14:paraId="718BA751" w14:textId="77777777" w:rsidR="001965B7" w:rsidRPr="009255ED" w:rsidRDefault="001965B7" w:rsidP="005D3450">
      <w:pPr>
        <w:pStyle w:val="Textparagrafu"/>
        <w:keepNext/>
        <w:keepLines/>
        <w:tabs>
          <w:tab w:val="left" w:pos="392"/>
          <w:tab w:val="left" w:pos="840"/>
        </w:tabs>
        <w:spacing w:before="120" w:after="120"/>
      </w:pPr>
      <w:r w:rsidRPr="009255ED">
        <w:t>(5)</w:t>
      </w:r>
      <w:r>
        <w:t xml:space="preserve"> </w:t>
      </w:r>
      <w:r w:rsidRPr="009255ED">
        <w:t>Povinnosti</w:t>
      </w:r>
      <w:r>
        <w:t xml:space="preserve"> </w:t>
      </w:r>
      <w:r w:rsidRPr="009255ED">
        <w:t>uvedené</w:t>
      </w:r>
      <w:r>
        <w:t xml:space="preserve"> </w:t>
      </w:r>
      <w:r w:rsidRPr="009255ED">
        <w:t>v</w:t>
      </w:r>
      <w:r>
        <w:t xml:space="preserve"> </w:t>
      </w:r>
      <w:r w:rsidRPr="009255ED">
        <w:t>odstavcích</w:t>
      </w:r>
      <w:r>
        <w:t xml:space="preserve"> </w:t>
      </w:r>
      <w:r w:rsidRPr="009255ED">
        <w:t>1</w:t>
      </w:r>
      <w:r>
        <w:t xml:space="preserve"> </w:t>
      </w:r>
      <w:r w:rsidRPr="009255ED">
        <w:t>až</w:t>
      </w:r>
      <w:r>
        <w:t xml:space="preserve"> </w:t>
      </w:r>
      <w:r w:rsidRPr="009255ED">
        <w:t>3</w:t>
      </w:r>
      <w:r>
        <w:t xml:space="preserve"> </w:t>
      </w:r>
      <w:r w:rsidRPr="009255ED">
        <w:t>platí</w:t>
      </w:r>
      <w:r>
        <w:t xml:space="preserve"> </w:t>
      </w:r>
      <w:r w:rsidRPr="009255ED">
        <w:t>po</w:t>
      </w:r>
      <w:r>
        <w:t xml:space="preserve"> </w:t>
      </w:r>
      <w:r w:rsidRPr="009255ED">
        <w:t>dobu</w:t>
      </w:r>
      <w:r>
        <w:t xml:space="preserve"> </w:t>
      </w:r>
      <w:r w:rsidRPr="009255ED">
        <w:t>5</w:t>
      </w:r>
      <w:r>
        <w:t xml:space="preserve"> </w:t>
      </w:r>
      <w:r w:rsidRPr="009255ED">
        <w:t>let</w:t>
      </w:r>
      <w:r>
        <w:t xml:space="preserve"> </w:t>
      </w:r>
      <w:r w:rsidRPr="009255ED">
        <w:t>ode</w:t>
      </w:r>
      <w:r>
        <w:t xml:space="preserve"> </w:t>
      </w:r>
      <w:r w:rsidRPr="009255ED">
        <w:t>dne</w:t>
      </w:r>
      <w:r>
        <w:t xml:space="preserve"> </w:t>
      </w:r>
      <w:r w:rsidRPr="009255ED">
        <w:t>provedení</w:t>
      </w:r>
      <w:r>
        <w:t xml:space="preserve"> </w:t>
      </w:r>
      <w:r w:rsidRPr="009255ED">
        <w:t>vkladu</w:t>
      </w:r>
      <w:r>
        <w:t xml:space="preserve"> </w:t>
      </w:r>
      <w:r w:rsidRPr="009255ED">
        <w:t>vlastnického</w:t>
      </w:r>
      <w:r>
        <w:t xml:space="preserve"> </w:t>
      </w:r>
      <w:r w:rsidRPr="009255ED">
        <w:t>práva</w:t>
      </w:r>
      <w:r>
        <w:t xml:space="preserve"> </w:t>
      </w:r>
      <w:r w:rsidRPr="009255ED">
        <w:t>k</w:t>
      </w:r>
      <w:r>
        <w:t xml:space="preserve"> </w:t>
      </w:r>
      <w:r w:rsidRPr="009255ED">
        <w:t>zemědělskému</w:t>
      </w:r>
      <w:r>
        <w:t xml:space="preserve"> </w:t>
      </w:r>
      <w:r w:rsidRPr="009255ED">
        <w:t>pozemku</w:t>
      </w:r>
      <w:r>
        <w:t xml:space="preserve"> </w:t>
      </w:r>
      <w:r w:rsidRPr="009255ED">
        <w:t>do</w:t>
      </w:r>
      <w:r>
        <w:t xml:space="preserve"> </w:t>
      </w:r>
      <w:r w:rsidRPr="009255ED">
        <w:t>katastru</w:t>
      </w:r>
      <w:r>
        <w:t xml:space="preserve"> </w:t>
      </w:r>
      <w:r w:rsidRPr="009255ED">
        <w:t>nemovitostí</w:t>
      </w:r>
      <w:r>
        <w:t xml:space="preserve"> </w:t>
      </w:r>
      <w:r w:rsidRPr="009255ED">
        <w:t>ve</w:t>
      </w:r>
      <w:r>
        <w:t xml:space="preserve"> </w:t>
      </w:r>
      <w:r w:rsidRPr="009255ED">
        <w:t>prospěch</w:t>
      </w:r>
      <w:r>
        <w:t xml:space="preserve"> </w:t>
      </w:r>
      <w:r w:rsidRPr="009255ED">
        <w:t>obce</w:t>
      </w:r>
      <w:r>
        <w:t xml:space="preserve"> </w:t>
      </w:r>
      <w:r w:rsidRPr="009255ED">
        <w:t>nebo</w:t>
      </w:r>
      <w:r>
        <w:t xml:space="preserve"> </w:t>
      </w:r>
      <w:r w:rsidRPr="009255ED">
        <w:t>kraje.</w:t>
      </w:r>
    </w:p>
    <w:p w14:paraId="365F092E" w14:textId="2206A73A" w:rsidR="001965B7" w:rsidRDefault="001965B7" w:rsidP="005D3450">
      <w:pPr>
        <w:keepNext/>
        <w:keepLines/>
        <w:tabs>
          <w:tab w:val="left" w:pos="851"/>
        </w:tabs>
        <w:spacing w:before="120" w:after="120"/>
        <w:ind w:firstLine="0"/>
        <w:jc w:val="center"/>
        <w:outlineLvl w:val="0"/>
      </w:pPr>
      <w:r>
        <w:t>***</w:t>
      </w:r>
    </w:p>
    <w:p w14:paraId="5E9DF34F" w14:textId="77777777" w:rsidR="001965B7" w:rsidRDefault="001965B7" w:rsidP="005D3450">
      <w:pPr>
        <w:pStyle w:val="Textparagrafu"/>
        <w:keepNext/>
        <w:keepLines/>
        <w:tabs>
          <w:tab w:val="left" w:pos="392"/>
          <w:tab w:val="left" w:pos="840"/>
        </w:tabs>
        <w:spacing w:after="120"/>
        <w:ind w:firstLine="0"/>
        <w:jc w:val="center"/>
      </w:pPr>
      <w:r w:rsidRPr="009255ED">
        <w:t>§</w:t>
      </w:r>
      <w:r>
        <w:t xml:space="preserve"> </w:t>
      </w:r>
      <w:r w:rsidRPr="009255ED">
        <w:t>10a</w:t>
      </w:r>
    </w:p>
    <w:p w14:paraId="6C8BF7C3" w14:textId="77777777" w:rsidR="001965B7" w:rsidRPr="00257D6B" w:rsidRDefault="001965B7" w:rsidP="005D3450">
      <w:pPr>
        <w:pStyle w:val="Textparagrafu"/>
        <w:keepNext/>
        <w:keepLines/>
        <w:tabs>
          <w:tab w:val="left" w:pos="392"/>
          <w:tab w:val="left" w:pos="840"/>
        </w:tabs>
        <w:spacing w:after="120"/>
        <w:ind w:firstLine="0"/>
        <w:jc w:val="center"/>
        <w:rPr>
          <w:b/>
        </w:rPr>
      </w:pPr>
      <w:r w:rsidRPr="00257D6B">
        <w:rPr>
          <w:b/>
        </w:rPr>
        <w:t>Převod zemědělského pozemku na žádost zřizovatele trvalého porostu</w:t>
      </w:r>
    </w:p>
    <w:p w14:paraId="50ACDA6A" w14:textId="77777777" w:rsidR="001965B7" w:rsidRDefault="001965B7" w:rsidP="005D3450">
      <w:pPr>
        <w:pStyle w:val="Textparagrafu"/>
        <w:tabs>
          <w:tab w:val="left" w:pos="392"/>
          <w:tab w:val="left" w:pos="840"/>
        </w:tabs>
        <w:spacing w:before="120" w:after="120"/>
      </w:pPr>
      <w:r w:rsidRPr="009255ED">
        <w:lastRenderedPageBreak/>
        <w:t>(1)</w:t>
      </w:r>
      <w:r>
        <w:t xml:space="preserve"> </w:t>
      </w:r>
      <w:r w:rsidRPr="009255ED">
        <w:t>Osoba,</w:t>
      </w:r>
      <w:r>
        <w:t xml:space="preserve"> </w:t>
      </w:r>
      <w:r w:rsidRPr="009255ED">
        <w:t>která</w:t>
      </w:r>
      <w:r>
        <w:t xml:space="preserve"> </w:t>
      </w:r>
      <w:r w:rsidRPr="009255ED">
        <w:t>s</w:t>
      </w:r>
      <w:r>
        <w:t xml:space="preserve"> </w:t>
      </w:r>
      <w:r w:rsidRPr="009255ED">
        <w:t>předchozím</w:t>
      </w:r>
      <w:r>
        <w:t xml:space="preserve"> </w:t>
      </w:r>
      <w:r w:rsidRPr="009255ED">
        <w:t>souhlasem</w:t>
      </w:r>
      <w:r>
        <w:t xml:space="preserve"> </w:t>
      </w:r>
      <w:r w:rsidRPr="009255ED">
        <w:t>Pozemkového</w:t>
      </w:r>
      <w:r>
        <w:t xml:space="preserve"> </w:t>
      </w:r>
      <w:r w:rsidRPr="009255ED">
        <w:t>fondu</w:t>
      </w:r>
      <w:r>
        <w:t xml:space="preserve"> </w:t>
      </w:r>
      <w:r w:rsidRPr="009255ED">
        <w:t>České</w:t>
      </w:r>
      <w:r>
        <w:t xml:space="preserve"> </w:t>
      </w:r>
      <w:r w:rsidRPr="009255ED">
        <w:t>republiky</w:t>
      </w:r>
      <w:r>
        <w:t xml:space="preserve"> </w:t>
      </w:r>
      <w:r w:rsidRPr="009255ED">
        <w:t>nebo</w:t>
      </w:r>
      <w:r>
        <w:t xml:space="preserve"> </w:t>
      </w:r>
      <w:r w:rsidRPr="009255ED">
        <w:t>Státního</w:t>
      </w:r>
      <w:r>
        <w:t xml:space="preserve"> </w:t>
      </w:r>
      <w:r w:rsidRPr="009255ED">
        <w:t>pozemkového</w:t>
      </w:r>
      <w:r>
        <w:t xml:space="preserve"> </w:t>
      </w:r>
      <w:r w:rsidRPr="009255ED">
        <w:t>úřadu</w:t>
      </w:r>
      <w:r>
        <w:t xml:space="preserve"> </w:t>
      </w:r>
      <w:r w:rsidRPr="009255ED">
        <w:t>zřídila</w:t>
      </w:r>
      <w:r>
        <w:t xml:space="preserve"> </w:t>
      </w:r>
      <w:r w:rsidRPr="009255ED">
        <w:t>na</w:t>
      </w:r>
      <w:r>
        <w:t xml:space="preserve"> </w:t>
      </w:r>
      <w:r w:rsidRPr="009255ED">
        <w:t>zemědělském</w:t>
      </w:r>
      <w:r>
        <w:t xml:space="preserve"> </w:t>
      </w:r>
      <w:r w:rsidRPr="009255ED">
        <w:t>pozemku</w:t>
      </w:r>
      <w:r>
        <w:t xml:space="preserve"> </w:t>
      </w:r>
      <w:r w:rsidRPr="009255ED">
        <w:t>ve</w:t>
      </w:r>
      <w:r>
        <w:t xml:space="preserve"> </w:t>
      </w:r>
      <w:r w:rsidRPr="009255ED">
        <w:t>vlastnictví</w:t>
      </w:r>
      <w:r>
        <w:t xml:space="preserve"> </w:t>
      </w:r>
      <w:r w:rsidRPr="009255ED">
        <w:t>státu,</w:t>
      </w:r>
      <w:r>
        <w:t xml:space="preserve"> </w:t>
      </w:r>
      <w:r w:rsidRPr="009255ED">
        <w:t>k</w:t>
      </w:r>
      <w:r>
        <w:t xml:space="preserve"> </w:t>
      </w:r>
      <w:r w:rsidRPr="009255ED">
        <w:t>němuž</w:t>
      </w:r>
      <w:r>
        <w:t xml:space="preserve"> </w:t>
      </w:r>
      <w:r w:rsidRPr="009255ED">
        <w:t>má</w:t>
      </w:r>
      <w:r>
        <w:t xml:space="preserve"> </w:t>
      </w:r>
      <w:r w:rsidRPr="009255ED">
        <w:t>příslušnost</w:t>
      </w:r>
      <w:r>
        <w:t xml:space="preserve"> </w:t>
      </w:r>
      <w:r w:rsidRPr="009255ED">
        <w:t>hospodaření</w:t>
      </w:r>
      <w:r>
        <w:t xml:space="preserve"> </w:t>
      </w:r>
      <w:r w:rsidRPr="009255ED">
        <w:t>Státní</w:t>
      </w:r>
      <w:r>
        <w:t xml:space="preserve"> </w:t>
      </w:r>
      <w:r w:rsidRPr="009255ED">
        <w:t>pozemkový</w:t>
      </w:r>
      <w:r>
        <w:t xml:space="preserve"> </w:t>
      </w:r>
      <w:r w:rsidRPr="009255ED">
        <w:t>úřad,</w:t>
      </w:r>
      <w:r>
        <w:t xml:space="preserve"> </w:t>
      </w:r>
      <w:r w:rsidRPr="009255ED">
        <w:t>trvalý</w:t>
      </w:r>
      <w:r>
        <w:t xml:space="preserve"> </w:t>
      </w:r>
      <w:r w:rsidRPr="009255ED">
        <w:t>porost</w:t>
      </w:r>
      <w:r>
        <w:t xml:space="preserve"> </w:t>
      </w:r>
      <w:r w:rsidRPr="009255ED">
        <w:t>nebo</w:t>
      </w:r>
      <w:r>
        <w:t xml:space="preserve"> </w:t>
      </w:r>
      <w:r w:rsidRPr="009255ED">
        <w:t>k</w:t>
      </w:r>
      <w:r>
        <w:t xml:space="preserve"> </w:t>
      </w:r>
      <w:r w:rsidRPr="009255ED">
        <w:t>jeho</w:t>
      </w:r>
      <w:r>
        <w:t xml:space="preserve"> </w:t>
      </w:r>
      <w:r w:rsidRPr="009255ED">
        <w:t>zřízení</w:t>
      </w:r>
      <w:r>
        <w:t xml:space="preserve"> </w:t>
      </w:r>
      <w:r w:rsidRPr="009255ED">
        <w:t>byla</w:t>
      </w:r>
      <w:r>
        <w:t xml:space="preserve"> </w:t>
      </w:r>
      <w:r w:rsidRPr="009255ED">
        <w:t>oprávněna</w:t>
      </w:r>
      <w:r>
        <w:t xml:space="preserve"> </w:t>
      </w:r>
      <w:r w:rsidRPr="009255ED">
        <w:t>před</w:t>
      </w:r>
      <w:r>
        <w:t xml:space="preserve"> </w:t>
      </w:r>
      <w:r w:rsidRPr="009255ED">
        <w:t>nabytím</w:t>
      </w:r>
      <w:r>
        <w:t xml:space="preserve"> </w:t>
      </w:r>
      <w:r w:rsidRPr="009255ED">
        <w:t>účinnosti</w:t>
      </w:r>
      <w:r>
        <w:t xml:space="preserve"> </w:t>
      </w:r>
      <w:r w:rsidRPr="009255ED">
        <w:t>tohoto</w:t>
      </w:r>
      <w:r>
        <w:t xml:space="preserve"> </w:t>
      </w:r>
      <w:r w:rsidRPr="009255ED">
        <w:t>zákona</w:t>
      </w:r>
      <w:r>
        <w:t xml:space="preserve"> </w:t>
      </w:r>
      <w:r w:rsidRPr="009255ED">
        <w:t>a</w:t>
      </w:r>
      <w:r>
        <w:t xml:space="preserve"> </w:t>
      </w:r>
      <w:r w:rsidRPr="009255ED">
        <w:t>tento</w:t>
      </w:r>
      <w:r>
        <w:t xml:space="preserve"> </w:t>
      </w:r>
      <w:r w:rsidRPr="009255ED">
        <w:t>pozemek</w:t>
      </w:r>
      <w:r>
        <w:t xml:space="preserve"> </w:t>
      </w:r>
      <w:r w:rsidRPr="009255ED">
        <w:t>s</w:t>
      </w:r>
      <w:r>
        <w:t xml:space="preserve"> </w:t>
      </w:r>
      <w:r w:rsidRPr="009255ED">
        <w:t>trvalým</w:t>
      </w:r>
      <w:r>
        <w:t xml:space="preserve"> </w:t>
      </w:r>
      <w:r w:rsidRPr="009255ED">
        <w:t>porostem</w:t>
      </w:r>
      <w:r>
        <w:t xml:space="preserve"> </w:t>
      </w:r>
      <w:r w:rsidRPr="009255ED">
        <w:t>užívá</w:t>
      </w:r>
      <w:r>
        <w:t xml:space="preserve"> </w:t>
      </w:r>
      <w:r w:rsidRPr="009255ED">
        <w:t>na</w:t>
      </w:r>
      <w:r>
        <w:t xml:space="preserve"> </w:t>
      </w:r>
      <w:r w:rsidRPr="009255ED">
        <w:t>základě</w:t>
      </w:r>
      <w:r>
        <w:t xml:space="preserve"> </w:t>
      </w:r>
      <w:r w:rsidRPr="009255ED">
        <w:t>nájemní</w:t>
      </w:r>
      <w:r>
        <w:t xml:space="preserve"> </w:t>
      </w:r>
      <w:r w:rsidRPr="009255ED">
        <w:t>smlouvy</w:t>
      </w:r>
      <w:r>
        <w:t xml:space="preserve"> </w:t>
      </w:r>
      <w:r w:rsidRPr="009255ED">
        <w:t>uzavřené</w:t>
      </w:r>
      <w:r>
        <w:t xml:space="preserve"> </w:t>
      </w:r>
      <w:r w:rsidRPr="009255ED">
        <w:t>s</w:t>
      </w:r>
      <w:r>
        <w:t xml:space="preserve"> </w:t>
      </w:r>
      <w:r w:rsidRPr="009255ED">
        <w:t>Pozemkovým</w:t>
      </w:r>
      <w:r>
        <w:t xml:space="preserve"> </w:t>
      </w:r>
      <w:r w:rsidRPr="009255ED">
        <w:t>fondem</w:t>
      </w:r>
      <w:r>
        <w:t xml:space="preserve"> </w:t>
      </w:r>
      <w:r w:rsidRPr="009255ED">
        <w:t>České</w:t>
      </w:r>
      <w:r>
        <w:t xml:space="preserve"> </w:t>
      </w:r>
      <w:r w:rsidRPr="009255ED">
        <w:t>republiky</w:t>
      </w:r>
      <w:r>
        <w:t xml:space="preserve"> </w:t>
      </w:r>
      <w:r w:rsidRPr="009255ED">
        <w:t>nebo</w:t>
      </w:r>
      <w:r>
        <w:t xml:space="preserve"> </w:t>
      </w:r>
      <w:r w:rsidRPr="009255ED">
        <w:t>se</w:t>
      </w:r>
      <w:r>
        <w:t xml:space="preserve"> </w:t>
      </w:r>
      <w:r w:rsidRPr="009255ED">
        <w:t>Státním</w:t>
      </w:r>
      <w:r>
        <w:t xml:space="preserve"> </w:t>
      </w:r>
      <w:r w:rsidRPr="009255ED">
        <w:t>pozemkovým</w:t>
      </w:r>
      <w:r>
        <w:t xml:space="preserve"> </w:t>
      </w:r>
      <w:r w:rsidRPr="009255ED">
        <w:t>úřadem</w:t>
      </w:r>
      <w:r>
        <w:t xml:space="preserve"> </w:t>
      </w:r>
      <w:r w:rsidRPr="009255ED">
        <w:t>na</w:t>
      </w:r>
      <w:r>
        <w:t xml:space="preserve"> </w:t>
      </w:r>
      <w:r w:rsidRPr="009255ED">
        <w:t>dobu</w:t>
      </w:r>
      <w:r>
        <w:t xml:space="preserve"> </w:t>
      </w:r>
      <w:r w:rsidRPr="009255ED">
        <w:t>určitou,</w:t>
      </w:r>
      <w:r>
        <w:t xml:space="preserve"> </w:t>
      </w:r>
      <w:r w:rsidRPr="009255ED">
        <w:t>která</w:t>
      </w:r>
      <w:r>
        <w:t xml:space="preserve"> </w:t>
      </w:r>
      <w:r w:rsidRPr="009255ED">
        <w:t>není</w:t>
      </w:r>
      <w:r>
        <w:t xml:space="preserve"> </w:t>
      </w:r>
      <w:r w:rsidRPr="009255ED">
        <w:t>kratší</w:t>
      </w:r>
      <w:r>
        <w:t xml:space="preserve"> </w:t>
      </w:r>
      <w:r w:rsidRPr="009255ED">
        <w:t>než</w:t>
      </w:r>
      <w:r>
        <w:t xml:space="preserve"> </w:t>
      </w:r>
      <w:r w:rsidRPr="009255ED">
        <w:t>5</w:t>
      </w:r>
      <w:r>
        <w:t xml:space="preserve"> </w:t>
      </w:r>
      <w:r w:rsidRPr="009255ED">
        <w:t>let,</w:t>
      </w:r>
      <w:r>
        <w:t xml:space="preserve"> </w:t>
      </w:r>
      <w:r w:rsidRPr="009255ED">
        <w:t>má</w:t>
      </w:r>
      <w:r>
        <w:t xml:space="preserve"> </w:t>
      </w:r>
      <w:r w:rsidRPr="009255ED">
        <w:t>po</w:t>
      </w:r>
      <w:r>
        <w:t xml:space="preserve"> </w:t>
      </w:r>
      <w:r w:rsidRPr="009255ED">
        <w:t>dobu</w:t>
      </w:r>
      <w:r>
        <w:t xml:space="preserve"> </w:t>
      </w:r>
      <w:r w:rsidRPr="009255ED">
        <w:t>trvání</w:t>
      </w:r>
      <w:r>
        <w:t xml:space="preserve"> </w:t>
      </w:r>
      <w:r w:rsidRPr="009255ED">
        <w:t>nájmu</w:t>
      </w:r>
      <w:r>
        <w:t xml:space="preserve"> </w:t>
      </w:r>
      <w:r w:rsidRPr="009255ED">
        <w:t>předkupní</w:t>
      </w:r>
      <w:r>
        <w:t xml:space="preserve"> </w:t>
      </w:r>
      <w:r w:rsidRPr="009255ED">
        <w:t>právo</w:t>
      </w:r>
      <w:r>
        <w:t xml:space="preserve"> </w:t>
      </w:r>
      <w:r w:rsidRPr="009255ED">
        <w:t>k</w:t>
      </w:r>
      <w:r>
        <w:t xml:space="preserve"> </w:t>
      </w:r>
      <w:r w:rsidRPr="009255ED">
        <w:t>tomuto</w:t>
      </w:r>
      <w:r>
        <w:t xml:space="preserve"> </w:t>
      </w:r>
      <w:r w:rsidRPr="009255ED">
        <w:t>zemědělskému</w:t>
      </w:r>
      <w:r>
        <w:t xml:space="preserve"> </w:t>
      </w:r>
      <w:r w:rsidRPr="009255ED">
        <w:t>pozemku.</w:t>
      </w:r>
      <w:r>
        <w:t xml:space="preserve"> </w:t>
      </w:r>
      <w:r w:rsidRPr="009255ED">
        <w:t>Předkupní</w:t>
      </w:r>
      <w:r>
        <w:t xml:space="preserve"> </w:t>
      </w:r>
      <w:r w:rsidRPr="009255ED">
        <w:t>právo</w:t>
      </w:r>
      <w:r>
        <w:t xml:space="preserve"> </w:t>
      </w:r>
      <w:r w:rsidRPr="009255ED">
        <w:t>vzniká</w:t>
      </w:r>
      <w:r>
        <w:t xml:space="preserve"> </w:t>
      </w:r>
      <w:r w:rsidRPr="009255ED">
        <w:t>i</w:t>
      </w:r>
      <w:r>
        <w:t xml:space="preserve"> </w:t>
      </w:r>
      <w:r w:rsidRPr="009255ED">
        <w:t>nájemci,</w:t>
      </w:r>
      <w:r>
        <w:t xml:space="preserve"> </w:t>
      </w:r>
      <w:r w:rsidRPr="009255ED">
        <w:t>který</w:t>
      </w:r>
      <w:r>
        <w:t xml:space="preserve"> </w:t>
      </w:r>
      <w:r w:rsidRPr="009255ED">
        <w:t>prokáže,</w:t>
      </w:r>
      <w:r>
        <w:t xml:space="preserve"> </w:t>
      </w:r>
      <w:r w:rsidRPr="009255ED">
        <w:t>že</w:t>
      </w:r>
      <w:r>
        <w:t xml:space="preserve"> </w:t>
      </w:r>
      <w:r w:rsidRPr="009255ED">
        <w:t>je</w:t>
      </w:r>
      <w:r>
        <w:t xml:space="preserve"> </w:t>
      </w:r>
      <w:r w:rsidRPr="009255ED">
        <w:t>právním</w:t>
      </w:r>
      <w:r>
        <w:t xml:space="preserve"> </w:t>
      </w:r>
      <w:r w:rsidRPr="009255ED">
        <w:t>nástupcem</w:t>
      </w:r>
      <w:r>
        <w:t xml:space="preserve"> </w:t>
      </w:r>
      <w:r w:rsidRPr="009255ED">
        <w:t>zřizovatele</w:t>
      </w:r>
      <w:r>
        <w:t xml:space="preserve"> </w:t>
      </w:r>
      <w:r w:rsidRPr="009255ED">
        <w:t>trvalého</w:t>
      </w:r>
      <w:r>
        <w:t xml:space="preserve"> </w:t>
      </w:r>
      <w:r w:rsidRPr="009255ED">
        <w:t>porostu.</w:t>
      </w:r>
    </w:p>
    <w:p w14:paraId="124407FA" w14:textId="11C28A97" w:rsidR="001965B7" w:rsidRPr="009255ED" w:rsidRDefault="001965B7" w:rsidP="005D3450">
      <w:pPr>
        <w:pStyle w:val="Textparagrafu"/>
        <w:tabs>
          <w:tab w:val="left" w:pos="392"/>
          <w:tab w:val="left" w:pos="840"/>
        </w:tabs>
        <w:spacing w:before="120" w:after="120"/>
      </w:pPr>
      <w:r w:rsidRPr="009255ED">
        <w:t>(2)</w:t>
      </w:r>
      <w:r>
        <w:t xml:space="preserve"> </w:t>
      </w:r>
      <w:r w:rsidRPr="009255ED">
        <w:t>Při</w:t>
      </w:r>
      <w:r>
        <w:t xml:space="preserve"> </w:t>
      </w:r>
      <w:r w:rsidRPr="009255ED">
        <w:t>převodu</w:t>
      </w:r>
      <w:r>
        <w:t xml:space="preserve"> </w:t>
      </w:r>
      <w:r w:rsidRPr="009255ED">
        <w:t>pozemku</w:t>
      </w:r>
      <w:r>
        <w:t xml:space="preserve"> </w:t>
      </w:r>
      <w:r w:rsidRPr="009255ED">
        <w:t>podle</w:t>
      </w:r>
      <w:r>
        <w:t xml:space="preserve"> </w:t>
      </w:r>
      <w:r w:rsidRPr="009255ED">
        <w:t>odstavce</w:t>
      </w:r>
      <w:r>
        <w:t xml:space="preserve"> </w:t>
      </w:r>
      <w:r w:rsidRPr="009255ED">
        <w:t>1</w:t>
      </w:r>
      <w:r>
        <w:t xml:space="preserve"> </w:t>
      </w:r>
      <w:r w:rsidRPr="002C4AE7">
        <w:rPr>
          <w:strike/>
        </w:rPr>
        <w:t xml:space="preserve">je kupní cenou pozemku cena zjištěná podle cenového </w:t>
      </w:r>
      <w:r w:rsidR="00257D6B" w:rsidRPr="002C4AE7">
        <w:rPr>
          <w:strike/>
        </w:rPr>
        <w:t>předpisu</w:t>
      </w:r>
      <w:r w:rsidR="00257D6B" w:rsidRPr="002C4AE7">
        <w:rPr>
          <w:strike/>
          <w:vertAlign w:val="superscript"/>
        </w:rPr>
        <w:t>18)</w:t>
      </w:r>
      <w:r>
        <w:t xml:space="preserve"> </w:t>
      </w:r>
      <w:r w:rsidR="002C4AE7" w:rsidRPr="00166AF2">
        <w:rPr>
          <w:b/>
        </w:rPr>
        <w:t>kupní cena odpovídá zjištěné hodnotě určené podle zákona o oceňování</w:t>
      </w:r>
      <w:r w:rsidR="002C4AE7" w:rsidRPr="009255ED">
        <w:t xml:space="preserve"> </w:t>
      </w:r>
      <w:r w:rsidRPr="009255ED">
        <w:t>bez</w:t>
      </w:r>
      <w:r>
        <w:t xml:space="preserve"> </w:t>
      </w:r>
      <w:r w:rsidRPr="009255ED">
        <w:t>ocenění</w:t>
      </w:r>
      <w:r>
        <w:t xml:space="preserve"> </w:t>
      </w:r>
      <w:r w:rsidRPr="009255ED">
        <w:t>součástí</w:t>
      </w:r>
      <w:r>
        <w:t xml:space="preserve"> </w:t>
      </w:r>
      <w:r w:rsidRPr="009255ED">
        <w:t>a</w:t>
      </w:r>
      <w:r>
        <w:t xml:space="preserve"> </w:t>
      </w:r>
      <w:r w:rsidRPr="009255ED">
        <w:t>příslušenství</w:t>
      </w:r>
      <w:r>
        <w:t xml:space="preserve"> </w:t>
      </w:r>
      <w:r w:rsidRPr="009255ED">
        <w:t>pozemku,</w:t>
      </w:r>
      <w:r>
        <w:t xml:space="preserve"> </w:t>
      </w:r>
      <w:r w:rsidRPr="009255ED">
        <w:t>které</w:t>
      </w:r>
      <w:r>
        <w:t xml:space="preserve"> </w:t>
      </w:r>
      <w:r w:rsidRPr="009255ED">
        <w:t>na</w:t>
      </w:r>
      <w:r>
        <w:t xml:space="preserve"> </w:t>
      </w:r>
      <w:r w:rsidRPr="009255ED">
        <w:t>své</w:t>
      </w:r>
      <w:r>
        <w:t xml:space="preserve"> </w:t>
      </w:r>
      <w:r w:rsidRPr="009255ED">
        <w:t>náklady</w:t>
      </w:r>
      <w:r>
        <w:t xml:space="preserve"> </w:t>
      </w:r>
      <w:r w:rsidRPr="009255ED">
        <w:t>zřídil</w:t>
      </w:r>
      <w:r>
        <w:t xml:space="preserve"> </w:t>
      </w:r>
      <w:r w:rsidRPr="009255ED">
        <w:t>nájemce</w:t>
      </w:r>
      <w:r>
        <w:t xml:space="preserve"> </w:t>
      </w:r>
      <w:r w:rsidRPr="009255ED">
        <w:t>nebo</w:t>
      </w:r>
      <w:r>
        <w:t xml:space="preserve"> </w:t>
      </w:r>
      <w:r w:rsidRPr="009255ED">
        <w:t>jeho</w:t>
      </w:r>
      <w:r>
        <w:t xml:space="preserve"> </w:t>
      </w:r>
      <w:r w:rsidRPr="009255ED">
        <w:t>právní</w:t>
      </w:r>
      <w:r>
        <w:t xml:space="preserve"> </w:t>
      </w:r>
      <w:r w:rsidRPr="009255ED">
        <w:t>předchůdce</w:t>
      </w:r>
      <w:r>
        <w:t xml:space="preserve"> </w:t>
      </w:r>
      <w:r w:rsidRPr="009255ED">
        <w:t>se</w:t>
      </w:r>
      <w:r>
        <w:t xml:space="preserve"> </w:t>
      </w:r>
      <w:r w:rsidRPr="009255ED">
        <w:t>souhlasem</w:t>
      </w:r>
      <w:r>
        <w:t xml:space="preserve"> </w:t>
      </w:r>
      <w:r w:rsidRPr="009255ED">
        <w:t>Státního</w:t>
      </w:r>
      <w:r>
        <w:t xml:space="preserve"> </w:t>
      </w:r>
      <w:r w:rsidRPr="009255ED">
        <w:t>pozemkového</w:t>
      </w:r>
      <w:r>
        <w:t xml:space="preserve"> </w:t>
      </w:r>
      <w:r w:rsidRPr="009255ED">
        <w:t>úřadu,</w:t>
      </w:r>
      <w:r>
        <w:t xml:space="preserve"> </w:t>
      </w:r>
      <w:r w:rsidRPr="009255ED">
        <w:t>popřípadě</w:t>
      </w:r>
      <w:r>
        <w:t xml:space="preserve"> </w:t>
      </w:r>
      <w:r w:rsidRPr="009255ED">
        <w:t>Pozemkového</w:t>
      </w:r>
      <w:r>
        <w:t xml:space="preserve"> </w:t>
      </w:r>
      <w:r w:rsidRPr="009255ED">
        <w:t>fondu</w:t>
      </w:r>
      <w:r>
        <w:t xml:space="preserve"> </w:t>
      </w:r>
      <w:r w:rsidRPr="009255ED">
        <w:t>České</w:t>
      </w:r>
      <w:r>
        <w:t xml:space="preserve"> </w:t>
      </w:r>
      <w:r w:rsidRPr="009255ED">
        <w:t>republiky,</w:t>
      </w:r>
      <w:r>
        <w:t xml:space="preserve"> </w:t>
      </w:r>
      <w:r w:rsidRPr="009255ED">
        <w:t>nebo</w:t>
      </w:r>
      <w:r>
        <w:t xml:space="preserve"> </w:t>
      </w:r>
      <w:r w:rsidRPr="009255ED">
        <w:t>na</w:t>
      </w:r>
      <w:r>
        <w:t xml:space="preserve"> </w:t>
      </w:r>
      <w:r w:rsidRPr="009255ED">
        <w:t>základě</w:t>
      </w:r>
      <w:r>
        <w:t xml:space="preserve"> </w:t>
      </w:r>
      <w:r w:rsidRPr="009255ED">
        <w:t>pravomocného</w:t>
      </w:r>
      <w:r>
        <w:t xml:space="preserve"> </w:t>
      </w:r>
      <w:r w:rsidRPr="009255ED">
        <w:t>územního</w:t>
      </w:r>
      <w:r>
        <w:t xml:space="preserve"> </w:t>
      </w:r>
      <w:r w:rsidRPr="009255ED">
        <w:t>rozhodnutí.</w:t>
      </w:r>
      <w:r>
        <w:t xml:space="preserve"> </w:t>
      </w:r>
      <w:r w:rsidRPr="009255ED">
        <w:t>Po</w:t>
      </w:r>
      <w:r>
        <w:t xml:space="preserve"> </w:t>
      </w:r>
      <w:r w:rsidRPr="009255ED">
        <w:t>skončení</w:t>
      </w:r>
      <w:r>
        <w:t xml:space="preserve"> </w:t>
      </w:r>
      <w:r w:rsidRPr="009255ED">
        <w:t>nájmu</w:t>
      </w:r>
      <w:r>
        <w:t xml:space="preserve"> </w:t>
      </w:r>
      <w:r w:rsidRPr="009255ED">
        <w:t>nemůže</w:t>
      </w:r>
      <w:r>
        <w:t xml:space="preserve"> </w:t>
      </w:r>
      <w:r w:rsidRPr="009255ED">
        <w:t>tato</w:t>
      </w:r>
      <w:r>
        <w:t xml:space="preserve"> </w:t>
      </w:r>
      <w:r w:rsidRPr="009255ED">
        <w:t>osoba</w:t>
      </w:r>
      <w:r>
        <w:t xml:space="preserve"> </w:t>
      </w:r>
      <w:r w:rsidRPr="009255ED">
        <w:t>požadovat</w:t>
      </w:r>
      <w:r>
        <w:t xml:space="preserve"> </w:t>
      </w:r>
      <w:r w:rsidRPr="009255ED">
        <w:t>náhradu</w:t>
      </w:r>
      <w:r>
        <w:t xml:space="preserve"> </w:t>
      </w:r>
      <w:r w:rsidRPr="009255ED">
        <w:t>za</w:t>
      </w:r>
      <w:r>
        <w:t xml:space="preserve"> </w:t>
      </w:r>
      <w:r w:rsidRPr="009255ED">
        <w:t>součásti</w:t>
      </w:r>
      <w:r>
        <w:t xml:space="preserve"> </w:t>
      </w:r>
      <w:r w:rsidRPr="009255ED">
        <w:t>a</w:t>
      </w:r>
      <w:r>
        <w:t xml:space="preserve"> </w:t>
      </w:r>
      <w:r w:rsidRPr="009255ED">
        <w:t>příslušenství</w:t>
      </w:r>
      <w:r>
        <w:t xml:space="preserve"> </w:t>
      </w:r>
      <w:r w:rsidRPr="009255ED">
        <w:t>převedeného</w:t>
      </w:r>
      <w:r>
        <w:t xml:space="preserve"> </w:t>
      </w:r>
      <w:r w:rsidRPr="009255ED">
        <w:t>pozemku.</w:t>
      </w:r>
    </w:p>
    <w:p w14:paraId="744A274C" w14:textId="092F6C8F" w:rsidR="001965B7" w:rsidRDefault="001965B7" w:rsidP="00257D6B">
      <w:pPr>
        <w:tabs>
          <w:tab w:val="left" w:pos="851"/>
        </w:tabs>
        <w:spacing w:before="120" w:after="120"/>
        <w:ind w:firstLine="0"/>
        <w:jc w:val="center"/>
        <w:outlineLvl w:val="0"/>
      </w:pPr>
      <w:r>
        <w:t>***</w:t>
      </w:r>
    </w:p>
    <w:p w14:paraId="52B297C3" w14:textId="77777777" w:rsidR="001965B7" w:rsidRDefault="001965B7" w:rsidP="00257D6B">
      <w:pPr>
        <w:pStyle w:val="Textparagrafu"/>
        <w:tabs>
          <w:tab w:val="left" w:pos="392"/>
          <w:tab w:val="left" w:pos="840"/>
        </w:tabs>
        <w:spacing w:after="120"/>
        <w:ind w:firstLine="0"/>
        <w:jc w:val="center"/>
      </w:pPr>
      <w:r w:rsidRPr="009255ED">
        <w:t>§</w:t>
      </w:r>
      <w:r>
        <w:t xml:space="preserve"> </w:t>
      </w:r>
      <w:r w:rsidRPr="009255ED">
        <w:t>12</w:t>
      </w:r>
    </w:p>
    <w:p w14:paraId="2874E7D6" w14:textId="77777777" w:rsidR="001965B7" w:rsidRPr="00257D6B" w:rsidRDefault="001965B7" w:rsidP="00257D6B">
      <w:pPr>
        <w:pStyle w:val="Textparagrafu"/>
        <w:tabs>
          <w:tab w:val="left" w:pos="392"/>
          <w:tab w:val="left" w:pos="840"/>
        </w:tabs>
        <w:spacing w:after="120"/>
        <w:ind w:firstLine="0"/>
        <w:jc w:val="center"/>
        <w:rPr>
          <w:b/>
        </w:rPr>
      </w:pPr>
      <w:r w:rsidRPr="00257D6B">
        <w:rPr>
          <w:b/>
        </w:rPr>
        <w:t>Převod zemědělského pozemku na základě veřejné nabídky</w:t>
      </w:r>
    </w:p>
    <w:p w14:paraId="27EEC7F9" w14:textId="77777777" w:rsidR="001965B7" w:rsidRDefault="001965B7" w:rsidP="005D3450">
      <w:pPr>
        <w:pStyle w:val="Textparagrafu"/>
        <w:tabs>
          <w:tab w:val="left" w:pos="392"/>
          <w:tab w:val="left" w:pos="840"/>
        </w:tabs>
        <w:spacing w:before="120" w:after="120"/>
      </w:pPr>
      <w:r w:rsidRPr="009255ED">
        <w:t>(1)</w:t>
      </w:r>
      <w:r>
        <w:t xml:space="preserve"> </w:t>
      </w:r>
      <w:r w:rsidRPr="009255ED">
        <w:t>Státní</w:t>
      </w:r>
      <w:r>
        <w:t xml:space="preserve"> </w:t>
      </w:r>
      <w:r w:rsidRPr="009255ED">
        <w:t>pozemkový</w:t>
      </w:r>
      <w:r>
        <w:t xml:space="preserve"> </w:t>
      </w:r>
      <w:r w:rsidRPr="009255ED">
        <w:t>úřad</w:t>
      </w:r>
      <w:r>
        <w:t xml:space="preserve"> </w:t>
      </w:r>
      <w:r w:rsidRPr="009255ED">
        <w:t>může</w:t>
      </w:r>
      <w:r>
        <w:t xml:space="preserve"> </w:t>
      </w:r>
      <w:r w:rsidRPr="009255ED">
        <w:t>převést</w:t>
      </w:r>
      <w:r>
        <w:t xml:space="preserve"> </w:t>
      </w:r>
      <w:r w:rsidRPr="009255ED">
        <w:t>zemědělský</w:t>
      </w:r>
      <w:r>
        <w:t xml:space="preserve"> </w:t>
      </w:r>
      <w:r w:rsidRPr="009255ED">
        <w:t>pozemek,</w:t>
      </w:r>
      <w:r>
        <w:t xml:space="preserve"> </w:t>
      </w:r>
      <w:r w:rsidRPr="009255ED">
        <w:t>s</w:t>
      </w:r>
      <w:r>
        <w:t xml:space="preserve"> </w:t>
      </w:r>
      <w:r w:rsidRPr="009255ED">
        <w:t>nímž</w:t>
      </w:r>
      <w:r>
        <w:t xml:space="preserve"> </w:t>
      </w:r>
      <w:r w:rsidRPr="009255ED">
        <w:t>je</w:t>
      </w:r>
      <w:r>
        <w:t xml:space="preserve"> </w:t>
      </w:r>
      <w:r w:rsidRPr="009255ED">
        <w:t>příslušný</w:t>
      </w:r>
      <w:r>
        <w:t xml:space="preserve"> </w:t>
      </w:r>
      <w:r w:rsidRPr="009255ED">
        <w:t>hospodařit,</w:t>
      </w:r>
      <w:r>
        <w:t xml:space="preserve"> </w:t>
      </w:r>
      <w:r w:rsidRPr="009255ED">
        <w:t>na</w:t>
      </w:r>
      <w:r>
        <w:t xml:space="preserve"> </w:t>
      </w:r>
      <w:r w:rsidRPr="009255ED">
        <w:t>základě</w:t>
      </w:r>
      <w:r>
        <w:t xml:space="preserve"> </w:t>
      </w:r>
      <w:r w:rsidRPr="009255ED">
        <w:t>veřejné</w:t>
      </w:r>
      <w:r>
        <w:t xml:space="preserve"> </w:t>
      </w:r>
      <w:r w:rsidRPr="009255ED">
        <w:t>nabídky,</w:t>
      </w:r>
      <w:r>
        <w:t xml:space="preserve"> </w:t>
      </w:r>
      <w:r w:rsidRPr="009255ED">
        <w:t>pokud</w:t>
      </w:r>
      <w:r>
        <w:t xml:space="preserve"> </w:t>
      </w:r>
      <w:r w:rsidRPr="009255ED">
        <w:t>byl</w:t>
      </w:r>
      <w:r>
        <w:t xml:space="preserve"> </w:t>
      </w:r>
      <w:r w:rsidRPr="009255ED">
        <w:t>třikrát</w:t>
      </w:r>
      <w:r>
        <w:t xml:space="preserve"> </w:t>
      </w:r>
      <w:r w:rsidRPr="009255ED">
        <w:t>marně</w:t>
      </w:r>
      <w:r>
        <w:t xml:space="preserve"> </w:t>
      </w:r>
      <w:r w:rsidRPr="009255ED">
        <w:t>nabídnut</w:t>
      </w:r>
      <w:r>
        <w:t xml:space="preserve"> </w:t>
      </w:r>
      <w:r w:rsidRPr="009255ED">
        <w:t>ve</w:t>
      </w:r>
      <w:r>
        <w:t xml:space="preserve"> </w:t>
      </w:r>
      <w:r w:rsidRPr="009255ED">
        <w:t>veřejné</w:t>
      </w:r>
      <w:r>
        <w:t xml:space="preserve"> </w:t>
      </w:r>
      <w:r w:rsidRPr="009255ED">
        <w:t>nabídce</w:t>
      </w:r>
      <w:r>
        <w:t xml:space="preserve"> </w:t>
      </w:r>
      <w:r w:rsidRPr="009255ED">
        <w:t>podle</w:t>
      </w:r>
      <w:r>
        <w:t xml:space="preserve"> </w:t>
      </w:r>
      <w:r w:rsidRPr="009255ED">
        <w:t>§</w:t>
      </w:r>
      <w:r>
        <w:t xml:space="preserve"> </w:t>
      </w:r>
      <w:r w:rsidRPr="009255ED">
        <w:t>11a</w:t>
      </w:r>
      <w:r>
        <w:t xml:space="preserve"> </w:t>
      </w:r>
      <w:r w:rsidRPr="009255ED">
        <w:t>zákona</w:t>
      </w:r>
      <w:r>
        <w:t xml:space="preserve"> </w:t>
      </w:r>
      <w:r w:rsidRPr="009255ED">
        <w:t>č.</w:t>
      </w:r>
      <w:r>
        <w:t xml:space="preserve"> </w:t>
      </w:r>
      <w:r w:rsidRPr="009255ED">
        <w:t>229/1991</w:t>
      </w:r>
      <w:r>
        <w:t xml:space="preserve"> </w:t>
      </w:r>
      <w:r w:rsidRPr="009255ED">
        <w:t>Sb.,</w:t>
      </w:r>
      <w:r>
        <w:t xml:space="preserve"> </w:t>
      </w:r>
      <w:r w:rsidRPr="009255ED">
        <w:t>ve</w:t>
      </w:r>
      <w:r>
        <w:t xml:space="preserve"> </w:t>
      </w:r>
      <w:r w:rsidRPr="009255ED">
        <w:t>znění</w:t>
      </w:r>
      <w:r>
        <w:t xml:space="preserve"> </w:t>
      </w:r>
      <w:r w:rsidRPr="009255ED">
        <w:t>pozdějších</w:t>
      </w:r>
      <w:r>
        <w:t xml:space="preserve"> </w:t>
      </w:r>
      <w:r w:rsidRPr="009255ED">
        <w:t>předpisů.</w:t>
      </w:r>
    </w:p>
    <w:p w14:paraId="0E7A5D06" w14:textId="4CF7833C" w:rsidR="001965B7" w:rsidRDefault="001965B7" w:rsidP="005D3450">
      <w:pPr>
        <w:pStyle w:val="Textparagrafu"/>
        <w:tabs>
          <w:tab w:val="left" w:pos="392"/>
          <w:tab w:val="left" w:pos="840"/>
        </w:tabs>
        <w:spacing w:before="120" w:after="120"/>
      </w:pPr>
      <w:r w:rsidRPr="009255ED">
        <w:t>(2)</w:t>
      </w:r>
      <w:r>
        <w:t xml:space="preserve"> </w:t>
      </w:r>
      <w:r w:rsidRPr="009255ED">
        <w:t>Státní</w:t>
      </w:r>
      <w:r>
        <w:t xml:space="preserve"> </w:t>
      </w:r>
      <w:r w:rsidRPr="009255ED">
        <w:t>pozemkový</w:t>
      </w:r>
      <w:r>
        <w:t xml:space="preserve"> </w:t>
      </w:r>
      <w:r w:rsidRPr="009255ED">
        <w:t>úřad</w:t>
      </w:r>
      <w:r>
        <w:t xml:space="preserve"> </w:t>
      </w:r>
      <w:r w:rsidRPr="009255ED">
        <w:t>zveřejní</w:t>
      </w:r>
      <w:r>
        <w:t xml:space="preserve"> </w:t>
      </w:r>
      <w:r w:rsidRPr="009255ED">
        <w:t>na</w:t>
      </w:r>
      <w:r>
        <w:t xml:space="preserve"> </w:t>
      </w:r>
      <w:r w:rsidRPr="009255ED">
        <w:t>své</w:t>
      </w:r>
      <w:r>
        <w:t xml:space="preserve"> </w:t>
      </w:r>
      <w:r w:rsidRPr="009255ED">
        <w:t>úřední</w:t>
      </w:r>
      <w:r>
        <w:t xml:space="preserve"> </w:t>
      </w:r>
      <w:r w:rsidRPr="009255ED">
        <w:t>desce</w:t>
      </w:r>
      <w:r>
        <w:t xml:space="preserve"> </w:t>
      </w:r>
      <w:r w:rsidRPr="009255ED">
        <w:t>oznámení</w:t>
      </w:r>
      <w:r>
        <w:t xml:space="preserve"> </w:t>
      </w:r>
      <w:r w:rsidRPr="009255ED">
        <w:t>o</w:t>
      </w:r>
      <w:r>
        <w:t xml:space="preserve"> </w:t>
      </w:r>
      <w:r w:rsidRPr="009255ED">
        <w:t>zahájení</w:t>
      </w:r>
      <w:r>
        <w:t xml:space="preserve"> </w:t>
      </w:r>
      <w:r w:rsidRPr="009255ED">
        <w:t>veřejné</w:t>
      </w:r>
      <w:r>
        <w:t xml:space="preserve"> </w:t>
      </w:r>
      <w:r w:rsidRPr="009255ED">
        <w:t>nabídky</w:t>
      </w:r>
      <w:r>
        <w:t xml:space="preserve"> </w:t>
      </w:r>
      <w:r w:rsidRPr="009255ED">
        <w:t>s</w:t>
      </w:r>
      <w:r>
        <w:t xml:space="preserve"> </w:t>
      </w:r>
      <w:r w:rsidRPr="009255ED">
        <w:t>uvedením</w:t>
      </w:r>
      <w:r>
        <w:t xml:space="preserve"> </w:t>
      </w:r>
      <w:r w:rsidRPr="009255ED">
        <w:t>údajů</w:t>
      </w:r>
      <w:r>
        <w:t xml:space="preserve"> </w:t>
      </w:r>
      <w:r w:rsidRPr="009255ED">
        <w:t>o</w:t>
      </w:r>
      <w:r>
        <w:t xml:space="preserve"> </w:t>
      </w:r>
      <w:r w:rsidRPr="009255ED">
        <w:t>pozemcích</w:t>
      </w:r>
      <w:r>
        <w:t xml:space="preserve"> </w:t>
      </w:r>
      <w:r w:rsidRPr="009255ED">
        <w:t>podle</w:t>
      </w:r>
      <w:r>
        <w:t xml:space="preserve"> </w:t>
      </w:r>
      <w:r w:rsidRPr="009255ED">
        <w:t>katastru</w:t>
      </w:r>
      <w:r>
        <w:t xml:space="preserve"> </w:t>
      </w:r>
      <w:r w:rsidR="00257D6B">
        <w:t>nemovitostí</w:t>
      </w:r>
      <w:r w:rsidR="00257D6B">
        <w:rPr>
          <w:rStyle w:val="Znakapoznpodarou"/>
        </w:rPr>
        <w:footnoteReference w:customMarkFollows="1" w:id="539"/>
        <w:t>23)</w:t>
      </w:r>
      <w:r w:rsidRPr="009255ED">
        <w:t>,</w:t>
      </w:r>
      <w:r>
        <w:t xml:space="preserve"> </w:t>
      </w:r>
      <w:r w:rsidRPr="009255ED">
        <w:t>o</w:t>
      </w:r>
      <w:r>
        <w:t xml:space="preserve"> </w:t>
      </w:r>
      <w:r w:rsidRPr="009255ED">
        <w:t>jejich</w:t>
      </w:r>
      <w:r>
        <w:t xml:space="preserve"> </w:t>
      </w:r>
      <w:r w:rsidRPr="009255ED">
        <w:t>ceně</w:t>
      </w:r>
      <w:r>
        <w:t xml:space="preserve"> </w:t>
      </w:r>
      <w:r w:rsidRPr="009255ED">
        <w:t>stanovené</w:t>
      </w:r>
      <w:r>
        <w:t xml:space="preserve"> </w:t>
      </w:r>
      <w:r w:rsidRPr="009255ED">
        <w:t>podle</w:t>
      </w:r>
      <w:r>
        <w:t xml:space="preserve"> </w:t>
      </w:r>
      <w:r w:rsidRPr="009255ED">
        <w:t>odstavce</w:t>
      </w:r>
      <w:r>
        <w:t xml:space="preserve"> </w:t>
      </w:r>
      <w:r w:rsidRPr="009255ED">
        <w:t>3</w:t>
      </w:r>
      <w:r>
        <w:t xml:space="preserve"> </w:t>
      </w:r>
      <w:r w:rsidRPr="009255ED">
        <w:t>spolu</w:t>
      </w:r>
      <w:r>
        <w:t xml:space="preserve"> </w:t>
      </w:r>
      <w:r w:rsidRPr="009255ED">
        <w:t>s</w:t>
      </w:r>
      <w:r>
        <w:t xml:space="preserve"> </w:t>
      </w:r>
      <w:r w:rsidRPr="009255ED">
        <w:t>výzvou,</w:t>
      </w:r>
      <w:r>
        <w:t xml:space="preserve"> </w:t>
      </w:r>
      <w:r w:rsidRPr="009255ED">
        <w:t>aby</w:t>
      </w:r>
      <w:r>
        <w:t xml:space="preserve"> </w:t>
      </w:r>
      <w:r w:rsidRPr="009255ED">
        <w:t>osoby</w:t>
      </w:r>
      <w:r>
        <w:t xml:space="preserve"> </w:t>
      </w:r>
      <w:r w:rsidRPr="009255ED">
        <w:t>uvedené</w:t>
      </w:r>
      <w:r>
        <w:t xml:space="preserve"> </w:t>
      </w:r>
      <w:r w:rsidRPr="009255ED">
        <w:t>v</w:t>
      </w:r>
      <w:r>
        <w:t xml:space="preserve"> </w:t>
      </w:r>
      <w:r w:rsidRPr="009255ED">
        <w:t>odstavci</w:t>
      </w:r>
      <w:r>
        <w:t xml:space="preserve"> </w:t>
      </w:r>
      <w:r w:rsidRPr="009255ED">
        <w:t>4</w:t>
      </w:r>
      <w:r>
        <w:t xml:space="preserve"> </w:t>
      </w:r>
      <w:r w:rsidRPr="009255ED">
        <w:t>o</w:t>
      </w:r>
      <w:r>
        <w:t xml:space="preserve"> </w:t>
      </w:r>
      <w:r w:rsidRPr="009255ED">
        <w:t>nabízené</w:t>
      </w:r>
      <w:r>
        <w:t xml:space="preserve"> </w:t>
      </w:r>
      <w:r w:rsidRPr="009255ED">
        <w:t>zemědělské</w:t>
      </w:r>
      <w:r>
        <w:t xml:space="preserve"> </w:t>
      </w:r>
      <w:r w:rsidRPr="009255ED">
        <w:t>pozemky</w:t>
      </w:r>
      <w:r>
        <w:t xml:space="preserve"> </w:t>
      </w:r>
      <w:r w:rsidRPr="009255ED">
        <w:t>podávaly</w:t>
      </w:r>
      <w:r>
        <w:t xml:space="preserve"> </w:t>
      </w:r>
      <w:r w:rsidRPr="009255ED">
        <w:t>písemnou</w:t>
      </w:r>
      <w:r>
        <w:t xml:space="preserve"> </w:t>
      </w:r>
      <w:r w:rsidRPr="009255ED">
        <w:t>žádost</w:t>
      </w:r>
      <w:r>
        <w:t xml:space="preserve"> </w:t>
      </w:r>
      <w:r w:rsidRPr="009255ED">
        <w:t>ve</w:t>
      </w:r>
      <w:r>
        <w:t xml:space="preserve"> </w:t>
      </w:r>
      <w:r w:rsidRPr="009255ED">
        <w:t>lhůtě</w:t>
      </w:r>
      <w:r>
        <w:t xml:space="preserve"> </w:t>
      </w:r>
      <w:r w:rsidRPr="009255ED">
        <w:t>1</w:t>
      </w:r>
      <w:r>
        <w:t xml:space="preserve"> </w:t>
      </w:r>
      <w:r w:rsidRPr="009255ED">
        <w:t>měsíce</w:t>
      </w:r>
      <w:r>
        <w:t xml:space="preserve"> </w:t>
      </w:r>
      <w:r w:rsidRPr="009255ED">
        <w:t>od</w:t>
      </w:r>
      <w:r>
        <w:t xml:space="preserve"> </w:t>
      </w:r>
      <w:r w:rsidRPr="009255ED">
        <w:t>zveřejnění.</w:t>
      </w:r>
      <w:r>
        <w:t xml:space="preserve"> </w:t>
      </w:r>
      <w:r w:rsidRPr="009255ED">
        <w:t>Současně</w:t>
      </w:r>
      <w:r>
        <w:t xml:space="preserve"> </w:t>
      </w:r>
      <w:r w:rsidRPr="009255ED">
        <w:t>zveřejní</w:t>
      </w:r>
      <w:r>
        <w:t xml:space="preserve"> </w:t>
      </w:r>
      <w:r w:rsidRPr="009255ED">
        <w:t>na</w:t>
      </w:r>
      <w:r>
        <w:t xml:space="preserve"> </w:t>
      </w:r>
      <w:r w:rsidRPr="009255ED">
        <w:t>svých</w:t>
      </w:r>
      <w:r>
        <w:t xml:space="preserve"> </w:t>
      </w:r>
      <w:r w:rsidRPr="009255ED">
        <w:t>internetových</w:t>
      </w:r>
      <w:r>
        <w:t xml:space="preserve"> </w:t>
      </w:r>
      <w:r w:rsidRPr="009255ED">
        <w:t>stránkách</w:t>
      </w:r>
      <w:r>
        <w:t xml:space="preserve"> </w:t>
      </w:r>
      <w:r w:rsidRPr="009255ED">
        <w:t>text</w:t>
      </w:r>
      <w:r>
        <w:t xml:space="preserve"> </w:t>
      </w:r>
      <w:r w:rsidRPr="009255ED">
        <w:t>kupní</w:t>
      </w:r>
      <w:r>
        <w:t xml:space="preserve"> </w:t>
      </w:r>
      <w:r w:rsidRPr="009255ED">
        <w:t>smlouvy,</w:t>
      </w:r>
      <w:r>
        <w:t xml:space="preserve"> </w:t>
      </w:r>
      <w:r w:rsidRPr="009255ED">
        <w:t>jejíž</w:t>
      </w:r>
      <w:r>
        <w:t xml:space="preserve"> </w:t>
      </w:r>
      <w:r w:rsidRPr="009255ED">
        <w:t>obsah</w:t>
      </w:r>
      <w:r>
        <w:t xml:space="preserve"> </w:t>
      </w:r>
      <w:r w:rsidRPr="009255ED">
        <w:t>je</w:t>
      </w:r>
      <w:r>
        <w:t xml:space="preserve"> </w:t>
      </w:r>
      <w:r w:rsidRPr="009255ED">
        <w:t>pro</w:t>
      </w:r>
      <w:r>
        <w:t xml:space="preserve"> </w:t>
      </w:r>
      <w:r w:rsidRPr="009255ED">
        <w:t>převod</w:t>
      </w:r>
      <w:r>
        <w:t xml:space="preserve"> </w:t>
      </w:r>
      <w:r w:rsidRPr="009255ED">
        <w:t>podle</w:t>
      </w:r>
      <w:r>
        <w:t xml:space="preserve"> </w:t>
      </w:r>
      <w:r w:rsidRPr="009255ED">
        <w:t>veřejné</w:t>
      </w:r>
      <w:r>
        <w:t xml:space="preserve"> </w:t>
      </w:r>
      <w:r w:rsidRPr="009255ED">
        <w:t>nabídky</w:t>
      </w:r>
      <w:r>
        <w:t xml:space="preserve"> </w:t>
      </w:r>
      <w:r w:rsidRPr="009255ED">
        <w:t>závazný</w:t>
      </w:r>
      <w:r>
        <w:t xml:space="preserve"> </w:t>
      </w:r>
      <w:r w:rsidRPr="009255ED">
        <w:t>a</w:t>
      </w:r>
      <w:r>
        <w:t xml:space="preserve"> </w:t>
      </w:r>
      <w:r w:rsidRPr="009255ED">
        <w:t>nelze</w:t>
      </w:r>
      <w:r>
        <w:t xml:space="preserve"> </w:t>
      </w:r>
      <w:r w:rsidRPr="009255ED">
        <w:t>jej</w:t>
      </w:r>
      <w:r>
        <w:t xml:space="preserve"> </w:t>
      </w:r>
      <w:r w:rsidRPr="009255ED">
        <w:t>během</w:t>
      </w:r>
      <w:r>
        <w:t xml:space="preserve"> </w:t>
      </w:r>
      <w:r w:rsidRPr="009255ED">
        <w:t>veřejné</w:t>
      </w:r>
      <w:r>
        <w:t xml:space="preserve"> </w:t>
      </w:r>
      <w:r w:rsidRPr="009255ED">
        <w:t>nabídky</w:t>
      </w:r>
      <w:r>
        <w:t xml:space="preserve"> </w:t>
      </w:r>
      <w:r w:rsidRPr="009255ED">
        <w:t>měnit.</w:t>
      </w:r>
      <w:r>
        <w:t xml:space="preserve"> </w:t>
      </w:r>
      <w:r w:rsidRPr="009255ED">
        <w:t>Státní</w:t>
      </w:r>
      <w:r>
        <w:t xml:space="preserve"> </w:t>
      </w:r>
      <w:r w:rsidRPr="009255ED">
        <w:t>pozemkový</w:t>
      </w:r>
      <w:r>
        <w:t xml:space="preserve"> </w:t>
      </w:r>
      <w:r w:rsidRPr="009255ED">
        <w:t>úřad</w:t>
      </w:r>
      <w:r>
        <w:t xml:space="preserve"> </w:t>
      </w:r>
      <w:r w:rsidRPr="009255ED">
        <w:t>může</w:t>
      </w:r>
      <w:r>
        <w:t xml:space="preserve"> </w:t>
      </w:r>
      <w:r w:rsidRPr="009255ED">
        <w:t>do</w:t>
      </w:r>
      <w:r>
        <w:t xml:space="preserve"> </w:t>
      </w:r>
      <w:r w:rsidRPr="009255ED">
        <w:t>doby</w:t>
      </w:r>
      <w:r>
        <w:t xml:space="preserve"> </w:t>
      </w:r>
      <w:r w:rsidRPr="009255ED">
        <w:t>uzavření</w:t>
      </w:r>
      <w:r>
        <w:t xml:space="preserve"> </w:t>
      </w:r>
      <w:r w:rsidRPr="009255ED">
        <w:t>kupní</w:t>
      </w:r>
      <w:r>
        <w:t xml:space="preserve"> </w:t>
      </w:r>
      <w:r w:rsidRPr="009255ED">
        <w:t>smlouvy</w:t>
      </w:r>
      <w:r>
        <w:t xml:space="preserve"> </w:t>
      </w:r>
      <w:r w:rsidRPr="009255ED">
        <w:t>veřejnou</w:t>
      </w:r>
      <w:r>
        <w:t xml:space="preserve"> </w:t>
      </w:r>
      <w:r w:rsidRPr="009255ED">
        <w:t>nabídku</w:t>
      </w:r>
      <w:r>
        <w:t xml:space="preserve"> </w:t>
      </w:r>
      <w:r w:rsidRPr="009255ED">
        <w:t>zcela</w:t>
      </w:r>
      <w:r>
        <w:t xml:space="preserve"> </w:t>
      </w:r>
      <w:r w:rsidRPr="009255ED">
        <w:t>zrušit</w:t>
      </w:r>
      <w:r>
        <w:t xml:space="preserve"> </w:t>
      </w:r>
      <w:r w:rsidRPr="009255ED">
        <w:t>nebo</w:t>
      </w:r>
      <w:r>
        <w:t xml:space="preserve"> </w:t>
      </w:r>
      <w:r w:rsidRPr="009255ED">
        <w:t>pozměnit.</w:t>
      </w:r>
      <w:r>
        <w:t xml:space="preserve"> </w:t>
      </w:r>
      <w:r w:rsidRPr="009255ED">
        <w:t>Oznámení</w:t>
      </w:r>
      <w:r>
        <w:t xml:space="preserve"> </w:t>
      </w:r>
      <w:r w:rsidRPr="009255ED">
        <w:t>o</w:t>
      </w:r>
      <w:r>
        <w:t xml:space="preserve"> </w:t>
      </w:r>
      <w:r w:rsidRPr="009255ED">
        <w:t>této</w:t>
      </w:r>
      <w:r>
        <w:t xml:space="preserve"> </w:t>
      </w:r>
      <w:r w:rsidRPr="009255ED">
        <w:t>skutečnosti</w:t>
      </w:r>
      <w:r>
        <w:t xml:space="preserve"> </w:t>
      </w:r>
      <w:r w:rsidRPr="009255ED">
        <w:t>zveřejní</w:t>
      </w:r>
      <w:r>
        <w:t xml:space="preserve"> </w:t>
      </w:r>
      <w:r w:rsidRPr="009255ED">
        <w:t>rovněž</w:t>
      </w:r>
      <w:r>
        <w:t xml:space="preserve"> </w:t>
      </w:r>
      <w:r w:rsidRPr="009255ED">
        <w:t>na</w:t>
      </w:r>
      <w:r>
        <w:t xml:space="preserve"> </w:t>
      </w:r>
      <w:r w:rsidRPr="009255ED">
        <w:t>své</w:t>
      </w:r>
      <w:r>
        <w:t xml:space="preserve"> </w:t>
      </w:r>
      <w:r w:rsidRPr="009255ED">
        <w:t>úřední</w:t>
      </w:r>
      <w:r>
        <w:t xml:space="preserve"> </w:t>
      </w:r>
      <w:r w:rsidRPr="009255ED">
        <w:t>desce.</w:t>
      </w:r>
    </w:p>
    <w:p w14:paraId="074F6030" w14:textId="4172ACE7" w:rsidR="001965B7" w:rsidRDefault="001965B7" w:rsidP="005D3450">
      <w:pPr>
        <w:pStyle w:val="Textparagrafu"/>
        <w:tabs>
          <w:tab w:val="left" w:pos="392"/>
          <w:tab w:val="left" w:pos="840"/>
        </w:tabs>
        <w:spacing w:before="120" w:after="120"/>
      </w:pPr>
      <w:r w:rsidRPr="009255ED">
        <w:t>(3)</w:t>
      </w:r>
      <w:r>
        <w:t xml:space="preserve"> </w:t>
      </w:r>
      <w:r w:rsidRPr="009255ED">
        <w:t>Státní</w:t>
      </w:r>
      <w:r>
        <w:t xml:space="preserve"> </w:t>
      </w:r>
      <w:r w:rsidRPr="009255ED">
        <w:t>pozemkový</w:t>
      </w:r>
      <w:r>
        <w:t xml:space="preserve"> </w:t>
      </w:r>
      <w:r w:rsidRPr="009255ED">
        <w:t>úřad</w:t>
      </w:r>
      <w:r>
        <w:t xml:space="preserve"> </w:t>
      </w:r>
      <w:r w:rsidRPr="009255ED">
        <w:t>v</w:t>
      </w:r>
      <w:r>
        <w:t xml:space="preserve"> </w:t>
      </w:r>
      <w:r w:rsidRPr="009255ED">
        <w:t>oznámení</w:t>
      </w:r>
      <w:r>
        <w:t xml:space="preserve"> </w:t>
      </w:r>
      <w:r w:rsidRPr="009255ED">
        <w:t>o</w:t>
      </w:r>
      <w:r>
        <w:t xml:space="preserve"> </w:t>
      </w:r>
      <w:r w:rsidRPr="009255ED">
        <w:t>zahájení</w:t>
      </w:r>
      <w:r>
        <w:t xml:space="preserve"> </w:t>
      </w:r>
      <w:r w:rsidRPr="009255ED">
        <w:t>veřejné</w:t>
      </w:r>
      <w:r>
        <w:t xml:space="preserve"> </w:t>
      </w:r>
      <w:r w:rsidRPr="009255ED">
        <w:t>nabídky</w:t>
      </w:r>
      <w:r>
        <w:t xml:space="preserve"> </w:t>
      </w:r>
      <w:r w:rsidRPr="009255ED">
        <w:t>stanoví</w:t>
      </w:r>
      <w:r>
        <w:t xml:space="preserve"> </w:t>
      </w:r>
      <w:r w:rsidRPr="009255ED">
        <w:t>cenu</w:t>
      </w:r>
      <w:r>
        <w:t xml:space="preserve"> </w:t>
      </w:r>
      <w:r w:rsidRPr="009255ED">
        <w:t>zemědělských</w:t>
      </w:r>
      <w:r>
        <w:t xml:space="preserve"> </w:t>
      </w:r>
      <w:r w:rsidRPr="009255ED">
        <w:t>pozemků</w:t>
      </w:r>
      <w:r>
        <w:t xml:space="preserve"> </w:t>
      </w:r>
      <w:r w:rsidRPr="009255ED">
        <w:t>podle</w:t>
      </w:r>
      <w:r>
        <w:t xml:space="preserve"> </w:t>
      </w:r>
      <w:r w:rsidRPr="009255ED">
        <w:t>bonitovaných</w:t>
      </w:r>
      <w:r>
        <w:t xml:space="preserve"> </w:t>
      </w:r>
      <w:r w:rsidRPr="009255ED">
        <w:t>půdně</w:t>
      </w:r>
      <w:r>
        <w:t xml:space="preserve"> </w:t>
      </w:r>
      <w:r w:rsidRPr="009255ED">
        <w:t>ekologických</w:t>
      </w:r>
      <w:r>
        <w:t xml:space="preserve"> </w:t>
      </w:r>
      <w:r w:rsidR="00257D6B">
        <w:t>jednotek</w:t>
      </w:r>
      <w:r w:rsidR="00257D6B">
        <w:rPr>
          <w:rStyle w:val="Znakapoznpodarou"/>
        </w:rPr>
        <w:footnoteReference w:customMarkFollows="1" w:id="540"/>
        <w:t>24)</w:t>
      </w:r>
      <w:r w:rsidRPr="009255ED">
        <w:t>,</w:t>
      </w:r>
      <w:r>
        <w:t xml:space="preserve"> </w:t>
      </w:r>
      <w:r w:rsidRPr="009255ED">
        <w:t>nebo</w:t>
      </w:r>
      <w:r>
        <w:t xml:space="preserve"> </w:t>
      </w:r>
      <w:r w:rsidRPr="009255ED">
        <w:t>nejsou-li</w:t>
      </w:r>
      <w:r>
        <w:t xml:space="preserve"> </w:t>
      </w:r>
      <w:r w:rsidRPr="009255ED">
        <w:t>zemědělské</w:t>
      </w:r>
      <w:r>
        <w:t xml:space="preserve"> </w:t>
      </w:r>
      <w:r w:rsidRPr="009255ED">
        <w:t>pozemky</w:t>
      </w:r>
      <w:r>
        <w:t xml:space="preserve"> </w:t>
      </w:r>
      <w:r w:rsidRPr="009255ED">
        <w:t>bonitovány,</w:t>
      </w:r>
      <w:r>
        <w:t xml:space="preserve"> </w:t>
      </w:r>
      <w:r w:rsidRPr="009255ED">
        <w:t>podle</w:t>
      </w:r>
      <w:r>
        <w:t xml:space="preserve"> </w:t>
      </w:r>
      <w:r w:rsidRPr="009255ED">
        <w:t>průměrné</w:t>
      </w:r>
      <w:r>
        <w:t xml:space="preserve"> </w:t>
      </w:r>
      <w:r w:rsidRPr="009255ED">
        <w:t>ceny</w:t>
      </w:r>
      <w:r>
        <w:t xml:space="preserve"> </w:t>
      </w:r>
      <w:r w:rsidRPr="009255ED">
        <w:t>pro</w:t>
      </w:r>
      <w:r>
        <w:t xml:space="preserve"> </w:t>
      </w:r>
      <w:r w:rsidRPr="009255ED">
        <w:t>jednotlivá</w:t>
      </w:r>
      <w:r>
        <w:t xml:space="preserve"> </w:t>
      </w:r>
      <w:r w:rsidRPr="009255ED">
        <w:t>katastrální</w:t>
      </w:r>
      <w:r>
        <w:t xml:space="preserve"> </w:t>
      </w:r>
      <w:r w:rsidRPr="009255ED">
        <w:t>území</w:t>
      </w:r>
      <w:r>
        <w:t xml:space="preserve"> </w:t>
      </w:r>
      <w:r w:rsidRPr="009255ED">
        <w:t>podle</w:t>
      </w:r>
      <w:r>
        <w:t xml:space="preserve"> </w:t>
      </w:r>
      <w:r w:rsidRPr="009255ED">
        <w:t>jiného</w:t>
      </w:r>
      <w:r>
        <w:t xml:space="preserve"> </w:t>
      </w:r>
      <w:r w:rsidRPr="009255ED">
        <w:t>právního</w:t>
      </w:r>
      <w:r>
        <w:t xml:space="preserve"> </w:t>
      </w:r>
      <w:r w:rsidR="00257D6B">
        <w:t>předpisu</w:t>
      </w:r>
      <w:r w:rsidR="00257D6B">
        <w:rPr>
          <w:rStyle w:val="Znakapoznpodarou"/>
        </w:rPr>
        <w:footnoteReference w:customMarkFollows="1" w:id="541"/>
        <w:t>25)</w:t>
      </w:r>
      <w:r w:rsidRPr="009255ED">
        <w:t>;</w:t>
      </w:r>
      <w:r>
        <w:t xml:space="preserve"> </w:t>
      </w:r>
      <w:r w:rsidRPr="009255ED">
        <w:t>k</w:t>
      </w:r>
      <w:r>
        <w:t xml:space="preserve"> </w:t>
      </w:r>
      <w:r w:rsidRPr="009255ED">
        <w:t>takto</w:t>
      </w:r>
      <w:r>
        <w:t xml:space="preserve"> </w:t>
      </w:r>
      <w:r w:rsidRPr="00E82715">
        <w:rPr>
          <w:strike/>
        </w:rPr>
        <w:t>zjištěné ceně připočte cenu součástí a příslušenství pozemku stanovenou podle zákona o oceňování majetku</w:t>
      </w:r>
      <w:r w:rsidR="003F4257" w:rsidRPr="00E82715">
        <w:rPr>
          <w:strike/>
        </w:rPr>
        <w:t xml:space="preserve"> </w:t>
      </w:r>
      <w:r w:rsidR="003F4257" w:rsidRPr="00E82715">
        <w:rPr>
          <w:strike/>
          <w:vertAlign w:val="superscript"/>
        </w:rPr>
        <w:t>18)</w:t>
      </w:r>
      <w:r w:rsidR="00E82715" w:rsidRPr="00E82715">
        <w:rPr>
          <w:b/>
        </w:rPr>
        <w:t xml:space="preserve"> </w:t>
      </w:r>
      <w:r w:rsidR="00E82715" w:rsidRPr="00166AF2">
        <w:rPr>
          <w:b/>
        </w:rPr>
        <w:t xml:space="preserve">určené hodnotě připočte zjištěnou </w:t>
      </w:r>
      <w:r w:rsidR="00E82715" w:rsidRPr="00166AF2">
        <w:rPr>
          <w:b/>
        </w:rPr>
        <w:lastRenderedPageBreak/>
        <w:t>hodnotu součástí a příslušenství pozemku určenou podle zákona o oceňování</w:t>
      </w:r>
      <w:r w:rsidRPr="009255ED">
        <w:t>.</w:t>
      </w:r>
      <w:r>
        <w:t xml:space="preserve"> </w:t>
      </w:r>
      <w:r w:rsidRPr="009255ED">
        <w:t>Při</w:t>
      </w:r>
      <w:r>
        <w:t xml:space="preserve"> </w:t>
      </w:r>
      <w:r w:rsidRPr="009255ED">
        <w:t>stanovení</w:t>
      </w:r>
      <w:r>
        <w:t xml:space="preserve"> </w:t>
      </w:r>
      <w:r w:rsidRPr="009255ED">
        <w:t>ceny</w:t>
      </w:r>
      <w:r>
        <w:t xml:space="preserve"> </w:t>
      </w:r>
      <w:r w:rsidRPr="009255ED">
        <w:t>se</w:t>
      </w:r>
      <w:r>
        <w:t xml:space="preserve"> </w:t>
      </w:r>
      <w:r w:rsidRPr="009255ED">
        <w:t>v</w:t>
      </w:r>
      <w:r>
        <w:t xml:space="preserve"> </w:t>
      </w:r>
      <w:r w:rsidRPr="009255ED">
        <w:t>obou</w:t>
      </w:r>
      <w:r>
        <w:t xml:space="preserve"> </w:t>
      </w:r>
      <w:r w:rsidRPr="009255ED">
        <w:t>případech</w:t>
      </w:r>
      <w:r>
        <w:t xml:space="preserve"> </w:t>
      </w:r>
      <w:r w:rsidRPr="009255ED">
        <w:t>použije</w:t>
      </w:r>
      <w:r>
        <w:t xml:space="preserve"> </w:t>
      </w:r>
      <w:r w:rsidRPr="00E82715">
        <w:rPr>
          <w:strike/>
        </w:rPr>
        <w:t>cenový</w:t>
      </w:r>
      <w:r>
        <w:t xml:space="preserve"> </w:t>
      </w:r>
      <w:r w:rsidR="00E82715">
        <w:rPr>
          <w:b/>
        </w:rPr>
        <w:t xml:space="preserve">oceňovací </w:t>
      </w:r>
      <w:r w:rsidRPr="009255ED">
        <w:t>předpis</w:t>
      </w:r>
      <w:r>
        <w:t xml:space="preserve"> </w:t>
      </w:r>
      <w:r w:rsidRPr="009255ED">
        <w:t>platný</w:t>
      </w:r>
      <w:r>
        <w:t xml:space="preserve"> </w:t>
      </w:r>
      <w:r w:rsidRPr="009255ED">
        <w:t>k</w:t>
      </w:r>
      <w:r>
        <w:t xml:space="preserve"> </w:t>
      </w:r>
      <w:r w:rsidRPr="009255ED">
        <w:t>poslednímu</w:t>
      </w:r>
      <w:r>
        <w:t xml:space="preserve"> </w:t>
      </w:r>
      <w:r w:rsidRPr="009255ED">
        <w:t>dni</w:t>
      </w:r>
      <w:r>
        <w:t xml:space="preserve"> </w:t>
      </w:r>
      <w:r w:rsidRPr="009255ED">
        <w:t>kalendářního</w:t>
      </w:r>
      <w:r>
        <w:t xml:space="preserve"> </w:t>
      </w:r>
      <w:r w:rsidRPr="009255ED">
        <w:t>roku</w:t>
      </w:r>
      <w:r>
        <w:t xml:space="preserve"> </w:t>
      </w:r>
      <w:r w:rsidRPr="009255ED">
        <w:t>předcházejícího</w:t>
      </w:r>
      <w:r>
        <w:t xml:space="preserve"> </w:t>
      </w:r>
      <w:r w:rsidRPr="009255ED">
        <w:t>vyhlášení</w:t>
      </w:r>
      <w:r>
        <w:t xml:space="preserve"> </w:t>
      </w:r>
      <w:r w:rsidRPr="009255ED">
        <w:t>veřejné</w:t>
      </w:r>
      <w:r>
        <w:t xml:space="preserve"> </w:t>
      </w:r>
      <w:r w:rsidRPr="009255ED">
        <w:t>nabídky.</w:t>
      </w:r>
      <w:r>
        <w:t xml:space="preserve"> </w:t>
      </w:r>
      <w:r w:rsidRPr="009255ED">
        <w:t>To</w:t>
      </w:r>
      <w:r>
        <w:t xml:space="preserve"> </w:t>
      </w:r>
      <w:r w:rsidRPr="009255ED">
        <w:t>neplatí</w:t>
      </w:r>
      <w:r>
        <w:t xml:space="preserve"> </w:t>
      </w:r>
      <w:r w:rsidRPr="009255ED">
        <w:t>v</w:t>
      </w:r>
      <w:r>
        <w:t xml:space="preserve"> </w:t>
      </w:r>
      <w:r w:rsidRPr="009255ED">
        <w:t>případě,</w:t>
      </w:r>
      <w:r>
        <w:t xml:space="preserve"> </w:t>
      </w:r>
      <w:r w:rsidRPr="009255ED">
        <w:t>kdy</w:t>
      </w:r>
      <w:r>
        <w:t xml:space="preserve"> </w:t>
      </w:r>
      <w:r w:rsidRPr="009255ED">
        <w:t>se</w:t>
      </w:r>
      <w:r>
        <w:t xml:space="preserve"> </w:t>
      </w:r>
      <w:r w:rsidRPr="009255ED">
        <w:t>zemědělské</w:t>
      </w:r>
      <w:r>
        <w:t xml:space="preserve"> </w:t>
      </w:r>
      <w:r w:rsidRPr="009255ED">
        <w:t>pozemky</w:t>
      </w:r>
      <w:r>
        <w:t xml:space="preserve"> </w:t>
      </w:r>
      <w:r w:rsidRPr="009255ED">
        <w:t>nacházejí</w:t>
      </w:r>
      <w:r>
        <w:t xml:space="preserve"> </w:t>
      </w:r>
      <w:r w:rsidRPr="009255ED">
        <w:t>v</w:t>
      </w:r>
      <w:r>
        <w:t xml:space="preserve"> </w:t>
      </w:r>
      <w:r w:rsidRPr="009255ED">
        <w:t>zastavitelné</w:t>
      </w:r>
      <w:r>
        <w:t xml:space="preserve"> </w:t>
      </w:r>
      <w:r w:rsidRPr="009255ED">
        <w:t>nebo</w:t>
      </w:r>
      <w:r>
        <w:t xml:space="preserve"> </w:t>
      </w:r>
      <w:r w:rsidRPr="009255ED">
        <w:t>zastavěné</w:t>
      </w:r>
      <w:r>
        <w:t xml:space="preserve"> </w:t>
      </w:r>
      <w:r w:rsidRPr="009255ED">
        <w:t>ploše</w:t>
      </w:r>
      <w:r>
        <w:t xml:space="preserve"> </w:t>
      </w:r>
      <w:r w:rsidRPr="009255ED">
        <w:t>obce.</w:t>
      </w:r>
      <w:r>
        <w:t xml:space="preserve"> </w:t>
      </w:r>
      <w:r w:rsidRPr="009255ED">
        <w:t>V</w:t>
      </w:r>
      <w:r>
        <w:t xml:space="preserve"> </w:t>
      </w:r>
      <w:r w:rsidRPr="009255ED">
        <w:t>takovém</w:t>
      </w:r>
      <w:r>
        <w:t xml:space="preserve"> </w:t>
      </w:r>
      <w:r w:rsidRPr="009255ED">
        <w:t>případě</w:t>
      </w:r>
      <w:r>
        <w:t xml:space="preserve"> </w:t>
      </w:r>
      <w:r w:rsidRPr="009255ED">
        <w:t>se</w:t>
      </w:r>
      <w:r>
        <w:t xml:space="preserve"> </w:t>
      </w:r>
      <w:r w:rsidRPr="009255ED">
        <w:t>zemědělské</w:t>
      </w:r>
      <w:r>
        <w:t xml:space="preserve"> </w:t>
      </w:r>
      <w:r w:rsidRPr="009255ED">
        <w:t>pozemky</w:t>
      </w:r>
      <w:r>
        <w:t xml:space="preserve"> </w:t>
      </w:r>
      <w:r w:rsidRPr="009255ED">
        <w:t>převádí</w:t>
      </w:r>
      <w:r>
        <w:t xml:space="preserve"> </w:t>
      </w:r>
      <w:r w:rsidRPr="009255ED">
        <w:t>za</w:t>
      </w:r>
      <w:r>
        <w:t xml:space="preserve"> </w:t>
      </w:r>
      <w:r w:rsidRPr="00E82715">
        <w:rPr>
          <w:strike/>
        </w:rPr>
        <w:t>cenu obvyklou</w:t>
      </w:r>
      <w:r w:rsidR="00E82715">
        <w:t xml:space="preserve"> </w:t>
      </w:r>
      <w:proofErr w:type="spellStart"/>
      <w:r w:rsidR="00E82715">
        <w:rPr>
          <w:b/>
        </w:rPr>
        <w:t>obvyklou</w:t>
      </w:r>
      <w:proofErr w:type="spellEnd"/>
      <w:r w:rsidR="00E82715">
        <w:rPr>
          <w:b/>
        </w:rPr>
        <w:t xml:space="preserve"> hodnotu</w:t>
      </w:r>
      <w:r w:rsidRPr="009255ED">
        <w:t>.</w:t>
      </w:r>
    </w:p>
    <w:p w14:paraId="0B29BCF9" w14:textId="77777777" w:rsidR="001965B7" w:rsidRDefault="001965B7" w:rsidP="001965B7">
      <w:pPr>
        <w:pStyle w:val="Textparagrafu"/>
        <w:tabs>
          <w:tab w:val="left" w:pos="392"/>
          <w:tab w:val="left" w:pos="840"/>
        </w:tabs>
        <w:spacing w:after="120"/>
      </w:pPr>
      <w:r w:rsidRPr="009255ED">
        <w:t>(4)</w:t>
      </w:r>
      <w:r>
        <w:t xml:space="preserve"> </w:t>
      </w:r>
      <w:r w:rsidRPr="009255ED">
        <w:t>Během</w:t>
      </w:r>
      <w:r>
        <w:t xml:space="preserve"> </w:t>
      </w:r>
      <w:r w:rsidRPr="009255ED">
        <w:t>lhůty</w:t>
      </w:r>
      <w:r>
        <w:t xml:space="preserve"> </w:t>
      </w:r>
      <w:r w:rsidRPr="009255ED">
        <w:t>pro</w:t>
      </w:r>
      <w:r>
        <w:t xml:space="preserve"> </w:t>
      </w:r>
      <w:r w:rsidRPr="009255ED">
        <w:t>podávání</w:t>
      </w:r>
      <w:r>
        <w:t xml:space="preserve"> </w:t>
      </w:r>
      <w:r w:rsidRPr="009255ED">
        <w:t>žádostí</w:t>
      </w:r>
      <w:r>
        <w:t xml:space="preserve"> </w:t>
      </w:r>
      <w:r w:rsidRPr="009255ED">
        <w:t>podle</w:t>
      </w:r>
      <w:r>
        <w:t xml:space="preserve"> </w:t>
      </w:r>
      <w:r w:rsidRPr="009255ED">
        <w:t>odstavce</w:t>
      </w:r>
      <w:r>
        <w:t xml:space="preserve"> </w:t>
      </w:r>
      <w:r w:rsidRPr="009255ED">
        <w:t>2</w:t>
      </w:r>
      <w:r>
        <w:t xml:space="preserve"> </w:t>
      </w:r>
      <w:r w:rsidRPr="009255ED">
        <w:t>mohou</w:t>
      </w:r>
      <w:r>
        <w:t xml:space="preserve"> </w:t>
      </w:r>
      <w:r w:rsidRPr="009255ED">
        <w:t>o</w:t>
      </w:r>
      <w:r>
        <w:t xml:space="preserve"> </w:t>
      </w:r>
      <w:r w:rsidRPr="009255ED">
        <w:t>nabízené</w:t>
      </w:r>
      <w:r>
        <w:t xml:space="preserve"> </w:t>
      </w:r>
      <w:r w:rsidRPr="009255ED">
        <w:t>zemědělské</w:t>
      </w:r>
      <w:r>
        <w:t xml:space="preserve"> </w:t>
      </w:r>
      <w:r w:rsidRPr="009255ED">
        <w:t>pozemky</w:t>
      </w:r>
      <w:r>
        <w:t xml:space="preserve"> </w:t>
      </w:r>
      <w:r w:rsidRPr="009255ED">
        <w:t>písemně</w:t>
      </w:r>
      <w:r>
        <w:t xml:space="preserve"> </w:t>
      </w:r>
      <w:r w:rsidRPr="009255ED">
        <w:t>požádat</w:t>
      </w:r>
    </w:p>
    <w:p w14:paraId="5B436463" w14:textId="7339E5F9" w:rsidR="001965B7" w:rsidRDefault="001965B7" w:rsidP="00635DDD">
      <w:pPr>
        <w:pStyle w:val="Textparagrafu"/>
        <w:tabs>
          <w:tab w:val="left" w:pos="392"/>
          <w:tab w:val="left" w:pos="840"/>
        </w:tabs>
        <w:spacing w:before="0"/>
        <w:ind w:left="426" w:hanging="426"/>
      </w:pPr>
      <w:r w:rsidRPr="009255ED">
        <w:t>a)</w:t>
      </w:r>
      <w:r w:rsidR="0080777D">
        <w:tab/>
      </w:r>
      <w:r w:rsidRPr="009255ED">
        <w:t>fyzické</w:t>
      </w:r>
      <w:r>
        <w:t xml:space="preserve"> </w:t>
      </w:r>
      <w:r w:rsidRPr="009255ED">
        <w:t>nebo</w:t>
      </w:r>
      <w:r>
        <w:t xml:space="preserve"> </w:t>
      </w:r>
      <w:r w:rsidRPr="009255ED">
        <w:t>právnické</w:t>
      </w:r>
      <w:r>
        <w:t xml:space="preserve"> </w:t>
      </w:r>
      <w:r w:rsidRPr="009255ED">
        <w:t>osoby,</w:t>
      </w:r>
      <w:r>
        <w:t xml:space="preserve"> </w:t>
      </w:r>
      <w:r w:rsidRPr="009255ED">
        <w:t>které</w:t>
      </w:r>
      <w:r>
        <w:t xml:space="preserve"> </w:t>
      </w:r>
      <w:r w:rsidRPr="009255ED">
        <w:t>jsou</w:t>
      </w:r>
      <w:r>
        <w:t xml:space="preserve"> </w:t>
      </w:r>
      <w:r w:rsidRPr="009255ED">
        <w:t>zemědělskými</w:t>
      </w:r>
      <w:r>
        <w:t xml:space="preserve"> </w:t>
      </w:r>
      <w:r w:rsidRPr="009255ED">
        <w:t>podnikateli</w:t>
      </w:r>
      <w:r>
        <w:t xml:space="preserve"> </w:t>
      </w:r>
      <w:r w:rsidRPr="009255ED">
        <w:t>a</w:t>
      </w:r>
      <w:r>
        <w:t xml:space="preserve"> </w:t>
      </w:r>
      <w:r w:rsidRPr="009255ED">
        <w:t>které</w:t>
      </w:r>
      <w:r>
        <w:t xml:space="preserve"> </w:t>
      </w:r>
      <w:r w:rsidRPr="009255ED">
        <w:t>prokazatelně</w:t>
      </w:r>
      <w:r>
        <w:t xml:space="preserve"> </w:t>
      </w:r>
      <w:r w:rsidRPr="009255ED">
        <w:t>provozují</w:t>
      </w:r>
      <w:r>
        <w:t xml:space="preserve"> </w:t>
      </w:r>
      <w:r w:rsidRPr="009255ED">
        <w:t>zemědělskou</w:t>
      </w:r>
      <w:r>
        <w:t xml:space="preserve"> </w:t>
      </w:r>
      <w:r w:rsidRPr="009255ED">
        <w:t>výrobu</w:t>
      </w:r>
      <w:r>
        <w:t xml:space="preserve"> </w:t>
      </w:r>
      <w:r w:rsidRPr="009255ED">
        <w:t>minimálně</w:t>
      </w:r>
      <w:r>
        <w:t xml:space="preserve"> </w:t>
      </w:r>
      <w:r w:rsidRPr="009255ED">
        <w:t>po</w:t>
      </w:r>
      <w:r>
        <w:t xml:space="preserve"> </w:t>
      </w:r>
      <w:r w:rsidRPr="009255ED">
        <w:t>dobu</w:t>
      </w:r>
      <w:r>
        <w:t xml:space="preserve"> </w:t>
      </w:r>
      <w:r w:rsidRPr="009255ED">
        <w:t>36</w:t>
      </w:r>
      <w:r>
        <w:t xml:space="preserve"> </w:t>
      </w:r>
      <w:r w:rsidRPr="009255ED">
        <w:t>měsíců</w:t>
      </w:r>
      <w:r>
        <w:t xml:space="preserve"> </w:t>
      </w:r>
      <w:r w:rsidRPr="009255ED">
        <w:t>na</w:t>
      </w:r>
      <w:r>
        <w:t xml:space="preserve"> </w:t>
      </w:r>
      <w:r w:rsidRPr="009255ED">
        <w:t>zemědělských</w:t>
      </w:r>
      <w:r>
        <w:t xml:space="preserve"> </w:t>
      </w:r>
      <w:r w:rsidRPr="009255ED">
        <w:t>pozemcích</w:t>
      </w:r>
      <w:r>
        <w:t xml:space="preserve"> </w:t>
      </w:r>
      <w:r w:rsidRPr="009255ED">
        <w:t>o</w:t>
      </w:r>
      <w:r>
        <w:t xml:space="preserve"> </w:t>
      </w:r>
      <w:r w:rsidRPr="009255ED">
        <w:t>rozloze</w:t>
      </w:r>
      <w:r>
        <w:t xml:space="preserve"> </w:t>
      </w:r>
      <w:r w:rsidRPr="009255ED">
        <w:t>nejméně</w:t>
      </w:r>
      <w:r>
        <w:t xml:space="preserve"> </w:t>
      </w:r>
      <w:r w:rsidRPr="009255ED">
        <w:t>10</w:t>
      </w:r>
      <w:r>
        <w:t xml:space="preserve"> </w:t>
      </w:r>
      <w:r w:rsidRPr="009255ED">
        <w:t>ha</w:t>
      </w:r>
      <w:r>
        <w:t xml:space="preserve"> </w:t>
      </w:r>
      <w:r w:rsidRPr="009255ED">
        <w:t>v</w:t>
      </w:r>
      <w:r>
        <w:t xml:space="preserve"> </w:t>
      </w:r>
      <w:r w:rsidRPr="009255ED">
        <w:t>katastrálních</w:t>
      </w:r>
      <w:r>
        <w:t xml:space="preserve"> </w:t>
      </w:r>
      <w:r w:rsidRPr="009255ED">
        <w:t>územích</w:t>
      </w:r>
      <w:r>
        <w:t xml:space="preserve"> </w:t>
      </w:r>
      <w:r w:rsidRPr="009255ED">
        <w:t>obce</w:t>
      </w:r>
      <w:r>
        <w:t xml:space="preserve"> </w:t>
      </w:r>
      <w:r w:rsidRPr="009255ED">
        <w:t>nebo</w:t>
      </w:r>
      <w:r>
        <w:t xml:space="preserve"> </w:t>
      </w:r>
      <w:r w:rsidRPr="009255ED">
        <w:t>v</w:t>
      </w:r>
      <w:r>
        <w:t xml:space="preserve"> </w:t>
      </w:r>
      <w:r w:rsidRPr="009255ED">
        <w:t>katastrálním</w:t>
      </w:r>
      <w:r>
        <w:t xml:space="preserve"> </w:t>
      </w:r>
      <w:r w:rsidRPr="009255ED">
        <w:t>území,</w:t>
      </w:r>
      <w:r>
        <w:t xml:space="preserve"> </w:t>
      </w:r>
      <w:r w:rsidRPr="009255ED">
        <w:t>které</w:t>
      </w:r>
      <w:r>
        <w:t xml:space="preserve"> </w:t>
      </w:r>
      <w:r w:rsidRPr="009255ED">
        <w:t>sousedí</w:t>
      </w:r>
      <w:r>
        <w:t xml:space="preserve"> </w:t>
      </w:r>
      <w:r w:rsidRPr="009255ED">
        <w:t>s</w:t>
      </w:r>
      <w:r>
        <w:t xml:space="preserve"> </w:t>
      </w:r>
      <w:r w:rsidRPr="009255ED">
        <w:t>katastrálním</w:t>
      </w:r>
      <w:r>
        <w:t xml:space="preserve"> </w:t>
      </w:r>
      <w:r w:rsidRPr="009255ED">
        <w:t>územím,</w:t>
      </w:r>
      <w:r>
        <w:t xml:space="preserve"> </w:t>
      </w:r>
      <w:r w:rsidRPr="009255ED">
        <w:t>do</w:t>
      </w:r>
      <w:r>
        <w:t xml:space="preserve"> </w:t>
      </w:r>
      <w:r w:rsidRPr="009255ED">
        <w:t>něhož</w:t>
      </w:r>
      <w:r>
        <w:t xml:space="preserve"> </w:t>
      </w:r>
      <w:r w:rsidRPr="009255ED">
        <w:t>náležejí</w:t>
      </w:r>
      <w:r>
        <w:t xml:space="preserve"> </w:t>
      </w:r>
      <w:r w:rsidRPr="009255ED">
        <w:t>zemědělské</w:t>
      </w:r>
      <w:r>
        <w:t xml:space="preserve"> </w:t>
      </w:r>
      <w:r w:rsidRPr="009255ED">
        <w:t>pozemky</w:t>
      </w:r>
      <w:r>
        <w:t xml:space="preserve"> </w:t>
      </w:r>
      <w:r w:rsidRPr="009255ED">
        <w:t>určené</w:t>
      </w:r>
      <w:r>
        <w:t xml:space="preserve"> </w:t>
      </w:r>
      <w:r w:rsidRPr="009255ED">
        <w:t>k</w:t>
      </w:r>
      <w:r>
        <w:t xml:space="preserve"> </w:t>
      </w:r>
      <w:r w:rsidRPr="009255ED">
        <w:t>převodu,</w:t>
      </w:r>
      <w:r>
        <w:t xml:space="preserve"> </w:t>
      </w:r>
      <w:r w:rsidRPr="009255ED">
        <w:t>nebo</w:t>
      </w:r>
    </w:p>
    <w:p w14:paraId="436F1231" w14:textId="7DB5C2FC" w:rsidR="001965B7" w:rsidRDefault="001965B7" w:rsidP="00635DDD">
      <w:pPr>
        <w:pStyle w:val="Textparagrafu"/>
        <w:tabs>
          <w:tab w:val="left" w:pos="392"/>
          <w:tab w:val="left" w:pos="840"/>
        </w:tabs>
        <w:spacing w:before="0"/>
        <w:ind w:left="426" w:hanging="426"/>
      </w:pPr>
      <w:r w:rsidRPr="009255ED">
        <w:t>b)</w:t>
      </w:r>
      <w:r w:rsidR="0080777D">
        <w:tab/>
      </w:r>
      <w:r w:rsidRPr="009255ED">
        <w:t>fyzické</w:t>
      </w:r>
      <w:r>
        <w:t xml:space="preserve"> </w:t>
      </w:r>
      <w:r w:rsidRPr="009255ED">
        <w:t>nebo</w:t>
      </w:r>
      <w:r>
        <w:t xml:space="preserve"> </w:t>
      </w:r>
      <w:r w:rsidRPr="009255ED">
        <w:t>právnické</w:t>
      </w:r>
      <w:r>
        <w:t xml:space="preserve"> </w:t>
      </w:r>
      <w:r w:rsidRPr="009255ED">
        <w:t>osoby,</w:t>
      </w:r>
      <w:r>
        <w:t xml:space="preserve"> </w:t>
      </w:r>
      <w:r w:rsidRPr="009255ED">
        <w:t>které</w:t>
      </w:r>
      <w:r>
        <w:t xml:space="preserve"> </w:t>
      </w:r>
      <w:r w:rsidRPr="009255ED">
        <w:t>jsou</w:t>
      </w:r>
      <w:r>
        <w:t xml:space="preserve"> </w:t>
      </w:r>
      <w:r w:rsidRPr="009255ED">
        <w:t>zemědělskými</w:t>
      </w:r>
      <w:r>
        <w:t xml:space="preserve"> </w:t>
      </w:r>
      <w:r w:rsidRPr="009255ED">
        <w:t>podnikateli</w:t>
      </w:r>
      <w:r>
        <w:t xml:space="preserve"> </w:t>
      </w:r>
      <w:r w:rsidRPr="009255ED">
        <w:t>a</w:t>
      </w:r>
      <w:r>
        <w:t xml:space="preserve"> </w:t>
      </w:r>
      <w:r w:rsidRPr="009255ED">
        <w:t>které</w:t>
      </w:r>
      <w:r>
        <w:t xml:space="preserve"> </w:t>
      </w:r>
      <w:r w:rsidRPr="009255ED">
        <w:t>vlastní</w:t>
      </w:r>
      <w:r>
        <w:t xml:space="preserve"> </w:t>
      </w:r>
      <w:r w:rsidRPr="009255ED">
        <w:t>nejméně</w:t>
      </w:r>
      <w:r>
        <w:t xml:space="preserve"> </w:t>
      </w:r>
      <w:r w:rsidRPr="009255ED">
        <w:t>10</w:t>
      </w:r>
      <w:r>
        <w:t xml:space="preserve"> </w:t>
      </w:r>
      <w:r w:rsidRPr="009255ED">
        <w:t>ha</w:t>
      </w:r>
      <w:r>
        <w:t xml:space="preserve"> </w:t>
      </w:r>
      <w:r w:rsidRPr="009255ED">
        <w:t>zemědělské</w:t>
      </w:r>
      <w:r>
        <w:t xml:space="preserve"> </w:t>
      </w:r>
      <w:r w:rsidRPr="009255ED">
        <w:t>půdy</w:t>
      </w:r>
      <w:r>
        <w:t xml:space="preserve"> </w:t>
      </w:r>
      <w:r w:rsidRPr="009255ED">
        <w:t>v</w:t>
      </w:r>
      <w:r>
        <w:t xml:space="preserve"> </w:t>
      </w:r>
      <w:r w:rsidRPr="009255ED">
        <w:t>katastrálních</w:t>
      </w:r>
      <w:r>
        <w:t xml:space="preserve"> </w:t>
      </w:r>
      <w:r w:rsidRPr="009255ED">
        <w:t>územích</w:t>
      </w:r>
      <w:r>
        <w:t xml:space="preserve"> </w:t>
      </w:r>
      <w:r w:rsidRPr="009255ED">
        <w:t>obce</w:t>
      </w:r>
      <w:r>
        <w:t xml:space="preserve"> </w:t>
      </w:r>
      <w:r w:rsidRPr="009255ED">
        <w:t>nebo</w:t>
      </w:r>
      <w:r>
        <w:t xml:space="preserve"> </w:t>
      </w:r>
      <w:r w:rsidRPr="009255ED">
        <w:t>v</w:t>
      </w:r>
      <w:r>
        <w:t xml:space="preserve"> </w:t>
      </w:r>
      <w:r w:rsidRPr="009255ED">
        <w:t>katastrálním</w:t>
      </w:r>
      <w:r>
        <w:t xml:space="preserve"> </w:t>
      </w:r>
      <w:r w:rsidRPr="009255ED">
        <w:t>území,</w:t>
      </w:r>
      <w:r>
        <w:t xml:space="preserve"> </w:t>
      </w:r>
      <w:r w:rsidRPr="009255ED">
        <w:t>které</w:t>
      </w:r>
      <w:r>
        <w:t xml:space="preserve"> </w:t>
      </w:r>
      <w:r w:rsidRPr="009255ED">
        <w:t>sousedí</w:t>
      </w:r>
      <w:r>
        <w:t xml:space="preserve"> </w:t>
      </w:r>
      <w:r w:rsidRPr="009255ED">
        <w:t>s</w:t>
      </w:r>
      <w:r>
        <w:t xml:space="preserve"> </w:t>
      </w:r>
      <w:r w:rsidRPr="009255ED">
        <w:t>katastrálním</w:t>
      </w:r>
      <w:r>
        <w:t xml:space="preserve"> </w:t>
      </w:r>
      <w:r w:rsidRPr="009255ED">
        <w:t>územím,</w:t>
      </w:r>
      <w:r>
        <w:t xml:space="preserve"> </w:t>
      </w:r>
      <w:r w:rsidRPr="009255ED">
        <w:t>do</w:t>
      </w:r>
      <w:r>
        <w:t xml:space="preserve"> </w:t>
      </w:r>
      <w:r w:rsidRPr="009255ED">
        <w:t>něhož</w:t>
      </w:r>
      <w:r>
        <w:t xml:space="preserve"> </w:t>
      </w:r>
      <w:r w:rsidRPr="009255ED">
        <w:t>náležejí</w:t>
      </w:r>
      <w:r>
        <w:t xml:space="preserve"> </w:t>
      </w:r>
      <w:r w:rsidRPr="009255ED">
        <w:t>zemědělské</w:t>
      </w:r>
      <w:r>
        <w:t xml:space="preserve"> </w:t>
      </w:r>
      <w:r w:rsidRPr="009255ED">
        <w:t>pozemky</w:t>
      </w:r>
      <w:r>
        <w:t xml:space="preserve"> </w:t>
      </w:r>
      <w:r w:rsidRPr="009255ED">
        <w:t>určené</w:t>
      </w:r>
      <w:r>
        <w:t xml:space="preserve"> </w:t>
      </w:r>
      <w:r w:rsidRPr="009255ED">
        <w:t>k</w:t>
      </w:r>
      <w:r>
        <w:t xml:space="preserve"> </w:t>
      </w:r>
      <w:r w:rsidRPr="009255ED">
        <w:t>převodu,</w:t>
      </w:r>
      <w:r>
        <w:t xml:space="preserve"> </w:t>
      </w:r>
      <w:r w:rsidRPr="009255ED">
        <w:t>a</w:t>
      </w:r>
      <w:r>
        <w:t xml:space="preserve"> </w:t>
      </w:r>
      <w:r w:rsidRPr="009255ED">
        <w:t>které</w:t>
      </w:r>
      <w:r>
        <w:t xml:space="preserve"> </w:t>
      </w:r>
      <w:r w:rsidRPr="009255ED">
        <w:t>prokazatelně</w:t>
      </w:r>
      <w:r>
        <w:t xml:space="preserve"> </w:t>
      </w:r>
      <w:r w:rsidRPr="009255ED">
        <w:t>provozují</w:t>
      </w:r>
      <w:r>
        <w:t xml:space="preserve"> </w:t>
      </w:r>
      <w:r w:rsidRPr="009255ED">
        <w:t>na</w:t>
      </w:r>
      <w:r>
        <w:t xml:space="preserve"> </w:t>
      </w:r>
      <w:r w:rsidRPr="009255ED">
        <w:t>území</w:t>
      </w:r>
      <w:r>
        <w:t xml:space="preserve"> </w:t>
      </w:r>
      <w:r w:rsidRPr="009255ED">
        <w:t>České</w:t>
      </w:r>
      <w:r>
        <w:t xml:space="preserve"> </w:t>
      </w:r>
      <w:r w:rsidRPr="009255ED">
        <w:t>republiky</w:t>
      </w:r>
      <w:r>
        <w:t xml:space="preserve"> </w:t>
      </w:r>
      <w:r w:rsidRPr="009255ED">
        <w:t>zemědělskou</w:t>
      </w:r>
      <w:r>
        <w:t xml:space="preserve"> </w:t>
      </w:r>
      <w:r w:rsidRPr="009255ED">
        <w:t>výrobu</w:t>
      </w:r>
      <w:r>
        <w:t xml:space="preserve"> </w:t>
      </w:r>
      <w:r w:rsidRPr="009255ED">
        <w:t>minimálně</w:t>
      </w:r>
      <w:r>
        <w:t xml:space="preserve"> </w:t>
      </w:r>
      <w:r w:rsidRPr="009255ED">
        <w:t>po</w:t>
      </w:r>
      <w:r>
        <w:t xml:space="preserve"> </w:t>
      </w:r>
      <w:r w:rsidRPr="009255ED">
        <w:t>dobu</w:t>
      </w:r>
      <w:r>
        <w:t xml:space="preserve"> </w:t>
      </w:r>
      <w:r w:rsidRPr="009255ED">
        <w:t>36</w:t>
      </w:r>
      <w:r>
        <w:t xml:space="preserve"> </w:t>
      </w:r>
      <w:r w:rsidRPr="009255ED">
        <w:t>měsíců</w:t>
      </w:r>
      <w:r>
        <w:t xml:space="preserve"> </w:t>
      </w:r>
      <w:r w:rsidRPr="009255ED">
        <w:t>na</w:t>
      </w:r>
      <w:r>
        <w:t xml:space="preserve"> </w:t>
      </w:r>
      <w:r w:rsidRPr="009255ED">
        <w:t>pozemcích</w:t>
      </w:r>
      <w:r>
        <w:t xml:space="preserve"> </w:t>
      </w:r>
      <w:r w:rsidRPr="009255ED">
        <w:t>o</w:t>
      </w:r>
      <w:r>
        <w:t xml:space="preserve"> </w:t>
      </w:r>
      <w:r w:rsidRPr="009255ED">
        <w:t>rozloze</w:t>
      </w:r>
      <w:r>
        <w:t xml:space="preserve"> </w:t>
      </w:r>
      <w:r w:rsidRPr="009255ED">
        <w:t>nejméně</w:t>
      </w:r>
      <w:r>
        <w:t xml:space="preserve"> </w:t>
      </w:r>
      <w:r w:rsidRPr="009255ED">
        <w:t>10</w:t>
      </w:r>
      <w:r>
        <w:t xml:space="preserve"> </w:t>
      </w:r>
      <w:r w:rsidRPr="009255ED">
        <w:t>ha.</w:t>
      </w:r>
    </w:p>
    <w:p w14:paraId="1719AEAE" w14:textId="77777777" w:rsidR="001965B7" w:rsidRDefault="001965B7" w:rsidP="005D3450">
      <w:pPr>
        <w:pStyle w:val="Textparagrafu"/>
        <w:tabs>
          <w:tab w:val="left" w:pos="392"/>
          <w:tab w:val="left" w:pos="840"/>
        </w:tabs>
        <w:spacing w:before="120" w:after="120"/>
      </w:pPr>
      <w:r w:rsidRPr="009255ED">
        <w:t>(5)</w:t>
      </w:r>
      <w:r>
        <w:t xml:space="preserve"> </w:t>
      </w:r>
      <w:r w:rsidRPr="009255ED">
        <w:t>Pokud</w:t>
      </w:r>
      <w:r>
        <w:t xml:space="preserve"> </w:t>
      </w:r>
      <w:r w:rsidRPr="009255ED">
        <w:t>ve</w:t>
      </w:r>
      <w:r>
        <w:t xml:space="preserve"> </w:t>
      </w:r>
      <w:r w:rsidRPr="009255ED">
        <w:t>lhůtě</w:t>
      </w:r>
      <w:r>
        <w:t xml:space="preserve"> </w:t>
      </w:r>
      <w:r w:rsidRPr="009255ED">
        <w:t>pro</w:t>
      </w:r>
      <w:r>
        <w:t xml:space="preserve"> </w:t>
      </w:r>
      <w:r w:rsidRPr="009255ED">
        <w:t>podávání</w:t>
      </w:r>
      <w:r>
        <w:t xml:space="preserve"> </w:t>
      </w:r>
      <w:r w:rsidRPr="009255ED">
        <w:t>žádostí</w:t>
      </w:r>
      <w:r>
        <w:t xml:space="preserve"> </w:t>
      </w:r>
      <w:r w:rsidRPr="009255ED">
        <w:t>požádá</w:t>
      </w:r>
      <w:r>
        <w:t xml:space="preserve"> </w:t>
      </w:r>
      <w:r w:rsidRPr="009255ED">
        <w:t>o</w:t>
      </w:r>
      <w:r>
        <w:t xml:space="preserve"> </w:t>
      </w:r>
      <w:r w:rsidRPr="009255ED">
        <w:t>převod</w:t>
      </w:r>
      <w:r>
        <w:t xml:space="preserve"> </w:t>
      </w:r>
      <w:r w:rsidRPr="009255ED">
        <w:t>zemědělského</w:t>
      </w:r>
      <w:r>
        <w:t xml:space="preserve"> </w:t>
      </w:r>
      <w:r w:rsidRPr="009255ED">
        <w:t>pozemku</w:t>
      </w:r>
      <w:r>
        <w:t xml:space="preserve"> </w:t>
      </w:r>
      <w:r w:rsidRPr="009255ED">
        <w:t>zařazeného</w:t>
      </w:r>
      <w:r>
        <w:t xml:space="preserve"> </w:t>
      </w:r>
      <w:r w:rsidRPr="009255ED">
        <w:t>do</w:t>
      </w:r>
      <w:r>
        <w:t xml:space="preserve"> </w:t>
      </w:r>
      <w:r w:rsidRPr="009255ED">
        <w:t>veřejné</w:t>
      </w:r>
      <w:r>
        <w:t xml:space="preserve"> </w:t>
      </w:r>
      <w:r w:rsidRPr="009255ED">
        <w:t>nabídky</w:t>
      </w:r>
      <w:r>
        <w:t xml:space="preserve"> </w:t>
      </w:r>
      <w:r w:rsidRPr="009255ED">
        <w:t>některá</w:t>
      </w:r>
      <w:r>
        <w:t xml:space="preserve"> </w:t>
      </w:r>
      <w:r w:rsidRPr="009255ED">
        <w:t>z</w:t>
      </w:r>
      <w:r>
        <w:t xml:space="preserve"> </w:t>
      </w:r>
      <w:r w:rsidRPr="009255ED">
        <w:t>osob</w:t>
      </w:r>
      <w:r>
        <w:t xml:space="preserve"> </w:t>
      </w:r>
      <w:r w:rsidRPr="009255ED">
        <w:t>uvedených</w:t>
      </w:r>
      <w:r>
        <w:t xml:space="preserve"> </w:t>
      </w:r>
      <w:r w:rsidRPr="009255ED">
        <w:t>v</w:t>
      </w:r>
      <w:r>
        <w:t xml:space="preserve"> </w:t>
      </w:r>
      <w:r w:rsidRPr="009255ED">
        <w:t>§</w:t>
      </w:r>
      <w:r>
        <w:t xml:space="preserve"> </w:t>
      </w:r>
      <w:r w:rsidRPr="009255ED">
        <w:t>10,</w:t>
      </w:r>
      <w:r>
        <w:t xml:space="preserve"> </w:t>
      </w:r>
      <w:r w:rsidRPr="009255ED">
        <w:t>veřejná</w:t>
      </w:r>
      <w:r>
        <w:t xml:space="preserve"> </w:t>
      </w:r>
      <w:r w:rsidRPr="009255ED">
        <w:t>nabídka</w:t>
      </w:r>
      <w:r>
        <w:t xml:space="preserve"> </w:t>
      </w:r>
      <w:r w:rsidRPr="009255ED">
        <w:t>se</w:t>
      </w:r>
      <w:r>
        <w:t xml:space="preserve"> </w:t>
      </w:r>
      <w:r w:rsidRPr="009255ED">
        <w:t>v</w:t>
      </w:r>
      <w:r>
        <w:t xml:space="preserve"> </w:t>
      </w:r>
      <w:r w:rsidRPr="009255ED">
        <w:t>příslušné</w:t>
      </w:r>
      <w:r>
        <w:t xml:space="preserve"> </w:t>
      </w:r>
      <w:r w:rsidRPr="009255ED">
        <w:t>části</w:t>
      </w:r>
      <w:r>
        <w:t xml:space="preserve"> </w:t>
      </w:r>
      <w:r w:rsidRPr="009255ED">
        <w:t>ruší</w:t>
      </w:r>
      <w:r>
        <w:t xml:space="preserve"> </w:t>
      </w:r>
      <w:r w:rsidRPr="009255ED">
        <w:t>a</w:t>
      </w:r>
      <w:r>
        <w:t xml:space="preserve"> </w:t>
      </w:r>
      <w:r w:rsidRPr="009255ED">
        <w:t>Státní</w:t>
      </w:r>
      <w:r>
        <w:t xml:space="preserve"> </w:t>
      </w:r>
      <w:r w:rsidRPr="009255ED">
        <w:t>pozemkový</w:t>
      </w:r>
      <w:r>
        <w:t xml:space="preserve"> </w:t>
      </w:r>
      <w:r w:rsidRPr="009255ED">
        <w:t>úřad</w:t>
      </w:r>
      <w:r>
        <w:t xml:space="preserve"> </w:t>
      </w:r>
      <w:r w:rsidRPr="009255ED">
        <w:t>postupuje</w:t>
      </w:r>
      <w:r>
        <w:t xml:space="preserve"> </w:t>
      </w:r>
      <w:r w:rsidRPr="009255ED">
        <w:t>podle</w:t>
      </w:r>
      <w:r>
        <w:t xml:space="preserve"> </w:t>
      </w:r>
      <w:r w:rsidRPr="009255ED">
        <w:t>§</w:t>
      </w:r>
      <w:r>
        <w:t xml:space="preserve"> </w:t>
      </w:r>
      <w:r w:rsidRPr="009255ED">
        <w:t>10;</w:t>
      </w:r>
      <w:r>
        <w:t xml:space="preserve"> </w:t>
      </w:r>
      <w:r w:rsidRPr="009255ED">
        <w:t>jestliže</w:t>
      </w:r>
      <w:r>
        <w:t xml:space="preserve"> </w:t>
      </w:r>
      <w:r w:rsidRPr="009255ED">
        <w:t>tyto</w:t>
      </w:r>
      <w:r>
        <w:t xml:space="preserve"> </w:t>
      </w:r>
      <w:r w:rsidRPr="009255ED">
        <w:t>osoby</w:t>
      </w:r>
      <w:r>
        <w:t xml:space="preserve"> </w:t>
      </w:r>
      <w:r w:rsidRPr="009255ED">
        <w:t>ve</w:t>
      </w:r>
      <w:r>
        <w:t xml:space="preserve"> </w:t>
      </w:r>
      <w:r w:rsidRPr="009255ED">
        <w:t>lhůtě</w:t>
      </w:r>
      <w:r>
        <w:t xml:space="preserve"> </w:t>
      </w:r>
      <w:r w:rsidRPr="009255ED">
        <w:t>pro</w:t>
      </w:r>
      <w:r>
        <w:t xml:space="preserve"> </w:t>
      </w:r>
      <w:r w:rsidRPr="009255ED">
        <w:t>podávání</w:t>
      </w:r>
      <w:r>
        <w:t xml:space="preserve"> </w:t>
      </w:r>
      <w:r w:rsidRPr="009255ED">
        <w:t>žádostí</w:t>
      </w:r>
      <w:r>
        <w:t xml:space="preserve"> </w:t>
      </w:r>
      <w:r w:rsidRPr="009255ED">
        <w:t>o</w:t>
      </w:r>
      <w:r>
        <w:t xml:space="preserve"> </w:t>
      </w:r>
      <w:r w:rsidRPr="009255ED">
        <w:t>převod</w:t>
      </w:r>
      <w:r>
        <w:t xml:space="preserve"> </w:t>
      </w:r>
      <w:r w:rsidRPr="009255ED">
        <w:t>zemědělského</w:t>
      </w:r>
      <w:r>
        <w:t xml:space="preserve"> </w:t>
      </w:r>
      <w:r w:rsidRPr="009255ED">
        <w:t>pozemku</w:t>
      </w:r>
      <w:r>
        <w:t xml:space="preserve"> </w:t>
      </w:r>
      <w:r w:rsidRPr="009255ED">
        <w:t>nepožádají,</w:t>
      </w:r>
      <w:r>
        <w:t xml:space="preserve"> </w:t>
      </w:r>
      <w:r w:rsidRPr="009255ED">
        <w:t>jejich</w:t>
      </w:r>
      <w:r>
        <w:t xml:space="preserve"> </w:t>
      </w:r>
      <w:r w:rsidRPr="009255ED">
        <w:t>právo</w:t>
      </w:r>
      <w:r>
        <w:t xml:space="preserve"> </w:t>
      </w:r>
      <w:r w:rsidRPr="009255ED">
        <w:t>na</w:t>
      </w:r>
      <w:r>
        <w:t xml:space="preserve"> </w:t>
      </w:r>
      <w:r w:rsidRPr="009255ED">
        <w:t>převod</w:t>
      </w:r>
      <w:r>
        <w:t xml:space="preserve"> </w:t>
      </w:r>
      <w:r w:rsidRPr="009255ED">
        <w:t>zemědělského</w:t>
      </w:r>
      <w:r>
        <w:t xml:space="preserve"> </w:t>
      </w:r>
      <w:r w:rsidRPr="009255ED">
        <w:t>pozemku</w:t>
      </w:r>
      <w:r>
        <w:t xml:space="preserve"> </w:t>
      </w:r>
      <w:r w:rsidRPr="009255ED">
        <w:t>podle</w:t>
      </w:r>
      <w:r>
        <w:t xml:space="preserve"> </w:t>
      </w:r>
      <w:r w:rsidRPr="009255ED">
        <w:t>§</w:t>
      </w:r>
      <w:r>
        <w:t xml:space="preserve"> </w:t>
      </w:r>
      <w:r w:rsidRPr="009255ED">
        <w:t>10</w:t>
      </w:r>
      <w:r>
        <w:t xml:space="preserve"> </w:t>
      </w:r>
      <w:r w:rsidRPr="009255ED">
        <w:t>zaniká.</w:t>
      </w:r>
    </w:p>
    <w:p w14:paraId="4F4F0A9F" w14:textId="77777777" w:rsidR="001965B7" w:rsidRDefault="001965B7" w:rsidP="005D3450">
      <w:pPr>
        <w:pStyle w:val="Textparagrafu"/>
        <w:tabs>
          <w:tab w:val="left" w:pos="392"/>
          <w:tab w:val="left" w:pos="840"/>
        </w:tabs>
        <w:spacing w:before="120" w:after="120"/>
      </w:pPr>
      <w:r w:rsidRPr="009255ED">
        <w:t>(6)</w:t>
      </w:r>
      <w:r>
        <w:t xml:space="preserve"> </w:t>
      </w:r>
      <w:r w:rsidRPr="009255ED">
        <w:t>Pokud</w:t>
      </w:r>
      <w:r>
        <w:t xml:space="preserve"> </w:t>
      </w:r>
      <w:r w:rsidRPr="009255ED">
        <w:t>ve</w:t>
      </w:r>
      <w:r>
        <w:t xml:space="preserve"> </w:t>
      </w:r>
      <w:r w:rsidRPr="009255ED">
        <w:t>lhůtě</w:t>
      </w:r>
      <w:r>
        <w:t xml:space="preserve"> </w:t>
      </w:r>
      <w:r w:rsidRPr="009255ED">
        <w:t>pro</w:t>
      </w:r>
      <w:r>
        <w:t xml:space="preserve"> </w:t>
      </w:r>
      <w:r w:rsidRPr="009255ED">
        <w:t>podávání</w:t>
      </w:r>
      <w:r>
        <w:t xml:space="preserve"> </w:t>
      </w:r>
      <w:r w:rsidRPr="009255ED">
        <w:t>žádostí</w:t>
      </w:r>
      <w:r>
        <w:t xml:space="preserve"> </w:t>
      </w:r>
      <w:r w:rsidRPr="009255ED">
        <w:t>požádá</w:t>
      </w:r>
      <w:r>
        <w:t xml:space="preserve"> </w:t>
      </w:r>
      <w:r w:rsidRPr="009255ED">
        <w:t>o</w:t>
      </w:r>
      <w:r>
        <w:t xml:space="preserve"> </w:t>
      </w:r>
      <w:r w:rsidRPr="009255ED">
        <w:t>převod</w:t>
      </w:r>
      <w:r>
        <w:t xml:space="preserve"> </w:t>
      </w:r>
      <w:r w:rsidRPr="009255ED">
        <w:t>zemědělského</w:t>
      </w:r>
      <w:r>
        <w:t xml:space="preserve"> </w:t>
      </w:r>
      <w:r w:rsidRPr="009255ED">
        <w:t>pozemku</w:t>
      </w:r>
      <w:r>
        <w:t xml:space="preserve"> </w:t>
      </w:r>
      <w:r w:rsidRPr="009255ED">
        <w:t>zařazeného</w:t>
      </w:r>
      <w:r>
        <w:t xml:space="preserve"> </w:t>
      </w:r>
      <w:r w:rsidRPr="009255ED">
        <w:t>do</w:t>
      </w:r>
      <w:r>
        <w:t xml:space="preserve"> </w:t>
      </w:r>
      <w:r w:rsidRPr="009255ED">
        <w:t>veřejné</w:t>
      </w:r>
      <w:r>
        <w:t xml:space="preserve"> </w:t>
      </w:r>
      <w:r w:rsidRPr="009255ED">
        <w:t>nabídky</w:t>
      </w:r>
      <w:r>
        <w:t xml:space="preserve"> </w:t>
      </w:r>
      <w:r w:rsidRPr="009255ED">
        <w:t>osoba</w:t>
      </w:r>
      <w:r>
        <w:t xml:space="preserve"> </w:t>
      </w:r>
      <w:r w:rsidRPr="009255ED">
        <w:t>uvedená</w:t>
      </w:r>
      <w:r>
        <w:t xml:space="preserve"> </w:t>
      </w:r>
      <w:r w:rsidRPr="009255ED">
        <w:t>v</w:t>
      </w:r>
      <w:r>
        <w:t xml:space="preserve"> </w:t>
      </w:r>
      <w:r w:rsidRPr="009255ED">
        <w:t>odstavci</w:t>
      </w:r>
      <w:r>
        <w:t xml:space="preserve"> </w:t>
      </w:r>
      <w:r w:rsidRPr="009255ED">
        <w:t>4,</w:t>
      </w:r>
      <w:r>
        <w:t xml:space="preserve"> </w:t>
      </w:r>
      <w:r w:rsidRPr="009255ED">
        <w:t>která</w:t>
      </w:r>
      <w:r>
        <w:t xml:space="preserve"> </w:t>
      </w:r>
      <w:r w:rsidRPr="009255ED">
        <w:t>má</w:t>
      </w:r>
      <w:r>
        <w:t xml:space="preserve"> </w:t>
      </w:r>
      <w:r w:rsidRPr="009255ED">
        <w:t>tento</w:t>
      </w:r>
      <w:r>
        <w:t xml:space="preserve"> </w:t>
      </w:r>
      <w:r w:rsidRPr="009255ED">
        <w:t>pozemek</w:t>
      </w:r>
      <w:r>
        <w:t xml:space="preserve"> </w:t>
      </w:r>
      <w:r w:rsidRPr="009255ED">
        <w:t>pronajatý</w:t>
      </w:r>
      <w:r>
        <w:t xml:space="preserve"> </w:t>
      </w:r>
      <w:r w:rsidRPr="009255ED">
        <w:t>od</w:t>
      </w:r>
      <w:r>
        <w:t xml:space="preserve"> </w:t>
      </w:r>
      <w:r w:rsidRPr="009255ED">
        <w:t>Státního</w:t>
      </w:r>
      <w:r>
        <w:t xml:space="preserve"> </w:t>
      </w:r>
      <w:r w:rsidRPr="009255ED">
        <w:t>pozemkového</w:t>
      </w:r>
      <w:r>
        <w:t xml:space="preserve"> </w:t>
      </w:r>
      <w:r w:rsidRPr="009255ED">
        <w:t>úřadu</w:t>
      </w:r>
      <w:r>
        <w:t xml:space="preserve"> </w:t>
      </w:r>
      <w:r w:rsidRPr="009255ED">
        <w:t>ke</w:t>
      </w:r>
      <w:r>
        <w:t xml:space="preserve"> </w:t>
      </w:r>
      <w:r w:rsidRPr="009255ED">
        <w:t>dni</w:t>
      </w:r>
      <w:r>
        <w:t xml:space="preserve"> </w:t>
      </w:r>
      <w:r w:rsidRPr="009255ED">
        <w:t>vyhlášení</w:t>
      </w:r>
      <w:r>
        <w:t xml:space="preserve"> </w:t>
      </w:r>
      <w:r w:rsidRPr="009255ED">
        <w:t>veřejné</w:t>
      </w:r>
      <w:r>
        <w:t xml:space="preserve"> </w:t>
      </w:r>
      <w:r w:rsidRPr="009255ED">
        <w:t>nabídky</w:t>
      </w:r>
      <w:r>
        <w:t xml:space="preserve"> </w:t>
      </w:r>
      <w:r w:rsidRPr="009255ED">
        <w:t>nepřetržitě</w:t>
      </w:r>
      <w:r>
        <w:t xml:space="preserve"> </w:t>
      </w:r>
      <w:r w:rsidRPr="009255ED">
        <w:t>po</w:t>
      </w:r>
      <w:r>
        <w:t xml:space="preserve"> </w:t>
      </w:r>
      <w:r w:rsidRPr="009255ED">
        <w:t>dobu</w:t>
      </w:r>
      <w:r>
        <w:t xml:space="preserve"> </w:t>
      </w:r>
      <w:r w:rsidRPr="009255ED">
        <w:t>36</w:t>
      </w:r>
      <w:r>
        <w:t xml:space="preserve"> </w:t>
      </w:r>
      <w:r w:rsidRPr="009255ED">
        <w:t>měsíců,</w:t>
      </w:r>
      <w:r>
        <w:t xml:space="preserve"> </w:t>
      </w:r>
      <w:r w:rsidRPr="009255ED">
        <w:t>Státní</w:t>
      </w:r>
      <w:r>
        <w:t xml:space="preserve"> </w:t>
      </w:r>
      <w:r w:rsidRPr="009255ED">
        <w:t>pozemkový</w:t>
      </w:r>
      <w:r>
        <w:t xml:space="preserve"> </w:t>
      </w:r>
      <w:r w:rsidRPr="009255ED">
        <w:t>úřad</w:t>
      </w:r>
      <w:r>
        <w:t xml:space="preserve"> </w:t>
      </w:r>
      <w:r w:rsidRPr="009255ED">
        <w:t>této</w:t>
      </w:r>
      <w:r>
        <w:t xml:space="preserve"> </w:t>
      </w:r>
      <w:r w:rsidRPr="009255ED">
        <w:t>osobě</w:t>
      </w:r>
      <w:r>
        <w:t xml:space="preserve"> </w:t>
      </w:r>
      <w:r w:rsidRPr="009255ED">
        <w:t>bez</w:t>
      </w:r>
      <w:r>
        <w:t xml:space="preserve"> </w:t>
      </w:r>
      <w:r w:rsidRPr="009255ED">
        <w:t>zbytečného</w:t>
      </w:r>
      <w:r>
        <w:t xml:space="preserve"> </w:t>
      </w:r>
      <w:r w:rsidRPr="009255ED">
        <w:t>odkladu</w:t>
      </w:r>
      <w:r>
        <w:t xml:space="preserve"> </w:t>
      </w:r>
      <w:r w:rsidRPr="009255ED">
        <w:t>písemně</w:t>
      </w:r>
      <w:r>
        <w:t xml:space="preserve"> </w:t>
      </w:r>
      <w:r w:rsidRPr="009255ED">
        <w:t>potvrdí,</w:t>
      </w:r>
      <w:r>
        <w:t xml:space="preserve"> </w:t>
      </w:r>
      <w:r w:rsidRPr="009255ED">
        <w:t>že</w:t>
      </w:r>
      <w:r>
        <w:t xml:space="preserve"> </w:t>
      </w:r>
      <w:r w:rsidRPr="009255ED">
        <w:t>jí</w:t>
      </w:r>
      <w:r>
        <w:t xml:space="preserve"> </w:t>
      </w:r>
      <w:r w:rsidRPr="009255ED">
        <w:t>pozemek</w:t>
      </w:r>
      <w:r>
        <w:t xml:space="preserve"> </w:t>
      </w:r>
      <w:r w:rsidRPr="009255ED">
        <w:t>bude</w:t>
      </w:r>
      <w:r>
        <w:t xml:space="preserve"> </w:t>
      </w:r>
      <w:r w:rsidRPr="009255ED">
        <w:t>převeden</w:t>
      </w:r>
      <w:r>
        <w:t xml:space="preserve"> </w:t>
      </w:r>
      <w:r w:rsidRPr="009255ED">
        <w:t>za</w:t>
      </w:r>
      <w:r>
        <w:t xml:space="preserve"> </w:t>
      </w:r>
      <w:r w:rsidRPr="009255ED">
        <w:t>vyhlášenou</w:t>
      </w:r>
      <w:r>
        <w:t xml:space="preserve"> </w:t>
      </w:r>
      <w:r w:rsidRPr="009255ED">
        <w:t>kupní</w:t>
      </w:r>
      <w:r>
        <w:t xml:space="preserve"> </w:t>
      </w:r>
      <w:r w:rsidRPr="009255ED">
        <w:t>cenu</w:t>
      </w:r>
      <w:r>
        <w:t xml:space="preserve"> </w:t>
      </w:r>
      <w:r w:rsidRPr="009255ED">
        <w:t>na</w:t>
      </w:r>
      <w:r>
        <w:t xml:space="preserve"> </w:t>
      </w:r>
      <w:r w:rsidRPr="009255ED">
        <w:t>základě</w:t>
      </w:r>
      <w:r>
        <w:t xml:space="preserve"> </w:t>
      </w:r>
      <w:r w:rsidRPr="009255ED">
        <w:t>kupní</w:t>
      </w:r>
      <w:r>
        <w:t xml:space="preserve"> </w:t>
      </w:r>
      <w:r w:rsidRPr="009255ED">
        <w:t>smlouvy,</w:t>
      </w:r>
      <w:r>
        <w:t xml:space="preserve"> </w:t>
      </w:r>
      <w:r w:rsidRPr="009255ED">
        <w:t>jejíž</w:t>
      </w:r>
      <w:r>
        <w:t xml:space="preserve"> </w:t>
      </w:r>
      <w:r w:rsidRPr="009255ED">
        <w:t>text</w:t>
      </w:r>
      <w:r>
        <w:t xml:space="preserve"> </w:t>
      </w:r>
      <w:r w:rsidRPr="009255ED">
        <w:t>byl</w:t>
      </w:r>
      <w:r>
        <w:t xml:space="preserve"> </w:t>
      </w:r>
      <w:r w:rsidRPr="009255ED">
        <w:t>zveřejněn</w:t>
      </w:r>
      <w:r>
        <w:t xml:space="preserve"> </w:t>
      </w:r>
      <w:r w:rsidRPr="009255ED">
        <w:t>podle</w:t>
      </w:r>
      <w:r>
        <w:t xml:space="preserve"> </w:t>
      </w:r>
      <w:r w:rsidRPr="009255ED">
        <w:t>odstavce</w:t>
      </w:r>
      <w:r>
        <w:t xml:space="preserve"> </w:t>
      </w:r>
      <w:r w:rsidRPr="009255ED">
        <w:t>2</w:t>
      </w:r>
      <w:r>
        <w:t xml:space="preserve"> </w:t>
      </w:r>
      <w:r w:rsidRPr="009255ED">
        <w:t>a</w:t>
      </w:r>
      <w:r>
        <w:t xml:space="preserve"> </w:t>
      </w:r>
      <w:r w:rsidRPr="009255ED">
        <w:t>kterou</w:t>
      </w:r>
      <w:r>
        <w:t xml:space="preserve"> </w:t>
      </w:r>
      <w:r w:rsidRPr="009255ED">
        <w:t>je</w:t>
      </w:r>
      <w:r>
        <w:t xml:space="preserve"> </w:t>
      </w:r>
      <w:r w:rsidRPr="009255ED">
        <w:t>povinen</w:t>
      </w:r>
      <w:r>
        <w:t xml:space="preserve"> </w:t>
      </w:r>
      <w:r w:rsidRPr="009255ED">
        <w:t>nájemce</w:t>
      </w:r>
      <w:r>
        <w:t xml:space="preserve"> </w:t>
      </w:r>
      <w:r w:rsidRPr="009255ED">
        <w:t>uzavřít</w:t>
      </w:r>
      <w:r>
        <w:t xml:space="preserve"> </w:t>
      </w:r>
      <w:r w:rsidRPr="009255ED">
        <w:t>ve</w:t>
      </w:r>
      <w:r>
        <w:t xml:space="preserve"> </w:t>
      </w:r>
      <w:r w:rsidRPr="009255ED">
        <w:t>lhůtě,</w:t>
      </w:r>
      <w:r>
        <w:t xml:space="preserve"> </w:t>
      </w:r>
      <w:r w:rsidRPr="009255ED">
        <w:t>formě</w:t>
      </w:r>
      <w:r>
        <w:t xml:space="preserve"> </w:t>
      </w:r>
      <w:r w:rsidRPr="009255ED">
        <w:t>a</w:t>
      </w:r>
      <w:r>
        <w:t xml:space="preserve"> </w:t>
      </w:r>
      <w:r w:rsidRPr="009255ED">
        <w:t>způsobem</w:t>
      </w:r>
      <w:r>
        <w:t xml:space="preserve"> </w:t>
      </w:r>
      <w:r w:rsidRPr="009255ED">
        <w:t>podle</w:t>
      </w:r>
      <w:r>
        <w:t xml:space="preserve"> </w:t>
      </w:r>
      <w:r w:rsidRPr="009255ED">
        <w:t>§</w:t>
      </w:r>
      <w:r>
        <w:t xml:space="preserve"> </w:t>
      </w:r>
      <w:r w:rsidRPr="009255ED">
        <w:t>16</w:t>
      </w:r>
      <w:r>
        <w:t xml:space="preserve"> </w:t>
      </w:r>
      <w:r w:rsidRPr="009255ED">
        <w:t>odst.</w:t>
      </w:r>
      <w:r>
        <w:t xml:space="preserve"> </w:t>
      </w:r>
      <w:r w:rsidRPr="009255ED">
        <w:t>3.</w:t>
      </w:r>
      <w:r>
        <w:t xml:space="preserve"> </w:t>
      </w:r>
      <w:r w:rsidRPr="009255ED">
        <w:t>V</w:t>
      </w:r>
      <w:r>
        <w:t xml:space="preserve"> </w:t>
      </w:r>
      <w:r w:rsidRPr="009255ED">
        <w:t>případě,</w:t>
      </w:r>
      <w:r>
        <w:t xml:space="preserve"> </w:t>
      </w:r>
      <w:r w:rsidRPr="009255ED">
        <w:t>že</w:t>
      </w:r>
      <w:r>
        <w:t xml:space="preserve"> </w:t>
      </w:r>
      <w:r w:rsidRPr="009255ED">
        <w:t>tento</w:t>
      </w:r>
      <w:r>
        <w:t xml:space="preserve"> </w:t>
      </w:r>
      <w:r w:rsidRPr="009255ED">
        <w:t>nájemce</w:t>
      </w:r>
      <w:r>
        <w:t xml:space="preserve"> </w:t>
      </w:r>
      <w:r w:rsidRPr="009255ED">
        <w:t>neuzavře</w:t>
      </w:r>
      <w:r>
        <w:t xml:space="preserve"> </w:t>
      </w:r>
      <w:r w:rsidRPr="009255ED">
        <w:t>kupní</w:t>
      </w:r>
      <w:r>
        <w:t xml:space="preserve"> </w:t>
      </w:r>
      <w:r w:rsidRPr="009255ED">
        <w:t>smlouvu</w:t>
      </w:r>
      <w:r>
        <w:t xml:space="preserve"> </w:t>
      </w:r>
      <w:r w:rsidRPr="009255ED">
        <w:t>ve</w:t>
      </w:r>
      <w:r>
        <w:t xml:space="preserve"> </w:t>
      </w:r>
      <w:r w:rsidRPr="009255ED">
        <w:t>stanovené</w:t>
      </w:r>
      <w:r>
        <w:t xml:space="preserve"> </w:t>
      </w:r>
      <w:r w:rsidRPr="009255ED">
        <w:t>lhůtě,</w:t>
      </w:r>
      <w:r>
        <w:t xml:space="preserve"> </w:t>
      </w:r>
      <w:r w:rsidRPr="009255ED">
        <w:t>Státní</w:t>
      </w:r>
      <w:r>
        <w:t xml:space="preserve"> </w:t>
      </w:r>
      <w:r w:rsidRPr="009255ED">
        <w:t>pozemkový</w:t>
      </w:r>
      <w:r>
        <w:t xml:space="preserve"> </w:t>
      </w:r>
      <w:r w:rsidRPr="009255ED">
        <w:t>úřad</w:t>
      </w:r>
      <w:r>
        <w:t xml:space="preserve"> </w:t>
      </w:r>
      <w:r w:rsidRPr="009255ED">
        <w:t>postupuje</w:t>
      </w:r>
      <w:r>
        <w:t xml:space="preserve"> </w:t>
      </w:r>
      <w:r w:rsidRPr="009255ED">
        <w:t>dále</w:t>
      </w:r>
      <w:r>
        <w:t xml:space="preserve"> </w:t>
      </w:r>
      <w:r w:rsidRPr="009255ED">
        <w:t>podle</w:t>
      </w:r>
      <w:r>
        <w:t xml:space="preserve"> </w:t>
      </w:r>
      <w:r w:rsidRPr="009255ED">
        <w:t>odstavce</w:t>
      </w:r>
      <w:r>
        <w:t xml:space="preserve"> </w:t>
      </w:r>
      <w:r w:rsidRPr="009255ED">
        <w:t>7.</w:t>
      </w:r>
    </w:p>
    <w:p w14:paraId="2657658E" w14:textId="77777777" w:rsidR="001965B7" w:rsidRDefault="001965B7" w:rsidP="005D3450">
      <w:pPr>
        <w:pStyle w:val="Textparagrafu"/>
        <w:tabs>
          <w:tab w:val="left" w:pos="392"/>
          <w:tab w:val="left" w:pos="840"/>
        </w:tabs>
        <w:spacing w:before="120" w:after="120"/>
      </w:pPr>
      <w:r w:rsidRPr="009255ED">
        <w:t>(7)</w:t>
      </w:r>
      <w:r>
        <w:t xml:space="preserve"> </w:t>
      </w:r>
      <w:r w:rsidRPr="009255ED">
        <w:t>V</w:t>
      </w:r>
      <w:r>
        <w:t xml:space="preserve"> </w:t>
      </w:r>
      <w:r w:rsidRPr="009255ED">
        <w:t>ostatních</w:t>
      </w:r>
      <w:r>
        <w:t xml:space="preserve"> </w:t>
      </w:r>
      <w:r w:rsidRPr="009255ED">
        <w:t>případech,</w:t>
      </w:r>
      <w:r>
        <w:t xml:space="preserve"> </w:t>
      </w:r>
      <w:r w:rsidRPr="009255ED">
        <w:t>kdy</w:t>
      </w:r>
      <w:r>
        <w:t xml:space="preserve"> </w:t>
      </w:r>
      <w:r w:rsidRPr="009255ED">
        <w:t>podaly</w:t>
      </w:r>
      <w:r>
        <w:t xml:space="preserve"> </w:t>
      </w:r>
      <w:r w:rsidRPr="009255ED">
        <w:t>žádost</w:t>
      </w:r>
      <w:r>
        <w:t xml:space="preserve"> </w:t>
      </w:r>
      <w:r w:rsidRPr="009255ED">
        <w:t>nejméně</w:t>
      </w:r>
      <w:r>
        <w:t xml:space="preserve"> </w:t>
      </w:r>
      <w:r w:rsidRPr="009255ED">
        <w:t>dvě</w:t>
      </w:r>
      <w:r>
        <w:t xml:space="preserve"> </w:t>
      </w:r>
      <w:r w:rsidRPr="009255ED">
        <w:t>osoby,</w:t>
      </w:r>
      <w:r>
        <w:t xml:space="preserve"> </w:t>
      </w:r>
      <w:r w:rsidRPr="009255ED">
        <w:t>Státní</w:t>
      </w:r>
      <w:r>
        <w:t xml:space="preserve"> </w:t>
      </w:r>
      <w:r w:rsidRPr="009255ED">
        <w:t>pozemkový</w:t>
      </w:r>
      <w:r>
        <w:t xml:space="preserve"> </w:t>
      </w:r>
      <w:r w:rsidRPr="009255ED">
        <w:t>úřad</w:t>
      </w:r>
      <w:r>
        <w:t xml:space="preserve"> </w:t>
      </w:r>
      <w:r w:rsidRPr="009255ED">
        <w:t>vyzve</w:t>
      </w:r>
      <w:r>
        <w:t xml:space="preserve"> </w:t>
      </w:r>
      <w:r w:rsidRPr="009255ED">
        <w:t>tyto</w:t>
      </w:r>
      <w:r>
        <w:t xml:space="preserve"> </w:t>
      </w:r>
      <w:r w:rsidRPr="009255ED">
        <w:t>osoby,</w:t>
      </w:r>
      <w:r>
        <w:t xml:space="preserve"> </w:t>
      </w:r>
      <w:r w:rsidRPr="009255ED">
        <w:t>aby</w:t>
      </w:r>
      <w:r>
        <w:t xml:space="preserve"> </w:t>
      </w:r>
      <w:r w:rsidRPr="009255ED">
        <w:t>v</w:t>
      </w:r>
      <w:r>
        <w:t xml:space="preserve"> </w:t>
      </w:r>
      <w:r w:rsidRPr="009255ED">
        <w:t>přiměřené</w:t>
      </w:r>
      <w:r>
        <w:t xml:space="preserve"> </w:t>
      </w:r>
      <w:r w:rsidRPr="009255ED">
        <w:t>lhůtě,</w:t>
      </w:r>
      <w:r>
        <w:t xml:space="preserve"> </w:t>
      </w:r>
      <w:r w:rsidRPr="009255ED">
        <w:t>kterou</w:t>
      </w:r>
      <w:r>
        <w:t xml:space="preserve"> </w:t>
      </w:r>
      <w:r w:rsidRPr="009255ED">
        <w:t>jim</w:t>
      </w:r>
      <w:r>
        <w:t xml:space="preserve"> </w:t>
      </w:r>
      <w:r w:rsidRPr="009255ED">
        <w:t>určí,</w:t>
      </w:r>
    </w:p>
    <w:p w14:paraId="01DFD2BB" w14:textId="051E3A9E" w:rsidR="001965B7" w:rsidRDefault="001965B7" w:rsidP="00635DDD">
      <w:pPr>
        <w:pStyle w:val="Textparagrafu"/>
        <w:tabs>
          <w:tab w:val="left" w:pos="392"/>
          <w:tab w:val="left" w:pos="840"/>
        </w:tabs>
        <w:spacing w:before="0"/>
        <w:ind w:left="426" w:hanging="426"/>
      </w:pPr>
      <w:r w:rsidRPr="009255ED">
        <w:t>a)</w:t>
      </w:r>
      <w:r w:rsidR="0080777D">
        <w:tab/>
      </w:r>
      <w:r w:rsidRPr="009255ED">
        <w:t>nabídly</w:t>
      </w:r>
      <w:r>
        <w:t xml:space="preserve"> </w:t>
      </w:r>
      <w:r w:rsidRPr="009255ED">
        <w:t>kupní</w:t>
      </w:r>
      <w:r>
        <w:t xml:space="preserve"> </w:t>
      </w:r>
      <w:r w:rsidRPr="009255ED">
        <w:t>cenu,</w:t>
      </w:r>
      <w:r>
        <w:t xml:space="preserve"> </w:t>
      </w:r>
      <w:r w:rsidRPr="009255ED">
        <w:t>která</w:t>
      </w:r>
      <w:r>
        <w:t xml:space="preserve"> </w:t>
      </w:r>
      <w:r w:rsidRPr="009255ED">
        <w:t>nesmí</w:t>
      </w:r>
      <w:r>
        <w:t xml:space="preserve"> </w:t>
      </w:r>
      <w:r w:rsidRPr="009255ED">
        <w:t>být</w:t>
      </w:r>
      <w:r>
        <w:t xml:space="preserve"> </w:t>
      </w:r>
      <w:r w:rsidRPr="009255ED">
        <w:t>nižší</w:t>
      </w:r>
      <w:r>
        <w:t xml:space="preserve"> </w:t>
      </w:r>
      <w:r w:rsidRPr="009255ED">
        <w:t>než</w:t>
      </w:r>
      <w:r>
        <w:t xml:space="preserve"> </w:t>
      </w:r>
      <w:r w:rsidRPr="009255ED">
        <w:t>cena</w:t>
      </w:r>
      <w:r>
        <w:t xml:space="preserve"> </w:t>
      </w:r>
      <w:r w:rsidRPr="009255ED">
        <w:t>podle</w:t>
      </w:r>
      <w:r>
        <w:t xml:space="preserve"> </w:t>
      </w:r>
      <w:r w:rsidRPr="009255ED">
        <w:t>odstavce</w:t>
      </w:r>
      <w:r>
        <w:t xml:space="preserve"> </w:t>
      </w:r>
      <w:r w:rsidRPr="009255ED">
        <w:t>3,</w:t>
      </w:r>
      <w:r>
        <w:t xml:space="preserve"> </w:t>
      </w:r>
      <w:r w:rsidRPr="009255ED">
        <w:t>a</w:t>
      </w:r>
    </w:p>
    <w:p w14:paraId="02A3F0C2" w14:textId="6BDE8FAF" w:rsidR="001965B7" w:rsidRDefault="001965B7" w:rsidP="00635DDD">
      <w:pPr>
        <w:pStyle w:val="Textparagrafu"/>
        <w:tabs>
          <w:tab w:val="left" w:pos="392"/>
          <w:tab w:val="left" w:pos="840"/>
        </w:tabs>
        <w:spacing w:before="0"/>
        <w:ind w:left="426" w:hanging="426"/>
      </w:pPr>
      <w:r w:rsidRPr="009255ED">
        <w:t>b)</w:t>
      </w:r>
      <w:r w:rsidR="0080777D">
        <w:tab/>
      </w:r>
      <w:r w:rsidRPr="009255ED">
        <w:t>zaplatily</w:t>
      </w:r>
      <w:r>
        <w:t xml:space="preserve"> </w:t>
      </w:r>
      <w:r w:rsidRPr="009255ED">
        <w:t>na</w:t>
      </w:r>
      <w:r>
        <w:t xml:space="preserve"> </w:t>
      </w:r>
      <w:r w:rsidRPr="009255ED">
        <w:t>účet</w:t>
      </w:r>
      <w:r>
        <w:t xml:space="preserve"> </w:t>
      </w:r>
      <w:r w:rsidRPr="009255ED">
        <w:t>Státního</w:t>
      </w:r>
      <w:r>
        <w:t xml:space="preserve"> </w:t>
      </w:r>
      <w:r w:rsidRPr="009255ED">
        <w:t>pozemkového</w:t>
      </w:r>
      <w:r>
        <w:t xml:space="preserve"> </w:t>
      </w:r>
      <w:r w:rsidRPr="009255ED">
        <w:t>úřadu</w:t>
      </w:r>
      <w:r>
        <w:t xml:space="preserve"> </w:t>
      </w:r>
      <w:r w:rsidRPr="009255ED">
        <w:t>kauci</w:t>
      </w:r>
      <w:r>
        <w:t xml:space="preserve"> </w:t>
      </w:r>
      <w:r w:rsidRPr="009255ED">
        <w:t>ve</w:t>
      </w:r>
      <w:r>
        <w:t xml:space="preserve"> </w:t>
      </w:r>
      <w:r w:rsidRPr="009255ED">
        <w:t>výši</w:t>
      </w:r>
      <w:r>
        <w:t xml:space="preserve"> </w:t>
      </w:r>
      <w:r w:rsidRPr="009255ED">
        <w:t>5</w:t>
      </w:r>
      <w:r>
        <w:t xml:space="preserve"> </w:t>
      </w:r>
      <w:r w:rsidRPr="009255ED">
        <w:t>%</w:t>
      </w:r>
      <w:r>
        <w:t xml:space="preserve"> </w:t>
      </w:r>
      <w:r w:rsidRPr="009255ED">
        <w:t>z</w:t>
      </w:r>
      <w:r>
        <w:t xml:space="preserve"> </w:t>
      </w:r>
      <w:r w:rsidRPr="009255ED">
        <w:t>ceny</w:t>
      </w:r>
      <w:r>
        <w:t xml:space="preserve"> </w:t>
      </w:r>
      <w:r w:rsidRPr="009255ED">
        <w:t>pozemku,</w:t>
      </w:r>
      <w:r>
        <w:t xml:space="preserve"> </w:t>
      </w:r>
      <w:r w:rsidRPr="009255ED">
        <w:t>která</w:t>
      </w:r>
      <w:r>
        <w:t xml:space="preserve"> </w:t>
      </w:r>
      <w:r w:rsidRPr="009255ED">
        <w:t>byla</w:t>
      </w:r>
      <w:r>
        <w:t xml:space="preserve"> </w:t>
      </w:r>
      <w:r w:rsidRPr="009255ED">
        <w:t>oznámena</w:t>
      </w:r>
      <w:r>
        <w:t xml:space="preserve"> </w:t>
      </w:r>
      <w:r w:rsidRPr="009255ED">
        <w:t>při</w:t>
      </w:r>
      <w:r>
        <w:t xml:space="preserve"> </w:t>
      </w:r>
      <w:r w:rsidRPr="009255ED">
        <w:t>vyhlášení</w:t>
      </w:r>
      <w:r>
        <w:t xml:space="preserve"> </w:t>
      </w:r>
      <w:r w:rsidRPr="009255ED">
        <w:t>veřejné</w:t>
      </w:r>
      <w:r>
        <w:t xml:space="preserve"> </w:t>
      </w:r>
      <w:r w:rsidRPr="009255ED">
        <w:t>nabídky,</w:t>
      </w:r>
      <w:r>
        <w:t xml:space="preserve"> </w:t>
      </w:r>
      <w:r w:rsidRPr="009255ED">
        <w:t>nejméně</w:t>
      </w:r>
      <w:r>
        <w:t xml:space="preserve"> </w:t>
      </w:r>
      <w:r w:rsidRPr="009255ED">
        <w:t>však</w:t>
      </w:r>
      <w:r>
        <w:t xml:space="preserve"> </w:t>
      </w:r>
      <w:r w:rsidRPr="009255ED">
        <w:t>5</w:t>
      </w:r>
      <w:r>
        <w:t xml:space="preserve"> </w:t>
      </w:r>
      <w:r w:rsidRPr="009255ED">
        <w:t>000</w:t>
      </w:r>
      <w:r>
        <w:t xml:space="preserve"> </w:t>
      </w:r>
      <w:r w:rsidRPr="009255ED">
        <w:t>Kč.</w:t>
      </w:r>
    </w:p>
    <w:p w14:paraId="6657E505" w14:textId="77777777" w:rsidR="001965B7" w:rsidRDefault="001965B7" w:rsidP="005D3450">
      <w:pPr>
        <w:pStyle w:val="Textparagrafu"/>
        <w:tabs>
          <w:tab w:val="left" w:pos="392"/>
          <w:tab w:val="left" w:pos="840"/>
        </w:tabs>
        <w:spacing w:before="120" w:after="120"/>
      </w:pPr>
      <w:r w:rsidRPr="009255ED">
        <w:t>(8)</w:t>
      </w:r>
      <w:r>
        <w:t xml:space="preserve"> </w:t>
      </w:r>
      <w:r w:rsidRPr="009255ED">
        <w:t>Pokud</w:t>
      </w:r>
      <w:r>
        <w:t xml:space="preserve"> </w:t>
      </w:r>
      <w:r w:rsidRPr="009255ED">
        <w:t>o</w:t>
      </w:r>
      <w:r>
        <w:t xml:space="preserve"> </w:t>
      </w:r>
      <w:r w:rsidRPr="009255ED">
        <w:t>převod</w:t>
      </w:r>
      <w:r>
        <w:t xml:space="preserve"> </w:t>
      </w:r>
      <w:r w:rsidRPr="009255ED">
        <w:t>požádala</w:t>
      </w:r>
      <w:r>
        <w:t xml:space="preserve"> </w:t>
      </w:r>
      <w:r w:rsidRPr="009255ED">
        <w:t>pouze</w:t>
      </w:r>
      <w:r>
        <w:t xml:space="preserve"> </w:t>
      </w:r>
      <w:r w:rsidRPr="009255ED">
        <w:t>jedna</w:t>
      </w:r>
      <w:r>
        <w:t xml:space="preserve"> </w:t>
      </w:r>
      <w:r w:rsidRPr="009255ED">
        <w:t>osoba,</w:t>
      </w:r>
      <w:r>
        <w:t xml:space="preserve"> </w:t>
      </w:r>
      <w:r w:rsidRPr="009255ED">
        <w:t>Státní</w:t>
      </w:r>
      <w:r>
        <w:t xml:space="preserve"> </w:t>
      </w:r>
      <w:r w:rsidRPr="009255ED">
        <w:t>pozemkový</w:t>
      </w:r>
      <w:r>
        <w:t xml:space="preserve"> </w:t>
      </w:r>
      <w:r w:rsidRPr="009255ED">
        <w:t>úřad</w:t>
      </w:r>
      <w:r>
        <w:t xml:space="preserve"> </w:t>
      </w:r>
      <w:r w:rsidRPr="009255ED">
        <w:t>této</w:t>
      </w:r>
      <w:r>
        <w:t xml:space="preserve"> </w:t>
      </w:r>
      <w:r w:rsidRPr="009255ED">
        <w:t>osobě</w:t>
      </w:r>
      <w:r>
        <w:t xml:space="preserve"> </w:t>
      </w:r>
      <w:r w:rsidRPr="009255ED">
        <w:t>bez</w:t>
      </w:r>
      <w:r>
        <w:t xml:space="preserve"> </w:t>
      </w:r>
      <w:r w:rsidRPr="009255ED">
        <w:t>zbytečného</w:t>
      </w:r>
      <w:r>
        <w:t xml:space="preserve"> </w:t>
      </w:r>
      <w:r w:rsidRPr="009255ED">
        <w:t>odkladu</w:t>
      </w:r>
      <w:r>
        <w:t xml:space="preserve"> </w:t>
      </w:r>
      <w:r w:rsidRPr="009255ED">
        <w:t>písemně</w:t>
      </w:r>
      <w:r>
        <w:t xml:space="preserve"> </w:t>
      </w:r>
      <w:r w:rsidRPr="009255ED">
        <w:t>potvrdí,</w:t>
      </w:r>
      <w:r>
        <w:t xml:space="preserve"> </w:t>
      </w:r>
      <w:r w:rsidRPr="009255ED">
        <w:t>že</w:t>
      </w:r>
      <w:r>
        <w:t xml:space="preserve"> </w:t>
      </w:r>
      <w:r w:rsidRPr="009255ED">
        <w:t>jí</w:t>
      </w:r>
      <w:r>
        <w:t xml:space="preserve"> </w:t>
      </w:r>
      <w:r w:rsidRPr="009255ED">
        <w:t>pozemek</w:t>
      </w:r>
      <w:r>
        <w:t xml:space="preserve"> </w:t>
      </w:r>
      <w:r w:rsidRPr="009255ED">
        <w:t>bude</w:t>
      </w:r>
      <w:r>
        <w:t xml:space="preserve"> </w:t>
      </w:r>
      <w:r w:rsidRPr="009255ED">
        <w:t>převeden</w:t>
      </w:r>
      <w:r>
        <w:t xml:space="preserve"> </w:t>
      </w:r>
      <w:r w:rsidRPr="009255ED">
        <w:t>za</w:t>
      </w:r>
      <w:r>
        <w:t xml:space="preserve"> </w:t>
      </w:r>
      <w:r w:rsidRPr="009255ED">
        <w:t>vyhlášenou</w:t>
      </w:r>
      <w:r>
        <w:t xml:space="preserve"> </w:t>
      </w:r>
      <w:r w:rsidRPr="009255ED">
        <w:t>kupní</w:t>
      </w:r>
      <w:r>
        <w:t xml:space="preserve"> </w:t>
      </w:r>
      <w:r w:rsidRPr="009255ED">
        <w:t>cenu</w:t>
      </w:r>
      <w:r>
        <w:t xml:space="preserve"> </w:t>
      </w:r>
      <w:r w:rsidRPr="009255ED">
        <w:t>na</w:t>
      </w:r>
      <w:r>
        <w:t xml:space="preserve"> </w:t>
      </w:r>
      <w:r w:rsidRPr="009255ED">
        <w:t>základě</w:t>
      </w:r>
      <w:r>
        <w:t xml:space="preserve"> </w:t>
      </w:r>
      <w:r w:rsidRPr="009255ED">
        <w:t>kupní</w:t>
      </w:r>
      <w:r>
        <w:t xml:space="preserve"> </w:t>
      </w:r>
      <w:r w:rsidRPr="009255ED">
        <w:t>smlouvy,</w:t>
      </w:r>
      <w:r>
        <w:t xml:space="preserve"> </w:t>
      </w:r>
      <w:r w:rsidRPr="009255ED">
        <w:t>jejíž</w:t>
      </w:r>
      <w:r>
        <w:t xml:space="preserve"> </w:t>
      </w:r>
      <w:r w:rsidRPr="009255ED">
        <w:t>text</w:t>
      </w:r>
      <w:r>
        <w:t xml:space="preserve"> </w:t>
      </w:r>
      <w:r w:rsidRPr="009255ED">
        <w:t>byl</w:t>
      </w:r>
      <w:r>
        <w:t xml:space="preserve"> </w:t>
      </w:r>
      <w:r w:rsidRPr="009255ED">
        <w:t>zveřejněn</w:t>
      </w:r>
      <w:r>
        <w:t xml:space="preserve"> </w:t>
      </w:r>
      <w:r w:rsidRPr="009255ED">
        <w:t>podle</w:t>
      </w:r>
      <w:r>
        <w:t xml:space="preserve"> </w:t>
      </w:r>
      <w:r w:rsidRPr="009255ED">
        <w:t>odstavce</w:t>
      </w:r>
      <w:r>
        <w:t xml:space="preserve"> </w:t>
      </w:r>
      <w:r w:rsidRPr="009255ED">
        <w:t>2</w:t>
      </w:r>
      <w:r>
        <w:t xml:space="preserve"> </w:t>
      </w:r>
      <w:r w:rsidRPr="009255ED">
        <w:t>a</w:t>
      </w:r>
      <w:r>
        <w:t xml:space="preserve"> </w:t>
      </w:r>
      <w:r w:rsidRPr="009255ED">
        <w:t>kterou</w:t>
      </w:r>
      <w:r>
        <w:t xml:space="preserve"> </w:t>
      </w:r>
      <w:r w:rsidRPr="009255ED">
        <w:t>je</w:t>
      </w:r>
      <w:r>
        <w:t xml:space="preserve"> </w:t>
      </w:r>
      <w:r w:rsidRPr="009255ED">
        <w:t>povinen</w:t>
      </w:r>
      <w:r>
        <w:t xml:space="preserve"> </w:t>
      </w:r>
      <w:r w:rsidRPr="009255ED">
        <w:t>žadatel</w:t>
      </w:r>
      <w:r>
        <w:t xml:space="preserve"> </w:t>
      </w:r>
      <w:r w:rsidRPr="009255ED">
        <w:t>uzavřít</w:t>
      </w:r>
      <w:r>
        <w:t xml:space="preserve"> </w:t>
      </w:r>
      <w:r w:rsidRPr="009255ED">
        <w:t>ve</w:t>
      </w:r>
      <w:r>
        <w:t xml:space="preserve"> </w:t>
      </w:r>
      <w:r w:rsidRPr="009255ED">
        <w:t>lhůtě,</w:t>
      </w:r>
      <w:r>
        <w:t xml:space="preserve"> </w:t>
      </w:r>
      <w:r w:rsidRPr="009255ED">
        <w:t>formě</w:t>
      </w:r>
      <w:r>
        <w:t xml:space="preserve"> </w:t>
      </w:r>
      <w:r w:rsidRPr="009255ED">
        <w:t>a</w:t>
      </w:r>
      <w:r>
        <w:t xml:space="preserve"> </w:t>
      </w:r>
      <w:r w:rsidRPr="009255ED">
        <w:t>způsobem</w:t>
      </w:r>
      <w:r>
        <w:t xml:space="preserve"> </w:t>
      </w:r>
      <w:r w:rsidRPr="009255ED">
        <w:t>podle</w:t>
      </w:r>
      <w:r>
        <w:t xml:space="preserve"> </w:t>
      </w:r>
      <w:r w:rsidRPr="009255ED">
        <w:t>§</w:t>
      </w:r>
      <w:r>
        <w:t xml:space="preserve"> </w:t>
      </w:r>
      <w:r w:rsidRPr="009255ED">
        <w:t>16</w:t>
      </w:r>
      <w:r>
        <w:t xml:space="preserve"> </w:t>
      </w:r>
      <w:r w:rsidRPr="009255ED">
        <w:t>odst.</w:t>
      </w:r>
      <w:r>
        <w:t xml:space="preserve"> </w:t>
      </w:r>
      <w:r w:rsidRPr="009255ED">
        <w:t>3.</w:t>
      </w:r>
    </w:p>
    <w:p w14:paraId="54F9D78A" w14:textId="77777777" w:rsidR="001965B7" w:rsidRDefault="001965B7" w:rsidP="005D3450">
      <w:pPr>
        <w:pStyle w:val="Textparagrafu"/>
        <w:tabs>
          <w:tab w:val="left" w:pos="392"/>
          <w:tab w:val="left" w:pos="840"/>
        </w:tabs>
        <w:spacing w:before="120" w:after="120"/>
      </w:pPr>
      <w:r w:rsidRPr="009255ED">
        <w:t>(9)</w:t>
      </w:r>
      <w:r>
        <w:t xml:space="preserve"> </w:t>
      </w:r>
      <w:r w:rsidRPr="009255ED">
        <w:t>Osobě,</w:t>
      </w:r>
      <w:r>
        <w:t xml:space="preserve"> </w:t>
      </w:r>
      <w:r w:rsidRPr="009255ED">
        <w:t>která</w:t>
      </w:r>
      <w:r>
        <w:t xml:space="preserve"> </w:t>
      </w:r>
      <w:r w:rsidRPr="009255ED">
        <w:t>nabídla</w:t>
      </w:r>
      <w:r>
        <w:t xml:space="preserve"> </w:t>
      </w:r>
      <w:r w:rsidRPr="009255ED">
        <w:t>nejvyšší</w:t>
      </w:r>
      <w:r>
        <w:t xml:space="preserve"> </w:t>
      </w:r>
      <w:r w:rsidRPr="009255ED">
        <w:t>kupní</w:t>
      </w:r>
      <w:r>
        <w:t xml:space="preserve"> </w:t>
      </w:r>
      <w:r w:rsidRPr="009255ED">
        <w:t>cenu</w:t>
      </w:r>
      <w:r>
        <w:t xml:space="preserve"> </w:t>
      </w:r>
      <w:r w:rsidRPr="009255ED">
        <w:t>a</w:t>
      </w:r>
      <w:r>
        <w:t xml:space="preserve"> </w:t>
      </w:r>
      <w:r w:rsidRPr="009255ED">
        <w:t>zaplatila</w:t>
      </w:r>
      <w:r>
        <w:t xml:space="preserve"> </w:t>
      </w:r>
      <w:r w:rsidRPr="009255ED">
        <w:t>kauci</w:t>
      </w:r>
      <w:r>
        <w:t xml:space="preserve"> </w:t>
      </w:r>
      <w:r w:rsidRPr="009255ED">
        <w:t>podle</w:t>
      </w:r>
      <w:r>
        <w:t xml:space="preserve"> </w:t>
      </w:r>
      <w:r w:rsidRPr="009255ED">
        <w:t>odstavce</w:t>
      </w:r>
      <w:r>
        <w:t xml:space="preserve"> </w:t>
      </w:r>
      <w:r w:rsidRPr="009255ED">
        <w:t>7</w:t>
      </w:r>
      <w:r>
        <w:t xml:space="preserve"> </w:t>
      </w:r>
      <w:r w:rsidRPr="009255ED">
        <w:t>písm.</w:t>
      </w:r>
      <w:r>
        <w:t xml:space="preserve"> </w:t>
      </w:r>
      <w:r w:rsidRPr="009255ED">
        <w:t>b),</w:t>
      </w:r>
      <w:r>
        <w:t xml:space="preserve"> </w:t>
      </w:r>
      <w:r w:rsidRPr="009255ED">
        <w:t>Státní</w:t>
      </w:r>
      <w:r>
        <w:t xml:space="preserve"> </w:t>
      </w:r>
      <w:r w:rsidRPr="009255ED">
        <w:t>pozemkový</w:t>
      </w:r>
      <w:r>
        <w:t xml:space="preserve"> </w:t>
      </w:r>
      <w:r w:rsidRPr="009255ED">
        <w:t>úřad</w:t>
      </w:r>
      <w:r>
        <w:t xml:space="preserve"> </w:t>
      </w:r>
      <w:r w:rsidRPr="009255ED">
        <w:t>bez</w:t>
      </w:r>
      <w:r>
        <w:t xml:space="preserve"> </w:t>
      </w:r>
      <w:r w:rsidRPr="009255ED">
        <w:t>zbytečného</w:t>
      </w:r>
      <w:r>
        <w:t xml:space="preserve"> </w:t>
      </w:r>
      <w:r w:rsidRPr="009255ED">
        <w:t>odkladu</w:t>
      </w:r>
      <w:r>
        <w:t xml:space="preserve"> </w:t>
      </w:r>
      <w:r w:rsidRPr="009255ED">
        <w:t>písemně</w:t>
      </w:r>
      <w:r>
        <w:t xml:space="preserve"> </w:t>
      </w:r>
      <w:r w:rsidRPr="009255ED">
        <w:t>potvrdí,</w:t>
      </w:r>
      <w:r>
        <w:t xml:space="preserve"> </w:t>
      </w:r>
      <w:r w:rsidRPr="009255ED">
        <w:t>že</w:t>
      </w:r>
      <w:r>
        <w:t xml:space="preserve"> </w:t>
      </w:r>
      <w:r w:rsidRPr="009255ED">
        <w:t>její</w:t>
      </w:r>
      <w:r>
        <w:t xml:space="preserve"> </w:t>
      </w:r>
      <w:r w:rsidRPr="009255ED">
        <w:t>nabídka</w:t>
      </w:r>
      <w:r>
        <w:t xml:space="preserve"> </w:t>
      </w:r>
      <w:r w:rsidRPr="009255ED">
        <w:t>byla</w:t>
      </w:r>
      <w:r>
        <w:t xml:space="preserve"> </w:t>
      </w:r>
      <w:r w:rsidRPr="009255ED">
        <w:t>vybrána,</w:t>
      </w:r>
      <w:r>
        <w:t xml:space="preserve"> </w:t>
      </w:r>
      <w:r w:rsidRPr="009255ED">
        <w:t>zákonné</w:t>
      </w:r>
      <w:r>
        <w:t xml:space="preserve"> </w:t>
      </w:r>
      <w:r w:rsidRPr="009255ED">
        <w:t>podmínky</w:t>
      </w:r>
      <w:r>
        <w:t xml:space="preserve"> </w:t>
      </w:r>
      <w:r w:rsidRPr="009255ED">
        <w:t>splněny</w:t>
      </w:r>
      <w:r>
        <w:t xml:space="preserve"> </w:t>
      </w:r>
      <w:r w:rsidRPr="009255ED">
        <w:t>a</w:t>
      </w:r>
      <w:r>
        <w:t xml:space="preserve"> </w:t>
      </w:r>
      <w:r w:rsidRPr="009255ED">
        <w:t>pozemek</w:t>
      </w:r>
      <w:r>
        <w:t xml:space="preserve"> </w:t>
      </w:r>
      <w:r w:rsidRPr="009255ED">
        <w:t>jí</w:t>
      </w:r>
      <w:r>
        <w:t xml:space="preserve"> </w:t>
      </w:r>
      <w:r w:rsidRPr="009255ED">
        <w:t>bude</w:t>
      </w:r>
      <w:r>
        <w:t xml:space="preserve"> </w:t>
      </w:r>
      <w:r w:rsidRPr="009255ED">
        <w:t>za</w:t>
      </w:r>
      <w:r>
        <w:t xml:space="preserve"> </w:t>
      </w:r>
      <w:r w:rsidRPr="009255ED">
        <w:t>nabídnutou</w:t>
      </w:r>
      <w:r>
        <w:t xml:space="preserve"> </w:t>
      </w:r>
      <w:r w:rsidRPr="009255ED">
        <w:t>cenu</w:t>
      </w:r>
      <w:r>
        <w:t xml:space="preserve"> </w:t>
      </w:r>
      <w:r w:rsidRPr="009255ED">
        <w:t>převeden</w:t>
      </w:r>
      <w:r>
        <w:t xml:space="preserve"> </w:t>
      </w:r>
      <w:r w:rsidRPr="009255ED">
        <w:t>na</w:t>
      </w:r>
      <w:r>
        <w:t xml:space="preserve"> </w:t>
      </w:r>
      <w:r w:rsidRPr="009255ED">
        <w:t>základě</w:t>
      </w:r>
      <w:r>
        <w:t xml:space="preserve"> </w:t>
      </w:r>
      <w:r w:rsidRPr="009255ED">
        <w:t>kupní</w:t>
      </w:r>
      <w:r>
        <w:t xml:space="preserve"> </w:t>
      </w:r>
      <w:r w:rsidRPr="009255ED">
        <w:t>smlouvy,</w:t>
      </w:r>
      <w:r>
        <w:t xml:space="preserve"> </w:t>
      </w:r>
      <w:r w:rsidRPr="009255ED">
        <w:t>jejíž</w:t>
      </w:r>
      <w:r>
        <w:t xml:space="preserve"> </w:t>
      </w:r>
      <w:r w:rsidRPr="009255ED">
        <w:t>text</w:t>
      </w:r>
      <w:r>
        <w:t xml:space="preserve"> </w:t>
      </w:r>
      <w:r w:rsidRPr="009255ED">
        <w:t>byl</w:t>
      </w:r>
      <w:r>
        <w:t xml:space="preserve"> </w:t>
      </w:r>
      <w:r w:rsidRPr="009255ED">
        <w:t>zveřejněn</w:t>
      </w:r>
      <w:r>
        <w:t xml:space="preserve"> </w:t>
      </w:r>
      <w:r w:rsidRPr="009255ED">
        <w:t>podle</w:t>
      </w:r>
      <w:r>
        <w:t xml:space="preserve"> </w:t>
      </w:r>
      <w:r w:rsidRPr="009255ED">
        <w:t>odstavce</w:t>
      </w:r>
      <w:r>
        <w:t xml:space="preserve"> </w:t>
      </w:r>
      <w:r w:rsidRPr="009255ED">
        <w:t>2</w:t>
      </w:r>
      <w:r>
        <w:t xml:space="preserve"> </w:t>
      </w:r>
      <w:r w:rsidRPr="009255ED">
        <w:t>a</w:t>
      </w:r>
      <w:r>
        <w:t xml:space="preserve"> </w:t>
      </w:r>
      <w:r w:rsidRPr="009255ED">
        <w:t>kterou</w:t>
      </w:r>
      <w:r>
        <w:t xml:space="preserve"> </w:t>
      </w:r>
      <w:r w:rsidRPr="009255ED">
        <w:t>je</w:t>
      </w:r>
      <w:r>
        <w:t xml:space="preserve"> </w:t>
      </w:r>
      <w:r w:rsidRPr="009255ED">
        <w:t>osoba</w:t>
      </w:r>
      <w:r>
        <w:t xml:space="preserve"> </w:t>
      </w:r>
      <w:r w:rsidRPr="009255ED">
        <w:t>povinna</w:t>
      </w:r>
      <w:r>
        <w:t xml:space="preserve"> </w:t>
      </w:r>
      <w:r w:rsidRPr="009255ED">
        <w:t>uzavřít</w:t>
      </w:r>
      <w:r>
        <w:t xml:space="preserve"> </w:t>
      </w:r>
      <w:r w:rsidRPr="009255ED">
        <w:t>ve</w:t>
      </w:r>
      <w:r>
        <w:t xml:space="preserve"> </w:t>
      </w:r>
      <w:r w:rsidRPr="009255ED">
        <w:t>lhůtě,</w:t>
      </w:r>
      <w:r>
        <w:t xml:space="preserve"> </w:t>
      </w:r>
      <w:r w:rsidRPr="009255ED">
        <w:t>formě</w:t>
      </w:r>
      <w:r>
        <w:t xml:space="preserve"> </w:t>
      </w:r>
      <w:r w:rsidRPr="009255ED">
        <w:t>a</w:t>
      </w:r>
      <w:r>
        <w:t xml:space="preserve"> </w:t>
      </w:r>
      <w:r w:rsidRPr="009255ED">
        <w:t>způsobem</w:t>
      </w:r>
      <w:r>
        <w:t xml:space="preserve"> </w:t>
      </w:r>
      <w:r w:rsidRPr="009255ED">
        <w:t>podle</w:t>
      </w:r>
      <w:r>
        <w:t xml:space="preserve"> </w:t>
      </w:r>
      <w:r w:rsidRPr="009255ED">
        <w:t>§</w:t>
      </w:r>
      <w:r>
        <w:t xml:space="preserve"> </w:t>
      </w:r>
      <w:r w:rsidRPr="009255ED">
        <w:t>16</w:t>
      </w:r>
      <w:r>
        <w:t xml:space="preserve"> </w:t>
      </w:r>
      <w:r w:rsidRPr="009255ED">
        <w:t>odst.</w:t>
      </w:r>
      <w:r>
        <w:t xml:space="preserve"> </w:t>
      </w:r>
      <w:r w:rsidRPr="009255ED">
        <w:t>3.</w:t>
      </w:r>
      <w:r>
        <w:t xml:space="preserve"> </w:t>
      </w:r>
      <w:r w:rsidRPr="009255ED">
        <w:t>V</w:t>
      </w:r>
      <w:r>
        <w:t xml:space="preserve"> </w:t>
      </w:r>
      <w:r w:rsidRPr="009255ED">
        <w:t>případě,</w:t>
      </w:r>
      <w:r>
        <w:t xml:space="preserve"> </w:t>
      </w:r>
      <w:r w:rsidRPr="009255ED">
        <w:t>že</w:t>
      </w:r>
      <w:r>
        <w:t xml:space="preserve"> </w:t>
      </w:r>
      <w:r w:rsidRPr="009255ED">
        <w:t>některé</w:t>
      </w:r>
      <w:r>
        <w:t xml:space="preserve"> </w:t>
      </w:r>
      <w:r w:rsidRPr="009255ED">
        <w:t>osoby</w:t>
      </w:r>
      <w:r>
        <w:t xml:space="preserve"> </w:t>
      </w:r>
      <w:r w:rsidRPr="009255ED">
        <w:t>nabídly</w:t>
      </w:r>
      <w:r>
        <w:t xml:space="preserve"> </w:t>
      </w:r>
      <w:r w:rsidRPr="009255ED">
        <w:t>podle</w:t>
      </w:r>
      <w:r>
        <w:t xml:space="preserve"> </w:t>
      </w:r>
      <w:r w:rsidRPr="009255ED">
        <w:t>odstavce</w:t>
      </w:r>
      <w:r>
        <w:t xml:space="preserve"> </w:t>
      </w:r>
      <w:r w:rsidRPr="009255ED">
        <w:t>2</w:t>
      </w:r>
      <w:r>
        <w:t xml:space="preserve"> </w:t>
      </w:r>
      <w:r w:rsidRPr="009255ED">
        <w:t>nejvyšší</w:t>
      </w:r>
      <w:r>
        <w:t xml:space="preserve"> </w:t>
      </w:r>
      <w:r w:rsidRPr="009255ED">
        <w:t>kupní</w:t>
      </w:r>
      <w:r>
        <w:t xml:space="preserve"> </w:t>
      </w:r>
      <w:r w:rsidRPr="009255ED">
        <w:t>cenu</w:t>
      </w:r>
      <w:r>
        <w:t xml:space="preserve"> </w:t>
      </w:r>
      <w:r w:rsidRPr="009255ED">
        <w:t>ve</w:t>
      </w:r>
      <w:r>
        <w:t xml:space="preserve"> </w:t>
      </w:r>
      <w:r w:rsidRPr="009255ED">
        <w:t>stejné</w:t>
      </w:r>
      <w:r>
        <w:t xml:space="preserve"> </w:t>
      </w:r>
      <w:r w:rsidRPr="009255ED">
        <w:t>výši,</w:t>
      </w:r>
      <w:r>
        <w:t xml:space="preserve"> </w:t>
      </w:r>
      <w:r w:rsidRPr="009255ED">
        <w:t>vyzve</w:t>
      </w:r>
      <w:r>
        <w:t xml:space="preserve"> </w:t>
      </w:r>
      <w:r w:rsidRPr="009255ED">
        <w:t>Státní</w:t>
      </w:r>
      <w:r>
        <w:t xml:space="preserve"> </w:t>
      </w:r>
      <w:r w:rsidRPr="009255ED">
        <w:t>pozemkový</w:t>
      </w:r>
      <w:r>
        <w:t xml:space="preserve"> </w:t>
      </w:r>
      <w:r w:rsidRPr="009255ED">
        <w:t>úřad</w:t>
      </w:r>
      <w:r>
        <w:t xml:space="preserve"> </w:t>
      </w:r>
      <w:r w:rsidRPr="009255ED">
        <w:t>tyto</w:t>
      </w:r>
      <w:r>
        <w:t xml:space="preserve"> </w:t>
      </w:r>
      <w:r w:rsidRPr="009255ED">
        <w:t>osoby</w:t>
      </w:r>
      <w:r>
        <w:t xml:space="preserve"> </w:t>
      </w:r>
      <w:r w:rsidRPr="009255ED">
        <w:t>k</w:t>
      </w:r>
      <w:r>
        <w:t xml:space="preserve"> </w:t>
      </w:r>
      <w:r w:rsidRPr="009255ED">
        <w:t>podání</w:t>
      </w:r>
      <w:r>
        <w:t xml:space="preserve"> </w:t>
      </w:r>
      <w:r w:rsidRPr="009255ED">
        <w:t>nových</w:t>
      </w:r>
      <w:r>
        <w:t xml:space="preserve"> </w:t>
      </w:r>
      <w:r w:rsidRPr="009255ED">
        <w:lastRenderedPageBreak/>
        <w:t>nabídek</w:t>
      </w:r>
      <w:r>
        <w:t xml:space="preserve"> </w:t>
      </w:r>
      <w:r w:rsidRPr="009255ED">
        <w:t>s</w:t>
      </w:r>
      <w:r>
        <w:t xml:space="preserve"> </w:t>
      </w:r>
      <w:r w:rsidRPr="009255ED">
        <w:t>tím,</w:t>
      </w:r>
      <w:r>
        <w:t xml:space="preserve"> </w:t>
      </w:r>
      <w:r w:rsidRPr="009255ED">
        <w:t>že</w:t>
      </w:r>
      <w:r>
        <w:t xml:space="preserve"> </w:t>
      </w:r>
      <w:r w:rsidRPr="009255ED">
        <w:t>nově</w:t>
      </w:r>
      <w:r>
        <w:t xml:space="preserve"> </w:t>
      </w:r>
      <w:r w:rsidRPr="009255ED">
        <w:t>nabízená</w:t>
      </w:r>
      <w:r>
        <w:t xml:space="preserve"> </w:t>
      </w:r>
      <w:r w:rsidRPr="009255ED">
        <w:t>kupní</w:t>
      </w:r>
      <w:r>
        <w:t xml:space="preserve"> </w:t>
      </w:r>
      <w:r w:rsidRPr="009255ED">
        <w:t>cena</w:t>
      </w:r>
      <w:r>
        <w:t xml:space="preserve"> </w:t>
      </w:r>
      <w:r w:rsidRPr="009255ED">
        <w:t>nesmí</w:t>
      </w:r>
      <w:r>
        <w:t xml:space="preserve"> </w:t>
      </w:r>
      <w:r w:rsidRPr="009255ED">
        <w:t>být</w:t>
      </w:r>
      <w:r>
        <w:t xml:space="preserve"> </w:t>
      </w:r>
      <w:r w:rsidRPr="009255ED">
        <w:t>nižší</w:t>
      </w:r>
      <w:r>
        <w:t xml:space="preserve"> </w:t>
      </w:r>
      <w:r w:rsidRPr="009255ED">
        <w:t>než</w:t>
      </w:r>
      <w:r>
        <w:t xml:space="preserve"> </w:t>
      </w:r>
      <w:r w:rsidRPr="009255ED">
        <w:t>ta,</w:t>
      </w:r>
      <w:r>
        <w:t xml:space="preserve"> </w:t>
      </w:r>
      <w:r w:rsidRPr="009255ED">
        <w:t>která</w:t>
      </w:r>
      <w:r>
        <w:t xml:space="preserve"> </w:t>
      </w:r>
      <w:r w:rsidRPr="009255ED">
        <w:t>jimi</w:t>
      </w:r>
      <w:r>
        <w:t xml:space="preserve"> </w:t>
      </w:r>
      <w:r w:rsidRPr="009255ED">
        <w:t>byla</w:t>
      </w:r>
      <w:r>
        <w:t xml:space="preserve"> </w:t>
      </w:r>
      <w:r w:rsidRPr="009255ED">
        <w:t>nabídnuta</w:t>
      </w:r>
      <w:r>
        <w:t xml:space="preserve"> </w:t>
      </w:r>
      <w:r w:rsidRPr="009255ED">
        <w:t>v</w:t>
      </w:r>
      <w:r>
        <w:t xml:space="preserve"> </w:t>
      </w:r>
      <w:r w:rsidRPr="009255ED">
        <w:t>předchozím</w:t>
      </w:r>
      <w:r>
        <w:t xml:space="preserve"> </w:t>
      </w:r>
      <w:r w:rsidRPr="009255ED">
        <w:t>případě.</w:t>
      </w:r>
    </w:p>
    <w:p w14:paraId="0FCE9C75" w14:textId="77777777" w:rsidR="001965B7" w:rsidRDefault="001965B7" w:rsidP="005D3450">
      <w:pPr>
        <w:pStyle w:val="Textparagrafu"/>
        <w:tabs>
          <w:tab w:val="left" w:pos="392"/>
          <w:tab w:val="left" w:pos="840"/>
        </w:tabs>
        <w:spacing w:before="120" w:after="120"/>
      </w:pPr>
      <w:r w:rsidRPr="009255ED">
        <w:t>(10)</w:t>
      </w:r>
      <w:r>
        <w:t xml:space="preserve"> </w:t>
      </w:r>
      <w:r w:rsidRPr="009255ED">
        <w:t>Osoba,</w:t>
      </w:r>
      <w:r>
        <w:t xml:space="preserve"> </w:t>
      </w:r>
      <w:r w:rsidRPr="009255ED">
        <w:t>která</w:t>
      </w:r>
      <w:r>
        <w:t xml:space="preserve"> </w:t>
      </w:r>
      <w:r w:rsidRPr="009255ED">
        <w:t>uplatní</w:t>
      </w:r>
      <w:r>
        <w:t xml:space="preserve"> </w:t>
      </w:r>
      <w:r w:rsidRPr="009255ED">
        <w:t>právo</w:t>
      </w:r>
      <w:r>
        <w:t xml:space="preserve"> </w:t>
      </w:r>
      <w:r w:rsidRPr="009255ED">
        <w:t>na</w:t>
      </w:r>
      <w:r>
        <w:t xml:space="preserve"> </w:t>
      </w:r>
      <w:r w:rsidRPr="009255ED">
        <w:t>převod</w:t>
      </w:r>
      <w:r>
        <w:t xml:space="preserve"> </w:t>
      </w:r>
      <w:r w:rsidRPr="009255ED">
        <w:t>zemědělského</w:t>
      </w:r>
      <w:r>
        <w:t xml:space="preserve"> </w:t>
      </w:r>
      <w:r w:rsidRPr="009255ED">
        <w:t>pozemku</w:t>
      </w:r>
      <w:r>
        <w:t xml:space="preserve"> </w:t>
      </w:r>
      <w:r w:rsidRPr="009255ED">
        <w:t>podle</w:t>
      </w:r>
      <w:r>
        <w:t xml:space="preserve"> </w:t>
      </w:r>
      <w:r w:rsidRPr="009255ED">
        <w:t>odstavce</w:t>
      </w:r>
      <w:r>
        <w:t xml:space="preserve"> </w:t>
      </w:r>
      <w:r w:rsidRPr="009255ED">
        <w:t>6,</w:t>
      </w:r>
      <w:r>
        <w:t xml:space="preserve"> </w:t>
      </w:r>
      <w:r w:rsidRPr="009255ED">
        <w:t>může</w:t>
      </w:r>
      <w:r>
        <w:t xml:space="preserve"> </w:t>
      </w:r>
      <w:r w:rsidRPr="009255ED">
        <w:t>tímto</w:t>
      </w:r>
      <w:r>
        <w:t xml:space="preserve"> </w:t>
      </w:r>
      <w:r w:rsidRPr="009255ED">
        <w:t>způsobem</w:t>
      </w:r>
      <w:r>
        <w:t xml:space="preserve"> </w:t>
      </w:r>
      <w:r w:rsidRPr="009255ED">
        <w:t>nabýt</w:t>
      </w:r>
      <w:r>
        <w:t xml:space="preserve"> </w:t>
      </w:r>
      <w:r w:rsidRPr="009255ED">
        <w:t>zemědělský</w:t>
      </w:r>
      <w:r>
        <w:t xml:space="preserve"> </w:t>
      </w:r>
      <w:r w:rsidRPr="009255ED">
        <w:t>pozemek,</w:t>
      </w:r>
      <w:r>
        <w:t xml:space="preserve"> </w:t>
      </w:r>
      <w:r w:rsidRPr="009255ED">
        <w:t>popřípadě</w:t>
      </w:r>
      <w:r>
        <w:t xml:space="preserve"> </w:t>
      </w:r>
      <w:r w:rsidRPr="009255ED">
        <w:t>pozemky</w:t>
      </w:r>
      <w:r>
        <w:t xml:space="preserve"> </w:t>
      </w:r>
      <w:r w:rsidRPr="009255ED">
        <w:t>maximálně</w:t>
      </w:r>
      <w:r>
        <w:t xml:space="preserve"> </w:t>
      </w:r>
      <w:r w:rsidRPr="009255ED">
        <w:t>do</w:t>
      </w:r>
      <w:r>
        <w:t xml:space="preserve"> </w:t>
      </w:r>
      <w:r w:rsidRPr="009255ED">
        <w:t>výše</w:t>
      </w:r>
      <w:r>
        <w:t xml:space="preserve"> </w:t>
      </w:r>
      <w:r w:rsidRPr="009255ED">
        <w:t>70%</w:t>
      </w:r>
      <w:r>
        <w:t xml:space="preserve"> </w:t>
      </w:r>
      <w:r w:rsidRPr="009255ED">
        <w:t>výměry</w:t>
      </w:r>
      <w:r>
        <w:t xml:space="preserve"> </w:t>
      </w:r>
      <w:r w:rsidRPr="009255ED">
        <w:t>zemědělských</w:t>
      </w:r>
      <w:r>
        <w:t xml:space="preserve"> </w:t>
      </w:r>
      <w:r w:rsidRPr="009255ED">
        <w:t>pozemků</w:t>
      </w:r>
      <w:r>
        <w:t xml:space="preserve"> </w:t>
      </w:r>
      <w:r w:rsidRPr="009255ED">
        <w:t>nabídnutých</w:t>
      </w:r>
      <w:r>
        <w:t xml:space="preserve"> </w:t>
      </w:r>
      <w:r w:rsidRPr="009255ED">
        <w:t>k</w:t>
      </w:r>
      <w:r>
        <w:t xml:space="preserve"> </w:t>
      </w:r>
      <w:r w:rsidRPr="009255ED">
        <w:t>převodu,</w:t>
      </w:r>
      <w:r>
        <w:t xml:space="preserve"> </w:t>
      </w:r>
      <w:r w:rsidRPr="009255ED">
        <w:t>u</w:t>
      </w:r>
      <w:r>
        <w:t xml:space="preserve"> </w:t>
      </w:r>
      <w:r w:rsidRPr="009255ED">
        <w:t>kterých</w:t>
      </w:r>
      <w:r>
        <w:t xml:space="preserve"> </w:t>
      </w:r>
      <w:r w:rsidRPr="009255ED">
        <w:t>ke</w:t>
      </w:r>
      <w:r>
        <w:t xml:space="preserve"> </w:t>
      </w:r>
      <w:r w:rsidRPr="009255ED">
        <w:t>dni</w:t>
      </w:r>
      <w:r>
        <w:t xml:space="preserve"> </w:t>
      </w:r>
      <w:r w:rsidRPr="009255ED">
        <w:t>vyhlášení</w:t>
      </w:r>
      <w:r>
        <w:t xml:space="preserve"> </w:t>
      </w:r>
      <w:r w:rsidRPr="009255ED">
        <w:t>veřejné</w:t>
      </w:r>
      <w:r>
        <w:t xml:space="preserve"> </w:t>
      </w:r>
      <w:r w:rsidRPr="009255ED">
        <w:t>nabídky</w:t>
      </w:r>
      <w:r>
        <w:t xml:space="preserve"> </w:t>
      </w:r>
      <w:r w:rsidRPr="009255ED">
        <w:t>splňuje</w:t>
      </w:r>
      <w:r>
        <w:t xml:space="preserve"> </w:t>
      </w:r>
      <w:r w:rsidRPr="009255ED">
        <w:t>podmínky</w:t>
      </w:r>
      <w:r>
        <w:t xml:space="preserve"> </w:t>
      </w:r>
      <w:r w:rsidRPr="009255ED">
        <w:t>podle</w:t>
      </w:r>
      <w:r>
        <w:t xml:space="preserve"> </w:t>
      </w:r>
      <w:r w:rsidRPr="009255ED">
        <w:t>odstavce</w:t>
      </w:r>
      <w:r>
        <w:t xml:space="preserve"> </w:t>
      </w:r>
      <w:r w:rsidRPr="009255ED">
        <w:t>6.</w:t>
      </w:r>
      <w:r>
        <w:t xml:space="preserve"> </w:t>
      </w:r>
      <w:r w:rsidRPr="009255ED">
        <w:t>Jestliže</w:t>
      </w:r>
      <w:r>
        <w:t xml:space="preserve"> </w:t>
      </w:r>
      <w:r w:rsidRPr="009255ED">
        <w:t>tato</w:t>
      </w:r>
      <w:r>
        <w:t xml:space="preserve"> </w:t>
      </w:r>
      <w:r w:rsidRPr="009255ED">
        <w:t>osoba</w:t>
      </w:r>
      <w:r>
        <w:t xml:space="preserve"> </w:t>
      </w:r>
      <w:r w:rsidRPr="009255ED">
        <w:t>splňuje</w:t>
      </w:r>
      <w:r>
        <w:t xml:space="preserve"> </w:t>
      </w:r>
      <w:r w:rsidRPr="009255ED">
        <w:t>podmínky</w:t>
      </w:r>
      <w:r>
        <w:t xml:space="preserve"> </w:t>
      </w:r>
      <w:r w:rsidRPr="009255ED">
        <w:t>podle</w:t>
      </w:r>
      <w:r>
        <w:t xml:space="preserve"> </w:t>
      </w:r>
      <w:r w:rsidRPr="009255ED">
        <w:t>odstavce</w:t>
      </w:r>
      <w:r>
        <w:t xml:space="preserve"> </w:t>
      </w:r>
      <w:r w:rsidRPr="009255ED">
        <w:t>6</w:t>
      </w:r>
      <w:r>
        <w:t xml:space="preserve"> </w:t>
      </w:r>
      <w:r w:rsidRPr="009255ED">
        <w:t>pouze</w:t>
      </w:r>
      <w:r>
        <w:t xml:space="preserve"> </w:t>
      </w:r>
      <w:r w:rsidRPr="009255ED">
        <w:t>k</w:t>
      </w:r>
      <w:r>
        <w:t xml:space="preserve"> </w:t>
      </w:r>
      <w:r w:rsidRPr="009255ED">
        <w:t>jednomu</w:t>
      </w:r>
      <w:r>
        <w:t xml:space="preserve"> </w:t>
      </w:r>
      <w:r w:rsidRPr="009255ED">
        <w:t>zemědělskému</w:t>
      </w:r>
      <w:r>
        <w:t xml:space="preserve"> </w:t>
      </w:r>
      <w:r w:rsidRPr="009255ED">
        <w:t>pozemku,</w:t>
      </w:r>
      <w:r>
        <w:t xml:space="preserve"> </w:t>
      </w:r>
      <w:r w:rsidRPr="009255ED">
        <w:t>uvedené</w:t>
      </w:r>
      <w:r>
        <w:t xml:space="preserve"> </w:t>
      </w:r>
      <w:r w:rsidRPr="009255ED">
        <w:t>omezení</w:t>
      </w:r>
      <w:r>
        <w:t xml:space="preserve"> </w:t>
      </w:r>
      <w:r w:rsidRPr="009255ED">
        <w:t>se</w:t>
      </w:r>
      <w:r>
        <w:t xml:space="preserve"> </w:t>
      </w:r>
      <w:r w:rsidRPr="009255ED">
        <w:t>neuplatní.</w:t>
      </w:r>
    </w:p>
    <w:p w14:paraId="0454E762" w14:textId="77777777" w:rsidR="001965B7" w:rsidRDefault="001965B7" w:rsidP="005D3450">
      <w:pPr>
        <w:pStyle w:val="Textparagrafu"/>
        <w:tabs>
          <w:tab w:val="left" w:pos="392"/>
          <w:tab w:val="left" w:pos="840"/>
        </w:tabs>
        <w:spacing w:before="120" w:after="120"/>
      </w:pPr>
      <w:r w:rsidRPr="009255ED">
        <w:t>(11)</w:t>
      </w:r>
      <w:r>
        <w:t xml:space="preserve"> </w:t>
      </w:r>
      <w:r w:rsidRPr="009255ED">
        <w:t>Do</w:t>
      </w:r>
      <w:r>
        <w:t xml:space="preserve"> </w:t>
      </w:r>
      <w:r w:rsidRPr="009255ED">
        <w:t>požadované</w:t>
      </w:r>
      <w:r>
        <w:t xml:space="preserve"> </w:t>
      </w:r>
      <w:r w:rsidRPr="009255ED">
        <w:t>doby</w:t>
      </w:r>
      <w:r>
        <w:t xml:space="preserve"> </w:t>
      </w:r>
      <w:r w:rsidRPr="009255ED">
        <w:t>36</w:t>
      </w:r>
      <w:r>
        <w:t xml:space="preserve"> </w:t>
      </w:r>
      <w:r w:rsidRPr="009255ED">
        <w:t>měsíců</w:t>
      </w:r>
      <w:r>
        <w:t xml:space="preserve"> </w:t>
      </w:r>
      <w:r w:rsidRPr="009255ED">
        <w:t>pro</w:t>
      </w:r>
      <w:r>
        <w:t xml:space="preserve"> </w:t>
      </w:r>
      <w:r w:rsidRPr="009255ED">
        <w:t>dobu</w:t>
      </w:r>
      <w:r>
        <w:t xml:space="preserve"> </w:t>
      </w:r>
      <w:r w:rsidRPr="009255ED">
        <w:t>trvání</w:t>
      </w:r>
      <w:r>
        <w:t xml:space="preserve"> </w:t>
      </w:r>
      <w:r w:rsidRPr="009255ED">
        <w:t>nájmu</w:t>
      </w:r>
      <w:r>
        <w:t xml:space="preserve"> </w:t>
      </w:r>
      <w:r w:rsidRPr="009255ED">
        <w:t>podle</w:t>
      </w:r>
      <w:r>
        <w:t xml:space="preserve"> </w:t>
      </w:r>
      <w:r w:rsidRPr="009255ED">
        <w:t>odstavce</w:t>
      </w:r>
      <w:r>
        <w:t xml:space="preserve"> </w:t>
      </w:r>
      <w:r w:rsidRPr="009255ED">
        <w:t>6</w:t>
      </w:r>
      <w:r>
        <w:t xml:space="preserve"> </w:t>
      </w:r>
      <w:r w:rsidRPr="009255ED">
        <w:t>se</w:t>
      </w:r>
      <w:r>
        <w:t xml:space="preserve"> </w:t>
      </w:r>
      <w:r w:rsidRPr="009255ED">
        <w:t>započítává</w:t>
      </w:r>
      <w:r>
        <w:t xml:space="preserve"> </w:t>
      </w:r>
      <w:r w:rsidRPr="009255ED">
        <w:t>i</w:t>
      </w:r>
      <w:r>
        <w:t xml:space="preserve"> </w:t>
      </w:r>
      <w:r w:rsidRPr="009255ED">
        <w:t>doba,</w:t>
      </w:r>
      <w:r>
        <w:t xml:space="preserve"> </w:t>
      </w:r>
      <w:r w:rsidRPr="009255ED">
        <w:t>po</w:t>
      </w:r>
      <w:r>
        <w:t xml:space="preserve"> </w:t>
      </w:r>
      <w:r w:rsidRPr="009255ED">
        <w:t>kterou</w:t>
      </w:r>
      <w:r>
        <w:t xml:space="preserve"> </w:t>
      </w:r>
      <w:r w:rsidRPr="009255ED">
        <w:t>byl</w:t>
      </w:r>
      <w:r>
        <w:t xml:space="preserve"> </w:t>
      </w:r>
      <w:r w:rsidRPr="009255ED">
        <w:t>nájemcem</w:t>
      </w:r>
      <w:r>
        <w:t xml:space="preserve"> </w:t>
      </w:r>
      <w:r w:rsidRPr="009255ED">
        <w:t>zemědělského</w:t>
      </w:r>
      <w:r>
        <w:t xml:space="preserve"> </w:t>
      </w:r>
      <w:r w:rsidRPr="009255ED">
        <w:t>pozemku</w:t>
      </w:r>
      <w:r>
        <w:t xml:space="preserve"> </w:t>
      </w:r>
      <w:r w:rsidRPr="009255ED">
        <w:t>právní</w:t>
      </w:r>
      <w:r>
        <w:t xml:space="preserve"> </w:t>
      </w:r>
      <w:r w:rsidRPr="009255ED">
        <w:t>předchůdce</w:t>
      </w:r>
      <w:r>
        <w:t xml:space="preserve"> </w:t>
      </w:r>
      <w:r w:rsidRPr="009255ED">
        <w:t>současného</w:t>
      </w:r>
      <w:r>
        <w:t xml:space="preserve"> </w:t>
      </w:r>
      <w:r w:rsidRPr="009255ED">
        <w:t>nájemce,</w:t>
      </w:r>
      <w:r>
        <w:t xml:space="preserve"> </w:t>
      </w:r>
      <w:r w:rsidRPr="009255ED">
        <w:t>nebo</w:t>
      </w:r>
      <w:r>
        <w:t xml:space="preserve"> </w:t>
      </w:r>
      <w:r w:rsidRPr="009255ED">
        <w:t>doba,</w:t>
      </w:r>
      <w:r>
        <w:t xml:space="preserve"> </w:t>
      </w:r>
      <w:r w:rsidRPr="009255ED">
        <w:t>po</w:t>
      </w:r>
      <w:r>
        <w:t xml:space="preserve"> </w:t>
      </w:r>
      <w:r w:rsidRPr="009255ED">
        <w:t>kterou</w:t>
      </w:r>
      <w:r>
        <w:t xml:space="preserve"> </w:t>
      </w:r>
      <w:r w:rsidRPr="009255ED">
        <w:t>byla</w:t>
      </w:r>
      <w:r>
        <w:t xml:space="preserve"> </w:t>
      </w:r>
      <w:r w:rsidRPr="009255ED">
        <w:t>nájemcem</w:t>
      </w:r>
      <w:r>
        <w:t xml:space="preserve"> </w:t>
      </w:r>
      <w:r w:rsidRPr="009255ED">
        <w:t>nebo</w:t>
      </w:r>
      <w:r>
        <w:t xml:space="preserve"> </w:t>
      </w:r>
      <w:r w:rsidRPr="009255ED">
        <w:t>podnájemcem</w:t>
      </w:r>
      <w:r>
        <w:t xml:space="preserve"> </w:t>
      </w:r>
      <w:r w:rsidRPr="009255ED">
        <w:t>pozemku</w:t>
      </w:r>
      <w:r>
        <w:t xml:space="preserve"> </w:t>
      </w:r>
      <w:r w:rsidRPr="009255ED">
        <w:t>fyzická</w:t>
      </w:r>
      <w:r>
        <w:t xml:space="preserve"> </w:t>
      </w:r>
      <w:r w:rsidRPr="009255ED">
        <w:t>osoba</w:t>
      </w:r>
      <w:r>
        <w:t xml:space="preserve"> </w:t>
      </w:r>
      <w:r w:rsidRPr="009255ED">
        <w:t>zapsaná</w:t>
      </w:r>
      <w:r>
        <w:t xml:space="preserve"> </w:t>
      </w:r>
      <w:r w:rsidRPr="009255ED">
        <w:t>v</w:t>
      </w:r>
      <w:r>
        <w:t xml:space="preserve"> </w:t>
      </w:r>
      <w:r w:rsidRPr="009255ED">
        <w:t>evidenci</w:t>
      </w:r>
      <w:r>
        <w:t xml:space="preserve"> </w:t>
      </w:r>
      <w:r w:rsidRPr="009255ED">
        <w:t>zemědělského</w:t>
      </w:r>
      <w:r>
        <w:t xml:space="preserve"> </w:t>
      </w:r>
      <w:r w:rsidRPr="009255ED">
        <w:t>podnikatele,</w:t>
      </w:r>
      <w:r>
        <w:t xml:space="preserve"> </w:t>
      </w:r>
      <w:r w:rsidRPr="009255ED">
        <w:t>která</w:t>
      </w:r>
      <w:r>
        <w:t xml:space="preserve"> </w:t>
      </w:r>
      <w:r w:rsidRPr="009255ED">
        <w:t>svůj</w:t>
      </w:r>
      <w:r>
        <w:t xml:space="preserve"> </w:t>
      </w:r>
      <w:r w:rsidRPr="009255ED">
        <w:t>podnik</w:t>
      </w:r>
      <w:r>
        <w:t xml:space="preserve"> </w:t>
      </w:r>
      <w:r w:rsidRPr="009255ED">
        <w:t>převedla</w:t>
      </w:r>
      <w:r>
        <w:t xml:space="preserve"> </w:t>
      </w:r>
      <w:r w:rsidRPr="009255ED">
        <w:t>na</w:t>
      </w:r>
      <w:r>
        <w:t xml:space="preserve"> </w:t>
      </w:r>
      <w:r w:rsidRPr="009255ED">
        <w:t>příbuzné</w:t>
      </w:r>
      <w:r>
        <w:t xml:space="preserve"> </w:t>
      </w:r>
      <w:r w:rsidRPr="009255ED">
        <w:t>v</w:t>
      </w:r>
      <w:r>
        <w:t xml:space="preserve"> </w:t>
      </w:r>
      <w:r w:rsidRPr="009255ED">
        <w:t>řadě</w:t>
      </w:r>
      <w:r>
        <w:t xml:space="preserve"> </w:t>
      </w:r>
      <w:r w:rsidRPr="009255ED">
        <w:t>přímé,</w:t>
      </w:r>
      <w:r>
        <w:t xml:space="preserve"> </w:t>
      </w:r>
      <w:r w:rsidRPr="009255ED">
        <w:t>sourozence</w:t>
      </w:r>
      <w:r>
        <w:t xml:space="preserve"> </w:t>
      </w:r>
      <w:r w:rsidRPr="009255ED">
        <w:t>nebo</w:t>
      </w:r>
      <w:r>
        <w:t xml:space="preserve"> </w:t>
      </w:r>
      <w:r w:rsidRPr="009255ED">
        <w:t>manžela.</w:t>
      </w:r>
      <w:r>
        <w:t xml:space="preserve"> </w:t>
      </w:r>
      <w:r w:rsidRPr="009255ED">
        <w:t>Podmínka</w:t>
      </w:r>
      <w:r>
        <w:t xml:space="preserve"> </w:t>
      </w:r>
      <w:r w:rsidRPr="009255ED">
        <w:t>podle</w:t>
      </w:r>
      <w:r>
        <w:t xml:space="preserve"> </w:t>
      </w:r>
      <w:r w:rsidRPr="009255ED">
        <w:t>odstavce</w:t>
      </w:r>
      <w:r>
        <w:t xml:space="preserve"> </w:t>
      </w:r>
      <w:r w:rsidRPr="009255ED">
        <w:t>6</w:t>
      </w:r>
      <w:r>
        <w:t xml:space="preserve"> </w:t>
      </w:r>
      <w:r w:rsidRPr="009255ED">
        <w:t>bude</w:t>
      </w:r>
      <w:r>
        <w:t xml:space="preserve"> </w:t>
      </w:r>
      <w:r w:rsidRPr="009255ED">
        <w:t>považována</w:t>
      </w:r>
      <w:r>
        <w:t xml:space="preserve"> </w:t>
      </w:r>
      <w:r w:rsidRPr="009255ED">
        <w:t>za</w:t>
      </w:r>
      <w:r>
        <w:t xml:space="preserve"> </w:t>
      </w:r>
      <w:r w:rsidRPr="009255ED">
        <w:t>splněnou</w:t>
      </w:r>
      <w:r>
        <w:t xml:space="preserve"> </w:t>
      </w:r>
      <w:r w:rsidRPr="009255ED">
        <w:t>i</w:t>
      </w:r>
      <w:r>
        <w:t xml:space="preserve"> </w:t>
      </w:r>
      <w:r w:rsidRPr="009255ED">
        <w:t>v</w:t>
      </w:r>
      <w:r>
        <w:t xml:space="preserve"> </w:t>
      </w:r>
      <w:r w:rsidRPr="009255ED">
        <w:t>případě,</w:t>
      </w:r>
      <w:r>
        <w:t xml:space="preserve"> </w:t>
      </w:r>
      <w:r w:rsidRPr="009255ED">
        <w:t>že</w:t>
      </w:r>
      <w:r>
        <w:t xml:space="preserve"> </w:t>
      </w:r>
      <w:r w:rsidRPr="009255ED">
        <w:t>nájemce</w:t>
      </w:r>
      <w:r>
        <w:t xml:space="preserve"> </w:t>
      </w:r>
      <w:r w:rsidRPr="009255ED">
        <w:t>měl</w:t>
      </w:r>
      <w:r>
        <w:t xml:space="preserve"> </w:t>
      </w:r>
      <w:r w:rsidRPr="009255ED">
        <w:t>po</w:t>
      </w:r>
      <w:r>
        <w:t xml:space="preserve"> </w:t>
      </w:r>
      <w:r w:rsidRPr="009255ED">
        <w:t>stanovenou</w:t>
      </w:r>
      <w:r>
        <w:t xml:space="preserve"> </w:t>
      </w:r>
      <w:r w:rsidRPr="009255ED">
        <w:t>dobu</w:t>
      </w:r>
      <w:r>
        <w:t xml:space="preserve"> </w:t>
      </w:r>
      <w:r w:rsidRPr="009255ED">
        <w:t>v</w:t>
      </w:r>
      <w:r>
        <w:t xml:space="preserve"> </w:t>
      </w:r>
      <w:r w:rsidRPr="009255ED">
        <w:t>nájmu</w:t>
      </w:r>
      <w:r>
        <w:t xml:space="preserve"> </w:t>
      </w:r>
      <w:r w:rsidRPr="009255ED">
        <w:t>zemědělský</w:t>
      </w:r>
      <w:r>
        <w:t xml:space="preserve"> </w:t>
      </w:r>
      <w:r w:rsidRPr="009255ED">
        <w:t>pozemek</w:t>
      </w:r>
      <w:r>
        <w:t xml:space="preserve"> </w:t>
      </w:r>
      <w:r w:rsidRPr="009255ED">
        <w:t>ve</w:t>
      </w:r>
      <w:r>
        <w:t xml:space="preserve"> </w:t>
      </w:r>
      <w:r w:rsidRPr="009255ED">
        <w:t>vlastnictví</w:t>
      </w:r>
      <w:r>
        <w:t xml:space="preserve"> </w:t>
      </w:r>
      <w:r w:rsidRPr="009255ED">
        <w:t>státu</w:t>
      </w:r>
      <w:r>
        <w:t xml:space="preserve"> </w:t>
      </w:r>
      <w:r w:rsidRPr="009255ED">
        <w:t>odpovídající</w:t>
      </w:r>
      <w:r>
        <w:t xml:space="preserve"> </w:t>
      </w:r>
      <w:r w:rsidRPr="009255ED">
        <w:t>velikosti</w:t>
      </w:r>
      <w:r>
        <w:t xml:space="preserve"> </w:t>
      </w:r>
      <w:r w:rsidRPr="009255ED">
        <w:t>v</w:t>
      </w:r>
      <w:r>
        <w:t xml:space="preserve"> </w:t>
      </w:r>
      <w:r w:rsidRPr="009255ED">
        <w:t>katastrálním</w:t>
      </w:r>
      <w:r>
        <w:t xml:space="preserve"> </w:t>
      </w:r>
      <w:r w:rsidRPr="009255ED">
        <w:t>území</w:t>
      </w:r>
      <w:r>
        <w:t xml:space="preserve"> </w:t>
      </w:r>
      <w:r w:rsidRPr="009255ED">
        <w:t>obce,</w:t>
      </w:r>
      <w:r>
        <w:t xml:space="preserve"> </w:t>
      </w:r>
      <w:r w:rsidRPr="009255ED">
        <w:t>do</w:t>
      </w:r>
      <w:r>
        <w:t xml:space="preserve"> </w:t>
      </w:r>
      <w:r w:rsidRPr="009255ED">
        <w:t>něhož</w:t>
      </w:r>
      <w:r>
        <w:t xml:space="preserve"> </w:t>
      </w:r>
      <w:r w:rsidRPr="009255ED">
        <w:t>náleží</w:t>
      </w:r>
      <w:r>
        <w:t xml:space="preserve"> </w:t>
      </w:r>
      <w:r w:rsidRPr="009255ED">
        <w:t>zemědělský</w:t>
      </w:r>
      <w:r>
        <w:t xml:space="preserve"> </w:t>
      </w:r>
      <w:r w:rsidRPr="009255ED">
        <w:t>pozemek,</w:t>
      </w:r>
      <w:r>
        <w:t xml:space="preserve"> </w:t>
      </w:r>
      <w:r w:rsidRPr="009255ED">
        <w:t>popřípadě</w:t>
      </w:r>
      <w:r>
        <w:t xml:space="preserve"> </w:t>
      </w:r>
      <w:r w:rsidRPr="009255ED">
        <w:t>pozemky,</w:t>
      </w:r>
      <w:r>
        <w:t xml:space="preserve"> </w:t>
      </w:r>
      <w:r w:rsidRPr="009255ED">
        <w:t>určené</w:t>
      </w:r>
      <w:r>
        <w:t xml:space="preserve"> </w:t>
      </w:r>
      <w:r w:rsidRPr="009255ED">
        <w:t>k</w:t>
      </w:r>
      <w:r>
        <w:t xml:space="preserve"> </w:t>
      </w:r>
      <w:r w:rsidRPr="009255ED">
        <w:t>převodu</w:t>
      </w:r>
      <w:r>
        <w:t xml:space="preserve"> </w:t>
      </w:r>
      <w:r w:rsidRPr="009255ED">
        <w:t>dotčené</w:t>
      </w:r>
      <w:r>
        <w:t xml:space="preserve"> </w:t>
      </w:r>
      <w:r w:rsidRPr="009255ED">
        <w:t>pozemkovou</w:t>
      </w:r>
      <w:r>
        <w:t xml:space="preserve"> </w:t>
      </w:r>
      <w:r w:rsidRPr="009255ED">
        <w:t>úpravou,</w:t>
      </w:r>
      <w:r>
        <w:t xml:space="preserve"> </w:t>
      </w:r>
      <w:r w:rsidRPr="009255ED">
        <w:t>které</w:t>
      </w:r>
      <w:r>
        <w:t xml:space="preserve"> </w:t>
      </w:r>
      <w:r w:rsidRPr="009255ED">
        <w:t>vznikly</w:t>
      </w:r>
      <w:r>
        <w:t xml:space="preserve"> </w:t>
      </w:r>
      <w:r w:rsidRPr="009255ED">
        <w:t>na</w:t>
      </w:r>
      <w:r>
        <w:t xml:space="preserve"> </w:t>
      </w:r>
      <w:r w:rsidRPr="009255ED">
        <w:t>základě</w:t>
      </w:r>
      <w:r>
        <w:t xml:space="preserve"> </w:t>
      </w:r>
      <w:r w:rsidRPr="009255ED">
        <w:t>rozhodnutí</w:t>
      </w:r>
      <w:r>
        <w:t xml:space="preserve"> </w:t>
      </w:r>
      <w:r w:rsidRPr="009255ED">
        <w:t>o</w:t>
      </w:r>
      <w:r>
        <w:t xml:space="preserve"> </w:t>
      </w:r>
      <w:r w:rsidRPr="009255ED">
        <w:t>výměně</w:t>
      </w:r>
      <w:r>
        <w:t xml:space="preserve"> </w:t>
      </w:r>
      <w:r w:rsidRPr="009255ED">
        <w:t>nebo</w:t>
      </w:r>
      <w:r>
        <w:t xml:space="preserve"> </w:t>
      </w:r>
      <w:r w:rsidRPr="009255ED">
        <w:t>přechodu</w:t>
      </w:r>
      <w:r>
        <w:t xml:space="preserve"> </w:t>
      </w:r>
      <w:r w:rsidRPr="009255ED">
        <w:t>vlastnických</w:t>
      </w:r>
      <w:r>
        <w:t xml:space="preserve"> </w:t>
      </w:r>
      <w:r w:rsidRPr="009255ED">
        <w:t>práv.</w:t>
      </w:r>
    </w:p>
    <w:p w14:paraId="483D5AE4" w14:textId="77777777" w:rsidR="001965B7" w:rsidRDefault="001965B7" w:rsidP="005D3450">
      <w:pPr>
        <w:pStyle w:val="Textparagrafu"/>
        <w:tabs>
          <w:tab w:val="left" w:pos="392"/>
          <w:tab w:val="left" w:pos="840"/>
        </w:tabs>
        <w:spacing w:before="120" w:after="120"/>
      </w:pPr>
      <w:r w:rsidRPr="009255ED">
        <w:t>(12)</w:t>
      </w:r>
      <w:r>
        <w:t xml:space="preserve"> </w:t>
      </w:r>
      <w:r w:rsidRPr="009255ED">
        <w:t>V</w:t>
      </w:r>
      <w:r>
        <w:t xml:space="preserve"> </w:t>
      </w:r>
      <w:r w:rsidRPr="009255ED">
        <w:t>případě</w:t>
      </w:r>
      <w:r>
        <w:t xml:space="preserve"> </w:t>
      </w:r>
      <w:r w:rsidRPr="009255ED">
        <w:t>uzavření</w:t>
      </w:r>
      <w:r>
        <w:t xml:space="preserve"> </w:t>
      </w:r>
      <w:r w:rsidRPr="009255ED">
        <w:t>kupní</w:t>
      </w:r>
      <w:r>
        <w:t xml:space="preserve"> </w:t>
      </w:r>
      <w:r w:rsidRPr="009255ED">
        <w:t>smlouvy</w:t>
      </w:r>
      <w:r>
        <w:t xml:space="preserve"> </w:t>
      </w:r>
      <w:r w:rsidRPr="009255ED">
        <w:t>se</w:t>
      </w:r>
      <w:r>
        <w:t xml:space="preserve"> </w:t>
      </w:r>
      <w:r w:rsidRPr="009255ED">
        <w:t>kupujícímu</w:t>
      </w:r>
      <w:r>
        <w:t xml:space="preserve"> </w:t>
      </w:r>
      <w:r w:rsidRPr="009255ED">
        <w:t>do</w:t>
      </w:r>
      <w:r>
        <w:t xml:space="preserve"> </w:t>
      </w:r>
      <w:r w:rsidRPr="009255ED">
        <w:t>kupní</w:t>
      </w:r>
      <w:r>
        <w:t xml:space="preserve"> </w:t>
      </w:r>
      <w:r w:rsidRPr="009255ED">
        <w:t>ceny</w:t>
      </w:r>
      <w:r>
        <w:t xml:space="preserve"> </w:t>
      </w:r>
      <w:r w:rsidRPr="009255ED">
        <w:t>započte</w:t>
      </w:r>
      <w:r>
        <w:t xml:space="preserve"> </w:t>
      </w:r>
      <w:r w:rsidRPr="009255ED">
        <w:t>kauce</w:t>
      </w:r>
      <w:r>
        <w:t xml:space="preserve"> </w:t>
      </w:r>
      <w:r w:rsidRPr="009255ED">
        <w:t>zaplacená</w:t>
      </w:r>
      <w:r>
        <w:t xml:space="preserve"> </w:t>
      </w:r>
      <w:r w:rsidRPr="009255ED">
        <w:t>podle</w:t>
      </w:r>
      <w:r>
        <w:t xml:space="preserve"> </w:t>
      </w:r>
      <w:r w:rsidRPr="009255ED">
        <w:t>odstavce</w:t>
      </w:r>
      <w:r>
        <w:t xml:space="preserve"> </w:t>
      </w:r>
      <w:r w:rsidRPr="009255ED">
        <w:t>7</w:t>
      </w:r>
      <w:r>
        <w:t xml:space="preserve"> </w:t>
      </w:r>
      <w:r w:rsidRPr="009255ED">
        <w:t>písm.</w:t>
      </w:r>
      <w:r>
        <w:t xml:space="preserve"> </w:t>
      </w:r>
      <w:r w:rsidRPr="009255ED">
        <w:t>b).</w:t>
      </w:r>
      <w:r>
        <w:t xml:space="preserve"> </w:t>
      </w:r>
      <w:r w:rsidRPr="009255ED">
        <w:t>Kauce</w:t>
      </w:r>
      <w:r>
        <w:t xml:space="preserve"> </w:t>
      </w:r>
      <w:r w:rsidRPr="009255ED">
        <w:t>zaplacená</w:t>
      </w:r>
      <w:r>
        <w:t xml:space="preserve"> </w:t>
      </w:r>
      <w:r w:rsidRPr="009255ED">
        <w:t>osobou,</w:t>
      </w:r>
      <w:r>
        <w:t xml:space="preserve"> </w:t>
      </w:r>
      <w:r w:rsidRPr="009255ED">
        <w:t>které</w:t>
      </w:r>
      <w:r>
        <w:t xml:space="preserve"> </w:t>
      </w:r>
      <w:r w:rsidRPr="009255ED">
        <w:t>bylo</w:t>
      </w:r>
      <w:r>
        <w:t xml:space="preserve"> </w:t>
      </w:r>
      <w:r w:rsidRPr="009255ED">
        <w:t>potvrzeno,</w:t>
      </w:r>
      <w:r>
        <w:t xml:space="preserve"> </w:t>
      </w:r>
      <w:r w:rsidRPr="009255ED">
        <w:t>že</w:t>
      </w:r>
      <w:r>
        <w:t xml:space="preserve"> </w:t>
      </w:r>
      <w:r w:rsidRPr="009255ED">
        <w:t>její</w:t>
      </w:r>
      <w:r>
        <w:t xml:space="preserve"> </w:t>
      </w:r>
      <w:r w:rsidRPr="009255ED">
        <w:t>nabídka</w:t>
      </w:r>
      <w:r>
        <w:t xml:space="preserve"> </w:t>
      </w:r>
      <w:r w:rsidRPr="009255ED">
        <w:t>byla</w:t>
      </w:r>
      <w:r>
        <w:t xml:space="preserve"> </w:t>
      </w:r>
      <w:r w:rsidRPr="009255ED">
        <w:t>vybrána</w:t>
      </w:r>
      <w:r>
        <w:t xml:space="preserve"> </w:t>
      </w:r>
      <w:r w:rsidRPr="009255ED">
        <w:t>a</w:t>
      </w:r>
      <w:r>
        <w:t xml:space="preserve"> </w:t>
      </w:r>
      <w:r w:rsidRPr="009255ED">
        <w:t>která</w:t>
      </w:r>
      <w:r>
        <w:t xml:space="preserve"> </w:t>
      </w:r>
      <w:r w:rsidRPr="009255ED">
        <w:t>nesplnila</w:t>
      </w:r>
      <w:r>
        <w:t xml:space="preserve"> </w:t>
      </w:r>
      <w:r w:rsidRPr="009255ED">
        <w:t>podmínky</w:t>
      </w:r>
      <w:r>
        <w:t xml:space="preserve"> </w:t>
      </w:r>
      <w:r w:rsidRPr="009255ED">
        <w:t>stanovené</w:t>
      </w:r>
      <w:r>
        <w:t xml:space="preserve"> </w:t>
      </w:r>
      <w:r w:rsidRPr="009255ED">
        <w:t>v</w:t>
      </w:r>
      <w:r>
        <w:t xml:space="preserve"> </w:t>
      </w:r>
      <w:r w:rsidRPr="009255ED">
        <w:t>§</w:t>
      </w:r>
      <w:r>
        <w:t xml:space="preserve"> </w:t>
      </w:r>
      <w:r w:rsidRPr="009255ED">
        <w:t>16</w:t>
      </w:r>
      <w:r>
        <w:t xml:space="preserve"> </w:t>
      </w:r>
      <w:r w:rsidRPr="009255ED">
        <w:t>odst.</w:t>
      </w:r>
      <w:r>
        <w:t xml:space="preserve"> </w:t>
      </w:r>
      <w:r w:rsidRPr="009255ED">
        <w:t>3,</w:t>
      </w:r>
      <w:r>
        <w:t xml:space="preserve"> </w:t>
      </w:r>
      <w:r w:rsidRPr="009255ED">
        <w:t>propadá</w:t>
      </w:r>
      <w:r>
        <w:t xml:space="preserve"> </w:t>
      </w:r>
      <w:r w:rsidRPr="009255ED">
        <w:t>státu.</w:t>
      </w:r>
      <w:r>
        <w:t xml:space="preserve"> </w:t>
      </w:r>
      <w:r w:rsidRPr="009255ED">
        <w:t>V</w:t>
      </w:r>
      <w:r>
        <w:t xml:space="preserve"> </w:t>
      </w:r>
      <w:r w:rsidRPr="009255ED">
        <w:t>případě</w:t>
      </w:r>
      <w:r>
        <w:t xml:space="preserve"> </w:t>
      </w:r>
      <w:r w:rsidRPr="009255ED">
        <w:t>ukončení</w:t>
      </w:r>
      <w:r>
        <w:t xml:space="preserve"> </w:t>
      </w:r>
      <w:r w:rsidRPr="009255ED">
        <w:t>veřejné</w:t>
      </w:r>
      <w:r>
        <w:t xml:space="preserve"> </w:t>
      </w:r>
      <w:r w:rsidRPr="009255ED">
        <w:t>nabídky</w:t>
      </w:r>
      <w:r>
        <w:t xml:space="preserve"> </w:t>
      </w:r>
      <w:r w:rsidRPr="009255ED">
        <w:t>uzavřením</w:t>
      </w:r>
      <w:r>
        <w:t xml:space="preserve"> </w:t>
      </w:r>
      <w:r w:rsidRPr="009255ED">
        <w:t>kupní</w:t>
      </w:r>
      <w:r>
        <w:t xml:space="preserve"> </w:t>
      </w:r>
      <w:r w:rsidRPr="009255ED">
        <w:t>smlouvy</w:t>
      </w:r>
      <w:r>
        <w:t xml:space="preserve"> </w:t>
      </w:r>
      <w:r w:rsidRPr="009255ED">
        <w:t>nebo</w:t>
      </w:r>
      <w:r>
        <w:t xml:space="preserve"> </w:t>
      </w:r>
      <w:r w:rsidRPr="009255ED">
        <w:t>i</w:t>
      </w:r>
      <w:r>
        <w:t xml:space="preserve"> </w:t>
      </w:r>
      <w:r w:rsidRPr="009255ED">
        <w:t>z</w:t>
      </w:r>
      <w:r>
        <w:t xml:space="preserve"> </w:t>
      </w:r>
      <w:r w:rsidRPr="009255ED">
        <w:t>jiného</w:t>
      </w:r>
      <w:r>
        <w:t xml:space="preserve"> </w:t>
      </w:r>
      <w:r w:rsidRPr="009255ED">
        <w:t>důvodu</w:t>
      </w:r>
      <w:r>
        <w:t xml:space="preserve"> </w:t>
      </w:r>
      <w:r w:rsidRPr="009255ED">
        <w:t>je</w:t>
      </w:r>
      <w:r>
        <w:t xml:space="preserve"> </w:t>
      </w:r>
      <w:r w:rsidRPr="009255ED">
        <w:t>Státní</w:t>
      </w:r>
      <w:r>
        <w:t xml:space="preserve"> </w:t>
      </w:r>
      <w:r w:rsidRPr="009255ED">
        <w:t>pozemkový</w:t>
      </w:r>
      <w:r>
        <w:t xml:space="preserve"> </w:t>
      </w:r>
      <w:r w:rsidRPr="009255ED">
        <w:t>úřad</w:t>
      </w:r>
      <w:r>
        <w:t xml:space="preserve"> </w:t>
      </w:r>
      <w:r w:rsidRPr="009255ED">
        <w:t>povinen</w:t>
      </w:r>
      <w:r>
        <w:t xml:space="preserve"> </w:t>
      </w:r>
      <w:r w:rsidRPr="009255ED">
        <w:t>vrátit</w:t>
      </w:r>
      <w:r>
        <w:t xml:space="preserve"> </w:t>
      </w:r>
      <w:r w:rsidRPr="009255ED">
        <w:t>zaplacenou</w:t>
      </w:r>
      <w:r>
        <w:t xml:space="preserve"> </w:t>
      </w:r>
      <w:r w:rsidRPr="009255ED">
        <w:t>kauci</w:t>
      </w:r>
      <w:r>
        <w:t xml:space="preserve"> </w:t>
      </w:r>
      <w:r w:rsidRPr="009255ED">
        <w:t>všem</w:t>
      </w:r>
      <w:r>
        <w:t xml:space="preserve"> </w:t>
      </w:r>
      <w:r w:rsidRPr="009255ED">
        <w:t>ostatním</w:t>
      </w:r>
      <w:r>
        <w:t xml:space="preserve"> </w:t>
      </w:r>
      <w:r w:rsidRPr="009255ED">
        <w:t>osobám,</w:t>
      </w:r>
      <w:r>
        <w:t xml:space="preserve"> </w:t>
      </w:r>
      <w:r w:rsidRPr="009255ED">
        <w:t>a</w:t>
      </w:r>
      <w:r>
        <w:t xml:space="preserve"> </w:t>
      </w:r>
      <w:r w:rsidRPr="009255ED">
        <w:t>to</w:t>
      </w:r>
      <w:r>
        <w:t xml:space="preserve"> </w:t>
      </w:r>
      <w:r w:rsidRPr="009255ED">
        <w:t>nejpozději</w:t>
      </w:r>
      <w:r>
        <w:t xml:space="preserve"> </w:t>
      </w:r>
      <w:r w:rsidRPr="009255ED">
        <w:t>do</w:t>
      </w:r>
      <w:r>
        <w:t xml:space="preserve"> </w:t>
      </w:r>
      <w:r w:rsidRPr="009255ED">
        <w:t>10</w:t>
      </w:r>
      <w:r>
        <w:t xml:space="preserve"> </w:t>
      </w:r>
      <w:r w:rsidRPr="009255ED">
        <w:t>dnů</w:t>
      </w:r>
      <w:r>
        <w:t xml:space="preserve"> </w:t>
      </w:r>
      <w:r w:rsidRPr="009255ED">
        <w:t>ode</w:t>
      </w:r>
      <w:r>
        <w:t xml:space="preserve"> </w:t>
      </w:r>
      <w:r w:rsidRPr="009255ED">
        <w:t>dne</w:t>
      </w:r>
      <w:r>
        <w:t xml:space="preserve"> </w:t>
      </w:r>
      <w:r w:rsidRPr="009255ED">
        <w:t>ukončení</w:t>
      </w:r>
      <w:r>
        <w:t xml:space="preserve"> </w:t>
      </w:r>
      <w:r w:rsidRPr="009255ED">
        <w:t>veřejné</w:t>
      </w:r>
      <w:r>
        <w:t xml:space="preserve"> </w:t>
      </w:r>
      <w:r w:rsidRPr="009255ED">
        <w:t>nabídky.</w:t>
      </w:r>
    </w:p>
    <w:p w14:paraId="74D4B0D2" w14:textId="77777777" w:rsidR="001965B7" w:rsidRPr="009255ED" w:rsidRDefault="001965B7" w:rsidP="005D3450">
      <w:pPr>
        <w:pStyle w:val="Textparagrafu"/>
        <w:tabs>
          <w:tab w:val="left" w:pos="392"/>
          <w:tab w:val="left" w:pos="840"/>
        </w:tabs>
        <w:spacing w:before="120" w:after="120"/>
      </w:pPr>
      <w:r w:rsidRPr="009255ED">
        <w:t>(13)</w:t>
      </w:r>
      <w:r>
        <w:t xml:space="preserve"> </w:t>
      </w:r>
      <w:r w:rsidRPr="009255ED">
        <w:t>Veřejnou</w:t>
      </w:r>
      <w:r>
        <w:t xml:space="preserve"> </w:t>
      </w:r>
      <w:r w:rsidRPr="009255ED">
        <w:t>nabídku</w:t>
      </w:r>
      <w:r>
        <w:t xml:space="preserve"> </w:t>
      </w:r>
      <w:r w:rsidRPr="009255ED">
        <w:t>podle</w:t>
      </w:r>
      <w:r>
        <w:t xml:space="preserve"> </w:t>
      </w:r>
      <w:r w:rsidRPr="009255ED">
        <w:t>odstavce</w:t>
      </w:r>
      <w:r>
        <w:t xml:space="preserve"> </w:t>
      </w:r>
      <w:r w:rsidRPr="009255ED">
        <w:t>2</w:t>
      </w:r>
      <w:r>
        <w:t xml:space="preserve"> </w:t>
      </w:r>
      <w:r w:rsidRPr="009255ED">
        <w:t>nelze</w:t>
      </w:r>
      <w:r>
        <w:t xml:space="preserve"> </w:t>
      </w:r>
      <w:r w:rsidRPr="009255ED">
        <w:t>opakovat.</w:t>
      </w:r>
    </w:p>
    <w:p w14:paraId="32F28816" w14:textId="77777777" w:rsidR="001965B7" w:rsidRDefault="001965B7" w:rsidP="0080777D">
      <w:pPr>
        <w:pStyle w:val="Textparagrafu"/>
        <w:tabs>
          <w:tab w:val="left" w:pos="392"/>
          <w:tab w:val="left" w:pos="840"/>
        </w:tabs>
        <w:spacing w:after="120"/>
        <w:ind w:firstLine="0"/>
        <w:jc w:val="center"/>
      </w:pPr>
      <w:r w:rsidRPr="009255ED">
        <w:t>§</w:t>
      </w:r>
      <w:r>
        <w:t xml:space="preserve"> </w:t>
      </w:r>
      <w:r w:rsidRPr="009255ED">
        <w:t>13</w:t>
      </w:r>
    </w:p>
    <w:p w14:paraId="1D5B6FA3" w14:textId="77777777" w:rsidR="001965B7" w:rsidRPr="0080777D" w:rsidRDefault="001965B7" w:rsidP="0080777D">
      <w:pPr>
        <w:pStyle w:val="Textparagrafu"/>
        <w:tabs>
          <w:tab w:val="left" w:pos="392"/>
          <w:tab w:val="left" w:pos="840"/>
        </w:tabs>
        <w:spacing w:after="120"/>
        <w:ind w:firstLine="0"/>
        <w:jc w:val="center"/>
        <w:rPr>
          <w:b/>
        </w:rPr>
      </w:pPr>
      <w:r w:rsidRPr="0080777D">
        <w:rPr>
          <w:b/>
        </w:rPr>
        <w:t>Prodej nemovité věci a souvisejícího majetku ve veřejné soutěži o nejvhodnější nabídku</w:t>
      </w:r>
    </w:p>
    <w:p w14:paraId="57D68A2B" w14:textId="77777777" w:rsidR="001965B7" w:rsidRDefault="001965B7" w:rsidP="005D3450">
      <w:pPr>
        <w:pStyle w:val="Textparagrafu"/>
        <w:tabs>
          <w:tab w:val="left" w:pos="392"/>
          <w:tab w:val="left" w:pos="840"/>
        </w:tabs>
        <w:spacing w:before="120" w:after="120"/>
      </w:pPr>
      <w:r w:rsidRPr="009255ED">
        <w:t>(1)</w:t>
      </w:r>
      <w:r>
        <w:t xml:space="preserve"> </w:t>
      </w:r>
      <w:r w:rsidRPr="009255ED">
        <w:t>Státní</w:t>
      </w:r>
      <w:r>
        <w:t xml:space="preserve"> </w:t>
      </w:r>
      <w:r w:rsidRPr="009255ED">
        <w:t>pozemkový</w:t>
      </w:r>
      <w:r>
        <w:t xml:space="preserve"> </w:t>
      </w:r>
      <w:r w:rsidRPr="009255ED">
        <w:t>úřad</w:t>
      </w:r>
      <w:r>
        <w:t xml:space="preserve"> </w:t>
      </w:r>
      <w:r w:rsidRPr="009255ED">
        <w:t>může</w:t>
      </w:r>
      <w:r>
        <w:t xml:space="preserve"> </w:t>
      </w:r>
      <w:r w:rsidRPr="009255ED">
        <w:t>prodat</w:t>
      </w:r>
      <w:r>
        <w:t xml:space="preserve"> </w:t>
      </w:r>
      <w:r w:rsidRPr="009255ED">
        <w:t>zemědělské</w:t>
      </w:r>
      <w:r>
        <w:t xml:space="preserve"> </w:t>
      </w:r>
      <w:r w:rsidRPr="009255ED">
        <w:t>pozemky,</w:t>
      </w:r>
      <w:r>
        <w:t xml:space="preserve"> </w:t>
      </w:r>
      <w:r w:rsidRPr="009255ED">
        <w:t>jejichž</w:t>
      </w:r>
      <w:r>
        <w:t xml:space="preserve"> </w:t>
      </w:r>
      <w:r w:rsidRPr="009255ED">
        <w:t>součástí</w:t>
      </w:r>
      <w:r>
        <w:t xml:space="preserve"> </w:t>
      </w:r>
      <w:r w:rsidRPr="009255ED">
        <w:t>nejsou</w:t>
      </w:r>
      <w:r>
        <w:t xml:space="preserve"> </w:t>
      </w:r>
      <w:r w:rsidRPr="009255ED">
        <w:t>stavby,</w:t>
      </w:r>
      <w:r>
        <w:t xml:space="preserve"> </w:t>
      </w:r>
      <w:r w:rsidRPr="009255ED">
        <w:t>s</w:t>
      </w:r>
      <w:r>
        <w:t xml:space="preserve"> </w:t>
      </w:r>
      <w:r w:rsidRPr="009255ED">
        <w:t>nimiž</w:t>
      </w:r>
      <w:r>
        <w:t xml:space="preserve"> </w:t>
      </w:r>
      <w:r w:rsidRPr="009255ED">
        <w:t>je</w:t>
      </w:r>
      <w:r>
        <w:t xml:space="preserve"> </w:t>
      </w:r>
      <w:r w:rsidRPr="009255ED">
        <w:t>příslušný</w:t>
      </w:r>
      <w:r>
        <w:t xml:space="preserve"> </w:t>
      </w:r>
      <w:r w:rsidRPr="009255ED">
        <w:t>hospodařit</w:t>
      </w:r>
      <w:r>
        <w:t xml:space="preserve"> </w:t>
      </w:r>
      <w:r w:rsidRPr="009255ED">
        <w:t>a</w:t>
      </w:r>
      <w:r>
        <w:t xml:space="preserve"> </w:t>
      </w:r>
      <w:r w:rsidRPr="009255ED">
        <w:t>které</w:t>
      </w:r>
      <w:r>
        <w:t xml:space="preserve"> </w:t>
      </w:r>
      <w:r w:rsidRPr="009255ED">
        <w:t>nebyly</w:t>
      </w:r>
      <w:r>
        <w:t xml:space="preserve"> </w:t>
      </w:r>
      <w:r w:rsidRPr="009255ED">
        <w:t>převedeny</w:t>
      </w:r>
      <w:r>
        <w:t xml:space="preserve"> </w:t>
      </w:r>
      <w:r w:rsidRPr="009255ED">
        <w:t>postupem</w:t>
      </w:r>
      <w:r>
        <w:t xml:space="preserve"> </w:t>
      </w:r>
      <w:r w:rsidRPr="009255ED">
        <w:t>uvedeným</w:t>
      </w:r>
      <w:r>
        <w:t xml:space="preserve"> </w:t>
      </w:r>
      <w:r w:rsidRPr="009255ED">
        <w:t>v</w:t>
      </w:r>
      <w:r>
        <w:t xml:space="preserve"> </w:t>
      </w:r>
      <w:r w:rsidRPr="009255ED">
        <w:t>§</w:t>
      </w:r>
      <w:r>
        <w:t xml:space="preserve"> </w:t>
      </w:r>
      <w:r w:rsidRPr="009255ED">
        <w:t>12,</w:t>
      </w:r>
      <w:r>
        <w:t xml:space="preserve"> </w:t>
      </w:r>
      <w:r w:rsidRPr="009255ED">
        <w:t>osobám</w:t>
      </w:r>
      <w:r>
        <w:t xml:space="preserve"> </w:t>
      </w:r>
      <w:r w:rsidRPr="009255ED">
        <w:t>ve</w:t>
      </w:r>
      <w:r>
        <w:t xml:space="preserve"> </w:t>
      </w:r>
      <w:r w:rsidRPr="009255ED">
        <w:t>veřejné</w:t>
      </w:r>
      <w:r>
        <w:t xml:space="preserve"> </w:t>
      </w:r>
      <w:r w:rsidRPr="009255ED">
        <w:t>soutěži</w:t>
      </w:r>
      <w:r>
        <w:t xml:space="preserve"> </w:t>
      </w:r>
      <w:r w:rsidRPr="009255ED">
        <w:t>o</w:t>
      </w:r>
      <w:r>
        <w:t xml:space="preserve"> </w:t>
      </w:r>
      <w:r w:rsidRPr="009255ED">
        <w:t>nejvhodnější</w:t>
      </w:r>
      <w:r>
        <w:t xml:space="preserve"> </w:t>
      </w:r>
      <w:r w:rsidRPr="009255ED">
        <w:t>nabídku;</w:t>
      </w:r>
      <w:r>
        <w:t xml:space="preserve"> </w:t>
      </w:r>
      <w:r w:rsidRPr="009255ED">
        <w:t>rozhodujícím</w:t>
      </w:r>
      <w:r>
        <w:t xml:space="preserve"> </w:t>
      </w:r>
      <w:r w:rsidRPr="009255ED">
        <w:t>kritériem</w:t>
      </w:r>
      <w:r>
        <w:t xml:space="preserve"> </w:t>
      </w:r>
      <w:r w:rsidRPr="009255ED">
        <w:t>je</w:t>
      </w:r>
      <w:r>
        <w:t xml:space="preserve"> </w:t>
      </w:r>
      <w:r w:rsidRPr="009255ED">
        <w:t>výše</w:t>
      </w:r>
      <w:r>
        <w:t xml:space="preserve"> </w:t>
      </w:r>
      <w:r w:rsidRPr="009255ED">
        <w:t>nabídnuté</w:t>
      </w:r>
      <w:r>
        <w:t xml:space="preserve"> </w:t>
      </w:r>
      <w:r w:rsidRPr="009255ED">
        <w:t>kupní</w:t>
      </w:r>
      <w:r>
        <w:t xml:space="preserve"> </w:t>
      </w:r>
      <w:r w:rsidRPr="009255ED">
        <w:t>ceny.</w:t>
      </w:r>
    </w:p>
    <w:p w14:paraId="5C7F782C" w14:textId="16BCBF89" w:rsidR="001965B7" w:rsidRDefault="001965B7" w:rsidP="005D3450">
      <w:pPr>
        <w:pStyle w:val="Textparagrafu"/>
        <w:tabs>
          <w:tab w:val="left" w:pos="392"/>
          <w:tab w:val="left" w:pos="840"/>
        </w:tabs>
        <w:spacing w:before="120" w:after="120"/>
      </w:pPr>
      <w:r w:rsidRPr="009255ED">
        <w:t>(2)</w:t>
      </w:r>
      <w:r>
        <w:t xml:space="preserve"> </w:t>
      </w:r>
      <w:r w:rsidRPr="009255ED">
        <w:t>Státní</w:t>
      </w:r>
      <w:r>
        <w:t xml:space="preserve"> </w:t>
      </w:r>
      <w:r w:rsidRPr="009255ED">
        <w:t>pozemkový</w:t>
      </w:r>
      <w:r>
        <w:t xml:space="preserve"> </w:t>
      </w:r>
      <w:r w:rsidRPr="009255ED">
        <w:t>úřad</w:t>
      </w:r>
      <w:r>
        <w:t xml:space="preserve"> </w:t>
      </w:r>
      <w:r w:rsidRPr="009255ED">
        <w:t>může</w:t>
      </w:r>
      <w:r>
        <w:t xml:space="preserve"> </w:t>
      </w:r>
      <w:r w:rsidRPr="009255ED">
        <w:t>prodat</w:t>
      </w:r>
      <w:r>
        <w:t xml:space="preserve"> </w:t>
      </w:r>
      <w:r w:rsidRPr="009255ED">
        <w:t>stavby</w:t>
      </w:r>
      <w:r>
        <w:t xml:space="preserve"> </w:t>
      </w:r>
      <w:r w:rsidRPr="009255ED">
        <w:t>nebo</w:t>
      </w:r>
      <w:r>
        <w:t xml:space="preserve"> </w:t>
      </w:r>
      <w:r w:rsidRPr="009255ED">
        <w:t>jejich</w:t>
      </w:r>
      <w:r>
        <w:t xml:space="preserve"> </w:t>
      </w:r>
      <w:r w:rsidRPr="009255ED">
        <w:t>soubory</w:t>
      </w:r>
      <w:r>
        <w:t xml:space="preserve"> </w:t>
      </w:r>
      <w:r w:rsidRPr="009255ED">
        <w:t>a</w:t>
      </w:r>
      <w:r>
        <w:t xml:space="preserve"> </w:t>
      </w:r>
      <w:r w:rsidRPr="009255ED">
        <w:t>související</w:t>
      </w:r>
      <w:r>
        <w:t xml:space="preserve"> </w:t>
      </w:r>
      <w:r w:rsidRPr="009255ED">
        <w:t>majetek,</w:t>
      </w:r>
      <w:r>
        <w:t xml:space="preserve"> </w:t>
      </w:r>
      <w:r w:rsidRPr="009255ED">
        <w:t>které</w:t>
      </w:r>
      <w:r>
        <w:t xml:space="preserve"> </w:t>
      </w:r>
      <w:r w:rsidRPr="009255ED">
        <w:t>jsou</w:t>
      </w:r>
      <w:r>
        <w:t xml:space="preserve"> </w:t>
      </w:r>
      <w:r w:rsidRPr="009255ED">
        <w:t>na</w:t>
      </w:r>
      <w:r>
        <w:t xml:space="preserve"> </w:t>
      </w:r>
      <w:r w:rsidRPr="009255ED">
        <w:t>pozemku</w:t>
      </w:r>
      <w:r>
        <w:t xml:space="preserve"> </w:t>
      </w:r>
      <w:r w:rsidRPr="009255ED">
        <w:t>jiného</w:t>
      </w:r>
      <w:r>
        <w:t xml:space="preserve"> </w:t>
      </w:r>
      <w:r w:rsidRPr="009255ED">
        <w:t>vlastníka,</w:t>
      </w:r>
      <w:r>
        <w:t xml:space="preserve"> </w:t>
      </w:r>
      <w:r w:rsidRPr="009255ED">
        <w:t>s</w:t>
      </w:r>
      <w:r>
        <w:t xml:space="preserve"> </w:t>
      </w:r>
      <w:r w:rsidRPr="009255ED">
        <w:t>nimiž</w:t>
      </w:r>
      <w:r>
        <w:t xml:space="preserve"> </w:t>
      </w:r>
      <w:r w:rsidRPr="009255ED">
        <w:t>je</w:t>
      </w:r>
      <w:r>
        <w:t xml:space="preserve"> </w:t>
      </w:r>
      <w:r w:rsidRPr="009255ED">
        <w:t>příslušný</w:t>
      </w:r>
      <w:r>
        <w:t xml:space="preserve"> </w:t>
      </w:r>
      <w:r w:rsidRPr="009255ED">
        <w:t>hospodařit,</w:t>
      </w:r>
      <w:r>
        <w:t xml:space="preserve"> </w:t>
      </w:r>
      <w:r w:rsidRPr="009255ED">
        <w:t>ve</w:t>
      </w:r>
      <w:r>
        <w:t xml:space="preserve"> </w:t>
      </w:r>
      <w:r w:rsidRPr="009255ED">
        <w:t>veřejné</w:t>
      </w:r>
      <w:r>
        <w:t xml:space="preserve"> </w:t>
      </w:r>
      <w:r w:rsidRPr="009255ED">
        <w:t>soutěži</w:t>
      </w:r>
      <w:r>
        <w:t xml:space="preserve"> </w:t>
      </w:r>
      <w:r w:rsidRPr="009255ED">
        <w:t>o</w:t>
      </w:r>
      <w:r>
        <w:t xml:space="preserve"> </w:t>
      </w:r>
      <w:r w:rsidRPr="009255ED">
        <w:t>nejvhodnější</w:t>
      </w:r>
      <w:r>
        <w:t xml:space="preserve"> </w:t>
      </w:r>
      <w:r w:rsidRPr="009255ED">
        <w:t>nabídku;</w:t>
      </w:r>
      <w:r>
        <w:t xml:space="preserve"> </w:t>
      </w:r>
      <w:r w:rsidRPr="009255ED">
        <w:t>rozhodujícím</w:t>
      </w:r>
      <w:r>
        <w:t xml:space="preserve"> </w:t>
      </w:r>
      <w:r w:rsidRPr="009255ED">
        <w:t>kritériem</w:t>
      </w:r>
      <w:r>
        <w:t xml:space="preserve"> </w:t>
      </w:r>
      <w:r w:rsidRPr="009255ED">
        <w:t>je</w:t>
      </w:r>
      <w:r>
        <w:t xml:space="preserve"> </w:t>
      </w:r>
      <w:r w:rsidRPr="009255ED">
        <w:t>výše</w:t>
      </w:r>
      <w:r>
        <w:t xml:space="preserve"> </w:t>
      </w:r>
      <w:r w:rsidRPr="009255ED">
        <w:t>nabídnuté</w:t>
      </w:r>
      <w:r>
        <w:t xml:space="preserve"> </w:t>
      </w:r>
      <w:r w:rsidRPr="009255ED">
        <w:t>kupní</w:t>
      </w:r>
      <w:r>
        <w:t xml:space="preserve"> </w:t>
      </w:r>
      <w:r w:rsidRPr="009255ED">
        <w:t>ceny.</w:t>
      </w:r>
      <w:r>
        <w:t xml:space="preserve"> </w:t>
      </w:r>
      <w:r w:rsidRPr="009255ED">
        <w:t>Tento</w:t>
      </w:r>
      <w:r>
        <w:t xml:space="preserve"> </w:t>
      </w:r>
      <w:r w:rsidRPr="009255ED">
        <w:t>postup</w:t>
      </w:r>
      <w:r>
        <w:t xml:space="preserve"> </w:t>
      </w:r>
      <w:r w:rsidRPr="009255ED">
        <w:t>lze</w:t>
      </w:r>
      <w:r>
        <w:t xml:space="preserve"> </w:t>
      </w:r>
      <w:r w:rsidRPr="009255ED">
        <w:t>uplatnit</w:t>
      </w:r>
      <w:r>
        <w:t xml:space="preserve"> </w:t>
      </w:r>
      <w:r w:rsidRPr="009255ED">
        <w:t>u</w:t>
      </w:r>
      <w:r>
        <w:t xml:space="preserve"> </w:t>
      </w:r>
      <w:r w:rsidRPr="009255ED">
        <w:t>stavby</w:t>
      </w:r>
      <w:r>
        <w:t xml:space="preserve"> </w:t>
      </w:r>
      <w:r w:rsidRPr="009255ED">
        <w:t>a</w:t>
      </w:r>
      <w:r>
        <w:t xml:space="preserve"> </w:t>
      </w:r>
      <w:r w:rsidRPr="009255ED">
        <w:t>souvisejícího</w:t>
      </w:r>
      <w:r>
        <w:t xml:space="preserve"> </w:t>
      </w:r>
      <w:r w:rsidRPr="009255ED">
        <w:t>majetku,</w:t>
      </w:r>
      <w:r>
        <w:t xml:space="preserve"> </w:t>
      </w:r>
      <w:r w:rsidRPr="009255ED">
        <w:t>kde</w:t>
      </w:r>
      <w:r>
        <w:t xml:space="preserve"> </w:t>
      </w:r>
      <w:r w:rsidRPr="009255ED">
        <w:t>neuplatnil</w:t>
      </w:r>
      <w:r>
        <w:t xml:space="preserve"> </w:t>
      </w:r>
      <w:r w:rsidRPr="009255ED">
        <w:t>předkupní</w:t>
      </w:r>
      <w:r>
        <w:t xml:space="preserve"> </w:t>
      </w:r>
      <w:r w:rsidR="0080777D">
        <w:t>právo</w:t>
      </w:r>
      <w:r w:rsidR="0080777D">
        <w:rPr>
          <w:rStyle w:val="Znakapoznpodarou"/>
        </w:rPr>
        <w:footnoteReference w:customMarkFollows="1" w:id="542"/>
        <w:t>26)</w:t>
      </w:r>
      <w:r>
        <w:t xml:space="preserve"> </w:t>
      </w:r>
      <w:r w:rsidRPr="009255ED">
        <w:t>vlastník</w:t>
      </w:r>
      <w:r>
        <w:t xml:space="preserve"> </w:t>
      </w:r>
      <w:r w:rsidRPr="009255ED">
        <w:t>pozemku.</w:t>
      </w:r>
    </w:p>
    <w:p w14:paraId="2132270C" w14:textId="77777777" w:rsidR="001965B7" w:rsidRDefault="001965B7" w:rsidP="005D3450">
      <w:pPr>
        <w:pStyle w:val="Textparagrafu"/>
        <w:tabs>
          <w:tab w:val="left" w:pos="392"/>
          <w:tab w:val="left" w:pos="840"/>
        </w:tabs>
        <w:spacing w:before="120" w:after="120"/>
      </w:pPr>
      <w:r w:rsidRPr="009255ED">
        <w:t>(3)</w:t>
      </w:r>
      <w:r>
        <w:t xml:space="preserve"> </w:t>
      </w:r>
      <w:r w:rsidRPr="009255ED">
        <w:t>Státní</w:t>
      </w:r>
      <w:r>
        <w:t xml:space="preserve"> </w:t>
      </w:r>
      <w:r w:rsidRPr="009255ED">
        <w:t>pozemkový</w:t>
      </w:r>
      <w:r>
        <w:t xml:space="preserve"> </w:t>
      </w:r>
      <w:r w:rsidRPr="009255ED">
        <w:t>úřad</w:t>
      </w:r>
      <w:r>
        <w:t xml:space="preserve"> </w:t>
      </w:r>
      <w:r w:rsidRPr="009255ED">
        <w:t>může</w:t>
      </w:r>
      <w:r>
        <w:t xml:space="preserve"> </w:t>
      </w:r>
      <w:r w:rsidRPr="009255ED">
        <w:t>prodat</w:t>
      </w:r>
      <w:r>
        <w:t xml:space="preserve"> </w:t>
      </w:r>
      <w:r w:rsidRPr="009255ED">
        <w:t>zemědělské</w:t>
      </w:r>
      <w:r>
        <w:t xml:space="preserve"> </w:t>
      </w:r>
      <w:r w:rsidRPr="009255ED">
        <w:t>pozemky,</w:t>
      </w:r>
      <w:r>
        <w:t xml:space="preserve"> </w:t>
      </w:r>
      <w:r w:rsidRPr="009255ED">
        <w:t>jejichž</w:t>
      </w:r>
      <w:r>
        <w:t xml:space="preserve"> </w:t>
      </w:r>
      <w:r w:rsidRPr="009255ED">
        <w:t>součástí</w:t>
      </w:r>
      <w:r>
        <w:t xml:space="preserve"> </w:t>
      </w:r>
      <w:r w:rsidRPr="009255ED">
        <w:t>jsou</w:t>
      </w:r>
      <w:r>
        <w:t xml:space="preserve"> </w:t>
      </w:r>
      <w:r w:rsidRPr="009255ED">
        <w:t>stavby,</w:t>
      </w:r>
      <w:r>
        <w:t xml:space="preserve"> </w:t>
      </w:r>
      <w:r w:rsidRPr="009255ED">
        <w:t>a</w:t>
      </w:r>
      <w:r>
        <w:t xml:space="preserve"> </w:t>
      </w:r>
      <w:r w:rsidRPr="009255ED">
        <w:t>související</w:t>
      </w:r>
      <w:r>
        <w:t xml:space="preserve"> </w:t>
      </w:r>
      <w:r w:rsidRPr="009255ED">
        <w:t>majetek,</w:t>
      </w:r>
      <w:r>
        <w:t xml:space="preserve"> </w:t>
      </w:r>
      <w:r w:rsidRPr="009255ED">
        <w:t>s</w:t>
      </w:r>
      <w:r>
        <w:t xml:space="preserve"> </w:t>
      </w:r>
      <w:r w:rsidRPr="009255ED">
        <w:t>nimiž</w:t>
      </w:r>
      <w:r>
        <w:t xml:space="preserve"> </w:t>
      </w:r>
      <w:r w:rsidRPr="009255ED">
        <w:t>je</w:t>
      </w:r>
      <w:r>
        <w:t xml:space="preserve"> </w:t>
      </w:r>
      <w:r w:rsidRPr="009255ED">
        <w:t>příslušný</w:t>
      </w:r>
      <w:r>
        <w:t xml:space="preserve"> </w:t>
      </w:r>
      <w:r w:rsidRPr="009255ED">
        <w:t>hospodařit,</w:t>
      </w:r>
      <w:r>
        <w:t xml:space="preserve"> </w:t>
      </w:r>
      <w:r w:rsidRPr="009255ED">
        <w:t>ve</w:t>
      </w:r>
      <w:r>
        <w:t xml:space="preserve"> </w:t>
      </w:r>
      <w:r w:rsidRPr="009255ED">
        <w:t>veřejné</w:t>
      </w:r>
      <w:r>
        <w:t xml:space="preserve"> </w:t>
      </w:r>
      <w:r w:rsidRPr="009255ED">
        <w:t>soutěži</w:t>
      </w:r>
      <w:r>
        <w:t xml:space="preserve"> </w:t>
      </w:r>
      <w:r w:rsidRPr="009255ED">
        <w:t>o</w:t>
      </w:r>
      <w:r>
        <w:t xml:space="preserve"> </w:t>
      </w:r>
      <w:r w:rsidRPr="009255ED">
        <w:t>nejvhodnější</w:t>
      </w:r>
      <w:r>
        <w:t xml:space="preserve"> </w:t>
      </w:r>
      <w:r w:rsidRPr="009255ED">
        <w:t>nabídku;</w:t>
      </w:r>
      <w:r>
        <w:t xml:space="preserve"> </w:t>
      </w:r>
      <w:r w:rsidRPr="009255ED">
        <w:t>rozhodujícím</w:t>
      </w:r>
      <w:r>
        <w:t xml:space="preserve"> </w:t>
      </w:r>
      <w:r w:rsidRPr="009255ED">
        <w:t>kritériem</w:t>
      </w:r>
      <w:r>
        <w:t xml:space="preserve"> </w:t>
      </w:r>
      <w:r w:rsidRPr="009255ED">
        <w:t>je</w:t>
      </w:r>
      <w:r>
        <w:t xml:space="preserve"> </w:t>
      </w:r>
      <w:r w:rsidRPr="009255ED">
        <w:t>výše</w:t>
      </w:r>
      <w:r>
        <w:t xml:space="preserve"> </w:t>
      </w:r>
      <w:r w:rsidRPr="009255ED">
        <w:t>nabídnuté</w:t>
      </w:r>
      <w:r>
        <w:t xml:space="preserve"> </w:t>
      </w:r>
      <w:r w:rsidRPr="009255ED">
        <w:t>kupní</w:t>
      </w:r>
      <w:r>
        <w:t xml:space="preserve"> </w:t>
      </w:r>
      <w:r w:rsidRPr="009255ED">
        <w:t>ceny.</w:t>
      </w:r>
    </w:p>
    <w:p w14:paraId="1C10C2E4" w14:textId="77777777" w:rsidR="001965B7" w:rsidRDefault="001965B7" w:rsidP="005D3450">
      <w:pPr>
        <w:pStyle w:val="Textparagrafu"/>
        <w:tabs>
          <w:tab w:val="left" w:pos="392"/>
          <w:tab w:val="left" w:pos="840"/>
        </w:tabs>
        <w:spacing w:before="120" w:after="120"/>
      </w:pPr>
      <w:r w:rsidRPr="009255ED">
        <w:t>(4)</w:t>
      </w:r>
      <w:r>
        <w:t xml:space="preserve"> </w:t>
      </w:r>
      <w:r w:rsidRPr="009255ED">
        <w:t>V</w:t>
      </w:r>
      <w:r>
        <w:t xml:space="preserve"> </w:t>
      </w:r>
      <w:r w:rsidRPr="009255ED">
        <w:t>případech</w:t>
      </w:r>
      <w:r>
        <w:t xml:space="preserve"> </w:t>
      </w:r>
      <w:r w:rsidRPr="009255ED">
        <w:t>podle</w:t>
      </w:r>
      <w:r>
        <w:t xml:space="preserve"> </w:t>
      </w:r>
      <w:r w:rsidRPr="009255ED">
        <w:t>odstavců</w:t>
      </w:r>
      <w:r>
        <w:t xml:space="preserve"> </w:t>
      </w:r>
      <w:r w:rsidRPr="009255ED">
        <w:t>2</w:t>
      </w:r>
      <w:r>
        <w:t xml:space="preserve"> </w:t>
      </w:r>
      <w:r w:rsidRPr="009255ED">
        <w:t>a</w:t>
      </w:r>
      <w:r>
        <w:t xml:space="preserve"> </w:t>
      </w:r>
      <w:r w:rsidRPr="009255ED">
        <w:t>3</w:t>
      </w:r>
      <w:r>
        <w:t xml:space="preserve"> </w:t>
      </w:r>
      <w:r w:rsidRPr="009255ED">
        <w:t>se</w:t>
      </w:r>
      <w:r>
        <w:t xml:space="preserve"> </w:t>
      </w:r>
      <w:r w:rsidRPr="009255ED">
        <w:t>při</w:t>
      </w:r>
      <w:r>
        <w:t xml:space="preserve"> </w:t>
      </w:r>
      <w:r w:rsidRPr="009255ED">
        <w:t>prodeji</w:t>
      </w:r>
      <w:r>
        <w:t xml:space="preserve"> </w:t>
      </w:r>
      <w:r w:rsidRPr="009255ED">
        <w:t>obdobně</w:t>
      </w:r>
      <w:r>
        <w:t xml:space="preserve"> </w:t>
      </w:r>
      <w:r w:rsidRPr="009255ED">
        <w:t>použijí</w:t>
      </w:r>
      <w:r>
        <w:t xml:space="preserve"> </w:t>
      </w:r>
      <w:r w:rsidRPr="009255ED">
        <w:t>ustanovení</w:t>
      </w:r>
      <w:r>
        <w:t xml:space="preserve"> </w:t>
      </w:r>
      <w:r w:rsidRPr="009255ED">
        <w:t>§</w:t>
      </w:r>
      <w:r>
        <w:t xml:space="preserve"> </w:t>
      </w:r>
      <w:r w:rsidRPr="009255ED">
        <w:t>14,</w:t>
      </w:r>
      <w:r>
        <w:t xml:space="preserve"> </w:t>
      </w:r>
      <w:r w:rsidRPr="009255ED">
        <w:t>15,</w:t>
      </w:r>
      <w:r>
        <w:t xml:space="preserve"> </w:t>
      </w:r>
      <w:r w:rsidRPr="009255ED">
        <w:t>jde-li</w:t>
      </w:r>
      <w:r>
        <w:t xml:space="preserve"> </w:t>
      </w:r>
      <w:r w:rsidRPr="009255ED">
        <w:t>o</w:t>
      </w:r>
      <w:r>
        <w:t xml:space="preserve"> </w:t>
      </w:r>
      <w:r w:rsidRPr="009255ED">
        <w:t>ustanovení</w:t>
      </w:r>
      <w:r>
        <w:t xml:space="preserve"> </w:t>
      </w:r>
      <w:r w:rsidRPr="009255ED">
        <w:t>týkající</w:t>
      </w:r>
      <w:r>
        <w:t xml:space="preserve"> </w:t>
      </w:r>
      <w:r w:rsidRPr="009255ED">
        <w:t>se</w:t>
      </w:r>
      <w:r>
        <w:t xml:space="preserve"> </w:t>
      </w:r>
      <w:r w:rsidRPr="009255ED">
        <w:t>zástavního</w:t>
      </w:r>
      <w:r>
        <w:t xml:space="preserve"> </w:t>
      </w:r>
      <w:r w:rsidRPr="009255ED">
        <w:t>práva,</w:t>
      </w:r>
      <w:r>
        <w:t xml:space="preserve"> </w:t>
      </w:r>
      <w:r w:rsidRPr="009255ED">
        <w:t>a</w:t>
      </w:r>
      <w:r>
        <w:t xml:space="preserve"> </w:t>
      </w:r>
      <w:r w:rsidRPr="009255ED">
        <w:t>§</w:t>
      </w:r>
      <w:r>
        <w:t xml:space="preserve"> </w:t>
      </w:r>
      <w:r w:rsidRPr="009255ED">
        <w:t>16.</w:t>
      </w:r>
    </w:p>
    <w:p w14:paraId="4A115BE6" w14:textId="1E1134A9" w:rsidR="001965B7" w:rsidRDefault="001965B7" w:rsidP="005D3450">
      <w:pPr>
        <w:pStyle w:val="Textparagrafu"/>
        <w:tabs>
          <w:tab w:val="left" w:pos="392"/>
          <w:tab w:val="left" w:pos="840"/>
        </w:tabs>
        <w:spacing w:before="120" w:after="120"/>
      </w:pPr>
      <w:r w:rsidRPr="009255ED">
        <w:t>(5)</w:t>
      </w:r>
      <w:r>
        <w:t xml:space="preserve"> </w:t>
      </w:r>
      <w:r w:rsidRPr="009255ED">
        <w:t>Státní</w:t>
      </w:r>
      <w:r>
        <w:t xml:space="preserve"> </w:t>
      </w:r>
      <w:r w:rsidRPr="009255ED">
        <w:t>pozemkový</w:t>
      </w:r>
      <w:r>
        <w:t xml:space="preserve"> </w:t>
      </w:r>
      <w:r w:rsidRPr="009255ED">
        <w:t>úřad</w:t>
      </w:r>
      <w:r>
        <w:t xml:space="preserve"> </w:t>
      </w:r>
      <w:r w:rsidRPr="009255ED">
        <w:t>zveřejní</w:t>
      </w:r>
      <w:r>
        <w:t xml:space="preserve"> </w:t>
      </w:r>
      <w:r w:rsidRPr="009255ED">
        <w:t>na</w:t>
      </w:r>
      <w:r>
        <w:t xml:space="preserve"> </w:t>
      </w:r>
      <w:r w:rsidRPr="009255ED">
        <w:t>své</w:t>
      </w:r>
      <w:r>
        <w:t xml:space="preserve"> </w:t>
      </w:r>
      <w:r w:rsidRPr="009255ED">
        <w:t>úřední</w:t>
      </w:r>
      <w:r>
        <w:t xml:space="preserve"> </w:t>
      </w:r>
      <w:r w:rsidRPr="009255ED">
        <w:t>desce</w:t>
      </w:r>
      <w:r>
        <w:t xml:space="preserve"> </w:t>
      </w:r>
      <w:r w:rsidRPr="009255ED">
        <w:t>oznámení</w:t>
      </w:r>
      <w:r>
        <w:t xml:space="preserve"> </w:t>
      </w:r>
      <w:r w:rsidRPr="009255ED">
        <w:t>o</w:t>
      </w:r>
      <w:r>
        <w:t xml:space="preserve"> </w:t>
      </w:r>
      <w:r w:rsidRPr="009255ED">
        <w:t>připravované</w:t>
      </w:r>
      <w:r>
        <w:t xml:space="preserve"> </w:t>
      </w:r>
      <w:r w:rsidRPr="009255ED">
        <w:t>veřejné</w:t>
      </w:r>
      <w:r>
        <w:t xml:space="preserve"> </w:t>
      </w:r>
      <w:r w:rsidRPr="009255ED">
        <w:t>soutěži</w:t>
      </w:r>
      <w:r>
        <w:t xml:space="preserve"> </w:t>
      </w:r>
      <w:r w:rsidRPr="009255ED">
        <w:t>o</w:t>
      </w:r>
      <w:r>
        <w:t xml:space="preserve"> </w:t>
      </w:r>
      <w:r w:rsidRPr="009255ED">
        <w:t>nejvhodnější</w:t>
      </w:r>
      <w:r>
        <w:t xml:space="preserve"> </w:t>
      </w:r>
      <w:r w:rsidRPr="009255ED">
        <w:t>nabídku</w:t>
      </w:r>
      <w:r>
        <w:t xml:space="preserve"> </w:t>
      </w:r>
      <w:r w:rsidRPr="009255ED">
        <w:t>s</w:t>
      </w:r>
      <w:r>
        <w:t xml:space="preserve"> </w:t>
      </w:r>
      <w:r w:rsidRPr="009255ED">
        <w:t>uvedením</w:t>
      </w:r>
      <w:r>
        <w:t xml:space="preserve"> </w:t>
      </w:r>
      <w:r w:rsidRPr="009255ED">
        <w:t>údajů</w:t>
      </w:r>
      <w:r>
        <w:t xml:space="preserve"> </w:t>
      </w:r>
      <w:r w:rsidRPr="009255ED">
        <w:t>o</w:t>
      </w:r>
      <w:r>
        <w:t xml:space="preserve"> </w:t>
      </w:r>
      <w:r w:rsidRPr="009255ED">
        <w:t>nabízených</w:t>
      </w:r>
      <w:r>
        <w:t xml:space="preserve"> </w:t>
      </w:r>
      <w:r w:rsidRPr="009255ED">
        <w:t>nemovitých</w:t>
      </w:r>
      <w:r>
        <w:t xml:space="preserve"> </w:t>
      </w:r>
      <w:r w:rsidRPr="009255ED">
        <w:t>věcech</w:t>
      </w:r>
      <w:r>
        <w:t xml:space="preserve"> </w:t>
      </w:r>
      <w:r w:rsidRPr="009255ED">
        <w:t>a</w:t>
      </w:r>
      <w:r>
        <w:t xml:space="preserve"> </w:t>
      </w:r>
      <w:r w:rsidRPr="009255ED">
        <w:lastRenderedPageBreak/>
        <w:t>souvisejícím</w:t>
      </w:r>
      <w:r>
        <w:t xml:space="preserve"> </w:t>
      </w:r>
      <w:r w:rsidRPr="009255ED">
        <w:t>majetku</w:t>
      </w:r>
      <w:r>
        <w:t xml:space="preserve"> </w:t>
      </w:r>
      <w:r w:rsidRPr="009255ED">
        <w:t>a</w:t>
      </w:r>
      <w:r>
        <w:t xml:space="preserve"> </w:t>
      </w:r>
      <w:r w:rsidRPr="009255ED">
        <w:t>o</w:t>
      </w:r>
      <w:r>
        <w:t xml:space="preserve"> </w:t>
      </w:r>
      <w:r w:rsidRPr="009255ED">
        <w:t>jejich</w:t>
      </w:r>
      <w:r>
        <w:t xml:space="preserve"> </w:t>
      </w:r>
      <w:r w:rsidRPr="00610560">
        <w:rPr>
          <w:strike/>
        </w:rPr>
        <w:t>stanovené ceně obvyklé</w:t>
      </w:r>
      <w:r w:rsidR="00610560" w:rsidRPr="00610560">
        <w:rPr>
          <w:b/>
        </w:rPr>
        <w:t xml:space="preserve"> </w:t>
      </w:r>
      <w:r w:rsidR="00610560" w:rsidRPr="00166AF2">
        <w:rPr>
          <w:b/>
        </w:rPr>
        <w:t>určení obvyklé hodnoty</w:t>
      </w:r>
      <w:r w:rsidRPr="009255ED">
        <w:t>.</w:t>
      </w:r>
      <w:r>
        <w:t xml:space="preserve"> </w:t>
      </w:r>
      <w:r w:rsidRPr="009255ED">
        <w:t>Státní</w:t>
      </w:r>
      <w:r>
        <w:t xml:space="preserve"> </w:t>
      </w:r>
      <w:r w:rsidRPr="009255ED">
        <w:t>pozemkový</w:t>
      </w:r>
      <w:r>
        <w:t xml:space="preserve"> </w:t>
      </w:r>
      <w:r w:rsidRPr="009255ED">
        <w:t>úřad</w:t>
      </w:r>
      <w:r>
        <w:t xml:space="preserve"> </w:t>
      </w:r>
      <w:r w:rsidRPr="009255ED">
        <w:t>může</w:t>
      </w:r>
      <w:r>
        <w:t xml:space="preserve"> </w:t>
      </w:r>
      <w:r w:rsidRPr="009255ED">
        <w:t>do</w:t>
      </w:r>
      <w:r>
        <w:t xml:space="preserve"> </w:t>
      </w:r>
      <w:r w:rsidRPr="009255ED">
        <w:t>doby</w:t>
      </w:r>
      <w:r>
        <w:t xml:space="preserve"> </w:t>
      </w:r>
      <w:r w:rsidRPr="009255ED">
        <w:t>uzavření</w:t>
      </w:r>
      <w:r>
        <w:t xml:space="preserve"> </w:t>
      </w:r>
      <w:r w:rsidRPr="009255ED">
        <w:t>kupní</w:t>
      </w:r>
      <w:r>
        <w:t xml:space="preserve"> </w:t>
      </w:r>
      <w:r w:rsidRPr="009255ED">
        <w:t>smlouvy</w:t>
      </w:r>
      <w:r>
        <w:t xml:space="preserve"> </w:t>
      </w:r>
      <w:r w:rsidRPr="009255ED">
        <w:t>veřejnou</w:t>
      </w:r>
      <w:r>
        <w:t xml:space="preserve"> </w:t>
      </w:r>
      <w:r w:rsidRPr="009255ED">
        <w:t>soutěž</w:t>
      </w:r>
      <w:r>
        <w:t xml:space="preserve"> </w:t>
      </w:r>
      <w:r w:rsidRPr="009255ED">
        <w:t>o</w:t>
      </w:r>
      <w:r>
        <w:t xml:space="preserve"> </w:t>
      </w:r>
      <w:r w:rsidRPr="009255ED">
        <w:t>nejvhodnější</w:t>
      </w:r>
      <w:r>
        <w:t xml:space="preserve"> </w:t>
      </w:r>
      <w:r w:rsidRPr="009255ED">
        <w:t>nabídku</w:t>
      </w:r>
      <w:r>
        <w:t xml:space="preserve"> </w:t>
      </w:r>
      <w:r w:rsidRPr="009255ED">
        <w:t>zrušit</w:t>
      </w:r>
      <w:r>
        <w:t xml:space="preserve"> </w:t>
      </w:r>
      <w:r w:rsidRPr="009255ED">
        <w:t>nebo</w:t>
      </w:r>
      <w:r>
        <w:t xml:space="preserve"> </w:t>
      </w:r>
      <w:r w:rsidRPr="009255ED">
        <w:t>pozměnit.</w:t>
      </w:r>
      <w:r>
        <w:t xml:space="preserve"> </w:t>
      </w:r>
      <w:r w:rsidRPr="009255ED">
        <w:t>Oznámení</w:t>
      </w:r>
      <w:r>
        <w:t xml:space="preserve"> </w:t>
      </w:r>
      <w:r w:rsidRPr="009255ED">
        <w:t>o</w:t>
      </w:r>
      <w:r>
        <w:t xml:space="preserve"> </w:t>
      </w:r>
      <w:r w:rsidRPr="009255ED">
        <w:t>této</w:t>
      </w:r>
      <w:r>
        <w:t xml:space="preserve"> </w:t>
      </w:r>
      <w:r w:rsidRPr="009255ED">
        <w:t>skutečnosti</w:t>
      </w:r>
      <w:r>
        <w:t xml:space="preserve"> </w:t>
      </w:r>
      <w:r w:rsidRPr="009255ED">
        <w:t>zveřejní</w:t>
      </w:r>
      <w:r>
        <w:t xml:space="preserve"> </w:t>
      </w:r>
      <w:r w:rsidRPr="009255ED">
        <w:t>na</w:t>
      </w:r>
      <w:r>
        <w:t xml:space="preserve"> </w:t>
      </w:r>
      <w:r w:rsidRPr="009255ED">
        <w:t>své</w:t>
      </w:r>
      <w:r>
        <w:t xml:space="preserve"> </w:t>
      </w:r>
      <w:r w:rsidRPr="009255ED">
        <w:t>úřední</w:t>
      </w:r>
      <w:r>
        <w:t xml:space="preserve"> </w:t>
      </w:r>
      <w:r w:rsidRPr="009255ED">
        <w:t>desce.</w:t>
      </w:r>
    </w:p>
    <w:p w14:paraId="16FF73CE" w14:textId="77777777" w:rsidR="001965B7" w:rsidRDefault="001965B7" w:rsidP="005D3450">
      <w:pPr>
        <w:pStyle w:val="Textparagrafu"/>
        <w:tabs>
          <w:tab w:val="left" w:pos="392"/>
          <w:tab w:val="left" w:pos="840"/>
        </w:tabs>
        <w:spacing w:before="120" w:after="120"/>
      </w:pPr>
      <w:r w:rsidRPr="009255ED">
        <w:t>(6)</w:t>
      </w:r>
      <w:r>
        <w:t xml:space="preserve"> </w:t>
      </w:r>
      <w:r w:rsidRPr="009255ED">
        <w:t>Pokud</w:t>
      </w:r>
      <w:r>
        <w:t xml:space="preserve"> </w:t>
      </w:r>
      <w:r w:rsidRPr="009255ED">
        <w:t>osoba,</w:t>
      </w:r>
      <w:r>
        <w:t xml:space="preserve"> </w:t>
      </w:r>
      <w:r w:rsidRPr="009255ED">
        <w:t>které</w:t>
      </w:r>
      <w:r>
        <w:t xml:space="preserve"> </w:t>
      </w:r>
      <w:r w:rsidRPr="009255ED">
        <w:t>bylo</w:t>
      </w:r>
      <w:r>
        <w:t xml:space="preserve"> </w:t>
      </w:r>
      <w:r w:rsidRPr="009255ED">
        <w:t>oznámeno</w:t>
      </w:r>
      <w:r>
        <w:t xml:space="preserve"> </w:t>
      </w:r>
      <w:r w:rsidRPr="009255ED">
        <w:t>přijetí</w:t>
      </w:r>
      <w:r>
        <w:t xml:space="preserve"> </w:t>
      </w:r>
      <w:r w:rsidRPr="009255ED">
        <w:t>návrhu</w:t>
      </w:r>
      <w:r>
        <w:t xml:space="preserve"> </w:t>
      </w:r>
      <w:r w:rsidRPr="009255ED">
        <w:t>na</w:t>
      </w:r>
      <w:r>
        <w:t xml:space="preserve"> </w:t>
      </w:r>
      <w:r w:rsidRPr="009255ED">
        <w:t>uzavření</w:t>
      </w:r>
      <w:r>
        <w:t xml:space="preserve"> </w:t>
      </w:r>
      <w:r w:rsidRPr="009255ED">
        <w:t>kupní</w:t>
      </w:r>
      <w:r>
        <w:t xml:space="preserve"> </w:t>
      </w:r>
      <w:r w:rsidRPr="009255ED">
        <w:t>smlouvy,</w:t>
      </w:r>
      <w:r>
        <w:t xml:space="preserve"> </w:t>
      </w:r>
      <w:r w:rsidRPr="009255ED">
        <w:t>nesplní</w:t>
      </w:r>
      <w:r>
        <w:t xml:space="preserve"> </w:t>
      </w:r>
      <w:r w:rsidRPr="009255ED">
        <w:t>podmínky</w:t>
      </w:r>
      <w:r>
        <w:t xml:space="preserve"> </w:t>
      </w:r>
      <w:r w:rsidRPr="009255ED">
        <w:t>stanovené</w:t>
      </w:r>
      <w:r>
        <w:t xml:space="preserve"> </w:t>
      </w:r>
      <w:r w:rsidRPr="009255ED">
        <w:t>v</w:t>
      </w:r>
      <w:r>
        <w:t xml:space="preserve"> </w:t>
      </w:r>
      <w:r w:rsidRPr="009255ED">
        <w:t>§</w:t>
      </w:r>
      <w:r>
        <w:t xml:space="preserve"> </w:t>
      </w:r>
      <w:r w:rsidRPr="009255ED">
        <w:t>16</w:t>
      </w:r>
      <w:r>
        <w:t xml:space="preserve"> </w:t>
      </w:r>
      <w:r w:rsidRPr="009255ED">
        <w:t>odst.</w:t>
      </w:r>
      <w:r>
        <w:t xml:space="preserve"> </w:t>
      </w:r>
      <w:r w:rsidRPr="009255ED">
        <w:t>3,</w:t>
      </w:r>
      <w:r>
        <w:t xml:space="preserve"> </w:t>
      </w:r>
      <w:r w:rsidRPr="009255ED">
        <w:t>oznámí</w:t>
      </w:r>
      <w:r>
        <w:t xml:space="preserve"> </w:t>
      </w:r>
      <w:r w:rsidRPr="009255ED">
        <w:t>Státní</w:t>
      </w:r>
      <w:r>
        <w:t xml:space="preserve"> </w:t>
      </w:r>
      <w:r w:rsidRPr="009255ED">
        <w:t>pozemkový</w:t>
      </w:r>
      <w:r>
        <w:t xml:space="preserve"> </w:t>
      </w:r>
      <w:r w:rsidRPr="009255ED">
        <w:t>úřad</w:t>
      </w:r>
      <w:r>
        <w:t xml:space="preserve"> </w:t>
      </w:r>
      <w:r w:rsidRPr="009255ED">
        <w:t>přijetí</w:t>
      </w:r>
      <w:r>
        <w:t xml:space="preserve"> </w:t>
      </w:r>
      <w:r w:rsidRPr="009255ED">
        <w:t>návrhu</w:t>
      </w:r>
      <w:r>
        <w:t xml:space="preserve"> </w:t>
      </w:r>
      <w:r w:rsidRPr="009255ED">
        <w:t>další</w:t>
      </w:r>
      <w:r>
        <w:t xml:space="preserve"> </w:t>
      </w:r>
      <w:r w:rsidRPr="009255ED">
        <w:t>osobě</w:t>
      </w:r>
      <w:r>
        <w:t xml:space="preserve"> </w:t>
      </w:r>
      <w:r w:rsidRPr="009255ED">
        <w:t>v</w:t>
      </w:r>
      <w:r>
        <w:t xml:space="preserve"> </w:t>
      </w:r>
      <w:r w:rsidRPr="009255ED">
        <w:t>pořadí.</w:t>
      </w:r>
    </w:p>
    <w:p w14:paraId="610A52DE" w14:textId="2D8122E2" w:rsidR="001965B7" w:rsidRPr="009255ED" w:rsidRDefault="001965B7" w:rsidP="005D3450">
      <w:pPr>
        <w:pStyle w:val="Textparagrafu"/>
        <w:tabs>
          <w:tab w:val="left" w:pos="392"/>
          <w:tab w:val="left" w:pos="840"/>
        </w:tabs>
        <w:spacing w:before="120" w:after="120"/>
      </w:pPr>
      <w:r w:rsidRPr="009255ED">
        <w:t>(7)</w:t>
      </w:r>
      <w:r>
        <w:t xml:space="preserve"> </w:t>
      </w:r>
      <w:r w:rsidRPr="009255ED">
        <w:t>Dosáhne-li</w:t>
      </w:r>
      <w:r>
        <w:t xml:space="preserve"> </w:t>
      </w:r>
      <w:r w:rsidRPr="009255ED">
        <w:t>zveřejněná</w:t>
      </w:r>
      <w:r>
        <w:t xml:space="preserve"> </w:t>
      </w:r>
      <w:r w:rsidRPr="00480E8A">
        <w:rPr>
          <w:strike/>
        </w:rPr>
        <w:t>cena obvyklá</w:t>
      </w:r>
      <w:r>
        <w:t xml:space="preserve"> </w:t>
      </w:r>
      <w:proofErr w:type="spellStart"/>
      <w:r w:rsidR="00480E8A">
        <w:rPr>
          <w:b/>
        </w:rPr>
        <w:t>obvyklá</w:t>
      </w:r>
      <w:proofErr w:type="spellEnd"/>
      <w:r w:rsidR="00480E8A">
        <w:rPr>
          <w:b/>
        </w:rPr>
        <w:t xml:space="preserve"> hodnota </w:t>
      </w:r>
      <w:r w:rsidRPr="009255ED">
        <w:t>prodávané</w:t>
      </w:r>
      <w:r>
        <w:t xml:space="preserve"> </w:t>
      </w:r>
      <w:r w:rsidRPr="009255ED">
        <w:t>nemovité</w:t>
      </w:r>
      <w:r>
        <w:t xml:space="preserve"> </w:t>
      </w:r>
      <w:r w:rsidRPr="009255ED">
        <w:t>věci</w:t>
      </w:r>
      <w:r>
        <w:t xml:space="preserve"> </w:t>
      </w:r>
      <w:r w:rsidRPr="009255ED">
        <w:t>nebo</w:t>
      </w:r>
      <w:r>
        <w:t xml:space="preserve"> </w:t>
      </w:r>
      <w:r w:rsidRPr="009255ED">
        <w:t>souvisejícího</w:t>
      </w:r>
      <w:r>
        <w:t xml:space="preserve"> </w:t>
      </w:r>
      <w:r w:rsidRPr="009255ED">
        <w:t>majetku</w:t>
      </w:r>
      <w:r>
        <w:t xml:space="preserve"> </w:t>
      </w:r>
      <w:r w:rsidRPr="009255ED">
        <w:t>výše</w:t>
      </w:r>
      <w:r>
        <w:t xml:space="preserve"> </w:t>
      </w:r>
      <w:r w:rsidRPr="009255ED">
        <w:t>alespoň</w:t>
      </w:r>
      <w:r>
        <w:t xml:space="preserve"> </w:t>
      </w:r>
      <w:r w:rsidRPr="009255ED">
        <w:t>20</w:t>
      </w:r>
      <w:r>
        <w:t xml:space="preserve"> </w:t>
      </w:r>
      <w:r w:rsidRPr="009255ED">
        <w:t>000</w:t>
      </w:r>
      <w:r>
        <w:t xml:space="preserve"> </w:t>
      </w:r>
      <w:r w:rsidRPr="009255ED">
        <w:t>Kč,</w:t>
      </w:r>
      <w:r>
        <w:t xml:space="preserve"> </w:t>
      </w:r>
      <w:r w:rsidRPr="009255ED">
        <w:t>stanoví</w:t>
      </w:r>
      <w:r>
        <w:t xml:space="preserve"> </w:t>
      </w:r>
      <w:r w:rsidRPr="009255ED">
        <w:t>Státní</w:t>
      </w:r>
      <w:r>
        <w:t xml:space="preserve"> </w:t>
      </w:r>
      <w:r w:rsidRPr="009255ED">
        <w:t>pozemkový</w:t>
      </w:r>
      <w:r>
        <w:t xml:space="preserve"> </w:t>
      </w:r>
      <w:r w:rsidRPr="009255ED">
        <w:t>úřad</w:t>
      </w:r>
      <w:r>
        <w:t xml:space="preserve"> </w:t>
      </w:r>
      <w:r w:rsidRPr="009255ED">
        <w:t>pro</w:t>
      </w:r>
      <w:r>
        <w:t xml:space="preserve"> </w:t>
      </w:r>
      <w:r w:rsidRPr="009255ED">
        <w:t>účast</w:t>
      </w:r>
      <w:r>
        <w:t xml:space="preserve"> </w:t>
      </w:r>
      <w:r w:rsidRPr="009255ED">
        <w:t>ve</w:t>
      </w:r>
      <w:r>
        <w:t xml:space="preserve"> </w:t>
      </w:r>
      <w:r w:rsidRPr="009255ED">
        <w:t>veřejné</w:t>
      </w:r>
      <w:r>
        <w:t xml:space="preserve"> </w:t>
      </w:r>
      <w:r w:rsidRPr="009255ED">
        <w:t>soutěži</w:t>
      </w:r>
      <w:r>
        <w:t xml:space="preserve"> </w:t>
      </w:r>
      <w:r w:rsidRPr="009255ED">
        <w:t>o</w:t>
      </w:r>
      <w:r>
        <w:t xml:space="preserve"> </w:t>
      </w:r>
      <w:r w:rsidRPr="009255ED">
        <w:t>nejvhodnější</w:t>
      </w:r>
      <w:r>
        <w:t xml:space="preserve"> </w:t>
      </w:r>
      <w:r w:rsidRPr="009255ED">
        <w:t>nabídku</w:t>
      </w:r>
      <w:r>
        <w:t xml:space="preserve"> </w:t>
      </w:r>
      <w:r w:rsidRPr="009255ED">
        <w:t>kauci</w:t>
      </w:r>
      <w:r>
        <w:t xml:space="preserve"> </w:t>
      </w:r>
      <w:r w:rsidRPr="009255ED">
        <w:t>ve</w:t>
      </w:r>
      <w:r>
        <w:t xml:space="preserve"> </w:t>
      </w:r>
      <w:r w:rsidRPr="009255ED">
        <w:t>výši</w:t>
      </w:r>
      <w:r>
        <w:t xml:space="preserve"> </w:t>
      </w:r>
      <w:r w:rsidRPr="009255ED">
        <w:t>5</w:t>
      </w:r>
      <w:r>
        <w:t xml:space="preserve"> </w:t>
      </w:r>
      <w:r w:rsidRPr="009255ED">
        <w:t>%</w:t>
      </w:r>
      <w:r>
        <w:t xml:space="preserve"> </w:t>
      </w:r>
      <w:r w:rsidRPr="009255ED">
        <w:t>z</w:t>
      </w:r>
      <w:r>
        <w:t xml:space="preserve"> </w:t>
      </w:r>
      <w:r w:rsidRPr="009255ED">
        <w:t>této</w:t>
      </w:r>
      <w:r>
        <w:t xml:space="preserve"> </w:t>
      </w:r>
      <w:r w:rsidRPr="009255ED">
        <w:t>ceny.</w:t>
      </w:r>
      <w:r>
        <w:t xml:space="preserve"> </w:t>
      </w:r>
      <w:r w:rsidRPr="009255ED">
        <w:t>Tomu,</w:t>
      </w:r>
      <w:r>
        <w:t xml:space="preserve"> </w:t>
      </w:r>
      <w:r w:rsidRPr="009255ED">
        <w:t>kdo</w:t>
      </w:r>
      <w:r>
        <w:t xml:space="preserve"> </w:t>
      </w:r>
      <w:r w:rsidRPr="009255ED">
        <w:t>má</w:t>
      </w:r>
      <w:r>
        <w:t xml:space="preserve"> </w:t>
      </w:r>
      <w:r w:rsidRPr="009255ED">
        <w:t>právo</w:t>
      </w:r>
      <w:r>
        <w:t xml:space="preserve"> </w:t>
      </w:r>
      <w:r w:rsidRPr="009255ED">
        <w:t>na</w:t>
      </w:r>
      <w:r>
        <w:t xml:space="preserve"> </w:t>
      </w:r>
      <w:r w:rsidRPr="009255ED">
        <w:t>uzavření</w:t>
      </w:r>
      <w:r>
        <w:t xml:space="preserve"> </w:t>
      </w:r>
      <w:r w:rsidRPr="009255ED">
        <w:t>kupní</w:t>
      </w:r>
      <w:r>
        <w:t xml:space="preserve"> </w:t>
      </w:r>
      <w:r w:rsidRPr="009255ED">
        <w:t>smlouvy,</w:t>
      </w:r>
      <w:r>
        <w:t xml:space="preserve"> </w:t>
      </w:r>
      <w:r w:rsidRPr="009255ED">
        <w:t>se</w:t>
      </w:r>
      <w:r>
        <w:t xml:space="preserve"> </w:t>
      </w:r>
      <w:r w:rsidRPr="009255ED">
        <w:t>v</w:t>
      </w:r>
      <w:r>
        <w:t xml:space="preserve"> </w:t>
      </w:r>
      <w:r w:rsidRPr="009255ED">
        <w:t>případě</w:t>
      </w:r>
      <w:r>
        <w:t xml:space="preserve"> </w:t>
      </w:r>
      <w:r w:rsidRPr="009255ED">
        <w:t>jejího</w:t>
      </w:r>
      <w:r>
        <w:t xml:space="preserve"> </w:t>
      </w:r>
      <w:r w:rsidRPr="009255ED">
        <w:t>uzavření</w:t>
      </w:r>
      <w:r>
        <w:t xml:space="preserve"> </w:t>
      </w:r>
      <w:r w:rsidRPr="009255ED">
        <w:t>započte</w:t>
      </w:r>
      <w:r>
        <w:t xml:space="preserve"> </w:t>
      </w:r>
      <w:r w:rsidRPr="009255ED">
        <w:t>zaplacená</w:t>
      </w:r>
      <w:r>
        <w:t xml:space="preserve"> </w:t>
      </w:r>
      <w:r w:rsidRPr="009255ED">
        <w:t>kauce</w:t>
      </w:r>
      <w:r>
        <w:t xml:space="preserve"> </w:t>
      </w:r>
      <w:r w:rsidRPr="009255ED">
        <w:t>na</w:t>
      </w:r>
      <w:r>
        <w:t xml:space="preserve"> </w:t>
      </w:r>
      <w:r w:rsidRPr="009255ED">
        <w:t>úhradu</w:t>
      </w:r>
      <w:r>
        <w:t xml:space="preserve"> </w:t>
      </w:r>
      <w:r w:rsidRPr="009255ED">
        <w:t>kupní</w:t>
      </w:r>
      <w:r>
        <w:t xml:space="preserve"> </w:t>
      </w:r>
      <w:r w:rsidRPr="009255ED">
        <w:t>ceny.</w:t>
      </w:r>
      <w:r>
        <w:t xml:space="preserve"> </w:t>
      </w:r>
      <w:r w:rsidRPr="009255ED">
        <w:t>Nevyužil-li</w:t>
      </w:r>
      <w:r>
        <w:t xml:space="preserve"> </w:t>
      </w:r>
      <w:r w:rsidRPr="009255ED">
        <w:t>ten,</w:t>
      </w:r>
      <w:r>
        <w:t xml:space="preserve"> </w:t>
      </w:r>
      <w:r w:rsidRPr="009255ED">
        <w:t>kdo</w:t>
      </w:r>
      <w:r>
        <w:t xml:space="preserve"> </w:t>
      </w:r>
      <w:r w:rsidRPr="009255ED">
        <w:t>měl</w:t>
      </w:r>
      <w:r>
        <w:t xml:space="preserve"> </w:t>
      </w:r>
      <w:r w:rsidRPr="009255ED">
        <w:t>právo</w:t>
      </w:r>
      <w:r>
        <w:t xml:space="preserve"> </w:t>
      </w:r>
      <w:r w:rsidRPr="009255ED">
        <w:t>na</w:t>
      </w:r>
      <w:r>
        <w:t xml:space="preserve"> </w:t>
      </w:r>
      <w:r w:rsidRPr="009255ED">
        <w:t>uzavření</w:t>
      </w:r>
      <w:r>
        <w:t xml:space="preserve"> </w:t>
      </w:r>
      <w:r w:rsidRPr="009255ED">
        <w:t>kupní</w:t>
      </w:r>
      <w:r>
        <w:t xml:space="preserve"> </w:t>
      </w:r>
      <w:r w:rsidRPr="009255ED">
        <w:t>smlouvy,</w:t>
      </w:r>
      <w:r>
        <w:t xml:space="preserve"> </w:t>
      </w:r>
      <w:r w:rsidRPr="009255ED">
        <w:t>toto</w:t>
      </w:r>
      <w:r>
        <w:t xml:space="preserve"> </w:t>
      </w:r>
      <w:r w:rsidRPr="009255ED">
        <w:t>právo</w:t>
      </w:r>
      <w:r>
        <w:t xml:space="preserve"> </w:t>
      </w:r>
      <w:r w:rsidRPr="009255ED">
        <w:t>ve</w:t>
      </w:r>
      <w:r>
        <w:t xml:space="preserve"> </w:t>
      </w:r>
      <w:r w:rsidRPr="009255ED">
        <w:t>lhůtě</w:t>
      </w:r>
      <w:r>
        <w:t xml:space="preserve"> </w:t>
      </w:r>
      <w:r w:rsidRPr="009255ED">
        <w:t>uvedené</w:t>
      </w:r>
      <w:r>
        <w:t xml:space="preserve"> </w:t>
      </w:r>
      <w:r w:rsidRPr="009255ED">
        <w:t>v</w:t>
      </w:r>
      <w:r>
        <w:t xml:space="preserve"> </w:t>
      </w:r>
      <w:r w:rsidRPr="009255ED">
        <w:t>§</w:t>
      </w:r>
      <w:r>
        <w:t xml:space="preserve"> </w:t>
      </w:r>
      <w:r w:rsidRPr="009255ED">
        <w:t>16</w:t>
      </w:r>
      <w:r>
        <w:t xml:space="preserve"> </w:t>
      </w:r>
      <w:r w:rsidRPr="009255ED">
        <w:t>odst.</w:t>
      </w:r>
      <w:r>
        <w:t xml:space="preserve"> </w:t>
      </w:r>
      <w:r w:rsidRPr="009255ED">
        <w:t>3,</w:t>
      </w:r>
      <w:r>
        <w:t xml:space="preserve"> </w:t>
      </w:r>
      <w:r w:rsidRPr="009255ED">
        <w:t>propadá</w:t>
      </w:r>
      <w:r>
        <w:t xml:space="preserve"> </w:t>
      </w:r>
      <w:r w:rsidRPr="009255ED">
        <w:t>zaplacená</w:t>
      </w:r>
      <w:r>
        <w:t xml:space="preserve"> </w:t>
      </w:r>
      <w:r w:rsidRPr="009255ED">
        <w:t>kauce</w:t>
      </w:r>
      <w:r>
        <w:t xml:space="preserve"> </w:t>
      </w:r>
      <w:r w:rsidRPr="009255ED">
        <w:t>státu.</w:t>
      </w:r>
      <w:r>
        <w:t xml:space="preserve"> </w:t>
      </w:r>
      <w:r w:rsidRPr="009255ED">
        <w:t>V</w:t>
      </w:r>
      <w:r>
        <w:t xml:space="preserve"> </w:t>
      </w:r>
      <w:r w:rsidRPr="009255ED">
        <w:t>případě</w:t>
      </w:r>
      <w:r>
        <w:t xml:space="preserve"> </w:t>
      </w:r>
      <w:r w:rsidRPr="009255ED">
        <w:t>ukončení</w:t>
      </w:r>
      <w:r>
        <w:t xml:space="preserve"> </w:t>
      </w:r>
      <w:r w:rsidRPr="009255ED">
        <w:t>veřejné</w:t>
      </w:r>
      <w:r>
        <w:t xml:space="preserve"> </w:t>
      </w:r>
      <w:r w:rsidRPr="009255ED">
        <w:t>soutěže</w:t>
      </w:r>
      <w:r>
        <w:t xml:space="preserve"> </w:t>
      </w:r>
      <w:r w:rsidRPr="009255ED">
        <w:t>uzavřením</w:t>
      </w:r>
      <w:r>
        <w:t xml:space="preserve"> </w:t>
      </w:r>
      <w:r w:rsidRPr="009255ED">
        <w:t>kupní</w:t>
      </w:r>
      <w:r>
        <w:t xml:space="preserve"> </w:t>
      </w:r>
      <w:r w:rsidRPr="009255ED">
        <w:t>smlouvy</w:t>
      </w:r>
      <w:r>
        <w:t xml:space="preserve"> </w:t>
      </w:r>
      <w:r w:rsidRPr="009255ED">
        <w:t>nebo</w:t>
      </w:r>
      <w:r>
        <w:t xml:space="preserve"> </w:t>
      </w:r>
      <w:r w:rsidRPr="009255ED">
        <w:t>zrušení</w:t>
      </w:r>
      <w:r>
        <w:t xml:space="preserve"> </w:t>
      </w:r>
      <w:r w:rsidRPr="009255ED">
        <w:t>veřejné</w:t>
      </w:r>
      <w:r>
        <w:t xml:space="preserve"> </w:t>
      </w:r>
      <w:r w:rsidRPr="009255ED">
        <w:t>soutěže</w:t>
      </w:r>
      <w:r>
        <w:t xml:space="preserve"> </w:t>
      </w:r>
      <w:r w:rsidRPr="009255ED">
        <w:t>vrátí</w:t>
      </w:r>
      <w:r>
        <w:t xml:space="preserve"> </w:t>
      </w:r>
      <w:r w:rsidRPr="009255ED">
        <w:t>Státní</w:t>
      </w:r>
      <w:r>
        <w:t xml:space="preserve"> </w:t>
      </w:r>
      <w:r w:rsidRPr="009255ED">
        <w:t>pozemkový</w:t>
      </w:r>
      <w:r>
        <w:t xml:space="preserve"> </w:t>
      </w:r>
      <w:r w:rsidRPr="009255ED">
        <w:t>úřad</w:t>
      </w:r>
      <w:r>
        <w:t xml:space="preserve"> </w:t>
      </w:r>
      <w:r w:rsidRPr="009255ED">
        <w:t>zaplacenou</w:t>
      </w:r>
      <w:r>
        <w:t xml:space="preserve"> </w:t>
      </w:r>
      <w:r w:rsidRPr="009255ED">
        <w:t>kauci</w:t>
      </w:r>
      <w:r>
        <w:t xml:space="preserve"> </w:t>
      </w:r>
      <w:r w:rsidRPr="009255ED">
        <w:t>všem</w:t>
      </w:r>
      <w:r>
        <w:t xml:space="preserve"> </w:t>
      </w:r>
      <w:r w:rsidRPr="009255ED">
        <w:t>ostatním</w:t>
      </w:r>
      <w:r>
        <w:t xml:space="preserve"> </w:t>
      </w:r>
      <w:r w:rsidRPr="009255ED">
        <w:t>účastníkům</w:t>
      </w:r>
      <w:r>
        <w:t xml:space="preserve"> </w:t>
      </w:r>
      <w:r w:rsidRPr="009255ED">
        <w:t>soutěže,</w:t>
      </w:r>
      <w:r>
        <w:t xml:space="preserve"> </w:t>
      </w:r>
      <w:r w:rsidRPr="009255ED">
        <w:t>a</w:t>
      </w:r>
      <w:r>
        <w:t xml:space="preserve"> </w:t>
      </w:r>
      <w:r w:rsidRPr="009255ED">
        <w:t>to</w:t>
      </w:r>
      <w:r>
        <w:t xml:space="preserve"> </w:t>
      </w:r>
      <w:r w:rsidRPr="009255ED">
        <w:t>nejpozději</w:t>
      </w:r>
      <w:r>
        <w:t xml:space="preserve"> </w:t>
      </w:r>
      <w:r w:rsidRPr="009255ED">
        <w:t>do</w:t>
      </w:r>
      <w:r>
        <w:t xml:space="preserve"> </w:t>
      </w:r>
      <w:r w:rsidRPr="009255ED">
        <w:t>10</w:t>
      </w:r>
      <w:r>
        <w:t xml:space="preserve"> </w:t>
      </w:r>
      <w:r w:rsidRPr="009255ED">
        <w:t>dnů</w:t>
      </w:r>
      <w:r>
        <w:t xml:space="preserve"> </w:t>
      </w:r>
      <w:r w:rsidRPr="009255ED">
        <w:t>ode</w:t>
      </w:r>
      <w:r>
        <w:t xml:space="preserve"> </w:t>
      </w:r>
      <w:r w:rsidRPr="009255ED">
        <w:t>dne</w:t>
      </w:r>
      <w:r>
        <w:t xml:space="preserve"> </w:t>
      </w:r>
      <w:r w:rsidRPr="009255ED">
        <w:t>uzavření</w:t>
      </w:r>
      <w:r>
        <w:t xml:space="preserve"> </w:t>
      </w:r>
      <w:r w:rsidRPr="009255ED">
        <w:t>kupní</w:t>
      </w:r>
      <w:r>
        <w:t xml:space="preserve"> </w:t>
      </w:r>
      <w:r w:rsidRPr="009255ED">
        <w:t>smlouvy</w:t>
      </w:r>
      <w:r>
        <w:t xml:space="preserve"> </w:t>
      </w:r>
      <w:r w:rsidRPr="009255ED">
        <w:t>nebo</w:t>
      </w:r>
      <w:r>
        <w:t xml:space="preserve"> </w:t>
      </w:r>
      <w:r w:rsidRPr="009255ED">
        <w:t>zrušení</w:t>
      </w:r>
      <w:r>
        <w:t xml:space="preserve"> </w:t>
      </w:r>
      <w:r w:rsidRPr="009255ED">
        <w:t>soutěže.</w:t>
      </w:r>
    </w:p>
    <w:p w14:paraId="7E1926CA" w14:textId="77777777" w:rsidR="001965B7" w:rsidRDefault="001965B7" w:rsidP="0080777D">
      <w:pPr>
        <w:pStyle w:val="Textparagrafu"/>
        <w:tabs>
          <w:tab w:val="left" w:pos="392"/>
          <w:tab w:val="left" w:pos="840"/>
        </w:tabs>
        <w:spacing w:after="120"/>
        <w:ind w:firstLine="0"/>
        <w:jc w:val="center"/>
      </w:pPr>
      <w:r w:rsidRPr="009255ED">
        <w:t>§</w:t>
      </w:r>
      <w:r>
        <w:t xml:space="preserve"> </w:t>
      </w:r>
      <w:r w:rsidRPr="009255ED">
        <w:t>14</w:t>
      </w:r>
    </w:p>
    <w:p w14:paraId="25F20114" w14:textId="77777777" w:rsidR="001965B7" w:rsidRPr="0080777D" w:rsidRDefault="001965B7" w:rsidP="0080777D">
      <w:pPr>
        <w:pStyle w:val="Textparagrafu"/>
        <w:tabs>
          <w:tab w:val="left" w:pos="392"/>
          <w:tab w:val="left" w:pos="840"/>
        </w:tabs>
        <w:spacing w:after="120"/>
        <w:ind w:firstLine="0"/>
        <w:jc w:val="center"/>
        <w:rPr>
          <w:b/>
        </w:rPr>
      </w:pPr>
      <w:r w:rsidRPr="0080777D">
        <w:rPr>
          <w:b/>
        </w:rPr>
        <w:t>Kupní cena a její úhrada</w:t>
      </w:r>
    </w:p>
    <w:p w14:paraId="5020331B" w14:textId="5ADCC6A5" w:rsidR="001965B7" w:rsidRDefault="001965B7" w:rsidP="005D3450">
      <w:pPr>
        <w:pStyle w:val="Textparagrafu"/>
        <w:tabs>
          <w:tab w:val="left" w:pos="392"/>
          <w:tab w:val="left" w:pos="840"/>
        </w:tabs>
        <w:spacing w:before="120" w:after="120"/>
      </w:pPr>
      <w:r w:rsidRPr="009255ED">
        <w:t>(1)</w:t>
      </w:r>
      <w:r>
        <w:t xml:space="preserve"> </w:t>
      </w:r>
      <w:r w:rsidRPr="009255ED">
        <w:t>Pokud</w:t>
      </w:r>
      <w:r>
        <w:t xml:space="preserve"> </w:t>
      </w:r>
      <w:r w:rsidRPr="009255ED">
        <w:t>tento</w:t>
      </w:r>
      <w:r>
        <w:t xml:space="preserve"> </w:t>
      </w:r>
      <w:r w:rsidRPr="009255ED">
        <w:t>zákon</w:t>
      </w:r>
      <w:r>
        <w:t xml:space="preserve"> </w:t>
      </w:r>
      <w:r w:rsidRPr="009255ED">
        <w:t>nestanoví</w:t>
      </w:r>
      <w:r>
        <w:t xml:space="preserve"> </w:t>
      </w:r>
      <w:r w:rsidRPr="009255ED">
        <w:t>jinak,</w:t>
      </w:r>
      <w:r>
        <w:t xml:space="preserve"> </w:t>
      </w:r>
      <w:r w:rsidRPr="009255ED">
        <w:t>převádějí</w:t>
      </w:r>
      <w:r>
        <w:t xml:space="preserve"> </w:t>
      </w:r>
      <w:r w:rsidRPr="009255ED">
        <w:t>se</w:t>
      </w:r>
      <w:r>
        <w:t xml:space="preserve"> </w:t>
      </w:r>
      <w:r w:rsidRPr="009255ED">
        <w:t>nemovité</w:t>
      </w:r>
      <w:r>
        <w:t xml:space="preserve"> </w:t>
      </w:r>
      <w:r w:rsidRPr="009255ED">
        <w:t>věci</w:t>
      </w:r>
      <w:r>
        <w:t xml:space="preserve"> </w:t>
      </w:r>
      <w:r w:rsidRPr="009255ED">
        <w:t>a</w:t>
      </w:r>
      <w:r>
        <w:t xml:space="preserve"> </w:t>
      </w:r>
      <w:r w:rsidRPr="009255ED">
        <w:t>související</w:t>
      </w:r>
      <w:r>
        <w:t xml:space="preserve"> </w:t>
      </w:r>
      <w:r w:rsidRPr="009255ED">
        <w:t>majetek,</w:t>
      </w:r>
      <w:r>
        <w:t xml:space="preserve"> </w:t>
      </w:r>
      <w:r w:rsidRPr="009255ED">
        <w:t>s</w:t>
      </w:r>
      <w:r>
        <w:t xml:space="preserve"> </w:t>
      </w:r>
      <w:r w:rsidRPr="009255ED">
        <w:t>nimiž</w:t>
      </w:r>
      <w:r>
        <w:t xml:space="preserve"> </w:t>
      </w:r>
      <w:r w:rsidRPr="009255ED">
        <w:t>je</w:t>
      </w:r>
      <w:r>
        <w:t xml:space="preserve"> </w:t>
      </w:r>
      <w:r w:rsidRPr="009255ED">
        <w:t>Státní</w:t>
      </w:r>
      <w:r>
        <w:t xml:space="preserve"> </w:t>
      </w:r>
      <w:r w:rsidRPr="009255ED">
        <w:t>pozemkový</w:t>
      </w:r>
      <w:r>
        <w:t xml:space="preserve"> </w:t>
      </w:r>
      <w:r w:rsidRPr="009255ED">
        <w:t>úřad</w:t>
      </w:r>
      <w:r>
        <w:t xml:space="preserve"> </w:t>
      </w:r>
      <w:r w:rsidRPr="009255ED">
        <w:t>příslušný</w:t>
      </w:r>
      <w:r>
        <w:t xml:space="preserve"> </w:t>
      </w:r>
      <w:r w:rsidRPr="009255ED">
        <w:t>hospodařit,</w:t>
      </w:r>
      <w:r>
        <w:t xml:space="preserve"> </w:t>
      </w:r>
      <w:r w:rsidRPr="009255ED">
        <w:t>úplatně,</w:t>
      </w:r>
      <w:r>
        <w:t xml:space="preserve"> </w:t>
      </w:r>
      <w:r w:rsidRPr="009255ED">
        <w:t>a</w:t>
      </w:r>
      <w:r>
        <w:t xml:space="preserve"> </w:t>
      </w:r>
      <w:r w:rsidRPr="009255ED">
        <w:t>to</w:t>
      </w:r>
      <w:r>
        <w:t xml:space="preserve"> </w:t>
      </w:r>
      <w:r w:rsidRPr="009255ED">
        <w:t>za</w:t>
      </w:r>
      <w:r>
        <w:t xml:space="preserve"> </w:t>
      </w:r>
      <w:r w:rsidRPr="000B6CF8">
        <w:rPr>
          <w:strike/>
        </w:rPr>
        <w:t xml:space="preserve">cenu </w:t>
      </w:r>
      <w:r w:rsidR="0080777D" w:rsidRPr="000B6CF8">
        <w:rPr>
          <w:strike/>
        </w:rPr>
        <w:t>obvyklou</w:t>
      </w:r>
      <w:r w:rsidR="004749D9" w:rsidRPr="000B6CF8">
        <w:rPr>
          <w:strike/>
          <w:vertAlign w:val="superscript"/>
        </w:rPr>
        <w:t>38)</w:t>
      </w:r>
      <w:r w:rsidR="000B6CF8">
        <w:t xml:space="preserve"> </w:t>
      </w:r>
      <w:r w:rsidR="000B6CF8">
        <w:rPr>
          <w:b/>
        </w:rPr>
        <w:t>obvyklou hodnotu</w:t>
      </w:r>
      <w:r w:rsidRPr="009255ED">
        <w:t>.</w:t>
      </w:r>
    </w:p>
    <w:p w14:paraId="7E5580A6" w14:textId="77274A35" w:rsidR="001965B7" w:rsidRDefault="001965B7" w:rsidP="005D3450">
      <w:pPr>
        <w:pStyle w:val="Textparagrafu"/>
        <w:tabs>
          <w:tab w:val="left" w:pos="392"/>
          <w:tab w:val="left" w:pos="840"/>
        </w:tabs>
        <w:spacing w:before="120" w:after="120"/>
      </w:pPr>
      <w:r w:rsidRPr="009255ED">
        <w:t>(2)</w:t>
      </w:r>
      <w:r>
        <w:t xml:space="preserve"> </w:t>
      </w:r>
      <w:r w:rsidRPr="009255ED">
        <w:t>Kupní</w:t>
      </w:r>
      <w:r>
        <w:t xml:space="preserve"> </w:t>
      </w:r>
      <w:r w:rsidRPr="009255ED">
        <w:t>cena</w:t>
      </w:r>
      <w:r>
        <w:t xml:space="preserve"> </w:t>
      </w:r>
      <w:r w:rsidRPr="009255ED">
        <w:t>musí</w:t>
      </w:r>
      <w:r>
        <w:t xml:space="preserve"> </w:t>
      </w:r>
      <w:r w:rsidRPr="009255ED">
        <w:t>být</w:t>
      </w:r>
      <w:r>
        <w:t xml:space="preserve"> </w:t>
      </w:r>
      <w:r w:rsidRPr="009255ED">
        <w:t>uhrazena</w:t>
      </w:r>
      <w:r>
        <w:t xml:space="preserve"> </w:t>
      </w:r>
      <w:r w:rsidRPr="009255ED">
        <w:t>do</w:t>
      </w:r>
      <w:r>
        <w:t xml:space="preserve"> </w:t>
      </w:r>
      <w:r w:rsidRPr="009255ED">
        <w:t>60</w:t>
      </w:r>
      <w:r>
        <w:t xml:space="preserve"> </w:t>
      </w:r>
      <w:r w:rsidRPr="009255ED">
        <w:t>dnů</w:t>
      </w:r>
      <w:r>
        <w:t xml:space="preserve"> </w:t>
      </w:r>
      <w:r w:rsidRPr="009255ED">
        <w:t>ode</w:t>
      </w:r>
      <w:r>
        <w:t xml:space="preserve"> </w:t>
      </w:r>
      <w:r w:rsidRPr="009255ED">
        <w:t>dne</w:t>
      </w:r>
      <w:r>
        <w:t xml:space="preserve"> </w:t>
      </w:r>
      <w:r w:rsidRPr="009255ED">
        <w:t>nabytí</w:t>
      </w:r>
      <w:r>
        <w:t xml:space="preserve"> </w:t>
      </w:r>
      <w:r w:rsidRPr="009255ED">
        <w:t>účinnosti</w:t>
      </w:r>
      <w:r>
        <w:t xml:space="preserve"> </w:t>
      </w:r>
      <w:r w:rsidRPr="009255ED">
        <w:t>kupní</w:t>
      </w:r>
      <w:r>
        <w:t xml:space="preserve"> </w:t>
      </w:r>
      <w:r w:rsidRPr="009255ED">
        <w:t>smlouvy.</w:t>
      </w:r>
      <w:r>
        <w:t xml:space="preserve"> </w:t>
      </w:r>
      <w:r w:rsidRPr="009255ED">
        <w:t>Kupní</w:t>
      </w:r>
      <w:r>
        <w:t xml:space="preserve"> </w:t>
      </w:r>
      <w:r w:rsidRPr="009255ED">
        <w:t>smlouva</w:t>
      </w:r>
      <w:r>
        <w:t xml:space="preserve"> </w:t>
      </w:r>
      <w:r w:rsidRPr="009255ED">
        <w:t>nabývá</w:t>
      </w:r>
      <w:r>
        <w:t xml:space="preserve"> </w:t>
      </w:r>
      <w:r w:rsidRPr="009255ED">
        <w:t>účinnosti</w:t>
      </w:r>
      <w:r>
        <w:t xml:space="preserve"> </w:t>
      </w:r>
      <w:r w:rsidRPr="009255ED">
        <w:t>dnem</w:t>
      </w:r>
      <w:r>
        <w:t xml:space="preserve"> </w:t>
      </w:r>
      <w:r w:rsidRPr="009255ED">
        <w:t>jejího</w:t>
      </w:r>
      <w:r>
        <w:t xml:space="preserve"> </w:t>
      </w:r>
      <w:r w:rsidRPr="009255ED">
        <w:t>podpisu,</w:t>
      </w:r>
      <w:r>
        <w:t xml:space="preserve"> </w:t>
      </w:r>
      <w:r w:rsidRPr="009255ED">
        <w:t>pokud</w:t>
      </w:r>
      <w:r>
        <w:t xml:space="preserve"> </w:t>
      </w:r>
      <w:r w:rsidRPr="009255ED">
        <w:t>není</w:t>
      </w:r>
      <w:r>
        <w:t xml:space="preserve"> </w:t>
      </w:r>
      <w:r w:rsidRPr="009255ED">
        <w:t>jiným</w:t>
      </w:r>
      <w:r>
        <w:t xml:space="preserve"> </w:t>
      </w:r>
      <w:r w:rsidRPr="009255ED">
        <w:t>právním</w:t>
      </w:r>
      <w:r>
        <w:t xml:space="preserve"> </w:t>
      </w:r>
      <w:r w:rsidR="0080777D">
        <w:t>předpisem</w:t>
      </w:r>
      <w:r w:rsidR="0080777D">
        <w:rPr>
          <w:rStyle w:val="Znakapoznpodarou"/>
        </w:rPr>
        <w:footnoteReference w:customMarkFollows="1" w:id="543"/>
        <w:t>40)</w:t>
      </w:r>
      <w:r>
        <w:t xml:space="preserve"> </w:t>
      </w:r>
      <w:r w:rsidRPr="009255ED">
        <w:t>stanoveno</w:t>
      </w:r>
      <w:r>
        <w:t xml:space="preserve"> </w:t>
      </w:r>
      <w:r w:rsidRPr="009255ED">
        <w:t>jinak.</w:t>
      </w:r>
    </w:p>
    <w:p w14:paraId="31356B73" w14:textId="77777777" w:rsidR="001965B7" w:rsidRDefault="001965B7" w:rsidP="005D3450">
      <w:pPr>
        <w:pStyle w:val="Textparagrafu"/>
        <w:tabs>
          <w:tab w:val="left" w:pos="392"/>
          <w:tab w:val="left" w:pos="840"/>
        </w:tabs>
        <w:spacing w:before="120" w:after="120"/>
      </w:pPr>
      <w:r w:rsidRPr="009255ED">
        <w:t>(3)</w:t>
      </w:r>
      <w:r>
        <w:t xml:space="preserve"> </w:t>
      </w:r>
      <w:r w:rsidRPr="009255ED">
        <w:t>Kupující</w:t>
      </w:r>
      <w:r>
        <w:t xml:space="preserve"> </w:t>
      </w:r>
      <w:r w:rsidRPr="009255ED">
        <w:t>je</w:t>
      </w:r>
      <w:r>
        <w:t xml:space="preserve"> </w:t>
      </w:r>
      <w:r w:rsidRPr="009255ED">
        <w:t>povinen</w:t>
      </w:r>
      <w:r>
        <w:t xml:space="preserve"> </w:t>
      </w:r>
      <w:r w:rsidRPr="009255ED">
        <w:t>před</w:t>
      </w:r>
      <w:r>
        <w:t xml:space="preserve"> </w:t>
      </w:r>
      <w:r w:rsidRPr="009255ED">
        <w:t>uzavřením</w:t>
      </w:r>
      <w:r>
        <w:t xml:space="preserve"> </w:t>
      </w:r>
      <w:r w:rsidRPr="009255ED">
        <w:t>kupní</w:t>
      </w:r>
      <w:r>
        <w:t xml:space="preserve"> </w:t>
      </w:r>
      <w:r w:rsidRPr="009255ED">
        <w:t>smlouvy</w:t>
      </w:r>
      <w:r>
        <w:t xml:space="preserve"> </w:t>
      </w:r>
      <w:r w:rsidRPr="009255ED">
        <w:t>uhradit</w:t>
      </w:r>
      <w:r>
        <w:t xml:space="preserve"> </w:t>
      </w:r>
      <w:r w:rsidRPr="009255ED">
        <w:t>Státnímu</w:t>
      </w:r>
      <w:r>
        <w:t xml:space="preserve"> </w:t>
      </w:r>
      <w:r w:rsidRPr="009255ED">
        <w:t>pozemkovému</w:t>
      </w:r>
      <w:r>
        <w:t xml:space="preserve"> </w:t>
      </w:r>
      <w:r w:rsidRPr="009255ED">
        <w:t>úřadu</w:t>
      </w:r>
      <w:r>
        <w:t xml:space="preserve"> </w:t>
      </w:r>
      <w:r w:rsidRPr="009255ED">
        <w:t>část</w:t>
      </w:r>
      <w:r>
        <w:t xml:space="preserve"> </w:t>
      </w:r>
      <w:r w:rsidRPr="009255ED">
        <w:t>kupní</w:t>
      </w:r>
      <w:r>
        <w:t xml:space="preserve"> </w:t>
      </w:r>
      <w:r w:rsidRPr="009255ED">
        <w:t>ceny,</w:t>
      </w:r>
      <w:r>
        <w:t xml:space="preserve"> </w:t>
      </w:r>
      <w:r w:rsidRPr="009255ED">
        <w:t>a</w:t>
      </w:r>
      <w:r>
        <w:t xml:space="preserve"> </w:t>
      </w:r>
      <w:r w:rsidRPr="009255ED">
        <w:t>to</w:t>
      </w:r>
      <w:r>
        <w:t xml:space="preserve"> </w:t>
      </w:r>
      <w:r w:rsidRPr="009255ED">
        <w:t>ve</w:t>
      </w:r>
      <w:r>
        <w:t xml:space="preserve"> </w:t>
      </w:r>
      <w:r w:rsidRPr="009255ED">
        <w:t>výši</w:t>
      </w:r>
      <w:r>
        <w:t xml:space="preserve"> </w:t>
      </w:r>
      <w:r w:rsidRPr="009255ED">
        <w:t>nejméně</w:t>
      </w:r>
      <w:r>
        <w:t xml:space="preserve"> </w:t>
      </w:r>
      <w:r w:rsidRPr="009255ED">
        <w:t>10</w:t>
      </w:r>
      <w:r>
        <w:t xml:space="preserve"> </w:t>
      </w:r>
      <w:r w:rsidRPr="009255ED">
        <w:t>%.</w:t>
      </w:r>
    </w:p>
    <w:p w14:paraId="6967DA17" w14:textId="77777777" w:rsidR="001965B7" w:rsidRPr="009255ED" w:rsidRDefault="001965B7" w:rsidP="005D3450">
      <w:pPr>
        <w:pStyle w:val="Textparagrafu"/>
        <w:tabs>
          <w:tab w:val="left" w:pos="392"/>
          <w:tab w:val="left" w:pos="840"/>
        </w:tabs>
        <w:spacing w:before="120" w:after="120"/>
      </w:pPr>
      <w:r w:rsidRPr="009255ED">
        <w:t>(4)</w:t>
      </w:r>
      <w:r>
        <w:t xml:space="preserve"> </w:t>
      </w:r>
      <w:r w:rsidRPr="009255ED">
        <w:t>Na</w:t>
      </w:r>
      <w:r>
        <w:t xml:space="preserve"> </w:t>
      </w:r>
      <w:r w:rsidRPr="009255ED">
        <w:t>úhradu</w:t>
      </w:r>
      <w:r>
        <w:t xml:space="preserve"> </w:t>
      </w:r>
      <w:r w:rsidRPr="009255ED">
        <w:t>kupní</w:t>
      </w:r>
      <w:r>
        <w:t xml:space="preserve"> </w:t>
      </w:r>
      <w:r w:rsidRPr="009255ED">
        <w:t>ceny</w:t>
      </w:r>
      <w:r>
        <w:t xml:space="preserve"> </w:t>
      </w:r>
      <w:r w:rsidRPr="009255ED">
        <w:t>podle</w:t>
      </w:r>
      <w:r>
        <w:t xml:space="preserve"> </w:t>
      </w:r>
      <w:r w:rsidRPr="009255ED">
        <w:t>tohoto</w:t>
      </w:r>
      <w:r>
        <w:t xml:space="preserve"> </w:t>
      </w:r>
      <w:r w:rsidRPr="009255ED">
        <w:t>zákona,</w:t>
      </w:r>
      <w:r>
        <w:t xml:space="preserve"> </w:t>
      </w:r>
      <w:r w:rsidRPr="009255ED">
        <w:t>zákona</w:t>
      </w:r>
      <w:r>
        <w:t xml:space="preserve"> </w:t>
      </w:r>
      <w:r w:rsidRPr="009255ED">
        <w:t>č.</w:t>
      </w:r>
      <w:r>
        <w:t xml:space="preserve"> </w:t>
      </w:r>
      <w:r w:rsidRPr="009255ED">
        <w:t>229/1991</w:t>
      </w:r>
      <w:r>
        <w:t xml:space="preserve"> </w:t>
      </w:r>
      <w:r w:rsidRPr="009255ED">
        <w:t>Sb.,</w:t>
      </w:r>
      <w:r>
        <w:t xml:space="preserve"> </w:t>
      </w:r>
      <w:r w:rsidRPr="009255ED">
        <w:t>ve</w:t>
      </w:r>
      <w:r>
        <w:t xml:space="preserve"> </w:t>
      </w:r>
      <w:r w:rsidRPr="009255ED">
        <w:t>znění</w:t>
      </w:r>
      <w:r>
        <w:t xml:space="preserve"> </w:t>
      </w:r>
      <w:r w:rsidRPr="009255ED">
        <w:t>pozdějších</w:t>
      </w:r>
      <w:r>
        <w:t xml:space="preserve"> </w:t>
      </w:r>
      <w:r w:rsidRPr="009255ED">
        <w:t>předpisů,</w:t>
      </w:r>
      <w:r>
        <w:t xml:space="preserve"> </w:t>
      </w:r>
      <w:r w:rsidRPr="009255ED">
        <w:t>a</w:t>
      </w:r>
      <w:r>
        <w:t xml:space="preserve"> </w:t>
      </w:r>
      <w:r w:rsidRPr="009255ED">
        <w:t>zákona</w:t>
      </w:r>
      <w:r>
        <w:t xml:space="preserve"> </w:t>
      </w:r>
      <w:r w:rsidRPr="009255ED">
        <w:t>č.</w:t>
      </w:r>
      <w:r>
        <w:t xml:space="preserve"> </w:t>
      </w:r>
      <w:r w:rsidRPr="009255ED">
        <w:t>44/1988</w:t>
      </w:r>
      <w:r>
        <w:t xml:space="preserve"> </w:t>
      </w:r>
      <w:r w:rsidRPr="009255ED">
        <w:t>Sb.,</w:t>
      </w:r>
      <w:r>
        <w:t xml:space="preserve"> </w:t>
      </w:r>
      <w:r w:rsidRPr="009255ED">
        <w:t>ve</w:t>
      </w:r>
      <w:r>
        <w:t xml:space="preserve"> </w:t>
      </w:r>
      <w:r w:rsidRPr="009255ED">
        <w:t>znění</w:t>
      </w:r>
      <w:r>
        <w:t xml:space="preserve"> </w:t>
      </w:r>
      <w:r w:rsidRPr="009255ED">
        <w:t>pozdějších</w:t>
      </w:r>
      <w:r>
        <w:t xml:space="preserve"> </w:t>
      </w:r>
      <w:r w:rsidRPr="009255ED">
        <w:t>předpisů,</w:t>
      </w:r>
      <w:r>
        <w:t xml:space="preserve"> </w:t>
      </w:r>
      <w:r w:rsidRPr="009255ED">
        <w:t>započte</w:t>
      </w:r>
      <w:r>
        <w:t xml:space="preserve"> </w:t>
      </w:r>
      <w:r w:rsidRPr="009255ED">
        <w:t>Státní</w:t>
      </w:r>
      <w:r>
        <w:t xml:space="preserve"> </w:t>
      </w:r>
      <w:r w:rsidRPr="009255ED">
        <w:t>pozemkový</w:t>
      </w:r>
      <w:r>
        <w:t xml:space="preserve"> </w:t>
      </w:r>
      <w:r w:rsidRPr="009255ED">
        <w:t>úřad</w:t>
      </w:r>
      <w:r>
        <w:t xml:space="preserve"> </w:t>
      </w:r>
      <w:r w:rsidRPr="009255ED">
        <w:t>všechny</w:t>
      </w:r>
      <w:r>
        <w:t xml:space="preserve"> </w:t>
      </w:r>
      <w:r w:rsidRPr="009255ED">
        <w:t>nároky,</w:t>
      </w:r>
      <w:r>
        <w:t xml:space="preserve"> </w:t>
      </w:r>
      <w:r w:rsidRPr="009255ED">
        <w:t>které</w:t>
      </w:r>
      <w:r>
        <w:t xml:space="preserve"> </w:t>
      </w:r>
      <w:r w:rsidRPr="009255ED">
        <w:t>má</w:t>
      </w:r>
      <w:r>
        <w:t xml:space="preserve"> </w:t>
      </w:r>
      <w:r w:rsidRPr="009255ED">
        <w:t>kupující</w:t>
      </w:r>
      <w:r>
        <w:t xml:space="preserve"> </w:t>
      </w:r>
      <w:r w:rsidRPr="009255ED">
        <w:t>podle</w:t>
      </w:r>
      <w:r>
        <w:t xml:space="preserve"> </w:t>
      </w:r>
      <w:r w:rsidRPr="009255ED">
        <w:t>zákona</w:t>
      </w:r>
      <w:r>
        <w:t xml:space="preserve"> </w:t>
      </w:r>
      <w:r w:rsidRPr="009255ED">
        <w:t>č.</w:t>
      </w:r>
      <w:r>
        <w:t xml:space="preserve"> </w:t>
      </w:r>
      <w:r w:rsidRPr="009255ED">
        <w:t>229/1991</w:t>
      </w:r>
      <w:r>
        <w:t xml:space="preserve"> </w:t>
      </w:r>
      <w:r w:rsidRPr="009255ED">
        <w:t>Sb.,</w:t>
      </w:r>
      <w:r>
        <w:t xml:space="preserve"> </w:t>
      </w:r>
      <w:r w:rsidRPr="009255ED">
        <w:t>ve</w:t>
      </w:r>
      <w:r>
        <w:t xml:space="preserve"> </w:t>
      </w:r>
      <w:r w:rsidRPr="009255ED">
        <w:t>znění</w:t>
      </w:r>
      <w:r>
        <w:t xml:space="preserve"> </w:t>
      </w:r>
      <w:r w:rsidRPr="009255ED">
        <w:t>pozdějších</w:t>
      </w:r>
      <w:r>
        <w:t xml:space="preserve"> </w:t>
      </w:r>
      <w:r w:rsidRPr="009255ED">
        <w:t>předpisů,</w:t>
      </w:r>
      <w:r>
        <w:t xml:space="preserve"> </w:t>
      </w:r>
      <w:r w:rsidRPr="009255ED">
        <w:t>a</w:t>
      </w:r>
      <w:r>
        <w:t xml:space="preserve"> </w:t>
      </w:r>
      <w:r w:rsidRPr="009255ED">
        <w:t>zákona</w:t>
      </w:r>
      <w:r>
        <w:t xml:space="preserve"> </w:t>
      </w:r>
      <w:r w:rsidRPr="009255ED">
        <w:t>č.</w:t>
      </w:r>
      <w:r>
        <w:t xml:space="preserve"> </w:t>
      </w:r>
      <w:r w:rsidRPr="009255ED">
        <w:t>243/1992</w:t>
      </w:r>
      <w:r>
        <w:t xml:space="preserve"> </w:t>
      </w:r>
      <w:r w:rsidRPr="009255ED">
        <w:t>Sb.,</w:t>
      </w:r>
      <w:r>
        <w:t xml:space="preserve"> </w:t>
      </w:r>
      <w:r w:rsidRPr="009255ED">
        <w:t>ve</w:t>
      </w:r>
      <w:r>
        <w:t xml:space="preserve"> </w:t>
      </w:r>
      <w:r w:rsidRPr="009255ED">
        <w:t>znění</w:t>
      </w:r>
      <w:r>
        <w:t xml:space="preserve"> </w:t>
      </w:r>
      <w:r w:rsidRPr="009255ED">
        <w:t>pozdějších</w:t>
      </w:r>
      <w:r>
        <w:t xml:space="preserve"> </w:t>
      </w:r>
      <w:r w:rsidRPr="009255ED">
        <w:t>předpisů,</w:t>
      </w:r>
      <w:r>
        <w:t xml:space="preserve"> </w:t>
      </w:r>
      <w:r w:rsidRPr="009255ED">
        <w:t>vůči</w:t>
      </w:r>
      <w:r>
        <w:t xml:space="preserve"> </w:t>
      </w:r>
      <w:r w:rsidRPr="009255ED">
        <w:t>státu,</w:t>
      </w:r>
      <w:r>
        <w:t xml:space="preserve"> </w:t>
      </w:r>
      <w:r w:rsidRPr="009255ED">
        <w:t>jejichž</w:t>
      </w:r>
      <w:r>
        <w:t xml:space="preserve"> </w:t>
      </w:r>
      <w:r w:rsidRPr="009255ED">
        <w:t>uspokojení</w:t>
      </w:r>
      <w:r>
        <w:t xml:space="preserve"> </w:t>
      </w:r>
      <w:r w:rsidRPr="009255ED">
        <w:t>je</w:t>
      </w:r>
      <w:r>
        <w:t xml:space="preserve"> </w:t>
      </w:r>
      <w:r w:rsidRPr="009255ED">
        <w:t>příslušný</w:t>
      </w:r>
      <w:r>
        <w:t xml:space="preserve"> </w:t>
      </w:r>
      <w:r w:rsidRPr="009255ED">
        <w:t>zajistit</w:t>
      </w:r>
      <w:r>
        <w:t xml:space="preserve"> </w:t>
      </w:r>
      <w:r w:rsidRPr="009255ED">
        <w:t>Státní</w:t>
      </w:r>
      <w:r>
        <w:t xml:space="preserve"> </w:t>
      </w:r>
      <w:r w:rsidRPr="009255ED">
        <w:t>pozemkový</w:t>
      </w:r>
      <w:r>
        <w:t xml:space="preserve"> </w:t>
      </w:r>
      <w:r w:rsidRPr="009255ED">
        <w:t>úřad</w:t>
      </w:r>
      <w:r>
        <w:t xml:space="preserve"> </w:t>
      </w:r>
      <w:r w:rsidRPr="009255ED">
        <w:t>a</w:t>
      </w:r>
      <w:r>
        <w:t xml:space="preserve"> </w:t>
      </w:r>
      <w:r w:rsidRPr="009255ED">
        <w:t>které</w:t>
      </w:r>
      <w:r>
        <w:t xml:space="preserve"> </w:t>
      </w:r>
      <w:r w:rsidRPr="009255ED">
        <w:t>považuje</w:t>
      </w:r>
      <w:r>
        <w:t xml:space="preserve"> </w:t>
      </w:r>
      <w:r w:rsidRPr="009255ED">
        <w:t>za</w:t>
      </w:r>
      <w:r>
        <w:t xml:space="preserve"> </w:t>
      </w:r>
      <w:r w:rsidRPr="009255ED">
        <w:t>nesporné.</w:t>
      </w:r>
      <w:r>
        <w:t xml:space="preserve"> </w:t>
      </w:r>
      <w:r w:rsidRPr="009255ED">
        <w:t>Státní</w:t>
      </w:r>
      <w:r>
        <w:t xml:space="preserve"> </w:t>
      </w:r>
      <w:r w:rsidRPr="009255ED">
        <w:t>pozemkový</w:t>
      </w:r>
      <w:r>
        <w:t xml:space="preserve"> </w:t>
      </w:r>
      <w:r w:rsidRPr="009255ED">
        <w:t>úřad</w:t>
      </w:r>
      <w:r>
        <w:t xml:space="preserve"> </w:t>
      </w:r>
      <w:r w:rsidRPr="009255ED">
        <w:t>může</w:t>
      </w:r>
      <w:r>
        <w:t xml:space="preserve"> </w:t>
      </w:r>
      <w:r w:rsidRPr="009255ED">
        <w:t>započítat</w:t>
      </w:r>
      <w:r>
        <w:t xml:space="preserve"> </w:t>
      </w:r>
      <w:r w:rsidRPr="009255ED">
        <w:t>na</w:t>
      </w:r>
      <w:r>
        <w:t xml:space="preserve"> </w:t>
      </w:r>
      <w:r w:rsidRPr="009255ED">
        <w:t>úhradu</w:t>
      </w:r>
      <w:r>
        <w:t xml:space="preserve"> </w:t>
      </w:r>
      <w:r w:rsidRPr="009255ED">
        <w:t>kupní</w:t>
      </w:r>
      <w:r>
        <w:t xml:space="preserve"> </w:t>
      </w:r>
      <w:r w:rsidRPr="009255ED">
        <w:t>ceny</w:t>
      </w:r>
      <w:r>
        <w:t xml:space="preserve"> </w:t>
      </w:r>
      <w:r w:rsidRPr="009255ED">
        <w:t>i</w:t>
      </w:r>
      <w:r>
        <w:t xml:space="preserve"> </w:t>
      </w:r>
      <w:r w:rsidRPr="009255ED">
        <w:t>jiné</w:t>
      </w:r>
      <w:r>
        <w:t xml:space="preserve"> </w:t>
      </w:r>
      <w:r w:rsidRPr="009255ED">
        <w:t>pohledávky</w:t>
      </w:r>
      <w:r>
        <w:t xml:space="preserve"> </w:t>
      </w:r>
      <w:r w:rsidRPr="009255ED">
        <w:t>vůči</w:t>
      </w:r>
      <w:r>
        <w:t xml:space="preserve"> </w:t>
      </w:r>
      <w:r w:rsidRPr="009255ED">
        <w:t>státu,</w:t>
      </w:r>
      <w:r>
        <w:t xml:space="preserve"> </w:t>
      </w:r>
      <w:r w:rsidRPr="009255ED">
        <w:t>u</w:t>
      </w:r>
      <w:r>
        <w:t xml:space="preserve"> </w:t>
      </w:r>
      <w:r w:rsidRPr="009255ED">
        <w:t>kterých</w:t>
      </w:r>
      <w:r>
        <w:t xml:space="preserve"> </w:t>
      </w:r>
      <w:r w:rsidRPr="009255ED">
        <w:t>je</w:t>
      </w:r>
      <w:r>
        <w:t xml:space="preserve"> </w:t>
      </w:r>
      <w:r w:rsidRPr="009255ED">
        <w:t>příslušný</w:t>
      </w:r>
      <w:r>
        <w:t xml:space="preserve"> </w:t>
      </w:r>
      <w:r w:rsidRPr="009255ED">
        <w:t>k</w:t>
      </w:r>
      <w:r>
        <w:t xml:space="preserve"> </w:t>
      </w:r>
      <w:r w:rsidRPr="009255ED">
        <w:t>plnění.</w:t>
      </w:r>
      <w:r>
        <w:t xml:space="preserve"> </w:t>
      </w:r>
      <w:r w:rsidRPr="009255ED">
        <w:t>Pohledávky,</w:t>
      </w:r>
      <w:r>
        <w:t xml:space="preserve"> </w:t>
      </w:r>
      <w:r w:rsidRPr="009255ED">
        <w:t>jejichž</w:t>
      </w:r>
      <w:r>
        <w:t xml:space="preserve"> </w:t>
      </w:r>
      <w:r w:rsidRPr="009255ED">
        <w:t>výše</w:t>
      </w:r>
      <w:r>
        <w:t xml:space="preserve"> </w:t>
      </w:r>
      <w:r w:rsidRPr="009255ED">
        <w:t>je</w:t>
      </w:r>
      <w:r>
        <w:t xml:space="preserve"> </w:t>
      </w:r>
      <w:r w:rsidRPr="009255ED">
        <w:t>sporná,</w:t>
      </w:r>
      <w:r>
        <w:t xml:space="preserve"> </w:t>
      </w:r>
      <w:r w:rsidRPr="009255ED">
        <w:t>lze</w:t>
      </w:r>
      <w:r>
        <w:t xml:space="preserve"> </w:t>
      </w:r>
      <w:r w:rsidRPr="009255ED">
        <w:t>takto</w:t>
      </w:r>
      <w:r>
        <w:t xml:space="preserve"> </w:t>
      </w:r>
      <w:r w:rsidRPr="009255ED">
        <w:t>započítat</w:t>
      </w:r>
      <w:r>
        <w:t xml:space="preserve"> </w:t>
      </w:r>
      <w:r w:rsidRPr="009255ED">
        <w:t>jen</w:t>
      </w:r>
      <w:r>
        <w:t xml:space="preserve"> </w:t>
      </w:r>
      <w:r w:rsidRPr="009255ED">
        <w:t>ve</w:t>
      </w:r>
      <w:r>
        <w:t xml:space="preserve"> </w:t>
      </w:r>
      <w:r w:rsidRPr="009255ED">
        <w:t>výši,</w:t>
      </w:r>
      <w:r>
        <w:t xml:space="preserve"> </w:t>
      </w:r>
      <w:r w:rsidRPr="009255ED">
        <w:t>kterou</w:t>
      </w:r>
      <w:r>
        <w:t xml:space="preserve"> </w:t>
      </w:r>
      <w:r w:rsidRPr="009255ED">
        <w:t>má</w:t>
      </w:r>
      <w:r>
        <w:t xml:space="preserve"> </w:t>
      </w:r>
      <w:r w:rsidRPr="009255ED">
        <w:t>Státní</w:t>
      </w:r>
      <w:r>
        <w:t xml:space="preserve"> </w:t>
      </w:r>
      <w:r w:rsidRPr="009255ED">
        <w:t>pozemkový</w:t>
      </w:r>
      <w:r>
        <w:t xml:space="preserve"> </w:t>
      </w:r>
      <w:r w:rsidRPr="009255ED">
        <w:t>úřad</w:t>
      </w:r>
      <w:r>
        <w:t xml:space="preserve"> </w:t>
      </w:r>
      <w:r w:rsidRPr="009255ED">
        <w:t>za</w:t>
      </w:r>
      <w:r>
        <w:t xml:space="preserve"> </w:t>
      </w:r>
      <w:r w:rsidRPr="009255ED">
        <w:t>prokázanou.</w:t>
      </w:r>
    </w:p>
    <w:p w14:paraId="7B645B66" w14:textId="09F4C538" w:rsidR="001965B7" w:rsidRDefault="001965B7" w:rsidP="0080777D">
      <w:pPr>
        <w:tabs>
          <w:tab w:val="left" w:pos="851"/>
        </w:tabs>
        <w:spacing w:before="120" w:after="120"/>
        <w:ind w:firstLine="0"/>
        <w:jc w:val="center"/>
        <w:outlineLvl w:val="0"/>
      </w:pPr>
      <w:r>
        <w:t>***</w:t>
      </w:r>
    </w:p>
    <w:p w14:paraId="39433AAE" w14:textId="77777777" w:rsidR="001965B7" w:rsidRDefault="001965B7" w:rsidP="0080777D">
      <w:pPr>
        <w:pStyle w:val="Textparagrafu"/>
        <w:tabs>
          <w:tab w:val="left" w:pos="392"/>
          <w:tab w:val="left" w:pos="840"/>
        </w:tabs>
        <w:spacing w:after="120"/>
        <w:ind w:firstLine="0"/>
        <w:jc w:val="center"/>
      </w:pPr>
      <w:r w:rsidRPr="009255ED">
        <w:t>§</w:t>
      </w:r>
      <w:r>
        <w:t xml:space="preserve"> </w:t>
      </w:r>
      <w:r w:rsidRPr="009255ED">
        <w:t>20</w:t>
      </w:r>
    </w:p>
    <w:p w14:paraId="632EF469" w14:textId="77777777" w:rsidR="001965B7" w:rsidRDefault="001965B7" w:rsidP="005D3450">
      <w:pPr>
        <w:pStyle w:val="Textparagrafu"/>
        <w:tabs>
          <w:tab w:val="left" w:pos="392"/>
          <w:tab w:val="left" w:pos="840"/>
        </w:tabs>
        <w:spacing w:before="120" w:after="120"/>
      </w:pPr>
      <w:r w:rsidRPr="009255ED">
        <w:t>(1)</w:t>
      </w:r>
      <w:r>
        <w:t xml:space="preserve"> </w:t>
      </w:r>
      <w:r w:rsidRPr="009255ED">
        <w:t>Státní</w:t>
      </w:r>
      <w:r>
        <w:t xml:space="preserve"> </w:t>
      </w:r>
      <w:r w:rsidRPr="009255ED">
        <w:t>pozemkový</w:t>
      </w:r>
      <w:r>
        <w:t xml:space="preserve"> </w:t>
      </w:r>
      <w:r w:rsidRPr="009255ED">
        <w:t>úřad</w:t>
      </w:r>
      <w:r>
        <w:t xml:space="preserve"> </w:t>
      </w:r>
      <w:r w:rsidRPr="009255ED">
        <w:t>je</w:t>
      </w:r>
      <w:r>
        <w:t xml:space="preserve"> </w:t>
      </w:r>
      <w:r w:rsidRPr="009255ED">
        <w:t>povinen</w:t>
      </w:r>
      <w:r>
        <w:t xml:space="preserve"> </w:t>
      </w:r>
      <w:r w:rsidRPr="009255ED">
        <w:t>si</w:t>
      </w:r>
      <w:r>
        <w:t xml:space="preserve"> </w:t>
      </w:r>
      <w:r w:rsidRPr="009255ED">
        <w:t>ověřit</w:t>
      </w:r>
      <w:r>
        <w:t xml:space="preserve"> </w:t>
      </w:r>
      <w:r w:rsidRPr="009255ED">
        <w:t>u</w:t>
      </w:r>
      <w:r>
        <w:t xml:space="preserve"> </w:t>
      </w:r>
      <w:r w:rsidRPr="009255ED">
        <w:t>příslušného</w:t>
      </w:r>
      <w:r>
        <w:t xml:space="preserve"> </w:t>
      </w:r>
      <w:r w:rsidRPr="009255ED">
        <w:t>katastrálního</w:t>
      </w:r>
      <w:r>
        <w:t xml:space="preserve"> </w:t>
      </w:r>
      <w:r w:rsidRPr="009255ED">
        <w:t>úřadu,</w:t>
      </w:r>
      <w:r>
        <w:t xml:space="preserve"> </w:t>
      </w:r>
      <w:r w:rsidRPr="009255ED">
        <w:t>na</w:t>
      </w:r>
      <w:r>
        <w:t xml:space="preserve"> </w:t>
      </w:r>
      <w:r w:rsidRPr="009255ED">
        <w:t>základě</w:t>
      </w:r>
      <w:r>
        <w:t xml:space="preserve"> </w:t>
      </w:r>
      <w:r w:rsidRPr="009255ED">
        <w:t>kterých</w:t>
      </w:r>
      <w:r>
        <w:t xml:space="preserve"> </w:t>
      </w:r>
      <w:r w:rsidRPr="009255ED">
        <w:t>listinných</w:t>
      </w:r>
      <w:r>
        <w:t xml:space="preserve"> </w:t>
      </w:r>
      <w:r w:rsidRPr="009255ED">
        <w:t>dokladů</w:t>
      </w:r>
      <w:r>
        <w:t xml:space="preserve"> </w:t>
      </w:r>
      <w:r w:rsidRPr="009255ED">
        <w:t>bylo</w:t>
      </w:r>
      <w:r>
        <w:t xml:space="preserve"> </w:t>
      </w:r>
      <w:r w:rsidRPr="009255ED">
        <w:t>zapsáno</w:t>
      </w:r>
      <w:r>
        <w:t xml:space="preserve"> </w:t>
      </w:r>
      <w:r w:rsidRPr="009255ED">
        <w:t>v</w:t>
      </w:r>
      <w:r>
        <w:t xml:space="preserve"> </w:t>
      </w:r>
      <w:r w:rsidRPr="009255ED">
        <w:t>katastru</w:t>
      </w:r>
      <w:r>
        <w:t xml:space="preserve"> </w:t>
      </w:r>
      <w:r w:rsidRPr="009255ED">
        <w:t>nemovitostí</w:t>
      </w:r>
      <w:r>
        <w:t xml:space="preserve"> </w:t>
      </w:r>
      <w:r w:rsidRPr="009255ED">
        <w:t>vlastnické</w:t>
      </w:r>
      <w:r>
        <w:t xml:space="preserve"> </w:t>
      </w:r>
      <w:r w:rsidRPr="009255ED">
        <w:t>právo</w:t>
      </w:r>
      <w:r>
        <w:t xml:space="preserve"> </w:t>
      </w:r>
      <w:r w:rsidRPr="009255ED">
        <w:t>státu</w:t>
      </w:r>
      <w:r>
        <w:t xml:space="preserve"> </w:t>
      </w:r>
      <w:r w:rsidRPr="009255ED">
        <w:t>k</w:t>
      </w:r>
      <w:r>
        <w:t xml:space="preserve"> </w:t>
      </w:r>
      <w:r w:rsidRPr="009255ED">
        <w:t>zemědělskému</w:t>
      </w:r>
      <w:r>
        <w:t xml:space="preserve"> </w:t>
      </w:r>
      <w:r w:rsidRPr="009255ED">
        <w:t>pozemku.</w:t>
      </w:r>
    </w:p>
    <w:p w14:paraId="1B6339C3" w14:textId="6D25E080" w:rsidR="001965B7" w:rsidRDefault="001965B7" w:rsidP="005D3450">
      <w:pPr>
        <w:pStyle w:val="Textparagrafu"/>
        <w:tabs>
          <w:tab w:val="left" w:pos="392"/>
          <w:tab w:val="left" w:pos="840"/>
        </w:tabs>
        <w:spacing w:before="120" w:after="120"/>
      </w:pPr>
      <w:r w:rsidRPr="009255ED">
        <w:lastRenderedPageBreak/>
        <w:t>(2)</w:t>
      </w:r>
      <w:r>
        <w:t xml:space="preserve"> </w:t>
      </w:r>
      <w:r w:rsidRPr="009255ED">
        <w:t>V</w:t>
      </w:r>
      <w:r>
        <w:t xml:space="preserve"> </w:t>
      </w:r>
      <w:r w:rsidRPr="009255ED">
        <w:t>případě,</w:t>
      </w:r>
      <w:r>
        <w:t xml:space="preserve"> </w:t>
      </w:r>
      <w:r w:rsidRPr="009255ED">
        <w:t>že</w:t>
      </w:r>
      <w:r>
        <w:t xml:space="preserve"> </w:t>
      </w:r>
      <w:r w:rsidRPr="009255ED">
        <w:t>v</w:t>
      </w:r>
      <w:r>
        <w:t xml:space="preserve"> </w:t>
      </w:r>
      <w:r w:rsidRPr="009255ED">
        <w:t>katastru</w:t>
      </w:r>
      <w:r>
        <w:t xml:space="preserve"> </w:t>
      </w:r>
      <w:r w:rsidRPr="009255ED">
        <w:t>nemovitostí</w:t>
      </w:r>
      <w:r>
        <w:t xml:space="preserve"> </w:t>
      </w:r>
      <w:r w:rsidRPr="009255ED">
        <w:t>je</w:t>
      </w:r>
      <w:r>
        <w:t xml:space="preserve"> </w:t>
      </w:r>
      <w:r w:rsidRPr="009255ED">
        <w:t>vedeno</w:t>
      </w:r>
      <w:r>
        <w:t xml:space="preserve"> </w:t>
      </w:r>
      <w:r w:rsidRPr="009255ED">
        <w:t>vlastnické</w:t>
      </w:r>
      <w:r>
        <w:t xml:space="preserve"> </w:t>
      </w:r>
      <w:r w:rsidRPr="009255ED">
        <w:t>právo</w:t>
      </w:r>
      <w:r>
        <w:t xml:space="preserve"> </w:t>
      </w:r>
      <w:r w:rsidRPr="009255ED">
        <w:t>státu</w:t>
      </w:r>
      <w:r>
        <w:t xml:space="preserve"> </w:t>
      </w:r>
      <w:r w:rsidRPr="009255ED">
        <w:t>k</w:t>
      </w:r>
      <w:r>
        <w:t xml:space="preserve"> </w:t>
      </w:r>
      <w:r w:rsidRPr="009255ED">
        <w:t>zemědělskému</w:t>
      </w:r>
      <w:r>
        <w:t xml:space="preserve"> </w:t>
      </w:r>
      <w:r w:rsidRPr="009255ED">
        <w:t>pozemku,</w:t>
      </w:r>
      <w:r>
        <w:t xml:space="preserve"> </w:t>
      </w:r>
      <w:r w:rsidRPr="009255ED">
        <w:t>které</w:t>
      </w:r>
      <w:r>
        <w:t xml:space="preserve"> </w:t>
      </w:r>
      <w:r w:rsidRPr="009255ED">
        <w:t>nelze</w:t>
      </w:r>
      <w:r>
        <w:t xml:space="preserve"> </w:t>
      </w:r>
      <w:r w:rsidRPr="009255ED">
        <w:t>doložit</w:t>
      </w:r>
      <w:r>
        <w:t xml:space="preserve"> </w:t>
      </w:r>
      <w:r w:rsidRPr="009255ED">
        <w:t>listinnými</w:t>
      </w:r>
      <w:r>
        <w:t xml:space="preserve"> </w:t>
      </w:r>
      <w:r w:rsidRPr="009255ED">
        <w:t>doklady,</w:t>
      </w:r>
      <w:r>
        <w:t xml:space="preserve"> </w:t>
      </w:r>
      <w:r w:rsidRPr="009255ED">
        <w:t>má</w:t>
      </w:r>
      <w:r>
        <w:t xml:space="preserve"> </w:t>
      </w:r>
      <w:r w:rsidRPr="009255ED">
        <w:t>se</w:t>
      </w:r>
      <w:r>
        <w:t xml:space="preserve"> </w:t>
      </w:r>
      <w:r w:rsidRPr="009255ED">
        <w:t>pro</w:t>
      </w:r>
      <w:r>
        <w:t xml:space="preserve"> </w:t>
      </w:r>
      <w:r w:rsidRPr="009255ED">
        <w:t>účely</w:t>
      </w:r>
      <w:r>
        <w:t xml:space="preserve"> </w:t>
      </w:r>
      <w:r w:rsidRPr="009255ED">
        <w:t>jeho</w:t>
      </w:r>
      <w:r>
        <w:t xml:space="preserve"> </w:t>
      </w:r>
      <w:r w:rsidRPr="009255ED">
        <w:t>převodu</w:t>
      </w:r>
      <w:r>
        <w:t xml:space="preserve"> </w:t>
      </w:r>
      <w:r w:rsidRPr="009255ED">
        <w:t>podle</w:t>
      </w:r>
      <w:r>
        <w:t xml:space="preserve"> </w:t>
      </w:r>
      <w:r w:rsidRPr="009255ED">
        <w:t>tohoto</w:t>
      </w:r>
      <w:r>
        <w:t xml:space="preserve"> </w:t>
      </w:r>
      <w:r w:rsidRPr="009255ED">
        <w:t>zákona</w:t>
      </w:r>
      <w:r>
        <w:t xml:space="preserve"> </w:t>
      </w:r>
      <w:r w:rsidRPr="009255ED">
        <w:t>nebo</w:t>
      </w:r>
      <w:r>
        <w:t xml:space="preserve"> </w:t>
      </w:r>
      <w:r w:rsidRPr="009255ED">
        <w:t>zákona</w:t>
      </w:r>
      <w:r>
        <w:t xml:space="preserve"> </w:t>
      </w:r>
      <w:r w:rsidRPr="009255ED">
        <w:t>č.</w:t>
      </w:r>
      <w:r>
        <w:t xml:space="preserve"> </w:t>
      </w:r>
      <w:r w:rsidRPr="009255ED">
        <w:t>229/1991</w:t>
      </w:r>
      <w:r>
        <w:t xml:space="preserve"> </w:t>
      </w:r>
      <w:r w:rsidRPr="009255ED">
        <w:t>Sb.,</w:t>
      </w:r>
      <w:r>
        <w:t xml:space="preserve"> </w:t>
      </w:r>
      <w:r w:rsidRPr="009255ED">
        <w:t>ve</w:t>
      </w:r>
      <w:r>
        <w:t xml:space="preserve"> </w:t>
      </w:r>
      <w:r w:rsidRPr="009255ED">
        <w:t>znění</w:t>
      </w:r>
      <w:r>
        <w:t xml:space="preserve"> </w:t>
      </w:r>
      <w:r w:rsidRPr="009255ED">
        <w:t>pozdějších</w:t>
      </w:r>
      <w:r>
        <w:t xml:space="preserve"> </w:t>
      </w:r>
      <w:r w:rsidRPr="009255ED">
        <w:t>předpisů,</w:t>
      </w:r>
      <w:r>
        <w:t xml:space="preserve"> </w:t>
      </w:r>
      <w:r w:rsidRPr="009255ED">
        <w:t>anebo</w:t>
      </w:r>
      <w:r>
        <w:t xml:space="preserve"> </w:t>
      </w:r>
      <w:r w:rsidRPr="009255ED">
        <w:t>zákona</w:t>
      </w:r>
      <w:r>
        <w:t xml:space="preserve"> </w:t>
      </w:r>
      <w:r w:rsidRPr="009255ED">
        <w:t>č.</w:t>
      </w:r>
      <w:r>
        <w:t xml:space="preserve"> </w:t>
      </w:r>
      <w:r w:rsidRPr="009255ED">
        <w:t>44/1988</w:t>
      </w:r>
      <w:r>
        <w:t xml:space="preserve"> </w:t>
      </w:r>
      <w:r w:rsidRPr="009255ED">
        <w:t>Sb.,</w:t>
      </w:r>
      <w:r>
        <w:t xml:space="preserve"> </w:t>
      </w:r>
      <w:r w:rsidRPr="009255ED">
        <w:t>ve</w:t>
      </w:r>
      <w:r>
        <w:t xml:space="preserve"> </w:t>
      </w:r>
      <w:r w:rsidRPr="009255ED">
        <w:t>znění</w:t>
      </w:r>
      <w:r>
        <w:t xml:space="preserve"> </w:t>
      </w:r>
      <w:r w:rsidRPr="009255ED">
        <w:t>pozdějších</w:t>
      </w:r>
      <w:r>
        <w:t xml:space="preserve"> </w:t>
      </w:r>
      <w:r w:rsidRPr="009255ED">
        <w:t>předpisů,</w:t>
      </w:r>
      <w:r>
        <w:t xml:space="preserve"> </w:t>
      </w:r>
      <w:r w:rsidRPr="009255ED">
        <w:t>za</w:t>
      </w:r>
      <w:r>
        <w:t xml:space="preserve"> </w:t>
      </w:r>
      <w:r w:rsidRPr="009255ED">
        <w:t>to,</w:t>
      </w:r>
      <w:r>
        <w:t xml:space="preserve"> </w:t>
      </w:r>
      <w:r w:rsidRPr="009255ED">
        <w:t>že</w:t>
      </w:r>
      <w:r>
        <w:t xml:space="preserve"> </w:t>
      </w:r>
      <w:r w:rsidRPr="009255ED">
        <w:t>stát</w:t>
      </w:r>
      <w:r>
        <w:t xml:space="preserve"> </w:t>
      </w:r>
      <w:r w:rsidRPr="009255ED">
        <w:t>je</w:t>
      </w:r>
      <w:r>
        <w:t xml:space="preserve"> </w:t>
      </w:r>
      <w:r w:rsidRPr="009255ED">
        <w:t>jeho</w:t>
      </w:r>
      <w:r>
        <w:t xml:space="preserve"> </w:t>
      </w:r>
      <w:r w:rsidRPr="009255ED">
        <w:t>vlastníkem</w:t>
      </w:r>
      <w:r>
        <w:t xml:space="preserve"> </w:t>
      </w:r>
      <w:r w:rsidRPr="009255ED">
        <w:t>a</w:t>
      </w:r>
      <w:r>
        <w:t xml:space="preserve"> </w:t>
      </w:r>
      <w:r w:rsidRPr="009255ED">
        <w:t>Státní</w:t>
      </w:r>
      <w:r>
        <w:t xml:space="preserve"> </w:t>
      </w:r>
      <w:r w:rsidRPr="009255ED">
        <w:t>pozemkový</w:t>
      </w:r>
      <w:r>
        <w:t xml:space="preserve"> </w:t>
      </w:r>
      <w:r w:rsidRPr="009255ED">
        <w:t>úřad</w:t>
      </w:r>
      <w:r>
        <w:t xml:space="preserve"> </w:t>
      </w:r>
      <w:r w:rsidRPr="009255ED">
        <w:t>je</w:t>
      </w:r>
      <w:r>
        <w:t xml:space="preserve"> </w:t>
      </w:r>
      <w:r w:rsidRPr="009255ED">
        <w:t>s</w:t>
      </w:r>
      <w:r>
        <w:t xml:space="preserve"> </w:t>
      </w:r>
      <w:r w:rsidRPr="009255ED">
        <w:t>ním</w:t>
      </w:r>
      <w:r>
        <w:t xml:space="preserve"> </w:t>
      </w:r>
      <w:r w:rsidRPr="009255ED">
        <w:t>příslušný</w:t>
      </w:r>
      <w:r>
        <w:t xml:space="preserve"> </w:t>
      </w:r>
      <w:r w:rsidRPr="009255ED">
        <w:t>hospodařit</w:t>
      </w:r>
      <w:r>
        <w:t xml:space="preserve"> </w:t>
      </w:r>
      <w:r w:rsidRPr="009255ED">
        <w:t>podle</w:t>
      </w:r>
      <w:r>
        <w:t xml:space="preserve"> </w:t>
      </w:r>
      <w:r w:rsidRPr="009255ED">
        <w:t>jiného</w:t>
      </w:r>
      <w:r>
        <w:t xml:space="preserve"> </w:t>
      </w:r>
      <w:r w:rsidRPr="009255ED">
        <w:t>právního</w:t>
      </w:r>
      <w:r>
        <w:t xml:space="preserve"> </w:t>
      </w:r>
      <w:r w:rsidR="006F7EE1">
        <w:t>předpisu</w:t>
      </w:r>
      <w:r w:rsidR="006F7EE1">
        <w:rPr>
          <w:rStyle w:val="Znakapoznpodarou"/>
        </w:rPr>
        <w:footnoteReference w:customMarkFollows="1" w:id="544"/>
        <w:t>34)</w:t>
      </w:r>
      <w:r w:rsidRPr="009255ED">
        <w:t>.</w:t>
      </w:r>
    </w:p>
    <w:p w14:paraId="48ABAA9B" w14:textId="77777777" w:rsidR="001965B7" w:rsidRDefault="001965B7" w:rsidP="005D3450">
      <w:pPr>
        <w:pStyle w:val="Textparagrafu"/>
        <w:tabs>
          <w:tab w:val="left" w:pos="392"/>
          <w:tab w:val="left" w:pos="840"/>
        </w:tabs>
        <w:spacing w:before="120" w:after="120"/>
      </w:pPr>
      <w:r w:rsidRPr="009255ED">
        <w:t>(3)</w:t>
      </w:r>
      <w:r>
        <w:t xml:space="preserve"> </w:t>
      </w:r>
      <w:r w:rsidRPr="009255ED">
        <w:t>Při</w:t>
      </w:r>
      <w:r>
        <w:t xml:space="preserve"> </w:t>
      </w:r>
      <w:r w:rsidRPr="009255ED">
        <w:t>převodu</w:t>
      </w:r>
      <w:r>
        <w:t xml:space="preserve"> </w:t>
      </w:r>
      <w:r w:rsidRPr="009255ED">
        <w:t>zemědělského</w:t>
      </w:r>
      <w:r>
        <w:t xml:space="preserve"> </w:t>
      </w:r>
      <w:r w:rsidRPr="009255ED">
        <w:t>pozemku,</w:t>
      </w:r>
      <w:r>
        <w:t xml:space="preserve"> </w:t>
      </w:r>
      <w:r w:rsidRPr="009255ED">
        <w:t>u</w:t>
      </w:r>
      <w:r>
        <w:t xml:space="preserve"> </w:t>
      </w:r>
      <w:r w:rsidRPr="009255ED">
        <w:t>něhož</w:t>
      </w:r>
      <w:r>
        <w:t xml:space="preserve"> </w:t>
      </w:r>
      <w:r w:rsidRPr="009255ED">
        <w:t>vlastnické</w:t>
      </w:r>
      <w:r>
        <w:t xml:space="preserve"> </w:t>
      </w:r>
      <w:r w:rsidRPr="009255ED">
        <w:t>právo</w:t>
      </w:r>
      <w:r>
        <w:t xml:space="preserve"> </w:t>
      </w:r>
      <w:r w:rsidRPr="009255ED">
        <w:t>státu</w:t>
      </w:r>
      <w:r>
        <w:t xml:space="preserve"> </w:t>
      </w:r>
      <w:r w:rsidRPr="009255ED">
        <w:t>zapsané</w:t>
      </w:r>
      <w:r>
        <w:t xml:space="preserve"> </w:t>
      </w:r>
      <w:r w:rsidRPr="009255ED">
        <w:t>v</w:t>
      </w:r>
      <w:r>
        <w:t xml:space="preserve"> </w:t>
      </w:r>
      <w:r w:rsidRPr="009255ED">
        <w:t>katastru</w:t>
      </w:r>
      <w:r>
        <w:t xml:space="preserve"> </w:t>
      </w:r>
      <w:r w:rsidRPr="009255ED">
        <w:t>nemovitostí</w:t>
      </w:r>
      <w:r>
        <w:t xml:space="preserve"> </w:t>
      </w:r>
      <w:r w:rsidRPr="009255ED">
        <w:t>nelze</w:t>
      </w:r>
      <w:r>
        <w:t xml:space="preserve"> </w:t>
      </w:r>
      <w:r w:rsidRPr="009255ED">
        <w:t>doložit</w:t>
      </w:r>
      <w:r>
        <w:t xml:space="preserve"> </w:t>
      </w:r>
      <w:r w:rsidRPr="009255ED">
        <w:t>listinnými</w:t>
      </w:r>
      <w:r>
        <w:t xml:space="preserve"> </w:t>
      </w:r>
      <w:r w:rsidRPr="009255ED">
        <w:t>doklady,</w:t>
      </w:r>
      <w:r>
        <w:t xml:space="preserve"> </w:t>
      </w:r>
      <w:r w:rsidRPr="009255ED">
        <w:t>zveřejní</w:t>
      </w:r>
      <w:r>
        <w:t xml:space="preserve"> </w:t>
      </w:r>
      <w:r w:rsidRPr="009255ED">
        <w:t>Státní</w:t>
      </w:r>
      <w:r>
        <w:t xml:space="preserve"> </w:t>
      </w:r>
      <w:r w:rsidRPr="009255ED">
        <w:t>pozemkový</w:t>
      </w:r>
      <w:r>
        <w:t xml:space="preserve"> </w:t>
      </w:r>
      <w:r w:rsidRPr="009255ED">
        <w:t>úřad</w:t>
      </w:r>
      <w:r>
        <w:t xml:space="preserve"> </w:t>
      </w:r>
      <w:r w:rsidRPr="009255ED">
        <w:t>jeho</w:t>
      </w:r>
      <w:r>
        <w:t xml:space="preserve"> </w:t>
      </w:r>
      <w:r w:rsidRPr="009255ED">
        <w:t>zamýšlený</w:t>
      </w:r>
      <w:r>
        <w:t xml:space="preserve"> </w:t>
      </w:r>
      <w:r w:rsidRPr="009255ED">
        <w:t>převod</w:t>
      </w:r>
      <w:r>
        <w:t xml:space="preserve"> </w:t>
      </w:r>
      <w:r w:rsidRPr="009255ED">
        <w:t>a</w:t>
      </w:r>
      <w:r>
        <w:t xml:space="preserve"> </w:t>
      </w:r>
      <w:r w:rsidRPr="009255ED">
        <w:t>současně</w:t>
      </w:r>
      <w:r>
        <w:t xml:space="preserve"> </w:t>
      </w:r>
      <w:r w:rsidRPr="009255ED">
        <w:t>vyzve</w:t>
      </w:r>
      <w:r>
        <w:t xml:space="preserve"> </w:t>
      </w:r>
      <w:r w:rsidRPr="009255ED">
        <w:t>k</w:t>
      </w:r>
      <w:r>
        <w:t xml:space="preserve"> </w:t>
      </w:r>
      <w:r w:rsidRPr="009255ED">
        <w:t>podání</w:t>
      </w:r>
      <w:r>
        <w:t xml:space="preserve"> </w:t>
      </w:r>
      <w:r w:rsidRPr="009255ED">
        <w:t>případných</w:t>
      </w:r>
      <w:r>
        <w:t xml:space="preserve"> </w:t>
      </w:r>
      <w:r w:rsidRPr="009255ED">
        <w:t>námitek</w:t>
      </w:r>
      <w:r>
        <w:t xml:space="preserve"> </w:t>
      </w:r>
      <w:r w:rsidRPr="009255ED">
        <w:t>vlastnického</w:t>
      </w:r>
      <w:r>
        <w:t xml:space="preserve"> </w:t>
      </w:r>
      <w:r w:rsidRPr="009255ED">
        <w:t>práva</w:t>
      </w:r>
      <w:r>
        <w:t xml:space="preserve"> </w:t>
      </w:r>
      <w:r w:rsidRPr="009255ED">
        <w:t>jiných</w:t>
      </w:r>
      <w:r>
        <w:t xml:space="preserve"> </w:t>
      </w:r>
      <w:r w:rsidRPr="009255ED">
        <w:t>osob</w:t>
      </w:r>
      <w:r>
        <w:t xml:space="preserve"> </w:t>
      </w:r>
      <w:r w:rsidRPr="009255ED">
        <w:t>k</w:t>
      </w:r>
      <w:r>
        <w:t xml:space="preserve"> </w:t>
      </w:r>
      <w:r w:rsidRPr="009255ED">
        <w:t>tomuto</w:t>
      </w:r>
      <w:r>
        <w:t xml:space="preserve"> </w:t>
      </w:r>
      <w:r w:rsidRPr="009255ED">
        <w:t>pozemku</w:t>
      </w:r>
      <w:r>
        <w:t xml:space="preserve"> </w:t>
      </w:r>
      <w:r w:rsidRPr="009255ED">
        <w:t>ve</w:t>
      </w:r>
      <w:r>
        <w:t xml:space="preserve"> </w:t>
      </w:r>
      <w:r w:rsidRPr="009255ED">
        <w:t>lhůtě</w:t>
      </w:r>
      <w:r>
        <w:t xml:space="preserve"> </w:t>
      </w:r>
      <w:r w:rsidRPr="009255ED">
        <w:t>3</w:t>
      </w:r>
      <w:r>
        <w:t xml:space="preserve"> </w:t>
      </w:r>
      <w:r w:rsidRPr="009255ED">
        <w:t>měsíců</w:t>
      </w:r>
      <w:r>
        <w:t xml:space="preserve"> </w:t>
      </w:r>
      <w:r w:rsidRPr="009255ED">
        <w:t>od</w:t>
      </w:r>
      <w:r>
        <w:t xml:space="preserve"> </w:t>
      </w:r>
      <w:r w:rsidRPr="009255ED">
        <w:t>vyhlášení</w:t>
      </w:r>
      <w:r>
        <w:t xml:space="preserve"> </w:t>
      </w:r>
      <w:r w:rsidRPr="009255ED">
        <w:t>této</w:t>
      </w:r>
      <w:r>
        <w:t xml:space="preserve"> </w:t>
      </w:r>
      <w:r w:rsidRPr="009255ED">
        <w:t>výzvy.</w:t>
      </w:r>
      <w:r>
        <w:t xml:space="preserve"> </w:t>
      </w:r>
      <w:r w:rsidRPr="009255ED">
        <w:t>Zamýšlený</w:t>
      </w:r>
      <w:r>
        <w:t xml:space="preserve"> </w:t>
      </w:r>
      <w:r w:rsidRPr="009255ED">
        <w:t>převod</w:t>
      </w:r>
      <w:r>
        <w:t xml:space="preserve"> </w:t>
      </w:r>
      <w:r w:rsidRPr="009255ED">
        <w:t>a</w:t>
      </w:r>
      <w:r>
        <w:t xml:space="preserve"> </w:t>
      </w:r>
      <w:r w:rsidRPr="009255ED">
        <w:t>výzva</w:t>
      </w:r>
      <w:r>
        <w:t xml:space="preserve"> </w:t>
      </w:r>
      <w:r w:rsidRPr="009255ED">
        <w:t>se</w:t>
      </w:r>
      <w:r>
        <w:t xml:space="preserve"> </w:t>
      </w:r>
      <w:r w:rsidRPr="009255ED">
        <w:t>vyhlásí</w:t>
      </w:r>
      <w:r>
        <w:t xml:space="preserve"> </w:t>
      </w:r>
      <w:r w:rsidRPr="009255ED">
        <w:t>zveřejněním</w:t>
      </w:r>
      <w:r>
        <w:t xml:space="preserve"> </w:t>
      </w:r>
      <w:r w:rsidRPr="009255ED">
        <w:t>na</w:t>
      </w:r>
      <w:r>
        <w:t xml:space="preserve"> </w:t>
      </w:r>
      <w:r w:rsidRPr="009255ED">
        <w:t>úřední</w:t>
      </w:r>
      <w:r>
        <w:t xml:space="preserve"> </w:t>
      </w:r>
      <w:r w:rsidRPr="009255ED">
        <w:t>desce</w:t>
      </w:r>
      <w:r>
        <w:t xml:space="preserve"> </w:t>
      </w:r>
      <w:r w:rsidRPr="009255ED">
        <w:t>Státního</w:t>
      </w:r>
      <w:r>
        <w:t xml:space="preserve"> </w:t>
      </w:r>
      <w:r w:rsidRPr="009255ED">
        <w:t>pozemkového</w:t>
      </w:r>
      <w:r>
        <w:t xml:space="preserve"> </w:t>
      </w:r>
      <w:r w:rsidRPr="009255ED">
        <w:t>úřadu,</w:t>
      </w:r>
      <w:r>
        <w:t xml:space="preserve"> </w:t>
      </w:r>
      <w:r w:rsidRPr="009255ED">
        <w:t>na</w:t>
      </w:r>
      <w:r>
        <w:t xml:space="preserve"> </w:t>
      </w:r>
      <w:r w:rsidRPr="009255ED">
        <w:t>jeho</w:t>
      </w:r>
      <w:r>
        <w:t xml:space="preserve"> </w:t>
      </w:r>
      <w:r w:rsidRPr="009255ED">
        <w:t>internetových</w:t>
      </w:r>
      <w:r>
        <w:t xml:space="preserve"> </w:t>
      </w:r>
      <w:r w:rsidRPr="009255ED">
        <w:t>stránkách</w:t>
      </w:r>
      <w:r>
        <w:t xml:space="preserve"> </w:t>
      </w:r>
      <w:r w:rsidRPr="009255ED">
        <w:t>a</w:t>
      </w:r>
      <w:r>
        <w:t xml:space="preserve"> </w:t>
      </w:r>
      <w:r w:rsidRPr="009255ED">
        <w:t>na</w:t>
      </w:r>
      <w:r>
        <w:t xml:space="preserve"> </w:t>
      </w:r>
      <w:r w:rsidRPr="009255ED">
        <w:t>úřední</w:t>
      </w:r>
      <w:r>
        <w:t xml:space="preserve"> </w:t>
      </w:r>
      <w:r w:rsidRPr="009255ED">
        <w:t>desce</w:t>
      </w:r>
      <w:r>
        <w:t xml:space="preserve"> </w:t>
      </w:r>
      <w:r w:rsidRPr="009255ED">
        <w:t>obecního</w:t>
      </w:r>
      <w:r>
        <w:t xml:space="preserve"> </w:t>
      </w:r>
      <w:r w:rsidRPr="009255ED">
        <w:t>úřadu</w:t>
      </w:r>
      <w:r>
        <w:t xml:space="preserve"> </w:t>
      </w:r>
      <w:r w:rsidRPr="009255ED">
        <w:t>v</w:t>
      </w:r>
      <w:r>
        <w:t xml:space="preserve"> </w:t>
      </w:r>
      <w:r w:rsidRPr="009255ED">
        <w:t>obci,</w:t>
      </w:r>
      <w:r>
        <w:t xml:space="preserve"> </w:t>
      </w:r>
      <w:r w:rsidRPr="009255ED">
        <w:t>na</w:t>
      </w:r>
      <w:r>
        <w:t xml:space="preserve"> </w:t>
      </w:r>
      <w:r w:rsidRPr="009255ED">
        <w:t>jejímž</w:t>
      </w:r>
      <w:r>
        <w:t xml:space="preserve"> </w:t>
      </w:r>
      <w:r w:rsidRPr="009255ED">
        <w:t>území</w:t>
      </w:r>
      <w:r>
        <w:t xml:space="preserve"> </w:t>
      </w:r>
      <w:r w:rsidRPr="009255ED">
        <w:t>se</w:t>
      </w:r>
      <w:r>
        <w:t xml:space="preserve"> </w:t>
      </w:r>
      <w:r w:rsidRPr="009255ED">
        <w:t>zemědělský</w:t>
      </w:r>
      <w:r>
        <w:t xml:space="preserve"> </w:t>
      </w:r>
      <w:r w:rsidRPr="009255ED">
        <w:t>pozemek</w:t>
      </w:r>
      <w:r>
        <w:t xml:space="preserve"> </w:t>
      </w:r>
      <w:r w:rsidRPr="009255ED">
        <w:t>nachází.</w:t>
      </w:r>
      <w:r>
        <w:t xml:space="preserve"> </w:t>
      </w:r>
      <w:r w:rsidRPr="009255ED">
        <w:t>První</w:t>
      </w:r>
      <w:r>
        <w:t xml:space="preserve"> </w:t>
      </w:r>
      <w:r w:rsidRPr="009255ED">
        <w:t>den</w:t>
      </w:r>
      <w:r>
        <w:t xml:space="preserve"> </w:t>
      </w:r>
      <w:r w:rsidRPr="009255ED">
        <w:t>zveřejnění</w:t>
      </w:r>
      <w:r>
        <w:t xml:space="preserve"> </w:t>
      </w:r>
      <w:r w:rsidRPr="009255ED">
        <w:t>na</w:t>
      </w:r>
      <w:r>
        <w:t xml:space="preserve"> </w:t>
      </w:r>
      <w:r w:rsidRPr="009255ED">
        <w:t>úřední</w:t>
      </w:r>
      <w:r>
        <w:t xml:space="preserve"> </w:t>
      </w:r>
      <w:r w:rsidRPr="009255ED">
        <w:t>desce</w:t>
      </w:r>
      <w:r>
        <w:t xml:space="preserve"> </w:t>
      </w:r>
      <w:r w:rsidRPr="009255ED">
        <w:t>Státního</w:t>
      </w:r>
      <w:r>
        <w:t xml:space="preserve"> </w:t>
      </w:r>
      <w:r w:rsidRPr="009255ED">
        <w:t>pozemkového</w:t>
      </w:r>
      <w:r>
        <w:t xml:space="preserve"> </w:t>
      </w:r>
      <w:r w:rsidRPr="009255ED">
        <w:t>úřadu</w:t>
      </w:r>
      <w:r>
        <w:t xml:space="preserve"> </w:t>
      </w:r>
      <w:r w:rsidRPr="009255ED">
        <w:t>je</w:t>
      </w:r>
      <w:r>
        <w:t xml:space="preserve"> </w:t>
      </w:r>
      <w:r w:rsidRPr="009255ED">
        <w:t>dnem</w:t>
      </w:r>
      <w:r>
        <w:t xml:space="preserve"> </w:t>
      </w:r>
      <w:r w:rsidRPr="009255ED">
        <w:t>vyhlášení</w:t>
      </w:r>
      <w:r>
        <w:t xml:space="preserve"> </w:t>
      </w:r>
      <w:r w:rsidRPr="009255ED">
        <w:t>výzvy.</w:t>
      </w:r>
    </w:p>
    <w:p w14:paraId="7CBCE20F" w14:textId="77777777" w:rsidR="001965B7" w:rsidRDefault="001965B7" w:rsidP="005D3450">
      <w:pPr>
        <w:pStyle w:val="Textparagrafu"/>
        <w:tabs>
          <w:tab w:val="left" w:pos="392"/>
          <w:tab w:val="left" w:pos="840"/>
        </w:tabs>
        <w:spacing w:before="120" w:after="120"/>
      </w:pPr>
      <w:r w:rsidRPr="009255ED">
        <w:t>(4)</w:t>
      </w:r>
      <w:r>
        <w:t xml:space="preserve"> </w:t>
      </w:r>
      <w:r w:rsidRPr="009255ED">
        <w:t>Podá-li</w:t>
      </w:r>
      <w:r>
        <w:t xml:space="preserve"> </w:t>
      </w:r>
      <w:r w:rsidRPr="009255ED">
        <w:t>jiná</w:t>
      </w:r>
      <w:r>
        <w:t xml:space="preserve"> </w:t>
      </w:r>
      <w:r w:rsidRPr="009255ED">
        <w:t>osoba</w:t>
      </w:r>
      <w:r>
        <w:t xml:space="preserve"> </w:t>
      </w:r>
      <w:r w:rsidRPr="009255ED">
        <w:t>písemnou</w:t>
      </w:r>
      <w:r>
        <w:t xml:space="preserve"> </w:t>
      </w:r>
      <w:r w:rsidRPr="009255ED">
        <w:t>námitku</w:t>
      </w:r>
      <w:r>
        <w:t xml:space="preserve"> </w:t>
      </w:r>
      <w:r w:rsidRPr="009255ED">
        <w:t>vlastnického</w:t>
      </w:r>
      <w:r>
        <w:t xml:space="preserve"> </w:t>
      </w:r>
      <w:r w:rsidRPr="009255ED">
        <w:t>práva</w:t>
      </w:r>
      <w:r>
        <w:t xml:space="preserve"> </w:t>
      </w:r>
      <w:r w:rsidRPr="009255ED">
        <w:t>k</w:t>
      </w:r>
      <w:r>
        <w:t xml:space="preserve"> </w:t>
      </w:r>
      <w:r w:rsidRPr="009255ED">
        <w:t>zemědělskému</w:t>
      </w:r>
      <w:r>
        <w:t xml:space="preserve"> </w:t>
      </w:r>
      <w:r w:rsidRPr="009255ED">
        <w:t>pozemku</w:t>
      </w:r>
      <w:r>
        <w:t xml:space="preserve"> </w:t>
      </w:r>
      <w:r w:rsidRPr="009255ED">
        <w:t>u</w:t>
      </w:r>
      <w:r>
        <w:t xml:space="preserve"> </w:t>
      </w:r>
      <w:r w:rsidRPr="009255ED">
        <w:t>Státního</w:t>
      </w:r>
      <w:r>
        <w:t xml:space="preserve"> </w:t>
      </w:r>
      <w:r w:rsidRPr="009255ED">
        <w:t>pozemkového</w:t>
      </w:r>
      <w:r>
        <w:t xml:space="preserve"> </w:t>
      </w:r>
      <w:r w:rsidRPr="009255ED">
        <w:t>úřadu</w:t>
      </w:r>
      <w:r>
        <w:t xml:space="preserve"> </w:t>
      </w:r>
      <w:r w:rsidRPr="009255ED">
        <w:t>do</w:t>
      </w:r>
      <w:r>
        <w:t xml:space="preserve"> </w:t>
      </w:r>
      <w:r w:rsidRPr="009255ED">
        <w:t>skončení</w:t>
      </w:r>
      <w:r>
        <w:t xml:space="preserve"> </w:t>
      </w:r>
      <w:r w:rsidRPr="009255ED">
        <w:t>lhůty</w:t>
      </w:r>
      <w:r>
        <w:t xml:space="preserve"> </w:t>
      </w:r>
      <w:r w:rsidRPr="009255ED">
        <w:t>pro</w:t>
      </w:r>
      <w:r>
        <w:t xml:space="preserve"> </w:t>
      </w:r>
      <w:r w:rsidRPr="009255ED">
        <w:t>podání</w:t>
      </w:r>
      <w:r>
        <w:t xml:space="preserve"> </w:t>
      </w:r>
      <w:r w:rsidRPr="009255ED">
        <w:t>námitek</w:t>
      </w:r>
      <w:r>
        <w:t xml:space="preserve"> </w:t>
      </w:r>
      <w:r w:rsidRPr="009255ED">
        <w:t>podle</w:t>
      </w:r>
      <w:r>
        <w:t xml:space="preserve"> </w:t>
      </w:r>
      <w:r w:rsidRPr="009255ED">
        <w:t>odstavce</w:t>
      </w:r>
      <w:r>
        <w:t xml:space="preserve"> </w:t>
      </w:r>
      <w:r w:rsidRPr="009255ED">
        <w:t>3,</w:t>
      </w:r>
      <w:r>
        <w:t xml:space="preserve"> </w:t>
      </w:r>
      <w:r w:rsidRPr="009255ED">
        <w:t>nelze</w:t>
      </w:r>
      <w:r>
        <w:t xml:space="preserve"> </w:t>
      </w:r>
      <w:r w:rsidRPr="009255ED">
        <w:t>zemědělský</w:t>
      </w:r>
      <w:r>
        <w:t xml:space="preserve"> </w:t>
      </w:r>
      <w:r w:rsidRPr="009255ED">
        <w:t>pozemek</w:t>
      </w:r>
      <w:r>
        <w:t xml:space="preserve"> </w:t>
      </w:r>
      <w:r w:rsidRPr="009255ED">
        <w:t>podle</w:t>
      </w:r>
      <w:r>
        <w:t xml:space="preserve"> </w:t>
      </w:r>
      <w:r w:rsidRPr="009255ED">
        <w:t>tohoto</w:t>
      </w:r>
      <w:r>
        <w:t xml:space="preserve"> </w:t>
      </w:r>
      <w:r w:rsidRPr="009255ED">
        <w:t>zákona</w:t>
      </w:r>
      <w:r>
        <w:t xml:space="preserve"> </w:t>
      </w:r>
      <w:r w:rsidRPr="009255ED">
        <w:t>nebo</w:t>
      </w:r>
      <w:r>
        <w:t xml:space="preserve"> </w:t>
      </w:r>
      <w:r w:rsidRPr="009255ED">
        <w:t>zákona</w:t>
      </w:r>
      <w:r>
        <w:t xml:space="preserve"> </w:t>
      </w:r>
      <w:r w:rsidRPr="009255ED">
        <w:t>č.</w:t>
      </w:r>
      <w:r>
        <w:t xml:space="preserve"> </w:t>
      </w:r>
      <w:r w:rsidRPr="009255ED">
        <w:t>229/1991</w:t>
      </w:r>
      <w:r>
        <w:t xml:space="preserve"> </w:t>
      </w:r>
      <w:r w:rsidRPr="009255ED">
        <w:t>Sb.,</w:t>
      </w:r>
      <w:r>
        <w:t xml:space="preserve"> </w:t>
      </w:r>
      <w:r w:rsidRPr="009255ED">
        <w:t>ve</w:t>
      </w:r>
      <w:r>
        <w:t xml:space="preserve"> </w:t>
      </w:r>
      <w:r w:rsidRPr="009255ED">
        <w:t>znění</w:t>
      </w:r>
      <w:r>
        <w:t xml:space="preserve"> </w:t>
      </w:r>
      <w:r w:rsidRPr="009255ED">
        <w:t>pozdějších</w:t>
      </w:r>
      <w:r>
        <w:t xml:space="preserve"> </w:t>
      </w:r>
      <w:r w:rsidRPr="009255ED">
        <w:t>předpisů,</w:t>
      </w:r>
      <w:r>
        <w:t xml:space="preserve"> </w:t>
      </w:r>
      <w:r w:rsidRPr="009255ED">
        <w:t>anebo</w:t>
      </w:r>
      <w:r>
        <w:t xml:space="preserve"> </w:t>
      </w:r>
      <w:r w:rsidRPr="009255ED">
        <w:t>zákona</w:t>
      </w:r>
      <w:r>
        <w:t xml:space="preserve"> </w:t>
      </w:r>
      <w:r w:rsidRPr="009255ED">
        <w:t>č.</w:t>
      </w:r>
      <w:r>
        <w:t xml:space="preserve"> </w:t>
      </w:r>
      <w:r w:rsidRPr="009255ED">
        <w:t>44/1988</w:t>
      </w:r>
      <w:r>
        <w:t xml:space="preserve"> </w:t>
      </w:r>
      <w:r w:rsidRPr="009255ED">
        <w:t>Sb.,</w:t>
      </w:r>
      <w:r>
        <w:t xml:space="preserve"> </w:t>
      </w:r>
      <w:r w:rsidRPr="009255ED">
        <w:t>ve</w:t>
      </w:r>
      <w:r>
        <w:t xml:space="preserve"> </w:t>
      </w:r>
      <w:r w:rsidRPr="009255ED">
        <w:t>znění</w:t>
      </w:r>
      <w:r>
        <w:t xml:space="preserve"> </w:t>
      </w:r>
      <w:r w:rsidRPr="009255ED">
        <w:t>pozdějších</w:t>
      </w:r>
      <w:r>
        <w:t xml:space="preserve"> </w:t>
      </w:r>
      <w:r w:rsidRPr="009255ED">
        <w:t>předpisů,</w:t>
      </w:r>
      <w:r>
        <w:t xml:space="preserve"> </w:t>
      </w:r>
      <w:r w:rsidRPr="009255ED">
        <w:t>převést.</w:t>
      </w:r>
    </w:p>
    <w:p w14:paraId="75394CE9" w14:textId="77777777" w:rsidR="001965B7" w:rsidRDefault="001965B7" w:rsidP="005D3450">
      <w:pPr>
        <w:pStyle w:val="Textparagrafu"/>
        <w:tabs>
          <w:tab w:val="left" w:pos="392"/>
          <w:tab w:val="left" w:pos="840"/>
        </w:tabs>
        <w:spacing w:before="120" w:after="120"/>
      </w:pPr>
      <w:r w:rsidRPr="009255ED">
        <w:t>(5)</w:t>
      </w:r>
      <w:r>
        <w:t xml:space="preserve"> </w:t>
      </w:r>
      <w:r w:rsidRPr="009255ED">
        <w:t>Pokud</w:t>
      </w:r>
      <w:r>
        <w:t xml:space="preserve"> </w:t>
      </w:r>
      <w:r w:rsidRPr="009255ED">
        <w:t>osoba</w:t>
      </w:r>
      <w:r>
        <w:t xml:space="preserve"> </w:t>
      </w:r>
      <w:r w:rsidRPr="009255ED">
        <w:t>uvedená</w:t>
      </w:r>
      <w:r>
        <w:t xml:space="preserve"> </w:t>
      </w:r>
      <w:r w:rsidRPr="009255ED">
        <w:t>v</w:t>
      </w:r>
      <w:r>
        <w:t xml:space="preserve"> </w:t>
      </w:r>
      <w:r w:rsidRPr="009255ED">
        <w:t>odstavci</w:t>
      </w:r>
      <w:r>
        <w:t xml:space="preserve"> </w:t>
      </w:r>
      <w:r w:rsidRPr="009255ED">
        <w:t>4</w:t>
      </w:r>
      <w:r>
        <w:t xml:space="preserve"> </w:t>
      </w:r>
      <w:r w:rsidRPr="009255ED">
        <w:t>nedoloží,</w:t>
      </w:r>
      <w:r>
        <w:t xml:space="preserve"> </w:t>
      </w:r>
      <w:r w:rsidRPr="009255ED">
        <w:t>že</w:t>
      </w:r>
      <w:r>
        <w:t xml:space="preserve"> </w:t>
      </w:r>
      <w:r w:rsidRPr="009255ED">
        <w:t>podala</w:t>
      </w:r>
      <w:r>
        <w:t xml:space="preserve"> </w:t>
      </w:r>
      <w:r w:rsidRPr="009255ED">
        <w:t>návrh</w:t>
      </w:r>
      <w:r>
        <w:t xml:space="preserve"> </w:t>
      </w:r>
      <w:r w:rsidRPr="009255ED">
        <w:t>katastrálnímu</w:t>
      </w:r>
      <w:r>
        <w:t xml:space="preserve"> </w:t>
      </w:r>
      <w:r w:rsidRPr="009255ED">
        <w:t>úřadu</w:t>
      </w:r>
      <w:r>
        <w:t xml:space="preserve"> </w:t>
      </w:r>
      <w:r w:rsidRPr="009255ED">
        <w:t>na</w:t>
      </w:r>
      <w:r>
        <w:t xml:space="preserve"> </w:t>
      </w:r>
      <w:r w:rsidRPr="009255ED">
        <w:t>zápis</w:t>
      </w:r>
      <w:r>
        <w:t xml:space="preserve"> </w:t>
      </w:r>
      <w:r w:rsidRPr="009255ED">
        <w:t>svého</w:t>
      </w:r>
      <w:r>
        <w:t xml:space="preserve"> </w:t>
      </w:r>
      <w:r w:rsidRPr="009255ED">
        <w:t>vlastnického</w:t>
      </w:r>
      <w:r>
        <w:t xml:space="preserve"> </w:t>
      </w:r>
      <w:r w:rsidRPr="009255ED">
        <w:t>práva</w:t>
      </w:r>
      <w:r>
        <w:t xml:space="preserve"> </w:t>
      </w:r>
      <w:r w:rsidRPr="009255ED">
        <w:t>do</w:t>
      </w:r>
      <w:r>
        <w:t xml:space="preserve"> </w:t>
      </w:r>
      <w:r w:rsidRPr="009255ED">
        <w:t>katastru</w:t>
      </w:r>
      <w:r>
        <w:t xml:space="preserve"> </w:t>
      </w:r>
      <w:r w:rsidRPr="009255ED">
        <w:t>nemovitostí</w:t>
      </w:r>
      <w:r>
        <w:t xml:space="preserve"> </w:t>
      </w:r>
      <w:r w:rsidRPr="009255ED">
        <w:t>nebo</w:t>
      </w:r>
      <w:r>
        <w:t xml:space="preserve"> </w:t>
      </w:r>
      <w:r w:rsidRPr="009255ED">
        <w:t>že</w:t>
      </w:r>
      <w:r>
        <w:t xml:space="preserve"> </w:t>
      </w:r>
      <w:r w:rsidRPr="009255ED">
        <w:t>u</w:t>
      </w:r>
      <w:r>
        <w:t xml:space="preserve"> </w:t>
      </w:r>
      <w:r w:rsidRPr="009255ED">
        <w:t>soudu</w:t>
      </w:r>
      <w:r>
        <w:t xml:space="preserve"> </w:t>
      </w:r>
      <w:r w:rsidRPr="009255ED">
        <w:t>uplatnila</w:t>
      </w:r>
      <w:r>
        <w:t xml:space="preserve"> </w:t>
      </w:r>
      <w:r w:rsidRPr="009255ED">
        <w:t>své</w:t>
      </w:r>
      <w:r>
        <w:t xml:space="preserve"> </w:t>
      </w:r>
      <w:r w:rsidRPr="009255ED">
        <w:t>vlastnické</w:t>
      </w:r>
      <w:r>
        <w:t xml:space="preserve"> </w:t>
      </w:r>
      <w:r w:rsidRPr="009255ED">
        <w:t>právo</w:t>
      </w:r>
      <w:r>
        <w:t xml:space="preserve"> </w:t>
      </w:r>
      <w:r w:rsidRPr="009255ED">
        <w:t>k</w:t>
      </w:r>
      <w:r>
        <w:t xml:space="preserve"> </w:t>
      </w:r>
      <w:r w:rsidRPr="009255ED">
        <w:t>zemědělskému</w:t>
      </w:r>
      <w:r>
        <w:t xml:space="preserve"> </w:t>
      </w:r>
      <w:r w:rsidRPr="009255ED">
        <w:t>pozemku</w:t>
      </w:r>
      <w:r>
        <w:t xml:space="preserve"> </w:t>
      </w:r>
      <w:r w:rsidRPr="009255ED">
        <w:t>ve</w:t>
      </w:r>
      <w:r>
        <w:t xml:space="preserve"> </w:t>
      </w:r>
      <w:r w:rsidRPr="009255ED">
        <w:t>lhůtě</w:t>
      </w:r>
      <w:r>
        <w:t xml:space="preserve"> </w:t>
      </w:r>
      <w:r w:rsidRPr="009255ED">
        <w:t>1</w:t>
      </w:r>
      <w:r>
        <w:t xml:space="preserve"> </w:t>
      </w:r>
      <w:r w:rsidRPr="009255ED">
        <w:t>roku</w:t>
      </w:r>
      <w:r>
        <w:t xml:space="preserve"> </w:t>
      </w:r>
      <w:r w:rsidRPr="009255ED">
        <w:t>od</w:t>
      </w:r>
      <w:r>
        <w:t xml:space="preserve"> </w:t>
      </w:r>
      <w:r w:rsidRPr="009255ED">
        <w:t>podání</w:t>
      </w:r>
      <w:r>
        <w:t xml:space="preserve"> </w:t>
      </w:r>
      <w:r w:rsidRPr="009255ED">
        <w:t>námitek</w:t>
      </w:r>
      <w:r>
        <w:t xml:space="preserve"> </w:t>
      </w:r>
      <w:r w:rsidRPr="009255ED">
        <w:t>u</w:t>
      </w:r>
      <w:r>
        <w:t xml:space="preserve"> </w:t>
      </w:r>
      <w:r w:rsidRPr="009255ED">
        <w:t>Státního</w:t>
      </w:r>
      <w:r>
        <w:t xml:space="preserve"> </w:t>
      </w:r>
      <w:r w:rsidRPr="009255ED">
        <w:t>pozemkového</w:t>
      </w:r>
      <w:r>
        <w:t xml:space="preserve"> </w:t>
      </w:r>
      <w:r w:rsidRPr="009255ED">
        <w:t>úřadu,</w:t>
      </w:r>
      <w:r>
        <w:t xml:space="preserve"> </w:t>
      </w:r>
      <w:r w:rsidRPr="009255ED">
        <w:t>lze</w:t>
      </w:r>
      <w:r>
        <w:t xml:space="preserve"> </w:t>
      </w:r>
      <w:r w:rsidRPr="009255ED">
        <w:t>převod</w:t>
      </w:r>
      <w:r>
        <w:t xml:space="preserve"> </w:t>
      </w:r>
      <w:r w:rsidRPr="009255ED">
        <w:t>podle</w:t>
      </w:r>
      <w:r>
        <w:t xml:space="preserve"> </w:t>
      </w:r>
      <w:r w:rsidRPr="009255ED">
        <w:t>tohoto</w:t>
      </w:r>
      <w:r>
        <w:t xml:space="preserve"> </w:t>
      </w:r>
      <w:r w:rsidRPr="009255ED">
        <w:t>zákona</w:t>
      </w:r>
      <w:r>
        <w:t xml:space="preserve"> </w:t>
      </w:r>
      <w:r w:rsidRPr="009255ED">
        <w:t>nebo</w:t>
      </w:r>
      <w:r>
        <w:t xml:space="preserve"> </w:t>
      </w:r>
      <w:r w:rsidRPr="009255ED">
        <w:t>zákona</w:t>
      </w:r>
      <w:r>
        <w:t xml:space="preserve"> </w:t>
      </w:r>
      <w:r w:rsidRPr="009255ED">
        <w:t>č.</w:t>
      </w:r>
      <w:r>
        <w:t xml:space="preserve"> </w:t>
      </w:r>
      <w:r w:rsidRPr="009255ED">
        <w:t>229/1991</w:t>
      </w:r>
      <w:r>
        <w:t xml:space="preserve"> </w:t>
      </w:r>
      <w:r w:rsidRPr="009255ED">
        <w:t>Sb.,</w:t>
      </w:r>
      <w:r>
        <w:t xml:space="preserve"> </w:t>
      </w:r>
      <w:r w:rsidRPr="009255ED">
        <w:t>ve</w:t>
      </w:r>
      <w:r>
        <w:t xml:space="preserve"> </w:t>
      </w:r>
      <w:r w:rsidRPr="009255ED">
        <w:t>znění</w:t>
      </w:r>
      <w:r>
        <w:t xml:space="preserve"> </w:t>
      </w:r>
      <w:r w:rsidRPr="009255ED">
        <w:t>pozdějších</w:t>
      </w:r>
      <w:r>
        <w:t xml:space="preserve"> </w:t>
      </w:r>
      <w:r w:rsidRPr="009255ED">
        <w:t>předpisů,</w:t>
      </w:r>
      <w:r>
        <w:t xml:space="preserve"> </w:t>
      </w:r>
      <w:r w:rsidRPr="009255ED">
        <w:t>anebo</w:t>
      </w:r>
      <w:r>
        <w:t xml:space="preserve"> </w:t>
      </w:r>
      <w:r w:rsidRPr="009255ED">
        <w:t>zákona</w:t>
      </w:r>
      <w:r>
        <w:t xml:space="preserve"> </w:t>
      </w:r>
      <w:r w:rsidRPr="009255ED">
        <w:t>č.</w:t>
      </w:r>
      <w:r>
        <w:t xml:space="preserve"> </w:t>
      </w:r>
      <w:r w:rsidRPr="009255ED">
        <w:t>44/1988</w:t>
      </w:r>
      <w:r>
        <w:t xml:space="preserve"> </w:t>
      </w:r>
      <w:r w:rsidRPr="009255ED">
        <w:t>Sb.,</w:t>
      </w:r>
      <w:r>
        <w:t xml:space="preserve"> </w:t>
      </w:r>
      <w:r w:rsidRPr="009255ED">
        <w:t>ve</w:t>
      </w:r>
      <w:r>
        <w:t xml:space="preserve"> </w:t>
      </w:r>
      <w:r w:rsidRPr="009255ED">
        <w:t>znění</w:t>
      </w:r>
      <w:r>
        <w:t xml:space="preserve"> </w:t>
      </w:r>
      <w:r w:rsidRPr="009255ED">
        <w:t>pozdějších</w:t>
      </w:r>
      <w:r>
        <w:t xml:space="preserve"> </w:t>
      </w:r>
      <w:r w:rsidRPr="009255ED">
        <w:t>předpisů,</w:t>
      </w:r>
      <w:r>
        <w:t xml:space="preserve"> </w:t>
      </w:r>
      <w:r w:rsidRPr="009255ED">
        <w:t>provést.</w:t>
      </w:r>
    </w:p>
    <w:p w14:paraId="32488367" w14:textId="189F737F" w:rsidR="001965B7" w:rsidRPr="009255ED" w:rsidRDefault="001965B7" w:rsidP="005D3450">
      <w:pPr>
        <w:pStyle w:val="Textparagrafu"/>
        <w:tabs>
          <w:tab w:val="left" w:pos="392"/>
          <w:tab w:val="left" w:pos="840"/>
        </w:tabs>
        <w:spacing w:before="120" w:after="120"/>
      </w:pPr>
      <w:r w:rsidRPr="009255ED">
        <w:t>(6)</w:t>
      </w:r>
      <w:r>
        <w:t xml:space="preserve"> </w:t>
      </w:r>
      <w:r w:rsidRPr="009255ED">
        <w:t>Nenamítne-li</w:t>
      </w:r>
      <w:r>
        <w:t xml:space="preserve"> </w:t>
      </w:r>
      <w:r w:rsidRPr="009255ED">
        <w:t>jiná</w:t>
      </w:r>
      <w:r>
        <w:t xml:space="preserve"> </w:t>
      </w:r>
      <w:r w:rsidRPr="009255ED">
        <w:t>osoba</w:t>
      </w:r>
      <w:r>
        <w:t xml:space="preserve"> </w:t>
      </w:r>
      <w:r w:rsidRPr="009255ED">
        <w:t>své</w:t>
      </w:r>
      <w:r>
        <w:t xml:space="preserve"> </w:t>
      </w:r>
      <w:r w:rsidRPr="009255ED">
        <w:t>vlastnické</w:t>
      </w:r>
      <w:r>
        <w:t xml:space="preserve"> </w:t>
      </w:r>
      <w:r w:rsidRPr="009255ED">
        <w:t>právo</w:t>
      </w:r>
      <w:r>
        <w:t xml:space="preserve"> </w:t>
      </w:r>
      <w:r w:rsidRPr="009255ED">
        <w:t>k</w:t>
      </w:r>
      <w:r>
        <w:t xml:space="preserve"> </w:t>
      </w:r>
      <w:r w:rsidRPr="009255ED">
        <w:t>zemědělskému</w:t>
      </w:r>
      <w:r>
        <w:t xml:space="preserve"> </w:t>
      </w:r>
      <w:r w:rsidRPr="009255ED">
        <w:t>pozemku</w:t>
      </w:r>
      <w:r>
        <w:t xml:space="preserve"> </w:t>
      </w:r>
      <w:r w:rsidRPr="009255ED">
        <w:t>ve</w:t>
      </w:r>
      <w:r>
        <w:t xml:space="preserve"> </w:t>
      </w:r>
      <w:r w:rsidRPr="009255ED">
        <w:t>lhůtě</w:t>
      </w:r>
      <w:r>
        <w:t xml:space="preserve"> </w:t>
      </w:r>
      <w:r w:rsidRPr="009255ED">
        <w:t>uvedené</w:t>
      </w:r>
      <w:r>
        <w:t xml:space="preserve"> </w:t>
      </w:r>
      <w:r w:rsidRPr="009255ED">
        <w:t>v</w:t>
      </w:r>
      <w:r>
        <w:t xml:space="preserve"> </w:t>
      </w:r>
      <w:r w:rsidRPr="009255ED">
        <w:t>odstavci</w:t>
      </w:r>
      <w:r>
        <w:t xml:space="preserve"> </w:t>
      </w:r>
      <w:r w:rsidRPr="009255ED">
        <w:t>3</w:t>
      </w:r>
      <w:r>
        <w:t xml:space="preserve"> </w:t>
      </w:r>
      <w:r w:rsidRPr="009255ED">
        <w:t>a</w:t>
      </w:r>
      <w:r>
        <w:t xml:space="preserve"> </w:t>
      </w:r>
      <w:r w:rsidRPr="009255ED">
        <w:t>prokáže-li</w:t>
      </w:r>
      <w:r>
        <w:t xml:space="preserve"> </w:t>
      </w:r>
      <w:r w:rsidRPr="009255ED">
        <w:t>později,</w:t>
      </w:r>
      <w:r>
        <w:t xml:space="preserve"> </w:t>
      </w:r>
      <w:r w:rsidRPr="009255ED">
        <w:t>že</w:t>
      </w:r>
      <w:r>
        <w:t xml:space="preserve"> </w:t>
      </w:r>
      <w:r w:rsidRPr="009255ED">
        <w:t>byla</w:t>
      </w:r>
      <w:r>
        <w:t xml:space="preserve"> </w:t>
      </w:r>
      <w:r w:rsidRPr="009255ED">
        <w:t>ke</w:t>
      </w:r>
      <w:r>
        <w:t xml:space="preserve"> </w:t>
      </w:r>
      <w:r w:rsidRPr="009255ED">
        <w:t>dni</w:t>
      </w:r>
      <w:r>
        <w:t xml:space="preserve"> </w:t>
      </w:r>
      <w:r w:rsidRPr="009255ED">
        <w:t>skončení</w:t>
      </w:r>
      <w:r>
        <w:t xml:space="preserve"> </w:t>
      </w:r>
      <w:r w:rsidRPr="009255ED">
        <w:t>této</w:t>
      </w:r>
      <w:r>
        <w:t xml:space="preserve"> </w:t>
      </w:r>
      <w:r w:rsidRPr="009255ED">
        <w:t>lhůty</w:t>
      </w:r>
      <w:r>
        <w:t xml:space="preserve"> </w:t>
      </w:r>
      <w:r w:rsidRPr="009255ED">
        <w:t>jeho</w:t>
      </w:r>
      <w:r>
        <w:t xml:space="preserve"> </w:t>
      </w:r>
      <w:r w:rsidRPr="009255ED">
        <w:t>vlastníkem,</w:t>
      </w:r>
      <w:r>
        <w:t xml:space="preserve"> </w:t>
      </w:r>
      <w:r w:rsidRPr="009255ED">
        <w:t>přísluší</w:t>
      </w:r>
      <w:r>
        <w:t xml:space="preserve"> </w:t>
      </w:r>
      <w:r w:rsidRPr="009255ED">
        <w:t>jí</w:t>
      </w:r>
      <w:r>
        <w:t xml:space="preserve"> </w:t>
      </w:r>
      <w:r w:rsidRPr="009255ED">
        <w:t>od</w:t>
      </w:r>
      <w:r>
        <w:t xml:space="preserve"> </w:t>
      </w:r>
      <w:r w:rsidRPr="009255ED">
        <w:t>Státního</w:t>
      </w:r>
      <w:r>
        <w:t xml:space="preserve"> </w:t>
      </w:r>
      <w:r w:rsidRPr="009255ED">
        <w:t>pozemkového</w:t>
      </w:r>
      <w:r>
        <w:t xml:space="preserve"> </w:t>
      </w:r>
      <w:r w:rsidRPr="009255ED">
        <w:t>úřadu</w:t>
      </w:r>
      <w:r>
        <w:t xml:space="preserve"> </w:t>
      </w:r>
      <w:r w:rsidRPr="009255ED">
        <w:t>finanční</w:t>
      </w:r>
      <w:r>
        <w:t xml:space="preserve"> </w:t>
      </w:r>
      <w:r w:rsidRPr="009255ED">
        <w:t>náhrada</w:t>
      </w:r>
      <w:r>
        <w:t xml:space="preserve"> </w:t>
      </w:r>
      <w:r w:rsidRPr="009255ED">
        <w:t>ve</w:t>
      </w:r>
      <w:r>
        <w:t xml:space="preserve"> </w:t>
      </w:r>
      <w:r w:rsidRPr="009255ED">
        <w:t>výši</w:t>
      </w:r>
      <w:r>
        <w:t xml:space="preserve"> </w:t>
      </w:r>
      <w:r w:rsidRPr="009255ED">
        <w:t>ceny,</w:t>
      </w:r>
      <w:r>
        <w:t xml:space="preserve"> </w:t>
      </w:r>
      <w:r w:rsidRPr="009255ED">
        <w:t>za</w:t>
      </w:r>
      <w:r>
        <w:t xml:space="preserve"> </w:t>
      </w:r>
      <w:r w:rsidRPr="009255ED">
        <w:t>kterou</w:t>
      </w:r>
      <w:r>
        <w:t xml:space="preserve"> </w:t>
      </w:r>
      <w:r w:rsidRPr="009255ED">
        <w:t>byl</w:t>
      </w:r>
      <w:r>
        <w:t xml:space="preserve"> </w:t>
      </w:r>
      <w:r w:rsidRPr="009255ED">
        <w:t>zemědělský</w:t>
      </w:r>
      <w:r>
        <w:t xml:space="preserve"> </w:t>
      </w:r>
      <w:r w:rsidRPr="009255ED">
        <w:t>pozemek</w:t>
      </w:r>
      <w:r>
        <w:t xml:space="preserve"> </w:t>
      </w:r>
      <w:r w:rsidRPr="009255ED">
        <w:t>převeden</w:t>
      </w:r>
      <w:r>
        <w:t xml:space="preserve"> </w:t>
      </w:r>
      <w:r w:rsidRPr="009255ED">
        <w:t>na</w:t>
      </w:r>
      <w:r>
        <w:t xml:space="preserve"> </w:t>
      </w:r>
      <w:r w:rsidRPr="009255ED">
        <w:t>nabyvatele,</w:t>
      </w:r>
      <w:r>
        <w:t xml:space="preserve"> </w:t>
      </w:r>
      <w:r w:rsidRPr="009255ED">
        <w:t>u</w:t>
      </w:r>
      <w:r>
        <w:t xml:space="preserve"> </w:t>
      </w:r>
      <w:r w:rsidRPr="009255ED">
        <w:t>bezúplatných</w:t>
      </w:r>
      <w:r>
        <w:t xml:space="preserve"> </w:t>
      </w:r>
      <w:r w:rsidRPr="009255ED">
        <w:t>převodů</w:t>
      </w:r>
      <w:r>
        <w:t xml:space="preserve"> </w:t>
      </w:r>
      <w:r w:rsidRPr="009255ED">
        <w:t>ve</w:t>
      </w:r>
      <w:r>
        <w:t xml:space="preserve"> </w:t>
      </w:r>
      <w:r w:rsidRPr="009255ED">
        <w:t>výši</w:t>
      </w:r>
      <w:r>
        <w:t xml:space="preserve"> </w:t>
      </w:r>
      <w:r w:rsidRPr="000B6CF8">
        <w:rPr>
          <w:strike/>
        </w:rPr>
        <w:t xml:space="preserve">ceny zjištěné podle cenového </w:t>
      </w:r>
      <w:r w:rsidR="0080777D" w:rsidRPr="000B6CF8">
        <w:rPr>
          <w:strike/>
        </w:rPr>
        <w:t>předpisu</w:t>
      </w:r>
      <w:r w:rsidR="0080777D" w:rsidRPr="000B6CF8">
        <w:rPr>
          <w:rStyle w:val="Znakapoznpodarou"/>
          <w:strike/>
        </w:rPr>
        <w:footnoteReference w:customMarkFollows="1" w:id="545"/>
        <w:t>35)</w:t>
      </w:r>
      <w:r w:rsidR="000B6CF8" w:rsidRPr="000B6CF8">
        <w:rPr>
          <w:b/>
        </w:rPr>
        <w:t xml:space="preserve"> </w:t>
      </w:r>
      <w:r w:rsidR="000B6CF8" w:rsidRPr="00166AF2">
        <w:rPr>
          <w:b/>
        </w:rPr>
        <w:t>zjištěné hodnoty určené podle zákona o oceňování</w:t>
      </w:r>
      <w:r>
        <w:t xml:space="preserve"> </w:t>
      </w:r>
      <w:r w:rsidRPr="009255ED">
        <w:t>ke</w:t>
      </w:r>
      <w:r>
        <w:t xml:space="preserve"> </w:t>
      </w:r>
      <w:r w:rsidRPr="009255ED">
        <w:t>dni</w:t>
      </w:r>
      <w:r>
        <w:t xml:space="preserve"> </w:t>
      </w:r>
      <w:r w:rsidRPr="009255ED">
        <w:t>převodu.</w:t>
      </w:r>
    </w:p>
    <w:p w14:paraId="0E3EAE25" w14:textId="22E5CA88" w:rsidR="001965B7" w:rsidRDefault="001965B7" w:rsidP="005D3450">
      <w:pPr>
        <w:tabs>
          <w:tab w:val="left" w:pos="851"/>
        </w:tabs>
        <w:spacing w:before="120" w:after="120"/>
        <w:ind w:firstLine="0"/>
        <w:outlineLvl w:val="0"/>
      </w:pPr>
    </w:p>
    <w:p w14:paraId="64977B27" w14:textId="225C6667" w:rsidR="001965B7" w:rsidRDefault="001965B7" w:rsidP="005D3450">
      <w:pPr>
        <w:tabs>
          <w:tab w:val="left" w:pos="851"/>
        </w:tabs>
        <w:spacing w:before="120" w:after="120"/>
        <w:ind w:firstLine="0"/>
        <w:outlineLvl w:val="0"/>
      </w:pPr>
    </w:p>
    <w:p w14:paraId="27E13F3D" w14:textId="77777777" w:rsidR="001965B7" w:rsidRDefault="001965B7" w:rsidP="00881B66">
      <w:pPr>
        <w:tabs>
          <w:tab w:val="left" w:pos="851"/>
        </w:tabs>
        <w:spacing w:before="120" w:after="120"/>
        <w:ind w:firstLine="0"/>
        <w:outlineLvl w:val="0"/>
        <w:sectPr w:rsidR="001965B7" w:rsidSect="00554E2B">
          <w:footnotePr>
            <w:numStart w:val="3"/>
          </w:footnotePr>
          <w:endnotePr>
            <w:numFmt w:val="decimal"/>
          </w:endnotePr>
          <w:pgSz w:w="11906" w:h="16838"/>
          <w:pgMar w:top="1418" w:right="1418" w:bottom="1418" w:left="1418" w:header="709" w:footer="709" w:gutter="0"/>
          <w:cols w:space="708"/>
          <w:docGrid w:linePitch="360"/>
        </w:sectPr>
      </w:pPr>
    </w:p>
    <w:p w14:paraId="1B99C0DC" w14:textId="3F47D767" w:rsidR="002E4BE2" w:rsidRPr="007613A3" w:rsidRDefault="002E4BE2" w:rsidP="005D3450">
      <w:pPr>
        <w:tabs>
          <w:tab w:val="left" w:pos="851"/>
        </w:tabs>
        <w:spacing w:before="120" w:after="120"/>
        <w:ind w:firstLine="0"/>
        <w:jc w:val="center"/>
        <w:outlineLvl w:val="0"/>
        <w:rPr>
          <w:szCs w:val="24"/>
        </w:rPr>
      </w:pPr>
      <w:r w:rsidRPr="007613A3">
        <w:rPr>
          <w:b/>
          <w:szCs w:val="24"/>
        </w:rPr>
        <w:lastRenderedPageBreak/>
        <w:t xml:space="preserve">K části sté </w:t>
      </w:r>
      <w:r w:rsidR="00635DDD" w:rsidRPr="007613A3">
        <w:rPr>
          <w:b/>
          <w:szCs w:val="24"/>
        </w:rPr>
        <w:t>patnácté</w:t>
      </w:r>
      <w:r w:rsidRPr="007613A3">
        <w:rPr>
          <w:b/>
          <w:szCs w:val="24"/>
        </w:rPr>
        <w:t xml:space="preserve"> návrhu zákona – </w:t>
      </w:r>
      <w:r w:rsidRPr="007613A3">
        <w:rPr>
          <w:szCs w:val="24"/>
        </w:rPr>
        <w:t>změna zákona</w:t>
      </w:r>
      <w:r w:rsidRPr="007613A3">
        <w:t xml:space="preserve"> </w:t>
      </w:r>
      <w:r w:rsidR="00ED521F" w:rsidRPr="007613A3">
        <w:rPr>
          <w:szCs w:val="24"/>
        </w:rPr>
        <w:t>o investičních společnostech a investičních fondech</w:t>
      </w:r>
    </w:p>
    <w:p w14:paraId="74888937" w14:textId="0C874664" w:rsidR="002E4BE2" w:rsidRDefault="002E4BE2" w:rsidP="00ED521F">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7613A3">
        <w:rPr>
          <w:b/>
          <w:szCs w:val="24"/>
        </w:rPr>
        <w:t>Platné znění</w:t>
      </w:r>
      <w:r w:rsidRPr="007613A3">
        <w:rPr>
          <w:szCs w:val="24"/>
        </w:rPr>
        <w:t xml:space="preserve"> zákona č. </w:t>
      </w:r>
      <w:r w:rsidR="00ED521F" w:rsidRPr="007613A3">
        <w:rPr>
          <w:szCs w:val="24"/>
        </w:rPr>
        <w:t>240/2013</w:t>
      </w:r>
      <w:r w:rsidRPr="007613A3">
        <w:rPr>
          <w:szCs w:val="24"/>
        </w:rPr>
        <w:t xml:space="preserve"> Sb., </w:t>
      </w:r>
      <w:r w:rsidR="00ED521F" w:rsidRPr="007613A3">
        <w:rPr>
          <w:szCs w:val="24"/>
        </w:rPr>
        <w:t>o investičních společnostech a investičních fondech</w:t>
      </w:r>
    </w:p>
    <w:p w14:paraId="3CA416FC" w14:textId="5D4EB963" w:rsidR="005D3450" w:rsidRPr="005D3450" w:rsidRDefault="005D3450" w:rsidP="005D3450">
      <w:pPr>
        <w:pStyle w:val="Odstavecseseznamem"/>
        <w:numPr>
          <w:ilvl w:val="0"/>
          <w:numId w:val="27"/>
        </w:numPr>
        <w:pBdr>
          <w:top w:val="single" w:sz="12" w:space="6" w:color="auto"/>
          <w:left w:val="single" w:sz="12" w:space="0" w:color="auto"/>
          <w:bottom w:val="single" w:sz="12" w:space="6" w:color="auto"/>
          <w:right w:val="single" w:sz="12" w:space="0" w:color="auto"/>
        </w:pBdr>
        <w:spacing w:after="120"/>
        <w:jc w:val="center"/>
        <w:rPr>
          <w:b/>
          <w:szCs w:val="24"/>
          <w:lang w:eastAsia="en-US"/>
        </w:rPr>
      </w:pPr>
      <w:r w:rsidRPr="005D3450">
        <w:rPr>
          <w:b/>
          <w:szCs w:val="24"/>
          <w:lang w:eastAsia="en-US"/>
        </w:rPr>
        <w:t>s vyznačením navrhovaných změn a doplnění k 1. lednu 2025</w:t>
      </w:r>
      <w:r w:rsidRPr="00181A4A">
        <w:t xml:space="preserve"> </w:t>
      </w:r>
    </w:p>
    <w:p w14:paraId="35984EBF" w14:textId="418AD987" w:rsidR="007613A3" w:rsidRPr="007613A3" w:rsidRDefault="007613A3" w:rsidP="007613A3">
      <w:pPr>
        <w:pStyle w:val="Odstavecseseznamem"/>
        <w:numPr>
          <w:ilvl w:val="0"/>
          <w:numId w:val="27"/>
        </w:numPr>
        <w:pBdr>
          <w:top w:val="single" w:sz="12" w:space="6" w:color="auto"/>
          <w:left w:val="single" w:sz="12" w:space="0" w:color="auto"/>
          <w:bottom w:val="single" w:sz="12" w:space="6" w:color="auto"/>
          <w:right w:val="single" w:sz="12" w:space="0" w:color="auto"/>
        </w:pBdr>
        <w:spacing w:after="120"/>
        <w:jc w:val="center"/>
        <w:rPr>
          <w:b/>
          <w:color w:val="0070C0"/>
          <w:szCs w:val="24"/>
          <w:lang w:eastAsia="en-US"/>
        </w:rPr>
      </w:pPr>
      <w:r>
        <w:rPr>
          <w:b/>
          <w:bCs/>
          <w:noProof/>
          <w:color w:val="92D050"/>
        </w:rPr>
        <mc:AlternateContent>
          <mc:Choice Requires="wps">
            <w:drawing>
              <wp:anchor distT="0" distB="0" distL="114300" distR="114300" simplePos="0" relativeHeight="251665408" behindDoc="1" locked="0" layoutInCell="1" allowOverlap="1" wp14:anchorId="46F3C0BE" wp14:editId="1DB899F6">
                <wp:simplePos x="0" y="0"/>
                <wp:positionH relativeFrom="margin">
                  <wp:align>right</wp:align>
                </wp:positionH>
                <wp:positionV relativeFrom="paragraph">
                  <wp:posOffset>19768</wp:posOffset>
                </wp:positionV>
                <wp:extent cx="5740842" cy="707666"/>
                <wp:effectExtent l="0" t="0" r="12700" b="16510"/>
                <wp:wrapNone/>
                <wp:docPr id="37" name="Obdélník 37"/>
                <wp:cNvGraphicFramePr/>
                <a:graphic xmlns:a="http://schemas.openxmlformats.org/drawingml/2006/main">
                  <a:graphicData uri="http://schemas.microsoft.com/office/word/2010/wordprocessingShape">
                    <wps:wsp>
                      <wps:cNvSpPr/>
                      <wps:spPr>
                        <a:xfrm>
                          <a:off x="0" y="0"/>
                          <a:ext cx="5740842" cy="707666"/>
                        </a:xfrm>
                        <a:prstGeom prst="rect">
                          <a:avLst/>
                        </a:prstGeom>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229B68D" id="Obdélník 37" o:spid="_x0000_s1026" style="position:absolute;margin-left:400.85pt;margin-top:1.55pt;width:452.05pt;height:55.7pt;z-index:-25165107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" fillcolor="white [3201]" strokecolor="#5b9bd5 [3204]" strokeweight="1pt">
                <w10:wrap anchorx="margin"/>
              </v:rect>
            </w:pict>
          </mc:Fallback>
        </mc:AlternateContent>
      </w:r>
      <w:r w:rsidRPr="007613A3">
        <w:rPr>
          <w:b/>
          <w:color w:val="0070C0"/>
          <w:szCs w:val="24"/>
          <w:lang w:eastAsia="en-US"/>
        </w:rPr>
        <w:t>s vyznačením navrhovaných změn a doplnění k 1. lednu 2025</w:t>
      </w:r>
    </w:p>
    <w:p w14:paraId="3844A7EA" w14:textId="5EF3943D" w:rsidR="007613A3" w:rsidRPr="007613A3" w:rsidRDefault="007613A3" w:rsidP="007613A3">
      <w:pPr>
        <w:pStyle w:val="Odstavecseseznamem"/>
        <w:numPr>
          <w:ilvl w:val="0"/>
          <w:numId w:val="27"/>
        </w:numPr>
        <w:pBdr>
          <w:top w:val="single" w:sz="12" w:space="6" w:color="auto"/>
          <w:left w:val="single" w:sz="12" w:space="0" w:color="auto"/>
          <w:bottom w:val="single" w:sz="12" w:space="6" w:color="auto"/>
          <w:right w:val="single" w:sz="12" w:space="0" w:color="auto"/>
        </w:pBdr>
        <w:spacing w:after="120"/>
        <w:jc w:val="center"/>
        <w:rPr>
          <w:b/>
          <w:color w:val="0070C0"/>
          <w:szCs w:val="24"/>
          <w:lang w:eastAsia="en-US"/>
        </w:rPr>
      </w:pPr>
      <w:r w:rsidRPr="007613A3">
        <w:rPr>
          <w:b/>
          <w:color w:val="0070C0"/>
          <w:szCs w:val="24"/>
          <w:lang w:eastAsia="en-US"/>
        </w:rPr>
        <w:t>vyznačením navrhovaných změn a doplnění k účinnosti návrhu zákona, kterým se mění zákon č. 125/2008 Sb., o přeměnách obchodních společností a družstev, ve znění pozdějších předpisů, a další související zákony (</w:t>
      </w:r>
      <w:proofErr w:type="spellStart"/>
      <w:r w:rsidRPr="007613A3">
        <w:rPr>
          <w:b/>
          <w:color w:val="0070C0"/>
          <w:szCs w:val="24"/>
          <w:lang w:eastAsia="en-US"/>
        </w:rPr>
        <w:t>SenT</w:t>
      </w:r>
      <w:proofErr w:type="spellEnd"/>
      <w:r w:rsidRPr="007613A3">
        <w:rPr>
          <w:b/>
          <w:color w:val="0070C0"/>
          <w:szCs w:val="24"/>
          <w:lang w:eastAsia="en-US"/>
        </w:rPr>
        <w:t xml:space="preserve"> 252)</w:t>
      </w:r>
    </w:p>
    <w:p w14:paraId="4DD15216" w14:textId="4F30D4F5" w:rsidR="001965B7" w:rsidRDefault="002E4BE2" w:rsidP="007613A3">
      <w:pPr>
        <w:pStyle w:val="Textparagrafu"/>
        <w:numPr>
          <w:ilvl w:val="0"/>
          <w:numId w:val="27"/>
        </w:numPr>
        <w:tabs>
          <w:tab w:val="left" w:pos="392"/>
          <w:tab w:val="left" w:pos="840"/>
        </w:tabs>
        <w:spacing w:after="120"/>
        <w:jc w:val="center"/>
      </w:pPr>
      <w:r w:rsidRPr="007613A3">
        <w:t>***</w:t>
      </w:r>
    </w:p>
    <w:p w14:paraId="7407E8C8" w14:textId="77777777" w:rsidR="007A14A9" w:rsidRPr="007A14A9" w:rsidRDefault="007A14A9" w:rsidP="007A14A9">
      <w:pPr>
        <w:keepNext/>
        <w:keepLines/>
        <w:ind w:firstLine="0"/>
        <w:jc w:val="center"/>
        <w:outlineLvl w:val="5"/>
        <w:rPr>
          <w:b/>
        </w:rPr>
      </w:pPr>
      <w:r w:rsidRPr="007A14A9">
        <w:rPr>
          <w:b/>
        </w:rPr>
        <w:t xml:space="preserve">Působnost zákona </w:t>
      </w:r>
    </w:p>
    <w:p w14:paraId="6E7A40A2" w14:textId="77777777" w:rsidR="007A14A9" w:rsidRPr="007A14A9" w:rsidRDefault="007A14A9" w:rsidP="007A14A9">
      <w:pPr>
        <w:keepNext/>
        <w:keepLines/>
        <w:ind w:firstLine="0"/>
        <w:jc w:val="center"/>
        <w:outlineLvl w:val="5"/>
      </w:pPr>
      <w:r w:rsidRPr="007A14A9">
        <w:t xml:space="preserve">§ 2 </w:t>
      </w:r>
    </w:p>
    <w:p w14:paraId="630E69FB" w14:textId="77777777" w:rsidR="007A14A9" w:rsidRPr="007A14A9" w:rsidRDefault="007A14A9" w:rsidP="007613A3">
      <w:pPr>
        <w:pStyle w:val="Textparagrafu"/>
        <w:tabs>
          <w:tab w:val="left" w:pos="392"/>
          <w:tab w:val="left" w:pos="840"/>
        </w:tabs>
        <w:spacing w:before="120" w:after="120"/>
        <w:rPr>
          <w:rFonts w:eastAsia="MS Mincho"/>
          <w:szCs w:val="24"/>
        </w:rPr>
      </w:pPr>
      <w:r w:rsidRPr="007613A3">
        <w:t>Tento</w:t>
      </w:r>
      <w:r w:rsidRPr="007A14A9">
        <w:rPr>
          <w:rFonts w:eastAsia="MS Mincho"/>
          <w:szCs w:val="24"/>
        </w:rPr>
        <w:t xml:space="preserve"> zákon se nevztahuje na činnost spočívající </w:t>
      </w:r>
    </w:p>
    <w:p w14:paraId="3B04A803"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a)</w:t>
      </w:r>
      <w:r w:rsidRPr="007A14A9">
        <w:rPr>
          <w:rFonts w:eastAsia="MS Mincho"/>
          <w:szCs w:val="24"/>
        </w:rPr>
        <w:tab/>
        <w:t xml:space="preserve">ve shromažďování </w:t>
      </w:r>
    </w:p>
    <w:p w14:paraId="3CAE4F29" w14:textId="77777777" w:rsidR="007A14A9" w:rsidRPr="007A14A9" w:rsidRDefault="007A14A9" w:rsidP="007A14A9">
      <w:pPr>
        <w:tabs>
          <w:tab w:val="left" w:pos="851"/>
        </w:tabs>
        <w:spacing w:before="0"/>
        <w:ind w:left="850" w:hanging="425"/>
        <w:outlineLvl w:val="8"/>
        <w:rPr>
          <w:rFonts w:eastAsia="MS Mincho"/>
          <w:szCs w:val="24"/>
        </w:rPr>
      </w:pPr>
      <w:r w:rsidRPr="007A14A9">
        <w:rPr>
          <w:rFonts w:eastAsia="MS Mincho"/>
          <w:szCs w:val="24"/>
        </w:rPr>
        <w:t>1.</w:t>
      </w:r>
      <w:r w:rsidRPr="007A14A9">
        <w:rPr>
          <w:rFonts w:eastAsia="MS Mincho"/>
          <w:szCs w:val="24"/>
        </w:rPr>
        <w:tab/>
        <w:t xml:space="preserve">peněžních prostředků, jehož hlavním účelem je financování vlastní výroby, obchodu, výzkumu nebo poskytování vlastních služeb, jiných než finančních, a na další správu takto shromážděných peněžních prostředků nebo majetku nabytého za tyto peněžní prostředky, nebo </w:t>
      </w:r>
    </w:p>
    <w:p w14:paraId="061FAA18" w14:textId="77777777" w:rsidR="007A14A9" w:rsidRPr="007A14A9" w:rsidRDefault="007A14A9" w:rsidP="007A14A9">
      <w:pPr>
        <w:tabs>
          <w:tab w:val="left" w:pos="851"/>
        </w:tabs>
        <w:spacing w:before="0"/>
        <w:ind w:left="850" w:hanging="425"/>
        <w:outlineLvl w:val="8"/>
        <w:rPr>
          <w:rFonts w:eastAsia="MS Mincho"/>
          <w:szCs w:val="24"/>
        </w:rPr>
      </w:pPr>
      <w:r w:rsidRPr="007A14A9">
        <w:rPr>
          <w:rFonts w:eastAsia="MS Mincho"/>
          <w:szCs w:val="24"/>
        </w:rPr>
        <w:t>2.</w:t>
      </w:r>
      <w:r w:rsidRPr="007A14A9">
        <w:rPr>
          <w:rFonts w:eastAsia="MS Mincho"/>
          <w:szCs w:val="24"/>
        </w:rPr>
        <w:tab/>
        <w:t xml:space="preserve">penězi ocenitelných věcí, jehož hlavním účelem je provozování vlastní výroby, vlastního obchodu, výzkumu nebo poskytování vlastních služeb, jiných než finančních, a na další správu takto shromážděných penězi ocenitelných věcí nebo majetku nabytého za tyto penězi ocenitelné věci, </w:t>
      </w:r>
    </w:p>
    <w:p w14:paraId="07CD182A"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b)</w:t>
      </w:r>
      <w:r w:rsidRPr="007A14A9">
        <w:rPr>
          <w:rFonts w:eastAsia="MS Mincho"/>
          <w:szCs w:val="24"/>
        </w:rPr>
        <w:tab/>
        <w:t xml:space="preserve">ve shromažďování peněžních prostředků nebo penězi ocenitelných věcí za účelem jejich společného investování, a na další správu takto shromážděných peněžních prostředků nebo penězi ocenitelných věcí nebo majetku nabytého za tyto peněžní prostředky nebo penězi ocenitelné věci, vykonává-li tuto činnost právnická osoba, aby prostřednictvím své účasti v jedné nebo více jiných právnických osobách přispívala k dlouhodobému rozvoji těchto osob, a </w:t>
      </w:r>
    </w:p>
    <w:p w14:paraId="6224B4A2" w14:textId="77777777" w:rsidR="007A14A9" w:rsidRPr="007A14A9" w:rsidRDefault="007A14A9" w:rsidP="007A14A9">
      <w:pPr>
        <w:tabs>
          <w:tab w:val="left" w:pos="851"/>
        </w:tabs>
        <w:spacing w:before="0"/>
        <w:ind w:left="850" w:hanging="425"/>
        <w:outlineLvl w:val="8"/>
        <w:rPr>
          <w:rFonts w:eastAsia="MS Mincho"/>
          <w:szCs w:val="24"/>
        </w:rPr>
      </w:pPr>
      <w:r w:rsidRPr="007A14A9">
        <w:rPr>
          <w:rFonts w:eastAsia="MS Mincho"/>
          <w:szCs w:val="24"/>
        </w:rPr>
        <w:t>1.</w:t>
      </w:r>
      <w:r w:rsidRPr="007A14A9">
        <w:rPr>
          <w:rFonts w:eastAsia="MS Mincho"/>
          <w:szCs w:val="24"/>
        </w:rPr>
        <w:tab/>
        <w:t xml:space="preserve">její účastnické cenné papíry jsou přijaty k obchodování na evropském regulovaném trhu, nebo </w:t>
      </w:r>
    </w:p>
    <w:p w14:paraId="35329F97" w14:textId="77777777" w:rsidR="007A14A9" w:rsidRPr="007A14A9" w:rsidRDefault="007A14A9" w:rsidP="007A14A9">
      <w:pPr>
        <w:tabs>
          <w:tab w:val="left" w:pos="851"/>
        </w:tabs>
        <w:spacing w:before="0"/>
        <w:ind w:left="850" w:hanging="425"/>
        <w:outlineLvl w:val="8"/>
        <w:rPr>
          <w:rFonts w:eastAsia="MS Mincho"/>
          <w:szCs w:val="24"/>
        </w:rPr>
      </w:pPr>
      <w:r w:rsidRPr="007A14A9">
        <w:rPr>
          <w:rFonts w:eastAsia="MS Mincho"/>
          <w:szCs w:val="24"/>
        </w:rPr>
        <w:t>2.</w:t>
      </w:r>
      <w:r w:rsidRPr="007A14A9">
        <w:rPr>
          <w:rFonts w:eastAsia="MS Mincho"/>
          <w:szCs w:val="24"/>
        </w:rPr>
        <w:tab/>
        <w:t xml:space="preserve">jejím hlavním cílem není tvorba zisku pomocí zcizování účasti v těchto osobách; tato podmínka je splněna zejména tehdy, vyplývá-li </w:t>
      </w:r>
      <w:r w:rsidRPr="007A14A9">
        <w:rPr>
          <w:rFonts w:eastAsia="MS Mincho"/>
          <w:strike/>
          <w:szCs w:val="24"/>
        </w:rPr>
        <w:t xml:space="preserve">z výroční zprávy </w:t>
      </w:r>
      <w:r w:rsidRPr="007A14A9">
        <w:rPr>
          <w:rFonts w:eastAsia="MS Mincho"/>
          <w:b/>
          <w:szCs w:val="24"/>
        </w:rPr>
        <w:t>ze zprávy</w:t>
      </w:r>
      <w:r w:rsidRPr="007A14A9">
        <w:rPr>
          <w:rFonts w:eastAsia="MS Mincho"/>
          <w:szCs w:val="24"/>
        </w:rPr>
        <w:t xml:space="preserve"> </w:t>
      </w:r>
      <w:r w:rsidRPr="007A14A9">
        <w:rPr>
          <w:rFonts w:eastAsia="MS Mincho"/>
          <w:b/>
          <w:szCs w:val="24"/>
        </w:rPr>
        <w:t xml:space="preserve">vedení </w:t>
      </w:r>
      <w:r w:rsidRPr="007A14A9">
        <w:rPr>
          <w:rFonts w:eastAsia="MS Mincho"/>
          <w:szCs w:val="24"/>
        </w:rPr>
        <w:t xml:space="preserve">této osoby nebo z jiných veřejně přístupných dokumentů, že toto není jejím cílem, nebo </w:t>
      </w:r>
    </w:p>
    <w:p w14:paraId="72213D8B"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c)</w:t>
      </w:r>
      <w:r w:rsidRPr="007A14A9">
        <w:rPr>
          <w:rFonts w:eastAsia="MS Mincho"/>
          <w:szCs w:val="24"/>
        </w:rPr>
        <w:tab/>
        <w:t>ve shromažďování peněžních prostředků nebo penězi ocenitelných věcí, je-li prováděna v rámci sekuritizace</w:t>
      </w:r>
      <w:r w:rsidRPr="007A14A9">
        <w:rPr>
          <w:rFonts w:eastAsia="MS Mincho"/>
          <w:szCs w:val="24"/>
          <w:vertAlign w:val="superscript"/>
        </w:rPr>
        <w:t>3)</w:t>
      </w:r>
      <w:r w:rsidRPr="007A14A9">
        <w:rPr>
          <w:rFonts w:eastAsia="MS Mincho"/>
          <w:szCs w:val="24"/>
        </w:rPr>
        <w:t xml:space="preserve"> a na další správu takto shromážděných peněžních prostředků nebo penězi ocenitelných věcí nebo majetku nabytého za tyto peněžní prostředky nebo penězi ocenitelné věci, nestanoví-li tento zákon dále jinak (§ 98 odst. 3). </w:t>
      </w:r>
    </w:p>
    <w:p w14:paraId="21BB93DA" w14:textId="6295BB07" w:rsidR="007A14A9" w:rsidRPr="007A14A9" w:rsidRDefault="007A14A9" w:rsidP="007A14A9">
      <w:pPr>
        <w:widowControl w:val="0"/>
        <w:autoSpaceDE w:val="0"/>
        <w:autoSpaceDN w:val="0"/>
        <w:adjustRightInd w:val="0"/>
        <w:spacing w:before="0" w:after="120"/>
        <w:ind w:firstLine="0"/>
        <w:rPr>
          <w:rFonts w:eastAsia="MS Mincho"/>
          <w:szCs w:val="24"/>
        </w:rPr>
      </w:pPr>
    </w:p>
    <w:p w14:paraId="3423DFAC" w14:textId="77777777" w:rsidR="007A14A9" w:rsidRPr="007A14A9" w:rsidRDefault="007A14A9" w:rsidP="00554FBC">
      <w:pPr>
        <w:keepNext/>
        <w:keepLines/>
        <w:widowControl w:val="0"/>
        <w:autoSpaceDE w:val="0"/>
        <w:autoSpaceDN w:val="0"/>
        <w:adjustRightInd w:val="0"/>
        <w:spacing w:before="0" w:after="120"/>
        <w:ind w:firstLine="0"/>
        <w:jc w:val="center"/>
        <w:rPr>
          <w:rFonts w:eastAsia="MS Mincho"/>
          <w:szCs w:val="24"/>
        </w:rPr>
      </w:pPr>
      <w:r w:rsidRPr="007A14A9">
        <w:rPr>
          <w:rFonts w:eastAsia="MS Mincho"/>
          <w:szCs w:val="24"/>
        </w:rPr>
        <w:lastRenderedPageBreak/>
        <w:t xml:space="preserve">HLAVA III </w:t>
      </w:r>
    </w:p>
    <w:p w14:paraId="5F48AAAA" w14:textId="77777777" w:rsidR="007A14A9" w:rsidRPr="007A14A9" w:rsidRDefault="007A14A9" w:rsidP="00554FBC">
      <w:pPr>
        <w:keepNext/>
        <w:keepLines/>
        <w:widowControl w:val="0"/>
        <w:autoSpaceDE w:val="0"/>
        <w:autoSpaceDN w:val="0"/>
        <w:adjustRightInd w:val="0"/>
        <w:spacing w:before="0" w:after="120"/>
        <w:ind w:firstLine="0"/>
        <w:jc w:val="center"/>
        <w:rPr>
          <w:rFonts w:eastAsia="MS Mincho"/>
          <w:szCs w:val="24"/>
        </w:rPr>
      </w:pPr>
      <w:r w:rsidRPr="007A14A9">
        <w:rPr>
          <w:rFonts w:eastAsia="MS Mincho"/>
          <w:szCs w:val="24"/>
        </w:rPr>
        <w:t xml:space="preserve">POŽADAVKY NA KAPITÁL </w:t>
      </w:r>
    </w:p>
    <w:p w14:paraId="01C82C28" w14:textId="77777777" w:rsidR="007A14A9" w:rsidRPr="007A14A9" w:rsidRDefault="007A14A9" w:rsidP="00554FBC">
      <w:pPr>
        <w:keepNext/>
        <w:keepLines/>
        <w:ind w:firstLine="0"/>
        <w:jc w:val="center"/>
        <w:outlineLvl w:val="5"/>
      </w:pPr>
      <w:r w:rsidRPr="007A14A9">
        <w:t xml:space="preserve">§ 29 </w:t>
      </w:r>
    </w:p>
    <w:p w14:paraId="77529953" w14:textId="77777777" w:rsidR="007A14A9" w:rsidRPr="007A14A9" w:rsidRDefault="007A14A9" w:rsidP="00554FBC">
      <w:pPr>
        <w:keepNext/>
        <w:keepLines/>
        <w:ind w:firstLine="0"/>
        <w:jc w:val="center"/>
        <w:outlineLvl w:val="5"/>
        <w:rPr>
          <w:b/>
        </w:rPr>
      </w:pPr>
      <w:r w:rsidRPr="007A14A9">
        <w:rPr>
          <w:b/>
        </w:rPr>
        <w:t xml:space="preserve">Požadavky na počáteční kapitál </w:t>
      </w:r>
    </w:p>
    <w:p w14:paraId="36D0F818"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(1)</w:t>
      </w:r>
      <w:r w:rsidRPr="007A14A9">
        <w:rPr>
          <w:rFonts w:eastAsia="MS Mincho"/>
          <w:szCs w:val="24"/>
        </w:rPr>
        <w:tab/>
        <w:t xml:space="preserve">Počáteční kapitál musí činit alespoň částka odpovídající 125 000 EUR, jde-li o počáteční kapitál </w:t>
      </w:r>
    </w:p>
    <w:p w14:paraId="09CA93B4" w14:textId="77777777" w:rsidR="007A14A9" w:rsidRPr="007A14A9" w:rsidRDefault="007A14A9" w:rsidP="007A14A9">
      <w:pPr>
        <w:spacing w:before="0"/>
        <w:ind w:left="425" w:hanging="425"/>
        <w:outlineLvl w:val="7"/>
      </w:pPr>
      <w:r w:rsidRPr="007A14A9">
        <w:t>a)</w:t>
      </w:r>
      <w:r w:rsidRPr="007A14A9">
        <w:tab/>
        <w:t xml:space="preserve">investiční společnosti, která obhospodařuje standardní fond nebo srovnatelný zahraniční investiční fond, </w:t>
      </w:r>
    </w:p>
    <w:p w14:paraId="3B9111D8" w14:textId="77777777" w:rsidR="007A14A9" w:rsidRPr="007A14A9" w:rsidRDefault="007A14A9" w:rsidP="007A14A9">
      <w:pPr>
        <w:spacing w:before="0"/>
        <w:ind w:left="425" w:hanging="425"/>
        <w:outlineLvl w:val="7"/>
      </w:pPr>
      <w:r w:rsidRPr="007A14A9">
        <w:t>b)</w:t>
      </w:r>
      <w:r w:rsidRPr="007A14A9">
        <w:tab/>
        <w:t xml:space="preserve">investiční společnosti oprávněné přesáhnout rozhodný limit, která není investiční společností podle písmene a), a </w:t>
      </w:r>
    </w:p>
    <w:p w14:paraId="476660D0" w14:textId="77777777" w:rsidR="007A14A9" w:rsidRPr="007A14A9" w:rsidRDefault="007A14A9" w:rsidP="007A14A9">
      <w:pPr>
        <w:spacing w:before="0"/>
        <w:ind w:left="425" w:hanging="425"/>
        <w:outlineLvl w:val="7"/>
      </w:pPr>
      <w:r w:rsidRPr="007A14A9">
        <w:t>c)</w:t>
      </w:r>
      <w:r w:rsidRPr="007A14A9">
        <w:tab/>
        <w:t xml:space="preserve">zahraniční osoby s povolením podle </w:t>
      </w:r>
      <w:hyperlink r:id="rId313" w:history="1">
        <w:r w:rsidRPr="007A14A9">
          <w:t>§ 481</w:t>
        </w:r>
      </w:hyperlink>
      <w:r w:rsidRPr="007A14A9">
        <w:t xml:space="preserve">, která není srovnatelná se samosprávným investičním fondem. </w:t>
      </w:r>
    </w:p>
    <w:p w14:paraId="3D9CE122"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(2)</w:t>
      </w:r>
      <w:r w:rsidRPr="007A14A9">
        <w:rPr>
          <w:rFonts w:eastAsia="MS Mincho"/>
          <w:szCs w:val="24"/>
        </w:rPr>
        <w:tab/>
        <w:t xml:space="preserve">Počáteční kapitál musí činit alespoň částka odpovídající 300 000 EUR, jde-li o počáteční kapitál </w:t>
      </w:r>
    </w:p>
    <w:p w14:paraId="46759976"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a)</w:t>
      </w:r>
      <w:r w:rsidRPr="007A14A9">
        <w:rPr>
          <w:rFonts w:eastAsia="MS Mincho"/>
          <w:szCs w:val="24"/>
        </w:rPr>
        <w:tab/>
        <w:t xml:space="preserve">samosprávného investičního fondu, který je standardním fondem, </w:t>
      </w:r>
    </w:p>
    <w:p w14:paraId="288D21FB" w14:textId="77777777" w:rsidR="007A14A9" w:rsidRPr="007A14A9" w:rsidRDefault="007A14A9" w:rsidP="007A14A9">
      <w:pPr>
        <w:spacing w:before="0"/>
        <w:ind w:left="425" w:hanging="425"/>
        <w:outlineLvl w:val="7"/>
      </w:pPr>
      <w:r w:rsidRPr="007A14A9">
        <w:t>b)</w:t>
      </w:r>
      <w:r w:rsidRPr="007A14A9">
        <w:tab/>
        <w:t xml:space="preserve">samosprávného investičního fondu oprávněného přesáhnout rozhodný limit, který není samosprávným investičním fondem podle písmene a), a </w:t>
      </w:r>
    </w:p>
    <w:p w14:paraId="495D530E" w14:textId="77777777" w:rsidR="007A14A9" w:rsidRPr="007A14A9" w:rsidRDefault="007A14A9" w:rsidP="007A14A9">
      <w:pPr>
        <w:spacing w:before="0"/>
        <w:ind w:left="425" w:hanging="425"/>
        <w:outlineLvl w:val="7"/>
      </w:pPr>
      <w:r w:rsidRPr="007A14A9">
        <w:t>c)</w:t>
      </w:r>
      <w:r w:rsidRPr="007A14A9">
        <w:tab/>
        <w:t xml:space="preserve">zahraniční osoby s povolením podle </w:t>
      </w:r>
      <w:hyperlink r:id="rId314" w:history="1">
        <w:r w:rsidRPr="007A14A9">
          <w:t>§ 481</w:t>
        </w:r>
      </w:hyperlink>
      <w:r w:rsidRPr="007A14A9">
        <w:t xml:space="preserve">, která je srovnatelná se samosprávným investičním fondem. </w:t>
      </w:r>
    </w:p>
    <w:p w14:paraId="1C4814C2"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(3) Počáteční kapitál investiční společnosti neuvedené v odstavci 1 písm. a) nebo b) a samosprávného investičního fondu neuvedeného v odstavci 2 musí činit alespoň částka odpovídající 50 000 EUR. </w:t>
      </w:r>
    </w:p>
    <w:p w14:paraId="145113B2"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(4) Počátečním kapitálem se pro účely tohoto zákona rozumí součet </w:t>
      </w:r>
    </w:p>
    <w:p w14:paraId="056D5681"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a)</w:t>
      </w:r>
      <w:r w:rsidRPr="007A14A9">
        <w:rPr>
          <w:rFonts w:eastAsia="MS Mincho"/>
          <w:szCs w:val="24"/>
        </w:rPr>
        <w:tab/>
        <w:t>splaceného základního kapitálu (zapisovaného základního kapitálu),</w:t>
      </w:r>
    </w:p>
    <w:p w14:paraId="4E9C473D"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b)</w:t>
      </w:r>
      <w:r w:rsidRPr="007A14A9">
        <w:rPr>
          <w:rFonts w:eastAsia="MS Mincho"/>
          <w:szCs w:val="24"/>
        </w:rPr>
        <w:tab/>
        <w:t>splaceného emisního ážia,</w:t>
      </w:r>
    </w:p>
    <w:p w14:paraId="5C65C7B9"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c)</w:t>
      </w:r>
      <w:r w:rsidRPr="007A14A9">
        <w:rPr>
          <w:rFonts w:eastAsia="MS Mincho"/>
          <w:szCs w:val="24"/>
        </w:rPr>
        <w:tab/>
        <w:t>splaceného příplatku mimo základní kapitál,</w:t>
      </w:r>
    </w:p>
    <w:p w14:paraId="47ABF8DF"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d)</w:t>
      </w:r>
      <w:r w:rsidRPr="007A14A9">
        <w:rPr>
          <w:rFonts w:eastAsia="MS Mincho"/>
          <w:szCs w:val="24"/>
        </w:rPr>
        <w:tab/>
        <w:t>povinných rezervních fondů,</w:t>
      </w:r>
    </w:p>
    <w:p w14:paraId="2B7755BC"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e)</w:t>
      </w:r>
      <w:r w:rsidRPr="007A14A9">
        <w:rPr>
          <w:rFonts w:eastAsia="MS Mincho"/>
          <w:szCs w:val="24"/>
        </w:rPr>
        <w:tab/>
        <w:t>ostatních rezervních fondů vytvořených ze zisku po zdanění, s výjimkou rezervních fondů účelově vytvořených, a</w:t>
      </w:r>
    </w:p>
    <w:p w14:paraId="329E1A6D" w14:textId="06215879" w:rsidR="007A14A9" w:rsidRPr="007A14A9" w:rsidRDefault="007A14A9" w:rsidP="007613A3">
      <w:pPr>
        <w:spacing w:before="0"/>
        <w:ind w:left="425" w:hanging="425"/>
        <w:outlineLvl w:val="7"/>
        <w:rPr>
          <w:rFonts w:eastAsia="MS Mincho"/>
          <w:szCs w:val="24"/>
        </w:rPr>
      </w:pPr>
      <w:r w:rsidRPr="007A14A9">
        <w:rPr>
          <w:rFonts w:eastAsia="MS Mincho"/>
          <w:szCs w:val="24"/>
        </w:rPr>
        <w:t>f)</w:t>
      </w:r>
      <w:r w:rsidRPr="007A14A9">
        <w:rPr>
          <w:rFonts w:eastAsia="MS Mincho"/>
          <w:b/>
          <w:szCs w:val="24"/>
        </w:rPr>
        <w:tab/>
      </w:r>
      <w:r w:rsidRPr="007A14A9">
        <w:rPr>
          <w:rFonts w:eastAsia="MS Mincho"/>
          <w:szCs w:val="24"/>
        </w:rPr>
        <w:t>rozdílu nerozděleného zisku z předchozích období, uvedeného v </w:t>
      </w:r>
      <w:r w:rsidRPr="007A14A9">
        <w:rPr>
          <w:rFonts w:eastAsia="MS Mincho"/>
          <w:b/>
          <w:szCs w:val="24"/>
        </w:rPr>
        <w:t>řádné individuální</w:t>
      </w:r>
      <w:r w:rsidRPr="007A14A9">
        <w:rPr>
          <w:rFonts w:eastAsia="MS Mincho"/>
          <w:szCs w:val="24"/>
        </w:rPr>
        <w:t xml:space="preserve"> účetní závěrce </w:t>
      </w:r>
      <w:r w:rsidRPr="007A14A9">
        <w:rPr>
          <w:rFonts w:eastAsia="MS Mincho"/>
          <w:strike/>
          <w:szCs w:val="24"/>
        </w:rPr>
        <w:t xml:space="preserve">ověřené auditorem a schválené </w:t>
      </w:r>
      <w:r w:rsidRPr="007A14A9">
        <w:rPr>
          <w:rFonts w:eastAsia="MS Mincho"/>
          <w:b/>
          <w:szCs w:val="24"/>
        </w:rPr>
        <w:t xml:space="preserve">ve znění, v jakém byla ověřena v rámci povinného auditu a schválena </w:t>
      </w:r>
      <w:r w:rsidRPr="007A14A9">
        <w:rPr>
          <w:rFonts w:eastAsia="MS Mincho"/>
          <w:szCs w:val="24"/>
        </w:rPr>
        <w:t xml:space="preserve">valnou hromadou, o jehož rozdělení valná hromada nerozhodla, a neuhrazené ztráty z předchozích období včetně ztráty za minulá účetní období.  </w:t>
      </w:r>
    </w:p>
    <w:p w14:paraId="76689898" w14:textId="77777777" w:rsidR="007A14A9" w:rsidRPr="007A14A9" w:rsidRDefault="007A14A9" w:rsidP="007A14A9">
      <w:pPr>
        <w:widowControl w:val="0"/>
        <w:autoSpaceDE w:val="0"/>
        <w:autoSpaceDN w:val="0"/>
        <w:adjustRightInd w:val="0"/>
        <w:spacing w:before="0" w:after="120"/>
        <w:ind w:firstLine="0"/>
        <w:jc w:val="center"/>
        <w:rPr>
          <w:rFonts w:eastAsia="MS Mincho"/>
          <w:szCs w:val="24"/>
        </w:rPr>
      </w:pPr>
      <w:r w:rsidRPr="007A14A9">
        <w:rPr>
          <w:rFonts w:eastAsia="MS Mincho"/>
          <w:szCs w:val="24"/>
        </w:rPr>
        <w:t xml:space="preserve">HLAVA V </w:t>
      </w:r>
    </w:p>
    <w:p w14:paraId="25B2E69F" w14:textId="77777777" w:rsidR="007A14A9" w:rsidRPr="007A14A9" w:rsidRDefault="007A14A9" w:rsidP="007A14A9">
      <w:pPr>
        <w:widowControl w:val="0"/>
        <w:autoSpaceDE w:val="0"/>
        <w:autoSpaceDN w:val="0"/>
        <w:adjustRightInd w:val="0"/>
        <w:spacing w:before="0" w:after="120"/>
        <w:ind w:firstLine="0"/>
        <w:jc w:val="center"/>
        <w:rPr>
          <w:rFonts w:eastAsia="MS Mincho"/>
          <w:szCs w:val="24"/>
        </w:rPr>
      </w:pPr>
      <w:r w:rsidRPr="007A14A9">
        <w:rPr>
          <w:rFonts w:eastAsia="MS Mincho"/>
          <w:szCs w:val="24"/>
        </w:rPr>
        <w:t xml:space="preserve">POVINNOSTI TÝKAJÍCÍ SE PŘEKROČENÍ NĚKTERÝCH PODÍLŮ NA HLASOVACÍCH PRÁVECH NĚKTERÝCH PRÁVNICKÝCH OSOB </w:t>
      </w:r>
    </w:p>
    <w:p w14:paraId="5B462EB6" w14:textId="77777777" w:rsidR="007A14A9" w:rsidRPr="007A14A9" w:rsidRDefault="007A14A9" w:rsidP="007A14A9">
      <w:pPr>
        <w:keepNext/>
        <w:keepLines/>
        <w:ind w:firstLine="0"/>
        <w:jc w:val="center"/>
        <w:outlineLvl w:val="5"/>
      </w:pPr>
      <w:r w:rsidRPr="007A14A9">
        <w:t xml:space="preserve">§ 34 </w:t>
      </w:r>
    </w:p>
    <w:p w14:paraId="2E7AEADD" w14:textId="77777777" w:rsidR="007A14A9" w:rsidRPr="007A14A9" w:rsidRDefault="007A14A9" w:rsidP="007A14A9">
      <w:pPr>
        <w:keepNext/>
        <w:keepLines/>
        <w:ind w:firstLine="0"/>
        <w:jc w:val="center"/>
        <w:outlineLvl w:val="5"/>
        <w:rPr>
          <w:b/>
        </w:rPr>
      </w:pPr>
      <w:r w:rsidRPr="007A14A9">
        <w:rPr>
          <w:b/>
        </w:rPr>
        <w:t xml:space="preserve">Zpřístupnění některých informací podílníkům, společníkům nebo obmyšleným fondu </w:t>
      </w:r>
    </w:p>
    <w:p w14:paraId="3C90E598"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(1) Obhospodařovatel oprávněný přesáhnout rozhodný limit, který ve vztahu k podílům na hlasovacích právech vztahujícím se k majetku jím obhospodařovaných investičních fondů, </w:t>
      </w:r>
      <w:r w:rsidRPr="007A14A9">
        <w:rPr>
          <w:rFonts w:eastAsia="MS Mincho"/>
          <w:szCs w:val="24"/>
        </w:rPr>
        <w:lastRenderedPageBreak/>
        <w:t xml:space="preserve">které nejsou standardními fondy, nebo srovnatelných zahraničních investičních fondů překročil podíl ve výši 50 % na všech hlasovacích právech právnické osoby, jejíž účastnické cenné papíry nejsou přijaty k obchodování na evropském regulovaném trhu, a </w:t>
      </w:r>
    </w:p>
    <w:p w14:paraId="1DC4D2BC"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a)</w:t>
      </w:r>
      <w:r w:rsidRPr="007A14A9">
        <w:rPr>
          <w:rFonts w:eastAsia="MS Mincho"/>
          <w:szCs w:val="24"/>
        </w:rPr>
        <w:tab/>
        <w:t xml:space="preserve">která splňuje alespoň 2 z těchto 3 kritérií: </w:t>
      </w:r>
    </w:p>
    <w:p w14:paraId="22D539F6" w14:textId="77777777" w:rsidR="007A14A9" w:rsidRPr="007A14A9" w:rsidRDefault="007A14A9" w:rsidP="007A14A9">
      <w:pPr>
        <w:tabs>
          <w:tab w:val="left" w:pos="851"/>
        </w:tabs>
        <w:spacing w:before="0"/>
        <w:ind w:left="850" w:hanging="425"/>
        <w:outlineLvl w:val="8"/>
        <w:rPr>
          <w:rFonts w:eastAsia="MS Mincho"/>
          <w:szCs w:val="24"/>
        </w:rPr>
      </w:pPr>
      <w:r w:rsidRPr="007A14A9">
        <w:rPr>
          <w:rFonts w:eastAsia="MS Mincho"/>
          <w:szCs w:val="24"/>
        </w:rPr>
        <w:t>1.</w:t>
      </w:r>
      <w:r w:rsidRPr="007A14A9">
        <w:rPr>
          <w:rFonts w:eastAsia="MS Mincho"/>
          <w:szCs w:val="24"/>
        </w:rPr>
        <w:tab/>
        <w:t xml:space="preserve">celkový počet zaměstnanců v pracovním poměru dosahuje alespoň počtu 250, </w:t>
      </w:r>
    </w:p>
    <w:p w14:paraId="691D46AA" w14:textId="77777777" w:rsidR="007A14A9" w:rsidRPr="007A14A9" w:rsidRDefault="007A14A9" w:rsidP="007A14A9">
      <w:pPr>
        <w:tabs>
          <w:tab w:val="left" w:pos="851"/>
        </w:tabs>
        <w:spacing w:before="0"/>
        <w:ind w:left="850" w:hanging="425"/>
        <w:outlineLvl w:val="8"/>
        <w:rPr>
          <w:rFonts w:eastAsia="MS Mincho"/>
          <w:strike/>
          <w:szCs w:val="24"/>
        </w:rPr>
      </w:pPr>
      <w:r w:rsidRPr="007A14A9">
        <w:rPr>
          <w:rFonts w:eastAsia="MS Mincho"/>
          <w:strike/>
          <w:szCs w:val="24"/>
        </w:rPr>
        <w:t>2.</w:t>
      </w:r>
      <w:r w:rsidRPr="007A14A9">
        <w:rPr>
          <w:rFonts w:eastAsia="MS Mincho"/>
          <w:strike/>
          <w:szCs w:val="24"/>
        </w:rPr>
        <w:tab/>
        <w:t>čistý roční obrat odpovídající podle poslední účetní závěrky částce alespoň 50 000 000 EUR, nebo</w:t>
      </w:r>
    </w:p>
    <w:p w14:paraId="232CDFB8" w14:textId="77777777" w:rsidR="007A14A9" w:rsidRPr="007A14A9" w:rsidRDefault="007A14A9" w:rsidP="007A14A9">
      <w:pPr>
        <w:tabs>
          <w:tab w:val="left" w:pos="851"/>
        </w:tabs>
        <w:spacing w:before="0"/>
        <w:ind w:left="850" w:hanging="425"/>
        <w:outlineLvl w:val="8"/>
        <w:rPr>
          <w:rFonts w:eastAsia="MS Mincho"/>
          <w:strike/>
          <w:szCs w:val="24"/>
        </w:rPr>
      </w:pPr>
      <w:r w:rsidRPr="007A14A9">
        <w:rPr>
          <w:rFonts w:eastAsia="MS Mincho"/>
          <w:strike/>
          <w:szCs w:val="24"/>
        </w:rPr>
        <w:t>3.</w:t>
      </w:r>
      <w:r w:rsidRPr="007A14A9">
        <w:rPr>
          <w:rFonts w:eastAsia="MS Mincho"/>
          <w:strike/>
          <w:szCs w:val="24"/>
        </w:rPr>
        <w:tab/>
        <w:t>celková výše aktiv odpovídající podle poslední účetní závěrky</w:t>
      </w:r>
      <w:r w:rsidRPr="007A14A9">
        <w:rPr>
          <w:rFonts w:eastAsia="MS Mincho"/>
          <w:b/>
          <w:strike/>
          <w:szCs w:val="24"/>
        </w:rPr>
        <w:t xml:space="preserve"> </w:t>
      </w:r>
      <w:r w:rsidRPr="007A14A9">
        <w:rPr>
          <w:rFonts w:eastAsia="MS Mincho"/>
          <w:strike/>
          <w:szCs w:val="24"/>
        </w:rPr>
        <w:t>částce alespoň 43 000 000 EUR, nebo</w:t>
      </w:r>
    </w:p>
    <w:p w14:paraId="0B8F6845" w14:textId="77777777" w:rsidR="007A14A9" w:rsidRPr="007A14A9" w:rsidRDefault="007A14A9" w:rsidP="007A14A9">
      <w:pPr>
        <w:tabs>
          <w:tab w:val="left" w:pos="851"/>
        </w:tabs>
        <w:spacing w:before="0"/>
        <w:ind w:left="850" w:hanging="425"/>
        <w:outlineLvl w:val="8"/>
        <w:rPr>
          <w:rFonts w:eastAsia="MS Mincho"/>
          <w:b/>
          <w:szCs w:val="24"/>
        </w:rPr>
      </w:pPr>
      <w:r w:rsidRPr="007A14A9">
        <w:rPr>
          <w:rFonts w:eastAsia="MS Mincho"/>
          <w:b/>
          <w:szCs w:val="24"/>
        </w:rPr>
        <w:t>2.</w:t>
      </w:r>
      <w:r w:rsidRPr="007A14A9">
        <w:rPr>
          <w:rFonts w:eastAsia="MS Mincho"/>
          <w:b/>
          <w:szCs w:val="24"/>
        </w:rPr>
        <w:tab/>
        <w:t xml:space="preserve">roční úhrn čistého obratu odpovídající podle poslední řádné konsolidované účetní závěrky konsolidačního celku, v němž je zahrnuta, </w:t>
      </w:r>
      <w:r w:rsidRPr="007A14A9">
        <w:rPr>
          <w:rFonts w:eastAsia="MS Mincho"/>
          <w:b/>
          <w:color w:val="000000"/>
          <w:szCs w:val="24"/>
        </w:rPr>
        <w:t>nebo řádné individuální účetní závěrky, není-li taková konsolidovaná účetní závěrka</w:t>
      </w:r>
      <w:r w:rsidRPr="007A14A9">
        <w:rPr>
          <w:rFonts w:eastAsia="MS Mincho"/>
          <w:b/>
          <w:szCs w:val="24"/>
        </w:rPr>
        <w:t>, částce alespoň 50 000 000 EUR, nebo</w:t>
      </w:r>
    </w:p>
    <w:p w14:paraId="179FCB0D" w14:textId="77777777" w:rsidR="007A14A9" w:rsidRPr="007A14A9" w:rsidRDefault="007A14A9" w:rsidP="007A14A9">
      <w:pPr>
        <w:tabs>
          <w:tab w:val="left" w:pos="851"/>
        </w:tabs>
        <w:spacing w:before="0"/>
        <w:ind w:left="850" w:hanging="425"/>
        <w:outlineLvl w:val="8"/>
        <w:rPr>
          <w:rFonts w:eastAsia="MS Mincho"/>
          <w:b/>
          <w:szCs w:val="24"/>
        </w:rPr>
      </w:pPr>
      <w:r w:rsidRPr="007A14A9">
        <w:rPr>
          <w:rFonts w:eastAsia="MS Mincho"/>
          <w:b/>
          <w:szCs w:val="24"/>
        </w:rPr>
        <w:t>3.</w:t>
      </w:r>
      <w:r w:rsidRPr="007A14A9">
        <w:rPr>
          <w:rFonts w:eastAsia="MS Mincho"/>
          <w:b/>
          <w:szCs w:val="24"/>
        </w:rPr>
        <w:tab/>
        <w:t xml:space="preserve">aktiva celkem odpovídající podle poslední řádné konsolidované účetní závěrky konsolidačního celku, v němž je zahrnuta, </w:t>
      </w:r>
      <w:r w:rsidRPr="007A14A9">
        <w:rPr>
          <w:rFonts w:eastAsia="MS Mincho"/>
          <w:b/>
          <w:color w:val="000000"/>
          <w:szCs w:val="24"/>
        </w:rPr>
        <w:t>nebo řádné individuální účetní závěrky, není-li taková konsolidovaná účetní závěrka,</w:t>
      </w:r>
      <w:r w:rsidRPr="007A14A9">
        <w:rPr>
          <w:rFonts w:eastAsia="MS Mincho"/>
          <w:b/>
          <w:szCs w:val="24"/>
        </w:rPr>
        <w:t xml:space="preserve"> částce alespoň 43 000 000 EUR, nebo  </w:t>
      </w:r>
    </w:p>
    <w:p w14:paraId="683D7D19"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b)</w:t>
      </w:r>
      <w:r w:rsidRPr="007A14A9">
        <w:rPr>
          <w:rFonts w:eastAsia="MS Mincho"/>
          <w:szCs w:val="24"/>
        </w:rPr>
        <w:tab/>
        <w:t xml:space="preserve">jejíž výhradní činností není nabývání, zcizování nebo správa nemovitostí nebo práv spojených s vlastnictvím nemovitostí, zajistí, aby byly podílníkům, společníkům nebo obmyšleným tohoto fondu zpřístupněny údaje o financování překročení tohoto podílu. </w:t>
      </w:r>
    </w:p>
    <w:p w14:paraId="19F51DF2" w14:textId="77777777" w:rsidR="007A14A9" w:rsidRPr="007A14A9" w:rsidRDefault="007A14A9" w:rsidP="007A14A9">
      <w:pPr>
        <w:widowControl w:val="0"/>
        <w:autoSpaceDE w:val="0"/>
        <w:autoSpaceDN w:val="0"/>
        <w:adjustRightInd w:val="0"/>
        <w:spacing w:before="0" w:after="120"/>
        <w:rPr>
          <w:rFonts w:eastAsia="MS Mincho"/>
          <w:szCs w:val="24"/>
        </w:rPr>
      </w:pPr>
      <w:r w:rsidRPr="007A14A9">
        <w:rPr>
          <w:rFonts w:eastAsia="MS Mincho"/>
          <w:szCs w:val="24"/>
        </w:rPr>
        <w:t xml:space="preserve"> (2) Obhospodařovatel uvedený v odstavci 1 zajistí, aby byly podílníkům, společníkům nebo obmyšleným dotčeného fondu ve lhůtě, v níž </w:t>
      </w:r>
      <w:r w:rsidRPr="007A14A9">
        <w:rPr>
          <w:rFonts w:eastAsia="MS Mincho"/>
          <w:strike/>
          <w:szCs w:val="24"/>
        </w:rPr>
        <w:t>jim má být zpřístupněna výroční</w:t>
      </w:r>
      <w:r w:rsidRPr="007A14A9">
        <w:rPr>
          <w:rFonts w:eastAsia="MS Mincho"/>
          <w:szCs w:val="24"/>
        </w:rPr>
        <w:t xml:space="preserve"> </w:t>
      </w:r>
      <w:r w:rsidRPr="007A14A9">
        <w:rPr>
          <w:rFonts w:eastAsia="MS Mincho"/>
          <w:strike/>
          <w:szCs w:val="24"/>
        </w:rPr>
        <w:t>zpráva</w:t>
      </w:r>
      <w:r w:rsidRPr="007A14A9">
        <w:rPr>
          <w:rFonts w:eastAsia="MS Mincho"/>
          <w:b/>
          <w:szCs w:val="24"/>
        </w:rPr>
        <w:t xml:space="preserve"> </w:t>
      </w:r>
      <w:r w:rsidRPr="007A14A9">
        <w:rPr>
          <w:rFonts w:eastAsia="MS Mincho"/>
          <w:strike/>
          <w:szCs w:val="24"/>
        </w:rPr>
        <w:t xml:space="preserve">tohoto fondu </w:t>
      </w:r>
      <w:r w:rsidRPr="007A14A9">
        <w:rPr>
          <w:rFonts w:eastAsia="MS Mincho"/>
          <w:b/>
          <w:szCs w:val="24"/>
        </w:rPr>
        <w:t>má být vyhotovena nebo zpřístupněna výroční zpráva investičního fondu</w:t>
      </w:r>
      <w:r w:rsidRPr="007A14A9">
        <w:rPr>
          <w:rFonts w:eastAsia="MS Mincho"/>
          <w:szCs w:val="24"/>
        </w:rPr>
        <w:t xml:space="preserve">, zpřístupněny tyto údaje: </w:t>
      </w:r>
    </w:p>
    <w:p w14:paraId="6B8A9C09"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a)</w:t>
      </w:r>
      <w:r w:rsidRPr="007A14A9">
        <w:rPr>
          <w:rFonts w:eastAsia="MS Mincho"/>
          <w:szCs w:val="24"/>
        </w:rPr>
        <w:tab/>
        <w:t xml:space="preserve">objektivní zhodnocení vývoje podnikání kontrolované právnické osoby v účetním období, </w:t>
      </w:r>
    </w:p>
    <w:p w14:paraId="3F90FE47"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b)</w:t>
      </w:r>
      <w:r w:rsidRPr="007A14A9">
        <w:rPr>
          <w:rFonts w:eastAsia="MS Mincho"/>
          <w:szCs w:val="24"/>
        </w:rPr>
        <w:tab/>
        <w:t xml:space="preserve">popis všech významných událostí, které se týkají kontrolované právnické osoby a k nimž došlo po skončení účetního období, </w:t>
      </w:r>
    </w:p>
    <w:p w14:paraId="3877D11F"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c)</w:t>
      </w:r>
      <w:r w:rsidRPr="007A14A9">
        <w:rPr>
          <w:rFonts w:eastAsia="MS Mincho"/>
          <w:szCs w:val="24"/>
        </w:rPr>
        <w:tab/>
        <w:t xml:space="preserve">údaje o předpokládaném budoucím vývoji podnikání kontrolované právnické osoby a </w:t>
      </w:r>
    </w:p>
    <w:p w14:paraId="679E583E"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d)</w:t>
      </w:r>
      <w:r w:rsidRPr="007A14A9">
        <w:rPr>
          <w:rFonts w:eastAsia="MS Mincho"/>
          <w:szCs w:val="24"/>
        </w:rPr>
        <w:tab/>
        <w:t xml:space="preserve">údaje o nabytí vlastních akcií kontrolované právnické osoby v rozsahu vyplývajícím ze </w:t>
      </w:r>
      <w:hyperlink r:id="rId315" w:history="1">
        <w:r w:rsidRPr="007A14A9">
          <w:rPr>
            <w:rFonts w:eastAsia="MS Mincho"/>
            <w:strike/>
            <w:szCs w:val="24"/>
          </w:rPr>
          <w:t>zákona upravujícího právní poměry obchodních společností a družstev</w:t>
        </w:r>
      </w:hyperlink>
      <w:r w:rsidRPr="007A14A9">
        <w:rPr>
          <w:rFonts w:eastAsia="MS Mincho"/>
          <w:szCs w:val="24"/>
        </w:rPr>
        <w:t xml:space="preserve"> </w:t>
      </w:r>
      <w:r w:rsidRPr="007A14A9">
        <w:rPr>
          <w:rFonts w:eastAsia="MS Mincho"/>
          <w:b/>
          <w:szCs w:val="24"/>
        </w:rPr>
        <w:t>zákona upravujícího účetnictví</w:t>
      </w:r>
      <w:r w:rsidRPr="007A14A9">
        <w:rPr>
          <w:rFonts w:eastAsia="MS Mincho"/>
          <w:szCs w:val="24"/>
        </w:rPr>
        <w:t xml:space="preserve">, je-li tato právnická osoba akciovou společností, nebo údaje o nabytí vlastních účastnických cenných papírů touto osobou ve srovnatelném rozsahu, je-li tato osoba zahraniční osobou srovnatelnou s akciovou společností. </w:t>
      </w:r>
    </w:p>
    <w:p w14:paraId="40AC3564"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 (3)</w:t>
      </w:r>
      <w:r w:rsidRPr="007A14A9">
        <w:rPr>
          <w:rFonts w:eastAsia="MS Mincho"/>
          <w:szCs w:val="24"/>
        </w:rPr>
        <w:tab/>
        <w:t xml:space="preserve">Povinnost podle odstavce 2 obhospodařovatel neplní, postupuje-li podle </w:t>
      </w:r>
      <w:hyperlink r:id="rId316" w:history="1">
        <w:r w:rsidRPr="007A14A9">
          <w:rPr>
            <w:rFonts w:eastAsia="MS Mincho"/>
            <w:strike/>
            <w:szCs w:val="24"/>
          </w:rPr>
          <w:t xml:space="preserve">§ 234 odst. 2 </w:t>
        </w:r>
        <w:r w:rsidRPr="007A14A9">
          <w:rPr>
            <w:rFonts w:eastAsia="MS Mincho"/>
            <w:b/>
            <w:szCs w:val="24"/>
          </w:rPr>
          <w:t>§ 234 odst. 3</w:t>
        </w:r>
        <w:r w:rsidRPr="007A14A9">
          <w:rPr>
            <w:rFonts w:eastAsia="MS Mincho"/>
            <w:szCs w:val="24"/>
          </w:rPr>
          <w:t xml:space="preserve"> písm. d)</w:t>
        </w:r>
      </w:hyperlink>
      <w:r w:rsidRPr="007A14A9">
        <w:rPr>
          <w:rFonts w:eastAsia="MS Mincho"/>
          <w:szCs w:val="24"/>
        </w:rPr>
        <w:t xml:space="preserve">. Obhospodařovatel si zvolí, zda postupuje podle odstavce 2 nebo </w:t>
      </w:r>
      <w:hyperlink r:id="rId317" w:history="1">
        <w:r w:rsidRPr="007A14A9">
          <w:rPr>
            <w:rFonts w:eastAsia="MS Mincho"/>
            <w:strike/>
            <w:szCs w:val="24"/>
          </w:rPr>
          <w:t xml:space="preserve">§ 234 odst. 2 </w:t>
        </w:r>
        <w:r w:rsidRPr="007A14A9">
          <w:rPr>
            <w:rFonts w:eastAsia="MS Mincho"/>
            <w:b/>
            <w:szCs w:val="24"/>
          </w:rPr>
          <w:t>§ 234 odst. 3</w:t>
        </w:r>
        <w:r w:rsidRPr="007A14A9">
          <w:rPr>
            <w:rFonts w:eastAsia="MS Mincho"/>
            <w:szCs w:val="24"/>
          </w:rPr>
          <w:t xml:space="preserve"> písm. d)</w:t>
        </w:r>
      </w:hyperlink>
      <w:r w:rsidRPr="007A14A9">
        <w:rPr>
          <w:rFonts w:eastAsia="MS Mincho"/>
          <w:szCs w:val="24"/>
        </w:rPr>
        <w:t xml:space="preserve">. </w:t>
      </w:r>
    </w:p>
    <w:p w14:paraId="29890244"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(4) Pro účely výpočtu podílu na hlasovacích právech podle odstavce 1 se do podílu obhospodařovatele započítávají hlasovací práva vztahující se k majetku jím obhospodařovaných investičních fondů, které nejsou standardním fondem, nebo srovnatelných zahraničních investičních fondů, bez ohledu na to, zda jsou vykonávána, a hlasovací práva z účastnických cenných papírů nebo podílů, </w:t>
      </w:r>
    </w:p>
    <w:p w14:paraId="0828A261"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a)</w:t>
      </w:r>
      <w:r w:rsidRPr="007A14A9">
        <w:rPr>
          <w:rFonts w:eastAsia="MS Mincho"/>
          <w:szCs w:val="24"/>
        </w:rPr>
        <w:tab/>
        <w:t xml:space="preserve">kterými disponuje jiná osoba, která jedná ve shodě s obhospodařovatelem, </w:t>
      </w:r>
    </w:p>
    <w:p w14:paraId="19EA1525"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b)</w:t>
      </w:r>
      <w:r w:rsidRPr="007A14A9">
        <w:rPr>
          <w:rFonts w:eastAsia="MS Mincho"/>
          <w:szCs w:val="24"/>
        </w:rPr>
        <w:tab/>
        <w:t xml:space="preserve">která má obhospodařovatel možnost dočasně vykonávat na základě úplatné smlouvy, </w:t>
      </w:r>
    </w:p>
    <w:p w14:paraId="4439DEDE"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c)</w:t>
      </w:r>
      <w:r w:rsidRPr="007A14A9">
        <w:rPr>
          <w:rFonts w:eastAsia="MS Mincho"/>
          <w:szCs w:val="24"/>
        </w:rPr>
        <w:tab/>
        <w:t xml:space="preserve">které byly obhospodařovateli nebo jím obhospodařovanému fondu poskytnuty jako zajištění, </w:t>
      </w:r>
    </w:p>
    <w:p w14:paraId="7B27CDDA"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d)</w:t>
      </w:r>
      <w:r w:rsidRPr="007A14A9">
        <w:rPr>
          <w:rFonts w:eastAsia="MS Mincho"/>
          <w:szCs w:val="24"/>
        </w:rPr>
        <w:tab/>
        <w:t xml:space="preserve">ke kterým má obhospodařovatel nebo jím obhospodařovaný fond doživotní užívací právo, </w:t>
      </w:r>
    </w:p>
    <w:p w14:paraId="411110EB"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lastRenderedPageBreak/>
        <w:t>e)</w:t>
      </w:r>
      <w:r w:rsidRPr="007A14A9">
        <w:rPr>
          <w:rFonts w:eastAsia="MS Mincho"/>
          <w:szCs w:val="24"/>
        </w:rPr>
        <w:tab/>
        <w:t xml:space="preserve">které obhospodařovatel spravuje, obhospodařuje nebo jsou u něj uloženy, nebyly-li mu vlastníkem uděleny zvláštní příkazy týkající se hlasování, </w:t>
      </w:r>
    </w:p>
    <w:p w14:paraId="46C2D06D"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f)</w:t>
      </w:r>
      <w:r w:rsidRPr="007A14A9">
        <w:rPr>
          <w:rFonts w:eastAsia="MS Mincho"/>
          <w:szCs w:val="24"/>
        </w:rPr>
        <w:tab/>
        <w:t xml:space="preserve">která má možnost svým jménem na účet obhospodařovatele nebo jím obhospodařovaného fondu vykonávat jiná osoba, </w:t>
      </w:r>
    </w:p>
    <w:p w14:paraId="3AC2C342"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g)</w:t>
      </w:r>
      <w:r w:rsidRPr="007A14A9">
        <w:rPr>
          <w:rFonts w:eastAsia="MS Mincho"/>
          <w:szCs w:val="24"/>
        </w:rPr>
        <w:tab/>
        <w:t xml:space="preserve">která jsou vykonávána obhospodařovatelem na základě plné moci, může-li tato práva vykonávat podle svého uvážení a nebyly-li mu zmocnitelem uděleny zvláštní příkazy týkající se hlasování, nebo </w:t>
      </w:r>
    </w:p>
    <w:p w14:paraId="5CC996C3"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h)</w:t>
      </w:r>
      <w:r w:rsidRPr="007A14A9">
        <w:rPr>
          <w:rFonts w:eastAsia="MS Mincho"/>
          <w:szCs w:val="24"/>
        </w:rPr>
        <w:tab/>
        <w:t xml:space="preserve">které je oprávněn obhospodařovatel nabýt jednostranným projevem vůle. </w:t>
      </w:r>
    </w:p>
    <w:p w14:paraId="3CA9A43C"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(5) Kontrolovanou právnickou osobou se pro účely tohoto zákona rozumí právnická osoba, na jejíchž hlasovacích právech byl překročen podíl způsobem a ve výši stanovených v odstavci 1 nebo v </w:t>
      </w:r>
      <w:hyperlink r:id="rId318" w:history="1">
        <w:r w:rsidRPr="007A14A9">
          <w:rPr>
            <w:rFonts w:eastAsia="MS Mincho"/>
            <w:szCs w:val="24"/>
          </w:rPr>
          <w:t>§ 35 odst. 3</w:t>
        </w:r>
      </w:hyperlink>
      <w:r w:rsidRPr="007A14A9">
        <w:rPr>
          <w:rFonts w:eastAsia="MS Mincho"/>
          <w:szCs w:val="24"/>
        </w:rPr>
        <w:t xml:space="preserve">. </w:t>
      </w:r>
    </w:p>
    <w:p w14:paraId="530E7321" w14:textId="77777777" w:rsidR="007A14A9" w:rsidRPr="007A14A9" w:rsidRDefault="007A14A9" w:rsidP="007A14A9">
      <w:pPr>
        <w:keepNext/>
        <w:keepLines/>
        <w:ind w:firstLine="0"/>
        <w:jc w:val="center"/>
        <w:outlineLvl w:val="5"/>
      </w:pPr>
      <w:r w:rsidRPr="007A14A9">
        <w:t xml:space="preserve">§ 36 </w:t>
      </w:r>
    </w:p>
    <w:p w14:paraId="6C6390F4" w14:textId="77777777" w:rsidR="007A14A9" w:rsidRPr="007A14A9" w:rsidRDefault="007A14A9" w:rsidP="007A14A9">
      <w:pPr>
        <w:keepNext/>
        <w:keepLines/>
        <w:ind w:firstLine="0"/>
        <w:jc w:val="center"/>
        <w:outlineLvl w:val="5"/>
        <w:rPr>
          <w:b/>
        </w:rPr>
      </w:pPr>
      <w:r w:rsidRPr="007A14A9">
        <w:rPr>
          <w:b/>
        </w:rPr>
        <w:t xml:space="preserve">Zpřístupnění některých informací zaměstnancům kontrolované právnické osoby nebo jejich zástupcům </w:t>
      </w:r>
    </w:p>
    <w:p w14:paraId="42BCC3EC"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(1) Obhospodařovatel uvedený v </w:t>
      </w:r>
      <w:hyperlink r:id="rId319" w:history="1">
        <w:r w:rsidRPr="007A14A9">
          <w:rPr>
            <w:rFonts w:eastAsia="MS Mincho"/>
            <w:szCs w:val="24"/>
          </w:rPr>
          <w:t>§ 34 odst. 1</w:t>
        </w:r>
      </w:hyperlink>
      <w:r w:rsidRPr="007A14A9">
        <w:rPr>
          <w:rFonts w:eastAsia="MS Mincho"/>
          <w:szCs w:val="24"/>
        </w:rPr>
        <w:t xml:space="preserve"> při zpřístupnění informací podle </w:t>
      </w:r>
      <w:hyperlink r:id="rId320" w:history="1">
        <w:r w:rsidRPr="007A14A9">
          <w:rPr>
            <w:rFonts w:eastAsia="MS Mincho"/>
            <w:szCs w:val="24"/>
          </w:rPr>
          <w:t>§ 35 odst. 1 písm. a) až e)</w:t>
        </w:r>
      </w:hyperlink>
      <w:r w:rsidRPr="007A14A9">
        <w:rPr>
          <w:rFonts w:eastAsia="MS Mincho"/>
          <w:szCs w:val="24"/>
        </w:rPr>
        <w:t xml:space="preserve"> kontrolované právnické osobě požádá statutární orgán této osoby, aby tento orgán zpřístupnil bez zbytečného odkladu zaměstnancům této osoby nebo jejich zástupcům údaje uvedené v </w:t>
      </w:r>
      <w:hyperlink r:id="rId321" w:history="1">
        <w:r w:rsidRPr="007A14A9">
          <w:rPr>
            <w:rFonts w:eastAsia="MS Mincho"/>
            <w:szCs w:val="24"/>
          </w:rPr>
          <w:t>§ 35 odst. 1 písm. a) až e)</w:t>
        </w:r>
      </w:hyperlink>
      <w:r w:rsidRPr="007A14A9">
        <w:rPr>
          <w:rFonts w:eastAsia="MS Mincho"/>
          <w:szCs w:val="24"/>
        </w:rPr>
        <w:t xml:space="preserve">, a v rámci svých možností zajistí, aby statutární orgán tuto povinnost splnil. </w:t>
      </w:r>
    </w:p>
    <w:p w14:paraId="5EB50222"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(2) Obhospodařovatel uvedený v </w:t>
      </w:r>
      <w:hyperlink r:id="rId322" w:history="1">
        <w:r w:rsidRPr="007A14A9">
          <w:rPr>
            <w:rFonts w:eastAsia="MS Mincho"/>
            <w:szCs w:val="24"/>
          </w:rPr>
          <w:t>§ 34 odst. 1</w:t>
        </w:r>
      </w:hyperlink>
      <w:r w:rsidRPr="007A14A9">
        <w:rPr>
          <w:rFonts w:eastAsia="MS Mincho"/>
          <w:szCs w:val="24"/>
        </w:rPr>
        <w:t xml:space="preserve"> nebo v </w:t>
      </w:r>
      <w:hyperlink r:id="rId323" w:history="1">
        <w:r w:rsidRPr="007A14A9">
          <w:rPr>
            <w:rFonts w:eastAsia="MS Mincho"/>
            <w:szCs w:val="24"/>
          </w:rPr>
          <w:t>§ 35 odst. 3</w:t>
        </w:r>
      </w:hyperlink>
      <w:r w:rsidRPr="007A14A9">
        <w:rPr>
          <w:rFonts w:eastAsia="MS Mincho"/>
          <w:szCs w:val="24"/>
        </w:rPr>
        <w:t xml:space="preserve"> při zpřístupnění informací uvedených v </w:t>
      </w:r>
      <w:hyperlink r:id="rId324" w:history="1">
        <w:r w:rsidRPr="007A14A9">
          <w:rPr>
            <w:rFonts w:eastAsia="MS Mincho"/>
            <w:szCs w:val="24"/>
          </w:rPr>
          <w:t>§ 35 odst. 1 písm. f) až h)</w:t>
        </w:r>
      </w:hyperlink>
      <w:r w:rsidRPr="007A14A9">
        <w:rPr>
          <w:rFonts w:eastAsia="MS Mincho"/>
          <w:szCs w:val="24"/>
        </w:rPr>
        <w:t xml:space="preserve"> kontrolované právnické osobě požádá statutární orgán této osoby, aby tento orgán zpřístupnil bez zbytečného odkladu zaměstnancům této osoby nebo jejich zástupcům údaje uvedené v </w:t>
      </w:r>
      <w:hyperlink r:id="rId325" w:history="1">
        <w:r w:rsidRPr="007A14A9">
          <w:rPr>
            <w:rFonts w:eastAsia="MS Mincho"/>
            <w:szCs w:val="24"/>
          </w:rPr>
          <w:t>§ 35 odst. 1 písm. f) až h)</w:t>
        </w:r>
      </w:hyperlink>
      <w:r w:rsidRPr="007A14A9">
        <w:rPr>
          <w:rFonts w:eastAsia="MS Mincho"/>
          <w:szCs w:val="24"/>
        </w:rPr>
        <w:t xml:space="preserve">, a v rámci svých možností zajistí, aby statutární orgán tuto povinnost splnil. </w:t>
      </w:r>
    </w:p>
    <w:p w14:paraId="611FC48A"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(3)</w:t>
      </w:r>
      <w:r w:rsidRPr="007A14A9">
        <w:rPr>
          <w:rFonts w:eastAsia="MS Mincho"/>
          <w:szCs w:val="24"/>
        </w:rPr>
        <w:tab/>
        <w:t xml:space="preserve">Obhospodařovatel uvedený v </w:t>
      </w:r>
      <w:hyperlink r:id="rId326" w:history="1">
        <w:r w:rsidRPr="007A14A9">
          <w:rPr>
            <w:rFonts w:eastAsia="MS Mincho"/>
            <w:szCs w:val="24"/>
          </w:rPr>
          <w:t>§ 34 odst. 1</w:t>
        </w:r>
      </w:hyperlink>
      <w:r w:rsidRPr="007A14A9">
        <w:rPr>
          <w:rFonts w:eastAsia="MS Mincho"/>
          <w:szCs w:val="24"/>
        </w:rPr>
        <w:t xml:space="preserve"> požádá statutární orgán kontrolované právnické osoby, aby tento orgán ve lhůtě, v níž musí být vyhotovena</w:t>
      </w:r>
      <w:r w:rsidRPr="007A14A9">
        <w:rPr>
          <w:rFonts w:eastAsia="MS Mincho"/>
          <w:b/>
          <w:szCs w:val="24"/>
        </w:rPr>
        <w:t xml:space="preserve"> </w:t>
      </w:r>
      <w:r w:rsidRPr="007A14A9">
        <w:rPr>
          <w:rFonts w:eastAsia="MS Mincho"/>
          <w:strike/>
          <w:szCs w:val="24"/>
        </w:rPr>
        <w:t>výroční zpráva</w:t>
      </w:r>
      <w:r w:rsidRPr="007A14A9">
        <w:rPr>
          <w:rFonts w:eastAsia="MS Mincho"/>
          <w:szCs w:val="24"/>
        </w:rPr>
        <w:t xml:space="preserve"> </w:t>
      </w:r>
      <w:r w:rsidRPr="007A14A9">
        <w:rPr>
          <w:rFonts w:eastAsia="MS Mincho"/>
          <w:b/>
          <w:szCs w:val="24"/>
        </w:rPr>
        <w:t>individuální zpráva vedení</w:t>
      </w:r>
      <w:r w:rsidRPr="007A14A9">
        <w:rPr>
          <w:rFonts w:eastAsia="MS Mincho"/>
          <w:szCs w:val="24"/>
        </w:rPr>
        <w:t xml:space="preserve"> této osoby podle příslušných právních předpisů, zpřístupnil zaměstnancům této osoby nebo jejich zástupcům </w:t>
      </w:r>
      <w:r w:rsidRPr="007A14A9">
        <w:rPr>
          <w:rFonts w:eastAsia="MS Mincho"/>
          <w:strike/>
          <w:szCs w:val="24"/>
        </w:rPr>
        <w:t>výroční zprávu</w:t>
      </w:r>
      <w:r w:rsidRPr="007A14A9">
        <w:rPr>
          <w:rFonts w:eastAsia="MS Mincho"/>
          <w:b/>
          <w:szCs w:val="24"/>
        </w:rPr>
        <w:t xml:space="preserve"> individuální zprávu vedení</w:t>
      </w:r>
      <w:r w:rsidRPr="007A14A9">
        <w:rPr>
          <w:rFonts w:eastAsia="MS Mincho"/>
          <w:szCs w:val="24"/>
        </w:rPr>
        <w:t xml:space="preserve"> této osoby obsahující údaje uvedené v </w:t>
      </w:r>
      <w:hyperlink r:id="rId327" w:history="1">
        <w:r w:rsidRPr="007A14A9">
          <w:rPr>
            <w:rFonts w:eastAsia="MS Mincho"/>
            <w:szCs w:val="24"/>
          </w:rPr>
          <w:t>§ 34 odst. 2</w:t>
        </w:r>
      </w:hyperlink>
      <w:r w:rsidRPr="007A14A9">
        <w:rPr>
          <w:rFonts w:eastAsia="MS Mincho"/>
          <w:szCs w:val="24"/>
        </w:rPr>
        <w:t xml:space="preserve">, a v rámci svých možností zajistí, aby statutární orgán tuto povinnost splnil. </w:t>
      </w:r>
    </w:p>
    <w:p w14:paraId="1AC3DB72"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 (4) Povinnost podle odstavce 3 obhospodařovatel neplní, postupuje-li podle </w:t>
      </w:r>
      <w:hyperlink r:id="rId328" w:history="1">
        <w:r w:rsidRPr="007A14A9">
          <w:rPr>
            <w:rFonts w:eastAsia="MS Mincho"/>
            <w:strike/>
            <w:szCs w:val="24"/>
          </w:rPr>
          <w:t>§ 234 odst. 2</w:t>
        </w:r>
        <w:r w:rsidRPr="007A14A9">
          <w:rPr>
            <w:rFonts w:eastAsia="MS Mincho"/>
            <w:szCs w:val="24"/>
          </w:rPr>
          <w:t xml:space="preserve"> </w:t>
        </w:r>
        <w:r w:rsidRPr="007A14A9">
          <w:rPr>
            <w:rFonts w:eastAsia="MS Mincho"/>
            <w:b/>
            <w:szCs w:val="24"/>
          </w:rPr>
          <w:t>§ 234 odst. 3</w:t>
        </w:r>
        <w:r w:rsidRPr="007A14A9">
          <w:rPr>
            <w:rFonts w:eastAsia="MS Mincho"/>
            <w:szCs w:val="24"/>
          </w:rPr>
          <w:t xml:space="preserve"> písm. d)</w:t>
        </w:r>
      </w:hyperlink>
      <w:r w:rsidRPr="007A14A9">
        <w:rPr>
          <w:rFonts w:eastAsia="MS Mincho"/>
          <w:szCs w:val="24"/>
        </w:rPr>
        <w:t xml:space="preserve">; v takovém případě obhospodařovatel uvedený v </w:t>
      </w:r>
      <w:hyperlink r:id="rId329" w:history="1">
        <w:r w:rsidRPr="007A14A9">
          <w:rPr>
            <w:rFonts w:eastAsia="MS Mincho"/>
            <w:szCs w:val="24"/>
          </w:rPr>
          <w:t>§ 34 odst. 1</w:t>
        </w:r>
      </w:hyperlink>
      <w:r w:rsidRPr="007A14A9">
        <w:rPr>
          <w:rFonts w:eastAsia="MS Mincho"/>
          <w:szCs w:val="24"/>
        </w:rPr>
        <w:t xml:space="preserve"> požádá statutární orgán kontrolované právnické osoby, aby tento orgán ve lhůtě, v níž má být </w:t>
      </w:r>
      <w:r w:rsidRPr="007A14A9">
        <w:rPr>
          <w:rFonts w:eastAsia="MS Mincho"/>
          <w:strike/>
          <w:szCs w:val="24"/>
        </w:rPr>
        <w:t>zpřístupněna</w:t>
      </w:r>
      <w:r w:rsidRPr="007A14A9">
        <w:rPr>
          <w:rFonts w:eastAsia="MS Mincho"/>
          <w:b/>
          <w:bCs/>
          <w:szCs w:val="24"/>
        </w:rPr>
        <w:t xml:space="preserve"> </w:t>
      </w:r>
      <w:r w:rsidRPr="007A14A9">
        <w:rPr>
          <w:rFonts w:eastAsia="MS Mincho"/>
          <w:strike/>
          <w:szCs w:val="24"/>
        </w:rPr>
        <w:t xml:space="preserve">výroční zpráva dotčeného fondu </w:t>
      </w:r>
      <w:r w:rsidRPr="007A14A9">
        <w:rPr>
          <w:rFonts w:eastAsia="MS Mincho"/>
          <w:b/>
          <w:szCs w:val="24"/>
        </w:rPr>
        <w:t xml:space="preserve">vyhotovena výroční zpráva investičního fondu nebo má být </w:t>
      </w:r>
      <w:r w:rsidRPr="007A14A9">
        <w:rPr>
          <w:rFonts w:eastAsia="MS Mincho"/>
          <w:b/>
          <w:bCs/>
          <w:szCs w:val="24"/>
        </w:rPr>
        <w:t>zpřístupněna</w:t>
      </w:r>
      <w:r w:rsidRPr="007A14A9">
        <w:rPr>
          <w:rFonts w:eastAsia="MS Mincho"/>
          <w:szCs w:val="24"/>
        </w:rPr>
        <w:t xml:space="preserve"> jeho podílníkům, společníkům nebo obmyšleným, zpřístupnil zaměstnancům této osoby nebo jejich zástupcům údaje uvedené v </w:t>
      </w:r>
      <w:hyperlink r:id="rId330" w:history="1">
        <w:r w:rsidRPr="007A14A9">
          <w:rPr>
            <w:rFonts w:eastAsia="MS Mincho"/>
            <w:szCs w:val="24"/>
          </w:rPr>
          <w:t>§ 34 odst. 2</w:t>
        </w:r>
      </w:hyperlink>
      <w:r w:rsidRPr="007A14A9">
        <w:rPr>
          <w:rFonts w:eastAsia="MS Mincho"/>
          <w:szCs w:val="24"/>
        </w:rPr>
        <w:t xml:space="preserve">, a v rámci svých možností zajistí, aby statutární orgán tuto povinnost splnil. </w:t>
      </w:r>
    </w:p>
    <w:p w14:paraId="66C65ACF"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 (5) Zástupcem zaměstnanců se pro účely tohoto zákona rozumí odborová organizace, rada zaměstnanců, zástupce pro oblast bezpečnosti a ochrany zdraví při práci nebo zástupci zaměstnanců podle práva cizího státu. </w:t>
      </w:r>
    </w:p>
    <w:p w14:paraId="6296B274" w14:textId="77777777" w:rsidR="007A14A9" w:rsidRPr="007A14A9" w:rsidRDefault="007A14A9" w:rsidP="007A14A9">
      <w:pPr>
        <w:keepNext/>
        <w:keepLines/>
        <w:ind w:firstLine="0"/>
        <w:jc w:val="center"/>
        <w:outlineLvl w:val="5"/>
      </w:pPr>
      <w:r w:rsidRPr="007A14A9">
        <w:lastRenderedPageBreak/>
        <w:t xml:space="preserve">§ 37 </w:t>
      </w:r>
    </w:p>
    <w:p w14:paraId="4A4904A0" w14:textId="77777777" w:rsidR="007A14A9" w:rsidRPr="007A14A9" w:rsidRDefault="007A14A9" w:rsidP="007A14A9">
      <w:pPr>
        <w:keepNext/>
        <w:keepLines/>
        <w:ind w:firstLine="0"/>
        <w:jc w:val="center"/>
        <w:outlineLvl w:val="5"/>
        <w:rPr>
          <w:b/>
        </w:rPr>
      </w:pPr>
      <w:r w:rsidRPr="007A14A9">
        <w:rPr>
          <w:b/>
        </w:rPr>
        <w:t xml:space="preserve">Zabránění některých dispozic s majetkem kontrolované právnické osoby </w:t>
      </w:r>
    </w:p>
    <w:p w14:paraId="6E434AF5"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(1) Obhospodařovatel uvedený v </w:t>
      </w:r>
      <w:hyperlink r:id="rId331" w:history="1">
        <w:r w:rsidRPr="007A14A9">
          <w:rPr>
            <w:rFonts w:eastAsia="MS Mincho"/>
            <w:szCs w:val="24"/>
          </w:rPr>
          <w:t>§ 34 odst. 1</w:t>
        </w:r>
      </w:hyperlink>
      <w:r w:rsidRPr="007A14A9">
        <w:rPr>
          <w:rFonts w:eastAsia="MS Mincho"/>
          <w:szCs w:val="24"/>
        </w:rPr>
        <w:t xml:space="preserve"> nebo </w:t>
      </w:r>
      <w:hyperlink r:id="rId332" w:history="1">
        <w:r w:rsidRPr="007A14A9">
          <w:rPr>
            <w:rFonts w:eastAsia="MS Mincho"/>
            <w:szCs w:val="24"/>
          </w:rPr>
          <w:t>§ 35 odst. 3</w:t>
        </w:r>
      </w:hyperlink>
      <w:r w:rsidRPr="007A14A9">
        <w:rPr>
          <w:rFonts w:eastAsia="MS Mincho"/>
          <w:szCs w:val="24"/>
        </w:rPr>
        <w:t xml:space="preserve"> zabrání po dobu 24 měsíců ode dne, kdy došlo k dosažení nebo překročení podílu na hlasovacích právech podle </w:t>
      </w:r>
      <w:hyperlink r:id="rId333" w:history="1">
        <w:r w:rsidRPr="007A14A9">
          <w:rPr>
            <w:rFonts w:eastAsia="MS Mincho"/>
            <w:szCs w:val="24"/>
          </w:rPr>
          <w:t>§ 34 odst. 1</w:t>
        </w:r>
      </w:hyperlink>
      <w:r w:rsidRPr="007A14A9">
        <w:rPr>
          <w:rFonts w:eastAsia="MS Mincho"/>
          <w:szCs w:val="24"/>
        </w:rPr>
        <w:t xml:space="preserve"> nebo </w:t>
      </w:r>
      <w:hyperlink r:id="rId334" w:history="1">
        <w:r w:rsidRPr="007A14A9">
          <w:rPr>
            <w:rFonts w:eastAsia="MS Mincho"/>
            <w:szCs w:val="24"/>
          </w:rPr>
          <w:t>§ 35 odst. 3</w:t>
        </w:r>
      </w:hyperlink>
      <w:r w:rsidRPr="007A14A9">
        <w:rPr>
          <w:rFonts w:eastAsia="MS Mincho"/>
          <w:szCs w:val="24"/>
        </w:rPr>
        <w:t xml:space="preserve">, </w:t>
      </w:r>
    </w:p>
    <w:p w14:paraId="269F9B3B"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a)</w:t>
      </w:r>
      <w:r w:rsidRPr="007A14A9">
        <w:rPr>
          <w:rFonts w:eastAsia="MS Mincho"/>
          <w:szCs w:val="24"/>
        </w:rPr>
        <w:tab/>
        <w:t xml:space="preserve">rozdělení zisku nebo jiných vlastních zdrojů kontrolované právnické osoby mezi její společníky, </w:t>
      </w:r>
    </w:p>
    <w:p w14:paraId="5412F495"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b) </w:t>
      </w:r>
      <w:r w:rsidRPr="007A14A9">
        <w:rPr>
          <w:rFonts w:eastAsia="MS Mincho"/>
          <w:szCs w:val="24"/>
        </w:rPr>
        <w:tab/>
        <w:t xml:space="preserve">snížení základního kapitálu kontrolované právnické osoby, popřípadě snížení srovnatelné veličiny, jde-li o právnickou osobu se sídlem v zahraničí, a </w:t>
      </w:r>
    </w:p>
    <w:p w14:paraId="763DE346"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c) </w:t>
      </w:r>
      <w:r w:rsidRPr="007A14A9">
        <w:rPr>
          <w:rFonts w:eastAsia="MS Mincho"/>
          <w:szCs w:val="24"/>
        </w:rPr>
        <w:tab/>
        <w:t xml:space="preserve">nabytí podílů na základním kapitálu, srovnatelné veličině, jde-li o právnickou osobu se sídlem v zahraničí, nebo hlasovacích právech kontrolované právnické osoby do jejího majetku. </w:t>
      </w:r>
    </w:p>
    <w:p w14:paraId="3F44EAE4"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(2) Ustanovení odstavce 1 písm. a) se použije jen v případě, že </w:t>
      </w:r>
    </w:p>
    <w:p w14:paraId="51F40D69"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a) </w:t>
      </w:r>
      <w:r w:rsidRPr="007A14A9">
        <w:rPr>
          <w:rFonts w:eastAsia="MS Mincho"/>
          <w:szCs w:val="24"/>
        </w:rPr>
        <w:tab/>
        <w:t>hodnota majetku</w:t>
      </w:r>
      <w:r w:rsidRPr="007A14A9">
        <w:rPr>
          <w:rFonts w:eastAsia="MS Mincho"/>
          <w:b/>
          <w:szCs w:val="24"/>
        </w:rPr>
        <w:t xml:space="preserve"> </w:t>
      </w:r>
      <w:r w:rsidRPr="007A14A9">
        <w:rPr>
          <w:rFonts w:eastAsia="MS Mincho"/>
          <w:szCs w:val="24"/>
        </w:rPr>
        <w:t xml:space="preserve">snížená o </w:t>
      </w:r>
      <w:r w:rsidRPr="007A14A9">
        <w:rPr>
          <w:rFonts w:eastAsia="MS Mincho"/>
          <w:strike/>
          <w:szCs w:val="24"/>
        </w:rPr>
        <w:t xml:space="preserve">závazky </w:t>
      </w:r>
      <w:r w:rsidRPr="007A14A9">
        <w:rPr>
          <w:rFonts w:eastAsia="MS Mincho"/>
          <w:b/>
          <w:szCs w:val="24"/>
        </w:rPr>
        <w:t xml:space="preserve">hodnotu dluhů </w:t>
      </w:r>
      <w:r w:rsidRPr="007A14A9">
        <w:rPr>
          <w:rFonts w:eastAsia="MS Mincho"/>
          <w:szCs w:val="24"/>
        </w:rPr>
        <w:t xml:space="preserve">kontrolované právnické osoby zjištěná podle poslední řádné </w:t>
      </w:r>
      <w:r w:rsidRPr="007A14A9">
        <w:rPr>
          <w:rFonts w:eastAsia="MS Mincho"/>
          <w:b/>
          <w:szCs w:val="24"/>
        </w:rPr>
        <w:t>individuální</w:t>
      </w:r>
      <w:r w:rsidRPr="007A14A9">
        <w:rPr>
          <w:rFonts w:eastAsia="MS Mincho"/>
          <w:szCs w:val="24"/>
        </w:rPr>
        <w:t xml:space="preserve"> účetní závěrky je nižší, nebo by v důsledku tohoto rozdělení byla nižší, než výše základního kapitálu, popřípadě srovnatelné veličiny, jde-li o právnickou osobu se sídlem v zahraničí, </w:t>
      </w:r>
    </w:p>
    <w:p w14:paraId="1AB35428" w14:textId="77777777" w:rsidR="007A14A9" w:rsidRPr="007A14A9" w:rsidRDefault="007A14A9" w:rsidP="007A14A9">
      <w:pPr>
        <w:tabs>
          <w:tab w:val="left" w:pos="851"/>
        </w:tabs>
        <w:spacing w:before="0"/>
        <w:ind w:left="850" w:hanging="425"/>
        <w:outlineLvl w:val="8"/>
        <w:rPr>
          <w:rFonts w:eastAsia="MS Mincho"/>
          <w:szCs w:val="24"/>
        </w:rPr>
      </w:pPr>
      <w:r w:rsidRPr="007A14A9">
        <w:rPr>
          <w:rFonts w:eastAsia="MS Mincho"/>
          <w:szCs w:val="24"/>
        </w:rPr>
        <w:t>1.</w:t>
      </w:r>
      <w:r w:rsidRPr="007A14A9">
        <w:rPr>
          <w:rFonts w:eastAsia="MS Mincho"/>
          <w:szCs w:val="24"/>
        </w:rPr>
        <w:tab/>
        <w:t xml:space="preserve">zvýšeného o tu část rezervních fondů nebo o ty rezervní fondy, které nelze použít k plnění jejím společníkům, a </w:t>
      </w:r>
    </w:p>
    <w:p w14:paraId="6CB0424B" w14:textId="77777777" w:rsidR="007A14A9" w:rsidRPr="007A14A9" w:rsidRDefault="007A14A9" w:rsidP="007A14A9">
      <w:pPr>
        <w:tabs>
          <w:tab w:val="left" w:pos="851"/>
        </w:tabs>
        <w:spacing w:before="0"/>
        <w:ind w:left="850" w:hanging="425"/>
        <w:outlineLvl w:val="8"/>
        <w:rPr>
          <w:rFonts w:eastAsia="MS Mincho"/>
          <w:szCs w:val="24"/>
        </w:rPr>
      </w:pPr>
      <w:r w:rsidRPr="007A14A9">
        <w:rPr>
          <w:rFonts w:eastAsia="MS Mincho"/>
          <w:szCs w:val="24"/>
        </w:rPr>
        <w:t xml:space="preserve">2. </w:t>
      </w:r>
      <w:r w:rsidRPr="007A14A9">
        <w:rPr>
          <w:rFonts w:eastAsia="MS Mincho"/>
          <w:szCs w:val="24"/>
        </w:rPr>
        <w:tab/>
        <w:t xml:space="preserve">sníženého o nesplacený základní kapitál, popřípadě srovnatelnou veličinu, jde-li o právnickou osobu se sídlem v zahraničí, který není zahrnut v rozvaze v aktivech, nebo </w:t>
      </w:r>
    </w:p>
    <w:p w14:paraId="40EC2730"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b)</w:t>
      </w:r>
      <w:r w:rsidRPr="007A14A9">
        <w:rPr>
          <w:rFonts w:eastAsia="MS Mincho"/>
          <w:szCs w:val="24"/>
        </w:rPr>
        <w:tab/>
        <w:t xml:space="preserve">částka k rozdělení mezi společníky překračuje výši výsledku hospodaření posledního skončeného účetního období </w:t>
      </w:r>
    </w:p>
    <w:p w14:paraId="3EA844AA" w14:textId="77777777" w:rsidR="007A14A9" w:rsidRPr="007A14A9" w:rsidRDefault="007A14A9" w:rsidP="007A14A9">
      <w:pPr>
        <w:tabs>
          <w:tab w:val="left" w:pos="851"/>
        </w:tabs>
        <w:spacing w:before="0"/>
        <w:ind w:left="850" w:hanging="425"/>
        <w:outlineLvl w:val="8"/>
        <w:rPr>
          <w:rFonts w:eastAsia="MS Mincho"/>
          <w:szCs w:val="24"/>
        </w:rPr>
      </w:pPr>
      <w:r w:rsidRPr="007A14A9">
        <w:rPr>
          <w:rFonts w:eastAsia="MS Mincho"/>
          <w:szCs w:val="24"/>
        </w:rPr>
        <w:t xml:space="preserve">1. </w:t>
      </w:r>
      <w:r w:rsidRPr="007A14A9">
        <w:rPr>
          <w:rFonts w:eastAsia="MS Mincho"/>
          <w:szCs w:val="24"/>
        </w:rPr>
        <w:tab/>
        <w:t xml:space="preserve">zvýšenou o nerozdělený zisk z předchozích období a o platby z rezervních fondů určených k tomuto účelu, a </w:t>
      </w:r>
    </w:p>
    <w:p w14:paraId="585EFAA2" w14:textId="77777777" w:rsidR="007A14A9" w:rsidRPr="007A14A9" w:rsidRDefault="007A14A9" w:rsidP="007A14A9">
      <w:pPr>
        <w:tabs>
          <w:tab w:val="left" w:pos="851"/>
        </w:tabs>
        <w:spacing w:before="0"/>
        <w:ind w:left="850" w:hanging="425"/>
        <w:outlineLvl w:val="8"/>
        <w:rPr>
          <w:rFonts w:eastAsia="MS Mincho"/>
          <w:szCs w:val="24"/>
        </w:rPr>
      </w:pPr>
      <w:r w:rsidRPr="007A14A9">
        <w:rPr>
          <w:rFonts w:eastAsia="MS Mincho"/>
          <w:szCs w:val="24"/>
        </w:rPr>
        <w:t xml:space="preserve">2. </w:t>
      </w:r>
      <w:r w:rsidRPr="007A14A9">
        <w:rPr>
          <w:rFonts w:eastAsia="MS Mincho"/>
          <w:szCs w:val="24"/>
        </w:rPr>
        <w:tab/>
        <w:t xml:space="preserve">sníženou o ztráty z předchozích období a o příděly do rezervních a jiných fondů v souladu se zákonem a společenskou smlouvou kontrolované právnické osoby. </w:t>
      </w:r>
    </w:p>
    <w:p w14:paraId="4EC200A0"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 (3) Ustanovení odstavce 1 písm. b) se použije jen v případě, že snížení základního kapitálu nebo srovnatelné veličiny za účelem úhrady ztráty nebo za účelem převodu do rezervního fondu a úhrady budoucí ztráty a výše těchto rezervních fondů přesáhne 10 % sníženého základního kapitálu nebo snížené srovnatelné veličiny. </w:t>
      </w:r>
    </w:p>
    <w:p w14:paraId="039EE9EC"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(4) Ustanovení odstavce 1 písm. c) se použije jen v případě, že by toto nabytí, včetně podílů, které již tato osoba vlastní a podílů držených jiným na její účet, vedlo k poklesu hodnoty majetku</w:t>
      </w:r>
      <w:r w:rsidRPr="007A14A9">
        <w:rPr>
          <w:rFonts w:eastAsia="MS Mincho"/>
          <w:b/>
          <w:strike/>
          <w:szCs w:val="24"/>
        </w:rPr>
        <w:t xml:space="preserve"> </w:t>
      </w:r>
      <w:r w:rsidRPr="007A14A9">
        <w:rPr>
          <w:rFonts w:eastAsia="MS Mincho"/>
          <w:szCs w:val="24"/>
        </w:rPr>
        <w:t xml:space="preserve">snížené o </w:t>
      </w:r>
      <w:r w:rsidRPr="007A14A9">
        <w:rPr>
          <w:rFonts w:eastAsia="MS Mincho"/>
          <w:strike/>
          <w:szCs w:val="24"/>
        </w:rPr>
        <w:t xml:space="preserve">závazky </w:t>
      </w:r>
      <w:r w:rsidRPr="007A14A9">
        <w:rPr>
          <w:rFonts w:eastAsia="MS Mincho"/>
          <w:b/>
          <w:szCs w:val="24"/>
        </w:rPr>
        <w:t xml:space="preserve">hodnotu dluhů </w:t>
      </w:r>
      <w:r w:rsidRPr="007A14A9">
        <w:rPr>
          <w:rFonts w:eastAsia="MS Mincho"/>
          <w:szCs w:val="24"/>
        </w:rPr>
        <w:t xml:space="preserve">této právnické osoby pod výši jejího základního kapitálu, popřípadě srovnatelné veličiny, jde-li o právnickou osobu se sídlem v zahraničí, </w:t>
      </w:r>
    </w:p>
    <w:p w14:paraId="0280B684"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a)</w:t>
      </w:r>
      <w:r w:rsidRPr="007A14A9">
        <w:rPr>
          <w:rFonts w:eastAsia="MS Mincho"/>
          <w:szCs w:val="24"/>
        </w:rPr>
        <w:tab/>
        <w:t xml:space="preserve">zvýšeného o ty části rezervních fondů nebo ty rezervní fondy, které nelze použít k plnění jejím společníkům, a </w:t>
      </w:r>
    </w:p>
    <w:p w14:paraId="1EE686C6"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b)</w:t>
      </w:r>
      <w:r w:rsidRPr="007A14A9">
        <w:rPr>
          <w:rFonts w:eastAsia="MS Mincho"/>
          <w:szCs w:val="24"/>
        </w:rPr>
        <w:tab/>
        <w:t xml:space="preserve">sníženého o nesplacený základní kapitál, popřípadě srovnatelnou veličinu, jde-li o právnickou osobu se sídlem v zahraničí, který není zahrnut v rozvaze v aktivech. </w:t>
      </w:r>
    </w:p>
    <w:p w14:paraId="0CCD22D7" w14:textId="77777777" w:rsidR="007A14A9" w:rsidRPr="007A14A9" w:rsidRDefault="007A14A9" w:rsidP="007A14A9">
      <w:pPr>
        <w:keepNext/>
        <w:keepLines/>
        <w:ind w:firstLine="0"/>
        <w:jc w:val="center"/>
        <w:outlineLvl w:val="5"/>
      </w:pPr>
      <w:r w:rsidRPr="007A14A9">
        <w:t xml:space="preserve">§ 38 </w:t>
      </w:r>
    </w:p>
    <w:p w14:paraId="34BE5278" w14:textId="77777777" w:rsidR="007A14A9" w:rsidRPr="007A14A9" w:rsidRDefault="007A14A9" w:rsidP="007A14A9">
      <w:pPr>
        <w:keepNext/>
        <w:keepLines/>
        <w:ind w:firstLine="0"/>
        <w:jc w:val="center"/>
        <w:outlineLvl w:val="5"/>
        <w:rPr>
          <w:b/>
        </w:rPr>
      </w:pPr>
      <w:r w:rsidRPr="007A14A9">
        <w:rPr>
          <w:b/>
        </w:rPr>
        <w:t xml:space="preserve">Administrace </w:t>
      </w:r>
    </w:p>
    <w:p w14:paraId="046EA090"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(1)</w:t>
      </w:r>
      <w:r w:rsidRPr="007A14A9">
        <w:rPr>
          <w:rFonts w:eastAsia="MS Mincho"/>
          <w:szCs w:val="24"/>
        </w:rPr>
        <w:tab/>
        <w:t xml:space="preserve">Administrací investičního fondu nebo zahraničního investičního fondu jsou ve vztahu k tomuto fondu tyto činnosti: </w:t>
      </w:r>
    </w:p>
    <w:p w14:paraId="2312550F" w14:textId="77777777" w:rsidR="007A14A9" w:rsidRPr="007A14A9" w:rsidRDefault="007A14A9" w:rsidP="007A14A9">
      <w:pPr>
        <w:spacing w:before="0"/>
        <w:ind w:left="425" w:hanging="425"/>
        <w:outlineLvl w:val="7"/>
        <w:rPr>
          <w:rFonts w:eastAsia="MS Mincho"/>
          <w:strike/>
          <w:szCs w:val="24"/>
        </w:rPr>
      </w:pPr>
      <w:r w:rsidRPr="007A14A9">
        <w:rPr>
          <w:rFonts w:eastAsia="MS Mincho"/>
          <w:strike/>
          <w:szCs w:val="24"/>
        </w:rPr>
        <w:lastRenderedPageBreak/>
        <w:t>a)</w:t>
      </w:r>
      <w:r w:rsidRPr="007A14A9">
        <w:rPr>
          <w:rFonts w:eastAsia="MS Mincho"/>
          <w:strike/>
          <w:szCs w:val="24"/>
        </w:rPr>
        <w:tab/>
        <w:t xml:space="preserve">vedení účetnictví, </w:t>
      </w:r>
    </w:p>
    <w:p w14:paraId="1155E264" w14:textId="77777777" w:rsidR="007A14A9" w:rsidRPr="007A14A9" w:rsidRDefault="007A14A9" w:rsidP="007A14A9">
      <w:pPr>
        <w:spacing w:before="0"/>
        <w:ind w:left="425" w:hanging="425"/>
        <w:outlineLvl w:val="7"/>
        <w:rPr>
          <w:rFonts w:eastAsia="MS Mincho"/>
          <w:b/>
          <w:szCs w:val="24"/>
        </w:rPr>
      </w:pPr>
      <w:r w:rsidRPr="007A14A9">
        <w:rPr>
          <w:rFonts w:eastAsia="MS Mincho"/>
          <w:b/>
          <w:szCs w:val="24"/>
        </w:rPr>
        <w:t>a)</w:t>
      </w:r>
      <w:r w:rsidRPr="007A14A9">
        <w:rPr>
          <w:rFonts w:eastAsia="MS Mincho"/>
          <w:b/>
          <w:szCs w:val="24"/>
        </w:rPr>
        <w:tab/>
        <w:t>plnění povinností souvisejících s účetnictvím,</w:t>
      </w:r>
    </w:p>
    <w:p w14:paraId="26DAC3D0"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b)</w:t>
      </w:r>
      <w:r w:rsidRPr="007A14A9">
        <w:rPr>
          <w:rFonts w:eastAsia="MS Mincho"/>
          <w:szCs w:val="24"/>
        </w:rPr>
        <w:tab/>
        <w:t xml:space="preserve">poskytování právních služeb, </w:t>
      </w:r>
    </w:p>
    <w:p w14:paraId="3196BFDB"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c)</w:t>
      </w:r>
      <w:r w:rsidRPr="007A14A9">
        <w:rPr>
          <w:rFonts w:eastAsia="MS Mincho"/>
          <w:szCs w:val="24"/>
        </w:rPr>
        <w:tab/>
      </w:r>
      <w:proofErr w:type="spellStart"/>
      <w:r w:rsidRPr="007A14A9">
        <w:rPr>
          <w:rFonts w:eastAsia="MS Mincho"/>
          <w:szCs w:val="24"/>
        </w:rPr>
        <w:t>compliance</w:t>
      </w:r>
      <w:proofErr w:type="spellEnd"/>
      <w:r w:rsidRPr="007A14A9">
        <w:rPr>
          <w:rFonts w:eastAsia="MS Mincho"/>
          <w:szCs w:val="24"/>
        </w:rPr>
        <w:t xml:space="preserve"> a vnitřní audit, </w:t>
      </w:r>
    </w:p>
    <w:p w14:paraId="7F4AFE5C"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d)</w:t>
      </w:r>
      <w:r w:rsidRPr="007A14A9">
        <w:rPr>
          <w:rFonts w:eastAsia="MS Mincho"/>
          <w:szCs w:val="24"/>
        </w:rPr>
        <w:tab/>
        <w:t xml:space="preserve">vyřizování stížností a reklamací investorů, </w:t>
      </w:r>
    </w:p>
    <w:p w14:paraId="7B0D0C66"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e)</w:t>
      </w:r>
      <w:r w:rsidRPr="007A14A9">
        <w:rPr>
          <w:rFonts w:eastAsia="MS Mincho"/>
          <w:szCs w:val="24"/>
        </w:rPr>
        <w:tab/>
        <w:t xml:space="preserve">oceňování jeho majetku a dluhů, </w:t>
      </w:r>
    </w:p>
    <w:p w14:paraId="3EA1A45C"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f) </w:t>
      </w:r>
      <w:r w:rsidRPr="007A14A9">
        <w:rPr>
          <w:rFonts w:eastAsia="MS Mincho"/>
          <w:szCs w:val="24"/>
        </w:rPr>
        <w:tab/>
        <w:t xml:space="preserve">výpočet aktuální hodnoty cenného papíru a zaknihovaného cenného papíru vydávaného tímto fondem, </w:t>
      </w:r>
    </w:p>
    <w:p w14:paraId="5A2B2846"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g) </w:t>
      </w:r>
      <w:r w:rsidRPr="007A14A9">
        <w:rPr>
          <w:rFonts w:eastAsia="MS Mincho"/>
          <w:szCs w:val="24"/>
        </w:rPr>
        <w:tab/>
        <w:t xml:space="preserve">plnění povinností vztahujících se k daním, poplatkům nebo jiným obdobným peněžitým plněním, </w:t>
      </w:r>
    </w:p>
    <w:p w14:paraId="44B4F0E0"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h) </w:t>
      </w:r>
      <w:r w:rsidRPr="007A14A9">
        <w:rPr>
          <w:rFonts w:eastAsia="MS Mincho"/>
          <w:szCs w:val="24"/>
        </w:rPr>
        <w:tab/>
        <w:t xml:space="preserve">vedení seznamu vlastníků cenných papírů a zaknihovaných cenných papírů vydávaných tímto fondem, </w:t>
      </w:r>
    </w:p>
    <w:p w14:paraId="6C89AD58"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i) </w:t>
      </w:r>
      <w:r w:rsidRPr="007A14A9">
        <w:rPr>
          <w:rFonts w:eastAsia="MS Mincho"/>
          <w:szCs w:val="24"/>
        </w:rPr>
        <w:tab/>
        <w:t xml:space="preserve">rozdělování a vyplácení výnosů z majetku tohoto fondu, </w:t>
      </w:r>
    </w:p>
    <w:p w14:paraId="78CBFF5A"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j) </w:t>
      </w:r>
      <w:r w:rsidRPr="007A14A9">
        <w:rPr>
          <w:rFonts w:eastAsia="MS Mincho"/>
          <w:szCs w:val="24"/>
        </w:rPr>
        <w:tab/>
        <w:t xml:space="preserve">zajišťování vydávání, výměny a odkupování cenných papírů a zaknihovaných cenných papírů vydávaných tímto fondem, </w:t>
      </w:r>
    </w:p>
    <w:p w14:paraId="45101F99"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k) </w:t>
      </w:r>
      <w:r w:rsidRPr="007A14A9">
        <w:rPr>
          <w:rFonts w:eastAsia="MS Mincho"/>
          <w:szCs w:val="24"/>
        </w:rPr>
        <w:tab/>
        <w:t xml:space="preserve">vyhotovení a aktualizace výroční zprávy </w:t>
      </w:r>
      <w:r w:rsidRPr="007A14A9">
        <w:rPr>
          <w:rFonts w:eastAsia="MS Mincho"/>
          <w:b/>
          <w:szCs w:val="24"/>
        </w:rPr>
        <w:t>tohoto</w:t>
      </w:r>
      <w:r w:rsidRPr="007A14A9">
        <w:rPr>
          <w:rFonts w:eastAsia="MS Mincho"/>
          <w:szCs w:val="24"/>
        </w:rPr>
        <w:t xml:space="preserve"> </w:t>
      </w:r>
      <w:r w:rsidRPr="007A14A9">
        <w:rPr>
          <w:rFonts w:eastAsia="MS Mincho"/>
          <w:b/>
          <w:szCs w:val="24"/>
        </w:rPr>
        <w:t>fondu</w:t>
      </w:r>
      <w:r w:rsidRPr="007A14A9">
        <w:rPr>
          <w:rFonts w:eastAsia="MS Mincho"/>
          <w:szCs w:val="24"/>
        </w:rPr>
        <w:t xml:space="preserve"> a pololetní zprávy tohoto fondu, </w:t>
      </w:r>
    </w:p>
    <w:p w14:paraId="16990CD2"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l)</w:t>
      </w:r>
      <w:r w:rsidRPr="007A14A9">
        <w:rPr>
          <w:rFonts w:eastAsia="MS Mincho"/>
          <w:szCs w:val="24"/>
        </w:rPr>
        <w:tab/>
        <w:t xml:space="preserve">vyhotovení a aktualizace sdělení klíčových informací tohoto fondu nebo srovnatelného dokumentu podle práva cizího státu a provádění jeho změn, </w:t>
      </w:r>
    </w:p>
    <w:p w14:paraId="088D9EC6"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m)</w:t>
      </w:r>
      <w:r w:rsidRPr="007A14A9">
        <w:rPr>
          <w:rFonts w:eastAsia="MS Mincho"/>
          <w:szCs w:val="24"/>
        </w:rPr>
        <w:tab/>
        <w:t xml:space="preserve">vyhotovení propagačního sdělení týkajícího se tohoto fondu, </w:t>
      </w:r>
    </w:p>
    <w:p w14:paraId="3C10B42C"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n)</w:t>
      </w:r>
      <w:r w:rsidRPr="007A14A9">
        <w:rPr>
          <w:rFonts w:eastAsia="MS Mincho"/>
          <w:szCs w:val="24"/>
        </w:rPr>
        <w:tab/>
        <w:t xml:space="preserve">uveřejňování, zpřístupňování a poskytování údajů a dokumentů podílníkům, obmyšleným nebo společníkům tohoto fondu a jiným osobám, </w:t>
      </w:r>
    </w:p>
    <w:p w14:paraId="67DCD632"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o) </w:t>
      </w:r>
      <w:r w:rsidRPr="007A14A9">
        <w:rPr>
          <w:rFonts w:eastAsia="MS Mincho"/>
          <w:szCs w:val="24"/>
        </w:rPr>
        <w:tab/>
        <w:t xml:space="preserve">oznamování údajů a poskytování dokumentů, zejména České národní bance nebo orgánu dohledu jiného členského státu, </w:t>
      </w:r>
    </w:p>
    <w:p w14:paraId="1E1230AE"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p) </w:t>
      </w:r>
      <w:r w:rsidRPr="007A14A9">
        <w:rPr>
          <w:rFonts w:eastAsia="MS Mincho"/>
          <w:szCs w:val="24"/>
        </w:rPr>
        <w:tab/>
        <w:t xml:space="preserve">výkon jiné činnosti související s hospodařením s hodnotami v majetku tohoto fondu, například </w:t>
      </w:r>
    </w:p>
    <w:p w14:paraId="3AE247FF" w14:textId="77777777" w:rsidR="007A14A9" w:rsidRPr="007A14A9" w:rsidRDefault="007A14A9" w:rsidP="007A14A9">
      <w:pPr>
        <w:tabs>
          <w:tab w:val="left" w:pos="851"/>
        </w:tabs>
        <w:spacing w:before="0"/>
        <w:ind w:left="850" w:hanging="425"/>
        <w:outlineLvl w:val="8"/>
        <w:rPr>
          <w:rFonts w:eastAsia="MS Mincho"/>
          <w:szCs w:val="24"/>
        </w:rPr>
      </w:pPr>
      <w:r w:rsidRPr="007A14A9">
        <w:rPr>
          <w:rFonts w:eastAsia="MS Mincho"/>
          <w:szCs w:val="24"/>
        </w:rPr>
        <w:t>1.</w:t>
      </w:r>
      <w:r w:rsidRPr="007A14A9">
        <w:rPr>
          <w:rFonts w:eastAsia="MS Mincho"/>
          <w:szCs w:val="24"/>
        </w:rPr>
        <w:tab/>
        <w:t xml:space="preserve">výkon poradenské činnosti týkající se struktury kapitálu, průmyslové strategie a s tím souvisejících otázek osobám, na nichž má tento fond majetkovou účast, </w:t>
      </w:r>
    </w:p>
    <w:p w14:paraId="15F0D1BD" w14:textId="77777777" w:rsidR="007A14A9" w:rsidRPr="007A14A9" w:rsidRDefault="007A14A9" w:rsidP="007A14A9">
      <w:pPr>
        <w:tabs>
          <w:tab w:val="left" w:pos="851"/>
        </w:tabs>
        <w:spacing w:before="0"/>
        <w:ind w:left="850" w:hanging="425"/>
        <w:outlineLvl w:val="8"/>
        <w:rPr>
          <w:rFonts w:eastAsia="MS Mincho"/>
          <w:szCs w:val="24"/>
        </w:rPr>
      </w:pPr>
      <w:r w:rsidRPr="007A14A9">
        <w:rPr>
          <w:rFonts w:eastAsia="MS Mincho"/>
          <w:szCs w:val="24"/>
        </w:rPr>
        <w:t>2.</w:t>
      </w:r>
      <w:r w:rsidRPr="007A14A9">
        <w:rPr>
          <w:rFonts w:eastAsia="MS Mincho"/>
          <w:szCs w:val="24"/>
        </w:rPr>
        <w:tab/>
        <w:t xml:space="preserve">poskytování služeb týkajících se přeměn obchodních společností nebo převodu obchodních závodů osobám, na nichž má tento fond majetkovou účast, a </w:t>
      </w:r>
    </w:p>
    <w:p w14:paraId="52AAF9CE" w14:textId="77777777" w:rsidR="007A14A9" w:rsidRPr="007A14A9" w:rsidRDefault="007A14A9" w:rsidP="007A14A9">
      <w:pPr>
        <w:tabs>
          <w:tab w:val="left" w:pos="851"/>
        </w:tabs>
        <w:spacing w:before="0"/>
        <w:ind w:left="850" w:hanging="425"/>
        <w:outlineLvl w:val="8"/>
        <w:rPr>
          <w:rFonts w:eastAsia="MS Mincho"/>
          <w:szCs w:val="24"/>
        </w:rPr>
      </w:pPr>
      <w:r w:rsidRPr="007A14A9">
        <w:rPr>
          <w:rFonts w:eastAsia="MS Mincho"/>
          <w:szCs w:val="24"/>
        </w:rPr>
        <w:t xml:space="preserve">3. </w:t>
      </w:r>
      <w:r w:rsidRPr="007A14A9">
        <w:rPr>
          <w:rFonts w:eastAsia="MS Mincho"/>
          <w:szCs w:val="24"/>
        </w:rPr>
        <w:tab/>
        <w:t xml:space="preserve">údržba jednotlivé věci v majetku tohoto fondu, </w:t>
      </w:r>
    </w:p>
    <w:p w14:paraId="043E2BE1"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q)</w:t>
      </w:r>
      <w:r w:rsidRPr="007A14A9">
        <w:rPr>
          <w:rFonts w:eastAsia="MS Mincho"/>
          <w:szCs w:val="24"/>
        </w:rPr>
        <w:tab/>
        <w:t xml:space="preserve">rozdělování a vyplácení peněžitých plnění v souvislosti se zrušením tohoto fondu, </w:t>
      </w:r>
    </w:p>
    <w:p w14:paraId="60261A9F"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r)</w:t>
      </w:r>
      <w:r w:rsidRPr="007A14A9">
        <w:rPr>
          <w:rFonts w:eastAsia="MS Mincho"/>
          <w:szCs w:val="24"/>
        </w:rPr>
        <w:tab/>
        <w:t xml:space="preserve">vedení evidence o vydávání a odkupování cenných papírů a zaknihovaných cenných papírů vydávaných tímto fondem, </w:t>
      </w:r>
    </w:p>
    <w:p w14:paraId="30D83555" w14:textId="77777777" w:rsidR="007A14A9" w:rsidRPr="007613A3" w:rsidRDefault="007A14A9" w:rsidP="00554FBC">
      <w:pPr>
        <w:pBdr>
          <w:top w:val="single" w:sz="12" w:space="1" w:color="0070C0"/>
          <w:left w:val="single" w:sz="12" w:space="4" w:color="0070C0"/>
          <w:bottom w:val="single" w:sz="12" w:space="1" w:color="0070C0"/>
          <w:right w:val="single" w:sz="12" w:space="4" w:color="0070C0"/>
        </w:pBdr>
        <w:spacing w:before="0"/>
        <w:ind w:left="425" w:hanging="425"/>
        <w:outlineLvl w:val="7"/>
        <w:rPr>
          <w:rFonts w:eastAsia="MS Mincho"/>
          <w:b/>
          <w:color w:val="0070C0"/>
          <w:szCs w:val="24"/>
        </w:rPr>
      </w:pPr>
      <w:r w:rsidRPr="007613A3">
        <w:rPr>
          <w:rFonts w:eastAsia="MS Mincho"/>
          <w:b/>
          <w:color w:val="0070C0"/>
          <w:szCs w:val="24"/>
        </w:rPr>
        <w:t>s)</w:t>
      </w:r>
      <w:r w:rsidRPr="007613A3">
        <w:rPr>
          <w:rFonts w:eastAsia="MS Mincho"/>
          <w:b/>
          <w:color w:val="0070C0"/>
          <w:szCs w:val="24"/>
        </w:rPr>
        <w:tab/>
        <w:t>úschova cenných papírů a vedení evidence zaknihovaných cenných papírů vydávaných tímto fondem,</w:t>
      </w:r>
    </w:p>
    <w:p w14:paraId="7182C31C" w14:textId="77777777" w:rsidR="007A14A9" w:rsidRPr="007613A3" w:rsidRDefault="007A14A9" w:rsidP="00554FBC">
      <w:pPr>
        <w:pBdr>
          <w:top w:val="single" w:sz="12" w:space="1" w:color="0070C0"/>
          <w:left w:val="single" w:sz="12" w:space="4" w:color="0070C0"/>
          <w:bottom w:val="single" w:sz="12" w:space="1" w:color="0070C0"/>
          <w:right w:val="single" w:sz="12" w:space="4" w:color="0070C0"/>
        </w:pBdr>
        <w:spacing w:before="0"/>
        <w:ind w:left="425" w:hanging="425"/>
        <w:outlineLvl w:val="7"/>
        <w:rPr>
          <w:rFonts w:eastAsia="MS Mincho"/>
          <w:b/>
          <w:color w:val="0070C0"/>
          <w:szCs w:val="24"/>
        </w:rPr>
      </w:pPr>
      <w:r w:rsidRPr="007613A3">
        <w:rPr>
          <w:rFonts w:eastAsia="MS Mincho"/>
          <w:b/>
          <w:color w:val="0070C0"/>
          <w:szCs w:val="24"/>
        </w:rPr>
        <w:t>t)</w:t>
      </w:r>
      <w:r w:rsidRPr="007613A3">
        <w:rPr>
          <w:rFonts w:eastAsia="MS Mincho"/>
          <w:b/>
          <w:color w:val="0070C0"/>
          <w:szCs w:val="24"/>
        </w:rPr>
        <w:tab/>
        <w:t>nabízení investic do tohoto fondu,</w:t>
      </w:r>
      <w:r w:rsidRPr="007613A3" w:rsidDel="00933822">
        <w:rPr>
          <w:rFonts w:eastAsia="MS Mincho"/>
          <w:b/>
          <w:color w:val="0070C0"/>
          <w:szCs w:val="24"/>
        </w:rPr>
        <w:t xml:space="preserve"> </w:t>
      </w:r>
      <w:r w:rsidRPr="007613A3">
        <w:rPr>
          <w:rFonts w:eastAsia="MS Mincho"/>
          <w:b/>
          <w:color w:val="0070C0"/>
          <w:szCs w:val="24"/>
        </w:rPr>
        <w:t xml:space="preserve"> </w:t>
      </w:r>
    </w:p>
    <w:p w14:paraId="40840315" w14:textId="77777777" w:rsidR="007A14A9" w:rsidRPr="007A14A9" w:rsidRDefault="007A14A9" w:rsidP="00554FBC">
      <w:pPr>
        <w:pBdr>
          <w:top w:val="single" w:sz="12" w:space="1" w:color="0070C0"/>
          <w:left w:val="single" w:sz="12" w:space="4" w:color="0070C0"/>
          <w:bottom w:val="single" w:sz="12" w:space="1" w:color="0070C0"/>
          <w:right w:val="single" w:sz="12" w:space="4" w:color="0070C0"/>
        </w:pBdr>
        <w:spacing w:before="0"/>
        <w:ind w:left="425" w:hanging="425"/>
        <w:outlineLvl w:val="7"/>
        <w:rPr>
          <w:rFonts w:eastAsia="MS Mincho"/>
          <w:szCs w:val="24"/>
        </w:rPr>
      </w:pPr>
      <w:r w:rsidRPr="007613A3">
        <w:rPr>
          <w:rFonts w:eastAsia="MS Mincho"/>
          <w:b/>
          <w:color w:val="0070C0"/>
          <w:szCs w:val="24"/>
        </w:rPr>
        <w:t>u)</w:t>
      </w:r>
      <w:r w:rsidRPr="007A14A9">
        <w:rPr>
          <w:rFonts w:eastAsia="MS Mincho"/>
          <w:szCs w:val="24"/>
        </w:rPr>
        <w:tab/>
        <w:t xml:space="preserve">další činnosti přímo související s činnostmi uvedenými v písmenech a) až </w:t>
      </w:r>
      <w:r w:rsidRPr="007613A3">
        <w:rPr>
          <w:rFonts w:eastAsia="MS Mincho"/>
          <w:b/>
          <w:color w:val="0070C0"/>
          <w:szCs w:val="24"/>
        </w:rPr>
        <w:t>t)</w:t>
      </w:r>
      <w:r w:rsidRPr="007A14A9">
        <w:rPr>
          <w:rFonts w:eastAsia="MS Mincho"/>
          <w:szCs w:val="24"/>
        </w:rPr>
        <w:t xml:space="preserve">. </w:t>
      </w:r>
    </w:p>
    <w:p w14:paraId="2377047D" w14:textId="450490F2" w:rsidR="007A14A9" w:rsidRPr="00554FBC" w:rsidRDefault="007A14A9" w:rsidP="007A14A9">
      <w:pPr>
        <w:tabs>
          <w:tab w:val="left" w:pos="782"/>
          <w:tab w:val="left" w:pos="851"/>
        </w:tabs>
        <w:spacing w:before="120" w:after="120"/>
        <w:outlineLvl w:val="6"/>
        <w:rPr>
          <w:rFonts w:eastAsia="MS Mincho"/>
          <w:szCs w:val="24"/>
        </w:rPr>
      </w:pPr>
      <w:r w:rsidRPr="00554FBC">
        <w:rPr>
          <w:rFonts w:eastAsia="MS Mincho"/>
          <w:szCs w:val="24"/>
        </w:rPr>
        <w:t xml:space="preserve"> (2)</w:t>
      </w:r>
      <w:r w:rsidRPr="00554FBC">
        <w:rPr>
          <w:rFonts w:eastAsia="MS Mincho"/>
          <w:szCs w:val="24"/>
        </w:rPr>
        <w:tab/>
      </w:r>
      <w:r w:rsidR="00554FBC">
        <w:rPr>
          <w:rFonts w:eastAsia="MS Mincho"/>
          <w:szCs w:val="24"/>
        </w:rPr>
        <w:t xml:space="preserve"> </w:t>
      </w:r>
      <w:r w:rsidRPr="00554FBC">
        <w:rPr>
          <w:rFonts w:eastAsia="MS Mincho"/>
          <w:szCs w:val="24"/>
        </w:rPr>
        <w:t xml:space="preserve">Činnosti uvedené v odstavci 1 písm. c) a p) vykonává administrátor investičního fondu nebo zahraničního investičního fondu ve vztahu k tomuto fondu jen, je-li to ujednáno ve smlouvě o administraci. </w:t>
      </w:r>
    </w:p>
    <w:p w14:paraId="27F3EA4E" w14:textId="77777777" w:rsidR="007A14A9" w:rsidRPr="00554FBC" w:rsidRDefault="007A14A9" w:rsidP="007A14A9">
      <w:pPr>
        <w:tabs>
          <w:tab w:val="left" w:pos="782"/>
          <w:tab w:val="left" w:pos="851"/>
        </w:tabs>
        <w:spacing w:before="120" w:after="120"/>
        <w:outlineLvl w:val="6"/>
        <w:rPr>
          <w:rFonts w:eastAsia="MS Mincho"/>
          <w:szCs w:val="24"/>
        </w:rPr>
      </w:pPr>
      <w:r w:rsidRPr="00554FBC">
        <w:rPr>
          <w:rFonts w:eastAsia="MS Mincho"/>
          <w:szCs w:val="24"/>
        </w:rPr>
        <w:t>(3)</w:t>
      </w:r>
      <w:r w:rsidRPr="00554FBC">
        <w:rPr>
          <w:rFonts w:eastAsia="MS Mincho"/>
          <w:szCs w:val="24"/>
        </w:rPr>
        <w:tab/>
        <w:t xml:space="preserve">Administrace investičního fondu nebo zahraničního investičního fondu zahrnuje i administraci jeho </w:t>
      </w:r>
      <w:proofErr w:type="spellStart"/>
      <w:r w:rsidRPr="00554FBC">
        <w:rPr>
          <w:rFonts w:eastAsia="MS Mincho"/>
          <w:szCs w:val="24"/>
        </w:rPr>
        <w:t>podfondů</w:t>
      </w:r>
      <w:proofErr w:type="spellEnd"/>
      <w:r w:rsidRPr="00554FBC">
        <w:rPr>
          <w:rFonts w:eastAsia="MS Mincho"/>
          <w:szCs w:val="24"/>
        </w:rPr>
        <w:t xml:space="preserve"> nebo srovnatelných zařízení. Tam, kde tento zákon používá pojem „administrace investičního fondu nebo zahraničního investičního fondu“, rozumí se jím i administrace jeho </w:t>
      </w:r>
      <w:proofErr w:type="spellStart"/>
      <w:r w:rsidRPr="00554FBC">
        <w:rPr>
          <w:rFonts w:eastAsia="MS Mincho"/>
          <w:szCs w:val="24"/>
        </w:rPr>
        <w:t>podfondů</w:t>
      </w:r>
      <w:proofErr w:type="spellEnd"/>
      <w:r w:rsidRPr="00554FBC">
        <w:rPr>
          <w:rFonts w:eastAsia="MS Mincho"/>
          <w:szCs w:val="24"/>
        </w:rPr>
        <w:t xml:space="preserve"> nebo srovnatelných zařízení. Tam, kde tento zákon používá pojem „administrátor investičního fondu nebo zahraničního investičního fondu“, rozumí se jím i administrátor jeho </w:t>
      </w:r>
      <w:proofErr w:type="spellStart"/>
      <w:r w:rsidRPr="00554FBC">
        <w:rPr>
          <w:rFonts w:eastAsia="MS Mincho"/>
          <w:szCs w:val="24"/>
        </w:rPr>
        <w:t>podfondů</w:t>
      </w:r>
      <w:proofErr w:type="spellEnd"/>
      <w:r w:rsidRPr="00554FBC">
        <w:rPr>
          <w:rFonts w:eastAsia="MS Mincho"/>
          <w:szCs w:val="24"/>
        </w:rPr>
        <w:t xml:space="preserve"> nebo srovnatelných zařízení. Všechny </w:t>
      </w:r>
      <w:proofErr w:type="spellStart"/>
      <w:r w:rsidRPr="00554FBC">
        <w:rPr>
          <w:rFonts w:eastAsia="MS Mincho"/>
          <w:szCs w:val="24"/>
        </w:rPr>
        <w:t>podfondy</w:t>
      </w:r>
      <w:proofErr w:type="spellEnd"/>
      <w:r w:rsidRPr="00554FBC">
        <w:rPr>
          <w:rFonts w:eastAsia="MS Mincho"/>
          <w:szCs w:val="24"/>
        </w:rPr>
        <w:t xml:space="preserve"> jednoho investičního fondu musí mít téhož administrátora. </w:t>
      </w:r>
    </w:p>
    <w:p w14:paraId="53708355" w14:textId="77777777" w:rsidR="007A14A9" w:rsidRPr="00554FBC" w:rsidRDefault="007A14A9" w:rsidP="007A14A9">
      <w:pPr>
        <w:tabs>
          <w:tab w:val="left" w:pos="782"/>
          <w:tab w:val="left" w:pos="851"/>
        </w:tabs>
        <w:spacing w:before="120" w:after="120"/>
        <w:outlineLvl w:val="6"/>
        <w:rPr>
          <w:rFonts w:eastAsia="MS Mincho"/>
          <w:szCs w:val="24"/>
        </w:rPr>
      </w:pPr>
      <w:r w:rsidRPr="00554FBC">
        <w:rPr>
          <w:rFonts w:eastAsia="MS Mincho"/>
          <w:szCs w:val="24"/>
        </w:rPr>
        <w:lastRenderedPageBreak/>
        <w:t xml:space="preserve">(4) Provádět administraci investičního fondu nesmí nikdo bez povolení uděleného podle tohoto zákona Českou národní bankou, nestanoví-li tento zákon nebo jiný právní předpis jinak. </w:t>
      </w:r>
    </w:p>
    <w:p w14:paraId="1E6B3B48" w14:textId="77777777" w:rsidR="007A14A9" w:rsidRPr="007A14A9" w:rsidRDefault="007A14A9" w:rsidP="007A14A9">
      <w:pPr>
        <w:keepNext/>
        <w:keepLines/>
        <w:ind w:firstLine="0"/>
        <w:jc w:val="center"/>
        <w:outlineLvl w:val="5"/>
      </w:pPr>
      <w:r w:rsidRPr="007A14A9">
        <w:t xml:space="preserve">§ 47 </w:t>
      </w:r>
    </w:p>
    <w:p w14:paraId="12CE061C" w14:textId="77777777" w:rsidR="007A14A9" w:rsidRPr="007A14A9" w:rsidRDefault="007A14A9" w:rsidP="007A14A9">
      <w:pPr>
        <w:keepNext/>
        <w:keepLines/>
        <w:ind w:firstLine="0"/>
        <w:jc w:val="center"/>
        <w:outlineLvl w:val="5"/>
        <w:rPr>
          <w:b/>
        </w:rPr>
      </w:pPr>
      <w:r w:rsidRPr="007A14A9">
        <w:rPr>
          <w:b/>
        </w:rPr>
        <w:t xml:space="preserve">Řídicí a kontrolní systém </w:t>
      </w:r>
    </w:p>
    <w:p w14:paraId="04CD288E"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(1)</w:t>
      </w:r>
      <w:r w:rsidRPr="007A14A9">
        <w:rPr>
          <w:rFonts w:eastAsia="MS Mincho"/>
          <w:szCs w:val="24"/>
        </w:rPr>
        <w:tab/>
        <w:t xml:space="preserve">Součástí řídicího a kontrolního systému administrátora investičního fondu nebo zahraničního investičního fondu jsou vždy </w:t>
      </w:r>
    </w:p>
    <w:p w14:paraId="4D9994E5"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a)</w:t>
      </w:r>
      <w:r w:rsidRPr="007A14A9">
        <w:rPr>
          <w:rFonts w:eastAsia="MS Mincho"/>
          <w:szCs w:val="24"/>
        </w:rPr>
        <w:tab/>
        <w:t xml:space="preserve">strategické a operativní řízení, </w:t>
      </w:r>
    </w:p>
    <w:p w14:paraId="17F1EFB5"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b)</w:t>
      </w:r>
      <w:r w:rsidRPr="007A14A9">
        <w:rPr>
          <w:rFonts w:eastAsia="MS Mincho"/>
          <w:szCs w:val="24"/>
        </w:rPr>
        <w:tab/>
        <w:t xml:space="preserve">organizační uspořádání a vnitřní předpisy, které jej upravují, s jasným vymezením činností, včetně činností orgánů tohoto administrátora a výborů, které zřídil, a s nimi spojených působností a rozhodovacích pravomocí; v rámci organizačního uspořádání se současně vymezí funkce, jejichž výkon je vzájemně neslučitelný, </w:t>
      </w:r>
    </w:p>
    <w:p w14:paraId="3785B66A"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c)</w:t>
      </w:r>
      <w:r w:rsidRPr="007A14A9">
        <w:rPr>
          <w:rFonts w:eastAsia="MS Mincho"/>
          <w:szCs w:val="24"/>
        </w:rPr>
        <w:tab/>
        <w:t xml:space="preserve">systém řízení rizik, jehož součástí je vždy přistupování administrátora k rizikům, kterým je nebo může být vystaven, včetně rizik vyplývajících z vnitřního anebo vnějšího prostředí, a rozpoznávání, vyhodnocování, měření, sledování, ohlašování a omezování rizik včetně přijímání opatření vedoucích k omezení výskytu anebo dopadů výskytu rizik a </w:t>
      </w:r>
    </w:p>
    <w:p w14:paraId="1FB3DB2C"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d)</w:t>
      </w:r>
      <w:r w:rsidRPr="007A14A9">
        <w:rPr>
          <w:rFonts w:eastAsia="MS Mincho"/>
          <w:szCs w:val="24"/>
        </w:rPr>
        <w:tab/>
        <w:t xml:space="preserve">systém vnitřní kontroly, jehož součástí je vždy </w:t>
      </w:r>
    </w:p>
    <w:p w14:paraId="51EBF895" w14:textId="77777777" w:rsidR="007A14A9" w:rsidRPr="007A14A9" w:rsidRDefault="007A14A9" w:rsidP="007A14A9">
      <w:pPr>
        <w:tabs>
          <w:tab w:val="left" w:pos="851"/>
        </w:tabs>
        <w:spacing w:before="0"/>
        <w:ind w:left="850" w:hanging="425"/>
        <w:outlineLvl w:val="8"/>
        <w:rPr>
          <w:rFonts w:eastAsia="MS Mincho"/>
          <w:szCs w:val="24"/>
        </w:rPr>
      </w:pPr>
      <w:r w:rsidRPr="007A14A9">
        <w:rPr>
          <w:rFonts w:eastAsia="MS Mincho"/>
          <w:szCs w:val="24"/>
        </w:rPr>
        <w:t>1.</w:t>
      </w:r>
      <w:r w:rsidRPr="007A14A9">
        <w:rPr>
          <w:rFonts w:eastAsia="MS Mincho"/>
          <w:szCs w:val="24"/>
        </w:rPr>
        <w:tab/>
        <w:t xml:space="preserve">kontrola podřízených pracovníků jejich nadřízenými, </w:t>
      </w:r>
    </w:p>
    <w:p w14:paraId="64AC3E8C" w14:textId="77777777" w:rsidR="007A14A9" w:rsidRPr="007A14A9" w:rsidRDefault="007A14A9" w:rsidP="007A14A9">
      <w:pPr>
        <w:tabs>
          <w:tab w:val="left" w:pos="851"/>
        </w:tabs>
        <w:spacing w:before="0"/>
        <w:ind w:left="850" w:hanging="425"/>
        <w:outlineLvl w:val="8"/>
        <w:rPr>
          <w:rFonts w:eastAsia="MS Mincho"/>
          <w:szCs w:val="24"/>
        </w:rPr>
      </w:pPr>
      <w:r w:rsidRPr="007A14A9">
        <w:rPr>
          <w:rFonts w:eastAsia="MS Mincho"/>
          <w:szCs w:val="24"/>
        </w:rPr>
        <w:t>2.</w:t>
      </w:r>
      <w:r w:rsidRPr="007A14A9">
        <w:rPr>
          <w:rFonts w:eastAsia="MS Mincho"/>
          <w:szCs w:val="24"/>
        </w:rPr>
        <w:tab/>
      </w:r>
      <w:proofErr w:type="spellStart"/>
      <w:r w:rsidRPr="007A14A9">
        <w:rPr>
          <w:rFonts w:eastAsia="MS Mincho"/>
          <w:szCs w:val="24"/>
        </w:rPr>
        <w:t>compliance</w:t>
      </w:r>
      <w:proofErr w:type="spellEnd"/>
      <w:r w:rsidRPr="007A14A9">
        <w:rPr>
          <w:rFonts w:eastAsia="MS Mincho"/>
          <w:szCs w:val="24"/>
        </w:rPr>
        <w:t xml:space="preserve"> a </w:t>
      </w:r>
    </w:p>
    <w:p w14:paraId="3EE87992" w14:textId="77777777" w:rsidR="007A14A9" w:rsidRPr="007A14A9" w:rsidRDefault="007A14A9" w:rsidP="007A14A9">
      <w:pPr>
        <w:tabs>
          <w:tab w:val="left" w:pos="851"/>
        </w:tabs>
        <w:spacing w:before="0"/>
        <w:ind w:left="850" w:hanging="425"/>
        <w:outlineLvl w:val="8"/>
        <w:rPr>
          <w:rFonts w:eastAsia="MS Mincho"/>
          <w:szCs w:val="24"/>
        </w:rPr>
      </w:pPr>
      <w:r w:rsidRPr="007A14A9">
        <w:rPr>
          <w:rFonts w:eastAsia="MS Mincho"/>
          <w:szCs w:val="24"/>
        </w:rPr>
        <w:t>3.</w:t>
      </w:r>
      <w:r w:rsidRPr="007A14A9">
        <w:rPr>
          <w:rFonts w:eastAsia="MS Mincho"/>
          <w:szCs w:val="24"/>
        </w:rPr>
        <w:tab/>
        <w:t xml:space="preserve">vnitřní audit zajišťující nezávislou a objektivní vnitřní kontrolu výkonu činnosti administrátora a výkonu činnosti obhospodařovatele ve vztahu k investičnímu fondu nebo zahraničnímu investičnímu fondu, jehož administraci provádí, a předkládání jasných doporučení k zajištění nápravy takto zjištěných nedostatků příslušné úrovni řízení. </w:t>
      </w:r>
    </w:p>
    <w:p w14:paraId="778CA16A"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(2)</w:t>
      </w:r>
      <w:r w:rsidRPr="007A14A9">
        <w:rPr>
          <w:rFonts w:eastAsia="MS Mincho"/>
          <w:szCs w:val="24"/>
        </w:rPr>
        <w:tab/>
        <w:t xml:space="preserve">Součástí řídicího a kontrolního systému administrátora investičního fondu nebo zahraničního investičního fondu jsou dále </w:t>
      </w:r>
    </w:p>
    <w:p w14:paraId="6919555E"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a)</w:t>
      </w:r>
      <w:r w:rsidRPr="007A14A9">
        <w:rPr>
          <w:rFonts w:eastAsia="MS Mincho"/>
          <w:szCs w:val="24"/>
        </w:rPr>
        <w:tab/>
        <w:t xml:space="preserve">systém vnitřní a vnější komunikace, </w:t>
      </w:r>
    </w:p>
    <w:p w14:paraId="0BECECB7"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b)</w:t>
      </w:r>
      <w:r w:rsidRPr="007A14A9">
        <w:rPr>
          <w:rFonts w:eastAsia="MS Mincho"/>
          <w:szCs w:val="24"/>
        </w:rPr>
        <w:tab/>
        <w:t xml:space="preserve">sledování, vyhodnocování a aktualizace vnitřních předpisů, </w:t>
      </w:r>
    </w:p>
    <w:p w14:paraId="1B41DBBC"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c)</w:t>
      </w:r>
      <w:r w:rsidRPr="007A14A9">
        <w:rPr>
          <w:rFonts w:eastAsia="MS Mincho"/>
          <w:szCs w:val="24"/>
        </w:rPr>
        <w:tab/>
        <w:t xml:space="preserve">řízení střetů zájmů při výkonu činnosti včetně jejich zjišťování, zamezování a oznamování podílníkům, společníkům nebo obmyšleným tohoto fondu, </w:t>
      </w:r>
    </w:p>
    <w:p w14:paraId="48977810"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d)</w:t>
      </w:r>
      <w:r w:rsidRPr="007A14A9">
        <w:rPr>
          <w:rFonts w:eastAsia="MS Mincho"/>
          <w:szCs w:val="24"/>
        </w:rPr>
        <w:tab/>
        <w:t xml:space="preserve">vyřizování stížností a reklamací podílníků nebo akcionářů fondu kolektivního investování, jehož administraci provádí, nebo osob ve srovnatelném postavení srovnatelného zahraničního investičního fondu, jehož administraci provádí, </w:t>
      </w:r>
    </w:p>
    <w:p w14:paraId="75E5E390"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e)</w:t>
      </w:r>
      <w:r w:rsidRPr="007A14A9">
        <w:rPr>
          <w:rFonts w:eastAsia="MS Mincho"/>
          <w:szCs w:val="24"/>
        </w:rPr>
        <w:tab/>
        <w:t>vedení účetnictví investičního fondu nebo zahraničního investičního fondu, jehož administraci provádí,</w:t>
      </w:r>
      <w:r w:rsidRPr="007A14A9">
        <w:rPr>
          <w:rFonts w:eastAsia="MS Mincho"/>
          <w:strike/>
          <w:szCs w:val="24"/>
        </w:rPr>
        <w:t xml:space="preserve"> včetně účtování o majetku tohoto fondu</w:t>
      </w:r>
      <w:r w:rsidRPr="007A14A9">
        <w:rPr>
          <w:rFonts w:eastAsia="MS Mincho"/>
          <w:szCs w:val="24"/>
        </w:rPr>
        <w:t xml:space="preserve"> a vedení účetnictví tohoto administrátora, </w:t>
      </w:r>
    </w:p>
    <w:p w14:paraId="0F57FEC8"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f)</w:t>
      </w:r>
      <w:r w:rsidRPr="007A14A9">
        <w:rPr>
          <w:rFonts w:eastAsia="MS Mincho"/>
          <w:szCs w:val="24"/>
        </w:rPr>
        <w:tab/>
        <w:t xml:space="preserve">kontrola činnosti osob, které nejsou jeho pracovníky a pomocí kterých vykonává činnost, </w:t>
      </w:r>
    </w:p>
    <w:p w14:paraId="3DD5EEB0"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g)</w:t>
      </w:r>
      <w:r w:rsidRPr="007A14A9">
        <w:rPr>
          <w:rFonts w:eastAsia="MS Mincho"/>
          <w:szCs w:val="24"/>
        </w:rPr>
        <w:tab/>
        <w:t xml:space="preserve">zajišťování plynulého výkonu činnosti a trvalého fungování tohoto administrátora na finančním trhu v souladu s předmětem a plánem jeho činnosti, </w:t>
      </w:r>
    </w:p>
    <w:p w14:paraId="533299F9"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h) </w:t>
      </w:r>
      <w:r w:rsidRPr="007A14A9">
        <w:rPr>
          <w:rFonts w:eastAsia="MS Mincho"/>
          <w:szCs w:val="24"/>
        </w:rPr>
        <w:tab/>
        <w:t xml:space="preserve">zajišťování důvěryhodnosti a nezbytných znalostí a zkušeností osob, pomocí kterých vykonává činnost, </w:t>
      </w:r>
    </w:p>
    <w:p w14:paraId="5749BC99"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i)</w:t>
      </w:r>
      <w:r w:rsidRPr="007A14A9">
        <w:rPr>
          <w:rFonts w:eastAsia="MS Mincho"/>
          <w:szCs w:val="24"/>
        </w:rPr>
        <w:tab/>
        <w:t xml:space="preserve">kontrolní a bezpečnostní opatření při zpracování a evidenci informací, </w:t>
      </w:r>
    </w:p>
    <w:p w14:paraId="42D51CF0"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j) </w:t>
      </w:r>
      <w:r w:rsidRPr="007A14A9">
        <w:rPr>
          <w:rFonts w:eastAsia="MS Mincho"/>
          <w:szCs w:val="24"/>
        </w:rPr>
        <w:tab/>
        <w:t xml:space="preserve">evidence o upisování, vydávání a odkupování cenných papírů a zaknihovaných cenných papírů vydávaných investičním fondem nebo zahraničním investičním fondem, jehož administraci provádí, </w:t>
      </w:r>
    </w:p>
    <w:p w14:paraId="04C3F77C"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k) </w:t>
      </w:r>
      <w:r w:rsidRPr="007A14A9">
        <w:rPr>
          <w:rFonts w:eastAsia="MS Mincho"/>
          <w:szCs w:val="24"/>
        </w:rPr>
        <w:tab/>
        <w:t xml:space="preserve">postupy pro oceňování majetku a dluhů investičního fondu nebo zahraničního investičního fondu, jehož administraci provádí, a </w:t>
      </w:r>
    </w:p>
    <w:p w14:paraId="6CFA10C8"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lastRenderedPageBreak/>
        <w:t xml:space="preserve">l) </w:t>
      </w:r>
      <w:r w:rsidRPr="007A14A9">
        <w:rPr>
          <w:rFonts w:eastAsia="MS Mincho"/>
          <w:szCs w:val="24"/>
        </w:rPr>
        <w:tab/>
        <w:t xml:space="preserve">zajišťování dodržování pravidel jednání. </w:t>
      </w:r>
    </w:p>
    <w:p w14:paraId="5062C676"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(3)</w:t>
      </w:r>
      <w:r w:rsidRPr="007A14A9">
        <w:rPr>
          <w:rFonts w:eastAsia="MS Mincho"/>
          <w:szCs w:val="24"/>
        </w:rPr>
        <w:tab/>
        <w:t xml:space="preserve">Řídicí a kontrolní systém administrátora investičního fondu nebo zahraničního investičního fondu musí být účinný a ucelený a přiměřený povaze, rozsahu a složitosti jím vykonávaných činností v jeho celku i částech. </w:t>
      </w:r>
    </w:p>
    <w:p w14:paraId="786475CE"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(4)</w:t>
      </w:r>
      <w:r w:rsidRPr="007A14A9">
        <w:rPr>
          <w:rFonts w:eastAsia="MS Mincho"/>
          <w:szCs w:val="24"/>
        </w:rPr>
        <w:tab/>
        <w:t xml:space="preserve">Administrátor investičního fondu nebo zahraničního investičního fondu ověřuje a pravidelně hodnotí účinnost, ucelenost a přiměřenost řídicího a kontrolního systému v jeho celku i částech a zjednává bez zbytečného odkladu odpovídající nápravu. </w:t>
      </w:r>
    </w:p>
    <w:p w14:paraId="410850FA"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(5)</w:t>
      </w:r>
      <w:r w:rsidRPr="007A14A9">
        <w:rPr>
          <w:rFonts w:eastAsia="MS Mincho"/>
          <w:szCs w:val="24"/>
        </w:rPr>
        <w:tab/>
        <w:t>Česká národní banka stanoví vyhláškou kvalitativní požadavky na řídicí a kontrolní systém administrátora investičního fondu nebo zahraničního investičního fondu v rozsahu, který neupravuje přímo použitelný předpis Evropské unie, kterým se provádí směrnice Evropského parlamentu a Rady upravující správce alternativních investičních fondů</w:t>
      </w:r>
      <w:r w:rsidRPr="007A14A9">
        <w:rPr>
          <w:rFonts w:eastAsia="MS Mincho"/>
          <w:szCs w:val="24"/>
          <w:vertAlign w:val="superscript"/>
        </w:rPr>
        <w:t>6)</w:t>
      </w:r>
      <w:r w:rsidRPr="007A14A9">
        <w:rPr>
          <w:rFonts w:eastAsia="MS Mincho"/>
          <w:szCs w:val="24"/>
        </w:rPr>
        <w:t xml:space="preserve">. </w:t>
      </w:r>
    </w:p>
    <w:p w14:paraId="77176B72" w14:textId="77777777" w:rsidR="007A14A9" w:rsidRPr="007A14A9" w:rsidRDefault="007A14A9" w:rsidP="007A14A9">
      <w:pPr>
        <w:keepNext/>
        <w:keepLines/>
        <w:ind w:firstLine="0"/>
        <w:jc w:val="center"/>
        <w:outlineLvl w:val="5"/>
        <w:rPr>
          <w:strike/>
        </w:rPr>
      </w:pPr>
      <w:r w:rsidRPr="007A14A9">
        <w:rPr>
          <w:strike/>
        </w:rPr>
        <w:t xml:space="preserve">§ 114 </w:t>
      </w:r>
    </w:p>
    <w:p w14:paraId="5881F271" w14:textId="77777777" w:rsidR="007A14A9" w:rsidRPr="007A14A9" w:rsidRDefault="007A14A9" w:rsidP="007A14A9">
      <w:pPr>
        <w:keepNext/>
        <w:keepLines/>
        <w:ind w:firstLine="0"/>
        <w:jc w:val="center"/>
        <w:outlineLvl w:val="5"/>
        <w:rPr>
          <w:b/>
          <w:strike/>
        </w:rPr>
      </w:pPr>
      <w:r w:rsidRPr="007A14A9">
        <w:rPr>
          <w:b/>
          <w:strike/>
        </w:rPr>
        <w:t>Účetnictví</w:t>
      </w:r>
    </w:p>
    <w:p w14:paraId="0C3EC6F9" w14:textId="77777777" w:rsidR="007A14A9" w:rsidRPr="007A14A9" w:rsidRDefault="007A14A9" w:rsidP="007A14A9">
      <w:pPr>
        <w:tabs>
          <w:tab w:val="left" w:pos="782"/>
          <w:tab w:val="left" w:pos="851"/>
        </w:tabs>
        <w:spacing w:before="120" w:after="120"/>
        <w:outlineLvl w:val="6"/>
        <w:rPr>
          <w:rFonts w:eastAsia="MS Mincho"/>
          <w:strike/>
          <w:szCs w:val="24"/>
        </w:rPr>
      </w:pPr>
      <w:r w:rsidRPr="007A14A9">
        <w:rPr>
          <w:rFonts w:eastAsia="MS Mincho"/>
          <w:strike/>
          <w:szCs w:val="24"/>
        </w:rPr>
        <w:t xml:space="preserve">O majetkových poměrech podílového fondu, jakož i o dalších skutečnostech, se vede účetnictví tak, aby umožnilo sestavení účetní závěrky za každý jednotlivý podílový fond. </w:t>
      </w:r>
    </w:p>
    <w:p w14:paraId="5F6403D7" w14:textId="77777777" w:rsidR="007A14A9" w:rsidRPr="007A14A9" w:rsidRDefault="007A14A9" w:rsidP="007A14A9">
      <w:pPr>
        <w:keepNext/>
        <w:keepLines/>
        <w:ind w:firstLine="0"/>
        <w:jc w:val="center"/>
        <w:outlineLvl w:val="5"/>
        <w:rPr>
          <w:b/>
        </w:rPr>
      </w:pPr>
      <w:r w:rsidRPr="007A14A9">
        <w:rPr>
          <w:b/>
        </w:rPr>
        <w:t xml:space="preserve">Pozastavení vydávání nebo odkupování podílových listů </w:t>
      </w:r>
    </w:p>
    <w:p w14:paraId="1AF43097" w14:textId="77777777" w:rsidR="007A14A9" w:rsidRPr="007A14A9" w:rsidRDefault="007A14A9" w:rsidP="007A14A9">
      <w:pPr>
        <w:keepNext/>
        <w:keepLines/>
        <w:ind w:firstLine="0"/>
        <w:jc w:val="center"/>
        <w:outlineLvl w:val="5"/>
      </w:pPr>
      <w:r w:rsidRPr="007A14A9">
        <w:t xml:space="preserve">§ 134 </w:t>
      </w:r>
    </w:p>
    <w:p w14:paraId="24F8D066"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(1)</w:t>
      </w:r>
      <w:r w:rsidRPr="007A14A9">
        <w:rPr>
          <w:rFonts w:eastAsia="MS Mincho"/>
          <w:szCs w:val="24"/>
        </w:rPr>
        <w:tab/>
        <w:t xml:space="preserve">Obhospodařovatel může rozhodnout o pozastavení vydávání nebo odkupování podílových listů otevřeného podílového fondu jen, </w:t>
      </w:r>
    </w:p>
    <w:p w14:paraId="785F8DBA"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a)</w:t>
      </w:r>
      <w:r w:rsidRPr="007A14A9">
        <w:rPr>
          <w:rFonts w:eastAsia="MS Mincho"/>
          <w:szCs w:val="24"/>
        </w:rPr>
        <w:tab/>
        <w:t xml:space="preserve">je-li to nezbytné z důvodu ochrany práv nebo právem chráněných zájmů podílníků, nebo </w:t>
      </w:r>
    </w:p>
    <w:p w14:paraId="04CD0D03"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b) </w:t>
      </w:r>
      <w:r w:rsidRPr="007A14A9">
        <w:rPr>
          <w:rFonts w:eastAsia="MS Mincho"/>
          <w:szCs w:val="24"/>
        </w:rPr>
        <w:tab/>
        <w:t>na dobu nezbytně nutnou též z provozních důvodů, zejména ve vztahu k činnostem souvisejícím s </w:t>
      </w:r>
      <w:r w:rsidRPr="007A14A9">
        <w:rPr>
          <w:rFonts w:eastAsia="MS Mincho"/>
          <w:b/>
          <w:bCs/>
          <w:szCs w:val="24"/>
        </w:rPr>
        <w:t xml:space="preserve">řádnou </w:t>
      </w:r>
      <w:r w:rsidRPr="007A14A9">
        <w:rPr>
          <w:rFonts w:eastAsia="MS Mincho"/>
          <w:b/>
          <w:szCs w:val="24"/>
        </w:rPr>
        <w:t>individuální</w:t>
      </w:r>
      <w:r w:rsidRPr="007A14A9">
        <w:rPr>
          <w:rFonts w:eastAsia="MS Mincho"/>
          <w:szCs w:val="24"/>
        </w:rPr>
        <w:t xml:space="preserve"> účetní závěrkou. </w:t>
      </w:r>
    </w:p>
    <w:p w14:paraId="4978EA0E"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(2) Obhospodařovatel podřízeného fondu může rozhodnout o pozastavení vydávání nebo odkupování podílových listů otevřeného podílového fondu též, je-li pozastaveno vydávání nebo odkupování cenných papírů nebo zaknihovaných cenných papírů vydávaných řídícím fondem (</w:t>
      </w:r>
      <w:hyperlink r:id="rId335" w:history="1">
        <w:r w:rsidRPr="007A14A9">
          <w:rPr>
            <w:rFonts w:eastAsia="MS Mincho"/>
            <w:szCs w:val="24"/>
          </w:rPr>
          <w:t>§ 245</w:t>
        </w:r>
      </w:hyperlink>
      <w:r w:rsidRPr="007A14A9">
        <w:rPr>
          <w:rFonts w:eastAsia="MS Mincho"/>
          <w:szCs w:val="24"/>
        </w:rPr>
        <w:t xml:space="preserve">). </w:t>
      </w:r>
    </w:p>
    <w:p w14:paraId="3EB7FD3E"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(3)</w:t>
      </w:r>
      <w:r w:rsidRPr="007A14A9">
        <w:rPr>
          <w:rFonts w:eastAsia="MS Mincho"/>
          <w:szCs w:val="24"/>
        </w:rPr>
        <w:tab/>
        <w:t xml:space="preserve">Obhospodařovatel vypracuje o svém rozhodnutí podle odstavce 1 nebo 2 zápis, ve kterém uvede </w:t>
      </w:r>
    </w:p>
    <w:p w14:paraId="337B0B6A"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a)</w:t>
      </w:r>
      <w:r w:rsidRPr="007A14A9">
        <w:rPr>
          <w:rFonts w:eastAsia="MS Mincho"/>
          <w:szCs w:val="24"/>
        </w:rPr>
        <w:tab/>
        <w:t xml:space="preserve">datum a přesný čas svého rozhodnutí, </w:t>
      </w:r>
    </w:p>
    <w:p w14:paraId="1271BDD3"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b)</w:t>
      </w:r>
      <w:r w:rsidRPr="007A14A9">
        <w:rPr>
          <w:rFonts w:eastAsia="MS Mincho"/>
          <w:szCs w:val="24"/>
        </w:rPr>
        <w:tab/>
        <w:t xml:space="preserve">důvody pozastavení vydávání nebo odkupování podílových listů, </w:t>
      </w:r>
    </w:p>
    <w:p w14:paraId="308BF2BD"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c) </w:t>
      </w:r>
      <w:r w:rsidRPr="007A14A9">
        <w:rPr>
          <w:rFonts w:eastAsia="MS Mincho"/>
          <w:szCs w:val="24"/>
        </w:rPr>
        <w:tab/>
        <w:t xml:space="preserve">to, zda rozhodl, že se pozastavení vztahuje i na podílové listy, o jejichž vydání nebo odkoupení bylo požádáno před okamžikem podle písmene e), a u nichž ještě nedošlo k vyplacení protiplnění za odkoupení, nebo k vydání podílových listů, </w:t>
      </w:r>
    </w:p>
    <w:p w14:paraId="03EC0126"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d) </w:t>
      </w:r>
      <w:r w:rsidRPr="007A14A9">
        <w:rPr>
          <w:rFonts w:eastAsia="MS Mincho"/>
          <w:szCs w:val="24"/>
        </w:rPr>
        <w:tab/>
        <w:t xml:space="preserve">to, zda se po obnovení vydávání nebo odkupování podílových listů bude postupovat podle </w:t>
      </w:r>
      <w:hyperlink r:id="rId336" w:history="1">
        <w:r w:rsidRPr="007A14A9">
          <w:rPr>
            <w:rFonts w:eastAsia="MS Mincho"/>
            <w:szCs w:val="24"/>
          </w:rPr>
          <w:t>§ 139 odst. 1 písm. a) bodu 1 nebo 2</w:t>
        </w:r>
      </w:hyperlink>
      <w:r w:rsidRPr="007A14A9">
        <w:rPr>
          <w:rFonts w:eastAsia="MS Mincho"/>
          <w:szCs w:val="24"/>
        </w:rPr>
        <w:t xml:space="preserve"> nebo podle </w:t>
      </w:r>
      <w:hyperlink r:id="rId337" w:history="1">
        <w:r w:rsidRPr="007A14A9">
          <w:rPr>
            <w:rFonts w:eastAsia="MS Mincho"/>
            <w:szCs w:val="24"/>
          </w:rPr>
          <w:t>§ 139 odst. 1 písm. b)</w:t>
        </w:r>
      </w:hyperlink>
      <w:r w:rsidRPr="007A14A9">
        <w:rPr>
          <w:rFonts w:eastAsia="MS Mincho"/>
          <w:szCs w:val="24"/>
        </w:rPr>
        <w:t xml:space="preserve">, případně, jak se bude postupovat, jde-li o rozhodnutí podle odstavce 2, </w:t>
      </w:r>
    </w:p>
    <w:p w14:paraId="0FF4C308"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e)</w:t>
      </w:r>
      <w:r w:rsidRPr="007A14A9">
        <w:rPr>
          <w:rFonts w:eastAsia="MS Mincho"/>
          <w:szCs w:val="24"/>
        </w:rPr>
        <w:tab/>
        <w:t xml:space="preserve">okamžik, od kterého se vydávání nebo odkupování podílových listů pozastavuje, a </w:t>
      </w:r>
    </w:p>
    <w:p w14:paraId="3BEAD489" w14:textId="77777777" w:rsidR="007A14A9" w:rsidRPr="007A14A9" w:rsidRDefault="007A14A9" w:rsidP="00554FBC">
      <w:pPr>
        <w:spacing w:before="0"/>
        <w:ind w:left="425" w:hanging="425"/>
        <w:outlineLvl w:val="7"/>
        <w:rPr>
          <w:rFonts w:eastAsia="MS Mincho"/>
          <w:szCs w:val="24"/>
        </w:rPr>
      </w:pPr>
      <w:r w:rsidRPr="007A14A9">
        <w:rPr>
          <w:rFonts w:eastAsia="MS Mincho"/>
          <w:szCs w:val="24"/>
        </w:rPr>
        <w:t xml:space="preserve">f) </w:t>
      </w:r>
      <w:r w:rsidRPr="007A14A9">
        <w:rPr>
          <w:rFonts w:eastAsia="MS Mincho"/>
          <w:szCs w:val="24"/>
        </w:rPr>
        <w:tab/>
        <w:t>dobu, na kterou se vydávání nebo odkupování podílových listů pozastavuje.</w:t>
      </w:r>
      <w:r w:rsidRPr="007A14A9">
        <w:rPr>
          <w:rFonts w:eastAsia="MS Mincho"/>
          <w:szCs w:val="24"/>
        </w:rPr>
        <w:tab/>
      </w:r>
      <w:r w:rsidRPr="007A14A9">
        <w:rPr>
          <w:rFonts w:eastAsia="MS Mincho"/>
          <w:szCs w:val="24"/>
        </w:rPr>
        <w:tab/>
      </w:r>
      <w:r w:rsidRPr="007A14A9">
        <w:rPr>
          <w:rFonts w:eastAsia="MS Mincho"/>
          <w:szCs w:val="24"/>
        </w:rPr>
        <w:tab/>
      </w:r>
    </w:p>
    <w:p w14:paraId="3AE86250" w14:textId="77777777" w:rsidR="007A14A9" w:rsidRPr="007A14A9" w:rsidRDefault="007A14A9" w:rsidP="007A14A9">
      <w:pPr>
        <w:widowControl w:val="0"/>
        <w:autoSpaceDE w:val="0"/>
        <w:autoSpaceDN w:val="0"/>
        <w:adjustRightInd w:val="0"/>
        <w:spacing w:before="0" w:after="120"/>
        <w:ind w:firstLine="0"/>
        <w:jc w:val="center"/>
        <w:rPr>
          <w:rFonts w:eastAsia="MS Mincho"/>
          <w:b/>
          <w:bCs/>
          <w:szCs w:val="24"/>
        </w:rPr>
      </w:pPr>
    </w:p>
    <w:p w14:paraId="0010690A" w14:textId="6CC45D38" w:rsidR="007A14A9" w:rsidRDefault="007A14A9" w:rsidP="007A14A9">
      <w:pPr>
        <w:widowControl w:val="0"/>
        <w:autoSpaceDE w:val="0"/>
        <w:autoSpaceDN w:val="0"/>
        <w:adjustRightInd w:val="0"/>
        <w:spacing w:before="0" w:after="120"/>
        <w:ind w:firstLine="0"/>
        <w:jc w:val="center"/>
        <w:rPr>
          <w:rFonts w:eastAsia="MS Mincho"/>
          <w:b/>
          <w:bCs/>
          <w:szCs w:val="24"/>
        </w:rPr>
      </w:pPr>
    </w:p>
    <w:p w14:paraId="443927B4" w14:textId="5FB4EFB1" w:rsidR="00554FBC" w:rsidRDefault="00554FBC" w:rsidP="007A14A9">
      <w:pPr>
        <w:widowControl w:val="0"/>
        <w:autoSpaceDE w:val="0"/>
        <w:autoSpaceDN w:val="0"/>
        <w:adjustRightInd w:val="0"/>
        <w:spacing w:before="0" w:after="120"/>
        <w:ind w:firstLine="0"/>
        <w:jc w:val="center"/>
        <w:rPr>
          <w:rFonts w:eastAsia="MS Mincho"/>
          <w:b/>
          <w:bCs/>
          <w:szCs w:val="24"/>
        </w:rPr>
      </w:pPr>
    </w:p>
    <w:p w14:paraId="3B5C4832" w14:textId="77777777" w:rsidR="00554FBC" w:rsidRPr="007A14A9" w:rsidRDefault="00554FBC" w:rsidP="007A14A9">
      <w:pPr>
        <w:widowControl w:val="0"/>
        <w:autoSpaceDE w:val="0"/>
        <w:autoSpaceDN w:val="0"/>
        <w:adjustRightInd w:val="0"/>
        <w:spacing w:before="0" w:after="120"/>
        <w:ind w:firstLine="0"/>
        <w:jc w:val="center"/>
        <w:rPr>
          <w:rFonts w:eastAsia="MS Mincho"/>
          <w:b/>
          <w:bCs/>
          <w:szCs w:val="24"/>
        </w:rPr>
      </w:pPr>
    </w:p>
    <w:p w14:paraId="109A4D2C" w14:textId="77777777" w:rsidR="007A14A9" w:rsidRPr="007A14A9" w:rsidRDefault="007A14A9" w:rsidP="007A14A9">
      <w:pPr>
        <w:widowControl w:val="0"/>
        <w:autoSpaceDE w:val="0"/>
        <w:autoSpaceDN w:val="0"/>
        <w:adjustRightInd w:val="0"/>
        <w:spacing w:before="0" w:after="120"/>
        <w:ind w:firstLine="0"/>
        <w:jc w:val="center"/>
        <w:rPr>
          <w:rFonts w:eastAsia="MS Mincho"/>
          <w:b/>
          <w:bCs/>
          <w:szCs w:val="24"/>
        </w:rPr>
      </w:pPr>
    </w:p>
    <w:p w14:paraId="0A8F4EBB" w14:textId="77777777" w:rsidR="007A14A9" w:rsidRPr="007A14A9" w:rsidRDefault="007A14A9" w:rsidP="007A14A9">
      <w:pPr>
        <w:widowControl w:val="0"/>
        <w:autoSpaceDE w:val="0"/>
        <w:autoSpaceDN w:val="0"/>
        <w:adjustRightInd w:val="0"/>
        <w:spacing w:before="0" w:after="120"/>
        <w:ind w:firstLine="0"/>
        <w:jc w:val="center"/>
        <w:rPr>
          <w:rFonts w:eastAsia="MS Mincho"/>
          <w:b/>
          <w:bCs/>
          <w:szCs w:val="24"/>
        </w:rPr>
      </w:pPr>
      <w:r w:rsidRPr="007A14A9">
        <w:rPr>
          <w:rFonts w:eastAsia="MS Mincho"/>
          <w:b/>
          <w:bCs/>
          <w:szCs w:val="24"/>
        </w:rPr>
        <w:t xml:space="preserve">Oddíl 3 </w:t>
      </w:r>
    </w:p>
    <w:p w14:paraId="36CC107A" w14:textId="77777777" w:rsidR="007A14A9" w:rsidRPr="007A14A9" w:rsidRDefault="007A14A9" w:rsidP="007A14A9">
      <w:pPr>
        <w:keepNext/>
        <w:keepLines/>
        <w:ind w:firstLine="0"/>
        <w:jc w:val="center"/>
        <w:outlineLvl w:val="5"/>
        <w:rPr>
          <w:b/>
        </w:rPr>
      </w:pPr>
      <w:proofErr w:type="spellStart"/>
      <w:r w:rsidRPr="007A14A9">
        <w:rPr>
          <w:b/>
        </w:rPr>
        <w:t>Podfondy</w:t>
      </w:r>
      <w:proofErr w:type="spellEnd"/>
    </w:p>
    <w:p w14:paraId="4DA0F6F9" w14:textId="77777777" w:rsidR="007A14A9" w:rsidRPr="007A14A9" w:rsidRDefault="007A14A9" w:rsidP="007A14A9">
      <w:pPr>
        <w:keepNext/>
        <w:keepLines/>
        <w:ind w:firstLine="0"/>
        <w:jc w:val="center"/>
        <w:outlineLvl w:val="5"/>
      </w:pPr>
      <w:r w:rsidRPr="007A14A9">
        <w:t>§ 165</w:t>
      </w:r>
    </w:p>
    <w:p w14:paraId="332F903D" w14:textId="77777777" w:rsidR="007A14A9" w:rsidRPr="007A14A9" w:rsidRDefault="007A14A9" w:rsidP="007A14A9">
      <w:pPr>
        <w:keepNext/>
        <w:keepLines/>
        <w:ind w:firstLine="0"/>
        <w:jc w:val="center"/>
        <w:outlineLvl w:val="5"/>
        <w:rPr>
          <w:b/>
        </w:rPr>
      </w:pPr>
      <w:r w:rsidRPr="007A14A9">
        <w:rPr>
          <w:b/>
        </w:rPr>
        <w:t xml:space="preserve">Jmění akciové společnosti vytvářející </w:t>
      </w:r>
      <w:proofErr w:type="spellStart"/>
      <w:r w:rsidRPr="007A14A9">
        <w:rPr>
          <w:b/>
        </w:rPr>
        <w:t>podfondy</w:t>
      </w:r>
      <w:proofErr w:type="spellEnd"/>
      <w:r w:rsidRPr="007A14A9">
        <w:rPr>
          <w:b/>
        </w:rPr>
        <w:t xml:space="preserve"> </w:t>
      </w:r>
    </w:p>
    <w:p w14:paraId="42BD4F93" w14:textId="77777777" w:rsidR="007A14A9" w:rsidRPr="007A14A9" w:rsidRDefault="007A14A9" w:rsidP="007A14A9">
      <w:pPr>
        <w:tabs>
          <w:tab w:val="left" w:pos="782"/>
          <w:tab w:val="left" w:pos="851"/>
        </w:tabs>
        <w:spacing w:before="120" w:after="120"/>
        <w:outlineLvl w:val="6"/>
        <w:rPr>
          <w:rFonts w:eastAsia="MS Mincho"/>
          <w:b/>
          <w:color w:val="FF0000"/>
          <w:szCs w:val="24"/>
          <w:highlight w:val="yellow"/>
        </w:rPr>
      </w:pPr>
      <w:r w:rsidRPr="007A14A9">
        <w:rPr>
          <w:rFonts w:eastAsia="MS Mincho"/>
          <w:szCs w:val="24"/>
        </w:rPr>
        <w:t>(1)</w:t>
      </w:r>
      <w:r w:rsidRPr="007A14A9">
        <w:rPr>
          <w:rFonts w:eastAsia="MS Mincho"/>
          <w:szCs w:val="24"/>
        </w:rPr>
        <w:tab/>
        <w:t xml:space="preserve">Akciová společnost s proměnným základním kapitálem může vytvářet </w:t>
      </w:r>
      <w:proofErr w:type="spellStart"/>
      <w:r w:rsidRPr="007A14A9">
        <w:rPr>
          <w:rFonts w:eastAsia="MS Mincho"/>
          <w:szCs w:val="24"/>
        </w:rPr>
        <w:t>podfondy</w:t>
      </w:r>
      <w:proofErr w:type="spellEnd"/>
      <w:r w:rsidRPr="007A14A9">
        <w:rPr>
          <w:rFonts w:eastAsia="MS Mincho"/>
          <w:szCs w:val="24"/>
        </w:rPr>
        <w:t xml:space="preserve">, připouští-li to její stanovy. </w:t>
      </w:r>
      <w:proofErr w:type="spellStart"/>
      <w:r w:rsidRPr="007A14A9">
        <w:rPr>
          <w:rFonts w:eastAsia="MS Mincho"/>
          <w:szCs w:val="24"/>
        </w:rPr>
        <w:t>Podfond</w:t>
      </w:r>
      <w:proofErr w:type="spellEnd"/>
      <w:r w:rsidRPr="007A14A9">
        <w:rPr>
          <w:rFonts w:eastAsia="MS Mincho"/>
          <w:szCs w:val="24"/>
        </w:rPr>
        <w:t xml:space="preserve"> je účetně a majetkově oddělená část jejího jmění. </w:t>
      </w:r>
      <w:r w:rsidRPr="007A14A9">
        <w:rPr>
          <w:rFonts w:eastAsia="MS Mincho"/>
          <w:strike/>
          <w:szCs w:val="24"/>
        </w:rPr>
        <w:t xml:space="preserve">O majetkových poměrech </w:t>
      </w:r>
      <w:proofErr w:type="spellStart"/>
      <w:r w:rsidRPr="007A14A9">
        <w:rPr>
          <w:rFonts w:eastAsia="MS Mincho"/>
          <w:strike/>
          <w:szCs w:val="24"/>
        </w:rPr>
        <w:t>podfondu</w:t>
      </w:r>
      <w:proofErr w:type="spellEnd"/>
      <w:r w:rsidRPr="007A14A9">
        <w:rPr>
          <w:rFonts w:eastAsia="MS Mincho"/>
          <w:strike/>
          <w:szCs w:val="24"/>
        </w:rPr>
        <w:t xml:space="preserve">, jakož i o dalších skutečnostech, se vede účetnictví tak, aby umožnilo sestavení účetní závěrky za každý jednotlivý </w:t>
      </w:r>
      <w:proofErr w:type="spellStart"/>
      <w:r w:rsidRPr="007A14A9">
        <w:rPr>
          <w:rFonts w:eastAsia="MS Mincho"/>
          <w:strike/>
          <w:szCs w:val="24"/>
        </w:rPr>
        <w:t>podfond</w:t>
      </w:r>
      <w:proofErr w:type="spellEnd"/>
      <w:r w:rsidRPr="007A14A9">
        <w:rPr>
          <w:rFonts w:eastAsia="MS Mincho"/>
          <w:strike/>
          <w:szCs w:val="24"/>
        </w:rPr>
        <w:t xml:space="preserve">. </w:t>
      </w:r>
      <w:r w:rsidRPr="007A14A9" w:rsidDel="007546B0">
        <w:rPr>
          <w:rFonts w:eastAsia="MS Mincho"/>
          <w:b/>
          <w:szCs w:val="24"/>
          <w:highlight w:val="yellow"/>
        </w:rPr>
        <w:t xml:space="preserve"> </w:t>
      </w:r>
    </w:p>
    <w:p w14:paraId="73A284F4" w14:textId="77777777" w:rsidR="007A14A9" w:rsidRPr="007A14A9" w:rsidRDefault="007A14A9" w:rsidP="007A14A9">
      <w:pPr>
        <w:tabs>
          <w:tab w:val="left" w:pos="782"/>
          <w:tab w:val="left" w:pos="851"/>
        </w:tabs>
        <w:spacing w:before="120" w:after="120"/>
        <w:outlineLvl w:val="6"/>
        <w:rPr>
          <w:rFonts w:eastAsia="MS Mincho"/>
          <w:szCs w:val="24"/>
        </w:rPr>
      </w:pPr>
      <w:r w:rsidRPr="007A14A9" w:rsidDel="004B17EB">
        <w:rPr>
          <w:rFonts w:eastAsia="MS Mincho"/>
          <w:b/>
          <w:sz w:val="20"/>
          <w:szCs w:val="24"/>
        </w:rPr>
        <w:t xml:space="preserve"> </w:t>
      </w:r>
      <w:r w:rsidRPr="007A14A9">
        <w:rPr>
          <w:rFonts w:eastAsia="MS Mincho"/>
          <w:szCs w:val="24"/>
        </w:rPr>
        <w:t>(2)</w:t>
      </w:r>
      <w:r w:rsidRPr="007A14A9">
        <w:rPr>
          <w:rFonts w:eastAsia="MS Mincho"/>
          <w:szCs w:val="24"/>
        </w:rPr>
        <w:tab/>
        <w:t xml:space="preserve">Akciová společnost s proměnným základním kapitálem zahrnuje do </w:t>
      </w:r>
      <w:proofErr w:type="spellStart"/>
      <w:r w:rsidRPr="007A14A9">
        <w:rPr>
          <w:rFonts w:eastAsia="MS Mincho"/>
          <w:szCs w:val="24"/>
        </w:rPr>
        <w:t>podfondu</w:t>
      </w:r>
      <w:proofErr w:type="spellEnd"/>
      <w:r w:rsidRPr="007A14A9">
        <w:rPr>
          <w:rFonts w:eastAsia="MS Mincho"/>
          <w:szCs w:val="24"/>
        </w:rPr>
        <w:t xml:space="preserve"> nebo </w:t>
      </w:r>
      <w:proofErr w:type="spellStart"/>
      <w:r w:rsidRPr="007A14A9">
        <w:rPr>
          <w:rFonts w:eastAsia="MS Mincho"/>
          <w:szCs w:val="24"/>
        </w:rPr>
        <w:t>podfondů</w:t>
      </w:r>
      <w:proofErr w:type="spellEnd"/>
      <w:r w:rsidRPr="007A14A9">
        <w:rPr>
          <w:rFonts w:eastAsia="MS Mincho"/>
          <w:szCs w:val="24"/>
        </w:rPr>
        <w:t xml:space="preserve"> majetek a dluhy ze své investiční činnosti. Nezahrnuje-li akciová společnost s proměnným základním kapitálem do </w:t>
      </w:r>
      <w:proofErr w:type="spellStart"/>
      <w:r w:rsidRPr="007A14A9">
        <w:rPr>
          <w:rFonts w:eastAsia="MS Mincho"/>
          <w:szCs w:val="24"/>
        </w:rPr>
        <w:t>podfondu</w:t>
      </w:r>
      <w:proofErr w:type="spellEnd"/>
      <w:r w:rsidRPr="007A14A9">
        <w:rPr>
          <w:rFonts w:eastAsia="MS Mincho"/>
          <w:szCs w:val="24"/>
        </w:rPr>
        <w:t xml:space="preserve"> nebo </w:t>
      </w:r>
      <w:proofErr w:type="spellStart"/>
      <w:r w:rsidRPr="007A14A9">
        <w:rPr>
          <w:rFonts w:eastAsia="MS Mincho"/>
          <w:szCs w:val="24"/>
        </w:rPr>
        <w:t>podfondů</w:t>
      </w:r>
      <w:proofErr w:type="spellEnd"/>
      <w:r w:rsidRPr="007A14A9">
        <w:rPr>
          <w:rFonts w:eastAsia="MS Mincho"/>
          <w:szCs w:val="24"/>
        </w:rPr>
        <w:t xml:space="preserve"> také majetek a dluhy, které nejsou součástí majetku a dluhů této společnosti z investiční činnosti, netvoří tento majetek a dluhy </w:t>
      </w:r>
      <w:proofErr w:type="spellStart"/>
      <w:r w:rsidRPr="007A14A9">
        <w:rPr>
          <w:rFonts w:eastAsia="MS Mincho"/>
          <w:szCs w:val="24"/>
        </w:rPr>
        <w:t>podfond</w:t>
      </w:r>
      <w:proofErr w:type="spellEnd"/>
      <w:r w:rsidRPr="007A14A9">
        <w:rPr>
          <w:rFonts w:eastAsia="MS Mincho"/>
          <w:szCs w:val="24"/>
        </w:rPr>
        <w:t xml:space="preserve">. </w:t>
      </w:r>
    </w:p>
    <w:p w14:paraId="3CD37A94"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(3) </w:t>
      </w:r>
      <w:proofErr w:type="spellStart"/>
      <w:r w:rsidRPr="007A14A9">
        <w:rPr>
          <w:rFonts w:eastAsia="MS Mincho"/>
          <w:szCs w:val="24"/>
        </w:rPr>
        <w:t>Podfond</w:t>
      </w:r>
      <w:proofErr w:type="spellEnd"/>
      <w:r w:rsidRPr="007A14A9">
        <w:rPr>
          <w:rFonts w:eastAsia="MS Mincho"/>
          <w:szCs w:val="24"/>
        </w:rPr>
        <w:t xml:space="preserve"> má vlastní investiční strategii, neurčí-li stanovy něco jiného. </w:t>
      </w:r>
    </w:p>
    <w:p w14:paraId="18125603"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(4)</w:t>
      </w:r>
      <w:r w:rsidRPr="007A14A9">
        <w:rPr>
          <w:rFonts w:eastAsia="MS Mincho"/>
          <w:szCs w:val="24"/>
        </w:rPr>
        <w:tab/>
        <w:t xml:space="preserve">K uspokojení pohledávky věřitele nebo akcionáře za akciovou společností s proměnným základním kapitálem vytvářející </w:t>
      </w:r>
      <w:proofErr w:type="spellStart"/>
      <w:r w:rsidRPr="007A14A9">
        <w:rPr>
          <w:rFonts w:eastAsia="MS Mincho"/>
          <w:szCs w:val="24"/>
        </w:rPr>
        <w:t>podfondy</w:t>
      </w:r>
      <w:proofErr w:type="spellEnd"/>
      <w:r w:rsidRPr="007A14A9">
        <w:rPr>
          <w:rFonts w:eastAsia="MS Mincho"/>
          <w:szCs w:val="24"/>
        </w:rPr>
        <w:t xml:space="preserve">, která vznikla v souvislosti s její investiční činností v rámci určitého </w:t>
      </w:r>
      <w:proofErr w:type="spellStart"/>
      <w:r w:rsidRPr="007A14A9">
        <w:rPr>
          <w:rFonts w:eastAsia="MS Mincho"/>
          <w:szCs w:val="24"/>
        </w:rPr>
        <w:t>podfondu</w:t>
      </w:r>
      <w:proofErr w:type="spellEnd"/>
      <w:r w:rsidRPr="007A14A9">
        <w:rPr>
          <w:rFonts w:eastAsia="MS Mincho"/>
          <w:szCs w:val="24"/>
        </w:rPr>
        <w:t xml:space="preserve">, lze použít pouze majetek v tomto </w:t>
      </w:r>
      <w:proofErr w:type="spellStart"/>
      <w:r w:rsidRPr="007A14A9">
        <w:rPr>
          <w:rFonts w:eastAsia="MS Mincho"/>
          <w:szCs w:val="24"/>
        </w:rPr>
        <w:t>podfondu</w:t>
      </w:r>
      <w:proofErr w:type="spellEnd"/>
      <w:r w:rsidRPr="007A14A9">
        <w:rPr>
          <w:rFonts w:eastAsia="MS Mincho"/>
          <w:szCs w:val="24"/>
        </w:rPr>
        <w:t xml:space="preserve">. Majetek v </w:t>
      </w:r>
      <w:proofErr w:type="spellStart"/>
      <w:r w:rsidRPr="007A14A9">
        <w:rPr>
          <w:rFonts w:eastAsia="MS Mincho"/>
          <w:szCs w:val="24"/>
        </w:rPr>
        <w:t>podfondu</w:t>
      </w:r>
      <w:proofErr w:type="spellEnd"/>
      <w:r w:rsidRPr="007A14A9">
        <w:rPr>
          <w:rFonts w:eastAsia="MS Mincho"/>
          <w:szCs w:val="24"/>
        </w:rPr>
        <w:t xml:space="preserve"> nelze použít ke splnění dluhu, který není dluhem téhož </w:t>
      </w:r>
      <w:proofErr w:type="spellStart"/>
      <w:r w:rsidRPr="007A14A9">
        <w:rPr>
          <w:rFonts w:eastAsia="MS Mincho"/>
          <w:szCs w:val="24"/>
        </w:rPr>
        <w:t>podfondu</w:t>
      </w:r>
      <w:proofErr w:type="spellEnd"/>
      <w:r w:rsidRPr="007A14A9">
        <w:rPr>
          <w:rFonts w:eastAsia="MS Mincho"/>
          <w:szCs w:val="24"/>
        </w:rPr>
        <w:t xml:space="preserve">. </w:t>
      </w:r>
    </w:p>
    <w:p w14:paraId="127A6731"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(5) Do obchodního rejstříku se u akciové společnosti s proměnným základním kapitálem zapisuje také údaj o tom, zda společnost může vytvářet </w:t>
      </w:r>
      <w:proofErr w:type="spellStart"/>
      <w:r w:rsidRPr="007A14A9">
        <w:rPr>
          <w:rFonts w:eastAsia="MS Mincho"/>
          <w:szCs w:val="24"/>
        </w:rPr>
        <w:t>podfondy</w:t>
      </w:r>
      <w:proofErr w:type="spellEnd"/>
      <w:r w:rsidRPr="007A14A9">
        <w:rPr>
          <w:rFonts w:eastAsia="MS Mincho"/>
          <w:szCs w:val="24"/>
        </w:rPr>
        <w:t xml:space="preserve">. </w:t>
      </w:r>
    </w:p>
    <w:p w14:paraId="7CD57BD1" w14:textId="77777777" w:rsidR="007A14A9" w:rsidRPr="007A14A9" w:rsidRDefault="007A14A9" w:rsidP="007A14A9">
      <w:pPr>
        <w:widowControl w:val="0"/>
        <w:autoSpaceDE w:val="0"/>
        <w:autoSpaceDN w:val="0"/>
        <w:adjustRightInd w:val="0"/>
        <w:spacing w:before="0" w:after="120"/>
        <w:ind w:firstLine="0"/>
        <w:rPr>
          <w:rFonts w:eastAsia="MS Mincho"/>
          <w:szCs w:val="24"/>
        </w:rPr>
      </w:pPr>
    </w:p>
    <w:p w14:paraId="24FC09E6" w14:textId="77777777" w:rsidR="007A14A9" w:rsidRPr="007A14A9" w:rsidRDefault="007A14A9" w:rsidP="007A14A9">
      <w:pPr>
        <w:widowControl w:val="0"/>
        <w:autoSpaceDE w:val="0"/>
        <w:autoSpaceDN w:val="0"/>
        <w:adjustRightInd w:val="0"/>
        <w:spacing w:before="0" w:after="120"/>
        <w:ind w:firstLine="0"/>
        <w:jc w:val="center"/>
        <w:rPr>
          <w:rFonts w:eastAsia="MS Mincho"/>
          <w:szCs w:val="24"/>
        </w:rPr>
      </w:pPr>
      <w:r w:rsidRPr="007A14A9">
        <w:rPr>
          <w:rFonts w:eastAsia="MS Mincho"/>
          <w:szCs w:val="24"/>
        </w:rPr>
        <w:t xml:space="preserve">HLAVA III </w:t>
      </w:r>
    </w:p>
    <w:p w14:paraId="74147187" w14:textId="77777777" w:rsidR="007A14A9" w:rsidRPr="007A14A9" w:rsidRDefault="007A14A9" w:rsidP="007A14A9">
      <w:pPr>
        <w:widowControl w:val="0"/>
        <w:autoSpaceDE w:val="0"/>
        <w:autoSpaceDN w:val="0"/>
        <w:adjustRightInd w:val="0"/>
        <w:spacing w:before="0" w:after="120"/>
        <w:ind w:firstLine="0"/>
        <w:jc w:val="center"/>
        <w:rPr>
          <w:rFonts w:eastAsia="MS Mincho"/>
          <w:szCs w:val="24"/>
        </w:rPr>
      </w:pPr>
      <w:r w:rsidRPr="007A14A9">
        <w:rPr>
          <w:rFonts w:eastAsia="MS Mincho"/>
          <w:szCs w:val="24"/>
        </w:rPr>
        <w:t xml:space="preserve">NĚKTERÉ SPOLEČNÉ OTÁZKY </w:t>
      </w:r>
    </w:p>
    <w:p w14:paraId="4F5431FE" w14:textId="77777777" w:rsidR="007A14A9" w:rsidRPr="007A14A9" w:rsidRDefault="007A14A9" w:rsidP="007A14A9">
      <w:pPr>
        <w:keepNext/>
        <w:keepLines/>
        <w:ind w:firstLine="0"/>
        <w:jc w:val="center"/>
        <w:outlineLvl w:val="5"/>
        <w:rPr>
          <w:strike/>
        </w:rPr>
      </w:pPr>
      <w:r w:rsidRPr="007A14A9">
        <w:rPr>
          <w:strike/>
        </w:rPr>
        <w:t xml:space="preserve">§ 187 </w:t>
      </w:r>
    </w:p>
    <w:p w14:paraId="6C0EB11E" w14:textId="77777777" w:rsidR="007A14A9" w:rsidRPr="007A14A9" w:rsidRDefault="007A14A9" w:rsidP="007A14A9">
      <w:pPr>
        <w:keepNext/>
        <w:keepLines/>
        <w:ind w:firstLine="0"/>
        <w:jc w:val="center"/>
        <w:outlineLvl w:val="5"/>
        <w:rPr>
          <w:b/>
          <w:strike/>
        </w:rPr>
      </w:pPr>
      <w:r w:rsidRPr="007A14A9">
        <w:rPr>
          <w:b/>
          <w:strike/>
        </w:rPr>
        <w:t xml:space="preserve">Ověření účetní závěrky </w:t>
      </w:r>
    </w:p>
    <w:p w14:paraId="0AADAF8F" w14:textId="77777777" w:rsidR="007A14A9" w:rsidRPr="007A14A9" w:rsidRDefault="007A14A9" w:rsidP="007A14A9">
      <w:pPr>
        <w:tabs>
          <w:tab w:val="left" w:pos="782"/>
          <w:tab w:val="left" w:pos="851"/>
        </w:tabs>
        <w:spacing w:before="120" w:after="120"/>
        <w:outlineLvl w:val="6"/>
        <w:rPr>
          <w:rFonts w:eastAsia="MS Mincho"/>
          <w:strike/>
          <w:szCs w:val="24"/>
        </w:rPr>
      </w:pPr>
      <w:r w:rsidRPr="007A14A9">
        <w:rPr>
          <w:rFonts w:eastAsia="MS Mincho"/>
          <w:strike/>
          <w:szCs w:val="24"/>
        </w:rPr>
        <w:t xml:space="preserve">Účetní závěrka investičního fondu a jeho jednotlivých </w:t>
      </w:r>
      <w:proofErr w:type="spellStart"/>
      <w:r w:rsidRPr="007A14A9">
        <w:rPr>
          <w:rFonts w:eastAsia="MS Mincho"/>
          <w:strike/>
          <w:szCs w:val="24"/>
        </w:rPr>
        <w:t>podfondů</w:t>
      </w:r>
      <w:proofErr w:type="spellEnd"/>
      <w:r w:rsidRPr="007A14A9">
        <w:rPr>
          <w:rFonts w:eastAsia="MS Mincho"/>
          <w:strike/>
          <w:szCs w:val="24"/>
        </w:rPr>
        <w:t xml:space="preserve"> se ověřuje auditorem. </w:t>
      </w:r>
    </w:p>
    <w:p w14:paraId="4434A48A" w14:textId="77777777" w:rsidR="007A14A9" w:rsidRPr="007A14A9" w:rsidRDefault="007A14A9" w:rsidP="007A14A9">
      <w:pPr>
        <w:keepNext/>
        <w:keepLines/>
        <w:ind w:firstLine="0"/>
        <w:jc w:val="center"/>
        <w:outlineLvl w:val="5"/>
      </w:pPr>
      <w:r w:rsidRPr="007A14A9">
        <w:t xml:space="preserve">§ 187 </w:t>
      </w:r>
    </w:p>
    <w:p w14:paraId="329926B0" w14:textId="77777777" w:rsidR="007A14A9" w:rsidRPr="007A14A9" w:rsidRDefault="007A14A9" w:rsidP="007A14A9">
      <w:pPr>
        <w:widowControl w:val="0"/>
        <w:autoSpaceDE w:val="0"/>
        <w:autoSpaceDN w:val="0"/>
        <w:adjustRightInd w:val="0"/>
        <w:spacing w:before="0" w:after="120"/>
        <w:ind w:firstLine="0"/>
        <w:jc w:val="center"/>
        <w:rPr>
          <w:rFonts w:eastAsia="MS Mincho"/>
          <w:b/>
          <w:szCs w:val="24"/>
        </w:rPr>
      </w:pPr>
      <w:r w:rsidRPr="007A14A9">
        <w:rPr>
          <w:rFonts w:eastAsia="MS Mincho"/>
          <w:b/>
          <w:szCs w:val="24"/>
        </w:rPr>
        <w:t xml:space="preserve">Povinný audit </w:t>
      </w:r>
    </w:p>
    <w:p w14:paraId="386DFEA3" w14:textId="77777777" w:rsidR="007A14A9" w:rsidRPr="007A14A9" w:rsidRDefault="007A14A9" w:rsidP="007A14A9">
      <w:pPr>
        <w:tabs>
          <w:tab w:val="left" w:pos="782"/>
          <w:tab w:val="left" w:pos="851"/>
        </w:tabs>
        <w:spacing w:before="120" w:after="120"/>
        <w:outlineLvl w:val="6"/>
        <w:rPr>
          <w:rFonts w:eastAsia="MS Mincho"/>
          <w:b/>
          <w:szCs w:val="24"/>
        </w:rPr>
      </w:pPr>
      <w:r w:rsidRPr="007A14A9">
        <w:rPr>
          <w:rFonts w:eastAsia="MS Mincho"/>
          <w:b/>
          <w:szCs w:val="24"/>
        </w:rPr>
        <w:t xml:space="preserve">Administrátor investičního fondu má povinnost zajistit audit řádné účetní závěrky tohoto fondu.  </w:t>
      </w:r>
    </w:p>
    <w:p w14:paraId="6ECE7EBD" w14:textId="77777777" w:rsidR="007A14A9" w:rsidRPr="007A14A9" w:rsidRDefault="007A14A9" w:rsidP="007A14A9">
      <w:pPr>
        <w:widowControl w:val="0"/>
        <w:autoSpaceDE w:val="0"/>
        <w:autoSpaceDN w:val="0"/>
        <w:adjustRightInd w:val="0"/>
        <w:spacing w:before="0"/>
        <w:ind w:firstLine="0"/>
        <w:rPr>
          <w:rFonts w:eastAsia="MS Mincho"/>
          <w:szCs w:val="24"/>
        </w:rPr>
      </w:pPr>
    </w:p>
    <w:p w14:paraId="02E11C77" w14:textId="77777777" w:rsidR="007A14A9" w:rsidRPr="007A14A9" w:rsidRDefault="007A14A9" w:rsidP="007A14A9">
      <w:pPr>
        <w:keepNext/>
        <w:keepLines/>
        <w:ind w:firstLine="0"/>
        <w:jc w:val="center"/>
        <w:outlineLvl w:val="5"/>
        <w:rPr>
          <w:b/>
        </w:rPr>
      </w:pPr>
      <w:r w:rsidRPr="007A14A9">
        <w:rPr>
          <w:b/>
        </w:rPr>
        <w:lastRenderedPageBreak/>
        <w:t xml:space="preserve">Výpočet aktuální hodnoty podílových listů, investičních akcií a jiných podílů na investičním fondu </w:t>
      </w:r>
    </w:p>
    <w:p w14:paraId="110DA1D4" w14:textId="77777777" w:rsidR="007A14A9" w:rsidRPr="007A14A9" w:rsidRDefault="007A14A9" w:rsidP="007A14A9">
      <w:pPr>
        <w:keepNext/>
        <w:keepLines/>
        <w:ind w:firstLine="0"/>
        <w:jc w:val="center"/>
        <w:outlineLvl w:val="5"/>
      </w:pPr>
      <w:r w:rsidRPr="007A14A9">
        <w:t xml:space="preserve">§ 190 </w:t>
      </w:r>
    </w:p>
    <w:p w14:paraId="5305F604"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(1)</w:t>
      </w:r>
      <w:r w:rsidRPr="007A14A9">
        <w:rPr>
          <w:rFonts w:eastAsia="MS Mincho"/>
          <w:szCs w:val="24"/>
        </w:rPr>
        <w:tab/>
        <w:t xml:space="preserve">Aktuální hodnota podílového listu je podíl fondového kapitálu podílového fondu připadající na 1 podílový list. </w:t>
      </w:r>
    </w:p>
    <w:p w14:paraId="26BBEA8B"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(2)</w:t>
      </w:r>
      <w:r w:rsidRPr="007A14A9">
        <w:rPr>
          <w:rFonts w:eastAsia="MS Mincho"/>
          <w:szCs w:val="24"/>
        </w:rPr>
        <w:tab/>
        <w:t xml:space="preserve">Základnou pro výpočet aktuální hodnoty podílového listu je fondový kapitál podílového fondu ke dni výpočtu aktuální hodnoty. Ve fondovém kapitálu se zohlední časové rozlišení běžných nákladů, zejména poplatky uvedené ve statutu, například úplata za obhospodařování, administraci, výkon činnosti depozitáře, audit a očekávaná daňová povinnost ke dni výpočtu aktuální hodnoty. </w:t>
      </w:r>
    </w:p>
    <w:p w14:paraId="1221B057"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(3)</w:t>
      </w:r>
      <w:r w:rsidRPr="007A14A9">
        <w:rPr>
          <w:rFonts w:eastAsia="MS Mincho"/>
          <w:szCs w:val="24"/>
        </w:rPr>
        <w:tab/>
        <w:t xml:space="preserve">Jde-li o podílový list bez jmenovité hodnoty nebo mají-li všechny podílové listy stejnou jmenovitou hodnotu, určí se aktuální hodnota podílového listu jako hodnota fondového kapitálu tohoto fondu dělená počtem vydaných podílový listů; jinak se aktuální hodnota podílového listu určí jako hodnota fondového kapitálu tohoto fondu ke dni výpočtu aktuální hodnoty, dělená součtem všech jmenovitých hodnot jím vydaných podílových listů v oběhu, vynásobená příslušnou jmenovitou hodnotou podílového listu, se zaokrouhlením na počet desetinných míst uvedených v jeho statutu. </w:t>
      </w:r>
    </w:p>
    <w:p w14:paraId="3176A4EA"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(4) Jsou-li s podílovým listem spojena zvláštní práva, určí se aktuální hodnota podílového listu na základě fondového kapitálu připadajícího na jednotlivé druhy podílových listů podle poměru určeného výpočtem uvedeným v jeho statutu. </w:t>
      </w:r>
    </w:p>
    <w:p w14:paraId="2FA17E66"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(5)</w:t>
      </w:r>
      <w:r w:rsidRPr="007A14A9">
        <w:rPr>
          <w:rFonts w:eastAsia="MS Mincho"/>
          <w:szCs w:val="24"/>
        </w:rPr>
        <w:tab/>
        <w:t>Aktuální hodnota podílového listu se vypočte bez sestavení</w:t>
      </w:r>
      <w:r w:rsidRPr="007A14A9">
        <w:rPr>
          <w:rFonts w:eastAsia="MS Mincho"/>
          <w:b/>
          <w:szCs w:val="24"/>
        </w:rPr>
        <w:t xml:space="preserve"> individuální</w:t>
      </w:r>
      <w:r w:rsidRPr="007A14A9">
        <w:rPr>
          <w:rFonts w:eastAsia="MS Mincho"/>
          <w:szCs w:val="24"/>
        </w:rPr>
        <w:t xml:space="preserve"> účetní závěrky. </w:t>
      </w:r>
    </w:p>
    <w:p w14:paraId="617ADD47" w14:textId="77777777" w:rsidR="007A14A9" w:rsidRPr="007A14A9" w:rsidRDefault="007A14A9" w:rsidP="007A14A9">
      <w:pPr>
        <w:keepNext/>
        <w:keepLines/>
        <w:ind w:firstLine="0"/>
        <w:jc w:val="center"/>
        <w:outlineLvl w:val="5"/>
        <w:rPr>
          <w:strike/>
        </w:rPr>
      </w:pPr>
      <w:r w:rsidRPr="007A14A9">
        <w:rPr>
          <w:strike/>
        </w:rPr>
        <w:t>§ 196</w:t>
      </w:r>
    </w:p>
    <w:p w14:paraId="4187DEE9" w14:textId="77777777" w:rsidR="007A14A9" w:rsidRPr="007A14A9" w:rsidRDefault="007A14A9" w:rsidP="007A14A9">
      <w:pPr>
        <w:tabs>
          <w:tab w:val="left" w:pos="782"/>
          <w:tab w:val="left" w:pos="851"/>
        </w:tabs>
        <w:spacing w:before="120" w:after="120"/>
        <w:outlineLvl w:val="6"/>
        <w:rPr>
          <w:strike/>
        </w:rPr>
      </w:pPr>
      <w:r w:rsidRPr="007A14A9">
        <w:rPr>
          <w:rFonts w:eastAsia="MS Mincho"/>
          <w:strike/>
          <w:szCs w:val="24"/>
        </w:rPr>
        <w:t>(1) Majetek a dluhy investičního fondu z investiční činnosti se oceňují reálnou hodnotou podle mezinárodních účetních standardů upravených právem Evropské unie</w:t>
      </w:r>
      <w:r w:rsidRPr="007A14A9">
        <w:rPr>
          <w:rFonts w:eastAsia="MS Mincho"/>
          <w:strike/>
          <w:szCs w:val="24"/>
          <w:vertAlign w:val="superscript"/>
        </w:rPr>
        <w:t>10)</w:t>
      </w:r>
      <w:r w:rsidRPr="007A14A9">
        <w:rPr>
          <w:rFonts w:eastAsia="MS Mincho"/>
          <w:strike/>
          <w:szCs w:val="24"/>
        </w:rPr>
        <w:t xml:space="preserve"> s tím, že</w:t>
      </w:r>
    </w:p>
    <w:p w14:paraId="147F5CA0" w14:textId="77777777" w:rsidR="007A14A9" w:rsidRPr="007A14A9" w:rsidRDefault="007A14A9" w:rsidP="007A14A9">
      <w:pPr>
        <w:spacing w:before="0"/>
        <w:ind w:left="425" w:hanging="425"/>
        <w:outlineLvl w:val="7"/>
        <w:rPr>
          <w:rFonts w:eastAsia="MS Mincho"/>
          <w:strike/>
          <w:szCs w:val="24"/>
        </w:rPr>
      </w:pPr>
      <w:r w:rsidRPr="007A14A9">
        <w:rPr>
          <w:rFonts w:eastAsia="MS Mincho"/>
          <w:strike/>
          <w:szCs w:val="24"/>
        </w:rPr>
        <w:t xml:space="preserve">a) </w:t>
      </w:r>
      <w:r w:rsidRPr="007A14A9">
        <w:rPr>
          <w:rFonts w:eastAsia="MS Mincho"/>
          <w:strike/>
          <w:szCs w:val="24"/>
        </w:rPr>
        <w:tab/>
        <w:t>pro určení reálné hodnoty dluhopisu nebo obdobného cenného papíru nebo zaknihovaného cenného papíru představujícího právo na splacení dlužné částky je možné použít průměrnou cenu mezi nejlepší závaznou nabídkou a poptávkou (středová cena) a</w:t>
      </w:r>
    </w:p>
    <w:p w14:paraId="751120A4" w14:textId="77777777" w:rsidR="007A14A9" w:rsidRPr="007A14A9" w:rsidRDefault="007A14A9" w:rsidP="007A14A9">
      <w:pPr>
        <w:spacing w:before="0"/>
        <w:ind w:left="425" w:hanging="425"/>
        <w:outlineLvl w:val="7"/>
        <w:rPr>
          <w:rFonts w:eastAsia="MS Mincho"/>
          <w:strike/>
          <w:szCs w:val="24"/>
        </w:rPr>
      </w:pPr>
      <w:r w:rsidRPr="007A14A9">
        <w:rPr>
          <w:rFonts w:eastAsia="MS Mincho"/>
          <w:strike/>
          <w:szCs w:val="24"/>
        </w:rPr>
        <w:t xml:space="preserve">b) </w:t>
      </w:r>
      <w:r w:rsidRPr="007A14A9">
        <w:rPr>
          <w:rFonts w:eastAsia="MS Mincho"/>
          <w:strike/>
          <w:szCs w:val="24"/>
        </w:rPr>
        <w:tab/>
        <w:t>pro určení reálné hodnoty akcie nebo obdobného cenného papíru nebo zaknihovaného cenného papíru představujícího podíl na obchodní společnosti nebo jiné právnické osobě je možné použít hodnotu, která je vyhlášena na evropském regulovaném trhu nebo na zahraničním trhu obdobném regulovanému trhu a která je vyhlášena k okamžiku ne pozdějšímu, než je okamžik ocenění a nejvíce se blížícímu okamžiku ocenění.</w:t>
      </w:r>
    </w:p>
    <w:p w14:paraId="2D1E2E76"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trike/>
          <w:szCs w:val="24"/>
        </w:rPr>
        <w:t>(2) Česká národní banka stanoví vyhláškou postupy pro určení reálné hodnoty majetku a dluhů investičního fondu v rozsahu stanoveném odstavcem 1</w:t>
      </w:r>
      <w:r w:rsidRPr="007A14A9">
        <w:rPr>
          <w:rFonts w:eastAsia="MS Mincho"/>
          <w:szCs w:val="24"/>
        </w:rPr>
        <w:t>.</w:t>
      </w:r>
    </w:p>
    <w:p w14:paraId="79E93A82" w14:textId="77777777" w:rsidR="007A14A9" w:rsidRPr="007A14A9" w:rsidRDefault="007A14A9" w:rsidP="007A14A9">
      <w:pPr>
        <w:keepNext/>
        <w:keepLines/>
        <w:ind w:firstLine="0"/>
        <w:jc w:val="center"/>
        <w:outlineLvl w:val="5"/>
        <w:rPr>
          <w:b/>
        </w:rPr>
      </w:pPr>
      <w:r w:rsidRPr="007A14A9">
        <w:rPr>
          <w:b/>
        </w:rPr>
        <w:t>§ 196</w:t>
      </w:r>
    </w:p>
    <w:p w14:paraId="03767EAC" w14:textId="77777777" w:rsidR="007A14A9" w:rsidRPr="007A14A9" w:rsidRDefault="007A14A9" w:rsidP="007A14A9">
      <w:pPr>
        <w:tabs>
          <w:tab w:val="left" w:pos="782"/>
          <w:tab w:val="left" w:pos="851"/>
        </w:tabs>
        <w:spacing w:before="120" w:after="120"/>
        <w:outlineLvl w:val="6"/>
        <w:rPr>
          <w:rFonts w:eastAsia="MS Mincho"/>
          <w:b/>
          <w:szCs w:val="24"/>
        </w:rPr>
      </w:pPr>
      <w:r w:rsidRPr="007A14A9">
        <w:rPr>
          <w:rFonts w:eastAsia="MS Mincho"/>
          <w:b/>
          <w:szCs w:val="24"/>
        </w:rPr>
        <w:t>Majetek a dluhy investičního fondu z investiční činnosti se oceňují v souladu s mezinárodními účetními standardy upravenými právem Evropské unie</w:t>
      </w:r>
      <w:r w:rsidRPr="007A14A9">
        <w:rPr>
          <w:rFonts w:eastAsia="MS Mincho"/>
          <w:b/>
          <w:szCs w:val="24"/>
          <w:vertAlign w:val="superscript"/>
        </w:rPr>
        <w:t xml:space="preserve">10) </w:t>
      </w:r>
      <w:r w:rsidRPr="007A14A9">
        <w:rPr>
          <w:rFonts w:eastAsia="MS Mincho"/>
          <w:b/>
          <w:szCs w:val="24"/>
        </w:rPr>
        <w:t>reálnou hodnotou.</w:t>
      </w:r>
    </w:p>
    <w:p w14:paraId="73E64042" w14:textId="1E03DF6A" w:rsidR="007A14A9" w:rsidRPr="00554FBC" w:rsidRDefault="007A14A9" w:rsidP="007A14A9">
      <w:pPr>
        <w:tabs>
          <w:tab w:val="left" w:pos="782"/>
          <w:tab w:val="left" w:pos="851"/>
        </w:tabs>
        <w:spacing w:before="120" w:after="120"/>
        <w:outlineLvl w:val="6"/>
        <w:rPr>
          <w:rFonts w:eastAsia="MS Mincho"/>
          <w:b/>
          <w:sz w:val="20"/>
          <w:szCs w:val="24"/>
        </w:rPr>
      </w:pPr>
      <w:r w:rsidRPr="00554FBC">
        <w:rPr>
          <w:rFonts w:eastAsia="MS Mincho"/>
          <w:b/>
          <w:sz w:val="20"/>
          <w:szCs w:val="24"/>
        </w:rPr>
        <w:t>_______</w:t>
      </w:r>
      <w:r w:rsidR="00554FBC">
        <w:rPr>
          <w:rFonts w:eastAsia="MS Mincho"/>
          <w:b/>
          <w:sz w:val="20"/>
          <w:szCs w:val="24"/>
        </w:rPr>
        <w:t>_________________</w:t>
      </w:r>
    </w:p>
    <w:p w14:paraId="633C1185" w14:textId="77777777" w:rsidR="007A14A9" w:rsidRPr="00554FBC" w:rsidRDefault="007A14A9" w:rsidP="007A14A9">
      <w:pPr>
        <w:tabs>
          <w:tab w:val="left" w:pos="782"/>
          <w:tab w:val="left" w:pos="851"/>
        </w:tabs>
        <w:spacing w:before="120" w:after="120"/>
        <w:outlineLvl w:val="6"/>
        <w:rPr>
          <w:b/>
          <w:sz w:val="20"/>
        </w:rPr>
      </w:pPr>
      <w:r w:rsidRPr="00554FBC">
        <w:rPr>
          <w:b/>
          <w:sz w:val="20"/>
          <w:vertAlign w:val="superscript"/>
        </w:rPr>
        <w:t>10)</w:t>
      </w:r>
      <w:r w:rsidRPr="00554FBC">
        <w:rPr>
          <w:b/>
          <w:sz w:val="20"/>
        </w:rPr>
        <w:t xml:space="preserve"> Nařízení Komise (ES) č. 1126/2008 ze dne 3. listopadu 2008, kterým se přijímají některé mezinárodní účetní standardy v souladu s nařízením Evropského parlamentu a Rady (ES) č. 1606/2002.</w:t>
      </w:r>
    </w:p>
    <w:p w14:paraId="12790ABD" w14:textId="77777777" w:rsidR="007A14A9" w:rsidRPr="007A14A9" w:rsidRDefault="007A14A9" w:rsidP="007A14A9">
      <w:pPr>
        <w:keepNext/>
        <w:keepLines/>
        <w:ind w:firstLine="0"/>
        <w:jc w:val="center"/>
        <w:outlineLvl w:val="5"/>
      </w:pPr>
      <w:r w:rsidRPr="007A14A9">
        <w:lastRenderedPageBreak/>
        <w:t xml:space="preserve">§ 213 </w:t>
      </w:r>
    </w:p>
    <w:p w14:paraId="489DABF5" w14:textId="77777777" w:rsidR="007A14A9" w:rsidRPr="007A14A9" w:rsidRDefault="007A14A9" w:rsidP="007A14A9">
      <w:pPr>
        <w:keepNext/>
        <w:keepLines/>
        <w:ind w:firstLine="0"/>
        <w:jc w:val="center"/>
        <w:outlineLvl w:val="5"/>
        <w:rPr>
          <w:b/>
          <w:strike/>
        </w:rPr>
      </w:pPr>
      <w:r w:rsidRPr="007A14A9">
        <w:rPr>
          <w:b/>
          <w:strike/>
        </w:rPr>
        <w:t xml:space="preserve">Uveřejnění neschválení účetní závěrky </w:t>
      </w:r>
    </w:p>
    <w:p w14:paraId="63DAB1CA" w14:textId="77777777" w:rsidR="007A14A9" w:rsidRPr="007A14A9" w:rsidRDefault="007A14A9" w:rsidP="007A14A9">
      <w:pPr>
        <w:tabs>
          <w:tab w:val="left" w:pos="782"/>
          <w:tab w:val="left" w:pos="851"/>
        </w:tabs>
        <w:spacing w:before="120" w:after="120"/>
        <w:outlineLvl w:val="6"/>
        <w:rPr>
          <w:rFonts w:eastAsia="MS Mincho"/>
          <w:strike/>
          <w:szCs w:val="24"/>
        </w:rPr>
      </w:pPr>
      <w:r w:rsidRPr="007A14A9">
        <w:rPr>
          <w:rFonts w:eastAsia="MS Mincho"/>
          <w:strike/>
          <w:szCs w:val="24"/>
        </w:rPr>
        <w:t xml:space="preserve">Neschválí-li příslušný orgán v určené lhůtě účetní závěrku fondu kolektivního investování, nebo rozhodne-li soud o neplatnosti jednání příslušného orgánu, kterým schválil účetní závěrku, obhospodařovatel tohoto fondu tuto skutečnost, včetně způsobu řešení připomínek svého orgánu nebo soudu, uveřejní na internetových stránkách tohoto fondu. </w:t>
      </w:r>
    </w:p>
    <w:p w14:paraId="03E384BE" w14:textId="4354FBAB" w:rsidR="00554FBC" w:rsidRDefault="00554FBC" w:rsidP="00554FBC">
      <w:pPr>
        <w:keepNext/>
        <w:keepLines/>
        <w:spacing w:before="0" w:after="120"/>
        <w:ind w:firstLine="0"/>
        <w:jc w:val="center"/>
        <w:rPr>
          <w:rFonts w:eastAsia="MS Mincho"/>
          <w:b/>
          <w:szCs w:val="24"/>
        </w:rPr>
      </w:pPr>
      <w:r>
        <w:rPr>
          <w:rFonts w:eastAsia="MS Mincho"/>
          <w:b/>
          <w:szCs w:val="24"/>
        </w:rPr>
        <w:t>§ 213</w:t>
      </w:r>
    </w:p>
    <w:p w14:paraId="57E37FC7" w14:textId="159EB070" w:rsidR="007A14A9" w:rsidRPr="007A14A9" w:rsidRDefault="007A14A9" w:rsidP="00554FBC">
      <w:pPr>
        <w:keepNext/>
        <w:keepLines/>
        <w:spacing w:before="0" w:after="120"/>
        <w:ind w:firstLine="0"/>
        <w:jc w:val="center"/>
        <w:rPr>
          <w:rFonts w:eastAsia="MS Mincho"/>
          <w:szCs w:val="24"/>
        </w:rPr>
      </w:pPr>
      <w:r w:rsidRPr="007A14A9">
        <w:rPr>
          <w:rFonts w:eastAsia="MS Mincho"/>
          <w:b/>
          <w:szCs w:val="24"/>
        </w:rPr>
        <w:t>Uveřejnění neschválení účetní závěrky</w:t>
      </w:r>
    </w:p>
    <w:p w14:paraId="079B9018" w14:textId="107CBC46" w:rsidR="007A14A9" w:rsidRPr="00554FBC" w:rsidRDefault="007A14A9" w:rsidP="00554FBC">
      <w:pPr>
        <w:tabs>
          <w:tab w:val="left" w:pos="782"/>
          <w:tab w:val="left" w:pos="851"/>
        </w:tabs>
        <w:spacing w:before="120" w:after="120"/>
        <w:outlineLvl w:val="6"/>
        <w:rPr>
          <w:rFonts w:eastAsia="MS Mincho"/>
          <w:b/>
          <w:szCs w:val="24"/>
        </w:rPr>
      </w:pPr>
      <w:r w:rsidRPr="007A14A9">
        <w:rPr>
          <w:rFonts w:eastAsia="MS Mincho"/>
          <w:b/>
          <w:szCs w:val="24"/>
        </w:rPr>
        <w:t>Neschválí-li příslušný orgán řádnou účetní závěrku fondu kolektivního investování ve lhůtě pro uveřejnění výroční zprávy tohoto fondu, nebo rozhodne-li soud o neplatnosti jednání příslušného orgánu, kterým schválil účetní závěrku, obhospodařovatel tohoto fondu tuto skutečnost, včetně odůvodnění a způsobu řešení připomínek svého orgánu nebo soudu, uveřejní na internetových stránkách tohoto fondu.</w:t>
      </w:r>
    </w:p>
    <w:p w14:paraId="75F3A5A2" w14:textId="77777777" w:rsidR="007A14A9" w:rsidRPr="007A14A9" w:rsidRDefault="007A14A9" w:rsidP="007A14A9">
      <w:pPr>
        <w:keepNext/>
        <w:keepLines/>
        <w:ind w:firstLine="0"/>
        <w:jc w:val="center"/>
        <w:outlineLvl w:val="5"/>
      </w:pPr>
      <w:r w:rsidRPr="007A14A9">
        <w:t xml:space="preserve">§ 214 </w:t>
      </w:r>
    </w:p>
    <w:p w14:paraId="1F262B8B" w14:textId="77777777" w:rsidR="007A14A9" w:rsidRPr="007A14A9" w:rsidRDefault="007A14A9" w:rsidP="007A14A9">
      <w:pPr>
        <w:keepNext/>
        <w:keepLines/>
        <w:ind w:firstLine="0"/>
        <w:jc w:val="center"/>
        <w:outlineLvl w:val="5"/>
        <w:rPr>
          <w:b/>
        </w:rPr>
      </w:pPr>
      <w:r w:rsidRPr="007A14A9">
        <w:rPr>
          <w:b/>
        </w:rPr>
        <w:t xml:space="preserve">Úhrada ztráty </w:t>
      </w:r>
    </w:p>
    <w:p w14:paraId="1661385C"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Vykáže-li fond kolektivního investování za účetní období ztrátu, rozhodne příslušný orgán při schvalování </w:t>
      </w:r>
      <w:r w:rsidRPr="007A14A9">
        <w:rPr>
          <w:rFonts w:eastAsia="MS Mincho"/>
          <w:b/>
          <w:szCs w:val="24"/>
        </w:rPr>
        <w:t>řádné individuální</w:t>
      </w:r>
      <w:r w:rsidRPr="007A14A9">
        <w:rPr>
          <w:rFonts w:eastAsia="MS Mincho"/>
          <w:szCs w:val="24"/>
        </w:rPr>
        <w:t xml:space="preserve"> účetní závěrky tohoto fondu za </w:t>
      </w:r>
      <w:r w:rsidRPr="007A14A9">
        <w:rPr>
          <w:rFonts w:eastAsia="MS Mincho"/>
          <w:b/>
          <w:szCs w:val="24"/>
        </w:rPr>
        <w:t>individuální</w:t>
      </w:r>
      <w:r w:rsidRPr="007A14A9">
        <w:rPr>
          <w:rFonts w:eastAsia="MS Mincho"/>
          <w:szCs w:val="24"/>
        </w:rPr>
        <w:t xml:space="preserve"> účetní období, ve kterém ztráta vznikla, o její úhradě z majetku tohoto fondu. </w:t>
      </w:r>
    </w:p>
    <w:p w14:paraId="2ABBD220" w14:textId="77777777" w:rsidR="007A14A9" w:rsidRPr="007A14A9" w:rsidRDefault="007A14A9" w:rsidP="007A14A9">
      <w:pPr>
        <w:spacing w:before="0"/>
        <w:ind w:firstLine="0"/>
        <w:jc w:val="left"/>
        <w:rPr>
          <w:rFonts w:eastAsia="MS Mincho"/>
          <w:b/>
          <w:bCs/>
          <w:szCs w:val="24"/>
        </w:rPr>
      </w:pPr>
    </w:p>
    <w:p w14:paraId="0278F204" w14:textId="77777777" w:rsidR="007A14A9" w:rsidRPr="007A14A9" w:rsidRDefault="007A14A9" w:rsidP="007A14A9">
      <w:pPr>
        <w:keepNext/>
        <w:keepLines/>
        <w:widowControl w:val="0"/>
        <w:autoSpaceDE w:val="0"/>
        <w:autoSpaceDN w:val="0"/>
        <w:adjustRightInd w:val="0"/>
        <w:spacing w:before="0" w:after="120"/>
        <w:ind w:firstLine="0"/>
        <w:jc w:val="center"/>
        <w:rPr>
          <w:rFonts w:eastAsia="MS Mincho"/>
          <w:b/>
          <w:bCs/>
          <w:szCs w:val="24"/>
        </w:rPr>
      </w:pPr>
      <w:r w:rsidRPr="007A14A9">
        <w:rPr>
          <w:rFonts w:eastAsia="MS Mincho"/>
          <w:b/>
          <w:bCs/>
          <w:szCs w:val="24"/>
        </w:rPr>
        <w:t xml:space="preserve">Díl 3 </w:t>
      </w:r>
    </w:p>
    <w:p w14:paraId="74E93581" w14:textId="77777777" w:rsidR="007A14A9" w:rsidRPr="007A14A9" w:rsidRDefault="007A14A9" w:rsidP="007A14A9">
      <w:pPr>
        <w:keepNext/>
        <w:keepLines/>
        <w:ind w:firstLine="0"/>
        <w:jc w:val="center"/>
        <w:outlineLvl w:val="5"/>
      </w:pPr>
      <w:r w:rsidRPr="007A14A9">
        <w:rPr>
          <w:rFonts w:eastAsia="MS Mincho"/>
          <w:b/>
          <w:bCs/>
          <w:strike/>
          <w:szCs w:val="24"/>
        </w:rPr>
        <w:t>Výroční zpráva</w:t>
      </w:r>
      <w:r w:rsidRPr="007A14A9">
        <w:rPr>
          <w:rFonts w:eastAsia="MS Mincho"/>
          <w:b/>
          <w:bCs/>
          <w:szCs w:val="24"/>
        </w:rPr>
        <w:t xml:space="preserve"> </w:t>
      </w:r>
    </w:p>
    <w:p w14:paraId="31B67C98" w14:textId="77777777" w:rsidR="007A14A9" w:rsidRPr="007A14A9" w:rsidRDefault="007A14A9" w:rsidP="007A14A9">
      <w:pPr>
        <w:keepNext/>
        <w:keepLines/>
        <w:ind w:firstLine="0"/>
        <w:jc w:val="center"/>
        <w:outlineLvl w:val="5"/>
        <w:rPr>
          <w:b/>
        </w:rPr>
      </w:pPr>
      <w:r w:rsidRPr="007A14A9">
        <w:rPr>
          <w:b/>
        </w:rPr>
        <w:t>Zveřejňování a uveřejňování informací o činnosti fondu kolektivního investování</w:t>
      </w:r>
    </w:p>
    <w:p w14:paraId="40D69ED2" w14:textId="77777777" w:rsidR="007A14A9" w:rsidRPr="007A14A9" w:rsidRDefault="007A14A9" w:rsidP="007A14A9">
      <w:pPr>
        <w:keepNext/>
        <w:keepLines/>
        <w:ind w:firstLine="0"/>
        <w:jc w:val="center"/>
        <w:outlineLvl w:val="5"/>
      </w:pPr>
      <w:r w:rsidRPr="007A14A9">
        <w:t xml:space="preserve">§ 233 </w:t>
      </w:r>
    </w:p>
    <w:p w14:paraId="0497C2B2" w14:textId="77777777" w:rsidR="007A14A9" w:rsidRPr="007A14A9" w:rsidRDefault="007A14A9" w:rsidP="007A14A9">
      <w:pPr>
        <w:tabs>
          <w:tab w:val="left" w:pos="782"/>
          <w:tab w:val="left" w:pos="851"/>
        </w:tabs>
        <w:spacing w:before="120" w:after="120"/>
        <w:outlineLvl w:val="6"/>
        <w:rPr>
          <w:rFonts w:eastAsia="MS Mincho"/>
          <w:b/>
          <w:szCs w:val="24"/>
        </w:rPr>
      </w:pPr>
      <w:r w:rsidRPr="007A14A9">
        <w:rPr>
          <w:rFonts w:eastAsia="MS Mincho"/>
          <w:szCs w:val="24"/>
        </w:rPr>
        <w:t>(1)</w:t>
      </w:r>
      <w:r w:rsidRPr="007A14A9">
        <w:rPr>
          <w:rFonts w:eastAsia="MS Mincho"/>
          <w:szCs w:val="24"/>
        </w:rPr>
        <w:tab/>
        <w:t xml:space="preserve">Administrátor fondu kolektivního investování uveřejní nejpozději do 4 měsíců </w:t>
      </w:r>
      <w:r w:rsidRPr="007A14A9">
        <w:rPr>
          <w:rFonts w:eastAsia="MS Mincho"/>
          <w:strike/>
          <w:szCs w:val="24"/>
        </w:rPr>
        <w:t>po skončení</w:t>
      </w:r>
      <w:r w:rsidRPr="007A14A9">
        <w:rPr>
          <w:rFonts w:eastAsia="MS Mincho"/>
          <w:szCs w:val="24"/>
        </w:rPr>
        <w:t xml:space="preserve"> </w:t>
      </w:r>
      <w:r w:rsidRPr="007A14A9">
        <w:rPr>
          <w:rFonts w:eastAsia="MS Mincho"/>
          <w:b/>
          <w:szCs w:val="24"/>
        </w:rPr>
        <w:t xml:space="preserve">od konce individuálního </w:t>
      </w:r>
      <w:r w:rsidRPr="007A14A9">
        <w:rPr>
          <w:rFonts w:eastAsia="MS Mincho"/>
          <w:szCs w:val="24"/>
        </w:rPr>
        <w:t xml:space="preserve">účetního období výroční zprávu tohoto fondu </w:t>
      </w:r>
      <w:r w:rsidRPr="007A14A9">
        <w:rPr>
          <w:rFonts w:eastAsia="MS Mincho"/>
          <w:b/>
          <w:szCs w:val="24"/>
        </w:rPr>
        <w:t>na svých internetových stránkách a v této lhůtě administrátor také zveřejní řádnou účetní závěrku, zprávy tohoto fondu podle zákona upravujícího účetnictví, jsou-li vyhotovovány, a zprávy o jejich ověření, jsou-li ověřovány</w:t>
      </w:r>
      <w:r w:rsidRPr="007A14A9">
        <w:rPr>
          <w:rFonts w:eastAsia="MS Mincho"/>
          <w:szCs w:val="24"/>
        </w:rPr>
        <w:t>.</w:t>
      </w:r>
      <w:r w:rsidRPr="007A14A9">
        <w:rPr>
          <w:rFonts w:eastAsia="MS Mincho"/>
          <w:b/>
          <w:szCs w:val="24"/>
        </w:rPr>
        <w:t xml:space="preserve"> Řádnou individuální účetní závěrku a individuální zprávu vedení </w:t>
      </w:r>
      <w:proofErr w:type="spellStart"/>
      <w:r w:rsidRPr="007A14A9">
        <w:rPr>
          <w:rFonts w:eastAsia="MS Mincho"/>
          <w:b/>
          <w:szCs w:val="24"/>
        </w:rPr>
        <w:t>podfondu</w:t>
      </w:r>
      <w:proofErr w:type="spellEnd"/>
      <w:r w:rsidRPr="007A14A9">
        <w:rPr>
          <w:rFonts w:eastAsia="MS Mincho"/>
          <w:b/>
          <w:szCs w:val="24"/>
        </w:rPr>
        <w:t xml:space="preserve"> fondu kolektivního investování, je-li vyhotovována, a zprávu auditora o povinném auditu účetní závěrky tohoto </w:t>
      </w:r>
      <w:proofErr w:type="spellStart"/>
      <w:r w:rsidRPr="007A14A9">
        <w:rPr>
          <w:rFonts w:eastAsia="MS Mincho"/>
          <w:b/>
          <w:szCs w:val="24"/>
        </w:rPr>
        <w:t>podfondu</w:t>
      </w:r>
      <w:proofErr w:type="spellEnd"/>
      <w:r w:rsidRPr="007A14A9">
        <w:rPr>
          <w:rFonts w:eastAsia="MS Mincho"/>
          <w:b/>
          <w:szCs w:val="24"/>
        </w:rPr>
        <w:t xml:space="preserve"> administrátor zveřejní uložením do sbírky listin veřejného rejstříku, ve které se zveřejňuje řádná individuální účetní závěrka fondu kolektivního investování, který tento </w:t>
      </w:r>
      <w:proofErr w:type="spellStart"/>
      <w:r w:rsidRPr="007A14A9">
        <w:rPr>
          <w:rFonts w:eastAsia="MS Mincho"/>
          <w:b/>
          <w:szCs w:val="24"/>
        </w:rPr>
        <w:t>podfond</w:t>
      </w:r>
      <w:proofErr w:type="spellEnd"/>
      <w:r w:rsidRPr="007A14A9">
        <w:rPr>
          <w:rFonts w:eastAsia="MS Mincho"/>
          <w:b/>
          <w:szCs w:val="24"/>
        </w:rPr>
        <w:t xml:space="preserve"> vytvořil. </w:t>
      </w:r>
    </w:p>
    <w:p w14:paraId="4D14E96D"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 (2)</w:t>
      </w:r>
      <w:r w:rsidRPr="007A14A9">
        <w:rPr>
          <w:rFonts w:eastAsia="MS Mincho"/>
          <w:szCs w:val="24"/>
        </w:rPr>
        <w:tab/>
        <w:t>Administrátor fondu kolektivního investování poskytne každému akcionáři nebo podílníkovi poslední uveřejněnou</w:t>
      </w:r>
      <w:r w:rsidRPr="007A14A9">
        <w:rPr>
          <w:rFonts w:eastAsia="MS Mincho"/>
          <w:b/>
          <w:szCs w:val="24"/>
        </w:rPr>
        <w:t xml:space="preserve"> </w:t>
      </w:r>
      <w:r w:rsidRPr="007A14A9">
        <w:rPr>
          <w:rFonts w:eastAsia="MS Mincho"/>
          <w:szCs w:val="24"/>
        </w:rPr>
        <w:t xml:space="preserve">výroční zprávu tohoto fondu v listinné podobě, jestliže o to akcionář nebo podílník požádá. Stejně administrátor postupuje, jedná-li se o poslední uveřejněnou výroční zprávu řídícího fondu, je-li fond kolektivního investování podřízeným fondem. </w:t>
      </w:r>
    </w:p>
    <w:p w14:paraId="364BCE5E" w14:textId="77777777" w:rsidR="007A14A9" w:rsidRPr="007A14A9" w:rsidRDefault="007A14A9" w:rsidP="007A14A9">
      <w:pPr>
        <w:tabs>
          <w:tab w:val="left" w:pos="782"/>
          <w:tab w:val="left" w:pos="851"/>
        </w:tabs>
        <w:spacing w:before="120" w:after="120"/>
        <w:outlineLvl w:val="6"/>
        <w:rPr>
          <w:rFonts w:eastAsia="MS Mincho"/>
          <w:strike/>
          <w:szCs w:val="24"/>
        </w:rPr>
      </w:pPr>
      <w:r w:rsidRPr="007A14A9">
        <w:rPr>
          <w:rFonts w:eastAsia="MS Mincho"/>
          <w:strike/>
          <w:szCs w:val="24"/>
        </w:rPr>
        <w:t xml:space="preserve"> (3) Pro administrátora fondu kolektivního investování, jehož obhospodařovatel je oprávněn přesáhnout rozhodný limit a za který se uveřejňuje výroční </w:t>
      </w:r>
      <w:proofErr w:type="gramStart"/>
      <w:r w:rsidRPr="007A14A9">
        <w:rPr>
          <w:rFonts w:eastAsia="MS Mincho"/>
          <w:strike/>
          <w:szCs w:val="24"/>
        </w:rPr>
        <w:t xml:space="preserve">zpráva </w:t>
      </w:r>
      <w:r w:rsidRPr="007A14A9">
        <w:rPr>
          <w:rFonts w:eastAsia="MS Mincho"/>
          <w:b/>
          <w:strike/>
          <w:szCs w:val="24"/>
        </w:rPr>
        <w:t xml:space="preserve"> </w:t>
      </w:r>
      <w:r w:rsidRPr="007A14A9">
        <w:rPr>
          <w:rFonts w:eastAsia="MS Mincho"/>
          <w:strike/>
          <w:szCs w:val="24"/>
        </w:rPr>
        <w:t>podle</w:t>
      </w:r>
      <w:proofErr w:type="gramEnd"/>
      <w:r w:rsidRPr="007A14A9">
        <w:rPr>
          <w:rFonts w:eastAsia="MS Mincho"/>
          <w:strike/>
          <w:szCs w:val="24"/>
        </w:rPr>
        <w:t xml:space="preserve"> zákona upravujícího podnikání na kapitálovém trhu, se odstavce 1 a 2</w:t>
      </w:r>
      <w:r w:rsidRPr="007A14A9">
        <w:rPr>
          <w:rFonts w:eastAsia="MS Mincho"/>
          <w:b/>
          <w:strike/>
          <w:szCs w:val="24"/>
        </w:rPr>
        <w:t xml:space="preserve"> </w:t>
      </w:r>
      <w:r w:rsidRPr="007A14A9">
        <w:rPr>
          <w:rFonts w:eastAsia="MS Mincho"/>
          <w:strike/>
          <w:szCs w:val="24"/>
        </w:rPr>
        <w:t xml:space="preserve">nepoužijí. V tomto případě </w:t>
      </w:r>
      <w:r w:rsidRPr="007A14A9">
        <w:rPr>
          <w:rFonts w:eastAsia="MS Mincho"/>
          <w:strike/>
          <w:szCs w:val="24"/>
        </w:rPr>
        <w:lastRenderedPageBreak/>
        <w:t xml:space="preserve">postačí, jestliže poskytne každému investorovi na jeho žádost údaje požadované jinak podle odstavce 2, které nejsou obsaženy ve výroční zprávě tohoto fondu uveřejněné podle zákona upravujícího podnikání na kapitálovém trhu. Tyto údaje lze poskytnout odděleně nebo jako doplněk výroční zprávy. </w:t>
      </w:r>
    </w:p>
    <w:p w14:paraId="1538C8D6" w14:textId="77777777" w:rsidR="007A14A9" w:rsidRPr="007A14A9" w:rsidRDefault="007A14A9" w:rsidP="007A14A9">
      <w:pPr>
        <w:tabs>
          <w:tab w:val="left" w:pos="782"/>
          <w:tab w:val="left" w:pos="851"/>
        </w:tabs>
        <w:spacing w:before="120" w:after="120"/>
        <w:outlineLvl w:val="6"/>
        <w:rPr>
          <w:rFonts w:eastAsia="MS Mincho"/>
          <w:b/>
          <w:szCs w:val="24"/>
        </w:rPr>
      </w:pPr>
      <w:r w:rsidRPr="007A14A9">
        <w:rPr>
          <w:rFonts w:eastAsia="MS Mincho"/>
          <w:b/>
          <w:szCs w:val="24"/>
        </w:rPr>
        <w:t xml:space="preserve"> (3) Pro administrátora fondu kolektivního investování, jehož obhospodařovatel je oprávněn přesáhnout rozhodný limit a který uveřejňuje výroční finanční zprávu podle zákona upravujícího podnikání na kapitálovém trhu, se odstavce 1 a 2 a § 234 nepoužijí. V tomto případě postačí, jestliže administrátor poskytne každému investorovi na jeho žádost údaje požadované podle § 234, které nejsou obsaženy ve výroční finanční zprávě tohoto fondu uveřejněné podle zákona upravujícího podnikání na kapitálovém trhu. Tyto údaje lze poskytnout odděleně nebo jako doplněk výroční finanční zprávy.</w:t>
      </w:r>
    </w:p>
    <w:p w14:paraId="3E7D87AB" w14:textId="77777777" w:rsidR="007A14A9" w:rsidRPr="007A14A9" w:rsidRDefault="007A14A9" w:rsidP="007A14A9">
      <w:pPr>
        <w:tabs>
          <w:tab w:val="left" w:pos="782"/>
          <w:tab w:val="left" w:pos="851"/>
        </w:tabs>
        <w:spacing w:before="120" w:after="120"/>
        <w:outlineLvl w:val="6"/>
        <w:rPr>
          <w:rFonts w:eastAsia="MS Mincho"/>
          <w:b/>
          <w:szCs w:val="24"/>
        </w:rPr>
      </w:pPr>
      <w:r w:rsidRPr="007A14A9">
        <w:rPr>
          <w:rFonts w:eastAsia="MS Mincho"/>
          <w:b/>
          <w:szCs w:val="24"/>
        </w:rPr>
        <w:t xml:space="preserve"> (4) Obsahuje-li individuální zpráva vedení fondu kolektivního investování veškeré údaje, které mají být obsahem zprávy o činnosti tohoto fondu, tato zpráva vedení se pro účely tohoto zákona může považovat za zprávu o činnosti tohoto fondu. </w:t>
      </w:r>
    </w:p>
    <w:p w14:paraId="70CA815C" w14:textId="77777777" w:rsidR="007A14A9" w:rsidRPr="007A14A9" w:rsidRDefault="007A14A9" w:rsidP="007A14A9">
      <w:pPr>
        <w:keepNext/>
        <w:keepLines/>
        <w:ind w:firstLine="0"/>
        <w:jc w:val="center"/>
        <w:outlineLvl w:val="5"/>
      </w:pPr>
      <w:r w:rsidRPr="007A14A9">
        <w:t>§ 234</w:t>
      </w:r>
    </w:p>
    <w:p w14:paraId="23D1A940" w14:textId="77777777" w:rsidR="007A14A9" w:rsidRPr="007A14A9" w:rsidRDefault="007A14A9" w:rsidP="007A14A9">
      <w:pPr>
        <w:keepNext/>
        <w:keepLines/>
        <w:ind w:firstLine="0"/>
        <w:jc w:val="center"/>
        <w:outlineLvl w:val="5"/>
        <w:rPr>
          <w:b/>
        </w:rPr>
      </w:pPr>
      <w:r w:rsidRPr="007A14A9">
        <w:rPr>
          <w:b/>
          <w:strike/>
        </w:rPr>
        <w:t>Zvláštní náležitosti výroční zprávy</w:t>
      </w:r>
      <w:r w:rsidRPr="007A14A9">
        <w:rPr>
          <w:b/>
        </w:rPr>
        <w:t xml:space="preserve"> </w:t>
      </w:r>
    </w:p>
    <w:p w14:paraId="3D56B56C" w14:textId="77777777" w:rsidR="007A14A9" w:rsidRPr="007A14A9" w:rsidRDefault="007A14A9" w:rsidP="007A14A9">
      <w:pPr>
        <w:keepNext/>
        <w:keepLines/>
        <w:ind w:firstLine="0"/>
        <w:jc w:val="center"/>
        <w:outlineLvl w:val="5"/>
        <w:rPr>
          <w:b/>
        </w:rPr>
      </w:pPr>
      <w:r w:rsidRPr="007A14A9">
        <w:rPr>
          <w:b/>
        </w:rPr>
        <w:t>Výroční zpráva investičního fondu</w:t>
      </w:r>
    </w:p>
    <w:p w14:paraId="427ABA6A" w14:textId="77777777" w:rsidR="007A14A9" w:rsidRPr="007A14A9" w:rsidRDefault="007A14A9" w:rsidP="007A14A9">
      <w:pPr>
        <w:tabs>
          <w:tab w:val="left" w:pos="782"/>
          <w:tab w:val="left" w:pos="851"/>
        </w:tabs>
        <w:spacing w:before="120" w:after="120"/>
        <w:outlineLvl w:val="6"/>
        <w:rPr>
          <w:rFonts w:eastAsia="MS Mincho"/>
          <w:b/>
          <w:color w:val="FF0000"/>
          <w:szCs w:val="24"/>
          <w:highlight w:val="yellow"/>
        </w:rPr>
      </w:pPr>
      <w:r w:rsidRPr="007A14A9">
        <w:rPr>
          <w:szCs w:val="24"/>
        </w:rPr>
        <w:t>(1)</w:t>
      </w:r>
      <w:r w:rsidRPr="007A14A9">
        <w:rPr>
          <w:szCs w:val="24"/>
        </w:rPr>
        <w:tab/>
      </w:r>
      <w:r w:rsidRPr="007A14A9">
        <w:rPr>
          <w:rFonts w:eastAsia="MS Mincho"/>
          <w:strike/>
          <w:szCs w:val="22"/>
        </w:rPr>
        <w:t>Výroční zpráva fondu kolektivního investování dále obsahuje</w:t>
      </w:r>
    </w:p>
    <w:p w14:paraId="794E479A" w14:textId="021B5EB4" w:rsidR="007A14A9" w:rsidRPr="007A14A9" w:rsidRDefault="005D3450" w:rsidP="007A14A9">
      <w:pPr>
        <w:spacing w:before="0"/>
        <w:ind w:left="425" w:hanging="425"/>
        <w:outlineLvl w:val="7"/>
        <w:rPr>
          <w:strike/>
          <w:szCs w:val="24"/>
        </w:rPr>
      </w:pPr>
      <w:r>
        <w:rPr>
          <w:strike/>
          <w:szCs w:val="24"/>
        </w:rPr>
        <w:t>a)</w:t>
      </w:r>
      <w:r>
        <w:rPr>
          <w:strike/>
          <w:szCs w:val="24"/>
        </w:rPr>
        <w:tab/>
      </w:r>
      <w:r w:rsidR="007A14A9" w:rsidRPr="007A14A9">
        <w:rPr>
          <w:strike/>
          <w:szCs w:val="24"/>
        </w:rPr>
        <w:t>účetní závěrku ověřenou auditorem a zprávu auditora v plném znění,</w:t>
      </w:r>
    </w:p>
    <w:p w14:paraId="4B1DC9A5" w14:textId="6F0CC9DF" w:rsidR="007A14A9" w:rsidRPr="007A14A9" w:rsidRDefault="007A14A9" w:rsidP="007A14A9">
      <w:pPr>
        <w:spacing w:before="0"/>
        <w:ind w:left="425" w:hanging="425"/>
        <w:outlineLvl w:val="7"/>
        <w:rPr>
          <w:strike/>
          <w:szCs w:val="24"/>
        </w:rPr>
      </w:pPr>
      <w:r w:rsidRPr="007A14A9">
        <w:rPr>
          <w:strike/>
          <w:szCs w:val="24"/>
        </w:rPr>
        <w:t xml:space="preserve">b) </w:t>
      </w:r>
      <w:r w:rsidR="005D3450">
        <w:rPr>
          <w:strike/>
          <w:szCs w:val="24"/>
        </w:rPr>
        <w:tab/>
      </w:r>
      <w:r w:rsidRPr="007A14A9">
        <w:rPr>
          <w:strike/>
          <w:szCs w:val="24"/>
        </w:rPr>
        <w:t>údaje o činnosti jeho obhospodařovatele ve vztahu k majetku fondu v účetním období,</w:t>
      </w:r>
    </w:p>
    <w:p w14:paraId="50CD8B98" w14:textId="58A96FD7" w:rsidR="007A14A9" w:rsidRPr="007A14A9" w:rsidRDefault="007A14A9" w:rsidP="007A14A9">
      <w:pPr>
        <w:spacing w:before="0"/>
        <w:ind w:left="425" w:hanging="425"/>
        <w:outlineLvl w:val="7"/>
        <w:rPr>
          <w:strike/>
          <w:szCs w:val="24"/>
        </w:rPr>
      </w:pPr>
      <w:r w:rsidRPr="007A14A9">
        <w:rPr>
          <w:strike/>
          <w:szCs w:val="24"/>
        </w:rPr>
        <w:t xml:space="preserve">c) </w:t>
      </w:r>
      <w:r w:rsidR="005D3450">
        <w:rPr>
          <w:strike/>
          <w:szCs w:val="24"/>
        </w:rPr>
        <w:tab/>
      </w:r>
      <w:r w:rsidRPr="007A14A9">
        <w:rPr>
          <w:strike/>
          <w:szCs w:val="24"/>
        </w:rPr>
        <w:t>údaje o celkovém počtu akcií nebo podílových listů vydaných fondem, které jsou v oběhu ke konci účetního období,</w:t>
      </w:r>
    </w:p>
    <w:p w14:paraId="78711916" w14:textId="77347760" w:rsidR="007A14A9" w:rsidRPr="007A14A9" w:rsidRDefault="007A14A9" w:rsidP="007A14A9">
      <w:pPr>
        <w:spacing w:before="0"/>
        <w:ind w:left="425" w:hanging="425"/>
        <w:outlineLvl w:val="7"/>
        <w:rPr>
          <w:strike/>
          <w:szCs w:val="24"/>
        </w:rPr>
      </w:pPr>
      <w:r w:rsidRPr="007A14A9">
        <w:rPr>
          <w:strike/>
          <w:szCs w:val="24"/>
        </w:rPr>
        <w:t xml:space="preserve">d) </w:t>
      </w:r>
      <w:r w:rsidR="005D3450">
        <w:rPr>
          <w:strike/>
          <w:szCs w:val="24"/>
        </w:rPr>
        <w:tab/>
      </w:r>
      <w:r w:rsidRPr="007A14A9">
        <w:rPr>
          <w:strike/>
          <w:szCs w:val="24"/>
        </w:rPr>
        <w:t>údaje o celkovém počtu akcií nebo podílových listů fondu vydaných a odkoupených v účetním období,</w:t>
      </w:r>
    </w:p>
    <w:p w14:paraId="25DC5D26" w14:textId="32D489C6" w:rsidR="007A14A9" w:rsidRPr="007A14A9" w:rsidRDefault="007A14A9" w:rsidP="007A14A9">
      <w:pPr>
        <w:spacing w:before="0"/>
        <w:ind w:left="425" w:hanging="425"/>
        <w:outlineLvl w:val="7"/>
        <w:rPr>
          <w:strike/>
          <w:szCs w:val="24"/>
        </w:rPr>
      </w:pPr>
      <w:r w:rsidRPr="007A14A9">
        <w:rPr>
          <w:strike/>
          <w:szCs w:val="24"/>
        </w:rPr>
        <w:t xml:space="preserve">e) </w:t>
      </w:r>
      <w:r w:rsidR="005D3450">
        <w:rPr>
          <w:strike/>
          <w:szCs w:val="24"/>
        </w:rPr>
        <w:tab/>
      </w:r>
      <w:r w:rsidRPr="007A14A9">
        <w:rPr>
          <w:strike/>
          <w:szCs w:val="24"/>
        </w:rPr>
        <w:t>údaje o fondovém kapitálu na jednu akcii tohoto fondu ke konci účetního období,</w:t>
      </w:r>
    </w:p>
    <w:p w14:paraId="11EE53E6" w14:textId="1EB639FD" w:rsidR="007A14A9" w:rsidRPr="007A14A9" w:rsidRDefault="007A14A9" w:rsidP="007A14A9">
      <w:pPr>
        <w:spacing w:before="0"/>
        <w:ind w:left="425" w:hanging="425"/>
        <w:outlineLvl w:val="7"/>
        <w:rPr>
          <w:strike/>
          <w:szCs w:val="24"/>
        </w:rPr>
      </w:pPr>
      <w:r w:rsidRPr="007A14A9">
        <w:rPr>
          <w:strike/>
          <w:szCs w:val="24"/>
        </w:rPr>
        <w:t xml:space="preserve">f) </w:t>
      </w:r>
      <w:r w:rsidR="005D3450">
        <w:rPr>
          <w:strike/>
          <w:szCs w:val="24"/>
        </w:rPr>
        <w:tab/>
      </w:r>
      <w:r w:rsidRPr="007A14A9">
        <w:rPr>
          <w:strike/>
          <w:szCs w:val="24"/>
        </w:rPr>
        <w:t>údaje o skladbě a změnách skladby majetku tohoto fondu,</w:t>
      </w:r>
    </w:p>
    <w:p w14:paraId="7F1550E7" w14:textId="4FDB5635" w:rsidR="007A14A9" w:rsidRPr="007A14A9" w:rsidRDefault="007A14A9" w:rsidP="007A14A9">
      <w:pPr>
        <w:spacing w:before="0"/>
        <w:ind w:left="425" w:hanging="425"/>
        <w:outlineLvl w:val="7"/>
        <w:rPr>
          <w:strike/>
          <w:szCs w:val="24"/>
        </w:rPr>
      </w:pPr>
      <w:r w:rsidRPr="007A14A9">
        <w:rPr>
          <w:strike/>
          <w:szCs w:val="24"/>
        </w:rPr>
        <w:t xml:space="preserve">g) </w:t>
      </w:r>
      <w:r w:rsidR="005D3450">
        <w:rPr>
          <w:strike/>
          <w:szCs w:val="24"/>
        </w:rPr>
        <w:tab/>
      </w:r>
      <w:r w:rsidRPr="007A14A9">
        <w:rPr>
          <w:strike/>
          <w:szCs w:val="24"/>
        </w:rPr>
        <w:t>údaje o vývoji aktiv fondu,</w:t>
      </w:r>
    </w:p>
    <w:p w14:paraId="6FCDB084" w14:textId="2C870B0B" w:rsidR="007A14A9" w:rsidRPr="007A14A9" w:rsidRDefault="007A14A9" w:rsidP="007A14A9">
      <w:pPr>
        <w:spacing w:before="0"/>
        <w:ind w:left="425" w:hanging="425"/>
        <w:outlineLvl w:val="7"/>
        <w:rPr>
          <w:strike/>
          <w:szCs w:val="24"/>
        </w:rPr>
      </w:pPr>
      <w:r w:rsidRPr="007A14A9">
        <w:rPr>
          <w:strike/>
          <w:szCs w:val="24"/>
        </w:rPr>
        <w:t xml:space="preserve">h) </w:t>
      </w:r>
      <w:r w:rsidR="005D3450">
        <w:rPr>
          <w:strike/>
          <w:szCs w:val="24"/>
        </w:rPr>
        <w:tab/>
      </w:r>
      <w:r w:rsidRPr="007A14A9">
        <w:rPr>
          <w:strike/>
          <w:szCs w:val="24"/>
        </w:rPr>
        <w:t>srovnání celkového fondového kapitálu a fondového kapitálu na jednu akcii nebo podílový list za 3 uplynulá účetní období, přičemž srovnávané hodnoty se týkají vždy konce účetního období,</w:t>
      </w:r>
    </w:p>
    <w:p w14:paraId="40F9A8DF" w14:textId="53BF6C07" w:rsidR="007A14A9" w:rsidRPr="007A14A9" w:rsidRDefault="007A14A9" w:rsidP="007A14A9">
      <w:pPr>
        <w:spacing w:before="0"/>
        <w:ind w:left="425" w:hanging="425"/>
        <w:outlineLvl w:val="7"/>
        <w:rPr>
          <w:strike/>
          <w:szCs w:val="24"/>
        </w:rPr>
      </w:pPr>
      <w:r w:rsidRPr="007A14A9">
        <w:rPr>
          <w:strike/>
          <w:szCs w:val="24"/>
        </w:rPr>
        <w:t xml:space="preserve">i) </w:t>
      </w:r>
      <w:r w:rsidR="005D3450">
        <w:rPr>
          <w:strike/>
          <w:szCs w:val="24"/>
        </w:rPr>
        <w:tab/>
      </w:r>
      <w:r w:rsidRPr="007A14A9">
        <w:rPr>
          <w:strike/>
          <w:szCs w:val="24"/>
        </w:rPr>
        <w:t xml:space="preserve">údaje o výsledném objemu závazků vztahující se k technikám, které obhospodařovatel používá k obhospodařování fondu, ke konci účetního období, s rozlišením, zda se jedná o </w:t>
      </w:r>
      <w:proofErr w:type="spellStart"/>
      <w:r w:rsidRPr="007A14A9">
        <w:rPr>
          <w:strike/>
          <w:szCs w:val="24"/>
        </w:rPr>
        <w:t>repo</w:t>
      </w:r>
      <w:proofErr w:type="spellEnd"/>
      <w:r w:rsidRPr="007A14A9">
        <w:rPr>
          <w:strike/>
          <w:szCs w:val="24"/>
        </w:rPr>
        <w:t xml:space="preserve"> obchody nebo deriváty,</w:t>
      </w:r>
    </w:p>
    <w:p w14:paraId="44D042A9" w14:textId="71A029DF" w:rsidR="007A14A9" w:rsidRPr="007A14A9" w:rsidRDefault="007A14A9" w:rsidP="007A14A9">
      <w:pPr>
        <w:spacing w:before="0"/>
        <w:ind w:left="425" w:hanging="425"/>
        <w:outlineLvl w:val="7"/>
        <w:rPr>
          <w:strike/>
          <w:szCs w:val="24"/>
        </w:rPr>
      </w:pPr>
      <w:r w:rsidRPr="007A14A9">
        <w:rPr>
          <w:strike/>
          <w:szCs w:val="24"/>
        </w:rPr>
        <w:t xml:space="preserve">j) </w:t>
      </w:r>
      <w:r w:rsidR="005D3450">
        <w:rPr>
          <w:strike/>
          <w:szCs w:val="24"/>
        </w:rPr>
        <w:tab/>
      </w:r>
      <w:r w:rsidRPr="007A14A9">
        <w:rPr>
          <w:strike/>
          <w:szCs w:val="24"/>
        </w:rPr>
        <w:t>údaje týkající se prosazování environmentálních nebo sociálních vlastností a udržitelných investic podle čl. 11 nařízení Evropského parlamentu a Rady (EU) 2019/2088</w:t>
      </w:r>
      <w:r w:rsidRPr="007A14A9">
        <w:rPr>
          <w:strike/>
          <w:szCs w:val="24"/>
          <w:vertAlign w:val="superscript"/>
        </w:rPr>
        <w:t xml:space="preserve"> </w:t>
      </w:r>
      <w:r w:rsidRPr="007A14A9">
        <w:rPr>
          <w:strike/>
          <w:szCs w:val="24"/>
        </w:rPr>
        <w:t>a údaje podle čl. 5 až 7 nařízení Evropského parlamentu a Rady (EU) 2020/852</w:t>
      </w:r>
      <w:r w:rsidRPr="007A14A9">
        <w:rPr>
          <w:strike/>
          <w:szCs w:val="24"/>
          <w:vertAlign w:val="superscript"/>
        </w:rPr>
        <w:t xml:space="preserve"> </w:t>
      </w:r>
      <w:r w:rsidRPr="007A14A9">
        <w:rPr>
          <w:strike/>
          <w:szCs w:val="24"/>
        </w:rPr>
        <w:t>a</w:t>
      </w:r>
    </w:p>
    <w:p w14:paraId="049A2A76" w14:textId="6A914308" w:rsidR="007A14A9" w:rsidRPr="007A14A9" w:rsidRDefault="007A14A9" w:rsidP="007A14A9">
      <w:pPr>
        <w:spacing w:before="0"/>
        <w:ind w:left="425" w:hanging="425"/>
        <w:outlineLvl w:val="7"/>
        <w:rPr>
          <w:strike/>
          <w:szCs w:val="24"/>
        </w:rPr>
      </w:pPr>
      <w:r w:rsidRPr="007A14A9">
        <w:rPr>
          <w:strike/>
          <w:szCs w:val="24"/>
        </w:rPr>
        <w:t>k)</w:t>
      </w:r>
      <w:r w:rsidR="005D3450">
        <w:rPr>
          <w:strike/>
          <w:szCs w:val="24"/>
        </w:rPr>
        <w:tab/>
      </w:r>
      <w:r w:rsidRPr="007A14A9">
        <w:rPr>
          <w:strike/>
          <w:szCs w:val="24"/>
        </w:rPr>
        <w:t>další podstatné údaje, které zajistí, aby výroční zpráva poskytla investorům věrný a poctivý obraz o finanční situaci, podnikatelské činnosti a o výsledcích hospodaření obhospodařovatele fondu ve vztahu k majetku fondu za uplynulé účetní období, včetně informací podle čl. 13 nařízení Evropského parlamentu a Rady (EU) 2015/2365.</w:t>
      </w:r>
    </w:p>
    <w:p w14:paraId="295B94E9" w14:textId="77777777" w:rsidR="007A14A9" w:rsidRPr="007A14A9" w:rsidRDefault="007A14A9" w:rsidP="007A14A9">
      <w:pPr>
        <w:tabs>
          <w:tab w:val="left" w:pos="782"/>
          <w:tab w:val="left" w:pos="851"/>
        </w:tabs>
        <w:spacing w:before="120" w:after="120"/>
        <w:outlineLvl w:val="6"/>
        <w:rPr>
          <w:b/>
          <w:szCs w:val="24"/>
        </w:rPr>
      </w:pPr>
      <w:r w:rsidRPr="007A14A9">
        <w:rPr>
          <w:b/>
          <w:szCs w:val="24"/>
        </w:rPr>
        <w:t>(1) Administrátor fondu kolektivního investování vyhotovuje výroční zprávu investičního fondu, která obsahuje</w:t>
      </w:r>
    </w:p>
    <w:p w14:paraId="396C7048" w14:textId="77777777" w:rsidR="007A14A9" w:rsidRPr="007A14A9" w:rsidRDefault="007A14A9" w:rsidP="007A14A9">
      <w:pPr>
        <w:spacing w:before="0"/>
        <w:ind w:left="425" w:hanging="425"/>
        <w:outlineLvl w:val="7"/>
        <w:rPr>
          <w:b/>
          <w:szCs w:val="24"/>
        </w:rPr>
      </w:pPr>
      <w:r w:rsidRPr="007A14A9">
        <w:rPr>
          <w:b/>
          <w:szCs w:val="24"/>
        </w:rPr>
        <w:t xml:space="preserve">a) </w:t>
      </w:r>
      <w:r w:rsidRPr="007A14A9">
        <w:rPr>
          <w:b/>
          <w:szCs w:val="24"/>
        </w:rPr>
        <w:tab/>
        <w:t>řádnou individuální účetní závěrku fondu ve znění, v jakém byla ověřena auditorem,</w:t>
      </w:r>
    </w:p>
    <w:p w14:paraId="101C587F" w14:textId="77777777" w:rsidR="007A14A9" w:rsidRPr="007A14A9" w:rsidRDefault="007A14A9" w:rsidP="007A14A9">
      <w:pPr>
        <w:spacing w:before="0"/>
        <w:ind w:left="425" w:hanging="425"/>
        <w:outlineLvl w:val="7"/>
        <w:rPr>
          <w:b/>
          <w:szCs w:val="24"/>
        </w:rPr>
      </w:pPr>
      <w:r w:rsidRPr="007A14A9">
        <w:rPr>
          <w:b/>
          <w:szCs w:val="24"/>
        </w:rPr>
        <w:t xml:space="preserve">b) </w:t>
      </w:r>
      <w:r w:rsidRPr="007A14A9">
        <w:rPr>
          <w:b/>
          <w:szCs w:val="24"/>
        </w:rPr>
        <w:tab/>
        <w:t xml:space="preserve">zprávu auditora o povinném auditu a </w:t>
      </w:r>
    </w:p>
    <w:p w14:paraId="2A7BA78D" w14:textId="77777777" w:rsidR="007A14A9" w:rsidRPr="007A14A9" w:rsidRDefault="007A14A9" w:rsidP="007A14A9">
      <w:pPr>
        <w:spacing w:before="0"/>
        <w:ind w:left="425" w:hanging="425"/>
        <w:outlineLvl w:val="7"/>
        <w:rPr>
          <w:b/>
          <w:szCs w:val="24"/>
        </w:rPr>
      </w:pPr>
      <w:r w:rsidRPr="007A14A9">
        <w:rPr>
          <w:b/>
          <w:szCs w:val="24"/>
        </w:rPr>
        <w:lastRenderedPageBreak/>
        <w:t xml:space="preserve">c) </w:t>
      </w:r>
      <w:r w:rsidRPr="007A14A9">
        <w:rPr>
          <w:b/>
          <w:szCs w:val="24"/>
        </w:rPr>
        <w:tab/>
        <w:t>zprávu o činnosti investičního fondu.</w:t>
      </w:r>
    </w:p>
    <w:p w14:paraId="64D79487" w14:textId="77777777" w:rsidR="007A14A9" w:rsidRPr="007A14A9" w:rsidRDefault="007A14A9" w:rsidP="007A14A9">
      <w:pPr>
        <w:tabs>
          <w:tab w:val="left" w:pos="782"/>
          <w:tab w:val="left" w:pos="851"/>
        </w:tabs>
        <w:spacing w:before="120" w:after="120"/>
        <w:outlineLvl w:val="6"/>
        <w:rPr>
          <w:b/>
          <w:szCs w:val="24"/>
        </w:rPr>
      </w:pPr>
      <w:r w:rsidRPr="007A14A9">
        <w:rPr>
          <w:b/>
          <w:szCs w:val="24"/>
        </w:rPr>
        <w:t>(2) Zpráva o činnosti investičního fondu obsahuje</w:t>
      </w:r>
    </w:p>
    <w:p w14:paraId="3D69E3BF" w14:textId="77777777" w:rsidR="007A14A9" w:rsidRPr="007A14A9" w:rsidRDefault="007A14A9" w:rsidP="007A14A9">
      <w:pPr>
        <w:spacing w:before="0"/>
        <w:ind w:left="425" w:hanging="425"/>
        <w:outlineLvl w:val="7"/>
        <w:rPr>
          <w:b/>
          <w:szCs w:val="24"/>
        </w:rPr>
      </w:pPr>
      <w:r w:rsidRPr="007A14A9">
        <w:rPr>
          <w:b/>
          <w:szCs w:val="24"/>
        </w:rPr>
        <w:t>a)</w:t>
      </w:r>
      <w:r w:rsidRPr="007A14A9">
        <w:rPr>
          <w:b/>
          <w:szCs w:val="24"/>
        </w:rPr>
        <w:tab/>
        <w:t>údaje o činnosti jeho obhospodařovatele ve vztahu k majetku fondu v účetním období,</w:t>
      </w:r>
    </w:p>
    <w:p w14:paraId="2252F506" w14:textId="77777777" w:rsidR="007A14A9" w:rsidRPr="007A14A9" w:rsidRDefault="007A14A9" w:rsidP="007A14A9">
      <w:pPr>
        <w:spacing w:before="0"/>
        <w:ind w:left="425" w:hanging="425"/>
        <w:outlineLvl w:val="7"/>
        <w:rPr>
          <w:b/>
          <w:szCs w:val="24"/>
        </w:rPr>
      </w:pPr>
      <w:r w:rsidRPr="007A14A9">
        <w:rPr>
          <w:b/>
          <w:szCs w:val="24"/>
        </w:rPr>
        <w:t>b)</w:t>
      </w:r>
      <w:r w:rsidRPr="007A14A9">
        <w:rPr>
          <w:b/>
          <w:szCs w:val="24"/>
        </w:rPr>
        <w:tab/>
        <w:t>údaje o celkovém počtu akcií nebo podílových listů vydaných fondem, které jsou v oběhu ke konci účetního období,</w:t>
      </w:r>
    </w:p>
    <w:p w14:paraId="638EAA77" w14:textId="77777777" w:rsidR="007A14A9" w:rsidRPr="007A14A9" w:rsidRDefault="007A14A9" w:rsidP="007A14A9">
      <w:pPr>
        <w:spacing w:before="0"/>
        <w:ind w:left="425" w:hanging="425"/>
        <w:outlineLvl w:val="7"/>
        <w:rPr>
          <w:b/>
          <w:szCs w:val="24"/>
        </w:rPr>
      </w:pPr>
      <w:r w:rsidRPr="007A14A9">
        <w:rPr>
          <w:b/>
          <w:szCs w:val="24"/>
        </w:rPr>
        <w:t>c)</w:t>
      </w:r>
      <w:r w:rsidRPr="007A14A9">
        <w:rPr>
          <w:b/>
          <w:szCs w:val="24"/>
        </w:rPr>
        <w:tab/>
        <w:t>údaje o celkovém počtu akcií nebo podílových listů fondu vydaných a odkoupených v účetním období,</w:t>
      </w:r>
    </w:p>
    <w:p w14:paraId="732E756A" w14:textId="77777777" w:rsidR="007A14A9" w:rsidRPr="007A14A9" w:rsidRDefault="007A14A9" w:rsidP="007A14A9">
      <w:pPr>
        <w:spacing w:before="0"/>
        <w:ind w:left="425" w:hanging="425"/>
        <w:outlineLvl w:val="7"/>
        <w:rPr>
          <w:b/>
          <w:szCs w:val="24"/>
        </w:rPr>
      </w:pPr>
      <w:r w:rsidRPr="007A14A9">
        <w:rPr>
          <w:b/>
          <w:szCs w:val="24"/>
        </w:rPr>
        <w:t>d)</w:t>
      </w:r>
      <w:r w:rsidRPr="007A14A9">
        <w:rPr>
          <w:b/>
          <w:szCs w:val="24"/>
        </w:rPr>
        <w:tab/>
        <w:t>údaje o fondovém kapitálu na jednu akcii tohoto fondu ke konci účetního období,</w:t>
      </w:r>
    </w:p>
    <w:p w14:paraId="585B49B5" w14:textId="77777777" w:rsidR="007A14A9" w:rsidRPr="007A14A9" w:rsidRDefault="007A14A9" w:rsidP="007A14A9">
      <w:pPr>
        <w:spacing w:before="0"/>
        <w:ind w:left="425" w:hanging="425"/>
        <w:outlineLvl w:val="7"/>
        <w:rPr>
          <w:b/>
          <w:szCs w:val="24"/>
        </w:rPr>
      </w:pPr>
      <w:r w:rsidRPr="007A14A9">
        <w:rPr>
          <w:b/>
          <w:szCs w:val="24"/>
        </w:rPr>
        <w:t>e)</w:t>
      </w:r>
      <w:r w:rsidRPr="007A14A9">
        <w:rPr>
          <w:b/>
          <w:szCs w:val="24"/>
        </w:rPr>
        <w:tab/>
        <w:t>údaje o skladbě a změnách skladby majetku tohoto fondu,</w:t>
      </w:r>
    </w:p>
    <w:p w14:paraId="41279BAA" w14:textId="77777777" w:rsidR="007A14A9" w:rsidRPr="007A14A9" w:rsidRDefault="007A14A9" w:rsidP="007A14A9">
      <w:pPr>
        <w:spacing w:before="0"/>
        <w:ind w:left="425" w:hanging="425"/>
        <w:outlineLvl w:val="7"/>
        <w:rPr>
          <w:b/>
          <w:szCs w:val="24"/>
        </w:rPr>
      </w:pPr>
      <w:r w:rsidRPr="007A14A9">
        <w:rPr>
          <w:b/>
          <w:szCs w:val="24"/>
        </w:rPr>
        <w:t>f)</w:t>
      </w:r>
      <w:r w:rsidRPr="007A14A9">
        <w:rPr>
          <w:b/>
          <w:szCs w:val="24"/>
        </w:rPr>
        <w:tab/>
        <w:t>údaje o vývoji aktiv fondu,</w:t>
      </w:r>
    </w:p>
    <w:p w14:paraId="278BACB7" w14:textId="77777777" w:rsidR="007A14A9" w:rsidRPr="007A14A9" w:rsidRDefault="007A14A9" w:rsidP="007A14A9">
      <w:pPr>
        <w:spacing w:before="0"/>
        <w:ind w:left="425" w:hanging="425"/>
        <w:outlineLvl w:val="7"/>
        <w:rPr>
          <w:b/>
          <w:szCs w:val="24"/>
        </w:rPr>
      </w:pPr>
      <w:r w:rsidRPr="007A14A9">
        <w:rPr>
          <w:b/>
          <w:szCs w:val="24"/>
        </w:rPr>
        <w:t>g)</w:t>
      </w:r>
      <w:r w:rsidRPr="007A14A9">
        <w:rPr>
          <w:b/>
          <w:szCs w:val="24"/>
        </w:rPr>
        <w:tab/>
        <w:t>srovnání celkového fondového kapitálu a fondového kapitálu na jednu akcii nebo podílový list za 3 uplynulá účetní období, přičemž srovnávané hodnoty se týkají vždy konce účetního období,</w:t>
      </w:r>
    </w:p>
    <w:p w14:paraId="346DA7CC" w14:textId="77777777" w:rsidR="007A14A9" w:rsidRPr="007A14A9" w:rsidRDefault="007A14A9" w:rsidP="007A14A9">
      <w:pPr>
        <w:spacing w:before="0"/>
        <w:ind w:left="425" w:hanging="425"/>
        <w:outlineLvl w:val="7"/>
        <w:rPr>
          <w:b/>
          <w:szCs w:val="24"/>
        </w:rPr>
      </w:pPr>
      <w:r w:rsidRPr="007A14A9">
        <w:rPr>
          <w:b/>
          <w:szCs w:val="24"/>
        </w:rPr>
        <w:t>h)</w:t>
      </w:r>
      <w:r w:rsidRPr="007A14A9">
        <w:rPr>
          <w:b/>
          <w:szCs w:val="24"/>
        </w:rPr>
        <w:tab/>
        <w:t>údaje o výsledném objemu závazků vztahující se k technikám, které obhospodařovatel používá k obhospodařování fondu, ke konci účetního období, s rozlišením, zda se jedná o </w:t>
      </w:r>
      <w:proofErr w:type="spellStart"/>
      <w:r w:rsidRPr="007A14A9">
        <w:rPr>
          <w:b/>
          <w:szCs w:val="24"/>
        </w:rPr>
        <w:t>repo</w:t>
      </w:r>
      <w:proofErr w:type="spellEnd"/>
      <w:r w:rsidRPr="007A14A9">
        <w:rPr>
          <w:b/>
          <w:szCs w:val="24"/>
        </w:rPr>
        <w:t xml:space="preserve"> obchody nebo deriváty,</w:t>
      </w:r>
    </w:p>
    <w:p w14:paraId="6DCB033D" w14:textId="77777777" w:rsidR="007A14A9" w:rsidRPr="007A14A9" w:rsidRDefault="007A14A9" w:rsidP="007A14A9">
      <w:pPr>
        <w:spacing w:before="0"/>
        <w:ind w:left="425" w:hanging="425"/>
        <w:outlineLvl w:val="7"/>
        <w:rPr>
          <w:b/>
          <w:szCs w:val="24"/>
        </w:rPr>
      </w:pPr>
      <w:r w:rsidRPr="007A14A9">
        <w:rPr>
          <w:b/>
          <w:szCs w:val="24"/>
        </w:rPr>
        <w:t>i)</w:t>
      </w:r>
      <w:r w:rsidRPr="007A14A9">
        <w:rPr>
          <w:b/>
          <w:szCs w:val="24"/>
        </w:rPr>
        <w:tab/>
        <w:t>údaje týkající se prosazování environmentálních nebo sociálních vlastností a udržitelných investic podle čl. 11 nařízení Evropského parlamentu a Rady (EU) č. 2019/2088 a údaje podle čl. 5 až 7 nařízení Evropského parlamentu a Rady (EU) 2020/852 a</w:t>
      </w:r>
    </w:p>
    <w:p w14:paraId="20483BF7" w14:textId="77777777" w:rsidR="007A14A9" w:rsidRPr="007A14A9" w:rsidRDefault="007A14A9" w:rsidP="007A14A9">
      <w:pPr>
        <w:spacing w:before="0"/>
        <w:ind w:left="425" w:hanging="425"/>
        <w:outlineLvl w:val="7"/>
        <w:rPr>
          <w:b/>
          <w:szCs w:val="24"/>
        </w:rPr>
      </w:pPr>
      <w:r w:rsidRPr="007A14A9">
        <w:rPr>
          <w:b/>
          <w:szCs w:val="24"/>
        </w:rPr>
        <w:t>j)</w:t>
      </w:r>
      <w:r w:rsidRPr="007A14A9">
        <w:rPr>
          <w:b/>
          <w:color w:val="FF0000"/>
          <w:szCs w:val="24"/>
        </w:rPr>
        <w:tab/>
      </w:r>
      <w:r w:rsidRPr="007A14A9">
        <w:rPr>
          <w:b/>
          <w:szCs w:val="24"/>
        </w:rPr>
        <w:t xml:space="preserve">další podstatné údaje, které zajistí, aby výroční zpráva investičního fondu poskytla investorům </w:t>
      </w:r>
      <w:r w:rsidRPr="007A14A9">
        <w:rPr>
          <w:rFonts w:eastAsia="MS Mincho"/>
          <w:b/>
          <w:szCs w:val="24"/>
        </w:rPr>
        <w:t>věrné a poctivé zobrazení finanční situace, finanční výkonnosti a podnikatelské činnosti</w:t>
      </w:r>
      <w:r w:rsidRPr="007A14A9">
        <w:rPr>
          <w:b/>
          <w:szCs w:val="24"/>
        </w:rPr>
        <w:t xml:space="preserve"> obhospodařovatele fondu ve vztahu k majetku fondu za uplynulé účetní období</w:t>
      </w:r>
      <w:r w:rsidRPr="007A14A9">
        <w:rPr>
          <w:rFonts w:eastAsia="MS Mincho"/>
          <w:b/>
          <w:szCs w:val="22"/>
        </w:rPr>
        <w:t xml:space="preserve">, </w:t>
      </w:r>
      <w:r w:rsidRPr="007A14A9">
        <w:rPr>
          <w:b/>
          <w:szCs w:val="24"/>
        </w:rPr>
        <w:t>včetně informací podle čl. 13 nařízení Evropského parlamentu a Rady (EU) 2015/2365.</w:t>
      </w:r>
    </w:p>
    <w:p w14:paraId="0E312F80" w14:textId="77777777" w:rsidR="007A14A9" w:rsidRPr="007A14A9" w:rsidRDefault="007A14A9" w:rsidP="007A14A9">
      <w:pPr>
        <w:tabs>
          <w:tab w:val="left" w:pos="782"/>
          <w:tab w:val="left" w:pos="851"/>
        </w:tabs>
        <w:spacing w:before="120" w:after="120"/>
        <w:outlineLvl w:val="6"/>
        <w:rPr>
          <w:rFonts w:eastAsia="MS Mincho"/>
          <w:szCs w:val="24"/>
        </w:rPr>
      </w:pPr>
      <w:proofErr w:type="gramStart"/>
      <w:r w:rsidRPr="007A14A9">
        <w:rPr>
          <w:rFonts w:eastAsia="MS Mincho"/>
          <w:strike/>
          <w:szCs w:val="24"/>
        </w:rPr>
        <w:t>(2)</w:t>
      </w:r>
      <w:r w:rsidRPr="007A14A9">
        <w:rPr>
          <w:rFonts w:eastAsia="MS Mincho"/>
          <w:b/>
          <w:szCs w:val="24"/>
        </w:rPr>
        <w:t xml:space="preserve">(3) </w:t>
      </w:r>
      <w:r w:rsidRPr="007A14A9">
        <w:rPr>
          <w:rFonts w:eastAsia="MS Mincho"/>
          <w:strike/>
          <w:szCs w:val="24"/>
        </w:rPr>
        <w:t>Výroční</w:t>
      </w:r>
      <w:proofErr w:type="gramEnd"/>
      <w:r w:rsidRPr="007A14A9">
        <w:rPr>
          <w:rFonts w:eastAsia="MS Mincho"/>
          <w:strike/>
          <w:szCs w:val="24"/>
        </w:rPr>
        <w:t xml:space="preserve"> zpráva</w:t>
      </w:r>
      <w:r w:rsidRPr="007A14A9">
        <w:rPr>
          <w:rFonts w:eastAsia="MS Mincho"/>
          <w:szCs w:val="24"/>
        </w:rPr>
        <w:t xml:space="preserve"> </w:t>
      </w:r>
      <w:proofErr w:type="spellStart"/>
      <w:r w:rsidRPr="007A14A9">
        <w:rPr>
          <w:rFonts w:eastAsia="MS Mincho"/>
          <w:b/>
          <w:szCs w:val="24"/>
        </w:rPr>
        <w:t>Zpráva</w:t>
      </w:r>
      <w:proofErr w:type="spellEnd"/>
      <w:r w:rsidRPr="007A14A9">
        <w:rPr>
          <w:rFonts w:eastAsia="MS Mincho"/>
          <w:b/>
          <w:szCs w:val="24"/>
        </w:rPr>
        <w:t xml:space="preserve"> o činnosti</w:t>
      </w:r>
      <w:r w:rsidRPr="007A14A9">
        <w:rPr>
          <w:rFonts w:eastAsia="MS Mincho"/>
          <w:szCs w:val="24"/>
        </w:rPr>
        <w:t xml:space="preserve"> speciálního fondu dále obsahuje </w:t>
      </w:r>
    </w:p>
    <w:p w14:paraId="0FF800E5"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a)</w:t>
      </w:r>
      <w:r w:rsidRPr="007A14A9">
        <w:rPr>
          <w:rFonts w:eastAsia="MS Mincho"/>
          <w:szCs w:val="24"/>
        </w:rPr>
        <w:tab/>
        <w:t xml:space="preserve">údaje o podstatných změnách údajů uvedených ve statutu investičního fondu, ke kterým došlo v průběhu účetního období, </w:t>
      </w:r>
    </w:p>
    <w:p w14:paraId="3846F7EE"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b)</w:t>
      </w:r>
      <w:r w:rsidRPr="007A14A9">
        <w:rPr>
          <w:rFonts w:eastAsia="MS Mincho"/>
          <w:szCs w:val="24"/>
        </w:rPr>
        <w:tab/>
        <w:t xml:space="preserve">údaje o mzdách, úplatách a obdobných příjmech pracovníků a vedoucích osob, které mohou být považovány za odměny, vyplácených obhospodařovatelem investičního fondu jeho pracovníkům nebo vedoucím osobám v účetním období, členěných na pevnou a pohyblivou složku, údaje o počtu pracovníků a vedoucích osob obhospodařovatele tohoto fondu a údaje o případných odměnách za zhodnocení kapitálu, které investiční fond nebo jeho obhospodařovatel vyplatil, </w:t>
      </w:r>
    </w:p>
    <w:p w14:paraId="15A23BC8"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c)</w:t>
      </w:r>
      <w:r w:rsidRPr="007A14A9">
        <w:rPr>
          <w:rFonts w:eastAsia="MS Mincho"/>
          <w:szCs w:val="24"/>
        </w:rPr>
        <w:tab/>
        <w:t xml:space="preserve">údaje o mzdách, úplatách a obdobných příjmech pracovníků nebo vedoucích osob, které mohou být považovány za odměny, vyplacených obhospodařovatelem investičního fondu těm z jeho pracovníků nebo vedoucích osob, jejichž činnost má podstatný vliv na rizikový profil tohoto fondu, a </w:t>
      </w:r>
    </w:p>
    <w:p w14:paraId="0BDC24BA"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d)</w:t>
      </w:r>
      <w:r w:rsidRPr="007A14A9">
        <w:rPr>
          <w:rFonts w:eastAsia="MS Mincho"/>
          <w:szCs w:val="24"/>
        </w:rPr>
        <w:tab/>
        <w:t xml:space="preserve">údaje uvedené v </w:t>
      </w:r>
      <w:hyperlink r:id="rId338" w:history="1">
        <w:r w:rsidRPr="007A14A9">
          <w:rPr>
            <w:rFonts w:eastAsia="MS Mincho"/>
            <w:szCs w:val="24"/>
          </w:rPr>
          <w:t>§ 34 odst. 2</w:t>
        </w:r>
      </w:hyperlink>
      <w:r w:rsidRPr="007A14A9">
        <w:rPr>
          <w:rFonts w:eastAsia="MS Mincho"/>
          <w:szCs w:val="24"/>
        </w:rPr>
        <w:t xml:space="preserve">, neplní-li obhospodařovatel uvedený v </w:t>
      </w:r>
      <w:hyperlink r:id="rId339" w:history="1">
        <w:r w:rsidRPr="007A14A9">
          <w:rPr>
            <w:rFonts w:eastAsia="MS Mincho"/>
            <w:szCs w:val="24"/>
          </w:rPr>
          <w:t>§ 34 odst. 1</w:t>
        </w:r>
      </w:hyperlink>
      <w:r w:rsidRPr="007A14A9">
        <w:rPr>
          <w:rFonts w:eastAsia="MS Mincho"/>
          <w:szCs w:val="24"/>
        </w:rPr>
        <w:t xml:space="preserve"> povinnosti stanovené v </w:t>
      </w:r>
      <w:hyperlink r:id="rId340" w:history="1">
        <w:r w:rsidRPr="007A14A9">
          <w:rPr>
            <w:rFonts w:eastAsia="MS Mincho"/>
            <w:szCs w:val="24"/>
          </w:rPr>
          <w:t>§ 34 odst. 2</w:t>
        </w:r>
      </w:hyperlink>
      <w:r w:rsidRPr="007A14A9">
        <w:rPr>
          <w:rFonts w:eastAsia="MS Mincho"/>
          <w:szCs w:val="24"/>
        </w:rPr>
        <w:t xml:space="preserve"> nebo </w:t>
      </w:r>
      <w:hyperlink r:id="rId341" w:history="1">
        <w:r w:rsidRPr="007A14A9">
          <w:rPr>
            <w:rFonts w:eastAsia="MS Mincho"/>
            <w:szCs w:val="24"/>
          </w:rPr>
          <w:t>§ 36 odst. 3</w:t>
        </w:r>
      </w:hyperlink>
      <w:r w:rsidRPr="007A14A9">
        <w:rPr>
          <w:rFonts w:eastAsia="MS Mincho"/>
          <w:szCs w:val="24"/>
        </w:rPr>
        <w:t xml:space="preserve">; tyto údaje </w:t>
      </w:r>
      <w:r w:rsidRPr="007A14A9">
        <w:rPr>
          <w:rFonts w:eastAsia="MS Mincho"/>
          <w:strike/>
          <w:szCs w:val="24"/>
        </w:rPr>
        <w:t>obhospodařovatel speciálního fondu zahrne do výroční zprávy jím obhospodařovaného speciálního fondu</w:t>
      </w:r>
      <w:r w:rsidRPr="007A14A9">
        <w:rPr>
          <w:rFonts w:eastAsia="MS Mincho"/>
          <w:szCs w:val="24"/>
        </w:rPr>
        <w:t xml:space="preserve"> </w:t>
      </w:r>
      <w:r w:rsidRPr="007A14A9">
        <w:rPr>
          <w:rFonts w:eastAsia="MS Mincho"/>
          <w:b/>
          <w:szCs w:val="24"/>
        </w:rPr>
        <w:t xml:space="preserve">se zahrnou do zprávy o </w:t>
      </w:r>
      <w:proofErr w:type="gramStart"/>
      <w:r w:rsidRPr="007A14A9">
        <w:rPr>
          <w:rFonts w:eastAsia="MS Mincho"/>
          <w:b/>
          <w:szCs w:val="24"/>
        </w:rPr>
        <w:t>činnosti  speciálního</w:t>
      </w:r>
      <w:proofErr w:type="gramEnd"/>
      <w:r w:rsidRPr="007A14A9">
        <w:rPr>
          <w:rFonts w:eastAsia="MS Mincho"/>
          <w:b/>
          <w:szCs w:val="24"/>
        </w:rPr>
        <w:t xml:space="preserve"> fondu</w:t>
      </w:r>
      <w:r w:rsidRPr="007A14A9">
        <w:rPr>
          <w:rFonts w:eastAsia="MS Mincho"/>
          <w:szCs w:val="24"/>
        </w:rPr>
        <w:t xml:space="preserve">, k jehož majetku se vztahuje podíl na hlasovacích právech. </w:t>
      </w:r>
    </w:p>
    <w:p w14:paraId="1779A879" w14:textId="77777777" w:rsidR="007A14A9" w:rsidRPr="007A14A9" w:rsidRDefault="007A14A9" w:rsidP="007A14A9">
      <w:pPr>
        <w:tabs>
          <w:tab w:val="left" w:pos="782"/>
          <w:tab w:val="left" w:pos="851"/>
        </w:tabs>
        <w:spacing w:before="120" w:after="120"/>
        <w:outlineLvl w:val="6"/>
        <w:rPr>
          <w:rFonts w:eastAsia="MS Mincho"/>
          <w:szCs w:val="24"/>
        </w:rPr>
      </w:pPr>
      <w:proofErr w:type="gramStart"/>
      <w:r w:rsidRPr="007A14A9">
        <w:rPr>
          <w:rFonts w:eastAsia="MS Mincho"/>
          <w:strike/>
          <w:szCs w:val="24"/>
        </w:rPr>
        <w:t>(3)</w:t>
      </w:r>
      <w:r w:rsidRPr="007A14A9">
        <w:rPr>
          <w:rFonts w:eastAsia="MS Mincho"/>
          <w:b/>
          <w:szCs w:val="24"/>
        </w:rPr>
        <w:t>(4)</w:t>
      </w:r>
      <w:r w:rsidRPr="007A14A9">
        <w:rPr>
          <w:rFonts w:eastAsia="MS Mincho"/>
          <w:szCs w:val="24"/>
        </w:rPr>
        <w:t xml:space="preserve"> </w:t>
      </w:r>
      <w:r w:rsidRPr="007A14A9">
        <w:rPr>
          <w:rFonts w:eastAsia="MS Mincho"/>
          <w:strike/>
          <w:szCs w:val="24"/>
        </w:rPr>
        <w:t>Výroční</w:t>
      </w:r>
      <w:proofErr w:type="gramEnd"/>
      <w:r w:rsidRPr="007A14A9">
        <w:rPr>
          <w:rFonts w:eastAsia="MS Mincho"/>
          <w:strike/>
          <w:szCs w:val="24"/>
        </w:rPr>
        <w:t xml:space="preserve"> zpráva</w:t>
      </w:r>
      <w:r w:rsidRPr="007A14A9">
        <w:rPr>
          <w:rFonts w:eastAsia="MS Mincho"/>
          <w:szCs w:val="24"/>
        </w:rPr>
        <w:t xml:space="preserve"> </w:t>
      </w:r>
      <w:proofErr w:type="spellStart"/>
      <w:r w:rsidRPr="007A14A9">
        <w:rPr>
          <w:rFonts w:eastAsia="MS Mincho"/>
          <w:b/>
          <w:szCs w:val="24"/>
        </w:rPr>
        <w:t>Zpráva</w:t>
      </w:r>
      <w:proofErr w:type="spellEnd"/>
      <w:r w:rsidRPr="007A14A9">
        <w:rPr>
          <w:rFonts w:eastAsia="MS Mincho"/>
          <w:b/>
          <w:szCs w:val="24"/>
        </w:rPr>
        <w:t xml:space="preserve"> o činnosti </w:t>
      </w:r>
      <w:r w:rsidRPr="007A14A9">
        <w:rPr>
          <w:rFonts w:eastAsia="MS Mincho"/>
          <w:szCs w:val="24"/>
        </w:rPr>
        <w:t>speciálního fondu,</w:t>
      </w:r>
      <w:r w:rsidRPr="007A14A9">
        <w:rPr>
          <w:rFonts w:eastAsia="MS Mincho"/>
          <w:b/>
          <w:szCs w:val="24"/>
        </w:rPr>
        <w:t xml:space="preserve"> </w:t>
      </w:r>
      <w:r w:rsidRPr="007A14A9">
        <w:rPr>
          <w:rFonts w:eastAsia="MS Mincho"/>
          <w:szCs w:val="24"/>
        </w:rPr>
        <w:t xml:space="preserve">který investuje do nemovitostí nebo účastí v nemovitostní společnosti, dále obsahuje </w:t>
      </w:r>
    </w:p>
    <w:p w14:paraId="3140E693"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lastRenderedPageBreak/>
        <w:t xml:space="preserve">a) </w:t>
      </w:r>
      <w:r w:rsidRPr="007A14A9">
        <w:rPr>
          <w:rFonts w:eastAsia="MS Mincho"/>
          <w:szCs w:val="24"/>
        </w:rPr>
        <w:tab/>
        <w:t xml:space="preserve">údaje o nemovitosti uvedené v </w:t>
      </w:r>
      <w:hyperlink r:id="rId342" w:history="1">
        <w:r w:rsidRPr="007A14A9">
          <w:rPr>
            <w:rFonts w:eastAsia="MS Mincho"/>
            <w:szCs w:val="24"/>
          </w:rPr>
          <w:t>§ 267 odst. 2 písm. a) a c) až g)</w:t>
        </w:r>
      </w:hyperlink>
      <w:r w:rsidRPr="007A14A9">
        <w:rPr>
          <w:rFonts w:eastAsia="MS Mincho"/>
          <w:szCs w:val="24"/>
        </w:rPr>
        <w:t xml:space="preserve"> u každé nemovitosti v majetku fondu, </w:t>
      </w:r>
    </w:p>
    <w:p w14:paraId="21DA6D38"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b) </w:t>
      </w:r>
      <w:r w:rsidRPr="007A14A9">
        <w:rPr>
          <w:rFonts w:eastAsia="MS Mincho"/>
          <w:szCs w:val="24"/>
        </w:rPr>
        <w:tab/>
        <w:t xml:space="preserve">účel, pro který byla nemovitost nabyta do majetku fondu, a došlo-li ke změně účelu, důvod této změny a dopady této změny na fond, </w:t>
      </w:r>
    </w:p>
    <w:p w14:paraId="539CD2B0"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c) </w:t>
      </w:r>
      <w:r w:rsidRPr="007A14A9">
        <w:rPr>
          <w:rFonts w:eastAsia="MS Mincho"/>
          <w:szCs w:val="24"/>
        </w:rPr>
        <w:tab/>
        <w:t xml:space="preserve">údaje nutné k identifikaci osoby, která nemovitost spravuje, </w:t>
      </w:r>
    </w:p>
    <w:p w14:paraId="424B7F81"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d) </w:t>
      </w:r>
      <w:r w:rsidRPr="007A14A9">
        <w:rPr>
          <w:rFonts w:eastAsia="MS Mincho"/>
          <w:szCs w:val="24"/>
        </w:rPr>
        <w:tab/>
        <w:t xml:space="preserve">den, ke kterému byl vyhotoven posudek znalce nebo člena výboru odborníků podle </w:t>
      </w:r>
      <w:hyperlink r:id="rId343" w:history="1">
        <w:r w:rsidRPr="007A14A9">
          <w:rPr>
            <w:rFonts w:eastAsia="MS Mincho"/>
            <w:szCs w:val="24"/>
          </w:rPr>
          <w:t>§ 266</w:t>
        </w:r>
      </w:hyperlink>
      <w:r w:rsidRPr="007A14A9">
        <w:rPr>
          <w:rFonts w:eastAsia="MS Mincho"/>
          <w:szCs w:val="24"/>
        </w:rPr>
        <w:t xml:space="preserve">, </w:t>
      </w:r>
    </w:p>
    <w:p w14:paraId="65676256"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e) </w:t>
      </w:r>
      <w:r w:rsidRPr="007A14A9">
        <w:rPr>
          <w:rFonts w:eastAsia="MS Mincho"/>
          <w:szCs w:val="24"/>
        </w:rPr>
        <w:tab/>
        <w:t xml:space="preserve">údaje nutné k identifikaci znalce a člena výboru odborníků, který ocenil nemovitost podle </w:t>
      </w:r>
      <w:hyperlink r:id="rId344" w:history="1">
        <w:r w:rsidRPr="007A14A9">
          <w:rPr>
            <w:rFonts w:eastAsia="MS Mincho"/>
            <w:szCs w:val="24"/>
          </w:rPr>
          <w:t>§ 266</w:t>
        </w:r>
      </w:hyperlink>
      <w:r w:rsidRPr="007A14A9">
        <w:rPr>
          <w:rFonts w:eastAsia="MS Mincho"/>
          <w:szCs w:val="24"/>
        </w:rPr>
        <w:t xml:space="preserve">, </w:t>
      </w:r>
    </w:p>
    <w:p w14:paraId="4A345B5A"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f) </w:t>
      </w:r>
      <w:r w:rsidRPr="007A14A9">
        <w:rPr>
          <w:rFonts w:eastAsia="MS Mincho"/>
          <w:szCs w:val="24"/>
        </w:rPr>
        <w:tab/>
        <w:t xml:space="preserve">způsob ocenění nemovitosti, </w:t>
      </w:r>
    </w:p>
    <w:p w14:paraId="55A16AEE"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g) </w:t>
      </w:r>
      <w:r w:rsidRPr="007A14A9">
        <w:rPr>
          <w:rFonts w:eastAsia="MS Mincho"/>
          <w:szCs w:val="24"/>
        </w:rPr>
        <w:tab/>
        <w:t xml:space="preserve">popis kritérií, na základě kterých byla cena nemovitosti určena, byla-li nemovitost oceněna způsobem porovnávacím, </w:t>
      </w:r>
    </w:p>
    <w:p w14:paraId="2C900122"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h) </w:t>
      </w:r>
      <w:r w:rsidRPr="007A14A9">
        <w:rPr>
          <w:rFonts w:eastAsia="MS Mincho"/>
          <w:szCs w:val="24"/>
        </w:rPr>
        <w:tab/>
        <w:t xml:space="preserve">údaje nutné k identifikaci nemovitostní společnosti, ve které má fond účast, </w:t>
      </w:r>
    </w:p>
    <w:p w14:paraId="2B883292"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i) </w:t>
      </w:r>
      <w:r w:rsidRPr="007A14A9">
        <w:rPr>
          <w:rFonts w:eastAsia="MS Mincho"/>
          <w:szCs w:val="24"/>
        </w:rPr>
        <w:tab/>
        <w:t xml:space="preserve">počet nemovitostí v majetku nemovitostní společnosti, ve které má fond účast, </w:t>
      </w:r>
    </w:p>
    <w:p w14:paraId="2308CDE1"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j) </w:t>
      </w:r>
      <w:r w:rsidRPr="007A14A9">
        <w:rPr>
          <w:rFonts w:eastAsia="MS Mincho"/>
          <w:szCs w:val="24"/>
        </w:rPr>
        <w:tab/>
        <w:t xml:space="preserve">údaje nutné k identifikaci nemovitostí v majetku nemovitostní společnosti, ve které má fond účast, a to v rozsahu údajů uvedených v písmenech a) až e), </w:t>
      </w:r>
    </w:p>
    <w:p w14:paraId="23CEE51D"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k) </w:t>
      </w:r>
      <w:r w:rsidRPr="007A14A9">
        <w:rPr>
          <w:rFonts w:eastAsia="MS Mincho"/>
          <w:szCs w:val="24"/>
        </w:rPr>
        <w:tab/>
        <w:t xml:space="preserve">základní informace o členech výboru odborníků, </w:t>
      </w:r>
    </w:p>
    <w:p w14:paraId="53386219"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l) </w:t>
      </w:r>
      <w:r w:rsidRPr="007A14A9">
        <w:rPr>
          <w:rFonts w:eastAsia="MS Mincho"/>
          <w:szCs w:val="24"/>
        </w:rPr>
        <w:tab/>
        <w:t xml:space="preserve">údaje o podstatné změně v předpokládaném vývoji peněžních toků spojených s držením nemovitostí nebo s účastmi v nemovitostních společnostech, </w:t>
      </w:r>
    </w:p>
    <w:p w14:paraId="35184DBF"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m) </w:t>
      </w:r>
      <w:r w:rsidRPr="007A14A9">
        <w:rPr>
          <w:rFonts w:eastAsia="MS Mincho"/>
          <w:szCs w:val="24"/>
        </w:rPr>
        <w:tab/>
        <w:t xml:space="preserve">údaje o zamýšleném prodeji nemovitosti nebo účasti v nemovitostní společnosti v době do 2 let ode dne nabytí vlastnického práva k nemovitosti nebo před uplynutím předpokládané doby investice, </w:t>
      </w:r>
    </w:p>
    <w:p w14:paraId="006B6B1D"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n) </w:t>
      </w:r>
      <w:r w:rsidRPr="007A14A9">
        <w:rPr>
          <w:rFonts w:eastAsia="MS Mincho"/>
          <w:szCs w:val="24"/>
        </w:rPr>
        <w:tab/>
        <w:t xml:space="preserve">údaje o záměru změnit investiční strategii, </w:t>
      </w:r>
    </w:p>
    <w:p w14:paraId="33F8D907"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o) </w:t>
      </w:r>
      <w:r w:rsidRPr="007A14A9">
        <w:rPr>
          <w:rFonts w:eastAsia="MS Mincho"/>
          <w:szCs w:val="24"/>
        </w:rPr>
        <w:tab/>
        <w:t xml:space="preserve">popis důvodů nedodržení investičních limitů, došli-li k němu v rozhodném účetním období, a </w:t>
      </w:r>
    </w:p>
    <w:p w14:paraId="6CAAC2CC" w14:textId="77777777" w:rsidR="007A14A9" w:rsidRPr="007A14A9" w:rsidRDefault="007A14A9" w:rsidP="007A14A9">
      <w:pPr>
        <w:spacing w:before="0"/>
        <w:ind w:left="425" w:hanging="425"/>
        <w:outlineLvl w:val="7"/>
        <w:rPr>
          <w:rFonts w:eastAsia="MS Mincho"/>
          <w:strike/>
          <w:szCs w:val="24"/>
        </w:rPr>
      </w:pPr>
      <w:r w:rsidRPr="007A14A9">
        <w:rPr>
          <w:rFonts w:eastAsia="MS Mincho"/>
          <w:strike/>
          <w:szCs w:val="24"/>
        </w:rPr>
        <w:t xml:space="preserve">p) </w:t>
      </w:r>
      <w:r w:rsidRPr="007A14A9">
        <w:rPr>
          <w:rFonts w:eastAsia="MS Mincho"/>
          <w:strike/>
          <w:szCs w:val="24"/>
        </w:rPr>
        <w:tab/>
        <w:t>další podstatné informace týkající se nemovitostí nebo nemovitostí společnosti, které zajistí, aby výroční zpráva</w:t>
      </w:r>
      <w:r w:rsidRPr="007A14A9">
        <w:rPr>
          <w:rFonts w:eastAsia="MS Mincho"/>
          <w:b/>
          <w:strike/>
          <w:szCs w:val="24"/>
        </w:rPr>
        <w:t xml:space="preserve"> </w:t>
      </w:r>
      <w:r w:rsidRPr="007A14A9">
        <w:rPr>
          <w:rFonts w:eastAsia="MS Mincho"/>
          <w:strike/>
          <w:szCs w:val="24"/>
        </w:rPr>
        <w:t>poskytla investorům věrný a poctivý obraz o finanční situaci, podnikatelské činnosti a o výsledcích hospodaření obhospodařovatele fondu ve vztahu k majetku fondu za uplynulé účetní období.</w:t>
      </w:r>
    </w:p>
    <w:p w14:paraId="6E000EF8"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 </w:t>
      </w:r>
      <w:r w:rsidRPr="007A14A9">
        <w:rPr>
          <w:rFonts w:eastAsia="MS Mincho"/>
          <w:b/>
          <w:szCs w:val="24"/>
        </w:rPr>
        <w:t>p)</w:t>
      </w:r>
      <w:r w:rsidRPr="007A14A9">
        <w:rPr>
          <w:rFonts w:eastAsia="MS Mincho"/>
          <w:szCs w:val="24"/>
        </w:rPr>
        <w:t xml:space="preserve"> </w:t>
      </w:r>
      <w:r w:rsidRPr="007A14A9">
        <w:rPr>
          <w:rFonts w:eastAsia="MS Mincho"/>
          <w:szCs w:val="24"/>
        </w:rPr>
        <w:tab/>
      </w:r>
      <w:r w:rsidRPr="007A14A9">
        <w:rPr>
          <w:rFonts w:eastAsia="MS Mincho"/>
          <w:b/>
          <w:szCs w:val="24"/>
        </w:rPr>
        <w:t>další podstatné informace týkající se nemovitostí nebo nemovitostí společnosti, které zajistí, aby výroční zpráva investičního fondu poskytla investorům věrné a poctivé zobrazení finanční situace, finanční výkonnosti a podnikatelské činnosti obhospodařovatele fondu ve vztahu k majetku fondu za uplynulé individuální účetní období.</w:t>
      </w:r>
    </w:p>
    <w:p w14:paraId="134B3642"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trike/>
          <w:szCs w:val="24"/>
        </w:rPr>
        <w:t>(4)</w:t>
      </w:r>
      <w:r w:rsidRPr="007A14A9">
        <w:rPr>
          <w:rFonts w:eastAsia="MS Mincho"/>
          <w:b/>
          <w:szCs w:val="24"/>
        </w:rPr>
        <w:t>(5)</w:t>
      </w:r>
      <w:r w:rsidRPr="007A14A9">
        <w:rPr>
          <w:rFonts w:eastAsia="MS Mincho"/>
          <w:szCs w:val="24"/>
        </w:rPr>
        <w:t xml:space="preserve"> </w:t>
      </w:r>
      <w:r w:rsidRPr="007A14A9">
        <w:rPr>
          <w:rFonts w:eastAsia="MS Mincho"/>
          <w:strike/>
          <w:szCs w:val="24"/>
        </w:rPr>
        <w:t xml:space="preserve">Výroční </w:t>
      </w:r>
      <w:proofErr w:type="gramStart"/>
      <w:r w:rsidRPr="007A14A9">
        <w:rPr>
          <w:rFonts w:eastAsia="MS Mincho"/>
          <w:strike/>
          <w:szCs w:val="24"/>
        </w:rPr>
        <w:t>zpráva</w:t>
      </w:r>
      <w:r w:rsidRPr="007A14A9">
        <w:rPr>
          <w:rFonts w:eastAsia="MS Mincho"/>
          <w:szCs w:val="24"/>
        </w:rPr>
        <w:t xml:space="preserve"> </w:t>
      </w:r>
      <w:r w:rsidRPr="007A14A9">
        <w:rPr>
          <w:rFonts w:eastAsia="MS Mincho"/>
          <w:b/>
          <w:szCs w:val="24"/>
        </w:rPr>
        <w:t xml:space="preserve"> </w:t>
      </w:r>
      <w:proofErr w:type="spellStart"/>
      <w:r w:rsidRPr="007A14A9">
        <w:rPr>
          <w:rFonts w:eastAsia="MS Mincho"/>
          <w:b/>
          <w:szCs w:val="24"/>
        </w:rPr>
        <w:t>Zpráva</w:t>
      </w:r>
      <w:proofErr w:type="spellEnd"/>
      <w:proofErr w:type="gramEnd"/>
      <w:r w:rsidRPr="007A14A9">
        <w:rPr>
          <w:rFonts w:eastAsia="MS Mincho"/>
          <w:b/>
          <w:szCs w:val="24"/>
        </w:rPr>
        <w:t xml:space="preserve"> o činnosti </w:t>
      </w:r>
      <w:r w:rsidRPr="007A14A9">
        <w:rPr>
          <w:rFonts w:eastAsia="MS Mincho"/>
          <w:szCs w:val="24"/>
        </w:rPr>
        <w:t>podřízeného fondu</w:t>
      </w:r>
      <w:r w:rsidRPr="007A14A9">
        <w:rPr>
          <w:rFonts w:eastAsia="MS Mincho"/>
          <w:b/>
          <w:color w:val="FF0000"/>
          <w:szCs w:val="24"/>
        </w:rPr>
        <w:t xml:space="preserve"> </w:t>
      </w:r>
      <w:r w:rsidRPr="007A14A9">
        <w:rPr>
          <w:rFonts w:eastAsia="MS Mincho"/>
          <w:szCs w:val="24"/>
        </w:rPr>
        <w:t xml:space="preserve">dále obsahuje </w:t>
      </w:r>
    </w:p>
    <w:p w14:paraId="476D46B0"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a)</w:t>
      </w:r>
      <w:r w:rsidRPr="007A14A9">
        <w:rPr>
          <w:rFonts w:eastAsia="MS Mincho"/>
          <w:szCs w:val="24"/>
        </w:rPr>
        <w:tab/>
        <w:t xml:space="preserve">údaj o tom, jakým způsobem může investor získat výroční zprávu řídícího fondu tohoto fondu, a </w:t>
      </w:r>
    </w:p>
    <w:p w14:paraId="463D9711"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b)</w:t>
      </w:r>
      <w:r w:rsidRPr="007A14A9">
        <w:rPr>
          <w:rFonts w:eastAsia="MS Mincho"/>
          <w:szCs w:val="24"/>
        </w:rPr>
        <w:tab/>
        <w:t xml:space="preserve">údaj o tom, jaké srážky, přirážky nebo poplatky budou v souvislosti s investováním podřízeného fondu hrazeny z jeho majetku a zda k nim je uplatňovaná sleva nebo vratka. </w:t>
      </w:r>
    </w:p>
    <w:p w14:paraId="43D94BCE" w14:textId="77777777" w:rsidR="007A14A9" w:rsidRPr="007A14A9" w:rsidRDefault="007A14A9" w:rsidP="007A14A9">
      <w:pPr>
        <w:tabs>
          <w:tab w:val="left" w:pos="782"/>
          <w:tab w:val="left" w:pos="851"/>
        </w:tabs>
        <w:spacing w:before="120" w:after="120"/>
        <w:outlineLvl w:val="6"/>
        <w:rPr>
          <w:rFonts w:eastAsia="MS Mincho"/>
          <w:szCs w:val="24"/>
        </w:rPr>
      </w:pPr>
      <w:proofErr w:type="gramStart"/>
      <w:r w:rsidRPr="007A14A9">
        <w:rPr>
          <w:rFonts w:eastAsia="MS Mincho"/>
          <w:strike/>
          <w:szCs w:val="24"/>
        </w:rPr>
        <w:t>(5)</w:t>
      </w:r>
      <w:r w:rsidRPr="007A14A9">
        <w:rPr>
          <w:rFonts w:eastAsia="MS Mincho"/>
          <w:b/>
          <w:szCs w:val="24"/>
        </w:rPr>
        <w:t>(6)</w:t>
      </w:r>
      <w:r w:rsidRPr="007A14A9">
        <w:rPr>
          <w:rFonts w:eastAsia="MS Mincho"/>
          <w:szCs w:val="24"/>
        </w:rPr>
        <w:t xml:space="preserve"> </w:t>
      </w:r>
      <w:r w:rsidRPr="007A14A9">
        <w:rPr>
          <w:rFonts w:eastAsia="MS Mincho"/>
          <w:strike/>
          <w:szCs w:val="24"/>
        </w:rPr>
        <w:t>Výroční</w:t>
      </w:r>
      <w:proofErr w:type="gramEnd"/>
      <w:r w:rsidRPr="007A14A9">
        <w:rPr>
          <w:rFonts w:eastAsia="MS Mincho"/>
          <w:strike/>
          <w:szCs w:val="24"/>
        </w:rPr>
        <w:t xml:space="preserve"> zpráva</w:t>
      </w:r>
      <w:r w:rsidRPr="007A14A9">
        <w:rPr>
          <w:rFonts w:eastAsia="MS Mincho"/>
          <w:szCs w:val="24"/>
        </w:rPr>
        <w:t xml:space="preserve"> </w:t>
      </w:r>
      <w:proofErr w:type="spellStart"/>
      <w:r w:rsidRPr="007A14A9">
        <w:rPr>
          <w:rFonts w:eastAsia="MS Mincho"/>
          <w:b/>
          <w:szCs w:val="24"/>
        </w:rPr>
        <w:t>Zpráva</w:t>
      </w:r>
      <w:proofErr w:type="spellEnd"/>
      <w:r w:rsidRPr="007A14A9">
        <w:rPr>
          <w:rFonts w:eastAsia="MS Mincho"/>
          <w:b/>
          <w:szCs w:val="24"/>
        </w:rPr>
        <w:t xml:space="preserve"> o činnosti </w:t>
      </w:r>
      <w:r w:rsidRPr="007A14A9">
        <w:rPr>
          <w:rFonts w:eastAsia="MS Mincho"/>
          <w:szCs w:val="24"/>
        </w:rPr>
        <w:t xml:space="preserve">standardního fondu dále obsahuje údaje podle odstavce </w:t>
      </w:r>
      <w:r w:rsidRPr="007A14A9">
        <w:rPr>
          <w:rFonts w:eastAsia="MS Mincho"/>
          <w:strike/>
          <w:szCs w:val="24"/>
        </w:rPr>
        <w:t>2</w:t>
      </w:r>
      <w:r w:rsidRPr="007A14A9">
        <w:rPr>
          <w:rFonts w:eastAsia="MS Mincho"/>
          <w:b/>
          <w:szCs w:val="24"/>
        </w:rPr>
        <w:t>3</w:t>
      </w:r>
      <w:r w:rsidRPr="007A14A9">
        <w:rPr>
          <w:rFonts w:eastAsia="MS Mincho"/>
          <w:szCs w:val="24"/>
        </w:rPr>
        <w:t xml:space="preserve"> písm. a) až c) a další podstatné údaje o odměňování. </w:t>
      </w:r>
    </w:p>
    <w:p w14:paraId="023DF582" w14:textId="77777777" w:rsidR="007A14A9" w:rsidRPr="007A14A9" w:rsidRDefault="007A14A9" w:rsidP="007A14A9">
      <w:pPr>
        <w:tabs>
          <w:tab w:val="left" w:pos="782"/>
          <w:tab w:val="left" w:pos="851"/>
        </w:tabs>
        <w:spacing w:before="120" w:after="120"/>
        <w:outlineLvl w:val="6"/>
        <w:rPr>
          <w:rFonts w:eastAsia="MS Mincho"/>
          <w:szCs w:val="24"/>
        </w:rPr>
      </w:pPr>
      <w:proofErr w:type="gramStart"/>
      <w:r w:rsidRPr="007A14A9">
        <w:rPr>
          <w:rFonts w:eastAsia="MS Mincho"/>
          <w:strike/>
          <w:szCs w:val="24"/>
        </w:rPr>
        <w:t>(6)</w:t>
      </w:r>
      <w:r w:rsidRPr="007A14A9">
        <w:rPr>
          <w:rFonts w:eastAsia="MS Mincho"/>
          <w:b/>
          <w:szCs w:val="24"/>
        </w:rPr>
        <w:t xml:space="preserve">(7) </w:t>
      </w:r>
      <w:r w:rsidRPr="007A14A9">
        <w:rPr>
          <w:rFonts w:eastAsia="MS Mincho"/>
          <w:szCs w:val="24"/>
        </w:rPr>
        <w:t>V dalším</w:t>
      </w:r>
      <w:proofErr w:type="gramEnd"/>
      <w:r w:rsidRPr="007A14A9">
        <w:rPr>
          <w:rFonts w:eastAsia="MS Mincho"/>
          <w:szCs w:val="24"/>
        </w:rPr>
        <w:t xml:space="preserve"> požadavky k obsahu a struktuře výroční zprávy speciálního fondu, který obhospodařuje obhospodařovatel oprávněný přesáhnout rozhodný limit, vymezují </w:t>
      </w:r>
      <w:hyperlink r:id="rId345" w:history="1">
        <w:r w:rsidRPr="007A14A9">
          <w:rPr>
            <w:rFonts w:eastAsia="MS Mincho"/>
            <w:szCs w:val="24"/>
          </w:rPr>
          <w:t>články 103 až 107</w:t>
        </w:r>
      </w:hyperlink>
      <w:r w:rsidRPr="007A14A9">
        <w:rPr>
          <w:rFonts w:eastAsia="MS Mincho"/>
          <w:szCs w:val="24"/>
        </w:rPr>
        <w:t xml:space="preserve"> nařízení Komise v přenesené pravomoci (EU) č. </w:t>
      </w:r>
      <w:hyperlink r:id="rId346" w:history="1">
        <w:r w:rsidRPr="007A14A9">
          <w:rPr>
            <w:rFonts w:eastAsia="MS Mincho"/>
            <w:szCs w:val="24"/>
          </w:rPr>
          <w:t>231/2013</w:t>
        </w:r>
      </w:hyperlink>
      <w:r w:rsidRPr="007A14A9">
        <w:rPr>
          <w:rFonts w:eastAsia="MS Mincho"/>
          <w:szCs w:val="24"/>
        </w:rPr>
        <w:t xml:space="preserve">. </w:t>
      </w:r>
    </w:p>
    <w:p w14:paraId="1E001D46" w14:textId="77777777" w:rsidR="007A14A9" w:rsidRPr="007A14A9" w:rsidRDefault="007A14A9" w:rsidP="007A14A9">
      <w:pPr>
        <w:tabs>
          <w:tab w:val="left" w:pos="782"/>
          <w:tab w:val="left" w:pos="851"/>
        </w:tabs>
        <w:spacing w:before="120" w:after="120"/>
        <w:outlineLvl w:val="6"/>
        <w:rPr>
          <w:rFonts w:eastAsia="MS Mincho"/>
          <w:szCs w:val="24"/>
        </w:rPr>
      </w:pPr>
      <w:proofErr w:type="gramStart"/>
      <w:r w:rsidRPr="007A14A9">
        <w:rPr>
          <w:rFonts w:eastAsia="MS Mincho"/>
          <w:strike/>
          <w:szCs w:val="24"/>
        </w:rPr>
        <w:t>(7)</w:t>
      </w:r>
      <w:r w:rsidRPr="007A14A9">
        <w:rPr>
          <w:rFonts w:eastAsia="MS Mincho"/>
          <w:b/>
          <w:szCs w:val="24"/>
        </w:rPr>
        <w:t>(8)</w:t>
      </w:r>
      <w:r w:rsidRPr="007A14A9">
        <w:rPr>
          <w:rFonts w:eastAsia="MS Mincho"/>
          <w:szCs w:val="24"/>
        </w:rPr>
        <w:t xml:space="preserve"> Česká</w:t>
      </w:r>
      <w:proofErr w:type="gramEnd"/>
      <w:r w:rsidRPr="007A14A9">
        <w:rPr>
          <w:rFonts w:eastAsia="MS Mincho"/>
          <w:szCs w:val="24"/>
        </w:rPr>
        <w:t xml:space="preserve"> národní banka stanoví vyhláškou požadavky k obsahu výroční</w:t>
      </w:r>
      <w:r w:rsidRPr="007A14A9">
        <w:rPr>
          <w:rFonts w:eastAsia="MS Mincho"/>
          <w:color w:val="FF0000"/>
          <w:szCs w:val="24"/>
        </w:rPr>
        <w:t xml:space="preserve"> </w:t>
      </w:r>
      <w:r w:rsidRPr="007A14A9">
        <w:rPr>
          <w:rFonts w:eastAsia="MS Mincho"/>
          <w:szCs w:val="24"/>
        </w:rPr>
        <w:t xml:space="preserve">zprávy </w:t>
      </w:r>
      <w:r w:rsidRPr="007A14A9">
        <w:rPr>
          <w:rFonts w:eastAsia="MS Mincho"/>
          <w:b/>
          <w:szCs w:val="24"/>
        </w:rPr>
        <w:t xml:space="preserve">investičního fondu </w:t>
      </w:r>
      <w:r w:rsidRPr="007A14A9">
        <w:rPr>
          <w:rFonts w:eastAsia="MS Mincho"/>
          <w:szCs w:val="24"/>
        </w:rPr>
        <w:t xml:space="preserve">v rozsahu odstavců 1 až </w:t>
      </w:r>
      <w:r w:rsidRPr="007A14A9">
        <w:rPr>
          <w:rFonts w:eastAsia="MS Mincho"/>
          <w:strike/>
          <w:szCs w:val="24"/>
        </w:rPr>
        <w:t>5</w:t>
      </w:r>
      <w:r w:rsidRPr="007A14A9">
        <w:rPr>
          <w:rFonts w:eastAsia="MS Mincho"/>
          <w:b/>
          <w:szCs w:val="24"/>
        </w:rPr>
        <w:t>6</w:t>
      </w:r>
      <w:r w:rsidRPr="007A14A9">
        <w:rPr>
          <w:rFonts w:eastAsia="MS Mincho"/>
          <w:szCs w:val="24"/>
        </w:rPr>
        <w:t xml:space="preserve"> v rozsahu, který neupravuje přímo použitelný předpis Evropské unie, kterým se provádí směrnice Evropského parlamentu a Rady upravující správce alternativních investičních fondů. </w:t>
      </w:r>
    </w:p>
    <w:p w14:paraId="056FBDE2" w14:textId="77777777" w:rsidR="007A14A9" w:rsidRPr="007A14A9" w:rsidRDefault="007A14A9" w:rsidP="007A14A9">
      <w:pPr>
        <w:tabs>
          <w:tab w:val="left" w:pos="782"/>
          <w:tab w:val="left" w:pos="851"/>
        </w:tabs>
        <w:spacing w:before="120" w:after="120"/>
        <w:outlineLvl w:val="6"/>
        <w:rPr>
          <w:rFonts w:eastAsia="MS Mincho"/>
          <w:szCs w:val="24"/>
        </w:rPr>
      </w:pPr>
      <w:r w:rsidRPr="007A14A9">
        <w:rPr>
          <w:b/>
          <w:szCs w:val="24"/>
        </w:rPr>
        <w:lastRenderedPageBreak/>
        <w:t xml:space="preserve"> </w:t>
      </w:r>
      <w:proofErr w:type="gramStart"/>
      <w:r w:rsidRPr="007A14A9">
        <w:rPr>
          <w:strike/>
          <w:szCs w:val="24"/>
        </w:rPr>
        <w:t>(8)</w:t>
      </w:r>
      <w:r w:rsidRPr="007A14A9">
        <w:rPr>
          <w:b/>
          <w:szCs w:val="24"/>
        </w:rPr>
        <w:t>(9)</w:t>
      </w:r>
      <w:r w:rsidRPr="007A14A9">
        <w:rPr>
          <w:szCs w:val="24"/>
        </w:rPr>
        <w:t xml:space="preserve"> Má</w:t>
      </w:r>
      <w:proofErr w:type="gramEnd"/>
      <w:r w:rsidRPr="007A14A9">
        <w:rPr>
          <w:szCs w:val="24"/>
        </w:rPr>
        <w:t xml:space="preserve">-li být uveřejněna výroční finanční zpráva speciálního fondu podle zákona upravujícího podnikání na kapitálovém trhu, nemusí výroční zpráva </w:t>
      </w:r>
      <w:r w:rsidRPr="007A14A9">
        <w:rPr>
          <w:b/>
          <w:szCs w:val="24"/>
        </w:rPr>
        <w:t xml:space="preserve">speciálního fondu </w:t>
      </w:r>
      <w:r w:rsidRPr="007A14A9">
        <w:rPr>
          <w:szCs w:val="24"/>
        </w:rPr>
        <w:t xml:space="preserve">obsahovat informace, které jsou součástí výroční finanční zprávy </w:t>
      </w:r>
      <w:r w:rsidRPr="007A14A9">
        <w:rPr>
          <w:b/>
          <w:szCs w:val="24"/>
        </w:rPr>
        <w:t>tohoto fondu</w:t>
      </w:r>
      <w:r w:rsidRPr="007A14A9">
        <w:rPr>
          <w:szCs w:val="24"/>
        </w:rPr>
        <w:t xml:space="preserve">. Není-li výroční zpráva </w:t>
      </w:r>
      <w:r w:rsidRPr="007A14A9">
        <w:rPr>
          <w:b/>
          <w:szCs w:val="24"/>
        </w:rPr>
        <w:t xml:space="preserve">speciálního fondu </w:t>
      </w:r>
      <w:r w:rsidRPr="007A14A9">
        <w:rPr>
          <w:szCs w:val="24"/>
        </w:rPr>
        <w:t xml:space="preserve">součástí výroční finanční zprávy, uveřejní se spolu s výroční finanční zprávou. </w:t>
      </w:r>
    </w:p>
    <w:p w14:paraId="2AD43B1A" w14:textId="77777777" w:rsidR="007A14A9" w:rsidRPr="007A14A9" w:rsidRDefault="007A14A9" w:rsidP="007A14A9">
      <w:pPr>
        <w:keepNext/>
        <w:keepLines/>
        <w:ind w:firstLine="0"/>
        <w:jc w:val="center"/>
        <w:outlineLvl w:val="5"/>
        <w:rPr>
          <w:b/>
        </w:rPr>
      </w:pPr>
      <w:r w:rsidRPr="007A14A9">
        <w:rPr>
          <w:b/>
        </w:rPr>
        <w:t xml:space="preserve">Zpráva auditora </w:t>
      </w:r>
    </w:p>
    <w:p w14:paraId="2AEC3089" w14:textId="77777777" w:rsidR="007A14A9" w:rsidRPr="007A14A9" w:rsidRDefault="007A14A9" w:rsidP="007A14A9">
      <w:pPr>
        <w:keepNext/>
        <w:keepLines/>
        <w:ind w:firstLine="0"/>
        <w:jc w:val="center"/>
        <w:outlineLvl w:val="5"/>
        <w:rPr>
          <w:strike/>
        </w:rPr>
      </w:pPr>
      <w:r w:rsidRPr="007A14A9">
        <w:rPr>
          <w:strike/>
        </w:rPr>
        <w:t xml:space="preserve">§ 235 </w:t>
      </w:r>
    </w:p>
    <w:p w14:paraId="420EB450" w14:textId="77777777" w:rsidR="007A14A9" w:rsidRPr="007A14A9" w:rsidRDefault="007A14A9" w:rsidP="007A14A9">
      <w:pPr>
        <w:tabs>
          <w:tab w:val="left" w:pos="782"/>
          <w:tab w:val="left" w:pos="851"/>
        </w:tabs>
        <w:spacing w:before="120" w:after="120"/>
        <w:outlineLvl w:val="6"/>
        <w:rPr>
          <w:rFonts w:eastAsia="MS Mincho"/>
          <w:strike/>
          <w:szCs w:val="24"/>
        </w:rPr>
      </w:pPr>
      <w:r w:rsidRPr="007A14A9">
        <w:rPr>
          <w:rFonts w:eastAsia="MS Mincho"/>
          <w:strike/>
          <w:szCs w:val="24"/>
        </w:rPr>
        <w:t xml:space="preserve">Auditor je ve své zprávě povinen vyjádřit se k souladu výroční zprávy fondu kolektivního investování s účetní závěrkou. </w:t>
      </w:r>
    </w:p>
    <w:p w14:paraId="492831E9" w14:textId="77777777" w:rsidR="007A14A9" w:rsidRPr="007A14A9" w:rsidRDefault="007A14A9" w:rsidP="007A14A9">
      <w:pPr>
        <w:keepNext/>
        <w:keepLines/>
        <w:ind w:firstLine="0"/>
        <w:jc w:val="center"/>
        <w:outlineLvl w:val="5"/>
      </w:pPr>
      <w:r w:rsidRPr="007A14A9">
        <w:t>§ 236</w:t>
      </w:r>
    </w:p>
    <w:p w14:paraId="260F911C"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(1)</w:t>
      </w:r>
      <w:r w:rsidRPr="007A14A9">
        <w:rPr>
          <w:rFonts w:eastAsia="MS Mincho"/>
          <w:szCs w:val="24"/>
        </w:rPr>
        <w:tab/>
        <w:t xml:space="preserve">Ve zprávě auditora </w:t>
      </w:r>
      <w:r w:rsidRPr="007A14A9">
        <w:rPr>
          <w:rFonts w:eastAsia="MS Mincho"/>
          <w:b/>
          <w:szCs w:val="24"/>
        </w:rPr>
        <w:t>o povinném auditu</w:t>
      </w:r>
      <w:r w:rsidRPr="007A14A9">
        <w:rPr>
          <w:rFonts w:eastAsia="MS Mincho"/>
          <w:szCs w:val="24"/>
        </w:rPr>
        <w:t xml:space="preserve"> podřízeného fondu se zohlední závěry zprávy auditora</w:t>
      </w:r>
      <w:r w:rsidRPr="007A14A9">
        <w:rPr>
          <w:rFonts w:eastAsia="MS Mincho"/>
          <w:b/>
          <w:szCs w:val="24"/>
        </w:rPr>
        <w:t xml:space="preserve"> o povinném auditu</w:t>
      </w:r>
      <w:r w:rsidRPr="007A14A9">
        <w:rPr>
          <w:rFonts w:eastAsia="MS Mincho"/>
          <w:szCs w:val="24"/>
        </w:rPr>
        <w:t xml:space="preserve"> řídícího fondu. </w:t>
      </w:r>
    </w:p>
    <w:p w14:paraId="3E3EB45E" w14:textId="77777777" w:rsidR="007A14A9" w:rsidRPr="007A14A9" w:rsidRDefault="007A14A9" w:rsidP="007A14A9">
      <w:pPr>
        <w:tabs>
          <w:tab w:val="left" w:pos="782"/>
          <w:tab w:val="left" w:pos="851"/>
        </w:tabs>
        <w:spacing w:before="120" w:after="120"/>
        <w:outlineLvl w:val="6"/>
        <w:rPr>
          <w:rFonts w:eastAsia="MS Mincho"/>
          <w:strike/>
          <w:szCs w:val="24"/>
        </w:rPr>
      </w:pPr>
      <w:r w:rsidRPr="007A14A9">
        <w:rPr>
          <w:rFonts w:eastAsia="MS Mincho"/>
          <w:strike/>
          <w:szCs w:val="24"/>
        </w:rPr>
        <w:t>(2) Neshoduje-li se</w:t>
      </w:r>
      <w:r w:rsidRPr="007A14A9">
        <w:rPr>
          <w:rFonts w:eastAsia="MS Mincho"/>
          <w:b/>
          <w:strike/>
          <w:szCs w:val="24"/>
        </w:rPr>
        <w:t xml:space="preserve"> </w:t>
      </w:r>
      <w:r w:rsidRPr="007A14A9">
        <w:rPr>
          <w:rFonts w:eastAsia="MS Mincho"/>
          <w:strike/>
          <w:szCs w:val="24"/>
        </w:rPr>
        <w:t xml:space="preserve">účetní období podřízeného fondu s účetním obdobím řídícího fondu, vypracuje auditor řídícího fondu dodatečnou zprávu ke dni účetní </w:t>
      </w:r>
      <w:proofErr w:type="gramStart"/>
      <w:r w:rsidRPr="007A14A9">
        <w:rPr>
          <w:rFonts w:eastAsia="MS Mincho"/>
          <w:strike/>
          <w:szCs w:val="24"/>
        </w:rPr>
        <w:t>závěrky</w:t>
      </w:r>
      <w:r w:rsidRPr="007A14A9">
        <w:rPr>
          <w:rFonts w:eastAsia="MS Mincho"/>
          <w:b/>
          <w:strike/>
          <w:szCs w:val="24"/>
        </w:rPr>
        <w:t>,</w:t>
      </w:r>
      <w:r w:rsidRPr="007A14A9">
        <w:rPr>
          <w:rFonts w:eastAsia="MS Mincho"/>
          <w:strike/>
          <w:szCs w:val="24"/>
        </w:rPr>
        <w:t>; tato</w:t>
      </w:r>
      <w:proofErr w:type="gramEnd"/>
      <w:r w:rsidRPr="007A14A9">
        <w:rPr>
          <w:rFonts w:eastAsia="MS Mincho"/>
          <w:strike/>
          <w:szCs w:val="24"/>
        </w:rPr>
        <w:t xml:space="preserve"> dodatečná zpráva se začlení do zprávy auditora podřízeného fondu. </w:t>
      </w:r>
    </w:p>
    <w:p w14:paraId="069A41C9" w14:textId="77777777" w:rsidR="007A14A9" w:rsidRPr="007A14A9" w:rsidRDefault="007A14A9" w:rsidP="007A14A9">
      <w:pPr>
        <w:tabs>
          <w:tab w:val="left" w:pos="782"/>
          <w:tab w:val="left" w:pos="851"/>
        </w:tabs>
        <w:spacing w:before="120" w:after="120"/>
        <w:outlineLvl w:val="6"/>
        <w:rPr>
          <w:rFonts w:eastAsia="MS Mincho"/>
          <w:b/>
          <w:szCs w:val="24"/>
        </w:rPr>
      </w:pPr>
      <w:r w:rsidRPr="007A14A9">
        <w:rPr>
          <w:rFonts w:eastAsia="MS Mincho"/>
          <w:b/>
          <w:szCs w:val="24"/>
        </w:rPr>
        <w:t>(2) Neshoduje-li se individuální účetní období podřízeného fondu s individuálním účetním obdobím řídícího fondu, vypracuje auditor řídícího fondu dodatečnou zprávu ke dni, k němuž se sestavuje řádná individuální účetní závěrka podřízeného fondu; tato dodatečná zpráva se začlení do zprávy auditora o povinném auditu</w:t>
      </w:r>
      <w:r w:rsidRPr="007A14A9">
        <w:rPr>
          <w:rFonts w:eastAsia="MS Mincho"/>
          <w:b/>
          <w:color w:val="FF0000"/>
          <w:szCs w:val="24"/>
        </w:rPr>
        <w:t xml:space="preserve"> </w:t>
      </w:r>
      <w:r w:rsidRPr="007A14A9">
        <w:rPr>
          <w:rFonts w:eastAsia="MS Mincho"/>
          <w:b/>
          <w:szCs w:val="24"/>
        </w:rPr>
        <w:t>podřízeného fondu.</w:t>
      </w:r>
    </w:p>
    <w:p w14:paraId="66DA6202"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(3)</w:t>
      </w:r>
      <w:r w:rsidRPr="007A14A9">
        <w:rPr>
          <w:rFonts w:eastAsia="MS Mincho"/>
          <w:szCs w:val="24"/>
        </w:rPr>
        <w:tab/>
        <w:t xml:space="preserve">Součástí zprávy auditora </w:t>
      </w:r>
      <w:r w:rsidRPr="007A14A9">
        <w:rPr>
          <w:rFonts w:eastAsia="MS Mincho"/>
          <w:b/>
          <w:szCs w:val="24"/>
        </w:rPr>
        <w:t>o povinném auditu</w:t>
      </w:r>
      <w:r w:rsidRPr="007A14A9">
        <w:rPr>
          <w:rFonts w:eastAsia="MS Mincho"/>
          <w:color w:val="FF0000"/>
          <w:szCs w:val="24"/>
        </w:rPr>
        <w:t xml:space="preserve"> </w:t>
      </w:r>
      <w:r w:rsidRPr="007A14A9">
        <w:rPr>
          <w:rFonts w:eastAsia="MS Mincho"/>
          <w:szCs w:val="24"/>
        </w:rPr>
        <w:t xml:space="preserve">podřízeného fondu jsou i údaje o nesrovnalostech řídícího fondu, na které upozorňuje zpráva auditora </w:t>
      </w:r>
      <w:r w:rsidRPr="007A14A9">
        <w:rPr>
          <w:rFonts w:eastAsia="MS Mincho"/>
          <w:b/>
          <w:szCs w:val="24"/>
        </w:rPr>
        <w:t>o povinném auditu</w:t>
      </w:r>
      <w:r w:rsidRPr="007A14A9">
        <w:rPr>
          <w:rFonts w:eastAsia="MS Mincho"/>
          <w:color w:val="FF0000"/>
          <w:szCs w:val="24"/>
        </w:rPr>
        <w:t xml:space="preserve"> </w:t>
      </w:r>
      <w:r w:rsidRPr="007A14A9">
        <w:rPr>
          <w:rFonts w:eastAsia="MS Mincho"/>
          <w:szCs w:val="24"/>
        </w:rPr>
        <w:t xml:space="preserve">řídícího fondu, a vysvětlení jejich dopadu na podřízený fond. </w:t>
      </w:r>
    </w:p>
    <w:p w14:paraId="62EEC416" w14:textId="77777777" w:rsidR="007A14A9" w:rsidRPr="007A14A9" w:rsidRDefault="007A14A9" w:rsidP="007A14A9">
      <w:pPr>
        <w:widowControl w:val="0"/>
        <w:autoSpaceDE w:val="0"/>
        <w:autoSpaceDN w:val="0"/>
        <w:adjustRightInd w:val="0"/>
        <w:spacing w:before="0" w:after="120"/>
        <w:ind w:firstLine="0"/>
        <w:rPr>
          <w:rFonts w:eastAsia="MS Mincho"/>
          <w:szCs w:val="24"/>
        </w:rPr>
      </w:pPr>
    </w:p>
    <w:p w14:paraId="7CE56644" w14:textId="77777777" w:rsidR="007A14A9" w:rsidRPr="007A14A9" w:rsidRDefault="007A14A9" w:rsidP="007A14A9">
      <w:pPr>
        <w:keepNext/>
        <w:keepLines/>
        <w:ind w:firstLine="0"/>
        <w:jc w:val="center"/>
        <w:outlineLvl w:val="5"/>
      </w:pPr>
      <w:r w:rsidRPr="007A14A9">
        <w:t xml:space="preserve">§ 238 </w:t>
      </w:r>
    </w:p>
    <w:p w14:paraId="07913C96" w14:textId="77777777" w:rsidR="007A14A9" w:rsidRPr="007A14A9" w:rsidRDefault="007A14A9" w:rsidP="007A14A9">
      <w:pPr>
        <w:keepNext/>
        <w:keepLines/>
        <w:ind w:firstLine="0"/>
        <w:jc w:val="center"/>
        <w:outlineLvl w:val="5"/>
        <w:rPr>
          <w:b/>
        </w:rPr>
      </w:pPr>
      <w:r w:rsidRPr="007A14A9">
        <w:rPr>
          <w:b/>
        </w:rPr>
        <w:t>Zvláštní náležitosti pololetní zprávy</w:t>
      </w:r>
    </w:p>
    <w:p w14:paraId="69CDFFF6"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(1) Pololetní zpráva fondu kolektivního investování dále obsahuje rozvahu (bilanci) a údaje uvedené v § 234 odst. </w:t>
      </w:r>
      <w:r w:rsidRPr="007A14A9">
        <w:rPr>
          <w:rFonts w:eastAsia="MS Mincho"/>
          <w:strike/>
          <w:szCs w:val="24"/>
        </w:rPr>
        <w:t>1</w:t>
      </w:r>
      <w:r w:rsidRPr="007A14A9">
        <w:rPr>
          <w:rFonts w:eastAsia="MS Mincho"/>
          <w:b/>
          <w:szCs w:val="24"/>
        </w:rPr>
        <w:t>2</w:t>
      </w:r>
      <w:r w:rsidRPr="007A14A9">
        <w:rPr>
          <w:rFonts w:eastAsia="MS Mincho"/>
          <w:szCs w:val="24"/>
        </w:rPr>
        <w:t xml:space="preserve"> písm. </w:t>
      </w:r>
      <w:r w:rsidRPr="007A14A9">
        <w:rPr>
          <w:rFonts w:eastAsia="MS Mincho"/>
          <w:strike/>
          <w:szCs w:val="24"/>
        </w:rPr>
        <w:t>c), e), f) a j)</w:t>
      </w:r>
      <w:r w:rsidRPr="007A14A9">
        <w:rPr>
          <w:rFonts w:eastAsia="MS Mincho"/>
          <w:b/>
          <w:szCs w:val="24"/>
        </w:rPr>
        <w:t xml:space="preserve"> b), d), e) a i)</w:t>
      </w:r>
      <w:r w:rsidRPr="007A14A9">
        <w:rPr>
          <w:rFonts w:eastAsia="MS Mincho"/>
          <w:szCs w:val="24"/>
        </w:rPr>
        <w:t>.</w:t>
      </w:r>
    </w:p>
    <w:p w14:paraId="1EE1666C"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(2) Pololetní zpráva speciálního fondu,</w:t>
      </w:r>
      <w:r w:rsidRPr="007A14A9">
        <w:rPr>
          <w:rFonts w:eastAsia="MS Mincho"/>
          <w:b/>
          <w:szCs w:val="24"/>
        </w:rPr>
        <w:t xml:space="preserve"> </w:t>
      </w:r>
      <w:r w:rsidRPr="007A14A9">
        <w:rPr>
          <w:rFonts w:eastAsia="MS Mincho"/>
          <w:szCs w:val="24"/>
        </w:rPr>
        <w:t xml:space="preserve">který investuje do nemovitostí nebo účastí v nemovitostní společnosti, dále obsahuje údaje uvedené v § 234 odst. </w:t>
      </w:r>
      <w:r w:rsidRPr="007A14A9">
        <w:rPr>
          <w:rFonts w:eastAsia="MS Mincho"/>
          <w:strike/>
          <w:szCs w:val="24"/>
        </w:rPr>
        <w:t>3</w:t>
      </w:r>
      <w:r w:rsidRPr="007A14A9">
        <w:rPr>
          <w:rFonts w:eastAsia="MS Mincho"/>
          <w:b/>
          <w:szCs w:val="24"/>
        </w:rPr>
        <w:t>4</w:t>
      </w:r>
      <w:r w:rsidRPr="007A14A9">
        <w:rPr>
          <w:rFonts w:eastAsia="MS Mincho"/>
          <w:szCs w:val="24"/>
        </w:rPr>
        <w:t xml:space="preserve"> písm. a) až c), f), h) a p).</w:t>
      </w:r>
    </w:p>
    <w:p w14:paraId="4822FFD8"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(3) Pololetní zpráva podřízeného fondu</w:t>
      </w:r>
      <w:r w:rsidRPr="007A14A9">
        <w:rPr>
          <w:rFonts w:eastAsia="MS Mincho"/>
          <w:b/>
          <w:szCs w:val="24"/>
        </w:rPr>
        <w:t xml:space="preserve"> </w:t>
      </w:r>
      <w:r w:rsidRPr="007A14A9">
        <w:rPr>
          <w:rFonts w:eastAsia="MS Mincho"/>
          <w:szCs w:val="24"/>
        </w:rPr>
        <w:t xml:space="preserve">dále obsahuje údaj uvedený v § 234 odst. </w:t>
      </w:r>
      <w:r w:rsidRPr="007A14A9">
        <w:rPr>
          <w:rFonts w:eastAsia="MS Mincho"/>
          <w:strike/>
          <w:szCs w:val="24"/>
        </w:rPr>
        <w:t>4</w:t>
      </w:r>
      <w:r w:rsidRPr="007A14A9">
        <w:rPr>
          <w:rFonts w:eastAsia="MS Mincho"/>
          <w:b/>
          <w:szCs w:val="24"/>
        </w:rPr>
        <w:t>5</w:t>
      </w:r>
      <w:r w:rsidRPr="007A14A9">
        <w:rPr>
          <w:rFonts w:eastAsia="MS Mincho"/>
          <w:szCs w:val="24"/>
        </w:rPr>
        <w:t xml:space="preserve"> písm. a).</w:t>
      </w:r>
    </w:p>
    <w:p w14:paraId="01BDEDAB"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(4) Česká národní banka stanoví vyhláškou požadavky k obsahu pololetní zprávy fondu kolektivního investování v rozsahu odstavců 1 až 3.</w:t>
      </w:r>
    </w:p>
    <w:p w14:paraId="6E5377AF" w14:textId="77777777" w:rsidR="007A14A9" w:rsidRPr="007A14A9" w:rsidRDefault="007A14A9" w:rsidP="007A14A9">
      <w:pPr>
        <w:keepNext/>
        <w:keepLines/>
        <w:ind w:firstLine="0"/>
        <w:jc w:val="center"/>
        <w:outlineLvl w:val="5"/>
      </w:pPr>
      <w:r w:rsidRPr="007A14A9">
        <w:lastRenderedPageBreak/>
        <w:t xml:space="preserve">Díl 2 </w:t>
      </w:r>
    </w:p>
    <w:p w14:paraId="1323681E" w14:textId="77777777" w:rsidR="007A14A9" w:rsidRPr="007A14A9" w:rsidRDefault="007A14A9" w:rsidP="007A14A9">
      <w:pPr>
        <w:keepNext/>
        <w:keepLines/>
        <w:ind w:firstLine="0"/>
        <w:jc w:val="center"/>
        <w:outlineLvl w:val="5"/>
        <w:rPr>
          <w:b/>
          <w:strike/>
        </w:rPr>
      </w:pPr>
      <w:r w:rsidRPr="007A14A9">
        <w:rPr>
          <w:b/>
          <w:strike/>
        </w:rPr>
        <w:t xml:space="preserve">Výroční zpráva </w:t>
      </w:r>
    </w:p>
    <w:p w14:paraId="505E14E6" w14:textId="77777777" w:rsidR="007A14A9" w:rsidRPr="007A14A9" w:rsidRDefault="007A14A9" w:rsidP="007A14A9">
      <w:pPr>
        <w:keepNext/>
        <w:keepLines/>
        <w:ind w:firstLine="0"/>
        <w:jc w:val="center"/>
        <w:outlineLvl w:val="5"/>
        <w:rPr>
          <w:b/>
        </w:rPr>
      </w:pPr>
      <w:r w:rsidRPr="007A14A9">
        <w:rPr>
          <w:b/>
        </w:rPr>
        <w:t>Zveřejňování a uveřejňování informací o činnosti fondu kvalifikovaných investorů</w:t>
      </w:r>
    </w:p>
    <w:p w14:paraId="445498C4" w14:textId="77777777" w:rsidR="007A14A9" w:rsidRPr="007A14A9" w:rsidRDefault="007A14A9" w:rsidP="007A14A9">
      <w:pPr>
        <w:keepNext/>
        <w:keepLines/>
        <w:ind w:firstLine="0"/>
        <w:jc w:val="center"/>
        <w:outlineLvl w:val="5"/>
        <w:rPr>
          <w:rFonts w:eastAsia="MS Mincho"/>
          <w:szCs w:val="24"/>
        </w:rPr>
      </w:pPr>
      <w:r w:rsidRPr="007A14A9">
        <w:rPr>
          <w:rFonts w:eastAsia="MS Mincho"/>
          <w:szCs w:val="24"/>
        </w:rPr>
        <w:t xml:space="preserve">§ 290 </w:t>
      </w:r>
    </w:p>
    <w:p w14:paraId="7C756F8A"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(1)</w:t>
      </w:r>
      <w:r w:rsidRPr="007A14A9">
        <w:rPr>
          <w:rFonts w:eastAsia="MS Mincho"/>
          <w:szCs w:val="24"/>
        </w:rPr>
        <w:tab/>
        <w:t xml:space="preserve">Administrátor fondu kvalifikovaných investorů, jehož obhospodařovatel je oprávněn přesáhnout rozhodný limit, vyhotoví nejpozději do 4 měsíců </w:t>
      </w:r>
      <w:r w:rsidRPr="007A14A9">
        <w:rPr>
          <w:rFonts w:eastAsia="MS Mincho"/>
          <w:strike/>
          <w:szCs w:val="24"/>
        </w:rPr>
        <w:t>po skončení účetního období</w:t>
      </w:r>
      <w:r w:rsidRPr="007A14A9">
        <w:rPr>
          <w:rFonts w:eastAsia="MS Mincho"/>
          <w:szCs w:val="24"/>
        </w:rPr>
        <w:t xml:space="preserve"> </w:t>
      </w:r>
      <w:r w:rsidRPr="007A14A9">
        <w:rPr>
          <w:rFonts w:eastAsia="MS Mincho"/>
          <w:b/>
          <w:szCs w:val="24"/>
        </w:rPr>
        <w:t xml:space="preserve">od konce individuálního účetního období </w:t>
      </w:r>
      <w:r w:rsidRPr="007A14A9">
        <w:rPr>
          <w:rFonts w:eastAsia="MS Mincho"/>
          <w:szCs w:val="24"/>
        </w:rPr>
        <w:t xml:space="preserve">výroční zprávu tohoto fondu </w:t>
      </w:r>
      <w:r w:rsidRPr="007A14A9">
        <w:rPr>
          <w:rFonts w:eastAsia="MS Mincho"/>
          <w:b/>
          <w:szCs w:val="24"/>
        </w:rPr>
        <w:t>a v této lhůtě také zveřejní řádnou účetní závěrku, zprávy tohoto fondu podle zákona upravujícího účetnictví, jsou-li vyhotovovány, a zprávy o jejich ověření, jsou-li ověřovány</w:t>
      </w:r>
      <w:r w:rsidRPr="007A14A9">
        <w:rPr>
          <w:rFonts w:eastAsia="MS Mincho"/>
          <w:szCs w:val="24"/>
        </w:rPr>
        <w:t xml:space="preserve">. </w:t>
      </w:r>
      <w:r w:rsidRPr="007A14A9">
        <w:rPr>
          <w:rFonts w:eastAsia="MS Mincho"/>
          <w:b/>
          <w:szCs w:val="24"/>
        </w:rPr>
        <w:t xml:space="preserve">Řádnou individuální účetní závěrku a individuální zprávu vedení </w:t>
      </w:r>
      <w:proofErr w:type="spellStart"/>
      <w:r w:rsidRPr="007A14A9">
        <w:rPr>
          <w:rFonts w:eastAsia="MS Mincho"/>
          <w:b/>
          <w:szCs w:val="24"/>
        </w:rPr>
        <w:t>podfondu</w:t>
      </w:r>
      <w:proofErr w:type="spellEnd"/>
      <w:r w:rsidRPr="007A14A9">
        <w:rPr>
          <w:rFonts w:eastAsia="MS Mincho"/>
          <w:b/>
          <w:szCs w:val="24"/>
        </w:rPr>
        <w:t xml:space="preserve"> fondu kvalifikovaných investorů, je-li vyhotovována, a zprávu auditora o povinném auditu účetní závěrky tohoto </w:t>
      </w:r>
      <w:proofErr w:type="spellStart"/>
      <w:r w:rsidRPr="007A14A9">
        <w:rPr>
          <w:rFonts w:eastAsia="MS Mincho"/>
          <w:b/>
          <w:szCs w:val="24"/>
        </w:rPr>
        <w:t>podfondu</w:t>
      </w:r>
      <w:proofErr w:type="spellEnd"/>
      <w:r w:rsidRPr="007A14A9">
        <w:rPr>
          <w:rFonts w:eastAsia="MS Mincho"/>
          <w:b/>
          <w:szCs w:val="24"/>
        </w:rPr>
        <w:t xml:space="preserve"> administrátor zveřejní uložením do sbírky listin veřejného rejstříku, ve které se zveřejňuje řádná individuální účetní závěrka fondu kvalifikovaných investorů, který tento </w:t>
      </w:r>
      <w:proofErr w:type="spellStart"/>
      <w:r w:rsidRPr="007A14A9">
        <w:rPr>
          <w:rFonts w:eastAsia="MS Mincho"/>
          <w:b/>
          <w:szCs w:val="24"/>
        </w:rPr>
        <w:t>podfond</w:t>
      </w:r>
      <w:proofErr w:type="spellEnd"/>
      <w:r w:rsidRPr="007A14A9">
        <w:rPr>
          <w:rFonts w:eastAsia="MS Mincho"/>
          <w:b/>
          <w:szCs w:val="24"/>
        </w:rPr>
        <w:t xml:space="preserve"> vytvořil.</w:t>
      </w:r>
    </w:p>
    <w:p w14:paraId="40450741" w14:textId="77777777" w:rsidR="007A14A9" w:rsidRPr="007A14A9" w:rsidRDefault="007A14A9" w:rsidP="007A14A9">
      <w:pPr>
        <w:tabs>
          <w:tab w:val="left" w:pos="782"/>
          <w:tab w:val="left" w:pos="851"/>
        </w:tabs>
        <w:spacing w:before="120" w:after="120"/>
        <w:outlineLvl w:val="6"/>
        <w:rPr>
          <w:rFonts w:eastAsia="MS Mincho"/>
          <w:szCs w:val="24"/>
        </w:rPr>
      </w:pPr>
      <w:r w:rsidRPr="007A14A9" w:rsidDel="00BD3C6C">
        <w:rPr>
          <w:rFonts w:eastAsia="MS Mincho"/>
          <w:b/>
          <w:szCs w:val="24"/>
        </w:rPr>
        <w:t xml:space="preserve"> </w:t>
      </w:r>
      <w:r w:rsidRPr="007A14A9">
        <w:rPr>
          <w:rFonts w:eastAsia="MS Mincho"/>
          <w:szCs w:val="24"/>
        </w:rPr>
        <w:t>(2)</w:t>
      </w:r>
      <w:r w:rsidRPr="007A14A9">
        <w:rPr>
          <w:rFonts w:eastAsia="MS Mincho"/>
          <w:szCs w:val="24"/>
        </w:rPr>
        <w:tab/>
        <w:t xml:space="preserve">Administrátor fondu kvalifikovaných investorů, jehož obhospodařovatel je oprávněn přesáhnout rozhodný limit, poskytne každému společníkovi nebo podílníkovi poslední vyhotovenou výroční zprávu tohoto fondu v listinné podobě, jestliže o to společník nebo podílník požádá. </w:t>
      </w:r>
    </w:p>
    <w:p w14:paraId="333427D9" w14:textId="77777777" w:rsidR="007A14A9" w:rsidRPr="007A14A9" w:rsidRDefault="007A14A9" w:rsidP="007A14A9">
      <w:pPr>
        <w:tabs>
          <w:tab w:val="left" w:pos="782"/>
          <w:tab w:val="left" w:pos="851"/>
        </w:tabs>
        <w:spacing w:before="120" w:after="120"/>
        <w:outlineLvl w:val="6"/>
        <w:rPr>
          <w:rFonts w:eastAsia="MS Mincho"/>
          <w:strike/>
          <w:szCs w:val="24"/>
        </w:rPr>
      </w:pPr>
      <w:r w:rsidRPr="007A14A9">
        <w:rPr>
          <w:rFonts w:eastAsia="MS Mincho"/>
          <w:szCs w:val="24"/>
        </w:rPr>
        <w:t xml:space="preserve"> </w:t>
      </w:r>
      <w:r w:rsidRPr="007A14A9">
        <w:rPr>
          <w:rFonts w:eastAsia="MS Mincho"/>
          <w:strike/>
          <w:szCs w:val="24"/>
        </w:rPr>
        <w:t>(3)</w:t>
      </w:r>
      <w:r w:rsidRPr="007A14A9">
        <w:rPr>
          <w:rFonts w:eastAsia="MS Mincho"/>
          <w:strike/>
          <w:szCs w:val="24"/>
        </w:rPr>
        <w:tab/>
        <w:t xml:space="preserve">Pro administrátora fondu kvalifikovaných investorů, jehož obhospodařovatel je oprávněn přesáhnout rozhodný limit a za který se uveřejňuje výroční zpráva podle </w:t>
      </w:r>
      <w:hyperlink r:id="rId347" w:history="1">
        <w:r w:rsidRPr="007A14A9">
          <w:rPr>
            <w:rFonts w:eastAsia="MS Mincho"/>
            <w:strike/>
            <w:szCs w:val="24"/>
          </w:rPr>
          <w:t>zákona upravujícího podnikání na kapitálovém trhu</w:t>
        </w:r>
      </w:hyperlink>
      <w:r w:rsidRPr="007A14A9">
        <w:rPr>
          <w:rFonts w:eastAsia="MS Mincho"/>
          <w:strike/>
          <w:szCs w:val="24"/>
        </w:rPr>
        <w:t xml:space="preserve">, se odstavce 1 a 2 a </w:t>
      </w:r>
      <w:hyperlink r:id="rId348" w:history="1">
        <w:r w:rsidRPr="007A14A9">
          <w:rPr>
            <w:rFonts w:eastAsia="MS Mincho"/>
            <w:strike/>
            <w:szCs w:val="24"/>
          </w:rPr>
          <w:t>§ 291</w:t>
        </w:r>
      </w:hyperlink>
      <w:r w:rsidRPr="007A14A9">
        <w:rPr>
          <w:rFonts w:eastAsia="MS Mincho"/>
          <w:strike/>
          <w:szCs w:val="24"/>
        </w:rPr>
        <w:t xml:space="preserve"> nepoužijí. V jeho</w:t>
      </w:r>
      <w:r w:rsidRPr="007A14A9">
        <w:rPr>
          <w:rFonts w:eastAsia="MS Mincho"/>
          <w:b/>
          <w:strike/>
          <w:szCs w:val="24"/>
        </w:rPr>
        <w:t xml:space="preserve"> </w:t>
      </w:r>
      <w:r w:rsidRPr="007A14A9">
        <w:rPr>
          <w:rFonts w:eastAsia="MS Mincho"/>
          <w:strike/>
          <w:szCs w:val="24"/>
        </w:rPr>
        <w:t>případě postačí, jestliže</w:t>
      </w:r>
      <w:r w:rsidRPr="007A14A9">
        <w:rPr>
          <w:rFonts w:eastAsia="MS Mincho"/>
          <w:b/>
          <w:strike/>
          <w:szCs w:val="24"/>
        </w:rPr>
        <w:t xml:space="preserve"> </w:t>
      </w:r>
      <w:r w:rsidRPr="007A14A9">
        <w:rPr>
          <w:rFonts w:eastAsia="MS Mincho"/>
          <w:strike/>
          <w:szCs w:val="24"/>
        </w:rPr>
        <w:t xml:space="preserve">poskytne každému investorovi na jeho žádost údaje požadované podle </w:t>
      </w:r>
      <w:hyperlink r:id="rId349" w:history="1">
        <w:r w:rsidRPr="007A14A9">
          <w:rPr>
            <w:rFonts w:eastAsia="MS Mincho"/>
            <w:strike/>
            <w:szCs w:val="24"/>
          </w:rPr>
          <w:t>§ 291</w:t>
        </w:r>
      </w:hyperlink>
      <w:r w:rsidRPr="007A14A9">
        <w:rPr>
          <w:rFonts w:eastAsia="MS Mincho"/>
          <w:strike/>
          <w:szCs w:val="24"/>
        </w:rPr>
        <w:t>, které nejsou obsaženy ve výroční zprávě</w:t>
      </w:r>
      <w:r w:rsidRPr="007A14A9">
        <w:rPr>
          <w:rFonts w:eastAsia="MS Mincho"/>
          <w:b/>
          <w:strike/>
          <w:szCs w:val="24"/>
        </w:rPr>
        <w:t> </w:t>
      </w:r>
      <w:r w:rsidRPr="007A14A9">
        <w:rPr>
          <w:rFonts w:eastAsia="MS Mincho"/>
          <w:strike/>
          <w:szCs w:val="24"/>
        </w:rPr>
        <w:t xml:space="preserve"> tohoto fondu. Tyto údaje lze poskytnout odděleně, nebo jako doplněk výroční zprávy. </w:t>
      </w:r>
    </w:p>
    <w:p w14:paraId="038D0615" w14:textId="2DAC2262" w:rsidR="007A14A9" w:rsidRPr="00554FBC" w:rsidRDefault="007A14A9" w:rsidP="00554FBC">
      <w:pPr>
        <w:tabs>
          <w:tab w:val="left" w:pos="782"/>
          <w:tab w:val="left" w:pos="851"/>
        </w:tabs>
        <w:spacing w:before="120" w:after="120"/>
        <w:outlineLvl w:val="6"/>
        <w:rPr>
          <w:rFonts w:eastAsia="MS Mincho"/>
          <w:b/>
          <w:szCs w:val="24"/>
        </w:rPr>
      </w:pPr>
      <w:r w:rsidRPr="007A14A9">
        <w:rPr>
          <w:rFonts w:eastAsia="MS Mincho"/>
          <w:b/>
          <w:szCs w:val="24"/>
        </w:rPr>
        <w:t>(3)</w:t>
      </w:r>
      <w:r w:rsidRPr="007A14A9">
        <w:rPr>
          <w:rFonts w:eastAsia="MS Mincho"/>
          <w:b/>
          <w:szCs w:val="24"/>
        </w:rPr>
        <w:tab/>
        <w:t xml:space="preserve">Pro administrátora fondu kvalifikovaných investorů, jehož obhospodařovatel je oprávněn přesáhnout rozhodný limit a který uveřejňuje výroční finanční zprávu podle </w:t>
      </w:r>
      <w:hyperlink r:id="rId350" w:history="1">
        <w:r w:rsidRPr="007A14A9">
          <w:rPr>
            <w:rFonts w:eastAsia="MS Mincho"/>
            <w:b/>
            <w:szCs w:val="24"/>
          </w:rPr>
          <w:t>zákona upravujícího podnikání na kapitálovém trhu</w:t>
        </w:r>
      </w:hyperlink>
      <w:r w:rsidRPr="007A14A9">
        <w:rPr>
          <w:rFonts w:eastAsia="MS Mincho"/>
          <w:b/>
          <w:szCs w:val="24"/>
        </w:rPr>
        <w:t xml:space="preserve">, se odstavce 1 a 2 a </w:t>
      </w:r>
      <w:hyperlink r:id="rId351" w:history="1">
        <w:r w:rsidRPr="007A14A9">
          <w:rPr>
            <w:rFonts w:eastAsia="MS Mincho"/>
            <w:b/>
            <w:szCs w:val="24"/>
          </w:rPr>
          <w:t>§ 291</w:t>
        </w:r>
      </w:hyperlink>
      <w:r w:rsidRPr="007A14A9">
        <w:rPr>
          <w:rFonts w:eastAsia="MS Mincho"/>
          <w:b/>
          <w:szCs w:val="24"/>
        </w:rPr>
        <w:t xml:space="preserve"> nepoužijí. V tomto případě postačí, jestliže administrátor poskytne každému investorovi na jeho žádost údaje požadované podle </w:t>
      </w:r>
      <w:hyperlink r:id="rId352" w:history="1">
        <w:r w:rsidRPr="007A14A9">
          <w:rPr>
            <w:rFonts w:eastAsia="MS Mincho"/>
            <w:b/>
            <w:szCs w:val="24"/>
          </w:rPr>
          <w:t>§ 291</w:t>
        </w:r>
      </w:hyperlink>
      <w:r w:rsidRPr="007A14A9">
        <w:rPr>
          <w:rFonts w:eastAsia="MS Mincho"/>
          <w:b/>
          <w:szCs w:val="24"/>
        </w:rPr>
        <w:t>, které nejsou obsaženy ve výroční finanční zprávě  tohoto fondu. Tyto údaje lze poskytnout odděleně, nebo jako doplněk výroční finanční zprávy.</w:t>
      </w:r>
    </w:p>
    <w:p w14:paraId="542F168A" w14:textId="77777777" w:rsidR="007A14A9" w:rsidRPr="007A14A9" w:rsidRDefault="007A14A9" w:rsidP="007A14A9">
      <w:pPr>
        <w:keepNext/>
        <w:keepLines/>
        <w:ind w:firstLine="0"/>
        <w:jc w:val="center"/>
        <w:outlineLvl w:val="5"/>
        <w:rPr>
          <w:color w:val="FF0000"/>
          <w:highlight w:val="yellow"/>
        </w:rPr>
      </w:pPr>
      <w:r w:rsidRPr="007A14A9">
        <w:t xml:space="preserve">§ 291 </w:t>
      </w:r>
    </w:p>
    <w:p w14:paraId="2D808DD7" w14:textId="77777777" w:rsidR="007A14A9" w:rsidRPr="007A14A9" w:rsidRDefault="007A14A9" w:rsidP="007A14A9">
      <w:pPr>
        <w:keepNext/>
        <w:keepLines/>
        <w:ind w:firstLine="0"/>
        <w:jc w:val="center"/>
        <w:outlineLvl w:val="5"/>
        <w:rPr>
          <w:b/>
        </w:rPr>
      </w:pPr>
      <w:r w:rsidRPr="007A14A9">
        <w:rPr>
          <w:b/>
          <w:strike/>
        </w:rPr>
        <w:t>Zvláštní náležitosti výroční zprávy</w:t>
      </w:r>
      <w:r w:rsidRPr="007A14A9">
        <w:rPr>
          <w:b/>
        </w:rPr>
        <w:t xml:space="preserve"> </w:t>
      </w:r>
    </w:p>
    <w:p w14:paraId="37CE458D" w14:textId="77777777" w:rsidR="007A14A9" w:rsidRPr="007A14A9" w:rsidRDefault="007A14A9" w:rsidP="007A14A9">
      <w:pPr>
        <w:keepNext/>
        <w:keepLines/>
        <w:ind w:firstLine="0"/>
        <w:jc w:val="center"/>
        <w:outlineLvl w:val="5"/>
        <w:rPr>
          <w:b/>
        </w:rPr>
      </w:pPr>
      <w:r w:rsidRPr="007A14A9">
        <w:rPr>
          <w:b/>
        </w:rPr>
        <w:t>Výroční zpráva fondu kvalifikovaných investorů</w:t>
      </w:r>
    </w:p>
    <w:p w14:paraId="7F4F00E5"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(1)</w:t>
      </w:r>
      <w:r w:rsidRPr="007A14A9">
        <w:rPr>
          <w:rFonts w:eastAsia="MS Mincho"/>
          <w:szCs w:val="24"/>
        </w:rPr>
        <w:tab/>
        <w:t xml:space="preserve">Pro výroční zprávu fondu kvalifikovaných investorů, jehož obhospodařovatel je oprávněn přesáhnout rozhodný limit, se </w:t>
      </w:r>
      <w:r w:rsidRPr="007A14A9">
        <w:rPr>
          <w:rFonts w:eastAsia="MS Mincho"/>
          <w:b/>
          <w:szCs w:val="24"/>
        </w:rPr>
        <w:t xml:space="preserve">§ 233 odst. 4, </w:t>
      </w:r>
      <w:r w:rsidRPr="007A14A9">
        <w:rPr>
          <w:rFonts w:eastAsia="MS Mincho"/>
          <w:szCs w:val="24"/>
        </w:rPr>
        <w:t xml:space="preserve">§ 234 odst. 1 </w:t>
      </w:r>
      <w:r w:rsidRPr="007A14A9">
        <w:rPr>
          <w:rFonts w:eastAsia="MS Mincho"/>
          <w:strike/>
          <w:szCs w:val="24"/>
        </w:rPr>
        <w:t>písm. a), b) a j) a § 234 odst. 2, 6 a 8</w:t>
      </w:r>
      <w:r w:rsidRPr="007A14A9">
        <w:rPr>
          <w:rFonts w:eastAsia="MS Mincho"/>
          <w:b/>
          <w:szCs w:val="24"/>
        </w:rPr>
        <w:t>, § 234 odst. 2 písm. a) a i)</w:t>
      </w:r>
      <w:r w:rsidRPr="007A14A9">
        <w:rPr>
          <w:rFonts w:eastAsia="MS Mincho"/>
          <w:szCs w:val="24"/>
        </w:rPr>
        <w:t xml:space="preserve"> </w:t>
      </w:r>
      <w:r w:rsidRPr="007A14A9">
        <w:rPr>
          <w:rFonts w:eastAsia="MS Mincho"/>
          <w:b/>
          <w:szCs w:val="24"/>
        </w:rPr>
        <w:t>a § 234 odst. 3, 7 a 9</w:t>
      </w:r>
      <w:r w:rsidRPr="007A14A9">
        <w:rPr>
          <w:rFonts w:eastAsia="MS Mincho"/>
          <w:szCs w:val="24"/>
        </w:rPr>
        <w:t xml:space="preserve"> použijí obdobně.</w:t>
      </w:r>
    </w:p>
    <w:p w14:paraId="14E246C2"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 (2) Pro výroční zprávu fondu kvalifikovaných investorů, jehož obhospodařovatel není oprávněn přesáhnout rozhodný limit, se </w:t>
      </w:r>
      <w:hyperlink r:id="rId353" w:history="1">
        <w:r w:rsidRPr="007A14A9">
          <w:rPr>
            <w:rFonts w:eastAsia="MS Mincho"/>
            <w:szCs w:val="24"/>
          </w:rPr>
          <w:t>článek 12</w:t>
        </w:r>
      </w:hyperlink>
      <w:r w:rsidRPr="007A14A9">
        <w:rPr>
          <w:rFonts w:eastAsia="MS Mincho"/>
          <w:szCs w:val="24"/>
        </w:rPr>
        <w:t xml:space="preserve"> nařízení Evropského parlamentu a Rady (EU) č. </w:t>
      </w:r>
      <w:hyperlink r:id="rId354" w:history="1">
        <w:r w:rsidRPr="007A14A9">
          <w:rPr>
            <w:rFonts w:eastAsia="MS Mincho"/>
            <w:szCs w:val="24"/>
          </w:rPr>
          <w:t>345/2013</w:t>
        </w:r>
      </w:hyperlink>
      <w:r w:rsidRPr="007A14A9">
        <w:rPr>
          <w:rFonts w:eastAsia="MS Mincho"/>
          <w:szCs w:val="24"/>
        </w:rPr>
        <w:t xml:space="preserve">, v platném znění použije obdobně. </w:t>
      </w:r>
    </w:p>
    <w:p w14:paraId="59ED2992" w14:textId="2F0A9261" w:rsidR="007A14A9" w:rsidRPr="00554FBC" w:rsidRDefault="007A14A9" w:rsidP="00554FBC">
      <w:pPr>
        <w:tabs>
          <w:tab w:val="left" w:pos="782"/>
          <w:tab w:val="left" w:pos="851"/>
        </w:tabs>
        <w:spacing w:before="120" w:after="120"/>
        <w:outlineLvl w:val="6"/>
        <w:rPr>
          <w:rFonts w:eastAsia="MS Mincho"/>
          <w:szCs w:val="24"/>
        </w:rPr>
      </w:pPr>
      <w:r w:rsidRPr="007A14A9">
        <w:rPr>
          <w:rFonts w:eastAsia="MS Mincho"/>
          <w:szCs w:val="24"/>
        </w:rPr>
        <w:lastRenderedPageBreak/>
        <w:t xml:space="preserve">(3) Česká národní banka stanoví vyhláškou požadavky k obsahu výroční zprávy </w:t>
      </w:r>
      <w:r w:rsidRPr="007A14A9">
        <w:rPr>
          <w:rFonts w:eastAsia="MS Mincho"/>
          <w:b/>
          <w:szCs w:val="24"/>
        </w:rPr>
        <w:t xml:space="preserve">fondu kvalifikovaných investorů </w:t>
      </w:r>
      <w:r w:rsidRPr="007A14A9">
        <w:rPr>
          <w:rFonts w:eastAsia="MS Mincho"/>
          <w:szCs w:val="24"/>
        </w:rPr>
        <w:t>v rozsahu odstavce 1 v rozsahu, který neupravuje přímo použitelný předpis Evropské unie, kterým se provádí směrnice Evropského parlamentu a Rady upravující správce alternativních investičních fondů</w:t>
      </w:r>
      <w:r w:rsidRPr="007A14A9">
        <w:rPr>
          <w:rFonts w:eastAsia="MS Mincho"/>
          <w:szCs w:val="24"/>
          <w:vertAlign w:val="superscript"/>
        </w:rPr>
        <w:t>6)</w:t>
      </w:r>
      <w:r w:rsidRPr="007A14A9">
        <w:rPr>
          <w:rFonts w:eastAsia="MS Mincho"/>
          <w:szCs w:val="24"/>
        </w:rPr>
        <w:t xml:space="preserve">. </w:t>
      </w:r>
    </w:p>
    <w:p w14:paraId="7A60A7AB" w14:textId="77777777" w:rsidR="007A14A9" w:rsidRPr="007A14A9" w:rsidRDefault="007A14A9" w:rsidP="007A14A9">
      <w:pPr>
        <w:keepNext/>
        <w:keepLines/>
        <w:ind w:firstLine="0"/>
        <w:jc w:val="center"/>
        <w:outlineLvl w:val="5"/>
        <w:rPr>
          <w:strike/>
        </w:rPr>
      </w:pPr>
      <w:r w:rsidRPr="007A14A9">
        <w:rPr>
          <w:strike/>
        </w:rPr>
        <w:t>§ 292</w:t>
      </w:r>
    </w:p>
    <w:p w14:paraId="690D3EF5" w14:textId="77777777" w:rsidR="007A14A9" w:rsidRPr="007A14A9" w:rsidRDefault="007A14A9" w:rsidP="007A14A9">
      <w:pPr>
        <w:keepNext/>
        <w:keepLines/>
        <w:ind w:firstLine="0"/>
        <w:jc w:val="center"/>
        <w:outlineLvl w:val="5"/>
        <w:rPr>
          <w:b/>
          <w:strike/>
        </w:rPr>
      </w:pPr>
      <w:r w:rsidRPr="007A14A9">
        <w:rPr>
          <w:b/>
          <w:strike/>
        </w:rPr>
        <w:t xml:space="preserve">Zpráva auditora </w:t>
      </w:r>
    </w:p>
    <w:p w14:paraId="3C353650" w14:textId="77777777" w:rsidR="007A14A9" w:rsidRPr="007A14A9" w:rsidRDefault="007A14A9" w:rsidP="007A14A9">
      <w:pPr>
        <w:tabs>
          <w:tab w:val="left" w:pos="782"/>
          <w:tab w:val="left" w:pos="851"/>
        </w:tabs>
        <w:spacing w:before="120" w:after="120"/>
        <w:outlineLvl w:val="6"/>
        <w:rPr>
          <w:rFonts w:eastAsia="MS Mincho"/>
        </w:rPr>
      </w:pPr>
      <w:r w:rsidRPr="007A14A9">
        <w:rPr>
          <w:rFonts w:eastAsia="MS Mincho"/>
          <w:strike/>
          <w:szCs w:val="24"/>
        </w:rPr>
        <w:t xml:space="preserve">Auditor je povinen vyjádřit se k souladu výroční zprávy fondu kvalifikovaných investorů s účetní závěrkou. </w:t>
      </w:r>
    </w:p>
    <w:p w14:paraId="607177D2" w14:textId="77777777" w:rsidR="007A14A9" w:rsidRPr="007A14A9" w:rsidRDefault="007A14A9" w:rsidP="007A14A9">
      <w:pPr>
        <w:keepNext/>
        <w:keepLines/>
        <w:ind w:firstLine="0"/>
        <w:jc w:val="center"/>
        <w:outlineLvl w:val="5"/>
      </w:pPr>
      <w:r w:rsidRPr="007A14A9">
        <w:t xml:space="preserve">§ 316 </w:t>
      </w:r>
    </w:p>
    <w:p w14:paraId="7C0EAE8B" w14:textId="77777777" w:rsidR="007A14A9" w:rsidRPr="007A14A9" w:rsidRDefault="007A14A9" w:rsidP="007A14A9">
      <w:pPr>
        <w:tabs>
          <w:tab w:val="left" w:pos="782"/>
          <w:tab w:val="left" w:pos="851"/>
        </w:tabs>
        <w:spacing w:before="120" w:after="120"/>
        <w:outlineLvl w:val="6"/>
        <w:rPr>
          <w:rFonts w:eastAsia="MS Mincho"/>
        </w:rPr>
      </w:pPr>
      <w:r w:rsidRPr="007A14A9">
        <w:rPr>
          <w:rFonts w:eastAsia="MS Mincho"/>
        </w:rPr>
        <w:t>(1)</w:t>
      </w:r>
      <w:r w:rsidRPr="007A14A9">
        <w:rPr>
          <w:rFonts w:eastAsia="MS Mincho"/>
        </w:rPr>
        <w:tab/>
        <w:t>Investice do zahraničního investičního fondu srovnatelného se speciálním fondem nebo s fondem kvalifikovaných investorů, jehož domovským státem je jiný členský stát, který obhospodařuje obhospodařovatel, který přesahuje rozhodný limit, se sídlem ve státě, který není členským státem, lze pouze v České republice nabízet ode dne, kdy je tento fond zapsaný v seznamu vedeném Českou národní bankou podle odstavce 2.</w:t>
      </w:r>
    </w:p>
    <w:p w14:paraId="5A4B02FB" w14:textId="77777777" w:rsidR="007A14A9" w:rsidRPr="007A14A9" w:rsidRDefault="007A14A9" w:rsidP="00554FBC">
      <w:pPr>
        <w:pBdr>
          <w:top w:val="single" w:sz="12" w:space="1" w:color="0070C0"/>
          <w:left w:val="single" w:sz="12" w:space="4" w:color="0070C0"/>
          <w:bottom w:val="single" w:sz="12" w:space="1" w:color="0070C0"/>
          <w:right w:val="single" w:sz="12" w:space="4" w:color="0070C0"/>
        </w:pBdr>
        <w:tabs>
          <w:tab w:val="left" w:pos="782"/>
          <w:tab w:val="left" w:pos="851"/>
        </w:tabs>
        <w:spacing w:before="120" w:after="120"/>
        <w:outlineLvl w:val="6"/>
        <w:rPr>
          <w:rFonts w:eastAsia="MS Mincho"/>
        </w:rPr>
      </w:pPr>
      <w:r w:rsidRPr="007A14A9">
        <w:rPr>
          <w:rFonts w:eastAsia="MS Mincho"/>
        </w:rPr>
        <w:t>(2)</w:t>
      </w:r>
      <w:r w:rsidRPr="007A14A9">
        <w:rPr>
          <w:rFonts w:eastAsia="MS Mincho"/>
        </w:rPr>
        <w:tab/>
        <w:t xml:space="preserve">Česká národní banka zapíše zahraniční investiční fond uvedený v odstavci 1 do seznamu podle § 597 písm. d) </w:t>
      </w:r>
      <w:r w:rsidRPr="007A14A9">
        <w:rPr>
          <w:rFonts w:eastAsia="MS Mincho"/>
          <w:strike/>
          <w:color w:val="0070C0"/>
        </w:rPr>
        <w:t>nebo e)</w:t>
      </w:r>
      <w:r w:rsidRPr="007A14A9">
        <w:rPr>
          <w:rFonts w:eastAsia="MS Mincho"/>
        </w:rPr>
        <w:t xml:space="preserve"> na žádost jeho obhospodařovatele do 20 pracovních dnů, jestliže</w:t>
      </w:r>
    </w:p>
    <w:p w14:paraId="0ABE3406" w14:textId="77777777" w:rsidR="007A14A9" w:rsidRPr="007A14A9" w:rsidRDefault="007A14A9" w:rsidP="007A14A9">
      <w:pPr>
        <w:spacing w:before="0"/>
        <w:ind w:left="425" w:hanging="425"/>
        <w:outlineLvl w:val="7"/>
        <w:rPr>
          <w:rFonts w:eastAsia="MS Mincho"/>
        </w:rPr>
      </w:pPr>
      <w:r w:rsidRPr="007A14A9">
        <w:rPr>
          <w:rFonts w:eastAsia="MS Mincho"/>
        </w:rPr>
        <w:t>a)</w:t>
      </w:r>
      <w:r w:rsidRPr="007A14A9">
        <w:rPr>
          <w:rFonts w:eastAsia="MS Mincho"/>
        </w:rPr>
        <w:tab/>
        <w:t>orgán dohledu jiného státu, který udělil obhospodařovateli tohoto fondu oprávnění k obhospodařování tohoto fondu, a Česká národní banka se v souladu s články 113 až 115 nařízení Komise v přenesené pravomoci (EU) č. 231/2013, dohodly na výměně informací nezbytných k výkonu dohledu podle tohoto zákona,</w:t>
      </w:r>
    </w:p>
    <w:p w14:paraId="3DDE7FAE" w14:textId="77777777" w:rsidR="007A14A9" w:rsidRPr="007A14A9" w:rsidRDefault="007A14A9" w:rsidP="007A14A9">
      <w:pPr>
        <w:spacing w:before="0"/>
        <w:ind w:left="425" w:hanging="425"/>
        <w:outlineLvl w:val="7"/>
        <w:rPr>
          <w:rFonts w:eastAsia="MS Mincho"/>
        </w:rPr>
      </w:pPr>
      <w:r w:rsidRPr="007A14A9">
        <w:rPr>
          <w:rFonts w:eastAsia="MS Mincho"/>
        </w:rPr>
        <w:t>b)</w:t>
      </w:r>
      <w:r w:rsidRPr="007A14A9">
        <w:rPr>
          <w:rFonts w:eastAsia="MS Mincho"/>
        </w:rPr>
        <w:tab/>
        <w:t>orgán dohledu jiného státu, který udělil obhospodařovateli tohoto fondu oprávnění k obhospodařování tohoto fondu, a orgán dohledu domovského státu tohoto fondu, se v souladu s články 113 až 115 nařízení Komise v přenesené pravomoci (EU) č. 231/2013, dohodly na výměně informací nezbytných k výkonu dohledu podle práva domovského státu tohoto fondu, kterým se provádí směrnice Evropského parlamentu a Rady upravující správce alternativních investičních fondů, a</w:t>
      </w:r>
    </w:p>
    <w:p w14:paraId="1BD50437" w14:textId="77777777" w:rsidR="007A14A9" w:rsidRPr="007A14A9" w:rsidRDefault="007A14A9" w:rsidP="007A14A9">
      <w:pPr>
        <w:spacing w:before="0"/>
        <w:ind w:left="425" w:hanging="425"/>
        <w:outlineLvl w:val="7"/>
        <w:rPr>
          <w:rFonts w:eastAsia="MS Mincho"/>
        </w:rPr>
      </w:pPr>
      <w:r w:rsidRPr="007A14A9">
        <w:rPr>
          <w:rFonts w:eastAsia="MS Mincho"/>
        </w:rPr>
        <w:t>c)</w:t>
      </w:r>
      <w:r w:rsidRPr="007A14A9">
        <w:rPr>
          <w:rFonts w:eastAsia="MS Mincho"/>
        </w:rPr>
        <w:tab/>
        <w:t>stát, ve kterém má sídlo obhospodařovatel tohoto fondu, není uveden na seznamu nespolupracujících zemí a teritorií vypracovaném Finančním akčním výborem proti praní peněz Organizace pro hospodářskou spolupráci a rozvoj.</w:t>
      </w:r>
    </w:p>
    <w:p w14:paraId="560F68D4" w14:textId="77777777" w:rsidR="007A14A9" w:rsidRPr="007A14A9" w:rsidRDefault="007A14A9" w:rsidP="007A14A9">
      <w:pPr>
        <w:tabs>
          <w:tab w:val="left" w:pos="782"/>
          <w:tab w:val="left" w:pos="851"/>
        </w:tabs>
        <w:spacing w:before="120" w:after="120"/>
        <w:outlineLvl w:val="6"/>
        <w:rPr>
          <w:rFonts w:eastAsia="MS Mincho"/>
        </w:rPr>
      </w:pPr>
      <w:r w:rsidRPr="007A14A9">
        <w:rPr>
          <w:rFonts w:eastAsia="MS Mincho"/>
        </w:rPr>
        <w:t>(3)</w:t>
      </w:r>
      <w:r w:rsidRPr="007A14A9">
        <w:rPr>
          <w:rFonts w:eastAsia="MS Mincho"/>
        </w:rPr>
        <w:tab/>
        <w:t xml:space="preserve">Při nabízení investic podle odstavce 1 plní obhospodařovatel dotčeného zahraničního investičního fondu ve vztahu k tomuto fondu, České národní bance a investorům se sídlem nebo bydlištěm v České republice povinnosti uložené obhospodařovateli oprávněnému přesáhnout rozhodný limit podle § 34 až 37, § 233 až </w:t>
      </w:r>
      <w:r w:rsidRPr="007A14A9">
        <w:rPr>
          <w:rFonts w:eastAsia="MS Mincho"/>
          <w:strike/>
        </w:rPr>
        <w:t>235</w:t>
      </w:r>
      <w:r w:rsidRPr="007A14A9">
        <w:rPr>
          <w:rFonts w:eastAsia="MS Mincho"/>
          <w:b/>
        </w:rPr>
        <w:t>234</w:t>
      </w:r>
      <w:r w:rsidRPr="007A14A9">
        <w:rPr>
          <w:rFonts w:eastAsia="MS Mincho"/>
        </w:rPr>
        <w:t>, § 241, 290, 291, 293, 463, 464 a 557 obdobně.</w:t>
      </w:r>
    </w:p>
    <w:p w14:paraId="2835655C" w14:textId="77777777" w:rsidR="007A14A9" w:rsidRPr="007A14A9" w:rsidRDefault="007A14A9" w:rsidP="007A14A9">
      <w:pPr>
        <w:tabs>
          <w:tab w:val="left" w:pos="782"/>
          <w:tab w:val="left" w:pos="851"/>
        </w:tabs>
        <w:spacing w:before="120" w:after="120"/>
        <w:outlineLvl w:val="6"/>
        <w:rPr>
          <w:rFonts w:eastAsia="MS Mincho"/>
        </w:rPr>
      </w:pPr>
      <w:r w:rsidRPr="007A14A9">
        <w:rPr>
          <w:rFonts w:eastAsia="MS Mincho"/>
        </w:rPr>
        <w:t>(4)</w:t>
      </w:r>
      <w:r w:rsidRPr="007A14A9">
        <w:rPr>
          <w:rFonts w:eastAsia="MS Mincho"/>
        </w:rPr>
        <w:tab/>
        <w:t xml:space="preserve">Povinnosti stanovené v odstavci 3 musí být plněny i poté, co investice podle odstavce 1 přestaly být v České republice nabízeny, a to až do vypořádání závazků vůči osobám ve srovnatelném postavení s podílníky, obmyšlenými, zakladateli, společníky nebo tichými společníky dotčeného zahraničního investičního fondu, kteří mají sídlo nebo bydliště v České republice, a v případě zařízení srovnatelného se </w:t>
      </w:r>
      <w:proofErr w:type="spellStart"/>
      <w:r w:rsidRPr="007A14A9">
        <w:rPr>
          <w:rFonts w:eastAsia="MS Mincho"/>
        </w:rPr>
        <w:t>svěřenským</w:t>
      </w:r>
      <w:proofErr w:type="spellEnd"/>
      <w:r w:rsidRPr="007A14A9">
        <w:rPr>
          <w:rFonts w:eastAsia="MS Mincho"/>
        </w:rPr>
        <w:t xml:space="preserve"> fondem i těmi, kteří zvýšili majetek tohoto zařízení jako dotčeného zahraničního investičního fondu smlouvy a mají sídlo nebo bydliště v České republice.</w:t>
      </w:r>
    </w:p>
    <w:p w14:paraId="237E33D2" w14:textId="77777777" w:rsidR="007A14A9" w:rsidRPr="007A14A9" w:rsidRDefault="007A14A9" w:rsidP="007A14A9">
      <w:pPr>
        <w:tabs>
          <w:tab w:val="left" w:pos="782"/>
          <w:tab w:val="left" w:pos="851"/>
        </w:tabs>
        <w:spacing w:before="120" w:after="120"/>
        <w:outlineLvl w:val="6"/>
        <w:rPr>
          <w:rFonts w:eastAsia="MS Mincho"/>
        </w:rPr>
      </w:pPr>
      <w:r w:rsidRPr="007A14A9">
        <w:rPr>
          <w:rFonts w:eastAsia="MS Mincho"/>
        </w:rPr>
        <w:lastRenderedPageBreak/>
        <w:t>(5)</w:t>
      </w:r>
      <w:r w:rsidRPr="007A14A9">
        <w:rPr>
          <w:rFonts w:eastAsia="MS Mincho"/>
        </w:rPr>
        <w:tab/>
        <w:t>Zakazuje se nabízet v České republice investice podle odstavce 1 po dni, který určí akt v přenesené působnosti přijatý Evropskou komisí na základě článku 68 odst. 6 směrnice Evropského parlamentu a Rady upravující správce alternativních investičních fondů jako den, k němuž se musí ukončit vnitrostátní režimy upravené v článcích 36 a 42 této směrnice a režim pasu stanovený v článcích 35 a 37 až 41 této směrnice se stane jediným povinným režimem platným ve všech členských státech.</w:t>
      </w:r>
    </w:p>
    <w:p w14:paraId="201E11D3" w14:textId="55A1C6AB" w:rsidR="007A14A9" w:rsidRPr="007A14A9" w:rsidRDefault="007A14A9" w:rsidP="00554FBC">
      <w:pPr>
        <w:tabs>
          <w:tab w:val="left" w:pos="782"/>
          <w:tab w:val="left" w:pos="851"/>
        </w:tabs>
        <w:spacing w:before="120" w:after="120"/>
        <w:outlineLvl w:val="6"/>
        <w:rPr>
          <w:rFonts w:eastAsia="MS Mincho"/>
        </w:rPr>
      </w:pPr>
      <w:r w:rsidRPr="007A14A9">
        <w:rPr>
          <w:rFonts w:eastAsia="MS Mincho"/>
        </w:rPr>
        <w:t>(6)</w:t>
      </w:r>
      <w:r w:rsidRPr="007A14A9">
        <w:rPr>
          <w:rFonts w:eastAsia="MS Mincho"/>
        </w:rPr>
        <w:tab/>
        <w:t>Žádost podle odstavce 2 lze podat pouze elektronicky; žádost musí obsahovat údaje a doklady prokazující splnění podmínek stanovených tímto zákonem. Česká národní banka stanoví vyhláškou náležitosti žádosti osvědčující splnění podmínek stanovených tímto zákonem, její formu a způsob podání.</w:t>
      </w:r>
    </w:p>
    <w:p w14:paraId="3C9E911D" w14:textId="77777777" w:rsidR="007A14A9" w:rsidRPr="007A14A9" w:rsidRDefault="007A14A9" w:rsidP="007A14A9">
      <w:pPr>
        <w:keepNext/>
        <w:keepLines/>
        <w:ind w:firstLine="0"/>
        <w:jc w:val="center"/>
        <w:outlineLvl w:val="5"/>
        <w:rPr>
          <w:rFonts w:eastAsia="MS Mincho"/>
        </w:rPr>
      </w:pPr>
      <w:r w:rsidRPr="007A14A9">
        <w:rPr>
          <w:rFonts w:eastAsia="MS Mincho"/>
        </w:rPr>
        <w:t xml:space="preserve">§ 337 </w:t>
      </w:r>
    </w:p>
    <w:p w14:paraId="2A31C7A0" w14:textId="77777777" w:rsidR="007A14A9" w:rsidRPr="007A14A9" w:rsidRDefault="007A14A9" w:rsidP="007A14A9">
      <w:pPr>
        <w:outlineLvl w:val="5"/>
        <w:rPr>
          <w:rFonts w:eastAsia="MS Mincho"/>
        </w:rPr>
      </w:pPr>
      <w:r w:rsidRPr="007A14A9">
        <w:rPr>
          <w:rFonts w:eastAsia="MS Mincho"/>
        </w:rPr>
        <w:t>Investiční společnost oprávněná přesáhnout rozhodný limit může obhospodařovat zahraniční investiční fond, jehož domovským státem není členský stát, nejsou-li investice do tohoto fondu nabízeny v členském státě, jestliže</w:t>
      </w:r>
    </w:p>
    <w:p w14:paraId="52C4008B" w14:textId="77777777" w:rsidR="007A14A9" w:rsidRPr="007A14A9" w:rsidRDefault="007A14A9" w:rsidP="007A14A9">
      <w:pPr>
        <w:spacing w:before="0"/>
        <w:ind w:left="425" w:hanging="425"/>
        <w:outlineLvl w:val="7"/>
        <w:rPr>
          <w:rFonts w:eastAsia="MS Mincho"/>
        </w:rPr>
      </w:pPr>
      <w:r w:rsidRPr="007A14A9">
        <w:rPr>
          <w:rFonts w:eastAsia="MS Mincho"/>
        </w:rPr>
        <w:t>a)</w:t>
      </w:r>
      <w:r w:rsidRPr="007A14A9">
        <w:rPr>
          <w:rFonts w:eastAsia="MS Mincho"/>
        </w:rPr>
        <w:tab/>
        <w:t xml:space="preserve">plní při obhospodařování tohoto zahraničního investičního fondu povinnosti uložené obhospodařovateli oprávněnému přesáhnout rozhodný limit tímto zákonem, na základě tohoto zákona nebo přímo použitelným předpisem Evropské unie vydaným na základě směrnice Evropského parlamentu a Rady upravující správce alternativních investičních fondů, s výjimkou povinností stanovených v § 60 až 91, § 233 až 236 a § 290 až </w:t>
      </w:r>
      <w:r w:rsidRPr="007A14A9">
        <w:rPr>
          <w:rFonts w:eastAsia="MS Mincho"/>
          <w:strike/>
        </w:rPr>
        <w:t>292</w:t>
      </w:r>
      <w:r w:rsidRPr="007A14A9">
        <w:rPr>
          <w:rFonts w:eastAsia="MS Mincho"/>
        </w:rPr>
        <w:t xml:space="preserve"> </w:t>
      </w:r>
      <w:r w:rsidRPr="007A14A9">
        <w:rPr>
          <w:rFonts w:eastAsia="MS Mincho"/>
          <w:b/>
        </w:rPr>
        <w:t>291</w:t>
      </w:r>
      <w:r w:rsidRPr="007A14A9">
        <w:rPr>
          <w:rFonts w:eastAsia="MS Mincho"/>
        </w:rPr>
        <w:t>, a</w:t>
      </w:r>
    </w:p>
    <w:p w14:paraId="264A4833" w14:textId="133A3B35" w:rsidR="007A14A9" w:rsidRPr="00554FBC" w:rsidRDefault="007A14A9" w:rsidP="00554FBC">
      <w:pPr>
        <w:spacing w:before="0"/>
        <w:ind w:left="425" w:hanging="425"/>
        <w:outlineLvl w:val="7"/>
        <w:rPr>
          <w:rFonts w:eastAsia="MS Mincho"/>
          <w:szCs w:val="24"/>
        </w:rPr>
      </w:pPr>
      <w:r w:rsidRPr="007A14A9">
        <w:rPr>
          <w:rFonts w:eastAsia="MS Mincho"/>
        </w:rPr>
        <w:t>b)</w:t>
      </w:r>
      <w:r w:rsidRPr="007A14A9">
        <w:rPr>
          <w:rFonts w:eastAsia="MS Mincho"/>
        </w:rPr>
        <w:tab/>
        <w:t>orgán dohledu domovského státu tohoto zahraničního investičního fondu a Česká národní banka se v souladu s články 113 až 115 nařízení Komise v přenesené pravomoci (EU) č. 231/2013, dohodly na výměně informací nezbytných k výkonu dohledu podle tohoto zákona.</w:t>
      </w:r>
      <w:r w:rsidRPr="007A14A9">
        <w:rPr>
          <w:rFonts w:eastAsia="MS Mincho"/>
          <w:szCs w:val="24"/>
        </w:rPr>
        <w:tab/>
      </w:r>
    </w:p>
    <w:p w14:paraId="0AC09C1B" w14:textId="77777777" w:rsidR="007A14A9" w:rsidRPr="007A14A9" w:rsidRDefault="007A14A9" w:rsidP="007A14A9">
      <w:pPr>
        <w:keepNext/>
        <w:keepLines/>
        <w:ind w:firstLine="0"/>
        <w:jc w:val="center"/>
        <w:outlineLvl w:val="5"/>
      </w:pPr>
      <w:r w:rsidRPr="007A14A9">
        <w:t>§ 394</w:t>
      </w:r>
    </w:p>
    <w:p w14:paraId="1A31678A" w14:textId="77777777" w:rsidR="007A14A9" w:rsidRPr="007A14A9" w:rsidRDefault="007A14A9" w:rsidP="007A14A9">
      <w:pPr>
        <w:keepNext/>
        <w:keepLines/>
        <w:ind w:firstLine="0"/>
        <w:jc w:val="center"/>
        <w:outlineLvl w:val="5"/>
        <w:rPr>
          <w:b/>
        </w:rPr>
      </w:pPr>
      <w:r w:rsidRPr="007A14A9">
        <w:rPr>
          <w:b/>
        </w:rPr>
        <w:t xml:space="preserve">Rozhodný den splynutí </w:t>
      </w:r>
    </w:p>
    <w:p w14:paraId="745DE7A8"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(1) Podílový fond, popřípadě i zahraniční investiční fond srovnatelný se standardním fondem, který se splynutí účastní, se zrušuje a vlastníci cenných papírů nebo zaknihovaných cenných papírů vydávaných tímto fondem se stávají vlastníky cenných papírů nebo zaknihovaných cenných papírů vydávaných podílovým fondem, popřípadě i zahraničním investičním fondem srovnatelným se standardním fondem, který má splynutím vzniknout, uplynutím určené lhůty k rozhodnému dni splynutí</w:t>
      </w:r>
      <w:r w:rsidRPr="007A14A9">
        <w:rPr>
          <w:rFonts w:eastAsia="MS Mincho"/>
          <w:b/>
          <w:szCs w:val="24"/>
        </w:rPr>
        <w:t xml:space="preserve"> podle zákona upravujícího účetnictví</w:t>
      </w:r>
      <w:r w:rsidRPr="007A14A9">
        <w:rPr>
          <w:rFonts w:eastAsia="MS Mincho"/>
          <w:szCs w:val="24"/>
        </w:rPr>
        <w:t xml:space="preserve">. </w:t>
      </w:r>
    </w:p>
    <w:p w14:paraId="518CFFA8" w14:textId="77777777" w:rsidR="007A14A9" w:rsidRPr="007A14A9" w:rsidRDefault="007A14A9" w:rsidP="007A14A9">
      <w:pPr>
        <w:tabs>
          <w:tab w:val="left" w:pos="782"/>
          <w:tab w:val="left" w:pos="851"/>
        </w:tabs>
        <w:spacing w:before="120" w:after="120"/>
        <w:outlineLvl w:val="6"/>
        <w:rPr>
          <w:rFonts w:eastAsia="MS Mincho"/>
          <w:strike/>
          <w:szCs w:val="24"/>
        </w:rPr>
      </w:pPr>
      <w:r w:rsidRPr="007A14A9">
        <w:rPr>
          <w:rFonts w:eastAsia="MS Mincho"/>
          <w:strike/>
          <w:szCs w:val="24"/>
        </w:rPr>
        <w:t xml:space="preserve">(2) Rozhodný den splynutí je rovněž den, od něhož se jmění v podílovém fondu, popřípadě i v zahraničním investičním fondu srovnatelném se standardním fondem, který má být splynutím zrušen, považuje z účetního hlediska za jmění v podílovém fondu, popřípadě i zahraničním investičním fondu srovnatelném se standardním fondem, který má splynutím vzniknout. </w:t>
      </w:r>
    </w:p>
    <w:p w14:paraId="2938B1F7" w14:textId="77777777" w:rsidR="007A14A9" w:rsidRPr="007A14A9" w:rsidRDefault="007A14A9" w:rsidP="007A14A9">
      <w:pPr>
        <w:tabs>
          <w:tab w:val="left" w:pos="782"/>
          <w:tab w:val="left" w:pos="851"/>
        </w:tabs>
        <w:spacing w:before="120" w:after="120"/>
        <w:outlineLvl w:val="6"/>
        <w:rPr>
          <w:rFonts w:eastAsia="MS Mincho"/>
          <w:szCs w:val="24"/>
        </w:rPr>
      </w:pPr>
      <w:r w:rsidRPr="007A14A9" w:rsidDel="00E612AE">
        <w:rPr>
          <w:rFonts w:eastAsia="MS Mincho"/>
          <w:b/>
          <w:szCs w:val="24"/>
        </w:rPr>
        <w:t xml:space="preserve"> </w:t>
      </w:r>
      <w:proofErr w:type="gramStart"/>
      <w:r w:rsidRPr="007A14A9">
        <w:rPr>
          <w:rFonts w:eastAsia="MS Mincho"/>
          <w:strike/>
          <w:szCs w:val="24"/>
        </w:rPr>
        <w:t>(3)</w:t>
      </w:r>
      <w:r w:rsidRPr="007A14A9">
        <w:rPr>
          <w:rFonts w:eastAsia="MS Mincho"/>
          <w:b/>
          <w:szCs w:val="24"/>
        </w:rPr>
        <w:t>(2)</w:t>
      </w:r>
      <w:r w:rsidRPr="007A14A9">
        <w:rPr>
          <w:rFonts w:eastAsia="MS Mincho"/>
          <w:szCs w:val="24"/>
        </w:rPr>
        <w:t xml:space="preserve"> Rozhodný</w:t>
      </w:r>
      <w:proofErr w:type="gramEnd"/>
      <w:r w:rsidRPr="007A14A9">
        <w:rPr>
          <w:rFonts w:eastAsia="MS Mincho"/>
          <w:szCs w:val="24"/>
        </w:rPr>
        <w:t xml:space="preserve"> den splynutí nesmí předcházet dni, v němž rozhodnutí o povolení splynutí vydané Českou národní bankou nebo orgánem dohledu domovského státu zahraničního investičního fondu srovnatelného se standardním fondem nabude právní moci. </w:t>
      </w:r>
    </w:p>
    <w:p w14:paraId="7F1013B6" w14:textId="77777777" w:rsidR="007A14A9" w:rsidRPr="007A14A9" w:rsidRDefault="007A14A9" w:rsidP="007A14A9">
      <w:pPr>
        <w:tabs>
          <w:tab w:val="left" w:pos="782"/>
          <w:tab w:val="left" w:pos="851"/>
        </w:tabs>
        <w:spacing w:before="120" w:after="120"/>
        <w:outlineLvl w:val="6"/>
        <w:rPr>
          <w:rFonts w:eastAsia="MS Mincho"/>
          <w:szCs w:val="24"/>
        </w:rPr>
      </w:pPr>
      <w:proofErr w:type="gramStart"/>
      <w:r w:rsidRPr="007A14A9">
        <w:rPr>
          <w:rFonts w:eastAsia="MS Mincho"/>
          <w:strike/>
          <w:szCs w:val="24"/>
        </w:rPr>
        <w:t>(4)</w:t>
      </w:r>
      <w:r w:rsidRPr="007A14A9">
        <w:rPr>
          <w:rFonts w:eastAsia="MS Mincho"/>
          <w:b/>
          <w:szCs w:val="24"/>
        </w:rPr>
        <w:t>(3)</w:t>
      </w:r>
      <w:r w:rsidRPr="007A14A9">
        <w:rPr>
          <w:rFonts w:eastAsia="MS Mincho"/>
          <w:szCs w:val="24"/>
        </w:rPr>
        <w:t xml:space="preserve"> Zrušuje</w:t>
      </w:r>
      <w:proofErr w:type="gramEnd"/>
      <w:r w:rsidRPr="007A14A9">
        <w:rPr>
          <w:rFonts w:eastAsia="MS Mincho"/>
          <w:szCs w:val="24"/>
        </w:rPr>
        <w:t xml:space="preserve">-li se splynutím standardní fond a vzniká-li splynutím zahraniční investiční fond srovnatelný se standardním fondem, stávají se podílníci standardního fondu, který má být splynutím zrušen, vlastníky cenných papírů nebo zaknihovaných cenných papírů vydávaných </w:t>
      </w:r>
      <w:r w:rsidRPr="007A14A9">
        <w:rPr>
          <w:rFonts w:eastAsia="MS Mincho"/>
          <w:szCs w:val="24"/>
        </w:rPr>
        <w:lastRenderedPageBreak/>
        <w:t xml:space="preserve">zahraničním investičním fondem srovnatelným se standardním fondem, který má splynutím vzniknout, ke dni, který vyplývá z práva domovského státu tohoto fondu. </w:t>
      </w:r>
    </w:p>
    <w:p w14:paraId="26D13C28" w14:textId="77777777" w:rsidR="007A14A9" w:rsidRPr="007A14A9" w:rsidRDefault="007A14A9" w:rsidP="007A14A9">
      <w:pPr>
        <w:tabs>
          <w:tab w:val="left" w:pos="782"/>
          <w:tab w:val="left" w:pos="851"/>
        </w:tabs>
        <w:spacing w:before="120" w:after="120"/>
        <w:outlineLvl w:val="6"/>
        <w:rPr>
          <w:rFonts w:eastAsia="MS Mincho"/>
          <w:szCs w:val="24"/>
        </w:rPr>
      </w:pPr>
      <w:proofErr w:type="gramStart"/>
      <w:r w:rsidRPr="007A14A9">
        <w:rPr>
          <w:rFonts w:eastAsia="MS Mincho"/>
          <w:strike/>
          <w:szCs w:val="24"/>
        </w:rPr>
        <w:t>(5)</w:t>
      </w:r>
      <w:r w:rsidRPr="007A14A9">
        <w:rPr>
          <w:rFonts w:eastAsia="MS Mincho"/>
          <w:b/>
          <w:szCs w:val="24"/>
        </w:rPr>
        <w:t>(4)</w:t>
      </w:r>
      <w:r w:rsidRPr="007A14A9">
        <w:rPr>
          <w:rFonts w:eastAsia="MS Mincho"/>
          <w:szCs w:val="24"/>
        </w:rPr>
        <w:t xml:space="preserve"> Účastní</w:t>
      </w:r>
      <w:proofErr w:type="gramEnd"/>
      <w:r w:rsidRPr="007A14A9">
        <w:rPr>
          <w:rFonts w:eastAsia="MS Mincho"/>
          <w:szCs w:val="24"/>
        </w:rPr>
        <w:t>-li se splynutí řídící fond, může rozhodný den splynutí nastat nejdříve 60 dní ode dne uveřejnění oznámení o tom, že se řídící fond zrušuje (</w:t>
      </w:r>
      <w:hyperlink r:id="rId355" w:history="1">
        <w:r w:rsidRPr="007A14A9">
          <w:rPr>
            <w:rFonts w:eastAsia="MS Mincho"/>
            <w:szCs w:val="24"/>
          </w:rPr>
          <w:t>§ 435 odst. 1</w:t>
        </w:r>
      </w:hyperlink>
      <w:r w:rsidRPr="007A14A9">
        <w:rPr>
          <w:rFonts w:eastAsia="MS Mincho"/>
          <w:szCs w:val="24"/>
        </w:rPr>
        <w:t xml:space="preserve">). </w:t>
      </w:r>
    </w:p>
    <w:p w14:paraId="43FD9AEE" w14:textId="77777777" w:rsidR="007A14A9" w:rsidRPr="007A14A9" w:rsidRDefault="007A14A9" w:rsidP="007A14A9">
      <w:pPr>
        <w:tabs>
          <w:tab w:val="left" w:pos="782"/>
          <w:tab w:val="left" w:pos="851"/>
        </w:tabs>
        <w:spacing w:before="120" w:after="120"/>
        <w:outlineLvl w:val="6"/>
        <w:rPr>
          <w:rFonts w:eastAsia="MS Mincho"/>
          <w:szCs w:val="24"/>
        </w:rPr>
      </w:pPr>
      <w:proofErr w:type="gramStart"/>
      <w:r w:rsidRPr="007A14A9">
        <w:rPr>
          <w:rFonts w:eastAsia="MS Mincho"/>
          <w:strike/>
          <w:szCs w:val="24"/>
        </w:rPr>
        <w:t>(6)</w:t>
      </w:r>
      <w:r w:rsidRPr="007A14A9">
        <w:rPr>
          <w:rFonts w:eastAsia="MS Mincho"/>
          <w:b/>
          <w:szCs w:val="24"/>
        </w:rPr>
        <w:t xml:space="preserve">(5) </w:t>
      </w:r>
      <w:r w:rsidRPr="007A14A9">
        <w:rPr>
          <w:rFonts w:eastAsia="MS Mincho"/>
          <w:szCs w:val="24"/>
        </w:rPr>
        <w:t>Po</w:t>
      </w:r>
      <w:proofErr w:type="gramEnd"/>
      <w:r w:rsidRPr="007A14A9">
        <w:rPr>
          <w:rFonts w:eastAsia="MS Mincho"/>
          <w:szCs w:val="24"/>
        </w:rPr>
        <w:t xml:space="preserve"> rozhodném dni splynutí nemůže být projekt splynutí změněn nebo zrušen ani nemůže být splynutí nebo rozhodnutí o něm prohlášeno za neplatné. </w:t>
      </w:r>
    </w:p>
    <w:p w14:paraId="732D727A" w14:textId="77777777" w:rsidR="007A14A9" w:rsidRPr="007A14A9" w:rsidRDefault="007A14A9" w:rsidP="007A14A9">
      <w:pPr>
        <w:keepNext/>
        <w:keepLines/>
        <w:ind w:firstLine="0"/>
        <w:jc w:val="center"/>
        <w:outlineLvl w:val="5"/>
      </w:pPr>
      <w:r w:rsidRPr="007A14A9">
        <w:t>§ 410</w:t>
      </w:r>
    </w:p>
    <w:p w14:paraId="318DA03E" w14:textId="77777777" w:rsidR="007A14A9" w:rsidRPr="007A14A9" w:rsidRDefault="007A14A9" w:rsidP="007A14A9">
      <w:pPr>
        <w:keepNext/>
        <w:keepLines/>
        <w:ind w:firstLine="0"/>
        <w:jc w:val="center"/>
        <w:outlineLvl w:val="5"/>
        <w:rPr>
          <w:b/>
        </w:rPr>
      </w:pPr>
      <w:r w:rsidRPr="007A14A9">
        <w:rPr>
          <w:b/>
        </w:rPr>
        <w:t xml:space="preserve">Rozhodný den sloučení </w:t>
      </w:r>
    </w:p>
    <w:p w14:paraId="21492FFC"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(1)</w:t>
      </w:r>
      <w:r w:rsidRPr="007A14A9">
        <w:rPr>
          <w:rFonts w:eastAsia="MS Mincho"/>
          <w:szCs w:val="24"/>
        </w:rPr>
        <w:tab/>
        <w:t>Podílový fond, popřípadě i zahraniční investiční fond srovnatelný se standardním fondem, který má být sloučením zrušen, se zrušuje a vlastníci cenných papírů nebo zaknihovaných cenných papírů vydávaných tímto fondem se stávají podílníky přejímajícího podílového fondu uplynutím určené lhůty k rozhodnému dni sloučení</w:t>
      </w:r>
      <w:r w:rsidRPr="007A14A9">
        <w:rPr>
          <w:rFonts w:eastAsia="MS Mincho"/>
          <w:b/>
          <w:szCs w:val="24"/>
        </w:rPr>
        <w:t xml:space="preserve"> podle zákona upravujícího účetnictví</w:t>
      </w:r>
      <w:r w:rsidRPr="007A14A9">
        <w:rPr>
          <w:rFonts w:eastAsia="MS Mincho"/>
          <w:szCs w:val="24"/>
        </w:rPr>
        <w:t xml:space="preserve">. </w:t>
      </w:r>
    </w:p>
    <w:p w14:paraId="0FC298A3" w14:textId="77777777" w:rsidR="007A14A9" w:rsidRPr="007A14A9" w:rsidRDefault="007A14A9" w:rsidP="007A14A9">
      <w:pPr>
        <w:tabs>
          <w:tab w:val="left" w:pos="782"/>
          <w:tab w:val="left" w:pos="851"/>
        </w:tabs>
        <w:spacing w:before="120" w:after="120"/>
        <w:outlineLvl w:val="6"/>
        <w:rPr>
          <w:rFonts w:eastAsia="MS Mincho"/>
          <w:strike/>
          <w:szCs w:val="24"/>
        </w:rPr>
      </w:pPr>
      <w:r w:rsidRPr="007A14A9">
        <w:rPr>
          <w:rFonts w:eastAsia="MS Mincho"/>
          <w:strike/>
          <w:szCs w:val="24"/>
        </w:rPr>
        <w:t>(2) Rozhodný den sloučení je rovněž den, od něhož se jmění v podílovém fondu, popřípadě i v zahraničním investičním fondu srovnatelném se standardním fondem, který má být sloučením zrušen, považuje z účetního hlediska za jmění v přejímajícím podílovém fondu.</w:t>
      </w:r>
    </w:p>
    <w:p w14:paraId="376660A2" w14:textId="77777777" w:rsidR="007A14A9" w:rsidRPr="007A14A9" w:rsidRDefault="007A14A9" w:rsidP="007A14A9">
      <w:pPr>
        <w:tabs>
          <w:tab w:val="left" w:pos="782"/>
          <w:tab w:val="left" w:pos="851"/>
        </w:tabs>
        <w:spacing w:before="120" w:after="120"/>
        <w:outlineLvl w:val="6"/>
        <w:rPr>
          <w:rFonts w:eastAsia="MS Mincho"/>
          <w:strike/>
          <w:szCs w:val="24"/>
        </w:rPr>
      </w:pPr>
    </w:p>
    <w:p w14:paraId="6D960243" w14:textId="77777777" w:rsidR="007A14A9" w:rsidRPr="007A14A9" w:rsidRDefault="007A14A9" w:rsidP="007A14A9">
      <w:pPr>
        <w:tabs>
          <w:tab w:val="left" w:pos="782"/>
          <w:tab w:val="left" w:pos="851"/>
        </w:tabs>
        <w:spacing w:before="120" w:after="120"/>
        <w:outlineLvl w:val="6"/>
        <w:rPr>
          <w:rFonts w:eastAsia="MS Mincho"/>
          <w:szCs w:val="24"/>
        </w:rPr>
      </w:pPr>
      <w:r w:rsidRPr="007A14A9" w:rsidDel="00E612AE">
        <w:rPr>
          <w:rFonts w:eastAsia="MS Mincho"/>
          <w:b/>
          <w:szCs w:val="24"/>
        </w:rPr>
        <w:t xml:space="preserve"> </w:t>
      </w:r>
      <w:proofErr w:type="gramStart"/>
      <w:r w:rsidRPr="007A14A9">
        <w:rPr>
          <w:rFonts w:eastAsia="MS Mincho"/>
          <w:strike/>
          <w:szCs w:val="24"/>
        </w:rPr>
        <w:t>(3)</w:t>
      </w:r>
      <w:r w:rsidRPr="007A14A9">
        <w:rPr>
          <w:rFonts w:eastAsia="MS Mincho"/>
          <w:b/>
          <w:szCs w:val="24"/>
        </w:rPr>
        <w:t xml:space="preserve">(2) </w:t>
      </w:r>
      <w:r w:rsidRPr="007A14A9">
        <w:rPr>
          <w:rFonts w:eastAsia="MS Mincho"/>
          <w:szCs w:val="24"/>
        </w:rPr>
        <w:t>Rozhodný</w:t>
      </w:r>
      <w:proofErr w:type="gramEnd"/>
      <w:r w:rsidRPr="007A14A9">
        <w:rPr>
          <w:rFonts w:eastAsia="MS Mincho"/>
          <w:szCs w:val="24"/>
        </w:rPr>
        <w:t xml:space="preserve"> den sloučení nesmí předcházet dni, v němž rozhodnutí o povolení sloučení vydané Českou národní bankou a orgánem dohledu domovského státu zahraničního investičního fondu srovnatelného se standardním fondem nabude právní moci. </w:t>
      </w:r>
    </w:p>
    <w:p w14:paraId="2EE1B542" w14:textId="77777777" w:rsidR="007A14A9" w:rsidRPr="007A14A9" w:rsidRDefault="007A14A9" w:rsidP="007A14A9">
      <w:pPr>
        <w:tabs>
          <w:tab w:val="left" w:pos="782"/>
          <w:tab w:val="left" w:pos="851"/>
        </w:tabs>
        <w:spacing w:before="120" w:after="120"/>
        <w:outlineLvl w:val="6"/>
        <w:rPr>
          <w:rFonts w:eastAsia="MS Mincho"/>
          <w:szCs w:val="24"/>
        </w:rPr>
      </w:pPr>
      <w:proofErr w:type="gramStart"/>
      <w:r w:rsidRPr="007A14A9">
        <w:rPr>
          <w:rFonts w:eastAsia="MS Mincho"/>
          <w:strike/>
          <w:szCs w:val="24"/>
        </w:rPr>
        <w:t>(4)</w:t>
      </w:r>
      <w:r w:rsidRPr="007A14A9">
        <w:rPr>
          <w:rFonts w:eastAsia="MS Mincho"/>
          <w:b/>
          <w:szCs w:val="24"/>
        </w:rPr>
        <w:t xml:space="preserve">(3) </w:t>
      </w:r>
      <w:r w:rsidRPr="007A14A9">
        <w:rPr>
          <w:rFonts w:eastAsia="MS Mincho"/>
          <w:szCs w:val="24"/>
        </w:rPr>
        <w:t>Zrušuje</w:t>
      </w:r>
      <w:proofErr w:type="gramEnd"/>
      <w:r w:rsidRPr="007A14A9">
        <w:rPr>
          <w:rFonts w:eastAsia="MS Mincho"/>
          <w:szCs w:val="24"/>
        </w:rPr>
        <w:t xml:space="preserve">-li se sloučením standardní fond a je-li přejímajícím fondem zahraniční investiční fond srovnatelný se standardním fondem, stávají se podílníci standardního fondu, který má být sloučením zrušen, vlastníky cenných papírů nebo zaknihovaných cenných papírů vydávaných přejímajícím zahraničním investičním fondem srovnatelným se standardním fondem ke dni, který vyplývá z práva domovského státu tohoto fondu. </w:t>
      </w:r>
    </w:p>
    <w:p w14:paraId="23F374A1" w14:textId="77777777" w:rsidR="007A14A9" w:rsidRPr="007A14A9" w:rsidRDefault="007A14A9" w:rsidP="007A14A9">
      <w:pPr>
        <w:tabs>
          <w:tab w:val="left" w:pos="782"/>
          <w:tab w:val="left" w:pos="851"/>
        </w:tabs>
        <w:spacing w:before="120" w:after="120"/>
        <w:outlineLvl w:val="6"/>
        <w:rPr>
          <w:rFonts w:eastAsia="MS Mincho"/>
          <w:szCs w:val="24"/>
        </w:rPr>
      </w:pPr>
      <w:proofErr w:type="gramStart"/>
      <w:r w:rsidRPr="007A14A9">
        <w:rPr>
          <w:rFonts w:eastAsia="MS Mincho"/>
          <w:strike/>
          <w:szCs w:val="24"/>
        </w:rPr>
        <w:t>(5)</w:t>
      </w:r>
      <w:r w:rsidRPr="007A14A9">
        <w:rPr>
          <w:rFonts w:eastAsia="MS Mincho"/>
          <w:b/>
          <w:szCs w:val="24"/>
        </w:rPr>
        <w:t>(4)</w:t>
      </w:r>
      <w:r w:rsidRPr="007A14A9">
        <w:rPr>
          <w:rFonts w:eastAsia="MS Mincho"/>
          <w:szCs w:val="24"/>
        </w:rPr>
        <w:t xml:space="preserve"> Účastní</w:t>
      </w:r>
      <w:proofErr w:type="gramEnd"/>
      <w:r w:rsidRPr="007A14A9">
        <w:rPr>
          <w:rFonts w:eastAsia="MS Mincho"/>
          <w:szCs w:val="24"/>
        </w:rPr>
        <w:t>-li se sloučení řídící fond, rozhodný den sloučení může nastat nejdříve 60 dní ode dne uveřejnění oznámení o tom, že se řídící fond zrušuje (</w:t>
      </w:r>
      <w:hyperlink r:id="rId356" w:history="1">
        <w:r w:rsidRPr="007A14A9">
          <w:rPr>
            <w:rFonts w:eastAsia="MS Mincho"/>
            <w:szCs w:val="24"/>
          </w:rPr>
          <w:t>§ 435 odst. 1</w:t>
        </w:r>
      </w:hyperlink>
      <w:r w:rsidRPr="007A14A9">
        <w:rPr>
          <w:rFonts w:eastAsia="MS Mincho"/>
          <w:szCs w:val="24"/>
        </w:rPr>
        <w:t xml:space="preserve">). </w:t>
      </w:r>
    </w:p>
    <w:p w14:paraId="4DCDFB2F" w14:textId="77777777" w:rsidR="007A14A9" w:rsidRPr="007A14A9" w:rsidRDefault="007A14A9" w:rsidP="007A14A9">
      <w:pPr>
        <w:tabs>
          <w:tab w:val="left" w:pos="782"/>
          <w:tab w:val="left" w:pos="851"/>
        </w:tabs>
        <w:spacing w:before="120" w:after="120"/>
        <w:outlineLvl w:val="6"/>
        <w:rPr>
          <w:rFonts w:eastAsia="MS Mincho"/>
          <w:szCs w:val="24"/>
        </w:rPr>
      </w:pPr>
      <w:proofErr w:type="gramStart"/>
      <w:r w:rsidRPr="007A14A9">
        <w:rPr>
          <w:rFonts w:eastAsia="MS Mincho"/>
          <w:strike/>
          <w:szCs w:val="24"/>
        </w:rPr>
        <w:t>(6)</w:t>
      </w:r>
      <w:r w:rsidRPr="007A14A9">
        <w:rPr>
          <w:rFonts w:eastAsia="MS Mincho"/>
          <w:b/>
          <w:szCs w:val="24"/>
        </w:rPr>
        <w:t xml:space="preserve">(5) </w:t>
      </w:r>
      <w:r w:rsidRPr="007A14A9">
        <w:rPr>
          <w:rFonts w:eastAsia="MS Mincho"/>
          <w:szCs w:val="24"/>
        </w:rPr>
        <w:t>Po</w:t>
      </w:r>
      <w:proofErr w:type="gramEnd"/>
      <w:r w:rsidRPr="007A14A9">
        <w:rPr>
          <w:rFonts w:eastAsia="MS Mincho"/>
          <w:szCs w:val="24"/>
        </w:rPr>
        <w:t xml:space="preserve"> rozhodném dni sloučení nemůže být projekt sloučení změněn nebo zrušen ani nemůže být sloučení nebo rozhodnutí o něm prohlášeno za neplatné. </w:t>
      </w:r>
    </w:p>
    <w:p w14:paraId="722A2AD7" w14:textId="77777777" w:rsidR="007A14A9" w:rsidRPr="007A14A9" w:rsidRDefault="007A14A9" w:rsidP="007A14A9">
      <w:pPr>
        <w:widowControl w:val="0"/>
        <w:autoSpaceDE w:val="0"/>
        <w:autoSpaceDN w:val="0"/>
        <w:adjustRightInd w:val="0"/>
        <w:spacing w:before="0" w:after="120"/>
        <w:ind w:firstLine="0"/>
        <w:rPr>
          <w:rFonts w:eastAsia="MS Mincho"/>
          <w:szCs w:val="24"/>
        </w:rPr>
      </w:pPr>
    </w:p>
    <w:p w14:paraId="56BA621B" w14:textId="77777777" w:rsidR="007A14A9" w:rsidRPr="007A14A9" w:rsidRDefault="007A14A9" w:rsidP="007A14A9">
      <w:pPr>
        <w:widowControl w:val="0"/>
        <w:autoSpaceDE w:val="0"/>
        <w:autoSpaceDN w:val="0"/>
        <w:adjustRightInd w:val="0"/>
        <w:spacing w:before="0" w:after="120"/>
        <w:ind w:firstLine="0"/>
        <w:jc w:val="center"/>
        <w:rPr>
          <w:rFonts w:eastAsia="MS Mincho"/>
          <w:b/>
          <w:bCs/>
          <w:szCs w:val="24"/>
        </w:rPr>
      </w:pPr>
      <w:r w:rsidRPr="007A14A9">
        <w:rPr>
          <w:rFonts w:eastAsia="MS Mincho"/>
          <w:b/>
          <w:bCs/>
          <w:szCs w:val="24"/>
        </w:rPr>
        <w:t xml:space="preserve">Díl 3 </w:t>
      </w:r>
    </w:p>
    <w:p w14:paraId="47528425" w14:textId="77777777" w:rsidR="007A14A9" w:rsidRPr="007A14A9" w:rsidRDefault="007A14A9" w:rsidP="007A14A9">
      <w:pPr>
        <w:widowControl w:val="0"/>
        <w:autoSpaceDE w:val="0"/>
        <w:autoSpaceDN w:val="0"/>
        <w:adjustRightInd w:val="0"/>
        <w:spacing w:before="0" w:after="120"/>
        <w:ind w:firstLine="0"/>
        <w:jc w:val="center"/>
        <w:rPr>
          <w:rFonts w:eastAsia="MS Mincho"/>
          <w:b/>
          <w:bCs/>
          <w:szCs w:val="24"/>
        </w:rPr>
      </w:pPr>
      <w:r w:rsidRPr="007A14A9">
        <w:rPr>
          <w:rFonts w:eastAsia="MS Mincho"/>
          <w:b/>
          <w:bCs/>
          <w:szCs w:val="24"/>
        </w:rPr>
        <w:t xml:space="preserve">Společná ustanovení </w:t>
      </w:r>
    </w:p>
    <w:p w14:paraId="43A44D38" w14:textId="77777777" w:rsidR="007A14A9" w:rsidRPr="007A14A9" w:rsidRDefault="007A14A9" w:rsidP="007A14A9">
      <w:pPr>
        <w:keepNext/>
        <w:keepLines/>
        <w:ind w:firstLine="0"/>
        <w:jc w:val="center"/>
        <w:outlineLvl w:val="5"/>
        <w:rPr>
          <w:strike/>
        </w:rPr>
      </w:pPr>
      <w:r w:rsidRPr="007A14A9">
        <w:rPr>
          <w:strike/>
        </w:rPr>
        <w:t xml:space="preserve">§ 434 </w:t>
      </w:r>
    </w:p>
    <w:p w14:paraId="113325A7" w14:textId="77777777" w:rsidR="007A14A9" w:rsidRPr="007A14A9" w:rsidRDefault="007A14A9" w:rsidP="007A14A9">
      <w:pPr>
        <w:keepNext/>
        <w:keepLines/>
        <w:ind w:firstLine="0"/>
        <w:jc w:val="center"/>
        <w:outlineLvl w:val="5"/>
        <w:rPr>
          <w:b/>
          <w:strike/>
        </w:rPr>
      </w:pPr>
      <w:r w:rsidRPr="007A14A9">
        <w:rPr>
          <w:b/>
          <w:strike/>
        </w:rPr>
        <w:t xml:space="preserve">Povinnost sestavit účetní závěrku </w:t>
      </w:r>
    </w:p>
    <w:p w14:paraId="72383601" w14:textId="77777777" w:rsidR="007A14A9" w:rsidRPr="007A14A9" w:rsidRDefault="007A14A9" w:rsidP="007A14A9">
      <w:pPr>
        <w:tabs>
          <w:tab w:val="left" w:pos="782"/>
          <w:tab w:val="left" w:pos="851"/>
        </w:tabs>
        <w:spacing w:before="120" w:after="120"/>
        <w:outlineLvl w:val="6"/>
        <w:rPr>
          <w:rFonts w:eastAsia="MS Mincho"/>
          <w:strike/>
          <w:szCs w:val="24"/>
          <w:shd w:val="clear" w:color="auto" w:fill="FFFFCC"/>
        </w:rPr>
      </w:pPr>
      <w:r w:rsidRPr="007A14A9">
        <w:rPr>
          <w:rFonts w:eastAsia="MS Mincho"/>
          <w:strike/>
          <w:szCs w:val="24"/>
        </w:rPr>
        <w:t>Ke dni zrušení podílového fondu sestaví jeho administrátor mimořádnou účetní závěrku tohoto fondu podle zákona upravujícího účetnictví; výroční zpráva se ke dni zrušení podílového fondu nevyhotovuje.</w:t>
      </w:r>
      <w:r w:rsidRPr="007A14A9">
        <w:rPr>
          <w:rFonts w:eastAsia="MS Mincho"/>
          <w:strike/>
          <w:szCs w:val="24"/>
          <w:shd w:val="clear" w:color="auto" w:fill="FFFFCC"/>
        </w:rPr>
        <w:t xml:space="preserve"> </w:t>
      </w:r>
    </w:p>
    <w:p w14:paraId="5B45B825" w14:textId="3BFE1202" w:rsidR="007A14A9" w:rsidRPr="007A14A9" w:rsidRDefault="00554FBC" w:rsidP="00554FBC">
      <w:pPr>
        <w:keepNext/>
        <w:keepLines/>
        <w:spacing w:before="120" w:after="120"/>
        <w:ind w:firstLine="0"/>
        <w:jc w:val="center"/>
        <w:rPr>
          <w:rFonts w:eastAsia="MS Mincho"/>
          <w:b/>
          <w:color w:val="000000"/>
          <w:szCs w:val="24"/>
        </w:rPr>
      </w:pPr>
      <w:r>
        <w:rPr>
          <w:rFonts w:eastAsia="MS Mincho"/>
          <w:b/>
          <w:color w:val="000000"/>
          <w:szCs w:val="24"/>
        </w:rPr>
        <w:lastRenderedPageBreak/>
        <w:t>§ 434</w:t>
      </w:r>
    </w:p>
    <w:p w14:paraId="180EB12C" w14:textId="7C149636" w:rsidR="007A14A9" w:rsidRPr="007A14A9" w:rsidRDefault="007A14A9" w:rsidP="00554FBC">
      <w:pPr>
        <w:keepNext/>
        <w:keepLines/>
        <w:spacing w:before="120" w:after="120"/>
        <w:ind w:firstLine="0"/>
        <w:jc w:val="center"/>
        <w:rPr>
          <w:rFonts w:eastAsia="MS Mincho"/>
          <w:b/>
          <w:color w:val="000000"/>
          <w:szCs w:val="24"/>
        </w:rPr>
      </w:pPr>
      <w:r w:rsidRPr="007A14A9">
        <w:rPr>
          <w:rFonts w:eastAsia="MS Mincho"/>
          <w:b/>
          <w:color w:val="000000"/>
          <w:szCs w:val="24"/>
        </w:rPr>
        <w:t>Po</w:t>
      </w:r>
      <w:r w:rsidR="00554FBC">
        <w:rPr>
          <w:rFonts w:eastAsia="MS Mincho"/>
          <w:b/>
          <w:color w:val="000000"/>
          <w:szCs w:val="24"/>
        </w:rPr>
        <w:t>vinnost sestavit účetní závěrku</w:t>
      </w:r>
    </w:p>
    <w:p w14:paraId="06AFB1CA" w14:textId="77777777" w:rsidR="007A14A9" w:rsidRPr="007A14A9" w:rsidRDefault="007A14A9" w:rsidP="007A14A9">
      <w:pPr>
        <w:keepNext/>
        <w:keepLines/>
        <w:spacing w:before="0"/>
        <w:ind w:firstLine="709"/>
        <w:rPr>
          <w:rFonts w:eastAsia="MS Mincho"/>
          <w:b/>
          <w:bCs/>
          <w:color w:val="000000"/>
          <w:szCs w:val="24"/>
        </w:rPr>
      </w:pPr>
      <w:r w:rsidRPr="007A14A9">
        <w:rPr>
          <w:rFonts w:eastAsia="MS Mincho"/>
          <w:b/>
          <w:bCs/>
          <w:color w:val="000000"/>
          <w:szCs w:val="24"/>
        </w:rPr>
        <w:t xml:space="preserve">(1) Ke dni zrušení podílového fondu bez likvidace nebo ke dni předcházejícímu dni vstupu podílového fondu do likvidace sestaví jeho administrátor řádnou individuální účetní závěrku tohoto fondu. </w:t>
      </w:r>
    </w:p>
    <w:p w14:paraId="60442E91" w14:textId="42E26B3D" w:rsidR="007A14A9" w:rsidRPr="00554FBC" w:rsidRDefault="007A14A9" w:rsidP="00554FBC">
      <w:pPr>
        <w:keepNext/>
        <w:keepLines/>
        <w:ind w:firstLine="709"/>
        <w:rPr>
          <w:rFonts w:eastAsia="MS Mincho"/>
          <w:color w:val="000000"/>
          <w:szCs w:val="24"/>
        </w:rPr>
      </w:pPr>
      <w:r w:rsidRPr="007A14A9">
        <w:rPr>
          <w:rFonts w:eastAsia="MS Mincho"/>
          <w:b/>
          <w:bCs/>
          <w:color w:val="000000"/>
          <w:szCs w:val="24"/>
        </w:rPr>
        <w:t>(2) Výroční zpráva investičního fondu, který je podílovým fondem, se ke dni zrušení podílového fondu bez likvidace nebo ke dni předcházejícímu dni vstupu podílového fondu do likvidace nevyhotovuje.</w:t>
      </w:r>
    </w:p>
    <w:p w14:paraId="32BB4A71" w14:textId="77777777" w:rsidR="007A14A9" w:rsidRPr="007A14A9" w:rsidRDefault="007A14A9" w:rsidP="007A14A9">
      <w:pPr>
        <w:widowControl w:val="0"/>
        <w:autoSpaceDE w:val="0"/>
        <w:autoSpaceDN w:val="0"/>
        <w:adjustRightInd w:val="0"/>
        <w:spacing w:before="0"/>
        <w:ind w:firstLine="0"/>
        <w:rPr>
          <w:rFonts w:eastAsia="MS Mincho"/>
          <w:szCs w:val="24"/>
        </w:rPr>
      </w:pPr>
    </w:p>
    <w:p w14:paraId="56239BC1" w14:textId="77777777" w:rsidR="007A14A9" w:rsidRPr="007A14A9" w:rsidRDefault="007A14A9" w:rsidP="007A14A9">
      <w:pPr>
        <w:keepNext/>
        <w:keepLines/>
        <w:widowControl w:val="0"/>
        <w:autoSpaceDE w:val="0"/>
        <w:autoSpaceDN w:val="0"/>
        <w:adjustRightInd w:val="0"/>
        <w:spacing w:before="0" w:after="120"/>
        <w:ind w:firstLine="0"/>
        <w:jc w:val="center"/>
        <w:rPr>
          <w:rFonts w:eastAsia="MS Mincho"/>
          <w:b/>
          <w:bCs/>
          <w:szCs w:val="24"/>
        </w:rPr>
      </w:pPr>
      <w:r w:rsidRPr="007A14A9">
        <w:rPr>
          <w:rFonts w:eastAsia="MS Mincho"/>
          <w:szCs w:val="24"/>
        </w:rPr>
        <w:tab/>
      </w:r>
      <w:r w:rsidRPr="007A14A9">
        <w:rPr>
          <w:rFonts w:eastAsia="MS Mincho"/>
          <w:b/>
          <w:bCs/>
          <w:szCs w:val="24"/>
        </w:rPr>
        <w:t xml:space="preserve">ČÁST DVANÁCTÁ </w:t>
      </w:r>
    </w:p>
    <w:p w14:paraId="2F1B18A0" w14:textId="77777777" w:rsidR="007A14A9" w:rsidRPr="007A14A9" w:rsidRDefault="007A14A9" w:rsidP="007A14A9">
      <w:pPr>
        <w:keepNext/>
        <w:keepLines/>
        <w:widowControl w:val="0"/>
        <w:autoSpaceDE w:val="0"/>
        <w:autoSpaceDN w:val="0"/>
        <w:adjustRightInd w:val="0"/>
        <w:spacing w:before="0" w:after="120"/>
        <w:ind w:firstLine="0"/>
        <w:jc w:val="center"/>
        <w:rPr>
          <w:rFonts w:eastAsia="MS Mincho"/>
          <w:b/>
          <w:bCs/>
          <w:szCs w:val="24"/>
        </w:rPr>
      </w:pPr>
      <w:r w:rsidRPr="007A14A9">
        <w:rPr>
          <w:rFonts w:eastAsia="MS Mincho"/>
          <w:b/>
          <w:bCs/>
          <w:szCs w:val="24"/>
        </w:rPr>
        <w:t>OZNAMOVACÍ POVINNOSTI</w:t>
      </w:r>
    </w:p>
    <w:p w14:paraId="3D8C7FFA" w14:textId="77777777" w:rsidR="007A14A9" w:rsidRPr="007A14A9" w:rsidRDefault="007A14A9" w:rsidP="007A14A9">
      <w:pPr>
        <w:keepNext/>
        <w:keepLines/>
        <w:ind w:firstLine="0"/>
        <w:jc w:val="center"/>
        <w:outlineLvl w:val="5"/>
      </w:pPr>
      <w:r w:rsidRPr="007A14A9">
        <w:t xml:space="preserve">§ 455 </w:t>
      </w:r>
    </w:p>
    <w:p w14:paraId="52166918" w14:textId="77777777" w:rsidR="007A14A9" w:rsidRPr="007A14A9" w:rsidRDefault="007A14A9" w:rsidP="007A14A9">
      <w:pPr>
        <w:keepNext/>
        <w:keepLines/>
        <w:ind w:firstLine="0"/>
        <w:jc w:val="center"/>
        <w:outlineLvl w:val="5"/>
        <w:rPr>
          <w:rFonts w:eastAsia="MS Mincho"/>
          <w:b/>
          <w:bCs/>
          <w:szCs w:val="24"/>
        </w:rPr>
      </w:pPr>
      <w:r w:rsidRPr="007A14A9">
        <w:rPr>
          <w:b/>
          <w:strike/>
        </w:rPr>
        <w:t>Výroční</w:t>
      </w:r>
      <w:r w:rsidRPr="007A14A9">
        <w:rPr>
          <w:b/>
        </w:rPr>
        <w:t xml:space="preserve"> </w:t>
      </w:r>
      <w:r w:rsidRPr="007A14A9">
        <w:rPr>
          <w:b/>
          <w:strike/>
        </w:rPr>
        <w:t>a pololetní zprávy</w:t>
      </w:r>
      <w:r w:rsidRPr="007A14A9">
        <w:rPr>
          <w:b/>
        </w:rPr>
        <w:t xml:space="preserve"> </w:t>
      </w:r>
      <w:r w:rsidRPr="007A14A9">
        <w:rPr>
          <w:rFonts w:eastAsia="MS Mincho"/>
          <w:b/>
          <w:bCs/>
          <w:szCs w:val="24"/>
        </w:rPr>
        <w:t xml:space="preserve">Oznamovací povinnost obhospodařovatele a administrátora  </w:t>
      </w:r>
    </w:p>
    <w:p w14:paraId="40CA9E4D" w14:textId="77777777" w:rsidR="007A14A9" w:rsidRPr="007A14A9" w:rsidRDefault="007A14A9" w:rsidP="007A14A9">
      <w:pPr>
        <w:tabs>
          <w:tab w:val="left" w:pos="782"/>
          <w:tab w:val="left" w:pos="851"/>
        </w:tabs>
        <w:spacing w:before="120" w:after="120"/>
        <w:outlineLvl w:val="6"/>
        <w:rPr>
          <w:rFonts w:eastAsia="MS Mincho"/>
          <w:strike/>
          <w:szCs w:val="24"/>
        </w:rPr>
      </w:pPr>
      <w:r w:rsidRPr="007A14A9">
        <w:rPr>
          <w:rFonts w:eastAsia="MS Mincho"/>
          <w:strike/>
          <w:szCs w:val="24"/>
        </w:rPr>
        <w:t xml:space="preserve">(1) Obhospodařovatel investičního fondu nebo zahraničního investičního fondu poskytne České národní bance svou výroční zprávu, pololetní zprávu nebo konsolidovanou výroční zprávu, jsou-li vyhotovovány. Investiční společnost musí vždy vyhotovit výroční zprávu. </w:t>
      </w:r>
    </w:p>
    <w:p w14:paraId="3827CEFC" w14:textId="77777777" w:rsidR="007A14A9" w:rsidRPr="007A14A9" w:rsidRDefault="007A14A9" w:rsidP="007A14A9">
      <w:pPr>
        <w:tabs>
          <w:tab w:val="left" w:pos="782"/>
          <w:tab w:val="left" w:pos="851"/>
        </w:tabs>
        <w:spacing w:before="120" w:after="120"/>
        <w:outlineLvl w:val="6"/>
        <w:rPr>
          <w:rFonts w:eastAsia="MS Mincho"/>
          <w:strike/>
          <w:szCs w:val="24"/>
        </w:rPr>
      </w:pPr>
      <w:r w:rsidRPr="007A14A9">
        <w:rPr>
          <w:rFonts w:eastAsia="MS Mincho"/>
          <w:strike/>
          <w:szCs w:val="24"/>
        </w:rPr>
        <w:t>(2)</w:t>
      </w:r>
      <w:r w:rsidRPr="007A14A9">
        <w:rPr>
          <w:rFonts w:eastAsia="MS Mincho"/>
          <w:strike/>
          <w:szCs w:val="24"/>
        </w:rPr>
        <w:tab/>
        <w:t xml:space="preserve">Administrátor investičního fondu nebo zahraničního investičního fondu poskytne České národní bance svou výroční zprávu a pololetní zprávu, a výroční zprávu a pololetní zprávu investičního fondu nebo zahraničního investičního fondu, jehož administraci provádí, jsou-li vyhotovovány. </w:t>
      </w:r>
    </w:p>
    <w:p w14:paraId="6A3C594F" w14:textId="77777777" w:rsidR="007A14A9" w:rsidRPr="007A14A9" w:rsidRDefault="007A14A9" w:rsidP="007A14A9">
      <w:pPr>
        <w:tabs>
          <w:tab w:val="left" w:pos="782"/>
          <w:tab w:val="left" w:pos="851"/>
        </w:tabs>
        <w:spacing w:before="120" w:after="120"/>
        <w:ind w:left="425" w:hanging="425"/>
        <w:outlineLvl w:val="6"/>
        <w:rPr>
          <w:rFonts w:eastAsia="MS Mincho"/>
          <w:b/>
          <w:szCs w:val="24"/>
        </w:rPr>
      </w:pPr>
      <w:r w:rsidRPr="007A14A9">
        <w:rPr>
          <w:rFonts w:eastAsia="MS Mincho"/>
          <w:b/>
          <w:szCs w:val="24"/>
        </w:rPr>
        <w:tab/>
        <w:t>(1)</w:t>
      </w:r>
      <w:r w:rsidRPr="007A14A9">
        <w:rPr>
          <w:rFonts w:eastAsia="MS Mincho"/>
          <w:b/>
          <w:szCs w:val="24"/>
        </w:rPr>
        <w:tab/>
        <w:t>Investiční společnost vyhotovuje individuální zprávu vedení.</w:t>
      </w:r>
    </w:p>
    <w:p w14:paraId="283B1BA5" w14:textId="77777777" w:rsidR="007A14A9" w:rsidRPr="007A14A9" w:rsidRDefault="007A14A9" w:rsidP="007A14A9">
      <w:pPr>
        <w:tabs>
          <w:tab w:val="left" w:pos="782"/>
          <w:tab w:val="left" w:pos="851"/>
        </w:tabs>
        <w:spacing w:before="120" w:after="120"/>
        <w:outlineLvl w:val="6"/>
        <w:rPr>
          <w:rFonts w:eastAsia="MS Mincho"/>
          <w:b/>
          <w:szCs w:val="24"/>
        </w:rPr>
      </w:pPr>
      <w:r w:rsidRPr="007A14A9">
        <w:rPr>
          <w:rFonts w:eastAsia="MS Mincho"/>
          <w:b/>
          <w:szCs w:val="24"/>
        </w:rPr>
        <w:t xml:space="preserve">(2) Administrátor investičního fondu nebo zahraničního investičního fondu poskytne České národní bance výroční zprávu investičního fondu a pololetní zprávu investičního fondu nebo obdobné dokumenty zahraničního investičního fondu, jehož administraci provádí. </w:t>
      </w:r>
    </w:p>
    <w:p w14:paraId="7EA04AA6"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 (3) Administrátor podřízeného fondu, jehož řídící fond je zahraničním investičním fondem, poskytne České národní bance výroční zprávu a pololetní zprávu tohoto řídícího fondu, je-li vyhotovována. </w:t>
      </w:r>
    </w:p>
    <w:p w14:paraId="1156931D" w14:textId="36EDA166" w:rsidR="007A14A9" w:rsidRPr="00554FBC" w:rsidRDefault="007A14A9" w:rsidP="00554FBC">
      <w:pPr>
        <w:tabs>
          <w:tab w:val="left" w:pos="782"/>
          <w:tab w:val="left" w:pos="851"/>
        </w:tabs>
        <w:spacing w:before="120" w:after="120"/>
        <w:outlineLvl w:val="6"/>
        <w:rPr>
          <w:rFonts w:eastAsia="MS Mincho"/>
          <w:szCs w:val="24"/>
        </w:rPr>
      </w:pPr>
      <w:r w:rsidRPr="007A14A9">
        <w:rPr>
          <w:rFonts w:eastAsia="MS Mincho"/>
          <w:strike/>
          <w:szCs w:val="24"/>
        </w:rPr>
        <w:t xml:space="preserve"> (4) Součástí výroční zprávy nebo konsolidované výroční zprávy podle odstavce 1 je účetní závěrka nebo konsolidovaná účetní závěrka ověřená auditorem.</w:t>
      </w:r>
      <w:r w:rsidRPr="007A14A9">
        <w:rPr>
          <w:rFonts w:eastAsia="MS Mincho"/>
          <w:szCs w:val="24"/>
        </w:rPr>
        <w:t xml:space="preserve"> </w:t>
      </w:r>
    </w:p>
    <w:p w14:paraId="41568837" w14:textId="77777777" w:rsidR="007A14A9" w:rsidRPr="007A14A9" w:rsidRDefault="007A14A9" w:rsidP="007A14A9">
      <w:pPr>
        <w:keepNext/>
        <w:keepLines/>
        <w:ind w:firstLine="0"/>
        <w:jc w:val="center"/>
        <w:outlineLvl w:val="5"/>
        <w:rPr>
          <w:strike/>
        </w:rPr>
      </w:pPr>
      <w:r w:rsidRPr="007A14A9">
        <w:rPr>
          <w:strike/>
        </w:rPr>
        <w:t xml:space="preserve">§ 456 </w:t>
      </w:r>
    </w:p>
    <w:p w14:paraId="2FB4872A" w14:textId="77777777" w:rsidR="007A14A9" w:rsidRPr="007A14A9" w:rsidRDefault="007A14A9" w:rsidP="007A14A9">
      <w:pPr>
        <w:keepNext/>
        <w:keepLines/>
        <w:ind w:firstLine="0"/>
        <w:jc w:val="center"/>
        <w:outlineLvl w:val="5"/>
        <w:rPr>
          <w:b/>
          <w:strike/>
        </w:rPr>
      </w:pPr>
      <w:r w:rsidRPr="007A14A9">
        <w:rPr>
          <w:b/>
          <w:strike/>
        </w:rPr>
        <w:t xml:space="preserve">Neschválení účetní závěrky </w:t>
      </w:r>
    </w:p>
    <w:p w14:paraId="3BB2204A" w14:textId="77777777" w:rsidR="007A14A9" w:rsidRPr="007A14A9" w:rsidRDefault="007A14A9" w:rsidP="007A14A9">
      <w:pPr>
        <w:tabs>
          <w:tab w:val="left" w:pos="782"/>
          <w:tab w:val="left" w:pos="851"/>
        </w:tabs>
        <w:spacing w:before="120" w:after="120"/>
        <w:outlineLvl w:val="6"/>
        <w:rPr>
          <w:rFonts w:eastAsia="MS Mincho"/>
          <w:strike/>
          <w:szCs w:val="24"/>
        </w:rPr>
      </w:pPr>
      <w:r w:rsidRPr="007A14A9">
        <w:rPr>
          <w:rFonts w:eastAsia="MS Mincho"/>
          <w:strike/>
          <w:szCs w:val="24"/>
        </w:rPr>
        <w:t xml:space="preserve">Administrátor investičního fondu nebo zahraničního investičního fondu oznámí České národní bance, že příslušný orgán ve stanovené lhůtě neschválil účetní závěrku investičního fondu, jehož administraci provádí, nebo soud rozhodl o neplatnosti jednání příslušného orgánu, který schválil účetní závěrku investičního fondu. </w:t>
      </w:r>
    </w:p>
    <w:p w14:paraId="3B8D7C0B" w14:textId="77777777" w:rsidR="007A14A9" w:rsidRPr="007A14A9" w:rsidRDefault="007A14A9" w:rsidP="007A14A9">
      <w:pPr>
        <w:keepNext/>
        <w:keepLines/>
        <w:ind w:firstLine="0"/>
        <w:jc w:val="center"/>
        <w:outlineLvl w:val="5"/>
        <w:rPr>
          <w:b/>
        </w:rPr>
      </w:pPr>
      <w:r w:rsidRPr="007A14A9">
        <w:rPr>
          <w:b/>
        </w:rPr>
        <w:lastRenderedPageBreak/>
        <w:t xml:space="preserve">§ 456 </w:t>
      </w:r>
    </w:p>
    <w:p w14:paraId="3DDC7E93" w14:textId="77777777" w:rsidR="007A14A9" w:rsidRPr="007A14A9" w:rsidRDefault="007A14A9" w:rsidP="007A14A9">
      <w:pPr>
        <w:keepNext/>
        <w:keepLines/>
        <w:ind w:firstLine="0"/>
        <w:jc w:val="center"/>
        <w:outlineLvl w:val="5"/>
        <w:rPr>
          <w:b/>
        </w:rPr>
      </w:pPr>
      <w:r w:rsidRPr="007A14A9">
        <w:rPr>
          <w:b/>
        </w:rPr>
        <w:t xml:space="preserve">Neschválení účetní závěrky </w:t>
      </w:r>
    </w:p>
    <w:p w14:paraId="4EF0994E" w14:textId="77777777" w:rsidR="007A14A9" w:rsidRPr="007A14A9" w:rsidRDefault="007A14A9" w:rsidP="007A14A9">
      <w:pPr>
        <w:tabs>
          <w:tab w:val="left" w:pos="782"/>
          <w:tab w:val="left" w:pos="851"/>
        </w:tabs>
        <w:spacing w:before="120" w:after="120"/>
        <w:outlineLvl w:val="6"/>
        <w:rPr>
          <w:rFonts w:eastAsia="MS Mincho"/>
          <w:b/>
          <w:szCs w:val="24"/>
        </w:rPr>
      </w:pPr>
      <w:r w:rsidRPr="007A14A9">
        <w:rPr>
          <w:rFonts w:eastAsia="MS Mincho"/>
          <w:b/>
          <w:szCs w:val="24"/>
        </w:rPr>
        <w:t xml:space="preserve">Administrátor investičního fondu nebo zahraničního investičního fondu oznámí České národní bance, že příslušný orgán ve stanovené lhůtě neschválil řádnou účetní závěrku investičního fondu, jehož administraci provádí, a to včetně důvodů neschválení řádné účetní závěrky a způsobu řešení připomínek příslušného orgánu, nebo že soud rozhodl o neplatnosti jednání příslušného orgánu, který schválil řádnou účetní závěrku investičního fondu. </w:t>
      </w:r>
    </w:p>
    <w:p w14:paraId="7F361F3F" w14:textId="77777777" w:rsidR="007A14A9" w:rsidRPr="007A14A9" w:rsidRDefault="007A14A9" w:rsidP="007A14A9">
      <w:pPr>
        <w:keepNext/>
        <w:keepLines/>
        <w:ind w:firstLine="0"/>
        <w:jc w:val="center"/>
        <w:outlineLvl w:val="5"/>
      </w:pPr>
      <w:r w:rsidRPr="007A14A9">
        <w:t xml:space="preserve">§ 461 </w:t>
      </w:r>
    </w:p>
    <w:p w14:paraId="5A59B2E4" w14:textId="77777777" w:rsidR="007A14A9" w:rsidRPr="007A14A9" w:rsidRDefault="007A14A9" w:rsidP="007A14A9">
      <w:pPr>
        <w:keepNext/>
        <w:keepLines/>
        <w:ind w:firstLine="0"/>
        <w:jc w:val="center"/>
        <w:outlineLvl w:val="5"/>
        <w:rPr>
          <w:b/>
        </w:rPr>
      </w:pPr>
      <w:r w:rsidRPr="007A14A9">
        <w:rPr>
          <w:b/>
        </w:rPr>
        <w:t>Veřejné nabízení investic v České republice nebo v jiném členském státě</w:t>
      </w:r>
    </w:p>
    <w:p w14:paraId="3E30AA2C"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(1)</w:t>
      </w:r>
      <w:r w:rsidRPr="007A14A9">
        <w:rPr>
          <w:rFonts w:eastAsia="MS Mincho"/>
          <w:szCs w:val="24"/>
        </w:rPr>
        <w:tab/>
        <w:t xml:space="preserve">Administrátor zahraničního investičního fondu srovnatelného se standardním fondem, do něhož jsou investice veřejně nabízeny v České republice, oznámí České národní bance změnu dokumentu tohoto fondu srovnatelného se společenskou smlouvou, statutem, </w:t>
      </w:r>
      <w:r w:rsidRPr="007A14A9">
        <w:rPr>
          <w:rFonts w:eastAsia="MS Mincho"/>
          <w:b/>
          <w:szCs w:val="24"/>
        </w:rPr>
        <w:t>řádnou účetní závěrkou,</w:t>
      </w:r>
      <w:r w:rsidRPr="007A14A9">
        <w:rPr>
          <w:rFonts w:eastAsia="MS Mincho"/>
          <w:b/>
          <w:color w:val="FF0000"/>
          <w:szCs w:val="24"/>
        </w:rPr>
        <w:t xml:space="preserve"> </w:t>
      </w:r>
      <w:r w:rsidRPr="007A14A9">
        <w:rPr>
          <w:rFonts w:eastAsia="MS Mincho"/>
          <w:szCs w:val="24"/>
        </w:rPr>
        <w:t xml:space="preserve">výroční zprávou </w:t>
      </w:r>
      <w:r w:rsidRPr="007A14A9">
        <w:rPr>
          <w:rFonts w:eastAsia="MS Mincho"/>
          <w:b/>
          <w:szCs w:val="24"/>
        </w:rPr>
        <w:t>tohoto fondu</w:t>
      </w:r>
      <w:r w:rsidRPr="007A14A9">
        <w:rPr>
          <w:rFonts w:eastAsia="MS Mincho"/>
          <w:szCs w:val="24"/>
        </w:rPr>
        <w:t xml:space="preserve">, pololetní zprávou </w:t>
      </w:r>
      <w:r w:rsidRPr="007A14A9">
        <w:rPr>
          <w:rFonts w:eastAsia="MS Mincho"/>
          <w:b/>
          <w:szCs w:val="24"/>
        </w:rPr>
        <w:t>tohoto fondu</w:t>
      </w:r>
      <w:r w:rsidRPr="007A14A9">
        <w:rPr>
          <w:rFonts w:eastAsia="MS Mincho"/>
          <w:szCs w:val="24"/>
        </w:rPr>
        <w:t xml:space="preserve"> a sdělením klíčových informací a zároveň jí oznámí, kde lze tyto dokumenty nalézt v elektronické podobě. </w:t>
      </w:r>
    </w:p>
    <w:p w14:paraId="6BFD2F8D"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(2) Administrátor zahraničního investičního fondu srovnatelného se standardním fondem, do něhož jsou investice veřejně nabízeny v České republice, oznámí České národní bance změnu dohod podle </w:t>
      </w:r>
      <w:hyperlink r:id="rId357" w:history="1">
        <w:r w:rsidRPr="007A14A9">
          <w:rPr>
            <w:rFonts w:eastAsia="MS Mincho"/>
            <w:szCs w:val="24"/>
          </w:rPr>
          <w:t>§ 306</w:t>
        </w:r>
      </w:hyperlink>
      <w:r w:rsidRPr="007A14A9">
        <w:rPr>
          <w:rFonts w:eastAsia="MS Mincho"/>
          <w:szCs w:val="24"/>
        </w:rPr>
        <w:t xml:space="preserve"> a jakoukoli změnu v druzích investic do tohoto fondu. </w:t>
      </w:r>
      <w:r w:rsidRPr="007A14A9">
        <w:rPr>
          <w:rFonts w:eastAsia="MS Mincho"/>
          <w:szCs w:val="24"/>
        </w:rPr>
        <w:tab/>
      </w:r>
    </w:p>
    <w:p w14:paraId="6B161EB2" w14:textId="77777777" w:rsidR="007A14A9" w:rsidRPr="007A14A9" w:rsidRDefault="007A14A9" w:rsidP="007A14A9">
      <w:pPr>
        <w:tabs>
          <w:tab w:val="left" w:pos="782"/>
          <w:tab w:val="left" w:pos="851"/>
        </w:tabs>
        <w:spacing w:before="120" w:after="120"/>
        <w:outlineLvl w:val="6"/>
        <w:rPr>
          <w:szCs w:val="24"/>
        </w:rPr>
      </w:pPr>
      <w:r w:rsidRPr="007A14A9">
        <w:rPr>
          <w:szCs w:val="24"/>
        </w:rPr>
        <w:t>(3)</w:t>
      </w:r>
      <w:r w:rsidRPr="007A14A9">
        <w:rPr>
          <w:szCs w:val="24"/>
        </w:rPr>
        <w:tab/>
        <w:t>Obhospodařovatel investičního fondu nebo zahraničního investičního fondu oznámí České národní bance, že investice do tohoto fondu jsou v České republice nebo v jiném členském státě veřejně nabízeny. Další náležitosti tohoto oznámení ve vztahu k zahraničnímu investičnímu fondu srovnatelnému se standardním fondem vymezuje čl. 1 a příloha I nařízení Komise (EU) č. 584/2010.</w:t>
      </w:r>
    </w:p>
    <w:p w14:paraId="4AA470D9" w14:textId="77777777" w:rsidR="007A14A9" w:rsidRPr="007A14A9" w:rsidRDefault="007A14A9" w:rsidP="007A14A9">
      <w:pPr>
        <w:tabs>
          <w:tab w:val="left" w:pos="782"/>
          <w:tab w:val="left" w:pos="851"/>
        </w:tabs>
        <w:spacing w:before="120" w:after="120"/>
        <w:outlineLvl w:val="6"/>
        <w:rPr>
          <w:szCs w:val="24"/>
        </w:rPr>
      </w:pPr>
      <w:r w:rsidRPr="007A14A9">
        <w:rPr>
          <w:szCs w:val="24"/>
        </w:rPr>
        <w:t>(4)</w:t>
      </w:r>
      <w:r w:rsidRPr="007A14A9">
        <w:rPr>
          <w:szCs w:val="24"/>
        </w:rPr>
        <w:tab/>
        <w:t>Obhospodařovatel investičního fondu nebo zahraničního investičního fondu oznámí České národní bance jakoukoli změnu v údajích uvedených v oznámení podle odstavce 3, jakož i to, že investice do tohoto fondu přestaly být v České republice nebo v jiném členském státě veřejně nabízeny.</w:t>
      </w:r>
      <w:r w:rsidRPr="007A14A9">
        <w:rPr>
          <w:rFonts w:eastAsia="MS Mincho"/>
          <w:szCs w:val="24"/>
        </w:rPr>
        <w:tab/>
        <w:t xml:space="preserve"> </w:t>
      </w:r>
    </w:p>
    <w:p w14:paraId="218A1B1D" w14:textId="77777777" w:rsidR="007A14A9" w:rsidRPr="007A14A9" w:rsidRDefault="007A14A9" w:rsidP="007A14A9">
      <w:pPr>
        <w:keepNext/>
        <w:keepLines/>
        <w:ind w:firstLine="0"/>
        <w:jc w:val="center"/>
        <w:outlineLvl w:val="5"/>
      </w:pPr>
      <w:r w:rsidRPr="007A14A9">
        <w:t xml:space="preserve">§ 478 </w:t>
      </w:r>
    </w:p>
    <w:p w14:paraId="4A3ED8B0" w14:textId="77777777" w:rsidR="007A14A9" w:rsidRPr="007A14A9" w:rsidRDefault="007A14A9" w:rsidP="007A14A9">
      <w:pPr>
        <w:keepNext/>
        <w:keepLines/>
        <w:ind w:firstLine="0"/>
        <w:jc w:val="center"/>
        <w:outlineLvl w:val="5"/>
        <w:rPr>
          <w:b/>
        </w:rPr>
      </w:pPr>
      <w:r w:rsidRPr="007A14A9">
        <w:rPr>
          <w:b/>
        </w:rPr>
        <w:t>Zmocňovací ustanovení</w:t>
      </w:r>
      <w:r w:rsidRPr="007A14A9">
        <w:t xml:space="preserve"> </w:t>
      </w:r>
    </w:p>
    <w:p w14:paraId="680BB7C5" w14:textId="77777777" w:rsidR="007A14A9" w:rsidRPr="007A14A9" w:rsidRDefault="007A14A9" w:rsidP="007A14A9">
      <w:pPr>
        <w:tabs>
          <w:tab w:val="left" w:pos="782"/>
          <w:tab w:val="left" w:pos="851"/>
        </w:tabs>
        <w:spacing w:before="120" w:after="120"/>
        <w:outlineLvl w:val="6"/>
      </w:pPr>
      <w:r w:rsidRPr="007A14A9">
        <w:tab/>
        <w:t>Česká národní banka stanoví vyhláškou rozsah, strukturu, formu, způsob a lhůty pro oznamování údajů a poskytování dokumentů podle § 455 až 477</w:t>
      </w:r>
      <w:r w:rsidRPr="007A14A9">
        <w:rPr>
          <w:rFonts w:eastAsia="MS Mincho"/>
        </w:rPr>
        <w:t xml:space="preserve"> </w:t>
      </w:r>
      <w:r w:rsidRPr="007A14A9">
        <w:rPr>
          <w:strike/>
        </w:rPr>
        <w:t>a § 545 odst. 3</w:t>
      </w:r>
      <w:r w:rsidRPr="007A14A9">
        <w:t>, a to v rozsahu potřebném pro výkon dohledu nad kapitálovým trhem a v rozsahu, který neupravuje přímo použitelný předpis Evropské unie, kterým se provádí směrnice Evropského parlamentu a Rady upravující správce alternativních investičních fondů.</w:t>
      </w:r>
      <w:r w:rsidRPr="007A14A9">
        <w:tab/>
      </w:r>
    </w:p>
    <w:p w14:paraId="2495E69F" w14:textId="77777777" w:rsidR="007A14A9" w:rsidRPr="007A14A9" w:rsidRDefault="007A14A9" w:rsidP="007A14A9">
      <w:pPr>
        <w:keepNext/>
        <w:keepLines/>
        <w:ind w:firstLine="0"/>
        <w:jc w:val="center"/>
        <w:outlineLvl w:val="5"/>
      </w:pPr>
      <w:r w:rsidRPr="007A14A9">
        <w:t xml:space="preserve">§ 539 </w:t>
      </w:r>
    </w:p>
    <w:p w14:paraId="25BD2460"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Česká národní banka může dále </w:t>
      </w:r>
    </w:p>
    <w:p w14:paraId="64293CB5" w14:textId="77777777" w:rsidR="007A14A9" w:rsidRPr="007A14A9" w:rsidRDefault="007A14A9" w:rsidP="007A14A9">
      <w:pPr>
        <w:spacing w:before="0"/>
        <w:ind w:left="425" w:hanging="425"/>
        <w:outlineLvl w:val="7"/>
        <w:rPr>
          <w:rFonts w:eastAsia="MS Mincho"/>
        </w:rPr>
      </w:pPr>
      <w:r w:rsidRPr="007A14A9">
        <w:rPr>
          <w:rFonts w:eastAsia="MS Mincho"/>
        </w:rPr>
        <w:t xml:space="preserve">a) </w:t>
      </w:r>
      <w:r w:rsidRPr="007A14A9">
        <w:rPr>
          <w:rFonts w:eastAsia="MS Mincho"/>
        </w:rPr>
        <w:tab/>
        <w:t xml:space="preserve">nařídit změnu obhospodařovatele investičního fondu nebo zahraničního investičního fondu, </w:t>
      </w:r>
    </w:p>
    <w:p w14:paraId="1D0AD0AF" w14:textId="77777777" w:rsidR="007A14A9" w:rsidRPr="007A14A9" w:rsidRDefault="007A14A9" w:rsidP="007A14A9">
      <w:pPr>
        <w:spacing w:before="0"/>
        <w:ind w:left="425" w:hanging="425"/>
        <w:outlineLvl w:val="7"/>
        <w:rPr>
          <w:rFonts w:eastAsia="MS Mincho"/>
        </w:rPr>
      </w:pPr>
      <w:r w:rsidRPr="007A14A9">
        <w:rPr>
          <w:rFonts w:eastAsia="MS Mincho"/>
        </w:rPr>
        <w:t xml:space="preserve">b) </w:t>
      </w:r>
      <w:r w:rsidRPr="007A14A9">
        <w:rPr>
          <w:rFonts w:eastAsia="MS Mincho"/>
        </w:rPr>
        <w:tab/>
        <w:t xml:space="preserve">nařídit změnu administrátora investičního fondu nebo zahraničního investičního fondu, </w:t>
      </w:r>
    </w:p>
    <w:p w14:paraId="42F496C0" w14:textId="77777777" w:rsidR="007A14A9" w:rsidRPr="007A14A9" w:rsidRDefault="007A14A9" w:rsidP="007A14A9">
      <w:pPr>
        <w:spacing w:before="0"/>
        <w:ind w:left="425" w:hanging="425"/>
        <w:outlineLvl w:val="7"/>
        <w:rPr>
          <w:rFonts w:eastAsia="MS Mincho"/>
        </w:rPr>
      </w:pPr>
      <w:r w:rsidRPr="007A14A9">
        <w:rPr>
          <w:rFonts w:eastAsia="MS Mincho"/>
        </w:rPr>
        <w:t xml:space="preserve">c) </w:t>
      </w:r>
      <w:r w:rsidRPr="007A14A9">
        <w:rPr>
          <w:rFonts w:eastAsia="MS Mincho"/>
        </w:rPr>
        <w:tab/>
        <w:t xml:space="preserve">nařídit změnu depozitáře investičního fondu nebo zahraničního investičního fondu, </w:t>
      </w:r>
    </w:p>
    <w:p w14:paraId="3C482109" w14:textId="77777777" w:rsidR="007A14A9" w:rsidRPr="007A14A9" w:rsidRDefault="007A14A9" w:rsidP="007A14A9">
      <w:pPr>
        <w:spacing w:before="0"/>
        <w:ind w:left="425" w:hanging="425"/>
        <w:outlineLvl w:val="7"/>
        <w:rPr>
          <w:rFonts w:eastAsia="MS Mincho"/>
        </w:rPr>
      </w:pPr>
      <w:r w:rsidRPr="007A14A9">
        <w:rPr>
          <w:rFonts w:eastAsia="MS Mincho"/>
        </w:rPr>
        <w:lastRenderedPageBreak/>
        <w:t xml:space="preserve">d) </w:t>
      </w:r>
      <w:r w:rsidRPr="007A14A9">
        <w:rPr>
          <w:rFonts w:eastAsia="MS Mincho"/>
        </w:rPr>
        <w:tab/>
        <w:t xml:space="preserve">nařídit změnu auditora, </w:t>
      </w:r>
    </w:p>
    <w:p w14:paraId="36283594" w14:textId="77777777" w:rsidR="007A14A9" w:rsidRPr="007A14A9" w:rsidRDefault="007A14A9" w:rsidP="007A14A9">
      <w:pPr>
        <w:spacing w:before="0"/>
        <w:ind w:left="425" w:hanging="425"/>
        <w:outlineLvl w:val="7"/>
        <w:rPr>
          <w:rFonts w:eastAsia="MS Mincho"/>
          <w:szCs w:val="24"/>
          <w:shd w:val="clear" w:color="auto" w:fill="FFCDFF"/>
        </w:rPr>
      </w:pPr>
      <w:r w:rsidRPr="007A14A9">
        <w:rPr>
          <w:rFonts w:eastAsia="MS Mincho"/>
          <w:strike/>
          <w:szCs w:val="24"/>
        </w:rPr>
        <w:t>e)</w:t>
      </w:r>
      <w:r w:rsidRPr="007A14A9">
        <w:rPr>
          <w:rFonts w:eastAsia="MS Mincho"/>
          <w:strike/>
          <w:szCs w:val="24"/>
        </w:rPr>
        <w:tab/>
        <w:t>nařídit mimořádné provedení auditu účetní závěrky</w:t>
      </w:r>
      <w:r w:rsidRPr="007A14A9">
        <w:rPr>
          <w:rFonts w:eastAsia="MS Mincho"/>
          <w:szCs w:val="24"/>
        </w:rPr>
        <w:t>,</w:t>
      </w:r>
    </w:p>
    <w:p w14:paraId="3F9C4A67" w14:textId="77777777" w:rsidR="007A14A9" w:rsidRPr="007A14A9" w:rsidRDefault="007A14A9" w:rsidP="007A14A9">
      <w:pPr>
        <w:spacing w:before="0"/>
        <w:ind w:left="425" w:hanging="425"/>
        <w:outlineLvl w:val="7"/>
        <w:rPr>
          <w:rFonts w:eastAsia="MS Mincho"/>
          <w:szCs w:val="24"/>
        </w:rPr>
      </w:pPr>
      <w:r w:rsidRPr="007A14A9">
        <w:rPr>
          <w:rFonts w:eastAsia="MS Mincho"/>
          <w:strike/>
          <w:szCs w:val="24"/>
        </w:rPr>
        <w:t>f)</w:t>
      </w:r>
      <w:r w:rsidRPr="007A14A9">
        <w:rPr>
          <w:rFonts w:eastAsia="MS Mincho"/>
          <w:b/>
          <w:szCs w:val="24"/>
        </w:rPr>
        <w:t>e)</w:t>
      </w:r>
      <w:r w:rsidRPr="007A14A9">
        <w:rPr>
          <w:rFonts w:eastAsia="MS Mincho"/>
          <w:szCs w:val="24"/>
        </w:rPr>
        <w:t xml:space="preserve"> </w:t>
      </w:r>
      <w:r w:rsidRPr="007A14A9">
        <w:rPr>
          <w:rFonts w:eastAsia="MS Mincho"/>
          <w:szCs w:val="24"/>
        </w:rPr>
        <w:tab/>
        <w:t xml:space="preserve">požadovat ověření oceňování majetku a dluhů investičního fondu jinou osobou, </w:t>
      </w:r>
    </w:p>
    <w:p w14:paraId="69DF30E0" w14:textId="77777777" w:rsidR="007A14A9" w:rsidRPr="007A14A9" w:rsidRDefault="007A14A9" w:rsidP="007A14A9">
      <w:pPr>
        <w:spacing w:before="0"/>
        <w:ind w:left="425" w:hanging="425"/>
        <w:outlineLvl w:val="7"/>
        <w:rPr>
          <w:rFonts w:eastAsia="MS Mincho"/>
          <w:szCs w:val="24"/>
        </w:rPr>
      </w:pPr>
      <w:r w:rsidRPr="007A14A9">
        <w:rPr>
          <w:rFonts w:eastAsia="MS Mincho"/>
          <w:strike/>
          <w:szCs w:val="24"/>
        </w:rPr>
        <w:t>g)</w:t>
      </w:r>
      <w:r w:rsidRPr="007A14A9">
        <w:rPr>
          <w:rFonts w:eastAsia="MS Mincho"/>
          <w:b/>
          <w:szCs w:val="24"/>
        </w:rPr>
        <w:t>f)</w:t>
      </w:r>
      <w:r w:rsidRPr="007A14A9">
        <w:rPr>
          <w:rFonts w:eastAsia="MS Mincho"/>
          <w:szCs w:val="24"/>
        </w:rPr>
        <w:t xml:space="preserve"> </w:t>
      </w:r>
      <w:r w:rsidRPr="007A14A9">
        <w:rPr>
          <w:rFonts w:eastAsia="MS Mincho"/>
          <w:szCs w:val="24"/>
        </w:rPr>
        <w:tab/>
        <w:t xml:space="preserve">pozastavit nejdéle na dobu 5 let některou činnost podléhající jejímu dohledu, </w:t>
      </w:r>
    </w:p>
    <w:p w14:paraId="3262EAF3" w14:textId="77777777" w:rsidR="007A14A9" w:rsidRPr="007A14A9" w:rsidRDefault="007A14A9" w:rsidP="007A14A9">
      <w:pPr>
        <w:spacing w:before="0"/>
        <w:ind w:left="425" w:hanging="425"/>
        <w:outlineLvl w:val="7"/>
        <w:rPr>
          <w:rFonts w:eastAsia="MS Mincho"/>
          <w:szCs w:val="24"/>
        </w:rPr>
      </w:pPr>
      <w:r w:rsidRPr="007A14A9">
        <w:rPr>
          <w:rFonts w:eastAsia="MS Mincho"/>
          <w:strike/>
          <w:szCs w:val="24"/>
        </w:rPr>
        <w:t>h)</w:t>
      </w:r>
      <w:r w:rsidRPr="007A14A9">
        <w:rPr>
          <w:rFonts w:eastAsia="MS Mincho"/>
          <w:b/>
          <w:szCs w:val="24"/>
        </w:rPr>
        <w:t>g)</w:t>
      </w:r>
      <w:r w:rsidRPr="007A14A9">
        <w:rPr>
          <w:rFonts w:eastAsia="MS Mincho"/>
          <w:szCs w:val="24"/>
        </w:rPr>
        <w:t xml:space="preserve"> </w:t>
      </w:r>
      <w:r w:rsidRPr="007A14A9">
        <w:rPr>
          <w:rFonts w:eastAsia="MS Mincho"/>
          <w:szCs w:val="24"/>
        </w:rPr>
        <w:tab/>
        <w:t xml:space="preserve">omezit rozsah povolení nebo určit podmínky pro výkon jednotlivých činností, </w:t>
      </w:r>
    </w:p>
    <w:p w14:paraId="17DC437F" w14:textId="77777777" w:rsidR="007A14A9" w:rsidRPr="007A14A9" w:rsidRDefault="007A14A9" w:rsidP="007A14A9">
      <w:pPr>
        <w:spacing w:before="0"/>
        <w:ind w:left="425" w:hanging="425"/>
        <w:outlineLvl w:val="7"/>
        <w:rPr>
          <w:rFonts w:eastAsia="MS Mincho"/>
          <w:szCs w:val="24"/>
        </w:rPr>
      </w:pPr>
      <w:r w:rsidRPr="007A14A9">
        <w:rPr>
          <w:rFonts w:eastAsia="MS Mincho"/>
          <w:strike/>
          <w:szCs w:val="24"/>
        </w:rPr>
        <w:t>i)</w:t>
      </w:r>
      <w:r w:rsidRPr="007A14A9">
        <w:rPr>
          <w:rFonts w:eastAsia="MS Mincho"/>
          <w:b/>
          <w:szCs w:val="24"/>
        </w:rPr>
        <w:t>h)</w:t>
      </w:r>
      <w:r w:rsidRPr="007A14A9">
        <w:rPr>
          <w:rFonts w:eastAsia="MS Mincho"/>
          <w:szCs w:val="24"/>
        </w:rPr>
        <w:t xml:space="preserve"> </w:t>
      </w:r>
      <w:r w:rsidRPr="007A14A9">
        <w:rPr>
          <w:rFonts w:eastAsia="MS Mincho"/>
          <w:szCs w:val="24"/>
        </w:rPr>
        <w:tab/>
        <w:t xml:space="preserve">určit podmínky pro využití pákového efektu nebo jiné podmínky, </w:t>
      </w:r>
    </w:p>
    <w:p w14:paraId="78162318" w14:textId="77777777" w:rsidR="007A14A9" w:rsidRPr="007A14A9" w:rsidRDefault="007A14A9" w:rsidP="007A14A9">
      <w:pPr>
        <w:spacing w:before="0"/>
        <w:ind w:left="425" w:hanging="425"/>
        <w:outlineLvl w:val="7"/>
        <w:rPr>
          <w:rFonts w:eastAsia="MS Mincho"/>
          <w:szCs w:val="24"/>
        </w:rPr>
      </w:pPr>
      <w:r w:rsidRPr="007A14A9">
        <w:rPr>
          <w:rFonts w:eastAsia="MS Mincho"/>
          <w:strike/>
          <w:szCs w:val="24"/>
        </w:rPr>
        <w:t>j)</w:t>
      </w:r>
      <w:r w:rsidRPr="007A14A9">
        <w:rPr>
          <w:rFonts w:eastAsia="MS Mincho"/>
          <w:b/>
          <w:szCs w:val="24"/>
        </w:rPr>
        <w:t>i)</w:t>
      </w:r>
      <w:r w:rsidRPr="007A14A9">
        <w:rPr>
          <w:rFonts w:eastAsia="MS Mincho"/>
          <w:szCs w:val="24"/>
        </w:rPr>
        <w:t xml:space="preserve"> </w:t>
      </w:r>
      <w:r w:rsidRPr="007A14A9">
        <w:rPr>
          <w:rFonts w:eastAsia="MS Mincho"/>
          <w:szCs w:val="24"/>
        </w:rPr>
        <w:tab/>
        <w:t xml:space="preserve">omezit rozsah investiční strategie investičního fondu, zakázat nabízení investic do investičního fondu nebo vymazat investiční fond ze seznamu, </w:t>
      </w:r>
    </w:p>
    <w:p w14:paraId="044D4642" w14:textId="77777777" w:rsidR="007A14A9" w:rsidRPr="007A14A9" w:rsidRDefault="007A14A9" w:rsidP="007A14A9">
      <w:pPr>
        <w:spacing w:before="0"/>
        <w:ind w:left="425" w:hanging="425"/>
        <w:outlineLvl w:val="7"/>
        <w:rPr>
          <w:rFonts w:eastAsia="MS Mincho"/>
          <w:szCs w:val="24"/>
        </w:rPr>
      </w:pPr>
      <w:r w:rsidRPr="007A14A9">
        <w:rPr>
          <w:rFonts w:eastAsia="MS Mincho"/>
          <w:strike/>
          <w:szCs w:val="24"/>
        </w:rPr>
        <w:t>k)</w:t>
      </w:r>
      <w:r w:rsidRPr="007A14A9">
        <w:rPr>
          <w:rFonts w:eastAsia="MS Mincho"/>
          <w:b/>
          <w:szCs w:val="24"/>
        </w:rPr>
        <w:t>j)</w:t>
      </w:r>
      <w:r w:rsidRPr="007A14A9">
        <w:rPr>
          <w:rFonts w:eastAsia="MS Mincho"/>
          <w:szCs w:val="24"/>
        </w:rPr>
        <w:tab/>
        <w:t xml:space="preserve">rozhodnout o zrušení investičního fondu nebo navrhnout zrušení investičního fondu, </w:t>
      </w:r>
    </w:p>
    <w:p w14:paraId="238D133E" w14:textId="77777777" w:rsidR="007A14A9" w:rsidRPr="007A14A9" w:rsidRDefault="007A14A9" w:rsidP="007A14A9">
      <w:pPr>
        <w:spacing w:before="0"/>
        <w:ind w:left="425" w:hanging="425"/>
        <w:outlineLvl w:val="7"/>
        <w:rPr>
          <w:rFonts w:eastAsia="MS Mincho"/>
          <w:szCs w:val="24"/>
        </w:rPr>
      </w:pPr>
      <w:r w:rsidRPr="007A14A9">
        <w:rPr>
          <w:rFonts w:eastAsia="MS Mincho"/>
          <w:strike/>
          <w:szCs w:val="24"/>
        </w:rPr>
        <w:t>l)</w:t>
      </w:r>
      <w:r w:rsidRPr="007A14A9">
        <w:rPr>
          <w:rFonts w:eastAsia="MS Mincho"/>
          <w:b/>
          <w:szCs w:val="24"/>
        </w:rPr>
        <w:t>k)</w:t>
      </w:r>
      <w:r w:rsidRPr="007A14A9">
        <w:rPr>
          <w:rFonts w:eastAsia="MS Mincho"/>
          <w:szCs w:val="24"/>
        </w:rPr>
        <w:t xml:space="preserve"> </w:t>
      </w:r>
      <w:r w:rsidRPr="007A14A9">
        <w:rPr>
          <w:rFonts w:eastAsia="MS Mincho"/>
          <w:szCs w:val="24"/>
        </w:rPr>
        <w:tab/>
        <w:t xml:space="preserve">odejmout povolení nebo souhlas, </w:t>
      </w:r>
    </w:p>
    <w:p w14:paraId="7627ED03" w14:textId="77777777" w:rsidR="007A14A9" w:rsidRPr="007A14A9" w:rsidRDefault="007A14A9" w:rsidP="007A14A9">
      <w:pPr>
        <w:spacing w:before="0"/>
        <w:ind w:left="425" w:hanging="425"/>
        <w:outlineLvl w:val="7"/>
        <w:rPr>
          <w:rFonts w:eastAsia="MS Mincho"/>
          <w:szCs w:val="24"/>
        </w:rPr>
      </w:pPr>
      <w:r w:rsidRPr="007A14A9">
        <w:rPr>
          <w:rFonts w:eastAsia="MS Mincho"/>
          <w:strike/>
          <w:szCs w:val="24"/>
        </w:rPr>
        <w:t>m)</w:t>
      </w:r>
      <w:r w:rsidRPr="007A14A9">
        <w:rPr>
          <w:rFonts w:eastAsia="MS Mincho"/>
          <w:b/>
          <w:szCs w:val="24"/>
        </w:rPr>
        <w:t>l)</w:t>
      </w:r>
      <w:r w:rsidRPr="007A14A9">
        <w:rPr>
          <w:rFonts w:eastAsia="MS Mincho"/>
          <w:szCs w:val="24"/>
        </w:rPr>
        <w:t xml:space="preserve"> </w:t>
      </w:r>
      <w:r w:rsidRPr="007A14A9">
        <w:rPr>
          <w:rFonts w:eastAsia="MS Mincho"/>
          <w:szCs w:val="24"/>
        </w:rPr>
        <w:tab/>
        <w:t xml:space="preserve">zakázat osobě nebo skupině osob jednajících ve shodě, kterým udělila souhlas podle </w:t>
      </w:r>
      <w:hyperlink r:id="rId358" w:history="1">
        <w:r w:rsidRPr="007A14A9">
          <w:rPr>
            <w:rFonts w:eastAsia="MS Mincho"/>
            <w:szCs w:val="24"/>
          </w:rPr>
          <w:t>§ 520</w:t>
        </w:r>
      </w:hyperlink>
      <w:r w:rsidRPr="007A14A9">
        <w:rPr>
          <w:rFonts w:eastAsia="MS Mincho"/>
          <w:szCs w:val="24"/>
        </w:rPr>
        <w:t xml:space="preserve"> a které přestaly splňovat předpoklady pro udělení takového souhlasu, vykonávat hlasovací práva na investiční společnosti, samosprávném investičním fondu nebo hlavním administrátorovi nebo jinak uplatňovat významný vliv na jejich řízení, </w:t>
      </w:r>
    </w:p>
    <w:p w14:paraId="74BC94D5" w14:textId="77777777" w:rsidR="007A14A9" w:rsidRPr="007A14A9" w:rsidRDefault="007A14A9" w:rsidP="007A14A9">
      <w:pPr>
        <w:spacing w:before="0"/>
        <w:ind w:left="425" w:hanging="425"/>
        <w:outlineLvl w:val="7"/>
        <w:rPr>
          <w:rFonts w:eastAsia="MS Mincho"/>
          <w:szCs w:val="24"/>
        </w:rPr>
      </w:pPr>
      <w:r w:rsidRPr="007A14A9">
        <w:rPr>
          <w:rFonts w:eastAsia="MS Mincho"/>
          <w:strike/>
          <w:szCs w:val="24"/>
        </w:rPr>
        <w:t>n)</w:t>
      </w:r>
      <w:r w:rsidRPr="007A14A9">
        <w:rPr>
          <w:rFonts w:eastAsia="MS Mincho"/>
          <w:b/>
          <w:szCs w:val="24"/>
        </w:rPr>
        <w:t>m)</w:t>
      </w:r>
      <w:r w:rsidRPr="007A14A9">
        <w:rPr>
          <w:rFonts w:eastAsia="MS Mincho"/>
          <w:szCs w:val="24"/>
        </w:rPr>
        <w:t xml:space="preserve"> </w:t>
      </w:r>
      <w:r w:rsidRPr="007A14A9">
        <w:rPr>
          <w:rFonts w:eastAsia="MS Mincho"/>
          <w:szCs w:val="24"/>
        </w:rPr>
        <w:tab/>
        <w:t xml:space="preserve">zrušit rozhodnutí obhospodařovatele investičního fondu, který je otevřeným podílovým fondem nebo akciovou společností s proměnným základním kapitálem o pozastavení vydávání nebo odkupování podílových listů nebo investičních akcií vydávaných tímto fondem, </w:t>
      </w:r>
    </w:p>
    <w:p w14:paraId="01A69C41" w14:textId="77777777" w:rsidR="007A14A9" w:rsidRPr="007A14A9" w:rsidRDefault="007A14A9" w:rsidP="007A14A9">
      <w:pPr>
        <w:spacing w:before="0"/>
        <w:ind w:left="425" w:hanging="425"/>
        <w:outlineLvl w:val="7"/>
        <w:rPr>
          <w:rFonts w:eastAsia="MS Mincho"/>
          <w:szCs w:val="24"/>
        </w:rPr>
      </w:pPr>
      <w:r w:rsidRPr="007A14A9">
        <w:rPr>
          <w:rFonts w:eastAsia="MS Mincho"/>
          <w:strike/>
          <w:szCs w:val="24"/>
        </w:rPr>
        <w:t>o)</w:t>
      </w:r>
      <w:r w:rsidRPr="007A14A9">
        <w:rPr>
          <w:rFonts w:eastAsia="MS Mincho"/>
          <w:b/>
          <w:szCs w:val="24"/>
        </w:rPr>
        <w:t>n)</w:t>
      </w:r>
      <w:r w:rsidRPr="007A14A9">
        <w:rPr>
          <w:rFonts w:eastAsia="MS Mincho"/>
          <w:szCs w:val="24"/>
        </w:rPr>
        <w:t xml:space="preserve"> </w:t>
      </w:r>
      <w:r w:rsidRPr="007A14A9">
        <w:rPr>
          <w:rFonts w:eastAsia="MS Mincho"/>
          <w:szCs w:val="24"/>
        </w:rPr>
        <w:tab/>
        <w:t xml:space="preserve">uveřejnit informaci o tom, jaká je povaha protiprávního jednání, a identifikaci osoby, která takto jednala, včetně identifikace osoby, která jednala za právnickou osobu, </w:t>
      </w:r>
    </w:p>
    <w:p w14:paraId="6FC51A3D" w14:textId="77777777" w:rsidR="007A14A9" w:rsidRPr="007A14A9" w:rsidRDefault="007A14A9" w:rsidP="007A14A9">
      <w:pPr>
        <w:spacing w:before="0"/>
        <w:ind w:left="425" w:hanging="425"/>
        <w:outlineLvl w:val="7"/>
        <w:rPr>
          <w:rFonts w:eastAsia="MS Mincho"/>
          <w:szCs w:val="24"/>
        </w:rPr>
      </w:pPr>
      <w:r w:rsidRPr="007A14A9">
        <w:rPr>
          <w:rFonts w:eastAsia="MS Mincho"/>
          <w:strike/>
          <w:szCs w:val="24"/>
        </w:rPr>
        <w:t>p)</w:t>
      </w:r>
      <w:r w:rsidRPr="007A14A9">
        <w:rPr>
          <w:rFonts w:eastAsia="MS Mincho"/>
          <w:b/>
          <w:szCs w:val="24"/>
        </w:rPr>
        <w:t>o)</w:t>
      </w:r>
      <w:r w:rsidRPr="007A14A9">
        <w:rPr>
          <w:rFonts w:eastAsia="MS Mincho"/>
          <w:szCs w:val="24"/>
        </w:rPr>
        <w:t xml:space="preserve"> </w:t>
      </w:r>
      <w:r w:rsidRPr="007A14A9">
        <w:rPr>
          <w:rFonts w:eastAsia="MS Mincho"/>
          <w:szCs w:val="24"/>
        </w:rPr>
        <w:tab/>
        <w:t xml:space="preserve">přijmout opatření k účinnějšímu sledování možných zdrojů systémového rizika, nebo </w:t>
      </w:r>
    </w:p>
    <w:p w14:paraId="778C91F1" w14:textId="77777777" w:rsidR="007A14A9" w:rsidRPr="007A14A9" w:rsidRDefault="007A14A9" w:rsidP="007A14A9">
      <w:pPr>
        <w:spacing w:before="0"/>
        <w:ind w:left="425" w:hanging="425"/>
        <w:outlineLvl w:val="7"/>
        <w:rPr>
          <w:rFonts w:eastAsia="MS Mincho"/>
          <w:szCs w:val="24"/>
        </w:rPr>
      </w:pPr>
      <w:r w:rsidRPr="007A14A9">
        <w:rPr>
          <w:rFonts w:eastAsia="MS Mincho"/>
          <w:strike/>
          <w:szCs w:val="24"/>
        </w:rPr>
        <w:t>q)</w:t>
      </w:r>
      <w:r w:rsidRPr="007A14A9">
        <w:rPr>
          <w:rFonts w:eastAsia="MS Mincho"/>
          <w:b/>
          <w:szCs w:val="24"/>
        </w:rPr>
        <w:t>p)</w:t>
      </w:r>
      <w:r w:rsidRPr="007A14A9">
        <w:rPr>
          <w:rFonts w:eastAsia="MS Mincho"/>
          <w:szCs w:val="24"/>
        </w:rPr>
        <w:t xml:space="preserve"> </w:t>
      </w:r>
      <w:r w:rsidRPr="007A14A9">
        <w:rPr>
          <w:rFonts w:eastAsia="MS Mincho"/>
          <w:szCs w:val="24"/>
        </w:rPr>
        <w:tab/>
        <w:t xml:space="preserve">zavést nucenou správu. </w:t>
      </w:r>
    </w:p>
    <w:p w14:paraId="66C7B2A0" w14:textId="77777777" w:rsidR="007A14A9" w:rsidRPr="007A14A9" w:rsidRDefault="007A14A9" w:rsidP="007A14A9">
      <w:pPr>
        <w:widowControl w:val="0"/>
        <w:autoSpaceDE w:val="0"/>
        <w:autoSpaceDN w:val="0"/>
        <w:adjustRightInd w:val="0"/>
        <w:spacing w:before="0" w:after="120"/>
        <w:ind w:firstLine="0"/>
        <w:jc w:val="center"/>
        <w:rPr>
          <w:rFonts w:eastAsia="MS Mincho"/>
          <w:b/>
          <w:bCs/>
          <w:szCs w:val="24"/>
        </w:rPr>
      </w:pPr>
      <w:r w:rsidRPr="007A14A9">
        <w:rPr>
          <w:rFonts w:eastAsia="MS Mincho"/>
          <w:b/>
          <w:bCs/>
          <w:szCs w:val="24"/>
        </w:rPr>
        <w:t xml:space="preserve">Díl 5 </w:t>
      </w:r>
    </w:p>
    <w:p w14:paraId="161C8982" w14:textId="77777777" w:rsidR="007A14A9" w:rsidRPr="007A14A9" w:rsidRDefault="007A14A9" w:rsidP="007A14A9">
      <w:pPr>
        <w:keepNext/>
        <w:keepLines/>
        <w:ind w:firstLine="0"/>
        <w:jc w:val="center"/>
        <w:outlineLvl w:val="5"/>
        <w:rPr>
          <w:b/>
        </w:rPr>
      </w:pPr>
      <w:r w:rsidRPr="007A14A9">
        <w:rPr>
          <w:b/>
        </w:rPr>
        <w:t xml:space="preserve">Změna auditora </w:t>
      </w:r>
    </w:p>
    <w:p w14:paraId="5FD3EA7C" w14:textId="77777777" w:rsidR="007A14A9" w:rsidRPr="007A14A9" w:rsidRDefault="007A14A9" w:rsidP="007A14A9">
      <w:pPr>
        <w:keepNext/>
        <w:keepLines/>
        <w:ind w:firstLine="0"/>
        <w:jc w:val="center"/>
        <w:outlineLvl w:val="5"/>
      </w:pPr>
      <w:r w:rsidRPr="007A14A9">
        <w:t>§ 544</w:t>
      </w:r>
    </w:p>
    <w:p w14:paraId="5FD781F8" w14:textId="77777777" w:rsidR="007A14A9" w:rsidRPr="007A14A9" w:rsidRDefault="007A14A9" w:rsidP="007A14A9">
      <w:pPr>
        <w:tabs>
          <w:tab w:val="left" w:pos="782"/>
          <w:tab w:val="left" w:pos="851"/>
        </w:tabs>
        <w:spacing w:before="120" w:after="120"/>
        <w:outlineLvl w:val="6"/>
        <w:rPr>
          <w:rFonts w:eastAsia="MS Mincho"/>
          <w:strike/>
          <w:szCs w:val="24"/>
        </w:rPr>
      </w:pPr>
      <w:r w:rsidRPr="007A14A9">
        <w:rPr>
          <w:rFonts w:eastAsia="MS Mincho"/>
          <w:strike/>
          <w:szCs w:val="24"/>
        </w:rPr>
        <w:t xml:space="preserve">(1) Česká národní banka může nařídit změnu auditora ověřujícího účetní závěrku nebo konsolidovanou účetní závěrku investičního fondu nebo zahraničního investičního fondu nebo jeho obhospodařovatele na náklady tohoto obhospodařovatele, </w:t>
      </w:r>
    </w:p>
    <w:p w14:paraId="69A1E8A6" w14:textId="77777777" w:rsidR="007A14A9" w:rsidRPr="007A14A9" w:rsidRDefault="007A14A9" w:rsidP="007A14A9">
      <w:pPr>
        <w:spacing w:before="0"/>
        <w:ind w:left="425" w:hanging="425"/>
        <w:outlineLvl w:val="7"/>
        <w:rPr>
          <w:rFonts w:eastAsia="MS Mincho"/>
          <w:strike/>
          <w:szCs w:val="24"/>
        </w:rPr>
      </w:pPr>
      <w:r w:rsidRPr="007A14A9">
        <w:rPr>
          <w:rFonts w:eastAsia="MS Mincho"/>
          <w:strike/>
          <w:szCs w:val="24"/>
        </w:rPr>
        <w:t xml:space="preserve"> a) </w:t>
      </w:r>
      <w:r w:rsidRPr="007A14A9">
        <w:rPr>
          <w:rFonts w:eastAsia="MS Mincho"/>
          <w:strike/>
          <w:szCs w:val="24"/>
        </w:rPr>
        <w:tab/>
        <w:t xml:space="preserve">zjistí-li závažné nebo opakované nedostatky v auditu účetní závěrky nebo konsolidované účetní závěrky tohoto fondu nebo tohoto obhospodařovatele, nebo </w:t>
      </w:r>
    </w:p>
    <w:p w14:paraId="0367152E" w14:textId="77777777" w:rsidR="007A14A9" w:rsidRPr="007A14A9" w:rsidRDefault="007A14A9" w:rsidP="007A14A9">
      <w:pPr>
        <w:spacing w:before="0"/>
        <w:ind w:left="425" w:hanging="425"/>
        <w:outlineLvl w:val="7"/>
        <w:rPr>
          <w:rFonts w:eastAsia="MS Mincho"/>
          <w:strike/>
          <w:szCs w:val="24"/>
        </w:rPr>
      </w:pPr>
      <w:r w:rsidRPr="007A14A9">
        <w:rPr>
          <w:rFonts w:eastAsia="MS Mincho"/>
          <w:strike/>
          <w:szCs w:val="24"/>
        </w:rPr>
        <w:t xml:space="preserve"> b) </w:t>
      </w:r>
      <w:r w:rsidRPr="007A14A9">
        <w:rPr>
          <w:rFonts w:eastAsia="MS Mincho"/>
          <w:strike/>
          <w:szCs w:val="24"/>
        </w:rPr>
        <w:tab/>
        <w:t xml:space="preserve">nesplní-li auditor svou oznamovací povinnost podle zákona upravujícího činnost auditorů. </w:t>
      </w:r>
    </w:p>
    <w:p w14:paraId="24A43644"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b/>
          <w:szCs w:val="24"/>
        </w:rPr>
        <w:t>(1) Česká národní banka může nařídit změnu auditora provádějícího povinný audit investičního fondu nebo zahraničního investičního fondu nebo jeho obhospodařovatele na náklady tohoto obhospodařovatele, nesplní-li auditor svou povinnost informovat Českou národní banku o skutečnostech zjištěných podle § 21 odst. 3 nebo 4 zákona upravujícího činnost auditorů</w:t>
      </w:r>
      <w:r w:rsidRPr="007A14A9">
        <w:rPr>
          <w:rFonts w:eastAsia="MS Mincho"/>
          <w:szCs w:val="24"/>
        </w:rPr>
        <w:t xml:space="preserve">. </w:t>
      </w:r>
    </w:p>
    <w:p w14:paraId="4AC29D27" w14:textId="77777777" w:rsidR="007A14A9" w:rsidRPr="007A14A9" w:rsidRDefault="007A14A9" w:rsidP="007A14A9">
      <w:pPr>
        <w:spacing w:before="0"/>
        <w:ind w:left="425" w:hanging="425"/>
        <w:outlineLvl w:val="7"/>
        <w:rPr>
          <w:rFonts w:eastAsia="MS Mincho"/>
          <w:szCs w:val="24"/>
        </w:rPr>
      </w:pPr>
    </w:p>
    <w:p w14:paraId="2713C1D4"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(2) Obhospodařovatel </w:t>
      </w:r>
      <w:r w:rsidRPr="007A14A9">
        <w:rPr>
          <w:rFonts w:eastAsia="MS Mincho"/>
          <w:strike/>
          <w:szCs w:val="24"/>
        </w:rPr>
        <w:t xml:space="preserve">zajistí změnu auditora a </w:t>
      </w:r>
      <w:proofErr w:type="gramStart"/>
      <w:r w:rsidRPr="007A14A9">
        <w:rPr>
          <w:rFonts w:eastAsia="MS Mincho"/>
          <w:strike/>
          <w:szCs w:val="24"/>
        </w:rPr>
        <w:t>oznámí</w:t>
      </w:r>
      <w:proofErr w:type="gramEnd"/>
      <w:r w:rsidRPr="007A14A9">
        <w:rPr>
          <w:rFonts w:eastAsia="MS Mincho"/>
          <w:strike/>
          <w:szCs w:val="24"/>
        </w:rPr>
        <w:t xml:space="preserve"> České národní bance do 1 měsíce ode dne právní moci rozhodnutí o nařízení změny auditora údaje o auditorovi </w:t>
      </w:r>
      <w:r w:rsidRPr="007A14A9">
        <w:rPr>
          <w:rFonts w:eastAsia="MS Mincho"/>
          <w:szCs w:val="24"/>
        </w:rPr>
        <w:t xml:space="preserve"> </w:t>
      </w:r>
      <w:proofErr w:type="gramStart"/>
      <w:r w:rsidRPr="007A14A9">
        <w:rPr>
          <w:b/>
        </w:rPr>
        <w:t>oznámí</w:t>
      </w:r>
      <w:proofErr w:type="gramEnd"/>
      <w:r w:rsidRPr="007A14A9">
        <w:rPr>
          <w:b/>
        </w:rPr>
        <w:t xml:space="preserve"> České národní bance vybraného auditora do 30 dnů ode dne nabytí právní moci rozhodnutí o nařízení změny auditora</w:t>
      </w:r>
      <w:r w:rsidRPr="007A14A9">
        <w:rPr>
          <w:rFonts w:eastAsia="MS Mincho"/>
          <w:szCs w:val="24"/>
        </w:rPr>
        <w:t>.</w:t>
      </w:r>
    </w:p>
    <w:p w14:paraId="3BFFA1A1" w14:textId="77777777" w:rsidR="007A14A9" w:rsidRPr="007A14A9" w:rsidRDefault="007A14A9" w:rsidP="007A14A9">
      <w:pPr>
        <w:keepNext/>
        <w:keepLines/>
        <w:ind w:firstLine="0"/>
        <w:jc w:val="center"/>
        <w:outlineLvl w:val="5"/>
        <w:rPr>
          <w:b/>
          <w:strike/>
        </w:rPr>
      </w:pPr>
      <w:r w:rsidRPr="007A14A9">
        <w:rPr>
          <w:b/>
          <w:strike/>
        </w:rPr>
        <w:lastRenderedPageBreak/>
        <w:t>Díl 6</w:t>
      </w:r>
    </w:p>
    <w:p w14:paraId="58E87F7E" w14:textId="77777777" w:rsidR="007A14A9" w:rsidRPr="007A14A9" w:rsidRDefault="007A14A9" w:rsidP="007A14A9">
      <w:pPr>
        <w:keepNext/>
        <w:keepLines/>
        <w:ind w:firstLine="0"/>
        <w:jc w:val="center"/>
        <w:outlineLvl w:val="5"/>
        <w:rPr>
          <w:b/>
          <w:strike/>
        </w:rPr>
      </w:pPr>
      <w:r w:rsidRPr="007A14A9">
        <w:rPr>
          <w:b/>
          <w:strike/>
        </w:rPr>
        <w:t xml:space="preserve">Mimořádné provedení auditu účetní závěrky </w:t>
      </w:r>
    </w:p>
    <w:p w14:paraId="6A6FF517" w14:textId="77777777" w:rsidR="007A14A9" w:rsidRPr="007A14A9" w:rsidRDefault="007A14A9" w:rsidP="007A14A9">
      <w:pPr>
        <w:keepNext/>
        <w:keepLines/>
        <w:ind w:firstLine="0"/>
        <w:jc w:val="center"/>
        <w:outlineLvl w:val="5"/>
        <w:rPr>
          <w:strike/>
        </w:rPr>
      </w:pPr>
      <w:r w:rsidRPr="007A14A9">
        <w:rPr>
          <w:strike/>
        </w:rPr>
        <w:t xml:space="preserve">§ 545 </w:t>
      </w:r>
    </w:p>
    <w:p w14:paraId="641A57E8" w14:textId="77777777" w:rsidR="007A14A9" w:rsidRPr="007A14A9" w:rsidRDefault="007A14A9" w:rsidP="007A14A9">
      <w:pPr>
        <w:tabs>
          <w:tab w:val="left" w:pos="782"/>
          <w:tab w:val="left" w:pos="851"/>
        </w:tabs>
        <w:spacing w:before="120" w:after="120"/>
        <w:outlineLvl w:val="6"/>
        <w:rPr>
          <w:rFonts w:eastAsia="MS Mincho"/>
          <w:strike/>
          <w:szCs w:val="24"/>
        </w:rPr>
      </w:pPr>
      <w:r w:rsidRPr="007A14A9">
        <w:rPr>
          <w:rFonts w:eastAsia="MS Mincho"/>
          <w:strike/>
          <w:szCs w:val="24"/>
        </w:rPr>
        <w:t>(1)</w:t>
      </w:r>
      <w:r w:rsidRPr="007A14A9">
        <w:rPr>
          <w:rFonts w:eastAsia="MS Mincho"/>
          <w:strike/>
          <w:szCs w:val="24"/>
        </w:rPr>
        <w:tab/>
        <w:t>Česká národní banka může nařídit obhospodařovateli provedení mimořádného auditu účetní závěrky</w:t>
      </w:r>
      <w:r w:rsidRPr="007A14A9">
        <w:rPr>
          <w:rFonts w:eastAsia="MS Mincho"/>
          <w:strike/>
          <w:color w:val="FF0000"/>
          <w:szCs w:val="24"/>
        </w:rPr>
        <w:t xml:space="preserve"> </w:t>
      </w:r>
      <w:r w:rsidRPr="007A14A9">
        <w:rPr>
          <w:rFonts w:eastAsia="MS Mincho"/>
          <w:strike/>
          <w:szCs w:val="24"/>
        </w:rPr>
        <w:t xml:space="preserve">investičního fondu, </w:t>
      </w:r>
    </w:p>
    <w:p w14:paraId="61AB5657" w14:textId="77777777" w:rsidR="007A14A9" w:rsidRPr="007A14A9" w:rsidRDefault="007A14A9" w:rsidP="007A14A9">
      <w:pPr>
        <w:spacing w:before="0"/>
        <w:ind w:left="425" w:hanging="425"/>
        <w:outlineLvl w:val="7"/>
        <w:rPr>
          <w:rFonts w:eastAsia="MS Mincho"/>
          <w:strike/>
          <w:szCs w:val="24"/>
        </w:rPr>
      </w:pPr>
      <w:r w:rsidRPr="007A14A9">
        <w:rPr>
          <w:rFonts w:eastAsia="MS Mincho"/>
          <w:strike/>
          <w:szCs w:val="24"/>
        </w:rPr>
        <w:t xml:space="preserve">a) </w:t>
      </w:r>
      <w:r w:rsidRPr="007A14A9">
        <w:rPr>
          <w:rFonts w:eastAsia="MS Mincho"/>
          <w:strike/>
          <w:szCs w:val="24"/>
        </w:rPr>
        <w:tab/>
        <w:t>zjistí-li závažné nebo opakované nedostatky v </w:t>
      </w:r>
      <w:r w:rsidRPr="007A14A9">
        <w:rPr>
          <w:rFonts w:eastAsia="MS Mincho"/>
          <w:strike/>
          <w:color w:val="FF0000"/>
          <w:szCs w:val="24"/>
        </w:rPr>
        <w:t xml:space="preserve"> </w:t>
      </w:r>
      <w:r w:rsidRPr="007A14A9">
        <w:rPr>
          <w:rFonts w:eastAsia="MS Mincho"/>
          <w:strike/>
          <w:szCs w:val="24"/>
        </w:rPr>
        <w:t xml:space="preserve">auditu účetní závěrky investičního fondu, nebo </w:t>
      </w:r>
    </w:p>
    <w:p w14:paraId="051C3980" w14:textId="77777777" w:rsidR="007A14A9" w:rsidRPr="007A14A9" w:rsidRDefault="007A14A9" w:rsidP="007A14A9">
      <w:pPr>
        <w:spacing w:before="0"/>
        <w:ind w:left="425" w:hanging="425"/>
        <w:outlineLvl w:val="7"/>
        <w:rPr>
          <w:rFonts w:eastAsia="MS Mincho"/>
          <w:strike/>
          <w:szCs w:val="24"/>
        </w:rPr>
      </w:pPr>
      <w:r w:rsidRPr="007A14A9">
        <w:rPr>
          <w:rFonts w:eastAsia="MS Mincho"/>
          <w:strike/>
          <w:szCs w:val="24"/>
        </w:rPr>
        <w:t xml:space="preserve">b) </w:t>
      </w:r>
      <w:r w:rsidRPr="007A14A9">
        <w:rPr>
          <w:rFonts w:eastAsia="MS Mincho"/>
          <w:strike/>
          <w:szCs w:val="24"/>
        </w:rPr>
        <w:tab/>
        <w:t xml:space="preserve">nesplní-li auditor svou oznamovací povinnost podle zákona upravujícího činnost auditorů. </w:t>
      </w:r>
    </w:p>
    <w:p w14:paraId="26D69A93" w14:textId="77777777" w:rsidR="007A14A9" w:rsidRPr="007A14A9" w:rsidRDefault="007A14A9" w:rsidP="007A14A9">
      <w:pPr>
        <w:tabs>
          <w:tab w:val="left" w:pos="782"/>
          <w:tab w:val="left" w:pos="851"/>
        </w:tabs>
        <w:spacing w:before="120" w:after="120"/>
        <w:outlineLvl w:val="6"/>
        <w:rPr>
          <w:rFonts w:eastAsia="MS Mincho"/>
          <w:strike/>
          <w:szCs w:val="24"/>
        </w:rPr>
      </w:pPr>
      <w:r w:rsidRPr="007A14A9">
        <w:rPr>
          <w:rFonts w:eastAsia="MS Mincho"/>
          <w:strike/>
          <w:szCs w:val="24"/>
        </w:rPr>
        <w:t>(2)</w:t>
      </w:r>
      <w:r w:rsidRPr="007A14A9">
        <w:rPr>
          <w:rFonts w:eastAsia="MS Mincho"/>
          <w:strike/>
          <w:szCs w:val="24"/>
        </w:rPr>
        <w:tab/>
        <w:t xml:space="preserve">S ohledem na zjištěné skutečnosti Česká národní banka určí podmínky provedení mimořádného auditu účetní závěrky, zejména rozsah a způsob provedení mimořádného auditu. </w:t>
      </w:r>
    </w:p>
    <w:p w14:paraId="11F4C04A" w14:textId="77777777" w:rsidR="007A14A9" w:rsidRPr="007A14A9" w:rsidRDefault="007A14A9" w:rsidP="007A14A9">
      <w:pPr>
        <w:tabs>
          <w:tab w:val="left" w:pos="782"/>
          <w:tab w:val="left" w:pos="851"/>
        </w:tabs>
        <w:spacing w:before="120" w:after="120"/>
        <w:outlineLvl w:val="6"/>
        <w:rPr>
          <w:rFonts w:eastAsia="MS Mincho"/>
          <w:strike/>
          <w:szCs w:val="24"/>
        </w:rPr>
      </w:pPr>
      <w:r w:rsidRPr="007A14A9">
        <w:rPr>
          <w:rFonts w:eastAsia="MS Mincho"/>
          <w:strike/>
          <w:szCs w:val="24"/>
        </w:rPr>
        <w:t>(3)</w:t>
      </w:r>
      <w:r w:rsidRPr="007A14A9">
        <w:rPr>
          <w:rFonts w:eastAsia="MS Mincho"/>
          <w:strike/>
          <w:szCs w:val="24"/>
        </w:rPr>
        <w:tab/>
        <w:t xml:space="preserve">Obhospodařovatel zajistí provedení mimořádného auditu a oznámí České národní bance do 1 měsíce ode dne nabytí právní moci rozhodnutí o provedení mimořádného auditu údaje o auditorovi, který mimořádný audit provede, a to v rozsahu stanoveném prováděcím právním předpisem. Tento auditor musí být osobou odlišnou od auditora, který provedl ověření účetní závěrky. </w:t>
      </w:r>
    </w:p>
    <w:p w14:paraId="758183E9" w14:textId="77777777" w:rsidR="007A14A9" w:rsidRPr="007A14A9" w:rsidRDefault="007A14A9" w:rsidP="007A14A9">
      <w:pPr>
        <w:tabs>
          <w:tab w:val="left" w:pos="782"/>
          <w:tab w:val="left" w:pos="851"/>
        </w:tabs>
        <w:spacing w:before="120" w:after="120"/>
        <w:outlineLvl w:val="6"/>
        <w:rPr>
          <w:rFonts w:eastAsia="MS Mincho"/>
          <w:strike/>
          <w:szCs w:val="24"/>
        </w:rPr>
      </w:pPr>
      <w:r w:rsidRPr="007A14A9">
        <w:rPr>
          <w:rFonts w:eastAsia="MS Mincho"/>
          <w:strike/>
          <w:szCs w:val="24"/>
        </w:rPr>
        <w:t xml:space="preserve"> (4) Česká národní banka může do 1 měsíce ode dne oznámení údajů podle odstavce 3 odmítnout auditora, který jí byl obhospodařovatelem oznámen, a určit jiného auditora, který mimořádný audit provede. </w:t>
      </w:r>
    </w:p>
    <w:p w14:paraId="04AE8838" w14:textId="77777777" w:rsidR="007A14A9" w:rsidRPr="007A14A9" w:rsidRDefault="007A14A9" w:rsidP="007A14A9">
      <w:pPr>
        <w:tabs>
          <w:tab w:val="left" w:pos="782"/>
          <w:tab w:val="left" w:pos="851"/>
        </w:tabs>
        <w:spacing w:before="120" w:after="120"/>
        <w:outlineLvl w:val="6"/>
        <w:rPr>
          <w:rFonts w:eastAsia="MS Mincho"/>
          <w:strike/>
          <w:szCs w:val="24"/>
        </w:rPr>
      </w:pPr>
      <w:r w:rsidRPr="007A14A9">
        <w:rPr>
          <w:rFonts w:eastAsia="MS Mincho"/>
          <w:strike/>
          <w:szCs w:val="24"/>
        </w:rPr>
        <w:t>(5)</w:t>
      </w:r>
      <w:r w:rsidRPr="007A14A9">
        <w:rPr>
          <w:rFonts w:eastAsia="MS Mincho"/>
          <w:strike/>
          <w:szCs w:val="24"/>
        </w:rPr>
        <w:tab/>
        <w:t xml:space="preserve">Obhospodařovatel zajistí provedení auditu bez zbytečného odkladu po uplynutí lhůty podle odstavce 4. </w:t>
      </w:r>
    </w:p>
    <w:p w14:paraId="36AC8883" w14:textId="77777777" w:rsidR="007A14A9" w:rsidRPr="007A14A9" w:rsidRDefault="007A14A9" w:rsidP="007A14A9">
      <w:pPr>
        <w:tabs>
          <w:tab w:val="left" w:pos="782"/>
          <w:tab w:val="left" w:pos="851"/>
        </w:tabs>
        <w:spacing w:before="120" w:after="120"/>
        <w:outlineLvl w:val="6"/>
        <w:rPr>
          <w:rFonts w:eastAsia="MS Mincho"/>
          <w:strike/>
          <w:szCs w:val="24"/>
        </w:rPr>
      </w:pPr>
      <w:r w:rsidRPr="007A14A9">
        <w:rPr>
          <w:rFonts w:eastAsia="MS Mincho"/>
          <w:strike/>
          <w:szCs w:val="24"/>
        </w:rPr>
        <w:t>(6)</w:t>
      </w:r>
      <w:r w:rsidRPr="007A14A9">
        <w:rPr>
          <w:rFonts w:eastAsia="MS Mincho"/>
          <w:strike/>
          <w:szCs w:val="24"/>
        </w:rPr>
        <w:tab/>
        <w:t xml:space="preserve">Náklady mimořádného auditu nese obhospodařovatel. Nejsou-li na základě mimořádného auditu potvrzeny závažné nebo opakované nedostatky v auditu účetní závěrky investičního fondu nebo prokáže-li se, že nedošlo k porušení oznamovací povinnosti auditora podle odstavce 1 písm. b), uhradí Česká národní banka obhospodařovateli jím účelně vynaložené náklady na provedení mimořádného auditu. </w:t>
      </w:r>
    </w:p>
    <w:p w14:paraId="13FDDDF6" w14:textId="77777777" w:rsidR="007A14A9" w:rsidRPr="007A14A9" w:rsidRDefault="007A14A9" w:rsidP="007A14A9">
      <w:pPr>
        <w:widowControl w:val="0"/>
        <w:autoSpaceDE w:val="0"/>
        <w:autoSpaceDN w:val="0"/>
        <w:adjustRightInd w:val="0"/>
        <w:spacing w:before="0"/>
        <w:ind w:firstLine="0"/>
        <w:rPr>
          <w:rFonts w:eastAsia="MS Mincho"/>
          <w:szCs w:val="24"/>
        </w:rPr>
      </w:pPr>
    </w:p>
    <w:p w14:paraId="0D38EE14" w14:textId="77777777" w:rsidR="007A14A9" w:rsidRPr="007A14A9" w:rsidRDefault="007A14A9" w:rsidP="007A14A9">
      <w:pPr>
        <w:keepNext/>
        <w:widowControl w:val="0"/>
        <w:autoSpaceDE w:val="0"/>
        <w:autoSpaceDN w:val="0"/>
        <w:adjustRightInd w:val="0"/>
        <w:spacing w:before="0"/>
        <w:ind w:firstLine="0"/>
        <w:jc w:val="center"/>
        <w:rPr>
          <w:rFonts w:eastAsia="MS Mincho"/>
          <w:b/>
          <w:bCs/>
          <w:szCs w:val="24"/>
        </w:rPr>
      </w:pPr>
      <w:r w:rsidRPr="007A14A9">
        <w:rPr>
          <w:rFonts w:eastAsia="MS Mincho"/>
          <w:b/>
          <w:bCs/>
          <w:szCs w:val="24"/>
        </w:rPr>
        <w:t xml:space="preserve">ČÁST PATNÁCTÁ </w:t>
      </w:r>
    </w:p>
    <w:p w14:paraId="5C122239" w14:textId="77777777" w:rsidR="007A14A9" w:rsidRPr="007A14A9" w:rsidRDefault="007A14A9" w:rsidP="007A14A9">
      <w:pPr>
        <w:keepNext/>
        <w:widowControl w:val="0"/>
        <w:autoSpaceDE w:val="0"/>
        <w:autoSpaceDN w:val="0"/>
        <w:adjustRightInd w:val="0"/>
        <w:spacing w:before="0"/>
        <w:ind w:firstLine="0"/>
        <w:rPr>
          <w:rFonts w:eastAsia="MS Mincho"/>
          <w:b/>
          <w:bCs/>
          <w:szCs w:val="24"/>
        </w:rPr>
      </w:pPr>
    </w:p>
    <w:p w14:paraId="3EB7BDF2" w14:textId="77777777" w:rsidR="007A14A9" w:rsidRPr="007A14A9" w:rsidRDefault="007A14A9" w:rsidP="007A14A9">
      <w:pPr>
        <w:keepNext/>
        <w:widowControl w:val="0"/>
        <w:autoSpaceDE w:val="0"/>
        <w:autoSpaceDN w:val="0"/>
        <w:adjustRightInd w:val="0"/>
        <w:spacing w:before="0"/>
        <w:ind w:firstLine="0"/>
        <w:jc w:val="center"/>
        <w:rPr>
          <w:rFonts w:eastAsia="MS Mincho"/>
          <w:b/>
          <w:bCs/>
          <w:szCs w:val="24"/>
        </w:rPr>
      </w:pPr>
      <w:r w:rsidRPr="007A14A9">
        <w:rPr>
          <w:rFonts w:eastAsia="MS Mincho"/>
          <w:b/>
          <w:bCs/>
          <w:szCs w:val="24"/>
        </w:rPr>
        <w:t>PŘESTUPKY</w:t>
      </w:r>
    </w:p>
    <w:p w14:paraId="29FED391" w14:textId="77777777" w:rsidR="007A14A9" w:rsidRPr="007A14A9" w:rsidRDefault="007A14A9" w:rsidP="007A14A9">
      <w:pPr>
        <w:keepNext/>
        <w:widowControl w:val="0"/>
        <w:autoSpaceDE w:val="0"/>
        <w:autoSpaceDN w:val="0"/>
        <w:adjustRightInd w:val="0"/>
        <w:spacing w:before="0" w:after="120"/>
        <w:ind w:firstLine="0"/>
        <w:jc w:val="center"/>
        <w:rPr>
          <w:rFonts w:eastAsia="MS Mincho"/>
          <w:szCs w:val="24"/>
        </w:rPr>
      </w:pPr>
    </w:p>
    <w:p w14:paraId="300735AC" w14:textId="77777777" w:rsidR="007A14A9" w:rsidRPr="007A14A9" w:rsidRDefault="007A14A9" w:rsidP="007A14A9">
      <w:pPr>
        <w:keepNext/>
        <w:widowControl w:val="0"/>
        <w:autoSpaceDE w:val="0"/>
        <w:autoSpaceDN w:val="0"/>
        <w:adjustRightInd w:val="0"/>
        <w:spacing w:before="0" w:after="120"/>
        <w:ind w:firstLine="0"/>
        <w:jc w:val="center"/>
        <w:rPr>
          <w:rFonts w:eastAsia="MS Mincho"/>
          <w:szCs w:val="24"/>
        </w:rPr>
      </w:pPr>
      <w:r w:rsidRPr="007A14A9">
        <w:rPr>
          <w:rFonts w:eastAsia="MS Mincho"/>
          <w:szCs w:val="24"/>
        </w:rPr>
        <w:t xml:space="preserve">HLAVA I </w:t>
      </w:r>
    </w:p>
    <w:p w14:paraId="1FA2D2B7" w14:textId="77777777" w:rsidR="007A14A9" w:rsidRPr="007A14A9" w:rsidRDefault="007A14A9" w:rsidP="007A14A9">
      <w:pPr>
        <w:keepNext/>
        <w:widowControl w:val="0"/>
        <w:autoSpaceDE w:val="0"/>
        <w:autoSpaceDN w:val="0"/>
        <w:adjustRightInd w:val="0"/>
        <w:spacing w:before="0" w:after="120"/>
        <w:ind w:firstLine="0"/>
        <w:jc w:val="center"/>
        <w:rPr>
          <w:rFonts w:eastAsia="MS Mincho"/>
          <w:szCs w:val="24"/>
        </w:rPr>
      </w:pPr>
      <w:r w:rsidRPr="007A14A9">
        <w:rPr>
          <w:rFonts w:eastAsia="MS Mincho"/>
          <w:szCs w:val="24"/>
        </w:rPr>
        <w:t xml:space="preserve">PŘESTUPKY PRÁVNICKÝCH A PODNIKAJÍCÍCH FYZICKÝCH OSOB </w:t>
      </w:r>
    </w:p>
    <w:p w14:paraId="447A780B" w14:textId="77777777" w:rsidR="007A14A9" w:rsidRPr="007A14A9" w:rsidRDefault="007A14A9" w:rsidP="007A14A9">
      <w:pPr>
        <w:keepNext/>
        <w:widowControl w:val="0"/>
        <w:autoSpaceDE w:val="0"/>
        <w:autoSpaceDN w:val="0"/>
        <w:adjustRightInd w:val="0"/>
        <w:spacing w:before="0" w:after="120"/>
        <w:ind w:firstLine="0"/>
        <w:jc w:val="center"/>
        <w:rPr>
          <w:rFonts w:eastAsia="MS Mincho"/>
          <w:b/>
          <w:bCs/>
          <w:szCs w:val="24"/>
        </w:rPr>
      </w:pPr>
      <w:r w:rsidRPr="007A14A9">
        <w:rPr>
          <w:rFonts w:eastAsia="MS Mincho"/>
          <w:b/>
          <w:bCs/>
          <w:szCs w:val="24"/>
        </w:rPr>
        <w:t xml:space="preserve">Díl 1 </w:t>
      </w:r>
    </w:p>
    <w:p w14:paraId="295C155D" w14:textId="77777777" w:rsidR="007A14A9" w:rsidRPr="007A14A9" w:rsidRDefault="007A14A9" w:rsidP="007A14A9">
      <w:pPr>
        <w:keepNext/>
        <w:keepLines/>
        <w:ind w:firstLine="0"/>
        <w:jc w:val="center"/>
        <w:outlineLvl w:val="5"/>
        <w:rPr>
          <w:b/>
        </w:rPr>
      </w:pPr>
      <w:r w:rsidRPr="007A14A9">
        <w:rPr>
          <w:b/>
        </w:rPr>
        <w:t xml:space="preserve">Přestupky obhospodařovatele </w:t>
      </w:r>
    </w:p>
    <w:p w14:paraId="4CAC62AE" w14:textId="77777777" w:rsidR="007A14A9" w:rsidRPr="007A14A9" w:rsidRDefault="007A14A9" w:rsidP="007A14A9">
      <w:pPr>
        <w:keepNext/>
        <w:keepLines/>
        <w:ind w:firstLine="0"/>
        <w:jc w:val="center"/>
        <w:outlineLvl w:val="5"/>
      </w:pPr>
      <w:r w:rsidRPr="007A14A9">
        <w:t xml:space="preserve">§ 599 </w:t>
      </w:r>
    </w:p>
    <w:p w14:paraId="0C529B82"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(1) Obhospodařovatel investičního fondu nebo zahraničního investičního fondu se dopustí přestupku tím, že </w:t>
      </w:r>
    </w:p>
    <w:p w14:paraId="58248C16" w14:textId="77777777" w:rsidR="007A14A9" w:rsidRPr="007A14A9" w:rsidRDefault="007A14A9" w:rsidP="00554FBC">
      <w:pPr>
        <w:pBdr>
          <w:top w:val="single" w:sz="12" w:space="1" w:color="0070C0"/>
          <w:left w:val="single" w:sz="12" w:space="4" w:color="0070C0"/>
          <w:bottom w:val="single" w:sz="12" w:space="1" w:color="0070C0"/>
          <w:right w:val="single" w:sz="12" w:space="4" w:color="0070C0"/>
        </w:pBdr>
        <w:spacing w:before="0"/>
        <w:ind w:left="425" w:hanging="425"/>
        <w:outlineLvl w:val="7"/>
        <w:rPr>
          <w:szCs w:val="24"/>
        </w:rPr>
      </w:pPr>
      <w:r w:rsidRPr="007A14A9">
        <w:rPr>
          <w:rFonts w:eastAsia="MS Mincho"/>
          <w:szCs w:val="24"/>
        </w:rPr>
        <w:t>a)</w:t>
      </w:r>
      <w:r w:rsidRPr="007A14A9">
        <w:rPr>
          <w:rFonts w:eastAsia="MS Mincho"/>
          <w:szCs w:val="24"/>
        </w:rPr>
        <w:tab/>
        <w:t xml:space="preserve">nesplní některou z povinností nebo poruší některý ze zákazů podle čl. 3 až 38 nařízení Komise (EU) č. 583/2010, čl. 1 a přílohy I nařízení Komise (EU) č. 584/2010, čl. 2 až 111 nařízení Komise v přenesené pravomoci (EU) č. 231/2013, v platném znění, čl. 5, 6, čl. 7 </w:t>
      </w:r>
      <w:r w:rsidRPr="007A14A9">
        <w:rPr>
          <w:rFonts w:eastAsia="MS Mincho"/>
          <w:szCs w:val="24"/>
        </w:rPr>
        <w:lastRenderedPageBreak/>
        <w:t xml:space="preserve">písm. a) nebo b) nebo čl. 12 až 14a nařízení Evropského parlamentu a Rady (EU) č. 345/2013, v platném znění, čl. 5, 6, čl. 7 písm. a) nebo b) nebo čl. 13 až 15a nařízení Evropského parlamentu a Rady (EU) č. 346/2013, v platném znění, čl. 3 až 31 nařízení Evropského parlamentu a Rady (EU) 2015/760, </w:t>
      </w:r>
      <w:r w:rsidRPr="00554FBC">
        <w:rPr>
          <w:rFonts w:eastAsia="MS Mincho"/>
          <w:b/>
          <w:color w:val="0070C0"/>
          <w:szCs w:val="24"/>
        </w:rPr>
        <w:t>v platném znění,</w:t>
      </w:r>
      <w:r w:rsidRPr="007A14A9">
        <w:rPr>
          <w:rFonts w:eastAsia="MS Mincho"/>
          <w:szCs w:val="24"/>
        </w:rPr>
        <w:t xml:space="preserve"> čl. 13 nebo 14 nařízení Evropského parlamentu a Rady (EU) 2015/2365, čl. 2 až 24 nařízení Komise v přenesené pravomoci (EU) č. 438/2016, v platném znění, podle čl. 4 až 6, 9 až 21 nebo čl. 23 až 36 nařízení Evropského parlamentu a Rady (EU) 2017/1131, v platném znění, podle čl. 3 až 13 nařízení</w:t>
      </w:r>
      <w:r w:rsidRPr="007A14A9">
        <w:rPr>
          <w:szCs w:val="24"/>
        </w:rPr>
        <w:t xml:space="preserve"> Evropského parlamentu a Rady (EU) 2019/2088, nebo podle čl. 5 až 7 nařízení Evropského parlamentu a Rady (EU) 2020/852 ve vztahu k výkonu činnosti, kterou zahrnuje obhospodařování investičního fondu nebo zahraničního investičního fondu,</w:t>
      </w:r>
    </w:p>
    <w:p w14:paraId="0D1F1B3C" w14:textId="77777777" w:rsidR="007A14A9" w:rsidRPr="007A14A9" w:rsidRDefault="007A14A9" w:rsidP="007A14A9">
      <w:pPr>
        <w:spacing w:before="0"/>
        <w:ind w:left="425" w:hanging="425"/>
        <w:outlineLvl w:val="7"/>
        <w:rPr>
          <w:szCs w:val="24"/>
        </w:rPr>
      </w:pPr>
      <w:r w:rsidRPr="007A14A9">
        <w:rPr>
          <w:szCs w:val="24"/>
        </w:rPr>
        <w:t xml:space="preserve">b) </w:t>
      </w:r>
      <w:r w:rsidRPr="007A14A9">
        <w:rPr>
          <w:szCs w:val="24"/>
        </w:rPr>
        <w:tab/>
        <w:t xml:space="preserve">v rozporu s </w:t>
      </w:r>
      <w:hyperlink r:id="rId359" w:history="1">
        <w:r w:rsidRPr="007A14A9">
          <w:rPr>
            <w:szCs w:val="24"/>
          </w:rPr>
          <w:t>§ 18</w:t>
        </w:r>
      </w:hyperlink>
      <w:r w:rsidRPr="007A14A9">
        <w:rPr>
          <w:szCs w:val="24"/>
        </w:rPr>
        <w:t xml:space="preserve"> neobhospodařuje tento fond s odbornou péčí, </w:t>
      </w:r>
    </w:p>
    <w:p w14:paraId="7D648E35" w14:textId="77777777" w:rsidR="007A14A9" w:rsidRPr="007A14A9" w:rsidRDefault="007A14A9" w:rsidP="007A14A9">
      <w:pPr>
        <w:spacing w:before="0"/>
        <w:ind w:left="425" w:hanging="425"/>
        <w:outlineLvl w:val="7"/>
        <w:rPr>
          <w:szCs w:val="24"/>
        </w:rPr>
      </w:pPr>
      <w:r w:rsidRPr="007A14A9">
        <w:rPr>
          <w:szCs w:val="24"/>
        </w:rPr>
        <w:t xml:space="preserve">c) </w:t>
      </w:r>
      <w:r w:rsidRPr="007A14A9">
        <w:rPr>
          <w:szCs w:val="24"/>
        </w:rPr>
        <w:tab/>
        <w:t xml:space="preserve">v rozporu s </w:t>
      </w:r>
      <w:hyperlink r:id="rId360" w:history="1">
        <w:r w:rsidRPr="007A14A9">
          <w:rPr>
            <w:szCs w:val="24"/>
          </w:rPr>
          <w:t>§ 19 odst. 1</w:t>
        </w:r>
      </w:hyperlink>
      <w:r w:rsidRPr="007A14A9">
        <w:rPr>
          <w:szCs w:val="24"/>
        </w:rPr>
        <w:t xml:space="preserve"> nevykonává činnost řádně nebo obezřetně, </w:t>
      </w:r>
    </w:p>
    <w:p w14:paraId="15B0770D" w14:textId="77777777" w:rsidR="007A14A9" w:rsidRPr="007A14A9" w:rsidRDefault="007A14A9" w:rsidP="007A14A9">
      <w:pPr>
        <w:spacing w:before="0"/>
        <w:ind w:left="425" w:hanging="425"/>
        <w:outlineLvl w:val="7"/>
        <w:rPr>
          <w:szCs w:val="24"/>
        </w:rPr>
      </w:pPr>
      <w:r w:rsidRPr="007A14A9">
        <w:rPr>
          <w:szCs w:val="24"/>
        </w:rPr>
        <w:t xml:space="preserve">d) </w:t>
      </w:r>
      <w:r w:rsidRPr="007A14A9">
        <w:rPr>
          <w:szCs w:val="24"/>
        </w:rPr>
        <w:tab/>
        <w:t xml:space="preserve">v rozporu s </w:t>
      </w:r>
      <w:hyperlink r:id="rId361" w:history="1">
        <w:r w:rsidRPr="007A14A9">
          <w:rPr>
            <w:szCs w:val="24"/>
          </w:rPr>
          <w:t>§ 19 odst. 2</w:t>
        </w:r>
      </w:hyperlink>
      <w:r w:rsidRPr="007A14A9">
        <w:rPr>
          <w:szCs w:val="24"/>
        </w:rPr>
        <w:t xml:space="preserve"> nezavede, neudržuje nebo neuplatňuje řídicí a kontrolní systém, </w:t>
      </w:r>
    </w:p>
    <w:p w14:paraId="2DD3E180" w14:textId="77777777" w:rsidR="007A14A9" w:rsidRPr="007A14A9" w:rsidRDefault="007A14A9" w:rsidP="007A14A9">
      <w:pPr>
        <w:spacing w:before="0"/>
        <w:ind w:left="425" w:hanging="425"/>
        <w:outlineLvl w:val="7"/>
        <w:rPr>
          <w:szCs w:val="24"/>
        </w:rPr>
      </w:pPr>
      <w:r w:rsidRPr="007A14A9">
        <w:rPr>
          <w:szCs w:val="24"/>
        </w:rPr>
        <w:t>e)</w:t>
      </w:r>
      <w:r w:rsidRPr="007A14A9">
        <w:rPr>
          <w:szCs w:val="24"/>
        </w:rPr>
        <w:tab/>
        <w:t xml:space="preserve">nezajistí, aby jeho řídicí a kontrolní systém splňoval požadavky plynoucí z </w:t>
      </w:r>
      <w:hyperlink r:id="rId362" w:history="1">
        <w:r w:rsidRPr="007A14A9">
          <w:rPr>
            <w:szCs w:val="24"/>
          </w:rPr>
          <w:t>§ 20 odst. 1, 2 nebo 3</w:t>
        </w:r>
      </w:hyperlink>
      <w:r w:rsidRPr="007A14A9">
        <w:rPr>
          <w:szCs w:val="24"/>
        </w:rPr>
        <w:t xml:space="preserve">, </w:t>
      </w:r>
    </w:p>
    <w:p w14:paraId="347EB2AF" w14:textId="77777777" w:rsidR="007A14A9" w:rsidRPr="007A14A9" w:rsidRDefault="007A14A9" w:rsidP="007A14A9">
      <w:pPr>
        <w:spacing w:before="0"/>
        <w:ind w:left="425" w:hanging="425"/>
        <w:outlineLvl w:val="7"/>
        <w:rPr>
          <w:szCs w:val="24"/>
        </w:rPr>
      </w:pPr>
      <w:r w:rsidRPr="007A14A9">
        <w:rPr>
          <w:szCs w:val="24"/>
        </w:rPr>
        <w:t xml:space="preserve">f) </w:t>
      </w:r>
      <w:r w:rsidRPr="007A14A9">
        <w:rPr>
          <w:szCs w:val="24"/>
        </w:rPr>
        <w:tab/>
        <w:t xml:space="preserve">nejedná podle </w:t>
      </w:r>
      <w:hyperlink r:id="rId363" w:history="1">
        <w:r w:rsidRPr="007A14A9">
          <w:rPr>
            <w:szCs w:val="24"/>
          </w:rPr>
          <w:t>§ 20 odst. 4</w:t>
        </w:r>
      </w:hyperlink>
      <w:r w:rsidRPr="007A14A9">
        <w:rPr>
          <w:szCs w:val="24"/>
        </w:rPr>
        <w:t xml:space="preserve">, </w:t>
      </w:r>
    </w:p>
    <w:p w14:paraId="7B99AC7A" w14:textId="77777777" w:rsidR="007A14A9" w:rsidRPr="007A14A9" w:rsidRDefault="007A14A9" w:rsidP="007A14A9">
      <w:pPr>
        <w:spacing w:before="0"/>
        <w:ind w:left="425" w:hanging="425"/>
        <w:outlineLvl w:val="7"/>
        <w:rPr>
          <w:szCs w:val="24"/>
        </w:rPr>
      </w:pPr>
      <w:r w:rsidRPr="007A14A9">
        <w:rPr>
          <w:szCs w:val="24"/>
        </w:rPr>
        <w:t xml:space="preserve">g) </w:t>
      </w:r>
      <w:r w:rsidRPr="007A14A9">
        <w:rPr>
          <w:szCs w:val="24"/>
        </w:rPr>
        <w:tab/>
        <w:t xml:space="preserve">nezavede, neudržuje nebo neuplatňuje mechanismus k hlášení podle </w:t>
      </w:r>
      <w:hyperlink r:id="rId364" w:history="1">
        <w:r w:rsidRPr="007A14A9">
          <w:rPr>
            <w:szCs w:val="24"/>
          </w:rPr>
          <w:t>§ 20a</w:t>
        </w:r>
      </w:hyperlink>
      <w:r w:rsidRPr="007A14A9">
        <w:rPr>
          <w:szCs w:val="24"/>
        </w:rPr>
        <w:t xml:space="preserve">, </w:t>
      </w:r>
    </w:p>
    <w:p w14:paraId="517ABA68" w14:textId="77777777" w:rsidR="007A14A9" w:rsidRPr="007A14A9" w:rsidRDefault="007A14A9" w:rsidP="00554FBC">
      <w:pPr>
        <w:pBdr>
          <w:top w:val="single" w:sz="12" w:space="1" w:color="0070C0"/>
          <w:left w:val="single" w:sz="12" w:space="4" w:color="0070C0"/>
          <w:bottom w:val="single" w:sz="12" w:space="1" w:color="0070C0"/>
          <w:right w:val="single" w:sz="12" w:space="4" w:color="0070C0"/>
        </w:pBdr>
        <w:spacing w:before="0"/>
        <w:ind w:left="425" w:hanging="425"/>
        <w:outlineLvl w:val="7"/>
        <w:rPr>
          <w:szCs w:val="24"/>
        </w:rPr>
      </w:pPr>
      <w:r w:rsidRPr="007A14A9">
        <w:rPr>
          <w:szCs w:val="24"/>
        </w:rPr>
        <w:t xml:space="preserve">h) </w:t>
      </w:r>
      <w:r w:rsidRPr="007A14A9">
        <w:rPr>
          <w:szCs w:val="24"/>
        </w:rPr>
        <w:tab/>
        <w:t xml:space="preserve">nezajistí, aby jeho personální </w:t>
      </w:r>
      <w:r w:rsidRPr="00554FBC">
        <w:rPr>
          <w:b/>
          <w:color w:val="0070C0"/>
          <w:szCs w:val="24"/>
        </w:rPr>
        <w:t>zdroje splňovaly</w:t>
      </w:r>
      <w:r w:rsidRPr="007A14A9">
        <w:rPr>
          <w:color w:val="0070C0"/>
          <w:szCs w:val="24"/>
        </w:rPr>
        <w:t xml:space="preserve"> </w:t>
      </w:r>
      <w:r w:rsidRPr="007A14A9">
        <w:rPr>
          <w:szCs w:val="24"/>
        </w:rPr>
        <w:t xml:space="preserve">požadavky plynoucí z </w:t>
      </w:r>
      <w:hyperlink r:id="rId365" w:history="1">
        <w:r w:rsidRPr="007A14A9">
          <w:rPr>
            <w:szCs w:val="24"/>
          </w:rPr>
          <w:t>§ 21</w:t>
        </w:r>
      </w:hyperlink>
      <w:r w:rsidRPr="007A14A9">
        <w:rPr>
          <w:szCs w:val="24"/>
        </w:rPr>
        <w:t xml:space="preserve">, </w:t>
      </w:r>
    </w:p>
    <w:p w14:paraId="6C4E0BCF" w14:textId="77777777" w:rsidR="007A14A9" w:rsidRPr="007A14A9" w:rsidRDefault="007A14A9" w:rsidP="007A14A9">
      <w:pPr>
        <w:spacing w:before="0"/>
        <w:ind w:left="425" w:hanging="425"/>
        <w:outlineLvl w:val="7"/>
        <w:rPr>
          <w:szCs w:val="24"/>
        </w:rPr>
      </w:pPr>
      <w:r w:rsidRPr="007A14A9">
        <w:rPr>
          <w:szCs w:val="24"/>
        </w:rPr>
        <w:t xml:space="preserve">i) </w:t>
      </w:r>
      <w:r w:rsidRPr="007A14A9">
        <w:rPr>
          <w:szCs w:val="24"/>
        </w:rPr>
        <w:tab/>
        <w:t xml:space="preserve">poruší některé z pravidel jednání plynoucích z </w:t>
      </w:r>
      <w:hyperlink r:id="rId366" w:history="1">
        <w:r w:rsidRPr="007A14A9">
          <w:rPr>
            <w:szCs w:val="24"/>
          </w:rPr>
          <w:t>§ 22</w:t>
        </w:r>
      </w:hyperlink>
      <w:r w:rsidRPr="007A14A9">
        <w:rPr>
          <w:szCs w:val="24"/>
        </w:rPr>
        <w:t xml:space="preserve">, </w:t>
      </w:r>
    </w:p>
    <w:p w14:paraId="0927F0D9" w14:textId="77777777" w:rsidR="007A14A9" w:rsidRPr="007A14A9" w:rsidRDefault="007A14A9" w:rsidP="007A14A9">
      <w:pPr>
        <w:spacing w:before="0"/>
        <w:ind w:left="425" w:hanging="425"/>
        <w:outlineLvl w:val="7"/>
        <w:rPr>
          <w:szCs w:val="24"/>
        </w:rPr>
      </w:pPr>
      <w:r w:rsidRPr="007A14A9">
        <w:rPr>
          <w:szCs w:val="24"/>
        </w:rPr>
        <w:t xml:space="preserve">j) </w:t>
      </w:r>
      <w:r w:rsidRPr="007A14A9">
        <w:rPr>
          <w:szCs w:val="24"/>
        </w:rPr>
        <w:tab/>
        <w:t xml:space="preserve">pověří jiného výkonem jednotlivé činnosti, kterou zahrnuje obhospodařování tohoto fondu, v rozporu s některou z podmínek uvedených v </w:t>
      </w:r>
      <w:hyperlink r:id="rId367" w:history="1">
        <w:r w:rsidRPr="007A14A9">
          <w:rPr>
            <w:szCs w:val="24"/>
          </w:rPr>
          <w:t>§ 23 až 25</w:t>
        </w:r>
      </w:hyperlink>
      <w:r w:rsidRPr="007A14A9">
        <w:rPr>
          <w:szCs w:val="24"/>
        </w:rPr>
        <w:t xml:space="preserve">, </w:t>
      </w:r>
    </w:p>
    <w:p w14:paraId="5C4F76FE" w14:textId="77777777" w:rsidR="007A14A9" w:rsidRPr="007A14A9" w:rsidRDefault="007A14A9" w:rsidP="007A14A9">
      <w:pPr>
        <w:spacing w:before="0"/>
        <w:ind w:left="425" w:hanging="425"/>
        <w:outlineLvl w:val="7"/>
        <w:rPr>
          <w:szCs w:val="24"/>
        </w:rPr>
      </w:pPr>
      <w:r w:rsidRPr="007A14A9">
        <w:rPr>
          <w:szCs w:val="24"/>
        </w:rPr>
        <w:t xml:space="preserve">k) </w:t>
      </w:r>
      <w:r w:rsidRPr="007A14A9">
        <w:rPr>
          <w:szCs w:val="24"/>
        </w:rPr>
        <w:tab/>
        <w:t xml:space="preserve">při výkonu některé z činností uvedených v </w:t>
      </w:r>
      <w:hyperlink r:id="rId368" w:history="1">
        <w:r w:rsidRPr="007A14A9">
          <w:rPr>
            <w:szCs w:val="24"/>
          </w:rPr>
          <w:t>§ 11 odst. 1 písm. c) až f)</w:t>
        </w:r>
      </w:hyperlink>
      <w:r w:rsidRPr="007A14A9">
        <w:rPr>
          <w:szCs w:val="24"/>
        </w:rPr>
        <w:t xml:space="preserve"> nesplní některou z povinností plynoucích z </w:t>
      </w:r>
      <w:hyperlink r:id="rId369" w:history="1">
        <w:r w:rsidRPr="007A14A9">
          <w:rPr>
            <w:szCs w:val="24"/>
          </w:rPr>
          <w:t>§ 33 odst. 1</w:t>
        </w:r>
      </w:hyperlink>
      <w:r w:rsidRPr="007A14A9">
        <w:rPr>
          <w:szCs w:val="24"/>
        </w:rPr>
        <w:t xml:space="preserve"> nebo poruší zákaz podle </w:t>
      </w:r>
      <w:hyperlink r:id="rId370" w:history="1">
        <w:r w:rsidRPr="007A14A9">
          <w:rPr>
            <w:szCs w:val="24"/>
          </w:rPr>
          <w:t>§ 33 odst. 2</w:t>
        </w:r>
      </w:hyperlink>
      <w:r w:rsidRPr="007A14A9">
        <w:rPr>
          <w:szCs w:val="24"/>
        </w:rPr>
        <w:t xml:space="preserve">, </w:t>
      </w:r>
    </w:p>
    <w:p w14:paraId="6F94D705" w14:textId="77777777" w:rsidR="007A14A9" w:rsidRPr="007A14A9" w:rsidRDefault="007A14A9" w:rsidP="007A14A9">
      <w:pPr>
        <w:spacing w:before="0"/>
        <w:ind w:left="425" w:hanging="425"/>
        <w:outlineLvl w:val="7"/>
        <w:rPr>
          <w:szCs w:val="24"/>
        </w:rPr>
      </w:pPr>
      <w:r w:rsidRPr="007A14A9">
        <w:rPr>
          <w:szCs w:val="24"/>
        </w:rPr>
        <w:t xml:space="preserve">l) </w:t>
      </w:r>
      <w:r w:rsidRPr="007A14A9">
        <w:rPr>
          <w:szCs w:val="24"/>
        </w:rPr>
        <w:tab/>
        <w:t xml:space="preserve">nakládá s peněžními prostředky tohoto fondu v rozporu s </w:t>
      </w:r>
      <w:hyperlink r:id="rId371" w:history="1">
        <w:r w:rsidRPr="007A14A9">
          <w:rPr>
            <w:szCs w:val="24"/>
          </w:rPr>
          <w:t>§ 74 odst. 2 nebo 3</w:t>
        </w:r>
      </w:hyperlink>
      <w:r w:rsidRPr="007A14A9">
        <w:rPr>
          <w:szCs w:val="24"/>
        </w:rPr>
        <w:t xml:space="preserve">, </w:t>
      </w:r>
    </w:p>
    <w:p w14:paraId="3C09D879" w14:textId="77777777" w:rsidR="007A14A9" w:rsidRPr="007A14A9" w:rsidRDefault="007A14A9" w:rsidP="007A14A9">
      <w:pPr>
        <w:spacing w:before="0"/>
        <w:ind w:left="425" w:hanging="425"/>
        <w:outlineLvl w:val="7"/>
        <w:rPr>
          <w:szCs w:val="24"/>
        </w:rPr>
      </w:pPr>
      <w:r w:rsidRPr="007A14A9">
        <w:rPr>
          <w:szCs w:val="24"/>
        </w:rPr>
        <w:t xml:space="preserve">m) </w:t>
      </w:r>
      <w:r w:rsidRPr="007A14A9">
        <w:rPr>
          <w:szCs w:val="24"/>
        </w:rPr>
        <w:tab/>
        <w:t xml:space="preserve">po zániku příslušné </w:t>
      </w:r>
      <w:proofErr w:type="spellStart"/>
      <w:r w:rsidRPr="007A14A9">
        <w:rPr>
          <w:szCs w:val="24"/>
        </w:rPr>
        <w:t>depozitářské</w:t>
      </w:r>
      <w:proofErr w:type="spellEnd"/>
      <w:r w:rsidRPr="007A14A9">
        <w:rPr>
          <w:szCs w:val="24"/>
        </w:rPr>
        <w:t xml:space="preserve"> smlouvy nesplní některou z povinností uvedených v </w:t>
      </w:r>
      <w:hyperlink r:id="rId372" w:history="1">
        <w:r w:rsidRPr="007A14A9">
          <w:rPr>
            <w:szCs w:val="24"/>
          </w:rPr>
          <w:t>§ 76</w:t>
        </w:r>
      </w:hyperlink>
      <w:r w:rsidRPr="007A14A9">
        <w:rPr>
          <w:szCs w:val="24"/>
        </w:rPr>
        <w:t xml:space="preserve"> nebo </w:t>
      </w:r>
      <w:hyperlink r:id="rId373" w:history="1">
        <w:r w:rsidRPr="007A14A9">
          <w:rPr>
            <w:szCs w:val="24"/>
          </w:rPr>
          <w:t>673</w:t>
        </w:r>
      </w:hyperlink>
      <w:r w:rsidRPr="007A14A9">
        <w:rPr>
          <w:szCs w:val="24"/>
        </w:rPr>
        <w:t xml:space="preserve">, </w:t>
      </w:r>
    </w:p>
    <w:p w14:paraId="60C264F5" w14:textId="77777777" w:rsidR="007A14A9" w:rsidRPr="007A14A9" w:rsidRDefault="007A14A9" w:rsidP="007A14A9">
      <w:pPr>
        <w:spacing w:before="0"/>
        <w:ind w:left="425" w:hanging="425"/>
        <w:outlineLvl w:val="7"/>
        <w:rPr>
          <w:szCs w:val="24"/>
        </w:rPr>
      </w:pPr>
      <w:r w:rsidRPr="007A14A9">
        <w:rPr>
          <w:szCs w:val="24"/>
        </w:rPr>
        <w:t xml:space="preserve">n) </w:t>
      </w:r>
      <w:r w:rsidRPr="007A14A9">
        <w:rPr>
          <w:szCs w:val="24"/>
        </w:rPr>
        <w:tab/>
        <w:t xml:space="preserve">v rozporu s </w:t>
      </w:r>
      <w:hyperlink r:id="rId374" w:history="1">
        <w:r w:rsidRPr="007A14A9">
          <w:rPr>
            <w:szCs w:val="24"/>
          </w:rPr>
          <w:t>§ 88 odst. 3</w:t>
        </w:r>
      </w:hyperlink>
      <w:r w:rsidRPr="007A14A9">
        <w:rPr>
          <w:szCs w:val="24"/>
        </w:rPr>
        <w:t xml:space="preserve"> neinformuje příslušného depozitáře o vzniku nebo zániku závazku ze smlouvy uvedené v </w:t>
      </w:r>
      <w:hyperlink r:id="rId375" w:history="1">
        <w:r w:rsidRPr="007A14A9">
          <w:rPr>
            <w:szCs w:val="24"/>
          </w:rPr>
          <w:t>§ 88 odst. 1</w:t>
        </w:r>
      </w:hyperlink>
      <w:r w:rsidRPr="007A14A9">
        <w:rPr>
          <w:szCs w:val="24"/>
        </w:rPr>
        <w:t xml:space="preserve">, </w:t>
      </w:r>
    </w:p>
    <w:p w14:paraId="1CA80464" w14:textId="77777777" w:rsidR="007A14A9" w:rsidRPr="007A14A9" w:rsidRDefault="007A14A9" w:rsidP="007A14A9">
      <w:pPr>
        <w:spacing w:before="0"/>
        <w:ind w:left="425" w:hanging="425"/>
        <w:outlineLvl w:val="7"/>
        <w:rPr>
          <w:szCs w:val="24"/>
        </w:rPr>
      </w:pPr>
      <w:r w:rsidRPr="007A14A9">
        <w:rPr>
          <w:szCs w:val="24"/>
        </w:rPr>
        <w:t xml:space="preserve">o) </w:t>
      </w:r>
      <w:r w:rsidRPr="007A14A9">
        <w:rPr>
          <w:szCs w:val="24"/>
        </w:rPr>
        <w:tab/>
        <w:t xml:space="preserve">neposkytne České národní bance některý z dokumentů podle </w:t>
      </w:r>
      <w:hyperlink r:id="rId376" w:history="1">
        <w:r w:rsidRPr="007A14A9">
          <w:rPr>
            <w:szCs w:val="24"/>
          </w:rPr>
          <w:t>§ 455 odst. 1</w:t>
        </w:r>
      </w:hyperlink>
      <w:r w:rsidRPr="007A14A9">
        <w:rPr>
          <w:szCs w:val="24"/>
        </w:rPr>
        <w:t xml:space="preserve">, nebo </w:t>
      </w:r>
    </w:p>
    <w:p w14:paraId="74BD2DB1" w14:textId="77777777" w:rsidR="007A14A9" w:rsidRPr="007A14A9" w:rsidRDefault="007A14A9" w:rsidP="00554FBC">
      <w:pPr>
        <w:pBdr>
          <w:top w:val="single" w:sz="12" w:space="1" w:color="0070C0"/>
          <w:left w:val="single" w:sz="12" w:space="4" w:color="0070C0"/>
          <w:bottom w:val="single" w:sz="12" w:space="1" w:color="0070C0"/>
          <w:right w:val="single" w:sz="12" w:space="4" w:color="0070C0"/>
        </w:pBdr>
        <w:spacing w:before="0"/>
        <w:ind w:left="425" w:hanging="425"/>
        <w:outlineLvl w:val="7"/>
        <w:rPr>
          <w:szCs w:val="24"/>
        </w:rPr>
      </w:pPr>
      <w:r w:rsidRPr="007A14A9">
        <w:rPr>
          <w:szCs w:val="24"/>
        </w:rPr>
        <w:t xml:space="preserve">p) </w:t>
      </w:r>
      <w:r w:rsidRPr="007A14A9">
        <w:rPr>
          <w:szCs w:val="24"/>
        </w:rPr>
        <w:tab/>
        <w:t xml:space="preserve">neoznámí České národní bance některý z údajů nebo některou ze skutečností podle </w:t>
      </w:r>
      <w:hyperlink r:id="rId377" w:history="1">
        <w:r w:rsidRPr="007A14A9">
          <w:rPr>
            <w:szCs w:val="24"/>
          </w:rPr>
          <w:t>§ 458</w:t>
        </w:r>
      </w:hyperlink>
      <w:r w:rsidRPr="007A14A9">
        <w:rPr>
          <w:szCs w:val="24"/>
        </w:rPr>
        <w:t xml:space="preserve">, </w:t>
      </w:r>
      <w:hyperlink r:id="rId378" w:history="1">
        <w:r w:rsidRPr="007A14A9">
          <w:rPr>
            <w:szCs w:val="24"/>
          </w:rPr>
          <w:t>§ 459 odst. 1</w:t>
        </w:r>
      </w:hyperlink>
      <w:r w:rsidRPr="007A14A9">
        <w:rPr>
          <w:szCs w:val="24"/>
        </w:rPr>
        <w:t xml:space="preserve">, </w:t>
      </w:r>
      <w:hyperlink r:id="rId379" w:history="1">
        <w:r w:rsidRPr="007A14A9">
          <w:rPr>
            <w:szCs w:val="24"/>
          </w:rPr>
          <w:t>§ 460 odst. 1</w:t>
        </w:r>
      </w:hyperlink>
      <w:r w:rsidRPr="007A14A9">
        <w:rPr>
          <w:szCs w:val="24"/>
        </w:rPr>
        <w:t xml:space="preserve">, </w:t>
      </w:r>
      <w:hyperlink r:id="rId380" w:history="1">
        <w:r w:rsidRPr="007A14A9">
          <w:rPr>
            <w:szCs w:val="24"/>
          </w:rPr>
          <w:t>§ 461 odst. 3 nebo 4</w:t>
        </w:r>
      </w:hyperlink>
      <w:r w:rsidRPr="007A14A9">
        <w:rPr>
          <w:szCs w:val="24"/>
        </w:rPr>
        <w:t xml:space="preserve">, </w:t>
      </w:r>
      <w:hyperlink r:id="rId381" w:history="1">
        <w:r w:rsidRPr="007A14A9">
          <w:rPr>
            <w:szCs w:val="24"/>
          </w:rPr>
          <w:t>§ 462</w:t>
        </w:r>
      </w:hyperlink>
      <w:r w:rsidRPr="007A14A9">
        <w:rPr>
          <w:szCs w:val="24"/>
        </w:rPr>
        <w:t xml:space="preserve">, </w:t>
      </w:r>
      <w:hyperlink r:id="rId382" w:history="1">
        <w:r w:rsidRPr="007A14A9">
          <w:rPr>
            <w:szCs w:val="24"/>
          </w:rPr>
          <w:t>463</w:t>
        </w:r>
      </w:hyperlink>
      <w:r w:rsidRPr="007A14A9">
        <w:rPr>
          <w:szCs w:val="24"/>
        </w:rPr>
        <w:t xml:space="preserve">, </w:t>
      </w:r>
      <w:hyperlink r:id="rId383" w:history="1">
        <w:r w:rsidRPr="007A14A9">
          <w:rPr>
            <w:szCs w:val="24"/>
          </w:rPr>
          <w:t>§ 464 odst. 1</w:t>
        </w:r>
      </w:hyperlink>
      <w:r w:rsidRPr="007A14A9">
        <w:rPr>
          <w:szCs w:val="24"/>
        </w:rPr>
        <w:t xml:space="preserve">, </w:t>
      </w:r>
      <w:hyperlink r:id="rId384" w:history="1">
        <w:r w:rsidRPr="007A14A9">
          <w:rPr>
            <w:szCs w:val="24"/>
          </w:rPr>
          <w:t>§ 466</w:t>
        </w:r>
      </w:hyperlink>
      <w:r w:rsidRPr="007A14A9">
        <w:rPr>
          <w:szCs w:val="24"/>
        </w:rPr>
        <w:t xml:space="preserve">, </w:t>
      </w:r>
      <w:hyperlink r:id="rId385" w:history="1">
        <w:r w:rsidRPr="007A14A9">
          <w:rPr>
            <w:szCs w:val="24"/>
          </w:rPr>
          <w:t>§ 467 odst. 2</w:t>
        </w:r>
      </w:hyperlink>
      <w:r w:rsidRPr="007A14A9">
        <w:rPr>
          <w:szCs w:val="24"/>
        </w:rPr>
        <w:t xml:space="preserve"> věty první, </w:t>
      </w:r>
      <w:hyperlink r:id="rId386" w:history="1">
        <w:r w:rsidRPr="007A14A9">
          <w:rPr>
            <w:szCs w:val="24"/>
          </w:rPr>
          <w:t>§ 467 odst. 5</w:t>
        </w:r>
      </w:hyperlink>
      <w:r w:rsidRPr="007A14A9">
        <w:rPr>
          <w:szCs w:val="24"/>
        </w:rPr>
        <w:t xml:space="preserve"> </w:t>
      </w:r>
      <w:r w:rsidRPr="00554FBC">
        <w:rPr>
          <w:b/>
          <w:color w:val="0070C0"/>
          <w:szCs w:val="24"/>
        </w:rPr>
        <w:t>nebo 6</w:t>
      </w:r>
      <w:r w:rsidRPr="007A14A9">
        <w:rPr>
          <w:szCs w:val="24"/>
        </w:rPr>
        <w:t xml:space="preserve">, </w:t>
      </w:r>
      <w:hyperlink r:id="rId387" w:history="1">
        <w:r w:rsidRPr="007A14A9">
          <w:rPr>
            <w:szCs w:val="24"/>
          </w:rPr>
          <w:t>§ 468</w:t>
        </w:r>
      </w:hyperlink>
      <w:r w:rsidRPr="007A14A9">
        <w:rPr>
          <w:szCs w:val="24"/>
        </w:rPr>
        <w:t xml:space="preserve">, </w:t>
      </w:r>
      <w:r w:rsidRPr="00554FBC">
        <w:rPr>
          <w:b/>
          <w:color w:val="0070C0"/>
          <w:szCs w:val="24"/>
        </w:rPr>
        <w:t>469,</w:t>
      </w:r>
      <w:r w:rsidRPr="007A14A9">
        <w:rPr>
          <w:szCs w:val="24"/>
        </w:rPr>
        <w:t xml:space="preserve"> </w:t>
      </w:r>
      <w:hyperlink r:id="rId388" w:history="1">
        <w:r w:rsidRPr="007A14A9">
          <w:rPr>
            <w:szCs w:val="24"/>
          </w:rPr>
          <w:t>§ 471 odst. 1</w:t>
        </w:r>
      </w:hyperlink>
      <w:r w:rsidRPr="007A14A9">
        <w:rPr>
          <w:szCs w:val="24"/>
        </w:rPr>
        <w:t xml:space="preserve">, </w:t>
      </w:r>
      <w:hyperlink r:id="rId389" w:history="1">
        <w:r w:rsidRPr="007A14A9">
          <w:rPr>
            <w:szCs w:val="24"/>
          </w:rPr>
          <w:t>§ 473</w:t>
        </w:r>
      </w:hyperlink>
      <w:r w:rsidRPr="007A14A9">
        <w:rPr>
          <w:szCs w:val="24"/>
        </w:rPr>
        <w:t xml:space="preserve"> </w:t>
      </w:r>
      <w:r w:rsidRPr="007A14A9">
        <w:rPr>
          <w:strike/>
          <w:szCs w:val="24"/>
        </w:rPr>
        <w:t xml:space="preserve">nebo </w:t>
      </w:r>
      <w:hyperlink r:id="rId390" w:history="1">
        <w:r w:rsidRPr="007A14A9">
          <w:rPr>
            <w:strike/>
            <w:szCs w:val="24"/>
          </w:rPr>
          <w:t>§ 475 odst. 1</w:t>
        </w:r>
      </w:hyperlink>
      <w:r w:rsidRPr="007A14A9">
        <w:rPr>
          <w:b/>
          <w:szCs w:val="24"/>
        </w:rPr>
        <w:t>, § 475 odst. 1 nebo § 544 odst. 2</w:t>
      </w:r>
      <w:r w:rsidRPr="007A14A9">
        <w:rPr>
          <w:szCs w:val="24"/>
        </w:rPr>
        <w:t xml:space="preserve">. </w:t>
      </w:r>
    </w:p>
    <w:p w14:paraId="188ED671"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(2) Obhospodařovatel neoprávněný přesáhnout rozhodný limit, který obhospodařuje pouze fondy kvalifikovaných investorů a srovnatelné zahraniční investiční fondy, se dopustí přestupku tím, že v rozporu s </w:t>
      </w:r>
      <w:hyperlink r:id="rId391" w:history="1">
        <w:r w:rsidRPr="007A14A9">
          <w:rPr>
            <w:rFonts w:eastAsia="MS Mincho"/>
            <w:szCs w:val="24"/>
          </w:rPr>
          <w:t>§ 28</w:t>
        </w:r>
      </w:hyperlink>
      <w:r w:rsidRPr="007A14A9">
        <w:rPr>
          <w:rFonts w:eastAsia="MS Mincho"/>
          <w:szCs w:val="24"/>
        </w:rPr>
        <w:t xml:space="preserve">, </w:t>
      </w:r>
      <w:hyperlink r:id="rId392" w:history="1">
        <w:r w:rsidRPr="007A14A9">
          <w:rPr>
            <w:rFonts w:eastAsia="MS Mincho"/>
            <w:szCs w:val="24"/>
          </w:rPr>
          <w:t>§ 291 odst. 2</w:t>
        </w:r>
      </w:hyperlink>
      <w:r w:rsidRPr="007A14A9">
        <w:rPr>
          <w:rFonts w:eastAsia="MS Mincho"/>
          <w:szCs w:val="24"/>
        </w:rPr>
        <w:t xml:space="preserve"> nebo </w:t>
      </w:r>
      <w:hyperlink r:id="rId393" w:history="1">
        <w:r w:rsidRPr="007A14A9">
          <w:rPr>
            <w:rFonts w:eastAsia="MS Mincho"/>
            <w:szCs w:val="24"/>
          </w:rPr>
          <w:t>§ 293 odst. 2</w:t>
        </w:r>
      </w:hyperlink>
      <w:r w:rsidRPr="007A14A9">
        <w:rPr>
          <w:rFonts w:eastAsia="MS Mincho"/>
          <w:szCs w:val="24"/>
        </w:rPr>
        <w:t xml:space="preserve"> nesplní některou z povinností stanovených v </w:t>
      </w:r>
      <w:hyperlink r:id="rId394" w:history="1">
        <w:r w:rsidRPr="007A14A9">
          <w:rPr>
            <w:rFonts w:eastAsia="MS Mincho"/>
            <w:szCs w:val="24"/>
          </w:rPr>
          <w:t>článcích 7 až 10</w:t>
        </w:r>
      </w:hyperlink>
      <w:r w:rsidRPr="007A14A9">
        <w:rPr>
          <w:rFonts w:eastAsia="MS Mincho"/>
          <w:szCs w:val="24"/>
        </w:rPr>
        <w:t xml:space="preserve"> nebo </w:t>
      </w:r>
      <w:hyperlink r:id="rId395" w:history="1">
        <w:r w:rsidRPr="007A14A9">
          <w:rPr>
            <w:rFonts w:eastAsia="MS Mincho"/>
            <w:szCs w:val="24"/>
          </w:rPr>
          <w:t>článcích 12</w:t>
        </w:r>
      </w:hyperlink>
      <w:r w:rsidRPr="007A14A9">
        <w:rPr>
          <w:rFonts w:eastAsia="MS Mincho"/>
          <w:szCs w:val="24"/>
        </w:rPr>
        <w:t xml:space="preserve"> a 13 nařízení Evropského parlamentu a Rady (EU) č. </w:t>
      </w:r>
      <w:hyperlink r:id="rId396" w:history="1">
        <w:r w:rsidRPr="007A14A9">
          <w:rPr>
            <w:rFonts w:eastAsia="MS Mincho"/>
            <w:szCs w:val="24"/>
          </w:rPr>
          <w:t>345/2013</w:t>
        </w:r>
      </w:hyperlink>
      <w:r w:rsidRPr="007A14A9">
        <w:rPr>
          <w:rFonts w:eastAsia="MS Mincho"/>
          <w:szCs w:val="24"/>
        </w:rPr>
        <w:t xml:space="preserve">, v platném znění. </w:t>
      </w:r>
    </w:p>
    <w:p w14:paraId="3AC55956" w14:textId="77777777" w:rsidR="007A14A9" w:rsidRPr="007A14A9" w:rsidRDefault="007A14A9" w:rsidP="007A14A9">
      <w:pPr>
        <w:tabs>
          <w:tab w:val="left" w:pos="782"/>
          <w:tab w:val="left" w:pos="851"/>
        </w:tabs>
        <w:spacing w:before="120" w:after="120"/>
        <w:outlineLvl w:val="6"/>
        <w:rPr>
          <w:szCs w:val="24"/>
        </w:rPr>
      </w:pPr>
      <w:r w:rsidRPr="007A14A9">
        <w:rPr>
          <w:szCs w:val="24"/>
        </w:rPr>
        <w:t xml:space="preserve">(3) Obhospodařovatel uvedený v </w:t>
      </w:r>
      <w:hyperlink r:id="rId397" w:history="1">
        <w:r w:rsidRPr="007A14A9">
          <w:rPr>
            <w:szCs w:val="24"/>
          </w:rPr>
          <w:t>§ 34 odst. 1</w:t>
        </w:r>
      </w:hyperlink>
      <w:r w:rsidRPr="007A14A9">
        <w:rPr>
          <w:szCs w:val="24"/>
        </w:rPr>
        <w:t xml:space="preserve"> se dopustí přestupku tím, že </w:t>
      </w:r>
    </w:p>
    <w:p w14:paraId="4000F921" w14:textId="77777777" w:rsidR="007A14A9" w:rsidRPr="007A14A9" w:rsidRDefault="007A14A9" w:rsidP="007A14A9">
      <w:pPr>
        <w:spacing w:before="0"/>
        <w:ind w:left="425" w:hanging="425"/>
        <w:outlineLvl w:val="7"/>
        <w:rPr>
          <w:szCs w:val="24"/>
        </w:rPr>
      </w:pPr>
      <w:r w:rsidRPr="007A14A9">
        <w:rPr>
          <w:szCs w:val="24"/>
        </w:rPr>
        <w:t xml:space="preserve">a) </w:t>
      </w:r>
      <w:r w:rsidRPr="007A14A9">
        <w:rPr>
          <w:szCs w:val="24"/>
        </w:rPr>
        <w:tab/>
        <w:t xml:space="preserve">nezajistí zpřístupnění některého z údajů uvedených v </w:t>
      </w:r>
      <w:hyperlink r:id="rId398" w:history="1">
        <w:r w:rsidRPr="007A14A9">
          <w:rPr>
            <w:szCs w:val="24"/>
          </w:rPr>
          <w:t>§ 34 odst. 1 a 2</w:t>
        </w:r>
      </w:hyperlink>
      <w:r w:rsidRPr="007A14A9">
        <w:rPr>
          <w:szCs w:val="24"/>
        </w:rPr>
        <w:t xml:space="preserve"> a </w:t>
      </w:r>
      <w:hyperlink r:id="rId399" w:history="1">
        <w:r w:rsidRPr="007A14A9">
          <w:rPr>
            <w:szCs w:val="24"/>
          </w:rPr>
          <w:t>§ 35 odst. 1 písm. a) až e)</w:t>
        </w:r>
      </w:hyperlink>
      <w:r w:rsidRPr="007A14A9">
        <w:rPr>
          <w:szCs w:val="24"/>
        </w:rPr>
        <w:t xml:space="preserve">, </w:t>
      </w:r>
    </w:p>
    <w:p w14:paraId="00624C5F" w14:textId="77777777" w:rsidR="007A14A9" w:rsidRPr="007A14A9" w:rsidRDefault="007A14A9" w:rsidP="007A14A9">
      <w:pPr>
        <w:spacing w:before="0"/>
        <w:ind w:left="425" w:hanging="425"/>
        <w:outlineLvl w:val="7"/>
        <w:rPr>
          <w:szCs w:val="24"/>
        </w:rPr>
      </w:pPr>
      <w:r w:rsidRPr="007A14A9">
        <w:rPr>
          <w:szCs w:val="24"/>
        </w:rPr>
        <w:t xml:space="preserve">b) </w:t>
      </w:r>
      <w:r w:rsidRPr="007A14A9">
        <w:rPr>
          <w:szCs w:val="24"/>
        </w:rPr>
        <w:tab/>
        <w:t xml:space="preserve">nepožádá statutární orgán kontrolované právnické osoby podle </w:t>
      </w:r>
      <w:hyperlink r:id="rId400" w:history="1">
        <w:r w:rsidRPr="007A14A9">
          <w:rPr>
            <w:szCs w:val="24"/>
          </w:rPr>
          <w:t>§ 36 odst. 1, 3 nebo 4</w:t>
        </w:r>
      </w:hyperlink>
      <w:r w:rsidRPr="007A14A9">
        <w:rPr>
          <w:szCs w:val="24"/>
        </w:rPr>
        <w:t xml:space="preserve">, </w:t>
      </w:r>
    </w:p>
    <w:p w14:paraId="561882C5" w14:textId="77777777" w:rsidR="007A14A9" w:rsidRPr="007A14A9" w:rsidRDefault="007A14A9" w:rsidP="007A14A9">
      <w:pPr>
        <w:spacing w:before="0"/>
        <w:ind w:left="425" w:hanging="425"/>
        <w:outlineLvl w:val="7"/>
        <w:rPr>
          <w:szCs w:val="24"/>
        </w:rPr>
      </w:pPr>
      <w:r w:rsidRPr="007A14A9">
        <w:rPr>
          <w:szCs w:val="24"/>
        </w:rPr>
        <w:t xml:space="preserve">c) </w:t>
      </w:r>
      <w:r w:rsidRPr="007A14A9">
        <w:rPr>
          <w:szCs w:val="24"/>
        </w:rPr>
        <w:tab/>
        <w:t>nezajistí</w:t>
      </w:r>
      <w:r w:rsidRPr="007A14A9">
        <w:rPr>
          <w:rFonts w:eastAsia="MS Mincho"/>
          <w:szCs w:val="24"/>
        </w:rPr>
        <w:t xml:space="preserve"> zahrnutí údajů uvedených v </w:t>
      </w:r>
      <w:hyperlink r:id="rId401" w:history="1">
        <w:r w:rsidRPr="007A14A9">
          <w:rPr>
            <w:rFonts w:eastAsia="MS Mincho"/>
            <w:szCs w:val="24"/>
          </w:rPr>
          <w:t>§ 34 odst. 2</w:t>
        </w:r>
      </w:hyperlink>
      <w:r w:rsidRPr="007A14A9">
        <w:rPr>
          <w:rFonts w:eastAsia="MS Mincho"/>
          <w:szCs w:val="24"/>
        </w:rPr>
        <w:t xml:space="preserve"> do </w:t>
      </w:r>
      <w:r w:rsidRPr="007A14A9">
        <w:rPr>
          <w:rFonts w:eastAsia="MS Mincho"/>
          <w:strike/>
          <w:szCs w:val="24"/>
        </w:rPr>
        <w:t>výroční zprávy</w:t>
      </w:r>
      <w:r w:rsidRPr="007A14A9">
        <w:rPr>
          <w:rFonts w:eastAsia="MS Mincho"/>
          <w:b/>
          <w:strike/>
          <w:szCs w:val="24"/>
        </w:rPr>
        <w:t xml:space="preserve"> </w:t>
      </w:r>
      <w:proofErr w:type="spellStart"/>
      <w:r w:rsidRPr="007A14A9">
        <w:rPr>
          <w:rFonts w:eastAsia="MS Mincho"/>
          <w:b/>
          <w:szCs w:val="24"/>
        </w:rPr>
        <w:t>zprávy</w:t>
      </w:r>
      <w:proofErr w:type="spellEnd"/>
      <w:r w:rsidRPr="007A14A9">
        <w:rPr>
          <w:rFonts w:eastAsia="MS Mincho"/>
          <w:b/>
          <w:szCs w:val="24"/>
        </w:rPr>
        <w:t xml:space="preserve"> o činnosti</w:t>
      </w:r>
      <w:r w:rsidRPr="007A14A9">
        <w:rPr>
          <w:rFonts w:eastAsia="MS Mincho"/>
          <w:szCs w:val="24"/>
        </w:rPr>
        <w:t xml:space="preserve"> jím obhospodařovaného investičního fondu, postupuje-li </w:t>
      </w:r>
      <w:r w:rsidRPr="007A14A9">
        <w:rPr>
          <w:szCs w:val="24"/>
        </w:rPr>
        <w:t xml:space="preserve">podle </w:t>
      </w:r>
      <w:hyperlink r:id="rId402" w:history="1">
        <w:r w:rsidRPr="007A14A9">
          <w:rPr>
            <w:strike/>
            <w:szCs w:val="24"/>
          </w:rPr>
          <w:t xml:space="preserve">§ 234 odst. 2 </w:t>
        </w:r>
        <w:r w:rsidRPr="007A14A9">
          <w:rPr>
            <w:b/>
            <w:szCs w:val="24"/>
          </w:rPr>
          <w:t>§ 234 odst. 3</w:t>
        </w:r>
        <w:r w:rsidRPr="007A14A9">
          <w:rPr>
            <w:szCs w:val="24"/>
          </w:rPr>
          <w:t xml:space="preserve"> písm. d)</w:t>
        </w:r>
      </w:hyperlink>
      <w:r w:rsidRPr="007A14A9">
        <w:rPr>
          <w:szCs w:val="24"/>
        </w:rPr>
        <w:t xml:space="preserve">, nebo </w:t>
      </w:r>
    </w:p>
    <w:p w14:paraId="055DAA7F" w14:textId="77777777" w:rsidR="007A14A9" w:rsidRPr="007A14A9" w:rsidRDefault="007A14A9" w:rsidP="007A14A9">
      <w:pPr>
        <w:spacing w:before="0"/>
        <w:ind w:left="425" w:hanging="425"/>
        <w:outlineLvl w:val="7"/>
        <w:rPr>
          <w:szCs w:val="24"/>
        </w:rPr>
      </w:pPr>
      <w:r w:rsidRPr="007A14A9">
        <w:rPr>
          <w:rFonts w:eastAsia="MS Mincho"/>
          <w:szCs w:val="24"/>
        </w:rPr>
        <w:t>d)</w:t>
      </w:r>
      <w:r w:rsidRPr="007A14A9">
        <w:rPr>
          <w:rFonts w:eastAsia="MS Mincho"/>
          <w:szCs w:val="24"/>
        </w:rPr>
        <w:tab/>
        <w:t xml:space="preserve">neoznámí České národní bance některý z </w:t>
      </w:r>
      <w:r w:rsidRPr="007A14A9">
        <w:rPr>
          <w:szCs w:val="24"/>
        </w:rPr>
        <w:t xml:space="preserve">údajů podle </w:t>
      </w:r>
      <w:hyperlink r:id="rId403" w:history="1">
        <w:r w:rsidRPr="007A14A9">
          <w:rPr>
            <w:szCs w:val="24"/>
          </w:rPr>
          <w:t>§ 471 odst. 2</w:t>
        </w:r>
      </w:hyperlink>
      <w:r w:rsidRPr="007A14A9">
        <w:rPr>
          <w:szCs w:val="24"/>
        </w:rPr>
        <w:t xml:space="preserve">. </w:t>
      </w:r>
    </w:p>
    <w:p w14:paraId="75626D5A"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lastRenderedPageBreak/>
        <w:t xml:space="preserve">(4) Obhospodařovatel uvedený v </w:t>
      </w:r>
      <w:hyperlink r:id="rId404" w:history="1">
        <w:r w:rsidRPr="007A14A9">
          <w:rPr>
            <w:rFonts w:eastAsia="MS Mincho"/>
            <w:szCs w:val="24"/>
          </w:rPr>
          <w:t>§ 34 odst. 1</w:t>
        </w:r>
      </w:hyperlink>
      <w:r w:rsidRPr="007A14A9">
        <w:rPr>
          <w:rFonts w:eastAsia="MS Mincho"/>
          <w:szCs w:val="24"/>
        </w:rPr>
        <w:t xml:space="preserve"> nebo </w:t>
      </w:r>
      <w:hyperlink r:id="rId405" w:history="1">
        <w:r w:rsidRPr="007A14A9">
          <w:rPr>
            <w:rFonts w:eastAsia="MS Mincho"/>
            <w:szCs w:val="24"/>
          </w:rPr>
          <w:t>§ 35 odst. 3</w:t>
        </w:r>
      </w:hyperlink>
      <w:r w:rsidRPr="007A14A9">
        <w:rPr>
          <w:rFonts w:eastAsia="MS Mincho"/>
          <w:szCs w:val="24"/>
        </w:rPr>
        <w:t xml:space="preserve"> se dopustí přestupku tím, že </w:t>
      </w:r>
    </w:p>
    <w:p w14:paraId="5C09FDC5" w14:textId="77777777" w:rsidR="007A14A9" w:rsidRPr="007A14A9" w:rsidRDefault="007A14A9" w:rsidP="007A14A9">
      <w:pPr>
        <w:spacing w:before="0"/>
        <w:ind w:left="425" w:hanging="425"/>
        <w:outlineLvl w:val="7"/>
        <w:rPr>
          <w:szCs w:val="24"/>
        </w:rPr>
      </w:pPr>
      <w:r w:rsidRPr="007A14A9">
        <w:rPr>
          <w:szCs w:val="24"/>
        </w:rPr>
        <w:t>a)</w:t>
      </w:r>
      <w:r w:rsidRPr="007A14A9">
        <w:rPr>
          <w:szCs w:val="24"/>
        </w:rPr>
        <w:tab/>
        <w:t xml:space="preserve">nezajistí zpřístupnění některého z údajů uvedeného v </w:t>
      </w:r>
      <w:hyperlink r:id="rId406" w:history="1">
        <w:r w:rsidRPr="007A14A9">
          <w:rPr>
            <w:szCs w:val="24"/>
          </w:rPr>
          <w:t>§ 35 odst. 1 písm. f) až h)</w:t>
        </w:r>
      </w:hyperlink>
      <w:r w:rsidRPr="007A14A9">
        <w:rPr>
          <w:szCs w:val="24"/>
        </w:rPr>
        <w:t xml:space="preserve">, </w:t>
      </w:r>
    </w:p>
    <w:p w14:paraId="065953F3" w14:textId="77777777" w:rsidR="007A14A9" w:rsidRPr="007A14A9" w:rsidRDefault="007A14A9" w:rsidP="007A14A9">
      <w:pPr>
        <w:spacing w:before="0"/>
        <w:ind w:left="425" w:hanging="425"/>
        <w:outlineLvl w:val="7"/>
        <w:rPr>
          <w:szCs w:val="24"/>
        </w:rPr>
      </w:pPr>
      <w:r w:rsidRPr="007A14A9">
        <w:rPr>
          <w:szCs w:val="24"/>
        </w:rPr>
        <w:t xml:space="preserve">b) </w:t>
      </w:r>
      <w:r w:rsidRPr="007A14A9">
        <w:rPr>
          <w:szCs w:val="24"/>
        </w:rPr>
        <w:tab/>
        <w:t xml:space="preserve">nepožádá statutární orgán kontrolované právnické osoby podle </w:t>
      </w:r>
      <w:hyperlink r:id="rId407" w:history="1">
        <w:r w:rsidRPr="007A14A9">
          <w:rPr>
            <w:szCs w:val="24"/>
          </w:rPr>
          <w:t>§ 36 odst. 2</w:t>
        </w:r>
      </w:hyperlink>
      <w:r w:rsidRPr="007A14A9">
        <w:rPr>
          <w:szCs w:val="24"/>
        </w:rPr>
        <w:t xml:space="preserve">, </w:t>
      </w:r>
    </w:p>
    <w:p w14:paraId="2BF63B8A" w14:textId="77777777" w:rsidR="007A14A9" w:rsidRPr="007A14A9" w:rsidRDefault="007A14A9" w:rsidP="007A14A9">
      <w:pPr>
        <w:spacing w:before="0"/>
        <w:ind w:left="425" w:hanging="425"/>
        <w:outlineLvl w:val="7"/>
        <w:rPr>
          <w:szCs w:val="24"/>
        </w:rPr>
      </w:pPr>
      <w:r w:rsidRPr="007A14A9">
        <w:rPr>
          <w:szCs w:val="24"/>
        </w:rPr>
        <w:t>c)</w:t>
      </w:r>
      <w:r w:rsidRPr="007A14A9">
        <w:rPr>
          <w:szCs w:val="24"/>
        </w:rPr>
        <w:tab/>
        <w:t xml:space="preserve">nezabrání jednání nebo skutečnosti podle </w:t>
      </w:r>
      <w:hyperlink r:id="rId408" w:history="1">
        <w:r w:rsidRPr="007A14A9">
          <w:rPr>
            <w:szCs w:val="24"/>
          </w:rPr>
          <w:t>§ 37 odst. 1</w:t>
        </w:r>
      </w:hyperlink>
      <w:r w:rsidRPr="007A14A9">
        <w:rPr>
          <w:szCs w:val="24"/>
        </w:rPr>
        <w:t xml:space="preserve">, nebo </w:t>
      </w:r>
    </w:p>
    <w:p w14:paraId="2056E1B2" w14:textId="77777777" w:rsidR="007A14A9" w:rsidRPr="007A14A9" w:rsidRDefault="007A14A9" w:rsidP="007A14A9">
      <w:pPr>
        <w:spacing w:before="0"/>
        <w:ind w:left="425" w:hanging="425"/>
        <w:outlineLvl w:val="7"/>
        <w:rPr>
          <w:szCs w:val="24"/>
        </w:rPr>
      </w:pPr>
      <w:r w:rsidRPr="007A14A9">
        <w:rPr>
          <w:szCs w:val="24"/>
        </w:rPr>
        <w:t xml:space="preserve">d) </w:t>
      </w:r>
      <w:r w:rsidRPr="007A14A9">
        <w:rPr>
          <w:szCs w:val="24"/>
        </w:rPr>
        <w:tab/>
        <w:t xml:space="preserve">neoznámí České národní bance některý z údajů podle </w:t>
      </w:r>
      <w:hyperlink r:id="rId409" w:history="1">
        <w:r w:rsidRPr="007A14A9">
          <w:rPr>
            <w:szCs w:val="24"/>
          </w:rPr>
          <w:t>§ 471 odst. 3</w:t>
        </w:r>
      </w:hyperlink>
      <w:r w:rsidRPr="007A14A9">
        <w:rPr>
          <w:szCs w:val="24"/>
        </w:rPr>
        <w:t xml:space="preserve">. </w:t>
      </w:r>
    </w:p>
    <w:p w14:paraId="401D24DC"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(5) Obhospodařovatel investičního fondu se dopustí přestupku tím, že </w:t>
      </w:r>
    </w:p>
    <w:p w14:paraId="391BD26E" w14:textId="77777777" w:rsidR="007A14A9" w:rsidRPr="007A14A9" w:rsidRDefault="007A14A9" w:rsidP="007A14A9">
      <w:pPr>
        <w:spacing w:before="0"/>
        <w:ind w:left="425" w:hanging="425"/>
        <w:outlineLvl w:val="7"/>
        <w:rPr>
          <w:szCs w:val="24"/>
        </w:rPr>
      </w:pPr>
      <w:r w:rsidRPr="007A14A9">
        <w:rPr>
          <w:szCs w:val="24"/>
        </w:rPr>
        <w:t>a)</w:t>
      </w:r>
      <w:r w:rsidRPr="007A14A9">
        <w:rPr>
          <w:szCs w:val="24"/>
        </w:rPr>
        <w:tab/>
        <w:t xml:space="preserve">se v rozporu s </w:t>
      </w:r>
      <w:hyperlink r:id="rId410" w:history="1">
        <w:r w:rsidRPr="007A14A9">
          <w:rPr>
            <w:szCs w:val="24"/>
          </w:rPr>
          <w:t>§ 61</w:t>
        </w:r>
      </w:hyperlink>
      <w:r w:rsidRPr="007A14A9">
        <w:rPr>
          <w:szCs w:val="24"/>
        </w:rPr>
        <w:t xml:space="preserve"> stane depozitářem tohoto fondu, </w:t>
      </w:r>
    </w:p>
    <w:p w14:paraId="7B649CE0" w14:textId="77777777" w:rsidR="007A14A9" w:rsidRPr="007A14A9" w:rsidRDefault="007A14A9" w:rsidP="007A14A9">
      <w:pPr>
        <w:spacing w:before="0"/>
        <w:ind w:left="425" w:hanging="425"/>
        <w:outlineLvl w:val="7"/>
        <w:rPr>
          <w:szCs w:val="24"/>
        </w:rPr>
      </w:pPr>
      <w:r w:rsidRPr="007A14A9">
        <w:rPr>
          <w:szCs w:val="24"/>
        </w:rPr>
        <w:t>b)</w:t>
      </w:r>
      <w:r w:rsidRPr="007A14A9">
        <w:rPr>
          <w:szCs w:val="24"/>
        </w:rPr>
        <w:tab/>
        <w:t xml:space="preserve">v rozporu s </w:t>
      </w:r>
      <w:hyperlink r:id="rId411" w:history="1">
        <w:r w:rsidRPr="007A14A9">
          <w:rPr>
            <w:szCs w:val="24"/>
          </w:rPr>
          <w:t>§ 189</w:t>
        </w:r>
      </w:hyperlink>
      <w:r w:rsidRPr="007A14A9">
        <w:rPr>
          <w:szCs w:val="24"/>
        </w:rPr>
        <w:t xml:space="preserve"> nevydá nebo neaktualizuje statut tohoto fondu, </w:t>
      </w:r>
    </w:p>
    <w:p w14:paraId="5DE33230" w14:textId="77777777" w:rsidR="007A14A9" w:rsidRPr="007A14A9" w:rsidRDefault="007A14A9" w:rsidP="007A14A9">
      <w:pPr>
        <w:spacing w:before="0"/>
        <w:ind w:left="425" w:hanging="425"/>
        <w:outlineLvl w:val="7"/>
        <w:rPr>
          <w:szCs w:val="24"/>
        </w:rPr>
      </w:pPr>
      <w:r w:rsidRPr="007A14A9">
        <w:rPr>
          <w:szCs w:val="24"/>
        </w:rPr>
        <w:t>c)</w:t>
      </w:r>
      <w:r w:rsidRPr="007A14A9">
        <w:rPr>
          <w:szCs w:val="24"/>
        </w:rPr>
        <w:tab/>
        <w:t xml:space="preserve">oceňuje majetek nebo dluhy tohoto fondu, aniž má vytvořeny organizační předpoklady podle </w:t>
      </w:r>
      <w:hyperlink r:id="rId412" w:history="1">
        <w:r w:rsidRPr="007A14A9">
          <w:rPr>
            <w:szCs w:val="24"/>
          </w:rPr>
          <w:t>§ 195</w:t>
        </w:r>
      </w:hyperlink>
      <w:r w:rsidRPr="007A14A9">
        <w:rPr>
          <w:szCs w:val="24"/>
        </w:rPr>
        <w:t xml:space="preserve">, </w:t>
      </w:r>
    </w:p>
    <w:p w14:paraId="70093C2B" w14:textId="77777777" w:rsidR="007A14A9" w:rsidRPr="007A14A9" w:rsidRDefault="007A14A9" w:rsidP="007A14A9">
      <w:pPr>
        <w:spacing w:before="0"/>
        <w:ind w:left="425" w:hanging="425"/>
        <w:outlineLvl w:val="7"/>
        <w:rPr>
          <w:szCs w:val="24"/>
        </w:rPr>
      </w:pPr>
      <w:r w:rsidRPr="007A14A9">
        <w:rPr>
          <w:szCs w:val="24"/>
        </w:rPr>
        <w:t>d)</w:t>
      </w:r>
      <w:r w:rsidRPr="007A14A9">
        <w:rPr>
          <w:szCs w:val="24"/>
        </w:rPr>
        <w:tab/>
        <w:t xml:space="preserve">v rozporu s </w:t>
      </w:r>
      <w:hyperlink r:id="rId413" w:history="1">
        <w:r w:rsidRPr="007A14A9">
          <w:rPr>
            <w:szCs w:val="24"/>
          </w:rPr>
          <w:t>§ 634 odst. 5</w:t>
        </w:r>
      </w:hyperlink>
      <w:r w:rsidRPr="007A14A9">
        <w:rPr>
          <w:szCs w:val="24"/>
        </w:rPr>
        <w:t xml:space="preserve"> neuvede ve jméně tohoto fondu slovo „fond“, nebo </w:t>
      </w:r>
    </w:p>
    <w:p w14:paraId="2D562A91" w14:textId="77777777" w:rsidR="007A14A9" w:rsidRPr="007A14A9" w:rsidRDefault="007A14A9" w:rsidP="007A14A9">
      <w:pPr>
        <w:spacing w:before="0"/>
        <w:ind w:left="425" w:hanging="425"/>
        <w:outlineLvl w:val="7"/>
        <w:rPr>
          <w:szCs w:val="24"/>
        </w:rPr>
      </w:pPr>
      <w:r w:rsidRPr="007A14A9">
        <w:rPr>
          <w:szCs w:val="24"/>
        </w:rPr>
        <w:t>e)</w:t>
      </w:r>
      <w:r w:rsidRPr="007A14A9">
        <w:rPr>
          <w:szCs w:val="24"/>
        </w:rPr>
        <w:tab/>
        <w:t xml:space="preserve">nezajistí, aby jeho jméno nebo jméno tohoto fondu splňovaly požadavky podle </w:t>
      </w:r>
      <w:hyperlink r:id="rId414" w:history="1">
        <w:r w:rsidRPr="007A14A9">
          <w:rPr>
            <w:szCs w:val="24"/>
          </w:rPr>
          <w:t>§ 635</w:t>
        </w:r>
      </w:hyperlink>
      <w:r w:rsidRPr="007A14A9">
        <w:rPr>
          <w:szCs w:val="24"/>
        </w:rPr>
        <w:t xml:space="preserve">. </w:t>
      </w:r>
    </w:p>
    <w:p w14:paraId="5DABDAB6"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(6) Za přestupek podle odstavce 1 písm. g), k), l), m), n), o) nebo p) odstavce 3, 4 nebo 5 lze uložit pokutu do </w:t>
      </w:r>
    </w:p>
    <w:p w14:paraId="24F25062" w14:textId="77777777" w:rsidR="007A14A9" w:rsidRPr="007A14A9" w:rsidRDefault="007A14A9" w:rsidP="007A14A9">
      <w:pPr>
        <w:spacing w:before="0"/>
        <w:ind w:left="425" w:hanging="425"/>
        <w:outlineLvl w:val="7"/>
        <w:rPr>
          <w:szCs w:val="24"/>
        </w:rPr>
      </w:pPr>
      <w:r w:rsidRPr="007A14A9">
        <w:rPr>
          <w:szCs w:val="24"/>
        </w:rPr>
        <w:t>a)</w:t>
      </w:r>
      <w:r w:rsidRPr="007A14A9">
        <w:rPr>
          <w:szCs w:val="24"/>
        </w:rPr>
        <w:tab/>
        <w:t xml:space="preserve">150 000 000 Kč, </w:t>
      </w:r>
    </w:p>
    <w:p w14:paraId="7F029863" w14:textId="77777777" w:rsidR="007A14A9" w:rsidRPr="007A14A9" w:rsidRDefault="007A14A9" w:rsidP="007A14A9">
      <w:pPr>
        <w:spacing w:before="0"/>
        <w:ind w:left="425" w:hanging="425"/>
        <w:outlineLvl w:val="7"/>
        <w:rPr>
          <w:rFonts w:eastAsia="MS Mincho"/>
          <w:szCs w:val="24"/>
        </w:rPr>
      </w:pPr>
      <w:r w:rsidRPr="007A14A9">
        <w:rPr>
          <w:szCs w:val="24"/>
        </w:rPr>
        <w:t>b)</w:t>
      </w:r>
      <w:r w:rsidRPr="007A14A9">
        <w:rPr>
          <w:szCs w:val="24"/>
        </w:rPr>
        <w:tab/>
        <w:t>výše</w:t>
      </w:r>
      <w:r w:rsidRPr="007A14A9">
        <w:rPr>
          <w:rFonts w:eastAsia="MS Mincho"/>
          <w:szCs w:val="24"/>
        </w:rPr>
        <w:t xml:space="preserve"> 10 % celkového ročního obratu právnické osoby podle </w:t>
      </w:r>
      <w:r w:rsidRPr="007A14A9">
        <w:rPr>
          <w:rFonts w:eastAsia="MS Mincho"/>
          <w:strike/>
          <w:szCs w:val="24"/>
        </w:rPr>
        <w:t>její poslední řádné účetní závěrky nebo konsolidované účetní závěrky</w:t>
      </w:r>
      <w:r w:rsidRPr="007A14A9">
        <w:rPr>
          <w:rFonts w:eastAsia="MS Mincho"/>
          <w:b/>
          <w:szCs w:val="24"/>
        </w:rPr>
        <w:t xml:space="preserve"> poslední řádné konsolidované účetní závěrky</w:t>
      </w:r>
      <w:r w:rsidRPr="007A14A9">
        <w:rPr>
          <w:rFonts w:eastAsia="MS Mincho"/>
          <w:szCs w:val="24"/>
        </w:rPr>
        <w:t xml:space="preserve"> </w:t>
      </w:r>
      <w:r w:rsidRPr="007A14A9">
        <w:rPr>
          <w:rFonts w:eastAsia="MS Mincho"/>
          <w:b/>
          <w:szCs w:val="24"/>
        </w:rPr>
        <w:t>konsolidačního celku, v němž je zahrnuta,</w:t>
      </w:r>
      <w:r w:rsidRPr="007A14A9">
        <w:rPr>
          <w:rFonts w:eastAsia="MS Mincho"/>
          <w:szCs w:val="24"/>
        </w:rPr>
        <w:t xml:space="preserve"> </w:t>
      </w:r>
      <w:r w:rsidRPr="007A14A9">
        <w:rPr>
          <w:rFonts w:eastAsia="MS Mincho"/>
          <w:b/>
          <w:szCs w:val="24"/>
        </w:rPr>
        <w:t>nebo řádné individuální účetní závěrky, není-li taková konsolidovaná účetní závěrka</w:t>
      </w:r>
      <w:r w:rsidRPr="007A14A9">
        <w:rPr>
          <w:rFonts w:eastAsia="MS Mincho"/>
          <w:szCs w:val="24"/>
        </w:rPr>
        <w:t xml:space="preserve">, přesahuje-li takto určená výše pokuty částku 150 000 000 Kč, nebo </w:t>
      </w:r>
    </w:p>
    <w:p w14:paraId="219D1789"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c)</w:t>
      </w:r>
      <w:r w:rsidRPr="007A14A9">
        <w:rPr>
          <w:rFonts w:eastAsia="MS Mincho"/>
          <w:szCs w:val="24"/>
        </w:rPr>
        <w:tab/>
        <w:t xml:space="preserve">výše dvojnásobku neoprávněného prospěchu získaného spácháním tohoto přestupku, je-li možné výši neoprávněného prospěchu zjistit a přesahuje-li takto určená výše pokuty částku 150 000 000 Kč. </w:t>
      </w:r>
    </w:p>
    <w:p w14:paraId="229CA921" w14:textId="77777777" w:rsidR="007A14A9" w:rsidRPr="007A14A9" w:rsidRDefault="007A14A9" w:rsidP="007A14A9">
      <w:pPr>
        <w:tabs>
          <w:tab w:val="left" w:pos="782"/>
          <w:tab w:val="left" w:pos="851"/>
        </w:tabs>
        <w:spacing w:before="120" w:after="120"/>
        <w:outlineLvl w:val="6"/>
        <w:rPr>
          <w:rFonts w:eastAsia="MS Mincho"/>
          <w:szCs w:val="24"/>
        </w:rPr>
      </w:pPr>
      <w:r w:rsidRPr="007A14A9" w:rsidDel="00F33CF2">
        <w:rPr>
          <w:rFonts w:eastAsia="MS Mincho"/>
          <w:szCs w:val="24"/>
        </w:rPr>
        <w:t xml:space="preserve"> </w:t>
      </w:r>
      <w:r w:rsidRPr="007A14A9">
        <w:rPr>
          <w:rFonts w:eastAsia="MS Mincho"/>
          <w:szCs w:val="24"/>
        </w:rPr>
        <w:t xml:space="preserve">(7) Za přestupek podle odstavce 1 písm. a), b), c), d), e), f), h), i) nebo j) nebo odstavce 2 lze uložit pokutu do </w:t>
      </w:r>
    </w:p>
    <w:p w14:paraId="6F111FF7"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a) </w:t>
      </w:r>
      <w:r w:rsidRPr="007A14A9">
        <w:rPr>
          <w:rFonts w:eastAsia="MS Mincho"/>
          <w:szCs w:val="24"/>
        </w:rPr>
        <w:tab/>
        <w:t xml:space="preserve">300 000 000 Kč, </w:t>
      </w:r>
    </w:p>
    <w:p w14:paraId="7F0443C8"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b) </w:t>
      </w:r>
      <w:r w:rsidRPr="007A14A9">
        <w:rPr>
          <w:rFonts w:eastAsia="MS Mincho"/>
          <w:szCs w:val="24"/>
        </w:rPr>
        <w:tab/>
        <w:t xml:space="preserve">výše 10 % celkového ročního obratu právnické osoby podle </w:t>
      </w:r>
      <w:r w:rsidRPr="007A14A9">
        <w:rPr>
          <w:rFonts w:eastAsia="MS Mincho"/>
          <w:strike/>
          <w:szCs w:val="24"/>
        </w:rPr>
        <w:t>její poslední řádné účetní závěrky nebo konsolidované účetní závěrky</w:t>
      </w:r>
      <w:r w:rsidRPr="007A14A9">
        <w:rPr>
          <w:rFonts w:eastAsia="MS Mincho"/>
          <w:b/>
          <w:szCs w:val="24"/>
        </w:rPr>
        <w:t xml:space="preserve"> poslední řádné konsolidované účetní závěrky</w:t>
      </w:r>
      <w:r w:rsidRPr="007A14A9">
        <w:rPr>
          <w:rFonts w:eastAsia="MS Mincho"/>
          <w:szCs w:val="24"/>
        </w:rPr>
        <w:t xml:space="preserve"> </w:t>
      </w:r>
      <w:r w:rsidRPr="007A14A9">
        <w:rPr>
          <w:rFonts w:eastAsia="MS Mincho"/>
          <w:b/>
          <w:szCs w:val="24"/>
        </w:rPr>
        <w:t>konsolidačního celku, v němž je zahrnuta,</w:t>
      </w:r>
      <w:r w:rsidRPr="007A14A9">
        <w:rPr>
          <w:rFonts w:eastAsia="MS Mincho"/>
          <w:szCs w:val="24"/>
        </w:rPr>
        <w:t xml:space="preserve"> </w:t>
      </w:r>
      <w:r w:rsidRPr="007A14A9">
        <w:rPr>
          <w:rFonts w:eastAsia="MS Mincho"/>
          <w:b/>
          <w:szCs w:val="24"/>
        </w:rPr>
        <w:t>nebo řádné individuální účetní závěrky, není-li taková konsolidovaná účetní závěrka</w:t>
      </w:r>
      <w:r w:rsidRPr="007A14A9">
        <w:rPr>
          <w:rFonts w:eastAsia="MS Mincho"/>
          <w:szCs w:val="24"/>
        </w:rPr>
        <w:t xml:space="preserve">, přesahuje-li takto určená výše pokuty částku 300 000 000 Kč, nebo </w:t>
      </w:r>
    </w:p>
    <w:p w14:paraId="61A95600"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c) </w:t>
      </w:r>
      <w:r w:rsidRPr="007A14A9">
        <w:rPr>
          <w:rFonts w:eastAsia="MS Mincho"/>
          <w:szCs w:val="24"/>
        </w:rPr>
        <w:tab/>
        <w:t xml:space="preserve">výše dvojnásobku neoprávněného prospěchu získaného spácháním tohoto přestupku, je-li možné výši neoprávněného prospěchu zjistit a přesahuje-li takto určená výše pokuty částku 300 000 000 Kč. </w:t>
      </w:r>
    </w:p>
    <w:p w14:paraId="38553211"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 (8) Za přestupek podle odstavce 1, 2, 3, 4 nebo 5 lze namísto pokuty nebo spolu s pokutou nařídit uveřejnění informace o tom, jaká je povaha protiprávního jednání a která osoba takto jednala. </w:t>
      </w:r>
    </w:p>
    <w:p w14:paraId="376E7784" w14:textId="77777777" w:rsidR="007A14A9" w:rsidRPr="007A14A9" w:rsidRDefault="007A14A9" w:rsidP="007A14A9">
      <w:pPr>
        <w:keepNext/>
        <w:keepLines/>
        <w:ind w:firstLine="0"/>
        <w:jc w:val="center"/>
        <w:outlineLvl w:val="5"/>
      </w:pPr>
      <w:r w:rsidRPr="007A14A9">
        <w:t>§ 600</w:t>
      </w:r>
    </w:p>
    <w:p w14:paraId="23EBC56B" w14:textId="77777777" w:rsidR="007A14A9" w:rsidRPr="007A14A9" w:rsidRDefault="007A14A9" w:rsidP="007A14A9">
      <w:pPr>
        <w:tabs>
          <w:tab w:val="left" w:pos="782"/>
          <w:tab w:val="left" w:pos="851"/>
        </w:tabs>
        <w:spacing w:before="120" w:after="120"/>
        <w:outlineLvl w:val="6"/>
      </w:pPr>
      <w:r w:rsidRPr="007A14A9">
        <w:rPr>
          <w:rFonts w:eastAsia="MS Mincho"/>
          <w:szCs w:val="24"/>
        </w:rPr>
        <w:t xml:space="preserve">(1) Obhospodařovatel fondu kolektivního investování se dopustí přestupku tím, že </w:t>
      </w:r>
    </w:p>
    <w:p w14:paraId="270151C5"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a) </w:t>
      </w:r>
      <w:r w:rsidRPr="007A14A9">
        <w:rPr>
          <w:rFonts w:eastAsia="MS Mincho"/>
          <w:szCs w:val="24"/>
        </w:rPr>
        <w:tab/>
        <w:t xml:space="preserve">změní investiční strategii tohoto fondu v rozporu s </w:t>
      </w:r>
      <w:hyperlink r:id="rId415" w:history="1">
        <w:r w:rsidRPr="007A14A9">
          <w:rPr>
            <w:rFonts w:eastAsia="MS Mincho"/>
            <w:szCs w:val="24"/>
          </w:rPr>
          <w:t>§ 207</w:t>
        </w:r>
      </w:hyperlink>
      <w:r w:rsidRPr="007A14A9">
        <w:rPr>
          <w:rFonts w:eastAsia="MS Mincho"/>
          <w:szCs w:val="24"/>
        </w:rPr>
        <w:t xml:space="preserve">, </w:t>
      </w:r>
    </w:p>
    <w:p w14:paraId="78AAB95F"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b) </w:t>
      </w:r>
      <w:r w:rsidRPr="007A14A9">
        <w:rPr>
          <w:rFonts w:eastAsia="MS Mincho"/>
          <w:szCs w:val="24"/>
        </w:rPr>
        <w:tab/>
        <w:t xml:space="preserve">neuveřejní skutečnost podle </w:t>
      </w:r>
      <w:hyperlink r:id="rId416" w:history="1">
        <w:r w:rsidRPr="007A14A9">
          <w:rPr>
            <w:rFonts w:eastAsia="MS Mincho"/>
            <w:szCs w:val="24"/>
          </w:rPr>
          <w:t>§ 213</w:t>
        </w:r>
      </w:hyperlink>
      <w:r w:rsidRPr="007A14A9">
        <w:rPr>
          <w:rFonts w:eastAsia="MS Mincho"/>
          <w:szCs w:val="24"/>
        </w:rPr>
        <w:t xml:space="preserve">, </w:t>
      </w:r>
    </w:p>
    <w:p w14:paraId="4896644D"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c)</w:t>
      </w:r>
      <w:r w:rsidRPr="007A14A9">
        <w:rPr>
          <w:rFonts w:eastAsia="MS Mincho"/>
          <w:szCs w:val="24"/>
        </w:rPr>
        <w:tab/>
        <w:t xml:space="preserve">nezavede, neudržuje nebo neuplatňuje některé z pravidel, technik nebo limitů podle </w:t>
      </w:r>
      <w:hyperlink r:id="rId417" w:history="1">
        <w:r w:rsidRPr="007A14A9">
          <w:rPr>
            <w:rFonts w:eastAsia="MS Mincho"/>
            <w:szCs w:val="24"/>
          </w:rPr>
          <w:t>§ 215 odst. 1</w:t>
        </w:r>
      </w:hyperlink>
      <w:r w:rsidRPr="007A14A9">
        <w:rPr>
          <w:rFonts w:eastAsia="MS Mincho"/>
          <w:szCs w:val="24"/>
        </w:rPr>
        <w:t xml:space="preserve">, nebo </w:t>
      </w:r>
    </w:p>
    <w:p w14:paraId="4C92C24D"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lastRenderedPageBreak/>
        <w:t>d)</w:t>
      </w:r>
      <w:r w:rsidRPr="007A14A9">
        <w:rPr>
          <w:rFonts w:eastAsia="MS Mincho"/>
          <w:szCs w:val="24"/>
        </w:rPr>
        <w:tab/>
        <w:t xml:space="preserve">nezajistí, aby statut tohoto fondu obsahoval údaje podle </w:t>
      </w:r>
      <w:hyperlink r:id="rId418" w:history="1">
        <w:r w:rsidRPr="007A14A9">
          <w:rPr>
            <w:rFonts w:eastAsia="MS Mincho"/>
            <w:szCs w:val="24"/>
          </w:rPr>
          <w:t>§ 219</w:t>
        </w:r>
      </w:hyperlink>
      <w:r w:rsidRPr="007A14A9">
        <w:rPr>
          <w:rFonts w:eastAsia="MS Mincho"/>
          <w:szCs w:val="24"/>
        </w:rPr>
        <w:t xml:space="preserve"> nebo </w:t>
      </w:r>
      <w:hyperlink r:id="rId419" w:history="1">
        <w:r w:rsidRPr="007A14A9">
          <w:rPr>
            <w:rFonts w:eastAsia="MS Mincho"/>
            <w:szCs w:val="24"/>
          </w:rPr>
          <w:t>220</w:t>
        </w:r>
      </w:hyperlink>
      <w:r w:rsidRPr="007A14A9">
        <w:rPr>
          <w:rFonts w:eastAsia="MS Mincho"/>
          <w:szCs w:val="24"/>
        </w:rPr>
        <w:t xml:space="preserve">. </w:t>
      </w:r>
    </w:p>
    <w:p w14:paraId="3534E621"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(2)</w:t>
      </w:r>
      <w:r w:rsidRPr="007A14A9">
        <w:rPr>
          <w:rFonts w:eastAsia="MS Mincho"/>
          <w:szCs w:val="24"/>
        </w:rPr>
        <w:tab/>
        <w:t xml:space="preserve">Obhospodařovatel fondu kolektivního investování a obhospodařovatel fondu kvalifikovaných investorů oprávněný přesáhnout rozhodný limit se dopustí přestupku tím, že v rozporu s </w:t>
      </w:r>
      <w:hyperlink r:id="rId420" w:history="1">
        <w:r w:rsidRPr="007A14A9">
          <w:rPr>
            <w:rFonts w:eastAsia="MS Mincho"/>
            <w:szCs w:val="24"/>
          </w:rPr>
          <w:t>§ 68</w:t>
        </w:r>
      </w:hyperlink>
      <w:r w:rsidRPr="007A14A9">
        <w:rPr>
          <w:rFonts w:eastAsia="MS Mincho"/>
          <w:szCs w:val="24"/>
        </w:rPr>
        <w:t xml:space="preserve"> nebo </w:t>
      </w:r>
      <w:hyperlink r:id="rId421" w:history="1">
        <w:r w:rsidRPr="007A14A9">
          <w:rPr>
            <w:rFonts w:eastAsia="MS Mincho"/>
            <w:szCs w:val="24"/>
          </w:rPr>
          <w:t>§ 83 odst. 1</w:t>
        </w:r>
      </w:hyperlink>
      <w:r w:rsidRPr="007A14A9">
        <w:rPr>
          <w:rFonts w:eastAsia="MS Mincho"/>
          <w:szCs w:val="24"/>
        </w:rPr>
        <w:t xml:space="preserve"> nezajistí pro tento fond právě jednoho depozitáře. </w:t>
      </w:r>
    </w:p>
    <w:p w14:paraId="496D57E1"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(3) Obhospodařovatel fondu kvalifikovaných investorů neoprávněný přesáhnout rozhodný limit se dopustí přestupku tím, že v rozporu s </w:t>
      </w:r>
      <w:hyperlink r:id="rId422" w:history="1">
        <w:r w:rsidRPr="007A14A9">
          <w:rPr>
            <w:rFonts w:eastAsia="MS Mincho"/>
            <w:szCs w:val="24"/>
          </w:rPr>
          <w:t>§ 83 odst. 1</w:t>
        </w:r>
      </w:hyperlink>
      <w:r w:rsidRPr="007A14A9">
        <w:rPr>
          <w:rFonts w:eastAsia="MS Mincho"/>
          <w:szCs w:val="24"/>
        </w:rPr>
        <w:t xml:space="preserve"> nezajistí pro tento fond alespoň jednoho depozitáře. </w:t>
      </w:r>
    </w:p>
    <w:p w14:paraId="02D12F0E"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(4) Obhospodařovatel investičního fondu, pro který hlavní podpůrce provádí služby nebo jehož majetek drží, se dopustí přestupku tím, že v rozporu s </w:t>
      </w:r>
      <w:hyperlink r:id="rId423" w:history="1">
        <w:r w:rsidRPr="007A14A9">
          <w:rPr>
            <w:rFonts w:eastAsia="MS Mincho"/>
            <w:szCs w:val="24"/>
          </w:rPr>
          <w:t>§ 89</w:t>
        </w:r>
      </w:hyperlink>
      <w:r w:rsidRPr="007A14A9">
        <w:rPr>
          <w:rFonts w:eastAsia="MS Mincho"/>
          <w:szCs w:val="24"/>
        </w:rPr>
        <w:t xml:space="preserve"> nezajistí poskytování potřebných údajů nebo dokumentů příslušnému depozitáři hlavním podpůrcem. </w:t>
      </w:r>
    </w:p>
    <w:p w14:paraId="2E06D72C"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(5) Obhospodařovatel podílového fondu se dopustí přestupku tím, že </w:t>
      </w:r>
    </w:p>
    <w:p w14:paraId="57797778"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a) </w:t>
      </w:r>
      <w:r w:rsidRPr="007A14A9">
        <w:rPr>
          <w:rFonts w:eastAsia="MS Mincho"/>
          <w:szCs w:val="24"/>
        </w:rPr>
        <w:tab/>
        <w:t xml:space="preserve">nezajistí, aby označení podílového fondu splňovalo požadavky podle </w:t>
      </w:r>
      <w:hyperlink r:id="rId424" w:history="1">
        <w:r w:rsidRPr="007A14A9">
          <w:rPr>
            <w:rFonts w:eastAsia="MS Mincho"/>
            <w:szCs w:val="24"/>
          </w:rPr>
          <w:t>§ 104</w:t>
        </w:r>
      </w:hyperlink>
      <w:r w:rsidRPr="007A14A9">
        <w:rPr>
          <w:rFonts w:eastAsia="MS Mincho"/>
          <w:szCs w:val="24"/>
        </w:rPr>
        <w:t xml:space="preserve">, </w:t>
      </w:r>
      <w:hyperlink r:id="rId425" w:history="1">
        <w:r w:rsidRPr="007A14A9">
          <w:rPr>
            <w:rFonts w:eastAsia="MS Mincho"/>
            <w:szCs w:val="24"/>
          </w:rPr>
          <w:t>129</w:t>
        </w:r>
      </w:hyperlink>
      <w:r w:rsidRPr="007A14A9">
        <w:rPr>
          <w:rFonts w:eastAsia="MS Mincho"/>
          <w:szCs w:val="24"/>
        </w:rPr>
        <w:t xml:space="preserve"> nebo </w:t>
      </w:r>
      <w:hyperlink r:id="rId426" w:history="1">
        <w:r w:rsidRPr="007A14A9">
          <w:rPr>
            <w:rFonts w:eastAsia="MS Mincho"/>
            <w:szCs w:val="24"/>
          </w:rPr>
          <w:t>143</w:t>
        </w:r>
      </w:hyperlink>
      <w:r w:rsidRPr="007A14A9">
        <w:rPr>
          <w:rFonts w:eastAsia="MS Mincho"/>
          <w:szCs w:val="24"/>
        </w:rPr>
        <w:t xml:space="preserve">, </w:t>
      </w:r>
    </w:p>
    <w:p w14:paraId="69E9282F"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b) </w:t>
      </w:r>
      <w:r w:rsidRPr="007A14A9">
        <w:rPr>
          <w:rFonts w:eastAsia="MS Mincho"/>
          <w:szCs w:val="24"/>
        </w:rPr>
        <w:tab/>
        <w:t xml:space="preserve">při změně druhu nebo formy podílových listů nebo vyřazení podílových listů z obchodování na evropském regulovaném trhu jedná v rozporu s </w:t>
      </w:r>
      <w:hyperlink r:id="rId427" w:history="1">
        <w:r w:rsidRPr="007A14A9">
          <w:rPr>
            <w:rFonts w:eastAsia="MS Mincho"/>
            <w:szCs w:val="24"/>
          </w:rPr>
          <w:t>§ 123 až 125</w:t>
        </w:r>
      </w:hyperlink>
      <w:r w:rsidRPr="007A14A9">
        <w:rPr>
          <w:rFonts w:eastAsia="MS Mincho"/>
          <w:szCs w:val="24"/>
        </w:rPr>
        <w:t xml:space="preserve">, </w:t>
      </w:r>
    </w:p>
    <w:p w14:paraId="30B77B00"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c) </w:t>
      </w:r>
      <w:r w:rsidRPr="007A14A9">
        <w:rPr>
          <w:rFonts w:eastAsia="MS Mincho"/>
          <w:szCs w:val="24"/>
        </w:rPr>
        <w:tab/>
        <w:t xml:space="preserve">v rozporu s </w:t>
      </w:r>
      <w:hyperlink r:id="rId428" w:history="1">
        <w:r w:rsidRPr="007A14A9">
          <w:rPr>
            <w:rFonts w:eastAsia="MS Mincho"/>
            <w:szCs w:val="24"/>
          </w:rPr>
          <w:t>§ 134 odst. 3</w:t>
        </w:r>
      </w:hyperlink>
      <w:r w:rsidRPr="007A14A9">
        <w:rPr>
          <w:rFonts w:eastAsia="MS Mincho"/>
          <w:szCs w:val="24"/>
        </w:rPr>
        <w:t xml:space="preserve"> nevypracuje zápis o svém rozhodnutí o pozastavení vydávání nebo odkupování podílových listů, </w:t>
      </w:r>
    </w:p>
    <w:p w14:paraId="09F6865F"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d) </w:t>
      </w:r>
      <w:r w:rsidRPr="007A14A9">
        <w:rPr>
          <w:rFonts w:eastAsia="MS Mincho"/>
          <w:szCs w:val="24"/>
        </w:rPr>
        <w:tab/>
        <w:t xml:space="preserve">nezpeněží majetek nebo nesplní dluhy podle </w:t>
      </w:r>
      <w:hyperlink r:id="rId429" w:history="1">
        <w:r w:rsidRPr="007A14A9">
          <w:rPr>
            <w:rFonts w:eastAsia="MS Mincho"/>
            <w:szCs w:val="24"/>
          </w:rPr>
          <w:t>§ 376 odst. 1</w:t>
        </w:r>
      </w:hyperlink>
      <w:r w:rsidRPr="007A14A9">
        <w:rPr>
          <w:rFonts w:eastAsia="MS Mincho"/>
          <w:szCs w:val="24"/>
        </w:rPr>
        <w:t xml:space="preserve">, nebo </w:t>
      </w:r>
    </w:p>
    <w:p w14:paraId="518D960B"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e) </w:t>
      </w:r>
      <w:r w:rsidRPr="007A14A9">
        <w:rPr>
          <w:rFonts w:eastAsia="MS Mincho"/>
          <w:szCs w:val="24"/>
        </w:rPr>
        <w:tab/>
        <w:t xml:space="preserve">neuvede ve statutu údaje podle </w:t>
      </w:r>
      <w:hyperlink r:id="rId430" w:history="1">
        <w:r w:rsidRPr="007A14A9">
          <w:rPr>
            <w:rFonts w:eastAsia="MS Mincho"/>
            <w:szCs w:val="24"/>
          </w:rPr>
          <w:t>§ 428 odst. 1</w:t>
        </w:r>
      </w:hyperlink>
      <w:r w:rsidRPr="007A14A9">
        <w:rPr>
          <w:rFonts w:eastAsia="MS Mincho"/>
          <w:szCs w:val="24"/>
        </w:rPr>
        <w:t xml:space="preserve"> nebo </w:t>
      </w:r>
      <w:hyperlink r:id="rId431" w:history="1">
        <w:r w:rsidRPr="007A14A9">
          <w:rPr>
            <w:rFonts w:eastAsia="MS Mincho"/>
            <w:szCs w:val="24"/>
          </w:rPr>
          <w:t>§ 432 odst. 1</w:t>
        </w:r>
      </w:hyperlink>
      <w:r w:rsidRPr="007A14A9">
        <w:rPr>
          <w:rFonts w:eastAsia="MS Mincho"/>
          <w:szCs w:val="24"/>
        </w:rPr>
        <w:t xml:space="preserve">. </w:t>
      </w:r>
    </w:p>
    <w:p w14:paraId="3FC2124A"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(6) Za přestupek podle odstavce 1 písm. b) nebo d), odstavce 2, 3, 4 nebo 5 lze uložit pokutu do </w:t>
      </w:r>
    </w:p>
    <w:p w14:paraId="1344891C"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a)</w:t>
      </w:r>
      <w:r w:rsidRPr="007A14A9">
        <w:rPr>
          <w:rFonts w:eastAsia="MS Mincho"/>
          <w:szCs w:val="24"/>
        </w:rPr>
        <w:tab/>
        <w:t xml:space="preserve">150 000 000 Kč, </w:t>
      </w:r>
    </w:p>
    <w:p w14:paraId="474CC40C"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b)</w:t>
      </w:r>
      <w:r w:rsidRPr="007A14A9">
        <w:rPr>
          <w:rFonts w:eastAsia="MS Mincho"/>
          <w:szCs w:val="24"/>
        </w:rPr>
        <w:tab/>
        <w:t xml:space="preserve">výše 10 % celkového ročního obratu právnické osoby podle </w:t>
      </w:r>
      <w:r w:rsidRPr="007A14A9">
        <w:rPr>
          <w:rFonts w:eastAsia="MS Mincho"/>
          <w:strike/>
          <w:szCs w:val="24"/>
        </w:rPr>
        <w:t>její poslední řádné účetní závěrky nebo konsolidované účetní závěrky</w:t>
      </w:r>
      <w:r w:rsidRPr="007A14A9">
        <w:rPr>
          <w:rFonts w:eastAsia="MS Mincho"/>
          <w:b/>
          <w:szCs w:val="24"/>
        </w:rPr>
        <w:t xml:space="preserve"> poslední řádné konsolidované účetní závěrky</w:t>
      </w:r>
      <w:r w:rsidRPr="007A14A9">
        <w:rPr>
          <w:rFonts w:eastAsia="MS Mincho"/>
          <w:szCs w:val="24"/>
        </w:rPr>
        <w:t xml:space="preserve"> </w:t>
      </w:r>
      <w:r w:rsidRPr="007A14A9">
        <w:rPr>
          <w:rFonts w:eastAsia="MS Mincho"/>
          <w:b/>
          <w:szCs w:val="24"/>
        </w:rPr>
        <w:t>konsolidačního celku, v němž je zahrnuta,</w:t>
      </w:r>
      <w:r w:rsidRPr="007A14A9">
        <w:rPr>
          <w:rFonts w:eastAsia="MS Mincho"/>
          <w:szCs w:val="24"/>
        </w:rPr>
        <w:t xml:space="preserve"> </w:t>
      </w:r>
      <w:r w:rsidRPr="007A14A9">
        <w:rPr>
          <w:rFonts w:eastAsia="MS Mincho"/>
          <w:b/>
          <w:szCs w:val="24"/>
        </w:rPr>
        <w:t>nebo řádné individuální účetní závěrky, není-li taková konsolidovaná účetní závěrka</w:t>
      </w:r>
      <w:r w:rsidRPr="007A14A9">
        <w:rPr>
          <w:rFonts w:eastAsia="MS Mincho"/>
          <w:szCs w:val="24"/>
        </w:rPr>
        <w:t xml:space="preserve">, přesahuje-li takto určená výše pokuty částku 150 000 000 Kč, nebo </w:t>
      </w:r>
    </w:p>
    <w:p w14:paraId="6709E822"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c)</w:t>
      </w:r>
      <w:r w:rsidRPr="007A14A9">
        <w:rPr>
          <w:rFonts w:eastAsia="MS Mincho"/>
          <w:szCs w:val="24"/>
        </w:rPr>
        <w:tab/>
        <w:t xml:space="preserve">výše dvojnásobku neoprávněného prospěchu získaného spácháním tohoto přestupku, je-li možné výši neoprávněného prospěchu zjistit a přesahuje-li takto určená výše pokuty částku 150 000 000 Kč. </w:t>
      </w:r>
    </w:p>
    <w:p w14:paraId="021B5026"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(7) Za přestupek podle odstavce 1 písm. a) nebo c) lze uložit pokutu do </w:t>
      </w:r>
    </w:p>
    <w:p w14:paraId="6CDE7594"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a)</w:t>
      </w:r>
      <w:r w:rsidRPr="007A14A9">
        <w:rPr>
          <w:rFonts w:eastAsia="MS Mincho"/>
          <w:szCs w:val="24"/>
        </w:rPr>
        <w:tab/>
        <w:t xml:space="preserve">300 000 000 Kč, </w:t>
      </w:r>
    </w:p>
    <w:p w14:paraId="2D519C51"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b)</w:t>
      </w:r>
      <w:r w:rsidRPr="007A14A9">
        <w:rPr>
          <w:rFonts w:eastAsia="MS Mincho"/>
          <w:szCs w:val="24"/>
        </w:rPr>
        <w:tab/>
        <w:t xml:space="preserve">výše 10 % celkového ročního obratu právnické osoby podle </w:t>
      </w:r>
      <w:r w:rsidRPr="007A14A9">
        <w:rPr>
          <w:rFonts w:eastAsia="MS Mincho"/>
          <w:strike/>
          <w:szCs w:val="24"/>
        </w:rPr>
        <w:t>její poslední řádné účetní závěrky nebo konsolidované účetní závěrky</w:t>
      </w:r>
      <w:r w:rsidRPr="007A14A9">
        <w:rPr>
          <w:rFonts w:eastAsia="MS Mincho"/>
          <w:b/>
          <w:szCs w:val="24"/>
        </w:rPr>
        <w:t xml:space="preserve"> poslední řádné konsolidované účetní závěrky</w:t>
      </w:r>
      <w:r w:rsidRPr="007A14A9">
        <w:rPr>
          <w:rFonts w:eastAsia="MS Mincho"/>
          <w:szCs w:val="24"/>
        </w:rPr>
        <w:t xml:space="preserve"> </w:t>
      </w:r>
      <w:r w:rsidRPr="007A14A9">
        <w:rPr>
          <w:rFonts w:eastAsia="MS Mincho"/>
          <w:b/>
          <w:szCs w:val="24"/>
        </w:rPr>
        <w:t>konsolidačního celku, v němž je zahrnuta,</w:t>
      </w:r>
      <w:r w:rsidRPr="007A14A9">
        <w:rPr>
          <w:rFonts w:eastAsia="MS Mincho"/>
          <w:szCs w:val="24"/>
        </w:rPr>
        <w:t xml:space="preserve"> </w:t>
      </w:r>
      <w:r w:rsidRPr="007A14A9">
        <w:rPr>
          <w:rFonts w:eastAsia="MS Mincho"/>
          <w:b/>
          <w:szCs w:val="24"/>
        </w:rPr>
        <w:t>nebo řádné individuální účetní závěrky, není-li taková konsolidovaná účetní závěrka</w:t>
      </w:r>
      <w:r w:rsidRPr="007A14A9">
        <w:rPr>
          <w:rFonts w:eastAsia="MS Mincho"/>
          <w:szCs w:val="24"/>
        </w:rPr>
        <w:t xml:space="preserve">, přesahuje-li takto určená výše pokuty částku 300 000 000 Kč, nebo </w:t>
      </w:r>
    </w:p>
    <w:p w14:paraId="2EE6890C"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c) </w:t>
      </w:r>
      <w:r w:rsidRPr="007A14A9">
        <w:rPr>
          <w:rFonts w:eastAsia="MS Mincho"/>
          <w:szCs w:val="24"/>
        </w:rPr>
        <w:tab/>
        <w:t xml:space="preserve">výše dvojnásobku neoprávněného prospěchu získaného spácháním tohoto přestupku, je-li možné výši neoprávněného prospěchu zjistit a přesahuje-li takto určená výše pokuty částku 300 000 000 Kč. </w:t>
      </w:r>
    </w:p>
    <w:p w14:paraId="5D245EFC"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(8) Za přestupek podle odstavce 1, 2, 3, 4 nebo 5 lze namísto pokuty nebo spolu s pokutou nařídit uveřejnění informace o tom, jaká je povaha protiprávního jednání a která osoba takto jednala. </w:t>
      </w:r>
    </w:p>
    <w:p w14:paraId="575CCA47" w14:textId="77777777" w:rsidR="007A14A9" w:rsidRPr="007A14A9" w:rsidRDefault="007A14A9" w:rsidP="007A14A9">
      <w:pPr>
        <w:keepNext/>
        <w:keepLines/>
        <w:ind w:firstLine="0"/>
        <w:jc w:val="center"/>
        <w:outlineLvl w:val="5"/>
        <w:rPr>
          <w:rFonts w:eastAsia="MS Mincho"/>
          <w:szCs w:val="24"/>
        </w:rPr>
      </w:pPr>
      <w:r w:rsidRPr="007A14A9">
        <w:lastRenderedPageBreak/>
        <w:t>§ 601</w:t>
      </w:r>
      <w:r w:rsidRPr="007A14A9">
        <w:rPr>
          <w:rFonts w:eastAsia="MS Mincho"/>
          <w:szCs w:val="24"/>
        </w:rPr>
        <w:t xml:space="preserve"> </w:t>
      </w:r>
    </w:p>
    <w:p w14:paraId="1DC8F2BE"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(1) Obhospodařovatel investičního fondu jako </w:t>
      </w:r>
      <w:proofErr w:type="spellStart"/>
      <w:r w:rsidRPr="007A14A9">
        <w:rPr>
          <w:rFonts w:eastAsia="MS Mincho"/>
          <w:szCs w:val="24"/>
        </w:rPr>
        <w:t>svěřenského</w:t>
      </w:r>
      <w:proofErr w:type="spellEnd"/>
      <w:r w:rsidRPr="007A14A9">
        <w:rPr>
          <w:rFonts w:eastAsia="MS Mincho"/>
          <w:szCs w:val="24"/>
        </w:rPr>
        <w:t xml:space="preserve"> fondu se dopustí přestupku tím, že nezajistí, aby označení tohoto fondu splňovalo požadavky podle </w:t>
      </w:r>
      <w:hyperlink r:id="rId432" w:history="1">
        <w:r w:rsidRPr="007A14A9">
          <w:rPr>
            <w:rFonts w:eastAsia="MS Mincho"/>
            <w:szCs w:val="24"/>
          </w:rPr>
          <w:t>§ 104</w:t>
        </w:r>
      </w:hyperlink>
      <w:r w:rsidRPr="007A14A9">
        <w:rPr>
          <w:rFonts w:eastAsia="MS Mincho"/>
          <w:szCs w:val="24"/>
        </w:rPr>
        <w:t xml:space="preserve"> a obhospodařovatel investičního fondu, který je akciovou společností s proměnným základním kapitálem, se dopustí přestupku tím, že nezajistí, aby označení jejích </w:t>
      </w:r>
      <w:proofErr w:type="spellStart"/>
      <w:r w:rsidRPr="007A14A9">
        <w:rPr>
          <w:rFonts w:eastAsia="MS Mincho"/>
          <w:szCs w:val="24"/>
        </w:rPr>
        <w:t>podfondů</w:t>
      </w:r>
      <w:proofErr w:type="spellEnd"/>
      <w:r w:rsidRPr="007A14A9">
        <w:rPr>
          <w:rFonts w:eastAsia="MS Mincho"/>
          <w:szCs w:val="24"/>
        </w:rPr>
        <w:t xml:space="preserve"> splňovalo požadavky podle </w:t>
      </w:r>
      <w:hyperlink r:id="rId433" w:history="1">
        <w:r w:rsidRPr="007A14A9">
          <w:rPr>
            <w:rFonts w:eastAsia="MS Mincho"/>
            <w:szCs w:val="24"/>
          </w:rPr>
          <w:t>§ 166 odst. 1</w:t>
        </w:r>
      </w:hyperlink>
      <w:r w:rsidRPr="007A14A9">
        <w:rPr>
          <w:rFonts w:eastAsia="MS Mincho"/>
          <w:szCs w:val="24"/>
        </w:rPr>
        <w:t xml:space="preserve"> nebo </w:t>
      </w:r>
      <w:hyperlink r:id="rId434" w:history="1">
        <w:r w:rsidRPr="007A14A9">
          <w:rPr>
            <w:rFonts w:eastAsia="MS Mincho"/>
            <w:szCs w:val="24"/>
          </w:rPr>
          <w:t>§ 104</w:t>
        </w:r>
      </w:hyperlink>
      <w:r w:rsidRPr="007A14A9">
        <w:rPr>
          <w:rFonts w:eastAsia="MS Mincho"/>
          <w:szCs w:val="24"/>
        </w:rPr>
        <w:t xml:space="preserve">. </w:t>
      </w:r>
    </w:p>
    <w:p w14:paraId="41151A8C"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(2) Obhospodařovatel speciálního fondu nebo srovnatelného zahraničního investičního fondu, který využívá pákový efekt, se dopustí přestupku tím, že neosvědčí České národní bance na její žádost některou ze skutečností podle </w:t>
      </w:r>
      <w:hyperlink r:id="rId435" w:history="1">
        <w:r w:rsidRPr="007A14A9">
          <w:rPr>
            <w:rFonts w:eastAsia="MS Mincho"/>
            <w:szCs w:val="24"/>
          </w:rPr>
          <w:t>§ 218</w:t>
        </w:r>
      </w:hyperlink>
      <w:r w:rsidRPr="007A14A9">
        <w:rPr>
          <w:rFonts w:eastAsia="MS Mincho"/>
          <w:szCs w:val="24"/>
        </w:rPr>
        <w:t xml:space="preserve">. </w:t>
      </w:r>
    </w:p>
    <w:p w14:paraId="61A83730"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(3) Obhospodařovatel podřízeného fondu se dopustí přestupku tím, že </w:t>
      </w:r>
    </w:p>
    <w:p w14:paraId="0D5A0D79"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a) </w:t>
      </w:r>
      <w:r w:rsidRPr="007A14A9">
        <w:rPr>
          <w:rFonts w:eastAsia="MS Mincho"/>
          <w:szCs w:val="24"/>
        </w:rPr>
        <w:tab/>
        <w:t xml:space="preserve">investuje v rozporu s </w:t>
      </w:r>
      <w:hyperlink r:id="rId436" w:history="1">
        <w:r w:rsidRPr="007A14A9">
          <w:rPr>
            <w:rFonts w:eastAsia="MS Mincho"/>
            <w:szCs w:val="24"/>
          </w:rPr>
          <w:t>§ 248 odst. 1</w:t>
        </w:r>
      </w:hyperlink>
      <w:r w:rsidRPr="007A14A9">
        <w:rPr>
          <w:rFonts w:eastAsia="MS Mincho"/>
          <w:szCs w:val="24"/>
        </w:rPr>
        <w:t xml:space="preserve">, </w:t>
      </w:r>
    </w:p>
    <w:p w14:paraId="52C3970C"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b) </w:t>
      </w:r>
      <w:r w:rsidRPr="007A14A9">
        <w:rPr>
          <w:rFonts w:eastAsia="MS Mincho"/>
          <w:szCs w:val="24"/>
        </w:rPr>
        <w:tab/>
        <w:t xml:space="preserve">nekontroluje výkon činnosti obhospodařovatele řídícího fondu podle </w:t>
      </w:r>
      <w:hyperlink r:id="rId437" w:history="1">
        <w:r w:rsidRPr="007A14A9">
          <w:rPr>
            <w:rFonts w:eastAsia="MS Mincho"/>
            <w:szCs w:val="24"/>
          </w:rPr>
          <w:t>§ 248 odst. 2</w:t>
        </w:r>
      </w:hyperlink>
      <w:r w:rsidRPr="007A14A9">
        <w:rPr>
          <w:rFonts w:eastAsia="MS Mincho"/>
          <w:szCs w:val="24"/>
        </w:rPr>
        <w:t xml:space="preserve">, nebo </w:t>
      </w:r>
    </w:p>
    <w:p w14:paraId="34869B20"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c) </w:t>
      </w:r>
      <w:r w:rsidRPr="007A14A9">
        <w:rPr>
          <w:rFonts w:eastAsia="MS Mincho"/>
          <w:szCs w:val="24"/>
        </w:rPr>
        <w:tab/>
        <w:t xml:space="preserve">nepředá depozitáři tohoto fondu informaci podle </w:t>
      </w:r>
      <w:hyperlink r:id="rId438" w:history="1">
        <w:r w:rsidRPr="007A14A9">
          <w:rPr>
            <w:rFonts w:eastAsia="MS Mincho"/>
            <w:szCs w:val="24"/>
          </w:rPr>
          <w:t>§ 256</w:t>
        </w:r>
      </w:hyperlink>
      <w:r w:rsidRPr="007A14A9">
        <w:rPr>
          <w:rFonts w:eastAsia="MS Mincho"/>
          <w:szCs w:val="24"/>
        </w:rPr>
        <w:t xml:space="preserve">. </w:t>
      </w:r>
    </w:p>
    <w:p w14:paraId="2AF9E674"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(4) Obhospodařovatel řídícího fondu se dopustí přestupku tím, že v rozporu s </w:t>
      </w:r>
      <w:hyperlink r:id="rId439" w:history="1">
        <w:r w:rsidRPr="007A14A9">
          <w:rPr>
            <w:rFonts w:eastAsia="MS Mincho"/>
            <w:szCs w:val="24"/>
          </w:rPr>
          <w:t>§ 255 odst. 2</w:t>
        </w:r>
      </w:hyperlink>
      <w:r w:rsidRPr="007A14A9">
        <w:rPr>
          <w:rFonts w:eastAsia="MS Mincho"/>
          <w:szCs w:val="24"/>
        </w:rPr>
        <w:t xml:space="preserve"> neinformuje obhospodařovatele podřízeného fondu, administrátora podřízeného fondu, depozitáře podřízeného fondu, Českou národní banku nebo příslušný orgán dohledu jiného členského státu. </w:t>
      </w:r>
    </w:p>
    <w:p w14:paraId="500AC316" w14:textId="73DACFC8" w:rsidR="007A14A9" w:rsidRPr="007A14A9" w:rsidRDefault="00554FBC" w:rsidP="007A14A9">
      <w:pPr>
        <w:tabs>
          <w:tab w:val="left" w:pos="782"/>
          <w:tab w:val="left" w:pos="851"/>
        </w:tabs>
        <w:spacing w:before="120" w:after="120"/>
        <w:outlineLvl w:val="6"/>
        <w:rPr>
          <w:rFonts w:eastAsia="MS Mincho"/>
          <w:szCs w:val="24"/>
        </w:rPr>
      </w:pPr>
      <w:r>
        <w:rPr>
          <w:b/>
          <w:bCs/>
          <w:noProof/>
          <w:color w:val="92D050"/>
        </w:rPr>
        <mc:AlternateContent>
          <mc:Choice Requires="wps">
            <w:drawing>
              <wp:anchor distT="0" distB="0" distL="114300" distR="114300" simplePos="0" relativeHeight="251667456" behindDoc="1" locked="0" layoutInCell="1" allowOverlap="1" wp14:anchorId="5415005B" wp14:editId="14A7BD07">
                <wp:simplePos x="0" y="0"/>
                <wp:positionH relativeFrom="margin">
                  <wp:posOffset>-145056</wp:posOffset>
                </wp:positionH>
                <wp:positionV relativeFrom="paragraph">
                  <wp:posOffset>543698</wp:posOffset>
                </wp:positionV>
                <wp:extent cx="6058535" cy="2655460"/>
                <wp:effectExtent l="0" t="0" r="18415" b="12065"/>
                <wp:wrapNone/>
                <wp:docPr id="4" name="Obdélník 4"/>
                <wp:cNvGraphicFramePr/>
                <a:graphic xmlns:a="http://schemas.openxmlformats.org/drawingml/2006/main">
                  <a:graphicData uri="http://schemas.microsoft.com/office/word/2010/wordprocessingShape">
                    <wps:wsp>
                      <wps:cNvSpPr/>
                      <wps:spPr>
                        <a:xfrm>
                          <a:off x="0" y="0"/>
                          <a:ext cx="6058535" cy="2655460"/>
                        </a:xfrm>
                        <a:prstGeom prst="rect">
                          <a:avLst/>
                        </a:prstGeom>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E2E19B1" id="Obdélník 4" o:spid="_x0000_s1026" style="position:absolute;margin-left:-11.4pt;margin-top:42.8pt;width:477.05pt;height:209.1pt;z-index:-25164902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" fillcolor="white [3201]" strokecolor="#5b9bd5 [3204]" strokeweight="1pt">
                <w10:wrap anchorx="margin"/>
              </v:rect>
            </w:pict>
          </mc:Fallback>
        </mc:AlternateContent>
      </w:r>
      <w:r w:rsidR="007A14A9" w:rsidRPr="007A14A9">
        <w:rPr>
          <w:rFonts w:eastAsia="MS Mincho"/>
          <w:szCs w:val="24"/>
        </w:rPr>
        <w:t xml:space="preserve">(5) Obhospodařovatel fondu kolektivního investování, který podle svého statutu investuje do nemovitostí nebo účastí v nemovitostní společnosti, se dopustí přestupku tím, že nezřídí výbor odborníků podle </w:t>
      </w:r>
      <w:hyperlink r:id="rId440" w:history="1">
        <w:r w:rsidR="007A14A9" w:rsidRPr="007A14A9">
          <w:rPr>
            <w:rFonts w:eastAsia="MS Mincho"/>
            <w:szCs w:val="24"/>
          </w:rPr>
          <w:t>§ 268</w:t>
        </w:r>
      </w:hyperlink>
      <w:r w:rsidR="007A14A9" w:rsidRPr="007A14A9">
        <w:rPr>
          <w:rFonts w:eastAsia="MS Mincho"/>
          <w:szCs w:val="24"/>
        </w:rPr>
        <w:t>.</w:t>
      </w:r>
    </w:p>
    <w:p w14:paraId="47EAFFC1" w14:textId="0A8776D8" w:rsidR="007A14A9" w:rsidRPr="00554FBC" w:rsidRDefault="007A14A9" w:rsidP="00554FBC">
      <w:pPr>
        <w:tabs>
          <w:tab w:val="left" w:pos="782"/>
          <w:tab w:val="left" w:pos="851"/>
        </w:tabs>
        <w:spacing w:before="120" w:after="120"/>
        <w:outlineLvl w:val="6"/>
        <w:rPr>
          <w:rFonts w:eastAsia="MS Mincho"/>
          <w:b/>
          <w:color w:val="0070C0"/>
          <w:szCs w:val="24"/>
        </w:rPr>
      </w:pPr>
      <w:r w:rsidRPr="00554FBC">
        <w:rPr>
          <w:rFonts w:eastAsia="MS Mincho"/>
          <w:b/>
          <w:color w:val="0070C0"/>
          <w:szCs w:val="24"/>
        </w:rPr>
        <w:t>(6) Obhospodařovatel zahraničního investičního fondu srovnatelného se speciálním fondem se dopustí přestupku tím, že nesplní informační povinnost podle § 297 odst. 5.</w:t>
      </w:r>
    </w:p>
    <w:p w14:paraId="1D626402" w14:textId="56541C9E" w:rsidR="007A14A9" w:rsidRPr="007A14A9" w:rsidRDefault="007A14A9" w:rsidP="007A14A9">
      <w:pPr>
        <w:tabs>
          <w:tab w:val="left" w:pos="782"/>
          <w:tab w:val="left" w:pos="851"/>
        </w:tabs>
        <w:spacing w:before="120" w:after="120"/>
        <w:outlineLvl w:val="6"/>
        <w:rPr>
          <w:rFonts w:eastAsia="MS Mincho"/>
          <w:szCs w:val="24"/>
        </w:rPr>
      </w:pPr>
      <w:r w:rsidRPr="00554FBC">
        <w:rPr>
          <w:rFonts w:eastAsia="MS Mincho"/>
          <w:b/>
          <w:color w:val="0070C0"/>
          <w:szCs w:val="24"/>
        </w:rPr>
        <w:t>(7)</w:t>
      </w:r>
      <w:r w:rsidRPr="007A14A9">
        <w:rPr>
          <w:rFonts w:eastAsia="MS Mincho"/>
          <w:color w:val="0070C0"/>
          <w:szCs w:val="24"/>
        </w:rPr>
        <w:t xml:space="preserve"> </w:t>
      </w:r>
      <w:r w:rsidRPr="007A14A9">
        <w:rPr>
          <w:rFonts w:eastAsia="MS Mincho"/>
          <w:szCs w:val="24"/>
        </w:rPr>
        <w:t xml:space="preserve">Za přestupek podle odstavce 1 nebo 2, odstavce 3 písm. b) nebo c), odstavce 4, </w:t>
      </w:r>
      <w:r w:rsidRPr="00554FBC">
        <w:rPr>
          <w:rFonts w:eastAsia="MS Mincho"/>
          <w:b/>
          <w:color w:val="0070C0"/>
          <w:szCs w:val="24"/>
        </w:rPr>
        <w:t>5 nebo 6</w:t>
      </w:r>
      <w:r w:rsidRPr="007A14A9">
        <w:rPr>
          <w:rFonts w:eastAsia="MS Mincho"/>
          <w:szCs w:val="24"/>
        </w:rPr>
        <w:t xml:space="preserve"> lze uložit pokutu do </w:t>
      </w:r>
    </w:p>
    <w:p w14:paraId="62A372D9"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a)</w:t>
      </w:r>
      <w:r w:rsidRPr="007A14A9">
        <w:rPr>
          <w:rFonts w:eastAsia="MS Mincho"/>
          <w:szCs w:val="24"/>
        </w:rPr>
        <w:tab/>
        <w:t xml:space="preserve">150 000 000 Kč, </w:t>
      </w:r>
    </w:p>
    <w:p w14:paraId="3379CBAB"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b)</w:t>
      </w:r>
      <w:r w:rsidRPr="007A14A9">
        <w:rPr>
          <w:rFonts w:eastAsia="MS Mincho"/>
          <w:szCs w:val="24"/>
        </w:rPr>
        <w:tab/>
        <w:t>výše 10 % celkového ročního obratu právnické osoby podle</w:t>
      </w:r>
      <w:r w:rsidRPr="007A14A9">
        <w:rPr>
          <w:rFonts w:eastAsia="MS Mincho"/>
          <w:strike/>
          <w:szCs w:val="24"/>
        </w:rPr>
        <w:t xml:space="preserve"> její poslední řádné účetní závěrky nebo konsolidované účetní závěrky</w:t>
      </w:r>
      <w:r w:rsidRPr="007A14A9">
        <w:rPr>
          <w:rFonts w:eastAsia="MS Mincho"/>
          <w:b/>
          <w:szCs w:val="24"/>
        </w:rPr>
        <w:t xml:space="preserve"> poslední řádné konsolidované účetní závěrky</w:t>
      </w:r>
      <w:r w:rsidRPr="007A14A9">
        <w:rPr>
          <w:rFonts w:eastAsia="MS Mincho"/>
          <w:szCs w:val="24"/>
        </w:rPr>
        <w:t xml:space="preserve"> </w:t>
      </w:r>
      <w:r w:rsidRPr="007A14A9">
        <w:rPr>
          <w:rFonts w:eastAsia="MS Mincho"/>
          <w:b/>
          <w:szCs w:val="24"/>
        </w:rPr>
        <w:t>konsolidačního celku, v němž je zahrnuta,</w:t>
      </w:r>
      <w:r w:rsidRPr="007A14A9">
        <w:rPr>
          <w:rFonts w:eastAsia="MS Mincho"/>
          <w:szCs w:val="24"/>
        </w:rPr>
        <w:t xml:space="preserve"> </w:t>
      </w:r>
      <w:r w:rsidRPr="007A14A9">
        <w:rPr>
          <w:rFonts w:eastAsia="MS Mincho"/>
          <w:b/>
          <w:szCs w:val="24"/>
        </w:rPr>
        <w:t>nebo řádné individuální účetní závěrky, není-li taková konsolidovaná účetní závěrka</w:t>
      </w:r>
      <w:r w:rsidRPr="007A14A9">
        <w:rPr>
          <w:rFonts w:eastAsia="MS Mincho"/>
          <w:szCs w:val="24"/>
        </w:rPr>
        <w:t xml:space="preserve">, přesahuje-li takto určená výše pokuty částku 150 000 000 Kč, nebo </w:t>
      </w:r>
    </w:p>
    <w:p w14:paraId="62873AFB"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c)</w:t>
      </w:r>
      <w:r w:rsidRPr="007A14A9">
        <w:rPr>
          <w:rFonts w:eastAsia="MS Mincho"/>
          <w:szCs w:val="24"/>
        </w:rPr>
        <w:tab/>
        <w:t xml:space="preserve">výše dvojnásobku neoprávněného prospěchu získaného spácháním tohoto přestupku, je-li možné výši neoprávněného prospěchu zjistit a přesahuje-li takto určená výše pokuty částku 150 000 000 Kč. </w:t>
      </w:r>
    </w:p>
    <w:p w14:paraId="78EEA38B" w14:textId="47D71849" w:rsidR="007A14A9" w:rsidRPr="007A14A9" w:rsidRDefault="00554FBC" w:rsidP="007A14A9">
      <w:pPr>
        <w:tabs>
          <w:tab w:val="left" w:pos="782"/>
          <w:tab w:val="left" w:pos="851"/>
        </w:tabs>
        <w:spacing w:before="120" w:after="120"/>
        <w:outlineLvl w:val="6"/>
        <w:rPr>
          <w:rFonts w:eastAsia="MS Mincho"/>
          <w:szCs w:val="24"/>
        </w:rPr>
      </w:pPr>
      <w:r w:rsidRPr="00554FBC">
        <w:rPr>
          <w:b/>
          <w:bCs/>
          <w:noProof/>
          <w:color w:val="92D050"/>
        </w:rPr>
        <mc:AlternateContent>
          <mc:Choice Requires="wps">
            <w:drawing>
              <wp:anchor distT="0" distB="0" distL="114300" distR="114300" simplePos="0" relativeHeight="251669504" behindDoc="1" locked="0" layoutInCell="1" allowOverlap="1" wp14:anchorId="3856858A" wp14:editId="7605CE05">
                <wp:simplePos x="0" y="0"/>
                <wp:positionH relativeFrom="margin">
                  <wp:posOffset>-129153</wp:posOffset>
                </wp:positionH>
                <wp:positionV relativeFrom="paragraph">
                  <wp:posOffset>-1933</wp:posOffset>
                </wp:positionV>
                <wp:extent cx="6010551" cy="2488759"/>
                <wp:effectExtent l="0" t="0" r="28575" b="26035"/>
                <wp:wrapNone/>
                <wp:docPr id="5" name="Obdélník 5"/>
                <wp:cNvGraphicFramePr/>
                <a:graphic xmlns:a="http://schemas.openxmlformats.org/drawingml/2006/main">
                  <a:graphicData uri="http://schemas.microsoft.com/office/word/2010/wordprocessingShape">
                    <wps:wsp>
                      <wps:cNvSpPr/>
                      <wps:spPr>
                        <a:xfrm>
                          <a:off x="0" y="0"/>
                          <a:ext cx="6010551" cy="2488759"/>
                        </a:xfrm>
                        <a:prstGeom prst="rect">
                          <a:avLst/>
                        </a:prstGeom>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CCD85A" id="Obdélník 5" o:spid="_x0000_s1026" style="position:absolute;margin-left:-10.15pt;margin-top:-.15pt;width:473.25pt;height:195.95pt;z-index:-2516469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" fillcolor="white [3201]" strokecolor="#5b9bd5 [3204]" strokeweight="1pt">
                <w10:wrap anchorx="margin"/>
              </v:rect>
            </w:pict>
          </mc:Fallback>
        </mc:AlternateContent>
      </w:r>
      <w:r w:rsidR="007A14A9" w:rsidRPr="00554FBC">
        <w:rPr>
          <w:rFonts w:eastAsia="MS Mincho"/>
          <w:b/>
          <w:color w:val="0070C0"/>
          <w:szCs w:val="24"/>
        </w:rPr>
        <w:t>(8)</w:t>
      </w:r>
      <w:r w:rsidR="007A14A9" w:rsidRPr="007A14A9">
        <w:rPr>
          <w:rFonts w:eastAsia="MS Mincho"/>
          <w:szCs w:val="24"/>
        </w:rPr>
        <w:t xml:space="preserve"> Za přestupek podle odstavce 3 písm. a) lze uložit pokutu do </w:t>
      </w:r>
    </w:p>
    <w:p w14:paraId="76050F11" w14:textId="5527A188"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a) </w:t>
      </w:r>
      <w:r w:rsidRPr="007A14A9">
        <w:rPr>
          <w:rFonts w:eastAsia="MS Mincho"/>
          <w:szCs w:val="24"/>
        </w:rPr>
        <w:tab/>
        <w:t xml:space="preserve">300 000 000 Kč, </w:t>
      </w:r>
    </w:p>
    <w:p w14:paraId="3B1FFDE1" w14:textId="70A367EE"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b) </w:t>
      </w:r>
      <w:r w:rsidRPr="007A14A9">
        <w:rPr>
          <w:rFonts w:eastAsia="MS Mincho"/>
          <w:szCs w:val="24"/>
        </w:rPr>
        <w:tab/>
        <w:t xml:space="preserve">výše 10 % celkového ročního obratu právnické osoby podle </w:t>
      </w:r>
      <w:r w:rsidRPr="007A14A9">
        <w:rPr>
          <w:rFonts w:eastAsia="MS Mincho"/>
          <w:strike/>
          <w:szCs w:val="24"/>
        </w:rPr>
        <w:t>její poslední řádné účetní závěrky nebo konsolidované účetní závěrky</w:t>
      </w:r>
      <w:r w:rsidRPr="007A14A9">
        <w:rPr>
          <w:rFonts w:eastAsia="MS Mincho"/>
          <w:b/>
          <w:szCs w:val="24"/>
        </w:rPr>
        <w:t xml:space="preserve"> poslední řádné konsolidované účetní závěrky</w:t>
      </w:r>
      <w:r w:rsidRPr="007A14A9">
        <w:rPr>
          <w:rFonts w:eastAsia="MS Mincho"/>
          <w:szCs w:val="24"/>
        </w:rPr>
        <w:t xml:space="preserve"> </w:t>
      </w:r>
      <w:r w:rsidRPr="007A14A9">
        <w:rPr>
          <w:rFonts w:eastAsia="MS Mincho"/>
          <w:b/>
          <w:szCs w:val="24"/>
        </w:rPr>
        <w:t>konsolidačního celku, v němž je zahrnuta,</w:t>
      </w:r>
      <w:r w:rsidRPr="007A14A9">
        <w:rPr>
          <w:rFonts w:eastAsia="MS Mincho"/>
          <w:szCs w:val="24"/>
        </w:rPr>
        <w:t xml:space="preserve"> </w:t>
      </w:r>
      <w:r w:rsidRPr="007A14A9">
        <w:rPr>
          <w:rFonts w:eastAsia="MS Mincho"/>
          <w:b/>
          <w:szCs w:val="24"/>
        </w:rPr>
        <w:t>nebo řádné individuální účetní závěrky, není-li taková konsolidovaná účetní závěrka</w:t>
      </w:r>
      <w:r w:rsidRPr="007A14A9">
        <w:rPr>
          <w:rFonts w:eastAsia="MS Mincho"/>
          <w:szCs w:val="24"/>
        </w:rPr>
        <w:t xml:space="preserve">, přesahuje-li takto určená výše pokuty částku 300 000 000 Kč, nebo </w:t>
      </w:r>
    </w:p>
    <w:p w14:paraId="555B8092"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c) </w:t>
      </w:r>
      <w:r w:rsidRPr="007A14A9">
        <w:rPr>
          <w:rFonts w:eastAsia="MS Mincho"/>
          <w:szCs w:val="24"/>
        </w:rPr>
        <w:tab/>
        <w:t xml:space="preserve">výše dvojnásobku neoprávněného prospěchu získaného spácháním tohoto přestupku, je-li možné výši neoprávněného prospěchu zjistit a přesahuje-li takto určená výše pokuty částku 300 000 000 Kč. </w:t>
      </w:r>
    </w:p>
    <w:p w14:paraId="32604718" w14:textId="77777777" w:rsidR="007A14A9" w:rsidRPr="007A14A9" w:rsidRDefault="007A14A9" w:rsidP="007A14A9">
      <w:pPr>
        <w:tabs>
          <w:tab w:val="left" w:pos="782"/>
          <w:tab w:val="left" w:pos="851"/>
        </w:tabs>
        <w:spacing w:before="120" w:after="120"/>
        <w:outlineLvl w:val="6"/>
        <w:rPr>
          <w:rFonts w:eastAsia="MS Mincho"/>
          <w:szCs w:val="24"/>
        </w:rPr>
      </w:pPr>
      <w:r w:rsidRPr="00554FBC">
        <w:rPr>
          <w:rFonts w:eastAsia="MS Mincho"/>
          <w:b/>
          <w:color w:val="0070C0"/>
          <w:szCs w:val="24"/>
        </w:rPr>
        <w:lastRenderedPageBreak/>
        <w:t xml:space="preserve"> (9)</w:t>
      </w:r>
      <w:r w:rsidRPr="007A14A9">
        <w:rPr>
          <w:rFonts w:eastAsia="MS Mincho"/>
          <w:color w:val="0070C0"/>
          <w:szCs w:val="24"/>
        </w:rPr>
        <w:t xml:space="preserve"> </w:t>
      </w:r>
      <w:r w:rsidRPr="007A14A9">
        <w:rPr>
          <w:rFonts w:eastAsia="MS Mincho"/>
          <w:szCs w:val="24"/>
        </w:rPr>
        <w:t xml:space="preserve">Za přestupek podle odstavce 1, 2, 3, 4, </w:t>
      </w:r>
      <w:r w:rsidRPr="00554FBC">
        <w:rPr>
          <w:rFonts w:eastAsia="MS Mincho"/>
          <w:b/>
          <w:color w:val="0070C0"/>
          <w:szCs w:val="24"/>
        </w:rPr>
        <w:t>5 nebo 6</w:t>
      </w:r>
      <w:r w:rsidRPr="007A14A9">
        <w:rPr>
          <w:rFonts w:eastAsia="MS Mincho"/>
          <w:szCs w:val="24"/>
        </w:rPr>
        <w:t xml:space="preserve"> lze namísto pokuty nebo spolu s pokutou nařídit uveřejnění informace o tom, jaká je povaha protiprávního jednání a která osoba takto jednala. </w:t>
      </w:r>
    </w:p>
    <w:p w14:paraId="32942655" w14:textId="77777777" w:rsidR="007A14A9" w:rsidRPr="007A14A9" w:rsidRDefault="007A14A9" w:rsidP="007A14A9">
      <w:pPr>
        <w:keepNext/>
        <w:keepLines/>
        <w:ind w:firstLine="0"/>
        <w:jc w:val="center"/>
        <w:outlineLvl w:val="5"/>
      </w:pPr>
      <w:r w:rsidRPr="007A14A9">
        <w:t xml:space="preserve">§ 602 </w:t>
      </w:r>
    </w:p>
    <w:p w14:paraId="788F50B5"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(1)</w:t>
      </w:r>
      <w:r w:rsidRPr="007A14A9">
        <w:rPr>
          <w:rFonts w:eastAsia="MS Mincho"/>
          <w:szCs w:val="24"/>
        </w:rPr>
        <w:tab/>
        <w:t xml:space="preserve">Obhospodařovatel fondu kvalifikovaných investorů se dopustí přestupku tím, že nezavede, neudržuje nebo neuplatňuje některé z pravidel, technik nebo limitů podle </w:t>
      </w:r>
      <w:hyperlink r:id="rId441" w:history="1">
        <w:r w:rsidRPr="007A14A9">
          <w:rPr>
            <w:rFonts w:eastAsia="MS Mincho"/>
            <w:szCs w:val="24"/>
          </w:rPr>
          <w:t>§ 284 odst. 1</w:t>
        </w:r>
      </w:hyperlink>
      <w:r w:rsidRPr="007A14A9">
        <w:rPr>
          <w:rFonts w:eastAsia="MS Mincho"/>
          <w:szCs w:val="24"/>
        </w:rPr>
        <w:t xml:space="preserve">. </w:t>
      </w:r>
    </w:p>
    <w:p w14:paraId="2D183B0C"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(2)</w:t>
      </w:r>
      <w:r w:rsidRPr="007A14A9">
        <w:rPr>
          <w:rFonts w:eastAsia="MS Mincho"/>
          <w:szCs w:val="24"/>
        </w:rPr>
        <w:tab/>
        <w:t xml:space="preserve">Obhospodařovatel fondu kvalifikovaných investorů nebo srovnatelného zahraničního investičního fondu oprávněný přesáhnout rozhodný limit, který využívá pákový efekt, se dopustí přestupku tím, že neosvědčí České národní bance skutečnost podle </w:t>
      </w:r>
      <w:hyperlink r:id="rId442" w:history="1">
        <w:r w:rsidRPr="007A14A9">
          <w:rPr>
            <w:rFonts w:eastAsia="MS Mincho"/>
            <w:szCs w:val="24"/>
          </w:rPr>
          <w:t>§ 287</w:t>
        </w:r>
      </w:hyperlink>
      <w:r w:rsidRPr="007A14A9">
        <w:rPr>
          <w:rFonts w:eastAsia="MS Mincho"/>
          <w:szCs w:val="24"/>
        </w:rPr>
        <w:t xml:space="preserve">. </w:t>
      </w:r>
    </w:p>
    <w:p w14:paraId="159E089D"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(3)</w:t>
      </w:r>
      <w:r w:rsidRPr="007A14A9">
        <w:rPr>
          <w:rFonts w:eastAsia="MS Mincho"/>
          <w:szCs w:val="24"/>
        </w:rPr>
        <w:tab/>
        <w:t xml:space="preserve">Obhospodařovatel podílového fondu nebo zahraničního standardního fondu srovnatelného s podílovým fondem, který splynutím vznikl, se dopustí přestupku tím, že neoznámí depozitáři tohoto fondu skutečnost podle </w:t>
      </w:r>
      <w:hyperlink r:id="rId443" w:history="1">
        <w:r w:rsidRPr="007A14A9">
          <w:rPr>
            <w:rFonts w:eastAsia="MS Mincho"/>
            <w:szCs w:val="24"/>
          </w:rPr>
          <w:t>§ 393 odst. 1</w:t>
        </w:r>
      </w:hyperlink>
      <w:r w:rsidRPr="007A14A9">
        <w:rPr>
          <w:rFonts w:eastAsia="MS Mincho"/>
          <w:szCs w:val="24"/>
        </w:rPr>
        <w:t xml:space="preserve">. </w:t>
      </w:r>
    </w:p>
    <w:p w14:paraId="6ABD2CEC"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(4)</w:t>
      </w:r>
      <w:r w:rsidRPr="007A14A9">
        <w:rPr>
          <w:rFonts w:eastAsia="MS Mincho"/>
          <w:szCs w:val="24"/>
        </w:rPr>
        <w:tab/>
        <w:t xml:space="preserve">Obhospodařovatel podílového fondu, popřípadě zahraničního investičního fondu srovnatelného se standardním fondem, který splynutím vznikl, se dopustí přestupku tím, že neposkytne dorovnání v penězích podle </w:t>
      </w:r>
      <w:hyperlink r:id="rId444" w:history="1">
        <w:r w:rsidRPr="007A14A9">
          <w:rPr>
            <w:rFonts w:eastAsia="MS Mincho"/>
            <w:szCs w:val="24"/>
          </w:rPr>
          <w:t>§ 396 odst. 1</w:t>
        </w:r>
      </w:hyperlink>
      <w:r w:rsidRPr="007A14A9">
        <w:rPr>
          <w:rFonts w:eastAsia="MS Mincho"/>
          <w:szCs w:val="24"/>
        </w:rPr>
        <w:t xml:space="preserve">. </w:t>
      </w:r>
    </w:p>
    <w:p w14:paraId="76715B48"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(5)</w:t>
      </w:r>
      <w:r w:rsidRPr="007A14A9">
        <w:rPr>
          <w:rFonts w:eastAsia="MS Mincho"/>
          <w:szCs w:val="24"/>
        </w:rPr>
        <w:tab/>
        <w:t xml:space="preserve">Obhospodařovatel přejímajícího standardního fondu nebo přejímajícího zahraničního investičního fondu srovnatelného se standardním fondem se dopustí přestupku tím, že neoznámí depozitáři tohoto fondu skutečnost podle </w:t>
      </w:r>
      <w:hyperlink r:id="rId445" w:history="1">
        <w:r w:rsidRPr="007A14A9">
          <w:rPr>
            <w:rFonts w:eastAsia="MS Mincho"/>
            <w:szCs w:val="24"/>
          </w:rPr>
          <w:t>§ 409 odst. 1</w:t>
        </w:r>
      </w:hyperlink>
      <w:r w:rsidRPr="007A14A9">
        <w:rPr>
          <w:rFonts w:eastAsia="MS Mincho"/>
          <w:szCs w:val="24"/>
        </w:rPr>
        <w:t xml:space="preserve">. </w:t>
      </w:r>
    </w:p>
    <w:p w14:paraId="75C7DB87"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(6) Za přestupek podle odstavce 2, 3, 4 nebo 5 lze uložit pokutu do </w:t>
      </w:r>
    </w:p>
    <w:p w14:paraId="0F3DCC59"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a) </w:t>
      </w:r>
      <w:r w:rsidRPr="007A14A9">
        <w:rPr>
          <w:rFonts w:eastAsia="MS Mincho"/>
          <w:szCs w:val="24"/>
        </w:rPr>
        <w:tab/>
        <w:t xml:space="preserve">150 000 000 Kč, </w:t>
      </w:r>
    </w:p>
    <w:p w14:paraId="50D52103"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b) </w:t>
      </w:r>
      <w:r w:rsidRPr="007A14A9">
        <w:rPr>
          <w:rFonts w:eastAsia="MS Mincho"/>
          <w:szCs w:val="24"/>
        </w:rPr>
        <w:tab/>
        <w:t xml:space="preserve">výše 10 % celkového ročního obratu právnické osoby podle </w:t>
      </w:r>
      <w:r w:rsidRPr="007A14A9">
        <w:rPr>
          <w:rFonts w:eastAsia="MS Mincho"/>
          <w:strike/>
          <w:szCs w:val="24"/>
        </w:rPr>
        <w:t>její poslední řádné účetní závěrky nebo konsolidované účetní závěrky</w:t>
      </w:r>
      <w:r w:rsidRPr="007A14A9">
        <w:rPr>
          <w:rFonts w:eastAsia="MS Mincho"/>
          <w:b/>
          <w:szCs w:val="24"/>
        </w:rPr>
        <w:t xml:space="preserve"> poslední řádné konsolidované účetní závěrky</w:t>
      </w:r>
      <w:r w:rsidRPr="007A14A9">
        <w:rPr>
          <w:rFonts w:eastAsia="MS Mincho"/>
          <w:szCs w:val="24"/>
        </w:rPr>
        <w:t xml:space="preserve"> </w:t>
      </w:r>
      <w:r w:rsidRPr="007A14A9">
        <w:rPr>
          <w:rFonts w:eastAsia="MS Mincho"/>
          <w:b/>
          <w:szCs w:val="24"/>
        </w:rPr>
        <w:t>konsolidačního celku, v němž je zahrnuta,</w:t>
      </w:r>
      <w:r w:rsidRPr="007A14A9">
        <w:rPr>
          <w:rFonts w:eastAsia="MS Mincho"/>
          <w:szCs w:val="24"/>
        </w:rPr>
        <w:t xml:space="preserve"> </w:t>
      </w:r>
      <w:r w:rsidRPr="007A14A9">
        <w:rPr>
          <w:rFonts w:eastAsia="MS Mincho"/>
          <w:b/>
          <w:szCs w:val="24"/>
        </w:rPr>
        <w:t>nebo řádné individuální účetní závěrky, není-li taková konsolidovaná účetní závěrka</w:t>
      </w:r>
      <w:r w:rsidRPr="007A14A9">
        <w:rPr>
          <w:rFonts w:eastAsia="MS Mincho"/>
          <w:szCs w:val="24"/>
        </w:rPr>
        <w:t xml:space="preserve">, přesahuje-li takto určená výše pokuty částku 150 000 000 Kč, nebo </w:t>
      </w:r>
    </w:p>
    <w:p w14:paraId="1B605027"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c) </w:t>
      </w:r>
      <w:r w:rsidRPr="007A14A9">
        <w:rPr>
          <w:rFonts w:eastAsia="MS Mincho"/>
          <w:szCs w:val="24"/>
        </w:rPr>
        <w:tab/>
        <w:t>výše dvojnásobku neoprávněného prospěchu získaného spácháním tohoto přestupku, je-li možné výši neoprávněného prospěchu zjistit a přesahuje-li takto určená výše pokuty částku 150 000 000 Kč.</w:t>
      </w:r>
    </w:p>
    <w:p w14:paraId="58EF9666"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(7) Za přestupek podle odstavce 1 lze uložit pokutu do </w:t>
      </w:r>
    </w:p>
    <w:p w14:paraId="7A69A3AA"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a) </w:t>
      </w:r>
      <w:r w:rsidRPr="007A14A9">
        <w:rPr>
          <w:rFonts w:eastAsia="MS Mincho"/>
          <w:szCs w:val="24"/>
        </w:rPr>
        <w:tab/>
        <w:t xml:space="preserve">300 000 000 Kč, </w:t>
      </w:r>
    </w:p>
    <w:p w14:paraId="41B89E14"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b) </w:t>
      </w:r>
      <w:r w:rsidRPr="007A14A9">
        <w:rPr>
          <w:rFonts w:eastAsia="MS Mincho"/>
          <w:szCs w:val="24"/>
        </w:rPr>
        <w:tab/>
        <w:t xml:space="preserve">výše 10 % celkového ročního obratu právnické osoby podle </w:t>
      </w:r>
      <w:r w:rsidRPr="007A14A9">
        <w:rPr>
          <w:rFonts w:eastAsia="MS Mincho"/>
          <w:strike/>
          <w:szCs w:val="24"/>
        </w:rPr>
        <w:t>její poslední řádné účetní závěrky nebo konsolidované účetní závěrky</w:t>
      </w:r>
      <w:r w:rsidRPr="007A14A9">
        <w:rPr>
          <w:rFonts w:eastAsia="MS Mincho"/>
          <w:b/>
          <w:szCs w:val="24"/>
        </w:rPr>
        <w:t xml:space="preserve"> poslední řádné konsolidované účetní závěrky</w:t>
      </w:r>
      <w:r w:rsidRPr="007A14A9">
        <w:rPr>
          <w:rFonts w:eastAsia="MS Mincho"/>
          <w:szCs w:val="24"/>
        </w:rPr>
        <w:t xml:space="preserve"> </w:t>
      </w:r>
      <w:r w:rsidRPr="007A14A9">
        <w:rPr>
          <w:rFonts w:eastAsia="MS Mincho"/>
          <w:b/>
          <w:szCs w:val="24"/>
        </w:rPr>
        <w:t>konsolidačního celku, v němž je zahrnuta,</w:t>
      </w:r>
      <w:r w:rsidRPr="007A14A9">
        <w:rPr>
          <w:rFonts w:eastAsia="MS Mincho"/>
          <w:szCs w:val="24"/>
        </w:rPr>
        <w:t xml:space="preserve"> </w:t>
      </w:r>
      <w:r w:rsidRPr="007A14A9">
        <w:rPr>
          <w:rFonts w:eastAsia="MS Mincho"/>
          <w:b/>
          <w:szCs w:val="24"/>
        </w:rPr>
        <w:t>nebo řádné individuální účetní závěrky, není-li taková konsolidovaná účetní závěrka</w:t>
      </w:r>
      <w:r w:rsidRPr="007A14A9">
        <w:rPr>
          <w:rFonts w:eastAsia="MS Mincho"/>
          <w:szCs w:val="24"/>
        </w:rPr>
        <w:t xml:space="preserve">, přesahuje-li takto určená výše pokuty částku 300 000 000 Kč, nebo </w:t>
      </w:r>
    </w:p>
    <w:p w14:paraId="62953FB4"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c) </w:t>
      </w:r>
      <w:r w:rsidRPr="007A14A9">
        <w:rPr>
          <w:rFonts w:eastAsia="MS Mincho"/>
          <w:szCs w:val="24"/>
        </w:rPr>
        <w:tab/>
        <w:t xml:space="preserve">výše dvojnásobku neoprávněného prospěchu získaného spácháním tohoto přestupku, je-li možné výši neoprávněného prospěchu zjistit a přesahuje-li takto určená výše pokuty částku 300 000 000 Kč. </w:t>
      </w:r>
    </w:p>
    <w:p w14:paraId="12B9BF73"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(8) Za přestupek podle odstavce 1, 2, 3, 4 nebo 5 lze namísto pokuty nebo spolu s pokutou nařídit uveřejnění informace o tom, jaká je povaha protiprávního jednání a která osoba takto jednala. </w:t>
      </w:r>
    </w:p>
    <w:p w14:paraId="7AF25732" w14:textId="77777777" w:rsidR="007A14A9" w:rsidRPr="007A14A9" w:rsidRDefault="007A14A9" w:rsidP="007A14A9">
      <w:pPr>
        <w:keepNext/>
        <w:keepLines/>
        <w:ind w:firstLine="0"/>
        <w:jc w:val="center"/>
        <w:outlineLvl w:val="5"/>
        <w:rPr>
          <w:rFonts w:eastAsia="MS Mincho"/>
          <w:szCs w:val="24"/>
        </w:rPr>
      </w:pPr>
      <w:r w:rsidRPr="007A14A9">
        <w:lastRenderedPageBreak/>
        <w:t>§ 603</w:t>
      </w:r>
      <w:r w:rsidRPr="007A14A9">
        <w:rPr>
          <w:rFonts w:eastAsia="MS Mincho"/>
          <w:szCs w:val="24"/>
        </w:rPr>
        <w:t xml:space="preserve"> </w:t>
      </w:r>
    </w:p>
    <w:p w14:paraId="3E0810C0"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(1) Obhospodařovatel přejímajícího podílového fondu nebo přejímajícího zahraničního investičního fondu srovnatelného se standardním fondem se dopustí přestupku tím, že neposkytne dorovnání v penězích podle </w:t>
      </w:r>
      <w:hyperlink r:id="rId446" w:history="1">
        <w:r w:rsidRPr="007A14A9">
          <w:rPr>
            <w:rFonts w:eastAsia="MS Mincho"/>
            <w:szCs w:val="24"/>
          </w:rPr>
          <w:t>§ 412 odst. 1</w:t>
        </w:r>
      </w:hyperlink>
      <w:r w:rsidRPr="007A14A9">
        <w:rPr>
          <w:rFonts w:eastAsia="MS Mincho"/>
          <w:szCs w:val="24"/>
        </w:rPr>
        <w:t xml:space="preserve">. </w:t>
      </w:r>
    </w:p>
    <w:p w14:paraId="56776BB1"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(2) Obhospodařovatel akciové společnosti, na kterou se podílový fond přeměnil, se dopustí přestupku tím, že neposkytne dorovnání v penězích podle </w:t>
      </w:r>
      <w:hyperlink r:id="rId447" w:history="1">
        <w:r w:rsidRPr="007A14A9">
          <w:rPr>
            <w:rFonts w:eastAsia="MS Mincho"/>
            <w:szCs w:val="24"/>
          </w:rPr>
          <w:t>§ 423 odst. 1</w:t>
        </w:r>
      </w:hyperlink>
      <w:r w:rsidRPr="007A14A9">
        <w:rPr>
          <w:rFonts w:eastAsia="MS Mincho"/>
          <w:szCs w:val="24"/>
        </w:rPr>
        <w:t xml:space="preserve">. </w:t>
      </w:r>
    </w:p>
    <w:p w14:paraId="3E6B4C41"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(3) Obhospodařovatel podřízeného fondu se dopustí přestupku tím, že investuje prostředky tohoto fondu v rozporu s </w:t>
      </w:r>
      <w:hyperlink r:id="rId448" w:history="1">
        <w:r w:rsidRPr="007A14A9">
          <w:rPr>
            <w:rFonts w:eastAsia="MS Mincho"/>
            <w:szCs w:val="24"/>
          </w:rPr>
          <w:t>§ 433 odst. 3</w:t>
        </w:r>
      </w:hyperlink>
      <w:r w:rsidRPr="007A14A9">
        <w:rPr>
          <w:rFonts w:eastAsia="MS Mincho"/>
          <w:szCs w:val="24"/>
        </w:rPr>
        <w:t xml:space="preserve">. </w:t>
      </w:r>
    </w:p>
    <w:p w14:paraId="3559231E"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(4)</w:t>
      </w:r>
      <w:r w:rsidRPr="007A14A9">
        <w:rPr>
          <w:rFonts w:eastAsia="MS Mincho"/>
          <w:szCs w:val="24"/>
        </w:rPr>
        <w:tab/>
        <w:t xml:space="preserve">Ten, kdo vykonává pro přeměněný investičního fond bez právní osobnosti činnost srovnatelnou s činností obhospodařovatele, se dopustí přestupku tím, že neposkytne dorovnání v penězích podle </w:t>
      </w:r>
      <w:hyperlink r:id="rId449" w:history="1">
        <w:r w:rsidRPr="007A14A9">
          <w:rPr>
            <w:rFonts w:eastAsia="MS Mincho"/>
            <w:szCs w:val="24"/>
          </w:rPr>
          <w:t>§ 453 odst. 1</w:t>
        </w:r>
      </w:hyperlink>
      <w:r w:rsidRPr="007A14A9">
        <w:rPr>
          <w:rFonts w:eastAsia="MS Mincho"/>
          <w:szCs w:val="24"/>
        </w:rPr>
        <w:t xml:space="preserve">. </w:t>
      </w:r>
    </w:p>
    <w:p w14:paraId="37A51702"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(5) Obhospodařovatel standardního fondu, který postupuje podle </w:t>
      </w:r>
      <w:hyperlink r:id="rId450" w:history="1">
        <w:r w:rsidRPr="007A14A9">
          <w:rPr>
            <w:rFonts w:eastAsia="MS Mincho"/>
            <w:szCs w:val="24"/>
          </w:rPr>
          <w:t xml:space="preserve">§ </w:t>
        </w:r>
        <w:proofErr w:type="gramStart"/>
        <w:r w:rsidRPr="007A14A9">
          <w:rPr>
            <w:rFonts w:eastAsia="MS Mincho"/>
            <w:szCs w:val="24"/>
          </w:rPr>
          <w:t>666 až</w:t>
        </w:r>
        <w:proofErr w:type="gramEnd"/>
        <w:r w:rsidRPr="007A14A9">
          <w:rPr>
            <w:rFonts w:eastAsia="MS Mincho"/>
            <w:szCs w:val="24"/>
          </w:rPr>
          <w:t xml:space="preserve"> 675</w:t>
        </w:r>
      </w:hyperlink>
      <w:r w:rsidRPr="007A14A9">
        <w:rPr>
          <w:rFonts w:eastAsia="MS Mincho"/>
          <w:szCs w:val="24"/>
        </w:rPr>
        <w:t xml:space="preserve"> se dopustí přestupku tím, že nesplní některou z povinností podle </w:t>
      </w:r>
      <w:hyperlink r:id="rId451" w:history="1">
        <w:r w:rsidRPr="007A14A9">
          <w:rPr>
            <w:rFonts w:eastAsia="MS Mincho"/>
            <w:szCs w:val="24"/>
          </w:rPr>
          <w:t>§ 671 odst. 1</w:t>
        </w:r>
      </w:hyperlink>
      <w:r w:rsidRPr="007A14A9">
        <w:rPr>
          <w:rFonts w:eastAsia="MS Mincho"/>
          <w:szCs w:val="24"/>
        </w:rPr>
        <w:t xml:space="preserve">. </w:t>
      </w:r>
    </w:p>
    <w:p w14:paraId="53706AC9"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(6) Za přestupek podle odstavce 1, 2, 4 nebo 5 lze uložit pokutu do </w:t>
      </w:r>
    </w:p>
    <w:p w14:paraId="1ABD90AA"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a) </w:t>
      </w:r>
      <w:r w:rsidRPr="007A14A9">
        <w:rPr>
          <w:rFonts w:eastAsia="MS Mincho"/>
          <w:szCs w:val="24"/>
        </w:rPr>
        <w:tab/>
        <w:t xml:space="preserve">150 000 000 Kč, </w:t>
      </w:r>
    </w:p>
    <w:p w14:paraId="756395F5"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b) </w:t>
      </w:r>
      <w:r w:rsidRPr="007A14A9">
        <w:rPr>
          <w:rFonts w:eastAsia="MS Mincho"/>
          <w:szCs w:val="24"/>
        </w:rPr>
        <w:tab/>
        <w:t xml:space="preserve">výše 10 % celkového ročního obratu právnické osoby podle </w:t>
      </w:r>
      <w:r w:rsidRPr="007A14A9">
        <w:rPr>
          <w:rFonts w:eastAsia="MS Mincho"/>
          <w:strike/>
          <w:szCs w:val="24"/>
        </w:rPr>
        <w:t>její poslední řádné účetní závěrky nebo konsolidované účetní závěrky</w:t>
      </w:r>
      <w:r w:rsidRPr="007A14A9">
        <w:rPr>
          <w:rFonts w:eastAsia="MS Mincho"/>
          <w:b/>
          <w:szCs w:val="24"/>
        </w:rPr>
        <w:t xml:space="preserve"> poslední řádné konsolidované účetní závěrky</w:t>
      </w:r>
      <w:r w:rsidRPr="007A14A9">
        <w:rPr>
          <w:rFonts w:eastAsia="MS Mincho"/>
          <w:szCs w:val="24"/>
        </w:rPr>
        <w:t xml:space="preserve"> </w:t>
      </w:r>
      <w:r w:rsidRPr="007A14A9">
        <w:rPr>
          <w:rFonts w:eastAsia="MS Mincho"/>
          <w:b/>
          <w:szCs w:val="24"/>
        </w:rPr>
        <w:t>konsolidačního celku, v němž je zahrnuta,</w:t>
      </w:r>
      <w:r w:rsidRPr="007A14A9">
        <w:rPr>
          <w:rFonts w:eastAsia="MS Mincho"/>
          <w:szCs w:val="24"/>
        </w:rPr>
        <w:t xml:space="preserve"> </w:t>
      </w:r>
      <w:r w:rsidRPr="007A14A9">
        <w:rPr>
          <w:rFonts w:eastAsia="MS Mincho"/>
          <w:b/>
          <w:szCs w:val="24"/>
        </w:rPr>
        <w:t>nebo řádné individuální účetní závěrky, není-li taková konsolidovaná účetní závěrka</w:t>
      </w:r>
      <w:r w:rsidRPr="007A14A9">
        <w:rPr>
          <w:rFonts w:eastAsia="MS Mincho"/>
          <w:szCs w:val="24"/>
        </w:rPr>
        <w:t xml:space="preserve">, přesahuje-li takto určená výše pokuty částku 150 000 000 Kč, nebo </w:t>
      </w:r>
    </w:p>
    <w:p w14:paraId="087CCDCB"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c) </w:t>
      </w:r>
      <w:r w:rsidRPr="007A14A9">
        <w:rPr>
          <w:rFonts w:eastAsia="MS Mincho"/>
          <w:szCs w:val="24"/>
        </w:rPr>
        <w:tab/>
        <w:t xml:space="preserve">výše dvojnásobku neoprávněného prospěchu získaného spácháním tohoto přestupku, je-li možno výši neoprávněného prospěchu zjistit a přesahuje-li takto určená výše pokuty částku 150 000 000 Kč. </w:t>
      </w:r>
    </w:p>
    <w:p w14:paraId="36EFACE7"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(7) Za přestupek podle odstavce 3 lze uložit pokutu do </w:t>
      </w:r>
    </w:p>
    <w:p w14:paraId="23C8F0B0"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a) </w:t>
      </w:r>
      <w:r w:rsidRPr="007A14A9">
        <w:rPr>
          <w:rFonts w:eastAsia="MS Mincho"/>
          <w:szCs w:val="24"/>
        </w:rPr>
        <w:tab/>
        <w:t xml:space="preserve">300 000 000 Kč, </w:t>
      </w:r>
    </w:p>
    <w:p w14:paraId="6EC65073"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b) </w:t>
      </w:r>
      <w:r w:rsidRPr="007A14A9">
        <w:rPr>
          <w:rFonts w:eastAsia="MS Mincho"/>
          <w:szCs w:val="24"/>
        </w:rPr>
        <w:tab/>
        <w:t xml:space="preserve">výše 10 % celkového ročního obratu právnické osoby podle </w:t>
      </w:r>
      <w:r w:rsidRPr="007A14A9">
        <w:rPr>
          <w:rFonts w:eastAsia="MS Mincho"/>
          <w:strike/>
          <w:szCs w:val="24"/>
        </w:rPr>
        <w:t>její poslední řádné účetní závěrky nebo konsolidované účetní závěrky</w:t>
      </w:r>
      <w:r w:rsidRPr="007A14A9">
        <w:rPr>
          <w:rFonts w:eastAsia="MS Mincho"/>
          <w:b/>
          <w:szCs w:val="24"/>
        </w:rPr>
        <w:t xml:space="preserve"> poslední řádné konsolidované účetní závěrky</w:t>
      </w:r>
      <w:r w:rsidRPr="007A14A9">
        <w:rPr>
          <w:rFonts w:eastAsia="MS Mincho"/>
          <w:szCs w:val="24"/>
        </w:rPr>
        <w:t xml:space="preserve"> </w:t>
      </w:r>
      <w:r w:rsidRPr="007A14A9">
        <w:rPr>
          <w:rFonts w:eastAsia="MS Mincho"/>
          <w:b/>
          <w:szCs w:val="24"/>
        </w:rPr>
        <w:t>konsolidačního celku, v němž je zahrnuta,</w:t>
      </w:r>
      <w:r w:rsidRPr="007A14A9">
        <w:rPr>
          <w:rFonts w:eastAsia="MS Mincho"/>
          <w:szCs w:val="24"/>
        </w:rPr>
        <w:t xml:space="preserve"> </w:t>
      </w:r>
      <w:r w:rsidRPr="007A14A9">
        <w:rPr>
          <w:rFonts w:eastAsia="MS Mincho"/>
          <w:b/>
          <w:szCs w:val="24"/>
        </w:rPr>
        <w:t>nebo řádné individuální účetní závěrky, není-li taková konsolidovaná účetní závěrka</w:t>
      </w:r>
      <w:r w:rsidRPr="007A14A9">
        <w:rPr>
          <w:rFonts w:eastAsia="MS Mincho"/>
          <w:szCs w:val="24"/>
        </w:rPr>
        <w:t xml:space="preserve">, přesahuje-li takto určená výše pokuty částku 300 000 000 Kč, nebo </w:t>
      </w:r>
    </w:p>
    <w:p w14:paraId="490934AD"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c) </w:t>
      </w:r>
      <w:r w:rsidRPr="007A14A9">
        <w:rPr>
          <w:rFonts w:eastAsia="MS Mincho"/>
          <w:szCs w:val="24"/>
        </w:rPr>
        <w:tab/>
        <w:t xml:space="preserve">výše dvojnásobku neoprávněného prospěchu získaného spácháním tohoto přestupku, je-li možné výši neoprávněného prospěchu zjistit a přesahuje-li takto určená výše pokuty částku 300 000 000 Kč. </w:t>
      </w:r>
    </w:p>
    <w:p w14:paraId="2AF3DFF4" w14:textId="0082E6E3" w:rsidR="007A14A9" w:rsidRPr="007A14A9" w:rsidRDefault="007A14A9" w:rsidP="00554FBC">
      <w:pPr>
        <w:tabs>
          <w:tab w:val="left" w:pos="782"/>
          <w:tab w:val="left" w:pos="851"/>
        </w:tabs>
        <w:spacing w:before="120" w:after="120"/>
        <w:outlineLvl w:val="6"/>
        <w:rPr>
          <w:rFonts w:eastAsia="MS Mincho"/>
          <w:szCs w:val="24"/>
        </w:rPr>
      </w:pPr>
      <w:r w:rsidRPr="007A14A9">
        <w:rPr>
          <w:rFonts w:eastAsia="MS Mincho"/>
          <w:szCs w:val="24"/>
        </w:rPr>
        <w:t xml:space="preserve">(8) Za přestupek podle odstavce 1, 2, 3, 4 nebo 5 lze namísto pokuty nebo spolu s pokutou nařídit uveřejnění informace o tom, jaká je povaha protiprávního jednání a která osoba takto jednala. </w:t>
      </w:r>
    </w:p>
    <w:p w14:paraId="68E36071" w14:textId="77777777" w:rsidR="007A14A9" w:rsidRPr="007A14A9" w:rsidRDefault="007A14A9" w:rsidP="007A14A9">
      <w:pPr>
        <w:widowControl w:val="0"/>
        <w:autoSpaceDE w:val="0"/>
        <w:autoSpaceDN w:val="0"/>
        <w:adjustRightInd w:val="0"/>
        <w:spacing w:before="0"/>
        <w:ind w:firstLine="0"/>
        <w:jc w:val="center"/>
        <w:rPr>
          <w:rFonts w:eastAsia="MS Mincho"/>
          <w:b/>
          <w:bCs/>
          <w:szCs w:val="24"/>
        </w:rPr>
      </w:pPr>
      <w:r w:rsidRPr="007A14A9">
        <w:rPr>
          <w:rFonts w:eastAsia="MS Mincho"/>
          <w:b/>
          <w:bCs/>
          <w:szCs w:val="24"/>
        </w:rPr>
        <w:t xml:space="preserve">Díl 2 </w:t>
      </w:r>
    </w:p>
    <w:p w14:paraId="75F7BB5B" w14:textId="77777777" w:rsidR="007A14A9" w:rsidRPr="007A14A9" w:rsidRDefault="007A14A9" w:rsidP="007A14A9">
      <w:pPr>
        <w:keepNext/>
        <w:keepLines/>
        <w:ind w:firstLine="0"/>
        <w:jc w:val="center"/>
        <w:outlineLvl w:val="5"/>
        <w:rPr>
          <w:b/>
        </w:rPr>
      </w:pPr>
      <w:r w:rsidRPr="007A14A9">
        <w:rPr>
          <w:b/>
        </w:rPr>
        <w:t xml:space="preserve">Přestupky administrátora </w:t>
      </w:r>
    </w:p>
    <w:p w14:paraId="3BDB9496" w14:textId="77777777" w:rsidR="007A14A9" w:rsidRPr="007A14A9" w:rsidRDefault="007A14A9" w:rsidP="007A14A9">
      <w:pPr>
        <w:keepNext/>
        <w:keepLines/>
        <w:ind w:firstLine="0"/>
        <w:jc w:val="center"/>
        <w:outlineLvl w:val="5"/>
      </w:pPr>
      <w:r w:rsidRPr="007A14A9">
        <w:t xml:space="preserve">§ 604 </w:t>
      </w:r>
    </w:p>
    <w:p w14:paraId="71E00226"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(1)</w:t>
      </w:r>
      <w:r w:rsidRPr="007A14A9">
        <w:rPr>
          <w:rFonts w:eastAsia="MS Mincho"/>
          <w:szCs w:val="24"/>
        </w:rPr>
        <w:tab/>
        <w:t xml:space="preserve">Administrátor investičního fondu nebo zahraničního investičního fondu se dopustí přestupku tím, že </w:t>
      </w:r>
    </w:p>
    <w:p w14:paraId="39BF6CD5" w14:textId="77777777" w:rsidR="007A14A9" w:rsidRPr="007A14A9" w:rsidRDefault="007A14A9" w:rsidP="00554FBC">
      <w:pPr>
        <w:keepNext/>
        <w:keepLines/>
        <w:pBdr>
          <w:top w:val="single" w:sz="12" w:space="1" w:color="0070C0"/>
          <w:left w:val="single" w:sz="12" w:space="4" w:color="0070C0"/>
          <w:bottom w:val="single" w:sz="12" w:space="1" w:color="0070C0"/>
          <w:right w:val="single" w:sz="12" w:space="4" w:color="0070C0"/>
        </w:pBdr>
        <w:spacing w:before="0" w:after="120"/>
        <w:ind w:left="284" w:hanging="284"/>
        <w:rPr>
          <w:szCs w:val="24"/>
        </w:rPr>
      </w:pPr>
      <w:r w:rsidRPr="007A14A9">
        <w:rPr>
          <w:rFonts w:eastAsia="MS Mincho"/>
          <w:szCs w:val="24"/>
        </w:rPr>
        <w:lastRenderedPageBreak/>
        <w:t>a) nesplní některou z povinností nebo poruší některý ze zákazů podle čl. 3 až 38 nařízení Komise (EU) č. 583/2010, čl. 1 a přílohy I nařízení Komise (EU) č. 584/2010, čl. 2 až 111 nařízení Komise v přenesené pravomoci (EU) č. 231/2013, v platném znění, čl. 5, 6, čl. 7 písm. a) nebo b) nebo čl. 12 až 14a nařízení Evropského parlamentu a Rady (EU) č. 345/2013, v platném znění, čl. 5, 6, čl. 7 písm. a) nebo b) nebo čl. 13 až 15a nařízení Evropského parlamentu a Rady (EU) č. 346/2013, v platném znění, čl. 3 až 31 nařízení Evropského parlamentu a Rady (EU) 2015/760</w:t>
      </w:r>
      <w:r w:rsidRPr="00554FBC">
        <w:rPr>
          <w:rFonts w:eastAsia="MS Mincho"/>
          <w:b/>
          <w:color w:val="0070C0"/>
          <w:szCs w:val="24"/>
        </w:rPr>
        <w:t>, v platném znění</w:t>
      </w:r>
      <w:r w:rsidRPr="007A14A9">
        <w:rPr>
          <w:rFonts w:eastAsia="MS Mincho"/>
          <w:szCs w:val="24"/>
        </w:rPr>
        <w:t>, čl. 13 nebo 14 nařízení Evropského parlamentu a Rady (EU) 2015/2365, čl. 2 až 24 nařízení Komise v přenesené pravomoci (EU) č. 438/2016, v platném znění, podle</w:t>
      </w:r>
      <w:r w:rsidRPr="007A14A9">
        <w:rPr>
          <w:szCs w:val="24"/>
        </w:rPr>
        <w:t xml:space="preserve"> čl. 4 až 6, 9 až 21 nebo čl. 23 až 36 nařízení Evropského parlamentu a Rady (EU) 2017/1131, v platném znění, podle čl. 3 až 13 nařízení Evropského parlamentu a Rady (EU) 2019/2088, nebo podle čl. 5 až 7 nařízení Evropského parlamentu a Rady (EU) 2020/852 ve vztahu k výkonu činnosti, kterou zahrnuje administrace investičního fondu nebo zahraničního investičního fondu,</w:t>
      </w:r>
    </w:p>
    <w:p w14:paraId="7FBEF91F"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b) </w:t>
      </w:r>
      <w:r w:rsidRPr="007A14A9">
        <w:rPr>
          <w:rFonts w:eastAsia="MS Mincho"/>
          <w:szCs w:val="24"/>
        </w:rPr>
        <w:tab/>
        <w:t xml:space="preserve">v rozporu s </w:t>
      </w:r>
      <w:hyperlink r:id="rId452" w:history="1">
        <w:r w:rsidRPr="007A14A9">
          <w:rPr>
            <w:rFonts w:eastAsia="MS Mincho"/>
            <w:szCs w:val="24"/>
          </w:rPr>
          <w:t>§ 45</w:t>
        </w:r>
      </w:hyperlink>
      <w:r w:rsidRPr="007A14A9">
        <w:rPr>
          <w:rFonts w:eastAsia="MS Mincho"/>
          <w:szCs w:val="24"/>
        </w:rPr>
        <w:t xml:space="preserve"> neprovádí administraci tohoto fondu s odbornou péčí, </w:t>
      </w:r>
    </w:p>
    <w:p w14:paraId="5C6820FB"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c) </w:t>
      </w:r>
      <w:r w:rsidRPr="007A14A9">
        <w:rPr>
          <w:rFonts w:eastAsia="MS Mincho"/>
          <w:szCs w:val="24"/>
        </w:rPr>
        <w:tab/>
        <w:t xml:space="preserve">v rozporu s </w:t>
      </w:r>
      <w:hyperlink r:id="rId453" w:history="1">
        <w:r w:rsidRPr="007A14A9">
          <w:rPr>
            <w:rFonts w:eastAsia="MS Mincho"/>
            <w:szCs w:val="24"/>
          </w:rPr>
          <w:t>§ 46 odst. 1</w:t>
        </w:r>
      </w:hyperlink>
      <w:r w:rsidRPr="007A14A9">
        <w:rPr>
          <w:rFonts w:eastAsia="MS Mincho"/>
          <w:szCs w:val="24"/>
        </w:rPr>
        <w:t xml:space="preserve"> nevykonává činnost řádně a obezřetně, </w:t>
      </w:r>
    </w:p>
    <w:p w14:paraId="21C62DCE"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d) </w:t>
      </w:r>
      <w:r w:rsidRPr="007A14A9">
        <w:rPr>
          <w:rFonts w:eastAsia="MS Mincho"/>
          <w:szCs w:val="24"/>
        </w:rPr>
        <w:tab/>
        <w:t xml:space="preserve">v rozporu s </w:t>
      </w:r>
      <w:hyperlink r:id="rId454" w:history="1">
        <w:r w:rsidRPr="007A14A9">
          <w:rPr>
            <w:rFonts w:eastAsia="MS Mincho"/>
            <w:szCs w:val="24"/>
          </w:rPr>
          <w:t>§ 46 odst. 2</w:t>
        </w:r>
      </w:hyperlink>
      <w:r w:rsidRPr="007A14A9">
        <w:rPr>
          <w:rFonts w:eastAsia="MS Mincho"/>
          <w:szCs w:val="24"/>
        </w:rPr>
        <w:t xml:space="preserve"> nezavede, neudržuje nebo neuplatňuje řídicí a kontrolní systém, </w:t>
      </w:r>
    </w:p>
    <w:p w14:paraId="4AD7EB89"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e) </w:t>
      </w:r>
      <w:r w:rsidRPr="007A14A9">
        <w:rPr>
          <w:rFonts w:eastAsia="MS Mincho"/>
          <w:szCs w:val="24"/>
        </w:rPr>
        <w:tab/>
        <w:t xml:space="preserve">nezajistí, aby jeho řídicí a kontrolní systém splňoval požadavky plynoucí z </w:t>
      </w:r>
      <w:hyperlink r:id="rId455" w:history="1">
        <w:r w:rsidRPr="007A14A9">
          <w:rPr>
            <w:rFonts w:eastAsia="MS Mincho"/>
            <w:szCs w:val="24"/>
          </w:rPr>
          <w:t>§ 47 odst. 1, 2 nebo 3</w:t>
        </w:r>
      </w:hyperlink>
      <w:r w:rsidRPr="007A14A9">
        <w:rPr>
          <w:rFonts w:eastAsia="MS Mincho"/>
          <w:szCs w:val="24"/>
        </w:rPr>
        <w:t xml:space="preserve">, </w:t>
      </w:r>
    </w:p>
    <w:p w14:paraId="5873CD58"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f) </w:t>
      </w:r>
      <w:r w:rsidRPr="007A14A9">
        <w:rPr>
          <w:rFonts w:eastAsia="MS Mincho"/>
          <w:szCs w:val="24"/>
        </w:rPr>
        <w:tab/>
        <w:t xml:space="preserve">nejedná podle </w:t>
      </w:r>
      <w:hyperlink r:id="rId456" w:history="1">
        <w:r w:rsidRPr="007A14A9">
          <w:rPr>
            <w:rFonts w:eastAsia="MS Mincho"/>
            <w:szCs w:val="24"/>
          </w:rPr>
          <w:t>§ 47 odst. 4</w:t>
        </w:r>
      </w:hyperlink>
      <w:r w:rsidRPr="007A14A9">
        <w:rPr>
          <w:rFonts w:eastAsia="MS Mincho"/>
          <w:szCs w:val="24"/>
        </w:rPr>
        <w:t xml:space="preserve">, </w:t>
      </w:r>
    </w:p>
    <w:p w14:paraId="6D999C5B"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g) </w:t>
      </w:r>
      <w:r w:rsidRPr="007A14A9">
        <w:rPr>
          <w:rFonts w:eastAsia="MS Mincho"/>
          <w:szCs w:val="24"/>
        </w:rPr>
        <w:tab/>
        <w:t xml:space="preserve">nezavede, neudržuje nebo neuplatňuje mechanismus k hlášení podle </w:t>
      </w:r>
      <w:hyperlink r:id="rId457" w:history="1">
        <w:r w:rsidRPr="007A14A9">
          <w:rPr>
            <w:rFonts w:eastAsia="MS Mincho"/>
            <w:szCs w:val="24"/>
          </w:rPr>
          <w:t>§ 47a</w:t>
        </w:r>
      </w:hyperlink>
      <w:r w:rsidRPr="007A14A9">
        <w:rPr>
          <w:rFonts w:eastAsia="MS Mincho"/>
          <w:szCs w:val="24"/>
        </w:rPr>
        <w:t xml:space="preserve"> a </w:t>
      </w:r>
      <w:hyperlink r:id="rId458" w:history="1">
        <w:r w:rsidRPr="007A14A9">
          <w:rPr>
            <w:rFonts w:eastAsia="MS Mincho"/>
            <w:szCs w:val="24"/>
          </w:rPr>
          <w:t>20a</w:t>
        </w:r>
      </w:hyperlink>
      <w:r w:rsidRPr="007A14A9">
        <w:rPr>
          <w:rFonts w:eastAsia="MS Mincho"/>
          <w:szCs w:val="24"/>
        </w:rPr>
        <w:t xml:space="preserve">, </w:t>
      </w:r>
    </w:p>
    <w:p w14:paraId="391044C6" w14:textId="77777777" w:rsidR="007A14A9" w:rsidRPr="007A14A9" w:rsidRDefault="007A14A9" w:rsidP="00554FBC">
      <w:pPr>
        <w:pBdr>
          <w:top w:val="single" w:sz="12" w:space="1" w:color="0070C0"/>
          <w:left w:val="single" w:sz="12" w:space="4" w:color="0070C0"/>
          <w:bottom w:val="single" w:sz="12" w:space="1" w:color="0070C0"/>
          <w:right w:val="single" w:sz="12" w:space="4" w:color="0070C0"/>
        </w:pBdr>
        <w:spacing w:before="0"/>
        <w:ind w:left="425" w:hanging="425"/>
        <w:outlineLvl w:val="7"/>
        <w:rPr>
          <w:rFonts w:eastAsia="MS Mincho"/>
          <w:szCs w:val="24"/>
        </w:rPr>
      </w:pPr>
      <w:r w:rsidRPr="007A14A9">
        <w:rPr>
          <w:rFonts w:eastAsia="MS Mincho"/>
          <w:szCs w:val="24"/>
        </w:rPr>
        <w:t>h)</w:t>
      </w:r>
      <w:r w:rsidRPr="007A14A9">
        <w:rPr>
          <w:rFonts w:eastAsia="MS Mincho"/>
          <w:szCs w:val="24"/>
        </w:rPr>
        <w:tab/>
        <w:t xml:space="preserve">nezajistí, aby jeho personální </w:t>
      </w:r>
      <w:r w:rsidRPr="00554FBC">
        <w:rPr>
          <w:rFonts w:eastAsia="MS Mincho"/>
          <w:b/>
          <w:color w:val="0070C0"/>
          <w:szCs w:val="24"/>
        </w:rPr>
        <w:t>zdroje splňovaly</w:t>
      </w:r>
      <w:r w:rsidRPr="007A14A9">
        <w:rPr>
          <w:rFonts w:eastAsia="MS Mincho"/>
          <w:color w:val="0070C0"/>
          <w:szCs w:val="24"/>
        </w:rPr>
        <w:t xml:space="preserve"> </w:t>
      </w:r>
      <w:r w:rsidRPr="007A14A9">
        <w:rPr>
          <w:rFonts w:eastAsia="MS Mincho"/>
          <w:szCs w:val="24"/>
        </w:rPr>
        <w:t xml:space="preserve">požadavky plynoucí z </w:t>
      </w:r>
      <w:hyperlink r:id="rId459" w:history="1">
        <w:r w:rsidRPr="007A14A9">
          <w:rPr>
            <w:rFonts w:eastAsia="MS Mincho"/>
            <w:szCs w:val="24"/>
          </w:rPr>
          <w:t>§ 48</w:t>
        </w:r>
      </w:hyperlink>
      <w:r w:rsidRPr="007A14A9">
        <w:rPr>
          <w:rFonts w:eastAsia="MS Mincho"/>
          <w:szCs w:val="24"/>
        </w:rPr>
        <w:t xml:space="preserve">, </w:t>
      </w:r>
    </w:p>
    <w:p w14:paraId="402B2131"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i) </w:t>
      </w:r>
      <w:r w:rsidRPr="007A14A9">
        <w:rPr>
          <w:rFonts w:eastAsia="MS Mincho"/>
          <w:szCs w:val="24"/>
        </w:rPr>
        <w:tab/>
        <w:t xml:space="preserve">poruší některé z pravidel jednání plynoucích z </w:t>
      </w:r>
      <w:hyperlink r:id="rId460" w:history="1">
        <w:r w:rsidRPr="007A14A9">
          <w:rPr>
            <w:rFonts w:eastAsia="MS Mincho"/>
            <w:szCs w:val="24"/>
          </w:rPr>
          <w:t>§ 49</w:t>
        </w:r>
      </w:hyperlink>
      <w:r w:rsidRPr="007A14A9">
        <w:rPr>
          <w:rFonts w:eastAsia="MS Mincho"/>
          <w:szCs w:val="24"/>
        </w:rPr>
        <w:t xml:space="preserve">, </w:t>
      </w:r>
    </w:p>
    <w:p w14:paraId="51A536A8"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j) </w:t>
      </w:r>
      <w:r w:rsidRPr="007A14A9">
        <w:rPr>
          <w:rFonts w:eastAsia="MS Mincho"/>
          <w:szCs w:val="24"/>
        </w:rPr>
        <w:tab/>
        <w:t xml:space="preserve">pověří jiného výkonem jednotlivé činnosti, kterou zahrnuje administrace tohoto fondu, v rozporu s některou z podmínek uvedených v </w:t>
      </w:r>
      <w:hyperlink r:id="rId461" w:history="1">
        <w:r w:rsidRPr="007A14A9">
          <w:rPr>
            <w:rFonts w:eastAsia="MS Mincho"/>
            <w:szCs w:val="24"/>
          </w:rPr>
          <w:t>§ 50 až 52</w:t>
        </w:r>
      </w:hyperlink>
      <w:r w:rsidRPr="007A14A9">
        <w:rPr>
          <w:rFonts w:eastAsia="MS Mincho"/>
          <w:szCs w:val="24"/>
        </w:rPr>
        <w:t xml:space="preserve">, </w:t>
      </w:r>
    </w:p>
    <w:p w14:paraId="4A2EAD69"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k) </w:t>
      </w:r>
      <w:r w:rsidRPr="007A14A9">
        <w:rPr>
          <w:rFonts w:eastAsia="MS Mincho"/>
          <w:szCs w:val="24"/>
        </w:rPr>
        <w:tab/>
        <w:t xml:space="preserve">nezajistí vedení evidence podle </w:t>
      </w:r>
      <w:hyperlink r:id="rId462" w:history="1">
        <w:r w:rsidRPr="007A14A9">
          <w:rPr>
            <w:rFonts w:eastAsia="MS Mincho"/>
            <w:szCs w:val="24"/>
          </w:rPr>
          <w:t>§ 54</w:t>
        </w:r>
      </w:hyperlink>
      <w:r w:rsidRPr="007A14A9">
        <w:rPr>
          <w:rFonts w:eastAsia="MS Mincho"/>
          <w:szCs w:val="24"/>
        </w:rPr>
        <w:t xml:space="preserve">, </w:t>
      </w:r>
    </w:p>
    <w:p w14:paraId="7BBF81F0"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l) </w:t>
      </w:r>
      <w:r w:rsidRPr="007A14A9">
        <w:rPr>
          <w:rFonts w:eastAsia="MS Mincho"/>
          <w:szCs w:val="24"/>
        </w:rPr>
        <w:tab/>
        <w:t xml:space="preserve">neposkytne České národní bance některý z dokumentů podle </w:t>
      </w:r>
      <w:hyperlink r:id="rId463" w:history="1">
        <w:r w:rsidRPr="007A14A9">
          <w:rPr>
            <w:rFonts w:eastAsia="MS Mincho"/>
            <w:szCs w:val="24"/>
          </w:rPr>
          <w:t>§ 455 odst. 2</w:t>
        </w:r>
      </w:hyperlink>
      <w:r w:rsidRPr="007A14A9">
        <w:rPr>
          <w:rFonts w:eastAsia="MS Mincho"/>
          <w:szCs w:val="24"/>
        </w:rPr>
        <w:t xml:space="preserve"> </w:t>
      </w:r>
      <w:r w:rsidRPr="007A14A9">
        <w:rPr>
          <w:rFonts w:eastAsia="MS Mincho"/>
          <w:b/>
          <w:szCs w:val="24"/>
        </w:rPr>
        <w:t xml:space="preserve"> </w:t>
      </w:r>
      <w:r w:rsidRPr="007A14A9">
        <w:rPr>
          <w:rFonts w:eastAsia="MS Mincho"/>
          <w:szCs w:val="24"/>
        </w:rPr>
        <w:t xml:space="preserve">nebo </w:t>
      </w:r>
      <w:hyperlink r:id="rId464" w:history="1">
        <w:r w:rsidRPr="007A14A9">
          <w:rPr>
            <w:rFonts w:eastAsia="MS Mincho"/>
            <w:szCs w:val="24"/>
          </w:rPr>
          <w:t>§ 457</w:t>
        </w:r>
      </w:hyperlink>
      <w:r w:rsidRPr="007A14A9">
        <w:rPr>
          <w:rFonts w:eastAsia="MS Mincho"/>
          <w:szCs w:val="24"/>
        </w:rPr>
        <w:t xml:space="preserve">, </w:t>
      </w:r>
    </w:p>
    <w:p w14:paraId="7CE8CA7F" w14:textId="77777777" w:rsidR="007A14A9" w:rsidRPr="007A14A9" w:rsidRDefault="007A14A9" w:rsidP="00554FBC">
      <w:pPr>
        <w:pBdr>
          <w:top w:val="single" w:sz="12" w:space="1" w:color="0070C0"/>
          <w:left w:val="single" w:sz="12" w:space="4" w:color="0070C0"/>
          <w:bottom w:val="single" w:sz="12" w:space="1" w:color="0070C0"/>
          <w:right w:val="single" w:sz="12" w:space="4" w:color="0070C0"/>
        </w:pBdr>
        <w:spacing w:before="0"/>
        <w:ind w:left="425" w:hanging="425"/>
        <w:outlineLvl w:val="7"/>
        <w:rPr>
          <w:rFonts w:eastAsia="MS Mincho"/>
          <w:szCs w:val="24"/>
        </w:rPr>
      </w:pPr>
      <w:r w:rsidRPr="007A14A9">
        <w:rPr>
          <w:rFonts w:eastAsia="MS Mincho"/>
          <w:szCs w:val="24"/>
        </w:rPr>
        <w:t>m)</w:t>
      </w:r>
      <w:r w:rsidRPr="007A14A9">
        <w:rPr>
          <w:rFonts w:eastAsia="MS Mincho"/>
          <w:szCs w:val="24"/>
        </w:rPr>
        <w:tab/>
        <w:t xml:space="preserve">neoznámí České národní bance některý z údajů nebo některou ze skutečností podle </w:t>
      </w:r>
      <w:hyperlink r:id="rId465" w:history="1">
        <w:r w:rsidRPr="007A14A9">
          <w:rPr>
            <w:rFonts w:eastAsia="MS Mincho"/>
            <w:szCs w:val="24"/>
          </w:rPr>
          <w:t>§ 456</w:t>
        </w:r>
      </w:hyperlink>
      <w:r w:rsidRPr="007A14A9">
        <w:rPr>
          <w:rFonts w:eastAsia="MS Mincho"/>
          <w:szCs w:val="24"/>
        </w:rPr>
        <w:t xml:space="preserve">, </w:t>
      </w:r>
      <w:hyperlink r:id="rId466" w:history="1">
        <w:r w:rsidRPr="007A14A9">
          <w:rPr>
            <w:rFonts w:eastAsia="MS Mincho"/>
            <w:szCs w:val="24"/>
          </w:rPr>
          <w:t>457</w:t>
        </w:r>
      </w:hyperlink>
      <w:r w:rsidRPr="007A14A9">
        <w:rPr>
          <w:rFonts w:eastAsia="MS Mincho"/>
          <w:szCs w:val="24"/>
        </w:rPr>
        <w:t xml:space="preserve">, </w:t>
      </w:r>
      <w:hyperlink r:id="rId467" w:history="1">
        <w:r w:rsidRPr="007A14A9">
          <w:rPr>
            <w:rFonts w:eastAsia="MS Mincho"/>
            <w:szCs w:val="24"/>
          </w:rPr>
          <w:t>§ 459 odst. 2</w:t>
        </w:r>
      </w:hyperlink>
      <w:r w:rsidRPr="007A14A9">
        <w:rPr>
          <w:rFonts w:eastAsia="MS Mincho"/>
          <w:szCs w:val="24"/>
        </w:rPr>
        <w:t xml:space="preserve">, </w:t>
      </w:r>
      <w:hyperlink r:id="rId468" w:history="1">
        <w:r w:rsidRPr="007A14A9">
          <w:rPr>
            <w:rFonts w:eastAsia="MS Mincho"/>
            <w:szCs w:val="24"/>
          </w:rPr>
          <w:t>§ 460 odst. 2</w:t>
        </w:r>
      </w:hyperlink>
      <w:r w:rsidRPr="007A14A9">
        <w:rPr>
          <w:rFonts w:eastAsia="MS Mincho"/>
          <w:szCs w:val="24"/>
        </w:rPr>
        <w:t xml:space="preserve">, </w:t>
      </w:r>
      <w:hyperlink r:id="rId469" w:history="1">
        <w:r w:rsidRPr="007A14A9">
          <w:rPr>
            <w:rFonts w:eastAsia="MS Mincho"/>
            <w:szCs w:val="24"/>
          </w:rPr>
          <w:t>§ 467 odst. 2</w:t>
        </w:r>
      </w:hyperlink>
      <w:r w:rsidRPr="007A14A9">
        <w:rPr>
          <w:rFonts w:eastAsia="MS Mincho"/>
          <w:szCs w:val="24"/>
        </w:rPr>
        <w:t xml:space="preserve"> věty druhé, </w:t>
      </w:r>
      <w:hyperlink r:id="rId470" w:history="1">
        <w:r w:rsidRPr="007A14A9">
          <w:rPr>
            <w:rFonts w:eastAsia="MS Mincho"/>
            <w:szCs w:val="24"/>
          </w:rPr>
          <w:t>§ 467 odst. 3</w:t>
        </w:r>
      </w:hyperlink>
      <w:r w:rsidRPr="00554FBC">
        <w:rPr>
          <w:rFonts w:eastAsia="MS Mincho"/>
          <w:b/>
          <w:strike/>
          <w:color w:val="0070C0"/>
          <w:szCs w:val="24"/>
        </w:rPr>
        <w:t xml:space="preserve">, </w:t>
      </w:r>
      <w:hyperlink r:id="rId471" w:history="1">
        <w:r w:rsidRPr="00554FBC">
          <w:rPr>
            <w:rFonts w:eastAsia="MS Mincho"/>
            <w:b/>
            <w:strike/>
            <w:color w:val="0070C0"/>
            <w:szCs w:val="24"/>
          </w:rPr>
          <w:t>§ 469</w:t>
        </w:r>
      </w:hyperlink>
      <w:r w:rsidRPr="007A14A9">
        <w:rPr>
          <w:rFonts w:eastAsia="MS Mincho"/>
          <w:szCs w:val="24"/>
        </w:rPr>
        <w:t xml:space="preserve"> nebo </w:t>
      </w:r>
      <w:hyperlink r:id="rId472" w:history="1">
        <w:r w:rsidRPr="007A14A9">
          <w:rPr>
            <w:rFonts w:eastAsia="MS Mincho"/>
            <w:szCs w:val="24"/>
          </w:rPr>
          <w:t>§ 475 odst. 2</w:t>
        </w:r>
      </w:hyperlink>
      <w:r w:rsidRPr="007A14A9">
        <w:rPr>
          <w:rFonts w:eastAsia="MS Mincho"/>
          <w:szCs w:val="24"/>
        </w:rPr>
        <w:t xml:space="preserve">, nebo </w:t>
      </w:r>
    </w:p>
    <w:p w14:paraId="09AD6326"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n)</w:t>
      </w:r>
      <w:r w:rsidRPr="007A14A9">
        <w:rPr>
          <w:rFonts w:eastAsia="MS Mincho"/>
          <w:szCs w:val="24"/>
        </w:rPr>
        <w:tab/>
        <w:t xml:space="preserve">nesdělí spotřebiteli před uzavřením smlouvy nebo před tím, než spotřebitel učiní závaznou nabídku, v textové podobě skutečnosti podle </w:t>
      </w:r>
      <w:hyperlink r:id="rId473" w:history="1">
        <w:r w:rsidRPr="007A14A9">
          <w:rPr>
            <w:rFonts w:eastAsia="MS Mincho"/>
            <w:szCs w:val="24"/>
          </w:rPr>
          <w:t>§ 1843 občanského zákoníku</w:t>
        </w:r>
      </w:hyperlink>
      <w:r w:rsidRPr="007A14A9">
        <w:rPr>
          <w:rFonts w:eastAsia="MS Mincho"/>
          <w:szCs w:val="24"/>
        </w:rPr>
        <w:t xml:space="preserve">. </w:t>
      </w:r>
    </w:p>
    <w:p w14:paraId="5BC169C4"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(2)</w:t>
      </w:r>
      <w:r w:rsidRPr="007A14A9">
        <w:rPr>
          <w:rFonts w:eastAsia="MS Mincho"/>
          <w:szCs w:val="24"/>
        </w:rPr>
        <w:tab/>
        <w:t xml:space="preserve">Administrátor fondu kvalifikovaných investorů nebo srovnatelného zahraničního investičního fondu obhospodařovaného obhospodařovatelem uvedeným v </w:t>
      </w:r>
      <w:hyperlink r:id="rId474" w:history="1">
        <w:r w:rsidRPr="007A14A9">
          <w:rPr>
            <w:rFonts w:eastAsia="MS Mincho"/>
            <w:szCs w:val="24"/>
          </w:rPr>
          <w:t>§ 28</w:t>
        </w:r>
      </w:hyperlink>
      <w:r w:rsidRPr="007A14A9">
        <w:rPr>
          <w:rFonts w:eastAsia="MS Mincho"/>
          <w:szCs w:val="24"/>
        </w:rPr>
        <w:t xml:space="preserve"> se dopustí přestupku tím, že v rozsahu administrace tohoto fondu v rozporu s </w:t>
      </w:r>
      <w:hyperlink r:id="rId475" w:history="1">
        <w:r w:rsidRPr="007A14A9">
          <w:rPr>
            <w:rFonts w:eastAsia="MS Mincho"/>
            <w:szCs w:val="24"/>
          </w:rPr>
          <w:t>§ 56</w:t>
        </w:r>
      </w:hyperlink>
      <w:r w:rsidRPr="007A14A9">
        <w:rPr>
          <w:rFonts w:eastAsia="MS Mincho"/>
          <w:szCs w:val="24"/>
        </w:rPr>
        <w:t xml:space="preserve">, </w:t>
      </w:r>
      <w:hyperlink r:id="rId476" w:history="1">
        <w:r w:rsidRPr="007A14A9">
          <w:rPr>
            <w:rFonts w:eastAsia="MS Mincho"/>
            <w:szCs w:val="24"/>
          </w:rPr>
          <w:t>§ 291 odst. 2</w:t>
        </w:r>
      </w:hyperlink>
      <w:r w:rsidRPr="007A14A9">
        <w:rPr>
          <w:rFonts w:eastAsia="MS Mincho"/>
          <w:szCs w:val="24"/>
        </w:rPr>
        <w:t xml:space="preserve"> nebo </w:t>
      </w:r>
      <w:hyperlink r:id="rId477" w:history="1">
        <w:r w:rsidRPr="007A14A9">
          <w:rPr>
            <w:rFonts w:eastAsia="MS Mincho"/>
            <w:szCs w:val="24"/>
          </w:rPr>
          <w:t>§ 293 odst. 2</w:t>
        </w:r>
      </w:hyperlink>
      <w:r w:rsidRPr="007A14A9">
        <w:rPr>
          <w:rFonts w:eastAsia="MS Mincho"/>
          <w:szCs w:val="24"/>
        </w:rPr>
        <w:t xml:space="preserve"> nesplní některou z povinností stanovených v </w:t>
      </w:r>
      <w:hyperlink r:id="rId478" w:history="1">
        <w:r w:rsidRPr="007A14A9">
          <w:rPr>
            <w:rFonts w:eastAsia="MS Mincho"/>
            <w:szCs w:val="24"/>
          </w:rPr>
          <w:t>článcích 7 až 13</w:t>
        </w:r>
      </w:hyperlink>
      <w:r w:rsidRPr="007A14A9">
        <w:rPr>
          <w:rFonts w:eastAsia="MS Mincho"/>
          <w:szCs w:val="24"/>
        </w:rPr>
        <w:t xml:space="preserve"> přímo použitelného předpisu Evropské unie upravujícího fondy rizikového kapitálu</w:t>
      </w:r>
      <w:r w:rsidRPr="007A14A9">
        <w:rPr>
          <w:rFonts w:eastAsia="MS Mincho"/>
          <w:szCs w:val="24"/>
          <w:vertAlign w:val="superscript"/>
        </w:rPr>
        <w:t>7)</w:t>
      </w:r>
      <w:r w:rsidRPr="007A14A9">
        <w:rPr>
          <w:rFonts w:eastAsia="MS Mincho"/>
          <w:szCs w:val="24"/>
        </w:rPr>
        <w:t xml:space="preserve">. </w:t>
      </w:r>
    </w:p>
    <w:p w14:paraId="2603708D"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(3)</w:t>
      </w:r>
      <w:r w:rsidRPr="007A14A9">
        <w:rPr>
          <w:rFonts w:eastAsia="MS Mincho"/>
          <w:szCs w:val="24"/>
        </w:rPr>
        <w:tab/>
        <w:t xml:space="preserve">Administrátor podílového fondu se dopustí přestupku tím, že </w:t>
      </w:r>
    </w:p>
    <w:p w14:paraId="6D019DB9"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a)</w:t>
      </w:r>
      <w:r w:rsidRPr="007A14A9">
        <w:rPr>
          <w:rFonts w:eastAsia="MS Mincho"/>
          <w:szCs w:val="24"/>
        </w:rPr>
        <w:tab/>
        <w:t xml:space="preserve">nevede seznam podílníků podle </w:t>
      </w:r>
      <w:hyperlink r:id="rId479" w:history="1">
        <w:r w:rsidRPr="007A14A9">
          <w:rPr>
            <w:rFonts w:eastAsia="MS Mincho"/>
            <w:szCs w:val="24"/>
          </w:rPr>
          <w:t>§ 109</w:t>
        </w:r>
      </w:hyperlink>
      <w:r w:rsidRPr="007A14A9">
        <w:rPr>
          <w:rFonts w:eastAsia="MS Mincho"/>
          <w:szCs w:val="24"/>
        </w:rPr>
        <w:t xml:space="preserve">, </w:t>
      </w:r>
      <w:hyperlink r:id="rId480" w:history="1">
        <w:r w:rsidRPr="007A14A9">
          <w:rPr>
            <w:rFonts w:eastAsia="MS Mincho"/>
            <w:szCs w:val="24"/>
          </w:rPr>
          <w:t>§ 110 odst. 2</w:t>
        </w:r>
      </w:hyperlink>
      <w:r w:rsidRPr="007A14A9">
        <w:rPr>
          <w:rFonts w:eastAsia="MS Mincho"/>
          <w:szCs w:val="24"/>
        </w:rPr>
        <w:t xml:space="preserve"> nebo </w:t>
      </w:r>
      <w:hyperlink r:id="rId481" w:history="1">
        <w:r w:rsidRPr="007A14A9">
          <w:rPr>
            <w:rFonts w:eastAsia="MS Mincho"/>
            <w:szCs w:val="24"/>
          </w:rPr>
          <w:t>§ 111</w:t>
        </w:r>
      </w:hyperlink>
      <w:r w:rsidRPr="007A14A9">
        <w:rPr>
          <w:rFonts w:eastAsia="MS Mincho"/>
          <w:szCs w:val="24"/>
        </w:rPr>
        <w:t xml:space="preserve">, </w:t>
      </w:r>
    </w:p>
    <w:p w14:paraId="720CAD80" w14:textId="77777777" w:rsidR="007A14A9" w:rsidRPr="007A14A9" w:rsidRDefault="007A14A9" w:rsidP="007A14A9">
      <w:pPr>
        <w:spacing w:before="0"/>
        <w:ind w:left="425" w:hanging="425"/>
        <w:outlineLvl w:val="7"/>
        <w:rPr>
          <w:rFonts w:eastAsia="MS Mincho"/>
          <w:strike/>
          <w:color w:val="FF0000"/>
          <w:szCs w:val="24"/>
        </w:rPr>
      </w:pPr>
      <w:r w:rsidRPr="007A14A9">
        <w:rPr>
          <w:rFonts w:eastAsia="MS Mincho"/>
          <w:strike/>
          <w:szCs w:val="24"/>
        </w:rPr>
        <w:t>b)</w:t>
      </w:r>
      <w:r w:rsidRPr="007A14A9">
        <w:rPr>
          <w:rFonts w:eastAsia="MS Mincho"/>
          <w:strike/>
          <w:szCs w:val="24"/>
        </w:rPr>
        <w:tab/>
        <w:t xml:space="preserve">vede účetnictví v rozporu s </w:t>
      </w:r>
      <w:hyperlink r:id="rId482" w:history="1">
        <w:r w:rsidRPr="007A14A9">
          <w:rPr>
            <w:rFonts w:eastAsia="MS Mincho"/>
            <w:strike/>
            <w:szCs w:val="24"/>
          </w:rPr>
          <w:t>§ 114</w:t>
        </w:r>
      </w:hyperlink>
      <w:r w:rsidRPr="007A14A9">
        <w:rPr>
          <w:rFonts w:eastAsia="MS Mincho"/>
          <w:strike/>
          <w:szCs w:val="24"/>
        </w:rPr>
        <w:t>,</w:t>
      </w:r>
    </w:p>
    <w:p w14:paraId="6B690BE5"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 </w:t>
      </w:r>
    </w:p>
    <w:p w14:paraId="37FA4EE5" w14:textId="77777777" w:rsidR="007A14A9" w:rsidRPr="007A14A9" w:rsidRDefault="007A14A9" w:rsidP="007A14A9">
      <w:pPr>
        <w:spacing w:before="0"/>
        <w:ind w:left="425" w:hanging="425"/>
        <w:outlineLvl w:val="7"/>
        <w:rPr>
          <w:rFonts w:eastAsia="MS Mincho"/>
          <w:szCs w:val="24"/>
        </w:rPr>
      </w:pPr>
      <w:r w:rsidRPr="007A14A9">
        <w:rPr>
          <w:rFonts w:eastAsia="MS Mincho"/>
          <w:strike/>
          <w:szCs w:val="24"/>
        </w:rPr>
        <w:t>c)</w:t>
      </w:r>
      <w:r w:rsidRPr="007A14A9">
        <w:rPr>
          <w:rFonts w:eastAsia="MS Mincho"/>
          <w:b/>
          <w:szCs w:val="24"/>
        </w:rPr>
        <w:t>b)</w:t>
      </w:r>
      <w:r w:rsidRPr="007A14A9">
        <w:rPr>
          <w:rFonts w:eastAsia="MS Mincho"/>
          <w:szCs w:val="24"/>
        </w:rPr>
        <w:tab/>
        <w:t xml:space="preserve">nezajistí uveřejnění některého z dokumentů nebo skutečností podle </w:t>
      </w:r>
      <w:hyperlink r:id="rId483" w:history="1">
        <w:r w:rsidRPr="007A14A9">
          <w:rPr>
            <w:rFonts w:eastAsia="MS Mincho"/>
            <w:szCs w:val="24"/>
          </w:rPr>
          <w:t>§ 137 odst. 1</w:t>
        </w:r>
      </w:hyperlink>
      <w:r w:rsidRPr="007A14A9">
        <w:rPr>
          <w:rFonts w:eastAsia="MS Mincho"/>
          <w:szCs w:val="24"/>
        </w:rPr>
        <w:t xml:space="preserve"> nebo </w:t>
      </w:r>
      <w:hyperlink r:id="rId484" w:history="1">
        <w:r w:rsidRPr="007A14A9">
          <w:rPr>
            <w:rFonts w:eastAsia="MS Mincho"/>
            <w:szCs w:val="24"/>
          </w:rPr>
          <w:t>§ 138</w:t>
        </w:r>
      </w:hyperlink>
      <w:r w:rsidRPr="007A14A9">
        <w:rPr>
          <w:rFonts w:eastAsia="MS Mincho"/>
          <w:szCs w:val="24"/>
        </w:rPr>
        <w:t xml:space="preserve">, </w:t>
      </w:r>
    </w:p>
    <w:p w14:paraId="18B18707" w14:textId="77777777" w:rsidR="007A14A9" w:rsidRPr="007A14A9" w:rsidRDefault="007A14A9" w:rsidP="007A14A9">
      <w:pPr>
        <w:spacing w:before="0"/>
        <w:ind w:left="425" w:hanging="425"/>
        <w:outlineLvl w:val="7"/>
        <w:rPr>
          <w:rFonts w:eastAsia="MS Mincho"/>
          <w:b/>
          <w:szCs w:val="24"/>
        </w:rPr>
      </w:pPr>
      <w:r w:rsidRPr="007A14A9">
        <w:rPr>
          <w:rFonts w:eastAsia="MS Mincho"/>
          <w:strike/>
          <w:szCs w:val="24"/>
        </w:rPr>
        <w:t>d)</w:t>
      </w:r>
      <w:r w:rsidRPr="007A14A9">
        <w:rPr>
          <w:rFonts w:eastAsia="MS Mincho"/>
          <w:b/>
          <w:szCs w:val="24"/>
        </w:rPr>
        <w:t>c)</w:t>
      </w:r>
      <w:r w:rsidRPr="007A14A9">
        <w:rPr>
          <w:rFonts w:eastAsia="MS Mincho"/>
          <w:szCs w:val="24"/>
        </w:rPr>
        <w:tab/>
        <w:t xml:space="preserve">nevyplatí podílníkům jejich podíly na likvidačním zůstatku podle </w:t>
      </w:r>
      <w:hyperlink r:id="rId485" w:history="1">
        <w:r w:rsidRPr="007A14A9">
          <w:rPr>
            <w:rFonts w:eastAsia="MS Mincho"/>
            <w:szCs w:val="24"/>
          </w:rPr>
          <w:t>§ 376 odst. 2</w:t>
        </w:r>
      </w:hyperlink>
      <w:r w:rsidRPr="007A14A9">
        <w:rPr>
          <w:rFonts w:eastAsia="MS Mincho"/>
          <w:szCs w:val="24"/>
        </w:rPr>
        <w:t xml:space="preserve">, </w:t>
      </w:r>
    </w:p>
    <w:p w14:paraId="6D95D73B" w14:textId="77777777" w:rsidR="007A14A9" w:rsidRPr="007A14A9" w:rsidRDefault="007A14A9" w:rsidP="00554FBC">
      <w:pPr>
        <w:pBdr>
          <w:top w:val="single" w:sz="12" w:space="1" w:color="0070C0"/>
          <w:left w:val="single" w:sz="12" w:space="4" w:color="0070C0"/>
          <w:bottom w:val="single" w:sz="12" w:space="1" w:color="0070C0"/>
          <w:right w:val="single" w:sz="12" w:space="4" w:color="0070C0"/>
        </w:pBdr>
        <w:spacing w:before="0"/>
        <w:ind w:left="425" w:hanging="425"/>
        <w:outlineLvl w:val="7"/>
        <w:rPr>
          <w:rFonts w:eastAsia="MS Mincho"/>
          <w:color w:val="0070C0"/>
          <w:szCs w:val="24"/>
        </w:rPr>
      </w:pPr>
      <w:r w:rsidRPr="007A14A9">
        <w:rPr>
          <w:rFonts w:eastAsia="MS Mincho"/>
          <w:strike/>
          <w:color w:val="0070C0"/>
          <w:szCs w:val="24"/>
        </w:rPr>
        <w:t>e)</w:t>
      </w:r>
      <w:r w:rsidRPr="007A14A9">
        <w:rPr>
          <w:rFonts w:eastAsia="MS Mincho"/>
          <w:b/>
          <w:color w:val="0070C0"/>
          <w:szCs w:val="24"/>
        </w:rPr>
        <w:t>d)</w:t>
      </w:r>
      <w:r w:rsidRPr="007A14A9">
        <w:rPr>
          <w:rFonts w:eastAsia="MS Mincho"/>
          <w:color w:val="0070C0"/>
          <w:szCs w:val="24"/>
        </w:rPr>
        <w:t xml:space="preserve"> </w:t>
      </w:r>
      <w:r w:rsidRPr="00554FBC">
        <w:rPr>
          <w:rFonts w:eastAsia="MS Mincho"/>
          <w:b/>
          <w:color w:val="0070C0"/>
          <w:szCs w:val="24"/>
        </w:rPr>
        <w:t>nepodá žádost o výmaz ze seznamu podílových fondů podle § 376 odst. 4,</w:t>
      </w:r>
    </w:p>
    <w:p w14:paraId="286EDB69" w14:textId="77777777" w:rsidR="007A14A9" w:rsidRPr="007A14A9" w:rsidRDefault="007A14A9" w:rsidP="00554FBC">
      <w:pPr>
        <w:pBdr>
          <w:top w:val="single" w:sz="12" w:space="1" w:color="0070C0"/>
          <w:left w:val="single" w:sz="12" w:space="4" w:color="0070C0"/>
          <w:bottom w:val="single" w:sz="12" w:space="1" w:color="0070C0"/>
          <w:right w:val="single" w:sz="12" w:space="4" w:color="0070C0"/>
        </w:pBdr>
        <w:spacing w:before="0"/>
        <w:ind w:left="425" w:hanging="425"/>
        <w:outlineLvl w:val="7"/>
        <w:rPr>
          <w:rFonts w:eastAsia="MS Mincho"/>
          <w:color w:val="0070C0"/>
          <w:szCs w:val="24"/>
        </w:rPr>
      </w:pPr>
      <w:r w:rsidRPr="007A14A9">
        <w:rPr>
          <w:rFonts w:eastAsia="MS Mincho"/>
          <w:strike/>
          <w:color w:val="0070C0"/>
          <w:szCs w:val="24"/>
        </w:rPr>
        <w:t>f)</w:t>
      </w:r>
      <w:r w:rsidRPr="007A14A9">
        <w:rPr>
          <w:rFonts w:eastAsia="MS Mincho"/>
          <w:b/>
          <w:color w:val="0070C0"/>
          <w:szCs w:val="24"/>
        </w:rPr>
        <w:t>e)</w:t>
      </w:r>
      <w:r w:rsidRPr="007A14A9">
        <w:rPr>
          <w:rFonts w:eastAsia="MS Mincho"/>
          <w:color w:val="0070C0"/>
          <w:szCs w:val="24"/>
        </w:rPr>
        <w:t xml:space="preserve"> </w:t>
      </w:r>
      <w:r w:rsidRPr="00554FBC">
        <w:rPr>
          <w:rFonts w:eastAsia="MS Mincho"/>
          <w:b/>
          <w:color w:val="0070C0"/>
          <w:szCs w:val="24"/>
        </w:rPr>
        <w:t>nezajistí uchování dokumentů podle § 376 odst. 5,</w:t>
      </w:r>
      <w:r w:rsidRPr="007A14A9">
        <w:rPr>
          <w:rFonts w:eastAsia="MS Mincho"/>
          <w:color w:val="0070C0"/>
          <w:szCs w:val="24"/>
        </w:rPr>
        <w:t xml:space="preserve"> </w:t>
      </w:r>
      <w:r w:rsidRPr="007A14A9">
        <w:rPr>
          <w:rFonts w:eastAsia="MS Mincho"/>
          <w:b/>
          <w:szCs w:val="24"/>
        </w:rPr>
        <w:t>nebo</w:t>
      </w:r>
      <w:r w:rsidRPr="007A14A9">
        <w:rPr>
          <w:rFonts w:eastAsia="MS Mincho"/>
          <w:color w:val="0070C0"/>
          <w:szCs w:val="24"/>
        </w:rPr>
        <w:t xml:space="preserve"> </w:t>
      </w:r>
    </w:p>
    <w:p w14:paraId="3FE4110E" w14:textId="77777777" w:rsidR="007A14A9" w:rsidRPr="007A14A9" w:rsidRDefault="007A14A9" w:rsidP="00554FBC">
      <w:pPr>
        <w:pBdr>
          <w:top w:val="single" w:sz="12" w:space="1" w:color="0070C0"/>
          <w:left w:val="single" w:sz="12" w:space="4" w:color="0070C0"/>
          <w:bottom w:val="single" w:sz="12" w:space="1" w:color="0070C0"/>
          <w:right w:val="single" w:sz="12" w:space="4" w:color="0070C0"/>
        </w:pBdr>
        <w:spacing w:before="0"/>
        <w:ind w:left="425" w:hanging="425"/>
        <w:outlineLvl w:val="7"/>
        <w:rPr>
          <w:rFonts w:eastAsia="MS Mincho"/>
          <w:szCs w:val="24"/>
        </w:rPr>
      </w:pPr>
      <w:r w:rsidRPr="007A14A9">
        <w:rPr>
          <w:rFonts w:eastAsia="MS Mincho"/>
          <w:strike/>
          <w:color w:val="0070C0"/>
          <w:szCs w:val="24"/>
        </w:rPr>
        <w:t>g)</w:t>
      </w:r>
      <w:r w:rsidRPr="007A14A9">
        <w:rPr>
          <w:rFonts w:eastAsia="MS Mincho"/>
          <w:b/>
          <w:color w:val="0070C0"/>
          <w:szCs w:val="24"/>
        </w:rPr>
        <w:t>f)</w:t>
      </w:r>
      <w:r w:rsidRPr="007A14A9">
        <w:rPr>
          <w:rFonts w:eastAsia="MS Mincho"/>
          <w:szCs w:val="24"/>
        </w:rPr>
        <w:tab/>
        <w:t xml:space="preserve">neuveřejní informaci podle </w:t>
      </w:r>
      <w:hyperlink r:id="rId486" w:history="1">
        <w:r w:rsidRPr="007A14A9">
          <w:rPr>
            <w:rFonts w:eastAsia="MS Mincho"/>
            <w:szCs w:val="24"/>
          </w:rPr>
          <w:t>§ 428 odst. 3</w:t>
        </w:r>
      </w:hyperlink>
      <w:r w:rsidRPr="007A14A9">
        <w:rPr>
          <w:rFonts w:eastAsia="MS Mincho"/>
          <w:strike/>
          <w:szCs w:val="24"/>
        </w:rPr>
        <w:t>, nebo</w:t>
      </w:r>
      <w:r w:rsidRPr="007A14A9">
        <w:rPr>
          <w:rFonts w:eastAsia="MS Mincho"/>
          <w:b/>
          <w:szCs w:val="24"/>
        </w:rPr>
        <w:t>.</w:t>
      </w:r>
      <w:r w:rsidRPr="007A14A9">
        <w:rPr>
          <w:rFonts w:eastAsia="MS Mincho"/>
          <w:b/>
          <w:szCs w:val="24"/>
          <w:vertAlign w:val="subscript"/>
        </w:rPr>
        <w:t xml:space="preserve"> </w:t>
      </w:r>
    </w:p>
    <w:p w14:paraId="2B6F0B9F" w14:textId="77777777" w:rsidR="007A14A9" w:rsidRPr="007A14A9" w:rsidRDefault="007A14A9" w:rsidP="007A14A9">
      <w:pPr>
        <w:spacing w:before="0"/>
        <w:ind w:left="425" w:hanging="425"/>
        <w:outlineLvl w:val="7"/>
        <w:rPr>
          <w:rFonts w:eastAsia="MS Mincho"/>
          <w:strike/>
          <w:szCs w:val="24"/>
        </w:rPr>
      </w:pPr>
      <w:r w:rsidRPr="007A14A9">
        <w:rPr>
          <w:rFonts w:eastAsia="MS Mincho"/>
          <w:strike/>
          <w:color w:val="1F497D"/>
          <w:szCs w:val="24"/>
        </w:rPr>
        <w:lastRenderedPageBreak/>
        <w:t>g</w:t>
      </w:r>
      <w:r w:rsidRPr="007A14A9">
        <w:rPr>
          <w:rFonts w:eastAsia="MS Mincho"/>
          <w:strike/>
          <w:szCs w:val="24"/>
        </w:rPr>
        <w:t>)</w:t>
      </w:r>
      <w:r w:rsidRPr="007A14A9">
        <w:rPr>
          <w:rFonts w:eastAsia="MS Mincho"/>
          <w:strike/>
          <w:szCs w:val="24"/>
        </w:rPr>
        <w:tab/>
        <w:t xml:space="preserve">nesestaví mimořádnou účetní závěrku podle </w:t>
      </w:r>
      <w:hyperlink r:id="rId487" w:history="1">
        <w:r w:rsidRPr="007A14A9">
          <w:rPr>
            <w:rFonts w:eastAsia="MS Mincho"/>
            <w:strike/>
            <w:szCs w:val="24"/>
          </w:rPr>
          <w:t>§ 434</w:t>
        </w:r>
      </w:hyperlink>
      <w:r w:rsidRPr="007A14A9">
        <w:rPr>
          <w:rFonts w:eastAsia="MS Mincho"/>
          <w:strike/>
          <w:szCs w:val="24"/>
        </w:rPr>
        <w:t xml:space="preserve">. </w:t>
      </w:r>
    </w:p>
    <w:p w14:paraId="5E1D9BD1"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(4) Administrátor investičního fondu se dopustí přestupku tím, že </w:t>
      </w:r>
    </w:p>
    <w:p w14:paraId="30EF7E96" w14:textId="77777777" w:rsidR="007A14A9" w:rsidRPr="007A14A9" w:rsidRDefault="007A14A9" w:rsidP="007A14A9">
      <w:pPr>
        <w:spacing w:before="0"/>
        <w:ind w:left="425" w:hanging="425"/>
        <w:outlineLvl w:val="7"/>
        <w:rPr>
          <w:rFonts w:eastAsia="MS Mincho"/>
          <w:b/>
          <w:szCs w:val="24"/>
        </w:rPr>
      </w:pPr>
      <w:r w:rsidRPr="007A14A9">
        <w:rPr>
          <w:rFonts w:eastAsia="MS Mincho"/>
          <w:b/>
          <w:szCs w:val="24"/>
        </w:rPr>
        <w:t xml:space="preserve">a) </w:t>
      </w:r>
      <w:r w:rsidRPr="007A14A9">
        <w:rPr>
          <w:rFonts w:eastAsia="MS Mincho"/>
          <w:b/>
          <w:szCs w:val="24"/>
        </w:rPr>
        <w:tab/>
        <w:t>nesplní některou z povinností související s účetnictvím tohoto fondu podle § 38 odst. 1 písm. a),</w:t>
      </w:r>
    </w:p>
    <w:p w14:paraId="6ED81C47" w14:textId="77777777" w:rsidR="007A14A9" w:rsidRPr="007A14A9" w:rsidRDefault="007A14A9" w:rsidP="007A14A9">
      <w:pPr>
        <w:spacing w:before="0"/>
        <w:ind w:left="425" w:hanging="425"/>
        <w:outlineLvl w:val="7"/>
        <w:rPr>
          <w:rFonts w:eastAsia="MS Mincho"/>
          <w:szCs w:val="24"/>
        </w:rPr>
      </w:pPr>
      <w:r w:rsidRPr="007A14A9">
        <w:rPr>
          <w:rFonts w:eastAsia="MS Mincho"/>
          <w:strike/>
          <w:szCs w:val="24"/>
        </w:rPr>
        <w:t>a)</w:t>
      </w:r>
      <w:r w:rsidRPr="007A14A9">
        <w:rPr>
          <w:rFonts w:eastAsia="MS Mincho"/>
          <w:b/>
          <w:szCs w:val="24"/>
        </w:rPr>
        <w:t>b)</w:t>
      </w:r>
      <w:r w:rsidRPr="007A14A9">
        <w:rPr>
          <w:rFonts w:eastAsia="MS Mincho"/>
          <w:szCs w:val="24"/>
        </w:rPr>
        <w:tab/>
        <w:t xml:space="preserve">pověří jiného oceňováním majetku nebo dluhů tohoto fondu v rozporu s </w:t>
      </w:r>
      <w:hyperlink r:id="rId488" w:history="1">
        <w:r w:rsidRPr="007A14A9">
          <w:rPr>
            <w:rFonts w:eastAsia="MS Mincho"/>
            <w:szCs w:val="24"/>
          </w:rPr>
          <w:t>§ 197 odst. 1</w:t>
        </w:r>
      </w:hyperlink>
      <w:r w:rsidRPr="007A14A9">
        <w:rPr>
          <w:rFonts w:eastAsia="MS Mincho"/>
          <w:szCs w:val="24"/>
        </w:rPr>
        <w:t xml:space="preserve">, </w:t>
      </w:r>
      <w:hyperlink r:id="rId489" w:history="1">
        <w:r w:rsidRPr="007A14A9">
          <w:rPr>
            <w:rFonts w:eastAsia="MS Mincho"/>
            <w:szCs w:val="24"/>
          </w:rPr>
          <w:t>§ 198 odst. 1</w:t>
        </w:r>
      </w:hyperlink>
      <w:r w:rsidRPr="007A14A9">
        <w:rPr>
          <w:rFonts w:eastAsia="MS Mincho"/>
          <w:szCs w:val="24"/>
        </w:rPr>
        <w:t xml:space="preserve"> nebo </w:t>
      </w:r>
      <w:hyperlink r:id="rId490" w:history="1">
        <w:r w:rsidRPr="007A14A9">
          <w:rPr>
            <w:rFonts w:eastAsia="MS Mincho"/>
            <w:szCs w:val="24"/>
          </w:rPr>
          <w:t>§ 199</w:t>
        </w:r>
      </w:hyperlink>
      <w:r w:rsidRPr="007A14A9">
        <w:rPr>
          <w:rFonts w:eastAsia="MS Mincho"/>
          <w:szCs w:val="24"/>
        </w:rPr>
        <w:t xml:space="preserve">, </w:t>
      </w:r>
    </w:p>
    <w:p w14:paraId="73C1BD2F" w14:textId="77777777" w:rsidR="007A14A9" w:rsidRPr="007A14A9" w:rsidRDefault="007A14A9" w:rsidP="007A14A9">
      <w:pPr>
        <w:spacing w:before="0"/>
        <w:ind w:left="425" w:hanging="425"/>
        <w:outlineLvl w:val="7"/>
        <w:rPr>
          <w:rFonts w:eastAsia="MS Mincho"/>
          <w:szCs w:val="24"/>
        </w:rPr>
      </w:pPr>
      <w:r w:rsidRPr="007A14A9">
        <w:rPr>
          <w:rFonts w:eastAsia="MS Mincho"/>
          <w:strike/>
          <w:szCs w:val="24"/>
        </w:rPr>
        <w:t>b)</w:t>
      </w:r>
      <w:r w:rsidRPr="007A14A9">
        <w:rPr>
          <w:rFonts w:eastAsia="MS Mincho"/>
          <w:b/>
          <w:szCs w:val="24"/>
        </w:rPr>
        <w:t>c)</w:t>
      </w:r>
      <w:r w:rsidRPr="007A14A9">
        <w:rPr>
          <w:rFonts w:eastAsia="MS Mincho"/>
          <w:szCs w:val="24"/>
        </w:rPr>
        <w:tab/>
        <w:t xml:space="preserve">neuveřejní informaci podle </w:t>
      </w:r>
      <w:hyperlink r:id="rId491" w:history="1">
        <w:r w:rsidRPr="007A14A9">
          <w:rPr>
            <w:rFonts w:eastAsia="MS Mincho"/>
            <w:szCs w:val="24"/>
          </w:rPr>
          <w:t>§ 432 odst. 3</w:t>
        </w:r>
      </w:hyperlink>
      <w:r w:rsidRPr="007A14A9">
        <w:rPr>
          <w:rFonts w:eastAsia="MS Mincho"/>
          <w:szCs w:val="24"/>
        </w:rPr>
        <w:t xml:space="preserve">, </w:t>
      </w:r>
    </w:p>
    <w:p w14:paraId="6A83BBC4" w14:textId="77777777" w:rsidR="007A14A9" w:rsidRPr="007A14A9" w:rsidRDefault="007A14A9" w:rsidP="007A14A9">
      <w:pPr>
        <w:spacing w:before="0"/>
        <w:ind w:left="425" w:hanging="425"/>
        <w:outlineLvl w:val="7"/>
        <w:rPr>
          <w:rFonts w:eastAsia="MS Mincho"/>
          <w:szCs w:val="24"/>
        </w:rPr>
      </w:pPr>
      <w:r w:rsidRPr="007A14A9">
        <w:rPr>
          <w:rFonts w:eastAsia="MS Mincho"/>
          <w:strike/>
          <w:szCs w:val="24"/>
        </w:rPr>
        <w:t>c)</w:t>
      </w:r>
      <w:r w:rsidRPr="007A14A9">
        <w:rPr>
          <w:rFonts w:eastAsia="MS Mincho"/>
          <w:b/>
          <w:szCs w:val="24"/>
        </w:rPr>
        <w:t>d)</w:t>
      </w:r>
      <w:r w:rsidRPr="007A14A9">
        <w:rPr>
          <w:rFonts w:eastAsia="MS Mincho"/>
          <w:szCs w:val="24"/>
        </w:rPr>
        <w:tab/>
        <w:t xml:space="preserve">neoznámí České národní bance skutečnost podle </w:t>
      </w:r>
      <w:hyperlink r:id="rId492" w:history="1">
        <w:r w:rsidRPr="007A14A9">
          <w:rPr>
            <w:rFonts w:eastAsia="MS Mincho"/>
            <w:szCs w:val="24"/>
          </w:rPr>
          <w:t>§ 465</w:t>
        </w:r>
      </w:hyperlink>
      <w:r w:rsidRPr="007A14A9">
        <w:rPr>
          <w:rFonts w:eastAsia="MS Mincho"/>
          <w:szCs w:val="24"/>
        </w:rPr>
        <w:t xml:space="preserve">, nebo </w:t>
      </w:r>
    </w:p>
    <w:p w14:paraId="5AC74C9B" w14:textId="77777777" w:rsidR="007A14A9" w:rsidRPr="007A14A9" w:rsidRDefault="007A14A9" w:rsidP="007A14A9">
      <w:pPr>
        <w:spacing w:before="0"/>
        <w:ind w:left="425" w:hanging="425"/>
        <w:outlineLvl w:val="7"/>
        <w:rPr>
          <w:rFonts w:eastAsia="MS Mincho"/>
          <w:szCs w:val="24"/>
        </w:rPr>
      </w:pPr>
      <w:r w:rsidRPr="007A14A9">
        <w:rPr>
          <w:rFonts w:eastAsia="MS Mincho"/>
          <w:strike/>
          <w:szCs w:val="24"/>
        </w:rPr>
        <w:t>d)</w:t>
      </w:r>
      <w:r w:rsidRPr="007A14A9">
        <w:rPr>
          <w:rFonts w:eastAsia="MS Mincho"/>
          <w:b/>
          <w:szCs w:val="24"/>
        </w:rPr>
        <w:t>e)</w:t>
      </w:r>
      <w:r w:rsidRPr="007A14A9">
        <w:rPr>
          <w:rFonts w:eastAsia="MS Mincho"/>
          <w:szCs w:val="24"/>
        </w:rPr>
        <w:tab/>
        <w:t xml:space="preserve">nezajistí, aby jeho jméno splňovalo požadavky podle </w:t>
      </w:r>
      <w:hyperlink r:id="rId493" w:history="1">
        <w:r w:rsidRPr="007A14A9">
          <w:rPr>
            <w:rFonts w:eastAsia="MS Mincho"/>
            <w:szCs w:val="24"/>
          </w:rPr>
          <w:t>§ 635</w:t>
        </w:r>
      </w:hyperlink>
      <w:r w:rsidRPr="007A14A9">
        <w:rPr>
          <w:rFonts w:eastAsia="MS Mincho"/>
          <w:szCs w:val="24"/>
        </w:rPr>
        <w:t xml:space="preserve">. </w:t>
      </w:r>
    </w:p>
    <w:p w14:paraId="2AD2C08F"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(5) Administrátor fondu kolektivního investování se dopustí přestupku tím, že </w:t>
      </w:r>
    </w:p>
    <w:p w14:paraId="7231F727"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a) </w:t>
      </w:r>
      <w:r w:rsidRPr="007A14A9">
        <w:rPr>
          <w:rFonts w:eastAsia="MS Mincho"/>
          <w:szCs w:val="24"/>
        </w:rPr>
        <w:tab/>
        <w:t xml:space="preserve">neuveřejní některý z dokumentů nebo údajů podle </w:t>
      </w:r>
      <w:hyperlink r:id="rId494" w:history="1">
        <w:r w:rsidRPr="007A14A9">
          <w:rPr>
            <w:rFonts w:eastAsia="MS Mincho"/>
            <w:szCs w:val="24"/>
          </w:rPr>
          <w:t>§ 222</w:t>
        </w:r>
      </w:hyperlink>
      <w:r w:rsidRPr="007A14A9">
        <w:rPr>
          <w:rFonts w:eastAsia="MS Mincho"/>
          <w:szCs w:val="24"/>
        </w:rPr>
        <w:t xml:space="preserve">, </w:t>
      </w:r>
      <w:hyperlink r:id="rId495" w:history="1">
        <w:r w:rsidRPr="007A14A9">
          <w:rPr>
            <w:rFonts w:eastAsia="MS Mincho"/>
            <w:szCs w:val="24"/>
          </w:rPr>
          <w:t>§ 233 odst. 1</w:t>
        </w:r>
      </w:hyperlink>
      <w:r w:rsidRPr="007A14A9">
        <w:rPr>
          <w:rFonts w:eastAsia="MS Mincho"/>
          <w:szCs w:val="24"/>
        </w:rPr>
        <w:t xml:space="preserve"> nebo </w:t>
      </w:r>
      <w:hyperlink r:id="rId496" w:history="1">
        <w:r w:rsidRPr="007A14A9">
          <w:rPr>
            <w:rFonts w:eastAsia="MS Mincho"/>
            <w:szCs w:val="24"/>
          </w:rPr>
          <w:t>§ 237 odst. 1</w:t>
        </w:r>
      </w:hyperlink>
      <w:r w:rsidRPr="007A14A9">
        <w:rPr>
          <w:rFonts w:eastAsia="MS Mincho"/>
          <w:szCs w:val="24"/>
        </w:rPr>
        <w:t xml:space="preserve">, </w:t>
      </w:r>
    </w:p>
    <w:p w14:paraId="01E37EC5"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b) </w:t>
      </w:r>
      <w:r w:rsidRPr="007A14A9">
        <w:rPr>
          <w:rFonts w:eastAsia="MS Mincho"/>
          <w:szCs w:val="24"/>
        </w:rPr>
        <w:tab/>
        <w:t xml:space="preserve">neposkytne investorovi některý z dokumentů nebo údajů podle </w:t>
      </w:r>
      <w:hyperlink r:id="rId497" w:history="1">
        <w:r w:rsidRPr="007A14A9">
          <w:rPr>
            <w:rFonts w:eastAsia="MS Mincho"/>
            <w:szCs w:val="24"/>
          </w:rPr>
          <w:t>§ 224 odst. 1</w:t>
        </w:r>
      </w:hyperlink>
      <w:r w:rsidRPr="007A14A9">
        <w:rPr>
          <w:rFonts w:eastAsia="MS Mincho"/>
          <w:szCs w:val="24"/>
        </w:rPr>
        <w:t xml:space="preserve">, </w:t>
      </w:r>
      <w:hyperlink r:id="rId498" w:history="1">
        <w:r w:rsidRPr="007A14A9">
          <w:rPr>
            <w:rFonts w:eastAsia="MS Mincho"/>
            <w:szCs w:val="24"/>
          </w:rPr>
          <w:t>§ 225</w:t>
        </w:r>
      </w:hyperlink>
      <w:r w:rsidRPr="007A14A9">
        <w:rPr>
          <w:rFonts w:eastAsia="MS Mincho"/>
          <w:szCs w:val="24"/>
        </w:rPr>
        <w:t xml:space="preserve">, </w:t>
      </w:r>
      <w:hyperlink r:id="rId499" w:history="1">
        <w:r w:rsidRPr="007A14A9">
          <w:rPr>
            <w:rFonts w:eastAsia="MS Mincho"/>
            <w:szCs w:val="24"/>
          </w:rPr>
          <w:t>226</w:t>
        </w:r>
      </w:hyperlink>
      <w:r w:rsidRPr="007A14A9">
        <w:rPr>
          <w:rFonts w:eastAsia="MS Mincho"/>
          <w:szCs w:val="24"/>
        </w:rPr>
        <w:t xml:space="preserve">, </w:t>
      </w:r>
      <w:hyperlink r:id="rId500" w:history="1">
        <w:r w:rsidRPr="007A14A9">
          <w:rPr>
            <w:rFonts w:eastAsia="MS Mincho"/>
            <w:szCs w:val="24"/>
          </w:rPr>
          <w:t>231</w:t>
        </w:r>
      </w:hyperlink>
      <w:r w:rsidRPr="007A14A9">
        <w:rPr>
          <w:rFonts w:eastAsia="MS Mincho"/>
          <w:szCs w:val="24"/>
        </w:rPr>
        <w:t xml:space="preserve">, </w:t>
      </w:r>
      <w:hyperlink r:id="rId501" w:history="1">
        <w:r w:rsidRPr="007A14A9">
          <w:rPr>
            <w:rFonts w:eastAsia="MS Mincho"/>
            <w:szCs w:val="24"/>
          </w:rPr>
          <w:t>232</w:t>
        </w:r>
      </w:hyperlink>
      <w:r w:rsidRPr="007A14A9">
        <w:rPr>
          <w:rFonts w:eastAsia="MS Mincho"/>
          <w:szCs w:val="24"/>
        </w:rPr>
        <w:t xml:space="preserve"> nebo </w:t>
      </w:r>
      <w:hyperlink r:id="rId502" w:history="1">
        <w:r w:rsidRPr="007A14A9">
          <w:rPr>
            <w:rFonts w:eastAsia="MS Mincho"/>
            <w:szCs w:val="24"/>
          </w:rPr>
          <w:t>§ 233 odst. 3</w:t>
        </w:r>
      </w:hyperlink>
      <w:r w:rsidRPr="007A14A9">
        <w:rPr>
          <w:rFonts w:eastAsia="MS Mincho"/>
          <w:szCs w:val="24"/>
        </w:rPr>
        <w:t xml:space="preserve">, </w:t>
      </w:r>
    </w:p>
    <w:p w14:paraId="0F82F8C0"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c) </w:t>
      </w:r>
      <w:r w:rsidRPr="007A14A9">
        <w:rPr>
          <w:rFonts w:eastAsia="MS Mincho"/>
          <w:szCs w:val="24"/>
        </w:rPr>
        <w:tab/>
        <w:t xml:space="preserve">nevypracuje sdělení klíčových informací podle </w:t>
      </w:r>
      <w:hyperlink r:id="rId503" w:history="1">
        <w:r w:rsidRPr="007A14A9">
          <w:rPr>
            <w:rFonts w:eastAsia="MS Mincho"/>
            <w:szCs w:val="24"/>
          </w:rPr>
          <w:t>§ 227 až 230</w:t>
        </w:r>
      </w:hyperlink>
      <w:r w:rsidRPr="007A14A9">
        <w:rPr>
          <w:rFonts w:eastAsia="MS Mincho"/>
          <w:szCs w:val="24"/>
        </w:rPr>
        <w:t xml:space="preserve">, výroční zprávu tohoto fondu podle </w:t>
      </w:r>
      <w:hyperlink r:id="rId504" w:history="1">
        <w:r w:rsidRPr="007A14A9">
          <w:rPr>
            <w:rFonts w:eastAsia="MS Mincho"/>
            <w:szCs w:val="24"/>
          </w:rPr>
          <w:t>§ 234</w:t>
        </w:r>
      </w:hyperlink>
      <w:r w:rsidRPr="007A14A9">
        <w:rPr>
          <w:rFonts w:eastAsia="MS Mincho"/>
          <w:szCs w:val="24"/>
        </w:rPr>
        <w:t xml:space="preserve"> nebo pololetní zprávu tohoto fondu podle </w:t>
      </w:r>
      <w:hyperlink r:id="rId505" w:history="1">
        <w:r w:rsidRPr="007A14A9">
          <w:rPr>
            <w:rFonts w:eastAsia="MS Mincho"/>
            <w:szCs w:val="24"/>
          </w:rPr>
          <w:t>§ 238</w:t>
        </w:r>
      </w:hyperlink>
      <w:r w:rsidRPr="007A14A9">
        <w:rPr>
          <w:rFonts w:eastAsia="MS Mincho"/>
          <w:szCs w:val="24"/>
        </w:rPr>
        <w:t xml:space="preserve">, </w:t>
      </w:r>
    </w:p>
    <w:p w14:paraId="2E8DA589"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d) </w:t>
      </w:r>
      <w:r w:rsidRPr="007A14A9">
        <w:rPr>
          <w:rFonts w:eastAsia="MS Mincho"/>
          <w:szCs w:val="24"/>
        </w:rPr>
        <w:tab/>
        <w:t xml:space="preserve">v rozporu s </w:t>
      </w:r>
      <w:hyperlink r:id="rId506" w:history="1">
        <w:r w:rsidRPr="007A14A9">
          <w:rPr>
            <w:rFonts w:eastAsia="MS Mincho"/>
            <w:szCs w:val="24"/>
          </w:rPr>
          <w:t>§ 228</w:t>
        </w:r>
      </w:hyperlink>
      <w:r w:rsidRPr="007A14A9">
        <w:rPr>
          <w:rFonts w:eastAsia="MS Mincho"/>
          <w:szCs w:val="24"/>
        </w:rPr>
        <w:t xml:space="preserve"> neaktualizuje některý z údajů uvedených ve sdělení klíčových informací, nebo </w:t>
      </w:r>
    </w:p>
    <w:p w14:paraId="0B1443B4"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e) </w:t>
      </w:r>
      <w:r w:rsidRPr="007A14A9">
        <w:rPr>
          <w:rFonts w:eastAsia="MS Mincho"/>
          <w:szCs w:val="24"/>
        </w:rPr>
        <w:tab/>
        <w:t xml:space="preserve">neposkytne podílníkovi nebo akcionáři tohoto fondu některý z dokumentů podle </w:t>
      </w:r>
      <w:hyperlink r:id="rId507" w:history="1">
        <w:r w:rsidRPr="007A14A9">
          <w:rPr>
            <w:rFonts w:eastAsia="MS Mincho"/>
            <w:szCs w:val="24"/>
          </w:rPr>
          <w:t>§ 233 odst. 2</w:t>
        </w:r>
      </w:hyperlink>
      <w:r w:rsidRPr="007A14A9">
        <w:rPr>
          <w:rFonts w:eastAsia="MS Mincho"/>
          <w:szCs w:val="24"/>
        </w:rPr>
        <w:t xml:space="preserve"> nebo </w:t>
      </w:r>
      <w:hyperlink r:id="rId508" w:history="1">
        <w:r w:rsidRPr="007A14A9">
          <w:rPr>
            <w:rFonts w:eastAsia="MS Mincho"/>
            <w:szCs w:val="24"/>
          </w:rPr>
          <w:t>§ 237 odst. 2</w:t>
        </w:r>
      </w:hyperlink>
      <w:r w:rsidRPr="007A14A9">
        <w:rPr>
          <w:rFonts w:eastAsia="MS Mincho"/>
          <w:szCs w:val="24"/>
        </w:rPr>
        <w:t xml:space="preserve">. </w:t>
      </w:r>
    </w:p>
    <w:p w14:paraId="2375F615"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(6) Za přestupek podle odstavce 1 písm. g), l), m) nebo n), odstavce 2, 3, 4 nebo 5 lze uložit pokutu do </w:t>
      </w:r>
    </w:p>
    <w:p w14:paraId="7F6E451D"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a)</w:t>
      </w:r>
      <w:r w:rsidRPr="007A14A9">
        <w:rPr>
          <w:rFonts w:eastAsia="MS Mincho"/>
          <w:szCs w:val="24"/>
        </w:rPr>
        <w:tab/>
        <w:t xml:space="preserve">150 000 000 Kč, </w:t>
      </w:r>
    </w:p>
    <w:p w14:paraId="445E604C"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b) </w:t>
      </w:r>
      <w:r w:rsidRPr="007A14A9">
        <w:rPr>
          <w:rFonts w:eastAsia="MS Mincho"/>
          <w:szCs w:val="24"/>
        </w:rPr>
        <w:tab/>
        <w:t xml:space="preserve">výše 10 % celkového ročního obratu právnické osoby podle </w:t>
      </w:r>
      <w:r w:rsidRPr="007A14A9">
        <w:rPr>
          <w:rFonts w:eastAsia="MS Mincho"/>
          <w:strike/>
          <w:szCs w:val="24"/>
        </w:rPr>
        <w:t>její poslední řádné účetní závěrky nebo konsolidované účetní závěrky</w:t>
      </w:r>
      <w:r w:rsidRPr="007A14A9">
        <w:rPr>
          <w:rFonts w:eastAsia="MS Mincho"/>
          <w:b/>
          <w:szCs w:val="24"/>
        </w:rPr>
        <w:t xml:space="preserve"> poslední řádné konsolidované účetní závěrky</w:t>
      </w:r>
      <w:r w:rsidRPr="007A14A9">
        <w:rPr>
          <w:rFonts w:eastAsia="MS Mincho"/>
          <w:szCs w:val="24"/>
        </w:rPr>
        <w:t xml:space="preserve"> </w:t>
      </w:r>
      <w:r w:rsidRPr="007A14A9">
        <w:rPr>
          <w:rFonts w:eastAsia="MS Mincho"/>
          <w:b/>
          <w:szCs w:val="24"/>
        </w:rPr>
        <w:t>konsolidačního celku, v němž je zahrnuta,</w:t>
      </w:r>
      <w:r w:rsidRPr="007A14A9">
        <w:rPr>
          <w:rFonts w:eastAsia="MS Mincho"/>
          <w:szCs w:val="24"/>
        </w:rPr>
        <w:t xml:space="preserve"> </w:t>
      </w:r>
      <w:r w:rsidRPr="007A14A9">
        <w:rPr>
          <w:rFonts w:eastAsia="MS Mincho"/>
          <w:b/>
          <w:szCs w:val="24"/>
        </w:rPr>
        <w:t>nebo řádné individuální účetní závěrky, není-li taková konsolidovaná účetní závěrka</w:t>
      </w:r>
      <w:r w:rsidRPr="007A14A9">
        <w:rPr>
          <w:rFonts w:eastAsia="MS Mincho"/>
          <w:szCs w:val="24"/>
        </w:rPr>
        <w:t xml:space="preserve">, přesahuje-li takto určená výše pokuty částku 150 000 000 Kč, nebo </w:t>
      </w:r>
    </w:p>
    <w:p w14:paraId="73A119B3"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c) </w:t>
      </w:r>
      <w:r w:rsidRPr="007A14A9">
        <w:rPr>
          <w:rFonts w:eastAsia="MS Mincho"/>
          <w:szCs w:val="24"/>
        </w:rPr>
        <w:tab/>
        <w:t xml:space="preserve">výše dvojnásobku neoprávněného prospěchu získaného spácháním tohoto přestupku, je-li možné výši neoprávněného prospěchu zjistit a přesahuje-li takto určená výše pokuty částku 150 000 000 Kč. </w:t>
      </w:r>
    </w:p>
    <w:p w14:paraId="0663DCEB"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(7) Za přestupek podle odstavce 1 písm. a), b), c), d), e), f), g), h), i), j) nebo k) lze uložit pokutu do </w:t>
      </w:r>
    </w:p>
    <w:p w14:paraId="401EE4A2"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a) </w:t>
      </w:r>
      <w:r w:rsidRPr="007A14A9">
        <w:rPr>
          <w:rFonts w:eastAsia="MS Mincho"/>
          <w:szCs w:val="24"/>
        </w:rPr>
        <w:tab/>
        <w:t xml:space="preserve">300 000 000 Kč, </w:t>
      </w:r>
    </w:p>
    <w:p w14:paraId="7C35FCB4"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b) </w:t>
      </w:r>
      <w:r w:rsidRPr="007A14A9">
        <w:rPr>
          <w:rFonts w:eastAsia="MS Mincho"/>
          <w:szCs w:val="24"/>
        </w:rPr>
        <w:tab/>
        <w:t xml:space="preserve">výše 10 % celkového ročního obratu právnické osoby podle </w:t>
      </w:r>
      <w:r w:rsidRPr="007A14A9">
        <w:rPr>
          <w:rFonts w:eastAsia="MS Mincho"/>
          <w:strike/>
          <w:szCs w:val="24"/>
        </w:rPr>
        <w:t>její poslední řádné účetní závěrky nebo konsolidované účetní závěrky</w:t>
      </w:r>
      <w:r w:rsidRPr="007A14A9">
        <w:rPr>
          <w:rFonts w:eastAsia="MS Mincho"/>
          <w:b/>
          <w:szCs w:val="24"/>
        </w:rPr>
        <w:t xml:space="preserve"> poslední řádné konsolidované účetní závěrky</w:t>
      </w:r>
      <w:r w:rsidRPr="007A14A9">
        <w:rPr>
          <w:rFonts w:eastAsia="MS Mincho"/>
          <w:szCs w:val="24"/>
        </w:rPr>
        <w:t xml:space="preserve"> </w:t>
      </w:r>
      <w:r w:rsidRPr="007A14A9">
        <w:rPr>
          <w:rFonts w:eastAsia="MS Mincho"/>
          <w:b/>
          <w:szCs w:val="24"/>
        </w:rPr>
        <w:t>konsolidačního celku, v němž je zahrnuta,</w:t>
      </w:r>
      <w:r w:rsidRPr="007A14A9">
        <w:rPr>
          <w:rFonts w:eastAsia="MS Mincho"/>
          <w:szCs w:val="24"/>
        </w:rPr>
        <w:t xml:space="preserve"> </w:t>
      </w:r>
      <w:r w:rsidRPr="007A14A9">
        <w:rPr>
          <w:rFonts w:eastAsia="MS Mincho"/>
          <w:b/>
          <w:szCs w:val="24"/>
        </w:rPr>
        <w:t>nebo řádné individuální účetní závěrky, není-li taková konsolidovaná účetní závěrka</w:t>
      </w:r>
      <w:r w:rsidRPr="007A14A9">
        <w:rPr>
          <w:rFonts w:eastAsia="MS Mincho"/>
          <w:szCs w:val="24"/>
        </w:rPr>
        <w:t xml:space="preserve">, přesahuje-li takto určená výše pokuty částku 300 000 000 Kč, nebo </w:t>
      </w:r>
    </w:p>
    <w:p w14:paraId="3E2C8E23"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c) </w:t>
      </w:r>
      <w:r w:rsidRPr="007A14A9">
        <w:rPr>
          <w:rFonts w:eastAsia="MS Mincho"/>
          <w:szCs w:val="24"/>
        </w:rPr>
        <w:tab/>
        <w:t xml:space="preserve">výše dvojnásobku neoprávněného prospěchu získaného spácháním tohoto přestupku, je-li možné výši neoprávněného prospěchu zjistit a přesahuje-li takto určená výše pokuty částku 300 000 000 Kč. </w:t>
      </w:r>
    </w:p>
    <w:p w14:paraId="4E559B39"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(8) Za přestupek podle odstavce 1, 2, 3, 4 nebo 5 lze namísto pokuty nebo spolu s pokutou nařídit uveřejnění informace o tom, jaká je povaha protiprávního jednání a která osoba takto jednala. </w:t>
      </w:r>
    </w:p>
    <w:p w14:paraId="4530B0A0" w14:textId="77777777" w:rsidR="007A14A9" w:rsidRPr="007A14A9" w:rsidRDefault="007A14A9" w:rsidP="007A14A9">
      <w:pPr>
        <w:keepNext/>
        <w:keepLines/>
        <w:ind w:firstLine="0"/>
        <w:jc w:val="center"/>
        <w:outlineLvl w:val="5"/>
      </w:pPr>
      <w:r w:rsidRPr="007A14A9">
        <w:lastRenderedPageBreak/>
        <w:t>§ 605</w:t>
      </w:r>
    </w:p>
    <w:p w14:paraId="77F4B892"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(1)</w:t>
      </w:r>
      <w:r w:rsidRPr="007A14A9">
        <w:rPr>
          <w:rFonts w:eastAsia="MS Mincho"/>
          <w:szCs w:val="24"/>
        </w:rPr>
        <w:tab/>
        <w:t xml:space="preserve">Administrátor fondu kolektivního investování, který má právní formu akciové společnosti, se dopustí přestupku tím, že v rozporu s </w:t>
      </w:r>
      <w:hyperlink r:id="rId509" w:history="1">
        <w:r w:rsidRPr="007A14A9">
          <w:rPr>
            <w:rFonts w:eastAsia="MS Mincho"/>
            <w:szCs w:val="24"/>
          </w:rPr>
          <w:t>§ 223</w:t>
        </w:r>
      </w:hyperlink>
      <w:r w:rsidRPr="007A14A9">
        <w:rPr>
          <w:rFonts w:eastAsia="MS Mincho"/>
          <w:szCs w:val="24"/>
        </w:rPr>
        <w:t xml:space="preserve"> neuveřejní stanovy tohoto fondu. </w:t>
      </w:r>
    </w:p>
    <w:p w14:paraId="0259C010"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(2)</w:t>
      </w:r>
      <w:r w:rsidRPr="007A14A9">
        <w:rPr>
          <w:rFonts w:eastAsia="MS Mincho"/>
          <w:szCs w:val="24"/>
        </w:rPr>
        <w:tab/>
        <w:t xml:space="preserve">Administrátor standardního fondu, speciálního fondu, který je otevřeným podílovým fondem nebo akciovou společností s proměnným základním kapitálem, nebo srovnatelného zahraničního investičního fondu, jsou-li investice do tohoto fondu nabízeny v České republice, se dopustí přestupku tím, že neuveřejní některý z údajů podle </w:t>
      </w:r>
      <w:hyperlink r:id="rId510" w:history="1">
        <w:r w:rsidRPr="007A14A9">
          <w:rPr>
            <w:rFonts w:eastAsia="MS Mincho"/>
            <w:szCs w:val="24"/>
          </w:rPr>
          <w:t>§ 239</w:t>
        </w:r>
      </w:hyperlink>
      <w:r w:rsidRPr="007A14A9">
        <w:rPr>
          <w:rFonts w:eastAsia="MS Mincho"/>
          <w:szCs w:val="24"/>
        </w:rPr>
        <w:t xml:space="preserve">. </w:t>
      </w:r>
    </w:p>
    <w:p w14:paraId="4829E594"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(3)</w:t>
      </w:r>
      <w:r w:rsidRPr="007A14A9">
        <w:rPr>
          <w:rFonts w:eastAsia="MS Mincho"/>
          <w:szCs w:val="24"/>
        </w:rPr>
        <w:tab/>
        <w:t xml:space="preserve">Administrátor fondu kolektivního investování, který neodkupuje jím vydávané cenné papíry nebo zaknihované cenné papíry, nebo srovnatelného zahraničního investičního fondu, jsou-li investice do tohoto fondu nabízeny v České republice, se dopustí přestupku tím, že neuveřejní některý z údajů podle </w:t>
      </w:r>
      <w:hyperlink r:id="rId511" w:history="1">
        <w:r w:rsidRPr="007A14A9">
          <w:rPr>
            <w:rFonts w:eastAsia="MS Mincho"/>
            <w:szCs w:val="24"/>
          </w:rPr>
          <w:t>§ 240</w:t>
        </w:r>
      </w:hyperlink>
      <w:r w:rsidRPr="007A14A9">
        <w:rPr>
          <w:rFonts w:eastAsia="MS Mincho"/>
          <w:szCs w:val="24"/>
        </w:rPr>
        <w:t xml:space="preserve">. </w:t>
      </w:r>
    </w:p>
    <w:p w14:paraId="0A59285A"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(4) Administrátor speciálního fondu, fondu kvalifikovaných investorů nebo srovnatelného zahraničního investičního fondu, jehož obhospodařovatel je oprávněn přesáhnout rozhodný limit, se dopustí přestupku tím, že </w:t>
      </w:r>
    </w:p>
    <w:p w14:paraId="196DB70D"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a)</w:t>
      </w:r>
      <w:r w:rsidRPr="007A14A9">
        <w:rPr>
          <w:rFonts w:eastAsia="MS Mincho"/>
          <w:szCs w:val="24"/>
        </w:rPr>
        <w:tab/>
        <w:t xml:space="preserve">nezpřístupní investorovi některý z údajů podle </w:t>
      </w:r>
      <w:hyperlink r:id="rId512" w:history="1">
        <w:r w:rsidRPr="007A14A9">
          <w:rPr>
            <w:rFonts w:eastAsia="MS Mincho"/>
            <w:szCs w:val="24"/>
          </w:rPr>
          <w:t>§ 241 odst. 1, 3 nebo 4</w:t>
        </w:r>
      </w:hyperlink>
      <w:r w:rsidRPr="007A14A9">
        <w:rPr>
          <w:rFonts w:eastAsia="MS Mincho"/>
          <w:szCs w:val="24"/>
        </w:rPr>
        <w:t xml:space="preserve">, nebo </w:t>
      </w:r>
    </w:p>
    <w:p w14:paraId="21142399"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b)</w:t>
      </w:r>
      <w:r w:rsidRPr="007A14A9">
        <w:rPr>
          <w:rFonts w:eastAsia="MS Mincho"/>
          <w:szCs w:val="24"/>
        </w:rPr>
        <w:tab/>
        <w:t xml:space="preserve">v rozporu s </w:t>
      </w:r>
      <w:hyperlink r:id="rId513" w:history="1">
        <w:r w:rsidRPr="007A14A9">
          <w:rPr>
            <w:rFonts w:eastAsia="MS Mincho"/>
            <w:szCs w:val="24"/>
          </w:rPr>
          <w:t>§ 241 odst. 2</w:t>
        </w:r>
      </w:hyperlink>
      <w:r w:rsidRPr="007A14A9">
        <w:rPr>
          <w:rFonts w:eastAsia="MS Mincho"/>
          <w:szCs w:val="24"/>
        </w:rPr>
        <w:t xml:space="preserve"> neaktualizuje některý z údajů. </w:t>
      </w:r>
    </w:p>
    <w:p w14:paraId="1CA66F10" w14:textId="77777777" w:rsidR="007A14A9" w:rsidRPr="007A14A9" w:rsidRDefault="007A14A9" w:rsidP="007A14A9">
      <w:pPr>
        <w:tabs>
          <w:tab w:val="left" w:pos="782"/>
          <w:tab w:val="left" w:pos="851"/>
        </w:tabs>
        <w:spacing w:before="120" w:after="120"/>
        <w:outlineLvl w:val="6"/>
        <w:rPr>
          <w:szCs w:val="24"/>
        </w:rPr>
      </w:pPr>
      <w:r w:rsidRPr="007A14A9">
        <w:rPr>
          <w:rFonts w:eastAsia="MS Mincho"/>
          <w:szCs w:val="24"/>
        </w:rPr>
        <w:t>(5)</w:t>
      </w:r>
      <w:r w:rsidRPr="007A14A9">
        <w:rPr>
          <w:rFonts w:eastAsia="MS Mincho"/>
          <w:szCs w:val="24"/>
        </w:rPr>
        <w:tab/>
        <w:t>Administrátor fondu kolektivního investování</w:t>
      </w:r>
      <w:r w:rsidRPr="007A14A9">
        <w:rPr>
          <w:szCs w:val="24"/>
        </w:rPr>
        <w:t xml:space="preserve"> nebo srovnatelného zahraničního investičního fondu se dopustí přestupku tím, že vypracuje propagační sdělení tohoto fondu v rozporu s § 243 nebo čl. 4 nařízení Evropského parlamentu a Rady (EU) č. 2019/1156.</w:t>
      </w:r>
    </w:p>
    <w:p w14:paraId="37FF816B"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(6) Za přestupek podle odstavců 1 až 5 lze uložit pokutu do</w:t>
      </w:r>
    </w:p>
    <w:p w14:paraId="6014C015"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a)</w:t>
      </w:r>
      <w:r w:rsidRPr="007A14A9">
        <w:rPr>
          <w:rFonts w:eastAsia="MS Mincho"/>
          <w:szCs w:val="24"/>
        </w:rPr>
        <w:tab/>
        <w:t xml:space="preserve">150 000 000 Kč, </w:t>
      </w:r>
    </w:p>
    <w:p w14:paraId="1719DA25"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b) </w:t>
      </w:r>
      <w:r w:rsidRPr="007A14A9">
        <w:rPr>
          <w:rFonts w:eastAsia="MS Mincho"/>
          <w:szCs w:val="24"/>
        </w:rPr>
        <w:tab/>
        <w:t xml:space="preserve">výše 10 % celkového ročního obratu právnické osoby podle její poslední řádné </w:t>
      </w:r>
      <w:r w:rsidRPr="007A14A9">
        <w:rPr>
          <w:rFonts w:eastAsia="MS Mincho"/>
          <w:strike/>
          <w:szCs w:val="24"/>
        </w:rPr>
        <w:t>její poslední řádné účetní závěrky nebo konsolidované účetní závěrky</w:t>
      </w:r>
      <w:r w:rsidRPr="007A14A9">
        <w:rPr>
          <w:rFonts w:eastAsia="MS Mincho"/>
          <w:b/>
          <w:szCs w:val="24"/>
        </w:rPr>
        <w:t xml:space="preserve"> poslední řádné konsolidované účetní závěrky</w:t>
      </w:r>
      <w:r w:rsidRPr="007A14A9">
        <w:rPr>
          <w:rFonts w:eastAsia="MS Mincho"/>
          <w:szCs w:val="24"/>
        </w:rPr>
        <w:t xml:space="preserve"> </w:t>
      </w:r>
      <w:r w:rsidRPr="007A14A9">
        <w:rPr>
          <w:rFonts w:eastAsia="MS Mincho"/>
          <w:b/>
          <w:szCs w:val="24"/>
        </w:rPr>
        <w:t>konsolidačního celku, v němž je zahrnuta,</w:t>
      </w:r>
      <w:r w:rsidRPr="007A14A9">
        <w:rPr>
          <w:rFonts w:eastAsia="MS Mincho"/>
          <w:szCs w:val="24"/>
        </w:rPr>
        <w:t xml:space="preserve"> </w:t>
      </w:r>
      <w:r w:rsidRPr="007A14A9">
        <w:rPr>
          <w:rFonts w:eastAsia="MS Mincho"/>
          <w:b/>
          <w:szCs w:val="24"/>
        </w:rPr>
        <w:t>nebo řádné individuální účetní závěrky, není-li taková konsolidovaná účetní závěrka</w:t>
      </w:r>
      <w:r w:rsidRPr="007A14A9">
        <w:rPr>
          <w:rFonts w:eastAsia="MS Mincho"/>
          <w:szCs w:val="24"/>
        </w:rPr>
        <w:t xml:space="preserve">, přesahuje-li takto určená výše pokuty částku 150 000 000 Kč, nebo </w:t>
      </w:r>
    </w:p>
    <w:p w14:paraId="55D28239"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c) </w:t>
      </w:r>
      <w:r w:rsidRPr="007A14A9">
        <w:rPr>
          <w:rFonts w:eastAsia="MS Mincho"/>
          <w:szCs w:val="24"/>
        </w:rPr>
        <w:tab/>
        <w:t xml:space="preserve">výše dvojnásobku neoprávněného prospěchu získaného spácháním tohoto přestupku, je-li možné výši neoprávněného prospěchu zjistit a přesahuje-li takto určená výše pokuty částku 150 000 000 Kč. </w:t>
      </w:r>
    </w:p>
    <w:p w14:paraId="07DABB2C"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(7) Za přestupek podle odstavce 1, 2, 3, 4 nebo 5 lze namísto pokuty nebo spolu s pokutou nařídit uveřejnění informace o tom, jaká je povaha protiprávního jednání a která osoba takto jednala. </w:t>
      </w:r>
    </w:p>
    <w:p w14:paraId="6D4B4120" w14:textId="77777777" w:rsidR="007A14A9" w:rsidRPr="007A14A9" w:rsidRDefault="007A14A9" w:rsidP="007A14A9">
      <w:pPr>
        <w:keepNext/>
        <w:keepLines/>
        <w:ind w:firstLine="0"/>
        <w:jc w:val="center"/>
        <w:outlineLvl w:val="5"/>
      </w:pPr>
      <w:r w:rsidRPr="007A14A9">
        <w:t xml:space="preserve">§ 606 </w:t>
      </w:r>
    </w:p>
    <w:p w14:paraId="7B0E6707"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(1) Administrátor podřízeného fondu se dopustí přestupku tím, že </w:t>
      </w:r>
    </w:p>
    <w:p w14:paraId="729361DD"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a)</w:t>
      </w:r>
      <w:r w:rsidRPr="007A14A9">
        <w:rPr>
          <w:rFonts w:eastAsia="MS Mincho"/>
          <w:szCs w:val="24"/>
        </w:rPr>
        <w:tab/>
        <w:t xml:space="preserve">neposkytne investorovi dokument podle </w:t>
      </w:r>
      <w:hyperlink r:id="rId514" w:history="1">
        <w:r w:rsidRPr="007A14A9">
          <w:rPr>
            <w:rFonts w:eastAsia="MS Mincho"/>
            <w:szCs w:val="24"/>
          </w:rPr>
          <w:t>§ 224 odst. 2</w:t>
        </w:r>
      </w:hyperlink>
      <w:r w:rsidRPr="007A14A9">
        <w:rPr>
          <w:rFonts w:eastAsia="MS Mincho"/>
          <w:szCs w:val="24"/>
        </w:rPr>
        <w:t xml:space="preserve">, </w:t>
      </w:r>
    </w:p>
    <w:p w14:paraId="1B1E51E6"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b) </w:t>
      </w:r>
      <w:r w:rsidRPr="007A14A9">
        <w:rPr>
          <w:rFonts w:eastAsia="MS Mincho"/>
          <w:szCs w:val="24"/>
        </w:rPr>
        <w:tab/>
        <w:t xml:space="preserve">v propagačním sdělení tohoto fondu neuvede některý z údajů podle </w:t>
      </w:r>
      <w:hyperlink r:id="rId515" w:history="1">
        <w:r w:rsidRPr="007A14A9">
          <w:rPr>
            <w:rFonts w:eastAsia="MS Mincho"/>
            <w:szCs w:val="24"/>
          </w:rPr>
          <w:t>§ 244</w:t>
        </w:r>
      </w:hyperlink>
      <w:r w:rsidRPr="007A14A9">
        <w:rPr>
          <w:rFonts w:eastAsia="MS Mincho"/>
          <w:szCs w:val="24"/>
        </w:rPr>
        <w:t xml:space="preserve">, </w:t>
      </w:r>
    </w:p>
    <w:p w14:paraId="7538ACB5"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c) </w:t>
      </w:r>
      <w:r w:rsidRPr="007A14A9">
        <w:rPr>
          <w:rFonts w:eastAsia="MS Mincho"/>
          <w:szCs w:val="24"/>
        </w:rPr>
        <w:tab/>
        <w:t xml:space="preserve">neuveřejní oznámení podle </w:t>
      </w:r>
      <w:hyperlink r:id="rId516" w:history="1">
        <w:r w:rsidRPr="007A14A9">
          <w:rPr>
            <w:rFonts w:eastAsia="MS Mincho"/>
            <w:szCs w:val="24"/>
          </w:rPr>
          <w:t>§ 249 odst. 1</w:t>
        </w:r>
      </w:hyperlink>
      <w:r w:rsidRPr="007A14A9">
        <w:rPr>
          <w:rFonts w:eastAsia="MS Mincho"/>
          <w:szCs w:val="24"/>
        </w:rPr>
        <w:t xml:space="preserve">, </w:t>
      </w:r>
    </w:p>
    <w:p w14:paraId="1A4698E3"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d)</w:t>
      </w:r>
      <w:r w:rsidRPr="007A14A9">
        <w:rPr>
          <w:rFonts w:eastAsia="MS Mincho"/>
          <w:szCs w:val="24"/>
        </w:rPr>
        <w:tab/>
        <w:t xml:space="preserve"> neposkytne podílníkovi nebo akcionáři tohoto fondu prohlášení nebo některý z údajů podle </w:t>
      </w:r>
      <w:hyperlink r:id="rId517" w:history="1">
        <w:r w:rsidRPr="007A14A9">
          <w:rPr>
            <w:rFonts w:eastAsia="MS Mincho"/>
            <w:szCs w:val="24"/>
          </w:rPr>
          <w:t>§ 249 odst. 2</w:t>
        </w:r>
      </w:hyperlink>
      <w:r w:rsidRPr="007A14A9">
        <w:rPr>
          <w:rFonts w:eastAsia="MS Mincho"/>
          <w:szCs w:val="24"/>
        </w:rPr>
        <w:t xml:space="preserve">, </w:t>
      </w:r>
    </w:p>
    <w:p w14:paraId="2163FD21"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e) </w:t>
      </w:r>
      <w:r w:rsidRPr="007A14A9">
        <w:rPr>
          <w:rFonts w:eastAsia="MS Mincho"/>
          <w:szCs w:val="24"/>
        </w:rPr>
        <w:tab/>
        <w:t xml:space="preserve">srazí částku v rozporu s </w:t>
      </w:r>
      <w:hyperlink r:id="rId518" w:history="1">
        <w:r w:rsidRPr="007A14A9">
          <w:rPr>
            <w:rFonts w:eastAsia="MS Mincho"/>
            <w:szCs w:val="24"/>
          </w:rPr>
          <w:t>§ 250 odst. 1</w:t>
        </w:r>
      </w:hyperlink>
      <w:r w:rsidRPr="007A14A9">
        <w:rPr>
          <w:rFonts w:eastAsia="MS Mincho"/>
          <w:szCs w:val="24"/>
        </w:rPr>
        <w:t xml:space="preserve">, nebo </w:t>
      </w:r>
    </w:p>
    <w:p w14:paraId="13F2AB77"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f) </w:t>
      </w:r>
      <w:r w:rsidRPr="007A14A9">
        <w:rPr>
          <w:rFonts w:eastAsia="MS Mincho"/>
          <w:szCs w:val="24"/>
        </w:rPr>
        <w:tab/>
        <w:t xml:space="preserve">neposkytne podílníkovi nebo akcionáři tohoto fondu nebo osobě ve srovnatelném postavení dokument podle </w:t>
      </w:r>
      <w:hyperlink r:id="rId519" w:history="1">
        <w:r w:rsidRPr="007A14A9">
          <w:rPr>
            <w:rFonts w:eastAsia="MS Mincho"/>
            <w:szCs w:val="24"/>
          </w:rPr>
          <w:t>§ 251 odst. 3</w:t>
        </w:r>
      </w:hyperlink>
      <w:r w:rsidRPr="007A14A9">
        <w:rPr>
          <w:rFonts w:eastAsia="MS Mincho"/>
          <w:szCs w:val="24"/>
        </w:rPr>
        <w:t xml:space="preserve">. </w:t>
      </w:r>
    </w:p>
    <w:p w14:paraId="5FA8AADA"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lastRenderedPageBreak/>
        <w:t xml:space="preserve">(2) Administrátor fondu kvalifikovaných investorů, jehož obhospodařovatel je oprávněn přesáhnout rozhodný limit, se dopustí přestupku tím, že </w:t>
      </w:r>
    </w:p>
    <w:p w14:paraId="64AF56FE"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a) </w:t>
      </w:r>
      <w:r w:rsidRPr="007A14A9">
        <w:rPr>
          <w:rFonts w:eastAsia="MS Mincho"/>
          <w:szCs w:val="24"/>
        </w:rPr>
        <w:tab/>
      </w:r>
      <w:r w:rsidRPr="007A14A9">
        <w:rPr>
          <w:rFonts w:eastAsia="MS Mincho"/>
          <w:b/>
          <w:szCs w:val="24"/>
        </w:rPr>
        <w:t xml:space="preserve">nezveřejní řádnou účetní závěrku, zprávu fondu kvalifikovaných investorů podle zákona upravujícího účetnictví, je-li vyhotovována, nebo zprávu o jejich ověření, jsou-li ověřovány, nebo </w:t>
      </w:r>
      <w:r w:rsidRPr="007A14A9">
        <w:rPr>
          <w:rFonts w:eastAsia="MS Mincho"/>
          <w:szCs w:val="24"/>
        </w:rPr>
        <w:t xml:space="preserve">nevyhotoví výroční zprávu tohoto fondu podle </w:t>
      </w:r>
      <w:hyperlink r:id="rId520" w:history="1">
        <w:r w:rsidRPr="007A14A9">
          <w:rPr>
            <w:rFonts w:eastAsia="MS Mincho"/>
            <w:szCs w:val="24"/>
          </w:rPr>
          <w:t>§ 290 odst. 1</w:t>
        </w:r>
      </w:hyperlink>
      <w:r w:rsidRPr="007A14A9">
        <w:rPr>
          <w:rFonts w:eastAsia="MS Mincho"/>
          <w:szCs w:val="24"/>
        </w:rPr>
        <w:t xml:space="preserve"> nebo </w:t>
      </w:r>
      <w:hyperlink r:id="rId521" w:history="1">
        <w:r w:rsidRPr="007A14A9">
          <w:rPr>
            <w:rFonts w:eastAsia="MS Mincho"/>
            <w:szCs w:val="24"/>
          </w:rPr>
          <w:t>§ 291</w:t>
        </w:r>
      </w:hyperlink>
      <w:r w:rsidRPr="007A14A9">
        <w:rPr>
          <w:rFonts w:eastAsia="MS Mincho"/>
          <w:szCs w:val="24"/>
        </w:rPr>
        <w:t xml:space="preserve">, </w:t>
      </w:r>
    </w:p>
    <w:p w14:paraId="35A93A65"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b) </w:t>
      </w:r>
      <w:r w:rsidRPr="007A14A9">
        <w:rPr>
          <w:rFonts w:eastAsia="MS Mincho"/>
          <w:szCs w:val="24"/>
        </w:rPr>
        <w:tab/>
        <w:t xml:space="preserve">neposkytne společníkovi nebo podílníkovi výroční zprávu tohoto fondu v rozporu s </w:t>
      </w:r>
      <w:hyperlink r:id="rId522" w:history="1">
        <w:r w:rsidRPr="007A14A9">
          <w:rPr>
            <w:rFonts w:eastAsia="MS Mincho"/>
            <w:szCs w:val="24"/>
          </w:rPr>
          <w:t>§ 290 odst. 2</w:t>
        </w:r>
      </w:hyperlink>
      <w:r w:rsidRPr="007A14A9">
        <w:rPr>
          <w:rFonts w:eastAsia="MS Mincho"/>
          <w:szCs w:val="24"/>
        </w:rPr>
        <w:t xml:space="preserve">, nebo </w:t>
      </w:r>
    </w:p>
    <w:p w14:paraId="383212A7"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c) </w:t>
      </w:r>
      <w:r w:rsidRPr="007A14A9">
        <w:rPr>
          <w:rFonts w:eastAsia="MS Mincho"/>
          <w:szCs w:val="24"/>
        </w:rPr>
        <w:tab/>
        <w:t xml:space="preserve">neposkytne investorovi na jeho žádost údaje podle </w:t>
      </w:r>
      <w:hyperlink r:id="rId523" w:history="1">
        <w:r w:rsidRPr="007A14A9">
          <w:rPr>
            <w:rFonts w:eastAsia="MS Mincho"/>
            <w:szCs w:val="24"/>
          </w:rPr>
          <w:t>§ 290 odst. 3</w:t>
        </w:r>
      </w:hyperlink>
      <w:r w:rsidRPr="007A14A9">
        <w:rPr>
          <w:rFonts w:eastAsia="MS Mincho"/>
          <w:szCs w:val="24"/>
        </w:rPr>
        <w:t xml:space="preserve">. </w:t>
      </w:r>
    </w:p>
    <w:p w14:paraId="740261F6"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(3)</w:t>
      </w:r>
      <w:r w:rsidRPr="007A14A9">
        <w:rPr>
          <w:rFonts w:eastAsia="MS Mincho"/>
          <w:szCs w:val="24"/>
        </w:rPr>
        <w:tab/>
        <w:t xml:space="preserve">Administrátor zahraničního investičního fondu srovnatelného se standardním fondem, jsou-li investice do tohoto fondu nabízeny v České republice, se dopustí přestupku tím, že </w:t>
      </w:r>
    </w:p>
    <w:p w14:paraId="1A751DA5"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a) </w:t>
      </w:r>
      <w:r w:rsidRPr="007A14A9">
        <w:rPr>
          <w:rFonts w:eastAsia="MS Mincho"/>
          <w:szCs w:val="24"/>
        </w:rPr>
        <w:tab/>
        <w:t xml:space="preserve">neuveřejní některý z dokumentů nebo údajů podle </w:t>
      </w:r>
      <w:hyperlink r:id="rId524" w:history="1">
        <w:r w:rsidRPr="007A14A9">
          <w:rPr>
            <w:rFonts w:eastAsia="MS Mincho"/>
            <w:szCs w:val="24"/>
          </w:rPr>
          <w:t>§ 307</w:t>
        </w:r>
      </w:hyperlink>
      <w:r w:rsidRPr="007A14A9">
        <w:rPr>
          <w:rFonts w:eastAsia="MS Mincho"/>
          <w:szCs w:val="24"/>
        </w:rPr>
        <w:t xml:space="preserve">, nebo </w:t>
      </w:r>
    </w:p>
    <w:p w14:paraId="19FEFF69"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b) </w:t>
      </w:r>
      <w:r w:rsidRPr="007A14A9">
        <w:rPr>
          <w:rFonts w:eastAsia="MS Mincho"/>
          <w:szCs w:val="24"/>
        </w:rPr>
        <w:tab/>
        <w:t xml:space="preserve">neoznámí České národní bance některý z údajů nebo některou ze skutečností podle </w:t>
      </w:r>
      <w:hyperlink r:id="rId525" w:history="1">
        <w:r w:rsidRPr="007A14A9">
          <w:rPr>
            <w:rFonts w:eastAsia="MS Mincho"/>
            <w:szCs w:val="24"/>
          </w:rPr>
          <w:t>§ 461 odst. 1 nebo 2</w:t>
        </w:r>
      </w:hyperlink>
      <w:r w:rsidRPr="007A14A9">
        <w:rPr>
          <w:rFonts w:eastAsia="MS Mincho"/>
          <w:szCs w:val="24"/>
        </w:rPr>
        <w:t xml:space="preserve">. </w:t>
      </w:r>
    </w:p>
    <w:p w14:paraId="66992906"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(4) Administrátor standardního fondu, který má být splynutím nebo sloučením zrušen, se dopustí přestupku tím, že nezpracuje, neuveřejní nebo neposkytne sdělení podle </w:t>
      </w:r>
      <w:hyperlink r:id="rId526" w:history="1">
        <w:r w:rsidRPr="007A14A9">
          <w:rPr>
            <w:rFonts w:eastAsia="MS Mincho"/>
            <w:szCs w:val="24"/>
          </w:rPr>
          <w:t>§ 388</w:t>
        </w:r>
      </w:hyperlink>
      <w:r w:rsidRPr="007A14A9">
        <w:rPr>
          <w:rFonts w:eastAsia="MS Mincho"/>
          <w:szCs w:val="24"/>
        </w:rPr>
        <w:t xml:space="preserve"> nebo </w:t>
      </w:r>
      <w:hyperlink r:id="rId527" w:history="1">
        <w:r w:rsidRPr="007A14A9">
          <w:rPr>
            <w:rFonts w:eastAsia="MS Mincho"/>
            <w:szCs w:val="24"/>
          </w:rPr>
          <w:t>404</w:t>
        </w:r>
      </w:hyperlink>
      <w:r w:rsidRPr="007A14A9">
        <w:rPr>
          <w:rFonts w:eastAsia="MS Mincho"/>
          <w:szCs w:val="24"/>
        </w:rPr>
        <w:t xml:space="preserve">. </w:t>
      </w:r>
    </w:p>
    <w:p w14:paraId="1CC7A8C5"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(5) Administrátor podílového fondu, který má být splynutím nebo sloučením zrušen, se dopustí přestupku tím, že neuveřejní některý z dokumentů nebo oznámení podle </w:t>
      </w:r>
      <w:hyperlink r:id="rId528" w:history="1">
        <w:r w:rsidRPr="007A14A9">
          <w:rPr>
            <w:rFonts w:eastAsia="MS Mincho"/>
            <w:szCs w:val="24"/>
          </w:rPr>
          <w:t>§ 391 odst. 1</w:t>
        </w:r>
      </w:hyperlink>
      <w:r w:rsidRPr="007A14A9">
        <w:rPr>
          <w:rFonts w:eastAsia="MS Mincho"/>
          <w:szCs w:val="24"/>
        </w:rPr>
        <w:t xml:space="preserve"> nebo </w:t>
      </w:r>
      <w:hyperlink r:id="rId529" w:history="1">
        <w:r w:rsidRPr="007A14A9">
          <w:rPr>
            <w:rFonts w:eastAsia="MS Mincho"/>
            <w:szCs w:val="24"/>
          </w:rPr>
          <w:t>§ 407 odst. 1</w:t>
        </w:r>
      </w:hyperlink>
      <w:r w:rsidRPr="007A14A9">
        <w:rPr>
          <w:rFonts w:eastAsia="MS Mincho"/>
          <w:szCs w:val="24"/>
        </w:rPr>
        <w:t xml:space="preserve">. </w:t>
      </w:r>
    </w:p>
    <w:p w14:paraId="32A23C06"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(6) Za přestupek podle odstavců 1 až 5 lze uložit pokutu do </w:t>
      </w:r>
    </w:p>
    <w:p w14:paraId="14E57D56"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a) </w:t>
      </w:r>
      <w:r w:rsidRPr="007A14A9">
        <w:rPr>
          <w:rFonts w:eastAsia="MS Mincho"/>
          <w:szCs w:val="24"/>
        </w:rPr>
        <w:tab/>
        <w:t xml:space="preserve">150 000 000 Kč, </w:t>
      </w:r>
    </w:p>
    <w:p w14:paraId="430606D6"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b) </w:t>
      </w:r>
      <w:r w:rsidRPr="007A14A9">
        <w:rPr>
          <w:rFonts w:eastAsia="MS Mincho"/>
          <w:szCs w:val="24"/>
        </w:rPr>
        <w:tab/>
        <w:t xml:space="preserve">výše 10 % celkového ročního obratu právnické osoby podle </w:t>
      </w:r>
      <w:r w:rsidRPr="007A14A9">
        <w:rPr>
          <w:rFonts w:eastAsia="MS Mincho"/>
          <w:strike/>
          <w:szCs w:val="24"/>
        </w:rPr>
        <w:t>její poslední řádné účetní závěrky nebo konsolidované účetní závěrky</w:t>
      </w:r>
      <w:r w:rsidRPr="007A14A9">
        <w:rPr>
          <w:rFonts w:eastAsia="MS Mincho"/>
          <w:b/>
          <w:szCs w:val="24"/>
        </w:rPr>
        <w:t xml:space="preserve"> poslední řádné konsolidované účetní závěrky</w:t>
      </w:r>
      <w:r w:rsidRPr="007A14A9">
        <w:rPr>
          <w:rFonts w:eastAsia="MS Mincho"/>
          <w:szCs w:val="24"/>
        </w:rPr>
        <w:t xml:space="preserve"> </w:t>
      </w:r>
      <w:r w:rsidRPr="007A14A9">
        <w:rPr>
          <w:rFonts w:eastAsia="MS Mincho"/>
          <w:b/>
          <w:szCs w:val="24"/>
        </w:rPr>
        <w:t>konsolidačního celku, v němž je zahrnuta,</w:t>
      </w:r>
      <w:r w:rsidRPr="007A14A9">
        <w:rPr>
          <w:rFonts w:eastAsia="MS Mincho"/>
          <w:szCs w:val="24"/>
        </w:rPr>
        <w:t xml:space="preserve"> </w:t>
      </w:r>
      <w:r w:rsidRPr="007A14A9">
        <w:rPr>
          <w:rFonts w:eastAsia="MS Mincho"/>
          <w:b/>
          <w:szCs w:val="24"/>
        </w:rPr>
        <w:t>nebo řádné individuální účetní závěrky, není-li taková konsolidovaná účetní závěrka</w:t>
      </w:r>
      <w:r w:rsidRPr="007A14A9">
        <w:rPr>
          <w:rFonts w:eastAsia="MS Mincho"/>
          <w:szCs w:val="24"/>
        </w:rPr>
        <w:t xml:space="preserve">, přesahuje-li takto určená výše pokuty částku 150 000 000 Kč, nebo </w:t>
      </w:r>
    </w:p>
    <w:p w14:paraId="59411B3A"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c) </w:t>
      </w:r>
      <w:r w:rsidRPr="007A14A9">
        <w:rPr>
          <w:rFonts w:eastAsia="MS Mincho"/>
          <w:szCs w:val="24"/>
        </w:rPr>
        <w:tab/>
        <w:t xml:space="preserve">výše dvojnásobku neoprávněného prospěchu získaného spácháním tohoto přestupku, je-li možné výši neoprávněného prospěchu zjistit a přesahuje-li takto určená výše pokuty částku 150 000 000 Kč. </w:t>
      </w:r>
    </w:p>
    <w:p w14:paraId="31BE77F5"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(7) Za přestupek podle odstavce 1, 2, 3, 4 nebo 5 lze namísto pokuty nebo spolu s pokutou nařídit uveřejnění informace o tom, jaká je povaha protiprávního jednání a která osoba takto jednala. </w:t>
      </w:r>
    </w:p>
    <w:p w14:paraId="730CBD74" w14:textId="77777777" w:rsidR="007A14A9" w:rsidRPr="007A14A9" w:rsidRDefault="007A14A9" w:rsidP="007A14A9">
      <w:pPr>
        <w:keepNext/>
        <w:keepLines/>
        <w:ind w:firstLine="0"/>
        <w:jc w:val="center"/>
        <w:outlineLvl w:val="5"/>
        <w:rPr>
          <w:rFonts w:eastAsia="MS Mincho"/>
          <w:szCs w:val="24"/>
        </w:rPr>
      </w:pPr>
      <w:r w:rsidRPr="007A14A9">
        <w:rPr>
          <w:rFonts w:eastAsia="MS Mincho"/>
          <w:szCs w:val="24"/>
        </w:rPr>
        <w:tab/>
      </w:r>
      <w:r w:rsidRPr="007A14A9">
        <w:t>§ 607</w:t>
      </w:r>
    </w:p>
    <w:p w14:paraId="4ACD07F9"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(1) Administrátor podílového fondu, který splynutím vznikl, se dopustí přestupku tím, že nezajistí výměnu podle </w:t>
      </w:r>
      <w:hyperlink r:id="rId530" w:history="1">
        <w:r w:rsidRPr="007A14A9">
          <w:rPr>
            <w:rFonts w:eastAsia="MS Mincho"/>
            <w:szCs w:val="24"/>
          </w:rPr>
          <w:t>§ 395</w:t>
        </w:r>
      </w:hyperlink>
      <w:r w:rsidRPr="007A14A9">
        <w:rPr>
          <w:rFonts w:eastAsia="MS Mincho"/>
          <w:szCs w:val="24"/>
        </w:rPr>
        <w:t xml:space="preserve">. </w:t>
      </w:r>
    </w:p>
    <w:p w14:paraId="36B7A69C"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(2) Administrátor přejímajícího podílového fondu se dopustí přestupku tím, že nezajistí výměnu podle </w:t>
      </w:r>
      <w:hyperlink r:id="rId531" w:history="1">
        <w:r w:rsidRPr="007A14A9">
          <w:rPr>
            <w:rFonts w:eastAsia="MS Mincho"/>
            <w:szCs w:val="24"/>
          </w:rPr>
          <w:t>§ 411</w:t>
        </w:r>
      </w:hyperlink>
      <w:r w:rsidRPr="007A14A9">
        <w:rPr>
          <w:rFonts w:eastAsia="MS Mincho"/>
          <w:szCs w:val="24"/>
        </w:rPr>
        <w:t xml:space="preserve">. </w:t>
      </w:r>
    </w:p>
    <w:p w14:paraId="3E7F8FA1"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(3) Administrátor přeměňovaného podílového fondu se dopustí přestupku tím, že neuveřejní některý z dokumentů podle </w:t>
      </w:r>
      <w:hyperlink r:id="rId532" w:history="1">
        <w:r w:rsidRPr="007A14A9">
          <w:rPr>
            <w:rFonts w:eastAsia="MS Mincho"/>
            <w:szCs w:val="24"/>
          </w:rPr>
          <w:t>§ 420 odst. 1</w:t>
        </w:r>
      </w:hyperlink>
      <w:r w:rsidRPr="007A14A9">
        <w:rPr>
          <w:rFonts w:eastAsia="MS Mincho"/>
          <w:szCs w:val="24"/>
        </w:rPr>
        <w:t xml:space="preserve"> nebo oznámení podle </w:t>
      </w:r>
      <w:hyperlink r:id="rId533" w:history="1">
        <w:r w:rsidRPr="007A14A9">
          <w:rPr>
            <w:rFonts w:eastAsia="MS Mincho"/>
            <w:szCs w:val="24"/>
          </w:rPr>
          <w:t>§ 420 odst. 2</w:t>
        </w:r>
      </w:hyperlink>
      <w:r w:rsidRPr="007A14A9">
        <w:rPr>
          <w:rFonts w:eastAsia="MS Mincho"/>
          <w:szCs w:val="24"/>
        </w:rPr>
        <w:t xml:space="preserve"> věty první. </w:t>
      </w:r>
    </w:p>
    <w:p w14:paraId="3EB5EEFA"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(4) Administrátor akciové společnosti, na kterou byl podílový fond přeměněn, se dopustí přestupku tím, že nezajistí výměnu podle </w:t>
      </w:r>
      <w:hyperlink r:id="rId534" w:history="1">
        <w:r w:rsidRPr="007A14A9">
          <w:rPr>
            <w:rFonts w:eastAsia="MS Mincho"/>
            <w:szCs w:val="24"/>
          </w:rPr>
          <w:t>§ 422</w:t>
        </w:r>
      </w:hyperlink>
      <w:r w:rsidRPr="007A14A9">
        <w:rPr>
          <w:rFonts w:eastAsia="MS Mincho"/>
          <w:szCs w:val="24"/>
        </w:rPr>
        <w:t xml:space="preserve">. </w:t>
      </w:r>
    </w:p>
    <w:p w14:paraId="649DBE57"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lastRenderedPageBreak/>
        <w:t xml:space="preserve">(5) Administrátor řídícího fondu se dopustí přestupku tím, že </w:t>
      </w:r>
    </w:p>
    <w:p w14:paraId="129C016D"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a) </w:t>
      </w:r>
      <w:r w:rsidRPr="007A14A9">
        <w:rPr>
          <w:rFonts w:eastAsia="MS Mincho"/>
          <w:szCs w:val="24"/>
        </w:rPr>
        <w:tab/>
        <w:t xml:space="preserve">nezašle oznámení podle </w:t>
      </w:r>
      <w:hyperlink r:id="rId535" w:history="1">
        <w:r w:rsidRPr="007A14A9">
          <w:rPr>
            <w:rFonts w:eastAsia="MS Mincho"/>
            <w:szCs w:val="24"/>
          </w:rPr>
          <w:t>§ 435 odst. 2</w:t>
        </w:r>
      </w:hyperlink>
      <w:r w:rsidRPr="007A14A9">
        <w:rPr>
          <w:rFonts w:eastAsia="MS Mincho"/>
          <w:szCs w:val="24"/>
        </w:rPr>
        <w:t xml:space="preserve">, nebo </w:t>
      </w:r>
    </w:p>
    <w:p w14:paraId="05EF62B5"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b) </w:t>
      </w:r>
      <w:r w:rsidRPr="007A14A9">
        <w:rPr>
          <w:rFonts w:eastAsia="MS Mincho"/>
          <w:szCs w:val="24"/>
        </w:rPr>
        <w:tab/>
        <w:t xml:space="preserve">neoznámí České národní bance některý z údajů nebo některou ze skutečností podle </w:t>
      </w:r>
      <w:hyperlink r:id="rId536" w:history="1">
        <w:r w:rsidRPr="007A14A9">
          <w:rPr>
            <w:rFonts w:eastAsia="MS Mincho"/>
            <w:szCs w:val="24"/>
          </w:rPr>
          <w:t>§ 470 odst. 3</w:t>
        </w:r>
      </w:hyperlink>
      <w:r w:rsidRPr="007A14A9">
        <w:rPr>
          <w:rFonts w:eastAsia="MS Mincho"/>
          <w:szCs w:val="24"/>
        </w:rPr>
        <w:t xml:space="preserve">. </w:t>
      </w:r>
    </w:p>
    <w:p w14:paraId="4BAA5E65"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(6) Za přestupek podle odstavců 1 až 5 lze uložit pokutu do </w:t>
      </w:r>
    </w:p>
    <w:p w14:paraId="61F41BB6"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a) </w:t>
      </w:r>
      <w:r w:rsidRPr="007A14A9">
        <w:rPr>
          <w:rFonts w:eastAsia="MS Mincho"/>
          <w:szCs w:val="24"/>
        </w:rPr>
        <w:tab/>
        <w:t xml:space="preserve">150 000 000 Kč, </w:t>
      </w:r>
    </w:p>
    <w:p w14:paraId="6CD7F8D8"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b) </w:t>
      </w:r>
      <w:r w:rsidRPr="007A14A9">
        <w:rPr>
          <w:rFonts w:eastAsia="MS Mincho"/>
          <w:szCs w:val="24"/>
        </w:rPr>
        <w:tab/>
        <w:t xml:space="preserve">výše 10 % celkového ročního obratu právnické osoby podle </w:t>
      </w:r>
      <w:r w:rsidRPr="007A14A9">
        <w:rPr>
          <w:rFonts w:eastAsia="MS Mincho"/>
          <w:strike/>
          <w:szCs w:val="24"/>
        </w:rPr>
        <w:t>její poslední řádné účetní závěrky nebo konsolidované účetní závěrky</w:t>
      </w:r>
      <w:r w:rsidRPr="007A14A9">
        <w:rPr>
          <w:rFonts w:eastAsia="MS Mincho"/>
          <w:b/>
          <w:szCs w:val="24"/>
        </w:rPr>
        <w:t xml:space="preserve"> poslední řádné konsolidované účetní závěrky</w:t>
      </w:r>
      <w:r w:rsidRPr="007A14A9">
        <w:rPr>
          <w:rFonts w:eastAsia="MS Mincho"/>
          <w:szCs w:val="24"/>
        </w:rPr>
        <w:t xml:space="preserve"> </w:t>
      </w:r>
      <w:r w:rsidRPr="007A14A9">
        <w:rPr>
          <w:rFonts w:eastAsia="MS Mincho"/>
          <w:b/>
          <w:szCs w:val="24"/>
        </w:rPr>
        <w:t>konsolidačního celku, v němž je zahrnuta,</w:t>
      </w:r>
      <w:r w:rsidRPr="007A14A9">
        <w:rPr>
          <w:rFonts w:eastAsia="MS Mincho"/>
          <w:szCs w:val="24"/>
        </w:rPr>
        <w:t xml:space="preserve"> </w:t>
      </w:r>
      <w:r w:rsidRPr="007A14A9">
        <w:rPr>
          <w:rFonts w:eastAsia="MS Mincho"/>
          <w:b/>
          <w:szCs w:val="24"/>
        </w:rPr>
        <w:t>nebo řádné individuální účetní závěrky, není-li taková konsolidovaná účetní závěrka</w:t>
      </w:r>
      <w:r w:rsidRPr="007A14A9">
        <w:rPr>
          <w:rFonts w:eastAsia="MS Mincho"/>
          <w:szCs w:val="24"/>
        </w:rPr>
        <w:t xml:space="preserve">, přesahuje-li takto určená výše pokuty částku 150 000 000 Kč, nebo </w:t>
      </w:r>
    </w:p>
    <w:p w14:paraId="34726D9B"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c) </w:t>
      </w:r>
      <w:r w:rsidRPr="007A14A9">
        <w:rPr>
          <w:rFonts w:eastAsia="MS Mincho"/>
          <w:szCs w:val="24"/>
        </w:rPr>
        <w:tab/>
        <w:t xml:space="preserve">výše dvojnásobku neoprávněného prospěchu získaného spácháním tohoto přestupku, je-li možné výši neoprávněného prospěchu zjistit a přesahuje-li takto určená výše pokuty částku 150 000 000 Kč. </w:t>
      </w:r>
    </w:p>
    <w:p w14:paraId="24E3A5F5"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(7) Za přestupek podle odstavce 1, 2, 3, 4 nebo 5 lze namísto pokuty nebo spolu s pokutou nařídit uveřejnění informace o tom, jaká je povaha protiprávního jednání a která osoba takto jednala. </w:t>
      </w:r>
    </w:p>
    <w:p w14:paraId="4C6268E4" w14:textId="77777777" w:rsidR="007A14A9" w:rsidRPr="007A14A9" w:rsidRDefault="007A14A9" w:rsidP="007A14A9">
      <w:pPr>
        <w:keepNext/>
        <w:keepLines/>
        <w:ind w:firstLine="0"/>
        <w:jc w:val="center"/>
        <w:outlineLvl w:val="5"/>
        <w:rPr>
          <w:rFonts w:eastAsia="MS Mincho"/>
          <w:szCs w:val="24"/>
        </w:rPr>
      </w:pPr>
      <w:r w:rsidRPr="007A14A9">
        <w:rPr>
          <w:rFonts w:eastAsia="MS Mincho"/>
          <w:szCs w:val="24"/>
        </w:rPr>
        <w:tab/>
      </w:r>
      <w:r w:rsidRPr="007A14A9">
        <w:t>§ 608</w:t>
      </w:r>
    </w:p>
    <w:p w14:paraId="765ED834"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(1) Administrátor přeměňovaného fondu kolektivního investování se dopustí přestupku tím, že neuveřejní některý z dokumentů podle </w:t>
      </w:r>
      <w:hyperlink r:id="rId537" w:history="1">
        <w:r w:rsidRPr="007A14A9">
          <w:rPr>
            <w:rFonts w:eastAsia="MS Mincho"/>
            <w:szCs w:val="24"/>
          </w:rPr>
          <w:t>§ 450 odst. 1</w:t>
        </w:r>
      </w:hyperlink>
      <w:r w:rsidRPr="007A14A9">
        <w:rPr>
          <w:rFonts w:eastAsia="MS Mincho"/>
          <w:szCs w:val="24"/>
        </w:rPr>
        <w:t xml:space="preserve">. </w:t>
      </w:r>
    </w:p>
    <w:p w14:paraId="2F9939E1"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(2) Administrátor přeměňovaného fondu kvalifikovaných investorů se dopustí přestupku tím, že neuveřejní projekt přeměny podle </w:t>
      </w:r>
      <w:hyperlink r:id="rId538" w:history="1">
        <w:r w:rsidRPr="007A14A9">
          <w:rPr>
            <w:rFonts w:eastAsia="MS Mincho"/>
            <w:szCs w:val="24"/>
          </w:rPr>
          <w:t>§ 450 odst. 2</w:t>
        </w:r>
      </w:hyperlink>
      <w:r w:rsidRPr="007A14A9">
        <w:rPr>
          <w:rFonts w:eastAsia="MS Mincho"/>
          <w:szCs w:val="24"/>
        </w:rPr>
        <w:t xml:space="preserve">. </w:t>
      </w:r>
    </w:p>
    <w:p w14:paraId="244E314D"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(3) Administrátor přeměňovaného podílového fondu se dopustí přestupku tím, že neuveřejní oznámení podle </w:t>
      </w:r>
      <w:hyperlink r:id="rId539" w:history="1">
        <w:r w:rsidRPr="007A14A9">
          <w:rPr>
            <w:rFonts w:eastAsia="MS Mincho"/>
            <w:szCs w:val="24"/>
          </w:rPr>
          <w:t>§ 450 odst. 3</w:t>
        </w:r>
      </w:hyperlink>
      <w:r w:rsidRPr="007A14A9">
        <w:rPr>
          <w:rFonts w:eastAsia="MS Mincho"/>
          <w:szCs w:val="24"/>
        </w:rPr>
        <w:t xml:space="preserve">. </w:t>
      </w:r>
    </w:p>
    <w:p w14:paraId="66C6122A"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(4) Administrátor podřízeného fondu, jehož řídícím fondem je zahraniční investiční fond, se dopustí přestupku tím, že </w:t>
      </w:r>
    </w:p>
    <w:p w14:paraId="57B3C221"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a) </w:t>
      </w:r>
      <w:r w:rsidRPr="007A14A9">
        <w:rPr>
          <w:rFonts w:eastAsia="MS Mincho"/>
          <w:szCs w:val="24"/>
        </w:rPr>
        <w:tab/>
        <w:t xml:space="preserve">neposkytne České národní bance některý z dokumentů podle </w:t>
      </w:r>
      <w:hyperlink r:id="rId540" w:history="1">
        <w:r w:rsidRPr="007A14A9">
          <w:rPr>
            <w:rFonts w:eastAsia="MS Mincho"/>
            <w:szCs w:val="24"/>
          </w:rPr>
          <w:t>§ 455 odst. 3</w:t>
        </w:r>
      </w:hyperlink>
      <w:r w:rsidRPr="007A14A9">
        <w:rPr>
          <w:rFonts w:eastAsia="MS Mincho"/>
          <w:szCs w:val="24"/>
        </w:rPr>
        <w:t xml:space="preserve"> nebo </w:t>
      </w:r>
      <w:hyperlink r:id="rId541" w:history="1">
        <w:r w:rsidRPr="007A14A9">
          <w:rPr>
            <w:rFonts w:eastAsia="MS Mincho"/>
            <w:szCs w:val="24"/>
          </w:rPr>
          <w:t>§ 470 odst. 1 nebo 2</w:t>
        </w:r>
      </w:hyperlink>
      <w:r w:rsidRPr="007A14A9">
        <w:rPr>
          <w:rFonts w:eastAsia="MS Mincho"/>
          <w:szCs w:val="24"/>
        </w:rPr>
        <w:t xml:space="preserve">, nebo </w:t>
      </w:r>
    </w:p>
    <w:p w14:paraId="262B42E8"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b) </w:t>
      </w:r>
      <w:r w:rsidRPr="007A14A9">
        <w:rPr>
          <w:rFonts w:eastAsia="MS Mincho"/>
          <w:szCs w:val="24"/>
        </w:rPr>
        <w:tab/>
        <w:t xml:space="preserve">neoznámí České národní bance některý z údajů nebo některou ze skutečností podle </w:t>
      </w:r>
      <w:hyperlink r:id="rId542" w:history="1">
        <w:r w:rsidRPr="007A14A9">
          <w:rPr>
            <w:rFonts w:eastAsia="MS Mincho"/>
            <w:szCs w:val="24"/>
          </w:rPr>
          <w:t>§ 470 odst. 1 nebo 2</w:t>
        </w:r>
      </w:hyperlink>
      <w:r w:rsidRPr="007A14A9">
        <w:rPr>
          <w:rFonts w:eastAsia="MS Mincho"/>
          <w:szCs w:val="24"/>
        </w:rPr>
        <w:t xml:space="preserve">. </w:t>
      </w:r>
    </w:p>
    <w:p w14:paraId="64B28CBB"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(5) Za přestupek podle odstavců 1 až 4 lze uložit pokutu do </w:t>
      </w:r>
    </w:p>
    <w:p w14:paraId="30CDC298"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a) </w:t>
      </w:r>
      <w:r w:rsidRPr="007A14A9">
        <w:rPr>
          <w:rFonts w:eastAsia="MS Mincho"/>
          <w:szCs w:val="24"/>
        </w:rPr>
        <w:tab/>
        <w:t xml:space="preserve">150 000 000 Kč, </w:t>
      </w:r>
    </w:p>
    <w:p w14:paraId="60AF00D5"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b) </w:t>
      </w:r>
      <w:r w:rsidRPr="007A14A9">
        <w:rPr>
          <w:rFonts w:eastAsia="MS Mincho"/>
          <w:szCs w:val="24"/>
        </w:rPr>
        <w:tab/>
        <w:t xml:space="preserve">výše 10 % celkového ročního obratu právnické osoby podle </w:t>
      </w:r>
      <w:r w:rsidRPr="007A14A9">
        <w:rPr>
          <w:rFonts w:eastAsia="MS Mincho"/>
          <w:strike/>
          <w:szCs w:val="24"/>
        </w:rPr>
        <w:t>její poslední řádné účetní závěrky nebo konsolidované účetní závěrky</w:t>
      </w:r>
      <w:r w:rsidRPr="007A14A9">
        <w:rPr>
          <w:rFonts w:eastAsia="MS Mincho"/>
          <w:b/>
          <w:szCs w:val="24"/>
        </w:rPr>
        <w:t xml:space="preserve"> poslední řádné konsolidované účetní závěrky</w:t>
      </w:r>
      <w:r w:rsidRPr="007A14A9">
        <w:rPr>
          <w:rFonts w:eastAsia="MS Mincho"/>
          <w:szCs w:val="24"/>
        </w:rPr>
        <w:t xml:space="preserve"> </w:t>
      </w:r>
      <w:r w:rsidRPr="007A14A9">
        <w:rPr>
          <w:rFonts w:eastAsia="MS Mincho"/>
          <w:b/>
          <w:szCs w:val="24"/>
        </w:rPr>
        <w:t>konsolidačního celku, v němž je zahrnuta,</w:t>
      </w:r>
      <w:r w:rsidRPr="007A14A9">
        <w:rPr>
          <w:rFonts w:eastAsia="MS Mincho"/>
          <w:szCs w:val="24"/>
        </w:rPr>
        <w:t xml:space="preserve"> </w:t>
      </w:r>
      <w:r w:rsidRPr="007A14A9">
        <w:rPr>
          <w:rFonts w:eastAsia="MS Mincho"/>
          <w:b/>
          <w:szCs w:val="24"/>
        </w:rPr>
        <w:t>nebo řádné individuální účetní závěrky, není-li taková konsolidovaná účetní závěrka</w:t>
      </w:r>
      <w:r w:rsidRPr="007A14A9">
        <w:rPr>
          <w:rFonts w:eastAsia="MS Mincho"/>
          <w:szCs w:val="24"/>
        </w:rPr>
        <w:t xml:space="preserve">, přesahuje-li takto určená výše pokuty částku 150 000 000 Kč, nebo </w:t>
      </w:r>
    </w:p>
    <w:p w14:paraId="34BFCD63"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c) </w:t>
      </w:r>
      <w:r w:rsidRPr="007A14A9">
        <w:rPr>
          <w:rFonts w:eastAsia="MS Mincho"/>
          <w:szCs w:val="24"/>
        </w:rPr>
        <w:tab/>
        <w:t xml:space="preserve">výše dvojnásobku neoprávněného prospěchu získaného spácháním tohoto přestupku, je-li možné výši neoprávněného prospěchu zjistit a přesahuje-li takto určená výše pokuty částku 150 000 000 Kč. </w:t>
      </w:r>
    </w:p>
    <w:p w14:paraId="3D3718EB"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(6) Za přestupek podle odstavce 1, 2, 3 nebo 4 lze namísto pokuty nebo spolu s pokutou nařídit uveřejnění informace o tom, jaká je povaha protiprávního jednání a která osoba takto jednala. </w:t>
      </w:r>
    </w:p>
    <w:p w14:paraId="05C3D3EE" w14:textId="77777777" w:rsidR="007A14A9" w:rsidRPr="007A14A9" w:rsidRDefault="007A14A9" w:rsidP="007A14A9">
      <w:pPr>
        <w:keepNext/>
        <w:keepLines/>
        <w:ind w:firstLine="0"/>
        <w:jc w:val="center"/>
        <w:outlineLvl w:val="5"/>
        <w:rPr>
          <w:b/>
        </w:rPr>
      </w:pPr>
      <w:r w:rsidRPr="007A14A9">
        <w:rPr>
          <w:b/>
        </w:rPr>
        <w:lastRenderedPageBreak/>
        <w:t xml:space="preserve">Díl 3 </w:t>
      </w:r>
    </w:p>
    <w:p w14:paraId="44A5FBCC" w14:textId="77777777" w:rsidR="007A14A9" w:rsidRPr="007A14A9" w:rsidRDefault="007A14A9" w:rsidP="007A14A9">
      <w:pPr>
        <w:keepNext/>
        <w:keepLines/>
        <w:ind w:firstLine="0"/>
        <w:jc w:val="center"/>
        <w:outlineLvl w:val="5"/>
        <w:rPr>
          <w:b/>
        </w:rPr>
      </w:pPr>
      <w:r w:rsidRPr="007A14A9">
        <w:rPr>
          <w:b/>
        </w:rPr>
        <w:t>Přestupky obhospodařovatele a administrátora</w:t>
      </w:r>
    </w:p>
    <w:p w14:paraId="2EB98CA3" w14:textId="77777777" w:rsidR="007A14A9" w:rsidRPr="007A14A9" w:rsidRDefault="007A14A9" w:rsidP="007A14A9">
      <w:pPr>
        <w:keepNext/>
        <w:keepLines/>
        <w:ind w:firstLine="0"/>
        <w:jc w:val="center"/>
        <w:outlineLvl w:val="5"/>
      </w:pPr>
      <w:r w:rsidRPr="007A14A9">
        <w:t xml:space="preserve">§ 609 </w:t>
      </w:r>
    </w:p>
    <w:p w14:paraId="1F5526A7"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(1) Obhospodařovatel řídícího fondu a administrátor řídícího fondu se dopustí přestupku tím, že v rozporu s </w:t>
      </w:r>
      <w:hyperlink r:id="rId543" w:history="1">
        <w:r w:rsidRPr="007A14A9">
          <w:rPr>
            <w:rFonts w:eastAsia="MS Mincho"/>
            <w:szCs w:val="24"/>
          </w:rPr>
          <w:t>§ 253 odst. 2</w:t>
        </w:r>
      </w:hyperlink>
      <w:r w:rsidRPr="007A14A9">
        <w:rPr>
          <w:rFonts w:eastAsia="MS Mincho"/>
          <w:szCs w:val="24"/>
        </w:rPr>
        <w:t xml:space="preserve"> uplatní srážku, přirážku nebo poplatek. </w:t>
      </w:r>
    </w:p>
    <w:p w14:paraId="20B89B8D"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(2) Obhospodařovatel podílového fondu a administrátor podílového fondu se dopustí přestupku tím, že nesplní některou z podmínek uložených Českou národní bankou podle </w:t>
      </w:r>
      <w:hyperlink r:id="rId544" w:history="1">
        <w:r w:rsidRPr="007A14A9">
          <w:rPr>
            <w:rFonts w:eastAsia="MS Mincho"/>
            <w:szCs w:val="24"/>
          </w:rPr>
          <w:t>§ 428 odst. 2</w:t>
        </w:r>
      </w:hyperlink>
      <w:r w:rsidRPr="007A14A9">
        <w:rPr>
          <w:rFonts w:eastAsia="MS Mincho"/>
          <w:szCs w:val="24"/>
        </w:rPr>
        <w:t xml:space="preserve"> nebo podle </w:t>
      </w:r>
      <w:hyperlink r:id="rId545" w:history="1">
        <w:r w:rsidRPr="007A14A9">
          <w:rPr>
            <w:rFonts w:eastAsia="MS Mincho"/>
            <w:szCs w:val="24"/>
          </w:rPr>
          <w:t>§ 432 odst. 2</w:t>
        </w:r>
      </w:hyperlink>
      <w:r w:rsidRPr="007A14A9">
        <w:rPr>
          <w:rFonts w:eastAsia="MS Mincho"/>
          <w:szCs w:val="24"/>
        </w:rPr>
        <w:t xml:space="preserve">. </w:t>
      </w:r>
    </w:p>
    <w:p w14:paraId="6534439E"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(3) Za přestupek podle odstavců 1 a 2 lze uložit pokutu do </w:t>
      </w:r>
    </w:p>
    <w:p w14:paraId="2112E49C"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a)</w:t>
      </w:r>
      <w:r w:rsidRPr="007A14A9">
        <w:rPr>
          <w:rFonts w:eastAsia="MS Mincho"/>
          <w:szCs w:val="24"/>
        </w:rPr>
        <w:tab/>
        <w:t xml:space="preserve">150 000 000 Kč, </w:t>
      </w:r>
    </w:p>
    <w:p w14:paraId="6CD8F0D6"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b)</w:t>
      </w:r>
      <w:r w:rsidRPr="007A14A9">
        <w:rPr>
          <w:rFonts w:eastAsia="MS Mincho"/>
          <w:szCs w:val="24"/>
        </w:rPr>
        <w:tab/>
        <w:t xml:space="preserve">výše 10 % celkového ročního obratu právnické osoby podle její poslední </w:t>
      </w:r>
      <w:r w:rsidRPr="007A14A9">
        <w:rPr>
          <w:rFonts w:eastAsia="MS Mincho"/>
          <w:strike/>
          <w:szCs w:val="24"/>
        </w:rPr>
        <w:t>její poslední řádné účetní závěrky nebo konsolidované účetní závěrky</w:t>
      </w:r>
      <w:r w:rsidRPr="007A14A9">
        <w:rPr>
          <w:rFonts w:eastAsia="MS Mincho"/>
          <w:b/>
          <w:szCs w:val="24"/>
        </w:rPr>
        <w:t xml:space="preserve"> poslední řádné konsolidované účetní závěrky</w:t>
      </w:r>
      <w:r w:rsidRPr="007A14A9">
        <w:rPr>
          <w:rFonts w:eastAsia="MS Mincho"/>
          <w:szCs w:val="24"/>
        </w:rPr>
        <w:t xml:space="preserve"> </w:t>
      </w:r>
      <w:r w:rsidRPr="007A14A9">
        <w:rPr>
          <w:rFonts w:eastAsia="MS Mincho"/>
          <w:b/>
          <w:szCs w:val="24"/>
        </w:rPr>
        <w:t>konsolidačního celku, v němž je zahrnuta,</w:t>
      </w:r>
      <w:r w:rsidRPr="007A14A9">
        <w:rPr>
          <w:rFonts w:eastAsia="MS Mincho"/>
          <w:szCs w:val="24"/>
        </w:rPr>
        <w:t xml:space="preserve"> </w:t>
      </w:r>
      <w:r w:rsidRPr="007A14A9">
        <w:rPr>
          <w:rFonts w:eastAsia="MS Mincho"/>
          <w:b/>
          <w:szCs w:val="24"/>
        </w:rPr>
        <w:t>nebo řádné individuální účetní závěrky, není-li taková konsolidovaná účetní závěrka</w:t>
      </w:r>
      <w:r w:rsidRPr="007A14A9">
        <w:rPr>
          <w:rFonts w:eastAsia="MS Mincho"/>
          <w:szCs w:val="24"/>
        </w:rPr>
        <w:t xml:space="preserve">, přesahuje-li takto určená výše pokuty částku 150 000 000 Kč, nebo </w:t>
      </w:r>
    </w:p>
    <w:p w14:paraId="599C3C79"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c)</w:t>
      </w:r>
      <w:r w:rsidRPr="007A14A9">
        <w:rPr>
          <w:rFonts w:eastAsia="MS Mincho"/>
          <w:szCs w:val="24"/>
        </w:rPr>
        <w:tab/>
        <w:t>výše dvojnásobku neoprávněného prospěchu získaného spácháním tohoto přestupku, je-li možné výši neoprávněného prospěchu zjistit a přesahuje-li takto určená výše pokuty částku 150 000 000 Kč.</w:t>
      </w:r>
    </w:p>
    <w:p w14:paraId="59C8DC2D"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 (4) Za přestupek podle odstavce 1 nebo 2 lze namísto pokuty nebo spolu s pokutou nařídit uveřejnění informace o tom, jaká je povaha protiprávního jednání a která osoba takto jednala. </w:t>
      </w:r>
    </w:p>
    <w:p w14:paraId="09B38B9C" w14:textId="77777777" w:rsidR="007A14A9" w:rsidRPr="007A14A9" w:rsidRDefault="007A14A9" w:rsidP="007A14A9">
      <w:pPr>
        <w:keepNext/>
        <w:keepLines/>
        <w:ind w:firstLine="0"/>
        <w:jc w:val="center"/>
        <w:outlineLvl w:val="5"/>
        <w:rPr>
          <w:b/>
        </w:rPr>
      </w:pPr>
      <w:r w:rsidRPr="007A14A9">
        <w:rPr>
          <w:b/>
        </w:rPr>
        <w:t xml:space="preserve">Díl 4 </w:t>
      </w:r>
    </w:p>
    <w:p w14:paraId="47FF8A4E" w14:textId="77777777" w:rsidR="007A14A9" w:rsidRPr="007A14A9" w:rsidRDefault="007A14A9" w:rsidP="007A14A9">
      <w:pPr>
        <w:keepNext/>
        <w:keepLines/>
        <w:ind w:firstLine="0"/>
        <w:jc w:val="center"/>
        <w:outlineLvl w:val="5"/>
        <w:rPr>
          <w:b/>
        </w:rPr>
      </w:pPr>
      <w:r w:rsidRPr="007A14A9">
        <w:rPr>
          <w:rFonts w:eastAsia="MS Mincho"/>
          <w:b/>
          <w:bCs/>
          <w:szCs w:val="24"/>
        </w:rPr>
        <w:tab/>
      </w:r>
      <w:r w:rsidRPr="007A14A9">
        <w:rPr>
          <w:b/>
        </w:rPr>
        <w:t xml:space="preserve">Přestupky investičního fondu s právní osobností, investiční společnosti, samosprávného investičního fondu, zahraniční osoby s povolením České národní banky a hlavního administrátora </w:t>
      </w:r>
    </w:p>
    <w:p w14:paraId="3169B9BD" w14:textId="77777777" w:rsidR="007A14A9" w:rsidRPr="007A14A9" w:rsidRDefault="007A14A9" w:rsidP="007A14A9">
      <w:pPr>
        <w:keepNext/>
        <w:keepLines/>
        <w:ind w:firstLine="0"/>
        <w:jc w:val="center"/>
        <w:outlineLvl w:val="5"/>
      </w:pPr>
      <w:r w:rsidRPr="007A14A9">
        <w:t xml:space="preserve">§ 610 </w:t>
      </w:r>
    </w:p>
    <w:p w14:paraId="4007549D"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(1) Investiční fond s právní osobností se dopustí přestupku tím, že </w:t>
      </w:r>
    </w:p>
    <w:p w14:paraId="7445D36A"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a)</w:t>
      </w:r>
      <w:r w:rsidRPr="007A14A9">
        <w:rPr>
          <w:rFonts w:eastAsia="MS Mincho"/>
          <w:szCs w:val="24"/>
        </w:rPr>
        <w:tab/>
        <w:t xml:space="preserve">v rozporu s </w:t>
      </w:r>
      <w:hyperlink r:id="rId546" w:history="1">
        <w:r w:rsidRPr="007A14A9">
          <w:rPr>
            <w:rFonts w:eastAsia="MS Mincho"/>
            <w:szCs w:val="24"/>
          </w:rPr>
          <w:t>§ 8 odst. 3</w:t>
        </w:r>
      </w:hyperlink>
      <w:r w:rsidRPr="007A14A9">
        <w:rPr>
          <w:rFonts w:eastAsia="MS Mincho"/>
          <w:szCs w:val="24"/>
        </w:rPr>
        <w:t xml:space="preserve"> obhospodařuje jiný investiční fond nebo zahraniční investiční fond, nebo </w:t>
      </w:r>
    </w:p>
    <w:p w14:paraId="35CC752E"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b)</w:t>
      </w:r>
      <w:r w:rsidRPr="007A14A9">
        <w:rPr>
          <w:rFonts w:eastAsia="MS Mincho"/>
          <w:szCs w:val="24"/>
        </w:rPr>
        <w:tab/>
        <w:t xml:space="preserve">v rozporu s </w:t>
      </w:r>
      <w:hyperlink r:id="rId547" w:history="1">
        <w:r w:rsidRPr="007A14A9">
          <w:rPr>
            <w:rFonts w:eastAsia="MS Mincho"/>
            <w:szCs w:val="24"/>
          </w:rPr>
          <w:t>§ 40 odst. 3</w:t>
        </w:r>
      </w:hyperlink>
      <w:r w:rsidRPr="007A14A9">
        <w:rPr>
          <w:rFonts w:eastAsia="MS Mincho"/>
          <w:szCs w:val="24"/>
        </w:rPr>
        <w:t xml:space="preserve"> provádí administraci jiného investičního fondu nebo zahraničního investičního fondu. </w:t>
      </w:r>
    </w:p>
    <w:p w14:paraId="7FB8404C"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(2) Investiční společnost uvedená v § 29 odst. 1 písm. a) nebo b), samosprávný investiční fond uvedený v § 29 odst. 2 písm. a) nebo b) a zahraniční osoba s povolením podle § 481 uvedená v § 29 odst. 1 písm. c) nebo § 29 odst. 2 písm. c) se dopustí přestupku tím, že</w:t>
      </w:r>
    </w:p>
    <w:p w14:paraId="5A87949A"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a)</w:t>
      </w:r>
      <w:r w:rsidRPr="007A14A9">
        <w:rPr>
          <w:rFonts w:eastAsia="MS Mincho"/>
          <w:szCs w:val="24"/>
        </w:rPr>
        <w:tab/>
        <w:t>neudrží kapitál ve výši podle § 30 odst. 1, nebo</w:t>
      </w:r>
    </w:p>
    <w:p w14:paraId="1E5CAE7D"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b)</w:t>
      </w:r>
      <w:r w:rsidRPr="007A14A9">
        <w:rPr>
          <w:rFonts w:eastAsia="MS Mincho"/>
          <w:szCs w:val="24"/>
        </w:rPr>
        <w:tab/>
        <w:t>nezvýší kapitál podle § 31 odst. 1.</w:t>
      </w:r>
    </w:p>
    <w:p w14:paraId="649EC361"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(3) Investiční společnost, samosprávný investiční fond a zahraniční osoba s povolením podle </w:t>
      </w:r>
      <w:hyperlink r:id="rId548" w:history="1">
        <w:r w:rsidRPr="007A14A9">
          <w:rPr>
            <w:rFonts w:eastAsia="MS Mincho"/>
            <w:szCs w:val="24"/>
          </w:rPr>
          <w:t>§ 481</w:t>
        </w:r>
      </w:hyperlink>
      <w:r w:rsidRPr="007A14A9">
        <w:rPr>
          <w:rFonts w:eastAsia="MS Mincho"/>
          <w:szCs w:val="24"/>
        </w:rPr>
        <w:t xml:space="preserve"> se dopustí přestupku tím, že v rozporu s </w:t>
      </w:r>
      <w:hyperlink r:id="rId549" w:history="1">
        <w:r w:rsidRPr="007A14A9">
          <w:rPr>
            <w:rFonts w:eastAsia="MS Mincho"/>
            <w:szCs w:val="24"/>
          </w:rPr>
          <w:t>§ 30 odst. 3</w:t>
        </w:r>
      </w:hyperlink>
      <w:r w:rsidRPr="007A14A9">
        <w:rPr>
          <w:rFonts w:eastAsia="MS Mincho"/>
          <w:szCs w:val="24"/>
        </w:rPr>
        <w:t xml:space="preserve"> nezajistí, aby její nebo jeho kapitál neklesl pod minimální výši počátečního kapitálu. </w:t>
      </w:r>
    </w:p>
    <w:p w14:paraId="39BA5580"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(4) Investiční společnost uvedená v </w:t>
      </w:r>
      <w:hyperlink r:id="rId550" w:history="1">
        <w:r w:rsidRPr="007A14A9">
          <w:rPr>
            <w:rFonts w:eastAsia="MS Mincho"/>
            <w:szCs w:val="24"/>
          </w:rPr>
          <w:t>§ 29 odst. 1 písm. b)</w:t>
        </w:r>
      </w:hyperlink>
      <w:r w:rsidRPr="007A14A9">
        <w:rPr>
          <w:rFonts w:eastAsia="MS Mincho"/>
          <w:szCs w:val="24"/>
        </w:rPr>
        <w:t xml:space="preserve">, samosprávný investiční fond uvedený v </w:t>
      </w:r>
      <w:hyperlink r:id="rId551" w:history="1">
        <w:r w:rsidRPr="007A14A9">
          <w:rPr>
            <w:rFonts w:eastAsia="MS Mincho"/>
            <w:szCs w:val="24"/>
          </w:rPr>
          <w:t>§ 29 odst. 2 písm. b)</w:t>
        </w:r>
      </w:hyperlink>
      <w:r w:rsidRPr="007A14A9">
        <w:rPr>
          <w:rFonts w:eastAsia="MS Mincho"/>
          <w:szCs w:val="24"/>
        </w:rPr>
        <w:t xml:space="preserve"> a zahraniční osoba s povolením podle </w:t>
      </w:r>
      <w:hyperlink r:id="rId552" w:history="1">
        <w:r w:rsidRPr="007A14A9">
          <w:rPr>
            <w:rFonts w:eastAsia="MS Mincho"/>
            <w:szCs w:val="24"/>
          </w:rPr>
          <w:t>§ 481</w:t>
        </w:r>
      </w:hyperlink>
      <w:r w:rsidRPr="007A14A9">
        <w:rPr>
          <w:rFonts w:eastAsia="MS Mincho"/>
          <w:szCs w:val="24"/>
        </w:rPr>
        <w:t xml:space="preserve"> uvedená v </w:t>
      </w:r>
      <w:hyperlink r:id="rId553" w:history="1">
        <w:r w:rsidRPr="007A14A9">
          <w:rPr>
            <w:rFonts w:eastAsia="MS Mincho"/>
            <w:szCs w:val="24"/>
          </w:rPr>
          <w:t xml:space="preserve">§ 29 </w:t>
        </w:r>
        <w:r w:rsidRPr="007A14A9">
          <w:rPr>
            <w:rFonts w:eastAsia="MS Mincho"/>
            <w:szCs w:val="24"/>
          </w:rPr>
          <w:lastRenderedPageBreak/>
          <w:t>odst. 1 písm. c)</w:t>
        </w:r>
      </w:hyperlink>
      <w:r w:rsidRPr="007A14A9">
        <w:rPr>
          <w:rFonts w:eastAsia="MS Mincho"/>
          <w:szCs w:val="24"/>
        </w:rPr>
        <w:t xml:space="preserve"> nebo </w:t>
      </w:r>
      <w:hyperlink r:id="rId554" w:history="1">
        <w:r w:rsidRPr="007A14A9">
          <w:rPr>
            <w:rFonts w:eastAsia="MS Mincho"/>
            <w:szCs w:val="24"/>
          </w:rPr>
          <w:t>v § 29 odst. 2 písm. c)</w:t>
        </w:r>
      </w:hyperlink>
      <w:r w:rsidRPr="007A14A9">
        <w:rPr>
          <w:rFonts w:eastAsia="MS Mincho"/>
          <w:szCs w:val="24"/>
        </w:rPr>
        <w:t xml:space="preserve"> se dopustí přestupku tím, že nesplní povinnost podle </w:t>
      </w:r>
      <w:hyperlink r:id="rId555" w:history="1">
        <w:r w:rsidRPr="007A14A9">
          <w:rPr>
            <w:rFonts w:eastAsia="MS Mincho"/>
            <w:szCs w:val="24"/>
          </w:rPr>
          <w:t>§ 31 odst. 5</w:t>
        </w:r>
      </w:hyperlink>
      <w:r w:rsidRPr="007A14A9">
        <w:rPr>
          <w:rFonts w:eastAsia="MS Mincho"/>
          <w:szCs w:val="24"/>
        </w:rPr>
        <w:t xml:space="preserve">. </w:t>
      </w:r>
    </w:p>
    <w:p w14:paraId="3C6EF39B"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(5) Za přestupek podle odstavců 1 až 4 lze uložit pokutu do </w:t>
      </w:r>
    </w:p>
    <w:p w14:paraId="07844E90"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a)</w:t>
      </w:r>
      <w:r w:rsidRPr="007A14A9">
        <w:rPr>
          <w:rFonts w:eastAsia="MS Mincho"/>
          <w:szCs w:val="24"/>
        </w:rPr>
        <w:tab/>
        <w:t xml:space="preserve">150 000 000 Kč, </w:t>
      </w:r>
    </w:p>
    <w:p w14:paraId="79C6A833"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b)</w:t>
      </w:r>
      <w:r w:rsidRPr="007A14A9">
        <w:rPr>
          <w:rFonts w:eastAsia="MS Mincho"/>
          <w:szCs w:val="24"/>
        </w:rPr>
        <w:tab/>
        <w:t xml:space="preserve">výše 10 % celkového ročního obratu právnické osoby podle </w:t>
      </w:r>
      <w:r w:rsidRPr="007A14A9">
        <w:rPr>
          <w:rFonts w:eastAsia="MS Mincho"/>
          <w:strike/>
          <w:szCs w:val="24"/>
        </w:rPr>
        <w:t>její poslední řádné účetní závěrky nebo konsolidované účetní závěrky</w:t>
      </w:r>
      <w:r w:rsidRPr="007A14A9">
        <w:rPr>
          <w:rFonts w:eastAsia="MS Mincho"/>
          <w:b/>
          <w:szCs w:val="24"/>
        </w:rPr>
        <w:t xml:space="preserve"> poslední řádné konsolidované účetní závěrky</w:t>
      </w:r>
      <w:r w:rsidRPr="007A14A9">
        <w:rPr>
          <w:rFonts w:eastAsia="MS Mincho"/>
          <w:szCs w:val="24"/>
        </w:rPr>
        <w:t xml:space="preserve"> </w:t>
      </w:r>
      <w:r w:rsidRPr="007A14A9">
        <w:rPr>
          <w:rFonts w:eastAsia="MS Mincho"/>
          <w:b/>
          <w:szCs w:val="24"/>
        </w:rPr>
        <w:t>konsolidačního celku, v němž je zahrnuta,</w:t>
      </w:r>
      <w:r w:rsidRPr="007A14A9">
        <w:rPr>
          <w:rFonts w:eastAsia="MS Mincho"/>
          <w:szCs w:val="24"/>
        </w:rPr>
        <w:t xml:space="preserve"> </w:t>
      </w:r>
      <w:r w:rsidRPr="007A14A9">
        <w:rPr>
          <w:rFonts w:eastAsia="MS Mincho"/>
          <w:b/>
          <w:szCs w:val="24"/>
        </w:rPr>
        <w:t>nebo řádné individuální účetní závěrky, není-li taková konsolidovaná účetní závěrka</w:t>
      </w:r>
      <w:r w:rsidRPr="007A14A9">
        <w:rPr>
          <w:rFonts w:eastAsia="MS Mincho"/>
          <w:szCs w:val="24"/>
        </w:rPr>
        <w:t xml:space="preserve">, přesahuje-li takto určená výše pokuty částku 150 000 000 Kč, nebo </w:t>
      </w:r>
    </w:p>
    <w:p w14:paraId="552FAE14"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c) </w:t>
      </w:r>
      <w:r w:rsidRPr="007A14A9">
        <w:rPr>
          <w:rFonts w:eastAsia="MS Mincho"/>
          <w:szCs w:val="24"/>
        </w:rPr>
        <w:tab/>
        <w:t xml:space="preserve">výše dvojnásobku neoprávněného prospěchu získaného spácháním tohoto přestupku, je-li možné výši neoprávněného prospěchu zjistit a přesahuje-li takto určená výše pokuty částku 150 000 000 Kč. </w:t>
      </w:r>
    </w:p>
    <w:p w14:paraId="2136115B"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(6) Za přestupek podle odstavce 1, 2, 3 nebo 4 lze namísto pokuty nebo spolu s pokutou nařídit uveřejnění informace o tom, jaká je povaha protiprávního jednání a která osoba takto jednala. </w:t>
      </w:r>
    </w:p>
    <w:p w14:paraId="32448C9A" w14:textId="77777777" w:rsidR="007A14A9" w:rsidRPr="007A14A9" w:rsidRDefault="007A14A9" w:rsidP="007A14A9">
      <w:pPr>
        <w:keepNext/>
        <w:keepLines/>
        <w:ind w:firstLine="0"/>
        <w:jc w:val="center"/>
        <w:outlineLvl w:val="5"/>
      </w:pPr>
      <w:r w:rsidRPr="007A14A9">
        <w:t xml:space="preserve">§ 611 </w:t>
      </w:r>
    </w:p>
    <w:p w14:paraId="0AD2C0CC"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(1) Investiční společnost oprávněná přesáhnout rozhodný limit a zahraniční osoba s povolením podle </w:t>
      </w:r>
      <w:hyperlink r:id="rId556" w:history="1">
        <w:r w:rsidRPr="007A14A9">
          <w:rPr>
            <w:rFonts w:eastAsia="MS Mincho"/>
            <w:szCs w:val="24"/>
          </w:rPr>
          <w:t>§ 481</w:t>
        </w:r>
      </w:hyperlink>
      <w:r w:rsidRPr="007A14A9">
        <w:rPr>
          <w:rFonts w:eastAsia="MS Mincho"/>
          <w:szCs w:val="24"/>
        </w:rPr>
        <w:t xml:space="preserve">, která není srovnatelná se samosprávným investičním fondem, se dopustí přestupku tím, že umístí kapitál v rozporu s </w:t>
      </w:r>
      <w:hyperlink r:id="rId557" w:history="1">
        <w:r w:rsidRPr="007A14A9">
          <w:rPr>
            <w:rFonts w:eastAsia="MS Mincho"/>
            <w:szCs w:val="24"/>
          </w:rPr>
          <w:t>§ 32 odst. 1</w:t>
        </w:r>
      </w:hyperlink>
      <w:r w:rsidRPr="007A14A9">
        <w:rPr>
          <w:rFonts w:eastAsia="MS Mincho"/>
          <w:szCs w:val="24"/>
        </w:rPr>
        <w:t xml:space="preserve">. </w:t>
      </w:r>
    </w:p>
    <w:p w14:paraId="523B0536"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(2) Samosprávný investiční fond oprávněný přesáhnout rozhodný limit a zahraniční osoba s povolením podle </w:t>
      </w:r>
      <w:hyperlink r:id="rId558" w:history="1">
        <w:r w:rsidRPr="007A14A9">
          <w:rPr>
            <w:rFonts w:eastAsia="MS Mincho"/>
            <w:szCs w:val="24"/>
          </w:rPr>
          <w:t>§ 481</w:t>
        </w:r>
      </w:hyperlink>
      <w:r w:rsidRPr="007A14A9">
        <w:rPr>
          <w:rFonts w:eastAsia="MS Mincho"/>
          <w:szCs w:val="24"/>
        </w:rPr>
        <w:t xml:space="preserve">, která je srovnatelná se samosprávným investičním fondem, se dopustí přestupku tím, že umístí majetek, kterým byl kapitál zvýšen, v rozporu s </w:t>
      </w:r>
      <w:hyperlink r:id="rId559" w:history="1">
        <w:r w:rsidRPr="007A14A9">
          <w:rPr>
            <w:rFonts w:eastAsia="MS Mincho"/>
            <w:szCs w:val="24"/>
          </w:rPr>
          <w:t>§ 32 odst. 2</w:t>
        </w:r>
      </w:hyperlink>
      <w:r w:rsidRPr="007A14A9">
        <w:rPr>
          <w:rFonts w:eastAsia="MS Mincho"/>
          <w:szCs w:val="24"/>
        </w:rPr>
        <w:t xml:space="preserve">. </w:t>
      </w:r>
    </w:p>
    <w:p w14:paraId="3D43BDD0"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(3) Hlavní administrátor se dopustí přestupku tím, že nezajistí, aby jeho kapitál neklesl pod minimální výši počátečního kapitálu stanovenou v </w:t>
      </w:r>
      <w:hyperlink r:id="rId560" w:history="1">
        <w:r w:rsidRPr="007A14A9">
          <w:rPr>
            <w:rFonts w:eastAsia="MS Mincho"/>
            <w:szCs w:val="24"/>
          </w:rPr>
          <w:t>§ 57</w:t>
        </w:r>
      </w:hyperlink>
      <w:r w:rsidRPr="007A14A9">
        <w:rPr>
          <w:rFonts w:eastAsia="MS Mincho"/>
          <w:szCs w:val="24"/>
        </w:rPr>
        <w:t xml:space="preserve">. </w:t>
      </w:r>
    </w:p>
    <w:p w14:paraId="6AD59C31"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(4) Investiční společnost oprávněná obhospodařovat standardní fondy a srovnatelné zahraniční investiční fondy nebo oprávněná přesáhnout rozhodný limit a zahraniční osoba s povolením podle </w:t>
      </w:r>
      <w:hyperlink r:id="rId561" w:history="1">
        <w:r w:rsidRPr="007A14A9">
          <w:rPr>
            <w:rFonts w:eastAsia="MS Mincho"/>
            <w:szCs w:val="24"/>
          </w:rPr>
          <w:t>§ 481</w:t>
        </w:r>
      </w:hyperlink>
      <w:r w:rsidRPr="007A14A9">
        <w:rPr>
          <w:rFonts w:eastAsia="MS Mincho"/>
          <w:szCs w:val="24"/>
        </w:rPr>
        <w:t xml:space="preserve">, která není srovnatelná se samosprávným investičním fondem, se dopustí přestupku tím, že neoznámí České národní bance skutečnost podle </w:t>
      </w:r>
      <w:hyperlink r:id="rId562" w:history="1">
        <w:r w:rsidRPr="007A14A9">
          <w:rPr>
            <w:rFonts w:eastAsia="MS Mincho"/>
            <w:szCs w:val="24"/>
          </w:rPr>
          <w:t>§ 331 odst. 1 nebo 2</w:t>
        </w:r>
      </w:hyperlink>
      <w:r w:rsidRPr="007A14A9">
        <w:rPr>
          <w:rFonts w:eastAsia="MS Mincho"/>
          <w:szCs w:val="24"/>
        </w:rPr>
        <w:t xml:space="preserve"> nebo </w:t>
      </w:r>
      <w:hyperlink r:id="rId563" w:history="1">
        <w:r w:rsidRPr="007A14A9">
          <w:rPr>
            <w:rFonts w:eastAsia="MS Mincho"/>
            <w:szCs w:val="24"/>
          </w:rPr>
          <w:t>§ 335 odst. 1 nebo 2</w:t>
        </w:r>
      </w:hyperlink>
      <w:r w:rsidRPr="007A14A9">
        <w:rPr>
          <w:rFonts w:eastAsia="MS Mincho"/>
          <w:szCs w:val="24"/>
        </w:rPr>
        <w:t>.</w:t>
      </w:r>
    </w:p>
    <w:p w14:paraId="6E5F0363" w14:textId="1D30DE2D" w:rsidR="007A14A9" w:rsidRPr="00554FBC" w:rsidRDefault="007A14A9" w:rsidP="00554FBC">
      <w:pPr>
        <w:pBdr>
          <w:top w:val="single" w:sz="12" w:space="1" w:color="0070C0"/>
          <w:left w:val="single" w:sz="12" w:space="4" w:color="0070C0"/>
          <w:bottom w:val="single" w:sz="12" w:space="1" w:color="0070C0"/>
          <w:right w:val="single" w:sz="12" w:space="4" w:color="0070C0"/>
        </w:pBdr>
        <w:tabs>
          <w:tab w:val="left" w:pos="782"/>
          <w:tab w:val="left" w:pos="851"/>
        </w:tabs>
        <w:spacing w:before="120" w:after="120"/>
        <w:outlineLvl w:val="6"/>
        <w:rPr>
          <w:rFonts w:eastAsia="MS Mincho"/>
          <w:b/>
          <w:color w:val="0070C0"/>
          <w:szCs w:val="24"/>
        </w:rPr>
      </w:pPr>
      <w:r w:rsidRPr="00554FBC">
        <w:rPr>
          <w:rFonts w:eastAsia="MS Mincho"/>
          <w:b/>
          <w:color w:val="0070C0"/>
          <w:szCs w:val="24"/>
        </w:rPr>
        <w:t xml:space="preserve">(5) Investiční společnost, samosprávný investiční fond, zahraniční osoba s povolením podle § 481 a hlavní administrátor se dopustí přestupku tím, že neoznámí České národní bance změnu </w:t>
      </w:r>
      <w:r w:rsidR="00554FBC">
        <w:rPr>
          <w:rFonts w:eastAsia="MS Mincho"/>
          <w:b/>
          <w:color w:val="0070C0"/>
          <w:szCs w:val="24"/>
        </w:rPr>
        <w:t>podle § 467 odst. 1 věty první.</w:t>
      </w:r>
    </w:p>
    <w:p w14:paraId="4E11DA36" w14:textId="1A978F12" w:rsidR="007A14A9" w:rsidRPr="007A14A9" w:rsidRDefault="007A14A9" w:rsidP="00554FBC">
      <w:pPr>
        <w:pBdr>
          <w:top w:val="single" w:sz="12" w:space="1" w:color="0070C0"/>
          <w:left w:val="single" w:sz="12" w:space="4" w:color="0070C0"/>
          <w:bottom w:val="single" w:sz="12" w:space="1" w:color="0070C0"/>
          <w:right w:val="single" w:sz="12" w:space="4" w:color="0070C0"/>
        </w:pBdr>
        <w:tabs>
          <w:tab w:val="left" w:pos="782"/>
          <w:tab w:val="left" w:pos="851"/>
        </w:tabs>
        <w:spacing w:before="120" w:after="120"/>
        <w:outlineLvl w:val="6"/>
        <w:rPr>
          <w:rFonts w:eastAsia="MS Mincho"/>
          <w:color w:val="0070C0"/>
          <w:szCs w:val="24"/>
        </w:rPr>
      </w:pPr>
      <w:r w:rsidRPr="00554FBC">
        <w:rPr>
          <w:rFonts w:eastAsia="MS Mincho"/>
          <w:b/>
          <w:color w:val="0070C0"/>
          <w:szCs w:val="24"/>
        </w:rPr>
        <w:t>(6) Zahraniční osoba s povolením podle § 481 se dopustí přestupku tím, že neoznámí České národní bance, že jí bylo uděleno srovnatelné povolení orgánem dohledu jiného členského státu, podle § 467 odst. 1 věty druhé</w:t>
      </w:r>
      <w:r w:rsidRPr="007A14A9">
        <w:rPr>
          <w:rFonts w:eastAsia="MS Mincho"/>
          <w:color w:val="0070C0"/>
          <w:szCs w:val="24"/>
        </w:rPr>
        <w:t>.</w:t>
      </w:r>
    </w:p>
    <w:p w14:paraId="1DED1D2A" w14:textId="43585485" w:rsidR="007A14A9" w:rsidRPr="007A14A9" w:rsidRDefault="00554FBC" w:rsidP="007A14A9">
      <w:pPr>
        <w:tabs>
          <w:tab w:val="left" w:pos="782"/>
          <w:tab w:val="left" w:pos="851"/>
        </w:tabs>
        <w:spacing w:before="120" w:after="120"/>
        <w:outlineLvl w:val="6"/>
        <w:rPr>
          <w:rFonts w:eastAsia="MS Mincho"/>
          <w:szCs w:val="24"/>
        </w:rPr>
      </w:pPr>
      <w:r w:rsidRPr="00554FBC">
        <w:rPr>
          <w:b/>
          <w:bCs/>
          <w:noProof/>
          <w:color w:val="92D050"/>
        </w:rPr>
        <mc:AlternateContent>
          <mc:Choice Requires="wps">
            <w:drawing>
              <wp:anchor distT="0" distB="0" distL="114300" distR="114300" simplePos="0" relativeHeight="251671552" behindDoc="1" locked="0" layoutInCell="1" allowOverlap="1" wp14:anchorId="37F74FD5" wp14:editId="6FFE1AA0">
                <wp:simplePos x="0" y="0"/>
                <wp:positionH relativeFrom="margin">
                  <wp:posOffset>-89397</wp:posOffset>
                </wp:positionH>
                <wp:positionV relativeFrom="paragraph">
                  <wp:posOffset>-3175</wp:posOffset>
                </wp:positionV>
                <wp:extent cx="5931535" cy="803082"/>
                <wp:effectExtent l="0" t="0" r="12065" b="16510"/>
                <wp:wrapNone/>
                <wp:docPr id="6" name="Obdélník 6"/>
                <wp:cNvGraphicFramePr/>
                <a:graphic xmlns:a="http://schemas.openxmlformats.org/drawingml/2006/main">
                  <a:graphicData uri="http://schemas.microsoft.com/office/word/2010/wordprocessingShape">
                    <wps:wsp>
                      <wps:cNvSpPr/>
                      <wps:spPr>
                        <a:xfrm>
                          <a:off x="0" y="0"/>
                          <a:ext cx="5931535" cy="803082"/>
                        </a:xfrm>
                        <a:prstGeom prst="rect">
                          <a:avLst/>
                        </a:prstGeom>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3C5630F" id="Obdélník 6" o:spid="_x0000_s1026" style="position:absolute;margin-left:-7.05pt;margin-top:-.25pt;width:467.05pt;height:63.25pt;z-index:-2516449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" fillcolor="white [3201]" strokecolor="#5b9bd5 [3204]" strokeweight="1pt">
                <w10:wrap anchorx="margin"/>
              </v:rect>
            </w:pict>
          </mc:Fallback>
        </mc:AlternateContent>
      </w:r>
      <w:r w:rsidR="007A14A9" w:rsidRPr="00554FBC">
        <w:rPr>
          <w:rFonts w:eastAsia="MS Mincho"/>
          <w:b/>
          <w:color w:val="0070C0"/>
          <w:szCs w:val="24"/>
        </w:rPr>
        <w:t>(7)</w:t>
      </w:r>
      <w:r w:rsidR="007A14A9" w:rsidRPr="007A14A9">
        <w:rPr>
          <w:rFonts w:eastAsia="MS Mincho"/>
          <w:color w:val="0070C0"/>
          <w:szCs w:val="24"/>
        </w:rPr>
        <w:t xml:space="preserve"> </w:t>
      </w:r>
      <w:r w:rsidR="007A14A9" w:rsidRPr="007A14A9">
        <w:rPr>
          <w:rFonts w:eastAsia="MS Mincho"/>
          <w:szCs w:val="24"/>
        </w:rPr>
        <w:t xml:space="preserve">Za přestupek podle odstavců 1 až </w:t>
      </w:r>
      <w:r w:rsidR="007A14A9" w:rsidRPr="00554FBC">
        <w:rPr>
          <w:rFonts w:eastAsia="MS Mincho"/>
          <w:b/>
          <w:color w:val="0070C0"/>
          <w:szCs w:val="24"/>
        </w:rPr>
        <w:t>6</w:t>
      </w:r>
      <w:r w:rsidR="007A14A9" w:rsidRPr="007A14A9">
        <w:rPr>
          <w:rFonts w:eastAsia="MS Mincho"/>
          <w:szCs w:val="24"/>
        </w:rPr>
        <w:t xml:space="preserve"> lze uložit pokutu do </w:t>
      </w:r>
    </w:p>
    <w:p w14:paraId="2C849C0A"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a)</w:t>
      </w:r>
      <w:r w:rsidRPr="007A14A9">
        <w:rPr>
          <w:rFonts w:eastAsia="MS Mincho"/>
          <w:szCs w:val="24"/>
        </w:rPr>
        <w:tab/>
        <w:t xml:space="preserve">150 000 000 Kč, </w:t>
      </w:r>
    </w:p>
    <w:p w14:paraId="766305EB"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b)</w:t>
      </w:r>
      <w:r w:rsidRPr="007A14A9">
        <w:rPr>
          <w:rFonts w:eastAsia="MS Mincho"/>
          <w:szCs w:val="24"/>
        </w:rPr>
        <w:tab/>
        <w:t xml:space="preserve">výše 10 % celkového ročního obratu právnické osoby podle </w:t>
      </w:r>
      <w:r w:rsidRPr="007A14A9">
        <w:rPr>
          <w:rFonts w:eastAsia="MS Mincho"/>
          <w:strike/>
          <w:szCs w:val="24"/>
        </w:rPr>
        <w:t>její poslední řádné účetní závěrky nebo konsolidované účetní závěrky</w:t>
      </w:r>
      <w:r w:rsidRPr="007A14A9">
        <w:rPr>
          <w:rFonts w:eastAsia="MS Mincho"/>
          <w:b/>
          <w:szCs w:val="24"/>
        </w:rPr>
        <w:t xml:space="preserve"> poslední řádné konsolidované účetní závěrky</w:t>
      </w:r>
      <w:r w:rsidRPr="007A14A9">
        <w:rPr>
          <w:rFonts w:eastAsia="MS Mincho"/>
          <w:szCs w:val="24"/>
        </w:rPr>
        <w:t xml:space="preserve"> </w:t>
      </w:r>
      <w:r w:rsidRPr="007A14A9">
        <w:rPr>
          <w:rFonts w:eastAsia="MS Mincho"/>
          <w:b/>
          <w:szCs w:val="24"/>
        </w:rPr>
        <w:t>konsolidačního celku, v němž je zahrnuta,</w:t>
      </w:r>
      <w:r w:rsidRPr="007A14A9">
        <w:rPr>
          <w:rFonts w:eastAsia="MS Mincho"/>
          <w:szCs w:val="24"/>
        </w:rPr>
        <w:t xml:space="preserve"> </w:t>
      </w:r>
      <w:r w:rsidRPr="007A14A9">
        <w:rPr>
          <w:rFonts w:eastAsia="MS Mincho"/>
          <w:b/>
          <w:szCs w:val="24"/>
        </w:rPr>
        <w:t>nebo řádné individuální účetní závěrky, není-li taková konsolidovaná účetní závěrka</w:t>
      </w:r>
      <w:r w:rsidRPr="007A14A9">
        <w:rPr>
          <w:rFonts w:eastAsia="MS Mincho"/>
          <w:szCs w:val="24"/>
        </w:rPr>
        <w:t xml:space="preserve">, přesahuje-li takto určená výše pokuty částku 150 000 000 Kč, nebo </w:t>
      </w:r>
    </w:p>
    <w:p w14:paraId="4FE703DA"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lastRenderedPageBreak/>
        <w:t xml:space="preserve">c) </w:t>
      </w:r>
      <w:r w:rsidRPr="007A14A9">
        <w:rPr>
          <w:rFonts w:eastAsia="MS Mincho"/>
          <w:szCs w:val="24"/>
        </w:rPr>
        <w:tab/>
        <w:t xml:space="preserve">výše dvojnásobku neoprávněného prospěchu získaného spácháním tohoto přestupku, je-li možné výši neoprávněného prospěchu zjistit a přesahuje-li takto určená výše pokuty částku 150 000 000 Kč. </w:t>
      </w:r>
    </w:p>
    <w:p w14:paraId="6C8BA938" w14:textId="77777777" w:rsidR="007A14A9" w:rsidRPr="007A14A9" w:rsidRDefault="007A14A9" w:rsidP="00554FBC">
      <w:pPr>
        <w:pBdr>
          <w:top w:val="single" w:sz="12" w:space="1" w:color="0070C0"/>
          <w:left w:val="single" w:sz="12" w:space="4" w:color="0070C0"/>
          <w:bottom w:val="single" w:sz="12" w:space="1" w:color="0070C0"/>
          <w:right w:val="single" w:sz="12" w:space="4" w:color="0070C0"/>
        </w:pBdr>
        <w:tabs>
          <w:tab w:val="left" w:pos="782"/>
          <w:tab w:val="left" w:pos="851"/>
        </w:tabs>
        <w:spacing w:before="120" w:after="120"/>
        <w:outlineLvl w:val="6"/>
        <w:rPr>
          <w:rFonts w:eastAsia="MS Mincho"/>
          <w:szCs w:val="24"/>
        </w:rPr>
      </w:pPr>
      <w:r w:rsidRPr="00554FBC">
        <w:rPr>
          <w:rFonts w:eastAsia="MS Mincho"/>
          <w:b/>
          <w:color w:val="0070C0"/>
          <w:szCs w:val="24"/>
        </w:rPr>
        <w:t>(8)</w:t>
      </w:r>
      <w:r w:rsidRPr="007A14A9">
        <w:rPr>
          <w:rFonts w:eastAsia="MS Mincho"/>
          <w:color w:val="0070C0"/>
          <w:szCs w:val="24"/>
        </w:rPr>
        <w:t xml:space="preserve"> </w:t>
      </w:r>
      <w:r w:rsidRPr="007A14A9">
        <w:rPr>
          <w:rFonts w:eastAsia="MS Mincho"/>
          <w:szCs w:val="24"/>
        </w:rPr>
        <w:t>Za přestupek podle odstavce 1, 2, 3</w:t>
      </w:r>
      <w:r w:rsidRPr="00554FBC">
        <w:rPr>
          <w:rFonts w:eastAsia="MS Mincho"/>
          <w:b/>
          <w:color w:val="0070C0"/>
          <w:szCs w:val="24"/>
        </w:rPr>
        <w:t>, 4, 5 nebo 6</w:t>
      </w:r>
      <w:r w:rsidRPr="007A14A9">
        <w:rPr>
          <w:rFonts w:eastAsia="MS Mincho"/>
          <w:szCs w:val="24"/>
        </w:rPr>
        <w:t xml:space="preserve"> lze namísto pokuty nebo spolu s pokutou nařídit uveřejnění informace o tom, jaká je povaha protiprávního jednání a která osoba takto jednala. </w:t>
      </w:r>
    </w:p>
    <w:p w14:paraId="44E7C02E" w14:textId="77777777" w:rsidR="007A14A9" w:rsidRPr="007A14A9" w:rsidRDefault="007A14A9" w:rsidP="007A14A9">
      <w:pPr>
        <w:widowControl w:val="0"/>
        <w:autoSpaceDE w:val="0"/>
        <w:autoSpaceDN w:val="0"/>
        <w:adjustRightInd w:val="0"/>
        <w:spacing w:before="0" w:after="120"/>
        <w:ind w:firstLine="0"/>
        <w:jc w:val="center"/>
        <w:rPr>
          <w:rFonts w:eastAsia="MS Mincho"/>
          <w:b/>
          <w:bCs/>
          <w:szCs w:val="24"/>
        </w:rPr>
      </w:pPr>
      <w:r w:rsidRPr="007A14A9">
        <w:rPr>
          <w:rFonts w:eastAsia="MS Mincho"/>
          <w:b/>
          <w:bCs/>
          <w:szCs w:val="24"/>
        </w:rPr>
        <w:t>Díl 5</w:t>
      </w:r>
    </w:p>
    <w:p w14:paraId="09C481DA" w14:textId="77777777" w:rsidR="007A14A9" w:rsidRPr="007A14A9" w:rsidRDefault="007A14A9" w:rsidP="007A14A9">
      <w:pPr>
        <w:keepNext/>
        <w:keepLines/>
        <w:ind w:firstLine="0"/>
        <w:jc w:val="center"/>
        <w:outlineLvl w:val="5"/>
        <w:rPr>
          <w:b/>
        </w:rPr>
      </w:pPr>
      <w:r w:rsidRPr="007A14A9">
        <w:rPr>
          <w:b/>
        </w:rPr>
        <w:t xml:space="preserve">Přestupky depozitáře a hlavního podpůrce </w:t>
      </w:r>
    </w:p>
    <w:p w14:paraId="52B63334" w14:textId="77777777" w:rsidR="007A14A9" w:rsidRPr="007A14A9" w:rsidRDefault="007A14A9" w:rsidP="007A14A9">
      <w:pPr>
        <w:keepNext/>
        <w:keepLines/>
        <w:ind w:firstLine="0"/>
        <w:jc w:val="center"/>
        <w:outlineLvl w:val="5"/>
      </w:pPr>
      <w:r w:rsidRPr="007A14A9">
        <w:t xml:space="preserve">§ 612 </w:t>
      </w:r>
    </w:p>
    <w:p w14:paraId="32D735C5"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(1) Depozitář investičního fondu se dopustí přestupku tím, že </w:t>
      </w:r>
    </w:p>
    <w:p w14:paraId="0536A548"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a) </w:t>
      </w:r>
      <w:r w:rsidRPr="007A14A9">
        <w:rPr>
          <w:rFonts w:eastAsia="MS Mincho"/>
          <w:szCs w:val="24"/>
        </w:rPr>
        <w:tab/>
        <w:t xml:space="preserve">při výkonu činnosti depozitáře nejedná podle </w:t>
      </w:r>
      <w:hyperlink r:id="rId564" w:history="1">
        <w:r w:rsidRPr="007A14A9">
          <w:rPr>
            <w:rFonts w:eastAsia="MS Mincho"/>
            <w:szCs w:val="24"/>
          </w:rPr>
          <w:t>§ 62</w:t>
        </w:r>
      </w:hyperlink>
      <w:r w:rsidRPr="007A14A9">
        <w:rPr>
          <w:rFonts w:eastAsia="MS Mincho"/>
          <w:szCs w:val="24"/>
        </w:rPr>
        <w:t xml:space="preserve">, </w:t>
      </w:r>
    </w:p>
    <w:p w14:paraId="1C6F5F0D"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b) </w:t>
      </w:r>
      <w:r w:rsidRPr="007A14A9">
        <w:rPr>
          <w:rFonts w:eastAsia="MS Mincho"/>
          <w:szCs w:val="24"/>
        </w:rPr>
        <w:tab/>
        <w:t xml:space="preserve">poskytne investiční nástroj v rozporu s </w:t>
      </w:r>
      <w:hyperlink r:id="rId565" w:history="1">
        <w:r w:rsidRPr="007A14A9">
          <w:rPr>
            <w:rFonts w:eastAsia="MS Mincho"/>
            <w:szCs w:val="24"/>
          </w:rPr>
          <w:t>§ 63</w:t>
        </w:r>
      </w:hyperlink>
      <w:r w:rsidRPr="007A14A9">
        <w:rPr>
          <w:rFonts w:eastAsia="MS Mincho"/>
          <w:szCs w:val="24"/>
        </w:rPr>
        <w:t xml:space="preserve">, </w:t>
      </w:r>
    </w:p>
    <w:p w14:paraId="779E296C"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c) </w:t>
      </w:r>
      <w:r w:rsidRPr="007A14A9">
        <w:rPr>
          <w:rFonts w:eastAsia="MS Mincho"/>
          <w:szCs w:val="24"/>
        </w:rPr>
        <w:tab/>
        <w:t xml:space="preserve">nezavede, neudržuje nebo neuplatňuje postupy podle </w:t>
      </w:r>
      <w:hyperlink r:id="rId566" w:history="1">
        <w:r w:rsidRPr="007A14A9">
          <w:rPr>
            <w:rFonts w:eastAsia="MS Mincho"/>
            <w:szCs w:val="24"/>
          </w:rPr>
          <w:t>§ 64 odst. 1</w:t>
        </w:r>
      </w:hyperlink>
      <w:r w:rsidRPr="007A14A9">
        <w:rPr>
          <w:rFonts w:eastAsia="MS Mincho"/>
          <w:szCs w:val="24"/>
        </w:rPr>
        <w:t xml:space="preserve">, </w:t>
      </w:r>
    </w:p>
    <w:p w14:paraId="09A7FAD1"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d) </w:t>
      </w:r>
      <w:r w:rsidRPr="007A14A9">
        <w:rPr>
          <w:rFonts w:eastAsia="MS Mincho"/>
          <w:szCs w:val="24"/>
        </w:rPr>
        <w:tab/>
        <w:t xml:space="preserve">neoznámí skutečnost podle </w:t>
      </w:r>
      <w:hyperlink r:id="rId567" w:history="1">
        <w:r w:rsidRPr="007A14A9">
          <w:rPr>
            <w:rFonts w:eastAsia="MS Mincho"/>
            <w:szCs w:val="24"/>
          </w:rPr>
          <w:t>§ 64 odst. 2</w:t>
        </w:r>
      </w:hyperlink>
      <w:r w:rsidRPr="007A14A9">
        <w:rPr>
          <w:rFonts w:eastAsia="MS Mincho"/>
          <w:szCs w:val="24"/>
        </w:rPr>
        <w:t xml:space="preserve">, </w:t>
      </w:r>
    </w:p>
    <w:p w14:paraId="0C4DCAAB"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e) </w:t>
      </w:r>
      <w:r w:rsidRPr="007A14A9">
        <w:rPr>
          <w:rFonts w:eastAsia="MS Mincho"/>
          <w:szCs w:val="24"/>
        </w:rPr>
        <w:tab/>
        <w:t xml:space="preserve">vykonává činnost, z jejíhož výkonu může plynout střet zájmů, aniž má zavedeny organizační předpoklady podle </w:t>
      </w:r>
      <w:hyperlink r:id="rId568" w:history="1">
        <w:r w:rsidRPr="007A14A9">
          <w:rPr>
            <w:rFonts w:eastAsia="MS Mincho"/>
            <w:szCs w:val="24"/>
          </w:rPr>
          <w:t>§ 65 odst. 2</w:t>
        </w:r>
      </w:hyperlink>
      <w:r w:rsidRPr="007A14A9">
        <w:rPr>
          <w:rFonts w:eastAsia="MS Mincho"/>
          <w:szCs w:val="24"/>
        </w:rPr>
        <w:t xml:space="preserve">, </w:t>
      </w:r>
    </w:p>
    <w:p w14:paraId="1F64B214"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f) </w:t>
      </w:r>
      <w:r w:rsidRPr="007A14A9">
        <w:rPr>
          <w:rFonts w:eastAsia="MS Mincho"/>
          <w:szCs w:val="24"/>
        </w:rPr>
        <w:tab/>
        <w:t xml:space="preserve">oceňuje majetek a dluhy investičního fondu nebo provádí výpočet aktuální hodnoty podílového listu nebo investiční akcie vydávané investičním fondem, aniž má zavedeny organizační předpoklady podle </w:t>
      </w:r>
      <w:hyperlink r:id="rId569" w:history="1">
        <w:r w:rsidRPr="007A14A9">
          <w:rPr>
            <w:rFonts w:eastAsia="MS Mincho"/>
            <w:szCs w:val="24"/>
          </w:rPr>
          <w:t>§ 65 odst. 3</w:t>
        </w:r>
      </w:hyperlink>
      <w:r w:rsidRPr="007A14A9">
        <w:rPr>
          <w:rFonts w:eastAsia="MS Mincho"/>
          <w:szCs w:val="24"/>
        </w:rPr>
        <w:t xml:space="preserve">, </w:t>
      </w:r>
    </w:p>
    <w:p w14:paraId="75106654"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g) </w:t>
      </w:r>
      <w:r w:rsidRPr="007A14A9">
        <w:rPr>
          <w:rFonts w:eastAsia="MS Mincho"/>
          <w:szCs w:val="24"/>
        </w:rPr>
        <w:tab/>
        <w:t xml:space="preserve">neprojedná s obhospodařovatelem tohoto fondu skutečnost podle </w:t>
      </w:r>
      <w:hyperlink r:id="rId570" w:history="1">
        <w:r w:rsidRPr="007A14A9">
          <w:rPr>
            <w:rFonts w:eastAsia="MS Mincho"/>
            <w:szCs w:val="24"/>
          </w:rPr>
          <w:t>§ 66</w:t>
        </w:r>
      </w:hyperlink>
      <w:r w:rsidRPr="007A14A9">
        <w:rPr>
          <w:rFonts w:eastAsia="MS Mincho"/>
          <w:szCs w:val="24"/>
        </w:rPr>
        <w:t xml:space="preserve">, </w:t>
      </w:r>
    </w:p>
    <w:p w14:paraId="1132A625"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h) </w:t>
      </w:r>
      <w:r w:rsidRPr="007A14A9">
        <w:rPr>
          <w:rFonts w:eastAsia="MS Mincho"/>
          <w:szCs w:val="24"/>
        </w:rPr>
        <w:tab/>
        <w:t xml:space="preserve">nezavede, neudržuje nebo neuplatňuje mechanismus k hlášení podle </w:t>
      </w:r>
      <w:hyperlink r:id="rId571" w:history="1">
        <w:r w:rsidRPr="007A14A9">
          <w:rPr>
            <w:rFonts w:eastAsia="MS Mincho"/>
            <w:szCs w:val="24"/>
          </w:rPr>
          <w:t>§ 66a</w:t>
        </w:r>
      </w:hyperlink>
      <w:r w:rsidRPr="007A14A9">
        <w:rPr>
          <w:rFonts w:eastAsia="MS Mincho"/>
          <w:szCs w:val="24"/>
        </w:rPr>
        <w:t xml:space="preserve"> a </w:t>
      </w:r>
      <w:hyperlink r:id="rId572" w:history="1">
        <w:r w:rsidRPr="007A14A9">
          <w:rPr>
            <w:rFonts w:eastAsia="MS Mincho"/>
            <w:szCs w:val="24"/>
          </w:rPr>
          <w:t>20a</w:t>
        </w:r>
      </w:hyperlink>
      <w:r w:rsidRPr="007A14A9">
        <w:rPr>
          <w:rFonts w:eastAsia="MS Mincho"/>
          <w:szCs w:val="24"/>
        </w:rPr>
        <w:t xml:space="preserve">, </w:t>
      </w:r>
    </w:p>
    <w:p w14:paraId="5F1C9635"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i) </w:t>
      </w:r>
      <w:r w:rsidRPr="007A14A9">
        <w:rPr>
          <w:rFonts w:eastAsia="MS Mincho"/>
          <w:szCs w:val="24"/>
        </w:rPr>
        <w:tab/>
        <w:t xml:space="preserve">nemá vytvořeny předpoklady podle </w:t>
      </w:r>
      <w:hyperlink r:id="rId573" w:history="1">
        <w:r w:rsidRPr="007A14A9">
          <w:rPr>
            <w:rFonts w:eastAsia="MS Mincho"/>
            <w:szCs w:val="24"/>
          </w:rPr>
          <w:t>§ 69 odst. 2</w:t>
        </w:r>
      </w:hyperlink>
      <w:r w:rsidRPr="007A14A9">
        <w:rPr>
          <w:rFonts w:eastAsia="MS Mincho"/>
          <w:szCs w:val="24"/>
        </w:rPr>
        <w:t xml:space="preserve">, </w:t>
      </w:r>
    </w:p>
    <w:p w14:paraId="66BB5501"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j) </w:t>
      </w:r>
      <w:r w:rsidRPr="007A14A9">
        <w:rPr>
          <w:rFonts w:eastAsia="MS Mincho"/>
          <w:szCs w:val="24"/>
        </w:rPr>
        <w:tab/>
        <w:t xml:space="preserve">nemá v opatrování zastupitelné investiční nástroje v majetku tohoto fondu podle </w:t>
      </w:r>
      <w:hyperlink r:id="rId574" w:history="1">
        <w:r w:rsidRPr="007A14A9">
          <w:rPr>
            <w:rFonts w:eastAsia="MS Mincho"/>
            <w:szCs w:val="24"/>
          </w:rPr>
          <w:t>§ 71 odst. 1 písm. a)</w:t>
        </w:r>
      </w:hyperlink>
      <w:r w:rsidRPr="007A14A9">
        <w:rPr>
          <w:rFonts w:eastAsia="MS Mincho"/>
          <w:szCs w:val="24"/>
        </w:rPr>
        <w:t xml:space="preserve">, </w:t>
      </w:r>
    </w:p>
    <w:p w14:paraId="3BB8FAD4"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k) </w:t>
      </w:r>
      <w:r w:rsidRPr="007A14A9">
        <w:rPr>
          <w:rFonts w:eastAsia="MS Mincho"/>
          <w:szCs w:val="24"/>
        </w:rPr>
        <w:tab/>
        <w:t xml:space="preserve">nemá v úschově majetek tohoto fondu, jehož povaha to umožňuje, podle </w:t>
      </w:r>
      <w:hyperlink r:id="rId575" w:history="1">
        <w:r w:rsidRPr="007A14A9">
          <w:rPr>
            <w:rFonts w:eastAsia="MS Mincho"/>
            <w:szCs w:val="24"/>
          </w:rPr>
          <w:t>§ 71 odst. 1 písm. b)</w:t>
        </w:r>
      </w:hyperlink>
      <w:r w:rsidRPr="007A14A9">
        <w:rPr>
          <w:rFonts w:eastAsia="MS Mincho"/>
          <w:szCs w:val="24"/>
        </w:rPr>
        <w:t xml:space="preserve">, </w:t>
      </w:r>
    </w:p>
    <w:p w14:paraId="427B6D55"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l) </w:t>
      </w:r>
      <w:r w:rsidRPr="007A14A9">
        <w:rPr>
          <w:rFonts w:eastAsia="MS Mincho"/>
          <w:szCs w:val="24"/>
        </w:rPr>
        <w:tab/>
        <w:t xml:space="preserve">nezajistí evidenci majetku tohoto fondu podle </w:t>
      </w:r>
      <w:hyperlink r:id="rId576" w:history="1">
        <w:r w:rsidRPr="007A14A9">
          <w:rPr>
            <w:rFonts w:eastAsia="MS Mincho"/>
            <w:szCs w:val="24"/>
          </w:rPr>
          <w:t>§ 71 odst. 1 písm. c)</w:t>
        </w:r>
      </w:hyperlink>
      <w:r w:rsidRPr="007A14A9">
        <w:rPr>
          <w:rFonts w:eastAsia="MS Mincho"/>
          <w:szCs w:val="24"/>
        </w:rPr>
        <w:t xml:space="preserve">, </w:t>
      </w:r>
    </w:p>
    <w:p w14:paraId="141E3950"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m) </w:t>
      </w:r>
      <w:r w:rsidRPr="007A14A9">
        <w:rPr>
          <w:rFonts w:eastAsia="MS Mincho"/>
          <w:szCs w:val="24"/>
        </w:rPr>
        <w:tab/>
        <w:t xml:space="preserve">nezřídí, nevede nebo neeviduje peněžní účty, neukládá peněžní prostředky nebo nekontroluje pohyb peněžních prostředků podle </w:t>
      </w:r>
      <w:hyperlink r:id="rId577" w:history="1">
        <w:r w:rsidRPr="007A14A9">
          <w:rPr>
            <w:rFonts w:eastAsia="MS Mincho"/>
            <w:szCs w:val="24"/>
          </w:rPr>
          <w:t>§ 72</w:t>
        </w:r>
      </w:hyperlink>
      <w:r w:rsidRPr="007A14A9">
        <w:rPr>
          <w:rFonts w:eastAsia="MS Mincho"/>
          <w:szCs w:val="24"/>
        </w:rPr>
        <w:t xml:space="preserve">, </w:t>
      </w:r>
    </w:p>
    <w:p w14:paraId="668966F6"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n) </w:t>
      </w:r>
      <w:r w:rsidRPr="007A14A9">
        <w:rPr>
          <w:rFonts w:eastAsia="MS Mincho"/>
          <w:szCs w:val="24"/>
        </w:rPr>
        <w:tab/>
        <w:t xml:space="preserve">neprovede kontrolu podle </w:t>
      </w:r>
      <w:hyperlink r:id="rId578" w:history="1">
        <w:r w:rsidRPr="007A14A9">
          <w:rPr>
            <w:rFonts w:eastAsia="MS Mincho"/>
            <w:szCs w:val="24"/>
          </w:rPr>
          <w:t>§ 73 odst. 1 nebo 3</w:t>
        </w:r>
      </w:hyperlink>
      <w:r w:rsidRPr="007A14A9">
        <w:rPr>
          <w:rFonts w:eastAsia="MS Mincho"/>
          <w:szCs w:val="24"/>
        </w:rPr>
        <w:t xml:space="preserve">, </w:t>
      </w:r>
    </w:p>
    <w:p w14:paraId="403FCE59"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o) </w:t>
      </w:r>
      <w:r w:rsidRPr="007A14A9">
        <w:rPr>
          <w:rFonts w:eastAsia="MS Mincho"/>
          <w:szCs w:val="24"/>
        </w:rPr>
        <w:tab/>
        <w:t xml:space="preserve">neprovede příkaz podle </w:t>
      </w:r>
      <w:hyperlink r:id="rId579" w:history="1">
        <w:r w:rsidRPr="007A14A9">
          <w:rPr>
            <w:rFonts w:eastAsia="MS Mincho"/>
            <w:szCs w:val="24"/>
          </w:rPr>
          <w:t>§ 73 odst. 2</w:t>
        </w:r>
      </w:hyperlink>
      <w:r w:rsidRPr="007A14A9">
        <w:rPr>
          <w:rFonts w:eastAsia="MS Mincho"/>
          <w:szCs w:val="24"/>
        </w:rPr>
        <w:t xml:space="preserve">, </w:t>
      </w:r>
    </w:p>
    <w:p w14:paraId="6ADC0425"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p) </w:t>
      </w:r>
      <w:r w:rsidRPr="007A14A9">
        <w:rPr>
          <w:rFonts w:eastAsia="MS Mincho"/>
          <w:szCs w:val="24"/>
        </w:rPr>
        <w:tab/>
        <w:t xml:space="preserve">neinformuje nastupujícího depozitáře tohoto fondu, nepředá mu všechny doklady nebo mu nevydá peněžní prostředky nebo majetek tohoto fondu podle </w:t>
      </w:r>
      <w:hyperlink r:id="rId580" w:history="1">
        <w:r w:rsidRPr="007A14A9">
          <w:rPr>
            <w:rFonts w:eastAsia="MS Mincho"/>
            <w:szCs w:val="24"/>
          </w:rPr>
          <w:t>§ 75 odst. 1</w:t>
        </w:r>
      </w:hyperlink>
      <w:r w:rsidRPr="007A14A9">
        <w:rPr>
          <w:rFonts w:eastAsia="MS Mincho"/>
          <w:szCs w:val="24"/>
        </w:rPr>
        <w:t>,</w:t>
      </w:r>
    </w:p>
    <w:p w14:paraId="1597FB27"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q) </w:t>
      </w:r>
      <w:r w:rsidRPr="007A14A9">
        <w:rPr>
          <w:rFonts w:eastAsia="MS Mincho"/>
          <w:szCs w:val="24"/>
        </w:rPr>
        <w:tab/>
        <w:t xml:space="preserve">pověří jiného výkonem určité jednotlivé činnosti, kterou zahrnují činnosti uvedené v </w:t>
      </w:r>
      <w:hyperlink r:id="rId581" w:history="1">
        <w:r w:rsidRPr="007A14A9">
          <w:rPr>
            <w:rFonts w:eastAsia="MS Mincho"/>
            <w:szCs w:val="24"/>
          </w:rPr>
          <w:t>§ 71 odst. 1</w:t>
        </w:r>
      </w:hyperlink>
      <w:r w:rsidRPr="007A14A9">
        <w:rPr>
          <w:rFonts w:eastAsia="MS Mincho"/>
          <w:szCs w:val="24"/>
        </w:rPr>
        <w:t xml:space="preserve">, v rozporu s některým z předpokladů uvedených v </w:t>
      </w:r>
      <w:hyperlink r:id="rId582" w:history="1">
        <w:r w:rsidRPr="007A14A9">
          <w:rPr>
            <w:rFonts w:eastAsia="MS Mincho"/>
            <w:szCs w:val="24"/>
          </w:rPr>
          <w:t>§ 77</w:t>
        </w:r>
      </w:hyperlink>
      <w:r w:rsidRPr="007A14A9">
        <w:rPr>
          <w:rFonts w:eastAsia="MS Mincho"/>
          <w:szCs w:val="24"/>
        </w:rPr>
        <w:t xml:space="preserve"> nebo </w:t>
      </w:r>
      <w:hyperlink r:id="rId583" w:history="1">
        <w:r w:rsidRPr="007A14A9">
          <w:rPr>
            <w:rFonts w:eastAsia="MS Mincho"/>
            <w:szCs w:val="24"/>
          </w:rPr>
          <w:t>78</w:t>
        </w:r>
      </w:hyperlink>
      <w:r w:rsidRPr="007A14A9">
        <w:rPr>
          <w:rFonts w:eastAsia="MS Mincho"/>
          <w:szCs w:val="24"/>
        </w:rPr>
        <w:t xml:space="preserve">, </w:t>
      </w:r>
    </w:p>
    <w:p w14:paraId="028AB674"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r) </w:t>
      </w:r>
      <w:r w:rsidRPr="007A14A9">
        <w:rPr>
          <w:rFonts w:eastAsia="MS Mincho"/>
          <w:szCs w:val="24"/>
        </w:rPr>
        <w:tab/>
        <w:t xml:space="preserve">v rozporu s </w:t>
      </w:r>
      <w:hyperlink r:id="rId584" w:history="1">
        <w:r w:rsidRPr="007A14A9">
          <w:rPr>
            <w:rFonts w:eastAsia="MS Mincho"/>
            <w:szCs w:val="24"/>
          </w:rPr>
          <w:t>§ 510 odst. 2</w:t>
        </w:r>
      </w:hyperlink>
      <w:r w:rsidRPr="007A14A9">
        <w:rPr>
          <w:rFonts w:eastAsia="MS Mincho"/>
          <w:szCs w:val="24"/>
        </w:rPr>
        <w:t xml:space="preserve"> není zapsán v seznamu depozitářů investičního fondu, </w:t>
      </w:r>
    </w:p>
    <w:p w14:paraId="1E8624DC"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s) </w:t>
      </w:r>
      <w:r w:rsidRPr="007A14A9">
        <w:rPr>
          <w:rFonts w:eastAsia="MS Mincho"/>
          <w:szCs w:val="24"/>
        </w:rPr>
        <w:tab/>
        <w:t xml:space="preserve">neoznámí České národní bance skutečnost podle </w:t>
      </w:r>
      <w:hyperlink r:id="rId585" w:history="1">
        <w:r w:rsidRPr="007A14A9">
          <w:rPr>
            <w:rFonts w:eastAsia="MS Mincho"/>
            <w:szCs w:val="24"/>
          </w:rPr>
          <w:t>§ 474</w:t>
        </w:r>
      </w:hyperlink>
      <w:r w:rsidRPr="007A14A9">
        <w:rPr>
          <w:rFonts w:eastAsia="MS Mincho"/>
          <w:szCs w:val="24"/>
        </w:rPr>
        <w:t xml:space="preserve">, </w:t>
      </w:r>
    </w:p>
    <w:p w14:paraId="1B40BF8D" w14:textId="77777777" w:rsidR="007A14A9" w:rsidRPr="007A14A9" w:rsidRDefault="007A14A9" w:rsidP="00554FBC">
      <w:pPr>
        <w:pBdr>
          <w:top w:val="single" w:sz="12" w:space="1" w:color="0070C0"/>
          <w:left w:val="single" w:sz="12" w:space="4" w:color="0070C0"/>
          <w:bottom w:val="single" w:sz="12" w:space="1" w:color="0070C0"/>
          <w:right w:val="single" w:sz="12" w:space="4" w:color="0070C0"/>
        </w:pBdr>
        <w:spacing w:before="0"/>
        <w:ind w:left="425" w:hanging="425"/>
        <w:outlineLvl w:val="7"/>
        <w:rPr>
          <w:rFonts w:eastAsia="MS Mincho"/>
          <w:szCs w:val="24"/>
        </w:rPr>
      </w:pPr>
      <w:r w:rsidRPr="007A14A9">
        <w:rPr>
          <w:rFonts w:eastAsia="MS Mincho"/>
          <w:szCs w:val="24"/>
        </w:rPr>
        <w:t xml:space="preserve">t) </w:t>
      </w:r>
      <w:r w:rsidRPr="007A14A9">
        <w:rPr>
          <w:rFonts w:eastAsia="MS Mincho"/>
          <w:szCs w:val="24"/>
        </w:rPr>
        <w:tab/>
        <w:t xml:space="preserve">nesplní některou z povinností nebo poruší některý ze zákazů podle </w:t>
      </w:r>
      <w:hyperlink r:id="rId586" w:history="1">
        <w:r w:rsidRPr="007A14A9">
          <w:rPr>
            <w:rFonts w:eastAsia="MS Mincho"/>
            <w:szCs w:val="24"/>
          </w:rPr>
          <w:t>čl. 3 až 38</w:t>
        </w:r>
      </w:hyperlink>
      <w:r w:rsidRPr="007A14A9">
        <w:rPr>
          <w:rFonts w:eastAsia="MS Mincho"/>
          <w:szCs w:val="24"/>
        </w:rPr>
        <w:t xml:space="preserve"> nařízení Komise (EU) č. </w:t>
      </w:r>
      <w:hyperlink r:id="rId587" w:history="1">
        <w:r w:rsidRPr="007A14A9">
          <w:rPr>
            <w:rFonts w:eastAsia="MS Mincho"/>
            <w:szCs w:val="24"/>
          </w:rPr>
          <w:t>583/2010</w:t>
        </w:r>
      </w:hyperlink>
      <w:r w:rsidRPr="007A14A9">
        <w:rPr>
          <w:rFonts w:eastAsia="MS Mincho"/>
          <w:szCs w:val="24"/>
        </w:rPr>
        <w:t xml:space="preserve">, </w:t>
      </w:r>
      <w:hyperlink r:id="rId588" w:history="1">
        <w:r w:rsidRPr="007A14A9">
          <w:rPr>
            <w:rFonts w:eastAsia="MS Mincho"/>
            <w:szCs w:val="24"/>
          </w:rPr>
          <w:t>čl. 1</w:t>
        </w:r>
      </w:hyperlink>
      <w:r w:rsidRPr="007A14A9">
        <w:rPr>
          <w:rFonts w:eastAsia="MS Mincho"/>
          <w:szCs w:val="24"/>
        </w:rPr>
        <w:t xml:space="preserve"> a přílohy I nařízení Komise (EU) č. </w:t>
      </w:r>
      <w:hyperlink r:id="rId589" w:history="1">
        <w:r w:rsidRPr="007A14A9">
          <w:rPr>
            <w:rFonts w:eastAsia="MS Mincho"/>
            <w:szCs w:val="24"/>
          </w:rPr>
          <w:t>584/2010</w:t>
        </w:r>
      </w:hyperlink>
      <w:r w:rsidRPr="007A14A9">
        <w:rPr>
          <w:rFonts w:eastAsia="MS Mincho"/>
          <w:szCs w:val="24"/>
        </w:rPr>
        <w:t xml:space="preserve">, </w:t>
      </w:r>
      <w:hyperlink r:id="rId590" w:history="1">
        <w:r w:rsidRPr="007A14A9">
          <w:rPr>
            <w:rFonts w:eastAsia="MS Mincho"/>
            <w:szCs w:val="24"/>
          </w:rPr>
          <w:t>čl. 2 až 111</w:t>
        </w:r>
      </w:hyperlink>
      <w:r w:rsidRPr="007A14A9">
        <w:rPr>
          <w:rFonts w:eastAsia="MS Mincho"/>
          <w:szCs w:val="24"/>
        </w:rPr>
        <w:t xml:space="preserve"> nařízení Komise v přenesené pravomoci (EU) č. </w:t>
      </w:r>
      <w:hyperlink r:id="rId591" w:history="1">
        <w:r w:rsidRPr="007A14A9">
          <w:rPr>
            <w:rFonts w:eastAsia="MS Mincho"/>
            <w:szCs w:val="24"/>
          </w:rPr>
          <w:t>231/2013</w:t>
        </w:r>
      </w:hyperlink>
      <w:r w:rsidRPr="007A14A9">
        <w:rPr>
          <w:rFonts w:eastAsia="MS Mincho"/>
          <w:szCs w:val="24"/>
        </w:rPr>
        <w:t xml:space="preserve">, v platném znění, </w:t>
      </w:r>
      <w:hyperlink r:id="rId592" w:history="1">
        <w:r w:rsidRPr="007A14A9">
          <w:rPr>
            <w:rFonts w:eastAsia="MS Mincho"/>
            <w:szCs w:val="24"/>
          </w:rPr>
          <w:t>čl. 5</w:t>
        </w:r>
      </w:hyperlink>
      <w:r w:rsidRPr="007A14A9">
        <w:rPr>
          <w:rFonts w:eastAsia="MS Mincho"/>
          <w:szCs w:val="24"/>
        </w:rPr>
        <w:t xml:space="preserve">, </w:t>
      </w:r>
      <w:hyperlink r:id="rId593" w:history="1">
        <w:r w:rsidRPr="007A14A9">
          <w:rPr>
            <w:rFonts w:eastAsia="MS Mincho"/>
            <w:szCs w:val="24"/>
          </w:rPr>
          <w:t>6</w:t>
        </w:r>
      </w:hyperlink>
      <w:r w:rsidRPr="007A14A9">
        <w:rPr>
          <w:rFonts w:eastAsia="MS Mincho"/>
          <w:szCs w:val="24"/>
        </w:rPr>
        <w:t xml:space="preserve">, </w:t>
      </w:r>
      <w:hyperlink r:id="rId594" w:history="1">
        <w:r w:rsidRPr="007A14A9">
          <w:rPr>
            <w:rFonts w:eastAsia="MS Mincho"/>
            <w:szCs w:val="24"/>
          </w:rPr>
          <w:t>čl. 7 písm. a)</w:t>
        </w:r>
      </w:hyperlink>
      <w:r w:rsidRPr="007A14A9">
        <w:rPr>
          <w:rFonts w:eastAsia="MS Mincho"/>
          <w:szCs w:val="24"/>
        </w:rPr>
        <w:t xml:space="preserve"> nebo </w:t>
      </w:r>
      <w:hyperlink r:id="rId595" w:history="1">
        <w:r w:rsidRPr="007A14A9">
          <w:rPr>
            <w:rFonts w:eastAsia="MS Mincho"/>
            <w:szCs w:val="24"/>
          </w:rPr>
          <w:t>b)</w:t>
        </w:r>
      </w:hyperlink>
      <w:r w:rsidRPr="007A14A9">
        <w:rPr>
          <w:rFonts w:eastAsia="MS Mincho"/>
          <w:szCs w:val="24"/>
        </w:rPr>
        <w:t xml:space="preserve"> nebo </w:t>
      </w:r>
      <w:hyperlink r:id="rId596" w:history="1">
        <w:r w:rsidRPr="007A14A9">
          <w:rPr>
            <w:rFonts w:eastAsia="MS Mincho"/>
            <w:szCs w:val="24"/>
          </w:rPr>
          <w:t>čl. 12 až 14a</w:t>
        </w:r>
      </w:hyperlink>
      <w:r w:rsidRPr="007A14A9">
        <w:rPr>
          <w:rFonts w:eastAsia="MS Mincho"/>
          <w:szCs w:val="24"/>
        </w:rPr>
        <w:t xml:space="preserve"> nařízení Evropského parlamentu a Rady (EU) č. </w:t>
      </w:r>
      <w:hyperlink r:id="rId597" w:history="1">
        <w:r w:rsidRPr="007A14A9">
          <w:rPr>
            <w:rFonts w:eastAsia="MS Mincho"/>
            <w:szCs w:val="24"/>
          </w:rPr>
          <w:t>345/2013</w:t>
        </w:r>
      </w:hyperlink>
      <w:r w:rsidRPr="007A14A9">
        <w:rPr>
          <w:rFonts w:eastAsia="MS Mincho"/>
          <w:szCs w:val="24"/>
        </w:rPr>
        <w:t xml:space="preserve">, v platném znění, </w:t>
      </w:r>
      <w:hyperlink r:id="rId598" w:history="1">
        <w:r w:rsidRPr="007A14A9">
          <w:rPr>
            <w:rFonts w:eastAsia="MS Mincho"/>
            <w:szCs w:val="24"/>
          </w:rPr>
          <w:t>čl. 5</w:t>
        </w:r>
      </w:hyperlink>
      <w:r w:rsidRPr="007A14A9">
        <w:rPr>
          <w:rFonts w:eastAsia="MS Mincho"/>
          <w:szCs w:val="24"/>
        </w:rPr>
        <w:t xml:space="preserve">, </w:t>
      </w:r>
      <w:hyperlink r:id="rId599" w:history="1">
        <w:r w:rsidRPr="007A14A9">
          <w:rPr>
            <w:rFonts w:eastAsia="MS Mincho"/>
            <w:szCs w:val="24"/>
          </w:rPr>
          <w:t>6</w:t>
        </w:r>
      </w:hyperlink>
      <w:r w:rsidRPr="007A14A9">
        <w:rPr>
          <w:rFonts w:eastAsia="MS Mincho"/>
          <w:szCs w:val="24"/>
        </w:rPr>
        <w:t xml:space="preserve">, </w:t>
      </w:r>
      <w:hyperlink r:id="rId600" w:history="1">
        <w:r w:rsidRPr="007A14A9">
          <w:rPr>
            <w:rFonts w:eastAsia="MS Mincho"/>
            <w:szCs w:val="24"/>
          </w:rPr>
          <w:t>čl. 7 písm. a)</w:t>
        </w:r>
      </w:hyperlink>
      <w:r w:rsidRPr="007A14A9">
        <w:rPr>
          <w:rFonts w:eastAsia="MS Mincho"/>
          <w:szCs w:val="24"/>
        </w:rPr>
        <w:t xml:space="preserve"> nebo </w:t>
      </w:r>
      <w:hyperlink r:id="rId601" w:history="1">
        <w:r w:rsidRPr="007A14A9">
          <w:rPr>
            <w:rFonts w:eastAsia="MS Mincho"/>
            <w:szCs w:val="24"/>
          </w:rPr>
          <w:t>b)</w:t>
        </w:r>
      </w:hyperlink>
      <w:r w:rsidRPr="007A14A9">
        <w:rPr>
          <w:rFonts w:eastAsia="MS Mincho"/>
          <w:szCs w:val="24"/>
        </w:rPr>
        <w:t xml:space="preserve"> nebo </w:t>
      </w:r>
      <w:hyperlink r:id="rId602" w:history="1">
        <w:r w:rsidRPr="007A14A9">
          <w:rPr>
            <w:rFonts w:eastAsia="MS Mincho"/>
            <w:szCs w:val="24"/>
          </w:rPr>
          <w:t>čl. 13 až 15a</w:t>
        </w:r>
      </w:hyperlink>
      <w:r w:rsidRPr="007A14A9">
        <w:rPr>
          <w:rFonts w:eastAsia="MS Mincho"/>
          <w:szCs w:val="24"/>
        </w:rPr>
        <w:t xml:space="preserve"> nařízení Evropského parlamentu a Rady (EU) č. </w:t>
      </w:r>
      <w:hyperlink r:id="rId603" w:history="1">
        <w:r w:rsidRPr="007A14A9">
          <w:rPr>
            <w:rFonts w:eastAsia="MS Mincho"/>
            <w:szCs w:val="24"/>
          </w:rPr>
          <w:t>346/2013</w:t>
        </w:r>
      </w:hyperlink>
      <w:r w:rsidRPr="007A14A9">
        <w:rPr>
          <w:rFonts w:eastAsia="MS Mincho"/>
          <w:szCs w:val="24"/>
        </w:rPr>
        <w:t xml:space="preserve">, v platném znění, </w:t>
      </w:r>
      <w:hyperlink r:id="rId604" w:history="1">
        <w:r w:rsidRPr="007A14A9">
          <w:rPr>
            <w:rFonts w:eastAsia="MS Mincho"/>
            <w:szCs w:val="24"/>
          </w:rPr>
          <w:t>čl. 3 až 31</w:t>
        </w:r>
      </w:hyperlink>
      <w:r w:rsidRPr="007A14A9">
        <w:rPr>
          <w:rFonts w:eastAsia="MS Mincho"/>
          <w:szCs w:val="24"/>
        </w:rPr>
        <w:t xml:space="preserve"> nařízení Evropského parlamentu a Rady (EU) </w:t>
      </w:r>
      <w:hyperlink r:id="rId605" w:history="1">
        <w:r w:rsidRPr="007A14A9">
          <w:rPr>
            <w:rFonts w:eastAsia="MS Mincho"/>
            <w:szCs w:val="24"/>
          </w:rPr>
          <w:t>2015/760</w:t>
        </w:r>
      </w:hyperlink>
      <w:r w:rsidRPr="00554FBC">
        <w:rPr>
          <w:rFonts w:eastAsia="MS Mincho"/>
          <w:b/>
          <w:color w:val="0070C0"/>
          <w:szCs w:val="24"/>
        </w:rPr>
        <w:t>, v platném znění</w:t>
      </w:r>
      <w:r w:rsidRPr="007A14A9">
        <w:rPr>
          <w:rFonts w:eastAsia="MS Mincho"/>
          <w:szCs w:val="24"/>
        </w:rPr>
        <w:t xml:space="preserve">, </w:t>
      </w:r>
      <w:hyperlink r:id="rId606" w:history="1">
        <w:r w:rsidRPr="007A14A9">
          <w:rPr>
            <w:rFonts w:eastAsia="MS Mincho"/>
            <w:szCs w:val="24"/>
          </w:rPr>
          <w:t>čl. 13</w:t>
        </w:r>
      </w:hyperlink>
      <w:r w:rsidRPr="007A14A9">
        <w:rPr>
          <w:rFonts w:eastAsia="MS Mincho"/>
          <w:szCs w:val="24"/>
        </w:rPr>
        <w:t xml:space="preserve"> nebo </w:t>
      </w:r>
      <w:hyperlink r:id="rId607" w:history="1">
        <w:r w:rsidRPr="007A14A9">
          <w:rPr>
            <w:rFonts w:eastAsia="MS Mincho"/>
            <w:szCs w:val="24"/>
          </w:rPr>
          <w:t>14</w:t>
        </w:r>
      </w:hyperlink>
      <w:r w:rsidRPr="007A14A9">
        <w:rPr>
          <w:rFonts w:eastAsia="MS Mincho"/>
          <w:szCs w:val="24"/>
        </w:rPr>
        <w:t xml:space="preserve"> nařízení Evropského parlamentu a Rady (EU) </w:t>
      </w:r>
      <w:hyperlink r:id="rId608" w:history="1">
        <w:r w:rsidRPr="007A14A9">
          <w:rPr>
            <w:rFonts w:eastAsia="MS Mincho"/>
            <w:szCs w:val="24"/>
          </w:rPr>
          <w:t>2015/2365</w:t>
        </w:r>
      </w:hyperlink>
      <w:r w:rsidRPr="007A14A9">
        <w:rPr>
          <w:rFonts w:eastAsia="MS Mincho"/>
          <w:szCs w:val="24"/>
        </w:rPr>
        <w:t xml:space="preserve">, </w:t>
      </w:r>
      <w:hyperlink r:id="rId609" w:history="1">
        <w:r w:rsidRPr="007A14A9">
          <w:rPr>
            <w:rFonts w:eastAsia="MS Mincho"/>
            <w:szCs w:val="24"/>
          </w:rPr>
          <w:t>čl. 2 až 24</w:t>
        </w:r>
      </w:hyperlink>
      <w:r w:rsidRPr="007A14A9">
        <w:rPr>
          <w:rFonts w:eastAsia="MS Mincho"/>
          <w:szCs w:val="24"/>
        </w:rPr>
        <w:t xml:space="preserve"> nařízení Komise v přenesené </w:t>
      </w:r>
      <w:r w:rsidRPr="007A14A9">
        <w:rPr>
          <w:rFonts w:eastAsia="MS Mincho"/>
          <w:szCs w:val="24"/>
        </w:rPr>
        <w:lastRenderedPageBreak/>
        <w:t xml:space="preserve">pravomoci (EU) č. </w:t>
      </w:r>
      <w:hyperlink r:id="rId610" w:history="1">
        <w:r w:rsidRPr="007A14A9">
          <w:rPr>
            <w:rFonts w:eastAsia="MS Mincho"/>
            <w:szCs w:val="24"/>
          </w:rPr>
          <w:t>438/2016</w:t>
        </w:r>
      </w:hyperlink>
      <w:r w:rsidRPr="007A14A9">
        <w:rPr>
          <w:rFonts w:eastAsia="MS Mincho"/>
          <w:szCs w:val="24"/>
        </w:rPr>
        <w:t xml:space="preserve">, v platném znění, nebo podle </w:t>
      </w:r>
      <w:hyperlink r:id="rId611" w:history="1">
        <w:r w:rsidRPr="007A14A9">
          <w:rPr>
            <w:rFonts w:eastAsia="MS Mincho"/>
            <w:szCs w:val="24"/>
          </w:rPr>
          <w:t>čl. 4 až 6</w:t>
        </w:r>
      </w:hyperlink>
      <w:r w:rsidRPr="007A14A9">
        <w:rPr>
          <w:rFonts w:eastAsia="MS Mincho"/>
          <w:szCs w:val="24"/>
        </w:rPr>
        <w:t xml:space="preserve">, </w:t>
      </w:r>
      <w:hyperlink r:id="rId612" w:history="1">
        <w:r w:rsidRPr="007A14A9">
          <w:rPr>
            <w:rFonts w:eastAsia="MS Mincho"/>
            <w:szCs w:val="24"/>
          </w:rPr>
          <w:t>9 až 21</w:t>
        </w:r>
      </w:hyperlink>
      <w:r w:rsidRPr="007A14A9">
        <w:rPr>
          <w:rFonts w:eastAsia="MS Mincho"/>
          <w:szCs w:val="24"/>
        </w:rPr>
        <w:t xml:space="preserve"> nebo </w:t>
      </w:r>
      <w:hyperlink r:id="rId613" w:history="1">
        <w:r w:rsidRPr="007A14A9">
          <w:rPr>
            <w:rFonts w:eastAsia="MS Mincho"/>
            <w:szCs w:val="24"/>
          </w:rPr>
          <w:t>čl. 23 až 36</w:t>
        </w:r>
      </w:hyperlink>
      <w:r w:rsidRPr="007A14A9">
        <w:rPr>
          <w:rFonts w:eastAsia="MS Mincho"/>
          <w:szCs w:val="24"/>
        </w:rPr>
        <w:t xml:space="preserve"> nařízení Evropského parlamentu a Rady (EU) </w:t>
      </w:r>
      <w:hyperlink r:id="rId614" w:history="1">
        <w:r w:rsidRPr="007A14A9">
          <w:rPr>
            <w:rFonts w:eastAsia="MS Mincho"/>
            <w:szCs w:val="24"/>
          </w:rPr>
          <w:t>2017/1131</w:t>
        </w:r>
      </w:hyperlink>
      <w:r w:rsidRPr="007A14A9">
        <w:rPr>
          <w:rFonts w:eastAsia="MS Mincho"/>
          <w:szCs w:val="24"/>
        </w:rPr>
        <w:t xml:space="preserve">, v platném znění ve vztahu k výkonu činnosti depozitáře. </w:t>
      </w:r>
    </w:p>
    <w:p w14:paraId="1E015479"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(2) Depozitář standardního fondu, který postupuje podle </w:t>
      </w:r>
      <w:hyperlink r:id="rId615" w:history="1">
        <w:r w:rsidRPr="007A14A9">
          <w:rPr>
            <w:rFonts w:eastAsia="MS Mincho"/>
            <w:szCs w:val="24"/>
          </w:rPr>
          <w:t>§ 666 až 675</w:t>
        </w:r>
      </w:hyperlink>
      <w:r w:rsidRPr="007A14A9">
        <w:rPr>
          <w:rFonts w:eastAsia="MS Mincho"/>
          <w:szCs w:val="24"/>
        </w:rPr>
        <w:t xml:space="preserve">, se dopustí přestupku tím, že </w:t>
      </w:r>
    </w:p>
    <w:p w14:paraId="34126E0A"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a) </w:t>
      </w:r>
      <w:r w:rsidRPr="007A14A9">
        <w:rPr>
          <w:rFonts w:eastAsia="MS Mincho"/>
          <w:szCs w:val="24"/>
        </w:rPr>
        <w:tab/>
        <w:t xml:space="preserve">nemá v opatrování zastupitelné investiční nástroje v majetku tohoto fondu podle </w:t>
      </w:r>
      <w:hyperlink r:id="rId616" w:history="1">
        <w:r w:rsidRPr="007A14A9">
          <w:rPr>
            <w:rFonts w:eastAsia="MS Mincho"/>
            <w:szCs w:val="24"/>
          </w:rPr>
          <w:t>§ 669 písm. a)</w:t>
        </w:r>
      </w:hyperlink>
      <w:r w:rsidRPr="007A14A9">
        <w:rPr>
          <w:rFonts w:eastAsia="MS Mincho"/>
          <w:szCs w:val="24"/>
        </w:rPr>
        <w:t xml:space="preserve">, </w:t>
      </w:r>
    </w:p>
    <w:p w14:paraId="4214456F"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b) </w:t>
      </w:r>
      <w:r w:rsidRPr="007A14A9">
        <w:rPr>
          <w:rFonts w:eastAsia="MS Mincho"/>
          <w:szCs w:val="24"/>
        </w:rPr>
        <w:tab/>
        <w:t xml:space="preserve">nemá v úschově majetek tohoto fondu, jehož povaha to umožňuje, podle </w:t>
      </w:r>
      <w:hyperlink r:id="rId617" w:history="1">
        <w:r w:rsidRPr="007A14A9">
          <w:rPr>
            <w:rFonts w:eastAsia="MS Mincho"/>
            <w:szCs w:val="24"/>
          </w:rPr>
          <w:t>§ 669 písm. b)</w:t>
        </w:r>
      </w:hyperlink>
      <w:r w:rsidRPr="007A14A9">
        <w:rPr>
          <w:rFonts w:eastAsia="MS Mincho"/>
          <w:szCs w:val="24"/>
        </w:rPr>
        <w:t xml:space="preserve">, </w:t>
      </w:r>
    </w:p>
    <w:p w14:paraId="1EB877F6"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c) </w:t>
      </w:r>
      <w:r w:rsidRPr="007A14A9">
        <w:rPr>
          <w:rFonts w:eastAsia="MS Mincho"/>
          <w:szCs w:val="24"/>
        </w:rPr>
        <w:tab/>
        <w:t xml:space="preserve">nezajistí evidenci majetku tohoto fondu, jehož povaha to umožňuje, podle </w:t>
      </w:r>
      <w:hyperlink r:id="rId618" w:history="1">
        <w:r w:rsidRPr="007A14A9">
          <w:rPr>
            <w:rFonts w:eastAsia="MS Mincho"/>
            <w:szCs w:val="24"/>
          </w:rPr>
          <w:t>§ 669 písm. c)</w:t>
        </w:r>
      </w:hyperlink>
      <w:r w:rsidRPr="007A14A9">
        <w:rPr>
          <w:rFonts w:eastAsia="MS Mincho"/>
          <w:szCs w:val="24"/>
        </w:rPr>
        <w:t xml:space="preserve">, </w:t>
      </w:r>
    </w:p>
    <w:p w14:paraId="25DEDA88"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d) </w:t>
      </w:r>
      <w:r w:rsidRPr="007A14A9">
        <w:rPr>
          <w:rFonts w:eastAsia="MS Mincho"/>
          <w:szCs w:val="24"/>
        </w:rPr>
        <w:tab/>
        <w:t xml:space="preserve">nezřídí nebo nevede pro tento fond peněžní účty podle </w:t>
      </w:r>
      <w:hyperlink r:id="rId619" w:history="1">
        <w:r w:rsidRPr="007A14A9">
          <w:rPr>
            <w:rFonts w:eastAsia="MS Mincho"/>
            <w:szCs w:val="24"/>
          </w:rPr>
          <w:t>§ 669 písm. d)</w:t>
        </w:r>
      </w:hyperlink>
      <w:r w:rsidRPr="007A14A9">
        <w:rPr>
          <w:rFonts w:eastAsia="MS Mincho"/>
          <w:szCs w:val="24"/>
        </w:rPr>
        <w:t xml:space="preserve">, </w:t>
      </w:r>
    </w:p>
    <w:p w14:paraId="717255CA"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e) </w:t>
      </w:r>
      <w:r w:rsidRPr="007A14A9">
        <w:rPr>
          <w:rFonts w:eastAsia="MS Mincho"/>
          <w:szCs w:val="24"/>
        </w:rPr>
        <w:tab/>
        <w:t xml:space="preserve">neeviduje pohyb peněžních prostředků tohoto fondu podle </w:t>
      </w:r>
      <w:hyperlink r:id="rId620" w:history="1">
        <w:r w:rsidRPr="007A14A9">
          <w:rPr>
            <w:rFonts w:eastAsia="MS Mincho"/>
            <w:szCs w:val="24"/>
          </w:rPr>
          <w:t>§ 669 písm. e)</w:t>
        </w:r>
      </w:hyperlink>
      <w:r w:rsidRPr="007A14A9">
        <w:rPr>
          <w:rFonts w:eastAsia="MS Mincho"/>
          <w:szCs w:val="24"/>
        </w:rPr>
        <w:t xml:space="preserve">, </w:t>
      </w:r>
    </w:p>
    <w:p w14:paraId="4A52240A"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f) </w:t>
      </w:r>
      <w:r w:rsidRPr="007A14A9">
        <w:rPr>
          <w:rFonts w:eastAsia="MS Mincho"/>
          <w:szCs w:val="24"/>
        </w:rPr>
        <w:tab/>
        <w:t xml:space="preserve">nezajistí vypořádání obchodů s majetkem standardního fondu podle </w:t>
      </w:r>
      <w:hyperlink r:id="rId621" w:history="1">
        <w:r w:rsidRPr="007A14A9">
          <w:rPr>
            <w:rFonts w:eastAsia="MS Mincho"/>
            <w:szCs w:val="24"/>
          </w:rPr>
          <w:t>§ 669 písm. f)</w:t>
        </w:r>
      </w:hyperlink>
      <w:r w:rsidRPr="007A14A9">
        <w:rPr>
          <w:rFonts w:eastAsia="MS Mincho"/>
          <w:szCs w:val="24"/>
        </w:rPr>
        <w:t xml:space="preserve">, </w:t>
      </w:r>
    </w:p>
    <w:p w14:paraId="4C3D5EA3"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g) </w:t>
      </w:r>
      <w:r w:rsidRPr="007A14A9">
        <w:rPr>
          <w:rFonts w:eastAsia="MS Mincho"/>
          <w:szCs w:val="24"/>
        </w:rPr>
        <w:tab/>
        <w:t xml:space="preserve">neprovede kontrolu podle </w:t>
      </w:r>
      <w:hyperlink r:id="rId622" w:history="1">
        <w:r w:rsidRPr="007A14A9">
          <w:rPr>
            <w:rFonts w:eastAsia="MS Mincho"/>
            <w:szCs w:val="24"/>
          </w:rPr>
          <w:t>§ 670 odst. 1 nebo 3</w:t>
        </w:r>
      </w:hyperlink>
      <w:r w:rsidRPr="007A14A9">
        <w:rPr>
          <w:rFonts w:eastAsia="MS Mincho"/>
          <w:szCs w:val="24"/>
        </w:rPr>
        <w:t xml:space="preserve">, </w:t>
      </w:r>
    </w:p>
    <w:p w14:paraId="6964663C"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h) </w:t>
      </w:r>
      <w:r w:rsidRPr="007A14A9">
        <w:rPr>
          <w:rFonts w:eastAsia="MS Mincho"/>
          <w:szCs w:val="24"/>
        </w:rPr>
        <w:tab/>
        <w:t xml:space="preserve">neprovede příkaz podle </w:t>
      </w:r>
      <w:hyperlink r:id="rId623" w:history="1">
        <w:r w:rsidRPr="007A14A9">
          <w:rPr>
            <w:rFonts w:eastAsia="MS Mincho"/>
            <w:szCs w:val="24"/>
          </w:rPr>
          <w:t>§ 670 odst. 2</w:t>
        </w:r>
      </w:hyperlink>
      <w:r w:rsidRPr="007A14A9">
        <w:rPr>
          <w:rFonts w:eastAsia="MS Mincho"/>
          <w:szCs w:val="24"/>
        </w:rPr>
        <w:t xml:space="preserve">, </w:t>
      </w:r>
    </w:p>
    <w:p w14:paraId="4BB2EF87"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i) </w:t>
      </w:r>
      <w:r w:rsidRPr="007A14A9">
        <w:rPr>
          <w:rFonts w:eastAsia="MS Mincho"/>
          <w:szCs w:val="24"/>
        </w:rPr>
        <w:tab/>
        <w:t xml:space="preserve">neinformuje nastupujícího depozitáře tohoto fondu, nepředá mu všechny doklady nebo mu nevydá peněžní prostředky nebo majetek tohoto fondu podle </w:t>
      </w:r>
      <w:hyperlink r:id="rId624" w:history="1">
        <w:r w:rsidRPr="007A14A9">
          <w:rPr>
            <w:rFonts w:eastAsia="MS Mincho"/>
            <w:szCs w:val="24"/>
          </w:rPr>
          <w:t>§ 672 odst. 1</w:t>
        </w:r>
      </w:hyperlink>
      <w:r w:rsidRPr="007A14A9">
        <w:rPr>
          <w:rFonts w:eastAsia="MS Mincho"/>
          <w:szCs w:val="24"/>
        </w:rPr>
        <w:t xml:space="preserve">, nebo </w:t>
      </w:r>
    </w:p>
    <w:p w14:paraId="2A9BDED1"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j) </w:t>
      </w:r>
      <w:r w:rsidRPr="007A14A9">
        <w:rPr>
          <w:rFonts w:eastAsia="MS Mincho"/>
          <w:szCs w:val="24"/>
        </w:rPr>
        <w:tab/>
        <w:t xml:space="preserve">pověří jiného výkonem určité jednotlivé činnosti, uvedené v </w:t>
      </w:r>
      <w:hyperlink r:id="rId625" w:history="1">
        <w:r w:rsidRPr="007A14A9">
          <w:rPr>
            <w:rFonts w:eastAsia="MS Mincho"/>
            <w:szCs w:val="24"/>
          </w:rPr>
          <w:t>§ 669 písm. a) až c)</w:t>
        </w:r>
      </w:hyperlink>
      <w:r w:rsidRPr="007A14A9">
        <w:rPr>
          <w:rFonts w:eastAsia="MS Mincho"/>
          <w:szCs w:val="24"/>
        </w:rPr>
        <w:t xml:space="preserve">, v rozporu s některým z předpokladů uvedených v </w:t>
      </w:r>
      <w:hyperlink r:id="rId626" w:history="1">
        <w:r w:rsidRPr="007A14A9">
          <w:rPr>
            <w:rFonts w:eastAsia="MS Mincho"/>
            <w:szCs w:val="24"/>
          </w:rPr>
          <w:t>§ 77 odst. 1 nebo 2</w:t>
        </w:r>
      </w:hyperlink>
      <w:r w:rsidRPr="007A14A9">
        <w:rPr>
          <w:rFonts w:eastAsia="MS Mincho"/>
          <w:szCs w:val="24"/>
        </w:rPr>
        <w:t xml:space="preserve">. </w:t>
      </w:r>
    </w:p>
    <w:p w14:paraId="38BFCA6C"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(3) Depozitář řídícího fondu se dopustí přestupku tím, že </w:t>
      </w:r>
    </w:p>
    <w:p w14:paraId="30C56A8D"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a) </w:t>
      </w:r>
      <w:r w:rsidRPr="007A14A9">
        <w:rPr>
          <w:rFonts w:eastAsia="MS Mincho"/>
          <w:szCs w:val="24"/>
        </w:rPr>
        <w:tab/>
        <w:t xml:space="preserve">neinformuje obhospodařovatele podřízeného fondu, depozitáře podřízeného fondu, Českou národní banku nebo příslušný orgán dohledu jiného členského státu podle </w:t>
      </w:r>
      <w:hyperlink r:id="rId627" w:history="1">
        <w:r w:rsidRPr="007A14A9">
          <w:rPr>
            <w:rFonts w:eastAsia="MS Mincho"/>
            <w:szCs w:val="24"/>
          </w:rPr>
          <w:t>§ 260 odst. 1</w:t>
        </w:r>
      </w:hyperlink>
      <w:r w:rsidRPr="007A14A9">
        <w:rPr>
          <w:rFonts w:eastAsia="MS Mincho"/>
          <w:szCs w:val="24"/>
        </w:rPr>
        <w:t xml:space="preserve">, nebo </w:t>
      </w:r>
    </w:p>
    <w:p w14:paraId="20956A7B"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b) </w:t>
      </w:r>
      <w:r w:rsidRPr="007A14A9">
        <w:rPr>
          <w:rFonts w:eastAsia="MS Mincho"/>
          <w:szCs w:val="24"/>
        </w:rPr>
        <w:tab/>
        <w:t xml:space="preserve">neinformuje depozitáře podřízeného fondu podle </w:t>
      </w:r>
      <w:hyperlink r:id="rId628" w:history="1">
        <w:r w:rsidRPr="007A14A9">
          <w:rPr>
            <w:rFonts w:eastAsia="MS Mincho"/>
            <w:szCs w:val="24"/>
          </w:rPr>
          <w:t>§ 260 odst. 2</w:t>
        </w:r>
      </w:hyperlink>
      <w:r w:rsidRPr="007A14A9">
        <w:rPr>
          <w:rFonts w:eastAsia="MS Mincho"/>
          <w:szCs w:val="24"/>
        </w:rPr>
        <w:t xml:space="preserve">. </w:t>
      </w:r>
    </w:p>
    <w:p w14:paraId="1F22C08F"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(4) Depozitář podílového fondu nebo zahraničního investičního fondu srovnatelného se standardním fondem, který byl splynutím zrušen, se dopustí přestupku tím, že </w:t>
      </w:r>
    </w:p>
    <w:p w14:paraId="1341F98E"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a) </w:t>
      </w:r>
      <w:r w:rsidRPr="007A14A9">
        <w:rPr>
          <w:rFonts w:eastAsia="MS Mincho"/>
          <w:szCs w:val="24"/>
        </w:rPr>
        <w:tab/>
        <w:t xml:space="preserve">nezkontroluje některou ze skutečností podle </w:t>
      </w:r>
      <w:hyperlink r:id="rId629" w:history="1">
        <w:r w:rsidRPr="007A14A9">
          <w:rPr>
            <w:rFonts w:eastAsia="MS Mincho"/>
            <w:szCs w:val="24"/>
          </w:rPr>
          <w:t>§ 393 odst. 2</w:t>
        </w:r>
      </w:hyperlink>
      <w:r w:rsidRPr="007A14A9">
        <w:rPr>
          <w:rFonts w:eastAsia="MS Mincho"/>
          <w:szCs w:val="24"/>
        </w:rPr>
        <w:t xml:space="preserve"> věty první, nebo </w:t>
      </w:r>
    </w:p>
    <w:p w14:paraId="650F7AA0"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b) </w:t>
      </w:r>
      <w:r w:rsidRPr="007A14A9">
        <w:rPr>
          <w:rFonts w:eastAsia="MS Mincho"/>
          <w:szCs w:val="24"/>
        </w:rPr>
        <w:tab/>
        <w:t xml:space="preserve">nezpracuje zprávu nebo ji neposkytne podle </w:t>
      </w:r>
      <w:hyperlink r:id="rId630" w:history="1">
        <w:r w:rsidRPr="007A14A9">
          <w:rPr>
            <w:rFonts w:eastAsia="MS Mincho"/>
            <w:szCs w:val="24"/>
          </w:rPr>
          <w:t>§ 393 odst. 2</w:t>
        </w:r>
      </w:hyperlink>
      <w:r w:rsidRPr="007A14A9">
        <w:rPr>
          <w:rFonts w:eastAsia="MS Mincho"/>
          <w:szCs w:val="24"/>
        </w:rPr>
        <w:t xml:space="preserve"> věty druhé. </w:t>
      </w:r>
    </w:p>
    <w:p w14:paraId="1DE03540"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(5) Depozitář podílového fondu nebo zahraničního investičního fondu srovnatelného se standardním fondem, který byl splynutím zrušen nebo který splynutím vznikl, se dopustí přestupku tím, že nezkontroluje soulad údajů podle </w:t>
      </w:r>
      <w:hyperlink r:id="rId631" w:history="1">
        <w:r w:rsidRPr="007A14A9">
          <w:rPr>
            <w:rFonts w:eastAsia="MS Mincho"/>
            <w:szCs w:val="24"/>
          </w:rPr>
          <w:t>§ 393 odst. 3</w:t>
        </w:r>
      </w:hyperlink>
      <w:r w:rsidRPr="007A14A9">
        <w:rPr>
          <w:rFonts w:eastAsia="MS Mincho"/>
          <w:szCs w:val="24"/>
        </w:rPr>
        <w:t xml:space="preserve">. </w:t>
      </w:r>
    </w:p>
    <w:p w14:paraId="3D67AC05"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(6) Za přestupek podle odstavců 1 až 5 lze uložit pokutu do </w:t>
      </w:r>
    </w:p>
    <w:p w14:paraId="4D3F1881"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a) </w:t>
      </w:r>
      <w:r w:rsidRPr="007A14A9">
        <w:rPr>
          <w:rFonts w:eastAsia="MS Mincho"/>
          <w:szCs w:val="24"/>
        </w:rPr>
        <w:tab/>
        <w:t xml:space="preserve">150 000 000 Kč, </w:t>
      </w:r>
    </w:p>
    <w:p w14:paraId="089BDACB"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b) </w:t>
      </w:r>
      <w:r w:rsidRPr="007A14A9">
        <w:rPr>
          <w:rFonts w:eastAsia="MS Mincho"/>
          <w:szCs w:val="24"/>
        </w:rPr>
        <w:tab/>
        <w:t xml:space="preserve">výše 10 % celkového ročního obratu právnické osoby podle </w:t>
      </w:r>
      <w:r w:rsidRPr="007A14A9">
        <w:rPr>
          <w:rFonts w:eastAsia="MS Mincho"/>
          <w:strike/>
          <w:szCs w:val="24"/>
        </w:rPr>
        <w:t>její poslední řádné účetní závěrky nebo konsolidované účetní závěrky</w:t>
      </w:r>
      <w:r w:rsidRPr="007A14A9">
        <w:rPr>
          <w:rFonts w:eastAsia="MS Mincho"/>
          <w:b/>
          <w:szCs w:val="24"/>
        </w:rPr>
        <w:t xml:space="preserve"> poslední řádné konsolidované účetní závěrky</w:t>
      </w:r>
      <w:r w:rsidRPr="007A14A9">
        <w:rPr>
          <w:rFonts w:eastAsia="MS Mincho"/>
          <w:szCs w:val="24"/>
        </w:rPr>
        <w:t xml:space="preserve"> </w:t>
      </w:r>
      <w:r w:rsidRPr="007A14A9">
        <w:rPr>
          <w:rFonts w:eastAsia="MS Mincho"/>
          <w:b/>
          <w:szCs w:val="24"/>
        </w:rPr>
        <w:t>konsolidačního celku, v němž je zahrnuta,</w:t>
      </w:r>
      <w:r w:rsidRPr="007A14A9">
        <w:rPr>
          <w:rFonts w:eastAsia="MS Mincho"/>
          <w:szCs w:val="24"/>
        </w:rPr>
        <w:t xml:space="preserve"> </w:t>
      </w:r>
      <w:r w:rsidRPr="007A14A9">
        <w:rPr>
          <w:rFonts w:eastAsia="MS Mincho"/>
          <w:b/>
          <w:szCs w:val="24"/>
        </w:rPr>
        <w:t>nebo řádné individuální účetní závěrky, není-li taková konsolidovaná účetní závěrka</w:t>
      </w:r>
      <w:r w:rsidRPr="007A14A9">
        <w:rPr>
          <w:rFonts w:eastAsia="MS Mincho"/>
          <w:szCs w:val="24"/>
        </w:rPr>
        <w:t xml:space="preserve">, přesahuje-li takto určená výše pokuty částku 150 000 000 Kč, nebo </w:t>
      </w:r>
    </w:p>
    <w:p w14:paraId="5E254DA0"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c) </w:t>
      </w:r>
      <w:r w:rsidRPr="007A14A9">
        <w:rPr>
          <w:rFonts w:eastAsia="MS Mincho"/>
          <w:szCs w:val="24"/>
        </w:rPr>
        <w:tab/>
        <w:t xml:space="preserve">výše dvojnásobku neoprávněného prospěchu získaného spácháním tohoto přestupku, je-li možné výši neoprávněného prospěchu zjistit a přesahuje-li takto určená výše pokuty částku 150 000 000 Kč. </w:t>
      </w:r>
    </w:p>
    <w:p w14:paraId="581FCF96"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(7) Za přestupek podle odstavce 1, 2, 3, 4 nebo 5 lze namísto pokuty nebo spolu s pokutou nařídit uveřejnění informace o tom, jaká je povaha protiprávního jednání a která osoba takto jednala. </w:t>
      </w:r>
    </w:p>
    <w:p w14:paraId="576B8CE0" w14:textId="77777777" w:rsidR="007A14A9" w:rsidRPr="007A14A9" w:rsidRDefault="007A14A9" w:rsidP="007A14A9">
      <w:pPr>
        <w:keepNext/>
        <w:keepLines/>
        <w:ind w:firstLine="0"/>
        <w:jc w:val="center"/>
        <w:outlineLvl w:val="5"/>
        <w:rPr>
          <w:rFonts w:eastAsia="MS Mincho"/>
          <w:szCs w:val="24"/>
        </w:rPr>
      </w:pPr>
      <w:r w:rsidRPr="007A14A9">
        <w:lastRenderedPageBreak/>
        <w:t>§ 613</w:t>
      </w:r>
      <w:r w:rsidRPr="007A14A9">
        <w:rPr>
          <w:rFonts w:eastAsia="MS Mincho"/>
          <w:szCs w:val="24"/>
        </w:rPr>
        <w:t xml:space="preserve"> </w:t>
      </w:r>
    </w:p>
    <w:p w14:paraId="54084FFB"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(1) Depozitář podílového fondu, který byl sloučením zrušen, se dopustí přestupku tím, že </w:t>
      </w:r>
    </w:p>
    <w:p w14:paraId="5DF12B85"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a) </w:t>
      </w:r>
      <w:r w:rsidRPr="007A14A9">
        <w:rPr>
          <w:rFonts w:eastAsia="MS Mincho"/>
          <w:szCs w:val="24"/>
        </w:rPr>
        <w:tab/>
        <w:t xml:space="preserve">nezkontroluje některou ze skutečností podle </w:t>
      </w:r>
      <w:hyperlink r:id="rId632" w:history="1">
        <w:r w:rsidRPr="007A14A9">
          <w:rPr>
            <w:rFonts w:eastAsia="MS Mincho"/>
            <w:szCs w:val="24"/>
          </w:rPr>
          <w:t>§ 409 odst. 2</w:t>
        </w:r>
      </w:hyperlink>
      <w:r w:rsidRPr="007A14A9">
        <w:rPr>
          <w:rFonts w:eastAsia="MS Mincho"/>
          <w:szCs w:val="24"/>
        </w:rPr>
        <w:t xml:space="preserve"> věty první, nebo </w:t>
      </w:r>
    </w:p>
    <w:p w14:paraId="081F7745"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b) </w:t>
      </w:r>
      <w:r w:rsidRPr="007A14A9">
        <w:rPr>
          <w:rFonts w:eastAsia="MS Mincho"/>
          <w:szCs w:val="24"/>
        </w:rPr>
        <w:tab/>
        <w:t xml:space="preserve">nezpracuje zprávu nebo ji neposkytne podle </w:t>
      </w:r>
      <w:hyperlink r:id="rId633" w:history="1">
        <w:r w:rsidRPr="007A14A9">
          <w:rPr>
            <w:rFonts w:eastAsia="MS Mincho"/>
            <w:szCs w:val="24"/>
          </w:rPr>
          <w:t>§ 409 odst. 2</w:t>
        </w:r>
      </w:hyperlink>
      <w:r w:rsidRPr="007A14A9">
        <w:rPr>
          <w:rFonts w:eastAsia="MS Mincho"/>
          <w:szCs w:val="24"/>
        </w:rPr>
        <w:t xml:space="preserve"> věty druhé. </w:t>
      </w:r>
    </w:p>
    <w:p w14:paraId="3A2F3F66"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(2) Depozitář podílového fondu nebo zahraničního investičního fondu srovnatelného se standardním fondem, který se sloučení účastní, se dopustí přestupku tím, že nezkontroluje soulad údajů podle </w:t>
      </w:r>
      <w:hyperlink r:id="rId634" w:history="1">
        <w:r w:rsidRPr="007A14A9">
          <w:rPr>
            <w:rFonts w:eastAsia="MS Mincho"/>
            <w:szCs w:val="24"/>
          </w:rPr>
          <w:t>§ 409 odst. 3</w:t>
        </w:r>
      </w:hyperlink>
      <w:r w:rsidRPr="007A14A9">
        <w:rPr>
          <w:rFonts w:eastAsia="MS Mincho"/>
          <w:szCs w:val="24"/>
        </w:rPr>
        <w:t xml:space="preserve">. </w:t>
      </w:r>
    </w:p>
    <w:p w14:paraId="41A001C6"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(3) Hlavní podpůrce investičního fondu se dopustí přestupku tím, že </w:t>
      </w:r>
    </w:p>
    <w:p w14:paraId="3270DAFA"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a)</w:t>
      </w:r>
      <w:r w:rsidRPr="007A14A9">
        <w:rPr>
          <w:rFonts w:eastAsia="MS Mincho"/>
          <w:szCs w:val="24"/>
        </w:rPr>
        <w:tab/>
        <w:t xml:space="preserve">poskytne investiční nástroj v rozporu s </w:t>
      </w:r>
      <w:hyperlink r:id="rId635" w:history="1">
        <w:r w:rsidRPr="007A14A9">
          <w:rPr>
            <w:rFonts w:eastAsia="MS Mincho"/>
            <w:szCs w:val="24"/>
          </w:rPr>
          <w:t>§ 90</w:t>
        </w:r>
      </w:hyperlink>
      <w:r w:rsidRPr="007A14A9">
        <w:rPr>
          <w:rFonts w:eastAsia="MS Mincho"/>
          <w:szCs w:val="24"/>
        </w:rPr>
        <w:t xml:space="preserve">, </w:t>
      </w:r>
    </w:p>
    <w:p w14:paraId="2E8D7EB1"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b) </w:t>
      </w:r>
      <w:r w:rsidRPr="007A14A9">
        <w:rPr>
          <w:rFonts w:eastAsia="MS Mincho"/>
          <w:szCs w:val="24"/>
        </w:rPr>
        <w:tab/>
        <w:t xml:space="preserve">vykonává činnost depozitáře tohoto fondu, aniž jsou splněny předpoklady podle </w:t>
      </w:r>
      <w:hyperlink r:id="rId636" w:history="1">
        <w:r w:rsidRPr="007A14A9">
          <w:rPr>
            <w:rFonts w:eastAsia="MS Mincho"/>
            <w:szCs w:val="24"/>
          </w:rPr>
          <w:t>§ 91 odst. 1</w:t>
        </w:r>
      </w:hyperlink>
      <w:r w:rsidRPr="007A14A9">
        <w:rPr>
          <w:rFonts w:eastAsia="MS Mincho"/>
          <w:szCs w:val="24"/>
        </w:rPr>
        <w:t xml:space="preserve">, nebo </w:t>
      </w:r>
    </w:p>
    <w:p w14:paraId="054205ED"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c) </w:t>
      </w:r>
      <w:r w:rsidRPr="007A14A9">
        <w:rPr>
          <w:rFonts w:eastAsia="MS Mincho"/>
          <w:szCs w:val="24"/>
        </w:rPr>
        <w:tab/>
        <w:t xml:space="preserve">neoznámí skutečnost podle </w:t>
      </w:r>
      <w:hyperlink r:id="rId637" w:history="1">
        <w:r w:rsidRPr="007A14A9">
          <w:rPr>
            <w:rFonts w:eastAsia="MS Mincho"/>
            <w:szCs w:val="24"/>
          </w:rPr>
          <w:t>§ 91 odst. 2</w:t>
        </w:r>
      </w:hyperlink>
      <w:r w:rsidRPr="007A14A9">
        <w:rPr>
          <w:rFonts w:eastAsia="MS Mincho"/>
          <w:szCs w:val="24"/>
        </w:rPr>
        <w:t xml:space="preserve">. </w:t>
      </w:r>
    </w:p>
    <w:p w14:paraId="50E9FC5C"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(4) Za přestupek podle odstavců 1 až 3 lze uložit pokutu do </w:t>
      </w:r>
    </w:p>
    <w:p w14:paraId="3B833628"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a) </w:t>
      </w:r>
      <w:r w:rsidRPr="007A14A9">
        <w:rPr>
          <w:rFonts w:eastAsia="MS Mincho"/>
          <w:szCs w:val="24"/>
        </w:rPr>
        <w:tab/>
        <w:t xml:space="preserve">150 000 000 Kč, </w:t>
      </w:r>
    </w:p>
    <w:p w14:paraId="33C1631D"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b) </w:t>
      </w:r>
      <w:r w:rsidRPr="007A14A9">
        <w:rPr>
          <w:rFonts w:eastAsia="MS Mincho"/>
          <w:szCs w:val="24"/>
        </w:rPr>
        <w:tab/>
        <w:t xml:space="preserve">výše 10 % celkového ročního obratu právnické osoby podle </w:t>
      </w:r>
      <w:r w:rsidRPr="007A14A9">
        <w:rPr>
          <w:rFonts w:eastAsia="MS Mincho"/>
          <w:strike/>
          <w:szCs w:val="24"/>
        </w:rPr>
        <w:t>její poslední řádné účetní závěrky nebo konsolidované účetní závěrky</w:t>
      </w:r>
      <w:r w:rsidRPr="007A14A9">
        <w:rPr>
          <w:rFonts w:eastAsia="MS Mincho"/>
          <w:b/>
          <w:szCs w:val="24"/>
        </w:rPr>
        <w:t xml:space="preserve"> poslední řádné konsolidované účetní závěrky</w:t>
      </w:r>
      <w:r w:rsidRPr="007A14A9">
        <w:rPr>
          <w:rFonts w:eastAsia="MS Mincho"/>
          <w:szCs w:val="24"/>
        </w:rPr>
        <w:t xml:space="preserve"> </w:t>
      </w:r>
      <w:r w:rsidRPr="007A14A9">
        <w:rPr>
          <w:rFonts w:eastAsia="MS Mincho"/>
          <w:b/>
          <w:szCs w:val="24"/>
        </w:rPr>
        <w:t>konsolidačního celku, v němž je zahrnuta,</w:t>
      </w:r>
      <w:r w:rsidRPr="007A14A9">
        <w:rPr>
          <w:rFonts w:eastAsia="MS Mincho"/>
          <w:szCs w:val="24"/>
        </w:rPr>
        <w:t xml:space="preserve"> </w:t>
      </w:r>
      <w:r w:rsidRPr="007A14A9">
        <w:rPr>
          <w:rFonts w:eastAsia="MS Mincho"/>
          <w:b/>
          <w:szCs w:val="24"/>
        </w:rPr>
        <w:t>nebo řádné individuální účetní závěrky, není-li taková konsolidovaná účetní závěrka</w:t>
      </w:r>
      <w:r w:rsidRPr="007A14A9">
        <w:rPr>
          <w:rFonts w:eastAsia="MS Mincho"/>
          <w:szCs w:val="24"/>
        </w:rPr>
        <w:t xml:space="preserve">, přesahuje-li takto určená výše pokuty částku 150 000 000 Kč, nebo </w:t>
      </w:r>
    </w:p>
    <w:p w14:paraId="1D042D6C"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c) </w:t>
      </w:r>
      <w:r w:rsidRPr="007A14A9">
        <w:rPr>
          <w:rFonts w:eastAsia="MS Mincho"/>
          <w:szCs w:val="24"/>
        </w:rPr>
        <w:tab/>
        <w:t xml:space="preserve">výše dvojnásobku neoprávněného prospěchu získaného spácháním tohoto přestupku, je-li možné výši neoprávněného prospěchu zjistit a přesahuje-li takto určená výše pokuty částku 150 000 000 Kč. </w:t>
      </w:r>
    </w:p>
    <w:p w14:paraId="444F5290"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(5) Za přestupek podle odstavce 1, 2 nebo 3 lze namísto pokuty nebo spolu s pokutou nařídit uveřejnění informace o tom, jaká je povaha protiprávního jednání a která osoba takto jednala. </w:t>
      </w:r>
    </w:p>
    <w:p w14:paraId="321F3F59" w14:textId="77777777" w:rsidR="007A14A9" w:rsidRPr="007A14A9" w:rsidRDefault="007A14A9" w:rsidP="007A14A9">
      <w:pPr>
        <w:widowControl w:val="0"/>
        <w:autoSpaceDE w:val="0"/>
        <w:autoSpaceDN w:val="0"/>
        <w:adjustRightInd w:val="0"/>
        <w:spacing w:before="0"/>
        <w:ind w:firstLine="0"/>
        <w:rPr>
          <w:rFonts w:eastAsia="MS Mincho"/>
          <w:szCs w:val="24"/>
        </w:rPr>
      </w:pPr>
      <w:r w:rsidRPr="007A14A9">
        <w:rPr>
          <w:rFonts w:eastAsia="MS Mincho"/>
          <w:szCs w:val="24"/>
        </w:rPr>
        <w:t xml:space="preserve"> </w:t>
      </w:r>
    </w:p>
    <w:p w14:paraId="73CDF56C" w14:textId="77777777" w:rsidR="007A14A9" w:rsidRPr="007A14A9" w:rsidRDefault="007A14A9" w:rsidP="007A14A9">
      <w:pPr>
        <w:widowControl w:val="0"/>
        <w:autoSpaceDE w:val="0"/>
        <w:autoSpaceDN w:val="0"/>
        <w:adjustRightInd w:val="0"/>
        <w:spacing w:before="0" w:after="120"/>
        <w:ind w:firstLine="0"/>
        <w:jc w:val="center"/>
        <w:rPr>
          <w:rFonts w:eastAsia="MS Mincho"/>
          <w:b/>
          <w:bCs/>
          <w:szCs w:val="24"/>
        </w:rPr>
      </w:pPr>
      <w:r w:rsidRPr="007A14A9">
        <w:rPr>
          <w:rFonts w:eastAsia="MS Mincho"/>
          <w:b/>
          <w:bCs/>
          <w:szCs w:val="24"/>
        </w:rPr>
        <w:t xml:space="preserve">Díl 6 </w:t>
      </w:r>
    </w:p>
    <w:p w14:paraId="3F4D2400" w14:textId="77777777" w:rsidR="007A14A9" w:rsidRPr="007A14A9" w:rsidRDefault="007A14A9" w:rsidP="007A14A9">
      <w:pPr>
        <w:keepNext/>
        <w:keepLines/>
        <w:ind w:firstLine="0"/>
        <w:jc w:val="center"/>
        <w:outlineLvl w:val="5"/>
        <w:rPr>
          <w:b/>
        </w:rPr>
      </w:pPr>
      <w:r w:rsidRPr="007A14A9">
        <w:rPr>
          <w:b/>
        </w:rPr>
        <w:t xml:space="preserve">Přestupky právnických a podnikajících fyzických osob </w:t>
      </w:r>
    </w:p>
    <w:p w14:paraId="0D6ADFE8" w14:textId="77777777" w:rsidR="007A14A9" w:rsidRPr="007A14A9" w:rsidRDefault="007A14A9" w:rsidP="007A14A9">
      <w:pPr>
        <w:keepNext/>
        <w:keepLines/>
        <w:ind w:firstLine="0"/>
        <w:jc w:val="center"/>
        <w:outlineLvl w:val="5"/>
      </w:pPr>
      <w:r w:rsidRPr="007A14A9">
        <w:t>§ 614</w:t>
      </w:r>
    </w:p>
    <w:p w14:paraId="581C7AD5"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(1) Právnická nebo podnikající fyzická osoba se dopustí přestupku tím, že </w:t>
      </w:r>
    </w:p>
    <w:p w14:paraId="57A11605"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a) </w:t>
      </w:r>
      <w:r w:rsidRPr="007A14A9">
        <w:rPr>
          <w:rFonts w:eastAsia="MS Mincho"/>
          <w:szCs w:val="24"/>
        </w:rPr>
        <w:tab/>
        <w:t xml:space="preserve">neoprávněně vykonává nebo nabízí činnost podle tohoto zákona, ke které je třeba povolení České národní banky, zápis do seznamu vedeného Českou národní bankou, souhlas České národní banky nebo sdělení orgánu dohledu členského státu, </w:t>
      </w:r>
    </w:p>
    <w:p w14:paraId="59D69315"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b) </w:t>
      </w:r>
      <w:r w:rsidRPr="007A14A9">
        <w:rPr>
          <w:rFonts w:eastAsia="MS Mincho"/>
          <w:szCs w:val="24"/>
        </w:rPr>
        <w:tab/>
        <w:t xml:space="preserve">uvede nesprávný údaj nebo zatají některou skutečnost v souvislosti se žádostí o rozhodnutí, jmenování, udělení povolení, udělení souhlasu, povolení k označení, zápis do seznamu, změnu údajů zapsaných v seznamech nebo odnětí povolení podle tohoto zákona, </w:t>
      </w:r>
    </w:p>
    <w:p w14:paraId="17D58198"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c) </w:t>
      </w:r>
      <w:r w:rsidRPr="007A14A9">
        <w:rPr>
          <w:rFonts w:eastAsia="MS Mincho"/>
          <w:szCs w:val="24"/>
        </w:rPr>
        <w:tab/>
        <w:t xml:space="preserve">shromažďuje nebo se pokusí shromažďovat peněžní prostředky nebo penězi ocenitelné věci v rozporu s </w:t>
      </w:r>
      <w:hyperlink r:id="rId638" w:history="1">
        <w:r w:rsidRPr="007A14A9">
          <w:rPr>
            <w:rFonts w:eastAsia="MS Mincho"/>
            <w:szCs w:val="24"/>
          </w:rPr>
          <w:t>§ 98</w:t>
        </w:r>
      </w:hyperlink>
      <w:r w:rsidRPr="007A14A9">
        <w:rPr>
          <w:rFonts w:eastAsia="MS Mincho"/>
          <w:szCs w:val="24"/>
        </w:rPr>
        <w:t xml:space="preserve"> nebo </w:t>
      </w:r>
      <w:hyperlink r:id="rId639" w:history="1">
        <w:r w:rsidRPr="007A14A9">
          <w:rPr>
            <w:rFonts w:eastAsia="MS Mincho"/>
            <w:szCs w:val="24"/>
          </w:rPr>
          <w:t>205</w:t>
        </w:r>
      </w:hyperlink>
      <w:r w:rsidRPr="007A14A9">
        <w:rPr>
          <w:rFonts w:eastAsia="MS Mincho"/>
          <w:szCs w:val="24"/>
        </w:rPr>
        <w:t xml:space="preserve">, </w:t>
      </w:r>
    </w:p>
    <w:p w14:paraId="74D96C72"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d) </w:t>
      </w:r>
      <w:r w:rsidRPr="007A14A9">
        <w:rPr>
          <w:rFonts w:eastAsia="MS Mincho"/>
          <w:szCs w:val="24"/>
        </w:rPr>
        <w:tab/>
        <w:t xml:space="preserve">v rozporu s </w:t>
      </w:r>
      <w:hyperlink r:id="rId640" w:history="1">
        <w:r w:rsidRPr="007A14A9">
          <w:rPr>
            <w:rFonts w:eastAsia="MS Mincho"/>
            <w:szCs w:val="24"/>
          </w:rPr>
          <w:t>§ 99</w:t>
        </w:r>
      </w:hyperlink>
      <w:r w:rsidRPr="007A14A9">
        <w:rPr>
          <w:rFonts w:eastAsia="MS Mincho"/>
          <w:szCs w:val="24"/>
        </w:rPr>
        <w:t xml:space="preserve"> umožní nebo usnadní jinému zakázanou činnost, </w:t>
      </w:r>
    </w:p>
    <w:p w14:paraId="54225583" w14:textId="77777777" w:rsidR="007A14A9" w:rsidRPr="00554FBC" w:rsidRDefault="007A14A9" w:rsidP="00554FBC">
      <w:pPr>
        <w:pBdr>
          <w:top w:val="single" w:sz="12" w:space="1" w:color="0070C0"/>
          <w:left w:val="single" w:sz="12" w:space="4" w:color="0070C0"/>
          <w:bottom w:val="single" w:sz="12" w:space="1" w:color="0070C0"/>
          <w:right w:val="single" w:sz="12" w:space="4" w:color="0070C0"/>
        </w:pBdr>
        <w:spacing w:before="0"/>
        <w:ind w:left="425" w:hanging="425"/>
        <w:outlineLvl w:val="7"/>
        <w:rPr>
          <w:rFonts w:eastAsia="MS Mincho"/>
          <w:b/>
          <w:color w:val="0070C0"/>
          <w:szCs w:val="24"/>
        </w:rPr>
      </w:pPr>
      <w:r w:rsidRPr="00554FBC">
        <w:rPr>
          <w:rFonts w:eastAsia="MS Mincho"/>
          <w:b/>
          <w:color w:val="0070C0"/>
          <w:szCs w:val="24"/>
        </w:rPr>
        <w:t xml:space="preserve">e) </w:t>
      </w:r>
      <w:r w:rsidRPr="00554FBC">
        <w:rPr>
          <w:rFonts w:eastAsia="MS Mincho"/>
          <w:b/>
          <w:color w:val="0070C0"/>
          <w:szCs w:val="24"/>
        </w:rPr>
        <w:tab/>
        <w:t xml:space="preserve">nabídne investici do fondu kvalifikovaných investorů v rozporu s § 272 odst. 1 nebo 4, čl. 6 nařízení Evropského parlamentu a Rady (EU) č. 345/2013 nebo čl. 6 nařízení Evropského parlamentu a Rady (EU) č. 346/2013 nebo aniž jsou splněny požadavky </w:t>
      </w:r>
      <w:r w:rsidRPr="00554FBC">
        <w:rPr>
          <w:rFonts w:eastAsia="MS Mincho"/>
          <w:b/>
          <w:color w:val="0070C0"/>
          <w:szCs w:val="24"/>
        </w:rPr>
        <w:lastRenderedPageBreak/>
        <w:t xml:space="preserve">podle čl. 30 odst. 1 nebo 2 nařízení Evropského parlamentu a Rady (EU) 2015/760, v platném znění, </w:t>
      </w:r>
    </w:p>
    <w:p w14:paraId="4437656C"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f) </w:t>
      </w:r>
      <w:r w:rsidRPr="007A14A9">
        <w:rPr>
          <w:rFonts w:eastAsia="MS Mincho"/>
          <w:szCs w:val="24"/>
        </w:rPr>
        <w:tab/>
        <w:t xml:space="preserve">nabídne investici do speciálního fondu, do fondu kvalifikovaných investorů nebo do srovnatelného zahraničního investičního fondu dříve, než nastane některá ze skutečností podle </w:t>
      </w:r>
      <w:hyperlink r:id="rId641" w:history="1">
        <w:r w:rsidRPr="007A14A9">
          <w:rPr>
            <w:rFonts w:eastAsia="MS Mincho"/>
            <w:szCs w:val="24"/>
          </w:rPr>
          <w:t>§ 309</w:t>
        </w:r>
      </w:hyperlink>
      <w:r w:rsidRPr="007A14A9">
        <w:rPr>
          <w:rFonts w:eastAsia="MS Mincho"/>
          <w:szCs w:val="24"/>
        </w:rPr>
        <w:t xml:space="preserve">, </w:t>
      </w:r>
      <w:hyperlink r:id="rId642" w:history="1">
        <w:r w:rsidRPr="007A14A9">
          <w:rPr>
            <w:rFonts w:eastAsia="MS Mincho"/>
            <w:szCs w:val="24"/>
          </w:rPr>
          <w:t>311</w:t>
        </w:r>
      </w:hyperlink>
      <w:r w:rsidRPr="007A14A9">
        <w:rPr>
          <w:rFonts w:eastAsia="MS Mincho"/>
          <w:szCs w:val="24"/>
        </w:rPr>
        <w:t xml:space="preserve">, </w:t>
      </w:r>
      <w:hyperlink r:id="rId643" w:history="1">
        <w:r w:rsidRPr="007A14A9">
          <w:rPr>
            <w:rFonts w:eastAsia="MS Mincho"/>
            <w:szCs w:val="24"/>
          </w:rPr>
          <w:t>§ 315 odst. 1</w:t>
        </w:r>
      </w:hyperlink>
      <w:r w:rsidRPr="007A14A9">
        <w:rPr>
          <w:rFonts w:eastAsia="MS Mincho"/>
          <w:szCs w:val="24"/>
        </w:rPr>
        <w:t xml:space="preserve">, </w:t>
      </w:r>
      <w:hyperlink r:id="rId644" w:history="1">
        <w:r w:rsidRPr="007A14A9">
          <w:rPr>
            <w:rFonts w:eastAsia="MS Mincho"/>
            <w:szCs w:val="24"/>
          </w:rPr>
          <w:t>§ 316 odst. 1</w:t>
        </w:r>
      </w:hyperlink>
      <w:r w:rsidRPr="007A14A9">
        <w:rPr>
          <w:rFonts w:eastAsia="MS Mincho"/>
          <w:szCs w:val="24"/>
        </w:rPr>
        <w:t xml:space="preserve">, </w:t>
      </w:r>
      <w:hyperlink r:id="rId645" w:history="1">
        <w:r w:rsidRPr="007A14A9">
          <w:rPr>
            <w:rFonts w:eastAsia="MS Mincho"/>
            <w:szCs w:val="24"/>
          </w:rPr>
          <w:t>§ 317 odst. 1, 2 nebo 3</w:t>
        </w:r>
      </w:hyperlink>
      <w:r w:rsidRPr="007A14A9">
        <w:rPr>
          <w:rFonts w:eastAsia="MS Mincho"/>
          <w:szCs w:val="24"/>
        </w:rPr>
        <w:t xml:space="preserve">, </w:t>
      </w:r>
      <w:hyperlink r:id="rId646" w:history="1">
        <w:r w:rsidRPr="007A14A9">
          <w:rPr>
            <w:rFonts w:eastAsia="MS Mincho"/>
            <w:szCs w:val="24"/>
          </w:rPr>
          <w:t>§ 318 odst. 1</w:t>
        </w:r>
      </w:hyperlink>
      <w:r w:rsidRPr="007A14A9">
        <w:rPr>
          <w:rFonts w:eastAsia="MS Mincho"/>
          <w:szCs w:val="24"/>
        </w:rPr>
        <w:t xml:space="preserve">, </w:t>
      </w:r>
      <w:hyperlink r:id="rId647" w:history="1">
        <w:r w:rsidRPr="007A14A9">
          <w:rPr>
            <w:rFonts w:eastAsia="MS Mincho"/>
            <w:szCs w:val="24"/>
          </w:rPr>
          <w:t>§ 319 odst. 1</w:t>
        </w:r>
      </w:hyperlink>
      <w:r w:rsidRPr="007A14A9">
        <w:rPr>
          <w:rFonts w:eastAsia="MS Mincho"/>
          <w:szCs w:val="24"/>
        </w:rPr>
        <w:t xml:space="preserve">, </w:t>
      </w:r>
      <w:hyperlink r:id="rId648" w:history="1">
        <w:r w:rsidRPr="007A14A9">
          <w:rPr>
            <w:rFonts w:eastAsia="MS Mincho"/>
            <w:szCs w:val="24"/>
          </w:rPr>
          <w:t>§ 320 odst. 1</w:t>
        </w:r>
      </w:hyperlink>
      <w:r w:rsidRPr="007A14A9">
        <w:rPr>
          <w:rFonts w:eastAsia="MS Mincho"/>
          <w:szCs w:val="24"/>
        </w:rPr>
        <w:t xml:space="preserve">, </w:t>
      </w:r>
      <w:hyperlink r:id="rId649" w:history="1">
        <w:r w:rsidRPr="007A14A9">
          <w:rPr>
            <w:rFonts w:eastAsia="MS Mincho"/>
            <w:szCs w:val="24"/>
          </w:rPr>
          <w:t>§ 320 odst. 2 písm. c)</w:t>
        </w:r>
      </w:hyperlink>
      <w:r w:rsidRPr="007A14A9">
        <w:rPr>
          <w:rFonts w:eastAsia="MS Mincho"/>
          <w:szCs w:val="24"/>
        </w:rPr>
        <w:t xml:space="preserve">, </w:t>
      </w:r>
      <w:hyperlink r:id="rId650" w:history="1">
        <w:r w:rsidRPr="007A14A9">
          <w:rPr>
            <w:rFonts w:eastAsia="MS Mincho"/>
            <w:szCs w:val="24"/>
          </w:rPr>
          <w:t>§ 324 odst. 1</w:t>
        </w:r>
      </w:hyperlink>
      <w:r w:rsidRPr="007A14A9">
        <w:rPr>
          <w:rFonts w:eastAsia="MS Mincho"/>
          <w:szCs w:val="24"/>
        </w:rPr>
        <w:t xml:space="preserve"> nebo </w:t>
      </w:r>
      <w:hyperlink r:id="rId651" w:history="1">
        <w:r w:rsidRPr="007A14A9">
          <w:rPr>
            <w:rFonts w:eastAsia="MS Mincho"/>
            <w:szCs w:val="24"/>
          </w:rPr>
          <w:t>§ 325 odst. 1 nebo 3</w:t>
        </w:r>
      </w:hyperlink>
      <w:r w:rsidRPr="007A14A9">
        <w:rPr>
          <w:rFonts w:eastAsia="MS Mincho"/>
          <w:szCs w:val="24"/>
        </w:rPr>
        <w:t xml:space="preserve">, v rozporu se zákazem podle </w:t>
      </w:r>
      <w:hyperlink r:id="rId652" w:history="1">
        <w:r w:rsidRPr="007A14A9">
          <w:rPr>
            <w:rFonts w:eastAsia="MS Mincho"/>
            <w:szCs w:val="24"/>
          </w:rPr>
          <w:t>§ 314 odst. 3</w:t>
        </w:r>
      </w:hyperlink>
      <w:r w:rsidRPr="007A14A9">
        <w:rPr>
          <w:rFonts w:eastAsia="MS Mincho"/>
          <w:szCs w:val="24"/>
        </w:rPr>
        <w:t xml:space="preserve"> větou druhou, </w:t>
      </w:r>
      <w:hyperlink r:id="rId653" w:history="1">
        <w:r w:rsidRPr="007A14A9">
          <w:rPr>
            <w:rFonts w:eastAsia="MS Mincho"/>
            <w:szCs w:val="24"/>
          </w:rPr>
          <w:t>§ 316 odst. 5</w:t>
        </w:r>
      </w:hyperlink>
      <w:r w:rsidRPr="007A14A9">
        <w:rPr>
          <w:rFonts w:eastAsia="MS Mincho"/>
          <w:szCs w:val="24"/>
        </w:rPr>
        <w:t xml:space="preserve"> nebo </w:t>
      </w:r>
      <w:hyperlink r:id="rId654" w:history="1">
        <w:r w:rsidRPr="007A14A9">
          <w:rPr>
            <w:rFonts w:eastAsia="MS Mincho"/>
            <w:szCs w:val="24"/>
          </w:rPr>
          <w:t>§ 319 odst. 5</w:t>
        </w:r>
      </w:hyperlink>
      <w:r w:rsidRPr="007A14A9">
        <w:rPr>
          <w:rFonts w:eastAsia="MS Mincho"/>
          <w:szCs w:val="24"/>
        </w:rPr>
        <w:t xml:space="preserve"> nebo aniž zpřístupní nebo aktualizuje údaje podle </w:t>
      </w:r>
      <w:hyperlink r:id="rId655" w:history="1">
        <w:r w:rsidRPr="007A14A9">
          <w:rPr>
            <w:rFonts w:eastAsia="MS Mincho"/>
            <w:szCs w:val="24"/>
          </w:rPr>
          <w:t>§ 241</w:t>
        </w:r>
      </w:hyperlink>
      <w:r w:rsidRPr="007A14A9">
        <w:rPr>
          <w:rFonts w:eastAsia="MS Mincho"/>
          <w:szCs w:val="24"/>
        </w:rPr>
        <w:t xml:space="preserve">, </w:t>
      </w:r>
    </w:p>
    <w:p w14:paraId="1C3AAA1E"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g) </w:t>
      </w:r>
      <w:r w:rsidRPr="007A14A9">
        <w:rPr>
          <w:rFonts w:eastAsia="MS Mincho"/>
          <w:szCs w:val="24"/>
        </w:rPr>
        <w:tab/>
        <w:t xml:space="preserve">veřejně nabídne investici do investičního fondu nebo do zahraničního investičního fondu dříve, než nastane některá ze skutečností podle </w:t>
      </w:r>
      <w:hyperlink r:id="rId656" w:history="1">
        <w:r w:rsidRPr="007A14A9">
          <w:rPr>
            <w:rFonts w:eastAsia="MS Mincho"/>
            <w:szCs w:val="24"/>
          </w:rPr>
          <w:t>§ 300 odst. 1</w:t>
        </w:r>
      </w:hyperlink>
      <w:r w:rsidRPr="007A14A9">
        <w:rPr>
          <w:rFonts w:eastAsia="MS Mincho"/>
          <w:szCs w:val="24"/>
        </w:rPr>
        <w:t xml:space="preserve">, </w:t>
      </w:r>
      <w:hyperlink r:id="rId657" w:history="1">
        <w:r w:rsidRPr="007A14A9">
          <w:rPr>
            <w:rFonts w:eastAsia="MS Mincho"/>
            <w:szCs w:val="24"/>
          </w:rPr>
          <w:t>§ 301 odst. 1</w:t>
        </w:r>
      </w:hyperlink>
      <w:r w:rsidRPr="007A14A9">
        <w:rPr>
          <w:rFonts w:eastAsia="MS Mincho"/>
          <w:szCs w:val="24"/>
        </w:rPr>
        <w:t xml:space="preserve">, </w:t>
      </w:r>
      <w:hyperlink r:id="rId658" w:history="1">
        <w:r w:rsidRPr="007A14A9">
          <w:rPr>
            <w:rFonts w:eastAsia="MS Mincho"/>
            <w:szCs w:val="24"/>
          </w:rPr>
          <w:t>§ 305 odst. 1</w:t>
        </w:r>
      </w:hyperlink>
      <w:r w:rsidRPr="007A14A9">
        <w:rPr>
          <w:rFonts w:eastAsia="MS Mincho"/>
          <w:szCs w:val="24"/>
        </w:rPr>
        <w:t xml:space="preserve">, </w:t>
      </w:r>
      <w:hyperlink r:id="rId659" w:history="1">
        <w:r w:rsidRPr="007A14A9">
          <w:rPr>
            <w:rFonts w:eastAsia="MS Mincho"/>
            <w:szCs w:val="24"/>
          </w:rPr>
          <w:t>§ 308</w:t>
        </w:r>
      </w:hyperlink>
      <w:r w:rsidRPr="007A14A9">
        <w:rPr>
          <w:rFonts w:eastAsia="MS Mincho"/>
          <w:szCs w:val="24"/>
        </w:rPr>
        <w:t xml:space="preserve">, </w:t>
      </w:r>
      <w:hyperlink r:id="rId660" w:history="1">
        <w:r w:rsidRPr="007A14A9">
          <w:rPr>
            <w:rFonts w:eastAsia="MS Mincho"/>
            <w:szCs w:val="24"/>
          </w:rPr>
          <w:t>310</w:t>
        </w:r>
      </w:hyperlink>
      <w:r w:rsidRPr="007A14A9">
        <w:rPr>
          <w:rFonts w:eastAsia="MS Mincho"/>
          <w:szCs w:val="24"/>
        </w:rPr>
        <w:t xml:space="preserve">, </w:t>
      </w:r>
      <w:hyperlink r:id="rId661" w:history="1">
        <w:r w:rsidRPr="007A14A9">
          <w:rPr>
            <w:rFonts w:eastAsia="MS Mincho"/>
            <w:szCs w:val="24"/>
          </w:rPr>
          <w:t>§ 315 odst. 2</w:t>
        </w:r>
      </w:hyperlink>
      <w:r w:rsidRPr="007A14A9">
        <w:rPr>
          <w:rFonts w:eastAsia="MS Mincho"/>
          <w:szCs w:val="24"/>
        </w:rPr>
        <w:t xml:space="preserve">, </w:t>
      </w:r>
      <w:hyperlink r:id="rId662" w:history="1">
        <w:r w:rsidRPr="007A14A9">
          <w:rPr>
            <w:rFonts w:eastAsia="MS Mincho"/>
            <w:szCs w:val="24"/>
          </w:rPr>
          <w:t>§ 317 odst. 4</w:t>
        </w:r>
      </w:hyperlink>
      <w:r w:rsidRPr="007A14A9">
        <w:rPr>
          <w:rFonts w:eastAsia="MS Mincho"/>
          <w:szCs w:val="24"/>
        </w:rPr>
        <w:t xml:space="preserve">, </w:t>
      </w:r>
      <w:hyperlink r:id="rId663" w:history="1">
        <w:r w:rsidRPr="007A14A9">
          <w:rPr>
            <w:rFonts w:eastAsia="MS Mincho"/>
            <w:szCs w:val="24"/>
          </w:rPr>
          <w:t>§ 322 odst. 3</w:t>
        </w:r>
      </w:hyperlink>
      <w:r w:rsidRPr="007A14A9">
        <w:rPr>
          <w:rFonts w:eastAsia="MS Mincho"/>
          <w:szCs w:val="24"/>
        </w:rPr>
        <w:t xml:space="preserve">, </w:t>
      </w:r>
      <w:hyperlink r:id="rId664" w:history="1">
        <w:r w:rsidRPr="007A14A9">
          <w:rPr>
            <w:rFonts w:eastAsia="MS Mincho"/>
            <w:szCs w:val="24"/>
          </w:rPr>
          <w:t>§ 323</w:t>
        </w:r>
      </w:hyperlink>
      <w:r w:rsidRPr="007A14A9">
        <w:rPr>
          <w:rFonts w:eastAsia="MS Mincho"/>
          <w:szCs w:val="24"/>
        </w:rPr>
        <w:t xml:space="preserve">, </w:t>
      </w:r>
      <w:hyperlink r:id="rId665" w:history="1">
        <w:r w:rsidRPr="007A14A9">
          <w:rPr>
            <w:rFonts w:eastAsia="MS Mincho"/>
            <w:szCs w:val="24"/>
          </w:rPr>
          <w:t>§ 325 odst. 4</w:t>
        </w:r>
      </w:hyperlink>
      <w:r w:rsidRPr="007A14A9">
        <w:rPr>
          <w:rFonts w:eastAsia="MS Mincho"/>
          <w:szCs w:val="24"/>
        </w:rPr>
        <w:t xml:space="preserve"> nebo </w:t>
      </w:r>
      <w:hyperlink r:id="rId666" w:history="1">
        <w:r w:rsidRPr="007A14A9">
          <w:rPr>
            <w:rFonts w:eastAsia="MS Mincho"/>
            <w:szCs w:val="24"/>
          </w:rPr>
          <w:t>§ 325a</w:t>
        </w:r>
      </w:hyperlink>
      <w:r w:rsidRPr="007A14A9">
        <w:rPr>
          <w:rFonts w:eastAsia="MS Mincho"/>
          <w:szCs w:val="24"/>
        </w:rPr>
        <w:t xml:space="preserve">, nebo v rozporu se zákazem podle </w:t>
      </w:r>
      <w:hyperlink r:id="rId667" w:history="1">
        <w:r w:rsidRPr="007A14A9">
          <w:rPr>
            <w:rFonts w:eastAsia="MS Mincho"/>
            <w:szCs w:val="24"/>
          </w:rPr>
          <w:t>§ 300 odst. 2</w:t>
        </w:r>
      </w:hyperlink>
      <w:r w:rsidRPr="007A14A9">
        <w:rPr>
          <w:rFonts w:eastAsia="MS Mincho"/>
          <w:szCs w:val="24"/>
        </w:rPr>
        <w:t xml:space="preserve"> nebo </w:t>
      </w:r>
      <w:hyperlink r:id="rId668" w:history="1">
        <w:r w:rsidRPr="007A14A9">
          <w:rPr>
            <w:rFonts w:eastAsia="MS Mincho"/>
            <w:szCs w:val="24"/>
          </w:rPr>
          <w:t>§ 305 odst. 2</w:t>
        </w:r>
      </w:hyperlink>
      <w:r w:rsidRPr="007A14A9">
        <w:rPr>
          <w:rFonts w:eastAsia="MS Mincho"/>
          <w:szCs w:val="24"/>
        </w:rPr>
        <w:t xml:space="preserve">, </w:t>
      </w:r>
    </w:p>
    <w:p w14:paraId="119CF820"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h) </w:t>
      </w:r>
      <w:r w:rsidRPr="007A14A9">
        <w:rPr>
          <w:rFonts w:eastAsia="MS Mincho"/>
          <w:szCs w:val="24"/>
        </w:rPr>
        <w:tab/>
        <w:t xml:space="preserve">v rozporu s </w:t>
      </w:r>
      <w:hyperlink r:id="rId669" w:history="1">
        <w:r w:rsidRPr="007A14A9">
          <w:rPr>
            <w:rFonts w:eastAsia="MS Mincho"/>
            <w:szCs w:val="24"/>
          </w:rPr>
          <w:t>§ 353</w:t>
        </w:r>
      </w:hyperlink>
      <w:r w:rsidRPr="007A14A9">
        <w:rPr>
          <w:rFonts w:eastAsia="MS Mincho"/>
          <w:szCs w:val="24"/>
        </w:rPr>
        <w:t xml:space="preserve"> neposkytne součinnost likvidátorovi, </w:t>
      </w:r>
    </w:p>
    <w:p w14:paraId="4DE79214"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i) </w:t>
      </w:r>
      <w:r w:rsidRPr="007A14A9">
        <w:rPr>
          <w:rFonts w:eastAsia="MS Mincho"/>
          <w:szCs w:val="24"/>
        </w:rPr>
        <w:tab/>
        <w:t xml:space="preserve">vykonává funkci vedoucí osoby v rozporu s </w:t>
      </w:r>
      <w:hyperlink r:id="rId670" w:history="1">
        <w:r w:rsidRPr="007A14A9">
          <w:rPr>
            <w:rFonts w:eastAsia="MS Mincho"/>
            <w:szCs w:val="24"/>
          </w:rPr>
          <w:t>§ 515</w:t>
        </w:r>
      </w:hyperlink>
      <w:r w:rsidRPr="007A14A9">
        <w:rPr>
          <w:rFonts w:eastAsia="MS Mincho"/>
          <w:szCs w:val="24"/>
        </w:rPr>
        <w:t xml:space="preserve">, </w:t>
      </w:r>
    </w:p>
    <w:p w14:paraId="47DBFAC8"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j)</w:t>
      </w:r>
      <w:r w:rsidRPr="007A14A9">
        <w:rPr>
          <w:rFonts w:eastAsia="MS Mincho"/>
          <w:szCs w:val="24"/>
        </w:rPr>
        <w:tab/>
        <w:t xml:space="preserve">neoznámí České národní bance některou ze skutečností podle § 467 odst. 4 nebo § 524 odst. 1, </w:t>
      </w:r>
    </w:p>
    <w:p w14:paraId="5D30AB9D" w14:textId="77777777" w:rsidR="007A14A9" w:rsidRPr="007A14A9" w:rsidRDefault="007A14A9" w:rsidP="00554FBC">
      <w:pPr>
        <w:pBdr>
          <w:top w:val="single" w:sz="12" w:space="1" w:color="0070C0"/>
          <w:left w:val="single" w:sz="12" w:space="4" w:color="0070C0"/>
          <w:bottom w:val="single" w:sz="12" w:space="1" w:color="0070C0"/>
          <w:right w:val="single" w:sz="12" w:space="4" w:color="0070C0"/>
        </w:pBdr>
        <w:spacing w:before="0"/>
        <w:ind w:left="425" w:hanging="425"/>
        <w:outlineLvl w:val="7"/>
        <w:rPr>
          <w:rFonts w:eastAsia="MS Mincho"/>
          <w:szCs w:val="24"/>
        </w:rPr>
      </w:pPr>
      <w:r w:rsidRPr="007A14A9">
        <w:rPr>
          <w:rFonts w:eastAsia="MS Mincho"/>
          <w:szCs w:val="24"/>
        </w:rPr>
        <w:t xml:space="preserve">k) </w:t>
      </w:r>
      <w:r w:rsidRPr="007A14A9">
        <w:rPr>
          <w:rFonts w:eastAsia="MS Mincho"/>
          <w:szCs w:val="24"/>
        </w:rPr>
        <w:tab/>
        <w:t xml:space="preserve">v rozporu s </w:t>
      </w:r>
      <w:hyperlink r:id="rId671" w:history="1">
        <w:r w:rsidRPr="007A14A9">
          <w:rPr>
            <w:rFonts w:eastAsia="MS Mincho"/>
            <w:szCs w:val="24"/>
          </w:rPr>
          <w:t>§ 634 odst. 1</w:t>
        </w:r>
      </w:hyperlink>
      <w:r w:rsidRPr="007A14A9">
        <w:rPr>
          <w:rFonts w:eastAsia="MS Mincho"/>
          <w:szCs w:val="24"/>
        </w:rPr>
        <w:t xml:space="preserve"> užije ve svém jméně slova „investiční společnost</w:t>
      </w:r>
      <w:r w:rsidRPr="00554FBC">
        <w:rPr>
          <w:rFonts w:eastAsia="MS Mincho"/>
          <w:szCs w:val="24"/>
        </w:rPr>
        <w:t>“</w:t>
      </w:r>
      <w:r w:rsidRPr="00554FBC">
        <w:rPr>
          <w:rFonts w:eastAsia="MS Mincho"/>
          <w:b/>
          <w:color w:val="0070C0"/>
          <w:szCs w:val="24"/>
        </w:rPr>
        <w:t>, jejich překlad nebo slova od nich odvozená</w:t>
      </w:r>
      <w:r w:rsidRPr="007A14A9">
        <w:rPr>
          <w:rFonts w:eastAsia="MS Mincho"/>
          <w:szCs w:val="24"/>
        </w:rPr>
        <w:t xml:space="preserve">, </w:t>
      </w:r>
    </w:p>
    <w:p w14:paraId="2F348186" w14:textId="77777777" w:rsidR="007A14A9" w:rsidRPr="007A14A9" w:rsidRDefault="007A14A9" w:rsidP="00554FBC">
      <w:pPr>
        <w:pBdr>
          <w:top w:val="single" w:sz="12" w:space="1" w:color="0070C0"/>
          <w:left w:val="single" w:sz="12" w:space="4" w:color="0070C0"/>
          <w:bottom w:val="single" w:sz="12" w:space="1" w:color="0070C0"/>
          <w:right w:val="single" w:sz="12" w:space="4" w:color="0070C0"/>
        </w:pBdr>
        <w:spacing w:before="0"/>
        <w:ind w:left="425" w:hanging="425"/>
        <w:outlineLvl w:val="7"/>
        <w:rPr>
          <w:rFonts w:eastAsia="MS Mincho"/>
          <w:szCs w:val="24"/>
        </w:rPr>
      </w:pPr>
      <w:r w:rsidRPr="007A14A9">
        <w:rPr>
          <w:rFonts w:eastAsia="MS Mincho"/>
          <w:szCs w:val="24"/>
        </w:rPr>
        <w:t xml:space="preserve">l) </w:t>
      </w:r>
      <w:r w:rsidRPr="007A14A9">
        <w:rPr>
          <w:rFonts w:eastAsia="MS Mincho"/>
          <w:szCs w:val="24"/>
        </w:rPr>
        <w:tab/>
        <w:t xml:space="preserve">v rozporu s </w:t>
      </w:r>
      <w:hyperlink r:id="rId672" w:history="1">
        <w:r w:rsidRPr="007A14A9">
          <w:rPr>
            <w:rFonts w:eastAsia="MS Mincho"/>
            <w:szCs w:val="24"/>
          </w:rPr>
          <w:t>§ 634 odst. 2</w:t>
        </w:r>
      </w:hyperlink>
      <w:r w:rsidRPr="007A14A9">
        <w:rPr>
          <w:rFonts w:eastAsia="MS Mincho"/>
          <w:szCs w:val="24"/>
        </w:rPr>
        <w:t xml:space="preserve"> užije ve svém jméně slova „hlavní administrátor</w:t>
      </w:r>
      <w:r w:rsidRPr="00554FBC">
        <w:rPr>
          <w:rFonts w:eastAsia="MS Mincho"/>
          <w:szCs w:val="24"/>
        </w:rPr>
        <w:t>“</w:t>
      </w:r>
      <w:r w:rsidRPr="00554FBC">
        <w:rPr>
          <w:rFonts w:eastAsia="MS Mincho"/>
          <w:b/>
          <w:color w:val="0070C0"/>
          <w:szCs w:val="24"/>
        </w:rPr>
        <w:t>, jejich překlad nebo slova od nich odvozená</w:t>
      </w:r>
      <w:r w:rsidRPr="007A14A9">
        <w:rPr>
          <w:rFonts w:eastAsia="MS Mincho"/>
          <w:szCs w:val="24"/>
        </w:rPr>
        <w:t xml:space="preserve">, </w:t>
      </w:r>
    </w:p>
    <w:p w14:paraId="0C59C335" w14:textId="77777777" w:rsidR="007A14A9" w:rsidRPr="007A14A9" w:rsidRDefault="007A14A9" w:rsidP="00554FBC">
      <w:pPr>
        <w:pBdr>
          <w:top w:val="single" w:sz="12" w:space="1" w:color="0070C0"/>
          <w:left w:val="single" w:sz="12" w:space="4" w:color="0070C0"/>
          <w:bottom w:val="single" w:sz="12" w:space="1" w:color="0070C0"/>
          <w:right w:val="single" w:sz="12" w:space="4" w:color="0070C0"/>
        </w:pBdr>
        <w:spacing w:before="0"/>
        <w:ind w:left="425" w:hanging="425"/>
        <w:outlineLvl w:val="7"/>
        <w:rPr>
          <w:rFonts w:eastAsia="MS Mincho"/>
          <w:szCs w:val="24"/>
        </w:rPr>
      </w:pPr>
      <w:r w:rsidRPr="007A14A9">
        <w:rPr>
          <w:rFonts w:eastAsia="MS Mincho"/>
          <w:szCs w:val="24"/>
        </w:rPr>
        <w:t xml:space="preserve">m) </w:t>
      </w:r>
      <w:r w:rsidRPr="007A14A9">
        <w:rPr>
          <w:rFonts w:eastAsia="MS Mincho"/>
          <w:szCs w:val="24"/>
        </w:rPr>
        <w:tab/>
        <w:t xml:space="preserve">v rozporu s </w:t>
      </w:r>
      <w:hyperlink r:id="rId673" w:history="1">
        <w:r w:rsidRPr="007A14A9">
          <w:rPr>
            <w:rFonts w:eastAsia="MS Mincho"/>
            <w:szCs w:val="24"/>
          </w:rPr>
          <w:t>§ 634 odst. 3</w:t>
        </w:r>
      </w:hyperlink>
      <w:r w:rsidRPr="007A14A9">
        <w:rPr>
          <w:rFonts w:eastAsia="MS Mincho"/>
          <w:szCs w:val="24"/>
        </w:rPr>
        <w:t xml:space="preserve"> užije ve svém jméně slova „investiční fond“</w:t>
      </w:r>
      <w:r w:rsidRPr="00554FBC">
        <w:rPr>
          <w:rFonts w:eastAsia="MS Mincho"/>
          <w:b/>
          <w:color w:val="0070C0"/>
          <w:szCs w:val="24"/>
        </w:rPr>
        <w:t>, jejich překlad nebo slova od nich odvozená</w:t>
      </w:r>
      <w:r w:rsidRPr="007A14A9">
        <w:rPr>
          <w:rFonts w:eastAsia="MS Mincho"/>
          <w:szCs w:val="24"/>
        </w:rPr>
        <w:t xml:space="preserve">, </w:t>
      </w:r>
    </w:p>
    <w:p w14:paraId="6AA26D57" w14:textId="77777777" w:rsidR="007A14A9" w:rsidRPr="007A14A9" w:rsidRDefault="007A14A9" w:rsidP="00554FBC">
      <w:pPr>
        <w:pBdr>
          <w:top w:val="single" w:sz="12" w:space="1" w:color="0070C0"/>
          <w:left w:val="single" w:sz="12" w:space="4" w:color="0070C0"/>
          <w:bottom w:val="single" w:sz="12" w:space="1" w:color="0070C0"/>
          <w:right w:val="single" w:sz="12" w:space="4" w:color="0070C0"/>
        </w:pBdr>
        <w:spacing w:before="0"/>
        <w:ind w:left="425" w:hanging="425"/>
        <w:outlineLvl w:val="7"/>
        <w:rPr>
          <w:rFonts w:eastAsia="MS Mincho"/>
          <w:szCs w:val="24"/>
        </w:rPr>
      </w:pPr>
      <w:r w:rsidRPr="007A14A9">
        <w:rPr>
          <w:rFonts w:eastAsia="MS Mincho"/>
          <w:szCs w:val="24"/>
        </w:rPr>
        <w:t xml:space="preserve">n) </w:t>
      </w:r>
      <w:r w:rsidRPr="007A14A9">
        <w:rPr>
          <w:rFonts w:eastAsia="MS Mincho"/>
          <w:szCs w:val="24"/>
        </w:rPr>
        <w:tab/>
        <w:t xml:space="preserve">v rozporu s </w:t>
      </w:r>
      <w:hyperlink r:id="rId674" w:history="1">
        <w:r w:rsidRPr="007A14A9">
          <w:rPr>
            <w:rFonts w:eastAsia="MS Mincho"/>
            <w:szCs w:val="24"/>
          </w:rPr>
          <w:t>§ 634 odst. 4</w:t>
        </w:r>
      </w:hyperlink>
      <w:r w:rsidRPr="007A14A9">
        <w:rPr>
          <w:rFonts w:eastAsia="MS Mincho"/>
          <w:szCs w:val="24"/>
        </w:rPr>
        <w:t xml:space="preserve"> užije ve svém jméně slova „podílový fond“</w:t>
      </w:r>
      <w:r w:rsidRPr="00554FBC">
        <w:rPr>
          <w:rFonts w:eastAsia="MS Mincho"/>
          <w:b/>
          <w:color w:val="0070C0"/>
          <w:szCs w:val="24"/>
        </w:rPr>
        <w:t>, jejich překlad nebo slova od nich odvozená</w:t>
      </w:r>
      <w:r w:rsidRPr="007A14A9">
        <w:rPr>
          <w:rFonts w:eastAsia="MS Mincho"/>
          <w:szCs w:val="24"/>
        </w:rPr>
        <w:t xml:space="preserve">,  </w:t>
      </w:r>
    </w:p>
    <w:p w14:paraId="74499F6F" w14:textId="77777777" w:rsidR="007A14A9" w:rsidRPr="007A14A9" w:rsidRDefault="007A14A9" w:rsidP="00554FBC">
      <w:pPr>
        <w:pBdr>
          <w:top w:val="single" w:sz="12" w:space="1" w:color="0070C0"/>
          <w:left w:val="single" w:sz="12" w:space="4" w:color="0070C0"/>
          <w:bottom w:val="single" w:sz="12" w:space="1" w:color="0070C0"/>
          <w:right w:val="single" w:sz="12" w:space="4" w:color="0070C0"/>
        </w:pBdr>
        <w:spacing w:before="0"/>
        <w:ind w:left="425" w:hanging="425"/>
        <w:outlineLvl w:val="7"/>
        <w:rPr>
          <w:rFonts w:eastAsia="MS Mincho"/>
          <w:szCs w:val="24"/>
        </w:rPr>
      </w:pPr>
      <w:r w:rsidRPr="007A14A9">
        <w:rPr>
          <w:rFonts w:eastAsia="MS Mincho"/>
          <w:szCs w:val="24"/>
        </w:rPr>
        <w:t xml:space="preserve">o) </w:t>
      </w:r>
      <w:r w:rsidRPr="007A14A9">
        <w:rPr>
          <w:rFonts w:eastAsia="MS Mincho"/>
          <w:szCs w:val="24"/>
        </w:rPr>
        <w:tab/>
        <w:t xml:space="preserve">v rozporu s § 636 odst. 1 nebo 3 užije při svém podnikání označení „podílový fond“, „standardní fond“, „speciální fond“, „fond kolektivního investování“, „SICAV“, </w:t>
      </w:r>
      <w:r w:rsidRPr="00554FBC">
        <w:rPr>
          <w:rFonts w:eastAsia="MS Mincho"/>
          <w:b/>
          <w:color w:val="0070C0"/>
          <w:szCs w:val="24"/>
        </w:rPr>
        <w:t>„SICAF“, „ELTIF“, „evropský fond dlouhodobých investic“,</w:t>
      </w:r>
      <w:r w:rsidRPr="007A14A9">
        <w:rPr>
          <w:rFonts w:eastAsia="MS Mincho"/>
          <w:szCs w:val="24"/>
        </w:rPr>
        <w:t xml:space="preserve"> „ETF“ ve smyslu § 50f odst. 3 zákona o podnikání na kapitálovém trhu, „</w:t>
      </w:r>
      <w:proofErr w:type="spellStart"/>
      <w:r w:rsidRPr="007A14A9">
        <w:rPr>
          <w:rFonts w:eastAsia="MS Mincho"/>
          <w:szCs w:val="24"/>
        </w:rPr>
        <w:t>EuVECA</w:t>
      </w:r>
      <w:proofErr w:type="spellEnd"/>
      <w:r w:rsidRPr="007A14A9">
        <w:rPr>
          <w:rFonts w:eastAsia="MS Mincho"/>
          <w:szCs w:val="24"/>
        </w:rPr>
        <w:t>“ ve smyslu čl. 4 nařízení Evropského parlamentu a Rady (EU) č. 345/2013, „</w:t>
      </w:r>
      <w:proofErr w:type="spellStart"/>
      <w:r w:rsidRPr="007A14A9">
        <w:rPr>
          <w:rFonts w:eastAsia="MS Mincho"/>
          <w:szCs w:val="24"/>
        </w:rPr>
        <w:t>EuSEF</w:t>
      </w:r>
      <w:proofErr w:type="spellEnd"/>
      <w:r w:rsidRPr="007A14A9">
        <w:rPr>
          <w:rFonts w:eastAsia="MS Mincho"/>
          <w:szCs w:val="24"/>
        </w:rPr>
        <w:t>“ ve smyslu čl. 4 nařízení Evropského parlamentu a Rady (EU) č. 346/2013 nebo „fond kvalifikovaných investorů“ anebo tvar odvozený od některého z těchto označení, jakož i označení způsobilé vyvolat nebezpečí záměny s některým z těchto označení, nebo</w:t>
      </w:r>
    </w:p>
    <w:p w14:paraId="477656B1" w14:textId="77777777" w:rsidR="007A14A9" w:rsidRPr="007A14A9" w:rsidRDefault="007A14A9" w:rsidP="007A14A9">
      <w:pPr>
        <w:spacing w:before="0"/>
        <w:ind w:left="425" w:hanging="425"/>
        <w:outlineLvl w:val="7"/>
        <w:rPr>
          <w:szCs w:val="24"/>
        </w:rPr>
      </w:pPr>
      <w:r w:rsidRPr="007A14A9">
        <w:rPr>
          <w:rFonts w:eastAsia="MS Mincho"/>
          <w:szCs w:val="24"/>
        </w:rPr>
        <w:t>p)</w:t>
      </w:r>
      <w:r w:rsidRPr="007A14A9">
        <w:rPr>
          <w:rFonts w:eastAsia="MS Mincho"/>
          <w:szCs w:val="24"/>
        </w:rPr>
        <w:tab/>
        <w:t>předběžně nabídne investici do</w:t>
      </w:r>
      <w:r w:rsidRPr="007A14A9">
        <w:rPr>
          <w:szCs w:val="24"/>
        </w:rPr>
        <w:t xml:space="preserve"> fondu kvalifikovaných investorů, do speciálního fondu nebo do srovnatelného zahraničního investičního fondu v rozporu s § 297a až 297c, čl. 4a nařízení Evropského parlamentu a Rady (EU) č. 345/2013 nebo čl. 4a nařízení Evropského parlamentu a Rady (EU) č. 346/2013. </w:t>
      </w:r>
    </w:p>
    <w:p w14:paraId="21E89766"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(2) Právnická nebo podnikající fyzická osoba se jako osoba, která byla pověřena výkonem jednotlivé činnosti, nebo jako osoba, která byla pověřena výkonem některého úkonu nebo některých úkonů z této činnosti, se dopustí přestupku tím, že </w:t>
      </w:r>
    </w:p>
    <w:p w14:paraId="7304E863"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a)</w:t>
      </w:r>
      <w:r w:rsidRPr="007A14A9">
        <w:rPr>
          <w:rFonts w:eastAsia="MS Mincho"/>
          <w:szCs w:val="24"/>
        </w:rPr>
        <w:tab/>
        <w:t xml:space="preserve">pověří výkonem některého úkonu nebo některých úkonů dalšího v rozporu s některou z podmínek uvedených v </w:t>
      </w:r>
      <w:hyperlink r:id="rId675" w:history="1">
        <w:r w:rsidRPr="007A14A9">
          <w:rPr>
            <w:rFonts w:eastAsia="MS Mincho"/>
            <w:szCs w:val="24"/>
          </w:rPr>
          <w:t>§ 26 odst. 1</w:t>
        </w:r>
      </w:hyperlink>
      <w:r w:rsidRPr="007A14A9">
        <w:rPr>
          <w:rFonts w:eastAsia="MS Mincho"/>
          <w:szCs w:val="24"/>
        </w:rPr>
        <w:t xml:space="preserve"> nebo </w:t>
      </w:r>
      <w:hyperlink r:id="rId676" w:history="1">
        <w:r w:rsidRPr="007A14A9">
          <w:rPr>
            <w:rFonts w:eastAsia="MS Mincho"/>
            <w:szCs w:val="24"/>
          </w:rPr>
          <w:t>§ 53 odst. 1</w:t>
        </w:r>
      </w:hyperlink>
      <w:r w:rsidRPr="007A14A9">
        <w:rPr>
          <w:rFonts w:eastAsia="MS Mincho"/>
          <w:szCs w:val="24"/>
        </w:rPr>
        <w:t xml:space="preserve">, nebo </w:t>
      </w:r>
    </w:p>
    <w:p w14:paraId="1E5410FB"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b)</w:t>
      </w:r>
      <w:r w:rsidRPr="007A14A9">
        <w:rPr>
          <w:rFonts w:eastAsia="MS Mincho"/>
          <w:szCs w:val="24"/>
        </w:rPr>
        <w:tab/>
        <w:t xml:space="preserve">nezkontroluje výkon úkonu nebo úkonů, jehož nebo jejichž výkonem pověřila dalšího, podle </w:t>
      </w:r>
      <w:hyperlink r:id="rId677" w:history="1">
        <w:r w:rsidRPr="007A14A9">
          <w:rPr>
            <w:rFonts w:eastAsia="MS Mincho"/>
            <w:szCs w:val="24"/>
          </w:rPr>
          <w:t>§ 26 odst. 2</w:t>
        </w:r>
      </w:hyperlink>
      <w:r w:rsidRPr="007A14A9">
        <w:rPr>
          <w:rFonts w:eastAsia="MS Mincho"/>
          <w:szCs w:val="24"/>
        </w:rPr>
        <w:t xml:space="preserve"> nebo </w:t>
      </w:r>
      <w:hyperlink r:id="rId678" w:history="1">
        <w:r w:rsidRPr="007A14A9">
          <w:rPr>
            <w:rFonts w:eastAsia="MS Mincho"/>
            <w:szCs w:val="24"/>
          </w:rPr>
          <w:t>§ 53 odst. 2</w:t>
        </w:r>
      </w:hyperlink>
      <w:r w:rsidRPr="007A14A9">
        <w:rPr>
          <w:rFonts w:eastAsia="MS Mincho"/>
          <w:szCs w:val="24"/>
        </w:rPr>
        <w:t xml:space="preserve">. </w:t>
      </w:r>
    </w:p>
    <w:p w14:paraId="1A1C4022"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(3)</w:t>
      </w:r>
      <w:r w:rsidRPr="007A14A9">
        <w:rPr>
          <w:rFonts w:eastAsia="MS Mincho"/>
          <w:szCs w:val="24"/>
        </w:rPr>
        <w:tab/>
        <w:t xml:space="preserve">Právnická nebo podnikající fyzická osoba se jako zahraniční osoba uvedená v </w:t>
      </w:r>
      <w:hyperlink r:id="rId679" w:history="1">
        <w:r w:rsidRPr="007A14A9">
          <w:rPr>
            <w:rFonts w:eastAsia="MS Mincho"/>
            <w:szCs w:val="24"/>
          </w:rPr>
          <w:t>§ 14 odst. 1</w:t>
        </w:r>
      </w:hyperlink>
      <w:r w:rsidRPr="007A14A9">
        <w:rPr>
          <w:rFonts w:eastAsia="MS Mincho"/>
          <w:szCs w:val="24"/>
        </w:rPr>
        <w:t xml:space="preserve"> dopustí přestupku tím, že </w:t>
      </w:r>
    </w:p>
    <w:p w14:paraId="48D50EC0"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a)</w:t>
      </w:r>
      <w:r w:rsidRPr="007A14A9">
        <w:rPr>
          <w:rFonts w:eastAsia="MS Mincho"/>
          <w:szCs w:val="24"/>
        </w:rPr>
        <w:tab/>
        <w:t xml:space="preserve">v rozporu s </w:t>
      </w:r>
      <w:hyperlink r:id="rId680" w:history="1">
        <w:r w:rsidRPr="007A14A9">
          <w:rPr>
            <w:rFonts w:eastAsia="MS Mincho"/>
            <w:szCs w:val="24"/>
          </w:rPr>
          <w:t>§ 44 odst. 1</w:t>
        </w:r>
      </w:hyperlink>
      <w:r w:rsidRPr="007A14A9">
        <w:rPr>
          <w:rFonts w:eastAsia="MS Mincho"/>
          <w:szCs w:val="24"/>
        </w:rPr>
        <w:t xml:space="preserve"> provádí administraci standardního fondu, který neobhospodařuje, </w:t>
      </w:r>
    </w:p>
    <w:p w14:paraId="30A3B0A5"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lastRenderedPageBreak/>
        <w:t>b)</w:t>
      </w:r>
      <w:r w:rsidRPr="007A14A9">
        <w:rPr>
          <w:rFonts w:eastAsia="MS Mincho"/>
          <w:szCs w:val="24"/>
        </w:rPr>
        <w:tab/>
        <w:t xml:space="preserve">obhospodařuje standardní fond, aniž je splněna některá z podmínek podle </w:t>
      </w:r>
      <w:hyperlink r:id="rId681" w:history="1">
        <w:r w:rsidRPr="007A14A9">
          <w:rPr>
            <w:rFonts w:eastAsia="MS Mincho"/>
            <w:szCs w:val="24"/>
          </w:rPr>
          <w:t>§ 338 odst. 2</w:t>
        </w:r>
      </w:hyperlink>
      <w:r w:rsidRPr="007A14A9">
        <w:rPr>
          <w:rFonts w:eastAsia="MS Mincho"/>
          <w:szCs w:val="24"/>
        </w:rPr>
        <w:t xml:space="preserve"> nebo </w:t>
      </w:r>
      <w:hyperlink r:id="rId682" w:history="1">
        <w:r w:rsidRPr="007A14A9">
          <w:rPr>
            <w:rFonts w:eastAsia="MS Mincho"/>
            <w:szCs w:val="24"/>
          </w:rPr>
          <w:t>§ 339</w:t>
        </w:r>
      </w:hyperlink>
      <w:r w:rsidRPr="007A14A9">
        <w:rPr>
          <w:rFonts w:eastAsia="MS Mincho"/>
          <w:szCs w:val="24"/>
        </w:rPr>
        <w:t xml:space="preserve">, nebo </w:t>
      </w:r>
    </w:p>
    <w:p w14:paraId="12BC7C11"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c)</w:t>
      </w:r>
      <w:r w:rsidRPr="007A14A9">
        <w:rPr>
          <w:rFonts w:eastAsia="MS Mincho"/>
          <w:szCs w:val="24"/>
        </w:rPr>
        <w:tab/>
        <w:t xml:space="preserve">nesplní některou z povinností uvedených v </w:t>
      </w:r>
      <w:hyperlink r:id="rId683" w:history="1">
        <w:r w:rsidRPr="007A14A9">
          <w:rPr>
            <w:rFonts w:eastAsia="MS Mincho"/>
            <w:szCs w:val="24"/>
          </w:rPr>
          <w:t>§ 340</w:t>
        </w:r>
      </w:hyperlink>
      <w:r w:rsidRPr="007A14A9">
        <w:rPr>
          <w:rFonts w:eastAsia="MS Mincho"/>
          <w:szCs w:val="24"/>
        </w:rPr>
        <w:t xml:space="preserve">. </w:t>
      </w:r>
    </w:p>
    <w:p w14:paraId="63F04EA6"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(4) Právnická nebo podnikající fyzická osoba se jako zahraniční osoba uvedená v </w:t>
      </w:r>
      <w:hyperlink r:id="rId684" w:history="1">
        <w:r w:rsidRPr="007A14A9">
          <w:rPr>
            <w:rFonts w:eastAsia="MS Mincho"/>
            <w:szCs w:val="24"/>
          </w:rPr>
          <w:t>§ 14 odst. 2</w:t>
        </w:r>
      </w:hyperlink>
      <w:r w:rsidRPr="007A14A9">
        <w:rPr>
          <w:rFonts w:eastAsia="MS Mincho"/>
          <w:szCs w:val="24"/>
        </w:rPr>
        <w:t xml:space="preserve"> dopustí přestupku tím, že </w:t>
      </w:r>
    </w:p>
    <w:p w14:paraId="1506122B"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a)</w:t>
      </w:r>
      <w:r w:rsidRPr="007A14A9">
        <w:rPr>
          <w:rFonts w:eastAsia="MS Mincho"/>
          <w:szCs w:val="24"/>
        </w:rPr>
        <w:tab/>
        <w:t xml:space="preserve">v rozporu s </w:t>
      </w:r>
      <w:hyperlink r:id="rId685" w:history="1">
        <w:r w:rsidRPr="007A14A9">
          <w:rPr>
            <w:rFonts w:eastAsia="MS Mincho"/>
            <w:szCs w:val="24"/>
          </w:rPr>
          <w:t>§ 44 odst. 2</w:t>
        </w:r>
      </w:hyperlink>
      <w:r w:rsidRPr="007A14A9">
        <w:rPr>
          <w:rFonts w:eastAsia="MS Mincho"/>
          <w:szCs w:val="24"/>
        </w:rPr>
        <w:t xml:space="preserve"> provádí administraci speciálního fondu nebo fondu kvalifikovaných investorů, který neobhospodařuje, </w:t>
      </w:r>
    </w:p>
    <w:p w14:paraId="24F3C9A0"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b)</w:t>
      </w:r>
      <w:r w:rsidRPr="007A14A9">
        <w:rPr>
          <w:rFonts w:eastAsia="MS Mincho"/>
          <w:szCs w:val="24"/>
        </w:rPr>
        <w:tab/>
        <w:t xml:space="preserve">obhospodařuje speciální fond nebo fond kvalifikovaných investorů, aniž je splněna podmínka podle </w:t>
      </w:r>
      <w:hyperlink r:id="rId686" w:history="1">
        <w:r w:rsidRPr="007A14A9">
          <w:rPr>
            <w:rFonts w:eastAsia="MS Mincho"/>
            <w:szCs w:val="24"/>
          </w:rPr>
          <w:t>§ 342</w:t>
        </w:r>
      </w:hyperlink>
      <w:r w:rsidRPr="007A14A9">
        <w:rPr>
          <w:rFonts w:eastAsia="MS Mincho"/>
          <w:szCs w:val="24"/>
        </w:rPr>
        <w:t xml:space="preserve"> nebo </w:t>
      </w:r>
      <w:hyperlink r:id="rId687" w:history="1">
        <w:r w:rsidRPr="007A14A9">
          <w:rPr>
            <w:rFonts w:eastAsia="MS Mincho"/>
            <w:szCs w:val="24"/>
          </w:rPr>
          <w:t>343</w:t>
        </w:r>
      </w:hyperlink>
      <w:r w:rsidRPr="007A14A9">
        <w:rPr>
          <w:rFonts w:eastAsia="MS Mincho"/>
          <w:szCs w:val="24"/>
        </w:rPr>
        <w:t xml:space="preserve">, nebo </w:t>
      </w:r>
    </w:p>
    <w:p w14:paraId="378AB5F9"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c)</w:t>
      </w:r>
      <w:r w:rsidRPr="007A14A9">
        <w:rPr>
          <w:rFonts w:eastAsia="MS Mincho"/>
          <w:szCs w:val="24"/>
        </w:rPr>
        <w:tab/>
        <w:t xml:space="preserve">nesplní některou z povinností uvedených v </w:t>
      </w:r>
      <w:hyperlink r:id="rId688" w:history="1">
        <w:r w:rsidRPr="007A14A9">
          <w:rPr>
            <w:rFonts w:eastAsia="MS Mincho"/>
            <w:szCs w:val="24"/>
          </w:rPr>
          <w:t>§ 344</w:t>
        </w:r>
      </w:hyperlink>
      <w:r w:rsidRPr="007A14A9">
        <w:rPr>
          <w:rFonts w:eastAsia="MS Mincho"/>
          <w:szCs w:val="24"/>
        </w:rPr>
        <w:t xml:space="preserve">. </w:t>
      </w:r>
    </w:p>
    <w:p w14:paraId="5F73E9CC"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(5)</w:t>
      </w:r>
      <w:r w:rsidRPr="007A14A9">
        <w:rPr>
          <w:rFonts w:eastAsia="MS Mincho"/>
          <w:szCs w:val="24"/>
        </w:rPr>
        <w:tab/>
        <w:t xml:space="preserve">Právnická nebo podnikající fyzická osoba se jako osoba, která není uvedena v </w:t>
      </w:r>
      <w:hyperlink r:id="rId689" w:history="1">
        <w:r w:rsidRPr="007A14A9">
          <w:rPr>
            <w:rFonts w:eastAsia="MS Mincho"/>
            <w:szCs w:val="24"/>
          </w:rPr>
          <w:t>§ 69</w:t>
        </w:r>
      </w:hyperlink>
      <w:r w:rsidRPr="007A14A9">
        <w:rPr>
          <w:rFonts w:eastAsia="MS Mincho"/>
          <w:szCs w:val="24"/>
        </w:rPr>
        <w:t xml:space="preserve"> nebo </w:t>
      </w:r>
      <w:hyperlink r:id="rId690" w:history="1">
        <w:r w:rsidRPr="007A14A9">
          <w:rPr>
            <w:rFonts w:eastAsia="MS Mincho"/>
            <w:szCs w:val="24"/>
          </w:rPr>
          <w:t>§ 666</w:t>
        </w:r>
      </w:hyperlink>
      <w:r w:rsidRPr="007A14A9">
        <w:rPr>
          <w:rFonts w:eastAsia="MS Mincho"/>
          <w:szCs w:val="24"/>
        </w:rPr>
        <w:t xml:space="preserve">, dopustí přestupku tím, že se v rozporu s </w:t>
      </w:r>
      <w:hyperlink r:id="rId691" w:history="1">
        <w:r w:rsidRPr="007A14A9">
          <w:rPr>
            <w:rFonts w:eastAsia="MS Mincho"/>
            <w:szCs w:val="24"/>
          </w:rPr>
          <w:t>§ 69</w:t>
        </w:r>
      </w:hyperlink>
      <w:r w:rsidRPr="007A14A9">
        <w:rPr>
          <w:rFonts w:eastAsia="MS Mincho"/>
          <w:szCs w:val="24"/>
        </w:rPr>
        <w:t xml:space="preserve"> nebo </w:t>
      </w:r>
      <w:hyperlink r:id="rId692" w:history="1">
        <w:r w:rsidRPr="007A14A9">
          <w:rPr>
            <w:rFonts w:eastAsia="MS Mincho"/>
            <w:szCs w:val="24"/>
          </w:rPr>
          <w:t>§ 666</w:t>
        </w:r>
      </w:hyperlink>
      <w:r w:rsidRPr="007A14A9">
        <w:rPr>
          <w:rFonts w:eastAsia="MS Mincho"/>
          <w:szCs w:val="24"/>
        </w:rPr>
        <w:t xml:space="preserve"> stane depozitářem investičního fondu. </w:t>
      </w:r>
    </w:p>
    <w:p w14:paraId="7CDD16DD"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(6) Za přestupek podle odstavce 1, 2, 3, 4 nebo 5 lze uložit pokutu do </w:t>
      </w:r>
    </w:p>
    <w:p w14:paraId="48C321BB"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a)</w:t>
      </w:r>
      <w:r w:rsidRPr="007A14A9">
        <w:rPr>
          <w:rFonts w:eastAsia="MS Mincho"/>
          <w:szCs w:val="24"/>
        </w:rPr>
        <w:tab/>
        <w:t xml:space="preserve">150 000 000 Kč, </w:t>
      </w:r>
    </w:p>
    <w:p w14:paraId="00F1F01C"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b)</w:t>
      </w:r>
      <w:r w:rsidRPr="007A14A9">
        <w:rPr>
          <w:rFonts w:eastAsia="MS Mincho"/>
          <w:szCs w:val="24"/>
        </w:rPr>
        <w:tab/>
        <w:t xml:space="preserve">výše 10 % celkového ročního obratu právnické osoby podle </w:t>
      </w:r>
      <w:r w:rsidRPr="007A14A9">
        <w:rPr>
          <w:rFonts w:eastAsia="MS Mincho"/>
          <w:strike/>
          <w:szCs w:val="24"/>
        </w:rPr>
        <w:t>její poslední řádné účetní závěrky nebo konsolidované účetní závěrky</w:t>
      </w:r>
      <w:r w:rsidRPr="007A14A9">
        <w:rPr>
          <w:rFonts w:eastAsia="MS Mincho"/>
          <w:b/>
          <w:szCs w:val="24"/>
        </w:rPr>
        <w:t xml:space="preserve"> poslední řádné konsolidované účetní závěrky</w:t>
      </w:r>
      <w:r w:rsidRPr="007A14A9">
        <w:rPr>
          <w:rFonts w:eastAsia="MS Mincho"/>
          <w:szCs w:val="24"/>
        </w:rPr>
        <w:t xml:space="preserve"> </w:t>
      </w:r>
      <w:r w:rsidRPr="007A14A9">
        <w:rPr>
          <w:rFonts w:eastAsia="MS Mincho"/>
          <w:b/>
          <w:szCs w:val="24"/>
        </w:rPr>
        <w:t>konsolidačního celku, v němž je zahrnuta,</w:t>
      </w:r>
      <w:r w:rsidRPr="007A14A9">
        <w:rPr>
          <w:rFonts w:eastAsia="MS Mincho"/>
          <w:szCs w:val="24"/>
        </w:rPr>
        <w:t xml:space="preserve"> </w:t>
      </w:r>
      <w:r w:rsidRPr="007A14A9">
        <w:rPr>
          <w:rFonts w:eastAsia="MS Mincho"/>
          <w:b/>
          <w:szCs w:val="24"/>
        </w:rPr>
        <w:t>nebo řádné individuální účetní závěrky, není-li taková konsolidovaná účetní závěrka</w:t>
      </w:r>
      <w:r w:rsidRPr="007A14A9">
        <w:rPr>
          <w:rFonts w:eastAsia="MS Mincho"/>
          <w:szCs w:val="24"/>
        </w:rPr>
        <w:t xml:space="preserve">, přesahuje-li takto určená výše pokuty částku 150 000 000 Kč, nebo </w:t>
      </w:r>
    </w:p>
    <w:p w14:paraId="5C95083C"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c)</w:t>
      </w:r>
      <w:r w:rsidRPr="007A14A9">
        <w:rPr>
          <w:rFonts w:eastAsia="MS Mincho"/>
          <w:szCs w:val="24"/>
        </w:rPr>
        <w:tab/>
        <w:t xml:space="preserve">výše dvojnásobku neoprávněného prospěchu získaného spácháním tohoto přestupku, je-li možné výši neoprávněného prospěchu zjistit a přesahuje-li takto určená výše pokuty částku 150 000 000 Kč. </w:t>
      </w:r>
    </w:p>
    <w:p w14:paraId="5C69CA20"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(7) Za přestupek podle odstavce 1, 2, 3, 4 nebo 5 lze namísto pokuty nebo spolu s pokutou </w:t>
      </w:r>
    </w:p>
    <w:p w14:paraId="617C1B3E"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a)</w:t>
      </w:r>
      <w:r w:rsidRPr="007A14A9">
        <w:rPr>
          <w:rFonts w:eastAsia="MS Mincho"/>
          <w:szCs w:val="24"/>
        </w:rPr>
        <w:tab/>
        <w:t xml:space="preserve">nařídit uveřejnění informace o tom, jaká je povaha protiprávního jednání a která osoba takto jednala, nebo </w:t>
      </w:r>
    </w:p>
    <w:p w14:paraId="712E0FC2"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b)</w:t>
      </w:r>
      <w:r w:rsidRPr="007A14A9">
        <w:rPr>
          <w:rFonts w:eastAsia="MS Mincho"/>
          <w:szCs w:val="24"/>
        </w:rPr>
        <w:tab/>
        <w:t xml:space="preserve">uložit namísto uveřejnění informace podle písmene a) nebo spolu s uveřejněním informace podle písmene a) zákaz činnosti, a to až na dobu 5 let, jde-li o přestupek podle odstavce 1 písm. b) nebo i). </w:t>
      </w:r>
    </w:p>
    <w:p w14:paraId="0F1F7772" w14:textId="77777777" w:rsidR="007A14A9" w:rsidRPr="007A14A9" w:rsidRDefault="007A14A9" w:rsidP="007A14A9">
      <w:pPr>
        <w:widowControl w:val="0"/>
        <w:autoSpaceDE w:val="0"/>
        <w:autoSpaceDN w:val="0"/>
        <w:adjustRightInd w:val="0"/>
        <w:spacing w:before="0" w:after="120"/>
        <w:ind w:firstLine="0"/>
        <w:jc w:val="center"/>
        <w:rPr>
          <w:rFonts w:eastAsia="MS Mincho"/>
          <w:szCs w:val="24"/>
        </w:rPr>
      </w:pPr>
      <w:r w:rsidRPr="007A14A9">
        <w:rPr>
          <w:rFonts w:eastAsia="MS Mincho"/>
          <w:szCs w:val="24"/>
        </w:rPr>
        <w:t xml:space="preserve">§ 615 </w:t>
      </w:r>
    </w:p>
    <w:p w14:paraId="45360E88"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(1) Právnická nebo podnikající fyzická osoba se jako osoba, která není uvedena v </w:t>
      </w:r>
      <w:hyperlink r:id="rId693" w:history="1">
        <w:r w:rsidRPr="007A14A9">
          <w:rPr>
            <w:rFonts w:eastAsia="MS Mincho"/>
            <w:szCs w:val="24"/>
          </w:rPr>
          <w:t>§ 86</w:t>
        </w:r>
      </w:hyperlink>
      <w:r w:rsidRPr="007A14A9">
        <w:rPr>
          <w:rFonts w:eastAsia="MS Mincho"/>
          <w:szCs w:val="24"/>
        </w:rPr>
        <w:t xml:space="preserve">, dopustí přestupku tím, že se v rozporu s </w:t>
      </w:r>
      <w:hyperlink r:id="rId694" w:history="1">
        <w:r w:rsidRPr="007A14A9">
          <w:rPr>
            <w:rFonts w:eastAsia="MS Mincho"/>
            <w:szCs w:val="24"/>
          </w:rPr>
          <w:t>§ 86</w:t>
        </w:r>
      </w:hyperlink>
      <w:r w:rsidRPr="007A14A9">
        <w:rPr>
          <w:rFonts w:eastAsia="MS Mincho"/>
          <w:szCs w:val="24"/>
        </w:rPr>
        <w:t xml:space="preserve"> stane hlavním podpůrcem. </w:t>
      </w:r>
    </w:p>
    <w:p w14:paraId="45D84123"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(2) Právnická nebo podnikající fyzická osoba se jako osoba, která oceňuje majetek a dluhy investičního fondu, dopustí přestupku tím, že </w:t>
      </w:r>
    </w:p>
    <w:p w14:paraId="1447AB5E"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a) </w:t>
      </w:r>
      <w:r w:rsidRPr="007A14A9">
        <w:rPr>
          <w:rFonts w:eastAsia="MS Mincho"/>
          <w:szCs w:val="24"/>
        </w:rPr>
        <w:tab/>
        <w:t xml:space="preserve">nepoužívá postupy podle </w:t>
      </w:r>
      <w:hyperlink r:id="rId695" w:history="1">
        <w:r w:rsidRPr="007A14A9">
          <w:rPr>
            <w:rFonts w:eastAsia="MS Mincho"/>
            <w:szCs w:val="24"/>
          </w:rPr>
          <w:t>§ 194 písm. a)</w:t>
        </w:r>
      </w:hyperlink>
      <w:r w:rsidRPr="007A14A9">
        <w:rPr>
          <w:rFonts w:eastAsia="MS Mincho"/>
          <w:szCs w:val="24"/>
        </w:rPr>
        <w:t xml:space="preserve">, nebo </w:t>
      </w:r>
    </w:p>
    <w:p w14:paraId="1C85EBD9"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b)</w:t>
      </w:r>
      <w:r w:rsidRPr="007A14A9">
        <w:rPr>
          <w:rFonts w:eastAsia="MS Mincho"/>
          <w:szCs w:val="24"/>
        </w:rPr>
        <w:tab/>
        <w:t xml:space="preserve">v rozporu s </w:t>
      </w:r>
      <w:hyperlink r:id="rId696" w:history="1">
        <w:r w:rsidRPr="007A14A9">
          <w:rPr>
            <w:rFonts w:eastAsia="MS Mincho"/>
            <w:szCs w:val="24"/>
          </w:rPr>
          <w:t>§ 194 písm. b)</w:t>
        </w:r>
      </w:hyperlink>
      <w:r w:rsidRPr="007A14A9">
        <w:rPr>
          <w:rFonts w:eastAsia="MS Mincho"/>
          <w:szCs w:val="24"/>
        </w:rPr>
        <w:t xml:space="preserve"> ocení majetek a dluhy investičního fondu, aniž je nestranná nebo nezávislá na tom, pro koho se oceňuje. </w:t>
      </w:r>
    </w:p>
    <w:p w14:paraId="58B5AE3C"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(3) Podnikající fyzická osoba se jako člen výboru odborníků dopustí přestupku tím, že postupuje při výkonu své funkce v rozporu s </w:t>
      </w:r>
      <w:hyperlink r:id="rId697" w:history="1">
        <w:r w:rsidRPr="007A14A9">
          <w:rPr>
            <w:rFonts w:eastAsia="MS Mincho"/>
            <w:szCs w:val="24"/>
          </w:rPr>
          <w:t>§ 269 odst. 2</w:t>
        </w:r>
      </w:hyperlink>
      <w:r w:rsidRPr="007A14A9">
        <w:rPr>
          <w:rFonts w:eastAsia="MS Mincho"/>
          <w:szCs w:val="24"/>
        </w:rPr>
        <w:t xml:space="preserve">. </w:t>
      </w:r>
    </w:p>
    <w:p w14:paraId="4CEA1BCC"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(4) Právnická nebo podnikající fyzická osoba se jako likvidátor investiční společnosti dopustí přestupku tím, že v rozporu s </w:t>
      </w:r>
      <w:hyperlink r:id="rId698" w:history="1">
        <w:r w:rsidRPr="007A14A9">
          <w:rPr>
            <w:rFonts w:eastAsia="MS Mincho"/>
            <w:szCs w:val="24"/>
          </w:rPr>
          <w:t>§ 348</w:t>
        </w:r>
      </w:hyperlink>
      <w:r w:rsidRPr="007A14A9">
        <w:rPr>
          <w:rFonts w:eastAsia="MS Mincho"/>
          <w:szCs w:val="24"/>
        </w:rPr>
        <w:t xml:space="preserve"> nevykonává svou funkci s odbornou péčí. </w:t>
      </w:r>
    </w:p>
    <w:p w14:paraId="4C393F72"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(5) Podnikající fyzická osoba se jako osoba uvedená v </w:t>
      </w:r>
      <w:hyperlink r:id="rId699" w:history="1">
        <w:r w:rsidRPr="007A14A9">
          <w:rPr>
            <w:rFonts w:eastAsia="MS Mincho"/>
            <w:szCs w:val="24"/>
          </w:rPr>
          <w:t>§ 515</w:t>
        </w:r>
      </w:hyperlink>
      <w:r w:rsidRPr="007A14A9">
        <w:rPr>
          <w:rFonts w:eastAsia="MS Mincho"/>
          <w:szCs w:val="24"/>
        </w:rPr>
        <w:t xml:space="preserve"> dopustí přestupku tím, že neoznámí České národní bance skutečnost podle </w:t>
      </w:r>
      <w:hyperlink r:id="rId700" w:history="1">
        <w:r w:rsidRPr="007A14A9">
          <w:rPr>
            <w:rFonts w:eastAsia="MS Mincho"/>
            <w:szCs w:val="24"/>
          </w:rPr>
          <w:t>§ 476</w:t>
        </w:r>
      </w:hyperlink>
      <w:r w:rsidRPr="007A14A9">
        <w:rPr>
          <w:rFonts w:eastAsia="MS Mincho"/>
          <w:szCs w:val="24"/>
        </w:rPr>
        <w:t xml:space="preserve">. </w:t>
      </w:r>
    </w:p>
    <w:p w14:paraId="4B43C630"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lastRenderedPageBreak/>
        <w:t xml:space="preserve">(6) Za přestupek podle odstavců 1 až 5 lze uložit pokutu do </w:t>
      </w:r>
    </w:p>
    <w:p w14:paraId="02170E1C"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a) </w:t>
      </w:r>
      <w:r w:rsidRPr="007A14A9">
        <w:rPr>
          <w:rFonts w:eastAsia="MS Mincho"/>
          <w:szCs w:val="24"/>
        </w:rPr>
        <w:tab/>
        <w:t xml:space="preserve">150 000 000 Kč, </w:t>
      </w:r>
    </w:p>
    <w:p w14:paraId="49850683"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b) </w:t>
      </w:r>
      <w:r w:rsidRPr="007A14A9">
        <w:rPr>
          <w:rFonts w:eastAsia="MS Mincho"/>
          <w:szCs w:val="24"/>
        </w:rPr>
        <w:tab/>
        <w:t xml:space="preserve">výše 10 % celkového ročního obratu právnické osoby podle </w:t>
      </w:r>
      <w:r w:rsidRPr="007A14A9">
        <w:rPr>
          <w:rFonts w:eastAsia="MS Mincho"/>
          <w:strike/>
          <w:szCs w:val="24"/>
        </w:rPr>
        <w:t>její poslední řádné účetní závěrky nebo konsolidované účetní závěrky</w:t>
      </w:r>
      <w:r w:rsidRPr="007A14A9">
        <w:rPr>
          <w:rFonts w:eastAsia="MS Mincho"/>
          <w:b/>
          <w:szCs w:val="24"/>
        </w:rPr>
        <w:t xml:space="preserve"> poslední řádné konsolidované účetní závěrky</w:t>
      </w:r>
      <w:r w:rsidRPr="007A14A9">
        <w:rPr>
          <w:rFonts w:eastAsia="MS Mincho"/>
          <w:szCs w:val="24"/>
        </w:rPr>
        <w:t xml:space="preserve"> </w:t>
      </w:r>
      <w:r w:rsidRPr="007A14A9">
        <w:rPr>
          <w:rFonts w:eastAsia="MS Mincho"/>
          <w:b/>
          <w:szCs w:val="24"/>
        </w:rPr>
        <w:t>konsolidačního celku, v němž je zahrnuta,</w:t>
      </w:r>
      <w:r w:rsidRPr="007A14A9">
        <w:rPr>
          <w:rFonts w:eastAsia="MS Mincho"/>
          <w:szCs w:val="24"/>
        </w:rPr>
        <w:t xml:space="preserve"> </w:t>
      </w:r>
      <w:r w:rsidRPr="007A14A9">
        <w:rPr>
          <w:rFonts w:eastAsia="MS Mincho"/>
          <w:b/>
          <w:szCs w:val="24"/>
        </w:rPr>
        <w:t>nebo řádné individuální účetní závěrky, není-li taková konsolidovaná účetní závěrka</w:t>
      </w:r>
      <w:r w:rsidRPr="007A14A9">
        <w:rPr>
          <w:rFonts w:eastAsia="MS Mincho"/>
          <w:szCs w:val="24"/>
        </w:rPr>
        <w:t xml:space="preserve">, přesahuje-li takto určená výše pokuty částku 150 000 000 Kč, nebo </w:t>
      </w:r>
    </w:p>
    <w:p w14:paraId="0F57AE3B"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c) </w:t>
      </w:r>
      <w:r w:rsidRPr="007A14A9">
        <w:rPr>
          <w:rFonts w:eastAsia="MS Mincho"/>
          <w:szCs w:val="24"/>
        </w:rPr>
        <w:tab/>
        <w:t xml:space="preserve">výše dvojnásobku neoprávněného prospěchu získaného spácháním tohoto přestupku, je-li možné výši neoprávněného prospěchu zjistit a přesahuje-li takto určená výše pokuty částku 150 000 000 Kč. </w:t>
      </w:r>
    </w:p>
    <w:p w14:paraId="31C3C15C"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(7) Za přestupek podle odstavce 1, 2, 3, 4 nebo 5 lze namísto pokuty nebo spolu s pokutou nařídit uveřejnění informace o tom, jaká je povaha protiprávního jednání a která osoba takto jednala. </w:t>
      </w:r>
    </w:p>
    <w:p w14:paraId="3DDDBB8A" w14:textId="77777777" w:rsidR="007A14A9" w:rsidRPr="007A14A9" w:rsidRDefault="007A14A9" w:rsidP="007A14A9">
      <w:pPr>
        <w:keepNext/>
        <w:keepLines/>
        <w:ind w:firstLine="0"/>
        <w:jc w:val="center"/>
        <w:outlineLvl w:val="5"/>
      </w:pPr>
      <w:r w:rsidRPr="007A14A9">
        <w:t xml:space="preserve">§ 616 </w:t>
      </w:r>
    </w:p>
    <w:p w14:paraId="7E708428"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(1)</w:t>
      </w:r>
      <w:r w:rsidRPr="007A14A9">
        <w:rPr>
          <w:rFonts w:eastAsia="MS Mincho"/>
          <w:szCs w:val="24"/>
        </w:rPr>
        <w:tab/>
        <w:t xml:space="preserve">Právnická nebo podnikající fyzická osoba se jako osoba, která bez předchozího souhlasu České národní banky nabude nebo zvýší kvalifikovanou účast na investiční společnosti, samosprávném investičním fondu nebo hlavním administrátorovi, nebo je ovládne, dopustí přestupku tím, že v rozporu s </w:t>
      </w:r>
      <w:hyperlink r:id="rId701" w:history="1">
        <w:r w:rsidRPr="007A14A9">
          <w:rPr>
            <w:rFonts w:eastAsia="MS Mincho"/>
            <w:szCs w:val="24"/>
          </w:rPr>
          <w:t>§ 521 odst. 2</w:t>
        </w:r>
      </w:hyperlink>
      <w:r w:rsidRPr="007A14A9">
        <w:rPr>
          <w:rFonts w:eastAsia="MS Mincho"/>
          <w:szCs w:val="24"/>
        </w:rPr>
        <w:t xml:space="preserve"> neoznámí tuto skutečnost České národní bance nebo ji nepožádá o souhlas. </w:t>
      </w:r>
    </w:p>
    <w:p w14:paraId="3D8AE95E"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(2) Právnická nebo podnikající fyzická osoba se jako osoba, které bylo uloženo opatření k nápravě, dopustí přestupku tím, že v rozporu s </w:t>
      </w:r>
      <w:hyperlink r:id="rId702" w:history="1">
        <w:r w:rsidRPr="007A14A9">
          <w:rPr>
            <w:rFonts w:eastAsia="MS Mincho"/>
            <w:szCs w:val="24"/>
          </w:rPr>
          <w:t>§ 538 odst. 2</w:t>
        </w:r>
      </w:hyperlink>
      <w:r w:rsidRPr="007A14A9">
        <w:rPr>
          <w:rFonts w:eastAsia="MS Mincho"/>
          <w:szCs w:val="24"/>
        </w:rPr>
        <w:t xml:space="preserve"> neoznámí České národní bance způsob odstranění nedostatků nebo zjednání nápravy. </w:t>
      </w:r>
    </w:p>
    <w:p w14:paraId="1527984A"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(3) Právnická nebo podnikající fyzická osoba se jako nucený správce investiční společnosti nebo investičního fondu dopustí přestupku tím, že </w:t>
      </w:r>
    </w:p>
    <w:p w14:paraId="2B09F9E5"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a)</w:t>
      </w:r>
      <w:r w:rsidRPr="007A14A9">
        <w:rPr>
          <w:rFonts w:eastAsia="MS Mincho"/>
          <w:szCs w:val="24"/>
        </w:rPr>
        <w:tab/>
        <w:t xml:space="preserve">v rozporu s </w:t>
      </w:r>
      <w:hyperlink r:id="rId703" w:history="1">
        <w:r w:rsidRPr="007A14A9">
          <w:rPr>
            <w:rFonts w:eastAsia="MS Mincho"/>
            <w:szCs w:val="24"/>
          </w:rPr>
          <w:t>§ 563 odst. 1</w:t>
        </w:r>
      </w:hyperlink>
      <w:r w:rsidRPr="007A14A9">
        <w:rPr>
          <w:rFonts w:eastAsia="MS Mincho"/>
          <w:szCs w:val="24"/>
        </w:rPr>
        <w:t xml:space="preserve"> nevykonává svou funkci s odbornou péčí, nebo </w:t>
      </w:r>
    </w:p>
    <w:p w14:paraId="38C483B5"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b)</w:t>
      </w:r>
      <w:r w:rsidRPr="007A14A9">
        <w:rPr>
          <w:rFonts w:eastAsia="MS Mincho"/>
          <w:szCs w:val="24"/>
        </w:rPr>
        <w:tab/>
        <w:t xml:space="preserve">provede některý z úkonů uvedených v </w:t>
      </w:r>
      <w:hyperlink r:id="rId704" w:history="1">
        <w:r w:rsidRPr="007A14A9">
          <w:rPr>
            <w:rFonts w:eastAsia="MS Mincho"/>
            <w:szCs w:val="24"/>
          </w:rPr>
          <w:t>§ 565 odst. 1</w:t>
        </w:r>
      </w:hyperlink>
      <w:r w:rsidRPr="007A14A9">
        <w:rPr>
          <w:rFonts w:eastAsia="MS Mincho"/>
          <w:szCs w:val="24"/>
        </w:rPr>
        <w:t xml:space="preserve"> bez předchozího souhlasu České národní banky. </w:t>
      </w:r>
    </w:p>
    <w:p w14:paraId="65FD9576"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(4) Právnická osoba se jako osoba uvedená v </w:t>
      </w:r>
      <w:hyperlink r:id="rId705" w:history="1">
        <w:r w:rsidRPr="007A14A9">
          <w:rPr>
            <w:rFonts w:eastAsia="MS Mincho"/>
            <w:szCs w:val="24"/>
          </w:rPr>
          <w:t>§ 15 odst. 1</w:t>
        </w:r>
      </w:hyperlink>
      <w:r w:rsidRPr="007A14A9">
        <w:rPr>
          <w:rFonts w:eastAsia="MS Mincho"/>
          <w:szCs w:val="24"/>
        </w:rPr>
        <w:t xml:space="preserve"> dopustí přestupku tím, že </w:t>
      </w:r>
    </w:p>
    <w:p w14:paraId="4C5BC07C"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a)</w:t>
      </w:r>
      <w:r w:rsidRPr="007A14A9">
        <w:rPr>
          <w:rFonts w:eastAsia="MS Mincho"/>
          <w:szCs w:val="24"/>
        </w:rPr>
        <w:tab/>
        <w:t xml:space="preserve">v rozporu s </w:t>
      </w:r>
      <w:hyperlink r:id="rId706" w:history="1">
        <w:r w:rsidRPr="007A14A9">
          <w:rPr>
            <w:rFonts w:eastAsia="MS Mincho"/>
            <w:szCs w:val="24"/>
          </w:rPr>
          <w:t>§ 15 odst. 1</w:t>
        </w:r>
      </w:hyperlink>
      <w:r w:rsidRPr="007A14A9">
        <w:rPr>
          <w:rFonts w:eastAsia="MS Mincho"/>
          <w:szCs w:val="24"/>
        </w:rPr>
        <w:t xml:space="preserve"> větou třetí přesáhne rozhodný limit, aniž splní některou z povinností stanovených v </w:t>
      </w:r>
      <w:hyperlink r:id="rId707" w:history="1">
        <w:r w:rsidRPr="007A14A9">
          <w:rPr>
            <w:rFonts w:eastAsia="MS Mincho"/>
            <w:szCs w:val="24"/>
          </w:rPr>
          <w:t>§ 17 odst. 1 až 4</w:t>
        </w:r>
      </w:hyperlink>
      <w:r w:rsidRPr="007A14A9">
        <w:rPr>
          <w:rFonts w:eastAsia="MS Mincho"/>
          <w:szCs w:val="24"/>
        </w:rPr>
        <w:t xml:space="preserve">, </w:t>
      </w:r>
    </w:p>
    <w:p w14:paraId="76F42F1C" w14:textId="77777777" w:rsidR="007A14A9" w:rsidRPr="00554FBC" w:rsidRDefault="007A14A9" w:rsidP="00554FBC">
      <w:pPr>
        <w:pBdr>
          <w:top w:val="single" w:sz="12" w:space="1" w:color="0070C0"/>
          <w:left w:val="single" w:sz="12" w:space="4" w:color="0070C0"/>
          <w:bottom w:val="single" w:sz="12" w:space="1" w:color="0070C0"/>
          <w:right w:val="single" w:sz="12" w:space="4" w:color="0070C0"/>
        </w:pBdr>
        <w:spacing w:before="0"/>
        <w:ind w:left="425" w:hanging="425"/>
        <w:outlineLvl w:val="7"/>
        <w:rPr>
          <w:rFonts w:eastAsia="MS Mincho"/>
          <w:b/>
          <w:color w:val="0070C0"/>
          <w:szCs w:val="24"/>
        </w:rPr>
      </w:pPr>
      <w:r w:rsidRPr="00554FBC">
        <w:rPr>
          <w:rFonts w:eastAsia="MS Mincho"/>
          <w:b/>
          <w:color w:val="0070C0"/>
          <w:szCs w:val="24"/>
        </w:rPr>
        <w:t>b) nepředloží České národní bance zprávu auditora podle § 15 odst. 6 věty druhé,</w:t>
      </w:r>
    </w:p>
    <w:p w14:paraId="10C02BC0" w14:textId="77777777" w:rsidR="007A14A9" w:rsidRPr="007A14A9" w:rsidRDefault="007A14A9" w:rsidP="00554FBC">
      <w:pPr>
        <w:pBdr>
          <w:top w:val="single" w:sz="12" w:space="1" w:color="0070C0"/>
          <w:left w:val="single" w:sz="12" w:space="4" w:color="0070C0"/>
          <w:bottom w:val="single" w:sz="12" w:space="1" w:color="0070C0"/>
          <w:right w:val="single" w:sz="12" w:space="4" w:color="0070C0"/>
        </w:pBdr>
        <w:spacing w:before="0"/>
        <w:ind w:left="425" w:hanging="425"/>
        <w:outlineLvl w:val="7"/>
        <w:rPr>
          <w:rFonts w:eastAsia="MS Mincho"/>
          <w:szCs w:val="24"/>
        </w:rPr>
      </w:pPr>
      <w:r w:rsidRPr="00554FBC">
        <w:rPr>
          <w:rFonts w:eastAsia="MS Mincho"/>
          <w:b/>
          <w:color w:val="0070C0"/>
          <w:szCs w:val="24"/>
        </w:rPr>
        <w:t>c)</w:t>
      </w:r>
      <w:r w:rsidRPr="007A14A9">
        <w:rPr>
          <w:rFonts w:eastAsia="MS Mincho"/>
          <w:szCs w:val="24"/>
        </w:rPr>
        <w:tab/>
        <w:t xml:space="preserve">neoznámí České národní bance některý z údajů nebo některou ze skutečností podle </w:t>
      </w:r>
      <w:hyperlink r:id="rId708" w:history="1">
        <w:r w:rsidRPr="007A14A9">
          <w:rPr>
            <w:rFonts w:eastAsia="MS Mincho"/>
            <w:szCs w:val="24"/>
          </w:rPr>
          <w:t>§ 462</w:t>
        </w:r>
      </w:hyperlink>
      <w:r w:rsidRPr="007A14A9">
        <w:rPr>
          <w:rFonts w:eastAsia="MS Mincho"/>
          <w:szCs w:val="24"/>
        </w:rPr>
        <w:t xml:space="preserve">, </w:t>
      </w:r>
      <w:hyperlink r:id="rId709" w:history="1">
        <w:r w:rsidRPr="007A14A9">
          <w:rPr>
            <w:rFonts w:eastAsia="MS Mincho"/>
            <w:szCs w:val="24"/>
          </w:rPr>
          <w:t>§ 463 odst. 2 písm. b)</w:t>
        </w:r>
      </w:hyperlink>
      <w:r w:rsidRPr="007A14A9">
        <w:rPr>
          <w:rFonts w:eastAsia="MS Mincho"/>
          <w:szCs w:val="24"/>
        </w:rPr>
        <w:t xml:space="preserve"> nebo </w:t>
      </w:r>
      <w:hyperlink r:id="rId710" w:history="1">
        <w:r w:rsidRPr="007A14A9">
          <w:rPr>
            <w:rFonts w:eastAsia="MS Mincho"/>
            <w:szCs w:val="24"/>
          </w:rPr>
          <w:t>§ 475</w:t>
        </w:r>
      </w:hyperlink>
      <w:r w:rsidRPr="007A14A9">
        <w:rPr>
          <w:rFonts w:eastAsia="MS Mincho"/>
          <w:szCs w:val="24"/>
        </w:rPr>
        <w:t xml:space="preserve">, </w:t>
      </w:r>
    </w:p>
    <w:p w14:paraId="375B31DA" w14:textId="77777777" w:rsidR="007A14A9" w:rsidRPr="007A14A9" w:rsidRDefault="007A14A9" w:rsidP="00554FBC">
      <w:pPr>
        <w:pBdr>
          <w:top w:val="single" w:sz="12" w:space="1" w:color="0070C0"/>
          <w:left w:val="single" w:sz="12" w:space="4" w:color="0070C0"/>
          <w:bottom w:val="single" w:sz="12" w:space="1" w:color="0070C0"/>
          <w:right w:val="single" w:sz="12" w:space="4" w:color="0070C0"/>
        </w:pBdr>
        <w:spacing w:before="0"/>
        <w:ind w:left="425" w:hanging="425"/>
        <w:outlineLvl w:val="7"/>
        <w:rPr>
          <w:rFonts w:eastAsia="MS Mincho"/>
          <w:szCs w:val="24"/>
        </w:rPr>
      </w:pPr>
      <w:r w:rsidRPr="00554FBC">
        <w:rPr>
          <w:rFonts w:eastAsia="MS Mincho"/>
          <w:b/>
          <w:color w:val="0070C0"/>
          <w:szCs w:val="24"/>
        </w:rPr>
        <w:t>d)</w:t>
      </w:r>
      <w:r w:rsidRPr="007A14A9">
        <w:rPr>
          <w:rFonts w:eastAsia="MS Mincho"/>
          <w:szCs w:val="24"/>
        </w:rPr>
        <w:tab/>
        <w:t xml:space="preserve">jedná v rozporu se zákazem podle </w:t>
      </w:r>
      <w:hyperlink r:id="rId711" w:history="1">
        <w:r w:rsidRPr="007A14A9">
          <w:rPr>
            <w:rFonts w:eastAsia="MS Mincho"/>
            <w:szCs w:val="24"/>
          </w:rPr>
          <w:t>§ 637 odst. 1</w:t>
        </w:r>
      </w:hyperlink>
      <w:r w:rsidRPr="007A14A9">
        <w:rPr>
          <w:rFonts w:eastAsia="MS Mincho"/>
          <w:szCs w:val="24"/>
        </w:rPr>
        <w:t xml:space="preserve">, nebo </w:t>
      </w:r>
    </w:p>
    <w:p w14:paraId="40944E83" w14:textId="77777777" w:rsidR="007A14A9" w:rsidRPr="007A14A9" w:rsidRDefault="007A14A9" w:rsidP="00554FBC">
      <w:pPr>
        <w:pBdr>
          <w:top w:val="single" w:sz="12" w:space="1" w:color="0070C0"/>
          <w:left w:val="single" w:sz="12" w:space="4" w:color="0070C0"/>
          <w:bottom w:val="single" w:sz="12" w:space="1" w:color="0070C0"/>
          <w:right w:val="single" w:sz="12" w:space="4" w:color="0070C0"/>
        </w:pBdr>
        <w:spacing w:before="0"/>
        <w:ind w:left="425" w:hanging="425"/>
        <w:outlineLvl w:val="7"/>
        <w:rPr>
          <w:rFonts w:eastAsia="MS Mincho"/>
          <w:szCs w:val="24"/>
        </w:rPr>
      </w:pPr>
      <w:r w:rsidRPr="00554FBC">
        <w:rPr>
          <w:rFonts w:eastAsia="MS Mincho"/>
          <w:b/>
          <w:color w:val="0070C0"/>
          <w:szCs w:val="24"/>
        </w:rPr>
        <w:t>e)</w:t>
      </w:r>
      <w:r w:rsidRPr="007A14A9">
        <w:rPr>
          <w:rFonts w:eastAsia="MS Mincho"/>
          <w:szCs w:val="24"/>
        </w:rPr>
        <w:tab/>
        <w:t xml:space="preserve">nesplní povinnost stanovenou v </w:t>
      </w:r>
      <w:hyperlink r:id="rId712" w:history="1">
        <w:r w:rsidRPr="007A14A9">
          <w:rPr>
            <w:rFonts w:eastAsia="MS Mincho"/>
            <w:szCs w:val="24"/>
          </w:rPr>
          <w:t>§ 637 odst. 2</w:t>
        </w:r>
      </w:hyperlink>
      <w:r w:rsidRPr="007A14A9">
        <w:rPr>
          <w:rFonts w:eastAsia="MS Mincho"/>
          <w:szCs w:val="24"/>
        </w:rPr>
        <w:t xml:space="preserve">. </w:t>
      </w:r>
    </w:p>
    <w:p w14:paraId="1494DB06" w14:textId="56FAC000" w:rsidR="007A14A9" w:rsidRPr="007A14A9" w:rsidRDefault="00554FBC" w:rsidP="007A14A9">
      <w:pPr>
        <w:tabs>
          <w:tab w:val="left" w:pos="782"/>
          <w:tab w:val="left" w:pos="851"/>
        </w:tabs>
        <w:spacing w:before="120" w:after="120"/>
        <w:outlineLvl w:val="6"/>
        <w:rPr>
          <w:rFonts w:eastAsia="MS Mincho"/>
          <w:szCs w:val="24"/>
        </w:rPr>
      </w:pPr>
      <w:r>
        <w:rPr>
          <w:b/>
          <w:bCs/>
          <w:noProof/>
          <w:color w:val="92D050"/>
        </w:rPr>
        <mc:AlternateContent>
          <mc:Choice Requires="wps">
            <w:drawing>
              <wp:anchor distT="0" distB="0" distL="114300" distR="114300" simplePos="0" relativeHeight="251673600" behindDoc="1" locked="0" layoutInCell="1" allowOverlap="1" wp14:anchorId="78CE0C8C" wp14:editId="18424A5F">
                <wp:simplePos x="0" y="0"/>
                <wp:positionH relativeFrom="margin">
                  <wp:posOffset>-73494</wp:posOffset>
                </wp:positionH>
                <wp:positionV relativeFrom="paragraph">
                  <wp:posOffset>89259</wp:posOffset>
                </wp:positionV>
                <wp:extent cx="5931673" cy="2353586"/>
                <wp:effectExtent l="0" t="0" r="12065" b="27940"/>
                <wp:wrapNone/>
                <wp:docPr id="7" name="Obdélník 7"/>
                <wp:cNvGraphicFramePr/>
                <a:graphic xmlns:a="http://schemas.openxmlformats.org/drawingml/2006/main">
                  <a:graphicData uri="http://schemas.microsoft.com/office/word/2010/wordprocessingShape">
                    <wps:wsp>
                      <wps:cNvSpPr/>
                      <wps:spPr>
                        <a:xfrm>
                          <a:off x="0" y="0"/>
                          <a:ext cx="5931673" cy="2353586"/>
                        </a:xfrm>
                        <a:prstGeom prst="rect">
                          <a:avLst/>
                        </a:prstGeom>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D8FD84D" id="Obdélník 7" o:spid="_x0000_s1026" style="position:absolute;margin-left:-5.8pt;margin-top:7.05pt;width:467.05pt;height:185.3pt;z-index:-2516428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" fillcolor="white [3201]" strokecolor="#5b9bd5 [3204]" strokeweight="1pt">
                <w10:wrap anchorx="margin"/>
              </v:rect>
            </w:pict>
          </mc:Fallback>
        </mc:AlternateContent>
      </w:r>
      <w:r w:rsidR="007A14A9" w:rsidRPr="007A14A9">
        <w:rPr>
          <w:rFonts w:eastAsia="MS Mincho"/>
          <w:szCs w:val="24"/>
        </w:rPr>
        <w:t>(5) Za přestupek podle odstavce 1, 2 nebo 3 nebo odstavce 4 písm. a)</w:t>
      </w:r>
      <w:r w:rsidR="007A14A9" w:rsidRPr="00554FBC">
        <w:rPr>
          <w:rFonts w:eastAsia="MS Mincho"/>
          <w:b/>
          <w:color w:val="0070C0"/>
          <w:szCs w:val="24"/>
        </w:rPr>
        <w:t xml:space="preserve">, b) nebo c) </w:t>
      </w:r>
      <w:r w:rsidR="007A14A9" w:rsidRPr="007A14A9">
        <w:rPr>
          <w:rFonts w:eastAsia="MS Mincho"/>
          <w:szCs w:val="24"/>
        </w:rPr>
        <w:t xml:space="preserve">lze uložit pokutu do </w:t>
      </w:r>
    </w:p>
    <w:p w14:paraId="2DA32A15"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a) </w:t>
      </w:r>
      <w:r w:rsidRPr="007A14A9">
        <w:rPr>
          <w:rFonts w:eastAsia="MS Mincho"/>
          <w:szCs w:val="24"/>
        </w:rPr>
        <w:tab/>
        <w:t xml:space="preserve">150 000 000 Kč, </w:t>
      </w:r>
    </w:p>
    <w:p w14:paraId="6792243E"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b) </w:t>
      </w:r>
      <w:r w:rsidRPr="007A14A9">
        <w:rPr>
          <w:rFonts w:eastAsia="MS Mincho"/>
          <w:szCs w:val="24"/>
        </w:rPr>
        <w:tab/>
        <w:t xml:space="preserve">výše 10 % celkového ročního obratu právnické osoby podle </w:t>
      </w:r>
      <w:r w:rsidRPr="007A14A9">
        <w:rPr>
          <w:rFonts w:eastAsia="MS Mincho"/>
          <w:strike/>
          <w:szCs w:val="24"/>
        </w:rPr>
        <w:t>její poslední řádné účetní závěrky nebo konsolidované účetní závěrky</w:t>
      </w:r>
      <w:r w:rsidRPr="007A14A9">
        <w:rPr>
          <w:rFonts w:eastAsia="MS Mincho"/>
          <w:b/>
          <w:szCs w:val="24"/>
        </w:rPr>
        <w:t xml:space="preserve"> poslední řádné konsolidované účetní závěrky</w:t>
      </w:r>
      <w:r w:rsidRPr="007A14A9">
        <w:rPr>
          <w:rFonts w:eastAsia="MS Mincho"/>
          <w:szCs w:val="24"/>
        </w:rPr>
        <w:t xml:space="preserve"> </w:t>
      </w:r>
      <w:r w:rsidRPr="007A14A9">
        <w:rPr>
          <w:rFonts w:eastAsia="MS Mincho"/>
          <w:b/>
          <w:szCs w:val="24"/>
        </w:rPr>
        <w:t>konsolidačního celku, v němž je zahrnuta,</w:t>
      </w:r>
      <w:r w:rsidRPr="007A14A9">
        <w:rPr>
          <w:rFonts w:eastAsia="MS Mincho"/>
          <w:szCs w:val="24"/>
        </w:rPr>
        <w:t xml:space="preserve"> </w:t>
      </w:r>
      <w:r w:rsidRPr="007A14A9">
        <w:rPr>
          <w:rFonts w:eastAsia="MS Mincho"/>
          <w:b/>
          <w:szCs w:val="24"/>
        </w:rPr>
        <w:t>nebo řádné individuální účetní závěrky, není-li taková konsolidovaná účetní závěrka</w:t>
      </w:r>
      <w:r w:rsidRPr="007A14A9">
        <w:rPr>
          <w:rFonts w:eastAsia="MS Mincho"/>
          <w:szCs w:val="24"/>
        </w:rPr>
        <w:t xml:space="preserve">, přesahuje-li takto určená výše pokuty částku 150 000 000 Kč, nebo </w:t>
      </w:r>
    </w:p>
    <w:p w14:paraId="6C855CB3"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lastRenderedPageBreak/>
        <w:t xml:space="preserve">c) </w:t>
      </w:r>
      <w:r w:rsidRPr="007A14A9">
        <w:rPr>
          <w:rFonts w:eastAsia="MS Mincho"/>
          <w:szCs w:val="24"/>
        </w:rPr>
        <w:tab/>
        <w:t xml:space="preserve">výše dvojnásobku neoprávněného prospěchu získaného spácháním tohoto přestupku, je-li možné výši neoprávněného prospěchu zjistit a přesahuje-li takto určená výše pokuty částku 150 000 000 Kč. </w:t>
      </w:r>
    </w:p>
    <w:p w14:paraId="53423ABC"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(6) Za přestupek podle odstavce 4 písm. </w:t>
      </w:r>
      <w:r w:rsidRPr="00554FBC">
        <w:rPr>
          <w:rFonts w:eastAsia="MS Mincho"/>
          <w:b/>
          <w:color w:val="0070C0"/>
          <w:szCs w:val="24"/>
        </w:rPr>
        <w:t>d) nebo e)</w:t>
      </w:r>
      <w:r w:rsidRPr="007A14A9">
        <w:rPr>
          <w:rFonts w:eastAsia="MS Mincho"/>
          <w:color w:val="0070C0"/>
          <w:szCs w:val="24"/>
        </w:rPr>
        <w:t xml:space="preserve"> </w:t>
      </w:r>
      <w:r w:rsidRPr="007A14A9">
        <w:rPr>
          <w:rFonts w:eastAsia="MS Mincho"/>
          <w:szCs w:val="24"/>
        </w:rPr>
        <w:t xml:space="preserve">lze uložit pokutu do </w:t>
      </w:r>
    </w:p>
    <w:p w14:paraId="2ED413F1"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a) </w:t>
      </w:r>
      <w:r w:rsidRPr="007A14A9">
        <w:rPr>
          <w:rFonts w:eastAsia="MS Mincho"/>
          <w:szCs w:val="24"/>
        </w:rPr>
        <w:tab/>
        <w:t xml:space="preserve">300 000 000 Kč, </w:t>
      </w:r>
    </w:p>
    <w:p w14:paraId="190DCFA2"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b) </w:t>
      </w:r>
      <w:r w:rsidRPr="007A14A9">
        <w:rPr>
          <w:rFonts w:eastAsia="MS Mincho"/>
          <w:szCs w:val="24"/>
        </w:rPr>
        <w:tab/>
        <w:t xml:space="preserve">výše 10 % celkového ročního obratu právnické osoby podle </w:t>
      </w:r>
      <w:r w:rsidRPr="007A14A9">
        <w:rPr>
          <w:rFonts w:eastAsia="MS Mincho"/>
          <w:strike/>
          <w:szCs w:val="24"/>
        </w:rPr>
        <w:t>její poslední řádné účetní závěrky nebo konsolidované účetní závěrky</w:t>
      </w:r>
      <w:r w:rsidRPr="007A14A9">
        <w:rPr>
          <w:rFonts w:eastAsia="MS Mincho"/>
          <w:b/>
          <w:szCs w:val="24"/>
        </w:rPr>
        <w:t xml:space="preserve"> poslední řádné konsolidované účetní závěrky</w:t>
      </w:r>
      <w:r w:rsidRPr="007A14A9">
        <w:rPr>
          <w:rFonts w:eastAsia="MS Mincho"/>
          <w:szCs w:val="24"/>
        </w:rPr>
        <w:t xml:space="preserve"> </w:t>
      </w:r>
      <w:r w:rsidRPr="007A14A9">
        <w:rPr>
          <w:rFonts w:eastAsia="MS Mincho"/>
          <w:b/>
          <w:szCs w:val="24"/>
        </w:rPr>
        <w:t>konsolidačního celku, v němž je zahrnuta,</w:t>
      </w:r>
      <w:r w:rsidRPr="007A14A9">
        <w:rPr>
          <w:rFonts w:eastAsia="MS Mincho"/>
          <w:szCs w:val="24"/>
        </w:rPr>
        <w:t xml:space="preserve"> </w:t>
      </w:r>
      <w:r w:rsidRPr="007A14A9">
        <w:rPr>
          <w:rFonts w:eastAsia="MS Mincho"/>
          <w:b/>
          <w:szCs w:val="24"/>
        </w:rPr>
        <w:t>nebo řádné individuální účetní závěrky, není-li taková konsolidovaná účetní závěrka</w:t>
      </w:r>
      <w:r w:rsidRPr="007A14A9">
        <w:rPr>
          <w:rFonts w:eastAsia="MS Mincho"/>
          <w:szCs w:val="24"/>
        </w:rPr>
        <w:t xml:space="preserve">, přesahuje-li takto určená výše pokuty částku 300 000 000 Kč, nebo </w:t>
      </w:r>
    </w:p>
    <w:p w14:paraId="41E32D7A"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c) </w:t>
      </w:r>
      <w:r w:rsidRPr="007A14A9">
        <w:rPr>
          <w:rFonts w:eastAsia="MS Mincho"/>
          <w:szCs w:val="24"/>
        </w:rPr>
        <w:tab/>
        <w:t xml:space="preserve">výše dvojnásobku neoprávněného prospěchu získaného spácháním tohoto přestupku, je-li možné výši neoprávněného prospěchu zjistit a přesahuje-li takto určená výše pokuty částku 300 000 000 Kč. </w:t>
      </w:r>
    </w:p>
    <w:p w14:paraId="435480EE"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(7) Za přestupek podle odstavce 1, 2, 3, 4 nebo 5 lze namísto pokuty nebo spolu s pokutou nařídit uveřejnění informace o tom, jaká je povaha protiprávního jednání a která osoba takto jednala. </w:t>
      </w:r>
    </w:p>
    <w:p w14:paraId="1BE2FB9C" w14:textId="77777777" w:rsidR="007A14A9" w:rsidRPr="007A14A9" w:rsidRDefault="007A14A9" w:rsidP="007A14A9">
      <w:pPr>
        <w:keepNext/>
        <w:keepLines/>
        <w:ind w:firstLine="0"/>
        <w:jc w:val="center"/>
        <w:outlineLvl w:val="5"/>
      </w:pPr>
      <w:r w:rsidRPr="007A14A9">
        <w:t xml:space="preserve">§ 617 </w:t>
      </w:r>
    </w:p>
    <w:p w14:paraId="6DDB5EA5"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(1) Podnikající fyzická osoba se jako osoba uvedená v </w:t>
      </w:r>
      <w:hyperlink r:id="rId713" w:history="1">
        <w:r w:rsidRPr="007A14A9">
          <w:rPr>
            <w:rFonts w:eastAsia="MS Mincho"/>
            <w:szCs w:val="24"/>
          </w:rPr>
          <w:t>§ 639</w:t>
        </w:r>
      </w:hyperlink>
      <w:r w:rsidRPr="007A14A9">
        <w:rPr>
          <w:rFonts w:eastAsia="MS Mincho"/>
          <w:szCs w:val="24"/>
        </w:rPr>
        <w:t xml:space="preserve"> dopustí přestupku tím, že v rozporu s </w:t>
      </w:r>
      <w:hyperlink r:id="rId714" w:history="1">
        <w:r w:rsidRPr="007A14A9">
          <w:rPr>
            <w:rFonts w:eastAsia="MS Mincho"/>
            <w:szCs w:val="24"/>
          </w:rPr>
          <w:t>§ 639</w:t>
        </w:r>
      </w:hyperlink>
      <w:r w:rsidRPr="007A14A9">
        <w:rPr>
          <w:rFonts w:eastAsia="MS Mincho"/>
          <w:szCs w:val="24"/>
        </w:rPr>
        <w:t xml:space="preserve"> nezachová mlčenlivost. </w:t>
      </w:r>
    </w:p>
    <w:p w14:paraId="13CACB04"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(2) Za přestupek podle odstavce 1 lze uložit pokutu do </w:t>
      </w:r>
    </w:p>
    <w:p w14:paraId="65DB21A8"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a) </w:t>
      </w:r>
      <w:r w:rsidRPr="007A14A9">
        <w:rPr>
          <w:rFonts w:eastAsia="MS Mincho"/>
          <w:szCs w:val="24"/>
        </w:rPr>
        <w:tab/>
        <w:t xml:space="preserve">150 000 000 Kč, </w:t>
      </w:r>
    </w:p>
    <w:p w14:paraId="22A715A1"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b) </w:t>
      </w:r>
      <w:r w:rsidRPr="007A14A9">
        <w:rPr>
          <w:rFonts w:eastAsia="MS Mincho"/>
          <w:szCs w:val="24"/>
        </w:rPr>
        <w:tab/>
        <w:t xml:space="preserve">výše 10 % celkového ročního obratu právnické osoby podle </w:t>
      </w:r>
      <w:r w:rsidRPr="007A14A9">
        <w:rPr>
          <w:rFonts w:eastAsia="MS Mincho"/>
          <w:strike/>
          <w:szCs w:val="24"/>
        </w:rPr>
        <w:t>její poslední řádné účetní závěrky nebo konsolidované účetní závěrky</w:t>
      </w:r>
      <w:r w:rsidRPr="007A14A9">
        <w:rPr>
          <w:rFonts w:eastAsia="MS Mincho"/>
          <w:b/>
          <w:szCs w:val="24"/>
        </w:rPr>
        <w:t xml:space="preserve"> poslední řádné konsolidované účetní závěrky</w:t>
      </w:r>
      <w:r w:rsidRPr="007A14A9">
        <w:rPr>
          <w:rFonts w:eastAsia="MS Mincho"/>
          <w:szCs w:val="24"/>
        </w:rPr>
        <w:t xml:space="preserve"> </w:t>
      </w:r>
      <w:r w:rsidRPr="007A14A9">
        <w:rPr>
          <w:rFonts w:eastAsia="MS Mincho"/>
          <w:b/>
          <w:szCs w:val="24"/>
        </w:rPr>
        <w:t>konsolidačního celku, v němž je zahrnuta,</w:t>
      </w:r>
      <w:r w:rsidRPr="007A14A9">
        <w:rPr>
          <w:rFonts w:eastAsia="MS Mincho"/>
          <w:szCs w:val="24"/>
        </w:rPr>
        <w:t xml:space="preserve"> </w:t>
      </w:r>
      <w:r w:rsidRPr="007A14A9">
        <w:rPr>
          <w:rFonts w:eastAsia="MS Mincho"/>
          <w:b/>
          <w:szCs w:val="24"/>
        </w:rPr>
        <w:t>nebo řádné individuální účetní závěrky, není-li taková konsolidovaná účetní závěrka</w:t>
      </w:r>
      <w:r w:rsidRPr="007A14A9">
        <w:rPr>
          <w:rFonts w:eastAsia="MS Mincho"/>
          <w:szCs w:val="24"/>
        </w:rPr>
        <w:t xml:space="preserve">, přesahuje-li takto určená výše pokuty částku 150 000 000 Kč, nebo </w:t>
      </w:r>
    </w:p>
    <w:p w14:paraId="7EF59508"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c) </w:t>
      </w:r>
      <w:r w:rsidRPr="007A14A9">
        <w:rPr>
          <w:rFonts w:eastAsia="MS Mincho"/>
          <w:szCs w:val="24"/>
        </w:rPr>
        <w:tab/>
        <w:t xml:space="preserve">výše dvojnásobku neoprávněného prospěchu získaného spácháním tohoto přestupku, je-li možné výši neoprávněného prospěchu zjistit a přesahuje-li takto určená výše pokuty částku 150 000 000 Kč. </w:t>
      </w:r>
    </w:p>
    <w:p w14:paraId="2E63420D"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(3)</w:t>
      </w:r>
      <w:r w:rsidRPr="007A14A9">
        <w:rPr>
          <w:rFonts w:eastAsia="MS Mincho"/>
          <w:szCs w:val="24"/>
        </w:rPr>
        <w:tab/>
        <w:t>Za přestupek podle odstavce 1 lze namísto pokuty nebo spolu s pokutou nařídit uveřejnění informace o tom, jaká je povaha protiprávního jednání a která osoba takto jednala.</w:t>
      </w:r>
    </w:p>
    <w:p w14:paraId="30E9C72A" w14:textId="77777777" w:rsidR="007A14A9" w:rsidRPr="007A14A9" w:rsidRDefault="007A14A9" w:rsidP="007A14A9">
      <w:pPr>
        <w:keepNext/>
        <w:keepLines/>
        <w:spacing w:before="0"/>
        <w:ind w:firstLine="0"/>
        <w:jc w:val="center"/>
        <w:rPr>
          <w:rFonts w:eastAsia="MS Mincho"/>
          <w:color w:val="000000"/>
          <w:szCs w:val="24"/>
        </w:rPr>
      </w:pPr>
    </w:p>
    <w:p w14:paraId="138A52F4" w14:textId="77777777" w:rsidR="007A14A9" w:rsidRPr="007A14A9" w:rsidRDefault="007A14A9" w:rsidP="007A14A9">
      <w:pPr>
        <w:keepNext/>
        <w:keepLines/>
        <w:spacing w:before="0"/>
        <w:ind w:firstLine="0"/>
        <w:jc w:val="center"/>
        <w:rPr>
          <w:rFonts w:eastAsia="MS Mincho"/>
          <w:color w:val="000000"/>
          <w:szCs w:val="24"/>
        </w:rPr>
      </w:pPr>
      <w:r w:rsidRPr="007A14A9">
        <w:rPr>
          <w:rFonts w:eastAsia="MS Mincho"/>
          <w:color w:val="000000"/>
          <w:szCs w:val="24"/>
        </w:rPr>
        <w:t>§ 633</w:t>
      </w:r>
    </w:p>
    <w:p w14:paraId="3C9D1310" w14:textId="77777777" w:rsidR="007A14A9" w:rsidRPr="007A14A9" w:rsidRDefault="007A14A9" w:rsidP="007A14A9">
      <w:pPr>
        <w:keepNext/>
        <w:keepLines/>
        <w:spacing w:before="0"/>
        <w:ind w:firstLine="0"/>
        <w:jc w:val="center"/>
        <w:rPr>
          <w:rFonts w:eastAsia="MS Mincho"/>
          <w:color w:val="000000"/>
          <w:szCs w:val="24"/>
        </w:rPr>
      </w:pPr>
    </w:p>
    <w:p w14:paraId="70F11E08" w14:textId="77777777" w:rsidR="007A14A9" w:rsidRPr="007A14A9" w:rsidRDefault="007A14A9" w:rsidP="007A14A9">
      <w:pPr>
        <w:keepNext/>
        <w:keepLines/>
        <w:spacing w:before="0"/>
        <w:ind w:firstLine="0"/>
        <w:jc w:val="center"/>
        <w:rPr>
          <w:rFonts w:eastAsia="MS Mincho"/>
          <w:b/>
          <w:color w:val="000000"/>
          <w:szCs w:val="24"/>
        </w:rPr>
      </w:pPr>
      <w:r w:rsidRPr="007A14A9">
        <w:rPr>
          <w:rFonts w:eastAsia="MS Mincho"/>
          <w:b/>
          <w:color w:val="000000"/>
          <w:szCs w:val="24"/>
        </w:rPr>
        <w:t xml:space="preserve">Majetek a dluhy investičního fondu ve vztahu k podílovému fondu, </w:t>
      </w:r>
      <w:proofErr w:type="spellStart"/>
      <w:r w:rsidRPr="007A14A9">
        <w:rPr>
          <w:rFonts w:eastAsia="MS Mincho"/>
          <w:b/>
          <w:color w:val="000000"/>
          <w:szCs w:val="24"/>
        </w:rPr>
        <w:t>svěřenskému</w:t>
      </w:r>
      <w:proofErr w:type="spellEnd"/>
      <w:r w:rsidRPr="007A14A9">
        <w:rPr>
          <w:rFonts w:eastAsia="MS Mincho"/>
          <w:b/>
          <w:color w:val="000000"/>
          <w:szCs w:val="24"/>
        </w:rPr>
        <w:t xml:space="preserve"> fondu a </w:t>
      </w:r>
      <w:proofErr w:type="spellStart"/>
      <w:r w:rsidRPr="007A14A9">
        <w:rPr>
          <w:rFonts w:eastAsia="MS Mincho"/>
          <w:b/>
          <w:color w:val="000000"/>
          <w:szCs w:val="24"/>
        </w:rPr>
        <w:t>podfondu</w:t>
      </w:r>
      <w:proofErr w:type="spellEnd"/>
    </w:p>
    <w:p w14:paraId="6D1A1536" w14:textId="77777777" w:rsidR="007A14A9" w:rsidRPr="007A14A9" w:rsidRDefault="007A14A9" w:rsidP="007A14A9">
      <w:pPr>
        <w:numPr>
          <w:ilvl w:val="2"/>
          <w:numId w:val="0"/>
        </w:numPr>
        <w:tabs>
          <w:tab w:val="num" w:pos="783"/>
          <w:tab w:val="left" w:pos="851"/>
        </w:tabs>
        <w:spacing w:before="120" w:after="120"/>
        <w:ind w:left="1" w:firstLine="425"/>
        <w:outlineLvl w:val="6"/>
        <w:rPr>
          <w:rFonts w:eastAsia="MS Mincho"/>
          <w:strike/>
        </w:rPr>
      </w:pPr>
      <w:r w:rsidRPr="007A14A9">
        <w:rPr>
          <w:rFonts w:eastAsia="MS Mincho"/>
          <w:strike/>
        </w:rPr>
        <w:t xml:space="preserve">Používá-li tento zákon nebo jiný právní předpis pojem „majetek investičního fondu“, rozumí se jím ve vztahu k podílovému fondu majetek v tomto podílovém fondu, ve vztahu ke </w:t>
      </w:r>
      <w:proofErr w:type="spellStart"/>
      <w:r w:rsidRPr="007A14A9">
        <w:rPr>
          <w:rFonts w:eastAsia="MS Mincho"/>
          <w:strike/>
        </w:rPr>
        <w:t>svěřenskému</w:t>
      </w:r>
      <w:proofErr w:type="spellEnd"/>
      <w:r w:rsidRPr="007A14A9">
        <w:rPr>
          <w:rFonts w:eastAsia="MS Mincho"/>
          <w:strike/>
        </w:rPr>
        <w:t xml:space="preserve"> fondu majetek v tomto </w:t>
      </w:r>
      <w:proofErr w:type="spellStart"/>
      <w:r w:rsidRPr="007A14A9">
        <w:rPr>
          <w:rFonts w:eastAsia="MS Mincho"/>
          <w:strike/>
        </w:rPr>
        <w:t>svěřenském</w:t>
      </w:r>
      <w:proofErr w:type="spellEnd"/>
      <w:r w:rsidRPr="007A14A9">
        <w:rPr>
          <w:rFonts w:eastAsia="MS Mincho"/>
          <w:strike/>
        </w:rPr>
        <w:t xml:space="preserve"> fondu a, ve vztahu k </w:t>
      </w:r>
      <w:proofErr w:type="spellStart"/>
      <w:r w:rsidRPr="007A14A9">
        <w:rPr>
          <w:rFonts w:eastAsia="MS Mincho"/>
          <w:strike/>
        </w:rPr>
        <w:t>podfondu</w:t>
      </w:r>
      <w:proofErr w:type="spellEnd"/>
      <w:r w:rsidRPr="007A14A9">
        <w:rPr>
          <w:rFonts w:eastAsia="MS Mincho"/>
          <w:strike/>
        </w:rPr>
        <w:t xml:space="preserve"> majetek v tomto </w:t>
      </w:r>
      <w:proofErr w:type="spellStart"/>
      <w:r w:rsidRPr="007A14A9">
        <w:rPr>
          <w:rFonts w:eastAsia="MS Mincho"/>
          <w:strike/>
        </w:rPr>
        <w:t>podfondu</w:t>
      </w:r>
      <w:proofErr w:type="spellEnd"/>
      <w:r w:rsidRPr="007A14A9">
        <w:rPr>
          <w:rFonts w:eastAsia="MS Mincho"/>
          <w:strike/>
        </w:rPr>
        <w:t>.</w:t>
      </w:r>
    </w:p>
    <w:p w14:paraId="1CAC9FA5" w14:textId="77777777" w:rsidR="007A14A9" w:rsidRPr="007A14A9" w:rsidRDefault="007A14A9" w:rsidP="007A14A9">
      <w:pPr>
        <w:tabs>
          <w:tab w:val="left" w:pos="782"/>
          <w:tab w:val="left" w:pos="851"/>
        </w:tabs>
        <w:spacing w:before="120" w:after="120"/>
        <w:outlineLvl w:val="6"/>
        <w:rPr>
          <w:rFonts w:eastAsia="MS Mincho"/>
          <w:b/>
          <w:color w:val="000000"/>
          <w:szCs w:val="24"/>
        </w:rPr>
      </w:pPr>
      <w:r w:rsidRPr="007A14A9">
        <w:rPr>
          <w:rFonts w:eastAsia="MS Mincho"/>
          <w:b/>
        </w:rPr>
        <w:t xml:space="preserve">(1) </w:t>
      </w:r>
      <w:r w:rsidRPr="007A14A9">
        <w:rPr>
          <w:rFonts w:eastAsia="MS Mincho"/>
          <w:b/>
          <w:color w:val="000000"/>
          <w:szCs w:val="24"/>
        </w:rPr>
        <w:t xml:space="preserve">Používá-li tento zákon nebo jiný právní předpis pojem „majetek investičního fondu“, rozumí se jím ve vztahu k podílovému fondu aktiva v tomto podílovém fondu, ve vztahu ke </w:t>
      </w:r>
      <w:proofErr w:type="spellStart"/>
      <w:r w:rsidRPr="007A14A9">
        <w:rPr>
          <w:rFonts w:eastAsia="MS Mincho"/>
          <w:b/>
          <w:color w:val="000000"/>
          <w:szCs w:val="24"/>
        </w:rPr>
        <w:t>svěřenskému</w:t>
      </w:r>
      <w:proofErr w:type="spellEnd"/>
      <w:r w:rsidRPr="007A14A9">
        <w:rPr>
          <w:rFonts w:eastAsia="MS Mincho"/>
          <w:b/>
          <w:color w:val="000000"/>
          <w:szCs w:val="24"/>
        </w:rPr>
        <w:t xml:space="preserve"> fondu aktiva v tomto </w:t>
      </w:r>
      <w:proofErr w:type="spellStart"/>
      <w:r w:rsidRPr="007A14A9">
        <w:rPr>
          <w:rFonts w:eastAsia="MS Mincho"/>
          <w:b/>
          <w:color w:val="000000"/>
          <w:szCs w:val="24"/>
        </w:rPr>
        <w:t>svěřenském</w:t>
      </w:r>
      <w:proofErr w:type="spellEnd"/>
      <w:r w:rsidRPr="007A14A9">
        <w:rPr>
          <w:rFonts w:eastAsia="MS Mincho"/>
          <w:b/>
          <w:color w:val="000000"/>
          <w:szCs w:val="24"/>
        </w:rPr>
        <w:t xml:space="preserve"> fondu, ve vztahu k  </w:t>
      </w:r>
      <w:proofErr w:type="spellStart"/>
      <w:r w:rsidRPr="007A14A9">
        <w:rPr>
          <w:rFonts w:eastAsia="MS Mincho"/>
          <w:b/>
          <w:color w:val="000000"/>
          <w:szCs w:val="24"/>
        </w:rPr>
        <w:t>podfondu</w:t>
      </w:r>
      <w:proofErr w:type="spellEnd"/>
      <w:r w:rsidRPr="007A14A9">
        <w:rPr>
          <w:rFonts w:eastAsia="MS Mincho"/>
          <w:b/>
          <w:color w:val="000000"/>
          <w:szCs w:val="24"/>
        </w:rPr>
        <w:t xml:space="preserve"> </w:t>
      </w:r>
      <w:r w:rsidRPr="007A14A9">
        <w:rPr>
          <w:rFonts w:eastAsia="MS Mincho"/>
          <w:b/>
          <w:color w:val="000000"/>
          <w:szCs w:val="24"/>
        </w:rPr>
        <w:lastRenderedPageBreak/>
        <w:t xml:space="preserve">aktiva v tomto </w:t>
      </w:r>
      <w:proofErr w:type="spellStart"/>
      <w:r w:rsidRPr="007A14A9">
        <w:rPr>
          <w:rFonts w:eastAsia="MS Mincho"/>
          <w:b/>
          <w:color w:val="000000"/>
          <w:szCs w:val="24"/>
        </w:rPr>
        <w:t>podfondu</w:t>
      </w:r>
      <w:proofErr w:type="spellEnd"/>
      <w:r w:rsidRPr="007A14A9">
        <w:rPr>
          <w:rFonts w:eastAsia="MS Mincho"/>
          <w:b/>
          <w:color w:val="000000"/>
          <w:szCs w:val="24"/>
        </w:rPr>
        <w:t xml:space="preserve"> a ve vztahu k investičnímu fondu s právní osobností aktiva tohoto fondu.</w:t>
      </w:r>
    </w:p>
    <w:p w14:paraId="25754D7E" w14:textId="77777777" w:rsidR="007A14A9" w:rsidRPr="007A14A9" w:rsidRDefault="007A14A9" w:rsidP="007A14A9">
      <w:pPr>
        <w:tabs>
          <w:tab w:val="left" w:pos="782"/>
          <w:tab w:val="left" w:pos="851"/>
        </w:tabs>
        <w:spacing w:before="120" w:after="120"/>
        <w:outlineLvl w:val="6"/>
        <w:rPr>
          <w:rFonts w:eastAsia="MS Mincho"/>
          <w:color w:val="000000"/>
          <w:szCs w:val="24"/>
        </w:rPr>
      </w:pPr>
      <w:r w:rsidRPr="007A14A9">
        <w:rPr>
          <w:rFonts w:eastAsia="MS Mincho"/>
          <w:color w:val="000000"/>
          <w:szCs w:val="24"/>
        </w:rPr>
        <w:t xml:space="preserve">(2) Používá-li tento zákon nebo jiný právní předpis pojem „dluhy investičního fondu“, rozumí se jím ve vztahu k podílovému fondu dluhy </w:t>
      </w:r>
      <w:r w:rsidRPr="007A14A9">
        <w:rPr>
          <w:rFonts w:eastAsia="MS Mincho"/>
          <w:b/>
          <w:color w:val="000000"/>
          <w:szCs w:val="24"/>
        </w:rPr>
        <w:t xml:space="preserve">podle zákona upravujícího účetnictví </w:t>
      </w:r>
      <w:r w:rsidRPr="007A14A9">
        <w:rPr>
          <w:rFonts w:eastAsia="MS Mincho"/>
          <w:color w:val="000000"/>
          <w:szCs w:val="24"/>
        </w:rPr>
        <w:t xml:space="preserve">v tomto podílovém fondu, ve vztahu ke </w:t>
      </w:r>
      <w:proofErr w:type="spellStart"/>
      <w:r w:rsidRPr="007A14A9">
        <w:rPr>
          <w:rFonts w:eastAsia="MS Mincho"/>
          <w:color w:val="000000"/>
          <w:szCs w:val="24"/>
        </w:rPr>
        <w:t>svěřenskému</w:t>
      </w:r>
      <w:proofErr w:type="spellEnd"/>
      <w:r w:rsidRPr="007A14A9">
        <w:rPr>
          <w:rFonts w:eastAsia="MS Mincho"/>
          <w:color w:val="000000"/>
          <w:szCs w:val="24"/>
        </w:rPr>
        <w:t xml:space="preserve"> fondu dluhy </w:t>
      </w:r>
      <w:r w:rsidRPr="007A14A9">
        <w:rPr>
          <w:rFonts w:eastAsia="MS Mincho"/>
          <w:b/>
          <w:color w:val="000000"/>
          <w:szCs w:val="24"/>
        </w:rPr>
        <w:t xml:space="preserve">podle zákona upravujícího účetnictví </w:t>
      </w:r>
      <w:r w:rsidRPr="007A14A9">
        <w:rPr>
          <w:rFonts w:eastAsia="MS Mincho"/>
          <w:color w:val="000000"/>
          <w:szCs w:val="24"/>
        </w:rPr>
        <w:t xml:space="preserve">v tomto </w:t>
      </w:r>
      <w:proofErr w:type="spellStart"/>
      <w:r w:rsidRPr="007A14A9">
        <w:rPr>
          <w:rFonts w:eastAsia="MS Mincho"/>
          <w:color w:val="000000"/>
          <w:szCs w:val="24"/>
        </w:rPr>
        <w:t>svěřenském</w:t>
      </w:r>
      <w:proofErr w:type="spellEnd"/>
      <w:r w:rsidRPr="007A14A9">
        <w:rPr>
          <w:rFonts w:eastAsia="MS Mincho"/>
          <w:color w:val="000000"/>
          <w:szCs w:val="24"/>
        </w:rPr>
        <w:t xml:space="preserve"> fondu a ve vztahu k </w:t>
      </w:r>
      <w:proofErr w:type="spellStart"/>
      <w:r w:rsidRPr="007A14A9">
        <w:rPr>
          <w:rFonts w:eastAsia="MS Mincho"/>
          <w:color w:val="000000"/>
          <w:szCs w:val="24"/>
        </w:rPr>
        <w:t>podfondu</w:t>
      </w:r>
      <w:proofErr w:type="spellEnd"/>
      <w:r w:rsidRPr="007A14A9">
        <w:rPr>
          <w:rFonts w:eastAsia="MS Mincho"/>
          <w:color w:val="000000"/>
          <w:szCs w:val="24"/>
        </w:rPr>
        <w:t xml:space="preserve"> dluhy </w:t>
      </w:r>
      <w:r w:rsidRPr="007A14A9">
        <w:rPr>
          <w:rFonts w:eastAsia="MS Mincho"/>
          <w:b/>
          <w:color w:val="000000"/>
          <w:szCs w:val="24"/>
        </w:rPr>
        <w:t xml:space="preserve">podle zákona upravujícího účetnictví </w:t>
      </w:r>
      <w:r w:rsidRPr="007A14A9">
        <w:rPr>
          <w:rFonts w:eastAsia="MS Mincho"/>
          <w:color w:val="000000"/>
          <w:szCs w:val="24"/>
        </w:rPr>
        <w:t xml:space="preserve">v tomto </w:t>
      </w:r>
      <w:proofErr w:type="spellStart"/>
      <w:r w:rsidRPr="007A14A9">
        <w:rPr>
          <w:rFonts w:eastAsia="MS Mincho"/>
          <w:color w:val="000000"/>
          <w:szCs w:val="24"/>
        </w:rPr>
        <w:t>podfondu</w:t>
      </w:r>
      <w:proofErr w:type="spellEnd"/>
      <w:r w:rsidRPr="007A14A9">
        <w:rPr>
          <w:rFonts w:eastAsia="MS Mincho"/>
          <w:color w:val="000000"/>
          <w:szCs w:val="24"/>
        </w:rPr>
        <w:t xml:space="preserve"> </w:t>
      </w:r>
      <w:r w:rsidRPr="007A14A9">
        <w:rPr>
          <w:rFonts w:eastAsia="MS Mincho"/>
          <w:b/>
          <w:color w:val="000000"/>
          <w:szCs w:val="24"/>
        </w:rPr>
        <w:t>a ve vztahu k investičnímu fondu s právní osobností dluhy tohoto fondu podle zákona upravujícího účetnictví</w:t>
      </w:r>
      <w:r w:rsidRPr="007A14A9">
        <w:rPr>
          <w:rFonts w:eastAsia="MS Mincho"/>
          <w:color w:val="000000"/>
          <w:szCs w:val="24"/>
        </w:rPr>
        <w:t>.</w:t>
      </w:r>
    </w:p>
    <w:p w14:paraId="202A985E" w14:textId="26704EA1" w:rsidR="007A14A9" w:rsidRPr="007A14A9" w:rsidRDefault="007A14A9" w:rsidP="00A8359A">
      <w:pPr>
        <w:keepNext/>
        <w:keepLines/>
        <w:ind w:firstLine="0"/>
        <w:jc w:val="center"/>
        <w:outlineLvl w:val="5"/>
      </w:pPr>
      <w:r w:rsidRPr="007A14A9">
        <w:t>§ 638</w:t>
      </w:r>
    </w:p>
    <w:p w14:paraId="1D240D77" w14:textId="77777777" w:rsidR="007A14A9" w:rsidRPr="007A14A9" w:rsidRDefault="007A14A9" w:rsidP="007A14A9">
      <w:pPr>
        <w:keepNext/>
        <w:keepLines/>
        <w:ind w:firstLine="0"/>
        <w:jc w:val="center"/>
        <w:outlineLvl w:val="5"/>
        <w:rPr>
          <w:b/>
        </w:rPr>
      </w:pPr>
      <w:r w:rsidRPr="007A14A9">
        <w:rPr>
          <w:b/>
        </w:rPr>
        <w:t>Jazyk</w:t>
      </w:r>
    </w:p>
    <w:p w14:paraId="0B25545E"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(1) Vyžaduje-li tento zákon uveřejňování, poskytování nebo zpřístupňování dokumentů a jiných informací, uveřejňují se, poskytují se nebo zpřístupňují se tyto informace v českém jazyce, ledaže tento zákon stanoví jinak.</w:t>
      </w:r>
    </w:p>
    <w:p w14:paraId="32224E3A"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(2) Vyžaduje-li nebo povoluje-li tento zákon uveřejnění, poskytnutí nebo zpřístupnění dokumentů a jiných informací na internetových stránkách, musejí být tyto dokumenty nebo jiné informace na těchto internetových stránkách uveřejněny, poskytnuty nebo zpřístupněny nejméně po dobu 3 let ode dne, kdy tento dokument nebo jiná informace přestane být aktuální, ledaže tento zákon stanoví jinak. Pro určení toho, zda lze oznámení a údaje podle </w:t>
      </w:r>
      <w:hyperlink r:id="rId715" w:history="1">
        <w:r w:rsidRPr="007A14A9">
          <w:rPr>
            <w:rFonts w:eastAsia="MS Mincho"/>
            <w:szCs w:val="24"/>
          </w:rPr>
          <w:t>§ 249 odst. 1</w:t>
        </w:r>
      </w:hyperlink>
      <w:r w:rsidRPr="007A14A9">
        <w:rPr>
          <w:rFonts w:eastAsia="MS Mincho"/>
          <w:szCs w:val="24"/>
        </w:rPr>
        <w:t xml:space="preserve">, sdělení o splynutí a sdělení o sloučení namísto v listinné podobě poskytnout podílníkovi nebo akcionáři na nosiči informací, který nemá listinnou podobu, a uveřejnit pouze na internetových stránkách dotčeného investičního fondu, se obdobně použijí ustanovení jiného právního předpisu upravujícího podmínky, za nichž lze tímto způsobem poskytnout a uveřejnit sdělení klíčových informací speciálního fondu. </w:t>
      </w:r>
    </w:p>
    <w:p w14:paraId="691FC3C3" w14:textId="77777777" w:rsidR="007A14A9" w:rsidRPr="007A14A9" w:rsidRDefault="007A14A9" w:rsidP="007A14A9">
      <w:pPr>
        <w:tabs>
          <w:tab w:val="left" w:pos="782"/>
          <w:tab w:val="left" w:pos="851"/>
        </w:tabs>
        <w:spacing w:before="120" w:after="120"/>
        <w:outlineLvl w:val="6"/>
        <w:rPr>
          <w:rFonts w:eastAsia="MS Mincho"/>
          <w:szCs w:val="24"/>
        </w:rPr>
      </w:pPr>
      <w:r w:rsidRPr="007A14A9">
        <w:rPr>
          <w:rFonts w:eastAsia="MS Mincho"/>
          <w:szCs w:val="24"/>
        </w:rPr>
        <w:t xml:space="preserve">(3) Česká národní banka může vyhláškou stanovit, aby </w:t>
      </w:r>
    </w:p>
    <w:p w14:paraId="02A5EEA1"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a)</w:t>
      </w:r>
      <w:r w:rsidRPr="007A14A9">
        <w:rPr>
          <w:rFonts w:eastAsia="MS Mincho"/>
          <w:szCs w:val="24"/>
        </w:rPr>
        <w:tab/>
        <w:t xml:space="preserve">sdělení klíčových informací, statut, výroční zpráva </w:t>
      </w:r>
      <w:r w:rsidRPr="007A14A9">
        <w:rPr>
          <w:rFonts w:eastAsia="MS Mincho"/>
          <w:b/>
          <w:szCs w:val="24"/>
        </w:rPr>
        <w:t>investičního fondu</w:t>
      </w:r>
      <w:r w:rsidRPr="007A14A9">
        <w:rPr>
          <w:rFonts w:eastAsia="MS Mincho"/>
          <w:szCs w:val="24"/>
        </w:rPr>
        <w:t xml:space="preserve">, pololetní zpráva investičního fondu nebo srovnatelný dokument zahraničního investičního fondu a </w:t>
      </w:r>
    </w:p>
    <w:p w14:paraId="32C04159" w14:textId="77777777" w:rsidR="007A14A9" w:rsidRPr="007A14A9" w:rsidRDefault="007A14A9" w:rsidP="007A14A9">
      <w:pPr>
        <w:spacing w:before="0"/>
        <w:ind w:left="425" w:hanging="425"/>
        <w:outlineLvl w:val="7"/>
        <w:rPr>
          <w:rFonts w:eastAsia="MS Mincho"/>
          <w:szCs w:val="24"/>
        </w:rPr>
      </w:pPr>
      <w:r w:rsidRPr="007A14A9">
        <w:rPr>
          <w:rFonts w:eastAsia="MS Mincho"/>
          <w:szCs w:val="24"/>
        </w:rPr>
        <w:t xml:space="preserve">b) </w:t>
      </w:r>
      <w:r w:rsidRPr="007A14A9">
        <w:rPr>
          <w:rFonts w:eastAsia="MS Mincho"/>
          <w:szCs w:val="24"/>
        </w:rPr>
        <w:tab/>
        <w:t xml:space="preserve">údaj o částkách, za které se vydávají a odkupují podílové listy nebo investiční akcie vydané investičním fondem, nebo srovnatelný údaj, jde-li o vydávání a odkupování cenných papírů nebo zaknihovaných cenných papírů vydávaných zahraničním investičním fondem, </w:t>
      </w:r>
    </w:p>
    <w:p w14:paraId="1497C948" w14:textId="77777777" w:rsidR="007A14A9" w:rsidRPr="007A14A9" w:rsidRDefault="007A14A9" w:rsidP="007A14A9">
      <w:pPr>
        <w:widowControl w:val="0"/>
        <w:autoSpaceDE w:val="0"/>
        <w:autoSpaceDN w:val="0"/>
        <w:adjustRightInd w:val="0"/>
        <w:spacing w:before="0" w:after="120"/>
        <w:ind w:firstLine="0"/>
        <w:rPr>
          <w:rFonts w:eastAsia="MS Mincho"/>
          <w:szCs w:val="24"/>
        </w:rPr>
      </w:pPr>
      <w:r w:rsidRPr="007A14A9">
        <w:rPr>
          <w:rFonts w:eastAsia="MS Mincho"/>
          <w:szCs w:val="24"/>
        </w:rPr>
        <w:tab/>
        <w:t xml:space="preserve">byly v České republice uveřejněny v jiném než českém jazyce, je-li to v zájmu investorů se sídlem nebo bydlištěm v České republice. </w:t>
      </w:r>
    </w:p>
    <w:p w14:paraId="57695314" w14:textId="1E118063" w:rsidR="00ED521F" w:rsidRDefault="007A14A9" w:rsidP="00A740F3">
      <w:pPr>
        <w:tabs>
          <w:tab w:val="left" w:pos="782"/>
          <w:tab w:val="left" w:pos="851"/>
        </w:tabs>
        <w:spacing w:before="120" w:after="120"/>
        <w:outlineLvl w:val="6"/>
        <w:sectPr w:rsidR="00ED521F" w:rsidSect="00554E2B">
          <w:footnotePr>
            <w:numStart w:val="3"/>
          </w:footnotePr>
          <w:endnotePr>
            <w:numFmt w:val="decimal"/>
          </w:endnotePr>
          <w:pgSz w:w="11906" w:h="16838"/>
          <w:pgMar w:top="1418" w:right="1418" w:bottom="1418" w:left="1418" w:header="709" w:footer="709" w:gutter="0"/>
          <w:cols w:space="708"/>
          <w:docGrid w:linePitch="360"/>
        </w:sectPr>
      </w:pPr>
      <w:r w:rsidRPr="007A14A9">
        <w:rPr>
          <w:rFonts w:eastAsia="MS Mincho"/>
          <w:szCs w:val="24"/>
        </w:rPr>
        <w:t>(4)</w:t>
      </w:r>
      <w:r w:rsidRPr="007A14A9">
        <w:rPr>
          <w:rFonts w:eastAsia="MS Mincho"/>
          <w:szCs w:val="24"/>
        </w:rPr>
        <w:tab/>
        <w:t xml:space="preserve">Je-li ve vztahu ke standardnímu fondu nebo srovnatelnému zahraničnímu investičnímu fondu uveřejněn překlad dokumentu, uvedeného v odstavci 3 písm. a), nahradí administrátor tohoto fondu újmu vzniklou z jeho nesprávného nebo neúplného překladu; to neplatí pro uveřejnění podle </w:t>
      </w:r>
      <w:hyperlink r:id="rId716" w:history="1">
        <w:r w:rsidRPr="007A14A9">
          <w:rPr>
            <w:rFonts w:eastAsia="MS Mincho"/>
            <w:szCs w:val="24"/>
          </w:rPr>
          <w:t>§ 598 odst. 3</w:t>
        </w:r>
      </w:hyperlink>
      <w:r w:rsidRPr="007A14A9">
        <w:rPr>
          <w:rFonts w:eastAsia="MS Mincho"/>
          <w:szCs w:val="24"/>
        </w:rPr>
        <w:t>.</w:t>
      </w:r>
    </w:p>
    <w:p w14:paraId="5EBC1AA6" w14:textId="506133A0" w:rsidR="00ED521F" w:rsidRPr="008A2E16" w:rsidRDefault="00ED521F" w:rsidP="005D3450">
      <w:pPr>
        <w:tabs>
          <w:tab w:val="left" w:pos="851"/>
        </w:tabs>
        <w:spacing w:before="120" w:after="120"/>
        <w:ind w:firstLine="0"/>
        <w:jc w:val="center"/>
        <w:outlineLvl w:val="0"/>
        <w:rPr>
          <w:szCs w:val="24"/>
        </w:rPr>
      </w:pPr>
      <w:r w:rsidRPr="008A2E16">
        <w:rPr>
          <w:b/>
          <w:szCs w:val="24"/>
        </w:rPr>
        <w:lastRenderedPageBreak/>
        <w:t xml:space="preserve">K části sté </w:t>
      </w:r>
      <w:r w:rsidR="00635DDD">
        <w:rPr>
          <w:b/>
          <w:szCs w:val="24"/>
        </w:rPr>
        <w:t>šestnácté</w:t>
      </w:r>
      <w:r w:rsidRPr="008A2E16">
        <w:rPr>
          <w:b/>
          <w:szCs w:val="24"/>
        </w:rPr>
        <w:t xml:space="preserve"> návrhu zákona – </w:t>
      </w:r>
      <w:r w:rsidRPr="008A2E16">
        <w:rPr>
          <w:szCs w:val="24"/>
        </w:rPr>
        <w:t>změna zákona</w:t>
      </w:r>
      <w:r w:rsidRPr="008A2E16">
        <w:t xml:space="preserve"> </w:t>
      </w:r>
      <w:r w:rsidRPr="008A2E16">
        <w:rPr>
          <w:szCs w:val="24"/>
        </w:rPr>
        <w:t xml:space="preserve">o veřejných rejstřících právnických a fyzických osob a o evidenci </w:t>
      </w:r>
      <w:proofErr w:type="spellStart"/>
      <w:r w:rsidRPr="008A2E16">
        <w:rPr>
          <w:szCs w:val="24"/>
        </w:rPr>
        <w:t>svěřenských</w:t>
      </w:r>
      <w:proofErr w:type="spellEnd"/>
      <w:r w:rsidRPr="008A2E16">
        <w:rPr>
          <w:szCs w:val="24"/>
        </w:rPr>
        <w:t xml:space="preserve"> fondů</w:t>
      </w:r>
    </w:p>
    <w:p w14:paraId="715743AB" w14:textId="35E75FC6" w:rsidR="00ED521F" w:rsidRPr="008A2E16" w:rsidRDefault="00ED521F" w:rsidP="00ED521F">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8A2E16">
        <w:rPr>
          <w:b/>
          <w:szCs w:val="24"/>
        </w:rPr>
        <w:t>Platné znění</w:t>
      </w:r>
      <w:r w:rsidRPr="008A2E16">
        <w:rPr>
          <w:szCs w:val="24"/>
        </w:rPr>
        <w:t xml:space="preserve"> zákona č. 304/2013 Sb., o veřejných rejstřících právnických a fyzických osob a o evidenci </w:t>
      </w:r>
      <w:proofErr w:type="spellStart"/>
      <w:r w:rsidRPr="008A2E16">
        <w:rPr>
          <w:szCs w:val="24"/>
        </w:rPr>
        <w:t>svěřenských</w:t>
      </w:r>
      <w:proofErr w:type="spellEnd"/>
      <w:r w:rsidRPr="008A2E16">
        <w:rPr>
          <w:szCs w:val="24"/>
        </w:rPr>
        <w:t xml:space="preserve"> fondů</w:t>
      </w:r>
    </w:p>
    <w:p w14:paraId="5507EEAC" w14:textId="77777777" w:rsidR="005D3450" w:rsidRPr="005D3450" w:rsidRDefault="005D3450" w:rsidP="005D3450">
      <w:pPr>
        <w:pStyle w:val="Odstavecseseznamem"/>
        <w:numPr>
          <w:ilvl w:val="0"/>
          <w:numId w:val="27"/>
        </w:numPr>
        <w:pBdr>
          <w:top w:val="single" w:sz="12" w:space="6" w:color="auto"/>
          <w:left w:val="single" w:sz="12" w:space="0" w:color="auto"/>
          <w:bottom w:val="single" w:sz="12" w:space="6" w:color="auto"/>
          <w:right w:val="single" w:sz="12" w:space="0" w:color="auto"/>
        </w:pBdr>
        <w:spacing w:after="120"/>
        <w:jc w:val="center"/>
        <w:rPr>
          <w:b/>
          <w:szCs w:val="24"/>
          <w:lang w:eastAsia="en-US"/>
        </w:rPr>
      </w:pPr>
      <w:r w:rsidRPr="005D3450">
        <w:rPr>
          <w:b/>
          <w:szCs w:val="24"/>
          <w:lang w:eastAsia="en-US"/>
        </w:rPr>
        <w:t>s vyznačením navrhovaných změn a doplnění k 1. lednu 2025</w:t>
      </w:r>
      <w:r w:rsidRPr="00181A4A">
        <w:t xml:space="preserve"> </w:t>
      </w:r>
    </w:p>
    <w:p w14:paraId="51775FFE" w14:textId="77777777" w:rsidR="00ED521F" w:rsidRPr="008A2E16" w:rsidRDefault="00ED521F" w:rsidP="00BB4E60">
      <w:pPr>
        <w:pStyle w:val="Textparagrafu"/>
        <w:numPr>
          <w:ilvl w:val="0"/>
          <w:numId w:val="27"/>
        </w:numPr>
        <w:tabs>
          <w:tab w:val="left" w:pos="392"/>
          <w:tab w:val="left" w:pos="840"/>
        </w:tabs>
        <w:spacing w:after="120"/>
        <w:jc w:val="center"/>
      </w:pPr>
      <w:r w:rsidRPr="008A2E16">
        <w:t>***</w:t>
      </w:r>
    </w:p>
    <w:p w14:paraId="16E5835F" w14:textId="77777777" w:rsidR="00BB4E60" w:rsidRDefault="00BB4E60" w:rsidP="00992796">
      <w:pPr>
        <w:pStyle w:val="Textodstavce"/>
        <w:keepNext/>
        <w:keepLines/>
        <w:numPr>
          <w:ilvl w:val="0"/>
          <w:numId w:val="45"/>
        </w:numPr>
        <w:tabs>
          <w:tab w:val="left" w:pos="420"/>
        </w:tabs>
        <w:spacing w:before="240"/>
        <w:jc w:val="center"/>
      </w:pPr>
      <w:r>
        <w:t>§ 66</w:t>
      </w:r>
    </w:p>
    <w:p w14:paraId="7DED8AA8" w14:textId="77777777" w:rsidR="00BB4E60" w:rsidRPr="00BB4E60" w:rsidRDefault="00BB4E60" w:rsidP="00F01618">
      <w:pPr>
        <w:pStyle w:val="Odstavec"/>
        <w:tabs>
          <w:tab w:val="left" w:pos="420"/>
        </w:tabs>
        <w:spacing w:before="240"/>
        <w:ind w:firstLine="426"/>
      </w:pPr>
      <w:r w:rsidRPr="00BB4E60">
        <w:t>Sbírka listin obsahuje</w:t>
      </w:r>
    </w:p>
    <w:p w14:paraId="1CED433F" w14:textId="77777777" w:rsidR="00BB4E60" w:rsidRPr="00BB4E60" w:rsidRDefault="00BB4E60" w:rsidP="00635DDD">
      <w:pPr>
        <w:pStyle w:val="Psmeno"/>
        <w:tabs>
          <w:tab w:val="left" w:pos="420"/>
          <w:tab w:val="left" w:pos="851"/>
        </w:tabs>
        <w:spacing w:before="0"/>
        <w:ind w:left="426" w:hanging="426"/>
      </w:pPr>
      <w:r w:rsidRPr="00BB4E60">
        <w:t>a)</w:t>
      </w:r>
      <w:r w:rsidRPr="00BB4E60">
        <w:tab/>
        <w:t xml:space="preserve">zakladatelské právní jednání právnické osoby, statut nadace, statut nadačního fondu nebo ústavu, je-li vydán, statut </w:t>
      </w:r>
      <w:proofErr w:type="spellStart"/>
      <w:r w:rsidRPr="00BB4E60">
        <w:t>svěřenského</w:t>
      </w:r>
      <w:proofErr w:type="spellEnd"/>
      <w:r w:rsidRPr="00BB4E60">
        <w:t xml:space="preserve"> fondu, veřejnou listinu o osvědčení průběhu ustavující schůze družstva a o rozhodnutí ustavující schůze družstva o přijetí stanov, stanovy družstva, stanovy spolku, usnesení ustavující schůze spolku, byl-li spolek založen usnesením ustavující schůze, rozhodnutí příslušného orgánu spolku o založení, zrušení nebo přeměně pobočného spolku, stanovy odborové organizace, mezinárodní odborové organizace, organizace zaměstnavatelů nebo mezinárodní organizace zaměstnavatelů a oznámení o založení odborové organizace, mezinárodní odborové organizace, organizace zaměstnavatelů nebo mezinárodní organizace zaměstnavatelů, a jejich pozdější změny; po každé změně musí být uloženo také jejich platné úplné znění,</w:t>
      </w:r>
    </w:p>
    <w:p w14:paraId="5539973C" w14:textId="77777777" w:rsidR="00BB4E60" w:rsidRPr="00BB4E60" w:rsidRDefault="00BB4E60" w:rsidP="00635DDD">
      <w:pPr>
        <w:pStyle w:val="Psmeno"/>
        <w:tabs>
          <w:tab w:val="left" w:pos="420"/>
          <w:tab w:val="left" w:pos="851"/>
        </w:tabs>
        <w:spacing w:before="0"/>
        <w:ind w:left="426" w:hanging="426"/>
      </w:pPr>
      <w:r w:rsidRPr="00BB4E60">
        <w:t>b)</w:t>
      </w:r>
      <w:r w:rsidRPr="00BB4E60">
        <w:tab/>
        <w:t>rozhodnutí o volbě nebo jmenování, odvolání nebo doklad o jiném ukončení funkce osob, které jsou členem statutárního orgánu, likvidátorem, insolvenčním správcem nebo vedoucím odštěpného závodu nebo které jako zákonem upravený orgán nebo jako jeho členové jsou oprávněny zavazovat právnickou osobu nebo ji zastupovat před soudem nebo se takto podílejí na řízení nebo kontrole právnické osoby a rozhodnutí o ručení člena orgánu při úpadku obchodní korporace podle zákona upravujícího právní poměry obchodních společností a družstev</w:t>
      </w:r>
      <w:r w:rsidRPr="00BB4E60">
        <w:rPr>
          <w:vertAlign w:val="superscript"/>
        </w:rPr>
        <w:t>7)</w:t>
      </w:r>
      <w:r w:rsidRPr="00BB4E60">
        <w:t xml:space="preserve">, rozhodnutí o jmenování, odvolání nebo doklad o jiném ukončení funkce </w:t>
      </w:r>
      <w:proofErr w:type="spellStart"/>
      <w:r w:rsidRPr="00BB4E60">
        <w:t>svěřenského</w:t>
      </w:r>
      <w:proofErr w:type="spellEnd"/>
      <w:r w:rsidRPr="00BB4E60">
        <w:t xml:space="preserve"> správce,</w:t>
      </w:r>
    </w:p>
    <w:p w14:paraId="1D6BC05A" w14:textId="77777777" w:rsidR="00BB4E60" w:rsidRPr="00BB4E60" w:rsidRDefault="00BB4E60" w:rsidP="00635DDD">
      <w:pPr>
        <w:pStyle w:val="Textpsmene"/>
        <w:tabs>
          <w:tab w:val="left" w:pos="420"/>
          <w:tab w:val="left" w:pos="851"/>
        </w:tabs>
        <w:spacing w:before="0"/>
        <w:ind w:left="426" w:hanging="426"/>
        <w:rPr>
          <w:strike/>
        </w:rPr>
      </w:pPr>
      <w:r w:rsidRPr="00BB4E60">
        <w:rPr>
          <w:strike/>
        </w:rPr>
        <w:t>c)</w:t>
      </w:r>
      <w:r w:rsidRPr="00BB4E60">
        <w:rPr>
          <w:strike/>
        </w:rPr>
        <w:tab/>
        <w:t>výroční zprávy nebo výroční finanční zprávy, řádné, mimořádné a konsolidované účetní závěrky, nejsou-li součástí výroční zprávy nebo výroční finanční zprávy, stanoví-li povinnost jejich uložení do sbírky listin zákon upravující účetnictví osob a vyžaduje-li jejich vyhotovení jiný zákon, návrh rozdělení zisku nebo jiných</w:t>
      </w:r>
      <w:r w:rsidRPr="00BB4E60">
        <w:t xml:space="preserve"> </w:t>
      </w:r>
      <w:r w:rsidRPr="00BB4E60">
        <w:rPr>
          <w:strike/>
        </w:rPr>
        <w:t>vlastních zdrojů</w:t>
      </w:r>
      <w:r w:rsidRPr="00BB4E60">
        <w:t xml:space="preserve"> </w:t>
      </w:r>
      <w:r w:rsidRPr="00BB4E60">
        <w:rPr>
          <w:strike/>
        </w:rPr>
        <w:t>anebo vypořádání ztráty a jejich konečnou podobu,</w:t>
      </w:r>
      <w:r w:rsidRPr="00BB4E60">
        <w:t xml:space="preserve"> </w:t>
      </w:r>
      <w:r w:rsidRPr="00BB4E60">
        <w:rPr>
          <w:strike/>
        </w:rPr>
        <w:t>nejsou-li součástí účetní závěrky, a zprávu auditora o ověření účetní závěrky,</w:t>
      </w:r>
    </w:p>
    <w:p w14:paraId="49BEF138" w14:textId="77777777" w:rsidR="00BB4E60" w:rsidRPr="00BB4E60" w:rsidRDefault="00BB4E60" w:rsidP="00635DDD">
      <w:pPr>
        <w:pStyle w:val="Textpsmene"/>
        <w:tabs>
          <w:tab w:val="left" w:pos="420"/>
          <w:tab w:val="left" w:pos="851"/>
        </w:tabs>
        <w:spacing w:before="0"/>
        <w:ind w:left="426" w:hanging="426"/>
        <w:rPr>
          <w:b/>
          <w:bCs/>
        </w:rPr>
      </w:pPr>
      <w:r w:rsidRPr="00BB4E60">
        <w:rPr>
          <w:b/>
          <w:bCs/>
        </w:rPr>
        <w:t>c)</w:t>
      </w:r>
      <w:r w:rsidRPr="00BB4E60">
        <w:rPr>
          <w:b/>
          <w:bCs/>
        </w:rPr>
        <w:tab/>
        <w:t xml:space="preserve">účetní závěrky, zprávy podle zákona upravujícího účetnictví, výroční zprávy nebo výroční finanční zprávy a zprávy auditora o jejich ověření, stanoví-li povinnost jejich uložení do sbírky listin jiný zákon, a zprávu o podnikatelské činnosti společnosti, vyhotovuje-li se,  </w:t>
      </w:r>
    </w:p>
    <w:p w14:paraId="3D38D7D9" w14:textId="77777777" w:rsidR="00BB4E60" w:rsidRPr="00BB4E60" w:rsidRDefault="00BB4E60" w:rsidP="00635DDD">
      <w:pPr>
        <w:pStyle w:val="Psmeno"/>
        <w:tabs>
          <w:tab w:val="left" w:pos="420"/>
          <w:tab w:val="left" w:pos="851"/>
        </w:tabs>
        <w:spacing w:before="0"/>
        <w:ind w:left="426" w:hanging="426"/>
      </w:pPr>
      <w:r w:rsidRPr="00BB4E60">
        <w:t>d)</w:t>
      </w:r>
      <w:r w:rsidRPr="00BB4E60">
        <w:tab/>
        <w:t xml:space="preserve">rozhodnutí o zrušení právnické osoby, rozhodnutí, jímž se ruší rozhodnutí o zrušení právnické osoby, rozhodnutí o přeměně právnické osoby, rozhodnutí o zrušení rozhodnutí o přeměně právnické osoby, rozhodnutí soudu o neplatnosti právnické osoby, konečnou zprávu o průběhu likvidace a rozhodnutí soudu o jmenování opatrovníka právnické osobě, rozhodnutí o zrušení </w:t>
      </w:r>
      <w:proofErr w:type="spellStart"/>
      <w:r w:rsidRPr="00BB4E60">
        <w:t>svěřenského</w:t>
      </w:r>
      <w:proofErr w:type="spellEnd"/>
      <w:r w:rsidRPr="00BB4E60">
        <w:t xml:space="preserve"> fondu, doklad o jiném důvodu skončení správy </w:t>
      </w:r>
      <w:proofErr w:type="spellStart"/>
      <w:r w:rsidRPr="00BB4E60">
        <w:t>svěřenského</w:t>
      </w:r>
      <w:proofErr w:type="spellEnd"/>
      <w:r w:rsidRPr="00BB4E60">
        <w:t xml:space="preserve"> fondu, rozhodnutí, že majetek </w:t>
      </w:r>
      <w:proofErr w:type="spellStart"/>
      <w:r w:rsidRPr="00BB4E60">
        <w:t>svěřenského</w:t>
      </w:r>
      <w:proofErr w:type="spellEnd"/>
      <w:r w:rsidRPr="00BB4E60">
        <w:t xml:space="preserve"> fondu bude převeden do jiného </w:t>
      </w:r>
      <w:proofErr w:type="spellStart"/>
      <w:r w:rsidRPr="00BB4E60">
        <w:t>svěřenského</w:t>
      </w:r>
      <w:proofErr w:type="spellEnd"/>
      <w:r w:rsidRPr="00BB4E60">
        <w:t xml:space="preserve"> fondu nebo do vlastnictví právnické osoby,</w:t>
      </w:r>
    </w:p>
    <w:p w14:paraId="48BD65E4" w14:textId="77777777" w:rsidR="00BB4E60" w:rsidRPr="00BB4E60" w:rsidRDefault="00BB4E60" w:rsidP="00635DDD">
      <w:pPr>
        <w:pStyle w:val="Psmeno"/>
        <w:tabs>
          <w:tab w:val="left" w:pos="420"/>
          <w:tab w:val="left" w:pos="851"/>
        </w:tabs>
        <w:spacing w:before="0"/>
        <w:ind w:left="426" w:hanging="426"/>
      </w:pPr>
      <w:r w:rsidRPr="00BB4E60">
        <w:lastRenderedPageBreak/>
        <w:t>e)</w:t>
      </w:r>
      <w:r w:rsidRPr="00BB4E60">
        <w:tab/>
        <w:t>projekt přeměny; byl-li projekt přeměny uveřejněn způsobem umožňujícím dálkový přístup podle zákona upravujícího přeměny obchodních společností a družstev</w:t>
      </w:r>
      <w:r w:rsidRPr="00BB4E60">
        <w:rPr>
          <w:vertAlign w:val="superscript"/>
        </w:rPr>
        <w:t>8)</w:t>
      </w:r>
      <w:r w:rsidRPr="00BB4E60">
        <w:t>, vzniká povinnost uložit projekt přeměny do sbírky listin až spolu s návrhem na zápis,</w:t>
      </w:r>
    </w:p>
    <w:p w14:paraId="24FAAF4D" w14:textId="77777777" w:rsidR="00BB4E60" w:rsidRPr="00BB4E60" w:rsidRDefault="00BB4E60" w:rsidP="00635DDD">
      <w:pPr>
        <w:pStyle w:val="Psmeno"/>
        <w:tabs>
          <w:tab w:val="left" w:pos="420"/>
          <w:tab w:val="left" w:pos="851"/>
        </w:tabs>
        <w:spacing w:before="0"/>
        <w:ind w:left="426" w:hanging="426"/>
      </w:pPr>
      <w:r w:rsidRPr="00BB4E60">
        <w:t>f)</w:t>
      </w:r>
      <w:r w:rsidRPr="00BB4E60">
        <w:tab/>
        <w:t>smlouvu o sloučení nadace, nadačního fondu nebo ústavu, rozhodnutí o jejím schválení, rozhodnutí soudu o neplatnosti smlouvy o sloučení a rozhodnutí správní rady o změně právní formy nadace, nadačního fondu nebo ústavu,</w:t>
      </w:r>
    </w:p>
    <w:p w14:paraId="4023DDC9" w14:textId="77777777" w:rsidR="00BB4E60" w:rsidRPr="00BB4E60" w:rsidRDefault="00BB4E60" w:rsidP="00635DDD">
      <w:pPr>
        <w:pStyle w:val="Psmeno"/>
        <w:tabs>
          <w:tab w:val="left" w:pos="420"/>
          <w:tab w:val="left" w:pos="851"/>
        </w:tabs>
        <w:spacing w:before="0"/>
        <w:ind w:left="426" w:hanging="426"/>
      </w:pPr>
      <w:r w:rsidRPr="00BB4E60">
        <w:t>g)</w:t>
      </w:r>
      <w:r w:rsidRPr="00BB4E60">
        <w:tab/>
        <w:t>smlouvu o sloučení spolků, smlouvu o splynutí spolků a smlouvu o rozdělení sloučením, projekt rozdělení spolků se založením nových spolků a rozhodnutí o změně právní formy spolku,</w:t>
      </w:r>
    </w:p>
    <w:p w14:paraId="3B00466E" w14:textId="77777777" w:rsidR="00BB4E60" w:rsidRPr="00BB4E60" w:rsidRDefault="00BB4E60" w:rsidP="00635DDD">
      <w:pPr>
        <w:pStyle w:val="Psmeno"/>
        <w:tabs>
          <w:tab w:val="left" w:pos="420"/>
          <w:tab w:val="left" w:pos="851"/>
        </w:tabs>
        <w:spacing w:before="0"/>
        <w:ind w:left="426" w:hanging="426"/>
      </w:pPr>
      <w:r w:rsidRPr="00BB4E60">
        <w:t>h)</w:t>
      </w:r>
      <w:r w:rsidRPr="00BB4E60">
        <w:tab/>
        <w:t>oznámení o zrušení nebo neschválení projektu přeměny, byl-li po jeho založení zrušen nebo neschválen; to platí obdobně pro oznámení o zrušení nebo neschválení smlouvy o sloučení nebo změně právní formy podle písmene f) a g),</w:t>
      </w:r>
    </w:p>
    <w:p w14:paraId="149ABEB5" w14:textId="77777777" w:rsidR="00BB4E60" w:rsidRPr="00BB4E60" w:rsidRDefault="00BB4E60" w:rsidP="00635DDD">
      <w:pPr>
        <w:pStyle w:val="Psmeno"/>
        <w:tabs>
          <w:tab w:val="left" w:pos="420"/>
          <w:tab w:val="left" w:pos="851"/>
        </w:tabs>
        <w:spacing w:before="0"/>
        <w:ind w:left="426" w:hanging="426"/>
      </w:pPr>
      <w:r w:rsidRPr="00BB4E60">
        <w:t>i)</w:t>
      </w:r>
      <w:r w:rsidRPr="00BB4E60">
        <w:tab/>
        <w:t>rozhodnutí soudu, kterým byla vyslovena neplatnost projektu přeměny nebo neplatnost usnesení valné hromady nebo členské schůze, kterým byl projekt přeměny schválen,</w:t>
      </w:r>
    </w:p>
    <w:p w14:paraId="0F92E9F1" w14:textId="77777777" w:rsidR="00BB4E60" w:rsidRPr="00BB4E60" w:rsidRDefault="00BB4E60" w:rsidP="00635DDD">
      <w:pPr>
        <w:pStyle w:val="Psmeno"/>
        <w:tabs>
          <w:tab w:val="left" w:pos="420"/>
          <w:tab w:val="left" w:pos="851"/>
        </w:tabs>
        <w:spacing w:before="0"/>
        <w:ind w:left="426" w:hanging="426"/>
      </w:pPr>
      <w:r w:rsidRPr="00BB4E60">
        <w:t>j)</w:t>
      </w:r>
      <w:r w:rsidRPr="00BB4E60">
        <w:tab/>
        <w:t>posudek znalce na ocenění nepeněžitého vkladu při založení nadace, nadačního fondu, ústavu, společnosti s ručením omezeným nebo akciové společnosti nebo při zvýšení jejich základního nebo nadačního kapitálu, posudek znalce na ocenění nepeněžitého vkladu do družstva, posudek znalce na ocenění jmění při přeměnách obchodních společností a družstev a posudek znalce na ocenění majetku při úplatném nabytí majetku akciové společnosti od zakladatelů podle zákona upravujícího právní poměry obchodních společností a družstev</w:t>
      </w:r>
      <w:r w:rsidRPr="00BB4E60">
        <w:rPr>
          <w:vertAlign w:val="superscript"/>
        </w:rPr>
        <w:t>9)</w:t>
      </w:r>
      <w:r w:rsidRPr="00BB4E60">
        <w:t>,</w:t>
      </w:r>
    </w:p>
    <w:p w14:paraId="12258145" w14:textId="77777777" w:rsidR="00BB4E60" w:rsidRPr="00BB4E60" w:rsidRDefault="00BB4E60" w:rsidP="00635DDD">
      <w:pPr>
        <w:pStyle w:val="Psmeno"/>
        <w:tabs>
          <w:tab w:val="left" w:pos="420"/>
          <w:tab w:val="left" w:pos="851"/>
        </w:tabs>
        <w:spacing w:before="0"/>
        <w:ind w:left="426" w:hanging="426"/>
      </w:pPr>
      <w:r w:rsidRPr="00BB4E60">
        <w:t>k)</w:t>
      </w:r>
      <w:r w:rsidRPr="00BB4E60">
        <w:tab/>
        <w:t xml:space="preserve">rozhodnutí soudu vydaná podle zákona upravujícího řešení úpadku, hrozícího úpadku a oddlužení fyzických a právnických osob ve vztahu k zapsané osobě, </w:t>
      </w:r>
      <w:proofErr w:type="spellStart"/>
      <w:r w:rsidRPr="00BB4E60">
        <w:t>svěřenskému</w:t>
      </w:r>
      <w:proofErr w:type="spellEnd"/>
      <w:r w:rsidRPr="00BB4E60">
        <w:t xml:space="preserve"> správci nebo majetku ve </w:t>
      </w:r>
      <w:proofErr w:type="spellStart"/>
      <w:r w:rsidRPr="00BB4E60">
        <w:t>svěřenském</w:t>
      </w:r>
      <w:proofErr w:type="spellEnd"/>
      <w:r w:rsidRPr="00BB4E60">
        <w:t xml:space="preserve"> fondu, a to</w:t>
      </w:r>
    </w:p>
    <w:p w14:paraId="43DCE8D1" w14:textId="49D5D5D3" w:rsidR="00BB4E60" w:rsidRPr="00BB4E60" w:rsidRDefault="00BB4E60" w:rsidP="005D3450">
      <w:pPr>
        <w:pStyle w:val="Bod"/>
        <w:tabs>
          <w:tab w:val="left" w:pos="420"/>
        </w:tabs>
        <w:spacing w:before="0"/>
      </w:pPr>
      <w:r w:rsidRPr="00BB4E60">
        <w:t>1.</w:t>
      </w:r>
      <w:r w:rsidRPr="00BB4E60">
        <w:tab/>
        <w:t>usnesení o zahájení insolvenčního řízení,</w:t>
      </w:r>
    </w:p>
    <w:p w14:paraId="0CDC6EF9" w14:textId="5930866E" w:rsidR="00BB4E60" w:rsidRPr="00BB4E60" w:rsidRDefault="00BB4E60" w:rsidP="005D3450">
      <w:pPr>
        <w:pStyle w:val="Bod"/>
        <w:tabs>
          <w:tab w:val="left" w:pos="420"/>
        </w:tabs>
        <w:spacing w:before="0"/>
      </w:pPr>
      <w:r w:rsidRPr="00BB4E60">
        <w:t>2.</w:t>
      </w:r>
      <w:r w:rsidRPr="00BB4E60">
        <w:tab/>
        <w:t>usnesení o předběžných opatřeních,</w:t>
      </w:r>
    </w:p>
    <w:p w14:paraId="7F9A0026" w14:textId="27B45064" w:rsidR="00BB4E60" w:rsidRPr="00BB4E60" w:rsidRDefault="00BB4E60" w:rsidP="005D3450">
      <w:pPr>
        <w:pStyle w:val="Bod"/>
        <w:tabs>
          <w:tab w:val="left" w:pos="420"/>
        </w:tabs>
        <w:spacing w:before="0"/>
      </w:pPr>
      <w:r w:rsidRPr="00BB4E60">
        <w:t>3.</w:t>
      </w:r>
      <w:r w:rsidRPr="00BB4E60">
        <w:tab/>
        <w:t>rozhodnutí o úpadku nebo jiné rozhodnutí o insolvenčním návrhu,</w:t>
      </w:r>
    </w:p>
    <w:p w14:paraId="5204ACC3" w14:textId="0EA8930D" w:rsidR="00BB4E60" w:rsidRPr="00BB4E60" w:rsidRDefault="00BB4E60" w:rsidP="005D3450">
      <w:pPr>
        <w:pStyle w:val="Bod"/>
        <w:tabs>
          <w:tab w:val="left" w:pos="420"/>
        </w:tabs>
        <w:spacing w:before="0"/>
      </w:pPr>
      <w:r w:rsidRPr="00BB4E60">
        <w:t>4.</w:t>
      </w:r>
      <w:r w:rsidRPr="00BB4E60">
        <w:tab/>
        <w:t>usnesení o prohlášení konkursu a o schválení konečné zprávy,</w:t>
      </w:r>
    </w:p>
    <w:p w14:paraId="18649187" w14:textId="40128D85" w:rsidR="00BB4E60" w:rsidRPr="00BB4E60" w:rsidRDefault="00BB4E60" w:rsidP="005D3450">
      <w:pPr>
        <w:pStyle w:val="Bod"/>
        <w:tabs>
          <w:tab w:val="left" w:pos="420"/>
        </w:tabs>
        <w:spacing w:before="0"/>
      </w:pPr>
      <w:r w:rsidRPr="00BB4E60">
        <w:t>5.</w:t>
      </w:r>
      <w:r w:rsidRPr="00BB4E60">
        <w:tab/>
        <w:t>usnesení o povolení reorganizace a usnesení o schválení reorganizačního plánu a jeho změn a</w:t>
      </w:r>
    </w:p>
    <w:p w14:paraId="652FB5F7" w14:textId="04FF481B" w:rsidR="00BB4E60" w:rsidRPr="00BB4E60" w:rsidRDefault="00BB4E60" w:rsidP="005D3450">
      <w:pPr>
        <w:pStyle w:val="Bod"/>
        <w:tabs>
          <w:tab w:val="left" w:pos="420"/>
        </w:tabs>
        <w:spacing w:before="0"/>
      </w:pPr>
      <w:r w:rsidRPr="00BB4E60">
        <w:t>6.</w:t>
      </w:r>
      <w:r w:rsidRPr="00BB4E60">
        <w:tab/>
        <w:t>usnesení, jímž se insolvenční řízení končí,</w:t>
      </w:r>
    </w:p>
    <w:p w14:paraId="7264C155" w14:textId="77777777" w:rsidR="00BB4E60" w:rsidRPr="00BB4E60" w:rsidRDefault="00BB4E60" w:rsidP="00635DDD">
      <w:pPr>
        <w:pStyle w:val="Psmeno"/>
        <w:tabs>
          <w:tab w:val="left" w:pos="420"/>
          <w:tab w:val="left" w:pos="851"/>
        </w:tabs>
        <w:spacing w:before="0"/>
        <w:ind w:left="426" w:hanging="426"/>
      </w:pPr>
      <w:r w:rsidRPr="00BB4E60">
        <w:t>l)</w:t>
      </w:r>
      <w:r w:rsidRPr="00BB4E60">
        <w:tab/>
        <w:t xml:space="preserve">zprávu o vztazích mezi ovládající osobou a osobou ovládanou a mezi ovládanou osobou a osobami ovládanými stejnou ovládající osobou, není-li součástí </w:t>
      </w:r>
      <w:r w:rsidRPr="00BB4E60">
        <w:rPr>
          <w:strike/>
        </w:rPr>
        <w:t>výroční zprávy</w:t>
      </w:r>
      <w:r w:rsidRPr="00BB4E60">
        <w:t xml:space="preserve"> </w:t>
      </w:r>
      <w:r w:rsidRPr="00BB4E60">
        <w:rPr>
          <w:b/>
          <w:bCs/>
        </w:rPr>
        <w:t>individuální zprávy vedení</w:t>
      </w:r>
      <w:r w:rsidRPr="00BB4E60">
        <w:t>, a zprávu znalce o jejím přezkoumání,</w:t>
      </w:r>
    </w:p>
    <w:p w14:paraId="1E59DCB5" w14:textId="77777777" w:rsidR="00BB4E60" w:rsidRPr="00BB4E60" w:rsidRDefault="00BB4E60" w:rsidP="00635DDD">
      <w:pPr>
        <w:pStyle w:val="Psmeno"/>
        <w:tabs>
          <w:tab w:val="left" w:pos="420"/>
          <w:tab w:val="left" w:pos="851"/>
        </w:tabs>
        <w:spacing w:before="0"/>
        <w:ind w:left="426" w:hanging="426"/>
      </w:pPr>
      <w:r w:rsidRPr="00BB4E60">
        <w:t>m)</w:t>
      </w:r>
      <w:r w:rsidRPr="00BB4E60">
        <w:tab/>
        <w:t>rozhodnutí soudu o zrušení nebo zúžení rozsahu společného jmění manželů; v případě nabytí právní moci rozhodnutí soudu o rozvodu manželů musí být uložena dohoda o vypořádání společného jmění nebo rozhodnutí soudu, popřípadě prohlášení podnikatele, že k dohodě ani rozhodnutí soudu nedošlo,</w:t>
      </w:r>
    </w:p>
    <w:p w14:paraId="7874C4EC" w14:textId="77777777" w:rsidR="00BB4E60" w:rsidRPr="00BB4E60" w:rsidRDefault="00BB4E60" w:rsidP="00635DDD">
      <w:pPr>
        <w:pStyle w:val="Psmeno"/>
        <w:tabs>
          <w:tab w:val="left" w:pos="420"/>
          <w:tab w:val="left" w:pos="851"/>
        </w:tabs>
        <w:spacing w:before="0"/>
        <w:ind w:left="426" w:hanging="426"/>
      </w:pPr>
      <w:r w:rsidRPr="00BB4E60">
        <w:t>n)</w:t>
      </w:r>
      <w:r w:rsidRPr="00BB4E60">
        <w:tab/>
        <w:t>rozhodnutí soudu o nařízení výkonu rozhodnutí postižením účasti povinného v obchodní korporaci, jakož i rozhodnutí soudu o zastavení výkonu rozhodnutí, vyrozumění o zahájení exekuce, exekuční příkaz na postižení podílu některého společníka ve společnosti, jakož i rozhodnutí o zastavení exekuce nebo sdělení, že exekuce skončila jinak než zastavením,</w:t>
      </w:r>
    </w:p>
    <w:p w14:paraId="32B38247" w14:textId="77777777" w:rsidR="00BB4E60" w:rsidRPr="00BB4E60" w:rsidRDefault="00BB4E60" w:rsidP="00635DDD">
      <w:pPr>
        <w:pStyle w:val="Psmeno"/>
        <w:tabs>
          <w:tab w:val="left" w:pos="420"/>
          <w:tab w:val="left" w:pos="851"/>
        </w:tabs>
        <w:spacing w:before="0"/>
        <w:ind w:left="426" w:hanging="426"/>
      </w:pPr>
      <w:r w:rsidRPr="00BB4E60">
        <w:t>o)</w:t>
      </w:r>
      <w:r w:rsidRPr="00BB4E60">
        <w:tab/>
        <w:t xml:space="preserve">rozhodnutí podle písmene o) týkající se výkonu rozhodnutí nebo exekuce postižením prodeje závodu obchodní korporace nebo jeho části, rozhodnutí podle písmene o) týkající se výkonu rozhodnutí nebo exekuce postižením závodu nebo jeho části ve </w:t>
      </w:r>
      <w:proofErr w:type="spellStart"/>
      <w:r w:rsidRPr="00BB4E60">
        <w:t>svěřenském</w:t>
      </w:r>
      <w:proofErr w:type="spellEnd"/>
      <w:r w:rsidRPr="00BB4E60">
        <w:t xml:space="preserve"> fondu,</w:t>
      </w:r>
    </w:p>
    <w:p w14:paraId="2B99B10A" w14:textId="77777777" w:rsidR="00BB4E60" w:rsidRPr="00BB4E60" w:rsidRDefault="00BB4E60" w:rsidP="00635DDD">
      <w:pPr>
        <w:pStyle w:val="Psmeno"/>
        <w:tabs>
          <w:tab w:val="left" w:pos="420"/>
          <w:tab w:val="left" w:pos="851"/>
        </w:tabs>
        <w:spacing w:before="0"/>
        <w:ind w:left="426" w:hanging="426"/>
      </w:pPr>
      <w:r w:rsidRPr="00BB4E60">
        <w:t>p)</w:t>
      </w:r>
      <w:r w:rsidRPr="00BB4E60">
        <w:tab/>
        <w:t>rozhodnutí soudu o neplatnosti rozhodnutí orgánu právnické osoby,</w:t>
      </w:r>
    </w:p>
    <w:p w14:paraId="42299EE7" w14:textId="77777777" w:rsidR="00BB4E60" w:rsidRPr="00BB4E60" w:rsidRDefault="00BB4E60" w:rsidP="00635DDD">
      <w:pPr>
        <w:pStyle w:val="Psmeno"/>
        <w:tabs>
          <w:tab w:val="left" w:pos="420"/>
          <w:tab w:val="left" w:pos="851"/>
        </w:tabs>
        <w:spacing w:before="0"/>
        <w:ind w:left="426" w:hanging="426"/>
      </w:pPr>
      <w:r w:rsidRPr="00BB4E60">
        <w:t>q)</w:t>
      </w:r>
      <w:r w:rsidRPr="00BB4E60">
        <w:tab/>
        <w:t>rozhodnutí příslušného státního orgánu o udělení státního souhlasu působit jako soukromá vysoká škola podle zákona upravujícího právní poměry vysokých škol</w:t>
      </w:r>
      <w:r w:rsidRPr="00BB4E60">
        <w:rPr>
          <w:vertAlign w:val="superscript"/>
        </w:rPr>
        <w:t>10)</w:t>
      </w:r>
      <w:r w:rsidRPr="00BB4E60">
        <w:t>,</w:t>
      </w:r>
    </w:p>
    <w:p w14:paraId="51C1EEB1" w14:textId="77777777" w:rsidR="00BB4E60" w:rsidRPr="00BB4E60" w:rsidRDefault="00BB4E60" w:rsidP="00635DDD">
      <w:pPr>
        <w:pStyle w:val="Psmeno"/>
        <w:tabs>
          <w:tab w:val="left" w:pos="420"/>
          <w:tab w:val="left" w:pos="851"/>
        </w:tabs>
        <w:spacing w:before="0"/>
        <w:ind w:left="426" w:hanging="426"/>
      </w:pPr>
      <w:r w:rsidRPr="00BB4E60">
        <w:lastRenderedPageBreak/>
        <w:t>r)</w:t>
      </w:r>
      <w:r w:rsidRPr="00BB4E60">
        <w:tab/>
        <w:t>doklad o koupi závodu podle ustanovení občanského zákoníku o koupi závodu</w:t>
      </w:r>
      <w:r w:rsidRPr="00BB4E60">
        <w:rPr>
          <w:vertAlign w:val="superscript"/>
        </w:rPr>
        <w:t>11)</w:t>
      </w:r>
      <w:r w:rsidRPr="00BB4E60">
        <w:t>,</w:t>
      </w:r>
    </w:p>
    <w:p w14:paraId="17EECFEC" w14:textId="77777777" w:rsidR="00BB4E60" w:rsidRPr="00BB4E60" w:rsidRDefault="00BB4E60" w:rsidP="00635DDD">
      <w:pPr>
        <w:pStyle w:val="Psmeno"/>
        <w:tabs>
          <w:tab w:val="left" w:pos="420"/>
          <w:tab w:val="left" w:pos="851"/>
        </w:tabs>
        <w:spacing w:before="0"/>
        <w:ind w:left="426" w:hanging="426"/>
      </w:pPr>
      <w:r w:rsidRPr="00BB4E60">
        <w:t>s)</w:t>
      </w:r>
      <w:r w:rsidRPr="00BB4E60">
        <w:tab/>
        <w:t xml:space="preserve">rozhodnutí soudu o změně nadačního účelu, rozhodnutí soudu o nahrazení původního účelu veřejně prospěšného </w:t>
      </w:r>
      <w:proofErr w:type="spellStart"/>
      <w:r w:rsidRPr="00BB4E60">
        <w:t>svěřenského</w:t>
      </w:r>
      <w:proofErr w:type="spellEnd"/>
      <w:r w:rsidRPr="00BB4E60">
        <w:t xml:space="preserve"> fondu podobným účelem,</w:t>
      </w:r>
    </w:p>
    <w:p w14:paraId="3FAB5F7C" w14:textId="77777777" w:rsidR="00BB4E60" w:rsidRPr="00BB4E60" w:rsidRDefault="00BB4E60" w:rsidP="00635DDD">
      <w:pPr>
        <w:pStyle w:val="Psmeno"/>
        <w:tabs>
          <w:tab w:val="left" w:pos="420"/>
          <w:tab w:val="left" w:pos="851"/>
        </w:tabs>
        <w:spacing w:before="0"/>
        <w:ind w:left="426" w:hanging="426"/>
      </w:pPr>
      <w:r w:rsidRPr="00BB4E60">
        <w:t>t)</w:t>
      </w:r>
      <w:r w:rsidRPr="00BB4E60">
        <w:tab/>
        <w:t>rozhodnutí správní rady nadace o zvýšení nebo snížení nadačního kapitálu,</w:t>
      </w:r>
    </w:p>
    <w:p w14:paraId="2C7AEE37" w14:textId="77777777" w:rsidR="00BB4E60" w:rsidRPr="00BB4E60" w:rsidRDefault="00BB4E60" w:rsidP="00635DDD">
      <w:pPr>
        <w:pStyle w:val="Psmeno"/>
        <w:tabs>
          <w:tab w:val="left" w:pos="420"/>
          <w:tab w:val="left" w:pos="851"/>
        </w:tabs>
        <w:spacing w:before="0"/>
        <w:ind w:left="426" w:hanging="426"/>
      </w:pPr>
      <w:r w:rsidRPr="00BB4E60">
        <w:t>u)</w:t>
      </w:r>
      <w:r w:rsidRPr="00BB4E60">
        <w:tab/>
        <w:t>rozhodnutí soudu o přemístění sídla nadace, nadačního fondu nebo ústavu do zahraničí,</w:t>
      </w:r>
    </w:p>
    <w:p w14:paraId="0311897A" w14:textId="77777777" w:rsidR="00BB4E60" w:rsidRPr="00BB4E60" w:rsidRDefault="00BB4E60" w:rsidP="00635DDD">
      <w:pPr>
        <w:pStyle w:val="Psmeno"/>
        <w:tabs>
          <w:tab w:val="left" w:pos="420"/>
          <w:tab w:val="left" w:pos="851"/>
        </w:tabs>
        <w:spacing w:before="0"/>
        <w:ind w:left="426" w:hanging="426"/>
      </w:pPr>
      <w:r w:rsidRPr="00BB4E60">
        <w:t>v)</w:t>
      </w:r>
      <w:r w:rsidRPr="00BB4E60">
        <w:tab/>
        <w:t xml:space="preserve">smlouvu o vložení daru do nadační jistiny, ve které je omezena dispozice s tímto majetkem, rozhodnutí soudu o nahrazení původního účelu veřejně prospěšného </w:t>
      </w:r>
      <w:proofErr w:type="spellStart"/>
      <w:r w:rsidRPr="00BB4E60">
        <w:t>svěřenského</w:t>
      </w:r>
      <w:proofErr w:type="spellEnd"/>
      <w:r w:rsidRPr="00BB4E60">
        <w:t xml:space="preserve"> fondu podobným účelem,</w:t>
      </w:r>
    </w:p>
    <w:p w14:paraId="52D3CA76" w14:textId="77777777" w:rsidR="00BB4E60" w:rsidRPr="00BB4E60" w:rsidRDefault="00BB4E60" w:rsidP="00635DDD">
      <w:pPr>
        <w:pStyle w:val="Psmeno"/>
        <w:tabs>
          <w:tab w:val="left" w:pos="420"/>
          <w:tab w:val="left" w:pos="851"/>
        </w:tabs>
        <w:spacing w:before="0"/>
        <w:ind w:left="426" w:hanging="426"/>
      </w:pPr>
      <w:r w:rsidRPr="00BB4E60">
        <w:t>w)</w:t>
      </w:r>
      <w:r w:rsidRPr="00BB4E60">
        <w:tab/>
        <w:t xml:space="preserve">rozhodnutí valné hromady o tom, že zaměstnanci nemusí splatit celý emisní kurs upsaných akcií nebo je mohou nabývat za jiných zvýhodněných podmínek, smlouvu nebo jiný doklad o zvýšení majetku ve </w:t>
      </w:r>
      <w:proofErr w:type="spellStart"/>
      <w:r w:rsidRPr="00BB4E60">
        <w:t>svěřenském</w:t>
      </w:r>
      <w:proofErr w:type="spellEnd"/>
      <w:r w:rsidRPr="00BB4E60">
        <w:t xml:space="preserve"> fondu zřízeném za soukromým účelem, k němuž došlo jinak než z výnosů majetku, který byl do </w:t>
      </w:r>
      <w:proofErr w:type="spellStart"/>
      <w:r w:rsidRPr="00BB4E60">
        <w:t>svěřenského</w:t>
      </w:r>
      <w:proofErr w:type="spellEnd"/>
      <w:r w:rsidRPr="00BB4E60">
        <w:t xml:space="preserve"> fondu vyčleněn,</w:t>
      </w:r>
    </w:p>
    <w:p w14:paraId="220AF31A" w14:textId="77777777" w:rsidR="00BB4E60" w:rsidRPr="00BB4E60" w:rsidRDefault="00BB4E60" w:rsidP="00635DDD">
      <w:pPr>
        <w:pStyle w:val="Psmeno"/>
        <w:tabs>
          <w:tab w:val="left" w:pos="420"/>
          <w:tab w:val="left" w:pos="851"/>
        </w:tabs>
        <w:spacing w:before="0"/>
        <w:ind w:left="426" w:hanging="426"/>
      </w:pPr>
      <w:r w:rsidRPr="00BB4E60">
        <w:t>x)</w:t>
      </w:r>
      <w:r w:rsidRPr="00BB4E60">
        <w:tab/>
        <w:t>u právnické osoby, která přemístila své sídlo do zahraničí, doklad o zápisu do příslušné evidence cílového státu, jehož právem se tato osoba řídí, pokud právo cílového státu takový zápis přikazuje, a</w:t>
      </w:r>
    </w:p>
    <w:p w14:paraId="191CFBF2" w14:textId="77777777" w:rsidR="00BB4E60" w:rsidRPr="00BB4E60" w:rsidRDefault="00BB4E60" w:rsidP="00635DDD">
      <w:pPr>
        <w:pStyle w:val="Textpsmene"/>
        <w:tabs>
          <w:tab w:val="left" w:pos="420"/>
          <w:tab w:val="left" w:pos="851"/>
        </w:tabs>
        <w:spacing w:before="0"/>
        <w:ind w:left="426" w:hanging="426"/>
      </w:pPr>
      <w:r w:rsidRPr="00BB4E60">
        <w:t>y)</w:t>
      </w:r>
      <w:r w:rsidRPr="00BB4E60">
        <w:tab/>
        <w:t>další listiny, o kterých tak stanoví zákon, nebo o jejichž uložení požádá zapsaná osoba, má-li na tom právní zájem.</w:t>
      </w:r>
    </w:p>
    <w:p w14:paraId="26C44C48" w14:textId="77777777" w:rsidR="00BB4E60" w:rsidRPr="00BB4E60" w:rsidRDefault="00BB4E60" w:rsidP="00992796">
      <w:pPr>
        <w:pStyle w:val="Paragraf"/>
        <w:numPr>
          <w:ilvl w:val="0"/>
          <w:numId w:val="41"/>
        </w:numPr>
        <w:tabs>
          <w:tab w:val="left" w:pos="420"/>
        </w:tabs>
        <w:spacing w:after="120"/>
      </w:pPr>
      <w:r w:rsidRPr="00BB4E60">
        <w:t>***</w:t>
      </w:r>
    </w:p>
    <w:p w14:paraId="53AF270B" w14:textId="77777777" w:rsidR="00BB4E60" w:rsidRPr="00BB4E60" w:rsidRDefault="00BB4E60" w:rsidP="00992796">
      <w:pPr>
        <w:pStyle w:val="Paragraf"/>
        <w:numPr>
          <w:ilvl w:val="0"/>
          <w:numId w:val="41"/>
        </w:numPr>
        <w:tabs>
          <w:tab w:val="left" w:pos="420"/>
        </w:tabs>
        <w:spacing w:after="120"/>
        <w:rPr>
          <w:b/>
        </w:rPr>
      </w:pPr>
      <w:r w:rsidRPr="00BB4E60">
        <w:rPr>
          <w:b/>
        </w:rPr>
        <w:t>Sbírka listin u zahraničních osob</w:t>
      </w:r>
    </w:p>
    <w:p w14:paraId="0179B661" w14:textId="77777777" w:rsidR="00BB4E60" w:rsidRPr="00BB4E60" w:rsidRDefault="00BB4E60" w:rsidP="00992796">
      <w:pPr>
        <w:pStyle w:val="Paragraf"/>
        <w:numPr>
          <w:ilvl w:val="0"/>
          <w:numId w:val="41"/>
        </w:numPr>
        <w:tabs>
          <w:tab w:val="left" w:pos="420"/>
        </w:tabs>
        <w:spacing w:after="120"/>
      </w:pPr>
      <w:bookmarkStart w:id="70" w:name="_Hlk160614788"/>
      <w:r w:rsidRPr="00BB4E60">
        <w:t xml:space="preserve">§ 69 </w:t>
      </w:r>
    </w:p>
    <w:p w14:paraId="35565180" w14:textId="77777777" w:rsidR="00BB4E60" w:rsidRPr="00BB4E60" w:rsidRDefault="00BB4E60" w:rsidP="00BB4E60">
      <w:pPr>
        <w:pStyle w:val="Textodstavce"/>
        <w:tabs>
          <w:tab w:val="left" w:pos="420"/>
        </w:tabs>
        <w:spacing w:before="240"/>
        <w:ind w:firstLine="425"/>
      </w:pPr>
      <w:r w:rsidRPr="00BB4E60">
        <w:t>Do sbírky listin se o zahraniční osobě, jejím závodu, odštěpném závodu, pobočném spolku a organizační složce zahraniční fundace nebo zahraničního ústavu uloží</w:t>
      </w:r>
    </w:p>
    <w:p w14:paraId="4B81600F" w14:textId="77777777" w:rsidR="00BB4E60" w:rsidRPr="00BB4E60" w:rsidRDefault="00BB4E60" w:rsidP="00992796">
      <w:pPr>
        <w:pStyle w:val="Paragraf"/>
        <w:keepNext w:val="0"/>
        <w:keepLines w:val="0"/>
        <w:numPr>
          <w:ilvl w:val="0"/>
          <w:numId w:val="41"/>
        </w:numPr>
        <w:tabs>
          <w:tab w:val="left" w:pos="426"/>
        </w:tabs>
        <w:spacing w:before="0"/>
        <w:ind w:left="426" w:hanging="426"/>
        <w:jc w:val="both"/>
      </w:pPr>
      <w:r w:rsidRPr="00BB4E60">
        <w:t>a)</w:t>
      </w:r>
      <w:r w:rsidRPr="00BB4E60">
        <w:tab/>
        <w:t>účetní záznamy týkající se zahraniční osoby</w:t>
      </w:r>
      <w:r w:rsidRPr="00BB4E60">
        <w:rPr>
          <w:b/>
        </w:rPr>
        <w:t>, účetní závěrky zahraniční osoby</w:t>
      </w:r>
      <w:r w:rsidRPr="00BB4E60">
        <w:t xml:space="preserve"> </w:t>
      </w:r>
      <w:r w:rsidRPr="00BB4E60">
        <w:rPr>
          <w:b/>
        </w:rPr>
        <w:t>a zprávy o jejich ověření</w:t>
      </w:r>
      <w:r w:rsidRPr="00BB4E60">
        <w:t xml:space="preserve"> v souladu s povinností jejich kontroly, zpracování a zveřejnění podle právního řádu, jímž se zahraniční osoba řídí</w:t>
      </w:r>
      <w:r w:rsidRPr="00BB4E60">
        <w:rPr>
          <w:strike/>
        </w:rPr>
        <w:t>; jestliže účetní záznamy nejsou vypracovány v souladu s předpisy Evropské unie nebo rovnocenným způsobem a jde-li o odštěpný závod zahraniční úvěrové a finanční instituce, a v případě, že není splněna podmínka vzájemnosti, uloží se do sbírky listin také účetní záznamy, které se vztahují k činnosti odštěpného závodu, uvedené v § 66 písm. c)</w:t>
      </w:r>
      <w:r w:rsidRPr="00BB4E60">
        <w:t>,</w:t>
      </w:r>
    </w:p>
    <w:p w14:paraId="3D4F0C82" w14:textId="77777777" w:rsidR="00BB4E60" w:rsidRPr="00BB4E60" w:rsidRDefault="00BB4E60" w:rsidP="00992796">
      <w:pPr>
        <w:pStyle w:val="Paragraf"/>
        <w:keepNext w:val="0"/>
        <w:keepLines w:val="0"/>
        <w:numPr>
          <w:ilvl w:val="0"/>
          <w:numId w:val="41"/>
        </w:numPr>
        <w:tabs>
          <w:tab w:val="left" w:pos="426"/>
        </w:tabs>
        <w:spacing w:before="0"/>
        <w:ind w:left="426" w:hanging="426"/>
        <w:jc w:val="both"/>
      </w:pPr>
      <w:r w:rsidRPr="00BB4E60">
        <w:t>b)</w:t>
      </w:r>
      <w:r w:rsidRPr="00BB4E60">
        <w:tab/>
        <w:t>společenská smlouva, stanovy a obdobné listiny, jimiž byla zahraniční osoba založena, a jejich změny a úplná znění,</w:t>
      </w:r>
    </w:p>
    <w:p w14:paraId="1C9FAC59" w14:textId="77777777" w:rsidR="00BB4E60" w:rsidRPr="00BB4E60" w:rsidRDefault="00BB4E60" w:rsidP="00992796">
      <w:pPr>
        <w:pStyle w:val="Paragraf"/>
        <w:keepNext w:val="0"/>
        <w:keepLines w:val="0"/>
        <w:numPr>
          <w:ilvl w:val="0"/>
          <w:numId w:val="41"/>
        </w:numPr>
        <w:tabs>
          <w:tab w:val="left" w:pos="426"/>
        </w:tabs>
        <w:spacing w:before="0"/>
        <w:ind w:left="426" w:hanging="426"/>
        <w:jc w:val="both"/>
      </w:pPr>
      <w:r w:rsidRPr="00BB4E60">
        <w:t>c)</w:t>
      </w:r>
      <w:r w:rsidRPr="00BB4E60">
        <w:tab/>
        <w:t>osvědčení evidence státu, kde má zahraniční osoba sídlo, že je v této evidenci zapsána, jestliže právo tohoto státu takovouto evidenci přikazuje, a</w:t>
      </w:r>
    </w:p>
    <w:p w14:paraId="34A392FF" w14:textId="77777777" w:rsidR="00BB4E60" w:rsidRPr="00BB4E60" w:rsidRDefault="00BB4E60" w:rsidP="00992796">
      <w:pPr>
        <w:pStyle w:val="Paragraf"/>
        <w:keepNext w:val="0"/>
        <w:keepLines w:val="0"/>
        <w:numPr>
          <w:ilvl w:val="0"/>
          <w:numId w:val="41"/>
        </w:numPr>
        <w:tabs>
          <w:tab w:val="left" w:pos="426"/>
        </w:tabs>
        <w:spacing w:before="0"/>
        <w:ind w:left="426" w:hanging="426"/>
        <w:jc w:val="both"/>
      </w:pPr>
      <w:r w:rsidRPr="00BB4E60">
        <w:t>d)</w:t>
      </w:r>
      <w:r w:rsidRPr="00BB4E60">
        <w:tab/>
        <w:t>údaj nebo doklad o zatížení majetku zahraniční osoby v jiném státě, je-li platnost zajišťovacího prostředku vázána na jeho zveřejnění.</w:t>
      </w:r>
    </w:p>
    <w:p w14:paraId="14DC3C29" w14:textId="1D54566E" w:rsidR="00BB4E60" w:rsidRPr="00BB4E60" w:rsidRDefault="00BB4E60" w:rsidP="00992796">
      <w:pPr>
        <w:pStyle w:val="Paragraf"/>
        <w:numPr>
          <w:ilvl w:val="0"/>
          <w:numId w:val="41"/>
        </w:numPr>
        <w:tabs>
          <w:tab w:val="left" w:pos="420"/>
        </w:tabs>
        <w:spacing w:after="120"/>
        <w:ind w:firstLine="425"/>
        <w:rPr>
          <w:strike/>
        </w:rPr>
      </w:pPr>
      <w:r w:rsidRPr="00BB4E60">
        <w:rPr>
          <w:strike/>
        </w:rPr>
        <w:t xml:space="preserve">§ 70 </w:t>
      </w:r>
    </w:p>
    <w:p w14:paraId="5FFCB455" w14:textId="60D84934" w:rsidR="00BB4E60" w:rsidRPr="00BB4E60" w:rsidRDefault="003F019C" w:rsidP="005D3450">
      <w:pPr>
        <w:pStyle w:val="Textodstavce"/>
        <w:tabs>
          <w:tab w:val="left" w:pos="420"/>
        </w:tabs>
        <w:ind w:firstLine="425"/>
        <w:rPr>
          <w:strike/>
        </w:rPr>
      </w:pPr>
      <w:r>
        <w:rPr>
          <w:strike/>
        </w:rPr>
        <w:t xml:space="preserve">(1) </w:t>
      </w:r>
      <w:r w:rsidR="00BB4E60" w:rsidRPr="00BB4E60">
        <w:rPr>
          <w:strike/>
        </w:rPr>
        <w:t>Povinnost uložení účetních záznamů</w:t>
      </w:r>
      <w:r w:rsidR="00BB4E60" w:rsidRPr="00BB4E60">
        <w:rPr>
          <w:b/>
          <w:strike/>
        </w:rPr>
        <w:t xml:space="preserve"> </w:t>
      </w:r>
      <w:r w:rsidR="00BB4E60" w:rsidRPr="00BB4E60">
        <w:rPr>
          <w:strike/>
        </w:rPr>
        <w:t>podle § 69 písm. a), která se vztahuje k činnosti odštěpného závodu, neplatí pro zahraniční právnickou osobu, která se řídí právem členského státu Evropské unie nebo jiného státu tvořícího Evropský hospodářský prostor, a její odštěpný závod a pro zahraniční fyzickou osobu, která je státním občanem jiného členského státu Evropské unie nebo jiného státu tvořícího Evropský hospodářský prostor, a její odštěpný závod.</w:t>
      </w:r>
    </w:p>
    <w:p w14:paraId="7C9EFDA3" w14:textId="2E833D23" w:rsidR="00BB4E60" w:rsidRPr="00BB4E60" w:rsidRDefault="003F019C" w:rsidP="005D3450">
      <w:pPr>
        <w:pStyle w:val="Textodstavce"/>
        <w:tabs>
          <w:tab w:val="left" w:pos="420"/>
        </w:tabs>
        <w:ind w:firstLine="425"/>
        <w:rPr>
          <w:strike/>
        </w:rPr>
      </w:pPr>
      <w:r>
        <w:rPr>
          <w:strike/>
        </w:rPr>
        <w:lastRenderedPageBreak/>
        <w:t xml:space="preserve">(2) </w:t>
      </w:r>
      <w:r w:rsidR="00BB4E60" w:rsidRPr="00BB4E60">
        <w:rPr>
          <w:strike/>
        </w:rPr>
        <w:t>U zahraniční osoby a jejího odštěpného závodu podle odstavce 1 se do sbírky listin uloží jen listiny uvedené v § 69 písm. a) části věty před středníkem a listiny uvedené v § 69 písm. b) a c).</w:t>
      </w:r>
    </w:p>
    <w:bookmarkEnd w:id="70"/>
    <w:p w14:paraId="01C36128" w14:textId="77777777" w:rsidR="00BB4E60" w:rsidRPr="00BB4E60" w:rsidRDefault="00BB4E60" w:rsidP="00992796">
      <w:pPr>
        <w:pStyle w:val="Paragraf"/>
        <w:numPr>
          <w:ilvl w:val="0"/>
          <w:numId w:val="41"/>
        </w:numPr>
        <w:tabs>
          <w:tab w:val="left" w:pos="420"/>
        </w:tabs>
        <w:spacing w:after="120"/>
      </w:pPr>
      <w:r w:rsidRPr="00BB4E60">
        <w:t>***</w:t>
      </w:r>
    </w:p>
    <w:p w14:paraId="3F72F90C" w14:textId="77777777" w:rsidR="00BB4E60" w:rsidRPr="00BB4E60" w:rsidRDefault="00BB4E60" w:rsidP="00992796">
      <w:pPr>
        <w:pStyle w:val="Paragraf"/>
        <w:numPr>
          <w:ilvl w:val="0"/>
          <w:numId w:val="41"/>
        </w:numPr>
        <w:tabs>
          <w:tab w:val="left" w:pos="420"/>
        </w:tabs>
        <w:spacing w:after="120"/>
      </w:pPr>
      <w:r w:rsidRPr="00BB4E60">
        <w:t>§ 105a</w:t>
      </w:r>
    </w:p>
    <w:p w14:paraId="38C92012" w14:textId="53222455" w:rsidR="00BB4E60" w:rsidRPr="00BB4E60" w:rsidRDefault="00F01618" w:rsidP="005D3450">
      <w:pPr>
        <w:pStyle w:val="Odstavec"/>
        <w:tabs>
          <w:tab w:val="left" w:pos="420"/>
        </w:tabs>
      </w:pPr>
      <w:r>
        <w:t xml:space="preserve">(1) </w:t>
      </w:r>
      <w:r w:rsidR="00BB4E60" w:rsidRPr="00BB4E60">
        <w:t xml:space="preserve">Nepředloží-li obchodní korporace řádnou </w:t>
      </w:r>
      <w:r w:rsidR="00BB4E60" w:rsidRPr="00BB4E60">
        <w:rPr>
          <w:strike/>
        </w:rPr>
        <w:t>nebo mimořádnou</w:t>
      </w:r>
      <w:r w:rsidR="00BB4E60" w:rsidRPr="00BB4E60">
        <w:t xml:space="preserve"> účetní závěrku za nejméně 2 po sobě jdoucí účetní období k založení do sbírky listin, vyzve ji rejstříkový soud, aby ve lhůtě 1 měsíce ode dne doručení výzvy předložila všechny chybějící účetní závěrky k založení do sbírky listin, jinak bude postupovat podle § 104.</w:t>
      </w:r>
    </w:p>
    <w:p w14:paraId="16E033CC" w14:textId="021F5112" w:rsidR="00BB4E60" w:rsidRPr="00BB4E60" w:rsidRDefault="00F01618" w:rsidP="005D3450">
      <w:pPr>
        <w:pStyle w:val="Odstavec"/>
        <w:tabs>
          <w:tab w:val="left" w:pos="420"/>
        </w:tabs>
      </w:pPr>
      <w:r>
        <w:t xml:space="preserve">(2) </w:t>
      </w:r>
      <w:r w:rsidR="00BB4E60" w:rsidRPr="00BB4E60">
        <w:t>Výzva podle odstavce 1 se doručuje obchodní korporaci do vlastních rukou, náhradní doručení je vyloučeno; předpisy platné pro doručování v občanském soudním řízení se použijí obdobně.</w:t>
      </w:r>
    </w:p>
    <w:p w14:paraId="322FEA1C" w14:textId="0CEDC98D" w:rsidR="00BB4E60" w:rsidRPr="00BB4E60" w:rsidRDefault="00F01618" w:rsidP="005D3450">
      <w:pPr>
        <w:pStyle w:val="Odstavec"/>
        <w:tabs>
          <w:tab w:val="left" w:pos="420"/>
        </w:tabs>
      </w:pPr>
      <w:r>
        <w:t xml:space="preserve">(3) </w:t>
      </w:r>
      <w:r w:rsidR="00BB4E60" w:rsidRPr="00BB4E60">
        <w:t>Nepodaří-li se výzvu podle odstavce 1 obchodní korporaci doručit, zahájí rejstříkový soud řízení o jejím zrušení; údaj o zahájení řízení o zrušení obchodní korporace zapíše rejstříkový soud bez řízení do veřejného rejstříku.</w:t>
      </w:r>
    </w:p>
    <w:p w14:paraId="7334F535" w14:textId="0274698C" w:rsidR="00BB4E60" w:rsidRPr="00BB4E60" w:rsidRDefault="00F01618" w:rsidP="005D3450">
      <w:pPr>
        <w:pStyle w:val="Odstavec"/>
        <w:tabs>
          <w:tab w:val="left" w:pos="420"/>
        </w:tabs>
      </w:pPr>
      <w:r>
        <w:t xml:space="preserve">(4) </w:t>
      </w:r>
      <w:r w:rsidR="00BB4E60" w:rsidRPr="00BB4E60">
        <w:t>Nevyjde-li v průběhu řízení o zrušení obchodní korporace najevo, že majetek obchodní korporace postačuje alespoň na úhradu nákladů likvidace, rozhodne rejstříkový soud, pokud by tím nebylo podstatně zasaženo do práv třetích osob, o zrušení obchodní korporace bez likvidace; jinak rozhodne o zrušení obchodní korporace s likvidací.</w:t>
      </w:r>
    </w:p>
    <w:p w14:paraId="51AFE591" w14:textId="18D6DBFD" w:rsidR="00BB4E60" w:rsidRPr="00BB4E60" w:rsidRDefault="00F01618" w:rsidP="005D3450">
      <w:pPr>
        <w:pStyle w:val="Odstavec"/>
        <w:tabs>
          <w:tab w:val="left" w:pos="420"/>
        </w:tabs>
      </w:pPr>
      <w:r>
        <w:t xml:space="preserve">(5) </w:t>
      </w:r>
      <w:r w:rsidR="00BB4E60" w:rsidRPr="00BB4E60">
        <w:t>Rejstříkový soud může vydat rozhodnutí o zrušení obchodní korporace bez likvidace nejdříve po uplynutí 1 roku ode dne zápisu údaje o zahájení řízení o zrušení obchodní korporace podle odstavce 3 do veřejného rejstříku.</w:t>
      </w:r>
    </w:p>
    <w:p w14:paraId="6406DA7E" w14:textId="5A1B85B1" w:rsidR="00BB4E60" w:rsidRPr="00BB4E60" w:rsidRDefault="00F01618" w:rsidP="005D3450">
      <w:pPr>
        <w:pStyle w:val="Odstavec"/>
        <w:tabs>
          <w:tab w:val="left" w:pos="420"/>
        </w:tabs>
      </w:pPr>
      <w:r>
        <w:t xml:space="preserve">(6) </w:t>
      </w:r>
      <w:r w:rsidR="00BB4E60" w:rsidRPr="00BB4E60">
        <w:t>Rejstříkový soud o zrušení obchodní korporace nerozhodne, jestliže v době jeho rozhodování probíhá insolvenční řízení, v němž se řeší úpadek nebo hrozící úpadek obchodní korporace.</w:t>
      </w:r>
    </w:p>
    <w:p w14:paraId="75F90669" w14:textId="77777777" w:rsidR="00BB4E60" w:rsidRPr="00BB4E60" w:rsidRDefault="00BB4E60" w:rsidP="005D3450">
      <w:pPr>
        <w:pStyle w:val="Textodstavce"/>
        <w:tabs>
          <w:tab w:val="clear" w:pos="851"/>
          <w:tab w:val="left" w:pos="420"/>
        </w:tabs>
        <w:ind w:firstLine="425"/>
      </w:pPr>
      <w:r w:rsidRPr="00BB4E60">
        <w:t>Rozhodne-li rejstříkový soud o zrušení obchodní korporace bez likvidace, provede na základě tohoto rozhodnutí zápis ve veřejném rejstříku. Ustanovení § 78 se nepoužije.</w:t>
      </w:r>
    </w:p>
    <w:p w14:paraId="591AFDAA" w14:textId="2C017639" w:rsidR="00ED521F" w:rsidRDefault="00ED521F" w:rsidP="00881B66">
      <w:pPr>
        <w:tabs>
          <w:tab w:val="left" w:pos="851"/>
        </w:tabs>
        <w:spacing w:before="120" w:after="120"/>
        <w:ind w:firstLine="0"/>
        <w:outlineLvl w:val="0"/>
        <w:sectPr w:rsidR="00ED521F" w:rsidSect="00F01618">
          <w:footnotePr>
            <w:numStart w:val="3"/>
          </w:footnotePr>
          <w:endnotePr>
            <w:numFmt w:val="decimal"/>
          </w:endnotePr>
          <w:pgSz w:w="11906" w:h="16838"/>
          <w:pgMar w:top="1418" w:right="1418" w:bottom="1418" w:left="1418" w:header="709" w:footer="709" w:gutter="0"/>
          <w:cols w:space="708"/>
          <w:docGrid w:linePitch="360"/>
        </w:sectPr>
      </w:pPr>
    </w:p>
    <w:p w14:paraId="51A0071C" w14:textId="0B7867B1" w:rsidR="00C62C41" w:rsidRPr="00D917FA" w:rsidRDefault="00C62C41" w:rsidP="005D3450">
      <w:pPr>
        <w:tabs>
          <w:tab w:val="left" w:pos="851"/>
        </w:tabs>
        <w:spacing w:before="120" w:after="120"/>
        <w:ind w:firstLine="0"/>
        <w:jc w:val="center"/>
        <w:outlineLvl w:val="0"/>
        <w:rPr>
          <w:szCs w:val="24"/>
        </w:rPr>
      </w:pPr>
      <w:r w:rsidRPr="00D917FA">
        <w:rPr>
          <w:b/>
          <w:szCs w:val="24"/>
        </w:rPr>
        <w:lastRenderedPageBreak/>
        <w:t xml:space="preserve">K části sté </w:t>
      </w:r>
      <w:r w:rsidR="00635DDD" w:rsidRPr="00D917FA">
        <w:rPr>
          <w:b/>
          <w:szCs w:val="24"/>
        </w:rPr>
        <w:t>sedmnácté</w:t>
      </w:r>
      <w:r w:rsidRPr="00D917FA">
        <w:rPr>
          <w:b/>
          <w:szCs w:val="24"/>
        </w:rPr>
        <w:t xml:space="preserve"> návrhu zákona – </w:t>
      </w:r>
      <w:r w:rsidRPr="00D917FA">
        <w:rPr>
          <w:szCs w:val="24"/>
        </w:rPr>
        <w:t>změna zákona</w:t>
      </w:r>
      <w:r w:rsidRPr="00D917FA">
        <w:t xml:space="preserve"> </w:t>
      </w:r>
      <w:r w:rsidRPr="00D917FA">
        <w:rPr>
          <w:szCs w:val="24"/>
        </w:rPr>
        <w:t>o ozdravných postupech a řešení krize na finančním trhu</w:t>
      </w:r>
    </w:p>
    <w:p w14:paraId="033DAC72" w14:textId="77777777" w:rsidR="00C62C41" w:rsidRPr="00D917FA" w:rsidRDefault="00C62C41" w:rsidP="00C62C41">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D917FA">
        <w:rPr>
          <w:b/>
          <w:szCs w:val="24"/>
        </w:rPr>
        <w:t>Platné znění</w:t>
      </w:r>
      <w:r w:rsidRPr="00D917FA">
        <w:rPr>
          <w:szCs w:val="24"/>
        </w:rPr>
        <w:t xml:space="preserve"> zákona č. 374/2015 Sb., o ozdravných postupech a řešení krize na finančním trhu</w:t>
      </w:r>
    </w:p>
    <w:p w14:paraId="4B9B8506" w14:textId="77777777" w:rsidR="005D3450" w:rsidRPr="005D3450" w:rsidRDefault="005D3450" w:rsidP="005D3450">
      <w:pPr>
        <w:pStyle w:val="Odstavecseseznamem"/>
        <w:numPr>
          <w:ilvl w:val="0"/>
          <w:numId w:val="27"/>
        </w:numPr>
        <w:pBdr>
          <w:top w:val="single" w:sz="12" w:space="6" w:color="auto"/>
          <w:left w:val="single" w:sz="12" w:space="0" w:color="auto"/>
          <w:bottom w:val="single" w:sz="12" w:space="6" w:color="auto"/>
          <w:right w:val="single" w:sz="12" w:space="0" w:color="auto"/>
        </w:pBdr>
        <w:spacing w:after="120"/>
        <w:jc w:val="center"/>
        <w:rPr>
          <w:b/>
          <w:szCs w:val="24"/>
          <w:lang w:eastAsia="en-US"/>
        </w:rPr>
      </w:pPr>
      <w:r w:rsidRPr="005D3450">
        <w:rPr>
          <w:b/>
          <w:szCs w:val="24"/>
          <w:lang w:eastAsia="en-US"/>
        </w:rPr>
        <w:t>s vyznačením navrhovaných změn a doplnění k 1. lednu 2025</w:t>
      </w:r>
      <w:r w:rsidRPr="00181A4A">
        <w:t xml:space="preserve"> </w:t>
      </w:r>
    </w:p>
    <w:p w14:paraId="4F1637A7" w14:textId="77777777" w:rsidR="00C62C41" w:rsidRPr="00D917FA" w:rsidRDefault="00C62C41" w:rsidP="00C62C41">
      <w:pPr>
        <w:pStyle w:val="Textparagrafu"/>
        <w:numPr>
          <w:ilvl w:val="0"/>
          <w:numId w:val="27"/>
        </w:numPr>
        <w:tabs>
          <w:tab w:val="left" w:pos="392"/>
          <w:tab w:val="left" w:pos="840"/>
        </w:tabs>
        <w:spacing w:after="120"/>
        <w:jc w:val="center"/>
      </w:pPr>
      <w:r w:rsidRPr="00D917FA">
        <w:t>***</w:t>
      </w:r>
    </w:p>
    <w:p w14:paraId="34EDEA7A" w14:textId="77777777" w:rsidR="00D917FA" w:rsidRDefault="00D917FA" w:rsidP="00992796">
      <w:pPr>
        <w:pStyle w:val="Paragraf"/>
        <w:numPr>
          <w:ilvl w:val="0"/>
          <w:numId w:val="39"/>
        </w:numPr>
        <w:spacing w:after="120"/>
      </w:pPr>
      <w:r>
        <w:t>§ 54</w:t>
      </w:r>
    </w:p>
    <w:p w14:paraId="26491E8B" w14:textId="3B15D4AD" w:rsidR="00D917FA" w:rsidRDefault="00D917FA" w:rsidP="005D3450">
      <w:pPr>
        <w:pStyle w:val="PZTextodstavce"/>
      </w:pPr>
      <w:r w:rsidRPr="00B25B63">
        <w:t>(1</w:t>
      </w:r>
      <w:r>
        <w:t xml:space="preserve">) </w:t>
      </w:r>
      <w:r w:rsidRPr="00B25B63">
        <w:t>Ocenění</w:t>
      </w:r>
      <w:r>
        <w:t xml:space="preserve"> </w:t>
      </w:r>
      <w:r w:rsidRPr="00B25B63">
        <w:t>vychází</w:t>
      </w:r>
      <w:r>
        <w:t xml:space="preserve"> </w:t>
      </w:r>
      <w:r w:rsidRPr="00B25B63">
        <w:t>z</w:t>
      </w:r>
      <w:r>
        <w:t xml:space="preserve"> </w:t>
      </w:r>
      <w:r w:rsidRPr="00B25B63">
        <w:t>obezřetných</w:t>
      </w:r>
      <w:r>
        <w:t xml:space="preserve"> </w:t>
      </w:r>
      <w:r w:rsidRPr="00B25B63">
        <w:t>předpokladů,</w:t>
      </w:r>
      <w:r>
        <w:t xml:space="preserve"> </w:t>
      </w:r>
      <w:r w:rsidRPr="00B25B63">
        <w:t>bere</w:t>
      </w:r>
      <w:r>
        <w:t xml:space="preserve"> </w:t>
      </w:r>
      <w:r w:rsidRPr="00B25B63">
        <w:t>v</w:t>
      </w:r>
      <w:r>
        <w:t xml:space="preserve"> </w:t>
      </w:r>
      <w:r w:rsidRPr="00B25B63">
        <w:t>potaz</w:t>
      </w:r>
      <w:r>
        <w:t xml:space="preserve"> </w:t>
      </w:r>
      <w:r w:rsidRPr="00B25B63">
        <w:t>poměry</w:t>
      </w:r>
      <w:r>
        <w:t xml:space="preserve"> </w:t>
      </w:r>
      <w:r w:rsidRPr="00B25B63">
        <w:t>nevýkonných</w:t>
      </w:r>
      <w:r>
        <w:t xml:space="preserve"> </w:t>
      </w:r>
      <w:r w:rsidRPr="00B25B63">
        <w:t>expozic</w:t>
      </w:r>
      <w:r>
        <w:t xml:space="preserve"> </w:t>
      </w:r>
      <w:r w:rsidRPr="00B25B63">
        <w:t>a</w:t>
      </w:r>
      <w:r>
        <w:t xml:space="preserve"> </w:t>
      </w:r>
      <w:r w:rsidRPr="00B25B63">
        <w:t>závažnost</w:t>
      </w:r>
      <w:r>
        <w:t xml:space="preserve"> </w:t>
      </w:r>
      <w:r w:rsidRPr="00B25B63">
        <w:t>ztrát</w:t>
      </w:r>
      <w:r>
        <w:t xml:space="preserve"> </w:t>
      </w:r>
      <w:r w:rsidRPr="00B25B63">
        <w:t>a</w:t>
      </w:r>
      <w:r>
        <w:t xml:space="preserve"> </w:t>
      </w:r>
      <w:r w:rsidRPr="00B25B63">
        <w:t>nesmí</w:t>
      </w:r>
      <w:r>
        <w:t xml:space="preserve"> </w:t>
      </w:r>
      <w:r w:rsidRPr="00B25B63">
        <w:t>předpokládat</w:t>
      </w:r>
      <w:r>
        <w:t xml:space="preserve"> </w:t>
      </w:r>
      <w:r w:rsidRPr="00B25B63">
        <w:t>poskytnutí</w:t>
      </w:r>
      <w:r>
        <w:t xml:space="preserve"> </w:t>
      </w:r>
      <w:r w:rsidRPr="00B25B63">
        <w:t>veřejné</w:t>
      </w:r>
      <w:r>
        <w:t xml:space="preserve"> </w:t>
      </w:r>
      <w:r w:rsidRPr="00B25B63">
        <w:t>podpory,</w:t>
      </w:r>
      <w:r>
        <w:t xml:space="preserve"> </w:t>
      </w:r>
      <w:r w:rsidRPr="00B25B63">
        <w:t>nouzové</w:t>
      </w:r>
      <w:r>
        <w:t xml:space="preserve"> </w:t>
      </w:r>
      <w:r w:rsidRPr="00B25B63">
        <w:t>likviditní</w:t>
      </w:r>
      <w:r>
        <w:t xml:space="preserve"> </w:t>
      </w:r>
      <w:r w:rsidRPr="00B25B63">
        <w:t>pomoci</w:t>
      </w:r>
      <w:r>
        <w:t xml:space="preserve"> </w:t>
      </w:r>
      <w:r w:rsidRPr="00B25B63">
        <w:t>České</w:t>
      </w:r>
      <w:r>
        <w:t xml:space="preserve"> </w:t>
      </w:r>
      <w:r w:rsidRPr="00B25B63">
        <w:t>národní</w:t>
      </w:r>
      <w:r>
        <w:t xml:space="preserve"> </w:t>
      </w:r>
      <w:r w:rsidRPr="00B25B63">
        <w:t>banky</w:t>
      </w:r>
      <w:r>
        <w:t xml:space="preserve"> </w:t>
      </w:r>
      <w:r w:rsidRPr="00B25B63">
        <w:t>nebo</w:t>
      </w:r>
      <w:r>
        <w:t xml:space="preserve"> </w:t>
      </w:r>
      <w:r w:rsidRPr="00B25B63">
        <w:t>jiné</w:t>
      </w:r>
      <w:r>
        <w:t xml:space="preserve"> </w:t>
      </w:r>
      <w:r w:rsidRPr="00B25B63">
        <w:t>likviditní</w:t>
      </w:r>
      <w:r>
        <w:t xml:space="preserve"> </w:t>
      </w:r>
      <w:r w:rsidRPr="00B25B63">
        <w:t>pomoci</w:t>
      </w:r>
      <w:r>
        <w:t xml:space="preserve"> </w:t>
      </w:r>
      <w:r w:rsidRPr="00B25B63">
        <w:t>České</w:t>
      </w:r>
      <w:r>
        <w:t xml:space="preserve"> </w:t>
      </w:r>
      <w:r w:rsidRPr="00B25B63">
        <w:t>národní</w:t>
      </w:r>
      <w:r>
        <w:t xml:space="preserve"> </w:t>
      </w:r>
      <w:r w:rsidRPr="00B25B63">
        <w:t>banky.</w:t>
      </w:r>
    </w:p>
    <w:p w14:paraId="5E257444" w14:textId="4C2E8CD4" w:rsidR="00D917FA" w:rsidRDefault="00D917FA" w:rsidP="005D3450">
      <w:pPr>
        <w:pStyle w:val="PZTextodstavce"/>
      </w:pPr>
      <w:r w:rsidRPr="00B25B63">
        <w:t>(2</w:t>
      </w:r>
      <w:r>
        <w:t xml:space="preserve">) </w:t>
      </w:r>
      <w:r w:rsidRPr="00B25B63">
        <w:t>Ocenění</w:t>
      </w:r>
      <w:r>
        <w:t xml:space="preserve"> </w:t>
      </w:r>
      <w:r w:rsidRPr="00B25B63">
        <w:t>zohlední,</w:t>
      </w:r>
      <w:r>
        <w:t xml:space="preserve"> </w:t>
      </w:r>
      <w:r w:rsidRPr="00B25B63">
        <w:t>že</w:t>
      </w:r>
      <w:r>
        <w:t xml:space="preserve"> </w:t>
      </w:r>
      <w:r w:rsidRPr="00B25B63">
        <w:t>při</w:t>
      </w:r>
      <w:r>
        <w:t xml:space="preserve"> </w:t>
      </w:r>
      <w:r w:rsidRPr="00B25B63">
        <w:t>uplatnění</w:t>
      </w:r>
      <w:r>
        <w:t xml:space="preserve"> </w:t>
      </w:r>
      <w:r w:rsidRPr="00B25B63">
        <w:t>opatření</w:t>
      </w:r>
      <w:r>
        <w:t xml:space="preserve"> </w:t>
      </w:r>
      <w:r w:rsidRPr="00B25B63">
        <w:t>k</w:t>
      </w:r>
      <w:r>
        <w:t xml:space="preserve"> </w:t>
      </w:r>
      <w:r w:rsidRPr="00B25B63">
        <w:t>řešení</w:t>
      </w:r>
      <w:r>
        <w:t xml:space="preserve"> </w:t>
      </w:r>
      <w:r w:rsidRPr="00B25B63">
        <w:t>krize</w:t>
      </w:r>
    </w:p>
    <w:p w14:paraId="5DEA3044" w14:textId="77777777" w:rsidR="00D917FA" w:rsidRDefault="00D917FA" w:rsidP="00D917FA">
      <w:pPr>
        <w:pStyle w:val="PZTextpsmene"/>
        <w:spacing w:before="0"/>
      </w:pPr>
      <w:r w:rsidRPr="00B25B63">
        <w:t>a</w:t>
      </w:r>
      <w:r>
        <w:t>)</w:t>
      </w:r>
      <w:r>
        <w:tab/>
      </w:r>
      <w:r w:rsidRPr="00B25B63">
        <w:t>Česká</w:t>
      </w:r>
      <w:r>
        <w:t xml:space="preserve"> </w:t>
      </w:r>
      <w:r w:rsidRPr="00B25B63">
        <w:t>národní</w:t>
      </w:r>
      <w:r>
        <w:t xml:space="preserve"> </w:t>
      </w:r>
      <w:r w:rsidRPr="00B25B63">
        <w:t>banka,</w:t>
      </w:r>
      <w:r>
        <w:t xml:space="preserve"> </w:t>
      </w:r>
      <w:r w:rsidRPr="00B25B63">
        <w:t>jakož</w:t>
      </w:r>
      <w:r>
        <w:t xml:space="preserve"> </w:t>
      </w:r>
      <w:r w:rsidRPr="00B25B63">
        <w:t>i</w:t>
      </w:r>
      <w:r>
        <w:t xml:space="preserve"> </w:t>
      </w:r>
      <w:r w:rsidRPr="00B25B63">
        <w:t>Fond</w:t>
      </w:r>
      <w:r>
        <w:t xml:space="preserve"> </w:t>
      </w:r>
      <w:r w:rsidRPr="00B25B63">
        <w:t>pro</w:t>
      </w:r>
      <w:r>
        <w:t xml:space="preserve"> </w:t>
      </w:r>
      <w:r w:rsidRPr="00B25B63">
        <w:t>řešení</w:t>
      </w:r>
      <w:r>
        <w:t xml:space="preserve"> </w:t>
      </w:r>
      <w:r w:rsidRPr="00B25B63">
        <w:t>krize,</w:t>
      </w:r>
      <w:r>
        <w:t xml:space="preserve"> </w:t>
      </w:r>
      <w:r w:rsidRPr="00B25B63">
        <w:t>mohou</w:t>
      </w:r>
      <w:r>
        <w:t xml:space="preserve"> </w:t>
      </w:r>
      <w:r w:rsidRPr="00B25B63">
        <w:t>od</w:t>
      </w:r>
      <w:r>
        <w:t xml:space="preserve"> </w:t>
      </w:r>
      <w:r w:rsidRPr="00B25B63">
        <w:t>povinné</w:t>
      </w:r>
      <w:r>
        <w:t xml:space="preserve"> </w:t>
      </w:r>
      <w:r w:rsidRPr="00B25B63">
        <w:t>osoby</w:t>
      </w:r>
      <w:r>
        <w:t xml:space="preserve"> </w:t>
      </w:r>
      <w:r w:rsidRPr="00B25B63">
        <w:t>v</w:t>
      </w:r>
      <w:r>
        <w:t xml:space="preserve"> </w:t>
      </w:r>
      <w:r w:rsidRPr="00B25B63">
        <w:t>souladu</w:t>
      </w:r>
      <w:r>
        <w:t xml:space="preserve"> </w:t>
      </w:r>
      <w:r w:rsidRPr="00B25B63">
        <w:t>s</w:t>
      </w:r>
      <w:r>
        <w:t xml:space="preserve"> </w:t>
      </w:r>
      <w:r w:rsidRPr="00B25B63">
        <w:t>§</w:t>
      </w:r>
      <w:r>
        <w:t xml:space="preserve"> </w:t>
      </w:r>
      <w:r w:rsidRPr="00B25B63">
        <w:t>178</w:t>
      </w:r>
      <w:r>
        <w:t xml:space="preserve"> </w:t>
      </w:r>
      <w:r w:rsidRPr="00B25B63">
        <w:t>požadovat</w:t>
      </w:r>
      <w:r>
        <w:t xml:space="preserve"> </w:t>
      </w:r>
      <w:r w:rsidRPr="00B25B63">
        <w:t>náhradu</w:t>
      </w:r>
      <w:r>
        <w:t xml:space="preserve"> </w:t>
      </w:r>
      <w:r w:rsidRPr="00B25B63">
        <w:t>hotových</w:t>
      </w:r>
      <w:r>
        <w:t xml:space="preserve"> </w:t>
      </w:r>
      <w:r w:rsidRPr="00B25B63">
        <w:t>výdajů,</w:t>
      </w:r>
      <w:r>
        <w:t xml:space="preserve"> </w:t>
      </w:r>
      <w:r w:rsidRPr="00B25B63">
        <w:t>které</w:t>
      </w:r>
      <w:r>
        <w:t xml:space="preserve"> </w:t>
      </w:r>
      <w:r w:rsidRPr="00B25B63">
        <w:t>řádně</w:t>
      </w:r>
      <w:r>
        <w:t xml:space="preserve"> </w:t>
      </w:r>
      <w:r w:rsidRPr="00B25B63">
        <w:t>vynaložily</w:t>
      </w:r>
      <w:r>
        <w:t xml:space="preserve"> </w:t>
      </w:r>
      <w:r w:rsidRPr="00B25B63">
        <w:t>v</w:t>
      </w:r>
      <w:r>
        <w:t xml:space="preserve"> </w:t>
      </w:r>
      <w:r w:rsidRPr="00B25B63">
        <w:t>souvislosti</w:t>
      </w:r>
      <w:r>
        <w:t xml:space="preserve"> </w:t>
      </w:r>
      <w:r w:rsidRPr="00B25B63">
        <w:t>s</w:t>
      </w:r>
      <w:r>
        <w:t xml:space="preserve"> </w:t>
      </w:r>
      <w:r w:rsidRPr="00B25B63">
        <w:t>uplatněním</w:t>
      </w:r>
      <w:r>
        <w:t xml:space="preserve"> </w:t>
      </w:r>
      <w:r w:rsidRPr="00B25B63">
        <w:t>opatření</w:t>
      </w:r>
      <w:r>
        <w:t xml:space="preserve"> </w:t>
      </w:r>
      <w:r w:rsidRPr="00B25B63">
        <w:t>k</w:t>
      </w:r>
      <w:r>
        <w:t xml:space="preserve"> </w:t>
      </w:r>
      <w:r w:rsidRPr="00B25B63">
        <w:t>řešení</w:t>
      </w:r>
      <w:r>
        <w:t xml:space="preserve"> </w:t>
      </w:r>
      <w:r w:rsidRPr="00B25B63">
        <w:t>krize,</w:t>
      </w:r>
    </w:p>
    <w:p w14:paraId="7C4A7931" w14:textId="77777777" w:rsidR="00D917FA" w:rsidRDefault="00D917FA" w:rsidP="00D917FA">
      <w:pPr>
        <w:pStyle w:val="PZTextpsmene"/>
        <w:spacing w:before="0"/>
      </w:pPr>
      <w:r w:rsidRPr="00B25B63">
        <w:t>b</w:t>
      </w:r>
      <w:r>
        <w:t>)</w:t>
      </w:r>
      <w:r>
        <w:tab/>
      </w:r>
      <w:r w:rsidRPr="00B25B63">
        <w:t>Fond</w:t>
      </w:r>
      <w:r>
        <w:t xml:space="preserve"> </w:t>
      </w:r>
      <w:r w:rsidRPr="00B25B63">
        <w:t>pro</w:t>
      </w:r>
      <w:r>
        <w:t xml:space="preserve"> </w:t>
      </w:r>
      <w:r w:rsidRPr="00B25B63">
        <w:t>řešení</w:t>
      </w:r>
      <w:r>
        <w:t xml:space="preserve"> </w:t>
      </w:r>
      <w:r w:rsidRPr="00B25B63">
        <w:t>krize</w:t>
      </w:r>
      <w:r>
        <w:t xml:space="preserve"> </w:t>
      </w:r>
      <w:r w:rsidRPr="00B25B63">
        <w:t>může</w:t>
      </w:r>
      <w:r>
        <w:t xml:space="preserve"> </w:t>
      </w:r>
      <w:r w:rsidRPr="00B25B63">
        <w:t>od</w:t>
      </w:r>
      <w:r>
        <w:t xml:space="preserve"> </w:t>
      </w:r>
      <w:r w:rsidRPr="00B25B63">
        <w:t>povinné</w:t>
      </w:r>
      <w:r>
        <w:t xml:space="preserve"> </w:t>
      </w:r>
      <w:r w:rsidRPr="00B25B63">
        <w:t>osoby</w:t>
      </w:r>
      <w:r>
        <w:t xml:space="preserve"> </w:t>
      </w:r>
      <w:r w:rsidRPr="00B25B63">
        <w:t>požadovat</w:t>
      </w:r>
      <w:r>
        <w:t xml:space="preserve"> </w:t>
      </w:r>
      <w:r w:rsidRPr="00B25B63">
        <w:t>úhradu</w:t>
      </w:r>
      <w:r>
        <w:t xml:space="preserve"> </w:t>
      </w:r>
      <w:r w:rsidRPr="00B25B63">
        <w:t>úroků</w:t>
      </w:r>
      <w:r>
        <w:t xml:space="preserve"> </w:t>
      </w:r>
      <w:r w:rsidRPr="00B25B63">
        <w:t>nebo</w:t>
      </w:r>
      <w:r>
        <w:t xml:space="preserve"> </w:t>
      </w:r>
      <w:r w:rsidRPr="00B25B63">
        <w:t>plateb,</w:t>
      </w:r>
      <w:r>
        <w:t xml:space="preserve"> </w:t>
      </w:r>
      <w:r w:rsidRPr="00B25B63">
        <w:t>kde</w:t>
      </w:r>
      <w:r>
        <w:t xml:space="preserve"> </w:t>
      </w:r>
      <w:r w:rsidRPr="00B25B63">
        <w:t>povinnost</w:t>
      </w:r>
      <w:r>
        <w:t xml:space="preserve"> </w:t>
      </w:r>
      <w:r w:rsidRPr="00B25B63">
        <w:t>je</w:t>
      </w:r>
      <w:r>
        <w:t xml:space="preserve"> </w:t>
      </w:r>
      <w:r w:rsidRPr="00B25B63">
        <w:t>uhradit</w:t>
      </w:r>
      <w:r>
        <w:t xml:space="preserve"> </w:t>
      </w:r>
      <w:r w:rsidRPr="00B25B63">
        <w:t>vznikla</w:t>
      </w:r>
      <w:r>
        <w:t xml:space="preserve"> </w:t>
      </w:r>
      <w:r w:rsidRPr="00B25B63">
        <w:t>v</w:t>
      </w:r>
      <w:r>
        <w:t xml:space="preserve"> </w:t>
      </w:r>
      <w:r w:rsidRPr="00B25B63">
        <w:t>souvislosti</w:t>
      </w:r>
      <w:r>
        <w:t xml:space="preserve"> </w:t>
      </w:r>
      <w:r w:rsidRPr="00B25B63">
        <w:t>s</w:t>
      </w:r>
      <w:r>
        <w:t xml:space="preserve"> </w:t>
      </w:r>
      <w:r w:rsidRPr="00B25B63">
        <w:t>poskytnutím</w:t>
      </w:r>
      <w:r>
        <w:t xml:space="preserve"> </w:t>
      </w:r>
      <w:r w:rsidRPr="00B25B63">
        <w:t>úvěru</w:t>
      </w:r>
      <w:r>
        <w:t xml:space="preserve"> </w:t>
      </w:r>
      <w:r w:rsidRPr="00B25B63">
        <w:t>nebo</w:t>
      </w:r>
      <w:r>
        <w:t xml:space="preserve"> </w:t>
      </w:r>
      <w:r w:rsidRPr="00B25B63">
        <w:t>záruky</w:t>
      </w:r>
      <w:r>
        <w:t xml:space="preserve"> </w:t>
      </w:r>
      <w:r w:rsidRPr="00B25B63">
        <w:t>této</w:t>
      </w:r>
      <w:r>
        <w:t xml:space="preserve"> </w:t>
      </w:r>
      <w:r w:rsidRPr="00B25B63">
        <w:t>osobě.</w:t>
      </w:r>
    </w:p>
    <w:p w14:paraId="50183A7F" w14:textId="1EBA053A" w:rsidR="00D917FA" w:rsidRDefault="00D917FA" w:rsidP="005D3450">
      <w:pPr>
        <w:pStyle w:val="PZTextodstavce"/>
      </w:pPr>
      <w:r w:rsidRPr="00B25B63">
        <w:t>(3</w:t>
      </w:r>
      <w:r>
        <w:t xml:space="preserve">) </w:t>
      </w:r>
      <w:r w:rsidRPr="00B25B63">
        <w:t>Ocenění</w:t>
      </w:r>
      <w:r>
        <w:t xml:space="preserve"> </w:t>
      </w:r>
      <w:r w:rsidRPr="00B25B63">
        <w:t>obsahuje</w:t>
      </w:r>
      <w:r>
        <w:t xml:space="preserve"> </w:t>
      </w:r>
      <w:r w:rsidRPr="00B25B63">
        <w:t>rovněž</w:t>
      </w:r>
    </w:p>
    <w:p w14:paraId="4C88F0FA" w14:textId="77777777" w:rsidR="00D917FA" w:rsidRDefault="00D917FA" w:rsidP="00D917FA">
      <w:pPr>
        <w:pStyle w:val="PZTextpsmene"/>
        <w:spacing w:before="0"/>
      </w:pPr>
      <w:r w:rsidRPr="00B25B63">
        <w:t>a</w:t>
      </w:r>
      <w:r>
        <w:t>)</w:t>
      </w:r>
      <w:r>
        <w:tab/>
      </w:r>
      <w:r w:rsidRPr="00B25B63">
        <w:t>aktualizovanou</w:t>
      </w:r>
      <w:r>
        <w:t xml:space="preserve"> </w:t>
      </w:r>
      <w:r w:rsidRPr="00B25B63">
        <w:t>rozvahu</w:t>
      </w:r>
      <w:r>
        <w:t xml:space="preserve"> </w:t>
      </w:r>
      <w:r w:rsidRPr="00B25B63">
        <w:t>a</w:t>
      </w:r>
      <w:r>
        <w:t xml:space="preserve"> </w:t>
      </w:r>
      <w:r w:rsidRPr="00B25B63">
        <w:t>zprávu</w:t>
      </w:r>
      <w:r>
        <w:t xml:space="preserve"> </w:t>
      </w:r>
      <w:r w:rsidRPr="00B25B63">
        <w:t>o</w:t>
      </w:r>
      <w:r>
        <w:t xml:space="preserve"> </w:t>
      </w:r>
      <w:r w:rsidRPr="00B25B63">
        <w:t>finanční</w:t>
      </w:r>
      <w:r>
        <w:t xml:space="preserve"> </w:t>
      </w:r>
      <w:r w:rsidRPr="00B25B63">
        <w:t>situaci</w:t>
      </w:r>
      <w:r>
        <w:t xml:space="preserve"> </w:t>
      </w:r>
      <w:r w:rsidRPr="00B25B63">
        <w:t>povinné</w:t>
      </w:r>
      <w:r>
        <w:t xml:space="preserve"> </w:t>
      </w:r>
      <w:r w:rsidRPr="00B25B63">
        <w:t>osoby</w:t>
      </w:r>
      <w:r>
        <w:t xml:space="preserve"> </w:t>
      </w:r>
      <w:r w:rsidRPr="00B25B63">
        <w:t>vycházející</w:t>
      </w:r>
      <w:r>
        <w:t xml:space="preserve"> </w:t>
      </w:r>
      <w:r w:rsidRPr="00B25B63">
        <w:t>z</w:t>
      </w:r>
      <w:r>
        <w:t xml:space="preserve"> </w:t>
      </w:r>
      <w:r w:rsidRPr="00B25B63">
        <w:t>účetnictví</w:t>
      </w:r>
      <w:r>
        <w:t xml:space="preserve"> </w:t>
      </w:r>
      <w:r w:rsidRPr="00B25B63">
        <w:t>a</w:t>
      </w:r>
      <w:r>
        <w:t xml:space="preserve"> </w:t>
      </w:r>
      <w:r w:rsidRPr="00B25B63">
        <w:t>jiných</w:t>
      </w:r>
      <w:r>
        <w:t xml:space="preserve"> </w:t>
      </w:r>
      <w:r w:rsidRPr="00B25B63">
        <w:t>záznamů</w:t>
      </w:r>
      <w:r>
        <w:t xml:space="preserve"> </w:t>
      </w:r>
      <w:r w:rsidRPr="00B25B63">
        <w:t>povinné</w:t>
      </w:r>
      <w:r>
        <w:t xml:space="preserve"> </w:t>
      </w:r>
      <w:r w:rsidRPr="00B25B63">
        <w:t>osoby,</w:t>
      </w:r>
    </w:p>
    <w:p w14:paraId="3C9194AA" w14:textId="77777777" w:rsidR="00D917FA" w:rsidRDefault="00D917FA" w:rsidP="00D917FA">
      <w:pPr>
        <w:pStyle w:val="Textpsmene"/>
        <w:spacing w:before="0"/>
        <w:ind w:left="425" w:hanging="425"/>
      </w:pPr>
      <w:r w:rsidRPr="00B25B63">
        <w:t>b</w:t>
      </w:r>
      <w:r>
        <w:t>)</w:t>
      </w:r>
      <w:r>
        <w:tab/>
      </w:r>
      <w:r w:rsidRPr="00B25B63">
        <w:t>analýzu</w:t>
      </w:r>
      <w:r>
        <w:t xml:space="preserve"> </w:t>
      </w:r>
      <w:r w:rsidRPr="00B25B63">
        <w:t>a</w:t>
      </w:r>
      <w:r>
        <w:t xml:space="preserve"> </w:t>
      </w:r>
      <w:r w:rsidRPr="00B25B63">
        <w:t>účetní</w:t>
      </w:r>
      <w:r>
        <w:t xml:space="preserve"> </w:t>
      </w:r>
      <w:r w:rsidRPr="00B25B63">
        <w:t>hodnotu</w:t>
      </w:r>
      <w:r w:rsidRPr="004C1366">
        <w:t xml:space="preserve"> </w:t>
      </w:r>
      <w:r w:rsidRPr="00A70444">
        <w:rPr>
          <w:strike/>
        </w:rPr>
        <w:t>majetku</w:t>
      </w:r>
      <w:r w:rsidRPr="00BB543F">
        <w:rPr>
          <w:color w:val="FF0000"/>
        </w:rPr>
        <w:t xml:space="preserve"> </w:t>
      </w:r>
      <w:r w:rsidRPr="00A70444">
        <w:rPr>
          <w:strike/>
        </w:rPr>
        <w:t xml:space="preserve">vycházející z </w:t>
      </w:r>
      <w:r w:rsidRPr="003B5E5E">
        <w:rPr>
          <w:strike/>
        </w:rPr>
        <w:t>účetnictví</w:t>
      </w:r>
      <w:r w:rsidRPr="003B5E5E">
        <w:t xml:space="preserve"> </w:t>
      </w:r>
      <w:r w:rsidRPr="00811933">
        <w:rPr>
          <w:strike/>
        </w:rPr>
        <w:t>a jiných záznamů</w:t>
      </w:r>
      <w:r w:rsidRPr="00A70444">
        <w:t xml:space="preserve"> </w:t>
      </w:r>
      <w:r w:rsidRPr="00A70444">
        <w:rPr>
          <w:b/>
        </w:rPr>
        <w:t>aktiva</w:t>
      </w:r>
      <w:r>
        <w:t xml:space="preserve"> </w:t>
      </w:r>
      <w:r w:rsidRPr="0064173F">
        <w:t>povinné osoby,</w:t>
      </w:r>
    </w:p>
    <w:p w14:paraId="3801228A" w14:textId="77777777" w:rsidR="00D917FA" w:rsidRDefault="00D917FA" w:rsidP="00D917FA">
      <w:pPr>
        <w:pStyle w:val="Textpsmene"/>
        <w:spacing w:before="0"/>
        <w:ind w:left="425" w:hanging="425"/>
      </w:pPr>
      <w:r w:rsidRPr="00B25B63">
        <w:t>c</w:t>
      </w:r>
      <w:r>
        <w:t>)</w:t>
      </w:r>
      <w:r>
        <w:tab/>
      </w:r>
      <w:r w:rsidRPr="00B25B63">
        <w:t>seznam</w:t>
      </w:r>
      <w:r>
        <w:t xml:space="preserve"> </w:t>
      </w:r>
      <w:r w:rsidRPr="00A70444">
        <w:t xml:space="preserve">neuhrazených dluhů </w:t>
      </w:r>
      <w:r w:rsidRPr="00A70444">
        <w:rPr>
          <w:strike/>
        </w:rPr>
        <w:t>obsažených v účetnictví</w:t>
      </w:r>
      <w:r w:rsidRPr="00A70444">
        <w:t xml:space="preserve"> </w:t>
      </w:r>
      <w:r>
        <w:rPr>
          <w:b/>
        </w:rPr>
        <w:t xml:space="preserve">podle zákona upravujícího účetnictví </w:t>
      </w:r>
      <w:r w:rsidRPr="0064173F">
        <w:t>povinné osoby s uvedením věřitelů a vlastníků nástrojů účasti a jejich kategorie a pořadí v souladu s insolvenčním zákonem a zákonem upravujícím právní poměry obchodních společností a družstev a</w:t>
      </w:r>
    </w:p>
    <w:p w14:paraId="1E96C760" w14:textId="77777777" w:rsidR="00D917FA" w:rsidRDefault="00D917FA" w:rsidP="00D917FA">
      <w:pPr>
        <w:pStyle w:val="PZTextpsmene"/>
        <w:spacing w:before="0"/>
      </w:pPr>
      <w:r w:rsidRPr="00B25B63">
        <w:t>d</w:t>
      </w:r>
      <w:r>
        <w:t>)</w:t>
      </w:r>
      <w:r>
        <w:tab/>
      </w:r>
      <w:r w:rsidRPr="00B25B63">
        <w:t>odhad</w:t>
      </w:r>
      <w:r>
        <w:t xml:space="preserve"> </w:t>
      </w:r>
      <w:r w:rsidRPr="00B25B63">
        <w:t>uspokojení,</w:t>
      </w:r>
      <w:r>
        <w:t xml:space="preserve"> </w:t>
      </w:r>
      <w:r w:rsidRPr="00B25B63">
        <w:t>který</w:t>
      </w:r>
      <w:r>
        <w:t xml:space="preserve"> </w:t>
      </w:r>
      <w:r w:rsidRPr="00B25B63">
        <w:t>by</w:t>
      </w:r>
      <w:r>
        <w:t xml:space="preserve"> </w:t>
      </w:r>
      <w:r w:rsidRPr="00B25B63">
        <w:t>věřitelé</w:t>
      </w:r>
      <w:r>
        <w:t xml:space="preserve"> </w:t>
      </w:r>
      <w:r w:rsidRPr="00B25B63">
        <w:t>a</w:t>
      </w:r>
      <w:r>
        <w:t xml:space="preserve"> </w:t>
      </w:r>
      <w:r w:rsidRPr="00B25B63">
        <w:t>vlastníci</w:t>
      </w:r>
      <w:r>
        <w:t xml:space="preserve"> </w:t>
      </w:r>
      <w:r w:rsidRPr="00B25B63">
        <w:t>nástroje</w:t>
      </w:r>
      <w:r>
        <w:t xml:space="preserve"> </w:t>
      </w:r>
      <w:r w:rsidRPr="00B25B63">
        <w:t>účasti</w:t>
      </w:r>
      <w:r>
        <w:t xml:space="preserve"> </w:t>
      </w:r>
      <w:r w:rsidRPr="00B25B63">
        <w:t>na</w:t>
      </w:r>
      <w:r>
        <w:t xml:space="preserve"> </w:t>
      </w:r>
      <w:r w:rsidRPr="00B25B63">
        <w:t>povinné</w:t>
      </w:r>
      <w:r>
        <w:t xml:space="preserve"> </w:t>
      </w:r>
      <w:r w:rsidRPr="00B25B63">
        <w:t>osobě</w:t>
      </w:r>
      <w:r>
        <w:t xml:space="preserve"> </w:t>
      </w:r>
      <w:r w:rsidRPr="00B25B63">
        <w:t>dosáhli</w:t>
      </w:r>
      <w:r>
        <w:t xml:space="preserve"> </w:t>
      </w:r>
      <w:r w:rsidRPr="00B25B63">
        <w:t>v</w:t>
      </w:r>
      <w:r>
        <w:t xml:space="preserve"> </w:t>
      </w:r>
      <w:r w:rsidRPr="00B25B63">
        <w:t>řízení</w:t>
      </w:r>
      <w:r>
        <w:t xml:space="preserve"> </w:t>
      </w:r>
      <w:r w:rsidRPr="00B25B63">
        <w:t>podle</w:t>
      </w:r>
      <w:r>
        <w:t xml:space="preserve"> </w:t>
      </w:r>
      <w:r w:rsidRPr="00B25B63">
        <w:t>insolvenčního</w:t>
      </w:r>
      <w:r>
        <w:t xml:space="preserve"> </w:t>
      </w:r>
      <w:r w:rsidRPr="00B25B63">
        <w:t>zákona,</w:t>
      </w:r>
      <w:r>
        <w:t xml:space="preserve"> </w:t>
      </w:r>
      <w:r w:rsidRPr="00B25B63">
        <w:t>včetně</w:t>
      </w:r>
      <w:r>
        <w:t xml:space="preserve"> </w:t>
      </w:r>
      <w:r w:rsidRPr="00B25B63">
        <w:t>jejich</w:t>
      </w:r>
      <w:r>
        <w:t xml:space="preserve"> </w:t>
      </w:r>
      <w:r w:rsidRPr="00B25B63">
        <w:t>rozdělení</w:t>
      </w:r>
      <w:r>
        <w:t xml:space="preserve"> </w:t>
      </w:r>
      <w:r w:rsidRPr="00B25B63">
        <w:t>do</w:t>
      </w:r>
      <w:r>
        <w:t xml:space="preserve"> </w:t>
      </w:r>
      <w:r w:rsidRPr="00B25B63">
        <w:t>skupin;</w:t>
      </w:r>
      <w:r>
        <w:t xml:space="preserve"> </w:t>
      </w:r>
      <w:r w:rsidRPr="00B25B63">
        <w:t>tím</w:t>
      </w:r>
      <w:r>
        <w:t xml:space="preserve"> </w:t>
      </w:r>
      <w:r w:rsidRPr="00B25B63">
        <w:t>není</w:t>
      </w:r>
      <w:r>
        <w:t xml:space="preserve"> </w:t>
      </w:r>
      <w:r w:rsidRPr="00B25B63">
        <w:t>dotčen</w:t>
      </w:r>
      <w:r>
        <w:t xml:space="preserve"> </w:t>
      </w:r>
      <w:r w:rsidRPr="00B25B63">
        <w:t>§</w:t>
      </w:r>
      <w:r>
        <w:t xml:space="preserve"> </w:t>
      </w:r>
      <w:r w:rsidRPr="00B25B63">
        <w:t>177</w:t>
      </w:r>
      <w:r>
        <w:t xml:space="preserve"> </w:t>
      </w:r>
      <w:r w:rsidRPr="00B25B63">
        <w:t>odst.</w:t>
      </w:r>
      <w:r>
        <w:t xml:space="preserve"> </w:t>
      </w:r>
      <w:r w:rsidRPr="00B25B63">
        <w:t>1.</w:t>
      </w:r>
    </w:p>
    <w:p w14:paraId="196B6D0B" w14:textId="4CD300D0" w:rsidR="00D917FA" w:rsidRDefault="00D917FA" w:rsidP="005D3450">
      <w:pPr>
        <w:pStyle w:val="PZTextodstavce"/>
      </w:pPr>
      <w:r w:rsidRPr="00B25B63">
        <w:t>(4</w:t>
      </w:r>
      <w:r>
        <w:t xml:space="preserve">) </w:t>
      </w:r>
      <w:r w:rsidRPr="00B25B63">
        <w:t>Je-li</w:t>
      </w:r>
      <w:r>
        <w:t xml:space="preserve"> </w:t>
      </w:r>
      <w:r w:rsidRPr="00B25B63">
        <w:t>ocenění</w:t>
      </w:r>
      <w:r>
        <w:t xml:space="preserve"> </w:t>
      </w:r>
      <w:r w:rsidRPr="00B25B63">
        <w:t>zpracováno</w:t>
      </w:r>
      <w:r>
        <w:t xml:space="preserve"> </w:t>
      </w:r>
      <w:r w:rsidRPr="00B25B63">
        <w:t>pro</w:t>
      </w:r>
      <w:r>
        <w:t xml:space="preserve"> </w:t>
      </w:r>
      <w:r w:rsidRPr="00B25B63">
        <w:t>účely</w:t>
      </w:r>
      <w:r>
        <w:t xml:space="preserve"> </w:t>
      </w:r>
      <w:r w:rsidRPr="00B25B63">
        <w:t>přechodu</w:t>
      </w:r>
      <w:r>
        <w:t xml:space="preserve"> </w:t>
      </w:r>
      <w:r w:rsidRPr="00B25B63">
        <w:t>podle</w:t>
      </w:r>
      <w:r>
        <w:t xml:space="preserve"> </w:t>
      </w:r>
      <w:r w:rsidRPr="00B25B63">
        <w:t>§</w:t>
      </w:r>
      <w:r>
        <w:t xml:space="preserve"> </w:t>
      </w:r>
      <w:r w:rsidRPr="00B25B63">
        <w:t>96,</w:t>
      </w:r>
      <w:r>
        <w:t xml:space="preserve"> </w:t>
      </w:r>
      <w:r w:rsidRPr="00B25B63">
        <w:t>102</w:t>
      </w:r>
      <w:r>
        <w:t xml:space="preserve"> </w:t>
      </w:r>
      <w:r w:rsidRPr="00B25B63">
        <w:t>nebo</w:t>
      </w:r>
      <w:r>
        <w:t xml:space="preserve"> </w:t>
      </w:r>
      <w:r w:rsidRPr="00B25B63">
        <w:t>113,</w:t>
      </w:r>
      <w:r>
        <w:t xml:space="preserve"> </w:t>
      </w:r>
      <w:r w:rsidRPr="00B25B63">
        <w:t>je</w:t>
      </w:r>
      <w:r>
        <w:t xml:space="preserve"> </w:t>
      </w:r>
      <w:r w:rsidRPr="00B25B63">
        <w:t>součástí</w:t>
      </w:r>
      <w:r>
        <w:t xml:space="preserve"> </w:t>
      </w:r>
      <w:r w:rsidRPr="00B25B63">
        <w:t>ocenění</w:t>
      </w:r>
      <w:r>
        <w:t xml:space="preserve"> </w:t>
      </w:r>
      <w:r w:rsidRPr="00B25B63">
        <w:t>rovněž</w:t>
      </w:r>
      <w:r>
        <w:t xml:space="preserve"> </w:t>
      </w:r>
      <w:r w:rsidRPr="00B25B63">
        <w:t>odhad</w:t>
      </w:r>
      <w:r w:rsidRPr="0064173F">
        <w:t xml:space="preserve"> </w:t>
      </w:r>
      <w:r w:rsidRPr="008F6515">
        <w:t>tržní hodnoty majetku</w:t>
      </w:r>
      <w:r w:rsidRPr="0064173F">
        <w:t>, nestanoví-li Česká národní banka s přihlédnutím k okolnostem případu jinak.</w:t>
      </w:r>
    </w:p>
    <w:p w14:paraId="4942F731" w14:textId="77777777" w:rsidR="00D917FA" w:rsidRDefault="00D917FA" w:rsidP="00992796">
      <w:pPr>
        <w:pStyle w:val="Paragraf"/>
        <w:numPr>
          <w:ilvl w:val="0"/>
          <w:numId w:val="39"/>
        </w:numPr>
        <w:spacing w:after="120"/>
      </w:pPr>
      <w:r w:rsidRPr="00AA135D">
        <w:t>***</w:t>
      </w:r>
    </w:p>
    <w:p w14:paraId="2911F57C" w14:textId="77777777" w:rsidR="00D917FA" w:rsidRPr="008A5FA7" w:rsidRDefault="00D917FA" w:rsidP="00992796">
      <w:pPr>
        <w:pStyle w:val="Paragraf"/>
        <w:numPr>
          <w:ilvl w:val="0"/>
          <w:numId w:val="39"/>
        </w:numPr>
        <w:spacing w:after="120"/>
      </w:pPr>
      <w:r>
        <w:t>§ 201</w:t>
      </w:r>
    </w:p>
    <w:p w14:paraId="310351FE" w14:textId="411EB50B" w:rsidR="00D917FA" w:rsidRDefault="00D917FA" w:rsidP="00D917FA">
      <w:pPr>
        <w:pStyle w:val="PZTextodstavce"/>
        <w:spacing w:before="240"/>
      </w:pPr>
      <w:r w:rsidRPr="00B25B63">
        <w:t>(1</w:t>
      </w:r>
      <w:r>
        <w:t xml:space="preserve">) </w:t>
      </w:r>
      <w:r w:rsidRPr="00B25B63">
        <w:t>Do</w:t>
      </w:r>
      <w:r>
        <w:t xml:space="preserve"> </w:t>
      </w:r>
      <w:r w:rsidRPr="00B25B63">
        <w:t>působnosti</w:t>
      </w:r>
      <w:r>
        <w:t xml:space="preserve"> </w:t>
      </w:r>
      <w:r w:rsidRPr="00B25B63">
        <w:t>správní</w:t>
      </w:r>
      <w:r>
        <w:t xml:space="preserve"> </w:t>
      </w:r>
      <w:r w:rsidRPr="00B25B63">
        <w:t>rady</w:t>
      </w:r>
      <w:r>
        <w:t xml:space="preserve"> </w:t>
      </w:r>
      <w:r w:rsidRPr="00B25B63">
        <w:t>patří</w:t>
      </w:r>
    </w:p>
    <w:p w14:paraId="676D3CBC" w14:textId="77777777" w:rsidR="00D917FA" w:rsidRDefault="00D917FA" w:rsidP="00D917FA">
      <w:pPr>
        <w:pStyle w:val="PZTextpsmene"/>
        <w:spacing w:before="0"/>
      </w:pPr>
      <w:r w:rsidRPr="00B25B63">
        <w:t>a</w:t>
      </w:r>
      <w:r>
        <w:t>)</w:t>
      </w:r>
      <w:r>
        <w:tab/>
      </w:r>
      <w:r w:rsidRPr="00B25B63">
        <w:t>jmenovat</w:t>
      </w:r>
      <w:r>
        <w:t xml:space="preserve"> </w:t>
      </w:r>
      <w:r w:rsidRPr="00B25B63">
        <w:t>a</w:t>
      </w:r>
      <w:r>
        <w:t xml:space="preserve"> </w:t>
      </w:r>
      <w:r w:rsidRPr="00B25B63">
        <w:t>odvolávat</w:t>
      </w:r>
      <w:r>
        <w:t xml:space="preserve"> </w:t>
      </w:r>
      <w:r w:rsidRPr="00B25B63">
        <w:t>členy</w:t>
      </w:r>
      <w:r>
        <w:t xml:space="preserve"> </w:t>
      </w:r>
      <w:r w:rsidRPr="00B25B63">
        <w:t>výkonné</w:t>
      </w:r>
      <w:r>
        <w:t xml:space="preserve"> </w:t>
      </w:r>
      <w:r w:rsidRPr="00B25B63">
        <w:t>rady,</w:t>
      </w:r>
    </w:p>
    <w:p w14:paraId="64BFF2BA" w14:textId="77777777" w:rsidR="00D917FA" w:rsidRDefault="00D917FA" w:rsidP="00D917FA">
      <w:pPr>
        <w:pStyle w:val="PZTextpsmene"/>
        <w:spacing w:before="0"/>
      </w:pPr>
      <w:r w:rsidRPr="00B25B63">
        <w:t>b</w:t>
      </w:r>
      <w:r>
        <w:t>)</w:t>
      </w:r>
      <w:r>
        <w:tab/>
      </w:r>
      <w:r w:rsidRPr="00B25B63">
        <w:t>stanovit</w:t>
      </w:r>
      <w:r>
        <w:t xml:space="preserve"> </w:t>
      </w:r>
      <w:r w:rsidRPr="00B25B63">
        <w:t>způsob</w:t>
      </w:r>
      <w:r>
        <w:t xml:space="preserve"> </w:t>
      </w:r>
      <w:r w:rsidRPr="00B25B63">
        <w:t>odměňování</w:t>
      </w:r>
      <w:r>
        <w:t xml:space="preserve"> </w:t>
      </w:r>
      <w:r w:rsidRPr="00B25B63">
        <w:t>členů</w:t>
      </w:r>
      <w:r>
        <w:t xml:space="preserve"> </w:t>
      </w:r>
      <w:r w:rsidRPr="00B25B63">
        <w:t>výkonné</w:t>
      </w:r>
      <w:r>
        <w:t xml:space="preserve"> </w:t>
      </w:r>
      <w:r w:rsidRPr="00B25B63">
        <w:t>rady,</w:t>
      </w:r>
    </w:p>
    <w:p w14:paraId="32CFC222" w14:textId="77777777" w:rsidR="00D917FA" w:rsidRDefault="00D917FA" w:rsidP="00D917FA">
      <w:pPr>
        <w:pStyle w:val="PZTextpsmene"/>
        <w:spacing w:before="0"/>
      </w:pPr>
      <w:r w:rsidRPr="00B25B63">
        <w:t>c</w:t>
      </w:r>
      <w:r>
        <w:t>)</w:t>
      </w:r>
      <w:r>
        <w:tab/>
      </w:r>
      <w:r w:rsidRPr="00B25B63">
        <w:t>dohlížet</w:t>
      </w:r>
      <w:r>
        <w:t xml:space="preserve"> </w:t>
      </w:r>
      <w:r w:rsidRPr="00B25B63">
        <w:t>nad</w:t>
      </w:r>
      <w:r>
        <w:t xml:space="preserve"> </w:t>
      </w:r>
      <w:r w:rsidRPr="00B25B63">
        <w:t>činností</w:t>
      </w:r>
      <w:r>
        <w:t xml:space="preserve"> </w:t>
      </w:r>
      <w:r w:rsidRPr="00B25B63">
        <w:t>výkonné</w:t>
      </w:r>
      <w:r>
        <w:t xml:space="preserve"> </w:t>
      </w:r>
      <w:r w:rsidRPr="00B25B63">
        <w:t>rady,</w:t>
      </w:r>
    </w:p>
    <w:p w14:paraId="67574FCA" w14:textId="77777777" w:rsidR="00D917FA" w:rsidRDefault="00D917FA" w:rsidP="00D917FA">
      <w:pPr>
        <w:pStyle w:val="PZTextpsmene"/>
        <w:spacing w:before="0"/>
      </w:pPr>
      <w:r w:rsidRPr="00B25B63">
        <w:t>d</w:t>
      </w:r>
      <w:r>
        <w:t>)</w:t>
      </w:r>
      <w:r>
        <w:tab/>
      </w:r>
      <w:r w:rsidRPr="00B25B63">
        <w:t>schvalovat</w:t>
      </w:r>
      <w:r>
        <w:t xml:space="preserve"> </w:t>
      </w:r>
      <w:r w:rsidRPr="00B25B63">
        <w:t>dlouhodobý</w:t>
      </w:r>
      <w:r>
        <w:t xml:space="preserve"> </w:t>
      </w:r>
      <w:r w:rsidRPr="00B25B63">
        <w:t>a</w:t>
      </w:r>
      <w:r>
        <w:t xml:space="preserve"> </w:t>
      </w:r>
      <w:r w:rsidRPr="00B25B63">
        <w:t>roční</w:t>
      </w:r>
      <w:r>
        <w:t xml:space="preserve"> </w:t>
      </w:r>
      <w:r w:rsidRPr="00B25B63">
        <w:t>plán</w:t>
      </w:r>
      <w:r>
        <w:t xml:space="preserve"> </w:t>
      </w:r>
      <w:r w:rsidRPr="00B25B63">
        <w:t>činnosti</w:t>
      </w:r>
      <w:r>
        <w:t xml:space="preserve"> </w:t>
      </w:r>
      <w:r w:rsidRPr="00B25B63">
        <w:t>Garančního</w:t>
      </w:r>
      <w:r>
        <w:t xml:space="preserve"> </w:t>
      </w:r>
      <w:r w:rsidRPr="00B25B63">
        <w:t>systému,</w:t>
      </w:r>
    </w:p>
    <w:p w14:paraId="1B9CF67D" w14:textId="77777777" w:rsidR="00D917FA" w:rsidRDefault="00D917FA" w:rsidP="00D917FA">
      <w:pPr>
        <w:pStyle w:val="PZTextpsmene"/>
        <w:spacing w:before="0"/>
      </w:pPr>
      <w:r w:rsidRPr="00B25B63">
        <w:t>e</w:t>
      </w:r>
      <w:r>
        <w:t>)</w:t>
      </w:r>
      <w:r>
        <w:tab/>
      </w:r>
      <w:r w:rsidRPr="00B25B63">
        <w:t>vydávat</w:t>
      </w:r>
      <w:r>
        <w:t xml:space="preserve"> </w:t>
      </w:r>
      <w:r w:rsidRPr="00B25B63">
        <w:t>statut</w:t>
      </w:r>
      <w:r>
        <w:t xml:space="preserve"> </w:t>
      </w:r>
      <w:r w:rsidRPr="00B25B63">
        <w:t>Garančního</w:t>
      </w:r>
      <w:r>
        <w:t xml:space="preserve"> </w:t>
      </w:r>
      <w:r w:rsidRPr="00B25B63">
        <w:t>systému</w:t>
      </w:r>
      <w:r>
        <w:t xml:space="preserve"> </w:t>
      </w:r>
      <w:r w:rsidRPr="00B25B63">
        <w:t>a</w:t>
      </w:r>
      <w:r>
        <w:t xml:space="preserve"> </w:t>
      </w:r>
      <w:r w:rsidRPr="00B25B63">
        <w:t>statuty</w:t>
      </w:r>
      <w:r>
        <w:t xml:space="preserve"> </w:t>
      </w:r>
      <w:r w:rsidRPr="00B25B63">
        <w:t>Fondu</w:t>
      </w:r>
      <w:r>
        <w:t xml:space="preserve"> </w:t>
      </w:r>
      <w:r w:rsidRPr="00B25B63">
        <w:t>pojištění</w:t>
      </w:r>
      <w:r>
        <w:t xml:space="preserve"> </w:t>
      </w:r>
      <w:r w:rsidRPr="00B25B63">
        <w:t>vkladů</w:t>
      </w:r>
      <w:r>
        <w:t xml:space="preserve"> </w:t>
      </w:r>
      <w:r w:rsidRPr="00B25B63">
        <w:t>a</w:t>
      </w:r>
      <w:r>
        <w:t xml:space="preserve"> </w:t>
      </w:r>
      <w:r w:rsidRPr="00B25B63">
        <w:t>Fondu</w:t>
      </w:r>
      <w:r>
        <w:t xml:space="preserve"> </w:t>
      </w:r>
      <w:r w:rsidRPr="00B25B63">
        <w:t>pro</w:t>
      </w:r>
      <w:r>
        <w:t xml:space="preserve"> </w:t>
      </w:r>
      <w:r w:rsidRPr="00B25B63">
        <w:t>řešení</w:t>
      </w:r>
      <w:r>
        <w:t xml:space="preserve"> </w:t>
      </w:r>
      <w:r w:rsidRPr="00B25B63">
        <w:t>krize,</w:t>
      </w:r>
    </w:p>
    <w:p w14:paraId="6FA8E7C8" w14:textId="77777777" w:rsidR="00D917FA" w:rsidRDefault="00D917FA" w:rsidP="00D917FA">
      <w:pPr>
        <w:pStyle w:val="PZTextpsmene"/>
        <w:spacing w:before="0"/>
      </w:pPr>
      <w:r w:rsidRPr="00B25B63">
        <w:lastRenderedPageBreak/>
        <w:t>f</w:t>
      </w:r>
      <w:r>
        <w:t>)</w:t>
      </w:r>
      <w:r>
        <w:tab/>
      </w:r>
      <w:r w:rsidRPr="00B25B63">
        <w:t>schvalovat</w:t>
      </w:r>
      <w:r>
        <w:t xml:space="preserve"> </w:t>
      </w:r>
      <w:r w:rsidRPr="00B25B63">
        <w:t>jednací</w:t>
      </w:r>
      <w:r>
        <w:t xml:space="preserve"> </w:t>
      </w:r>
      <w:r w:rsidRPr="00B25B63">
        <w:t>řád</w:t>
      </w:r>
      <w:r>
        <w:t xml:space="preserve"> </w:t>
      </w:r>
      <w:r w:rsidRPr="00B25B63">
        <w:t>správní</w:t>
      </w:r>
      <w:r>
        <w:t xml:space="preserve"> </w:t>
      </w:r>
      <w:r w:rsidRPr="00B25B63">
        <w:t>rady</w:t>
      </w:r>
      <w:r>
        <w:t xml:space="preserve"> </w:t>
      </w:r>
      <w:r w:rsidRPr="00B25B63">
        <w:t>a</w:t>
      </w:r>
      <w:r>
        <w:t xml:space="preserve"> </w:t>
      </w:r>
      <w:r w:rsidRPr="00B25B63">
        <w:t>jednací</w:t>
      </w:r>
      <w:r>
        <w:t xml:space="preserve"> </w:t>
      </w:r>
      <w:r w:rsidRPr="00B25B63">
        <w:t>řád</w:t>
      </w:r>
      <w:r>
        <w:t xml:space="preserve"> </w:t>
      </w:r>
      <w:r w:rsidRPr="00B25B63">
        <w:t>výkonné</w:t>
      </w:r>
      <w:r>
        <w:t xml:space="preserve"> </w:t>
      </w:r>
      <w:r w:rsidRPr="00B25B63">
        <w:t>rady,</w:t>
      </w:r>
    </w:p>
    <w:p w14:paraId="3DD0E3B6" w14:textId="77777777" w:rsidR="00D917FA" w:rsidRDefault="00D917FA" w:rsidP="00D917FA">
      <w:pPr>
        <w:pStyle w:val="Textpsmene"/>
        <w:spacing w:before="0"/>
        <w:ind w:left="425" w:hanging="425"/>
      </w:pPr>
      <w:r w:rsidRPr="00B25B63">
        <w:t>g</w:t>
      </w:r>
      <w:r>
        <w:t>)</w:t>
      </w:r>
      <w:r>
        <w:tab/>
      </w:r>
      <w:r w:rsidRPr="00B25B63">
        <w:t>schvalovat</w:t>
      </w:r>
      <w:r>
        <w:t xml:space="preserve"> </w:t>
      </w:r>
      <w:r w:rsidRPr="00B25B63">
        <w:t>vnitřní</w:t>
      </w:r>
      <w:r>
        <w:t xml:space="preserve"> </w:t>
      </w:r>
      <w:r w:rsidRPr="00B25B63">
        <w:t>předpisy</w:t>
      </w:r>
      <w:r>
        <w:t xml:space="preserve"> </w:t>
      </w:r>
      <w:r w:rsidRPr="00B25B63">
        <w:t>Garančního</w:t>
      </w:r>
      <w:r>
        <w:t xml:space="preserve"> </w:t>
      </w:r>
      <w:r w:rsidRPr="00B25B63">
        <w:t>systému,</w:t>
      </w:r>
    </w:p>
    <w:p w14:paraId="11BC80EE" w14:textId="77777777" w:rsidR="00D917FA" w:rsidRDefault="00D917FA" w:rsidP="00D917FA">
      <w:pPr>
        <w:pStyle w:val="Textpsmene"/>
        <w:spacing w:before="0"/>
        <w:ind w:left="425" w:hanging="425"/>
      </w:pPr>
      <w:r w:rsidRPr="00B25B63">
        <w:t>h</w:t>
      </w:r>
      <w:r>
        <w:t>)</w:t>
      </w:r>
      <w:r>
        <w:tab/>
      </w:r>
      <w:r w:rsidRPr="00B25B63">
        <w:t>schvalovat</w:t>
      </w:r>
      <w:r>
        <w:t xml:space="preserve"> </w:t>
      </w:r>
      <w:r w:rsidRPr="00B25B63">
        <w:t>rozpočet</w:t>
      </w:r>
      <w:r>
        <w:t xml:space="preserve"> </w:t>
      </w:r>
      <w:r w:rsidRPr="00B25B63">
        <w:t>Garančního</w:t>
      </w:r>
      <w:r>
        <w:t xml:space="preserve"> </w:t>
      </w:r>
      <w:r w:rsidRPr="00B25B63">
        <w:t>systému</w:t>
      </w:r>
      <w:r w:rsidRPr="00A34D0A">
        <w:t xml:space="preserve">, </w:t>
      </w:r>
      <w:r w:rsidRPr="00A34D0A">
        <w:rPr>
          <w:strike/>
        </w:rPr>
        <w:t>výroční správu</w:t>
      </w:r>
      <w:r w:rsidRPr="00A34D0A">
        <w:t xml:space="preserve"> </w:t>
      </w:r>
      <w:r w:rsidRPr="004D3A43">
        <w:rPr>
          <w:b/>
        </w:rPr>
        <w:t>zprávu vedení</w:t>
      </w:r>
      <w:r w:rsidRPr="00A34D0A">
        <w:rPr>
          <w:b/>
        </w:rPr>
        <w:t xml:space="preserve"> </w:t>
      </w:r>
      <w:r w:rsidRPr="008A5FA7">
        <w:t xml:space="preserve">Garančního systému, účetní závěrku Garančního systému, účetní závěrku Fondu pojištění vkladů a účetní závěrku Fondu pro </w:t>
      </w:r>
      <w:r w:rsidRPr="003B5E5E">
        <w:t>řešení krize</w:t>
      </w:r>
      <w:r w:rsidRPr="00632B6A">
        <w:rPr>
          <w:b/>
        </w:rPr>
        <w:t xml:space="preserve">, </w:t>
      </w:r>
      <w:r w:rsidRPr="003B5E5E">
        <w:rPr>
          <w:b/>
        </w:rPr>
        <w:t>případně jiné jejich zprávy</w:t>
      </w:r>
      <w:r>
        <w:rPr>
          <w:b/>
        </w:rPr>
        <w:t xml:space="preserve"> podle zákona upravujícího účetnictví</w:t>
      </w:r>
      <w:r w:rsidRPr="003B5E5E">
        <w:t>,</w:t>
      </w:r>
    </w:p>
    <w:p w14:paraId="07AAECB4" w14:textId="77777777" w:rsidR="00D917FA" w:rsidRDefault="00D917FA" w:rsidP="00D917FA">
      <w:pPr>
        <w:pStyle w:val="PZTextpsmene"/>
        <w:spacing w:before="0"/>
      </w:pPr>
      <w:r w:rsidRPr="00B25B63">
        <w:t>i</w:t>
      </w:r>
      <w:r>
        <w:t>)</w:t>
      </w:r>
      <w:r>
        <w:tab/>
      </w:r>
      <w:r w:rsidRPr="00B25B63">
        <w:t>schvalovat</w:t>
      </w:r>
      <w:r>
        <w:t xml:space="preserve"> </w:t>
      </w:r>
      <w:r w:rsidRPr="00B25B63">
        <w:t>dlouhodobou</w:t>
      </w:r>
      <w:r>
        <w:t xml:space="preserve"> </w:t>
      </w:r>
      <w:r w:rsidRPr="00B25B63">
        <w:t>investiční</w:t>
      </w:r>
      <w:r>
        <w:t xml:space="preserve"> </w:t>
      </w:r>
      <w:r w:rsidRPr="00B25B63">
        <w:t>strategii</w:t>
      </w:r>
      <w:r>
        <w:t xml:space="preserve"> </w:t>
      </w:r>
      <w:r w:rsidRPr="00B25B63">
        <w:t>Fondu</w:t>
      </w:r>
      <w:r>
        <w:t xml:space="preserve"> </w:t>
      </w:r>
      <w:r w:rsidRPr="00B25B63">
        <w:t>pojištění</w:t>
      </w:r>
      <w:r>
        <w:t xml:space="preserve"> </w:t>
      </w:r>
      <w:r w:rsidRPr="00B25B63">
        <w:t>vkladů</w:t>
      </w:r>
      <w:r>
        <w:t xml:space="preserve"> </w:t>
      </w:r>
      <w:r w:rsidRPr="00B25B63">
        <w:t>a</w:t>
      </w:r>
      <w:r>
        <w:t xml:space="preserve"> </w:t>
      </w:r>
      <w:r w:rsidRPr="00B25B63">
        <w:t>Fondu</w:t>
      </w:r>
      <w:r>
        <w:t xml:space="preserve"> </w:t>
      </w:r>
      <w:r w:rsidRPr="00B25B63">
        <w:t>pro</w:t>
      </w:r>
      <w:r>
        <w:t xml:space="preserve"> </w:t>
      </w:r>
      <w:r w:rsidRPr="00B25B63">
        <w:t>řešení</w:t>
      </w:r>
      <w:r>
        <w:t xml:space="preserve"> </w:t>
      </w:r>
      <w:r w:rsidRPr="00B25B63">
        <w:t>krize</w:t>
      </w:r>
      <w:r>
        <w:t xml:space="preserve"> </w:t>
      </w:r>
      <w:r w:rsidRPr="00B25B63">
        <w:t>a</w:t>
      </w:r>
      <w:r>
        <w:t xml:space="preserve"> </w:t>
      </w:r>
      <w:r w:rsidRPr="00B25B63">
        <w:t>roční</w:t>
      </w:r>
      <w:r>
        <w:t xml:space="preserve"> </w:t>
      </w:r>
      <w:r w:rsidRPr="00B25B63">
        <w:t>investiční</w:t>
      </w:r>
      <w:r>
        <w:t xml:space="preserve"> </w:t>
      </w:r>
      <w:r w:rsidRPr="00B25B63">
        <w:t>plán</w:t>
      </w:r>
      <w:r>
        <w:t xml:space="preserve"> </w:t>
      </w:r>
      <w:r w:rsidRPr="00B25B63">
        <w:t>Fondu</w:t>
      </w:r>
      <w:r>
        <w:t xml:space="preserve"> </w:t>
      </w:r>
      <w:r w:rsidRPr="00B25B63">
        <w:t>pojištění</w:t>
      </w:r>
      <w:r>
        <w:t xml:space="preserve"> </w:t>
      </w:r>
      <w:r w:rsidRPr="00B25B63">
        <w:t>vkladů</w:t>
      </w:r>
      <w:r>
        <w:t xml:space="preserve"> </w:t>
      </w:r>
      <w:r w:rsidRPr="00B25B63">
        <w:t>a</w:t>
      </w:r>
      <w:r>
        <w:t xml:space="preserve"> </w:t>
      </w:r>
      <w:r w:rsidRPr="00B25B63">
        <w:t>Fondu</w:t>
      </w:r>
      <w:r>
        <w:t xml:space="preserve"> </w:t>
      </w:r>
      <w:r w:rsidRPr="00B25B63">
        <w:t>pro</w:t>
      </w:r>
      <w:r>
        <w:t xml:space="preserve"> </w:t>
      </w:r>
      <w:r w:rsidRPr="00B25B63">
        <w:t>řešení</w:t>
      </w:r>
      <w:r>
        <w:t xml:space="preserve"> </w:t>
      </w:r>
      <w:r w:rsidRPr="00B25B63">
        <w:t>krize,</w:t>
      </w:r>
    </w:p>
    <w:p w14:paraId="43475862" w14:textId="77777777" w:rsidR="00D917FA" w:rsidRDefault="00D917FA" w:rsidP="00D917FA">
      <w:pPr>
        <w:pStyle w:val="PZTextpsmene"/>
        <w:spacing w:before="0"/>
      </w:pPr>
      <w:r w:rsidRPr="00B25B63">
        <w:t>j</w:t>
      </w:r>
      <w:r>
        <w:t>)</w:t>
      </w:r>
      <w:r>
        <w:tab/>
      </w:r>
      <w:r w:rsidRPr="00B25B63">
        <w:t>schvalovat</w:t>
      </w:r>
      <w:r>
        <w:t xml:space="preserve"> </w:t>
      </w:r>
      <w:r w:rsidRPr="00B25B63">
        <w:t>poměrné</w:t>
      </w:r>
      <w:r>
        <w:t xml:space="preserve"> </w:t>
      </w:r>
      <w:r w:rsidRPr="00B25B63">
        <w:t>rozdělení</w:t>
      </w:r>
      <w:r>
        <w:t xml:space="preserve"> </w:t>
      </w:r>
      <w:r w:rsidRPr="00B25B63">
        <w:t>výnosů</w:t>
      </w:r>
      <w:r>
        <w:t xml:space="preserve"> </w:t>
      </w:r>
      <w:r w:rsidRPr="00B25B63">
        <w:t>obstaraných</w:t>
      </w:r>
      <w:r>
        <w:t xml:space="preserve"> </w:t>
      </w:r>
      <w:r w:rsidRPr="00B25B63">
        <w:t>Garančním</w:t>
      </w:r>
      <w:r>
        <w:t xml:space="preserve"> </w:t>
      </w:r>
      <w:r w:rsidRPr="00B25B63">
        <w:t>systémem</w:t>
      </w:r>
      <w:r>
        <w:t xml:space="preserve"> </w:t>
      </w:r>
      <w:r w:rsidRPr="00B25B63">
        <w:t>z</w:t>
      </w:r>
      <w:r>
        <w:t xml:space="preserve"> </w:t>
      </w:r>
      <w:r w:rsidRPr="00B25B63">
        <w:t>jiného</w:t>
      </w:r>
      <w:r>
        <w:t xml:space="preserve"> </w:t>
      </w:r>
      <w:r w:rsidRPr="00B25B63">
        <w:t>majetku</w:t>
      </w:r>
      <w:r>
        <w:t xml:space="preserve"> </w:t>
      </w:r>
      <w:r w:rsidRPr="00B25B63">
        <w:t>než</w:t>
      </w:r>
      <w:r>
        <w:t xml:space="preserve"> </w:t>
      </w:r>
      <w:r w:rsidRPr="00B25B63">
        <w:t>Fondu</w:t>
      </w:r>
      <w:r>
        <w:t xml:space="preserve"> </w:t>
      </w:r>
      <w:r w:rsidRPr="00B25B63">
        <w:t>pojištění</w:t>
      </w:r>
      <w:r>
        <w:t xml:space="preserve"> </w:t>
      </w:r>
      <w:r w:rsidRPr="00B25B63">
        <w:t>vkladů</w:t>
      </w:r>
      <w:r>
        <w:t xml:space="preserve"> </w:t>
      </w:r>
      <w:r w:rsidRPr="00B25B63">
        <w:t>nebo</w:t>
      </w:r>
      <w:r>
        <w:t xml:space="preserve"> </w:t>
      </w:r>
      <w:r w:rsidRPr="00B25B63">
        <w:t>Fondu</w:t>
      </w:r>
      <w:r>
        <w:t xml:space="preserve"> </w:t>
      </w:r>
      <w:r w:rsidRPr="00B25B63">
        <w:t>pro</w:t>
      </w:r>
      <w:r>
        <w:t xml:space="preserve"> </w:t>
      </w:r>
      <w:r w:rsidRPr="00B25B63">
        <w:t>řešení</w:t>
      </w:r>
      <w:r>
        <w:t xml:space="preserve"> </w:t>
      </w:r>
      <w:r w:rsidRPr="00B25B63">
        <w:t>krize</w:t>
      </w:r>
      <w:r>
        <w:t xml:space="preserve"> </w:t>
      </w:r>
      <w:r w:rsidRPr="00B25B63">
        <w:t>mezi</w:t>
      </w:r>
      <w:r>
        <w:t xml:space="preserve"> </w:t>
      </w:r>
      <w:r w:rsidRPr="00B25B63">
        <w:t>Fond</w:t>
      </w:r>
      <w:r>
        <w:t xml:space="preserve"> </w:t>
      </w:r>
      <w:r w:rsidRPr="00B25B63">
        <w:t>pojištění</w:t>
      </w:r>
      <w:r>
        <w:t xml:space="preserve"> </w:t>
      </w:r>
      <w:r w:rsidRPr="00B25B63">
        <w:t>vkladů</w:t>
      </w:r>
      <w:r>
        <w:t xml:space="preserve"> </w:t>
      </w:r>
      <w:r w:rsidRPr="00B25B63">
        <w:t>a</w:t>
      </w:r>
      <w:r>
        <w:t xml:space="preserve"> </w:t>
      </w:r>
      <w:r w:rsidRPr="00B25B63">
        <w:t>provozní</w:t>
      </w:r>
      <w:r>
        <w:t xml:space="preserve"> </w:t>
      </w:r>
      <w:r w:rsidRPr="00B25B63">
        <w:t>fond</w:t>
      </w:r>
      <w:r>
        <w:t xml:space="preserve"> </w:t>
      </w:r>
      <w:r w:rsidRPr="00B25B63">
        <w:t>Fondu</w:t>
      </w:r>
      <w:r>
        <w:t xml:space="preserve"> </w:t>
      </w:r>
      <w:r w:rsidRPr="00B25B63">
        <w:t>pro</w:t>
      </w:r>
      <w:r>
        <w:t xml:space="preserve"> </w:t>
      </w:r>
      <w:r w:rsidRPr="00B25B63">
        <w:t>řešení</w:t>
      </w:r>
      <w:r>
        <w:t xml:space="preserve"> </w:t>
      </w:r>
      <w:r w:rsidRPr="00B25B63">
        <w:t>krize,</w:t>
      </w:r>
    </w:p>
    <w:p w14:paraId="23167AC6" w14:textId="77777777" w:rsidR="00D917FA" w:rsidRDefault="00D917FA" w:rsidP="00D917FA">
      <w:pPr>
        <w:pStyle w:val="PZTextpsmene"/>
        <w:spacing w:before="0"/>
      </w:pPr>
      <w:r w:rsidRPr="00B25B63">
        <w:t>k</w:t>
      </w:r>
      <w:r>
        <w:t>)</w:t>
      </w:r>
      <w:r>
        <w:tab/>
      </w:r>
      <w:r w:rsidRPr="00B25B63">
        <w:t>schvalovat</w:t>
      </w:r>
      <w:r>
        <w:t xml:space="preserve"> </w:t>
      </w:r>
      <w:r w:rsidRPr="00B25B63">
        <w:t>rozdělení</w:t>
      </w:r>
      <w:r>
        <w:t xml:space="preserve"> </w:t>
      </w:r>
      <w:r w:rsidRPr="00B25B63">
        <w:t>výdajů</w:t>
      </w:r>
      <w:r>
        <w:t xml:space="preserve"> </w:t>
      </w:r>
      <w:r w:rsidRPr="00B25B63">
        <w:t>vzniklých</w:t>
      </w:r>
      <w:r>
        <w:t xml:space="preserve"> </w:t>
      </w:r>
      <w:r w:rsidRPr="00B25B63">
        <w:t>při</w:t>
      </w:r>
      <w:r>
        <w:t xml:space="preserve"> </w:t>
      </w:r>
      <w:r w:rsidRPr="00B25B63">
        <w:t>správě</w:t>
      </w:r>
      <w:r>
        <w:t xml:space="preserve"> </w:t>
      </w:r>
      <w:r w:rsidRPr="00B25B63">
        <w:t>Fondu</w:t>
      </w:r>
      <w:r>
        <w:t xml:space="preserve"> </w:t>
      </w:r>
      <w:r w:rsidRPr="00B25B63">
        <w:t>pojištění</w:t>
      </w:r>
      <w:r>
        <w:t xml:space="preserve"> </w:t>
      </w:r>
      <w:r w:rsidRPr="00B25B63">
        <w:t>vkladů</w:t>
      </w:r>
      <w:r>
        <w:t xml:space="preserve"> </w:t>
      </w:r>
      <w:r w:rsidRPr="00B25B63">
        <w:t>a</w:t>
      </w:r>
      <w:r>
        <w:t xml:space="preserve"> </w:t>
      </w:r>
      <w:r w:rsidRPr="00B25B63">
        <w:t>Fondu</w:t>
      </w:r>
      <w:r>
        <w:t xml:space="preserve"> </w:t>
      </w:r>
      <w:r w:rsidRPr="00B25B63">
        <w:t>pro</w:t>
      </w:r>
      <w:r>
        <w:t xml:space="preserve"> </w:t>
      </w:r>
      <w:r w:rsidRPr="00B25B63">
        <w:t>řešení</w:t>
      </w:r>
      <w:r>
        <w:t xml:space="preserve"> </w:t>
      </w:r>
      <w:r w:rsidRPr="00B25B63">
        <w:t>krize,</w:t>
      </w:r>
      <w:r>
        <w:t xml:space="preserve"> </w:t>
      </w:r>
      <w:r w:rsidRPr="00B25B63">
        <w:t>včetně</w:t>
      </w:r>
      <w:r>
        <w:t xml:space="preserve"> </w:t>
      </w:r>
      <w:r w:rsidRPr="00B25B63">
        <w:t>poskytovaní</w:t>
      </w:r>
      <w:r>
        <w:t xml:space="preserve"> </w:t>
      </w:r>
      <w:r w:rsidRPr="00B25B63">
        <w:t>záloh</w:t>
      </w:r>
      <w:r>
        <w:t xml:space="preserve"> </w:t>
      </w:r>
      <w:r w:rsidRPr="00B25B63">
        <w:t>mezi</w:t>
      </w:r>
      <w:r>
        <w:t xml:space="preserve"> </w:t>
      </w:r>
      <w:r w:rsidRPr="00B25B63">
        <w:t>Fondem</w:t>
      </w:r>
      <w:r>
        <w:t xml:space="preserve"> </w:t>
      </w:r>
      <w:r w:rsidRPr="00B25B63">
        <w:t>pojištění</w:t>
      </w:r>
      <w:r>
        <w:t xml:space="preserve"> </w:t>
      </w:r>
      <w:r w:rsidRPr="00B25B63">
        <w:t>vkladů</w:t>
      </w:r>
      <w:r>
        <w:t xml:space="preserve"> </w:t>
      </w:r>
      <w:r w:rsidRPr="00B25B63">
        <w:t>a</w:t>
      </w:r>
      <w:r>
        <w:t xml:space="preserve"> </w:t>
      </w:r>
      <w:r w:rsidRPr="00B25B63">
        <w:t>provozním</w:t>
      </w:r>
      <w:r>
        <w:t xml:space="preserve"> </w:t>
      </w:r>
      <w:r w:rsidRPr="00B25B63">
        <w:t>fondem</w:t>
      </w:r>
      <w:r>
        <w:t xml:space="preserve"> </w:t>
      </w:r>
      <w:r w:rsidRPr="00B25B63">
        <w:t>Fondu</w:t>
      </w:r>
      <w:r>
        <w:t xml:space="preserve"> </w:t>
      </w:r>
      <w:r w:rsidRPr="00B25B63">
        <w:t>pro</w:t>
      </w:r>
      <w:r>
        <w:t xml:space="preserve"> </w:t>
      </w:r>
      <w:r w:rsidRPr="00B25B63">
        <w:t>řešení</w:t>
      </w:r>
      <w:r>
        <w:t xml:space="preserve"> </w:t>
      </w:r>
      <w:r w:rsidRPr="00B25B63">
        <w:t>krize,</w:t>
      </w:r>
      <w:r>
        <w:t xml:space="preserve"> </w:t>
      </w:r>
      <w:r w:rsidRPr="00B25B63">
        <w:t>podle</w:t>
      </w:r>
      <w:r>
        <w:t xml:space="preserve"> </w:t>
      </w:r>
      <w:r w:rsidRPr="00B25B63">
        <w:t>§</w:t>
      </w:r>
      <w:r>
        <w:t xml:space="preserve"> </w:t>
      </w:r>
      <w:r w:rsidRPr="00B25B63">
        <w:t>207</w:t>
      </w:r>
      <w:r>
        <w:t xml:space="preserve"> </w:t>
      </w:r>
      <w:r w:rsidRPr="00B25B63">
        <w:t>odst.</w:t>
      </w:r>
      <w:r>
        <w:t xml:space="preserve"> </w:t>
      </w:r>
      <w:r w:rsidRPr="00B25B63">
        <w:t>2</w:t>
      </w:r>
      <w:r>
        <w:t xml:space="preserve"> </w:t>
      </w:r>
      <w:r w:rsidRPr="00B25B63">
        <w:t>věty</w:t>
      </w:r>
      <w:r>
        <w:t xml:space="preserve"> </w:t>
      </w:r>
      <w:r w:rsidRPr="00B25B63">
        <w:t>poslední,</w:t>
      </w:r>
    </w:p>
    <w:p w14:paraId="3070C93C" w14:textId="1FF14F9C" w:rsidR="00D917FA" w:rsidRDefault="00D917FA" w:rsidP="00D917FA">
      <w:pPr>
        <w:pStyle w:val="PZTextpsmene"/>
        <w:tabs>
          <w:tab w:val="left" w:pos="708"/>
          <w:tab w:val="left" w:pos="1416"/>
          <w:tab w:val="left" w:pos="2124"/>
          <w:tab w:val="left" w:pos="2832"/>
          <w:tab w:val="left" w:pos="3540"/>
          <w:tab w:val="left" w:pos="4248"/>
          <w:tab w:val="left" w:pos="5000"/>
        </w:tabs>
        <w:spacing w:before="0"/>
      </w:pPr>
      <w:r w:rsidRPr="00B25B63">
        <w:t>l</w:t>
      </w:r>
      <w:r>
        <w:t>)</w:t>
      </w:r>
      <w:r>
        <w:tab/>
      </w:r>
      <w:r w:rsidRPr="00B25B63">
        <w:t>schvalovat</w:t>
      </w:r>
      <w:r>
        <w:t xml:space="preserve"> </w:t>
      </w:r>
      <w:r w:rsidRPr="00B25B63">
        <w:t>významné</w:t>
      </w:r>
      <w:r>
        <w:t xml:space="preserve"> </w:t>
      </w:r>
      <w:r w:rsidRPr="00B25B63">
        <w:t>veřejné</w:t>
      </w:r>
      <w:r>
        <w:t xml:space="preserve"> </w:t>
      </w:r>
      <w:r w:rsidRPr="00B25B63">
        <w:t>zakázky.</w:t>
      </w:r>
      <w:r>
        <w:tab/>
      </w:r>
    </w:p>
    <w:p w14:paraId="71E4CB53" w14:textId="0C447289" w:rsidR="00D917FA" w:rsidRDefault="00D917FA" w:rsidP="005D3450">
      <w:pPr>
        <w:pStyle w:val="PZTextodstavce"/>
      </w:pPr>
      <w:proofErr w:type="gramStart"/>
      <w:r w:rsidRPr="00B25B63">
        <w:t>(2</w:t>
      </w:r>
      <w:r>
        <w:t xml:space="preserve">) </w:t>
      </w:r>
      <w:r w:rsidRPr="00B25B63">
        <w:t xml:space="preserve"> Do</w:t>
      </w:r>
      <w:proofErr w:type="gramEnd"/>
      <w:r>
        <w:t xml:space="preserve"> </w:t>
      </w:r>
      <w:r w:rsidRPr="00B25B63">
        <w:t>působnosti</w:t>
      </w:r>
      <w:r>
        <w:t xml:space="preserve"> </w:t>
      </w:r>
      <w:r w:rsidRPr="00B25B63">
        <w:t>správní</w:t>
      </w:r>
      <w:r>
        <w:t xml:space="preserve"> </w:t>
      </w:r>
      <w:r w:rsidRPr="00B25B63">
        <w:t>rady</w:t>
      </w:r>
      <w:r>
        <w:t xml:space="preserve"> </w:t>
      </w:r>
      <w:r w:rsidRPr="00B25B63">
        <w:t>dále</w:t>
      </w:r>
      <w:r>
        <w:t xml:space="preserve"> </w:t>
      </w:r>
      <w:r w:rsidRPr="00B25B63">
        <w:t>patří</w:t>
      </w:r>
    </w:p>
    <w:p w14:paraId="715928C2" w14:textId="77777777" w:rsidR="00D917FA" w:rsidRDefault="00D917FA" w:rsidP="00D917FA">
      <w:pPr>
        <w:pStyle w:val="PZTextpsmene"/>
        <w:spacing w:before="0"/>
      </w:pPr>
      <w:r w:rsidRPr="00B25B63">
        <w:t>a</w:t>
      </w:r>
      <w:r>
        <w:t>)</w:t>
      </w:r>
      <w:r>
        <w:tab/>
      </w:r>
      <w:r w:rsidRPr="00B25B63">
        <w:t>schvalovat</w:t>
      </w:r>
      <w:r>
        <w:t xml:space="preserve"> </w:t>
      </w:r>
      <w:r w:rsidRPr="00B25B63">
        <w:t>obecné</w:t>
      </w:r>
      <w:r>
        <w:t xml:space="preserve"> </w:t>
      </w:r>
      <w:r w:rsidRPr="00B25B63">
        <w:t>postupy</w:t>
      </w:r>
      <w:r>
        <w:t xml:space="preserve"> </w:t>
      </w:r>
      <w:r w:rsidRPr="00B25B63">
        <w:t>vyplácení</w:t>
      </w:r>
      <w:r>
        <w:t xml:space="preserve"> </w:t>
      </w:r>
      <w:r w:rsidRPr="00B25B63">
        <w:t>náhrad</w:t>
      </w:r>
      <w:r>
        <w:t xml:space="preserve"> </w:t>
      </w:r>
      <w:r w:rsidRPr="00B25B63">
        <w:t>z</w:t>
      </w:r>
      <w:r>
        <w:t xml:space="preserve"> </w:t>
      </w:r>
      <w:r w:rsidRPr="00B25B63">
        <w:t>Fondu</w:t>
      </w:r>
      <w:r>
        <w:t xml:space="preserve"> </w:t>
      </w:r>
      <w:r w:rsidRPr="00B25B63">
        <w:t>pojištění</w:t>
      </w:r>
      <w:r>
        <w:t xml:space="preserve"> </w:t>
      </w:r>
      <w:r w:rsidRPr="00B25B63">
        <w:t>vkladů</w:t>
      </w:r>
      <w:r>
        <w:t xml:space="preserve"> </w:t>
      </w:r>
      <w:r w:rsidRPr="00B25B63">
        <w:t>a</w:t>
      </w:r>
      <w:r>
        <w:t xml:space="preserve"> </w:t>
      </w:r>
      <w:r w:rsidRPr="00B25B63">
        <w:t>použití</w:t>
      </w:r>
      <w:r>
        <w:t xml:space="preserve"> </w:t>
      </w:r>
      <w:r w:rsidRPr="00B25B63">
        <w:t>prostředků</w:t>
      </w:r>
      <w:r>
        <w:t xml:space="preserve"> </w:t>
      </w:r>
      <w:r w:rsidRPr="00B25B63">
        <w:t>Fondu</w:t>
      </w:r>
      <w:r>
        <w:t xml:space="preserve"> </w:t>
      </w:r>
      <w:r w:rsidRPr="00B25B63">
        <w:t>pro</w:t>
      </w:r>
      <w:r>
        <w:t xml:space="preserve"> </w:t>
      </w:r>
      <w:r w:rsidRPr="00B25B63">
        <w:t>řešení</w:t>
      </w:r>
      <w:r>
        <w:t xml:space="preserve"> </w:t>
      </w:r>
      <w:r w:rsidRPr="00B25B63">
        <w:t>krize,</w:t>
      </w:r>
    </w:p>
    <w:p w14:paraId="047D9331" w14:textId="77777777" w:rsidR="00D917FA" w:rsidRDefault="00D917FA" w:rsidP="00D917FA">
      <w:pPr>
        <w:pStyle w:val="PZTextpsmene"/>
        <w:spacing w:before="0"/>
      </w:pPr>
      <w:r w:rsidRPr="00B25B63">
        <w:t>b</w:t>
      </w:r>
      <w:r>
        <w:t>)</w:t>
      </w:r>
      <w:r>
        <w:tab/>
      </w:r>
      <w:r w:rsidRPr="00B25B63">
        <w:t>schvalovat</w:t>
      </w:r>
      <w:r>
        <w:t xml:space="preserve"> </w:t>
      </w:r>
      <w:r w:rsidRPr="00B25B63">
        <w:t>převod</w:t>
      </w:r>
      <w:r>
        <w:t xml:space="preserve"> </w:t>
      </w:r>
      <w:r w:rsidRPr="00B25B63">
        <w:t>majetku</w:t>
      </w:r>
      <w:r>
        <w:t xml:space="preserve"> </w:t>
      </w:r>
      <w:r w:rsidRPr="00B25B63">
        <w:t>z</w:t>
      </w:r>
      <w:r>
        <w:t xml:space="preserve"> </w:t>
      </w:r>
      <w:r w:rsidRPr="00B25B63">
        <w:t>provozního</w:t>
      </w:r>
      <w:r>
        <w:t xml:space="preserve"> </w:t>
      </w:r>
      <w:r w:rsidRPr="00B25B63">
        <w:t>do</w:t>
      </w:r>
      <w:r>
        <w:t xml:space="preserve"> </w:t>
      </w:r>
      <w:r w:rsidRPr="00B25B63">
        <w:t>příspěvkového</w:t>
      </w:r>
      <w:r>
        <w:t xml:space="preserve"> </w:t>
      </w:r>
      <w:r w:rsidRPr="00B25B63">
        <w:t>fondu</w:t>
      </w:r>
      <w:r>
        <w:t xml:space="preserve"> </w:t>
      </w:r>
      <w:proofErr w:type="spellStart"/>
      <w:r w:rsidRPr="00B25B63">
        <w:t>Fondu</w:t>
      </w:r>
      <w:proofErr w:type="spellEnd"/>
      <w:r>
        <w:t xml:space="preserve"> </w:t>
      </w:r>
      <w:r w:rsidRPr="00B25B63">
        <w:t>pro</w:t>
      </w:r>
      <w:r>
        <w:t xml:space="preserve"> </w:t>
      </w:r>
      <w:r w:rsidRPr="00B25B63">
        <w:t>řešení</w:t>
      </w:r>
      <w:r>
        <w:t xml:space="preserve"> </w:t>
      </w:r>
      <w:r w:rsidRPr="00B25B63">
        <w:t>krize,</w:t>
      </w:r>
    </w:p>
    <w:p w14:paraId="608463E3" w14:textId="77777777" w:rsidR="00D917FA" w:rsidRDefault="00D917FA" w:rsidP="00D917FA">
      <w:pPr>
        <w:pStyle w:val="PZTextpsmene"/>
        <w:spacing w:before="0"/>
      </w:pPr>
      <w:r w:rsidRPr="00B25B63">
        <w:t>c</w:t>
      </w:r>
      <w:r>
        <w:t>)</w:t>
      </w:r>
      <w:r>
        <w:tab/>
      </w:r>
      <w:r w:rsidRPr="00B25B63">
        <w:t>rozhodovat</w:t>
      </w:r>
      <w:r>
        <w:t xml:space="preserve"> </w:t>
      </w:r>
      <w:r w:rsidRPr="00B25B63">
        <w:t>o</w:t>
      </w:r>
      <w:r>
        <w:t xml:space="preserve"> </w:t>
      </w:r>
      <w:r w:rsidRPr="00B25B63">
        <w:t>přijetí</w:t>
      </w:r>
      <w:r>
        <w:t xml:space="preserve"> </w:t>
      </w:r>
      <w:r w:rsidRPr="00B25B63">
        <w:t>nebo</w:t>
      </w:r>
      <w:r>
        <w:t xml:space="preserve"> </w:t>
      </w:r>
      <w:r w:rsidRPr="00B25B63">
        <w:t>poskytnutí</w:t>
      </w:r>
      <w:r>
        <w:t xml:space="preserve"> </w:t>
      </w:r>
      <w:r w:rsidRPr="00B25B63">
        <w:t>zápůjčky</w:t>
      </w:r>
      <w:r>
        <w:t xml:space="preserve"> </w:t>
      </w:r>
      <w:r w:rsidRPr="00B25B63">
        <w:t>nebo</w:t>
      </w:r>
      <w:r>
        <w:t xml:space="preserve"> </w:t>
      </w:r>
      <w:r w:rsidRPr="00B25B63">
        <w:t>úvěru</w:t>
      </w:r>
      <w:r>
        <w:t xml:space="preserve"> </w:t>
      </w:r>
      <w:r w:rsidRPr="00B25B63">
        <w:t>a</w:t>
      </w:r>
      <w:r>
        <w:t xml:space="preserve"> </w:t>
      </w:r>
      <w:r w:rsidRPr="00B25B63">
        <w:t>o</w:t>
      </w:r>
      <w:r>
        <w:t xml:space="preserve"> </w:t>
      </w:r>
      <w:r w:rsidRPr="00B25B63">
        <w:t>přijetí</w:t>
      </w:r>
      <w:r>
        <w:t xml:space="preserve"> </w:t>
      </w:r>
      <w:r w:rsidRPr="00B25B63">
        <w:t>dotace</w:t>
      </w:r>
      <w:r>
        <w:t xml:space="preserve"> </w:t>
      </w:r>
      <w:r w:rsidRPr="00B25B63">
        <w:t>nebo</w:t>
      </w:r>
      <w:r>
        <w:t xml:space="preserve"> </w:t>
      </w:r>
      <w:r w:rsidRPr="00B25B63">
        <w:t>návratné</w:t>
      </w:r>
      <w:r>
        <w:t xml:space="preserve"> </w:t>
      </w:r>
      <w:r w:rsidRPr="00B25B63">
        <w:t>finanční</w:t>
      </w:r>
      <w:r>
        <w:t xml:space="preserve"> </w:t>
      </w:r>
      <w:r w:rsidRPr="00B25B63">
        <w:t>výpomoci</w:t>
      </w:r>
      <w:r>
        <w:t xml:space="preserve"> </w:t>
      </w:r>
      <w:r w:rsidRPr="00B25B63">
        <w:t>ve</w:t>
      </w:r>
      <w:r>
        <w:t xml:space="preserve"> </w:t>
      </w:r>
      <w:r w:rsidRPr="00B25B63">
        <w:t>vztahu</w:t>
      </w:r>
      <w:r>
        <w:t xml:space="preserve"> </w:t>
      </w:r>
      <w:r w:rsidRPr="00B25B63">
        <w:t>k</w:t>
      </w:r>
      <w:r>
        <w:t xml:space="preserve"> </w:t>
      </w:r>
      <w:r w:rsidRPr="00B25B63">
        <w:t>Fondu</w:t>
      </w:r>
      <w:r>
        <w:t xml:space="preserve"> </w:t>
      </w:r>
      <w:r w:rsidRPr="00B25B63">
        <w:t>pojištění</w:t>
      </w:r>
      <w:r>
        <w:t xml:space="preserve"> </w:t>
      </w:r>
      <w:r w:rsidRPr="00B25B63">
        <w:t>vkladů</w:t>
      </w:r>
      <w:r>
        <w:t xml:space="preserve"> </w:t>
      </w:r>
      <w:r w:rsidRPr="00B25B63">
        <w:t>a</w:t>
      </w:r>
      <w:r>
        <w:t xml:space="preserve"> </w:t>
      </w:r>
      <w:r w:rsidRPr="00B25B63">
        <w:t>Fondu</w:t>
      </w:r>
      <w:r>
        <w:t xml:space="preserve"> </w:t>
      </w:r>
      <w:r w:rsidRPr="00B25B63">
        <w:t>pro</w:t>
      </w:r>
      <w:r>
        <w:t xml:space="preserve"> </w:t>
      </w:r>
      <w:r w:rsidRPr="00B25B63">
        <w:t>řešení</w:t>
      </w:r>
      <w:r>
        <w:t xml:space="preserve"> </w:t>
      </w:r>
      <w:r w:rsidRPr="00B25B63">
        <w:t>krize,</w:t>
      </w:r>
    </w:p>
    <w:p w14:paraId="51F8F84B" w14:textId="77777777" w:rsidR="00D917FA" w:rsidRDefault="00D917FA" w:rsidP="00D917FA">
      <w:pPr>
        <w:pStyle w:val="PZTextpsmene"/>
        <w:spacing w:before="0"/>
      </w:pPr>
      <w:r w:rsidRPr="00B25B63">
        <w:t>d</w:t>
      </w:r>
      <w:r>
        <w:t>)</w:t>
      </w:r>
      <w:r>
        <w:tab/>
      </w:r>
      <w:r w:rsidRPr="00B25B63">
        <w:t>rozhodovat</w:t>
      </w:r>
      <w:r>
        <w:t xml:space="preserve"> </w:t>
      </w:r>
      <w:r w:rsidRPr="00B25B63">
        <w:t>o</w:t>
      </w:r>
      <w:r>
        <w:t xml:space="preserve"> </w:t>
      </w:r>
      <w:r w:rsidRPr="00B25B63">
        <w:t>převzetí</w:t>
      </w:r>
      <w:r>
        <w:t xml:space="preserve"> </w:t>
      </w:r>
      <w:r w:rsidRPr="00B25B63">
        <w:t>dluhu,</w:t>
      </w:r>
      <w:r>
        <w:t xml:space="preserve"> </w:t>
      </w:r>
      <w:r w:rsidRPr="00B25B63">
        <w:t>přistoupení</w:t>
      </w:r>
      <w:r>
        <w:t xml:space="preserve"> </w:t>
      </w:r>
      <w:r w:rsidRPr="00B25B63">
        <w:t>k</w:t>
      </w:r>
      <w:r>
        <w:t xml:space="preserve"> </w:t>
      </w:r>
      <w:r w:rsidRPr="00B25B63">
        <w:t>dluhu</w:t>
      </w:r>
      <w:r>
        <w:t xml:space="preserve"> </w:t>
      </w:r>
      <w:r w:rsidRPr="00B25B63">
        <w:t>nebo</w:t>
      </w:r>
      <w:r>
        <w:t xml:space="preserve"> </w:t>
      </w:r>
      <w:r w:rsidRPr="00B25B63">
        <w:t>zajištění</w:t>
      </w:r>
      <w:r>
        <w:t xml:space="preserve"> </w:t>
      </w:r>
      <w:r w:rsidRPr="00B25B63">
        <w:t>dluhu</w:t>
      </w:r>
      <w:r>
        <w:t xml:space="preserve"> </w:t>
      </w:r>
      <w:r w:rsidRPr="00B25B63">
        <w:t>jiné</w:t>
      </w:r>
      <w:r>
        <w:t xml:space="preserve"> </w:t>
      </w:r>
      <w:r w:rsidRPr="00B25B63">
        <w:t>osoby,</w:t>
      </w:r>
    </w:p>
    <w:p w14:paraId="575A469D" w14:textId="77777777" w:rsidR="00D917FA" w:rsidRDefault="00D917FA" w:rsidP="00D917FA">
      <w:pPr>
        <w:pStyle w:val="PZTextpsmene"/>
        <w:spacing w:before="0"/>
      </w:pPr>
      <w:r w:rsidRPr="00B25B63">
        <w:t>e</w:t>
      </w:r>
      <w:r>
        <w:t>)</w:t>
      </w:r>
      <w:r>
        <w:tab/>
      </w:r>
      <w:r w:rsidRPr="00B25B63">
        <w:t>rozhodovat</w:t>
      </w:r>
      <w:r>
        <w:t xml:space="preserve"> </w:t>
      </w:r>
      <w:r w:rsidRPr="00B25B63">
        <w:t>o</w:t>
      </w:r>
      <w:r>
        <w:t xml:space="preserve"> </w:t>
      </w:r>
      <w:r w:rsidRPr="00B25B63">
        <w:t>postoupení</w:t>
      </w:r>
      <w:r>
        <w:t xml:space="preserve"> </w:t>
      </w:r>
      <w:r w:rsidRPr="00B25B63">
        <w:t>pohledávky</w:t>
      </w:r>
      <w:r>
        <w:t xml:space="preserve"> </w:t>
      </w:r>
      <w:r w:rsidRPr="00B25B63">
        <w:t>s</w:t>
      </w:r>
      <w:r>
        <w:t xml:space="preserve"> </w:t>
      </w:r>
      <w:r w:rsidRPr="00B25B63">
        <w:t>hodnotou</w:t>
      </w:r>
      <w:r>
        <w:t xml:space="preserve"> </w:t>
      </w:r>
      <w:r w:rsidRPr="00B25B63">
        <w:t>vyšší</w:t>
      </w:r>
      <w:r>
        <w:t xml:space="preserve"> </w:t>
      </w:r>
      <w:r w:rsidRPr="00B25B63">
        <w:t>než</w:t>
      </w:r>
      <w:r>
        <w:t xml:space="preserve"> </w:t>
      </w:r>
      <w:r w:rsidRPr="00B25B63">
        <w:t>100</w:t>
      </w:r>
      <w:r>
        <w:t xml:space="preserve"> </w:t>
      </w:r>
      <w:r w:rsidRPr="00B25B63">
        <w:t>000</w:t>
      </w:r>
      <w:r>
        <w:t xml:space="preserve"> </w:t>
      </w:r>
      <w:r w:rsidRPr="00B25B63">
        <w:t>Kč,</w:t>
      </w:r>
    </w:p>
    <w:p w14:paraId="3D53C80E" w14:textId="77777777" w:rsidR="00D917FA" w:rsidRDefault="00D917FA" w:rsidP="00D917FA">
      <w:pPr>
        <w:pStyle w:val="PZTextpsmene"/>
        <w:spacing w:before="0"/>
      </w:pPr>
      <w:r w:rsidRPr="00B25B63">
        <w:t>f</w:t>
      </w:r>
      <w:r>
        <w:t>)</w:t>
      </w:r>
      <w:r>
        <w:tab/>
      </w:r>
      <w:r w:rsidRPr="00B25B63">
        <w:t>rozhodovat</w:t>
      </w:r>
      <w:r>
        <w:t xml:space="preserve"> </w:t>
      </w:r>
      <w:r w:rsidRPr="00B25B63">
        <w:t>o</w:t>
      </w:r>
      <w:r>
        <w:t xml:space="preserve"> </w:t>
      </w:r>
      <w:r w:rsidRPr="00B25B63">
        <w:t>vzdání</w:t>
      </w:r>
      <w:r>
        <w:t xml:space="preserve"> </w:t>
      </w:r>
      <w:r w:rsidRPr="00B25B63">
        <w:t>se</w:t>
      </w:r>
      <w:r>
        <w:t xml:space="preserve"> </w:t>
      </w:r>
      <w:r w:rsidRPr="00B25B63">
        <w:t>práva</w:t>
      </w:r>
      <w:r>
        <w:t xml:space="preserve"> </w:t>
      </w:r>
      <w:r w:rsidRPr="00B25B63">
        <w:t>nebo</w:t>
      </w:r>
      <w:r>
        <w:t xml:space="preserve"> </w:t>
      </w:r>
      <w:r w:rsidRPr="00B25B63">
        <w:t>prominutí</w:t>
      </w:r>
      <w:r>
        <w:t xml:space="preserve"> </w:t>
      </w:r>
      <w:r w:rsidRPr="00B25B63">
        <w:t>dluhu</w:t>
      </w:r>
      <w:r>
        <w:t xml:space="preserve"> </w:t>
      </w:r>
      <w:r w:rsidRPr="00B25B63">
        <w:t>v</w:t>
      </w:r>
      <w:r>
        <w:t xml:space="preserve"> </w:t>
      </w:r>
      <w:r w:rsidRPr="00B25B63">
        <w:t>hodnotě</w:t>
      </w:r>
      <w:r>
        <w:t xml:space="preserve"> </w:t>
      </w:r>
      <w:r w:rsidRPr="00B25B63">
        <w:t>vyšší</w:t>
      </w:r>
      <w:r>
        <w:t xml:space="preserve"> </w:t>
      </w:r>
      <w:r w:rsidRPr="00B25B63">
        <w:t>než</w:t>
      </w:r>
      <w:r>
        <w:t xml:space="preserve"> </w:t>
      </w:r>
      <w:r w:rsidRPr="00B25B63">
        <w:t>10</w:t>
      </w:r>
      <w:r>
        <w:t xml:space="preserve"> </w:t>
      </w:r>
      <w:r w:rsidRPr="00B25B63">
        <w:t>000</w:t>
      </w:r>
      <w:r>
        <w:t xml:space="preserve"> </w:t>
      </w:r>
      <w:r w:rsidRPr="00B25B63">
        <w:t>Kč,</w:t>
      </w:r>
    </w:p>
    <w:p w14:paraId="522EA4D1" w14:textId="77777777" w:rsidR="00D917FA" w:rsidRDefault="00D917FA" w:rsidP="00D917FA">
      <w:pPr>
        <w:pStyle w:val="PZTextpsmene"/>
        <w:spacing w:before="0"/>
      </w:pPr>
      <w:r w:rsidRPr="00B25B63">
        <w:t>g</w:t>
      </w:r>
      <w:r>
        <w:t>)</w:t>
      </w:r>
      <w:r>
        <w:tab/>
      </w:r>
      <w:r w:rsidRPr="00B25B63">
        <w:t>rozhodovat</w:t>
      </w:r>
      <w:r>
        <w:t xml:space="preserve"> </w:t>
      </w:r>
      <w:r w:rsidRPr="00B25B63">
        <w:t>o</w:t>
      </w:r>
      <w:r>
        <w:t xml:space="preserve"> </w:t>
      </w:r>
      <w:r w:rsidRPr="00B25B63">
        <w:t>poskytnutí</w:t>
      </w:r>
      <w:r>
        <w:t xml:space="preserve"> </w:t>
      </w:r>
      <w:r w:rsidRPr="00B25B63">
        <w:t>daru</w:t>
      </w:r>
      <w:r>
        <w:t xml:space="preserve"> </w:t>
      </w:r>
      <w:r w:rsidRPr="00B25B63">
        <w:t>v</w:t>
      </w:r>
      <w:r>
        <w:t xml:space="preserve"> </w:t>
      </w:r>
      <w:r w:rsidRPr="00B25B63">
        <w:t>hodnotě</w:t>
      </w:r>
      <w:r>
        <w:t xml:space="preserve"> </w:t>
      </w:r>
      <w:r w:rsidRPr="00B25B63">
        <w:t>vyšší</w:t>
      </w:r>
      <w:r>
        <w:t xml:space="preserve"> </w:t>
      </w:r>
      <w:r w:rsidRPr="00B25B63">
        <w:t>než</w:t>
      </w:r>
      <w:r>
        <w:t xml:space="preserve"> </w:t>
      </w:r>
      <w:r w:rsidRPr="00B25B63">
        <w:t>10</w:t>
      </w:r>
      <w:r>
        <w:t xml:space="preserve"> </w:t>
      </w:r>
      <w:r w:rsidRPr="00B25B63">
        <w:t>000</w:t>
      </w:r>
      <w:r>
        <w:t xml:space="preserve"> </w:t>
      </w:r>
      <w:r w:rsidRPr="00B25B63">
        <w:t>Kč,</w:t>
      </w:r>
    </w:p>
    <w:p w14:paraId="6275B6B2" w14:textId="77777777" w:rsidR="00D917FA" w:rsidRDefault="00D917FA" w:rsidP="00D917FA">
      <w:pPr>
        <w:pStyle w:val="PZTextpsmene"/>
        <w:spacing w:before="0"/>
      </w:pPr>
      <w:r w:rsidRPr="00B25B63">
        <w:t>h</w:t>
      </w:r>
      <w:r>
        <w:t>)</w:t>
      </w:r>
      <w:r>
        <w:tab/>
      </w:r>
      <w:r w:rsidRPr="00B25B63">
        <w:t>rozhodovat</w:t>
      </w:r>
      <w:r>
        <w:t xml:space="preserve"> </w:t>
      </w:r>
      <w:r w:rsidRPr="00B25B63">
        <w:t>o</w:t>
      </w:r>
      <w:r>
        <w:t xml:space="preserve"> </w:t>
      </w:r>
      <w:r w:rsidRPr="00B25B63">
        <w:t>vydání</w:t>
      </w:r>
      <w:r>
        <w:t xml:space="preserve"> </w:t>
      </w:r>
      <w:r w:rsidRPr="00B25B63">
        <w:t>dluhopisů,</w:t>
      </w:r>
    </w:p>
    <w:p w14:paraId="58EEC386" w14:textId="77777777" w:rsidR="00D917FA" w:rsidRDefault="00D917FA" w:rsidP="00D917FA">
      <w:pPr>
        <w:pStyle w:val="PZTextpsmene"/>
        <w:spacing w:before="0"/>
      </w:pPr>
      <w:r w:rsidRPr="00B25B63">
        <w:t>i</w:t>
      </w:r>
      <w:r>
        <w:t>)</w:t>
      </w:r>
      <w:r>
        <w:tab/>
      </w:r>
      <w:r w:rsidRPr="00B25B63">
        <w:t>rozhodovat</w:t>
      </w:r>
      <w:r>
        <w:t xml:space="preserve"> </w:t>
      </w:r>
      <w:r w:rsidRPr="00B25B63">
        <w:t>o</w:t>
      </w:r>
      <w:r>
        <w:t xml:space="preserve"> </w:t>
      </w:r>
      <w:r w:rsidRPr="00B25B63">
        <w:t>uzavření</w:t>
      </w:r>
      <w:r>
        <w:t xml:space="preserve"> </w:t>
      </w:r>
      <w:r w:rsidRPr="00B25B63">
        <w:t>smluv</w:t>
      </w:r>
      <w:r>
        <w:t xml:space="preserve"> </w:t>
      </w:r>
      <w:r w:rsidRPr="00B25B63">
        <w:t>s</w:t>
      </w:r>
      <w:r>
        <w:t xml:space="preserve"> </w:t>
      </w:r>
      <w:r w:rsidRPr="00B25B63">
        <w:t>hodnotou</w:t>
      </w:r>
      <w:r>
        <w:t xml:space="preserve"> </w:t>
      </w:r>
      <w:r w:rsidRPr="00B25B63">
        <w:t>plnění</w:t>
      </w:r>
      <w:r>
        <w:t xml:space="preserve"> </w:t>
      </w:r>
      <w:r w:rsidRPr="00B25B63">
        <w:t>vyšší</w:t>
      </w:r>
      <w:r>
        <w:t xml:space="preserve"> </w:t>
      </w:r>
      <w:r w:rsidRPr="00B25B63">
        <w:t>než</w:t>
      </w:r>
      <w:r>
        <w:t xml:space="preserve"> </w:t>
      </w:r>
      <w:r w:rsidRPr="00B25B63">
        <w:t>2</w:t>
      </w:r>
      <w:r>
        <w:t xml:space="preserve"> </w:t>
      </w:r>
      <w:r w:rsidRPr="00B25B63">
        <w:t>000</w:t>
      </w:r>
      <w:r>
        <w:t xml:space="preserve"> </w:t>
      </w:r>
      <w:r w:rsidRPr="00B25B63">
        <w:t>000</w:t>
      </w:r>
      <w:r>
        <w:t xml:space="preserve"> </w:t>
      </w:r>
      <w:r w:rsidRPr="00B25B63">
        <w:t>Kč;</w:t>
      </w:r>
      <w:r>
        <w:t xml:space="preserve"> </w:t>
      </w:r>
      <w:r w:rsidRPr="00B25B63">
        <w:t>ve</w:t>
      </w:r>
      <w:r>
        <w:t xml:space="preserve"> </w:t>
      </w:r>
      <w:r w:rsidRPr="00B25B63">
        <w:t>vztahu</w:t>
      </w:r>
      <w:r>
        <w:t xml:space="preserve"> </w:t>
      </w:r>
      <w:r w:rsidRPr="00B25B63">
        <w:t>ke</w:t>
      </w:r>
      <w:r>
        <w:t xml:space="preserve"> </w:t>
      </w:r>
      <w:r w:rsidRPr="00B25B63">
        <w:t>smlouvě</w:t>
      </w:r>
      <w:r>
        <w:t xml:space="preserve"> </w:t>
      </w:r>
      <w:r w:rsidRPr="00B25B63">
        <w:t>uzavřené</w:t>
      </w:r>
      <w:r>
        <w:t xml:space="preserve"> </w:t>
      </w:r>
      <w:r w:rsidRPr="00B25B63">
        <w:t>na</w:t>
      </w:r>
      <w:r>
        <w:t xml:space="preserve"> </w:t>
      </w:r>
      <w:r w:rsidRPr="00B25B63">
        <w:t>dobu</w:t>
      </w:r>
      <w:r>
        <w:t xml:space="preserve"> </w:t>
      </w:r>
      <w:r w:rsidRPr="00B25B63">
        <w:t>neurčitou</w:t>
      </w:r>
      <w:r>
        <w:t xml:space="preserve"> </w:t>
      </w:r>
      <w:r w:rsidRPr="00B25B63">
        <w:t>se</w:t>
      </w:r>
      <w:r>
        <w:t xml:space="preserve"> </w:t>
      </w:r>
      <w:r w:rsidRPr="00B25B63">
        <w:t>hodnota</w:t>
      </w:r>
      <w:r>
        <w:t xml:space="preserve"> </w:t>
      </w:r>
      <w:r w:rsidRPr="00B25B63">
        <w:t>plnění</w:t>
      </w:r>
      <w:r>
        <w:t xml:space="preserve"> </w:t>
      </w:r>
      <w:r w:rsidRPr="00B25B63">
        <w:t>pro</w:t>
      </w:r>
      <w:r>
        <w:t xml:space="preserve"> </w:t>
      </w:r>
      <w:r w:rsidRPr="00B25B63">
        <w:t>tento</w:t>
      </w:r>
      <w:r>
        <w:t xml:space="preserve"> </w:t>
      </w:r>
      <w:r w:rsidRPr="00B25B63">
        <w:t>účel</w:t>
      </w:r>
      <w:r>
        <w:t xml:space="preserve"> </w:t>
      </w:r>
      <w:r w:rsidRPr="00B25B63">
        <w:t>počítá</w:t>
      </w:r>
      <w:r>
        <w:t xml:space="preserve"> </w:t>
      </w:r>
      <w:r w:rsidRPr="00B25B63">
        <w:t>za</w:t>
      </w:r>
      <w:r>
        <w:t xml:space="preserve"> </w:t>
      </w:r>
      <w:r w:rsidRPr="00B25B63">
        <w:t>dobu</w:t>
      </w:r>
      <w:r>
        <w:t xml:space="preserve"> </w:t>
      </w:r>
      <w:r w:rsidRPr="00B25B63">
        <w:t>4</w:t>
      </w:r>
      <w:r>
        <w:t xml:space="preserve"> </w:t>
      </w:r>
      <w:r w:rsidRPr="00B25B63">
        <w:t>let</w:t>
      </w:r>
      <w:r>
        <w:t xml:space="preserve"> </w:t>
      </w:r>
      <w:r w:rsidRPr="00B25B63">
        <w:t>trvání</w:t>
      </w:r>
      <w:r>
        <w:t xml:space="preserve"> </w:t>
      </w:r>
      <w:r w:rsidRPr="00B25B63">
        <w:t>smlouvy,</w:t>
      </w:r>
    </w:p>
    <w:p w14:paraId="5ACFC4FE" w14:textId="77777777" w:rsidR="00D917FA" w:rsidRDefault="00D917FA" w:rsidP="00D917FA">
      <w:pPr>
        <w:pStyle w:val="PZTextpsmene"/>
        <w:spacing w:before="0"/>
      </w:pPr>
      <w:r w:rsidRPr="00B25B63">
        <w:t>j</w:t>
      </w:r>
      <w:r>
        <w:t>)</w:t>
      </w:r>
      <w:r>
        <w:tab/>
      </w:r>
      <w:r w:rsidRPr="00B25B63">
        <w:t>rozhodovat</w:t>
      </w:r>
      <w:r>
        <w:t xml:space="preserve"> </w:t>
      </w:r>
      <w:r w:rsidRPr="00B25B63">
        <w:t>o</w:t>
      </w:r>
      <w:r>
        <w:t xml:space="preserve"> </w:t>
      </w:r>
      <w:r w:rsidRPr="00B25B63">
        <w:t>nabytí,</w:t>
      </w:r>
      <w:r>
        <w:t xml:space="preserve"> </w:t>
      </w:r>
      <w:r w:rsidRPr="00B25B63">
        <w:t>převodu,</w:t>
      </w:r>
      <w:r>
        <w:t xml:space="preserve"> </w:t>
      </w:r>
      <w:r w:rsidRPr="00B25B63">
        <w:t>zastavení</w:t>
      </w:r>
      <w:r>
        <w:t xml:space="preserve"> </w:t>
      </w:r>
      <w:r w:rsidRPr="00B25B63">
        <w:t>nebo</w:t>
      </w:r>
      <w:r>
        <w:t xml:space="preserve"> </w:t>
      </w:r>
      <w:r w:rsidRPr="00B25B63">
        <w:t>jiném</w:t>
      </w:r>
      <w:r>
        <w:t xml:space="preserve"> </w:t>
      </w:r>
      <w:r w:rsidRPr="00B25B63">
        <w:t>obdobném</w:t>
      </w:r>
      <w:r>
        <w:t xml:space="preserve"> </w:t>
      </w:r>
      <w:r w:rsidRPr="00B25B63">
        <w:t>nakládání</w:t>
      </w:r>
      <w:r>
        <w:t xml:space="preserve"> </w:t>
      </w:r>
      <w:r w:rsidRPr="00B25B63">
        <w:t>s</w:t>
      </w:r>
      <w:r>
        <w:t xml:space="preserve"> </w:t>
      </w:r>
      <w:r w:rsidRPr="00B25B63">
        <w:t>nemovitou</w:t>
      </w:r>
      <w:r>
        <w:t xml:space="preserve"> </w:t>
      </w:r>
      <w:r w:rsidRPr="00B25B63">
        <w:t>věcí,</w:t>
      </w:r>
    </w:p>
    <w:p w14:paraId="6FC531E4" w14:textId="77777777" w:rsidR="00D917FA" w:rsidRDefault="00D917FA" w:rsidP="00D917FA">
      <w:pPr>
        <w:pStyle w:val="PZTextpsmene"/>
        <w:spacing w:before="0"/>
      </w:pPr>
      <w:r w:rsidRPr="00B25B63">
        <w:t>k</w:t>
      </w:r>
      <w:r>
        <w:t>)</w:t>
      </w:r>
      <w:r>
        <w:tab/>
      </w:r>
      <w:r w:rsidRPr="00B25B63">
        <w:t>schvalovat</w:t>
      </w:r>
      <w:r>
        <w:t xml:space="preserve"> </w:t>
      </w:r>
      <w:r w:rsidRPr="00B25B63">
        <w:t>dohodu</w:t>
      </w:r>
      <w:r>
        <w:t xml:space="preserve"> </w:t>
      </w:r>
      <w:r w:rsidRPr="00B25B63">
        <w:t>podle</w:t>
      </w:r>
      <w:r>
        <w:t xml:space="preserve"> </w:t>
      </w:r>
      <w:r w:rsidRPr="00B25B63">
        <w:t>§</w:t>
      </w:r>
      <w:r>
        <w:t xml:space="preserve"> </w:t>
      </w:r>
      <w:r w:rsidRPr="00B25B63">
        <w:t>41o</w:t>
      </w:r>
      <w:r>
        <w:t xml:space="preserve"> </w:t>
      </w:r>
      <w:r w:rsidRPr="00B25B63">
        <w:t>odst.</w:t>
      </w:r>
      <w:r>
        <w:t xml:space="preserve"> </w:t>
      </w:r>
      <w:r w:rsidRPr="00B25B63">
        <w:t>2</w:t>
      </w:r>
      <w:r>
        <w:t xml:space="preserve"> </w:t>
      </w:r>
      <w:r w:rsidRPr="00B25B63">
        <w:t>zákona</w:t>
      </w:r>
      <w:r>
        <w:t xml:space="preserve"> </w:t>
      </w:r>
      <w:r w:rsidRPr="00B25B63">
        <w:t>upravujícího</w:t>
      </w:r>
      <w:r>
        <w:t xml:space="preserve"> </w:t>
      </w:r>
      <w:r w:rsidRPr="00B25B63">
        <w:t>činnost</w:t>
      </w:r>
      <w:r>
        <w:t xml:space="preserve"> </w:t>
      </w:r>
      <w:r w:rsidRPr="00B25B63">
        <w:t>bank,</w:t>
      </w:r>
    </w:p>
    <w:p w14:paraId="7B17EE10" w14:textId="77777777" w:rsidR="00D917FA" w:rsidRDefault="00D917FA" w:rsidP="00D917FA">
      <w:pPr>
        <w:pStyle w:val="PZTextpsmene"/>
        <w:spacing w:before="0"/>
      </w:pPr>
      <w:r w:rsidRPr="00B25B63">
        <w:t>l</w:t>
      </w:r>
      <w:r>
        <w:t>)</w:t>
      </w:r>
      <w:r>
        <w:tab/>
      </w:r>
      <w:r w:rsidRPr="00B25B63">
        <w:t>schvalovat</w:t>
      </w:r>
      <w:r>
        <w:t xml:space="preserve"> </w:t>
      </w:r>
      <w:r w:rsidRPr="00B25B63">
        <w:t>žádost</w:t>
      </w:r>
      <w:r>
        <w:t xml:space="preserve"> </w:t>
      </w:r>
      <w:r w:rsidRPr="00B25B63">
        <w:t>o</w:t>
      </w:r>
      <w:r>
        <w:t xml:space="preserve"> </w:t>
      </w:r>
      <w:r w:rsidRPr="00B25B63">
        <w:t>poskytnutí</w:t>
      </w:r>
      <w:r>
        <w:t xml:space="preserve"> </w:t>
      </w:r>
      <w:r w:rsidRPr="00B25B63">
        <w:t>úvěru</w:t>
      </w:r>
      <w:r>
        <w:t xml:space="preserve"> </w:t>
      </w:r>
      <w:r w:rsidRPr="00B25B63">
        <w:t>z</w:t>
      </w:r>
      <w:r>
        <w:t xml:space="preserve"> </w:t>
      </w:r>
      <w:r w:rsidRPr="00B25B63">
        <w:t>Fondu</w:t>
      </w:r>
      <w:r>
        <w:t xml:space="preserve"> </w:t>
      </w:r>
      <w:r w:rsidRPr="00B25B63">
        <w:t>pro</w:t>
      </w:r>
      <w:r>
        <w:t xml:space="preserve"> </w:t>
      </w:r>
      <w:r w:rsidRPr="00B25B63">
        <w:t>řešení</w:t>
      </w:r>
      <w:r>
        <w:t xml:space="preserve"> </w:t>
      </w:r>
      <w:r w:rsidRPr="00B25B63">
        <w:t>krize</w:t>
      </w:r>
      <w:r>
        <w:t xml:space="preserve"> </w:t>
      </w:r>
      <w:r w:rsidRPr="00B25B63">
        <w:t>pro</w:t>
      </w:r>
      <w:r>
        <w:t xml:space="preserve"> </w:t>
      </w:r>
      <w:r w:rsidRPr="00B25B63">
        <w:t>účely</w:t>
      </w:r>
      <w:r>
        <w:t xml:space="preserve"> </w:t>
      </w:r>
      <w:r w:rsidRPr="00B25B63">
        <w:t>finanční</w:t>
      </w:r>
      <w:r>
        <w:t xml:space="preserve"> </w:t>
      </w:r>
      <w:r w:rsidRPr="00B25B63">
        <w:t>výpomoci</w:t>
      </w:r>
      <w:r>
        <w:t xml:space="preserve"> </w:t>
      </w:r>
      <w:r w:rsidRPr="00B25B63">
        <w:t>mechanismu</w:t>
      </w:r>
      <w:r>
        <w:t xml:space="preserve"> </w:t>
      </w:r>
      <w:r w:rsidRPr="00B25B63">
        <w:t>financování</w:t>
      </w:r>
      <w:r>
        <w:t xml:space="preserve"> </w:t>
      </w:r>
      <w:r w:rsidRPr="00B25B63">
        <w:t>řešení</w:t>
      </w:r>
      <w:r>
        <w:t xml:space="preserve"> </w:t>
      </w:r>
      <w:r w:rsidRPr="00B25B63">
        <w:t>krize</w:t>
      </w:r>
      <w:r>
        <w:t xml:space="preserve"> </w:t>
      </w:r>
      <w:r w:rsidRPr="00B25B63">
        <w:t>jiného</w:t>
      </w:r>
      <w:r>
        <w:t xml:space="preserve"> </w:t>
      </w:r>
      <w:r w:rsidRPr="00B25B63">
        <w:t>členského</w:t>
      </w:r>
      <w:r>
        <w:t xml:space="preserve"> </w:t>
      </w:r>
      <w:r w:rsidRPr="00B25B63">
        <w:t>státu</w:t>
      </w:r>
      <w:r>
        <w:t xml:space="preserve"> </w:t>
      </w:r>
      <w:r w:rsidRPr="00B25B63">
        <w:t>a</w:t>
      </w:r>
      <w:r>
        <w:t xml:space="preserve"> </w:t>
      </w:r>
      <w:r w:rsidRPr="00B25B63">
        <w:t>pro</w:t>
      </w:r>
      <w:r>
        <w:t xml:space="preserve"> </w:t>
      </w:r>
      <w:r w:rsidRPr="00B25B63">
        <w:t>účely</w:t>
      </w:r>
      <w:r>
        <w:t xml:space="preserve"> </w:t>
      </w:r>
      <w:r w:rsidRPr="00B25B63">
        <w:t>skupinového</w:t>
      </w:r>
      <w:r>
        <w:t xml:space="preserve"> </w:t>
      </w:r>
      <w:r w:rsidRPr="00B25B63">
        <w:t>řešení</w:t>
      </w:r>
      <w:r>
        <w:t xml:space="preserve"> </w:t>
      </w:r>
      <w:r w:rsidRPr="00B25B63">
        <w:t>krize.</w:t>
      </w:r>
    </w:p>
    <w:p w14:paraId="6014CDED" w14:textId="7173EE90" w:rsidR="00D917FA" w:rsidRDefault="00D917FA" w:rsidP="005D3450">
      <w:pPr>
        <w:pStyle w:val="PZTextodstavce"/>
      </w:pPr>
      <w:r w:rsidRPr="00B25B63">
        <w:t>(3</w:t>
      </w:r>
      <w:r>
        <w:t xml:space="preserve">) </w:t>
      </w:r>
      <w:r w:rsidRPr="00B25B63">
        <w:t>Správní</w:t>
      </w:r>
      <w:r>
        <w:t xml:space="preserve"> </w:t>
      </w:r>
      <w:r w:rsidRPr="00B25B63">
        <w:t>rada</w:t>
      </w:r>
      <w:r>
        <w:t xml:space="preserve"> </w:t>
      </w:r>
      <w:r w:rsidRPr="00B25B63">
        <w:t>si</w:t>
      </w:r>
      <w:r>
        <w:t xml:space="preserve"> </w:t>
      </w:r>
      <w:r w:rsidRPr="00B25B63">
        <w:t>může</w:t>
      </w:r>
      <w:r>
        <w:t xml:space="preserve"> </w:t>
      </w:r>
      <w:r w:rsidRPr="00B25B63">
        <w:t>vyhradit</w:t>
      </w:r>
      <w:r>
        <w:t xml:space="preserve"> </w:t>
      </w:r>
      <w:r w:rsidRPr="00B25B63">
        <w:t>rozhodování</w:t>
      </w:r>
      <w:r>
        <w:t xml:space="preserve"> </w:t>
      </w:r>
      <w:r w:rsidRPr="00B25B63">
        <w:t>ve</w:t>
      </w:r>
      <w:r>
        <w:t xml:space="preserve"> </w:t>
      </w:r>
      <w:r w:rsidRPr="00B25B63">
        <w:t>věcech,</w:t>
      </w:r>
      <w:r>
        <w:t xml:space="preserve"> </w:t>
      </w:r>
      <w:r w:rsidRPr="00B25B63">
        <w:t>které</w:t>
      </w:r>
      <w:r>
        <w:t xml:space="preserve"> </w:t>
      </w:r>
      <w:r w:rsidRPr="00B25B63">
        <w:t>podle</w:t>
      </w:r>
      <w:r>
        <w:t xml:space="preserve"> </w:t>
      </w:r>
      <w:r w:rsidRPr="00B25B63">
        <w:t>zákona</w:t>
      </w:r>
      <w:r>
        <w:t xml:space="preserve"> </w:t>
      </w:r>
      <w:r w:rsidRPr="00B25B63">
        <w:t>náleží</w:t>
      </w:r>
      <w:r>
        <w:t xml:space="preserve"> </w:t>
      </w:r>
      <w:r w:rsidRPr="00B25B63">
        <w:t>do</w:t>
      </w:r>
      <w:r>
        <w:t xml:space="preserve"> </w:t>
      </w:r>
      <w:r w:rsidRPr="00B25B63">
        <w:t>působnosti</w:t>
      </w:r>
      <w:r>
        <w:t xml:space="preserve"> </w:t>
      </w:r>
      <w:r w:rsidRPr="00B25B63">
        <w:t>výkonné</w:t>
      </w:r>
      <w:r>
        <w:t xml:space="preserve"> </w:t>
      </w:r>
      <w:r w:rsidRPr="00B25B63">
        <w:t>rady.</w:t>
      </w:r>
    </w:p>
    <w:p w14:paraId="192CEF84" w14:textId="4E775DA4" w:rsidR="00D917FA" w:rsidRDefault="00D917FA" w:rsidP="005D3450">
      <w:pPr>
        <w:pStyle w:val="PZTextodstavce"/>
      </w:pPr>
      <w:r w:rsidRPr="00B25B63">
        <w:t>(4</w:t>
      </w:r>
      <w:r>
        <w:t xml:space="preserve">) </w:t>
      </w:r>
      <w:r w:rsidRPr="00B25B63">
        <w:t>Způsob</w:t>
      </w:r>
      <w:r>
        <w:t xml:space="preserve"> </w:t>
      </w:r>
      <w:r w:rsidRPr="00B25B63">
        <w:t>přijímaní</w:t>
      </w:r>
      <w:r>
        <w:t xml:space="preserve"> </w:t>
      </w:r>
      <w:r w:rsidRPr="00B25B63">
        <w:t>rozhodnutí</w:t>
      </w:r>
      <w:r>
        <w:t xml:space="preserve"> </w:t>
      </w:r>
      <w:r w:rsidRPr="00B25B63">
        <w:t>správní</w:t>
      </w:r>
      <w:r>
        <w:t xml:space="preserve"> </w:t>
      </w:r>
      <w:r w:rsidRPr="00B25B63">
        <w:t>rady</w:t>
      </w:r>
      <w:r>
        <w:t xml:space="preserve"> </w:t>
      </w:r>
      <w:r w:rsidRPr="00B25B63">
        <w:t>podle</w:t>
      </w:r>
      <w:r>
        <w:t xml:space="preserve"> </w:t>
      </w:r>
      <w:r w:rsidRPr="00B25B63">
        <w:t>odstavců</w:t>
      </w:r>
      <w:r>
        <w:t xml:space="preserve"> </w:t>
      </w:r>
      <w:r w:rsidRPr="00B25B63">
        <w:t>1</w:t>
      </w:r>
      <w:r>
        <w:t xml:space="preserve"> </w:t>
      </w:r>
      <w:r w:rsidRPr="00B25B63">
        <w:t>až</w:t>
      </w:r>
      <w:r>
        <w:t xml:space="preserve"> </w:t>
      </w:r>
      <w:r w:rsidRPr="00B25B63">
        <w:t>3</w:t>
      </w:r>
      <w:r>
        <w:t xml:space="preserve"> </w:t>
      </w:r>
      <w:r w:rsidRPr="00B25B63">
        <w:t>a</w:t>
      </w:r>
      <w:r>
        <w:t xml:space="preserve"> </w:t>
      </w:r>
      <w:r w:rsidRPr="00B25B63">
        <w:t>6</w:t>
      </w:r>
      <w:r>
        <w:t xml:space="preserve"> </w:t>
      </w:r>
      <w:r w:rsidRPr="00B25B63">
        <w:t>stanoví</w:t>
      </w:r>
      <w:r>
        <w:t xml:space="preserve"> </w:t>
      </w:r>
      <w:r w:rsidRPr="00B25B63">
        <w:t>statut</w:t>
      </w:r>
      <w:r>
        <w:t xml:space="preserve"> </w:t>
      </w:r>
      <w:r w:rsidRPr="00B25B63">
        <w:t>Garančního</w:t>
      </w:r>
      <w:r>
        <w:t xml:space="preserve"> </w:t>
      </w:r>
      <w:r w:rsidRPr="00B25B63">
        <w:t>systému.</w:t>
      </w:r>
    </w:p>
    <w:p w14:paraId="6BED5C70" w14:textId="393A1CB9" w:rsidR="00D917FA" w:rsidRDefault="00D917FA" w:rsidP="005D3450">
      <w:pPr>
        <w:pStyle w:val="PZTextodstavce"/>
      </w:pPr>
      <w:r w:rsidRPr="00B25B63">
        <w:t>(5</w:t>
      </w:r>
      <w:r>
        <w:t xml:space="preserve">) </w:t>
      </w:r>
      <w:r w:rsidRPr="00B25B63">
        <w:t>Vůči</w:t>
      </w:r>
      <w:r>
        <w:t xml:space="preserve"> </w:t>
      </w:r>
      <w:r w:rsidRPr="00B25B63">
        <w:t>členům</w:t>
      </w:r>
      <w:r>
        <w:t xml:space="preserve"> </w:t>
      </w:r>
      <w:r w:rsidRPr="00B25B63">
        <w:t>výkonné</w:t>
      </w:r>
      <w:r>
        <w:t xml:space="preserve"> </w:t>
      </w:r>
      <w:r w:rsidRPr="00B25B63">
        <w:t>rady</w:t>
      </w:r>
      <w:r>
        <w:t xml:space="preserve"> </w:t>
      </w:r>
      <w:r w:rsidRPr="00B25B63">
        <w:t>právně</w:t>
      </w:r>
      <w:r>
        <w:t xml:space="preserve"> </w:t>
      </w:r>
      <w:r w:rsidRPr="00B25B63">
        <w:t>jedná</w:t>
      </w:r>
      <w:r>
        <w:t xml:space="preserve"> </w:t>
      </w:r>
      <w:r w:rsidRPr="00B25B63">
        <w:t>za</w:t>
      </w:r>
      <w:r>
        <w:t xml:space="preserve"> </w:t>
      </w:r>
      <w:r w:rsidRPr="00B25B63">
        <w:t>Garanční</w:t>
      </w:r>
      <w:r>
        <w:t xml:space="preserve"> </w:t>
      </w:r>
      <w:r w:rsidRPr="00B25B63">
        <w:t>systém</w:t>
      </w:r>
      <w:r>
        <w:t xml:space="preserve"> </w:t>
      </w:r>
      <w:r w:rsidRPr="00B25B63">
        <w:t>předseda</w:t>
      </w:r>
      <w:r>
        <w:t xml:space="preserve"> </w:t>
      </w:r>
      <w:r w:rsidRPr="00B25B63">
        <w:t>nebo</w:t>
      </w:r>
      <w:r>
        <w:t xml:space="preserve"> </w:t>
      </w:r>
      <w:r w:rsidRPr="00B25B63">
        <w:t>místopředseda</w:t>
      </w:r>
      <w:r>
        <w:t xml:space="preserve"> </w:t>
      </w:r>
      <w:r w:rsidRPr="00B25B63">
        <w:t>správní</w:t>
      </w:r>
      <w:r>
        <w:t xml:space="preserve"> </w:t>
      </w:r>
      <w:r w:rsidRPr="00B25B63">
        <w:t>rady</w:t>
      </w:r>
      <w:r>
        <w:t xml:space="preserve"> </w:t>
      </w:r>
      <w:r w:rsidRPr="00B25B63">
        <w:t>nebo</w:t>
      </w:r>
      <w:r>
        <w:t xml:space="preserve"> </w:t>
      </w:r>
      <w:r w:rsidRPr="00B25B63">
        <w:t>její</w:t>
      </w:r>
      <w:r>
        <w:t xml:space="preserve"> </w:t>
      </w:r>
      <w:r w:rsidRPr="00B25B63">
        <w:t>člen,</w:t>
      </w:r>
      <w:r>
        <w:t xml:space="preserve"> </w:t>
      </w:r>
      <w:r w:rsidRPr="00B25B63">
        <w:t>který</w:t>
      </w:r>
      <w:r>
        <w:t xml:space="preserve"> </w:t>
      </w:r>
      <w:r w:rsidRPr="00B25B63">
        <w:t>byl</w:t>
      </w:r>
      <w:r>
        <w:t xml:space="preserve"> </w:t>
      </w:r>
      <w:r w:rsidRPr="00B25B63">
        <w:t>k</w:t>
      </w:r>
      <w:r>
        <w:t xml:space="preserve"> </w:t>
      </w:r>
      <w:r w:rsidRPr="00B25B63">
        <w:t>tomu</w:t>
      </w:r>
      <w:r>
        <w:t xml:space="preserve"> </w:t>
      </w:r>
      <w:r w:rsidRPr="00B25B63">
        <w:t>správní</w:t>
      </w:r>
      <w:r>
        <w:t xml:space="preserve"> </w:t>
      </w:r>
      <w:r w:rsidRPr="00B25B63">
        <w:t>radou</w:t>
      </w:r>
      <w:r>
        <w:t xml:space="preserve"> </w:t>
      </w:r>
      <w:r w:rsidRPr="00B25B63">
        <w:t>pověřen.</w:t>
      </w:r>
    </w:p>
    <w:p w14:paraId="0C002B74" w14:textId="669A051B" w:rsidR="00D917FA" w:rsidRPr="008A5FA7" w:rsidRDefault="00D917FA" w:rsidP="005D3450">
      <w:pPr>
        <w:pStyle w:val="Textodstavce"/>
        <w:ind w:firstLine="425"/>
      </w:pPr>
      <w:r w:rsidRPr="00B25B63">
        <w:t>(6</w:t>
      </w:r>
      <w:r>
        <w:t xml:space="preserve">) </w:t>
      </w:r>
      <w:r w:rsidRPr="00B25B63">
        <w:t>Správní</w:t>
      </w:r>
      <w:r>
        <w:t xml:space="preserve"> </w:t>
      </w:r>
      <w:r w:rsidRPr="00B25B63">
        <w:t>rada</w:t>
      </w:r>
      <w:r>
        <w:t xml:space="preserve"> </w:t>
      </w:r>
      <w:r w:rsidRPr="00B25B63">
        <w:t>může</w:t>
      </w:r>
      <w:r>
        <w:t xml:space="preserve"> </w:t>
      </w:r>
      <w:r w:rsidRPr="00B25B63">
        <w:t>pověřit</w:t>
      </w:r>
      <w:r>
        <w:t xml:space="preserve"> </w:t>
      </w:r>
      <w:r w:rsidRPr="00B25B63">
        <w:t>schvalováním</w:t>
      </w:r>
      <w:r>
        <w:t xml:space="preserve"> </w:t>
      </w:r>
      <w:r w:rsidRPr="00B25B63">
        <w:t>vnitřních</w:t>
      </w:r>
      <w:r>
        <w:t xml:space="preserve"> </w:t>
      </w:r>
      <w:r w:rsidRPr="00B25B63">
        <w:t>předpisů</w:t>
      </w:r>
      <w:r>
        <w:t xml:space="preserve"> </w:t>
      </w:r>
      <w:r w:rsidRPr="00B25B63">
        <w:t>Garančního</w:t>
      </w:r>
      <w:r>
        <w:t xml:space="preserve"> </w:t>
      </w:r>
      <w:r w:rsidRPr="00B25B63">
        <w:t>systému</w:t>
      </w:r>
      <w:r>
        <w:t xml:space="preserve"> </w:t>
      </w:r>
      <w:r w:rsidRPr="00B25B63">
        <w:t>podle</w:t>
      </w:r>
      <w:r>
        <w:t xml:space="preserve"> </w:t>
      </w:r>
      <w:r w:rsidRPr="00B25B63">
        <w:t>odstavce</w:t>
      </w:r>
      <w:r>
        <w:t xml:space="preserve"> </w:t>
      </w:r>
      <w:r w:rsidRPr="00B25B63">
        <w:t>1</w:t>
      </w:r>
      <w:r>
        <w:t xml:space="preserve"> </w:t>
      </w:r>
      <w:r w:rsidRPr="00B25B63">
        <w:t>písm.</w:t>
      </w:r>
      <w:r>
        <w:t xml:space="preserve"> </w:t>
      </w:r>
      <w:r w:rsidRPr="00B25B63">
        <w:t>g)</w:t>
      </w:r>
      <w:r>
        <w:t xml:space="preserve"> </w:t>
      </w:r>
      <w:r w:rsidRPr="00B25B63">
        <w:t>výkonnou</w:t>
      </w:r>
      <w:r>
        <w:t xml:space="preserve"> </w:t>
      </w:r>
      <w:r w:rsidRPr="00B25B63">
        <w:t>radu.</w:t>
      </w:r>
    </w:p>
    <w:p w14:paraId="7D8FB0DE" w14:textId="77777777" w:rsidR="00D917FA" w:rsidRPr="003B5E5E" w:rsidRDefault="00D917FA" w:rsidP="00992796">
      <w:pPr>
        <w:pStyle w:val="Paragraf"/>
        <w:numPr>
          <w:ilvl w:val="0"/>
          <w:numId w:val="39"/>
        </w:numPr>
        <w:spacing w:after="120"/>
      </w:pPr>
      <w:r w:rsidRPr="003B5E5E">
        <w:lastRenderedPageBreak/>
        <w:t>***</w:t>
      </w:r>
    </w:p>
    <w:p w14:paraId="0C81298A" w14:textId="77777777" w:rsidR="00D917FA" w:rsidRPr="003B5E5E" w:rsidRDefault="00D917FA" w:rsidP="00992796">
      <w:pPr>
        <w:pStyle w:val="Paragraf"/>
        <w:numPr>
          <w:ilvl w:val="0"/>
          <w:numId w:val="39"/>
        </w:numPr>
        <w:spacing w:after="120"/>
        <w:rPr>
          <w:strike/>
        </w:rPr>
      </w:pPr>
      <w:r w:rsidRPr="003B5E5E">
        <w:rPr>
          <w:strike/>
        </w:rPr>
        <w:t xml:space="preserve">§ 205 </w:t>
      </w:r>
    </w:p>
    <w:p w14:paraId="52235465" w14:textId="77777777" w:rsidR="00D917FA" w:rsidRPr="003B5E5E" w:rsidRDefault="00D917FA" w:rsidP="00D917FA">
      <w:pPr>
        <w:pStyle w:val="Nadpisparagrafu"/>
        <w:spacing w:after="120"/>
        <w:rPr>
          <w:strike/>
        </w:rPr>
      </w:pPr>
      <w:r w:rsidRPr="003B5E5E">
        <w:rPr>
          <w:strike/>
        </w:rPr>
        <w:t>Účetnictví</w:t>
      </w:r>
    </w:p>
    <w:p w14:paraId="3069888D" w14:textId="100A9867" w:rsidR="00D917FA" w:rsidRPr="004208FE" w:rsidRDefault="00D917FA" w:rsidP="005D3450">
      <w:pPr>
        <w:pStyle w:val="PZTextodstavce"/>
        <w:rPr>
          <w:strike/>
        </w:rPr>
      </w:pPr>
      <w:r>
        <w:rPr>
          <w:strike/>
        </w:rPr>
        <w:t xml:space="preserve">(1) </w:t>
      </w:r>
      <w:r w:rsidRPr="004208FE">
        <w:rPr>
          <w:strike/>
        </w:rPr>
        <w:t>Garanční systém, Fond pojištění vkladů a Fond pro řešení krize tvoří tři samostatné účetní jednotky. Garanční systém účtuje o stavu a pohybu aktiv a pasiv, dále o výdajích a příjmech a o výsledku hospodaření odděleně od předmětu účetnictví Fondu pojištění vkladů a Fondu pro řešení krize.</w:t>
      </w:r>
    </w:p>
    <w:p w14:paraId="5BA8453D" w14:textId="23955C34" w:rsidR="00D917FA" w:rsidRPr="004208FE" w:rsidRDefault="00D917FA" w:rsidP="005D3450">
      <w:pPr>
        <w:pStyle w:val="PZTextodstavce"/>
        <w:rPr>
          <w:strike/>
        </w:rPr>
      </w:pPr>
      <w:r>
        <w:rPr>
          <w:strike/>
        </w:rPr>
        <w:t xml:space="preserve">(2) </w:t>
      </w:r>
      <w:r w:rsidRPr="004208FE">
        <w:rPr>
          <w:strike/>
        </w:rPr>
        <w:t>Garanční systém zajišťuje účtování o předmětu účetnictví v účetních knihách vedených odděleně pro Fond pojištění vkladů a Fond pro řešení krize způsobem umožňujícím sestavení účetní závěrky za každý jednotlivý fond. Účtování probíhá v souladu s účetními metodami podle zákona upravujícího účetnictví.</w:t>
      </w:r>
    </w:p>
    <w:p w14:paraId="617521F4" w14:textId="5CA5DF5F" w:rsidR="00D917FA" w:rsidRPr="004208FE" w:rsidRDefault="00D917FA" w:rsidP="005D3450">
      <w:pPr>
        <w:pStyle w:val="PZTextodstavce"/>
        <w:rPr>
          <w:strike/>
        </w:rPr>
      </w:pPr>
      <w:r>
        <w:rPr>
          <w:strike/>
        </w:rPr>
        <w:t xml:space="preserve">(3) </w:t>
      </w:r>
      <w:r w:rsidRPr="004208FE">
        <w:rPr>
          <w:strike/>
        </w:rPr>
        <w:t>Účetní závěrka Garančního systému, účetní závěrka Fondu pojištění vkladů a účetní závěrka Fondu pro řešení krize musí být ověřené auditorem.</w:t>
      </w:r>
    </w:p>
    <w:p w14:paraId="65A483F3" w14:textId="76488CED" w:rsidR="00D917FA" w:rsidRPr="003B5E5E" w:rsidRDefault="00D917FA" w:rsidP="005D3450">
      <w:pPr>
        <w:pStyle w:val="PZTextodstavce"/>
        <w:rPr>
          <w:strike/>
        </w:rPr>
      </w:pPr>
      <w:r>
        <w:rPr>
          <w:strike/>
        </w:rPr>
        <w:t xml:space="preserve">(4) </w:t>
      </w:r>
      <w:r w:rsidRPr="004208FE">
        <w:rPr>
          <w:strike/>
        </w:rPr>
        <w:t>Garanční systém vypracuje výroční zprávu podle zákona upravujícího účetnictví a uveřejní ji na svých internetových stránkách.</w:t>
      </w:r>
    </w:p>
    <w:p w14:paraId="7366FA35" w14:textId="77777777" w:rsidR="00D917FA" w:rsidRPr="00000916" w:rsidRDefault="00D917FA" w:rsidP="00992796">
      <w:pPr>
        <w:pStyle w:val="Textodstavce"/>
        <w:keepNext/>
        <w:keepLines/>
        <w:numPr>
          <w:ilvl w:val="0"/>
          <w:numId w:val="69"/>
        </w:numPr>
        <w:spacing w:before="240"/>
        <w:jc w:val="center"/>
        <w:rPr>
          <w:b/>
        </w:rPr>
      </w:pPr>
      <w:r w:rsidRPr="00000916">
        <w:rPr>
          <w:b/>
        </w:rPr>
        <w:t>§ 205</w:t>
      </w:r>
    </w:p>
    <w:p w14:paraId="5099C9E6" w14:textId="77777777" w:rsidR="00D917FA" w:rsidRPr="003B5E5E" w:rsidRDefault="00D917FA" w:rsidP="00D917FA">
      <w:pPr>
        <w:pStyle w:val="Nadpisparagrafu"/>
        <w:spacing w:after="120"/>
      </w:pPr>
      <w:r w:rsidRPr="003B5E5E">
        <w:t>Účetnictví a daně</w:t>
      </w:r>
    </w:p>
    <w:p w14:paraId="36E36621" w14:textId="77777777" w:rsidR="00D917FA" w:rsidRPr="004208FE" w:rsidRDefault="00D917FA" w:rsidP="005564E1">
      <w:pPr>
        <w:pStyle w:val="Textodstavce"/>
        <w:ind w:firstLine="425"/>
        <w:rPr>
          <w:b/>
        </w:rPr>
      </w:pPr>
      <w:r w:rsidRPr="004208FE">
        <w:rPr>
          <w:b/>
        </w:rPr>
        <w:t>(1) Garanční systém zajišťuje plnění povinností Fondu pojištění vkladů a Fondu pro řešení krize souvisejících s </w:t>
      </w:r>
    </w:p>
    <w:p w14:paraId="4CD1D734" w14:textId="77777777" w:rsidR="00D917FA" w:rsidRPr="004208FE" w:rsidRDefault="00D917FA" w:rsidP="00D917FA">
      <w:pPr>
        <w:pStyle w:val="PZTextpsmene"/>
        <w:spacing w:before="0"/>
        <w:rPr>
          <w:b/>
        </w:rPr>
      </w:pPr>
      <w:r w:rsidRPr="004208FE">
        <w:rPr>
          <w:b/>
        </w:rPr>
        <w:t>a)</w:t>
      </w:r>
      <w:r w:rsidRPr="004208FE">
        <w:rPr>
          <w:b/>
        </w:rPr>
        <w:tab/>
        <w:t xml:space="preserve">účetnictvím a </w:t>
      </w:r>
    </w:p>
    <w:p w14:paraId="2939D037" w14:textId="77777777" w:rsidR="00D917FA" w:rsidRPr="004208FE" w:rsidRDefault="00D917FA" w:rsidP="00D917FA">
      <w:pPr>
        <w:pStyle w:val="PZTextpsmene"/>
        <w:spacing w:before="0"/>
        <w:rPr>
          <w:b/>
          <w:strike/>
        </w:rPr>
      </w:pPr>
      <w:r w:rsidRPr="004208FE">
        <w:rPr>
          <w:b/>
        </w:rPr>
        <w:t>b)</w:t>
      </w:r>
      <w:r w:rsidRPr="004208FE">
        <w:rPr>
          <w:b/>
        </w:rPr>
        <w:tab/>
        <w:t>daněmi, poplatky nebo jinými obdobnými peněžitými plněními.</w:t>
      </w:r>
      <w:r w:rsidRPr="004208FE">
        <w:rPr>
          <w:b/>
          <w:strike/>
        </w:rPr>
        <w:t xml:space="preserve"> </w:t>
      </w:r>
    </w:p>
    <w:p w14:paraId="29F59E28" w14:textId="77777777" w:rsidR="00D917FA" w:rsidRPr="004208FE" w:rsidRDefault="00D917FA" w:rsidP="005564E1">
      <w:pPr>
        <w:pStyle w:val="Textodstavce"/>
        <w:ind w:firstLine="425"/>
        <w:rPr>
          <w:b/>
        </w:rPr>
      </w:pPr>
      <w:r w:rsidRPr="004208FE">
        <w:rPr>
          <w:b/>
        </w:rPr>
        <w:t xml:space="preserve">(2) Garanční systém, Fond pojištění vkladů a Fond pro řešení krize jako účetní jednotky mají povinnosti auditu </w:t>
      </w:r>
      <w:r>
        <w:rPr>
          <w:b/>
        </w:rPr>
        <w:t xml:space="preserve">řádné </w:t>
      </w:r>
      <w:r w:rsidRPr="004208FE">
        <w:rPr>
          <w:b/>
        </w:rPr>
        <w:t>účetní závěrky.</w:t>
      </w:r>
    </w:p>
    <w:p w14:paraId="4EC125A5" w14:textId="77777777" w:rsidR="00D917FA" w:rsidRDefault="00D917FA" w:rsidP="005564E1">
      <w:pPr>
        <w:pStyle w:val="Textodstavce"/>
        <w:ind w:firstLine="425"/>
        <w:rPr>
          <w:b/>
        </w:rPr>
      </w:pPr>
      <w:r>
        <w:rPr>
          <w:b/>
        </w:rPr>
        <w:t xml:space="preserve">(3) </w:t>
      </w:r>
      <w:r w:rsidRPr="00AD6BE3">
        <w:rPr>
          <w:b/>
        </w:rPr>
        <w:t xml:space="preserve">Garanční systém vyhotovuje individuální zprávu vedení, která obsahuje pouze informace, které zajistí poskytnutí uceleného a vyváženého popisu vývoje a výkonnosti činnosti a hospodářské situace, včetně zásadních rizik a nejistot, kterým čelí, za </w:t>
      </w:r>
      <w:r>
        <w:rPr>
          <w:b/>
        </w:rPr>
        <w:t xml:space="preserve">individuální </w:t>
      </w:r>
      <w:r w:rsidRPr="00AD6BE3">
        <w:rPr>
          <w:b/>
        </w:rPr>
        <w:t>účetní období, analyzovan</w:t>
      </w:r>
      <w:r>
        <w:rPr>
          <w:b/>
        </w:rPr>
        <w:t xml:space="preserve">é pouze z finančního hlediska. Individuální zpráva vedení Garančního systému obsahuje informace podle věty první rovněž </w:t>
      </w:r>
      <w:r w:rsidRPr="00AD6BE3">
        <w:rPr>
          <w:b/>
        </w:rPr>
        <w:t>ve vztahu k Fondu pojištění v</w:t>
      </w:r>
      <w:r>
        <w:rPr>
          <w:b/>
        </w:rPr>
        <w:t>kladů a Fondu pro řešení krize.</w:t>
      </w:r>
      <w:r w:rsidRPr="00AD6BE3">
        <w:rPr>
          <w:b/>
        </w:rPr>
        <w:t xml:space="preserve"> Fond pojištění vkladů a Fond pro řešení krize jako účetní jednotky nevyhotovují individuální zprávu vedení.</w:t>
      </w:r>
    </w:p>
    <w:p w14:paraId="62CDFEDC" w14:textId="77777777" w:rsidR="00D917FA" w:rsidRPr="004208FE" w:rsidRDefault="00D917FA" w:rsidP="005564E1">
      <w:pPr>
        <w:pStyle w:val="Textodstavce"/>
        <w:ind w:firstLine="425"/>
        <w:rPr>
          <w:b/>
        </w:rPr>
      </w:pPr>
      <w:r w:rsidRPr="004208FE">
        <w:rPr>
          <w:b/>
        </w:rPr>
        <w:t>(4) Řádn</w:t>
      </w:r>
      <w:r>
        <w:rPr>
          <w:b/>
        </w:rPr>
        <w:t>é</w:t>
      </w:r>
      <w:r w:rsidRPr="004208FE">
        <w:rPr>
          <w:b/>
        </w:rPr>
        <w:t xml:space="preserve"> individuální </w:t>
      </w:r>
      <w:r>
        <w:rPr>
          <w:b/>
        </w:rPr>
        <w:t>účetní závěrky</w:t>
      </w:r>
      <w:r w:rsidRPr="004208FE">
        <w:rPr>
          <w:b/>
        </w:rPr>
        <w:t xml:space="preserve"> Fondu pojištění vkladů a Fondu pro řešení krize</w:t>
      </w:r>
      <w:r>
        <w:rPr>
          <w:b/>
        </w:rPr>
        <w:t xml:space="preserve"> a zprávy auditora o povinném auditu</w:t>
      </w:r>
      <w:r w:rsidRPr="004208FE">
        <w:rPr>
          <w:b/>
        </w:rPr>
        <w:t xml:space="preserve"> se zveřejňují ve veřejném rejstříku uložením do sbírky listin veřejného rejstříku, ve které se zveřejňuje řádná individuální </w:t>
      </w:r>
      <w:r>
        <w:rPr>
          <w:b/>
        </w:rPr>
        <w:t>účetní závěrka</w:t>
      </w:r>
      <w:r w:rsidRPr="004208FE">
        <w:rPr>
          <w:b/>
        </w:rPr>
        <w:t xml:space="preserve"> Garančního systému.</w:t>
      </w:r>
    </w:p>
    <w:p w14:paraId="13B7288C" w14:textId="77777777" w:rsidR="00D917FA" w:rsidRPr="004208FE" w:rsidRDefault="00D917FA" w:rsidP="005564E1">
      <w:pPr>
        <w:pStyle w:val="Textodstavce"/>
        <w:ind w:firstLine="425"/>
        <w:rPr>
          <w:b/>
        </w:rPr>
      </w:pPr>
      <w:r w:rsidRPr="004208FE">
        <w:rPr>
          <w:b/>
        </w:rPr>
        <w:t xml:space="preserve">(5) Garanční systém také ve lhůtě pro zveřejnění </w:t>
      </w:r>
      <w:r>
        <w:rPr>
          <w:b/>
        </w:rPr>
        <w:t>řádné účetní závěrky, zprávy podle zákona upravujícího účetnictví, jsou-li vyhotovovány, a zprávy o jejich ověření, jsou-li ověřovány,</w:t>
      </w:r>
      <w:r w:rsidRPr="004208FE">
        <w:rPr>
          <w:b/>
        </w:rPr>
        <w:t xml:space="preserve"> uveřejní </w:t>
      </w:r>
      <w:r>
        <w:rPr>
          <w:b/>
        </w:rPr>
        <w:t>tyto dokumenty</w:t>
      </w:r>
      <w:r w:rsidRPr="004208FE">
        <w:rPr>
          <w:b/>
        </w:rPr>
        <w:t xml:space="preserve"> a</w:t>
      </w:r>
      <w:r>
        <w:rPr>
          <w:b/>
        </w:rPr>
        <w:t xml:space="preserve"> řádné</w:t>
      </w:r>
      <w:r w:rsidRPr="004208FE">
        <w:rPr>
          <w:b/>
        </w:rPr>
        <w:t xml:space="preserve"> individuální </w:t>
      </w:r>
      <w:r>
        <w:rPr>
          <w:b/>
        </w:rPr>
        <w:t>účetní závěrky</w:t>
      </w:r>
      <w:r w:rsidRPr="004208FE">
        <w:rPr>
          <w:b/>
        </w:rPr>
        <w:t xml:space="preserve"> Fondu pojištění vkladů a Fondu pro řešení krize</w:t>
      </w:r>
      <w:r>
        <w:rPr>
          <w:b/>
        </w:rPr>
        <w:t xml:space="preserve"> a zprávy auditora o povinném auditu</w:t>
      </w:r>
      <w:r w:rsidRPr="004208FE">
        <w:rPr>
          <w:b/>
        </w:rPr>
        <w:t xml:space="preserve"> na internetových stránkách Garančního systému.</w:t>
      </w:r>
    </w:p>
    <w:p w14:paraId="2000B276" w14:textId="77777777" w:rsidR="00C62C41" w:rsidRDefault="00C62C41" w:rsidP="00C62C41">
      <w:pPr>
        <w:tabs>
          <w:tab w:val="left" w:pos="851"/>
        </w:tabs>
        <w:spacing w:before="120" w:after="120"/>
        <w:ind w:firstLine="0"/>
        <w:outlineLvl w:val="0"/>
      </w:pPr>
    </w:p>
    <w:p w14:paraId="55CB11F6" w14:textId="77777777" w:rsidR="00C62C41" w:rsidRDefault="00C62C41" w:rsidP="00C62C41">
      <w:pPr>
        <w:tabs>
          <w:tab w:val="left" w:pos="851"/>
        </w:tabs>
        <w:spacing w:before="120" w:after="120"/>
        <w:ind w:firstLine="0"/>
        <w:outlineLvl w:val="0"/>
        <w:sectPr w:rsidR="00C62C41" w:rsidSect="00554E2B">
          <w:footnotePr>
            <w:numStart w:val="3"/>
          </w:footnotePr>
          <w:endnotePr>
            <w:numFmt w:val="decimal"/>
          </w:endnotePr>
          <w:pgSz w:w="11906" w:h="16838"/>
          <w:pgMar w:top="1418" w:right="1418" w:bottom="1418" w:left="1418" w:header="709" w:footer="709" w:gutter="0"/>
          <w:cols w:space="708"/>
          <w:docGrid w:linePitch="360"/>
        </w:sectPr>
      </w:pPr>
    </w:p>
    <w:p w14:paraId="6A7CF3F0" w14:textId="5310AC24" w:rsidR="00C62C41" w:rsidRPr="00913BE1" w:rsidRDefault="00C62C41" w:rsidP="005564E1">
      <w:pPr>
        <w:tabs>
          <w:tab w:val="left" w:pos="851"/>
        </w:tabs>
        <w:spacing w:before="120" w:after="120"/>
        <w:ind w:firstLine="0"/>
        <w:jc w:val="center"/>
        <w:outlineLvl w:val="0"/>
        <w:rPr>
          <w:szCs w:val="24"/>
        </w:rPr>
      </w:pPr>
      <w:r w:rsidRPr="00913BE1">
        <w:rPr>
          <w:b/>
          <w:szCs w:val="24"/>
        </w:rPr>
        <w:lastRenderedPageBreak/>
        <w:t>K části sté</w:t>
      </w:r>
      <w:r w:rsidR="00635DDD">
        <w:rPr>
          <w:b/>
          <w:szCs w:val="24"/>
        </w:rPr>
        <w:t xml:space="preserve"> osmnácté</w:t>
      </w:r>
      <w:r w:rsidRPr="00913BE1">
        <w:rPr>
          <w:b/>
          <w:szCs w:val="24"/>
        </w:rPr>
        <w:t xml:space="preserve"> návrhu zákona – </w:t>
      </w:r>
      <w:r w:rsidRPr="00913BE1">
        <w:rPr>
          <w:szCs w:val="24"/>
        </w:rPr>
        <w:t>změna zákona</w:t>
      </w:r>
      <w:r w:rsidRPr="00913BE1">
        <w:t xml:space="preserve"> </w:t>
      </w:r>
      <w:r w:rsidRPr="00913BE1">
        <w:rPr>
          <w:szCs w:val="24"/>
        </w:rPr>
        <w:t>o zadávání veřejných zakázek</w:t>
      </w:r>
    </w:p>
    <w:p w14:paraId="56A73BC4" w14:textId="77777777" w:rsidR="00C62C41" w:rsidRPr="00913BE1" w:rsidRDefault="00C62C41" w:rsidP="00C62C41">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913BE1">
        <w:rPr>
          <w:b/>
          <w:szCs w:val="24"/>
        </w:rPr>
        <w:t>Platné znění</w:t>
      </w:r>
      <w:r w:rsidRPr="00913BE1">
        <w:rPr>
          <w:szCs w:val="24"/>
        </w:rPr>
        <w:t xml:space="preserve"> zákona č. 134/2016 Sb., o zadávání veřejných zakázek</w:t>
      </w:r>
    </w:p>
    <w:p w14:paraId="42FFFA67" w14:textId="77777777" w:rsidR="005564E1" w:rsidRPr="005564E1" w:rsidRDefault="005564E1" w:rsidP="005564E1">
      <w:pPr>
        <w:pStyle w:val="Odstavecseseznamem"/>
        <w:numPr>
          <w:ilvl w:val="0"/>
          <w:numId w:val="27"/>
        </w:numPr>
        <w:pBdr>
          <w:top w:val="single" w:sz="12" w:space="6" w:color="auto"/>
          <w:left w:val="single" w:sz="12" w:space="0" w:color="auto"/>
          <w:bottom w:val="single" w:sz="12" w:space="6" w:color="auto"/>
          <w:right w:val="single" w:sz="12" w:space="0" w:color="auto"/>
        </w:pBdr>
        <w:spacing w:after="120"/>
        <w:jc w:val="center"/>
        <w:rPr>
          <w:b/>
          <w:szCs w:val="24"/>
          <w:lang w:eastAsia="en-US"/>
        </w:rPr>
      </w:pPr>
      <w:r w:rsidRPr="005564E1">
        <w:rPr>
          <w:b/>
          <w:szCs w:val="24"/>
          <w:lang w:eastAsia="en-US"/>
        </w:rPr>
        <w:t>s vyznačením navrhovaných změn a doplnění k 1. lednu 2025</w:t>
      </w:r>
      <w:r w:rsidRPr="00181A4A">
        <w:t xml:space="preserve"> </w:t>
      </w:r>
    </w:p>
    <w:p w14:paraId="592C9C75" w14:textId="77777777" w:rsidR="00C62C41" w:rsidRPr="00913BE1" w:rsidRDefault="00C62C41" w:rsidP="00C62C41">
      <w:pPr>
        <w:pStyle w:val="Textparagrafu"/>
        <w:numPr>
          <w:ilvl w:val="0"/>
          <w:numId w:val="27"/>
        </w:numPr>
        <w:tabs>
          <w:tab w:val="left" w:pos="392"/>
          <w:tab w:val="left" w:pos="840"/>
        </w:tabs>
        <w:spacing w:after="120"/>
        <w:jc w:val="center"/>
      </w:pPr>
      <w:r w:rsidRPr="00913BE1">
        <w:t>***</w:t>
      </w:r>
    </w:p>
    <w:p w14:paraId="5171C029" w14:textId="77777777" w:rsidR="00913BE1" w:rsidRDefault="00913BE1" w:rsidP="00913BE1">
      <w:pPr>
        <w:pStyle w:val="Textparagrafu"/>
        <w:numPr>
          <w:ilvl w:val="0"/>
          <w:numId w:val="27"/>
        </w:numPr>
        <w:tabs>
          <w:tab w:val="left" w:pos="392"/>
          <w:tab w:val="left" w:pos="840"/>
        </w:tabs>
        <w:spacing w:after="120"/>
        <w:jc w:val="center"/>
      </w:pPr>
      <w:r w:rsidRPr="00940986">
        <w:t>§</w:t>
      </w:r>
      <w:r>
        <w:t xml:space="preserve"> </w:t>
      </w:r>
      <w:r w:rsidRPr="00940986">
        <w:t>13</w:t>
      </w:r>
    </w:p>
    <w:p w14:paraId="13E5BE96" w14:textId="3F09F6FC" w:rsidR="00913BE1" w:rsidRPr="00913BE1" w:rsidRDefault="00913BE1" w:rsidP="00913BE1">
      <w:pPr>
        <w:pStyle w:val="Textparagrafu"/>
        <w:tabs>
          <w:tab w:val="left" w:pos="392"/>
          <w:tab w:val="left" w:pos="840"/>
        </w:tabs>
        <w:spacing w:after="120"/>
        <w:ind w:firstLine="0"/>
        <w:jc w:val="center"/>
        <w:rPr>
          <w:b/>
        </w:rPr>
      </w:pPr>
      <w:r w:rsidRPr="00913BE1">
        <w:rPr>
          <w:b/>
        </w:rPr>
        <w:t>Podíl činnosti</w:t>
      </w:r>
    </w:p>
    <w:p w14:paraId="6FCD443A" w14:textId="77777777" w:rsidR="00913BE1" w:rsidRPr="00940986" w:rsidRDefault="00913BE1" w:rsidP="005564E1">
      <w:pPr>
        <w:pStyle w:val="Textparagrafu"/>
        <w:numPr>
          <w:ilvl w:val="0"/>
          <w:numId w:val="27"/>
        </w:numPr>
        <w:tabs>
          <w:tab w:val="left" w:pos="392"/>
          <w:tab w:val="left" w:pos="840"/>
        </w:tabs>
        <w:spacing w:before="120" w:after="120"/>
        <w:ind w:firstLine="425"/>
      </w:pPr>
      <w:r w:rsidRPr="00940986">
        <w:t>(1)</w:t>
      </w:r>
      <w:r>
        <w:t xml:space="preserve"> </w:t>
      </w:r>
      <w:r w:rsidRPr="00940986">
        <w:t>Pro</w:t>
      </w:r>
      <w:r>
        <w:t xml:space="preserve"> </w:t>
      </w:r>
      <w:r w:rsidRPr="00940986">
        <w:t>určení</w:t>
      </w:r>
      <w:r>
        <w:t xml:space="preserve"> </w:t>
      </w:r>
      <w:r w:rsidRPr="00940986">
        <w:t>podílu</w:t>
      </w:r>
      <w:r>
        <w:t xml:space="preserve"> </w:t>
      </w:r>
      <w:r w:rsidRPr="00940986">
        <w:t>činností</w:t>
      </w:r>
      <w:r>
        <w:t xml:space="preserve"> </w:t>
      </w:r>
      <w:r w:rsidRPr="00940986">
        <w:t>podle</w:t>
      </w:r>
      <w:r>
        <w:t xml:space="preserve"> </w:t>
      </w:r>
      <w:r w:rsidRPr="00940986">
        <w:t>§</w:t>
      </w:r>
      <w:r>
        <w:t xml:space="preserve"> </w:t>
      </w:r>
      <w:r w:rsidRPr="00940986">
        <w:t>11</w:t>
      </w:r>
      <w:r>
        <w:t xml:space="preserve"> </w:t>
      </w:r>
      <w:r w:rsidRPr="00940986">
        <w:t>odst.</w:t>
      </w:r>
      <w:r>
        <w:t xml:space="preserve"> </w:t>
      </w:r>
      <w:r w:rsidRPr="00940986">
        <w:t>1</w:t>
      </w:r>
      <w:r>
        <w:t xml:space="preserve"> </w:t>
      </w:r>
      <w:r w:rsidRPr="00940986">
        <w:t>písm.</w:t>
      </w:r>
      <w:r>
        <w:t xml:space="preserve"> </w:t>
      </w:r>
      <w:r w:rsidRPr="00940986">
        <w:t>c)</w:t>
      </w:r>
      <w:r>
        <w:t xml:space="preserve"> </w:t>
      </w:r>
      <w:r w:rsidRPr="00940986">
        <w:t>nebo</w:t>
      </w:r>
      <w:r>
        <w:t xml:space="preserve"> </w:t>
      </w:r>
      <w:r w:rsidRPr="00940986">
        <w:t>§</w:t>
      </w:r>
      <w:r>
        <w:t xml:space="preserve"> </w:t>
      </w:r>
      <w:r w:rsidRPr="00940986">
        <w:t>12</w:t>
      </w:r>
      <w:r>
        <w:t xml:space="preserve"> </w:t>
      </w:r>
      <w:r w:rsidRPr="00940986">
        <w:t>písm.</w:t>
      </w:r>
      <w:r>
        <w:t xml:space="preserve"> </w:t>
      </w:r>
      <w:r w:rsidRPr="00940986">
        <w:t>c)</w:t>
      </w:r>
      <w:r>
        <w:t xml:space="preserve"> </w:t>
      </w:r>
      <w:r w:rsidRPr="00940986">
        <w:t>se</w:t>
      </w:r>
      <w:r>
        <w:t xml:space="preserve"> </w:t>
      </w:r>
      <w:r w:rsidRPr="00940986">
        <w:t>bere</w:t>
      </w:r>
      <w:r>
        <w:t xml:space="preserve"> </w:t>
      </w:r>
      <w:r w:rsidRPr="00940986">
        <w:t>v</w:t>
      </w:r>
      <w:r>
        <w:t xml:space="preserve"> </w:t>
      </w:r>
      <w:r w:rsidRPr="00940986">
        <w:t>úvahu</w:t>
      </w:r>
      <w:r>
        <w:t xml:space="preserve"> </w:t>
      </w:r>
      <w:r w:rsidRPr="00940986">
        <w:t>průměrný</w:t>
      </w:r>
      <w:r>
        <w:t xml:space="preserve"> </w:t>
      </w:r>
      <w:r w:rsidRPr="00940986">
        <w:t>obrat,</w:t>
      </w:r>
      <w:r>
        <w:t xml:space="preserve"> </w:t>
      </w:r>
      <w:r w:rsidRPr="00940986">
        <w:t>pokud</w:t>
      </w:r>
      <w:r>
        <w:t xml:space="preserve"> </w:t>
      </w:r>
      <w:r w:rsidRPr="00940986">
        <w:t>je</w:t>
      </w:r>
      <w:r>
        <w:t xml:space="preserve"> </w:t>
      </w:r>
      <w:r w:rsidRPr="00940986">
        <w:t>činnost,</w:t>
      </w:r>
      <w:r>
        <w:t xml:space="preserve"> </w:t>
      </w:r>
      <w:r w:rsidRPr="00940986">
        <w:t>která</w:t>
      </w:r>
      <w:r>
        <w:t xml:space="preserve"> </w:t>
      </w:r>
      <w:r w:rsidRPr="00940986">
        <w:t>je</w:t>
      </w:r>
      <w:r>
        <w:t xml:space="preserve"> </w:t>
      </w:r>
      <w:r w:rsidRPr="00940986">
        <w:t>předmětem</w:t>
      </w:r>
      <w:r>
        <w:t xml:space="preserve"> </w:t>
      </w:r>
      <w:r w:rsidRPr="00940986">
        <w:t>smlouvy,</w:t>
      </w:r>
      <w:r>
        <w:t xml:space="preserve"> </w:t>
      </w:r>
      <w:r w:rsidRPr="00940986">
        <w:t>hrazena</w:t>
      </w:r>
      <w:r>
        <w:t xml:space="preserve"> </w:t>
      </w:r>
      <w:r w:rsidRPr="00940986">
        <w:t>jejími</w:t>
      </w:r>
      <w:r>
        <w:t xml:space="preserve"> </w:t>
      </w:r>
      <w:r w:rsidRPr="00940986">
        <w:t>příjemci</w:t>
      </w:r>
      <w:r>
        <w:t xml:space="preserve"> </w:t>
      </w:r>
      <w:r w:rsidRPr="00940986">
        <w:t>v</w:t>
      </w:r>
      <w:r>
        <w:t xml:space="preserve"> </w:t>
      </w:r>
      <w:r w:rsidRPr="00940986">
        <w:t>plné</w:t>
      </w:r>
      <w:r>
        <w:t xml:space="preserve"> </w:t>
      </w:r>
      <w:r w:rsidRPr="00940986">
        <w:t>výši.</w:t>
      </w:r>
      <w:r>
        <w:t xml:space="preserve"> </w:t>
      </w:r>
      <w:r w:rsidRPr="00940986">
        <w:t>Není-li</w:t>
      </w:r>
      <w:r>
        <w:t xml:space="preserve"> </w:t>
      </w:r>
      <w:r w:rsidRPr="00940986">
        <w:t>možné</w:t>
      </w:r>
      <w:r>
        <w:t xml:space="preserve"> </w:t>
      </w:r>
      <w:r w:rsidRPr="00940986">
        <w:t>takto</w:t>
      </w:r>
      <w:r>
        <w:t xml:space="preserve"> </w:t>
      </w:r>
      <w:r w:rsidRPr="00940986">
        <w:t>postupovat,</w:t>
      </w:r>
      <w:r>
        <w:t xml:space="preserve"> </w:t>
      </w:r>
      <w:r w:rsidRPr="00940986">
        <w:t>použijí</w:t>
      </w:r>
      <w:r>
        <w:t xml:space="preserve"> </w:t>
      </w:r>
      <w:r w:rsidRPr="00940986">
        <w:t>se</w:t>
      </w:r>
      <w:r>
        <w:t xml:space="preserve"> </w:t>
      </w:r>
      <w:r w:rsidRPr="00940986">
        <w:t>jako</w:t>
      </w:r>
      <w:r>
        <w:t xml:space="preserve"> </w:t>
      </w:r>
      <w:r w:rsidRPr="00940986">
        <w:t>základ</w:t>
      </w:r>
      <w:r>
        <w:t xml:space="preserve"> </w:t>
      </w:r>
      <w:r w:rsidRPr="00940986">
        <w:t>pro</w:t>
      </w:r>
      <w:r>
        <w:t xml:space="preserve"> </w:t>
      </w:r>
      <w:r w:rsidRPr="00940986">
        <w:t>výpočet</w:t>
      </w:r>
      <w:r>
        <w:t xml:space="preserve"> </w:t>
      </w:r>
      <w:r w:rsidRPr="00940986">
        <w:t>v</w:t>
      </w:r>
      <w:r>
        <w:t xml:space="preserve"> </w:t>
      </w:r>
      <w:r w:rsidRPr="00940986">
        <w:t>případě</w:t>
      </w:r>
      <w:r>
        <w:t xml:space="preserve"> </w:t>
      </w:r>
      <w:r w:rsidRPr="00940986">
        <w:t>vertikální</w:t>
      </w:r>
      <w:r>
        <w:t xml:space="preserve"> </w:t>
      </w:r>
      <w:r w:rsidRPr="00940986">
        <w:t>spolupráce</w:t>
      </w:r>
      <w:r>
        <w:t xml:space="preserve"> </w:t>
      </w:r>
      <w:r w:rsidRPr="00940986">
        <w:t>celkové</w:t>
      </w:r>
      <w:r>
        <w:t xml:space="preserve"> </w:t>
      </w:r>
      <w:r w:rsidRPr="00940986">
        <w:t>náklady</w:t>
      </w:r>
      <w:r>
        <w:t xml:space="preserve"> </w:t>
      </w:r>
      <w:r w:rsidRPr="00940986">
        <w:t>právnické</w:t>
      </w:r>
      <w:r>
        <w:t xml:space="preserve"> </w:t>
      </w:r>
      <w:r w:rsidRPr="00940986">
        <w:t>osoby</w:t>
      </w:r>
      <w:r>
        <w:t xml:space="preserve"> </w:t>
      </w:r>
      <w:r w:rsidRPr="00940986">
        <w:t>a</w:t>
      </w:r>
      <w:r>
        <w:t xml:space="preserve"> </w:t>
      </w:r>
      <w:r w:rsidRPr="00940986">
        <w:t>v</w:t>
      </w:r>
      <w:r>
        <w:t xml:space="preserve"> </w:t>
      </w:r>
      <w:r w:rsidRPr="00940986">
        <w:t>případě</w:t>
      </w:r>
      <w:r>
        <w:t xml:space="preserve"> </w:t>
      </w:r>
      <w:r w:rsidRPr="00940986">
        <w:t>horizontální</w:t>
      </w:r>
      <w:r>
        <w:t xml:space="preserve"> </w:t>
      </w:r>
      <w:r w:rsidRPr="00940986">
        <w:t>spolupráce</w:t>
      </w:r>
      <w:r>
        <w:t xml:space="preserve"> </w:t>
      </w:r>
      <w:r w:rsidRPr="00940986">
        <w:t>náklady</w:t>
      </w:r>
      <w:r>
        <w:t xml:space="preserve"> </w:t>
      </w:r>
      <w:r w:rsidRPr="00940986">
        <w:t>zadavatele</w:t>
      </w:r>
      <w:r>
        <w:t xml:space="preserve"> </w:t>
      </w:r>
      <w:r w:rsidRPr="00940986">
        <w:t>vzniklé</w:t>
      </w:r>
      <w:r>
        <w:t xml:space="preserve"> </w:t>
      </w:r>
      <w:r w:rsidRPr="00940986">
        <w:t>v</w:t>
      </w:r>
      <w:r>
        <w:t xml:space="preserve"> </w:t>
      </w:r>
      <w:r w:rsidRPr="00940986">
        <w:t>souvislosti</w:t>
      </w:r>
      <w:r>
        <w:t xml:space="preserve"> </w:t>
      </w:r>
      <w:r w:rsidRPr="00940986">
        <w:t>s</w:t>
      </w:r>
      <w:r>
        <w:t xml:space="preserve"> </w:t>
      </w:r>
      <w:r w:rsidRPr="00940986">
        <w:t>činnostmi,</w:t>
      </w:r>
      <w:r>
        <w:t xml:space="preserve"> </w:t>
      </w:r>
      <w:r w:rsidRPr="00940986">
        <w:t>kterých</w:t>
      </w:r>
      <w:r>
        <w:t xml:space="preserve"> </w:t>
      </w:r>
      <w:r w:rsidRPr="00940986">
        <w:t>se</w:t>
      </w:r>
      <w:r>
        <w:t xml:space="preserve"> </w:t>
      </w:r>
      <w:r w:rsidRPr="00940986">
        <w:t>tato</w:t>
      </w:r>
      <w:r>
        <w:t xml:space="preserve"> </w:t>
      </w:r>
      <w:r w:rsidRPr="00940986">
        <w:t>spolupráce</w:t>
      </w:r>
      <w:r>
        <w:t xml:space="preserve"> </w:t>
      </w:r>
      <w:r w:rsidRPr="00940986">
        <w:t>týká.</w:t>
      </w:r>
    </w:p>
    <w:p w14:paraId="30BF46B4" w14:textId="3DC06D30" w:rsidR="00913BE1" w:rsidRDefault="00913BE1" w:rsidP="005564E1">
      <w:pPr>
        <w:pStyle w:val="Textparagrafu"/>
        <w:numPr>
          <w:ilvl w:val="0"/>
          <w:numId w:val="27"/>
        </w:numPr>
        <w:tabs>
          <w:tab w:val="left" w:pos="392"/>
          <w:tab w:val="left" w:pos="840"/>
        </w:tabs>
        <w:spacing w:before="120" w:after="120"/>
        <w:ind w:firstLine="425"/>
      </w:pPr>
      <w:r w:rsidRPr="00940986">
        <w:t>(2)</w:t>
      </w:r>
      <w:r>
        <w:t xml:space="preserve"> </w:t>
      </w:r>
      <w:r w:rsidRPr="00940986">
        <w:t>Podíl</w:t>
      </w:r>
      <w:r>
        <w:t xml:space="preserve"> </w:t>
      </w:r>
      <w:r w:rsidRPr="00940986">
        <w:t>činností</w:t>
      </w:r>
      <w:r>
        <w:t xml:space="preserve"> </w:t>
      </w:r>
      <w:r w:rsidRPr="00940986">
        <w:t>se</w:t>
      </w:r>
      <w:r>
        <w:t xml:space="preserve"> </w:t>
      </w:r>
      <w:r w:rsidRPr="00940986">
        <w:t>vypočítá</w:t>
      </w:r>
      <w:r>
        <w:t xml:space="preserve"> </w:t>
      </w:r>
      <w:r w:rsidRPr="00940986">
        <w:t>v</w:t>
      </w:r>
      <w:r>
        <w:t xml:space="preserve"> </w:t>
      </w:r>
      <w:r w:rsidRPr="00940986">
        <w:t>souhrnu</w:t>
      </w:r>
      <w:r>
        <w:t xml:space="preserve"> </w:t>
      </w:r>
      <w:r w:rsidRPr="00940986">
        <w:t>za</w:t>
      </w:r>
      <w:r>
        <w:t xml:space="preserve"> </w:t>
      </w:r>
      <w:r w:rsidRPr="00940986">
        <w:t>3</w:t>
      </w:r>
      <w:r>
        <w:t xml:space="preserve"> </w:t>
      </w:r>
      <w:r w:rsidRPr="00044073">
        <w:rPr>
          <w:b/>
        </w:rPr>
        <w:t>individuální</w:t>
      </w:r>
      <w:r>
        <w:t xml:space="preserve"> </w:t>
      </w:r>
      <w:r w:rsidRPr="00940986">
        <w:t>účetní</w:t>
      </w:r>
      <w:r>
        <w:t xml:space="preserve"> </w:t>
      </w:r>
      <w:r w:rsidRPr="00940986">
        <w:t>období</w:t>
      </w:r>
      <w:r>
        <w:t xml:space="preserve"> </w:t>
      </w:r>
      <w:r w:rsidRPr="00940986">
        <w:t>předcházející</w:t>
      </w:r>
      <w:r>
        <w:t xml:space="preserve"> </w:t>
      </w:r>
      <w:r w:rsidRPr="00044073">
        <w:rPr>
          <w:b/>
        </w:rPr>
        <w:t>individuálnímu</w:t>
      </w:r>
      <w:r>
        <w:t xml:space="preserve"> </w:t>
      </w:r>
      <w:r w:rsidRPr="00940986">
        <w:t>účetnímu</w:t>
      </w:r>
      <w:r>
        <w:t xml:space="preserve"> </w:t>
      </w:r>
      <w:r w:rsidRPr="00940986">
        <w:t>období,</w:t>
      </w:r>
      <w:r>
        <w:t xml:space="preserve"> </w:t>
      </w:r>
      <w:r w:rsidRPr="00940986">
        <w:t>ve</w:t>
      </w:r>
      <w:r>
        <w:t xml:space="preserve"> </w:t>
      </w:r>
      <w:r w:rsidRPr="00940986">
        <w:t>kterém</w:t>
      </w:r>
      <w:r>
        <w:t xml:space="preserve"> </w:t>
      </w:r>
      <w:r w:rsidRPr="00940986">
        <w:t>došlo</w:t>
      </w:r>
      <w:r>
        <w:t xml:space="preserve"> </w:t>
      </w:r>
      <w:r w:rsidRPr="00940986">
        <w:t>k</w:t>
      </w:r>
      <w:r>
        <w:t xml:space="preserve"> </w:t>
      </w:r>
      <w:r w:rsidRPr="00940986">
        <w:t>uzavření</w:t>
      </w:r>
      <w:r>
        <w:t xml:space="preserve"> </w:t>
      </w:r>
      <w:r w:rsidRPr="00940986">
        <w:t>smlouvy.</w:t>
      </w:r>
      <w:r>
        <w:t xml:space="preserve"> </w:t>
      </w:r>
      <w:r w:rsidRPr="00940986">
        <w:t>Vznikla-li</w:t>
      </w:r>
      <w:r>
        <w:t xml:space="preserve"> </w:t>
      </w:r>
      <w:r w:rsidRPr="00940986">
        <w:t>nebo</w:t>
      </w:r>
      <w:r>
        <w:t xml:space="preserve"> </w:t>
      </w:r>
      <w:r w:rsidRPr="00940986">
        <w:t>zahájila-li</w:t>
      </w:r>
      <w:r>
        <w:t xml:space="preserve"> </w:t>
      </w:r>
      <w:r w:rsidRPr="00940986">
        <w:t>právnická</w:t>
      </w:r>
      <w:r>
        <w:t xml:space="preserve"> </w:t>
      </w:r>
      <w:r w:rsidRPr="00940986">
        <w:t>osoba</w:t>
      </w:r>
      <w:r>
        <w:t xml:space="preserve"> </w:t>
      </w:r>
      <w:r w:rsidRPr="00940986">
        <w:t>příslušnou</w:t>
      </w:r>
      <w:r>
        <w:t xml:space="preserve"> </w:t>
      </w:r>
      <w:r w:rsidRPr="00940986">
        <w:t>činnost</w:t>
      </w:r>
      <w:r>
        <w:t xml:space="preserve"> </w:t>
      </w:r>
      <w:r w:rsidRPr="00940986">
        <w:t>později</w:t>
      </w:r>
      <w:r>
        <w:t xml:space="preserve"> </w:t>
      </w:r>
      <w:r w:rsidRPr="00940986">
        <w:t>nebo</w:t>
      </w:r>
      <w:r>
        <w:t xml:space="preserve"> </w:t>
      </w:r>
      <w:r w:rsidRPr="00940986">
        <w:t>došlo</w:t>
      </w:r>
      <w:r>
        <w:t xml:space="preserve"> </w:t>
      </w:r>
      <w:r w:rsidRPr="00940986">
        <w:t>k</w:t>
      </w:r>
      <w:r>
        <w:t xml:space="preserve"> </w:t>
      </w:r>
      <w:r w:rsidRPr="00940986">
        <w:t>reorganizaci</w:t>
      </w:r>
      <w:r>
        <w:t xml:space="preserve"> </w:t>
      </w:r>
      <w:r w:rsidRPr="00940986">
        <w:t>jejích</w:t>
      </w:r>
      <w:r>
        <w:t xml:space="preserve"> </w:t>
      </w:r>
      <w:r w:rsidRPr="00940986">
        <w:t>činností,</w:t>
      </w:r>
      <w:r>
        <w:t xml:space="preserve"> </w:t>
      </w:r>
      <w:r w:rsidRPr="00940986">
        <w:t>postačí,</w:t>
      </w:r>
      <w:r>
        <w:t xml:space="preserve"> </w:t>
      </w:r>
      <w:r w:rsidRPr="00940986">
        <w:t>že</w:t>
      </w:r>
      <w:r>
        <w:t xml:space="preserve"> </w:t>
      </w:r>
      <w:r w:rsidRPr="00940986">
        <w:t>dosažení</w:t>
      </w:r>
      <w:r>
        <w:t xml:space="preserve"> </w:t>
      </w:r>
      <w:r w:rsidRPr="00940986">
        <w:t>podmínek</w:t>
      </w:r>
      <w:r>
        <w:t xml:space="preserve"> </w:t>
      </w:r>
      <w:r w:rsidRPr="00940986">
        <w:t>podle</w:t>
      </w:r>
      <w:r>
        <w:t xml:space="preserve"> </w:t>
      </w:r>
      <w:r w:rsidRPr="00940986">
        <w:t>odstavce</w:t>
      </w:r>
      <w:r>
        <w:t xml:space="preserve"> </w:t>
      </w:r>
      <w:r w:rsidRPr="00940986">
        <w:t>1</w:t>
      </w:r>
      <w:r>
        <w:t xml:space="preserve"> </w:t>
      </w:r>
      <w:r w:rsidRPr="00940986">
        <w:t>je</w:t>
      </w:r>
      <w:r>
        <w:t xml:space="preserve"> </w:t>
      </w:r>
      <w:r w:rsidRPr="00940986">
        <w:t>věrohodné,</w:t>
      </w:r>
      <w:r>
        <w:t xml:space="preserve"> </w:t>
      </w:r>
      <w:r w:rsidRPr="00940986">
        <w:t>zejména</w:t>
      </w:r>
      <w:r>
        <w:t xml:space="preserve"> </w:t>
      </w:r>
      <w:r w:rsidRPr="00940986">
        <w:t>na</w:t>
      </w:r>
      <w:r>
        <w:t xml:space="preserve"> </w:t>
      </w:r>
      <w:r w:rsidRPr="00940986">
        <w:t>základě</w:t>
      </w:r>
      <w:r>
        <w:t xml:space="preserve"> </w:t>
      </w:r>
      <w:r w:rsidRPr="00940986">
        <w:t>plánů</w:t>
      </w:r>
      <w:r>
        <w:t xml:space="preserve"> </w:t>
      </w:r>
      <w:r w:rsidRPr="00940986">
        <w:t>činnosti.</w:t>
      </w:r>
    </w:p>
    <w:p w14:paraId="1A29A447" w14:textId="1BD9E8FD" w:rsidR="00496DF9" w:rsidRPr="00940986" w:rsidRDefault="00496DF9" w:rsidP="00496DF9">
      <w:pPr>
        <w:pStyle w:val="Textparagrafu"/>
        <w:tabs>
          <w:tab w:val="left" w:pos="426"/>
          <w:tab w:val="left" w:pos="840"/>
        </w:tabs>
        <w:spacing w:after="120"/>
        <w:ind w:firstLine="0"/>
        <w:jc w:val="center"/>
      </w:pPr>
      <w:r>
        <w:t>***</w:t>
      </w:r>
    </w:p>
    <w:p w14:paraId="350834F1" w14:textId="77777777" w:rsidR="00913BE1" w:rsidRDefault="00913BE1" w:rsidP="00496DF9">
      <w:pPr>
        <w:pStyle w:val="Textparagrafu"/>
        <w:numPr>
          <w:ilvl w:val="0"/>
          <w:numId w:val="27"/>
        </w:numPr>
        <w:tabs>
          <w:tab w:val="left" w:pos="392"/>
          <w:tab w:val="left" w:pos="840"/>
        </w:tabs>
        <w:spacing w:after="120"/>
        <w:jc w:val="center"/>
      </w:pPr>
      <w:r w:rsidRPr="00940986">
        <w:t>§</w:t>
      </w:r>
      <w:r>
        <w:t xml:space="preserve"> </w:t>
      </w:r>
      <w:r w:rsidRPr="00940986">
        <w:t>19</w:t>
      </w:r>
    </w:p>
    <w:p w14:paraId="16E3DB51" w14:textId="77777777" w:rsidR="00913BE1" w:rsidRPr="00496DF9" w:rsidRDefault="00913BE1" w:rsidP="00496DF9">
      <w:pPr>
        <w:pStyle w:val="Textparagrafu"/>
        <w:numPr>
          <w:ilvl w:val="0"/>
          <w:numId w:val="27"/>
        </w:numPr>
        <w:tabs>
          <w:tab w:val="left" w:pos="392"/>
          <w:tab w:val="left" w:pos="840"/>
        </w:tabs>
        <w:spacing w:after="120"/>
        <w:jc w:val="center"/>
        <w:rPr>
          <w:b/>
        </w:rPr>
      </w:pPr>
      <w:r w:rsidRPr="00496DF9">
        <w:rPr>
          <w:b/>
        </w:rPr>
        <w:t>Předpokládaná hodnota veřejných zakázek pravidelné povahy</w:t>
      </w:r>
    </w:p>
    <w:p w14:paraId="3E617D21" w14:textId="77777777" w:rsidR="00913BE1" w:rsidRPr="00940986" w:rsidRDefault="00913BE1" w:rsidP="00496DF9">
      <w:pPr>
        <w:pStyle w:val="Textparagrafu"/>
        <w:numPr>
          <w:ilvl w:val="0"/>
          <w:numId w:val="27"/>
        </w:numPr>
        <w:tabs>
          <w:tab w:val="left" w:pos="392"/>
          <w:tab w:val="left" w:pos="840"/>
        </w:tabs>
        <w:spacing w:after="120"/>
        <w:ind w:firstLine="426"/>
      </w:pPr>
      <w:r w:rsidRPr="00940986">
        <w:t>(1)</w:t>
      </w:r>
      <w:r>
        <w:t xml:space="preserve"> </w:t>
      </w:r>
      <w:r w:rsidRPr="00940986">
        <w:t>Předpokládaná</w:t>
      </w:r>
      <w:r>
        <w:t xml:space="preserve"> </w:t>
      </w:r>
      <w:r w:rsidRPr="00940986">
        <w:t>hodnota</w:t>
      </w:r>
      <w:r>
        <w:t xml:space="preserve"> </w:t>
      </w:r>
      <w:r w:rsidRPr="00940986">
        <w:t>veřejné</w:t>
      </w:r>
      <w:r>
        <w:t xml:space="preserve"> </w:t>
      </w:r>
      <w:r w:rsidRPr="00940986">
        <w:t>zakázky,</w:t>
      </w:r>
      <w:r>
        <w:t xml:space="preserve"> </w:t>
      </w:r>
      <w:r w:rsidRPr="00940986">
        <w:t>jejímž</w:t>
      </w:r>
      <w:r>
        <w:t xml:space="preserve"> </w:t>
      </w:r>
      <w:r w:rsidRPr="00940986">
        <w:t>předmětem</w:t>
      </w:r>
      <w:r>
        <w:t xml:space="preserve"> </w:t>
      </w:r>
      <w:r w:rsidRPr="00940986">
        <w:t>jsou</w:t>
      </w:r>
      <w:r>
        <w:t xml:space="preserve"> </w:t>
      </w:r>
      <w:r w:rsidRPr="00940986">
        <w:t>pravidelně</w:t>
      </w:r>
      <w:r>
        <w:t xml:space="preserve"> </w:t>
      </w:r>
      <w:r w:rsidRPr="00940986">
        <w:t>pořizované</w:t>
      </w:r>
      <w:r>
        <w:t xml:space="preserve"> </w:t>
      </w:r>
      <w:r w:rsidRPr="00940986">
        <w:t>nebo</w:t>
      </w:r>
      <w:r>
        <w:t xml:space="preserve"> </w:t>
      </w:r>
      <w:r w:rsidRPr="00940986">
        <w:t>trvající</w:t>
      </w:r>
      <w:r>
        <w:t xml:space="preserve"> </w:t>
      </w:r>
      <w:r w:rsidRPr="00940986">
        <w:t>dodávky</w:t>
      </w:r>
      <w:r>
        <w:t xml:space="preserve"> </w:t>
      </w:r>
      <w:r w:rsidRPr="00940986">
        <w:t>nebo</w:t>
      </w:r>
      <w:r>
        <w:t xml:space="preserve"> </w:t>
      </w:r>
      <w:r w:rsidRPr="00940986">
        <w:t>služby,</w:t>
      </w:r>
      <w:r>
        <w:t xml:space="preserve"> </w:t>
      </w:r>
      <w:r w:rsidRPr="00940986">
        <w:t>se</w:t>
      </w:r>
      <w:r>
        <w:t xml:space="preserve"> </w:t>
      </w:r>
      <w:r w:rsidRPr="00940986">
        <w:t>stanoví</w:t>
      </w:r>
      <w:r>
        <w:t xml:space="preserve"> </w:t>
      </w:r>
      <w:r w:rsidRPr="00940986">
        <w:t>jako</w:t>
      </w:r>
    </w:p>
    <w:p w14:paraId="3D0A3880" w14:textId="004D1B2E" w:rsidR="00913BE1" w:rsidRPr="00940986" w:rsidRDefault="00913BE1" w:rsidP="00635DDD">
      <w:pPr>
        <w:pStyle w:val="Textparagrafu"/>
        <w:numPr>
          <w:ilvl w:val="0"/>
          <w:numId w:val="27"/>
        </w:numPr>
        <w:tabs>
          <w:tab w:val="left" w:pos="392"/>
          <w:tab w:val="left" w:pos="840"/>
        </w:tabs>
        <w:spacing w:before="0"/>
        <w:ind w:left="426" w:hanging="426"/>
      </w:pPr>
      <w:r w:rsidRPr="00940986">
        <w:t>a)</w:t>
      </w:r>
      <w:r w:rsidR="00496DF9">
        <w:tab/>
      </w:r>
      <w:r w:rsidRPr="00940986">
        <w:t>skutečná</w:t>
      </w:r>
      <w:r>
        <w:t xml:space="preserve"> </w:t>
      </w:r>
      <w:r w:rsidRPr="00940986">
        <w:t>cena</w:t>
      </w:r>
      <w:r>
        <w:t xml:space="preserve"> </w:t>
      </w:r>
      <w:r w:rsidRPr="00940986">
        <w:t>uhrazená</w:t>
      </w:r>
      <w:r>
        <w:t xml:space="preserve"> </w:t>
      </w:r>
      <w:r w:rsidRPr="00940986">
        <w:t>zadavatelem</w:t>
      </w:r>
      <w:r>
        <w:t xml:space="preserve"> </w:t>
      </w:r>
      <w:r w:rsidRPr="00940986">
        <w:t>za</w:t>
      </w:r>
      <w:r>
        <w:t xml:space="preserve"> </w:t>
      </w:r>
      <w:r w:rsidRPr="00940986">
        <w:t>dodávky</w:t>
      </w:r>
      <w:r>
        <w:t xml:space="preserve"> </w:t>
      </w:r>
      <w:r w:rsidRPr="00940986">
        <w:t>nebo</w:t>
      </w:r>
      <w:r>
        <w:t xml:space="preserve"> </w:t>
      </w:r>
      <w:r w:rsidRPr="00940986">
        <w:t>služby</w:t>
      </w:r>
      <w:r>
        <w:t xml:space="preserve"> </w:t>
      </w:r>
      <w:r w:rsidRPr="00940986">
        <w:t>stejného</w:t>
      </w:r>
      <w:r>
        <w:t xml:space="preserve"> </w:t>
      </w:r>
      <w:r w:rsidRPr="00940986">
        <w:t>druhu</w:t>
      </w:r>
      <w:r>
        <w:t xml:space="preserve"> </w:t>
      </w:r>
      <w:r w:rsidRPr="00940986">
        <w:t>během</w:t>
      </w:r>
      <w:r>
        <w:t xml:space="preserve"> </w:t>
      </w:r>
      <w:r w:rsidRPr="00940986">
        <w:t>předcházejících</w:t>
      </w:r>
      <w:r>
        <w:t xml:space="preserve"> </w:t>
      </w:r>
      <w:r w:rsidRPr="00940986">
        <w:t>12</w:t>
      </w:r>
      <w:r>
        <w:t xml:space="preserve"> </w:t>
      </w:r>
      <w:r w:rsidRPr="00940986">
        <w:t>měsíců</w:t>
      </w:r>
      <w:r>
        <w:t xml:space="preserve"> </w:t>
      </w:r>
      <w:r w:rsidRPr="00940986">
        <w:t>nebo</w:t>
      </w:r>
      <w:r>
        <w:t xml:space="preserve"> </w:t>
      </w:r>
      <w:r w:rsidRPr="00940986">
        <w:t>předchozího</w:t>
      </w:r>
      <w:r>
        <w:t xml:space="preserve"> </w:t>
      </w:r>
      <w:r w:rsidRPr="00044073">
        <w:rPr>
          <w:b/>
        </w:rPr>
        <w:t>individuálního</w:t>
      </w:r>
      <w:r>
        <w:t xml:space="preserve"> </w:t>
      </w:r>
      <w:r w:rsidRPr="00940986">
        <w:t>účetního</w:t>
      </w:r>
      <w:r>
        <w:t xml:space="preserve"> </w:t>
      </w:r>
      <w:r w:rsidRPr="00940986">
        <w:t>období,</w:t>
      </w:r>
      <w:r>
        <w:t xml:space="preserve"> </w:t>
      </w:r>
      <w:r w:rsidRPr="00940986">
        <w:t>které</w:t>
      </w:r>
      <w:r>
        <w:t xml:space="preserve"> </w:t>
      </w:r>
      <w:r w:rsidRPr="00940986">
        <w:t>je</w:t>
      </w:r>
      <w:r>
        <w:t xml:space="preserve"> </w:t>
      </w:r>
      <w:r w:rsidRPr="00940986">
        <w:t>delší</w:t>
      </w:r>
      <w:r>
        <w:t xml:space="preserve"> </w:t>
      </w:r>
      <w:r w:rsidRPr="00940986">
        <w:t>než</w:t>
      </w:r>
      <w:r>
        <w:t xml:space="preserve"> </w:t>
      </w:r>
      <w:r w:rsidRPr="00940986">
        <w:t>12</w:t>
      </w:r>
      <w:r>
        <w:t xml:space="preserve"> </w:t>
      </w:r>
      <w:r w:rsidRPr="00940986">
        <w:t>měsíců,</w:t>
      </w:r>
      <w:r>
        <w:t xml:space="preserve"> </w:t>
      </w:r>
      <w:r w:rsidRPr="00940986">
        <w:t>upravená</w:t>
      </w:r>
      <w:r>
        <w:t xml:space="preserve"> </w:t>
      </w:r>
      <w:r w:rsidRPr="00940986">
        <w:t>o</w:t>
      </w:r>
      <w:r>
        <w:t xml:space="preserve"> </w:t>
      </w:r>
      <w:r w:rsidRPr="00940986">
        <w:t>změny</w:t>
      </w:r>
      <w:r>
        <w:t xml:space="preserve"> </w:t>
      </w:r>
      <w:r w:rsidRPr="00940986">
        <w:t>v</w:t>
      </w:r>
      <w:r>
        <w:t xml:space="preserve"> </w:t>
      </w:r>
      <w:r w:rsidRPr="00940986">
        <w:t>množství</w:t>
      </w:r>
      <w:r>
        <w:t xml:space="preserve"> </w:t>
      </w:r>
      <w:r w:rsidRPr="00940986">
        <w:t>nebo</w:t>
      </w:r>
      <w:r>
        <w:t xml:space="preserve"> </w:t>
      </w:r>
      <w:r w:rsidRPr="00940986">
        <w:t>cenách,</w:t>
      </w:r>
      <w:r>
        <w:t xml:space="preserve"> </w:t>
      </w:r>
      <w:r w:rsidRPr="00940986">
        <w:t>které</w:t>
      </w:r>
      <w:r>
        <w:t xml:space="preserve"> </w:t>
      </w:r>
      <w:r w:rsidRPr="00940986">
        <w:t>lze</w:t>
      </w:r>
      <w:r>
        <w:t xml:space="preserve"> </w:t>
      </w:r>
      <w:r w:rsidRPr="00940986">
        <w:t>očekávat</w:t>
      </w:r>
      <w:r>
        <w:t xml:space="preserve"> </w:t>
      </w:r>
      <w:r w:rsidRPr="00940986">
        <w:t>během</w:t>
      </w:r>
      <w:r>
        <w:t xml:space="preserve"> </w:t>
      </w:r>
      <w:r w:rsidRPr="00940986">
        <w:t>následujících</w:t>
      </w:r>
      <w:r>
        <w:t xml:space="preserve"> </w:t>
      </w:r>
      <w:r w:rsidRPr="00940986">
        <w:t>12</w:t>
      </w:r>
      <w:r>
        <w:t xml:space="preserve"> </w:t>
      </w:r>
      <w:r w:rsidRPr="00940986">
        <w:t>měsíců,</w:t>
      </w:r>
      <w:r>
        <w:t xml:space="preserve"> </w:t>
      </w:r>
      <w:r w:rsidRPr="00940986">
        <w:t>nebo</w:t>
      </w:r>
    </w:p>
    <w:p w14:paraId="4C26545A" w14:textId="2A29D7DE" w:rsidR="00913BE1" w:rsidRPr="00940986" w:rsidRDefault="00913BE1" w:rsidP="00635DDD">
      <w:pPr>
        <w:pStyle w:val="Textparagrafu"/>
        <w:numPr>
          <w:ilvl w:val="0"/>
          <w:numId w:val="27"/>
        </w:numPr>
        <w:tabs>
          <w:tab w:val="left" w:pos="392"/>
          <w:tab w:val="left" w:pos="840"/>
        </w:tabs>
        <w:spacing w:before="0"/>
        <w:ind w:left="426" w:hanging="426"/>
      </w:pPr>
      <w:r w:rsidRPr="00940986">
        <w:t>b)</w:t>
      </w:r>
      <w:r w:rsidR="00496DF9">
        <w:tab/>
      </w:r>
      <w:r w:rsidRPr="00940986">
        <w:t>součet</w:t>
      </w:r>
      <w:r>
        <w:t xml:space="preserve"> </w:t>
      </w:r>
      <w:r w:rsidRPr="00940986">
        <w:t>předpokládaných</w:t>
      </w:r>
      <w:r>
        <w:t xml:space="preserve"> </w:t>
      </w:r>
      <w:r w:rsidRPr="00940986">
        <w:t>hodnot</w:t>
      </w:r>
      <w:r>
        <w:t xml:space="preserve"> </w:t>
      </w:r>
      <w:r w:rsidRPr="00940986">
        <w:t>jednotlivých</w:t>
      </w:r>
      <w:r>
        <w:t xml:space="preserve"> </w:t>
      </w:r>
      <w:r w:rsidRPr="00940986">
        <w:t>dodávek</w:t>
      </w:r>
      <w:r>
        <w:t xml:space="preserve"> </w:t>
      </w:r>
      <w:r w:rsidRPr="00940986">
        <w:t>a</w:t>
      </w:r>
      <w:r>
        <w:t xml:space="preserve"> </w:t>
      </w:r>
      <w:r w:rsidRPr="00940986">
        <w:t>služeb,</w:t>
      </w:r>
      <w:r>
        <w:t xml:space="preserve"> </w:t>
      </w:r>
      <w:r w:rsidRPr="00940986">
        <w:t>které</w:t>
      </w:r>
      <w:r>
        <w:t xml:space="preserve"> </w:t>
      </w:r>
      <w:r w:rsidRPr="00940986">
        <w:t>mají</w:t>
      </w:r>
      <w:r>
        <w:t xml:space="preserve"> </w:t>
      </w:r>
      <w:r w:rsidRPr="00940986">
        <w:t>být</w:t>
      </w:r>
      <w:r>
        <w:t xml:space="preserve"> </w:t>
      </w:r>
      <w:r w:rsidRPr="00940986">
        <w:t>zadavatelem</w:t>
      </w:r>
      <w:r>
        <w:t xml:space="preserve"> </w:t>
      </w:r>
      <w:r w:rsidRPr="00940986">
        <w:t>zadány</w:t>
      </w:r>
      <w:r>
        <w:t xml:space="preserve"> </w:t>
      </w:r>
      <w:r w:rsidRPr="00940986">
        <w:t>během</w:t>
      </w:r>
      <w:r>
        <w:t xml:space="preserve"> </w:t>
      </w:r>
      <w:r w:rsidRPr="00940986">
        <w:t>následujících</w:t>
      </w:r>
      <w:r>
        <w:t xml:space="preserve"> </w:t>
      </w:r>
      <w:r w:rsidRPr="00940986">
        <w:t>12</w:t>
      </w:r>
      <w:r>
        <w:t xml:space="preserve"> </w:t>
      </w:r>
      <w:r w:rsidRPr="00940986">
        <w:t>měsíců</w:t>
      </w:r>
      <w:r>
        <w:t xml:space="preserve"> </w:t>
      </w:r>
      <w:r w:rsidRPr="00940986">
        <w:t>nebo</w:t>
      </w:r>
      <w:r>
        <w:t xml:space="preserve"> </w:t>
      </w:r>
      <w:r w:rsidRPr="00940986">
        <w:t>v </w:t>
      </w:r>
      <w:r w:rsidRPr="00044073">
        <w:rPr>
          <w:b/>
        </w:rPr>
        <w:t>individuálním</w:t>
      </w:r>
      <w:r>
        <w:t xml:space="preserve"> </w:t>
      </w:r>
      <w:r w:rsidRPr="00940986">
        <w:t>účetním</w:t>
      </w:r>
      <w:r>
        <w:t xml:space="preserve"> </w:t>
      </w:r>
      <w:r w:rsidRPr="00940986">
        <w:t>období,</w:t>
      </w:r>
      <w:r>
        <w:t xml:space="preserve"> </w:t>
      </w:r>
      <w:r w:rsidRPr="00940986">
        <w:t>které</w:t>
      </w:r>
      <w:r>
        <w:t xml:space="preserve"> </w:t>
      </w:r>
      <w:r w:rsidRPr="00940986">
        <w:t>je</w:t>
      </w:r>
      <w:r>
        <w:t xml:space="preserve"> </w:t>
      </w:r>
      <w:r w:rsidRPr="00940986">
        <w:t>delší</w:t>
      </w:r>
      <w:r>
        <w:t xml:space="preserve"> </w:t>
      </w:r>
      <w:r w:rsidRPr="00940986">
        <w:t>než</w:t>
      </w:r>
      <w:r>
        <w:t xml:space="preserve"> </w:t>
      </w:r>
      <w:r w:rsidRPr="00940986">
        <w:t>12</w:t>
      </w:r>
      <w:r>
        <w:t xml:space="preserve"> </w:t>
      </w:r>
      <w:r w:rsidRPr="00940986">
        <w:t>měsíců,</w:t>
      </w:r>
      <w:r>
        <w:t xml:space="preserve"> </w:t>
      </w:r>
      <w:r w:rsidRPr="00940986">
        <w:t>pokud</w:t>
      </w:r>
      <w:r>
        <w:t xml:space="preserve"> </w:t>
      </w:r>
      <w:r w:rsidRPr="00940986">
        <w:t>nemá</w:t>
      </w:r>
      <w:r>
        <w:t xml:space="preserve"> </w:t>
      </w:r>
      <w:r w:rsidRPr="00940986">
        <w:t>k</w:t>
      </w:r>
      <w:r>
        <w:t xml:space="preserve"> </w:t>
      </w:r>
      <w:r w:rsidRPr="00940986">
        <w:t>dispozici</w:t>
      </w:r>
      <w:r>
        <w:t xml:space="preserve"> </w:t>
      </w:r>
      <w:r w:rsidRPr="00940986">
        <w:t>údaje</w:t>
      </w:r>
      <w:r>
        <w:t xml:space="preserve"> </w:t>
      </w:r>
      <w:r w:rsidRPr="00940986">
        <w:t>podle</w:t>
      </w:r>
      <w:r>
        <w:t xml:space="preserve"> </w:t>
      </w:r>
      <w:r w:rsidRPr="00940986">
        <w:t>písmene</w:t>
      </w:r>
      <w:r>
        <w:t xml:space="preserve"> </w:t>
      </w:r>
      <w:r w:rsidRPr="00940986">
        <w:t>a).</w:t>
      </w:r>
    </w:p>
    <w:p w14:paraId="757ECFF7" w14:textId="77777777" w:rsidR="00913BE1" w:rsidRPr="00940986" w:rsidRDefault="00913BE1" w:rsidP="005564E1">
      <w:pPr>
        <w:pStyle w:val="Textparagrafu"/>
        <w:numPr>
          <w:ilvl w:val="0"/>
          <w:numId w:val="27"/>
        </w:numPr>
        <w:tabs>
          <w:tab w:val="left" w:pos="392"/>
          <w:tab w:val="left" w:pos="840"/>
        </w:tabs>
        <w:spacing w:before="120" w:after="120"/>
        <w:ind w:firstLine="426"/>
      </w:pPr>
      <w:r w:rsidRPr="00940986">
        <w:t>(2)</w:t>
      </w:r>
      <w:r>
        <w:t xml:space="preserve"> </w:t>
      </w:r>
      <w:r w:rsidRPr="00940986">
        <w:t>Má-li</w:t>
      </w:r>
      <w:r>
        <w:t xml:space="preserve"> </w:t>
      </w:r>
      <w:r w:rsidRPr="00940986">
        <w:t>být</w:t>
      </w:r>
      <w:r>
        <w:t xml:space="preserve"> </w:t>
      </w:r>
      <w:r w:rsidRPr="00940986">
        <w:t>smlouva</w:t>
      </w:r>
      <w:r>
        <w:t xml:space="preserve"> </w:t>
      </w:r>
      <w:r w:rsidRPr="00940986">
        <w:t>uzavřena</w:t>
      </w:r>
      <w:r>
        <w:t xml:space="preserve"> </w:t>
      </w:r>
      <w:r w:rsidRPr="00940986">
        <w:t>na</w:t>
      </w:r>
      <w:r>
        <w:t xml:space="preserve"> </w:t>
      </w:r>
      <w:r w:rsidRPr="00940986">
        <w:t>dobu</w:t>
      </w:r>
      <w:r>
        <w:t xml:space="preserve"> </w:t>
      </w:r>
      <w:r w:rsidRPr="00940986">
        <w:t>delší</w:t>
      </w:r>
      <w:r>
        <w:t xml:space="preserve"> </w:t>
      </w:r>
      <w:r w:rsidRPr="00940986">
        <w:t>než</w:t>
      </w:r>
      <w:r>
        <w:t xml:space="preserve"> </w:t>
      </w:r>
      <w:r w:rsidRPr="00940986">
        <w:t>12</w:t>
      </w:r>
      <w:r>
        <w:t xml:space="preserve"> </w:t>
      </w:r>
      <w:r w:rsidRPr="00940986">
        <w:t>měsíců,</w:t>
      </w:r>
      <w:r>
        <w:t xml:space="preserve"> </w:t>
      </w:r>
      <w:r w:rsidRPr="00940986">
        <w:t>upraví</w:t>
      </w:r>
      <w:r>
        <w:t xml:space="preserve"> </w:t>
      </w:r>
      <w:r w:rsidRPr="00940986">
        <w:t>se</w:t>
      </w:r>
      <w:r>
        <w:t xml:space="preserve"> </w:t>
      </w:r>
      <w:r w:rsidRPr="00940986">
        <w:t>předpokládaná</w:t>
      </w:r>
      <w:r>
        <w:t xml:space="preserve"> </w:t>
      </w:r>
      <w:r w:rsidRPr="00940986">
        <w:t>hodnota</w:t>
      </w:r>
      <w:r>
        <w:t xml:space="preserve"> </w:t>
      </w:r>
      <w:r w:rsidRPr="00940986">
        <w:t>veřejné</w:t>
      </w:r>
      <w:r>
        <w:t xml:space="preserve"> </w:t>
      </w:r>
      <w:r w:rsidRPr="00940986">
        <w:t>zakázky</w:t>
      </w:r>
      <w:r>
        <w:t xml:space="preserve"> </w:t>
      </w:r>
      <w:r w:rsidRPr="00940986">
        <w:t>stanovená</w:t>
      </w:r>
      <w:r>
        <w:t xml:space="preserve"> </w:t>
      </w:r>
      <w:r w:rsidRPr="00940986">
        <w:t>podle</w:t>
      </w:r>
      <w:r>
        <w:t xml:space="preserve"> </w:t>
      </w:r>
      <w:r w:rsidRPr="00940986">
        <w:t>odstavce</w:t>
      </w:r>
      <w:r>
        <w:t xml:space="preserve"> </w:t>
      </w:r>
      <w:r w:rsidRPr="00940986">
        <w:t>1</w:t>
      </w:r>
      <w:r>
        <w:t xml:space="preserve"> </w:t>
      </w:r>
      <w:r w:rsidRPr="00940986">
        <w:t>podle</w:t>
      </w:r>
      <w:r>
        <w:t xml:space="preserve"> </w:t>
      </w:r>
      <w:r w:rsidRPr="00940986">
        <w:t>§</w:t>
      </w:r>
      <w:r>
        <w:t xml:space="preserve"> </w:t>
      </w:r>
      <w:r w:rsidRPr="00940986">
        <w:t>20</w:t>
      </w:r>
      <w:r>
        <w:t xml:space="preserve"> </w:t>
      </w:r>
      <w:r w:rsidRPr="00940986">
        <w:t>nebo</w:t>
      </w:r>
      <w:r>
        <w:t xml:space="preserve"> </w:t>
      </w:r>
      <w:r w:rsidRPr="00940986">
        <w:t>21.</w:t>
      </w:r>
    </w:p>
    <w:p w14:paraId="1CFD3DAE" w14:textId="77777777" w:rsidR="00913BE1" w:rsidRPr="00940986" w:rsidRDefault="00913BE1" w:rsidP="005564E1">
      <w:pPr>
        <w:pStyle w:val="Textparagrafu"/>
        <w:numPr>
          <w:ilvl w:val="0"/>
          <w:numId w:val="27"/>
        </w:numPr>
        <w:tabs>
          <w:tab w:val="left" w:pos="392"/>
          <w:tab w:val="left" w:pos="840"/>
        </w:tabs>
        <w:spacing w:before="120" w:after="120"/>
        <w:ind w:firstLine="426"/>
      </w:pPr>
      <w:r w:rsidRPr="00940986">
        <w:t>(3)</w:t>
      </w:r>
      <w:r>
        <w:t xml:space="preserve"> </w:t>
      </w:r>
      <w:r w:rsidRPr="00940986">
        <w:t>Za</w:t>
      </w:r>
      <w:r>
        <w:t xml:space="preserve"> </w:t>
      </w:r>
      <w:r w:rsidRPr="00940986">
        <w:t>veřejné</w:t>
      </w:r>
      <w:r>
        <w:t xml:space="preserve"> </w:t>
      </w:r>
      <w:r w:rsidRPr="00940986">
        <w:t>zakázky</w:t>
      </w:r>
      <w:r>
        <w:t xml:space="preserve"> </w:t>
      </w:r>
      <w:r w:rsidRPr="00940986">
        <w:t>podle</w:t>
      </w:r>
      <w:r>
        <w:t xml:space="preserve"> </w:t>
      </w:r>
      <w:r w:rsidRPr="00940986">
        <w:t>odstavce</w:t>
      </w:r>
      <w:r>
        <w:t xml:space="preserve"> </w:t>
      </w:r>
      <w:r w:rsidRPr="00940986">
        <w:t>1</w:t>
      </w:r>
      <w:r>
        <w:t xml:space="preserve"> </w:t>
      </w:r>
      <w:r w:rsidRPr="00940986">
        <w:t>se</w:t>
      </w:r>
      <w:r>
        <w:t xml:space="preserve"> </w:t>
      </w:r>
      <w:r w:rsidRPr="00940986">
        <w:t>nepovažují</w:t>
      </w:r>
      <w:r>
        <w:t xml:space="preserve"> </w:t>
      </w:r>
      <w:r w:rsidRPr="00940986">
        <w:t>veřejné</w:t>
      </w:r>
      <w:r>
        <w:t xml:space="preserve"> </w:t>
      </w:r>
      <w:r w:rsidRPr="00940986">
        <w:t>zakázky,</w:t>
      </w:r>
    </w:p>
    <w:p w14:paraId="3A33F4EF" w14:textId="5DD85E41" w:rsidR="00913BE1" w:rsidRPr="00940986" w:rsidRDefault="00913BE1" w:rsidP="005564E1">
      <w:pPr>
        <w:pStyle w:val="Textparagrafu"/>
        <w:numPr>
          <w:ilvl w:val="0"/>
          <w:numId w:val="27"/>
        </w:numPr>
        <w:tabs>
          <w:tab w:val="left" w:pos="392"/>
          <w:tab w:val="left" w:pos="840"/>
        </w:tabs>
        <w:spacing w:before="0"/>
        <w:ind w:left="425" w:hanging="425"/>
      </w:pPr>
      <w:r w:rsidRPr="00940986">
        <w:t>a)</w:t>
      </w:r>
      <w:r w:rsidR="00496DF9">
        <w:tab/>
      </w:r>
      <w:r w:rsidRPr="00940986">
        <w:t>u</w:t>
      </w:r>
      <w:r>
        <w:t xml:space="preserve"> </w:t>
      </w:r>
      <w:r w:rsidRPr="00940986">
        <w:t>kterých</w:t>
      </w:r>
      <w:r>
        <w:t xml:space="preserve"> </w:t>
      </w:r>
      <w:r w:rsidRPr="00940986">
        <w:t>je</w:t>
      </w:r>
      <w:r>
        <w:t xml:space="preserve"> </w:t>
      </w:r>
      <w:r w:rsidRPr="00940986">
        <w:t>jednotková</w:t>
      </w:r>
      <w:r>
        <w:t xml:space="preserve"> </w:t>
      </w:r>
      <w:r w:rsidRPr="00940986">
        <w:t>cena</w:t>
      </w:r>
      <w:r>
        <w:t xml:space="preserve"> </w:t>
      </w:r>
      <w:r w:rsidRPr="00940986">
        <w:t>jejich</w:t>
      </w:r>
      <w:r>
        <w:t xml:space="preserve"> </w:t>
      </w:r>
      <w:r w:rsidRPr="00940986">
        <w:t>předmětu</w:t>
      </w:r>
      <w:r>
        <w:t xml:space="preserve"> </w:t>
      </w:r>
      <w:r w:rsidRPr="00940986">
        <w:t>v</w:t>
      </w:r>
      <w:r>
        <w:t xml:space="preserve"> </w:t>
      </w:r>
      <w:r w:rsidRPr="00940986">
        <w:t>době</w:t>
      </w:r>
      <w:r>
        <w:t xml:space="preserve"> </w:t>
      </w:r>
      <w:r w:rsidRPr="00940986">
        <w:t>podle</w:t>
      </w:r>
      <w:r>
        <w:t xml:space="preserve"> </w:t>
      </w:r>
      <w:r w:rsidRPr="00940986">
        <w:t>odstavce</w:t>
      </w:r>
      <w:r>
        <w:t xml:space="preserve"> </w:t>
      </w:r>
      <w:r w:rsidRPr="00940986">
        <w:t>1</w:t>
      </w:r>
      <w:r>
        <w:t xml:space="preserve"> </w:t>
      </w:r>
      <w:r w:rsidRPr="00940986">
        <w:t>písm.</w:t>
      </w:r>
      <w:r>
        <w:t xml:space="preserve"> </w:t>
      </w:r>
      <w:r w:rsidRPr="00940986">
        <w:t>a)</w:t>
      </w:r>
      <w:r>
        <w:t xml:space="preserve"> </w:t>
      </w:r>
      <w:r w:rsidRPr="00940986">
        <w:t>proměnlivá,</w:t>
      </w:r>
    </w:p>
    <w:p w14:paraId="76483B8E" w14:textId="7C25505B" w:rsidR="00913BE1" w:rsidRPr="00940986" w:rsidRDefault="00913BE1" w:rsidP="005564E1">
      <w:pPr>
        <w:pStyle w:val="Textparagrafu"/>
        <w:numPr>
          <w:ilvl w:val="0"/>
          <w:numId w:val="27"/>
        </w:numPr>
        <w:tabs>
          <w:tab w:val="left" w:pos="392"/>
          <w:tab w:val="left" w:pos="840"/>
        </w:tabs>
        <w:spacing w:before="0"/>
        <w:ind w:left="425" w:hanging="425"/>
      </w:pPr>
      <w:r w:rsidRPr="00940986">
        <w:t>b)</w:t>
      </w:r>
      <w:r w:rsidR="00496DF9">
        <w:tab/>
      </w:r>
      <w:r w:rsidRPr="00940986">
        <w:t>kterými</w:t>
      </w:r>
      <w:r>
        <w:t xml:space="preserve"> </w:t>
      </w:r>
      <w:r w:rsidRPr="00940986">
        <w:t>zadavatel</w:t>
      </w:r>
      <w:r>
        <w:t xml:space="preserve"> </w:t>
      </w:r>
      <w:r w:rsidRPr="00940986">
        <w:t>pořizuje</w:t>
      </w:r>
      <w:r>
        <w:t xml:space="preserve"> </w:t>
      </w:r>
      <w:r w:rsidRPr="00940986">
        <w:t>dodávky</w:t>
      </w:r>
      <w:r>
        <w:t xml:space="preserve"> </w:t>
      </w:r>
      <w:r w:rsidRPr="00940986">
        <w:t>či</w:t>
      </w:r>
      <w:r>
        <w:t xml:space="preserve"> </w:t>
      </w:r>
      <w:r w:rsidRPr="00940986">
        <w:t>služby</w:t>
      </w:r>
      <w:r>
        <w:t xml:space="preserve"> </w:t>
      </w:r>
      <w:r w:rsidRPr="00940986">
        <w:t>opakovaně</w:t>
      </w:r>
      <w:r>
        <w:t xml:space="preserve"> </w:t>
      </w:r>
      <w:r w:rsidRPr="00940986">
        <w:t>podle</w:t>
      </w:r>
      <w:r>
        <w:t xml:space="preserve"> </w:t>
      </w:r>
      <w:r w:rsidRPr="00940986">
        <w:t>svých</w:t>
      </w:r>
      <w:r>
        <w:t xml:space="preserve"> </w:t>
      </w:r>
      <w:r w:rsidRPr="00940986">
        <w:t>aktuálních</w:t>
      </w:r>
      <w:r>
        <w:t xml:space="preserve"> </w:t>
      </w:r>
      <w:r w:rsidRPr="00940986">
        <w:t>potřeb</w:t>
      </w:r>
      <w:r>
        <w:t xml:space="preserve"> </w:t>
      </w:r>
      <w:r w:rsidRPr="00940986">
        <w:t>a</w:t>
      </w:r>
    </w:p>
    <w:p w14:paraId="4C21A268" w14:textId="1AA54336" w:rsidR="00913BE1" w:rsidRDefault="00913BE1" w:rsidP="005564E1">
      <w:pPr>
        <w:pStyle w:val="Textparagrafu"/>
        <w:numPr>
          <w:ilvl w:val="0"/>
          <w:numId w:val="27"/>
        </w:numPr>
        <w:tabs>
          <w:tab w:val="left" w:pos="392"/>
          <w:tab w:val="left" w:pos="840"/>
        </w:tabs>
        <w:spacing w:before="0"/>
        <w:ind w:left="425" w:hanging="425"/>
      </w:pPr>
      <w:r w:rsidRPr="00940986">
        <w:t>c)</w:t>
      </w:r>
      <w:r w:rsidR="00496DF9">
        <w:tab/>
      </w:r>
      <w:r w:rsidRPr="00940986">
        <w:t>jejichž</w:t>
      </w:r>
      <w:r>
        <w:t xml:space="preserve"> </w:t>
      </w:r>
      <w:r w:rsidRPr="00940986">
        <w:t>předpokládaná</w:t>
      </w:r>
      <w:r>
        <w:t xml:space="preserve"> </w:t>
      </w:r>
      <w:r w:rsidRPr="00940986">
        <w:t>hodnota</w:t>
      </w:r>
      <w:r>
        <w:t xml:space="preserve"> </w:t>
      </w:r>
      <w:r w:rsidRPr="00940986">
        <w:t>určená</w:t>
      </w:r>
      <w:r>
        <w:t xml:space="preserve"> </w:t>
      </w:r>
      <w:r w:rsidRPr="00940986">
        <w:t>postupem</w:t>
      </w:r>
      <w:r>
        <w:t xml:space="preserve"> </w:t>
      </w:r>
      <w:r w:rsidRPr="00940986">
        <w:t>podle</w:t>
      </w:r>
      <w:r>
        <w:t xml:space="preserve"> </w:t>
      </w:r>
      <w:r w:rsidRPr="00940986">
        <w:t>odstavce</w:t>
      </w:r>
      <w:r>
        <w:t xml:space="preserve"> </w:t>
      </w:r>
      <w:r w:rsidRPr="00940986">
        <w:t>1</w:t>
      </w:r>
      <w:r>
        <w:t xml:space="preserve"> </w:t>
      </w:r>
      <w:r w:rsidRPr="00940986">
        <w:t>a</w:t>
      </w:r>
      <w:r>
        <w:t xml:space="preserve"> </w:t>
      </w:r>
      <w:r w:rsidRPr="00940986">
        <w:t>2</w:t>
      </w:r>
      <w:r>
        <w:t xml:space="preserve"> </w:t>
      </w:r>
      <w:r w:rsidRPr="00940986">
        <w:t>nedosahuje</w:t>
      </w:r>
      <w:r>
        <w:t xml:space="preserve"> </w:t>
      </w:r>
      <w:r w:rsidRPr="00940986">
        <w:t>limitu</w:t>
      </w:r>
      <w:r>
        <w:t xml:space="preserve"> </w:t>
      </w:r>
      <w:r w:rsidRPr="00940986">
        <w:t>podle</w:t>
      </w:r>
      <w:r>
        <w:t xml:space="preserve"> </w:t>
      </w:r>
      <w:r w:rsidRPr="00940986">
        <w:t>§</w:t>
      </w:r>
      <w:r>
        <w:t xml:space="preserve"> </w:t>
      </w:r>
      <w:r w:rsidRPr="00940986">
        <w:t>25.</w:t>
      </w:r>
    </w:p>
    <w:p w14:paraId="79A4AD06" w14:textId="5674D929" w:rsidR="00496DF9" w:rsidRPr="00940986" w:rsidRDefault="00496DF9" w:rsidP="005564E1">
      <w:pPr>
        <w:pStyle w:val="Textparagrafu"/>
        <w:keepNext/>
        <w:keepLines/>
        <w:numPr>
          <w:ilvl w:val="0"/>
          <w:numId w:val="27"/>
        </w:numPr>
        <w:tabs>
          <w:tab w:val="left" w:pos="392"/>
          <w:tab w:val="left" w:pos="840"/>
        </w:tabs>
        <w:spacing w:after="120"/>
        <w:jc w:val="center"/>
      </w:pPr>
      <w:r>
        <w:lastRenderedPageBreak/>
        <w:t>***</w:t>
      </w:r>
    </w:p>
    <w:p w14:paraId="4160584E" w14:textId="77777777" w:rsidR="00913BE1" w:rsidRPr="00940986" w:rsidRDefault="00913BE1" w:rsidP="005564E1">
      <w:pPr>
        <w:pStyle w:val="Textparagrafu"/>
        <w:keepNext/>
        <w:keepLines/>
        <w:numPr>
          <w:ilvl w:val="0"/>
          <w:numId w:val="27"/>
        </w:numPr>
        <w:tabs>
          <w:tab w:val="left" w:pos="392"/>
          <w:tab w:val="left" w:pos="840"/>
        </w:tabs>
        <w:spacing w:after="120"/>
        <w:jc w:val="center"/>
      </w:pPr>
      <w:r w:rsidRPr="00940986">
        <w:t>§</w:t>
      </w:r>
      <w:r>
        <w:t xml:space="preserve"> </w:t>
      </w:r>
      <w:r w:rsidRPr="00940986">
        <w:t>78</w:t>
      </w:r>
    </w:p>
    <w:p w14:paraId="28289116" w14:textId="77777777" w:rsidR="00913BE1" w:rsidRPr="00496DF9" w:rsidRDefault="00913BE1" w:rsidP="005564E1">
      <w:pPr>
        <w:pStyle w:val="Textparagrafu"/>
        <w:keepNext/>
        <w:keepLines/>
        <w:numPr>
          <w:ilvl w:val="0"/>
          <w:numId w:val="27"/>
        </w:numPr>
        <w:tabs>
          <w:tab w:val="left" w:pos="392"/>
          <w:tab w:val="left" w:pos="840"/>
        </w:tabs>
        <w:spacing w:after="120"/>
        <w:jc w:val="center"/>
        <w:rPr>
          <w:b/>
        </w:rPr>
      </w:pPr>
      <w:r w:rsidRPr="00496DF9">
        <w:rPr>
          <w:b/>
        </w:rPr>
        <w:t>Kritérium ekonomické kvalifikace a jeho prokázání</w:t>
      </w:r>
    </w:p>
    <w:p w14:paraId="3752D049" w14:textId="77777777" w:rsidR="00913BE1" w:rsidRPr="00940986" w:rsidRDefault="00913BE1" w:rsidP="005564E1">
      <w:pPr>
        <w:pStyle w:val="Textparagrafu"/>
        <w:numPr>
          <w:ilvl w:val="0"/>
          <w:numId w:val="27"/>
        </w:numPr>
        <w:tabs>
          <w:tab w:val="left" w:pos="392"/>
          <w:tab w:val="left" w:pos="840"/>
        </w:tabs>
        <w:spacing w:before="120" w:after="120"/>
        <w:ind w:firstLine="425"/>
      </w:pPr>
      <w:r w:rsidRPr="00940986">
        <w:t>(1)</w:t>
      </w:r>
      <w:r>
        <w:t xml:space="preserve"> </w:t>
      </w:r>
      <w:r w:rsidRPr="00940986">
        <w:t>Zadavatel</w:t>
      </w:r>
      <w:r>
        <w:t xml:space="preserve"> </w:t>
      </w:r>
      <w:r w:rsidRPr="00940986">
        <w:t>může</w:t>
      </w:r>
      <w:r>
        <w:t xml:space="preserve"> </w:t>
      </w:r>
      <w:r w:rsidRPr="00940986">
        <w:t>požadovat,</w:t>
      </w:r>
      <w:r>
        <w:t xml:space="preserve"> </w:t>
      </w:r>
      <w:r w:rsidRPr="00940986">
        <w:t>aby</w:t>
      </w:r>
      <w:r>
        <w:t xml:space="preserve"> </w:t>
      </w:r>
      <w:r w:rsidRPr="00940986">
        <w:t>minimální</w:t>
      </w:r>
      <w:r>
        <w:t xml:space="preserve"> </w:t>
      </w:r>
      <w:r w:rsidRPr="00940986">
        <w:t>roční</w:t>
      </w:r>
      <w:r>
        <w:t xml:space="preserve"> </w:t>
      </w:r>
      <w:r w:rsidRPr="00940986">
        <w:t>obrat</w:t>
      </w:r>
      <w:r>
        <w:t xml:space="preserve"> </w:t>
      </w:r>
      <w:r w:rsidRPr="00940986">
        <w:t>dodavatele</w:t>
      </w:r>
      <w:r>
        <w:t xml:space="preserve"> </w:t>
      </w:r>
      <w:r w:rsidRPr="00940986">
        <w:t>nebo</w:t>
      </w:r>
      <w:r>
        <w:t xml:space="preserve"> </w:t>
      </w:r>
      <w:r w:rsidRPr="00940986">
        <w:t>obrat</w:t>
      </w:r>
      <w:r>
        <w:t xml:space="preserve"> </w:t>
      </w:r>
      <w:r w:rsidRPr="00940986">
        <w:t>dosažený</w:t>
      </w:r>
      <w:r>
        <w:t xml:space="preserve"> </w:t>
      </w:r>
      <w:r w:rsidRPr="00940986">
        <w:t>dodavatelem</w:t>
      </w:r>
      <w:r>
        <w:t xml:space="preserve"> </w:t>
      </w:r>
      <w:r w:rsidRPr="00940986">
        <w:t>s</w:t>
      </w:r>
      <w:r>
        <w:t xml:space="preserve"> </w:t>
      </w:r>
      <w:r w:rsidRPr="00940986">
        <w:t>ohledem</w:t>
      </w:r>
      <w:r>
        <w:t xml:space="preserve"> </w:t>
      </w:r>
      <w:r w:rsidRPr="00940986">
        <w:t>na</w:t>
      </w:r>
      <w:r>
        <w:t xml:space="preserve"> </w:t>
      </w:r>
      <w:r w:rsidRPr="00940986">
        <w:t>předmět</w:t>
      </w:r>
      <w:r>
        <w:t xml:space="preserve"> </w:t>
      </w:r>
      <w:r w:rsidRPr="00940986">
        <w:t>veřejné</w:t>
      </w:r>
      <w:r>
        <w:t xml:space="preserve"> </w:t>
      </w:r>
      <w:r w:rsidRPr="00940986">
        <w:t>zakázky</w:t>
      </w:r>
      <w:r>
        <w:t xml:space="preserve"> </w:t>
      </w:r>
      <w:r w:rsidRPr="00940986">
        <w:t>dosahoval</w:t>
      </w:r>
      <w:r>
        <w:t xml:space="preserve"> </w:t>
      </w:r>
      <w:r w:rsidRPr="00940986">
        <w:t>zadavatelem</w:t>
      </w:r>
      <w:r>
        <w:t xml:space="preserve"> </w:t>
      </w:r>
      <w:r w:rsidRPr="00940986">
        <w:t>určené</w:t>
      </w:r>
      <w:r>
        <w:t xml:space="preserve"> </w:t>
      </w:r>
      <w:r w:rsidRPr="00940986">
        <w:t>minimální</w:t>
      </w:r>
      <w:r>
        <w:t xml:space="preserve"> </w:t>
      </w:r>
      <w:r w:rsidRPr="00940986">
        <w:t>úrovně,</w:t>
      </w:r>
      <w:r>
        <w:t xml:space="preserve"> </w:t>
      </w:r>
      <w:r w:rsidRPr="00940986">
        <w:t>a</w:t>
      </w:r>
      <w:r>
        <w:t xml:space="preserve"> </w:t>
      </w:r>
      <w:r w:rsidRPr="00940986">
        <w:t>to</w:t>
      </w:r>
      <w:r>
        <w:t xml:space="preserve"> </w:t>
      </w:r>
      <w:r w:rsidRPr="00940986">
        <w:t>nejdéle</w:t>
      </w:r>
      <w:r>
        <w:t xml:space="preserve"> </w:t>
      </w:r>
      <w:r w:rsidRPr="00940986">
        <w:t>za</w:t>
      </w:r>
      <w:r>
        <w:t xml:space="preserve"> </w:t>
      </w:r>
      <w:r w:rsidRPr="00940986">
        <w:t>3</w:t>
      </w:r>
      <w:r>
        <w:t xml:space="preserve"> </w:t>
      </w:r>
      <w:r w:rsidRPr="00940986">
        <w:t>bezprostředně</w:t>
      </w:r>
      <w:r>
        <w:t xml:space="preserve"> </w:t>
      </w:r>
      <w:r w:rsidRPr="00940986">
        <w:t>předcházející</w:t>
      </w:r>
      <w:r>
        <w:t xml:space="preserve"> </w:t>
      </w:r>
      <w:r w:rsidRPr="00044073">
        <w:rPr>
          <w:b/>
        </w:rPr>
        <w:t>individuální</w:t>
      </w:r>
      <w:r>
        <w:t xml:space="preserve"> </w:t>
      </w:r>
      <w:r w:rsidRPr="00940986">
        <w:t>účetní</w:t>
      </w:r>
      <w:r>
        <w:t xml:space="preserve"> </w:t>
      </w:r>
      <w:r w:rsidRPr="00940986">
        <w:t>období;</w:t>
      </w:r>
      <w:r>
        <w:t xml:space="preserve"> </w:t>
      </w:r>
      <w:r w:rsidRPr="00940986">
        <w:t>jestliže</w:t>
      </w:r>
      <w:r>
        <w:t xml:space="preserve"> </w:t>
      </w:r>
      <w:r w:rsidRPr="00940986">
        <w:t>dodavatel</w:t>
      </w:r>
      <w:r>
        <w:t xml:space="preserve"> </w:t>
      </w:r>
      <w:r w:rsidRPr="00940986">
        <w:t>vznikl</w:t>
      </w:r>
      <w:r>
        <w:t xml:space="preserve"> </w:t>
      </w:r>
      <w:r w:rsidRPr="00940986">
        <w:t>později,</w:t>
      </w:r>
      <w:r>
        <w:t xml:space="preserve"> </w:t>
      </w:r>
      <w:r w:rsidRPr="00940986">
        <w:t>postačí,</w:t>
      </w:r>
      <w:r>
        <w:t xml:space="preserve"> </w:t>
      </w:r>
      <w:r w:rsidRPr="00940986">
        <w:t>předloží-li</w:t>
      </w:r>
      <w:r>
        <w:t xml:space="preserve"> </w:t>
      </w:r>
      <w:r w:rsidRPr="00940986">
        <w:t>údaje</w:t>
      </w:r>
      <w:r>
        <w:t xml:space="preserve"> </w:t>
      </w:r>
      <w:r w:rsidRPr="00940986">
        <w:t>o</w:t>
      </w:r>
      <w:r>
        <w:t xml:space="preserve"> </w:t>
      </w:r>
      <w:r w:rsidRPr="00940986">
        <w:t>svém</w:t>
      </w:r>
      <w:r>
        <w:t xml:space="preserve"> </w:t>
      </w:r>
      <w:r w:rsidRPr="00940986">
        <w:t>obratu</w:t>
      </w:r>
      <w:r>
        <w:t xml:space="preserve"> </w:t>
      </w:r>
      <w:r w:rsidRPr="00940986">
        <w:t>v</w:t>
      </w:r>
      <w:r>
        <w:t xml:space="preserve"> </w:t>
      </w:r>
      <w:r w:rsidRPr="00940986">
        <w:t>požadované</w:t>
      </w:r>
      <w:r>
        <w:t xml:space="preserve"> </w:t>
      </w:r>
      <w:r w:rsidRPr="00940986">
        <w:t>výši</w:t>
      </w:r>
      <w:r>
        <w:t xml:space="preserve"> </w:t>
      </w:r>
      <w:r w:rsidRPr="00940986">
        <w:t>za</w:t>
      </w:r>
      <w:r>
        <w:t xml:space="preserve"> </w:t>
      </w:r>
      <w:r w:rsidRPr="00940986">
        <w:t>všechna</w:t>
      </w:r>
      <w:r>
        <w:t xml:space="preserve"> </w:t>
      </w:r>
      <w:r w:rsidRPr="00044073">
        <w:rPr>
          <w:b/>
        </w:rPr>
        <w:t>individuální</w:t>
      </w:r>
      <w:r>
        <w:t xml:space="preserve"> </w:t>
      </w:r>
      <w:r w:rsidRPr="00940986">
        <w:t>účetní</w:t>
      </w:r>
      <w:r>
        <w:t xml:space="preserve"> </w:t>
      </w:r>
      <w:r w:rsidRPr="00940986">
        <w:t>období</w:t>
      </w:r>
      <w:r>
        <w:t xml:space="preserve"> </w:t>
      </w:r>
      <w:r w:rsidRPr="00940986">
        <w:t>od</w:t>
      </w:r>
      <w:r>
        <w:t xml:space="preserve"> </w:t>
      </w:r>
      <w:r w:rsidRPr="00940986">
        <w:t>svého</w:t>
      </w:r>
      <w:r>
        <w:t xml:space="preserve"> </w:t>
      </w:r>
      <w:r w:rsidRPr="00940986">
        <w:t>vzniku.</w:t>
      </w:r>
    </w:p>
    <w:p w14:paraId="7F0D4B72" w14:textId="77777777" w:rsidR="00913BE1" w:rsidRPr="00940986" w:rsidRDefault="00913BE1" w:rsidP="005564E1">
      <w:pPr>
        <w:pStyle w:val="Textparagrafu"/>
        <w:numPr>
          <w:ilvl w:val="0"/>
          <w:numId w:val="27"/>
        </w:numPr>
        <w:tabs>
          <w:tab w:val="left" w:pos="392"/>
          <w:tab w:val="left" w:pos="840"/>
        </w:tabs>
        <w:spacing w:before="120" w:after="120"/>
        <w:ind w:firstLine="425"/>
      </w:pPr>
      <w:r w:rsidRPr="00940986">
        <w:t>(2)</w:t>
      </w:r>
      <w:r>
        <w:t xml:space="preserve"> </w:t>
      </w:r>
      <w:r w:rsidRPr="00940986">
        <w:t>Podmínka</w:t>
      </w:r>
      <w:r>
        <w:t xml:space="preserve"> </w:t>
      </w:r>
      <w:r w:rsidRPr="00940986">
        <w:t>minimální</w:t>
      </w:r>
      <w:r>
        <w:t xml:space="preserve"> </w:t>
      </w:r>
      <w:r w:rsidRPr="00940986">
        <w:t>výše</w:t>
      </w:r>
      <w:r>
        <w:t xml:space="preserve"> </w:t>
      </w:r>
      <w:r w:rsidRPr="00940986">
        <w:t>ročního</w:t>
      </w:r>
      <w:r>
        <w:t xml:space="preserve"> </w:t>
      </w:r>
      <w:r w:rsidRPr="00940986">
        <w:t>obratu</w:t>
      </w:r>
      <w:r>
        <w:t xml:space="preserve"> </w:t>
      </w:r>
      <w:r w:rsidRPr="00940986">
        <w:t>nesmí</w:t>
      </w:r>
      <w:r>
        <w:t xml:space="preserve"> </w:t>
      </w:r>
      <w:r w:rsidRPr="00940986">
        <w:t>přesahovat</w:t>
      </w:r>
      <w:r>
        <w:t xml:space="preserve"> </w:t>
      </w:r>
      <w:r w:rsidRPr="00940986">
        <w:t>dvojnásobek</w:t>
      </w:r>
      <w:r>
        <w:t xml:space="preserve"> </w:t>
      </w:r>
      <w:r w:rsidRPr="00940986">
        <w:t>předpokládané</w:t>
      </w:r>
      <w:r>
        <w:t xml:space="preserve"> </w:t>
      </w:r>
      <w:r w:rsidRPr="00940986">
        <w:t>hodnoty</w:t>
      </w:r>
      <w:r>
        <w:t xml:space="preserve"> </w:t>
      </w:r>
      <w:r w:rsidRPr="00940986">
        <w:t>veřejné</w:t>
      </w:r>
      <w:r>
        <w:t xml:space="preserve"> </w:t>
      </w:r>
      <w:r w:rsidRPr="00940986">
        <w:t>zakázky.</w:t>
      </w:r>
      <w:r>
        <w:t xml:space="preserve"> </w:t>
      </w:r>
      <w:r w:rsidRPr="00940986">
        <w:t>V</w:t>
      </w:r>
      <w:r>
        <w:t xml:space="preserve"> </w:t>
      </w:r>
      <w:r w:rsidRPr="00940986">
        <w:t>případě</w:t>
      </w:r>
      <w:r>
        <w:t xml:space="preserve"> </w:t>
      </w:r>
      <w:r w:rsidRPr="00940986">
        <w:t>zadávacího</w:t>
      </w:r>
      <w:r>
        <w:t xml:space="preserve"> </w:t>
      </w:r>
      <w:r w:rsidRPr="00940986">
        <w:t>řízení,</w:t>
      </w:r>
      <w:r>
        <w:t xml:space="preserve"> </w:t>
      </w:r>
      <w:r w:rsidRPr="00940986">
        <w:t>v</w:t>
      </w:r>
      <w:r>
        <w:t xml:space="preserve"> </w:t>
      </w:r>
      <w:r w:rsidRPr="00940986">
        <w:t>němž</w:t>
      </w:r>
      <w:r>
        <w:t xml:space="preserve"> </w:t>
      </w:r>
      <w:r w:rsidRPr="00940986">
        <w:t>má</w:t>
      </w:r>
      <w:r>
        <w:t xml:space="preserve"> </w:t>
      </w:r>
      <w:r w:rsidRPr="00940986">
        <w:t>být</w:t>
      </w:r>
      <w:r>
        <w:t xml:space="preserve"> </w:t>
      </w:r>
      <w:r w:rsidRPr="00940986">
        <w:t>uzavřena</w:t>
      </w:r>
      <w:r>
        <w:t xml:space="preserve"> </w:t>
      </w:r>
      <w:r w:rsidRPr="00940986">
        <w:t>rámcová</w:t>
      </w:r>
      <w:r>
        <w:t xml:space="preserve"> </w:t>
      </w:r>
      <w:r w:rsidRPr="00940986">
        <w:t>dohoda</w:t>
      </w:r>
      <w:r>
        <w:t xml:space="preserve"> </w:t>
      </w:r>
      <w:r w:rsidRPr="00940986">
        <w:t>s</w:t>
      </w:r>
      <w:r>
        <w:t xml:space="preserve"> </w:t>
      </w:r>
      <w:r w:rsidRPr="00940986">
        <w:t>obnovením</w:t>
      </w:r>
      <w:r>
        <w:t xml:space="preserve"> </w:t>
      </w:r>
      <w:r w:rsidRPr="00940986">
        <w:t>soutěže,</w:t>
      </w:r>
      <w:r>
        <w:t xml:space="preserve"> </w:t>
      </w:r>
      <w:r w:rsidRPr="00940986">
        <w:t>nesmí</w:t>
      </w:r>
      <w:r>
        <w:t xml:space="preserve"> </w:t>
      </w:r>
      <w:r w:rsidRPr="00940986">
        <w:t>tato</w:t>
      </w:r>
      <w:r>
        <w:t xml:space="preserve"> </w:t>
      </w:r>
      <w:r w:rsidRPr="00940986">
        <w:t>podmínka</w:t>
      </w:r>
      <w:r>
        <w:t xml:space="preserve"> </w:t>
      </w:r>
      <w:r w:rsidRPr="00940986">
        <w:t>přesáhnout</w:t>
      </w:r>
      <w:r>
        <w:t xml:space="preserve"> </w:t>
      </w:r>
      <w:r w:rsidRPr="00940986">
        <w:t>dvojnásobek</w:t>
      </w:r>
      <w:r>
        <w:t xml:space="preserve"> </w:t>
      </w:r>
      <w:r w:rsidRPr="00940986">
        <w:t>průměrné</w:t>
      </w:r>
      <w:r>
        <w:t xml:space="preserve"> </w:t>
      </w:r>
      <w:r w:rsidRPr="00940986">
        <w:t>předpokládané</w:t>
      </w:r>
      <w:r>
        <w:t xml:space="preserve"> </w:t>
      </w:r>
      <w:r w:rsidRPr="00940986">
        <w:t>hodnoty</w:t>
      </w:r>
      <w:r>
        <w:t xml:space="preserve"> </w:t>
      </w:r>
      <w:r w:rsidRPr="00940986">
        <w:t>veřejných</w:t>
      </w:r>
      <w:r>
        <w:t xml:space="preserve"> </w:t>
      </w:r>
      <w:r w:rsidRPr="00940986">
        <w:t>zakázek,</w:t>
      </w:r>
      <w:r>
        <w:t xml:space="preserve"> </w:t>
      </w:r>
      <w:r w:rsidRPr="00940986">
        <w:t>které</w:t>
      </w:r>
      <w:r>
        <w:t xml:space="preserve"> </w:t>
      </w:r>
      <w:r w:rsidRPr="00940986">
        <w:t>budou</w:t>
      </w:r>
      <w:r>
        <w:t xml:space="preserve"> </w:t>
      </w:r>
      <w:r w:rsidRPr="00940986">
        <w:t>prováděny</w:t>
      </w:r>
      <w:r>
        <w:t xml:space="preserve"> </w:t>
      </w:r>
      <w:r w:rsidRPr="00940986">
        <w:t>na</w:t>
      </w:r>
      <w:r>
        <w:t xml:space="preserve"> </w:t>
      </w:r>
      <w:r w:rsidRPr="00940986">
        <w:t>základě</w:t>
      </w:r>
      <w:r>
        <w:t xml:space="preserve"> </w:t>
      </w:r>
      <w:r w:rsidRPr="00940986">
        <w:t>rámcové</w:t>
      </w:r>
      <w:r>
        <w:t xml:space="preserve"> </w:t>
      </w:r>
      <w:r w:rsidRPr="00940986">
        <w:t>dohody</w:t>
      </w:r>
      <w:r>
        <w:t xml:space="preserve"> </w:t>
      </w:r>
      <w:r w:rsidRPr="00940986">
        <w:t>současně,</w:t>
      </w:r>
      <w:r>
        <w:t xml:space="preserve"> </w:t>
      </w:r>
      <w:r w:rsidRPr="00940986">
        <w:t>nebo</w:t>
      </w:r>
      <w:r>
        <w:t xml:space="preserve"> </w:t>
      </w:r>
      <w:r w:rsidRPr="00940986">
        <w:t>není-li</w:t>
      </w:r>
      <w:r>
        <w:t xml:space="preserve"> </w:t>
      </w:r>
      <w:r w:rsidRPr="00940986">
        <w:t>známa,</w:t>
      </w:r>
      <w:r>
        <w:t xml:space="preserve"> </w:t>
      </w:r>
      <w:r w:rsidRPr="00940986">
        <w:t>dvojnásobek</w:t>
      </w:r>
      <w:r>
        <w:t xml:space="preserve"> </w:t>
      </w:r>
      <w:r w:rsidRPr="00940986">
        <w:t>předpokládané</w:t>
      </w:r>
      <w:r>
        <w:t xml:space="preserve"> </w:t>
      </w:r>
      <w:r w:rsidRPr="00940986">
        <w:t>hodnoty</w:t>
      </w:r>
      <w:r>
        <w:t xml:space="preserve"> </w:t>
      </w:r>
      <w:r w:rsidRPr="00940986">
        <w:t>rámcové</w:t>
      </w:r>
      <w:r>
        <w:t xml:space="preserve"> </w:t>
      </w:r>
      <w:r w:rsidRPr="00940986">
        <w:t>dohody.</w:t>
      </w:r>
      <w:r>
        <w:t xml:space="preserve"> </w:t>
      </w:r>
      <w:r w:rsidRPr="00940986">
        <w:t>V</w:t>
      </w:r>
      <w:r>
        <w:t xml:space="preserve"> </w:t>
      </w:r>
      <w:r w:rsidRPr="00940986">
        <w:t>případě</w:t>
      </w:r>
      <w:r>
        <w:t xml:space="preserve"> </w:t>
      </w:r>
      <w:r w:rsidRPr="00940986">
        <w:t>zadávacího</w:t>
      </w:r>
      <w:r>
        <w:t xml:space="preserve"> </w:t>
      </w:r>
      <w:r w:rsidRPr="00940986">
        <w:t>řízení,</w:t>
      </w:r>
      <w:r>
        <w:t xml:space="preserve"> </w:t>
      </w:r>
      <w:r w:rsidRPr="00940986">
        <w:t>v</w:t>
      </w:r>
      <w:r>
        <w:t xml:space="preserve"> </w:t>
      </w:r>
      <w:r w:rsidRPr="00940986">
        <w:t>němž</w:t>
      </w:r>
      <w:r>
        <w:t xml:space="preserve"> </w:t>
      </w:r>
      <w:r w:rsidRPr="00940986">
        <w:t>má</w:t>
      </w:r>
      <w:r>
        <w:t xml:space="preserve"> </w:t>
      </w:r>
      <w:r w:rsidRPr="00940986">
        <w:t>být</w:t>
      </w:r>
      <w:r>
        <w:t xml:space="preserve"> </w:t>
      </w:r>
      <w:r w:rsidRPr="00940986">
        <w:t>zaveden</w:t>
      </w:r>
      <w:r>
        <w:t xml:space="preserve"> </w:t>
      </w:r>
      <w:r w:rsidRPr="00940986">
        <w:t>dynamický</w:t>
      </w:r>
      <w:r>
        <w:t xml:space="preserve"> </w:t>
      </w:r>
      <w:r w:rsidRPr="00940986">
        <w:t>nákupní</w:t>
      </w:r>
      <w:r>
        <w:t xml:space="preserve"> </w:t>
      </w:r>
      <w:r w:rsidRPr="00940986">
        <w:t>systém,</w:t>
      </w:r>
      <w:r>
        <w:t xml:space="preserve"> </w:t>
      </w:r>
      <w:r w:rsidRPr="00940986">
        <w:t>nesmí</w:t>
      </w:r>
      <w:r>
        <w:t xml:space="preserve"> </w:t>
      </w:r>
      <w:r w:rsidRPr="00940986">
        <w:t>tato</w:t>
      </w:r>
      <w:r>
        <w:t xml:space="preserve"> </w:t>
      </w:r>
      <w:r w:rsidRPr="00940986">
        <w:t>podmínka</w:t>
      </w:r>
      <w:r>
        <w:t xml:space="preserve"> </w:t>
      </w:r>
      <w:r w:rsidRPr="00940986">
        <w:t>přesahovat</w:t>
      </w:r>
      <w:r>
        <w:t xml:space="preserve"> </w:t>
      </w:r>
      <w:r w:rsidRPr="00940986">
        <w:t>dvojnásobek</w:t>
      </w:r>
      <w:r>
        <w:t xml:space="preserve"> </w:t>
      </w:r>
      <w:r w:rsidRPr="00940986">
        <w:t>maximální</w:t>
      </w:r>
      <w:r>
        <w:t xml:space="preserve"> </w:t>
      </w:r>
      <w:r w:rsidRPr="00940986">
        <w:t>předpokládané</w:t>
      </w:r>
      <w:r>
        <w:t xml:space="preserve"> </w:t>
      </w:r>
      <w:r w:rsidRPr="00940986">
        <w:t>hodnoty</w:t>
      </w:r>
      <w:r>
        <w:t xml:space="preserve"> </w:t>
      </w:r>
      <w:r w:rsidRPr="00940986">
        <w:t>jednotlivých</w:t>
      </w:r>
      <w:r>
        <w:t xml:space="preserve"> </w:t>
      </w:r>
      <w:r w:rsidRPr="00940986">
        <w:t>veřejných</w:t>
      </w:r>
      <w:r>
        <w:t xml:space="preserve"> </w:t>
      </w:r>
      <w:r w:rsidRPr="00940986">
        <w:t>zakázek,</w:t>
      </w:r>
      <w:r>
        <w:t xml:space="preserve"> </w:t>
      </w:r>
      <w:r w:rsidRPr="00940986">
        <w:t>které</w:t>
      </w:r>
      <w:r>
        <w:t xml:space="preserve"> </w:t>
      </w:r>
      <w:r w:rsidRPr="00940986">
        <w:t>mají</w:t>
      </w:r>
      <w:r>
        <w:t xml:space="preserve"> </w:t>
      </w:r>
      <w:r w:rsidRPr="00940986">
        <w:t>být</w:t>
      </w:r>
      <w:r>
        <w:t xml:space="preserve"> </w:t>
      </w:r>
      <w:r w:rsidRPr="00940986">
        <w:t>v</w:t>
      </w:r>
      <w:r>
        <w:t xml:space="preserve"> </w:t>
      </w:r>
      <w:r w:rsidRPr="00940986">
        <w:t>dynamickém</w:t>
      </w:r>
      <w:r>
        <w:t xml:space="preserve"> </w:t>
      </w:r>
      <w:r w:rsidRPr="00940986">
        <w:t>nákupním</w:t>
      </w:r>
      <w:r>
        <w:t xml:space="preserve"> </w:t>
      </w:r>
      <w:r w:rsidRPr="00940986">
        <w:t>systému</w:t>
      </w:r>
      <w:r>
        <w:t xml:space="preserve"> </w:t>
      </w:r>
      <w:r w:rsidRPr="00940986">
        <w:t>zadány.</w:t>
      </w:r>
    </w:p>
    <w:p w14:paraId="3C1446D5" w14:textId="77777777" w:rsidR="00913BE1" w:rsidRPr="00940986" w:rsidRDefault="00913BE1" w:rsidP="005564E1">
      <w:pPr>
        <w:pStyle w:val="Textparagrafu"/>
        <w:numPr>
          <w:ilvl w:val="0"/>
          <w:numId w:val="27"/>
        </w:numPr>
        <w:tabs>
          <w:tab w:val="left" w:pos="392"/>
          <w:tab w:val="left" w:pos="840"/>
        </w:tabs>
        <w:spacing w:before="120" w:after="120"/>
        <w:ind w:firstLine="425"/>
      </w:pPr>
      <w:r w:rsidRPr="00940986">
        <w:t>(3)</w:t>
      </w:r>
      <w:r>
        <w:t xml:space="preserve"> </w:t>
      </w:r>
      <w:r w:rsidRPr="00940986">
        <w:t>Odstavec</w:t>
      </w:r>
      <w:r>
        <w:t xml:space="preserve"> </w:t>
      </w:r>
      <w:r w:rsidRPr="00940986">
        <w:t>2</w:t>
      </w:r>
      <w:r>
        <w:t xml:space="preserve"> </w:t>
      </w:r>
      <w:r w:rsidRPr="00940986">
        <w:t>se</w:t>
      </w:r>
      <w:r>
        <w:t xml:space="preserve"> </w:t>
      </w:r>
      <w:r w:rsidRPr="00940986">
        <w:t>nepoužije</w:t>
      </w:r>
      <w:r>
        <w:t xml:space="preserve"> </w:t>
      </w:r>
      <w:r w:rsidRPr="00940986">
        <w:t>v</w:t>
      </w:r>
      <w:r>
        <w:t xml:space="preserve"> </w:t>
      </w:r>
      <w:r w:rsidRPr="00940986">
        <w:t>zadavatelem</w:t>
      </w:r>
      <w:r>
        <w:t xml:space="preserve"> </w:t>
      </w:r>
      <w:r w:rsidRPr="00940986">
        <w:t>odůvodněných</w:t>
      </w:r>
      <w:r>
        <w:t xml:space="preserve"> </w:t>
      </w:r>
      <w:r w:rsidRPr="00940986">
        <w:t>případech,</w:t>
      </w:r>
      <w:r>
        <w:t xml:space="preserve"> </w:t>
      </w:r>
      <w:r w:rsidRPr="00940986">
        <w:t>kterými</w:t>
      </w:r>
      <w:r>
        <w:t xml:space="preserve"> </w:t>
      </w:r>
      <w:r w:rsidRPr="00940986">
        <w:t>jsou</w:t>
      </w:r>
      <w:r>
        <w:t xml:space="preserve"> </w:t>
      </w:r>
      <w:r w:rsidRPr="00940986">
        <w:t>zejména</w:t>
      </w:r>
      <w:r>
        <w:t xml:space="preserve"> </w:t>
      </w:r>
      <w:r w:rsidRPr="00940986">
        <w:t>zvláštní</w:t>
      </w:r>
      <w:r>
        <w:t xml:space="preserve"> </w:t>
      </w:r>
      <w:r w:rsidRPr="00940986">
        <w:t>rizika</w:t>
      </w:r>
      <w:r>
        <w:t xml:space="preserve"> </w:t>
      </w:r>
      <w:r w:rsidRPr="00940986">
        <w:t>vyplývající</w:t>
      </w:r>
      <w:r>
        <w:t xml:space="preserve"> </w:t>
      </w:r>
      <w:r w:rsidRPr="00940986">
        <w:t>z</w:t>
      </w:r>
      <w:r>
        <w:t xml:space="preserve"> </w:t>
      </w:r>
      <w:r w:rsidRPr="00940986">
        <w:t>povahy</w:t>
      </w:r>
      <w:r>
        <w:t xml:space="preserve"> </w:t>
      </w:r>
      <w:r w:rsidRPr="00940986">
        <w:t>dodávek,</w:t>
      </w:r>
      <w:r>
        <w:t xml:space="preserve"> </w:t>
      </w:r>
      <w:r w:rsidRPr="00940986">
        <w:t>služeb</w:t>
      </w:r>
      <w:r>
        <w:t xml:space="preserve"> </w:t>
      </w:r>
      <w:r w:rsidRPr="00940986">
        <w:t>nebo</w:t>
      </w:r>
      <w:r>
        <w:t xml:space="preserve"> </w:t>
      </w:r>
      <w:r w:rsidRPr="00940986">
        <w:t>stavebních</w:t>
      </w:r>
      <w:r>
        <w:t xml:space="preserve"> </w:t>
      </w:r>
      <w:r w:rsidRPr="00940986">
        <w:t>prací.</w:t>
      </w:r>
    </w:p>
    <w:p w14:paraId="70EE1AF0" w14:textId="77777777" w:rsidR="00913BE1" w:rsidRPr="00940986" w:rsidRDefault="00913BE1" w:rsidP="005564E1">
      <w:pPr>
        <w:pStyle w:val="Textparagrafu"/>
        <w:numPr>
          <w:ilvl w:val="0"/>
          <w:numId w:val="27"/>
        </w:numPr>
        <w:tabs>
          <w:tab w:val="left" w:pos="392"/>
          <w:tab w:val="left" w:pos="840"/>
        </w:tabs>
        <w:spacing w:before="120" w:after="120"/>
        <w:ind w:firstLine="425"/>
      </w:pPr>
      <w:r w:rsidRPr="00940986">
        <w:t>(4)</w:t>
      </w:r>
      <w:r>
        <w:t xml:space="preserve"> </w:t>
      </w:r>
      <w:r w:rsidRPr="00940986">
        <w:t>Pokud</w:t>
      </w:r>
      <w:r>
        <w:t xml:space="preserve"> </w:t>
      </w:r>
      <w:r w:rsidRPr="00940986">
        <w:t>je</w:t>
      </w:r>
      <w:r>
        <w:t xml:space="preserve"> </w:t>
      </w:r>
      <w:r w:rsidRPr="00940986">
        <w:t>veřejná</w:t>
      </w:r>
      <w:r>
        <w:t xml:space="preserve"> </w:t>
      </w:r>
      <w:r w:rsidRPr="00940986">
        <w:t>zakázka</w:t>
      </w:r>
      <w:r>
        <w:t xml:space="preserve"> </w:t>
      </w:r>
      <w:r w:rsidRPr="00940986">
        <w:t>rozdělena</w:t>
      </w:r>
      <w:r>
        <w:t xml:space="preserve"> </w:t>
      </w:r>
      <w:r w:rsidRPr="00940986">
        <w:t>na</w:t>
      </w:r>
      <w:r>
        <w:t xml:space="preserve"> </w:t>
      </w:r>
      <w:r w:rsidRPr="00940986">
        <w:t>části,</w:t>
      </w:r>
      <w:r>
        <w:t xml:space="preserve"> </w:t>
      </w:r>
      <w:r w:rsidRPr="00940986">
        <w:t>stanoví</w:t>
      </w:r>
      <w:r>
        <w:t xml:space="preserve"> </w:t>
      </w:r>
      <w:r w:rsidRPr="00940986">
        <w:t>zadavatel</w:t>
      </w:r>
      <w:r>
        <w:t xml:space="preserve"> </w:t>
      </w:r>
      <w:r w:rsidRPr="00940986">
        <w:t>podmínku</w:t>
      </w:r>
      <w:r>
        <w:t xml:space="preserve"> </w:t>
      </w:r>
      <w:r w:rsidRPr="00940986">
        <w:t>ekonomické</w:t>
      </w:r>
      <w:r>
        <w:t xml:space="preserve"> </w:t>
      </w:r>
      <w:r w:rsidRPr="00940986">
        <w:t>kvalifikace</w:t>
      </w:r>
      <w:r>
        <w:t xml:space="preserve"> </w:t>
      </w:r>
      <w:r w:rsidRPr="00940986">
        <w:t>na</w:t>
      </w:r>
      <w:r>
        <w:t xml:space="preserve"> </w:t>
      </w:r>
      <w:r w:rsidRPr="00940986">
        <w:t>každou</w:t>
      </w:r>
      <w:r>
        <w:t xml:space="preserve"> </w:t>
      </w:r>
      <w:r w:rsidRPr="00940986">
        <w:t>část</w:t>
      </w:r>
      <w:r>
        <w:t xml:space="preserve"> </w:t>
      </w:r>
      <w:r w:rsidRPr="00940986">
        <w:t>zvlášť.</w:t>
      </w:r>
      <w:r>
        <w:t xml:space="preserve"> </w:t>
      </w:r>
      <w:r w:rsidRPr="00940986">
        <w:t>Zadavatel</w:t>
      </w:r>
      <w:r>
        <w:t xml:space="preserve"> </w:t>
      </w:r>
      <w:r w:rsidRPr="00940986">
        <w:t>však</w:t>
      </w:r>
      <w:r>
        <w:t xml:space="preserve"> </w:t>
      </w:r>
      <w:r w:rsidRPr="00940986">
        <w:t>může</w:t>
      </w:r>
      <w:r>
        <w:t xml:space="preserve"> </w:t>
      </w:r>
      <w:r w:rsidRPr="00940986">
        <w:t>stanovit</w:t>
      </w:r>
      <w:r>
        <w:t xml:space="preserve"> </w:t>
      </w:r>
      <w:r w:rsidRPr="00940986">
        <w:t>podmínku</w:t>
      </w:r>
      <w:r>
        <w:t xml:space="preserve"> </w:t>
      </w:r>
      <w:r w:rsidRPr="00940986">
        <w:t>ekonomické</w:t>
      </w:r>
      <w:r>
        <w:t xml:space="preserve"> </w:t>
      </w:r>
      <w:r w:rsidRPr="00940986">
        <w:t>kvalifikace</w:t>
      </w:r>
      <w:r>
        <w:t xml:space="preserve"> </w:t>
      </w:r>
      <w:r w:rsidRPr="00940986">
        <w:t>odkazem</w:t>
      </w:r>
      <w:r>
        <w:t xml:space="preserve"> </w:t>
      </w:r>
      <w:r w:rsidRPr="00940986">
        <w:t>na</w:t>
      </w:r>
      <w:r>
        <w:t xml:space="preserve"> </w:t>
      </w:r>
      <w:r w:rsidRPr="00940986">
        <w:t>soubory</w:t>
      </w:r>
      <w:r>
        <w:t xml:space="preserve"> </w:t>
      </w:r>
      <w:r w:rsidRPr="00940986">
        <w:t>částí</w:t>
      </w:r>
      <w:r>
        <w:t xml:space="preserve"> </w:t>
      </w:r>
      <w:r w:rsidRPr="00940986">
        <w:t>v</w:t>
      </w:r>
      <w:r>
        <w:t xml:space="preserve"> </w:t>
      </w:r>
      <w:r w:rsidRPr="00940986">
        <w:t>případě,</w:t>
      </w:r>
      <w:r>
        <w:t xml:space="preserve"> </w:t>
      </w:r>
      <w:r w:rsidRPr="00940986">
        <w:t>že</w:t>
      </w:r>
      <w:r>
        <w:t xml:space="preserve"> </w:t>
      </w:r>
      <w:r w:rsidRPr="00940986">
        <w:t>vybranému</w:t>
      </w:r>
      <w:r>
        <w:t xml:space="preserve"> </w:t>
      </w:r>
      <w:r w:rsidRPr="00940986">
        <w:t>dodavateli</w:t>
      </w:r>
      <w:r>
        <w:t xml:space="preserve"> </w:t>
      </w:r>
      <w:r w:rsidRPr="00940986">
        <w:t>bude</w:t>
      </w:r>
      <w:r>
        <w:t xml:space="preserve"> </w:t>
      </w:r>
      <w:r w:rsidRPr="00940986">
        <w:t>zadáno</w:t>
      </w:r>
      <w:r>
        <w:t xml:space="preserve"> </w:t>
      </w:r>
      <w:r w:rsidRPr="00940986">
        <w:t>několik</w:t>
      </w:r>
      <w:r>
        <w:t xml:space="preserve"> </w:t>
      </w:r>
      <w:r w:rsidRPr="00940986">
        <w:t>částí</w:t>
      </w:r>
      <w:r>
        <w:t xml:space="preserve"> </w:t>
      </w:r>
      <w:r w:rsidRPr="00940986">
        <w:t>současně.</w:t>
      </w:r>
    </w:p>
    <w:p w14:paraId="798C66EA" w14:textId="77777777" w:rsidR="00913BE1" w:rsidRPr="00940986" w:rsidRDefault="00913BE1" w:rsidP="005564E1">
      <w:pPr>
        <w:pStyle w:val="Textparagrafu"/>
        <w:numPr>
          <w:ilvl w:val="0"/>
          <w:numId w:val="27"/>
        </w:numPr>
        <w:tabs>
          <w:tab w:val="left" w:pos="392"/>
          <w:tab w:val="left" w:pos="840"/>
        </w:tabs>
        <w:spacing w:before="120" w:after="120"/>
        <w:ind w:firstLine="425"/>
      </w:pPr>
      <w:r w:rsidRPr="00940986">
        <w:t>(5)</w:t>
      </w:r>
      <w:r>
        <w:t xml:space="preserve"> </w:t>
      </w:r>
      <w:r w:rsidRPr="00940986">
        <w:t>Dodavatel</w:t>
      </w:r>
      <w:r>
        <w:t xml:space="preserve"> </w:t>
      </w:r>
      <w:r w:rsidRPr="00940986">
        <w:t>prokáže</w:t>
      </w:r>
      <w:r>
        <w:t xml:space="preserve"> </w:t>
      </w:r>
      <w:r w:rsidRPr="00940986">
        <w:t>obrat</w:t>
      </w:r>
      <w:r>
        <w:t xml:space="preserve"> </w:t>
      </w:r>
      <w:r w:rsidRPr="00940986">
        <w:t>výkazem</w:t>
      </w:r>
      <w:r>
        <w:t xml:space="preserve"> </w:t>
      </w:r>
      <w:r w:rsidRPr="004E0DA0">
        <w:rPr>
          <w:strike/>
        </w:rPr>
        <w:t>zisku a ztrát</w:t>
      </w:r>
      <w:r>
        <w:t xml:space="preserve"> </w:t>
      </w:r>
      <w:r w:rsidRPr="004E0DA0">
        <w:rPr>
          <w:b/>
        </w:rPr>
        <w:t>výsledku hospodaření</w:t>
      </w:r>
      <w:r>
        <w:t xml:space="preserve"> </w:t>
      </w:r>
      <w:r w:rsidRPr="00940986">
        <w:t>dodavatele</w:t>
      </w:r>
      <w:r>
        <w:t xml:space="preserve"> </w:t>
      </w:r>
      <w:r w:rsidRPr="00940986">
        <w:t>nebo</w:t>
      </w:r>
      <w:r>
        <w:t xml:space="preserve"> </w:t>
      </w:r>
      <w:r w:rsidRPr="00940986">
        <w:t>obdobným</w:t>
      </w:r>
      <w:r>
        <w:t xml:space="preserve"> </w:t>
      </w:r>
      <w:r w:rsidRPr="00940986">
        <w:t>dokladem</w:t>
      </w:r>
      <w:r>
        <w:t xml:space="preserve"> </w:t>
      </w:r>
      <w:r w:rsidRPr="00940986">
        <w:t>podle</w:t>
      </w:r>
      <w:r>
        <w:t xml:space="preserve"> </w:t>
      </w:r>
      <w:r w:rsidRPr="00940986">
        <w:t>právního</w:t>
      </w:r>
      <w:r>
        <w:t xml:space="preserve"> </w:t>
      </w:r>
      <w:r w:rsidRPr="00940986">
        <w:t>řádu</w:t>
      </w:r>
      <w:r>
        <w:t xml:space="preserve"> </w:t>
      </w:r>
      <w:r w:rsidRPr="00940986">
        <w:t>země</w:t>
      </w:r>
      <w:r>
        <w:t xml:space="preserve"> </w:t>
      </w:r>
      <w:r w:rsidRPr="00940986">
        <w:t>sídla</w:t>
      </w:r>
      <w:r>
        <w:t xml:space="preserve"> </w:t>
      </w:r>
      <w:r w:rsidRPr="00940986">
        <w:t>dodavatele.</w:t>
      </w:r>
    </w:p>
    <w:p w14:paraId="1A55176C" w14:textId="77777777" w:rsidR="00913BE1" w:rsidRDefault="00913BE1" w:rsidP="005564E1">
      <w:pPr>
        <w:pStyle w:val="Textparagrafu"/>
        <w:numPr>
          <w:ilvl w:val="0"/>
          <w:numId w:val="27"/>
        </w:numPr>
        <w:tabs>
          <w:tab w:val="left" w:pos="392"/>
          <w:tab w:val="left" w:pos="840"/>
        </w:tabs>
        <w:spacing w:before="120" w:after="120"/>
        <w:ind w:firstLine="425"/>
      </w:pPr>
      <w:r w:rsidRPr="00940986">
        <w:t>(6)</w:t>
      </w:r>
      <w:r>
        <w:t xml:space="preserve"> </w:t>
      </w:r>
      <w:r w:rsidRPr="00940986">
        <w:t>Zadavatel</w:t>
      </w:r>
      <w:r>
        <w:t xml:space="preserve"> </w:t>
      </w:r>
      <w:r w:rsidRPr="00940986">
        <w:t>není</w:t>
      </w:r>
      <w:r>
        <w:t xml:space="preserve"> </w:t>
      </w:r>
      <w:r w:rsidRPr="00940986">
        <w:t>oprávněn</w:t>
      </w:r>
      <w:r>
        <w:t xml:space="preserve"> </w:t>
      </w:r>
      <w:r w:rsidRPr="00940986">
        <w:t>požadovat</w:t>
      </w:r>
      <w:r>
        <w:t xml:space="preserve"> </w:t>
      </w:r>
      <w:r w:rsidRPr="00940986">
        <w:t>ekonomickou</w:t>
      </w:r>
      <w:r>
        <w:t xml:space="preserve"> </w:t>
      </w:r>
      <w:r w:rsidRPr="00940986">
        <w:t>kvalifikaci</w:t>
      </w:r>
      <w:r>
        <w:t xml:space="preserve"> </w:t>
      </w:r>
      <w:r w:rsidRPr="00940986">
        <w:t>v</w:t>
      </w:r>
      <w:r>
        <w:t xml:space="preserve"> </w:t>
      </w:r>
      <w:r w:rsidRPr="00940986">
        <w:t>případě</w:t>
      </w:r>
      <w:r>
        <w:t xml:space="preserve"> </w:t>
      </w:r>
      <w:r w:rsidRPr="00940986">
        <w:t>veřejných</w:t>
      </w:r>
      <w:r>
        <w:t xml:space="preserve"> </w:t>
      </w:r>
      <w:r w:rsidRPr="00940986">
        <w:t>zakázek</w:t>
      </w:r>
      <w:r>
        <w:t xml:space="preserve"> </w:t>
      </w:r>
      <w:r w:rsidRPr="00940986">
        <w:t>na</w:t>
      </w:r>
      <w:r>
        <w:t xml:space="preserve"> </w:t>
      </w:r>
      <w:r w:rsidRPr="00940986">
        <w:t>služby</w:t>
      </w:r>
      <w:r>
        <w:t xml:space="preserve"> </w:t>
      </w:r>
      <w:r w:rsidRPr="00940986">
        <w:t>uvedené</w:t>
      </w:r>
      <w:r>
        <w:t xml:space="preserve"> </w:t>
      </w:r>
      <w:r w:rsidRPr="00940986">
        <w:t>v</w:t>
      </w:r>
      <w:r>
        <w:t xml:space="preserve"> </w:t>
      </w:r>
      <w:r w:rsidRPr="00940986">
        <w:t>oddílu</w:t>
      </w:r>
      <w:r>
        <w:t xml:space="preserve"> </w:t>
      </w:r>
      <w:r w:rsidRPr="00940986">
        <w:t>71</w:t>
      </w:r>
      <w:r>
        <w:t xml:space="preserve"> </w:t>
      </w:r>
      <w:r w:rsidRPr="00940986">
        <w:t>hlavního</w:t>
      </w:r>
      <w:r>
        <w:t xml:space="preserve"> </w:t>
      </w:r>
      <w:r w:rsidRPr="00940986">
        <w:t>slovníku</w:t>
      </w:r>
      <w:r>
        <w:t xml:space="preserve"> </w:t>
      </w:r>
      <w:r w:rsidRPr="00940986">
        <w:t>jednotného</w:t>
      </w:r>
      <w:r>
        <w:t xml:space="preserve"> </w:t>
      </w:r>
      <w:r w:rsidRPr="00940986">
        <w:t>klasifikačního</w:t>
      </w:r>
      <w:r>
        <w:t xml:space="preserve"> </w:t>
      </w:r>
      <w:r w:rsidRPr="00940986">
        <w:t>systému.</w:t>
      </w:r>
    </w:p>
    <w:p w14:paraId="7592BE0D" w14:textId="66BFC9E2" w:rsidR="00496DF9" w:rsidRDefault="00496DF9" w:rsidP="00496DF9">
      <w:pPr>
        <w:pStyle w:val="Textparagrafu"/>
        <w:numPr>
          <w:ilvl w:val="0"/>
          <w:numId w:val="27"/>
        </w:numPr>
        <w:tabs>
          <w:tab w:val="left" w:pos="392"/>
          <w:tab w:val="left" w:pos="840"/>
        </w:tabs>
        <w:spacing w:after="120"/>
        <w:jc w:val="center"/>
      </w:pPr>
      <w:r>
        <w:t>***</w:t>
      </w:r>
    </w:p>
    <w:p w14:paraId="4D7039D0" w14:textId="7746E381" w:rsidR="00913BE1" w:rsidRDefault="00913BE1" w:rsidP="00496DF9">
      <w:pPr>
        <w:pStyle w:val="Textparagrafu"/>
        <w:numPr>
          <w:ilvl w:val="0"/>
          <w:numId w:val="27"/>
        </w:numPr>
        <w:tabs>
          <w:tab w:val="left" w:pos="392"/>
          <w:tab w:val="left" w:pos="840"/>
        </w:tabs>
        <w:spacing w:after="120"/>
        <w:jc w:val="center"/>
      </w:pPr>
      <w:r w:rsidRPr="00940986">
        <w:t>§</w:t>
      </w:r>
      <w:r>
        <w:t xml:space="preserve"> </w:t>
      </w:r>
      <w:r w:rsidRPr="00940986">
        <w:t>117</w:t>
      </w:r>
    </w:p>
    <w:p w14:paraId="6566C783" w14:textId="176776D7" w:rsidR="00913BE1" w:rsidRPr="00496DF9" w:rsidRDefault="00913BE1" w:rsidP="00496DF9">
      <w:pPr>
        <w:pStyle w:val="Textparagrafu"/>
        <w:numPr>
          <w:ilvl w:val="0"/>
          <w:numId w:val="27"/>
        </w:numPr>
        <w:tabs>
          <w:tab w:val="left" w:pos="392"/>
          <w:tab w:val="left" w:pos="840"/>
        </w:tabs>
        <w:spacing w:after="120"/>
        <w:jc w:val="center"/>
        <w:rPr>
          <w:b/>
        </w:rPr>
      </w:pPr>
      <w:r w:rsidRPr="00496DF9">
        <w:rPr>
          <w:b/>
        </w:rPr>
        <w:t>Náklady životního cyklu</w:t>
      </w:r>
    </w:p>
    <w:p w14:paraId="3300DC75" w14:textId="77777777" w:rsidR="00913BE1" w:rsidRPr="00940986" w:rsidRDefault="00913BE1" w:rsidP="005564E1">
      <w:pPr>
        <w:pStyle w:val="Textparagrafu"/>
        <w:numPr>
          <w:ilvl w:val="0"/>
          <w:numId w:val="27"/>
        </w:numPr>
        <w:tabs>
          <w:tab w:val="left" w:pos="392"/>
          <w:tab w:val="left" w:pos="840"/>
        </w:tabs>
        <w:spacing w:before="120" w:after="120"/>
        <w:ind w:firstLine="425"/>
      </w:pPr>
      <w:r w:rsidRPr="00940986">
        <w:t>Náklady</w:t>
      </w:r>
      <w:r>
        <w:t xml:space="preserve"> </w:t>
      </w:r>
      <w:r w:rsidRPr="00940986">
        <w:t>životního</w:t>
      </w:r>
      <w:r>
        <w:t xml:space="preserve"> </w:t>
      </w:r>
      <w:r w:rsidRPr="00940986">
        <w:t>cyklu</w:t>
      </w:r>
      <w:r>
        <w:t xml:space="preserve"> </w:t>
      </w:r>
      <w:r w:rsidRPr="00940986">
        <w:t>musí</w:t>
      </w:r>
      <w:r>
        <w:t xml:space="preserve"> </w:t>
      </w:r>
      <w:r w:rsidRPr="00940986">
        <w:t>zahrnovat</w:t>
      </w:r>
      <w:r>
        <w:t xml:space="preserve"> </w:t>
      </w:r>
      <w:r w:rsidRPr="00940986">
        <w:t>nabídkovou</w:t>
      </w:r>
      <w:r>
        <w:t xml:space="preserve"> </w:t>
      </w:r>
      <w:r w:rsidRPr="00940986">
        <w:t>cenu</w:t>
      </w:r>
      <w:r>
        <w:t xml:space="preserve"> </w:t>
      </w:r>
      <w:r w:rsidRPr="00940986">
        <w:t>a</w:t>
      </w:r>
      <w:r>
        <w:t xml:space="preserve"> </w:t>
      </w:r>
      <w:r w:rsidRPr="00940986">
        <w:t>mohou</w:t>
      </w:r>
      <w:r>
        <w:t xml:space="preserve"> </w:t>
      </w:r>
      <w:r w:rsidRPr="00940986">
        <w:t>zahrnovat</w:t>
      </w:r>
    </w:p>
    <w:p w14:paraId="4316559C" w14:textId="4D56FE75" w:rsidR="00913BE1" w:rsidRPr="00940986" w:rsidRDefault="00913BE1" w:rsidP="00635DDD">
      <w:pPr>
        <w:pStyle w:val="Textparagrafu"/>
        <w:numPr>
          <w:ilvl w:val="0"/>
          <w:numId w:val="27"/>
        </w:numPr>
        <w:tabs>
          <w:tab w:val="left" w:pos="392"/>
          <w:tab w:val="left" w:pos="840"/>
        </w:tabs>
        <w:spacing w:before="0"/>
        <w:ind w:left="426" w:hanging="426"/>
      </w:pPr>
      <w:r w:rsidRPr="00940986">
        <w:t>a)</w:t>
      </w:r>
      <w:r w:rsidR="00496DF9">
        <w:tab/>
      </w:r>
      <w:r w:rsidRPr="00940986">
        <w:t>náklady</w:t>
      </w:r>
      <w:r>
        <w:t xml:space="preserve"> </w:t>
      </w:r>
      <w:r w:rsidRPr="00940986">
        <w:t>zadavatele</w:t>
      </w:r>
      <w:r>
        <w:t xml:space="preserve"> </w:t>
      </w:r>
      <w:r w:rsidRPr="00940986">
        <w:t>nebo</w:t>
      </w:r>
      <w:r>
        <w:t xml:space="preserve"> </w:t>
      </w:r>
      <w:r w:rsidRPr="00940986">
        <w:t>jiných</w:t>
      </w:r>
      <w:r>
        <w:t xml:space="preserve"> </w:t>
      </w:r>
      <w:r w:rsidRPr="00940986">
        <w:t>uživatelů</w:t>
      </w:r>
      <w:r>
        <w:t xml:space="preserve"> </w:t>
      </w:r>
      <w:r w:rsidRPr="00940986">
        <w:t>v</w:t>
      </w:r>
      <w:r>
        <w:t xml:space="preserve"> </w:t>
      </w:r>
      <w:r w:rsidRPr="00940986">
        <w:t>průběhu</w:t>
      </w:r>
      <w:r>
        <w:t xml:space="preserve"> </w:t>
      </w:r>
      <w:r w:rsidRPr="00940986">
        <w:t>životního</w:t>
      </w:r>
      <w:r>
        <w:t xml:space="preserve"> </w:t>
      </w:r>
      <w:r w:rsidRPr="00940986">
        <w:t>cyklu</w:t>
      </w:r>
      <w:r>
        <w:t xml:space="preserve"> </w:t>
      </w:r>
      <w:r w:rsidRPr="00940986">
        <w:t>předmětu</w:t>
      </w:r>
      <w:r>
        <w:t xml:space="preserve"> </w:t>
      </w:r>
      <w:r w:rsidRPr="00940986">
        <w:t>veřejné</w:t>
      </w:r>
      <w:r>
        <w:t xml:space="preserve"> </w:t>
      </w:r>
      <w:r w:rsidRPr="00940986">
        <w:t>zakázky,</w:t>
      </w:r>
      <w:r>
        <w:t xml:space="preserve"> </w:t>
      </w:r>
      <w:r w:rsidRPr="00940986">
        <w:t>kterými</w:t>
      </w:r>
      <w:r>
        <w:t xml:space="preserve"> </w:t>
      </w:r>
      <w:r w:rsidRPr="00940986">
        <w:t>mohou</w:t>
      </w:r>
      <w:r>
        <w:t xml:space="preserve"> </w:t>
      </w:r>
      <w:r w:rsidRPr="00940986">
        <w:t>být</w:t>
      </w:r>
      <w:r>
        <w:t xml:space="preserve"> </w:t>
      </w:r>
      <w:r w:rsidRPr="00940986">
        <w:t>zejména</w:t>
      </w:r>
    </w:p>
    <w:p w14:paraId="4ADF2B18" w14:textId="48F65696" w:rsidR="00913BE1" w:rsidRPr="00940986" w:rsidRDefault="00496DF9" w:rsidP="00635DDD">
      <w:pPr>
        <w:pStyle w:val="Textparagrafu"/>
        <w:tabs>
          <w:tab w:val="left" w:pos="392"/>
          <w:tab w:val="left" w:pos="840"/>
        </w:tabs>
        <w:spacing w:before="0"/>
        <w:ind w:left="426" w:hanging="426"/>
      </w:pPr>
      <w:r>
        <w:tab/>
      </w:r>
      <w:r w:rsidR="00913BE1" w:rsidRPr="00940986">
        <w:t>1.</w:t>
      </w:r>
      <w:r>
        <w:tab/>
      </w:r>
      <w:r w:rsidR="00913BE1" w:rsidRPr="00940986">
        <w:t>ostatní</w:t>
      </w:r>
      <w:r w:rsidR="00913BE1">
        <w:t xml:space="preserve"> </w:t>
      </w:r>
      <w:r w:rsidR="00913BE1" w:rsidRPr="0098406B">
        <w:rPr>
          <w:strike/>
        </w:rPr>
        <w:t>pořizovací náklady</w:t>
      </w:r>
      <w:r w:rsidR="00913BE1">
        <w:t xml:space="preserve"> </w:t>
      </w:r>
      <w:r w:rsidR="00913BE1" w:rsidRPr="0098406B">
        <w:rPr>
          <w:b/>
        </w:rPr>
        <w:t>pořizovací výdaje</w:t>
      </w:r>
      <w:r w:rsidR="00913BE1" w:rsidRPr="00940986">
        <w:t>,</w:t>
      </w:r>
    </w:p>
    <w:p w14:paraId="6E85275C" w14:textId="7E3817CF" w:rsidR="00913BE1" w:rsidRPr="00940986" w:rsidRDefault="00496DF9" w:rsidP="00635DDD">
      <w:pPr>
        <w:pStyle w:val="Textparagrafu"/>
        <w:tabs>
          <w:tab w:val="left" w:pos="392"/>
          <w:tab w:val="left" w:pos="840"/>
        </w:tabs>
        <w:spacing w:before="0"/>
        <w:ind w:left="426" w:hanging="426"/>
      </w:pPr>
      <w:r>
        <w:tab/>
      </w:r>
      <w:r w:rsidR="00913BE1" w:rsidRPr="00940986">
        <w:t>2.</w:t>
      </w:r>
      <w:r>
        <w:tab/>
      </w:r>
      <w:r w:rsidR="00913BE1" w:rsidRPr="00940986">
        <w:t>náklady</w:t>
      </w:r>
      <w:r w:rsidR="00913BE1">
        <w:t xml:space="preserve"> </w:t>
      </w:r>
      <w:r w:rsidR="00913BE1" w:rsidRPr="00940986">
        <w:t>související</w:t>
      </w:r>
      <w:r w:rsidR="00913BE1">
        <w:t xml:space="preserve"> </w:t>
      </w:r>
      <w:r w:rsidR="00913BE1" w:rsidRPr="00940986">
        <w:t>s</w:t>
      </w:r>
      <w:r w:rsidR="00913BE1">
        <w:t xml:space="preserve"> </w:t>
      </w:r>
      <w:r w:rsidR="00913BE1" w:rsidRPr="00940986">
        <w:t>užíváním</w:t>
      </w:r>
      <w:r w:rsidR="00913BE1">
        <w:t xml:space="preserve"> </w:t>
      </w:r>
      <w:r w:rsidR="00913BE1" w:rsidRPr="00940986">
        <w:t>předmětu</w:t>
      </w:r>
      <w:r w:rsidR="00913BE1">
        <w:t xml:space="preserve"> </w:t>
      </w:r>
      <w:r w:rsidR="00913BE1" w:rsidRPr="00940986">
        <w:t>veřejné</w:t>
      </w:r>
      <w:r w:rsidR="00913BE1">
        <w:t xml:space="preserve"> </w:t>
      </w:r>
      <w:r w:rsidR="00913BE1" w:rsidRPr="00940986">
        <w:t>zakázky,</w:t>
      </w:r>
    </w:p>
    <w:p w14:paraId="0543E6FE" w14:textId="6A208FC3" w:rsidR="00913BE1" w:rsidRPr="00940986" w:rsidRDefault="00496DF9" w:rsidP="00635DDD">
      <w:pPr>
        <w:pStyle w:val="Textparagrafu"/>
        <w:tabs>
          <w:tab w:val="left" w:pos="392"/>
          <w:tab w:val="left" w:pos="840"/>
        </w:tabs>
        <w:spacing w:before="0"/>
        <w:ind w:left="426" w:hanging="426"/>
      </w:pPr>
      <w:r>
        <w:tab/>
      </w:r>
      <w:r w:rsidR="00913BE1" w:rsidRPr="00940986">
        <w:t>3.</w:t>
      </w:r>
      <w:r>
        <w:tab/>
      </w:r>
      <w:r w:rsidR="00913BE1" w:rsidRPr="00940986">
        <w:t>náklady</w:t>
      </w:r>
      <w:r w:rsidR="00913BE1">
        <w:t xml:space="preserve"> </w:t>
      </w:r>
      <w:r w:rsidR="00913BE1" w:rsidRPr="00940986">
        <w:t>na</w:t>
      </w:r>
      <w:r w:rsidR="00913BE1">
        <w:t xml:space="preserve"> </w:t>
      </w:r>
      <w:r w:rsidR="00913BE1" w:rsidRPr="00940986">
        <w:t>údržbu,</w:t>
      </w:r>
      <w:r w:rsidR="00913BE1">
        <w:t xml:space="preserve"> </w:t>
      </w:r>
      <w:r w:rsidR="00913BE1" w:rsidRPr="00940986">
        <w:t>nebo</w:t>
      </w:r>
    </w:p>
    <w:p w14:paraId="19014769" w14:textId="50D72E85" w:rsidR="00913BE1" w:rsidRPr="00940986" w:rsidRDefault="00496DF9" w:rsidP="00635DDD">
      <w:pPr>
        <w:pStyle w:val="Textparagrafu"/>
        <w:tabs>
          <w:tab w:val="left" w:pos="392"/>
          <w:tab w:val="left" w:pos="840"/>
        </w:tabs>
        <w:spacing w:before="0"/>
        <w:ind w:left="426" w:hanging="426"/>
      </w:pPr>
      <w:r>
        <w:tab/>
      </w:r>
      <w:r w:rsidR="00913BE1" w:rsidRPr="00940986">
        <w:t>4.</w:t>
      </w:r>
      <w:r>
        <w:tab/>
      </w:r>
      <w:r w:rsidR="00913BE1" w:rsidRPr="00940986">
        <w:t>náklady</w:t>
      </w:r>
      <w:r w:rsidR="00913BE1">
        <w:t xml:space="preserve"> </w:t>
      </w:r>
      <w:r w:rsidR="00913BE1" w:rsidRPr="00940986">
        <w:t>spojené</w:t>
      </w:r>
      <w:r w:rsidR="00913BE1">
        <w:t xml:space="preserve"> </w:t>
      </w:r>
      <w:r w:rsidR="00913BE1" w:rsidRPr="00940986">
        <w:t>s</w:t>
      </w:r>
      <w:r w:rsidR="00913BE1">
        <w:t xml:space="preserve"> </w:t>
      </w:r>
      <w:r w:rsidR="00913BE1" w:rsidRPr="00940986">
        <w:t>koncem</w:t>
      </w:r>
      <w:r w:rsidR="00913BE1">
        <w:t xml:space="preserve"> </w:t>
      </w:r>
      <w:r w:rsidR="00913BE1" w:rsidRPr="00940986">
        <w:t>životnosti,</w:t>
      </w:r>
      <w:r w:rsidR="00913BE1">
        <w:t xml:space="preserve"> </w:t>
      </w:r>
      <w:r w:rsidR="00913BE1" w:rsidRPr="00940986">
        <w:t>nebo</w:t>
      </w:r>
    </w:p>
    <w:p w14:paraId="611D5644" w14:textId="56543E73" w:rsidR="00913BE1" w:rsidRDefault="00913BE1" w:rsidP="00635DDD">
      <w:pPr>
        <w:pStyle w:val="Textparagrafu"/>
        <w:numPr>
          <w:ilvl w:val="0"/>
          <w:numId w:val="27"/>
        </w:numPr>
        <w:tabs>
          <w:tab w:val="left" w:pos="392"/>
          <w:tab w:val="left" w:pos="840"/>
        </w:tabs>
        <w:spacing w:before="0"/>
        <w:ind w:left="426" w:hanging="426"/>
      </w:pPr>
      <w:r w:rsidRPr="00940986">
        <w:t>b)</w:t>
      </w:r>
      <w:r w:rsidR="00496DF9">
        <w:tab/>
      </w:r>
      <w:r w:rsidRPr="00940986">
        <w:t>náklady</w:t>
      </w:r>
      <w:r>
        <w:t xml:space="preserve"> </w:t>
      </w:r>
      <w:r w:rsidRPr="00940986">
        <w:t>způsobené</w:t>
      </w:r>
      <w:r>
        <w:t xml:space="preserve"> </w:t>
      </w:r>
      <w:r w:rsidRPr="00940986">
        <w:t>dopady</w:t>
      </w:r>
      <w:r>
        <w:t xml:space="preserve"> </w:t>
      </w:r>
      <w:r w:rsidRPr="00940986">
        <w:t>na</w:t>
      </w:r>
      <w:r>
        <w:t xml:space="preserve"> </w:t>
      </w:r>
      <w:r w:rsidRPr="00940986">
        <w:t>životní</w:t>
      </w:r>
      <w:r>
        <w:t xml:space="preserve"> </w:t>
      </w:r>
      <w:r w:rsidRPr="00940986">
        <w:t>prostředí,</w:t>
      </w:r>
      <w:r>
        <w:t xml:space="preserve"> </w:t>
      </w:r>
      <w:r w:rsidRPr="00940986">
        <w:t>které</w:t>
      </w:r>
      <w:r>
        <w:t xml:space="preserve"> </w:t>
      </w:r>
      <w:r w:rsidRPr="00940986">
        <w:t>jsou</w:t>
      </w:r>
      <w:r>
        <w:t xml:space="preserve"> </w:t>
      </w:r>
      <w:r w:rsidRPr="00940986">
        <w:t>spojeny</w:t>
      </w:r>
      <w:r>
        <w:t xml:space="preserve"> </w:t>
      </w:r>
      <w:r w:rsidRPr="00940986">
        <w:t>s</w:t>
      </w:r>
      <w:r>
        <w:t xml:space="preserve"> </w:t>
      </w:r>
      <w:r w:rsidRPr="00940986">
        <w:t>předmětem</w:t>
      </w:r>
      <w:r>
        <w:t xml:space="preserve"> </w:t>
      </w:r>
      <w:r w:rsidRPr="00940986">
        <w:t>plnění</w:t>
      </w:r>
      <w:r>
        <w:t xml:space="preserve"> </w:t>
      </w:r>
      <w:r w:rsidRPr="00940986">
        <w:t>veřejné</w:t>
      </w:r>
      <w:r>
        <w:t xml:space="preserve"> </w:t>
      </w:r>
      <w:r w:rsidRPr="00940986">
        <w:t>zakázky</w:t>
      </w:r>
      <w:r>
        <w:t xml:space="preserve"> </w:t>
      </w:r>
      <w:r w:rsidRPr="00940986">
        <w:t>kdykoli</w:t>
      </w:r>
      <w:r>
        <w:t xml:space="preserve"> </w:t>
      </w:r>
      <w:r w:rsidRPr="00940986">
        <w:t>v</w:t>
      </w:r>
      <w:r>
        <w:t xml:space="preserve"> </w:t>
      </w:r>
      <w:r w:rsidRPr="00940986">
        <w:t>průběhu</w:t>
      </w:r>
      <w:r>
        <w:t xml:space="preserve"> </w:t>
      </w:r>
      <w:r w:rsidRPr="00940986">
        <w:t>jeho</w:t>
      </w:r>
      <w:r>
        <w:t xml:space="preserve"> </w:t>
      </w:r>
      <w:r w:rsidRPr="00940986">
        <w:t>životního</w:t>
      </w:r>
      <w:r>
        <w:t xml:space="preserve"> </w:t>
      </w:r>
      <w:r w:rsidRPr="00940986">
        <w:t>cyklu,</w:t>
      </w:r>
      <w:r>
        <w:t xml:space="preserve"> </w:t>
      </w:r>
      <w:r w:rsidRPr="00940986">
        <w:t>a</w:t>
      </w:r>
      <w:r>
        <w:t xml:space="preserve"> </w:t>
      </w:r>
      <w:r w:rsidRPr="00940986">
        <w:t>to</w:t>
      </w:r>
      <w:r>
        <w:t xml:space="preserve"> </w:t>
      </w:r>
      <w:r w:rsidRPr="00940986">
        <w:t>v</w:t>
      </w:r>
      <w:r>
        <w:t xml:space="preserve"> </w:t>
      </w:r>
      <w:r w:rsidRPr="00940986">
        <w:t>případě,</w:t>
      </w:r>
      <w:r>
        <w:t xml:space="preserve"> </w:t>
      </w:r>
      <w:r w:rsidRPr="00940986">
        <w:t>že</w:t>
      </w:r>
      <w:r>
        <w:t xml:space="preserve"> </w:t>
      </w:r>
      <w:r w:rsidRPr="00940986">
        <w:t>lze</w:t>
      </w:r>
      <w:r>
        <w:t xml:space="preserve"> </w:t>
      </w:r>
      <w:r w:rsidRPr="00940986">
        <w:t>vyčíslit</w:t>
      </w:r>
      <w:r>
        <w:t xml:space="preserve"> </w:t>
      </w:r>
      <w:r w:rsidRPr="00940986">
        <w:t>jejich</w:t>
      </w:r>
      <w:r>
        <w:t xml:space="preserve"> </w:t>
      </w:r>
      <w:r w:rsidRPr="00940986">
        <w:t>peněžní</w:t>
      </w:r>
      <w:r>
        <w:t xml:space="preserve"> </w:t>
      </w:r>
      <w:r w:rsidRPr="00940986">
        <w:t>hodnotu;</w:t>
      </w:r>
      <w:r>
        <w:t xml:space="preserve"> </w:t>
      </w:r>
      <w:r w:rsidRPr="00940986">
        <w:t>mohou</w:t>
      </w:r>
      <w:r>
        <w:t xml:space="preserve"> </w:t>
      </w:r>
      <w:r w:rsidRPr="00940986">
        <w:t>jimi</w:t>
      </w:r>
      <w:r>
        <w:t xml:space="preserve"> </w:t>
      </w:r>
      <w:r w:rsidRPr="00940986">
        <w:t>být</w:t>
      </w:r>
      <w:r>
        <w:t xml:space="preserve"> </w:t>
      </w:r>
      <w:r w:rsidRPr="00940986">
        <w:t>zejména</w:t>
      </w:r>
      <w:r>
        <w:t xml:space="preserve"> </w:t>
      </w:r>
      <w:r w:rsidRPr="00940986">
        <w:t>náklady</w:t>
      </w:r>
      <w:r>
        <w:t xml:space="preserve"> </w:t>
      </w:r>
      <w:r w:rsidRPr="00940986">
        <w:t>na</w:t>
      </w:r>
      <w:r>
        <w:t xml:space="preserve"> </w:t>
      </w:r>
      <w:r w:rsidRPr="00940986">
        <w:t>emise</w:t>
      </w:r>
      <w:r>
        <w:t xml:space="preserve"> </w:t>
      </w:r>
      <w:r w:rsidRPr="00940986">
        <w:t>skleníkových</w:t>
      </w:r>
      <w:r>
        <w:t xml:space="preserve"> </w:t>
      </w:r>
      <w:r w:rsidRPr="00940986">
        <w:t>plynů</w:t>
      </w:r>
      <w:r>
        <w:t xml:space="preserve"> </w:t>
      </w:r>
      <w:r w:rsidRPr="00940986">
        <w:t>nebo</w:t>
      </w:r>
      <w:r>
        <w:t xml:space="preserve"> </w:t>
      </w:r>
      <w:r w:rsidRPr="00940986">
        <w:t>jiných</w:t>
      </w:r>
      <w:r>
        <w:t xml:space="preserve"> </w:t>
      </w:r>
      <w:r w:rsidRPr="00940986">
        <w:t>znečišťujících</w:t>
      </w:r>
      <w:r>
        <w:t xml:space="preserve"> </w:t>
      </w:r>
      <w:r w:rsidRPr="00940986">
        <w:t>látek</w:t>
      </w:r>
      <w:r>
        <w:t xml:space="preserve"> </w:t>
      </w:r>
      <w:r w:rsidRPr="00940986">
        <w:t>nebo</w:t>
      </w:r>
      <w:r>
        <w:t xml:space="preserve"> </w:t>
      </w:r>
      <w:r w:rsidRPr="00940986">
        <w:t>jiné</w:t>
      </w:r>
      <w:r>
        <w:t xml:space="preserve"> </w:t>
      </w:r>
      <w:r w:rsidRPr="00940986">
        <w:t>náklady</w:t>
      </w:r>
      <w:r>
        <w:t xml:space="preserve"> </w:t>
      </w:r>
      <w:r w:rsidRPr="00940986">
        <w:t>na</w:t>
      </w:r>
      <w:r>
        <w:t xml:space="preserve"> </w:t>
      </w:r>
      <w:r w:rsidRPr="00940986">
        <w:t>zmírnění</w:t>
      </w:r>
      <w:r>
        <w:t xml:space="preserve"> </w:t>
      </w:r>
      <w:r w:rsidRPr="00940986">
        <w:t>změny</w:t>
      </w:r>
      <w:r>
        <w:t xml:space="preserve"> </w:t>
      </w:r>
      <w:r w:rsidRPr="00940986">
        <w:t>klimatu.</w:t>
      </w:r>
    </w:p>
    <w:p w14:paraId="78EC9B9D" w14:textId="58515BC6" w:rsidR="00496DF9" w:rsidRDefault="00B40780" w:rsidP="005564E1">
      <w:pPr>
        <w:pStyle w:val="Textparagrafu"/>
        <w:keepNext/>
        <w:keepLines/>
        <w:numPr>
          <w:ilvl w:val="0"/>
          <w:numId w:val="27"/>
        </w:numPr>
        <w:tabs>
          <w:tab w:val="left" w:pos="392"/>
          <w:tab w:val="left" w:pos="840"/>
        </w:tabs>
        <w:spacing w:after="120"/>
        <w:jc w:val="center"/>
      </w:pPr>
      <w:r>
        <w:lastRenderedPageBreak/>
        <w:t>***</w:t>
      </w:r>
    </w:p>
    <w:p w14:paraId="3D8367B6" w14:textId="6B9430BD" w:rsidR="00913BE1" w:rsidRDefault="00913BE1" w:rsidP="005564E1">
      <w:pPr>
        <w:pStyle w:val="Textparagrafu"/>
        <w:keepNext/>
        <w:keepLines/>
        <w:numPr>
          <w:ilvl w:val="0"/>
          <w:numId w:val="27"/>
        </w:numPr>
        <w:tabs>
          <w:tab w:val="left" w:pos="392"/>
          <w:tab w:val="left" w:pos="840"/>
        </w:tabs>
        <w:spacing w:after="120"/>
        <w:jc w:val="center"/>
      </w:pPr>
      <w:r w:rsidRPr="00940986">
        <w:t>§</w:t>
      </w:r>
      <w:r>
        <w:t xml:space="preserve"> </w:t>
      </w:r>
      <w:r w:rsidRPr="00940986">
        <w:t>104</w:t>
      </w:r>
    </w:p>
    <w:p w14:paraId="752E985E" w14:textId="03D72F65" w:rsidR="00913BE1" w:rsidRPr="00B40780" w:rsidRDefault="00913BE1" w:rsidP="005564E1">
      <w:pPr>
        <w:pStyle w:val="Textparagrafu"/>
        <w:keepNext/>
        <w:keepLines/>
        <w:numPr>
          <w:ilvl w:val="0"/>
          <w:numId w:val="27"/>
        </w:numPr>
        <w:tabs>
          <w:tab w:val="left" w:pos="392"/>
          <w:tab w:val="left" w:pos="840"/>
        </w:tabs>
        <w:spacing w:after="120"/>
        <w:jc w:val="center"/>
        <w:rPr>
          <w:b/>
        </w:rPr>
      </w:pPr>
      <w:r w:rsidRPr="00B40780">
        <w:rPr>
          <w:b/>
        </w:rPr>
        <w:t>Další podmínky pro uzavření smlouvy</w:t>
      </w:r>
    </w:p>
    <w:p w14:paraId="17983387" w14:textId="77777777" w:rsidR="00913BE1" w:rsidRPr="00940986" w:rsidRDefault="00913BE1" w:rsidP="00B40780">
      <w:pPr>
        <w:pStyle w:val="Textparagrafu"/>
        <w:numPr>
          <w:ilvl w:val="0"/>
          <w:numId w:val="27"/>
        </w:numPr>
        <w:tabs>
          <w:tab w:val="left" w:pos="392"/>
          <w:tab w:val="left" w:pos="840"/>
        </w:tabs>
        <w:spacing w:after="120"/>
        <w:ind w:firstLine="426"/>
      </w:pPr>
      <w:r w:rsidRPr="00940986">
        <w:t>Zadavatel</w:t>
      </w:r>
      <w:r>
        <w:t xml:space="preserve"> </w:t>
      </w:r>
      <w:r w:rsidRPr="00940986">
        <w:t>může</w:t>
      </w:r>
      <w:r>
        <w:t xml:space="preserve"> </w:t>
      </w:r>
      <w:r w:rsidRPr="00940986">
        <w:t>v</w:t>
      </w:r>
      <w:r>
        <w:t xml:space="preserve"> </w:t>
      </w:r>
      <w:r w:rsidRPr="00940986">
        <w:t>zadávací</w:t>
      </w:r>
      <w:r>
        <w:t xml:space="preserve"> </w:t>
      </w:r>
      <w:r w:rsidRPr="00940986">
        <w:t>dokumentaci</w:t>
      </w:r>
      <w:r>
        <w:t xml:space="preserve"> </w:t>
      </w:r>
      <w:r w:rsidRPr="00940986">
        <w:t>požadovat</w:t>
      </w:r>
      <w:r>
        <w:t xml:space="preserve"> </w:t>
      </w:r>
      <w:r w:rsidRPr="00940986">
        <w:t>od</w:t>
      </w:r>
      <w:r>
        <w:t xml:space="preserve"> </w:t>
      </w:r>
      <w:r w:rsidRPr="00940986">
        <w:t>vybraného</w:t>
      </w:r>
      <w:r>
        <w:t xml:space="preserve"> </w:t>
      </w:r>
      <w:r w:rsidRPr="00940986">
        <w:t>dodavatele</w:t>
      </w:r>
      <w:r>
        <w:t xml:space="preserve"> </w:t>
      </w:r>
      <w:r w:rsidRPr="00940986">
        <w:t>jako</w:t>
      </w:r>
      <w:r>
        <w:t xml:space="preserve"> </w:t>
      </w:r>
      <w:r w:rsidRPr="00940986">
        <w:t>další</w:t>
      </w:r>
      <w:r>
        <w:t xml:space="preserve"> </w:t>
      </w:r>
      <w:r w:rsidRPr="00940986">
        <w:t>podmínky</w:t>
      </w:r>
      <w:r>
        <w:t xml:space="preserve"> </w:t>
      </w:r>
      <w:r w:rsidRPr="00940986">
        <w:t>pro</w:t>
      </w:r>
      <w:r>
        <w:t xml:space="preserve"> </w:t>
      </w:r>
      <w:r w:rsidRPr="00940986">
        <w:t>uzavření</w:t>
      </w:r>
      <w:r>
        <w:t xml:space="preserve"> </w:t>
      </w:r>
      <w:r w:rsidRPr="00940986">
        <w:t>smlouvy</w:t>
      </w:r>
    </w:p>
    <w:p w14:paraId="44FD92BE" w14:textId="7EA639EC" w:rsidR="00913BE1" w:rsidRPr="00940986" w:rsidRDefault="00913BE1" w:rsidP="00635DDD">
      <w:pPr>
        <w:pStyle w:val="Textparagrafu"/>
        <w:numPr>
          <w:ilvl w:val="0"/>
          <w:numId w:val="27"/>
        </w:numPr>
        <w:tabs>
          <w:tab w:val="left" w:pos="392"/>
          <w:tab w:val="left" w:pos="840"/>
        </w:tabs>
        <w:spacing w:before="0"/>
        <w:ind w:left="426" w:hanging="426"/>
      </w:pPr>
      <w:r w:rsidRPr="00940986">
        <w:t>a)</w:t>
      </w:r>
      <w:r w:rsidR="00B40780">
        <w:tab/>
      </w:r>
      <w:r w:rsidRPr="00940986">
        <w:t>předložení</w:t>
      </w:r>
      <w:r>
        <w:t xml:space="preserve"> </w:t>
      </w:r>
      <w:r w:rsidRPr="00940986">
        <w:t>dokladů</w:t>
      </w:r>
      <w:r>
        <w:t xml:space="preserve"> </w:t>
      </w:r>
      <w:r w:rsidRPr="00940986">
        <w:t>nebo</w:t>
      </w:r>
      <w:r>
        <w:t xml:space="preserve"> </w:t>
      </w:r>
      <w:r w:rsidRPr="00940986">
        <w:t>vzorků</w:t>
      </w:r>
      <w:r>
        <w:t xml:space="preserve"> </w:t>
      </w:r>
      <w:r w:rsidRPr="00940986">
        <w:t>vztahujících</w:t>
      </w:r>
      <w:r>
        <w:t xml:space="preserve"> </w:t>
      </w:r>
      <w:r w:rsidRPr="00940986">
        <w:t>se</w:t>
      </w:r>
      <w:r>
        <w:t xml:space="preserve"> </w:t>
      </w:r>
      <w:r w:rsidRPr="00940986">
        <w:t>k</w:t>
      </w:r>
      <w:r>
        <w:t xml:space="preserve"> </w:t>
      </w:r>
      <w:r w:rsidRPr="00940986">
        <w:t>předmětu</w:t>
      </w:r>
      <w:r>
        <w:t xml:space="preserve"> </w:t>
      </w:r>
      <w:r w:rsidRPr="00940986">
        <w:t>plnění</w:t>
      </w:r>
      <w:r>
        <w:t xml:space="preserve"> </w:t>
      </w:r>
      <w:r w:rsidRPr="00940986">
        <w:t>veřejné</w:t>
      </w:r>
      <w:r>
        <w:t xml:space="preserve"> </w:t>
      </w:r>
      <w:r w:rsidRPr="00940986">
        <w:t>zakázky</w:t>
      </w:r>
      <w:r>
        <w:t xml:space="preserve"> </w:t>
      </w:r>
      <w:r w:rsidRPr="00940986">
        <w:t>nebo</w:t>
      </w:r>
      <w:r>
        <w:t xml:space="preserve"> </w:t>
      </w:r>
      <w:r w:rsidRPr="00940986">
        <w:t>kvalifikaci</w:t>
      </w:r>
      <w:r>
        <w:t xml:space="preserve"> </w:t>
      </w:r>
      <w:r w:rsidRPr="00940986">
        <w:t>dodavatele,</w:t>
      </w:r>
    </w:p>
    <w:p w14:paraId="4EF34E8D" w14:textId="67BF5854" w:rsidR="00913BE1" w:rsidRPr="00940986" w:rsidRDefault="00913BE1" w:rsidP="00635DDD">
      <w:pPr>
        <w:pStyle w:val="Textparagrafu"/>
        <w:numPr>
          <w:ilvl w:val="0"/>
          <w:numId w:val="27"/>
        </w:numPr>
        <w:tabs>
          <w:tab w:val="left" w:pos="392"/>
          <w:tab w:val="left" w:pos="840"/>
        </w:tabs>
        <w:spacing w:before="0"/>
        <w:ind w:left="426" w:hanging="426"/>
      </w:pPr>
      <w:r w:rsidRPr="00940986">
        <w:t>b)</w:t>
      </w:r>
      <w:r w:rsidR="00B40780">
        <w:tab/>
      </w:r>
      <w:r w:rsidRPr="00940986">
        <w:t>úspěšný</w:t>
      </w:r>
      <w:r>
        <w:t xml:space="preserve"> </w:t>
      </w:r>
      <w:r w:rsidRPr="00940986">
        <w:t>výsledek</w:t>
      </w:r>
      <w:r>
        <w:t xml:space="preserve"> </w:t>
      </w:r>
      <w:r w:rsidRPr="00940986">
        <w:t>zkoušek</w:t>
      </w:r>
      <w:r>
        <w:t xml:space="preserve"> </w:t>
      </w:r>
      <w:r w:rsidRPr="00940986">
        <w:t>vzorků,</w:t>
      </w:r>
    </w:p>
    <w:p w14:paraId="671954A8" w14:textId="5B8B7814" w:rsidR="00913BE1" w:rsidRPr="00940986" w:rsidRDefault="00913BE1" w:rsidP="00635DDD">
      <w:pPr>
        <w:pStyle w:val="Textparagrafu"/>
        <w:numPr>
          <w:ilvl w:val="0"/>
          <w:numId w:val="27"/>
        </w:numPr>
        <w:tabs>
          <w:tab w:val="left" w:pos="392"/>
          <w:tab w:val="left" w:pos="840"/>
        </w:tabs>
        <w:spacing w:before="0"/>
        <w:ind w:left="426" w:hanging="426"/>
      </w:pPr>
      <w:r w:rsidRPr="00940986">
        <w:t>c)</w:t>
      </w:r>
      <w:r w:rsidR="00B40780">
        <w:tab/>
      </w:r>
      <w:r w:rsidRPr="00940986">
        <w:t>předložení</w:t>
      </w:r>
      <w:r>
        <w:t xml:space="preserve"> </w:t>
      </w:r>
      <w:r w:rsidRPr="00940986">
        <w:t>dokladu</w:t>
      </w:r>
      <w:r>
        <w:t xml:space="preserve"> </w:t>
      </w:r>
      <w:r w:rsidRPr="00940986">
        <w:t>prokazujícího</w:t>
      </w:r>
      <w:r>
        <w:t xml:space="preserve"> </w:t>
      </w:r>
      <w:r w:rsidRPr="00940986">
        <w:t>schopnost</w:t>
      </w:r>
      <w:r>
        <w:t xml:space="preserve"> </w:t>
      </w:r>
      <w:r w:rsidRPr="00940986">
        <w:t>dodavatele</w:t>
      </w:r>
      <w:r>
        <w:t xml:space="preserve"> </w:t>
      </w:r>
      <w:r w:rsidRPr="00940986">
        <w:t>zabezpečit</w:t>
      </w:r>
      <w:r>
        <w:t xml:space="preserve"> </w:t>
      </w:r>
      <w:r w:rsidRPr="00940986">
        <w:t>ochranu</w:t>
      </w:r>
      <w:r>
        <w:t xml:space="preserve"> </w:t>
      </w:r>
      <w:r w:rsidRPr="00940986">
        <w:t>utajovaných</w:t>
      </w:r>
      <w:r>
        <w:t xml:space="preserve"> </w:t>
      </w:r>
      <w:r w:rsidR="00B40780">
        <w:t>informací</w:t>
      </w:r>
      <w:r w:rsidR="00B40780">
        <w:rPr>
          <w:rStyle w:val="Znakapoznpodarou"/>
        </w:rPr>
        <w:footnoteReference w:customMarkFollows="1" w:id="546"/>
        <w:t>5)</w:t>
      </w:r>
      <w:r w:rsidRPr="00940986">
        <w:t>,</w:t>
      </w:r>
      <w:r>
        <w:t xml:space="preserve"> </w:t>
      </w:r>
      <w:r w:rsidRPr="00940986">
        <w:t>je-li</w:t>
      </w:r>
      <w:r>
        <w:t xml:space="preserve"> </w:t>
      </w:r>
      <w:r w:rsidRPr="00940986">
        <w:t>to</w:t>
      </w:r>
      <w:r>
        <w:t xml:space="preserve"> </w:t>
      </w:r>
      <w:r w:rsidRPr="00940986">
        <w:t>k</w:t>
      </w:r>
      <w:r>
        <w:t xml:space="preserve"> </w:t>
      </w:r>
      <w:r w:rsidRPr="00940986">
        <w:t>plnění</w:t>
      </w:r>
      <w:r>
        <w:t xml:space="preserve"> </w:t>
      </w:r>
      <w:r w:rsidRPr="00940986">
        <w:t>veřejné</w:t>
      </w:r>
      <w:r>
        <w:t xml:space="preserve"> </w:t>
      </w:r>
      <w:r w:rsidRPr="00940986">
        <w:t>zakázky</w:t>
      </w:r>
      <w:r>
        <w:t xml:space="preserve"> </w:t>
      </w:r>
      <w:r w:rsidRPr="00940986">
        <w:t>nezbytné,</w:t>
      </w:r>
    </w:p>
    <w:p w14:paraId="51D19E47" w14:textId="32C364C9" w:rsidR="00913BE1" w:rsidRPr="00940986" w:rsidRDefault="00913BE1" w:rsidP="00635DDD">
      <w:pPr>
        <w:pStyle w:val="Textparagrafu"/>
        <w:numPr>
          <w:ilvl w:val="0"/>
          <w:numId w:val="27"/>
        </w:numPr>
        <w:tabs>
          <w:tab w:val="left" w:pos="392"/>
          <w:tab w:val="left" w:pos="840"/>
        </w:tabs>
        <w:spacing w:before="0"/>
        <w:ind w:left="426" w:hanging="426"/>
      </w:pPr>
      <w:r w:rsidRPr="00940986">
        <w:t>d)</w:t>
      </w:r>
      <w:r w:rsidR="00B40780">
        <w:tab/>
      </w:r>
      <w:r w:rsidRPr="00940986">
        <w:t>přijetí</w:t>
      </w:r>
      <w:r>
        <w:t xml:space="preserve"> </w:t>
      </w:r>
      <w:r w:rsidRPr="00940986">
        <w:t>určité</w:t>
      </w:r>
      <w:r>
        <w:t xml:space="preserve"> </w:t>
      </w:r>
      <w:r w:rsidRPr="00940986">
        <w:t>formy</w:t>
      </w:r>
      <w:r>
        <w:t xml:space="preserve"> </w:t>
      </w:r>
      <w:r w:rsidRPr="00940986">
        <w:t>spolupráce</w:t>
      </w:r>
      <w:r>
        <w:t xml:space="preserve"> </w:t>
      </w:r>
      <w:r w:rsidRPr="00940986">
        <w:t>podle</w:t>
      </w:r>
      <w:r>
        <w:t xml:space="preserve"> </w:t>
      </w:r>
      <w:r w:rsidRPr="00940986">
        <w:t>§</w:t>
      </w:r>
      <w:r>
        <w:t xml:space="preserve"> </w:t>
      </w:r>
      <w:r w:rsidRPr="00940986">
        <w:t>37</w:t>
      </w:r>
      <w:r>
        <w:t xml:space="preserve"> </w:t>
      </w:r>
      <w:r w:rsidRPr="00940986">
        <w:t>odst.</w:t>
      </w:r>
      <w:r>
        <w:t xml:space="preserve"> </w:t>
      </w:r>
      <w:r w:rsidRPr="00940986">
        <w:t>4,</w:t>
      </w:r>
    </w:p>
    <w:p w14:paraId="71B1DD2F" w14:textId="51062A12" w:rsidR="00913BE1" w:rsidRPr="00940986" w:rsidRDefault="00913BE1" w:rsidP="00635DDD">
      <w:pPr>
        <w:pStyle w:val="Textparagrafu"/>
        <w:numPr>
          <w:ilvl w:val="0"/>
          <w:numId w:val="27"/>
        </w:numPr>
        <w:tabs>
          <w:tab w:val="left" w:pos="392"/>
          <w:tab w:val="left" w:pos="840"/>
        </w:tabs>
        <w:spacing w:before="0"/>
        <w:ind w:left="426" w:hanging="426"/>
      </w:pPr>
      <w:r w:rsidRPr="00940986">
        <w:t>e)</w:t>
      </w:r>
      <w:r w:rsidR="00B40780">
        <w:tab/>
      </w:r>
      <w:r w:rsidRPr="00940986">
        <w:t>bližší</w:t>
      </w:r>
      <w:r>
        <w:t xml:space="preserve"> </w:t>
      </w:r>
      <w:r w:rsidRPr="00940986">
        <w:t>podmínky</w:t>
      </w:r>
      <w:r>
        <w:t xml:space="preserve"> </w:t>
      </w:r>
      <w:r w:rsidRPr="00940986">
        <w:t>součinnosti</w:t>
      </w:r>
      <w:r>
        <w:t xml:space="preserve"> </w:t>
      </w:r>
      <w:r w:rsidRPr="00940986">
        <w:t>před</w:t>
      </w:r>
      <w:r>
        <w:t xml:space="preserve"> </w:t>
      </w:r>
      <w:r w:rsidRPr="00940986">
        <w:t>uzavřením</w:t>
      </w:r>
      <w:r>
        <w:t xml:space="preserve"> </w:t>
      </w:r>
      <w:r w:rsidRPr="00940986">
        <w:t>smlouvy,</w:t>
      </w:r>
      <w:r>
        <w:t xml:space="preserve"> </w:t>
      </w:r>
      <w:r w:rsidRPr="00940986">
        <w:t>nebo</w:t>
      </w:r>
    </w:p>
    <w:p w14:paraId="4F7F5AA5" w14:textId="0138E16C" w:rsidR="00913BE1" w:rsidRDefault="00913BE1" w:rsidP="00635DDD">
      <w:pPr>
        <w:pStyle w:val="Textparagrafu"/>
        <w:numPr>
          <w:ilvl w:val="0"/>
          <w:numId w:val="27"/>
        </w:numPr>
        <w:tabs>
          <w:tab w:val="left" w:pos="392"/>
          <w:tab w:val="left" w:pos="840"/>
        </w:tabs>
        <w:spacing w:before="0"/>
        <w:ind w:left="426" w:hanging="426"/>
      </w:pPr>
      <w:r w:rsidRPr="00940986">
        <w:t>f)</w:t>
      </w:r>
      <w:r w:rsidR="00B40780">
        <w:tab/>
      </w:r>
      <w:r w:rsidRPr="00940986">
        <w:t>předložení</w:t>
      </w:r>
      <w:r>
        <w:t xml:space="preserve"> </w:t>
      </w:r>
      <w:r w:rsidRPr="00940986">
        <w:t>dokladu</w:t>
      </w:r>
      <w:r>
        <w:t xml:space="preserve"> </w:t>
      </w:r>
      <w:r w:rsidRPr="00940986">
        <w:t>o</w:t>
      </w:r>
      <w:r>
        <w:t xml:space="preserve"> </w:t>
      </w:r>
      <w:r w:rsidRPr="00940986">
        <w:t>splnění</w:t>
      </w:r>
      <w:r>
        <w:t xml:space="preserve"> </w:t>
      </w:r>
      <w:r w:rsidRPr="0098406B">
        <w:rPr>
          <w:strike/>
        </w:rPr>
        <w:t>povinností podle § 21a zákona o účetnictví</w:t>
      </w:r>
      <w:r>
        <w:t xml:space="preserve"> </w:t>
      </w:r>
      <w:r w:rsidRPr="0098406B">
        <w:rPr>
          <w:b/>
        </w:rPr>
        <w:t>povinnosti zveřejnit ve veřejném rejstříku účetní závěrku, zprávy podle zákona upravujícího účetnictví, jsou-li vyhotovovány, a zprávy o jejich ověření, jsou-li ověřovány</w:t>
      </w:r>
      <w:r w:rsidRPr="00940986">
        <w:t>.</w:t>
      </w:r>
    </w:p>
    <w:p w14:paraId="1FF0D90E" w14:textId="541327DF" w:rsidR="00B40780" w:rsidRDefault="00B40780" w:rsidP="00B40780">
      <w:pPr>
        <w:pStyle w:val="Textparagrafu"/>
        <w:numPr>
          <w:ilvl w:val="0"/>
          <w:numId w:val="27"/>
        </w:numPr>
        <w:tabs>
          <w:tab w:val="left" w:pos="392"/>
          <w:tab w:val="left" w:pos="840"/>
        </w:tabs>
        <w:spacing w:after="120"/>
        <w:jc w:val="center"/>
      </w:pPr>
      <w:r>
        <w:t>***</w:t>
      </w:r>
    </w:p>
    <w:p w14:paraId="63C54E78" w14:textId="3F89AE4F" w:rsidR="00913BE1" w:rsidRDefault="00913BE1" w:rsidP="00B40780">
      <w:pPr>
        <w:pStyle w:val="Textparagrafu"/>
        <w:numPr>
          <w:ilvl w:val="0"/>
          <w:numId w:val="27"/>
        </w:numPr>
        <w:tabs>
          <w:tab w:val="left" w:pos="392"/>
          <w:tab w:val="left" w:pos="840"/>
        </w:tabs>
        <w:spacing w:after="120"/>
        <w:jc w:val="center"/>
      </w:pPr>
      <w:r w:rsidRPr="00940986">
        <w:t>§</w:t>
      </w:r>
      <w:r>
        <w:t xml:space="preserve"> </w:t>
      </w:r>
      <w:r w:rsidRPr="00940986">
        <w:t>155</w:t>
      </w:r>
    </w:p>
    <w:p w14:paraId="23604C54" w14:textId="13B91C91" w:rsidR="00913BE1" w:rsidRPr="00B40780" w:rsidRDefault="00913BE1" w:rsidP="00B40780">
      <w:pPr>
        <w:pStyle w:val="Textparagrafu"/>
        <w:numPr>
          <w:ilvl w:val="0"/>
          <w:numId w:val="27"/>
        </w:numPr>
        <w:tabs>
          <w:tab w:val="left" w:pos="392"/>
          <w:tab w:val="left" w:pos="840"/>
        </w:tabs>
        <w:spacing w:after="120"/>
        <w:jc w:val="center"/>
        <w:rPr>
          <w:b/>
        </w:rPr>
      </w:pPr>
      <w:r w:rsidRPr="00B40780">
        <w:rPr>
          <w:b/>
        </w:rPr>
        <w:t>Zakázky zadávané přidruženým osobám</w:t>
      </w:r>
    </w:p>
    <w:p w14:paraId="405CFA39" w14:textId="55360BBE" w:rsidR="00913BE1" w:rsidRPr="00940986" w:rsidRDefault="00913BE1" w:rsidP="005564E1">
      <w:pPr>
        <w:pStyle w:val="Textparagrafu"/>
        <w:numPr>
          <w:ilvl w:val="0"/>
          <w:numId w:val="27"/>
        </w:numPr>
        <w:tabs>
          <w:tab w:val="left" w:pos="392"/>
          <w:tab w:val="left" w:pos="840"/>
        </w:tabs>
        <w:spacing w:before="120" w:after="120"/>
        <w:ind w:firstLine="425"/>
      </w:pPr>
      <w:proofErr w:type="gramStart"/>
      <w:r w:rsidRPr="00940986">
        <w:t>(1)</w:t>
      </w:r>
      <w:r w:rsidR="0039087E">
        <w:t xml:space="preserve"> </w:t>
      </w:r>
      <w:r w:rsidRPr="00940986">
        <w:t>Přidruženou</w:t>
      </w:r>
      <w:proofErr w:type="gramEnd"/>
      <w:r>
        <w:t xml:space="preserve"> </w:t>
      </w:r>
      <w:r w:rsidRPr="00940986">
        <w:t>osobou</w:t>
      </w:r>
      <w:r>
        <w:t xml:space="preserve"> </w:t>
      </w:r>
      <w:r w:rsidRPr="00940986">
        <w:t>se</w:t>
      </w:r>
      <w:r>
        <w:t xml:space="preserve"> </w:t>
      </w:r>
      <w:r w:rsidRPr="00940986">
        <w:t>rozumí</w:t>
      </w:r>
      <w:r>
        <w:t xml:space="preserve"> </w:t>
      </w:r>
      <w:r w:rsidRPr="00940986">
        <w:t>osoba,</w:t>
      </w:r>
      <w:r>
        <w:t xml:space="preserve"> </w:t>
      </w:r>
      <w:r w:rsidRPr="00940986">
        <w:t>která</w:t>
      </w:r>
      <w:r>
        <w:t xml:space="preserve"> </w:t>
      </w:r>
      <w:r w:rsidRPr="00A13A96">
        <w:rPr>
          <w:strike/>
        </w:rPr>
        <w:t>má povinnost podrobit se sestavení</w:t>
      </w:r>
      <w:r w:rsidRPr="0098406B">
        <w:rPr>
          <w:strike/>
        </w:rPr>
        <w:t xml:space="preserve"> konsolidované účetní </w:t>
      </w:r>
      <w:r w:rsidR="00B40780" w:rsidRPr="0098406B">
        <w:rPr>
          <w:strike/>
        </w:rPr>
        <w:t>závěrky</w:t>
      </w:r>
      <w:r w:rsidR="00B40780" w:rsidRPr="0098406B">
        <w:rPr>
          <w:rStyle w:val="Znakapoznpodarou"/>
          <w:strike/>
        </w:rPr>
        <w:footnoteReference w:customMarkFollows="1" w:id="547"/>
        <w:t>40)</w:t>
      </w:r>
      <w:r w:rsidRPr="0098406B">
        <w:rPr>
          <w:strike/>
        </w:rPr>
        <w:t xml:space="preserve"> zadavatelem</w:t>
      </w:r>
      <w:r>
        <w:t xml:space="preserve"> </w:t>
      </w:r>
      <w:r w:rsidRPr="0098406B">
        <w:rPr>
          <w:b/>
        </w:rPr>
        <w:t>je zadavatelovou dceřinou entitou podle zákona upravujícího účetnictví zahrnutou do konsolidačního celku podle zákona upravujícího účetnictví</w:t>
      </w:r>
      <w:r>
        <w:t xml:space="preserve"> </w:t>
      </w:r>
      <w:r w:rsidRPr="00940986">
        <w:t>nebo</w:t>
      </w:r>
      <w:r>
        <w:t xml:space="preserve"> </w:t>
      </w:r>
      <w:r w:rsidRPr="00940986">
        <w:t>jiná</w:t>
      </w:r>
      <w:r>
        <w:t xml:space="preserve"> </w:t>
      </w:r>
      <w:r w:rsidRPr="00940986">
        <w:t>osoba,</w:t>
      </w:r>
      <w:r>
        <w:t xml:space="preserve"> </w:t>
      </w:r>
      <w:r w:rsidRPr="00940986">
        <w:t>která</w:t>
      </w:r>
      <w:r>
        <w:t xml:space="preserve"> </w:t>
      </w:r>
      <w:r w:rsidRPr="00940986">
        <w:t>přímo</w:t>
      </w:r>
      <w:r>
        <w:t xml:space="preserve"> </w:t>
      </w:r>
      <w:r w:rsidRPr="00940986">
        <w:t>nebo</w:t>
      </w:r>
      <w:r>
        <w:t xml:space="preserve"> </w:t>
      </w:r>
      <w:proofErr w:type="gramStart"/>
      <w:r w:rsidRPr="00940986">
        <w:t>nepřímo</w:t>
      </w:r>
      <w:proofErr w:type="gramEnd"/>
    </w:p>
    <w:p w14:paraId="49F83007" w14:textId="2B6A6052" w:rsidR="00913BE1" w:rsidRPr="00940986" w:rsidRDefault="00913BE1" w:rsidP="00B40780">
      <w:pPr>
        <w:pStyle w:val="Textparagrafu"/>
        <w:numPr>
          <w:ilvl w:val="0"/>
          <w:numId w:val="27"/>
        </w:numPr>
        <w:tabs>
          <w:tab w:val="left" w:pos="392"/>
          <w:tab w:val="left" w:pos="840"/>
        </w:tabs>
        <w:spacing w:before="0"/>
      </w:pPr>
      <w:r w:rsidRPr="00940986">
        <w:t>a)</w:t>
      </w:r>
      <w:r w:rsidR="00B40780">
        <w:tab/>
      </w:r>
      <w:r w:rsidRPr="00940986">
        <w:t>může</w:t>
      </w:r>
      <w:r>
        <w:t xml:space="preserve"> </w:t>
      </w:r>
      <w:r w:rsidRPr="00940986">
        <w:t>podléhat</w:t>
      </w:r>
      <w:r>
        <w:t xml:space="preserve"> </w:t>
      </w:r>
      <w:r w:rsidRPr="00940986">
        <w:t>dominantnímu</w:t>
      </w:r>
      <w:r>
        <w:t xml:space="preserve"> </w:t>
      </w:r>
      <w:r w:rsidRPr="00940986">
        <w:t>vlivu</w:t>
      </w:r>
      <w:r>
        <w:t xml:space="preserve"> </w:t>
      </w:r>
      <w:r w:rsidRPr="00940986">
        <w:t>zadavatele,</w:t>
      </w:r>
    </w:p>
    <w:p w14:paraId="515755C8" w14:textId="00819E1F" w:rsidR="00913BE1" w:rsidRPr="00940986" w:rsidRDefault="00913BE1" w:rsidP="00B40780">
      <w:pPr>
        <w:pStyle w:val="Textparagrafu"/>
        <w:numPr>
          <w:ilvl w:val="0"/>
          <w:numId w:val="27"/>
        </w:numPr>
        <w:tabs>
          <w:tab w:val="left" w:pos="392"/>
          <w:tab w:val="left" w:pos="840"/>
        </w:tabs>
        <w:spacing w:before="0"/>
      </w:pPr>
      <w:r w:rsidRPr="00940986">
        <w:t>b)</w:t>
      </w:r>
      <w:r w:rsidR="00B40780">
        <w:tab/>
      </w:r>
      <w:r w:rsidRPr="00940986">
        <w:t>může</w:t>
      </w:r>
      <w:r>
        <w:t xml:space="preserve"> </w:t>
      </w:r>
      <w:r w:rsidRPr="00940986">
        <w:t>vykonávat</w:t>
      </w:r>
      <w:r>
        <w:t xml:space="preserve"> </w:t>
      </w:r>
      <w:r w:rsidRPr="00940986">
        <w:t>dominantní</w:t>
      </w:r>
      <w:r>
        <w:t xml:space="preserve"> </w:t>
      </w:r>
      <w:r w:rsidRPr="00940986">
        <w:t>vliv</w:t>
      </w:r>
      <w:r>
        <w:t xml:space="preserve"> </w:t>
      </w:r>
      <w:r w:rsidRPr="00940986">
        <w:t>nad</w:t>
      </w:r>
      <w:r>
        <w:t xml:space="preserve"> </w:t>
      </w:r>
      <w:r w:rsidRPr="00940986">
        <w:t>zadavatelem,</w:t>
      </w:r>
      <w:r>
        <w:t xml:space="preserve"> </w:t>
      </w:r>
      <w:r w:rsidRPr="00940986">
        <w:t>nebo</w:t>
      </w:r>
    </w:p>
    <w:p w14:paraId="1E82C04F" w14:textId="4CF7E4F1" w:rsidR="00913BE1" w:rsidRPr="00940986" w:rsidRDefault="00913BE1" w:rsidP="00B40780">
      <w:pPr>
        <w:pStyle w:val="Textparagrafu"/>
        <w:numPr>
          <w:ilvl w:val="0"/>
          <w:numId w:val="27"/>
        </w:numPr>
        <w:tabs>
          <w:tab w:val="left" w:pos="392"/>
          <w:tab w:val="left" w:pos="840"/>
        </w:tabs>
        <w:spacing w:before="0"/>
      </w:pPr>
      <w:r w:rsidRPr="00940986">
        <w:t>c)</w:t>
      </w:r>
      <w:r w:rsidR="00B40780">
        <w:tab/>
      </w:r>
      <w:r w:rsidRPr="00940986">
        <w:t>podléhá</w:t>
      </w:r>
      <w:r>
        <w:t xml:space="preserve"> </w:t>
      </w:r>
      <w:r w:rsidRPr="00940986">
        <w:t>dominantnímu</w:t>
      </w:r>
      <w:r>
        <w:t xml:space="preserve"> </w:t>
      </w:r>
      <w:r w:rsidRPr="00940986">
        <w:t>vlivu</w:t>
      </w:r>
      <w:r>
        <w:t xml:space="preserve"> </w:t>
      </w:r>
      <w:r w:rsidRPr="00940986">
        <w:t>stejné</w:t>
      </w:r>
      <w:r>
        <w:t xml:space="preserve"> </w:t>
      </w:r>
      <w:r w:rsidRPr="00940986">
        <w:t>osoby</w:t>
      </w:r>
      <w:r>
        <w:t xml:space="preserve"> </w:t>
      </w:r>
      <w:r w:rsidRPr="00940986">
        <w:t>jako</w:t>
      </w:r>
      <w:r>
        <w:t xml:space="preserve"> </w:t>
      </w:r>
      <w:r w:rsidRPr="00940986">
        <w:t>zadavatel.</w:t>
      </w:r>
    </w:p>
    <w:p w14:paraId="19186AB2" w14:textId="77777777" w:rsidR="00913BE1" w:rsidRPr="00940986" w:rsidRDefault="00913BE1" w:rsidP="005564E1">
      <w:pPr>
        <w:pStyle w:val="Textparagrafu"/>
        <w:numPr>
          <w:ilvl w:val="0"/>
          <w:numId w:val="27"/>
        </w:numPr>
        <w:tabs>
          <w:tab w:val="left" w:pos="392"/>
          <w:tab w:val="left" w:pos="840"/>
        </w:tabs>
        <w:spacing w:before="120" w:after="120"/>
        <w:ind w:firstLine="425"/>
      </w:pPr>
      <w:r w:rsidRPr="00940986">
        <w:t>(2)</w:t>
      </w:r>
      <w:r>
        <w:t xml:space="preserve"> </w:t>
      </w:r>
      <w:r w:rsidRPr="00940986">
        <w:t>Za</w:t>
      </w:r>
      <w:r>
        <w:t xml:space="preserve"> </w:t>
      </w:r>
      <w:r w:rsidRPr="00940986">
        <w:t>sektorovou</w:t>
      </w:r>
      <w:r>
        <w:t xml:space="preserve"> </w:t>
      </w:r>
      <w:r w:rsidRPr="00940986">
        <w:t>veřejnou</w:t>
      </w:r>
      <w:r>
        <w:t xml:space="preserve"> </w:t>
      </w:r>
      <w:r w:rsidRPr="00940986">
        <w:t>zakázku</w:t>
      </w:r>
      <w:r>
        <w:t xml:space="preserve"> </w:t>
      </w:r>
      <w:r w:rsidRPr="00940986">
        <w:t>se</w:t>
      </w:r>
      <w:r>
        <w:t xml:space="preserve"> </w:t>
      </w:r>
      <w:r w:rsidRPr="00940986">
        <w:t>nepovažuje</w:t>
      </w:r>
      <w:r>
        <w:t xml:space="preserve"> </w:t>
      </w:r>
      <w:r w:rsidRPr="00940986">
        <w:t>zakázka</w:t>
      </w:r>
      <w:r>
        <w:t xml:space="preserve"> </w:t>
      </w:r>
      <w:r w:rsidRPr="00940986">
        <w:t>zadaná</w:t>
      </w:r>
      <w:r>
        <w:t xml:space="preserve"> </w:t>
      </w:r>
      <w:r w:rsidRPr="00940986">
        <w:t>zadavatelem</w:t>
      </w:r>
      <w:r>
        <w:t xml:space="preserve"> </w:t>
      </w:r>
      <w:r w:rsidRPr="00940986">
        <w:t>přidružené</w:t>
      </w:r>
      <w:r>
        <w:t xml:space="preserve"> </w:t>
      </w:r>
      <w:r w:rsidRPr="00940986">
        <w:t>osobě</w:t>
      </w:r>
      <w:r>
        <w:t xml:space="preserve"> </w:t>
      </w:r>
      <w:r w:rsidRPr="00940986">
        <w:t>nebo</w:t>
      </w:r>
      <w:r>
        <w:t xml:space="preserve"> </w:t>
      </w:r>
      <w:r w:rsidRPr="00940986">
        <w:t>společně</w:t>
      </w:r>
      <w:r>
        <w:t xml:space="preserve"> </w:t>
      </w:r>
      <w:r w:rsidRPr="00940986">
        <w:t>několika</w:t>
      </w:r>
      <w:r>
        <w:t xml:space="preserve"> </w:t>
      </w:r>
      <w:r w:rsidRPr="00940986">
        <w:t>zadavateli</w:t>
      </w:r>
      <w:r>
        <w:t xml:space="preserve"> </w:t>
      </w:r>
      <w:r w:rsidRPr="00940986">
        <w:t>za</w:t>
      </w:r>
      <w:r>
        <w:t xml:space="preserve"> </w:t>
      </w:r>
      <w:r w:rsidRPr="00940986">
        <w:t>účelem</w:t>
      </w:r>
      <w:r>
        <w:t xml:space="preserve"> </w:t>
      </w:r>
      <w:r w:rsidRPr="00940986">
        <w:t>výkonu</w:t>
      </w:r>
      <w:r>
        <w:t xml:space="preserve"> </w:t>
      </w:r>
      <w:r w:rsidRPr="00940986">
        <w:t>relevantní</w:t>
      </w:r>
      <w:r>
        <w:t xml:space="preserve"> </w:t>
      </w:r>
      <w:r w:rsidRPr="00940986">
        <w:t>činnosti</w:t>
      </w:r>
      <w:r>
        <w:t xml:space="preserve"> </w:t>
      </w:r>
      <w:r w:rsidRPr="00940986">
        <w:t>osobě</w:t>
      </w:r>
      <w:r>
        <w:t xml:space="preserve"> </w:t>
      </w:r>
      <w:r w:rsidRPr="00940986">
        <w:t>přidružené</w:t>
      </w:r>
      <w:r>
        <w:t xml:space="preserve"> </w:t>
      </w:r>
      <w:r w:rsidRPr="00940986">
        <w:t>k</w:t>
      </w:r>
      <w:r>
        <w:t xml:space="preserve"> </w:t>
      </w:r>
      <w:r w:rsidRPr="00940986">
        <w:t>některému</w:t>
      </w:r>
      <w:r>
        <w:t xml:space="preserve"> </w:t>
      </w:r>
      <w:r w:rsidRPr="00940986">
        <w:t>z</w:t>
      </w:r>
      <w:r>
        <w:t xml:space="preserve"> </w:t>
      </w:r>
      <w:r w:rsidRPr="00940986">
        <w:t>těchto</w:t>
      </w:r>
      <w:r>
        <w:t xml:space="preserve"> </w:t>
      </w:r>
      <w:r w:rsidRPr="00940986">
        <w:t>zadavatelů,</w:t>
      </w:r>
      <w:r>
        <w:t xml:space="preserve"> </w:t>
      </w:r>
      <w:r w:rsidRPr="00940986">
        <w:t>jestliže</w:t>
      </w:r>
      <w:r>
        <w:t xml:space="preserve"> </w:t>
      </w:r>
      <w:r w:rsidRPr="00940986">
        <w:t>se</w:t>
      </w:r>
      <w:r>
        <w:t xml:space="preserve"> </w:t>
      </w:r>
      <w:r w:rsidRPr="00940986">
        <w:t>jedná</w:t>
      </w:r>
      <w:r>
        <w:t xml:space="preserve"> </w:t>
      </w:r>
      <w:r w:rsidRPr="00940986">
        <w:t>o</w:t>
      </w:r>
    </w:p>
    <w:p w14:paraId="58C1F9E4" w14:textId="77777777" w:rsidR="00913BE1" w:rsidRPr="00940986" w:rsidRDefault="00913BE1" w:rsidP="00635DDD">
      <w:pPr>
        <w:pStyle w:val="Textparagrafu"/>
        <w:numPr>
          <w:ilvl w:val="0"/>
          <w:numId w:val="27"/>
        </w:numPr>
        <w:tabs>
          <w:tab w:val="left" w:pos="392"/>
          <w:tab w:val="left" w:pos="840"/>
        </w:tabs>
        <w:spacing w:before="0"/>
        <w:ind w:left="426" w:hanging="426"/>
      </w:pPr>
      <w:r w:rsidRPr="00940986">
        <w:t>a)</w:t>
      </w:r>
      <w:r>
        <w:t xml:space="preserve"> </w:t>
      </w:r>
      <w:r w:rsidRPr="00940986">
        <w:t>služby,</w:t>
      </w:r>
      <w:r>
        <w:t xml:space="preserve"> </w:t>
      </w:r>
      <w:r w:rsidRPr="00940986">
        <w:t>přičemž</w:t>
      </w:r>
      <w:r>
        <w:t xml:space="preserve"> </w:t>
      </w:r>
      <w:r w:rsidRPr="00940986">
        <w:t>alespoň</w:t>
      </w:r>
      <w:r>
        <w:t xml:space="preserve"> </w:t>
      </w:r>
      <w:r w:rsidRPr="00940986">
        <w:t>80</w:t>
      </w:r>
      <w:r>
        <w:t xml:space="preserve"> </w:t>
      </w:r>
      <w:r w:rsidRPr="00940986">
        <w:t>%</w:t>
      </w:r>
      <w:r>
        <w:t xml:space="preserve"> </w:t>
      </w:r>
      <w:r w:rsidRPr="00940986">
        <w:t>průměrného</w:t>
      </w:r>
      <w:r>
        <w:t xml:space="preserve"> </w:t>
      </w:r>
      <w:r w:rsidRPr="00940986">
        <w:t>obratu</w:t>
      </w:r>
      <w:r>
        <w:t xml:space="preserve"> </w:t>
      </w:r>
      <w:r w:rsidRPr="00940986">
        <w:t>přidružené</w:t>
      </w:r>
      <w:r>
        <w:t xml:space="preserve"> </w:t>
      </w:r>
      <w:r w:rsidRPr="00940986">
        <w:t>osoby</w:t>
      </w:r>
      <w:r>
        <w:t xml:space="preserve"> </w:t>
      </w:r>
      <w:r w:rsidRPr="00940986">
        <w:t>ze</w:t>
      </w:r>
      <w:r>
        <w:t xml:space="preserve"> </w:t>
      </w:r>
      <w:r w:rsidRPr="00940986">
        <w:t>všech</w:t>
      </w:r>
      <w:r>
        <w:t xml:space="preserve"> </w:t>
      </w:r>
      <w:r w:rsidRPr="00940986">
        <w:t>služeb,</w:t>
      </w:r>
      <w:r>
        <w:t xml:space="preserve"> </w:t>
      </w:r>
      <w:r w:rsidRPr="00940986">
        <w:t>které</w:t>
      </w:r>
      <w:r>
        <w:t xml:space="preserve"> </w:t>
      </w:r>
      <w:r w:rsidRPr="00940986">
        <w:t>tato</w:t>
      </w:r>
      <w:r>
        <w:t xml:space="preserve"> </w:t>
      </w:r>
      <w:r w:rsidRPr="00940986">
        <w:t>osoba</w:t>
      </w:r>
      <w:r>
        <w:t xml:space="preserve"> </w:t>
      </w:r>
      <w:r w:rsidRPr="00940986">
        <w:t>poskytovala</w:t>
      </w:r>
      <w:r>
        <w:t xml:space="preserve"> </w:t>
      </w:r>
      <w:r w:rsidRPr="00940986">
        <w:t>v</w:t>
      </w:r>
      <w:r>
        <w:t xml:space="preserve"> </w:t>
      </w:r>
      <w:r w:rsidRPr="00940986">
        <w:t>předchozích</w:t>
      </w:r>
      <w:r>
        <w:t xml:space="preserve"> </w:t>
      </w:r>
      <w:r w:rsidRPr="00940986">
        <w:t>3</w:t>
      </w:r>
      <w:r>
        <w:t xml:space="preserve"> </w:t>
      </w:r>
      <w:r w:rsidRPr="00940986">
        <w:t>letech,</w:t>
      </w:r>
      <w:r>
        <w:t xml:space="preserve"> </w:t>
      </w:r>
      <w:r w:rsidRPr="00940986">
        <w:t>bylo</w:t>
      </w:r>
      <w:r>
        <w:t xml:space="preserve"> </w:t>
      </w:r>
      <w:r w:rsidRPr="00940986">
        <w:t>dosaženo</w:t>
      </w:r>
      <w:r>
        <w:t xml:space="preserve"> </w:t>
      </w:r>
      <w:r w:rsidRPr="00940986">
        <w:t>ve</w:t>
      </w:r>
      <w:r>
        <w:t xml:space="preserve"> </w:t>
      </w:r>
      <w:r w:rsidRPr="00940986">
        <w:t>vztahu</w:t>
      </w:r>
      <w:r>
        <w:t xml:space="preserve"> </w:t>
      </w:r>
      <w:r w:rsidRPr="00940986">
        <w:t>k</w:t>
      </w:r>
      <w:r>
        <w:t xml:space="preserve"> </w:t>
      </w:r>
      <w:r w:rsidRPr="00940986">
        <w:t>zadavateli</w:t>
      </w:r>
      <w:r>
        <w:t xml:space="preserve"> </w:t>
      </w:r>
      <w:r w:rsidRPr="00940986">
        <w:t>nebo</w:t>
      </w:r>
      <w:r>
        <w:t xml:space="preserve"> </w:t>
      </w:r>
      <w:r w:rsidRPr="00940986">
        <w:t>osobám,</w:t>
      </w:r>
      <w:r>
        <w:t xml:space="preserve"> </w:t>
      </w:r>
      <w:r w:rsidRPr="00940986">
        <w:t>k</w:t>
      </w:r>
      <w:r>
        <w:t xml:space="preserve"> </w:t>
      </w:r>
      <w:r w:rsidRPr="00940986">
        <w:t>nimž</w:t>
      </w:r>
      <w:r>
        <w:t xml:space="preserve"> </w:t>
      </w:r>
      <w:r w:rsidRPr="00940986">
        <w:t>je</w:t>
      </w:r>
      <w:r>
        <w:t xml:space="preserve"> </w:t>
      </w:r>
      <w:r w:rsidRPr="00940986">
        <w:t>zadavatel</w:t>
      </w:r>
      <w:r>
        <w:t xml:space="preserve"> </w:t>
      </w:r>
      <w:r w:rsidRPr="00940986">
        <w:t>přidruženou</w:t>
      </w:r>
      <w:r>
        <w:t xml:space="preserve"> </w:t>
      </w:r>
      <w:r w:rsidRPr="00940986">
        <w:t>osobou,</w:t>
      </w:r>
    </w:p>
    <w:p w14:paraId="249C87C1" w14:textId="77777777" w:rsidR="00913BE1" w:rsidRPr="00940986" w:rsidRDefault="00913BE1" w:rsidP="00635DDD">
      <w:pPr>
        <w:pStyle w:val="Textparagrafu"/>
        <w:numPr>
          <w:ilvl w:val="0"/>
          <w:numId w:val="27"/>
        </w:numPr>
        <w:tabs>
          <w:tab w:val="left" w:pos="392"/>
          <w:tab w:val="left" w:pos="840"/>
        </w:tabs>
        <w:spacing w:before="0"/>
        <w:ind w:left="426" w:hanging="426"/>
      </w:pPr>
      <w:r w:rsidRPr="00940986">
        <w:t>b)</w:t>
      </w:r>
      <w:r>
        <w:t xml:space="preserve"> </w:t>
      </w:r>
      <w:r w:rsidRPr="00940986">
        <w:t>dodávky,</w:t>
      </w:r>
      <w:r>
        <w:t xml:space="preserve"> </w:t>
      </w:r>
      <w:r w:rsidRPr="00940986">
        <w:t>přičemž</w:t>
      </w:r>
      <w:r>
        <w:t xml:space="preserve"> </w:t>
      </w:r>
      <w:r w:rsidRPr="00940986">
        <w:t>alespoň</w:t>
      </w:r>
      <w:r>
        <w:t xml:space="preserve"> </w:t>
      </w:r>
      <w:r w:rsidRPr="00940986">
        <w:t>80</w:t>
      </w:r>
      <w:r>
        <w:t xml:space="preserve"> </w:t>
      </w:r>
      <w:r w:rsidRPr="00940986">
        <w:t>%</w:t>
      </w:r>
      <w:r>
        <w:t xml:space="preserve"> </w:t>
      </w:r>
      <w:r w:rsidRPr="00940986">
        <w:t>průměrného</w:t>
      </w:r>
      <w:r>
        <w:t xml:space="preserve"> </w:t>
      </w:r>
      <w:r w:rsidRPr="00940986">
        <w:t>obratu</w:t>
      </w:r>
      <w:r>
        <w:t xml:space="preserve"> </w:t>
      </w:r>
      <w:r w:rsidRPr="00940986">
        <w:t>přidružené</w:t>
      </w:r>
      <w:r>
        <w:t xml:space="preserve"> </w:t>
      </w:r>
      <w:r w:rsidRPr="00940986">
        <w:t>osoby</w:t>
      </w:r>
      <w:r>
        <w:t xml:space="preserve"> </w:t>
      </w:r>
      <w:r w:rsidRPr="00940986">
        <w:t>ze</w:t>
      </w:r>
      <w:r>
        <w:t xml:space="preserve"> </w:t>
      </w:r>
      <w:r w:rsidRPr="00940986">
        <w:t>všech</w:t>
      </w:r>
      <w:r>
        <w:t xml:space="preserve"> </w:t>
      </w:r>
      <w:r w:rsidRPr="00940986">
        <w:t>dodávek,</w:t>
      </w:r>
      <w:r>
        <w:t xml:space="preserve"> </w:t>
      </w:r>
      <w:r w:rsidRPr="00940986">
        <w:t>které</w:t>
      </w:r>
      <w:r>
        <w:t xml:space="preserve"> </w:t>
      </w:r>
      <w:r w:rsidRPr="00940986">
        <w:t>tato</w:t>
      </w:r>
      <w:r>
        <w:t xml:space="preserve"> </w:t>
      </w:r>
      <w:r w:rsidRPr="00940986">
        <w:t>osoba</w:t>
      </w:r>
      <w:r>
        <w:t xml:space="preserve"> </w:t>
      </w:r>
      <w:r w:rsidRPr="00940986">
        <w:t>poskytovala</w:t>
      </w:r>
      <w:r>
        <w:t xml:space="preserve"> </w:t>
      </w:r>
      <w:r w:rsidRPr="00940986">
        <w:t>v</w:t>
      </w:r>
      <w:r>
        <w:t xml:space="preserve"> </w:t>
      </w:r>
      <w:r w:rsidRPr="00940986">
        <w:t>předchozích</w:t>
      </w:r>
      <w:r>
        <w:t xml:space="preserve"> </w:t>
      </w:r>
      <w:r w:rsidRPr="00940986">
        <w:t>3</w:t>
      </w:r>
      <w:r>
        <w:t xml:space="preserve"> </w:t>
      </w:r>
      <w:r w:rsidRPr="00940986">
        <w:t>letech,</w:t>
      </w:r>
      <w:r>
        <w:t xml:space="preserve"> </w:t>
      </w:r>
      <w:r w:rsidRPr="00940986">
        <w:t>bylo</w:t>
      </w:r>
      <w:r>
        <w:t xml:space="preserve"> </w:t>
      </w:r>
      <w:r w:rsidRPr="00940986">
        <w:t>dosaženo</w:t>
      </w:r>
      <w:r>
        <w:t xml:space="preserve"> </w:t>
      </w:r>
      <w:r w:rsidRPr="00940986">
        <w:t>ve</w:t>
      </w:r>
      <w:r>
        <w:t xml:space="preserve"> </w:t>
      </w:r>
      <w:r w:rsidRPr="00940986">
        <w:t>vztahu</w:t>
      </w:r>
      <w:r>
        <w:t xml:space="preserve"> </w:t>
      </w:r>
      <w:r w:rsidRPr="00940986">
        <w:t>k</w:t>
      </w:r>
      <w:r>
        <w:t xml:space="preserve"> </w:t>
      </w:r>
      <w:r w:rsidRPr="00940986">
        <w:t>zadavateli</w:t>
      </w:r>
      <w:r>
        <w:t xml:space="preserve"> </w:t>
      </w:r>
      <w:r w:rsidRPr="00940986">
        <w:t>nebo</w:t>
      </w:r>
      <w:r>
        <w:t xml:space="preserve"> </w:t>
      </w:r>
      <w:r w:rsidRPr="00940986">
        <w:t>osobám,</w:t>
      </w:r>
      <w:r>
        <w:t xml:space="preserve"> </w:t>
      </w:r>
      <w:r w:rsidRPr="00940986">
        <w:t>k</w:t>
      </w:r>
      <w:r>
        <w:t xml:space="preserve"> </w:t>
      </w:r>
      <w:r w:rsidRPr="00940986">
        <w:t>nimž</w:t>
      </w:r>
      <w:r>
        <w:t xml:space="preserve"> </w:t>
      </w:r>
      <w:r w:rsidRPr="00940986">
        <w:t>je</w:t>
      </w:r>
      <w:r>
        <w:t xml:space="preserve"> </w:t>
      </w:r>
      <w:r w:rsidRPr="00940986">
        <w:t>zadavatel</w:t>
      </w:r>
      <w:r>
        <w:t xml:space="preserve"> </w:t>
      </w:r>
      <w:r w:rsidRPr="00940986">
        <w:t>přidruženou</w:t>
      </w:r>
      <w:r>
        <w:t xml:space="preserve"> </w:t>
      </w:r>
      <w:r w:rsidRPr="00940986">
        <w:t>osobou,</w:t>
      </w:r>
      <w:r>
        <w:t xml:space="preserve"> </w:t>
      </w:r>
      <w:r w:rsidRPr="00940986">
        <w:t>nebo</w:t>
      </w:r>
    </w:p>
    <w:p w14:paraId="2410CE7B" w14:textId="22D6F4D2" w:rsidR="00913BE1" w:rsidRPr="00940986" w:rsidRDefault="00913BE1" w:rsidP="00635DDD">
      <w:pPr>
        <w:pStyle w:val="Textparagrafu"/>
        <w:numPr>
          <w:ilvl w:val="0"/>
          <w:numId w:val="27"/>
        </w:numPr>
        <w:tabs>
          <w:tab w:val="left" w:pos="392"/>
          <w:tab w:val="left" w:pos="840"/>
        </w:tabs>
        <w:spacing w:before="0"/>
        <w:ind w:left="426" w:hanging="426"/>
      </w:pPr>
      <w:r w:rsidRPr="00940986">
        <w:t>c)</w:t>
      </w:r>
      <w:r w:rsidR="00B40780">
        <w:tab/>
      </w:r>
      <w:r w:rsidRPr="00940986">
        <w:t>stavební</w:t>
      </w:r>
      <w:r>
        <w:t xml:space="preserve"> </w:t>
      </w:r>
      <w:r w:rsidRPr="00940986">
        <w:t>práce,</w:t>
      </w:r>
      <w:r>
        <w:t xml:space="preserve"> </w:t>
      </w:r>
      <w:r w:rsidRPr="00940986">
        <w:t>přičemž</w:t>
      </w:r>
      <w:r>
        <w:t xml:space="preserve"> </w:t>
      </w:r>
      <w:r w:rsidRPr="00940986">
        <w:t>alespoň</w:t>
      </w:r>
      <w:r>
        <w:t xml:space="preserve"> </w:t>
      </w:r>
      <w:r w:rsidRPr="00940986">
        <w:t>80</w:t>
      </w:r>
      <w:r>
        <w:t xml:space="preserve"> </w:t>
      </w:r>
      <w:r w:rsidRPr="00940986">
        <w:t>%</w:t>
      </w:r>
      <w:r>
        <w:t xml:space="preserve"> </w:t>
      </w:r>
      <w:r w:rsidRPr="00940986">
        <w:t>průměrného</w:t>
      </w:r>
      <w:r>
        <w:t xml:space="preserve"> </w:t>
      </w:r>
      <w:r w:rsidRPr="00940986">
        <w:t>obratu</w:t>
      </w:r>
      <w:r>
        <w:t xml:space="preserve"> </w:t>
      </w:r>
      <w:r w:rsidRPr="00940986">
        <w:t>přidružené</w:t>
      </w:r>
      <w:r>
        <w:t xml:space="preserve"> </w:t>
      </w:r>
      <w:r w:rsidRPr="00940986">
        <w:t>osoby</w:t>
      </w:r>
      <w:r>
        <w:t xml:space="preserve"> </w:t>
      </w:r>
      <w:r w:rsidRPr="00940986">
        <w:t>ze</w:t>
      </w:r>
      <w:r>
        <w:t xml:space="preserve"> </w:t>
      </w:r>
      <w:r w:rsidRPr="00940986">
        <w:t>všech</w:t>
      </w:r>
      <w:r>
        <w:t xml:space="preserve"> </w:t>
      </w:r>
      <w:r w:rsidRPr="00940986">
        <w:t>stavebních</w:t>
      </w:r>
      <w:r>
        <w:t xml:space="preserve"> </w:t>
      </w:r>
      <w:r w:rsidRPr="00940986">
        <w:t>prací,</w:t>
      </w:r>
      <w:r>
        <w:t xml:space="preserve"> </w:t>
      </w:r>
      <w:r w:rsidRPr="00940986">
        <w:t>které</w:t>
      </w:r>
      <w:r>
        <w:t xml:space="preserve"> </w:t>
      </w:r>
      <w:r w:rsidRPr="00940986">
        <w:t>tato</w:t>
      </w:r>
      <w:r>
        <w:t xml:space="preserve"> </w:t>
      </w:r>
      <w:r w:rsidRPr="00940986">
        <w:t>osoba</w:t>
      </w:r>
      <w:r>
        <w:t xml:space="preserve"> </w:t>
      </w:r>
      <w:r w:rsidRPr="00940986">
        <w:t>poskytovala</w:t>
      </w:r>
      <w:r>
        <w:t xml:space="preserve"> </w:t>
      </w:r>
      <w:r w:rsidRPr="00940986">
        <w:t>v</w:t>
      </w:r>
      <w:r>
        <w:t xml:space="preserve"> </w:t>
      </w:r>
      <w:r w:rsidRPr="00940986">
        <w:t>předchozích</w:t>
      </w:r>
      <w:r>
        <w:t xml:space="preserve"> </w:t>
      </w:r>
      <w:r w:rsidRPr="00940986">
        <w:t>3</w:t>
      </w:r>
      <w:r>
        <w:t xml:space="preserve"> </w:t>
      </w:r>
      <w:r w:rsidRPr="00940986">
        <w:t>letech,</w:t>
      </w:r>
      <w:r>
        <w:t xml:space="preserve"> </w:t>
      </w:r>
      <w:r w:rsidRPr="00940986">
        <w:t>bylo</w:t>
      </w:r>
      <w:r>
        <w:t xml:space="preserve"> </w:t>
      </w:r>
      <w:r w:rsidRPr="00940986">
        <w:t>dosaženo</w:t>
      </w:r>
      <w:r>
        <w:t xml:space="preserve"> </w:t>
      </w:r>
      <w:r w:rsidRPr="00940986">
        <w:t>ve</w:t>
      </w:r>
      <w:r>
        <w:t xml:space="preserve"> </w:t>
      </w:r>
      <w:r w:rsidRPr="00940986">
        <w:t>vztahu</w:t>
      </w:r>
      <w:r>
        <w:t xml:space="preserve"> </w:t>
      </w:r>
      <w:r w:rsidRPr="00940986">
        <w:t>k</w:t>
      </w:r>
      <w:r>
        <w:t xml:space="preserve"> </w:t>
      </w:r>
      <w:r w:rsidRPr="00940986">
        <w:t>zadavateli</w:t>
      </w:r>
      <w:r>
        <w:t xml:space="preserve"> </w:t>
      </w:r>
      <w:r w:rsidRPr="00940986">
        <w:t>nebo</w:t>
      </w:r>
      <w:r>
        <w:t xml:space="preserve"> </w:t>
      </w:r>
      <w:r w:rsidRPr="00940986">
        <w:t>osobám,</w:t>
      </w:r>
      <w:r>
        <w:t xml:space="preserve"> </w:t>
      </w:r>
      <w:r w:rsidRPr="00940986">
        <w:t>k</w:t>
      </w:r>
      <w:r>
        <w:t xml:space="preserve"> </w:t>
      </w:r>
      <w:r w:rsidRPr="00940986">
        <w:t>nimž</w:t>
      </w:r>
      <w:r>
        <w:t xml:space="preserve"> </w:t>
      </w:r>
      <w:r w:rsidRPr="00940986">
        <w:t>je</w:t>
      </w:r>
      <w:r>
        <w:t xml:space="preserve"> </w:t>
      </w:r>
      <w:r w:rsidRPr="00940986">
        <w:t>zadavatel</w:t>
      </w:r>
      <w:r>
        <w:t xml:space="preserve"> </w:t>
      </w:r>
      <w:r w:rsidRPr="00940986">
        <w:t>přidruženou</w:t>
      </w:r>
      <w:r>
        <w:t xml:space="preserve"> </w:t>
      </w:r>
      <w:r w:rsidRPr="00940986">
        <w:t>osobou.</w:t>
      </w:r>
    </w:p>
    <w:p w14:paraId="33CE1695" w14:textId="77777777" w:rsidR="00913BE1" w:rsidRPr="00940986" w:rsidRDefault="00913BE1" w:rsidP="005564E1">
      <w:pPr>
        <w:pStyle w:val="Textparagrafu"/>
        <w:numPr>
          <w:ilvl w:val="0"/>
          <w:numId w:val="27"/>
        </w:numPr>
        <w:tabs>
          <w:tab w:val="left" w:pos="392"/>
          <w:tab w:val="left" w:pos="840"/>
        </w:tabs>
        <w:spacing w:before="120" w:after="120"/>
        <w:ind w:firstLine="425"/>
      </w:pPr>
      <w:r w:rsidRPr="00940986">
        <w:lastRenderedPageBreak/>
        <w:t>(3)</w:t>
      </w:r>
      <w:r>
        <w:t xml:space="preserve"> </w:t>
      </w:r>
      <w:r w:rsidRPr="00940986">
        <w:t>Není-li</w:t>
      </w:r>
      <w:r>
        <w:t xml:space="preserve"> </w:t>
      </w:r>
      <w:r w:rsidRPr="00940986">
        <w:t>možné</w:t>
      </w:r>
      <w:r>
        <w:t xml:space="preserve"> </w:t>
      </w:r>
      <w:r w:rsidRPr="00940986">
        <w:t>stanovit</w:t>
      </w:r>
      <w:r>
        <w:t xml:space="preserve"> </w:t>
      </w:r>
      <w:r w:rsidRPr="00940986">
        <w:t>průměrný</w:t>
      </w:r>
      <w:r>
        <w:t xml:space="preserve"> </w:t>
      </w:r>
      <w:r w:rsidRPr="00940986">
        <w:t>obrat</w:t>
      </w:r>
      <w:r>
        <w:t xml:space="preserve"> </w:t>
      </w:r>
      <w:r w:rsidRPr="00940986">
        <w:t>za</w:t>
      </w:r>
      <w:r>
        <w:t xml:space="preserve"> </w:t>
      </w:r>
      <w:r w:rsidRPr="00940986">
        <w:t>předchozí</w:t>
      </w:r>
      <w:r>
        <w:t xml:space="preserve"> </w:t>
      </w:r>
      <w:r w:rsidRPr="00940986">
        <w:t>3</w:t>
      </w:r>
      <w:r>
        <w:t xml:space="preserve"> </w:t>
      </w:r>
      <w:r w:rsidRPr="00940986">
        <w:t>roky,</w:t>
      </w:r>
      <w:r>
        <w:t xml:space="preserve"> </w:t>
      </w:r>
      <w:r w:rsidRPr="00940986">
        <w:t>jelikož</w:t>
      </w:r>
      <w:r>
        <w:t xml:space="preserve"> </w:t>
      </w:r>
      <w:r w:rsidRPr="00940986">
        <w:t>přidružená</w:t>
      </w:r>
      <w:r>
        <w:t xml:space="preserve"> </w:t>
      </w:r>
      <w:r w:rsidRPr="00940986">
        <w:t>osoba</w:t>
      </w:r>
      <w:r>
        <w:t xml:space="preserve"> </w:t>
      </w:r>
      <w:r w:rsidRPr="00940986">
        <w:t>byla</w:t>
      </w:r>
      <w:r>
        <w:t xml:space="preserve"> </w:t>
      </w:r>
      <w:r w:rsidRPr="00940986">
        <w:t>založena</w:t>
      </w:r>
      <w:r>
        <w:t xml:space="preserve"> </w:t>
      </w:r>
      <w:r w:rsidRPr="00940986">
        <w:t>nebo</w:t>
      </w:r>
      <w:r>
        <w:t xml:space="preserve"> </w:t>
      </w:r>
      <w:r w:rsidRPr="00940986">
        <w:t>prokazatelně</w:t>
      </w:r>
      <w:r>
        <w:t xml:space="preserve"> </w:t>
      </w:r>
      <w:r w:rsidRPr="00940986">
        <w:t>zahájila</w:t>
      </w:r>
      <w:r>
        <w:t xml:space="preserve"> </w:t>
      </w:r>
      <w:r w:rsidRPr="00940986">
        <w:t>svou</w:t>
      </w:r>
      <w:r>
        <w:t xml:space="preserve"> </w:t>
      </w:r>
      <w:r w:rsidRPr="00940986">
        <w:t>činnosti</w:t>
      </w:r>
      <w:r>
        <w:t xml:space="preserve"> </w:t>
      </w:r>
      <w:r w:rsidRPr="00940986">
        <w:t>později,</w:t>
      </w:r>
      <w:r>
        <w:t xml:space="preserve"> </w:t>
      </w:r>
      <w:r w:rsidRPr="00940986">
        <w:t>postačí</w:t>
      </w:r>
      <w:r>
        <w:t xml:space="preserve"> </w:t>
      </w:r>
      <w:r w:rsidRPr="00940986">
        <w:t>prokázat,</w:t>
      </w:r>
      <w:r>
        <w:t xml:space="preserve"> </w:t>
      </w:r>
      <w:r w:rsidRPr="00940986">
        <w:t>zejména</w:t>
      </w:r>
      <w:r>
        <w:t xml:space="preserve"> </w:t>
      </w:r>
      <w:r w:rsidRPr="00940986">
        <w:t>prostřednictvím</w:t>
      </w:r>
      <w:r>
        <w:t xml:space="preserve"> </w:t>
      </w:r>
      <w:r w:rsidRPr="00940986">
        <w:t>plánů</w:t>
      </w:r>
      <w:r>
        <w:t xml:space="preserve"> </w:t>
      </w:r>
      <w:r w:rsidRPr="00940986">
        <w:t>činnosti,</w:t>
      </w:r>
      <w:r>
        <w:t xml:space="preserve"> </w:t>
      </w:r>
      <w:r w:rsidRPr="00940986">
        <w:t>že</w:t>
      </w:r>
      <w:r>
        <w:t xml:space="preserve"> </w:t>
      </w:r>
      <w:r w:rsidRPr="00940986">
        <w:t>dosažení</w:t>
      </w:r>
      <w:r>
        <w:t xml:space="preserve"> </w:t>
      </w:r>
      <w:r w:rsidRPr="00940986">
        <w:t>podmínek</w:t>
      </w:r>
      <w:r>
        <w:t xml:space="preserve"> </w:t>
      </w:r>
      <w:r w:rsidRPr="00940986">
        <w:t>podle</w:t>
      </w:r>
      <w:r>
        <w:t xml:space="preserve"> </w:t>
      </w:r>
      <w:r w:rsidRPr="00940986">
        <w:t>odstavce</w:t>
      </w:r>
      <w:r>
        <w:t xml:space="preserve"> </w:t>
      </w:r>
      <w:r w:rsidRPr="00940986">
        <w:t>2</w:t>
      </w:r>
      <w:r>
        <w:t xml:space="preserve"> </w:t>
      </w:r>
      <w:r w:rsidRPr="00940986">
        <w:t>je</w:t>
      </w:r>
      <w:r>
        <w:t xml:space="preserve"> </w:t>
      </w:r>
      <w:r w:rsidRPr="00940986">
        <w:t>věrohodné.</w:t>
      </w:r>
    </w:p>
    <w:p w14:paraId="04451A10" w14:textId="77777777" w:rsidR="00913BE1" w:rsidRDefault="00913BE1" w:rsidP="005564E1">
      <w:pPr>
        <w:pStyle w:val="Textparagrafu"/>
        <w:numPr>
          <w:ilvl w:val="0"/>
          <w:numId w:val="27"/>
        </w:numPr>
        <w:tabs>
          <w:tab w:val="left" w:pos="392"/>
          <w:tab w:val="left" w:pos="840"/>
        </w:tabs>
        <w:spacing w:before="120" w:after="120"/>
        <w:ind w:firstLine="425"/>
      </w:pPr>
      <w:r w:rsidRPr="00940986">
        <w:t>(4)</w:t>
      </w:r>
      <w:r>
        <w:t xml:space="preserve"> </w:t>
      </w:r>
      <w:r w:rsidRPr="00940986">
        <w:t>Pokud</w:t>
      </w:r>
      <w:r>
        <w:t xml:space="preserve"> </w:t>
      </w:r>
      <w:r w:rsidRPr="00940986">
        <w:t>jsou</w:t>
      </w:r>
      <w:r>
        <w:t xml:space="preserve"> </w:t>
      </w:r>
      <w:r w:rsidRPr="00940986">
        <w:t>zadavateli</w:t>
      </w:r>
      <w:r>
        <w:t xml:space="preserve"> </w:t>
      </w:r>
      <w:r w:rsidRPr="00940986">
        <w:t>poskytovány</w:t>
      </w:r>
      <w:r>
        <w:t xml:space="preserve"> </w:t>
      </w:r>
      <w:r w:rsidRPr="00940986">
        <w:t>stejné</w:t>
      </w:r>
      <w:r>
        <w:t xml:space="preserve"> </w:t>
      </w:r>
      <w:r w:rsidRPr="00940986">
        <w:t>nebo</w:t>
      </w:r>
      <w:r>
        <w:t xml:space="preserve"> </w:t>
      </w:r>
      <w:r w:rsidRPr="00940986">
        <w:t>podobné</w:t>
      </w:r>
      <w:r>
        <w:t xml:space="preserve"> </w:t>
      </w:r>
      <w:r w:rsidRPr="00940986">
        <w:t>dodávky,</w:t>
      </w:r>
      <w:r>
        <w:t xml:space="preserve"> </w:t>
      </w:r>
      <w:r w:rsidRPr="00940986">
        <w:t>služby</w:t>
      </w:r>
      <w:r>
        <w:t xml:space="preserve"> </w:t>
      </w:r>
      <w:r w:rsidRPr="00940986">
        <w:t>nebo</w:t>
      </w:r>
      <w:r>
        <w:t xml:space="preserve"> </w:t>
      </w:r>
      <w:r w:rsidRPr="00940986">
        <w:t>stavební</w:t>
      </w:r>
      <w:r>
        <w:t xml:space="preserve"> </w:t>
      </w:r>
      <w:r w:rsidRPr="00940986">
        <w:t>práce</w:t>
      </w:r>
      <w:r>
        <w:t xml:space="preserve"> </w:t>
      </w:r>
      <w:r w:rsidRPr="00940986">
        <w:t>více</w:t>
      </w:r>
      <w:r>
        <w:t xml:space="preserve"> </w:t>
      </w:r>
      <w:r w:rsidRPr="00940986">
        <w:t>než</w:t>
      </w:r>
      <w:r>
        <w:t xml:space="preserve"> </w:t>
      </w:r>
      <w:r w:rsidRPr="00940986">
        <w:t>jednou</w:t>
      </w:r>
      <w:r>
        <w:t xml:space="preserve"> </w:t>
      </w:r>
      <w:r w:rsidRPr="00940986">
        <w:t>přidruženou</w:t>
      </w:r>
      <w:r>
        <w:t xml:space="preserve"> </w:t>
      </w:r>
      <w:r w:rsidRPr="00940986">
        <w:t>osobou,</w:t>
      </w:r>
      <w:r>
        <w:t xml:space="preserve"> </w:t>
      </w:r>
      <w:r w:rsidRPr="00940986">
        <w:t>s</w:t>
      </w:r>
      <w:r>
        <w:t xml:space="preserve"> </w:t>
      </w:r>
      <w:r w:rsidRPr="00940986">
        <w:t>nimiž</w:t>
      </w:r>
      <w:r>
        <w:t xml:space="preserve"> </w:t>
      </w:r>
      <w:r w:rsidRPr="00940986">
        <w:t>tvoří</w:t>
      </w:r>
      <w:r>
        <w:t xml:space="preserve"> </w:t>
      </w:r>
      <w:r w:rsidRPr="00940986">
        <w:t>podnikatelské</w:t>
      </w:r>
      <w:r>
        <w:t xml:space="preserve"> </w:t>
      </w:r>
      <w:r w:rsidRPr="00940986">
        <w:t>seskupení,</w:t>
      </w:r>
      <w:r>
        <w:t xml:space="preserve"> </w:t>
      </w:r>
      <w:r w:rsidRPr="00940986">
        <w:t>vypočte</w:t>
      </w:r>
      <w:r>
        <w:t xml:space="preserve"> </w:t>
      </w:r>
      <w:r w:rsidRPr="00940986">
        <w:t>se</w:t>
      </w:r>
      <w:r>
        <w:t xml:space="preserve"> </w:t>
      </w:r>
      <w:r w:rsidRPr="00940986">
        <w:t>podíl</w:t>
      </w:r>
      <w:r>
        <w:t xml:space="preserve"> </w:t>
      </w:r>
      <w:r w:rsidRPr="00940986">
        <w:t>uvedený</w:t>
      </w:r>
      <w:r>
        <w:t xml:space="preserve"> </w:t>
      </w:r>
      <w:r w:rsidRPr="00940986">
        <w:t>v</w:t>
      </w:r>
      <w:r>
        <w:t xml:space="preserve"> </w:t>
      </w:r>
      <w:r w:rsidRPr="00940986">
        <w:t>odstavci</w:t>
      </w:r>
      <w:r>
        <w:t xml:space="preserve"> </w:t>
      </w:r>
      <w:r w:rsidRPr="00940986">
        <w:t>2</w:t>
      </w:r>
      <w:r>
        <w:t xml:space="preserve"> </w:t>
      </w:r>
      <w:r w:rsidRPr="00940986">
        <w:t>z</w:t>
      </w:r>
      <w:r>
        <w:t xml:space="preserve"> </w:t>
      </w:r>
      <w:r w:rsidRPr="00940986">
        <w:t>celkového</w:t>
      </w:r>
      <w:r>
        <w:t xml:space="preserve"> </w:t>
      </w:r>
      <w:r w:rsidRPr="00940986">
        <w:t>obratu</w:t>
      </w:r>
      <w:r>
        <w:t xml:space="preserve"> </w:t>
      </w:r>
      <w:r w:rsidRPr="00940986">
        <w:t>za</w:t>
      </w:r>
      <w:r>
        <w:t xml:space="preserve"> </w:t>
      </w:r>
      <w:r w:rsidRPr="00940986">
        <w:t>dodávky,</w:t>
      </w:r>
      <w:r>
        <w:t xml:space="preserve"> </w:t>
      </w:r>
      <w:r w:rsidRPr="00940986">
        <w:t>celkového</w:t>
      </w:r>
      <w:r>
        <w:t xml:space="preserve"> </w:t>
      </w:r>
      <w:r w:rsidRPr="00940986">
        <w:t>obratu</w:t>
      </w:r>
      <w:r>
        <w:t xml:space="preserve"> </w:t>
      </w:r>
      <w:r w:rsidRPr="00940986">
        <w:t>za</w:t>
      </w:r>
      <w:r>
        <w:t xml:space="preserve"> </w:t>
      </w:r>
      <w:r w:rsidRPr="00940986">
        <w:t>služby</w:t>
      </w:r>
      <w:r>
        <w:t xml:space="preserve"> </w:t>
      </w:r>
      <w:r w:rsidRPr="00940986">
        <w:t>nebo</w:t>
      </w:r>
      <w:r>
        <w:t xml:space="preserve"> </w:t>
      </w:r>
      <w:r w:rsidRPr="00940986">
        <w:t>celkového</w:t>
      </w:r>
      <w:r>
        <w:t xml:space="preserve"> </w:t>
      </w:r>
      <w:r w:rsidRPr="00940986">
        <w:t>obratu</w:t>
      </w:r>
      <w:r>
        <w:t xml:space="preserve"> </w:t>
      </w:r>
      <w:r w:rsidRPr="00940986">
        <w:t>za</w:t>
      </w:r>
      <w:r>
        <w:t xml:space="preserve"> </w:t>
      </w:r>
      <w:r w:rsidRPr="00940986">
        <w:t>stavební</w:t>
      </w:r>
      <w:r>
        <w:t xml:space="preserve"> </w:t>
      </w:r>
      <w:r w:rsidRPr="00940986">
        <w:t>práce</w:t>
      </w:r>
      <w:r>
        <w:t xml:space="preserve"> </w:t>
      </w:r>
      <w:r w:rsidRPr="00940986">
        <w:t>dosaženého</w:t>
      </w:r>
      <w:r>
        <w:t xml:space="preserve"> </w:t>
      </w:r>
      <w:r w:rsidRPr="00940986">
        <w:t>těmito</w:t>
      </w:r>
      <w:r>
        <w:t xml:space="preserve"> </w:t>
      </w:r>
      <w:r w:rsidRPr="00940986">
        <w:t>přidruženými</w:t>
      </w:r>
      <w:r>
        <w:t xml:space="preserve"> </w:t>
      </w:r>
      <w:r w:rsidRPr="00940986">
        <w:t>osobami.</w:t>
      </w:r>
    </w:p>
    <w:p w14:paraId="4DFF01DB" w14:textId="77777777" w:rsidR="00C62C41" w:rsidRDefault="00C62C41" w:rsidP="00C62C41">
      <w:pPr>
        <w:tabs>
          <w:tab w:val="left" w:pos="851"/>
        </w:tabs>
        <w:spacing w:before="120" w:after="120"/>
        <w:ind w:firstLine="0"/>
        <w:outlineLvl w:val="0"/>
      </w:pPr>
    </w:p>
    <w:p w14:paraId="4AF71A9B" w14:textId="77777777" w:rsidR="00C62C41" w:rsidRDefault="00C62C41" w:rsidP="00C62C41">
      <w:pPr>
        <w:tabs>
          <w:tab w:val="left" w:pos="851"/>
        </w:tabs>
        <w:spacing w:before="120" w:after="120"/>
        <w:ind w:firstLine="0"/>
        <w:outlineLvl w:val="0"/>
        <w:sectPr w:rsidR="00C62C41" w:rsidSect="00554E2B">
          <w:footnotePr>
            <w:numStart w:val="3"/>
          </w:footnotePr>
          <w:endnotePr>
            <w:numFmt w:val="decimal"/>
          </w:endnotePr>
          <w:pgSz w:w="11906" w:h="16838"/>
          <w:pgMar w:top="1418" w:right="1418" w:bottom="1418" w:left="1418" w:header="709" w:footer="709" w:gutter="0"/>
          <w:cols w:space="708"/>
          <w:docGrid w:linePitch="360"/>
        </w:sectPr>
      </w:pPr>
    </w:p>
    <w:p w14:paraId="04C4834E" w14:textId="0EBB7DC4" w:rsidR="00C62C41" w:rsidRPr="00635DDD" w:rsidRDefault="00C62C41" w:rsidP="005564E1">
      <w:pPr>
        <w:tabs>
          <w:tab w:val="left" w:pos="851"/>
        </w:tabs>
        <w:spacing w:before="120" w:after="120"/>
        <w:ind w:firstLine="0"/>
        <w:jc w:val="center"/>
        <w:outlineLvl w:val="0"/>
        <w:rPr>
          <w:szCs w:val="24"/>
        </w:rPr>
      </w:pPr>
      <w:r w:rsidRPr="00635DDD">
        <w:rPr>
          <w:b/>
          <w:szCs w:val="24"/>
        </w:rPr>
        <w:lastRenderedPageBreak/>
        <w:t>K části sté</w:t>
      </w:r>
      <w:r w:rsidR="00635DDD" w:rsidRPr="00635DDD">
        <w:rPr>
          <w:b/>
          <w:szCs w:val="24"/>
        </w:rPr>
        <w:t xml:space="preserve"> devatenácté</w:t>
      </w:r>
      <w:r w:rsidRPr="00635DDD">
        <w:rPr>
          <w:b/>
          <w:szCs w:val="24"/>
        </w:rPr>
        <w:t xml:space="preserve"> návrhu zákona – </w:t>
      </w:r>
      <w:r w:rsidRPr="00635DDD">
        <w:rPr>
          <w:szCs w:val="24"/>
        </w:rPr>
        <w:t>změna zákona</w:t>
      </w:r>
      <w:r w:rsidRPr="00635DDD">
        <w:t xml:space="preserve"> </w:t>
      </w:r>
      <w:r w:rsidRPr="00635DDD">
        <w:rPr>
          <w:szCs w:val="24"/>
        </w:rPr>
        <w:t>o hazardních hrách</w:t>
      </w:r>
    </w:p>
    <w:p w14:paraId="01EDF665" w14:textId="77777777" w:rsidR="00C62C41" w:rsidRPr="00635DDD" w:rsidRDefault="00C62C41" w:rsidP="00C62C41">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635DDD">
        <w:rPr>
          <w:b/>
          <w:szCs w:val="24"/>
        </w:rPr>
        <w:t>Platné znění</w:t>
      </w:r>
      <w:r w:rsidRPr="00635DDD">
        <w:rPr>
          <w:szCs w:val="24"/>
        </w:rPr>
        <w:t xml:space="preserve"> zákona č. 186/2016 Sb., o hazardních hrách</w:t>
      </w:r>
    </w:p>
    <w:p w14:paraId="79693DE9" w14:textId="77777777" w:rsidR="005564E1" w:rsidRPr="005564E1" w:rsidRDefault="005564E1" w:rsidP="005564E1">
      <w:pPr>
        <w:pStyle w:val="Odstavecseseznamem"/>
        <w:numPr>
          <w:ilvl w:val="0"/>
          <w:numId w:val="27"/>
        </w:numPr>
        <w:pBdr>
          <w:top w:val="single" w:sz="12" w:space="6" w:color="auto"/>
          <w:left w:val="single" w:sz="12" w:space="0" w:color="auto"/>
          <w:bottom w:val="single" w:sz="12" w:space="6" w:color="auto"/>
          <w:right w:val="single" w:sz="12" w:space="0" w:color="auto"/>
        </w:pBdr>
        <w:spacing w:after="120"/>
        <w:jc w:val="center"/>
        <w:rPr>
          <w:b/>
          <w:szCs w:val="24"/>
          <w:lang w:eastAsia="en-US"/>
        </w:rPr>
      </w:pPr>
      <w:r w:rsidRPr="005564E1">
        <w:rPr>
          <w:b/>
          <w:szCs w:val="24"/>
          <w:lang w:eastAsia="en-US"/>
        </w:rPr>
        <w:t>s vyznačením navrhovaných změn a doplnění k 1. lednu 2025</w:t>
      </w:r>
      <w:r w:rsidRPr="00181A4A">
        <w:t xml:space="preserve"> </w:t>
      </w:r>
    </w:p>
    <w:p w14:paraId="029F3CB5" w14:textId="77777777" w:rsidR="00C62C41" w:rsidRPr="00635DDD" w:rsidRDefault="00C62C41" w:rsidP="00C62C41">
      <w:pPr>
        <w:pStyle w:val="Textparagrafu"/>
        <w:numPr>
          <w:ilvl w:val="0"/>
          <w:numId w:val="27"/>
        </w:numPr>
        <w:tabs>
          <w:tab w:val="left" w:pos="392"/>
          <w:tab w:val="left" w:pos="840"/>
        </w:tabs>
        <w:spacing w:after="120"/>
        <w:jc w:val="center"/>
      </w:pPr>
      <w:r w:rsidRPr="00635DDD">
        <w:t>***</w:t>
      </w:r>
    </w:p>
    <w:p w14:paraId="01714BE5" w14:textId="77777777" w:rsidR="00635DDD" w:rsidRDefault="00635DDD" w:rsidP="00992796">
      <w:pPr>
        <w:pStyle w:val="Paragraf"/>
        <w:numPr>
          <w:ilvl w:val="0"/>
          <w:numId w:val="68"/>
        </w:numPr>
        <w:spacing w:after="120"/>
      </w:pPr>
      <w:r w:rsidRPr="00063887">
        <w:t>§</w:t>
      </w:r>
      <w:r>
        <w:t xml:space="preserve"> </w:t>
      </w:r>
      <w:r w:rsidRPr="00063887">
        <w:t>4</w:t>
      </w:r>
    </w:p>
    <w:p w14:paraId="72793966" w14:textId="77777777" w:rsidR="00635DDD" w:rsidRDefault="00635DDD" w:rsidP="00635DDD">
      <w:pPr>
        <w:pStyle w:val="Nadpisparagrafu"/>
        <w:spacing w:after="120"/>
      </w:pPr>
      <w:r>
        <w:t>Vymezení některých pojmů</w:t>
      </w:r>
    </w:p>
    <w:p w14:paraId="2F9BFA83" w14:textId="77777777" w:rsidR="00635DDD" w:rsidRDefault="00635DDD" w:rsidP="00635DDD">
      <w:pPr>
        <w:pStyle w:val="Textparagrafu"/>
        <w:spacing w:after="120"/>
      </w:pPr>
      <w:r w:rsidRPr="00063887">
        <w:t>Pro</w:t>
      </w:r>
      <w:r>
        <w:t xml:space="preserve"> </w:t>
      </w:r>
      <w:r w:rsidRPr="00063887">
        <w:t>účely</w:t>
      </w:r>
      <w:r>
        <w:t xml:space="preserve"> </w:t>
      </w:r>
      <w:r w:rsidRPr="00063887">
        <w:t>právní</w:t>
      </w:r>
      <w:r>
        <w:t xml:space="preserve"> </w:t>
      </w:r>
      <w:r w:rsidRPr="00063887">
        <w:t>úpravy</w:t>
      </w:r>
      <w:r>
        <w:t xml:space="preserve"> </w:t>
      </w:r>
      <w:r w:rsidRPr="00063887">
        <w:t>hazardních</w:t>
      </w:r>
      <w:r>
        <w:t xml:space="preserve"> </w:t>
      </w:r>
      <w:r w:rsidRPr="00063887">
        <w:t>her</w:t>
      </w:r>
      <w:r>
        <w:t xml:space="preserve"> </w:t>
      </w:r>
      <w:r w:rsidRPr="00063887">
        <w:t>se</w:t>
      </w:r>
      <w:r>
        <w:t xml:space="preserve"> </w:t>
      </w:r>
      <w:r w:rsidRPr="00063887">
        <w:t>rozumí</w:t>
      </w:r>
    </w:p>
    <w:p w14:paraId="0DE64DBB" w14:textId="77777777" w:rsidR="00635DDD" w:rsidRDefault="00635DDD" w:rsidP="00635DDD">
      <w:pPr>
        <w:pStyle w:val="PZTextpsmene"/>
        <w:spacing w:before="0"/>
      </w:pPr>
      <w:r w:rsidRPr="00063887">
        <w:t>a</w:t>
      </w:r>
      <w:r>
        <w:t>)</w:t>
      </w:r>
      <w:r>
        <w:tab/>
      </w:r>
      <w:r w:rsidRPr="00063887">
        <w:t>účastníkem</w:t>
      </w:r>
      <w:r>
        <w:t xml:space="preserve"> </w:t>
      </w:r>
      <w:r w:rsidRPr="00063887">
        <w:t>hazardní</w:t>
      </w:r>
      <w:r>
        <w:t xml:space="preserve"> </w:t>
      </w:r>
      <w:r w:rsidRPr="00063887">
        <w:t>hry</w:t>
      </w:r>
      <w:r>
        <w:t xml:space="preserve"> </w:t>
      </w:r>
      <w:r w:rsidRPr="00063887">
        <w:t>fyzická</w:t>
      </w:r>
      <w:r>
        <w:t xml:space="preserve"> </w:t>
      </w:r>
      <w:r w:rsidRPr="00063887">
        <w:t>osoba,</w:t>
      </w:r>
      <w:r>
        <w:t xml:space="preserve"> </w:t>
      </w:r>
      <w:r w:rsidRPr="00063887">
        <w:t>která</w:t>
      </w:r>
      <w:r>
        <w:t xml:space="preserve"> </w:t>
      </w:r>
      <w:r w:rsidRPr="00063887">
        <w:t>se</w:t>
      </w:r>
      <w:r>
        <w:t xml:space="preserve"> </w:t>
      </w:r>
      <w:r w:rsidRPr="00063887">
        <w:t>k</w:t>
      </w:r>
      <w:r>
        <w:t xml:space="preserve"> </w:t>
      </w:r>
      <w:r w:rsidRPr="00063887">
        <w:t>účasti</w:t>
      </w:r>
      <w:r>
        <w:t xml:space="preserve"> </w:t>
      </w:r>
      <w:r w:rsidRPr="00063887">
        <w:t>na</w:t>
      </w:r>
      <w:r>
        <w:t xml:space="preserve"> </w:t>
      </w:r>
      <w:r w:rsidRPr="00063887">
        <w:t>hazardní</w:t>
      </w:r>
      <w:r>
        <w:t xml:space="preserve"> </w:t>
      </w:r>
      <w:r w:rsidRPr="00063887">
        <w:t>hře</w:t>
      </w:r>
      <w:r>
        <w:t xml:space="preserve"> </w:t>
      </w:r>
      <w:r w:rsidRPr="00063887">
        <w:t>provozované</w:t>
      </w:r>
      <w:r>
        <w:t xml:space="preserve"> </w:t>
      </w:r>
      <w:r w:rsidRPr="00063887">
        <w:t>na</w:t>
      </w:r>
      <w:r>
        <w:t xml:space="preserve"> </w:t>
      </w:r>
      <w:r w:rsidRPr="00063887">
        <w:t>území</w:t>
      </w:r>
      <w:r>
        <w:t xml:space="preserve"> </w:t>
      </w:r>
      <w:r w:rsidRPr="00063887">
        <w:t>České</w:t>
      </w:r>
      <w:r>
        <w:t xml:space="preserve"> </w:t>
      </w:r>
      <w:r w:rsidRPr="00063887">
        <w:t>republiky</w:t>
      </w:r>
      <w:r>
        <w:t xml:space="preserve"> </w:t>
      </w:r>
      <w:r w:rsidRPr="00063887">
        <w:t>registrovala</w:t>
      </w:r>
      <w:r>
        <w:t xml:space="preserve"> </w:t>
      </w:r>
      <w:r w:rsidRPr="00063887">
        <w:t>nebo</w:t>
      </w:r>
      <w:r>
        <w:t xml:space="preserve"> </w:t>
      </w:r>
      <w:r w:rsidRPr="00063887">
        <w:t>zaplatila</w:t>
      </w:r>
      <w:r>
        <w:t xml:space="preserve"> </w:t>
      </w:r>
      <w:r w:rsidRPr="00063887">
        <w:t>vklad,</w:t>
      </w:r>
    </w:p>
    <w:p w14:paraId="5740C61D" w14:textId="77777777" w:rsidR="00635DDD" w:rsidRDefault="00635DDD" w:rsidP="00635DDD">
      <w:pPr>
        <w:pStyle w:val="PZTextpsmene"/>
        <w:spacing w:before="0"/>
      </w:pPr>
      <w:r w:rsidRPr="00063887">
        <w:t>b</w:t>
      </w:r>
      <w:r>
        <w:t>)</w:t>
      </w:r>
      <w:r>
        <w:tab/>
      </w:r>
      <w:r w:rsidRPr="00063887">
        <w:t>sázejícím</w:t>
      </w:r>
      <w:r>
        <w:t xml:space="preserve"> </w:t>
      </w:r>
      <w:r w:rsidRPr="00063887">
        <w:t>účastník</w:t>
      </w:r>
      <w:r>
        <w:t xml:space="preserve"> </w:t>
      </w:r>
      <w:r w:rsidRPr="00063887">
        <w:t>hazardní</w:t>
      </w:r>
      <w:r>
        <w:t xml:space="preserve"> </w:t>
      </w:r>
      <w:r w:rsidRPr="00063887">
        <w:t>hry,</w:t>
      </w:r>
      <w:r>
        <w:t xml:space="preserve"> </w:t>
      </w:r>
      <w:r w:rsidRPr="00063887">
        <w:t>který</w:t>
      </w:r>
      <w:r>
        <w:t xml:space="preserve"> </w:t>
      </w:r>
      <w:r w:rsidRPr="00063887">
        <w:t>zaplatil</w:t>
      </w:r>
      <w:r>
        <w:t xml:space="preserve"> </w:t>
      </w:r>
      <w:r w:rsidRPr="00063887">
        <w:t>sázku,</w:t>
      </w:r>
    </w:p>
    <w:p w14:paraId="6AFD35CD" w14:textId="77777777" w:rsidR="00635DDD" w:rsidRDefault="00635DDD" w:rsidP="00635DDD">
      <w:pPr>
        <w:pStyle w:val="PZTextpsmene"/>
        <w:spacing w:before="0"/>
      </w:pPr>
      <w:r w:rsidRPr="00063887">
        <w:t>c</w:t>
      </w:r>
      <w:r>
        <w:t>)</w:t>
      </w:r>
      <w:r>
        <w:tab/>
      </w:r>
      <w:r w:rsidRPr="00063887">
        <w:t>vkladem</w:t>
      </w:r>
      <w:r>
        <w:t xml:space="preserve"> </w:t>
      </w:r>
      <w:r w:rsidRPr="00063887">
        <w:t>jakékoliv</w:t>
      </w:r>
      <w:r>
        <w:t xml:space="preserve"> </w:t>
      </w:r>
      <w:r w:rsidRPr="00063887">
        <w:t>plnění</w:t>
      </w:r>
      <w:r>
        <w:t xml:space="preserve"> </w:t>
      </w:r>
      <w:r w:rsidRPr="00063887">
        <w:t>opravňující</w:t>
      </w:r>
      <w:r>
        <w:t xml:space="preserve"> </w:t>
      </w:r>
      <w:r w:rsidRPr="00063887">
        <w:t>k</w:t>
      </w:r>
      <w:r>
        <w:t xml:space="preserve"> </w:t>
      </w:r>
      <w:r w:rsidRPr="00063887">
        <w:t>účasti</w:t>
      </w:r>
      <w:r>
        <w:t xml:space="preserve"> </w:t>
      </w:r>
      <w:r w:rsidRPr="00063887">
        <w:t>na</w:t>
      </w:r>
      <w:r>
        <w:t xml:space="preserve"> </w:t>
      </w:r>
      <w:r w:rsidRPr="00063887">
        <w:t>hazardní</w:t>
      </w:r>
      <w:r>
        <w:t xml:space="preserve"> </w:t>
      </w:r>
      <w:r w:rsidRPr="00063887">
        <w:t>hře,</w:t>
      </w:r>
      <w:r>
        <w:t xml:space="preserve"> </w:t>
      </w:r>
      <w:r w:rsidRPr="00063887">
        <w:t>které</w:t>
      </w:r>
      <w:r>
        <w:t xml:space="preserve"> </w:t>
      </w:r>
      <w:r w:rsidRPr="00063887">
        <w:t>představuje</w:t>
      </w:r>
      <w:r>
        <w:t xml:space="preserve"> </w:t>
      </w:r>
      <w:r w:rsidRPr="00063887">
        <w:t>zejména</w:t>
      </w:r>
    </w:p>
    <w:p w14:paraId="0F05EF90" w14:textId="77777777" w:rsidR="00635DDD" w:rsidRDefault="00635DDD" w:rsidP="00635DDD">
      <w:pPr>
        <w:pStyle w:val="PZTextbodu"/>
        <w:spacing w:before="0"/>
      </w:pPr>
      <w:r w:rsidRPr="00063887">
        <w:t>1</w:t>
      </w:r>
      <w:r>
        <w:t>.</w:t>
      </w:r>
      <w:r>
        <w:tab/>
      </w:r>
      <w:r w:rsidRPr="00063887">
        <w:t>jedna</w:t>
      </w:r>
      <w:r>
        <w:t xml:space="preserve"> </w:t>
      </w:r>
      <w:r w:rsidRPr="00063887">
        <w:t>nebo</w:t>
      </w:r>
      <w:r>
        <w:t xml:space="preserve"> </w:t>
      </w:r>
      <w:r w:rsidRPr="00063887">
        <w:t>více</w:t>
      </w:r>
      <w:r>
        <w:t xml:space="preserve"> </w:t>
      </w:r>
      <w:r w:rsidRPr="00063887">
        <w:t>sázek,</w:t>
      </w:r>
      <w:r>
        <w:t xml:space="preserve"> </w:t>
      </w:r>
      <w:r w:rsidRPr="00063887">
        <w:t>nebo</w:t>
      </w:r>
    </w:p>
    <w:p w14:paraId="71C424FA" w14:textId="77777777" w:rsidR="00635DDD" w:rsidRDefault="00635DDD" w:rsidP="00635DDD">
      <w:pPr>
        <w:pStyle w:val="PZTextbodu"/>
        <w:spacing w:before="0"/>
      </w:pPr>
      <w:r w:rsidRPr="00063887">
        <w:t>2</w:t>
      </w:r>
      <w:r>
        <w:t>.</w:t>
      </w:r>
      <w:r>
        <w:tab/>
      </w:r>
      <w:r w:rsidRPr="00063887">
        <w:t>další</w:t>
      </w:r>
      <w:r>
        <w:t xml:space="preserve"> </w:t>
      </w:r>
      <w:r w:rsidRPr="00063887">
        <w:t>plnění</w:t>
      </w:r>
      <w:r>
        <w:t xml:space="preserve"> </w:t>
      </w:r>
      <w:r w:rsidRPr="00063887">
        <w:t>stanovená</w:t>
      </w:r>
      <w:r>
        <w:t xml:space="preserve"> </w:t>
      </w:r>
      <w:r w:rsidRPr="00063887">
        <w:t>provozovatelem,</w:t>
      </w:r>
      <w:r>
        <w:t xml:space="preserve"> </w:t>
      </w:r>
      <w:r w:rsidRPr="00063887">
        <w:t>která</w:t>
      </w:r>
      <w:r>
        <w:t xml:space="preserve"> </w:t>
      </w:r>
      <w:r w:rsidRPr="00063887">
        <w:t>kromě</w:t>
      </w:r>
      <w:r>
        <w:t xml:space="preserve"> </w:t>
      </w:r>
      <w:r w:rsidRPr="00063887">
        <w:t>sázky</w:t>
      </w:r>
      <w:r>
        <w:t xml:space="preserve"> </w:t>
      </w:r>
      <w:r w:rsidRPr="00063887">
        <w:t>opravňují</w:t>
      </w:r>
      <w:r>
        <w:t xml:space="preserve"> </w:t>
      </w:r>
      <w:r w:rsidRPr="00063887">
        <w:t>účastníka</w:t>
      </w:r>
      <w:r>
        <w:t xml:space="preserve"> </w:t>
      </w:r>
      <w:r w:rsidRPr="00063887">
        <w:t>hazardní</w:t>
      </w:r>
      <w:r>
        <w:t xml:space="preserve"> </w:t>
      </w:r>
      <w:r w:rsidRPr="00063887">
        <w:t>hry</w:t>
      </w:r>
      <w:r>
        <w:t xml:space="preserve"> </w:t>
      </w:r>
      <w:r w:rsidRPr="00063887">
        <w:t>k</w:t>
      </w:r>
      <w:r>
        <w:t xml:space="preserve"> </w:t>
      </w:r>
      <w:r w:rsidRPr="00063887">
        <w:t>účasti</w:t>
      </w:r>
      <w:r>
        <w:t xml:space="preserve"> </w:t>
      </w:r>
      <w:r w:rsidRPr="00063887">
        <w:t>na</w:t>
      </w:r>
      <w:r>
        <w:t xml:space="preserve"> </w:t>
      </w:r>
      <w:r w:rsidRPr="00063887">
        <w:t>hazardní</w:t>
      </w:r>
      <w:r>
        <w:t xml:space="preserve"> </w:t>
      </w:r>
      <w:r w:rsidRPr="00063887">
        <w:t>hře,</w:t>
      </w:r>
    </w:p>
    <w:p w14:paraId="0CCB7778" w14:textId="77777777" w:rsidR="00635DDD" w:rsidRDefault="00635DDD" w:rsidP="00635DDD">
      <w:pPr>
        <w:pStyle w:val="PZTextpsmene"/>
        <w:spacing w:before="0"/>
      </w:pPr>
      <w:r w:rsidRPr="00063887">
        <w:t>d</w:t>
      </w:r>
      <w:r>
        <w:t>)</w:t>
      </w:r>
      <w:r>
        <w:tab/>
      </w:r>
      <w:r w:rsidRPr="00063887">
        <w:t>sázkou</w:t>
      </w:r>
      <w:r>
        <w:t xml:space="preserve"> </w:t>
      </w:r>
      <w:r w:rsidRPr="00063887">
        <w:t>sázejícím</w:t>
      </w:r>
      <w:r>
        <w:t xml:space="preserve"> </w:t>
      </w:r>
      <w:r w:rsidRPr="00063887">
        <w:t>dobrovolně</w:t>
      </w:r>
      <w:r>
        <w:t xml:space="preserve"> </w:t>
      </w:r>
      <w:r w:rsidRPr="00063887">
        <w:t>určené</w:t>
      </w:r>
      <w:r>
        <w:t xml:space="preserve"> </w:t>
      </w:r>
      <w:r w:rsidRPr="00063887">
        <w:t>nevratné</w:t>
      </w:r>
      <w:r>
        <w:t xml:space="preserve"> </w:t>
      </w:r>
      <w:r w:rsidRPr="00063887">
        <w:t>plnění,</w:t>
      </w:r>
      <w:r>
        <w:t xml:space="preserve"> </w:t>
      </w:r>
      <w:r w:rsidRPr="00063887">
        <w:t>které</w:t>
      </w:r>
      <w:r>
        <w:t xml:space="preserve"> </w:t>
      </w:r>
      <w:r w:rsidRPr="00063887">
        <w:t>bude</w:t>
      </w:r>
      <w:r>
        <w:t xml:space="preserve"> </w:t>
      </w:r>
      <w:r w:rsidRPr="00063887">
        <w:t>porovnáváno</w:t>
      </w:r>
      <w:r>
        <w:t xml:space="preserve"> </w:t>
      </w:r>
      <w:r w:rsidRPr="00063887">
        <w:t>s</w:t>
      </w:r>
      <w:r>
        <w:t xml:space="preserve"> </w:t>
      </w:r>
      <w:r w:rsidRPr="00063887">
        <w:t>výsledkem</w:t>
      </w:r>
      <w:r>
        <w:t xml:space="preserve"> </w:t>
      </w:r>
      <w:r w:rsidRPr="00063887">
        <w:t>hazardní</w:t>
      </w:r>
      <w:r>
        <w:t xml:space="preserve"> </w:t>
      </w:r>
      <w:r w:rsidRPr="00063887">
        <w:t>hry,</w:t>
      </w:r>
      <w:r>
        <w:t xml:space="preserve"> </w:t>
      </w:r>
      <w:r w:rsidRPr="00063887">
        <w:t>včetně</w:t>
      </w:r>
    </w:p>
    <w:p w14:paraId="74B2F8C1" w14:textId="77777777" w:rsidR="00635DDD" w:rsidRDefault="00635DDD" w:rsidP="00635DDD">
      <w:pPr>
        <w:pStyle w:val="PZTextbodu"/>
        <w:spacing w:before="0"/>
      </w:pPr>
      <w:r w:rsidRPr="00063887">
        <w:t>1</w:t>
      </w:r>
      <w:r>
        <w:t>.</w:t>
      </w:r>
      <w:r>
        <w:tab/>
      </w:r>
      <w:r w:rsidRPr="00063887">
        <w:t>rozdílu</w:t>
      </w:r>
      <w:r>
        <w:t xml:space="preserve"> </w:t>
      </w:r>
      <w:r w:rsidRPr="00063887">
        <w:t>mezi</w:t>
      </w:r>
      <w:r>
        <w:t xml:space="preserve"> </w:t>
      </w:r>
      <w:r w:rsidRPr="00063887">
        <w:t>nabízenou</w:t>
      </w:r>
      <w:r>
        <w:t xml:space="preserve"> </w:t>
      </w:r>
      <w:r w:rsidRPr="00063887">
        <w:t>cenou</w:t>
      </w:r>
      <w:r>
        <w:t xml:space="preserve"> </w:t>
      </w:r>
      <w:r w:rsidRPr="00063887">
        <w:t>zboží</w:t>
      </w:r>
      <w:r>
        <w:t xml:space="preserve"> </w:t>
      </w:r>
      <w:r w:rsidRPr="00063887">
        <w:t>nebo</w:t>
      </w:r>
      <w:r>
        <w:t xml:space="preserve"> </w:t>
      </w:r>
      <w:r w:rsidRPr="00063887">
        <w:t>služby</w:t>
      </w:r>
      <w:r>
        <w:t xml:space="preserve"> </w:t>
      </w:r>
      <w:r w:rsidRPr="00063887">
        <w:t>a</w:t>
      </w:r>
      <w:r>
        <w:t xml:space="preserve"> </w:t>
      </w:r>
      <w:r w:rsidRPr="00063887">
        <w:t>jejich</w:t>
      </w:r>
      <w:r>
        <w:t xml:space="preserve"> </w:t>
      </w:r>
      <w:r w:rsidRPr="00063887">
        <w:t>cenou</w:t>
      </w:r>
      <w:r>
        <w:t xml:space="preserve"> </w:t>
      </w:r>
      <w:r w:rsidRPr="00063887">
        <w:t>obvyklou,</w:t>
      </w:r>
      <w:r>
        <w:t xml:space="preserve"> </w:t>
      </w:r>
      <w:r w:rsidRPr="00063887">
        <w:t>nebo</w:t>
      </w:r>
    </w:p>
    <w:p w14:paraId="10FDECDE" w14:textId="77777777" w:rsidR="00635DDD" w:rsidRDefault="00635DDD" w:rsidP="00635DDD">
      <w:pPr>
        <w:pStyle w:val="PZTextbodu"/>
        <w:spacing w:before="0"/>
      </w:pPr>
      <w:r w:rsidRPr="00063887">
        <w:t>2</w:t>
      </w:r>
      <w:r>
        <w:t>.</w:t>
      </w:r>
      <w:r>
        <w:tab/>
      </w:r>
      <w:r w:rsidRPr="00063887">
        <w:t>částky</w:t>
      </w:r>
      <w:r>
        <w:t xml:space="preserve"> </w:t>
      </w:r>
      <w:r w:rsidRPr="00063887">
        <w:t>převyšující</w:t>
      </w:r>
      <w:r>
        <w:t xml:space="preserve"> </w:t>
      </w:r>
      <w:r w:rsidRPr="00063887">
        <w:t>cenu</w:t>
      </w:r>
      <w:r>
        <w:t xml:space="preserve"> </w:t>
      </w:r>
      <w:r w:rsidRPr="00063887">
        <w:t>za</w:t>
      </w:r>
      <w:r>
        <w:t xml:space="preserve"> </w:t>
      </w:r>
      <w:r w:rsidRPr="00063887">
        <w:t>volání</w:t>
      </w:r>
      <w:r>
        <w:t xml:space="preserve"> </w:t>
      </w:r>
      <w:r w:rsidRPr="00063887">
        <w:t>nebo</w:t>
      </w:r>
      <w:r>
        <w:t xml:space="preserve"> </w:t>
      </w:r>
      <w:r w:rsidRPr="00063887">
        <w:t>odeslání</w:t>
      </w:r>
      <w:r>
        <w:t xml:space="preserve"> </w:t>
      </w:r>
      <w:r w:rsidRPr="00063887">
        <w:t>textové</w:t>
      </w:r>
      <w:r>
        <w:t xml:space="preserve"> </w:t>
      </w:r>
      <w:r w:rsidRPr="00063887">
        <w:t>nebo</w:t>
      </w:r>
      <w:r>
        <w:t xml:space="preserve"> </w:t>
      </w:r>
      <w:r w:rsidRPr="00063887">
        <w:t>multimediální</w:t>
      </w:r>
      <w:r>
        <w:t xml:space="preserve"> </w:t>
      </w:r>
      <w:r w:rsidRPr="00063887">
        <w:t>zprávy</w:t>
      </w:r>
      <w:r>
        <w:t xml:space="preserve"> </w:t>
      </w:r>
      <w:r w:rsidRPr="00063887">
        <w:t>vyplývající</w:t>
      </w:r>
      <w:r>
        <w:t xml:space="preserve"> </w:t>
      </w:r>
      <w:r w:rsidRPr="00063887">
        <w:t>ze</w:t>
      </w:r>
      <w:r>
        <w:t xml:space="preserve"> </w:t>
      </w:r>
      <w:r w:rsidRPr="00063887">
        <w:t>smlouvy</w:t>
      </w:r>
      <w:r>
        <w:t xml:space="preserve"> </w:t>
      </w:r>
      <w:r w:rsidRPr="00063887">
        <w:t>mezi</w:t>
      </w:r>
      <w:r>
        <w:t xml:space="preserve"> </w:t>
      </w:r>
      <w:r w:rsidRPr="00063887">
        <w:t>účastníkem</w:t>
      </w:r>
      <w:r>
        <w:t xml:space="preserve"> </w:t>
      </w:r>
      <w:r w:rsidRPr="00063887">
        <w:t>hazardní</w:t>
      </w:r>
      <w:r>
        <w:t xml:space="preserve"> </w:t>
      </w:r>
      <w:r w:rsidRPr="00063887">
        <w:t>hry</w:t>
      </w:r>
      <w:r>
        <w:t xml:space="preserve"> </w:t>
      </w:r>
      <w:r w:rsidRPr="00063887">
        <w:t>a</w:t>
      </w:r>
      <w:r>
        <w:t xml:space="preserve"> </w:t>
      </w:r>
      <w:r w:rsidRPr="00063887">
        <w:t>poskytovatelem</w:t>
      </w:r>
      <w:r>
        <w:t xml:space="preserve"> </w:t>
      </w:r>
      <w:r w:rsidRPr="00063887">
        <w:t>služeb</w:t>
      </w:r>
      <w:r>
        <w:t xml:space="preserve"> </w:t>
      </w:r>
      <w:r w:rsidRPr="00063887">
        <w:t>elektronických</w:t>
      </w:r>
      <w:r>
        <w:t xml:space="preserve"> </w:t>
      </w:r>
      <w:r w:rsidRPr="00063887">
        <w:t>komunikací,</w:t>
      </w:r>
    </w:p>
    <w:p w14:paraId="7874B1B9" w14:textId="77777777" w:rsidR="00635DDD" w:rsidRDefault="00635DDD" w:rsidP="00635DDD">
      <w:pPr>
        <w:pStyle w:val="PZTextpsmene"/>
        <w:spacing w:before="0"/>
      </w:pPr>
      <w:r w:rsidRPr="00063887">
        <w:t>e</w:t>
      </w:r>
      <w:r>
        <w:t>)</w:t>
      </w:r>
      <w:r>
        <w:tab/>
      </w:r>
      <w:r w:rsidRPr="00063887">
        <w:t>doprovodným</w:t>
      </w:r>
      <w:r>
        <w:t xml:space="preserve"> </w:t>
      </w:r>
      <w:r w:rsidRPr="00063887">
        <w:t>plněním</w:t>
      </w:r>
      <w:r>
        <w:t xml:space="preserve"> </w:t>
      </w:r>
      <w:r w:rsidRPr="00063887">
        <w:t>vklad</w:t>
      </w:r>
      <w:r>
        <w:t xml:space="preserve"> </w:t>
      </w:r>
      <w:r w:rsidRPr="00063887">
        <w:t>nebo</w:t>
      </w:r>
      <w:r>
        <w:t xml:space="preserve"> </w:t>
      </w:r>
      <w:r w:rsidRPr="00063887">
        <w:t>jeho</w:t>
      </w:r>
      <w:r>
        <w:t xml:space="preserve"> </w:t>
      </w:r>
      <w:r w:rsidRPr="00063887">
        <w:t>část,</w:t>
      </w:r>
      <w:r>
        <w:t xml:space="preserve"> </w:t>
      </w:r>
      <w:r w:rsidRPr="00063887">
        <w:t>které</w:t>
      </w:r>
      <w:r>
        <w:t xml:space="preserve"> </w:t>
      </w:r>
      <w:r w:rsidRPr="00063887">
        <w:t>kromě</w:t>
      </w:r>
      <w:r>
        <w:t xml:space="preserve"> </w:t>
      </w:r>
      <w:r w:rsidRPr="00063887">
        <w:t>sázky</w:t>
      </w:r>
      <w:r>
        <w:t xml:space="preserve"> </w:t>
      </w:r>
      <w:r w:rsidRPr="00063887">
        <w:t>opravňují</w:t>
      </w:r>
      <w:r>
        <w:t xml:space="preserve"> </w:t>
      </w:r>
      <w:r w:rsidRPr="00063887">
        <w:t>k</w:t>
      </w:r>
      <w:r>
        <w:t xml:space="preserve"> </w:t>
      </w:r>
      <w:r w:rsidRPr="00063887">
        <w:t>účasti</w:t>
      </w:r>
      <w:r>
        <w:t xml:space="preserve"> </w:t>
      </w:r>
      <w:r w:rsidRPr="00063887">
        <w:t>na</w:t>
      </w:r>
      <w:r>
        <w:t xml:space="preserve"> </w:t>
      </w:r>
      <w:r w:rsidRPr="00063887">
        <w:t>konkrétní</w:t>
      </w:r>
      <w:r>
        <w:t xml:space="preserve"> </w:t>
      </w:r>
      <w:r w:rsidRPr="00063887">
        <w:t>hře</w:t>
      </w:r>
      <w:r>
        <w:t xml:space="preserve"> </w:t>
      </w:r>
      <w:r w:rsidRPr="00063887">
        <w:t>daného</w:t>
      </w:r>
      <w:r>
        <w:t xml:space="preserve"> </w:t>
      </w:r>
      <w:r w:rsidRPr="00063887">
        <w:t>druhu</w:t>
      </w:r>
      <w:r>
        <w:t xml:space="preserve"> </w:t>
      </w:r>
      <w:r w:rsidRPr="00063887">
        <w:t>hazardní</w:t>
      </w:r>
      <w:r>
        <w:t xml:space="preserve"> </w:t>
      </w:r>
      <w:r w:rsidRPr="00063887">
        <w:t>hry,</w:t>
      </w:r>
    </w:p>
    <w:p w14:paraId="2FD30570" w14:textId="77777777" w:rsidR="00635DDD" w:rsidRDefault="00635DDD" w:rsidP="00635DDD">
      <w:pPr>
        <w:pStyle w:val="PZTextpsmene"/>
        <w:spacing w:before="0"/>
      </w:pPr>
      <w:r w:rsidRPr="00063887">
        <w:t>f</w:t>
      </w:r>
      <w:r>
        <w:t>)</w:t>
      </w:r>
      <w:r>
        <w:tab/>
      </w:r>
      <w:r w:rsidRPr="00063887">
        <w:t>ostatním</w:t>
      </w:r>
      <w:r>
        <w:t xml:space="preserve"> </w:t>
      </w:r>
      <w:r w:rsidRPr="00063887">
        <w:t>plněním</w:t>
      </w:r>
      <w:r>
        <w:t xml:space="preserve"> </w:t>
      </w:r>
      <w:r w:rsidRPr="00063887">
        <w:t>vklad</w:t>
      </w:r>
      <w:r>
        <w:t xml:space="preserve"> </w:t>
      </w:r>
      <w:r w:rsidRPr="00063887">
        <w:t>nebo</w:t>
      </w:r>
      <w:r>
        <w:t xml:space="preserve"> </w:t>
      </w:r>
      <w:r w:rsidRPr="00063887">
        <w:t>jeho</w:t>
      </w:r>
      <w:r>
        <w:t xml:space="preserve"> </w:t>
      </w:r>
      <w:r w:rsidRPr="00063887">
        <w:t>část,</w:t>
      </w:r>
      <w:r>
        <w:t xml:space="preserve"> </w:t>
      </w:r>
      <w:r w:rsidRPr="00063887">
        <w:t>které</w:t>
      </w:r>
      <w:r>
        <w:t xml:space="preserve"> </w:t>
      </w:r>
      <w:r w:rsidRPr="00063887">
        <w:t>nejsou</w:t>
      </w:r>
      <w:r>
        <w:t xml:space="preserve"> </w:t>
      </w:r>
      <w:r w:rsidRPr="00063887">
        <w:t>sázkou</w:t>
      </w:r>
      <w:r>
        <w:t xml:space="preserve"> </w:t>
      </w:r>
      <w:r w:rsidRPr="00063887">
        <w:t>ani</w:t>
      </w:r>
      <w:r>
        <w:t xml:space="preserve"> </w:t>
      </w:r>
      <w:r w:rsidRPr="00063887">
        <w:t>doprovodným</w:t>
      </w:r>
      <w:r>
        <w:t xml:space="preserve"> </w:t>
      </w:r>
      <w:r w:rsidRPr="00063887">
        <w:t>plněním,</w:t>
      </w:r>
    </w:p>
    <w:p w14:paraId="4D845DA6" w14:textId="77777777" w:rsidR="00635DDD" w:rsidRDefault="00635DDD" w:rsidP="00635DDD">
      <w:pPr>
        <w:pStyle w:val="PZTextpsmene"/>
        <w:spacing w:before="0"/>
      </w:pPr>
      <w:r w:rsidRPr="00063887">
        <w:t>g</w:t>
      </w:r>
      <w:r>
        <w:t>)</w:t>
      </w:r>
      <w:r>
        <w:tab/>
      </w:r>
      <w:r w:rsidRPr="00063887">
        <w:t>cizím</w:t>
      </w:r>
      <w:r>
        <w:t xml:space="preserve"> </w:t>
      </w:r>
      <w:r w:rsidRPr="00063887">
        <w:t>účastníkem</w:t>
      </w:r>
      <w:r>
        <w:t xml:space="preserve"> </w:t>
      </w:r>
      <w:r w:rsidRPr="00063887">
        <w:t>hazardní</w:t>
      </w:r>
      <w:r>
        <w:t xml:space="preserve"> </w:t>
      </w:r>
      <w:r w:rsidRPr="00063887">
        <w:t>hry</w:t>
      </w:r>
      <w:r>
        <w:t xml:space="preserve"> </w:t>
      </w:r>
      <w:r w:rsidRPr="00063887">
        <w:t>fyzická</w:t>
      </w:r>
      <w:r>
        <w:t xml:space="preserve"> </w:t>
      </w:r>
      <w:r w:rsidRPr="00063887">
        <w:t>osoba</w:t>
      </w:r>
      <w:r>
        <w:t xml:space="preserve"> </w:t>
      </w:r>
      <w:r w:rsidRPr="00063887">
        <w:t>účastnící</w:t>
      </w:r>
      <w:r>
        <w:t xml:space="preserve"> </w:t>
      </w:r>
      <w:r w:rsidRPr="00063887">
        <w:t>se</w:t>
      </w:r>
      <w:r>
        <w:t xml:space="preserve"> </w:t>
      </w:r>
      <w:r w:rsidRPr="00063887">
        <w:t>internetové</w:t>
      </w:r>
      <w:r>
        <w:t xml:space="preserve"> </w:t>
      </w:r>
      <w:r w:rsidRPr="00063887">
        <w:t>hry</w:t>
      </w:r>
      <w:r>
        <w:t xml:space="preserve"> </w:t>
      </w:r>
      <w:r w:rsidRPr="00063887">
        <w:t>neprovozované</w:t>
      </w:r>
      <w:r>
        <w:t xml:space="preserve"> </w:t>
      </w:r>
      <w:r w:rsidRPr="00063887">
        <w:t>na</w:t>
      </w:r>
      <w:r>
        <w:t xml:space="preserve"> </w:t>
      </w:r>
      <w:r w:rsidRPr="00063887">
        <w:t>území</w:t>
      </w:r>
      <w:r>
        <w:t xml:space="preserve"> </w:t>
      </w:r>
      <w:r w:rsidRPr="00063887">
        <w:t>České</w:t>
      </w:r>
      <w:r>
        <w:t xml:space="preserve"> </w:t>
      </w:r>
      <w:r w:rsidRPr="00063887">
        <w:t>republiky,</w:t>
      </w:r>
      <w:r>
        <w:t xml:space="preserve"> </w:t>
      </w:r>
      <w:r w:rsidRPr="00063887">
        <w:t>pokud</w:t>
      </w:r>
      <w:r>
        <w:t xml:space="preserve"> </w:t>
      </w:r>
      <w:r w:rsidRPr="00063887">
        <w:t>hraje</w:t>
      </w:r>
      <w:r>
        <w:t xml:space="preserve"> </w:t>
      </w:r>
      <w:r w:rsidRPr="00063887">
        <w:t>proti</w:t>
      </w:r>
      <w:r>
        <w:t xml:space="preserve"> </w:t>
      </w:r>
      <w:r w:rsidRPr="00063887">
        <w:t>účastníkovi</w:t>
      </w:r>
      <w:r>
        <w:t xml:space="preserve"> </w:t>
      </w:r>
      <w:r w:rsidRPr="00063887">
        <w:t>hazardní</w:t>
      </w:r>
      <w:r>
        <w:t xml:space="preserve"> </w:t>
      </w:r>
      <w:r w:rsidRPr="00063887">
        <w:t>hry,</w:t>
      </w:r>
    </w:p>
    <w:p w14:paraId="6A09797A" w14:textId="77777777" w:rsidR="00635DDD" w:rsidRDefault="00635DDD" w:rsidP="00635DDD">
      <w:pPr>
        <w:pStyle w:val="PZTextpsmene"/>
        <w:spacing w:before="0"/>
      </w:pPr>
      <w:r w:rsidRPr="00063887">
        <w:t>h</w:t>
      </w:r>
      <w:r>
        <w:t>)</w:t>
      </w:r>
      <w:r>
        <w:tab/>
      </w:r>
      <w:r w:rsidRPr="00063887">
        <w:t>vyplacením</w:t>
      </w:r>
      <w:r>
        <w:t xml:space="preserve"> </w:t>
      </w:r>
      <w:r w:rsidRPr="00063887">
        <w:t>výhry</w:t>
      </w:r>
    </w:p>
    <w:p w14:paraId="088624CD" w14:textId="77777777" w:rsidR="00635DDD" w:rsidRDefault="00635DDD" w:rsidP="00635DDD">
      <w:pPr>
        <w:pStyle w:val="PZTextbodu"/>
        <w:spacing w:before="0"/>
      </w:pPr>
      <w:r w:rsidRPr="00063887">
        <w:t>1</w:t>
      </w:r>
      <w:r>
        <w:t>.</w:t>
      </w:r>
      <w:r>
        <w:tab/>
      </w:r>
      <w:r w:rsidRPr="00063887">
        <w:t>vyplacení</w:t>
      </w:r>
      <w:r>
        <w:t xml:space="preserve"> </w:t>
      </w:r>
      <w:r w:rsidRPr="00063887">
        <w:t>žetonů</w:t>
      </w:r>
      <w:r>
        <w:t xml:space="preserve"> </w:t>
      </w:r>
      <w:r w:rsidRPr="00063887">
        <w:t>účastníkovi</w:t>
      </w:r>
      <w:r>
        <w:t xml:space="preserve"> </w:t>
      </w:r>
      <w:r w:rsidRPr="00063887">
        <w:t>hazardní</w:t>
      </w:r>
      <w:r>
        <w:t xml:space="preserve"> </w:t>
      </w:r>
      <w:r w:rsidRPr="00063887">
        <w:t>hry</w:t>
      </w:r>
      <w:r>
        <w:t xml:space="preserve"> </w:t>
      </w:r>
      <w:r w:rsidRPr="00063887">
        <w:t>u</w:t>
      </w:r>
      <w:r>
        <w:t xml:space="preserve"> </w:t>
      </w:r>
      <w:r w:rsidRPr="00063887">
        <w:t>hracího</w:t>
      </w:r>
      <w:r>
        <w:t xml:space="preserve"> </w:t>
      </w:r>
      <w:r w:rsidRPr="00063887">
        <w:t>stolu</w:t>
      </w:r>
      <w:r>
        <w:t xml:space="preserve"> </w:t>
      </w:r>
      <w:r w:rsidRPr="00063887">
        <w:t>živé</w:t>
      </w:r>
      <w:r>
        <w:t xml:space="preserve"> </w:t>
      </w:r>
      <w:r w:rsidRPr="00063887">
        <w:t>hry</w:t>
      </w:r>
      <w:r>
        <w:t xml:space="preserve"> </w:t>
      </w:r>
      <w:r w:rsidRPr="00063887">
        <w:t>na</w:t>
      </w:r>
      <w:r>
        <w:t xml:space="preserve"> </w:t>
      </w:r>
      <w:r w:rsidRPr="00063887">
        <w:t>základě</w:t>
      </w:r>
      <w:r>
        <w:t xml:space="preserve"> </w:t>
      </w:r>
      <w:r w:rsidRPr="00063887">
        <w:t>vyhodnocení</w:t>
      </w:r>
      <w:r>
        <w:t xml:space="preserve"> </w:t>
      </w:r>
      <w:r w:rsidRPr="00063887">
        <w:t>hry</w:t>
      </w:r>
      <w:r>
        <w:t xml:space="preserve"> </w:t>
      </w:r>
      <w:r w:rsidRPr="00063887">
        <w:t>živé</w:t>
      </w:r>
      <w:r>
        <w:t xml:space="preserve"> </w:t>
      </w:r>
      <w:r w:rsidRPr="00063887">
        <w:t>hry</w:t>
      </w:r>
      <w:r>
        <w:t xml:space="preserve"> </w:t>
      </w:r>
      <w:r w:rsidRPr="00063887">
        <w:t>v</w:t>
      </w:r>
      <w:r>
        <w:t xml:space="preserve"> </w:t>
      </w:r>
      <w:r w:rsidRPr="00063887">
        <w:t>kasinu,</w:t>
      </w:r>
      <w:r>
        <w:t xml:space="preserve"> </w:t>
      </w:r>
      <w:r w:rsidRPr="00063887">
        <w:t>pokud</w:t>
      </w:r>
      <w:r>
        <w:t xml:space="preserve"> </w:t>
      </w:r>
      <w:r w:rsidRPr="00063887">
        <w:t>nejde</w:t>
      </w:r>
      <w:r>
        <w:t xml:space="preserve"> </w:t>
      </w:r>
      <w:r w:rsidRPr="00063887">
        <w:t>o</w:t>
      </w:r>
      <w:r>
        <w:t xml:space="preserve"> </w:t>
      </w:r>
      <w:r w:rsidRPr="00063887">
        <w:t>karetní</w:t>
      </w:r>
      <w:r>
        <w:t xml:space="preserve"> </w:t>
      </w:r>
      <w:r w:rsidRPr="00063887">
        <w:t>turnaj,</w:t>
      </w:r>
    </w:p>
    <w:p w14:paraId="1D3E7A08" w14:textId="77777777" w:rsidR="00635DDD" w:rsidRDefault="00635DDD" w:rsidP="00635DDD">
      <w:pPr>
        <w:pStyle w:val="PZTextbodu"/>
        <w:spacing w:before="0"/>
      </w:pPr>
      <w:r w:rsidRPr="00063887">
        <w:t>2</w:t>
      </w:r>
      <w:r>
        <w:t>.</w:t>
      </w:r>
      <w:r>
        <w:tab/>
      </w:r>
      <w:r w:rsidRPr="00063887">
        <w:t>zaevidování</w:t>
      </w:r>
      <w:r>
        <w:t xml:space="preserve"> </w:t>
      </w:r>
      <w:r w:rsidRPr="00063887">
        <w:t>peněžních</w:t>
      </w:r>
      <w:r>
        <w:t xml:space="preserve"> </w:t>
      </w:r>
      <w:r w:rsidRPr="00063887">
        <w:t>prostředků</w:t>
      </w:r>
      <w:r>
        <w:t xml:space="preserve"> </w:t>
      </w:r>
      <w:r w:rsidRPr="00063887">
        <w:t>na</w:t>
      </w:r>
      <w:r>
        <w:t xml:space="preserve"> </w:t>
      </w:r>
      <w:r w:rsidRPr="00063887">
        <w:t>uživatelské</w:t>
      </w:r>
      <w:r>
        <w:t xml:space="preserve"> </w:t>
      </w:r>
      <w:r w:rsidRPr="00063887">
        <w:t>konto</w:t>
      </w:r>
      <w:r>
        <w:t xml:space="preserve"> </w:t>
      </w:r>
      <w:r w:rsidRPr="00063887">
        <w:t>účastníka</w:t>
      </w:r>
      <w:r>
        <w:t xml:space="preserve"> </w:t>
      </w:r>
      <w:r w:rsidRPr="00063887">
        <w:t>hazardní</w:t>
      </w:r>
      <w:r>
        <w:t xml:space="preserve"> </w:t>
      </w:r>
      <w:r w:rsidRPr="00063887">
        <w:t>hry,</w:t>
      </w:r>
      <w:r>
        <w:t xml:space="preserve"> </w:t>
      </w:r>
      <w:r w:rsidRPr="00063887">
        <w:t>pokud</w:t>
      </w:r>
      <w:r>
        <w:t xml:space="preserve"> </w:t>
      </w:r>
      <w:r w:rsidRPr="00063887">
        <w:t>jsou</w:t>
      </w:r>
      <w:r>
        <w:t xml:space="preserve"> </w:t>
      </w:r>
      <w:r w:rsidRPr="00063887">
        <w:t>předmětem</w:t>
      </w:r>
      <w:r>
        <w:t xml:space="preserve"> </w:t>
      </w:r>
      <w:r w:rsidRPr="00063887">
        <w:t>výhry</w:t>
      </w:r>
      <w:r>
        <w:t xml:space="preserve"> </w:t>
      </w:r>
      <w:r w:rsidRPr="00063887">
        <w:t>peněžní</w:t>
      </w:r>
      <w:r>
        <w:t xml:space="preserve"> </w:t>
      </w:r>
      <w:r w:rsidRPr="00063887">
        <w:t>prostředky</w:t>
      </w:r>
      <w:r>
        <w:t xml:space="preserve"> </w:t>
      </w:r>
      <w:r w:rsidRPr="00063887">
        <w:t>a</w:t>
      </w:r>
      <w:r>
        <w:t xml:space="preserve"> </w:t>
      </w:r>
      <w:r w:rsidRPr="00063887">
        <w:t>pro</w:t>
      </w:r>
      <w:r>
        <w:t xml:space="preserve"> </w:t>
      </w:r>
      <w:r w:rsidRPr="00063887">
        <w:t>danou</w:t>
      </w:r>
      <w:r>
        <w:t xml:space="preserve"> </w:t>
      </w:r>
      <w:r w:rsidRPr="00063887">
        <w:t>hazardní</w:t>
      </w:r>
      <w:r>
        <w:t xml:space="preserve"> </w:t>
      </w:r>
      <w:r w:rsidRPr="00063887">
        <w:t>hru</w:t>
      </w:r>
      <w:r>
        <w:t xml:space="preserve"> </w:t>
      </w:r>
      <w:r w:rsidRPr="00063887">
        <w:t>je</w:t>
      </w:r>
      <w:r>
        <w:t xml:space="preserve"> </w:t>
      </w:r>
      <w:r w:rsidRPr="00063887">
        <w:t>zřízeno</w:t>
      </w:r>
      <w:r>
        <w:t xml:space="preserve"> </w:t>
      </w:r>
      <w:r w:rsidRPr="00063887">
        <w:t>uživatelské</w:t>
      </w:r>
      <w:r>
        <w:t xml:space="preserve"> </w:t>
      </w:r>
      <w:r w:rsidRPr="00063887">
        <w:t>konto;</w:t>
      </w:r>
      <w:r>
        <w:t xml:space="preserve"> </w:t>
      </w:r>
      <w:r w:rsidRPr="00063887">
        <w:t>to</w:t>
      </w:r>
      <w:r>
        <w:t xml:space="preserve"> </w:t>
      </w:r>
      <w:r w:rsidRPr="00063887">
        <w:t>neplatí</w:t>
      </w:r>
      <w:r>
        <w:t xml:space="preserve"> </w:t>
      </w:r>
      <w:r w:rsidRPr="00063887">
        <w:t>pro</w:t>
      </w:r>
      <w:r>
        <w:t xml:space="preserve"> </w:t>
      </w:r>
      <w:r w:rsidRPr="00063887">
        <w:t>peněžní</w:t>
      </w:r>
      <w:r>
        <w:t xml:space="preserve"> </w:t>
      </w:r>
      <w:r w:rsidRPr="00063887">
        <w:t>prostředky</w:t>
      </w:r>
      <w:r>
        <w:t xml:space="preserve"> </w:t>
      </w:r>
      <w:r w:rsidRPr="00063887">
        <w:t>vyplácené</w:t>
      </w:r>
      <w:r>
        <w:t xml:space="preserve"> </w:t>
      </w:r>
      <w:r w:rsidRPr="00063887">
        <w:t>jako</w:t>
      </w:r>
      <w:r>
        <w:t xml:space="preserve"> </w:t>
      </w:r>
      <w:r w:rsidRPr="00063887">
        <w:t>renta,</w:t>
      </w:r>
    </w:p>
    <w:p w14:paraId="00DC492C" w14:textId="77777777" w:rsidR="00635DDD" w:rsidRDefault="00635DDD" w:rsidP="00635DDD">
      <w:pPr>
        <w:pStyle w:val="PZTextbodu"/>
        <w:spacing w:before="0"/>
      </w:pPr>
      <w:r w:rsidRPr="00063887">
        <w:t>3</w:t>
      </w:r>
      <w:r>
        <w:t>.</w:t>
      </w:r>
      <w:r>
        <w:tab/>
      </w:r>
      <w:r w:rsidRPr="00063887">
        <w:t>vyplacení</w:t>
      </w:r>
      <w:r>
        <w:t xml:space="preserve"> </w:t>
      </w:r>
      <w:r w:rsidRPr="00063887">
        <w:t>peněžních</w:t>
      </w:r>
      <w:r>
        <w:t xml:space="preserve"> </w:t>
      </w:r>
      <w:r w:rsidRPr="00063887">
        <w:t>prostředků</w:t>
      </w:r>
      <w:r>
        <w:t xml:space="preserve"> </w:t>
      </w:r>
      <w:r w:rsidRPr="00063887">
        <w:t>účastníkovi</w:t>
      </w:r>
      <w:r>
        <w:t xml:space="preserve"> </w:t>
      </w:r>
      <w:r w:rsidRPr="00063887">
        <w:t>hazardní</w:t>
      </w:r>
      <w:r>
        <w:t xml:space="preserve"> </w:t>
      </w:r>
      <w:r w:rsidRPr="00063887">
        <w:t>hry</w:t>
      </w:r>
      <w:r>
        <w:t xml:space="preserve"> </w:t>
      </w:r>
      <w:r w:rsidRPr="00063887">
        <w:t>v</w:t>
      </w:r>
      <w:r>
        <w:t xml:space="preserve"> </w:t>
      </w:r>
      <w:r w:rsidRPr="00063887">
        <w:t>hotovosti</w:t>
      </w:r>
      <w:r>
        <w:t xml:space="preserve"> </w:t>
      </w:r>
      <w:r w:rsidRPr="00063887">
        <w:t>nebo</w:t>
      </w:r>
      <w:r>
        <w:t xml:space="preserve"> </w:t>
      </w:r>
      <w:r w:rsidRPr="00063887">
        <w:t>provedení</w:t>
      </w:r>
      <w:r>
        <w:t xml:space="preserve"> </w:t>
      </w:r>
      <w:r w:rsidRPr="00063887">
        <w:t>jejich</w:t>
      </w:r>
      <w:r>
        <w:t xml:space="preserve"> </w:t>
      </w:r>
      <w:r w:rsidRPr="00063887">
        <w:t>bezhotovostního</w:t>
      </w:r>
      <w:r>
        <w:t xml:space="preserve"> </w:t>
      </w:r>
      <w:r w:rsidRPr="00063887">
        <w:t>převodu</w:t>
      </w:r>
      <w:r>
        <w:t xml:space="preserve"> </w:t>
      </w:r>
      <w:r w:rsidRPr="00063887">
        <w:t>účastníkovi</w:t>
      </w:r>
      <w:r>
        <w:t xml:space="preserve"> </w:t>
      </w:r>
      <w:r w:rsidRPr="00063887">
        <w:t>hazardní</w:t>
      </w:r>
      <w:r>
        <w:t xml:space="preserve"> </w:t>
      </w:r>
      <w:r w:rsidRPr="00063887">
        <w:t>hry</w:t>
      </w:r>
      <w:r>
        <w:t xml:space="preserve"> </w:t>
      </w:r>
      <w:r w:rsidRPr="00063887">
        <w:t>z</w:t>
      </w:r>
      <w:r>
        <w:t xml:space="preserve"> </w:t>
      </w:r>
      <w:r w:rsidRPr="00063887">
        <w:t>platebního</w:t>
      </w:r>
      <w:r>
        <w:t xml:space="preserve"> </w:t>
      </w:r>
      <w:r w:rsidRPr="00063887">
        <w:t>účtu,</w:t>
      </w:r>
      <w:r>
        <w:t xml:space="preserve"> </w:t>
      </w:r>
      <w:r w:rsidRPr="00063887">
        <w:t>pokud</w:t>
      </w:r>
      <w:r>
        <w:t xml:space="preserve"> </w:t>
      </w:r>
      <w:r w:rsidRPr="00063887">
        <w:t>jsou</w:t>
      </w:r>
      <w:r>
        <w:t xml:space="preserve"> </w:t>
      </w:r>
      <w:r w:rsidRPr="00063887">
        <w:t>předmětem</w:t>
      </w:r>
      <w:r>
        <w:t xml:space="preserve"> </w:t>
      </w:r>
      <w:r w:rsidRPr="00063887">
        <w:t>výhry</w:t>
      </w:r>
      <w:r>
        <w:t xml:space="preserve"> </w:t>
      </w:r>
      <w:r w:rsidRPr="00063887">
        <w:t>peněžní</w:t>
      </w:r>
      <w:r>
        <w:t xml:space="preserve"> </w:t>
      </w:r>
      <w:r w:rsidRPr="00063887">
        <w:t>prostředky</w:t>
      </w:r>
      <w:r>
        <w:t xml:space="preserve"> </w:t>
      </w:r>
      <w:r w:rsidRPr="00063887">
        <w:t>a</w:t>
      </w:r>
      <w:r>
        <w:t xml:space="preserve"> </w:t>
      </w:r>
      <w:r w:rsidRPr="00063887">
        <w:t>pro</w:t>
      </w:r>
      <w:r>
        <w:t xml:space="preserve"> </w:t>
      </w:r>
      <w:r w:rsidRPr="00063887">
        <w:t>danou</w:t>
      </w:r>
      <w:r>
        <w:t xml:space="preserve"> </w:t>
      </w:r>
      <w:r w:rsidRPr="00063887">
        <w:t>hazardní</w:t>
      </w:r>
      <w:r>
        <w:t xml:space="preserve"> </w:t>
      </w:r>
      <w:r w:rsidRPr="00063887">
        <w:t>hru</w:t>
      </w:r>
      <w:r>
        <w:t xml:space="preserve"> </w:t>
      </w:r>
      <w:r w:rsidRPr="00063887">
        <w:t>není</w:t>
      </w:r>
      <w:r>
        <w:t xml:space="preserve"> </w:t>
      </w:r>
      <w:r w:rsidRPr="00063887">
        <w:t>zřízeno</w:t>
      </w:r>
      <w:r>
        <w:t xml:space="preserve"> </w:t>
      </w:r>
      <w:r w:rsidRPr="00063887">
        <w:t>uživatelské</w:t>
      </w:r>
      <w:r>
        <w:t xml:space="preserve"> </w:t>
      </w:r>
      <w:r w:rsidRPr="00063887">
        <w:t>konto,</w:t>
      </w:r>
    </w:p>
    <w:p w14:paraId="1DEFBC4F" w14:textId="77777777" w:rsidR="00635DDD" w:rsidRDefault="00635DDD" w:rsidP="00635DDD">
      <w:pPr>
        <w:pStyle w:val="PZTextbodu"/>
        <w:spacing w:before="0"/>
      </w:pPr>
      <w:r w:rsidRPr="00063887">
        <w:t>4</w:t>
      </w:r>
      <w:r>
        <w:t>.</w:t>
      </w:r>
      <w:r>
        <w:tab/>
      </w:r>
      <w:r w:rsidRPr="00063887">
        <w:t>zaznamenání</w:t>
      </w:r>
      <w:r>
        <w:t xml:space="preserve"> </w:t>
      </w:r>
      <w:r w:rsidRPr="00063887">
        <w:t>na</w:t>
      </w:r>
      <w:r>
        <w:t xml:space="preserve"> </w:t>
      </w:r>
      <w:r w:rsidRPr="00063887">
        <w:t>uživatelské</w:t>
      </w:r>
      <w:r>
        <w:t xml:space="preserve"> </w:t>
      </w:r>
      <w:r w:rsidRPr="00063887">
        <w:t>konto,</w:t>
      </w:r>
      <w:r>
        <w:t xml:space="preserve"> </w:t>
      </w:r>
      <w:r w:rsidRPr="00063887">
        <w:t>pokud</w:t>
      </w:r>
      <w:r>
        <w:t xml:space="preserve"> </w:t>
      </w:r>
      <w:r w:rsidRPr="00063887">
        <w:t>jde</w:t>
      </w:r>
      <w:r>
        <w:t xml:space="preserve"> </w:t>
      </w:r>
      <w:r w:rsidRPr="00063887">
        <w:t>o</w:t>
      </w:r>
      <w:r>
        <w:t xml:space="preserve"> </w:t>
      </w:r>
      <w:r w:rsidRPr="00063887">
        <w:t>nepeněžní</w:t>
      </w:r>
      <w:r>
        <w:t xml:space="preserve"> </w:t>
      </w:r>
      <w:r w:rsidRPr="00063887">
        <w:t>výhru</w:t>
      </w:r>
      <w:r>
        <w:t xml:space="preserve"> </w:t>
      </w:r>
      <w:r w:rsidRPr="00063887">
        <w:t>nebo</w:t>
      </w:r>
      <w:r>
        <w:t xml:space="preserve"> </w:t>
      </w:r>
      <w:r w:rsidRPr="00063887">
        <w:t>peněžní</w:t>
      </w:r>
      <w:r>
        <w:t xml:space="preserve"> </w:t>
      </w:r>
      <w:r w:rsidRPr="00063887">
        <w:t>prostředky</w:t>
      </w:r>
      <w:r>
        <w:t xml:space="preserve"> </w:t>
      </w:r>
      <w:r w:rsidRPr="00063887">
        <w:t>vyplácené</w:t>
      </w:r>
      <w:r>
        <w:t xml:space="preserve"> </w:t>
      </w:r>
      <w:r w:rsidRPr="00063887">
        <w:t>jako</w:t>
      </w:r>
      <w:r>
        <w:t xml:space="preserve"> </w:t>
      </w:r>
      <w:r w:rsidRPr="00063887">
        <w:t>renta</w:t>
      </w:r>
      <w:r>
        <w:t xml:space="preserve"> </w:t>
      </w:r>
      <w:r w:rsidRPr="00063887">
        <w:t>a</w:t>
      </w:r>
      <w:r>
        <w:t xml:space="preserve"> </w:t>
      </w:r>
      <w:r w:rsidRPr="00063887">
        <w:t>pro</w:t>
      </w:r>
      <w:r>
        <w:t xml:space="preserve"> </w:t>
      </w:r>
      <w:r w:rsidRPr="00063887">
        <w:t>danou</w:t>
      </w:r>
      <w:r>
        <w:t xml:space="preserve"> </w:t>
      </w:r>
      <w:r w:rsidRPr="00063887">
        <w:t>hazardní</w:t>
      </w:r>
      <w:r>
        <w:t xml:space="preserve"> </w:t>
      </w:r>
      <w:r w:rsidRPr="00063887">
        <w:t>hru</w:t>
      </w:r>
      <w:r>
        <w:t xml:space="preserve"> </w:t>
      </w:r>
      <w:r w:rsidRPr="00063887">
        <w:t>je</w:t>
      </w:r>
      <w:r>
        <w:t xml:space="preserve"> </w:t>
      </w:r>
      <w:r w:rsidRPr="00063887">
        <w:t>zřízeno</w:t>
      </w:r>
      <w:r>
        <w:t xml:space="preserve"> </w:t>
      </w:r>
      <w:r w:rsidRPr="00063887">
        <w:t>uživatelské</w:t>
      </w:r>
      <w:r>
        <w:t xml:space="preserve"> </w:t>
      </w:r>
      <w:r w:rsidRPr="00063887">
        <w:t>konto,</w:t>
      </w:r>
    </w:p>
    <w:p w14:paraId="1117D355" w14:textId="77777777" w:rsidR="00635DDD" w:rsidRDefault="00635DDD" w:rsidP="00635DDD">
      <w:pPr>
        <w:pStyle w:val="PZTextbodu"/>
        <w:spacing w:before="0"/>
      </w:pPr>
      <w:r w:rsidRPr="00063887">
        <w:t>5</w:t>
      </w:r>
      <w:r>
        <w:t>.</w:t>
      </w:r>
      <w:r>
        <w:tab/>
      </w:r>
      <w:r w:rsidRPr="00063887">
        <w:t>předání</w:t>
      </w:r>
      <w:r>
        <w:t xml:space="preserve"> </w:t>
      </w:r>
      <w:r w:rsidRPr="00063887">
        <w:t>hmotné</w:t>
      </w:r>
      <w:r>
        <w:t xml:space="preserve"> </w:t>
      </w:r>
      <w:r w:rsidRPr="00063887">
        <w:t>věci</w:t>
      </w:r>
      <w:r>
        <w:t xml:space="preserve"> </w:t>
      </w:r>
      <w:r w:rsidRPr="00063887">
        <w:t>nebo</w:t>
      </w:r>
      <w:r>
        <w:t xml:space="preserve"> </w:t>
      </w:r>
      <w:r w:rsidRPr="00063887">
        <w:t>poukázky</w:t>
      </w:r>
      <w:r>
        <w:t xml:space="preserve"> </w:t>
      </w:r>
      <w:r w:rsidRPr="00063887">
        <w:t>na</w:t>
      </w:r>
      <w:r>
        <w:t xml:space="preserve"> </w:t>
      </w:r>
      <w:r w:rsidRPr="00063887">
        <w:t>hmotnou</w:t>
      </w:r>
      <w:r>
        <w:t xml:space="preserve"> </w:t>
      </w:r>
      <w:r w:rsidRPr="00063887">
        <w:t>věc</w:t>
      </w:r>
      <w:r>
        <w:t xml:space="preserve"> </w:t>
      </w:r>
      <w:r w:rsidRPr="00063887">
        <w:t>nebo</w:t>
      </w:r>
      <w:r>
        <w:t xml:space="preserve"> </w:t>
      </w:r>
      <w:r w:rsidRPr="00063887">
        <w:t>službu</w:t>
      </w:r>
      <w:r>
        <w:t xml:space="preserve"> </w:t>
      </w:r>
      <w:r w:rsidRPr="00063887">
        <w:t>účastníkovi</w:t>
      </w:r>
      <w:r>
        <w:t xml:space="preserve"> </w:t>
      </w:r>
      <w:r w:rsidRPr="00063887">
        <w:t>hazardní</w:t>
      </w:r>
      <w:r>
        <w:t xml:space="preserve"> </w:t>
      </w:r>
      <w:r w:rsidRPr="00063887">
        <w:t>hry,</w:t>
      </w:r>
      <w:r>
        <w:t xml:space="preserve"> </w:t>
      </w:r>
      <w:r w:rsidRPr="00063887">
        <w:t>pokud</w:t>
      </w:r>
      <w:r>
        <w:t xml:space="preserve"> </w:t>
      </w:r>
      <w:r w:rsidRPr="00063887">
        <w:t>jde</w:t>
      </w:r>
      <w:r>
        <w:t xml:space="preserve"> </w:t>
      </w:r>
      <w:r w:rsidRPr="00063887">
        <w:t>o</w:t>
      </w:r>
      <w:r>
        <w:t xml:space="preserve"> </w:t>
      </w:r>
      <w:r w:rsidRPr="00063887">
        <w:t>nepeněžní</w:t>
      </w:r>
      <w:r>
        <w:t xml:space="preserve"> </w:t>
      </w:r>
      <w:r w:rsidRPr="00063887">
        <w:t>výhru</w:t>
      </w:r>
      <w:r>
        <w:t xml:space="preserve"> </w:t>
      </w:r>
      <w:r w:rsidRPr="00063887">
        <w:t>a</w:t>
      </w:r>
      <w:r>
        <w:t xml:space="preserve"> </w:t>
      </w:r>
      <w:r w:rsidRPr="00063887">
        <w:t>pro</w:t>
      </w:r>
      <w:r>
        <w:t xml:space="preserve"> </w:t>
      </w:r>
      <w:r w:rsidRPr="00063887">
        <w:t>danou</w:t>
      </w:r>
      <w:r>
        <w:t xml:space="preserve"> </w:t>
      </w:r>
      <w:r w:rsidRPr="00063887">
        <w:t>hazardní</w:t>
      </w:r>
      <w:r>
        <w:t xml:space="preserve"> </w:t>
      </w:r>
      <w:r w:rsidRPr="00063887">
        <w:t>hru</w:t>
      </w:r>
      <w:r>
        <w:t xml:space="preserve"> </w:t>
      </w:r>
      <w:r w:rsidRPr="00063887">
        <w:t>není</w:t>
      </w:r>
      <w:r>
        <w:t xml:space="preserve"> </w:t>
      </w:r>
      <w:r w:rsidRPr="00063887">
        <w:t>zřízeno</w:t>
      </w:r>
      <w:r>
        <w:t xml:space="preserve"> </w:t>
      </w:r>
      <w:r w:rsidRPr="00063887">
        <w:t>uživatelské</w:t>
      </w:r>
      <w:r>
        <w:t xml:space="preserve"> </w:t>
      </w:r>
      <w:r w:rsidRPr="00063887">
        <w:t>konto,</w:t>
      </w:r>
      <w:r>
        <w:t xml:space="preserve"> </w:t>
      </w:r>
      <w:r w:rsidRPr="00063887">
        <w:t>nebo</w:t>
      </w:r>
    </w:p>
    <w:p w14:paraId="5A131E6F" w14:textId="77777777" w:rsidR="00635DDD" w:rsidRDefault="00635DDD" w:rsidP="00635DDD">
      <w:pPr>
        <w:pStyle w:val="PZTextbodu"/>
        <w:spacing w:before="0"/>
      </w:pPr>
      <w:r w:rsidRPr="00063887">
        <w:t>6</w:t>
      </w:r>
      <w:r>
        <w:t>.</w:t>
      </w:r>
      <w:r>
        <w:tab/>
      </w:r>
      <w:r w:rsidRPr="00063887">
        <w:t>složení</w:t>
      </w:r>
      <w:r>
        <w:t xml:space="preserve"> </w:t>
      </w:r>
      <w:r w:rsidRPr="00063887">
        <w:t>peněžních</w:t>
      </w:r>
      <w:r>
        <w:t xml:space="preserve"> </w:t>
      </w:r>
      <w:r w:rsidRPr="00063887">
        <w:t>prostředků</w:t>
      </w:r>
      <w:r>
        <w:t xml:space="preserve"> </w:t>
      </w:r>
      <w:r w:rsidRPr="00063887">
        <w:t>do</w:t>
      </w:r>
      <w:r>
        <w:t xml:space="preserve"> </w:t>
      </w:r>
      <w:r w:rsidRPr="00063887">
        <w:t>úschovy,</w:t>
      </w:r>
      <w:r>
        <w:t xml:space="preserve"> </w:t>
      </w:r>
      <w:r w:rsidRPr="00063887">
        <w:t>pokud</w:t>
      </w:r>
      <w:r>
        <w:t xml:space="preserve"> </w:t>
      </w:r>
      <w:r w:rsidRPr="00063887">
        <w:t>jde</w:t>
      </w:r>
      <w:r>
        <w:t xml:space="preserve"> </w:t>
      </w:r>
      <w:r w:rsidRPr="00063887">
        <w:t>o</w:t>
      </w:r>
      <w:r>
        <w:t xml:space="preserve"> </w:t>
      </w:r>
      <w:r w:rsidRPr="00063887">
        <w:t>peněžní</w:t>
      </w:r>
      <w:r>
        <w:t xml:space="preserve"> </w:t>
      </w:r>
      <w:r w:rsidRPr="00063887">
        <w:t>prostředky</w:t>
      </w:r>
      <w:r>
        <w:t xml:space="preserve"> </w:t>
      </w:r>
      <w:r w:rsidRPr="00063887">
        <w:t>vyplácené</w:t>
      </w:r>
      <w:r>
        <w:t xml:space="preserve"> </w:t>
      </w:r>
      <w:r w:rsidRPr="00063887">
        <w:t>jako</w:t>
      </w:r>
      <w:r>
        <w:t xml:space="preserve"> </w:t>
      </w:r>
      <w:r w:rsidRPr="00063887">
        <w:t>renta</w:t>
      </w:r>
      <w:r>
        <w:t xml:space="preserve"> </w:t>
      </w:r>
      <w:r w:rsidRPr="00063887">
        <w:t>a</w:t>
      </w:r>
      <w:r>
        <w:t xml:space="preserve"> </w:t>
      </w:r>
      <w:r w:rsidRPr="00063887">
        <w:t>pro</w:t>
      </w:r>
      <w:r>
        <w:t xml:space="preserve"> </w:t>
      </w:r>
      <w:r w:rsidRPr="00063887">
        <w:t>danou</w:t>
      </w:r>
      <w:r>
        <w:t xml:space="preserve"> </w:t>
      </w:r>
      <w:r w:rsidRPr="00063887">
        <w:t>hazardní</w:t>
      </w:r>
      <w:r>
        <w:t xml:space="preserve"> </w:t>
      </w:r>
      <w:r w:rsidRPr="00063887">
        <w:t>hru</w:t>
      </w:r>
      <w:r>
        <w:t xml:space="preserve"> </w:t>
      </w:r>
      <w:r w:rsidRPr="00063887">
        <w:t>není</w:t>
      </w:r>
      <w:r>
        <w:t xml:space="preserve"> </w:t>
      </w:r>
      <w:r w:rsidRPr="00063887">
        <w:t>zřízeno</w:t>
      </w:r>
      <w:r>
        <w:t xml:space="preserve"> </w:t>
      </w:r>
      <w:r w:rsidRPr="00063887">
        <w:t>uživatelské</w:t>
      </w:r>
      <w:r>
        <w:t xml:space="preserve"> </w:t>
      </w:r>
      <w:r w:rsidRPr="00063887">
        <w:t>konto,</w:t>
      </w:r>
    </w:p>
    <w:p w14:paraId="2A837383" w14:textId="77777777" w:rsidR="00635DDD" w:rsidRDefault="00635DDD" w:rsidP="00635DDD">
      <w:pPr>
        <w:pStyle w:val="PZTextpsmene"/>
        <w:spacing w:before="0"/>
      </w:pPr>
      <w:r w:rsidRPr="00063887">
        <w:t>i</w:t>
      </w:r>
      <w:r>
        <w:t>)</w:t>
      </w:r>
      <w:r>
        <w:tab/>
      </w:r>
      <w:r w:rsidRPr="00063887">
        <w:t>rentou</w:t>
      </w:r>
      <w:r>
        <w:t xml:space="preserve"> </w:t>
      </w:r>
      <w:r w:rsidRPr="00063887">
        <w:t>peněžní</w:t>
      </w:r>
      <w:r>
        <w:t xml:space="preserve"> </w:t>
      </w:r>
      <w:r w:rsidRPr="00063887">
        <w:t>prostředky</w:t>
      </w:r>
      <w:r>
        <w:t xml:space="preserve"> </w:t>
      </w:r>
      <w:r w:rsidRPr="00063887">
        <w:t>postupně</w:t>
      </w:r>
      <w:r>
        <w:t xml:space="preserve"> </w:t>
      </w:r>
      <w:r w:rsidRPr="00063887">
        <w:t>vyplácené</w:t>
      </w:r>
      <w:r>
        <w:t xml:space="preserve"> </w:t>
      </w:r>
      <w:r w:rsidRPr="00063887">
        <w:t>z</w:t>
      </w:r>
      <w:r>
        <w:t xml:space="preserve"> </w:t>
      </w:r>
      <w:r w:rsidRPr="00063887">
        <w:t>úschovy,</w:t>
      </w:r>
    </w:p>
    <w:p w14:paraId="0FF32908" w14:textId="77777777" w:rsidR="00635DDD" w:rsidRDefault="00635DDD" w:rsidP="00635DDD">
      <w:pPr>
        <w:pStyle w:val="PZTextpsmene"/>
        <w:spacing w:before="0"/>
      </w:pPr>
      <w:r w:rsidRPr="00063887">
        <w:lastRenderedPageBreak/>
        <w:t>j</w:t>
      </w:r>
      <w:r>
        <w:t>)</w:t>
      </w:r>
      <w:r>
        <w:tab/>
      </w:r>
      <w:r w:rsidRPr="00063887">
        <w:t>bonusem</w:t>
      </w:r>
      <w:r>
        <w:t xml:space="preserve"> </w:t>
      </w:r>
      <w:r w:rsidRPr="00063887">
        <w:t>plnění</w:t>
      </w:r>
      <w:r>
        <w:t xml:space="preserve"> </w:t>
      </w:r>
      <w:r w:rsidRPr="00063887">
        <w:t>poskytnuté</w:t>
      </w:r>
      <w:r>
        <w:t xml:space="preserve"> </w:t>
      </w:r>
      <w:r w:rsidRPr="00063887">
        <w:t>účastníkovi</w:t>
      </w:r>
      <w:r>
        <w:t xml:space="preserve"> </w:t>
      </w:r>
      <w:r w:rsidRPr="00063887">
        <w:t>hazardní</w:t>
      </w:r>
      <w:r>
        <w:t xml:space="preserve"> </w:t>
      </w:r>
      <w:r w:rsidRPr="00063887">
        <w:t>hry</w:t>
      </w:r>
      <w:r>
        <w:t xml:space="preserve"> </w:t>
      </w:r>
      <w:r w:rsidRPr="00063887">
        <w:t>v</w:t>
      </w:r>
      <w:r>
        <w:t xml:space="preserve"> </w:t>
      </w:r>
      <w:r w:rsidRPr="00063887">
        <w:t>souvislosti</w:t>
      </w:r>
      <w:r>
        <w:t xml:space="preserve"> </w:t>
      </w:r>
      <w:r w:rsidRPr="00063887">
        <w:t>s</w:t>
      </w:r>
      <w:r>
        <w:t xml:space="preserve"> </w:t>
      </w:r>
      <w:r w:rsidRPr="00063887">
        <w:t>provozováním</w:t>
      </w:r>
      <w:r>
        <w:t xml:space="preserve"> </w:t>
      </w:r>
      <w:r w:rsidRPr="00063887">
        <w:t>hazardní</w:t>
      </w:r>
      <w:r>
        <w:t xml:space="preserve"> </w:t>
      </w:r>
      <w:r w:rsidRPr="00063887">
        <w:t>hry</w:t>
      </w:r>
      <w:r>
        <w:t xml:space="preserve"> </w:t>
      </w:r>
      <w:r w:rsidRPr="00063887">
        <w:t>bezúplatně</w:t>
      </w:r>
      <w:r>
        <w:t xml:space="preserve"> </w:t>
      </w:r>
      <w:r w:rsidRPr="00063887">
        <w:t>nebo</w:t>
      </w:r>
      <w:r>
        <w:t xml:space="preserve"> </w:t>
      </w:r>
      <w:r w:rsidRPr="00063887">
        <w:t>za</w:t>
      </w:r>
      <w:r>
        <w:t xml:space="preserve"> </w:t>
      </w:r>
      <w:r w:rsidRPr="00063887">
        <w:t>cenu</w:t>
      </w:r>
      <w:r>
        <w:t xml:space="preserve"> </w:t>
      </w:r>
      <w:r w:rsidRPr="00063887">
        <w:t>nižší,</w:t>
      </w:r>
      <w:r>
        <w:t xml:space="preserve"> </w:t>
      </w:r>
      <w:r w:rsidRPr="00063887">
        <w:t>než</w:t>
      </w:r>
      <w:r>
        <w:t xml:space="preserve"> </w:t>
      </w:r>
      <w:r w:rsidRPr="00063887">
        <w:t>je</w:t>
      </w:r>
      <w:r>
        <w:t xml:space="preserve"> </w:t>
      </w:r>
      <w:r w:rsidRPr="00063887">
        <w:t>jeho</w:t>
      </w:r>
      <w:r>
        <w:t xml:space="preserve"> </w:t>
      </w:r>
      <w:r w:rsidRPr="00063887">
        <w:t>cena</w:t>
      </w:r>
      <w:r>
        <w:t xml:space="preserve"> </w:t>
      </w:r>
      <w:r w:rsidRPr="00063887">
        <w:t>obvyklá,</w:t>
      </w:r>
    </w:p>
    <w:p w14:paraId="7E79D379" w14:textId="77777777" w:rsidR="00635DDD" w:rsidRDefault="00635DDD" w:rsidP="00635DDD">
      <w:pPr>
        <w:pStyle w:val="PZTextpsmene"/>
        <w:spacing w:before="0"/>
      </w:pPr>
      <w:r w:rsidRPr="00063887">
        <w:t>k</w:t>
      </w:r>
      <w:r>
        <w:t>)</w:t>
      </w:r>
      <w:r>
        <w:tab/>
      </w:r>
      <w:r w:rsidRPr="00063887">
        <w:t>rizikovým</w:t>
      </w:r>
      <w:r>
        <w:t xml:space="preserve"> </w:t>
      </w:r>
      <w:r w:rsidRPr="00063887">
        <w:t>bonusem</w:t>
      </w:r>
      <w:r>
        <w:t xml:space="preserve"> </w:t>
      </w:r>
      <w:r w:rsidRPr="00063887">
        <w:t>bonus</w:t>
      </w:r>
      <w:r>
        <w:t xml:space="preserve"> </w:t>
      </w:r>
      <w:r w:rsidRPr="00063887">
        <w:t>podporující</w:t>
      </w:r>
      <w:r>
        <w:t xml:space="preserve"> </w:t>
      </w:r>
      <w:r w:rsidRPr="00063887">
        <w:t>rizikové</w:t>
      </w:r>
      <w:r>
        <w:t xml:space="preserve"> </w:t>
      </w:r>
      <w:r w:rsidRPr="00063887">
        <w:t>hraní</w:t>
      </w:r>
      <w:r>
        <w:t xml:space="preserve"> </w:t>
      </w:r>
      <w:r w:rsidRPr="00063887">
        <w:t>hazardních</w:t>
      </w:r>
      <w:r>
        <w:t xml:space="preserve"> </w:t>
      </w:r>
      <w:r w:rsidRPr="00063887">
        <w:t>her</w:t>
      </w:r>
      <w:r>
        <w:t xml:space="preserve"> </w:t>
      </w:r>
      <w:r w:rsidRPr="00063887">
        <w:t>nebo</w:t>
      </w:r>
      <w:r>
        <w:t xml:space="preserve"> </w:t>
      </w:r>
      <w:r w:rsidRPr="00063887">
        <w:t>ohrožující</w:t>
      </w:r>
      <w:r>
        <w:t xml:space="preserve"> </w:t>
      </w:r>
      <w:r w:rsidRPr="00063887">
        <w:t>zdraví,</w:t>
      </w:r>
      <w:r>
        <w:t xml:space="preserve"> </w:t>
      </w:r>
      <w:r w:rsidRPr="00063887">
        <w:t>život,</w:t>
      </w:r>
      <w:r>
        <w:t xml:space="preserve"> </w:t>
      </w:r>
      <w:r w:rsidRPr="00063887">
        <w:t>dobré</w:t>
      </w:r>
      <w:r>
        <w:t xml:space="preserve"> </w:t>
      </w:r>
      <w:r w:rsidRPr="00063887">
        <w:t>mravy</w:t>
      </w:r>
      <w:r>
        <w:t xml:space="preserve"> </w:t>
      </w:r>
      <w:r w:rsidRPr="00063887">
        <w:t>nebo</w:t>
      </w:r>
      <w:r>
        <w:t xml:space="preserve"> </w:t>
      </w:r>
      <w:r w:rsidRPr="00063887">
        <w:t>veřejný</w:t>
      </w:r>
      <w:r>
        <w:t xml:space="preserve"> </w:t>
      </w:r>
      <w:r w:rsidRPr="00063887">
        <w:t>pořádek,</w:t>
      </w:r>
    </w:p>
    <w:p w14:paraId="22B2B24F" w14:textId="77777777" w:rsidR="00635DDD" w:rsidRDefault="00635DDD" w:rsidP="00635DDD">
      <w:pPr>
        <w:pStyle w:val="PZTextpsmene"/>
        <w:spacing w:before="0"/>
      </w:pPr>
      <w:r w:rsidRPr="00063887">
        <w:t>l</w:t>
      </w:r>
      <w:r>
        <w:t>)</w:t>
      </w:r>
      <w:r>
        <w:tab/>
      </w:r>
      <w:r w:rsidRPr="00063887">
        <w:t>cenou</w:t>
      </w:r>
      <w:r>
        <w:t xml:space="preserve"> </w:t>
      </w:r>
      <w:r w:rsidRPr="00063887">
        <w:t>obvyklou</w:t>
      </w:r>
      <w:r>
        <w:t xml:space="preserve"> </w:t>
      </w:r>
      <w:r w:rsidRPr="00DD076D">
        <w:rPr>
          <w:strike/>
        </w:rPr>
        <w:t>cena stanovená podle zákona upravujícího oceňování majetku</w:t>
      </w:r>
      <w:r w:rsidRPr="00DD076D">
        <w:rPr>
          <w:b/>
        </w:rPr>
        <w:t xml:space="preserve"> obvyklá hodnota určená podle zákona upravujícího oceňování věcí, služeb a dluhů</w:t>
      </w:r>
      <w:r w:rsidRPr="00063887">
        <w:t>,</w:t>
      </w:r>
    </w:p>
    <w:p w14:paraId="3C6F4329" w14:textId="77777777" w:rsidR="00635DDD" w:rsidRDefault="00635DDD" w:rsidP="00635DDD">
      <w:pPr>
        <w:pStyle w:val="PZTextpsmene"/>
        <w:spacing w:before="0"/>
      </w:pPr>
      <w:r w:rsidRPr="00063887">
        <w:t>m</w:t>
      </w:r>
      <w:r>
        <w:t>)</w:t>
      </w:r>
      <w:r>
        <w:tab/>
      </w:r>
      <w:r w:rsidRPr="00063887">
        <w:t>provozovatelem</w:t>
      </w:r>
      <w:r>
        <w:t xml:space="preserve"> </w:t>
      </w:r>
      <w:r w:rsidRPr="00063887">
        <w:t>ten,</w:t>
      </w:r>
      <w:r>
        <w:t xml:space="preserve"> </w:t>
      </w:r>
      <w:r w:rsidRPr="00063887">
        <w:t>kdo</w:t>
      </w:r>
      <w:r>
        <w:t xml:space="preserve"> </w:t>
      </w:r>
      <w:r w:rsidRPr="00063887">
        <w:t>provozuje</w:t>
      </w:r>
      <w:r>
        <w:t xml:space="preserve"> </w:t>
      </w:r>
      <w:r w:rsidRPr="00063887">
        <w:t>hazardní</w:t>
      </w:r>
      <w:r>
        <w:t xml:space="preserve"> </w:t>
      </w:r>
      <w:r w:rsidRPr="00063887">
        <w:t>hru,</w:t>
      </w:r>
      <w:r>
        <w:t xml:space="preserve"> </w:t>
      </w:r>
      <w:r w:rsidRPr="00063887">
        <w:t>bez</w:t>
      </w:r>
      <w:r>
        <w:t xml:space="preserve"> </w:t>
      </w:r>
      <w:r w:rsidRPr="00063887">
        <w:t>ohledu</w:t>
      </w:r>
      <w:r>
        <w:t xml:space="preserve"> </w:t>
      </w:r>
      <w:r w:rsidRPr="00063887">
        <w:t>na</w:t>
      </w:r>
      <w:r>
        <w:t xml:space="preserve"> </w:t>
      </w:r>
      <w:r w:rsidRPr="00063887">
        <w:t>to,</w:t>
      </w:r>
      <w:r>
        <w:t xml:space="preserve"> </w:t>
      </w:r>
      <w:r w:rsidRPr="00063887">
        <w:t>zda</w:t>
      </w:r>
      <w:r>
        <w:t xml:space="preserve"> </w:t>
      </w:r>
      <w:r w:rsidRPr="00063887">
        <w:t>je</w:t>
      </w:r>
      <w:r>
        <w:t xml:space="preserve"> </w:t>
      </w:r>
      <w:r w:rsidRPr="00063887">
        <w:t>držitelem</w:t>
      </w:r>
      <w:r>
        <w:t xml:space="preserve"> </w:t>
      </w:r>
      <w:r w:rsidRPr="00063887">
        <w:t>základního</w:t>
      </w:r>
      <w:r>
        <w:t xml:space="preserve"> </w:t>
      </w:r>
      <w:r w:rsidRPr="00063887">
        <w:t>povolení</w:t>
      </w:r>
      <w:r>
        <w:t xml:space="preserve"> </w:t>
      </w:r>
      <w:r w:rsidRPr="00063887">
        <w:t>k</w:t>
      </w:r>
      <w:r>
        <w:t xml:space="preserve"> </w:t>
      </w:r>
      <w:r w:rsidRPr="00063887">
        <w:t>jejímu</w:t>
      </w:r>
      <w:r>
        <w:t xml:space="preserve"> </w:t>
      </w:r>
      <w:r w:rsidRPr="00063887">
        <w:t>provozování</w:t>
      </w:r>
      <w:r>
        <w:t xml:space="preserve"> </w:t>
      </w:r>
      <w:r w:rsidRPr="00063887">
        <w:t>nebo</w:t>
      </w:r>
      <w:r>
        <w:t xml:space="preserve"> </w:t>
      </w:r>
      <w:r w:rsidRPr="00063887">
        <w:t>zda</w:t>
      </w:r>
      <w:r>
        <w:t xml:space="preserve"> </w:t>
      </w:r>
      <w:r w:rsidRPr="00063887">
        <w:t>je</w:t>
      </w:r>
      <w:r>
        <w:t xml:space="preserve"> </w:t>
      </w:r>
      <w:r w:rsidRPr="00063887">
        <w:t>ohlašovatelem,</w:t>
      </w:r>
    </w:p>
    <w:p w14:paraId="13705A28" w14:textId="77777777" w:rsidR="00635DDD" w:rsidRDefault="00635DDD" w:rsidP="00635DDD">
      <w:pPr>
        <w:pStyle w:val="PZTextpsmene"/>
        <w:spacing w:before="0"/>
      </w:pPr>
      <w:r w:rsidRPr="00063887">
        <w:t>n</w:t>
      </w:r>
      <w:r>
        <w:t>)</w:t>
      </w:r>
      <w:r>
        <w:tab/>
      </w:r>
      <w:r w:rsidRPr="00063887">
        <w:t>zemí</w:t>
      </w:r>
      <w:r>
        <w:t xml:space="preserve"> </w:t>
      </w:r>
      <w:r w:rsidRPr="00063887">
        <w:t>původu</w:t>
      </w:r>
      <w:r>
        <w:t xml:space="preserve"> </w:t>
      </w:r>
      <w:r w:rsidRPr="00063887">
        <w:t>u</w:t>
      </w:r>
    </w:p>
    <w:p w14:paraId="583F7756" w14:textId="77777777" w:rsidR="00635DDD" w:rsidRDefault="00635DDD" w:rsidP="00635DDD">
      <w:pPr>
        <w:pStyle w:val="PZTextbodu"/>
        <w:spacing w:before="0"/>
      </w:pPr>
      <w:r w:rsidRPr="00063887">
        <w:t>1</w:t>
      </w:r>
      <w:r>
        <w:t>.</w:t>
      </w:r>
      <w:r>
        <w:tab/>
      </w:r>
      <w:r w:rsidRPr="00063887">
        <w:t>fyzické</w:t>
      </w:r>
      <w:r>
        <w:t xml:space="preserve"> </w:t>
      </w:r>
      <w:r w:rsidRPr="00063887">
        <w:t>osoby</w:t>
      </w:r>
      <w:r>
        <w:t xml:space="preserve"> </w:t>
      </w:r>
      <w:r w:rsidRPr="00063887">
        <w:t>každý</w:t>
      </w:r>
      <w:r>
        <w:t xml:space="preserve"> </w:t>
      </w:r>
      <w:r w:rsidRPr="00063887">
        <w:t>stát,</w:t>
      </w:r>
      <w:r>
        <w:t xml:space="preserve"> </w:t>
      </w:r>
      <w:r w:rsidRPr="00063887">
        <w:t>jehož</w:t>
      </w:r>
      <w:r>
        <w:t xml:space="preserve"> </w:t>
      </w:r>
      <w:r w:rsidRPr="00063887">
        <w:t>je</w:t>
      </w:r>
      <w:r>
        <w:t xml:space="preserve"> </w:t>
      </w:r>
      <w:r w:rsidRPr="00063887">
        <w:t>státním</w:t>
      </w:r>
      <w:r>
        <w:t xml:space="preserve"> </w:t>
      </w:r>
      <w:r w:rsidRPr="00063887">
        <w:t>příslušníkem,</w:t>
      </w:r>
      <w:r>
        <w:t xml:space="preserve"> </w:t>
      </w:r>
      <w:r w:rsidRPr="00063887">
        <w:t>nebo</w:t>
      </w:r>
      <w:r>
        <w:t xml:space="preserve"> </w:t>
      </w:r>
      <w:r w:rsidRPr="00063887">
        <w:t>v</w:t>
      </w:r>
      <w:r>
        <w:t xml:space="preserve"> </w:t>
      </w:r>
      <w:r w:rsidRPr="00063887">
        <w:t>němž</w:t>
      </w:r>
      <w:r>
        <w:t xml:space="preserve"> </w:t>
      </w:r>
      <w:r w:rsidRPr="00063887">
        <w:t>je</w:t>
      </w:r>
      <w:r>
        <w:t xml:space="preserve"> </w:t>
      </w:r>
      <w:r w:rsidRPr="00063887">
        <w:t>přihlášena</w:t>
      </w:r>
      <w:r>
        <w:t xml:space="preserve"> </w:t>
      </w:r>
      <w:r w:rsidRPr="00063887">
        <w:t>k</w:t>
      </w:r>
      <w:r>
        <w:t xml:space="preserve"> </w:t>
      </w:r>
      <w:r w:rsidRPr="00063887">
        <w:t>trvalému</w:t>
      </w:r>
      <w:r>
        <w:t xml:space="preserve"> </w:t>
      </w:r>
      <w:r w:rsidRPr="00063887">
        <w:t>nebo</w:t>
      </w:r>
      <w:r>
        <w:t xml:space="preserve"> </w:t>
      </w:r>
      <w:r w:rsidRPr="00063887">
        <w:t>jinému</w:t>
      </w:r>
      <w:r>
        <w:t xml:space="preserve"> </w:t>
      </w:r>
      <w:r w:rsidRPr="00063887">
        <w:t>obdobnému</w:t>
      </w:r>
      <w:r>
        <w:t xml:space="preserve"> </w:t>
      </w:r>
      <w:r w:rsidRPr="00063887">
        <w:t>pobytu,</w:t>
      </w:r>
    </w:p>
    <w:p w14:paraId="15D21109" w14:textId="77777777" w:rsidR="00635DDD" w:rsidRDefault="00635DDD" w:rsidP="00635DDD">
      <w:pPr>
        <w:pStyle w:val="PZTextbodu"/>
        <w:spacing w:before="0"/>
      </w:pPr>
      <w:r w:rsidRPr="00063887">
        <w:t>2</w:t>
      </w:r>
      <w:r>
        <w:t>.</w:t>
      </w:r>
      <w:r>
        <w:tab/>
      </w:r>
      <w:r w:rsidRPr="00063887">
        <w:t>podnikající</w:t>
      </w:r>
      <w:r>
        <w:t xml:space="preserve"> </w:t>
      </w:r>
      <w:r w:rsidRPr="00063887">
        <w:t>fyzické</w:t>
      </w:r>
      <w:r>
        <w:t xml:space="preserve"> </w:t>
      </w:r>
      <w:r w:rsidRPr="00063887">
        <w:t>osoby</w:t>
      </w:r>
      <w:r>
        <w:t xml:space="preserve"> </w:t>
      </w:r>
      <w:r w:rsidRPr="00063887">
        <w:t>každý</w:t>
      </w:r>
      <w:r>
        <w:t xml:space="preserve"> </w:t>
      </w:r>
      <w:r w:rsidRPr="00063887">
        <w:t>stát,</w:t>
      </w:r>
      <w:r>
        <w:t xml:space="preserve"> </w:t>
      </w:r>
      <w:r w:rsidRPr="00063887">
        <w:t>který</w:t>
      </w:r>
      <w:r>
        <w:t xml:space="preserve"> </w:t>
      </w:r>
      <w:r w:rsidRPr="00063887">
        <w:t>je</w:t>
      </w:r>
      <w:r>
        <w:t xml:space="preserve"> </w:t>
      </w:r>
      <w:r w:rsidRPr="00063887">
        <w:t>její</w:t>
      </w:r>
      <w:r>
        <w:t xml:space="preserve"> </w:t>
      </w:r>
      <w:r w:rsidRPr="00063887">
        <w:t>zemí</w:t>
      </w:r>
      <w:r>
        <w:t xml:space="preserve"> </w:t>
      </w:r>
      <w:r w:rsidRPr="00063887">
        <w:t>původu</w:t>
      </w:r>
      <w:r>
        <w:t xml:space="preserve"> </w:t>
      </w:r>
      <w:r w:rsidRPr="00063887">
        <w:t>podle</w:t>
      </w:r>
      <w:r>
        <w:t xml:space="preserve"> </w:t>
      </w:r>
      <w:r w:rsidRPr="00063887">
        <w:t>bodu</w:t>
      </w:r>
      <w:r>
        <w:t xml:space="preserve"> </w:t>
      </w:r>
      <w:r w:rsidRPr="00063887">
        <w:t>1</w:t>
      </w:r>
      <w:r>
        <w:t xml:space="preserve"> </w:t>
      </w:r>
      <w:r w:rsidRPr="00063887">
        <w:t>nebo</w:t>
      </w:r>
      <w:r>
        <w:t xml:space="preserve"> </w:t>
      </w:r>
      <w:r w:rsidRPr="00063887">
        <w:t>ve</w:t>
      </w:r>
      <w:r>
        <w:t xml:space="preserve"> </w:t>
      </w:r>
      <w:r w:rsidRPr="00063887">
        <w:t>kterém</w:t>
      </w:r>
      <w:r>
        <w:t xml:space="preserve"> </w:t>
      </w:r>
      <w:r w:rsidRPr="00063887">
        <w:t>má</w:t>
      </w:r>
      <w:r>
        <w:t xml:space="preserve"> </w:t>
      </w:r>
      <w:r w:rsidRPr="00063887">
        <w:t>sídlo,</w:t>
      </w:r>
    </w:p>
    <w:p w14:paraId="36E4443C" w14:textId="77777777" w:rsidR="00635DDD" w:rsidRDefault="00635DDD" w:rsidP="00635DDD">
      <w:pPr>
        <w:pStyle w:val="PZTextbodu"/>
        <w:spacing w:before="0"/>
      </w:pPr>
      <w:r w:rsidRPr="00063887">
        <w:t>3</w:t>
      </w:r>
      <w:r>
        <w:t>.</w:t>
      </w:r>
      <w:r>
        <w:tab/>
      </w:r>
      <w:r w:rsidRPr="00063887">
        <w:t>právnické</w:t>
      </w:r>
      <w:r>
        <w:t xml:space="preserve"> </w:t>
      </w:r>
      <w:r w:rsidRPr="00063887">
        <w:t>osoby</w:t>
      </w:r>
      <w:r>
        <w:t xml:space="preserve"> </w:t>
      </w:r>
      <w:r w:rsidRPr="00063887">
        <w:t>stát,</w:t>
      </w:r>
      <w:r>
        <w:t xml:space="preserve"> </w:t>
      </w:r>
      <w:r w:rsidRPr="00063887">
        <w:t>ve</w:t>
      </w:r>
      <w:r>
        <w:t xml:space="preserve"> </w:t>
      </w:r>
      <w:r w:rsidRPr="00063887">
        <w:t>kterém</w:t>
      </w:r>
      <w:r>
        <w:t xml:space="preserve"> </w:t>
      </w:r>
      <w:r w:rsidRPr="00063887">
        <w:t>má</w:t>
      </w:r>
      <w:r>
        <w:t xml:space="preserve"> </w:t>
      </w:r>
      <w:r w:rsidRPr="00063887">
        <w:t>sídlo,</w:t>
      </w:r>
    </w:p>
    <w:p w14:paraId="6E1A93F3" w14:textId="77777777" w:rsidR="00635DDD" w:rsidRDefault="00635DDD" w:rsidP="00635DDD">
      <w:pPr>
        <w:pStyle w:val="PZTextbodu"/>
        <w:spacing w:before="0"/>
      </w:pPr>
      <w:r w:rsidRPr="00063887">
        <w:t>4</w:t>
      </w:r>
      <w:r>
        <w:t>.</w:t>
      </w:r>
      <w:r>
        <w:tab/>
      </w:r>
      <w:proofErr w:type="spellStart"/>
      <w:r w:rsidRPr="00063887">
        <w:t>svěřenského</w:t>
      </w:r>
      <w:proofErr w:type="spellEnd"/>
      <w:r>
        <w:t xml:space="preserve"> </w:t>
      </w:r>
      <w:r w:rsidRPr="00063887">
        <w:t>fondu</w:t>
      </w:r>
      <w:r>
        <w:t xml:space="preserve"> </w:t>
      </w:r>
      <w:r w:rsidRPr="00063887">
        <w:t>stát,</w:t>
      </w:r>
      <w:r>
        <w:t xml:space="preserve"> </w:t>
      </w:r>
      <w:r w:rsidRPr="00063887">
        <w:t>podle</w:t>
      </w:r>
      <w:r>
        <w:t xml:space="preserve"> </w:t>
      </w:r>
      <w:r w:rsidRPr="00063887">
        <w:t>jehož</w:t>
      </w:r>
      <w:r>
        <w:t xml:space="preserve"> </w:t>
      </w:r>
      <w:r w:rsidRPr="00063887">
        <w:t>práva</w:t>
      </w:r>
      <w:r>
        <w:t xml:space="preserve"> </w:t>
      </w:r>
      <w:r w:rsidRPr="00063887">
        <w:t>je</w:t>
      </w:r>
      <w:r>
        <w:t xml:space="preserve"> </w:t>
      </w:r>
      <w:r w:rsidRPr="00063887">
        <w:t>založen,</w:t>
      </w:r>
      <w:r>
        <w:t xml:space="preserve"> </w:t>
      </w:r>
      <w:r w:rsidRPr="00063887">
        <w:t>a</w:t>
      </w:r>
      <w:r>
        <w:t xml:space="preserve"> </w:t>
      </w:r>
      <w:r w:rsidRPr="00063887">
        <w:t>každý</w:t>
      </w:r>
      <w:r>
        <w:t xml:space="preserve"> </w:t>
      </w:r>
      <w:r w:rsidRPr="00063887">
        <w:t>stát,</w:t>
      </w:r>
      <w:r>
        <w:t xml:space="preserve"> </w:t>
      </w:r>
      <w:r w:rsidRPr="00063887">
        <w:t>který</w:t>
      </w:r>
      <w:r>
        <w:t xml:space="preserve"> </w:t>
      </w:r>
      <w:r w:rsidRPr="00063887">
        <w:t>je</w:t>
      </w:r>
      <w:r>
        <w:t xml:space="preserve"> </w:t>
      </w:r>
      <w:r w:rsidRPr="00063887">
        <w:t>zemí</w:t>
      </w:r>
      <w:r>
        <w:t xml:space="preserve"> </w:t>
      </w:r>
      <w:r w:rsidRPr="00063887">
        <w:t>původu</w:t>
      </w:r>
      <w:r>
        <w:t xml:space="preserve"> </w:t>
      </w:r>
      <w:r w:rsidRPr="00063887">
        <w:t>jeho</w:t>
      </w:r>
      <w:r>
        <w:t xml:space="preserve"> </w:t>
      </w:r>
      <w:proofErr w:type="spellStart"/>
      <w:r w:rsidRPr="00063887">
        <w:t>svěřenského</w:t>
      </w:r>
      <w:proofErr w:type="spellEnd"/>
      <w:r>
        <w:t xml:space="preserve"> </w:t>
      </w:r>
      <w:r w:rsidRPr="00063887">
        <w:t>správce</w:t>
      </w:r>
      <w:r>
        <w:t xml:space="preserve"> </w:t>
      </w:r>
      <w:r w:rsidRPr="00063887">
        <w:t>podle</w:t>
      </w:r>
      <w:r>
        <w:t xml:space="preserve"> </w:t>
      </w:r>
      <w:r w:rsidRPr="00063887">
        <w:t>bodů</w:t>
      </w:r>
      <w:r>
        <w:t xml:space="preserve"> </w:t>
      </w:r>
      <w:r w:rsidRPr="00063887">
        <w:t>1</w:t>
      </w:r>
      <w:r>
        <w:t xml:space="preserve"> </w:t>
      </w:r>
      <w:r w:rsidRPr="00063887">
        <w:t>až</w:t>
      </w:r>
      <w:r>
        <w:t xml:space="preserve"> </w:t>
      </w:r>
      <w:r w:rsidRPr="00063887">
        <w:t>3,</w:t>
      </w:r>
    </w:p>
    <w:p w14:paraId="0CAACF89" w14:textId="77777777" w:rsidR="00635DDD" w:rsidRDefault="00635DDD" w:rsidP="00635DDD">
      <w:pPr>
        <w:pStyle w:val="PZTextpsmene"/>
        <w:spacing w:before="0"/>
      </w:pPr>
      <w:r w:rsidRPr="00063887">
        <w:t>o</w:t>
      </w:r>
      <w:r>
        <w:t>)</w:t>
      </w:r>
      <w:r>
        <w:tab/>
      </w:r>
      <w:r w:rsidRPr="00063887">
        <w:t>zakázanou</w:t>
      </w:r>
      <w:r>
        <w:t xml:space="preserve"> </w:t>
      </w:r>
      <w:r w:rsidRPr="00063887">
        <w:t>internetovou</w:t>
      </w:r>
      <w:r>
        <w:t xml:space="preserve"> </w:t>
      </w:r>
      <w:r w:rsidRPr="00063887">
        <w:t>hrou</w:t>
      </w:r>
      <w:r>
        <w:t xml:space="preserve"> </w:t>
      </w:r>
      <w:r w:rsidRPr="00063887">
        <w:t>internetová</w:t>
      </w:r>
      <w:r>
        <w:t xml:space="preserve"> </w:t>
      </w:r>
      <w:r w:rsidRPr="00063887">
        <w:t>hra</w:t>
      </w:r>
      <w:r>
        <w:t xml:space="preserve"> </w:t>
      </w:r>
      <w:r w:rsidRPr="00063887">
        <w:t>provozovaná</w:t>
      </w:r>
      <w:r>
        <w:t xml:space="preserve"> </w:t>
      </w:r>
      <w:r w:rsidRPr="00063887">
        <w:t>v</w:t>
      </w:r>
      <w:r>
        <w:t xml:space="preserve"> </w:t>
      </w:r>
      <w:r w:rsidRPr="00063887">
        <w:t>rozporu</w:t>
      </w:r>
      <w:r>
        <w:t xml:space="preserve"> </w:t>
      </w:r>
      <w:r w:rsidRPr="00063887">
        <w:t>s</w:t>
      </w:r>
      <w:r>
        <w:t xml:space="preserve"> </w:t>
      </w:r>
      <w:r w:rsidRPr="00063887">
        <w:t>§</w:t>
      </w:r>
      <w:r>
        <w:t xml:space="preserve"> </w:t>
      </w:r>
      <w:r w:rsidRPr="00063887">
        <w:t>7</w:t>
      </w:r>
      <w:r>
        <w:t xml:space="preserve"> </w:t>
      </w:r>
      <w:r w:rsidRPr="00063887">
        <w:t>odst.</w:t>
      </w:r>
      <w:r>
        <w:t xml:space="preserve"> </w:t>
      </w:r>
      <w:r w:rsidRPr="00063887">
        <w:t>2</w:t>
      </w:r>
      <w:r>
        <w:t xml:space="preserve"> </w:t>
      </w:r>
      <w:r w:rsidRPr="00063887">
        <w:t>písm.</w:t>
      </w:r>
      <w:r>
        <w:t xml:space="preserve"> </w:t>
      </w:r>
      <w:r w:rsidRPr="00063887">
        <w:t>a)</w:t>
      </w:r>
      <w:r>
        <w:t xml:space="preserve"> </w:t>
      </w:r>
      <w:r w:rsidRPr="00063887">
        <w:t>nebo</w:t>
      </w:r>
      <w:r>
        <w:t xml:space="preserve"> </w:t>
      </w:r>
      <w:r w:rsidRPr="00063887">
        <w:t>b).</w:t>
      </w:r>
    </w:p>
    <w:p w14:paraId="0FE870CC" w14:textId="77777777" w:rsidR="00635DDD" w:rsidRDefault="00635DDD" w:rsidP="00992796">
      <w:pPr>
        <w:pStyle w:val="Paragraf"/>
        <w:numPr>
          <w:ilvl w:val="0"/>
          <w:numId w:val="39"/>
        </w:numPr>
        <w:spacing w:after="120"/>
      </w:pPr>
      <w:r w:rsidRPr="00AA135D">
        <w:t>***</w:t>
      </w:r>
    </w:p>
    <w:p w14:paraId="633BF429" w14:textId="77777777" w:rsidR="00635DDD" w:rsidRDefault="00635DDD" w:rsidP="00992796">
      <w:pPr>
        <w:pStyle w:val="Textodstavce"/>
        <w:keepNext/>
        <w:keepLines/>
        <w:numPr>
          <w:ilvl w:val="0"/>
          <w:numId w:val="39"/>
        </w:numPr>
        <w:spacing w:before="240"/>
        <w:jc w:val="center"/>
      </w:pPr>
      <w:r>
        <w:t>§ 10</w:t>
      </w:r>
    </w:p>
    <w:p w14:paraId="0E12AFA0" w14:textId="77777777" w:rsidR="00635DDD" w:rsidRDefault="00635DDD" w:rsidP="00635DDD">
      <w:pPr>
        <w:pStyle w:val="Nadpisparagrafu"/>
        <w:spacing w:after="120"/>
      </w:pPr>
      <w:r>
        <w:t>Výhra</w:t>
      </w:r>
    </w:p>
    <w:p w14:paraId="7DE841B9" w14:textId="3642AECA" w:rsidR="00635DDD" w:rsidRDefault="00635DDD" w:rsidP="005564E1">
      <w:pPr>
        <w:pStyle w:val="PZTextodstavce"/>
      </w:pPr>
      <w:r w:rsidRPr="00063887">
        <w:t>(1</w:t>
      </w:r>
      <w:r>
        <w:t xml:space="preserve">) </w:t>
      </w:r>
      <w:r w:rsidRPr="00063887">
        <w:t>Předmětem</w:t>
      </w:r>
      <w:r>
        <w:t xml:space="preserve"> </w:t>
      </w:r>
      <w:r w:rsidRPr="00063887">
        <w:t>výhry</w:t>
      </w:r>
      <w:r>
        <w:t xml:space="preserve"> </w:t>
      </w:r>
      <w:r w:rsidRPr="00063887">
        <w:t>hazardní</w:t>
      </w:r>
      <w:r>
        <w:t xml:space="preserve"> </w:t>
      </w:r>
      <w:r w:rsidRPr="00063887">
        <w:t>hry,</w:t>
      </w:r>
      <w:r>
        <w:t xml:space="preserve"> </w:t>
      </w:r>
      <w:r w:rsidRPr="00063887">
        <w:t>s</w:t>
      </w:r>
      <w:r>
        <w:t xml:space="preserve"> </w:t>
      </w:r>
      <w:r w:rsidRPr="00063887">
        <w:t>výjimkou</w:t>
      </w:r>
      <w:r>
        <w:t xml:space="preserve"> </w:t>
      </w:r>
      <w:r w:rsidRPr="00063887">
        <w:t>věcné</w:t>
      </w:r>
      <w:r>
        <w:t xml:space="preserve"> </w:t>
      </w:r>
      <w:r w:rsidRPr="00063887">
        <w:t>loterie,</w:t>
      </w:r>
      <w:r>
        <w:t xml:space="preserve"> </w:t>
      </w:r>
      <w:r w:rsidRPr="00063887">
        <w:t>okamžité</w:t>
      </w:r>
      <w:r>
        <w:t xml:space="preserve"> </w:t>
      </w:r>
      <w:r w:rsidRPr="00063887">
        <w:t>loterie,</w:t>
      </w:r>
      <w:r>
        <w:t xml:space="preserve"> </w:t>
      </w:r>
      <w:r w:rsidRPr="00063887">
        <w:t>doplňkové</w:t>
      </w:r>
      <w:r>
        <w:t xml:space="preserve"> </w:t>
      </w:r>
      <w:r w:rsidRPr="00063887">
        <w:t>loterie</w:t>
      </w:r>
      <w:r>
        <w:t xml:space="preserve"> </w:t>
      </w:r>
      <w:r w:rsidRPr="00063887">
        <w:t>a</w:t>
      </w:r>
      <w:r>
        <w:t xml:space="preserve"> </w:t>
      </w:r>
      <w:r w:rsidRPr="00063887">
        <w:t>tomboly,</w:t>
      </w:r>
      <w:r>
        <w:t xml:space="preserve"> </w:t>
      </w:r>
      <w:r w:rsidRPr="00063887">
        <w:t>mohou</w:t>
      </w:r>
      <w:r>
        <w:t xml:space="preserve"> </w:t>
      </w:r>
      <w:r w:rsidRPr="00063887">
        <w:t>být</w:t>
      </w:r>
      <w:r>
        <w:t xml:space="preserve"> </w:t>
      </w:r>
      <w:r w:rsidRPr="00063887">
        <w:t>pouze</w:t>
      </w:r>
      <w:r>
        <w:t xml:space="preserve"> </w:t>
      </w:r>
      <w:r w:rsidRPr="00063887">
        <w:t>peněžní</w:t>
      </w:r>
      <w:r>
        <w:t xml:space="preserve"> </w:t>
      </w:r>
      <w:r w:rsidRPr="00063887">
        <w:t>prostředky.</w:t>
      </w:r>
    </w:p>
    <w:p w14:paraId="522E43AD" w14:textId="5D5E9D22" w:rsidR="00635DDD" w:rsidRDefault="00635DDD" w:rsidP="005564E1">
      <w:pPr>
        <w:pStyle w:val="PZTextodstavce"/>
      </w:pPr>
      <w:r w:rsidRPr="00063887">
        <w:t>(2</w:t>
      </w:r>
      <w:r>
        <w:t xml:space="preserve">) </w:t>
      </w:r>
      <w:r w:rsidRPr="00063887">
        <w:t>Předmětem</w:t>
      </w:r>
      <w:r>
        <w:t xml:space="preserve"> </w:t>
      </w:r>
      <w:r w:rsidRPr="00063887">
        <w:t>výhry</w:t>
      </w:r>
      <w:r>
        <w:t xml:space="preserve"> </w:t>
      </w:r>
      <w:r w:rsidRPr="00063887">
        <w:t>věcné</w:t>
      </w:r>
      <w:r>
        <w:t xml:space="preserve"> </w:t>
      </w:r>
      <w:r w:rsidRPr="00063887">
        <w:t>loterie</w:t>
      </w:r>
      <w:r>
        <w:t xml:space="preserve"> </w:t>
      </w:r>
      <w:r w:rsidRPr="00063887">
        <w:t>nebo</w:t>
      </w:r>
      <w:r>
        <w:t xml:space="preserve"> </w:t>
      </w:r>
      <w:r w:rsidRPr="00063887">
        <w:t>tomboly</w:t>
      </w:r>
      <w:r>
        <w:t xml:space="preserve"> </w:t>
      </w:r>
      <w:r w:rsidRPr="00063887">
        <w:t>mohou</w:t>
      </w:r>
      <w:r>
        <w:t xml:space="preserve"> </w:t>
      </w:r>
      <w:r w:rsidRPr="00063887">
        <w:t>být</w:t>
      </w:r>
      <w:r>
        <w:t xml:space="preserve"> </w:t>
      </w:r>
      <w:r w:rsidRPr="00063887">
        <w:t>pouze</w:t>
      </w:r>
      <w:r>
        <w:t xml:space="preserve"> </w:t>
      </w:r>
      <w:r w:rsidRPr="00063887">
        <w:t>hmotné</w:t>
      </w:r>
      <w:r>
        <w:t xml:space="preserve"> </w:t>
      </w:r>
      <w:r w:rsidRPr="00063887">
        <w:t>věci</w:t>
      </w:r>
      <w:r>
        <w:t xml:space="preserve"> </w:t>
      </w:r>
      <w:r w:rsidRPr="00063887">
        <w:t>nebo</w:t>
      </w:r>
      <w:r>
        <w:t xml:space="preserve"> </w:t>
      </w:r>
      <w:r w:rsidRPr="00063887">
        <w:t>služby,</w:t>
      </w:r>
      <w:r>
        <w:t xml:space="preserve"> </w:t>
      </w:r>
      <w:r w:rsidRPr="00063887">
        <w:t>s</w:t>
      </w:r>
      <w:r>
        <w:t xml:space="preserve"> </w:t>
      </w:r>
      <w:r w:rsidRPr="00063887">
        <w:t>vyloučením</w:t>
      </w:r>
      <w:r>
        <w:t xml:space="preserve"> </w:t>
      </w:r>
      <w:r w:rsidRPr="00063887">
        <w:t>peněžních</w:t>
      </w:r>
      <w:r>
        <w:t xml:space="preserve"> </w:t>
      </w:r>
      <w:r w:rsidRPr="00063887">
        <w:t>prostředků.</w:t>
      </w:r>
    </w:p>
    <w:p w14:paraId="53E72C39" w14:textId="72F485E3" w:rsidR="00635DDD" w:rsidRDefault="00635DDD" w:rsidP="005564E1">
      <w:pPr>
        <w:pStyle w:val="PZTextodstavce"/>
      </w:pPr>
      <w:r w:rsidRPr="00063887">
        <w:t>(3</w:t>
      </w:r>
      <w:r>
        <w:t xml:space="preserve">) </w:t>
      </w:r>
      <w:r w:rsidRPr="00063887">
        <w:t>Předmětem</w:t>
      </w:r>
      <w:r>
        <w:t xml:space="preserve"> </w:t>
      </w:r>
      <w:r w:rsidRPr="00063887">
        <w:t>výhry</w:t>
      </w:r>
      <w:r>
        <w:t xml:space="preserve"> </w:t>
      </w:r>
      <w:r w:rsidRPr="00063887">
        <w:t>okamžité</w:t>
      </w:r>
      <w:r>
        <w:t xml:space="preserve"> </w:t>
      </w:r>
      <w:r w:rsidRPr="00063887">
        <w:t>loterie</w:t>
      </w:r>
      <w:r>
        <w:t xml:space="preserve"> </w:t>
      </w:r>
      <w:r w:rsidRPr="00063887">
        <w:t>nebo</w:t>
      </w:r>
      <w:r>
        <w:t xml:space="preserve"> </w:t>
      </w:r>
      <w:r w:rsidRPr="00063887">
        <w:t>doplňkové</w:t>
      </w:r>
      <w:r>
        <w:t xml:space="preserve"> </w:t>
      </w:r>
      <w:r w:rsidRPr="00063887">
        <w:t>loterie</w:t>
      </w:r>
      <w:r>
        <w:t xml:space="preserve"> </w:t>
      </w:r>
      <w:r w:rsidRPr="00063887">
        <w:t>mohou</w:t>
      </w:r>
      <w:r>
        <w:t xml:space="preserve"> </w:t>
      </w:r>
      <w:r w:rsidRPr="00063887">
        <w:t>být</w:t>
      </w:r>
      <w:r>
        <w:t xml:space="preserve"> </w:t>
      </w:r>
      <w:r w:rsidRPr="00063887">
        <w:t>pouze</w:t>
      </w:r>
      <w:r>
        <w:t xml:space="preserve"> </w:t>
      </w:r>
      <w:r w:rsidRPr="00063887">
        <w:t>peněžní</w:t>
      </w:r>
      <w:r>
        <w:t xml:space="preserve"> </w:t>
      </w:r>
      <w:r w:rsidRPr="00063887">
        <w:t>prostředky,</w:t>
      </w:r>
      <w:r>
        <w:t xml:space="preserve"> </w:t>
      </w:r>
      <w:r w:rsidRPr="00063887">
        <w:t>hmotné</w:t>
      </w:r>
      <w:r>
        <w:t xml:space="preserve"> </w:t>
      </w:r>
      <w:r w:rsidRPr="00063887">
        <w:t>věci</w:t>
      </w:r>
      <w:r>
        <w:t xml:space="preserve"> </w:t>
      </w:r>
      <w:r w:rsidRPr="00063887">
        <w:t>nebo</w:t>
      </w:r>
      <w:r>
        <w:t xml:space="preserve"> </w:t>
      </w:r>
      <w:r w:rsidRPr="00063887">
        <w:t>služby.</w:t>
      </w:r>
    </w:p>
    <w:p w14:paraId="66986185" w14:textId="4232367B" w:rsidR="00635DDD" w:rsidRDefault="00635DDD" w:rsidP="005564E1">
      <w:pPr>
        <w:pStyle w:val="PZTextodstavce"/>
      </w:pPr>
      <w:r w:rsidRPr="00063887">
        <w:t>(4</w:t>
      </w:r>
      <w:r>
        <w:t xml:space="preserve">) </w:t>
      </w:r>
      <w:r w:rsidRPr="00063887">
        <w:t>Předmětem</w:t>
      </w:r>
      <w:r>
        <w:t xml:space="preserve"> </w:t>
      </w:r>
      <w:r w:rsidRPr="00063887">
        <w:t>výhry</w:t>
      </w:r>
      <w:r>
        <w:t xml:space="preserve"> </w:t>
      </w:r>
      <w:r w:rsidRPr="00063887">
        <w:t>živé</w:t>
      </w:r>
      <w:r>
        <w:t xml:space="preserve"> </w:t>
      </w:r>
      <w:r w:rsidRPr="00063887">
        <w:t>hry</w:t>
      </w:r>
      <w:r>
        <w:t xml:space="preserve"> </w:t>
      </w:r>
      <w:r w:rsidRPr="00063887">
        <w:t>mohou</w:t>
      </w:r>
      <w:r>
        <w:t xml:space="preserve"> </w:t>
      </w:r>
      <w:r w:rsidRPr="00063887">
        <w:t>být</w:t>
      </w:r>
      <w:r>
        <w:t xml:space="preserve"> </w:t>
      </w:r>
      <w:r w:rsidRPr="00063887">
        <w:t>pouze</w:t>
      </w:r>
    </w:p>
    <w:p w14:paraId="7EE20AD9" w14:textId="77777777" w:rsidR="00635DDD" w:rsidRDefault="00635DDD" w:rsidP="00635DDD">
      <w:pPr>
        <w:pStyle w:val="PZTextpsmene"/>
        <w:spacing w:before="0"/>
      </w:pPr>
      <w:r w:rsidRPr="00063887">
        <w:t>a</w:t>
      </w:r>
      <w:r>
        <w:t>)</w:t>
      </w:r>
      <w:r>
        <w:tab/>
      </w:r>
      <w:r w:rsidRPr="00063887">
        <w:t>hodnotové</w:t>
      </w:r>
      <w:r>
        <w:t xml:space="preserve"> </w:t>
      </w:r>
      <w:r w:rsidRPr="00063887">
        <w:t>nebo</w:t>
      </w:r>
      <w:r>
        <w:t xml:space="preserve"> </w:t>
      </w:r>
      <w:r w:rsidRPr="00063887">
        <w:t>hrací</w:t>
      </w:r>
      <w:r>
        <w:t xml:space="preserve"> </w:t>
      </w:r>
      <w:r w:rsidRPr="00063887">
        <w:t>žetony,</w:t>
      </w:r>
      <w:r>
        <w:t xml:space="preserve"> </w:t>
      </w:r>
      <w:r w:rsidRPr="00063887">
        <w:t>jedná-li</w:t>
      </w:r>
      <w:r>
        <w:t xml:space="preserve"> </w:t>
      </w:r>
      <w:r w:rsidRPr="00063887">
        <w:t>se</w:t>
      </w:r>
      <w:r>
        <w:t xml:space="preserve"> </w:t>
      </w:r>
      <w:r w:rsidRPr="00063887">
        <w:t>o</w:t>
      </w:r>
      <w:r>
        <w:t xml:space="preserve"> </w:t>
      </w:r>
      <w:r w:rsidRPr="00063887">
        <w:t>výhru</w:t>
      </w:r>
      <w:r>
        <w:t xml:space="preserve"> </w:t>
      </w:r>
      <w:r w:rsidRPr="00063887">
        <w:t>živé</w:t>
      </w:r>
      <w:r>
        <w:t xml:space="preserve"> </w:t>
      </w:r>
      <w:r w:rsidRPr="00063887">
        <w:t>hry</w:t>
      </w:r>
      <w:r>
        <w:t xml:space="preserve"> </w:t>
      </w:r>
      <w:r w:rsidRPr="00063887">
        <w:t>neprovozované</w:t>
      </w:r>
      <w:r>
        <w:t xml:space="preserve"> </w:t>
      </w:r>
      <w:r w:rsidRPr="00063887">
        <w:t>jako</w:t>
      </w:r>
      <w:r>
        <w:t xml:space="preserve"> </w:t>
      </w:r>
      <w:r w:rsidRPr="00063887">
        <w:t>internetová</w:t>
      </w:r>
      <w:r>
        <w:t xml:space="preserve"> </w:t>
      </w:r>
      <w:r w:rsidRPr="00063887">
        <w:t>hra,</w:t>
      </w:r>
    </w:p>
    <w:p w14:paraId="40C71760" w14:textId="77777777" w:rsidR="00635DDD" w:rsidRDefault="00635DDD" w:rsidP="00635DDD">
      <w:pPr>
        <w:pStyle w:val="PZTextpsmene"/>
        <w:spacing w:before="0"/>
      </w:pPr>
      <w:r w:rsidRPr="00063887">
        <w:t>b</w:t>
      </w:r>
      <w:r>
        <w:t>)</w:t>
      </w:r>
      <w:r>
        <w:tab/>
      </w:r>
      <w:r w:rsidRPr="00063887">
        <w:t>turnajové</w:t>
      </w:r>
      <w:r>
        <w:t xml:space="preserve"> </w:t>
      </w:r>
      <w:r w:rsidRPr="00063887">
        <w:t>žetony,</w:t>
      </w:r>
      <w:r>
        <w:t xml:space="preserve"> </w:t>
      </w:r>
      <w:r w:rsidRPr="00063887">
        <w:t>jedná-li</w:t>
      </w:r>
      <w:r>
        <w:t xml:space="preserve"> </w:t>
      </w:r>
      <w:r w:rsidRPr="00063887">
        <w:t>se</w:t>
      </w:r>
      <w:r>
        <w:t xml:space="preserve"> </w:t>
      </w:r>
      <w:r w:rsidRPr="00063887">
        <w:t>o</w:t>
      </w:r>
      <w:r>
        <w:t xml:space="preserve"> </w:t>
      </w:r>
      <w:r w:rsidRPr="00063887">
        <w:t>výhru</w:t>
      </w:r>
      <w:r>
        <w:t xml:space="preserve"> </w:t>
      </w:r>
      <w:r w:rsidRPr="00063887">
        <w:t>jednotlivé</w:t>
      </w:r>
      <w:r>
        <w:t xml:space="preserve"> </w:t>
      </w:r>
      <w:r w:rsidRPr="00063887">
        <w:t>hry</w:t>
      </w:r>
      <w:r>
        <w:t xml:space="preserve"> </w:t>
      </w:r>
      <w:r w:rsidRPr="00063887">
        <w:t>živé</w:t>
      </w:r>
      <w:r>
        <w:t xml:space="preserve"> </w:t>
      </w:r>
      <w:r w:rsidRPr="00063887">
        <w:t>hry</w:t>
      </w:r>
      <w:r>
        <w:t xml:space="preserve"> </w:t>
      </w:r>
      <w:r w:rsidRPr="00063887">
        <w:t>v</w:t>
      </w:r>
      <w:r>
        <w:t xml:space="preserve"> </w:t>
      </w:r>
      <w:r w:rsidRPr="00063887">
        <w:t>rámci</w:t>
      </w:r>
      <w:r>
        <w:t xml:space="preserve"> </w:t>
      </w:r>
      <w:r w:rsidRPr="00063887">
        <w:t>karetního</w:t>
      </w:r>
      <w:r>
        <w:t xml:space="preserve"> </w:t>
      </w:r>
      <w:r w:rsidRPr="00063887">
        <w:t>turnaje,</w:t>
      </w:r>
    </w:p>
    <w:p w14:paraId="30D8911F" w14:textId="77777777" w:rsidR="00635DDD" w:rsidRDefault="00635DDD" w:rsidP="00635DDD">
      <w:pPr>
        <w:pStyle w:val="PZTextpsmene"/>
        <w:spacing w:before="0"/>
      </w:pPr>
      <w:r w:rsidRPr="00063887">
        <w:t>c</w:t>
      </w:r>
      <w:r>
        <w:t>)</w:t>
      </w:r>
      <w:r>
        <w:tab/>
      </w:r>
      <w:r w:rsidRPr="00063887">
        <w:t>peněžní</w:t>
      </w:r>
      <w:r>
        <w:t xml:space="preserve"> </w:t>
      </w:r>
      <w:r w:rsidRPr="00063887">
        <w:t>prostředky,</w:t>
      </w:r>
      <w:r>
        <w:t xml:space="preserve"> </w:t>
      </w:r>
      <w:r w:rsidRPr="00063887">
        <w:t>jedná-li</w:t>
      </w:r>
      <w:r>
        <w:t xml:space="preserve"> </w:t>
      </w:r>
      <w:r w:rsidRPr="00063887">
        <w:t>se</w:t>
      </w:r>
      <w:r>
        <w:t xml:space="preserve"> </w:t>
      </w:r>
      <w:r w:rsidRPr="00063887">
        <w:t>o</w:t>
      </w:r>
      <w:r>
        <w:t xml:space="preserve"> </w:t>
      </w:r>
      <w:r w:rsidRPr="00063887">
        <w:t>výhru</w:t>
      </w:r>
      <w:r>
        <w:t xml:space="preserve"> </w:t>
      </w:r>
      <w:r w:rsidRPr="00063887">
        <w:t>živé</w:t>
      </w:r>
      <w:r>
        <w:t xml:space="preserve"> </w:t>
      </w:r>
      <w:r w:rsidRPr="00063887">
        <w:t>hry</w:t>
      </w:r>
      <w:r>
        <w:t xml:space="preserve"> </w:t>
      </w:r>
      <w:r w:rsidRPr="00063887">
        <w:t>provozované</w:t>
      </w:r>
      <w:r>
        <w:t xml:space="preserve"> </w:t>
      </w:r>
      <w:r w:rsidRPr="00063887">
        <w:t>jako</w:t>
      </w:r>
      <w:r>
        <w:t xml:space="preserve"> </w:t>
      </w:r>
      <w:r w:rsidRPr="00063887">
        <w:t>internetová</w:t>
      </w:r>
      <w:r>
        <w:t xml:space="preserve"> </w:t>
      </w:r>
      <w:r w:rsidRPr="00063887">
        <w:t>hra</w:t>
      </w:r>
      <w:r>
        <w:t xml:space="preserve"> </w:t>
      </w:r>
      <w:r w:rsidRPr="00063887">
        <w:t>nebo</w:t>
      </w:r>
      <w:r>
        <w:t xml:space="preserve"> </w:t>
      </w:r>
      <w:r w:rsidRPr="00063887">
        <w:t>karetní</w:t>
      </w:r>
      <w:r>
        <w:t xml:space="preserve"> </w:t>
      </w:r>
      <w:r w:rsidRPr="00063887">
        <w:t>turnaj.</w:t>
      </w:r>
    </w:p>
    <w:p w14:paraId="7F442488" w14:textId="06FA46E6" w:rsidR="00635DDD" w:rsidRDefault="00635DDD" w:rsidP="005564E1">
      <w:pPr>
        <w:pStyle w:val="PZTextodstavce"/>
      </w:pPr>
      <w:r w:rsidRPr="00063887">
        <w:t>(5</w:t>
      </w:r>
      <w:r>
        <w:t xml:space="preserve">) </w:t>
      </w:r>
      <w:r w:rsidRPr="00063887">
        <w:t>Peněžní</w:t>
      </w:r>
      <w:r>
        <w:t xml:space="preserve"> </w:t>
      </w:r>
      <w:r w:rsidRPr="00063887">
        <w:t>prostředky</w:t>
      </w:r>
      <w:r>
        <w:t xml:space="preserve"> </w:t>
      </w:r>
      <w:r w:rsidRPr="00063887">
        <w:t>vyplácené</w:t>
      </w:r>
      <w:r>
        <w:t xml:space="preserve"> </w:t>
      </w:r>
      <w:r w:rsidRPr="00063887">
        <w:t>jako</w:t>
      </w:r>
      <w:r>
        <w:t xml:space="preserve"> </w:t>
      </w:r>
      <w:r w:rsidRPr="00063887">
        <w:t>renta</w:t>
      </w:r>
      <w:r>
        <w:t xml:space="preserve"> </w:t>
      </w:r>
      <w:r w:rsidRPr="00063887">
        <w:t>mohou</w:t>
      </w:r>
      <w:r>
        <w:t xml:space="preserve"> </w:t>
      </w:r>
      <w:r w:rsidRPr="00063887">
        <w:t>být</w:t>
      </w:r>
      <w:r>
        <w:t xml:space="preserve"> </w:t>
      </w:r>
      <w:r w:rsidRPr="00063887">
        <w:t>předmětem</w:t>
      </w:r>
      <w:r>
        <w:t xml:space="preserve"> </w:t>
      </w:r>
      <w:r w:rsidRPr="00063887">
        <w:t>výhry</w:t>
      </w:r>
      <w:r>
        <w:t xml:space="preserve"> </w:t>
      </w:r>
      <w:r w:rsidRPr="00063887">
        <w:t>pouze</w:t>
      </w:r>
      <w:r>
        <w:t xml:space="preserve"> </w:t>
      </w:r>
      <w:r w:rsidRPr="00063887">
        <w:t>tehdy,</w:t>
      </w:r>
      <w:r>
        <w:t xml:space="preserve"> </w:t>
      </w:r>
      <w:r w:rsidRPr="00063887">
        <w:t>jedná-li</w:t>
      </w:r>
      <w:r>
        <w:t xml:space="preserve"> </w:t>
      </w:r>
      <w:r w:rsidRPr="00063887">
        <w:t>se</w:t>
      </w:r>
      <w:r>
        <w:t xml:space="preserve"> </w:t>
      </w:r>
      <w:r w:rsidRPr="00063887">
        <w:t>o</w:t>
      </w:r>
      <w:r>
        <w:t xml:space="preserve"> </w:t>
      </w:r>
      <w:r w:rsidRPr="00063887">
        <w:t>výhru</w:t>
      </w:r>
      <w:r>
        <w:t xml:space="preserve"> </w:t>
      </w:r>
      <w:r w:rsidRPr="00063887">
        <w:t>číselné</w:t>
      </w:r>
      <w:r>
        <w:t xml:space="preserve"> </w:t>
      </w:r>
      <w:r w:rsidRPr="00063887">
        <w:t>loterie,</w:t>
      </w:r>
      <w:r>
        <w:t xml:space="preserve"> </w:t>
      </w:r>
      <w:r w:rsidRPr="00063887">
        <w:t>peněžité</w:t>
      </w:r>
      <w:r>
        <w:t xml:space="preserve"> </w:t>
      </w:r>
      <w:r w:rsidRPr="00063887">
        <w:t>loterie</w:t>
      </w:r>
      <w:r>
        <w:t xml:space="preserve"> </w:t>
      </w:r>
      <w:r w:rsidRPr="00063887">
        <w:t>nebo</w:t>
      </w:r>
      <w:r>
        <w:t xml:space="preserve"> </w:t>
      </w:r>
      <w:r w:rsidRPr="00063887">
        <w:t>okamžité</w:t>
      </w:r>
      <w:r>
        <w:t xml:space="preserve"> </w:t>
      </w:r>
      <w:r w:rsidRPr="00063887">
        <w:t>loterie.</w:t>
      </w:r>
    </w:p>
    <w:p w14:paraId="743A602D" w14:textId="1122B112" w:rsidR="00635DDD" w:rsidRDefault="00635DDD" w:rsidP="005564E1">
      <w:pPr>
        <w:pStyle w:val="PZTextodstavce"/>
      </w:pPr>
      <w:r w:rsidRPr="00063887">
        <w:t>(6</w:t>
      </w:r>
      <w:r>
        <w:t xml:space="preserve">) </w:t>
      </w:r>
      <w:r w:rsidRPr="00063887">
        <w:t>Předmětem</w:t>
      </w:r>
      <w:r>
        <w:t xml:space="preserve"> </w:t>
      </w:r>
      <w:r w:rsidRPr="00063887">
        <w:t>výhry</w:t>
      </w:r>
      <w:r>
        <w:t xml:space="preserve"> </w:t>
      </w:r>
      <w:r w:rsidRPr="00063887">
        <w:t>nesmí</w:t>
      </w:r>
      <w:r>
        <w:t xml:space="preserve"> </w:t>
      </w:r>
      <w:r w:rsidRPr="00063887">
        <w:t>být</w:t>
      </w:r>
    </w:p>
    <w:p w14:paraId="7E889867" w14:textId="77777777" w:rsidR="00635DDD" w:rsidRDefault="00635DDD" w:rsidP="00635DDD">
      <w:pPr>
        <w:pStyle w:val="PZTextpsmene"/>
        <w:spacing w:before="0"/>
      </w:pPr>
      <w:r w:rsidRPr="00063887">
        <w:t>a</w:t>
      </w:r>
      <w:r>
        <w:t>)</w:t>
      </w:r>
      <w:r>
        <w:tab/>
      </w:r>
      <w:r w:rsidRPr="00063887">
        <w:t>tabákový</w:t>
      </w:r>
      <w:r>
        <w:t xml:space="preserve"> </w:t>
      </w:r>
      <w:r w:rsidRPr="00063887">
        <w:t>výrobek,</w:t>
      </w:r>
      <w:r>
        <w:t xml:space="preserve"> </w:t>
      </w:r>
      <w:r w:rsidRPr="00063887">
        <w:t>kuřácká</w:t>
      </w:r>
      <w:r>
        <w:t xml:space="preserve"> </w:t>
      </w:r>
      <w:r w:rsidRPr="00063887">
        <w:t>pomůcka,</w:t>
      </w:r>
      <w:r>
        <w:t xml:space="preserve"> </w:t>
      </w:r>
      <w:r w:rsidRPr="00063887">
        <w:t>bylinný</w:t>
      </w:r>
      <w:r>
        <w:t xml:space="preserve"> </w:t>
      </w:r>
      <w:r w:rsidRPr="00063887">
        <w:t>výrobek</w:t>
      </w:r>
      <w:r>
        <w:t xml:space="preserve"> </w:t>
      </w:r>
      <w:r w:rsidRPr="00063887">
        <w:t>určený</w:t>
      </w:r>
      <w:r>
        <w:t xml:space="preserve"> </w:t>
      </w:r>
      <w:r w:rsidRPr="00063887">
        <w:t>ke</w:t>
      </w:r>
      <w:r>
        <w:t xml:space="preserve"> </w:t>
      </w:r>
      <w:r w:rsidRPr="00063887">
        <w:t>kouření,</w:t>
      </w:r>
      <w:r>
        <w:t xml:space="preserve"> </w:t>
      </w:r>
      <w:r w:rsidRPr="00063887">
        <w:t>elektronická</w:t>
      </w:r>
      <w:r>
        <w:t xml:space="preserve"> </w:t>
      </w:r>
      <w:r w:rsidRPr="00063887">
        <w:t>cigareta,</w:t>
      </w:r>
      <w:r>
        <w:t xml:space="preserve"> </w:t>
      </w:r>
      <w:r w:rsidRPr="00063887">
        <w:t>nikotinový</w:t>
      </w:r>
      <w:r>
        <w:t xml:space="preserve"> </w:t>
      </w:r>
      <w:r w:rsidRPr="00063887">
        <w:t>sáček</w:t>
      </w:r>
      <w:r>
        <w:t xml:space="preserve"> </w:t>
      </w:r>
      <w:r w:rsidRPr="00063887">
        <w:t>bez</w:t>
      </w:r>
      <w:r>
        <w:t xml:space="preserve"> </w:t>
      </w:r>
      <w:r w:rsidRPr="00063887">
        <w:t>obsahu</w:t>
      </w:r>
      <w:r>
        <w:t xml:space="preserve"> </w:t>
      </w:r>
      <w:r w:rsidRPr="00063887">
        <w:t>tabáku</w:t>
      </w:r>
      <w:r>
        <w:t xml:space="preserve"> </w:t>
      </w:r>
      <w:r w:rsidRPr="00063887">
        <w:t>nebo</w:t>
      </w:r>
      <w:r>
        <w:t xml:space="preserve"> </w:t>
      </w:r>
      <w:r w:rsidRPr="00063887">
        <w:t>alkoholický</w:t>
      </w:r>
      <w:r>
        <w:t xml:space="preserve"> </w:t>
      </w:r>
      <w:r w:rsidRPr="00063887">
        <w:t>nápoj</w:t>
      </w:r>
      <w:r>
        <w:t xml:space="preserve"> </w:t>
      </w:r>
      <w:r w:rsidRPr="00063887">
        <w:t>podle</w:t>
      </w:r>
      <w:r>
        <w:t xml:space="preserve"> </w:t>
      </w:r>
      <w:r w:rsidRPr="00063887">
        <w:t>zákona</w:t>
      </w:r>
      <w:r>
        <w:t xml:space="preserve"> </w:t>
      </w:r>
      <w:r w:rsidRPr="00063887">
        <w:t>upravujícího</w:t>
      </w:r>
      <w:r>
        <w:t xml:space="preserve"> </w:t>
      </w:r>
      <w:r w:rsidRPr="00063887">
        <w:t>ochranu</w:t>
      </w:r>
      <w:r>
        <w:t xml:space="preserve"> </w:t>
      </w:r>
      <w:r w:rsidRPr="00063887">
        <w:t>zdraví</w:t>
      </w:r>
      <w:r>
        <w:t xml:space="preserve"> </w:t>
      </w:r>
      <w:r w:rsidRPr="00063887">
        <w:t>před</w:t>
      </w:r>
      <w:r>
        <w:t xml:space="preserve"> </w:t>
      </w:r>
      <w:r w:rsidRPr="00063887">
        <w:t>škodlivými</w:t>
      </w:r>
      <w:r>
        <w:t xml:space="preserve"> </w:t>
      </w:r>
      <w:r w:rsidRPr="00063887">
        <w:t>účinky</w:t>
      </w:r>
      <w:r>
        <w:t xml:space="preserve"> </w:t>
      </w:r>
      <w:r w:rsidRPr="00063887">
        <w:t>návykových</w:t>
      </w:r>
      <w:r>
        <w:t xml:space="preserve"> </w:t>
      </w:r>
      <w:r w:rsidRPr="00063887">
        <w:t>látek,</w:t>
      </w:r>
    </w:p>
    <w:p w14:paraId="594BA393" w14:textId="77777777" w:rsidR="00635DDD" w:rsidRDefault="00635DDD" w:rsidP="00635DDD">
      <w:pPr>
        <w:pStyle w:val="PZTextpsmene"/>
        <w:spacing w:before="0"/>
      </w:pPr>
      <w:r w:rsidRPr="00063887">
        <w:t>b</w:t>
      </w:r>
      <w:r>
        <w:t>)</w:t>
      </w:r>
      <w:r>
        <w:tab/>
      </w:r>
      <w:r w:rsidRPr="00063887">
        <w:t>látka</w:t>
      </w:r>
      <w:r>
        <w:t xml:space="preserve"> </w:t>
      </w:r>
      <w:r w:rsidRPr="00063887">
        <w:t>nebo</w:t>
      </w:r>
      <w:r>
        <w:t xml:space="preserve"> </w:t>
      </w:r>
      <w:r w:rsidRPr="00063887">
        <w:t>přípravek</w:t>
      </w:r>
      <w:r>
        <w:t xml:space="preserve"> </w:t>
      </w:r>
      <w:r w:rsidRPr="00063887">
        <w:t>podle</w:t>
      </w:r>
      <w:r>
        <w:t xml:space="preserve"> </w:t>
      </w:r>
      <w:r w:rsidRPr="00063887">
        <w:t>nařízení</w:t>
      </w:r>
      <w:r>
        <w:t xml:space="preserve"> </w:t>
      </w:r>
      <w:r w:rsidRPr="00063887">
        <w:t>vlády</w:t>
      </w:r>
      <w:r>
        <w:t xml:space="preserve"> </w:t>
      </w:r>
      <w:r w:rsidRPr="00063887">
        <w:t>upravujícího</w:t>
      </w:r>
      <w:r>
        <w:t xml:space="preserve"> </w:t>
      </w:r>
      <w:r w:rsidRPr="00063887">
        <w:t>seznam</w:t>
      </w:r>
      <w:r>
        <w:t xml:space="preserve"> </w:t>
      </w:r>
      <w:r w:rsidRPr="00063887">
        <w:t>návykových</w:t>
      </w:r>
      <w:r>
        <w:t xml:space="preserve"> </w:t>
      </w:r>
      <w:r w:rsidRPr="00063887">
        <w:t>látek,</w:t>
      </w:r>
    </w:p>
    <w:p w14:paraId="45CF177E" w14:textId="77777777" w:rsidR="00635DDD" w:rsidRDefault="00635DDD" w:rsidP="00635DDD">
      <w:pPr>
        <w:pStyle w:val="PZTextpsmene"/>
        <w:spacing w:before="0"/>
      </w:pPr>
      <w:r w:rsidRPr="00063887">
        <w:t>c</w:t>
      </w:r>
      <w:r>
        <w:t>)</w:t>
      </w:r>
      <w:r>
        <w:tab/>
      </w:r>
      <w:r w:rsidRPr="00063887">
        <w:t>léčivý</w:t>
      </w:r>
      <w:r>
        <w:t xml:space="preserve"> </w:t>
      </w:r>
      <w:r w:rsidRPr="00063887">
        <w:t>přípravek</w:t>
      </w:r>
      <w:r>
        <w:t xml:space="preserve"> </w:t>
      </w:r>
      <w:r w:rsidRPr="00063887">
        <w:t>podle</w:t>
      </w:r>
      <w:r>
        <w:t xml:space="preserve"> </w:t>
      </w:r>
      <w:r w:rsidRPr="00063887">
        <w:t>zákona</w:t>
      </w:r>
      <w:r>
        <w:t xml:space="preserve"> </w:t>
      </w:r>
      <w:r w:rsidRPr="00063887">
        <w:t>upravujícího</w:t>
      </w:r>
      <w:r>
        <w:t xml:space="preserve"> </w:t>
      </w:r>
      <w:r w:rsidRPr="00063887">
        <w:t>léčiva,</w:t>
      </w:r>
    </w:p>
    <w:p w14:paraId="34C5157D" w14:textId="77777777" w:rsidR="00635DDD" w:rsidRDefault="00635DDD" w:rsidP="00635DDD">
      <w:pPr>
        <w:pStyle w:val="PZTextpsmene"/>
        <w:spacing w:before="0"/>
      </w:pPr>
      <w:r w:rsidRPr="00063887">
        <w:t>d</w:t>
      </w:r>
      <w:r>
        <w:t>)</w:t>
      </w:r>
      <w:r>
        <w:tab/>
      </w:r>
      <w:r w:rsidRPr="00063887">
        <w:t>cenný</w:t>
      </w:r>
      <w:r>
        <w:t xml:space="preserve"> </w:t>
      </w:r>
      <w:r w:rsidRPr="00063887">
        <w:t>papír</w:t>
      </w:r>
      <w:r>
        <w:t xml:space="preserve"> </w:t>
      </w:r>
      <w:r w:rsidRPr="00063887">
        <w:t>nebo</w:t>
      </w:r>
      <w:r>
        <w:t xml:space="preserve"> </w:t>
      </w:r>
      <w:r w:rsidRPr="00063887">
        <w:t>jiný</w:t>
      </w:r>
      <w:r>
        <w:t xml:space="preserve"> </w:t>
      </w:r>
      <w:r w:rsidRPr="00063887">
        <w:t>investiční</w:t>
      </w:r>
      <w:r>
        <w:t xml:space="preserve"> </w:t>
      </w:r>
      <w:r w:rsidRPr="00063887">
        <w:t>nástroj</w:t>
      </w:r>
      <w:r>
        <w:t xml:space="preserve"> </w:t>
      </w:r>
      <w:r w:rsidRPr="00063887">
        <w:t>nebo</w:t>
      </w:r>
    </w:p>
    <w:p w14:paraId="07D638A7" w14:textId="77777777" w:rsidR="00635DDD" w:rsidRDefault="00635DDD" w:rsidP="00635DDD">
      <w:pPr>
        <w:pStyle w:val="PZTextpsmene"/>
        <w:spacing w:before="0"/>
      </w:pPr>
      <w:r w:rsidRPr="00063887">
        <w:lastRenderedPageBreak/>
        <w:t>e</w:t>
      </w:r>
      <w:r>
        <w:t>)</w:t>
      </w:r>
      <w:r>
        <w:tab/>
      </w:r>
      <w:r w:rsidRPr="00063887">
        <w:t>virtuální</w:t>
      </w:r>
      <w:r>
        <w:t xml:space="preserve"> </w:t>
      </w:r>
      <w:r w:rsidRPr="00063887">
        <w:t>aktivum</w:t>
      </w:r>
      <w:r>
        <w:t xml:space="preserve"> </w:t>
      </w:r>
      <w:r w:rsidRPr="00063887">
        <w:t>podle</w:t>
      </w:r>
      <w:r>
        <w:t xml:space="preserve"> </w:t>
      </w:r>
      <w:r w:rsidRPr="00063887">
        <w:t>zákona</w:t>
      </w:r>
      <w:r>
        <w:t xml:space="preserve"> </w:t>
      </w:r>
      <w:r w:rsidRPr="00063887">
        <w:t>upravujícího</w:t>
      </w:r>
      <w:r>
        <w:t xml:space="preserve"> </w:t>
      </w:r>
      <w:r w:rsidRPr="00063887">
        <w:t>některá</w:t>
      </w:r>
      <w:r>
        <w:t xml:space="preserve"> </w:t>
      </w:r>
      <w:r w:rsidRPr="00063887">
        <w:t>opatření</w:t>
      </w:r>
      <w:r>
        <w:t xml:space="preserve"> </w:t>
      </w:r>
      <w:r w:rsidRPr="00063887">
        <w:t>proti</w:t>
      </w:r>
      <w:r>
        <w:t xml:space="preserve"> </w:t>
      </w:r>
      <w:r w:rsidRPr="00063887">
        <w:t>legalizaci</w:t>
      </w:r>
      <w:r>
        <w:t xml:space="preserve"> </w:t>
      </w:r>
      <w:r w:rsidRPr="00063887">
        <w:t>výnosů</w:t>
      </w:r>
      <w:r>
        <w:t xml:space="preserve"> </w:t>
      </w:r>
      <w:r w:rsidRPr="00063887">
        <w:t>z</w:t>
      </w:r>
      <w:r>
        <w:t xml:space="preserve"> </w:t>
      </w:r>
      <w:r w:rsidRPr="00063887">
        <w:t>trestné</w:t>
      </w:r>
      <w:r>
        <w:t xml:space="preserve"> </w:t>
      </w:r>
      <w:r w:rsidRPr="00063887">
        <w:t>činnosti</w:t>
      </w:r>
      <w:r>
        <w:t xml:space="preserve"> </w:t>
      </w:r>
      <w:r w:rsidRPr="00063887">
        <w:t>a</w:t>
      </w:r>
      <w:r>
        <w:t xml:space="preserve"> </w:t>
      </w:r>
      <w:r w:rsidRPr="00063887">
        <w:t>financování</w:t>
      </w:r>
      <w:r>
        <w:t xml:space="preserve"> </w:t>
      </w:r>
      <w:r w:rsidRPr="00063887">
        <w:t>terorismu.</w:t>
      </w:r>
    </w:p>
    <w:p w14:paraId="404802C9" w14:textId="53CAA738" w:rsidR="00635DDD" w:rsidRDefault="00635DDD" w:rsidP="005564E1">
      <w:pPr>
        <w:pStyle w:val="PZTextodstavce"/>
      </w:pPr>
      <w:r w:rsidRPr="00063887">
        <w:t>(7</w:t>
      </w:r>
      <w:r>
        <w:t xml:space="preserve">) </w:t>
      </w:r>
      <w:r w:rsidRPr="00063887">
        <w:t>Hodnota</w:t>
      </w:r>
      <w:r>
        <w:t xml:space="preserve"> </w:t>
      </w:r>
      <w:r w:rsidRPr="00063887">
        <w:t>nepeněžních</w:t>
      </w:r>
      <w:r>
        <w:t xml:space="preserve"> </w:t>
      </w:r>
      <w:r w:rsidRPr="00063887">
        <w:t>výher</w:t>
      </w:r>
      <w:r>
        <w:t xml:space="preserve"> </w:t>
      </w:r>
      <w:r w:rsidRPr="00063887">
        <w:t>se</w:t>
      </w:r>
      <w:r>
        <w:t xml:space="preserve"> </w:t>
      </w:r>
      <w:r w:rsidRPr="00063887">
        <w:t>určí</w:t>
      </w:r>
      <w:r>
        <w:t xml:space="preserve"> </w:t>
      </w:r>
      <w:r w:rsidRPr="00063887">
        <w:t>podle</w:t>
      </w:r>
      <w:r>
        <w:t xml:space="preserve"> </w:t>
      </w:r>
      <w:r w:rsidRPr="00063887">
        <w:t>zákona</w:t>
      </w:r>
      <w:r>
        <w:t xml:space="preserve"> </w:t>
      </w:r>
      <w:r w:rsidRPr="00063887">
        <w:t>upravujícího</w:t>
      </w:r>
      <w:r>
        <w:t xml:space="preserve"> </w:t>
      </w:r>
      <w:r w:rsidRPr="00063887">
        <w:t>oceňování</w:t>
      </w:r>
      <w:r>
        <w:t xml:space="preserve"> </w:t>
      </w:r>
      <w:r w:rsidRPr="001443AF">
        <w:rPr>
          <w:strike/>
        </w:rPr>
        <w:t>majetku</w:t>
      </w:r>
      <w:r>
        <w:t xml:space="preserve"> </w:t>
      </w:r>
      <w:r>
        <w:rPr>
          <w:b/>
        </w:rPr>
        <w:t>věcí, služeb a dluhů</w:t>
      </w:r>
      <w:r w:rsidRPr="00063887">
        <w:t>.</w:t>
      </w:r>
    </w:p>
    <w:p w14:paraId="259FA1A1" w14:textId="797256E4" w:rsidR="00635DDD" w:rsidRDefault="00635DDD" w:rsidP="005564E1">
      <w:pPr>
        <w:pStyle w:val="PZTextodstavce"/>
      </w:pPr>
      <w:r w:rsidRPr="00063887">
        <w:t>(8</w:t>
      </w:r>
      <w:r>
        <w:t xml:space="preserve">) </w:t>
      </w:r>
      <w:r w:rsidRPr="00063887">
        <w:t>Provozovatel</w:t>
      </w:r>
      <w:r>
        <w:t xml:space="preserve"> </w:t>
      </w:r>
      <w:r w:rsidRPr="00063887">
        <w:t>je</w:t>
      </w:r>
      <w:r>
        <w:t xml:space="preserve"> </w:t>
      </w:r>
      <w:r w:rsidRPr="00063887">
        <w:t>povinen</w:t>
      </w:r>
      <w:r>
        <w:t xml:space="preserve"> </w:t>
      </w:r>
      <w:r w:rsidRPr="00063887">
        <w:t>vyplatit</w:t>
      </w:r>
      <w:r>
        <w:t xml:space="preserve"> </w:t>
      </w:r>
      <w:r w:rsidRPr="00063887">
        <w:t>výhru</w:t>
      </w:r>
      <w:r>
        <w:t xml:space="preserve"> </w:t>
      </w:r>
      <w:r w:rsidRPr="00063887">
        <w:t>ve</w:t>
      </w:r>
      <w:r>
        <w:t xml:space="preserve"> </w:t>
      </w:r>
      <w:r w:rsidRPr="00063887">
        <w:t>stejné</w:t>
      </w:r>
      <w:r>
        <w:t xml:space="preserve"> </w:t>
      </w:r>
      <w:r w:rsidRPr="00063887">
        <w:t>měně,</w:t>
      </w:r>
      <w:r>
        <w:t xml:space="preserve"> </w:t>
      </w:r>
      <w:r w:rsidRPr="00063887">
        <w:t>v</w:t>
      </w:r>
      <w:r>
        <w:t xml:space="preserve"> </w:t>
      </w:r>
      <w:r w:rsidRPr="00063887">
        <w:t>jaké</w:t>
      </w:r>
      <w:r>
        <w:t xml:space="preserve"> </w:t>
      </w:r>
      <w:r w:rsidRPr="00063887">
        <w:t>přijal</w:t>
      </w:r>
      <w:r>
        <w:t xml:space="preserve"> </w:t>
      </w:r>
      <w:r w:rsidRPr="00063887">
        <w:t>související</w:t>
      </w:r>
      <w:r>
        <w:t xml:space="preserve"> </w:t>
      </w:r>
      <w:r w:rsidRPr="00063887">
        <w:t>sázku</w:t>
      </w:r>
      <w:r>
        <w:t xml:space="preserve"> </w:t>
      </w:r>
      <w:r w:rsidRPr="00063887">
        <w:t>do</w:t>
      </w:r>
      <w:r>
        <w:t xml:space="preserve"> </w:t>
      </w:r>
      <w:r w:rsidRPr="00063887">
        <w:t>hry.</w:t>
      </w:r>
    </w:p>
    <w:p w14:paraId="31E8980A" w14:textId="506D054D" w:rsidR="00C62C41" w:rsidRPr="005F3F8C" w:rsidRDefault="00C62C41" w:rsidP="00C62C41">
      <w:pPr>
        <w:pStyle w:val="Textparagrafu"/>
        <w:numPr>
          <w:ilvl w:val="0"/>
          <w:numId w:val="27"/>
        </w:numPr>
        <w:tabs>
          <w:tab w:val="left" w:pos="392"/>
          <w:tab w:val="left" w:pos="840"/>
        </w:tabs>
        <w:spacing w:after="120"/>
        <w:jc w:val="center"/>
        <w:rPr>
          <w:highlight w:val="red"/>
        </w:rPr>
      </w:pPr>
      <w:r w:rsidRPr="005F3F8C">
        <w:rPr>
          <w:highlight w:val="red"/>
        </w:rPr>
        <w:t xml:space="preserve"> </w:t>
      </w:r>
    </w:p>
    <w:p w14:paraId="431D7886" w14:textId="77777777" w:rsidR="00C62C41" w:rsidRDefault="00C62C41" w:rsidP="00C62C41">
      <w:pPr>
        <w:tabs>
          <w:tab w:val="left" w:pos="851"/>
        </w:tabs>
        <w:spacing w:before="120" w:after="120"/>
        <w:ind w:firstLine="0"/>
        <w:outlineLvl w:val="0"/>
      </w:pPr>
    </w:p>
    <w:p w14:paraId="5CA582B2" w14:textId="77777777" w:rsidR="00C62C41" w:rsidRDefault="00C62C41" w:rsidP="00C62C41">
      <w:pPr>
        <w:tabs>
          <w:tab w:val="left" w:pos="851"/>
        </w:tabs>
        <w:spacing w:before="120" w:after="120"/>
        <w:ind w:firstLine="0"/>
        <w:outlineLvl w:val="0"/>
        <w:sectPr w:rsidR="00C62C41" w:rsidSect="00554E2B">
          <w:footnotePr>
            <w:numStart w:val="3"/>
          </w:footnotePr>
          <w:endnotePr>
            <w:numFmt w:val="decimal"/>
          </w:endnotePr>
          <w:pgSz w:w="11906" w:h="16838"/>
          <w:pgMar w:top="1418" w:right="1418" w:bottom="1418" w:left="1418" w:header="709" w:footer="709" w:gutter="0"/>
          <w:cols w:space="708"/>
          <w:docGrid w:linePitch="360"/>
        </w:sectPr>
      </w:pPr>
    </w:p>
    <w:p w14:paraId="5493D495" w14:textId="05679303" w:rsidR="00C62C41" w:rsidRPr="00635DDD" w:rsidRDefault="00C62C41" w:rsidP="005564E1">
      <w:pPr>
        <w:tabs>
          <w:tab w:val="left" w:pos="851"/>
        </w:tabs>
        <w:spacing w:before="120" w:after="120"/>
        <w:ind w:firstLine="0"/>
        <w:jc w:val="center"/>
        <w:outlineLvl w:val="0"/>
        <w:rPr>
          <w:szCs w:val="24"/>
        </w:rPr>
      </w:pPr>
      <w:r w:rsidRPr="00635DDD">
        <w:rPr>
          <w:b/>
          <w:szCs w:val="24"/>
        </w:rPr>
        <w:lastRenderedPageBreak/>
        <w:t>K části sté d</w:t>
      </w:r>
      <w:r w:rsidR="005F45FC">
        <w:rPr>
          <w:b/>
          <w:szCs w:val="24"/>
        </w:rPr>
        <w:t>vacáté</w:t>
      </w:r>
      <w:r w:rsidRPr="00635DDD">
        <w:rPr>
          <w:b/>
          <w:szCs w:val="24"/>
        </w:rPr>
        <w:t xml:space="preserve"> návrhu zákona – </w:t>
      </w:r>
      <w:r w:rsidRPr="00635DDD">
        <w:rPr>
          <w:szCs w:val="24"/>
        </w:rPr>
        <w:t>změna zákona</w:t>
      </w:r>
      <w:r w:rsidRPr="00635DDD">
        <w:t xml:space="preserve"> </w:t>
      </w:r>
      <w:r w:rsidRPr="00635DDD">
        <w:rPr>
          <w:szCs w:val="24"/>
        </w:rPr>
        <w:t>o dani z hazardních her</w:t>
      </w:r>
    </w:p>
    <w:p w14:paraId="464F43E0" w14:textId="77777777" w:rsidR="00C62C41" w:rsidRPr="00635DDD" w:rsidRDefault="00C62C41" w:rsidP="00C62C41">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635DDD">
        <w:rPr>
          <w:b/>
          <w:szCs w:val="24"/>
        </w:rPr>
        <w:t>Platné znění</w:t>
      </w:r>
      <w:r w:rsidRPr="00635DDD">
        <w:rPr>
          <w:szCs w:val="24"/>
        </w:rPr>
        <w:t xml:space="preserve"> zákona č. 187/2016 Sb., o dani z hazardních her</w:t>
      </w:r>
    </w:p>
    <w:p w14:paraId="35EC405F" w14:textId="77777777" w:rsidR="005564E1" w:rsidRPr="005564E1" w:rsidRDefault="005564E1" w:rsidP="005564E1">
      <w:pPr>
        <w:pStyle w:val="Odstavecseseznamem"/>
        <w:numPr>
          <w:ilvl w:val="0"/>
          <w:numId w:val="27"/>
        </w:numPr>
        <w:pBdr>
          <w:top w:val="single" w:sz="12" w:space="6" w:color="auto"/>
          <w:left w:val="single" w:sz="12" w:space="0" w:color="auto"/>
          <w:bottom w:val="single" w:sz="12" w:space="6" w:color="auto"/>
          <w:right w:val="single" w:sz="12" w:space="0" w:color="auto"/>
        </w:pBdr>
        <w:spacing w:after="120"/>
        <w:jc w:val="center"/>
        <w:rPr>
          <w:b/>
          <w:szCs w:val="24"/>
          <w:lang w:eastAsia="en-US"/>
        </w:rPr>
      </w:pPr>
      <w:r w:rsidRPr="005564E1">
        <w:rPr>
          <w:b/>
          <w:szCs w:val="24"/>
          <w:lang w:eastAsia="en-US"/>
        </w:rPr>
        <w:t>s vyznačením navrhovaných změn a doplnění k 1. lednu 2025</w:t>
      </w:r>
      <w:r w:rsidRPr="00181A4A">
        <w:t xml:space="preserve"> </w:t>
      </w:r>
    </w:p>
    <w:p w14:paraId="7869D5E7" w14:textId="77777777" w:rsidR="00C62C41" w:rsidRPr="00635DDD" w:rsidRDefault="00C62C41" w:rsidP="00C62C41">
      <w:pPr>
        <w:pStyle w:val="Textparagrafu"/>
        <w:numPr>
          <w:ilvl w:val="0"/>
          <w:numId w:val="27"/>
        </w:numPr>
        <w:tabs>
          <w:tab w:val="left" w:pos="392"/>
          <w:tab w:val="left" w:pos="840"/>
        </w:tabs>
        <w:spacing w:after="120"/>
        <w:jc w:val="center"/>
      </w:pPr>
      <w:r w:rsidRPr="00635DDD">
        <w:t>***</w:t>
      </w:r>
    </w:p>
    <w:p w14:paraId="0CE89E07" w14:textId="77777777" w:rsidR="00635DDD" w:rsidRDefault="00635DDD" w:rsidP="00635DDD">
      <w:pPr>
        <w:pStyle w:val="Paragraf"/>
        <w:numPr>
          <w:ilvl w:val="0"/>
          <w:numId w:val="27"/>
        </w:numPr>
        <w:spacing w:after="120"/>
      </w:pPr>
      <w:r w:rsidRPr="00CC14BF">
        <w:t>§</w:t>
      </w:r>
      <w:r>
        <w:t xml:space="preserve"> </w:t>
      </w:r>
      <w:r w:rsidRPr="00CC14BF">
        <w:t>3</w:t>
      </w:r>
      <w:r>
        <w:t xml:space="preserve"> </w:t>
      </w:r>
    </w:p>
    <w:p w14:paraId="53032365" w14:textId="77777777" w:rsidR="00635DDD" w:rsidRDefault="00635DDD" w:rsidP="00635DDD">
      <w:pPr>
        <w:pStyle w:val="Nadpisparagrafu"/>
        <w:spacing w:after="120"/>
      </w:pPr>
      <w:r>
        <w:t>Základ daně</w:t>
      </w:r>
    </w:p>
    <w:p w14:paraId="3A71C404" w14:textId="3781F653" w:rsidR="00635DDD" w:rsidRDefault="00635DDD" w:rsidP="005564E1">
      <w:pPr>
        <w:pStyle w:val="PZTextodstavce"/>
      </w:pPr>
      <w:r w:rsidRPr="00CC14BF">
        <w:t>(1</w:t>
      </w:r>
      <w:r>
        <w:t xml:space="preserve">) </w:t>
      </w:r>
      <w:r w:rsidRPr="00CC14BF">
        <w:t>Základ</w:t>
      </w:r>
      <w:r>
        <w:t xml:space="preserve"> </w:t>
      </w:r>
      <w:r w:rsidRPr="00CC14BF">
        <w:t>dílčí</w:t>
      </w:r>
      <w:r>
        <w:t xml:space="preserve"> </w:t>
      </w:r>
      <w:r w:rsidRPr="00CC14BF">
        <w:t>daně</w:t>
      </w:r>
      <w:r>
        <w:t xml:space="preserve"> </w:t>
      </w:r>
      <w:r w:rsidRPr="00CC14BF">
        <w:t>činí</w:t>
      </w:r>
      <w:r>
        <w:t xml:space="preserve"> </w:t>
      </w:r>
      <w:r w:rsidRPr="00CC14BF">
        <w:t>částka,</w:t>
      </w:r>
      <w:r>
        <w:t xml:space="preserve"> </w:t>
      </w:r>
      <w:r w:rsidRPr="00CC14BF">
        <w:t>o</w:t>
      </w:r>
      <w:r>
        <w:t xml:space="preserve"> </w:t>
      </w:r>
      <w:r w:rsidRPr="00CC14BF">
        <w:t>kterou</w:t>
      </w:r>
      <w:r>
        <w:t xml:space="preserve"> </w:t>
      </w:r>
      <w:r w:rsidRPr="00CC14BF">
        <w:t>úhrn</w:t>
      </w:r>
      <w:r>
        <w:t xml:space="preserve"> </w:t>
      </w:r>
      <w:r w:rsidRPr="00CC14BF">
        <w:t>přijatých</w:t>
      </w:r>
      <w:r>
        <w:t xml:space="preserve"> </w:t>
      </w:r>
      <w:r w:rsidRPr="00CC14BF">
        <w:t>vkladů</w:t>
      </w:r>
      <w:r>
        <w:t xml:space="preserve"> </w:t>
      </w:r>
      <w:r w:rsidRPr="00CC14BF">
        <w:t>přepočtených</w:t>
      </w:r>
      <w:r>
        <w:t xml:space="preserve"> </w:t>
      </w:r>
      <w:r w:rsidRPr="00CC14BF">
        <w:t>na</w:t>
      </w:r>
      <w:r>
        <w:t xml:space="preserve"> </w:t>
      </w:r>
      <w:r w:rsidRPr="00CC14BF">
        <w:t>české</w:t>
      </w:r>
      <w:r>
        <w:t xml:space="preserve"> </w:t>
      </w:r>
      <w:r w:rsidRPr="00CC14BF">
        <w:t>koruny</w:t>
      </w:r>
      <w:r>
        <w:t xml:space="preserve"> </w:t>
      </w:r>
      <w:r w:rsidRPr="00CC14BF">
        <w:t>převyšuje</w:t>
      </w:r>
      <w:r>
        <w:t xml:space="preserve"> </w:t>
      </w:r>
      <w:r w:rsidRPr="00CC14BF">
        <w:t>součet</w:t>
      </w:r>
      <w:r>
        <w:t xml:space="preserve"> </w:t>
      </w:r>
      <w:r w:rsidRPr="00CC14BF">
        <w:t>úhrnu</w:t>
      </w:r>
      <w:r>
        <w:t xml:space="preserve"> </w:t>
      </w:r>
      <w:r w:rsidRPr="00CC14BF">
        <w:t>vyplacených</w:t>
      </w:r>
      <w:r>
        <w:t xml:space="preserve"> </w:t>
      </w:r>
      <w:r w:rsidRPr="00CC14BF">
        <w:t>výher</w:t>
      </w:r>
      <w:r>
        <w:t xml:space="preserve"> </w:t>
      </w:r>
      <w:r w:rsidRPr="00CC14BF">
        <w:t>přepočtených</w:t>
      </w:r>
      <w:r>
        <w:t xml:space="preserve"> </w:t>
      </w:r>
      <w:r w:rsidRPr="00CC14BF">
        <w:t>na</w:t>
      </w:r>
      <w:r>
        <w:t xml:space="preserve"> </w:t>
      </w:r>
      <w:r w:rsidRPr="00CC14BF">
        <w:t>české</w:t>
      </w:r>
      <w:r>
        <w:t xml:space="preserve"> </w:t>
      </w:r>
      <w:r w:rsidRPr="00CC14BF">
        <w:t>koruny</w:t>
      </w:r>
      <w:r>
        <w:t xml:space="preserve"> </w:t>
      </w:r>
      <w:r w:rsidRPr="00CC14BF">
        <w:t>a</w:t>
      </w:r>
      <w:r>
        <w:t xml:space="preserve"> </w:t>
      </w:r>
      <w:r w:rsidRPr="00CC14BF">
        <w:t>úhrnu</w:t>
      </w:r>
      <w:r>
        <w:t xml:space="preserve"> </w:t>
      </w:r>
      <w:r w:rsidRPr="00CC14BF">
        <w:t>vrácených</w:t>
      </w:r>
      <w:r>
        <w:t xml:space="preserve"> </w:t>
      </w:r>
      <w:r w:rsidRPr="00CC14BF">
        <w:t>vkladů</w:t>
      </w:r>
      <w:r>
        <w:t xml:space="preserve"> </w:t>
      </w:r>
      <w:r w:rsidRPr="00CC14BF">
        <w:t>přepočtených</w:t>
      </w:r>
      <w:r>
        <w:t xml:space="preserve"> </w:t>
      </w:r>
      <w:r w:rsidRPr="00CC14BF">
        <w:t>na</w:t>
      </w:r>
      <w:r>
        <w:t xml:space="preserve"> </w:t>
      </w:r>
      <w:r w:rsidRPr="00CC14BF">
        <w:t>české</w:t>
      </w:r>
      <w:r>
        <w:t xml:space="preserve"> </w:t>
      </w:r>
      <w:r w:rsidRPr="00CC14BF">
        <w:t>koruny</w:t>
      </w:r>
      <w:r>
        <w:t xml:space="preserve"> </w:t>
      </w:r>
      <w:r w:rsidRPr="00CC14BF">
        <w:t>z</w:t>
      </w:r>
    </w:p>
    <w:p w14:paraId="39799DA1" w14:textId="77777777" w:rsidR="00635DDD" w:rsidRDefault="00635DDD" w:rsidP="00635DDD">
      <w:pPr>
        <w:pStyle w:val="PZTextpsmene"/>
        <w:spacing w:before="0"/>
      </w:pPr>
      <w:r w:rsidRPr="00CC14BF">
        <w:t>a</w:t>
      </w:r>
      <w:r>
        <w:t>)</w:t>
      </w:r>
      <w:r>
        <w:tab/>
      </w:r>
      <w:r w:rsidRPr="00CC14BF">
        <w:t>okamžité</w:t>
      </w:r>
      <w:r>
        <w:t xml:space="preserve"> </w:t>
      </w:r>
      <w:r w:rsidRPr="00CC14BF">
        <w:t>loterie</w:t>
      </w:r>
    </w:p>
    <w:p w14:paraId="09A0EA9B" w14:textId="77777777" w:rsidR="00635DDD" w:rsidRDefault="00635DDD" w:rsidP="00635DDD">
      <w:pPr>
        <w:pStyle w:val="PZTextbodu"/>
        <w:spacing w:before="0"/>
      </w:pPr>
      <w:r w:rsidRPr="00CC14BF">
        <w:t>1</w:t>
      </w:r>
      <w:r>
        <w:t>.</w:t>
      </w:r>
      <w:r>
        <w:tab/>
      </w:r>
      <w:r w:rsidRPr="00CC14BF">
        <w:t>provozované</w:t>
      </w:r>
      <w:r>
        <w:t xml:space="preserve"> </w:t>
      </w:r>
      <w:r w:rsidRPr="00CC14BF">
        <w:t>dálkovým</w:t>
      </w:r>
      <w:r>
        <w:t xml:space="preserve"> </w:t>
      </w:r>
      <w:r w:rsidRPr="00CC14BF">
        <w:t>přístupem</w:t>
      </w:r>
      <w:r>
        <w:t xml:space="preserve"> </w:t>
      </w:r>
      <w:r w:rsidRPr="00CC14BF">
        <w:t>prostřednictvím</w:t>
      </w:r>
      <w:r>
        <w:t xml:space="preserve"> </w:t>
      </w:r>
      <w:r w:rsidRPr="00CC14BF">
        <w:t>internetu</w:t>
      </w:r>
      <w:r>
        <w:t xml:space="preserve"> </w:t>
      </w:r>
      <w:r w:rsidRPr="00CC14BF">
        <w:t>v</w:t>
      </w:r>
      <w:r>
        <w:t xml:space="preserve"> </w:t>
      </w:r>
      <w:r w:rsidRPr="00CC14BF">
        <w:t>případě</w:t>
      </w:r>
      <w:r>
        <w:t xml:space="preserve"> </w:t>
      </w:r>
      <w:r w:rsidRPr="00CC14BF">
        <w:t>základu</w:t>
      </w:r>
      <w:r>
        <w:t xml:space="preserve"> </w:t>
      </w:r>
      <w:r w:rsidRPr="00CC14BF">
        <w:t>dílčí</w:t>
      </w:r>
      <w:r>
        <w:t xml:space="preserve"> </w:t>
      </w:r>
      <w:r w:rsidRPr="00CC14BF">
        <w:t>daně</w:t>
      </w:r>
      <w:r>
        <w:t xml:space="preserve"> </w:t>
      </w:r>
      <w:r w:rsidRPr="00CC14BF">
        <w:t>z</w:t>
      </w:r>
      <w:r>
        <w:t xml:space="preserve"> </w:t>
      </w:r>
      <w:r w:rsidRPr="00CC14BF">
        <w:t>internetových</w:t>
      </w:r>
      <w:r>
        <w:t xml:space="preserve"> </w:t>
      </w:r>
      <w:r w:rsidRPr="00CC14BF">
        <w:t>okamžitých</w:t>
      </w:r>
      <w:r>
        <w:t xml:space="preserve"> </w:t>
      </w:r>
      <w:r w:rsidRPr="00CC14BF">
        <w:t>loterií,</w:t>
      </w:r>
    </w:p>
    <w:p w14:paraId="7D54E9DD" w14:textId="77777777" w:rsidR="00635DDD" w:rsidRDefault="00635DDD" w:rsidP="00635DDD">
      <w:pPr>
        <w:pStyle w:val="PZTextbodu"/>
        <w:spacing w:before="0"/>
      </w:pPr>
      <w:r w:rsidRPr="00CC14BF">
        <w:t>2</w:t>
      </w:r>
      <w:r>
        <w:t>.</w:t>
      </w:r>
      <w:r>
        <w:tab/>
      </w:r>
      <w:r w:rsidRPr="00CC14BF">
        <w:t>jiné</w:t>
      </w:r>
      <w:r>
        <w:t xml:space="preserve"> </w:t>
      </w:r>
      <w:r w:rsidRPr="00CC14BF">
        <w:t>než</w:t>
      </w:r>
      <w:r>
        <w:t xml:space="preserve"> </w:t>
      </w:r>
      <w:r w:rsidRPr="00CC14BF">
        <w:t>podle</w:t>
      </w:r>
      <w:r>
        <w:t xml:space="preserve"> </w:t>
      </w:r>
      <w:r w:rsidRPr="00CC14BF">
        <w:t>bodu</w:t>
      </w:r>
      <w:r>
        <w:t xml:space="preserve"> </w:t>
      </w:r>
      <w:r w:rsidRPr="00CC14BF">
        <w:t>1</w:t>
      </w:r>
      <w:r>
        <w:t xml:space="preserve"> </w:t>
      </w:r>
      <w:r w:rsidRPr="00CC14BF">
        <w:t>v</w:t>
      </w:r>
      <w:r>
        <w:t xml:space="preserve"> </w:t>
      </w:r>
      <w:r w:rsidRPr="00CC14BF">
        <w:t>případě</w:t>
      </w:r>
      <w:r>
        <w:t xml:space="preserve"> </w:t>
      </w:r>
      <w:r w:rsidRPr="00CC14BF">
        <w:t>základu</w:t>
      </w:r>
      <w:r>
        <w:t xml:space="preserve"> </w:t>
      </w:r>
      <w:r w:rsidRPr="00CC14BF">
        <w:t>dílčí</w:t>
      </w:r>
      <w:r>
        <w:t xml:space="preserve"> </w:t>
      </w:r>
      <w:r w:rsidRPr="00CC14BF">
        <w:t>daně</w:t>
      </w:r>
      <w:r>
        <w:t xml:space="preserve"> </w:t>
      </w:r>
      <w:r w:rsidRPr="00CC14BF">
        <w:t>z</w:t>
      </w:r>
      <w:r>
        <w:t xml:space="preserve"> </w:t>
      </w:r>
      <w:r w:rsidRPr="00CC14BF">
        <w:t>ostatních</w:t>
      </w:r>
      <w:r>
        <w:t xml:space="preserve"> </w:t>
      </w:r>
      <w:r w:rsidRPr="00CC14BF">
        <w:t>okamžitých</w:t>
      </w:r>
      <w:r>
        <w:t xml:space="preserve"> </w:t>
      </w:r>
      <w:r w:rsidRPr="00CC14BF">
        <w:t>loterií,</w:t>
      </w:r>
    </w:p>
    <w:p w14:paraId="3D9CADE9" w14:textId="77777777" w:rsidR="00635DDD" w:rsidRDefault="00635DDD" w:rsidP="00635DDD">
      <w:pPr>
        <w:pStyle w:val="PZTextpsmene"/>
        <w:spacing w:before="0"/>
      </w:pPr>
      <w:r w:rsidRPr="00CC14BF">
        <w:t>b</w:t>
      </w:r>
      <w:r>
        <w:t>)</w:t>
      </w:r>
      <w:r>
        <w:tab/>
      </w:r>
      <w:r w:rsidRPr="00CC14BF">
        <w:t>jiné</w:t>
      </w:r>
      <w:r>
        <w:t xml:space="preserve"> </w:t>
      </w:r>
      <w:r w:rsidRPr="00CC14BF">
        <w:t>než</w:t>
      </w:r>
      <w:r>
        <w:t xml:space="preserve"> </w:t>
      </w:r>
      <w:r w:rsidRPr="00CC14BF">
        <w:t>okamžité</w:t>
      </w:r>
      <w:r>
        <w:t xml:space="preserve"> </w:t>
      </w:r>
      <w:r w:rsidRPr="00CC14BF">
        <w:t>loterie,</w:t>
      </w:r>
      <w:r>
        <w:t xml:space="preserve"> </w:t>
      </w:r>
      <w:r w:rsidRPr="00CC14BF">
        <w:t>u</w:t>
      </w:r>
      <w:r>
        <w:t xml:space="preserve"> </w:t>
      </w:r>
      <w:r w:rsidRPr="00CC14BF">
        <w:t>které</w:t>
      </w:r>
      <w:r>
        <w:t xml:space="preserve"> </w:t>
      </w:r>
      <w:r w:rsidRPr="00CC14BF">
        <w:t>nejkratší</w:t>
      </w:r>
      <w:r>
        <w:t xml:space="preserve"> </w:t>
      </w:r>
      <w:r w:rsidRPr="00CC14BF">
        <w:t>rozestup</w:t>
      </w:r>
      <w:r>
        <w:t xml:space="preserve"> </w:t>
      </w:r>
      <w:r w:rsidRPr="00CC14BF">
        <w:t>mezi</w:t>
      </w:r>
      <w:r>
        <w:t xml:space="preserve"> </w:t>
      </w:r>
      <w:r w:rsidRPr="00CC14BF">
        <w:t>slosováními</w:t>
      </w:r>
      <w:r>
        <w:t xml:space="preserve"> </w:t>
      </w:r>
      <w:r w:rsidRPr="00CC14BF">
        <w:t>stanovený</w:t>
      </w:r>
      <w:r>
        <w:t xml:space="preserve"> </w:t>
      </w:r>
      <w:r w:rsidRPr="00CC14BF">
        <w:t>v</w:t>
      </w:r>
      <w:r>
        <w:t xml:space="preserve"> </w:t>
      </w:r>
      <w:r w:rsidRPr="00CC14BF">
        <w:t>základním</w:t>
      </w:r>
      <w:r>
        <w:t xml:space="preserve"> </w:t>
      </w:r>
      <w:r w:rsidRPr="00CC14BF">
        <w:t>povolení</w:t>
      </w:r>
      <w:r>
        <w:t xml:space="preserve"> </w:t>
      </w:r>
      <w:r w:rsidRPr="00CC14BF">
        <w:t>činí</w:t>
      </w:r>
      <w:r>
        <w:t xml:space="preserve"> </w:t>
      </w:r>
      <w:r w:rsidRPr="00CC14BF">
        <w:t>nejvýše</w:t>
      </w:r>
      <w:r>
        <w:t xml:space="preserve"> </w:t>
      </w:r>
      <w:r w:rsidRPr="00CC14BF">
        <w:t>15</w:t>
      </w:r>
      <w:r>
        <w:t xml:space="preserve"> </w:t>
      </w:r>
      <w:r w:rsidRPr="00CC14BF">
        <w:t>minut,</w:t>
      </w:r>
    </w:p>
    <w:p w14:paraId="3EC88967" w14:textId="77777777" w:rsidR="00635DDD" w:rsidRDefault="00635DDD" w:rsidP="00635DDD">
      <w:pPr>
        <w:pStyle w:val="PZTextbodu"/>
        <w:spacing w:before="0"/>
      </w:pPr>
      <w:r w:rsidRPr="00CC14BF">
        <w:t>1</w:t>
      </w:r>
      <w:r>
        <w:t>.</w:t>
      </w:r>
      <w:r>
        <w:tab/>
      </w:r>
      <w:r w:rsidRPr="00CC14BF">
        <w:t>provozované</w:t>
      </w:r>
      <w:r>
        <w:t xml:space="preserve"> </w:t>
      </w:r>
      <w:r w:rsidRPr="00CC14BF">
        <w:t>dálkovým</w:t>
      </w:r>
      <w:r>
        <w:t xml:space="preserve"> </w:t>
      </w:r>
      <w:r w:rsidRPr="00CC14BF">
        <w:t>přístupem</w:t>
      </w:r>
      <w:r>
        <w:t xml:space="preserve"> </w:t>
      </w:r>
      <w:r w:rsidRPr="00CC14BF">
        <w:t>prostřednictvím</w:t>
      </w:r>
      <w:r>
        <w:t xml:space="preserve"> </w:t>
      </w:r>
      <w:r w:rsidRPr="00CC14BF">
        <w:t>internetu</w:t>
      </w:r>
      <w:r>
        <w:t xml:space="preserve"> </w:t>
      </w:r>
      <w:r w:rsidRPr="00CC14BF">
        <w:t>v</w:t>
      </w:r>
      <w:r>
        <w:t xml:space="preserve"> </w:t>
      </w:r>
      <w:r w:rsidRPr="00CC14BF">
        <w:t>případě</w:t>
      </w:r>
      <w:r>
        <w:t xml:space="preserve"> </w:t>
      </w:r>
      <w:r w:rsidRPr="00CC14BF">
        <w:t>základu</w:t>
      </w:r>
      <w:r>
        <w:t xml:space="preserve"> </w:t>
      </w:r>
      <w:r w:rsidRPr="00CC14BF">
        <w:t>dílčí</w:t>
      </w:r>
      <w:r>
        <w:t xml:space="preserve"> </w:t>
      </w:r>
      <w:r w:rsidRPr="00CC14BF">
        <w:t>daně</w:t>
      </w:r>
      <w:r>
        <w:t xml:space="preserve"> </w:t>
      </w:r>
      <w:r w:rsidRPr="00CC14BF">
        <w:t>z</w:t>
      </w:r>
      <w:r>
        <w:t xml:space="preserve"> </w:t>
      </w:r>
      <w:r w:rsidRPr="00CC14BF">
        <w:t>internetových</w:t>
      </w:r>
      <w:r>
        <w:t xml:space="preserve"> </w:t>
      </w:r>
      <w:r w:rsidRPr="00CC14BF">
        <w:t>rychlých</w:t>
      </w:r>
      <w:r>
        <w:t xml:space="preserve"> </w:t>
      </w:r>
      <w:r w:rsidRPr="00CC14BF">
        <w:t>loterií,</w:t>
      </w:r>
    </w:p>
    <w:p w14:paraId="2E4C1261" w14:textId="77777777" w:rsidR="00635DDD" w:rsidRDefault="00635DDD" w:rsidP="00635DDD">
      <w:pPr>
        <w:pStyle w:val="PZTextbodu"/>
        <w:spacing w:before="0"/>
      </w:pPr>
      <w:r w:rsidRPr="00CC14BF">
        <w:t>2</w:t>
      </w:r>
      <w:r>
        <w:t>.</w:t>
      </w:r>
      <w:r>
        <w:tab/>
      </w:r>
      <w:r w:rsidRPr="00CC14BF">
        <w:t>jiné</w:t>
      </w:r>
      <w:r>
        <w:t xml:space="preserve"> </w:t>
      </w:r>
      <w:r w:rsidRPr="00CC14BF">
        <w:t>než</w:t>
      </w:r>
      <w:r>
        <w:t xml:space="preserve"> </w:t>
      </w:r>
      <w:r w:rsidRPr="00CC14BF">
        <w:t>podle</w:t>
      </w:r>
      <w:r>
        <w:t xml:space="preserve"> </w:t>
      </w:r>
      <w:r w:rsidRPr="00CC14BF">
        <w:t>bodu</w:t>
      </w:r>
      <w:r>
        <w:t xml:space="preserve"> </w:t>
      </w:r>
      <w:r w:rsidRPr="00CC14BF">
        <w:t>1</w:t>
      </w:r>
      <w:r>
        <w:t xml:space="preserve"> </w:t>
      </w:r>
      <w:r w:rsidRPr="00CC14BF">
        <w:t>v</w:t>
      </w:r>
      <w:r>
        <w:t xml:space="preserve"> </w:t>
      </w:r>
      <w:r w:rsidRPr="00CC14BF">
        <w:t>případě</w:t>
      </w:r>
      <w:r>
        <w:t xml:space="preserve"> </w:t>
      </w:r>
      <w:r w:rsidRPr="00CC14BF">
        <w:t>základu</w:t>
      </w:r>
      <w:r>
        <w:t xml:space="preserve"> </w:t>
      </w:r>
      <w:r w:rsidRPr="00CC14BF">
        <w:t>dílčí</w:t>
      </w:r>
      <w:r>
        <w:t xml:space="preserve"> </w:t>
      </w:r>
      <w:r w:rsidRPr="00CC14BF">
        <w:t>daně</w:t>
      </w:r>
      <w:r>
        <w:t xml:space="preserve"> </w:t>
      </w:r>
      <w:r w:rsidRPr="00CC14BF">
        <w:t>z</w:t>
      </w:r>
      <w:r>
        <w:t xml:space="preserve"> </w:t>
      </w:r>
      <w:r w:rsidRPr="00CC14BF">
        <w:t>ostatních</w:t>
      </w:r>
      <w:r>
        <w:t xml:space="preserve"> </w:t>
      </w:r>
      <w:r w:rsidRPr="00CC14BF">
        <w:t>rychlých</w:t>
      </w:r>
      <w:r>
        <w:t xml:space="preserve"> </w:t>
      </w:r>
      <w:r w:rsidRPr="00CC14BF">
        <w:t>loterií,</w:t>
      </w:r>
    </w:p>
    <w:p w14:paraId="3769E489" w14:textId="77777777" w:rsidR="00635DDD" w:rsidRDefault="00635DDD" w:rsidP="00635DDD">
      <w:pPr>
        <w:pStyle w:val="PZTextpsmene"/>
        <w:spacing w:before="0"/>
      </w:pPr>
      <w:r w:rsidRPr="00CC14BF">
        <w:t>c</w:t>
      </w:r>
      <w:r>
        <w:t>)</w:t>
      </w:r>
      <w:r>
        <w:tab/>
      </w:r>
      <w:r w:rsidRPr="00CC14BF">
        <w:t>loterie</w:t>
      </w:r>
      <w:r>
        <w:t xml:space="preserve"> </w:t>
      </w:r>
      <w:r w:rsidRPr="00CC14BF">
        <w:t>jiné</w:t>
      </w:r>
      <w:r>
        <w:t xml:space="preserve"> </w:t>
      </w:r>
      <w:r w:rsidRPr="00CC14BF">
        <w:t>než</w:t>
      </w:r>
      <w:r>
        <w:t xml:space="preserve"> </w:t>
      </w:r>
      <w:r w:rsidRPr="00CC14BF">
        <w:t>podle</w:t>
      </w:r>
      <w:r>
        <w:t xml:space="preserve"> </w:t>
      </w:r>
      <w:r w:rsidRPr="00CC14BF">
        <w:t>písmene</w:t>
      </w:r>
      <w:r>
        <w:t xml:space="preserve"> </w:t>
      </w:r>
      <w:r w:rsidRPr="00CC14BF">
        <w:t>a)</w:t>
      </w:r>
      <w:r>
        <w:t xml:space="preserve"> </w:t>
      </w:r>
      <w:r w:rsidRPr="00CC14BF">
        <w:t>nebo</w:t>
      </w:r>
      <w:r>
        <w:t xml:space="preserve"> </w:t>
      </w:r>
      <w:r w:rsidRPr="00CC14BF">
        <w:t>b)</w:t>
      </w:r>
    </w:p>
    <w:p w14:paraId="747138AE" w14:textId="77777777" w:rsidR="00635DDD" w:rsidRDefault="00635DDD" w:rsidP="00635DDD">
      <w:pPr>
        <w:pStyle w:val="PZTextbodu"/>
        <w:spacing w:before="0"/>
      </w:pPr>
      <w:r w:rsidRPr="00CC14BF">
        <w:t>1</w:t>
      </w:r>
      <w:r>
        <w:t>.</w:t>
      </w:r>
      <w:r>
        <w:tab/>
      </w:r>
      <w:r w:rsidRPr="00CC14BF">
        <w:t>provozované</w:t>
      </w:r>
      <w:r>
        <w:t xml:space="preserve"> </w:t>
      </w:r>
      <w:r w:rsidRPr="00CC14BF">
        <w:t>dálkovým</w:t>
      </w:r>
      <w:r>
        <w:t xml:space="preserve"> </w:t>
      </w:r>
      <w:r w:rsidRPr="00CC14BF">
        <w:t>přístupem</w:t>
      </w:r>
      <w:r>
        <w:t xml:space="preserve"> </w:t>
      </w:r>
      <w:r w:rsidRPr="00CC14BF">
        <w:t>prostřednictvím</w:t>
      </w:r>
      <w:r>
        <w:t xml:space="preserve"> </w:t>
      </w:r>
      <w:r w:rsidRPr="00CC14BF">
        <w:t>internetu</w:t>
      </w:r>
      <w:r>
        <w:t xml:space="preserve"> </w:t>
      </w:r>
      <w:r w:rsidRPr="00CC14BF">
        <w:t>v</w:t>
      </w:r>
      <w:r>
        <w:t xml:space="preserve"> </w:t>
      </w:r>
      <w:r w:rsidRPr="00CC14BF">
        <w:t>případě</w:t>
      </w:r>
      <w:r>
        <w:t xml:space="preserve"> </w:t>
      </w:r>
      <w:r w:rsidRPr="00CC14BF">
        <w:t>základu</w:t>
      </w:r>
      <w:r>
        <w:t xml:space="preserve"> </w:t>
      </w:r>
      <w:r w:rsidRPr="00CC14BF">
        <w:t>dílčí</w:t>
      </w:r>
      <w:r>
        <w:t xml:space="preserve"> </w:t>
      </w:r>
      <w:r w:rsidRPr="00CC14BF">
        <w:t>daně</w:t>
      </w:r>
      <w:r>
        <w:t xml:space="preserve"> </w:t>
      </w:r>
      <w:r w:rsidRPr="00CC14BF">
        <w:t>z</w:t>
      </w:r>
      <w:r>
        <w:t xml:space="preserve"> </w:t>
      </w:r>
      <w:r w:rsidRPr="00CC14BF">
        <w:t>internetových</w:t>
      </w:r>
      <w:r>
        <w:t xml:space="preserve"> </w:t>
      </w:r>
      <w:r w:rsidRPr="00CC14BF">
        <w:t>běžných</w:t>
      </w:r>
      <w:r>
        <w:t xml:space="preserve"> </w:t>
      </w:r>
      <w:r w:rsidRPr="00CC14BF">
        <w:t>loterií,</w:t>
      </w:r>
    </w:p>
    <w:p w14:paraId="36984E0B" w14:textId="77777777" w:rsidR="00635DDD" w:rsidRDefault="00635DDD" w:rsidP="00635DDD">
      <w:pPr>
        <w:pStyle w:val="PZTextbodu"/>
        <w:spacing w:before="0"/>
      </w:pPr>
      <w:r w:rsidRPr="00CC14BF">
        <w:t>2</w:t>
      </w:r>
      <w:r>
        <w:t>.</w:t>
      </w:r>
      <w:r>
        <w:tab/>
      </w:r>
      <w:r w:rsidRPr="00CC14BF">
        <w:t>jiné</w:t>
      </w:r>
      <w:r>
        <w:t xml:space="preserve"> </w:t>
      </w:r>
      <w:r w:rsidRPr="00CC14BF">
        <w:t>než</w:t>
      </w:r>
      <w:r>
        <w:t xml:space="preserve"> </w:t>
      </w:r>
      <w:r w:rsidRPr="00CC14BF">
        <w:t>podle</w:t>
      </w:r>
      <w:r>
        <w:t xml:space="preserve"> </w:t>
      </w:r>
      <w:r w:rsidRPr="00CC14BF">
        <w:t>bodu</w:t>
      </w:r>
      <w:r>
        <w:t xml:space="preserve"> </w:t>
      </w:r>
      <w:r w:rsidRPr="00CC14BF">
        <w:t>1</w:t>
      </w:r>
      <w:r>
        <w:t xml:space="preserve"> </w:t>
      </w:r>
      <w:r w:rsidRPr="00CC14BF">
        <w:t>v</w:t>
      </w:r>
      <w:r>
        <w:t xml:space="preserve"> </w:t>
      </w:r>
      <w:r w:rsidRPr="00CC14BF">
        <w:t>případě</w:t>
      </w:r>
      <w:r>
        <w:t xml:space="preserve"> </w:t>
      </w:r>
      <w:r w:rsidRPr="00CC14BF">
        <w:t>základu</w:t>
      </w:r>
      <w:r>
        <w:t xml:space="preserve"> </w:t>
      </w:r>
      <w:r w:rsidRPr="00CC14BF">
        <w:t>dílčí</w:t>
      </w:r>
      <w:r>
        <w:t xml:space="preserve"> </w:t>
      </w:r>
      <w:r w:rsidRPr="00CC14BF">
        <w:t>daně</w:t>
      </w:r>
      <w:r>
        <w:t xml:space="preserve"> </w:t>
      </w:r>
      <w:r w:rsidRPr="00CC14BF">
        <w:t>z</w:t>
      </w:r>
      <w:r>
        <w:t xml:space="preserve"> </w:t>
      </w:r>
      <w:r w:rsidRPr="00CC14BF">
        <w:t>ostatních</w:t>
      </w:r>
      <w:r>
        <w:t xml:space="preserve"> </w:t>
      </w:r>
      <w:r w:rsidRPr="00CC14BF">
        <w:t>běžných</w:t>
      </w:r>
      <w:r>
        <w:t xml:space="preserve"> </w:t>
      </w:r>
      <w:r w:rsidRPr="00CC14BF">
        <w:t>loterií,</w:t>
      </w:r>
    </w:p>
    <w:p w14:paraId="0BF6C5F4" w14:textId="77777777" w:rsidR="00635DDD" w:rsidRDefault="00635DDD" w:rsidP="00635DDD">
      <w:pPr>
        <w:pStyle w:val="PZTextpsmene"/>
        <w:spacing w:before="0"/>
      </w:pPr>
      <w:r w:rsidRPr="00CC14BF">
        <w:t>d</w:t>
      </w:r>
      <w:r>
        <w:t>)</w:t>
      </w:r>
      <w:r>
        <w:tab/>
      </w:r>
      <w:r w:rsidRPr="00CC14BF">
        <w:t>kursové</w:t>
      </w:r>
      <w:r>
        <w:t xml:space="preserve"> </w:t>
      </w:r>
      <w:r w:rsidRPr="00CC14BF">
        <w:t>sázky</w:t>
      </w:r>
      <w:r>
        <w:t xml:space="preserve"> </w:t>
      </w:r>
      <w:r w:rsidRPr="00CC14BF">
        <w:t>s</w:t>
      </w:r>
      <w:r>
        <w:t xml:space="preserve"> </w:t>
      </w:r>
      <w:r w:rsidRPr="00CC14BF">
        <w:t>výjimkou</w:t>
      </w:r>
      <w:r>
        <w:t xml:space="preserve"> </w:t>
      </w:r>
      <w:r w:rsidRPr="00CC14BF">
        <w:t>živé</w:t>
      </w:r>
      <w:r>
        <w:t xml:space="preserve"> </w:t>
      </w:r>
      <w:r w:rsidRPr="00CC14BF">
        <w:t>kursové</w:t>
      </w:r>
      <w:r>
        <w:t xml:space="preserve"> </w:t>
      </w:r>
      <w:r w:rsidRPr="00CC14BF">
        <w:t>sázky</w:t>
      </w:r>
    </w:p>
    <w:p w14:paraId="1514DFD6" w14:textId="77777777" w:rsidR="00635DDD" w:rsidRDefault="00635DDD" w:rsidP="00635DDD">
      <w:pPr>
        <w:pStyle w:val="PZTextbodu"/>
        <w:spacing w:before="0"/>
      </w:pPr>
      <w:r w:rsidRPr="00CC14BF">
        <w:t>1</w:t>
      </w:r>
      <w:r>
        <w:t>.</w:t>
      </w:r>
      <w:r>
        <w:tab/>
      </w:r>
      <w:r w:rsidRPr="00CC14BF">
        <w:t>provozované</w:t>
      </w:r>
      <w:r>
        <w:t xml:space="preserve"> </w:t>
      </w:r>
      <w:r w:rsidRPr="00CC14BF">
        <w:t>dálkovým</w:t>
      </w:r>
      <w:r>
        <w:t xml:space="preserve"> </w:t>
      </w:r>
      <w:r w:rsidRPr="00CC14BF">
        <w:t>přístupem</w:t>
      </w:r>
      <w:r>
        <w:t xml:space="preserve"> </w:t>
      </w:r>
      <w:r w:rsidRPr="00CC14BF">
        <w:t>prostřednictvím</w:t>
      </w:r>
      <w:r>
        <w:t xml:space="preserve"> </w:t>
      </w:r>
      <w:r w:rsidRPr="00CC14BF">
        <w:t>internetu</w:t>
      </w:r>
      <w:r>
        <w:t xml:space="preserve"> </w:t>
      </w:r>
      <w:r w:rsidRPr="00CC14BF">
        <w:t>v</w:t>
      </w:r>
      <w:r>
        <w:t xml:space="preserve"> </w:t>
      </w:r>
      <w:r w:rsidRPr="00CC14BF">
        <w:t>případě</w:t>
      </w:r>
      <w:r>
        <w:t xml:space="preserve"> </w:t>
      </w:r>
      <w:r w:rsidRPr="00CC14BF">
        <w:t>základu</w:t>
      </w:r>
      <w:r>
        <w:t xml:space="preserve"> </w:t>
      </w:r>
      <w:r w:rsidRPr="00CC14BF">
        <w:t>dílčí</w:t>
      </w:r>
      <w:r>
        <w:t xml:space="preserve"> </w:t>
      </w:r>
      <w:r w:rsidRPr="00CC14BF">
        <w:t>daně</w:t>
      </w:r>
      <w:r>
        <w:t xml:space="preserve"> </w:t>
      </w:r>
      <w:r w:rsidRPr="00CC14BF">
        <w:t>z</w:t>
      </w:r>
      <w:r>
        <w:t xml:space="preserve"> </w:t>
      </w:r>
      <w:r w:rsidRPr="00CC14BF">
        <w:t>internetových</w:t>
      </w:r>
      <w:r>
        <w:t xml:space="preserve"> </w:t>
      </w:r>
      <w:r w:rsidRPr="00CC14BF">
        <w:t>běžných</w:t>
      </w:r>
      <w:r>
        <w:t xml:space="preserve"> </w:t>
      </w:r>
      <w:r w:rsidRPr="00CC14BF">
        <w:t>kursových</w:t>
      </w:r>
      <w:r>
        <w:t xml:space="preserve"> </w:t>
      </w:r>
      <w:r w:rsidRPr="00CC14BF">
        <w:t>sázek,</w:t>
      </w:r>
    </w:p>
    <w:p w14:paraId="5CDBBF13" w14:textId="77777777" w:rsidR="00635DDD" w:rsidRDefault="00635DDD" w:rsidP="00635DDD">
      <w:pPr>
        <w:pStyle w:val="PZTextbodu"/>
        <w:spacing w:before="0"/>
      </w:pPr>
      <w:r w:rsidRPr="00CC14BF">
        <w:t>2</w:t>
      </w:r>
      <w:r>
        <w:t>.</w:t>
      </w:r>
      <w:r>
        <w:tab/>
      </w:r>
      <w:r w:rsidRPr="00CC14BF">
        <w:t>jiné</w:t>
      </w:r>
      <w:r>
        <w:t xml:space="preserve"> </w:t>
      </w:r>
      <w:r w:rsidRPr="00CC14BF">
        <w:t>než</w:t>
      </w:r>
      <w:r>
        <w:t xml:space="preserve"> </w:t>
      </w:r>
      <w:r w:rsidRPr="00CC14BF">
        <w:t>podle</w:t>
      </w:r>
      <w:r>
        <w:t xml:space="preserve"> </w:t>
      </w:r>
      <w:r w:rsidRPr="00CC14BF">
        <w:t>bodu</w:t>
      </w:r>
      <w:r>
        <w:t xml:space="preserve"> </w:t>
      </w:r>
      <w:r w:rsidRPr="00CC14BF">
        <w:t>1</w:t>
      </w:r>
      <w:r>
        <w:t xml:space="preserve"> </w:t>
      </w:r>
      <w:r w:rsidRPr="00CC14BF">
        <w:t>v</w:t>
      </w:r>
      <w:r>
        <w:t xml:space="preserve"> </w:t>
      </w:r>
      <w:r w:rsidRPr="00CC14BF">
        <w:t>případě</w:t>
      </w:r>
      <w:r>
        <w:t xml:space="preserve"> </w:t>
      </w:r>
      <w:r w:rsidRPr="00CC14BF">
        <w:t>základu</w:t>
      </w:r>
      <w:r>
        <w:t xml:space="preserve"> </w:t>
      </w:r>
      <w:r w:rsidRPr="00CC14BF">
        <w:t>dílčí</w:t>
      </w:r>
      <w:r>
        <w:t xml:space="preserve"> </w:t>
      </w:r>
      <w:r w:rsidRPr="00CC14BF">
        <w:t>daně</w:t>
      </w:r>
      <w:r>
        <w:t xml:space="preserve"> </w:t>
      </w:r>
      <w:r w:rsidRPr="00CC14BF">
        <w:t>z</w:t>
      </w:r>
      <w:r>
        <w:t xml:space="preserve"> </w:t>
      </w:r>
      <w:r w:rsidRPr="00CC14BF">
        <w:t>ostatních</w:t>
      </w:r>
      <w:r>
        <w:t xml:space="preserve"> </w:t>
      </w:r>
      <w:r w:rsidRPr="00CC14BF">
        <w:t>běžných</w:t>
      </w:r>
      <w:r>
        <w:t xml:space="preserve"> </w:t>
      </w:r>
      <w:r w:rsidRPr="00CC14BF">
        <w:t>kursových</w:t>
      </w:r>
      <w:r>
        <w:t xml:space="preserve"> </w:t>
      </w:r>
      <w:r w:rsidRPr="00CC14BF">
        <w:t>sázek,</w:t>
      </w:r>
    </w:p>
    <w:p w14:paraId="753E2DCA" w14:textId="77777777" w:rsidR="00635DDD" w:rsidRDefault="00635DDD" w:rsidP="00635DDD">
      <w:pPr>
        <w:pStyle w:val="PZTextpsmene"/>
        <w:spacing w:before="0"/>
      </w:pPr>
      <w:r w:rsidRPr="00CC14BF">
        <w:t>e</w:t>
      </w:r>
      <w:r>
        <w:t>)</w:t>
      </w:r>
      <w:r>
        <w:tab/>
      </w:r>
      <w:r w:rsidRPr="00CC14BF">
        <w:t>živé</w:t>
      </w:r>
      <w:r>
        <w:t xml:space="preserve"> </w:t>
      </w:r>
      <w:r w:rsidRPr="00CC14BF">
        <w:t>kursové</w:t>
      </w:r>
      <w:r>
        <w:t xml:space="preserve"> </w:t>
      </w:r>
      <w:r w:rsidRPr="00CC14BF">
        <w:t>sázky</w:t>
      </w:r>
    </w:p>
    <w:p w14:paraId="6D6FA22E" w14:textId="77777777" w:rsidR="00635DDD" w:rsidRDefault="00635DDD" w:rsidP="00635DDD">
      <w:pPr>
        <w:pStyle w:val="PZTextbodu"/>
        <w:spacing w:before="0"/>
      </w:pPr>
      <w:r w:rsidRPr="00CC14BF">
        <w:t>1</w:t>
      </w:r>
      <w:r>
        <w:t>.</w:t>
      </w:r>
      <w:r>
        <w:tab/>
      </w:r>
      <w:r w:rsidRPr="00CC14BF">
        <w:t>provozované</w:t>
      </w:r>
      <w:r>
        <w:t xml:space="preserve"> </w:t>
      </w:r>
      <w:r w:rsidRPr="00CC14BF">
        <w:t>dálkovým</w:t>
      </w:r>
      <w:r>
        <w:t xml:space="preserve"> </w:t>
      </w:r>
      <w:r w:rsidRPr="00CC14BF">
        <w:t>přístupem</w:t>
      </w:r>
      <w:r>
        <w:t xml:space="preserve"> </w:t>
      </w:r>
      <w:r w:rsidRPr="00CC14BF">
        <w:t>prostřednictvím</w:t>
      </w:r>
      <w:r>
        <w:t xml:space="preserve"> </w:t>
      </w:r>
      <w:r w:rsidRPr="00CC14BF">
        <w:t>internetu</w:t>
      </w:r>
      <w:r>
        <w:t xml:space="preserve"> </w:t>
      </w:r>
      <w:r w:rsidRPr="00CC14BF">
        <w:t>v</w:t>
      </w:r>
      <w:r>
        <w:t xml:space="preserve"> </w:t>
      </w:r>
      <w:r w:rsidRPr="00CC14BF">
        <w:t>případě</w:t>
      </w:r>
      <w:r>
        <w:t xml:space="preserve"> </w:t>
      </w:r>
      <w:r w:rsidRPr="00CC14BF">
        <w:t>základu</w:t>
      </w:r>
      <w:r>
        <w:t xml:space="preserve"> </w:t>
      </w:r>
      <w:r w:rsidRPr="00CC14BF">
        <w:t>dílčí</w:t>
      </w:r>
      <w:r>
        <w:t xml:space="preserve"> </w:t>
      </w:r>
      <w:r w:rsidRPr="00CC14BF">
        <w:t>daně</w:t>
      </w:r>
      <w:r>
        <w:t xml:space="preserve"> </w:t>
      </w:r>
      <w:r w:rsidRPr="00CC14BF">
        <w:t>z</w:t>
      </w:r>
      <w:r>
        <w:t xml:space="preserve"> </w:t>
      </w:r>
      <w:r w:rsidRPr="00CC14BF">
        <w:t>internetových</w:t>
      </w:r>
      <w:r>
        <w:t xml:space="preserve"> </w:t>
      </w:r>
      <w:r w:rsidRPr="00CC14BF">
        <w:t>živých</w:t>
      </w:r>
      <w:r>
        <w:t xml:space="preserve"> </w:t>
      </w:r>
      <w:r w:rsidRPr="00CC14BF">
        <w:t>kursových</w:t>
      </w:r>
      <w:r>
        <w:t xml:space="preserve"> </w:t>
      </w:r>
      <w:r w:rsidRPr="00CC14BF">
        <w:t>sázek,</w:t>
      </w:r>
    </w:p>
    <w:p w14:paraId="6EADAC07" w14:textId="77777777" w:rsidR="00635DDD" w:rsidRDefault="00635DDD" w:rsidP="00635DDD">
      <w:pPr>
        <w:pStyle w:val="PZTextbodu"/>
        <w:spacing w:before="0"/>
      </w:pPr>
      <w:r w:rsidRPr="00CC14BF">
        <w:t>2</w:t>
      </w:r>
      <w:r>
        <w:t>.</w:t>
      </w:r>
      <w:r>
        <w:tab/>
      </w:r>
      <w:r w:rsidRPr="00CC14BF">
        <w:t>jiné</w:t>
      </w:r>
      <w:r>
        <w:t xml:space="preserve"> </w:t>
      </w:r>
      <w:r w:rsidRPr="00CC14BF">
        <w:t>než</w:t>
      </w:r>
      <w:r>
        <w:t xml:space="preserve"> </w:t>
      </w:r>
      <w:r w:rsidRPr="00CC14BF">
        <w:t>podle</w:t>
      </w:r>
      <w:r>
        <w:t xml:space="preserve"> </w:t>
      </w:r>
      <w:r w:rsidRPr="00CC14BF">
        <w:t>bodu</w:t>
      </w:r>
      <w:r>
        <w:t xml:space="preserve"> </w:t>
      </w:r>
      <w:r w:rsidRPr="00CC14BF">
        <w:t>1</w:t>
      </w:r>
      <w:r>
        <w:t xml:space="preserve"> </w:t>
      </w:r>
      <w:r w:rsidRPr="00CC14BF">
        <w:t>v</w:t>
      </w:r>
      <w:r>
        <w:t xml:space="preserve"> </w:t>
      </w:r>
      <w:r w:rsidRPr="00CC14BF">
        <w:t>případě</w:t>
      </w:r>
      <w:r>
        <w:t xml:space="preserve"> </w:t>
      </w:r>
      <w:r w:rsidRPr="00CC14BF">
        <w:t>základu</w:t>
      </w:r>
      <w:r>
        <w:t xml:space="preserve"> </w:t>
      </w:r>
      <w:r w:rsidRPr="00CC14BF">
        <w:t>dílčí</w:t>
      </w:r>
      <w:r>
        <w:t xml:space="preserve"> </w:t>
      </w:r>
      <w:r w:rsidRPr="00CC14BF">
        <w:t>daně</w:t>
      </w:r>
      <w:r>
        <w:t xml:space="preserve"> </w:t>
      </w:r>
      <w:r w:rsidRPr="00CC14BF">
        <w:t>z</w:t>
      </w:r>
      <w:r>
        <w:t xml:space="preserve"> </w:t>
      </w:r>
      <w:r w:rsidRPr="00CC14BF">
        <w:t>ostatních</w:t>
      </w:r>
      <w:r>
        <w:t xml:space="preserve"> </w:t>
      </w:r>
      <w:r w:rsidRPr="00CC14BF">
        <w:t>živých</w:t>
      </w:r>
      <w:r>
        <w:t xml:space="preserve"> </w:t>
      </w:r>
      <w:r w:rsidRPr="00CC14BF">
        <w:t>kursových</w:t>
      </w:r>
      <w:r>
        <w:t xml:space="preserve"> </w:t>
      </w:r>
      <w:r w:rsidRPr="00CC14BF">
        <w:t>sázek,</w:t>
      </w:r>
    </w:p>
    <w:p w14:paraId="17AD8959" w14:textId="77777777" w:rsidR="00635DDD" w:rsidRDefault="00635DDD" w:rsidP="00635DDD">
      <w:pPr>
        <w:pStyle w:val="PZTextpsmene"/>
        <w:spacing w:before="0"/>
      </w:pPr>
      <w:r w:rsidRPr="00CC14BF">
        <w:t>f</w:t>
      </w:r>
      <w:r>
        <w:t>)</w:t>
      </w:r>
      <w:r>
        <w:tab/>
      </w:r>
      <w:r w:rsidRPr="00CC14BF">
        <w:t>totalizátorové</w:t>
      </w:r>
      <w:r>
        <w:t xml:space="preserve"> </w:t>
      </w:r>
      <w:r w:rsidRPr="00CC14BF">
        <w:t>hry</w:t>
      </w:r>
    </w:p>
    <w:p w14:paraId="777AD819" w14:textId="77777777" w:rsidR="00635DDD" w:rsidRDefault="00635DDD" w:rsidP="00635DDD">
      <w:pPr>
        <w:pStyle w:val="PZTextbodu"/>
        <w:spacing w:before="0"/>
      </w:pPr>
      <w:r w:rsidRPr="00CC14BF">
        <w:t>1</w:t>
      </w:r>
      <w:r>
        <w:t>.</w:t>
      </w:r>
      <w:r>
        <w:tab/>
      </w:r>
      <w:r w:rsidRPr="00CC14BF">
        <w:t>provozované</w:t>
      </w:r>
      <w:r>
        <w:t xml:space="preserve"> </w:t>
      </w:r>
      <w:r w:rsidRPr="00CC14BF">
        <w:t>dálkovým</w:t>
      </w:r>
      <w:r>
        <w:t xml:space="preserve"> </w:t>
      </w:r>
      <w:r w:rsidRPr="00CC14BF">
        <w:t>přístupem</w:t>
      </w:r>
      <w:r>
        <w:t xml:space="preserve"> </w:t>
      </w:r>
      <w:r w:rsidRPr="00CC14BF">
        <w:t>prostřednictvím</w:t>
      </w:r>
      <w:r>
        <w:t xml:space="preserve"> </w:t>
      </w:r>
      <w:r w:rsidRPr="00CC14BF">
        <w:t>internetu</w:t>
      </w:r>
      <w:r>
        <w:t xml:space="preserve"> </w:t>
      </w:r>
      <w:r w:rsidRPr="00CC14BF">
        <w:t>v</w:t>
      </w:r>
      <w:r>
        <w:t xml:space="preserve"> </w:t>
      </w:r>
      <w:r w:rsidRPr="00CC14BF">
        <w:t>případě</w:t>
      </w:r>
      <w:r>
        <w:t xml:space="preserve"> </w:t>
      </w:r>
      <w:r w:rsidRPr="00CC14BF">
        <w:t>základu</w:t>
      </w:r>
      <w:r>
        <w:t xml:space="preserve"> </w:t>
      </w:r>
      <w:r w:rsidRPr="00CC14BF">
        <w:t>dílčí</w:t>
      </w:r>
      <w:r>
        <w:t xml:space="preserve"> </w:t>
      </w:r>
      <w:r w:rsidRPr="00CC14BF">
        <w:t>daně</w:t>
      </w:r>
      <w:r>
        <w:t xml:space="preserve"> </w:t>
      </w:r>
      <w:r w:rsidRPr="00CC14BF">
        <w:t>z</w:t>
      </w:r>
      <w:r>
        <w:t xml:space="preserve"> </w:t>
      </w:r>
      <w:r w:rsidRPr="00CC14BF">
        <w:t>internetových</w:t>
      </w:r>
      <w:r>
        <w:t xml:space="preserve"> </w:t>
      </w:r>
      <w:r w:rsidRPr="00CC14BF">
        <w:t>totalizátorových</w:t>
      </w:r>
      <w:r>
        <w:t xml:space="preserve"> </w:t>
      </w:r>
      <w:r w:rsidRPr="00CC14BF">
        <w:t>her,</w:t>
      </w:r>
    </w:p>
    <w:p w14:paraId="3EC11CD6" w14:textId="77777777" w:rsidR="00635DDD" w:rsidRDefault="00635DDD" w:rsidP="00635DDD">
      <w:pPr>
        <w:pStyle w:val="PZTextbodu"/>
        <w:spacing w:before="0"/>
      </w:pPr>
      <w:r w:rsidRPr="00CC14BF">
        <w:t>2</w:t>
      </w:r>
      <w:r>
        <w:t>.</w:t>
      </w:r>
      <w:r>
        <w:tab/>
      </w:r>
      <w:r w:rsidRPr="00CC14BF">
        <w:t>jiné</w:t>
      </w:r>
      <w:r>
        <w:t xml:space="preserve"> </w:t>
      </w:r>
      <w:r w:rsidRPr="00CC14BF">
        <w:t>než</w:t>
      </w:r>
      <w:r>
        <w:t xml:space="preserve"> </w:t>
      </w:r>
      <w:r w:rsidRPr="00CC14BF">
        <w:t>podle</w:t>
      </w:r>
      <w:r>
        <w:t xml:space="preserve"> </w:t>
      </w:r>
      <w:r w:rsidRPr="00CC14BF">
        <w:t>bodu</w:t>
      </w:r>
      <w:r>
        <w:t xml:space="preserve"> </w:t>
      </w:r>
      <w:r w:rsidRPr="00CC14BF">
        <w:t>1</w:t>
      </w:r>
      <w:r>
        <w:t xml:space="preserve"> </w:t>
      </w:r>
      <w:r w:rsidRPr="00CC14BF">
        <w:t>v</w:t>
      </w:r>
      <w:r>
        <w:t xml:space="preserve"> </w:t>
      </w:r>
      <w:r w:rsidRPr="00CC14BF">
        <w:t>případě</w:t>
      </w:r>
      <w:r>
        <w:t xml:space="preserve"> </w:t>
      </w:r>
      <w:r w:rsidRPr="00CC14BF">
        <w:t>základu</w:t>
      </w:r>
      <w:r>
        <w:t xml:space="preserve"> </w:t>
      </w:r>
      <w:r w:rsidRPr="00CC14BF">
        <w:t>dílčí</w:t>
      </w:r>
      <w:r>
        <w:t xml:space="preserve"> </w:t>
      </w:r>
      <w:r w:rsidRPr="00CC14BF">
        <w:t>daně</w:t>
      </w:r>
      <w:r>
        <w:t xml:space="preserve"> </w:t>
      </w:r>
      <w:r w:rsidRPr="00CC14BF">
        <w:t>z</w:t>
      </w:r>
      <w:r>
        <w:t xml:space="preserve"> </w:t>
      </w:r>
      <w:r w:rsidRPr="00CC14BF">
        <w:t>ostatních</w:t>
      </w:r>
      <w:r>
        <w:t xml:space="preserve"> </w:t>
      </w:r>
      <w:r w:rsidRPr="00CC14BF">
        <w:t>totalizátorových</w:t>
      </w:r>
      <w:r>
        <w:t xml:space="preserve"> </w:t>
      </w:r>
      <w:r w:rsidRPr="00CC14BF">
        <w:t>her,</w:t>
      </w:r>
    </w:p>
    <w:p w14:paraId="117C0AFF" w14:textId="77777777" w:rsidR="00635DDD" w:rsidRDefault="00635DDD" w:rsidP="00635DDD">
      <w:pPr>
        <w:pStyle w:val="PZTextpsmene"/>
        <w:spacing w:before="0"/>
      </w:pPr>
      <w:r w:rsidRPr="00CC14BF">
        <w:t>g</w:t>
      </w:r>
      <w:r>
        <w:t>)</w:t>
      </w:r>
      <w:r>
        <w:tab/>
      </w:r>
      <w:r w:rsidRPr="00CC14BF">
        <w:t>binga</w:t>
      </w:r>
    </w:p>
    <w:p w14:paraId="5EBE9687" w14:textId="77777777" w:rsidR="00635DDD" w:rsidRDefault="00635DDD" w:rsidP="00635DDD">
      <w:pPr>
        <w:pStyle w:val="PZTextbodu"/>
        <w:spacing w:before="0"/>
      </w:pPr>
      <w:r w:rsidRPr="00CC14BF">
        <w:t>1</w:t>
      </w:r>
      <w:r>
        <w:t>.</w:t>
      </w:r>
      <w:r>
        <w:tab/>
      </w:r>
      <w:r w:rsidRPr="00CC14BF">
        <w:t>provozovaného</w:t>
      </w:r>
      <w:r>
        <w:t xml:space="preserve"> </w:t>
      </w:r>
      <w:r w:rsidRPr="00CC14BF">
        <w:t>dálkovým</w:t>
      </w:r>
      <w:r>
        <w:t xml:space="preserve"> </w:t>
      </w:r>
      <w:r w:rsidRPr="00CC14BF">
        <w:t>přístupem</w:t>
      </w:r>
      <w:r>
        <w:t xml:space="preserve"> </w:t>
      </w:r>
      <w:r w:rsidRPr="00CC14BF">
        <w:t>prostřednictvím</w:t>
      </w:r>
      <w:r>
        <w:t xml:space="preserve"> </w:t>
      </w:r>
      <w:r w:rsidRPr="00CC14BF">
        <w:t>internetu</w:t>
      </w:r>
      <w:r>
        <w:t xml:space="preserve"> </w:t>
      </w:r>
      <w:r w:rsidRPr="00CC14BF">
        <w:t>v</w:t>
      </w:r>
      <w:r>
        <w:t xml:space="preserve"> </w:t>
      </w:r>
      <w:r w:rsidRPr="00CC14BF">
        <w:t>případě</w:t>
      </w:r>
      <w:r>
        <w:t xml:space="preserve"> </w:t>
      </w:r>
      <w:r w:rsidRPr="00CC14BF">
        <w:t>základu</w:t>
      </w:r>
      <w:r>
        <w:t xml:space="preserve"> </w:t>
      </w:r>
      <w:r w:rsidRPr="00CC14BF">
        <w:t>dílčí</w:t>
      </w:r>
      <w:r>
        <w:t xml:space="preserve"> </w:t>
      </w:r>
      <w:r w:rsidRPr="00CC14BF">
        <w:t>daně</w:t>
      </w:r>
      <w:r>
        <w:t xml:space="preserve"> </w:t>
      </w:r>
      <w:r w:rsidRPr="00CC14BF">
        <w:t>z</w:t>
      </w:r>
      <w:r>
        <w:t xml:space="preserve"> </w:t>
      </w:r>
      <w:r w:rsidRPr="00CC14BF">
        <w:t>internetových</w:t>
      </w:r>
      <w:r>
        <w:t xml:space="preserve"> </w:t>
      </w:r>
      <w:r w:rsidRPr="00CC14BF">
        <w:t>bing,</w:t>
      </w:r>
    </w:p>
    <w:p w14:paraId="50A1943B" w14:textId="77777777" w:rsidR="00635DDD" w:rsidRDefault="00635DDD" w:rsidP="00635DDD">
      <w:pPr>
        <w:pStyle w:val="PZTextbodu"/>
        <w:spacing w:before="0"/>
      </w:pPr>
      <w:r w:rsidRPr="00CC14BF">
        <w:t>2</w:t>
      </w:r>
      <w:r>
        <w:t>.</w:t>
      </w:r>
      <w:r>
        <w:tab/>
      </w:r>
      <w:r w:rsidRPr="00CC14BF">
        <w:t>jiného</w:t>
      </w:r>
      <w:r>
        <w:t xml:space="preserve"> </w:t>
      </w:r>
      <w:r w:rsidRPr="00CC14BF">
        <w:t>než</w:t>
      </w:r>
      <w:r>
        <w:t xml:space="preserve"> </w:t>
      </w:r>
      <w:r w:rsidRPr="00CC14BF">
        <w:t>podle</w:t>
      </w:r>
      <w:r>
        <w:t xml:space="preserve"> </w:t>
      </w:r>
      <w:r w:rsidRPr="00CC14BF">
        <w:t>bodu</w:t>
      </w:r>
      <w:r>
        <w:t xml:space="preserve"> </w:t>
      </w:r>
      <w:r w:rsidRPr="00CC14BF">
        <w:t>1</w:t>
      </w:r>
      <w:r>
        <w:t xml:space="preserve"> </w:t>
      </w:r>
      <w:r w:rsidRPr="00CC14BF">
        <w:t>v</w:t>
      </w:r>
      <w:r>
        <w:t xml:space="preserve"> </w:t>
      </w:r>
      <w:r w:rsidRPr="00CC14BF">
        <w:t>případě</w:t>
      </w:r>
      <w:r>
        <w:t xml:space="preserve"> </w:t>
      </w:r>
      <w:r w:rsidRPr="00CC14BF">
        <w:t>základu</w:t>
      </w:r>
      <w:r>
        <w:t xml:space="preserve"> </w:t>
      </w:r>
      <w:r w:rsidRPr="00CC14BF">
        <w:t>dílčí</w:t>
      </w:r>
      <w:r>
        <w:t xml:space="preserve"> </w:t>
      </w:r>
      <w:r w:rsidRPr="00CC14BF">
        <w:t>daně</w:t>
      </w:r>
      <w:r>
        <w:t xml:space="preserve"> </w:t>
      </w:r>
      <w:r w:rsidRPr="00CC14BF">
        <w:t>z</w:t>
      </w:r>
      <w:r>
        <w:t xml:space="preserve"> </w:t>
      </w:r>
      <w:r w:rsidRPr="00CC14BF">
        <w:t>ostatních</w:t>
      </w:r>
      <w:r>
        <w:t xml:space="preserve"> </w:t>
      </w:r>
      <w:r w:rsidRPr="00CC14BF">
        <w:t>bing,</w:t>
      </w:r>
    </w:p>
    <w:p w14:paraId="61C07772" w14:textId="77777777" w:rsidR="00635DDD" w:rsidRDefault="00635DDD" w:rsidP="00635DDD">
      <w:pPr>
        <w:pStyle w:val="PZTextpsmene"/>
        <w:spacing w:before="0"/>
      </w:pPr>
      <w:r w:rsidRPr="00CC14BF">
        <w:t>h</w:t>
      </w:r>
      <w:r>
        <w:t>)</w:t>
      </w:r>
      <w:r>
        <w:tab/>
      </w:r>
      <w:r w:rsidRPr="00CC14BF">
        <w:t>technické</w:t>
      </w:r>
      <w:r>
        <w:t xml:space="preserve"> </w:t>
      </w:r>
      <w:r w:rsidRPr="00CC14BF">
        <w:t>hry</w:t>
      </w:r>
    </w:p>
    <w:p w14:paraId="2FB32C5A" w14:textId="77777777" w:rsidR="00635DDD" w:rsidRDefault="00635DDD" w:rsidP="00635DDD">
      <w:pPr>
        <w:pStyle w:val="PZTextbodu"/>
        <w:spacing w:before="0"/>
      </w:pPr>
      <w:r w:rsidRPr="00CC14BF">
        <w:t>1</w:t>
      </w:r>
      <w:r>
        <w:t>.</w:t>
      </w:r>
      <w:r>
        <w:tab/>
      </w:r>
      <w:r w:rsidRPr="00CC14BF">
        <w:t>provozované</w:t>
      </w:r>
      <w:r>
        <w:t xml:space="preserve"> </w:t>
      </w:r>
      <w:r w:rsidRPr="00CC14BF">
        <w:t>dálkovým</w:t>
      </w:r>
      <w:r>
        <w:t xml:space="preserve"> </w:t>
      </w:r>
      <w:r w:rsidRPr="00CC14BF">
        <w:t>přístupem</w:t>
      </w:r>
      <w:r>
        <w:t xml:space="preserve"> </w:t>
      </w:r>
      <w:r w:rsidRPr="00CC14BF">
        <w:t>prostřednictvím</w:t>
      </w:r>
      <w:r>
        <w:t xml:space="preserve"> </w:t>
      </w:r>
      <w:r w:rsidRPr="00CC14BF">
        <w:t>internetu</w:t>
      </w:r>
      <w:r>
        <w:t xml:space="preserve"> </w:t>
      </w:r>
      <w:r w:rsidRPr="00CC14BF">
        <w:t>v</w:t>
      </w:r>
      <w:r>
        <w:t xml:space="preserve"> </w:t>
      </w:r>
      <w:r w:rsidRPr="00CC14BF">
        <w:t>případě</w:t>
      </w:r>
      <w:r>
        <w:t xml:space="preserve"> </w:t>
      </w:r>
      <w:r w:rsidRPr="00CC14BF">
        <w:t>základu</w:t>
      </w:r>
      <w:r>
        <w:t xml:space="preserve"> </w:t>
      </w:r>
      <w:r w:rsidRPr="00CC14BF">
        <w:t>dílčí</w:t>
      </w:r>
      <w:r>
        <w:t xml:space="preserve"> </w:t>
      </w:r>
      <w:r w:rsidRPr="00CC14BF">
        <w:t>daně</w:t>
      </w:r>
      <w:r>
        <w:t xml:space="preserve"> </w:t>
      </w:r>
      <w:r w:rsidRPr="00CC14BF">
        <w:t>z</w:t>
      </w:r>
      <w:r>
        <w:t xml:space="preserve"> </w:t>
      </w:r>
      <w:r w:rsidRPr="00CC14BF">
        <w:t>internetových</w:t>
      </w:r>
      <w:r>
        <w:t xml:space="preserve"> </w:t>
      </w:r>
      <w:r w:rsidRPr="00CC14BF">
        <w:t>technických</w:t>
      </w:r>
      <w:r>
        <w:t xml:space="preserve"> </w:t>
      </w:r>
      <w:r w:rsidRPr="00CC14BF">
        <w:t>her,</w:t>
      </w:r>
    </w:p>
    <w:p w14:paraId="07B94DAB" w14:textId="77777777" w:rsidR="00635DDD" w:rsidRDefault="00635DDD" w:rsidP="00635DDD">
      <w:pPr>
        <w:pStyle w:val="PZTextbodu"/>
        <w:spacing w:before="0"/>
      </w:pPr>
      <w:r w:rsidRPr="00CC14BF">
        <w:t>2</w:t>
      </w:r>
      <w:r>
        <w:t>.</w:t>
      </w:r>
      <w:r>
        <w:tab/>
      </w:r>
      <w:r w:rsidRPr="00CC14BF">
        <w:t>jiné</w:t>
      </w:r>
      <w:r>
        <w:t xml:space="preserve"> </w:t>
      </w:r>
      <w:r w:rsidRPr="00CC14BF">
        <w:t>než</w:t>
      </w:r>
      <w:r>
        <w:t xml:space="preserve"> </w:t>
      </w:r>
      <w:r w:rsidRPr="00CC14BF">
        <w:t>podle</w:t>
      </w:r>
      <w:r>
        <w:t xml:space="preserve"> </w:t>
      </w:r>
      <w:r w:rsidRPr="00CC14BF">
        <w:t>bodu</w:t>
      </w:r>
      <w:r>
        <w:t xml:space="preserve"> </w:t>
      </w:r>
      <w:r w:rsidRPr="00CC14BF">
        <w:t>1</w:t>
      </w:r>
      <w:r>
        <w:t xml:space="preserve"> </w:t>
      </w:r>
      <w:r w:rsidRPr="00CC14BF">
        <w:t>v</w:t>
      </w:r>
      <w:r>
        <w:t xml:space="preserve"> </w:t>
      </w:r>
      <w:r w:rsidRPr="00CC14BF">
        <w:t>případě</w:t>
      </w:r>
      <w:r>
        <w:t xml:space="preserve"> </w:t>
      </w:r>
      <w:r w:rsidRPr="00CC14BF">
        <w:t>základu</w:t>
      </w:r>
      <w:r>
        <w:t xml:space="preserve"> </w:t>
      </w:r>
      <w:r w:rsidRPr="00CC14BF">
        <w:t>dílčí</w:t>
      </w:r>
      <w:r>
        <w:t xml:space="preserve"> </w:t>
      </w:r>
      <w:r w:rsidRPr="00CC14BF">
        <w:t>daně</w:t>
      </w:r>
      <w:r>
        <w:t xml:space="preserve"> </w:t>
      </w:r>
      <w:r w:rsidRPr="00CC14BF">
        <w:t>z</w:t>
      </w:r>
      <w:r>
        <w:t xml:space="preserve"> </w:t>
      </w:r>
      <w:r w:rsidRPr="00CC14BF">
        <w:t>ostatních</w:t>
      </w:r>
      <w:r>
        <w:t xml:space="preserve"> </w:t>
      </w:r>
      <w:r w:rsidRPr="00CC14BF">
        <w:t>technických</w:t>
      </w:r>
      <w:r>
        <w:t xml:space="preserve"> </w:t>
      </w:r>
      <w:r w:rsidRPr="00CC14BF">
        <w:t>her,</w:t>
      </w:r>
    </w:p>
    <w:p w14:paraId="6AE54BD8" w14:textId="77777777" w:rsidR="00635DDD" w:rsidRDefault="00635DDD" w:rsidP="00635DDD">
      <w:pPr>
        <w:pStyle w:val="PZTextpsmene"/>
        <w:spacing w:before="0"/>
      </w:pPr>
      <w:r w:rsidRPr="00CC14BF">
        <w:lastRenderedPageBreak/>
        <w:t>i</w:t>
      </w:r>
      <w:r>
        <w:t>)</w:t>
      </w:r>
      <w:r>
        <w:tab/>
      </w:r>
      <w:r w:rsidRPr="00CC14BF">
        <w:t>živé</w:t>
      </w:r>
      <w:r>
        <w:t xml:space="preserve"> </w:t>
      </w:r>
      <w:r w:rsidRPr="00CC14BF">
        <w:t>hry</w:t>
      </w:r>
      <w:r>
        <w:t xml:space="preserve"> </w:t>
      </w:r>
      <w:r w:rsidRPr="00CC14BF">
        <w:t>provozované</w:t>
      </w:r>
      <w:r>
        <w:t xml:space="preserve"> </w:t>
      </w:r>
      <w:r w:rsidRPr="00CC14BF">
        <w:t>dálkovým</w:t>
      </w:r>
      <w:r>
        <w:t xml:space="preserve"> </w:t>
      </w:r>
      <w:r w:rsidRPr="00CC14BF">
        <w:t>přístupem</w:t>
      </w:r>
      <w:r>
        <w:t xml:space="preserve"> </w:t>
      </w:r>
      <w:r w:rsidRPr="00CC14BF">
        <w:t>prostřednictvím</w:t>
      </w:r>
      <w:r>
        <w:t xml:space="preserve"> </w:t>
      </w:r>
      <w:r w:rsidRPr="00CC14BF">
        <w:t>internetu</w:t>
      </w:r>
      <w:r>
        <w:t xml:space="preserve"> </w:t>
      </w:r>
      <w:r w:rsidRPr="00CC14BF">
        <w:t>v</w:t>
      </w:r>
      <w:r>
        <w:t xml:space="preserve"> </w:t>
      </w:r>
      <w:r w:rsidRPr="00CC14BF">
        <w:t>případě</w:t>
      </w:r>
      <w:r>
        <w:t xml:space="preserve"> </w:t>
      </w:r>
      <w:r w:rsidRPr="00CC14BF">
        <w:t>základu</w:t>
      </w:r>
      <w:r>
        <w:t xml:space="preserve"> </w:t>
      </w:r>
      <w:r w:rsidRPr="00CC14BF">
        <w:t>dílčí</w:t>
      </w:r>
      <w:r>
        <w:t xml:space="preserve"> </w:t>
      </w:r>
      <w:r w:rsidRPr="00CC14BF">
        <w:t>daně</w:t>
      </w:r>
      <w:r>
        <w:t xml:space="preserve"> </w:t>
      </w:r>
      <w:r w:rsidRPr="00CC14BF">
        <w:t>z</w:t>
      </w:r>
      <w:r>
        <w:t xml:space="preserve"> </w:t>
      </w:r>
      <w:r w:rsidRPr="00CC14BF">
        <w:t>internetových</w:t>
      </w:r>
      <w:r>
        <w:t xml:space="preserve"> </w:t>
      </w:r>
      <w:r w:rsidRPr="00CC14BF">
        <w:t>živých</w:t>
      </w:r>
      <w:r>
        <w:t xml:space="preserve"> </w:t>
      </w:r>
      <w:r w:rsidRPr="00CC14BF">
        <w:t>her,</w:t>
      </w:r>
    </w:p>
    <w:p w14:paraId="799B9C8B" w14:textId="77777777" w:rsidR="00635DDD" w:rsidRDefault="00635DDD" w:rsidP="00635DDD">
      <w:pPr>
        <w:pStyle w:val="PZTextpsmene"/>
        <w:spacing w:before="0"/>
      </w:pPr>
      <w:r w:rsidRPr="00CC14BF">
        <w:t>j</w:t>
      </w:r>
      <w:r>
        <w:t>)</w:t>
      </w:r>
      <w:r>
        <w:tab/>
      </w:r>
      <w:r w:rsidRPr="00CC14BF">
        <w:t>tomboly</w:t>
      </w:r>
      <w:r>
        <w:t xml:space="preserve"> </w:t>
      </w:r>
      <w:r w:rsidRPr="00CC14BF">
        <w:t>v</w:t>
      </w:r>
      <w:r>
        <w:t xml:space="preserve"> </w:t>
      </w:r>
      <w:r w:rsidRPr="00CC14BF">
        <w:t>případě</w:t>
      </w:r>
      <w:r>
        <w:t xml:space="preserve"> </w:t>
      </w:r>
      <w:r w:rsidRPr="00CC14BF">
        <w:t>základu</w:t>
      </w:r>
      <w:r>
        <w:t xml:space="preserve"> </w:t>
      </w:r>
      <w:r w:rsidRPr="00CC14BF">
        <w:t>dílčí</w:t>
      </w:r>
      <w:r>
        <w:t xml:space="preserve"> </w:t>
      </w:r>
      <w:r w:rsidRPr="00CC14BF">
        <w:t>daně</w:t>
      </w:r>
      <w:r>
        <w:t xml:space="preserve"> </w:t>
      </w:r>
      <w:r w:rsidRPr="00CC14BF">
        <w:t>z</w:t>
      </w:r>
      <w:r>
        <w:t xml:space="preserve"> </w:t>
      </w:r>
      <w:r w:rsidRPr="00CC14BF">
        <w:t>tombol</w:t>
      </w:r>
      <w:r>
        <w:t xml:space="preserve"> </w:t>
      </w:r>
      <w:r w:rsidRPr="00CC14BF">
        <w:t>a</w:t>
      </w:r>
    </w:p>
    <w:p w14:paraId="61D18318" w14:textId="77777777" w:rsidR="00635DDD" w:rsidRDefault="00635DDD" w:rsidP="00635DDD">
      <w:pPr>
        <w:pStyle w:val="PZTextpsmene"/>
        <w:spacing w:before="0"/>
      </w:pPr>
      <w:r w:rsidRPr="00CC14BF">
        <w:t>k</w:t>
      </w:r>
      <w:r>
        <w:t>)</w:t>
      </w:r>
      <w:r>
        <w:tab/>
      </w:r>
      <w:r w:rsidRPr="00CC14BF">
        <w:t>turnaje</w:t>
      </w:r>
      <w:r>
        <w:t xml:space="preserve"> </w:t>
      </w:r>
      <w:r w:rsidRPr="00CC14BF">
        <w:t>malého</w:t>
      </w:r>
      <w:r>
        <w:t xml:space="preserve"> </w:t>
      </w:r>
      <w:r w:rsidRPr="00CC14BF">
        <w:t>rozsahu</w:t>
      </w:r>
      <w:r>
        <w:t xml:space="preserve"> </w:t>
      </w:r>
      <w:r w:rsidRPr="00CC14BF">
        <w:t>v</w:t>
      </w:r>
      <w:r>
        <w:t xml:space="preserve"> </w:t>
      </w:r>
      <w:r w:rsidRPr="00CC14BF">
        <w:t>případě</w:t>
      </w:r>
      <w:r>
        <w:t xml:space="preserve"> </w:t>
      </w:r>
      <w:r w:rsidRPr="00CC14BF">
        <w:t>základu</w:t>
      </w:r>
      <w:r>
        <w:t xml:space="preserve"> </w:t>
      </w:r>
      <w:r w:rsidRPr="00CC14BF">
        <w:t>dílčí</w:t>
      </w:r>
      <w:r>
        <w:t xml:space="preserve"> </w:t>
      </w:r>
      <w:r w:rsidRPr="00CC14BF">
        <w:t>daně</w:t>
      </w:r>
      <w:r>
        <w:t xml:space="preserve"> </w:t>
      </w:r>
      <w:r w:rsidRPr="00CC14BF">
        <w:t>z</w:t>
      </w:r>
      <w:r>
        <w:t xml:space="preserve"> </w:t>
      </w:r>
      <w:r w:rsidRPr="00CC14BF">
        <w:t>turnajů</w:t>
      </w:r>
      <w:r>
        <w:t xml:space="preserve"> </w:t>
      </w:r>
      <w:r w:rsidRPr="00CC14BF">
        <w:t>malého</w:t>
      </w:r>
      <w:r>
        <w:t xml:space="preserve"> </w:t>
      </w:r>
      <w:r w:rsidRPr="00CC14BF">
        <w:t>rozsahu.</w:t>
      </w:r>
    </w:p>
    <w:p w14:paraId="3D9F20A3" w14:textId="34A7E050" w:rsidR="00635DDD" w:rsidRDefault="00635DDD" w:rsidP="00635DDD">
      <w:pPr>
        <w:pStyle w:val="PZTextodstavce"/>
        <w:spacing w:before="240"/>
      </w:pPr>
      <w:r w:rsidRPr="00CC14BF">
        <w:t>(2</w:t>
      </w:r>
      <w:r>
        <w:t xml:space="preserve">) </w:t>
      </w:r>
      <w:r w:rsidRPr="00CC14BF">
        <w:t>Základ</w:t>
      </w:r>
      <w:r>
        <w:t xml:space="preserve"> </w:t>
      </w:r>
      <w:r w:rsidRPr="00CC14BF">
        <w:t>dílčí</w:t>
      </w:r>
      <w:r>
        <w:t xml:space="preserve"> </w:t>
      </w:r>
      <w:r w:rsidRPr="00CC14BF">
        <w:t>daně</w:t>
      </w:r>
      <w:r>
        <w:t xml:space="preserve"> </w:t>
      </w:r>
      <w:r w:rsidRPr="00CC14BF">
        <w:t>z</w:t>
      </w:r>
      <w:r>
        <w:t xml:space="preserve"> </w:t>
      </w:r>
      <w:r w:rsidRPr="00CC14BF">
        <w:t>ostatních</w:t>
      </w:r>
      <w:r>
        <w:t xml:space="preserve"> </w:t>
      </w:r>
      <w:r w:rsidRPr="00CC14BF">
        <w:t>živých</w:t>
      </w:r>
      <w:r>
        <w:t xml:space="preserve"> </w:t>
      </w:r>
      <w:r w:rsidRPr="00CC14BF">
        <w:t>her</w:t>
      </w:r>
      <w:r>
        <w:t xml:space="preserve"> </w:t>
      </w:r>
      <w:r w:rsidRPr="00CC14BF">
        <w:t>činí</w:t>
      </w:r>
      <w:r>
        <w:t xml:space="preserve"> </w:t>
      </w:r>
      <w:r w:rsidRPr="00CC14BF">
        <w:t>součet</w:t>
      </w:r>
      <w:r>
        <w:t xml:space="preserve"> </w:t>
      </w:r>
      <w:r w:rsidRPr="00CC14BF">
        <w:t>těchto</w:t>
      </w:r>
      <w:r>
        <w:t xml:space="preserve"> </w:t>
      </w:r>
      <w:r w:rsidRPr="00CC14BF">
        <w:t>částek:</w:t>
      </w:r>
    </w:p>
    <w:p w14:paraId="1CB3DCCB" w14:textId="77777777" w:rsidR="00635DDD" w:rsidRDefault="00635DDD" w:rsidP="00635DDD">
      <w:pPr>
        <w:pStyle w:val="PZTextpsmene"/>
        <w:spacing w:before="0"/>
      </w:pPr>
      <w:r w:rsidRPr="00CC14BF">
        <w:t>a</w:t>
      </w:r>
      <w:r>
        <w:t>)</w:t>
      </w:r>
      <w:r>
        <w:tab/>
      </w:r>
      <w:r w:rsidRPr="00CC14BF">
        <w:t>kladný</w:t>
      </w:r>
      <w:r>
        <w:t xml:space="preserve"> </w:t>
      </w:r>
      <w:r w:rsidRPr="00CC14BF">
        <w:t>rozdíl</w:t>
      </w:r>
      <w:r>
        <w:t xml:space="preserve"> </w:t>
      </w:r>
      <w:r w:rsidRPr="00CC14BF">
        <w:t>úhrnu</w:t>
      </w:r>
      <w:r>
        <w:t xml:space="preserve"> </w:t>
      </w:r>
      <w:r w:rsidRPr="00CC14BF">
        <w:t>hodnotových</w:t>
      </w:r>
      <w:r>
        <w:t xml:space="preserve"> </w:t>
      </w:r>
      <w:r w:rsidRPr="00CC14BF">
        <w:t>žetonů</w:t>
      </w:r>
      <w:r>
        <w:t xml:space="preserve"> </w:t>
      </w:r>
      <w:r w:rsidRPr="00CC14BF">
        <w:t>nakoupených</w:t>
      </w:r>
      <w:r>
        <w:t xml:space="preserve"> </w:t>
      </w:r>
      <w:r w:rsidRPr="00CC14BF">
        <w:t>účastníky</w:t>
      </w:r>
      <w:r>
        <w:t xml:space="preserve"> </w:t>
      </w:r>
      <w:r w:rsidRPr="00CC14BF">
        <w:t>hazardní</w:t>
      </w:r>
      <w:r>
        <w:t xml:space="preserve"> </w:t>
      </w:r>
      <w:r w:rsidRPr="00CC14BF">
        <w:t>hry</w:t>
      </w:r>
      <w:r>
        <w:t xml:space="preserve"> </w:t>
      </w:r>
      <w:r w:rsidRPr="00CC14BF">
        <w:t>a</w:t>
      </w:r>
      <w:r>
        <w:t xml:space="preserve"> </w:t>
      </w:r>
      <w:r w:rsidRPr="00CC14BF">
        <w:t>úhrnu</w:t>
      </w:r>
      <w:r>
        <w:t xml:space="preserve"> </w:t>
      </w:r>
      <w:r w:rsidRPr="00CC14BF">
        <w:t>hodnotových</w:t>
      </w:r>
      <w:r>
        <w:t xml:space="preserve"> </w:t>
      </w:r>
      <w:r w:rsidRPr="00CC14BF">
        <w:t>žetonů</w:t>
      </w:r>
      <w:r>
        <w:t xml:space="preserve"> </w:t>
      </w:r>
      <w:r w:rsidRPr="00CC14BF">
        <w:t>vyměněných</w:t>
      </w:r>
      <w:r>
        <w:t xml:space="preserve"> </w:t>
      </w:r>
      <w:r w:rsidRPr="00CC14BF">
        <w:t>účastníky</w:t>
      </w:r>
      <w:r>
        <w:t xml:space="preserve"> </w:t>
      </w:r>
      <w:r w:rsidRPr="00CC14BF">
        <w:t>hazardní</w:t>
      </w:r>
      <w:r>
        <w:t xml:space="preserve"> </w:t>
      </w:r>
      <w:r w:rsidRPr="00CC14BF">
        <w:t>hry</w:t>
      </w:r>
      <w:r>
        <w:t xml:space="preserve"> </w:t>
      </w:r>
      <w:r w:rsidRPr="00CC14BF">
        <w:t>vyjádřený</w:t>
      </w:r>
      <w:r>
        <w:t xml:space="preserve"> </w:t>
      </w:r>
      <w:r w:rsidRPr="00CC14BF">
        <w:t>v</w:t>
      </w:r>
      <w:r>
        <w:t xml:space="preserve"> </w:t>
      </w:r>
      <w:r w:rsidRPr="00CC14BF">
        <w:t>českých</w:t>
      </w:r>
      <w:r>
        <w:t xml:space="preserve"> </w:t>
      </w:r>
      <w:r w:rsidRPr="00CC14BF">
        <w:t>korunách;</w:t>
      </w:r>
      <w:r>
        <w:t xml:space="preserve"> </w:t>
      </w:r>
      <w:r w:rsidRPr="00CC14BF">
        <w:t>na</w:t>
      </w:r>
      <w:r>
        <w:t xml:space="preserve"> </w:t>
      </w:r>
      <w:r w:rsidRPr="00CC14BF">
        <w:t>vklad</w:t>
      </w:r>
      <w:r>
        <w:t xml:space="preserve"> </w:t>
      </w:r>
      <w:r w:rsidRPr="00CC14BF">
        <w:t>do</w:t>
      </w:r>
      <w:r>
        <w:t xml:space="preserve"> </w:t>
      </w:r>
      <w:r w:rsidRPr="00CC14BF">
        <w:t>živé</w:t>
      </w:r>
      <w:r>
        <w:t xml:space="preserve"> </w:t>
      </w:r>
      <w:r w:rsidRPr="00CC14BF">
        <w:t>hry</w:t>
      </w:r>
      <w:r>
        <w:t xml:space="preserve"> </w:t>
      </w:r>
      <w:r w:rsidRPr="00CC14BF">
        <w:t>neprovozované</w:t>
      </w:r>
      <w:r>
        <w:t xml:space="preserve"> </w:t>
      </w:r>
      <w:r w:rsidRPr="00CC14BF">
        <w:t>dálkovým</w:t>
      </w:r>
      <w:r>
        <w:t xml:space="preserve"> </w:t>
      </w:r>
      <w:r w:rsidRPr="00CC14BF">
        <w:t>přístupem</w:t>
      </w:r>
      <w:r>
        <w:t xml:space="preserve"> </w:t>
      </w:r>
      <w:r w:rsidRPr="00CC14BF">
        <w:t>prostřednictvím</w:t>
      </w:r>
      <w:r>
        <w:t xml:space="preserve"> </w:t>
      </w:r>
      <w:r w:rsidRPr="00CC14BF">
        <w:t>internetu,</w:t>
      </w:r>
      <w:r>
        <w:t xml:space="preserve"> </w:t>
      </w:r>
      <w:r w:rsidRPr="00CC14BF">
        <w:t>který</w:t>
      </w:r>
      <w:r>
        <w:t xml:space="preserve"> </w:t>
      </w:r>
      <w:r w:rsidRPr="00CC14BF">
        <w:t>nebyl</w:t>
      </w:r>
      <w:r>
        <w:t xml:space="preserve"> </w:t>
      </w:r>
      <w:r w:rsidRPr="00CC14BF">
        <w:t>přijat</w:t>
      </w:r>
      <w:r>
        <w:t xml:space="preserve"> </w:t>
      </w:r>
      <w:r w:rsidRPr="00CC14BF">
        <w:t>v</w:t>
      </w:r>
      <w:r>
        <w:t xml:space="preserve"> </w:t>
      </w:r>
      <w:r w:rsidRPr="00CC14BF">
        <w:t>hodnotových</w:t>
      </w:r>
      <w:r>
        <w:t xml:space="preserve"> </w:t>
      </w:r>
      <w:r w:rsidRPr="00CC14BF">
        <w:t>žetonech</w:t>
      </w:r>
      <w:r>
        <w:t xml:space="preserve"> </w:t>
      </w:r>
      <w:r w:rsidRPr="00CC14BF">
        <w:t>ani</w:t>
      </w:r>
      <w:r>
        <w:t xml:space="preserve"> </w:t>
      </w:r>
      <w:r w:rsidRPr="00CC14BF">
        <w:t>hracích</w:t>
      </w:r>
      <w:r>
        <w:t xml:space="preserve"> </w:t>
      </w:r>
      <w:r w:rsidRPr="00CC14BF">
        <w:t>žetonech,</w:t>
      </w:r>
      <w:r>
        <w:t xml:space="preserve"> </w:t>
      </w:r>
      <w:r w:rsidRPr="00CC14BF">
        <w:t>a</w:t>
      </w:r>
      <w:r>
        <w:t xml:space="preserve"> </w:t>
      </w:r>
      <w:r w:rsidRPr="00CC14BF">
        <w:t>na</w:t>
      </w:r>
      <w:r>
        <w:t xml:space="preserve"> </w:t>
      </w:r>
      <w:r w:rsidRPr="00CC14BF">
        <w:t>předání</w:t>
      </w:r>
      <w:r>
        <w:t xml:space="preserve"> </w:t>
      </w:r>
      <w:r w:rsidRPr="00CC14BF">
        <w:t>hodnotových</w:t>
      </w:r>
      <w:r>
        <w:t xml:space="preserve"> </w:t>
      </w:r>
      <w:r w:rsidRPr="00CC14BF">
        <w:t>žetonů</w:t>
      </w:r>
      <w:r>
        <w:t xml:space="preserve"> </w:t>
      </w:r>
      <w:r w:rsidRPr="00CC14BF">
        <w:t>účastníkovi</w:t>
      </w:r>
      <w:r>
        <w:t xml:space="preserve"> </w:t>
      </w:r>
      <w:r w:rsidRPr="00CC14BF">
        <w:t>hazardní</w:t>
      </w:r>
      <w:r>
        <w:t xml:space="preserve"> </w:t>
      </w:r>
      <w:r w:rsidRPr="00CC14BF">
        <w:t>hry</w:t>
      </w:r>
      <w:r>
        <w:t xml:space="preserve"> </w:t>
      </w:r>
      <w:r w:rsidRPr="00CC14BF">
        <w:t>z</w:t>
      </w:r>
      <w:r>
        <w:t xml:space="preserve"> </w:t>
      </w:r>
      <w:r w:rsidRPr="00CC14BF">
        <w:t>jakéhokoliv</w:t>
      </w:r>
      <w:r>
        <w:t xml:space="preserve"> </w:t>
      </w:r>
      <w:r w:rsidRPr="00CC14BF">
        <w:t>důvodu,</w:t>
      </w:r>
      <w:r>
        <w:t xml:space="preserve"> </w:t>
      </w:r>
      <w:r w:rsidRPr="00CC14BF">
        <w:t>než</w:t>
      </w:r>
      <w:r>
        <w:t xml:space="preserve"> </w:t>
      </w:r>
      <w:r w:rsidRPr="00CC14BF">
        <w:t>je</w:t>
      </w:r>
      <w:r>
        <w:t xml:space="preserve"> </w:t>
      </w:r>
      <w:r w:rsidRPr="00CC14BF">
        <w:t>vyplacení</w:t>
      </w:r>
      <w:r>
        <w:t xml:space="preserve"> </w:t>
      </w:r>
      <w:r w:rsidRPr="00CC14BF">
        <w:t>výhry</w:t>
      </w:r>
      <w:r>
        <w:t xml:space="preserve"> </w:t>
      </w:r>
      <w:r w:rsidRPr="00CC14BF">
        <w:t>nebo</w:t>
      </w:r>
      <w:r>
        <w:t xml:space="preserve"> </w:t>
      </w:r>
      <w:r w:rsidRPr="00CC14BF">
        <w:t>vrácení</w:t>
      </w:r>
      <w:r>
        <w:t xml:space="preserve"> </w:t>
      </w:r>
      <w:r w:rsidRPr="00CC14BF">
        <w:t>vkladu,</w:t>
      </w:r>
      <w:r>
        <w:t xml:space="preserve"> </w:t>
      </w:r>
      <w:r w:rsidRPr="00CC14BF">
        <w:t>se</w:t>
      </w:r>
      <w:r>
        <w:t xml:space="preserve"> </w:t>
      </w:r>
      <w:r w:rsidRPr="00CC14BF">
        <w:t>pro</w:t>
      </w:r>
      <w:r>
        <w:t xml:space="preserve"> </w:t>
      </w:r>
      <w:r w:rsidRPr="00CC14BF">
        <w:t>účely</w:t>
      </w:r>
      <w:r>
        <w:t xml:space="preserve"> </w:t>
      </w:r>
      <w:r w:rsidRPr="00CC14BF">
        <w:t>určení</w:t>
      </w:r>
      <w:r>
        <w:t xml:space="preserve"> </w:t>
      </w:r>
      <w:r w:rsidRPr="00CC14BF">
        <w:t>základu</w:t>
      </w:r>
      <w:r>
        <w:t xml:space="preserve"> </w:t>
      </w:r>
      <w:r w:rsidRPr="00CC14BF">
        <w:t>dílčí</w:t>
      </w:r>
      <w:r>
        <w:t xml:space="preserve"> </w:t>
      </w:r>
      <w:r w:rsidRPr="00CC14BF">
        <w:t>daně</w:t>
      </w:r>
      <w:r>
        <w:t xml:space="preserve"> </w:t>
      </w:r>
      <w:r w:rsidRPr="00CC14BF">
        <w:t>z</w:t>
      </w:r>
      <w:r>
        <w:t xml:space="preserve"> </w:t>
      </w:r>
      <w:r w:rsidRPr="00CC14BF">
        <w:t>ostatních</w:t>
      </w:r>
      <w:r>
        <w:t xml:space="preserve"> </w:t>
      </w:r>
      <w:r w:rsidRPr="00CC14BF">
        <w:t>živých</w:t>
      </w:r>
      <w:r>
        <w:t xml:space="preserve"> </w:t>
      </w:r>
      <w:r w:rsidRPr="00CC14BF">
        <w:t>her</w:t>
      </w:r>
      <w:r>
        <w:t xml:space="preserve"> </w:t>
      </w:r>
      <w:r w:rsidRPr="00CC14BF">
        <w:t>hledí</w:t>
      </w:r>
      <w:r>
        <w:t xml:space="preserve"> </w:t>
      </w:r>
      <w:r w:rsidRPr="00CC14BF">
        <w:t>jako</w:t>
      </w:r>
      <w:r>
        <w:t xml:space="preserve"> </w:t>
      </w:r>
      <w:r w:rsidRPr="00CC14BF">
        <w:t>na</w:t>
      </w:r>
      <w:r>
        <w:t xml:space="preserve"> </w:t>
      </w:r>
      <w:r w:rsidRPr="00CC14BF">
        <w:t>nákup</w:t>
      </w:r>
      <w:r>
        <w:t xml:space="preserve"> </w:t>
      </w:r>
      <w:r w:rsidRPr="00CC14BF">
        <w:t>hodnotových</w:t>
      </w:r>
      <w:r>
        <w:t xml:space="preserve"> </w:t>
      </w:r>
      <w:r w:rsidRPr="00CC14BF">
        <w:t>žetonů</w:t>
      </w:r>
      <w:r>
        <w:t xml:space="preserve"> </w:t>
      </w:r>
      <w:r w:rsidRPr="00CC14BF">
        <w:t>odpovídající</w:t>
      </w:r>
      <w:r>
        <w:t xml:space="preserve"> </w:t>
      </w:r>
      <w:r w:rsidRPr="00CC14BF">
        <w:t>hodnoty,</w:t>
      </w:r>
    </w:p>
    <w:p w14:paraId="3B2A077A" w14:textId="77777777" w:rsidR="00635DDD" w:rsidRDefault="00635DDD" w:rsidP="00635DDD">
      <w:pPr>
        <w:pStyle w:val="PZTextpsmene"/>
        <w:spacing w:before="0"/>
      </w:pPr>
      <w:r w:rsidRPr="00CC14BF">
        <w:t>b</w:t>
      </w:r>
      <w:r>
        <w:t>)</w:t>
      </w:r>
      <w:r>
        <w:tab/>
      </w:r>
      <w:r w:rsidRPr="00CC14BF">
        <w:t>částka,</w:t>
      </w:r>
      <w:r>
        <w:t xml:space="preserve"> </w:t>
      </w:r>
      <w:r w:rsidRPr="00CC14BF">
        <w:t>o</w:t>
      </w:r>
      <w:r>
        <w:t xml:space="preserve"> </w:t>
      </w:r>
      <w:r w:rsidRPr="00CC14BF">
        <w:t>kterou</w:t>
      </w:r>
      <w:r>
        <w:t xml:space="preserve"> </w:t>
      </w:r>
      <w:r w:rsidRPr="00CC14BF">
        <w:t>úhrn</w:t>
      </w:r>
      <w:r>
        <w:t xml:space="preserve"> </w:t>
      </w:r>
      <w:r w:rsidRPr="00CC14BF">
        <w:t>přijatých</w:t>
      </w:r>
      <w:r>
        <w:t xml:space="preserve"> </w:t>
      </w:r>
      <w:r w:rsidRPr="00CC14BF">
        <w:t>vkladů</w:t>
      </w:r>
      <w:r>
        <w:t xml:space="preserve"> </w:t>
      </w:r>
      <w:r w:rsidRPr="00CC14BF">
        <w:t>do</w:t>
      </w:r>
      <w:r>
        <w:t xml:space="preserve"> </w:t>
      </w:r>
      <w:r w:rsidRPr="00CC14BF">
        <w:t>turnaje</w:t>
      </w:r>
      <w:r>
        <w:t xml:space="preserve"> </w:t>
      </w:r>
      <w:r w:rsidRPr="00CC14BF">
        <w:t>přepočtených</w:t>
      </w:r>
      <w:r>
        <w:t xml:space="preserve"> </w:t>
      </w:r>
      <w:r w:rsidRPr="00CC14BF">
        <w:t>na</w:t>
      </w:r>
      <w:r>
        <w:t xml:space="preserve"> </w:t>
      </w:r>
      <w:r w:rsidRPr="00CC14BF">
        <w:t>české</w:t>
      </w:r>
      <w:r>
        <w:t xml:space="preserve"> </w:t>
      </w:r>
      <w:r w:rsidRPr="00CC14BF">
        <w:t>koruny</w:t>
      </w:r>
      <w:r>
        <w:t xml:space="preserve"> </w:t>
      </w:r>
      <w:r w:rsidRPr="00CC14BF">
        <w:t>převyšuje</w:t>
      </w:r>
      <w:r>
        <w:t xml:space="preserve"> </w:t>
      </w:r>
      <w:r w:rsidRPr="00CC14BF">
        <w:t>součet</w:t>
      </w:r>
      <w:r>
        <w:t xml:space="preserve"> </w:t>
      </w:r>
      <w:r w:rsidRPr="00CC14BF">
        <w:t>úhrnu</w:t>
      </w:r>
      <w:r>
        <w:t xml:space="preserve"> </w:t>
      </w:r>
      <w:r w:rsidRPr="00CC14BF">
        <w:t>vyplacených</w:t>
      </w:r>
      <w:r>
        <w:t xml:space="preserve"> </w:t>
      </w:r>
      <w:r w:rsidRPr="00CC14BF">
        <w:t>výher</w:t>
      </w:r>
      <w:r>
        <w:t xml:space="preserve"> </w:t>
      </w:r>
      <w:r w:rsidRPr="00CC14BF">
        <w:t>z</w:t>
      </w:r>
      <w:r>
        <w:t xml:space="preserve"> </w:t>
      </w:r>
      <w:r w:rsidRPr="00CC14BF">
        <w:t>turnaje</w:t>
      </w:r>
      <w:r>
        <w:t xml:space="preserve"> </w:t>
      </w:r>
      <w:r w:rsidRPr="00CC14BF">
        <w:t>přepočtených</w:t>
      </w:r>
      <w:r>
        <w:t xml:space="preserve"> </w:t>
      </w:r>
      <w:r w:rsidRPr="00CC14BF">
        <w:t>na</w:t>
      </w:r>
      <w:r>
        <w:t xml:space="preserve"> </w:t>
      </w:r>
      <w:r w:rsidRPr="00CC14BF">
        <w:t>české</w:t>
      </w:r>
      <w:r>
        <w:t xml:space="preserve"> </w:t>
      </w:r>
      <w:r w:rsidRPr="00CC14BF">
        <w:t>koruny</w:t>
      </w:r>
      <w:r>
        <w:t xml:space="preserve"> </w:t>
      </w:r>
      <w:r w:rsidRPr="00CC14BF">
        <w:t>a</w:t>
      </w:r>
      <w:r>
        <w:t xml:space="preserve"> </w:t>
      </w:r>
      <w:r w:rsidRPr="00CC14BF">
        <w:t>úhrnu</w:t>
      </w:r>
      <w:r>
        <w:t xml:space="preserve"> </w:t>
      </w:r>
      <w:r w:rsidRPr="00CC14BF">
        <w:t>vrácených</w:t>
      </w:r>
      <w:r>
        <w:t xml:space="preserve"> </w:t>
      </w:r>
      <w:r w:rsidRPr="00CC14BF">
        <w:t>vkladů</w:t>
      </w:r>
      <w:r>
        <w:t xml:space="preserve"> </w:t>
      </w:r>
      <w:r w:rsidRPr="00CC14BF">
        <w:t>do</w:t>
      </w:r>
      <w:r>
        <w:t xml:space="preserve"> </w:t>
      </w:r>
      <w:r w:rsidRPr="00CC14BF">
        <w:t>turnaje</w:t>
      </w:r>
      <w:r>
        <w:t xml:space="preserve"> </w:t>
      </w:r>
      <w:r w:rsidRPr="00CC14BF">
        <w:t>přepočtených</w:t>
      </w:r>
      <w:r>
        <w:t xml:space="preserve"> </w:t>
      </w:r>
      <w:r w:rsidRPr="00CC14BF">
        <w:t>na</w:t>
      </w:r>
      <w:r>
        <w:t xml:space="preserve"> </w:t>
      </w:r>
      <w:r w:rsidRPr="00CC14BF">
        <w:t>české</w:t>
      </w:r>
      <w:r>
        <w:t xml:space="preserve"> </w:t>
      </w:r>
      <w:r w:rsidRPr="00CC14BF">
        <w:t>koruny.</w:t>
      </w:r>
    </w:p>
    <w:p w14:paraId="566DA1D8" w14:textId="5546819A" w:rsidR="00635DDD" w:rsidRDefault="00635DDD" w:rsidP="005564E1">
      <w:pPr>
        <w:pStyle w:val="PZTextodstavce"/>
      </w:pPr>
      <w:r w:rsidRPr="00CC14BF">
        <w:t>(3</w:t>
      </w:r>
      <w:r>
        <w:t xml:space="preserve">) </w:t>
      </w:r>
      <w:r w:rsidRPr="00CC14BF">
        <w:t>Základ</w:t>
      </w:r>
      <w:r>
        <w:t xml:space="preserve"> </w:t>
      </w:r>
      <w:r w:rsidRPr="00CC14BF">
        <w:t>dílčí</w:t>
      </w:r>
      <w:r>
        <w:t xml:space="preserve"> </w:t>
      </w:r>
      <w:r w:rsidRPr="00CC14BF">
        <w:t>daně</w:t>
      </w:r>
      <w:r>
        <w:t xml:space="preserve"> </w:t>
      </w:r>
      <w:r w:rsidRPr="00CC14BF">
        <w:t>z</w:t>
      </w:r>
      <w:r>
        <w:t xml:space="preserve"> </w:t>
      </w:r>
      <w:r w:rsidRPr="00CC14BF">
        <w:t>hazardních</w:t>
      </w:r>
      <w:r>
        <w:t xml:space="preserve"> </w:t>
      </w:r>
      <w:r w:rsidRPr="00CC14BF">
        <w:t>her</w:t>
      </w:r>
      <w:r>
        <w:t xml:space="preserve"> </w:t>
      </w:r>
      <w:r w:rsidRPr="00CC14BF">
        <w:t>provozovaných</w:t>
      </w:r>
      <w:r>
        <w:t xml:space="preserve"> </w:t>
      </w:r>
      <w:r w:rsidRPr="00CC14BF">
        <w:t>bez</w:t>
      </w:r>
      <w:r>
        <w:t xml:space="preserve"> </w:t>
      </w:r>
      <w:r w:rsidRPr="00CC14BF">
        <w:t>potřebného</w:t>
      </w:r>
      <w:r>
        <w:t xml:space="preserve"> </w:t>
      </w:r>
      <w:r w:rsidRPr="00CC14BF">
        <w:t>základního</w:t>
      </w:r>
      <w:r>
        <w:t xml:space="preserve"> </w:t>
      </w:r>
      <w:r w:rsidRPr="00CC14BF">
        <w:t>povolení</w:t>
      </w:r>
      <w:r>
        <w:t xml:space="preserve"> </w:t>
      </w:r>
      <w:r w:rsidRPr="00CC14BF">
        <w:t>nebo</w:t>
      </w:r>
      <w:r>
        <w:t xml:space="preserve"> </w:t>
      </w:r>
      <w:r w:rsidRPr="00CC14BF">
        <w:t>ohlášení</w:t>
      </w:r>
      <w:r>
        <w:t xml:space="preserve"> </w:t>
      </w:r>
      <w:r w:rsidRPr="00CC14BF">
        <w:t>činí</w:t>
      </w:r>
      <w:r>
        <w:t xml:space="preserve"> </w:t>
      </w:r>
      <w:r w:rsidRPr="00CC14BF">
        <w:t>částka,</w:t>
      </w:r>
      <w:r>
        <w:t xml:space="preserve"> </w:t>
      </w:r>
      <w:r w:rsidRPr="00CC14BF">
        <w:t>o</w:t>
      </w:r>
      <w:r>
        <w:t xml:space="preserve"> </w:t>
      </w:r>
      <w:r w:rsidRPr="00CC14BF">
        <w:t>kterou</w:t>
      </w:r>
      <w:r>
        <w:t xml:space="preserve"> </w:t>
      </w:r>
      <w:r w:rsidRPr="00CC14BF">
        <w:t>úhrn</w:t>
      </w:r>
      <w:r>
        <w:t xml:space="preserve"> </w:t>
      </w:r>
      <w:r w:rsidRPr="00CC14BF">
        <w:t>přijatých</w:t>
      </w:r>
      <w:r>
        <w:t xml:space="preserve"> </w:t>
      </w:r>
      <w:r w:rsidRPr="00CC14BF">
        <w:t>vkladů</w:t>
      </w:r>
      <w:r>
        <w:t xml:space="preserve"> </w:t>
      </w:r>
      <w:r w:rsidRPr="00CC14BF">
        <w:t>přepočtených</w:t>
      </w:r>
      <w:r>
        <w:t xml:space="preserve"> </w:t>
      </w:r>
      <w:r w:rsidRPr="00CC14BF">
        <w:t>na</w:t>
      </w:r>
      <w:r>
        <w:t xml:space="preserve"> </w:t>
      </w:r>
      <w:r w:rsidRPr="00CC14BF">
        <w:t>české</w:t>
      </w:r>
      <w:r>
        <w:t xml:space="preserve"> </w:t>
      </w:r>
      <w:r w:rsidRPr="00CC14BF">
        <w:t>koruny</w:t>
      </w:r>
      <w:r>
        <w:t xml:space="preserve"> </w:t>
      </w:r>
      <w:r w:rsidRPr="00CC14BF">
        <w:t>převyšuje</w:t>
      </w:r>
      <w:r>
        <w:t xml:space="preserve"> </w:t>
      </w:r>
      <w:r w:rsidRPr="00CC14BF">
        <w:t>součet</w:t>
      </w:r>
      <w:r>
        <w:t xml:space="preserve"> </w:t>
      </w:r>
      <w:r w:rsidRPr="00CC14BF">
        <w:t>úhrnu</w:t>
      </w:r>
      <w:r>
        <w:t xml:space="preserve"> </w:t>
      </w:r>
      <w:r w:rsidRPr="00CC14BF">
        <w:t>vyplacených</w:t>
      </w:r>
      <w:r>
        <w:t xml:space="preserve"> </w:t>
      </w:r>
      <w:r w:rsidRPr="00CC14BF">
        <w:t>výher</w:t>
      </w:r>
      <w:r>
        <w:t xml:space="preserve"> </w:t>
      </w:r>
      <w:r w:rsidRPr="00CC14BF">
        <w:t>přepočtených</w:t>
      </w:r>
      <w:r>
        <w:t xml:space="preserve"> </w:t>
      </w:r>
      <w:r w:rsidRPr="00CC14BF">
        <w:t>na</w:t>
      </w:r>
      <w:r>
        <w:t xml:space="preserve"> </w:t>
      </w:r>
      <w:r w:rsidRPr="00CC14BF">
        <w:t>české</w:t>
      </w:r>
      <w:r>
        <w:t xml:space="preserve"> </w:t>
      </w:r>
      <w:r w:rsidRPr="00CC14BF">
        <w:t>koruny</w:t>
      </w:r>
      <w:r>
        <w:t xml:space="preserve"> </w:t>
      </w:r>
      <w:r w:rsidRPr="00CC14BF">
        <w:t>a</w:t>
      </w:r>
      <w:r>
        <w:t xml:space="preserve"> </w:t>
      </w:r>
      <w:r w:rsidRPr="00CC14BF">
        <w:t>úhrnu</w:t>
      </w:r>
      <w:r>
        <w:t xml:space="preserve"> </w:t>
      </w:r>
      <w:r w:rsidRPr="00CC14BF">
        <w:t>vrácených</w:t>
      </w:r>
      <w:r>
        <w:t xml:space="preserve"> </w:t>
      </w:r>
      <w:r w:rsidRPr="00CC14BF">
        <w:t>vkladů</w:t>
      </w:r>
      <w:r>
        <w:t xml:space="preserve"> </w:t>
      </w:r>
      <w:r w:rsidRPr="00CC14BF">
        <w:t>přepočtených</w:t>
      </w:r>
      <w:r>
        <w:t xml:space="preserve"> </w:t>
      </w:r>
      <w:r w:rsidRPr="00CC14BF">
        <w:t>na</w:t>
      </w:r>
      <w:r>
        <w:t xml:space="preserve"> </w:t>
      </w:r>
      <w:r w:rsidRPr="00CC14BF">
        <w:t>české</w:t>
      </w:r>
      <w:r>
        <w:t xml:space="preserve"> </w:t>
      </w:r>
      <w:r w:rsidRPr="00CC14BF">
        <w:t>koruny.</w:t>
      </w:r>
      <w:r>
        <w:t xml:space="preserve"> </w:t>
      </w:r>
      <w:r w:rsidRPr="00CC14BF">
        <w:t>Odstavce</w:t>
      </w:r>
      <w:r>
        <w:t xml:space="preserve"> </w:t>
      </w:r>
      <w:r w:rsidRPr="00CC14BF">
        <w:t>1</w:t>
      </w:r>
      <w:r>
        <w:t xml:space="preserve"> </w:t>
      </w:r>
      <w:r w:rsidRPr="00CC14BF">
        <w:t>a</w:t>
      </w:r>
      <w:r>
        <w:t xml:space="preserve"> </w:t>
      </w:r>
      <w:r w:rsidRPr="00CC14BF">
        <w:t>2</w:t>
      </w:r>
      <w:r>
        <w:t xml:space="preserve"> </w:t>
      </w:r>
      <w:r w:rsidRPr="00CC14BF">
        <w:t>se</w:t>
      </w:r>
      <w:r>
        <w:t xml:space="preserve"> </w:t>
      </w:r>
      <w:r w:rsidRPr="00CC14BF">
        <w:t>na</w:t>
      </w:r>
      <w:r>
        <w:t xml:space="preserve"> </w:t>
      </w:r>
      <w:r w:rsidRPr="00CC14BF">
        <w:t>takovou</w:t>
      </w:r>
      <w:r>
        <w:t xml:space="preserve"> </w:t>
      </w:r>
      <w:r w:rsidRPr="00CC14BF">
        <w:t>hazardní</w:t>
      </w:r>
      <w:r>
        <w:t xml:space="preserve"> </w:t>
      </w:r>
      <w:r w:rsidRPr="00CC14BF">
        <w:t>hru</w:t>
      </w:r>
      <w:r>
        <w:t xml:space="preserve"> </w:t>
      </w:r>
      <w:r w:rsidRPr="00CC14BF">
        <w:t>nepoužijí.</w:t>
      </w:r>
    </w:p>
    <w:p w14:paraId="46E6C318" w14:textId="0FAC1215" w:rsidR="00635DDD" w:rsidRDefault="00635DDD" w:rsidP="005564E1">
      <w:pPr>
        <w:pStyle w:val="PZTextodstavce"/>
      </w:pPr>
      <w:r w:rsidRPr="00CC14BF">
        <w:t>(4</w:t>
      </w:r>
      <w:r>
        <w:t xml:space="preserve">) </w:t>
      </w:r>
      <w:r w:rsidRPr="00CC14BF">
        <w:t>Při</w:t>
      </w:r>
      <w:r>
        <w:t xml:space="preserve"> </w:t>
      </w:r>
      <w:r w:rsidRPr="00CC14BF">
        <w:t>určení</w:t>
      </w:r>
      <w:r>
        <w:t xml:space="preserve"> </w:t>
      </w:r>
      <w:r w:rsidRPr="00CC14BF">
        <w:t>základu</w:t>
      </w:r>
      <w:r>
        <w:t xml:space="preserve"> </w:t>
      </w:r>
      <w:r w:rsidRPr="00CC14BF">
        <w:t>dílčí</w:t>
      </w:r>
      <w:r>
        <w:t xml:space="preserve"> </w:t>
      </w:r>
      <w:r w:rsidRPr="00CC14BF">
        <w:t>daně</w:t>
      </w:r>
      <w:r>
        <w:t xml:space="preserve"> </w:t>
      </w:r>
      <w:r w:rsidRPr="00CC14BF">
        <w:t>podle</w:t>
      </w:r>
      <w:r>
        <w:t xml:space="preserve"> </w:t>
      </w:r>
      <w:r w:rsidRPr="00CC14BF">
        <w:t>odstavce</w:t>
      </w:r>
      <w:r>
        <w:t xml:space="preserve"> </w:t>
      </w:r>
      <w:r w:rsidRPr="00CC14BF">
        <w:t>1</w:t>
      </w:r>
      <w:r>
        <w:t xml:space="preserve"> </w:t>
      </w:r>
      <w:r w:rsidRPr="00CC14BF">
        <w:t>nebo</w:t>
      </w:r>
      <w:r>
        <w:t xml:space="preserve"> </w:t>
      </w:r>
      <w:r w:rsidRPr="00CC14BF">
        <w:t>3</w:t>
      </w:r>
      <w:r>
        <w:t xml:space="preserve"> </w:t>
      </w:r>
      <w:r w:rsidRPr="00CC14BF">
        <w:t>se</w:t>
      </w:r>
      <w:r>
        <w:t xml:space="preserve"> </w:t>
      </w:r>
      <w:r w:rsidRPr="00CC14BF">
        <w:t>nezohlední</w:t>
      </w:r>
      <w:r>
        <w:t xml:space="preserve"> </w:t>
      </w:r>
      <w:r w:rsidRPr="00CC14BF">
        <w:t>přijatý</w:t>
      </w:r>
      <w:r>
        <w:t xml:space="preserve"> </w:t>
      </w:r>
      <w:r w:rsidRPr="00CC14BF">
        <w:t>vklad,</w:t>
      </w:r>
      <w:r>
        <w:t xml:space="preserve"> </w:t>
      </w:r>
      <w:r w:rsidRPr="00CC14BF">
        <w:t>vyplacená</w:t>
      </w:r>
      <w:r>
        <w:t xml:space="preserve"> </w:t>
      </w:r>
      <w:r w:rsidRPr="00CC14BF">
        <w:t>výhra</w:t>
      </w:r>
      <w:r>
        <w:t xml:space="preserve"> </w:t>
      </w:r>
      <w:r w:rsidRPr="00CC14BF">
        <w:t>a</w:t>
      </w:r>
      <w:r>
        <w:t xml:space="preserve"> </w:t>
      </w:r>
      <w:r w:rsidRPr="00CC14BF">
        <w:t>vrácený</w:t>
      </w:r>
      <w:r>
        <w:t xml:space="preserve"> </w:t>
      </w:r>
      <w:r w:rsidRPr="00CC14BF">
        <w:t>vklad</w:t>
      </w:r>
      <w:r>
        <w:t xml:space="preserve"> </w:t>
      </w:r>
      <w:r w:rsidRPr="00CC14BF">
        <w:t>související</w:t>
      </w:r>
      <w:r>
        <w:t xml:space="preserve"> </w:t>
      </w:r>
      <w:r w:rsidRPr="00CC14BF">
        <w:t>s</w:t>
      </w:r>
      <w:r>
        <w:t xml:space="preserve"> </w:t>
      </w:r>
      <w:r w:rsidRPr="00CC14BF">
        <w:t>hrou</w:t>
      </w:r>
      <w:r>
        <w:t xml:space="preserve"> </w:t>
      </w:r>
      <w:r w:rsidRPr="00CC14BF">
        <w:t>hazardní</w:t>
      </w:r>
      <w:r>
        <w:t xml:space="preserve"> </w:t>
      </w:r>
      <w:r w:rsidRPr="00CC14BF">
        <w:t>hry</w:t>
      </w:r>
      <w:r>
        <w:t xml:space="preserve"> </w:t>
      </w:r>
      <w:r w:rsidRPr="00CC14BF">
        <w:t>provozované</w:t>
      </w:r>
      <w:r>
        <w:t xml:space="preserve"> </w:t>
      </w:r>
      <w:r w:rsidRPr="00CC14BF">
        <w:t>dálkovým</w:t>
      </w:r>
      <w:r>
        <w:t xml:space="preserve"> </w:t>
      </w:r>
      <w:r w:rsidRPr="00CC14BF">
        <w:t>přístupem</w:t>
      </w:r>
      <w:r>
        <w:t xml:space="preserve"> </w:t>
      </w:r>
      <w:r w:rsidRPr="00CC14BF">
        <w:t>prostřednictvím</w:t>
      </w:r>
      <w:r>
        <w:t xml:space="preserve"> </w:t>
      </w:r>
      <w:r w:rsidRPr="00CC14BF">
        <w:t>internetu,</w:t>
      </w:r>
      <w:r>
        <w:t xml:space="preserve"> </w:t>
      </w:r>
      <w:r w:rsidRPr="00CC14BF">
        <w:t>při</w:t>
      </w:r>
      <w:r>
        <w:t xml:space="preserve"> </w:t>
      </w:r>
      <w:r w:rsidRPr="00CC14BF">
        <w:t>které</w:t>
      </w:r>
      <w:r>
        <w:t xml:space="preserve"> </w:t>
      </w:r>
      <w:r w:rsidRPr="00CC14BF">
        <w:t>účastník</w:t>
      </w:r>
      <w:r>
        <w:t xml:space="preserve"> </w:t>
      </w:r>
      <w:r w:rsidRPr="00CC14BF">
        <w:t>hazardní</w:t>
      </w:r>
      <w:r>
        <w:t xml:space="preserve"> </w:t>
      </w:r>
      <w:r w:rsidRPr="00CC14BF">
        <w:t>hry</w:t>
      </w:r>
      <w:r>
        <w:t xml:space="preserve"> </w:t>
      </w:r>
      <w:r w:rsidRPr="00CC14BF">
        <w:t>hraje</w:t>
      </w:r>
      <w:r>
        <w:t xml:space="preserve"> </w:t>
      </w:r>
      <w:r w:rsidRPr="00CC14BF">
        <w:t>proti</w:t>
      </w:r>
      <w:r>
        <w:t xml:space="preserve"> </w:t>
      </w:r>
      <w:r w:rsidRPr="00CC14BF">
        <w:t>cizímu</w:t>
      </w:r>
      <w:r>
        <w:t xml:space="preserve"> </w:t>
      </w:r>
      <w:r w:rsidRPr="00CC14BF">
        <w:t>účastníkovi</w:t>
      </w:r>
      <w:r>
        <w:t xml:space="preserve"> </w:t>
      </w:r>
      <w:r w:rsidRPr="00CC14BF">
        <w:t>hazardní</w:t>
      </w:r>
      <w:r>
        <w:t xml:space="preserve"> </w:t>
      </w:r>
      <w:r w:rsidRPr="00CC14BF">
        <w:t>hry.</w:t>
      </w:r>
    </w:p>
    <w:p w14:paraId="1DD75194" w14:textId="0B9B8194" w:rsidR="00635DDD" w:rsidRDefault="00635DDD" w:rsidP="005564E1">
      <w:pPr>
        <w:pStyle w:val="PZTextodstavce"/>
      </w:pPr>
      <w:r w:rsidRPr="00CC14BF">
        <w:t>(5</w:t>
      </w:r>
      <w:r>
        <w:t xml:space="preserve">) </w:t>
      </w:r>
      <w:r w:rsidRPr="00CC14BF">
        <w:t>Do</w:t>
      </w:r>
      <w:r>
        <w:t xml:space="preserve"> </w:t>
      </w:r>
      <w:r w:rsidRPr="00CC14BF">
        <w:t>základu</w:t>
      </w:r>
      <w:r>
        <w:t xml:space="preserve"> </w:t>
      </w:r>
      <w:r w:rsidRPr="00CC14BF">
        <w:t>dílčí</w:t>
      </w:r>
      <w:r>
        <w:t xml:space="preserve"> </w:t>
      </w:r>
      <w:r w:rsidRPr="00CC14BF">
        <w:t>daně</w:t>
      </w:r>
      <w:r>
        <w:t xml:space="preserve"> </w:t>
      </w:r>
      <w:r w:rsidRPr="00CC14BF">
        <w:t>podle</w:t>
      </w:r>
      <w:r>
        <w:t xml:space="preserve"> </w:t>
      </w:r>
      <w:r w:rsidRPr="00CC14BF">
        <w:t>odstavce</w:t>
      </w:r>
      <w:r>
        <w:t xml:space="preserve"> </w:t>
      </w:r>
      <w:r w:rsidRPr="00CC14BF">
        <w:t>1</w:t>
      </w:r>
      <w:r>
        <w:t xml:space="preserve"> </w:t>
      </w:r>
      <w:r w:rsidRPr="00CC14BF">
        <w:t>nebo</w:t>
      </w:r>
      <w:r>
        <w:t xml:space="preserve"> </w:t>
      </w:r>
      <w:r w:rsidRPr="00CC14BF">
        <w:t>3</w:t>
      </w:r>
      <w:r>
        <w:t xml:space="preserve"> </w:t>
      </w:r>
      <w:r w:rsidRPr="00CC14BF">
        <w:t>související</w:t>
      </w:r>
      <w:r>
        <w:t xml:space="preserve"> </w:t>
      </w:r>
      <w:r w:rsidRPr="00CC14BF">
        <w:t>s</w:t>
      </w:r>
      <w:r>
        <w:t xml:space="preserve"> </w:t>
      </w:r>
      <w:r w:rsidRPr="00CC14BF">
        <w:t>hrou</w:t>
      </w:r>
      <w:r>
        <w:t xml:space="preserve"> </w:t>
      </w:r>
      <w:r w:rsidRPr="00CC14BF">
        <w:t>hazardní</w:t>
      </w:r>
      <w:r>
        <w:t xml:space="preserve"> </w:t>
      </w:r>
      <w:r w:rsidRPr="00CC14BF">
        <w:t>hry</w:t>
      </w:r>
      <w:r>
        <w:t xml:space="preserve"> </w:t>
      </w:r>
      <w:r w:rsidRPr="00CC14BF">
        <w:t>provozované</w:t>
      </w:r>
      <w:r>
        <w:t xml:space="preserve"> </w:t>
      </w:r>
      <w:r w:rsidRPr="00CC14BF">
        <w:t>dálkovým</w:t>
      </w:r>
      <w:r>
        <w:t xml:space="preserve"> </w:t>
      </w:r>
      <w:r w:rsidRPr="00CC14BF">
        <w:t>přístupem</w:t>
      </w:r>
      <w:r>
        <w:t xml:space="preserve"> </w:t>
      </w:r>
      <w:r w:rsidRPr="00CC14BF">
        <w:t>prostřednictvím</w:t>
      </w:r>
      <w:r>
        <w:t xml:space="preserve"> </w:t>
      </w:r>
      <w:r w:rsidRPr="00CC14BF">
        <w:t>internetu,</w:t>
      </w:r>
      <w:r>
        <w:t xml:space="preserve"> </w:t>
      </w:r>
      <w:r w:rsidRPr="00CC14BF">
        <w:t>při</w:t>
      </w:r>
      <w:r>
        <w:t xml:space="preserve"> </w:t>
      </w:r>
      <w:r w:rsidRPr="00CC14BF">
        <w:t>které</w:t>
      </w:r>
      <w:r>
        <w:t xml:space="preserve"> </w:t>
      </w:r>
      <w:r w:rsidRPr="00CC14BF">
        <w:t>účastník</w:t>
      </w:r>
      <w:r>
        <w:t xml:space="preserve"> </w:t>
      </w:r>
      <w:r w:rsidRPr="00CC14BF">
        <w:t>hazardní</w:t>
      </w:r>
      <w:r>
        <w:t xml:space="preserve"> </w:t>
      </w:r>
      <w:r w:rsidRPr="00CC14BF">
        <w:t>hry</w:t>
      </w:r>
      <w:r>
        <w:t xml:space="preserve"> </w:t>
      </w:r>
      <w:r w:rsidRPr="00CC14BF">
        <w:t>hraje</w:t>
      </w:r>
      <w:r>
        <w:t xml:space="preserve"> </w:t>
      </w:r>
      <w:r w:rsidRPr="00CC14BF">
        <w:t>proti</w:t>
      </w:r>
      <w:r>
        <w:t xml:space="preserve"> </w:t>
      </w:r>
      <w:r w:rsidRPr="00CC14BF">
        <w:t>cizímu</w:t>
      </w:r>
      <w:r>
        <w:t xml:space="preserve"> </w:t>
      </w:r>
      <w:r w:rsidRPr="00CC14BF">
        <w:t>účastníkovi</w:t>
      </w:r>
      <w:r>
        <w:t xml:space="preserve"> </w:t>
      </w:r>
      <w:r w:rsidRPr="00CC14BF">
        <w:t>hazardní</w:t>
      </w:r>
      <w:r>
        <w:t xml:space="preserve"> </w:t>
      </w:r>
      <w:r w:rsidRPr="00CC14BF">
        <w:t>hry,</w:t>
      </w:r>
      <w:r>
        <w:t xml:space="preserve"> </w:t>
      </w:r>
      <w:r w:rsidRPr="00CC14BF">
        <w:t>se</w:t>
      </w:r>
      <w:r>
        <w:t xml:space="preserve"> </w:t>
      </w:r>
      <w:r w:rsidRPr="00CC14BF">
        <w:t>zahrne</w:t>
      </w:r>
      <w:r>
        <w:t xml:space="preserve"> </w:t>
      </w:r>
      <w:r w:rsidRPr="00CC14BF">
        <w:t>rozdíl</w:t>
      </w:r>
    </w:p>
    <w:p w14:paraId="686156C8" w14:textId="77777777" w:rsidR="00635DDD" w:rsidRDefault="00635DDD" w:rsidP="00635DDD">
      <w:pPr>
        <w:pStyle w:val="PZTextpsmene"/>
        <w:spacing w:before="0"/>
      </w:pPr>
      <w:r w:rsidRPr="00CC14BF">
        <w:t>a</w:t>
      </w:r>
      <w:r>
        <w:t>)</w:t>
      </w:r>
      <w:r>
        <w:tab/>
      </w:r>
      <w:r w:rsidRPr="00CC14BF">
        <w:t>součinu</w:t>
      </w:r>
    </w:p>
    <w:p w14:paraId="794B2373" w14:textId="77777777" w:rsidR="00635DDD" w:rsidRDefault="00635DDD" w:rsidP="00635DDD">
      <w:pPr>
        <w:pStyle w:val="PZTextbodu"/>
        <w:spacing w:before="0"/>
      </w:pPr>
      <w:r w:rsidRPr="00CC14BF">
        <w:t>1</w:t>
      </w:r>
      <w:r>
        <w:t>.</w:t>
      </w:r>
      <w:r>
        <w:tab/>
      </w:r>
      <w:r w:rsidRPr="00CC14BF">
        <w:t>částky,</w:t>
      </w:r>
      <w:r>
        <w:t xml:space="preserve"> </w:t>
      </w:r>
      <w:r w:rsidRPr="00CC14BF">
        <w:t>o</w:t>
      </w:r>
      <w:r>
        <w:t xml:space="preserve"> </w:t>
      </w:r>
      <w:r w:rsidRPr="00CC14BF">
        <w:t>kterou</w:t>
      </w:r>
      <w:r>
        <w:t xml:space="preserve"> </w:t>
      </w:r>
      <w:r w:rsidRPr="00CC14BF">
        <w:t>úhrn</w:t>
      </w:r>
      <w:r>
        <w:t xml:space="preserve"> </w:t>
      </w:r>
      <w:r w:rsidRPr="00CC14BF">
        <w:t>přijatých</w:t>
      </w:r>
      <w:r>
        <w:t xml:space="preserve"> </w:t>
      </w:r>
      <w:r w:rsidRPr="00CC14BF">
        <w:t>vkladů</w:t>
      </w:r>
      <w:r>
        <w:t xml:space="preserve"> </w:t>
      </w:r>
      <w:r w:rsidRPr="00CC14BF">
        <w:t>převyšuje</w:t>
      </w:r>
      <w:r>
        <w:t xml:space="preserve"> </w:t>
      </w:r>
      <w:r w:rsidRPr="00CC14BF">
        <w:t>úhrn</w:t>
      </w:r>
      <w:r>
        <w:t xml:space="preserve"> </w:t>
      </w:r>
      <w:r w:rsidRPr="00CC14BF">
        <w:t>vyplacených</w:t>
      </w:r>
      <w:r>
        <w:t xml:space="preserve"> </w:t>
      </w:r>
      <w:r w:rsidRPr="00CC14BF">
        <w:t>výher,</w:t>
      </w:r>
      <w:r>
        <w:t xml:space="preserve"> </w:t>
      </w:r>
      <w:r w:rsidRPr="00CC14BF">
        <w:t>a</w:t>
      </w:r>
    </w:p>
    <w:p w14:paraId="529BE917" w14:textId="77777777" w:rsidR="00635DDD" w:rsidRDefault="00635DDD" w:rsidP="00635DDD">
      <w:pPr>
        <w:pStyle w:val="PZTextbodu"/>
        <w:spacing w:before="0"/>
      </w:pPr>
      <w:r w:rsidRPr="00CC14BF">
        <w:t>2</w:t>
      </w:r>
      <w:r>
        <w:t>.</w:t>
      </w:r>
      <w:r>
        <w:tab/>
      </w:r>
      <w:r w:rsidRPr="00CC14BF">
        <w:t>poměru</w:t>
      </w:r>
      <w:r>
        <w:t xml:space="preserve"> </w:t>
      </w:r>
      <w:r w:rsidRPr="00CC14BF">
        <w:t>úhrnu</w:t>
      </w:r>
      <w:r>
        <w:t xml:space="preserve"> </w:t>
      </w:r>
      <w:r w:rsidRPr="00CC14BF">
        <w:t>přijatých</w:t>
      </w:r>
      <w:r>
        <w:t xml:space="preserve"> </w:t>
      </w:r>
      <w:r w:rsidRPr="00CC14BF">
        <w:t>vkladů</w:t>
      </w:r>
      <w:r>
        <w:t xml:space="preserve"> </w:t>
      </w:r>
      <w:r w:rsidRPr="00CC14BF">
        <w:t>od</w:t>
      </w:r>
      <w:r>
        <w:t xml:space="preserve"> </w:t>
      </w:r>
      <w:r w:rsidRPr="00CC14BF">
        <w:t>účastníka</w:t>
      </w:r>
      <w:r>
        <w:t xml:space="preserve"> </w:t>
      </w:r>
      <w:r w:rsidRPr="00CC14BF">
        <w:t>hazardní</w:t>
      </w:r>
      <w:r>
        <w:t xml:space="preserve"> </w:t>
      </w:r>
      <w:r w:rsidRPr="00CC14BF">
        <w:t>hry</w:t>
      </w:r>
      <w:r>
        <w:t xml:space="preserve"> </w:t>
      </w:r>
      <w:r w:rsidRPr="00CC14BF">
        <w:t>a</w:t>
      </w:r>
      <w:r>
        <w:t xml:space="preserve"> </w:t>
      </w:r>
      <w:r w:rsidRPr="00CC14BF">
        <w:t>úhrnu</w:t>
      </w:r>
      <w:r>
        <w:t xml:space="preserve"> </w:t>
      </w:r>
      <w:r w:rsidRPr="00CC14BF">
        <w:t>všech</w:t>
      </w:r>
      <w:r>
        <w:t xml:space="preserve"> </w:t>
      </w:r>
      <w:r w:rsidRPr="00CC14BF">
        <w:t>přijatých</w:t>
      </w:r>
      <w:r>
        <w:t xml:space="preserve"> </w:t>
      </w:r>
      <w:r w:rsidRPr="00CC14BF">
        <w:t>vkladů</w:t>
      </w:r>
      <w:r>
        <w:t xml:space="preserve"> </w:t>
      </w:r>
      <w:r w:rsidRPr="00CC14BF">
        <w:t>a</w:t>
      </w:r>
    </w:p>
    <w:p w14:paraId="4249EA00" w14:textId="77777777" w:rsidR="00635DDD" w:rsidRDefault="00635DDD" w:rsidP="00635DDD">
      <w:pPr>
        <w:pStyle w:val="PZTextpsmene"/>
        <w:spacing w:before="0"/>
      </w:pPr>
      <w:r w:rsidRPr="00CC14BF">
        <w:t>b</w:t>
      </w:r>
      <w:r>
        <w:t>)</w:t>
      </w:r>
      <w:r>
        <w:tab/>
      </w:r>
      <w:r w:rsidRPr="00CC14BF">
        <w:t>úhrnu</w:t>
      </w:r>
      <w:r>
        <w:t xml:space="preserve"> </w:t>
      </w:r>
      <w:r w:rsidRPr="00CC14BF">
        <w:t>vkladů</w:t>
      </w:r>
      <w:r>
        <w:t xml:space="preserve"> </w:t>
      </w:r>
      <w:r w:rsidRPr="00CC14BF">
        <w:t>vrácených</w:t>
      </w:r>
      <w:r>
        <w:t xml:space="preserve"> </w:t>
      </w:r>
      <w:r w:rsidRPr="00CC14BF">
        <w:t>účastníkovi</w:t>
      </w:r>
      <w:r>
        <w:t xml:space="preserve"> </w:t>
      </w:r>
      <w:r w:rsidRPr="00CC14BF">
        <w:t>hazardní</w:t>
      </w:r>
      <w:r>
        <w:t xml:space="preserve"> </w:t>
      </w:r>
      <w:r w:rsidRPr="00CC14BF">
        <w:t>hry.</w:t>
      </w:r>
    </w:p>
    <w:p w14:paraId="28A2E941" w14:textId="33FEF425" w:rsidR="00635DDD" w:rsidRDefault="00635DDD" w:rsidP="005564E1">
      <w:pPr>
        <w:pStyle w:val="PZTextodstavce"/>
      </w:pPr>
      <w:r w:rsidRPr="00CC14BF">
        <w:t>(6</w:t>
      </w:r>
      <w:r>
        <w:t xml:space="preserve">) </w:t>
      </w:r>
      <w:r w:rsidRPr="00CC14BF">
        <w:t>Rozdíl</w:t>
      </w:r>
      <w:r>
        <w:t xml:space="preserve"> </w:t>
      </w:r>
      <w:r w:rsidRPr="00CC14BF">
        <w:t>podle</w:t>
      </w:r>
      <w:r>
        <w:t xml:space="preserve"> </w:t>
      </w:r>
      <w:r w:rsidRPr="00CC14BF">
        <w:t>odstavce</w:t>
      </w:r>
      <w:r>
        <w:t xml:space="preserve"> </w:t>
      </w:r>
      <w:r w:rsidRPr="00CC14BF">
        <w:t>5</w:t>
      </w:r>
      <w:r>
        <w:t xml:space="preserve"> </w:t>
      </w:r>
      <w:r w:rsidRPr="00CC14BF">
        <w:t>se</w:t>
      </w:r>
      <w:r>
        <w:t xml:space="preserve"> </w:t>
      </w:r>
      <w:r w:rsidRPr="00CC14BF">
        <w:t>do</w:t>
      </w:r>
      <w:r>
        <w:t xml:space="preserve"> </w:t>
      </w:r>
      <w:r w:rsidRPr="00CC14BF">
        <w:t>základu</w:t>
      </w:r>
      <w:r>
        <w:t xml:space="preserve"> </w:t>
      </w:r>
      <w:r w:rsidRPr="00CC14BF">
        <w:t>dílčí</w:t>
      </w:r>
      <w:r>
        <w:t xml:space="preserve"> </w:t>
      </w:r>
      <w:r w:rsidRPr="00CC14BF">
        <w:t>daně</w:t>
      </w:r>
      <w:r>
        <w:t xml:space="preserve"> </w:t>
      </w:r>
      <w:r w:rsidRPr="00CC14BF">
        <w:t>zahrnuje</w:t>
      </w:r>
      <w:r>
        <w:t xml:space="preserve"> </w:t>
      </w:r>
      <w:r w:rsidRPr="00CC14BF">
        <w:t>pouze</w:t>
      </w:r>
      <w:r>
        <w:t xml:space="preserve"> </w:t>
      </w:r>
      <w:r w:rsidRPr="00CC14BF">
        <w:t>do</w:t>
      </w:r>
      <w:r>
        <w:t xml:space="preserve"> </w:t>
      </w:r>
      <w:r w:rsidRPr="00CC14BF">
        <w:t>výše</w:t>
      </w:r>
      <w:r>
        <w:t xml:space="preserve"> </w:t>
      </w:r>
      <w:r w:rsidRPr="00CC14BF">
        <w:t>tohoto</w:t>
      </w:r>
      <w:r>
        <w:t xml:space="preserve"> </w:t>
      </w:r>
      <w:r w:rsidRPr="00CC14BF">
        <w:t>základu</w:t>
      </w:r>
      <w:r>
        <w:t xml:space="preserve"> </w:t>
      </w:r>
      <w:r w:rsidRPr="00CC14BF">
        <w:t>určeného</w:t>
      </w:r>
      <w:r>
        <w:t xml:space="preserve"> </w:t>
      </w:r>
      <w:r w:rsidRPr="00CC14BF">
        <w:t>podle</w:t>
      </w:r>
      <w:r>
        <w:t xml:space="preserve"> </w:t>
      </w:r>
      <w:r w:rsidRPr="00CC14BF">
        <w:t>odstavce</w:t>
      </w:r>
      <w:r>
        <w:t xml:space="preserve"> </w:t>
      </w:r>
      <w:r w:rsidRPr="00CC14BF">
        <w:t>1</w:t>
      </w:r>
      <w:r>
        <w:t xml:space="preserve"> </w:t>
      </w:r>
      <w:r w:rsidRPr="00CC14BF">
        <w:t>nebo</w:t>
      </w:r>
      <w:r>
        <w:t xml:space="preserve"> </w:t>
      </w:r>
      <w:r w:rsidRPr="00CC14BF">
        <w:t>3.</w:t>
      </w:r>
    </w:p>
    <w:p w14:paraId="0CDB21A2" w14:textId="716ACBAF" w:rsidR="00635DDD" w:rsidRDefault="00635DDD" w:rsidP="005564E1">
      <w:pPr>
        <w:pStyle w:val="PZTextodstavce"/>
      </w:pPr>
      <w:r w:rsidRPr="00CC14BF">
        <w:t>(7</w:t>
      </w:r>
      <w:r>
        <w:t xml:space="preserve">) </w:t>
      </w:r>
      <w:r w:rsidRPr="00CC14BF">
        <w:t>Souvisí-li</w:t>
      </w:r>
      <w:r>
        <w:t xml:space="preserve"> </w:t>
      </w:r>
      <w:r w:rsidRPr="00CC14BF">
        <w:t>přijatý</w:t>
      </w:r>
      <w:r>
        <w:t xml:space="preserve"> </w:t>
      </w:r>
      <w:r w:rsidRPr="00CC14BF">
        <w:t>vklad</w:t>
      </w:r>
      <w:r>
        <w:t xml:space="preserve"> </w:t>
      </w:r>
      <w:r w:rsidRPr="00CC14BF">
        <w:t>s</w:t>
      </w:r>
      <w:r>
        <w:t xml:space="preserve"> </w:t>
      </w:r>
      <w:r w:rsidRPr="00CC14BF">
        <w:t>více</w:t>
      </w:r>
      <w:r>
        <w:t xml:space="preserve"> </w:t>
      </w:r>
      <w:r w:rsidRPr="00CC14BF">
        <w:t>hazardními</w:t>
      </w:r>
      <w:r>
        <w:t xml:space="preserve"> </w:t>
      </w:r>
      <w:r w:rsidRPr="00CC14BF">
        <w:t>hrami,</w:t>
      </w:r>
      <w:r>
        <w:t xml:space="preserve"> </w:t>
      </w:r>
      <w:r w:rsidRPr="00CC14BF">
        <w:t>zohlední</w:t>
      </w:r>
      <w:r>
        <w:t xml:space="preserve"> </w:t>
      </w:r>
      <w:r w:rsidRPr="00CC14BF">
        <w:t>se</w:t>
      </w:r>
      <w:r>
        <w:t xml:space="preserve"> </w:t>
      </w:r>
      <w:r w:rsidRPr="00CC14BF">
        <w:t>pouze</w:t>
      </w:r>
      <w:r>
        <w:t xml:space="preserve"> </w:t>
      </w:r>
      <w:r w:rsidRPr="00CC14BF">
        <w:t>v</w:t>
      </w:r>
      <w:r>
        <w:t xml:space="preserve"> </w:t>
      </w:r>
      <w:r w:rsidRPr="00CC14BF">
        <w:t>základu</w:t>
      </w:r>
      <w:r>
        <w:t xml:space="preserve"> </w:t>
      </w:r>
      <w:r w:rsidRPr="00CC14BF">
        <w:t>dílčí</w:t>
      </w:r>
      <w:r>
        <w:t xml:space="preserve"> </w:t>
      </w:r>
      <w:r w:rsidRPr="00CC14BF">
        <w:t>daně</w:t>
      </w:r>
      <w:r>
        <w:t xml:space="preserve"> </w:t>
      </w:r>
      <w:r w:rsidRPr="00CC14BF">
        <w:t>z</w:t>
      </w:r>
      <w:r>
        <w:t xml:space="preserve"> </w:t>
      </w:r>
      <w:r w:rsidRPr="00CC14BF">
        <w:t>té</w:t>
      </w:r>
      <w:r>
        <w:t xml:space="preserve"> </w:t>
      </w:r>
      <w:r w:rsidRPr="00CC14BF">
        <w:t>z</w:t>
      </w:r>
      <w:r>
        <w:t xml:space="preserve"> </w:t>
      </w:r>
      <w:r w:rsidRPr="00CC14BF">
        <w:t>nich,</w:t>
      </w:r>
      <w:r>
        <w:t xml:space="preserve"> </w:t>
      </w:r>
      <w:r w:rsidRPr="00CC14BF">
        <w:t>pro</w:t>
      </w:r>
      <w:r>
        <w:t xml:space="preserve"> </w:t>
      </w:r>
      <w:r w:rsidRPr="00CC14BF">
        <w:t>kterou</w:t>
      </w:r>
      <w:r>
        <w:t xml:space="preserve"> </w:t>
      </w:r>
      <w:r w:rsidRPr="00CC14BF">
        <w:t>tento</w:t>
      </w:r>
      <w:r>
        <w:t xml:space="preserve"> </w:t>
      </w:r>
      <w:r w:rsidRPr="00CC14BF">
        <w:t>zákon</w:t>
      </w:r>
      <w:r>
        <w:t xml:space="preserve"> </w:t>
      </w:r>
      <w:r w:rsidRPr="00CC14BF">
        <w:t>stanoví</w:t>
      </w:r>
      <w:r>
        <w:t xml:space="preserve"> </w:t>
      </w:r>
      <w:r w:rsidRPr="00CC14BF">
        <w:t>nejvyšší</w:t>
      </w:r>
      <w:r>
        <w:t xml:space="preserve"> </w:t>
      </w:r>
      <w:r w:rsidRPr="00CC14BF">
        <w:t>sazbu</w:t>
      </w:r>
      <w:r>
        <w:t xml:space="preserve"> </w:t>
      </w:r>
      <w:r w:rsidRPr="00CC14BF">
        <w:t>daně.</w:t>
      </w:r>
    </w:p>
    <w:p w14:paraId="4DA5EE1C" w14:textId="35290EC5" w:rsidR="00635DDD" w:rsidRDefault="00635DDD" w:rsidP="005564E1">
      <w:pPr>
        <w:pStyle w:val="PZTextodstavce"/>
      </w:pPr>
      <w:r w:rsidRPr="00CC14BF">
        <w:t>(8</w:t>
      </w:r>
      <w:r>
        <w:t xml:space="preserve">) </w:t>
      </w:r>
      <w:r w:rsidRPr="00CC14BF">
        <w:t>Z</w:t>
      </w:r>
      <w:r>
        <w:t xml:space="preserve"> </w:t>
      </w:r>
      <w:r w:rsidRPr="00CC14BF">
        <w:t>každého</w:t>
      </w:r>
      <w:r>
        <w:t xml:space="preserve"> </w:t>
      </w:r>
      <w:r w:rsidRPr="00CC14BF">
        <w:t>turnaje</w:t>
      </w:r>
      <w:r>
        <w:t xml:space="preserve"> </w:t>
      </w:r>
      <w:r w:rsidRPr="00CC14BF">
        <w:t>živé</w:t>
      </w:r>
      <w:r>
        <w:t xml:space="preserve"> </w:t>
      </w:r>
      <w:r w:rsidRPr="00CC14BF">
        <w:t>hry</w:t>
      </w:r>
      <w:r>
        <w:t xml:space="preserve"> </w:t>
      </w:r>
      <w:r w:rsidRPr="00CC14BF">
        <w:t>se</w:t>
      </w:r>
      <w:r>
        <w:t xml:space="preserve"> </w:t>
      </w:r>
      <w:r w:rsidRPr="00CC14BF">
        <w:t>při</w:t>
      </w:r>
      <w:r>
        <w:t xml:space="preserve"> </w:t>
      </w:r>
      <w:r w:rsidRPr="00CC14BF">
        <w:t>určení</w:t>
      </w:r>
      <w:r>
        <w:t xml:space="preserve"> </w:t>
      </w:r>
      <w:r w:rsidRPr="00CC14BF">
        <w:t>základu</w:t>
      </w:r>
      <w:r>
        <w:t xml:space="preserve"> </w:t>
      </w:r>
      <w:r w:rsidRPr="00CC14BF">
        <w:t>daně</w:t>
      </w:r>
      <w:r>
        <w:t xml:space="preserve"> </w:t>
      </w:r>
      <w:r w:rsidRPr="00CC14BF">
        <w:t>z</w:t>
      </w:r>
      <w:r>
        <w:t xml:space="preserve"> </w:t>
      </w:r>
      <w:r w:rsidRPr="00CC14BF">
        <w:t>hazardních</w:t>
      </w:r>
      <w:r>
        <w:t xml:space="preserve"> </w:t>
      </w:r>
      <w:r w:rsidRPr="00CC14BF">
        <w:t>her</w:t>
      </w:r>
      <w:r>
        <w:t xml:space="preserve"> </w:t>
      </w:r>
      <w:r w:rsidRPr="00CC14BF">
        <w:t>zohlední</w:t>
      </w:r>
      <w:r>
        <w:t xml:space="preserve"> </w:t>
      </w:r>
      <w:r w:rsidRPr="00CC14BF">
        <w:t>v</w:t>
      </w:r>
      <w:r>
        <w:t xml:space="preserve"> </w:t>
      </w:r>
      <w:r w:rsidRPr="00CC14BF">
        <w:t>součtu</w:t>
      </w:r>
      <w:r>
        <w:t xml:space="preserve"> </w:t>
      </w:r>
      <w:r w:rsidRPr="00CC14BF">
        <w:t>za</w:t>
      </w:r>
      <w:r>
        <w:t xml:space="preserve"> </w:t>
      </w:r>
      <w:r w:rsidRPr="00CC14BF">
        <w:t>všechna</w:t>
      </w:r>
      <w:r>
        <w:t xml:space="preserve"> </w:t>
      </w:r>
      <w:r w:rsidRPr="00CC14BF">
        <w:t>zdaňovací</w:t>
      </w:r>
      <w:r>
        <w:t xml:space="preserve"> </w:t>
      </w:r>
      <w:r w:rsidRPr="00CC14BF">
        <w:t>období</w:t>
      </w:r>
      <w:r>
        <w:t xml:space="preserve"> </w:t>
      </w:r>
      <w:r w:rsidRPr="00CC14BF">
        <w:t>pouze</w:t>
      </w:r>
      <w:r>
        <w:t xml:space="preserve"> </w:t>
      </w:r>
      <w:r w:rsidRPr="00CC14BF">
        <w:t>vyplacené</w:t>
      </w:r>
      <w:r>
        <w:t xml:space="preserve"> </w:t>
      </w:r>
      <w:r w:rsidRPr="00CC14BF">
        <w:t>výhry</w:t>
      </w:r>
      <w:r>
        <w:t xml:space="preserve"> </w:t>
      </w:r>
      <w:r w:rsidRPr="00CC14BF">
        <w:t>do</w:t>
      </w:r>
      <w:r>
        <w:t xml:space="preserve"> </w:t>
      </w:r>
      <w:r w:rsidRPr="00CC14BF">
        <w:t>výše</w:t>
      </w:r>
      <w:r>
        <w:t xml:space="preserve"> </w:t>
      </w:r>
      <w:r w:rsidRPr="00CC14BF">
        <w:t>95</w:t>
      </w:r>
      <w:r>
        <w:t xml:space="preserve"> </w:t>
      </w:r>
      <w:r w:rsidRPr="00CC14BF">
        <w:t>%</w:t>
      </w:r>
      <w:r>
        <w:t xml:space="preserve"> </w:t>
      </w:r>
      <w:r w:rsidRPr="00CC14BF">
        <w:t>přijatých</w:t>
      </w:r>
      <w:r>
        <w:t xml:space="preserve"> </w:t>
      </w:r>
      <w:r w:rsidRPr="00CC14BF">
        <w:t>vkladů</w:t>
      </w:r>
      <w:r>
        <w:t xml:space="preserve"> </w:t>
      </w:r>
      <w:r w:rsidRPr="00CC14BF">
        <w:t>do</w:t>
      </w:r>
      <w:r>
        <w:t xml:space="preserve"> </w:t>
      </w:r>
      <w:r w:rsidRPr="00CC14BF">
        <w:t>tohoto</w:t>
      </w:r>
      <w:r>
        <w:t xml:space="preserve"> </w:t>
      </w:r>
      <w:r w:rsidRPr="00CC14BF">
        <w:t>turnaje.</w:t>
      </w:r>
    </w:p>
    <w:p w14:paraId="71AC9318" w14:textId="72736838" w:rsidR="00635DDD" w:rsidRDefault="00635DDD" w:rsidP="005564E1">
      <w:pPr>
        <w:pStyle w:val="PZTextodstavce"/>
      </w:pPr>
      <w:r w:rsidRPr="00CC14BF">
        <w:t>(9</w:t>
      </w:r>
      <w:r>
        <w:t xml:space="preserve">) </w:t>
      </w:r>
      <w:r w:rsidRPr="00CC14BF">
        <w:t>Hodnota</w:t>
      </w:r>
      <w:r>
        <w:t xml:space="preserve"> </w:t>
      </w:r>
      <w:r w:rsidRPr="00CC14BF">
        <w:t>nepeněžních</w:t>
      </w:r>
      <w:r>
        <w:t xml:space="preserve"> </w:t>
      </w:r>
      <w:r w:rsidRPr="00CC14BF">
        <w:t>vkladů</w:t>
      </w:r>
      <w:r>
        <w:t xml:space="preserve"> </w:t>
      </w:r>
      <w:r w:rsidRPr="00CC14BF">
        <w:t>a</w:t>
      </w:r>
      <w:r>
        <w:t xml:space="preserve"> </w:t>
      </w:r>
      <w:r w:rsidRPr="00CC14BF">
        <w:t>výher</w:t>
      </w:r>
      <w:r>
        <w:t xml:space="preserve"> </w:t>
      </w:r>
      <w:r w:rsidRPr="00CC14BF">
        <w:t>se</w:t>
      </w:r>
      <w:r>
        <w:t xml:space="preserve"> </w:t>
      </w:r>
      <w:r w:rsidRPr="00CC14BF">
        <w:t>určí</w:t>
      </w:r>
      <w:r>
        <w:t xml:space="preserve"> </w:t>
      </w:r>
      <w:r w:rsidRPr="00CC14BF">
        <w:t>podle</w:t>
      </w:r>
      <w:r>
        <w:t xml:space="preserve"> </w:t>
      </w:r>
      <w:r w:rsidRPr="00CC14BF">
        <w:t>zákona</w:t>
      </w:r>
      <w:r>
        <w:t xml:space="preserve"> </w:t>
      </w:r>
      <w:r w:rsidRPr="00CC14BF">
        <w:t>upravujícího</w:t>
      </w:r>
      <w:r>
        <w:t xml:space="preserve"> </w:t>
      </w:r>
      <w:r w:rsidRPr="00CC14BF">
        <w:t>oceňování</w:t>
      </w:r>
      <w:r>
        <w:t xml:space="preserve"> </w:t>
      </w:r>
      <w:r w:rsidRPr="00B61578">
        <w:rPr>
          <w:strike/>
        </w:rPr>
        <w:t>majetku</w:t>
      </w:r>
      <w:r>
        <w:rPr>
          <w:b/>
        </w:rPr>
        <w:t xml:space="preserve"> věcí, služeb a dluhů</w:t>
      </w:r>
      <w:r w:rsidRPr="00CC14BF">
        <w:t>.</w:t>
      </w:r>
    </w:p>
    <w:p w14:paraId="0493E148" w14:textId="16CE3041" w:rsidR="00635DDD" w:rsidRDefault="00635DDD" w:rsidP="005564E1">
      <w:pPr>
        <w:pStyle w:val="PZTextodstavce"/>
      </w:pPr>
      <w:r w:rsidRPr="00CC14BF">
        <w:t>(10</w:t>
      </w:r>
      <w:r>
        <w:t xml:space="preserve">) </w:t>
      </w:r>
      <w:r w:rsidRPr="00CC14BF">
        <w:t>Pro</w:t>
      </w:r>
      <w:r>
        <w:t xml:space="preserve"> </w:t>
      </w:r>
      <w:r w:rsidRPr="00CC14BF">
        <w:t>účely</w:t>
      </w:r>
      <w:r>
        <w:t xml:space="preserve"> </w:t>
      </w:r>
      <w:r w:rsidRPr="00CC14BF">
        <w:t>základu</w:t>
      </w:r>
      <w:r>
        <w:t xml:space="preserve"> </w:t>
      </w:r>
      <w:r w:rsidRPr="00CC14BF">
        <w:t>daně</w:t>
      </w:r>
      <w:r>
        <w:t xml:space="preserve"> </w:t>
      </w:r>
      <w:r w:rsidRPr="00CC14BF">
        <w:t>z</w:t>
      </w:r>
      <w:r>
        <w:t xml:space="preserve"> </w:t>
      </w:r>
      <w:r w:rsidRPr="00CC14BF">
        <w:t>hazardních</w:t>
      </w:r>
      <w:r>
        <w:t xml:space="preserve"> </w:t>
      </w:r>
      <w:r w:rsidRPr="00CC14BF">
        <w:t>her</w:t>
      </w:r>
      <w:r>
        <w:t xml:space="preserve"> </w:t>
      </w:r>
      <w:r w:rsidRPr="00CC14BF">
        <w:t>se</w:t>
      </w:r>
      <w:r>
        <w:t xml:space="preserve"> </w:t>
      </w:r>
      <w:r w:rsidRPr="00CC14BF">
        <w:t>pro</w:t>
      </w:r>
      <w:r>
        <w:t xml:space="preserve"> </w:t>
      </w:r>
      <w:r w:rsidRPr="00CC14BF">
        <w:t>přepočet</w:t>
      </w:r>
      <w:r>
        <w:t xml:space="preserve"> </w:t>
      </w:r>
      <w:r w:rsidRPr="00CC14BF">
        <w:t>jiné</w:t>
      </w:r>
      <w:r>
        <w:t xml:space="preserve"> </w:t>
      </w:r>
      <w:r w:rsidRPr="00CC14BF">
        <w:t>měny,</w:t>
      </w:r>
      <w:r>
        <w:t xml:space="preserve"> </w:t>
      </w:r>
      <w:r w:rsidRPr="00CC14BF">
        <w:t>než</w:t>
      </w:r>
      <w:r>
        <w:t xml:space="preserve"> </w:t>
      </w:r>
      <w:r w:rsidRPr="00CC14BF">
        <w:t>je</w:t>
      </w:r>
      <w:r>
        <w:t xml:space="preserve"> </w:t>
      </w:r>
      <w:r w:rsidRPr="00CC14BF">
        <w:t>měna</w:t>
      </w:r>
      <w:r>
        <w:t xml:space="preserve"> </w:t>
      </w:r>
      <w:r w:rsidRPr="00CC14BF">
        <w:t>účetnictví,</w:t>
      </w:r>
      <w:r>
        <w:t xml:space="preserve"> </w:t>
      </w:r>
      <w:r w:rsidRPr="00CC14BF">
        <w:t>na</w:t>
      </w:r>
      <w:r>
        <w:t xml:space="preserve"> </w:t>
      </w:r>
      <w:r w:rsidRPr="00CC14BF">
        <w:t>měnu</w:t>
      </w:r>
      <w:r>
        <w:t xml:space="preserve"> </w:t>
      </w:r>
      <w:r w:rsidRPr="00CC14BF">
        <w:t>účetnictví</w:t>
      </w:r>
      <w:r>
        <w:t xml:space="preserve"> </w:t>
      </w:r>
      <w:r w:rsidRPr="00CC14BF">
        <w:t>použije</w:t>
      </w:r>
      <w:r>
        <w:t xml:space="preserve"> </w:t>
      </w:r>
      <w:r w:rsidRPr="00CC14BF">
        <w:t>způsob</w:t>
      </w:r>
      <w:r>
        <w:t xml:space="preserve"> </w:t>
      </w:r>
      <w:r w:rsidRPr="00CC14BF">
        <w:t>určení</w:t>
      </w:r>
      <w:r>
        <w:t xml:space="preserve"> </w:t>
      </w:r>
      <w:r w:rsidRPr="00CC14BF">
        <w:t>kurzu</w:t>
      </w:r>
      <w:r>
        <w:t xml:space="preserve"> </w:t>
      </w:r>
      <w:r w:rsidRPr="00CC14BF">
        <w:t>podle</w:t>
      </w:r>
      <w:r>
        <w:t xml:space="preserve"> </w:t>
      </w:r>
      <w:r w:rsidRPr="00CC14BF">
        <w:t>zákona</w:t>
      </w:r>
      <w:r>
        <w:t xml:space="preserve"> </w:t>
      </w:r>
      <w:r w:rsidRPr="00CC14BF">
        <w:t>upravujícího</w:t>
      </w:r>
      <w:r>
        <w:t xml:space="preserve"> </w:t>
      </w:r>
      <w:r w:rsidRPr="00CC14BF">
        <w:t>účetnictví.</w:t>
      </w:r>
    </w:p>
    <w:p w14:paraId="38362773" w14:textId="509BB9AC" w:rsidR="00635DDD" w:rsidRDefault="00635DDD" w:rsidP="005564E1">
      <w:pPr>
        <w:pStyle w:val="PZTextodstavce"/>
      </w:pPr>
      <w:r w:rsidRPr="00CC14BF">
        <w:lastRenderedPageBreak/>
        <w:t>(11</w:t>
      </w:r>
      <w:r>
        <w:t xml:space="preserve">) </w:t>
      </w:r>
      <w:r w:rsidRPr="00CC14BF">
        <w:t>Pro</w:t>
      </w:r>
      <w:r>
        <w:t xml:space="preserve"> </w:t>
      </w:r>
      <w:r w:rsidRPr="00CC14BF">
        <w:t>účely</w:t>
      </w:r>
      <w:r>
        <w:t xml:space="preserve"> </w:t>
      </w:r>
      <w:r w:rsidRPr="00CC14BF">
        <w:t>základu</w:t>
      </w:r>
      <w:r>
        <w:t xml:space="preserve"> </w:t>
      </w:r>
      <w:r w:rsidRPr="00CC14BF">
        <w:t>daně</w:t>
      </w:r>
      <w:r>
        <w:t xml:space="preserve"> </w:t>
      </w:r>
      <w:r w:rsidRPr="00CC14BF">
        <w:t>z</w:t>
      </w:r>
      <w:r>
        <w:t xml:space="preserve"> </w:t>
      </w:r>
      <w:r w:rsidRPr="00CC14BF">
        <w:t>hazardních</w:t>
      </w:r>
      <w:r>
        <w:t xml:space="preserve"> </w:t>
      </w:r>
      <w:r w:rsidRPr="00CC14BF">
        <w:t>her</w:t>
      </w:r>
      <w:r>
        <w:t xml:space="preserve"> </w:t>
      </w:r>
      <w:r w:rsidRPr="00CC14BF">
        <w:t>se</w:t>
      </w:r>
      <w:r>
        <w:t xml:space="preserve"> </w:t>
      </w:r>
      <w:r w:rsidRPr="00CC14BF">
        <w:t>pro</w:t>
      </w:r>
      <w:r>
        <w:t xml:space="preserve"> </w:t>
      </w:r>
      <w:r w:rsidRPr="00CC14BF">
        <w:t>přepočet</w:t>
      </w:r>
      <w:r>
        <w:t xml:space="preserve"> </w:t>
      </w:r>
      <w:r w:rsidRPr="00CC14BF">
        <w:t>částky</w:t>
      </w:r>
      <w:r>
        <w:t xml:space="preserve"> </w:t>
      </w:r>
      <w:r w:rsidRPr="00CC14BF">
        <w:t>v</w:t>
      </w:r>
      <w:r>
        <w:t xml:space="preserve"> </w:t>
      </w:r>
      <w:r w:rsidRPr="00CC14BF">
        <w:t>měně</w:t>
      </w:r>
      <w:r>
        <w:t xml:space="preserve"> </w:t>
      </w:r>
      <w:r w:rsidRPr="00CC14BF">
        <w:t>účetnictví,</w:t>
      </w:r>
      <w:r>
        <w:t xml:space="preserve"> </w:t>
      </w:r>
      <w:r w:rsidRPr="00CC14BF">
        <w:t>která</w:t>
      </w:r>
      <w:r>
        <w:t xml:space="preserve"> </w:t>
      </w:r>
      <w:r w:rsidRPr="00CC14BF">
        <w:t>je</w:t>
      </w:r>
      <w:r>
        <w:t xml:space="preserve"> </w:t>
      </w:r>
      <w:r w:rsidRPr="00CC14BF">
        <w:t>jiná</w:t>
      </w:r>
      <w:r>
        <w:t xml:space="preserve"> </w:t>
      </w:r>
      <w:r w:rsidRPr="00CC14BF">
        <w:t>než</w:t>
      </w:r>
      <w:r>
        <w:t xml:space="preserve"> </w:t>
      </w:r>
      <w:r w:rsidRPr="00CC14BF">
        <w:t>česká</w:t>
      </w:r>
      <w:r>
        <w:t xml:space="preserve"> </w:t>
      </w:r>
      <w:r w:rsidRPr="00CC14BF">
        <w:t>koruna,</w:t>
      </w:r>
      <w:r>
        <w:t xml:space="preserve"> </w:t>
      </w:r>
      <w:r w:rsidRPr="00CC14BF">
        <w:t>na</w:t>
      </w:r>
      <w:r>
        <w:t xml:space="preserve"> </w:t>
      </w:r>
      <w:r w:rsidRPr="00CC14BF">
        <w:t>českou</w:t>
      </w:r>
      <w:r>
        <w:t xml:space="preserve"> </w:t>
      </w:r>
      <w:r w:rsidRPr="00CC14BF">
        <w:t>korunu</w:t>
      </w:r>
      <w:r>
        <w:t xml:space="preserve"> </w:t>
      </w:r>
      <w:r w:rsidRPr="00CC14BF">
        <w:t>použije</w:t>
      </w:r>
      <w:r>
        <w:t xml:space="preserve"> </w:t>
      </w:r>
      <w:r w:rsidRPr="00CC14BF">
        <w:t>centrálně</w:t>
      </w:r>
      <w:r>
        <w:t xml:space="preserve"> </w:t>
      </w:r>
      <w:r w:rsidRPr="00CC14BF">
        <w:t>stanovený</w:t>
      </w:r>
      <w:r>
        <w:t xml:space="preserve"> </w:t>
      </w:r>
      <w:r w:rsidRPr="00CC14BF">
        <w:t>kurz</w:t>
      </w:r>
      <w:r>
        <w:t xml:space="preserve"> </w:t>
      </w:r>
      <w:r w:rsidRPr="00CC14BF">
        <w:t>pro</w:t>
      </w:r>
      <w:r>
        <w:t xml:space="preserve"> </w:t>
      </w:r>
      <w:r w:rsidRPr="00CC14BF">
        <w:t>přepočet</w:t>
      </w:r>
      <w:r>
        <w:t xml:space="preserve"> </w:t>
      </w:r>
      <w:r w:rsidRPr="00CC14BF">
        <w:t>mezi</w:t>
      </w:r>
      <w:r>
        <w:t xml:space="preserve"> </w:t>
      </w:r>
      <w:r w:rsidRPr="00CC14BF">
        <w:t>měnou</w:t>
      </w:r>
      <w:r>
        <w:t xml:space="preserve"> </w:t>
      </w:r>
      <w:r w:rsidRPr="00CC14BF">
        <w:t>účetnictví</w:t>
      </w:r>
      <w:r>
        <w:t xml:space="preserve"> </w:t>
      </w:r>
      <w:r w:rsidRPr="00CC14BF">
        <w:t>a</w:t>
      </w:r>
      <w:r>
        <w:t xml:space="preserve"> </w:t>
      </w:r>
      <w:r w:rsidRPr="00CC14BF">
        <w:t>českou</w:t>
      </w:r>
      <w:r>
        <w:t xml:space="preserve"> </w:t>
      </w:r>
      <w:r w:rsidRPr="00CC14BF">
        <w:t>korunou</w:t>
      </w:r>
      <w:r>
        <w:t xml:space="preserve"> </w:t>
      </w:r>
      <w:r w:rsidRPr="00CC14BF">
        <w:t>stanovený</w:t>
      </w:r>
      <w:r>
        <w:t xml:space="preserve"> </w:t>
      </w:r>
      <w:r w:rsidRPr="00CC14BF">
        <w:t>provozovatelem</w:t>
      </w:r>
      <w:r>
        <w:t xml:space="preserve"> </w:t>
      </w:r>
      <w:r w:rsidRPr="00CC14BF">
        <w:t>pro</w:t>
      </w:r>
      <w:r>
        <w:t xml:space="preserve"> </w:t>
      </w:r>
      <w:r w:rsidRPr="00CC14BF">
        <w:t>daný</w:t>
      </w:r>
      <w:r>
        <w:t xml:space="preserve"> </w:t>
      </w:r>
      <w:r w:rsidRPr="00CC14BF">
        <w:t>kalendářní</w:t>
      </w:r>
      <w:r>
        <w:t xml:space="preserve"> </w:t>
      </w:r>
      <w:r w:rsidRPr="00CC14BF">
        <w:t>den.</w:t>
      </w:r>
      <w:r>
        <w:t xml:space="preserve"> </w:t>
      </w:r>
      <w:r w:rsidRPr="00CC14BF">
        <w:t>Nestanoví-li</w:t>
      </w:r>
      <w:r>
        <w:t xml:space="preserve"> </w:t>
      </w:r>
      <w:r w:rsidRPr="00CC14BF">
        <w:t>provozovatel</w:t>
      </w:r>
      <w:r>
        <w:t xml:space="preserve"> </w:t>
      </w:r>
      <w:r w:rsidRPr="00CC14BF">
        <w:t>takový</w:t>
      </w:r>
      <w:r>
        <w:t xml:space="preserve"> </w:t>
      </w:r>
      <w:r w:rsidRPr="00CC14BF">
        <w:t>centrálně</w:t>
      </w:r>
      <w:r>
        <w:t xml:space="preserve"> </w:t>
      </w:r>
      <w:r w:rsidRPr="00CC14BF">
        <w:t>stanovený</w:t>
      </w:r>
      <w:r>
        <w:t xml:space="preserve"> </w:t>
      </w:r>
      <w:r w:rsidRPr="00CC14BF">
        <w:t>kurz,</w:t>
      </w:r>
      <w:r>
        <w:t xml:space="preserve"> </w:t>
      </w:r>
      <w:r w:rsidRPr="00CC14BF">
        <w:t>použije</w:t>
      </w:r>
      <w:r>
        <w:t xml:space="preserve"> </w:t>
      </w:r>
      <w:r w:rsidRPr="00CC14BF">
        <w:t>se</w:t>
      </w:r>
      <w:r>
        <w:t xml:space="preserve"> </w:t>
      </w:r>
      <w:r w:rsidRPr="00CC14BF">
        <w:t>kurz</w:t>
      </w:r>
      <w:r>
        <w:t xml:space="preserve"> </w:t>
      </w:r>
      <w:r w:rsidRPr="00CC14BF">
        <w:t>vyhlášený</w:t>
      </w:r>
      <w:r>
        <w:t xml:space="preserve"> </w:t>
      </w:r>
      <w:r w:rsidRPr="00CC14BF">
        <w:t>Českou</w:t>
      </w:r>
      <w:r>
        <w:t xml:space="preserve"> </w:t>
      </w:r>
      <w:r w:rsidRPr="00CC14BF">
        <w:t>národní</w:t>
      </w:r>
      <w:r>
        <w:t xml:space="preserve"> </w:t>
      </w:r>
      <w:r w:rsidRPr="00CC14BF">
        <w:t>bankou</w:t>
      </w:r>
      <w:r>
        <w:t xml:space="preserve"> </w:t>
      </w:r>
      <w:r w:rsidRPr="00CC14BF">
        <w:t>pro</w:t>
      </w:r>
      <w:r>
        <w:t xml:space="preserve"> </w:t>
      </w:r>
      <w:r w:rsidRPr="00CC14BF">
        <w:t>den</w:t>
      </w:r>
      <w:r>
        <w:t xml:space="preserve"> </w:t>
      </w:r>
      <w:r w:rsidRPr="00CC14BF">
        <w:t>předcházející</w:t>
      </w:r>
      <w:r>
        <w:t xml:space="preserve"> </w:t>
      </w:r>
      <w:r w:rsidRPr="00CC14BF">
        <w:t>tomuto</w:t>
      </w:r>
      <w:r>
        <w:t xml:space="preserve"> </w:t>
      </w:r>
      <w:r w:rsidRPr="00CC14BF">
        <w:t>kalendářnímu</w:t>
      </w:r>
      <w:r>
        <w:t xml:space="preserve"> </w:t>
      </w:r>
      <w:r w:rsidRPr="00CC14BF">
        <w:t>dni.</w:t>
      </w:r>
    </w:p>
    <w:p w14:paraId="0F3FF35C" w14:textId="21D022C0" w:rsidR="00C62C41" w:rsidRPr="00635DDD" w:rsidRDefault="00635DDD" w:rsidP="005564E1">
      <w:pPr>
        <w:pStyle w:val="PZTextodstavce"/>
      </w:pPr>
      <w:r w:rsidRPr="00CC14BF">
        <w:t>(12</w:t>
      </w:r>
      <w:r>
        <w:t xml:space="preserve">) </w:t>
      </w:r>
      <w:r w:rsidRPr="00CC14BF">
        <w:t>Pokud</w:t>
      </w:r>
      <w:r>
        <w:t xml:space="preserve"> </w:t>
      </w:r>
      <w:r w:rsidRPr="00CC14BF">
        <w:t>je</w:t>
      </w:r>
      <w:r>
        <w:t xml:space="preserve"> </w:t>
      </w:r>
      <w:r w:rsidRPr="00CC14BF">
        <w:t>částka</w:t>
      </w:r>
      <w:r>
        <w:t xml:space="preserve"> </w:t>
      </w:r>
      <w:r w:rsidRPr="00CC14BF">
        <w:t>v</w:t>
      </w:r>
      <w:r>
        <w:t xml:space="preserve"> </w:t>
      </w:r>
      <w:r w:rsidRPr="00CC14BF">
        <w:t>měně</w:t>
      </w:r>
      <w:r>
        <w:t xml:space="preserve"> </w:t>
      </w:r>
      <w:r w:rsidRPr="00CC14BF">
        <w:t>jiné,</w:t>
      </w:r>
      <w:r>
        <w:t xml:space="preserve"> </w:t>
      </w:r>
      <w:r w:rsidRPr="00CC14BF">
        <w:t>než</w:t>
      </w:r>
      <w:r>
        <w:t xml:space="preserve"> </w:t>
      </w:r>
      <w:r w:rsidRPr="00CC14BF">
        <w:t>je</w:t>
      </w:r>
      <w:r>
        <w:t xml:space="preserve"> </w:t>
      </w:r>
      <w:r w:rsidRPr="00CC14BF">
        <w:t>měna</w:t>
      </w:r>
      <w:r>
        <w:t xml:space="preserve"> </w:t>
      </w:r>
      <w:r w:rsidRPr="00CC14BF">
        <w:t>účetnictví,</w:t>
      </w:r>
      <w:r>
        <w:t xml:space="preserve"> </w:t>
      </w:r>
      <w:r w:rsidRPr="00CC14BF">
        <w:t>a</w:t>
      </w:r>
      <w:r>
        <w:t xml:space="preserve"> </w:t>
      </w:r>
      <w:r w:rsidRPr="00CC14BF">
        <w:t>měna</w:t>
      </w:r>
      <w:r>
        <w:t xml:space="preserve"> </w:t>
      </w:r>
      <w:r w:rsidRPr="00CC14BF">
        <w:t>účetnictví</w:t>
      </w:r>
      <w:r>
        <w:t xml:space="preserve"> </w:t>
      </w:r>
      <w:r w:rsidRPr="00CC14BF">
        <w:t>je</w:t>
      </w:r>
      <w:r>
        <w:t xml:space="preserve"> </w:t>
      </w:r>
      <w:r w:rsidRPr="00CC14BF">
        <w:t>jiná,</w:t>
      </w:r>
      <w:r>
        <w:t xml:space="preserve"> </w:t>
      </w:r>
      <w:r w:rsidRPr="00CC14BF">
        <w:t>než</w:t>
      </w:r>
      <w:r>
        <w:t xml:space="preserve"> </w:t>
      </w:r>
      <w:r w:rsidRPr="00CC14BF">
        <w:t>česká</w:t>
      </w:r>
      <w:r>
        <w:t xml:space="preserve"> </w:t>
      </w:r>
      <w:r w:rsidRPr="00CC14BF">
        <w:t>koruna,</w:t>
      </w:r>
      <w:r>
        <w:t xml:space="preserve"> </w:t>
      </w:r>
      <w:r w:rsidRPr="00CC14BF">
        <w:t>přepočte</w:t>
      </w:r>
      <w:r>
        <w:t xml:space="preserve"> </w:t>
      </w:r>
      <w:r w:rsidRPr="00CC14BF">
        <w:t>se</w:t>
      </w:r>
      <w:r>
        <w:t xml:space="preserve"> </w:t>
      </w:r>
      <w:r w:rsidRPr="00CC14BF">
        <w:t>tato</w:t>
      </w:r>
      <w:r>
        <w:t xml:space="preserve"> </w:t>
      </w:r>
      <w:r w:rsidRPr="00CC14BF">
        <w:t>částka</w:t>
      </w:r>
      <w:r>
        <w:t xml:space="preserve"> </w:t>
      </w:r>
      <w:r w:rsidRPr="00CC14BF">
        <w:t>na</w:t>
      </w:r>
      <w:r>
        <w:t xml:space="preserve"> </w:t>
      </w:r>
      <w:r w:rsidRPr="00CC14BF">
        <w:t>českou</w:t>
      </w:r>
      <w:r>
        <w:t xml:space="preserve"> </w:t>
      </w:r>
      <w:r w:rsidRPr="00CC14BF">
        <w:t>korunu</w:t>
      </w:r>
      <w:r>
        <w:t xml:space="preserve"> </w:t>
      </w:r>
      <w:r w:rsidRPr="00CC14BF">
        <w:t>postupně</w:t>
      </w:r>
      <w:r>
        <w:t xml:space="preserve"> </w:t>
      </w:r>
      <w:r w:rsidRPr="00CC14BF">
        <w:t>podle</w:t>
      </w:r>
      <w:r>
        <w:t xml:space="preserve"> </w:t>
      </w:r>
      <w:r w:rsidRPr="00CC14BF">
        <w:t>odstavců</w:t>
      </w:r>
      <w:r>
        <w:t xml:space="preserve"> </w:t>
      </w:r>
      <w:r w:rsidRPr="00CC14BF">
        <w:t>10</w:t>
      </w:r>
      <w:r>
        <w:t xml:space="preserve"> </w:t>
      </w:r>
      <w:r w:rsidRPr="00CC14BF">
        <w:t>a</w:t>
      </w:r>
      <w:r>
        <w:t xml:space="preserve"> </w:t>
      </w:r>
      <w:r w:rsidRPr="00CC14BF">
        <w:t>11.</w:t>
      </w:r>
    </w:p>
    <w:p w14:paraId="2367CE64" w14:textId="77777777" w:rsidR="00C62C41" w:rsidRDefault="00C62C41" w:rsidP="00C62C41">
      <w:pPr>
        <w:tabs>
          <w:tab w:val="left" w:pos="851"/>
        </w:tabs>
        <w:spacing w:before="120" w:after="120"/>
        <w:ind w:firstLine="0"/>
        <w:outlineLvl w:val="0"/>
      </w:pPr>
    </w:p>
    <w:p w14:paraId="60658E1F" w14:textId="77777777" w:rsidR="00C62C41" w:rsidRDefault="00C62C41" w:rsidP="00C62C41">
      <w:pPr>
        <w:tabs>
          <w:tab w:val="left" w:pos="851"/>
        </w:tabs>
        <w:spacing w:before="120" w:after="120"/>
        <w:ind w:firstLine="0"/>
        <w:outlineLvl w:val="0"/>
        <w:sectPr w:rsidR="00C62C41" w:rsidSect="00554E2B">
          <w:footnotePr>
            <w:numStart w:val="3"/>
          </w:footnotePr>
          <w:endnotePr>
            <w:numFmt w:val="decimal"/>
          </w:endnotePr>
          <w:pgSz w:w="11906" w:h="16838"/>
          <w:pgMar w:top="1418" w:right="1418" w:bottom="1418" w:left="1418" w:header="709" w:footer="709" w:gutter="0"/>
          <w:cols w:space="708"/>
          <w:docGrid w:linePitch="360"/>
        </w:sectPr>
      </w:pPr>
    </w:p>
    <w:p w14:paraId="330A1327" w14:textId="76691EBE" w:rsidR="00C62C41" w:rsidRPr="006A65D9" w:rsidRDefault="00C62C41" w:rsidP="005564E1">
      <w:pPr>
        <w:tabs>
          <w:tab w:val="left" w:pos="851"/>
        </w:tabs>
        <w:spacing w:before="120" w:after="120"/>
        <w:ind w:firstLine="0"/>
        <w:jc w:val="center"/>
        <w:outlineLvl w:val="0"/>
        <w:rPr>
          <w:szCs w:val="24"/>
        </w:rPr>
      </w:pPr>
      <w:r w:rsidRPr="006A65D9">
        <w:rPr>
          <w:b/>
          <w:szCs w:val="24"/>
        </w:rPr>
        <w:lastRenderedPageBreak/>
        <w:t xml:space="preserve">K části sté dvacáté </w:t>
      </w:r>
      <w:r w:rsidR="005F45FC" w:rsidRPr="006A65D9">
        <w:rPr>
          <w:b/>
          <w:szCs w:val="24"/>
        </w:rPr>
        <w:t xml:space="preserve">první </w:t>
      </w:r>
      <w:r w:rsidRPr="006A65D9">
        <w:rPr>
          <w:b/>
          <w:szCs w:val="24"/>
        </w:rPr>
        <w:t xml:space="preserve">návrhu zákona – </w:t>
      </w:r>
      <w:r w:rsidRPr="006A65D9">
        <w:rPr>
          <w:szCs w:val="24"/>
        </w:rPr>
        <w:t>změna zákona</w:t>
      </w:r>
      <w:r w:rsidRPr="006A65D9">
        <w:t xml:space="preserve"> </w:t>
      </w:r>
      <w:r w:rsidRPr="006A65D9">
        <w:rPr>
          <w:szCs w:val="24"/>
        </w:rPr>
        <w:t>o spotřebitelském úvěru</w:t>
      </w:r>
    </w:p>
    <w:p w14:paraId="248D9B7B" w14:textId="77777777" w:rsidR="00C62C41" w:rsidRPr="006A65D9" w:rsidRDefault="00C62C41" w:rsidP="00C62C41">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6A65D9">
        <w:rPr>
          <w:b/>
          <w:szCs w:val="24"/>
        </w:rPr>
        <w:t>Platné znění</w:t>
      </w:r>
      <w:r w:rsidRPr="006A65D9">
        <w:rPr>
          <w:szCs w:val="24"/>
        </w:rPr>
        <w:t xml:space="preserve"> zákona č. 257/2016 Sb., o spotřebitelském úvěru</w:t>
      </w:r>
    </w:p>
    <w:p w14:paraId="6D693D5D" w14:textId="77777777" w:rsidR="005564E1" w:rsidRPr="005564E1" w:rsidRDefault="005564E1" w:rsidP="005564E1">
      <w:pPr>
        <w:pStyle w:val="Odstavecseseznamem"/>
        <w:numPr>
          <w:ilvl w:val="0"/>
          <w:numId w:val="27"/>
        </w:numPr>
        <w:pBdr>
          <w:top w:val="single" w:sz="12" w:space="6" w:color="auto"/>
          <w:left w:val="single" w:sz="12" w:space="0" w:color="auto"/>
          <w:bottom w:val="single" w:sz="12" w:space="6" w:color="auto"/>
          <w:right w:val="single" w:sz="12" w:space="0" w:color="auto"/>
        </w:pBdr>
        <w:spacing w:after="120"/>
        <w:jc w:val="center"/>
        <w:rPr>
          <w:b/>
          <w:szCs w:val="24"/>
          <w:lang w:eastAsia="en-US"/>
        </w:rPr>
      </w:pPr>
      <w:r w:rsidRPr="005564E1">
        <w:rPr>
          <w:b/>
          <w:szCs w:val="24"/>
          <w:lang w:eastAsia="en-US"/>
        </w:rPr>
        <w:t>s vyznačením navrhovaných změn a doplnění k 1. lednu 2025</w:t>
      </w:r>
      <w:r w:rsidRPr="00181A4A">
        <w:t xml:space="preserve"> </w:t>
      </w:r>
    </w:p>
    <w:p w14:paraId="4DF71F54" w14:textId="77777777" w:rsidR="00C62C41" w:rsidRPr="006A65D9" w:rsidRDefault="00C62C41" w:rsidP="006A65D9">
      <w:pPr>
        <w:pStyle w:val="Textparagrafu"/>
        <w:numPr>
          <w:ilvl w:val="0"/>
          <w:numId w:val="27"/>
        </w:numPr>
        <w:tabs>
          <w:tab w:val="left" w:pos="392"/>
          <w:tab w:val="left" w:pos="840"/>
        </w:tabs>
        <w:spacing w:after="120"/>
        <w:jc w:val="center"/>
      </w:pPr>
      <w:r w:rsidRPr="006A65D9">
        <w:t>***</w:t>
      </w:r>
    </w:p>
    <w:p w14:paraId="0EBF1140" w14:textId="77777777" w:rsidR="006A65D9" w:rsidRDefault="006A65D9" w:rsidP="00992796">
      <w:pPr>
        <w:pStyle w:val="Paragraf"/>
        <w:numPr>
          <w:ilvl w:val="0"/>
          <w:numId w:val="67"/>
        </w:numPr>
        <w:spacing w:after="120"/>
      </w:pPr>
      <w:r w:rsidRPr="00CC14BF">
        <w:t>§</w:t>
      </w:r>
      <w:r>
        <w:t xml:space="preserve"> </w:t>
      </w:r>
      <w:r w:rsidRPr="00CC14BF">
        <w:t>3</w:t>
      </w:r>
      <w:r>
        <w:t xml:space="preserve"> </w:t>
      </w:r>
    </w:p>
    <w:p w14:paraId="53058224" w14:textId="77777777" w:rsidR="006A65D9" w:rsidRDefault="006A65D9" w:rsidP="006A65D9">
      <w:pPr>
        <w:pStyle w:val="Nadpisparagrafu"/>
        <w:spacing w:after="120"/>
      </w:pPr>
      <w:r>
        <w:t>Vymezení pojmů</w:t>
      </w:r>
    </w:p>
    <w:p w14:paraId="155E7A45" w14:textId="1628858C" w:rsidR="006A65D9" w:rsidRDefault="006A65D9" w:rsidP="006A65D9">
      <w:pPr>
        <w:pStyle w:val="PZTextodstavce"/>
        <w:spacing w:before="240"/>
      </w:pPr>
      <w:r w:rsidRPr="00CC14BF">
        <w:t>(1</w:t>
      </w:r>
      <w:r>
        <w:t xml:space="preserve">) </w:t>
      </w:r>
      <w:r w:rsidRPr="00CC14BF">
        <w:t>Pro</w:t>
      </w:r>
      <w:r>
        <w:t xml:space="preserve"> </w:t>
      </w:r>
      <w:r w:rsidRPr="00CC14BF">
        <w:t>účely</w:t>
      </w:r>
      <w:r>
        <w:t xml:space="preserve"> </w:t>
      </w:r>
      <w:r w:rsidRPr="00CC14BF">
        <w:t>tohoto</w:t>
      </w:r>
      <w:r>
        <w:t xml:space="preserve"> </w:t>
      </w:r>
      <w:r w:rsidRPr="00CC14BF">
        <w:t>zákona</w:t>
      </w:r>
      <w:r>
        <w:t xml:space="preserve"> </w:t>
      </w:r>
      <w:r w:rsidRPr="00CC14BF">
        <w:t>se</w:t>
      </w:r>
      <w:r>
        <w:t xml:space="preserve"> </w:t>
      </w:r>
      <w:r w:rsidRPr="00CC14BF">
        <w:t>rozumí</w:t>
      </w:r>
    </w:p>
    <w:p w14:paraId="64855EB7" w14:textId="77777777" w:rsidR="006A65D9" w:rsidRDefault="006A65D9" w:rsidP="006A65D9">
      <w:pPr>
        <w:pStyle w:val="PZTextpsmene"/>
        <w:spacing w:before="0"/>
      </w:pPr>
      <w:r w:rsidRPr="00CC14BF">
        <w:t>a</w:t>
      </w:r>
      <w:r>
        <w:t>)</w:t>
      </w:r>
      <w:r>
        <w:tab/>
      </w:r>
      <w:r w:rsidRPr="00CC14BF">
        <w:t>poskytováním</w:t>
      </w:r>
      <w:r>
        <w:t xml:space="preserve"> </w:t>
      </w:r>
      <w:r w:rsidRPr="00CC14BF">
        <w:t>spotřebitelského</w:t>
      </w:r>
      <w:r>
        <w:t xml:space="preserve"> </w:t>
      </w:r>
      <w:r w:rsidRPr="00CC14BF">
        <w:t>úvěru</w:t>
      </w:r>
    </w:p>
    <w:p w14:paraId="6B8F6E6A" w14:textId="77777777" w:rsidR="006A65D9" w:rsidRDefault="006A65D9" w:rsidP="006A65D9">
      <w:pPr>
        <w:pStyle w:val="PZTextbodu"/>
        <w:spacing w:before="0"/>
      </w:pPr>
      <w:r w:rsidRPr="00CC14BF">
        <w:t>1</w:t>
      </w:r>
      <w:r>
        <w:t>.</w:t>
      </w:r>
      <w:r>
        <w:tab/>
      </w:r>
      <w:r w:rsidRPr="00CC14BF">
        <w:t>nabízení</w:t>
      </w:r>
      <w:r>
        <w:t xml:space="preserve"> </w:t>
      </w:r>
      <w:r w:rsidRPr="00CC14BF">
        <w:t>možnosti</w:t>
      </w:r>
      <w:r>
        <w:t xml:space="preserve"> </w:t>
      </w:r>
      <w:r w:rsidRPr="00CC14BF">
        <w:t>sjednat</w:t>
      </w:r>
      <w:r>
        <w:t xml:space="preserve"> </w:t>
      </w:r>
      <w:r w:rsidRPr="00CC14BF">
        <w:t>spotřebitelský</w:t>
      </w:r>
      <w:r>
        <w:t xml:space="preserve"> </w:t>
      </w:r>
      <w:r w:rsidRPr="00CC14BF">
        <w:t>úvěr</w:t>
      </w:r>
      <w:r>
        <w:t xml:space="preserve"> </w:t>
      </w:r>
      <w:r w:rsidRPr="00CC14BF">
        <w:t>vlastním</w:t>
      </w:r>
      <w:r>
        <w:t xml:space="preserve"> </w:t>
      </w:r>
      <w:r w:rsidRPr="00CC14BF">
        <w:t>jménem</w:t>
      </w:r>
      <w:r>
        <w:t xml:space="preserve"> </w:t>
      </w:r>
      <w:r w:rsidRPr="00CC14BF">
        <w:t>a</w:t>
      </w:r>
      <w:r>
        <w:t xml:space="preserve"> </w:t>
      </w:r>
      <w:r w:rsidRPr="00CC14BF">
        <w:t>na</w:t>
      </w:r>
      <w:r>
        <w:t xml:space="preserve"> </w:t>
      </w:r>
      <w:r w:rsidRPr="00CC14BF">
        <w:t>vlastní</w:t>
      </w:r>
      <w:r>
        <w:t xml:space="preserve"> </w:t>
      </w:r>
      <w:r w:rsidRPr="00CC14BF">
        <w:t>účet,</w:t>
      </w:r>
    </w:p>
    <w:p w14:paraId="788BD3D6" w14:textId="77777777" w:rsidR="006A65D9" w:rsidRDefault="006A65D9" w:rsidP="006A65D9">
      <w:pPr>
        <w:pStyle w:val="PZTextbodu"/>
        <w:spacing w:before="0"/>
      </w:pPr>
      <w:r w:rsidRPr="00CC14BF">
        <w:t>2</w:t>
      </w:r>
      <w:r>
        <w:t>.</w:t>
      </w:r>
      <w:r>
        <w:tab/>
      </w:r>
      <w:r w:rsidRPr="00CC14BF">
        <w:t>předkládání</w:t>
      </w:r>
      <w:r>
        <w:t xml:space="preserve"> </w:t>
      </w:r>
      <w:r w:rsidRPr="00CC14BF">
        <w:t>návrhu</w:t>
      </w:r>
      <w:r>
        <w:t xml:space="preserve"> </w:t>
      </w:r>
      <w:r w:rsidRPr="00CC14BF">
        <w:t>na</w:t>
      </w:r>
      <w:r>
        <w:t xml:space="preserve"> </w:t>
      </w:r>
      <w:r w:rsidRPr="00CC14BF">
        <w:t>sjednání</w:t>
      </w:r>
      <w:r>
        <w:t xml:space="preserve"> </w:t>
      </w:r>
      <w:r w:rsidRPr="00CC14BF">
        <w:t>spotřebitelského</w:t>
      </w:r>
      <w:r>
        <w:t xml:space="preserve"> </w:t>
      </w:r>
      <w:r w:rsidRPr="00CC14BF">
        <w:t>úvěru</w:t>
      </w:r>
      <w:r>
        <w:t xml:space="preserve"> </w:t>
      </w:r>
      <w:r w:rsidRPr="00CC14BF">
        <w:t>vlastním</w:t>
      </w:r>
      <w:r>
        <w:t xml:space="preserve"> </w:t>
      </w:r>
      <w:r w:rsidRPr="00CC14BF">
        <w:t>jménem</w:t>
      </w:r>
      <w:r>
        <w:t xml:space="preserve"> </w:t>
      </w:r>
      <w:r w:rsidRPr="00CC14BF">
        <w:t>a</w:t>
      </w:r>
      <w:r>
        <w:t xml:space="preserve"> </w:t>
      </w:r>
      <w:r w:rsidRPr="00CC14BF">
        <w:t>na</w:t>
      </w:r>
      <w:r>
        <w:t xml:space="preserve"> </w:t>
      </w:r>
      <w:r w:rsidRPr="00CC14BF">
        <w:t>vlastní</w:t>
      </w:r>
      <w:r>
        <w:t xml:space="preserve"> </w:t>
      </w:r>
      <w:r w:rsidRPr="00CC14BF">
        <w:t>účet,</w:t>
      </w:r>
    </w:p>
    <w:p w14:paraId="274AB859" w14:textId="77777777" w:rsidR="006A65D9" w:rsidRDefault="006A65D9" w:rsidP="006A65D9">
      <w:pPr>
        <w:pStyle w:val="PZTextbodu"/>
        <w:spacing w:before="0"/>
      </w:pPr>
      <w:r w:rsidRPr="00CC14BF">
        <w:t>3</w:t>
      </w:r>
      <w:r>
        <w:t>.</w:t>
      </w:r>
      <w:r>
        <w:tab/>
      </w:r>
      <w:r w:rsidRPr="00CC14BF">
        <w:t>provádění</w:t>
      </w:r>
      <w:r>
        <w:t xml:space="preserve"> </w:t>
      </w:r>
      <w:r w:rsidRPr="00CC14BF">
        <w:t>přípravných</w:t>
      </w:r>
      <w:r>
        <w:t xml:space="preserve"> </w:t>
      </w:r>
      <w:r w:rsidRPr="00CC14BF">
        <w:t>prací</w:t>
      </w:r>
      <w:r>
        <w:t xml:space="preserve"> </w:t>
      </w:r>
      <w:r w:rsidRPr="00CC14BF">
        <w:t>směřujících</w:t>
      </w:r>
      <w:r>
        <w:t xml:space="preserve"> </w:t>
      </w:r>
      <w:r w:rsidRPr="00CC14BF">
        <w:t>vlastním</w:t>
      </w:r>
      <w:r>
        <w:t xml:space="preserve"> </w:t>
      </w:r>
      <w:r w:rsidRPr="00CC14BF">
        <w:t>jménem</w:t>
      </w:r>
      <w:r>
        <w:t xml:space="preserve"> </w:t>
      </w:r>
      <w:r w:rsidRPr="00CC14BF">
        <w:t>a</w:t>
      </w:r>
      <w:r>
        <w:t xml:space="preserve"> </w:t>
      </w:r>
      <w:r w:rsidRPr="00CC14BF">
        <w:t>na</w:t>
      </w:r>
      <w:r>
        <w:t xml:space="preserve"> </w:t>
      </w:r>
      <w:r w:rsidRPr="00CC14BF">
        <w:t>vlastní</w:t>
      </w:r>
      <w:r>
        <w:t xml:space="preserve"> </w:t>
      </w:r>
      <w:r w:rsidRPr="00CC14BF">
        <w:t>účet</w:t>
      </w:r>
      <w:r>
        <w:t xml:space="preserve"> </w:t>
      </w:r>
      <w:r w:rsidRPr="00CC14BF">
        <w:t>ke</w:t>
      </w:r>
      <w:r>
        <w:t xml:space="preserve"> </w:t>
      </w:r>
      <w:r w:rsidRPr="00CC14BF">
        <w:t>sjednání</w:t>
      </w:r>
      <w:r>
        <w:t xml:space="preserve"> </w:t>
      </w:r>
      <w:r w:rsidRPr="00CC14BF">
        <w:t>spotřebitelského</w:t>
      </w:r>
      <w:r>
        <w:t xml:space="preserve"> </w:t>
      </w:r>
      <w:r w:rsidRPr="00CC14BF">
        <w:t>úvěru,</w:t>
      </w:r>
      <w:r>
        <w:t xml:space="preserve"> </w:t>
      </w:r>
      <w:r w:rsidRPr="00CC14BF">
        <w:t>včetně</w:t>
      </w:r>
      <w:r>
        <w:t xml:space="preserve"> </w:t>
      </w:r>
      <w:r w:rsidRPr="00CC14BF">
        <w:t>poskytování</w:t>
      </w:r>
      <w:r>
        <w:t xml:space="preserve"> </w:t>
      </w:r>
      <w:r w:rsidRPr="00CC14BF">
        <w:t>doporučení</w:t>
      </w:r>
      <w:r>
        <w:t xml:space="preserve"> </w:t>
      </w:r>
      <w:r w:rsidRPr="00CC14BF">
        <w:t>vedoucího</w:t>
      </w:r>
      <w:r>
        <w:t xml:space="preserve"> </w:t>
      </w:r>
      <w:r w:rsidRPr="00CC14BF">
        <w:t>ke</w:t>
      </w:r>
      <w:r>
        <w:t xml:space="preserve"> </w:t>
      </w:r>
      <w:r w:rsidRPr="00CC14BF">
        <w:t>sjednání</w:t>
      </w:r>
      <w:r>
        <w:t xml:space="preserve"> </w:t>
      </w:r>
      <w:r w:rsidRPr="00CC14BF">
        <w:t>spotřebitelského</w:t>
      </w:r>
      <w:r>
        <w:t xml:space="preserve"> </w:t>
      </w:r>
      <w:r w:rsidRPr="00CC14BF">
        <w:t>úvěru,</w:t>
      </w:r>
    </w:p>
    <w:p w14:paraId="788EEEB1" w14:textId="77777777" w:rsidR="006A65D9" w:rsidRDefault="006A65D9" w:rsidP="006A65D9">
      <w:pPr>
        <w:pStyle w:val="PZTextbodu"/>
        <w:spacing w:before="0"/>
      </w:pPr>
      <w:r w:rsidRPr="00CC14BF">
        <w:t>4</w:t>
      </w:r>
      <w:r>
        <w:t>.</w:t>
      </w:r>
      <w:r>
        <w:tab/>
      </w:r>
      <w:r w:rsidRPr="00CC14BF">
        <w:t>sjednávání</w:t>
      </w:r>
      <w:r>
        <w:t xml:space="preserve"> </w:t>
      </w:r>
      <w:r w:rsidRPr="00CC14BF">
        <w:t>spotřebitelského</w:t>
      </w:r>
      <w:r>
        <w:t xml:space="preserve"> </w:t>
      </w:r>
      <w:r w:rsidRPr="00CC14BF">
        <w:t>úvěru</w:t>
      </w:r>
      <w:r>
        <w:t xml:space="preserve"> </w:t>
      </w:r>
      <w:r w:rsidRPr="00CC14BF">
        <w:t>vlastním</w:t>
      </w:r>
      <w:r>
        <w:t xml:space="preserve"> </w:t>
      </w:r>
      <w:r w:rsidRPr="00CC14BF">
        <w:t>jménem</w:t>
      </w:r>
      <w:r>
        <w:t xml:space="preserve"> </w:t>
      </w:r>
      <w:r w:rsidRPr="00CC14BF">
        <w:t>a</w:t>
      </w:r>
      <w:r>
        <w:t xml:space="preserve"> </w:t>
      </w:r>
      <w:r w:rsidRPr="00CC14BF">
        <w:t>na</w:t>
      </w:r>
      <w:r>
        <w:t xml:space="preserve"> </w:t>
      </w:r>
      <w:r w:rsidRPr="00CC14BF">
        <w:t>vlastní</w:t>
      </w:r>
      <w:r>
        <w:t xml:space="preserve"> </w:t>
      </w:r>
      <w:r w:rsidRPr="00CC14BF">
        <w:t>účet,</w:t>
      </w:r>
      <w:r>
        <w:t xml:space="preserve"> </w:t>
      </w:r>
      <w:r w:rsidRPr="00CC14BF">
        <w:t>nebo</w:t>
      </w:r>
    </w:p>
    <w:p w14:paraId="1E67FDA1" w14:textId="77777777" w:rsidR="006A65D9" w:rsidRDefault="006A65D9" w:rsidP="006A65D9">
      <w:pPr>
        <w:pStyle w:val="PZTextbodu"/>
        <w:spacing w:before="0"/>
      </w:pPr>
      <w:r w:rsidRPr="00CC14BF">
        <w:t>5</w:t>
      </w:r>
      <w:r>
        <w:t>.</w:t>
      </w:r>
      <w:r>
        <w:tab/>
      </w:r>
      <w:r w:rsidRPr="00CC14BF">
        <w:t>výkon</w:t>
      </w:r>
      <w:r>
        <w:t xml:space="preserve"> </w:t>
      </w:r>
      <w:r w:rsidRPr="00CC14BF">
        <w:t>práv</w:t>
      </w:r>
      <w:r>
        <w:t xml:space="preserve"> </w:t>
      </w:r>
      <w:r w:rsidRPr="00CC14BF">
        <w:t>a</w:t>
      </w:r>
      <w:r>
        <w:t xml:space="preserve"> </w:t>
      </w:r>
      <w:r w:rsidRPr="00CC14BF">
        <w:t>plnění</w:t>
      </w:r>
      <w:r>
        <w:t xml:space="preserve"> </w:t>
      </w:r>
      <w:r w:rsidRPr="00CC14BF">
        <w:t>povinností</w:t>
      </w:r>
      <w:r>
        <w:t xml:space="preserve"> </w:t>
      </w:r>
      <w:r w:rsidRPr="00CC14BF">
        <w:t>ze</w:t>
      </w:r>
      <w:r>
        <w:t xml:space="preserve"> </w:t>
      </w:r>
      <w:r w:rsidRPr="00CC14BF">
        <w:t>smlouvy</w:t>
      </w:r>
      <w:r>
        <w:t xml:space="preserve"> </w:t>
      </w:r>
      <w:r w:rsidRPr="00CC14BF">
        <w:t>o</w:t>
      </w:r>
      <w:r>
        <w:t xml:space="preserve"> </w:t>
      </w:r>
      <w:r w:rsidRPr="00CC14BF">
        <w:t>spotřebitelském</w:t>
      </w:r>
      <w:r>
        <w:t xml:space="preserve"> </w:t>
      </w:r>
      <w:r w:rsidRPr="00CC14BF">
        <w:t>úvěru</w:t>
      </w:r>
      <w:r>
        <w:t xml:space="preserve"> </w:t>
      </w:r>
      <w:r w:rsidRPr="00CC14BF">
        <w:t>osobou,</w:t>
      </w:r>
      <w:r>
        <w:t xml:space="preserve"> </w:t>
      </w:r>
      <w:r w:rsidRPr="00CC14BF">
        <w:t>která</w:t>
      </w:r>
      <w:r>
        <w:t xml:space="preserve"> </w:t>
      </w:r>
      <w:r w:rsidRPr="00CC14BF">
        <w:t>spotřebitelský</w:t>
      </w:r>
      <w:r>
        <w:t xml:space="preserve"> </w:t>
      </w:r>
      <w:r w:rsidRPr="00CC14BF">
        <w:t>úvěr</w:t>
      </w:r>
      <w:r>
        <w:t xml:space="preserve"> </w:t>
      </w:r>
      <w:r w:rsidRPr="00CC14BF">
        <w:t>se</w:t>
      </w:r>
      <w:r>
        <w:t xml:space="preserve"> </w:t>
      </w:r>
      <w:r w:rsidRPr="00CC14BF">
        <w:t>spotřebitelem</w:t>
      </w:r>
      <w:r>
        <w:t xml:space="preserve"> </w:t>
      </w:r>
      <w:r w:rsidRPr="00CC14BF">
        <w:t>sjednala,</w:t>
      </w:r>
    </w:p>
    <w:p w14:paraId="1679D0BF" w14:textId="77777777" w:rsidR="006A65D9" w:rsidRDefault="006A65D9" w:rsidP="006A65D9">
      <w:pPr>
        <w:pStyle w:val="PZTextpsmene"/>
        <w:spacing w:before="0"/>
      </w:pPr>
      <w:r w:rsidRPr="00CC14BF">
        <w:t>b</w:t>
      </w:r>
      <w:r>
        <w:t>)</w:t>
      </w:r>
      <w:r>
        <w:tab/>
      </w:r>
      <w:r w:rsidRPr="00CC14BF">
        <w:t>zprostředkováním</w:t>
      </w:r>
      <w:r>
        <w:t xml:space="preserve"> </w:t>
      </w:r>
      <w:r w:rsidRPr="00CC14BF">
        <w:t>spotřebitelského</w:t>
      </w:r>
      <w:r>
        <w:t xml:space="preserve"> </w:t>
      </w:r>
      <w:r w:rsidRPr="00CC14BF">
        <w:t>úvěru</w:t>
      </w:r>
    </w:p>
    <w:p w14:paraId="5A49FF42" w14:textId="77777777" w:rsidR="006A65D9" w:rsidRDefault="006A65D9" w:rsidP="006A65D9">
      <w:pPr>
        <w:pStyle w:val="PZTextbodu"/>
        <w:spacing w:before="0"/>
      </w:pPr>
      <w:r w:rsidRPr="00CC14BF">
        <w:t>1</w:t>
      </w:r>
      <w:r>
        <w:t>.</w:t>
      </w:r>
      <w:r>
        <w:tab/>
      </w:r>
      <w:r w:rsidRPr="00CC14BF">
        <w:t>nabízení</w:t>
      </w:r>
      <w:r>
        <w:t xml:space="preserve"> </w:t>
      </w:r>
      <w:r w:rsidRPr="00CC14BF">
        <w:t>možnosti</w:t>
      </w:r>
      <w:r>
        <w:t xml:space="preserve"> </w:t>
      </w:r>
      <w:r w:rsidRPr="00CC14BF">
        <w:t>sjednat</w:t>
      </w:r>
      <w:r>
        <w:t xml:space="preserve"> </w:t>
      </w:r>
      <w:r w:rsidRPr="00CC14BF">
        <w:t>spotřebitelský</w:t>
      </w:r>
      <w:r>
        <w:t xml:space="preserve"> </w:t>
      </w:r>
      <w:r w:rsidRPr="00CC14BF">
        <w:t>úvěr</w:t>
      </w:r>
      <w:r>
        <w:t xml:space="preserve"> </w:t>
      </w:r>
      <w:r w:rsidRPr="00CC14BF">
        <w:t>jménem</w:t>
      </w:r>
      <w:r>
        <w:t xml:space="preserve"> </w:t>
      </w:r>
      <w:r w:rsidRPr="00CC14BF">
        <w:t>a</w:t>
      </w:r>
      <w:r>
        <w:t xml:space="preserve"> </w:t>
      </w:r>
      <w:r w:rsidRPr="00CC14BF">
        <w:t>na</w:t>
      </w:r>
      <w:r>
        <w:t xml:space="preserve"> </w:t>
      </w:r>
      <w:r w:rsidRPr="00CC14BF">
        <w:t>účet</w:t>
      </w:r>
      <w:r>
        <w:t xml:space="preserve"> </w:t>
      </w:r>
      <w:r w:rsidRPr="00CC14BF">
        <w:t>poskytovatele,</w:t>
      </w:r>
      <w:r>
        <w:t xml:space="preserve"> </w:t>
      </w:r>
      <w:r w:rsidRPr="00CC14BF">
        <w:t>nebo</w:t>
      </w:r>
      <w:r>
        <w:t xml:space="preserve"> </w:t>
      </w:r>
      <w:r w:rsidRPr="00CC14BF">
        <w:t>jménem</w:t>
      </w:r>
      <w:r>
        <w:t xml:space="preserve"> </w:t>
      </w:r>
      <w:r w:rsidRPr="00CC14BF">
        <w:t>a</w:t>
      </w:r>
      <w:r>
        <w:t xml:space="preserve"> </w:t>
      </w:r>
      <w:r w:rsidRPr="00CC14BF">
        <w:t>na</w:t>
      </w:r>
      <w:r>
        <w:t xml:space="preserve"> </w:t>
      </w:r>
      <w:r w:rsidRPr="00CC14BF">
        <w:t>účet</w:t>
      </w:r>
      <w:r>
        <w:t xml:space="preserve"> </w:t>
      </w:r>
      <w:r w:rsidRPr="00CC14BF">
        <w:t>spotřebitele,</w:t>
      </w:r>
    </w:p>
    <w:p w14:paraId="63D278F1" w14:textId="77777777" w:rsidR="006A65D9" w:rsidRDefault="006A65D9" w:rsidP="006A65D9">
      <w:pPr>
        <w:pStyle w:val="PZTextbodu"/>
        <w:spacing w:before="0"/>
      </w:pPr>
      <w:r w:rsidRPr="00CC14BF">
        <w:t>2</w:t>
      </w:r>
      <w:r>
        <w:t>.</w:t>
      </w:r>
      <w:r>
        <w:tab/>
      </w:r>
      <w:r w:rsidRPr="00CC14BF">
        <w:t>předkládání</w:t>
      </w:r>
      <w:r>
        <w:t xml:space="preserve"> </w:t>
      </w:r>
      <w:r w:rsidRPr="00CC14BF">
        <w:t>návrhů</w:t>
      </w:r>
      <w:r>
        <w:t xml:space="preserve"> </w:t>
      </w:r>
      <w:r w:rsidRPr="00CC14BF">
        <w:t>na</w:t>
      </w:r>
      <w:r>
        <w:t xml:space="preserve"> </w:t>
      </w:r>
      <w:r w:rsidRPr="00CC14BF">
        <w:t>sjednání</w:t>
      </w:r>
      <w:r>
        <w:t xml:space="preserve"> </w:t>
      </w:r>
      <w:r w:rsidRPr="00CC14BF">
        <w:t>spotřebitelského</w:t>
      </w:r>
      <w:r>
        <w:t xml:space="preserve"> </w:t>
      </w:r>
      <w:r w:rsidRPr="00CC14BF">
        <w:t>úvěru</w:t>
      </w:r>
      <w:r>
        <w:t xml:space="preserve"> </w:t>
      </w:r>
      <w:r w:rsidRPr="00CC14BF">
        <w:t>jménem</w:t>
      </w:r>
      <w:r>
        <w:t xml:space="preserve"> </w:t>
      </w:r>
      <w:r w:rsidRPr="00CC14BF">
        <w:t>a</w:t>
      </w:r>
      <w:r>
        <w:t xml:space="preserve"> </w:t>
      </w:r>
      <w:r w:rsidRPr="00CC14BF">
        <w:t>na</w:t>
      </w:r>
      <w:r>
        <w:t xml:space="preserve"> </w:t>
      </w:r>
      <w:r w:rsidRPr="00CC14BF">
        <w:t>účet</w:t>
      </w:r>
      <w:r>
        <w:t xml:space="preserve"> </w:t>
      </w:r>
      <w:r w:rsidRPr="00CC14BF">
        <w:t>poskytovatele,</w:t>
      </w:r>
      <w:r>
        <w:t xml:space="preserve"> </w:t>
      </w:r>
      <w:r w:rsidRPr="00CC14BF">
        <w:t>nebo</w:t>
      </w:r>
      <w:r>
        <w:t xml:space="preserve"> </w:t>
      </w:r>
      <w:r w:rsidRPr="00CC14BF">
        <w:t>jménem</w:t>
      </w:r>
      <w:r>
        <w:t xml:space="preserve"> </w:t>
      </w:r>
      <w:r w:rsidRPr="00CC14BF">
        <w:t>a</w:t>
      </w:r>
      <w:r>
        <w:t xml:space="preserve"> </w:t>
      </w:r>
      <w:r w:rsidRPr="00CC14BF">
        <w:t>na</w:t>
      </w:r>
      <w:r>
        <w:t xml:space="preserve"> </w:t>
      </w:r>
      <w:r w:rsidRPr="00CC14BF">
        <w:t>účet</w:t>
      </w:r>
      <w:r>
        <w:t xml:space="preserve"> </w:t>
      </w:r>
      <w:r w:rsidRPr="00CC14BF">
        <w:t>spotřebitele,</w:t>
      </w:r>
    </w:p>
    <w:p w14:paraId="1C7699F5" w14:textId="77777777" w:rsidR="006A65D9" w:rsidRDefault="006A65D9" w:rsidP="006A65D9">
      <w:pPr>
        <w:pStyle w:val="PZTextbodu"/>
        <w:spacing w:before="0"/>
      </w:pPr>
      <w:r w:rsidRPr="00CC14BF">
        <w:t>3</w:t>
      </w:r>
      <w:r>
        <w:t>.</w:t>
      </w:r>
      <w:r>
        <w:tab/>
      </w:r>
      <w:r w:rsidRPr="00CC14BF">
        <w:t>provádění</w:t>
      </w:r>
      <w:r>
        <w:t xml:space="preserve"> </w:t>
      </w:r>
      <w:r w:rsidRPr="00CC14BF">
        <w:t>přípravných</w:t>
      </w:r>
      <w:r>
        <w:t xml:space="preserve"> </w:t>
      </w:r>
      <w:r w:rsidRPr="00CC14BF">
        <w:t>prací</w:t>
      </w:r>
      <w:r>
        <w:t xml:space="preserve"> </w:t>
      </w:r>
      <w:r w:rsidRPr="00CC14BF">
        <w:t>směřujících</w:t>
      </w:r>
      <w:r>
        <w:t xml:space="preserve"> </w:t>
      </w:r>
      <w:r w:rsidRPr="00CC14BF">
        <w:t>ke</w:t>
      </w:r>
      <w:r>
        <w:t xml:space="preserve"> </w:t>
      </w:r>
      <w:r w:rsidRPr="00CC14BF">
        <w:t>sjednání</w:t>
      </w:r>
      <w:r>
        <w:t xml:space="preserve"> </w:t>
      </w:r>
      <w:r w:rsidRPr="00CC14BF">
        <w:t>spotřebitelského</w:t>
      </w:r>
      <w:r>
        <w:t xml:space="preserve"> </w:t>
      </w:r>
      <w:r w:rsidRPr="00CC14BF">
        <w:t>úvěru</w:t>
      </w:r>
      <w:r>
        <w:t xml:space="preserve"> </w:t>
      </w:r>
      <w:r w:rsidRPr="00CC14BF">
        <w:t>jménem</w:t>
      </w:r>
      <w:r>
        <w:t xml:space="preserve"> </w:t>
      </w:r>
      <w:r w:rsidRPr="00CC14BF">
        <w:t>a</w:t>
      </w:r>
      <w:r>
        <w:t xml:space="preserve"> </w:t>
      </w:r>
      <w:r w:rsidRPr="00CC14BF">
        <w:t>na</w:t>
      </w:r>
      <w:r>
        <w:t xml:space="preserve"> </w:t>
      </w:r>
      <w:r w:rsidRPr="00CC14BF">
        <w:t>účet</w:t>
      </w:r>
      <w:r>
        <w:t xml:space="preserve"> </w:t>
      </w:r>
      <w:r w:rsidRPr="00CC14BF">
        <w:t>poskytovatele</w:t>
      </w:r>
      <w:r>
        <w:t xml:space="preserve"> </w:t>
      </w:r>
      <w:r w:rsidRPr="00CC14BF">
        <w:t>nebo</w:t>
      </w:r>
      <w:r>
        <w:t xml:space="preserve"> </w:t>
      </w:r>
      <w:r w:rsidRPr="00CC14BF">
        <w:t>jménem</w:t>
      </w:r>
      <w:r>
        <w:t xml:space="preserve"> </w:t>
      </w:r>
      <w:r w:rsidRPr="00CC14BF">
        <w:t>a</w:t>
      </w:r>
      <w:r>
        <w:t xml:space="preserve"> </w:t>
      </w:r>
      <w:r w:rsidRPr="00CC14BF">
        <w:t>na</w:t>
      </w:r>
      <w:r>
        <w:t xml:space="preserve"> </w:t>
      </w:r>
      <w:r w:rsidRPr="00CC14BF">
        <w:t>účet</w:t>
      </w:r>
      <w:r>
        <w:t xml:space="preserve"> </w:t>
      </w:r>
      <w:r w:rsidRPr="00CC14BF">
        <w:t>spotřebitele,</w:t>
      </w:r>
      <w:r>
        <w:t xml:space="preserve"> </w:t>
      </w:r>
      <w:r w:rsidRPr="00CC14BF">
        <w:t>včetně</w:t>
      </w:r>
      <w:r>
        <w:t xml:space="preserve"> </w:t>
      </w:r>
      <w:r w:rsidRPr="00CC14BF">
        <w:t>poskytování</w:t>
      </w:r>
      <w:r>
        <w:t xml:space="preserve"> </w:t>
      </w:r>
      <w:r w:rsidRPr="00CC14BF">
        <w:t>doporučení</w:t>
      </w:r>
      <w:r>
        <w:t xml:space="preserve"> </w:t>
      </w:r>
      <w:r w:rsidRPr="00CC14BF">
        <w:t>vedoucího</w:t>
      </w:r>
      <w:r>
        <w:t xml:space="preserve"> </w:t>
      </w:r>
      <w:r w:rsidRPr="00CC14BF">
        <w:t>ke</w:t>
      </w:r>
      <w:r>
        <w:t xml:space="preserve"> </w:t>
      </w:r>
      <w:r w:rsidRPr="00CC14BF">
        <w:t>sjednání</w:t>
      </w:r>
      <w:r>
        <w:t xml:space="preserve"> </w:t>
      </w:r>
      <w:r w:rsidRPr="00CC14BF">
        <w:t>spotřebitelského</w:t>
      </w:r>
      <w:r>
        <w:t xml:space="preserve"> </w:t>
      </w:r>
      <w:r w:rsidRPr="00CC14BF">
        <w:t>úvěru,</w:t>
      </w:r>
    </w:p>
    <w:p w14:paraId="0CFD0EC5" w14:textId="77777777" w:rsidR="006A65D9" w:rsidRDefault="006A65D9" w:rsidP="006A65D9">
      <w:pPr>
        <w:pStyle w:val="PZTextbodu"/>
        <w:spacing w:before="0"/>
      </w:pPr>
      <w:r w:rsidRPr="00CC14BF">
        <w:t>4</w:t>
      </w:r>
      <w:r>
        <w:t>.</w:t>
      </w:r>
      <w:r>
        <w:tab/>
      </w:r>
      <w:r w:rsidRPr="00CC14BF">
        <w:t>sjednávání</w:t>
      </w:r>
      <w:r>
        <w:t xml:space="preserve"> </w:t>
      </w:r>
      <w:r w:rsidRPr="00CC14BF">
        <w:t>spotřebitelského</w:t>
      </w:r>
      <w:r>
        <w:t xml:space="preserve"> </w:t>
      </w:r>
      <w:r w:rsidRPr="00CC14BF">
        <w:t>úvěru</w:t>
      </w:r>
      <w:r>
        <w:t xml:space="preserve"> </w:t>
      </w:r>
      <w:r w:rsidRPr="00CC14BF">
        <w:t>jménem</w:t>
      </w:r>
      <w:r>
        <w:t xml:space="preserve"> </w:t>
      </w:r>
      <w:r w:rsidRPr="00CC14BF">
        <w:t>a</w:t>
      </w:r>
      <w:r>
        <w:t xml:space="preserve"> </w:t>
      </w:r>
      <w:r w:rsidRPr="00CC14BF">
        <w:t>na</w:t>
      </w:r>
      <w:r>
        <w:t xml:space="preserve"> </w:t>
      </w:r>
      <w:r w:rsidRPr="00CC14BF">
        <w:t>účet</w:t>
      </w:r>
      <w:r>
        <w:t xml:space="preserve"> </w:t>
      </w:r>
      <w:r w:rsidRPr="00CC14BF">
        <w:t>poskytovatele,</w:t>
      </w:r>
      <w:r>
        <w:t xml:space="preserve"> </w:t>
      </w:r>
      <w:r w:rsidRPr="00CC14BF">
        <w:t>nebo</w:t>
      </w:r>
      <w:r>
        <w:t xml:space="preserve"> </w:t>
      </w:r>
      <w:r w:rsidRPr="00CC14BF">
        <w:t>jménem</w:t>
      </w:r>
      <w:r>
        <w:t xml:space="preserve"> </w:t>
      </w:r>
      <w:r w:rsidRPr="00CC14BF">
        <w:t>a</w:t>
      </w:r>
      <w:r>
        <w:t xml:space="preserve"> </w:t>
      </w:r>
      <w:r w:rsidRPr="00CC14BF">
        <w:t>na</w:t>
      </w:r>
      <w:r>
        <w:t xml:space="preserve"> </w:t>
      </w:r>
      <w:r w:rsidRPr="00CC14BF">
        <w:t>účet</w:t>
      </w:r>
      <w:r>
        <w:t xml:space="preserve"> </w:t>
      </w:r>
      <w:r w:rsidRPr="00CC14BF">
        <w:t>spotřebitele,</w:t>
      </w:r>
      <w:r>
        <w:t xml:space="preserve"> </w:t>
      </w:r>
      <w:r w:rsidRPr="00CC14BF">
        <w:t>nebo</w:t>
      </w:r>
    </w:p>
    <w:p w14:paraId="632C48F9" w14:textId="77777777" w:rsidR="006A65D9" w:rsidRDefault="006A65D9" w:rsidP="006A65D9">
      <w:pPr>
        <w:pStyle w:val="PZTextbodu"/>
        <w:spacing w:before="0"/>
      </w:pPr>
      <w:r w:rsidRPr="00CC14BF">
        <w:t>5</w:t>
      </w:r>
      <w:r>
        <w:t>.</w:t>
      </w:r>
      <w:r>
        <w:tab/>
      </w:r>
      <w:r w:rsidRPr="00CC14BF">
        <w:t>výkon</w:t>
      </w:r>
      <w:r>
        <w:t xml:space="preserve"> </w:t>
      </w:r>
      <w:r w:rsidRPr="00CC14BF">
        <w:t>práv</w:t>
      </w:r>
      <w:r>
        <w:t xml:space="preserve"> </w:t>
      </w:r>
      <w:r w:rsidRPr="00CC14BF">
        <w:t>a</w:t>
      </w:r>
      <w:r>
        <w:t xml:space="preserve"> </w:t>
      </w:r>
      <w:r w:rsidRPr="00CC14BF">
        <w:t>plnění</w:t>
      </w:r>
      <w:r>
        <w:t xml:space="preserve"> </w:t>
      </w:r>
      <w:r w:rsidRPr="00CC14BF">
        <w:t>povinností</w:t>
      </w:r>
      <w:r>
        <w:t xml:space="preserve"> </w:t>
      </w:r>
      <w:r w:rsidRPr="00CC14BF">
        <w:t>ze</w:t>
      </w:r>
      <w:r>
        <w:t xml:space="preserve"> </w:t>
      </w:r>
      <w:r w:rsidRPr="00CC14BF">
        <w:t>smlouvy</w:t>
      </w:r>
      <w:r>
        <w:t xml:space="preserve"> </w:t>
      </w:r>
      <w:r w:rsidRPr="00CC14BF">
        <w:t>o</w:t>
      </w:r>
      <w:r>
        <w:t xml:space="preserve"> </w:t>
      </w:r>
      <w:r w:rsidRPr="00CC14BF">
        <w:t>zprostředkování</w:t>
      </w:r>
      <w:r>
        <w:t xml:space="preserve"> </w:t>
      </w:r>
      <w:r w:rsidRPr="00CC14BF">
        <w:t>spotřebitelského</w:t>
      </w:r>
      <w:r>
        <w:t xml:space="preserve"> </w:t>
      </w:r>
      <w:r w:rsidRPr="00CC14BF">
        <w:t>úvěru</w:t>
      </w:r>
      <w:r>
        <w:t xml:space="preserve"> </w:t>
      </w:r>
      <w:r w:rsidRPr="00CC14BF">
        <w:t>osobou,</w:t>
      </w:r>
      <w:r>
        <w:t xml:space="preserve"> </w:t>
      </w:r>
      <w:r w:rsidRPr="00CC14BF">
        <w:t>která</w:t>
      </w:r>
      <w:r>
        <w:t xml:space="preserve"> </w:t>
      </w:r>
      <w:r w:rsidRPr="00CC14BF">
        <w:t>smlouvu</w:t>
      </w:r>
      <w:r>
        <w:t xml:space="preserve"> </w:t>
      </w:r>
      <w:r w:rsidRPr="00CC14BF">
        <w:t>o</w:t>
      </w:r>
      <w:r>
        <w:t xml:space="preserve"> </w:t>
      </w:r>
      <w:r w:rsidRPr="00CC14BF">
        <w:t>zprostředkování</w:t>
      </w:r>
      <w:r>
        <w:t xml:space="preserve"> </w:t>
      </w:r>
      <w:r w:rsidRPr="00CC14BF">
        <w:t>spotřebitelského</w:t>
      </w:r>
      <w:r>
        <w:t xml:space="preserve"> </w:t>
      </w:r>
      <w:r w:rsidRPr="00CC14BF">
        <w:t>úvěru</w:t>
      </w:r>
      <w:r>
        <w:t xml:space="preserve"> </w:t>
      </w:r>
      <w:r w:rsidRPr="00CC14BF">
        <w:t>se</w:t>
      </w:r>
      <w:r>
        <w:t xml:space="preserve"> </w:t>
      </w:r>
      <w:r w:rsidRPr="00CC14BF">
        <w:t>spotřebitelem</w:t>
      </w:r>
      <w:r>
        <w:t xml:space="preserve"> </w:t>
      </w:r>
      <w:r w:rsidRPr="00CC14BF">
        <w:t>uzavřela,</w:t>
      </w:r>
    </w:p>
    <w:p w14:paraId="34F85525" w14:textId="77777777" w:rsidR="006A65D9" w:rsidRDefault="006A65D9" w:rsidP="006A65D9">
      <w:pPr>
        <w:pStyle w:val="PZTextpsmene"/>
        <w:spacing w:before="0"/>
      </w:pPr>
      <w:r w:rsidRPr="00CC14BF">
        <w:t>c</w:t>
      </w:r>
      <w:r>
        <w:t>)</w:t>
      </w:r>
      <w:r>
        <w:tab/>
      </w:r>
      <w:r w:rsidRPr="00CC14BF">
        <w:t>posouzením</w:t>
      </w:r>
      <w:r>
        <w:t xml:space="preserve"> </w:t>
      </w:r>
      <w:r w:rsidRPr="00CC14BF">
        <w:t>úvěruschopnosti</w:t>
      </w:r>
      <w:r>
        <w:t xml:space="preserve"> </w:t>
      </w:r>
      <w:r w:rsidRPr="00CC14BF">
        <w:t>spotřebitele</w:t>
      </w:r>
      <w:r>
        <w:t xml:space="preserve"> </w:t>
      </w:r>
      <w:r w:rsidRPr="00CC14BF">
        <w:t>posouzení</w:t>
      </w:r>
      <w:r>
        <w:t xml:space="preserve"> </w:t>
      </w:r>
      <w:r w:rsidRPr="00CC14BF">
        <w:t>jeho</w:t>
      </w:r>
      <w:r>
        <w:t xml:space="preserve"> </w:t>
      </w:r>
      <w:r w:rsidRPr="00CC14BF">
        <w:t>schopnosti</w:t>
      </w:r>
      <w:r>
        <w:t xml:space="preserve"> </w:t>
      </w:r>
      <w:r w:rsidRPr="00CC14BF">
        <w:t>splácet</w:t>
      </w:r>
      <w:r>
        <w:t xml:space="preserve"> </w:t>
      </w:r>
      <w:r w:rsidRPr="00CC14BF">
        <w:t>spotřebitelský</w:t>
      </w:r>
      <w:r>
        <w:t xml:space="preserve"> </w:t>
      </w:r>
      <w:r w:rsidRPr="00CC14BF">
        <w:t>úvěr,</w:t>
      </w:r>
    </w:p>
    <w:p w14:paraId="35E73A5E" w14:textId="77777777" w:rsidR="006A65D9" w:rsidRDefault="006A65D9" w:rsidP="006A65D9">
      <w:pPr>
        <w:pStyle w:val="PZTextpsmene"/>
        <w:spacing w:before="0"/>
      </w:pPr>
      <w:r w:rsidRPr="00CC14BF">
        <w:t>d</w:t>
      </w:r>
      <w:r>
        <w:t>)</w:t>
      </w:r>
      <w:r>
        <w:tab/>
      </w:r>
      <w:r w:rsidRPr="00CC14BF">
        <w:t>poskytovatelem</w:t>
      </w:r>
      <w:r>
        <w:t xml:space="preserve"> </w:t>
      </w:r>
      <w:r w:rsidRPr="00CC14BF">
        <w:t>ten,</w:t>
      </w:r>
      <w:r>
        <w:t xml:space="preserve"> </w:t>
      </w:r>
      <w:r w:rsidRPr="00CC14BF">
        <w:t>kdo</w:t>
      </w:r>
      <w:r>
        <w:t xml:space="preserve"> </w:t>
      </w:r>
      <w:r w:rsidRPr="00CC14BF">
        <w:t>jako</w:t>
      </w:r>
      <w:r>
        <w:t xml:space="preserve"> </w:t>
      </w:r>
      <w:r w:rsidRPr="00CC14BF">
        <w:t>podnikatel</w:t>
      </w:r>
      <w:r>
        <w:t xml:space="preserve"> </w:t>
      </w:r>
      <w:r w:rsidRPr="00CC14BF">
        <w:t>poskytuje</w:t>
      </w:r>
      <w:r>
        <w:t xml:space="preserve"> </w:t>
      </w:r>
      <w:r w:rsidRPr="00CC14BF">
        <w:t>spotřebitelský</w:t>
      </w:r>
      <w:r>
        <w:t xml:space="preserve"> </w:t>
      </w:r>
      <w:r w:rsidRPr="00CC14BF">
        <w:t>úvěr,</w:t>
      </w:r>
    </w:p>
    <w:p w14:paraId="02B6FE65" w14:textId="77777777" w:rsidR="006A65D9" w:rsidRDefault="006A65D9" w:rsidP="006A65D9">
      <w:pPr>
        <w:pStyle w:val="PZTextpsmene"/>
        <w:spacing w:before="0"/>
      </w:pPr>
      <w:r w:rsidRPr="00CC14BF">
        <w:t>e</w:t>
      </w:r>
      <w:r>
        <w:t>)</w:t>
      </w:r>
      <w:r>
        <w:tab/>
      </w:r>
      <w:r w:rsidRPr="00CC14BF">
        <w:t>zprostředkovatelem</w:t>
      </w:r>
      <w:r>
        <w:t xml:space="preserve"> </w:t>
      </w:r>
      <w:r w:rsidRPr="00CC14BF">
        <w:t>ten,</w:t>
      </w:r>
      <w:r>
        <w:t xml:space="preserve"> </w:t>
      </w:r>
      <w:r w:rsidRPr="00CC14BF">
        <w:t>kdo</w:t>
      </w:r>
      <w:r>
        <w:t xml:space="preserve"> </w:t>
      </w:r>
      <w:r w:rsidRPr="00CC14BF">
        <w:t>jako</w:t>
      </w:r>
      <w:r>
        <w:t xml:space="preserve"> </w:t>
      </w:r>
      <w:r w:rsidRPr="00CC14BF">
        <w:t>podnikatel</w:t>
      </w:r>
      <w:r>
        <w:t xml:space="preserve"> </w:t>
      </w:r>
      <w:r w:rsidRPr="00CC14BF">
        <w:t>zprostředkovává</w:t>
      </w:r>
      <w:r>
        <w:t xml:space="preserve"> </w:t>
      </w:r>
      <w:r w:rsidRPr="00CC14BF">
        <w:t>spotřebitelský</w:t>
      </w:r>
      <w:r>
        <w:t xml:space="preserve"> </w:t>
      </w:r>
      <w:r w:rsidRPr="00CC14BF">
        <w:t>úvěr,</w:t>
      </w:r>
    </w:p>
    <w:p w14:paraId="414A1ECA" w14:textId="77777777" w:rsidR="006A65D9" w:rsidRDefault="006A65D9" w:rsidP="006A65D9">
      <w:pPr>
        <w:pStyle w:val="PZTextpsmene"/>
        <w:spacing w:before="0"/>
      </w:pPr>
      <w:r w:rsidRPr="00CC14BF">
        <w:t>f</w:t>
      </w:r>
      <w:r>
        <w:t>)</w:t>
      </w:r>
      <w:r>
        <w:tab/>
      </w:r>
      <w:r w:rsidRPr="00CC14BF">
        <w:t>zastoupeným</w:t>
      </w:r>
      <w:r>
        <w:t xml:space="preserve"> </w:t>
      </w:r>
      <w:r w:rsidRPr="00CC14BF">
        <w:t>v</w:t>
      </w:r>
      <w:r>
        <w:t xml:space="preserve"> </w:t>
      </w:r>
      <w:r w:rsidRPr="00CC14BF">
        <w:t>případě</w:t>
      </w:r>
    </w:p>
    <w:p w14:paraId="538C0AC5" w14:textId="77777777" w:rsidR="006A65D9" w:rsidRDefault="006A65D9" w:rsidP="006A65D9">
      <w:pPr>
        <w:pStyle w:val="PZTextbodu"/>
        <w:spacing w:before="0"/>
      </w:pPr>
      <w:r w:rsidRPr="00CC14BF">
        <w:t>1</w:t>
      </w:r>
      <w:r>
        <w:t>.</w:t>
      </w:r>
      <w:r>
        <w:tab/>
      </w:r>
      <w:r w:rsidRPr="00CC14BF">
        <w:t>vázaného</w:t>
      </w:r>
      <w:r>
        <w:t xml:space="preserve"> </w:t>
      </w:r>
      <w:r w:rsidRPr="00CC14BF">
        <w:t>zástupce</w:t>
      </w:r>
      <w:r>
        <w:t xml:space="preserve"> </w:t>
      </w:r>
      <w:r w:rsidRPr="00CC14BF">
        <w:t>ten,</w:t>
      </w:r>
      <w:r>
        <w:t xml:space="preserve"> </w:t>
      </w:r>
      <w:r w:rsidRPr="00CC14BF">
        <w:t>s</w:t>
      </w:r>
      <w:r>
        <w:t xml:space="preserve"> </w:t>
      </w:r>
      <w:r w:rsidRPr="00CC14BF">
        <w:t>nímž</w:t>
      </w:r>
      <w:r>
        <w:t xml:space="preserve"> </w:t>
      </w:r>
      <w:r w:rsidRPr="00CC14BF">
        <w:t>má</w:t>
      </w:r>
      <w:r>
        <w:t xml:space="preserve"> </w:t>
      </w:r>
      <w:r w:rsidRPr="00CC14BF">
        <w:t>vázaný</w:t>
      </w:r>
      <w:r>
        <w:t xml:space="preserve"> </w:t>
      </w:r>
      <w:r w:rsidRPr="00CC14BF">
        <w:t>zástupce</w:t>
      </w:r>
      <w:r>
        <w:t xml:space="preserve"> </w:t>
      </w:r>
      <w:r w:rsidRPr="00CC14BF">
        <w:t>uzavřenou</w:t>
      </w:r>
      <w:r>
        <w:t xml:space="preserve"> </w:t>
      </w:r>
      <w:r w:rsidRPr="00CC14BF">
        <w:t>smlouvu,</w:t>
      </w:r>
      <w:r>
        <w:t xml:space="preserve"> </w:t>
      </w:r>
      <w:r w:rsidRPr="00CC14BF">
        <w:t>na</w:t>
      </w:r>
      <w:r>
        <w:t xml:space="preserve"> </w:t>
      </w:r>
      <w:r w:rsidRPr="00CC14BF">
        <w:t>jejímž</w:t>
      </w:r>
      <w:r>
        <w:t xml:space="preserve"> </w:t>
      </w:r>
      <w:r w:rsidRPr="00CC14BF">
        <w:t>základě</w:t>
      </w:r>
      <w:r>
        <w:t xml:space="preserve"> </w:t>
      </w:r>
      <w:r w:rsidRPr="00CC14BF">
        <w:t>zprostředkovává</w:t>
      </w:r>
      <w:r>
        <w:t xml:space="preserve"> </w:t>
      </w:r>
      <w:r w:rsidRPr="00CC14BF">
        <w:t>spotřebitelský</w:t>
      </w:r>
      <w:r>
        <w:t xml:space="preserve"> </w:t>
      </w:r>
      <w:r w:rsidRPr="00CC14BF">
        <w:t>úvěr,</w:t>
      </w:r>
      <w:r>
        <w:t xml:space="preserve"> </w:t>
      </w:r>
      <w:r w:rsidRPr="00CC14BF">
        <w:t>a</w:t>
      </w:r>
      <w:r>
        <w:t xml:space="preserve"> </w:t>
      </w:r>
      <w:r w:rsidRPr="00CC14BF">
        <w:t>kdo</w:t>
      </w:r>
      <w:r>
        <w:t xml:space="preserve"> </w:t>
      </w:r>
      <w:r w:rsidRPr="00CC14BF">
        <w:t>je</w:t>
      </w:r>
      <w:r>
        <w:t xml:space="preserve"> </w:t>
      </w:r>
      <w:r w:rsidRPr="00CC14BF">
        <w:t>osobou</w:t>
      </w:r>
      <w:r>
        <w:t xml:space="preserve"> </w:t>
      </w:r>
      <w:r w:rsidRPr="00CC14BF">
        <w:t>oprávněnou</w:t>
      </w:r>
      <w:r>
        <w:t xml:space="preserve"> </w:t>
      </w:r>
      <w:r w:rsidRPr="00CC14BF">
        <w:t>poskytovat</w:t>
      </w:r>
      <w:r>
        <w:t xml:space="preserve"> </w:t>
      </w:r>
      <w:r w:rsidRPr="00CC14BF">
        <w:t>spotřebitelský</w:t>
      </w:r>
      <w:r>
        <w:t xml:space="preserve"> </w:t>
      </w:r>
      <w:r w:rsidRPr="00CC14BF">
        <w:t>úvěr</w:t>
      </w:r>
      <w:r>
        <w:t xml:space="preserve"> </w:t>
      </w:r>
      <w:r w:rsidRPr="00CC14BF">
        <w:t>nebo</w:t>
      </w:r>
      <w:r>
        <w:t xml:space="preserve"> </w:t>
      </w:r>
      <w:r w:rsidRPr="00CC14BF">
        <w:t>samostatným</w:t>
      </w:r>
      <w:r>
        <w:t xml:space="preserve"> </w:t>
      </w:r>
      <w:r w:rsidRPr="00CC14BF">
        <w:t>zprostředkovatelem,</w:t>
      </w:r>
      <w:r>
        <w:t xml:space="preserve"> </w:t>
      </w:r>
      <w:r w:rsidRPr="00CC14BF">
        <w:t>nebo</w:t>
      </w:r>
    </w:p>
    <w:p w14:paraId="3E85FAD0" w14:textId="77777777" w:rsidR="006A65D9" w:rsidRDefault="006A65D9" w:rsidP="006A65D9">
      <w:pPr>
        <w:pStyle w:val="PZTextbodu"/>
        <w:spacing w:before="0"/>
      </w:pPr>
      <w:r w:rsidRPr="00CC14BF">
        <w:t>2</w:t>
      </w:r>
      <w:r>
        <w:t>.</w:t>
      </w:r>
      <w:r>
        <w:tab/>
      </w:r>
      <w:r w:rsidRPr="00CC14BF">
        <w:t>zprostředkovatele</w:t>
      </w:r>
      <w:r>
        <w:t xml:space="preserve"> </w:t>
      </w:r>
      <w:r w:rsidRPr="00CC14BF">
        <w:t>vázaného</w:t>
      </w:r>
      <w:r>
        <w:t xml:space="preserve"> </w:t>
      </w:r>
      <w:r w:rsidRPr="00CC14BF">
        <w:t>spotřebitelského</w:t>
      </w:r>
      <w:r>
        <w:t xml:space="preserve"> </w:t>
      </w:r>
      <w:r w:rsidRPr="00CC14BF">
        <w:t>úvěru</w:t>
      </w:r>
      <w:r>
        <w:t xml:space="preserve"> </w:t>
      </w:r>
      <w:r w:rsidRPr="00CC14BF">
        <w:t>ten,</w:t>
      </w:r>
      <w:r>
        <w:t xml:space="preserve"> </w:t>
      </w:r>
      <w:r w:rsidRPr="00CC14BF">
        <w:t>s</w:t>
      </w:r>
      <w:r>
        <w:t xml:space="preserve"> </w:t>
      </w:r>
      <w:r w:rsidRPr="00CC14BF">
        <w:t>nímž</w:t>
      </w:r>
      <w:r>
        <w:t xml:space="preserve"> </w:t>
      </w:r>
      <w:r w:rsidRPr="00CC14BF">
        <w:t>má</w:t>
      </w:r>
      <w:r>
        <w:t xml:space="preserve"> </w:t>
      </w:r>
      <w:r w:rsidRPr="00CC14BF">
        <w:t>zprostředkovatel</w:t>
      </w:r>
      <w:r>
        <w:t xml:space="preserve"> </w:t>
      </w:r>
      <w:r w:rsidRPr="00CC14BF">
        <w:t>vázaného</w:t>
      </w:r>
      <w:r>
        <w:t xml:space="preserve"> </w:t>
      </w:r>
      <w:r w:rsidRPr="00CC14BF">
        <w:t>spotřebitelského</w:t>
      </w:r>
      <w:r>
        <w:t xml:space="preserve"> </w:t>
      </w:r>
      <w:r w:rsidRPr="00CC14BF">
        <w:t>úvěru</w:t>
      </w:r>
      <w:r>
        <w:t xml:space="preserve"> </w:t>
      </w:r>
      <w:r w:rsidRPr="00CC14BF">
        <w:t>uzavřenou</w:t>
      </w:r>
      <w:r>
        <w:t xml:space="preserve"> </w:t>
      </w:r>
      <w:r w:rsidRPr="00CC14BF">
        <w:t>smlouvu,</w:t>
      </w:r>
      <w:r>
        <w:t xml:space="preserve"> </w:t>
      </w:r>
      <w:r w:rsidRPr="00CC14BF">
        <w:t>na</w:t>
      </w:r>
      <w:r>
        <w:t xml:space="preserve"> </w:t>
      </w:r>
      <w:r w:rsidRPr="00CC14BF">
        <w:t>jejímž</w:t>
      </w:r>
      <w:r>
        <w:t xml:space="preserve"> </w:t>
      </w:r>
      <w:r w:rsidRPr="00CC14BF">
        <w:t>základě</w:t>
      </w:r>
      <w:r>
        <w:t xml:space="preserve"> </w:t>
      </w:r>
      <w:r w:rsidRPr="00CC14BF">
        <w:t>zprostředkovává</w:t>
      </w:r>
      <w:r>
        <w:t xml:space="preserve"> </w:t>
      </w:r>
      <w:r w:rsidRPr="00CC14BF">
        <w:t>vázaný</w:t>
      </w:r>
      <w:r>
        <w:t xml:space="preserve"> </w:t>
      </w:r>
      <w:r w:rsidRPr="00CC14BF">
        <w:t>spotřebitelský</w:t>
      </w:r>
      <w:r>
        <w:t xml:space="preserve"> </w:t>
      </w:r>
      <w:r w:rsidRPr="00CC14BF">
        <w:t>úvěr,</w:t>
      </w:r>
      <w:r>
        <w:t xml:space="preserve"> </w:t>
      </w:r>
      <w:r w:rsidRPr="00CC14BF">
        <w:t>a</w:t>
      </w:r>
      <w:r>
        <w:t xml:space="preserve"> </w:t>
      </w:r>
      <w:r w:rsidRPr="00CC14BF">
        <w:t>kdo</w:t>
      </w:r>
      <w:r>
        <w:t xml:space="preserve"> </w:t>
      </w:r>
      <w:r w:rsidRPr="00CC14BF">
        <w:t>je</w:t>
      </w:r>
      <w:r>
        <w:t xml:space="preserve"> </w:t>
      </w:r>
      <w:r w:rsidRPr="00CC14BF">
        <w:t>poskytovatelem</w:t>
      </w:r>
      <w:r>
        <w:t xml:space="preserve"> </w:t>
      </w:r>
      <w:r w:rsidRPr="00CC14BF">
        <w:t>vázaného</w:t>
      </w:r>
      <w:r>
        <w:t xml:space="preserve"> </w:t>
      </w:r>
      <w:r w:rsidRPr="00CC14BF">
        <w:t>spotřebitelského</w:t>
      </w:r>
      <w:r>
        <w:t xml:space="preserve"> </w:t>
      </w:r>
      <w:r w:rsidRPr="00CC14BF">
        <w:t>úvěru,</w:t>
      </w:r>
    </w:p>
    <w:p w14:paraId="34F3CFD6" w14:textId="77777777" w:rsidR="006A65D9" w:rsidRDefault="006A65D9" w:rsidP="006A65D9">
      <w:pPr>
        <w:pStyle w:val="PZTextpsmene"/>
        <w:spacing w:before="0"/>
      </w:pPr>
      <w:r w:rsidRPr="00CC14BF">
        <w:t>g</w:t>
      </w:r>
      <w:r>
        <w:t>)</w:t>
      </w:r>
      <w:r>
        <w:tab/>
      </w:r>
      <w:r w:rsidRPr="00CC14BF">
        <w:t>identifikačními</w:t>
      </w:r>
      <w:r>
        <w:t xml:space="preserve"> </w:t>
      </w:r>
      <w:r w:rsidRPr="00CC14BF">
        <w:t>údaji</w:t>
      </w:r>
    </w:p>
    <w:p w14:paraId="08790928" w14:textId="77777777" w:rsidR="006A65D9" w:rsidRDefault="006A65D9" w:rsidP="006A65D9">
      <w:pPr>
        <w:pStyle w:val="PZTextbodu"/>
        <w:spacing w:before="0"/>
      </w:pPr>
      <w:r w:rsidRPr="00CC14BF">
        <w:lastRenderedPageBreak/>
        <w:t>1</w:t>
      </w:r>
      <w:r>
        <w:t>.</w:t>
      </w:r>
      <w:r>
        <w:tab/>
      </w:r>
      <w:r w:rsidRPr="00CC14BF">
        <w:t>u</w:t>
      </w:r>
      <w:r>
        <w:t xml:space="preserve"> </w:t>
      </w:r>
      <w:r w:rsidRPr="00CC14BF">
        <w:t>fyzické</w:t>
      </w:r>
      <w:r>
        <w:t xml:space="preserve"> </w:t>
      </w:r>
      <w:r w:rsidRPr="00CC14BF">
        <w:t>osoby</w:t>
      </w:r>
      <w:r>
        <w:t xml:space="preserve"> </w:t>
      </w:r>
      <w:r w:rsidRPr="00CC14BF">
        <w:t>jméno,</w:t>
      </w:r>
      <w:r>
        <w:t xml:space="preserve"> </w:t>
      </w:r>
      <w:r w:rsidRPr="00CC14BF">
        <w:t>popřípadě</w:t>
      </w:r>
      <w:r>
        <w:t xml:space="preserve"> </w:t>
      </w:r>
      <w:r w:rsidRPr="00CC14BF">
        <w:t>obchodní</w:t>
      </w:r>
      <w:r>
        <w:t xml:space="preserve"> </w:t>
      </w:r>
      <w:r w:rsidRPr="00CC14BF">
        <w:t>firma,</w:t>
      </w:r>
      <w:r>
        <w:t xml:space="preserve"> </w:t>
      </w:r>
      <w:r w:rsidRPr="00CC14BF">
        <w:t>adresa</w:t>
      </w:r>
      <w:r>
        <w:t xml:space="preserve"> </w:t>
      </w:r>
      <w:r w:rsidRPr="00CC14BF">
        <w:t>bydliště,</w:t>
      </w:r>
      <w:r>
        <w:t xml:space="preserve"> </w:t>
      </w:r>
      <w:r w:rsidRPr="00CC14BF">
        <w:t>datum</w:t>
      </w:r>
      <w:r>
        <w:t xml:space="preserve"> </w:t>
      </w:r>
      <w:r w:rsidRPr="00CC14BF">
        <w:t>narození</w:t>
      </w:r>
      <w:r>
        <w:t xml:space="preserve"> </w:t>
      </w:r>
      <w:r w:rsidRPr="00CC14BF">
        <w:t>a</w:t>
      </w:r>
      <w:r>
        <w:t xml:space="preserve"> </w:t>
      </w:r>
      <w:r w:rsidRPr="00CC14BF">
        <w:t>identifikační</w:t>
      </w:r>
      <w:r>
        <w:t xml:space="preserve"> </w:t>
      </w:r>
      <w:r w:rsidRPr="00CC14BF">
        <w:t>číslo</w:t>
      </w:r>
      <w:r>
        <w:t xml:space="preserve"> </w:t>
      </w:r>
      <w:r w:rsidRPr="00CC14BF">
        <w:t>osoby</w:t>
      </w:r>
      <w:r>
        <w:t xml:space="preserve"> </w:t>
      </w:r>
      <w:r w:rsidRPr="00CC14BF">
        <w:t>(dále</w:t>
      </w:r>
      <w:r>
        <w:t xml:space="preserve"> </w:t>
      </w:r>
      <w:r w:rsidRPr="00CC14BF">
        <w:t>jen</w:t>
      </w:r>
      <w:r>
        <w:t xml:space="preserve"> </w:t>
      </w:r>
      <w:r w:rsidRPr="00CC14BF">
        <w:t>"identifikační</w:t>
      </w:r>
      <w:r>
        <w:t xml:space="preserve"> </w:t>
      </w:r>
      <w:r w:rsidRPr="00CC14BF">
        <w:t>číslo"),</w:t>
      </w:r>
      <w:r>
        <w:t xml:space="preserve"> </w:t>
      </w:r>
      <w:r w:rsidRPr="00CC14BF">
        <w:t>bylo-li</w:t>
      </w:r>
      <w:r>
        <w:t xml:space="preserve"> </w:t>
      </w:r>
      <w:r w:rsidRPr="00CC14BF">
        <w:t>jí</w:t>
      </w:r>
      <w:r>
        <w:t xml:space="preserve"> </w:t>
      </w:r>
      <w:r w:rsidRPr="00CC14BF">
        <w:t>přiděleno;</w:t>
      </w:r>
      <w:r>
        <w:t xml:space="preserve"> </w:t>
      </w:r>
      <w:r w:rsidRPr="00CC14BF">
        <w:t>u</w:t>
      </w:r>
      <w:r>
        <w:t xml:space="preserve"> </w:t>
      </w:r>
      <w:r w:rsidRPr="00CC14BF">
        <w:t>fyzické</w:t>
      </w:r>
      <w:r>
        <w:t xml:space="preserve"> </w:t>
      </w:r>
      <w:r w:rsidRPr="00CC14BF">
        <w:t>osoby</w:t>
      </w:r>
      <w:r>
        <w:t xml:space="preserve"> </w:t>
      </w:r>
      <w:r w:rsidRPr="00CC14BF">
        <w:t>usazené</w:t>
      </w:r>
      <w:r>
        <w:t xml:space="preserve"> </w:t>
      </w:r>
      <w:r w:rsidRPr="00CC14BF">
        <w:t>v</w:t>
      </w:r>
      <w:r>
        <w:t xml:space="preserve"> </w:t>
      </w:r>
      <w:r w:rsidRPr="00CC14BF">
        <w:t>jiném</w:t>
      </w:r>
      <w:r>
        <w:t xml:space="preserve"> </w:t>
      </w:r>
      <w:r w:rsidRPr="00CC14BF">
        <w:t>než</w:t>
      </w:r>
      <w:r>
        <w:t xml:space="preserve"> </w:t>
      </w:r>
      <w:r w:rsidRPr="00CC14BF">
        <w:t>členském</w:t>
      </w:r>
      <w:r>
        <w:t xml:space="preserve"> </w:t>
      </w:r>
      <w:r w:rsidRPr="00CC14BF">
        <w:t>státě,</w:t>
      </w:r>
      <w:r>
        <w:t xml:space="preserve"> </w:t>
      </w:r>
      <w:r w:rsidRPr="00CC14BF">
        <w:t>není-li</w:t>
      </w:r>
      <w:r>
        <w:t xml:space="preserve"> </w:t>
      </w:r>
      <w:r w:rsidRPr="00CC14BF">
        <w:t>podle</w:t>
      </w:r>
      <w:r>
        <w:t xml:space="preserve"> </w:t>
      </w:r>
      <w:r w:rsidRPr="00CC14BF">
        <w:t>zákona</w:t>
      </w:r>
      <w:r>
        <w:t xml:space="preserve"> </w:t>
      </w:r>
      <w:r w:rsidRPr="00CC14BF">
        <w:t>o</w:t>
      </w:r>
      <w:r>
        <w:t xml:space="preserve"> </w:t>
      </w:r>
      <w:r w:rsidRPr="00CC14BF">
        <w:t>pobytu</w:t>
      </w:r>
      <w:r>
        <w:t xml:space="preserve"> </w:t>
      </w:r>
      <w:r w:rsidRPr="00CC14BF">
        <w:t>cizinců</w:t>
      </w:r>
      <w:r>
        <w:t xml:space="preserve"> </w:t>
      </w:r>
      <w:r w:rsidRPr="00CC14BF">
        <w:t>na</w:t>
      </w:r>
      <w:r>
        <w:t xml:space="preserve"> </w:t>
      </w:r>
      <w:r w:rsidRPr="00CC14BF">
        <w:t>území</w:t>
      </w:r>
      <w:r>
        <w:t xml:space="preserve"> </w:t>
      </w:r>
      <w:r w:rsidRPr="00CC14BF">
        <w:t>České</w:t>
      </w:r>
      <w:r>
        <w:t xml:space="preserve"> </w:t>
      </w:r>
      <w:r w:rsidRPr="00CC14BF">
        <w:t>republiky</w:t>
      </w:r>
      <w:r>
        <w:t xml:space="preserve"> </w:t>
      </w:r>
      <w:r w:rsidRPr="00CC14BF">
        <w:t>občanem</w:t>
      </w:r>
      <w:r>
        <w:t xml:space="preserve"> </w:t>
      </w:r>
      <w:r w:rsidRPr="00CC14BF">
        <w:t>členského</w:t>
      </w:r>
      <w:r>
        <w:t xml:space="preserve"> </w:t>
      </w:r>
      <w:r w:rsidRPr="00CC14BF">
        <w:t>státu</w:t>
      </w:r>
      <w:r>
        <w:t xml:space="preserve"> </w:t>
      </w:r>
      <w:r w:rsidRPr="00CC14BF">
        <w:t>Evropské</w:t>
      </w:r>
      <w:r>
        <w:t xml:space="preserve"> </w:t>
      </w:r>
      <w:r w:rsidRPr="00CC14BF">
        <w:t>unie</w:t>
      </w:r>
      <w:r>
        <w:t xml:space="preserve"> </w:t>
      </w:r>
      <w:r w:rsidRPr="00CC14BF">
        <w:t>nebo</w:t>
      </w:r>
      <w:r>
        <w:t xml:space="preserve"> </w:t>
      </w:r>
      <w:r w:rsidRPr="00CC14BF">
        <w:t>jiného</w:t>
      </w:r>
      <w:r>
        <w:t xml:space="preserve"> </w:t>
      </w:r>
      <w:r w:rsidRPr="00CC14BF">
        <w:t>smluvního</w:t>
      </w:r>
      <w:r>
        <w:t xml:space="preserve"> </w:t>
      </w:r>
      <w:r w:rsidRPr="00CC14BF">
        <w:t>státu</w:t>
      </w:r>
      <w:r>
        <w:t xml:space="preserve"> </w:t>
      </w:r>
      <w:r w:rsidRPr="00CC14BF">
        <w:t>Dohody</w:t>
      </w:r>
      <w:r>
        <w:t xml:space="preserve"> </w:t>
      </w:r>
      <w:r w:rsidRPr="00CC14BF">
        <w:t>o</w:t>
      </w:r>
      <w:r>
        <w:t xml:space="preserve"> </w:t>
      </w:r>
      <w:r w:rsidRPr="00CC14BF">
        <w:t>Evropském</w:t>
      </w:r>
      <w:r>
        <w:t xml:space="preserve"> </w:t>
      </w:r>
      <w:r w:rsidRPr="00CC14BF">
        <w:t>hospodářském</w:t>
      </w:r>
      <w:r>
        <w:t xml:space="preserve"> </w:t>
      </w:r>
      <w:r w:rsidRPr="00CC14BF">
        <w:t>prostoru</w:t>
      </w:r>
      <w:r>
        <w:t xml:space="preserve"> </w:t>
      </w:r>
      <w:r w:rsidRPr="00CC14BF">
        <w:t>(dále</w:t>
      </w:r>
      <w:r>
        <w:t xml:space="preserve"> </w:t>
      </w:r>
      <w:r w:rsidRPr="00CC14BF">
        <w:t>jen</w:t>
      </w:r>
      <w:r>
        <w:t xml:space="preserve"> </w:t>
      </w:r>
      <w:r w:rsidRPr="00CC14BF">
        <w:t>"členský</w:t>
      </w:r>
      <w:r>
        <w:t xml:space="preserve"> </w:t>
      </w:r>
      <w:r w:rsidRPr="00CC14BF">
        <w:t>stát")</w:t>
      </w:r>
      <w:r>
        <w:t xml:space="preserve"> </w:t>
      </w:r>
      <w:r w:rsidRPr="00CC14BF">
        <w:t>nebo</w:t>
      </w:r>
      <w:r>
        <w:t xml:space="preserve"> </w:t>
      </w:r>
      <w:r w:rsidRPr="00CC14BF">
        <w:t>jeho</w:t>
      </w:r>
      <w:r>
        <w:t xml:space="preserve"> </w:t>
      </w:r>
      <w:r w:rsidRPr="00CC14BF">
        <w:t>rodinným</w:t>
      </w:r>
      <w:r>
        <w:t xml:space="preserve"> </w:t>
      </w:r>
      <w:r w:rsidRPr="00CC14BF">
        <w:t>příslušníkem,</w:t>
      </w:r>
      <w:r>
        <w:t xml:space="preserve"> </w:t>
      </w:r>
      <w:r w:rsidRPr="00CC14BF">
        <w:t>též</w:t>
      </w:r>
      <w:r>
        <w:t xml:space="preserve"> </w:t>
      </w:r>
      <w:r w:rsidRPr="00CC14BF">
        <w:t>místo</w:t>
      </w:r>
      <w:r>
        <w:t xml:space="preserve"> </w:t>
      </w:r>
      <w:r w:rsidRPr="00CC14BF">
        <w:t>trvalého</w:t>
      </w:r>
      <w:r>
        <w:t xml:space="preserve"> </w:t>
      </w:r>
      <w:r w:rsidRPr="00CC14BF">
        <w:t>nebo</w:t>
      </w:r>
      <w:r>
        <w:t xml:space="preserve"> </w:t>
      </w:r>
      <w:r w:rsidRPr="00CC14BF">
        <w:t>dlouhodobého</w:t>
      </w:r>
      <w:r>
        <w:t xml:space="preserve"> </w:t>
      </w:r>
      <w:r w:rsidRPr="00CC14BF">
        <w:t>pobytu</w:t>
      </w:r>
      <w:r>
        <w:t xml:space="preserve"> </w:t>
      </w:r>
      <w:r w:rsidRPr="00CC14BF">
        <w:t>v</w:t>
      </w:r>
      <w:r>
        <w:t xml:space="preserve"> </w:t>
      </w:r>
      <w:r w:rsidRPr="00CC14BF">
        <w:t>České</w:t>
      </w:r>
      <w:r>
        <w:t xml:space="preserve"> </w:t>
      </w:r>
      <w:r w:rsidRPr="00CC14BF">
        <w:t>republice,</w:t>
      </w:r>
    </w:p>
    <w:p w14:paraId="2660F0CA" w14:textId="77777777" w:rsidR="006A65D9" w:rsidRDefault="006A65D9" w:rsidP="006A65D9">
      <w:pPr>
        <w:pStyle w:val="PZTextbodu"/>
        <w:spacing w:before="0"/>
      </w:pPr>
      <w:r w:rsidRPr="00CC14BF">
        <w:t>2</w:t>
      </w:r>
      <w:r>
        <w:t>.</w:t>
      </w:r>
      <w:r>
        <w:tab/>
      </w:r>
      <w:r w:rsidRPr="00CC14BF">
        <w:t>u</w:t>
      </w:r>
      <w:r>
        <w:t xml:space="preserve"> </w:t>
      </w:r>
      <w:r w:rsidRPr="00CC14BF">
        <w:t>právnické</w:t>
      </w:r>
      <w:r>
        <w:t xml:space="preserve"> </w:t>
      </w:r>
      <w:r w:rsidRPr="00CC14BF">
        <w:t>osoby</w:t>
      </w:r>
      <w:r>
        <w:t xml:space="preserve"> </w:t>
      </w:r>
      <w:r w:rsidRPr="00CC14BF">
        <w:t>obchodní</w:t>
      </w:r>
      <w:r>
        <w:t xml:space="preserve"> </w:t>
      </w:r>
      <w:r w:rsidRPr="00CC14BF">
        <w:t>firma</w:t>
      </w:r>
      <w:r>
        <w:t xml:space="preserve"> </w:t>
      </w:r>
      <w:r w:rsidRPr="00CC14BF">
        <w:t>nebo</w:t>
      </w:r>
      <w:r>
        <w:t xml:space="preserve"> </w:t>
      </w:r>
      <w:r w:rsidRPr="00CC14BF">
        <w:t>název,</w:t>
      </w:r>
      <w:r>
        <w:t xml:space="preserve"> </w:t>
      </w:r>
      <w:r w:rsidRPr="00CC14BF">
        <w:t>její</w:t>
      </w:r>
      <w:r>
        <w:t xml:space="preserve"> </w:t>
      </w:r>
      <w:r w:rsidRPr="00CC14BF">
        <w:t>sídlo,</w:t>
      </w:r>
      <w:r>
        <w:t xml:space="preserve"> </w:t>
      </w:r>
      <w:r w:rsidRPr="00CC14BF">
        <w:t>identifikační</w:t>
      </w:r>
      <w:r>
        <w:t xml:space="preserve"> </w:t>
      </w:r>
      <w:r w:rsidRPr="00CC14BF">
        <w:t>číslo,</w:t>
      </w:r>
      <w:r>
        <w:t xml:space="preserve"> </w:t>
      </w:r>
      <w:r w:rsidRPr="00CC14BF">
        <w:t>bylo-li</w:t>
      </w:r>
      <w:r>
        <w:t xml:space="preserve"> </w:t>
      </w:r>
      <w:r w:rsidRPr="00CC14BF">
        <w:t>jí</w:t>
      </w:r>
      <w:r>
        <w:t xml:space="preserve"> </w:t>
      </w:r>
      <w:r w:rsidRPr="00CC14BF">
        <w:t>přiděleno;</w:t>
      </w:r>
      <w:r>
        <w:t xml:space="preserve"> </w:t>
      </w:r>
      <w:r w:rsidRPr="00CC14BF">
        <w:t>u</w:t>
      </w:r>
      <w:r>
        <w:t xml:space="preserve"> </w:t>
      </w:r>
      <w:r w:rsidRPr="00CC14BF">
        <w:t>právnické</w:t>
      </w:r>
      <w:r>
        <w:t xml:space="preserve"> </w:t>
      </w:r>
      <w:r w:rsidRPr="00CC14BF">
        <w:t>osoby</w:t>
      </w:r>
      <w:r>
        <w:t xml:space="preserve"> </w:t>
      </w:r>
      <w:r w:rsidRPr="00CC14BF">
        <w:t>se</w:t>
      </w:r>
      <w:r>
        <w:t xml:space="preserve"> </w:t>
      </w:r>
      <w:r w:rsidRPr="00CC14BF">
        <w:t>sídlem</w:t>
      </w:r>
      <w:r>
        <w:t xml:space="preserve"> </w:t>
      </w:r>
      <w:r w:rsidRPr="00CC14BF">
        <w:t>v</w:t>
      </w:r>
      <w:r>
        <w:t xml:space="preserve"> </w:t>
      </w:r>
      <w:r w:rsidRPr="00CC14BF">
        <w:t>třetím</w:t>
      </w:r>
      <w:r>
        <w:t xml:space="preserve"> </w:t>
      </w:r>
      <w:r w:rsidRPr="00CC14BF">
        <w:t>státě</w:t>
      </w:r>
      <w:r>
        <w:t xml:space="preserve"> </w:t>
      </w:r>
      <w:r w:rsidRPr="00CC14BF">
        <w:t>též</w:t>
      </w:r>
      <w:r>
        <w:t xml:space="preserve"> </w:t>
      </w:r>
      <w:r w:rsidRPr="00CC14BF">
        <w:t>adresa</w:t>
      </w:r>
      <w:r>
        <w:t xml:space="preserve"> </w:t>
      </w:r>
      <w:r w:rsidRPr="00CC14BF">
        <w:t>pobočky</w:t>
      </w:r>
      <w:r>
        <w:t xml:space="preserve"> </w:t>
      </w:r>
      <w:r w:rsidRPr="00CC14BF">
        <w:t>obchodního</w:t>
      </w:r>
      <w:r>
        <w:t xml:space="preserve"> </w:t>
      </w:r>
      <w:r w:rsidRPr="00CC14BF">
        <w:t>závodu</w:t>
      </w:r>
      <w:r>
        <w:t xml:space="preserve"> </w:t>
      </w:r>
      <w:r w:rsidRPr="00CC14BF">
        <w:t>umístěné</w:t>
      </w:r>
      <w:r>
        <w:t xml:space="preserve"> </w:t>
      </w:r>
      <w:r w:rsidRPr="00CC14BF">
        <w:t>v</w:t>
      </w:r>
      <w:r>
        <w:t xml:space="preserve"> </w:t>
      </w:r>
      <w:r w:rsidRPr="00CC14BF">
        <w:t>České</w:t>
      </w:r>
      <w:r>
        <w:t xml:space="preserve"> </w:t>
      </w:r>
      <w:r w:rsidRPr="00CC14BF">
        <w:t>republice,</w:t>
      </w:r>
    </w:p>
    <w:p w14:paraId="70024421" w14:textId="77777777" w:rsidR="006A65D9" w:rsidRDefault="006A65D9" w:rsidP="006A65D9">
      <w:pPr>
        <w:pStyle w:val="PZTextpsmene"/>
        <w:spacing w:before="0"/>
      </w:pPr>
      <w:r w:rsidRPr="00CC14BF">
        <w:t>h</w:t>
      </w:r>
      <w:r>
        <w:t>)</w:t>
      </w:r>
      <w:r>
        <w:tab/>
      </w:r>
      <w:r w:rsidRPr="00CC14BF">
        <w:t>pracovníkem</w:t>
      </w:r>
      <w:r>
        <w:t xml:space="preserve"> </w:t>
      </w:r>
      <w:r w:rsidRPr="00CC14BF">
        <w:t>osoba,</w:t>
      </w:r>
      <w:r>
        <w:t xml:space="preserve"> </w:t>
      </w:r>
      <w:r w:rsidRPr="00CC14BF">
        <w:t>která</w:t>
      </w:r>
      <w:r>
        <w:t xml:space="preserve"> </w:t>
      </w:r>
      <w:r w:rsidRPr="00CC14BF">
        <w:t>je</w:t>
      </w:r>
      <w:r>
        <w:t xml:space="preserve"> </w:t>
      </w:r>
      <w:r w:rsidRPr="00CC14BF">
        <w:t>s</w:t>
      </w:r>
      <w:r>
        <w:t xml:space="preserve"> </w:t>
      </w:r>
      <w:r w:rsidRPr="00CC14BF">
        <w:t>poskytovatelem</w:t>
      </w:r>
      <w:r>
        <w:t xml:space="preserve"> </w:t>
      </w:r>
      <w:r w:rsidRPr="00CC14BF">
        <w:t>nebo</w:t>
      </w:r>
      <w:r>
        <w:t xml:space="preserve"> </w:t>
      </w:r>
      <w:r w:rsidRPr="00CC14BF">
        <w:t>zprostředkovatelem</w:t>
      </w:r>
      <w:r>
        <w:t xml:space="preserve"> </w:t>
      </w:r>
      <w:r w:rsidRPr="00CC14BF">
        <w:t>spotřebitelského</w:t>
      </w:r>
      <w:r>
        <w:t xml:space="preserve"> </w:t>
      </w:r>
      <w:r w:rsidRPr="00CC14BF">
        <w:t>úvěru</w:t>
      </w:r>
      <w:r>
        <w:t xml:space="preserve"> </w:t>
      </w:r>
      <w:r w:rsidRPr="00CC14BF">
        <w:t>v</w:t>
      </w:r>
      <w:r>
        <w:t xml:space="preserve"> </w:t>
      </w:r>
      <w:r w:rsidRPr="00CC14BF">
        <w:t>pracovněprávním</w:t>
      </w:r>
      <w:r>
        <w:t xml:space="preserve"> </w:t>
      </w:r>
      <w:r w:rsidRPr="00CC14BF">
        <w:t>vztahu,</w:t>
      </w:r>
      <w:r>
        <w:t xml:space="preserve"> </w:t>
      </w:r>
      <w:r w:rsidRPr="00CC14BF">
        <w:t>anebo</w:t>
      </w:r>
      <w:r>
        <w:t xml:space="preserve"> </w:t>
      </w:r>
      <w:r w:rsidRPr="00CC14BF">
        <w:t>člen</w:t>
      </w:r>
      <w:r>
        <w:t xml:space="preserve"> </w:t>
      </w:r>
      <w:r w:rsidRPr="00CC14BF">
        <w:t>statutárního</w:t>
      </w:r>
      <w:r>
        <w:t xml:space="preserve"> </w:t>
      </w:r>
      <w:r w:rsidRPr="00CC14BF">
        <w:t>orgánu</w:t>
      </w:r>
      <w:r>
        <w:t xml:space="preserve"> </w:t>
      </w:r>
      <w:r w:rsidRPr="00CC14BF">
        <w:t>nebo</w:t>
      </w:r>
      <w:r>
        <w:t xml:space="preserve"> </w:t>
      </w:r>
      <w:r w:rsidRPr="00CC14BF">
        <w:t>správní</w:t>
      </w:r>
      <w:r>
        <w:t xml:space="preserve"> </w:t>
      </w:r>
      <w:r w:rsidRPr="00CC14BF">
        <w:t>rady</w:t>
      </w:r>
      <w:r>
        <w:t xml:space="preserve"> </w:t>
      </w:r>
      <w:r w:rsidRPr="00CC14BF">
        <w:t>poskytovatele</w:t>
      </w:r>
      <w:r>
        <w:t xml:space="preserve"> </w:t>
      </w:r>
      <w:r w:rsidRPr="00CC14BF">
        <w:t>nebo</w:t>
      </w:r>
      <w:r>
        <w:t xml:space="preserve"> </w:t>
      </w:r>
      <w:r w:rsidRPr="00CC14BF">
        <w:t>zprostředkovatele</w:t>
      </w:r>
      <w:r>
        <w:t xml:space="preserve"> </w:t>
      </w:r>
      <w:r w:rsidRPr="00CC14BF">
        <w:t>spotřebitelského</w:t>
      </w:r>
      <w:r>
        <w:t xml:space="preserve"> </w:t>
      </w:r>
      <w:r w:rsidRPr="00CC14BF">
        <w:t>úvěru,</w:t>
      </w:r>
      <w:r>
        <w:t xml:space="preserve"> </w:t>
      </w:r>
      <w:r w:rsidRPr="00CC14BF">
        <w:t>nebo</w:t>
      </w:r>
      <w:r>
        <w:t xml:space="preserve"> </w:t>
      </w:r>
      <w:r w:rsidRPr="00CC14BF">
        <w:t>prokurista,</w:t>
      </w:r>
      <w:r>
        <w:t xml:space="preserve"> </w:t>
      </w:r>
      <w:r w:rsidRPr="00CC14BF">
        <w:t>pokud</w:t>
      </w:r>
      <w:r>
        <w:t xml:space="preserve"> </w:t>
      </w:r>
      <w:r w:rsidRPr="00CC14BF">
        <w:t>se</w:t>
      </w:r>
      <w:r>
        <w:t xml:space="preserve"> </w:t>
      </w:r>
      <w:r w:rsidRPr="00CC14BF">
        <w:t>přímo</w:t>
      </w:r>
      <w:r>
        <w:t xml:space="preserve"> </w:t>
      </w:r>
      <w:r w:rsidRPr="00CC14BF">
        <w:t>podílejí</w:t>
      </w:r>
      <w:r>
        <w:t xml:space="preserve"> </w:t>
      </w:r>
      <w:r w:rsidRPr="00CC14BF">
        <w:t>na</w:t>
      </w:r>
      <w:r>
        <w:t xml:space="preserve"> </w:t>
      </w:r>
      <w:r w:rsidRPr="00CC14BF">
        <w:t>poskytování</w:t>
      </w:r>
      <w:r>
        <w:t xml:space="preserve"> </w:t>
      </w:r>
      <w:r w:rsidRPr="00CC14BF">
        <w:t>nebo</w:t>
      </w:r>
      <w:r>
        <w:t xml:space="preserve"> </w:t>
      </w:r>
      <w:r w:rsidRPr="00CC14BF">
        <w:t>zprostředkování</w:t>
      </w:r>
      <w:r>
        <w:t xml:space="preserve"> </w:t>
      </w:r>
      <w:r w:rsidRPr="00CC14BF">
        <w:t>spotřebitelského</w:t>
      </w:r>
      <w:r>
        <w:t xml:space="preserve"> </w:t>
      </w:r>
      <w:r w:rsidRPr="00CC14BF">
        <w:t>úvěru,</w:t>
      </w:r>
      <w:r>
        <w:t xml:space="preserve"> </w:t>
      </w:r>
      <w:r w:rsidRPr="00CC14BF">
        <w:t>nebo</w:t>
      </w:r>
      <w:r>
        <w:t xml:space="preserve"> </w:t>
      </w:r>
      <w:r w:rsidRPr="00CC14BF">
        <w:t>jsou</w:t>
      </w:r>
      <w:r>
        <w:t xml:space="preserve"> </w:t>
      </w:r>
      <w:r w:rsidRPr="00CC14BF">
        <w:t>za</w:t>
      </w:r>
      <w:r>
        <w:t xml:space="preserve"> </w:t>
      </w:r>
      <w:r w:rsidRPr="00CC14BF">
        <w:t>poskytování</w:t>
      </w:r>
      <w:r>
        <w:t xml:space="preserve"> </w:t>
      </w:r>
      <w:r w:rsidRPr="00CC14BF">
        <w:t>nebo</w:t>
      </w:r>
      <w:r>
        <w:t xml:space="preserve"> </w:t>
      </w:r>
      <w:r w:rsidRPr="00CC14BF">
        <w:t>zprostředkování</w:t>
      </w:r>
      <w:r>
        <w:t xml:space="preserve"> </w:t>
      </w:r>
      <w:r w:rsidRPr="00CC14BF">
        <w:t>spotřebitelského</w:t>
      </w:r>
      <w:r>
        <w:t xml:space="preserve"> </w:t>
      </w:r>
      <w:r w:rsidRPr="00CC14BF">
        <w:t>úvěru</w:t>
      </w:r>
      <w:r>
        <w:t xml:space="preserve"> </w:t>
      </w:r>
      <w:r w:rsidRPr="00CC14BF">
        <w:t>zodpovědní,</w:t>
      </w:r>
    </w:p>
    <w:p w14:paraId="21FCA285" w14:textId="77777777" w:rsidR="006A65D9" w:rsidRDefault="006A65D9" w:rsidP="006A65D9">
      <w:pPr>
        <w:pStyle w:val="PZTextpsmene"/>
        <w:spacing w:before="0"/>
      </w:pPr>
      <w:r w:rsidRPr="00CC14BF">
        <w:t>i</w:t>
      </w:r>
      <w:r>
        <w:t>)</w:t>
      </w:r>
      <w:r>
        <w:tab/>
      </w:r>
      <w:r w:rsidRPr="00CC14BF">
        <w:t>skupinou</w:t>
      </w:r>
      <w:r>
        <w:t xml:space="preserve"> </w:t>
      </w:r>
      <w:r w:rsidRPr="00CC14BF">
        <w:t>odbornosti</w:t>
      </w:r>
      <w:r>
        <w:t xml:space="preserve"> </w:t>
      </w:r>
      <w:r w:rsidRPr="00CC14BF">
        <w:t>poskytování</w:t>
      </w:r>
      <w:r>
        <w:t xml:space="preserve"> </w:t>
      </w:r>
      <w:r w:rsidRPr="00CC14BF">
        <w:t>nebo</w:t>
      </w:r>
      <w:r>
        <w:t xml:space="preserve"> </w:t>
      </w:r>
      <w:r w:rsidRPr="00CC14BF">
        <w:t>zprostředkování</w:t>
      </w:r>
    </w:p>
    <w:p w14:paraId="73F39DF5" w14:textId="77777777" w:rsidR="006A65D9" w:rsidRDefault="006A65D9" w:rsidP="006A65D9">
      <w:pPr>
        <w:pStyle w:val="PZTextbodu"/>
        <w:spacing w:before="0"/>
      </w:pPr>
      <w:r w:rsidRPr="00CC14BF">
        <w:t>1</w:t>
      </w:r>
      <w:r>
        <w:t>.</w:t>
      </w:r>
      <w:r>
        <w:tab/>
      </w:r>
      <w:r w:rsidRPr="00CC14BF">
        <w:t>spotřebitelského</w:t>
      </w:r>
      <w:r>
        <w:t xml:space="preserve"> </w:t>
      </w:r>
      <w:r w:rsidRPr="00CC14BF">
        <w:t>úvěru</w:t>
      </w:r>
      <w:r>
        <w:t xml:space="preserve"> </w:t>
      </w:r>
      <w:r w:rsidRPr="00CC14BF">
        <w:t>jiného</w:t>
      </w:r>
      <w:r>
        <w:t xml:space="preserve"> </w:t>
      </w:r>
      <w:r w:rsidRPr="00CC14BF">
        <w:t>než</w:t>
      </w:r>
      <w:r>
        <w:t xml:space="preserve"> </w:t>
      </w:r>
      <w:r w:rsidRPr="00CC14BF">
        <w:t>na</w:t>
      </w:r>
      <w:r>
        <w:t xml:space="preserve"> </w:t>
      </w:r>
      <w:r w:rsidRPr="00CC14BF">
        <w:t>bydlení,</w:t>
      </w:r>
    </w:p>
    <w:p w14:paraId="63FFB172" w14:textId="77777777" w:rsidR="006A65D9" w:rsidRDefault="006A65D9" w:rsidP="006A65D9">
      <w:pPr>
        <w:pStyle w:val="PZTextbodu"/>
        <w:spacing w:before="0"/>
      </w:pPr>
      <w:r w:rsidRPr="00CC14BF">
        <w:t>2</w:t>
      </w:r>
      <w:r>
        <w:t>.</w:t>
      </w:r>
      <w:r>
        <w:tab/>
      </w:r>
      <w:r w:rsidRPr="00CC14BF">
        <w:t>vázaného</w:t>
      </w:r>
      <w:r>
        <w:t xml:space="preserve"> </w:t>
      </w:r>
      <w:r w:rsidRPr="00CC14BF">
        <w:t>spotřebitelského</w:t>
      </w:r>
      <w:r>
        <w:t xml:space="preserve"> </w:t>
      </w:r>
      <w:r w:rsidRPr="00CC14BF">
        <w:t>úvěru,</w:t>
      </w:r>
      <w:r>
        <w:t xml:space="preserve"> </w:t>
      </w:r>
      <w:r w:rsidRPr="00CC14BF">
        <w:t>nebo</w:t>
      </w:r>
    </w:p>
    <w:p w14:paraId="63473C8D" w14:textId="77777777" w:rsidR="006A65D9" w:rsidRDefault="006A65D9" w:rsidP="006A65D9">
      <w:pPr>
        <w:pStyle w:val="PZTextbodu"/>
        <w:spacing w:before="0"/>
      </w:pPr>
      <w:r w:rsidRPr="00CC14BF">
        <w:t>3</w:t>
      </w:r>
      <w:r>
        <w:t>.</w:t>
      </w:r>
      <w:r>
        <w:tab/>
      </w:r>
      <w:r w:rsidRPr="00CC14BF">
        <w:t>spotřebitelského</w:t>
      </w:r>
      <w:r>
        <w:t xml:space="preserve"> </w:t>
      </w:r>
      <w:r w:rsidRPr="00CC14BF">
        <w:t>úvěru</w:t>
      </w:r>
      <w:r>
        <w:t xml:space="preserve"> </w:t>
      </w:r>
      <w:r w:rsidRPr="00CC14BF">
        <w:t>na</w:t>
      </w:r>
      <w:r>
        <w:t xml:space="preserve"> </w:t>
      </w:r>
      <w:r w:rsidRPr="00CC14BF">
        <w:t>bydlení,</w:t>
      </w:r>
    </w:p>
    <w:p w14:paraId="3EEADAC5" w14:textId="77777777" w:rsidR="006A65D9" w:rsidRDefault="006A65D9" w:rsidP="006A65D9">
      <w:pPr>
        <w:pStyle w:val="PZTextpsmene"/>
        <w:spacing w:before="0"/>
      </w:pPr>
      <w:r w:rsidRPr="00CC14BF">
        <w:t>j</w:t>
      </w:r>
      <w:r>
        <w:t>)</w:t>
      </w:r>
      <w:r>
        <w:tab/>
      </w:r>
      <w:r w:rsidRPr="00CC14BF">
        <w:t>kapitálem</w:t>
      </w:r>
      <w:r>
        <w:t xml:space="preserve"> </w:t>
      </w:r>
      <w:r w:rsidRPr="00CC14BF">
        <w:t>nebankovního</w:t>
      </w:r>
      <w:r>
        <w:t xml:space="preserve"> </w:t>
      </w:r>
      <w:r w:rsidRPr="00CC14BF">
        <w:t>poskytovatele</w:t>
      </w:r>
      <w:r>
        <w:t xml:space="preserve"> </w:t>
      </w:r>
      <w:r w:rsidRPr="00CC14BF">
        <w:t>spotřebitelského</w:t>
      </w:r>
      <w:r>
        <w:t xml:space="preserve"> </w:t>
      </w:r>
      <w:r w:rsidRPr="00CC14BF">
        <w:t>úvěru</w:t>
      </w:r>
      <w:r>
        <w:t xml:space="preserve"> </w:t>
      </w:r>
      <w:r w:rsidRPr="00CC14BF">
        <w:t>vlastní</w:t>
      </w:r>
      <w:r>
        <w:t xml:space="preserve"> </w:t>
      </w:r>
      <w:r w:rsidRPr="00CC14BF">
        <w:t>kapitál</w:t>
      </w:r>
      <w:r>
        <w:t xml:space="preserve"> </w:t>
      </w:r>
      <w:r w:rsidRPr="00CC14BF">
        <w:t>snížený</w:t>
      </w:r>
      <w:r>
        <w:t xml:space="preserve"> </w:t>
      </w:r>
      <w:r w:rsidRPr="00CC14BF">
        <w:t>o</w:t>
      </w:r>
      <w:r>
        <w:t xml:space="preserve"> </w:t>
      </w:r>
      <w:r w:rsidRPr="00CC14BF">
        <w:t>pohledávky</w:t>
      </w:r>
      <w:r>
        <w:t xml:space="preserve"> </w:t>
      </w:r>
      <w:r w:rsidRPr="00CC14BF">
        <w:t>z</w:t>
      </w:r>
      <w:r>
        <w:t xml:space="preserve"> </w:t>
      </w:r>
      <w:r w:rsidRPr="00CC14BF">
        <w:t>nesplaceného</w:t>
      </w:r>
      <w:r>
        <w:t xml:space="preserve"> </w:t>
      </w:r>
      <w:r w:rsidRPr="00CC14BF">
        <w:t>základního</w:t>
      </w:r>
      <w:r>
        <w:t xml:space="preserve"> </w:t>
      </w:r>
      <w:r w:rsidRPr="00CC14BF">
        <w:t>kapitálu,</w:t>
      </w:r>
      <w:r>
        <w:t xml:space="preserve"> </w:t>
      </w:r>
      <w:r w:rsidRPr="00CC14BF">
        <w:t>o</w:t>
      </w:r>
      <w:r>
        <w:t xml:space="preserve"> </w:t>
      </w:r>
      <w:r w:rsidRPr="00CC14BF">
        <w:t>pohledávky</w:t>
      </w:r>
      <w:r>
        <w:t xml:space="preserve"> </w:t>
      </w:r>
      <w:r w:rsidRPr="00CC14BF">
        <w:t>z</w:t>
      </w:r>
      <w:r>
        <w:t xml:space="preserve"> </w:t>
      </w:r>
      <w:r w:rsidRPr="00CC14BF">
        <w:t>nesplaceného</w:t>
      </w:r>
      <w:r>
        <w:t xml:space="preserve"> </w:t>
      </w:r>
      <w:r w:rsidRPr="00CC14BF">
        <w:t>emisního</w:t>
      </w:r>
      <w:r>
        <w:t xml:space="preserve"> </w:t>
      </w:r>
      <w:r w:rsidRPr="00CC14BF">
        <w:t>ážia</w:t>
      </w:r>
      <w:r>
        <w:t xml:space="preserve"> </w:t>
      </w:r>
      <w:r w:rsidRPr="00CC14BF">
        <w:t>a</w:t>
      </w:r>
      <w:r>
        <w:t xml:space="preserve"> </w:t>
      </w:r>
      <w:r w:rsidRPr="00CC14BF">
        <w:t>o</w:t>
      </w:r>
      <w:r>
        <w:t xml:space="preserve"> </w:t>
      </w:r>
      <w:r w:rsidRPr="00CC14BF">
        <w:t>pohledávky</w:t>
      </w:r>
      <w:r>
        <w:t xml:space="preserve"> </w:t>
      </w:r>
      <w:r w:rsidRPr="00CC14BF">
        <w:t>z</w:t>
      </w:r>
      <w:r>
        <w:t xml:space="preserve"> </w:t>
      </w:r>
      <w:r w:rsidRPr="00CC14BF">
        <w:t>nesplacených</w:t>
      </w:r>
      <w:r>
        <w:t xml:space="preserve"> </w:t>
      </w:r>
      <w:r w:rsidRPr="00CC14BF">
        <w:t>příplatků</w:t>
      </w:r>
      <w:r>
        <w:t xml:space="preserve"> </w:t>
      </w:r>
      <w:r w:rsidRPr="00CC14BF">
        <w:t>do</w:t>
      </w:r>
      <w:r>
        <w:t xml:space="preserve"> </w:t>
      </w:r>
      <w:r w:rsidRPr="00CC14BF">
        <w:t>fondů,</w:t>
      </w:r>
    </w:p>
    <w:p w14:paraId="52D78079" w14:textId="77777777" w:rsidR="006A65D9" w:rsidRDefault="006A65D9" w:rsidP="006A65D9">
      <w:pPr>
        <w:pStyle w:val="PZTextpsmene"/>
        <w:spacing w:before="0"/>
      </w:pPr>
      <w:r w:rsidRPr="00CC14BF">
        <w:t>k</w:t>
      </w:r>
      <w:r>
        <w:t>)</w:t>
      </w:r>
      <w:r>
        <w:tab/>
      </w:r>
      <w:r w:rsidRPr="00CC14BF">
        <w:t>počátečním</w:t>
      </w:r>
      <w:r>
        <w:t xml:space="preserve"> </w:t>
      </w:r>
      <w:r w:rsidRPr="00CC14BF">
        <w:t>kapitálem</w:t>
      </w:r>
      <w:r>
        <w:t xml:space="preserve"> </w:t>
      </w:r>
      <w:r w:rsidRPr="00CC14BF">
        <w:t>součet</w:t>
      </w:r>
    </w:p>
    <w:p w14:paraId="306871AF" w14:textId="77777777" w:rsidR="006A65D9" w:rsidRDefault="006A65D9" w:rsidP="006A65D9">
      <w:pPr>
        <w:pStyle w:val="PZTextbodu"/>
        <w:spacing w:before="0"/>
      </w:pPr>
      <w:r w:rsidRPr="00CC14BF">
        <w:t>1</w:t>
      </w:r>
      <w:r>
        <w:t>.</w:t>
      </w:r>
      <w:r>
        <w:tab/>
      </w:r>
      <w:r w:rsidRPr="00CC14BF">
        <w:t>splaceného</w:t>
      </w:r>
      <w:r>
        <w:t xml:space="preserve"> </w:t>
      </w:r>
      <w:r w:rsidRPr="00CC14BF">
        <w:t>základního</w:t>
      </w:r>
      <w:r>
        <w:t xml:space="preserve"> </w:t>
      </w:r>
      <w:r w:rsidRPr="00CC14BF">
        <w:t>kapitálu,</w:t>
      </w:r>
    </w:p>
    <w:p w14:paraId="31DE043E" w14:textId="77777777" w:rsidR="006A65D9" w:rsidRDefault="006A65D9" w:rsidP="006A65D9">
      <w:pPr>
        <w:pStyle w:val="PZTextbodu"/>
        <w:spacing w:before="0"/>
      </w:pPr>
      <w:r w:rsidRPr="00CC14BF">
        <w:t>2</w:t>
      </w:r>
      <w:r>
        <w:t>.</w:t>
      </w:r>
      <w:r>
        <w:tab/>
      </w:r>
      <w:r w:rsidRPr="00CC14BF">
        <w:t>splaceného</w:t>
      </w:r>
      <w:r>
        <w:t xml:space="preserve"> </w:t>
      </w:r>
      <w:r w:rsidRPr="00CC14BF">
        <w:t>emisního</w:t>
      </w:r>
      <w:r>
        <w:t xml:space="preserve"> </w:t>
      </w:r>
      <w:r w:rsidRPr="00CC14BF">
        <w:t>ážia,</w:t>
      </w:r>
    </w:p>
    <w:p w14:paraId="2D5584CF" w14:textId="77777777" w:rsidR="006A65D9" w:rsidRDefault="006A65D9" w:rsidP="006A65D9">
      <w:pPr>
        <w:pStyle w:val="PZTextbodu"/>
        <w:spacing w:before="0"/>
      </w:pPr>
      <w:r w:rsidRPr="00CC14BF">
        <w:t>3</w:t>
      </w:r>
      <w:r>
        <w:t>.</w:t>
      </w:r>
      <w:r>
        <w:tab/>
      </w:r>
      <w:r w:rsidRPr="00CC14BF">
        <w:t>povinných</w:t>
      </w:r>
      <w:r>
        <w:t xml:space="preserve"> </w:t>
      </w:r>
      <w:r w:rsidRPr="00CC14BF">
        <w:t>rezervních</w:t>
      </w:r>
      <w:r>
        <w:t xml:space="preserve"> </w:t>
      </w:r>
      <w:r w:rsidRPr="00CC14BF">
        <w:t>fondů,</w:t>
      </w:r>
    </w:p>
    <w:p w14:paraId="44D4BB36" w14:textId="77777777" w:rsidR="006A65D9" w:rsidRDefault="006A65D9" w:rsidP="006A65D9">
      <w:pPr>
        <w:pStyle w:val="PZTextbodu"/>
        <w:spacing w:before="0"/>
      </w:pPr>
      <w:r w:rsidRPr="00CC14BF">
        <w:t>4</w:t>
      </w:r>
      <w:r>
        <w:t>.</w:t>
      </w:r>
      <w:r>
        <w:tab/>
      </w:r>
      <w:r w:rsidRPr="00CC14BF">
        <w:t>ostatních</w:t>
      </w:r>
      <w:r>
        <w:t xml:space="preserve"> </w:t>
      </w:r>
      <w:r w:rsidRPr="00CC14BF">
        <w:t>fondů</w:t>
      </w:r>
      <w:r>
        <w:t xml:space="preserve"> </w:t>
      </w:r>
      <w:r w:rsidRPr="00CC14BF">
        <w:t>vytvořených</w:t>
      </w:r>
      <w:r>
        <w:t xml:space="preserve"> </w:t>
      </w:r>
      <w:r w:rsidRPr="00CC14BF">
        <w:t>z</w:t>
      </w:r>
      <w:r>
        <w:t xml:space="preserve"> </w:t>
      </w:r>
      <w:r w:rsidRPr="00CC14BF">
        <w:t>rozdělení</w:t>
      </w:r>
      <w:r>
        <w:t xml:space="preserve"> </w:t>
      </w:r>
      <w:r w:rsidRPr="00CC14BF">
        <w:t>zisku,</w:t>
      </w:r>
      <w:r>
        <w:t xml:space="preserve"> </w:t>
      </w:r>
      <w:r w:rsidRPr="00CC14BF">
        <w:t>které</w:t>
      </w:r>
      <w:r>
        <w:t xml:space="preserve"> </w:t>
      </w:r>
      <w:r w:rsidRPr="00CC14BF">
        <w:t>lze</w:t>
      </w:r>
      <w:r>
        <w:t xml:space="preserve"> </w:t>
      </w:r>
      <w:r w:rsidRPr="00CC14BF">
        <w:t>použít</w:t>
      </w:r>
      <w:r>
        <w:t xml:space="preserve"> </w:t>
      </w:r>
      <w:r w:rsidRPr="00CC14BF">
        <w:t>výhradně</w:t>
      </w:r>
      <w:r>
        <w:t xml:space="preserve"> </w:t>
      </w:r>
      <w:r w:rsidRPr="00CC14BF">
        <w:t>k</w:t>
      </w:r>
      <w:r>
        <w:t xml:space="preserve"> </w:t>
      </w:r>
      <w:r w:rsidRPr="00CC14BF">
        <w:t>úhradě</w:t>
      </w:r>
      <w:r>
        <w:t xml:space="preserve"> </w:t>
      </w:r>
      <w:r w:rsidRPr="00CC14BF">
        <w:t>ztráty</w:t>
      </w:r>
      <w:r>
        <w:t xml:space="preserve"> </w:t>
      </w:r>
      <w:r w:rsidRPr="00CC14BF">
        <w:t>uvedené</w:t>
      </w:r>
      <w:r>
        <w:t xml:space="preserve"> </w:t>
      </w:r>
      <w:r w:rsidRPr="00CC14BF">
        <w:t>v</w:t>
      </w:r>
      <w:r>
        <w:t xml:space="preserve"> </w:t>
      </w:r>
      <w:r w:rsidRPr="00CC14BF">
        <w:t>účetní</w:t>
      </w:r>
      <w:r>
        <w:t xml:space="preserve"> </w:t>
      </w:r>
      <w:r w:rsidRPr="00CC14BF">
        <w:t>závěrce,</w:t>
      </w:r>
      <w:r>
        <w:t xml:space="preserve"> </w:t>
      </w:r>
      <w:r w:rsidRPr="00CC14BF">
        <w:t>a</w:t>
      </w:r>
    </w:p>
    <w:p w14:paraId="301EE16E" w14:textId="77777777" w:rsidR="006A65D9" w:rsidRDefault="006A65D9" w:rsidP="006A65D9">
      <w:pPr>
        <w:pStyle w:val="PZTextbodu"/>
        <w:spacing w:before="0"/>
      </w:pPr>
      <w:r w:rsidRPr="00CC14BF">
        <w:t>5</w:t>
      </w:r>
      <w:r>
        <w:t>.</w:t>
      </w:r>
      <w:r>
        <w:tab/>
      </w:r>
      <w:r w:rsidRPr="00CC14BF">
        <w:t>rozdílu</w:t>
      </w:r>
      <w:r>
        <w:t xml:space="preserve"> </w:t>
      </w:r>
      <w:r w:rsidRPr="00CC14BF">
        <w:t>nerozděleného</w:t>
      </w:r>
      <w:r>
        <w:t xml:space="preserve"> </w:t>
      </w:r>
      <w:r w:rsidRPr="00CC14BF">
        <w:t>zisku</w:t>
      </w:r>
      <w:r>
        <w:t xml:space="preserve"> </w:t>
      </w:r>
      <w:r w:rsidRPr="00CC14BF">
        <w:t>z</w:t>
      </w:r>
      <w:r>
        <w:t xml:space="preserve"> </w:t>
      </w:r>
      <w:r w:rsidRPr="00CC14BF">
        <w:t>předchozích</w:t>
      </w:r>
      <w:r>
        <w:t xml:space="preserve"> </w:t>
      </w:r>
      <w:r w:rsidRPr="00CC14BF">
        <w:t>období,</w:t>
      </w:r>
      <w:r>
        <w:t xml:space="preserve"> </w:t>
      </w:r>
      <w:r w:rsidRPr="00CC14BF">
        <w:t>uvedeného</w:t>
      </w:r>
      <w:r>
        <w:t xml:space="preserve"> </w:t>
      </w:r>
      <w:r w:rsidRPr="00CC14BF">
        <w:t>v</w:t>
      </w:r>
      <w:r>
        <w:t xml:space="preserve"> </w:t>
      </w:r>
      <w:r w:rsidRPr="00B61578">
        <w:rPr>
          <w:b/>
        </w:rPr>
        <w:t>řádné individuální</w:t>
      </w:r>
      <w:r w:rsidRPr="00B61578">
        <w:t xml:space="preserve"> </w:t>
      </w:r>
      <w:r w:rsidRPr="00CC14BF">
        <w:t>účetní</w:t>
      </w:r>
      <w:r>
        <w:t xml:space="preserve"> </w:t>
      </w:r>
      <w:r w:rsidRPr="00CC14BF">
        <w:t>závěrce</w:t>
      </w:r>
      <w:r>
        <w:t xml:space="preserve"> </w:t>
      </w:r>
      <w:r w:rsidRPr="00CC14BF">
        <w:t>ověřené</w:t>
      </w:r>
      <w:r>
        <w:t xml:space="preserve"> </w:t>
      </w:r>
      <w:r w:rsidRPr="00CC14BF">
        <w:t>auditorem</w:t>
      </w:r>
      <w:r>
        <w:t xml:space="preserve"> </w:t>
      </w:r>
      <w:r w:rsidRPr="00CC14BF">
        <w:t>a</w:t>
      </w:r>
      <w:r>
        <w:t xml:space="preserve"> </w:t>
      </w:r>
      <w:r w:rsidRPr="00CC14BF">
        <w:t>schválené</w:t>
      </w:r>
      <w:r>
        <w:t xml:space="preserve"> </w:t>
      </w:r>
      <w:r w:rsidRPr="00CC14BF">
        <w:t>příslušným</w:t>
      </w:r>
      <w:r>
        <w:t xml:space="preserve"> </w:t>
      </w:r>
      <w:r w:rsidRPr="00CC14BF">
        <w:t>orgánem</w:t>
      </w:r>
      <w:r>
        <w:t xml:space="preserve"> </w:t>
      </w:r>
      <w:r w:rsidRPr="00CC14BF">
        <w:t>právnické</w:t>
      </w:r>
      <w:r>
        <w:t xml:space="preserve"> </w:t>
      </w:r>
      <w:r w:rsidRPr="00CC14BF">
        <w:t>osoby,</w:t>
      </w:r>
      <w:r>
        <w:t xml:space="preserve"> </w:t>
      </w:r>
      <w:r w:rsidRPr="00CC14BF">
        <w:t>o</w:t>
      </w:r>
      <w:r>
        <w:t xml:space="preserve"> </w:t>
      </w:r>
      <w:r w:rsidRPr="00CC14BF">
        <w:t>jehož</w:t>
      </w:r>
      <w:r>
        <w:t xml:space="preserve"> </w:t>
      </w:r>
      <w:r w:rsidRPr="00CC14BF">
        <w:t>rozdělení</w:t>
      </w:r>
      <w:r>
        <w:t xml:space="preserve"> </w:t>
      </w:r>
      <w:r w:rsidRPr="00CC14BF">
        <w:t>příslušný</w:t>
      </w:r>
      <w:r>
        <w:t xml:space="preserve"> </w:t>
      </w:r>
      <w:r w:rsidRPr="00CC14BF">
        <w:t>orgán</w:t>
      </w:r>
      <w:r>
        <w:t xml:space="preserve"> </w:t>
      </w:r>
      <w:r w:rsidRPr="00CC14BF">
        <w:t>právnické</w:t>
      </w:r>
      <w:r>
        <w:t xml:space="preserve"> </w:t>
      </w:r>
      <w:r w:rsidRPr="00CC14BF">
        <w:t>osoby</w:t>
      </w:r>
      <w:r>
        <w:t xml:space="preserve"> </w:t>
      </w:r>
      <w:r w:rsidRPr="00CC14BF">
        <w:t>nerozhodl,</w:t>
      </w:r>
      <w:r>
        <w:t xml:space="preserve"> </w:t>
      </w:r>
      <w:r w:rsidRPr="00CC14BF">
        <w:t>a</w:t>
      </w:r>
      <w:r>
        <w:t xml:space="preserve"> </w:t>
      </w:r>
      <w:r w:rsidRPr="00CC14BF">
        <w:t>neuhrazené</w:t>
      </w:r>
      <w:r>
        <w:t xml:space="preserve"> </w:t>
      </w:r>
      <w:r w:rsidRPr="00CC14BF">
        <w:t>ztráty</w:t>
      </w:r>
      <w:r>
        <w:t xml:space="preserve"> </w:t>
      </w:r>
      <w:r w:rsidRPr="00CC14BF">
        <w:t>z</w:t>
      </w:r>
      <w:r>
        <w:t xml:space="preserve"> </w:t>
      </w:r>
      <w:r w:rsidRPr="00CC14BF">
        <w:t>předchozích</w:t>
      </w:r>
      <w:r>
        <w:t xml:space="preserve"> </w:t>
      </w:r>
      <w:r w:rsidRPr="00CC14BF">
        <w:t>období</w:t>
      </w:r>
      <w:r>
        <w:t xml:space="preserve"> </w:t>
      </w:r>
      <w:r w:rsidRPr="00CC14BF">
        <w:t>včetně</w:t>
      </w:r>
      <w:r>
        <w:t xml:space="preserve"> </w:t>
      </w:r>
      <w:r w:rsidRPr="00CC14BF">
        <w:t>ztráty</w:t>
      </w:r>
      <w:r>
        <w:t xml:space="preserve"> </w:t>
      </w:r>
      <w:r w:rsidRPr="00CC14BF">
        <w:t>za</w:t>
      </w:r>
      <w:r>
        <w:t xml:space="preserve"> </w:t>
      </w:r>
      <w:r w:rsidRPr="00CC14BF">
        <w:t>minulá</w:t>
      </w:r>
      <w:r>
        <w:t xml:space="preserve"> </w:t>
      </w:r>
      <w:r w:rsidRPr="00CC14BF">
        <w:t>účetní</w:t>
      </w:r>
      <w:r>
        <w:t xml:space="preserve"> </w:t>
      </w:r>
      <w:r w:rsidRPr="00CC14BF">
        <w:t>období,</w:t>
      </w:r>
    </w:p>
    <w:p w14:paraId="2BBB187F" w14:textId="77777777" w:rsidR="006A65D9" w:rsidRDefault="006A65D9" w:rsidP="006A65D9">
      <w:pPr>
        <w:pStyle w:val="PZTextpsmene"/>
        <w:spacing w:before="0"/>
      </w:pPr>
      <w:r w:rsidRPr="00CC14BF">
        <w:t>l</w:t>
      </w:r>
      <w:r>
        <w:t>)</w:t>
      </w:r>
      <w:r>
        <w:tab/>
      </w:r>
      <w:r w:rsidRPr="00CC14BF">
        <w:t>zahraničním</w:t>
      </w:r>
      <w:r>
        <w:t xml:space="preserve"> </w:t>
      </w:r>
      <w:r w:rsidRPr="00CC14BF">
        <w:t>zprostředkovatelem</w:t>
      </w:r>
      <w:r>
        <w:t xml:space="preserve"> </w:t>
      </w:r>
      <w:r w:rsidRPr="00CC14BF">
        <w:t>zprostředkovatel</w:t>
      </w:r>
      <w:r>
        <w:t xml:space="preserve"> </w:t>
      </w:r>
      <w:r w:rsidRPr="00CC14BF">
        <w:t>s</w:t>
      </w:r>
      <w:r>
        <w:t xml:space="preserve"> </w:t>
      </w:r>
      <w:r w:rsidRPr="00CC14BF">
        <w:t>domovským</w:t>
      </w:r>
      <w:r>
        <w:t xml:space="preserve"> </w:t>
      </w:r>
      <w:r w:rsidRPr="00CC14BF">
        <w:t>členským</w:t>
      </w:r>
      <w:r>
        <w:t xml:space="preserve"> </w:t>
      </w:r>
      <w:r w:rsidRPr="00CC14BF">
        <w:t>státem</w:t>
      </w:r>
      <w:r>
        <w:t xml:space="preserve"> </w:t>
      </w:r>
      <w:r w:rsidRPr="00CC14BF">
        <w:t>jiným</w:t>
      </w:r>
      <w:r>
        <w:t xml:space="preserve"> </w:t>
      </w:r>
      <w:r w:rsidRPr="00CC14BF">
        <w:t>než</w:t>
      </w:r>
      <w:r>
        <w:t xml:space="preserve"> </w:t>
      </w:r>
      <w:r w:rsidRPr="00CC14BF">
        <w:t>Česká</w:t>
      </w:r>
      <w:r>
        <w:t xml:space="preserve"> </w:t>
      </w:r>
      <w:r w:rsidRPr="00CC14BF">
        <w:t>republika,</w:t>
      </w:r>
      <w:r>
        <w:t xml:space="preserve"> </w:t>
      </w:r>
      <w:r w:rsidRPr="00CC14BF">
        <w:t>který</w:t>
      </w:r>
      <w:r>
        <w:t xml:space="preserve"> </w:t>
      </w:r>
      <w:r w:rsidRPr="00CC14BF">
        <w:t>je</w:t>
      </w:r>
      <w:r>
        <w:t xml:space="preserve"> </w:t>
      </w:r>
      <w:r w:rsidRPr="00CC14BF">
        <w:t>oprávněn</w:t>
      </w:r>
      <w:r>
        <w:t xml:space="preserve"> </w:t>
      </w:r>
      <w:r w:rsidRPr="00CC14BF">
        <w:t>zprostředkovávat</w:t>
      </w:r>
      <w:r>
        <w:t xml:space="preserve"> </w:t>
      </w:r>
      <w:r w:rsidRPr="00CC14BF">
        <w:t>spotřebitelský</w:t>
      </w:r>
      <w:r>
        <w:t xml:space="preserve"> </w:t>
      </w:r>
      <w:r w:rsidRPr="00CC14BF">
        <w:t>úvěr</w:t>
      </w:r>
      <w:r>
        <w:t xml:space="preserve"> </w:t>
      </w:r>
      <w:r w:rsidRPr="00CC14BF">
        <w:t>na</w:t>
      </w:r>
      <w:r>
        <w:t xml:space="preserve"> </w:t>
      </w:r>
      <w:r w:rsidRPr="00CC14BF">
        <w:t>bydlení,</w:t>
      </w:r>
    </w:p>
    <w:p w14:paraId="43A78A51" w14:textId="77777777" w:rsidR="006A65D9" w:rsidRDefault="006A65D9" w:rsidP="006A65D9">
      <w:pPr>
        <w:pStyle w:val="PZTextpsmene"/>
        <w:spacing w:before="0"/>
      </w:pPr>
      <w:r w:rsidRPr="00CC14BF">
        <w:t>m</w:t>
      </w:r>
      <w:r>
        <w:t>)</w:t>
      </w:r>
      <w:r>
        <w:tab/>
      </w:r>
      <w:r w:rsidRPr="00CC14BF">
        <w:t>domovským</w:t>
      </w:r>
      <w:r>
        <w:t xml:space="preserve"> </w:t>
      </w:r>
      <w:r w:rsidRPr="00CC14BF">
        <w:t>členským</w:t>
      </w:r>
      <w:r>
        <w:t xml:space="preserve"> </w:t>
      </w:r>
      <w:r w:rsidRPr="00CC14BF">
        <w:t>státem</w:t>
      </w:r>
      <w:r>
        <w:t xml:space="preserve"> </w:t>
      </w:r>
      <w:r w:rsidRPr="00CC14BF">
        <w:t>členský</w:t>
      </w:r>
      <w:r>
        <w:t xml:space="preserve"> </w:t>
      </w:r>
      <w:r w:rsidRPr="00CC14BF">
        <w:t>stát,</w:t>
      </w:r>
      <w:r>
        <w:t xml:space="preserve"> </w:t>
      </w:r>
      <w:r w:rsidRPr="00CC14BF">
        <w:t>ve</w:t>
      </w:r>
      <w:r>
        <w:t xml:space="preserve"> </w:t>
      </w:r>
      <w:r w:rsidRPr="00CC14BF">
        <w:t>kterém</w:t>
      </w:r>
      <w:r>
        <w:t xml:space="preserve"> </w:t>
      </w:r>
      <w:r w:rsidRPr="00CC14BF">
        <w:t>má</w:t>
      </w:r>
      <w:r>
        <w:t xml:space="preserve"> </w:t>
      </w:r>
      <w:r w:rsidRPr="00CC14BF">
        <w:t>zprostředkovatel,</w:t>
      </w:r>
      <w:r>
        <w:t xml:space="preserve"> </w:t>
      </w:r>
      <w:r w:rsidRPr="00CC14BF">
        <w:t>který</w:t>
      </w:r>
      <w:r>
        <w:t xml:space="preserve"> </w:t>
      </w:r>
      <w:r w:rsidRPr="00CC14BF">
        <w:t>je</w:t>
      </w:r>
      <w:r>
        <w:t xml:space="preserve"> </w:t>
      </w:r>
      <w:r w:rsidRPr="00CC14BF">
        <w:t>oprávněn</w:t>
      </w:r>
      <w:r>
        <w:t xml:space="preserve"> </w:t>
      </w:r>
      <w:r w:rsidRPr="00CC14BF">
        <w:t>zprostředkovávat</w:t>
      </w:r>
      <w:r>
        <w:t xml:space="preserve"> </w:t>
      </w:r>
      <w:r w:rsidRPr="00CC14BF">
        <w:t>spotřebitelský</w:t>
      </w:r>
      <w:r>
        <w:t xml:space="preserve"> </w:t>
      </w:r>
      <w:r w:rsidRPr="00CC14BF">
        <w:t>úvěr</w:t>
      </w:r>
      <w:r>
        <w:t xml:space="preserve"> </w:t>
      </w:r>
      <w:r w:rsidRPr="00CC14BF">
        <w:t>na</w:t>
      </w:r>
      <w:r>
        <w:t xml:space="preserve"> </w:t>
      </w:r>
      <w:r w:rsidRPr="00CC14BF">
        <w:t>bydlení,</w:t>
      </w:r>
      <w:r>
        <w:t xml:space="preserve"> </w:t>
      </w:r>
      <w:r w:rsidRPr="00CC14BF">
        <w:t>své</w:t>
      </w:r>
      <w:r>
        <w:t xml:space="preserve"> </w:t>
      </w:r>
      <w:r w:rsidRPr="00CC14BF">
        <w:t>sídlo</w:t>
      </w:r>
      <w:r>
        <w:t xml:space="preserve"> </w:t>
      </w:r>
      <w:r w:rsidRPr="00CC14BF">
        <w:t>nebo</w:t>
      </w:r>
      <w:r>
        <w:t xml:space="preserve"> </w:t>
      </w:r>
      <w:r w:rsidRPr="00CC14BF">
        <w:t>skutečné</w:t>
      </w:r>
      <w:r>
        <w:t xml:space="preserve"> </w:t>
      </w:r>
      <w:r w:rsidRPr="00CC14BF">
        <w:t>sídlo,</w:t>
      </w:r>
    </w:p>
    <w:p w14:paraId="0D721886" w14:textId="77777777" w:rsidR="006A65D9" w:rsidRDefault="006A65D9" w:rsidP="006A65D9">
      <w:pPr>
        <w:pStyle w:val="PZTextpsmene"/>
        <w:spacing w:before="0"/>
      </w:pPr>
      <w:r w:rsidRPr="00CC14BF">
        <w:t>n</w:t>
      </w:r>
      <w:r>
        <w:t>)</w:t>
      </w:r>
      <w:r>
        <w:tab/>
      </w:r>
      <w:r w:rsidRPr="00CC14BF">
        <w:t>hostitelským</w:t>
      </w:r>
      <w:r>
        <w:t xml:space="preserve"> </w:t>
      </w:r>
      <w:r w:rsidRPr="00CC14BF">
        <w:t>členským</w:t>
      </w:r>
      <w:r>
        <w:t xml:space="preserve"> </w:t>
      </w:r>
      <w:r w:rsidRPr="00CC14BF">
        <w:t>státem</w:t>
      </w:r>
      <w:r>
        <w:t xml:space="preserve"> </w:t>
      </w:r>
      <w:r w:rsidRPr="00CC14BF">
        <w:t>členský</w:t>
      </w:r>
      <w:r>
        <w:t xml:space="preserve"> </w:t>
      </w:r>
      <w:r w:rsidRPr="00CC14BF">
        <w:t>stát</w:t>
      </w:r>
      <w:r>
        <w:t xml:space="preserve"> </w:t>
      </w:r>
      <w:r w:rsidRPr="00CC14BF">
        <w:t>odlišný</w:t>
      </w:r>
      <w:r>
        <w:t xml:space="preserve"> </w:t>
      </w:r>
      <w:r w:rsidRPr="00CC14BF">
        <w:t>od</w:t>
      </w:r>
      <w:r>
        <w:t xml:space="preserve"> </w:t>
      </w:r>
      <w:r w:rsidRPr="00CC14BF">
        <w:t>domovského</w:t>
      </w:r>
      <w:r>
        <w:t xml:space="preserve"> </w:t>
      </w:r>
      <w:r w:rsidRPr="00CC14BF">
        <w:t>členského</w:t>
      </w:r>
      <w:r>
        <w:t xml:space="preserve"> </w:t>
      </w:r>
      <w:r w:rsidRPr="00CC14BF">
        <w:t>státu,</w:t>
      </w:r>
      <w:r>
        <w:t xml:space="preserve"> </w:t>
      </w:r>
      <w:r w:rsidRPr="00CC14BF">
        <w:t>ve</w:t>
      </w:r>
      <w:r>
        <w:t xml:space="preserve"> </w:t>
      </w:r>
      <w:r w:rsidRPr="00CC14BF">
        <w:t>kterém</w:t>
      </w:r>
      <w:r>
        <w:t xml:space="preserve"> </w:t>
      </w:r>
      <w:r w:rsidRPr="00CC14BF">
        <w:t>zprostředkovatel</w:t>
      </w:r>
      <w:r>
        <w:t xml:space="preserve"> </w:t>
      </w:r>
      <w:r w:rsidRPr="00CC14BF">
        <w:t>spotřebitelského</w:t>
      </w:r>
      <w:r>
        <w:t xml:space="preserve"> </w:t>
      </w:r>
      <w:r w:rsidRPr="00CC14BF">
        <w:t>úvěru</w:t>
      </w:r>
      <w:r>
        <w:t xml:space="preserve"> </w:t>
      </w:r>
      <w:r w:rsidRPr="00CC14BF">
        <w:t>na</w:t>
      </w:r>
      <w:r>
        <w:t xml:space="preserve"> </w:t>
      </w:r>
      <w:r w:rsidRPr="00CC14BF">
        <w:t>bydlení</w:t>
      </w:r>
      <w:r>
        <w:t xml:space="preserve"> </w:t>
      </w:r>
      <w:r w:rsidRPr="00CC14BF">
        <w:t>má</w:t>
      </w:r>
      <w:r>
        <w:t xml:space="preserve"> </w:t>
      </w:r>
      <w:r w:rsidRPr="00CC14BF">
        <w:t>pobočku,</w:t>
      </w:r>
      <w:r>
        <w:t xml:space="preserve"> </w:t>
      </w:r>
      <w:r w:rsidRPr="00CC14BF">
        <w:t>nebo</w:t>
      </w:r>
      <w:r>
        <w:t xml:space="preserve"> </w:t>
      </w:r>
      <w:r w:rsidRPr="00CC14BF">
        <w:t>ve</w:t>
      </w:r>
      <w:r>
        <w:t xml:space="preserve"> </w:t>
      </w:r>
      <w:r w:rsidRPr="00CC14BF">
        <w:t>kterém</w:t>
      </w:r>
      <w:r>
        <w:t xml:space="preserve"> </w:t>
      </w:r>
      <w:r w:rsidRPr="00CC14BF">
        <w:t>dočasně</w:t>
      </w:r>
      <w:r>
        <w:t xml:space="preserve"> </w:t>
      </w:r>
      <w:r w:rsidRPr="00CC14BF">
        <w:t>jinak</w:t>
      </w:r>
      <w:r>
        <w:t xml:space="preserve"> </w:t>
      </w:r>
      <w:r w:rsidRPr="00CC14BF">
        <w:t>zprostředkovává</w:t>
      </w:r>
      <w:r>
        <w:t xml:space="preserve"> </w:t>
      </w:r>
      <w:r w:rsidRPr="00CC14BF">
        <w:t>spotřebitelský</w:t>
      </w:r>
      <w:r>
        <w:t xml:space="preserve"> </w:t>
      </w:r>
      <w:r w:rsidRPr="00CC14BF">
        <w:t>úvěr</w:t>
      </w:r>
      <w:r>
        <w:t xml:space="preserve"> </w:t>
      </w:r>
      <w:r w:rsidRPr="00CC14BF">
        <w:t>na</w:t>
      </w:r>
      <w:r>
        <w:t xml:space="preserve"> </w:t>
      </w:r>
      <w:r w:rsidRPr="00CC14BF">
        <w:t>bydlení,</w:t>
      </w:r>
    </w:p>
    <w:p w14:paraId="6D239103" w14:textId="77777777" w:rsidR="006A65D9" w:rsidRDefault="006A65D9" w:rsidP="006A65D9">
      <w:pPr>
        <w:pStyle w:val="PZTextpsmene"/>
        <w:spacing w:before="0"/>
      </w:pPr>
      <w:r w:rsidRPr="00CC14BF">
        <w:t>o</w:t>
      </w:r>
      <w:r>
        <w:t>)</w:t>
      </w:r>
      <w:r>
        <w:tab/>
      </w:r>
      <w:r w:rsidRPr="00CC14BF">
        <w:t>příslušným</w:t>
      </w:r>
      <w:r>
        <w:t xml:space="preserve"> </w:t>
      </w:r>
      <w:r w:rsidRPr="00CC14BF">
        <w:t>orgánem</w:t>
      </w:r>
      <w:r>
        <w:t xml:space="preserve"> </w:t>
      </w:r>
      <w:r w:rsidRPr="00CC14BF">
        <w:t>dohledu</w:t>
      </w:r>
      <w:r>
        <w:t xml:space="preserve"> </w:t>
      </w:r>
      <w:r w:rsidRPr="00CC14BF">
        <w:t>orgán</w:t>
      </w:r>
      <w:r>
        <w:t xml:space="preserve"> </w:t>
      </w:r>
      <w:r w:rsidRPr="00CC14BF">
        <w:t>jiného</w:t>
      </w:r>
      <w:r>
        <w:t xml:space="preserve"> </w:t>
      </w:r>
      <w:r w:rsidRPr="00CC14BF">
        <w:t>členského</w:t>
      </w:r>
      <w:r>
        <w:t xml:space="preserve"> </w:t>
      </w:r>
      <w:r w:rsidRPr="00CC14BF">
        <w:t>státu,</w:t>
      </w:r>
      <w:r>
        <w:t xml:space="preserve"> </w:t>
      </w:r>
      <w:r w:rsidRPr="00CC14BF">
        <w:t>který</w:t>
      </w:r>
      <w:r>
        <w:t xml:space="preserve"> </w:t>
      </w:r>
      <w:r w:rsidRPr="00CC14BF">
        <w:t>je</w:t>
      </w:r>
      <w:r>
        <w:t xml:space="preserve"> </w:t>
      </w:r>
      <w:r w:rsidRPr="00CC14BF">
        <w:t>oprávněn</w:t>
      </w:r>
      <w:r>
        <w:t xml:space="preserve"> </w:t>
      </w:r>
      <w:r w:rsidRPr="00CC14BF">
        <w:t>vykonávat</w:t>
      </w:r>
      <w:r>
        <w:t xml:space="preserve"> </w:t>
      </w:r>
      <w:r w:rsidRPr="00CC14BF">
        <w:t>dohled</w:t>
      </w:r>
      <w:r>
        <w:t xml:space="preserve"> </w:t>
      </w:r>
      <w:r w:rsidRPr="00CC14BF">
        <w:t>nad</w:t>
      </w:r>
      <w:r>
        <w:t xml:space="preserve"> </w:t>
      </w:r>
      <w:r w:rsidRPr="00CC14BF">
        <w:t>zprostředkováním</w:t>
      </w:r>
      <w:r>
        <w:t xml:space="preserve"> </w:t>
      </w:r>
      <w:r w:rsidRPr="00CC14BF">
        <w:t>spotřebitelského</w:t>
      </w:r>
      <w:r>
        <w:t xml:space="preserve"> </w:t>
      </w:r>
      <w:r w:rsidRPr="00CC14BF">
        <w:t>úvěru</w:t>
      </w:r>
      <w:r>
        <w:t xml:space="preserve"> </w:t>
      </w:r>
      <w:r w:rsidRPr="00CC14BF">
        <w:t>na</w:t>
      </w:r>
      <w:r>
        <w:t xml:space="preserve"> </w:t>
      </w:r>
      <w:r w:rsidRPr="00CC14BF">
        <w:t>bydlení</w:t>
      </w:r>
      <w:r>
        <w:t xml:space="preserve"> </w:t>
      </w:r>
      <w:r w:rsidRPr="00CC14BF">
        <w:t>a</w:t>
      </w:r>
      <w:r>
        <w:t xml:space="preserve"> </w:t>
      </w:r>
      <w:r w:rsidRPr="00CC14BF">
        <w:t>který</w:t>
      </w:r>
      <w:r>
        <w:t xml:space="preserve"> </w:t>
      </w:r>
      <w:r w:rsidRPr="00CC14BF">
        <w:t>byl</w:t>
      </w:r>
      <w:r>
        <w:t xml:space="preserve"> </w:t>
      </w:r>
      <w:r w:rsidRPr="00CC14BF">
        <w:t>jako</w:t>
      </w:r>
      <w:r>
        <w:t xml:space="preserve"> </w:t>
      </w:r>
      <w:r w:rsidRPr="00CC14BF">
        <w:t>příslušný</w:t>
      </w:r>
      <w:r>
        <w:t xml:space="preserve"> </w:t>
      </w:r>
      <w:r w:rsidRPr="00CC14BF">
        <w:t>orgán</w:t>
      </w:r>
      <w:r>
        <w:t xml:space="preserve"> </w:t>
      </w:r>
      <w:r w:rsidRPr="00CC14BF">
        <w:t>oznámen</w:t>
      </w:r>
      <w:r>
        <w:t xml:space="preserve"> </w:t>
      </w:r>
      <w:r w:rsidRPr="00CC14BF">
        <w:t>Evropské</w:t>
      </w:r>
      <w:r>
        <w:t xml:space="preserve"> </w:t>
      </w:r>
      <w:r w:rsidRPr="00CC14BF">
        <w:t>komisi.</w:t>
      </w:r>
    </w:p>
    <w:p w14:paraId="087F131C" w14:textId="77777777" w:rsidR="006A65D9" w:rsidRDefault="006A65D9" w:rsidP="006A65D9">
      <w:pPr>
        <w:pStyle w:val="PZTextodstavce"/>
        <w:spacing w:before="240"/>
      </w:pPr>
      <w:r w:rsidRPr="00CC14BF">
        <w:t>(2</w:t>
      </w:r>
      <w:r>
        <w:t>)</w:t>
      </w:r>
      <w:r>
        <w:tab/>
      </w:r>
      <w:r w:rsidRPr="00CC14BF">
        <w:t>Pro</w:t>
      </w:r>
      <w:r>
        <w:t xml:space="preserve"> </w:t>
      </w:r>
      <w:r w:rsidRPr="00CC14BF">
        <w:t>účely</w:t>
      </w:r>
      <w:r>
        <w:t xml:space="preserve"> </w:t>
      </w:r>
      <w:r w:rsidRPr="00CC14BF">
        <w:t>tohoto</w:t>
      </w:r>
      <w:r>
        <w:t xml:space="preserve"> </w:t>
      </w:r>
      <w:r w:rsidRPr="00CC14BF">
        <w:t>zákona</w:t>
      </w:r>
      <w:r>
        <w:t xml:space="preserve"> </w:t>
      </w:r>
      <w:r w:rsidRPr="00CC14BF">
        <w:t>se</w:t>
      </w:r>
      <w:r>
        <w:t xml:space="preserve"> </w:t>
      </w:r>
      <w:r w:rsidRPr="00CC14BF">
        <w:t>rozumí</w:t>
      </w:r>
    </w:p>
    <w:p w14:paraId="0E0CC5C2" w14:textId="77777777" w:rsidR="006A65D9" w:rsidRDefault="006A65D9" w:rsidP="006A65D9">
      <w:pPr>
        <w:pStyle w:val="PZTextpsmene"/>
        <w:spacing w:before="0"/>
      </w:pPr>
      <w:r w:rsidRPr="00CC14BF">
        <w:t>a</w:t>
      </w:r>
      <w:r>
        <w:t>)</w:t>
      </w:r>
      <w:r>
        <w:tab/>
      </w:r>
      <w:r w:rsidRPr="00CC14BF">
        <w:t>věřitelem</w:t>
      </w:r>
      <w:r>
        <w:t xml:space="preserve"> </w:t>
      </w:r>
      <w:r w:rsidRPr="00CC14BF">
        <w:t>poskytovatel</w:t>
      </w:r>
      <w:r>
        <w:t xml:space="preserve"> </w:t>
      </w:r>
      <w:r w:rsidRPr="00CC14BF">
        <w:t>nebo</w:t>
      </w:r>
      <w:r>
        <w:t xml:space="preserve"> </w:t>
      </w:r>
      <w:r w:rsidRPr="00CC14BF">
        <w:t>osoba,</w:t>
      </w:r>
      <w:r>
        <w:t xml:space="preserve"> </w:t>
      </w:r>
      <w:r w:rsidRPr="00CC14BF">
        <w:t>která</w:t>
      </w:r>
      <w:r>
        <w:t xml:space="preserve"> </w:t>
      </w:r>
      <w:r w:rsidRPr="00CC14BF">
        <w:t>nabyla</w:t>
      </w:r>
      <w:r>
        <w:t xml:space="preserve"> </w:t>
      </w:r>
      <w:r w:rsidRPr="00CC14BF">
        <w:t>pohledávku</w:t>
      </w:r>
      <w:r>
        <w:t xml:space="preserve"> </w:t>
      </w:r>
      <w:r w:rsidRPr="00CC14BF">
        <w:t>za</w:t>
      </w:r>
      <w:r>
        <w:t xml:space="preserve"> </w:t>
      </w:r>
      <w:r w:rsidRPr="00CC14BF">
        <w:t>spotřebitelem</w:t>
      </w:r>
      <w:r>
        <w:t xml:space="preserve"> </w:t>
      </w:r>
      <w:r w:rsidRPr="00CC14BF">
        <w:t>ze</w:t>
      </w:r>
      <w:r>
        <w:t xml:space="preserve"> </w:t>
      </w:r>
      <w:r w:rsidRPr="00CC14BF">
        <w:t>smlouvy</w:t>
      </w:r>
      <w:r>
        <w:t xml:space="preserve"> </w:t>
      </w:r>
      <w:r w:rsidRPr="00CC14BF">
        <w:t>o</w:t>
      </w:r>
      <w:r>
        <w:t xml:space="preserve"> </w:t>
      </w:r>
      <w:r w:rsidRPr="00CC14BF">
        <w:t>spotřebitelském</w:t>
      </w:r>
      <w:r>
        <w:t xml:space="preserve"> </w:t>
      </w:r>
      <w:r w:rsidRPr="00CC14BF">
        <w:t>úvěru,</w:t>
      </w:r>
    </w:p>
    <w:p w14:paraId="1B0B59E1" w14:textId="77777777" w:rsidR="006A65D9" w:rsidRDefault="006A65D9" w:rsidP="006A65D9">
      <w:pPr>
        <w:pStyle w:val="PZTextpsmene"/>
        <w:spacing w:before="0"/>
      </w:pPr>
      <w:r w:rsidRPr="00CC14BF">
        <w:t>b</w:t>
      </w:r>
      <w:r>
        <w:t>)</w:t>
      </w:r>
      <w:r>
        <w:tab/>
      </w:r>
      <w:r w:rsidRPr="00CC14BF">
        <w:t>roční</w:t>
      </w:r>
      <w:r>
        <w:t xml:space="preserve"> </w:t>
      </w:r>
      <w:r w:rsidRPr="00CC14BF">
        <w:t>procentní</w:t>
      </w:r>
      <w:r>
        <w:t xml:space="preserve"> </w:t>
      </w:r>
      <w:r w:rsidRPr="00CC14BF">
        <w:t>sazbou</w:t>
      </w:r>
      <w:r>
        <w:t xml:space="preserve"> </w:t>
      </w:r>
      <w:r w:rsidRPr="00CC14BF">
        <w:t>nákladů</w:t>
      </w:r>
      <w:r>
        <w:t xml:space="preserve"> </w:t>
      </w:r>
      <w:r w:rsidRPr="00CC14BF">
        <w:t>celkové</w:t>
      </w:r>
      <w:r>
        <w:t xml:space="preserve"> </w:t>
      </w:r>
      <w:r w:rsidRPr="00CC14BF">
        <w:t>náklady</w:t>
      </w:r>
      <w:r>
        <w:t xml:space="preserve"> </w:t>
      </w:r>
      <w:r w:rsidRPr="00CC14BF">
        <w:t>spotřebitelského</w:t>
      </w:r>
      <w:r>
        <w:t xml:space="preserve"> </w:t>
      </w:r>
      <w:r w:rsidRPr="00CC14BF">
        <w:t>úvěru</w:t>
      </w:r>
      <w:r>
        <w:t xml:space="preserve"> </w:t>
      </w:r>
      <w:r w:rsidRPr="00CC14BF">
        <w:t>vyjádřené</w:t>
      </w:r>
      <w:r>
        <w:t xml:space="preserve"> </w:t>
      </w:r>
      <w:r w:rsidRPr="00CC14BF">
        <w:t>jako</w:t>
      </w:r>
      <w:r>
        <w:t xml:space="preserve"> </w:t>
      </w:r>
      <w:r w:rsidRPr="00CC14BF">
        <w:t>roční</w:t>
      </w:r>
      <w:r>
        <w:t xml:space="preserve"> </w:t>
      </w:r>
      <w:r w:rsidRPr="00CC14BF">
        <w:t>procento</w:t>
      </w:r>
      <w:r>
        <w:t xml:space="preserve"> </w:t>
      </w:r>
      <w:r w:rsidRPr="00CC14BF">
        <w:t>z</w:t>
      </w:r>
      <w:r>
        <w:t xml:space="preserve"> </w:t>
      </w:r>
      <w:r w:rsidRPr="00CC14BF">
        <w:t>celkové</w:t>
      </w:r>
      <w:r>
        <w:t xml:space="preserve"> </w:t>
      </w:r>
      <w:r w:rsidRPr="00CC14BF">
        <w:t>výše</w:t>
      </w:r>
      <w:r>
        <w:t xml:space="preserve"> </w:t>
      </w:r>
      <w:r w:rsidRPr="00CC14BF">
        <w:t>spotřebitelského</w:t>
      </w:r>
      <w:r>
        <w:t xml:space="preserve"> </w:t>
      </w:r>
      <w:r w:rsidRPr="00CC14BF">
        <w:t>úvěru,</w:t>
      </w:r>
      <w:r>
        <w:t xml:space="preserve"> </w:t>
      </w:r>
      <w:r w:rsidRPr="00CC14BF">
        <w:t>které</w:t>
      </w:r>
      <w:r>
        <w:t xml:space="preserve"> </w:t>
      </w:r>
      <w:r w:rsidRPr="00CC14BF">
        <w:t>se</w:t>
      </w:r>
      <w:r>
        <w:t xml:space="preserve"> </w:t>
      </w:r>
      <w:r w:rsidRPr="00CC14BF">
        <w:t>počítá</w:t>
      </w:r>
      <w:r>
        <w:t xml:space="preserve"> </w:t>
      </w:r>
      <w:r w:rsidRPr="00CC14BF">
        <w:t>podle</w:t>
      </w:r>
      <w:r>
        <w:t xml:space="preserve"> </w:t>
      </w:r>
      <w:r w:rsidRPr="00CC14BF">
        <w:t>vzorce</w:t>
      </w:r>
      <w:r>
        <w:t xml:space="preserve"> </w:t>
      </w:r>
      <w:r w:rsidRPr="00CC14BF">
        <w:t>uvedeného</w:t>
      </w:r>
      <w:r>
        <w:t xml:space="preserve"> </w:t>
      </w:r>
      <w:r w:rsidRPr="00CC14BF">
        <w:t>v</w:t>
      </w:r>
      <w:r>
        <w:t xml:space="preserve"> </w:t>
      </w:r>
      <w:r w:rsidRPr="00CC14BF">
        <w:t>příloze</w:t>
      </w:r>
      <w:r>
        <w:t xml:space="preserve"> </w:t>
      </w:r>
      <w:r w:rsidRPr="00CC14BF">
        <w:t>č.</w:t>
      </w:r>
      <w:r>
        <w:t xml:space="preserve"> </w:t>
      </w:r>
      <w:r w:rsidRPr="00CC14BF">
        <w:t>1</w:t>
      </w:r>
      <w:r>
        <w:t xml:space="preserve"> </w:t>
      </w:r>
      <w:r w:rsidRPr="00CC14BF">
        <w:t>k</w:t>
      </w:r>
      <w:r>
        <w:t xml:space="preserve"> </w:t>
      </w:r>
      <w:r w:rsidRPr="00CC14BF">
        <w:t>tomuto</w:t>
      </w:r>
      <w:r>
        <w:t xml:space="preserve"> </w:t>
      </w:r>
      <w:r w:rsidRPr="00CC14BF">
        <w:t>zákonu,</w:t>
      </w:r>
    </w:p>
    <w:p w14:paraId="1D83BB45" w14:textId="77777777" w:rsidR="006A65D9" w:rsidRDefault="006A65D9" w:rsidP="006A65D9">
      <w:pPr>
        <w:pStyle w:val="PZTextpsmene"/>
        <w:spacing w:before="0"/>
      </w:pPr>
      <w:r w:rsidRPr="00CC14BF">
        <w:lastRenderedPageBreak/>
        <w:t>c</w:t>
      </w:r>
      <w:r>
        <w:t>)</w:t>
      </w:r>
      <w:r>
        <w:tab/>
      </w:r>
      <w:r w:rsidRPr="00CC14BF">
        <w:t>celkovou</w:t>
      </w:r>
      <w:r>
        <w:t xml:space="preserve"> </w:t>
      </w:r>
      <w:r w:rsidRPr="00CC14BF">
        <w:t>částkou,</w:t>
      </w:r>
      <w:r>
        <w:t xml:space="preserve"> </w:t>
      </w:r>
      <w:r w:rsidRPr="00CC14BF">
        <w:t>kterou</w:t>
      </w:r>
      <w:r>
        <w:t xml:space="preserve"> </w:t>
      </w:r>
      <w:r w:rsidRPr="00CC14BF">
        <w:t>má</w:t>
      </w:r>
      <w:r>
        <w:t xml:space="preserve"> </w:t>
      </w:r>
      <w:r w:rsidRPr="00CC14BF">
        <w:t>spotřebitel</w:t>
      </w:r>
      <w:r>
        <w:t xml:space="preserve"> </w:t>
      </w:r>
      <w:r w:rsidRPr="00CC14BF">
        <w:t>zaplatit,</w:t>
      </w:r>
      <w:r>
        <w:t xml:space="preserve"> </w:t>
      </w:r>
      <w:r w:rsidRPr="00CC14BF">
        <w:t>součet</w:t>
      </w:r>
      <w:r>
        <w:t xml:space="preserve"> </w:t>
      </w:r>
      <w:r w:rsidRPr="00CC14BF">
        <w:t>celkové</w:t>
      </w:r>
      <w:r>
        <w:t xml:space="preserve"> </w:t>
      </w:r>
      <w:r w:rsidRPr="00CC14BF">
        <w:t>výše</w:t>
      </w:r>
      <w:r>
        <w:t xml:space="preserve"> </w:t>
      </w:r>
      <w:r w:rsidRPr="00CC14BF">
        <w:t>spotřebitelského</w:t>
      </w:r>
      <w:r>
        <w:t xml:space="preserve"> </w:t>
      </w:r>
      <w:r w:rsidRPr="00CC14BF">
        <w:t>úvěru</w:t>
      </w:r>
      <w:r>
        <w:t xml:space="preserve"> </w:t>
      </w:r>
      <w:r w:rsidRPr="00CC14BF">
        <w:t>a</w:t>
      </w:r>
      <w:r>
        <w:t xml:space="preserve"> </w:t>
      </w:r>
      <w:r w:rsidRPr="00CC14BF">
        <w:t>celkových</w:t>
      </w:r>
      <w:r>
        <w:t xml:space="preserve"> </w:t>
      </w:r>
      <w:r w:rsidRPr="00CC14BF">
        <w:t>nákladů</w:t>
      </w:r>
      <w:r>
        <w:t xml:space="preserve"> </w:t>
      </w:r>
      <w:r w:rsidRPr="00CC14BF">
        <w:t>spotřebitelského</w:t>
      </w:r>
      <w:r>
        <w:t xml:space="preserve"> </w:t>
      </w:r>
      <w:r w:rsidRPr="00CC14BF">
        <w:t>úvěru,</w:t>
      </w:r>
    </w:p>
    <w:p w14:paraId="61B41830" w14:textId="77777777" w:rsidR="006A65D9" w:rsidRDefault="006A65D9" w:rsidP="006A65D9">
      <w:pPr>
        <w:pStyle w:val="PZTextpsmene"/>
        <w:spacing w:before="0"/>
      </w:pPr>
      <w:r w:rsidRPr="00CC14BF">
        <w:t>d</w:t>
      </w:r>
      <w:r>
        <w:t>)</w:t>
      </w:r>
      <w:r>
        <w:tab/>
      </w:r>
      <w:r w:rsidRPr="00CC14BF">
        <w:t>celkovými</w:t>
      </w:r>
      <w:r>
        <w:t xml:space="preserve"> </w:t>
      </w:r>
      <w:r w:rsidRPr="00CC14BF">
        <w:t>náklady</w:t>
      </w:r>
      <w:r>
        <w:t xml:space="preserve"> </w:t>
      </w:r>
      <w:r w:rsidRPr="00CC14BF">
        <w:t>spotřebitelského</w:t>
      </w:r>
      <w:r>
        <w:t xml:space="preserve"> </w:t>
      </w:r>
      <w:r w:rsidRPr="00CC14BF">
        <w:t>úvěru</w:t>
      </w:r>
      <w:r>
        <w:t xml:space="preserve"> </w:t>
      </w:r>
      <w:r w:rsidRPr="00CC14BF">
        <w:t>veškeré</w:t>
      </w:r>
      <w:r>
        <w:t xml:space="preserve"> </w:t>
      </w:r>
      <w:r w:rsidRPr="00CC14BF">
        <w:t>náklady</w:t>
      </w:r>
      <w:r>
        <w:t xml:space="preserve"> </w:t>
      </w:r>
      <w:r w:rsidRPr="00CC14BF">
        <w:t>včetně</w:t>
      </w:r>
      <w:r>
        <w:t xml:space="preserve"> </w:t>
      </w:r>
      <w:r w:rsidRPr="00CC14BF">
        <w:t>úroků,</w:t>
      </w:r>
      <w:r>
        <w:t xml:space="preserve"> </w:t>
      </w:r>
      <w:r w:rsidRPr="00CC14BF">
        <w:t>provizí,</w:t>
      </w:r>
      <w:r>
        <w:t xml:space="preserve"> </w:t>
      </w:r>
      <w:r w:rsidRPr="00CC14BF">
        <w:t>daní,</w:t>
      </w:r>
      <w:r>
        <w:t xml:space="preserve"> </w:t>
      </w:r>
      <w:r w:rsidRPr="00CC14BF">
        <w:t>poplatků</w:t>
      </w:r>
      <w:r>
        <w:t xml:space="preserve"> </w:t>
      </w:r>
      <w:r w:rsidRPr="00CC14BF">
        <w:t>nebo</w:t>
      </w:r>
      <w:r>
        <w:t xml:space="preserve"> </w:t>
      </w:r>
      <w:r w:rsidRPr="00CC14BF">
        <w:t>jiných</w:t>
      </w:r>
      <w:r>
        <w:t xml:space="preserve"> </w:t>
      </w:r>
      <w:r w:rsidRPr="00CC14BF">
        <w:t>obdobných</w:t>
      </w:r>
      <w:r>
        <w:t xml:space="preserve"> </w:t>
      </w:r>
      <w:r w:rsidRPr="00CC14BF">
        <w:t>peněžitých</w:t>
      </w:r>
      <w:r>
        <w:t xml:space="preserve"> </w:t>
      </w:r>
      <w:r w:rsidRPr="00CC14BF">
        <w:t>plnění</w:t>
      </w:r>
      <w:r>
        <w:t xml:space="preserve"> </w:t>
      </w:r>
      <w:r w:rsidRPr="00CC14BF">
        <w:t>a</w:t>
      </w:r>
      <w:r>
        <w:t xml:space="preserve"> </w:t>
      </w:r>
      <w:r w:rsidRPr="00CC14BF">
        <w:t>veškerých</w:t>
      </w:r>
      <w:r>
        <w:t xml:space="preserve"> </w:t>
      </w:r>
      <w:r w:rsidRPr="00CC14BF">
        <w:t>dalších</w:t>
      </w:r>
      <w:r>
        <w:t xml:space="preserve"> </w:t>
      </w:r>
      <w:r w:rsidRPr="00CC14BF">
        <w:t>plateb,</w:t>
      </w:r>
      <w:r>
        <w:t xml:space="preserve"> </w:t>
      </w:r>
      <w:r w:rsidRPr="00CC14BF">
        <w:t>které</w:t>
      </w:r>
      <w:r>
        <w:t xml:space="preserve"> </w:t>
      </w:r>
      <w:r w:rsidRPr="00CC14BF">
        <w:t>spotřebitel</w:t>
      </w:r>
      <w:r>
        <w:t xml:space="preserve"> </w:t>
      </w:r>
      <w:r w:rsidRPr="00CC14BF">
        <w:t>musí</w:t>
      </w:r>
      <w:r>
        <w:t xml:space="preserve"> </w:t>
      </w:r>
      <w:r w:rsidRPr="00CC14BF">
        <w:t>zaplatit</w:t>
      </w:r>
      <w:r>
        <w:t xml:space="preserve"> </w:t>
      </w:r>
      <w:r w:rsidRPr="00CC14BF">
        <w:t>v</w:t>
      </w:r>
      <w:r>
        <w:t xml:space="preserve"> </w:t>
      </w:r>
      <w:r w:rsidRPr="00CC14BF">
        <w:t>souvislosti</w:t>
      </w:r>
      <w:r>
        <w:t xml:space="preserve"> </w:t>
      </w:r>
      <w:r w:rsidRPr="00CC14BF">
        <w:t>se</w:t>
      </w:r>
      <w:r>
        <w:t xml:space="preserve"> </w:t>
      </w:r>
      <w:r w:rsidRPr="00CC14BF">
        <w:t>spotřebitelským</w:t>
      </w:r>
      <w:r>
        <w:t xml:space="preserve"> </w:t>
      </w:r>
      <w:r w:rsidRPr="00CC14BF">
        <w:t>úvěrem</w:t>
      </w:r>
      <w:r>
        <w:t xml:space="preserve"> </w:t>
      </w:r>
      <w:r w:rsidRPr="00CC14BF">
        <w:t>a</w:t>
      </w:r>
      <w:r>
        <w:t xml:space="preserve"> </w:t>
      </w:r>
      <w:r w:rsidRPr="00CC14BF">
        <w:t>které</w:t>
      </w:r>
      <w:r>
        <w:t xml:space="preserve"> </w:t>
      </w:r>
      <w:r w:rsidRPr="00CC14BF">
        <w:t>jsou</w:t>
      </w:r>
      <w:r>
        <w:t xml:space="preserve"> </w:t>
      </w:r>
      <w:r w:rsidRPr="00CC14BF">
        <w:t>poskytovateli</w:t>
      </w:r>
      <w:r>
        <w:t xml:space="preserve"> </w:t>
      </w:r>
      <w:r w:rsidRPr="00CC14BF">
        <w:t>známy,</w:t>
      </w:r>
      <w:r>
        <w:t xml:space="preserve"> </w:t>
      </w:r>
      <w:r w:rsidRPr="00CC14BF">
        <w:t>s</w:t>
      </w:r>
      <w:r>
        <w:t xml:space="preserve"> </w:t>
      </w:r>
      <w:r w:rsidRPr="00CC14BF">
        <w:t>výjimkou</w:t>
      </w:r>
      <w:r>
        <w:t xml:space="preserve"> </w:t>
      </w:r>
      <w:r w:rsidRPr="00CC14BF">
        <w:t>nákladů</w:t>
      </w:r>
      <w:r>
        <w:t xml:space="preserve"> </w:t>
      </w:r>
      <w:r w:rsidRPr="00CC14BF">
        <w:t>na</w:t>
      </w:r>
      <w:r>
        <w:t xml:space="preserve"> </w:t>
      </w:r>
      <w:r w:rsidRPr="00CC14BF">
        <w:t>notáře,</w:t>
      </w:r>
    </w:p>
    <w:p w14:paraId="5510C646" w14:textId="77777777" w:rsidR="006A65D9" w:rsidRDefault="006A65D9" w:rsidP="006A65D9">
      <w:pPr>
        <w:pStyle w:val="PZTextpsmene"/>
        <w:spacing w:before="0"/>
      </w:pPr>
      <w:r w:rsidRPr="00CC14BF">
        <w:t>e</w:t>
      </w:r>
      <w:r>
        <w:t>)</w:t>
      </w:r>
      <w:r>
        <w:tab/>
      </w:r>
      <w:r w:rsidRPr="00CC14BF">
        <w:t>celkovou</w:t>
      </w:r>
      <w:r>
        <w:t xml:space="preserve"> </w:t>
      </w:r>
      <w:r w:rsidRPr="00CC14BF">
        <w:t>výší</w:t>
      </w:r>
      <w:r>
        <w:t xml:space="preserve"> </w:t>
      </w:r>
      <w:r w:rsidRPr="00CC14BF">
        <w:t>spotřebitelského</w:t>
      </w:r>
      <w:r>
        <w:t xml:space="preserve"> </w:t>
      </w:r>
      <w:r w:rsidRPr="00CC14BF">
        <w:t>úvěru</w:t>
      </w:r>
      <w:r>
        <w:t xml:space="preserve"> </w:t>
      </w:r>
      <w:r w:rsidRPr="00CC14BF">
        <w:t>souhrn</w:t>
      </w:r>
      <w:r>
        <w:t xml:space="preserve"> </w:t>
      </w:r>
      <w:r w:rsidRPr="00CC14BF">
        <w:t>všech</w:t>
      </w:r>
      <w:r>
        <w:t xml:space="preserve"> </w:t>
      </w:r>
      <w:r w:rsidRPr="00CC14BF">
        <w:t>částek,</w:t>
      </w:r>
      <w:r>
        <w:t xml:space="preserve"> </w:t>
      </w:r>
      <w:r w:rsidRPr="00CC14BF">
        <w:t>jež</w:t>
      </w:r>
      <w:r>
        <w:t xml:space="preserve"> </w:t>
      </w:r>
      <w:r w:rsidRPr="00CC14BF">
        <w:t>jsou</w:t>
      </w:r>
      <w:r>
        <w:t xml:space="preserve"> </w:t>
      </w:r>
      <w:r w:rsidRPr="00CC14BF">
        <w:t>dány</w:t>
      </w:r>
      <w:r>
        <w:t xml:space="preserve"> </w:t>
      </w:r>
      <w:r w:rsidRPr="00CC14BF">
        <w:t>spotřebiteli</w:t>
      </w:r>
      <w:r>
        <w:t xml:space="preserve"> </w:t>
      </w:r>
      <w:r w:rsidRPr="00CC14BF">
        <w:t>k</w:t>
      </w:r>
      <w:r>
        <w:t xml:space="preserve"> </w:t>
      </w:r>
      <w:r w:rsidRPr="00CC14BF">
        <w:t>dispozici,</w:t>
      </w:r>
    </w:p>
    <w:p w14:paraId="7F93474A" w14:textId="77777777" w:rsidR="006A65D9" w:rsidRDefault="006A65D9" w:rsidP="006A65D9">
      <w:pPr>
        <w:pStyle w:val="PZTextpsmene"/>
        <w:spacing w:before="0"/>
      </w:pPr>
      <w:r w:rsidRPr="00CC14BF">
        <w:t>f</w:t>
      </w:r>
      <w:r>
        <w:t>)</w:t>
      </w:r>
      <w:r>
        <w:tab/>
      </w:r>
      <w:r w:rsidRPr="00CC14BF">
        <w:t>zápůjční</w:t>
      </w:r>
      <w:r>
        <w:t xml:space="preserve"> </w:t>
      </w:r>
      <w:r w:rsidRPr="00CC14BF">
        <w:t>úrokovou</w:t>
      </w:r>
      <w:r>
        <w:t xml:space="preserve"> </w:t>
      </w:r>
      <w:r w:rsidRPr="00CC14BF">
        <w:t>sazbou</w:t>
      </w:r>
      <w:r>
        <w:t xml:space="preserve"> </w:t>
      </w:r>
      <w:r w:rsidRPr="00CC14BF">
        <w:t>úroková</w:t>
      </w:r>
      <w:r>
        <w:t xml:space="preserve"> </w:t>
      </w:r>
      <w:r w:rsidRPr="00CC14BF">
        <w:t>sazba</w:t>
      </w:r>
      <w:r>
        <w:t xml:space="preserve"> </w:t>
      </w:r>
      <w:r w:rsidRPr="00CC14BF">
        <w:t>vyjádřená</w:t>
      </w:r>
      <w:r>
        <w:t xml:space="preserve"> </w:t>
      </w:r>
      <w:r w:rsidRPr="00CC14BF">
        <w:t>jako</w:t>
      </w:r>
      <w:r>
        <w:t xml:space="preserve"> </w:t>
      </w:r>
      <w:r w:rsidRPr="00CC14BF">
        <w:t>pevná</w:t>
      </w:r>
      <w:r>
        <w:t xml:space="preserve"> </w:t>
      </w:r>
      <w:r w:rsidRPr="00CC14BF">
        <w:t>nebo</w:t>
      </w:r>
      <w:r>
        <w:t xml:space="preserve"> </w:t>
      </w:r>
      <w:r w:rsidRPr="00CC14BF">
        <w:t>pohyblivá</w:t>
      </w:r>
      <w:r>
        <w:t xml:space="preserve"> </w:t>
      </w:r>
      <w:r w:rsidRPr="00CC14BF">
        <w:t>procentní</w:t>
      </w:r>
      <w:r>
        <w:t xml:space="preserve"> </w:t>
      </w:r>
      <w:r w:rsidRPr="00CC14BF">
        <w:t>sazba</w:t>
      </w:r>
      <w:r>
        <w:t xml:space="preserve"> </w:t>
      </w:r>
      <w:r w:rsidRPr="00CC14BF">
        <w:t>uplatňovaná</w:t>
      </w:r>
      <w:r>
        <w:t xml:space="preserve"> </w:t>
      </w:r>
      <w:r w:rsidRPr="00CC14BF">
        <w:t>ročně</w:t>
      </w:r>
      <w:r>
        <w:t xml:space="preserve"> </w:t>
      </w:r>
      <w:r w:rsidRPr="00CC14BF">
        <w:t>na</w:t>
      </w:r>
      <w:r>
        <w:t xml:space="preserve"> </w:t>
      </w:r>
      <w:r w:rsidRPr="00CC14BF">
        <w:t>čerpanou</w:t>
      </w:r>
      <w:r>
        <w:t xml:space="preserve"> </w:t>
      </w:r>
      <w:r w:rsidRPr="00CC14BF">
        <w:t>výši</w:t>
      </w:r>
      <w:r>
        <w:t xml:space="preserve"> </w:t>
      </w:r>
      <w:r w:rsidRPr="00CC14BF">
        <w:t>spotřebitelského</w:t>
      </w:r>
      <w:r>
        <w:t xml:space="preserve"> </w:t>
      </w:r>
      <w:r w:rsidRPr="00CC14BF">
        <w:t>úvěru,</w:t>
      </w:r>
    </w:p>
    <w:p w14:paraId="5022D63F" w14:textId="77777777" w:rsidR="006A65D9" w:rsidRDefault="006A65D9" w:rsidP="006A65D9">
      <w:pPr>
        <w:pStyle w:val="PZTextpsmene"/>
        <w:spacing w:before="0"/>
      </w:pPr>
      <w:r w:rsidRPr="00CC14BF">
        <w:t>g</w:t>
      </w:r>
      <w:r>
        <w:t>)</w:t>
      </w:r>
      <w:r>
        <w:tab/>
      </w:r>
      <w:r w:rsidRPr="00CC14BF">
        <w:t>pevnou</w:t>
      </w:r>
      <w:r>
        <w:t xml:space="preserve"> </w:t>
      </w:r>
      <w:r w:rsidRPr="00CC14BF">
        <w:t>zápůjční</w:t>
      </w:r>
      <w:r>
        <w:t xml:space="preserve"> </w:t>
      </w:r>
      <w:r w:rsidRPr="00CC14BF">
        <w:t>úrokovou</w:t>
      </w:r>
      <w:r>
        <w:t xml:space="preserve"> </w:t>
      </w:r>
      <w:r w:rsidRPr="00CC14BF">
        <w:t>sazbou</w:t>
      </w:r>
      <w:r>
        <w:t xml:space="preserve"> </w:t>
      </w:r>
      <w:r w:rsidRPr="00CC14BF">
        <w:t>jediná</w:t>
      </w:r>
      <w:r>
        <w:t xml:space="preserve"> </w:t>
      </w:r>
      <w:r w:rsidRPr="00CC14BF">
        <w:t>zápůjční</w:t>
      </w:r>
      <w:r>
        <w:t xml:space="preserve"> </w:t>
      </w:r>
      <w:r w:rsidRPr="00CC14BF">
        <w:t>úroková</w:t>
      </w:r>
      <w:r>
        <w:t xml:space="preserve"> </w:t>
      </w:r>
      <w:r w:rsidRPr="00CC14BF">
        <w:t>sazba</w:t>
      </w:r>
      <w:r>
        <w:t xml:space="preserve"> </w:t>
      </w:r>
      <w:r w:rsidRPr="00CC14BF">
        <w:t>sjednaná</w:t>
      </w:r>
      <w:r>
        <w:t xml:space="preserve"> </w:t>
      </w:r>
      <w:r w:rsidRPr="00CC14BF">
        <w:t>mezi</w:t>
      </w:r>
      <w:r>
        <w:t xml:space="preserve"> </w:t>
      </w:r>
      <w:r w:rsidRPr="00CC14BF">
        <w:t>poskytovatelem</w:t>
      </w:r>
      <w:r>
        <w:t xml:space="preserve"> </w:t>
      </w:r>
      <w:r w:rsidRPr="00CC14BF">
        <w:t>a</w:t>
      </w:r>
      <w:r>
        <w:t xml:space="preserve"> </w:t>
      </w:r>
      <w:r w:rsidRPr="00CC14BF">
        <w:t>spotřebitelem</w:t>
      </w:r>
      <w:r>
        <w:t xml:space="preserve"> </w:t>
      </w:r>
      <w:r w:rsidRPr="00CC14BF">
        <w:t>na</w:t>
      </w:r>
      <w:r>
        <w:t xml:space="preserve"> </w:t>
      </w:r>
      <w:r w:rsidRPr="00CC14BF">
        <w:t>celou</w:t>
      </w:r>
      <w:r>
        <w:t xml:space="preserve"> </w:t>
      </w:r>
      <w:r w:rsidRPr="00CC14BF">
        <w:t>dobu</w:t>
      </w:r>
      <w:r>
        <w:t xml:space="preserve"> </w:t>
      </w:r>
      <w:r w:rsidRPr="00CC14BF">
        <w:t>trvání</w:t>
      </w:r>
      <w:r>
        <w:t xml:space="preserve"> </w:t>
      </w:r>
      <w:r w:rsidRPr="00CC14BF">
        <w:t>spotřebitelského</w:t>
      </w:r>
      <w:r>
        <w:t xml:space="preserve"> </w:t>
      </w:r>
      <w:r w:rsidRPr="00CC14BF">
        <w:t>úvěru</w:t>
      </w:r>
      <w:r>
        <w:t xml:space="preserve"> </w:t>
      </w:r>
      <w:r w:rsidRPr="00CC14BF">
        <w:t>nebo</w:t>
      </w:r>
      <w:r>
        <w:t xml:space="preserve"> </w:t>
      </w:r>
      <w:r w:rsidRPr="00CC14BF">
        <w:t>více</w:t>
      </w:r>
      <w:r>
        <w:t xml:space="preserve"> </w:t>
      </w:r>
      <w:r w:rsidRPr="00CC14BF">
        <w:t>zápůjčních</w:t>
      </w:r>
      <w:r>
        <w:t xml:space="preserve"> </w:t>
      </w:r>
      <w:r w:rsidRPr="00CC14BF">
        <w:t>úrokových</w:t>
      </w:r>
      <w:r>
        <w:t xml:space="preserve"> </w:t>
      </w:r>
      <w:r w:rsidRPr="00CC14BF">
        <w:t>sazeb</w:t>
      </w:r>
      <w:r>
        <w:t xml:space="preserve"> </w:t>
      </w:r>
      <w:r w:rsidRPr="00CC14BF">
        <w:t>stanovených</w:t>
      </w:r>
      <w:r>
        <w:t xml:space="preserve"> </w:t>
      </w:r>
      <w:r w:rsidRPr="00CC14BF">
        <w:t>pro</w:t>
      </w:r>
      <w:r>
        <w:t xml:space="preserve"> </w:t>
      </w:r>
      <w:r w:rsidRPr="00CC14BF">
        <w:t>dílčí</w:t>
      </w:r>
      <w:r>
        <w:t xml:space="preserve"> </w:t>
      </w:r>
      <w:r w:rsidRPr="00CC14BF">
        <w:t>období</w:t>
      </w:r>
      <w:r>
        <w:t xml:space="preserve"> </w:t>
      </w:r>
      <w:r w:rsidRPr="00CC14BF">
        <w:t>výhradně</w:t>
      </w:r>
      <w:r>
        <w:t xml:space="preserve"> </w:t>
      </w:r>
      <w:r w:rsidRPr="00CC14BF">
        <w:t>neměnnou</w:t>
      </w:r>
      <w:r>
        <w:t xml:space="preserve"> </w:t>
      </w:r>
      <w:r w:rsidRPr="00CC14BF">
        <w:t>konkrétní</w:t>
      </w:r>
      <w:r>
        <w:t xml:space="preserve"> </w:t>
      </w:r>
      <w:r w:rsidRPr="00CC14BF">
        <w:t>procentní</w:t>
      </w:r>
      <w:r>
        <w:t xml:space="preserve"> </w:t>
      </w:r>
      <w:r w:rsidRPr="00CC14BF">
        <w:t>hodnotou;</w:t>
      </w:r>
      <w:r>
        <w:t xml:space="preserve"> </w:t>
      </w:r>
      <w:r w:rsidRPr="00CC14BF">
        <w:t>nejsou-li</w:t>
      </w:r>
      <w:r>
        <w:t xml:space="preserve"> </w:t>
      </w:r>
      <w:r w:rsidRPr="00CC14BF">
        <w:t>ve</w:t>
      </w:r>
      <w:r>
        <w:t xml:space="preserve"> </w:t>
      </w:r>
      <w:r w:rsidRPr="00CC14BF">
        <w:t>smlouvě</w:t>
      </w:r>
      <w:r>
        <w:t xml:space="preserve"> </w:t>
      </w:r>
      <w:r w:rsidRPr="00CC14BF">
        <w:t>o</w:t>
      </w:r>
      <w:r>
        <w:t xml:space="preserve"> </w:t>
      </w:r>
      <w:r w:rsidRPr="00CC14BF">
        <w:t>spotřebitelském</w:t>
      </w:r>
      <w:r>
        <w:t xml:space="preserve"> </w:t>
      </w:r>
      <w:r w:rsidRPr="00CC14BF">
        <w:t>úvěru</w:t>
      </w:r>
      <w:r>
        <w:t xml:space="preserve"> </w:t>
      </w:r>
      <w:r w:rsidRPr="00CC14BF">
        <w:t>jiném</w:t>
      </w:r>
      <w:r>
        <w:t xml:space="preserve"> </w:t>
      </w:r>
      <w:r w:rsidRPr="00CC14BF">
        <w:t>než</w:t>
      </w:r>
      <w:r>
        <w:t xml:space="preserve"> </w:t>
      </w:r>
      <w:r w:rsidRPr="00CC14BF">
        <w:t>na</w:t>
      </w:r>
      <w:r>
        <w:t xml:space="preserve"> </w:t>
      </w:r>
      <w:r w:rsidRPr="00CC14BF">
        <w:t>bydlení</w:t>
      </w:r>
      <w:r>
        <w:t xml:space="preserve"> </w:t>
      </w:r>
      <w:r w:rsidRPr="00CC14BF">
        <w:t>stanoveny</w:t>
      </w:r>
      <w:r>
        <w:t xml:space="preserve"> </w:t>
      </w:r>
      <w:r w:rsidRPr="00CC14BF">
        <w:t>všechny</w:t>
      </w:r>
      <w:r>
        <w:t xml:space="preserve"> </w:t>
      </w:r>
      <w:r w:rsidRPr="00CC14BF">
        <w:t>zápůjční</w:t>
      </w:r>
      <w:r>
        <w:t xml:space="preserve"> </w:t>
      </w:r>
      <w:r w:rsidRPr="00CC14BF">
        <w:t>úrokové</w:t>
      </w:r>
      <w:r>
        <w:t xml:space="preserve"> </w:t>
      </w:r>
      <w:r w:rsidRPr="00CC14BF">
        <w:t>sazby,</w:t>
      </w:r>
      <w:r>
        <w:t xml:space="preserve"> </w:t>
      </w:r>
      <w:r w:rsidRPr="00CC14BF">
        <w:t>považuje</w:t>
      </w:r>
      <w:r>
        <w:t xml:space="preserve"> </w:t>
      </w:r>
      <w:r w:rsidRPr="00CC14BF">
        <w:t>se</w:t>
      </w:r>
      <w:r>
        <w:t xml:space="preserve"> </w:t>
      </w:r>
      <w:r w:rsidRPr="00CC14BF">
        <w:t>pro</w:t>
      </w:r>
      <w:r>
        <w:t xml:space="preserve"> </w:t>
      </w:r>
      <w:r w:rsidRPr="00CC14BF">
        <w:t>účely</w:t>
      </w:r>
      <w:r>
        <w:t xml:space="preserve"> </w:t>
      </w:r>
      <w:r w:rsidRPr="00CC14BF">
        <w:t>spotřebitelského</w:t>
      </w:r>
      <w:r>
        <w:t xml:space="preserve"> </w:t>
      </w:r>
      <w:r w:rsidRPr="00CC14BF">
        <w:t>úvěru</w:t>
      </w:r>
      <w:r>
        <w:t xml:space="preserve"> </w:t>
      </w:r>
      <w:r w:rsidRPr="00CC14BF">
        <w:t>jiného</w:t>
      </w:r>
      <w:r>
        <w:t xml:space="preserve"> </w:t>
      </w:r>
      <w:r w:rsidRPr="00CC14BF">
        <w:t>než</w:t>
      </w:r>
      <w:r>
        <w:t xml:space="preserve"> </w:t>
      </w:r>
      <w:r w:rsidRPr="00CC14BF">
        <w:t>na</w:t>
      </w:r>
      <w:r>
        <w:t xml:space="preserve"> </w:t>
      </w:r>
      <w:r w:rsidRPr="00CC14BF">
        <w:t>bydlení</w:t>
      </w:r>
      <w:r>
        <w:t xml:space="preserve"> </w:t>
      </w:r>
      <w:r w:rsidRPr="00CC14BF">
        <w:t>zápůjční</w:t>
      </w:r>
      <w:r>
        <w:t xml:space="preserve"> </w:t>
      </w:r>
      <w:r w:rsidRPr="00CC14BF">
        <w:t>úroková</w:t>
      </w:r>
      <w:r>
        <w:t xml:space="preserve"> </w:t>
      </w:r>
      <w:r w:rsidRPr="00CC14BF">
        <w:t>sazba</w:t>
      </w:r>
      <w:r>
        <w:t xml:space="preserve"> </w:t>
      </w:r>
      <w:r w:rsidRPr="00CC14BF">
        <w:t>za</w:t>
      </w:r>
      <w:r>
        <w:t xml:space="preserve"> </w:t>
      </w:r>
      <w:r w:rsidRPr="00CC14BF">
        <w:t>pevně</w:t>
      </w:r>
      <w:r>
        <w:t xml:space="preserve"> </w:t>
      </w:r>
      <w:r w:rsidRPr="00CC14BF">
        <w:t>stanovenou</w:t>
      </w:r>
      <w:r>
        <w:t xml:space="preserve"> </w:t>
      </w:r>
      <w:r w:rsidRPr="00CC14BF">
        <w:t>pouze</w:t>
      </w:r>
      <w:r>
        <w:t xml:space="preserve"> </w:t>
      </w:r>
      <w:r w:rsidRPr="00CC14BF">
        <w:t>pro</w:t>
      </w:r>
      <w:r>
        <w:t xml:space="preserve"> </w:t>
      </w:r>
      <w:r w:rsidRPr="00CC14BF">
        <w:t>dílčí</w:t>
      </w:r>
      <w:r>
        <w:t xml:space="preserve"> </w:t>
      </w:r>
      <w:r w:rsidRPr="00CC14BF">
        <w:t>období,</w:t>
      </w:r>
      <w:r>
        <w:t xml:space="preserve"> </w:t>
      </w:r>
      <w:r w:rsidRPr="00CC14BF">
        <w:t>pro</w:t>
      </w:r>
      <w:r>
        <w:t xml:space="preserve"> </w:t>
      </w:r>
      <w:r w:rsidRPr="00CC14BF">
        <w:t>která</w:t>
      </w:r>
      <w:r>
        <w:t xml:space="preserve"> </w:t>
      </w:r>
      <w:r w:rsidRPr="00CC14BF">
        <w:t>jsou</w:t>
      </w:r>
      <w:r>
        <w:t xml:space="preserve"> </w:t>
      </w:r>
      <w:r w:rsidRPr="00CC14BF">
        <w:t>zápůjční</w:t>
      </w:r>
      <w:r>
        <w:t xml:space="preserve"> </w:t>
      </w:r>
      <w:r w:rsidRPr="00CC14BF">
        <w:t>úrokové</w:t>
      </w:r>
      <w:r>
        <w:t xml:space="preserve"> </w:t>
      </w:r>
      <w:r w:rsidRPr="00CC14BF">
        <w:t>sazby</w:t>
      </w:r>
      <w:r>
        <w:t xml:space="preserve"> </w:t>
      </w:r>
      <w:r w:rsidRPr="00CC14BF">
        <w:t>stanoveny</w:t>
      </w:r>
      <w:r>
        <w:t xml:space="preserve"> </w:t>
      </w:r>
      <w:r w:rsidRPr="00CC14BF">
        <w:t>výhradně</w:t>
      </w:r>
      <w:r>
        <w:t xml:space="preserve"> </w:t>
      </w:r>
      <w:r w:rsidRPr="00CC14BF">
        <w:t>neměnnou</w:t>
      </w:r>
      <w:r>
        <w:t xml:space="preserve"> </w:t>
      </w:r>
      <w:r w:rsidRPr="00CC14BF">
        <w:t>konkrétní</w:t>
      </w:r>
      <w:r>
        <w:t xml:space="preserve"> </w:t>
      </w:r>
      <w:r w:rsidRPr="00CC14BF">
        <w:t>procentní</w:t>
      </w:r>
      <w:r>
        <w:t xml:space="preserve"> </w:t>
      </w:r>
      <w:r w:rsidRPr="00CC14BF">
        <w:t>hodnotou</w:t>
      </w:r>
      <w:r>
        <w:t xml:space="preserve"> </w:t>
      </w:r>
      <w:r w:rsidRPr="00CC14BF">
        <w:t>sjednanou</w:t>
      </w:r>
      <w:r>
        <w:t xml:space="preserve"> </w:t>
      </w:r>
      <w:r w:rsidRPr="00CC14BF">
        <w:t>při</w:t>
      </w:r>
      <w:r>
        <w:t xml:space="preserve"> </w:t>
      </w:r>
      <w:r w:rsidRPr="00CC14BF">
        <w:t>uzavření</w:t>
      </w:r>
      <w:r>
        <w:t xml:space="preserve"> </w:t>
      </w:r>
      <w:r w:rsidRPr="00CC14BF">
        <w:t>této</w:t>
      </w:r>
      <w:r>
        <w:t xml:space="preserve"> </w:t>
      </w:r>
      <w:r w:rsidRPr="00CC14BF">
        <w:t>smlouvy,</w:t>
      </w:r>
    </w:p>
    <w:p w14:paraId="63820C2C" w14:textId="77777777" w:rsidR="006A65D9" w:rsidRDefault="006A65D9" w:rsidP="006A65D9">
      <w:pPr>
        <w:pStyle w:val="PZTextpsmene"/>
        <w:spacing w:before="0"/>
      </w:pPr>
      <w:r w:rsidRPr="00CC14BF">
        <w:t>h</w:t>
      </w:r>
      <w:r>
        <w:t>)</w:t>
      </w:r>
      <w:r>
        <w:tab/>
      </w:r>
      <w:r w:rsidRPr="00CC14BF">
        <w:t>možností</w:t>
      </w:r>
      <w:r>
        <w:t xml:space="preserve"> </w:t>
      </w:r>
      <w:r w:rsidRPr="00CC14BF">
        <w:t>přečerpání</w:t>
      </w:r>
      <w:r>
        <w:t xml:space="preserve"> </w:t>
      </w:r>
      <w:r w:rsidRPr="00CC14BF">
        <w:t>výslovné</w:t>
      </w:r>
      <w:r>
        <w:t xml:space="preserve"> </w:t>
      </w:r>
      <w:r w:rsidRPr="00CC14BF">
        <w:t>ujednání</w:t>
      </w:r>
      <w:r>
        <w:t xml:space="preserve"> </w:t>
      </w:r>
      <w:r w:rsidRPr="00CC14BF">
        <w:t>smluvních</w:t>
      </w:r>
      <w:r>
        <w:t xml:space="preserve"> </w:t>
      </w:r>
      <w:r w:rsidRPr="00CC14BF">
        <w:t>stran</w:t>
      </w:r>
      <w:r>
        <w:t xml:space="preserve"> </w:t>
      </w:r>
      <w:r w:rsidRPr="00CC14BF">
        <w:t>o</w:t>
      </w:r>
      <w:r>
        <w:t xml:space="preserve"> </w:t>
      </w:r>
      <w:r w:rsidRPr="00CC14BF">
        <w:t>zpřístupnění</w:t>
      </w:r>
      <w:r>
        <w:t xml:space="preserve"> </w:t>
      </w:r>
      <w:r w:rsidRPr="00CC14BF">
        <w:t>peněžních</w:t>
      </w:r>
      <w:r>
        <w:t xml:space="preserve"> </w:t>
      </w:r>
      <w:r w:rsidRPr="00CC14BF">
        <w:t>prostředků,</w:t>
      </w:r>
      <w:r>
        <w:t xml:space="preserve"> </w:t>
      </w:r>
      <w:r w:rsidRPr="00CC14BF">
        <w:t>které</w:t>
      </w:r>
      <w:r>
        <w:t xml:space="preserve"> </w:t>
      </w:r>
      <w:r w:rsidRPr="00CC14BF">
        <w:t>přesahují</w:t>
      </w:r>
      <w:r>
        <w:t xml:space="preserve"> </w:t>
      </w:r>
      <w:r w:rsidRPr="00CC14BF">
        <w:t>aktuální</w:t>
      </w:r>
      <w:r>
        <w:t xml:space="preserve"> </w:t>
      </w:r>
      <w:r w:rsidRPr="00CC14BF">
        <w:t>zůstatek</w:t>
      </w:r>
      <w:r>
        <w:t xml:space="preserve"> </w:t>
      </w:r>
      <w:r w:rsidRPr="00CC14BF">
        <w:t>na</w:t>
      </w:r>
      <w:r>
        <w:t xml:space="preserve"> </w:t>
      </w:r>
      <w:r w:rsidRPr="00CC14BF">
        <w:t>platebním</w:t>
      </w:r>
      <w:r>
        <w:t xml:space="preserve"> </w:t>
      </w:r>
      <w:r w:rsidRPr="00CC14BF">
        <w:t>účtu</w:t>
      </w:r>
      <w:r>
        <w:t xml:space="preserve"> </w:t>
      </w:r>
      <w:r w:rsidRPr="00CC14BF">
        <w:t>spotřebitele,</w:t>
      </w:r>
    </w:p>
    <w:p w14:paraId="0F19D34C" w14:textId="77777777" w:rsidR="006A65D9" w:rsidRDefault="006A65D9" w:rsidP="006A65D9">
      <w:pPr>
        <w:pStyle w:val="PZTextpsmene"/>
        <w:spacing w:before="0"/>
      </w:pPr>
      <w:r w:rsidRPr="00CC14BF">
        <w:t>i</w:t>
      </w:r>
      <w:r>
        <w:t>)</w:t>
      </w:r>
      <w:r>
        <w:tab/>
      </w:r>
      <w:r w:rsidRPr="00CC14BF">
        <w:t>překročením</w:t>
      </w:r>
      <w:r>
        <w:t xml:space="preserve"> </w:t>
      </w:r>
      <w:r w:rsidRPr="00CC14BF">
        <w:t>faktické</w:t>
      </w:r>
      <w:r>
        <w:t xml:space="preserve"> </w:t>
      </w:r>
      <w:r w:rsidRPr="00CC14BF">
        <w:t>zpřístupnění</w:t>
      </w:r>
      <w:r>
        <w:t xml:space="preserve"> </w:t>
      </w:r>
      <w:r w:rsidRPr="00CC14BF">
        <w:t>více</w:t>
      </w:r>
      <w:r>
        <w:t xml:space="preserve"> </w:t>
      </w:r>
      <w:r w:rsidRPr="00CC14BF">
        <w:t>peněžních</w:t>
      </w:r>
      <w:r>
        <w:t xml:space="preserve"> </w:t>
      </w:r>
      <w:r w:rsidRPr="00CC14BF">
        <w:t>prostředků,</w:t>
      </w:r>
      <w:r>
        <w:t xml:space="preserve"> </w:t>
      </w:r>
      <w:r w:rsidRPr="00CC14BF">
        <w:t>než</w:t>
      </w:r>
      <w:r>
        <w:t xml:space="preserve"> </w:t>
      </w:r>
      <w:r w:rsidRPr="00CC14BF">
        <w:t>je</w:t>
      </w:r>
      <w:r>
        <w:t xml:space="preserve"> </w:t>
      </w:r>
      <w:r w:rsidRPr="00CC14BF">
        <w:t>zůstatek</w:t>
      </w:r>
      <w:r>
        <w:t xml:space="preserve"> </w:t>
      </w:r>
      <w:r w:rsidRPr="00CC14BF">
        <w:t>na</w:t>
      </w:r>
      <w:r>
        <w:t xml:space="preserve"> </w:t>
      </w:r>
      <w:r w:rsidRPr="00CC14BF">
        <w:t>platebním</w:t>
      </w:r>
      <w:r>
        <w:t xml:space="preserve"> </w:t>
      </w:r>
      <w:r w:rsidRPr="00CC14BF">
        <w:t>účtu</w:t>
      </w:r>
      <w:r>
        <w:t xml:space="preserve"> </w:t>
      </w:r>
      <w:r w:rsidRPr="00CC14BF">
        <w:t>nebo</w:t>
      </w:r>
      <w:r>
        <w:t xml:space="preserve"> </w:t>
      </w:r>
      <w:r w:rsidRPr="00CC14BF">
        <w:t>než</w:t>
      </w:r>
      <w:r>
        <w:t xml:space="preserve"> </w:t>
      </w:r>
      <w:r w:rsidRPr="00CC14BF">
        <w:t>je</w:t>
      </w:r>
      <w:r>
        <w:t xml:space="preserve"> </w:t>
      </w:r>
      <w:r w:rsidRPr="00CC14BF">
        <w:t>smluvená</w:t>
      </w:r>
      <w:r>
        <w:t xml:space="preserve"> </w:t>
      </w:r>
      <w:r w:rsidRPr="00CC14BF">
        <w:t>možnost</w:t>
      </w:r>
      <w:r>
        <w:t xml:space="preserve"> </w:t>
      </w:r>
      <w:r w:rsidRPr="00CC14BF">
        <w:t>přečerpání,</w:t>
      </w:r>
    </w:p>
    <w:p w14:paraId="6CCBBFE2" w14:textId="77777777" w:rsidR="006A65D9" w:rsidRDefault="006A65D9" w:rsidP="006A65D9">
      <w:pPr>
        <w:pStyle w:val="PZTextpsmene"/>
        <w:spacing w:before="0"/>
      </w:pPr>
      <w:r w:rsidRPr="00CC14BF">
        <w:t>j</w:t>
      </w:r>
      <w:r>
        <w:t>)</w:t>
      </w:r>
      <w:r>
        <w:tab/>
      </w:r>
      <w:r w:rsidRPr="00CC14BF">
        <w:t>referenční</w:t>
      </w:r>
      <w:r>
        <w:t xml:space="preserve"> </w:t>
      </w:r>
      <w:r w:rsidRPr="00CC14BF">
        <w:t>úrokovou</w:t>
      </w:r>
      <w:r>
        <w:t xml:space="preserve"> </w:t>
      </w:r>
      <w:r w:rsidRPr="00CC14BF">
        <w:t>sazbou</w:t>
      </w:r>
      <w:r>
        <w:t xml:space="preserve"> </w:t>
      </w:r>
      <w:r w:rsidRPr="00CC14BF">
        <w:t>úroková</w:t>
      </w:r>
      <w:r>
        <w:t xml:space="preserve"> </w:t>
      </w:r>
      <w:r w:rsidRPr="00CC14BF">
        <w:t>sazba,</w:t>
      </w:r>
      <w:r>
        <w:t xml:space="preserve"> </w:t>
      </w:r>
      <w:r w:rsidRPr="00CC14BF">
        <w:t>která</w:t>
      </w:r>
      <w:r>
        <w:t xml:space="preserve"> </w:t>
      </w:r>
      <w:r w:rsidRPr="00CC14BF">
        <w:t>se</w:t>
      </w:r>
      <w:r>
        <w:t xml:space="preserve"> </w:t>
      </w:r>
      <w:r w:rsidRPr="00CC14BF">
        <w:t>použije</w:t>
      </w:r>
      <w:r>
        <w:t xml:space="preserve"> </w:t>
      </w:r>
      <w:r w:rsidRPr="00CC14BF">
        <w:t>jako</w:t>
      </w:r>
      <w:r>
        <w:t xml:space="preserve"> </w:t>
      </w:r>
      <w:r w:rsidRPr="00CC14BF">
        <w:t>základ</w:t>
      </w:r>
      <w:r>
        <w:t xml:space="preserve"> </w:t>
      </w:r>
      <w:r w:rsidRPr="00CC14BF">
        <w:t>pro</w:t>
      </w:r>
      <w:r>
        <w:t xml:space="preserve"> </w:t>
      </w:r>
      <w:r w:rsidRPr="00CC14BF">
        <w:t>výpočet</w:t>
      </w:r>
      <w:r>
        <w:t xml:space="preserve"> </w:t>
      </w:r>
      <w:r w:rsidRPr="00CC14BF">
        <w:t>jakéhokoli</w:t>
      </w:r>
      <w:r>
        <w:t xml:space="preserve"> </w:t>
      </w:r>
      <w:r w:rsidRPr="00CC14BF">
        <w:t>úroku,</w:t>
      </w:r>
      <w:r>
        <w:t xml:space="preserve"> </w:t>
      </w:r>
      <w:r w:rsidRPr="00CC14BF">
        <w:t>jenž</w:t>
      </w:r>
      <w:r>
        <w:t xml:space="preserve"> </w:t>
      </w:r>
      <w:r w:rsidRPr="00CC14BF">
        <w:t>má</w:t>
      </w:r>
      <w:r>
        <w:t xml:space="preserve"> </w:t>
      </w:r>
      <w:r w:rsidRPr="00CC14BF">
        <w:t>být</w:t>
      </w:r>
      <w:r>
        <w:t xml:space="preserve"> </w:t>
      </w:r>
      <w:r w:rsidRPr="00CC14BF">
        <w:t>uplatněn,</w:t>
      </w:r>
      <w:r>
        <w:t xml:space="preserve"> </w:t>
      </w:r>
      <w:r w:rsidRPr="00CC14BF">
        <w:t>a</w:t>
      </w:r>
      <w:r>
        <w:t xml:space="preserve"> </w:t>
      </w:r>
      <w:r w:rsidRPr="00CC14BF">
        <w:t>která</w:t>
      </w:r>
      <w:r>
        <w:t xml:space="preserve"> </w:t>
      </w:r>
      <w:r w:rsidRPr="00CC14BF">
        <w:t>pochází</w:t>
      </w:r>
      <w:r>
        <w:t xml:space="preserve"> </w:t>
      </w:r>
      <w:r w:rsidRPr="00CC14BF">
        <w:t>z</w:t>
      </w:r>
      <w:r>
        <w:t xml:space="preserve"> </w:t>
      </w:r>
      <w:r w:rsidRPr="00CC14BF">
        <w:t>veřejně</w:t>
      </w:r>
      <w:r>
        <w:t xml:space="preserve"> </w:t>
      </w:r>
      <w:r w:rsidRPr="00CC14BF">
        <w:t>přístupného</w:t>
      </w:r>
      <w:r>
        <w:t xml:space="preserve"> </w:t>
      </w:r>
      <w:r w:rsidRPr="00CC14BF">
        <w:t>zdroje</w:t>
      </w:r>
      <w:r>
        <w:t xml:space="preserve"> </w:t>
      </w:r>
      <w:r w:rsidRPr="00CC14BF">
        <w:t>a</w:t>
      </w:r>
      <w:r>
        <w:t xml:space="preserve"> </w:t>
      </w:r>
      <w:r w:rsidRPr="00CC14BF">
        <w:t>kterou</w:t>
      </w:r>
      <w:r>
        <w:t xml:space="preserve"> </w:t>
      </w:r>
      <w:r w:rsidRPr="00CC14BF">
        <w:t>mohou</w:t>
      </w:r>
      <w:r>
        <w:t xml:space="preserve"> </w:t>
      </w:r>
      <w:r w:rsidRPr="00CC14BF">
        <w:t>strany</w:t>
      </w:r>
      <w:r>
        <w:t xml:space="preserve"> </w:t>
      </w:r>
      <w:r w:rsidRPr="00CC14BF">
        <w:t>smlouvy</w:t>
      </w:r>
      <w:r>
        <w:t xml:space="preserve"> </w:t>
      </w:r>
      <w:r w:rsidRPr="00CC14BF">
        <w:t>ověřit,</w:t>
      </w:r>
      <w:r>
        <w:t xml:space="preserve"> </w:t>
      </w:r>
      <w:r w:rsidRPr="00CC14BF">
        <w:t>avšak</w:t>
      </w:r>
      <w:r>
        <w:t xml:space="preserve"> </w:t>
      </w:r>
      <w:r w:rsidRPr="00CC14BF">
        <w:t>nemohou</w:t>
      </w:r>
      <w:r>
        <w:t xml:space="preserve"> </w:t>
      </w:r>
      <w:r w:rsidRPr="00CC14BF">
        <w:t>ji</w:t>
      </w:r>
      <w:r>
        <w:t xml:space="preserve"> </w:t>
      </w:r>
      <w:r w:rsidRPr="00CC14BF">
        <w:t>jakkoliv</w:t>
      </w:r>
      <w:r>
        <w:t xml:space="preserve"> </w:t>
      </w:r>
      <w:r w:rsidRPr="00CC14BF">
        <w:t>přímo</w:t>
      </w:r>
      <w:r>
        <w:t xml:space="preserve"> </w:t>
      </w:r>
      <w:r w:rsidRPr="00CC14BF">
        <w:t>ovlivnit,</w:t>
      </w:r>
    </w:p>
    <w:p w14:paraId="5F8D208F" w14:textId="77777777" w:rsidR="006A65D9" w:rsidRDefault="006A65D9" w:rsidP="006A65D9">
      <w:pPr>
        <w:pStyle w:val="PZTextpsmene"/>
        <w:spacing w:before="0"/>
      </w:pPr>
      <w:r w:rsidRPr="00CC14BF">
        <w:t>k</w:t>
      </w:r>
      <w:r>
        <w:t>)</w:t>
      </w:r>
      <w:r>
        <w:tab/>
      </w:r>
      <w:r w:rsidRPr="00CC14BF">
        <w:t>trvalým</w:t>
      </w:r>
      <w:r>
        <w:t xml:space="preserve"> </w:t>
      </w:r>
      <w:r w:rsidRPr="00CC14BF">
        <w:t>nosičem</w:t>
      </w:r>
      <w:r>
        <w:t xml:space="preserve"> </w:t>
      </w:r>
      <w:r w:rsidRPr="00CC14BF">
        <w:t>dat</w:t>
      </w:r>
      <w:r>
        <w:t xml:space="preserve"> </w:t>
      </w:r>
      <w:r w:rsidRPr="00CC14BF">
        <w:t>jakýkoli</w:t>
      </w:r>
      <w:r>
        <w:t xml:space="preserve"> </w:t>
      </w:r>
      <w:r w:rsidRPr="00CC14BF">
        <w:t>nástroj,</w:t>
      </w:r>
      <w:r>
        <w:t xml:space="preserve"> </w:t>
      </w:r>
      <w:r w:rsidRPr="00CC14BF">
        <w:t>který</w:t>
      </w:r>
      <w:r>
        <w:t xml:space="preserve"> </w:t>
      </w:r>
      <w:r w:rsidRPr="00CC14BF">
        <w:t>umožňuje</w:t>
      </w:r>
      <w:r>
        <w:t xml:space="preserve"> </w:t>
      </w:r>
      <w:r w:rsidRPr="00CC14BF">
        <w:t>spotřebiteli</w:t>
      </w:r>
      <w:r>
        <w:t xml:space="preserve"> </w:t>
      </w:r>
      <w:r w:rsidRPr="00CC14BF">
        <w:t>uchování</w:t>
      </w:r>
      <w:r>
        <w:t xml:space="preserve"> </w:t>
      </w:r>
      <w:r w:rsidRPr="00CC14BF">
        <w:t>informací</w:t>
      </w:r>
      <w:r>
        <w:t xml:space="preserve"> </w:t>
      </w:r>
      <w:r w:rsidRPr="00CC14BF">
        <w:t>určených</w:t>
      </w:r>
      <w:r>
        <w:t xml:space="preserve"> </w:t>
      </w:r>
      <w:r w:rsidRPr="00CC14BF">
        <w:t>jemu</w:t>
      </w:r>
      <w:r>
        <w:t xml:space="preserve"> </w:t>
      </w:r>
      <w:r w:rsidRPr="00CC14BF">
        <w:t>osobně</w:t>
      </w:r>
      <w:r>
        <w:t xml:space="preserve"> </w:t>
      </w:r>
      <w:r w:rsidRPr="00CC14BF">
        <w:t>tak,</w:t>
      </w:r>
      <w:r>
        <w:t xml:space="preserve"> </w:t>
      </w:r>
      <w:r w:rsidRPr="00CC14BF">
        <w:t>aby</w:t>
      </w:r>
      <w:r>
        <w:t xml:space="preserve"> </w:t>
      </w:r>
      <w:r w:rsidRPr="00CC14BF">
        <w:t>mohly</w:t>
      </w:r>
      <w:r>
        <w:t xml:space="preserve"> </w:t>
      </w:r>
      <w:r w:rsidRPr="00CC14BF">
        <w:t>být</w:t>
      </w:r>
      <w:r>
        <w:t xml:space="preserve"> </w:t>
      </w:r>
      <w:r w:rsidRPr="00CC14BF">
        <w:t>využívány</w:t>
      </w:r>
      <w:r>
        <w:t xml:space="preserve"> </w:t>
      </w:r>
      <w:r w:rsidRPr="00CC14BF">
        <w:t>po</w:t>
      </w:r>
      <w:r>
        <w:t xml:space="preserve"> </w:t>
      </w:r>
      <w:r w:rsidRPr="00CC14BF">
        <w:t>dobu</w:t>
      </w:r>
      <w:r>
        <w:t xml:space="preserve"> </w:t>
      </w:r>
      <w:r w:rsidRPr="00CC14BF">
        <w:t>přiměřenou</w:t>
      </w:r>
      <w:r>
        <w:t xml:space="preserve"> </w:t>
      </w:r>
      <w:r w:rsidRPr="00CC14BF">
        <w:t>účelu</w:t>
      </w:r>
      <w:r>
        <w:t xml:space="preserve"> </w:t>
      </w:r>
      <w:r w:rsidRPr="00CC14BF">
        <w:t>těchto</w:t>
      </w:r>
      <w:r>
        <w:t xml:space="preserve"> </w:t>
      </w:r>
      <w:r w:rsidRPr="00CC14BF">
        <w:t>informací,</w:t>
      </w:r>
      <w:r>
        <w:t xml:space="preserve"> </w:t>
      </w:r>
      <w:r w:rsidRPr="00CC14BF">
        <w:t>a</w:t>
      </w:r>
      <w:r>
        <w:t xml:space="preserve"> </w:t>
      </w:r>
      <w:r w:rsidRPr="00CC14BF">
        <w:t>který</w:t>
      </w:r>
      <w:r>
        <w:t xml:space="preserve"> </w:t>
      </w:r>
      <w:r w:rsidRPr="00CC14BF">
        <w:t>umožňuje</w:t>
      </w:r>
      <w:r>
        <w:t xml:space="preserve"> </w:t>
      </w:r>
      <w:r w:rsidRPr="00CC14BF">
        <w:t>reprodukci</w:t>
      </w:r>
      <w:r>
        <w:t xml:space="preserve"> </w:t>
      </w:r>
      <w:r w:rsidRPr="00CC14BF">
        <w:t>těchto</w:t>
      </w:r>
      <w:r>
        <w:t xml:space="preserve"> </w:t>
      </w:r>
      <w:r w:rsidRPr="00CC14BF">
        <w:t>informací</w:t>
      </w:r>
      <w:r>
        <w:t xml:space="preserve"> </w:t>
      </w:r>
      <w:r w:rsidRPr="00CC14BF">
        <w:t>v</w:t>
      </w:r>
      <w:r>
        <w:t xml:space="preserve"> </w:t>
      </w:r>
      <w:r w:rsidRPr="00CC14BF">
        <w:t>nezměněné</w:t>
      </w:r>
      <w:r>
        <w:t xml:space="preserve"> </w:t>
      </w:r>
      <w:r w:rsidRPr="00CC14BF">
        <w:t>podobě,</w:t>
      </w:r>
    </w:p>
    <w:p w14:paraId="4426F7AC" w14:textId="77777777" w:rsidR="006A65D9" w:rsidRDefault="006A65D9" w:rsidP="006A65D9">
      <w:pPr>
        <w:pStyle w:val="PZTextpsmene"/>
        <w:spacing w:before="0"/>
      </w:pPr>
      <w:r w:rsidRPr="00CC14BF">
        <w:t>l</w:t>
      </w:r>
      <w:r>
        <w:t>)</w:t>
      </w:r>
      <w:r>
        <w:tab/>
      </w:r>
      <w:r w:rsidRPr="00CC14BF">
        <w:t>spotřebitelským</w:t>
      </w:r>
      <w:r>
        <w:t xml:space="preserve"> </w:t>
      </w:r>
      <w:r w:rsidRPr="00CC14BF">
        <w:t>úvěrem</w:t>
      </w:r>
      <w:r>
        <w:t xml:space="preserve"> </w:t>
      </w:r>
      <w:r w:rsidRPr="00CC14BF">
        <w:t>v</w:t>
      </w:r>
      <w:r>
        <w:t xml:space="preserve"> </w:t>
      </w:r>
      <w:r w:rsidRPr="00CC14BF">
        <w:t>cizí</w:t>
      </w:r>
      <w:r>
        <w:t xml:space="preserve"> </w:t>
      </w:r>
      <w:r w:rsidRPr="00CC14BF">
        <w:t>měně</w:t>
      </w:r>
      <w:r>
        <w:t xml:space="preserve"> </w:t>
      </w:r>
      <w:r w:rsidRPr="00CC14BF">
        <w:t>spotřebitelský</w:t>
      </w:r>
      <w:r>
        <w:t xml:space="preserve"> </w:t>
      </w:r>
      <w:r w:rsidRPr="00CC14BF">
        <w:t>úvěr</w:t>
      </w:r>
      <w:r>
        <w:t xml:space="preserve"> </w:t>
      </w:r>
      <w:r w:rsidRPr="00CC14BF">
        <w:t>na</w:t>
      </w:r>
      <w:r>
        <w:t xml:space="preserve"> </w:t>
      </w:r>
      <w:r w:rsidRPr="00CC14BF">
        <w:t>bydlení,</w:t>
      </w:r>
      <w:r>
        <w:t xml:space="preserve"> </w:t>
      </w:r>
      <w:r w:rsidRPr="00CC14BF">
        <w:t>který</w:t>
      </w:r>
      <w:r>
        <w:t xml:space="preserve"> </w:t>
      </w:r>
      <w:r w:rsidRPr="00CC14BF">
        <w:t>je</w:t>
      </w:r>
      <w:r>
        <w:t xml:space="preserve"> </w:t>
      </w:r>
      <w:r w:rsidRPr="00CC14BF">
        <w:t>v</w:t>
      </w:r>
      <w:r>
        <w:t xml:space="preserve"> </w:t>
      </w:r>
      <w:r w:rsidRPr="00CC14BF">
        <w:t>okamžiku</w:t>
      </w:r>
      <w:r>
        <w:t xml:space="preserve"> </w:t>
      </w:r>
      <w:r w:rsidRPr="00CC14BF">
        <w:t>uzavření</w:t>
      </w:r>
      <w:r>
        <w:t xml:space="preserve"> </w:t>
      </w:r>
      <w:r w:rsidRPr="00CC14BF">
        <w:t>smlouvy</w:t>
      </w:r>
      <w:r>
        <w:t xml:space="preserve"> </w:t>
      </w:r>
      <w:r w:rsidRPr="00CC14BF">
        <w:t>o</w:t>
      </w:r>
      <w:r>
        <w:t xml:space="preserve"> </w:t>
      </w:r>
      <w:r w:rsidRPr="00CC14BF">
        <w:t>spotřebitelském</w:t>
      </w:r>
      <w:r>
        <w:t xml:space="preserve"> </w:t>
      </w:r>
      <w:r w:rsidRPr="00CC14BF">
        <w:t>úvěru</w:t>
      </w:r>
      <w:r>
        <w:t xml:space="preserve"> </w:t>
      </w:r>
      <w:r w:rsidRPr="00CC14BF">
        <w:t>na</w:t>
      </w:r>
      <w:r>
        <w:t xml:space="preserve"> </w:t>
      </w:r>
      <w:r w:rsidRPr="00CC14BF">
        <w:t>bydlení</w:t>
      </w:r>
      <w:r>
        <w:t xml:space="preserve"> </w:t>
      </w:r>
      <w:r w:rsidRPr="00CC14BF">
        <w:t>vyjádřen</w:t>
      </w:r>
      <w:r>
        <w:t xml:space="preserve"> </w:t>
      </w:r>
      <w:r w:rsidRPr="00CC14BF">
        <w:t>v</w:t>
      </w:r>
      <w:r>
        <w:t xml:space="preserve"> </w:t>
      </w:r>
      <w:r w:rsidRPr="00CC14BF">
        <w:t>jiné</w:t>
      </w:r>
      <w:r>
        <w:t xml:space="preserve"> </w:t>
      </w:r>
      <w:r w:rsidRPr="00CC14BF">
        <w:t>měně,</w:t>
      </w:r>
      <w:r>
        <w:t xml:space="preserve"> </w:t>
      </w:r>
      <w:r w:rsidRPr="00CC14BF">
        <w:t>než</w:t>
      </w:r>
    </w:p>
    <w:p w14:paraId="25F866A4" w14:textId="77777777" w:rsidR="006A65D9" w:rsidRDefault="006A65D9" w:rsidP="006A65D9">
      <w:pPr>
        <w:pStyle w:val="PZTextbodu"/>
        <w:spacing w:before="0"/>
      </w:pPr>
      <w:r w:rsidRPr="00CC14BF">
        <w:t>1</w:t>
      </w:r>
      <w:r>
        <w:t>.</w:t>
      </w:r>
      <w:r>
        <w:tab/>
      </w:r>
      <w:r w:rsidRPr="00CC14BF">
        <w:t>ve</w:t>
      </w:r>
      <w:r>
        <w:t xml:space="preserve"> </w:t>
      </w:r>
      <w:r w:rsidRPr="00CC14BF">
        <w:t>které</w:t>
      </w:r>
      <w:r>
        <w:t xml:space="preserve"> </w:t>
      </w:r>
      <w:r w:rsidRPr="00CC14BF">
        <w:t>má</w:t>
      </w:r>
      <w:r>
        <w:t xml:space="preserve"> </w:t>
      </w:r>
      <w:r w:rsidRPr="00CC14BF">
        <w:t>spotřebitel</w:t>
      </w:r>
      <w:r>
        <w:t xml:space="preserve"> </w:t>
      </w:r>
      <w:r w:rsidRPr="00CC14BF">
        <w:t>příjem,</w:t>
      </w:r>
      <w:r>
        <w:t xml:space="preserve"> </w:t>
      </w:r>
      <w:r w:rsidRPr="00CC14BF">
        <w:t>z</w:t>
      </w:r>
      <w:r>
        <w:t xml:space="preserve"> </w:t>
      </w:r>
      <w:r w:rsidRPr="00CC14BF">
        <w:t>něhož</w:t>
      </w:r>
      <w:r>
        <w:t xml:space="preserve"> </w:t>
      </w:r>
      <w:r w:rsidRPr="00CC14BF">
        <w:t>má</w:t>
      </w:r>
      <w:r>
        <w:t xml:space="preserve"> </w:t>
      </w:r>
      <w:r w:rsidRPr="00CC14BF">
        <w:t>být</w:t>
      </w:r>
      <w:r>
        <w:t xml:space="preserve"> </w:t>
      </w:r>
      <w:r w:rsidRPr="00CC14BF">
        <w:t>spotřebitelský</w:t>
      </w:r>
      <w:r>
        <w:t xml:space="preserve"> </w:t>
      </w:r>
      <w:r w:rsidRPr="00CC14BF">
        <w:t>úvěr</w:t>
      </w:r>
      <w:r>
        <w:t xml:space="preserve"> </w:t>
      </w:r>
      <w:r w:rsidRPr="00CC14BF">
        <w:t>splácen,</w:t>
      </w:r>
    </w:p>
    <w:p w14:paraId="45865D4C" w14:textId="77777777" w:rsidR="006A65D9" w:rsidRDefault="006A65D9" w:rsidP="006A65D9">
      <w:pPr>
        <w:pStyle w:val="PZTextbodu"/>
        <w:spacing w:before="0"/>
      </w:pPr>
      <w:r w:rsidRPr="00CC14BF">
        <w:t>2</w:t>
      </w:r>
      <w:r>
        <w:t>.</w:t>
      </w:r>
      <w:r>
        <w:tab/>
      </w:r>
      <w:r w:rsidRPr="00CC14BF">
        <w:t>ve</w:t>
      </w:r>
      <w:r>
        <w:t xml:space="preserve"> </w:t>
      </w:r>
      <w:r w:rsidRPr="00CC14BF">
        <w:t>které</w:t>
      </w:r>
      <w:r>
        <w:t xml:space="preserve"> </w:t>
      </w:r>
      <w:r w:rsidRPr="00CC14BF">
        <w:t>spotřebitel</w:t>
      </w:r>
      <w:r>
        <w:t xml:space="preserve"> </w:t>
      </w:r>
      <w:r w:rsidRPr="00CC14BF">
        <w:t>drží</w:t>
      </w:r>
      <w:r>
        <w:t xml:space="preserve"> </w:t>
      </w:r>
      <w:r w:rsidRPr="00CC14BF">
        <w:t>aktiva,</w:t>
      </w:r>
      <w:r>
        <w:t xml:space="preserve"> </w:t>
      </w:r>
      <w:r w:rsidRPr="00CC14BF">
        <w:t>z</w:t>
      </w:r>
      <w:r>
        <w:t xml:space="preserve"> </w:t>
      </w:r>
      <w:r w:rsidRPr="00CC14BF">
        <w:t>nichž</w:t>
      </w:r>
      <w:r>
        <w:t xml:space="preserve"> </w:t>
      </w:r>
      <w:r w:rsidRPr="00CC14BF">
        <w:t>má</w:t>
      </w:r>
      <w:r>
        <w:t xml:space="preserve"> </w:t>
      </w:r>
      <w:r w:rsidRPr="00CC14BF">
        <w:t>být</w:t>
      </w:r>
      <w:r>
        <w:t xml:space="preserve"> </w:t>
      </w:r>
      <w:r w:rsidRPr="00CC14BF">
        <w:t>spotřebitelský</w:t>
      </w:r>
      <w:r>
        <w:t xml:space="preserve"> </w:t>
      </w:r>
      <w:r w:rsidRPr="00CC14BF">
        <w:t>úvěr</w:t>
      </w:r>
      <w:r>
        <w:t xml:space="preserve"> </w:t>
      </w:r>
      <w:r w:rsidRPr="00CC14BF">
        <w:t>splácen,</w:t>
      </w:r>
      <w:r>
        <w:t xml:space="preserve"> </w:t>
      </w:r>
      <w:r w:rsidRPr="00CC14BF">
        <w:t>nebo</w:t>
      </w:r>
    </w:p>
    <w:p w14:paraId="4EB5FD88" w14:textId="77777777" w:rsidR="006A65D9" w:rsidRDefault="006A65D9" w:rsidP="006A65D9">
      <w:pPr>
        <w:pStyle w:val="PZTextbodu"/>
        <w:spacing w:before="0"/>
      </w:pPr>
      <w:r w:rsidRPr="00CC14BF">
        <w:t>3</w:t>
      </w:r>
      <w:r>
        <w:t>.</w:t>
      </w:r>
      <w:r>
        <w:tab/>
      </w:r>
      <w:r w:rsidRPr="00CC14BF">
        <w:t>v</w:t>
      </w:r>
      <w:r>
        <w:t xml:space="preserve"> </w:t>
      </w:r>
      <w:r w:rsidRPr="00CC14BF">
        <w:t>měně</w:t>
      </w:r>
      <w:r>
        <w:t xml:space="preserve"> </w:t>
      </w:r>
      <w:r w:rsidRPr="00CC14BF">
        <w:t>členského</w:t>
      </w:r>
      <w:r>
        <w:t xml:space="preserve"> </w:t>
      </w:r>
      <w:r w:rsidRPr="00CC14BF">
        <w:t>státu,</w:t>
      </w:r>
      <w:r>
        <w:t xml:space="preserve"> </w:t>
      </w:r>
      <w:r w:rsidRPr="00CC14BF">
        <w:t>v</w:t>
      </w:r>
      <w:r>
        <w:t xml:space="preserve"> </w:t>
      </w:r>
      <w:r w:rsidRPr="00CC14BF">
        <w:t>němž</w:t>
      </w:r>
      <w:r>
        <w:t xml:space="preserve"> </w:t>
      </w:r>
      <w:r w:rsidRPr="00CC14BF">
        <w:t>má</w:t>
      </w:r>
      <w:r>
        <w:t xml:space="preserve"> </w:t>
      </w:r>
      <w:r w:rsidRPr="00CC14BF">
        <w:t>spotřebitel</w:t>
      </w:r>
      <w:r>
        <w:t xml:space="preserve"> </w:t>
      </w:r>
      <w:r w:rsidRPr="00CC14BF">
        <w:t>bydliště,</w:t>
      </w:r>
    </w:p>
    <w:p w14:paraId="36CC2AD7" w14:textId="77777777" w:rsidR="006A65D9" w:rsidRDefault="006A65D9" w:rsidP="006A65D9">
      <w:pPr>
        <w:pStyle w:val="PZTextpsmene"/>
        <w:spacing w:before="0"/>
      </w:pPr>
      <w:r w:rsidRPr="00CC14BF">
        <w:t>m</w:t>
      </w:r>
      <w:r>
        <w:t>)</w:t>
      </w:r>
      <w:r>
        <w:tab/>
      </w:r>
      <w:r w:rsidRPr="00CC14BF">
        <w:t>překlenovacím</w:t>
      </w:r>
      <w:r>
        <w:t xml:space="preserve"> </w:t>
      </w:r>
      <w:r w:rsidRPr="00CC14BF">
        <w:t>úvěrem</w:t>
      </w:r>
      <w:r>
        <w:t xml:space="preserve"> </w:t>
      </w:r>
      <w:r w:rsidRPr="00CC14BF">
        <w:t>spotřebitelský</w:t>
      </w:r>
      <w:r>
        <w:t xml:space="preserve"> </w:t>
      </w:r>
      <w:r w:rsidRPr="00CC14BF">
        <w:t>úvěr</w:t>
      </w:r>
      <w:r>
        <w:t xml:space="preserve"> </w:t>
      </w:r>
      <w:r w:rsidRPr="00CC14BF">
        <w:t>na</w:t>
      </w:r>
      <w:r>
        <w:t xml:space="preserve"> </w:t>
      </w:r>
      <w:r w:rsidRPr="00CC14BF">
        <w:t>bydlení,</w:t>
      </w:r>
      <w:r>
        <w:t xml:space="preserve"> </w:t>
      </w:r>
      <w:r w:rsidRPr="00CC14BF">
        <w:t>jehož</w:t>
      </w:r>
      <w:r>
        <w:t xml:space="preserve"> </w:t>
      </w:r>
      <w:r w:rsidRPr="00CC14BF">
        <w:t>účelem</w:t>
      </w:r>
      <w:r>
        <w:t xml:space="preserve"> </w:t>
      </w:r>
      <w:r w:rsidRPr="00CC14BF">
        <w:t>je</w:t>
      </w:r>
      <w:r>
        <w:t xml:space="preserve"> </w:t>
      </w:r>
      <w:r w:rsidRPr="00CC14BF">
        <w:t>dočasné</w:t>
      </w:r>
      <w:r>
        <w:t xml:space="preserve"> </w:t>
      </w:r>
      <w:r w:rsidRPr="00CC14BF">
        <w:t>finanční</w:t>
      </w:r>
      <w:r>
        <w:t xml:space="preserve"> </w:t>
      </w:r>
      <w:r w:rsidRPr="00CC14BF">
        <w:t>řešení</w:t>
      </w:r>
      <w:r>
        <w:t xml:space="preserve"> </w:t>
      </w:r>
      <w:r w:rsidRPr="00CC14BF">
        <w:t>situace</w:t>
      </w:r>
      <w:r>
        <w:t xml:space="preserve"> </w:t>
      </w:r>
      <w:r w:rsidRPr="00CC14BF">
        <w:t>spotřebitele</w:t>
      </w:r>
      <w:r>
        <w:t xml:space="preserve"> </w:t>
      </w:r>
      <w:r w:rsidRPr="00CC14BF">
        <w:t>při</w:t>
      </w:r>
      <w:r>
        <w:t xml:space="preserve"> </w:t>
      </w:r>
      <w:r w:rsidRPr="00CC14BF">
        <w:t>přechodu</w:t>
      </w:r>
      <w:r>
        <w:t xml:space="preserve"> </w:t>
      </w:r>
      <w:r w:rsidRPr="00CC14BF">
        <w:t>k</w:t>
      </w:r>
      <w:r>
        <w:t xml:space="preserve"> </w:t>
      </w:r>
      <w:r w:rsidRPr="00CC14BF">
        <w:t>jinému</w:t>
      </w:r>
      <w:r>
        <w:t xml:space="preserve"> </w:t>
      </w:r>
      <w:r w:rsidRPr="00CC14BF">
        <w:t>spotřebitelskému</w:t>
      </w:r>
      <w:r>
        <w:t xml:space="preserve"> </w:t>
      </w:r>
      <w:r w:rsidRPr="00CC14BF">
        <w:t>úvěru</w:t>
      </w:r>
      <w:r>
        <w:t xml:space="preserve"> </w:t>
      </w:r>
      <w:r w:rsidRPr="00CC14BF">
        <w:t>na</w:t>
      </w:r>
      <w:r>
        <w:t xml:space="preserve"> </w:t>
      </w:r>
      <w:r w:rsidRPr="00CC14BF">
        <w:t>bydlení</w:t>
      </w:r>
      <w:r>
        <w:t xml:space="preserve"> </w:t>
      </w:r>
      <w:r w:rsidRPr="00CC14BF">
        <w:t>a</w:t>
      </w:r>
      <w:r>
        <w:t xml:space="preserve"> </w:t>
      </w:r>
      <w:r w:rsidRPr="00CC14BF">
        <w:t>který</w:t>
      </w:r>
    </w:p>
    <w:p w14:paraId="51944B2D" w14:textId="77777777" w:rsidR="006A65D9" w:rsidRDefault="006A65D9" w:rsidP="006A65D9">
      <w:pPr>
        <w:pStyle w:val="PZTextbodu"/>
        <w:spacing w:before="0"/>
      </w:pPr>
      <w:r w:rsidRPr="00CC14BF">
        <w:t>1</w:t>
      </w:r>
      <w:r>
        <w:t>.</w:t>
      </w:r>
      <w:r>
        <w:tab/>
      </w:r>
      <w:r w:rsidRPr="00CC14BF">
        <w:t>nemá</w:t>
      </w:r>
      <w:r>
        <w:t xml:space="preserve"> </w:t>
      </w:r>
      <w:r w:rsidRPr="00CC14BF">
        <w:t>pevně</w:t>
      </w:r>
      <w:r>
        <w:t xml:space="preserve"> </w:t>
      </w:r>
      <w:r w:rsidRPr="00CC14BF">
        <w:t>stanovenou</w:t>
      </w:r>
      <w:r>
        <w:t xml:space="preserve"> </w:t>
      </w:r>
      <w:r w:rsidRPr="00CC14BF">
        <w:t>dobu</w:t>
      </w:r>
      <w:r>
        <w:t xml:space="preserve"> </w:t>
      </w:r>
      <w:r w:rsidRPr="00CC14BF">
        <w:t>trvání,</w:t>
      </w:r>
      <w:r>
        <w:t xml:space="preserve"> </w:t>
      </w:r>
      <w:r w:rsidRPr="00CC14BF">
        <w:t>nebo</w:t>
      </w:r>
    </w:p>
    <w:p w14:paraId="4114EBB8" w14:textId="77777777" w:rsidR="006A65D9" w:rsidRDefault="006A65D9" w:rsidP="006A65D9">
      <w:pPr>
        <w:pStyle w:val="PZTextbodu"/>
        <w:spacing w:before="0"/>
      </w:pPr>
      <w:r w:rsidRPr="00CC14BF">
        <w:t>2</w:t>
      </w:r>
      <w:r>
        <w:t>.</w:t>
      </w:r>
      <w:r>
        <w:tab/>
      </w:r>
      <w:r w:rsidRPr="00CC14BF">
        <w:t>má</w:t>
      </w:r>
      <w:r>
        <w:t xml:space="preserve"> </w:t>
      </w:r>
      <w:r w:rsidRPr="00CC14BF">
        <w:t>být</w:t>
      </w:r>
      <w:r>
        <w:t xml:space="preserve"> </w:t>
      </w:r>
      <w:r w:rsidRPr="00CC14BF">
        <w:t>splacen</w:t>
      </w:r>
      <w:r>
        <w:t xml:space="preserve"> </w:t>
      </w:r>
      <w:r w:rsidRPr="00CC14BF">
        <w:t>během</w:t>
      </w:r>
      <w:r>
        <w:t xml:space="preserve"> </w:t>
      </w:r>
      <w:r w:rsidRPr="00CC14BF">
        <w:t>12</w:t>
      </w:r>
      <w:r>
        <w:t xml:space="preserve"> </w:t>
      </w:r>
      <w:r w:rsidRPr="00CC14BF">
        <w:t>měsíců,</w:t>
      </w:r>
    </w:p>
    <w:p w14:paraId="5AA3BAAC" w14:textId="77777777" w:rsidR="006A65D9" w:rsidRDefault="006A65D9" w:rsidP="006A65D9">
      <w:pPr>
        <w:pStyle w:val="PZTextpsmene"/>
        <w:spacing w:before="0"/>
      </w:pPr>
      <w:proofErr w:type="gramStart"/>
      <w:r w:rsidRPr="00CC14BF">
        <w:t>n</w:t>
      </w:r>
      <w:r>
        <w:t>)</w:t>
      </w:r>
      <w:r>
        <w:tab/>
      </w:r>
      <w:r w:rsidRPr="00CC14BF">
        <w:t>podmíněným</w:t>
      </w:r>
      <w:proofErr w:type="gramEnd"/>
      <w:r>
        <w:t xml:space="preserve"> </w:t>
      </w:r>
      <w:r w:rsidRPr="00CC14BF">
        <w:t>závazkem</w:t>
      </w:r>
      <w:r>
        <w:t xml:space="preserve"> </w:t>
      </w:r>
      <w:r w:rsidRPr="00CC14BF">
        <w:t>nebo</w:t>
      </w:r>
      <w:r>
        <w:t xml:space="preserve"> </w:t>
      </w:r>
      <w:r w:rsidRPr="00CC14BF">
        <w:t>zárukou</w:t>
      </w:r>
      <w:r>
        <w:t xml:space="preserve"> </w:t>
      </w:r>
      <w:r w:rsidRPr="00CC14BF">
        <w:t>spotřebitelský</w:t>
      </w:r>
      <w:r>
        <w:t xml:space="preserve"> </w:t>
      </w:r>
      <w:r w:rsidRPr="00CC14BF">
        <w:t>úvěr</w:t>
      </w:r>
      <w:r>
        <w:t xml:space="preserve"> </w:t>
      </w:r>
      <w:r w:rsidRPr="00CC14BF">
        <w:t>na</w:t>
      </w:r>
      <w:r>
        <w:t xml:space="preserve"> </w:t>
      </w:r>
      <w:r w:rsidRPr="00CC14BF">
        <w:t>bydlení</w:t>
      </w:r>
      <w:r>
        <w:t xml:space="preserve"> </w:t>
      </w:r>
      <w:r w:rsidRPr="00CC14BF">
        <w:t>podle</w:t>
      </w:r>
      <w:r>
        <w:t xml:space="preserve"> </w:t>
      </w:r>
      <w:r w:rsidRPr="00CC14BF">
        <w:t>§</w:t>
      </w:r>
      <w:r>
        <w:t xml:space="preserve"> </w:t>
      </w:r>
      <w:r w:rsidRPr="00CC14BF">
        <w:t>2</w:t>
      </w:r>
      <w:r>
        <w:t xml:space="preserve"> </w:t>
      </w:r>
      <w:r w:rsidRPr="00CC14BF">
        <w:t>odst.</w:t>
      </w:r>
      <w:r>
        <w:t xml:space="preserve"> </w:t>
      </w:r>
      <w:r w:rsidRPr="00CC14BF">
        <w:t>2</w:t>
      </w:r>
      <w:r>
        <w:t xml:space="preserve"> </w:t>
      </w:r>
      <w:r w:rsidRPr="00CC14BF">
        <w:t>písm.</w:t>
      </w:r>
      <w:r>
        <w:t xml:space="preserve"> </w:t>
      </w:r>
      <w:r w:rsidRPr="00CC14BF">
        <w:t>a),</w:t>
      </w:r>
      <w:r>
        <w:t xml:space="preserve"> </w:t>
      </w:r>
      <w:proofErr w:type="gramStart"/>
      <w:r w:rsidRPr="00CC14BF">
        <w:t>který</w:t>
      </w:r>
      <w:proofErr w:type="gramEnd"/>
    </w:p>
    <w:p w14:paraId="563D479A" w14:textId="77777777" w:rsidR="006A65D9" w:rsidRDefault="006A65D9" w:rsidP="006A65D9">
      <w:pPr>
        <w:pStyle w:val="PZTextbodu"/>
        <w:spacing w:before="0"/>
      </w:pPr>
      <w:r w:rsidRPr="00CC14BF">
        <w:t>1</w:t>
      </w:r>
      <w:r>
        <w:t>.</w:t>
      </w:r>
      <w:r>
        <w:tab/>
      </w:r>
      <w:r w:rsidRPr="00CC14BF">
        <w:t>zajišťuje</w:t>
      </w:r>
      <w:r>
        <w:t xml:space="preserve"> </w:t>
      </w:r>
      <w:r w:rsidRPr="00CC14BF">
        <w:t>jiný</w:t>
      </w:r>
      <w:r>
        <w:t xml:space="preserve"> </w:t>
      </w:r>
      <w:r w:rsidRPr="00CC14BF">
        <w:t>závazek</w:t>
      </w:r>
      <w:r>
        <w:t xml:space="preserve"> </w:t>
      </w:r>
      <w:r w:rsidRPr="00CC14BF">
        <w:t>a</w:t>
      </w:r>
    </w:p>
    <w:p w14:paraId="07F0C719" w14:textId="77777777" w:rsidR="006A65D9" w:rsidRDefault="006A65D9" w:rsidP="006A65D9">
      <w:pPr>
        <w:pStyle w:val="PZTextbodu"/>
        <w:spacing w:before="0"/>
      </w:pPr>
      <w:r w:rsidRPr="00CC14BF">
        <w:t>2</w:t>
      </w:r>
      <w:r>
        <w:t>.</w:t>
      </w:r>
      <w:r>
        <w:tab/>
      </w:r>
      <w:r w:rsidRPr="00CC14BF">
        <w:t>umožňuje</w:t>
      </w:r>
      <w:r>
        <w:t xml:space="preserve"> </w:t>
      </w:r>
      <w:r w:rsidRPr="00CC14BF">
        <w:t>čerpání</w:t>
      </w:r>
      <w:r>
        <w:t xml:space="preserve"> </w:t>
      </w:r>
      <w:r w:rsidRPr="00CC14BF">
        <w:t>jistiny</w:t>
      </w:r>
      <w:r>
        <w:t xml:space="preserve"> </w:t>
      </w:r>
      <w:r w:rsidRPr="00CC14BF">
        <w:t>pouze</w:t>
      </w:r>
      <w:r>
        <w:t xml:space="preserve"> </w:t>
      </w:r>
      <w:r w:rsidRPr="00CC14BF">
        <w:t>při</w:t>
      </w:r>
      <w:r>
        <w:t xml:space="preserve"> </w:t>
      </w:r>
      <w:r w:rsidRPr="00CC14BF">
        <w:t>splnění</w:t>
      </w:r>
      <w:r>
        <w:t xml:space="preserve"> </w:t>
      </w:r>
      <w:r w:rsidRPr="00CC14BF">
        <w:t>podmínky</w:t>
      </w:r>
      <w:r>
        <w:t xml:space="preserve"> </w:t>
      </w:r>
      <w:r w:rsidRPr="00CC14BF">
        <w:t>stanovené</w:t>
      </w:r>
      <w:r>
        <w:t xml:space="preserve"> </w:t>
      </w:r>
      <w:r w:rsidRPr="00CC14BF">
        <w:t>ve</w:t>
      </w:r>
      <w:r>
        <w:t xml:space="preserve"> </w:t>
      </w:r>
      <w:r w:rsidRPr="00CC14BF">
        <w:t>smlouvě,</w:t>
      </w:r>
    </w:p>
    <w:p w14:paraId="3B12CFFE" w14:textId="77777777" w:rsidR="006A65D9" w:rsidRDefault="006A65D9" w:rsidP="006A65D9">
      <w:pPr>
        <w:pStyle w:val="PZTextpsmene"/>
        <w:spacing w:before="0"/>
      </w:pPr>
      <w:r w:rsidRPr="00CC14BF">
        <w:t>o</w:t>
      </w:r>
      <w:r>
        <w:t>)</w:t>
      </w:r>
      <w:r>
        <w:tab/>
      </w:r>
      <w:r w:rsidRPr="00CC14BF">
        <w:t>spotřebitelským</w:t>
      </w:r>
      <w:r>
        <w:t xml:space="preserve"> </w:t>
      </w:r>
      <w:r w:rsidRPr="00CC14BF">
        <w:t>úvěrem</w:t>
      </w:r>
      <w:r>
        <w:t xml:space="preserve"> </w:t>
      </w:r>
      <w:r w:rsidRPr="00CC14BF">
        <w:t>na</w:t>
      </w:r>
      <w:r>
        <w:t xml:space="preserve"> </w:t>
      </w:r>
      <w:r w:rsidRPr="00CC14BF">
        <w:t>bydlení</w:t>
      </w:r>
      <w:r>
        <w:t xml:space="preserve"> </w:t>
      </w:r>
      <w:r w:rsidRPr="00CC14BF">
        <w:t>s</w:t>
      </w:r>
      <w:r>
        <w:t xml:space="preserve"> </w:t>
      </w:r>
      <w:r w:rsidRPr="00CC14BF">
        <w:t>podílem</w:t>
      </w:r>
      <w:r>
        <w:t xml:space="preserve"> </w:t>
      </w:r>
      <w:r w:rsidRPr="00CC14BF">
        <w:t>na</w:t>
      </w:r>
      <w:r>
        <w:t xml:space="preserve"> </w:t>
      </w:r>
      <w:r w:rsidRPr="00CC14BF">
        <w:t>hodnotě</w:t>
      </w:r>
      <w:r>
        <w:t xml:space="preserve"> </w:t>
      </w:r>
      <w:r w:rsidRPr="00CC14BF">
        <w:t>nemovitosti</w:t>
      </w:r>
      <w:r>
        <w:t xml:space="preserve"> </w:t>
      </w:r>
      <w:r w:rsidRPr="00CC14BF">
        <w:t>spotřebitelský</w:t>
      </w:r>
      <w:r>
        <w:t xml:space="preserve"> </w:t>
      </w:r>
      <w:r w:rsidRPr="00CC14BF">
        <w:t>úvěr,</w:t>
      </w:r>
      <w:r>
        <w:t xml:space="preserve"> </w:t>
      </w:r>
      <w:r w:rsidRPr="00CC14BF">
        <w:t>u</w:t>
      </w:r>
      <w:r>
        <w:t xml:space="preserve"> </w:t>
      </w:r>
      <w:r w:rsidRPr="00CC14BF">
        <w:t>něhož</w:t>
      </w:r>
      <w:r>
        <w:t xml:space="preserve"> </w:t>
      </w:r>
      <w:r w:rsidRPr="00CC14BF">
        <w:t>je</w:t>
      </w:r>
      <w:r>
        <w:t xml:space="preserve"> </w:t>
      </w:r>
      <w:r w:rsidRPr="00CC14BF">
        <w:t>jistina,</w:t>
      </w:r>
      <w:r>
        <w:t xml:space="preserve"> </w:t>
      </w:r>
      <w:r w:rsidRPr="00CC14BF">
        <w:t>která</w:t>
      </w:r>
      <w:r>
        <w:t xml:space="preserve"> </w:t>
      </w:r>
      <w:r w:rsidRPr="00CC14BF">
        <w:t>má</w:t>
      </w:r>
      <w:r>
        <w:t xml:space="preserve"> </w:t>
      </w:r>
      <w:r w:rsidRPr="00CC14BF">
        <w:t>být</w:t>
      </w:r>
      <w:r>
        <w:t xml:space="preserve"> </w:t>
      </w:r>
      <w:r w:rsidRPr="00CC14BF">
        <w:t>splacena,</w:t>
      </w:r>
      <w:r>
        <w:t xml:space="preserve"> </w:t>
      </w:r>
      <w:r w:rsidRPr="00CC14BF">
        <w:t>určena</w:t>
      </w:r>
      <w:r>
        <w:t xml:space="preserve"> </w:t>
      </w:r>
      <w:r w:rsidRPr="00CC14BF">
        <w:t>na</w:t>
      </w:r>
      <w:r>
        <w:t xml:space="preserve"> </w:t>
      </w:r>
      <w:r w:rsidRPr="00CC14BF">
        <w:t>základě</w:t>
      </w:r>
      <w:r>
        <w:t xml:space="preserve"> </w:t>
      </w:r>
      <w:r w:rsidRPr="00CC14BF">
        <w:t>smluvně</w:t>
      </w:r>
      <w:r>
        <w:t xml:space="preserve"> </w:t>
      </w:r>
      <w:r w:rsidRPr="00CC14BF">
        <w:t>stanoveného</w:t>
      </w:r>
      <w:r>
        <w:t xml:space="preserve"> </w:t>
      </w:r>
      <w:r w:rsidRPr="00CC14BF">
        <w:t>procentního</w:t>
      </w:r>
      <w:r>
        <w:t xml:space="preserve"> </w:t>
      </w:r>
      <w:r w:rsidRPr="00CC14BF">
        <w:t>podílu</w:t>
      </w:r>
      <w:r>
        <w:t xml:space="preserve"> </w:t>
      </w:r>
      <w:r w:rsidRPr="00CC14BF">
        <w:t>z</w:t>
      </w:r>
      <w:r>
        <w:t xml:space="preserve"> </w:t>
      </w:r>
      <w:r w:rsidRPr="00CC14BF">
        <w:t>hodnoty</w:t>
      </w:r>
      <w:r>
        <w:t xml:space="preserve"> </w:t>
      </w:r>
      <w:r w:rsidRPr="00CC14BF">
        <w:t>nemovitosti</w:t>
      </w:r>
      <w:r>
        <w:t xml:space="preserve"> </w:t>
      </w:r>
      <w:r w:rsidRPr="00CC14BF">
        <w:t>v</w:t>
      </w:r>
      <w:r>
        <w:t xml:space="preserve"> </w:t>
      </w:r>
      <w:r w:rsidRPr="00CC14BF">
        <w:t>okamžiku</w:t>
      </w:r>
      <w:r>
        <w:t xml:space="preserve"> </w:t>
      </w:r>
      <w:r w:rsidRPr="00CC14BF">
        <w:t>splácení</w:t>
      </w:r>
      <w:r>
        <w:t xml:space="preserve"> </w:t>
      </w:r>
      <w:r w:rsidRPr="00CC14BF">
        <w:t>jistiny.</w:t>
      </w:r>
    </w:p>
    <w:p w14:paraId="5BC208CE" w14:textId="77777777" w:rsidR="006A65D9" w:rsidRDefault="006A65D9" w:rsidP="00992796">
      <w:pPr>
        <w:pStyle w:val="Paragraf"/>
        <w:numPr>
          <w:ilvl w:val="0"/>
          <w:numId w:val="39"/>
        </w:numPr>
        <w:spacing w:after="120"/>
      </w:pPr>
      <w:r w:rsidRPr="00AA135D">
        <w:lastRenderedPageBreak/>
        <w:t>***</w:t>
      </w:r>
    </w:p>
    <w:p w14:paraId="3DD8B641" w14:textId="77777777" w:rsidR="006A65D9" w:rsidRDefault="006A65D9" w:rsidP="00992796">
      <w:pPr>
        <w:pStyle w:val="Textodstavce"/>
        <w:keepNext/>
        <w:keepLines/>
        <w:numPr>
          <w:ilvl w:val="0"/>
          <w:numId w:val="39"/>
        </w:numPr>
        <w:spacing w:before="240"/>
        <w:jc w:val="center"/>
      </w:pPr>
      <w:r>
        <w:t>§ 113</w:t>
      </w:r>
    </w:p>
    <w:p w14:paraId="3DD4B946" w14:textId="77777777" w:rsidR="006A65D9" w:rsidRDefault="006A65D9" w:rsidP="006A65D9">
      <w:pPr>
        <w:pStyle w:val="Nadpisparagrafu"/>
        <w:spacing w:after="120"/>
      </w:pPr>
      <w:r>
        <w:t>Zajištění spotřebitelského úvěru</w:t>
      </w:r>
    </w:p>
    <w:p w14:paraId="24D48E38" w14:textId="77777777" w:rsidR="006A65D9" w:rsidRDefault="006A65D9" w:rsidP="005564E1">
      <w:pPr>
        <w:pStyle w:val="PZTextodstavce"/>
      </w:pPr>
      <w:r>
        <w:t xml:space="preserve">(1) </w:t>
      </w:r>
      <w:r w:rsidRPr="00B17FF3">
        <w:t>Zajištění spotřebitelského úvěru nesmí být k okamžiku uzavření smlouvy o spotřebitelském úvěru ve zcela zjevném nepoměru k hodnotě zajišťované pohledávky. To neplatí v případě spotřebitelského úvěru na bydlení podle § 2 odst. 2 písm. b) nebo c) a v případě, že koupě nebo zachování vlastnictví předmětu zajištění je financováno spotřebitelským úvěrem jiným než na bydlení zajištěným tímto předmětem.</w:t>
      </w:r>
    </w:p>
    <w:p w14:paraId="0960C161" w14:textId="77777777" w:rsidR="006A65D9" w:rsidRDefault="006A65D9" w:rsidP="005564E1">
      <w:pPr>
        <w:pStyle w:val="PZTextodstavce"/>
      </w:pPr>
      <w:r>
        <w:t xml:space="preserve">(2) </w:t>
      </w:r>
      <w:r w:rsidRPr="00B17FF3">
        <w:t>Je-li k zajištění spotřebitelského úvěru užita nemovitá věc nebo věcné právo k nemovité věci, může mít toto zajištění pouze formu zástavního práva; k jiným ujednáním, jejichž účelem je zajištění spotřebitelského úvěru, se nepřihlíží.</w:t>
      </w:r>
    </w:p>
    <w:p w14:paraId="1C79CA96" w14:textId="05C075A1" w:rsidR="00C62C41" w:rsidRPr="006A65D9" w:rsidRDefault="006A65D9" w:rsidP="005564E1">
      <w:pPr>
        <w:pStyle w:val="PZTextodstavce"/>
      </w:pPr>
      <w:r>
        <w:t xml:space="preserve">(3) </w:t>
      </w:r>
      <w:r w:rsidRPr="00B17FF3">
        <w:t xml:space="preserve">Při </w:t>
      </w:r>
      <w:r w:rsidRPr="00FE25B7">
        <w:t xml:space="preserve">oceňování předmětu zajištění spotřebitelského úvěru na bydlení se předmět zajištění </w:t>
      </w:r>
      <w:r w:rsidRPr="00FE25B7">
        <w:rPr>
          <w:strike/>
        </w:rPr>
        <w:t xml:space="preserve">ocení cenou obvyklou nebo </w:t>
      </w:r>
      <w:r w:rsidRPr="00FE25B7">
        <w:rPr>
          <w:b/>
        </w:rPr>
        <w:t>oceňuje</w:t>
      </w:r>
      <w:r w:rsidRPr="00FE25B7">
        <w:t xml:space="preserve"> </w:t>
      </w:r>
      <w:r w:rsidRPr="00B17FF3">
        <w:t xml:space="preserve">tržní hodnotou podle </w:t>
      </w:r>
      <w:r w:rsidRPr="00FE25B7">
        <w:t>zákona upravujícího oceňování</w:t>
      </w:r>
      <w:r w:rsidRPr="00FE25B7">
        <w:rPr>
          <w:strike/>
        </w:rPr>
        <w:t xml:space="preserve"> majetku </w:t>
      </w:r>
      <w:r>
        <w:rPr>
          <w:b/>
        </w:rPr>
        <w:t>věcí, služeb a dluhů</w:t>
      </w:r>
      <w:r w:rsidRPr="00FE25B7">
        <w:t xml:space="preserve">. </w:t>
      </w:r>
      <w:r w:rsidRPr="00FE25B7">
        <w:rPr>
          <w:strike/>
        </w:rPr>
        <w:t>Ocenění</w:t>
      </w:r>
      <w:r w:rsidRPr="00FE25B7">
        <w:t xml:space="preserve"> </w:t>
      </w:r>
      <w:r w:rsidRPr="00FE25B7">
        <w:rPr>
          <w:b/>
        </w:rPr>
        <w:t xml:space="preserve">Oceňování </w:t>
      </w:r>
      <w:r w:rsidRPr="00FE25B7">
        <w:t xml:space="preserve">předmětu zajištění musí být nestranné a objektivní a musí být zaznamenáno v listinné podobě nebo na jiném trvalém nosiči dat. Osoby provádějící </w:t>
      </w:r>
      <w:r w:rsidRPr="00FE25B7">
        <w:rPr>
          <w:strike/>
        </w:rPr>
        <w:t>ocenění</w:t>
      </w:r>
      <w:r w:rsidRPr="00FE25B7">
        <w:t xml:space="preserve"> </w:t>
      </w:r>
      <w:r w:rsidRPr="00FE25B7">
        <w:rPr>
          <w:b/>
        </w:rPr>
        <w:t xml:space="preserve">oceňování </w:t>
      </w:r>
      <w:r w:rsidRPr="00FE25B7">
        <w:t xml:space="preserve">předmětu zajištění musí být důvěryhodné, odborně způsobilé </w:t>
      </w:r>
      <w:r w:rsidRPr="00B17FF3">
        <w:t>a dostatečně nezávislé na procesu poskytování spotřebitelského úvěru.</w:t>
      </w:r>
      <w:r w:rsidR="00C62C41" w:rsidRPr="005F3F8C">
        <w:rPr>
          <w:highlight w:val="red"/>
        </w:rPr>
        <w:t xml:space="preserve"> </w:t>
      </w:r>
    </w:p>
    <w:p w14:paraId="075D93A5" w14:textId="77777777" w:rsidR="00C62C41" w:rsidRDefault="00C62C41" w:rsidP="00C62C41">
      <w:pPr>
        <w:tabs>
          <w:tab w:val="left" w:pos="851"/>
        </w:tabs>
        <w:spacing w:before="120" w:after="120"/>
        <w:ind w:firstLine="0"/>
        <w:outlineLvl w:val="0"/>
      </w:pPr>
    </w:p>
    <w:p w14:paraId="2BF5C86E" w14:textId="77777777" w:rsidR="00C62C41" w:rsidRDefault="00C62C41" w:rsidP="00C62C41">
      <w:pPr>
        <w:tabs>
          <w:tab w:val="left" w:pos="851"/>
        </w:tabs>
        <w:spacing w:before="120" w:after="120"/>
        <w:ind w:firstLine="0"/>
        <w:outlineLvl w:val="0"/>
        <w:sectPr w:rsidR="00C62C41" w:rsidSect="00554E2B">
          <w:footnotePr>
            <w:numStart w:val="3"/>
          </w:footnotePr>
          <w:endnotePr>
            <w:numFmt w:val="decimal"/>
          </w:endnotePr>
          <w:pgSz w:w="11906" w:h="16838"/>
          <w:pgMar w:top="1418" w:right="1418" w:bottom="1418" w:left="1418" w:header="709" w:footer="709" w:gutter="0"/>
          <w:cols w:space="708"/>
          <w:docGrid w:linePitch="360"/>
        </w:sectPr>
      </w:pPr>
    </w:p>
    <w:p w14:paraId="0F16F33D" w14:textId="23BDC83C" w:rsidR="00C62C41" w:rsidRPr="00D917FA" w:rsidRDefault="00C62C41" w:rsidP="005564E1">
      <w:pPr>
        <w:tabs>
          <w:tab w:val="left" w:pos="851"/>
        </w:tabs>
        <w:spacing w:before="120" w:after="120"/>
        <w:ind w:firstLine="0"/>
        <w:jc w:val="center"/>
        <w:outlineLvl w:val="0"/>
        <w:rPr>
          <w:szCs w:val="24"/>
        </w:rPr>
      </w:pPr>
      <w:r w:rsidRPr="00D917FA">
        <w:rPr>
          <w:b/>
          <w:szCs w:val="24"/>
        </w:rPr>
        <w:lastRenderedPageBreak/>
        <w:t xml:space="preserve">K části sté dvacáté </w:t>
      </w:r>
      <w:r w:rsidR="00CD70BD" w:rsidRPr="00D917FA">
        <w:rPr>
          <w:b/>
          <w:szCs w:val="24"/>
        </w:rPr>
        <w:t>druhé</w:t>
      </w:r>
      <w:r w:rsidRPr="00D917FA">
        <w:rPr>
          <w:b/>
          <w:szCs w:val="24"/>
        </w:rPr>
        <w:t xml:space="preserve"> návrhu zákona – </w:t>
      </w:r>
      <w:r w:rsidRPr="00D917FA">
        <w:rPr>
          <w:szCs w:val="24"/>
        </w:rPr>
        <w:t>změna zákona</w:t>
      </w:r>
      <w:r w:rsidRPr="00D917FA">
        <w:t xml:space="preserve"> </w:t>
      </w:r>
      <w:r w:rsidRPr="00D917FA">
        <w:rPr>
          <w:szCs w:val="24"/>
        </w:rPr>
        <w:t>o pravidlech rozpočtové odpovědnosti</w:t>
      </w:r>
    </w:p>
    <w:p w14:paraId="7E7E2560" w14:textId="77777777" w:rsidR="00C62C41" w:rsidRPr="00D917FA" w:rsidRDefault="00C62C41" w:rsidP="00C62C41">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D917FA">
        <w:rPr>
          <w:b/>
          <w:szCs w:val="24"/>
        </w:rPr>
        <w:t>Platné znění</w:t>
      </w:r>
      <w:r w:rsidRPr="00D917FA">
        <w:rPr>
          <w:szCs w:val="24"/>
        </w:rPr>
        <w:t xml:space="preserve"> zákona č. 23/2017 Sb., o pravidlech rozpočtové odpovědnosti</w:t>
      </w:r>
    </w:p>
    <w:p w14:paraId="0B8D6872" w14:textId="77777777" w:rsidR="005564E1" w:rsidRPr="005564E1" w:rsidRDefault="005564E1" w:rsidP="005564E1">
      <w:pPr>
        <w:pStyle w:val="Odstavecseseznamem"/>
        <w:numPr>
          <w:ilvl w:val="0"/>
          <w:numId w:val="27"/>
        </w:numPr>
        <w:pBdr>
          <w:top w:val="single" w:sz="12" w:space="6" w:color="auto"/>
          <w:left w:val="single" w:sz="12" w:space="0" w:color="auto"/>
          <w:bottom w:val="single" w:sz="12" w:space="6" w:color="auto"/>
          <w:right w:val="single" w:sz="12" w:space="0" w:color="auto"/>
        </w:pBdr>
        <w:spacing w:after="120"/>
        <w:jc w:val="center"/>
        <w:rPr>
          <w:b/>
          <w:szCs w:val="24"/>
          <w:lang w:eastAsia="en-US"/>
        </w:rPr>
      </w:pPr>
      <w:r w:rsidRPr="005564E1">
        <w:rPr>
          <w:b/>
          <w:szCs w:val="24"/>
          <w:lang w:eastAsia="en-US"/>
        </w:rPr>
        <w:t>s vyznačením navrhovaných změn a doplnění k 1. lednu 2025</w:t>
      </w:r>
      <w:r w:rsidRPr="00181A4A">
        <w:t xml:space="preserve"> </w:t>
      </w:r>
    </w:p>
    <w:p w14:paraId="63C05F08" w14:textId="77777777" w:rsidR="00C62C41" w:rsidRPr="00D917FA" w:rsidRDefault="00C62C41" w:rsidP="00CD70BD">
      <w:pPr>
        <w:pStyle w:val="Textparagrafu"/>
        <w:numPr>
          <w:ilvl w:val="0"/>
          <w:numId w:val="27"/>
        </w:numPr>
        <w:tabs>
          <w:tab w:val="left" w:pos="392"/>
          <w:tab w:val="left" w:pos="840"/>
        </w:tabs>
        <w:spacing w:after="120"/>
        <w:jc w:val="center"/>
      </w:pPr>
      <w:r w:rsidRPr="00D917FA">
        <w:t>***</w:t>
      </w:r>
    </w:p>
    <w:p w14:paraId="55056B0E" w14:textId="77777777" w:rsidR="00CD70BD" w:rsidRDefault="00CD70BD" w:rsidP="00992796">
      <w:pPr>
        <w:pStyle w:val="Textodstavce"/>
        <w:keepNext/>
        <w:keepLines/>
        <w:numPr>
          <w:ilvl w:val="0"/>
          <w:numId w:val="39"/>
        </w:numPr>
        <w:spacing w:before="240"/>
        <w:jc w:val="center"/>
      </w:pPr>
      <w:r>
        <w:t xml:space="preserve">§ 7 </w:t>
      </w:r>
    </w:p>
    <w:p w14:paraId="4BE8E255" w14:textId="77777777" w:rsidR="00CD70BD" w:rsidRDefault="00CD70BD" w:rsidP="00CD70BD">
      <w:pPr>
        <w:pStyle w:val="PZTextodstavce"/>
        <w:spacing w:before="240"/>
      </w:pPr>
      <w:r>
        <w:t xml:space="preserve">(1) Ministerstvo nejméně jednou ročně zveřejní za sektor veřejných institucí informace o </w:t>
      </w:r>
    </w:p>
    <w:p w14:paraId="403FC673" w14:textId="77777777" w:rsidR="00CD70BD" w:rsidRDefault="00CD70BD" w:rsidP="00CD70BD">
      <w:pPr>
        <w:pStyle w:val="PZTextpsmene"/>
        <w:spacing w:before="0"/>
      </w:pPr>
      <w:r>
        <w:t xml:space="preserve">a) </w:t>
      </w:r>
      <w:r>
        <w:tab/>
        <w:t xml:space="preserve">podmíněných </w:t>
      </w:r>
      <w:r w:rsidRPr="00C05635">
        <w:rPr>
          <w:strike/>
        </w:rPr>
        <w:t>závazcích</w:t>
      </w:r>
      <w:r w:rsidRPr="00C05635">
        <w:t xml:space="preserve"> </w:t>
      </w:r>
      <w:r w:rsidRPr="00C05635">
        <w:rPr>
          <w:b/>
        </w:rPr>
        <w:t>dluzích</w:t>
      </w:r>
      <w:r w:rsidRPr="00C05635">
        <w:t xml:space="preserve"> </w:t>
      </w:r>
      <w:r>
        <w:t xml:space="preserve">podle právních předpisů upravujících </w:t>
      </w:r>
      <w:r w:rsidRPr="0060524B">
        <w:t>účetnictví</w:t>
      </w:r>
      <w:r w:rsidRPr="0060524B">
        <w:rPr>
          <w:rStyle w:val="Znakapoznpodarou"/>
          <w:strike/>
        </w:rPr>
        <w:footnoteReference w:customMarkFollows="1" w:id="548"/>
        <w:t>4)</w:t>
      </w:r>
      <w:r w:rsidRPr="0060524B">
        <w:t xml:space="preserve"> </w:t>
      </w:r>
      <w:r>
        <w:t>a o dalších potenciálních povinnostech k plnění s předpokládaným významným dopadem na veřejné finance nejméně v členění na záruky, dluhy vyplývající z činnosti veřejných společností vymezených v přímo použitelném předpise Evropské unie upravujícím Evropský systém národních a regionálních účtů v Evropské unii</w:t>
      </w:r>
      <w:r>
        <w:rPr>
          <w:rStyle w:val="Znakapoznpodarou"/>
        </w:rPr>
        <w:footnoteReference w:customMarkFollows="1" w:id="549"/>
        <w:t>5)</w:t>
      </w:r>
      <w:r>
        <w:t>, včetně jejich ocenění,</w:t>
      </w:r>
    </w:p>
    <w:p w14:paraId="69ACEF02" w14:textId="77777777" w:rsidR="00CD70BD" w:rsidRDefault="00CD70BD" w:rsidP="00CD70BD">
      <w:pPr>
        <w:pStyle w:val="PZTextpsmene"/>
        <w:spacing w:before="0"/>
      </w:pPr>
      <w:r>
        <w:t xml:space="preserve">b) </w:t>
      </w:r>
      <w:r>
        <w:tab/>
        <w:t>zápůjčkách, úvěrech a návratných finančních výpomocích poskytnutých veřejnými institucemi, jejichž splátky jistiny nebo úroku jsou 90 a více dnů po lhůtě splatnosti,</w:t>
      </w:r>
    </w:p>
    <w:p w14:paraId="2A5A19A3" w14:textId="77777777" w:rsidR="00CD70BD" w:rsidRDefault="00CD70BD" w:rsidP="00CD70BD">
      <w:pPr>
        <w:pStyle w:val="PZTextpsmene"/>
        <w:spacing w:before="0"/>
      </w:pPr>
      <w:r>
        <w:t xml:space="preserve">c) </w:t>
      </w:r>
      <w:r>
        <w:tab/>
        <w:t>majetkových účastech v obchodních korporacích a dalších podílech držených veřejnými institucemi, a to nejméně o majetkových účastech a podílech, jejichž hodnota je vyšší než 0,01 % nominálního hrubého domácího produktu uvedeného za stejné období v naposledy zveřejněné makroekonomické prognóze ministerstva,</w:t>
      </w:r>
    </w:p>
    <w:p w14:paraId="5D9649FF" w14:textId="77777777" w:rsidR="00CD70BD" w:rsidRDefault="00CD70BD" w:rsidP="00CD70BD">
      <w:pPr>
        <w:pStyle w:val="PZTextpsmene"/>
        <w:spacing w:before="0"/>
      </w:pPr>
      <w:r>
        <w:t xml:space="preserve">d) </w:t>
      </w:r>
      <w:r>
        <w:tab/>
        <w:t xml:space="preserve">odhadech dopadů daňových úlev, které lze považovat za výdaje uskutečňované prostřednictvím daňového systému, na příjmy sektoru veřejných institucí. </w:t>
      </w:r>
    </w:p>
    <w:p w14:paraId="69A195EC" w14:textId="77777777" w:rsidR="00CD70BD" w:rsidRDefault="00CD70BD" w:rsidP="005564E1">
      <w:pPr>
        <w:pStyle w:val="PZTextodstavce"/>
      </w:pPr>
      <w:r>
        <w:t>(2) U veřejných institucí uvedených v § 3 písm. h) až k) nebo u jednotlivých skupin těchto institucí zveřejní ministerstvo nejméně celkové příjmy, výdaje a saldo nebo celkové výnosy a náklady nebo jejich odhady za každé kalendářní čtvrtletí, a to do konce následujícího čtvrtletí.</w:t>
      </w:r>
    </w:p>
    <w:p w14:paraId="77017A37" w14:textId="77777777" w:rsidR="00CD70BD" w:rsidRDefault="00CD70BD" w:rsidP="005564E1">
      <w:pPr>
        <w:pStyle w:val="PZTextodstavce"/>
      </w:pPr>
      <w:r>
        <w:t>(3) U veřejných institucí uvedených v § 3 písm. a) až f) a l) nebo u jednotlivých skupin těchto institucí zveřejní ministerstvo za každý kalendářní měsíc nejméně celkové příjmy, výdaje a saldo nebo celkové výnosy a náklady nebo jejich odhady, a to do konce následujícího měsíce. U veřejných institucí uvedených v § 3 písm. g) zveřejní ministerstvo tyto údaje ve stejných lhůtách samostatně.</w:t>
      </w:r>
    </w:p>
    <w:p w14:paraId="0EBA7703" w14:textId="77777777" w:rsidR="00CD70BD" w:rsidRDefault="00CD70BD" w:rsidP="005564E1">
      <w:pPr>
        <w:pStyle w:val="PZTextodstavce"/>
      </w:pPr>
      <w:r>
        <w:t xml:space="preserve"> (4) Veřejné instituce jsou povinny ministerstvu poskytnout informace potřebné k splnění informačních povinností podle odstavců 1 až 3, které nejsou ministerstvu známé z jeho činnosti, a to prostřednictvím centrálního systému účetních informací státu.</w:t>
      </w:r>
    </w:p>
    <w:p w14:paraId="22745847" w14:textId="0ED5B00F" w:rsidR="00CD70BD" w:rsidRDefault="00CD70BD" w:rsidP="005564E1">
      <w:pPr>
        <w:pStyle w:val="PZTextodstavce"/>
      </w:pPr>
      <w:r>
        <w:t>(5) Před zveřejněním údajů uvedených v odstavcích 2 a 3, ministerstvo zveřejní popis rozdílů mezi zveřejňovanými údaji a údaji podle přímo použitelného předpisu Evropské unie upravujícího Evropský systém národních a regionálních účtů v Evropské unii</w:t>
      </w:r>
      <w:r w:rsidRPr="00CD70BD">
        <w:rPr>
          <w:vertAlign w:val="superscript"/>
        </w:rPr>
        <w:t>3)</w:t>
      </w:r>
      <w:r>
        <w:t>. Popis ministerstvo připraví ve spolupráci s Českým statistickým úřadem.</w:t>
      </w:r>
    </w:p>
    <w:p w14:paraId="646B5962" w14:textId="77777777" w:rsidR="00CD70BD" w:rsidRDefault="00CD70BD" w:rsidP="005564E1">
      <w:pPr>
        <w:pStyle w:val="PZTextodstavce"/>
      </w:pPr>
      <w:r>
        <w:lastRenderedPageBreak/>
        <w:t>(6) Ministerstvo spolu s údaji podle odstavců 1 až 3 zveřejní způsob, kterým byly tyto údaje stanoveny.</w:t>
      </w:r>
    </w:p>
    <w:p w14:paraId="0550EA48" w14:textId="77777777" w:rsidR="00CD70BD" w:rsidRDefault="00CD70BD" w:rsidP="00992796">
      <w:pPr>
        <w:pStyle w:val="Paragraf"/>
        <w:numPr>
          <w:ilvl w:val="0"/>
          <w:numId w:val="39"/>
        </w:numPr>
        <w:spacing w:after="120"/>
      </w:pPr>
      <w:r w:rsidRPr="00AA135D">
        <w:t>***</w:t>
      </w:r>
    </w:p>
    <w:p w14:paraId="0C38924B" w14:textId="77777777" w:rsidR="00CD70BD" w:rsidRDefault="00CD70BD" w:rsidP="00992796">
      <w:pPr>
        <w:pStyle w:val="Textodstavce"/>
        <w:keepNext/>
        <w:keepLines/>
        <w:numPr>
          <w:ilvl w:val="0"/>
          <w:numId w:val="39"/>
        </w:numPr>
        <w:spacing w:before="240"/>
        <w:jc w:val="center"/>
      </w:pPr>
      <w:r>
        <w:t>§ 32</w:t>
      </w:r>
    </w:p>
    <w:p w14:paraId="7150FB52" w14:textId="77777777" w:rsidR="00CD70BD" w:rsidRDefault="00CD70BD" w:rsidP="005564E1">
      <w:pPr>
        <w:pStyle w:val="PZTextodstavce"/>
      </w:pPr>
      <w:r>
        <w:t xml:space="preserve">(1) </w:t>
      </w:r>
      <w:r w:rsidRPr="00497707">
        <w:t>Zřizuje se Úřad Rady, který zajišťuje úkoly spojené s odborným, organizačním, administrativním, personálním a technickým zabezpečením činnosti Rady. V čele Úřadu Rady stojí vedoucí Úřadu Rady.</w:t>
      </w:r>
    </w:p>
    <w:p w14:paraId="4AC65BD8" w14:textId="77777777" w:rsidR="00CD70BD" w:rsidRDefault="00CD70BD" w:rsidP="005564E1">
      <w:pPr>
        <w:pStyle w:val="PZTextodstavce"/>
      </w:pPr>
      <w:r>
        <w:t xml:space="preserve">(2) </w:t>
      </w:r>
      <w:r w:rsidRPr="00497707">
        <w:t xml:space="preserve">Úřad Rady je organizační složkou státu </w:t>
      </w:r>
      <w:r w:rsidRPr="0097756A">
        <w:rPr>
          <w:strike/>
        </w:rPr>
        <w:t>a účetní jednotkou</w:t>
      </w:r>
      <w:r w:rsidRPr="00497707">
        <w:t>. V pracovněprávních vztazích jedná jménem státu vedoucí Úřadu Rady.</w:t>
      </w:r>
    </w:p>
    <w:p w14:paraId="36BE4C67" w14:textId="77777777" w:rsidR="00CD70BD" w:rsidRDefault="00CD70BD" w:rsidP="005564E1">
      <w:pPr>
        <w:pStyle w:val="PZTextodstavce"/>
      </w:pPr>
      <w:r>
        <w:t xml:space="preserve">(3) </w:t>
      </w:r>
      <w:r w:rsidRPr="00497707">
        <w:t>Vedoucího Úřadu Rady jmenuje a odvolává Rada. Vedoucí Úřadu Rady je podřízen předsedovi Rady.</w:t>
      </w:r>
    </w:p>
    <w:p w14:paraId="3D85EA94" w14:textId="77777777" w:rsidR="00CD70BD" w:rsidRDefault="00CD70BD" w:rsidP="00992796">
      <w:pPr>
        <w:pStyle w:val="lnek"/>
        <w:numPr>
          <w:ilvl w:val="1"/>
          <w:numId w:val="67"/>
        </w:numPr>
        <w:spacing w:after="120"/>
      </w:pPr>
      <w:r>
        <w:t>§ 33</w:t>
      </w:r>
    </w:p>
    <w:p w14:paraId="5584FD77" w14:textId="77777777" w:rsidR="00CD70BD" w:rsidRDefault="00CD70BD" w:rsidP="005564E1">
      <w:pPr>
        <w:pStyle w:val="PZTextodstavce"/>
      </w:pPr>
      <w:r>
        <w:t xml:space="preserve">(1) </w:t>
      </w:r>
      <w:r w:rsidRPr="00497707">
        <w:t>Výdaje na činnost Rady a Úřadu Rady jsou hrazeny ze samostatné kapitoly státního rozpočtu.</w:t>
      </w:r>
    </w:p>
    <w:p w14:paraId="69FCA5EE" w14:textId="77777777" w:rsidR="00CD70BD" w:rsidRDefault="00CD70BD" w:rsidP="005564E1">
      <w:pPr>
        <w:pStyle w:val="PZTextodstavce"/>
      </w:pPr>
      <w:r>
        <w:t xml:space="preserve">(2) </w:t>
      </w:r>
      <w:r w:rsidRPr="00497707">
        <w:t>Rada předkládá návrh rozpočtu a střednědobý výhled rozpočtu Úřadu Rady na 2 další roky ministerstvu a Rozpočtovému výboru Poslanecké sněmovny.</w:t>
      </w:r>
    </w:p>
    <w:p w14:paraId="1C76844A" w14:textId="77777777" w:rsidR="00CD70BD" w:rsidRDefault="00CD70BD" w:rsidP="005564E1">
      <w:pPr>
        <w:pStyle w:val="PZTextodstavce"/>
      </w:pPr>
      <w:r w:rsidRPr="00D4789E">
        <w:t>(3)</w:t>
      </w:r>
      <w:r>
        <w:rPr>
          <w:strike/>
        </w:rPr>
        <w:t xml:space="preserve"> </w:t>
      </w:r>
      <w:r w:rsidRPr="00D4789E">
        <w:rPr>
          <w:strike/>
        </w:rPr>
        <w:t xml:space="preserve">Výroční zprávu podle zákona o účetnictví </w:t>
      </w:r>
      <w:r w:rsidRPr="00D4789E">
        <w:rPr>
          <w:b/>
        </w:rPr>
        <w:t xml:space="preserve">Individuální zprávu vedení, individuální účetní závěrku, zprávu auditora o povinném auditu </w:t>
      </w:r>
      <w:r w:rsidRPr="00497707">
        <w:t xml:space="preserve">a zprávu o plnění rozpočtu Rada předkládá nejpozději do 3 měsíců po skončení kalendářního roku ministerstvu a Rozpočtovému výboru Poslanecké sněmovny. </w:t>
      </w:r>
      <w:r w:rsidRPr="00327801">
        <w:rPr>
          <w:strike/>
        </w:rPr>
        <w:t xml:space="preserve">Výroční zprávu Rada zveřejní na svých internetových stránkách. </w:t>
      </w:r>
      <w:r w:rsidRPr="00327801">
        <w:rPr>
          <w:b/>
        </w:rPr>
        <w:t>Individuální zprávu vedení, individuální účetní závěrku a zprávu auditora o povinném auditu Rada uveřejní na svých internetových stránkách.</w:t>
      </w:r>
    </w:p>
    <w:p w14:paraId="09BDC2C8" w14:textId="77777777" w:rsidR="00CD70BD" w:rsidRPr="00327801" w:rsidRDefault="00CD70BD" w:rsidP="005564E1">
      <w:pPr>
        <w:pStyle w:val="Textodstavce"/>
        <w:tabs>
          <w:tab w:val="clear" w:pos="851"/>
        </w:tabs>
        <w:ind w:left="426"/>
        <w:rPr>
          <w:strike/>
        </w:rPr>
      </w:pPr>
      <w:r>
        <w:rPr>
          <w:strike/>
        </w:rPr>
        <w:t xml:space="preserve">(4) </w:t>
      </w:r>
      <w:r w:rsidRPr="00327801">
        <w:rPr>
          <w:strike/>
        </w:rPr>
        <w:t>Účetní závěrka Úřadu Rady je ověřována auditorem.</w:t>
      </w:r>
    </w:p>
    <w:p w14:paraId="4FE63976" w14:textId="77777777" w:rsidR="00CD70BD" w:rsidRPr="00327801" w:rsidRDefault="00CD70BD" w:rsidP="005564E1">
      <w:pPr>
        <w:pStyle w:val="Textodstavce"/>
        <w:tabs>
          <w:tab w:val="clear" w:pos="851"/>
        </w:tabs>
        <w:ind w:left="426"/>
        <w:rPr>
          <w:b/>
        </w:rPr>
      </w:pPr>
      <w:r>
        <w:rPr>
          <w:b/>
        </w:rPr>
        <w:t xml:space="preserve">(5) </w:t>
      </w:r>
      <w:r w:rsidRPr="00327801">
        <w:rPr>
          <w:b/>
        </w:rPr>
        <w:t>Úřad Rady má povinnost auditu účetní závěrky.</w:t>
      </w:r>
    </w:p>
    <w:p w14:paraId="660A9DFB" w14:textId="145326D5" w:rsidR="00C62C41" w:rsidRPr="00A83985" w:rsidRDefault="00C62C41" w:rsidP="00C62C41">
      <w:pPr>
        <w:pStyle w:val="Textparagrafu"/>
        <w:numPr>
          <w:ilvl w:val="0"/>
          <w:numId w:val="27"/>
        </w:numPr>
        <w:tabs>
          <w:tab w:val="left" w:pos="392"/>
          <w:tab w:val="left" w:pos="840"/>
        </w:tabs>
        <w:spacing w:after="120"/>
        <w:jc w:val="center"/>
        <w:rPr>
          <w:highlight w:val="red"/>
        </w:rPr>
      </w:pPr>
      <w:r w:rsidRPr="00A83985">
        <w:rPr>
          <w:highlight w:val="red"/>
        </w:rPr>
        <w:t xml:space="preserve"> </w:t>
      </w:r>
    </w:p>
    <w:p w14:paraId="405B8B7D" w14:textId="77777777" w:rsidR="00C62C41" w:rsidRDefault="00C62C41" w:rsidP="00C62C41">
      <w:pPr>
        <w:tabs>
          <w:tab w:val="left" w:pos="851"/>
        </w:tabs>
        <w:spacing w:before="120" w:after="120"/>
        <w:ind w:firstLine="0"/>
        <w:outlineLvl w:val="0"/>
      </w:pPr>
    </w:p>
    <w:p w14:paraId="13030411" w14:textId="77777777" w:rsidR="00C62C41" w:rsidRDefault="00C62C41" w:rsidP="00C62C41">
      <w:pPr>
        <w:tabs>
          <w:tab w:val="left" w:pos="851"/>
        </w:tabs>
        <w:spacing w:before="120" w:after="120"/>
        <w:ind w:firstLine="0"/>
        <w:outlineLvl w:val="0"/>
        <w:sectPr w:rsidR="00C62C41" w:rsidSect="00554E2B">
          <w:footnotePr>
            <w:numStart w:val="3"/>
          </w:footnotePr>
          <w:endnotePr>
            <w:numFmt w:val="decimal"/>
          </w:endnotePr>
          <w:pgSz w:w="11906" w:h="16838"/>
          <w:pgMar w:top="1418" w:right="1418" w:bottom="1418" w:left="1418" w:header="709" w:footer="709" w:gutter="0"/>
          <w:cols w:space="708"/>
          <w:docGrid w:linePitch="360"/>
        </w:sectPr>
      </w:pPr>
    </w:p>
    <w:p w14:paraId="75BFC8DA" w14:textId="37049974" w:rsidR="00C62C41" w:rsidRPr="005E0587" w:rsidRDefault="00C62C41" w:rsidP="005564E1">
      <w:pPr>
        <w:tabs>
          <w:tab w:val="left" w:pos="851"/>
        </w:tabs>
        <w:spacing w:before="120" w:after="120"/>
        <w:ind w:firstLine="0"/>
        <w:jc w:val="center"/>
        <w:outlineLvl w:val="0"/>
        <w:rPr>
          <w:szCs w:val="24"/>
        </w:rPr>
      </w:pPr>
      <w:r w:rsidRPr="005E0587">
        <w:rPr>
          <w:b/>
          <w:szCs w:val="24"/>
        </w:rPr>
        <w:lastRenderedPageBreak/>
        <w:t xml:space="preserve">K části sté dvacáté </w:t>
      </w:r>
      <w:r w:rsidR="00CD70BD">
        <w:rPr>
          <w:b/>
          <w:szCs w:val="24"/>
        </w:rPr>
        <w:t>třetí</w:t>
      </w:r>
      <w:r w:rsidRPr="005E0587">
        <w:rPr>
          <w:b/>
          <w:szCs w:val="24"/>
        </w:rPr>
        <w:t xml:space="preserve"> návrhu zákona – </w:t>
      </w:r>
      <w:r w:rsidRPr="005E0587">
        <w:rPr>
          <w:szCs w:val="24"/>
        </w:rPr>
        <w:t>změna zákona</w:t>
      </w:r>
      <w:r w:rsidRPr="005E0587">
        <w:t xml:space="preserve"> </w:t>
      </w:r>
      <w:r w:rsidRPr="005E0587">
        <w:rPr>
          <w:szCs w:val="24"/>
        </w:rPr>
        <w:t>o evropských politických stranách a evropských politických nadacích a o změně některých zákonů</w:t>
      </w:r>
    </w:p>
    <w:p w14:paraId="59895ABD" w14:textId="77777777" w:rsidR="00C62C41" w:rsidRPr="005E0587" w:rsidRDefault="00C62C41" w:rsidP="00C62C41">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5E0587">
        <w:rPr>
          <w:b/>
          <w:szCs w:val="24"/>
        </w:rPr>
        <w:t>Platné znění</w:t>
      </w:r>
      <w:r w:rsidRPr="005E0587">
        <w:rPr>
          <w:szCs w:val="24"/>
        </w:rPr>
        <w:t xml:space="preserve"> zákona č. 246/2017 Sb., o evropských politických stranách a evropských politických nadacích a o změně některých zákonů</w:t>
      </w:r>
    </w:p>
    <w:p w14:paraId="32D902BC" w14:textId="77777777" w:rsidR="005564E1" w:rsidRPr="005564E1" w:rsidRDefault="005564E1" w:rsidP="005564E1">
      <w:pPr>
        <w:pStyle w:val="Odstavecseseznamem"/>
        <w:numPr>
          <w:ilvl w:val="0"/>
          <w:numId w:val="27"/>
        </w:numPr>
        <w:pBdr>
          <w:top w:val="single" w:sz="12" w:space="6" w:color="auto"/>
          <w:left w:val="single" w:sz="12" w:space="0" w:color="auto"/>
          <w:bottom w:val="single" w:sz="12" w:space="6" w:color="auto"/>
          <w:right w:val="single" w:sz="12" w:space="0" w:color="auto"/>
        </w:pBdr>
        <w:spacing w:after="120"/>
        <w:jc w:val="center"/>
        <w:rPr>
          <w:b/>
          <w:szCs w:val="24"/>
          <w:lang w:eastAsia="en-US"/>
        </w:rPr>
      </w:pPr>
      <w:r w:rsidRPr="005564E1">
        <w:rPr>
          <w:b/>
          <w:szCs w:val="24"/>
          <w:lang w:eastAsia="en-US"/>
        </w:rPr>
        <w:t>s vyznačením navrhovaných změn a doplnění k 1. lednu 2025</w:t>
      </w:r>
      <w:r w:rsidRPr="00181A4A">
        <w:t xml:space="preserve"> </w:t>
      </w:r>
    </w:p>
    <w:p w14:paraId="1592AA5B" w14:textId="77777777" w:rsidR="00C62C41" w:rsidRPr="005E0587" w:rsidRDefault="00C62C41" w:rsidP="00C62C41">
      <w:pPr>
        <w:pStyle w:val="Textparagrafu"/>
        <w:numPr>
          <w:ilvl w:val="0"/>
          <w:numId w:val="27"/>
        </w:numPr>
        <w:tabs>
          <w:tab w:val="left" w:pos="392"/>
          <w:tab w:val="left" w:pos="840"/>
        </w:tabs>
        <w:spacing w:after="120"/>
        <w:jc w:val="center"/>
      </w:pPr>
      <w:r w:rsidRPr="005E0587">
        <w:t>***</w:t>
      </w:r>
    </w:p>
    <w:p w14:paraId="2D06ED37" w14:textId="4005BF7D" w:rsidR="009E1C54" w:rsidRPr="009E1C54" w:rsidRDefault="009E1C54" w:rsidP="009E1C54">
      <w:pPr>
        <w:pStyle w:val="Paragraf"/>
        <w:rPr>
          <w:szCs w:val="24"/>
        </w:rPr>
      </w:pPr>
      <w:r w:rsidRPr="009E1C54">
        <w:rPr>
          <w:szCs w:val="24"/>
        </w:rPr>
        <w:t xml:space="preserve">§ 3 </w:t>
      </w:r>
    </w:p>
    <w:p w14:paraId="7DC715D8" w14:textId="77777777" w:rsidR="009E1C54" w:rsidRPr="009E1C54" w:rsidRDefault="009E1C54" w:rsidP="009E1C54">
      <w:pPr>
        <w:pStyle w:val="Nadpisparagrafu"/>
        <w:spacing w:after="120"/>
        <w:ind w:firstLine="425"/>
        <w:rPr>
          <w:szCs w:val="24"/>
        </w:rPr>
      </w:pPr>
      <w:r w:rsidRPr="009E1C54">
        <w:rPr>
          <w:szCs w:val="24"/>
        </w:rPr>
        <w:t>Změna právní formy spolku na evropskou politickou nadaci</w:t>
      </w:r>
    </w:p>
    <w:p w14:paraId="599DE884" w14:textId="494A4E05" w:rsidR="009E1C54" w:rsidRPr="009E1C54" w:rsidRDefault="009E1C54" w:rsidP="009876EF">
      <w:pPr>
        <w:pStyle w:val="Odstavec"/>
        <w:rPr>
          <w:szCs w:val="24"/>
        </w:rPr>
      </w:pPr>
      <w:r>
        <w:rPr>
          <w:szCs w:val="24"/>
        </w:rPr>
        <w:t xml:space="preserve">(1) </w:t>
      </w:r>
      <w:r w:rsidRPr="009E1C54">
        <w:rPr>
          <w:szCs w:val="24"/>
        </w:rPr>
        <w:t>Nejvyšší orgán spolku může rozhodnout o změně právní formy spolku na evropskou politickou nadaci.</w:t>
      </w:r>
    </w:p>
    <w:p w14:paraId="19EE0345" w14:textId="4F6A7016" w:rsidR="009E1C54" w:rsidRPr="009E1C54" w:rsidRDefault="009E1C54" w:rsidP="009876EF">
      <w:pPr>
        <w:pStyle w:val="Odstavec"/>
        <w:rPr>
          <w:szCs w:val="24"/>
        </w:rPr>
      </w:pPr>
      <w:r>
        <w:rPr>
          <w:szCs w:val="24"/>
        </w:rPr>
        <w:t>(</w:t>
      </w:r>
      <w:r w:rsidRPr="009E1C54">
        <w:rPr>
          <w:szCs w:val="24"/>
        </w:rPr>
        <w:t>2) Rozhodnutí o změně právní formy musí obsahovat</w:t>
      </w:r>
    </w:p>
    <w:p w14:paraId="5B003672" w14:textId="77777777" w:rsidR="009E1C54" w:rsidRPr="009E1C54" w:rsidRDefault="009E1C54" w:rsidP="009E1C54">
      <w:pPr>
        <w:pStyle w:val="Psmeno"/>
        <w:tabs>
          <w:tab w:val="left" w:pos="420"/>
        </w:tabs>
        <w:spacing w:before="0"/>
        <w:ind w:left="0" w:firstLine="0"/>
        <w:rPr>
          <w:b/>
          <w:szCs w:val="24"/>
        </w:rPr>
      </w:pPr>
      <w:r w:rsidRPr="009E1C54">
        <w:rPr>
          <w:szCs w:val="24"/>
        </w:rPr>
        <w:t>a)</w:t>
      </w:r>
      <w:r w:rsidRPr="009E1C54">
        <w:rPr>
          <w:szCs w:val="24"/>
        </w:rPr>
        <w:tab/>
        <w:t>název, sídlo a identifikační číslo spolku</w:t>
      </w:r>
      <w:r w:rsidRPr="009E1C54">
        <w:rPr>
          <w:strike/>
          <w:szCs w:val="24"/>
        </w:rPr>
        <w:t xml:space="preserve">, </w:t>
      </w:r>
      <w:r w:rsidRPr="009E1C54">
        <w:rPr>
          <w:b/>
          <w:szCs w:val="24"/>
        </w:rPr>
        <w:t>a</w:t>
      </w:r>
    </w:p>
    <w:p w14:paraId="32359F16" w14:textId="77777777" w:rsidR="009E1C54" w:rsidRPr="009E1C54" w:rsidRDefault="009E1C54" w:rsidP="009E1C54">
      <w:pPr>
        <w:pStyle w:val="Psmeno"/>
        <w:tabs>
          <w:tab w:val="left" w:pos="420"/>
        </w:tabs>
        <w:spacing w:before="0"/>
        <w:ind w:left="0" w:firstLine="0"/>
        <w:rPr>
          <w:szCs w:val="24"/>
        </w:rPr>
      </w:pPr>
      <w:r w:rsidRPr="009E1C54">
        <w:rPr>
          <w:szCs w:val="24"/>
        </w:rPr>
        <w:t>b)</w:t>
      </w:r>
      <w:r w:rsidRPr="009E1C54">
        <w:rPr>
          <w:szCs w:val="24"/>
        </w:rPr>
        <w:tab/>
        <w:t xml:space="preserve">název evropské politické nadace po změně právní formy </w:t>
      </w:r>
      <w:r w:rsidRPr="009E1C54">
        <w:rPr>
          <w:strike/>
          <w:szCs w:val="24"/>
        </w:rPr>
        <w:t>a</w:t>
      </w:r>
      <w:r w:rsidRPr="009E1C54">
        <w:rPr>
          <w:b/>
          <w:szCs w:val="24"/>
        </w:rPr>
        <w:t>.</w:t>
      </w:r>
    </w:p>
    <w:p w14:paraId="4E24E981" w14:textId="77777777" w:rsidR="009E1C54" w:rsidRPr="009E1C54" w:rsidRDefault="009E1C54" w:rsidP="009E1C54">
      <w:pPr>
        <w:pStyle w:val="Psmeno"/>
        <w:tabs>
          <w:tab w:val="left" w:pos="420"/>
        </w:tabs>
        <w:spacing w:before="0"/>
        <w:ind w:left="0" w:firstLine="0"/>
        <w:rPr>
          <w:szCs w:val="24"/>
        </w:rPr>
      </w:pPr>
      <w:r w:rsidRPr="009E1C54">
        <w:rPr>
          <w:strike/>
          <w:szCs w:val="24"/>
        </w:rPr>
        <w:t>c)</w:t>
      </w:r>
      <w:r w:rsidRPr="009E1C54">
        <w:rPr>
          <w:strike/>
          <w:szCs w:val="24"/>
        </w:rPr>
        <w:tab/>
        <w:t>rozhodný den</w:t>
      </w:r>
      <w:r w:rsidRPr="009E1C54">
        <w:rPr>
          <w:szCs w:val="24"/>
        </w:rPr>
        <w:t>.</w:t>
      </w:r>
    </w:p>
    <w:p w14:paraId="791EE3E2" w14:textId="710FBD22" w:rsidR="009E1C54" w:rsidRPr="009E1C54" w:rsidRDefault="009E1C54" w:rsidP="009876EF">
      <w:pPr>
        <w:pStyle w:val="Odstavec"/>
        <w:rPr>
          <w:szCs w:val="24"/>
        </w:rPr>
      </w:pPr>
      <w:r>
        <w:rPr>
          <w:szCs w:val="24"/>
        </w:rPr>
        <w:t xml:space="preserve">(3) </w:t>
      </w:r>
      <w:r w:rsidRPr="009E1C54">
        <w:rPr>
          <w:szCs w:val="24"/>
        </w:rPr>
        <w:t>Rozhodnutí o změně právní formy spolku na evropskou politickou nadaci nabývá účinnosti dnem, kdy je rozhodnutí o registraci evropské politické nadace zveřejněno v Úředním věstníku Evropské unie. Bez zbytečného odkladu poté podá evropská politická nadace návrh na výmaz spolku ze spolkového rejstříku. Při výmazu spolku se ve spolkovém rejstříku uvede údaj o tom, že spolek změnil právní formu na evropskou politickou nadaci, její název, sídlo a registrační číslo.</w:t>
      </w:r>
    </w:p>
    <w:p w14:paraId="31195621" w14:textId="77777777" w:rsidR="009E1C54" w:rsidRPr="009E1C54" w:rsidRDefault="009E1C54" w:rsidP="009E1C54">
      <w:pPr>
        <w:pStyle w:val="Paragraf"/>
        <w:spacing w:after="120"/>
        <w:ind w:firstLine="425"/>
        <w:rPr>
          <w:szCs w:val="24"/>
        </w:rPr>
      </w:pPr>
      <w:r w:rsidRPr="009E1C54">
        <w:rPr>
          <w:szCs w:val="24"/>
        </w:rPr>
        <w:t>***</w:t>
      </w:r>
    </w:p>
    <w:p w14:paraId="340A01BC" w14:textId="77777777" w:rsidR="009E1C54" w:rsidRPr="009E1C54" w:rsidRDefault="009E1C54" w:rsidP="009E1C54">
      <w:pPr>
        <w:pStyle w:val="Paragraf"/>
        <w:spacing w:after="120"/>
        <w:ind w:firstLine="425"/>
        <w:rPr>
          <w:szCs w:val="24"/>
        </w:rPr>
      </w:pPr>
      <w:r w:rsidRPr="009E1C54">
        <w:rPr>
          <w:szCs w:val="24"/>
        </w:rPr>
        <w:t xml:space="preserve">§ 5 </w:t>
      </w:r>
    </w:p>
    <w:p w14:paraId="7EF169A7" w14:textId="77777777" w:rsidR="009E1C54" w:rsidRPr="009E1C54" w:rsidRDefault="009E1C54" w:rsidP="009E1C54">
      <w:pPr>
        <w:pStyle w:val="Nadpisparagrafu"/>
        <w:spacing w:after="120"/>
        <w:ind w:firstLine="425"/>
        <w:rPr>
          <w:szCs w:val="24"/>
        </w:rPr>
      </w:pPr>
      <w:r w:rsidRPr="009E1C54">
        <w:rPr>
          <w:szCs w:val="24"/>
        </w:rPr>
        <w:t>Změna právní formy evropské politické strany a evropské politické nadace na spolek</w:t>
      </w:r>
    </w:p>
    <w:p w14:paraId="0E6F1C24" w14:textId="77777777" w:rsidR="009E1C54" w:rsidRPr="009E1C54" w:rsidRDefault="009E1C54" w:rsidP="009876EF">
      <w:pPr>
        <w:pStyle w:val="Odstavec"/>
        <w:rPr>
          <w:szCs w:val="24"/>
        </w:rPr>
      </w:pPr>
      <w:r w:rsidRPr="009E1C54">
        <w:rPr>
          <w:szCs w:val="24"/>
        </w:rPr>
        <w:t>(1)</w:t>
      </w:r>
      <w:r w:rsidRPr="009E1C54">
        <w:rPr>
          <w:szCs w:val="24"/>
        </w:rPr>
        <w:tab/>
        <w:t>Nejvyšší orgán evropské politické strany nebo evropské politické nadace může rozhodnout o změně právní formy evropské politické strany nebo evropské politické nadace na spolek.</w:t>
      </w:r>
    </w:p>
    <w:p w14:paraId="579736EA" w14:textId="77777777" w:rsidR="009E1C54" w:rsidRPr="009E1C54" w:rsidRDefault="009E1C54" w:rsidP="009876EF">
      <w:pPr>
        <w:pStyle w:val="Odstavec"/>
        <w:rPr>
          <w:szCs w:val="24"/>
        </w:rPr>
      </w:pPr>
      <w:r w:rsidRPr="009E1C54">
        <w:rPr>
          <w:szCs w:val="24"/>
        </w:rPr>
        <w:t>(2)</w:t>
      </w:r>
      <w:r w:rsidRPr="009E1C54">
        <w:rPr>
          <w:szCs w:val="24"/>
        </w:rPr>
        <w:tab/>
        <w:t>Rozhodnutí o změně právní formy musí obsahovat</w:t>
      </w:r>
    </w:p>
    <w:p w14:paraId="5F22A4CB" w14:textId="77777777" w:rsidR="009E1C54" w:rsidRPr="009E1C54" w:rsidRDefault="009E1C54" w:rsidP="009E1C54">
      <w:pPr>
        <w:pStyle w:val="Psmeno"/>
        <w:tabs>
          <w:tab w:val="left" w:pos="420"/>
        </w:tabs>
        <w:spacing w:before="0"/>
        <w:ind w:left="0" w:firstLine="0"/>
        <w:rPr>
          <w:szCs w:val="24"/>
        </w:rPr>
      </w:pPr>
      <w:r w:rsidRPr="009E1C54">
        <w:rPr>
          <w:szCs w:val="24"/>
        </w:rPr>
        <w:t>a)</w:t>
      </w:r>
      <w:r w:rsidRPr="009E1C54">
        <w:rPr>
          <w:szCs w:val="24"/>
        </w:rPr>
        <w:tab/>
        <w:t>název, sídlo a registrační číslo evropské politické strany nebo evropské politické nadace,</w:t>
      </w:r>
    </w:p>
    <w:p w14:paraId="4F18EE44" w14:textId="77777777" w:rsidR="009E1C54" w:rsidRPr="009E1C54" w:rsidRDefault="009E1C54" w:rsidP="009E1C54">
      <w:pPr>
        <w:pStyle w:val="Psmeno"/>
        <w:tabs>
          <w:tab w:val="left" w:pos="420"/>
        </w:tabs>
        <w:spacing w:before="0"/>
        <w:ind w:left="0" w:firstLine="0"/>
        <w:rPr>
          <w:b/>
          <w:szCs w:val="24"/>
        </w:rPr>
      </w:pPr>
      <w:r w:rsidRPr="009E1C54">
        <w:rPr>
          <w:szCs w:val="24"/>
        </w:rPr>
        <w:t>b)</w:t>
      </w:r>
      <w:r w:rsidRPr="009E1C54">
        <w:rPr>
          <w:szCs w:val="24"/>
        </w:rPr>
        <w:tab/>
        <w:t>název spolku po změně právní formy</w:t>
      </w:r>
      <w:r w:rsidRPr="009E1C54">
        <w:rPr>
          <w:strike/>
          <w:szCs w:val="24"/>
        </w:rPr>
        <w:t>,</w:t>
      </w:r>
      <w:r w:rsidRPr="009E1C54">
        <w:rPr>
          <w:szCs w:val="24"/>
        </w:rPr>
        <w:t xml:space="preserve"> </w:t>
      </w:r>
      <w:r w:rsidRPr="009E1C54">
        <w:rPr>
          <w:b/>
          <w:szCs w:val="24"/>
        </w:rPr>
        <w:t>a</w:t>
      </w:r>
    </w:p>
    <w:p w14:paraId="0A797D79" w14:textId="77777777" w:rsidR="009E1C54" w:rsidRPr="009E1C54" w:rsidRDefault="009E1C54" w:rsidP="009E1C54">
      <w:pPr>
        <w:pStyle w:val="Psmeno"/>
        <w:tabs>
          <w:tab w:val="left" w:pos="420"/>
        </w:tabs>
        <w:spacing w:before="0"/>
        <w:ind w:left="0" w:firstLine="0"/>
        <w:rPr>
          <w:strike/>
          <w:szCs w:val="24"/>
        </w:rPr>
      </w:pPr>
      <w:r w:rsidRPr="009E1C54">
        <w:rPr>
          <w:strike/>
          <w:szCs w:val="24"/>
        </w:rPr>
        <w:t>c)</w:t>
      </w:r>
      <w:r w:rsidRPr="009E1C54">
        <w:rPr>
          <w:strike/>
          <w:szCs w:val="24"/>
        </w:rPr>
        <w:tab/>
        <w:t>rozhodný den a</w:t>
      </w:r>
    </w:p>
    <w:p w14:paraId="71CF4B78" w14:textId="7773AF9E" w:rsidR="009E1C54" w:rsidRPr="009E1C54" w:rsidRDefault="009E1C54" w:rsidP="00FB0671">
      <w:pPr>
        <w:pStyle w:val="Psmeno"/>
        <w:tabs>
          <w:tab w:val="left" w:pos="567"/>
        </w:tabs>
        <w:spacing w:before="0"/>
        <w:ind w:left="0" w:firstLine="0"/>
        <w:rPr>
          <w:szCs w:val="24"/>
        </w:rPr>
      </w:pPr>
      <w:r w:rsidRPr="00FB0671">
        <w:rPr>
          <w:strike/>
          <w:szCs w:val="24"/>
        </w:rPr>
        <w:t>d)</w:t>
      </w:r>
      <w:r w:rsidR="00FB0671">
        <w:rPr>
          <w:b/>
          <w:szCs w:val="24"/>
        </w:rPr>
        <w:t>d)</w:t>
      </w:r>
      <w:r w:rsidR="00FB0671">
        <w:rPr>
          <w:b/>
          <w:szCs w:val="24"/>
        </w:rPr>
        <w:tab/>
      </w:r>
      <w:r w:rsidRPr="009E1C54">
        <w:rPr>
          <w:szCs w:val="24"/>
        </w:rPr>
        <w:t>údaje o členech orgánů spolku, které se zapisují do spolkového rejstříku.</w:t>
      </w:r>
    </w:p>
    <w:p w14:paraId="388F237E" w14:textId="760BF690" w:rsidR="009E1C54" w:rsidRPr="009E1C54" w:rsidRDefault="009E1C54" w:rsidP="009876EF">
      <w:pPr>
        <w:pStyle w:val="Odstavec"/>
        <w:rPr>
          <w:szCs w:val="24"/>
        </w:rPr>
      </w:pPr>
      <w:r w:rsidRPr="009E1C54">
        <w:rPr>
          <w:szCs w:val="24"/>
        </w:rPr>
        <w:t>(3) Rozhodnutí o změně právní formy evropské politické strany nebo evropské politické nadace na spolek nabývá účinnosti dnem zápisu do spolkového rejstříku. V rámci zápisu spolku se uvede údaj o tom, že spolek změnil právní formu z evropské politické strany nebo evropské politické nadace a její název, sídlo a registrační číslo.</w:t>
      </w:r>
    </w:p>
    <w:p w14:paraId="66517E00" w14:textId="6CC18DF5" w:rsidR="009E1C54" w:rsidRPr="009E1C54" w:rsidRDefault="009E1C54" w:rsidP="009876EF">
      <w:pPr>
        <w:pStyle w:val="Odstavec"/>
        <w:rPr>
          <w:szCs w:val="24"/>
        </w:rPr>
      </w:pPr>
      <w:r w:rsidRPr="009E1C54">
        <w:rPr>
          <w:szCs w:val="24"/>
        </w:rPr>
        <w:t xml:space="preserve">(4) Evropská politická strana nebo evropská politická nadace požádá bez zbytečného odkladu po nabytí účinnosti změny právní formy na spolek podle odstavce 3 o výmaz evropské </w:t>
      </w:r>
      <w:r w:rsidRPr="009E1C54">
        <w:rPr>
          <w:szCs w:val="24"/>
        </w:rPr>
        <w:lastRenderedPageBreak/>
        <w:t>politické strany nebo evropské politické nadace z rejstříku evropských politických stran a evropských politických nadací.</w:t>
      </w:r>
    </w:p>
    <w:p w14:paraId="369E3169" w14:textId="0721932D" w:rsidR="00C62C41" w:rsidRPr="009E1C54" w:rsidRDefault="009E1C54" w:rsidP="009876EF">
      <w:pPr>
        <w:pStyle w:val="Odstavec"/>
        <w:rPr>
          <w:szCs w:val="24"/>
        </w:rPr>
      </w:pPr>
      <w:r w:rsidRPr="009E1C54">
        <w:rPr>
          <w:szCs w:val="24"/>
        </w:rPr>
        <w:t>(5) Není-li zápis do spolkového rejstříku podle odstavce 3 proveden nejpozději v den, kdy evropská politická strana nebo evropská politická nadace pozbývá své evropské právní subjektivity, zrušuje se evropská politická strana nebo evropská politická nadace s likvidací; pro účely likvidace se zrušená evropská politická strana nebo evropská politická nadace považuje za spolek.</w:t>
      </w:r>
    </w:p>
    <w:p w14:paraId="6DDA6681" w14:textId="77777777" w:rsidR="00C62C41" w:rsidRDefault="00C62C41" w:rsidP="00C62C41">
      <w:pPr>
        <w:tabs>
          <w:tab w:val="left" w:pos="851"/>
        </w:tabs>
        <w:spacing w:before="120" w:after="120"/>
        <w:ind w:firstLine="0"/>
        <w:outlineLvl w:val="0"/>
      </w:pPr>
    </w:p>
    <w:p w14:paraId="6E9B4923" w14:textId="77777777" w:rsidR="00C62C41" w:rsidRDefault="00C62C41" w:rsidP="00C62C41">
      <w:pPr>
        <w:tabs>
          <w:tab w:val="left" w:pos="851"/>
        </w:tabs>
        <w:spacing w:before="120" w:after="120"/>
        <w:ind w:firstLine="0"/>
        <w:outlineLvl w:val="0"/>
        <w:sectPr w:rsidR="00C62C41" w:rsidSect="00554E2B">
          <w:footnotePr>
            <w:numStart w:val="3"/>
          </w:footnotePr>
          <w:endnotePr>
            <w:numFmt w:val="decimal"/>
          </w:endnotePr>
          <w:pgSz w:w="11906" w:h="16838"/>
          <w:pgMar w:top="1418" w:right="1418" w:bottom="1418" w:left="1418" w:header="709" w:footer="709" w:gutter="0"/>
          <w:cols w:space="708"/>
          <w:docGrid w:linePitch="360"/>
        </w:sectPr>
      </w:pPr>
    </w:p>
    <w:p w14:paraId="5651C1AB" w14:textId="212727C9" w:rsidR="00C62C41" w:rsidRPr="00CD70BD" w:rsidRDefault="00C62C41" w:rsidP="009876EF">
      <w:pPr>
        <w:tabs>
          <w:tab w:val="left" w:pos="851"/>
        </w:tabs>
        <w:spacing w:before="120" w:after="120"/>
        <w:ind w:firstLine="0"/>
        <w:jc w:val="center"/>
        <w:outlineLvl w:val="0"/>
        <w:rPr>
          <w:szCs w:val="24"/>
        </w:rPr>
      </w:pPr>
      <w:r w:rsidRPr="00CD70BD">
        <w:rPr>
          <w:b/>
          <w:szCs w:val="24"/>
        </w:rPr>
        <w:lastRenderedPageBreak/>
        <w:t xml:space="preserve">K části sté dvacáté </w:t>
      </w:r>
      <w:r w:rsidR="00CD70BD" w:rsidRPr="00CD70BD">
        <w:rPr>
          <w:b/>
          <w:szCs w:val="24"/>
        </w:rPr>
        <w:t>čtvrté</w:t>
      </w:r>
      <w:r w:rsidRPr="00CD70BD">
        <w:rPr>
          <w:b/>
          <w:szCs w:val="24"/>
        </w:rPr>
        <w:t xml:space="preserve"> návrhu zákona – </w:t>
      </w:r>
      <w:r w:rsidRPr="00CD70BD">
        <w:rPr>
          <w:szCs w:val="24"/>
        </w:rPr>
        <w:t>změna zákona</w:t>
      </w:r>
      <w:r w:rsidRPr="00CD70BD">
        <w:t xml:space="preserve"> </w:t>
      </w:r>
      <w:r w:rsidRPr="00CD70BD">
        <w:rPr>
          <w:szCs w:val="24"/>
        </w:rPr>
        <w:t>o platebním styku</w:t>
      </w:r>
    </w:p>
    <w:p w14:paraId="50C35689" w14:textId="00FF76C7" w:rsidR="00C62C41" w:rsidRPr="00CD70BD" w:rsidRDefault="00C62C41" w:rsidP="00CD70BD">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CD70BD">
        <w:rPr>
          <w:b/>
          <w:szCs w:val="24"/>
        </w:rPr>
        <w:t>Platné znění</w:t>
      </w:r>
      <w:r w:rsidRPr="00CD70BD">
        <w:rPr>
          <w:szCs w:val="24"/>
        </w:rPr>
        <w:t xml:space="preserve"> zákona č. 370/2017 Sb., o platebním styku</w:t>
      </w:r>
    </w:p>
    <w:p w14:paraId="0CAFB3DB" w14:textId="77777777" w:rsidR="009876EF" w:rsidRPr="009876EF" w:rsidRDefault="009876EF" w:rsidP="009876EF">
      <w:pPr>
        <w:pStyle w:val="Odstavecseseznamem"/>
        <w:numPr>
          <w:ilvl w:val="0"/>
          <w:numId w:val="27"/>
        </w:numPr>
        <w:pBdr>
          <w:top w:val="single" w:sz="12" w:space="6" w:color="auto"/>
          <w:left w:val="single" w:sz="12" w:space="0" w:color="auto"/>
          <w:bottom w:val="single" w:sz="12" w:space="6" w:color="auto"/>
          <w:right w:val="single" w:sz="12" w:space="0" w:color="auto"/>
        </w:pBdr>
        <w:spacing w:after="120"/>
        <w:jc w:val="center"/>
        <w:rPr>
          <w:b/>
          <w:szCs w:val="24"/>
          <w:lang w:eastAsia="en-US"/>
        </w:rPr>
      </w:pPr>
      <w:r w:rsidRPr="009876EF">
        <w:rPr>
          <w:b/>
          <w:szCs w:val="24"/>
          <w:lang w:eastAsia="en-US"/>
        </w:rPr>
        <w:t>s vyznačením navrhovaných změn a doplnění k 1. lednu 2025</w:t>
      </w:r>
      <w:r w:rsidRPr="00181A4A">
        <w:t xml:space="preserve"> </w:t>
      </w:r>
    </w:p>
    <w:p w14:paraId="37260191" w14:textId="2FF2B252" w:rsidR="00CD70BD" w:rsidRPr="009876EF" w:rsidRDefault="00CD70BD" w:rsidP="009876EF">
      <w:pPr>
        <w:pStyle w:val="Odstavecseseznamem"/>
        <w:numPr>
          <w:ilvl w:val="0"/>
          <w:numId w:val="27"/>
        </w:numPr>
        <w:pBdr>
          <w:top w:val="single" w:sz="12" w:space="6" w:color="auto"/>
          <w:left w:val="single" w:sz="12" w:space="0" w:color="auto"/>
          <w:bottom w:val="single" w:sz="12" w:space="6" w:color="auto"/>
          <w:right w:val="single" w:sz="12" w:space="0" w:color="auto"/>
        </w:pBdr>
        <w:spacing w:before="0"/>
        <w:jc w:val="center"/>
        <w:rPr>
          <w:b/>
          <w:color w:val="0070C0"/>
          <w:szCs w:val="24"/>
        </w:rPr>
      </w:pPr>
      <w:r w:rsidRPr="00C05635">
        <w:rPr>
          <w:b/>
          <w:color w:val="0070C0"/>
          <w:szCs w:val="24"/>
          <w:lang w:eastAsia="en-US"/>
        </w:rPr>
        <w:t xml:space="preserve">s vyznačením navrhovaných změn a doplnění k účinnosti </w:t>
      </w:r>
      <w:r w:rsidRPr="00C05635">
        <w:rPr>
          <w:b/>
          <w:color w:val="0070C0"/>
          <w:szCs w:val="24"/>
        </w:rPr>
        <w:t xml:space="preserve">návrhu zákona, </w:t>
      </w:r>
      <w:r w:rsidRPr="00C05635">
        <w:rPr>
          <w:b/>
          <w:color w:val="0070C0"/>
        </w:rPr>
        <w:t>kterým se mění zákon č. 526/1990 Sb., o cenách, ve znění pozdějších předpisů, a další související zákony (ST 633)</w:t>
      </w:r>
    </w:p>
    <w:p w14:paraId="363BE1B0" w14:textId="77777777" w:rsidR="00C62C41" w:rsidRPr="00CD70BD" w:rsidRDefault="00C62C41" w:rsidP="00C62C41">
      <w:pPr>
        <w:pStyle w:val="Textparagrafu"/>
        <w:numPr>
          <w:ilvl w:val="0"/>
          <w:numId w:val="27"/>
        </w:numPr>
        <w:tabs>
          <w:tab w:val="left" w:pos="392"/>
          <w:tab w:val="left" w:pos="840"/>
        </w:tabs>
        <w:spacing w:after="120"/>
        <w:jc w:val="center"/>
      </w:pPr>
      <w:r w:rsidRPr="00CD70BD">
        <w:t>***</w:t>
      </w:r>
    </w:p>
    <w:p w14:paraId="36914F39" w14:textId="77777777" w:rsidR="00CD70BD" w:rsidRDefault="00CD70BD" w:rsidP="00CD70BD">
      <w:pPr>
        <w:pStyle w:val="Textodstavce"/>
        <w:keepNext/>
        <w:keepLines/>
        <w:numPr>
          <w:ilvl w:val="0"/>
          <w:numId w:val="27"/>
        </w:numPr>
        <w:spacing w:before="240"/>
        <w:jc w:val="center"/>
      </w:pPr>
      <w:r>
        <w:t>§ 213</w:t>
      </w:r>
    </w:p>
    <w:p w14:paraId="7F990A48" w14:textId="77777777" w:rsidR="00CD70BD" w:rsidRPr="00DA0EF9" w:rsidRDefault="00CD70BD" w:rsidP="00CD70BD">
      <w:pPr>
        <w:pStyle w:val="Nadpisparagrafu"/>
        <w:spacing w:after="120"/>
      </w:pPr>
      <w:r w:rsidRPr="00DA0EF9">
        <w:t>Úplata</w:t>
      </w:r>
    </w:p>
    <w:p w14:paraId="2D2C5E6C" w14:textId="77777777" w:rsidR="00CD70BD" w:rsidRPr="00C05635" w:rsidRDefault="00CD70BD" w:rsidP="009876EF">
      <w:pPr>
        <w:pStyle w:val="PZTextodstavce"/>
        <w:pBdr>
          <w:top w:val="single" w:sz="12" w:space="1" w:color="0070C0"/>
          <w:left w:val="single" w:sz="12" w:space="4" w:color="0070C0"/>
          <w:bottom w:val="single" w:sz="12" w:space="1" w:color="0070C0"/>
          <w:right w:val="single" w:sz="12" w:space="4" w:color="0070C0"/>
        </w:pBdr>
        <w:spacing w:before="240"/>
        <w:rPr>
          <w:b/>
          <w:szCs w:val="24"/>
        </w:rPr>
      </w:pPr>
      <w:r w:rsidRPr="00B346D0">
        <w:t xml:space="preserve">Za služby uvedené v § 212 odst. 1 náleží poskytovateli nejvýše úplata odpovídající obvyklé ceně podle zákona </w:t>
      </w:r>
      <w:r w:rsidRPr="00B06E00">
        <w:rPr>
          <w:strike/>
          <w:color w:val="0070C0"/>
        </w:rPr>
        <w:t xml:space="preserve">o cenách </w:t>
      </w:r>
      <w:r w:rsidRPr="00B06E00">
        <w:rPr>
          <w:b/>
          <w:strike/>
        </w:rPr>
        <w:t xml:space="preserve">oceňování majetku </w:t>
      </w:r>
      <w:r w:rsidRPr="00C05635">
        <w:rPr>
          <w:b/>
        </w:rPr>
        <w:t>upravujícího oceňování věcí, služeb a dluhů</w:t>
      </w:r>
      <w:r w:rsidRPr="00705EB7">
        <w:t>.</w:t>
      </w:r>
    </w:p>
    <w:p w14:paraId="1A2F2F3A" w14:textId="77777777" w:rsidR="00CD70BD" w:rsidRDefault="00CD70BD" w:rsidP="00CD70BD">
      <w:pPr>
        <w:pStyle w:val="Paragraf"/>
        <w:numPr>
          <w:ilvl w:val="0"/>
          <w:numId w:val="27"/>
        </w:numPr>
        <w:spacing w:after="120"/>
      </w:pPr>
      <w:r w:rsidRPr="00AA135D">
        <w:t>***</w:t>
      </w:r>
    </w:p>
    <w:p w14:paraId="1F337D51" w14:textId="77777777" w:rsidR="00CD70BD" w:rsidRDefault="00CD70BD" w:rsidP="00CD70BD">
      <w:pPr>
        <w:pStyle w:val="Textodstavce"/>
        <w:keepNext/>
        <w:keepLines/>
        <w:numPr>
          <w:ilvl w:val="0"/>
          <w:numId w:val="27"/>
        </w:numPr>
        <w:spacing w:before="240"/>
        <w:jc w:val="center"/>
      </w:pPr>
      <w:r>
        <w:t>§ 242</w:t>
      </w:r>
    </w:p>
    <w:p w14:paraId="155B5D93" w14:textId="77777777" w:rsidR="00CD70BD" w:rsidRDefault="00CD70BD" w:rsidP="00CD70BD">
      <w:pPr>
        <w:pStyle w:val="Nadpisparagrafu"/>
        <w:spacing w:after="120"/>
      </w:pPr>
      <w:r>
        <w:t>Opatření k nápravě</w:t>
      </w:r>
    </w:p>
    <w:p w14:paraId="6D219F60" w14:textId="77777777" w:rsidR="00CD70BD" w:rsidRDefault="00CD70BD" w:rsidP="00CD70BD">
      <w:pPr>
        <w:pStyle w:val="PZTextodstavce"/>
        <w:spacing w:before="240"/>
      </w:pPr>
      <w:r>
        <w:t xml:space="preserve">(1) </w:t>
      </w:r>
      <w:r w:rsidRPr="00AF3E79">
        <w:t>Poruší-li osoba podléhající dohledu České národní banky povinnost stanovenou tímto zákonem nebo jiným právním předpisem upravujícím postup při výkonu činností, které je tato osoba oprávněna vykonávat podle tohoto zákona, může Česká národní banka podle závažnosti a následků zjištěného nedostatku uložit této osobě, aby</w:t>
      </w:r>
    </w:p>
    <w:p w14:paraId="3DEC10F3" w14:textId="77777777" w:rsidR="00CD70BD" w:rsidRDefault="00CD70BD" w:rsidP="00CD70BD">
      <w:pPr>
        <w:pStyle w:val="PZTextpsmene"/>
        <w:spacing w:before="0"/>
      </w:pPr>
      <w:r>
        <w:t>a)</w:t>
      </w:r>
      <w:r>
        <w:tab/>
      </w:r>
      <w:r w:rsidRPr="00AF3E79">
        <w:t>ve stanovené lhůtě zjednala nápravu,</w:t>
      </w:r>
    </w:p>
    <w:p w14:paraId="2453037C" w14:textId="77777777" w:rsidR="00CD70BD" w:rsidRDefault="00CD70BD" w:rsidP="00CD70BD">
      <w:pPr>
        <w:pStyle w:val="PZTextpsmene"/>
        <w:spacing w:before="0"/>
      </w:pPr>
      <w:r>
        <w:t>b)</w:t>
      </w:r>
      <w:r>
        <w:tab/>
      </w:r>
      <w:r w:rsidRPr="00AF3E79">
        <w:t>nevykonávala činnosti, které je oprávněna vykonávat podle tohoto zákona, nebo některé z nich, dokud nezjedná nápravu,</w:t>
      </w:r>
    </w:p>
    <w:p w14:paraId="1FB97148" w14:textId="77777777" w:rsidR="00CD70BD" w:rsidRPr="002B602F" w:rsidRDefault="00CD70BD" w:rsidP="00CD70BD">
      <w:pPr>
        <w:pStyle w:val="PZTextpsmene"/>
        <w:spacing w:before="0"/>
        <w:rPr>
          <w:strike/>
        </w:rPr>
      </w:pPr>
      <w:r>
        <w:rPr>
          <w:strike/>
        </w:rPr>
        <w:t>c)</w:t>
      </w:r>
      <w:r>
        <w:rPr>
          <w:strike/>
        </w:rPr>
        <w:tab/>
      </w:r>
      <w:r w:rsidRPr="002B602F">
        <w:rPr>
          <w:strike/>
        </w:rPr>
        <w:t>nechala na své náklady provést mimořádný audit,</w:t>
      </w:r>
    </w:p>
    <w:p w14:paraId="283BAAB4" w14:textId="77777777" w:rsidR="00CD70BD" w:rsidRDefault="00CD70BD" w:rsidP="00CD70BD">
      <w:pPr>
        <w:pStyle w:val="PZTextpsmene"/>
        <w:spacing w:before="0"/>
      </w:pPr>
      <w:r w:rsidRPr="00DA0EF9">
        <w:rPr>
          <w:strike/>
        </w:rPr>
        <w:t>d)</w:t>
      </w:r>
      <w:r>
        <w:rPr>
          <w:b/>
        </w:rPr>
        <w:t>c)</w:t>
      </w:r>
      <w:r>
        <w:tab/>
      </w:r>
      <w:r w:rsidRPr="00AF3E79">
        <w:t>vyměnila auditora,</w:t>
      </w:r>
    </w:p>
    <w:p w14:paraId="1410832D" w14:textId="77777777" w:rsidR="00CD70BD" w:rsidRDefault="00CD70BD" w:rsidP="00CD70BD">
      <w:pPr>
        <w:pStyle w:val="PZTextpsmene"/>
        <w:spacing w:before="0"/>
      </w:pPr>
      <w:r w:rsidRPr="00DA0EF9">
        <w:rPr>
          <w:strike/>
        </w:rPr>
        <w:t>e)</w:t>
      </w:r>
      <w:r>
        <w:rPr>
          <w:b/>
        </w:rPr>
        <w:t>d)</w:t>
      </w:r>
      <w:r>
        <w:tab/>
      </w:r>
      <w:r w:rsidRPr="00AF3E79">
        <w:t>vyměnila svoji vedoucí osobu,</w:t>
      </w:r>
    </w:p>
    <w:p w14:paraId="58850946" w14:textId="77777777" w:rsidR="00CD70BD" w:rsidRDefault="00CD70BD" w:rsidP="00CD70BD">
      <w:pPr>
        <w:pStyle w:val="PZTextpsmene"/>
        <w:spacing w:before="0"/>
      </w:pPr>
      <w:r w:rsidRPr="00DA0EF9">
        <w:rPr>
          <w:strike/>
        </w:rPr>
        <w:t>f)</w:t>
      </w:r>
      <w:r>
        <w:rPr>
          <w:b/>
        </w:rPr>
        <w:t>e)</w:t>
      </w:r>
      <w:r>
        <w:tab/>
      </w:r>
      <w:r w:rsidRPr="00AF3E79">
        <w:t>nevykonávala činnosti, které je oprávněna vykonávat podle tohoto zákona, prostřednictvím pověřeného zástupce,</w:t>
      </w:r>
    </w:p>
    <w:p w14:paraId="02C1978D" w14:textId="77777777" w:rsidR="00CD70BD" w:rsidRDefault="00CD70BD" w:rsidP="00CD70BD">
      <w:pPr>
        <w:pStyle w:val="PZTextpsmene"/>
        <w:spacing w:before="0"/>
      </w:pPr>
      <w:r w:rsidRPr="00DA0EF9">
        <w:rPr>
          <w:strike/>
        </w:rPr>
        <w:t>g)</w:t>
      </w:r>
      <w:r>
        <w:rPr>
          <w:b/>
        </w:rPr>
        <w:t>f)</w:t>
      </w:r>
      <w:r>
        <w:tab/>
      </w:r>
      <w:r w:rsidRPr="00AF3E79">
        <w:t>nevykonávala činnosti, které je oprávněna vykonávat podle tohoto zákona, prostřednictvím pobočky v hostitelském členském státě,</w:t>
      </w:r>
    </w:p>
    <w:p w14:paraId="57DFBCE2" w14:textId="77777777" w:rsidR="00CD70BD" w:rsidRDefault="00CD70BD" w:rsidP="00CD70BD">
      <w:pPr>
        <w:pStyle w:val="PZTextpsmene"/>
        <w:spacing w:before="0"/>
      </w:pPr>
      <w:r w:rsidRPr="00DA0EF9">
        <w:rPr>
          <w:strike/>
        </w:rPr>
        <w:t>h)</w:t>
      </w:r>
      <w:r>
        <w:rPr>
          <w:b/>
        </w:rPr>
        <w:t>g)</w:t>
      </w:r>
      <w:r>
        <w:tab/>
      </w:r>
      <w:r w:rsidRPr="00AF3E79">
        <w:t>omezila výkon některých provozních činností vztahujících se k činnostem, které je oprávněna vykonávat podle tohoto zákona, prostřednictvím jiné osoby, nebo aby tyto činnosti prostřednictvím jiné osoby nevykonávala, nebo</w:t>
      </w:r>
    </w:p>
    <w:p w14:paraId="3D5E20F1" w14:textId="77777777" w:rsidR="00CD70BD" w:rsidRDefault="00CD70BD" w:rsidP="00CD70BD">
      <w:pPr>
        <w:pStyle w:val="PZTextpsmene"/>
        <w:spacing w:before="0"/>
      </w:pPr>
      <w:r w:rsidRPr="00DA0EF9">
        <w:rPr>
          <w:strike/>
        </w:rPr>
        <w:t>i)</w:t>
      </w:r>
      <w:r>
        <w:rPr>
          <w:b/>
        </w:rPr>
        <w:t>h)</w:t>
      </w:r>
      <w:r>
        <w:tab/>
      </w:r>
      <w:r w:rsidRPr="00AF3E79">
        <w:t>nakládala s peněžními prostředky, které jí byly svěřeny k provedení platební transakce nebo proti jejichž přijetí byly vydány elektronické peníze, pouze stanoveným způsobem.</w:t>
      </w:r>
    </w:p>
    <w:p w14:paraId="4B421E14" w14:textId="15F53F81" w:rsidR="00CD70BD" w:rsidRPr="00CD70BD" w:rsidRDefault="00CD70BD" w:rsidP="009876EF">
      <w:pPr>
        <w:pStyle w:val="PZTextodstavce"/>
      </w:pPr>
      <w:r>
        <w:t xml:space="preserve">(2) </w:t>
      </w:r>
      <w:r w:rsidRPr="00AF3E79">
        <w:t>Osoba podléhající dohledu České národní banky, které Česká národní banka uložila opatření k nápravě podle odstavce 1, informuje Českou národní banku bez zbytečného odkladu o odstranění nedostatku a o způsobu zjednání nápravy.</w:t>
      </w:r>
    </w:p>
    <w:p w14:paraId="72129835" w14:textId="77777777" w:rsidR="00C62C41" w:rsidRDefault="00C62C41" w:rsidP="00C62C41">
      <w:pPr>
        <w:tabs>
          <w:tab w:val="left" w:pos="851"/>
        </w:tabs>
        <w:spacing w:before="120" w:after="120"/>
        <w:ind w:firstLine="0"/>
        <w:outlineLvl w:val="0"/>
      </w:pPr>
    </w:p>
    <w:p w14:paraId="4E6614ED" w14:textId="77777777" w:rsidR="00C62C41" w:rsidRDefault="00C62C41" w:rsidP="00C62C41">
      <w:pPr>
        <w:tabs>
          <w:tab w:val="left" w:pos="851"/>
        </w:tabs>
        <w:spacing w:before="120" w:after="120"/>
        <w:ind w:firstLine="0"/>
        <w:outlineLvl w:val="0"/>
        <w:sectPr w:rsidR="00C62C41" w:rsidSect="00554E2B">
          <w:footnotePr>
            <w:numStart w:val="3"/>
          </w:footnotePr>
          <w:endnotePr>
            <w:numFmt w:val="decimal"/>
          </w:endnotePr>
          <w:pgSz w:w="11906" w:h="16838"/>
          <w:pgMar w:top="1418" w:right="1418" w:bottom="1418" w:left="1418" w:header="709" w:footer="709" w:gutter="0"/>
          <w:cols w:space="708"/>
          <w:docGrid w:linePitch="360"/>
        </w:sectPr>
      </w:pPr>
    </w:p>
    <w:p w14:paraId="3D3DA2B0" w14:textId="2203A585" w:rsidR="00C62C41" w:rsidRPr="00CD70BD" w:rsidRDefault="00C62C41" w:rsidP="009876EF">
      <w:pPr>
        <w:tabs>
          <w:tab w:val="left" w:pos="851"/>
        </w:tabs>
        <w:spacing w:before="120" w:after="120"/>
        <w:ind w:firstLine="0"/>
        <w:jc w:val="center"/>
        <w:outlineLvl w:val="0"/>
        <w:rPr>
          <w:szCs w:val="24"/>
        </w:rPr>
      </w:pPr>
      <w:r w:rsidRPr="00CD70BD">
        <w:rPr>
          <w:b/>
          <w:szCs w:val="24"/>
        </w:rPr>
        <w:lastRenderedPageBreak/>
        <w:t xml:space="preserve">K části sté dvacáté </w:t>
      </w:r>
      <w:r w:rsidR="00CD70BD" w:rsidRPr="00CD70BD">
        <w:rPr>
          <w:b/>
          <w:szCs w:val="24"/>
        </w:rPr>
        <w:t>páté</w:t>
      </w:r>
      <w:r w:rsidRPr="00CD70BD">
        <w:rPr>
          <w:b/>
          <w:szCs w:val="24"/>
        </w:rPr>
        <w:t xml:space="preserve"> návrhu zákona – </w:t>
      </w:r>
      <w:r w:rsidRPr="00CD70BD">
        <w:rPr>
          <w:szCs w:val="24"/>
        </w:rPr>
        <w:t>změna zákona</w:t>
      </w:r>
      <w:r w:rsidRPr="00CD70BD">
        <w:t xml:space="preserve"> </w:t>
      </w:r>
      <w:r w:rsidRPr="00CD70BD">
        <w:rPr>
          <w:szCs w:val="24"/>
        </w:rPr>
        <w:t>o mezinárodní spolupráci při řešení daňových sporů v Evropské unii</w:t>
      </w:r>
    </w:p>
    <w:p w14:paraId="00970492" w14:textId="77777777" w:rsidR="00C62C41" w:rsidRPr="00CD70BD" w:rsidRDefault="00C62C41" w:rsidP="00C62C41">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CD70BD">
        <w:rPr>
          <w:b/>
          <w:szCs w:val="24"/>
        </w:rPr>
        <w:t>Platné znění</w:t>
      </w:r>
      <w:r w:rsidRPr="00CD70BD">
        <w:rPr>
          <w:szCs w:val="24"/>
        </w:rPr>
        <w:t xml:space="preserve"> zákona č. 335/2020 Sb., o mezinárodní spolupráci při řešení daňových sporů v Evropské unii</w:t>
      </w:r>
    </w:p>
    <w:p w14:paraId="5C555D47" w14:textId="77777777" w:rsidR="009876EF" w:rsidRPr="009876EF" w:rsidRDefault="009876EF" w:rsidP="009876EF">
      <w:pPr>
        <w:pStyle w:val="Odstavecseseznamem"/>
        <w:numPr>
          <w:ilvl w:val="0"/>
          <w:numId w:val="27"/>
        </w:numPr>
        <w:pBdr>
          <w:top w:val="single" w:sz="12" w:space="6" w:color="auto"/>
          <w:left w:val="single" w:sz="12" w:space="0" w:color="auto"/>
          <w:bottom w:val="single" w:sz="12" w:space="6" w:color="auto"/>
          <w:right w:val="single" w:sz="12" w:space="0" w:color="auto"/>
        </w:pBdr>
        <w:spacing w:after="120"/>
        <w:jc w:val="center"/>
        <w:rPr>
          <w:b/>
          <w:szCs w:val="24"/>
          <w:lang w:eastAsia="en-US"/>
        </w:rPr>
      </w:pPr>
      <w:r w:rsidRPr="009876EF">
        <w:rPr>
          <w:b/>
          <w:szCs w:val="24"/>
          <w:lang w:eastAsia="en-US"/>
        </w:rPr>
        <w:t>s vyznačením navrhovaných změn a doplnění k 1. lednu 2025</w:t>
      </w:r>
      <w:r w:rsidRPr="00181A4A">
        <w:t xml:space="preserve"> </w:t>
      </w:r>
    </w:p>
    <w:p w14:paraId="641588CA" w14:textId="77777777" w:rsidR="00C62C41" w:rsidRPr="00CD70BD" w:rsidRDefault="00C62C41" w:rsidP="00C62C41">
      <w:pPr>
        <w:pStyle w:val="Textparagrafu"/>
        <w:numPr>
          <w:ilvl w:val="0"/>
          <w:numId w:val="27"/>
        </w:numPr>
        <w:tabs>
          <w:tab w:val="left" w:pos="392"/>
          <w:tab w:val="left" w:pos="840"/>
        </w:tabs>
        <w:spacing w:after="120"/>
        <w:jc w:val="center"/>
      </w:pPr>
      <w:r w:rsidRPr="00CD70BD">
        <w:t>***</w:t>
      </w:r>
    </w:p>
    <w:p w14:paraId="7C5ADF54" w14:textId="77777777" w:rsidR="00CD70BD" w:rsidRDefault="00CD70BD" w:rsidP="00CD70BD">
      <w:pPr>
        <w:pStyle w:val="Paragraf"/>
        <w:numPr>
          <w:ilvl w:val="0"/>
          <w:numId w:val="27"/>
        </w:numPr>
        <w:spacing w:after="120"/>
      </w:pPr>
      <w:r w:rsidRPr="0079494A">
        <w:t>§</w:t>
      </w:r>
      <w:r>
        <w:t xml:space="preserve"> </w:t>
      </w:r>
      <w:r w:rsidRPr="0079494A">
        <w:t>25</w:t>
      </w:r>
    </w:p>
    <w:p w14:paraId="45369A51" w14:textId="77777777" w:rsidR="00CD70BD" w:rsidRDefault="00CD70BD" w:rsidP="00CD70BD">
      <w:pPr>
        <w:pStyle w:val="Nadpisparagrafu"/>
        <w:spacing w:after="120"/>
      </w:pPr>
      <w:r>
        <w:t>Dotčený stát, ve kterém se činí podání</w:t>
      </w:r>
    </w:p>
    <w:p w14:paraId="5ACAF88E" w14:textId="30639733" w:rsidR="00CD70BD" w:rsidRDefault="00CD70BD" w:rsidP="00CD70BD">
      <w:pPr>
        <w:pStyle w:val="PZTextodstavce"/>
        <w:spacing w:before="240"/>
      </w:pPr>
      <w:r w:rsidRPr="0079494A">
        <w:t>(1</w:t>
      </w:r>
      <w:r>
        <w:t xml:space="preserve">) </w:t>
      </w:r>
      <w:r w:rsidRPr="0079494A">
        <w:t>U</w:t>
      </w:r>
      <w:r>
        <w:t xml:space="preserve"> </w:t>
      </w:r>
      <w:r w:rsidRPr="0079494A">
        <w:t>všech</w:t>
      </w:r>
      <w:r>
        <w:t xml:space="preserve"> </w:t>
      </w:r>
      <w:r w:rsidRPr="0079494A">
        <w:t>příslušných</w:t>
      </w:r>
      <w:r>
        <w:t xml:space="preserve"> </w:t>
      </w:r>
      <w:r w:rsidRPr="0079494A">
        <w:t>orgánů</w:t>
      </w:r>
      <w:r>
        <w:t xml:space="preserve"> </w:t>
      </w:r>
      <w:r w:rsidRPr="0079494A">
        <w:t>se</w:t>
      </w:r>
      <w:r>
        <w:t xml:space="preserve"> </w:t>
      </w:r>
      <w:r w:rsidRPr="0079494A">
        <w:t>činí</w:t>
      </w:r>
      <w:r>
        <w:t xml:space="preserve"> </w:t>
      </w:r>
      <w:r w:rsidRPr="0079494A">
        <w:t>podání</w:t>
      </w:r>
      <w:r>
        <w:t xml:space="preserve"> </w:t>
      </w:r>
      <w:r w:rsidRPr="0079494A">
        <w:t>obsahující</w:t>
      </w:r>
    </w:p>
    <w:p w14:paraId="37AE4557" w14:textId="77777777" w:rsidR="00CD70BD" w:rsidRDefault="00CD70BD" w:rsidP="00CD70BD">
      <w:pPr>
        <w:pStyle w:val="PZTextpsmene"/>
        <w:spacing w:before="0"/>
      </w:pPr>
      <w:r w:rsidRPr="0079494A">
        <w:t>a</w:t>
      </w:r>
      <w:r>
        <w:t>)</w:t>
      </w:r>
      <w:r>
        <w:tab/>
      </w:r>
      <w:r w:rsidRPr="0079494A">
        <w:t>žádost</w:t>
      </w:r>
      <w:r>
        <w:t xml:space="preserve"> </w:t>
      </w:r>
      <w:r w:rsidRPr="0079494A">
        <w:t>o</w:t>
      </w:r>
      <w:r>
        <w:t xml:space="preserve"> </w:t>
      </w:r>
      <w:r w:rsidRPr="0079494A">
        <w:t>zahájení</w:t>
      </w:r>
      <w:r>
        <w:t xml:space="preserve"> </w:t>
      </w:r>
      <w:r w:rsidRPr="0079494A">
        <w:t>harmonizovaného</w:t>
      </w:r>
      <w:r>
        <w:t xml:space="preserve"> </w:t>
      </w:r>
      <w:r w:rsidRPr="0079494A">
        <w:t>postupu,</w:t>
      </w:r>
    </w:p>
    <w:p w14:paraId="33A6E7B5" w14:textId="77777777" w:rsidR="00CD70BD" w:rsidRDefault="00CD70BD" w:rsidP="00CD70BD">
      <w:pPr>
        <w:pStyle w:val="PZTextpsmene"/>
        <w:spacing w:before="0"/>
      </w:pPr>
      <w:r w:rsidRPr="0079494A">
        <w:t>b</w:t>
      </w:r>
      <w:r>
        <w:t>)</w:t>
      </w:r>
      <w:r>
        <w:tab/>
      </w:r>
      <w:r w:rsidRPr="0079494A">
        <w:t>zpětvzetí</w:t>
      </w:r>
      <w:r>
        <w:t xml:space="preserve"> </w:t>
      </w:r>
      <w:r w:rsidRPr="0079494A">
        <w:t>žádosti</w:t>
      </w:r>
      <w:r>
        <w:t xml:space="preserve"> </w:t>
      </w:r>
      <w:r w:rsidRPr="0079494A">
        <w:t>o</w:t>
      </w:r>
      <w:r>
        <w:t xml:space="preserve"> </w:t>
      </w:r>
      <w:r w:rsidRPr="0079494A">
        <w:t>zahájení</w:t>
      </w:r>
      <w:r>
        <w:t xml:space="preserve"> </w:t>
      </w:r>
      <w:r w:rsidRPr="0079494A">
        <w:t>harmonizovaného</w:t>
      </w:r>
      <w:r>
        <w:t xml:space="preserve"> </w:t>
      </w:r>
      <w:r w:rsidRPr="0079494A">
        <w:t>postupu,</w:t>
      </w:r>
    </w:p>
    <w:p w14:paraId="2513E113" w14:textId="77777777" w:rsidR="00CD70BD" w:rsidRDefault="00CD70BD" w:rsidP="00CD70BD">
      <w:pPr>
        <w:pStyle w:val="PZTextpsmene"/>
        <w:spacing w:before="0"/>
      </w:pPr>
      <w:r w:rsidRPr="0079494A">
        <w:t>c</w:t>
      </w:r>
      <w:r>
        <w:t>)</w:t>
      </w:r>
      <w:r>
        <w:tab/>
      </w:r>
      <w:r w:rsidRPr="0079494A">
        <w:t>žádost</w:t>
      </w:r>
      <w:r>
        <w:t xml:space="preserve"> </w:t>
      </w:r>
      <w:r w:rsidRPr="0079494A">
        <w:t>o</w:t>
      </w:r>
      <w:r>
        <w:t xml:space="preserve"> </w:t>
      </w:r>
      <w:r w:rsidRPr="0079494A">
        <w:t>posouzení</w:t>
      </w:r>
      <w:r>
        <w:t xml:space="preserve"> </w:t>
      </w:r>
      <w:r w:rsidRPr="0079494A">
        <w:t>přípustnosti</w:t>
      </w:r>
      <w:r>
        <w:t xml:space="preserve"> </w:t>
      </w:r>
      <w:r w:rsidRPr="0079494A">
        <w:t>žádosti</w:t>
      </w:r>
      <w:r>
        <w:t xml:space="preserve"> </w:t>
      </w:r>
      <w:r w:rsidRPr="0079494A">
        <w:t>o</w:t>
      </w:r>
      <w:r>
        <w:t xml:space="preserve"> </w:t>
      </w:r>
      <w:r w:rsidRPr="0079494A">
        <w:t>zahájení</w:t>
      </w:r>
      <w:r>
        <w:t xml:space="preserve"> </w:t>
      </w:r>
      <w:r w:rsidRPr="0079494A">
        <w:t>harmonizovaného</w:t>
      </w:r>
      <w:r>
        <w:t xml:space="preserve"> </w:t>
      </w:r>
      <w:r w:rsidRPr="0079494A">
        <w:t>postupu</w:t>
      </w:r>
      <w:r>
        <w:t xml:space="preserve"> </w:t>
      </w:r>
      <w:r w:rsidRPr="0079494A">
        <w:t>poradní</w:t>
      </w:r>
      <w:r>
        <w:t xml:space="preserve"> </w:t>
      </w:r>
      <w:r w:rsidRPr="0079494A">
        <w:t>komisí,</w:t>
      </w:r>
      <w:r>
        <w:t xml:space="preserve"> </w:t>
      </w:r>
      <w:r w:rsidRPr="0079494A">
        <w:t>nebo</w:t>
      </w:r>
    </w:p>
    <w:p w14:paraId="06AE52F9" w14:textId="77777777" w:rsidR="00CD70BD" w:rsidRDefault="00CD70BD" w:rsidP="00CD70BD">
      <w:pPr>
        <w:pStyle w:val="PZTextpsmene"/>
        <w:spacing w:before="0"/>
      </w:pPr>
      <w:r w:rsidRPr="0079494A">
        <w:t>d</w:t>
      </w:r>
      <w:r>
        <w:t>)</w:t>
      </w:r>
      <w:r>
        <w:tab/>
      </w:r>
      <w:r w:rsidRPr="0079494A">
        <w:t>žádost</w:t>
      </w:r>
      <w:r>
        <w:t xml:space="preserve"> </w:t>
      </w:r>
      <w:r w:rsidRPr="0079494A">
        <w:t>o</w:t>
      </w:r>
      <w:r>
        <w:t xml:space="preserve"> </w:t>
      </w:r>
      <w:r w:rsidRPr="0079494A">
        <w:t>posouzení</w:t>
      </w:r>
      <w:r>
        <w:t xml:space="preserve"> </w:t>
      </w:r>
      <w:r w:rsidRPr="0079494A">
        <w:t>sporné</w:t>
      </w:r>
      <w:r>
        <w:t xml:space="preserve"> </w:t>
      </w:r>
      <w:r w:rsidRPr="0079494A">
        <w:t>otázky</w:t>
      </w:r>
      <w:r>
        <w:t xml:space="preserve"> </w:t>
      </w:r>
      <w:r w:rsidRPr="0079494A">
        <w:t>poradním</w:t>
      </w:r>
      <w:r>
        <w:t xml:space="preserve"> </w:t>
      </w:r>
      <w:r w:rsidRPr="0079494A">
        <w:t>orgánem.</w:t>
      </w:r>
    </w:p>
    <w:p w14:paraId="68B1CF5B" w14:textId="3AF36D02" w:rsidR="00CD70BD" w:rsidRDefault="00CD70BD" w:rsidP="009876EF">
      <w:pPr>
        <w:pStyle w:val="PZTextodstavce"/>
      </w:pPr>
      <w:r w:rsidRPr="0079494A">
        <w:t>(2</w:t>
      </w:r>
      <w:r>
        <w:t xml:space="preserve">) </w:t>
      </w:r>
      <w:r w:rsidRPr="0079494A">
        <w:t>Při</w:t>
      </w:r>
      <w:r>
        <w:t xml:space="preserve"> </w:t>
      </w:r>
      <w:r w:rsidRPr="0079494A">
        <w:t>podávání</w:t>
      </w:r>
      <w:r>
        <w:t xml:space="preserve"> </w:t>
      </w:r>
      <w:r w:rsidRPr="0079494A">
        <w:t>zjednodušeným</w:t>
      </w:r>
      <w:r>
        <w:t xml:space="preserve"> </w:t>
      </w:r>
      <w:r w:rsidRPr="0079494A">
        <w:t>způsobem</w:t>
      </w:r>
      <w:r>
        <w:t xml:space="preserve"> </w:t>
      </w:r>
      <w:r w:rsidRPr="0079494A">
        <w:t>postačí</w:t>
      </w:r>
      <w:r>
        <w:t xml:space="preserve"> </w:t>
      </w:r>
      <w:r w:rsidRPr="0079494A">
        <w:t>učinit</w:t>
      </w:r>
      <w:r>
        <w:t xml:space="preserve"> </w:t>
      </w:r>
      <w:r w:rsidRPr="0079494A">
        <w:t>podání</w:t>
      </w:r>
      <w:r>
        <w:t xml:space="preserve"> </w:t>
      </w:r>
      <w:r w:rsidRPr="0079494A">
        <w:t>pouze</w:t>
      </w:r>
      <w:r>
        <w:t xml:space="preserve"> </w:t>
      </w:r>
      <w:r w:rsidRPr="0079494A">
        <w:t>u</w:t>
      </w:r>
      <w:r>
        <w:t xml:space="preserve"> </w:t>
      </w:r>
      <w:r w:rsidRPr="0079494A">
        <w:t>tuzemského</w:t>
      </w:r>
      <w:r>
        <w:t xml:space="preserve"> </w:t>
      </w:r>
      <w:r w:rsidRPr="0079494A">
        <w:t>příslušného</w:t>
      </w:r>
      <w:r>
        <w:t xml:space="preserve"> </w:t>
      </w:r>
      <w:r w:rsidRPr="0079494A">
        <w:t>orgánu.</w:t>
      </w:r>
      <w:r>
        <w:t xml:space="preserve"> </w:t>
      </w:r>
      <w:r w:rsidRPr="0079494A">
        <w:t>Zjednodušeným</w:t>
      </w:r>
      <w:r>
        <w:t xml:space="preserve"> </w:t>
      </w:r>
      <w:r w:rsidRPr="0079494A">
        <w:t>způsobem</w:t>
      </w:r>
      <w:r>
        <w:t xml:space="preserve"> </w:t>
      </w:r>
      <w:r w:rsidRPr="0079494A">
        <w:t>lze</w:t>
      </w:r>
      <w:r>
        <w:t xml:space="preserve"> </w:t>
      </w:r>
      <w:r w:rsidRPr="0079494A">
        <w:t>učinit</w:t>
      </w:r>
      <w:r>
        <w:t xml:space="preserve"> </w:t>
      </w:r>
      <w:r w:rsidRPr="0079494A">
        <w:t>podání</w:t>
      </w:r>
      <w:r>
        <w:t xml:space="preserve"> </w:t>
      </w:r>
      <w:r w:rsidRPr="0079494A">
        <w:t>uvedená</w:t>
      </w:r>
      <w:r>
        <w:t xml:space="preserve"> </w:t>
      </w:r>
      <w:r w:rsidRPr="0079494A">
        <w:t>v</w:t>
      </w:r>
      <w:r>
        <w:t xml:space="preserve"> </w:t>
      </w:r>
      <w:r w:rsidRPr="0079494A">
        <w:t>odstavci</w:t>
      </w:r>
      <w:r>
        <w:t xml:space="preserve"> </w:t>
      </w:r>
      <w:r w:rsidRPr="0079494A">
        <w:t>1</w:t>
      </w:r>
      <w:r>
        <w:t xml:space="preserve"> </w:t>
      </w:r>
      <w:r w:rsidRPr="0079494A">
        <w:t>a</w:t>
      </w:r>
      <w:r>
        <w:t xml:space="preserve"> </w:t>
      </w:r>
      <w:r w:rsidRPr="0079494A">
        <w:t>podání</w:t>
      </w:r>
      <w:r>
        <w:t xml:space="preserve"> </w:t>
      </w:r>
      <w:r w:rsidRPr="0079494A">
        <w:t>obsahující</w:t>
      </w:r>
      <w:r>
        <w:t xml:space="preserve"> </w:t>
      </w:r>
      <w:r w:rsidRPr="0079494A">
        <w:t>doplňující</w:t>
      </w:r>
      <w:r>
        <w:t xml:space="preserve"> </w:t>
      </w:r>
      <w:r w:rsidRPr="0079494A">
        <w:t>informace.</w:t>
      </w:r>
    </w:p>
    <w:p w14:paraId="086CB90B" w14:textId="6758F144" w:rsidR="00CD70BD" w:rsidRDefault="00CD70BD" w:rsidP="009876EF">
      <w:pPr>
        <w:pStyle w:val="PZTextodstavce"/>
      </w:pPr>
      <w:r w:rsidRPr="0079494A">
        <w:t>(3</w:t>
      </w:r>
      <w:r>
        <w:t xml:space="preserve">) </w:t>
      </w:r>
      <w:r w:rsidRPr="0079494A">
        <w:t>Zjednodušeným</w:t>
      </w:r>
      <w:r>
        <w:t xml:space="preserve"> </w:t>
      </w:r>
      <w:r w:rsidRPr="0079494A">
        <w:t>způsobem</w:t>
      </w:r>
      <w:r>
        <w:t xml:space="preserve"> </w:t>
      </w:r>
      <w:r w:rsidRPr="0079494A">
        <w:t>může</w:t>
      </w:r>
      <w:r>
        <w:t xml:space="preserve"> </w:t>
      </w:r>
      <w:r w:rsidRPr="0079494A">
        <w:t>učinit</w:t>
      </w:r>
      <w:r>
        <w:t xml:space="preserve"> </w:t>
      </w:r>
      <w:r w:rsidRPr="0079494A">
        <w:t>podání</w:t>
      </w:r>
      <w:r>
        <w:t xml:space="preserve"> </w:t>
      </w:r>
      <w:r w:rsidRPr="0079494A">
        <w:t>pouze</w:t>
      </w:r>
      <w:r>
        <w:t xml:space="preserve"> </w:t>
      </w:r>
      <w:r w:rsidRPr="0079494A">
        <w:t>dotčený</w:t>
      </w:r>
      <w:r>
        <w:t xml:space="preserve"> </w:t>
      </w:r>
      <w:r w:rsidRPr="0079494A">
        <w:t>poplatník,</w:t>
      </w:r>
      <w:r>
        <w:t xml:space="preserve"> </w:t>
      </w:r>
      <w:r w:rsidRPr="0079494A">
        <w:t>který</w:t>
      </w:r>
      <w:r>
        <w:t xml:space="preserve"> </w:t>
      </w:r>
      <w:r w:rsidRPr="0079494A">
        <w:t>je</w:t>
      </w:r>
      <w:r>
        <w:t xml:space="preserve"> </w:t>
      </w:r>
      <w:r w:rsidRPr="0079494A">
        <w:t>daňovým</w:t>
      </w:r>
      <w:r>
        <w:t xml:space="preserve"> </w:t>
      </w:r>
      <w:r w:rsidRPr="0079494A">
        <w:t>rezidentem</w:t>
      </w:r>
      <w:r>
        <w:t xml:space="preserve"> </w:t>
      </w:r>
      <w:r w:rsidRPr="0079494A">
        <w:t>České</w:t>
      </w:r>
      <w:r>
        <w:t xml:space="preserve"> </w:t>
      </w:r>
      <w:r w:rsidRPr="0079494A">
        <w:t>republiky</w:t>
      </w:r>
      <w:r>
        <w:t xml:space="preserve"> </w:t>
      </w:r>
      <w:r w:rsidRPr="0079494A">
        <w:t>a</w:t>
      </w:r>
      <w:r>
        <w:t xml:space="preserve"> </w:t>
      </w:r>
      <w:r w:rsidRPr="0079494A">
        <w:t>je</w:t>
      </w:r>
    </w:p>
    <w:p w14:paraId="4E038C73" w14:textId="77777777" w:rsidR="00CD70BD" w:rsidRDefault="00CD70BD" w:rsidP="00CD70BD">
      <w:pPr>
        <w:pStyle w:val="PZTextpsmene"/>
        <w:spacing w:before="0"/>
      </w:pPr>
      <w:r w:rsidRPr="0079494A">
        <w:t>a</w:t>
      </w:r>
      <w:r>
        <w:t>)</w:t>
      </w:r>
      <w:r>
        <w:tab/>
      </w:r>
      <w:r w:rsidRPr="0079494A">
        <w:t>fyzickou</w:t>
      </w:r>
      <w:r>
        <w:t xml:space="preserve"> </w:t>
      </w:r>
      <w:r w:rsidRPr="0079494A">
        <w:t>osobou,</w:t>
      </w:r>
      <w:r>
        <w:t xml:space="preserve"> </w:t>
      </w:r>
      <w:r w:rsidRPr="0079494A">
        <w:t>nebo</w:t>
      </w:r>
    </w:p>
    <w:p w14:paraId="792FED1E" w14:textId="77777777" w:rsidR="00CD70BD" w:rsidRDefault="00CD70BD" w:rsidP="00CD70BD">
      <w:pPr>
        <w:pStyle w:val="PZTextpsmene"/>
        <w:spacing w:before="0"/>
      </w:pPr>
      <w:r w:rsidRPr="0079494A">
        <w:t>b</w:t>
      </w:r>
      <w:r>
        <w:t>)</w:t>
      </w:r>
      <w:r>
        <w:tab/>
      </w:r>
      <w:r w:rsidRPr="0079494A">
        <w:t>právnickou</w:t>
      </w:r>
      <w:r>
        <w:t xml:space="preserve"> </w:t>
      </w:r>
      <w:r w:rsidRPr="0079494A">
        <w:t>osobou</w:t>
      </w:r>
      <w:r>
        <w:t xml:space="preserve"> </w:t>
      </w:r>
      <w:r w:rsidRPr="0079494A">
        <w:t>nebo</w:t>
      </w:r>
      <w:r>
        <w:t xml:space="preserve"> </w:t>
      </w:r>
      <w:r w:rsidRPr="0079494A">
        <w:t>jednotkou</w:t>
      </w:r>
      <w:r>
        <w:t xml:space="preserve"> </w:t>
      </w:r>
      <w:r w:rsidRPr="0079494A">
        <w:t>bez</w:t>
      </w:r>
      <w:r>
        <w:t xml:space="preserve"> </w:t>
      </w:r>
      <w:r w:rsidRPr="0079494A">
        <w:t>právní</w:t>
      </w:r>
      <w:r>
        <w:t xml:space="preserve"> </w:t>
      </w:r>
      <w:r w:rsidRPr="0079494A">
        <w:t>osobnosti,</w:t>
      </w:r>
      <w:r>
        <w:t xml:space="preserve"> </w:t>
      </w:r>
      <w:r w:rsidRPr="0079494A">
        <w:t>které</w:t>
      </w:r>
      <w:r>
        <w:t xml:space="preserve"> </w:t>
      </w:r>
      <w:r w:rsidRPr="0079494A">
        <w:t>nejsou</w:t>
      </w:r>
    </w:p>
    <w:p w14:paraId="3EA893D5" w14:textId="77777777" w:rsidR="00CD70BD" w:rsidRDefault="00CD70BD" w:rsidP="00CD70BD">
      <w:pPr>
        <w:pStyle w:val="PZTextbodu"/>
        <w:spacing w:before="0"/>
      </w:pPr>
      <w:r w:rsidRPr="0079494A">
        <w:t>1</w:t>
      </w:r>
      <w:r>
        <w:t>.</w:t>
      </w:r>
      <w:r>
        <w:tab/>
      </w:r>
      <w:r w:rsidRPr="0079494A">
        <w:t>velkou</w:t>
      </w:r>
      <w:r>
        <w:t xml:space="preserve"> </w:t>
      </w:r>
      <w:r w:rsidRPr="0079494A">
        <w:t>účetní</w:t>
      </w:r>
      <w:r>
        <w:t xml:space="preserve"> </w:t>
      </w:r>
      <w:r w:rsidRPr="0079494A">
        <w:t>jednotkou</w:t>
      </w:r>
      <w:r>
        <w:t xml:space="preserve"> </w:t>
      </w:r>
      <w:r w:rsidRPr="00490110">
        <w:rPr>
          <w:strike/>
        </w:rPr>
        <w:t>podle zákona upravujícího účetnictví</w:t>
      </w:r>
      <w:r>
        <w:t xml:space="preserve"> </w:t>
      </w:r>
      <w:r w:rsidRPr="0079494A">
        <w:t>a</w:t>
      </w:r>
    </w:p>
    <w:p w14:paraId="643C16A3" w14:textId="77777777" w:rsidR="00CD70BD" w:rsidRPr="00490110" w:rsidRDefault="00CD70BD" w:rsidP="00CD70BD">
      <w:pPr>
        <w:pStyle w:val="PZTextbodu"/>
        <w:spacing w:before="0"/>
        <w:rPr>
          <w:strike/>
        </w:rPr>
      </w:pPr>
      <w:r w:rsidRPr="00490110">
        <w:rPr>
          <w:strike/>
        </w:rPr>
        <w:t>2.</w:t>
      </w:r>
      <w:r w:rsidRPr="00490110">
        <w:rPr>
          <w:strike/>
        </w:rPr>
        <w:tab/>
        <w:t>ve velké skupině účetních jednotek podle zákona upravujícího účetnictví.</w:t>
      </w:r>
    </w:p>
    <w:p w14:paraId="703D5742" w14:textId="77777777" w:rsidR="00CD70BD" w:rsidRPr="00490110" w:rsidRDefault="00CD70BD" w:rsidP="00CD70BD">
      <w:pPr>
        <w:pStyle w:val="PZTextbodu"/>
        <w:spacing w:before="0"/>
        <w:rPr>
          <w:b/>
        </w:rPr>
      </w:pPr>
      <w:r>
        <w:rPr>
          <w:b/>
        </w:rPr>
        <w:t>2.</w:t>
      </w:r>
      <w:r>
        <w:rPr>
          <w:b/>
        </w:rPr>
        <w:tab/>
      </w:r>
      <w:r w:rsidRPr="00490110">
        <w:rPr>
          <w:b/>
        </w:rPr>
        <w:t>součástí velkého konsolidačního celku.</w:t>
      </w:r>
    </w:p>
    <w:p w14:paraId="7C497C54" w14:textId="25F57ED0" w:rsidR="00CD70BD" w:rsidRDefault="00CD70BD" w:rsidP="009876EF">
      <w:pPr>
        <w:pStyle w:val="PZTextodstavce"/>
      </w:pPr>
      <w:r w:rsidRPr="0079494A">
        <w:t>(4</w:t>
      </w:r>
      <w:r>
        <w:t xml:space="preserve">) </w:t>
      </w:r>
      <w:r w:rsidRPr="0079494A">
        <w:t>Tuzemský</w:t>
      </w:r>
      <w:r>
        <w:t xml:space="preserve"> </w:t>
      </w:r>
      <w:r w:rsidRPr="0079494A">
        <w:t>příslušný</w:t>
      </w:r>
      <w:r>
        <w:t xml:space="preserve"> </w:t>
      </w:r>
      <w:r w:rsidRPr="0079494A">
        <w:t>orgán</w:t>
      </w:r>
      <w:r>
        <w:t xml:space="preserve"> </w:t>
      </w:r>
      <w:r w:rsidRPr="0079494A">
        <w:t>vyrozumí</w:t>
      </w:r>
      <w:r>
        <w:t xml:space="preserve"> </w:t>
      </w:r>
      <w:r w:rsidRPr="0079494A">
        <w:t>zahraniční</w:t>
      </w:r>
      <w:r>
        <w:t xml:space="preserve"> </w:t>
      </w:r>
      <w:r w:rsidRPr="0079494A">
        <w:t>příslušné</w:t>
      </w:r>
      <w:r>
        <w:t xml:space="preserve"> </w:t>
      </w:r>
      <w:r w:rsidRPr="0079494A">
        <w:t>orgány</w:t>
      </w:r>
      <w:r>
        <w:t xml:space="preserve"> </w:t>
      </w:r>
      <w:r w:rsidRPr="0079494A">
        <w:t>o</w:t>
      </w:r>
      <w:r>
        <w:t xml:space="preserve"> </w:t>
      </w:r>
      <w:r w:rsidRPr="0079494A">
        <w:t>podání</w:t>
      </w:r>
      <w:r>
        <w:t xml:space="preserve"> </w:t>
      </w:r>
      <w:r w:rsidRPr="0079494A">
        <w:t>učiněném</w:t>
      </w:r>
      <w:r>
        <w:t xml:space="preserve"> </w:t>
      </w:r>
      <w:r w:rsidRPr="0079494A">
        <w:t>zjednodušeným</w:t>
      </w:r>
      <w:r>
        <w:t xml:space="preserve"> </w:t>
      </w:r>
      <w:r w:rsidRPr="0079494A">
        <w:t>způsobem</w:t>
      </w:r>
      <w:r>
        <w:t xml:space="preserve"> </w:t>
      </w:r>
      <w:r w:rsidRPr="0079494A">
        <w:t>do</w:t>
      </w:r>
      <w:r>
        <w:t xml:space="preserve"> </w:t>
      </w:r>
      <w:r w:rsidRPr="0079494A">
        <w:t>2</w:t>
      </w:r>
      <w:r>
        <w:t xml:space="preserve"> </w:t>
      </w:r>
      <w:r w:rsidRPr="0079494A">
        <w:t>měsíců</w:t>
      </w:r>
      <w:r>
        <w:t xml:space="preserve"> </w:t>
      </w:r>
      <w:r w:rsidRPr="0079494A">
        <w:t>ode</w:t>
      </w:r>
      <w:r>
        <w:t xml:space="preserve"> </w:t>
      </w:r>
      <w:r w:rsidRPr="0079494A">
        <w:t>dne,</w:t>
      </w:r>
      <w:r>
        <w:t xml:space="preserve"> </w:t>
      </w:r>
      <w:r w:rsidRPr="0079494A">
        <w:t>kdy</w:t>
      </w:r>
      <w:r>
        <w:t xml:space="preserve"> </w:t>
      </w:r>
      <w:r w:rsidRPr="0079494A">
        <w:t>mu</w:t>
      </w:r>
      <w:r>
        <w:t xml:space="preserve"> </w:t>
      </w:r>
      <w:r w:rsidRPr="0079494A">
        <w:t>toto</w:t>
      </w:r>
      <w:r>
        <w:t xml:space="preserve"> </w:t>
      </w:r>
      <w:r w:rsidRPr="0079494A">
        <w:t>podání</w:t>
      </w:r>
      <w:r>
        <w:t xml:space="preserve"> </w:t>
      </w:r>
      <w:r w:rsidRPr="0079494A">
        <w:t>došlo.</w:t>
      </w:r>
      <w:r>
        <w:t xml:space="preserve"> </w:t>
      </w:r>
      <w:r w:rsidRPr="0079494A">
        <w:t>V</w:t>
      </w:r>
      <w:r>
        <w:t xml:space="preserve"> </w:t>
      </w:r>
      <w:r w:rsidRPr="0079494A">
        <w:t>případě</w:t>
      </w:r>
      <w:r>
        <w:t xml:space="preserve"> </w:t>
      </w:r>
      <w:r w:rsidRPr="0079494A">
        <w:t>podání</w:t>
      </w:r>
      <w:r>
        <w:t xml:space="preserve"> </w:t>
      </w:r>
      <w:r w:rsidRPr="0079494A">
        <w:t>obsahujícího</w:t>
      </w:r>
      <w:r>
        <w:t xml:space="preserve"> </w:t>
      </w:r>
      <w:r w:rsidRPr="0079494A">
        <w:t>doplňující</w:t>
      </w:r>
      <w:r>
        <w:t xml:space="preserve"> </w:t>
      </w:r>
      <w:r w:rsidRPr="0079494A">
        <w:t>informace</w:t>
      </w:r>
      <w:r>
        <w:t xml:space="preserve"> </w:t>
      </w:r>
      <w:r w:rsidRPr="0079494A">
        <w:t>tuzemský</w:t>
      </w:r>
      <w:r>
        <w:t xml:space="preserve"> </w:t>
      </w:r>
      <w:r w:rsidRPr="0079494A">
        <w:t>příslušný</w:t>
      </w:r>
      <w:r>
        <w:t xml:space="preserve"> </w:t>
      </w:r>
      <w:r w:rsidRPr="0079494A">
        <w:t>orgán</w:t>
      </w:r>
      <w:r>
        <w:t xml:space="preserve"> </w:t>
      </w:r>
      <w:r w:rsidRPr="0079494A">
        <w:t>spolu</w:t>
      </w:r>
      <w:r>
        <w:t xml:space="preserve"> </w:t>
      </w:r>
      <w:r w:rsidRPr="0079494A">
        <w:t>s</w:t>
      </w:r>
      <w:r>
        <w:t xml:space="preserve"> </w:t>
      </w:r>
      <w:r w:rsidRPr="0079494A">
        <w:t>vyrozuměním</w:t>
      </w:r>
      <w:r>
        <w:t xml:space="preserve"> </w:t>
      </w:r>
      <w:r w:rsidRPr="0079494A">
        <w:t>zašle</w:t>
      </w:r>
      <w:r>
        <w:t xml:space="preserve"> </w:t>
      </w:r>
      <w:r w:rsidRPr="0079494A">
        <w:t>i</w:t>
      </w:r>
      <w:r>
        <w:t xml:space="preserve"> </w:t>
      </w:r>
      <w:r w:rsidRPr="0079494A">
        <w:t>kopii</w:t>
      </w:r>
      <w:r>
        <w:t xml:space="preserve"> </w:t>
      </w:r>
      <w:r w:rsidRPr="0079494A">
        <w:t>těchto</w:t>
      </w:r>
      <w:r>
        <w:t xml:space="preserve"> </w:t>
      </w:r>
      <w:r w:rsidRPr="0079494A">
        <w:t>informací.</w:t>
      </w:r>
    </w:p>
    <w:p w14:paraId="2A339E60" w14:textId="57FF4E24" w:rsidR="00CD70BD" w:rsidRDefault="00CD70BD" w:rsidP="009876EF">
      <w:pPr>
        <w:pStyle w:val="PZTextodstavce"/>
      </w:pPr>
      <w:r w:rsidRPr="0079494A">
        <w:t>(5</w:t>
      </w:r>
      <w:r>
        <w:t xml:space="preserve">) </w:t>
      </w:r>
      <w:r w:rsidRPr="0079494A">
        <w:t>Podání</w:t>
      </w:r>
      <w:r>
        <w:t xml:space="preserve"> </w:t>
      </w:r>
      <w:r w:rsidRPr="0079494A">
        <w:t>učiněné</w:t>
      </w:r>
      <w:r>
        <w:t xml:space="preserve"> </w:t>
      </w:r>
      <w:r w:rsidRPr="0079494A">
        <w:t>zjednodušeným</w:t>
      </w:r>
      <w:r>
        <w:t xml:space="preserve"> </w:t>
      </w:r>
      <w:r w:rsidRPr="0079494A">
        <w:t>způsobem</w:t>
      </w:r>
      <w:r>
        <w:t xml:space="preserve"> </w:t>
      </w:r>
      <w:r w:rsidRPr="0079494A">
        <w:t>dotčeným</w:t>
      </w:r>
      <w:r>
        <w:t xml:space="preserve"> </w:t>
      </w:r>
      <w:r w:rsidRPr="0079494A">
        <w:t>poplatníkem,</w:t>
      </w:r>
      <w:r>
        <w:t xml:space="preserve"> </w:t>
      </w:r>
      <w:r w:rsidRPr="0079494A">
        <w:t>který</w:t>
      </w:r>
      <w:r>
        <w:t xml:space="preserve"> </w:t>
      </w:r>
      <w:r w:rsidRPr="0079494A">
        <w:t>podal</w:t>
      </w:r>
      <w:r>
        <w:t xml:space="preserve"> </w:t>
      </w:r>
      <w:r w:rsidRPr="0079494A">
        <w:t>žádost</w:t>
      </w:r>
      <w:r>
        <w:t xml:space="preserve"> </w:t>
      </w:r>
      <w:r w:rsidRPr="0079494A">
        <w:t>o</w:t>
      </w:r>
      <w:r>
        <w:t xml:space="preserve"> </w:t>
      </w:r>
      <w:r w:rsidRPr="0079494A">
        <w:t>zahájení</w:t>
      </w:r>
      <w:r>
        <w:t xml:space="preserve"> </w:t>
      </w:r>
      <w:r w:rsidRPr="0079494A">
        <w:t>harmonizovaného</w:t>
      </w:r>
      <w:r>
        <w:t xml:space="preserve"> </w:t>
      </w:r>
      <w:r w:rsidRPr="0079494A">
        <w:t>postupu</w:t>
      </w:r>
      <w:r>
        <w:t xml:space="preserve"> </w:t>
      </w:r>
      <w:r w:rsidRPr="0079494A">
        <w:t>(dále</w:t>
      </w:r>
      <w:r>
        <w:t xml:space="preserve"> </w:t>
      </w:r>
      <w:r w:rsidRPr="0079494A">
        <w:t>jen</w:t>
      </w:r>
      <w:r>
        <w:t xml:space="preserve"> </w:t>
      </w:r>
      <w:r w:rsidRPr="0079494A">
        <w:t>"účastník</w:t>
      </w:r>
      <w:r>
        <w:t xml:space="preserve"> </w:t>
      </w:r>
      <w:r w:rsidRPr="0079494A">
        <w:t>postupu"),</w:t>
      </w:r>
      <w:r>
        <w:t xml:space="preserve"> </w:t>
      </w:r>
      <w:r w:rsidRPr="0079494A">
        <w:t>který</w:t>
      </w:r>
      <w:r>
        <w:t xml:space="preserve"> </w:t>
      </w:r>
      <w:r w:rsidRPr="0079494A">
        <w:t>není</w:t>
      </w:r>
      <w:r>
        <w:t xml:space="preserve"> </w:t>
      </w:r>
      <w:r w:rsidRPr="0079494A">
        <w:t>daňovým</w:t>
      </w:r>
      <w:r>
        <w:t xml:space="preserve"> </w:t>
      </w:r>
      <w:r w:rsidRPr="0079494A">
        <w:t>rezidentem</w:t>
      </w:r>
      <w:r>
        <w:t xml:space="preserve"> </w:t>
      </w:r>
      <w:r w:rsidRPr="0079494A">
        <w:t>České</w:t>
      </w:r>
      <w:r>
        <w:t xml:space="preserve"> </w:t>
      </w:r>
      <w:r w:rsidRPr="0079494A">
        <w:t>republiky,</w:t>
      </w:r>
      <w:r>
        <w:t xml:space="preserve"> </w:t>
      </w:r>
      <w:r w:rsidRPr="0079494A">
        <w:t>u</w:t>
      </w:r>
      <w:r>
        <w:t xml:space="preserve"> </w:t>
      </w:r>
      <w:r w:rsidRPr="0079494A">
        <w:t>příslušného</w:t>
      </w:r>
      <w:r>
        <w:t xml:space="preserve"> </w:t>
      </w:r>
      <w:r w:rsidRPr="0079494A">
        <w:t>orgánu</w:t>
      </w:r>
      <w:r>
        <w:t xml:space="preserve"> </w:t>
      </w:r>
      <w:r w:rsidRPr="0079494A">
        <w:t>dotčeného</w:t>
      </w:r>
      <w:r>
        <w:t xml:space="preserve"> </w:t>
      </w:r>
      <w:r w:rsidRPr="0079494A">
        <w:t>státu,</w:t>
      </w:r>
      <w:r>
        <w:t xml:space="preserve"> </w:t>
      </w:r>
      <w:r w:rsidRPr="0079494A">
        <w:t>jehož</w:t>
      </w:r>
      <w:r>
        <w:t xml:space="preserve"> </w:t>
      </w:r>
      <w:r w:rsidRPr="0079494A">
        <w:t>je</w:t>
      </w:r>
      <w:r>
        <w:t xml:space="preserve"> </w:t>
      </w:r>
      <w:r w:rsidRPr="0079494A">
        <w:t>daňovým</w:t>
      </w:r>
      <w:r>
        <w:t xml:space="preserve"> </w:t>
      </w:r>
      <w:r w:rsidRPr="0079494A">
        <w:t>rezidentem,</w:t>
      </w:r>
      <w:r>
        <w:t xml:space="preserve"> </w:t>
      </w:r>
      <w:r w:rsidRPr="0079494A">
        <w:t>se</w:t>
      </w:r>
      <w:r>
        <w:t xml:space="preserve"> </w:t>
      </w:r>
      <w:r w:rsidRPr="0079494A">
        <w:t>považuje</w:t>
      </w:r>
      <w:r>
        <w:t xml:space="preserve"> </w:t>
      </w:r>
      <w:r w:rsidRPr="0079494A">
        <w:t>za</w:t>
      </w:r>
      <w:r>
        <w:t xml:space="preserve"> </w:t>
      </w:r>
      <w:r w:rsidRPr="0079494A">
        <w:t>podání</w:t>
      </w:r>
      <w:r>
        <w:t xml:space="preserve"> </w:t>
      </w:r>
      <w:r w:rsidRPr="0079494A">
        <w:t>učiněné</w:t>
      </w:r>
      <w:r>
        <w:t xml:space="preserve"> </w:t>
      </w:r>
      <w:r w:rsidRPr="0079494A">
        <w:t>u</w:t>
      </w:r>
      <w:r>
        <w:t xml:space="preserve"> </w:t>
      </w:r>
      <w:r w:rsidRPr="0079494A">
        <w:t>tuzemského</w:t>
      </w:r>
      <w:r>
        <w:t xml:space="preserve"> </w:t>
      </w:r>
      <w:r w:rsidRPr="0079494A">
        <w:t>příslušného</w:t>
      </w:r>
      <w:r>
        <w:t xml:space="preserve"> </w:t>
      </w:r>
      <w:r w:rsidRPr="0079494A">
        <w:t>orgánu</w:t>
      </w:r>
      <w:r>
        <w:t xml:space="preserve"> </w:t>
      </w:r>
      <w:r w:rsidRPr="0079494A">
        <w:t>v</w:t>
      </w:r>
      <w:r>
        <w:t xml:space="preserve"> </w:t>
      </w:r>
      <w:r w:rsidRPr="0079494A">
        <w:t>den,</w:t>
      </w:r>
      <w:r>
        <w:t xml:space="preserve"> </w:t>
      </w:r>
      <w:r w:rsidRPr="0079494A">
        <w:t>kdy</w:t>
      </w:r>
      <w:r>
        <w:t xml:space="preserve"> </w:t>
      </w:r>
      <w:r w:rsidRPr="0079494A">
        <w:t>zahraniční</w:t>
      </w:r>
      <w:r>
        <w:t xml:space="preserve"> </w:t>
      </w:r>
      <w:r w:rsidRPr="0079494A">
        <w:t>příslušný</w:t>
      </w:r>
      <w:r>
        <w:t xml:space="preserve"> </w:t>
      </w:r>
      <w:r w:rsidRPr="0079494A">
        <w:t>orgán</w:t>
      </w:r>
      <w:r>
        <w:t xml:space="preserve"> </w:t>
      </w:r>
      <w:r w:rsidRPr="0079494A">
        <w:t>odeslal</w:t>
      </w:r>
      <w:r>
        <w:t xml:space="preserve"> </w:t>
      </w:r>
      <w:r w:rsidRPr="0079494A">
        <w:t>vyrozumění</w:t>
      </w:r>
      <w:r>
        <w:t xml:space="preserve"> </w:t>
      </w:r>
      <w:r w:rsidRPr="0079494A">
        <w:t>tuzemskému</w:t>
      </w:r>
      <w:r>
        <w:t xml:space="preserve"> </w:t>
      </w:r>
      <w:r w:rsidRPr="0079494A">
        <w:t>příslušnému</w:t>
      </w:r>
      <w:r>
        <w:t xml:space="preserve"> </w:t>
      </w:r>
      <w:r w:rsidRPr="0079494A">
        <w:t>orgánu.</w:t>
      </w:r>
    </w:p>
    <w:p w14:paraId="52FFA380" w14:textId="7E7DA318" w:rsidR="00C62C41" w:rsidRDefault="00CD70BD" w:rsidP="009876EF">
      <w:pPr>
        <w:pStyle w:val="PZTextodstavce"/>
      </w:pPr>
      <w:r w:rsidRPr="0079494A">
        <w:t>(6</w:t>
      </w:r>
      <w:r>
        <w:t xml:space="preserve">) </w:t>
      </w:r>
      <w:r w:rsidRPr="0079494A">
        <w:t>Doplňující</w:t>
      </w:r>
      <w:r>
        <w:t xml:space="preserve"> </w:t>
      </w:r>
      <w:r w:rsidRPr="0079494A">
        <w:t>informace</w:t>
      </w:r>
      <w:r>
        <w:t xml:space="preserve"> </w:t>
      </w:r>
      <w:r w:rsidRPr="0079494A">
        <w:t>poskytnuté</w:t>
      </w:r>
      <w:r>
        <w:t xml:space="preserve"> </w:t>
      </w:r>
      <w:r w:rsidRPr="0079494A">
        <w:t>zjednodušeným</w:t>
      </w:r>
      <w:r>
        <w:t xml:space="preserve"> </w:t>
      </w:r>
      <w:r w:rsidRPr="0079494A">
        <w:t>způsobem</w:t>
      </w:r>
      <w:r>
        <w:t xml:space="preserve"> </w:t>
      </w:r>
      <w:r w:rsidRPr="0079494A">
        <w:t>účastníkem</w:t>
      </w:r>
      <w:r>
        <w:t xml:space="preserve"> </w:t>
      </w:r>
      <w:r w:rsidRPr="0079494A">
        <w:t>postupu,</w:t>
      </w:r>
      <w:r>
        <w:t xml:space="preserve"> </w:t>
      </w:r>
      <w:r w:rsidRPr="0079494A">
        <w:t>který</w:t>
      </w:r>
      <w:r>
        <w:t xml:space="preserve"> </w:t>
      </w:r>
      <w:r w:rsidRPr="0079494A">
        <w:t>není</w:t>
      </w:r>
      <w:r>
        <w:t xml:space="preserve"> </w:t>
      </w:r>
      <w:r w:rsidRPr="0079494A">
        <w:t>daňovým</w:t>
      </w:r>
      <w:r>
        <w:t xml:space="preserve"> </w:t>
      </w:r>
      <w:r w:rsidRPr="0079494A">
        <w:t>rezidentem</w:t>
      </w:r>
      <w:r>
        <w:t xml:space="preserve"> </w:t>
      </w:r>
      <w:r w:rsidRPr="0079494A">
        <w:t>České</w:t>
      </w:r>
      <w:r>
        <w:t xml:space="preserve"> </w:t>
      </w:r>
      <w:r w:rsidRPr="0079494A">
        <w:t>republiky,</w:t>
      </w:r>
      <w:r>
        <w:t xml:space="preserve"> </w:t>
      </w:r>
      <w:r w:rsidRPr="0079494A">
        <w:t>příslušnému</w:t>
      </w:r>
      <w:r>
        <w:t xml:space="preserve"> </w:t>
      </w:r>
      <w:r w:rsidRPr="0079494A">
        <w:t>orgánu</w:t>
      </w:r>
      <w:r>
        <w:t xml:space="preserve"> </w:t>
      </w:r>
      <w:r w:rsidRPr="0079494A">
        <w:t>dotčeného</w:t>
      </w:r>
      <w:r>
        <w:t xml:space="preserve"> </w:t>
      </w:r>
      <w:r w:rsidRPr="0079494A">
        <w:t>státu,</w:t>
      </w:r>
      <w:r>
        <w:t xml:space="preserve"> </w:t>
      </w:r>
      <w:r w:rsidRPr="0079494A">
        <w:t>jehož</w:t>
      </w:r>
      <w:r>
        <w:t xml:space="preserve"> </w:t>
      </w:r>
      <w:r w:rsidRPr="0079494A">
        <w:t>je</w:t>
      </w:r>
      <w:r>
        <w:t xml:space="preserve"> </w:t>
      </w:r>
      <w:r w:rsidRPr="0079494A">
        <w:t>daňovým</w:t>
      </w:r>
      <w:r>
        <w:t xml:space="preserve"> </w:t>
      </w:r>
      <w:r w:rsidRPr="0079494A">
        <w:t>rezidentem,</w:t>
      </w:r>
      <w:r>
        <w:t xml:space="preserve"> </w:t>
      </w:r>
      <w:r w:rsidRPr="0079494A">
        <w:t>se</w:t>
      </w:r>
      <w:r>
        <w:t xml:space="preserve"> </w:t>
      </w:r>
      <w:r w:rsidRPr="0079494A">
        <w:t>považují</w:t>
      </w:r>
      <w:r>
        <w:t xml:space="preserve"> </w:t>
      </w:r>
      <w:r w:rsidRPr="0079494A">
        <w:t>za</w:t>
      </w:r>
      <w:r>
        <w:t xml:space="preserve"> </w:t>
      </w:r>
      <w:r w:rsidRPr="0079494A">
        <w:t>poskytnuté</w:t>
      </w:r>
      <w:r>
        <w:t xml:space="preserve"> </w:t>
      </w:r>
      <w:r w:rsidRPr="0079494A">
        <w:t>tuzemskému</w:t>
      </w:r>
      <w:r>
        <w:t xml:space="preserve"> </w:t>
      </w:r>
      <w:r w:rsidRPr="0079494A">
        <w:t>příslušnému</w:t>
      </w:r>
      <w:r>
        <w:t xml:space="preserve"> </w:t>
      </w:r>
      <w:r w:rsidRPr="0079494A">
        <w:t>orgánu</w:t>
      </w:r>
      <w:r>
        <w:t xml:space="preserve"> </w:t>
      </w:r>
      <w:r w:rsidRPr="0079494A">
        <w:t>v</w:t>
      </w:r>
      <w:r>
        <w:t xml:space="preserve"> </w:t>
      </w:r>
      <w:r w:rsidRPr="0079494A">
        <w:t>den,</w:t>
      </w:r>
      <w:r>
        <w:t xml:space="preserve"> </w:t>
      </w:r>
      <w:r w:rsidRPr="0079494A">
        <w:t>kdy</w:t>
      </w:r>
      <w:r>
        <w:t xml:space="preserve"> </w:t>
      </w:r>
      <w:r w:rsidRPr="0079494A">
        <w:t>zahraničnímu</w:t>
      </w:r>
      <w:r>
        <w:t xml:space="preserve"> </w:t>
      </w:r>
      <w:r w:rsidRPr="0079494A">
        <w:t>příslušnému</w:t>
      </w:r>
      <w:r>
        <w:t xml:space="preserve"> </w:t>
      </w:r>
      <w:r w:rsidRPr="0079494A">
        <w:t>orgánu</w:t>
      </w:r>
      <w:r>
        <w:t xml:space="preserve"> </w:t>
      </w:r>
      <w:r w:rsidRPr="0079494A">
        <w:t>tyto</w:t>
      </w:r>
      <w:r>
        <w:t xml:space="preserve"> </w:t>
      </w:r>
      <w:r w:rsidRPr="0079494A">
        <w:t>informace</w:t>
      </w:r>
      <w:r>
        <w:t xml:space="preserve"> </w:t>
      </w:r>
      <w:r w:rsidRPr="0079494A">
        <w:t>došly,</w:t>
      </w:r>
      <w:r>
        <w:t xml:space="preserve"> </w:t>
      </w:r>
      <w:r w:rsidRPr="0079494A">
        <w:t>pokud</w:t>
      </w:r>
      <w:r>
        <w:t xml:space="preserve"> </w:t>
      </w:r>
      <w:r w:rsidRPr="0079494A">
        <w:t>zahraniční</w:t>
      </w:r>
      <w:r>
        <w:t xml:space="preserve"> </w:t>
      </w:r>
      <w:r w:rsidRPr="0079494A">
        <w:t>příslušný</w:t>
      </w:r>
      <w:r>
        <w:t xml:space="preserve"> </w:t>
      </w:r>
      <w:r w:rsidRPr="0079494A">
        <w:t>orgán</w:t>
      </w:r>
      <w:r>
        <w:t xml:space="preserve"> </w:t>
      </w:r>
      <w:r w:rsidRPr="0079494A">
        <w:t>jejich</w:t>
      </w:r>
      <w:r>
        <w:t xml:space="preserve"> </w:t>
      </w:r>
      <w:r w:rsidRPr="0079494A">
        <w:t>kopii</w:t>
      </w:r>
      <w:r>
        <w:t xml:space="preserve"> </w:t>
      </w:r>
      <w:r w:rsidRPr="0079494A">
        <w:t>zaslal</w:t>
      </w:r>
      <w:r>
        <w:t xml:space="preserve"> </w:t>
      </w:r>
      <w:r w:rsidRPr="0079494A">
        <w:t>tuzemskému</w:t>
      </w:r>
      <w:r>
        <w:t xml:space="preserve"> </w:t>
      </w:r>
      <w:r w:rsidRPr="0079494A">
        <w:t>příslušnému</w:t>
      </w:r>
      <w:r>
        <w:t xml:space="preserve"> </w:t>
      </w:r>
      <w:r w:rsidRPr="0079494A">
        <w:t>orgánu.</w:t>
      </w:r>
    </w:p>
    <w:p w14:paraId="34303659" w14:textId="77777777" w:rsidR="00C62C41" w:rsidRDefault="00C62C41" w:rsidP="00C62C41">
      <w:pPr>
        <w:tabs>
          <w:tab w:val="left" w:pos="851"/>
        </w:tabs>
        <w:spacing w:before="120" w:after="120"/>
        <w:ind w:firstLine="0"/>
        <w:outlineLvl w:val="0"/>
        <w:sectPr w:rsidR="00C62C41" w:rsidSect="00554E2B">
          <w:footnotePr>
            <w:numStart w:val="3"/>
          </w:footnotePr>
          <w:endnotePr>
            <w:numFmt w:val="decimal"/>
          </w:endnotePr>
          <w:pgSz w:w="11906" w:h="16838"/>
          <w:pgMar w:top="1418" w:right="1418" w:bottom="1418" w:left="1418" w:header="709" w:footer="709" w:gutter="0"/>
          <w:cols w:space="708"/>
          <w:docGrid w:linePitch="360"/>
        </w:sectPr>
      </w:pPr>
    </w:p>
    <w:p w14:paraId="38A1CDCC" w14:textId="056D4B8B" w:rsidR="00C62C41" w:rsidRPr="003364AC" w:rsidRDefault="00C62C41" w:rsidP="009876EF">
      <w:pPr>
        <w:tabs>
          <w:tab w:val="left" w:pos="851"/>
        </w:tabs>
        <w:spacing w:before="120" w:after="120"/>
        <w:ind w:firstLine="0"/>
        <w:jc w:val="center"/>
        <w:outlineLvl w:val="0"/>
        <w:rPr>
          <w:szCs w:val="24"/>
        </w:rPr>
      </w:pPr>
      <w:r w:rsidRPr="003364AC">
        <w:rPr>
          <w:b/>
          <w:szCs w:val="24"/>
        </w:rPr>
        <w:lastRenderedPageBreak/>
        <w:t xml:space="preserve">K části sté dvacáté </w:t>
      </w:r>
      <w:r w:rsidR="003058E0">
        <w:rPr>
          <w:b/>
          <w:szCs w:val="24"/>
        </w:rPr>
        <w:t>šesté</w:t>
      </w:r>
      <w:r w:rsidRPr="003364AC">
        <w:rPr>
          <w:b/>
          <w:szCs w:val="24"/>
        </w:rPr>
        <w:t xml:space="preserve"> návrhu zákona – </w:t>
      </w:r>
      <w:r w:rsidRPr="003364AC">
        <w:rPr>
          <w:szCs w:val="24"/>
        </w:rPr>
        <w:t>změna zákona</w:t>
      </w:r>
      <w:r w:rsidRPr="003364AC">
        <w:t xml:space="preserve"> </w:t>
      </w:r>
      <w:r w:rsidRPr="003364AC">
        <w:rPr>
          <w:szCs w:val="24"/>
        </w:rPr>
        <w:t>o výrobcích s ukončenou životností</w:t>
      </w:r>
    </w:p>
    <w:p w14:paraId="3260E04E" w14:textId="77777777" w:rsidR="00C62C41" w:rsidRPr="003364AC" w:rsidRDefault="00C62C41" w:rsidP="00C62C41">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3364AC">
        <w:rPr>
          <w:b/>
          <w:szCs w:val="24"/>
        </w:rPr>
        <w:t>Platné znění</w:t>
      </w:r>
      <w:r w:rsidRPr="003364AC">
        <w:rPr>
          <w:szCs w:val="24"/>
        </w:rPr>
        <w:t xml:space="preserve"> zákona č. 542/2020 Sb., o výrobcích s ukončenou životností</w:t>
      </w:r>
    </w:p>
    <w:p w14:paraId="2D4CB74B" w14:textId="77777777" w:rsidR="009876EF" w:rsidRPr="009876EF" w:rsidRDefault="009876EF" w:rsidP="009876EF">
      <w:pPr>
        <w:pStyle w:val="Odstavecseseznamem"/>
        <w:numPr>
          <w:ilvl w:val="0"/>
          <w:numId w:val="27"/>
        </w:numPr>
        <w:pBdr>
          <w:top w:val="single" w:sz="12" w:space="6" w:color="auto"/>
          <w:left w:val="single" w:sz="12" w:space="0" w:color="auto"/>
          <w:bottom w:val="single" w:sz="12" w:space="6" w:color="auto"/>
          <w:right w:val="single" w:sz="12" w:space="0" w:color="auto"/>
        </w:pBdr>
        <w:spacing w:after="120"/>
        <w:jc w:val="center"/>
        <w:rPr>
          <w:b/>
          <w:szCs w:val="24"/>
          <w:lang w:eastAsia="en-US"/>
        </w:rPr>
      </w:pPr>
      <w:r w:rsidRPr="009876EF">
        <w:rPr>
          <w:b/>
          <w:szCs w:val="24"/>
          <w:lang w:eastAsia="en-US"/>
        </w:rPr>
        <w:t>s vyznačením navrhovaných změn a doplnění k 1. lednu 2025</w:t>
      </w:r>
      <w:r w:rsidRPr="00181A4A">
        <w:t xml:space="preserve"> </w:t>
      </w:r>
    </w:p>
    <w:p w14:paraId="50BD1FC6" w14:textId="77777777" w:rsidR="00C62C41" w:rsidRPr="003364AC" w:rsidRDefault="00C62C41" w:rsidP="00C62C41">
      <w:pPr>
        <w:pStyle w:val="Textparagrafu"/>
        <w:numPr>
          <w:ilvl w:val="0"/>
          <w:numId w:val="27"/>
        </w:numPr>
        <w:tabs>
          <w:tab w:val="left" w:pos="392"/>
          <w:tab w:val="left" w:pos="840"/>
        </w:tabs>
        <w:spacing w:after="120"/>
        <w:jc w:val="center"/>
      </w:pPr>
      <w:r w:rsidRPr="003364AC">
        <w:t>***</w:t>
      </w:r>
    </w:p>
    <w:p w14:paraId="0278D536" w14:textId="77777777" w:rsidR="00C62C41" w:rsidRDefault="00C62C41" w:rsidP="00C62C41">
      <w:pPr>
        <w:pStyle w:val="Textparagrafu"/>
        <w:numPr>
          <w:ilvl w:val="0"/>
          <w:numId w:val="27"/>
        </w:numPr>
        <w:tabs>
          <w:tab w:val="left" w:pos="392"/>
          <w:tab w:val="left" w:pos="840"/>
        </w:tabs>
        <w:spacing w:after="120"/>
        <w:jc w:val="center"/>
      </w:pPr>
      <w:r w:rsidRPr="00841523">
        <w:t>§</w:t>
      </w:r>
      <w:r>
        <w:t xml:space="preserve"> </w:t>
      </w:r>
      <w:r w:rsidRPr="00841523">
        <w:t>36</w:t>
      </w:r>
    </w:p>
    <w:p w14:paraId="709829C4" w14:textId="77777777" w:rsidR="00C62C41" w:rsidRPr="002E3524" w:rsidRDefault="00C62C41" w:rsidP="00C62C41">
      <w:pPr>
        <w:pStyle w:val="Textparagrafu"/>
        <w:numPr>
          <w:ilvl w:val="0"/>
          <w:numId w:val="27"/>
        </w:numPr>
        <w:tabs>
          <w:tab w:val="left" w:pos="392"/>
          <w:tab w:val="left" w:pos="840"/>
        </w:tabs>
        <w:spacing w:after="120"/>
        <w:jc w:val="center"/>
        <w:rPr>
          <w:b/>
        </w:rPr>
      </w:pPr>
      <w:r w:rsidRPr="002E3524">
        <w:rPr>
          <w:b/>
        </w:rPr>
        <w:t>Žádost o vydání oprávnění k provozování kolektivního systému</w:t>
      </w:r>
    </w:p>
    <w:p w14:paraId="18874A68" w14:textId="77777777" w:rsidR="00C62C41" w:rsidRDefault="00C62C41" w:rsidP="009876EF">
      <w:pPr>
        <w:pStyle w:val="Textparagrafu"/>
        <w:numPr>
          <w:ilvl w:val="0"/>
          <w:numId w:val="27"/>
        </w:numPr>
        <w:tabs>
          <w:tab w:val="left" w:pos="392"/>
          <w:tab w:val="left" w:pos="840"/>
        </w:tabs>
        <w:spacing w:before="120" w:after="120"/>
        <w:ind w:firstLine="425"/>
      </w:pPr>
      <w:r w:rsidRPr="00841523">
        <w:t>(1)</w:t>
      </w:r>
      <w:r>
        <w:t xml:space="preserve"> </w:t>
      </w:r>
      <w:r w:rsidRPr="00841523">
        <w:t>Žádost</w:t>
      </w:r>
      <w:r>
        <w:t xml:space="preserve"> </w:t>
      </w:r>
      <w:r w:rsidRPr="00841523">
        <w:t>o</w:t>
      </w:r>
      <w:r>
        <w:t xml:space="preserve"> </w:t>
      </w:r>
      <w:r w:rsidRPr="00841523">
        <w:t>vydání</w:t>
      </w:r>
      <w:r>
        <w:t xml:space="preserve"> </w:t>
      </w:r>
      <w:r w:rsidRPr="00841523">
        <w:t>oprávnění</w:t>
      </w:r>
      <w:r>
        <w:t xml:space="preserve"> </w:t>
      </w:r>
      <w:r w:rsidRPr="00841523">
        <w:t>k</w:t>
      </w:r>
      <w:r>
        <w:t xml:space="preserve"> </w:t>
      </w:r>
      <w:r w:rsidRPr="00841523">
        <w:t>provozování</w:t>
      </w:r>
      <w:r>
        <w:t xml:space="preserve"> </w:t>
      </w:r>
      <w:r w:rsidRPr="00841523">
        <w:t>kolektivního</w:t>
      </w:r>
      <w:r>
        <w:t xml:space="preserve"> </w:t>
      </w:r>
      <w:r w:rsidRPr="00841523">
        <w:t>systému</w:t>
      </w:r>
      <w:r>
        <w:t xml:space="preserve"> </w:t>
      </w:r>
      <w:r w:rsidRPr="00841523">
        <w:t>podává</w:t>
      </w:r>
      <w:r>
        <w:t xml:space="preserve"> </w:t>
      </w:r>
      <w:r w:rsidRPr="00841523">
        <w:t>žadatel</w:t>
      </w:r>
      <w:r>
        <w:t xml:space="preserve"> </w:t>
      </w:r>
      <w:r w:rsidRPr="00841523">
        <w:t>ministerstvu</w:t>
      </w:r>
      <w:r>
        <w:t xml:space="preserve"> </w:t>
      </w:r>
      <w:r w:rsidRPr="00841523">
        <w:t>v</w:t>
      </w:r>
      <w:r>
        <w:t xml:space="preserve"> </w:t>
      </w:r>
      <w:r w:rsidRPr="00841523">
        <w:t>elektronické</w:t>
      </w:r>
      <w:r>
        <w:t xml:space="preserve"> </w:t>
      </w:r>
      <w:r w:rsidRPr="00841523">
        <w:t>podobě.</w:t>
      </w:r>
    </w:p>
    <w:p w14:paraId="193E281D" w14:textId="77777777" w:rsidR="00C62C41" w:rsidRDefault="00C62C41" w:rsidP="009876EF">
      <w:pPr>
        <w:pStyle w:val="Textparagrafu"/>
        <w:numPr>
          <w:ilvl w:val="0"/>
          <w:numId w:val="27"/>
        </w:numPr>
        <w:tabs>
          <w:tab w:val="left" w:pos="392"/>
          <w:tab w:val="left" w:pos="840"/>
        </w:tabs>
        <w:spacing w:before="120" w:after="120"/>
        <w:ind w:firstLine="425"/>
      </w:pPr>
      <w:r w:rsidRPr="00841523">
        <w:t>(2)</w:t>
      </w:r>
      <w:r>
        <w:t xml:space="preserve"> </w:t>
      </w:r>
      <w:r w:rsidRPr="00841523">
        <w:t>Žádost</w:t>
      </w:r>
      <w:r>
        <w:t xml:space="preserve"> </w:t>
      </w:r>
      <w:r w:rsidRPr="00841523">
        <w:t>o</w:t>
      </w:r>
      <w:r>
        <w:t xml:space="preserve"> </w:t>
      </w:r>
      <w:r w:rsidRPr="00841523">
        <w:t>vydání</w:t>
      </w:r>
      <w:r>
        <w:t xml:space="preserve"> </w:t>
      </w:r>
      <w:r w:rsidRPr="00841523">
        <w:t>oprávnění</w:t>
      </w:r>
      <w:r>
        <w:t xml:space="preserve"> </w:t>
      </w:r>
      <w:r w:rsidRPr="00841523">
        <w:t>k</w:t>
      </w:r>
      <w:r>
        <w:t xml:space="preserve"> </w:t>
      </w:r>
      <w:r w:rsidRPr="00841523">
        <w:t>provozování</w:t>
      </w:r>
      <w:r>
        <w:t xml:space="preserve"> </w:t>
      </w:r>
      <w:r w:rsidRPr="00841523">
        <w:t>kolektivního</w:t>
      </w:r>
      <w:r>
        <w:t xml:space="preserve"> </w:t>
      </w:r>
      <w:r w:rsidRPr="00841523">
        <w:t>systému</w:t>
      </w:r>
      <w:r>
        <w:t xml:space="preserve"> </w:t>
      </w:r>
      <w:r w:rsidRPr="00841523">
        <w:t>musí</w:t>
      </w:r>
      <w:r>
        <w:t xml:space="preserve"> </w:t>
      </w:r>
      <w:r w:rsidRPr="00841523">
        <w:t>obsahovat</w:t>
      </w:r>
      <w:r>
        <w:t xml:space="preserve"> </w:t>
      </w:r>
      <w:r w:rsidRPr="00841523">
        <w:t>kromě</w:t>
      </w:r>
      <w:r>
        <w:t xml:space="preserve"> </w:t>
      </w:r>
      <w:r w:rsidRPr="00841523">
        <w:t>obecných</w:t>
      </w:r>
      <w:r>
        <w:t xml:space="preserve"> </w:t>
      </w:r>
      <w:r w:rsidRPr="00841523">
        <w:t>náležitostí</w:t>
      </w:r>
      <w:r>
        <w:t xml:space="preserve"> </w:t>
      </w:r>
      <w:r w:rsidRPr="00841523">
        <w:t>stanovených</w:t>
      </w:r>
      <w:r>
        <w:t xml:space="preserve"> </w:t>
      </w:r>
      <w:r w:rsidRPr="00841523">
        <w:t>správním</w:t>
      </w:r>
      <w:r>
        <w:t xml:space="preserve"> </w:t>
      </w:r>
      <w:r w:rsidRPr="00841523">
        <w:t>řádem</w:t>
      </w:r>
      <w:r>
        <w:t xml:space="preserve"> </w:t>
      </w:r>
      <w:r w:rsidRPr="00841523">
        <w:t>kontaktní</w:t>
      </w:r>
      <w:r>
        <w:t xml:space="preserve"> </w:t>
      </w:r>
      <w:r w:rsidRPr="00841523">
        <w:t>údaje,</w:t>
      </w:r>
      <w:r>
        <w:t xml:space="preserve"> </w:t>
      </w:r>
      <w:r w:rsidRPr="00841523">
        <w:t>a</w:t>
      </w:r>
      <w:r>
        <w:t xml:space="preserve"> </w:t>
      </w:r>
      <w:r w:rsidRPr="00841523">
        <w:t>to</w:t>
      </w:r>
      <w:r>
        <w:t xml:space="preserve"> </w:t>
      </w:r>
      <w:r w:rsidRPr="00841523">
        <w:t>telefonní</w:t>
      </w:r>
      <w:r>
        <w:t xml:space="preserve"> </w:t>
      </w:r>
      <w:r w:rsidRPr="00841523">
        <w:t>spojení,</w:t>
      </w:r>
      <w:r>
        <w:t xml:space="preserve"> </w:t>
      </w:r>
      <w:r w:rsidRPr="00841523">
        <w:t>adresu</w:t>
      </w:r>
      <w:r>
        <w:t xml:space="preserve"> </w:t>
      </w:r>
      <w:r w:rsidRPr="00841523">
        <w:t>elektronické</w:t>
      </w:r>
      <w:r>
        <w:t xml:space="preserve"> </w:t>
      </w:r>
      <w:r w:rsidRPr="00841523">
        <w:t>pošty</w:t>
      </w:r>
      <w:r>
        <w:t xml:space="preserve"> </w:t>
      </w:r>
      <w:r w:rsidRPr="00841523">
        <w:t>a</w:t>
      </w:r>
      <w:r>
        <w:t xml:space="preserve"> </w:t>
      </w:r>
      <w:r w:rsidRPr="00841523">
        <w:t>jméno</w:t>
      </w:r>
      <w:r>
        <w:t xml:space="preserve"> </w:t>
      </w:r>
      <w:r w:rsidRPr="00841523">
        <w:t>kontaktní</w:t>
      </w:r>
      <w:r>
        <w:t xml:space="preserve"> </w:t>
      </w:r>
      <w:r w:rsidRPr="00841523">
        <w:t>osoby,</w:t>
      </w:r>
      <w:r>
        <w:t xml:space="preserve"> </w:t>
      </w:r>
      <w:r w:rsidRPr="00841523">
        <w:t>a</w:t>
      </w:r>
      <w:r>
        <w:t xml:space="preserve"> </w:t>
      </w:r>
      <w:r w:rsidRPr="00841523">
        <w:t>daňové</w:t>
      </w:r>
      <w:r>
        <w:t xml:space="preserve"> </w:t>
      </w:r>
      <w:r w:rsidRPr="00841523">
        <w:t>identifikační</w:t>
      </w:r>
      <w:r>
        <w:t xml:space="preserve"> </w:t>
      </w:r>
      <w:r w:rsidRPr="00841523">
        <w:t>číslo</w:t>
      </w:r>
      <w:r>
        <w:t xml:space="preserve"> </w:t>
      </w:r>
      <w:r w:rsidRPr="00841523">
        <w:t>osoby</w:t>
      </w:r>
      <w:r>
        <w:t xml:space="preserve"> </w:t>
      </w:r>
      <w:r w:rsidRPr="00841523">
        <w:t>žadatele,</w:t>
      </w:r>
      <w:r>
        <w:t xml:space="preserve"> </w:t>
      </w:r>
      <w:r w:rsidRPr="00841523">
        <w:t>pokud</w:t>
      </w:r>
      <w:r>
        <w:t xml:space="preserve"> </w:t>
      </w:r>
      <w:r w:rsidRPr="00841523">
        <w:t>bylo</w:t>
      </w:r>
      <w:r>
        <w:t xml:space="preserve"> </w:t>
      </w:r>
      <w:r w:rsidRPr="00841523">
        <w:t>přiděleno.</w:t>
      </w:r>
    </w:p>
    <w:p w14:paraId="00959A16" w14:textId="77777777" w:rsidR="00C62C41" w:rsidRDefault="00C62C41" w:rsidP="009876EF">
      <w:pPr>
        <w:pStyle w:val="Textparagrafu"/>
        <w:numPr>
          <w:ilvl w:val="0"/>
          <w:numId w:val="27"/>
        </w:numPr>
        <w:tabs>
          <w:tab w:val="left" w:pos="392"/>
          <w:tab w:val="left" w:pos="840"/>
        </w:tabs>
        <w:spacing w:before="120" w:after="120"/>
        <w:ind w:firstLine="425"/>
      </w:pPr>
      <w:r w:rsidRPr="00841523">
        <w:t>(3)</w:t>
      </w:r>
      <w:r>
        <w:t xml:space="preserve"> </w:t>
      </w:r>
      <w:r w:rsidRPr="00841523">
        <w:t>Součástí</w:t>
      </w:r>
      <w:r>
        <w:t xml:space="preserve"> </w:t>
      </w:r>
      <w:r w:rsidRPr="00841523">
        <w:t>žádosti</w:t>
      </w:r>
      <w:r>
        <w:t xml:space="preserve"> </w:t>
      </w:r>
      <w:r w:rsidRPr="00841523">
        <w:t>o</w:t>
      </w:r>
      <w:r>
        <w:t xml:space="preserve"> </w:t>
      </w:r>
      <w:r w:rsidRPr="00841523">
        <w:t>vydání</w:t>
      </w:r>
      <w:r>
        <w:t xml:space="preserve"> </w:t>
      </w:r>
      <w:r w:rsidRPr="00841523">
        <w:t>oprávnění</w:t>
      </w:r>
      <w:r>
        <w:t xml:space="preserve"> </w:t>
      </w:r>
      <w:r w:rsidRPr="00841523">
        <w:t>k</w:t>
      </w:r>
      <w:r>
        <w:t xml:space="preserve"> </w:t>
      </w:r>
      <w:r w:rsidRPr="00841523">
        <w:t>provozování</w:t>
      </w:r>
      <w:r>
        <w:t xml:space="preserve"> </w:t>
      </w:r>
      <w:r w:rsidRPr="00841523">
        <w:t>kolektivního</w:t>
      </w:r>
      <w:r>
        <w:t xml:space="preserve"> </w:t>
      </w:r>
      <w:r w:rsidRPr="00841523">
        <w:t>systému</w:t>
      </w:r>
      <w:r>
        <w:t xml:space="preserve"> </w:t>
      </w:r>
      <w:r w:rsidRPr="00841523">
        <w:t>jsou</w:t>
      </w:r>
    </w:p>
    <w:p w14:paraId="0644DE4A" w14:textId="77777777" w:rsidR="00C62C41" w:rsidRDefault="00C62C41" w:rsidP="003058E0">
      <w:pPr>
        <w:pStyle w:val="Textparagrafu"/>
        <w:numPr>
          <w:ilvl w:val="0"/>
          <w:numId w:val="27"/>
        </w:numPr>
        <w:tabs>
          <w:tab w:val="left" w:pos="392"/>
          <w:tab w:val="left" w:pos="840"/>
        </w:tabs>
        <w:spacing w:before="0"/>
        <w:ind w:left="426" w:hanging="426"/>
      </w:pPr>
      <w:r w:rsidRPr="00841523">
        <w:t>a)</w:t>
      </w:r>
      <w:r>
        <w:tab/>
      </w:r>
      <w:r w:rsidRPr="00841523">
        <w:t>aktuální</w:t>
      </w:r>
      <w:r>
        <w:t xml:space="preserve"> </w:t>
      </w:r>
      <w:r w:rsidRPr="00841523">
        <w:t>znění</w:t>
      </w:r>
      <w:r>
        <w:t xml:space="preserve"> </w:t>
      </w:r>
      <w:r w:rsidRPr="00841523">
        <w:t>zakladatelského</w:t>
      </w:r>
      <w:r>
        <w:t xml:space="preserve"> </w:t>
      </w:r>
      <w:r w:rsidRPr="00841523">
        <w:t>právního</w:t>
      </w:r>
      <w:r>
        <w:t xml:space="preserve"> </w:t>
      </w:r>
      <w:r w:rsidRPr="00841523">
        <w:t>jednání,</w:t>
      </w:r>
      <w:r>
        <w:t xml:space="preserve"> </w:t>
      </w:r>
      <w:r w:rsidRPr="00841523">
        <w:t>není-li</w:t>
      </w:r>
      <w:r>
        <w:t xml:space="preserve"> </w:t>
      </w:r>
      <w:r w:rsidRPr="00841523">
        <w:t>uloženo</w:t>
      </w:r>
      <w:r>
        <w:t xml:space="preserve"> </w:t>
      </w:r>
      <w:r w:rsidRPr="00841523">
        <w:t>ve</w:t>
      </w:r>
      <w:r>
        <w:t xml:space="preserve"> </w:t>
      </w:r>
      <w:r w:rsidRPr="00841523">
        <w:t>sbírce</w:t>
      </w:r>
      <w:r>
        <w:t xml:space="preserve"> </w:t>
      </w:r>
      <w:r w:rsidRPr="00841523">
        <w:t>listin</w:t>
      </w:r>
      <w:r>
        <w:t xml:space="preserve"> </w:t>
      </w:r>
      <w:r w:rsidRPr="00841523">
        <w:t>veřejného</w:t>
      </w:r>
      <w:r>
        <w:t xml:space="preserve"> </w:t>
      </w:r>
      <w:r w:rsidRPr="00841523">
        <w:t>rejstříku,</w:t>
      </w:r>
    </w:p>
    <w:p w14:paraId="1B107B60" w14:textId="77777777" w:rsidR="00C62C41" w:rsidRDefault="00C62C41" w:rsidP="003058E0">
      <w:pPr>
        <w:pStyle w:val="Textparagrafu"/>
        <w:numPr>
          <w:ilvl w:val="0"/>
          <w:numId w:val="27"/>
        </w:numPr>
        <w:tabs>
          <w:tab w:val="left" w:pos="392"/>
          <w:tab w:val="left" w:pos="840"/>
        </w:tabs>
        <w:spacing w:before="0"/>
        <w:ind w:left="426" w:hanging="426"/>
      </w:pPr>
      <w:r w:rsidRPr="00841523">
        <w:t>b)</w:t>
      </w:r>
      <w:r>
        <w:tab/>
      </w:r>
      <w:r w:rsidRPr="00841523">
        <w:t>seznam</w:t>
      </w:r>
      <w:r>
        <w:t xml:space="preserve"> </w:t>
      </w:r>
      <w:r w:rsidRPr="00841523">
        <w:t>společníků</w:t>
      </w:r>
      <w:r>
        <w:t xml:space="preserve"> </w:t>
      </w:r>
      <w:r w:rsidRPr="00841523">
        <w:t>žadatele</w:t>
      </w:r>
      <w:r>
        <w:t xml:space="preserve"> </w:t>
      </w:r>
      <w:r w:rsidRPr="00841523">
        <w:t>s</w:t>
      </w:r>
      <w:r>
        <w:t xml:space="preserve"> </w:t>
      </w:r>
      <w:r w:rsidRPr="00841523">
        <w:t>uvedením</w:t>
      </w:r>
      <w:r>
        <w:t xml:space="preserve"> </w:t>
      </w:r>
      <w:r w:rsidRPr="00841523">
        <w:t>jejich</w:t>
      </w:r>
      <w:r>
        <w:t xml:space="preserve"> </w:t>
      </w:r>
      <w:r w:rsidRPr="00841523">
        <w:t>podílu</w:t>
      </w:r>
      <w:r>
        <w:t xml:space="preserve"> </w:t>
      </w:r>
      <w:r w:rsidRPr="00841523">
        <w:t>na</w:t>
      </w:r>
      <w:r>
        <w:t xml:space="preserve"> </w:t>
      </w:r>
      <w:r w:rsidRPr="00841523">
        <w:t>základním</w:t>
      </w:r>
      <w:r>
        <w:t xml:space="preserve"> </w:t>
      </w:r>
      <w:r w:rsidRPr="00841523">
        <w:t>kapitálu</w:t>
      </w:r>
      <w:r>
        <w:t xml:space="preserve"> </w:t>
      </w:r>
      <w:r w:rsidRPr="00841523">
        <w:t>a</w:t>
      </w:r>
      <w:r>
        <w:t xml:space="preserve"> </w:t>
      </w:r>
      <w:r w:rsidRPr="00841523">
        <w:t>na</w:t>
      </w:r>
      <w:r>
        <w:t xml:space="preserve"> </w:t>
      </w:r>
      <w:r w:rsidRPr="00841523">
        <w:t>hlasovacích</w:t>
      </w:r>
      <w:r>
        <w:t xml:space="preserve"> </w:t>
      </w:r>
      <w:r w:rsidRPr="00841523">
        <w:t>právech</w:t>
      </w:r>
      <w:r>
        <w:t xml:space="preserve"> </w:t>
      </w:r>
      <w:r w:rsidRPr="00841523">
        <w:t>žadatele</w:t>
      </w:r>
      <w:r>
        <w:t xml:space="preserve"> </w:t>
      </w:r>
      <w:r w:rsidRPr="00841523">
        <w:t>s</w:t>
      </w:r>
      <w:r>
        <w:t xml:space="preserve"> </w:t>
      </w:r>
      <w:r w:rsidRPr="00841523">
        <w:t>uvedením</w:t>
      </w:r>
      <w:r>
        <w:t xml:space="preserve"> </w:t>
      </w:r>
      <w:r w:rsidRPr="00841523">
        <w:t>společníků</w:t>
      </w:r>
      <w:r>
        <w:t xml:space="preserve"> </w:t>
      </w:r>
      <w:r w:rsidRPr="00841523">
        <w:t>jednajících</w:t>
      </w:r>
      <w:r>
        <w:t xml:space="preserve"> </w:t>
      </w:r>
      <w:r w:rsidRPr="00841523">
        <w:t>ve</w:t>
      </w:r>
      <w:r>
        <w:t xml:space="preserve"> </w:t>
      </w:r>
      <w:r w:rsidRPr="00841523">
        <w:t>shodě,</w:t>
      </w:r>
      <w:r>
        <w:t xml:space="preserve"> </w:t>
      </w:r>
      <w:r w:rsidRPr="00841523">
        <w:t>je-li</w:t>
      </w:r>
      <w:r>
        <w:t xml:space="preserve"> </w:t>
      </w:r>
      <w:r w:rsidRPr="00841523">
        <w:t>žadatel</w:t>
      </w:r>
      <w:r>
        <w:t xml:space="preserve"> </w:t>
      </w:r>
      <w:r w:rsidRPr="00841523">
        <w:t>společností</w:t>
      </w:r>
      <w:r>
        <w:t xml:space="preserve"> </w:t>
      </w:r>
      <w:r w:rsidRPr="00841523">
        <w:t>s</w:t>
      </w:r>
      <w:r>
        <w:t xml:space="preserve"> </w:t>
      </w:r>
      <w:r w:rsidRPr="00841523">
        <w:t>ručením</w:t>
      </w:r>
      <w:r>
        <w:t xml:space="preserve"> </w:t>
      </w:r>
      <w:r w:rsidRPr="00841523">
        <w:t>omezeným</w:t>
      </w:r>
      <w:r>
        <w:t xml:space="preserve"> </w:t>
      </w:r>
      <w:r w:rsidRPr="00841523">
        <w:t>a</w:t>
      </w:r>
      <w:r>
        <w:t xml:space="preserve"> </w:t>
      </w:r>
      <w:r w:rsidRPr="00841523">
        <w:t>tento</w:t>
      </w:r>
      <w:r>
        <w:t xml:space="preserve"> </w:t>
      </w:r>
      <w:r w:rsidRPr="00841523">
        <w:t>seznam</w:t>
      </w:r>
      <w:r>
        <w:t xml:space="preserve"> </w:t>
      </w:r>
      <w:r w:rsidRPr="00841523">
        <w:t>s</w:t>
      </w:r>
      <w:r>
        <w:t xml:space="preserve"> </w:t>
      </w:r>
      <w:r w:rsidRPr="00841523">
        <w:t>uvedením</w:t>
      </w:r>
      <w:r>
        <w:t xml:space="preserve"> </w:t>
      </w:r>
      <w:r w:rsidRPr="00841523">
        <w:t>podílů</w:t>
      </w:r>
      <w:r>
        <w:t xml:space="preserve"> </w:t>
      </w:r>
      <w:r w:rsidRPr="00841523">
        <w:t>nevyplývá</w:t>
      </w:r>
      <w:r>
        <w:t xml:space="preserve"> </w:t>
      </w:r>
      <w:r w:rsidRPr="00841523">
        <w:t>ze</w:t>
      </w:r>
      <w:r>
        <w:t xml:space="preserve"> </w:t>
      </w:r>
      <w:r w:rsidRPr="00841523">
        <w:t>zakladatelského</w:t>
      </w:r>
      <w:r>
        <w:t xml:space="preserve"> </w:t>
      </w:r>
      <w:r w:rsidRPr="00841523">
        <w:t>právního</w:t>
      </w:r>
      <w:r>
        <w:t xml:space="preserve"> </w:t>
      </w:r>
      <w:r w:rsidRPr="00841523">
        <w:t>jednání,</w:t>
      </w:r>
    </w:p>
    <w:p w14:paraId="6259E394" w14:textId="77777777" w:rsidR="00C62C41" w:rsidRDefault="00C62C41" w:rsidP="003058E0">
      <w:pPr>
        <w:pStyle w:val="Textparagrafu"/>
        <w:tabs>
          <w:tab w:val="left" w:pos="392"/>
          <w:tab w:val="left" w:pos="840"/>
        </w:tabs>
        <w:spacing w:before="0"/>
        <w:ind w:left="426" w:hanging="426"/>
      </w:pPr>
      <w:r w:rsidRPr="00841523">
        <w:t>c)</w:t>
      </w:r>
      <w:r>
        <w:tab/>
      </w:r>
      <w:r w:rsidRPr="00841523">
        <w:t>výpis</w:t>
      </w:r>
      <w:r>
        <w:t xml:space="preserve"> </w:t>
      </w:r>
      <w:r w:rsidRPr="00841523">
        <w:t>z</w:t>
      </w:r>
      <w:r>
        <w:t xml:space="preserve"> </w:t>
      </w:r>
      <w:r w:rsidRPr="00841523">
        <w:t>evidence</w:t>
      </w:r>
      <w:r>
        <w:t xml:space="preserve"> </w:t>
      </w:r>
      <w:r w:rsidRPr="00841523">
        <w:t>emise</w:t>
      </w:r>
      <w:r>
        <w:t xml:space="preserve"> </w:t>
      </w:r>
      <w:r w:rsidRPr="00841523">
        <w:t>zaknihovaných</w:t>
      </w:r>
      <w:r>
        <w:t xml:space="preserve"> </w:t>
      </w:r>
      <w:r w:rsidRPr="00841523">
        <w:t>cenných</w:t>
      </w:r>
      <w:r>
        <w:t xml:space="preserve"> </w:t>
      </w:r>
      <w:r w:rsidRPr="00841523">
        <w:t>papírů</w:t>
      </w:r>
      <w:r>
        <w:t xml:space="preserve"> </w:t>
      </w:r>
      <w:r w:rsidRPr="00841523">
        <w:t>nebo</w:t>
      </w:r>
      <w:r>
        <w:t xml:space="preserve"> </w:t>
      </w:r>
      <w:r w:rsidRPr="00841523">
        <w:t>výpis</w:t>
      </w:r>
      <w:r>
        <w:t xml:space="preserve"> </w:t>
      </w:r>
      <w:r w:rsidRPr="00841523">
        <w:t>z</w:t>
      </w:r>
      <w:r>
        <w:t xml:space="preserve"> </w:t>
      </w:r>
      <w:r w:rsidRPr="00841523">
        <w:t>evidence</w:t>
      </w:r>
      <w:r>
        <w:t xml:space="preserve"> </w:t>
      </w:r>
      <w:r w:rsidRPr="00841523">
        <w:t>imobilizovaných</w:t>
      </w:r>
      <w:r>
        <w:t xml:space="preserve"> </w:t>
      </w:r>
      <w:r w:rsidRPr="00841523">
        <w:t>cenných</w:t>
      </w:r>
      <w:r>
        <w:t xml:space="preserve"> </w:t>
      </w:r>
      <w:r w:rsidRPr="00841523">
        <w:t>papírů,</w:t>
      </w:r>
      <w:r>
        <w:t xml:space="preserve"> </w:t>
      </w:r>
      <w:r w:rsidRPr="00841523">
        <w:t>pokud</w:t>
      </w:r>
      <w:r>
        <w:t xml:space="preserve"> </w:t>
      </w:r>
      <w:r w:rsidRPr="00841523">
        <w:t>jde</w:t>
      </w:r>
      <w:r>
        <w:t xml:space="preserve"> </w:t>
      </w:r>
      <w:r w:rsidRPr="00841523">
        <w:t>o</w:t>
      </w:r>
      <w:r>
        <w:t xml:space="preserve"> </w:t>
      </w:r>
      <w:r w:rsidRPr="00841523">
        <w:t>emisi</w:t>
      </w:r>
      <w:r>
        <w:t xml:space="preserve"> </w:t>
      </w:r>
      <w:r w:rsidRPr="00841523">
        <w:t>akcií</w:t>
      </w:r>
      <w:r>
        <w:t xml:space="preserve"> </w:t>
      </w:r>
      <w:r w:rsidRPr="00841523">
        <w:t>žadatele,</w:t>
      </w:r>
      <w:r>
        <w:t xml:space="preserve"> </w:t>
      </w:r>
      <w:r w:rsidRPr="00841523">
        <w:t>ne</w:t>
      </w:r>
      <w:r>
        <w:t xml:space="preserve"> </w:t>
      </w:r>
      <w:r w:rsidRPr="00841523">
        <w:t>starší</w:t>
      </w:r>
      <w:r>
        <w:t xml:space="preserve"> </w:t>
      </w:r>
      <w:r w:rsidRPr="00841523">
        <w:t>než</w:t>
      </w:r>
      <w:r>
        <w:t xml:space="preserve"> </w:t>
      </w:r>
      <w:r w:rsidRPr="00841523">
        <w:t>60</w:t>
      </w:r>
      <w:r>
        <w:t xml:space="preserve"> </w:t>
      </w:r>
      <w:r w:rsidRPr="00841523">
        <w:t>dní,</w:t>
      </w:r>
      <w:r>
        <w:t xml:space="preserve"> </w:t>
      </w:r>
      <w:r w:rsidRPr="00841523">
        <w:t>nebo</w:t>
      </w:r>
      <w:r>
        <w:t xml:space="preserve"> </w:t>
      </w:r>
      <w:r w:rsidRPr="00841523">
        <w:t>opis</w:t>
      </w:r>
      <w:r>
        <w:t xml:space="preserve"> </w:t>
      </w:r>
      <w:r w:rsidRPr="00841523">
        <w:t>seznamu</w:t>
      </w:r>
      <w:r>
        <w:t xml:space="preserve"> </w:t>
      </w:r>
      <w:r w:rsidRPr="00841523">
        <w:t>všech</w:t>
      </w:r>
      <w:r>
        <w:t xml:space="preserve"> </w:t>
      </w:r>
      <w:r w:rsidRPr="00841523">
        <w:t>akcionářů,</w:t>
      </w:r>
      <w:r>
        <w:t xml:space="preserve"> </w:t>
      </w:r>
      <w:r w:rsidRPr="00841523">
        <w:t>kteří</w:t>
      </w:r>
      <w:r>
        <w:t xml:space="preserve"> </w:t>
      </w:r>
      <w:r w:rsidRPr="00841523">
        <w:t>jsou</w:t>
      </w:r>
      <w:r>
        <w:t xml:space="preserve"> </w:t>
      </w:r>
      <w:r w:rsidRPr="00841523">
        <w:t>vlastníky</w:t>
      </w:r>
      <w:r>
        <w:t xml:space="preserve"> </w:t>
      </w:r>
      <w:r w:rsidRPr="00841523">
        <w:t>akcií</w:t>
      </w:r>
      <w:r>
        <w:t xml:space="preserve"> </w:t>
      </w:r>
      <w:r w:rsidRPr="00841523">
        <w:t>na</w:t>
      </w:r>
      <w:r>
        <w:t xml:space="preserve"> </w:t>
      </w:r>
      <w:r w:rsidRPr="00841523">
        <w:t>jméno,</w:t>
      </w:r>
      <w:r>
        <w:t xml:space="preserve"> </w:t>
      </w:r>
      <w:r w:rsidRPr="00841523">
        <w:t>ne</w:t>
      </w:r>
      <w:r>
        <w:t xml:space="preserve"> </w:t>
      </w:r>
      <w:r w:rsidRPr="00841523">
        <w:t>starší</w:t>
      </w:r>
      <w:r>
        <w:t xml:space="preserve"> </w:t>
      </w:r>
      <w:r w:rsidRPr="00841523">
        <w:t>než</w:t>
      </w:r>
      <w:r>
        <w:t xml:space="preserve"> </w:t>
      </w:r>
      <w:r w:rsidRPr="00841523">
        <w:t>60</w:t>
      </w:r>
      <w:r>
        <w:t xml:space="preserve"> </w:t>
      </w:r>
      <w:r w:rsidRPr="00841523">
        <w:t>dní,</w:t>
      </w:r>
      <w:r>
        <w:t xml:space="preserve"> </w:t>
      </w:r>
      <w:r w:rsidRPr="00841523">
        <w:t>s</w:t>
      </w:r>
      <w:r>
        <w:t xml:space="preserve"> </w:t>
      </w:r>
      <w:r w:rsidRPr="00841523">
        <w:t>uvedením</w:t>
      </w:r>
      <w:r>
        <w:t xml:space="preserve"> </w:t>
      </w:r>
      <w:r w:rsidRPr="00841523">
        <w:t>akcionářů</w:t>
      </w:r>
      <w:r>
        <w:t xml:space="preserve"> </w:t>
      </w:r>
      <w:r w:rsidRPr="00841523">
        <w:t>jednajících</w:t>
      </w:r>
      <w:r>
        <w:t xml:space="preserve"> </w:t>
      </w:r>
      <w:r w:rsidRPr="00841523">
        <w:t>ve</w:t>
      </w:r>
      <w:r>
        <w:t xml:space="preserve"> </w:t>
      </w:r>
      <w:r w:rsidRPr="00841523">
        <w:t>shodě,</w:t>
      </w:r>
      <w:r>
        <w:t xml:space="preserve"> </w:t>
      </w:r>
      <w:r w:rsidRPr="00841523">
        <w:t>je-li</w:t>
      </w:r>
      <w:r>
        <w:t xml:space="preserve"> </w:t>
      </w:r>
      <w:r w:rsidRPr="00841523">
        <w:t>žadatel</w:t>
      </w:r>
      <w:r>
        <w:t xml:space="preserve"> </w:t>
      </w:r>
      <w:r w:rsidRPr="00841523">
        <w:t>akciovou</w:t>
      </w:r>
      <w:r>
        <w:t xml:space="preserve"> </w:t>
      </w:r>
      <w:r w:rsidRPr="00841523">
        <w:t>společností,</w:t>
      </w:r>
    </w:p>
    <w:p w14:paraId="2D7C8D2E" w14:textId="77777777" w:rsidR="00C62C41" w:rsidRDefault="00C62C41" w:rsidP="003058E0">
      <w:pPr>
        <w:pStyle w:val="Textparagrafu"/>
        <w:tabs>
          <w:tab w:val="left" w:pos="392"/>
          <w:tab w:val="left" w:pos="840"/>
        </w:tabs>
        <w:spacing w:before="0"/>
        <w:ind w:left="426" w:hanging="426"/>
        <w:rPr>
          <w:strike/>
        </w:rPr>
      </w:pPr>
      <w:r w:rsidRPr="005F19BA">
        <w:rPr>
          <w:strike/>
        </w:rPr>
        <w:t>d)</w:t>
      </w:r>
      <w:r w:rsidRPr="005F19BA">
        <w:rPr>
          <w:strike/>
        </w:rPr>
        <w:tab/>
        <w:t>poslední výroční zpráva žadatele, pokud existuje,</w:t>
      </w:r>
    </w:p>
    <w:p w14:paraId="1E40E8CB" w14:textId="77777777" w:rsidR="00C62C41" w:rsidRPr="005F19BA" w:rsidRDefault="00C62C41" w:rsidP="003058E0">
      <w:pPr>
        <w:pStyle w:val="Psmeno"/>
        <w:spacing w:before="0"/>
        <w:ind w:left="426" w:hanging="426"/>
        <w:rPr>
          <w:b/>
        </w:rPr>
      </w:pPr>
      <w:r w:rsidRPr="005F19BA">
        <w:rPr>
          <w:b/>
        </w:rPr>
        <w:t>d)</w:t>
      </w:r>
      <w:r w:rsidRPr="005F19BA">
        <w:rPr>
          <w:b/>
        </w:rPr>
        <w:tab/>
        <w:t>poslední individuální zpráva vedení žadatele a zpráva auditora o povinném auditu, pokud existují,</w:t>
      </w:r>
    </w:p>
    <w:p w14:paraId="3B2F675F" w14:textId="77777777" w:rsidR="00C62C41" w:rsidRDefault="00C62C41" w:rsidP="003058E0">
      <w:pPr>
        <w:pStyle w:val="Textparagrafu"/>
        <w:tabs>
          <w:tab w:val="left" w:pos="392"/>
          <w:tab w:val="left" w:pos="840"/>
        </w:tabs>
        <w:spacing w:before="0"/>
        <w:ind w:left="426" w:hanging="426"/>
      </w:pPr>
      <w:r w:rsidRPr="00841523">
        <w:t>e)</w:t>
      </w:r>
      <w:r>
        <w:tab/>
      </w:r>
      <w:r w:rsidRPr="00841523">
        <w:t>čestné</w:t>
      </w:r>
      <w:r>
        <w:t xml:space="preserve"> </w:t>
      </w:r>
      <w:r w:rsidRPr="00841523">
        <w:t>prohlášení</w:t>
      </w:r>
      <w:r>
        <w:t xml:space="preserve"> </w:t>
      </w:r>
      <w:r w:rsidRPr="00841523">
        <w:t>žadatele</w:t>
      </w:r>
      <w:r>
        <w:t xml:space="preserve"> </w:t>
      </w:r>
      <w:r w:rsidRPr="00841523">
        <w:t>o</w:t>
      </w:r>
      <w:r>
        <w:t xml:space="preserve"> </w:t>
      </w:r>
      <w:r w:rsidRPr="00841523">
        <w:t>splnění</w:t>
      </w:r>
      <w:r>
        <w:t xml:space="preserve"> </w:t>
      </w:r>
      <w:r w:rsidRPr="00841523">
        <w:t>podmínek</w:t>
      </w:r>
      <w:r>
        <w:t xml:space="preserve"> </w:t>
      </w:r>
      <w:r w:rsidRPr="00841523">
        <w:t>uvedených</w:t>
      </w:r>
      <w:r>
        <w:t xml:space="preserve"> </w:t>
      </w:r>
      <w:r w:rsidRPr="00841523">
        <w:t>v</w:t>
      </w:r>
      <w:r>
        <w:t xml:space="preserve"> </w:t>
      </w:r>
      <w:r w:rsidRPr="00841523">
        <w:t>§</w:t>
      </w:r>
      <w:r>
        <w:t xml:space="preserve"> </w:t>
      </w:r>
      <w:r w:rsidRPr="00841523">
        <w:t>35</w:t>
      </w:r>
      <w:r>
        <w:t xml:space="preserve"> </w:t>
      </w:r>
      <w:r w:rsidRPr="00841523">
        <w:t>odst.</w:t>
      </w:r>
      <w:r>
        <w:t xml:space="preserve"> </w:t>
      </w:r>
      <w:r w:rsidRPr="00841523">
        <w:t>3,</w:t>
      </w:r>
      <w:r>
        <w:t xml:space="preserve"> </w:t>
      </w:r>
      <w:r w:rsidRPr="00841523">
        <w:t>čestné</w:t>
      </w:r>
      <w:r>
        <w:t xml:space="preserve"> </w:t>
      </w:r>
      <w:r w:rsidRPr="00841523">
        <w:t>prohlášení</w:t>
      </w:r>
      <w:r>
        <w:t xml:space="preserve"> </w:t>
      </w:r>
      <w:r w:rsidRPr="00841523">
        <w:t>společníků</w:t>
      </w:r>
      <w:r>
        <w:t xml:space="preserve"> </w:t>
      </w:r>
      <w:r w:rsidRPr="00841523">
        <w:t>žadatele</w:t>
      </w:r>
      <w:r>
        <w:t xml:space="preserve"> </w:t>
      </w:r>
      <w:r w:rsidRPr="00841523">
        <w:t>o</w:t>
      </w:r>
      <w:r>
        <w:t xml:space="preserve"> </w:t>
      </w:r>
      <w:r w:rsidRPr="00841523">
        <w:t>splnění</w:t>
      </w:r>
      <w:r>
        <w:t xml:space="preserve"> </w:t>
      </w:r>
      <w:r w:rsidRPr="00841523">
        <w:t>podmínek</w:t>
      </w:r>
      <w:r>
        <w:t xml:space="preserve"> </w:t>
      </w:r>
      <w:r w:rsidRPr="00841523">
        <w:t>uvedených</w:t>
      </w:r>
      <w:r>
        <w:t xml:space="preserve"> </w:t>
      </w:r>
      <w:r w:rsidRPr="00841523">
        <w:t>v</w:t>
      </w:r>
      <w:r>
        <w:t xml:space="preserve"> </w:t>
      </w:r>
      <w:r w:rsidRPr="00841523">
        <w:t>§</w:t>
      </w:r>
      <w:r>
        <w:t xml:space="preserve"> </w:t>
      </w:r>
      <w:r w:rsidRPr="00841523">
        <w:t>35</w:t>
      </w:r>
      <w:r>
        <w:t xml:space="preserve"> </w:t>
      </w:r>
      <w:r w:rsidRPr="00841523">
        <w:t>odst.</w:t>
      </w:r>
      <w:r>
        <w:t xml:space="preserve"> </w:t>
      </w:r>
      <w:r w:rsidRPr="00841523">
        <w:t>2</w:t>
      </w:r>
      <w:r>
        <w:t xml:space="preserve"> </w:t>
      </w:r>
      <w:r w:rsidRPr="00841523">
        <w:t>písm.</w:t>
      </w:r>
      <w:r>
        <w:t xml:space="preserve"> </w:t>
      </w:r>
      <w:r w:rsidRPr="00841523">
        <w:t>b)</w:t>
      </w:r>
      <w:r>
        <w:t xml:space="preserve"> </w:t>
      </w:r>
      <w:r w:rsidRPr="00841523">
        <w:t>a</w:t>
      </w:r>
      <w:r>
        <w:t xml:space="preserve"> </w:t>
      </w:r>
      <w:r w:rsidRPr="00841523">
        <w:t>c)</w:t>
      </w:r>
      <w:r>
        <w:t xml:space="preserve"> </w:t>
      </w:r>
      <w:r w:rsidRPr="00841523">
        <w:t>a</w:t>
      </w:r>
      <w:r>
        <w:t xml:space="preserve"> </w:t>
      </w:r>
      <w:r w:rsidRPr="00841523">
        <w:t>podklady</w:t>
      </w:r>
      <w:r>
        <w:t xml:space="preserve"> </w:t>
      </w:r>
      <w:r w:rsidRPr="00841523">
        <w:t>prokazující</w:t>
      </w:r>
      <w:r>
        <w:t xml:space="preserve"> </w:t>
      </w:r>
      <w:r w:rsidRPr="00841523">
        <w:t>splnění</w:t>
      </w:r>
      <w:r>
        <w:t xml:space="preserve"> </w:t>
      </w:r>
      <w:r w:rsidRPr="00841523">
        <w:t>podmínek</w:t>
      </w:r>
      <w:r>
        <w:t xml:space="preserve"> </w:t>
      </w:r>
      <w:r w:rsidRPr="00841523">
        <w:t>uvedených</w:t>
      </w:r>
      <w:r>
        <w:t xml:space="preserve"> </w:t>
      </w:r>
      <w:r w:rsidRPr="00841523">
        <w:t>v</w:t>
      </w:r>
      <w:r>
        <w:t xml:space="preserve"> </w:t>
      </w:r>
      <w:r w:rsidRPr="00841523">
        <w:t>§</w:t>
      </w:r>
      <w:r>
        <w:t xml:space="preserve"> </w:t>
      </w:r>
      <w:r w:rsidRPr="00841523">
        <w:t>35</w:t>
      </w:r>
      <w:r>
        <w:t xml:space="preserve"> </w:t>
      </w:r>
      <w:r w:rsidRPr="00841523">
        <w:t>odst.</w:t>
      </w:r>
      <w:r>
        <w:t xml:space="preserve"> </w:t>
      </w:r>
      <w:r w:rsidRPr="00841523">
        <w:t>2</w:t>
      </w:r>
      <w:r>
        <w:t xml:space="preserve"> </w:t>
      </w:r>
      <w:r w:rsidRPr="00841523">
        <w:t>písm.</w:t>
      </w:r>
      <w:r>
        <w:t xml:space="preserve"> </w:t>
      </w:r>
      <w:r w:rsidRPr="00841523">
        <w:t>h),</w:t>
      </w:r>
    </w:p>
    <w:p w14:paraId="249D871F" w14:textId="77777777" w:rsidR="00C62C41" w:rsidRPr="00841523" w:rsidRDefault="00C62C41" w:rsidP="003058E0">
      <w:pPr>
        <w:pStyle w:val="Textparagrafu"/>
        <w:tabs>
          <w:tab w:val="left" w:pos="392"/>
          <w:tab w:val="left" w:pos="840"/>
        </w:tabs>
        <w:spacing w:before="0"/>
        <w:ind w:left="426" w:hanging="426"/>
      </w:pPr>
      <w:r w:rsidRPr="00841523">
        <w:t>f)</w:t>
      </w:r>
      <w:r>
        <w:tab/>
      </w:r>
      <w:r w:rsidRPr="00841523">
        <w:t>vzory</w:t>
      </w:r>
      <w:r>
        <w:t xml:space="preserve"> </w:t>
      </w:r>
      <w:r w:rsidRPr="00841523">
        <w:t>smluv</w:t>
      </w:r>
    </w:p>
    <w:p w14:paraId="4A558169" w14:textId="02101542" w:rsidR="00C62C41" w:rsidRPr="00841523" w:rsidRDefault="00C62C41" w:rsidP="009876EF">
      <w:pPr>
        <w:pStyle w:val="Textparagrafu"/>
        <w:tabs>
          <w:tab w:val="left" w:pos="392"/>
          <w:tab w:val="left" w:pos="840"/>
        </w:tabs>
        <w:spacing w:before="0"/>
        <w:ind w:left="850" w:hanging="425"/>
      </w:pPr>
      <w:r w:rsidRPr="00841523">
        <w:t>1.</w:t>
      </w:r>
      <w:r>
        <w:tab/>
      </w:r>
      <w:r w:rsidRPr="00841523">
        <w:t>o</w:t>
      </w:r>
      <w:r>
        <w:t xml:space="preserve"> </w:t>
      </w:r>
      <w:r w:rsidRPr="00841523">
        <w:t>kolektivním</w:t>
      </w:r>
      <w:r>
        <w:t xml:space="preserve"> </w:t>
      </w:r>
      <w:r w:rsidRPr="00841523">
        <w:t>plnění</w:t>
      </w:r>
      <w:r>
        <w:t xml:space="preserve"> </w:t>
      </w:r>
      <w:r w:rsidRPr="00841523">
        <w:t>včetně</w:t>
      </w:r>
      <w:r>
        <w:t xml:space="preserve"> </w:t>
      </w:r>
      <w:r w:rsidRPr="00841523">
        <w:t>sazeb</w:t>
      </w:r>
      <w:r>
        <w:t xml:space="preserve"> </w:t>
      </w:r>
      <w:r w:rsidRPr="00841523">
        <w:t>pro</w:t>
      </w:r>
      <w:r>
        <w:t xml:space="preserve"> </w:t>
      </w:r>
      <w:r w:rsidRPr="00841523">
        <w:t>výpočet</w:t>
      </w:r>
      <w:r>
        <w:t xml:space="preserve"> </w:t>
      </w:r>
      <w:r w:rsidRPr="00841523">
        <w:t>jakýchkoliv</w:t>
      </w:r>
      <w:r>
        <w:t xml:space="preserve"> </w:t>
      </w:r>
      <w:r w:rsidRPr="00841523">
        <w:t>peněžitých</w:t>
      </w:r>
      <w:r>
        <w:t xml:space="preserve"> </w:t>
      </w:r>
      <w:r w:rsidRPr="00841523">
        <w:t>plnění</w:t>
      </w:r>
      <w:r>
        <w:t xml:space="preserve"> </w:t>
      </w:r>
      <w:r w:rsidRPr="00841523">
        <w:t>na</w:t>
      </w:r>
      <w:r>
        <w:t xml:space="preserve"> </w:t>
      </w:r>
      <w:r w:rsidRPr="00841523">
        <w:t>základě</w:t>
      </w:r>
      <w:r>
        <w:t xml:space="preserve"> </w:t>
      </w:r>
      <w:r w:rsidRPr="00841523">
        <w:t>smlouvy,</w:t>
      </w:r>
    </w:p>
    <w:p w14:paraId="4D52681E" w14:textId="7859CF3B" w:rsidR="00C62C41" w:rsidRPr="00841523" w:rsidRDefault="00C62C41" w:rsidP="009876EF">
      <w:pPr>
        <w:pStyle w:val="Textparagrafu"/>
        <w:tabs>
          <w:tab w:val="left" w:pos="392"/>
          <w:tab w:val="left" w:pos="840"/>
        </w:tabs>
        <w:spacing w:before="0"/>
        <w:ind w:left="850" w:hanging="425"/>
      </w:pPr>
      <w:r w:rsidRPr="00841523">
        <w:t>2.</w:t>
      </w:r>
      <w:r>
        <w:tab/>
      </w:r>
      <w:r w:rsidRPr="00841523">
        <w:t>o</w:t>
      </w:r>
      <w:r>
        <w:t xml:space="preserve"> </w:t>
      </w:r>
      <w:r w:rsidRPr="00841523">
        <w:t>zřízení</w:t>
      </w:r>
      <w:r>
        <w:t xml:space="preserve"> </w:t>
      </w:r>
      <w:r w:rsidRPr="00841523">
        <w:t>místa</w:t>
      </w:r>
      <w:r>
        <w:t xml:space="preserve"> </w:t>
      </w:r>
      <w:r w:rsidRPr="00841523">
        <w:t>zpětného</w:t>
      </w:r>
      <w:r>
        <w:t xml:space="preserve"> </w:t>
      </w:r>
      <w:r w:rsidRPr="00841523">
        <w:t>odběru,</w:t>
      </w:r>
    </w:p>
    <w:p w14:paraId="6D7131F8" w14:textId="6C74AB0C" w:rsidR="00C62C41" w:rsidRPr="00841523" w:rsidRDefault="00C62C41" w:rsidP="009876EF">
      <w:pPr>
        <w:pStyle w:val="Textparagrafu"/>
        <w:tabs>
          <w:tab w:val="left" w:pos="392"/>
          <w:tab w:val="left" w:pos="840"/>
        </w:tabs>
        <w:spacing w:before="0"/>
        <w:ind w:left="850" w:hanging="425"/>
      </w:pPr>
      <w:r w:rsidRPr="00841523">
        <w:t>3.</w:t>
      </w:r>
      <w:r>
        <w:tab/>
      </w:r>
      <w:r w:rsidRPr="00841523">
        <w:t>o</w:t>
      </w:r>
      <w:r>
        <w:t xml:space="preserve"> </w:t>
      </w:r>
      <w:r w:rsidRPr="00841523">
        <w:t>využití</w:t>
      </w:r>
      <w:r>
        <w:t xml:space="preserve"> </w:t>
      </w:r>
      <w:r w:rsidRPr="00841523">
        <w:t>systému</w:t>
      </w:r>
      <w:r>
        <w:t xml:space="preserve"> </w:t>
      </w:r>
      <w:r w:rsidRPr="00841523">
        <w:t>nakládání</w:t>
      </w:r>
      <w:r>
        <w:t xml:space="preserve"> </w:t>
      </w:r>
      <w:r w:rsidRPr="00841523">
        <w:t>s</w:t>
      </w:r>
      <w:r>
        <w:t xml:space="preserve"> </w:t>
      </w:r>
      <w:r w:rsidRPr="00841523">
        <w:t>komunálním</w:t>
      </w:r>
      <w:r>
        <w:t xml:space="preserve"> </w:t>
      </w:r>
      <w:r w:rsidRPr="00841523">
        <w:t>odpadem</w:t>
      </w:r>
      <w:r>
        <w:t xml:space="preserve"> </w:t>
      </w:r>
      <w:r w:rsidRPr="00841523">
        <w:t>stanoveného</w:t>
      </w:r>
      <w:r>
        <w:t xml:space="preserve"> </w:t>
      </w:r>
      <w:r w:rsidRPr="00841523">
        <w:t>obcí</w:t>
      </w:r>
      <w:r>
        <w:t xml:space="preserve"> </w:t>
      </w:r>
      <w:r w:rsidRPr="00841523">
        <w:t>v</w:t>
      </w:r>
      <w:r>
        <w:t xml:space="preserve"> </w:t>
      </w:r>
      <w:r w:rsidRPr="00841523">
        <w:t>případě,</w:t>
      </w:r>
      <w:r>
        <w:t xml:space="preserve"> </w:t>
      </w:r>
      <w:r w:rsidRPr="00841523">
        <w:t>že</w:t>
      </w:r>
      <w:r>
        <w:t xml:space="preserve"> </w:t>
      </w:r>
      <w:r w:rsidRPr="00841523">
        <w:t>k</w:t>
      </w:r>
      <w:r>
        <w:t xml:space="preserve"> </w:t>
      </w:r>
      <w:r w:rsidRPr="00841523">
        <w:t>zajišťování</w:t>
      </w:r>
      <w:r>
        <w:t xml:space="preserve"> </w:t>
      </w:r>
      <w:r w:rsidRPr="00841523">
        <w:t>kolektivního</w:t>
      </w:r>
      <w:r>
        <w:t xml:space="preserve"> </w:t>
      </w:r>
      <w:r w:rsidRPr="00841523">
        <w:t>plnění</w:t>
      </w:r>
      <w:r>
        <w:t xml:space="preserve"> </w:t>
      </w:r>
      <w:r w:rsidRPr="00841523">
        <w:t>povinností</w:t>
      </w:r>
      <w:r>
        <w:t xml:space="preserve"> </w:t>
      </w:r>
      <w:r w:rsidRPr="00841523">
        <w:t>výrobců</w:t>
      </w:r>
      <w:r>
        <w:t xml:space="preserve"> </w:t>
      </w:r>
      <w:r w:rsidRPr="00841523">
        <w:t>bude</w:t>
      </w:r>
      <w:r>
        <w:t xml:space="preserve"> </w:t>
      </w:r>
      <w:r w:rsidRPr="00841523">
        <w:t>využívána</w:t>
      </w:r>
      <w:r>
        <w:t xml:space="preserve"> </w:t>
      </w:r>
      <w:r w:rsidRPr="00841523">
        <w:t>spolupráce</w:t>
      </w:r>
      <w:r>
        <w:t xml:space="preserve"> </w:t>
      </w:r>
      <w:r w:rsidRPr="00841523">
        <w:t>s</w:t>
      </w:r>
      <w:r>
        <w:t xml:space="preserve"> </w:t>
      </w:r>
      <w:r w:rsidRPr="00841523">
        <w:t>obcemi,</w:t>
      </w:r>
    </w:p>
    <w:p w14:paraId="2A96E697" w14:textId="7E0BC2DB" w:rsidR="00C62C41" w:rsidRPr="00841523" w:rsidRDefault="00C62C41" w:rsidP="009876EF">
      <w:pPr>
        <w:pStyle w:val="Textparagrafu"/>
        <w:tabs>
          <w:tab w:val="left" w:pos="392"/>
          <w:tab w:val="left" w:pos="840"/>
        </w:tabs>
        <w:spacing w:before="0"/>
        <w:ind w:left="850" w:hanging="425"/>
      </w:pPr>
      <w:r w:rsidRPr="00841523">
        <w:t>4.</w:t>
      </w:r>
      <w:r>
        <w:tab/>
      </w:r>
      <w:r w:rsidRPr="00841523">
        <w:t>o</w:t>
      </w:r>
      <w:r>
        <w:t xml:space="preserve"> </w:t>
      </w:r>
      <w:r w:rsidRPr="00841523">
        <w:t>spolupráci</w:t>
      </w:r>
      <w:r>
        <w:t xml:space="preserve"> </w:t>
      </w:r>
      <w:r w:rsidRPr="00841523">
        <w:t>při</w:t>
      </w:r>
      <w:r>
        <w:t xml:space="preserve"> </w:t>
      </w:r>
      <w:r w:rsidRPr="00841523">
        <w:t>zajištění</w:t>
      </w:r>
      <w:r>
        <w:t xml:space="preserve"> </w:t>
      </w:r>
      <w:r w:rsidRPr="00841523">
        <w:t>plnění</w:t>
      </w:r>
      <w:r>
        <w:t xml:space="preserve"> </w:t>
      </w:r>
      <w:r w:rsidRPr="00841523">
        <w:t>povinností</w:t>
      </w:r>
      <w:r>
        <w:t xml:space="preserve"> </w:t>
      </w:r>
      <w:r w:rsidRPr="00841523">
        <w:t>výrobců</w:t>
      </w:r>
      <w:r>
        <w:t xml:space="preserve"> </w:t>
      </w:r>
      <w:r w:rsidRPr="00841523">
        <w:t>elektrozařízení</w:t>
      </w:r>
      <w:r>
        <w:t xml:space="preserve"> </w:t>
      </w:r>
      <w:r w:rsidRPr="00841523">
        <w:t>se</w:t>
      </w:r>
      <w:r>
        <w:t xml:space="preserve"> </w:t>
      </w:r>
      <w:r w:rsidRPr="00841523">
        <w:t>zabudovanými</w:t>
      </w:r>
      <w:r>
        <w:t xml:space="preserve"> </w:t>
      </w:r>
      <w:r w:rsidRPr="00841523">
        <w:t>nebo</w:t>
      </w:r>
      <w:r>
        <w:t xml:space="preserve"> </w:t>
      </w:r>
      <w:r w:rsidRPr="00841523">
        <w:t>přiloženými</w:t>
      </w:r>
      <w:r>
        <w:t xml:space="preserve"> </w:t>
      </w:r>
      <w:r w:rsidRPr="00841523">
        <w:t>bateriemi</w:t>
      </w:r>
      <w:r>
        <w:t xml:space="preserve"> </w:t>
      </w:r>
      <w:r w:rsidRPr="00841523">
        <w:t>nebo</w:t>
      </w:r>
      <w:r>
        <w:t xml:space="preserve"> </w:t>
      </w:r>
      <w:r w:rsidRPr="00841523">
        <w:t>akumulátory</w:t>
      </w:r>
      <w:r>
        <w:t xml:space="preserve"> </w:t>
      </w:r>
      <w:r w:rsidRPr="00841523">
        <w:t>podle</w:t>
      </w:r>
      <w:r>
        <w:t xml:space="preserve"> </w:t>
      </w:r>
      <w:r w:rsidRPr="00841523">
        <w:t>§</w:t>
      </w:r>
      <w:r>
        <w:t xml:space="preserve"> </w:t>
      </w:r>
      <w:r w:rsidRPr="00841523">
        <w:t>84</w:t>
      </w:r>
      <w:r>
        <w:t xml:space="preserve"> </w:t>
      </w:r>
      <w:r w:rsidRPr="00841523">
        <w:t>odst.</w:t>
      </w:r>
      <w:r>
        <w:t xml:space="preserve"> </w:t>
      </w:r>
      <w:r w:rsidRPr="00841523">
        <w:t>3,</w:t>
      </w:r>
      <w:r>
        <w:t xml:space="preserve"> </w:t>
      </w:r>
      <w:r w:rsidRPr="00841523">
        <w:t>je-li</w:t>
      </w:r>
      <w:r>
        <w:t xml:space="preserve"> </w:t>
      </w:r>
      <w:r w:rsidRPr="00841523">
        <w:t>předmětem</w:t>
      </w:r>
      <w:r>
        <w:t xml:space="preserve"> </w:t>
      </w:r>
      <w:r w:rsidRPr="00841523">
        <w:t>žádosti</w:t>
      </w:r>
      <w:r>
        <w:t xml:space="preserve"> </w:t>
      </w:r>
      <w:r w:rsidRPr="00841523">
        <w:t>vydání</w:t>
      </w:r>
      <w:r>
        <w:t xml:space="preserve"> </w:t>
      </w:r>
      <w:r w:rsidRPr="00841523">
        <w:t>oprávnění</w:t>
      </w:r>
      <w:r>
        <w:t xml:space="preserve"> </w:t>
      </w:r>
      <w:r w:rsidRPr="00841523">
        <w:t>k</w:t>
      </w:r>
      <w:r>
        <w:t xml:space="preserve"> </w:t>
      </w:r>
      <w:r w:rsidRPr="00841523">
        <w:t>provozování</w:t>
      </w:r>
      <w:r>
        <w:t xml:space="preserve"> </w:t>
      </w:r>
      <w:r w:rsidRPr="00841523">
        <w:t>kolektivního</w:t>
      </w:r>
      <w:r>
        <w:t xml:space="preserve"> </w:t>
      </w:r>
      <w:r w:rsidRPr="00841523">
        <w:t>systému</w:t>
      </w:r>
      <w:r>
        <w:t xml:space="preserve"> </w:t>
      </w:r>
      <w:r w:rsidRPr="00841523">
        <w:t>výrobců</w:t>
      </w:r>
      <w:r>
        <w:t xml:space="preserve"> </w:t>
      </w:r>
      <w:r w:rsidRPr="00841523">
        <w:t>baterií</w:t>
      </w:r>
      <w:r>
        <w:t xml:space="preserve"> </w:t>
      </w:r>
      <w:r w:rsidRPr="00841523">
        <w:t>nebo</w:t>
      </w:r>
      <w:r>
        <w:t xml:space="preserve"> </w:t>
      </w:r>
      <w:r w:rsidRPr="00841523">
        <w:t>akumulátorů,</w:t>
      </w:r>
      <w:r>
        <w:t xml:space="preserve"> </w:t>
      </w:r>
      <w:r w:rsidRPr="00841523">
        <w:t>a</w:t>
      </w:r>
    </w:p>
    <w:p w14:paraId="7A18ED1E" w14:textId="2A27F6BA" w:rsidR="00C62C41" w:rsidRDefault="00C62C41" w:rsidP="009876EF">
      <w:pPr>
        <w:pStyle w:val="Textparagrafu"/>
        <w:tabs>
          <w:tab w:val="left" w:pos="392"/>
          <w:tab w:val="left" w:pos="840"/>
        </w:tabs>
        <w:spacing w:before="0"/>
        <w:ind w:left="850" w:hanging="425"/>
      </w:pPr>
      <w:r w:rsidRPr="00841523">
        <w:t>5.</w:t>
      </w:r>
      <w:r>
        <w:tab/>
      </w:r>
      <w:r w:rsidRPr="00841523">
        <w:t>uzavíraných</w:t>
      </w:r>
      <w:r>
        <w:t xml:space="preserve"> </w:t>
      </w:r>
      <w:r w:rsidRPr="00841523">
        <w:t>za</w:t>
      </w:r>
      <w:r>
        <w:t xml:space="preserve"> </w:t>
      </w:r>
      <w:r w:rsidRPr="00841523">
        <w:t>účelem</w:t>
      </w:r>
      <w:r>
        <w:t xml:space="preserve"> </w:t>
      </w:r>
      <w:r w:rsidRPr="00841523">
        <w:t>zpracování</w:t>
      </w:r>
      <w:r>
        <w:t xml:space="preserve"> </w:t>
      </w:r>
      <w:r w:rsidRPr="00841523">
        <w:t>zpětně</w:t>
      </w:r>
      <w:r>
        <w:t xml:space="preserve"> </w:t>
      </w:r>
      <w:r w:rsidRPr="00841523">
        <w:t>odebraných</w:t>
      </w:r>
      <w:r>
        <w:t xml:space="preserve"> </w:t>
      </w:r>
      <w:r w:rsidRPr="00841523">
        <w:t>výrobků</w:t>
      </w:r>
      <w:r>
        <w:t xml:space="preserve"> </w:t>
      </w:r>
      <w:r w:rsidRPr="00841523">
        <w:t>s</w:t>
      </w:r>
      <w:r>
        <w:t xml:space="preserve"> </w:t>
      </w:r>
      <w:r w:rsidRPr="00841523">
        <w:t>ukončenou</w:t>
      </w:r>
      <w:r>
        <w:t xml:space="preserve"> </w:t>
      </w:r>
      <w:r w:rsidRPr="00841523">
        <w:t>životností,</w:t>
      </w:r>
    </w:p>
    <w:p w14:paraId="294D95EE" w14:textId="77777777" w:rsidR="00C62C41" w:rsidRDefault="00C62C41" w:rsidP="003058E0">
      <w:pPr>
        <w:pStyle w:val="Textparagrafu"/>
        <w:tabs>
          <w:tab w:val="left" w:pos="392"/>
          <w:tab w:val="left" w:pos="840"/>
        </w:tabs>
        <w:spacing w:before="0"/>
        <w:ind w:left="426" w:hanging="426"/>
      </w:pPr>
      <w:r w:rsidRPr="00841523">
        <w:lastRenderedPageBreak/>
        <w:t>g)</w:t>
      </w:r>
      <w:r>
        <w:tab/>
      </w:r>
      <w:r w:rsidRPr="00841523">
        <w:t>seznam</w:t>
      </w:r>
      <w:r>
        <w:t xml:space="preserve"> </w:t>
      </w:r>
      <w:r w:rsidRPr="00841523">
        <w:t>osob,</w:t>
      </w:r>
      <w:r>
        <w:t xml:space="preserve"> </w:t>
      </w:r>
      <w:r w:rsidRPr="00841523">
        <w:t>se</w:t>
      </w:r>
      <w:r>
        <w:t xml:space="preserve"> </w:t>
      </w:r>
      <w:r w:rsidRPr="00841523">
        <w:t>kterými</w:t>
      </w:r>
      <w:r>
        <w:t xml:space="preserve"> </w:t>
      </w:r>
      <w:r w:rsidRPr="00841523">
        <w:t>žadatel</w:t>
      </w:r>
      <w:r>
        <w:t xml:space="preserve"> </w:t>
      </w:r>
      <w:r w:rsidRPr="00841523">
        <w:t>již</w:t>
      </w:r>
      <w:r>
        <w:t xml:space="preserve"> </w:t>
      </w:r>
      <w:r w:rsidRPr="00841523">
        <w:t>uzavřel</w:t>
      </w:r>
      <w:r>
        <w:t xml:space="preserve"> </w:t>
      </w:r>
      <w:r w:rsidRPr="00841523">
        <w:t>některou</w:t>
      </w:r>
      <w:r>
        <w:t xml:space="preserve"> </w:t>
      </w:r>
      <w:r w:rsidRPr="00841523">
        <w:t>ze</w:t>
      </w:r>
      <w:r>
        <w:t xml:space="preserve"> </w:t>
      </w:r>
      <w:r w:rsidRPr="00841523">
        <w:t>smluv</w:t>
      </w:r>
      <w:r>
        <w:t xml:space="preserve"> </w:t>
      </w:r>
      <w:r w:rsidRPr="00841523">
        <w:t>uvedených</w:t>
      </w:r>
      <w:r>
        <w:t xml:space="preserve"> </w:t>
      </w:r>
      <w:r w:rsidRPr="00841523">
        <w:t>v</w:t>
      </w:r>
      <w:r>
        <w:t xml:space="preserve"> </w:t>
      </w:r>
      <w:r w:rsidRPr="00841523">
        <w:t>písmenu</w:t>
      </w:r>
      <w:r>
        <w:t xml:space="preserve"> </w:t>
      </w:r>
      <w:r w:rsidRPr="00841523">
        <w:t>f),</w:t>
      </w:r>
      <w:r>
        <w:t xml:space="preserve"> </w:t>
      </w:r>
      <w:r w:rsidRPr="00841523">
        <w:t>s</w:t>
      </w:r>
      <w:r>
        <w:t xml:space="preserve"> </w:t>
      </w:r>
      <w:r w:rsidRPr="00841523">
        <w:t>uvedením,</w:t>
      </w:r>
      <w:r>
        <w:t xml:space="preserve"> </w:t>
      </w:r>
      <w:r w:rsidRPr="00841523">
        <w:t>o</w:t>
      </w:r>
      <w:r>
        <w:t xml:space="preserve"> </w:t>
      </w:r>
      <w:r w:rsidRPr="00841523">
        <w:t>jakou</w:t>
      </w:r>
      <w:r>
        <w:t xml:space="preserve"> </w:t>
      </w:r>
      <w:r w:rsidRPr="00841523">
        <w:t>smlouvu</w:t>
      </w:r>
      <w:r>
        <w:t xml:space="preserve"> </w:t>
      </w:r>
      <w:r w:rsidRPr="00841523">
        <w:t>jde,</w:t>
      </w:r>
    </w:p>
    <w:p w14:paraId="207D9305" w14:textId="77777777" w:rsidR="00C62C41" w:rsidRDefault="00C62C41" w:rsidP="003058E0">
      <w:pPr>
        <w:pStyle w:val="Textparagrafu"/>
        <w:tabs>
          <w:tab w:val="left" w:pos="392"/>
          <w:tab w:val="left" w:pos="840"/>
        </w:tabs>
        <w:spacing w:before="0"/>
        <w:ind w:left="426" w:hanging="426"/>
      </w:pPr>
      <w:r w:rsidRPr="00841523">
        <w:t>h)</w:t>
      </w:r>
      <w:r>
        <w:tab/>
      </w:r>
      <w:r w:rsidRPr="00841523">
        <w:t>dokumenty</w:t>
      </w:r>
      <w:r>
        <w:t xml:space="preserve"> </w:t>
      </w:r>
      <w:r w:rsidRPr="00841523">
        <w:t>prokazující</w:t>
      </w:r>
      <w:r>
        <w:t xml:space="preserve"> </w:t>
      </w:r>
      <w:r w:rsidRPr="00841523">
        <w:t>zřízení</w:t>
      </w:r>
      <w:r>
        <w:t xml:space="preserve"> </w:t>
      </w:r>
      <w:r w:rsidRPr="00841523">
        <w:t>sítě</w:t>
      </w:r>
      <w:r>
        <w:t xml:space="preserve"> </w:t>
      </w:r>
      <w:r w:rsidRPr="00841523">
        <w:t>veřejných</w:t>
      </w:r>
      <w:r>
        <w:t xml:space="preserve"> </w:t>
      </w:r>
      <w:r w:rsidRPr="00841523">
        <w:t>míst</w:t>
      </w:r>
      <w:r>
        <w:t xml:space="preserve"> </w:t>
      </w:r>
      <w:r w:rsidRPr="00841523">
        <w:t>zpětného</w:t>
      </w:r>
      <w:r>
        <w:t xml:space="preserve"> </w:t>
      </w:r>
      <w:r w:rsidRPr="00841523">
        <w:t>odběru</w:t>
      </w:r>
      <w:r>
        <w:t xml:space="preserve"> </w:t>
      </w:r>
      <w:r w:rsidRPr="00841523">
        <w:t>v</w:t>
      </w:r>
      <w:r>
        <w:t xml:space="preserve"> </w:t>
      </w:r>
      <w:r w:rsidRPr="00841523">
        <w:t>rozsahu</w:t>
      </w:r>
      <w:r>
        <w:t xml:space="preserve"> </w:t>
      </w:r>
      <w:r w:rsidRPr="00841523">
        <w:t>požadovaném</w:t>
      </w:r>
      <w:r>
        <w:t xml:space="preserve"> </w:t>
      </w:r>
      <w:r w:rsidRPr="00841523">
        <w:t>tímto</w:t>
      </w:r>
      <w:r>
        <w:t xml:space="preserve"> </w:t>
      </w:r>
      <w:r w:rsidRPr="00841523">
        <w:t>zákonem,</w:t>
      </w:r>
    </w:p>
    <w:p w14:paraId="0C7DEC34" w14:textId="77777777" w:rsidR="00C62C41" w:rsidRPr="00841523" w:rsidRDefault="00C62C41" w:rsidP="003058E0">
      <w:pPr>
        <w:pStyle w:val="Textparagrafu"/>
        <w:tabs>
          <w:tab w:val="left" w:pos="392"/>
          <w:tab w:val="left" w:pos="840"/>
        </w:tabs>
        <w:spacing w:before="0"/>
        <w:ind w:left="426" w:hanging="426"/>
      </w:pPr>
      <w:r w:rsidRPr="00841523">
        <w:t>i)</w:t>
      </w:r>
      <w:r>
        <w:tab/>
      </w:r>
      <w:r w:rsidRPr="00841523">
        <w:t>projekt</w:t>
      </w:r>
      <w:r>
        <w:t xml:space="preserve"> </w:t>
      </w:r>
      <w:r w:rsidRPr="00841523">
        <w:t>zajišťování</w:t>
      </w:r>
      <w:r>
        <w:t xml:space="preserve"> </w:t>
      </w:r>
      <w:r w:rsidRPr="00841523">
        <w:t>kolektivního</w:t>
      </w:r>
      <w:r>
        <w:t xml:space="preserve"> </w:t>
      </w:r>
      <w:r w:rsidRPr="00841523">
        <w:t>plnění,</w:t>
      </w:r>
      <w:r>
        <w:t xml:space="preserve"> </w:t>
      </w:r>
      <w:r w:rsidRPr="00841523">
        <w:t>který</w:t>
      </w:r>
      <w:r>
        <w:t xml:space="preserve"> </w:t>
      </w:r>
      <w:r w:rsidRPr="00841523">
        <w:t>zahrnuje</w:t>
      </w:r>
      <w:r>
        <w:t xml:space="preserve"> </w:t>
      </w:r>
      <w:r w:rsidRPr="00841523">
        <w:t>alespoň</w:t>
      </w:r>
    </w:p>
    <w:p w14:paraId="55DB4202" w14:textId="50FCD87A" w:rsidR="00C62C41" w:rsidRPr="00841523" w:rsidRDefault="00C62C41" w:rsidP="009876EF">
      <w:pPr>
        <w:pStyle w:val="Textparagrafu"/>
        <w:tabs>
          <w:tab w:val="left" w:pos="392"/>
          <w:tab w:val="left" w:pos="840"/>
        </w:tabs>
        <w:spacing w:before="0"/>
        <w:ind w:left="850" w:hanging="425"/>
      </w:pPr>
      <w:r w:rsidRPr="00841523">
        <w:t>1.</w:t>
      </w:r>
      <w:r>
        <w:tab/>
      </w:r>
      <w:r w:rsidRPr="00841523">
        <w:t>označení</w:t>
      </w:r>
      <w:r>
        <w:t xml:space="preserve"> </w:t>
      </w:r>
      <w:r w:rsidRPr="00841523">
        <w:t>druhu</w:t>
      </w:r>
      <w:r>
        <w:t xml:space="preserve"> </w:t>
      </w:r>
      <w:r w:rsidRPr="00841523">
        <w:t>a</w:t>
      </w:r>
      <w:r>
        <w:t xml:space="preserve"> </w:t>
      </w:r>
      <w:r w:rsidRPr="00841523">
        <w:t>skupin</w:t>
      </w:r>
      <w:r>
        <w:t xml:space="preserve"> </w:t>
      </w:r>
      <w:r w:rsidRPr="00841523">
        <w:t>vybraných</w:t>
      </w:r>
      <w:r>
        <w:t xml:space="preserve"> </w:t>
      </w:r>
      <w:r w:rsidRPr="00841523">
        <w:t>výrobků,</w:t>
      </w:r>
      <w:r>
        <w:t xml:space="preserve"> </w:t>
      </w:r>
      <w:r w:rsidRPr="00841523">
        <w:t>pro</w:t>
      </w:r>
      <w:r>
        <w:t xml:space="preserve"> </w:t>
      </w:r>
      <w:r w:rsidRPr="00841523">
        <w:t>které</w:t>
      </w:r>
      <w:r>
        <w:t xml:space="preserve"> </w:t>
      </w:r>
      <w:r w:rsidRPr="00841523">
        <w:t>žadatel</w:t>
      </w:r>
      <w:r>
        <w:t xml:space="preserve"> </w:t>
      </w:r>
      <w:r w:rsidRPr="00841523">
        <w:t>hodlá</w:t>
      </w:r>
      <w:r>
        <w:t xml:space="preserve"> </w:t>
      </w:r>
      <w:r w:rsidRPr="00841523">
        <w:t>zajišťovat</w:t>
      </w:r>
      <w:r>
        <w:t xml:space="preserve"> </w:t>
      </w:r>
      <w:r w:rsidRPr="00841523">
        <w:t>kolektivní</w:t>
      </w:r>
      <w:r>
        <w:t xml:space="preserve"> </w:t>
      </w:r>
      <w:r w:rsidRPr="00841523">
        <w:t>plnění</w:t>
      </w:r>
      <w:r>
        <w:t xml:space="preserve"> </w:t>
      </w:r>
      <w:r w:rsidRPr="00841523">
        <w:t>povinností</w:t>
      </w:r>
      <w:r>
        <w:t xml:space="preserve"> </w:t>
      </w:r>
      <w:r w:rsidRPr="00841523">
        <w:t>výrobců,</w:t>
      </w:r>
      <w:r>
        <w:t xml:space="preserve"> </w:t>
      </w:r>
      <w:r w:rsidRPr="00841523">
        <w:t>a</w:t>
      </w:r>
      <w:r>
        <w:t xml:space="preserve"> </w:t>
      </w:r>
      <w:r w:rsidRPr="00841523">
        <w:t>v</w:t>
      </w:r>
      <w:r>
        <w:t xml:space="preserve"> </w:t>
      </w:r>
      <w:r w:rsidRPr="00841523">
        <w:t>případě</w:t>
      </w:r>
      <w:r>
        <w:t xml:space="preserve"> </w:t>
      </w:r>
      <w:r w:rsidRPr="00841523">
        <w:t>elektrozařízení</w:t>
      </w:r>
      <w:r>
        <w:t xml:space="preserve"> </w:t>
      </w:r>
      <w:r w:rsidRPr="00841523">
        <w:t>dále</w:t>
      </w:r>
      <w:r>
        <w:t xml:space="preserve"> </w:t>
      </w:r>
      <w:r w:rsidRPr="00841523">
        <w:t>údaj</w:t>
      </w:r>
      <w:r>
        <w:t xml:space="preserve"> </w:t>
      </w:r>
      <w:r w:rsidRPr="00841523">
        <w:t>o</w:t>
      </w:r>
      <w:r>
        <w:t xml:space="preserve"> </w:t>
      </w:r>
      <w:r w:rsidRPr="00841523">
        <w:t>tom,</w:t>
      </w:r>
      <w:r>
        <w:t xml:space="preserve"> </w:t>
      </w:r>
      <w:r w:rsidRPr="00841523">
        <w:t>zda</w:t>
      </w:r>
      <w:r>
        <w:t xml:space="preserve"> </w:t>
      </w:r>
      <w:r w:rsidRPr="00841523">
        <w:t>jde</w:t>
      </w:r>
      <w:r>
        <w:t xml:space="preserve"> </w:t>
      </w:r>
      <w:r w:rsidRPr="00841523">
        <w:t>o</w:t>
      </w:r>
      <w:r>
        <w:t xml:space="preserve"> </w:t>
      </w:r>
      <w:r w:rsidRPr="00841523">
        <w:t>elektrozařízení</w:t>
      </w:r>
      <w:r>
        <w:t xml:space="preserve"> </w:t>
      </w:r>
      <w:r w:rsidRPr="00841523">
        <w:t>určená</w:t>
      </w:r>
      <w:r>
        <w:t xml:space="preserve"> </w:t>
      </w:r>
      <w:r w:rsidRPr="00841523">
        <w:t>k</w:t>
      </w:r>
      <w:r>
        <w:t xml:space="preserve"> </w:t>
      </w:r>
      <w:r w:rsidRPr="00841523">
        <w:t>použití</w:t>
      </w:r>
      <w:r>
        <w:t xml:space="preserve"> </w:t>
      </w:r>
      <w:r w:rsidRPr="00841523">
        <w:t>v</w:t>
      </w:r>
      <w:r>
        <w:t xml:space="preserve"> </w:t>
      </w:r>
      <w:r w:rsidRPr="00841523">
        <w:t>domácnostech</w:t>
      </w:r>
      <w:r>
        <w:t xml:space="preserve"> </w:t>
      </w:r>
      <w:r w:rsidRPr="00841523">
        <w:t>nebo</w:t>
      </w:r>
      <w:r>
        <w:t xml:space="preserve"> </w:t>
      </w:r>
      <w:r w:rsidRPr="00841523">
        <w:t>mimo</w:t>
      </w:r>
      <w:r>
        <w:t xml:space="preserve"> </w:t>
      </w:r>
      <w:r w:rsidRPr="00841523">
        <w:t>domácnosti,</w:t>
      </w:r>
    </w:p>
    <w:p w14:paraId="57802CA1" w14:textId="7FA53A77" w:rsidR="00C62C41" w:rsidRPr="00841523" w:rsidRDefault="00C62C41" w:rsidP="009876EF">
      <w:pPr>
        <w:pStyle w:val="Textparagrafu"/>
        <w:tabs>
          <w:tab w:val="left" w:pos="392"/>
          <w:tab w:val="left" w:pos="840"/>
        </w:tabs>
        <w:spacing w:before="0"/>
        <w:ind w:left="850" w:hanging="425"/>
      </w:pPr>
      <w:r w:rsidRPr="00841523">
        <w:t>2.</w:t>
      </w:r>
      <w:r>
        <w:tab/>
      </w:r>
      <w:r w:rsidRPr="00841523">
        <w:t>předpokládaný</w:t>
      </w:r>
      <w:r>
        <w:t xml:space="preserve"> </w:t>
      </w:r>
      <w:r w:rsidRPr="00841523">
        <w:t>počet</w:t>
      </w:r>
      <w:r>
        <w:t xml:space="preserve"> </w:t>
      </w:r>
      <w:r w:rsidRPr="00841523">
        <w:t>uzavřených</w:t>
      </w:r>
      <w:r>
        <w:t xml:space="preserve"> </w:t>
      </w:r>
      <w:r w:rsidRPr="00841523">
        <w:t>smluv</w:t>
      </w:r>
      <w:r>
        <w:t xml:space="preserve"> </w:t>
      </w:r>
      <w:r w:rsidRPr="00841523">
        <w:t>o</w:t>
      </w:r>
      <w:r>
        <w:t xml:space="preserve"> </w:t>
      </w:r>
      <w:r w:rsidRPr="00841523">
        <w:t>kolektivním</w:t>
      </w:r>
      <w:r>
        <w:t xml:space="preserve"> </w:t>
      </w:r>
      <w:r w:rsidRPr="00841523">
        <w:t>plnění</w:t>
      </w:r>
      <w:r>
        <w:t xml:space="preserve"> </w:t>
      </w:r>
      <w:r w:rsidRPr="00841523">
        <w:t>a</w:t>
      </w:r>
      <w:r>
        <w:t xml:space="preserve"> </w:t>
      </w:r>
      <w:r w:rsidRPr="00841523">
        <w:t>předpokládaná</w:t>
      </w:r>
      <w:r>
        <w:t xml:space="preserve"> </w:t>
      </w:r>
      <w:r w:rsidRPr="00841523">
        <w:t>množství</w:t>
      </w:r>
      <w:r>
        <w:t xml:space="preserve"> </w:t>
      </w:r>
      <w:r w:rsidRPr="00841523">
        <w:t>vybraných</w:t>
      </w:r>
      <w:r>
        <w:t xml:space="preserve"> </w:t>
      </w:r>
      <w:r w:rsidRPr="00841523">
        <w:t>výrobků,</w:t>
      </w:r>
      <w:r>
        <w:t xml:space="preserve"> </w:t>
      </w:r>
      <w:r w:rsidRPr="00841523">
        <w:t>pro</w:t>
      </w:r>
      <w:r>
        <w:t xml:space="preserve"> </w:t>
      </w:r>
      <w:r w:rsidRPr="00841523">
        <w:t>něž</w:t>
      </w:r>
      <w:r>
        <w:t xml:space="preserve"> </w:t>
      </w:r>
      <w:r w:rsidRPr="00841523">
        <w:t>bude</w:t>
      </w:r>
      <w:r>
        <w:t xml:space="preserve"> </w:t>
      </w:r>
      <w:r w:rsidRPr="00841523">
        <w:t>zajištěno</w:t>
      </w:r>
      <w:r>
        <w:t xml:space="preserve"> </w:t>
      </w:r>
      <w:r w:rsidRPr="00841523">
        <w:t>kolektivní</w:t>
      </w:r>
      <w:r>
        <w:t xml:space="preserve"> </w:t>
      </w:r>
      <w:r w:rsidRPr="00841523">
        <w:t>plnění</w:t>
      </w:r>
      <w:r>
        <w:t xml:space="preserve"> </w:t>
      </w:r>
      <w:r w:rsidRPr="00841523">
        <w:t>povinností</w:t>
      </w:r>
      <w:r>
        <w:t xml:space="preserve"> </w:t>
      </w:r>
      <w:r w:rsidRPr="00841523">
        <w:t>výrobců</w:t>
      </w:r>
      <w:r>
        <w:t xml:space="preserve"> </w:t>
      </w:r>
      <w:r w:rsidRPr="00841523">
        <w:t>v</w:t>
      </w:r>
      <w:r>
        <w:t xml:space="preserve"> </w:t>
      </w:r>
      <w:r w:rsidRPr="00841523">
        <w:t>prvních</w:t>
      </w:r>
      <w:r>
        <w:t xml:space="preserve"> </w:t>
      </w:r>
      <w:r w:rsidRPr="00841523">
        <w:t>5</w:t>
      </w:r>
      <w:r>
        <w:t xml:space="preserve"> </w:t>
      </w:r>
      <w:r w:rsidRPr="00841523">
        <w:t>letech</w:t>
      </w:r>
      <w:r>
        <w:t xml:space="preserve"> </w:t>
      </w:r>
      <w:r w:rsidRPr="00841523">
        <w:t>platnosti</w:t>
      </w:r>
      <w:r>
        <w:t xml:space="preserve"> </w:t>
      </w:r>
      <w:r w:rsidRPr="00841523">
        <w:t>oprávnění,</w:t>
      </w:r>
    </w:p>
    <w:p w14:paraId="6B3CF786" w14:textId="05166CA8" w:rsidR="00C62C41" w:rsidRPr="00841523" w:rsidRDefault="00C62C41" w:rsidP="009876EF">
      <w:pPr>
        <w:pStyle w:val="Textparagrafu"/>
        <w:tabs>
          <w:tab w:val="left" w:pos="392"/>
          <w:tab w:val="left" w:pos="840"/>
        </w:tabs>
        <w:spacing w:before="0"/>
        <w:ind w:left="850" w:hanging="425"/>
      </w:pPr>
      <w:r w:rsidRPr="00841523">
        <w:t>3.</w:t>
      </w:r>
      <w:r>
        <w:tab/>
      </w:r>
      <w:r w:rsidRPr="00841523">
        <w:t>předpokládané</w:t>
      </w:r>
      <w:r>
        <w:t xml:space="preserve"> </w:t>
      </w:r>
      <w:r w:rsidRPr="00841523">
        <w:t>množství</w:t>
      </w:r>
      <w:r>
        <w:t xml:space="preserve"> </w:t>
      </w:r>
      <w:r w:rsidRPr="00841523">
        <w:t>zpětně</w:t>
      </w:r>
      <w:r>
        <w:t xml:space="preserve"> </w:t>
      </w:r>
      <w:r w:rsidRPr="00841523">
        <w:t>odebraných</w:t>
      </w:r>
      <w:r>
        <w:t xml:space="preserve"> </w:t>
      </w:r>
      <w:r w:rsidRPr="00841523">
        <w:t>výrobků</w:t>
      </w:r>
      <w:r>
        <w:t xml:space="preserve"> </w:t>
      </w:r>
      <w:r w:rsidRPr="00841523">
        <w:t>s</w:t>
      </w:r>
      <w:r>
        <w:t xml:space="preserve"> </w:t>
      </w:r>
      <w:r w:rsidRPr="00841523">
        <w:t>ukončenou</w:t>
      </w:r>
      <w:r>
        <w:t xml:space="preserve"> </w:t>
      </w:r>
      <w:r w:rsidRPr="00841523">
        <w:t>životností,</w:t>
      </w:r>
      <w:r>
        <w:t xml:space="preserve"> </w:t>
      </w:r>
      <w:r w:rsidRPr="00841523">
        <w:t>pro</w:t>
      </w:r>
      <w:r>
        <w:t xml:space="preserve"> </w:t>
      </w:r>
      <w:r w:rsidRPr="00841523">
        <w:t>které</w:t>
      </w:r>
      <w:r>
        <w:t xml:space="preserve"> </w:t>
      </w:r>
      <w:r w:rsidRPr="00841523">
        <w:t>bude</w:t>
      </w:r>
      <w:r>
        <w:t xml:space="preserve"> </w:t>
      </w:r>
      <w:r w:rsidRPr="00841523">
        <w:t>zajištěno</w:t>
      </w:r>
      <w:r>
        <w:t xml:space="preserve"> </w:t>
      </w:r>
      <w:r w:rsidRPr="00841523">
        <w:t>zpracování,</w:t>
      </w:r>
      <w:r>
        <w:t xml:space="preserve"> </w:t>
      </w:r>
      <w:r w:rsidRPr="00841523">
        <w:t>využití,</w:t>
      </w:r>
      <w:r>
        <w:t xml:space="preserve"> </w:t>
      </w:r>
      <w:r w:rsidRPr="00841523">
        <w:t>nebo</w:t>
      </w:r>
      <w:r>
        <w:t xml:space="preserve"> </w:t>
      </w:r>
      <w:r w:rsidRPr="00841523">
        <w:t>odstranění</w:t>
      </w:r>
      <w:r>
        <w:t xml:space="preserve"> </w:t>
      </w:r>
      <w:r w:rsidRPr="00841523">
        <w:t>v</w:t>
      </w:r>
      <w:r>
        <w:t xml:space="preserve"> </w:t>
      </w:r>
      <w:r w:rsidRPr="00841523">
        <w:t>prvních</w:t>
      </w:r>
      <w:r>
        <w:t xml:space="preserve"> </w:t>
      </w:r>
      <w:r w:rsidRPr="00841523">
        <w:t>5</w:t>
      </w:r>
      <w:r>
        <w:t xml:space="preserve"> </w:t>
      </w:r>
      <w:r w:rsidRPr="00841523">
        <w:t>letech</w:t>
      </w:r>
      <w:r>
        <w:t xml:space="preserve"> </w:t>
      </w:r>
      <w:r w:rsidRPr="00841523">
        <w:t>platnosti</w:t>
      </w:r>
      <w:r>
        <w:t xml:space="preserve"> </w:t>
      </w:r>
      <w:r w:rsidRPr="00841523">
        <w:t>oprávnění,</w:t>
      </w:r>
    </w:p>
    <w:p w14:paraId="1CF0C41F" w14:textId="376B250B" w:rsidR="00C62C41" w:rsidRPr="00841523" w:rsidRDefault="00C62C41" w:rsidP="009876EF">
      <w:pPr>
        <w:pStyle w:val="Textparagrafu"/>
        <w:tabs>
          <w:tab w:val="left" w:pos="392"/>
          <w:tab w:val="left" w:pos="840"/>
        </w:tabs>
        <w:spacing w:before="0"/>
        <w:ind w:left="850" w:hanging="425"/>
      </w:pPr>
      <w:r w:rsidRPr="00841523">
        <w:t>4.</w:t>
      </w:r>
      <w:r>
        <w:tab/>
      </w:r>
      <w:r w:rsidRPr="00841523">
        <w:t>popis</w:t>
      </w:r>
      <w:r>
        <w:t xml:space="preserve"> </w:t>
      </w:r>
      <w:r w:rsidRPr="00841523">
        <w:t>technických,</w:t>
      </w:r>
      <w:r>
        <w:t xml:space="preserve"> </w:t>
      </w:r>
      <w:r w:rsidRPr="00841523">
        <w:t>organizačních</w:t>
      </w:r>
      <w:r>
        <w:t xml:space="preserve"> </w:t>
      </w:r>
      <w:r w:rsidRPr="00841523">
        <w:t>a</w:t>
      </w:r>
      <w:r>
        <w:t xml:space="preserve"> </w:t>
      </w:r>
      <w:r w:rsidRPr="00841523">
        <w:t>finančních</w:t>
      </w:r>
      <w:r>
        <w:t xml:space="preserve"> </w:t>
      </w:r>
      <w:r w:rsidRPr="00841523">
        <w:t>opatření,</w:t>
      </w:r>
      <w:r>
        <w:t xml:space="preserve"> </w:t>
      </w:r>
      <w:r w:rsidRPr="00841523">
        <w:t>kterými</w:t>
      </w:r>
      <w:r>
        <w:t xml:space="preserve"> </w:t>
      </w:r>
      <w:r w:rsidRPr="00841523">
        <w:t>zajistí</w:t>
      </w:r>
      <w:r>
        <w:t xml:space="preserve"> </w:t>
      </w:r>
      <w:r w:rsidRPr="00841523">
        <w:t>kolektivní</w:t>
      </w:r>
      <w:r>
        <w:t xml:space="preserve"> </w:t>
      </w:r>
      <w:r w:rsidRPr="00841523">
        <w:t>plnění</w:t>
      </w:r>
      <w:r>
        <w:t xml:space="preserve"> </w:t>
      </w:r>
      <w:r w:rsidRPr="00841523">
        <w:t>povinností</w:t>
      </w:r>
      <w:r>
        <w:t xml:space="preserve"> </w:t>
      </w:r>
      <w:r w:rsidRPr="00841523">
        <w:t>výrobců,</w:t>
      </w:r>
    </w:p>
    <w:p w14:paraId="5BA0973A" w14:textId="4D0FC6AF" w:rsidR="00C62C41" w:rsidRPr="00841523" w:rsidRDefault="00C62C41" w:rsidP="009876EF">
      <w:pPr>
        <w:pStyle w:val="Textparagrafu"/>
        <w:tabs>
          <w:tab w:val="left" w:pos="392"/>
          <w:tab w:val="left" w:pos="840"/>
        </w:tabs>
        <w:spacing w:before="0"/>
        <w:ind w:left="850" w:hanging="425"/>
      </w:pPr>
      <w:r w:rsidRPr="00841523">
        <w:t>5.</w:t>
      </w:r>
      <w:r>
        <w:tab/>
      </w:r>
      <w:r w:rsidRPr="00841523">
        <w:t>podrobný</w:t>
      </w:r>
      <w:r>
        <w:t xml:space="preserve"> </w:t>
      </w:r>
      <w:r w:rsidRPr="00841523">
        <w:t>popis</w:t>
      </w:r>
      <w:r>
        <w:t xml:space="preserve"> </w:t>
      </w:r>
      <w:r w:rsidRPr="00841523">
        <w:t>předpokládaných</w:t>
      </w:r>
      <w:r>
        <w:t xml:space="preserve"> </w:t>
      </w:r>
      <w:r w:rsidRPr="00841523">
        <w:t>finančních</w:t>
      </w:r>
      <w:r>
        <w:t xml:space="preserve"> </w:t>
      </w:r>
      <w:r w:rsidRPr="00841523">
        <w:t>zdrojů</w:t>
      </w:r>
      <w:r>
        <w:t xml:space="preserve"> </w:t>
      </w:r>
      <w:r w:rsidRPr="00841523">
        <w:t>k</w:t>
      </w:r>
      <w:r>
        <w:t xml:space="preserve"> </w:t>
      </w:r>
      <w:r w:rsidRPr="00841523">
        <w:t>zajištění</w:t>
      </w:r>
      <w:r>
        <w:t xml:space="preserve"> </w:t>
      </w:r>
      <w:r w:rsidRPr="00841523">
        <w:t>kolektivního</w:t>
      </w:r>
      <w:r>
        <w:t xml:space="preserve"> </w:t>
      </w:r>
      <w:r w:rsidRPr="00841523">
        <w:t>plnění</w:t>
      </w:r>
      <w:r>
        <w:t xml:space="preserve"> </w:t>
      </w:r>
      <w:r w:rsidRPr="00841523">
        <w:t>povinností</w:t>
      </w:r>
      <w:r>
        <w:t xml:space="preserve"> </w:t>
      </w:r>
      <w:r w:rsidRPr="00841523">
        <w:t>výrobců</w:t>
      </w:r>
      <w:r>
        <w:t xml:space="preserve"> </w:t>
      </w:r>
      <w:r w:rsidRPr="00841523">
        <w:t>v</w:t>
      </w:r>
      <w:r>
        <w:t xml:space="preserve"> </w:t>
      </w:r>
      <w:r w:rsidRPr="00841523">
        <w:t>jednotlivých</w:t>
      </w:r>
      <w:r>
        <w:t xml:space="preserve"> </w:t>
      </w:r>
      <w:r w:rsidRPr="00841523">
        <w:t>letech</w:t>
      </w:r>
      <w:r>
        <w:t xml:space="preserve"> </w:t>
      </w:r>
      <w:r w:rsidRPr="00841523">
        <w:t>platnosti</w:t>
      </w:r>
      <w:r>
        <w:t xml:space="preserve"> </w:t>
      </w:r>
      <w:r w:rsidRPr="00841523">
        <w:t>oprávnění</w:t>
      </w:r>
      <w:r>
        <w:t xml:space="preserve"> </w:t>
      </w:r>
      <w:r w:rsidRPr="00841523">
        <w:t>k</w:t>
      </w:r>
      <w:r>
        <w:t xml:space="preserve"> </w:t>
      </w:r>
      <w:r w:rsidRPr="00841523">
        <w:t>provozování</w:t>
      </w:r>
      <w:r>
        <w:t xml:space="preserve"> </w:t>
      </w:r>
      <w:r w:rsidRPr="00841523">
        <w:t>kolektivního</w:t>
      </w:r>
      <w:r>
        <w:t xml:space="preserve"> </w:t>
      </w:r>
      <w:r w:rsidRPr="00841523">
        <w:t>systému</w:t>
      </w:r>
      <w:r>
        <w:t xml:space="preserve"> </w:t>
      </w:r>
      <w:r w:rsidRPr="00841523">
        <w:t>a</w:t>
      </w:r>
      <w:r>
        <w:t xml:space="preserve"> </w:t>
      </w:r>
      <w:r w:rsidRPr="00841523">
        <w:t>dokumenty</w:t>
      </w:r>
      <w:r>
        <w:t xml:space="preserve"> </w:t>
      </w:r>
      <w:r w:rsidRPr="00841523">
        <w:t>prokazující</w:t>
      </w:r>
      <w:r>
        <w:t xml:space="preserve"> </w:t>
      </w:r>
      <w:r w:rsidRPr="00841523">
        <w:t>jeho</w:t>
      </w:r>
      <w:r>
        <w:t xml:space="preserve"> </w:t>
      </w:r>
      <w:r w:rsidRPr="00841523">
        <w:t>pravdivost,</w:t>
      </w:r>
      <w:r>
        <w:t xml:space="preserve"> </w:t>
      </w:r>
      <w:r w:rsidRPr="00841523">
        <w:t>zejména</w:t>
      </w:r>
      <w:r>
        <w:t xml:space="preserve"> </w:t>
      </w:r>
      <w:r w:rsidRPr="00841523">
        <w:t>poslední</w:t>
      </w:r>
      <w:r>
        <w:t xml:space="preserve"> </w:t>
      </w:r>
      <w:r>
        <w:rPr>
          <w:b/>
        </w:rPr>
        <w:t xml:space="preserve">řádnou individuální </w:t>
      </w:r>
      <w:r w:rsidRPr="00841523">
        <w:t>účetní</w:t>
      </w:r>
      <w:r>
        <w:t xml:space="preserve"> </w:t>
      </w:r>
      <w:r w:rsidRPr="00841523">
        <w:t>závěrku</w:t>
      </w:r>
      <w:r>
        <w:t xml:space="preserve"> </w:t>
      </w:r>
      <w:r w:rsidRPr="00841523">
        <w:t>a</w:t>
      </w:r>
      <w:r>
        <w:t xml:space="preserve"> </w:t>
      </w:r>
      <w:r w:rsidRPr="00841523">
        <w:t>smlouvy</w:t>
      </w:r>
      <w:r>
        <w:t xml:space="preserve"> </w:t>
      </w:r>
      <w:r w:rsidRPr="00841523">
        <w:t>o</w:t>
      </w:r>
      <w:r>
        <w:t xml:space="preserve"> </w:t>
      </w:r>
      <w:r w:rsidRPr="00841523">
        <w:t>úvěru,</w:t>
      </w:r>
      <w:r>
        <w:t xml:space="preserve"> </w:t>
      </w:r>
      <w:r w:rsidRPr="00841523">
        <w:t>pokud</w:t>
      </w:r>
      <w:r>
        <w:t xml:space="preserve"> </w:t>
      </w:r>
      <w:r w:rsidRPr="00841523">
        <w:t>se</w:t>
      </w:r>
      <w:r>
        <w:t xml:space="preserve"> </w:t>
      </w:r>
      <w:r w:rsidRPr="00841523">
        <w:t>jeho</w:t>
      </w:r>
      <w:r>
        <w:t xml:space="preserve"> </w:t>
      </w:r>
      <w:r w:rsidRPr="00841523">
        <w:t>použití</w:t>
      </w:r>
      <w:r>
        <w:t xml:space="preserve"> </w:t>
      </w:r>
      <w:r w:rsidRPr="00841523">
        <w:t>předpokládá,</w:t>
      </w:r>
      <w:r>
        <w:t xml:space="preserve"> </w:t>
      </w:r>
      <w:r w:rsidRPr="00841523">
        <w:t>alespoň</w:t>
      </w:r>
      <w:r>
        <w:t xml:space="preserve"> </w:t>
      </w:r>
      <w:r w:rsidRPr="00841523">
        <w:t>pro</w:t>
      </w:r>
      <w:r>
        <w:t xml:space="preserve"> </w:t>
      </w:r>
      <w:r w:rsidRPr="00841523">
        <w:t>období</w:t>
      </w:r>
      <w:r>
        <w:t xml:space="preserve"> </w:t>
      </w:r>
      <w:r w:rsidRPr="00841523">
        <w:t>prvního</w:t>
      </w:r>
      <w:r>
        <w:t xml:space="preserve"> </w:t>
      </w:r>
      <w:r w:rsidRPr="00841523">
        <w:t>roku</w:t>
      </w:r>
      <w:r>
        <w:t xml:space="preserve"> </w:t>
      </w:r>
      <w:r w:rsidRPr="00841523">
        <w:t>platnosti</w:t>
      </w:r>
      <w:r>
        <w:t xml:space="preserve"> </w:t>
      </w:r>
      <w:r w:rsidRPr="00841523">
        <w:t>oprávnění,</w:t>
      </w:r>
    </w:p>
    <w:p w14:paraId="3AD66E3A" w14:textId="25A87192" w:rsidR="00C62C41" w:rsidRPr="00841523" w:rsidRDefault="00C62C41" w:rsidP="009876EF">
      <w:pPr>
        <w:pStyle w:val="Textparagrafu"/>
        <w:tabs>
          <w:tab w:val="left" w:pos="392"/>
          <w:tab w:val="left" w:pos="840"/>
        </w:tabs>
        <w:spacing w:before="0"/>
        <w:ind w:left="850" w:hanging="425"/>
      </w:pPr>
      <w:r w:rsidRPr="00841523">
        <w:t>6.</w:t>
      </w:r>
      <w:r>
        <w:tab/>
      </w:r>
      <w:r w:rsidRPr="00841523">
        <w:t>popis</w:t>
      </w:r>
      <w:r>
        <w:t xml:space="preserve"> </w:t>
      </w:r>
      <w:r w:rsidRPr="00841523">
        <w:t>způsobu</w:t>
      </w:r>
      <w:r>
        <w:t xml:space="preserve"> </w:t>
      </w:r>
      <w:r w:rsidRPr="00841523">
        <w:t>zajištění</w:t>
      </w:r>
      <w:r>
        <w:t xml:space="preserve"> </w:t>
      </w:r>
      <w:r w:rsidRPr="00841523">
        <w:t>informování</w:t>
      </w:r>
      <w:r>
        <w:t xml:space="preserve"> </w:t>
      </w:r>
      <w:r w:rsidRPr="00841523">
        <w:t>konečného</w:t>
      </w:r>
      <w:r>
        <w:t xml:space="preserve"> </w:t>
      </w:r>
      <w:r w:rsidRPr="00841523">
        <w:t>uživatele,</w:t>
      </w:r>
      <w:r>
        <w:t xml:space="preserve"> </w:t>
      </w:r>
      <w:r w:rsidRPr="00841523">
        <w:t>osvětové</w:t>
      </w:r>
      <w:r>
        <w:t xml:space="preserve"> </w:t>
      </w:r>
      <w:r w:rsidRPr="00841523">
        <w:t>činnosti</w:t>
      </w:r>
      <w:r>
        <w:t xml:space="preserve"> </w:t>
      </w:r>
      <w:r w:rsidRPr="00841523">
        <w:t>a</w:t>
      </w:r>
      <w:r>
        <w:t xml:space="preserve"> </w:t>
      </w:r>
      <w:r w:rsidRPr="00841523">
        <w:t>vedení</w:t>
      </w:r>
      <w:r>
        <w:t xml:space="preserve"> </w:t>
      </w:r>
      <w:r w:rsidRPr="00841523">
        <w:t>informačních</w:t>
      </w:r>
      <w:r>
        <w:t xml:space="preserve"> </w:t>
      </w:r>
      <w:r w:rsidRPr="00841523">
        <w:t>kampaní,</w:t>
      </w:r>
    </w:p>
    <w:p w14:paraId="4F4F7EF6" w14:textId="562201EF" w:rsidR="00C62C41" w:rsidRPr="00841523" w:rsidRDefault="00C62C41" w:rsidP="009876EF">
      <w:pPr>
        <w:pStyle w:val="Textparagrafu"/>
        <w:tabs>
          <w:tab w:val="left" w:pos="392"/>
          <w:tab w:val="left" w:pos="840"/>
        </w:tabs>
        <w:spacing w:before="0"/>
        <w:ind w:left="850" w:hanging="425"/>
      </w:pPr>
      <w:r w:rsidRPr="00841523">
        <w:t>7.</w:t>
      </w:r>
      <w:r>
        <w:tab/>
      </w:r>
      <w:r w:rsidRPr="00841523">
        <w:t>popis</w:t>
      </w:r>
      <w:r>
        <w:t xml:space="preserve"> </w:t>
      </w:r>
      <w:r w:rsidRPr="00841523">
        <w:t>způsobu</w:t>
      </w:r>
      <w:r>
        <w:t xml:space="preserve"> </w:t>
      </w:r>
      <w:r w:rsidRPr="00841523">
        <w:t>vedení</w:t>
      </w:r>
      <w:r>
        <w:t xml:space="preserve"> </w:t>
      </w:r>
      <w:r w:rsidRPr="00841523">
        <w:t>evidencí</w:t>
      </w:r>
      <w:r>
        <w:t xml:space="preserve"> </w:t>
      </w:r>
      <w:r w:rsidRPr="00841523">
        <w:t>podle</w:t>
      </w:r>
      <w:r>
        <w:t xml:space="preserve"> </w:t>
      </w:r>
      <w:r w:rsidRPr="00841523">
        <w:t>§</w:t>
      </w:r>
      <w:r>
        <w:t xml:space="preserve"> </w:t>
      </w:r>
      <w:r w:rsidRPr="00841523">
        <w:t>50</w:t>
      </w:r>
      <w:r>
        <w:t xml:space="preserve"> </w:t>
      </w:r>
      <w:r w:rsidRPr="00841523">
        <w:t>odst.</w:t>
      </w:r>
      <w:r>
        <w:t xml:space="preserve"> </w:t>
      </w:r>
      <w:r w:rsidRPr="00841523">
        <w:t>1</w:t>
      </w:r>
      <w:r>
        <w:t xml:space="preserve"> </w:t>
      </w:r>
      <w:r w:rsidRPr="00841523">
        <w:t>a</w:t>
      </w:r>
    </w:p>
    <w:p w14:paraId="37C67FAE" w14:textId="2E5AA39F" w:rsidR="00C62C41" w:rsidRDefault="00C62C41" w:rsidP="009876EF">
      <w:pPr>
        <w:pStyle w:val="Textparagrafu"/>
        <w:tabs>
          <w:tab w:val="left" w:pos="392"/>
          <w:tab w:val="left" w:pos="840"/>
        </w:tabs>
        <w:spacing w:before="0"/>
        <w:ind w:left="850" w:hanging="425"/>
      </w:pPr>
      <w:r w:rsidRPr="00841523">
        <w:t>8.</w:t>
      </w:r>
      <w:r>
        <w:tab/>
      </w:r>
      <w:r w:rsidRPr="00841523">
        <w:t>smlouvu</w:t>
      </w:r>
      <w:r>
        <w:t xml:space="preserve"> </w:t>
      </w:r>
      <w:r w:rsidRPr="00841523">
        <w:t>s</w:t>
      </w:r>
      <w:r>
        <w:t xml:space="preserve"> </w:t>
      </w:r>
      <w:r w:rsidRPr="00841523">
        <w:t>auditorem</w:t>
      </w:r>
      <w:r>
        <w:t xml:space="preserve"> </w:t>
      </w:r>
      <w:r w:rsidRPr="00841523">
        <w:t>o</w:t>
      </w:r>
      <w:r>
        <w:t xml:space="preserve"> </w:t>
      </w:r>
      <w:r w:rsidRPr="00841523">
        <w:t>provádění</w:t>
      </w:r>
      <w:r>
        <w:t xml:space="preserve"> </w:t>
      </w:r>
      <w:r w:rsidRPr="00841523">
        <w:t>ověřování</w:t>
      </w:r>
      <w:r>
        <w:t xml:space="preserve"> </w:t>
      </w:r>
      <w:r w:rsidRPr="00841523">
        <w:t>údajů</w:t>
      </w:r>
      <w:r>
        <w:t xml:space="preserve"> </w:t>
      </w:r>
      <w:r w:rsidRPr="00841523">
        <w:t>podle</w:t>
      </w:r>
      <w:r>
        <w:t xml:space="preserve"> </w:t>
      </w:r>
      <w:r w:rsidRPr="00841523">
        <w:t>§</w:t>
      </w:r>
      <w:r>
        <w:t xml:space="preserve"> </w:t>
      </w:r>
      <w:r w:rsidRPr="00841523">
        <w:t>53</w:t>
      </w:r>
      <w:r>
        <w:t xml:space="preserve"> </w:t>
      </w:r>
      <w:r w:rsidRPr="00841523">
        <w:t>odst.</w:t>
      </w:r>
      <w:r>
        <w:t xml:space="preserve"> </w:t>
      </w:r>
      <w:r w:rsidRPr="00841523">
        <w:t>2</w:t>
      </w:r>
      <w:r>
        <w:t xml:space="preserve"> </w:t>
      </w:r>
      <w:r w:rsidRPr="00841523">
        <w:t>a</w:t>
      </w:r>
      <w:r>
        <w:t xml:space="preserve"> </w:t>
      </w:r>
      <w:r w:rsidRPr="00841523">
        <w:t>3.</w:t>
      </w:r>
    </w:p>
    <w:p w14:paraId="551D07A8" w14:textId="77777777" w:rsidR="00C62C41" w:rsidRPr="00841523" w:rsidRDefault="00C62C41" w:rsidP="009876EF">
      <w:pPr>
        <w:pStyle w:val="Textparagrafu"/>
        <w:numPr>
          <w:ilvl w:val="0"/>
          <w:numId w:val="27"/>
        </w:numPr>
        <w:tabs>
          <w:tab w:val="left" w:pos="392"/>
          <w:tab w:val="left" w:pos="840"/>
        </w:tabs>
        <w:spacing w:before="120" w:after="120"/>
        <w:ind w:firstLine="425"/>
      </w:pPr>
      <w:r w:rsidRPr="00841523">
        <w:t>(4)</w:t>
      </w:r>
      <w:r>
        <w:t xml:space="preserve"> </w:t>
      </w:r>
      <w:r w:rsidRPr="00841523">
        <w:t>Ministerstvo</w:t>
      </w:r>
      <w:r>
        <w:t xml:space="preserve"> </w:t>
      </w:r>
      <w:r w:rsidRPr="00841523">
        <w:t>stanoví</w:t>
      </w:r>
      <w:r>
        <w:t xml:space="preserve"> </w:t>
      </w:r>
      <w:r w:rsidRPr="00841523">
        <w:t>vyhláškou</w:t>
      </w:r>
      <w:r>
        <w:t xml:space="preserve"> </w:t>
      </w:r>
      <w:r w:rsidRPr="00841523">
        <w:t>formulář</w:t>
      </w:r>
      <w:r>
        <w:t xml:space="preserve"> </w:t>
      </w:r>
      <w:r w:rsidRPr="00841523">
        <w:t>pro</w:t>
      </w:r>
      <w:r>
        <w:t xml:space="preserve"> </w:t>
      </w:r>
      <w:r w:rsidRPr="00841523">
        <w:t>podání</w:t>
      </w:r>
      <w:r>
        <w:t xml:space="preserve"> </w:t>
      </w:r>
      <w:r w:rsidRPr="00841523">
        <w:t>žádosti</w:t>
      </w:r>
      <w:r>
        <w:t xml:space="preserve"> </w:t>
      </w:r>
      <w:r w:rsidRPr="00841523">
        <w:t>o</w:t>
      </w:r>
      <w:r>
        <w:t xml:space="preserve"> </w:t>
      </w:r>
      <w:r w:rsidRPr="00841523">
        <w:t>vydání</w:t>
      </w:r>
      <w:r>
        <w:t xml:space="preserve"> </w:t>
      </w:r>
      <w:r w:rsidRPr="00841523">
        <w:t>oprávnění</w:t>
      </w:r>
      <w:r>
        <w:t xml:space="preserve"> </w:t>
      </w:r>
      <w:r w:rsidRPr="00841523">
        <w:t>k</w:t>
      </w:r>
      <w:r>
        <w:t xml:space="preserve"> </w:t>
      </w:r>
      <w:r w:rsidRPr="00841523">
        <w:t>provozování</w:t>
      </w:r>
      <w:r>
        <w:t xml:space="preserve"> </w:t>
      </w:r>
      <w:r w:rsidRPr="00841523">
        <w:t>kolektivního</w:t>
      </w:r>
      <w:r>
        <w:t xml:space="preserve"> </w:t>
      </w:r>
      <w:r w:rsidRPr="00841523">
        <w:t>systému.</w:t>
      </w:r>
    </w:p>
    <w:p w14:paraId="55BBA2E1" w14:textId="77777777" w:rsidR="00C62C41" w:rsidRDefault="00C62C41" w:rsidP="00C62C41">
      <w:pPr>
        <w:tabs>
          <w:tab w:val="left" w:pos="851"/>
        </w:tabs>
        <w:spacing w:after="120"/>
        <w:ind w:firstLine="0"/>
        <w:jc w:val="center"/>
        <w:outlineLvl w:val="0"/>
      </w:pPr>
      <w:r>
        <w:t>***</w:t>
      </w:r>
    </w:p>
    <w:p w14:paraId="1A646C54" w14:textId="77777777" w:rsidR="00C62C41" w:rsidRDefault="00C62C41" w:rsidP="00C62C41">
      <w:pPr>
        <w:pStyle w:val="Textparagrafu"/>
        <w:tabs>
          <w:tab w:val="left" w:pos="392"/>
          <w:tab w:val="left" w:pos="840"/>
        </w:tabs>
        <w:spacing w:after="120"/>
        <w:ind w:firstLine="0"/>
        <w:jc w:val="center"/>
      </w:pPr>
      <w:r w:rsidRPr="00841523">
        <w:t>§</w:t>
      </w:r>
      <w:r>
        <w:t xml:space="preserve"> </w:t>
      </w:r>
      <w:r w:rsidRPr="00841523">
        <w:t>48</w:t>
      </w:r>
    </w:p>
    <w:p w14:paraId="199C9D26" w14:textId="77777777" w:rsidR="00C62C41" w:rsidRPr="00720566" w:rsidRDefault="00C62C41" w:rsidP="00C62C41">
      <w:pPr>
        <w:pStyle w:val="Textparagrafu"/>
        <w:tabs>
          <w:tab w:val="left" w:pos="392"/>
          <w:tab w:val="left" w:pos="840"/>
        </w:tabs>
        <w:spacing w:after="120"/>
        <w:ind w:firstLine="0"/>
        <w:jc w:val="center"/>
        <w:rPr>
          <w:b/>
        </w:rPr>
      </w:pPr>
      <w:r w:rsidRPr="00720566">
        <w:rPr>
          <w:b/>
        </w:rPr>
        <w:t>Rezerva</w:t>
      </w:r>
    </w:p>
    <w:p w14:paraId="28456AFC" w14:textId="77777777" w:rsidR="00C62C41" w:rsidRDefault="00C62C41" w:rsidP="009876EF">
      <w:pPr>
        <w:pStyle w:val="Textparagrafu"/>
        <w:tabs>
          <w:tab w:val="left" w:pos="392"/>
          <w:tab w:val="left" w:pos="840"/>
        </w:tabs>
        <w:spacing w:before="120" w:after="120"/>
      </w:pPr>
      <w:r w:rsidRPr="00841523">
        <w:t>(1)</w:t>
      </w:r>
      <w:r>
        <w:t xml:space="preserve"> </w:t>
      </w:r>
      <w:r w:rsidRPr="00841523">
        <w:t>Provozovatel</w:t>
      </w:r>
      <w:r>
        <w:t xml:space="preserve"> </w:t>
      </w:r>
      <w:r w:rsidRPr="00841523">
        <w:t>kolektivního</w:t>
      </w:r>
      <w:r>
        <w:t xml:space="preserve"> </w:t>
      </w:r>
      <w:r w:rsidRPr="00841523">
        <w:t>systému</w:t>
      </w:r>
      <w:r>
        <w:t xml:space="preserve"> </w:t>
      </w:r>
      <w:r w:rsidRPr="00841523">
        <w:t>je</w:t>
      </w:r>
      <w:r>
        <w:t xml:space="preserve"> </w:t>
      </w:r>
      <w:r w:rsidRPr="00841523">
        <w:t>povinen</w:t>
      </w:r>
      <w:r>
        <w:t xml:space="preserve"> </w:t>
      </w:r>
      <w:r w:rsidRPr="00841523">
        <w:t>vytvořit</w:t>
      </w:r>
      <w:r>
        <w:t xml:space="preserve"> </w:t>
      </w:r>
      <w:r w:rsidRPr="00841523">
        <w:t>rezervu</w:t>
      </w:r>
      <w:r>
        <w:t xml:space="preserve"> </w:t>
      </w:r>
      <w:r w:rsidRPr="00841523">
        <w:t>určenou</w:t>
      </w:r>
      <w:r>
        <w:t xml:space="preserve"> </w:t>
      </w:r>
      <w:r w:rsidRPr="00841523">
        <w:t>na</w:t>
      </w:r>
      <w:r>
        <w:t xml:space="preserve"> </w:t>
      </w:r>
      <w:r w:rsidRPr="00841523">
        <w:t>krytí</w:t>
      </w:r>
      <w:r>
        <w:t xml:space="preserve"> </w:t>
      </w:r>
      <w:r w:rsidRPr="00841523">
        <w:t>budoucích</w:t>
      </w:r>
      <w:r>
        <w:t xml:space="preserve"> </w:t>
      </w:r>
      <w:r w:rsidRPr="00841523">
        <w:t>nákladů</w:t>
      </w:r>
      <w:r>
        <w:t xml:space="preserve"> </w:t>
      </w:r>
      <w:r w:rsidRPr="00841523">
        <w:t>na</w:t>
      </w:r>
      <w:r>
        <w:t xml:space="preserve"> </w:t>
      </w:r>
      <w:r w:rsidRPr="00841523">
        <w:t>kolektivní</w:t>
      </w:r>
      <w:r>
        <w:t xml:space="preserve"> </w:t>
      </w:r>
      <w:r w:rsidRPr="00841523">
        <w:t>plnění</w:t>
      </w:r>
      <w:r>
        <w:t xml:space="preserve"> </w:t>
      </w:r>
      <w:r w:rsidRPr="00841523">
        <w:t>povinností</w:t>
      </w:r>
      <w:r>
        <w:t xml:space="preserve"> </w:t>
      </w:r>
      <w:r w:rsidRPr="00841523">
        <w:t>výrobců,</w:t>
      </w:r>
      <w:r>
        <w:t xml:space="preserve"> </w:t>
      </w:r>
      <w:r w:rsidRPr="00841523">
        <w:t>zohledňující</w:t>
      </w:r>
      <w:r>
        <w:t xml:space="preserve"> </w:t>
      </w:r>
      <w:r w:rsidRPr="00841523">
        <w:t>finanční</w:t>
      </w:r>
      <w:r>
        <w:t xml:space="preserve"> </w:t>
      </w:r>
      <w:r w:rsidRPr="00841523">
        <w:t>rizika</w:t>
      </w:r>
      <w:r>
        <w:t xml:space="preserve"> </w:t>
      </w:r>
      <w:r w:rsidRPr="00841523">
        <w:t>s</w:t>
      </w:r>
      <w:r>
        <w:t xml:space="preserve"> </w:t>
      </w:r>
      <w:r w:rsidRPr="00841523">
        <w:t>tím</w:t>
      </w:r>
      <w:r>
        <w:t xml:space="preserve"> </w:t>
      </w:r>
      <w:r w:rsidRPr="00841523">
        <w:t>spojená,</w:t>
      </w:r>
      <w:r>
        <w:t xml:space="preserve"> </w:t>
      </w:r>
      <w:r w:rsidRPr="00841523">
        <w:t>jejímž</w:t>
      </w:r>
      <w:r>
        <w:t xml:space="preserve"> </w:t>
      </w:r>
      <w:r w:rsidRPr="00841523">
        <w:t>cílem</w:t>
      </w:r>
      <w:r>
        <w:t xml:space="preserve"> </w:t>
      </w:r>
      <w:r w:rsidRPr="00841523">
        <w:t>je</w:t>
      </w:r>
      <w:r>
        <w:t xml:space="preserve"> </w:t>
      </w:r>
      <w:r w:rsidRPr="00841523">
        <w:t>zajistit</w:t>
      </w:r>
      <w:r>
        <w:t xml:space="preserve"> </w:t>
      </w:r>
      <w:r w:rsidRPr="00841523">
        <w:t>kontinuitu</w:t>
      </w:r>
      <w:r>
        <w:t xml:space="preserve"> </w:t>
      </w:r>
      <w:r w:rsidRPr="00841523">
        <w:t>a</w:t>
      </w:r>
      <w:r>
        <w:t xml:space="preserve"> </w:t>
      </w:r>
      <w:r w:rsidRPr="00841523">
        <w:t>dostupnost</w:t>
      </w:r>
      <w:r>
        <w:t xml:space="preserve"> </w:t>
      </w:r>
      <w:r w:rsidRPr="00841523">
        <w:t>poskytování</w:t>
      </w:r>
      <w:r>
        <w:t xml:space="preserve"> </w:t>
      </w:r>
      <w:r w:rsidRPr="00841523">
        <w:t>služeb</w:t>
      </w:r>
      <w:r>
        <w:t xml:space="preserve"> </w:t>
      </w:r>
      <w:r w:rsidRPr="00841523">
        <w:t>ze</w:t>
      </w:r>
      <w:r>
        <w:t xml:space="preserve"> </w:t>
      </w:r>
      <w:r w:rsidRPr="00841523">
        <w:t>strany</w:t>
      </w:r>
      <w:r>
        <w:t xml:space="preserve"> </w:t>
      </w:r>
      <w:r w:rsidRPr="00841523">
        <w:t>provozovatele</w:t>
      </w:r>
      <w:r>
        <w:t xml:space="preserve"> </w:t>
      </w:r>
      <w:r w:rsidRPr="00841523">
        <w:t>kolektivního</w:t>
      </w:r>
      <w:r>
        <w:t xml:space="preserve"> </w:t>
      </w:r>
      <w:r w:rsidRPr="00841523">
        <w:t>systému</w:t>
      </w:r>
      <w:r>
        <w:t xml:space="preserve"> </w:t>
      </w:r>
      <w:r w:rsidRPr="00841523">
        <w:t>(dále</w:t>
      </w:r>
      <w:r>
        <w:t xml:space="preserve"> </w:t>
      </w:r>
      <w:r w:rsidRPr="00841523">
        <w:t>jen</w:t>
      </w:r>
      <w:r>
        <w:t xml:space="preserve"> </w:t>
      </w:r>
      <w:r w:rsidRPr="00841523">
        <w:t>"rezerva").</w:t>
      </w:r>
    </w:p>
    <w:p w14:paraId="0A261786" w14:textId="77777777" w:rsidR="00C62C41" w:rsidRDefault="00C62C41" w:rsidP="009876EF">
      <w:pPr>
        <w:pStyle w:val="Textparagrafu"/>
        <w:tabs>
          <w:tab w:val="left" w:pos="392"/>
          <w:tab w:val="left" w:pos="840"/>
        </w:tabs>
        <w:spacing w:before="120" w:after="120"/>
      </w:pPr>
      <w:r w:rsidRPr="00841523">
        <w:t>(2)</w:t>
      </w:r>
      <w:r>
        <w:t xml:space="preserve"> </w:t>
      </w:r>
      <w:r w:rsidRPr="00841523">
        <w:t>Provozovatel</w:t>
      </w:r>
      <w:r>
        <w:t xml:space="preserve"> </w:t>
      </w:r>
      <w:r w:rsidRPr="00841523">
        <w:t>kolektivního</w:t>
      </w:r>
      <w:r>
        <w:t xml:space="preserve"> </w:t>
      </w:r>
      <w:r w:rsidRPr="00841523">
        <w:t>systému</w:t>
      </w:r>
      <w:r>
        <w:t xml:space="preserve"> </w:t>
      </w:r>
      <w:r w:rsidRPr="00841523">
        <w:t>vytváří</w:t>
      </w:r>
      <w:r>
        <w:t xml:space="preserve"> </w:t>
      </w:r>
      <w:r w:rsidRPr="00841523">
        <w:t>rezervu</w:t>
      </w:r>
      <w:r>
        <w:t xml:space="preserve"> </w:t>
      </w:r>
      <w:r w:rsidRPr="00841523">
        <w:t>ukládáním</w:t>
      </w:r>
      <w:r>
        <w:t xml:space="preserve"> </w:t>
      </w:r>
      <w:r w:rsidRPr="00841523">
        <w:t>peněžních</w:t>
      </w:r>
      <w:r>
        <w:t xml:space="preserve"> </w:t>
      </w:r>
      <w:r w:rsidRPr="00841523">
        <w:t>prostředků</w:t>
      </w:r>
      <w:r>
        <w:t xml:space="preserve"> </w:t>
      </w:r>
      <w:r w:rsidRPr="00841523">
        <w:t>na</w:t>
      </w:r>
      <w:r>
        <w:t xml:space="preserve"> </w:t>
      </w:r>
      <w:r w:rsidRPr="00841523">
        <w:t>zvláštní</w:t>
      </w:r>
      <w:r>
        <w:t xml:space="preserve"> </w:t>
      </w:r>
      <w:r w:rsidRPr="00841523">
        <w:t>vázaný</w:t>
      </w:r>
      <w:r>
        <w:t xml:space="preserve"> </w:t>
      </w:r>
      <w:r w:rsidRPr="00841523">
        <w:t>účet</w:t>
      </w:r>
      <w:r>
        <w:t xml:space="preserve"> </w:t>
      </w:r>
      <w:r w:rsidRPr="00841523">
        <w:t>vedený</w:t>
      </w:r>
      <w:r>
        <w:t xml:space="preserve"> </w:t>
      </w:r>
      <w:r w:rsidRPr="00841523">
        <w:t>v</w:t>
      </w:r>
      <w:r>
        <w:t xml:space="preserve"> </w:t>
      </w:r>
      <w:r w:rsidRPr="00841523">
        <w:t>České</w:t>
      </w:r>
      <w:r>
        <w:t xml:space="preserve"> </w:t>
      </w:r>
      <w:r w:rsidRPr="00841523">
        <w:t>republice</w:t>
      </w:r>
      <w:r>
        <w:t xml:space="preserve"> </w:t>
      </w:r>
      <w:r w:rsidRPr="00841523">
        <w:t>u</w:t>
      </w:r>
      <w:r>
        <w:t xml:space="preserve"> </w:t>
      </w:r>
      <w:r w:rsidRPr="00841523">
        <w:t>banky</w:t>
      </w:r>
      <w:r>
        <w:t xml:space="preserve"> </w:t>
      </w:r>
      <w:r w:rsidRPr="00841523">
        <w:t>nebo</w:t>
      </w:r>
      <w:r>
        <w:t xml:space="preserve"> </w:t>
      </w:r>
      <w:r w:rsidRPr="00841523">
        <w:t>u</w:t>
      </w:r>
      <w:r>
        <w:t xml:space="preserve"> </w:t>
      </w:r>
      <w:r w:rsidRPr="00841523">
        <w:t>pobočky</w:t>
      </w:r>
      <w:r>
        <w:t xml:space="preserve"> </w:t>
      </w:r>
      <w:r w:rsidRPr="00841523">
        <w:t>zahraniční</w:t>
      </w:r>
      <w:r>
        <w:t xml:space="preserve"> </w:t>
      </w:r>
      <w:r w:rsidRPr="00841523">
        <w:t>banky</w:t>
      </w:r>
      <w:r>
        <w:t xml:space="preserve"> </w:t>
      </w:r>
      <w:r w:rsidRPr="00841523">
        <w:t>se</w:t>
      </w:r>
      <w:r>
        <w:t xml:space="preserve"> </w:t>
      </w:r>
      <w:r w:rsidRPr="00841523">
        <w:t>sídlem</w:t>
      </w:r>
      <w:r>
        <w:t xml:space="preserve"> </w:t>
      </w:r>
      <w:r w:rsidRPr="00841523">
        <w:t>v</w:t>
      </w:r>
      <w:r>
        <w:t xml:space="preserve"> </w:t>
      </w:r>
      <w:r w:rsidRPr="00841523">
        <w:t>jiném</w:t>
      </w:r>
      <w:r>
        <w:t xml:space="preserve"> </w:t>
      </w:r>
      <w:r w:rsidRPr="00841523">
        <w:t>členském</w:t>
      </w:r>
      <w:r>
        <w:t xml:space="preserve"> </w:t>
      </w:r>
      <w:r w:rsidRPr="00841523">
        <w:t>státě</w:t>
      </w:r>
      <w:r>
        <w:t xml:space="preserve"> </w:t>
      </w:r>
      <w:r w:rsidRPr="00841523">
        <w:t>Evropské</w:t>
      </w:r>
      <w:r>
        <w:t xml:space="preserve"> </w:t>
      </w:r>
      <w:r w:rsidRPr="00841523">
        <w:t>unie.</w:t>
      </w:r>
      <w:r>
        <w:t xml:space="preserve"> </w:t>
      </w:r>
      <w:r w:rsidRPr="00841523">
        <w:t>Úroky</w:t>
      </w:r>
      <w:r>
        <w:t xml:space="preserve"> </w:t>
      </w:r>
      <w:r w:rsidRPr="00841523">
        <w:t>z</w:t>
      </w:r>
      <w:r>
        <w:t xml:space="preserve"> </w:t>
      </w:r>
      <w:r w:rsidRPr="00841523">
        <w:t>peněžních</w:t>
      </w:r>
      <w:r>
        <w:t xml:space="preserve"> </w:t>
      </w:r>
      <w:r w:rsidRPr="00841523">
        <w:t>prostředků</w:t>
      </w:r>
      <w:r>
        <w:t xml:space="preserve"> </w:t>
      </w:r>
      <w:r w:rsidRPr="00841523">
        <w:t>rezervy</w:t>
      </w:r>
      <w:r>
        <w:t xml:space="preserve"> </w:t>
      </w:r>
      <w:r w:rsidRPr="00841523">
        <w:t>jsou</w:t>
      </w:r>
      <w:r>
        <w:t xml:space="preserve"> </w:t>
      </w:r>
      <w:r w:rsidRPr="00841523">
        <w:t>její</w:t>
      </w:r>
      <w:r>
        <w:t xml:space="preserve"> </w:t>
      </w:r>
      <w:r w:rsidRPr="00841523">
        <w:t>součástí.</w:t>
      </w:r>
    </w:p>
    <w:p w14:paraId="72611837" w14:textId="77777777" w:rsidR="00C62C41" w:rsidRDefault="00C62C41" w:rsidP="009876EF">
      <w:pPr>
        <w:pStyle w:val="Textparagrafu"/>
        <w:tabs>
          <w:tab w:val="left" w:pos="392"/>
          <w:tab w:val="left" w:pos="840"/>
        </w:tabs>
        <w:spacing w:before="120" w:after="120"/>
      </w:pPr>
      <w:r w:rsidRPr="00841523">
        <w:t>(3)</w:t>
      </w:r>
      <w:r>
        <w:t xml:space="preserve"> </w:t>
      </w:r>
      <w:r w:rsidRPr="00841523">
        <w:t>Provozovatel</w:t>
      </w:r>
      <w:r>
        <w:t xml:space="preserve"> </w:t>
      </w:r>
      <w:r w:rsidRPr="00841523">
        <w:t>kolektivního</w:t>
      </w:r>
      <w:r>
        <w:t xml:space="preserve"> </w:t>
      </w:r>
      <w:r w:rsidRPr="00841523">
        <w:t>systému</w:t>
      </w:r>
      <w:r>
        <w:t xml:space="preserve"> </w:t>
      </w:r>
      <w:r w:rsidRPr="00841523">
        <w:t>rezervu</w:t>
      </w:r>
      <w:r>
        <w:t xml:space="preserve"> </w:t>
      </w:r>
      <w:r w:rsidRPr="00841523">
        <w:t>vytváří</w:t>
      </w:r>
      <w:r>
        <w:t xml:space="preserve"> </w:t>
      </w:r>
      <w:r w:rsidRPr="00841523">
        <w:t>a</w:t>
      </w:r>
      <w:r>
        <w:t xml:space="preserve"> </w:t>
      </w:r>
      <w:r w:rsidRPr="00841523">
        <w:t>v</w:t>
      </w:r>
      <w:r>
        <w:t xml:space="preserve"> </w:t>
      </w:r>
      <w:r w:rsidRPr="00841523">
        <w:t>případě</w:t>
      </w:r>
      <w:r>
        <w:t xml:space="preserve"> </w:t>
      </w:r>
      <w:r w:rsidRPr="00841523">
        <w:t>jejího</w:t>
      </w:r>
      <w:r>
        <w:t xml:space="preserve"> </w:t>
      </w:r>
      <w:r w:rsidRPr="00841523">
        <w:t>čerpání</w:t>
      </w:r>
      <w:r>
        <w:t xml:space="preserve"> </w:t>
      </w:r>
      <w:r w:rsidRPr="00841523">
        <w:t>doplňuje</w:t>
      </w:r>
      <w:r>
        <w:t xml:space="preserve"> </w:t>
      </w:r>
      <w:r w:rsidRPr="00841523">
        <w:t>tak,</w:t>
      </w:r>
      <w:r>
        <w:t xml:space="preserve"> </w:t>
      </w:r>
      <w:r w:rsidRPr="00841523">
        <w:t>aby</w:t>
      </w:r>
      <w:r>
        <w:t xml:space="preserve"> </w:t>
      </w:r>
      <w:r w:rsidRPr="00841523">
        <w:t>po</w:t>
      </w:r>
      <w:r>
        <w:t xml:space="preserve"> </w:t>
      </w:r>
      <w:r w:rsidRPr="00841523">
        <w:t>uplynutí</w:t>
      </w:r>
      <w:r>
        <w:t xml:space="preserve"> </w:t>
      </w:r>
      <w:r w:rsidRPr="00841523">
        <w:t>5</w:t>
      </w:r>
      <w:r>
        <w:t xml:space="preserve"> </w:t>
      </w:r>
      <w:r w:rsidRPr="00841523">
        <w:t>let</w:t>
      </w:r>
      <w:r>
        <w:t xml:space="preserve"> </w:t>
      </w:r>
      <w:r w:rsidRPr="00841523">
        <w:t>od</w:t>
      </w:r>
      <w:r>
        <w:t xml:space="preserve"> </w:t>
      </w:r>
      <w:r w:rsidRPr="00841523">
        <w:t>udělení</w:t>
      </w:r>
      <w:r>
        <w:t xml:space="preserve"> </w:t>
      </w:r>
      <w:r w:rsidRPr="00841523">
        <w:t>oprávnění</w:t>
      </w:r>
      <w:r>
        <w:t xml:space="preserve"> </w:t>
      </w:r>
      <w:r w:rsidRPr="00841523">
        <w:t>k</w:t>
      </w:r>
      <w:r>
        <w:t xml:space="preserve"> </w:t>
      </w:r>
      <w:r w:rsidRPr="00841523">
        <w:t>provozování</w:t>
      </w:r>
      <w:r>
        <w:t xml:space="preserve"> </w:t>
      </w:r>
      <w:r w:rsidRPr="00841523">
        <w:t>kolektivního</w:t>
      </w:r>
      <w:r>
        <w:t xml:space="preserve"> </w:t>
      </w:r>
      <w:r w:rsidRPr="00841523">
        <w:t>systému</w:t>
      </w:r>
      <w:r>
        <w:t xml:space="preserve"> </w:t>
      </w:r>
      <w:r w:rsidRPr="00841523">
        <w:t>dosahovala</w:t>
      </w:r>
      <w:r>
        <w:t xml:space="preserve"> </w:t>
      </w:r>
      <w:r w:rsidRPr="00841523">
        <w:t>její</w:t>
      </w:r>
      <w:r>
        <w:t xml:space="preserve"> </w:t>
      </w:r>
      <w:r w:rsidRPr="00841523">
        <w:t>výše</w:t>
      </w:r>
      <w:r>
        <w:t xml:space="preserve"> </w:t>
      </w:r>
      <w:r w:rsidRPr="00841523">
        <w:t>k</w:t>
      </w:r>
      <w:r>
        <w:t xml:space="preserve"> </w:t>
      </w:r>
      <w:r w:rsidRPr="00841523">
        <w:t>poslednímu</w:t>
      </w:r>
      <w:r>
        <w:t xml:space="preserve"> </w:t>
      </w:r>
      <w:r w:rsidRPr="00841523">
        <w:t>dni</w:t>
      </w:r>
      <w:r>
        <w:t xml:space="preserve"> </w:t>
      </w:r>
      <w:r w:rsidRPr="00841523">
        <w:t>každého</w:t>
      </w:r>
      <w:r>
        <w:t xml:space="preserve"> </w:t>
      </w:r>
      <w:r>
        <w:rPr>
          <w:b/>
        </w:rPr>
        <w:t xml:space="preserve">individuálního </w:t>
      </w:r>
      <w:r w:rsidRPr="00841523">
        <w:t>účetního</w:t>
      </w:r>
      <w:r>
        <w:t xml:space="preserve"> </w:t>
      </w:r>
      <w:r w:rsidRPr="00841523">
        <w:t>období</w:t>
      </w:r>
      <w:r>
        <w:t xml:space="preserve"> </w:t>
      </w:r>
      <w:r w:rsidRPr="00841523">
        <w:t>nejméně</w:t>
      </w:r>
      <w:r>
        <w:t xml:space="preserve"> </w:t>
      </w:r>
      <w:r w:rsidRPr="00841523">
        <w:t>50</w:t>
      </w:r>
      <w:r>
        <w:t xml:space="preserve"> </w:t>
      </w:r>
      <w:r w:rsidRPr="00841523">
        <w:t>%</w:t>
      </w:r>
      <w:r>
        <w:t xml:space="preserve"> </w:t>
      </w:r>
      <w:r w:rsidRPr="00841523">
        <w:t>celkových</w:t>
      </w:r>
      <w:r>
        <w:t xml:space="preserve"> </w:t>
      </w:r>
      <w:r w:rsidRPr="00841523">
        <w:t>nákladů</w:t>
      </w:r>
      <w:r>
        <w:t xml:space="preserve"> </w:t>
      </w:r>
      <w:r w:rsidRPr="00841523">
        <w:t>provozovatele</w:t>
      </w:r>
      <w:r>
        <w:t xml:space="preserve"> </w:t>
      </w:r>
      <w:r w:rsidRPr="00841523">
        <w:t>kolektivního</w:t>
      </w:r>
      <w:r>
        <w:t xml:space="preserve"> </w:t>
      </w:r>
      <w:r w:rsidRPr="00841523">
        <w:t>systému</w:t>
      </w:r>
      <w:r>
        <w:t xml:space="preserve"> </w:t>
      </w:r>
      <w:r w:rsidRPr="00841523">
        <w:t>podle</w:t>
      </w:r>
      <w:r>
        <w:t xml:space="preserve"> </w:t>
      </w:r>
      <w:r w:rsidRPr="00841523">
        <w:t>schválené</w:t>
      </w:r>
      <w:r>
        <w:t xml:space="preserve"> </w:t>
      </w:r>
      <w:r>
        <w:rPr>
          <w:b/>
        </w:rPr>
        <w:t xml:space="preserve">řádné individuální </w:t>
      </w:r>
      <w:r w:rsidRPr="00841523">
        <w:t>účetní</w:t>
      </w:r>
      <w:r>
        <w:t xml:space="preserve"> </w:t>
      </w:r>
      <w:r w:rsidRPr="00841523">
        <w:t>závěrky</w:t>
      </w:r>
      <w:r>
        <w:t xml:space="preserve"> </w:t>
      </w:r>
      <w:r w:rsidRPr="00841523">
        <w:t>za</w:t>
      </w:r>
      <w:r>
        <w:t xml:space="preserve"> </w:t>
      </w:r>
      <w:r w:rsidRPr="00841523">
        <w:t>předcházející</w:t>
      </w:r>
      <w:r>
        <w:t xml:space="preserve"> </w:t>
      </w:r>
      <w:r>
        <w:rPr>
          <w:b/>
        </w:rPr>
        <w:t xml:space="preserve">individuální </w:t>
      </w:r>
      <w:r w:rsidRPr="00841523">
        <w:t>účetní</w:t>
      </w:r>
      <w:r>
        <w:t xml:space="preserve"> </w:t>
      </w:r>
      <w:r w:rsidRPr="00841523">
        <w:t>období.</w:t>
      </w:r>
      <w:r>
        <w:t xml:space="preserve"> </w:t>
      </w:r>
      <w:r w:rsidRPr="00841523">
        <w:t>Do</w:t>
      </w:r>
      <w:r>
        <w:t xml:space="preserve"> </w:t>
      </w:r>
      <w:r w:rsidRPr="00841523">
        <w:t>nákladů</w:t>
      </w:r>
      <w:r>
        <w:t xml:space="preserve"> </w:t>
      </w:r>
      <w:r w:rsidRPr="00841523">
        <w:t>provozovatele</w:t>
      </w:r>
      <w:r>
        <w:t xml:space="preserve"> </w:t>
      </w:r>
      <w:r w:rsidRPr="00841523">
        <w:t>kolektivního</w:t>
      </w:r>
      <w:r>
        <w:t xml:space="preserve"> </w:t>
      </w:r>
      <w:r w:rsidRPr="00841523">
        <w:t>systému</w:t>
      </w:r>
      <w:r>
        <w:t xml:space="preserve"> </w:t>
      </w:r>
      <w:r w:rsidRPr="00841523">
        <w:t>se</w:t>
      </w:r>
      <w:r>
        <w:t xml:space="preserve"> </w:t>
      </w:r>
      <w:r w:rsidRPr="00841523">
        <w:t>pro</w:t>
      </w:r>
      <w:r>
        <w:t xml:space="preserve"> </w:t>
      </w:r>
      <w:r w:rsidRPr="00841523">
        <w:t>účely</w:t>
      </w:r>
      <w:r>
        <w:t xml:space="preserve"> </w:t>
      </w:r>
      <w:r w:rsidRPr="00841523">
        <w:t>tohoto</w:t>
      </w:r>
      <w:r>
        <w:t xml:space="preserve"> </w:t>
      </w:r>
      <w:r w:rsidRPr="00841523">
        <w:t>ustanovení</w:t>
      </w:r>
      <w:r>
        <w:t xml:space="preserve"> </w:t>
      </w:r>
      <w:r w:rsidRPr="00841523">
        <w:t>nezapočítávají</w:t>
      </w:r>
      <w:r>
        <w:t xml:space="preserve"> </w:t>
      </w:r>
      <w:r w:rsidRPr="00841523">
        <w:t>zaplacená</w:t>
      </w:r>
      <w:r>
        <w:t xml:space="preserve"> </w:t>
      </w:r>
      <w:r w:rsidRPr="00841523">
        <w:t>daň</w:t>
      </w:r>
      <w:r>
        <w:t xml:space="preserve"> </w:t>
      </w:r>
      <w:r w:rsidRPr="00841523">
        <w:t>z</w:t>
      </w:r>
      <w:r>
        <w:t xml:space="preserve"> </w:t>
      </w:r>
      <w:r w:rsidRPr="00841523">
        <w:t>příjmů</w:t>
      </w:r>
      <w:r>
        <w:t xml:space="preserve"> </w:t>
      </w:r>
      <w:r w:rsidRPr="00841523">
        <w:t>a</w:t>
      </w:r>
      <w:r>
        <w:t xml:space="preserve"> </w:t>
      </w:r>
      <w:r w:rsidRPr="00841523">
        <w:t>náklady</w:t>
      </w:r>
      <w:r>
        <w:t xml:space="preserve"> </w:t>
      </w:r>
      <w:r w:rsidRPr="00841523">
        <w:t>na</w:t>
      </w:r>
      <w:r>
        <w:t xml:space="preserve"> </w:t>
      </w:r>
      <w:r w:rsidRPr="00841523">
        <w:t>tvorbu</w:t>
      </w:r>
      <w:r>
        <w:t xml:space="preserve"> </w:t>
      </w:r>
      <w:r w:rsidRPr="00841523">
        <w:t>rezervy.</w:t>
      </w:r>
    </w:p>
    <w:p w14:paraId="11EADA16" w14:textId="77777777" w:rsidR="00C62C41" w:rsidRDefault="00C62C41" w:rsidP="009876EF">
      <w:pPr>
        <w:pStyle w:val="Textparagrafu"/>
        <w:tabs>
          <w:tab w:val="left" w:pos="392"/>
          <w:tab w:val="left" w:pos="840"/>
        </w:tabs>
        <w:spacing w:before="120" w:after="120"/>
      </w:pPr>
      <w:r w:rsidRPr="00841523">
        <w:lastRenderedPageBreak/>
        <w:t>(4)</w:t>
      </w:r>
      <w:r>
        <w:t xml:space="preserve"> </w:t>
      </w:r>
      <w:r w:rsidRPr="00841523">
        <w:t>Nedosažení</w:t>
      </w:r>
      <w:r>
        <w:t xml:space="preserve"> </w:t>
      </w:r>
      <w:r w:rsidRPr="00841523">
        <w:t>minimální</w:t>
      </w:r>
      <w:r>
        <w:t xml:space="preserve"> </w:t>
      </w:r>
      <w:r w:rsidRPr="00841523">
        <w:t>výše</w:t>
      </w:r>
      <w:r>
        <w:t xml:space="preserve"> </w:t>
      </w:r>
      <w:r w:rsidRPr="00841523">
        <w:t>rezervy</w:t>
      </w:r>
      <w:r>
        <w:t xml:space="preserve"> </w:t>
      </w:r>
      <w:r w:rsidRPr="00841523">
        <w:t>stanovené</w:t>
      </w:r>
      <w:r>
        <w:t xml:space="preserve"> </w:t>
      </w:r>
      <w:r w:rsidRPr="00841523">
        <w:t>v</w:t>
      </w:r>
      <w:r>
        <w:t xml:space="preserve"> </w:t>
      </w:r>
      <w:r w:rsidRPr="00841523">
        <w:t>odstavci</w:t>
      </w:r>
      <w:r>
        <w:t xml:space="preserve"> </w:t>
      </w:r>
      <w:r w:rsidRPr="00841523">
        <w:t>3</w:t>
      </w:r>
      <w:r>
        <w:t xml:space="preserve"> </w:t>
      </w:r>
      <w:r w:rsidRPr="00841523">
        <w:t>je</w:t>
      </w:r>
      <w:r>
        <w:t xml:space="preserve"> </w:t>
      </w:r>
      <w:r w:rsidRPr="00841523">
        <w:t>přípustné</w:t>
      </w:r>
      <w:r>
        <w:t xml:space="preserve"> </w:t>
      </w:r>
      <w:r w:rsidRPr="00841523">
        <w:t>za</w:t>
      </w:r>
      <w:r>
        <w:t xml:space="preserve"> </w:t>
      </w:r>
      <w:r w:rsidRPr="00841523">
        <w:t>podmínky,</w:t>
      </w:r>
      <w:r>
        <w:t xml:space="preserve"> </w:t>
      </w:r>
      <w:r w:rsidRPr="00841523">
        <w:t>že</w:t>
      </w:r>
    </w:p>
    <w:p w14:paraId="79BD4B3D" w14:textId="77777777" w:rsidR="00C62C41" w:rsidRDefault="00C62C41" w:rsidP="003058E0">
      <w:pPr>
        <w:pStyle w:val="Textparagrafu"/>
        <w:tabs>
          <w:tab w:val="left" w:pos="392"/>
          <w:tab w:val="left" w:pos="840"/>
        </w:tabs>
        <w:spacing w:before="0"/>
        <w:ind w:left="426" w:hanging="426"/>
      </w:pPr>
      <w:r w:rsidRPr="00841523">
        <w:t>a)</w:t>
      </w:r>
      <w:r>
        <w:tab/>
      </w:r>
      <w:r w:rsidRPr="00841523">
        <w:t>v</w:t>
      </w:r>
      <w:r>
        <w:t xml:space="preserve"> </w:t>
      </w:r>
      <w:r w:rsidRPr="00841523">
        <w:t>předcházejícím</w:t>
      </w:r>
      <w:r>
        <w:t xml:space="preserve"> </w:t>
      </w:r>
      <w:r w:rsidRPr="005F19BA">
        <w:rPr>
          <w:b/>
        </w:rPr>
        <w:t>individuálním</w:t>
      </w:r>
      <w:r>
        <w:t xml:space="preserve"> </w:t>
      </w:r>
      <w:r w:rsidRPr="00841523">
        <w:t>účetním</w:t>
      </w:r>
      <w:r>
        <w:t xml:space="preserve"> </w:t>
      </w:r>
      <w:r w:rsidRPr="00841523">
        <w:t>období</w:t>
      </w:r>
      <w:r>
        <w:t xml:space="preserve"> </w:t>
      </w:r>
      <w:r w:rsidRPr="00841523">
        <w:t>byla</w:t>
      </w:r>
      <w:r>
        <w:t xml:space="preserve"> </w:t>
      </w:r>
      <w:r w:rsidRPr="00841523">
        <w:t>minimální</w:t>
      </w:r>
      <w:r>
        <w:t xml:space="preserve"> </w:t>
      </w:r>
      <w:r w:rsidRPr="00841523">
        <w:t>výše</w:t>
      </w:r>
      <w:r>
        <w:t xml:space="preserve"> </w:t>
      </w:r>
      <w:r w:rsidRPr="00841523">
        <w:t>rezervy</w:t>
      </w:r>
      <w:r>
        <w:t xml:space="preserve"> </w:t>
      </w:r>
      <w:r w:rsidRPr="00841523">
        <w:t>dosažena</w:t>
      </w:r>
      <w:r>
        <w:t xml:space="preserve"> </w:t>
      </w:r>
      <w:r w:rsidRPr="00841523">
        <w:t>a</w:t>
      </w:r>
    </w:p>
    <w:p w14:paraId="6DFC6DC6" w14:textId="77777777" w:rsidR="00C62C41" w:rsidRDefault="00C62C41" w:rsidP="003058E0">
      <w:pPr>
        <w:pStyle w:val="Textparagrafu"/>
        <w:tabs>
          <w:tab w:val="left" w:pos="392"/>
          <w:tab w:val="left" w:pos="840"/>
        </w:tabs>
        <w:spacing w:before="0"/>
        <w:ind w:left="426" w:hanging="426"/>
      </w:pPr>
      <w:r w:rsidRPr="00841523">
        <w:t>b)</w:t>
      </w:r>
      <w:r>
        <w:tab/>
      </w:r>
      <w:r w:rsidRPr="00841523">
        <w:t>provozovatel</w:t>
      </w:r>
      <w:r>
        <w:t xml:space="preserve"> </w:t>
      </w:r>
      <w:r w:rsidRPr="00841523">
        <w:t>kolektivního</w:t>
      </w:r>
      <w:r>
        <w:t xml:space="preserve"> </w:t>
      </w:r>
      <w:r w:rsidRPr="00841523">
        <w:t>systému</w:t>
      </w:r>
      <w:r>
        <w:t xml:space="preserve"> </w:t>
      </w:r>
      <w:r w:rsidRPr="00841523">
        <w:t>zajistí</w:t>
      </w:r>
      <w:r>
        <w:t xml:space="preserve"> </w:t>
      </w:r>
      <w:r w:rsidRPr="00841523">
        <w:t>dosažení</w:t>
      </w:r>
      <w:r>
        <w:t xml:space="preserve"> </w:t>
      </w:r>
      <w:r w:rsidRPr="00841523">
        <w:t>minimální</w:t>
      </w:r>
      <w:r>
        <w:t xml:space="preserve"> </w:t>
      </w:r>
      <w:r w:rsidRPr="00841523">
        <w:t>výše</w:t>
      </w:r>
      <w:r>
        <w:t xml:space="preserve"> </w:t>
      </w:r>
      <w:r w:rsidRPr="00841523">
        <w:t>rezervy</w:t>
      </w:r>
      <w:r>
        <w:t xml:space="preserve"> </w:t>
      </w:r>
      <w:r w:rsidRPr="00841523">
        <w:t>v</w:t>
      </w:r>
      <w:r>
        <w:t xml:space="preserve"> </w:t>
      </w:r>
      <w:r w:rsidRPr="00841523">
        <w:t>následujícím</w:t>
      </w:r>
      <w:r>
        <w:t xml:space="preserve"> </w:t>
      </w:r>
      <w:r>
        <w:rPr>
          <w:b/>
        </w:rPr>
        <w:t xml:space="preserve">individuálním </w:t>
      </w:r>
      <w:r w:rsidRPr="00841523">
        <w:t>účetním</w:t>
      </w:r>
      <w:r>
        <w:t xml:space="preserve"> </w:t>
      </w:r>
      <w:r w:rsidRPr="00841523">
        <w:t>období.</w:t>
      </w:r>
    </w:p>
    <w:p w14:paraId="080C46A2" w14:textId="77777777" w:rsidR="00C62C41" w:rsidRDefault="00C62C41" w:rsidP="009876EF">
      <w:pPr>
        <w:pStyle w:val="Textparagrafu"/>
        <w:tabs>
          <w:tab w:val="left" w:pos="392"/>
          <w:tab w:val="left" w:pos="840"/>
        </w:tabs>
        <w:spacing w:before="120" w:after="120"/>
      </w:pPr>
      <w:r w:rsidRPr="00841523">
        <w:t>(5)</w:t>
      </w:r>
      <w:r>
        <w:t xml:space="preserve"> </w:t>
      </w:r>
      <w:r w:rsidRPr="00841523">
        <w:t>Peněžní</w:t>
      </w:r>
      <w:r>
        <w:t xml:space="preserve"> </w:t>
      </w:r>
      <w:r w:rsidRPr="00841523">
        <w:t>prostředky,</w:t>
      </w:r>
      <w:r>
        <w:t xml:space="preserve"> </w:t>
      </w:r>
      <w:r w:rsidRPr="00841523">
        <w:t>které</w:t>
      </w:r>
      <w:r>
        <w:t xml:space="preserve"> </w:t>
      </w:r>
      <w:r w:rsidRPr="00841523">
        <w:t>tvoří</w:t>
      </w:r>
      <w:r>
        <w:t xml:space="preserve"> </w:t>
      </w:r>
      <w:r w:rsidRPr="00841523">
        <w:t>rezervu,</w:t>
      </w:r>
      <w:r>
        <w:t xml:space="preserve"> </w:t>
      </w:r>
      <w:r w:rsidRPr="00841523">
        <w:t>mohou</w:t>
      </w:r>
      <w:r>
        <w:t xml:space="preserve"> </w:t>
      </w:r>
      <w:r w:rsidRPr="00841523">
        <w:t>být</w:t>
      </w:r>
      <w:r>
        <w:t xml:space="preserve"> </w:t>
      </w:r>
      <w:r w:rsidRPr="00841523">
        <w:t>použity</w:t>
      </w:r>
      <w:r>
        <w:t xml:space="preserve"> </w:t>
      </w:r>
      <w:r w:rsidRPr="00841523">
        <w:t>pouze</w:t>
      </w:r>
      <w:r>
        <w:t xml:space="preserve"> </w:t>
      </w:r>
      <w:r w:rsidRPr="00841523">
        <w:t>za</w:t>
      </w:r>
      <w:r>
        <w:t xml:space="preserve"> </w:t>
      </w:r>
      <w:r w:rsidRPr="00841523">
        <w:t>účelem</w:t>
      </w:r>
      <w:r>
        <w:t xml:space="preserve"> </w:t>
      </w:r>
      <w:r w:rsidRPr="00841523">
        <w:t>zajištění</w:t>
      </w:r>
      <w:r>
        <w:t xml:space="preserve"> </w:t>
      </w:r>
      <w:r w:rsidRPr="00841523">
        <w:t>kolektivního</w:t>
      </w:r>
      <w:r>
        <w:t xml:space="preserve"> </w:t>
      </w:r>
      <w:r w:rsidRPr="00841523">
        <w:t>plnění</w:t>
      </w:r>
      <w:r>
        <w:t xml:space="preserve"> </w:t>
      </w:r>
      <w:r w:rsidRPr="00841523">
        <w:t>povinností</w:t>
      </w:r>
      <w:r>
        <w:t xml:space="preserve"> </w:t>
      </w:r>
      <w:r w:rsidRPr="00841523">
        <w:t>výrobců,</w:t>
      </w:r>
      <w:r>
        <w:t xml:space="preserve"> </w:t>
      </w:r>
      <w:r w:rsidRPr="00841523">
        <w:t>s</w:t>
      </w:r>
      <w:r>
        <w:t xml:space="preserve"> </w:t>
      </w:r>
      <w:r w:rsidRPr="00841523">
        <w:t>nimiž</w:t>
      </w:r>
      <w:r>
        <w:t xml:space="preserve"> </w:t>
      </w:r>
      <w:r w:rsidRPr="00841523">
        <w:t>provozovatel</w:t>
      </w:r>
      <w:r>
        <w:t xml:space="preserve"> </w:t>
      </w:r>
      <w:r w:rsidRPr="00841523">
        <w:t>kolektivního</w:t>
      </w:r>
      <w:r>
        <w:t xml:space="preserve"> </w:t>
      </w:r>
      <w:r w:rsidRPr="00841523">
        <w:t>systému</w:t>
      </w:r>
      <w:r>
        <w:t xml:space="preserve"> </w:t>
      </w:r>
      <w:r w:rsidRPr="00841523">
        <w:t>uzavřel</w:t>
      </w:r>
      <w:r>
        <w:t xml:space="preserve"> </w:t>
      </w:r>
      <w:r w:rsidRPr="00841523">
        <w:t>smlouvu</w:t>
      </w:r>
      <w:r>
        <w:t xml:space="preserve"> </w:t>
      </w:r>
      <w:r w:rsidRPr="00841523">
        <w:t>o</w:t>
      </w:r>
      <w:r>
        <w:t xml:space="preserve"> </w:t>
      </w:r>
      <w:r w:rsidRPr="00841523">
        <w:t>kolektivním</w:t>
      </w:r>
      <w:r>
        <w:t xml:space="preserve"> </w:t>
      </w:r>
      <w:r w:rsidRPr="00841523">
        <w:t>plnění.</w:t>
      </w:r>
      <w:r>
        <w:t xml:space="preserve"> </w:t>
      </w:r>
      <w:r w:rsidRPr="00841523">
        <w:t>Peněžní</w:t>
      </w:r>
      <w:r>
        <w:t xml:space="preserve"> </w:t>
      </w:r>
      <w:r w:rsidRPr="00841523">
        <w:t>prostředky</w:t>
      </w:r>
      <w:r>
        <w:t xml:space="preserve"> </w:t>
      </w:r>
      <w:r w:rsidRPr="00841523">
        <w:t>rezervy</w:t>
      </w:r>
      <w:r>
        <w:t xml:space="preserve"> </w:t>
      </w:r>
      <w:r w:rsidRPr="00841523">
        <w:t>nejsou</w:t>
      </w:r>
      <w:r>
        <w:t xml:space="preserve"> </w:t>
      </w:r>
      <w:r w:rsidRPr="00841523">
        <w:t>součástí</w:t>
      </w:r>
      <w:r>
        <w:t xml:space="preserve"> </w:t>
      </w:r>
      <w:r w:rsidRPr="00841523">
        <w:t>majetkové</w:t>
      </w:r>
      <w:r>
        <w:t xml:space="preserve"> </w:t>
      </w:r>
      <w:r w:rsidRPr="00841523">
        <w:t>podstaty</w:t>
      </w:r>
      <w:r>
        <w:t xml:space="preserve"> </w:t>
      </w:r>
      <w:r w:rsidRPr="00841523">
        <w:t>provozovatele</w:t>
      </w:r>
      <w:r>
        <w:t xml:space="preserve"> </w:t>
      </w:r>
      <w:r w:rsidRPr="00841523">
        <w:t>kolektivního</w:t>
      </w:r>
      <w:r>
        <w:t xml:space="preserve"> </w:t>
      </w:r>
      <w:r w:rsidRPr="00841523">
        <w:t>systému</w:t>
      </w:r>
      <w:r>
        <w:t xml:space="preserve"> </w:t>
      </w:r>
      <w:r w:rsidRPr="00841523">
        <w:t>podle</w:t>
      </w:r>
      <w:r>
        <w:t xml:space="preserve"> </w:t>
      </w:r>
      <w:r w:rsidRPr="00841523">
        <w:t>zákona</w:t>
      </w:r>
      <w:r>
        <w:t xml:space="preserve"> </w:t>
      </w:r>
      <w:r w:rsidRPr="00841523">
        <w:t>upravujícího</w:t>
      </w:r>
      <w:r>
        <w:t xml:space="preserve"> </w:t>
      </w:r>
      <w:r w:rsidRPr="00841523">
        <w:t>úpadek</w:t>
      </w:r>
      <w:r>
        <w:t xml:space="preserve"> </w:t>
      </w:r>
      <w:r w:rsidRPr="00841523">
        <w:t>a</w:t>
      </w:r>
      <w:r>
        <w:t xml:space="preserve"> </w:t>
      </w:r>
      <w:r w:rsidRPr="00841523">
        <w:t>způsoby</w:t>
      </w:r>
      <w:r>
        <w:t xml:space="preserve"> </w:t>
      </w:r>
      <w:r w:rsidRPr="00841523">
        <w:t>jeho</w:t>
      </w:r>
      <w:r>
        <w:t xml:space="preserve"> </w:t>
      </w:r>
      <w:r w:rsidRPr="00841523">
        <w:t>řešení</w:t>
      </w:r>
      <w:r>
        <w:t xml:space="preserve"> </w:t>
      </w:r>
      <w:r w:rsidRPr="00841523">
        <w:t>a</w:t>
      </w:r>
      <w:r>
        <w:t xml:space="preserve"> </w:t>
      </w:r>
      <w:r w:rsidRPr="00841523">
        <w:t>nelze</w:t>
      </w:r>
      <w:r>
        <w:t xml:space="preserve"> </w:t>
      </w:r>
      <w:r w:rsidRPr="00841523">
        <w:t>je</w:t>
      </w:r>
      <w:r>
        <w:t xml:space="preserve"> </w:t>
      </w:r>
      <w:r w:rsidRPr="00841523">
        <w:t>postihnout</w:t>
      </w:r>
      <w:r>
        <w:t xml:space="preserve"> </w:t>
      </w:r>
      <w:r w:rsidRPr="00841523">
        <w:t>výkonem</w:t>
      </w:r>
      <w:r>
        <w:t xml:space="preserve"> </w:t>
      </w:r>
      <w:r w:rsidRPr="00841523">
        <w:t>rozhodnutí</w:t>
      </w:r>
      <w:r>
        <w:t xml:space="preserve"> </w:t>
      </w:r>
      <w:r w:rsidRPr="00841523">
        <w:t>a</w:t>
      </w:r>
      <w:r>
        <w:t xml:space="preserve"> </w:t>
      </w:r>
      <w:r w:rsidRPr="00841523">
        <w:t>exekucí.</w:t>
      </w:r>
    </w:p>
    <w:p w14:paraId="59FE7883" w14:textId="77777777" w:rsidR="00C62C41" w:rsidRPr="00841523" w:rsidRDefault="00C62C41" w:rsidP="009876EF">
      <w:pPr>
        <w:pStyle w:val="Textparagrafu"/>
        <w:tabs>
          <w:tab w:val="left" w:pos="392"/>
          <w:tab w:val="left" w:pos="840"/>
        </w:tabs>
        <w:spacing w:before="120" w:after="120"/>
      </w:pPr>
      <w:r w:rsidRPr="00841523">
        <w:t>(6)</w:t>
      </w:r>
      <w:r>
        <w:t xml:space="preserve"> </w:t>
      </w:r>
      <w:r w:rsidRPr="00841523">
        <w:t>Údaje</w:t>
      </w:r>
      <w:r>
        <w:t xml:space="preserve"> </w:t>
      </w:r>
      <w:r w:rsidRPr="00841523">
        <w:t>o</w:t>
      </w:r>
      <w:r>
        <w:t xml:space="preserve"> </w:t>
      </w:r>
      <w:r w:rsidRPr="00841523">
        <w:t>stavu</w:t>
      </w:r>
      <w:r>
        <w:t xml:space="preserve"> </w:t>
      </w:r>
      <w:r w:rsidRPr="00841523">
        <w:t>a</w:t>
      </w:r>
      <w:r>
        <w:t xml:space="preserve"> </w:t>
      </w:r>
      <w:r w:rsidRPr="00841523">
        <w:t>čerpání</w:t>
      </w:r>
      <w:r>
        <w:t xml:space="preserve"> </w:t>
      </w:r>
      <w:r w:rsidRPr="00841523">
        <w:t>peněžních</w:t>
      </w:r>
      <w:r>
        <w:t xml:space="preserve"> </w:t>
      </w:r>
      <w:r w:rsidRPr="00841523">
        <w:t>prostředků</w:t>
      </w:r>
      <w:r>
        <w:t xml:space="preserve"> </w:t>
      </w:r>
      <w:r w:rsidRPr="00841523">
        <w:t>ze</w:t>
      </w:r>
      <w:r>
        <w:t xml:space="preserve"> </w:t>
      </w:r>
      <w:r w:rsidRPr="00841523">
        <w:t>zvláštního</w:t>
      </w:r>
      <w:r>
        <w:t xml:space="preserve"> </w:t>
      </w:r>
      <w:r w:rsidRPr="00841523">
        <w:t>vázaného</w:t>
      </w:r>
      <w:r>
        <w:t xml:space="preserve"> </w:t>
      </w:r>
      <w:r w:rsidRPr="00841523">
        <w:t>účtu</w:t>
      </w:r>
      <w:r>
        <w:t xml:space="preserve"> </w:t>
      </w:r>
      <w:r w:rsidRPr="00841523">
        <w:t>uvádí</w:t>
      </w:r>
      <w:r>
        <w:t xml:space="preserve"> </w:t>
      </w:r>
      <w:r w:rsidRPr="00841523">
        <w:t>provozovatel</w:t>
      </w:r>
      <w:r>
        <w:t xml:space="preserve"> </w:t>
      </w:r>
      <w:r w:rsidRPr="00841523">
        <w:t>kolektivního</w:t>
      </w:r>
      <w:r>
        <w:t xml:space="preserve"> </w:t>
      </w:r>
      <w:r w:rsidRPr="00841523">
        <w:t>systému</w:t>
      </w:r>
      <w:r>
        <w:t xml:space="preserve"> </w:t>
      </w:r>
      <w:r w:rsidRPr="00841523">
        <w:t>v</w:t>
      </w:r>
      <w:r>
        <w:t xml:space="preserve"> </w:t>
      </w:r>
      <w:r w:rsidRPr="00841523">
        <w:t>roční</w:t>
      </w:r>
      <w:r>
        <w:t xml:space="preserve"> </w:t>
      </w:r>
      <w:r w:rsidRPr="00841523">
        <w:t>zprávě</w:t>
      </w:r>
      <w:r>
        <w:t xml:space="preserve"> </w:t>
      </w:r>
      <w:r w:rsidRPr="00841523">
        <w:t>o</w:t>
      </w:r>
      <w:r>
        <w:t xml:space="preserve"> </w:t>
      </w:r>
      <w:r w:rsidRPr="00841523">
        <w:t>výrobcích</w:t>
      </w:r>
      <w:r>
        <w:t xml:space="preserve"> </w:t>
      </w:r>
      <w:r w:rsidRPr="00841523">
        <w:t>s</w:t>
      </w:r>
      <w:r>
        <w:t xml:space="preserve"> </w:t>
      </w:r>
      <w:r w:rsidRPr="00841523">
        <w:t>ukončenou</w:t>
      </w:r>
      <w:r>
        <w:t xml:space="preserve"> </w:t>
      </w:r>
      <w:r w:rsidRPr="00841523">
        <w:t>životností.</w:t>
      </w:r>
    </w:p>
    <w:p w14:paraId="12621442" w14:textId="77777777" w:rsidR="00C62C41" w:rsidRDefault="00C62C41" w:rsidP="00C62C41">
      <w:pPr>
        <w:tabs>
          <w:tab w:val="left" w:pos="851"/>
        </w:tabs>
        <w:spacing w:after="120"/>
        <w:ind w:firstLine="0"/>
        <w:jc w:val="center"/>
        <w:outlineLvl w:val="0"/>
      </w:pPr>
      <w:r>
        <w:t>***</w:t>
      </w:r>
    </w:p>
    <w:p w14:paraId="57AFD336" w14:textId="77777777" w:rsidR="00C62C41" w:rsidRDefault="00C62C41" w:rsidP="00C62C41">
      <w:pPr>
        <w:pStyle w:val="Textparagrafu"/>
        <w:tabs>
          <w:tab w:val="left" w:pos="392"/>
          <w:tab w:val="left" w:pos="840"/>
        </w:tabs>
        <w:spacing w:after="120"/>
        <w:ind w:firstLine="0"/>
        <w:jc w:val="center"/>
      </w:pPr>
      <w:r w:rsidRPr="00841523">
        <w:t>§</w:t>
      </w:r>
      <w:r>
        <w:t xml:space="preserve"> </w:t>
      </w:r>
      <w:r w:rsidRPr="00841523">
        <w:t>53</w:t>
      </w:r>
    </w:p>
    <w:p w14:paraId="0F46910B" w14:textId="77777777" w:rsidR="00C62C41" w:rsidRPr="00720566" w:rsidRDefault="00C62C41" w:rsidP="00C62C41">
      <w:pPr>
        <w:pStyle w:val="Textparagrafu"/>
        <w:tabs>
          <w:tab w:val="left" w:pos="392"/>
          <w:tab w:val="left" w:pos="840"/>
        </w:tabs>
        <w:spacing w:after="120"/>
        <w:ind w:firstLine="0"/>
        <w:jc w:val="center"/>
        <w:rPr>
          <w:b/>
        </w:rPr>
      </w:pPr>
      <w:r w:rsidRPr="00720566">
        <w:rPr>
          <w:b/>
        </w:rPr>
        <w:t>Ověřování údajů</w:t>
      </w:r>
    </w:p>
    <w:p w14:paraId="2136FEFB" w14:textId="77777777" w:rsidR="00C62C41" w:rsidRDefault="00C62C41" w:rsidP="009876EF">
      <w:pPr>
        <w:pStyle w:val="Textparagrafu"/>
        <w:tabs>
          <w:tab w:val="left" w:pos="392"/>
          <w:tab w:val="left" w:pos="840"/>
        </w:tabs>
        <w:spacing w:before="120" w:after="120"/>
      </w:pPr>
      <w:r w:rsidRPr="00841523">
        <w:t>(1)</w:t>
      </w:r>
      <w:r>
        <w:t xml:space="preserve"> </w:t>
      </w:r>
      <w:r w:rsidRPr="00841523">
        <w:t>Provozovatel</w:t>
      </w:r>
      <w:r>
        <w:t xml:space="preserve"> </w:t>
      </w:r>
      <w:r w:rsidRPr="00841523">
        <w:t>kolektivního</w:t>
      </w:r>
      <w:r>
        <w:t xml:space="preserve"> </w:t>
      </w:r>
      <w:r w:rsidRPr="00841523">
        <w:t>systému</w:t>
      </w:r>
      <w:r>
        <w:t xml:space="preserve"> </w:t>
      </w:r>
      <w:r w:rsidRPr="005F19BA">
        <w:rPr>
          <w:strike/>
        </w:rPr>
        <w:t>je povinen mít řádnou nebo mimořádnou účetní závěrku ověřenou auditorem</w:t>
      </w:r>
      <w:r w:rsidRPr="005F19BA">
        <w:rPr>
          <w:b/>
        </w:rPr>
        <w:t xml:space="preserve"> </w:t>
      </w:r>
      <w:r w:rsidRPr="00552AEB">
        <w:rPr>
          <w:b/>
        </w:rPr>
        <w:t>má povinnost auditu řádné individuální účetní závěrky</w:t>
      </w:r>
      <w:r w:rsidRPr="00841523">
        <w:t>.</w:t>
      </w:r>
    </w:p>
    <w:p w14:paraId="55E0AE8F" w14:textId="77777777" w:rsidR="00C62C41" w:rsidRDefault="00C62C41" w:rsidP="009876EF">
      <w:pPr>
        <w:pStyle w:val="Textparagrafu"/>
        <w:tabs>
          <w:tab w:val="left" w:pos="392"/>
          <w:tab w:val="left" w:pos="840"/>
        </w:tabs>
        <w:spacing w:before="120" w:after="120"/>
      </w:pPr>
      <w:r w:rsidRPr="00841523">
        <w:t>(2)</w:t>
      </w:r>
      <w:r>
        <w:t xml:space="preserve"> </w:t>
      </w:r>
      <w:r w:rsidRPr="00841523">
        <w:t>Provozovatel</w:t>
      </w:r>
      <w:r>
        <w:t xml:space="preserve"> </w:t>
      </w:r>
      <w:r w:rsidRPr="00841523">
        <w:t>kolektivního</w:t>
      </w:r>
      <w:r>
        <w:t xml:space="preserve"> </w:t>
      </w:r>
      <w:r w:rsidRPr="00841523">
        <w:t>systému</w:t>
      </w:r>
      <w:r>
        <w:t xml:space="preserve"> </w:t>
      </w:r>
      <w:r w:rsidRPr="00841523">
        <w:t>je</w:t>
      </w:r>
      <w:r>
        <w:t xml:space="preserve"> </w:t>
      </w:r>
      <w:r w:rsidRPr="00841523">
        <w:t>povinen</w:t>
      </w:r>
      <w:r>
        <w:t xml:space="preserve"> </w:t>
      </w:r>
      <w:r w:rsidRPr="00841523">
        <w:t>zajistit,</w:t>
      </w:r>
      <w:r>
        <w:t xml:space="preserve"> </w:t>
      </w:r>
      <w:r w:rsidRPr="00841523">
        <w:t>aby</w:t>
      </w:r>
      <w:r>
        <w:t xml:space="preserve"> </w:t>
      </w:r>
      <w:r w:rsidRPr="00841523">
        <w:t>auditor</w:t>
      </w:r>
      <w:r>
        <w:t xml:space="preserve"> </w:t>
      </w:r>
      <w:r w:rsidRPr="00841523">
        <w:t>provedl</w:t>
      </w:r>
      <w:r>
        <w:t xml:space="preserve"> </w:t>
      </w:r>
      <w:r w:rsidRPr="00841523">
        <w:t>ověření</w:t>
      </w:r>
    </w:p>
    <w:p w14:paraId="279599D0" w14:textId="77777777" w:rsidR="00C62C41" w:rsidRDefault="00C62C41" w:rsidP="003058E0">
      <w:pPr>
        <w:pStyle w:val="Textparagrafu"/>
        <w:tabs>
          <w:tab w:val="left" w:pos="392"/>
          <w:tab w:val="left" w:pos="840"/>
        </w:tabs>
        <w:spacing w:before="0"/>
        <w:ind w:left="426" w:hanging="426"/>
      </w:pPr>
      <w:r w:rsidRPr="00841523">
        <w:t>a)</w:t>
      </w:r>
      <w:r>
        <w:tab/>
      </w:r>
      <w:r w:rsidRPr="00841523">
        <w:t>správnosti</w:t>
      </w:r>
      <w:r>
        <w:t xml:space="preserve"> </w:t>
      </w:r>
      <w:r w:rsidRPr="00841523">
        <w:t>a</w:t>
      </w:r>
      <w:r>
        <w:t xml:space="preserve"> </w:t>
      </w:r>
      <w:r w:rsidRPr="00841523">
        <w:t>úplnosti</w:t>
      </w:r>
      <w:r>
        <w:t xml:space="preserve"> </w:t>
      </w:r>
      <w:r w:rsidRPr="00841523">
        <w:t>údajů</w:t>
      </w:r>
      <w:r>
        <w:t xml:space="preserve"> </w:t>
      </w:r>
      <w:r w:rsidRPr="00841523">
        <w:t>o</w:t>
      </w:r>
      <w:r>
        <w:t xml:space="preserve"> </w:t>
      </w:r>
      <w:r w:rsidRPr="00841523">
        <w:t>množství</w:t>
      </w:r>
      <w:r>
        <w:t xml:space="preserve"> </w:t>
      </w:r>
      <w:r w:rsidRPr="00841523">
        <w:t>vybraných</w:t>
      </w:r>
      <w:r>
        <w:t xml:space="preserve"> </w:t>
      </w:r>
      <w:r w:rsidRPr="00841523">
        <w:t>výrobků</w:t>
      </w:r>
      <w:r>
        <w:t xml:space="preserve"> </w:t>
      </w:r>
      <w:r w:rsidRPr="00841523">
        <w:t>uvedených</w:t>
      </w:r>
      <w:r>
        <w:t xml:space="preserve"> </w:t>
      </w:r>
      <w:r w:rsidRPr="00841523">
        <w:t>na</w:t>
      </w:r>
      <w:r>
        <w:t xml:space="preserve"> </w:t>
      </w:r>
      <w:r w:rsidRPr="00841523">
        <w:t>trh,</w:t>
      </w:r>
      <w:r>
        <w:t xml:space="preserve"> </w:t>
      </w:r>
      <w:r w:rsidRPr="00841523">
        <w:t>které</w:t>
      </w:r>
      <w:r>
        <w:t xml:space="preserve"> </w:t>
      </w:r>
      <w:r w:rsidRPr="00841523">
        <w:t>výrobci</w:t>
      </w:r>
      <w:r>
        <w:t xml:space="preserve"> </w:t>
      </w:r>
      <w:r w:rsidRPr="00841523">
        <w:t>vykázali</w:t>
      </w:r>
      <w:r>
        <w:t xml:space="preserve"> </w:t>
      </w:r>
      <w:r w:rsidRPr="00841523">
        <w:t>provozovateli</w:t>
      </w:r>
      <w:r>
        <w:t xml:space="preserve"> </w:t>
      </w:r>
      <w:r w:rsidRPr="00841523">
        <w:t>kolektivního</w:t>
      </w:r>
      <w:r>
        <w:t xml:space="preserve"> </w:t>
      </w:r>
      <w:r w:rsidRPr="00841523">
        <w:t>systému</w:t>
      </w:r>
      <w:r>
        <w:t xml:space="preserve"> </w:t>
      </w:r>
      <w:r w:rsidRPr="00841523">
        <w:t>podle</w:t>
      </w:r>
      <w:r>
        <w:t xml:space="preserve"> </w:t>
      </w:r>
      <w:r w:rsidRPr="00841523">
        <w:t>§</w:t>
      </w:r>
      <w:r>
        <w:t xml:space="preserve"> </w:t>
      </w:r>
      <w:r w:rsidRPr="00841523">
        <w:t>45</w:t>
      </w:r>
      <w:r>
        <w:t xml:space="preserve"> </w:t>
      </w:r>
      <w:r w:rsidRPr="00841523">
        <w:t>odst.</w:t>
      </w:r>
      <w:r>
        <w:t xml:space="preserve"> </w:t>
      </w:r>
      <w:r w:rsidRPr="00841523">
        <w:t>1</w:t>
      </w:r>
      <w:r>
        <w:t xml:space="preserve"> </w:t>
      </w:r>
      <w:r w:rsidRPr="00841523">
        <w:t>písm.</w:t>
      </w:r>
      <w:r>
        <w:t xml:space="preserve"> </w:t>
      </w:r>
      <w:r w:rsidRPr="00841523">
        <w:t>a),</w:t>
      </w:r>
    </w:p>
    <w:p w14:paraId="313A8FB0" w14:textId="77777777" w:rsidR="00C62C41" w:rsidRDefault="00C62C41" w:rsidP="003058E0">
      <w:pPr>
        <w:pStyle w:val="Textparagrafu"/>
        <w:tabs>
          <w:tab w:val="left" w:pos="392"/>
          <w:tab w:val="left" w:pos="840"/>
        </w:tabs>
        <w:spacing w:before="0"/>
        <w:ind w:left="426" w:hanging="426"/>
      </w:pPr>
      <w:r w:rsidRPr="00841523">
        <w:t>b)</w:t>
      </w:r>
      <w:r>
        <w:tab/>
      </w:r>
      <w:r w:rsidRPr="00841523">
        <w:t>správnosti</w:t>
      </w:r>
      <w:r>
        <w:t xml:space="preserve"> </w:t>
      </w:r>
      <w:r w:rsidRPr="00841523">
        <w:t>a</w:t>
      </w:r>
      <w:r>
        <w:t xml:space="preserve"> </w:t>
      </w:r>
      <w:r w:rsidRPr="00841523">
        <w:t>úplnosti</w:t>
      </w:r>
      <w:r>
        <w:t xml:space="preserve"> </w:t>
      </w:r>
      <w:r w:rsidRPr="00841523">
        <w:t>vedení</w:t>
      </w:r>
      <w:r>
        <w:t xml:space="preserve"> </w:t>
      </w:r>
      <w:r w:rsidRPr="00841523">
        <w:t>evidencí</w:t>
      </w:r>
      <w:r>
        <w:t xml:space="preserve"> </w:t>
      </w:r>
      <w:r w:rsidRPr="00841523">
        <w:t>podle</w:t>
      </w:r>
      <w:r>
        <w:t xml:space="preserve"> </w:t>
      </w:r>
      <w:r w:rsidRPr="00841523">
        <w:t>§</w:t>
      </w:r>
      <w:r>
        <w:t xml:space="preserve"> </w:t>
      </w:r>
      <w:r w:rsidRPr="00841523">
        <w:t>50</w:t>
      </w:r>
      <w:r>
        <w:t xml:space="preserve"> </w:t>
      </w:r>
      <w:r w:rsidRPr="00841523">
        <w:t>odst.</w:t>
      </w:r>
      <w:r>
        <w:t xml:space="preserve"> </w:t>
      </w:r>
      <w:r w:rsidRPr="00841523">
        <w:t>1</w:t>
      </w:r>
      <w:r>
        <w:t xml:space="preserve"> </w:t>
      </w:r>
      <w:r w:rsidRPr="00841523">
        <w:t>písm.</w:t>
      </w:r>
      <w:r>
        <w:t xml:space="preserve"> </w:t>
      </w:r>
      <w:r w:rsidRPr="00841523">
        <w:t>a)</w:t>
      </w:r>
      <w:r>
        <w:t xml:space="preserve"> </w:t>
      </w:r>
      <w:r w:rsidRPr="00841523">
        <w:t>až</w:t>
      </w:r>
      <w:r>
        <w:t xml:space="preserve"> </w:t>
      </w:r>
      <w:r w:rsidRPr="00841523">
        <w:t>c)</w:t>
      </w:r>
      <w:r>
        <w:t xml:space="preserve"> </w:t>
      </w:r>
      <w:r w:rsidRPr="00841523">
        <w:t>a</w:t>
      </w:r>
    </w:p>
    <w:p w14:paraId="2EA72596" w14:textId="77777777" w:rsidR="00C62C41" w:rsidRDefault="00C62C41" w:rsidP="003058E0">
      <w:pPr>
        <w:pStyle w:val="Textparagrafu"/>
        <w:tabs>
          <w:tab w:val="left" w:pos="392"/>
          <w:tab w:val="left" w:pos="840"/>
        </w:tabs>
        <w:spacing w:before="0"/>
        <w:ind w:left="426" w:hanging="426"/>
      </w:pPr>
      <w:r w:rsidRPr="00841523">
        <w:t>c)</w:t>
      </w:r>
      <w:r>
        <w:tab/>
      </w:r>
      <w:r w:rsidRPr="00841523">
        <w:t>správnosti</w:t>
      </w:r>
      <w:r>
        <w:t xml:space="preserve"> </w:t>
      </w:r>
      <w:r w:rsidRPr="00841523">
        <w:t>a</w:t>
      </w:r>
      <w:r>
        <w:t xml:space="preserve"> </w:t>
      </w:r>
      <w:r w:rsidRPr="00841523">
        <w:t>úplnosti</w:t>
      </w:r>
      <w:r>
        <w:t xml:space="preserve"> </w:t>
      </w:r>
      <w:r w:rsidRPr="00841523">
        <w:t>údajů</w:t>
      </w:r>
      <w:r>
        <w:t xml:space="preserve"> </w:t>
      </w:r>
      <w:r w:rsidRPr="00841523">
        <w:t>o</w:t>
      </w:r>
      <w:r>
        <w:t xml:space="preserve"> </w:t>
      </w:r>
      <w:r w:rsidRPr="00841523">
        <w:t>množství</w:t>
      </w:r>
      <w:r>
        <w:t xml:space="preserve"> </w:t>
      </w:r>
      <w:r w:rsidRPr="00841523">
        <w:t>zpětně</w:t>
      </w:r>
      <w:r>
        <w:t xml:space="preserve"> </w:t>
      </w:r>
      <w:r w:rsidRPr="00841523">
        <w:t>odebraných</w:t>
      </w:r>
      <w:r>
        <w:t xml:space="preserve"> </w:t>
      </w:r>
      <w:r w:rsidRPr="00841523">
        <w:t>výrobků</w:t>
      </w:r>
      <w:r>
        <w:t xml:space="preserve"> </w:t>
      </w:r>
      <w:r w:rsidRPr="00841523">
        <w:t>s</w:t>
      </w:r>
      <w:r>
        <w:t xml:space="preserve"> </w:t>
      </w:r>
      <w:r w:rsidRPr="00841523">
        <w:t>ukončenou</w:t>
      </w:r>
      <w:r>
        <w:t xml:space="preserve"> </w:t>
      </w:r>
      <w:r w:rsidRPr="00841523">
        <w:t>životností</w:t>
      </w:r>
      <w:r>
        <w:t xml:space="preserve"> </w:t>
      </w:r>
      <w:r w:rsidRPr="00841523">
        <w:t>podle</w:t>
      </w:r>
      <w:r>
        <w:t xml:space="preserve"> </w:t>
      </w:r>
      <w:r w:rsidRPr="00841523">
        <w:t>§</w:t>
      </w:r>
      <w:r>
        <w:t xml:space="preserve"> </w:t>
      </w:r>
      <w:r w:rsidRPr="00841523">
        <w:t>50</w:t>
      </w:r>
      <w:r>
        <w:t xml:space="preserve"> </w:t>
      </w:r>
      <w:r w:rsidRPr="00841523">
        <w:t>odst.</w:t>
      </w:r>
      <w:r>
        <w:t xml:space="preserve"> </w:t>
      </w:r>
      <w:r w:rsidRPr="00841523">
        <w:t>1</w:t>
      </w:r>
      <w:r>
        <w:t xml:space="preserve"> </w:t>
      </w:r>
      <w:r w:rsidRPr="00841523">
        <w:t>písm.</w:t>
      </w:r>
      <w:r>
        <w:t xml:space="preserve"> </w:t>
      </w:r>
      <w:r w:rsidRPr="00841523">
        <w:t>e).</w:t>
      </w:r>
    </w:p>
    <w:p w14:paraId="5D59AC61" w14:textId="77777777" w:rsidR="00C62C41" w:rsidRDefault="00C62C41" w:rsidP="009876EF">
      <w:pPr>
        <w:pStyle w:val="Textparagrafu"/>
        <w:tabs>
          <w:tab w:val="left" w:pos="392"/>
          <w:tab w:val="left" w:pos="840"/>
        </w:tabs>
        <w:spacing w:before="120" w:after="120"/>
      </w:pPr>
      <w:r w:rsidRPr="00841523">
        <w:t>(3)</w:t>
      </w:r>
      <w:r>
        <w:t xml:space="preserve"> </w:t>
      </w:r>
      <w:r w:rsidRPr="00841523">
        <w:t>Provozovatel</w:t>
      </w:r>
      <w:r>
        <w:t xml:space="preserve"> </w:t>
      </w:r>
      <w:r w:rsidRPr="00841523">
        <w:t>kolektivního</w:t>
      </w:r>
      <w:r>
        <w:t xml:space="preserve"> </w:t>
      </w:r>
      <w:r w:rsidRPr="00841523">
        <w:t>systému</w:t>
      </w:r>
      <w:r>
        <w:t xml:space="preserve"> </w:t>
      </w:r>
      <w:r w:rsidRPr="00841523">
        <w:t>je</w:t>
      </w:r>
      <w:r>
        <w:t xml:space="preserve"> </w:t>
      </w:r>
      <w:r w:rsidRPr="00841523">
        <w:t>dále</w:t>
      </w:r>
      <w:r>
        <w:t xml:space="preserve"> </w:t>
      </w:r>
      <w:r w:rsidRPr="00841523">
        <w:t>povinen</w:t>
      </w:r>
      <w:r>
        <w:t xml:space="preserve"> </w:t>
      </w:r>
      <w:r w:rsidRPr="00841523">
        <w:t>zajistit,</w:t>
      </w:r>
      <w:r>
        <w:t xml:space="preserve"> </w:t>
      </w:r>
      <w:r w:rsidRPr="00841523">
        <w:t>aby</w:t>
      </w:r>
      <w:r>
        <w:t xml:space="preserve"> </w:t>
      </w:r>
      <w:r w:rsidRPr="00841523">
        <w:t>auditor</w:t>
      </w:r>
      <w:r>
        <w:t xml:space="preserve"> </w:t>
      </w:r>
      <w:r w:rsidRPr="00841523">
        <w:t>ověřil</w:t>
      </w:r>
      <w:r>
        <w:t xml:space="preserve"> </w:t>
      </w:r>
      <w:r w:rsidRPr="00841523">
        <w:t>správnost</w:t>
      </w:r>
      <w:r>
        <w:t xml:space="preserve"> </w:t>
      </w:r>
      <w:r w:rsidRPr="00841523">
        <w:t>a</w:t>
      </w:r>
      <w:r>
        <w:t xml:space="preserve"> </w:t>
      </w:r>
      <w:r w:rsidRPr="00841523">
        <w:t>úplnost</w:t>
      </w:r>
      <w:r>
        <w:t xml:space="preserve"> </w:t>
      </w:r>
      <w:r w:rsidRPr="00841523">
        <w:t>údajů</w:t>
      </w:r>
      <w:r>
        <w:t xml:space="preserve"> </w:t>
      </w:r>
      <w:r w:rsidRPr="00841523">
        <w:t>o</w:t>
      </w:r>
      <w:r>
        <w:t xml:space="preserve"> </w:t>
      </w:r>
      <w:r w:rsidRPr="00841523">
        <w:t>množství</w:t>
      </w:r>
      <w:r>
        <w:t xml:space="preserve"> </w:t>
      </w:r>
      <w:r w:rsidRPr="00841523">
        <w:t>výrobků</w:t>
      </w:r>
      <w:r>
        <w:t xml:space="preserve"> </w:t>
      </w:r>
      <w:r w:rsidRPr="00841523">
        <w:t>s</w:t>
      </w:r>
      <w:r>
        <w:t xml:space="preserve"> </w:t>
      </w:r>
      <w:r w:rsidRPr="00841523">
        <w:t>ukončenou</w:t>
      </w:r>
      <w:r>
        <w:t xml:space="preserve"> </w:t>
      </w:r>
      <w:r w:rsidRPr="00841523">
        <w:t>životností,</w:t>
      </w:r>
      <w:r>
        <w:t xml:space="preserve"> </w:t>
      </w:r>
      <w:r w:rsidRPr="00841523">
        <w:t>které</w:t>
      </w:r>
      <w:r>
        <w:t xml:space="preserve"> </w:t>
      </w:r>
      <w:r w:rsidRPr="00841523">
        <w:t>byly</w:t>
      </w:r>
      <w:r>
        <w:t xml:space="preserve"> </w:t>
      </w:r>
      <w:r w:rsidRPr="00841523">
        <w:t>zpětně</w:t>
      </w:r>
      <w:r>
        <w:t xml:space="preserve"> </w:t>
      </w:r>
      <w:r w:rsidRPr="00841523">
        <w:t>odebrány,</w:t>
      </w:r>
      <w:r>
        <w:t xml:space="preserve"> </w:t>
      </w:r>
      <w:r w:rsidRPr="00841523">
        <w:t>svezeny,</w:t>
      </w:r>
      <w:r>
        <w:t xml:space="preserve"> </w:t>
      </w:r>
      <w:r w:rsidRPr="00841523">
        <w:t>zpracovány</w:t>
      </w:r>
      <w:r>
        <w:t xml:space="preserve"> </w:t>
      </w:r>
      <w:r w:rsidRPr="00841523">
        <w:t>nebo</w:t>
      </w:r>
      <w:r>
        <w:t xml:space="preserve"> </w:t>
      </w:r>
      <w:r w:rsidRPr="00841523">
        <w:t>s</w:t>
      </w:r>
      <w:r>
        <w:t xml:space="preserve"> </w:t>
      </w:r>
      <w:r w:rsidRPr="00841523">
        <w:t>nimiž</w:t>
      </w:r>
      <w:r>
        <w:t xml:space="preserve"> </w:t>
      </w:r>
      <w:r w:rsidRPr="00841523">
        <w:t>bylo</w:t>
      </w:r>
      <w:r>
        <w:t xml:space="preserve"> </w:t>
      </w:r>
      <w:r w:rsidRPr="00841523">
        <w:t>jiným</w:t>
      </w:r>
      <w:r>
        <w:t xml:space="preserve"> </w:t>
      </w:r>
      <w:r w:rsidRPr="00841523">
        <w:t>způsobem</w:t>
      </w:r>
      <w:r>
        <w:t xml:space="preserve"> </w:t>
      </w:r>
      <w:r w:rsidRPr="00841523">
        <w:t>nakládáno,</w:t>
      </w:r>
      <w:r>
        <w:t xml:space="preserve"> </w:t>
      </w:r>
      <w:r w:rsidRPr="00841523">
        <w:t>včetně</w:t>
      </w:r>
      <w:r>
        <w:t xml:space="preserve"> </w:t>
      </w:r>
      <w:r w:rsidRPr="00841523">
        <w:t>údajů</w:t>
      </w:r>
      <w:r>
        <w:t xml:space="preserve"> </w:t>
      </w:r>
      <w:r w:rsidRPr="00841523">
        <w:t>o</w:t>
      </w:r>
      <w:r>
        <w:t xml:space="preserve"> </w:t>
      </w:r>
      <w:r w:rsidRPr="00841523">
        <w:t>způsobu</w:t>
      </w:r>
      <w:r>
        <w:t xml:space="preserve"> </w:t>
      </w:r>
      <w:r w:rsidRPr="00841523">
        <w:t>nakládání</w:t>
      </w:r>
      <w:r>
        <w:t xml:space="preserve"> </w:t>
      </w:r>
      <w:r w:rsidRPr="00841523">
        <w:t>s</w:t>
      </w:r>
      <w:r>
        <w:t xml:space="preserve"> </w:t>
      </w:r>
      <w:r w:rsidRPr="00841523">
        <w:t>těmito</w:t>
      </w:r>
      <w:r>
        <w:t xml:space="preserve"> </w:t>
      </w:r>
      <w:r w:rsidRPr="00841523">
        <w:t>výrobky</w:t>
      </w:r>
      <w:r>
        <w:t xml:space="preserve"> </w:t>
      </w:r>
      <w:r w:rsidRPr="00841523">
        <w:t>s</w:t>
      </w:r>
      <w:r>
        <w:t xml:space="preserve"> </w:t>
      </w:r>
      <w:r w:rsidRPr="00841523">
        <w:t>ukončenou</w:t>
      </w:r>
      <w:r>
        <w:t xml:space="preserve"> </w:t>
      </w:r>
      <w:r w:rsidRPr="00841523">
        <w:t>životností,</w:t>
      </w:r>
      <w:r>
        <w:t xml:space="preserve"> </w:t>
      </w:r>
      <w:r w:rsidRPr="00841523">
        <w:t>vykázaných</w:t>
      </w:r>
      <w:r>
        <w:t xml:space="preserve"> </w:t>
      </w:r>
      <w:r w:rsidRPr="00841523">
        <w:t>provozovateli</w:t>
      </w:r>
      <w:r>
        <w:t xml:space="preserve"> </w:t>
      </w:r>
      <w:r w:rsidRPr="00841523">
        <w:t>kolektivního</w:t>
      </w:r>
      <w:r>
        <w:t xml:space="preserve"> </w:t>
      </w:r>
      <w:r w:rsidRPr="00841523">
        <w:t>systému</w:t>
      </w:r>
      <w:r>
        <w:t xml:space="preserve"> </w:t>
      </w:r>
      <w:r w:rsidRPr="00841523">
        <w:t>osobami</w:t>
      </w:r>
      <w:r>
        <w:t xml:space="preserve"> </w:t>
      </w:r>
      <w:r w:rsidRPr="00841523">
        <w:t>uvedenými</w:t>
      </w:r>
      <w:r>
        <w:t xml:space="preserve"> </w:t>
      </w:r>
      <w:r w:rsidRPr="00841523">
        <w:t>v</w:t>
      </w:r>
      <w:r>
        <w:t xml:space="preserve"> </w:t>
      </w:r>
      <w:r w:rsidRPr="00841523">
        <w:t>§</w:t>
      </w:r>
      <w:r>
        <w:t xml:space="preserve"> </w:t>
      </w:r>
      <w:r w:rsidRPr="00841523">
        <w:t>50</w:t>
      </w:r>
      <w:r>
        <w:t xml:space="preserve"> </w:t>
      </w:r>
      <w:r w:rsidRPr="00841523">
        <w:t>odst.</w:t>
      </w:r>
      <w:r>
        <w:t xml:space="preserve"> </w:t>
      </w:r>
      <w:r w:rsidRPr="00841523">
        <w:t>1</w:t>
      </w:r>
      <w:r>
        <w:t xml:space="preserve"> </w:t>
      </w:r>
      <w:r w:rsidRPr="00841523">
        <w:t>písm.</w:t>
      </w:r>
      <w:r>
        <w:t xml:space="preserve"> </w:t>
      </w:r>
      <w:r w:rsidRPr="00841523">
        <w:t>c).</w:t>
      </w:r>
    </w:p>
    <w:p w14:paraId="5436EA9E" w14:textId="77777777" w:rsidR="00C62C41" w:rsidRDefault="00C62C41" w:rsidP="009876EF">
      <w:pPr>
        <w:pStyle w:val="Textparagrafu"/>
        <w:tabs>
          <w:tab w:val="left" w:pos="392"/>
          <w:tab w:val="left" w:pos="840"/>
        </w:tabs>
        <w:spacing w:before="120" w:after="120"/>
      </w:pPr>
      <w:r w:rsidRPr="00841523">
        <w:t>(4)</w:t>
      </w:r>
      <w:r>
        <w:t xml:space="preserve"> </w:t>
      </w:r>
      <w:r w:rsidRPr="00841523">
        <w:t>Provozovatel</w:t>
      </w:r>
      <w:r>
        <w:t xml:space="preserve"> </w:t>
      </w:r>
      <w:r w:rsidRPr="00841523">
        <w:t>kolektivního</w:t>
      </w:r>
      <w:r>
        <w:t xml:space="preserve"> </w:t>
      </w:r>
      <w:r w:rsidRPr="00841523">
        <w:t>systému</w:t>
      </w:r>
      <w:r>
        <w:t xml:space="preserve"> </w:t>
      </w:r>
      <w:r w:rsidRPr="00841523">
        <w:t>je</w:t>
      </w:r>
      <w:r>
        <w:t xml:space="preserve"> </w:t>
      </w:r>
      <w:r w:rsidRPr="00841523">
        <w:t>povinen</w:t>
      </w:r>
      <w:r>
        <w:t xml:space="preserve"> </w:t>
      </w:r>
      <w:r w:rsidRPr="00841523">
        <w:t>zajistit</w:t>
      </w:r>
      <w:r>
        <w:t xml:space="preserve"> </w:t>
      </w:r>
      <w:r w:rsidRPr="00841523">
        <w:t>ověření</w:t>
      </w:r>
      <w:r>
        <w:t xml:space="preserve"> </w:t>
      </w:r>
      <w:r w:rsidRPr="00841523">
        <w:t>podle</w:t>
      </w:r>
      <w:r>
        <w:t xml:space="preserve"> </w:t>
      </w:r>
      <w:r w:rsidRPr="00841523">
        <w:t>odstavců</w:t>
      </w:r>
      <w:r>
        <w:t xml:space="preserve"> </w:t>
      </w:r>
      <w:r w:rsidRPr="00841523">
        <w:t>2</w:t>
      </w:r>
      <w:r>
        <w:t xml:space="preserve"> </w:t>
      </w:r>
      <w:r w:rsidRPr="00841523">
        <w:t>a</w:t>
      </w:r>
      <w:r>
        <w:t xml:space="preserve"> </w:t>
      </w:r>
      <w:r w:rsidRPr="00841523">
        <w:t>3</w:t>
      </w:r>
      <w:r>
        <w:t xml:space="preserve"> </w:t>
      </w:r>
      <w:r w:rsidRPr="00841523">
        <w:t>v</w:t>
      </w:r>
      <w:r>
        <w:t xml:space="preserve"> </w:t>
      </w:r>
      <w:r w:rsidRPr="00841523">
        <w:t>každém</w:t>
      </w:r>
      <w:r>
        <w:t xml:space="preserve"> </w:t>
      </w:r>
      <w:r w:rsidRPr="00841523">
        <w:t>kalendářním</w:t>
      </w:r>
      <w:r>
        <w:t xml:space="preserve"> </w:t>
      </w:r>
      <w:r w:rsidRPr="00841523">
        <w:t>roce,</w:t>
      </w:r>
      <w:r>
        <w:t xml:space="preserve"> </w:t>
      </w:r>
      <w:r w:rsidRPr="00841523">
        <w:t>ve</w:t>
      </w:r>
      <w:r>
        <w:t xml:space="preserve"> </w:t>
      </w:r>
      <w:r w:rsidRPr="00841523">
        <w:t>kterém</w:t>
      </w:r>
      <w:r>
        <w:t xml:space="preserve"> </w:t>
      </w:r>
      <w:r w:rsidRPr="00841523">
        <w:t>je</w:t>
      </w:r>
      <w:r>
        <w:t xml:space="preserve"> </w:t>
      </w:r>
      <w:r w:rsidRPr="00841523">
        <w:t>oprávněn</w:t>
      </w:r>
      <w:r>
        <w:t xml:space="preserve"> </w:t>
      </w:r>
      <w:r w:rsidRPr="00841523">
        <w:t>k</w:t>
      </w:r>
      <w:r>
        <w:t xml:space="preserve"> </w:t>
      </w:r>
      <w:r w:rsidRPr="00841523">
        <w:t>provozování</w:t>
      </w:r>
      <w:r>
        <w:t xml:space="preserve"> </w:t>
      </w:r>
      <w:r w:rsidRPr="00841523">
        <w:t>kolektivního</w:t>
      </w:r>
      <w:r>
        <w:t xml:space="preserve"> </w:t>
      </w:r>
      <w:r w:rsidRPr="00841523">
        <w:t>systému.</w:t>
      </w:r>
      <w:r>
        <w:t xml:space="preserve"> </w:t>
      </w:r>
      <w:r w:rsidRPr="00841523">
        <w:t>Zprávu</w:t>
      </w:r>
      <w:r>
        <w:t xml:space="preserve"> </w:t>
      </w:r>
      <w:r w:rsidRPr="001B08DB">
        <w:rPr>
          <w:strike/>
        </w:rPr>
        <w:t>o ověření účetní závěrky</w:t>
      </w:r>
      <w:r>
        <w:t xml:space="preserve"> </w:t>
      </w:r>
      <w:r w:rsidRPr="00552AEB">
        <w:rPr>
          <w:b/>
        </w:rPr>
        <w:t>auditora o povinném auditu</w:t>
      </w:r>
      <w:r w:rsidRPr="00841523">
        <w:t xml:space="preserve"> podle</w:t>
      </w:r>
      <w:r>
        <w:t xml:space="preserve"> </w:t>
      </w:r>
      <w:r w:rsidRPr="00841523">
        <w:t>odstavce</w:t>
      </w:r>
      <w:r>
        <w:t xml:space="preserve"> </w:t>
      </w:r>
      <w:r w:rsidRPr="00841523">
        <w:t>1</w:t>
      </w:r>
      <w:r>
        <w:t xml:space="preserve"> </w:t>
      </w:r>
      <w:r w:rsidRPr="00841523">
        <w:t>a</w:t>
      </w:r>
      <w:r>
        <w:t xml:space="preserve"> </w:t>
      </w:r>
      <w:r w:rsidRPr="00841523">
        <w:t>zprávu</w:t>
      </w:r>
      <w:r>
        <w:t xml:space="preserve"> </w:t>
      </w:r>
      <w:r w:rsidRPr="00841523">
        <w:t>či</w:t>
      </w:r>
      <w:r>
        <w:t xml:space="preserve"> </w:t>
      </w:r>
      <w:r w:rsidRPr="00841523">
        <w:t>zprávy</w:t>
      </w:r>
      <w:r>
        <w:t xml:space="preserve"> </w:t>
      </w:r>
      <w:r w:rsidRPr="00841523">
        <w:t>o</w:t>
      </w:r>
      <w:r>
        <w:t xml:space="preserve"> </w:t>
      </w:r>
      <w:r w:rsidRPr="00841523">
        <w:t>ověření</w:t>
      </w:r>
      <w:r>
        <w:t xml:space="preserve"> </w:t>
      </w:r>
      <w:r w:rsidRPr="00841523">
        <w:t>podle</w:t>
      </w:r>
      <w:r>
        <w:t xml:space="preserve"> </w:t>
      </w:r>
      <w:r w:rsidRPr="00841523">
        <w:t>odstavců</w:t>
      </w:r>
      <w:r>
        <w:t xml:space="preserve"> </w:t>
      </w:r>
      <w:r w:rsidRPr="00841523">
        <w:t>2</w:t>
      </w:r>
      <w:r>
        <w:t xml:space="preserve"> </w:t>
      </w:r>
      <w:r w:rsidRPr="00841523">
        <w:t>a</w:t>
      </w:r>
      <w:r>
        <w:t xml:space="preserve"> </w:t>
      </w:r>
      <w:r w:rsidRPr="00841523">
        <w:t>3</w:t>
      </w:r>
      <w:r>
        <w:t xml:space="preserve"> </w:t>
      </w:r>
      <w:r w:rsidRPr="00841523">
        <w:t>je</w:t>
      </w:r>
      <w:r>
        <w:t xml:space="preserve"> </w:t>
      </w:r>
      <w:r w:rsidRPr="00841523">
        <w:t>provozovatel</w:t>
      </w:r>
      <w:r>
        <w:t xml:space="preserve"> </w:t>
      </w:r>
      <w:r w:rsidRPr="00841523">
        <w:t>kolektivního</w:t>
      </w:r>
      <w:r>
        <w:t xml:space="preserve"> </w:t>
      </w:r>
      <w:r w:rsidRPr="00841523">
        <w:t>systému</w:t>
      </w:r>
      <w:r>
        <w:t xml:space="preserve"> </w:t>
      </w:r>
      <w:r w:rsidRPr="00841523">
        <w:t>povinen</w:t>
      </w:r>
      <w:r>
        <w:t xml:space="preserve"> </w:t>
      </w:r>
      <w:r w:rsidRPr="00841523">
        <w:t>ministerstvu</w:t>
      </w:r>
      <w:r>
        <w:t xml:space="preserve"> </w:t>
      </w:r>
      <w:r w:rsidRPr="00841523">
        <w:t>zaslat</w:t>
      </w:r>
      <w:r>
        <w:t xml:space="preserve"> </w:t>
      </w:r>
      <w:r w:rsidRPr="00841523">
        <w:t>nejpozději</w:t>
      </w:r>
      <w:r>
        <w:t xml:space="preserve"> </w:t>
      </w:r>
      <w:r w:rsidRPr="00841523">
        <w:t>do</w:t>
      </w:r>
      <w:r>
        <w:t xml:space="preserve"> </w:t>
      </w:r>
      <w:r w:rsidRPr="00841523">
        <w:t>6</w:t>
      </w:r>
      <w:r>
        <w:t xml:space="preserve"> </w:t>
      </w:r>
      <w:r w:rsidRPr="00841523">
        <w:t>měsíců</w:t>
      </w:r>
      <w:r>
        <w:t xml:space="preserve"> </w:t>
      </w:r>
      <w:r w:rsidRPr="00841523">
        <w:t>od</w:t>
      </w:r>
      <w:r>
        <w:t xml:space="preserve"> </w:t>
      </w:r>
      <w:r w:rsidRPr="00841523">
        <w:t>skončení</w:t>
      </w:r>
      <w:r>
        <w:t xml:space="preserve"> </w:t>
      </w:r>
      <w:r w:rsidRPr="00841523">
        <w:t>ověřovaného</w:t>
      </w:r>
      <w:r>
        <w:t xml:space="preserve"> </w:t>
      </w:r>
      <w:r w:rsidRPr="00841523">
        <w:t>období.</w:t>
      </w:r>
    </w:p>
    <w:p w14:paraId="59D38005" w14:textId="77777777" w:rsidR="00C62C41" w:rsidRDefault="00C62C41" w:rsidP="009876EF">
      <w:pPr>
        <w:pStyle w:val="Textparagrafu"/>
        <w:tabs>
          <w:tab w:val="left" w:pos="392"/>
          <w:tab w:val="left" w:pos="840"/>
        </w:tabs>
        <w:spacing w:before="120" w:after="120"/>
      </w:pPr>
      <w:r w:rsidRPr="00841523">
        <w:t>(5)</w:t>
      </w:r>
      <w:r>
        <w:t xml:space="preserve"> </w:t>
      </w:r>
      <w:r w:rsidRPr="00841523">
        <w:t>Výrobci</w:t>
      </w:r>
      <w:r>
        <w:t xml:space="preserve"> </w:t>
      </w:r>
      <w:r w:rsidRPr="00841523">
        <w:t>a</w:t>
      </w:r>
      <w:r>
        <w:t xml:space="preserve"> </w:t>
      </w:r>
      <w:r w:rsidRPr="00841523">
        <w:t>osoby</w:t>
      </w:r>
      <w:r>
        <w:t xml:space="preserve"> </w:t>
      </w:r>
      <w:r w:rsidRPr="00841523">
        <w:t>uvedené</w:t>
      </w:r>
      <w:r>
        <w:t xml:space="preserve"> </w:t>
      </w:r>
      <w:r w:rsidRPr="00841523">
        <w:t>v</w:t>
      </w:r>
      <w:r>
        <w:t xml:space="preserve"> </w:t>
      </w:r>
      <w:r w:rsidRPr="00841523">
        <w:t>§</w:t>
      </w:r>
      <w:r>
        <w:t xml:space="preserve"> </w:t>
      </w:r>
      <w:r w:rsidRPr="00841523">
        <w:t>50</w:t>
      </w:r>
      <w:r>
        <w:t xml:space="preserve"> </w:t>
      </w:r>
      <w:r w:rsidRPr="00841523">
        <w:t>odst.</w:t>
      </w:r>
      <w:r>
        <w:t xml:space="preserve"> </w:t>
      </w:r>
      <w:r w:rsidRPr="00841523">
        <w:t>1</w:t>
      </w:r>
      <w:r>
        <w:t xml:space="preserve"> </w:t>
      </w:r>
      <w:r w:rsidRPr="00841523">
        <w:t>písm.</w:t>
      </w:r>
      <w:r>
        <w:t xml:space="preserve"> </w:t>
      </w:r>
      <w:r w:rsidRPr="00841523">
        <w:t>c)</w:t>
      </w:r>
      <w:r>
        <w:t xml:space="preserve"> </w:t>
      </w:r>
      <w:r w:rsidRPr="00841523">
        <w:t>jsou</w:t>
      </w:r>
      <w:r>
        <w:t xml:space="preserve"> </w:t>
      </w:r>
      <w:r w:rsidRPr="00841523">
        <w:t>povinni</w:t>
      </w:r>
      <w:r>
        <w:t xml:space="preserve"> </w:t>
      </w:r>
      <w:r w:rsidRPr="00841523">
        <w:t>poskytnout</w:t>
      </w:r>
      <w:r>
        <w:t xml:space="preserve"> </w:t>
      </w:r>
      <w:r w:rsidRPr="00841523">
        <w:t>provozovateli</w:t>
      </w:r>
      <w:r>
        <w:t xml:space="preserve"> </w:t>
      </w:r>
      <w:r w:rsidRPr="00841523">
        <w:t>kolektivního</w:t>
      </w:r>
      <w:r>
        <w:t xml:space="preserve"> </w:t>
      </w:r>
      <w:r w:rsidRPr="00841523">
        <w:t>systému</w:t>
      </w:r>
      <w:r>
        <w:t xml:space="preserve"> </w:t>
      </w:r>
      <w:r w:rsidRPr="00841523">
        <w:t>nezbytnou</w:t>
      </w:r>
      <w:r>
        <w:t xml:space="preserve"> </w:t>
      </w:r>
      <w:r w:rsidRPr="00841523">
        <w:t>součinnost</w:t>
      </w:r>
      <w:r>
        <w:t xml:space="preserve"> </w:t>
      </w:r>
      <w:r w:rsidRPr="00841523">
        <w:t>za</w:t>
      </w:r>
      <w:r>
        <w:t xml:space="preserve"> </w:t>
      </w:r>
      <w:r w:rsidRPr="00841523">
        <w:t>účelem</w:t>
      </w:r>
      <w:r>
        <w:t xml:space="preserve"> </w:t>
      </w:r>
      <w:r w:rsidRPr="00841523">
        <w:t>splnění</w:t>
      </w:r>
      <w:r>
        <w:t xml:space="preserve"> </w:t>
      </w:r>
      <w:r w:rsidRPr="00841523">
        <w:t>jeho</w:t>
      </w:r>
      <w:r>
        <w:t xml:space="preserve"> </w:t>
      </w:r>
      <w:r w:rsidRPr="00841523">
        <w:t>povinnosti</w:t>
      </w:r>
      <w:r>
        <w:t xml:space="preserve"> </w:t>
      </w:r>
      <w:r w:rsidRPr="00841523">
        <w:t>stanovené</w:t>
      </w:r>
      <w:r>
        <w:t xml:space="preserve"> </w:t>
      </w:r>
      <w:r w:rsidRPr="00841523">
        <w:t>v</w:t>
      </w:r>
      <w:r>
        <w:t xml:space="preserve"> </w:t>
      </w:r>
      <w:r w:rsidRPr="00841523">
        <w:t>odstavcích</w:t>
      </w:r>
      <w:r>
        <w:t xml:space="preserve"> </w:t>
      </w:r>
      <w:r w:rsidRPr="00841523">
        <w:t>2</w:t>
      </w:r>
      <w:r>
        <w:t xml:space="preserve"> </w:t>
      </w:r>
      <w:r w:rsidRPr="00841523">
        <w:t>a</w:t>
      </w:r>
      <w:r>
        <w:t xml:space="preserve"> </w:t>
      </w:r>
      <w:r w:rsidRPr="00841523">
        <w:t>3.</w:t>
      </w:r>
    </w:p>
    <w:p w14:paraId="21E32ABE" w14:textId="77777777" w:rsidR="00C62C41" w:rsidRPr="00841523" w:rsidRDefault="00C62C41" w:rsidP="009876EF">
      <w:pPr>
        <w:pStyle w:val="Textparagrafu"/>
        <w:tabs>
          <w:tab w:val="left" w:pos="392"/>
          <w:tab w:val="left" w:pos="840"/>
        </w:tabs>
        <w:spacing w:before="120" w:after="120"/>
      </w:pPr>
      <w:r w:rsidRPr="00841523">
        <w:t>(6)</w:t>
      </w:r>
      <w:r>
        <w:t xml:space="preserve"> </w:t>
      </w:r>
      <w:r w:rsidRPr="00841523">
        <w:t>Ministerstvo</w:t>
      </w:r>
      <w:r>
        <w:t xml:space="preserve"> </w:t>
      </w:r>
      <w:r w:rsidRPr="00841523">
        <w:t>stanoví</w:t>
      </w:r>
      <w:r>
        <w:t xml:space="preserve"> </w:t>
      </w:r>
      <w:r w:rsidRPr="00841523">
        <w:t>vyhláškou</w:t>
      </w:r>
      <w:r>
        <w:t xml:space="preserve"> </w:t>
      </w:r>
      <w:r w:rsidRPr="00841523">
        <w:t>minimální</w:t>
      </w:r>
      <w:r>
        <w:t xml:space="preserve"> </w:t>
      </w:r>
      <w:r w:rsidRPr="00841523">
        <w:t>rozsah</w:t>
      </w:r>
      <w:r>
        <w:t xml:space="preserve"> </w:t>
      </w:r>
      <w:r w:rsidRPr="00841523">
        <w:t>ověření</w:t>
      </w:r>
      <w:r>
        <w:t xml:space="preserve"> </w:t>
      </w:r>
      <w:r w:rsidRPr="00841523">
        <w:t>podle</w:t>
      </w:r>
      <w:r>
        <w:t xml:space="preserve"> </w:t>
      </w:r>
      <w:r w:rsidRPr="00841523">
        <w:t>odstavce</w:t>
      </w:r>
      <w:r>
        <w:t xml:space="preserve"> </w:t>
      </w:r>
      <w:r w:rsidRPr="00841523">
        <w:t>2</w:t>
      </w:r>
      <w:r>
        <w:t xml:space="preserve"> </w:t>
      </w:r>
      <w:r w:rsidRPr="00841523">
        <w:t>písm.</w:t>
      </w:r>
      <w:r>
        <w:t xml:space="preserve"> </w:t>
      </w:r>
      <w:r w:rsidRPr="00841523">
        <w:t>a)</w:t>
      </w:r>
      <w:r>
        <w:t xml:space="preserve"> </w:t>
      </w:r>
      <w:r w:rsidRPr="00841523">
        <w:t>a</w:t>
      </w:r>
      <w:r>
        <w:t xml:space="preserve"> </w:t>
      </w:r>
      <w:r w:rsidRPr="00841523">
        <w:t>odstavce</w:t>
      </w:r>
      <w:r>
        <w:t xml:space="preserve"> </w:t>
      </w:r>
      <w:r w:rsidRPr="00841523">
        <w:t>3.</w:t>
      </w:r>
    </w:p>
    <w:p w14:paraId="22EB7638" w14:textId="77777777" w:rsidR="00C62C41" w:rsidRDefault="00C62C41" w:rsidP="009876EF">
      <w:pPr>
        <w:keepNext/>
        <w:keepLines/>
        <w:tabs>
          <w:tab w:val="left" w:pos="851"/>
        </w:tabs>
        <w:spacing w:after="120"/>
        <w:ind w:firstLine="0"/>
        <w:jc w:val="center"/>
        <w:outlineLvl w:val="0"/>
      </w:pPr>
      <w:r>
        <w:lastRenderedPageBreak/>
        <w:t>***</w:t>
      </w:r>
    </w:p>
    <w:p w14:paraId="3E2308DA" w14:textId="77777777" w:rsidR="00C62C41" w:rsidRDefault="00C62C41" w:rsidP="009876EF">
      <w:pPr>
        <w:pStyle w:val="Textparagrafu"/>
        <w:keepNext/>
        <w:keepLines/>
        <w:tabs>
          <w:tab w:val="left" w:pos="392"/>
          <w:tab w:val="left" w:pos="840"/>
        </w:tabs>
        <w:spacing w:after="120"/>
        <w:ind w:firstLine="0"/>
        <w:jc w:val="center"/>
      </w:pPr>
      <w:r w:rsidRPr="00841523">
        <w:t>§</w:t>
      </w:r>
      <w:r>
        <w:t xml:space="preserve"> </w:t>
      </w:r>
      <w:r w:rsidRPr="00841523">
        <w:t>55</w:t>
      </w:r>
    </w:p>
    <w:p w14:paraId="61176A1C" w14:textId="77777777" w:rsidR="00C62C41" w:rsidRPr="009A3C5E" w:rsidRDefault="00C62C41" w:rsidP="009876EF">
      <w:pPr>
        <w:pStyle w:val="Textparagrafu"/>
        <w:keepNext/>
        <w:keepLines/>
        <w:tabs>
          <w:tab w:val="left" w:pos="392"/>
          <w:tab w:val="left" w:pos="840"/>
        </w:tabs>
        <w:spacing w:after="120"/>
        <w:ind w:firstLine="0"/>
        <w:jc w:val="center"/>
        <w:rPr>
          <w:b/>
        </w:rPr>
      </w:pPr>
      <w:r w:rsidRPr="009A3C5E">
        <w:rPr>
          <w:b/>
        </w:rPr>
        <w:t>Zánik oprávnění k provozování kolektivního systému</w:t>
      </w:r>
    </w:p>
    <w:p w14:paraId="5A4EA8FC" w14:textId="77777777" w:rsidR="00C62C41" w:rsidRDefault="00C62C41" w:rsidP="009876EF">
      <w:pPr>
        <w:pStyle w:val="Textparagrafu"/>
        <w:keepNext/>
        <w:keepLines/>
        <w:tabs>
          <w:tab w:val="left" w:pos="392"/>
          <w:tab w:val="left" w:pos="840"/>
        </w:tabs>
        <w:spacing w:after="120"/>
        <w:ind w:firstLine="426"/>
      </w:pPr>
      <w:r w:rsidRPr="00841523">
        <w:t>(1)</w:t>
      </w:r>
      <w:r>
        <w:t xml:space="preserve"> </w:t>
      </w:r>
      <w:r w:rsidRPr="00841523">
        <w:t>Oprávnění</w:t>
      </w:r>
      <w:r>
        <w:t xml:space="preserve"> </w:t>
      </w:r>
      <w:r w:rsidRPr="00841523">
        <w:t>k</w:t>
      </w:r>
      <w:r>
        <w:t xml:space="preserve"> </w:t>
      </w:r>
      <w:r w:rsidRPr="00841523">
        <w:t>provozování</w:t>
      </w:r>
      <w:r>
        <w:t xml:space="preserve"> </w:t>
      </w:r>
      <w:r w:rsidRPr="00841523">
        <w:t>kolektivního</w:t>
      </w:r>
      <w:r>
        <w:t xml:space="preserve"> </w:t>
      </w:r>
      <w:r w:rsidRPr="00841523">
        <w:t>systému</w:t>
      </w:r>
      <w:r>
        <w:t xml:space="preserve"> </w:t>
      </w:r>
      <w:r w:rsidRPr="00841523">
        <w:t>zaniká</w:t>
      </w:r>
      <w:r>
        <w:t xml:space="preserve"> </w:t>
      </w:r>
      <w:r w:rsidRPr="00841523">
        <w:t>dnem</w:t>
      </w:r>
    </w:p>
    <w:p w14:paraId="16B5AC35" w14:textId="77777777" w:rsidR="00C62C41" w:rsidRDefault="00C62C41" w:rsidP="003058E0">
      <w:pPr>
        <w:pStyle w:val="Textparagrafu"/>
        <w:tabs>
          <w:tab w:val="left" w:pos="392"/>
          <w:tab w:val="left" w:pos="840"/>
        </w:tabs>
        <w:spacing w:before="0"/>
        <w:ind w:left="426" w:hanging="426"/>
      </w:pPr>
      <w:r w:rsidRPr="00841523">
        <w:t>a)</w:t>
      </w:r>
      <w:r>
        <w:tab/>
      </w:r>
      <w:r w:rsidRPr="00841523">
        <w:t>zrušení</w:t>
      </w:r>
      <w:r>
        <w:t xml:space="preserve"> </w:t>
      </w:r>
      <w:r w:rsidRPr="00841523">
        <w:t>provozovatele</w:t>
      </w:r>
      <w:r>
        <w:t xml:space="preserve"> </w:t>
      </w:r>
      <w:r w:rsidRPr="00841523">
        <w:t>kolektivního</w:t>
      </w:r>
      <w:r>
        <w:t xml:space="preserve"> </w:t>
      </w:r>
      <w:r w:rsidRPr="00841523">
        <w:t>systému,</w:t>
      </w:r>
    </w:p>
    <w:p w14:paraId="529C2CDE" w14:textId="77777777" w:rsidR="00C62C41" w:rsidRDefault="00C62C41" w:rsidP="003058E0">
      <w:pPr>
        <w:pStyle w:val="Textparagrafu"/>
        <w:tabs>
          <w:tab w:val="left" w:pos="392"/>
          <w:tab w:val="left" w:pos="840"/>
        </w:tabs>
        <w:spacing w:before="0"/>
        <w:ind w:left="426" w:hanging="426"/>
      </w:pPr>
      <w:r w:rsidRPr="00841523">
        <w:t>b)</w:t>
      </w:r>
      <w:r>
        <w:tab/>
      </w:r>
      <w:r w:rsidRPr="00841523">
        <w:t>účinnosti</w:t>
      </w:r>
      <w:r>
        <w:t xml:space="preserve"> </w:t>
      </w:r>
      <w:r w:rsidRPr="00841523">
        <w:t>přeměny</w:t>
      </w:r>
      <w:r>
        <w:t xml:space="preserve"> </w:t>
      </w:r>
      <w:r w:rsidRPr="00841523">
        <w:t>provozovatele</w:t>
      </w:r>
      <w:r>
        <w:t xml:space="preserve"> </w:t>
      </w:r>
      <w:r w:rsidRPr="00841523">
        <w:t>kolektivního</w:t>
      </w:r>
      <w:r>
        <w:t xml:space="preserve"> </w:t>
      </w:r>
      <w:r w:rsidRPr="00841523">
        <w:t>systému,</w:t>
      </w:r>
      <w:r>
        <w:t xml:space="preserve"> </w:t>
      </w:r>
      <w:r w:rsidRPr="00841523">
        <w:t>pokud</w:t>
      </w:r>
      <w:r>
        <w:t xml:space="preserve"> </w:t>
      </w:r>
      <w:r w:rsidRPr="00841523">
        <w:t>provozovatel</w:t>
      </w:r>
      <w:r>
        <w:t xml:space="preserve"> </w:t>
      </w:r>
      <w:r w:rsidRPr="00841523">
        <w:t>kolektivního</w:t>
      </w:r>
      <w:r>
        <w:t xml:space="preserve"> </w:t>
      </w:r>
      <w:r w:rsidRPr="00841523">
        <w:t>systému</w:t>
      </w:r>
      <w:r>
        <w:t xml:space="preserve"> </w:t>
      </w:r>
      <w:r w:rsidRPr="00841523">
        <w:t>mění</w:t>
      </w:r>
      <w:r>
        <w:t xml:space="preserve"> </w:t>
      </w:r>
      <w:r w:rsidRPr="00841523">
        <w:t>právní</w:t>
      </w:r>
      <w:r>
        <w:t xml:space="preserve"> </w:t>
      </w:r>
      <w:r w:rsidRPr="00841523">
        <w:t>formu</w:t>
      </w:r>
      <w:r>
        <w:t xml:space="preserve"> </w:t>
      </w:r>
      <w:r w:rsidRPr="00841523">
        <w:t>na</w:t>
      </w:r>
      <w:r>
        <w:t xml:space="preserve"> </w:t>
      </w:r>
      <w:r w:rsidRPr="00841523">
        <w:t>osobní</w:t>
      </w:r>
      <w:r>
        <w:t xml:space="preserve"> </w:t>
      </w:r>
      <w:r w:rsidRPr="00841523">
        <w:t>společnost</w:t>
      </w:r>
      <w:r>
        <w:t xml:space="preserve"> </w:t>
      </w:r>
      <w:r w:rsidRPr="00841523">
        <w:t>nebo</w:t>
      </w:r>
      <w:r>
        <w:t xml:space="preserve"> </w:t>
      </w:r>
      <w:r w:rsidRPr="00841523">
        <w:t>družstvo,</w:t>
      </w:r>
    </w:p>
    <w:p w14:paraId="4C7222A7" w14:textId="77777777" w:rsidR="00C62C41" w:rsidRDefault="00C62C41" w:rsidP="003058E0">
      <w:pPr>
        <w:pStyle w:val="Textparagrafu"/>
        <w:tabs>
          <w:tab w:val="left" w:pos="392"/>
          <w:tab w:val="left" w:pos="840"/>
        </w:tabs>
        <w:spacing w:before="0"/>
        <w:ind w:left="426" w:hanging="426"/>
      </w:pPr>
      <w:r w:rsidRPr="00841523">
        <w:t>c)</w:t>
      </w:r>
      <w:r>
        <w:tab/>
      </w:r>
      <w:r w:rsidRPr="00841523">
        <w:t>účinnosti</w:t>
      </w:r>
      <w:r>
        <w:t xml:space="preserve"> </w:t>
      </w:r>
      <w:r w:rsidRPr="00841523">
        <w:t>smlouvy</w:t>
      </w:r>
      <w:r>
        <w:t xml:space="preserve"> </w:t>
      </w:r>
      <w:r w:rsidRPr="00841523">
        <w:t>o</w:t>
      </w:r>
      <w:r>
        <w:t xml:space="preserve"> </w:t>
      </w:r>
      <w:r w:rsidRPr="00841523">
        <w:t>převodu</w:t>
      </w:r>
      <w:r>
        <w:t xml:space="preserve"> </w:t>
      </w:r>
      <w:r w:rsidRPr="00841523">
        <w:t>nebo</w:t>
      </w:r>
      <w:r>
        <w:t xml:space="preserve"> </w:t>
      </w:r>
      <w:r w:rsidRPr="00841523">
        <w:t>pachtu</w:t>
      </w:r>
      <w:r>
        <w:t xml:space="preserve"> </w:t>
      </w:r>
      <w:r w:rsidRPr="00841523">
        <w:t>obchodního</w:t>
      </w:r>
      <w:r>
        <w:t xml:space="preserve"> </w:t>
      </w:r>
      <w:r w:rsidRPr="00841523">
        <w:t>závodu</w:t>
      </w:r>
      <w:r>
        <w:t xml:space="preserve"> </w:t>
      </w:r>
      <w:r w:rsidRPr="00841523">
        <w:t>provozovatele</w:t>
      </w:r>
      <w:r>
        <w:t xml:space="preserve"> </w:t>
      </w:r>
      <w:r w:rsidRPr="00841523">
        <w:t>kolektivního</w:t>
      </w:r>
      <w:r>
        <w:t xml:space="preserve"> </w:t>
      </w:r>
      <w:r w:rsidRPr="00841523">
        <w:t>systému,</w:t>
      </w:r>
    </w:p>
    <w:p w14:paraId="51A850FC" w14:textId="77777777" w:rsidR="00C62C41" w:rsidRDefault="00C62C41" w:rsidP="003058E0">
      <w:pPr>
        <w:pStyle w:val="Textparagrafu"/>
        <w:tabs>
          <w:tab w:val="left" w:pos="392"/>
          <w:tab w:val="left" w:pos="840"/>
        </w:tabs>
        <w:spacing w:before="0"/>
        <w:ind w:left="426" w:hanging="426"/>
      </w:pPr>
      <w:r w:rsidRPr="00841523">
        <w:t>d)</w:t>
      </w:r>
      <w:r>
        <w:tab/>
      </w:r>
      <w:r w:rsidRPr="00841523">
        <w:t>nabytí</w:t>
      </w:r>
      <w:r>
        <w:t xml:space="preserve"> </w:t>
      </w:r>
      <w:r w:rsidRPr="00841523">
        <w:t>právní</w:t>
      </w:r>
      <w:r>
        <w:t xml:space="preserve"> </w:t>
      </w:r>
      <w:r w:rsidRPr="00841523">
        <w:t>moci</w:t>
      </w:r>
      <w:r>
        <w:t xml:space="preserve"> </w:t>
      </w:r>
      <w:r w:rsidRPr="00841523">
        <w:t>rozhodnutí</w:t>
      </w:r>
      <w:r>
        <w:t xml:space="preserve"> </w:t>
      </w:r>
      <w:r w:rsidRPr="00841523">
        <w:t>soudu</w:t>
      </w:r>
      <w:r>
        <w:t xml:space="preserve"> </w:t>
      </w:r>
      <w:r w:rsidRPr="00841523">
        <w:t>o</w:t>
      </w:r>
      <w:r>
        <w:t xml:space="preserve"> </w:t>
      </w:r>
      <w:r w:rsidRPr="00841523">
        <w:t>prohlášení</w:t>
      </w:r>
      <w:r>
        <w:t xml:space="preserve"> </w:t>
      </w:r>
      <w:r w:rsidRPr="00841523">
        <w:t>právnické</w:t>
      </w:r>
      <w:r>
        <w:t xml:space="preserve"> </w:t>
      </w:r>
      <w:r w:rsidRPr="00841523">
        <w:t>osoby,</w:t>
      </w:r>
      <w:r>
        <w:t xml:space="preserve"> </w:t>
      </w:r>
      <w:r w:rsidRPr="00841523">
        <w:t>která</w:t>
      </w:r>
      <w:r>
        <w:t xml:space="preserve"> </w:t>
      </w:r>
      <w:r w:rsidRPr="00841523">
        <w:t>je</w:t>
      </w:r>
      <w:r>
        <w:t xml:space="preserve"> </w:t>
      </w:r>
      <w:r w:rsidRPr="00841523">
        <w:t>provozovatelem</w:t>
      </w:r>
      <w:r>
        <w:t xml:space="preserve"> </w:t>
      </w:r>
      <w:r w:rsidRPr="00841523">
        <w:t>kolektivního</w:t>
      </w:r>
      <w:r>
        <w:t xml:space="preserve"> </w:t>
      </w:r>
      <w:r w:rsidRPr="00841523">
        <w:t>systému,</w:t>
      </w:r>
      <w:r>
        <w:t xml:space="preserve"> </w:t>
      </w:r>
      <w:r w:rsidRPr="00841523">
        <w:t>za</w:t>
      </w:r>
      <w:r>
        <w:t xml:space="preserve"> </w:t>
      </w:r>
      <w:r w:rsidRPr="00841523">
        <w:t>neplatnou,</w:t>
      </w:r>
      <w:r>
        <w:t xml:space="preserve"> </w:t>
      </w:r>
      <w:r w:rsidRPr="00841523">
        <w:t>nebo</w:t>
      </w:r>
    </w:p>
    <w:p w14:paraId="4137B81A" w14:textId="77777777" w:rsidR="00C62C41" w:rsidRDefault="00C62C41" w:rsidP="003058E0">
      <w:pPr>
        <w:pStyle w:val="Textparagrafu"/>
        <w:tabs>
          <w:tab w:val="left" w:pos="392"/>
          <w:tab w:val="left" w:pos="840"/>
        </w:tabs>
        <w:spacing w:before="0"/>
        <w:ind w:left="426" w:hanging="426"/>
      </w:pPr>
      <w:r w:rsidRPr="00841523">
        <w:t>e)</w:t>
      </w:r>
      <w:r>
        <w:tab/>
      </w:r>
      <w:r w:rsidRPr="00841523">
        <w:t>nabytí</w:t>
      </w:r>
      <w:r>
        <w:t xml:space="preserve"> </w:t>
      </w:r>
      <w:r w:rsidRPr="00841523">
        <w:t>právní</w:t>
      </w:r>
      <w:r>
        <w:t xml:space="preserve"> </w:t>
      </w:r>
      <w:r w:rsidRPr="00841523">
        <w:t>moci</w:t>
      </w:r>
      <w:r>
        <w:t xml:space="preserve"> </w:t>
      </w:r>
      <w:r w:rsidRPr="00841523">
        <w:t>rozhodnutí</w:t>
      </w:r>
      <w:r>
        <w:t xml:space="preserve"> </w:t>
      </w:r>
      <w:r w:rsidRPr="00841523">
        <w:t>o</w:t>
      </w:r>
      <w:r>
        <w:t xml:space="preserve"> </w:t>
      </w:r>
      <w:r w:rsidRPr="00841523">
        <w:t>zrušení</w:t>
      </w:r>
      <w:r>
        <w:t xml:space="preserve"> </w:t>
      </w:r>
      <w:r w:rsidRPr="00841523">
        <w:t>oprávnění</w:t>
      </w:r>
      <w:r>
        <w:t xml:space="preserve"> </w:t>
      </w:r>
      <w:r w:rsidRPr="00841523">
        <w:t>k</w:t>
      </w:r>
      <w:r>
        <w:t xml:space="preserve"> </w:t>
      </w:r>
      <w:r w:rsidRPr="00841523">
        <w:t>provozování</w:t>
      </w:r>
      <w:r>
        <w:t xml:space="preserve"> </w:t>
      </w:r>
      <w:r w:rsidRPr="00841523">
        <w:t>kolektivního</w:t>
      </w:r>
      <w:r>
        <w:t xml:space="preserve"> </w:t>
      </w:r>
      <w:r w:rsidRPr="00841523">
        <w:t>systému.</w:t>
      </w:r>
    </w:p>
    <w:p w14:paraId="119E8E25" w14:textId="77777777" w:rsidR="00C62C41" w:rsidRDefault="00C62C41" w:rsidP="00C62C41">
      <w:pPr>
        <w:pStyle w:val="Textparagrafu"/>
        <w:tabs>
          <w:tab w:val="left" w:pos="392"/>
          <w:tab w:val="left" w:pos="840"/>
        </w:tabs>
        <w:spacing w:after="120"/>
        <w:ind w:firstLine="426"/>
      </w:pPr>
      <w:r w:rsidRPr="00841523">
        <w:t>(2)</w:t>
      </w:r>
      <w:r>
        <w:t xml:space="preserve"> </w:t>
      </w:r>
      <w:r w:rsidRPr="00841523">
        <w:t>Ministerstvo</w:t>
      </w:r>
      <w:r>
        <w:t xml:space="preserve"> </w:t>
      </w:r>
      <w:r w:rsidRPr="00841523">
        <w:t>rozhodne</w:t>
      </w:r>
      <w:r>
        <w:t xml:space="preserve"> </w:t>
      </w:r>
      <w:r w:rsidRPr="00841523">
        <w:t>o</w:t>
      </w:r>
      <w:r>
        <w:t xml:space="preserve"> </w:t>
      </w:r>
      <w:r w:rsidRPr="00841523">
        <w:t>zrušení</w:t>
      </w:r>
      <w:r>
        <w:t xml:space="preserve"> </w:t>
      </w:r>
      <w:r w:rsidRPr="00841523">
        <w:t>oprávnění</w:t>
      </w:r>
      <w:r>
        <w:t xml:space="preserve"> </w:t>
      </w:r>
      <w:r w:rsidRPr="00841523">
        <w:t>k</w:t>
      </w:r>
      <w:r>
        <w:t xml:space="preserve"> </w:t>
      </w:r>
      <w:r w:rsidRPr="00841523">
        <w:t>provozování</w:t>
      </w:r>
      <w:r>
        <w:t xml:space="preserve"> </w:t>
      </w:r>
      <w:r w:rsidRPr="00841523">
        <w:t>kolektivního</w:t>
      </w:r>
      <w:r>
        <w:t xml:space="preserve"> </w:t>
      </w:r>
      <w:r w:rsidRPr="00841523">
        <w:t>systému,</w:t>
      </w:r>
      <w:r>
        <w:t xml:space="preserve"> </w:t>
      </w:r>
      <w:r w:rsidRPr="00841523">
        <w:t>pokud</w:t>
      </w:r>
    </w:p>
    <w:p w14:paraId="0ABFECF9" w14:textId="77777777" w:rsidR="00C62C41" w:rsidRDefault="00C62C41" w:rsidP="003058E0">
      <w:pPr>
        <w:pStyle w:val="Textparagrafu"/>
        <w:tabs>
          <w:tab w:val="left" w:pos="392"/>
          <w:tab w:val="left" w:pos="840"/>
        </w:tabs>
        <w:spacing w:before="0"/>
        <w:ind w:left="426" w:hanging="426"/>
      </w:pPr>
      <w:r w:rsidRPr="00841523">
        <w:t>a)</w:t>
      </w:r>
      <w:r>
        <w:tab/>
      </w:r>
      <w:r w:rsidRPr="00841523">
        <w:t>bylo</w:t>
      </w:r>
      <w:r>
        <w:t xml:space="preserve"> </w:t>
      </w:r>
      <w:r w:rsidRPr="00841523">
        <w:t>vydáno</w:t>
      </w:r>
      <w:r>
        <w:t xml:space="preserve"> </w:t>
      </w:r>
      <w:r w:rsidRPr="00841523">
        <w:t>na</w:t>
      </w:r>
      <w:r>
        <w:t xml:space="preserve"> </w:t>
      </w:r>
      <w:r w:rsidRPr="00841523">
        <w:t>základě</w:t>
      </w:r>
      <w:r>
        <w:t xml:space="preserve"> </w:t>
      </w:r>
      <w:r w:rsidRPr="00841523">
        <w:t>nepravdivých</w:t>
      </w:r>
      <w:r>
        <w:t xml:space="preserve"> </w:t>
      </w:r>
      <w:r w:rsidRPr="00841523">
        <w:t>údajů</w:t>
      </w:r>
      <w:r>
        <w:t xml:space="preserve"> </w:t>
      </w:r>
      <w:r w:rsidRPr="00841523">
        <w:t>uvedených</w:t>
      </w:r>
      <w:r>
        <w:t xml:space="preserve"> </w:t>
      </w:r>
      <w:r w:rsidRPr="00841523">
        <w:t>v</w:t>
      </w:r>
      <w:r>
        <w:t xml:space="preserve"> </w:t>
      </w:r>
      <w:r w:rsidRPr="00841523">
        <w:t>žádosti</w:t>
      </w:r>
      <w:r>
        <w:t xml:space="preserve"> </w:t>
      </w:r>
      <w:r w:rsidRPr="00841523">
        <w:t>nebo</w:t>
      </w:r>
      <w:r>
        <w:t xml:space="preserve"> </w:t>
      </w:r>
      <w:r w:rsidRPr="00841523">
        <w:t>v</w:t>
      </w:r>
      <w:r>
        <w:t xml:space="preserve"> </w:t>
      </w:r>
      <w:r w:rsidRPr="00841523">
        <w:t>dokladech</w:t>
      </w:r>
      <w:r>
        <w:t xml:space="preserve"> </w:t>
      </w:r>
      <w:r w:rsidRPr="00841523">
        <w:t>připojených</w:t>
      </w:r>
      <w:r>
        <w:t xml:space="preserve"> </w:t>
      </w:r>
      <w:r w:rsidRPr="00841523">
        <w:t>k</w:t>
      </w:r>
      <w:r>
        <w:t xml:space="preserve"> </w:t>
      </w:r>
      <w:r w:rsidRPr="00841523">
        <w:t>žádosti,</w:t>
      </w:r>
    </w:p>
    <w:p w14:paraId="7FF2C387" w14:textId="77777777" w:rsidR="00C62C41" w:rsidRDefault="00C62C41" w:rsidP="003058E0">
      <w:pPr>
        <w:pStyle w:val="Textparagrafu"/>
        <w:tabs>
          <w:tab w:val="left" w:pos="392"/>
          <w:tab w:val="left" w:pos="840"/>
        </w:tabs>
        <w:spacing w:before="0"/>
        <w:ind w:left="426" w:hanging="426"/>
      </w:pPr>
      <w:r w:rsidRPr="00841523">
        <w:t>b)</w:t>
      </w:r>
      <w:r>
        <w:tab/>
      </w:r>
      <w:r w:rsidRPr="00841523">
        <w:t>provozovatel</w:t>
      </w:r>
      <w:r>
        <w:t xml:space="preserve"> </w:t>
      </w:r>
      <w:r w:rsidRPr="00841523">
        <w:t>kolektivního</w:t>
      </w:r>
      <w:r>
        <w:t xml:space="preserve"> </w:t>
      </w:r>
      <w:r w:rsidRPr="00841523">
        <w:t>systému</w:t>
      </w:r>
      <w:r>
        <w:t xml:space="preserve"> </w:t>
      </w:r>
      <w:r w:rsidRPr="00841523">
        <w:t>nebo</w:t>
      </w:r>
      <w:r>
        <w:t xml:space="preserve"> </w:t>
      </w:r>
      <w:r w:rsidRPr="00841523">
        <w:t>společník</w:t>
      </w:r>
      <w:r>
        <w:t xml:space="preserve"> </w:t>
      </w:r>
      <w:r w:rsidRPr="00841523">
        <w:t>provozovatele</w:t>
      </w:r>
      <w:r>
        <w:t xml:space="preserve"> </w:t>
      </w:r>
      <w:r w:rsidRPr="00841523">
        <w:t>kolektivního</w:t>
      </w:r>
      <w:r>
        <w:t xml:space="preserve"> </w:t>
      </w:r>
      <w:r w:rsidRPr="00841523">
        <w:t>systému</w:t>
      </w:r>
      <w:r>
        <w:t xml:space="preserve"> </w:t>
      </w:r>
      <w:r w:rsidRPr="00841523">
        <w:t>přestal</w:t>
      </w:r>
      <w:r>
        <w:t xml:space="preserve"> </w:t>
      </w:r>
      <w:r w:rsidRPr="00841523">
        <w:t>splňovat</w:t>
      </w:r>
      <w:r>
        <w:t xml:space="preserve"> </w:t>
      </w:r>
      <w:r w:rsidRPr="00841523">
        <w:t>některou</w:t>
      </w:r>
      <w:r>
        <w:t xml:space="preserve"> </w:t>
      </w:r>
      <w:r w:rsidRPr="00841523">
        <w:t>z</w:t>
      </w:r>
      <w:r>
        <w:t xml:space="preserve"> </w:t>
      </w:r>
      <w:r w:rsidRPr="00841523">
        <w:t>podmínek</w:t>
      </w:r>
      <w:r>
        <w:t xml:space="preserve"> </w:t>
      </w:r>
      <w:r w:rsidRPr="00841523">
        <w:t>podle</w:t>
      </w:r>
      <w:r>
        <w:t xml:space="preserve"> </w:t>
      </w:r>
      <w:r w:rsidRPr="00841523">
        <w:t>§</w:t>
      </w:r>
      <w:r>
        <w:t xml:space="preserve"> </w:t>
      </w:r>
      <w:r w:rsidRPr="00841523">
        <w:t>35</w:t>
      </w:r>
      <w:r>
        <w:t xml:space="preserve"> </w:t>
      </w:r>
      <w:r w:rsidRPr="00841523">
        <w:t>odst.</w:t>
      </w:r>
      <w:r>
        <w:t xml:space="preserve"> </w:t>
      </w:r>
      <w:r w:rsidRPr="00841523">
        <w:t>2</w:t>
      </w:r>
      <w:r>
        <w:t xml:space="preserve"> </w:t>
      </w:r>
      <w:r w:rsidRPr="00841523">
        <w:t>a</w:t>
      </w:r>
      <w:r>
        <w:t xml:space="preserve"> </w:t>
      </w:r>
      <w:r w:rsidRPr="00841523">
        <w:t>3</w:t>
      </w:r>
      <w:r>
        <w:t xml:space="preserve"> </w:t>
      </w:r>
      <w:r w:rsidRPr="00841523">
        <w:t>nutných</w:t>
      </w:r>
      <w:r>
        <w:t xml:space="preserve"> </w:t>
      </w:r>
      <w:r w:rsidRPr="00841523">
        <w:t>pro</w:t>
      </w:r>
      <w:r>
        <w:t xml:space="preserve"> </w:t>
      </w:r>
      <w:r w:rsidRPr="00841523">
        <w:t>vydání</w:t>
      </w:r>
      <w:r>
        <w:t xml:space="preserve"> </w:t>
      </w:r>
      <w:r w:rsidRPr="00841523">
        <w:t>oprávnění</w:t>
      </w:r>
      <w:r>
        <w:t xml:space="preserve"> </w:t>
      </w:r>
      <w:r w:rsidRPr="00841523">
        <w:t>k</w:t>
      </w:r>
      <w:r>
        <w:t xml:space="preserve"> </w:t>
      </w:r>
      <w:r w:rsidRPr="00841523">
        <w:t>provozování</w:t>
      </w:r>
      <w:r>
        <w:t xml:space="preserve"> </w:t>
      </w:r>
      <w:r w:rsidRPr="00841523">
        <w:t>kolektivního</w:t>
      </w:r>
      <w:r>
        <w:t xml:space="preserve"> </w:t>
      </w:r>
      <w:r w:rsidRPr="00841523">
        <w:t>systému,</w:t>
      </w:r>
      <w:r>
        <w:t xml:space="preserve"> </w:t>
      </w:r>
      <w:r w:rsidRPr="00841523">
        <w:t>s</w:t>
      </w:r>
      <w:r>
        <w:t xml:space="preserve"> </w:t>
      </w:r>
      <w:r w:rsidRPr="00841523">
        <w:t>výjimkou</w:t>
      </w:r>
      <w:r>
        <w:t xml:space="preserve"> </w:t>
      </w:r>
      <w:r w:rsidRPr="00841523">
        <w:t>podmínek</w:t>
      </w:r>
      <w:r>
        <w:t xml:space="preserve"> </w:t>
      </w:r>
      <w:r w:rsidRPr="00841523">
        <w:t>podle</w:t>
      </w:r>
      <w:r>
        <w:t xml:space="preserve"> </w:t>
      </w:r>
      <w:r w:rsidRPr="00841523">
        <w:t>§</w:t>
      </w:r>
      <w:r>
        <w:t xml:space="preserve"> </w:t>
      </w:r>
      <w:r w:rsidRPr="00841523">
        <w:t>35</w:t>
      </w:r>
      <w:r>
        <w:t xml:space="preserve"> </w:t>
      </w:r>
      <w:r w:rsidRPr="00841523">
        <w:t>odst.</w:t>
      </w:r>
      <w:r>
        <w:t xml:space="preserve"> </w:t>
      </w:r>
      <w:r w:rsidRPr="00841523">
        <w:t>2</w:t>
      </w:r>
      <w:r>
        <w:t xml:space="preserve"> </w:t>
      </w:r>
      <w:r w:rsidRPr="00841523">
        <w:t>písm.</w:t>
      </w:r>
      <w:r>
        <w:t xml:space="preserve"> </w:t>
      </w:r>
      <w:r w:rsidRPr="00841523">
        <w:t>h)</w:t>
      </w:r>
      <w:r>
        <w:t xml:space="preserve"> </w:t>
      </w:r>
      <w:r w:rsidRPr="00841523">
        <w:t>až</w:t>
      </w:r>
      <w:r>
        <w:t xml:space="preserve"> </w:t>
      </w:r>
      <w:r w:rsidRPr="00841523">
        <w:t>j),</w:t>
      </w:r>
      <w:r>
        <w:t xml:space="preserve"> </w:t>
      </w:r>
      <w:r w:rsidRPr="00841523">
        <w:t>a</w:t>
      </w:r>
      <w:r>
        <w:t xml:space="preserve"> </w:t>
      </w:r>
      <w:r w:rsidRPr="00841523">
        <w:t>provozovatel</w:t>
      </w:r>
      <w:r>
        <w:t xml:space="preserve"> </w:t>
      </w:r>
      <w:r w:rsidRPr="00841523">
        <w:t>kolektivního</w:t>
      </w:r>
      <w:r>
        <w:t xml:space="preserve"> </w:t>
      </w:r>
      <w:r w:rsidRPr="00841523">
        <w:t>systému</w:t>
      </w:r>
      <w:r>
        <w:t xml:space="preserve"> </w:t>
      </w:r>
      <w:r w:rsidRPr="00841523">
        <w:t>nezjednal</w:t>
      </w:r>
      <w:r>
        <w:t xml:space="preserve"> </w:t>
      </w:r>
      <w:r w:rsidRPr="00841523">
        <w:t>nápravu</w:t>
      </w:r>
      <w:r>
        <w:t xml:space="preserve"> </w:t>
      </w:r>
      <w:r w:rsidRPr="00841523">
        <w:t>tohoto</w:t>
      </w:r>
      <w:r>
        <w:t xml:space="preserve"> </w:t>
      </w:r>
      <w:r w:rsidRPr="00841523">
        <w:t>nedostatku</w:t>
      </w:r>
      <w:r>
        <w:t xml:space="preserve"> </w:t>
      </w:r>
      <w:r w:rsidRPr="00841523">
        <w:t>uloženou</w:t>
      </w:r>
      <w:r>
        <w:t xml:space="preserve"> </w:t>
      </w:r>
      <w:r w:rsidRPr="00841523">
        <w:t>podle</w:t>
      </w:r>
      <w:r>
        <w:t xml:space="preserve"> </w:t>
      </w:r>
      <w:r w:rsidRPr="00841523">
        <w:t>§</w:t>
      </w:r>
      <w:r>
        <w:t xml:space="preserve"> </w:t>
      </w:r>
      <w:r w:rsidRPr="00841523">
        <w:t>54</w:t>
      </w:r>
      <w:r>
        <w:t xml:space="preserve"> </w:t>
      </w:r>
      <w:r w:rsidRPr="00841523">
        <w:t>odst.</w:t>
      </w:r>
      <w:r>
        <w:t xml:space="preserve"> </w:t>
      </w:r>
      <w:r w:rsidRPr="00841523">
        <w:t>4</w:t>
      </w:r>
      <w:r>
        <w:t xml:space="preserve"> </w:t>
      </w:r>
      <w:r w:rsidRPr="00841523">
        <w:t>ve</w:t>
      </w:r>
      <w:r>
        <w:t xml:space="preserve"> </w:t>
      </w:r>
      <w:r w:rsidRPr="00841523">
        <w:t>stanovené</w:t>
      </w:r>
      <w:r>
        <w:t xml:space="preserve"> </w:t>
      </w:r>
      <w:r w:rsidRPr="00841523">
        <w:t>lhůtě,</w:t>
      </w:r>
      <w:r>
        <w:t xml:space="preserve"> </w:t>
      </w:r>
      <w:r w:rsidRPr="00841523">
        <w:t>nebo</w:t>
      </w:r>
    </w:p>
    <w:p w14:paraId="1F43FF4A" w14:textId="77777777" w:rsidR="00C62C41" w:rsidRDefault="00C62C41" w:rsidP="003058E0">
      <w:pPr>
        <w:pStyle w:val="Textparagrafu"/>
        <w:tabs>
          <w:tab w:val="left" w:pos="392"/>
          <w:tab w:val="left" w:pos="840"/>
        </w:tabs>
        <w:spacing w:before="0"/>
        <w:ind w:left="426" w:hanging="426"/>
      </w:pPr>
      <w:r w:rsidRPr="00841523">
        <w:t>c)</w:t>
      </w:r>
      <w:r>
        <w:tab/>
      </w:r>
      <w:r w:rsidRPr="00841523">
        <w:t>ze</w:t>
      </w:r>
      <w:r>
        <w:t xml:space="preserve"> </w:t>
      </w:r>
      <w:r w:rsidRPr="00841523">
        <w:t>strany</w:t>
      </w:r>
      <w:r>
        <w:t xml:space="preserve"> </w:t>
      </w:r>
      <w:r w:rsidRPr="00841523">
        <w:t>provozovatele</w:t>
      </w:r>
      <w:r>
        <w:t xml:space="preserve"> </w:t>
      </w:r>
      <w:r w:rsidRPr="00841523">
        <w:t>kolektivního</w:t>
      </w:r>
      <w:r>
        <w:t xml:space="preserve"> </w:t>
      </w:r>
      <w:r w:rsidRPr="00841523">
        <w:t>systému</w:t>
      </w:r>
      <w:r>
        <w:t xml:space="preserve"> </w:t>
      </w:r>
      <w:r w:rsidRPr="00841523">
        <w:t>došlo</w:t>
      </w:r>
      <w:r>
        <w:t xml:space="preserve"> </w:t>
      </w:r>
      <w:r w:rsidRPr="00841523">
        <w:t>k</w:t>
      </w:r>
      <w:r>
        <w:t xml:space="preserve"> </w:t>
      </w:r>
      <w:r w:rsidRPr="00841523">
        <w:t>závažnému</w:t>
      </w:r>
      <w:r>
        <w:t xml:space="preserve"> </w:t>
      </w:r>
      <w:r w:rsidRPr="00841523">
        <w:t>porušení</w:t>
      </w:r>
      <w:r>
        <w:t xml:space="preserve"> </w:t>
      </w:r>
      <w:r w:rsidRPr="00841523">
        <w:t>povinnosti</w:t>
      </w:r>
      <w:r>
        <w:t xml:space="preserve"> </w:t>
      </w:r>
      <w:r w:rsidRPr="00841523">
        <w:t>a</w:t>
      </w:r>
      <w:r>
        <w:t xml:space="preserve"> </w:t>
      </w:r>
      <w:r w:rsidRPr="00841523">
        <w:t>provozovatel</w:t>
      </w:r>
      <w:r>
        <w:t xml:space="preserve"> </w:t>
      </w:r>
      <w:r w:rsidRPr="00841523">
        <w:t>kolektivního</w:t>
      </w:r>
      <w:r>
        <w:t xml:space="preserve"> </w:t>
      </w:r>
      <w:r w:rsidRPr="00841523">
        <w:t>systému</w:t>
      </w:r>
      <w:r>
        <w:t xml:space="preserve"> </w:t>
      </w:r>
      <w:r w:rsidRPr="00841523">
        <w:t>nezjednal</w:t>
      </w:r>
      <w:r>
        <w:t xml:space="preserve"> </w:t>
      </w:r>
      <w:r w:rsidRPr="00841523">
        <w:t>ve</w:t>
      </w:r>
      <w:r>
        <w:t xml:space="preserve"> </w:t>
      </w:r>
      <w:r w:rsidRPr="00841523">
        <w:t>stanovené</w:t>
      </w:r>
      <w:r>
        <w:t xml:space="preserve"> </w:t>
      </w:r>
      <w:r w:rsidRPr="00841523">
        <w:t>lhůtě</w:t>
      </w:r>
      <w:r>
        <w:t xml:space="preserve"> </w:t>
      </w:r>
      <w:r w:rsidRPr="00841523">
        <w:t>nápravu,</w:t>
      </w:r>
      <w:r>
        <w:t xml:space="preserve"> </w:t>
      </w:r>
      <w:r w:rsidRPr="00841523">
        <w:t>která</w:t>
      </w:r>
      <w:r>
        <w:t xml:space="preserve"> </w:t>
      </w:r>
      <w:r w:rsidRPr="00841523">
        <w:t>mu</w:t>
      </w:r>
      <w:r>
        <w:t xml:space="preserve"> </w:t>
      </w:r>
      <w:r w:rsidRPr="00841523">
        <w:t>byla</w:t>
      </w:r>
      <w:r>
        <w:t xml:space="preserve"> </w:t>
      </w:r>
      <w:r w:rsidRPr="00841523">
        <w:t>uložena</w:t>
      </w:r>
      <w:r>
        <w:t xml:space="preserve"> </w:t>
      </w:r>
      <w:r w:rsidRPr="00841523">
        <w:t>podle</w:t>
      </w:r>
      <w:r>
        <w:t xml:space="preserve"> </w:t>
      </w:r>
      <w:r w:rsidRPr="00841523">
        <w:t>§</w:t>
      </w:r>
      <w:r>
        <w:t xml:space="preserve"> </w:t>
      </w:r>
      <w:r w:rsidRPr="00841523">
        <w:t>54</w:t>
      </w:r>
      <w:r>
        <w:t xml:space="preserve"> </w:t>
      </w:r>
      <w:r w:rsidRPr="00841523">
        <w:t>odst.</w:t>
      </w:r>
      <w:r>
        <w:t xml:space="preserve"> </w:t>
      </w:r>
      <w:r w:rsidRPr="00841523">
        <w:t>2.</w:t>
      </w:r>
    </w:p>
    <w:p w14:paraId="0EA58D6E" w14:textId="77777777" w:rsidR="00C62C41" w:rsidRDefault="00C62C41" w:rsidP="009876EF">
      <w:pPr>
        <w:pStyle w:val="Textparagrafu"/>
        <w:tabs>
          <w:tab w:val="left" w:pos="392"/>
          <w:tab w:val="left" w:pos="840"/>
        </w:tabs>
        <w:spacing w:before="120" w:after="120"/>
      </w:pPr>
      <w:r w:rsidRPr="00841523">
        <w:t>(3)</w:t>
      </w:r>
      <w:r>
        <w:t xml:space="preserve"> </w:t>
      </w:r>
      <w:r w:rsidRPr="00841523">
        <w:t>Ministerstvo</w:t>
      </w:r>
      <w:r>
        <w:t xml:space="preserve"> </w:t>
      </w:r>
      <w:r w:rsidRPr="00841523">
        <w:t>průmyslu</w:t>
      </w:r>
      <w:r>
        <w:t xml:space="preserve"> </w:t>
      </w:r>
      <w:r w:rsidRPr="00841523">
        <w:t>a</w:t>
      </w:r>
      <w:r>
        <w:t xml:space="preserve"> </w:t>
      </w:r>
      <w:r w:rsidRPr="00841523">
        <w:t>obchodu</w:t>
      </w:r>
      <w:r>
        <w:t xml:space="preserve"> </w:t>
      </w:r>
      <w:r w:rsidRPr="00841523">
        <w:t>zašle</w:t>
      </w:r>
      <w:r>
        <w:t xml:space="preserve"> </w:t>
      </w:r>
      <w:r w:rsidRPr="00841523">
        <w:t>své</w:t>
      </w:r>
      <w:r>
        <w:t xml:space="preserve"> </w:t>
      </w:r>
      <w:r w:rsidRPr="00841523">
        <w:t>vyjádření</w:t>
      </w:r>
      <w:r>
        <w:t xml:space="preserve"> </w:t>
      </w:r>
      <w:r w:rsidRPr="00841523">
        <w:t>do</w:t>
      </w:r>
      <w:r>
        <w:t xml:space="preserve"> </w:t>
      </w:r>
      <w:r w:rsidRPr="00841523">
        <w:t>15</w:t>
      </w:r>
      <w:r>
        <w:t xml:space="preserve"> </w:t>
      </w:r>
      <w:r w:rsidRPr="00841523">
        <w:t>dnů</w:t>
      </w:r>
      <w:r>
        <w:t xml:space="preserve"> </w:t>
      </w:r>
      <w:r w:rsidRPr="00841523">
        <w:t>ode</w:t>
      </w:r>
      <w:r>
        <w:t xml:space="preserve"> </w:t>
      </w:r>
      <w:r w:rsidRPr="00841523">
        <w:t>dne</w:t>
      </w:r>
      <w:r>
        <w:t xml:space="preserve"> </w:t>
      </w:r>
      <w:r w:rsidRPr="00841523">
        <w:t>obdržení</w:t>
      </w:r>
      <w:r>
        <w:t xml:space="preserve"> </w:t>
      </w:r>
      <w:r w:rsidRPr="00841523">
        <w:t>podkladů</w:t>
      </w:r>
      <w:r>
        <w:t xml:space="preserve"> </w:t>
      </w:r>
      <w:r w:rsidRPr="00841523">
        <w:t>ve</w:t>
      </w:r>
      <w:r>
        <w:t xml:space="preserve"> </w:t>
      </w:r>
      <w:r w:rsidRPr="00841523">
        <w:t>věci</w:t>
      </w:r>
      <w:r>
        <w:t xml:space="preserve"> </w:t>
      </w:r>
      <w:r w:rsidRPr="00841523">
        <w:t>podle</w:t>
      </w:r>
      <w:r>
        <w:t xml:space="preserve"> </w:t>
      </w:r>
      <w:r w:rsidRPr="00841523">
        <w:t>odstavce</w:t>
      </w:r>
      <w:r>
        <w:t xml:space="preserve"> </w:t>
      </w:r>
      <w:r w:rsidRPr="00841523">
        <w:t>1</w:t>
      </w:r>
      <w:r>
        <w:t xml:space="preserve"> </w:t>
      </w:r>
      <w:r w:rsidRPr="00841523">
        <w:t>písm.</w:t>
      </w:r>
      <w:r>
        <w:t xml:space="preserve"> </w:t>
      </w:r>
      <w:r w:rsidRPr="00841523">
        <w:t>b)</w:t>
      </w:r>
      <w:r>
        <w:t xml:space="preserve"> </w:t>
      </w:r>
      <w:r w:rsidRPr="00841523">
        <w:t>nebo</w:t>
      </w:r>
      <w:r>
        <w:t xml:space="preserve"> </w:t>
      </w:r>
      <w:r w:rsidRPr="00841523">
        <w:t>odstavce</w:t>
      </w:r>
      <w:r>
        <w:t xml:space="preserve"> </w:t>
      </w:r>
      <w:r w:rsidRPr="00841523">
        <w:t>2.</w:t>
      </w:r>
      <w:r>
        <w:t xml:space="preserve"> </w:t>
      </w:r>
      <w:r w:rsidRPr="00841523">
        <w:t>Vyjádření</w:t>
      </w:r>
      <w:r>
        <w:t xml:space="preserve"> </w:t>
      </w:r>
      <w:r w:rsidRPr="00841523">
        <w:t>Ministerstva</w:t>
      </w:r>
      <w:r>
        <w:t xml:space="preserve"> </w:t>
      </w:r>
      <w:r w:rsidRPr="00841523">
        <w:t>průmyslu</w:t>
      </w:r>
      <w:r>
        <w:t xml:space="preserve"> </w:t>
      </w:r>
      <w:r w:rsidRPr="00841523">
        <w:t>a</w:t>
      </w:r>
      <w:r>
        <w:t xml:space="preserve"> </w:t>
      </w:r>
      <w:r w:rsidRPr="00841523">
        <w:t>obchodu</w:t>
      </w:r>
      <w:r>
        <w:t xml:space="preserve"> </w:t>
      </w:r>
      <w:r w:rsidRPr="00841523">
        <w:t>je</w:t>
      </w:r>
      <w:r>
        <w:t xml:space="preserve"> </w:t>
      </w:r>
      <w:r w:rsidRPr="00841523">
        <w:t>podkladem</w:t>
      </w:r>
      <w:r>
        <w:t xml:space="preserve"> </w:t>
      </w:r>
      <w:r w:rsidRPr="00841523">
        <w:t>pro</w:t>
      </w:r>
      <w:r>
        <w:t xml:space="preserve"> </w:t>
      </w:r>
      <w:r w:rsidRPr="00841523">
        <w:t>rozhodnutí</w:t>
      </w:r>
      <w:r>
        <w:t xml:space="preserve"> </w:t>
      </w:r>
      <w:r w:rsidRPr="00841523">
        <w:t>ministerstva.</w:t>
      </w:r>
      <w:r>
        <w:t xml:space="preserve"> </w:t>
      </w:r>
      <w:r w:rsidRPr="00841523">
        <w:t>Pokud</w:t>
      </w:r>
      <w:r>
        <w:t xml:space="preserve"> </w:t>
      </w:r>
      <w:r w:rsidRPr="00841523">
        <w:t>Ministerstvo</w:t>
      </w:r>
      <w:r>
        <w:t xml:space="preserve"> </w:t>
      </w:r>
      <w:r w:rsidRPr="00841523">
        <w:t>průmyslu</w:t>
      </w:r>
      <w:r>
        <w:t xml:space="preserve"> </w:t>
      </w:r>
      <w:r w:rsidRPr="00841523">
        <w:t>a</w:t>
      </w:r>
      <w:r>
        <w:t xml:space="preserve"> </w:t>
      </w:r>
      <w:r w:rsidRPr="00841523">
        <w:t>obchodu</w:t>
      </w:r>
      <w:r>
        <w:t xml:space="preserve"> </w:t>
      </w:r>
      <w:r w:rsidRPr="00841523">
        <w:t>nezašle</w:t>
      </w:r>
      <w:r>
        <w:t xml:space="preserve"> </w:t>
      </w:r>
      <w:r w:rsidRPr="00841523">
        <w:t>své</w:t>
      </w:r>
      <w:r>
        <w:t xml:space="preserve"> </w:t>
      </w:r>
      <w:r w:rsidRPr="00841523">
        <w:t>vyjádření</w:t>
      </w:r>
      <w:r>
        <w:t xml:space="preserve"> </w:t>
      </w:r>
      <w:r w:rsidRPr="00841523">
        <w:t>ve</w:t>
      </w:r>
      <w:r>
        <w:t xml:space="preserve"> </w:t>
      </w:r>
      <w:r w:rsidRPr="00841523">
        <w:t>stanovené</w:t>
      </w:r>
      <w:r>
        <w:t xml:space="preserve"> </w:t>
      </w:r>
      <w:r w:rsidRPr="00841523">
        <w:t>lhůtě,</w:t>
      </w:r>
      <w:r>
        <w:t xml:space="preserve"> </w:t>
      </w:r>
      <w:r w:rsidRPr="00841523">
        <w:t>může</w:t>
      </w:r>
      <w:r>
        <w:t xml:space="preserve"> </w:t>
      </w:r>
      <w:r w:rsidRPr="00841523">
        <w:t>ministerstvo</w:t>
      </w:r>
      <w:r>
        <w:t xml:space="preserve"> </w:t>
      </w:r>
      <w:r w:rsidRPr="00841523">
        <w:t>vydat</w:t>
      </w:r>
      <w:r>
        <w:t xml:space="preserve"> </w:t>
      </w:r>
      <w:r w:rsidRPr="00841523">
        <w:t>rozhodnutí</w:t>
      </w:r>
      <w:r>
        <w:t xml:space="preserve"> </w:t>
      </w:r>
      <w:r w:rsidRPr="00841523">
        <w:t>bez</w:t>
      </w:r>
      <w:r>
        <w:t xml:space="preserve"> </w:t>
      </w:r>
      <w:r w:rsidRPr="00841523">
        <w:t>jeho</w:t>
      </w:r>
      <w:r>
        <w:t xml:space="preserve"> </w:t>
      </w:r>
      <w:r w:rsidRPr="00841523">
        <w:t>vyjádření.</w:t>
      </w:r>
    </w:p>
    <w:p w14:paraId="002F7CBF" w14:textId="77777777" w:rsidR="00C62C41" w:rsidRDefault="00C62C41" w:rsidP="009876EF">
      <w:pPr>
        <w:pStyle w:val="Textparagrafu"/>
        <w:tabs>
          <w:tab w:val="left" w:pos="392"/>
          <w:tab w:val="left" w:pos="840"/>
        </w:tabs>
        <w:spacing w:before="120" w:after="120"/>
      </w:pPr>
      <w:r w:rsidRPr="00841523">
        <w:t>(4)</w:t>
      </w:r>
      <w:r>
        <w:t xml:space="preserve"> </w:t>
      </w:r>
      <w:r w:rsidRPr="00841523">
        <w:t>V</w:t>
      </w:r>
      <w:r>
        <w:t xml:space="preserve"> </w:t>
      </w:r>
      <w:r w:rsidRPr="00841523">
        <w:t>řízení</w:t>
      </w:r>
      <w:r>
        <w:t xml:space="preserve"> </w:t>
      </w:r>
      <w:r w:rsidRPr="00841523">
        <w:t>o</w:t>
      </w:r>
      <w:r>
        <w:t xml:space="preserve"> </w:t>
      </w:r>
      <w:r w:rsidRPr="00841523">
        <w:t>zrušení</w:t>
      </w:r>
      <w:r>
        <w:t xml:space="preserve"> </w:t>
      </w:r>
      <w:r w:rsidRPr="00841523">
        <w:t>oprávnění</w:t>
      </w:r>
      <w:r>
        <w:t xml:space="preserve"> </w:t>
      </w:r>
      <w:r w:rsidRPr="00841523">
        <w:t>k</w:t>
      </w:r>
      <w:r>
        <w:t xml:space="preserve"> </w:t>
      </w:r>
      <w:r w:rsidRPr="00841523">
        <w:t>provozování</w:t>
      </w:r>
      <w:r>
        <w:t xml:space="preserve"> </w:t>
      </w:r>
      <w:r w:rsidRPr="00841523">
        <w:t>kolektivního</w:t>
      </w:r>
      <w:r>
        <w:t xml:space="preserve"> </w:t>
      </w:r>
      <w:r w:rsidRPr="00841523">
        <w:t>systému</w:t>
      </w:r>
      <w:r>
        <w:t xml:space="preserve"> </w:t>
      </w:r>
      <w:r w:rsidRPr="00841523">
        <w:t>z</w:t>
      </w:r>
      <w:r>
        <w:t xml:space="preserve"> </w:t>
      </w:r>
      <w:r w:rsidRPr="00841523">
        <w:t>důvodů</w:t>
      </w:r>
      <w:r>
        <w:t xml:space="preserve"> </w:t>
      </w:r>
      <w:r w:rsidRPr="00841523">
        <w:t>podle</w:t>
      </w:r>
      <w:r>
        <w:t xml:space="preserve"> </w:t>
      </w:r>
      <w:r w:rsidRPr="00841523">
        <w:t>odstavce</w:t>
      </w:r>
      <w:r>
        <w:t xml:space="preserve"> </w:t>
      </w:r>
      <w:r w:rsidRPr="00841523">
        <w:t>2</w:t>
      </w:r>
      <w:r>
        <w:t xml:space="preserve"> </w:t>
      </w:r>
      <w:r w:rsidRPr="00841523">
        <w:t>písm.</w:t>
      </w:r>
      <w:r>
        <w:t xml:space="preserve"> </w:t>
      </w:r>
      <w:r w:rsidRPr="00841523">
        <w:t>c)</w:t>
      </w:r>
      <w:r>
        <w:t xml:space="preserve"> </w:t>
      </w:r>
      <w:r w:rsidRPr="00841523">
        <w:t>ministerstvo</w:t>
      </w:r>
      <w:r>
        <w:t xml:space="preserve"> </w:t>
      </w:r>
      <w:r w:rsidRPr="00841523">
        <w:t>zohlední</w:t>
      </w:r>
      <w:r>
        <w:t xml:space="preserve"> </w:t>
      </w:r>
      <w:r w:rsidRPr="00841523">
        <w:t>důvody,</w:t>
      </w:r>
      <w:r>
        <w:t xml:space="preserve"> </w:t>
      </w:r>
      <w:r w:rsidRPr="00841523">
        <w:t>které</w:t>
      </w:r>
      <w:r>
        <w:t xml:space="preserve"> </w:t>
      </w:r>
      <w:r w:rsidRPr="00841523">
        <w:t>k</w:t>
      </w:r>
      <w:r>
        <w:t xml:space="preserve"> </w:t>
      </w:r>
      <w:r w:rsidRPr="00841523">
        <w:t>porušení</w:t>
      </w:r>
      <w:r>
        <w:t xml:space="preserve"> </w:t>
      </w:r>
      <w:r w:rsidRPr="00841523">
        <w:t>povinností</w:t>
      </w:r>
      <w:r>
        <w:t xml:space="preserve"> </w:t>
      </w:r>
      <w:r w:rsidRPr="00841523">
        <w:t>vedly,</w:t>
      </w:r>
      <w:r>
        <w:t xml:space="preserve"> </w:t>
      </w:r>
      <w:r w:rsidRPr="00841523">
        <w:t>zda</w:t>
      </w:r>
      <w:r>
        <w:t xml:space="preserve"> </w:t>
      </w:r>
      <w:r w:rsidRPr="00841523">
        <w:t>se</w:t>
      </w:r>
      <w:r>
        <w:t xml:space="preserve"> </w:t>
      </w:r>
      <w:r w:rsidRPr="00841523">
        <w:t>jedná</w:t>
      </w:r>
      <w:r>
        <w:t xml:space="preserve"> </w:t>
      </w:r>
      <w:r w:rsidRPr="00841523">
        <w:t>o</w:t>
      </w:r>
      <w:r>
        <w:t xml:space="preserve"> </w:t>
      </w:r>
      <w:r w:rsidRPr="00841523">
        <w:t>opakované</w:t>
      </w:r>
      <w:r>
        <w:t xml:space="preserve"> </w:t>
      </w:r>
      <w:r w:rsidRPr="00841523">
        <w:t>porušení</w:t>
      </w:r>
      <w:r>
        <w:t xml:space="preserve"> </w:t>
      </w:r>
      <w:r w:rsidRPr="00841523">
        <w:t>téže</w:t>
      </w:r>
      <w:r>
        <w:t xml:space="preserve"> </w:t>
      </w:r>
      <w:r w:rsidRPr="00841523">
        <w:t>povinnosti,</w:t>
      </w:r>
      <w:r>
        <w:t xml:space="preserve"> </w:t>
      </w:r>
      <w:r w:rsidRPr="00841523">
        <w:t>popřípadě</w:t>
      </w:r>
      <w:r>
        <w:t xml:space="preserve"> </w:t>
      </w:r>
      <w:r w:rsidRPr="00841523">
        <w:t>další</w:t>
      </w:r>
      <w:r>
        <w:t xml:space="preserve"> </w:t>
      </w:r>
      <w:r w:rsidRPr="00841523">
        <w:t>okolnosti,</w:t>
      </w:r>
      <w:r>
        <w:t xml:space="preserve"> </w:t>
      </w:r>
      <w:r w:rsidRPr="00841523">
        <w:t>za</w:t>
      </w:r>
      <w:r>
        <w:t xml:space="preserve"> </w:t>
      </w:r>
      <w:r w:rsidRPr="00841523">
        <w:t>nichž</w:t>
      </w:r>
      <w:r>
        <w:t xml:space="preserve"> </w:t>
      </w:r>
      <w:r w:rsidRPr="00841523">
        <w:t>k</w:t>
      </w:r>
      <w:r>
        <w:t xml:space="preserve"> </w:t>
      </w:r>
      <w:r w:rsidRPr="00841523">
        <w:t>porušení</w:t>
      </w:r>
      <w:r>
        <w:t xml:space="preserve"> </w:t>
      </w:r>
      <w:r w:rsidRPr="00841523">
        <w:t>povinnosti</w:t>
      </w:r>
      <w:r>
        <w:t xml:space="preserve"> </w:t>
      </w:r>
      <w:r w:rsidRPr="00841523">
        <w:t>došlo.</w:t>
      </w:r>
      <w:r>
        <w:t xml:space="preserve"> </w:t>
      </w:r>
      <w:r w:rsidRPr="00841523">
        <w:t>Porušením</w:t>
      </w:r>
      <w:r>
        <w:t xml:space="preserve"> </w:t>
      </w:r>
      <w:r w:rsidRPr="00841523">
        <w:t>povinnosti</w:t>
      </w:r>
      <w:r>
        <w:t xml:space="preserve"> </w:t>
      </w:r>
      <w:r w:rsidRPr="00841523">
        <w:t>se</w:t>
      </w:r>
      <w:r>
        <w:t xml:space="preserve"> </w:t>
      </w:r>
      <w:r w:rsidRPr="00841523">
        <w:t>pro</w:t>
      </w:r>
      <w:r>
        <w:t xml:space="preserve"> </w:t>
      </w:r>
      <w:r w:rsidRPr="00841523">
        <w:t>účely</w:t>
      </w:r>
      <w:r>
        <w:t xml:space="preserve"> </w:t>
      </w:r>
      <w:r w:rsidRPr="00841523">
        <w:t>tohoto</w:t>
      </w:r>
      <w:r>
        <w:t xml:space="preserve"> </w:t>
      </w:r>
      <w:r w:rsidRPr="00841523">
        <w:t>ustanovení</w:t>
      </w:r>
      <w:r>
        <w:t xml:space="preserve"> </w:t>
      </w:r>
      <w:r w:rsidRPr="00841523">
        <w:t>rozumí</w:t>
      </w:r>
      <w:r>
        <w:t xml:space="preserve"> </w:t>
      </w:r>
      <w:r w:rsidRPr="00841523">
        <w:t>porušení</w:t>
      </w:r>
      <w:r>
        <w:t xml:space="preserve"> </w:t>
      </w:r>
      <w:r w:rsidRPr="00841523">
        <w:t>povinnosti,</w:t>
      </w:r>
      <w:r>
        <w:t xml:space="preserve"> </w:t>
      </w:r>
      <w:r w:rsidRPr="00841523">
        <w:t>kterou</w:t>
      </w:r>
      <w:r>
        <w:t xml:space="preserve"> </w:t>
      </w:r>
      <w:r w:rsidRPr="00841523">
        <w:t>tento</w:t>
      </w:r>
      <w:r>
        <w:t xml:space="preserve"> </w:t>
      </w:r>
      <w:r w:rsidRPr="00841523">
        <w:t>zákon</w:t>
      </w:r>
      <w:r>
        <w:t xml:space="preserve"> </w:t>
      </w:r>
      <w:r w:rsidRPr="00841523">
        <w:t>stanoví</w:t>
      </w:r>
      <w:r>
        <w:t xml:space="preserve"> </w:t>
      </w:r>
      <w:r w:rsidRPr="00841523">
        <w:t>provozovateli</w:t>
      </w:r>
      <w:r>
        <w:t xml:space="preserve"> </w:t>
      </w:r>
      <w:r w:rsidRPr="00841523">
        <w:t>kolektivního</w:t>
      </w:r>
      <w:r>
        <w:t xml:space="preserve"> </w:t>
      </w:r>
      <w:r w:rsidRPr="00841523">
        <w:t>systému,</w:t>
      </w:r>
      <w:r>
        <w:t xml:space="preserve"> </w:t>
      </w:r>
      <w:r w:rsidRPr="00841523">
        <w:t>společníkům</w:t>
      </w:r>
      <w:r>
        <w:t xml:space="preserve"> </w:t>
      </w:r>
      <w:r w:rsidRPr="00841523">
        <w:t>provozovatele</w:t>
      </w:r>
      <w:r>
        <w:t xml:space="preserve"> </w:t>
      </w:r>
      <w:r w:rsidRPr="00841523">
        <w:t>kolektivního</w:t>
      </w:r>
      <w:r>
        <w:t xml:space="preserve"> </w:t>
      </w:r>
      <w:r w:rsidRPr="00841523">
        <w:t>systému,</w:t>
      </w:r>
      <w:r>
        <w:t xml:space="preserve"> </w:t>
      </w:r>
      <w:r w:rsidRPr="00841523">
        <w:t>nebo</w:t>
      </w:r>
      <w:r>
        <w:t xml:space="preserve"> </w:t>
      </w:r>
      <w:r w:rsidRPr="00841523">
        <w:t>porušení</w:t>
      </w:r>
      <w:r>
        <w:t xml:space="preserve"> </w:t>
      </w:r>
      <w:r w:rsidRPr="00841523">
        <w:t>podmínek</w:t>
      </w:r>
      <w:r>
        <w:t xml:space="preserve"> </w:t>
      </w:r>
      <w:r w:rsidRPr="00841523">
        <w:t>stanovených</w:t>
      </w:r>
      <w:r>
        <w:t xml:space="preserve"> </w:t>
      </w:r>
      <w:r w:rsidRPr="00841523">
        <w:t>v</w:t>
      </w:r>
      <w:r>
        <w:t xml:space="preserve"> </w:t>
      </w:r>
      <w:r w:rsidRPr="00841523">
        <w:t>rozhodnutí</w:t>
      </w:r>
      <w:r>
        <w:t xml:space="preserve"> </w:t>
      </w:r>
      <w:r w:rsidRPr="00841523">
        <w:t>o</w:t>
      </w:r>
      <w:r>
        <w:t xml:space="preserve"> </w:t>
      </w:r>
      <w:r w:rsidRPr="00841523">
        <w:t>vydání</w:t>
      </w:r>
      <w:r>
        <w:t xml:space="preserve"> </w:t>
      </w:r>
      <w:r w:rsidRPr="00841523">
        <w:t>oprávnění</w:t>
      </w:r>
      <w:r>
        <w:t xml:space="preserve"> </w:t>
      </w:r>
      <w:r w:rsidRPr="00841523">
        <w:t>k</w:t>
      </w:r>
      <w:r>
        <w:t xml:space="preserve"> </w:t>
      </w:r>
      <w:r w:rsidRPr="00841523">
        <w:t>provozování</w:t>
      </w:r>
      <w:r>
        <w:t xml:space="preserve"> </w:t>
      </w:r>
      <w:r w:rsidRPr="00841523">
        <w:t>kolektivního</w:t>
      </w:r>
      <w:r>
        <w:t xml:space="preserve"> </w:t>
      </w:r>
      <w:r w:rsidRPr="00841523">
        <w:t>systému.</w:t>
      </w:r>
    </w:p>
    <w:p w14:paraId="38D15F50" w14:textId="77777777" w:rsidR="00C62C41" w:rsidRDefault="00C62C41" w:rsidP="009876EF">
      <w:pPr>
        <w:pStyle w:val="Textparagrafu"/>
        <w:tabs>
          <w:tab w:val="left" w:pos="392"/>
          <w:tab w:val="left" w:pos="840"/>
        </w:tabs>
        <w:spacing w:before="120" w:after="120"/>
      </w:pPr>
      <w:r w:rsidRPr="00841523">
        <w:t>(5)</w:t>
      </w:r>
      <w:r>
        <w:t xml:space="preserve"> </w:t>
      </w:r>
      <w:r w:rsidRPr="00841523">
        <w:t>Za</w:t>
      </w:r>
      <w:r>
        <w:t xml:space="preserve"> </w:t>
      </w:r>
      <w:r w:rsidRPr="00841523">
        <w:t>závažné</w:t>
      </w:r>
      <w:r>
        <w:t xml:space="preserve"> </w:t>
      </w:r>
      <w:r w:rsidRPr="00841523">
        <w:t>porušení</w:t>
      </w:r>
      <w:r>
        <w:t xml:space="preserve"> </w:t>
      </w:r>
      <w:r w:rsidRPr="00841523">
        <w:t>povinnosti</w:t>
      </w:r>
      <w:r>
        <w:t xml:space="preserve"> </w:t>
      </w:r>
      <w:r w:rsidRPr="00841523">
        <w:t>provozovatele</w:t>
      </w:r>
      <w:r>
        <w:t xml:space="preserve"> </w:t>
      </w:r>
      <w:r w:rsidRPr="00841523">
        <w:t>kolektivního</w:t>
      </w:r>
      <w:r>
        <w:t xml:space="preserve"> </w:t>
      </w:r>
      <w:r w:rsidRPr="00841523">
        <w:t>systému</w:t>
      </w:r>
      <w:r>
        <w:t xml:space="preserve"> </w:t>
      </w:r>
      <w:r w:rsidRPr="00841523">
        <w:t>se</w:t>
      </w:r>
      <w:r>
        <w:t xml:space="preserve"> </w:t>
      </w:r>
      <w:r w:rsidRPr="00841523">
        <w:t>považuje</w:t>
      </w:r>
      <w:r>
        <w:t xml:space="preserve"> </w:t>
      </w:r>
      <w:r w:rsidRPr="00841523">
        <w:t>zejména</w:t>
      </w:r>
    </w:p>
    <w:p w14:paraId="5342552F" w14:textId="77777777" w:rsidR="00C62C41" w:rsidRDefault="00C62C41" w:rsidP="003058E0">
      <w:pPr>
        <w:pStyle w:val="Textparagrafu"/>
        <w:tabs>
          <w:tab w:val="left" w:pos="392"/>
          <w:tab w:val="left" w:pos="840"/>
        </w:tabs>
        <w:spacing w:before="0"/>
        <w:ind w:left="426" w:hanging="426"/>
      </w:pPr>
      <w:r w:rsidRPr="00841523">
        <w:t>a)</w:t>
      </w:r>
      <w:r>
        <w:tab/>
      </w:r>
      <w:r w:rsidRPr="00841523">
        <w:t>vykonávání</w:t>
      </w:r>
      <w:r>
        <w:t xml:space="preserve"> </w:t>
      </w:r>
      <w:r w:rsidRPr="00841523">
        <w:t>činnosti,</w:t>
      </w:r>
      <w:r>
        <w:t xml:space="preserve"> </w:t>
      </w:r>
      <w:r w:rsidRPr="00841523">
        <w:t>kterou</w:t>
      </w:r>
      <w:r>
        <w:t xml:space="preserve"> </w:t>
      </w:r>
      <w:r w:rsidRPr="00841523">
        <w:t>tento</w:t>
      </w:r>
      <w:r>
        <w:t xml:space="preserve"> </w:t>
      </w:r>
      <w:r w:rsidRPr="00841523">
        <w:t>zákon</w:t>
      </w:r>
      <w:r>
        <w:t xml:space="preserve"> </w:t>
      </w:r>
      <w:r w:rsidRPr="00841523">
        <w:t>nedovoluje</w:t>
      </w:r>
      <w:r>
        <w:t xml:space="preserve"> </w:t>
      </w:r>
      <w:r w:rsidRPr="00841523">
        <w:t>provozovateli</w:t>
      </w:r>
      <w:r>
        <w:t xml:space="preserve"> </w:t>
      </w:r>
      <w:r w:rsidRPr="00841523">
        <w:t>kolektivního</w:t>
      </w:r>
      <w:r>
        <w:t xml:space="preserve"> </w:t>
      </w:r>
      <w:r w:rsidRPr="00841523">
        <w:t>systému</w:t>
      </w:r>
      <w:r>
        <w:t xml:space="preserve"> </w:t>
      </w:r>
      <w:r w:rsidRPr="00841523">
        <w:t>vykonávat,</w:t>
      </w:r>
    </w:p>
    <w:p w14:paraId="32CABB20" w14:textId="77777777" w:rsidR="00C62C41" w:rsidRDefault="00C62C41" w:rsidP="003058E0">
      <w:pPr>
        <w:pStyle w:val="Textparagrafu"/>
        <w:tabs>
          <w:tab w:val="left" w:pos="392"/>
          <w:tab w:val="left" w:pos="840"/>
        </w:tabs>
        <w:spacing w:before="0"/>
        <w:ind w:left="426" w:hanging="426"/>
      </w:pPr>
      <w:r w:rsidRPr="00841523">
        <w:t>b)</w:t>
      </w:r>
      <w:r>
        <w:tab/>
      </w:r>
      <w:r w:rsidRPr="00841523">
        <w:t>použití</w:t>
      </w:r>
      <w:r>
        <w:t xml:space="preserve"> </w:t>
      </w:r>
      <w:r w:rsidRPr="00841523">
        <w:t>peněžních</w:t>
      </w:r>
      <w:r>
        <w:t xml:space="preserve"> </w:t>
      </w:r>
      <w:r w:rsidRPr="00841523">
        <w:t>prostředků</w:t>
      </w:r>
      <w:r>
        <w:t xml:space="preserve"> </w:t>
      </w:r>
      <w:r w:rsidRPr="00841523">
        <w:t>získaných</w:t>
      </w:r>
      <w:r>
        <w:t xml:space="preserve"> </w:t>
      </w:r>
      <w:r w:rsidRPr="00841523">
        <w:t>z</w:t>
      </w:r>
      <w:r>
        <w:t xml:space="preserve"> </w:t>
      </w:r>
      <w:r w:rsidRPr="00841523">
        <w:t>příspěvků</w:t>
      </w:r>
      <w:r>
        <w:t xml:space="preserve"> </w:t>
      </w:r>
      <w:r w:rsidRPr="00841523">
        <w:t>výrobců</w:t>
      </w:r>
      <w:r>
        <w:t xml:space="preserve"> </w:t>
      </w:r>
      <w:r w:rsidRPr="00841523">
        <w:t>nebo</w:t>
      </w:r>
      <w:r>
        <w:t xml:space="preserve"> </w:t>
      </w:r>
      <w:r w:rsidRPr="00841523">
        <w:t>provozovatelů</w:t>
      </w:r>
      <w:r>
        <w:t xml:space="preserve"> </w:t>
      </w:r>
      <w:r w:rsidRPr="00841523">
        <w:t>solárních</w:t>
      </w:r>
      <w:r>
        <w:t xml:space="preserve"> </w:t>
      </w:r>
      <w:r w:rsidRPr="00841523">
        <w:t>elektráren</w:t>
      </w:r>
      <w:r>
        <w:t xml:space="preserve"> </w:t>
      </w:r>
      <w:r w:rsidRPr="00841523">
        <w:t>podle</w:t>
      </w:r>
      <w:r>
        <w:t xml:space="preserve"> </w:t>
      </w:r>
      <w:r w:rsidRPr="00841523">
        <w:t>§</w:t>
      </w:r>
      <w:r>
        <w:t xml:space="preserve"> </w:t>
      </w:r>
      <w:r w:rsidRPr="00841523">
        <w:t>72</w:t>
      </w:r>
      <w:r>
        <w:t xml:space="preserve"> </w:t>
      </w:r>
      <w:r w:rsidRPr="00841523">
        <w:t>odst.</w:t>
      </w:r>
      <w:r>
        <w:t xml:space="preserve"> </w:t>
      </w:r>
      <w:r w:rsidRPr="00841523">
        <w:t>1</w:t>
      </w:r>
      <w:r>
        <w:t xml:space="preserve"> </w:t>
      </w:r>
      <w:r w:rsidRPr="00841523">
        <w:t>nebo</w:t>
      </w:r>
      <w:r>
        <w:t xml:space="preserve"> </w:t>
      </w:r>
      <w:r w:rsidRPr="00841523">
        <w:t>zisku</w:t>
      </w:r>
      <w:r>
        <w:t xml:space="preserve"> </w:t>
      </w:r>
      <w:r w:rsidRPr="00841523">
        <w:t>z</w:t>
      </w:r>
      <w:r>
        <w:t xml:space="preserve"> </w:t>
      </w:r>
      <w:r w:rsidRPr="00841523">
        <w:t>činnosti</w:t>
      </w:r>
      <w:r>
        <w:t xml:space="preserve"> </w:t>
      </w:r>
      <w:r w:rsidRPr="00841523">
        <w:t>v</w:t>
      </w:r>
      <w:r>
        <w:t xml:space="preserve"> </w:t>
      </w:r>
      <w:r w:rsidRPr="00841523">
        <w:t>rozporu</w:t>
      </w:r>
      <w:r>
        <w:t xml:space="preserve"> </w:t>
      </w:r>
      <w:r w:rsidRPr="00841523">
        <w:t>s</w:t>
      </w:r>
      <w:r>
        <w:t xml:space="preserve"> </w:t>
      </w:r>
      <w:r w:rsidRPr="00841523">
        <w:t>tímto</w:t>
      </w:r>
      <w:r>
        <w:t xml:space="preserve"> </w:t>
      </w:r>
      <w:r w:rsidRPr="00841523">
        <w:t>zákonem,</w:t>
      </w:r>
    </w:p>
    <w:p w14:paraId="2679864E" w14:textId="77777777" w:rsidR="00C62C41" w:rsidRDefault="00C62C41" w:rsidP="003058E0">
      <w:pPr>
        <w:pStyle w:val="Textparagrafu"/>
        <w:tabs>
          <w:tab w:val="left" w:pos="392"/>
          <w:tab w:val="left" w:pos="840"/>
        </w:tabs>
        <w:spacing w:before="0"/>
        <w:ind w:left="426" w:hanging="426"/>
      </w:pPr>
      <w:r w:rsidRPr="00841523">
        <w:t>c)</w:t>
      </w:r>
      <w:r>
        <w:tab/>
      </w:r>
      <w:r w:rsidRPr="00841523">
        <w:t>nesplnění</w:t>
      </w:r>
      <w:r>
        <w:t xml:space="preserve"> </w:t>
      </w:r>
      <w:r w:rsidRPr="00841523">
        <w:t>povinnosti</w:t>
      </w:r>
      <w:r>
        <w:t xml:space="preserve"> </w:t>
      </w:r>
      <w:r w:rsidRPr="00841523">
        <w:t>vytvořit</w:t>
      </w:r>
      <w:r>
        <w:t xml:space="preserve"> </w:t>
      </w:r>
      <w:r w:rsidRPr="00841523">
        <w:t>a</w:t>
      </w:r>
      <w:r>
        <w:t xml:space="preserve"> </w:t>
      </w:r>
      <w:r w:rsidRPr="00841523">
        <w:t>doplňovat</w:t>
      </w:r>
      <w:r>
        <w:t xml:space="preserve"> </w:t>
      </w:r>
      <w:r w:rsidRPr="00841523">
        <w:t>rezervu</w:t>
      </w:r>
      <w:r>
        <w:t xml:space="preserve"> </w:t>
      </w:r>
      <w:r w:rsidRPr="00841523">
        <w:t>podle</w:t>
      </w:r>
      <w:r>
        <w:t xml:space="preserve"> </w:t>
      </w:r>
      <w:r w:rsidRPr="00841523">
        <w:t>§</w:t>
      </w:r>
      <w:r>
        <w:t xml:space="preserve"> </w:t>
      </w:r>
      <w:r w:rsidRPr="00841523">
        <w:t>48</w:t>
      </w:r>
      <w:r>
        <w:t xml:space="preserve"> </w:t>
      </w:r>
      <w:r w:rsidRPr="00841523">
        <w:t>nebo</w:t>
      </w:r>
      <w:r>
        <w:t xml:space="preserve"> </w:t>
      </w:r>
      <w:r w:rsidRPr="00841523">
        <w:t>její</w:t>
      </w:r>
      <w:r>
        <w:t xml:space="preserve"> </w:t>
      </w:r>
      <w:r w:rsidRPr="00841523">
        <w:t>použití</w:t>
      </w:r>
      <w:r>
        <w:t xml:space="preserve"> </w:t>
      </w:r>
      <w:r w:rsidRPr="00841523">
        <w:t>v</w:t>
      </w:r>
      <w:r>
        <w:t xml:space="preserve"> </w:t>
      </w:r>
      <w:r w:rsidRPr="00841523">
        <w:t>rozporu</w:t>
      </w:r>
      <w:r>
        <w:t xml:space="preserve"> </w:t>
      </w:r>
      <w:r w:rsidRPr="00841523">
        <w:t>s</w:t>
      </w:r>
      <w:r>
        <w:t xml:space="preserve"> </w:t>
      </w:r>
      <w:r w:rsidRPr="00841523">
        <w:t>tímto</w:t>
      </w:r>
      <w:r>
        <w:t xml:space="preserve"> </w:t>
      </w:r>
      <w:r w:rsidRPr="00841523">
        <w:t>zákonem,</w:t>
      </w:r>
    </w:p>
    <w:p w14:paraId="1F222359" w14:textId="77777777" w:rsidR="00C62C41" w:rsidRDefault="00C62C41" w:rsidP="003058E0">
      <w:pPr>
        <w:pStyle w:val="Textparagrafu"/>
        <w:tabs>
          <w:tab w:val="left" w:pos="392"/>
          <w:tab w:val="left" w:pos="840"/>
        </w:tabs>
        <w:spacing w:before="0"/>
        <w:ind w:left="426" w:hanging="426"/>
      </w:pPr>
      <w:r w:rsidRPr="00841523">
        <w:lastRenderedPageBreak/>
        <w:t>d)</w:t>
      </w:r>
      <w:r>
        <w:tab/>
      </w:r>
      <w:r w:rsidRPr="00841523">
        <w:t>nesplnění</w:t>
      </w:r>
      <w:r>
        <w:t xml:space="preserve"> </w:t>
      </w:r>
      <w:r w:rsidRPr="00841523">
        <w:t>povinnosti</w:t>
      </w:r>
      <w:r>
        <w:t xml:space="preserve"> </w:t>
      </w:r>
      <w:r w:rsidRPr="001B08DB">
        <w:rPr>
          <w:strike/>
        </w:rPr>
        <w:t>mít účetní závěrku ověřenou auditorem</w:t>
      </w:r>
      <w:r>
        <w:t xml:space="preserve"> </w:t>
      </w:r>
      <w:r w:rsidRPr="00552AEB">
        <w:rPr>
          <w:b/>
        </w:rPr>
        <w:t>auditu řádné individuální účetní závěrky</w:t>
      </w:r>
      <w:r w:rsidRPr="00841523">
        <w:t xml:space="preserve"> podle</w:t>
      </w:r>
      <w:r>
        <w:t xml:space="preserve"> </w:t>
      </w:r>
      <w:r w:rsidRPr="00841523">
        <w:t>§</w:t>
      </w:r>
      <w:r>
        <w:t xml:space="preserve"> </w:t>
      </w:r>
      <w:r w:rsidRPr="00841523">
        <w:t>53</w:t>
      </w:r>
      <w:r>
        <w:t xml:space="preserve"> </w:t>
      </w:r>
      <w:r w:rsidRPr="00841523">
        <w:t>odst.</w:t>
      </w:r>
      <w:r>
        <w:t xml:space="preserve"> </w:t>
      </w:r>
      <w:r w:rsidRPr="00841523">
        <w:t>1</w:t>
      </w:r>
      <w:r>
        <w:t xml:space="preserve"> </w:t>
      </w:r>
      <w:r w:rsidRPr="00841523">
        <w:t>nebo</w:t>
      </w:r>
      <w:r>
        <w:t xml:space="preserve"> </w:t>
      </w:r>
      <w:r w:rsidRPr="00841523">
        <w:t>nesplnění</w:t>
      </w:r>
      <w:r>
        <w:t xml:space="preserve"> </w:t>
      </w:r>
      <w:r w:rsidRPr="00841523">
        <w:t>povinnosti</w:t>
      </w:r>
      <w:r>
        <w:t xml:space="preserve"> </w:t>
      </w:r>
      <w:r w:rsidRPr="00841523">
        <w:t>zajistit</w:t>
      </w:r>
      <w:r>
        <w:t xml:space="preserve"> </w:t>
      </w:r>
      <w:r w:rsidRPr="00841523">
        <w:t>ověření</w:t>
      </w:r>
      <w:r>
        <w:t xml:space="preserve"> </w:t>
      </w:r>
      <w:r w:rsidRPr="00841523">
        <w:t>údajů</w:t>
      </w:r>
      <w:r>
        <w:t xml:space="preserve"> </w:t>
      </w:r>
      <w:r w:rsidRPr="00841523">
        <w:t>podle</w:t>
      </w:r>
      <w:r>
        <w:t xml:space="preserve"> </w:t>
      </w:r>
      <w:r w:rsidRPr="00841523">
        <w:t>§</w:t>
      </w:r>
      <w:r>
        <w:t xml:space="preserve"> </w:t>
      </w:r>
      <w:r w:rsidRPr="00841523">
        <w:t>53</w:t>
      </w:r>
      <w:r>
        <w:t xml:space="preserve"> </w:t>
      </w:r>
      <w:r w:rsidRPr="00841523">
        <w:t>odst.</w:t>
      </w:r>
      <w:r>
        <w:t xml:space="preserve"> </w:t>
      </w:r>
      <w:r w:rsidRPr="00841523">
        <w:t>2</w:t>
      </w:r>
      <w:r>
        <w:t xml:space="preserve"> </w:t>
      </w:r>
      <w:r w:rsidRPr="00841523">
        <w:t>a</w:t>
      </w:r>
      <w:r>
        <w:t xml:space="preserve"> </w:t>
      </w:r>
      <w:r w:rsidRPr="00841523">
        <w:t>3,</w:t>
      </w:r>
    </w:p>
    <w:p w14:paraId="7BB2CBF8" w14:textId="77777777" w:rsidR="00C62C41" w:rsidRDefault="00C62C41" w:rsidP="003058E0">
      <w:pPr>
        <w:pStyle w:val="Textparagrafu"/>
        <w:tabs>
          <w:tab w:val="left" w:pos="392"/>
          <w:tab w:val="left" w:pos="840"/>
        </w:tabs>
        <w:spacing w:before="0"/>
        <w:ind w:left="426" w:hanging="426"/>
      </w:pPr>
      <w:r w:rsidRPr="00841523">
        <w:t>e)</w:t>
      </w:r>
      <w:r>
        <w:tab/>
      </w:r>
      <w:r w:rsidRPr="00841523">
        <w:t>opakované</w:t>
      </w:r>
      <w:r>
        <w:t xml:space="preserve"> </w:t>
      </w:r>
      <w:r w:rsidRPr="00841523">
        <w:t>nesplnění</w:t>
      </w:r>
      <w:r>
        <w:t xml:space="preserve"> </w:t>
      </w:r>
      <w:r w:rsidRPr="00841523">
        <w:t>povinnosti</w:t>
      </w:r>
      <w:r>
        <w:t xml:space="preserve"> </w:t>
      </w:r>
      <w:r w:rsidRPr="00841523">
        <w:t>dosáhnout</w:t>
      </w:r>
      <w:r>
        <w:t xml:space="preserve"> </w:t>
      </w:r>
      <w:r w:rsidRPr="00841523">
        <w:t>minimální</w:t>
      </w:r>
      <w:r>
        <w:t xml:space="preserve"> </w:t>
      </w:r>
      <w:r w:rsidRPr="00841523">
        <w:t>úrovně</w:t>
      </w:r>
      <w:r>
        <w:t xml:space="preserve"> </w:t>
      </w:r>
      <w:r w:rsidRPr="00841523">
        <w:t>zpětného</w:t>
      </w:r>
      <w:r>
        <w:t xml:space="preserve"> </w:t>
      </w:r>
      <w:r w:rsidRPr="00841523">
        <w:t>odběru,</w:t>
      </w:r>
      <w:r>
        <w:t xml:space="preserve"> </w:t>
      </w:r>
      <w:r w:rsidRPr="00841523">
        <w:t>nebo</w:t>
      </w:r>
    </w:p>
    <w:p w14:paraId="1547E39B" w14:textId="77777777" w:rsidR="00C62C41" w:rsidRDefault="00C62C41" w:rsidP="003058E0">
      <w:pPr>
        <w:pStyle w:val="Textparagrafu"/>
        <w:tabs>
          <w:tab w:val="left" w:pos="392"/>
          <w:tab w:val="left" w:pos="840"/>
        </w:tabs>
        <w:spacing w:before="0"/>
        <w:ind w:left="426" w:hanging="426"/>
      </w:pPr>
      <w:r w:rsidRPr="00841523">
        <w:t>f)</w:t>
      </w:r>
      <w:r>
        <w:tab/>
      </w:r>
      <w:r w:rsidRPr="00841523">
        <w:t>nesplnění</w:t>
      </w:r>
      <w:r>
        <w:t xml:space="preserve"> </w:t>
      </w:r>
      <w:r w:rsidRPr="00841523">
        <w:t>povinnosti</w:t>
      </w:r>
      <w:r>
        <w:t xml:space="preserve"> </w:t>
      </w:r>
      <w:r w:rsidRPr="00841523">
        <w:t>vytvořit</w:t>
      </w:r>
      <w:r>
        <w:t xml:space="preserve"> </w:t>
      </w:r>
      <w:r w:rsidRPr="00841523">
        <w:t>síť</w:t>
      </w:r>
      <w:r>
        <w:t xml:space="preserve"> </w:t>
      </w:r>
      <w:r w:rsidRPr="00841523">
        <w:t>veřejných</w:t>
      </w:r>
      <w:r>
        <w:t xml:space="preserve"> </w:t>
      </w:r>
      <w:r w:rsidRPr="00841523">
        <w:t>míst</w:t>
      </w:r>
      <w:r>
        <w:t xml:space="preserve"> </w:t>
      </w:r>
      <w:r w:rsidRPr="00841523">
        <w:t>zpětného</w:t>
      </w:r>
      <w:r>
        <w:t xml:space="preserve"> </w:t>
      </w:r>
      <w:r w:rsidRPr="00841523">
        <w:t>odběru</w:t>
      </w:r>
      <w:r>
        <w:t xml:space="preserve"> </w:t>
      </w:r>
      <w:r w:rsidRPr="00841523">
        <w:t>podle</w:t>
      </w:r>
      <w:r>
        <w:t xml:space="preserve"> </w:t>
      </w:r>
      <w:r w:rsidRPr="00841523">
        <w:t>požadavků</w:t>
      </w:r>
      <w:r>
        <w:t xml:space="preserve"> </w:t>
      </w:r>
      <w:r w:rsidRPr="00841523">
        <w:t>stanovených</w:t>
      </w:r>
      <w:r>
        <w:t xml:space="preserve"> </w:t>
      </w:r>
      <w:r w:rsidRPr="00841523">
        <w:t>tímto</w:t>
      </w:r>
      <w:r>
        <w:t xml:space="preserve"> </w:t>
      </w:r>
      <w:r w:rsidRPr="00841523">
        <w:t>zákonem.</w:t>
      </w:r>
    </w:p>
    <w:p w14:paraId="01F36430" w14:textId="77777777" w:rsidR="00C62C41" w:rsidRDefault="00C62C41" w:rsidP="009876EF">
      <w:pPr>
        <w:pStyle w:val="Textparagrafu"/>
        <w:tabs>
          <w:tab w:val="left" w:pos="392"/>
          <w:tab w:val="left" w:pos="840"/>
        </w:tabs>
        <w:spacing w:before="120" w:after="120"/>
      </w:pPr>
      <w:r w:rsidRPr="00841523">
        <w:t>(6)</w:t>
      </w:r>
      <w:r>
        <w:t xml:space="preserve"> </w:t>
      </w:r>
      <w:r w:rsidRPr="00841523">
        <w:t>Pokud</w:t>
      </w:r>
      <w:r>
        <w:t xml:space="preserve"> </w:t>
      </w:r>
      <w:r w:rsidRPr="00841523">
        <w:t>se</w:t>
      </w:r>
      <w:r>
        <w:t xml:space="preserve"> </w:t>
      </w:r>
      <w:r w:rsidRPr="00841523">
        <w:t>provozovatel</w:t>
      </w:r>
      <w:r>
        <w:t xml:space="preserve"> </w:t>
      </w:r>
      <w:r w:rsidRPr="00841523">
        <w:t>kolektivního</w:t>
      </w:r>
      <w:r>
        <w:t xml:space="preserve"> </w:t>
      </w:r>
      <w:r w:rsidRPr="00841523">
        <w:t>systému</w:t>
      </w:r>
      <w:r>
        <w:t xml:space="preserve"> </w:t>
      </w:r>
      <w:r w:rsidRPr="00841523">
        <w:t>rozhodne,</w:t>
      </w:r>
      <w:r>
        <w:t xml:space="preserve"> </w:t>
      </w:r>
      <w:r w:rsidRPr="00841523">
        <w:t>že</w:t>
      </w:r>
      <w:r>
        <w:t xml:space="preserve"> </w:t>
      </w:r>
      <w:r w:rsidRPr="00841523">
        <w:t>jej</w:t>
      </w:r>
      <w:r>
        <w:t xml:space="preserve"> </w:t>
      </w:r>
      <w:r w:rsidRPr="00841523">
        <w:t>nadále</w:t>
      </w:r>
      <w:r>
        <w:t xml:space="preserve"> </w:t>
      </w:r>
      <w:r w:rsidRPr="00841523">
        <w:t>nebude</w:t>
      </w:r>
      <w:r>
        <w:t xml:space="preserve"> </w:t>
      </w:r>
      <w:r w:rsidRPr="00841523">
        <w:t>provozovat,</w:t>
      </w:r>
      <w:r>
        <w:t xml:space="preserve"> </w:t>
      </w:r>
      <w:r w:rsidRPr="00841523">
        <w:t>je</w:t>
      </w:r>
      <w:r>
        <w:t xml:space="preserve"> </w:t>
      </w:r>
      <w:r w:rsidRPr="00841523">
        <w:t>povinen</w:t>
      </w:r>
      <w:r>
        <w:t xml:space="preserve"> </w:t>
      </w:r>
      <w:r w:rsidRPr="00841523">
        <w:t>bezodkladně</w:t>
      </w:r>
      <w:r>
        <w:t xml:space="preserve"> </w:t>
      </w:r>
      <w:r w:rsidRPr="00841523">
        <w:t>podat</w:t>
      </w:r>
      <w:r>
        <w:t xml:space="preserve"> </w:t>
      </w:r>
      <w:r w:rsidRPr="00841523">
        <w:t>žádost</w:t>
      </w:r>
      <w:r>
        <w:t xml:space="preserve"> </w:t>
      </w:r>
      <w:r w:rsidRPr="00841523">
        <w:t>o</w:t>
      </w:r>
      <w:r>
        <w:t xml:space="preserve"> </w:t>
      </w:r>
      <w:r w:rsidRPr="00841523">
        <w:t>zrušení</w:t>
      </w:r>
      <w:r>
        <w:t xml:space="preserve"> </w:t>
      </w:r>
      <w:r w:rsidRPr="00841523">
        <w:t>oprávnění</w:t>
      </w:r>
      <w:r>
        <w:t xml:space="preserve"> </w:t>
      </w:r>
      <w:r w:rsidRPr="00841523">
        <w:t>k</w:t>
      </w:r>
      <w:r>
        <w:t xml:space="preserve"> </w:t>
      </w:r>
      <w:r w:rsidRPr="00841523">
        <w:t>provozování</w:t>
      </w:r>
      <w:r>
        <w:t xml:space="preserve"> </w:t>
      </w:r>
      <w:r w:rsidRPr="00841523">
        <w:t>kolektivního</w:t>
      </w:r>
      <w:r>
        <w:t xml:space="preserve"> </w:t>
      </w:r>
      <w:r w:rsidRPr="00841523">
        <w:t>systému.</w:t>
      </w:r>
      <w:r>
        <w:t xml:space="preserve"> </w:t>
      </w:r>
      <w:r w:rsidRPr="00841523">
        <w:t>Ministerstvo</w:t>
      </w:r>
      <w:r>
        <w:t xml:space="preserve"> </w:t>
      </w:r>
      <w:r w:rsidRPr="00841523">
        <w:t>na</w:t>
      </w:r>
      <w:r>
        <w:t xml:space="preserve"> </w:t>
      </w:r>
      <w:r w:rsidRPr="00841523">
        <w:t>základě</w:t>
      </w:r>
      <w:r>
        <w:t xml:space="preserve"> </w:t>
      </w:r>
      <w:r w:rsidRPr="00841523">
        <w:t>této</w:t>
      </w:r>
      <w:r>
        <w:t xml:space="preserve"> </w:t>
      </w:r>
      <w:r w:rsidRPr="00841523">
        <w:t>žádosti</w:t>
      </w:r>
      <w:r>
        <w:t xml:space="preserve"> </w:t>
      </w:r>
      <w:r w:rsidRPr="00841523">
        <w:t>rozhodne</w:t>
      </w:r>
      <w:r>
        <w:t xml:space="preserve"> </w:t>
      </w:r>
      <w:r w:rsidRPr="00841523">
        <w:t>o</w:t>
      </w:r>
      <w:r>
        <w:t xml:space="preserve"> </w:t>
      </w:r>
      <w:r w:rsidRPr="00841523">
        <w:t>zrušení</w:t>
      </w:r>
      <w:r>
        <w:t xml:space="preserve"> </w:t>
      </w:r>
      <w:r w:rsidRPr="00841523">
        <w:t>oprávnění</w:t>
      </w:r>
      <w:r>
        <w:t xml:space="preserve"> </w:t>
      </w:r>
      <w:r w:rsidRPr="00841523">
        <w:t>k</w:t>
      </w:r>
      <w:r>
        <w:t xml:space="preserve"> </w:t>
      </w:r>
      <w:r w:rsidRPr="00841523">
        <w:t>provozování</w:t>
      </w:r>
      <w:r>
        <w:t xml:space="preserve"> </w:t>
      </w:r>
      <w:r w:rsidRPr="00841523">
        <w:t>kolektivního</w:t>
      </w:r>
      <w:r>
        <w:t xml:space="preserve"> </w:t>
      </w:r>
      <w:r w:rsidRPr="00841523">
        <w:t>systému</w:t>
      </w:r>
      <w:r>
        <w:t xml:space="preserve"> </w:t>
      </w:r>
      <w:r w:rsidRPr="00841523">
        <w:t>nejdříve</w:t>
      </w:r>
      <w:r>
        <w:t xml:space="preserve"> </w:t>
      </w:r>
      <w:r w:rsidRPr="00841523">
        <w:t>30</w:t>
      </w:r>
      <w:r>
        <w:t xml:space="preserve"> </w:t>
      </w:r>
      <w:r w:rsidRPr="00841523">
        <w:t>dní</w:t>
      </w:r>
      <w:r>
        <w:t xml:space="preserve"> </w:t>
      </w:r>
      <w:r w:rsidRPr="00841523">
        <w:t>poté,</w:t>
      </w:r>
      <w:r>
        <w:t xml:space="preserve"> </w:t>
      </w:r>
      <w:r w:rsidRPr="00841523">
        <w:t>co</w:t>
      </w:r>
      <w:r>
        <w:t xml:space="preserve"> </w:t>
      </w:r>
      <w:r w:rsidRPr="00841523">
        <w:t>mu</w:t>
      </w:r>
      <w:r>
        <w:t xml:space="preserve"> </w:t>
      </w:r>
      <w:r w:rsidRPr="00841523">
        <w:t>provozovatel</w:t>
      </w:r>
      <w:r>
        <w:t xml:space="preserve"> </w:t>
      </w:r>
      <w:r w:rsidRPr="00841523">
        <w:t>kolektivního</w:t>
      </w:r>
      <w:r>
        <w:t xml:space="preserve"> </w:t>
      </w:r>
      <w:r w:rsidRPr="00841523">
        <w:t>systému</w:t>
      </w:r>
      <w:r>
        <w:t xml:space="preserve"> </w:t>
      </w:r>
      <w:r w:rsidRPr="00841523">
        <w:t>prokázal,</w:t>
      </w:r>
      <w:r>
        <w:t xml:space="preserve"> </w:t>
      </w:r>
      <w:r w:rsidRPr="00841523">
        <w:t>že</w:t>
      </w:r>
      <w:r>
        <w:t xml:space="preserve"> </w:t>
      </w:r>
      <w:r w:rsidRPr="00841523">
        <w:t>o</w:t>
      </w:r>
      <w:r>
        <w:t xml:space="preserve"> </w:t>
      </w:r>
      <w:r w:rsidRPr="00841523">
        <w:t>zamýšleném</w:t>
      </w:r>
      <w:r>
        <w:t xml:space="preserve"> </w:t>
      </w:r>
      <w:r w:rsidRPr="00841523">
        <w:t>ukončení</w:t>
      </w:r>
      <w:r>
        <w:t xml:space="preserve"> </w:t>
      </w:r>
      <w:r w:rsidRPr="00841523">
        <w:t>činnosti</w:t>
      </w:r>
      <w:r>
        <w:t xml:space="preserve"> </w:t>
      </w:r>
      <w:r w:rsidRPr="00841523">
        <w:t>informoval</w:t>
      </w:r>
      <w:r>
        <w:t xml:space="preserve"> </w:t>
      </w:r>
      <w:r w:rsidRPr="00841523">
        <w:t>nejméně</w:t>
      </w:r>
      <w:r>
        <w:t xml:space="preserve"> </w:t>
      </w:r>
      <w:r w:rsidRPr="00841523">
        <w:t>6</w:t>
      </w:r>
      <w:r>
        <w:t xml:space="preserve"> </w:t>
      </w:r>
      <w:r w:rsidRPr="00841523">
        <w:t>měsíců</w:t>
      </w:r>
      <w:r>
        <w:t xml:space="preserve"> </w:t>
      </w:r>
      <w:r w:rsidRPr="00841523">
        <w:t>předem</w:t>
      </w:r>
      <w:r>
        <w:t xml:space="preserve"> </w:t>
      </w:r>
      <w:r w:rsidRPr="00841523">
        <w:t>výrobce,</w:t>
      </w:r>
      <w:r>
        <w:t xml:space="preserve"> </w:t>
      </w:r>
      <w:r w:rsidRPr="00841523">
        <w:t>s</w:t>
      </w:r>
      <w:r>
        <w:t xml:space="preserve"> </w:t>
      </w:r>
      <w:r w:rsidRPr="00841523">
        <w:t>nimiž</w:t>
      </w:r>
      <w:r>
        <w:t xml:space="preserve"> </w:t>
      </w:r>
      <w:r w:rsidRPr="00841523">
        <w:t>uzavřel</w:t>
      </w:r>
      <w:r>
        <w:t xml:space="preserve"> </w:t>
      </w:r>
      <w:r w:rsidRPr="00841523">
        <w:t>smlouvu</w:t>
      </w:r>
      <w:r>
        <w:t xml:space="preserve"> </w:t>
      </w:r>
      <w:r w:rsidRPr="00841523">
        <w:t>o</w:t>
      </w:r>
      <w:r>
        <w:t xml:space="preserve"> </w:t>
      </w:r>
      <w:r w:rsidRPr="00841523">
        <w:t>kolektivním</w:t>
      </w:r>
      <w:r>
        <w:t xml:space="preserve"> </w:t>
      </w:r>
      <w:r w:rsidRPr="00841523">
        <w:t>plnění,</w:t>
      </w:r>
      <w:r>
        <w:t xml:space="preserve"> </w:t>
      </w:r>
      <w:r w:rsidRPr="00841523">
        <w:t>obce,</w:t>
      </w:r>
      <w:r>
        <w:t xml:space="preserve"> </w:t>
      </w:r>
      <w:r w:rsidRPr="00841523">
        <w:t>s</w:t>
      </w:r>
      <w:r>
        <w:t xml:space="preserve"> </w:t>
      </w:r>
      <w:r w:rsidRPr="00841523">
        <w:t>nimiž</w:t>
      </w:r>
      <w:r>
        <w:t xml:space="preserve"> </w:t>
      </w:r>
      <w:r w:rsidRPr="00841523">
        <w:t>uzavřel</w:t>
      </w:r>
      <w:r>
        <w:t xml:space="preserve"> </w:t>
      </w:r>
      <w:r w:rsidRPr="00841523">
        <w:t>smlouvu</w:t>
      </w:r>
      <w:r>
        <w:t xml:space="preserve"> </w:t>
      </w:r>
      <w:r w:rsidRPr="00841523">
        <w:t>o</w:t>
      </w:r>
      <w:r>
        <w:t xml:space="preserve"> </w:t>
      </w:r>
      <w:r w:rsidRPr="00841523">
        <w:t>využití</w:t>
      </w:r>
      <w:r>
        <w:t xml:space="preserve"> </w:t>
      </w:r>
      <w:r w:rsidRPr="00841523">
        <w:t>systému</w:t>
      </w:r>
      <w:r>
        <w:t xml:space="preserve"> </w:t>
      </w:r>
      <w:r w:rsidRPr="00841523">
        <w:t>nakládání</w:t>
      </w:r>
      <w:r>
        <w:t xml:space="preserve"> </w:t>
      </w:r>
      <w:r w:rsidRPr="00841523">
        <w:t>s</w:t>
      </w:r>
      <w:r>
        <w:t xml:space="preserve"> </w:t>
      </w:r>
      <w:r w:rsidRPr="00841523">
        <w:t>komunálním</w:t>
      </w:r>
      <w:r>
        <w:t xml:space="preserve"> </w:t>
      </w:r>
      <w:r w:rsidRPr="00841523">
        <w:t>odpadem</w:t>
      </w:r>
      <w:r>
        <w:t xml:space="preserve"> </w:t>
      </w:r>
      <w:r w:rsidRPr="00841523">
        <w:t>stanoveného</w:t>
      </w:r>
      <w:r>
        <w:t xml:space="preserve"> </w:t>
      </w:r>
      <w:r w:rsidRPr="00841523">
        <w:t>obcí,</w:t>
      </w:r>
      <w:r>
        <w:t xml:space="preserve"> </w:t>
      </w:r>
      <w:r w:rsidRPr="00841523">
        <w:t>a</w:t>
      </w:r>
      <w:r>
        <w:t xml:space="preserve"> </w:t>
      </w:r>
      <w:r w:rsidRPr="00841523">
        <w:t>další</w:t>
      </w:r>
      <w:r>
        <w:t xml:space="preserve"> </w:t>
      </w:r>
      <w:r w:rsidRPr="00841523">
        <w:t>osoby,</w:t>
      </w:r>
      <w:r>
        <w:t xml:space="preserve"> </w:t>
      </w:r>
      <w:r w:rsidRPr="00841523">
        <w:t>které</w:t>
      </w:r>
      <w:r>
        <w:t xml:space="preserve"> </w:t>
      </w:r>
      <w:r w:rsidRPr="00841523">
        <w:t>pro</w:t>
      </w:r>
      <w:r>
        <w:t xml:space="preserve"> </w:t>
      </w:r>
      <w:r w:rsidRPr="00841523">
        <w:t>provozovatele</w:t>
      </w:r>
      <w:r>
        <w:t xml:space="preserve"> </w:t>
      </w:r>
      <w:r w:rsidRPr="00841523">
        <w:t>kolektivního</w:t>
      </w:r>
      <w:r>
        <w:t xml:space="preserve"> </w:t>
      </w:r>
      <w:r w:rsidRPr="00841523">
        <w:t>systému</w:t>
      </w:r>
      <w:r>
        <w:t xml:space="preserve"> </w:t>
      </w:r>
      <w:r w:rsidRPr="00841523">
        <w:t>zajišťují</w:t>
      </w:r>
      <w:r>
        <w:t xml:space="preserve"> </w:t>
      </w:r>
      <w:r w:rsidRPr="00841523">
        <w:t>zpětný</w:t>
      </w:r>
      <w:r>
        <w:t xml:space="preserve"> </w:t>
      </w:r>
      <w:r w:rsidRPr="00841523">
        <w:t>odběr</w:t>
      </w:r>
      <w:r>
        <w:t xml:space="preserve"> </w:t>
      </w:r>
      <w:r w:rsidRPr="00841523">
        <w:t>nebo</w:t>
      </w:r>
      <w:r>
        <w:t xml:space="preserve"> </w:t>
      </w:r>
      <w:r w:rsidRPr="00841523">
        <w:t>zpracování</w:t>
      </w:r>
      <w:r>
        <w:t xml:space="preserve"> </w:t>
      </w:r>
      <w:r w:rsidRPr="00841523">
        <w:t>výrobků</w:t>
      </w:r>
      <w:r>
        <w:t xml:space="preserve"> </w:t>
      </w:r>
      <w:r w:rsidRPr="00841523">
        <w:t>s</w:t>
      </w:r>
      <w:r>
        <w:t xml:space="preserve"> </w:t>
      </w:r>
      <w:r w:rsidRPr="00841523">
        <w:t>ukončenou</w:t>
      </w:r>
      <w:r>
        <w:t xml:space="preserve"> </w:t>
      </w:r>
      <w:r w:rsidRPr="00841523">
        <w:t>životností.</w:t>
      </w:r>
    </w:p>
    <w:p w14:paraId="715745B9" w14:textId="77777777" w:rsidR="00C62C41" w:rsidRDefault="00C62C41" w:rsidP="009876EF">
      <w:pPr>
        <w:pStyle w:val="Textparagrafu"/>
        <w:tabs>
          <w:tab w:val="left" w:pos="392"/>
          <w:tab w:val="left" w:pos="840"/>
        </w:tabs>
        <w:spacing w:before="120" w:after="120"/>
      </w:pPr>
      <w:r w:rsidRPr="00841523">
        <w:t>(7)</w:t>
      </w:r>
      <w:r>
        <w:t xml:space="preserve"> </w:t>
      </w:r>
      <w:r w:rsidRPr="00841523">
        <w:t>Účastníkem</w:t>
      </w:r>
      <w:r>
        <w:t xml:space="preserve"> </w:t>
      </w:r>
      <w:r w:rsidRPr="00841523">
        <w:t>řízení</w:t>
      </w:r>
      <w:r>
        <w:t xml:space="preserve"> </w:t>
      </w:r>
      <w:r w:rsidRPr="00841523">
        <w:t>o</w:t>
      </w:r>
      <w:r>
        <w:t xml:space="preserve"> </w:t>
      </w:r>
      <w:r w:rsidRPr="00841523">
        <w:t>zrušení</w:t>
      </w:r>
      <w:r>
        <w:t xml:space="preserve"> </w:t>
      </w:r>
      <w:r w:rsidRPr="00841523">
        <w:t>oprávnění</w:t>
      </w:r>
      <w:r>
        <w:t xml:space="preserve"> </w:t>
      </w:r>
      <w:r w:rsidRPr="00841523">
        <w:t>k</w:t>
      </w:r>
      <w:r>
        <w:t xml:space="preserve"> </w:t>
      </w:r>
      <w:r w:rsidRPr="00841523">
        <w:t>provozování</w:t>
      </w:r>
      <w:r>
        <w:t xml:space="preserve"> </w:t>
      </w:r>
      <w:r w:rsidRPr="00841523">
        <w:t>kolektivního</w:t>
      </w:r>
      <w:r>
        <w:t xml:space="preserve"> </w:t>
      </w:r>
      <w:r w:rsidRPr="00841523">
        <w:t>systému</w:t>
      </w:r>
      <w:r>
        <w:t xml:space="preserve"> </w:t>
      </w:r>
      <w:r w:rsidRPr="00841523">
        <w:t>je</w:t>
      </w:r>
      <w:r>
        <w:t xml:space="preserve"> </w:t>
      </w:r>
      <w:r w:rsidRPr="00841523">
        <w:t>pouze</w:t>
      </w:r>
      <w:r>
        <w:t xml:space="preserve"> </w:t>
      </w:r>
      <w:r w:rsidRPr="00841523">
        <w:t>provozovatel</w:t>
      </w:r>
      <w:r>
        <w:t xml:space="preserve"> </w:t>
      </w:r>
      <w:r w:rsidRPr="00841523">
        <w:t>kolektivního</w:t>
      </w:r>
      <w:r>
        <w:t xml:space="preserve"> </w:t>
      </w:r>
      <w:r w:rsidRPr="00841523">
        <w:t>systému.</w:t>
      </w:r>
    </w:p>
    <w:p w14:paraId="3C1AC491" w14:textId="77777777" w:rsidR="00C62C41" w:rsidRPr="00841523" w:rsidRDefault="00C62C41" w:rsidP="009876EF">
      <w:pPr>
        <w:pStyle w:val="Textparagrafu"/>
        <w:tabs>
          <w:tab w:val="left" w:pos="392"/>
          <w:tab w:val="left" w:pos="840"/>
        </w:tabs>
        <w:spacing w:before="120" w:after="120"/>
      </w:pPr>
      <w:r w:rsidRPr="00841523">
        <w:t>(8)</w:t>
      </w:r>
      <w:r>
        <w:t xml:space="preserve"> </w:t>
      </w:r>
      <w:r w:rsidRPr="00841523">
        <w:t>Po</w:t>
      </w:r>
      <w:r>
        <w:t xml:space="preserve"> </w:t>
      </w:r>
      <w:r w:rsidRPr="00841523">
        <w:t>zániku</w:t>
      </w:r>
      <w:r>
        <w:t xml:space="preserve"> </w:t>
      </w:r>
      <w:r w:rsidRPr="00841523">
        <w:t>oprávnění</w:t>
      </w:r>
      <w:r>
        <w:t xml:space="preserve"> </w:t>
      </w:r>
      <w:r w:rsidRPr="00841523">
        <w:t>k</w:t>
      </w:r>
      <w:r>
        <w:t xml:space="preserve"> </w:t>
      </w:r>
      <w:r w:rsidRPr="00841523">
        <w:t>provozování</w:t>
      </w:r>
      <w:r>
        <w:t xml:space="preserve"> </w:t>
      </w:r>
      <w:r w:rsidRPr="00841523">
        <w:t>kolektivního</w:t>
      </w:r>
      <w:r>
        <w:t xml:space="preserve"> </w:t>
      </w:r>
      <w:r w:rsidRPr="00841523">
        <w:t>systému</w:t>
      </w:r>
      <w:r>
        <w:t xml:space="preserve"> </w:t>
      </w:r>
      <w:r w:rsidRPr="00841523">
        <w:t>nesmí</w:t>
      </w:r>
      <w:r>
        <w:t xml:space="preserve"> </w:t>
      </w:r>
      <w:r w:rsidRPr="00841523">
        <w:t>právnická</w:t>
      </w:r>
      <w:r>
        <w:t xml:space="preserve"> </w:t>
      </w:r>
      <w:r w:rsidRPr="00841523">
        <w:t>osoba,</w:t>
      </w:r>
      <w:r>
        <w:t xml:space="preserve"> </w:t>
      </w:r>
      <w:r w:rsidRPr="00841523">
        <w:t>jejíž</w:t>
      </w:r>
      <w:r>
        <w:t xml:space="preserve"> </w:t>
      </w:r>
      <w:r w:rsidRPr="00841523">
        <w:t>oprávnění</w:t>
      </w:r>
      <w:r>
        <w:t xml:space="preserve"> </w:t>
      </w:r>
      <w:r w:rsidRPr="00841523">
        <w:t>k</w:t>
      </w:r>
      <w:r>
        <w:t xml:space="preserve"> </w:t>
      </w:r>
      <w:r w:rsidRPr="00841523">
        <w:t>provozování</w:t>
      </w:r>
      <w:r>
        <w:t xml:space="preserve"> </w:t>
      </w:r>
      <w:r w:rsidRPr="00841523">
        <w:t>kolektivního</w:t>
      </w:r>
      <w:r>
        <w:t xml:space="preserve"> </w:t>
      </w:r>
      <w:r w:rsidRPr="00841523">
        <w:t>systému</w:t>
      </w:r>
      <w:r>
        <w:t xml:space="preserve"> </w:t>
      </w:r>
      <w:r w:rsidRPr="00841523">
        <w:t>zaniklo,</w:t>
      </w:r>
      <w:r>
        <w:t xml:space="preserve"> </w:t>
      </w:r>
      <w:r w:rsidRPr="00841523">
        <w:t>převést</w:t>
      </w:r>
      <w:r>
        <w:t xml:space="preserve"> </w:t>
      </w:r>
      <w:r w:rsidRPr="00841523">
        <w:t>žádné</w:t>
      </w:r>
      <w:r>
        <w:t xml:space="preserve"> </w:t>
      </w:r>
      <w:r w:rsidRPr="00841523">
        <w:t>peněžní</w:t>
      </w:r>
      <w:r>
        <w:t xml:space="preserve"> </w:t>
      </w:r>
      <w:r w:rsidRPr="00841523">
        <w:t>prostředky</w:t>
      </w:r>
      <w:r>
        <w:t xml:space="preserve"> </w:t>
      </w:r>
      <w:r w:rsidRPr="00841523">
        <w:t>ani</w:t>
      </w:r>
      <w:r>
        <w:t xml:space="preserve"> </w:t>
      </w:r>
      <w:r w:rsidRPr="00841523">
        <w:t>jiný</w:t>
      </w:r>
      <w:r>
        <w:t xml:space="preserve"> </w:t>
      </w:r>
      <w:r w:rsidRPr="00841523">
        <w:t>majetek</w:t>
      </w:r>
      <w:r>
        <w:t xml:space="preserve"> </w:t>
      </w:r>
      <w:r w:rsidRPr="00841523">
        <w:t>na</w:t>
      </w:r>
      <w:r>
        <w:t xml:space="preserve"> </w:t>
      </w:r>
      <w:r w:rsidRPr="00841523">
        <w:t>své</w:t>
      </w:r>
      <w:r>
        <w:t xml:space="preserve"> </w:t>
      </w:r>
      <w:r w:rsidRPr="00841523">
        <w:t>společníky,</w:t>
      </w:r>
      <w:r>
        <w:t xml:space="preserve"> </w:t>
      </w:r>
      <w:r w:rsidRPr="00841523">
        <w:t>s</w:t>
      </w:r>
      <w:r>
        <w:t xml:space="preserve"> </w:t>
      </w:r>
      <w:r w:rsidRPr="00841523">
        <w:t>výjimkou</w:t>
      </w:r>
      <w:r>
        <w:t xml:space="preserve"> </w:t>
      </w:r>
      <w:r w:rsidRPr="00841523">
        <w:t>toho,</w:t>
      </w:r>
      <w:r>
        <w:t xml:space="preserve"> </w:t>
      </w:r>
      <w:r w:rsidRPr="00841523">
        <w:t>co</w:t>
      </w:r>
      <w:r>
        <w:t xml:space="preserve"> </w:t>
      </w:r>
      <w:r w:rsidRPr="00841523">
        <w:t>nebylo</w:t>
      </w:r>
      <w:r>
        <w:t xml:space="preserve"> </w:t>
      </w:r>
      <w:r w:rsidRPr="00841523">
        <w:t>převedeno</w:t>
      </w:r>
      <w:r>
        <w:t xml:space="preserve"> </w:t>
      </w:r>
      <w:r w:rsidRPr="00841523">
        <w:t>podle</w:t>
      </w:r>
      <w:r>
        <w:t xml:space="preserve"> </w:t>
      </w:r>
      <w:r w:rsidRPr="00841523">
        <w:t>§</w:t>
      </w:r>
      <w:r>
        <w:t xml:space="preserve"> </w:t>
      </w:r>
      <w:r w:rsidRPr="00841523">
        <w:t>56.</w:t>
      </w:r>
    </w:p>
    <w:p w14:paraId="69F3D0E8" w14:textId="77777777" w:rsidR="00C62C41" w:rsidRDefault="00C62C41" w:rsidP="00C62C41">
      <w:pPr>
        <w:tabs>
          <w:tab w:val="left" w:pos="851"/>
        </w:tabs>
        <w:spacing w:after="120"/>
        <w:ind w:firstLine="0"/>
        <w:jc w:val="center"/>
        <w:outlineLvl w:val="0"/>
      </w:pPr>
      <w:r>
        <w:t>***</w:t>
      </w:r>
    </w:p>
    <w:p w14:paraId="49A23324" w14:textId="77777777" w:rsidR="00C62C41" w:rsidRDefault="00C62C41" w:rsidP="00C62C41">
      <w:pPr>
        <w:pStyle w:val="Textparagrafu"/>
        <w:tabs>
          <w:tab w:val="left" w:pos="392"/>
          <w:tab w:val="left" w:pos="840"/>
        </w:tabs>
        <w:spacing w:after="120"/>
        <w:ind w:firstLine="0"/>
        <w:jc w:val="center"/>
      </w:pPr>
      <w:r w:rsidRPr="00841523">
        <w:t>§</w:t>
      </w:r>
      <w:r>
        <w:t xml:space="preserve"> </w:t>
      </w:r>
      <w:r w:rsidRPr="00841523">
        <w:t>97</w:t>
      </w:r>
    </w:p>
    <w:p w14:paraId="6E90C444" w14:textId="77777777" w:rsidR="00C62C41" w:rsidRPr="009A3C5E" w:rsidRDefault="00C62C41" w:rsidP="00C62C41">
      <w:pPr>
        <w:pStyle w:val="Textparagrafu"/>
        <w:tabs>
          <w:tab w:val="left" w:pos="392"/>
          <w:tab w:val="left" w:pos="840"/>
        </w:tabs>
        <w:spacing w:after="120"/>
        <w:ind w:firstLine="0"/>
        <w:jc w:val="center"/>
        <w:rPr>
          <w:b/>
        </w:rPr>
      </w:pPr>
      <w:r w:rsidRPr="009A3C5E">
        <w:rPr>
          <w:b/>
        </w:rPr>
        <w:t>Zpětný odběr odpadních pneumatik</w:t>
      </w:r>
    </w:p>
    <w:p w14:paraId="42C65CE3" w14:textId="77777777" w:rsidR="00C62C41" w:rsidRDefault="00C62C41" w:rsidP="009876EF">
      <w:pPr>
        <w:pStyle w:val="Textparagrafu"/>
        <w:tabs>
          <w:tab w:val="left" w:pos="392"/>
          <w:tab w:val="left" w:pos="840"/>
        </w:tabs>
        <w:spacing w:before="120" w:after="120"/>
      </w:pPr>
      <w:r w:rsidRPr="00841523">
        <w:t>(1)</w:t>
      </w:r>
      <w:r>
        <w:t xml:space="preserve"> </w:t>
      </w:r>
      <w:r w:rsidRPr="00841523">
        <w:t>Výrobce</w:t>
      </w:r>
      <w:r>
        <w:t xml:space="preserve"> </w:t>
      </w:r>
      <w:r w:rsidRPr="00841523">
        <w:t>pneumatik</w:t>
      </w:r>
      <w:r>
        <w:t xml:space="preserve"> </w:t>
      </w:r>
      <w:r w:rsidRPr="00841523">
        <w:t>je</w:t>
      </w:r>
      <w:r>
        <w:t xml:space="preserve"> </w:t>
      </w:r>
      <w:r w:rsidRPr="00841523">
        <w:t>povinen</w:t>
      </w:r>
    </w:p>
    <w:p w14:paraId="4EE657CA" w14:textId="77777777" w:rsidR="00C62C41" w:rsidRDefault="00C62C41" w:rsidP="003058E0">
      <w:pPr>
        <w:pStyle w:val="Textparagrafu"/>
        <w:tabs>
          <w:tab w:val="left" w:pos="392"/>
          <w:tab w:val="left" w:pos="840"/>
        </w:tabs>
        <w:spacing w:before="0"/>
        <w:ind w:left="426" w:hanging="426"/>
      </w:pPr>
      <w:r w:rsidRPr="00841523">
        <w:t>a)</w:t>
      </w:r>
      <w:r>
        <w:tab/>
      </w:r>
      <w:r w:rsidRPr="00841523">
        <w:t>zajistit</w:t>
      </w:r>
      <w:r>
        <w:t xml:space="preserve"> </w:t>
      </w:r>
      <w:r w:rsidRPr="00841523">
        <w:t>na</w:t>
      </w:r>
      <w:r>
        <w:t xml:space="preserve"> </w:t>
      </w:r>
      <w:r w:rsidRPr="00841523">
        <w:t>vlastní</w:t>
      </w:r>
      <w:r>
        <w:t xml:space="preserve"> </w:t>
      </w:r>
      <w:r w:rsidRPr="00841523">
        <w:t>náklady</w:t>
      </w:r>
      <w:r>
        <w:t xml:space="preserve"> </w:t>
      </w:r>
      <w:r w:rsidRPr="00841523">
        <w:t>zpětný</w:t>
      </w:r>
      <w:r>
        <w:t xml:space="preserve"> </w:t>
      </w:r>
      <w:r w:rsidRPr="00841523">
        <w:t>odběr</w:t>
      </w:r>
      <w:r>
        <w:t xml:space="preserve"> </w:t>
      </w:r>
      <w:r w:rsidRPr="00841523">
        <w:t>odpadních</w:t>
      </w:r>
      <w:r>
        <w:t xml:space="preserve"> </w:t>
      </w:r>
      <w:r w:rsidRPr="00841523">
        <w:t>pneumatik</w:t>
      </w:r>
      <w:r>
        <w:t xml:space="preserve"> </w:t>
      </w:r>
      <w:r w:rsidRPr="00841523">
        <w:t>od</w:t>
      </w:r>
      <w:r>
        <w:t xml:space="preserve"> </w:t>
      </w:r>
      <w:r w:rsidRPr="00841523">
        <w:t>konečného</w:t>
      </w:r>
      <w:r>
        <w:t xml:space="preserve"> </w:t>
      </w:r>
      <w:r w:rsidRPr="00841523">
        <w:t>uživatele,</w:t>
      </w:r>
      <w:r>
        <w:t xml:space="preserve"> </w:t>
      </w:r>
      <w:r w:rsidRPr="00841523">
        <w:t>a</w:t>
      </w:r>
      <w:r>
        <w:t xml:space="preserve"> </w:t>
      </w:r>
      <w:r w:rsidRPr="00841523">
        <w:t>to</w:t>
      </w:r>
      <w:r>
        <w:t xml:space="preserve"> </w:t>
      </w:r>
      <w:r w:rsidRPr="00841523">
        <w:t>bez</w:t>
      </w:r>
      <w:r>
        <w:t xml:space="preserve"> </w:t>
      </w:r>
      <w:r w:rsidRPr="00841523">
        <w:t>ohledu</w:t>
      </w:r>
      <w:r>
        <w:t xml:space="preserve"> </w:t>
      </w:r>
      <w:r w:rsidRPr="00841523">
        <w:t>na</w:t>
      </w:r>
      <w:r>
        <w:t xml:space="preserve"> </w:t>
      </w:r>
      <w:r w:rsidRPr="00841523">
        <w:t>výrobní</w:t>
      </w:r>
      <w:r>
        <w:t xml:space="preserve"> </w:t>
      </w:r>
      <w:r w:rsidRPr="00841523">
        <w:t>značku,</w:t>
      </w:r>
      <w:r>
        <w:t xml:space="preserve"> </w:t>
      </w:r>
      <w:r w:rsidRPr="00841523">
        <w:t>bez</w:t>
      </w:r>
      <w:r>
        <w:t xml:space="preserve"> </w:t>
      </w:r>
      <w:r w:rsidRPr="00841523">
        <w:t>ohledu</w:t>
      </w:r>
      <w:r>
        <w:t xml:space="preserve"> </w:t>
      </w:r>
      <w:r w:rsidRPr="00841523">
        <w:t>na</w:t>
      </w:r>
      <w:r>
        <w:t xml:space="preserve"> </w:t>
      </w:r>
      <w:r w:rsidRPr="00841523">
        <w:t>datum</w:t>
      </w:r>
      <w:r>
        <w:t xml:space="preserve"> </w:t>
      </w:r>
      <w:r w:rsidRPr="00841523">
        <w:t>jejich</w:t>
      </w:r>
      <w:r>
        <w:t xml:space="preserve"> </w:t>
      </w:r>
      <w:r w:rsidRPr="00841523">
        <w:t>uvedení</w:t>
      </w:r>
      <w:r>
        <w:t xml:space="preserve"> </w:t>
      </w:r>
      <w:r w:rsidRPr="00841523">
        <w:t>na</w:t>
      </w:r>
      <w:r>
        <w:t xml:space="preserve"> </w:t>
      </w:r>
      <w:r w:rsidRPr="00841523">
        <w:t>trh,</w:t>
      </w:r>
      <w:r>
        <w:t xml:space="preserve"> </w:t>
      </w:r>
      <w:r w:rsidRPr="00841523">
        <w:t>bez</w:t>
      </w:r>
      <w:r>
        <w:t xml:space="preserve"> </w:t>
      </w:r>
      <w:r w:rsidRPr="00841523">
        <w:t>vazby</w:t>
      </w:r>
      <w:r>
        <w:t xml:space="preserve"> </w:t>
      </w:r>
      <w:r w:rsidRPr="00841523">
        <w:t>na</w:t>
      </w:r>
      <w:r>
        <w:t xml:space="preserve"> </w:t>
      </w:r>
      <w:r w:rsidRPr="00841523">
        <w:t>koupi</w:t>
      </w:r>
      <w:r>
        <w:t xml:space="preserve"> </w:t>
      </w:r>
      <w:r w:rsidRPr="00841523">
        <w:t>nového</w:t>
      </w:r>
      <w:r>
        <w:t xml:space="preserve"> </w:t>
      </w:r>
      <w:r w:rsidRPr="00841523">
        <w:t>výrobku</w:t>
      </w:r>
      <w:r>
        <w:t xml:space="preserve"> </w:t>
      </w:r>
      <w:r w:rsidRPr="00841523">
        <w:t>a</w:t>
      </w:r>
      <w:r>
        <w:t xml:space="preserve"> </w:t>
      </w:r>
      <w:r w:rsidRPr="00841523">
        <w:t>bez</w:t>
      </w:r>
      <w:r>
        <w:t xml:space="preserve"> </w:t>
      </w:r>
      <w:r w:rsidRPr="00841523">
        <w:t>nároku</w:t>
      </w:r>
      <w:r>
        <w:t xml:space="preserve"> </w:t>
      </w:r>
      <w:r w:rsidRPr="00841523">
        <w:t>na</w:t>
      </w:r>
      <w:r>
        <w:t xml:space="preserve"> </w:t>
      </w:r>
      <w:r w:rsidRPr="00841523">
        <w:t>úplatu</w:t>
      </w:r>
      <w:r>
        <w:t xml:space="preserve"> </w:t>
      </w:r>
      <w:r w:rsidRPr="00841523">
        <w:t>za</w:t>
      </w:r>
      <w:r>
        <w:t xml:space="preserve"> </w:t>
      </w:r>
      <w:r w:rsidRPr="00841523">
        <w:t>tento</w:t>
      </w:r>
      <w:r>
        <w:t xml:space="preserve"> </w:t>
      </w:r>
      <w:r w:rsidRPr="00841523">
        <w:t>odběr,</w:t>
      </w:r>
      <w:r>
        <w:t xml:space="preserve"> </w:t>
      </w:r>
      <w:r w:rsidRPr="00841523">
        <w:t>a</w:t>
      </w:r>
    </w:p>
    <w:p w14:paraId="75C2CCBA" w14:textId="77777777" w:rsidR="00C62C41" w:rsidRDefault="00C62C41" w:rsidP="003058E0">
      <w:pPr>
        <w:pStyle w:val="Textparagrafu"/>
        <w:tabs>
          <w:tab w:val="left" w:pos="392"/>
          <w:tab w:val="left" w:pos="840"/>
        </w:tabs>
        <w:spacing w:before="0"/>
        <w:ind w:left="426" w:hanging="426"/>
      </w:pPr>
      <w:r w:rsidRPr="00841523">
        <w:t>b)</w:t>
      </w:r>
      <w:r>
        <w:tab/>
      </w:r>
      <w:r w:rsidRPr="00841523">
        <w:t>dosáhnout</w:t>
      </w:r>
      <w:r>
        <w:t xml:space="preserve"> </w:t>
      </w:r>
      <w:r w:rsidRPr="00841523">
        <w:t>v</w:t>
      </w:r>
      <w:r>
        <w:t xml:space="preserve"> </w:t>
      </w:r>
      <w:r w:rsidRPr="00841523">
        <w:t>každém</w:t>
      </w:r>
      <w:r>
        <w:t xml:space="preserve"> </w:t>
      </w:r>
      <w:r w:rsidRPr="00841523">
        <w:t>kalendářním</w:t>
      </w:r>
      <w:r>
        <w:t xml:space="preserve"> </w:t>
      </w:r>
      <w:r w:rsidRPr="00841523">
        <w:t>roce</w:t>
      </w:r>
      <w:r>
        <w:t xml:space="preserve"> </w:t>
      </w:r>
      <w:r w:rsidRPr="00841523">
        <w:t>minimální</w:t>
      </w:r>
      <w:r>
        <w:t xml:space="preserve"> </w:t>
      </w:r>
      <w:r w:rsidRPr="00841523">
        <w:t>úrovně</w:t>
      </w:r>
      <w:r>
        <w:t xml:space="preserve"> </w:t>
      </w:r>
      <w:r w:rsidRPr="00841523">
        <w:t>zpětného</w:t>
      </w:r>
      <w:r>
        <w:t xml:space="preserve"> </w:t>
      </w:r>
      <w:r w:rsidRPr="00841523">
        <w:t>odběru</w:t>
      </w:r>
      <w:r>
        <w:t xml:space="preserve"> </w:t>
      </w:r>
      <w:r w:rsidRPr="00841523">
        <w:t>odpadních</w:t>
      </w:r>
      <w:r>
        <w:t xml:space="preserve"> </w:t>
      </w:r>
      <w:r w:rsidRPr="00841523">
        <w:t>pneumatik</w:t>
      </w:r>
      <w:r>
        <w:t xml:space="preserve"> </w:t>
      </w:r>
      <w:r w:rsidRPr="00841523">
        <w:t>v</w:t>
      </w:r>
      <w:r>
        <w:t xml:space="preserve"> </w:t>
      </w:r>
      <w:r w:rsidRPr="00841523">
        <w:t>rozsahu</w:t>
      </w:r>
      <w:r>
        <w:t xml:space="preserve"> </w:t>
      </w:r>
      <w:r w:rsidRPr="00841523">
        <w:t>stanoveném</w:t>
      </w:r>
      <w:r>
        <w:t xml:space="preserve"> </w:t>
      </w:r>
      <w:r w:rsidRPr="00841523">
        <w:t>v</w:t>
      </w:r>
      <w:r>
        <w:t xml:space="preserve"> </w:t>
      </w:r>
      <w:r w:rsidRPr="00841523">
        <w:t>příloze</w:t>
      </w:r>
      <w:r>
        <w:t xml:space="preserve"> </w:t>
      </w:r>
      <w:r w:rsidRPr="00841523">
        <w:t>č.</w:t>
      </w:r>
      <w:r>
        <w:t xml:space="preserve"> </w:t>
      </w:r>
      <w:r w:rsidRPr="00841523">
        <w:t>2</w:t>
      </w:r>
      <w:r>
        <w:t xml:space="preserve"> </w:t>
      </w:r>
      <w:r w:rsidRPr="00841523">
        <w:t>k</w:t>
      </w:r>
      <w:r>
        <w:t xml:space="preserve"> </w:t>
      </w:r>
      <w:r w:rsidRPr="00841523">
        <w:t>tomuto</w:t>
      </w:r>
      <w:r>
        <w:t xml:space="preserve"> </w:t>
      </w:r>
      <w:r w:rsidRPr="00841523">
        <w:t>zákonu.</w:t>
      </w:r>
    </w:p>
    <w:p w14:paraId="4D34EE6F" w14:textId="77777777" w:rsidR="00C62C41" w:rsidRDefault="00C62C41" w:rsidP="009876EF">
      <w:pPr>
        <w:pStyle w:val="Textparagrafu"/>
        <w:tabs>
          <w:tab w:val="left" w:pos="392"/>
          <w:tab w:val="left" w:pos="840"/>
        </w:tabs>
        <w:spacing w:before="120" w:after="120"/>
      </w:pPr>
      <w:r w:rsidRPr="00841523">
        <w:t>(2)</w:t>
      </w:r>
      <w:r>
        <w:t xml:space="preserve"> </w:t>
      </w:r>
      <w:r w:rsidRPr="00841523">
        <w:t>Za</w:t>
      </w:r>
      <w:r>
        <w:t xml:space="preserve"> </w:t>
      </w:r>
      <w:r w:rsidRPr="00841523">
        <w:t>účelem</w:t>
      </w:r>
      <w:r>
        <w:t xml:space="preserve"> </w:t>
      </w:r>
      <w:r w:rsidRPr="00841523">
        <w:t>splnění</w:t>
      </w:r>
      <w:r>
        <w:t xml:space="preserve"> </w:t>
      </w:r>
      <w:r w:rsidRPr="00841523">
        <w:t>povinností</w:t>
      </w:r>
      <w:r>
        <w:t xml:space="preserve"> </w:t>
      </w:r>
      <w:r w:rsidRPr="00841523">
        <w:t>podle</w:t>
      </w:r>
      <w:r>
        <w:t xml:space="preserve"> </w:t>
      </w:r>
      <w:r w:rsidRPr="00841523">
        <w:t>odstavce</w:t>
      </w:r>
      <w:r>
        <w:t xml:space="preserve"> </w:t>
      </w:r>
      <w:r w:rsidRPr="00841523">
        <w:t>1</w:t>
      </w:r>
      <w:r>
        <w:t xml:space="preserve"> </w:t>
      </w:r>
      <w:r w:rsidRPr="00841523">
        <w:t>je</w:t>
      </w:r>
      <w:r>
        <w:t xml:space="preserve"> </w:t>
      </w:r>
      <w:r w:rsidRPr="00841523">
        <w:t>výrobce</w:t>
      </w:r>
      <w:r>
        <w:t xml:space="preserve"> </w:t>
      </w:r>
      <w:r w:rsidRPr="00841523">
        <w:t>pneumatik</w:t>
      </w:r>
      <w:r>
        <w:t xml:space="preserve"> </w:t>
      </w:r>
      <w:r w:rsidRPr="00841523">
        <w:t>povinen</w:t>
      </w:r>
      <w:r>
        <w:t xml:space="preserve"> </w:t>
      </w:r>
      <w:r w:rsidRPr="00841523">
        <w:t>zřídit</w:t>
      </w:r>
      <w:r>
        <w:t xml:space="preserve"> </w:t>
      </w:r>
      <w:r w:rsidRPr="00841523">
        <w:t>na</w:t>
      </w:r>
      <w:r>
        <w:t xml:space="preserve"> </w:t>
      </w:r>
      <w:r w:rsidRPr="00841523">
        <w:t>vlastní</w:t>
      </w:r>
      <w:r>
        <w:t xml:space="preserve"> </w:t>
      </w:r>
      <w:r w:rsidRPr="00841523">
        <w:t>náklady</w:t>
      </w:r>
      <w:r>
        <w:t xml:space="preserve"> </w:t>
      </w:r>
      <w:r w:rsidRPr="00841523">
        <w:t>nejméně</w:t>
      </w:r>
      <w:r>
        <w:t xml:space="preserve"> </w:t>
      </w:r>
      <w:r w:rsidRPr="00841523">
        <w:t>jedno</w:t>
      </w:r>
      <w:r>
        <w:t xml:space="preserve"> </w:t>
      </w:r>
      <w:r w:rsidRPr="00841523">
        <w:t>veřejné</w:t>
      </w:r>
      <w:r>
        <w:t xml:space="preserve"> </w:t>
      </w:r>
      <w:r w:rsidRPr="00841523">
        <w:t>místo</w:t>
      </w:r>
      <w:r>
        <w:t xml:space="preserve"> </w:t>
      </w:r>
      <w:r w:rsidRPr="00841523">
        <w:t>zpětného</w:t>
      </w:r>
      <w:r>
        <w:t xml:space="preserve"> </w:t>
      </w:r>
      <w:r w:rsidRPr="00841523">
        <w:t>odběru</w:t>
      </w:r>
    </w:p>
    <w:p w14:paraId="02AC03B3" w14:textId="77777777" w:rsidR="00C62C41" w:rsidRDefault="00C62C41" w:rsidP="003058E0">
      <w:pPr>
        <w:pStyle w:val="Textparagrafu"/>
        <w:tabs>
          <w:tab w:val="left" w:pos="392"/>
          <w:tab w:val="left" w:pos="840"/>
        </w:tabs>
        <w:spacing w:before="0"/>
        <w:ind w:left="426" w:hanging="426"/>
      </w:pPr>
      <w:r w:rsidRPr="00841523">
        <w:t>a)</w:t>
      </w:r>
      <w:r>
        <w:tab/>
      </w:r>
      <w:r w:rsidRPr="00841523">
        <w:t>v</w:t>
      </w:r>
      <w:r>
        <w:t xml:space="preserve"> </w:t>
      </w:r>
      <w:r w:rsidRPr="00841523">
        <w:t>každé</w:t>
      </w:r>
      <w:r>
        <w:t xml:space="preserve"> </w:t>
      </w:r>
      <w:r w:rsidRPr="00841523">
        <w:t>obci</w:t>
      </w:r>
      <w:r>
        <w:t xml:space="preserve"> </w:t>
      </w:r>
      <w:r w:rsidRPr="00841523">
        <w:t>s</w:t>
      </w:r>
      <w:r>
        <w:t xml:space="preserve"> </w:t>
      </w:r>
      <w:r w:rsidRPr="00841523">
        <w:t>pověřeným</w:t>
      </w:r>
      <w:r>
        <w:t xml:space="preserve"> </w:t>
      </w:r>
      <w:r w:rsidRPr="00841523">
        <w:t>obecním</w:t>
      </w:r>
      <w:r>
        <w:t xml:space="preserve"> </w:t>
      </w:r>
      <w:r w:rsidRPr="00841523">
        <w:t>úřadem</w:t>
      </w:r>
      <w:r>
        <w:t xml:space="preserve"> </w:t>
      </w:r>
      <w:r w:rsidRPr="00841523">
        <w:t>a</w:t>
      </w:r>
      <w:r>
        <w:t xml:space="preserve"> </w:t>
      </w:r>
      <w:r w:rsidRPr="00841523">
        <w:t>v</w:t>
      </w:r>
      <w:r>
        <w:t xml:space="preserve"> </w:t>
      </w:r>
      <w:r w:rsidRPr="00841523">
        <w:t>případě</w:t>
      </w:r>
      <w:r>
        <w:t xml:space="preserve"> </w:t>
      </w:r>
      <w:r w:rsidRPr="00841523">
        <w:t>územně</w:t>
      </w:r>
      <w:r>
        <w:t xml:space="preserve"> </w:t>
      </w:r>
      <w:r w:rsidRPr="00841523">
        <w:t>členěných</w:t>
      </w:r>
      <w:r>
        <w:t xml:space="preserve"> </w:t>
      </w:r>
      <w:r w:rsidRPr="00841523">
        <w:t>statutárních</w:t>
      </w:r>
      <w:r>
        <w:t xml:space="preserve"> </w:t>
      </w:r>
      <w:r w:rsidRPr="00841523">
        <w:t>měst</w:t>
      </w:r>
      <w:r>
        <w:t xml:space="preserve"> </w:t>
      </w:r>
      <w:r w:rsidRPr="00841523">
        <w:t>a</w:t>
      </w:r>
      <w:r>
        <w:t xml:space="preserve"> </w:t>
      </w:r>
      <w:r w:rsidRPr="00841523">
        <w:t>hlavního</w:t>
      </w:r>
      <w:r>
        <w:t xml:space="preserve"> </w:t>
      </w:r>
      <w:r w:rsidRPr="00841523">
        <w:t>města</w:t>
      </w:r>
      <w:r>
        <w:t xml:space="preserve"> </w:t>
      </w:r>
      <w:r w:rsidRPr="00841523">
        <w:t>Prahy</w:t>
      </w:r>
      <w:r>
        <w:t xml:space="preserve"> </w:t>
      </w:r>
      <w:r w:rsidRPr="00841523">
        <w:t>v</w:t>
      </w:r>
      <w:r>
        <w:t xml:space="preserve"> </w:t>
      </w:r>
      <w:r w:rsidRPr="00841523">
        <w:t>každém</w:t>
      </w:r>
      <w:r>
        <w:t xml:space="preserve"> </w:t>
      </w:r>
      <w:r w:rsidRPr="00841523">
        <w:t>městském</w:t>
      </w:r>
      <w:r>
        <w:t xml:space="preserve"> </w:t>
      </w:r>
      <w:r w:rsidRPr="00841523">
        <w:t>obvodě</w:t>
      </w:r>
      <w:r>
        <w:t xml:space="preserve"> </w:t>
      </w:r>
      <w:r w:rsidRPr="00841523">
        <w:t>nebo</w:t>
      </w:r>
      <w:r>
        <w:t xml:space="preserve"> </w:t>
      </w:r>
      <w:r w:rsidRPr="00841523">
        <w:t>městské</w:t>
      </w:r>
      <w:r>
        <w:t xml:space="preserve"> </w:t>
      </w:r>
      <w:r w:rsidRPr="00841523">
        <w:t>části</w:t>
      </w:r>
      <w:r>
        <w:t xml:space="preserve"> </w:t>
      </w:r>
      <w:r w:rsidRPr="00841523">
        <w:t>a</w:t>
      </w:r>
    </w:p>
    <w:p w14:paraId="1C16A8AB" w14:textId="77777777" w:rsidR="00C62C41" w:rsidRDefault="00C62C41" w:rsidP="003058E0">
      <w:pPr>
        <w:pStyle w:val="Textparagrafu"/>
        <w:tabs>
          <w:tab w:val="left" w:pos="392"/>
          <w:tab w:val="left" w:pos="840"/>
        </w:tabs>
        <w:spacing w:before="0"/>
        <w:ind w:left="426" w:hanging="426"/>
      </w:pPr>
      <w:r w:rsidRPr="00841523">
        <w:t>b)</w:t>
      </w:r>
      <w:r>
        <w:tab/>
      </w:r>
      <w:r w:rsidRPr="00841523">
        <w:t>v</w:t>
      </w:r>
      <w:r>
        <w:t xml:space="preserve"> </w:t>
      </w:r>
      <w:r w:rsidRPr="00841523">
        <w:t>každé</w:t>
      </w:r>
      <w:r>
        <w:t xml:space="preserve"> </w:t>
      </w:r>
      <w:r w:rsidRPr="00841523">
        <w:t>obci,</w:t>
      </w:r>
      <w:r>
        <w:t xml:space="preserve"> </w:t>
      </w:r>
      <w:r w:rsidRPr="00841523">
        <w:t>která</w:t>
      </w:r>
      <w:r>
        <w:t xml:space="preserve"> </w:t>
      </w:r>
      <w:r w:rsidRPr="00841523">
        <w:t>o</w:t>
      </w:r>
      <w:r>
        <w:t xml:space="preserve"> </w:t>
      </w:r>
      <w:r w:rsidRPr="00841523">
        <w:t>zřízení</w:t>
      </w:r>
      <w:r>
        <w:t xml:space="preserve"> </w:t>
      </w:r>
      <w:r w:rsidRPr="00841523">
        <w:t>veřejného</w:t>
      </w:r>
      <w:r>
        <w:t xml:space="preserve"> </w:t>
      </w:r>
      <w:r w:rsidRPr="00841523">
        <w:t>místa</w:t>
      </w:r>
      <w:r>
        <w:t xml:space="preserve"> </w:t>
      </w:r>
      <w:r w:rsidRPr="00841523">
        <w:t>zpětného</w:t>
      </w:r>
      <w:r>
        <w:t xml:space="preserve"> </w:t>
      </w:r>
      <w:r w:rsidRPr="00841523">
        <w:t>odběru</w:t>
      </w:r>
      <w:r>
        <w:t xml:space="preserve"> </w:t>
      </w:r>
      <w:r w:rsidRPr="00841523">
        <w:t>projeví</w:t>
      </w:r>
      <w:r>
        <w:t xml:space="preserve"> </w:t>
      </w:r>
      <w:r w:rsidRPr="00841523">
        <w:t>zájem,</w:t>
      </w:r>
      <w:r>
        <w:t xml:space="preserve"> </w:t>
      </w:r>
      <w:r w:rsidRPr="00841523">
        <w:t>a</w:t>
      </w:r>
      <w:r>
        <w:t xml:space="preserve"> </w:t>
      </w:r>
      <w:r w:rsidRPr="00841523">
        <w:t>to</w:t>
      </w:r>
      <w:r>
        <w:t xml:space="preserve"> </w:t>
      </w:r>
      <w:r w:rsidRPr="00841523">
        <w:t>za</w:t>
      </w:r>
      <w:r>
        <w:t xml:space="preserve"> </w:t>
      </w:r>
      <w:r w:rsidRPr="00841523">
        <w:t>podmínek</w:t>
      </w:r>
      <w:r>
        <w:t xml:space="preserve"> </w:t>
      </w:r>
      <w:r w:rsidRPr="00841523">
        <w:t>obdobných</w:t>
      </w:r>
      <w:r>
        <w:t xml:space="preserve"> </w:t>
      </w:r>
      <w:r w:rsidRPr="00841523">
        <w:t>jako</w:t>
      </w:r>
      <w:r>
        <w:t xml:space="preserve"> </w:t>
      </w:r>
      <w:r w:rsidRPr="00841523">
        <w:t>pro</w:t>
      </w:r>
      <w:r>
        <w:t xml:space="preserve"> </w:t>
      </w:r>
      <w:r w:rsidRPr="00841523">
        <w:t>ostatní</w:t>
      </w:r>
      <w:r>
        <w:t xml:space="preserve"> </w:t>
      </w:r>
      <w:r w:rsidRPr="00841523">
        <w:t>obce;</w:t>
      </w:r>
      <w:r>
        <w:t xml:space="preserve"> </w:t>
      </w:r>
      <w:r w:rsidRPr="00841523">
        <w:t>to</w:t>
      </w:r>
      <w:r>
        <w:t xml:space="preserve"> </w:t>
      </w:r>
      <w:r w:rsidRPr="00841523">
        <w:t>neplatí,</w:t>
      </w:r>
      <w:r>
        <w:t xml:space="preserve"> </w:t>
      </w:r>
      <w:r w:rsidRPr="00841523">
        <w:t>pokud</w:t>
      </w:r>
      <w:r>
        <w:t xml:space="preserve"> </w:t>
      </w:r>
      <w:r w:rsidRPr="00841523">
        <w:t>ve</w:t>
      </w:r>
      <w:r>
        <w:t xml:space="preserve"> </w:t>
      </w:r>
      <w:r w:rsidRPr="00841523">
        <w:t>vzdálenosti</w:t>
      </w:r>
      <w:r>
        <w:t xml:space="preserve"> </w:t>
      </w:r>
      <w:r w:rsidRPr="00841523">
        <w:t>do</w:t>
      </w:r>
      <w:r>
        <w:t xml:space="preserve"> </w:t>
      </w:r>
      <w:r w:rsidRPr="00841523">
        <w:t>10</w:t>
      </w:r>
      <w:r>
        <w:t xml:space="preserve"> </w:t>
      </w:r>
      <w:r w:rsidRPr="00841523">
        <w:t>km</w:t>
      </w:r>
      <w:r>
        <w:t xml:space="preserve"> </w:t>
      </w:r>
      <w:r w:rsidRPr="00841523">
        <w:t>od</w:t>
      </w:r>
      <w:r>
        <w:t xml:space="preserve"> </w:t>
      </w:r>
      <w:r w:rsidRPr="00841523">
        <w:t>ní</w:t>
      </w:r>
      <w:r>
        <w:t xml:space="preserve"> </w:t>
      </w:r>
      <w:r w:rsidRPr="00841523">
        <w:t>již</w:t>
      </w:r>
      <w:r>
        <w:t xml:space="preserve"> </w:t>
      </w:r>
      <w:r w:rsidRPr="00841523">
        <w:t>tento</w:t>
      </w:r>
      <w:r>
        <w:t xml:space="preserve"> </w:t>
      </w:r>
      <w:r w:rsidRPr="00841523">
        <w:t>výrobce</w:t>
      </w:r>
      <w:r>
        <w:t xml:space="preserve"> </w:t>
      </w:r>
      <w:r w:rsidRPr="00841523">
        <w:t>zřídil</w:t>
      </w:r>
      <w:r>
        <w:t xml:space="preserve"> </w:t>
      </w:r>
      <w:r w:rsidRPr="00841523">
        <w:t>jiné</w:t>
      </w:r>
      <w:r>
        <w:t xml:space="preserve"> </w:t>
      </w:r>
      <w:r w:rsidRPr="00841523">
        <w:t>veřejné</w:t>
      </w:r>
      <w:r>
        <w:t xml:space="preserve"> </w:t>
      </w:r>
      <w:r w:rsidRPr="00841523">
        <w:t>místo</w:t>
      </w:r>
      <w:r>
        <w:t xml:space="preserve"> </w:t>
      </w:r>
      <w:r w:rsidRPr="00841523">
        <w:t>zpětného</w:t>
      </w:r>
      <w:r>
        <w:t xml:space="preserve"> </w:t>
      </w:r>
      <w:r w:rsidRPr="00841523">
        <w:t>odběru</w:t>
      </w:r>
      <w:r>
        <w:t xml:space="preserve"> </w:t>
      </w:r>
      <w:r w:rsidRPr="00841523">
        <w:t>odpadních</w:t>
      </w:r>
      <w:r>
        <w:t xml:space="preserve"> </w:t>
      </w:r>
      <w:r w:rsidRPr="00841523">
        <w:t>pneumatik.</w:t>
      </w:r>
    </w:p>
    <w:p w14:paraId="2C517C45" w14:textId="77777777" w:rsidR="00C62C41" w:rsidRDefault="00C62C41" w:rsidP="009876EF">
      <w:pPr>
        <w:pStyle w:val="Textparagrafu"/>
        <w:tabs>
          <w:tab w:val="left" w:pos="392"/>
          <w:tab w:val="left" w:pos="840"/>
        </w:tabs>
        <w:spacing w:before="120" w:after="120"/>
      </w:pPr>
      <w:r w:rsidRPr="00841523">
        <w:t>(3)</w:t>
      </w:r>
      <w:r>
        <w:t xml:space="preserve"> </w:t>
      </w:r>
      <w:r w:rsidRPr="00841523">
        <w:t>V</w:t>
      </w:r>
      <w:r>
        <w:t xml:space="preserve"> </w:t>
      </w:r>
      <w:r w:rsidRPr="00841523">
        <w:t>případě,</w:t>
      </w:r>
      <w:r>
        <w:t xml:space="preserve"> </w:t>
      </w:r>
      <w:r w:rsidRPr="00841523">
        <w:t>že</w:t>
      </w:r>
      <w:r>
        <w:t xml:space="preserve"> </w:t>
      </w:r>
      <w:r w:rsidRPr="00841523">
        <w:t>výrobce</w:t>
      </w:r>
      <w:r>
        <w:t xml:space="preserve"> </w:t>
      </w:r>
      <w:r w:rsidRPr="00841523">
        <w:t>pneumatik</w:t>
      </w:r>
      <w:r>
        <w:t xml:space="preserve"> </w:t>
      </w:r>
      <w:r w:rsidRPr="00841523">
        <w:t>nemá</w:t>
      </w:r>
      <w:r>
        <w:t xml:space="preserve"> </w:t>
      </w:r>
      <w:r w:rsidRPr="00841523">
        <w:t>podle</w:t>
      </w:r>
      <w:r>
        <w:t xml:space="preserve"> </w:t>
      </w:r>
      <w:r w:rsidRPr="00841523">
        <w:t>odstavce</w:t>
      </w:r>
      <w:r>
        <w:t xml:space="preserve"> </w:t>
      </w:r>
      <w:r w:rsidRPr="00841523">
        <w:t>2</w:t>
      </w:r>
      <w:r>
        <w:t xml:space="preserve"> </w:t>
      </w:r>
      <w:r w:rsidRPr="00841523">
        <w:t>povinnost</w:t>
      </w:r>
      <w:r>
        <w:t xml:space="preserve"> </w:t>
      </w:r>
      <w:r w:rsidRPr="00841523">
        <w:t>zřídit</w:t>
      </w:r>
      <w:r>
        <w:t xml:space="preserve"> </w:t>
      </w:r>
      <w:r w:rsidRPr="00841523">
        <w:t>v</w:t>
      </w:r>
      <w:r>
        <w:t xml:space="preserve"> </w:t>
      </w:r>
      <w:r w:rsidRPr="00841523">
        <w:t>obci</w:t>
      </w:r>
      <w:r>
        <w:t xml:space="preserve"> </w:t>
      </w:r>
      <w:r w:rsidRPr="00841523">
        <w:t>veřejné</w:t>
      </w:r>
      <w:r>
        <w:t xml:space="preserve"> </w:t>
      </w:r>
      <w:r w:rsidRPr="00841523">
        <w:t>místo</w:t>
      </w:r>
      <w:r>
        <w:t xml:space="preserve"> </w:t>
      </w:r>
      <w:r w:rsidRPr="00841523">
        <w:t>zpětného</w:t>
      </w:r>
      <w:r>
        <w:t xml:space="preserve"> </w:t>
      </w:r>
      <w:r w:rsidRPr="00841523">
        <w:t>odběru,</w:t>
      </w:r>
      <w:r>
        <w:t xml:space="preserve"> </w:t>
      </w:r>
      <w:r w:rsidRPr="00841523">
        <w:t>nebo</w:t>
      </w:r>
      <w:r>
        <w:t xml:space="preserve"> </w:t>
      </w:r>
      <w:r w:rsidRPr="00841523">
        <w:t>tuto</w:t>
      </w:r>
      <w:r>
        <w:t xml:space="preserve"> </w:t>
      </w:r>
      <w:r w:rsidRPr="00841523">
        <w:t>povinnost</w:t>
      </w:r>
      <w:r>
        <w:t xml:space="preserve"> </w:t>
      </w:r>
      <w:r w:rsidRPr="00841523">
        <w:t>navzdory</w:t>
      </w:r>
      <w:r>
        <w:t xml:space="preserve"> </w:t>
      </w:r>
      <w:r w:rsidRPr="00841523">
        <w:t>projevenému</w:t>
      </w:r>
      <w:r>
        <w:t xml:space="preserve"> </w:t>
      </w:r>
      <w:r w:rsidRPr="00841523">
        <w:t>zájmu</w:t>
      </w:r>
      <w:r>
        <w:t xml:space="preserve"> </w:t>
      </w:r>
      <w:r w:rsidRPr="00841523">
        <w:t>obce</w:t>
      </w:r>
      <w:r>
        <w:t xml:space="preserve"> </w:t>
      </w:r>
      <w:r w:rsidRPr="00841523">
        <w:t>nesplnil,</w:t>
      </w:r>
      <w:r>
        <w:t xml:space="preserve"> </w:t>
      </w:r>
      <w:r w:rsidRPr="00841523">
        <w:t>je</w:t>
      </w:r>
      <w:r>
        <w:t xml:space="preserve"> </w:t>
      </w:r>
      <w:r w:rsidRPr="00841523">
        <w:t>obec</w:t>
      </w:r>
      <w:r>
        <w:t xml:space="preserve"> </w:t>
      </w:r>
      <w:r w:rsidRPr="00841523">
        <w:t>oprávněna</w:t>
      </w:r>
      <w:r>
        <w:t xml:space="preserve"> </w:t>
      </w:r>
      <w:r w:rsidRPr="00841523">
        <w:t>určit</w:t>
      </w:r>
      <w:r>
        <w:t xml:space="preserve"> </w:t>
      </w:r>
      <w:r w:rsidRPr="00841523">
        <w:t>v</w:t>
      </w:r>
      <w:r>
        <w:t xml:space="preserve"> </w:t>
      </w:r>
      <w:r w:rsidRPr="00841523">
        <w:t>rámci</w:t>
      </w:r>
      <w:r>
        <w:t xml:space="preserve"> </w:t>
      </w:r>
      <w:r w:rsidRPr="00841523">
        <w:t>obecního</w:t>
      </w:r>
      <w:r>
        <w:t xml:space="preserve"> </w:t>
      </w:r>
      <w:r w:rsidRPr="00841523">
        <w:t>systému</w:t>
      </w:r>
      <w:r>
        <w:t xml:space="preserve"> </w:t>
      </w:r>
      <w:r w:rsidRPr="00841523">
        <w:t>odpadového</w:t>
      </w:r>
      <w:r>
        <w:t xml:space="preserve"> </w:t>
      </w:r>
      <w:r w:rsidRPr="00841523">
        <w:t>hospodářství</w:t>
      </w:r>
      <w:r>
        <w:t xml:space="preserve"> </w:t>
      </w:r>
      <w:r w:rsidRPr="00841523">
        <w:t>nastaveného</w:t>
      </w:r>
      <w:r>
        <w:t xml:space="preserve"> </w:t>
      </w:r>
      <w:r w:rsidRPr="00841523">
        <w:t>touto</w:t>
      </w:r>
      <w:r>
        <w:t xml:space="preserve"> </w:t>
      </w:r>
      <w:r w:rsidRPr="00841523">
        <w:t>obcí</w:t>
      </w:r>
      <w:r>
        <w:t xml:space="preserve"> </w:t>
      </w:r>
      <w:r w:rsidRPr="00841523">
        <w:t>na</w:t>
      </w:r>
      <w:r>
        <w:t xml:space="preserve"> </w:t>
      </w:r>
      <w:r w:rsidRPr="00841523">
        <w:t>svém</w:t>
      </w:r>
      <w:r>
        <w:t xml:space="preserve"> </w:t>
      </w:r>
      <w:r w:rsidRPr="00841523">
        <w:t>území</w:t>
      </w:r>
      <w:r>
        <w:t xml:space="preserve"> </w:t>
      </w:r>
      <w:r w:rsidRPr="00841523">
        <w:t>místo,</w:t>
      </w:r>
      <w:r>
        <w:t xml:space="preserve"> </w:t>
      </w:r>
      <w:r w:rsidRPr="00841523">
        <w:t>kde</w:t>
      </w:r>
      <w:r>
        <w:t xml:space="preserve"> </w:t>
      </w:r>
      <w:r w:rsidRPr="00841523">
        <w:t>mohou</w:t>
      </w:r>
      <w:r>
        <w:t xml:space="preserve"> </w:t>
      </w:r>
      <w:r w:rsidRPr="00841523">
        <w:t>být</w:t>
      </w:r>
      <w:r>
        <w:t xml:space="preserve"> </w:t>
      </w:r>
      <w:r w:rsidRPr="00841523">
        <w:t>odděleně</w:t>
      </w:r>
      <w:r>
        <w:t xml:space="preserve"> </w:t>
      </w:r>
      <w:r w:rsidRPr="00841523">
        <w:t>soustřeďovány</w:t>
      </w:r>
      <w:r>
        <w:t xml:space="preserve"> </w:t>
      </w:r>
      <w:r w:rsidRPr="00841523">
        <w:t>odpadní</w:t>
      </w:r>
      <w:r>
        <w:t xml:space="preserve"> </w:t>
      </w:r>
      <w:r w:rsidRPr="00841523">
        <w:t>pneumatiky.</w:t>
      </w:r>
      <w:r>
        <w:t xml:space="preserve"> </w:t>
      </w:r>
      <w:r w:rsidRPr="00841523">
        <w:t>Obec</w:t>
      </w:r>
      <w:r>
        <w:t xml:space="preserve"> </w:t>
      </w:r>
      <w:r w:rsidRPr="00841523">
        <w:t>je</w:t>
      </w:r>
      <w:r>
        <w:t xml:space="preserve"> </w:t>
      </w:r>
      <w:r w:rsidRPr="00841523">
        <w:t>v</w:t>
      </w:r>
      <w:r>
        <w:t xml:space="preserve"> </w:t>
      </w:r>
      <w:r w:rsidRPr="00841523">
        <w:t>takovém</w:t>
      </w:r>
      <w:r>
        <w:t xml:space="preserve"> </w:t>
      </w:r>
      <w:r w:rsidRPr="00841523">
        <w:t>případě</w:t>
      </w:r>
      <w:r>
        <w:t xml:space="preserve"> </w:t>
      </w:r>
      <w:r w:rsidRPr="00841523">
        <w:t>oprávněna</w:t>
      </w:r>
      <w:r>
        <w:t xml:space="preserve"> </w:t>
      </w:r>
      <w:r w:rsidRPr="00841523">
        <w:t>převzít</w:t>
      </w:r>
      <w:r>
        <w:t xml:space="preserve"> </w:t>
      </w:r>
      <w:r w:rsidRPr="00841523">
        <w:t>odpadní</w:t>
      </w:r>
      <w:r>
        <w:t xml:space="preserve"> </w:t>
      </w:r>
      <w:r w:rsidRPr="00841523">
        <w:t>pneumatiky</w:t>
      </w:r>
      <w:r>
        <w:t xml:space="preserve"> </w:t>
      </w:r>
      <w:r w:rsidRPr="00841523">
        <w:t>od</w:t>
      </w:r>
      <w:r>
        <w:t xml:space="preserve"> </w:t>
      </w:r>
      <w:r w:rsidRPr="00841523">
        <w:t>konečných</w:t>
      </w:r>
      <w:r>
        <w:t xml:space="preserve"> </w:t>
      </w:r>
      <w:r w:rsidRPr="00841523">
        <w:t>uživatelů</w:t>
      </w:r>
      <w:r>
        <w:t xml:space="preserve"> </w:t>
      </w:r>
      <w:r w:rsidRPr="00841523">
        <w:t>za</w:t>
      </w:r>
      <w:r>
        <w:t xml:space="preserve"> </w:t>
      </w:r>
      <w:r w:rsidRPr="00841523">
        <w:t>podmínek</w:t>
      </w:r>
      <w:r>
        <w:t xml:space="preserve"> </w:t>
      </w:r>
      <w:r w:rsidRPr="00841523">
        <w:t>stanovených</w:t>
      </w:r>
      <w:r>
        <w:t xml:space="preserve"> </w:t>
      </w:r>
      <w:r w:rsidRPr="00841523">
        <w:t>zákonem</w:t>
      </w:r>
      <w:r>
        <w:t xml:space="preserve"> </w:t>
      </w:r>
      <w:r w:rsidRPr="00841523">
        <w:t>o</w:t>
      </w:r>
      <w:r>
        <w:t xml:space="preserve"> </w:t>
      </w:r>
      <w:r w:rsidRPr="00841523">
        <w:t>odpadech</w:t>
      </w:r>
      <w:r>
        <w:t xml:space="preserve"> </w:t>
      </w:r>
      <w:r w:rsidRPr="00841523">
        <w:t>pro</w:t>
      </w:r>
      <w:r>
        <w:t xml:space="preserve"> </w:t>
      </w:r>
      <w:r w:rsidRPr="00841523">
        <w:t>nakládání</w:t>
      </w:r>
      <w:r>
        <w:t xml:space="preserve"> </w:t>
      </w:r>
      <w:r w:rsidRPr="00841523">
        <w:t>s</w:t>
      </w:r>
      <w:r>
        <w:t xml:space="preserve"> </w:t>
      </w:r>
      <w:r w:rsidRPr="00841523">
        <w:t>komunálním</w:t>
      </w:r>
      <w:r>
        <w:t xml:space="preserve"> </w:t>
      </w:r>
      <w:r w:rsidRPr="00841523">
        <w:t>odpadem.</w:t>
      </w:r>
    </w:p>
    <w:p w14:paraId="4D192CDF" w14:textId="77777777" w:rsidR="00C62C41" w:rsidRDefault="00C62C41" w:rsidP="009876EF">
      <w:pPr>
        <w:pStyle w:val="Textparagrafu"/>
        <w:tabs>
          <w:tab w:val="left" w:pos="392"/>
          <w:tab w:val="left" w:pos="840"/>
        </w:tabs>
        <w:spacing w:before="120" w:after="120"/>
      </w:pPr>
      <w:r w:rsidRPr="00841523">
        <w:lastRenderedPageBreak/>
        <w:t>(4)</w:t>
      </w:r>
      <w:r>
        <w:t xml:space="preserve"> </w:t>
      </w:r>
      <w:r w:rsidRPr="00841523">
        <w:t>Výrobce</w:t>
      </w:r>
      <w:r>
        <w:t xml:space="preserve"> </w:t>
      </w:r>
      <w:r w:rsidRPr="00841523">
        <w:t>pneumatik,</w:t>
      </w:r>
      <w:r>
        <w:t xml:space="preserve"> </w:t>
      </w:r>
      <w:r w:rsidRPr="00841523">
        <w:t>který</w:t>
      </w:r>
      <w:r>
        <w:t xml:space="preserve"> </w:t>
      </w:r>
      <w:r w:rsidRPr="00841523">
        <w:t>plní</w:t>
      </w:r>
      <w:r>
        <w:t xml:space="preserve"> </w:t>
      </w:r>
      <w:r w:rsidRPr="00841523">
        <w:t>své</w:t>
      </w:r>
      <w:r>
        <w:t xml:space="preserve"> </w:t>
      </w:r>
      <w:r w:rsidRPr="00841523">
        <w:t>povinnosti</w:t>
      </w:r>
      <w:r>
        <w:t xml:space="preserve"> </w:t>
      </w:r>
      <w:r w:rsidRPr="00841523">
        <w:t>v</w:t>
      </w:r>
      <w:r>
        <w:t xml:space="preserve"> </w:t>
      </w:r>
      <w:r w:rsidRPr="00841523">
        <w:t>individuálním</w:t>
      </w:r>
      <w:r>
        <w:t xml:space="preserve"> </w:t>
      </w:r>
      <w:r w:rsidRPr="00841523">
        <w:t>systému,</w:t>
      </w:r>
      <w:r>
        <w:t xml:space="preserve"> </w:t>
      </w:r>
      <w:r w:rsidRPr="00841523">
        <w:t>je</w:t>
      </w:r>
      <w:r>
        <w:t xml:space="preserve"> </w:t>
      </w:r>
      <w:r w:rsidRPr="001B08DB">
        <w:rPr>
          <w:strike/>
        </w:rPr>
        <w:t>ve výroční zprávě podle zákona o účetnictví</w:t>
      </w:r>
      <w:r w:rsidRPr="001B08DB">
        <w:rPr>
          <w:b/>
        </w:rPr>
        <w:t xml:space="preserve"> </w:t>
      </w:r>
      <w:r w:rsidRPr="00552AEB">
        <w:rPr>
          <w:b/>
        </w:rPr>
        <w:t>v individuální</w:t>
      </w:r>
      <w:r w:rsidRPr="00552AEB">
        <w:t xml:space="preserve"> </w:t>
      </w:r>
      <w:r w:rsidRPr="00552AEB">
        <w:rPr>
          <w:b/>
        </w:rPr>
        <w:t>zprávě vedení</w:t>
      </w:r>
      <w:r w:rsidRPr="00841523">
        <w:t>,</w:t>
      </w:r>
      <w:r>
        <w:t xml:space="preserve"> </w:t>
      </w:r>
      <w:r w:rsidRPr="00841523">
        <w:t>je-li</w:t>
      </w:r>
      <w:r>
        <w:t xml:space="preserve"> </w:t>
      </w:r>
      <w:r w:rsidRPr="00841523">
        <w:t>vyhotovena,</w:t>
      </w:r>
      <w:r>
        <w:t xml:space="preserve"> </w:t>
      </w:r>
      <w:r w:rsidRPr="00841523">
        <w:t>povinen</w:t>
      </w:r>
      <w:r>
        <w:t xml:space="preserve"> </w:t>
      </w:r>
      <w:r w:rsidRPr="00841523">
        <w:t>uvést</w:t>
      </w:r>
    </w:p>
    <w:p w14:paraId="59DB3DA1" w14:textId="77777777" w:rsidR="00C62C41" w:rsidRDefault="00C62C41" w:rsidP="003058E0">
      <w:pPr>
        <w:pStyle w:val="Textparagrafu"/>
        <w:tabs>
          <w:tab w:val="left" w:pos="392"/>
          <w:tab w:val="left" w:pos="840"/>
        </w:tabs>
        <w:spacing w:before="0"/>
        <w:ind w:left="426" w:hanging="426"/>
      </w:pPr>
      <w:r w:rsidRPr="00841523">
        <w:t>a)</w:t>
      </w:r>
      <w:r>
        <w:tab/>
      </w:r>
      <w:r w:rsidRPr="00841523">
        <w:t>evidenční</w:t>
      </w:r>
      <w:r>
        <w:t xml:space="preserve"> </w:t>
      </w:r>
      <w:r w:rsidRPr="00841523">
        <w:t>číslo</w:t>
      </w:r>
      <w:r>
        <w:t xml:space="preserve"> </w:t>
      </w:r>
      <w:r w:rsidRPr="00841523">
        <w:t>v</w:t>
      </w:r>
      <w:r>
        <w:t xml:space="preserve"> </w:t>
      </w:r>
      <w:r w:rsidRPr="00841523">
        <w:t>Seznamu</w:t>
      </w:r>
      <w:r>
        <w:t xml:space="preserve"> </w:t>
      </w:r>
      <w:r w:rsidRPr="00841523">
        <w:t>výrobců,</w:t>
      </w:r>
    </w:p>
    <w:p w14:paraId="4AD8226E" w14:textId="77777777" w:rsidR="00C62C41" w:rsidRDefault="00C62C41" w:rsidP="003058E0">
      <w:pPr>
        <w:pStyle w:val="Textparagrafu"/>
        <w:tabs>
          <w:tab w:val="left" w:pos="392"/>
          <w:tab w:val="left" w:pos="840"/>
        </w:tabs>
        <w:spacing w:before="0"/>
        <w:ind w:left="426" w:hanging="426"/>
      </w:pPr>
      <w:r w:rsidRPr="00841523">
        <w:t>b)</w:t>
      </w:r>
      <w:r>
        <w:tab/>
      </w:r>
      <w:r w:rsidRPr="00841523">
        <w:t>dosaženou</w:t>
      </w:r>
      <w:r>
        <w:t xml:space="preserve"> </w:t>
      </w:r>
      <w:r w:rsidRPr="00841523">
        <w:t>úroveň</w:t>
      </w:r>
      <w:r>
        <w:t xml:space="preserve"> </w:t>
      </w:r>
      <w:r w:rsidRPr="00841523">
        <w:t>zpětného</w:t>
      </w:r>
      <w:r>
        <w:t xml:space="preserve"> </w:t>
      </w:r>
      <w:r w:rsidRPr="00841523">
        <w:t>odběru</w:t>
      </w:r>
      <w:r>
        <w:t xml:space="preserve"> </w:t>
      </w:r>
      <w:r w:rsidRPr="00841523">
        <w:t>odpadních</w:t>
      </w:r>
      <w:r>
        <w:t xml:space="preserve"> </w:t>
      </w:r>
      <w:r w:rsidRPr="00841523">
        <w:t>pneumatik,</w:t>
      </w:r>
    </w:p>
    <w:p w14:paraId="60ADA0BD" w14:textId="77777777" w:rsidR="00C62C41" w:rsidRDefault="00C62C41" w:rsidP="003058E0">
      <w:pPr>
        <w:pStyle w:val="Textparagrafu"/>
        <w:tabs>
          <w:tab w:val="left" w:pos="392"/>
          <w:tab w:val="left" w:pos="840"/>
        </w:tabs>
        <w:spacing w:before="0"/>
        <w:ind w:left="426" w:hanging="426"/>
      </w:pPr>
      <w:r w:rsidRPr="00841523">
        <w:t>c)</w:t>
      </w:r>
      <w:r>
        <w:tab/>
      </w:r>
      <w:r w:rsidRPr="00841523">
        <w:t>seznam</w:t>
      </w:r>
      <w:r>
        <w:t xml:space="preserve"> </w:t>
      </w:r>
      <w:r w:rsidRPr="00841523">
        <w:t>zřízených</w:t>
      </w:r>
      <w:r>
        <w:t xml:space="preserve"> </w:t>
      </w:r>
      <w:r w:rsidRPr="00841523">
        <w:t>míst</w:t>
      </w:r>
      <w:r>
        <w:t xml:space="preserve"> </w:t>
      </w:r>
      <w:r w:rsidRPr="00841523">
        <w:t>zpětného</w:t>
      </w:r>
      <w:r>
        <w:t xml:space="preserve"> </w:t>
      </w:r>
      <w:r w:rsidRPr="00841523">
        <w:t>odběru</w:t>
      </w:r>
      <w:r>
        <w:t xml:space="preserve"> </w:t>
      </w:r>
      <w:r w:rsidRPr="00841523">
        <w:t>odpadních</w:t>
      </w:r>
      <w:r>
        <w:t xml:space="preserve"> </w:t>
      </w:r>
      <w:r w:rsidRPr="00841523">
        <w:t>pneumatik,</w:t>
      </w:r>
    </w:p>
    <w:p w14:paraId="7FFC5723" w14:textId="77777777" w:rsidR="00C62C41" w:rsidRDefault="00C62C41" w:rsidP="003058E0">
      <w:pPr>
        <w:pStyle w:val="Textparagrafu"/>
        <w:tabs>
          <w:tab w:val="left" w:pos="392"/>
          <w:tab w:val="left" w:pos="840"/>
        </w:tabs>
        <w:spacing w:before="0"/>
        <w:ind w:left="426" w:hanging="426"/>
      </w:pPr>
      <w:r w:rsidRPr="00841523">
        <w:t>d)</w:t>
      </w:r>
      <w:r>
        <w:tab/>
      </w:r>
      <w:r w:rsidRPr="00841523">
        <w:t>výši</w:t>
      </w:r>
      <w:r>
        <w:t xml:space="preserve"> </w:t>
      </w:r>
      <w:r w:rsidRPr="00841523">
        <w:t>nákladů</w:t>
      </w:r>
      <w:r>
        <w:t xml:space="preserve"> </w:t>
      </w:r>
      <w:r w:rsidRPr="00841523">
        <w:t>na</w:t>
      </w:r>
      <w:r>
        <w:t xml:space="preserve"> </w:t>
      </w:r>
      <w:r w:rsidRPr="00841523">
        <w:t>zpětný</w:t>
      </w:r>
      <w:r>
        <w:t xml:space="preserve"> </w:t>
      </w:r>
      <w:r w:rsidRPr="00841523">
        <w:t>odběr,</w:t>
      </w:r>
      <w:r>
        <w:t xml:space="preserve"> </w:t>
      </w:r>
      <w:r w:rsidRPr="00841523">
        <w:t>zpracování</w:t>
      </w:r>
      <w:r>
        <w:t xml:space="preserve"> </w:t>
      </w:r>
      <w:r w:rsidRPr="00841523">
        <w:t>a</w:t>
      </w:r>
      <w:r>
        <w:t xml:space="preserve"> </w:t>
      </w:r>
      <w:r w:rsidRPr="00841523">
        <w:t>využití</w:t>
      </w:r>
      <w:r>
        <w:t xml:space="preserve"> </w:t>
      </w:r>
      <w:r w:rsidRPr="00841523">
        <w:t>odpadních</w:t>
      </w:r>
      <w:r>
        <w:t xml:space="preserve"> </w:t>
      </w:r>
      <w:r w:rsidRPr="00841523">
        <w:t>pneumatik,</w:t>
      </w:r>
    </w:p>
    <w:p w14:paraId="0EA7C9D0" w14:textId="77777777" w:rsidR="00C62C41" w:rsidRDefault="00C62C41" w:rsidP="003058E0">
      <w:pPr>
        <w:pStyle w:val="Textparagrafu"/>
        <w:tabs>
          <w:tab w:val="left" w:pos="392"/>
          <w:tab w:val="left" w:pos="840"/>
        </w:tabs>
        <w:spacing w:before="0"/>
        <w:ind w:left="426" w:hanging="426"/>
      </w:pPr>
      <w:r w:rsidRPr="00841523">
        <w:t>e)</w:t>
      </w:r>
      <w:r>
        <w:tab/>
      </w:r>
      <w:r w:rsidRPr="00841523">
        <w:t>výši</w:t>
      </w:r>
      <w:r>
        <w:t xml:space="preserve"> </w:t>
      </w:r>
      <w:r w:rsidRPr="00841523">
        <w:t>kauce</w:t>
      </w:r>
      <w:r>
        <w:t xml:space="preserve"> </w:t>
      </w:r>
      <w:r w:rsidRPr="00841523">
        <w:t>poskytnuté</w:t>
      </w:r>
      <w:r>
        <w:t xml:space="preserve"> </w:t>
      </w:r>
      <w:r w:rsidRPr="00841523">
        <w:t>podle</w:t>
      </w:r>
      <w:r>
        <w:t xml:space="preserve"> </w:t>
      </w:r>
      <w:r w:rsidRPr="00841523">
        <w:t>tohoto</w:t>
      </w:r>
      <w:r>
        <w:t xml:space="preserve"> </w:t>
      </w:r>
      <w:r w:rsidRPr="00841523">
        <w:t>zákona</w:t>
      </w:r>
      <w:r>
        <w:t xml:space="preserve"> </w:t>
      </w:r>
      <w:r w:rsidRPr="00841523">
        <w:t>a</w:t>
      </w:r>
    </w:p>
    <w:p w14:paraId="55F5D9D9" w14:textId="77777777" w:rsidR="00C62C41" w:rsidRPr="00841523" w:rsidRDefault="00C62C41" w:rsidP="003058E0">
      <w:pPr>
        <w:pStyle w:val="Textparagrafu"/>
        <w:tabs>
          <w:tab w:val="left" w:pos="392"/>
          <w:tab w:val="left" w:pos="840"/>
        </w:tabs>
        <w:spacing w:before="0"/>
        <w:ind w:left="426" w:hanging="426"/>
      </w:pPr>
      <w:r w:rsidRPr="00841523">
        <w:t>f)</w:t>
      </w:r>
      <w:r>
        <w:tab/>
      </w:r>
      <w:r w:rsidRPr="00841523">
        <w:t>způsob</w:t>
      </w:r>
      <w:r>
        <w:t xml:space="preserve"> </w:t>
      </w:r>
      <w:r w:rsidRPr="00841523">
        <w:t>uvádění</w:t>
      </w:r>
      <w:r>
        <w:t xml:space="preserve"> </w:t>
      </w:r>
      <w:r w:rsidRPr="00841523">
        <w:t>odděleně</w:t>
      </w:r>
      <w:r>
        <w:t xml:space="preserve"> </w:t>
      </w:r>
      <w:r w:rsidRPr="00841523">
        <w:t>uváděných</w:t>
      </w:r>
      <w:r>
        <w:t xml:space="preserve"> </w:t>
      </w:r>
      <w:r w:rsidRPr="00841523">
        <w:t>nákladů</w:t>
      </w:r>
      <w:r>
        <w:t xml:space="preserve"> </w:t>
      </w:r>
      <w:r w:rsidRPr="00841523">
        <w:t>na</w:t>
      </w:r>
      <w:r>
        <w:t xml:space="preserve"> </w:t>
      </w:r>
      <w:r w:rsidRPr="00841523">
        <w:t>zpětný</w:t>
      </w:r>
      <w:r>
        <w:t xml:space="preserve"> </w:t>
      </w:r>
      <w:r w:rsidRPr="00841523">
        <w:t>odběr,</w:t>
      </w:r>
      <w:r>
        <w:t xml:space="preserve"> </w:t>
      </w:r>
      <w:r w:rsidRPr="00841523">
        <w:t>zpracování</w:t>
      </w:r>
      <w:r>
        <w:t xml:space="preserve"> </w:t>
      </w:r>
      <w:r w:rsidRPr="00841523">
        <w:t>a</w:t>
      </w:r>
      <w:r>
        <w:t xml:space="preserve"> </w:t>
      </w:r>
      <w:r w:rsidRPr="00841523">
        <w:t>využití</w:t>
      </w:r>
      <w:r>
        <w:t xml:space="preserve"> </w:t>
      </w:r>
      <w:r w:rsidRPr="00841523">
        <w:t>odpadních</w:t>
      </w:r>
      <w:r>
        <w:t xml:space="preserve"> </w:t>
      </w:r>
      <w:r w:rsidRPr="00841523">
        <w:t>pneumatik</w:t>
      </w:r>
      <w:r>
        <w:t xml:space="preserve"> </w:t>
      </w:r>
      <w:r w:rsidRPr="00841523">
        <w:t>a</w:t>
      </w:r>
      <w:r>
        <w:t xml:space="preserve"> </w:t>
      </w:r>
      <w:r w:rsidRPr="00841523">
        <w:t>jejich</w:t>
      </w:r>
      <w:r>
        <w:t xml:space="preserve"> </w:t>
      </w:r>
      <w:r w:rsidRPr="00841523">
        <w:t>výši.</w:t>
      </w:r>
    </w:p>
    <w:p w14:paraId="53B336E4" w14:textId="77777777" w:rsidR="00C62C41" w:rsidRDefault="00C62C41" w:rsidP="00C62C41">
      <w:pPr>
        <w:tabs>
          <w:tab w:val="left" w:pos="851"/>
        </w:tabs>
        <w:spacing w:after="120"/>
        <w:ind w:firstLine="0"/>
        <w:jc w:val="center"/>
        <w:outlineLvl w:val="0"/>
      </w:pPr>
      <w:r>
        <w:t>***</w:t>
      </w:r>
    </w:p>
    <w:p w14:paraId="1D4DB999" w14:textId="77777777" w:rsidR="00C62C41" w:rsidRDefault="00C62C41" w:rsidP="00C62C41">
      <w:pPr>
        <w:pStyle w:val="Textparagrafu"/>
        <w:tabs>
          <w:tab w:val="left" w:pos="392"/>
          <w:tab w:val="left" w:pos="840"/>
        </w:tabs>
        <w:spacing w:after="120"/>
        <w:ind w:firstLine="0"/>
        <w:jc w:val="center"/>
      </w:pPr>
      <w:r w:rsidRPr="00841523">
        <w:t>§</w:t>
      </w:r>
      <w:r>
        <w:t xml:space="preserve"> </w:t>
      </w:r>
      <w:r w:rsidRPr="00841523">
        <w:t>122</w:t>
      </w:r>
    </w:p>
    <w:p w14:paraId="49D5E438" w14:textId="77777777" w:rsidR="00C62C41" w:rsidRPr="003E4475" w:rsidRDefault="00C62C41" w:rsidP="00C62C41">
      <w:pPr>
        <w:pStyle w:val="Textparagrafu"/>
        <w:tabs>
          <w:tab w:val="left" w:pos="392"/>
          <w:tab w:val="left" w:pos="840"/>
        </w:tabs>
        <w:spacing w:after="120"/>
        <w:ind w:firstLine="0"/>
        <w:jc w:val="center"/>
        <w:rPr>
          <w:b/>
        </w:rPr>
      </w:pPr>
      <w:r w:rsidRPr="003E4475">
        <w:rPr>
          <w:b/>
        </w:rPr>
        <w:t>Přestupky výrobce</w:t>
      </w:r>
    </w:p>
    <w:p w14:paraId="2DA116AE" w14:textId="77777777" w:rsidR="00C62C41" w:rsidRDefault="00C62C41" w:rsidP="00C62C41">
      <w:pPr>
        <w:pStyle w:val="Textparagrafu"/>
        <w:tabs>
          <w:tab w:val="left" w:pos="392"/>
          <w:tab w:val="left" w:pos="840"/>
        </w:tabs>
        <w:spacing w:after="120"/>
        <w:ind w:firstLine="426"/>
      </w:pPr>
      <w:r w:rsidRPr="00841523">
        <w:t>(1)</w:t>
      </w:r>
      <w:r>
        <w:t xml:space="preserve"> </w:t>
      </w:r>
      <w:r w:rsidRPr="00841523">
        <w:t>Právnická</w:t>
      </w:r>
      <w:r>
        <w:t xml:space="preserve"> </w:t>
      </w:r>
      <w:r w:rsidRPr="00841523">
        <w:t>nebo</w:t>
      </w:r>
      <w:r>
        <w:t xml:space="preserve"> </w:t>
      </w:r>
      <w:r w:rsidRPr="00841523">
        <w:t>podnikající</w:t>
      </w:r>
      <w:r>
        <w:t xml:space="preserve"> </w:t>
      </w:r>
      <w:r w:rsidRPr="00841523">
        <w:t>fyzická</w:t>
      </w:r>
      <w:r>
        <w:t xml:space="preserve"> </w:t>
      </w:r>
      <w:r w:rsidRPr="00841523">
        <w:t>osoba</w:t>
      </w:r>
      <w:r>
        <w:t xml:space="preserve"> </w:t>
      </w:r>
      <w:r w:rsidRPr="00841523">
        <w:t>se</w:t>
      </w:r>
      <w:r>
        <w:t xml:space="preserve"> </w:t>
      </w:r>
      <w:r w:rsidRPr="00841523">
        <w:t>jako</w:t>
      </w:r>
      <w:r>
        <w:t xml:space="preserve"> </w:t>
      </w:r>
      <w:r w:rsidRPr="00841523">
        <w:t>výrobce,</w:t>
      </w:r>
      <w:r>
        <w:t xml:space="preserve"> </w:t>
      </w:r>
      <w:r w:rsidRPr="00841523">
        <w:t>pověřený</w:t>
      </w:r>
      <w:r>
        <w:t xml:space="preserve"> </w:t>
      </w:r>
      <w:r w:rsidRPr="00841523">
        <w:t>zástupce</w:t>
      </w:r>
      <w:r>
        <w:t xml:space="preserve"> </w:t>
      </w:r>
      <w:r w:rsidRPr="00841523">
        <w:t>nebo</w:t>
      </w:r>
      <w:r>
        <w:t xml:space="preserve"> </w:t>
      </w:r>
      <w:r w:rsidRPr="00841523">
        <w:t>za</w:t>
      </w:r>
      <w:r>
        <w:t xml:space="preserve"> </w:t>
      </w:r>
      <w:r w:rsidRPr="00841523">
        <w:t>podmínek</w:t>
      </w:r>
      <w:r>
        <w:t xml:space="preserve"> </w:t>
      </w:r>
      <w:r w:rsidRPr="00841523">
        <w:t>stanovených</w:t>
      </w:r>
      <w:r>
        <w:t xml:space="preserve"> </w:t>
      </w:r>
      <w:r w:rsidRPr="00841523">
        <w:t>v</w:t>
      </w:r>
      <w:r>
        <w:t xml:space="preserve"> </w:t>
      </w:r>
      <w:r w:rsidRPr="00841523">
        <w:t>§</w:t>
      </w:r>
      <w:r>
        <w:t xml:space="preserve"> </w:t>
      </w:r>
      <w:r w:rsidRPr="00841523">
        <w:t>10</w:t>
      </w:r>
      <w:r>
        <w:t xml:space="preserve"> </w:t>
      </w:r>
      <w:r w:rsidRPr="00841523">
        <w:t>jako</w:t>
      </w:r>
      <w:r>
        <w:t xml:space="preserve"> </w:t>
      </w:r>
      <w:r w:rsidRPr="00841523">
        <w:t>distributor</w:t>
      </w:r>
      <w:r>
        <w:t xml:space="preserve"> </w:t>
      </w:r>
      <w:r w:rsidRPr="00841523">
        <w:t>vybraných</w:t>
      </w:r>
      <w:r>
        <w:t xml:space="preserve"> </w:t>
      </w:r>
      <w:r w:rsidRPr="00841523">
        <w:t>výrobků</w:t>
      </w:r>
      <w:r>
        <w:t xml:space="preserve"> </w:t>
      </w:r>
      <w:r w:rsidRPr="00841523">
        <w:t>dopustí</w:t>
      </w:r>
      <w:r>
        <w:t xml:space="preserve"> </w:t>
      </w:r>
      <w:r w:rsidRPr="00841523">
        <w:t>přestupku</w:t>
      </w:r>
      <w:r>
        <w:t xml:space="preserve"> </w:t>
      </w:r>
      <w:r w:rsidRPr="00841523">
        <w:t>tím,</w:t>
      </w:r>
      <w:r>
        <w:t xml:space="preserve"> </w:t>
      </w:r>
      <w:r w:rsidRPr="00841523">
        <w:t>že</w:t>
      </w:r>
    </w:p>
    <w:p w14:paraId="17EFDEFD" w14:textId="77777777" w:rsidR="00C62C41" w:rsidRDefault="00C62C41" w:rsidP="003058E0">
      <w:pPr>
        <w:pStyle w:val="Textparagrafu"/>
        <w:tabs>
          <w:tab w:val="left" w:pos="392"/>
          <w:tab w:val="left" w:pos="840"/>
        </w:tabs>
        <w:spacing w:before="0"/>
        <w:ind w:left="426" w:hanging="426"/>
      </w:pPr>
      <w:r w:rsidRPr="00841523">
        <w:t>a)</w:t>
      </w:r>
      <w:r>
        <w:tab/>
      </w:r>
      <w:r w:rsidRPr="00841523">
        <w:t>nesplní</w:t>
      </w:r>
      <w:r>
        <w:t xml:space="preserve"> </w:t>
      </w:r>
      <w:r w:rsidRPr="00841523">
        <w:t>některou</w:t>
      </w:r>
      <w:r>
        <w:t xml:space="preserve"> </w:t>
      </w:r>
      <w:r w:rsidRPr="00841523">
        <w:t>z</w:t>
      </w:r>
      <w:r>
        <w:t xml:space="preserve"> </w:t>
      </w:r>
      <w:r w:rsidRPr="00841523">
        <w:t>povinností</w:t>
      </w:r>
      <w:r>
        <w:t xml:space="preserve"> </w:t>
      </w:r>
      <w:r w:rsidRPr="00841523">
        <w:t>při</w:t>
      </w:r>
      <w:r>
        <w:t xml:space="preserve"> </w:t>
      </w:r>
      <w:r w:rsidRPr="00841523">
        <w:t>výrobě</w:t>
      </w:r>
      <w:r>
        <w:t xml:space="preserve"> </w:t>
      </w:r>
      <w:r w:rsidRPr="00841523">
        <w:t>vybraných</w:t>
      </w:r>
      <w:r>
        <w:t xml:space="preserve"> </w:t>
      </w:r>
      <w:r w:rsidRPr="00841523">
        <w:t>výrobků</w:t>
      </w:r>
      <w:r>
        <w:t xml:space="preserve"> </w:t>
      </w:r>
      <w:r w:rsidRPr="00841523">
        <w:t>stanovených</w:t>
      </w:r>
      <w:r>
        <w:t xml:space="preserve"> </w:t>
      </w:r>
      <w:r w:rsidRPr="00841523">
        <w:t>v</w:t>
      </w:r>
      <w:r>
        <w:t xml:space="preserve"> </w:t>
      </w:r>
      <w:r w:rsidRPr="00841523">
        <w:t>§</w:t>
      </w:r>
      <w:r>
        <w:t xml:space="preserve"> </w:t>
      </w:r>
      <w:r w:rsidRPr="00841523">
        <w:t>6</w:t>
      </w:r>
      <w:r>
        <w:t xml:space="preserve"> </w:t>
      </w:r>
      <w:r w:rsidRPr="00841523">
        <w:t>nebo</w:t>
      </w:r>
      <w:r>
        <w:t xml:space="preserve"> </w:t>
      </w:r>
      <w:r w:rsidRPr="00841523">
        <w:t>povinností</w:t>
      </w:r>
      <w:r>
        <w:t xml:space="preserve"> </w:t>
      </w:r>
      <w:r w:rsidRPr="00841523">
        <w:t>při</w:t>
      </w:r>
      <w:r>
        <w:t xml:space="preserve"> </w:t>
      </w:r>
      <w:r w:rsidRPr="00841523">
        <w:t>uvedení</w:t>
      </w:r>
      <w:r>
        <w:t xml:space="preserve"> </w:t>
      </w:r>
      <w:r w:rsidRPr="00841523">
        <w:t>vybraných</w:t>
      </w:r>
      <w:r>
        <w:t xml:space="preserve"> </w:t>
      </w:r>
      <w:r w:rsidRPr="00841523">
        <w:t>výrobků</w:t>
      </w:r>
      <w:r>
        <w:t xml:space="preserve"> </w:t>
      </w:r>
      <w:r w:rsidRPr="00841523">
        <w:t>na</w:t>
      </w:r>
      <w:r>
        <w:t xml:space="preserve"> </w:t>
      </w:r>
      <w:r w:rsidRPr="00841523">
        <w:t>trh</w:t>
      </w:r>
      <w:r>
        <w:t xml:space="preserve"> </w:t>
      </w:r>
      <w:r w:rsidRPr="00841523">
        <w:t>stanovených</w:t>
      </w:r>
      <w:r>
        <w:t xml:space="preserve"> </w:t>
      </w:r>
      <w:r w:rsidRPr="00841523">
        <w:t>v</w:t>
      </w:r>
      <w:r>
        <w:t xml:space="preserve"> </w:t>
      </w:r>
      <w:r w:rsidRPr="00841523">
        <w:t>§</w:t>
      </w:r>
      <w:r>
        <w:t xml:space="preserve"> </w:t>
      </w:r>
      <w:r w:rsidRPr="00841523">
        <w:t>7,</w:t>
      </w:r>
    </w:p>
    <w:p w14:paraId="684A5837" w14:textId="77777777" w:rsidR="00C62C41" w:rsidRDefault="00C62C41" w:rsidP="003058E0">
      <w:pPr>
        <w:pStyle w:val="Textparagrafu"/>
        <w:tabs>
          <w:tab w:val="left" w:pos="392"/>
          <w:tab w:val="left" w:pos="840"/>
        </w:tabs>
        <w:spacing w:before="0"/>
        <w:ind w:left="426" w:hanging="426"/>
      </w:pPr>
      <w:r w:rsidRPr="00841523">
        <w:t>b)</w:t>
      </w:r>
      <w:r>
        <w:tab/>
      </w:r>
      <w:r w:rsidRPr="00841523">
        <w:t>v</w:t>
      </w:r>
      <w:r>
        <w:t xml:space="preserve"> </w:t>
      </w:r>
      <w:r w:rsidRPr="00841523">
        <w:t>rozporu</w:t>
      </w:r>
      <w:r>
        <w:t xml:space="preserve"> </w:t>
      </w:r>
      <w:r w:rsidRPr="00841523">
        <w:t>s</w:t>
      </w:r>
      <w:r>
        <w:t xml:space="preserve"> </w:t>
      </w:r>
      <w:r w:rsidRPr="00841523">
        <w:t>§</w:t>
      </w:r>
      <w:r>
        <w:t xml:space="preserve"> </w:t>
      </w:r>
      <w:r w:rsidRPr="00841523">
        <w:t>12</w:t>
      </w:r>
      <w:r>
        <w:t xml:space="preserve"> </w:t>
      </w:r>
      <w:r w:rsidRPr="00841523">
        <w:t>odst.</w:t>
      </w:r>
      <w:r>
        <w:t xml:space="preserve"> </w:t>
      </w:r>
      <w:r w:rsidRPr="00841523">
        <w:t>1</w:t>
      </w:r>
      <w:r>
        <w:t xml:space="preserve"> </w:t>
      </w:r>
      <w:r w:rsidRPr="00841523">
        <w:t>nezajistí</w:t>
      </w:r>
      <w:r>
        <w:t xml:space="preserve"> </w:t>
      </w:r>
      <w:r w:rsidRPr="00841523">
        <w:t>na</w:t>
      </w:r>
      <w:r>
        <w:t xml:space="preserve"> </w:t>
      </w:r>
      <w:r w:rsidRPr="00841523">
        <w:t>vlastní</w:t>
      </w:r>
      <w:r>
        <w:t xml:space="preserve"> </w:t>
      </w:r>
      <w:r w:rsidRPr="00841523">
        <w:t>náklady</w:t>
      </w:r>
      <w:r>
        <w:t xml:space="preserve"> </w:t>
      </w:r>
      <w:r w:rsidRPr="00841523">
        <w:t>zpětný</w:t>
      </w:r>
      <w:r>
        <w:t xml:space="preserve"> </w:t>
      </w:r>
      <w:r w:rsidRPr="00841523">
        <w:t>odběr</w:t>
      </w:r>
      <w:r>
        <w:t xml:space="preserve"> </w:t>
      </w:r>
      <w:r w:rsidRPr="00841523">
        <w:t>výrobků</w:t>
      </w:r>
      <w:r>
        <w:t xml:space="preserve"> </w:t>
      </w:r>
      <w:r w:rsidRPr="00841523">
        <w:t>s</w:t>
      </w:r>
      <w:r>
        <w:t xml:space="preserve"> </w:t>
      </w:r>
      <w:r w:rsidRPr="00841523">
        <w:t>ukončenou</w:t>
      </w:r>
      <w:r>
        <w:t xml:space="preserve"> </w:t>
      </w:r>
      <w:r w:rsidRPr="00841523">
        <w:t>životností</w:t>
      </w:r>
      <w:r>
        <w:t xml:space="preserve"> </w:t>
      </w:r>
      <w:r w:rsidRPr="00841523">
        <w:t>a</w:t>
      </w:r>
      <w:r>
        <w:t xml:space="preserve"> </w:t>
      </w:r>
      <w:r w:rsidRPr="00841523">
        <w:t>jejich</w:t>
      </w:r>
      <w:r>
        <w:t xml:space="preserve"> </w:t>
      </w:r>
      <w:r w:rsidRPr="00841523">
        <w:t>následné</w:t>
      </w:r>
      <w:r>
        <w:t xml:space="preserve"> </w:t>
      </w:r>
      <w:r w:rsidRPr="00841523">
        <w:t>zpracování</w:t>
      </w:r>
      <w:r>
        <w:t xml:space="preserve"> </w:t>
      </w:r>
      <w:r w:rsidRPr="00841523">
        <w:t>a</w:t>
      </w:r>
      <w:r>
        <w:t xml:space="preserve"> </w:t>
      </w:r>
      <w:r w:rsidRPr="00841523">
        <w:t>využití</w:t>
      </w:r>
      <w:r>
        <w:t xml:space="preserve"> </w:t>
      </w:r>
      <w:r w:rsidRPr="00841523">
        <w:t>nebo</w:t>
      </w:r>
      <w:r>
        <w:t xml:space="preserve"> </w:t>
      </w:r>
      <w:r w:rsidRPr="00841523">
        <w:t>odstranění</w:t>
      </w:r>
      <w:r>
        <w:t xml:space="preserve"> </w:t>
      </w:r>
      <w:r w:rsidRPr="00841523">
        <w:t>za</w:t>
      </w:r>
      <w:r>
        <w:t xml:space="preserve"> </w:t>
      </w:r>
      <w:r w:rsidRPr="00841523">
        <w:t>podmínek</w:t>
      </w:r>
      <w:r>
        <w:t xml:space="preserve"> </w:t>
      </w:r>
      <w:r w:rsidRPr="00841523">
        <w:t>stanovených</w:t>
      </w:r>
      <w:r>
        <w:t xml:space="preserve"> </w:t>
      </w:r>
      <w:r w:rsidRPr="00841523">
        <w:t>tímto</w:t>
      </w:r>
      <w:r>
        <w:t xml:space="preserve"> </w:t>
      </w:r>
      <w:r w:rsidRPr="00841523">
        <w:t>zákonem,</w:t>
      </w:r>
    </w:p>
    <w:p w14:paraId="07271AB0" w14:textId="77777777" w:rsidR="00C62C41" w:rsidRDefault="00C62C41" w:rsidP="003058E0">
      <w:pPr>
        <w:pStyle w:val="Textparagrafu"/>
        <w:tabs>
          <w:tab w:val="left" w:pos="392"/>
          <w:tab w:val="left" w:pos="840"/>
        </w:tabs>
        <w:spacing w:before="0"/>
        <w:ind w:left="426" w:hanging="426"/>
      </w:pPr>
      <w:r w:rsidRPr="00841523">
        <w:t>c)</w:t>
      </w:r>
      <w:r>
        <w:tab/>
      </w:r>
      <w:r w:rsidRPr="00841523">
        <w:t>neinformuje</w:t>
      </w:r>
      <w:r>
        <w:t xml:space="preserve"> </w:t>
      </w:r>
      <w:r w:rsidRPr="00841523">
        <w:t>stanoveným</w:t>
      </w:r>
      <w:r>
        <w:t xml:space="preserve"> </w:t>
      </w:r>
      <w:r w:rsidRPr="00841523">
        <w:t>způsobem</w:t>
      </w:r>
      <w:r>
        <w:t xml:space="preserve"> </w:t>
      </w:r>
      <w:r w:rsidRPr="00841523">
        <w:t>konečné</w:t>
      </w:r>
      <w:r>
        <w:t xml:space="preserve"> </w:t>
      </w:r>
      <w:r w:rsidRPr="00841523">
        <w:t>uživatele</w:t>
      </w:r>
      <w:r>
        <w:t xml:space="preserve"> </w:t>
      </w:r>
      <w:r w:rsidRPr="00841523">
        <w:t>o</w:t>
      </w:r>
      <w:r>
        <w:t xml:space="preserve"> </w:t>
      </w:r>
      <w:r w:rsidRPr="00841523">
        <w:t>skutečnostech</w:t>
      </w:r>
      <w:r>
        <w:t xml:space="preserve"> </w:t>
      </w:r>
      <w:r w:rsidRPr="00841523">
        <w:t>podle</w:t>
      </w:r>
      <w:r>
        <w:t xml:space="preserve"> </w:t>
      </w:r>
      <w:r w:rsidRPr="00841523">
        <w:t>§</w:t>
      </w:r>
      <w:r>
        <w:t xml:space="preserve"> </w:t>
      </w:r>
      <w:r w:rsidRPr="00841523">
        <w:t>13</w:t>
      </w:r>
      <w:r>
        <w:t xml:space="preserve"> </w:t>
      </w:r>
      <w:r w:rsidRPr="00841523">
        <w:t>odst.</w:t>
      </w:r>
      <w:r>
        <w:t xml:space="preserve"> </w:t>
      </w:r>
      <w:r w:rsidRPr="00841523">
        <w:t>1,</w:t>
      </w:r>
      <w:r>
        <w:t xml:space="preserve"> </w:t>
      </w:r>
      <w:r w:rsidRPr="00841523">
        <w:t>§</w:t>
      </w:r>
      <w:r>
        <w:t xml:space="preserve"> </w:t>
      </w:r>
      <w:r w:rsidRPr="00841523">
        <w:t>15</w:t>
      </w:r>
      <w:r>
        <w:t xml:space="preserve"> </w:t>
      </w:r>
      <w:r w:rsidRPr="00841523">
        <w:t>odst.</w:t>
      </w:r>
      <w:r>
        <w:t xml:space="preserve"> </w:t>
      </w:r>
      <w:r w:rsidRPr="00841523">
        <w:t>2,</w:t>
      </w:r>
      <w:r>
        <w:t xml:space="preserve"> </w:t>
      </w:r>
      <w:r w:rsidRPr="00841523">
        <w:t>§</w:t>
      </w:r>
      <w:r>
        <w:t xml:space="preserve"> </w:t>
      </w:r>
      <w:r w:rsidRPr="00841523">
        <w:t>63,</w:t>
      </w:r>
      <w:r>
        <w:t xml:space="preserve"> </w:t>
      </w:r>
      <w:r w:rsidRPr="00841523">
        <w:t>82,</w:t>
      </w:r>
      <w:r>
        <w:t xml:space="preserve"> </w:t>
      </w:r>
      <w:r w:rsidRPr="00841523">
        <w:t>95</w:t>
      </w:r>
      <w:r>
        <w:t xml:space="preserve"> </w:t>
      </w:r>
      <w:r w:rsidRPr="00841523">
        <w:t>nebo</w:t>
      </w:r>
      <w:r>
        <w:t xml:space="preserve"> </w:t>
      </w:r>
      <w:r w:rsidRPr="00841523">
        <w:t>§</w:t>
      </w:r>
      <w:r>
        <w:t xml:space="preserve"> </w:t>
      </w:r>
      <w:r w:rsidRPr="00841523">
        <w:t>103</w:t>
      </w:r>
      <w:r>
        <w:t xml:space="preserve"> </w:t>
      </w:r>
      <w:r w:rsidRPr="00841523">
        <w:t>odst.</w:t>
      </w:r>
      <w:r>
        <w:t xml:space="preserve"> </w:t>
      </w:r>
      <w:r w:rsidRPr="00841523">
        <w:t>4</w:t>
      </w:r>
      <w:r>
        <w:t xml:space="preserve"> </w:t>
      </w:r>
      <w:r w:rsidRPr="00841523">
        <w:t>nebo</w:t>
      </w:r>
      <w:r>
        <w:t xml:space="preserve"> </w:t>
      </w:r>
      <w:r w:rsidRPr="00841523">
        <w:t>neprovádí</w:t>
      </w:r>
      <w:r>
        <w:t xml:space="preserve"> </w:t>
      </w:r>
      <w:r w:rsidRPr="00841523">
        <w:t>osvětovou</w:t>
      </w:r>
      <w:r>
        <w:t xml:space="preserve"> </w:t>
      </w:r>
      <w:r w:rsidRPr="00841523">
        <w:t>činnost</w:t>
      </w:r>
      <w:r>
        <w:t xml:space="preserve"> </w:t>
      </w:r>
      <w:r w:rsidRPr="00841523">
        <w:t>podle</w:t>
      </w:r>
      <w:r>
        <w:t xml:space="preserve"> </w:t>
      </w:r>
      <w:r w:rsidRPr="00841523">
        <w:t>§</w:t>
      </w:r>
      <w:r>
        <w:t xml:space="preserve"> </w:t>
      </w:r>
      <w:r w:rsidRPr="00841523">
        <w:t>13</w:t>
      </w:r>
      <w:r>
        <w:t xml:space="preserve"> </w:t>
      </w:r>
      <w:r w:rsidRPr="00841523">
        <w:t>odst.</w:t>
      </w:r>
      <w:r>
        <w:t xml:space="preserve"> </w:t>
      </w:r>
      <w:r w:rsidRPr="00841523">
        <w:t>2</w:t>
      </w:r>
      <w:r>
        <w:t xml:space="preserve"> </w:t>
      </w:r>
      <w:r w:rsidRPr="00841523">
        <w:t>nebo</w:t>
      </w:r>
      <w:r>
        <w:t xml:space="preserve"> </w:t>
      </w:r>
      <w:r w:rsidRPr="00841523">
        <w:t>3</w:t>
      </w:r>
      <w:r>
        <w:t xml:space="preserve"> </w:t>
      </w:r>
      <w:r w:rsidRPr="00841523">
        <w:t>splňující</w:t>
      </w:r>
      <w:r>
        <w:t xml:space="preserve"> </w:t>
      </w:r>
      <w:r w:rsidRPr="00841523">
        <w:t>stanovené</w:t>
      </w:r>
      <w:r>
        <w:t xml:space="preserve"> </w:t>
      </w:r>
      <w:r w:rsidRPr="00841523">
        <w:t>minimální</w:t>
      </w:r>
      <w:r>
        <w:t xml:space="preserve"> </w:t>
      </w:r>
      <w:r w:rsidRPr="00841523">
        <w:t>požadavky,</w:t>
      </w:r>
    </w:p>
    <w:p w14:paraId="02378A36" w14:textId="77777777" w:rsidR="00C62C41" w:rsidRDefault="00C62C41" w:rsidP="003058E0">
      <w:pPr>
        <w:pStyle w:val="Textparagrafu"/>
        <w:tabs>
          <w:tab w:val="left" w:pos="392"/>
          <w:tab w:val="left" w:pos="840"/>
        </w:tabs>
        <w:spacing w:before="0"/>
        <w:ind w:left="426" w:hanging="426"/>
      </w:pPr>
      <w:r w:rsidRPr="00841523">
        <w:t>d)</w:t>
      </w:r>
      <w:r>
        <w:tab/>
      </w:r>
      <w:r w:rsidRPr="00841523">
        <w:t>jako</w:t>
      </w:r>
      <w:r>
        <w:t xml:space="preserve"> </w:t>
      </w:r>
      <w:r w:rsidRPr="00841523">
        <w:t>výrobce,</w:t>
      </w:r>
      <w:r>
        <w:t xml:space="preserve"> </w:t>
      </w:r>
      <w:r w:rsidRPr="00841523">
        <w:t>který</w:t>
      </w:r>
      <w:r>
        <w:t xml:space="preserve"> </w:t>
      </w:r>
      <w:r w:rsidRPr="00841523">
        <w:t>zřídil</w:t>
      </w:r>
      <w:r>
        <w:t xml:space="preserve"> </w:t>
      </w:r>
      <w:r w:rsidRPr="00841523">
        <w:t>místo</w:t>
      </w:r>
      <w:r>
        <w:t xml:space="preserve"> </w:t>
      </w:r>
      <w:r w:rsidRPr="00841523">
        <w:t>zpětného</w:t>
      </w:r>
      <w:r>
        <w:t xml:space="preserve"> </w:t>
      </w:r>
      <w:r w:rsidRPr="00841523">
        <w:t>odběru</w:t>
      </w:r>
      <w:r>
        <w:t xml:space="preserve"> </w:t>
      </w:r>
      <w:r w:rsidRPr="00841523">
        <w:t>na</w:t>
      </w:r>
      <w:r>
        <w:t xml:space="preserve"> </w:t>
      </w:r>
      <w:r w:rsidRPr="00841523">
        <w:t>území</w:t>
      </w:r>
      <w:r>
        <w:t xml:space="preserve"> </w:t>
      </w:r>
      <w:r w:rsidRPr="00841523">
        <w:t>obce,</w:t>
      </w:r>
      <w:r>
        <w:t xml:space="preserve"> </w:t>
      </w:r>
      <w:r w:rsidRPr="00841523">
        <w:t>neposkytne</w:t>
      </w:r>
      <w:r>
        <w:t xml:space="preserve"> </w:t>
      </w:r>
      <w:r w:rsidRPr="00841523">
        <w:t>obci</w:t>
      </w:r>
      <w:r>
        <w:t xml:space="preserve"> </w:t>
      </w:r>
      <w:r w:rsidRPr="00841523">
        <w:t>informace</w:t>
      </w:r>
      <w:r>
        <w:t xml:space="preserve"> </w:t>
      </w:r>
      <w:r w:rsidRPr="00841523">
        <w:t>o</w:t>
      </w:r>
      <w:r>
        <w:t xml:space="preserve"> </w:t>
      </w:r>
      <w:r w:rsidRPr="00841523">
        <w:t>množství</w:t>
      </w:r>
      <w:r>
        <w:t xml:space="preserve"> </w:t>
      </w:r>
      <w:r w:rsidRPr="00841523">
        <w:t>zpětně</w:t>
      </w:r>
      <w:r>
        <w:t xml:space="preserve"> </w:t>
      </w:r>
      <w:r w:rsidRPr="00841523">
        <w:t>odebraných</w:t>
      </w:r>
      <w:r>
        <w:t xml:space="preserve"> </w:t>
      </w:r>
      <w:r w:rsidRPr="00841523">
        <w:t>výrobků</w:t>
      </w:r>
      <w:r>
        <w:t xml:space="preserve"> </w:t>
      </w:r>
      <w:r w:rsidRPr="00841523">
        <w:t>s</w:t>
      </w:r>
      <w:r>
        <w:t xml:space="preserve"> </w:t>
      </w:r>
      <w:r w:rsidRPr="00841523">
        <w:t>ukončenou</w:t>
      </w:r>
      <w:r>
        <w:t xml:space="preserve"> </w:t>
      </w:r>
      <w:r w:rsidRPr="00841523">
        <w:t>životností</w:t>
      </w:r>
      <w:r>
        <w:t xml:space="preserve"> </w:t>
      </w:r>
      <w:r w:rsidRPr="00841523">
        <w:t>podle</w:t>
      </w:r>
      <w:r>
        <w:t xml:space="preserve"> </w:t>
      </w:r>
      <w:r w:rsidRPr="00841523">
        <w:t>§</w:t>
      </w:r>
      <w:r>
        <w:t xml:space="preserve"> </w:t>
      </w:r>
      <w:r w:rsidRPr="00841523">
        <w:t>16</w:t>
      </w:r>
      <w:r>
        <w:t xml:space="preserve"> </w:t>
      </w:r>
      <w:r w:rsidRPr="00841523">
        <w:t>odst.</w:t>
      </w:r>
      <w:r>
        <w:t xml:space="preserve"> </w:t>
      </w:r>
      <w:r w:rsidRPr="00841523">
        <w:t>3,</w:t>
      </w:r>
    </w:p>
    <w:p w14:paraId="27BDFCE8" w14:textId="77777777" w:rsidR="00C62C41" w:rsidRDefault="00C62C41" w:rsidP="003058E0">
      <w:pPr>
        <w:pStyle w:val="Textparagrafu"/>
        <w:tabs>
          <w:tab w:val="left" w:pos="392"/>
          <w:tab w:val="left" w:pos="840"/>
        </w:tabs>
        <w:spacing w:before="0"/>
        <w:ind w:left="426" w:hanging="426"/>
      </w:pPr>
      <w:r w:rsidRPr="00841523">
        <w:t>e)</w:t>
      </w:r>
      <w:r>
        <w:tab/>
      </w:r>
      <w:r w:rsidRPr="00841523">
        <w:t>nezajistí</w:t>
      </w:r>
      <w:r>
        <w:t xml:space="preserve"> </w:t>
      </w:r>
      <w:r w:rsidRPr="00841523">
        <w:t>konečnému</w:t>
      </w:r>
      <w:r>
        <w:t xml:space="preserve"> </w:t>
      </w:r>
      <w:r w:rsidRPr="00841523">
        <w:t>uživateli</w:t>
      </w:r>
      <w:r>
        <w:t xml:space="preserve"> </w:t>
      </w:r>
      <w:r w:rsidRPr="00841523">
        <w:t>možnost</w:t>
      </w:r>
      <w:r>
        <w:t xml:space="preserve"> </w:t>
      </w:r>
      <w:r w:rsidRPr="00841523">
        <w:t>odevzdat</w:t>
      </w:r>
      <w:r>
        <w:t xml:space="preserve"> </w:t>
      </w:r>
      <w:r w:rsidRPr="00841523">
        <w:t>výrobek</w:t>
      </w:r>
      <w:r>
        <w:t xml:space="preserve"> </w:t>
      </w:r>
      <w:r w:rsidRPr="00841523">
        <w:t>s</w:t>
      </w:r>
      <w:r>
        <w:t xml:space="preserve"> </w:t>
      </w:r>
      <w:r w:rsidRPr="00841523">
        <w:t>ukončenou</w:t>
      </w:r>
      <w:r>
        <w:t xml:space="preserve"> </w:t>
      </w:r>
      <w:r w:rsidRPr="00841523">
        <w:t>životností</w:t>
      </w:r>
      <w:r>
        <w:t xml:space="preserve"> </w:t>
      </w:r>
      <w:r w:rsidRPr="00841523">
        <w:t>podle</w:t>
      </w:r>
      <w:r>
        <w:t xml:space="preserve"> </w:t>
      </w:r>
      <w:r w:rsidRPr="00841523">
        <w:t>§</w:t>
      </w:r>
      <w:r>
        <w:t xml:space="preserve"> </w:t>
      </w:r>
      <w:r w:rsidRPr="00841523">
        <w:t>17</w:t>
      </w:r>
      <w:r>
        <w:t xml:space="preserve"> </w:t>
      </w:r>
      <w:r w:rsidRPr="00841523">
        <w:t>odst.</w:t>
      </w:r>
      <w:r>
        <w:t xml:space="preserve"> </w:t>
      </w:r>
      <w:r w:rsidRPr="00841523">
        <w:t>5,</w:t>
      </w:r>
    </w:p>
    <w:p w14:paraId="3E9C081B" w14:textId="77777777" w:rsidR="00C62C41" w:rsidRDefault="00C62C41" w:rsidP="003058E0">
      <w:pPr>
        <w:pStyle w:val="Textparagrafu"/>
        <w:tabs>
          <w:tab w:val="left" w:pos="392"/>
          <w:tab w:val="left" w:pos="840"/>
        </w:tabs>
        <w:spacing w:before="0"/>
        <w:ind w:left="426" w:hanging="426"/>
      </w:pPr>
      <w:r w:rsidRPr="00841523">
        <w:t>f)</w:t>
      </w:r>
      <w:r>
        <w:tab/>
      </w:r>
      <w:r w:rsidRPr="00841523">
        <w:t>v</w:t>
      </w:r>
      <w:r>
        <w:t xml:space="preserve"> </w:t>
      </w:r>
      <w:r w:rsidRPr="00841523">
        <w:t>rozporu</w:t>
      </w:r>
      <w:r>
        <w:t xml:space="preserve"> </w:t>
      </w:r>
      <w:r w:rsidRPr="00841523">
        <w:t>s</w:t>
      </w:r>
      <w:r>
        <w:t xml:space="preserve"> </w:t>
      </w:r>
      <w:r w:rsidRPr="00841523">
        <w:t>§</w:t>
      </w:r>
      <w:r>
        <w:t xml:space="preserve"> </w:t>
      </w:r>
      <w:r w:rsidRPr="00841523">
        <w:t>19</w:t>
      </w:r>
      <w:r>
        <w:t xml:space="preserve"> </w:t>
      </w:r>
      <w:r w:rsidRPr="00841523">
        <w:t>odst.</w:t>
      </w:r>
      <w:r>
        <w:t xml:space="preserve"> </w:t>
      </w:r>
      <w:r w:rsidRPr="00841523">
        <w:t>4</w:t>
      </w:r>
      <w:r>
        <w:t xml:space="preserve"> </w:t>
      </w:r>
      <w:r w:rsidRPr="00841523">
        <w:t>nevloží</w:t>
      </w:r>
      <w:r>
        <w:t xml:space="preserve"> </w:t>
      </w:r>
      <w:r w:rsidRPr="00841523">
        <w:t>požadované</w:t>
      </w:r>
      <w:r>
        <w:t xml:space="preserve"> </w:t>
      </w:r>
      <w:r w:rsidRPr="00841523">
        <w:t>údaje</w:t>
      </w:r>
      <w:r>
        <w:t xml:space="preserve"> </w:t>
      </w:r>
      <w:r w:rsidRPr="00841523">
        <w:t>do</w:t>
      </w:r>
      <w:r>
        <w:t xml:space="preserve"> </w:t>
      </w:r>
      <w:r w:rsidRPr="00841523">
        <w:t>Registru</w:t>
      </w:r>
      <w:r>
        <w:t xml:space="preserve"> </w:t>
      </w:r>
      <w:r w:rsidRPr="00841523">
        <w:t>nebo</w:t>
      </w:r>
      <w:r>
        <w:t xml:space="preserve"> </w:t>
      </w:r>
      <w:r w:rsidRPr="00841523">
        <w:t>tyto</w:t>
      </w:r>
      <w:r>
        <w:t xml:space="preserve"> </w:t>
      </w:r>
      <w:r w:rsidRPr="00841523">
        <w:t>údaje</w:t>
      </w:r>
      <w:r>
        <w:t xml:space="preserve"> </w:t>
      </w:r>
      <w:r w:rsidRPr="00841523">
        <w:t>neaktualizuje,</w:t>
      </w:r>
    </w:p>
    <w:p w14:paraId="02EFCAA8" w14:textId="77777777" w:rsidR="00C62C41" w:rsidRDefault="00C62C41" w:rsidP="003058E0">
      <w:pPr>
        <w:pStyle w:val="Textparagrafu"/>
        <w:tabs>
          <w:tab w:val="left" w:pos="392"/>
          <w:tab w:val="left" w:pos="840"/>
        </w:tabs>
        <w:spacing w:before="0"/>
        <w:ind w:left="426" w:hanging="426"/>
      </w:pPr>
      <w:r w:rsidRPr="00841523">
        <w:t>g)</w:t>
      </w:r>
      <w:r>
        <w:tab/>
      </w:r>
      <w:r w:rsidRPr="00841523">
        <w:t>nepodá</w:t>
      </w:r>
      <w:r>
        <w:t xml:space="preserve"> </w:t>
      </w:r>
      <w:r w:rsidRPr="00841523">
        <w:t>žádost</w:t>
      </w:r>
      <w:r>
        <w:t xml:space="preserve"> </w:t>
      </w:r>
      <w:r w:rsidRPr="00841523">
        <w:t>o</w:t>
      </w:r>
      <w:r>
        <w:t xml:space="preserve"> </w:t>
      </w:r>
      <w:r w:rsidRPr="00841523">
        <w:t>zápis</w:t>
      </w:r>
      <w:r>
        <w:t xml:space="preserve"> </w:t>
      </w:r>
      <w:r w:rsidRPr="00841523">
        <w:t>do</w:t>
      </w:r>
      <w:r>
        <w:t xml:space="preserve"> </w:t>
      </w:r>
      <w:r w:rsidRPr="00841523">
        <w:t>Seznamu</w:t>
      </w:r>
      <w:r>
        <w:t xml:space="preserve"> </w:t>
      </w:r>
      <w:r w:rsidRPr="00841523">
        <w:t>výrobců</w:t>
      </w:r>
      <w:r>
        <w:t xml:space="preserve"> </w:t>
      </w:r>
      <w:r w:rsidRPr="00841523">
        <w:t>podle</w:t>
      </w:r>
      <w:r>
        <w:t xml:space="preserve"> </w:t>
      </w:r>
      <w:r w:rsidRPr="00841523">
        <w:t>§</w:t>
      </w:r>
      <w:r>
        <w:t xml:space="preserve"> </w:t>
      </w:r>
      <w:r w:rsidRPr="00841523">
        <w:t>21</w:t>
      </w:r>
      <w:r>
        <w:t xml:space="preserve"> </w:t>
      </w:r>
      <w:r w:rsidRPr="00841523">
        <w:t>nebo</w:t>
      </w:r>
      <w:r>
        <w:t xml:space="preserve"> </w:t>
      </w:r>
      <w:r w:rsidRPr="00841523">
        <w:t>v</w:t>
      </w:r>
      <w:r>
        <w:t xml:space="preserve"> </w:t>
      </w:r>
      <w:r w:rsidRPr="00841523">
        <w:t>ní</w:t>
      </w:r>
      <w:r>
        <w:t xml:space="preserve"> </w:t>
      </w:r>
      <w:r w:rsidRPr="00841523">
        <w:t>uvede</w:t>
      </w:r>
      <w:r>
        <w:t xml:space="preserve"> </w:t>
      </w:r>
      <w:r w:rsidRPr="00841523">
        <w:t>nepravdivé</w:t>
      </w:r>
      <w:r>
        <w:t xml:space="preserve"> </w:t>
      </w:r>
      <w:r w:rsidRPr="00841523">
        <w:t>údaje,</w:t>
      </w:r>
    </w:p>
    <w:p w14:paraId="443E3026" w14:textId="77777777" w:rsidR="00C62C41" w:rsidRDefault="00C62C41" w:rsidP="003058E0">
      <w:pPr>
        <w:pStyle w:val="Textparagrafu"/>
        <w:tabs>
          <w:tab w:val="left" w:pos="392"/>
          <w:tab w:val="left" w:pos="840"/>
        </w:tabs>
        <w:spacing w:before="0"/>
        <w:ind w:left="426" w:hanging="426"/>
      </w:pPr>
      <w:r w:rsidRPr="00841523">
        <w:t>h)</w:t>
      </w:r>
      <w:r>
        <w:tab/>
      </w:r>
      <w:r w:rsidRPr="00841523">
        <w:t>v</w:t>
      </w:r>
      <w:r>
        <w:t xml:space="preserve"> </w:t>
      </w:r>
      <w:r w:rsidRPr="00841523">
        <w:t>rozporu</w:t>
      </w:r>
      <w:r>
        <w:t xml:space="preserve"> </w:t>
      </w:r>
      <w:r w:rsidRPr="00841523">
        <w:t>s</w:t>
      </w:r>
      <w:r>
        <w:t xml:space="preserve"> </w:t>
      </w:r>
      <w:r w:rsidRPr="00841523">
        <w:t>§</w:t>
      </w:r>
      <w:r>
        <w:t xml:space="preserve"> </w:t>
      </w:r>
      <w:r w:rsidRPr="00841523">
        <w:t>23</w:t>
      </w:r>
      <w:r>
        <w:t xml:space="preserve"> </w:t>
      </w:r>
      <w:r w:rsidRPr="00841523">
        <w:t>odst.</w:t>
      </w:r>
      <w:r>
        <w:t xml:space="preserve"> </w:t>
      </w:r>
      <w:r w:rsidRPr="00841523">
        <w:t>3</w:t>
      </w:r>
      <w:r>
        <w:t xml:space="preserve"> </w:t>
      </w:r>
      <w:r w:rsidRPr="00841523">
        <w:t>nebo</w:t>
      </w:r>
      <w:r>
        <w:t xml:space="preserve"> </w:t>
      </w:r>
      <w:r w:rsidRPr="00841523">
        <w:t>§</w:t>
      </w:r>
      <w:r>
        <w:t xml:space="preserve"> </w:t>
      </w:r>
      <w:r w:rsidRPr="00841523">
        <w:t>24</w:t>
      </w:r>
      <w:r>
        <w:t xml:space="preserve"> </w:t>
      </w:r>
      <w:r w:rsidRPr="00841523">
        <w:t>odst.</w:t>
      </w:r>
      <w:r>
        <w:t xml:space="preserve"> </w:t>
      </w:r>
      <w:r w:rsidRPr="00841523">
        <w:t>1</w:t>
      </w:r>
      <w:r>
        <w:t xml:space="preserve"> </w:t>
      </w:r>
      <w:r w:rsidRPr="00841523">
        <w:t>neprovede</w:t>
      </w:r>
      <w:r>
        <w:t xml:space="preserve"> </w:t>
      </w:r>
      <w:r w:rsidRPr="00841523">
        <w:t>nebo</w:t>
      </w:r>
      <w:r>
        <w:t xml:space="preserve"> </w:t>
      </w:r>
      <w:r w:rsidRPr="00841523">
        <w:t>neoznámí</w:t>
      </w:r>
      <w:r>
        <w:t xml:space="preserve"> </w:t>
      </w:r>
      <w:r w:rsidRPr="00841523">
        <w:t>ministerstvu</w:t>
      </w:r>
      <w:r>
        <w:t xml:space="preserve"> </w:t>
      </w:r>
      <w:r w:rsidRPr="00841523">
        <w:t>změnu</w:t>
      </w:r>
      <w:r>
        <w:t xml:space="preserve"> </w:t>
      </w:r>
      <w:r w:rsidRPr="00841523">
        <w:t>údajů</w:t>
      </w:r>
      <w:r>
        <w:t xml:space="preserve"> </w:t>
      </w:r>
      <w:r w:rsidRPr="00841523">
        <w:t>zapsaných</w:t>
      </w:r>
      <w:r>
        <w:t xml:space="preserve"> </w:t>
      </w:r>
      <w:r w:rsidRPr="00841523">
        <w:t>v</w:t>
      </w:r>
      <w:r>
        <w:t xml:space="preserve"> </w:t>
      </w:r>
      <w:r w:rsidRPr="00841523">
        <w:t>Seznamu</w:t>
      </w:r>
      <w:r>
        <w:t xml:space="preserve"> </w:t>
      </w:r>
      <w:r w:rsidRPr="00841523">
        <w:t>výrobců</w:t>
      </w:r>
      <w:r>
        <w:t xml:space="preserve"> </w:t>
      </w:r>
      <w:r w:rsidRPr="00841523">
        <w:t>nebo</w:t>
      </w:r>
      <w:r>
        <w:t xml:space="preserve"> </w:t>
      </w:r>
      <w:r w:rsidRPr="00841523">
        <w:t>neoznámí</w:t>
      </w:r>
      <w:r>
        <w:t xml:space="preserve"> </w:t>
      </w:r>
      <w:r w:rsidRPr="00841523">
        <w:t>ministerstvu,</w:t>
      </w:r>
      <w:r>
        <w:t xml:space="preserve"> </w:t>
      </w:r>
      <w:r w:rsidRPr="00841523">
        <w:t>že</w:t>
      </w:r>
      <w:r>
        <w:t xml:space="preserve"> </w:t>
      </w:r>
      <w:r w:rsidRPr="00841523">
        <w:t>zanikly</w:t>
      </w:r>
      <w:r>
        <w:t xml:space="preserve"> </w:t>
      </w:r>
      <w:r w:rsidRPr="00841523">
        <w:t>důvody</w:t>
      </w:r>
      <w:r>
        <w:t xml:space="preserve"> </w:t>
      </w:r>
      <w:r w:rsidRPr="00841523">
        <w:t>pro</w:t>
      </w:r>
      <w:r>
        <w:t xml:space="preserve"> </w:t>
      </w:r>
      <w:r w:rsidRPr="00841523">
        <w:t>její</w:t>
      </w:r>
      <w:r>
        <w:t xml:space="preserve"> </w:t>
      </w:r>
      <w:r w:rsidRPr="00841523">
        <w:t>vedení</w:t>
      </w:r>
      <w:r>
        <w:t xml:space="preserve"> </w:t>
      </w:r>
      <w:r w:rsidRPr="00841523">
        <w:t>v</w:t>
      </w:r>
      <w:r>
        <w:t xml:space="preserve"> </w:t>
      </w:r>
      <w:r w:rsidRPr="00841523">
        <w:t>Seznamu</w:t>
      </w:r>
      <w:r>
        <w:t xml:space="preserve"> </w:t>
      </w:r>
      <w:r w:rsidRPr="00841523">
        <w:t>výrobců,</w:t>
      </w:r>
    </w:p>
    <w:p w14:paraId="20CA0696" w14:textId="77777777" w:rsidR="00C62C41" w:rsidRDefault="00C62C41" w:rsidP="003058E0">
      <w:pPr>
        <w:pStyle w:val="Textparagrafu"/>
        <w:tabs>
          <w:tab w:val="left" w:pos="392"/>
          <w:tab w:val="left" w:pos="840"/>
        </w:tabs>
        <w:spacing w:before="0"/>
        <w:ind w:left="426" w:hanging="426"/>
      </w:pPr>
      <w:r w:rsidRPr="00841523">
        <w:t>i)</w:t>
      </w:r>
      <w:r>
        <w:tab/>
      </w:r>
      <w:r w:rsidRPr="00841523">
        <w:t>nevede</w:t>
      </w:r>
      <w:r>
        <w:t xml:space="preserve"> </w:t>
      </w:r>
      <w:r w:rsidRPr="00841523">
        <w:t>stanoveným</w:t>
      </w:r>
      <w:r>
        <w:t xml:space="preserve"> </w:t>
      </w:r>
      <w:r w:rsidRPr="00841523">
        <w:t>způsobem</w:t>
      </w:r>
      <w:r>
        <w:t xml:space="preserve"> </w:t>
      </w:r>
      <w:r w:rsidRPr="00841523">
        <w:t>a</w:t>
      </w:r>
      <w:r>
        <w:t xml:space="preserve"> </w:t>
      </w:r>
      <w:r w:rsidRPr="00841523">
        <w:t>ve</w:t>
      </w:r>
      <w:r>
        <w:t xml:space="preserve"> </w:t>
      </w:r>
      <w:r w:rsidRPr="00841523">
        <w:t>stanoveném</w:t>
      </w:r>
      <w:r>
        <w:t xml:space="preserve"> </w:t>
      </w:r>
      <w:r w:rsidRPr="00841523">
        <w:t>rozsahu</w:t>
      </w:r>
      <w:r>
        <w:t xml:space="preserve"> </w:t>
      </w:r>
      <w:r w:rsidRPr="00841523">
        <w:t>evidenci</w:t>
      </w:r>
      <w:r>
        <w:t xml:space="preserve"> </w:t>
      </w:r>
      <w:r w:rsidRPr="00841523">
        <w:t>podle</w:t>
      </w:r>
      <w:r>
        <w:t xml:space="preserve"> </w:t>
      </w:r>
      <w:r w:rsidRPr="00841523">
        <w:t>§</w:t>
      </w:r>
      <w:r>
        <w:t xml:space="preserve"> </w:t>
      </w:r>
      <w:r w:rsidRPr="00841523">
        <w:t>27</w:t>
      </w:r>
      <w:r>
        <w:t xml:space="preserve"> </w:t>
      </w:r>
      <w:r w:rsidRPr="00841523">
        <w:t>odst.</w:t>
      </w:r>
      <w:r>
        <w:t xml:space="preserve"> </w:t>
      </w:r>
      <w:r w:rsidRPr="00841523">
        <w:t>1,</w:t>
      </w:r>
    </w:p>
    <w:p w14:paraId="016B7EBD" w14:textId="77777777" w:rsidR="00C62C41" w:rsidRDefault="00C62C41" w:rsidP="003058E0">
      <w:pPr>
        <w:pStyle w:val="Textparagrafu"/>
        <w:tabs>
          <w:tab w:val="left" w:pos="392"/>
          <w:tab w:val="left" w:pos="840"/>
        </w:tabs>
        <w:spacing w:before="0"/>
        <w:ind w:left="426" w:hanging="426"/>
      </w:pPr>
      <w:r w:rsidRPr="00841523">
        <w:t>j)</w:t>
      </w:r>
      <w:r>
        <w:tab/>
      </w:r>
      <w:r w:rsidRPr="00841523">
        <w:t>v</w:t>
      </w:r>
      <w:r>
        <w:t xml:space="preserve"> </w:t>
      </w:r>
      <w:r w:rsidRPr="00841523">
        <w:t>rozporu</w:t>
      </w:r>
      <w:r>
        <w:t xml:space="preserve"> </w:t>
      </w:r>
      <w:r w:rsidRPr="00841523">
        <w:t>s</w:t>
      </w:r>
      <w:r>
        <w:t xml:space="preserve"> </w:t>
      </w:r>
      <w:r w:rsidRPr="00841523">
        <w:t>§</w:t>
      </w:r>
      <w:r>
        <w:t xml:space="preserve"> </w:t>
      </w:r>
      <w:r w:rsidRPr="00841523">
        <w:t>28</w:t>
      </w:r>
      <w:r>
        <w:t xml:space="preserve"> </w:t>
      </w:r>
      <w:r w:rsidRPr="00841523">
        <w:t>odst.</w:t>
      </w:r>
      <w:r>
        <w:t xml:space="preserve"> </w:t>
      </w:r>
      <w:r w:rsidRPr="00841523">
        <w:t>1</w:t>
      </w:r>
      <w:r>
        <w:t xml:space="preserve"> </w:t>
      </w:r>
      <w:r w:rsidRPr="00841523">
        <w:t>nezpracuje</w:t>
      </w:r>
      <w:r>
        <w:t xml:space="preserve"> </w:t>
      </w:r>
      <w:r w:rsidRPr="00841523">
        <w:t>nebo</w:t>
      </w:r>
      <w:r>
        <w:t xml:space="preserve"> </w:t>
      </w:r>
      <w:r w:rsidRPr="00841523">
        <w:t>nezašle</w:t>
      </w:r>
      <w:r>
        <w:t xml:space="preserve"> </w:t>
      </w:r>
      <w:r w:rsidRPr="00841523">
        <w:t>ministerstvu</w:t>
      </w:r>
      <w:r>
        <w:t xml:space="preserve"> </w:t>
      </w:r>
      <w:r w:rsidRPr="00841523">
        <w:t>ve</w:t>
      </w:r>
      <w:r>
        <w:t xml:space="preserve"> </w:t>
      </w:r>
      <w:r w:rsidRPr="00841523">
        <w:t>stanovené</w:t>
      </w:r>
      <w:r>
        <w:t xml:space="preserve"> </w:t>
      </w:r>
      <w:r w:rsidRPr="00841523">
        <w:t>lhůtě</w:t>
      </w:r>
      <w:r>
        <w:t xml:space="preserve"> </w:t>
      </w:r>
      <w:r w:rsidRPr="00841523">
        <w:t>roční</w:t>
      </w:r>
      <w:r>
        <w:t xml:space="preserve"> </w:t>
      </w:r>
      <w:r w:rsidRPr="00841523">
        <w:t>zprávu</w:t>
      </w:r>
      <w:r>
        <w:t xml:space="preserve"> </w:t>
      </w:r>
      <w:r w:rsidRPr="00841523">
        <w:t>o</w:t>
      </w:r>
      <w:r>
        <w:t xml:space="preserve"> </w:t>
      </w:r>
      <w:r w:rsidRPr="00841523">
        <w:t>výrobcích</w:t>
      </w:r>
      <w:r>
        <w:t xml:space="preserve"> </w:t>
      </w:r>
      <w:r w:rsidRPr="00841523">
        <w:t>s</w:t>
      </w:r>
      <w:r>
        <w:t xml:space="preserve"> </w:t>
      </w:r>
      <w:r w:rsidRPr="00841523">
        <w:t>ukončenou</w:t>
      </w:r>
      <w:r>
        <w:t xml:space="preserve"> </w:t>
      </w:r>
      <w:r w:rsidRPr="00841523">
        <w:t>životností</w:t>
      </w:r>
      <w:r>
        <w:t xml:space="preserve"> </w:t>
      </w:r>
      <w:r w:rsidRPr="00841523">
        <w:t>obsahující</w:t>
      </w:r>
      <w:r>
        <w:t xml:space="preserve"> </w:t>
      </w:r>
      <w:r w:rsidRPr="00841523">
        <w:t>všechny</w:t>
      </w:r>
      <w:r>
        <w:t xml:space="preserve"> </w:t>
      </w:r>
      <w:r w:rsidRPr="00841523">
        <w:t>součásti</w:t>
      </w:r>
      <w:r>
        <w:t xml:space="preserve"> </w:t>
      </w:r>
      <w:r w:rsidRPr="00841523">
        <w:t>požadované</w:t>
      </w:r>
      <w:r>
        <w:t xml:space="preserve"> </w:t>
      </w:r>
      <w:r w:rsidRPr="00841523">
        <w:t>tímto</w:t>
      </w:r>
      <w:r>
        <w:t xml:space="preserve"> </w:t>
      </w:r>
      <w:r w:rsidRPr="00841523">
        <w:t>zákonem,</w:t>
      </w:r>
    </w:p>
    <w:p w14:paraId="13E9CEC3" w14:textId="77777777" w:rsidR="00C62C41" w:rsidRDefault="00C62C41" w:rsidP="003058E0">
      <w:pPr>
        <w:pStyle w:val="Textparagrafu"/>
        <w:tabs>
          <w:tab w:val="left" w:pos="392"/>
          <w:tab w:val="left" w:pos="840"/>
        </w:tabs>
        <w:spacing w:before="0"/>
        <w:ind w:left="426" w:hanging="426"/>
      </w:pPr>
      <w:r w:rsidRPr="00841523">
        <w:t>k)</w:t>
      </w:r>
      <w:r>
        <w:tab/>
      </w:r>
      <w:r w:rsidRPr="00841523">
        <w:t>v</w:t>
      </w:r>
      <w:r>
        <w:t xml:space="preserve"> </w:t>
      </w:r>
      <w:r w:rsidRPr="00841523">
        <w:t>rozporu</w:t>
      </w:r>
      <w:r>
        <w:t xml:space="preserve"> </w:t>
      </w:r>
      <w:r w:rsidRPr="00841523">
        <w:t>s</w:t>
      </w:r>
      <w:r>
        <w:t xml:space="preserve"> </w:t>
      </w:r>
      <w:r w:rsidRPr="00841523">
        <w:t>§</w:t>
      </w:r>
      <w:r>
        <w:t xml:space="preserve"> </w:t>
      </w:r>
      <w:r w:rsidRPr="00841523">
        <w:t>29</w:t>
      </w:r>
      <w:r>
        <w:t xml:space="preserve"> </w:t>
      </w:r>
      <w:r w:rsidRPr="00841523">
        <w:t>písm.</w:t>
      </w:r>
      <w:r>
        <w:t xml:space="preserve"> </w:t>
      </w:r>
      <w:r w:rsidRPr="00841523">
        <w:t>a)</w:t>
      </w:r>
      <w:r>
        <w:t xml:space="preserve"> </w:t>
      </w:r>
      <w:r w:rsidRPr="00841523">
        <w:t>neuchovává</w:t>
      </w:r>
      <w:r>
        <w:t xml:space="preserve"> </w:t>
      </w:r>
      <w:r w:rsidRPr="00841523">
        <w:t>údaje</w:t>
      </w:r>
      <w:r>
        <w:t xml:space="preserve"> </w:t>
      </w:r>
      <w:r w:rsidRPr="00841523">
        <w:t>a</w:t>
      </w:r>
      <w:r>
        <w:t xml:space="preserve"> </w:t>
      </w:r>
      <w:r w:rsidRPr="00841523">
        <w:t>roční</w:t>
      </w:r>
      <w:r>
        <w:t xml:space="preserve"> </w:t>
      </w:r>
      <w:r w:rsidRPr="00841523">
        <w:t>zprávu</w:t>
      </w:r>
      <w:r>
        <w:t xml:space="preserve"> </w:t>
      </w:r>
      <w:r w:rsidRPr="00841523">
        <w:t>o</w:t>
      </w:r>
      <w:r>
        <w:t xml:space="preserve"> </w:t>
      </w:r>
      <w:r w:rsidRPr="00841523">
        <w:t>výrobcích</w:t>
      </w:r>
      <w:r>
        <w:t xml:space="preserve"> </w:t>
      </w:r>
      <w:r w:rsidRPr="00841523">
        <w:t>s</w:t>
      </w:r>
      <w:r>
        <w:t xml:space="preserve"> </w:t>
      </w:r>
      <w:r w:rsidRPr="00841523">
        <w:t>ukončenou</w:t>
      </w:r>
      <w:r>
        <w:t xml:space="preserve"> </w:t>
      </w:r>
      <w:r w:rsidRPr="00841523">
        <w:t>životností</w:t>
      </w:r>
      <w:r>
        <w:t xml:space="preserve"> </w:t>
      </w:r>
      <w:r w:rsidRPr="00841523">
        <w:t>po</w:t>
      </w:r>
      <w:r>
        <w:t xml:space="preserve"> </w:t>
      </w:r>
      <w:r w:rsidRPr="00841523">
        <w:t>stanovenou</w:t>
      </w:r>
      <w:r>
        <w:t xml:space="preserve"> </w:t>
      </w:r>
      <w:r w:rsidRPr="00841523">
        <w:t>dobu</w:t>
      </w:r>
      <w:r>
        <w:t xml:space="preserve"> </w:t>
      </w:r>
      <w:r w:rsidRPr="00841523">
        <w:t>nebo</w:t>
      </w:r>
      <w:r>
        <w:t xml:space="preserve"> </w:t>
      </w:r>
      <w:r w:rsidRPr="00841523">
        <w:t>v</w:t>
      </w:r>
      <w:r>
        <w:t xml:space="preserve"> </w:t>
      </w:r>
      <w:r w:rsidRPr="00841523">
        <w:t>rozporu</w:t>
      </w:r>
      <w:r>
        <w:t xml:space="preserve"> </w:t>
      </w:r>
      <w:r w:rsidRPr="00841523">
        <w:t>s</w:t>
      </w:r>
      <w:r>
        <w:t xml:space="preserve"> </w:t>
      </w:r>
      <w:r w:rsidRPr="00841523">
        <w:t>§</w:t>
      </w:r>
      <w:r>
        <w:t xml:space="preserve"> </w:t>
      </w:r>
      <w:r w:rsidRPr="00841523">
        <w:t>29</w:t>
      </w:r>
      <w:r>
        <w:t xml:space="preserve"> </w:t>
      </w:r>
      <w:r w:rsidRPr="00841523">
        <w:t>písm.</w:t>
      </w:r>
      <w:r>
        <w:t xml:space="preserve"> </w:t>
      </w:r>
      <w:r w:rsidRPr="00841523">
        <w:t>b)</w:t>
      </w:r>
      <w:r>
        <w:t xml:space="preserve"> </w:t>
      </w:r>
      <w:r w:rsidRPr="00841523">
        <w:t>nepředloží</w:t>
      </w:r>
      <w:r>
        <w:t xml:space="preserve"> </w:t>
      </w:r>
      <w:r w:rsidRPr="00841523">
        <w:t>inspekci</w:t>
      </w:r>
      <w:r>
        <w:t xml:space="preserve"> </w:t>
      </w:r>
      <w:r w:rsidRPr="00841523">
        <w:t>dokumenty</w:t>
      </w:r>
      <w:r>
        <w:t xml:space="preserve"> </w:t>
      </w:r>
      <w:r w:rsidRPr="00841523">
        <w:t>dokládající</w:t>
      </w:r>
      <w:r>
        <w:t xml:space="preserve"> </w:t>
      </w:r>
      <w:r w:rsidRPr="00841523">
        <w:t>jejich</w:t>
      </w:r>
      <w:r>
        <w:t xml:space="preserve"> </w:t>
      </w:r>
      <w:r w:rsidRPr="00841523">
        <w:t>pravdivost</w:t>
      </w:r>
      <w:r>
        <w:t xml:space="preserve"> </w:t>
      </w:r>
      <w:r w:rsidRPr="00841523">
        <w:t>a</w:t>
      </w:r>
      <w:r>
        <w:t xml:space="preserve"> </w:t>
      </w:r>
      <w:r w:rsidRPr="00841523">
        <w:t>úplnost,</w:t>
      </w:r>
    </w:p>
    <w:p w14:paraId="0BADC7DD" w14:textId="77777777" w:rsidR="00C62C41" w:rsidRDefault="00C62C41" w:rsidP="003058E0">
      <w:pPr>
        <w:pStyle w:val="Textparagrafu"/>
        <w:tabs>
          <w:tab w:val="left" w:pos="392"/>
          <w:tab w:val="left" w:pos="840"/>
        </w:tabs>
        <w:spacing w:before="0"/>
        <w:ind w:left="426" w:hanging="426"/>
      </w:pPr>
      <w:r w:rsidRPr="00841523">
        <w:t>l)</w:t>
      </w:r>
      <w:r>
        <w:tab/>
      </w:r>
      <w:r w:rsidRPr="00841523">
        <w:t>neposkytne</w:t>
      </w:r>
      <w:r>
        <w:t xml:space="preserve"> </w:t>
      </w:r>
      <w:r w:rsidRPr="00841523">
        <w:t>dostatečnou</w:t>
      </w:r>
      <w:r>
        <w:t xml:space="preserve"> </w:t>
      </w:r>
      <w:r w:rsidRPr="00841523">
        <w:t>kauci</w:t>
      </w:r>
      <w:r>
        <w:t xml:space="preserve"> </w:t>
      </w:r>
      <w:r w:rsidRPr="00841523">
        <w:t>prokazující,</w:t>
      </w:r>
      <w:r>
        <w:t xml:space="preserve"> </w:t>
      </w:r>
      <w:r w:rsidRPr="00841523">
        <w:t>že</w:t>
      </w:r>
      <w:r>
        <w:t xml:space="preserve"> </w:t>
      </w:r>
      <w:r w:rsidRPr="00841523">
        <w:t>nakládání</w:t>
      </w:r>
      <w:r>
        <w:t xml:space="preserve"> </w:t>
      </w:r>
      <w:r w:rsidRPr="00841523">
        <w:t>s</w:t>
      </w:r>
      <w:r>
        <w:t xml:space="preserve"> </w:t>
      </w:r>
      <w:r w:rsidRPr="00841523">
        <w:t>výrobky</w:t>
      </w:r>
      <w:r>
        <w:t xml:space="preserve"> </w:t>
      </w:r>
      <w:r w:rsidRPr="00841523">
        <w:t>s</w:t>
      </w:r>
      <w:r>
        <w:t xml:space="preserve"> </w:t>
      </w:r>
      <w:r w:rsidRPr="00841523">
        <w:t>ukončenou</w:t>
      </w:r>
      <w:r>
        <w:t xml:space="preserve"> </w:t>
      </w:r>
      <w:r w:rsidRPr="00841523">
        <w:t>životností</w:t>
      </w:r>
      <w:r>
        <w:t xml:space="preserve"> </w:t>
      </w:r>
      <w:r w:rsidRPr="00841523">
        <w:t>bude</w:t>
      </w:r>
      <w:r>
        <w:t xml:space="preserve"> </w:t>
      </w:r>
      <w:r w:rsidRPr="00841523">
        <w:t>finančně</w:t>
      </w:r>
      <w:r>
        <w:t xml:space="preserve"> </w:t>
      </w:r>
      <w:r w:rsidRPr="00841523">
        <w:t>zajištěno</w:t>
      </w:r>
      <w:r>
        <w:t xml:space="preserve"> </w:t>
      </w:r>
      <w:r w:rsidRPr="00841523">
        <w:t>podle</w:t>
      </w:r>
      <w:r>
        <w:t xml:space="preserve"> </w:t>
      </w:r>
      <w:r w:rsidRPr="00841523">
        <w:t>§</w:t>
      </w:r>
      <w:r>
        <w:t xml:space="preserve"> </w:t>
      </w:r>
      <w:r w:rsidRPr="00841523">
        <w:t>31</w:t>
      </w:r>
      <w:r>
        <w:t xml:space="preserve"> </w:t>
      </w:r>
      <w:r w:rsidRPr="00841523">
        <w:t>odst.</w:t>
      </w:r>
      <w:r>
        <w:t xml:space="preserve"> </w:t>
      </w:r>
      <w:r w:rsidRPr="00841523">
        <w:t>1</w:t>
      </w:r>
      <w:r>
        <w:t xml:space="preserve"> </w:t>
      </w:r>
      <w:r w:rsidRPr="00841523">
        <w:t>nebo</w:t>
      </w:r>
      <w:r>
        <w:t xml:space="preserve"> </w:t>
      </w:r>
      <w:r w:rsidRPr="00841523">
        <w:t>2,</w:t>
      </w:r>
      <w:r>
        <w:t xml:space="preserve"> </w:t>
      </w:r>
      <w:r w:rsidRPr="00841523">
        <w:t>nebo</w:t>
      </w:r>
      <w:r>
        <w:t xml:space="preserve"> </w:t>
      </w:r>
      <w:r w:rsidRPr="00841523">
        <w:t>použije</w:t>
      </w:r>
      <w:r>
        <w:t xml:space="preserve"> </w:t>
      </w:r>
      <w:r w:rsidRPr="00841523">
        <w:t>peněžní</w:t>
      </w:r>
      <w:r>
        <w:t xml:space="preserve"> </w:t>
      </w:r>
      <w:r w:rsidRPr="00841523">
        <w:t>prostředky</w:t>
      </w:r>
      <w:r>
        <w:t xml:space="preserve"> </w:t>
      </w:r>
      <w:r w:rsidRPr="00841523">
        <w:t>tvořící</w:t>
      </w:r>
      <w:r>
        <w:t xml:space="preserve"> </w:t>
      </w:r>
      <w:r w:rsidRPr="00841523">
        <w:t>kauci</w:t>
      </w:r>
      <w:r>
        <w:t xml:space="preserve"> </w:t>
      </w:r>
      <w:r w:rsidRPr="00841523">
        <w:t>bez</w:t>
      </w:r>
      <w:r>
        <w:t xml:space="preserve"> </w:t>
      </w:r>
      <w:r w:rsidRPr="00841523">
        <w:t>souhlasu</w:t>
      </w:r>
      <w:r>
        <w:t xml:space="preserve"> </w:t>
      </w:r>
      <w:r w:rsidRPr="00841523">
        <w:t>ministerstva</w:t>
      </w:r>
      <w:r>
        <w:t xml:space="preserve"> </w:t>
      </w:r>
      <w:r w:rsidRPr="00841523">
        <w:t>podle</w:t>
      </w:r>
      <w:r>
        <w:t xml:space="preserve"> </w:t>
      </w:r>
      <w:r w:rsidRPr="00841523">
        <w:t>§</w:t>
      </w:r>
      <w:r>
        <w:t xml:space="preserve"> </w:t>
      </w:r>
      <w:r w:rsidRPr="00841523">
        <w:t>32</w:t>
      </w:r>
      <w:r>
        <w:t xml:space="preserve"> </w:t>
      </w:r>
      <w:r w:rsidRPr="00841523">
        <w:t>odst.</w:t>
      </w:r>
      <w:r>
        <w:t xml:space="preserve"> </w:t>
      </w:r>
      <w:r w:rsidRPr="00841523">
        <w:t>1,</w:t>
      </w:r>
    </w:p>
    <w:p w14:paraId="24D93108" w14:textId="77777777" w:rsidR="00C62C41" w:rsidRDefault="00C62C41" w:rsidP="003058E0">
      <w:pPr>
        <w:pStyle w:val="Textparagrafu"/>
        <w:tabs>
          <w:tab w:val="left" w:pos="392"/>
          <w:tab w:val="left" w:pos="840"/>
        </w:tabs>
        <w:spacing w:before="0"/>
        <w:ind w:left="426" w:hanging="426"/>
      </w:pPr>
      <w:r w:rsidRPr="00841523">
        <w:t>m)</w:t>
      </w:r>
      <w:r>
        <w:tab/>
      </w:r>
      <w:r w:rsidRPr="00841523">
        <w:t>nepředloží</w:t>
      </w:r>
      <w:r>
        <w:t xml:space="preserve"> </w:t>
      </w:r>
      <w:r w:rsidRPr="00841523">
        <w:t>podle</w:t>
      </w:r>
      <w:r>
        <w:t xml:space="preserve"> </w:t>
      </w:r>
      <w:r w:rsidRPr="00841523">
        <w:t>§</w:t>
      </w:r>
      <w:r>
        <w:t xml:space="preserve"> </w:t>
      </w:r>
      <w:r w:rsidRPr="00841523">
        <w:t>33</w:t>
      </w:r>
      <w:r>
        <w:t xml:space="preserve"> </w:t>
      </w:r>
      <w:r w:rsidRPr="00841523">
        <w:t>odst.</w:t>
      </w:r>
      <w:r>
        <w:t xml:space="preserve"> </w:t>
      </w:r>
      <w:r w:rsidRPr="00841523">
        <w:t>1</w:t>
      </w:r>
      <w:r>
        <w:t xml:space="preserve"> </w:t>
      </w:r>
      <w:r w:rsidRPr="00841523">
        <w:t>ministerstvu</w:t>
      </w:r>
      <w:r>
        <w:t xml:space="preserve"> </w:t>
      </w:r>
      <w:r w:rsidRPr="00841523">
        <w:t>spolu</w:t>
      </w:r>
      <w:r>
        <w:t xml:space="preserve"> </w:t>
      </w:r>
      <w:r w:rsidRPr="00841523">
        <w:t>s</w:t>
      </w:r>
      <w:r>
        <w:t xml:space="preserve"> </w:t>
      </w:r>
      <w:r w:rsidRPr="00841523">
        <w:t>oznámením</w:t>
      </w:r>
      <w:r>
        <w:t xml:space="preserve"> </w:t>
      </w:r>
      <w:r w:rsidRPr="00841523">
        <w:t>uvedeným</w:t>
      </w:r>
      <w:r>
        <w:t xml:space="preserve"> </w:t>
      </w:r>
      <w:r w:rsidRPr="00841523">
        <w:t>v</w:t>
      </w:r>
      <w:r>
        <w:t xml:space="preserve"> </w:t>
      </w:r>
      <w:r w:rsidRPr="00841523">
        <w:t>§</w:t>
      </w:r>
      <w:r>
        <w:t xml:space="preserve"> </w:t>
      </w:r>
      <w:r w:rsidRPr="00841523">
        <w:t>24</w:t>
      </w:r>
      <w:r>
        <w:t xml:space="preserve"> </w:t>
      </w:r>
      <w:r w:rsidRPr="00841523">
        <w:t>odst.</w:t>
      </w:r>
      <w:r>
        <w:t xml:space="preserve"> </w:t>
      </w:r>
      <w:r w:rsidRPr="00841523">
        <w:t>1</w:t>
      </w:r>
      <w:r>
        <w:t xml:space="preserve"> </w:t>
      </w:r>
      <w:r w:rsidRPr="00841523">
        <w:t>smlouvu</w:t>
      </w:r>
      <w:r>
        <w:t xml:space="preserve"> </w:t>
      </w:r>
      <w:r w:rsidRPr="00841523">
        <w:t>o</w:t>
      </w:r>
      <w:r>
        <w:t xml:space="preserve"> </w:t>
      </w:r>
      <w:r w:rsidRPr="00841523">
        <w:t>kolektivním</w:t>
      </w:r>
      <w:r>
        <w:t xml:space="preserve"> </w:t>
      </w:r>
      <w:r w:rsidRPr="00841523">
        <w:t>plnění</w:t>
      </w:r>
      <w:r>
        <w:t xml:space="preserve"> </w:t>
      </w:r>
      <w:r w:rsidRPr="00841523">
        <w:t>uzavřenou</w:t>
      </w:r>
      <w:r>
        <w:t xml:space="preserve"> </w:t>
      </w:r>
      <w:r w:rsidRPr="00841523">
        <w:t>s</w:t>
      </w:r>
      <w:r>
        <w:t xml:space="preserve"> </w:t>
      </w:r>
      <w:r w:rsidRPr="00841523">
        <w:t>provozovatelem</w:t>
      </w:r>
      <w:r>
        <w:t xml:space="preserve"> </w:t>
      </w:r>
      <w:r w:rsidRPr="00841523">
        <w:t>kolektivního</w:t>
      </w:r>
      <w:r>
        <w:t xml:space="preserve"> </w:t>
      </w:r>
      <w:r w:rsidRPr="00841523">
        <w:t>systému,</w:t>
      </w:r>
    </w:p>
    <w:p w14:paraId="3B3AC388" w14:textId="77777777" w:rsidR="00C62C41" w:rsidRDefault="00C62C41" w:rsidP="003058E0">
      <w:pPr>
        <w:pStyle w:val="Textparagrafu"/>
        <w:tabs>
          <w:tab w:val="left" w:pos="392"/>
          <w:tab w:val="left" w:pos="840"/>
        </w:tabs>
        <w:spacing w:before="0"/>
        <w:ind w:left="426" w:hanging="426"/>
      </w:pPr>
      <w:r w:rsidRPr="00841523">
        <w:lastRenderedPageBreak/>
        <w:t>n)</w:t>
      </w:r>
      <w:r>
        <w:tab/>
      </w:r>
      <w:r w:rsidRPr="00841523">
        <w:t>nesplní</w:t>
      </w:r>
      <w:r>
        <w:t xml:space="preserve"> </w:t>
      </w:r>
      <w:r w:rsidRPr="00841523">
        <w:t>některou</w:t>
      </w:r>
      <w:r>
        <w:t xml:space="preserve"> </w:t>
      </w:r>
      <w:r w:rsidRPr="00841523">
        <w:t>z</w:t>
      </w:r>
      <w:r>
        <w:t xml:space="preserve"> </w:t>
      </w:r>
      <w:r w:rsidRPr="00841523">
        <w:t>povinností</w:t>
      </w:r>
      <w:r>
        <w:t xml:space="preserve"> </w:t>
      </w:r>
      <w:r w:rsidRPr="00841523">
        <w:t>výrobce</w:t>
      </w:r>
      <w:r>
        <w:t xml:space="preserve"> </w:t>
      </w:r>
      <w:r w:rsidRPr="00841523">
        <w:t>při</w:t>
      </w:r>
      <w:r>
        <w:t xml:space="preserve"> </w:t>
      </w:r>
      <w:r w:rsidRPr="00841523">
        <w:t>kolektivním</w:t>
      </w:r>
      <w:r>
        <w:t xml:space="preserve"> </w:t>
      </w:r>
      <w:r w:rsidRPr="00841523">
        <w:t>plnění</w:t>
      </w:r>
      <w:r>
        <w:t xml:space="preserve"> </w:t>
      </w:r>
      <w:r w:rsidRPr="00841523">
        <w:t>stanovených</w:t>
      </w:r>
      <w:r>
        <w:t xml:space="preserve"> </w:t>
      </w:r>
      <w:r w:rsidRPr="00841523">
        <w:t>v</w:t>
      </w:r>
      <w:r>
        <w:t xml:space="preserve"> </w:t>
      </w:r>
      <w:r w:rsidRPr="00841523">
        <w:t>§</w:t>
      </w:r>
      <w:r>
        <w:t xml:space="preserve"> </w:t>
      </w:r>
      <w:r w:rsidRPr="00841523">
        <w:t>45,</w:t>
      </w:r>
    </w:p>
    <w:p w14:paraId="586BFC67" w14:textId="77777777" w:rsidR="00C62C41" w:rsidRDefault="00C62C41" w:rsidP="003058E0">
      <w:pPr>
        <w:pStyle w:val="Textparagrafu"/>
        <w:tabs>
          <w:tab w:val="left" w:pos="392"/>
          <w:tab w:val="left" w:pos="840"/>
        </w:tabs>
        <w:spacing w:before="0"/>
        <w:ind w:left="426" w:hanging="426"/>
      </w:pPr>
      <w:r w:rsidRPr="00841523">
        <w:t>o)</w:t>
      </w:r>
      <w:r>
        <w:tab/>
      </w:r>
      <w:r w:rsidRPr="00841523">
        <w:t>nesplní</w:t>
      </w:r>
      <w:r>
        <w:t xml:space="preserve"> </w:t>
      </w:r>
      <w:r w:rsidRPr="00841523">
        <w:t>při</w:t>
      </w:r>
      <w:r>
        <w:t xml:space="preserve"> </w:t>
      </w:r>
      <w:r w:rsidRPr="00841523">
        <w:t>uvedení</w:t>
      </w:r>
      <w:r>
        <w:t xml:space="preserve"> </w:t>
      </w:r>
      <w:r w:rsidRPr="00841523">
        <w:t>vybraných</w:t>
      </w:r>
      <w:r>
        <w:t xml:space="preserve"> </w:t>
      </w:r>
      <w:r w:rsidRPr="00841523">
        <w:t>výrobků</w:t>
      </w:r>
      <w:r>
        <w:t xml:space="preserve"> </w:t>
      </w:r>
      <w:r w:rsidRPr="00841523">
        <w:t>na</w:t>
      </w:r>
      <w:r>
        <w:t xml:space="preserve"> </w:t>
      </w:r>
      <w:r w:rsidRPr="00841523">
        <w:t>trh</w:t>
      </w:r>
      <w:r>
        <w:t xml:space="preserve"> </w:t>
      </w:r>
      <w:r w:rsidRPr="00841523">
        <w:t>některou</w:t>
      </w:r>
      <w:r>
        <w:t xml:space="preserve"> </w:t>
      </w:r>
      <w:r w:rsidRPr="00841523">
        <w:t>z</w:t>
      </w:r>
      <w:r>
        <w:t xml:space="preserve"> </w:t>
      </w:r>
      <w:r w:rsidRPr="00841523">
        <w:t>povinností</w:t>
      </w:r>
      <w:r>
        <w:t xml:space="preserve"> </w:t>
      </w:r>
      <w:r w:rsidRPr="00841523">
        <w:t>pro</w:t>
      </w:r>
      <w:r>
        <w:t xml:space="preserve"> </w:t>
      </w:r>
      <w:r w:rsidRPr="00841523">
        <w:t>jejich</w:t>
      </w:r>
      <w:r>
        <w:t xml:space="preserve"> </w:t>
      </w:r>
      <w:r w:rsidRPr="00841523">
        <w:t>označování</w:t>
      </w:r>
      <w:r>
        <w:t xml:space="preserve"> </w:t>
      </w:r>
      <w:r w:rsidRPr="00841523">
        <w:t>stanovených</w:t>
      </w:r>
      <w:r>
        <w:t xml:space="preserve"> </w:t>
      </w:r>
      <w:r w:rsidRPr="00841523">
        <w:t>v</w:t>
      </w:r>
      <w:r>
        <w:t xml:space="preserve"> </w:t>
      </w:r>
      <w:r w:rsidRPr="00841523">
        <w:t>§</w:t>
      </w:r>
      <w:r>
        <w:t xml:space="preserve"> </w:t>
      </w:r>
      <w:r w:rsidRPr="00841523">
        <w:t>62</w:t>
      </w:r>
      <w:r>
        <w:t xml:space="preserve"> </w:t>
      </w:r>
      <w:r w:rsidRPr="00841523">
        <w:t>odst.</w:t>
      </w:r>
      <w:r>
        <w:t xml:space="preserve"> </w:t>
      </w:r>
      <w:r w:rsidRPr="00841523">
        <w:t>1</w:t>
      </w:r>
      <w:r>
        <w:t xml:space="preserve"> </w:t>
      </w:r>
      <w:r w:rsidRPr="00841523">
        <w:t>nebo</w:t>
      </w:r>
      <w:r>
        <w:t xml:space="preserve"> </w:t>
      </w:r>
      <w:r w:rsidRPr="00841523">
        <w:t>2</w:t>
      </w:r>
      <w:r>
        <w:t xml:space="preserve"> </w:t>
      </w:r>
      <w:r w:rsidRPr="00841523">
        <w:t>nebo</w:t>
      </w:r>
      <w:r>
        <w:t xml:space="preserve"> </w:t>
      </w:r>
      <w:r w:rsidRPr="00841523">
        <w:t>v</w:t>
      </w:r>
      <w:r>
        <w:t xml:space="preserve"> </w:t>
      </w:r>
      <w:r w:rsidRPr="00841523">
        <w:t>§</w:t>
      </w:r>
      <w:r>
        <w:t xml:space="preserve"> </w:t>
      </w:r>
      <w:r w:rsidRPr="00841523">
        <w:t>80</w:t>
      </w:r>
      <w:r>
        <w:t xml:space="preserve"> </w:t>
      </w:r>
      <w:r w:rsidRPr="00841523">
        <w:t>odst.</w:t>
      </w:r>
      <w:r>
        <w:t xml:space="preserve"> </w:t>
      </w:r>
      <w:r w:rsidRPr="00841523">
        <w:t>1,</w:t>
      </w:r>
    </w:p>
    <w:p w14:paraId="41BEE238" w14:textId="77777777" w:rsidR="00C62C41" w:rsidRDefault="00C62C41" w:rsidP="003058E0">
      <w:pPr>
        <w:pStyle w:val="Textparagrafu"/>
        <w:tabs>
          <w:tab w:val="left" w:pos="392"/>
          <w:tab w:val="left" w:pos="840"/>
        </w:tabs>
        <w:spacing w:before="0"/>
        <w:ind w:left="426" w:hanging="426"/>
      </w:pPr>
      <w:r w:rsidRPr="00841523">
        <w:t>p)</w:t>
      </w:r>
      <w:r>
        <w:tab/>
      </w:r>
      <w:r w:rsidRPr="00841523">
        <w:t>nesplní</w:t>
      </w:r>
      <w:r>
        <w:t xml:space="preserve"> </w:t>
      </w:r>
      <w:r w:rsidRPr="00841523">
        <w:t>některou</w:t>
      </w:r>
      <w:r>
        <w:t xml:space="preserve"> </w:t>
      </w:r>
      <w:r w:rsidRPr="00841523">
        <w:t>z</w:t>
      </w:r>
      <w:r>
        <w:t xml:space="preserve"> </w:t>
      </w:r>
      <w:r w:rsidRPr="00841523">
        <w:t>povinností</w:t>
      </w:r>
      <w:r>
        <w:t xml:space="preserve"> </w:t>
      </w:r>
      <w:r w:rsidRPr="00841523">
        <w:t>opětovného</w:t>
      </w:r>
      <w:r>
        <w:t xml:space="preserve"> </w:t>
      </w:r>
      <w:r w:rsidRPr="00841523">
        <w:t>použití</w:t>
      </w:r>
      <w:r>
        <w:t xml:space="preserve"> </w:t>
      </w:r>
      <w:r w:rsidRPr="00841523">
        <w:t>zpětně</w:t>
      </w:r>
      <w:r>
        <w:t xml:space="preserve"> </w:t>
      </w:r>
      <w:r w:rsidRPr="00841523">
        <w:t>odebraného</w:t>
      </w:r>
      <w:r>
        <w:t xml:space="preserve"> </w:t>
      </w:r>
      <w:r w:rsidRPr="00841523">
        <w:t>odpadního</w:t>
      </w:r>
      <w:r>
        <w:t xml:space="preserve"> </w:t>
      </w:r>
      <w:r w:rsidRPr="00841523">
        <w:t>elektrozařízení</w:t>
      </w:r>
      <w:r>
        <w:t xml:space="preserve"> </w:t>
      </w:r>
      <w:r w:rsidRPr="00841523">
        <w:t>stanovených</w:t>
      </w:r>
      <w:r>
        <w:t xml:space="preserve"> </w:t>
      </w:r>
      <w:r w:rsidRPr="00841523">
        <w:t>v</w:t>
      </w:r>
      <w:r>
        <w:t xml:space="preserve"> </w:t>
      </w:r>
      <w:r w:rsidRPr="00841523">
        <w:t>§</w:t>
      </w:r>
      <w:r>
        <w:t xml:space="preserve"> </w:t>
      </w:r>
      <w:r w:rsidRPr="00841523">
        <w:t>67,</w:t>
      </w:r>
    </w:p>
    <w:p w14:paraId="52F96046" w14:textId="77777777" w:rsidR="00C62C41" w:rsidRDefault="00C62C41" w:rsidP="003058E0">
      <w:pPr>
        <w:pStyle w:val="Textparagrafu"/>
        <w:tabs>
          <w:tab w:val="left" w:pos="392"/>
          <w:tab w:val="left" w:pos="840"/>
        </w:tabs>
        <w:spacing w:before="0"/>
        <w:ind w:left="426" w:hanging="426"/>
      </w:pPr>
      <w:r w:rsidRPr="00841523">
        <w:t>q)</w:t>
      </w:r>
      <w:r>
        <w:tab/>
      </w:r>
      <w:r w:rsidRPr="00841523">
        <w:t>v</w:t>
      </w:r>
      <w:r>
        <w:t xml:space="preserve"> </w:t>
      </w:r>
      <w:r w:rsidRPr="00841523">
        <w:t>rozporu</w:t>
      </w:r>
      <w:r>
        <w:t xml:space="preserve"> </w:t>
      </w:r>
      <w:r w:rsidRPr="00841523">
        <w:t>s</w:t>
      </w:r>
      <w:r>
        <w:t xml:space="preserve"> </w:t>
      </w:r>
      <w:r w:rsidRPr="00841523">
        <w:t>§</w:t>
      </w:r>
      <w:r>
        <w:t xml:space="preserve"> </w:t>
      </w:r>
      <w:r w:rsidRPr="00841523">
        <w:t>68</w:t>
      </w:r>
      <w:r>
        <w:t xml:space="preserve"> </w:t>
      </w:r>
      <w:r w:rsidRPr="00841523">
        <w:t>odst.</w:t>
      </w:r>
      <w:r>
        <w:t xml:space="preserve"> </w:t>
      </w:r>
      <w:r w:rsidRPr="00841523">
        <w:t>3</w:t>
      </w:r>
      <w:r>
        <w:t xml:space="preserve"> </w:t>
      </w:r>
      <w:r w:rsidRPr="00841523">
        <w:t>neposkytne</w:t>
      </w:r>
      <w:r>
        <w:t xml:space="preserve"> </w:t>
      </w:r>
      <w:r w:rsidRPr="00841523">
        <w:t>zpracovatelům</w:t>
      </w:r>
      <w:r>
        <w:t xml:space="preserve"> </w:t>
      </w:r>
      <w:r w:rsidRPr="00841523">
        <w:t>informace</w:t>
      </w:r>
      <w:r>
        <w:t xml:space="preserve"> </w:t>
      </w:r>
      <w:r w:rsidRPr="00841523">
        <w:t>nutné</w:t>
      </w:r>
      <w:r>
        <w:t xml:space="preserve"> </w:t>
      </w:r>
      <w:r w:rsidRPr="00841523">
        <w:t>ke</w:t>
      </w:r>
      <w:r>
        <w:t xml:space="preserve"> </w:t>
      </w:r>
      <w:r w:rsidRPr="00841523">
        <w:t>zpracování</w:t>
      </w:r>
      <w:r>
        <w:t xml:space="preserve"> </w:t>
      </w:r>
      <w:r w:rsidRPr="00841523">
        <w:t>odpadního</w:t>
      </w:r>
      <w:r>
        <w:t xml:space="preserve"> </w:t>
      </w:r>
      <w:r w:rsidRPr="00841523">
        <w:t>elektrozařízení,</w:t>
      </w:r>
      <w:r>
        <w:t xml:space="preserve"> </w:t>
      </w:r>
      <w:r w:rsidRPr="00841523">
        <w:t>včetně</w:t>
      </w:r>
      <w:r>
        <w:t xml:space="preserve"> </w:t>
      </w:r>
      <w:r w:rsidRPr="00841523">
        <w:t>přípravy</w:t>
      </w:r>
      <w:r>
        <w:t xml:space="preserve"> </w:t>
      </w:r>
      <w:r w:rsidRPr="00841523">
        <w:t>k</w:t>
      </w:r>
      <w:r>
        <w:t xml:space="preserve"> </w:t>
      </w:r>
      <w:r w:rsidRPr="00841523">
        <w:t>opětovnému</w:t>
      </w:r>
      <w:r>
        <w:t xml:space="preserve"> </w:t>
      </w:r>
      <w:r w:rsidRPr="00841523">
        <w:t>použití,</w:t>
      </w:r>
    </w:p>
    <w:p w14:paraId="43EF46C7" w14:textId="77777777" w:rsidR="00C62C41" w:rsidRDefault="00C62C41" w:rsidP="003058E0">
      <w:pPr>
        <w:pStyle w:val="Textparagrafu"/>
        <w:tabs>
          <w:tab w:val="left" w:pos="392"/>
          <w:tab w:val="left" w:pos="840"/>
        </w:tabs>
        <w:spacing w:before="0"/>
        <w:ind w:left="426" w:hanging="426"/>
      </w:pPr>
      <w:r w:rsidRPr="00841523">
        <w:t>r)</w:t>
      </w:r>
      <w:r>
        <w:tab/>
      </w:r>
      <w:r w:rsidRPr="00841523">
        <w:t>nezajistí</w:t>
      </w:r>
      <w:r>
        <w:t xml:space="preserve"> </w:t>
      </w:r>
      <w:r w:rsidRPr="00841523">
        <w:t>financování</w:t>
      </w:r>
      <w:r>
        <w:t xml:space="preserve"> </w:t>
      </w:r>
      <w:r w:rsidRPr="00841523">
        <w:t>nakládání</w:t>
      </w:r>
      <w:r>
        <w:t xml:space="preserve"> </w:t>
      </w:r>
      <w:r w:rsidRPr="00841523">
        <w:t>s</w:t>
      </w:r>
      <w:r>
        <w:t xml:space="preserve"> </w:t>
      </w:r>
      <w:r w:rsidRPr="00841523">
        <w:t>elektrozařízením</w:t>
      </w:r>
      <w:r>
        <w:t xml:space="preserve"> </w:t>
      </w:r>
      <w:r w:rsidRPr="00841523">
        <w:t>podle</w:t>
      </w:r>
      <w:r>
        <w:t xml:space="preserve"> </w:t>
      </w:r>
      <w:r w:rsidRPr="00841523">
        <w:t>§</w:t>
      </w:r>
      <w:r>
        <w:t xml:space="preserve"> </w:t>
      </w:r>
      <w:r w:rsidRPr="00841523">
        <w:t>70</w:t>
      </w:r>
      <w:r>
        <w:t xml:space="preserve"> </w:t>
      </w:r>
      <w:r w:rsidRPr="00841523">
        <w:t>nebo</w:t>
      </w:r>
      <w:r>
        <w:t xml:space="preserve"> </w:t>
      </w:r>
      <w:r w:rsidRPr="00841523">
        <w:t>71,</w:t>
      </w:r>
    </w:p>
    <w:p w14:paraId="4D7B28F8" w14:textId="77777777" w:rsidR="00C62C41" w:rsidRDefault="00C62C41" w:rsidP="003058E0">
      <w:pPr>
        <w:pStyle w:val="Textparagrafu"/>
        <w:tabs>
          <w:tab w:val="left" w:pos="392"/>
          <w:tab w:val="left" w:pos="840"/>
        </w:tabs>
        <w:spacing w:before="0"/>
        <w:ind w:left="426" w:hanging="426"/>
      </w:pPr>
      <w:r w:rsidRPr="00841523">
        <w:t>s)</w:t>
      </w:r>
      <w:r>
        <w:tab/>
      </w:r>
      <w:r w:rsidRPr="00841523">
        <w:t>jako</w:t>
      </w:r>
      <w:r>
        <w:t xml:space="preserve"> </w:t>
      </w:r>
      <w:r w:rsidRPr="00841523">
        <w:t>výrobce</w:t>
      </w:r>
      <w:r>
        <w:t xml:space="preserve"> </w:t>
      </w:r>
      <w:r w:rsidRPr="00841523">
        <w:t>protektorovaných</w:t>
      </w:r>
      <w:r>
        <w:t xml:space="preserve"> </w:t>
      </w:r>
      <w:r w:rsidRPr="00841523">
        <w:t>pneumatik,</w:t>
      </w:r>
      <w:r>
        <w:t xml:space="preserve"> </w:t>
      </w:r>
      <w:r w:rsidRPr="00841523">
        <w:t>který</w:t>
      </w:r>
      <w:r>
        <w:t xml:space="preserve"> </w:t>
      </w:r>
      <w:r w:rsidRPr="00841523">
        <w:t>současně</w:t>
      </w:r>
      <w:r>
        <w:t xml:space="preserve"> </w:t>
      </w:r>
      <w:r w:rsidRPr="00841523">
        <w:t>uvádí</w:t>
      </w:r>
      <w:r>
        <w:t xml:space="preserve"> </w:t>
      </w:r>
      <w:r w:rsidRPr="00841523">
        <w:t>na</w:t>
      </w:r>
      <w:r>
        <w:t xml:space="preserve"> </w:t>
      </w:r>
      <w:r w:rsidRPr="00841523">
        <w:t>trh</w:t>
      </w:r>
      <w:r>
        <w:t xml:space="preserve"> </w:t>
      </w:r>
      <w:r w:rsidRPr="00841523">
        <w:t>nové</w:t>
      </w:r>
      <w:r>
        <w:t xml:space="preserve"> </w:t>
      </w:r>
      <w:r w:rsidRPr="00841523">
        <w:t>pneumatiky,</w:t>
      </w:r>
      <w:r>
        <w:t xml:space="preserve"> </w:t>
      </w:r>
      <w:r w:rsidRPr="00841523">
        <w:t>nevede</w:t>
      </w:r>
      <w:r>
        <w:t xml:space="preserve"> </w:t>
      </w:r>
      <w:r w:rsidRPr="00841523">
        <w:t>zvlášť</w:t>
      </w:r>
      <w:r>
        <w:t xml:space="preserve"> </w:t>
      </w:r>
      <w:r w:rsidRPr="00841523">
        <w:t>evidenci</w:t>
      </w:r>
      <w:r>
        <w:t xml:space="preserve"> </w:t>
      </w:r>
      <w:r w:rsidRPr="00841523">
        <w:t>pro</w:t>
      </w:r>
      <w:r>
        <w:t xml:space="preserve"> </w:t>
      </w:r>
      <w:r w:rsidRPr="00841523">
        <w:t>nové</w:t>
      </w:r>
      <w:r>
        <w:t xml:space="preserve"> </w:t>
      </w:r>
      <w:r w:rsidRPr="00841523">
        <w:t>a</w:t>
      </w:r>
      <w:r>
        <w:t xml:space="preserve"> </w:t>
      </w:r>
      <w:r w:rsidRPr="00841523">
        <w:t>pro</w:t>
      </w:r>
      <w:r>
        <w:t xml:space="preserve"> </w:t>
      </w:r>
      <w:r w:rsidRPr="00841523">
        <w:t>protektorované</w:t>
      </w:r>
      <w:r>
        <w:t xml:space="preserve"> </w:t>
      </w:r>
      <w:r w:rsidRPr="00841523">
        <w:t>pneumatiky</w:t>
      </w:r>
      <w:r>
        <w:t xml:space="preserve"> </w:t>
      </w:r>
      <w:r w:rsidRPr="00841523">
        <w:t>podle</w:t>
      </w:r>
      <w:r>
        <w:t xml:space="preserve"> </w:t>
      </w:r>
      <w:r w:rsidRPr="00841523">
        <w:t>§</w:t>
      </w:r>
      <w:r>
        <w:t xml:space="preserve"> </w:t>
      </w:r>
      <w:r w:rsidRPr="00841523">
        <w:t>94</w:t>
      </w:r>
      <w:r>
        <w:t xml:space="preserve"> </w:t>
      </w:r>
      <w:r w:rsidRPr="00841523">
        <w:t>odst.</w:t>
      </w:r>
      <w:r>
        <w:t xml:space="preserve"> </w:t>
      </w:r>
      <w:r w:rsidRPr="00841523">
        <w:t>2,</w:t>
      </w:r>
    </w:p>
    <w:p w14:paraId="08DF826C" w14:textId="77777777" w:rsidR="00C62C41" w:rsidRDefault="00C62C41" w:rsidP="003058E0">
      <w:pPr>
        <w:pStyle w:val="Textparagrafu"/>
        <w:tabs>
          <w:tab w:val="left" w:pos="392"/>
          <w:tab w:val="left" w:pos="840"/>
        </w:tabs>
        <w:spacing w:before="0"/>
        <w:ind w:left="426" w:hanging="426"/>
      </w:pPr>
      <w:r w:rsidRPr="00841523">
        <w:t>t)</w:t>
      </w:r>
      <w:r>
        <w:tab/>
      </w:r>
      <w:r w:rsidRPr="00841523">
        <w:t>jako</w:t>
      </w:r>
      <w:r>
        <w:t xml:space="preserve"> </w:t>
      </w:r>
      <w:r w:rsidRPr="00841523">
        <w:t>výrobce</w:t>
      </w:r>
      <w:r>
        <w:t xml:space="preserve"> </w:t>
      </w:r>
      <w:r w:rsidRPr="00841523">
        <w:t>pneumatik</w:t>
      </w:r>
      <w:r>
        <w:t xml:space="preserve"> </w:t>
      </w:r>
      <w:r w:rsidRPr="00841523">
        <w:t>neuvede</w:t>
      </w:r>
      <w:r>
        <w:t xml:space="preserve"> </w:t>
      </w:r>
      <w:r w:rsidRPr="001B08DB">
        <w:rPr>
          <w:strike/>
        </w:rPr>
        <w:t>ve výroční zprávě</w:t>
      </w:r>
      <w:r>
        <w:t xml:space="preserve"> </w:t>
      </w:r>
      <w:r w:rsidRPr="00552AEB">
        <w:rPr>
          <w:b/>
        </w:rPr>
        <w:t>v individuální</w:t>
      </w:r>
      <w:r w:rsidRPr="00552AEB">
        <w:t xml:space="preserve"> </w:t>
      </w:r>
      <w:r w:rsidRPr="00552AEB">
        <w:rPr>
          <w:b/>
        </w:rPr>
        <w:t>zprávě vedení</w:t>
      </w:r>
      <w:r w:rsidRPr="00841523">
        <w:t xml:space="preserve"> údaje</w:t>
      </w:r>
      <w:r>
        <w:t xml:space="preserve"> </w:t>
      </w:r>
      <w:r w:rsidRPr="00841523">
        <w:t>podle</w:t>
      </w:r>
      <w:r>
        <w:t xml:space="preserve"> </w:t>
      </w:r>
      <w:r w:rsidRPr="00841523">
        <w:t>§</w:t>
      </w:r>
      <w:r>
        <w:t xml:space="preserve"> </w:t>
      </w:r>
      <w:r w:rsidRPr="00841523">
        <w:t>97</w:t>
      </w:r>
      <w:r>
        <w:t xml:space="preserve"> </w:t>
      </w:r>
      <w:r w:rsidRPr="00841523">
        <w:t>odst.</w:t>
      </w:r>
      <w:r>
        <w:t xml:space="preserve"> </w:t>
      </w:r>
      <w:r w:rsidRPr="00841523">
        <w:t>4,</w:t>
      </w:r>
      <w:r>
        <w:t xml:space="preserve"> </w:t>
      </w:r>
      <w:r w:rsidRPr="00841523">
        <w:t>nebo</w:t>
      </w:r>
    </w:p>
    <w:p w14:paraId="019B11ED" w14:textId="77777777" w:rsidR="00C62C41" w:rsidRDefault="00C62C41" w:rsidP="003058E0">
      <w:pPr>
        <w:pStyle w:val="Textparagrafu"/>
        <w:tabs>
          <w:tab w:val="left" w:pos="392"/>
          <w:tab w:val="left" w:pos="840"/>
        </w:tabs>
        <w:spacing w:before="0"/>
        <w:ind w:left="426" w:hanging="426"/>
      </w:pPr>
      <w:r w:rsidRPr="00841523">
        <w:t>u)</w:t>
      </w:r>
      <w:r>
        <w:tab/>
      </w:r>
      <w:r w:rsidRPr="00841523">
        <w:t>jako</w:t>
      </w:r>
      <w:r>
        <w:t xml:space="preserve"> </w:t>
      </w:r>
      <w:r w:rsidRPr="00841523">
        <w:t>výrobce</w:t>
      </w:r>
      <w:r>
        <w:t xml:space="preserve"> </w:t>
      </w:r>
      <w:r w:rsidRPr="00841523">
        <w:t>vybraných</w:t>
      </w:r>
      <w:r>
        <w:t xml:space="preserve"> </w:t>
      </w:r>
      <w:r w:rsidRPr="00841523">
        <w:t>vozidel</w:t>
      </w:r>
      <w:r>
        <w:t xml:space="preserve"> </w:t>
      </w:r>
      <w:r w:rsidRPr="00841523">
        <w:t>nesplní</w:t>
      </w:r>
      <w:r>
        <w:t xml:space="preserve"> </w:t>
      </w:r>
      <w:r w:rsidRPr="00841523">
        <w:t>některou</w:t>
      </w:r>
      <w:r>
        <w:t xml:space="preserve"> </w:t>
      </w:r>
      <w:r w:rsidRPr="00841523">
        <w:t>z</w:t>
      </w:r>
      <w:r>
        <w:t xml:space="preserve"> </w:t>
      </w:r>
      <w:r w:rsidRPr="00841523">
        <w:t>povinností</w:t>
      </w:r>
      <w:r>
        <w:t xml:space="preserve"> </w:t>
      </w:r>
      <w:r w:rsidRPr="00841523">
        <w:t>stanovených</w:t>
      </w:r>
      <w:r>
        <w:t xml:space="preserve"> </w:t>
      </w:r>
      <w:r w:rsidRPr="00841523">
        <w:t>v</w:t>
      </w:r>
      <w:r>
        <w:t xml:space="preserve"> </w:t>
      </w:r>
      <w:r w:rsidRPr="00841523">
        <w:t>§</w:t>
      </w:r>
      <w:r>
        <w:t xml:space="preserve"> </w:t>
      </w:r>
      <w:r w:rsidRPr="00841523">
        <w:t>103.</w:t>
      </w:r>
    </w:p>
    <w:p w14:paraId="350B566A" w14:textId="77777777" w:rsidR="00C62C41" w:rsidRDefault="00C62C41" w:rsidP="00C62C41">
      <w:pPr>
        <w:pStyle w:val="Textparagrafu"/>
        <w:tabs>
          <w:tab w:val="left" w:pos="392"/>
          <w:tab w:val="left" w:pos="840"/>
        </w:tabs>
        <w:spacing w:after="120"/>
        <w:ind w:firstLine="426"/>
      </w:pPr>
      <w:r w:rsidRPr="00841523">
        <w:t>(2)</w:t>
      </w:r>
      <w:r>
        <w:t xml:space="preserve"> </w:t>
      </w:r>
      <w:r w:rsidRPr="00841523">
        <w:t>Za</w:t>
      </w:r>
      <w:r>
        <w:t xml:space="preserve"> </w:t>
      </w:r>
      <w:r w:rsidRPr="00841523">
        <w:t>přestupky</w:t>
      </w:r>
      <w:r>
        <w:t xml:space="preserve"> </w:t>
      </w:r>
      <w:r w:rsidRPr="00841523">
        <w:t>lze</w:t>
      </w:r>
      <w:r>
        <w:t xml:space="preserve"> </w:t>
      </w:r>
      <w:r w:rsidRPr="00841523">
        <w:t>uložit</w:t>
      </w:r>
      <w:r>
        <w:t xml:space="preserve"> </w:t>
      </w:r>
      <w:r w:rsidRPr="00841523">
        <w:t>pokutu</w:t>
      </w:r>
      <w:r>
        <w:t xml:space="preserve"> </w:t>
      </w:r>
      <w:r w:rsidRPr="00841523">
        <w:t>do</w:t>
      </w:r>
    </w:p>
    <w:p w14:paraId="0EFEE585" w14:textId="77777777" w:rsidR="00C62C41" w:rsidRDefault="00C62C41" w:rsidP="00C62C41">
      <w:pPr>
        <w:pStyle w:val="Textparagrafu"/>
        <w:tabs>
          <w:tab w:val="left" w:pos="392"/>
          <w:tab w:val="left" w:pos="840"/>
        </w:tabs>
        <w:spacing w:before="0"/>
        <w:ind w:firstLine="0"/>
      </w:pPr>
      <w:r w:rsidRPr="00841523">
        <w:t>a)</w:t>
      </w:r>
      <w:r>
        <w:tab/>
      </w:r>
      <w:r w:rsidRPr="00841523">
        <w:t>500</w:t>
      </w:r>
      <w:r>
        <w:t xml:space="preserve"> </w:t>
      </w:r>
      <w:r w:rsidRPr="00841523">
        <w:t>000</w:t>
      </w:r>
      <w:r>
        <w:t xml:space="preserve"> </w:t>
      </w:r>
      <w:r w:rsidRPr="00841523">
        <w:t>Kč,</w:t>
      </w:r>
      <w:r>
        <w:t xml:space="preserve"> </w:t>
      </w:r>
      <w:r w:rsidRPr="00841523">
        <w:t>jde-li</w:t>
      </w:r>
      <w:r>
        <w:t xml:space="preserve"> </w:t>
      </w:r>
      <w:r w:rsidRPr="00841523">
        <w:t>o</w:t>
      </w:r>
      <w:r>
        <w:t xml:space="preserve"> </w:t>
      </w:r>
      <w:r w:rsidRPr="00841523">
        <w:t>přestupek</w:t>
      </w:r>
      <w:r>
        <w:t xml:space="preserve"> </w:t>
      </w:r>
      <w:r w:rsidRPr="00841523">
        <w:t>podle</w:t>
      </w:r>
      <w:r>
        <w:t xml:space="preserve"> </w:t>
      </w:r>
      <w:r w:rsidRPr="00841523">
        <w:t>odstavce</w:t>
      </w:r>
      <w:r>
        <w:t xml:space="preserve"> </w:t>
      </w:r>
      <w:r w:rsidRPr="00841523">
        <w:t>1</w:t>
      </w:r>
      <w:r>
        <w:t xml:space="preserve"> </w:t>
      </w:r>
      <w:r w:rsidRPr="00841523">
        <w:t>písm.</w:t>
      </w:r>
      <w:r>
        <w:t xml:space="preserve"> </w:t>
      </w:r>
      <w:r w:rsidRPr="00841523">
        <w:t>e)</w:t>
      </w:r>
      <w:r>
        <w:t xml:space="preserve"> </w:t>
      </w:r>
      <w:r w:rsidRPr="00841523">
        <w:t>až</w:t>
      </w:r>
      <w:r>
        <w:t xml:space="preserve"> </w:t>
      </w:r>
      <w:r w:rsidRPr="00841523">
        <w:t>h),</w:t>
      </w:r>
    </w:p>
    <w:p w14:paraId="63B7E975" w14:textId="77777777" w:rsidR="00C62C41" w:rsidRDefault="00C62C41" w:rsidP="00C62C41">
      <w:pPr>
        <w:pStyle w:val="Textparagrafu"/>
        <w:tabs>
          <w:tab w:val="left" w:pos="392"/>
          <w:tab w:val="left" w:pos="840"/>
        </w:tabs>
        <w:spacing w:before="0"/>
        <w:ind w:firstLine="0"/>
      </w:pPr>
      <w:r w:rsidRPr="00841523">
        <w:t>b)</w:t>
      </w:r>
      <w:r>
        <w:tab/>
      </w:r>
      <w:r w:rsidRPr="00841523">
        <w:t>1</w:t>
      </w:r>
      <w:r>
        <w:t xml:space="preserve"> </w:t>
      </w:r>
      <w:r w:rsidRPr="00841523">
        <w:t>000</w:t>
      </w:r>
      <w:r>
        <w:t xml:space="preserve"> </w:t>
      </w:r>
      <w:r w:rsidRPr="00841523">
        <w:t>000</w:t>
      </w:r>
      <w:r>
        <w:t xml:space="preserve"> </w:t>
      </w:r>
      <w:r w:rsidRPr="00841523">
        <w:t>Kč,</w:t>
      </w:r>
      <w:r>
        <w:t xml:space="preserve"> </w:t>
      </w:r>
      <w:r w:rsidRPr="00841523">
        <w:t>jde-li</w:t>
      </w:r>
      <w:r>
        <w:t xml:space="preserve"> </w:t>
      </w:r>
      <w:r w:rsidRPr="00841523">
        <w:t>o</w:t>
      </w:r>
      <w:r>
        <w:t xml:space="preserve"> </w:t>
      </w:r>
      <w:r w:rsidRPr="00841523">
        <w:t>přestupek</w:t>
      </w:r>
      <w:r>
        <w:t xml:space="preserve"> </w:t>
      </w:r>
      <w:r w:rsidRPr="00841523">
        <w:t>podle</w:t>
      </w:r>
      <w:r>
        <w:t xml:space="preserve"> </w:t>
      </w:r>
      <w:r w:rsidRPr="00841523">
        <w:t>odstavce</w:t>
      </w:r>
      <w:r>
        <w:t xml:space="preserve"> </w:t>
      </w:r>
      <w:r w:rsidRPr="00841523">
        <w:t>1</w:t>
      </w:r>
      <w:r>
        <w:t xml:space="preserve"> </w:t>
      </w:r>
      <w:r w:rsidRPr="00841523">
        <w:t>písm.</w:t>
      </w:r>
      <w:r>
        <w:t xml:space="preserve"> </w:t>
      </w:r>
      <w:r w:rsidRPr="00841523">
        <w:t>a),</w:t>
      </w:r>
      <w:r>
        <w:t xml:space="preserve"> </w:t>
      </w:r>
      <w:r w:rsidRPr="00841523">
        <w:t>d),</w:t>
      </w:r>
      <w:r>
        <w:t xml:space="preserve"> </w:t>
      </w:r>
      <w:r w:rsidRPr="00841523">
        <w:t>j)</w:t>
      </w:r>
      <w:r>
        <w:t xml:space="preserve"> </w:t>
      </w:r>
      <w:r w:rsidRPr="00841523">
        <w:t>až</w:t>
      </w:r>
      <w:r>
        <w:t xml:space="preserve"> </w:t>
      </w:r>
      <w:r w:rsidRPr="00841523">
        <w:t>o),</w:t>
      </w:r>
      <w:r>
        <w:t xml:space="preserve"> </w:t>
      </w:r>
      <w:r w:rsidRPr="00841523">
        <w:t>s)</w:t>
      </w:r>
      <w:r>
        <w:t xml:space="preserve"> </w:t>
      </w:r>
      <w:r w:rsidRPr="00841523">
        <w:t>nebo</w:t>
      </w:r>
      <w:r>
        <w:t xml:space="preserve"> </w:t>
      </w:r>
      <w:r w:rsidRPr="00841523">
        <w:t>t),</w:t>
      </w:r>
      <w:r>
        <w:t xml:space="preserve"> </w:t>
      </w:r>
      <w:r w:rsidRPr="00841523">
        <w:t>nebo</w:t>
      </w:r>
    </w:p>
    <w:p w14:paraId="2184104D" w14:textId="77777777" w:rsidR="00C62C41" w:rsidRPr="00841523" w:rsidRDefault="00C62C41" w:rsidP="00C62C41">
      <w:pPr>
        <w:pStyle w:val="Textparagrafu"/>
        <w:tabs>
          <w:tab w:val="left" w:pos="392"/>
          <w:tab w:val="left" w:pos="840"/>
        </w:tabs>
        <w:spacing w:before="0"/>
        <w:ind w:firstLine="0"/>
      </w:pPr>
      <w:r w:rsidRPr="00841523">
        <w:t>c)</w:t>
      </w:r>
      <w:r>
        <w:tab/>
      </w:r>
      <w:r w:rsidRPr="00841523">
        <w:t>5</w:t>
      </w:r>
      <w:r>
        <w:t xml:space="preserve"> </w:t>
      </w:r>
      <w:r w:rsidRPr="00841523">
        <w:t>000</w:t>
      </w:r>
      <w:r>
        <w:t xml:space="preserve"> </w:t>
      </w:r>
      <w:r w:rsidRPr="00841523">
        <w:t>000</w:t>
      </w:r>
      <w:r>
        <w:t xml:space="preserve"> </w:t>
      </w:r>
      <w:r w:rsidRPr="00841523">
        <w:t>Kč,</w:t>
      </w:r>
      <w:r>
        <w:t xml:space="preserve"> </w:t>
      </w:r>
      <w:r w:rsidRPr="00841523">
        <w:t>jde-li</w:t>
      </w:r>
      <w:r>
        <w:t xml:space="preserve"> </w:t>
      </w:r>
      <w:r w:rsidRPr="00841523">
        <w:t>o</w:t>
      </w:r>
      <w:r>
        <w:t xml:space="preserve"> </w:t>
      </w:r>
      <w:r w:rsidRPr="00841523">
        <w:t>přestupek</w:t>
      </w:r>
      <w:r>
        <w:t xml:space="preserve"> </w:t>
      </w:r>
      <w:r w:rsidRPr="00841523">
        <w:t>podle</w:t>
      </w:r>
      <w:r>
        <w:t xml:space="preserve"> </w:t>
      </w:r>
      <w:r w:rsidRPr="00841523">
        <w:t>odstavce</w:t>
      </w:r>
      <w:r>
        <w:t xml:space="preserve"> </w:t>
      </w:r>
      <w:r w:rsidRPr="00841523">
        <w:t>1</w:t>
      </w:r>
      <w:r>
        <w:t xml:space="preserve"> </w:t>
      </w:r>
      <w:r w:rsidRPr="00841523">
        <w:t>písm.</w:t>
      </w:r>
      <w:r>
        <w:t xml:space="preserve"> </w:t>
      </w:r>
      <w:r w:rsidRPr="00841523">
        <w:t>b),</w:t>
      </w:r>
      <w:r>
        <w:t xml:space="preserve"> </w:t>
      </w:r>
      <w:r w:rsidRPr="00841523">
        <w:t>c),</w:t>
      </w:r>
      <w:r>
        <w:t xml:space="preserve"> </w:t>
      </w:r>
      <w:r w:rsidRPr="00841523">
        <w:t>i),</w:t>
      </w:r>
      <w:r>
        <w:t xml:space="preserve"> </w:t>
      </w:r>
      <w:r w:rsidRPr="00841523">
        <w:t>p)</w:t>
      </w:r>
      <w:r>
        <w:t xml:space="preserve"> </w:t>
      </w:r>
      <w:r w:rsidRPr="00841523">
        <w:t>až</w:t>
      </w:r>
      <w:r>
        <w:t xml:space="preserve"> </w:t>
      </w:r>
      <w:r w:rsidRPr="00841523">
        <w:t>r)</w:t>
      </w:r>
      <w:r>
        <w:t xml:space="preserve"> </w:t>
      </w:r>
      <w:r w:rsidRPr="00841523">
        <w:t>nebo</w:t>
      </w:r>
      <w:r>
        <w:t xml:space="preserve"> </w:t>
      </w:r>
      <w:r w:rsidRPr="00841523">
        <w:t>u).</w:t>
      </w:r>
    </w:p>
    <w:p w14:paraId="62720D39" w14:textId="77777777" w:rsidR="00C62C41" w:rsidRDefault="00C62C41" w:rsidP="00C62C41">
      <w:pPr>
        <w:tabs>
          <w:tab w:val="left" w:pos="851"/>
        </w:tabs>
        <w:spacing w:after="120"/>
        <w:ind w:firstLine="426"/>
        <w:jc w:val="center"/>
        <w:outlineLvl w:val="0"/>
      </w:pPr>
      <w:r>
        <w:t>***</w:t>
      </w:r>
    </w:p>
    <w:p w14:paraId="4C7226D6" w14:textId="77777777" w:rsidR="00C62C41" w:rsidRDefault="00C62C41" w:rsidP="00C62C41">
      <w:pPr>
        <w:pStyle w:val="Textparagrafu"/>
        <w:tabs>
          <w:tab w:val="left" w:pos="392"/>
          <w:tab w:val="left" w:pos="840"/>
        </w:tabs>
        <w:spacing w:after="120"/>
        <w:ind w:firstLine="426"/>
        <w:jc w:val="center"/>
      </w:pPr>
      <w:r w:rsidRPr="00841523">
        <w:t>§</w:t>
      </w:r>
      <w:r>
        <w:t xml:space="preserve"> </w:t>
      </w:r>
      <w:r w:rsidRPr="00841523">
        <w:t>124</w:t>
      </w:r>
    </w:p>
    <w:p w14:paraId="5248C57E" w14:textId="77777777" w:rsidR="00C62C41" w:rsidRPr="003E4475" w:rsidRDefault="00C62C41" w:rsidP="00C62C41">
      <w:pPr>
        <w:pStyle w:val="Textparagrafu"/>
        <w:tabs>
          <w:tab w:val="left" w:pos="392"/>
          <w:tab w:val="left" w:pos="840"/>
        </w:tabs>
        <w:spacing w:after="120"/>
        <w:ind w:firstLine="426"/>
        <w:jc w:val="center"/>
        <w:rPr>
          <w:b/>
        </w:rPr>
      </w:pPr>
      <w:r w:rsidRPr="003E4475">
        <w:rPr>
          <w:b/>
        </w:rPr>
        <w:t>Přestupky provozovatele kolektivního systému</w:t>
      </w:r>
    </w:p>
    <w:p w14:paraId="4CCD663D" w14:textId="77777777" w:rsidR="00C62C41" w:rsidRDefault="00C62C41" w:rsidP="00C62C41">
      <w:pPr>
        <w:pStyle w:val="Textparagrafu"/>
        <w:tabs>
          <w:tab w:val="left" w:pos="392"/>
          <w:tab w:val="left" w:pos="840"/>
        </w:tabs>
        <w:spacing w:after="120"/>
        <w:ind w:firstLine="426"/>
      </w:pPr>
      <w:r w:rsidRPr="00841523">
        <w:t>(1)</w:t>
      </w:r>
      <w:r>
        <w:t xml:space="preserve"> </w:t>
      </w:r>
      <w:r w:rsidRPr="00841523">
        <w:t>Provozovatel</w:t>
      </w:r>
      <w:r>
        <w:t xml:space="preserve"> </w:t>
      </w:r>
      <w:r w:rsidRPr="00841523">
        <w:t>kolektivního</w:t>
      </w:r>
      <w:r>
        <w:t xml:space="preserve"> </w:t>
      </w:r>
      <w:r w:rsidRPr="00841523">
        <w:t>systému</w:t>
      </w:r>
      <w:r>
        <w:t xml:space="preserve"> </w:t>
      </w:r>
      <w:r w:rsidRPr="00841523">
        <w:t>se</w:t>
      </w:r>
      <w:r>
        <w:t xml:space="preserve"> </w:t>
      </w:r>
      <w:r w:rsidRPr="00841523">
        <w:t>dopustí</w:t>
      </w:r>
      <w:r>
        <w:t xml:space="preserve"> </w:t>
      </w:r>
      <w:r w:rsidRPr="00841523">
        <w:t>přestupku</w:t>
      </w:r>
      <w:r>
        <w:t xml:space="preserve"> </w:t>
      </w:r>
      <w:r w:rsidRPr="00841523">
        <w:t>tím,</w:t>
      </w:r>
      <w:r>
        <w:t xml:space="preserve"> </w:t>
      </w:r>
      <w:r w:rsidRPr="00841523">
        <w:t>že</w:t>
      </w:r>
    </w:p>
    <w:p w14:paraId="7ED80879" w14:textId="77777777" w:rsidR="00C62C41" w:rsidRDefault="00C62C41" w:rsidP="003058E0">
      <w:pPr>
        <w:pStyle w:val="Textparagrafu"/>
        <w:tabs>
          <w:tab w:val="left" w:pos="392"/>
          <w:tab w:val="left" w:pos="840"/>
        </w:tabs>
        <w:spacing w:before="0"/>
        <w:ind w:left="426" w:hanging="426"/>
      </w:pPr>
      <w:r>
        <w:t>a)</w:t>
      </w:r>
      <w:r>
        <w:tab/>
      </w:r>
      <w:r w:rsidRPr="00841523">
        <w:t>v</w:t>
      </w:r>
      <w:r>
        <w:t xml:space="preserve"> </w:t>
      </w:r>
      <w:r w:rsidRPr="00841523">
        <w:t>rozporu</w:t>
      </w:r>
      <w:r>
        <w:t xml:space="preserve"> </w:t>
      </w:r>
      <w:r w:rsidRPr="00841523">
        <w:t>s</w:t>
      </w:r>
      <w:r>
        <w:t xml:space="preserve"> </w:t>
      </w:r>
      <w:r w:rsidRPr="00841523">
        <w:t>§</w:t>
      </w:r>
      <w:r>
        <w:t xml:space="preserve"> </w:t>
      </w:r>
      <w:r w:rsidRPr="00841523">
        <w:t>21</w:t>
      </w:r>
      <w:r>
        <w:t xml:space="preserve"> </w:t>
      </w:r>
      <w:r w:rsidRPr="00841523">
        <w:t>odst.</w:t>
      </w:r>
      <w:r>
        <w:t xml:space="preserve"> </w:t>
      </w:r>
      <w:r w:rsidRPr="00841523">
        <w:t>5</w:t>
      </w:r>
      <w:r>
        <w:t xml:space="preserve"> </w:t>
      </w:r>
      <w:r w:rsidRPr="00841523">
        <w:t>nevloží</w:t>
      </w:r>
      <w:r>
        <w:t xml:space="preserve"> </w:t>
      </w:r>
      <w:r w:rsidRPr="00841523">
        <w:t>do</w:t>
      </w:r>
      <w:r>
        <w:t xml:space="preserve"> </w:t>
      </w:r>
      <w:r w:rsidRPr="00841523">
        <w:t>Seznamu</w:t>
      </w:r>
      <w:r>
        <w:t xml:space="preserve"> </w:t>
      </w:r>
      <w:r w:rsidRPr="00841523">
        <w:t>výrobců</w:t>
      </w:r>
      <w:r>
        <w:t xml:space="preserve"> </w:t>
      </w:r>
      <w:r w:rsidRPr="00841523">
        <w:t>údaje</w:t>
      </w:r>
      <w:r>
        <w:t xml:space="preserve"> </w:t>
      </w:r>
      <w:r w:rsidRPr="00841523">
        <w:t>o</w:t>
      </w:r>
      <w:r>
        <w:t xml:space="preserve"> </w:t>
      </w:r>
      <w:r w:rsidRPr="00841523">
        <w:t>výrobcích</w:t>
      </w:r>
      <w:r>
        <w:t xml:space="preserve"> </w:t>
      </w:r>
      <w:r w:rsidRPr="00841523">
        <w:t>a</w:t>
      </w:r>
      <w:r>
        <w:t xml:space="preserve"> </w:t>
      </w:r>
      <w:r w:rsidRPr="00841523">
        <w:t>pověřených</w:t>
      </w:r>
      <w:r>
        <w:t xml:space="preserve"> </w:t>
      </w:r>
      <w:r w:rsidRPr="00841523">
        <w:t>zástupcích</w:t>
      </w:r>
      <w:r>
        <w:t xml:space="preserve"> </w:t>
      </w:r>
      <w:r w:rsidRPr="00841523">
        <w:t>nebo</w:t>
      </w:r>
      <w:r>
        <w:t xml:space="preserve"> </w:t>
      </w:r>
      <w:r w:rsidRPr="00841523">
        <w:t>v</w:t>
      </w:r>
      <w:r>
        <w:t xml:space="preserve"> </w:t>
      </w:r>
      <w:r w:rsidRPr="00841523">
        <w:t>rozporu</w:t>
      </w:r>
      <w:r>
        <w:t xml:space="preserve"> </w:t>
      </w:r>
      <w:r w:rsidRPr="00841523">
        <w:t>s</w:t>
      </w:r>
      <w:r>
        <w:t xml:space="preserve"> </w:t>
      </w:r>
      <w:r w:rsidRPr="00841523">
        <w:t>§</w:t>
      </w:r>
      <w:r>
        <w:t xml:space="preserve"> </w:t>
      </w:r>
      <w:r w:rsidRPr="00841523">
        <w:t>23</w:t>
      </w:r>
      <w:r>
        <w:t xml:space="preserve"> </w:t>
      </w:r>
      <w:r w:rsidRPr="00841523">
        <w:t>odst.</w:t>
      </w:r>
      <w:r>
        <w:t xml:space="preserve"> </w:t>
      </w:r>
      <w:r w:rsidRPr="00841523">
        <w:t>6</w:t>
      </w:r>
      <w:r>
        <w:t xml:space="preserve"> </w:t>
      </w:r>
      <w:r w:rsidRPr="00841523">
        <w:t>neprovede</w:t>
      </w:r>
      <w:r>
        <w:t xml:space="preserve"> </w:t>
      </w:r>
      <w:r w:rsidRPr="00841523">
        <w:t>v</w:t>
      </w:r>
      <w:r>
        <w:t xml:space="preserve"> </w:t>
      </w:r>
      <w:r w:rsidRPr="00841523">
        <w:t>Seznamu</w:t>
      </w:r>
      <w:r>
        <w:t xml:space="preserve"> </w:t>
      </w:r>
      <w:r w:rsidRPr="00841523">
        <w:t>výrobců</w:t>
      </w:r>
      <w:r>
        <w:t xml:space="preserve"> </w:t>
      </w:r>
      <w:r w:rsidRPr="00841523">
        <w:t>změny</w:t>
      </w:r>
      <w:r>
        <w:t xml:space="preserve"> </w:t>
      </w:r>
      <w:r w:rsidRPr="00841523">
        <w:t>nebo</w:t>
      </w:r>
      <w:r>
        <w:t xml:space="preserve"> </w:t>
      </w:r>
      <w:r w:rsidRPr="00841523">
        <w:t>výmaz</w:t>
      </w:r>
      <w:r>
        <w:t xml:space="preserve"> </w:t>
      </w:r>
      <w:r w:rsidRPr="00841523">
        <w:t>údajů</w:t>
      </w:r>
      <w:r>
        <w:t xml:space="preserve"> </w:t>
      </w:r>
      <w:r w:rsidRPr="00841523">
        <w:t>o</w:t>
      </w:r>
      <w:r>
        <w:t xml:space="preserve"> </w:t>
      </w:r>
      <w:r w:rsidRPr="00841523">
        <w:t>výrobcích</w:t>
      </w:r>
      <w:r>
        <w:t xml:space="preserve"> </w:t>
      </w:r>
      <w:r w:rsidRPr="00841523">
        <w:t>a</w:t>
      </w:r>
      <w:r>
        <w:t xml:space="preserve"> </w:t>
      </w:r>
      <w:r w:rsidRPr="00841523">
        <w:t>pověřených</w:t>
      </w:r>
      <w:r>
        <w:t xml:space="preserve"> </w:t>
      </w:r>
      <w:r w:rsidRPr="00841523">
        <w:t>zástupcích,</w:t>
      </w:r>
    </w:p>
    <w:p w14:paraId="40CA13C0" w14:textId="77777777" w:rsidR="00C62C41" w:rsidRDefault="00C62C41" w:rsidP="003058E0">
      <w:pPr>
        <w:pStyle w:val="Textparagrafu"/>
        <w:tabs>
          <w:tab w:val="left" w:pos="392"/>
          <w:tab w:val="left" w:pos="840"/>
        </w:tabs>
        <w:spacing w:before="0"/>
        <w:ind w:left="426" w:hanging="426"/>
      </w:pPr>
      <w:r w:rsidRPr="00841523">
        <w:t>b)</w:t>
      </w:r>
      <w:r>
        <w:tab/>
      </w:r>
      <w:r w:rsidRPr="00841523">
        <w:t>nesplní</w:t>
      </w:r>
      <w:r>
        <w:t xml:space="preserve"> </w:t>
      </w:r>
      <w:r w:rsidRPr="00841523">
        <w:t>povinnost</w:t>
      </w:r>
      <w:r>
        <w:t xml:space="preserve"> </w:t>
      </w:r>
      <w:r w:rsidRPr="00841523">
        <w:t>oznámit</w:t>
      </w:r>
      <w:r>
        <w:t xml:space="preserve"> </w:t>
      </w:r>
      <w:r w:rsidRPr="00841523">
        <w:t>ministerstvu</w:t>
      </w:r>
      <w:r>
        <w:t xml:space="preserve"> </w:t>
      </w:r>
      <w:r w:rsidRPr="00841523">
        <w:t>skutečnosti</w:t>
      </w:r>
      <w:r>
        <w:t xml:space="preserve"> </w:t>
      </w:r>
      <w:r w:rsidRPr="00841523">
        <w:t>nebo</w:t>
      </w:r>
      <w:r>
        <w:t xml:space="preserve"> </w:t>
      </w:r>
      <w:r w:rsidRPr="00841523">
        <w:t>mu</w:t>
      </w:r>
      <w:r>
        <w:t xml:space="preserve"> </w:t>
      </w:r>
      <w:r w:rsidRPr="00841523">
        <w:t>zaslat</w:t>
      </w:r>
      <w:r>
        <w:t xml:space="preserve"> </w:t>
      </w:r>
      <w:r w:rsidRPr="00841523">
        <w:t>nebo</w:t>
      </w:r>
      <w:r>
        <w:t xml:space="preserve"> </w:t>
      </w:r>
      <w:r w:rsidRPr="00841523">
        <w:t>předložit</w:t>
      </w:r>
      <w:r>
        <w:t xml:space="preserve"> </w:t>
      </w:r>
      <w:r w:rsidRPr="00841523">
        <w:t>některý</w:t>
      </w:r>
      <w:r>
        <w:t xml:space="preserve"> </w:t>
      </w:r>
      <w:r w:rsidRPr="00841523">
        <w:t>z</w:t>
      </w:r>
      <w:r>
        <w:t xml:space="preserve"> </w:t>
      </w:r>
      <w:r w:rsidRPr="00841523">
        <w:t>dokumentů</w:t>
      </w:r>
      <w:r>
        <w:t xml:space="preserve"> </w:t>
      </w:r>
      <w:r w:rsidRPr="00841523">
        <w:t>anebo</w:t>
      </w:r>
      <w:r>
        <w:t xml:space="preserve"> </w:t>
      </w:r>
      <w:r w:rsidRPr="00841523">
        <w:t>nezveřejní</w:t>
      </w:r>
      <w:r>
        <w:t xml:space="preserve"> </w:t>
      </w:r>
      <w:r w:rsidRPr="00841523">
        <w:t>dokumenty</w:t>
      </w:r>
      <w:r>
        <w:t xml:space="preserve"> </w:t>
      </w:r>
      <w:r w:rsidRPr="00841523">
        <w:t>nebo</w:t>
      </w:r>
      <w:r>
        <w:t xml:space="preserve"> </w:t>
      </w:r>
      <w:r w:rsidRPr="00841523">
        <w:t>informace</w:t>
      </w:r>
      <w:r>
        <w:t xml:space="preserve"> </w:t>
      </w:r>
      <w:r w:rsidRPr="00841523">
        <w:t>podle</w:t>
      </w:r>
      <w:r>
        <w:t xml:space="preserve"> </w:t>
      </w:r>
      <w:r w:rsidRPr="00841523">
        <w:t>§</w:t>
      </w:r>
      <w:r>
        <w:t xml:space="preserve"> </w:t>
      </w:r>
      <w:r w:rsidRPr="00841523">
        <w:t>39</w:t>
      </w:r>
      <w:r>
        <w:t xml:space="preserve"> </w:t>
      </w:r>
      <w:r w:rsidRPr="00841523">
        <w:t>odst.</w:t>
      </w:r>
      <w:r>
        <w:t xml:space="preserve"> </w:t>
      </w:r>
      <w:r w:rsidRPr="00841523">
        <w:t>3</w:t>
      </w:r>
      <w:r>
        <w:t xml:space="preserve"> </w:t>
      </w:r>
      <w:r w:rsidRPr="00841523">
        <w:t>nebo</w:t>
      </w:r>
      <w:r>
        <w:t xml:space="preserve"> </w:t>
      </w:r>
      <w:r w:rsidRPr="00841523">
        <w:t>§</w:t>
      </w:r>
      <w:r>
        <w:t xml:space="preserve"> </w:t>
      </w:r>
      <w:r w:rsidRPr="00841523">
        <w:t>44</w:t>
      </w:r>
      <w:r>
        <w:t xml:space="preserve"> </w:t>
      </w:r>
      <w:r w:rsidRPr="00841523">
        <w:t>odst.</w:t>
      </w:r>
      <w:r>
        <w:t xml:space="preserve"> </w:t>
      </w:r>
      <w:r w:rsidRPr="00841523">
        <w:t>4</w:t>
      </w:r>
      <w:r>
        <w:t xml:space="preserve"> </w:t>
      </w:r>
      <w:r w:rsidRPr="00841523">
        <w:t>nebo</w:t>
      </w:r>
      <w:r>
        <w:t xml:space="preserve"> </w:t>
      </w:r>
      <w:r w:rsidRPr="00841523">
        <w:t>5,</w:t>
      </w:r>
    </w:p>
    <w:p w14:paraId="23648817" w14:textId="77777777" w:rsidR="00C62C41" w:rsidRDefault="00C62C41" w:rsidP="003058E0">
      <w:pPr>
        <w:pStyle w:val="Textparagrafu"/>
        <w:tabs>
          <w:tab w:val="left" w:pos="392"/>
          <w:tab w:val="left" w:pos="840"/>
        </w:tabs>
        <w:spacing w:before="0"/>
        <w:ind w:left="426" w:hanging="426"/>
      </w:pPr>
      <w:r w:rsidRPr="00841523">
        <w:t>c)</w:t>
      </w:r>
      <w:r>
        <w:tab/>
      </w:r>
      <w:r w:rsidRPr="00841523">
        <w:t>v</w:t>
      </w:r>
      <w:r>
        <w:t xml:space="preserve"> </w:t>
      </w:r>
      <w:r w:rsidRPr="00841523">
        <w:t>rozporu</w:t>
      </w:r>
      <w:r>
        <w:t xml:space="preserve"> </w:t>
      </w:r>
      <w:r w:rsidRPr="00841523">
        <w:t>s</w:t>
      </w:r>
      <w:r>
        <w:t xml:space="preserve"> </w:t>
      </w:r>
      <w:r w:rsidRPr="00841523">
        <w:t>§</w:t>
      </w:r>
      <w:r>
        <w:t xml:space="preserve"> </w:t>
      </w:r>
      <w:r w:rsidRPr="00841523">
        <w:t>40</w:t>
      </w:r>
      <w:r>
        <w:t xml:space="preserve"> </w:t>
      </w:r>
      <w:r w:rsidRPr="00841523">
        <w:t>vykonává</w:t>
      </w:r>
      <w:r>
        <w:t xml:space="preserve"> </w:t>
      </w:r>
      <w:r w:rsidRPr="00841523">
        <w:t>činnost,</w:t>
      </w:r>
      <w:r>
        <w:t xml:space="preserve"> </w:t>
      </w:r>
      <w:r w:rsidRPr="00841523">
        <w:t>která</w:t>
      </w:r>
      <w:r>
        <w:t xml:space="preserve"> </w:t>
      </w:r>
      <w:r w:rsidRPr="00841523">
        <w:t>nesmí</w:t>
      </w:r>
      <w:r>
        <w:t xml:space="preserve"> </w:t>
      </w:r>
      <w:r w:rsidRPr="00841523">
        <w:t>být</w:t>
      </w:r>
      <w:r>
        <w:t xml:space="preserve"> </w:t>
      </w:r>
      <w:r w:rsidRPr="00841523">
        <w:t>předmětem</w:t>
      </w:r>
      <w:r>
        <w:t xml:space="preserve"> </w:t>
      </w:r>
      <w:r w:rsidRPr="00841523">
        <w:t>činnosti</w:t>
      </w:r>
      <w:r>
        <w:t xml:space="preserve"> </w:t>
      </w:r>
      <w:r w:rsidRPr="00841523">
        <w:t>provozovatele</w:t>
      </w:r>
      <w:r>
        <w:t xml:space="preserve"> </w:t>
      </w:r>
      <w:r w:rsidRPr="00841523">
        <w:t>kolektivního</w:t>
      </w:r>
      <w:r>
        <w:t xml:space="preserve"> </w:t>
      </w:r>
      <w:r w:rsidRPr="00841523">
        <w:t>systému,</w:t>
      </w:r>
    </w:p>
    <w:p w14:paraId="62C59DF0" w14:textId="77777777" w:rsidR="00C62C41" w:rsidRDefault="00C62C41" w:rsidP="003058E0">
      <w:pPr>
        <w:pStyle w:val="Textparagrafu"/>
        <w:tabs>
          <w:tab w:val="left" w:pos="392"/>
          <w:tab w:val="left" w:pos="840"/>
        </w:tabs>
        <w:spacing w:before="0"/>
        <w:ind w:left="426" w:hanging="426"/>
      </w:pPr>
      <w:r w:rsidRPr="00841523">
        <w:t>d)</w:t>
      </w:r>
      <w:r>
        <w:tab/>
      </w:r>
      <w:r w:rsidRPr="00841523">
        <w:t>poruší</w:t>
      </w:r>
      <w:r>
        <w:t xml:space="preserve"> </w:t>
      </w:r>
      <w:r w:rsidRPr="00841523">
        <w:t>některou</w:t>
      </w:r>
      <w:r>
        <w:t xml:space="preserve"> </w:t>
      </w:r>
      <w:r w:rsidRPr="00841523">
        <w:t>z</w:t>
      </w:r>
      <w:r>
        <w:t xml:space="preserve"> </w:t>
      </w:r>
      <w:r w:rsidRPr="00841523">
        <w:t>povinností</w:t>
      </w:r>
      <w:r>
        <w:t xml:space="preserve"> </w:t>
      </w:r>
      <w:r w:rsidRPr="00841523">
        <w:t>týkajících</w:t>
      </w:r>
      <w:r>
        <w:t xml:space="preserve"> </w:t>
      </w:r>
      <w:r w:rsidRPr="00841523">
        <w:t>se</w:t>
      </w:r>
      <w:r>
        <w:t xml:space="preserve"> </w:t>
      </w:r>
      <w:r w:rsidRPr="00841523">
        <w:t>omezení</w:t>
      </w:r>
      <w:r>
        <w:t xml:space="preserve"> </w:t>
      </w:r>
      <w:r w:rsidRPr="00841523">
        <w:t>provozovatele</w:t>
      </w:r>
      <w:r>
        <w:t xml:space="preserve"> </w:t>
      </w:r>
      <w:r w:rsidRPr="00841523">
        <w:t>kolektivního</w:t>
      </w:r>
      <w:r>
        <w:t xml:space="preserve"> </w:t>
      </w:r>
      <w:r w:rsidRPr="00841523">
        <w:t>systému</w:t>
      </w:r>
      <w:r>
        <w:t xml:space="preserve"> </w:t>
      </w:r>
      <w:r w:rsidRPr="00841523">
        <w:t>stanovených</w:t>
      </w:r>
      <w:r>
        <w:t xml:space="preserve"> </w:t>
      </w:r>
      <w:r w:rsidRPr="00841523">
        <w:t>v</w:t>
      </w:r>
      <w:r>
        <w:t xml:space="preserve"> </w:t>
      </w:r>
      <w:r w:rsidRPr="00841523">
        <w:t>§</w:t>
      </w:r>
      <w:r>
        <w:t xml:space="preserve"> </w:t>
      </w:r>
      <w:r w:rsidRPr="00841523">
        <w:t>41</w:t>
      </w:r>
      <w:r>
        <w:t xml:space="preserve"> </w:t>
      </w:r>
      <w:r w:rsidRPr="00841523">
        <w:t>odst.</w:t>
      </w:r>
      <w:r>
        <w:t xml:space="preserve"> </w:t>
      </w:r>
      <w:r w:rsidRPr="00841523">
        <w:t>1,</w:t>
      </w:r>
      <w:r>
        <w:t xml:space="preserve"> </w:t>
      </w:r>
      <w:r w:rsidRPr="00841523">
        <w:t>2,</w:t>
      </w:r>
      <w:r>
        <w:t xml:space="preserve"> </w:t>
      </w:r>
      <w:r w:rsidRPr="00841523">
        <w:t>5</w:t>
      </w:r>
      <w:r>
        <w:t xml:space="preserve"> </w:t>
      </w:r>
      <w:r w:rsidRPr="00841523">
        <w:t>nebo</w:t>
      </w:r>
      <w:r>
        <w:t xml:space="preserve"> </w:t>
      </w:r>
      <w:r w:rsidRPr="00841523">
        <w:t>6</w:t>
      </w:r>
      <w:r>
        <w:t xml:space="preserve"> </w:t>
      </w:r>
      <w:r w:rsidRPr="00841523">
        <w:t>nebo</w:t>
      </w:r>
      <w:r>
        <w:t xml:space="preserve"> </w:t>
      </w:r>
      <w:r w:rsidRPr="00841523">
        <w:t>v</w:t>
      </w:r>
      <w:r>
        <w:t xml:space="preserve"> </w:t>
      </w:r>
      <w:r w:rsidRPr="00841523">
        <w:t>§</w:t>
      </w:r>
      <w:r>
        <w:t xml:space="preserve"> </w:t>
      </w:r>
      <w:r w:rsidRPr="00841523">
        <w:t>42</w:t>
      </w:r>
      <w:r>
        <w:t xml:space="preserve"> </w:t>
      </w:r>
      <w:r w:rsidRPr="00841523">
        <w:t>odst.</w:t>
      </w:r>
      <w:r>
        <w:t xml:space="preserve"> </w:t>
      </w:r>
      <w:r w:rsidRPr="00841523">
        <w:t>2,</w:t>
      </w:r>
    </w:p>
    <w:p w14:paraId="5248FA3F" w14:textId="77777777" w:rsidR="00C62C41" w:rsidRDefault="00C62C41" w:rsidP="003058E0">
      <w:pPr>
        <w:pStyle w:val="Textparagrafu"/>
        <w:tabs>
          <w:tab w:val="left" w:pos="392"/>
          <w:tab w:val="left" w:pos="840"/>
        </w:tabs>
        <w:spacing w:before="0"/>
        <w:ind w:left="426" w:hanging="426"/>
      </w:pPr>
      <w:r w:rsidRPr="00841523">
        <w:t>e)</w:t>
      </w:r>
      <w:r>
        <w:tab/>
      </w:r>
      <w:r w:rsidRPr="00841523">
        <w:t>v</w:t>
      </w:r>
      <w:r>
        <w:t xml:space="preserve"> </w:t>
      </w:r>
      <w:r w:rsidRPr="00841523">
        <w:t>rozporu</w:t>
      </w:r>
      <w:r>
        <w:t xml:space="preserve"> </w:t>
      </w:r>
      <w:r w:rsidRPr="00841523">
        <w:t>s</w:t>
      </w:r>
      <w:r>
        <w:t xml:space="preserve"> </w:t>
      </w:r>
      <w:r w:rsidRPr="00841523">
        <w:t>§</w:t>
      </w:r>
      <w:r>
        <w:t xml:space="preserve"> </w:t>
      </w:r>
      <w:r w:rsidRPr="00841523">
        <w:t>41</w:t>
      </w:r>
      <w:r>
        <w:t xml:space="preserve"> </w:t>
      </w:r>
      <w:r w:rsidRPr="00841523">
        <w:t>odst.</w:t>
      </w:r>
      <w:r>
        <w:t xml:space="preserve"> </w:t>
      </w:r>
      <w:r w:rsidRPr="00841523">
        <w:t>3</w:t>
      </w:r>
      <w:r>
        <w:t xml:space="preserve"> </w:t>
      </w:r>
      <w:r w:rsidRPr="00841523">
        <w:t>sdělí</w:t>
      </w:r>
      <w:r>
        <w:t xml:space="preserve"> </w:t>
      </w:r>
      <w:r w:rsidRPr="00841523">
        <w:t>třetí</w:t>
      </w:r>
      <w:r>
        <w:t xml:space="preserve"> </w:t>
      </w:r>
      <w:r w:rsidRPr="00841523">
        <w:t>osobě</w:t>
      </w:r>
      <w:r>
        <w:t xml:space="preserve"> </w:t>
      </w:r>
      <w:r w:rsidRPr="00841523">
        <w:t>informace</w:t>
      </w:r>
      <w:r>
        <w:t xml:space="preserve"> </w:t>
      </w:r>
      <w:r w:rsidRPr="00841523">
        <w:t>o</w:t>
      </w:r>
      <w:r>
        <w:t xml:space="preserve"> </w:t>
      </w:r>
      <w:r w:rsidRPr="00841523">
        <w:t>množství</w:t>
      </w:r>
      <w:r>
        <w:t xml:space="preserve"> </w:t>
      </w:r>
      <w:r w:rsidRPr="00841523">
        <w:t>vybraných</w:t>
      </w:r>
      <w:r>
        <w:t xml:space="preserve"> </w:t>
      </w:r>
      <w:r w:rsidRPr="00841523">
        <w:t>výrobků</w:t>
      </w:r>
      <w:r>
        <w:t xml:space="preserve"> </w:t>
      </w:r>
      <w:r w:rsidRPr="00841523">
        <w:t>uvedených</w:t>
      </w:r>
      <w:r>
        <w:t xml:space="preserve"> </w:t>
      </w:r>
      <w:r w:rsidRPr="00841523">
        <w:t>na</w:t>
      </w:r>
      <w:r>
        <w:t xml:space="preserve"> </w:t>
      </w:r>
      <w:r w:rsidRPr="00841523">
        <w:t>trh</w:t>
      </w:r>
      <w:r>
        <w:t xml:space="preserve"> </w:t>
      </w:r>
      <w:r w:rsidRPr="00841523">
        <w:t>výrobcem,</w:t>
      </w:r>
      <w:r>
        <w:t xml:space="preserve"> </w:t>
      </w:r>
      <w:r w:rsidRPr="00841523">
        <w:t>s</w:t>
      </w:r>
      <w:r>
        <w:t xml:space="preserve"> </w:t>
      </w:r>
      <w:r w:rsidRPr="00841523">
        <w:t>nímž</w:t>
      </w:r>
      <w:r>
        <w:t xml:space="preserve"> </w:t>
      </w:r>
      <w:r w:rsidRPr="00841523">
        <w:t>uzavřel</w:t>
      </w:r>
      <w:r>
        <w:t xml:space="preserve"> </w:t>
      </w:r>
      <w:r w:rsidRPr="00841523">
        <w:t>smlouvu</w:t>
      </w:r>
      <w:r>
        <w:t xml:space="preserve"> </w:t>
      </w:r>
      <w:r w:rsidRPr="00841523">
        <w:t>o</w:t>
      </w:r>
      <w:r>
        <w:t xml:space="preserve"> </w:t>
      </w:r>
      <w:r w:rsidRPr="00841523">
        <w:t>kolektivním</w:t>
      </w:r>
      <w:r>
        <w:t xml:space="preserve"> </w:t>
      </w:r>
      <w:r w:rsidRPr="00841523">
        <w:t>plnění,</w:t>
      </w:r>
      <w:r>
        <w:t xml:space="preserve"> </w:t>
      </w:r>
      <w:r w:rsidRPr="00841523">
        <w:t>nebo</w:t>
      </w:r>
      <w:r>
        <w:t xml:space="preserve"> </w:t>
      </w:r>
      <w:r w:rsidRPr="00841523">
        <w:t>o</w:t>
      </w:r>
      <w:r>
        <w:t xml:space="preserve"> </w:t>
      </w:r>
      <w:r w:rsidRPr="00841523">
        <w:t>jeho</w:t>
      </w:r>
      <w:r>
        <w:t xml:space="preserve"> </w:t>
      </w:r>
      <w:r w:rsidRPr="00841523">
        <w:t>podílu</w:t>
      </w:r>
      <w:r>
        <w:t xml:space="preserve"> </w:t>
      </w:r>
      <w:r w:rsidRPr="00841523">
        <w:t>na</w:t>
      </w:r>
      <w:r>
        <w:t xml:space="preserve"> </w:t>
      </w:r>
      <w:r w:rsidRPr="00841523">
        <w:t>trhu</w:t>
      </w:r>
      <w:r>
        <w:t xml:space="preserve"> </w:t>
      </w:r>
      <w:r w:rsidRPr="00841523">
        <w:t>nebo</w:t>
      </w:r>
      <w:r>
        <w:t xml:space="preserve"> </w:t>
      </w:r>
      <w:r w:rsidRPr="00841523">
        <w:t>informace</w:t>
      </w:r>
      <w:r>
        <w:t xml:space="preserve"> </w:t>
      </w:r>
      <w:r w:rsidRPr="00841523">
        <w:t>o</w:t>
      </w:r>
      <w:r>
        <w:t xml:space="preserve"> </w:t>
      </w:r>
      <w:r w:rsidRPr="00841523">
        <w:t>příspěvku,</w:t>
      </w:r>
      <w:r>
        <w:t xml:space="preserve"> </w:t>
      </w:r>
      <w:r w:rsidRPr="00841523">
        <w:t>který</w:t>
      </w:r>
      <w:r>
        <w:t xml:space="preserve"> </w:t>
      </w:r>
      <w:r w:rsidRPr="00841523">
        <w:t>výrobce</w:t>
      </w:r>
      <w:r>
        <w:t xml:space="preserve"> </w:t>
      </w:r>
      <w:r w:rsidRPr="00841523">
        <w:t>hradí</w:t>
      </w:r>
      <w:r>
        <w:t xml:space="preserve"> </w:t>
      </w:r>
      <w:r w:rsidRPr="00841523">
        <w:t>provozovateli</w:t>
      </w:r>
      <w:r>
        <w:t xml:space="preserve"> </w:t>
      </w:r>
      <w:r w:rsidRPr="00841523">
        <w:t>kolektivního</w:t>
      </w:r>
      <w:r>
        <w:t xml:space="preserve"> </w:t>
      </w:r>
      <w:r w:rsidRPr="00841523">
        <w:t>systému,</w:t>
      </w:r>
    </w:p>
    <w:p w14:paraId="54B5189B" w14:textId="77777777" w:rsidR="00C62C41" w:rsidRDefault="00C62C41" w:rsidP="003058E0">
      <w:pPr>
        <w:pStyle w:val="Textparagrafu"/>
        <w:tabs>
          <w:tab w:val="left" w:pos="392"/>
          <w:tab w:val="left" w:pos="840"/>
        </w:tabs>
        <w:spacing w:before="0"/>
        <w:ind w:left="426" w:hanging="426"/>
      </w:pPr>
      <w:r w:rsidRPr="00841523">
        <w:t>f)</w:t>
      </w:r>
      <w:r>
        <w:tab/>
      </w:r>
      <w:r w:rsidRPr="00841523">
        <w:t>v</w:t>
      </w:r>
      <w:r>
        <w:t xml:space="preserve"> </w:t>
      </w:r>
      <w:r w:rsidRPr="00841523">
        <w:t>rozporu</w:t>
      </w:r>
      <w:r>
        <w:t xml:space="preserve"> </w:t>
      </w:r>
      <w:r w:rsidRPr="00841523">
        <w:t>s</w:t>
      </w:r>
      <w:r>
        <w:t xml:space="preserve"> </w:t>
      </w:r>
      <w:r w:rsidRPr="00841523">
        <w:t>§</w:t>
      </w:r>
      <w:r>
        <w:t xml:space="preserve"> </w:t>
      </w:r>
      <w:r w:rsidRPr="00841523">
        <w:t>41</w:t>
      </w:r>
      <w:r>
        <w:t xml:space="preserve"> </w:t>
      </w:r>
      <w:r w:rsidRPr="00841523">
        <w:t>odst.</w:t>
      </w:r>
      <w:r>
        <w:t xml:space="preserve"> </w:t>
      </w:r>
      <w:r w:rsidRPr="00841523">
        <w:t>4</w:t>
      </w:r>
      <w:r>
        <w:t xml:space="preserve"> </w:t>
      </w:r>
      <w:r w:rsidRPr="00841523">
        <w:t>uzavře</w:t>
      </w:r>
      <w:r>
        <w:t xml:space="preserve"> </w:t>
      </w:r>
      <w:r w:rsidRPr="00841523">
        <w:t>smlouvu</w:t>
      </w:r>
      <w:r>
        <w:t xml:space="preserve"> </w:t>
      </w:r>
      <w:r w:rsidRPr="00841523">
        <w:t>s</w:t>
      </w:r>
      <w:r>
        <w:t xml:space="preserve"> </w:t>
      </w:r>
      <w:r w:rsidRPr="00841523">
        <w:t>osobou,</w:t>
      </w:r>
      <w:r>
        <w:t xml:space="preserve"> </w:t>
      </w:r>
      <w:r w:rsidRPr="00841523">
        <w:t>která</w:t>
      </w:r>
      <w:r>
        <w:t xml:space="preserve"> </w:t>
      </w:r>
      <w:r w:rsidRPr="00841523">
        <w:t>k</w:t>
      </w:r>
      <w:r>
        <w:t xml:space="preserve"> </w:t>
      </w:r>
      <w:r w:rsidRPr="00841523">
        <w:t>němu</w:t>
      </w:r>
      <w:r>
        <w:t xml:space="preserve"> </w:t>
      </w:r>
      <w:r w:rsidRPr="00841523">
        <w:t>má</w:t>
      </w:r>
      <w:r>
        <w:t xml:space="preserve"> </w:t>
      </w:r>
      <w:r w:rsidRPr="00841523">
        <w:t>zvláštní</w:t>
      </w:r>
      <w:r>
        <w:t xml:space="preserve"> </w:t>
      </w:r>
      <w:r w:rsidRPr="00841523">
        <w:t>vztah,</w:t>
      </w:r>
      <w:r>
        <w:t xml:space="preserve"> </w:t>
      </w:r>
      <w:r w:rsidRPr="00841523">
        <w:t>nebo</w:t>
      </w:r>
      <w:r>
        <w:t xml:space="preserve"> </w:t>
      </w:r>
      <w:r w:rsidRPr="00841523">
        <w:t>této</w:t>
      </w:r>
      <w:r>
        <w:t xml:space="preserve"> </w:t>
      </w:r>
      <w:r w:rsidRPr="00841523">
        <w:t>osobě</w:t>
      </w:r>
      <w:r>
        <w:t xml:space="preserve"> </w:t>
      </w:r>
      <w:r w:rsidRPr="00841523">
        <w:t>zajišťuje</w:t>
      </w:r>
      <w:r>
        <w:t xml:space="preserve"> </w:t>
      </w:r>
      <w:r w:rsidRPr="00841523">
        <w:t>dluhy</w:t>
      </w:r>
      <w:r>
        <w:t xml:space="preserve"> </w:t>
      </w:r>
      <w:r w:rsidRPr="00841523">
        <w:t>nebo</w:t>
      </w:r>
      <w:r>
        <w:t xml:space="preserve"> </w:t>
      </w:r>
      <w:r w:rsidRPr="00841523">
        <w:t>na</w:t>
      </w:r>
      <w:r>
        <w:t xml:space="preserve"> </w:t>
      </w:r>
      <w:r w:rsidRPr="00841523">
        <w:t>ni</w:t>
      </w:r>
      <w:r>
        <w:t xml:space="preserve"> </w:t>
      </w:r>
      <w:r w:rsidRPr="00841523">
        <w:t>bezúplatně</w:t>
      </w:r>
      <w:r>
        <w:t xml:space="preserve"> </w:t>
      </w:r>
      <w:r w:rsidRPr="00841523">
        <w:t>převádí</w:t>
      </w:r>
      <w:r>
        <w:t xml:space="preserve"> </w:t>
      </w:r>
      <w:r w:rsidRPr="00841523">
        <w:t>majetek,</w:t>
      </w:r>
    </w:p>
    <w:p w14:paraId="427DC45B" w14:textId="77777777" w:rsidR="00C62C41" w:rsidRDefault="00C62C41" w:rsidP="003058E0">
      <w:pPr>
        <w:pStyle w:val="Textparagrafu"/>
        <w:tabs>
          <w:tab w:val="left" w:pos="392"/>
          <w:tab w:val="left" w:pos="840"/>
        </w:tabs>
        <w:spacing w:before="0"/>
        <w:ind w:left="426" w:hanging="426"/>
      </w:pPr>
      <w:r w:rsidRPr="00841523">
        <w:t>g)</w:t>
      </w:r>
      <w:r>
        <w:tab/>
      </w:r>
      <w:r w:rsidRPr="00841523">
        <w:t>nesplní</w:t>
      </w:r>
      <w:r>
        <w:t xml:space="preserve"> </w:t>
      </w:r>
      <w:r w:rsidRPr="00841523">
        <w:t>některou</w:t>
      </w:r>
      <w:r>
        <w:t xml:space="preserve"> </w:t>
      </w:r>
      <w:r w:rsidRPr="00841523">
        <w:t>z</w:t>
      </w:r>
      <w:r>
        <w:t xml:space="preserve"> </w:t>
      </w:r>
      <w:r w:rsidRPr="00841523">
        <w:t>povinností</w:t>
      </w:r>
      <w:r>
        <w:t xml:space="preserve"> </w:t>
      </w:r>
      <w:r w:rsidRPr="00841523">
        <w:t>provozovatele</w:t>
      </w:r>
      <w:r>
        <w:t xml:space="preserve"> </w:t>
      </w:r>
      <w:r w:rsidRPr="00841523">
        <w:t>kolektivního</w:t>
      </w:r>
      <w:r>
        <w:t xml:space="preserve"> </w:t>
      </w:r>
      <w:r w:rsidRPr="00841523">
        <w:t>systému</w:t>
      </w:r>
      <w:r>
        <w:t xml:space="preserve"> </w:t>
      </w:r>
      <w:r w:rsidRPr="00841523">
        <w:t>stanovených</w:t>
      </w:r>
      <w:r>
        <w:t xml:space="preserve"> </w:t>
      </w:r>
      <w:r w:rsidRPr="00841523">
        <w:t>v</w:t>
      </w:r>
      <w:r>
        <w:t xml:space="preserve"> </w:t>
      </w:r>
      <w:r w:rsidRPr="00841523">
        <w:t>§</w:t>
      </w:r>
      <w:r>
        <w:t xml:space="preserve"> </w:t>
      </w:r>
      <w:r w:rsidRPr="00841523">
        <w:t>44</w:t>
      </w:r>
      <w:r>
        <w:t xml:space="preserve"> </w:t>
      </w:r>
      <w:r w:rsidRPr="00841523">
        <w:t>odst.</w:t>
      </w:r>
      <w:r>
        <w:t xml:space="preserve"> </w:t>
      </w:r>
      <w:r w:rsidRPr="00841523">
        <w:t>1</w:t>
      </w:r>
      <w:r>
        <w:t xml:space="preserve"> </w:t>
      </w:r>
      <w:r w:rsidRPr="00841523">
        <w:t>až</w:t>
      </w:r>
      <w:r>
        <w:t xml:space="preserve"> </w:t>
      </w:r>
      <w:r w:rsidRPr="00841523">
        <w:t>3</w:t>
      </w:r>
      <w:r>
        <w:t xml:space="preserve"> </w:t>
      </w:r>
      <w:r w:rsidRPr="00841523">
        <w:t>nebo</w:t>
      </w:r>
      <w:r>
        <w:t xml:space="preserve"> </w:t>
      </w:r>
      <w:r w:rsidRPr="00841523">
        <w:t>6,</w:t>
      </w:r>
    </w:p>
    <w:p w14:paraId="6DE2ACED" w14:textId="77777777" w:rsidR="00C62C41" w:rsidRDefault="00C62C41" w:rsidP="003058E0">
      <w:pPr>
        <w:pStyle w:val="Textparagrafu"/>
        <w:tabs>
          <w:tab w:val="left" w:pos="392"/>
          <w:tab w:val="left" w:pos="840"/>
        </w:tabs>
        <w:spacing w:before="0"/>
        <w:ind w:left="426" w:hanging="426"/>
      </w:pPr>
      <w:r w:rsidRPr="00841523">
        <w:t>h)</w:t>
      </w:r>
      <w:r>
        <w:tab/>
      </w:r>
      <w:r w:rsidRPr="00841523">
        <w:t>nesplní</w:t>
      </w:r>
      <w:r>
        <w:t xml:space="preserve"> </w:t>
      </w:r>
      <w:r w:rsidRPr="00841523">
        <w:t>některou</w:t>
      </w:r>
      <w:r>
        <w:t xml:space="preserve"> </w:t>
      </w:r>
      <w:r w:rsidRPr="00841523">
        <w:t>z</w:t>
      </w:r>
      <w:r>
        <w:t xml:space="preserve"> </w:t>
      </w:r>
      <w:r w:rsidRPr="00841523">
        <w:t>povinností</w:t>
      </w:r>
      <w:r>
        <w:t xml:space="preserve"> </w:t>
      </w:r>
      <w:r w:rsidRPr="00841523">
        <w:t>při</w:t>
      </w:r>
      <w:r>
        <w:t xml:space="preserve"> </w:t>
      </w:r>
      <w:r w:rsidRPr="00841523">
        <w:t>hospodaření</w:t>
      </w:r>
      <w:r>
        <w:t xml:space="preserve"> </w:t>
      </w:r>
      <w:r w:rsidRPr="00841523">
        <w:t>provozovatele</w:t>
      </w:r>
      <w:r>
        <w:t xml:space="preserve"> </w:t>
      </w:r>
      <w:r w:rsidRPr="00841523">
        <w:t>kolektivního</w:t>
      </w:r>
      <w:r>
        <w:t xml:space="preserve"> </w:t>
      </w:r>
      <w:r w:rsidRPr="00841523">
        <w:t>systému</w:t>
      </w:r>
      <w:r>
        <w:t xml:space="preserve"> </w:t>
      </w:r>
      <w:r w:rsidRPr="00841523">
        <w:t>stanovených</w:t>
      </w:r>
      <w:r>
        <w:t xml:space="preserve"> </w:t>
      </w:r>
      <w:r w:rsidRPr="00841523">
        <w:t>v</w:t>
      </w:r>
      <w:r>
        <w:t xml:space="preserve"> </w:t>
      </w:r>
      <w:r w:rsidRPr="00841523">
        <w:t>§</w:t>
      </w:r>
      <w:r>
        <w:t xml:space="preserve"> </w:t>
      </w:r>
      <w:r w:rsidRPr="00841523">
        <w:t>46,</w:t>
      </w:r>
    </w:p>
    <w:p w14:paraId="2C10E015" w14:textId="77777777" w:rsidR="00C62C41" w:rsidRDefault="00C62C41" w:rsidP="003058E0">
      <w:pPr>
        <w:pStyle w:val="Textparagrafu"/>
        <w:tabs>
          <w:tab w:val="left" w:pos="392"/>
          <w:tab w:val="left" w:pos="840"/>
        </w:tabs>
        <w:spacing w:before="0"/>
        <w:ind w:left="426" w:hanging="426"/>
      </w:pPr>
      <w:r w:rsidRPr="00841523">
        <w:t>i)</w:t>
      </w:r>
      <w:r>
        <w:tab/>
      </w:r>
      <w:r w:rsidRPr="00841523">
        <w:t>v</w:t>
      </w:r>
      <w:r>
        <w:t xml:space="preserve"> </w:t>
      </w:r>
      <w:r w:rsidRPr="00841523">
        <w:t>rozporu</w:t>
      </w:r>
      <w:r>
        <w:t xml:space="preserve"> </w:t>
      </w:r>
      <w:r w:rsidRPr="00841523">
        <w:t>s</w:t>
      </w:r>
      <w:r>
        <w:t xml:space="preserve"> </w:t>
      </w:r>
      <w:r w:rsidRPr="00841523">
        <w:t>§</w:t>
      </w:r>
      <w:r>
        <w:t xml:space="preserve"> </w:t>
      </w:r>
      <w:r w:rsidRPr="00841523">
        <w:t>47</w:t>
      </w:r>
      <w:r>
        <w:t xml:space="preserve"> </w:t>
      </w:r>
      <w:r w:rsidRPr="00841523">
        <w:t>odst.</w:t>
      </w:r>
      <w:r>
        <w:t xml:space="preserve"> </w:t>
      </w:r>
      <w:r w:rsidRPr="00841523">
        <w:t>1</w:t>
      </w:r>
      <w:r>
        <w:t xml:space="preserve"> </w:t>
      </w:r>
      <w:r w:rsidRPr="00841523">
        <w:t>nevrátí</w:t>
      </w:r>
      <w:r>
        <w:t xml:space="preserve"> </w:t>
      </w:r>
      <w:r w:rsidRPr="00841523">
        <w:t>obdržený</w:t>
      </w:r>
      <w:r>
        <w:t xml:space="preserve"> </w:t>
      </w:r>
      <w:r w:rsidRPr="00841523">
        <w:t>příspěvek</w:t>
      </w:r>
      <w:r>
        <w:t xml:space="preserve"> </w:t>
      </w:r>
      <w:r w:rsidRPr="00841523">
        <w:t>od</w:t>
      </w:r>
      <w:r>
        <w:t xml:space="preserve"> </w:t>
      </w:r>
      <w:r w:rsidRPr="00841523">
        <w:t>výrobce</w:t>
      </w:r>
      <w:r>
        <w:t xml:space="preserve"> </w:t>
      </w:r>
      <w:r w:rsidRPr="00841523">
        <w:t>v</w:t>
      </w:r>
      <w:r>
        <w:t xml:space="preserve"> </w:t>
      </w:r>
      <w:r w:rsidRPr="00841523">
        <w:t>případě,</w:t>
      </w:r>
      <w:r>
        <w:t xml:space="preserve"> </w:t>
      </w:r>
      <w:r w:rsidRPr="00841523">
        <w:t>že</w:t>
      </w:r>
      <w:r>
        <w:t xml:space="preserve"> </w:t>
      </w:r>
      <w:r w:rsidRPr="00841523">
        <w:t>se</w:t>
      </w:r>
      <w:r>
        <w:t xml:space="preserve"> </w:t>
      </w:r>
      <w:r w:rsidRPr="00841523">
        <w:t>vybraný</w:t>
      </w:r>
      <w:r>
        <w:t xml:space="preserve"> </w:t>
      </w:r>
      <w:r w:rsidRPr="00841523">
        <w:t>výrobek</w:t>
      </w:r>
      <w:r>
        <w:t xml:space="preserve"> </w:t>
      </w:r>
      <w:r w:rsidRPr="00841523">
        <w:t>nestane</w:t>
      </w:r>
      <w:r>
        <w:t xml:space="preserve"> </w:t>
      </w:r>
      <w:r w:rsidRPr="00841523">
        <w:t>na</w:t>
      </w:r>
      <w:r>
        <w:t xml:space="preserve"> </w:t>
      </w:r>
      <w:r w:rsidRPr="00841523">
        <w:t>území</w:t>
      </w:r>
      <w:r>
        <w:t xml:space="preserve"> </w:t>
      </w:r>
      <w:r w:rsidRPr="00841523">
        <w:t>České</w:t>
      </w:r>
      <w:r>
        <w:t xml:space="preserve"> </w:t>
      </w:r>
      <w:r w:rsidRPr="00841523">
        <w:t>republiky</w:t>
      </w:r>
      <w:r>
        <w:t xml:space="preserve"> </w:t>
      </w:r>
      <w:r w:rsidRPr="00841523">
        <w:t>odpadem,</w:t>
      </w:r>
    </w:p>
    <w:p w14:paraId="1E715355" w14:textId="77777777" w:rsidR="00C62C41" w:rsidRDefault="00C62C41" w:rsidP="003058E0">
      <w:pPr>
        <w:pStyle w:val="Textparagrafu"/>
        <w:tabs>
          <w:tab w:val="left" w:pos="392"/>
          <w:tab w:val="left" w:pos="840"/>
        </w:tabs>
        <w:spacing w:before="0"/>
        <w:ind w:left="426" w:hanging="426"/>
      </w:pPr>
      <w:r w:rsidRPr="00841523">
        <w:t>j)</w:t>
      </w:r>
      <w:r>
        <w:tab/>
      </w:r>
      <w:r w:rsidRPr="00841523">
        <w:t>nesplní</w:t>
      </w:r>
      <w:r>
        <w:t xml:space="preserve"> </w:t>
      </w:r>
      <w:r w:rsidRPr="00841523">
        <w:t>některou</w:t>
      </w:r>
      <w:r>
        <w:t xml:space="preserve"> </w:t>
      </w:r>
      <w:r w:rsidRPr="00841523">
        <w:t>z</w:t>
      </w:r>
      <w:r>
        <w:t xml:space="preserve"> </w:t>
      </w:r>
      <w:r w:rsidRPr="00841523">
        <w:t>povinností</w:t>
      </w:r>
      <w:r>
        <w:t xml:space="preserve"> </w:t>
      </w:r>
      <w:r w:rsidRPr="00841523">
        <w:t>týkajících</w:t>
      </w:r>
      <w:r>
        <w:t xml:space="preserve"> </w:t>
      </w:r>
      <w:r w:rsidRPr="00841523">
        <w:t>se</w:t>
      </w:r>
      <w:r>
        <w:t xml:space="preserve"> </w:t>
      </w:r>
      <w:r w:rsidRPr="00841523">
        <w:t>rezervy</w:t>
      </w:r>
      <w:r>
        <w:t xml:space="preserve"> </w:t>
      </w:r>
      <w:r w:rsidRPr="00841523">
        <w:t>stanovených</w:t>
      </w:r>
      <w:r>
        <w:t xml:space="preserve"> </w:t>
      </w:r>
      <w:r w:rsidRPr="00841523">
        <w:t>v</w:t>
      </w:r>
      <w:r>
        <w:t xml:space="preserve"> </w:t>
      </w:r>
      <w:r w:rsidRPr="00841523">
        <w:t>§</w:t>
      </w:r>
      <w:r>
        <w:t xml:space="preserve"> </w:t>
      </w:r>
      <w:r w:rsidRPr="00841523">
        <w:t>48,</w:t>
      </w:r>
    </w:p>
    <w:p w14:paraId="7C96A537" w14:textId="77777777" w:rsidR="00C62C41" w:rsidRDefault="00C62C41" w:rsidP="003058E0">
      <w:pPr>
        <w:pStyle w:val="Textparagrafu"/>
        <w:tabs>
          <w:tab w:val="left" w:pos="392"/>
          <w:tab w:val="left" w:pos="840"/>
        </w:tabs>
        <w:spacing w:before="0"/>
        <w:ind w:left="426" w:hanging="426"/>
      </w:pPr>
      <w:r w:rsidRPr="00841523">
        <w:lastRenderedPageBreak/>
        <w:t>k)</w:t>
      </w:r>
      <w:r>
        <w:tab/>
      </w:r>
      <w:r w:rsidRPr="00841523">
        <w:t>v</w:t>
      </w:r>
      <w:r>
        <w:t xml:space="preserve"> </w:t>
      </w:r>
      <w:r w:rsidRPr="00841523">
        <w:t>rozporu</w:t>
      </w:r>
      <w:r>
        <w:t xml:space="preserve"> </w:t>
      </w:r>
      <w:r w:rsidRPr="00841523">
        <w:t>s</w:t>
      </w:r>
      <w:r>
        <w:t xml:space="preserve"> </w:t>
      </w:r>
      <w:r w:rsidRPr="00841523">
        <w:t>§</w:t>
      </w:r>
      <w:r>
        <w:t xml:space="preserve"> </w:t>
      </w:r>
      <w:r w:rsidRPr="00841523">
        <w:t>49</w:t>
      </w:r>
      <w:r>
        <w:t xml:space="preserve"> </w:t>
      </w:r>
      <w:r w:rsidRPr="00841523">
        <w:t>odst.</w:t>
      </w:r>
      <w:r>
        <w:t xml:space="preserve"> </w:t>
      </w:r>
      <w:r w:rsidRPr="00841523">
        <w:t>3</w:t>
      </w:r>
      <w:r>
        <w:t xml:space="preserve"> </w:t>
      </w:r>
      <w:r w:rsidRPr="00841523">
        <w:t>nepředloží</w:t>
      </w:r>
      <w:r>
        <w:t xml:space="preserve"> </w:t>
      </w:r>
      <w:r w:rsidRPr="00841523">
        <w:t>ministerstvu</w:t>
      </w:r>
      <w:r>
        <w:t xml:space="preserve"> </w:t>
      </w:r>
      <w:r w:rsidRPr="00841523">
        <w:t>stejnopis</w:t>
      </w:r>
      <w:r>
        <w:t xml:space="preserve"> </w:t>
      </w:r>
      <w:r w:rsidRPr="00841523">
        <w:t>nebo</w:t>
      </w:r>
      <w:r>
        <w:t xml:space="preserve"> </w:t>
      </w:r>
      <w:r w:rsidRPr="00841523">
        <w:t>úředně</w:t>
      </w:r>
      <w:r>
        <w:t xml:space="preserve"> </w:t>
      </w:r>
      <w:r w:rsidRPr="00841523">
        <w:t>ověřenou</w:t>
      </w:r>
      <w:r>
        <w:t xml:space="preserve"> </w:t>
      </w:r>
      <w:r w:rsidRPr="00841523">
        <w:t>kopii</w:t>
      </w:r>
      <w:r>
        <w:t xml:space="preserve"> </w:t>
      </w:r>
      <w:r w:rsidRPr="00841523">
        <w:t>uzavřené</w:t>
      </w:r>
      <w:r>
        <w:t xml:space="preserve"> </w:t>
      </w:r>
      <w:r w:rsidRPr="00841523">
        <w:t>smlouvy,</w:t>
      </w:r>
      <w:r>
        <w:t xml:space="preserve"> </w:t>
      </w:r>
      <w:r w:rsidRPr="00841523">
        <w:t>v</w:t>
      </w:r>
      <w:r>
        <w:t xml:space="preserve"> </w:t>
      </w:r>
      <w:r w:rsidRPr="00841523">
        <w:t>rozporu</w:t>
      </w:r>
      <w:r>
        <w:t xml:space="preserve"> </w:t>
      </w:r>
      <w:r w:rsidRPr="00841523">
        <w:t>s</w:t>
      </w:r>
      <w:r>
        <w:t xml:space="preserve"> </w:t>
      </w:r>
      <w:r w:rsidRPr="00841523">
        <w:t>§</w:t>
      </w:r>
      <w:r>
        <w:t xml:space="preserve"> </w:t>
      </w:r>
      <w:r w:rsidRPr="00841523">
        <w:t>49</w:t>
      </w:r>
      <w:r>
        <w:t xml:space="preserve"> </w:t>
      </w:r>
      <w:r w:rsidRPr="00841523">
        <w:t>odst.</w:t>
      </w:r>
      <w:r>
        <w:t xml:space="preserve"> </w:t>
      </w:r>
      <w:r w:rsidRPr="00841523">
        <w:t>4</w:t>
      </w:r>
      <w:r>
        <w:t xml:space="preserve"> </w:t>
      </w:r>
      <w:r w:rsidRPr="00841523">
        <w:t>neuvede</w:t>
      </w:r>
      <w:r>
        <w:t xml:space="preserve"> </w:t>
      </w:r>
      <w:r w:rsidRPr="00841523">
        <w:t>ve</w:t>
      </w:r>
      <w:r>
        <w:t xml:space="preserve"> </w:t>
      </w:r>
      <w:r w:rsidRPr="00841523">
        <w:t>smlouvě</w:t>
      </w:r>
      <w:r>
        <w:t xml:space="preserve"> </w:t>
      </w:r>
      <w:r w:rsidRPr="00841523">
        <w:t>požadované</w:t>
      </w:r>
      <w:r>
        <w:t xml:space="preserve"> </w:t>
      </w:r>
      <w:r w:rsidRPr="00841523">
        <w:t>údaje</w:t>
      </w:r>
      <w:r>
        <w:t xml:space="preserve"> </w:t>
      </w:r>
      <w:r w:rsidRPr="00841523">
        <w:t>nebo</w:t>
      </w:r>
      <w:r>
        <w:t xml:space="preserve"> </w:t>
      </w:r>
      <w:r w:rsidRPr="00841523">
        <w:t>v</w:t>
      </w:r>
      <w:r>
        <w:t xml:space="preserve"> </w:t>
      </w:r>
      <w:r w:rsidRPr="00841523">
        <w:t>rozporu</w:t>
      </w:r>
      <w:r>
        <w:t xml:space="preserve"> </w:t>
      </w:r>
      <w:r w:rsidRPr="00841523">
        <w:t>s</w:t>
      </w:r>
      <w:r>
        <w:t xml:space="preserve"> </w:t>
      </w:r>
      <w:r w:rsidRPr="00841523">
        <w:t>§</w:t>
      </w:r>
      <w:r>
        <w:t xml:space="preserve"> </w:t>
      </w:r>
      <w:r w:rsidRPr="00841523">
        <w:t>49</w:t>
      </w:r>
      <w:r>
        <w:t xml:space="preserve"> </w:t>
      </w:r>
      <w:r w:rsidRPr="00841523">
        <w:t>odst.</w:t>
      </w:r>
      <w:r>
        <w:t xml:space="preserve"> </w:t>
      </w:r>
      <w:r w:rsidRPr="00841523">
        <w:t>5</w:t>
      </w:r>
      <w:r>
        <w:t xml:space="preserve"> </w:t>
      </w:r>
      <w:r w:rsidRPr="00841523">
        <w:t>neuvede</w:t>
      </w:r>
      <w:r>
        <w:t xml:space="preserve"> </w:t>
      </w:r>
      <w:r w:rsidRPr="00841523">
        <w:t>v</w:t>
      </w:r>
      <w:r>
        <w:t xml:space="preserve"> </w:t>
      </w:r>
      <w:r w:rsidRPr="00841523">
        <w:t>evidenci</w:t>
      </w:r>
      <w:r>
        <w:t xml:space="preserve"> </w:t>
      </w:r>
      <w:r w:rsidRPr="00841523">
        <w:t>nebo</w:t>
      </w:r>
      <w:r>
        <w:t xml:space="preserve"> </w:t>
      </w:r>
      <w:r w:rsidRPr="00841523">
        <w:t>v</w:t>
      </w:r>
      <w:r>
        <w:t xml:space="preserve"> </w:t>
      </w:r>
      <w:r w:rsidRPr="00841523">
        <w:t>roční</w:t>
      </w:r>
      <w:r>
        <w:t xml:space="preserve"> </w:t>
      </w:r>
      <w:r w:rsidRPr="00841523">
        <w:t>zprávě</w:t>
      </w:r>
      <w:r>
        <w:t xml:space="preserve"> </w:t>
      </w:r>
      <w:r w:rsidRPr="00841523">
        <w:t>množství</w:t>
      </w:r>
      <w:r>
        <w:t xml:space="preserve"> </w:t>
      </w:r>
      <w:r w:rsidRPr="00841523">
        <w:t>zpětně</w:t>
      </w:r>
      <w:r>
        <w:t xml:space="preserve"> </w:t>
      </w:r>
      <w:r w:rsidRPr="00841523">
        <w:t>odebraných</w:t>
      </w:r>
      <w:r>
        <w:t xml:space="preserve"> </w:t>
      </w:r>
      <w:r w:rsidRPr="00841523">
        <w:t>výrobků</w:t>
      </w:r>
      <w:r>
        <w:t xml:space="preserve"> </w:t>
      </w:r>
      <w:r w:rsidRPr="00841523">
        <w:t>s</w:t>
      </w:r>
      <w:r>
        <w:t xml:space="preserve"> </w:t>
      </w:r>
      <w:r w:rsidRPr="00841523">
        <w:t>ukončenou</w:t>
      </w:r>
      <w:r>
        <w:t xml:space="preserve"> </w:t>
      </w:r>
      <w:r w:rsidRPr="00841523">
        <w:t>životností,</w:t>
      </w:r>
    </w:p>
    <w:p w14:paraId="3A4D17CE" w14:textId="77777777" w:rsidR="00C62C41" w:rsidRDefault="00C62C41" w:rsidP="003058E0">
      <w:pPr>
        <w:pStyle w:val="Textparagrafu"/>
        <w:tabs>
          <w:tab w:val="left" w:pos="392"/>
          <w:tab w:val="left" w:pos="840"/>
        </w:tabs>
        <w:spacing w:before="0"/>
        <w:ind w:left="426" w:hanging="426"/>
      </w:pPr>
      <w:r w:rsidRPr="00841523">
        <w:t>l)</w:t>
      </w:r>
      <w:r>
        <w:tab/>
      </w:r>
      <w:r w:rsidRPr="00841523">
        <w:t>nevede</w:t>
      </w:r>
      <w:r>
        <w:t xml:space="preserve"> </w:t>
      </w:r>
      <w:r w:rsidRPr="00841523">
        <w:t>stanoveným</w:t>
      </w:r>
      <w:r>
        <w:t xml:space="preserve"> </w:t>
      </w:r>
      <w:r w:rsidRPr="00841523">
        <w:t>způsobem</w:t>
      </w:r>
      <w:r>
        <w:t xml:space="preserve"> </w:t>
      </w:r>
      <w:r w:rsidRPr="00841523">
        <w:t>a</w:t>
      </w:r>
      <w:r>
        <w:t xml:space="preserve"> </w:t>
      </w:r>
      <w:r w:rsidRPr="00841523">
        <w:t>ve</w:t>
      </w:r>
      <w:r>
        <w:t xml:space="preserve"> </w:t>
      </w:r>
      <w:r w:rsidRPr="00841523">
        <w:t>stanoveném</w:t>
      </w:r>
      <w:r>
        <w:t xml:space="preserve"> </w:t>
      </w:r>
      <w:r w:rsidRPr="00841523">
        <w:t>rozsahu</w:t>
      </w:r>
      <w:r>
        <w:t xml:space="preserve"> </w:t>
      </w:r>
      <w:r w:rsidRPr="00841523">
        <w:t>evidence</w:t>
      </w:r>
      <w:r>
        <w:t xml:space="preserve"> </w:t>
      </w:r>
      <w:r w:rsidRPr="00841523">
        <w:t>podle</w:t>
      </w:r>
      <w:r>
        <w:t xml:space="preserve"> </w:t>
      </w:r>
      <w:r w:rsidRPr="00841523">
        <w:t>§</w:t>
      </w:r>
      <w:r>
        <w:t xml:space="preserve"> </w:t>
      </w:r>
      <w:r w:rsidRPr="00841523">
        <w:t>50</w:t>
      </w:r>
      <w:r>
        <w:t xml:space="preserve"> </w:t>
      </w:r>
      <w:r w:rsidRPr="00841523">
        <w:t>odst.</w:t>
      </w:r>
      <w:r>
        <w:t xml:space="preserve"> </w:t>
      </w:r>
      <w:r w:rsidRPr="00841523">
        <w:t>1</w:t>
      </w:r>
      <w:r>
        <w:t xml:space="preserve"> </w:t>
      </w:r>
      <w:r w:rsidRPr="00841523">
        <w:t>nebo</w:t>
      </w:r>
      <w:r>
        <w:t xml:space="preserve"> </w:t>
      </w:r>
      <w:r w:rsidRPr="00841523">
        <w:t>v</w:t>
      </w:r>
      <w:r>
        <w:t xml:space="preserve"> </w:t>
      </w:r>
      <w:r w:rsidRPr="00841523">
        <w:t>rozporu</w:t>
      </w:r>
      <w:r>
        <w:t xml:space="preserve"> </w:t>
      </w:r>
      <w:r w:rsidRPr="00841523">
        <w:t>s</w:t>
      </w:r>
      <w:r>
        <w:t xml:space="preserve"> </w:t>
      </w:r>
      <w:r w:rsidRPr="00841523">
        <w:t>§</w:t>
      </w:r>
      <w:r>
        <w:t xml:space="preserve"> </w:t>
      </w:r>
      <w:r w:rsidRPr="00841523">
        <w:t>50</w:t>
      </w:r>
      <w:r>
        <w:t xml:space="preserve"> </w:t>
      </w:r>
      <w:r w:rsidRPr="00841523">
        <w:t>odst.</w:t>
      </w:r>
      <w:r>
        <w:t xml:space="preserve"> </w:t>
      </w:r>
      <w:r w:rsidRPr="00841523">
        <w:t>5</w:t>
      </w:r>
      <w:r>
        <w:t xml:space="preserve"> </w:t>
      </w:r>
      <w:r w:rsidRPr="00841523">
        <w:t>neposkytne</w:t>
      </w:r>
      <w:r>
        <w:t xml:space="preserve"> </w:t>
      </w:r>
      <w:r w:rsidRPr="00841523">
        <w:t>údaje</w:t>
      </w:r>
      <w:r>
        <w:t xml:space="preserve"> </w:t>
      </w:r>
      <w:r w:rsidRPr="00841523">
        <w:t>z</w:t>
      </w:r>
      <w:r>
        <w:t xml:space="preserve"> </w:t>
      </w:r>
      <w:r w:rsidRPr="00841523">
        <w:t>těchto</w:t>
      </w:r>
      <w:r>
        <w:t xml:space="preserve"> </w:t>
      </w:r>
      <w:r w:rsidRPr="00841523">
        <w:t>evidencí</w:t>
      </w:r>
      <w:r>
        <w:t xml:space="preserve"> </w:t>
      </w:r>
      <w:r w:rsidRPr="00841523">
        <w:t>ministerstvu,</w:t>
      </w:r>
    </w:p>
    <w:p w14:paraId="3A97182C" w14:textId="77777777" w:rsidR="00C62C41" w:rsidRDefault="00C62C41" w:rsidP="003058E0">
      <w:pPr>
        <w:pStyle w:val="Textparagrafu"/>
        <w:tabs>
          <w:tab w:val="left" w:pos="392"/>
          <w:tab w:val="left" w:pos="840"/>
        </w:tabs>
        <w:spacing w:before="0"/>
        <w:ind w:left="426" w:hanging="426"/>
      </w:pPr>
      <w:r w:rsidRPr="00841523">
        <w:t>m)</w:t>
      </w:r>
      <w:r>
        <w:tab/>
      </w:r>
      <w:r w:rsidRPr="00841523">
        <w:t>v</w:t>
      </w:r>
      <w:r>
        <w:t xml:space="preserve"> </w:t>
      </w:r>
      <w:r w:rsidRPr="00841523">
        <w:t>rozporu</w:t>
      </w:r>
      <w:r>
        <w:t xml:space="preserve"> </w:t>
      </w:r>
      <w:r w:rsidRPr="00841523">
        <w:t>s</w:t>
      </w:r>
      <w:r>
        <w:t xml:space="preserve"> </w:t>
      </w:r>
      <w:r w:rsidRPr="00841523">
        <w:t>§</w:t>
      </w:r>
      <w:r>
        <w:t xml:space="preserve"> </w:t>
      </w:r>
      <w:r w:rsidRPr="00841523">
        <w:t>51</w:t>
      </w:r>
      <w:r>
        <w:t xml:space="preserve"> </w:t>
      </w:r>
      <w:r w:rsidRPr="00841523">
        <w:t>odst.</w:t>
      </w:r>
      <w:r>
        <w:t xml:space="preserve"> </w:t>
      </w:r>
      <w:r w:rsidRPr="00841523">
        <w:t>1</w:t>
      </w:r>
      <w:r>
        <w:t xml:space="preserve"> </w:t>
      </w:r>
      <w:r w:rsidRPr="00841523">
        <w:t>nebo</w:t>
      </w:r>
      <w:r>
        <w:t xml:space="preserve"> </w:t>
      </w:r>
      <w:r w:rsidRPr="00841523">
        <w:t>§</w:t>
      </w:r>
      <w:r>
        <w:t xml:space="preserve"> </w:t>
      </w:r>
      <w:r w:rsidRPr="00841523">
        <w:t>57</w:t>
      </w:r>
      <w:r>
        <w:t xml:space="preserve"> </w:t>
      </w:r>
      <w:r w:rsidRPr="00841523">
        <w:t>odst.</w:t>
      </w:r>
      <w:r>
        <w:t xml:space="preserve"> </w:t>
      </w:r>
      <w:r w:rsidRPr="00841523">
        <w:t>6</w:t>
      </w:r>
      <w:r>
        <w:t xml:space="preserve"> </w:t>
      </w:r>
      <w:r w:rsidRPr="00841523">
        <w:t>nezpracuje</w:t>
      </w:r>
      <w:r>
        <w:t xml:space="preserve"> </w:t>
      </w:r>
      <w:r w:rsidRPr="00841523">
        <w:t>roční</w:t>
      </w:r>
      <w:r>
        <w:t xml:space="preserve"> </w:t>
      </w:r>
      <w:r w:rsidRPr="00841523">
        <w:t>zprávu</w:t>
      </w:r>
      <w:r>
        <w:t xml:space="preserve"> </w:t>
      </w:r>
      <w:r w:rsidRPr="00841523">
        <w:t>o</w:t>
      </w:r>
      <w:r>
        <w:t xml:space="preserve"> </w:t>
      </w:r>
      <w:r w:rsidRPr="00841523">
        <w:t>výrobcích</w:t>
      </w:r>
      <w:r>
        <w:t xml:space="preserve"> </w:t>
      </w:r>
      <w:r w:rsidRPr="00841523">
        <w:t>s</w:t>
      </w:r>
      <w:r>
        <w:t xml:space="preserve"> </w:t>
      </w:r>
      <w:r w:rsidRPr="00841523">
        <w:t>ukončenou</w:t>
      </w:r>
      <w:r>
        <w:t xml:space="preserve"> </w:t>
      </w:r>
      <w:r w:rsidRPr="00841523">
        <w:t>životností</w:t>
      </w:r>
      <w:r>
        <w:t xml:space="preserve"> </w:t>
      </w:r>
      <w:r w:rsidRPr="00841523">
        <w:t>nebo</w:t>
      </w:r>
      <w:r>
        <w:t xml:space="preserve"> </w:t>
      </w:r>
      <w:r w:rsidRPr="00841523">
        <w:t>zprávu</w:t>
      </w:r>
      <w:r>
        <w:t xml:space="preserve"> </w:t>
      </w:r>
      <w:r w:rsidRPr="00841523">
        <w:t>o</w:t>
      </w:r>
      <w:r>
        <w:t xml:space="preserve"> </w:t>
      </w:r>
      <w:r w:rsidRPr="00841523">
        <w:t>plnění</w:t>
      </w:r>
      <w:r>
        <w:t xml:space="preserve"> </w:t>
      </w:r>
      <w:r w:rsidRPr="00841523">
        <w:t>povinností</w:t>
      </w:r>
      <w:r>
        <w:t xml:space="preserve"> </w:t>
      </w:r>
      <w:r w:rsidRPr="00841523">
        <w:t>provozovatelů</w:t>
      </w:r>
      <w:r>
        <w:t xml:space="preserve"> </w:t>
      </w:r>
      <w:r w:rsidRPr="00841523">
        <w:t>solárních</w:t>
      </w:r>
      <w:r>
        <w:t xml:space="preserve"> </w:t>
      </w:r>
      <w:r w:rsidRPr="00841523">
        <w:t>elektráren</w:t>
      </w:r>
      <w:r>
        <w:t xml:space="preserve"> </w:t>
      </w:r>
      <w:r w:rsidRPr="00841523">
        <w:t>nebo</w:t>
      </w:r>
      <w:r>
        <w:t xml:space="preserve"> </w:t>
      </w:r>
      <w:r w:rsidRPr="00841523">
        <w:t>ji</w:t>
      </w:r>
      <w:r>
        <w:t xml:space="preserve"> </w:t>
      </w:r>
      <w:r w:rsidRPr="00841523">
        <w:t>nezašle</w:t>
      </w:r>
      <w:r>
        <w:t xml:space="preserve"> </w:t>
      </w:r>
      <w:r w:rsidRPr="00841523">
        <w:t>do</w:t>
      </w:r>
      <w:r>
        <w:t xml:space="preserve"> </w:t>
      </w:r>
      <w:r w:rsidRPr="00841523">
        <w:t>30.</w:t>
      </w:r>
      <w:r>
        <w:t xml:space="preserve"> </w:t>
      </w:r>
      <w:r w:rsidRPr="00841523">
        <w:t>června</w:t>
      </w:r>
      <w:r>
        <w:t xml:space="preserve"> </w:t>
      </w:r>
      <w:r w:rsidRPr="00841523">
        <w:t>ministerstvu,</w:t>
      </w:r>
    </w:p>
    <w:p w14:paraId="51871DC2" w14:textId="77777777" w:rsidR="00C62C41" w:rsidRDefault="00C62C41" w:rsidP="003058E0">
      <w:pPr>
        <w:pStyle w:val="Textparagrafu"/>
        <w:tabs>
          <w:tab w:val="left" w:pos="392"/>
          <w:tab w:val="left" w:pos="840"/>
        </w:tabs>
        <w:spacing w:before="0"/>
        <w:ind w:left="426" w:hanging="426"/>
      </w:pPr>
      <w:r w:rsidRPr="00841523">
        <w:t>n)</w:t>
      </w:r>
      <w:r>
        <w:tab/>
      </w:r>
      <w:r w:rsidRPr="00841523">
        <w:t>neuchovává</w:t>
      </w:r>
      <w:r>
        <w:t xml:space="preserve"> </w:t>
      </w:r>
      <w:r w:rsidRPr="00841523">
        <w:t>údaje</w:t>
      </w:r>
      <w:r>
        <w:t xml:space="preserve"> </w:t>
      </w:r>
      <w:r w:rsidRPr="00841523">
        <w:t>nebo</w:t>
      </w:r>
      <w:r>
        <w:t xml:space="preserve"> </w:t>
      </w:r>
      <w:r w:rsidRPr="00841523">
        <w:t>nedoloží</w:t>
      </w:r>
      <w:r>
        <w:t xml:space="preserve"> </w:t>
      </w:r>
      <w:r w:rsidRPr="00841523">
        <w:t>jejich</w:t>
      </w:r>
      <w:r>
        <w:t xml:space="preserve"> </w:t>
      </w:r>
      <w:r w:rsidRPr="00841523">
        <w:t>pravdivost</w:t>
      </w:r>
      <w:r>
        <w:t xml:space="preserve"> </w:t>
      </w:r>
      <w:r w:rsidRPr="00841523">
        <w:t>nebo</w:t>
      </w:r>
      <w:r>
        <w:t xml:space="preserve"> </w:t>
      </w:r>
      <w:r w:rsidRPr="00841523">
        <w:t>úplnost</w:t>
      </w:r>
      <w:r>
        <w:t xml:space="preserve"> </w:t>
      </w:r>
      <w:r w:rsidRPr="00841523">
        <w:t>podle</w:t>
      </w:r>
      <w:r>
        <w:t xml:space="preserve"> </w:t>
      </w:r>
      <w:r w:rsidRPr="00841523">
        <w:t>§</w:t>
      </w:r>
      <w:r>
        <w:t xml:space="preserve"> </w:t>
      </w:r>
      <w:r w:rsidRPr="00841523">
        <w:t>52,</w:t>
      </w:r>
    </w:p>
    <w:p w14:paraId="478D8A25" w14:textId="77777777" w:rsidR="00C62C41" w:rsidRDefault="00C62C41" w:rsidP="003058E0">
      <w:pPr>
        <w:pStyle w:val="Textparagrafu"/>
        <w:tabs>
          <w:tab w:val="left" w:pos="392"/>
          <w:tab w:val="left" w:pos="840"/>
        </w:tabs>
        <w:spacing w:before="0"/>
        <w:ind w:left="426" w:hanging="426"/>
      </w:pPr>
      <w:r w:rsidRPr="00841523">
        <w:t>o)</w:t>
      </w:r>
      <w:r>
        <w:t xml:space="preserve"> </w:t>
      </w:r>
      <w:r w:rsidRPr="00841523">
        <w:t>poruší</w:t>
      </w:r>
      <w:r>
        <w:t xml:space="preserve"> </w:t>
      </w:r>
      <w:bookmarkStart w:id="71" w:name="_Hlk164758328"/>
      <w:r w:rsidRPr="00552AEB">
        <w:rPr>
          <w:b/>
        </w:rPr>
        <w:t>povinnost auditu řádné individuální účetní závěrky podle § 53 odst. 1 nebo</w:t>
      </w:r>
      <w:bookmarkEnd w:id="71"/>
      <w:r w:rsidRPr="00841523">
        <w:t xml:space="preserve"> některou</w:t>
      </w:r>
      <w:r>
        <w:t xml:space="preserve"> </w:t>
      </w:r>
      <w:r w:rsidRPr="00841523">
        <w:t>z</w:t>
      </w:r>
      <w:r>
        <w:t xml:space="preserve"> </w:t>
      </w:r>
      <w:r w:rsidRPr="00841523">
        <w:t>povinností</w:t>
      </w:r>
      <w:r>
        <w:t xml:space="preserve"> </w:t>
      </w:r>
      <w:r w:rsidRPr="00841523">
        <w:t>týkajících</w:t>
      </w:r>
      <w:r>
        <w:t xml:space="preserve"> </w:t>
      </w:r>
      <w:r w:rsidRPr="00841523">
        <w:t>se</w:t>
      </w:r>
      <w:r>
        <w:t xml:space="preserve"> </w:t>
      </w:r>
      <w:r w:rsidRPr="00E10DA1">
        <w:rPr>
          <w:strike/>
        </w:rPr>
        <w:t>ověření</w:t>
      </w:r>
      <w:r>
        <w:t xml:space="preserve"> </w:t>
      </w:r>
      <w:r>
        <w:rPr>
          <w:b/>
        </w:rPr>
        <w:t xml:space="preserve">ověřování </w:t>
      </w:r>
      <w:r w:rsidRPr="00841523">
        <w:t>údajů</w:t>
      </w:r>
      <w:r>
        <w:t xml:space="preserve"> </w:t>
      </w:r>
      <w:r w:rsidRPr="00841523">
        <w:t>auditorem</w:t>
      </w:r>
      <w:r>
        <w:t xml:space="preserve"> </w:t>
      </w:r>
      <w:r w:rsidRPr="00841523">
        <w:t>stanovených</w:t>
      </w:r>
      <w:r>
        <w:t xml:space="preserve"> </w:t>
      </w:r>
      <w:r w:rsidRPr="00841523">
        <w:t>v</w:t>
      </w:r>
      <w:r>
        <w:t xml:space="preserve"> </w:t>
      </w:r>
      <w:r w:rsidRPr="00841523">
        <w:t>§</w:t>
      </w:r>
      <w:r>
        <w:t xml:space="preserve"> </w:t>
      </w:r>
      <w:r w:rsidRPr="00841523">
        <w:t>53</w:t>
      </w:r>
      <w:r>
        <w:t xml:space="preserve"> </w:t>
      </w:r>
      <w:r w:rsidRPr="00841523">
        <w:t>odst.</w:t>
      </w:r>
      <w:r>
        <w:t xml:space="preserve"> </w:t>
      </w:r>
      <w:r w:rsidRPr="00754325">
        <w:rPr>
          <w:strike/>
        </w:rPr>
        <w:t>1 až 4</w:t>
      </w:r>
      <w:r>
        <w:rPr>
          <w:b/>
        </w:rPr>
        <w:t>2 až 4</w:t>
      </w:r>
      <w:r w:rsidRPr="00841523">
        <w:t>,</w:t>
      </w:r>
      <w:r>
        <w:t xml:space="preserve"> </w:t>
      </w:r>
      <w:r w:rsidRPr="00841523">
        <w:t>nebo</w:t>
      </w:r>
    </w:p>
    <w:p w14:paraId="1BF99226" w14:textId="77777777" w:rsidR="00C62C41" w:rsidRDefault="00C62C41" w:rsidP="003058E0">
      <w:pPr>
        <w:pStyle w:val="Textparagrafu"/>
        <w:tabs>
          <w:tab w:val="left" w:pos="392"/>
          <w:tab w:val="left" w:pos="840"/>
        </w:tabs>
        <w:spacing w:before="0"/>
        <w:ind w:left="426" w:hanging="426"/>
      </w:pPr>
      <w:r w:rsidRPr="00841523">
        <w:t>p)</w:t>
      </w:r>
      <w:r>
        <w:tab/>
      </w:r>
      <w:r w:rsidRPr="00841523">
        <w:t>v</w:t>
      </w:r>
      <w:r>
        <w:t xml:space="preserve"> </w:t>
      </w:r>
      <w:r w:rsidRPr="00841523">
        <w:t>rozporu</w:t>
      </w:r>
      <w:r>
        <w:t xml:space="preserve"> </w:t>
      </w:r>
      <w:r w:rsidRPr="00841523">
        <w:t>s</w:t>
      </w:r>
      <w:r>
        <w:t xml:space="preserve"> </w:t>
      </w:r>
      <w:r w:rsidRPr="00841523">
        <w:t>§</w:t>
      </w:r>
      <w:r>
        <w:t xml:space="preserve"> </w:t>
      </w:r>
      <w:r w:rsidRPr="00841523">
        <w:t>84</w:t>
      </w:r>
      <w:r>
        <w:t xml:space="preserve"> </w:t>
      </w:r>
      <w:r w:rsidRPr="00841523">
        <w:t>odst.</w:t>
      </w:r>
      <w:r>
        <w:t xml:space="preserve"> </w:t>
      </w:r>
      <w:r w:rsidRPr="00841523">
        <w:t>3</w:t>
      </w:r>
      <w:r>
        <w:t xml:space="preserve"> </w:t>
      </w:r>
      <w:r w:rsidRPr="00841523">
        <w:t>neuzavře</w:t>
      </w:r>
      <w:r>
        <w:t xml:space="preserve"> </w:t>
      </w:r>
      <w:r w:rsidRPr="00841523">
        <w:t>s</w:t>
      </w:r>
      <w:r>
        <w:t xml:space="preserve"> </w:t>
      </w:r>
      <w:r w:rsidRPr="00841523">
        <w:t>provozovatelem</w:t>
      </w:r>
      <w:r>
        <w:t xml:space="preserve"> </w:t>
      </w:r>
      <w:r w:rsidRPr="00841523">
        <w:t>kolektivního</w:t>
      </w:r>
      <w:r>
        <w:t xml:space="preserve"> </w:t>
      </w:r>
      <w:r w:rsidRPr="00841523">
        <w:t>systému</w:t>
      </w:r>
      <w:r>
        <w:t xml:space="preserve"> </w:t>
      </w:r>
      <w:r w:rsidRPr="00841523">
        <w:t>výrobců</w:t>
      </w:r>
      <w:r>
        <w:t xml:space="preserve"> </w:t>
      </w:r>
      <w:r w:rsidRPr="00841523">
        <w:t>elektrozařízení</w:t>
      </w:r>
      <w:r>
        <w:t xml:space="preserve"> </w:t>
      </w:r>
      <w:r w:rsidRPr="00841523">
        <w:t>smlouvu,</w:t>
      </w:r>
      <w:r>
        <w:t xml:space="preserve"> </w:t>
      </w:r>
      <w:r w:rsidRPr="00841523">
        <w:t>jejímž</w:t>
      </w:r>
      <w:r>
        <w:t xml:space="preserve"> </w:t>
      </w:r>
      <w:r w:rsidRPr="00841523">
        <w:t>předmětem</w:t>
      </w:r>
      <w:r>
        <w:t xml:space="preserve"> </w:t>
      </w:r>
      <w:r w:rsidRPr="00841523">
        <w:t>je</w:t>
      </w:r>
      <w:r>
        <w:t xml:space="preserve"> </w:t>
      </w:r>
      <w:r w:rsidRPr="00841523">
        <w:t>spolupráce</w:t>
      </w:r>
      <w:r>
        <w:t xml:space="preserve"> </w:t>
      </w:r>
      <w:r w:rsidRPr="00841523">
        <w:t>při</w:t>
      </w:r>
      <w:r>
        <w:t xml:space="preserve"> </w:t>
      </w:r>
      <w:r w:rsidRPr="00841523">
        <w:t>zajištění</w:t>
      </w:r>
      <w:r>
        <w:t xml:space="preserve"> </w:t>
      </w:r>
      <w:r w:rsidRPr="00841523">
        <w:t>plnění</w:t>
      </w:r>
      <w:r>
        <w:t xml:space="preserve"> </w:t>
      </w:r>
      <w:r w:rsidRPr="00841523">
        <w:t>povinností</w:t>
      </w:r>
      <w:r>
        <w:t xml:space="preserve"> </w:t>
      </w:r>
      <w:r w:rsidRPr="00841523">
        <w:t>výrobců</w:t>
      </w:r>
      <w:r>
        <w:t xml:space="preserve"> </w:t>
      </w:r>
      <w:r w:rsidRPr="00841523">
        <w:t>elektrozařízení</w:t>
      </w:r>
      <w:r>
        <w:t xml:space="preserve"> </w:t>
      </w:r>
      <w:r w:rsidRPr="00841523">
        <w:t>se</w:t>
      </w:r>
      <w:r>
        <w:t xml:space="preserve"> </w:t>
      </w:r>
      <w:r w:rsidRPr="00841523">
        <w:t>zabudovanými</w:t>
      </w:r>
      <w:r>
        <w:t xml:space="preserve"> </w:t>
      </w:r>
      <w:r w:rsidRPr="00841523">
        <w:t>nebo</w:t>
      </w:r>
      <w:r>
        <w:t xml:space="preserve"> </w:t>
      </w:r>
      <w:r w:rsidRPr="00841523">
        <w:t>přiloženými</w:t>
      </w:r>
      <w:r>
        <w:t xml:space="preserve"> </w:t>
      </w:r>
      <w:r w:rsidRPr="00841523">
        <w:t>bateriemi</w:t>
      </w:r>
      <w:r>
        <w:t xml:space="preserve"> </w:t>
      </w:r>
      <w:r w:rsidRPr="00841523">
        <w:t>nebo</w:t>
      </w:r>
      <w:r>
        <w:t xml:space="preserve"> </w:t>
      </w:r>
      <w:r w:rsidRPr="00841523">
        <w:t>akumulátory.</w:t>
      </w:r>
    </w:p>
    <w:p w14:paraId="50687413" w14:textId="77777777" w:rsidR="00C62C41" w:rsidRDefault="00C62C41" w:rsidP="00C62C41">
      <w:pPr>
        <w:pStyle w:val="Textparagrafu"/>
        <w:tabs>
          <w:tab w:val="left" w:pos="392"/>
          <w:tab w:val="left" w:pos="840"/>
        </w:tabs>
        <w:spacing w:after="120"/>
        <w:ind w:firstLine="426"/>
      </w:pPr>
      <w:r w:rsidRPr="00841523">
        <w:t>(2)</w:t>
      </w:r>
      <w:r>
        <w:t xml:space="preserve"> </w:t>
      </w:r>
      <w:r w:rsidRPr="00841523">
        <w:t>Za</w:t>
      </w:r>
      <w:r>
        <w:t xml:space="preserve"> </w:t>
      </w:r>
      <w:r w:rsidRPr="00841523">
        <w:t>přestupky</w:t>
      </w:r>
      <w:r>
        <w:t xml:space="preserve"> </w:t>
      </w:r>
      <w:r w:rsidRPr="00841523">
        <w:t>lze</w:t>
      </w:r>
      <w:r>
        <w:t xml:space="preserve"> </w:t>
      </w:r>
      <w:r w:rsidRPr="00841523">
        <w:t>uložit</w:t>
      </w:r>
      <w:r>
        <w:t xml:space="preserve"> </w:t>
      </w:r>
      <w:r w:rsidRPr="00841523">
        <w:t>pokutu</w:t>
      </w:r>
      <w:r>
        <w:t xml:space="preserve"> </w:t>
      </w:r>
      <w:r w:rsidRPr="00841523">
        <w:t>do</w:t>
      </w:r>
    </w:p>
    <w:p w14:paraId="5239E68D" w14:textId="77777777" w:rsidR="00C62C41" w:rsidRDefault="00C62C41" w:rsidP="00C62C41">
      <w:pPr>
        <w:pStyle w:val="Textparagrafu"/>
        <w:tabs>
          <w:tab w:val="left" w:pos="392"/>
          <w:tab w:val="left" w:pos="840"/>
        </w:tabs>
        <w:spacing w:before="0"/>
        <w:ind w:firstLine="0"/>
      </w:pPr>
      <w:r w:rsidRPr="00841523">
        <w:t>a)</w:t>
      </w:r>
      <w:r>
        <w:tab/>
      </w:r>
      <w:r w:rsidRPr="00841523">
        <w:t>500</w:t>
      </w:r>
      <w:r>
        <w:t xml:space="preserve"> </w:t>
      </w:r>
      <w:r w:rsidRPr="00841523">
        <w:t>000</w:t>
      </w:r>
      <w:r>
        <w:t xml:space="preserve"> </w:t>
      </w:r>
      <w:r w:rsidRPr="00841523">
        <w:t>Kč,</w:t>
      </w:r>
      <w:r>
        <w:t xml:space="preserve"> </w:t>
      </w:r>
      <w:r w:rsidRPr="00841523">
        <w:t>jde-li</w:t>
      </w:r>
      <w:r>
        <w:t xml:space="preserve"> </w:t>
      </w:r>
      <w:r w:rsidRPr="00841523">
        <w:t>o</w:t>
      </w:r>
      <w:r>
        <w:t xml:space="preserve"> </w:t>
      </w:r>
      <w:r w:rsidRPr="00841523">
        <w:t>přestupek</w:t>
      </w:r>
      <w:r>
        <w:t xml:space="preserve"> </w:t>
      </w:r>
      <w:r w:rsidRPr="00841523">
        <w:t>podle</w:t>
      </w:r>
      <w:r>
        <w:t xml:space="preserve"> </w:t>
      </w:r>
      <w:r w:rsidRPr="00841523">
        <w:t>odstavce</w:t>
      </w:r>
      <w:r>
        <w:t xml:space="preserve"> </w:t>
      </w:r>
      <w:r w:rsidRPr="00841523">
        <w:t>1</w:t>
      </w:r>
      <w:r>
        <w:t xml:space="preserve"> </w:t>
      </w:r>
      <w:r w:rsidRPr="00841523">
        <w:t>písm.</w:t>
      </w:r>
      <w:r>
        <w:t xml:space="preserve"> </w:t>
      </w:r>
      <w:r w:rsidRPr="00841523">
        <w:t>a)</w:t>
      </w:r>
      <w:r>
        <w:t xml:space="preserve"> </w:t>
      </w:r>
      <w:r w:rsidRPr="00841523">
        <w:t>nebo</w:t>
      </w:r>
      <w:r>
        <w:t xml:space="preserve"> </w:t>
      </w:r>
      <w:r w:rsidRPr="00841523">
        <w:t>b),</w:t>
      </w:r>
    </w:p>
    <w:p w14:paraId="124E8D69" w14:textId="77777777" w:rsidR="00C62C41" w:rsidRDefault="00C62C41" w:rsidP="00C62C41">
      <w:pPr>
        <w:pStyle w:val="Textparagrafu"/>
        <w:tabs>
          <w:tab w:val="left" w:pos="392"/>
          <w:tab w:val="left" w:pos="840"/>
        </w:tabs>
        <w:spacing w:before="0"/>
        <w:ind w:firstLine="0"/>
      </w:pPr>
      <w:r w:rsidRPr="00841523">
        <w:t>b)</w:t>
      </w:r>
      <w:r>
        <w:tab/>
      </w:r>
      <w:r w:rsidRPr="00841523">
        <w:t>1</w:t>
      </w:r>
      <w:r>
        <w:t xml:space="preserve"> </w:t>
      </w:r>
      <w:r w:rsidRPr="00841523">
        <w:t>000</w:t>
      </w:r>
      <w:r>
        <w:t xml:space="preserve"> </w:t>
      </w:r>
      <w:r w:rsidRPr="00841523">
        <w:t>000</w:t>
      </w:r>
      <w:r>
        <w:t xml:space="preserve"> </w:t>
      </w:r>
      <w:r w:rsidRPr="00841523">
        <w:t>Kč,</w:t>
      </w:r>
      <w:r>
        <w:t xml:space="preserve"> </w:t>
      </w:r>
      <w:r w:rsidRPr="00841523">
        <w:t>jde-li</w:t>
      </w:r>
      <w:r>
        <w:t xml:space="preserve"> </w:t>
      </w:r>
      <w:r w:rsidRPr="00841523">
        <w:t>o</w:t>
      </w:r>
      <w:r>
        <w:t xml:space="preserve"> </w:t>
      </w:r>
      <w:r w:rsidRPr="00841523">
        <w:t>přestupek</w:t>
      </w:r>
      <w:r>
        <w:t xml:space="preserve"> </w:t>
      </w:r>
      <w:r w:rsidRPr="00841523">
        <w:t>podle</w:t>
      </w:r>
      <w:r>
        <w:t xml:space="preserve"> </w:t>
      </w:r>
      <w:r w:rsidRPr="00841523">
        <w:t>odstavce</w:t>
      </w:r>
      <w:r>
        <w:t xml:space="preserve"> </w:t>
      </w:r>
      <w:r w:rsidRPr="00841523">
        <w:t>1</w:t>
      </w:r>
      <w:r>
        <w:t xml:space="preserve"> </w:t>
      </w:r>
      <w:r w:rsidRPr="00841523">
        <w:t>písm.</w:t>
      </w:r>
      <w:r>
        <w:t xml:space="preserve"> </w:t>
      </w:r>
      <w:r w:rsidRPr="00841523">
        <w:t>k)</w:t>
      </w:r>
      <w:r>
        <w:t xml:space="preserve"> </w:t>
      </w:r>
      <w:r w:rsidRPr="00841523">
        <w:t>nebo</w:t>
      </w:r>
      <w:r>
        <w:t xml:space="preserve"> </w:t>
      </w:r>
      <w:r w:rsidRPr="00841523">
        <w:t>l),</w:t>
      </w:r>
    </w:p>
    <w:p w14:paraId="6A93B4FB" w14:textId="77777777" w:rsidR="00C62C41" w:rsidRDefault="00C62C41" w:rsidP="00C62C41">
      <w:pPr>
        <w:pStyle w:val="Textparagrafu"/>
        <w:tabs>
          <w:tab w:val="left" w:pos="392"/>
          <w:tab w:val="left" w:pos="840"/>
        </w:tabs>
        <w:spacing w:before="0"/>
        <w:ind w:firstLine="0"/>
      </w:pPr>
      <w:r w:rsidRPr="00841523">
        <w:t>c)</w:t>
      </w:r>
      <w:r>
        <w:tab/>
      </w:r>
      <w:r w:rsidRPr="00841523">
        <w:t>5</w:t>
      </w:r>
      <w:r>
        <w:t xml:space="preserve"> </w:t>
      </w:r>
      <w:r w:rsidRPr="00841523">
        <w:t>000</w:t>
      </w:r>
      <w:r>
        <w:t xml:space="preserve"> </w:t>
      </w:r>
      <w:r w:rsidRPr="00841523">
        <w:t>000</w:t>
      </w:r>
      <w:r>
        <w:t xml:space="preserve"> </w:t>
      </w:r>
      <w:r w:rsidRPr="00841523">
        <w:t>Kč,</w:t>
      </w:r>
      <w:r>
        <w:t xml:space="preserve"> </w:t>
      </w:r>
      <w:r w:rsidRPr="00841523">
        <w:t>jde-li</w:t>
      </w:r>
      <w:r>
        <w:t xml:space="preserve"> </w:t>
      </w:r>
      <w:r w:rsidRPr="00841523">
        <w:t>o</w:t>
      </w:r>
      <w:r>
        <w:t xml:space="preserve"> </w:t>
      </w:r>
      <w:r w:rsidRPr="00841523">
        <w:t>přestupek</w:t>
      </w:r>
      <w:r>
        <w:t xml:space="preserve"> </w:t>
      </w:r>
      <w:r w:rsidRPr="00841523">
        <w:t>podle</w:t>
      </w:r>
      <w:r>
        <w:t xml:space="preserve"> </w:t>
      </w:r>
      <w:r w:rsidRPr="00841523">
        <w:t>odstavce</w:t>
      </w:r>
      <w:r>
        <w:t xml:space="preserve"> </w:t>
      </w:r>
      <w:r w:rsidRPr="00841523">
        <w:t>1</w:t>
      </w:r>
      <w:r>
        <w:t xml:space="preserve"> </w:t>
      </w:r>
      <w:r w:rsidRPr="00841523">
        <w:t>písm.</w:t>
      </w:r>
      <w:r>
        <w:t xml:space="preserve"> </w:t>
      </w:r>
      <w:r w:rsidRPr="00841523">
        <w:t>e),</w:t>
      </w:r>
      <w:r>
        <w:t xml:space="preserve"> </w:t>
      </w:r>
      <w:r w:rsidRPr="00841523">
        <w:t>i)</w:t>
      </w:r>
      <w:r>
        <w:t xml:space="preserve"> </w:t>
      </w:r>
      <w:r w:rsidRPr="00841523">
        <w:t>nebo</w:t>
      </w:r>
      <w:r>
        <w:t xml:space="preserve"> </w:t>
      </w:r>
      <w:r w:rsidRPr="00841523">
        <w:t>m)</w:t>
      </w:r>
      <w:r>
        <w:t xml:space="preserve"> </w:t>
      </w:r>
      <w:r w:rsidRPr="00841523">
        <w:t>až</w:t>
      </w:r>
      <w:r>
        <w:t xml:space="preserve"> </w:t>
      </w:r>
      <w:r w:rsidRPr="00841523">
        <w:t>p),</w:t>
      </w:r>
      <w:r>
        <w:t xml:space="preserve"> </w:t>
      </w:r>
      <w:r w:rsidRPr="00841523">
        <w:t>nebo</w:t>
      </w:r>
    </w:p>
    <w:p w14:paraId="3F92F818" w14:textId="77777777" w:rsidR="00C62C41" w:rsidRPr="00841523" w:rsidRDefault="00C62C41" w:rsidP="00C62C41">
      <w:pPr>
        <w:pStyle w:val="Textparagrafu"/>
        <w:tabs>
          <w:tab w:val="left" w:pos="392"/>
          <w:tab w:val="left" w:pos="840"/>
        </w:tabs>
        <w:spacing w:before="0"/>
        <w:ind w:firstLine="0"/>
      </w:pPr>
      <w:r w:rsidRPr="00841523">
        <w:t>d)</w:t>
      </w:r>
      <w:r>
        <w:tab/>
      </w:r>
      <w:r w:rsidRPr="00841523">
        <w:t>10</w:t>
      </w:r>
      <w:r>
        <w:t xml:space="preserve"> </w:t>
      </w:r>
      <w:r w:rsidRPr="00841523">
        <w:t>000</w:t>
      </w:r>
      <w:r>
        <w:t xml:space="preserve"> </w:t>
      </w:r>
      <w:r w:rsidRPr="00841523">
        <w:t>000</w:t>
      </w:r>
      <w:r>
        <w:t xml:space="preserve"> </w:t>
      </w:r>
      <w:r w:rsidRPr="00841523">
        <w:t>Kč,</w:t>
      </w:r>
      <w:r>
        <w:t xml:space="preserve"> </w:t>
      </w:r>
      <w:r w:rsidRPr="00841523">
        <w:t>jde-li</w:t>
      </w:r>
      <w:r>
        <w:t xml:space="preserve"> </w:t>
      </w:r>
      <w:r w:rsidRPr="00841523">
        <w:t>o</w:t>
      </w:r>
      <w:r>
        <w:t xml:space="preserve"> </w:t>
      </w:r>
      <w:r w:rsidRPr="00841523">
        <w:t>přestupek</w:t>
      </w:r>
      <w:r>
        <w:t xml:space="preserve"> </w:t>
      </w:r>
      <w:r w:rsidRPr="00841523">
        <w:t>podle</w:t>
      </w:r>
      <w:r>
        <w:t xml:space="preserve"> </w:t>
      </w:r>
      <w:r w:rsidRPr="00841523">
        <w:t>odstavce</w:t>
      </w:r>
      <w:r>
        <w:t xml:space="preserve"> </w:t>
      </w:r>
      <w:r w:rsidRPr="00841523">
        <w:t>1</w:t>
      </w:r>
      <w:r>
        <w:t xml:space="preserve"> </w:t>
      </w:r>
      <w:r w:rsidRPr="00841523">
        <w:t>písm.</w:t>
      </w:r>
      <w:r>
        <w:t xml:space="preserve"> </w:t>
      </w:r>
      <w:r w:rsidRPr="00841523">
        <w:t>c),</w:t>
      </w:r>
      <w:r>
        <w:t xml:space="preserve"> </w:t>
      </w:r>
      <w:r w:rsidRPr="00841523">
        <w:t>d),</w:t>
      </w:r>
      <w:r>
        <w:t xml:space="preserve"> </w:t>
      </w:r>
      <w:r w:rsidRPr="00841523">
        <w:t>f)</w:t>
      </w:r>
      <w:r>
        <w:t xml:space="preserve"> </w:t>
      </w:r>
      <w:r w:rsidRPr="00841523">
        <w:t>až</w:t>
      </w:r>
      <w:r>
        <w:t xml:space="preserve"> </w:t>
      </w:r>
      <w:r w:rsidRPr="00841523">
        <w:t>h)</w:t>
      </w:r>
      <w:r>
        <w:t xml:space="preserve"> </w:t>
      </w:r>
      <w:r w:rsidRPr="00841523">
        <w:t>nebo</w:t>
      </w:r>
      <w:r>
        <w:t xml:space="preserve"> </w:t>
      </w:r>
      <w:r w:rsidRPr="00841523">
        <w:t>j).</w:t>
      </w:r>
    </w:p>
    <w:p w14:paraId="044494AD" w14:textId="77777777" w:rsidR="00C62C41" w:rsidRDefault="00C62C41" w:rsidP="00C62C41">
      <w:pPr>
        <w:tabs>
          <w:tab w:val="left" w:pos="851"/>
        </w:tabs>
        <w:spacing w:before="120" w:after="120"/>
        <w:ind w:firstLine="0"/>
        <w:outlineLvl w:val="0"/>
      </w:pPr>
    </w:p>
    <w:p w14:paraId="56087029" w14:textId="77777777" w:rsidR="00C62C41" w:rsidRDefault="00C62C41" w:rsidP="00C62C41">
      <w:pPr>
        <w:tabs>
          <w:tab w:val="left" w:pos="851"/>
        </w:tabs>
        <w:spacing w:before="120" w:after="120"/>
        <w:ind w:firstLine="0"/>
        <w:outlineLvl w:val="0"/>
        <w:sectPr w:rsidR="00C62C41" w:rsidSect="00554E2B">
          <w:footnotePr>
            <w:numStart w:val="3"/>
          </w:footnotePr>
          <w:endnotePr>
            <w:numFmt w:val="decimal"/>
          </w:endnotePr>
          <w:pgSz w:w="11906" w:h="16838"/>
          <w:pgMar w:top="1418" w:right="1418" w:bottom="1418" w:left="1418" w:header="709" w:footer="709" w:gutter="0"/>
          <w:cols w:space="708"/>
          <w:docGrid w:linePitch="360"/>
        </w:sectPr>
      </w:pPr>
    </w:p>
    <w:p w14:paraId="1CC3C165" w14:textId="3563127B" w:rsidR="00C62C41" w:rsidRPr="003364AC" w:rsidRDefault="00C62C41" w:rsidP="009876EF">
      <w:pPr>
        <w:tabs>
          <w:tab w:val="left" w:pos="851"/>
        </w:tabs>
        <w:spacing w:before="120" w:after="120"/>
        <w:ind w:firstLine="0"/>
        <w:jc w:val="center"/>
        <w:outlineLvl w:val="0"/>
        <w:rPr>
          <w:szCs w:val="24"/>
        </w:rPr>
      </w:pPr>
      <w:r>
        <w:rPr>
          <w:b/>
          <w:szCs w:val="24"/>
        </w:rPr>
        <w:lastRenderedPageBreak/>
        <w:t xml:space="preserve">K části sté dvacáté </w:t>
      </w:r>
      <w:r w:rsidR="003058E0">
        <w:rPr>
          <w:b/>
          <w:szCs w:val="24"/>
        </w:rPr>
        <w:t>sedmé</w:t>
      </w:r>
      <w:r w:rsidRPr="003364AC">
        <w:rPr>
          <w:b/>
          <w:szCs w:val="24"/>
        </w:rPr>
        <w:t xml:space="preserve"> návrhu zákona – </w:t>
      </w:r>
      <w:r w:rsidRPr="003364AC">
        <w:rPr>
          <w:szCs w:val="24"/>
        </w:rPr>
        <w:t>změna zákona</w:t>
      </w:r>
      <w:r w:rsidRPr="003364AC">
        <w:t xml:space="preserve"> </w:t>
      </w:r>
      <w:r w:rsidRPr="00094019">
        <w:rPr>
          <w:szCs w:val="24"/>
        </w:rPr>
        <w:t>o omezení dopadu vybraných plastových výrobků na životní prostředí</w:t>
      </w:r>
    </w:p>
    <w:p w14:paraId="1CDEF3C5" w14:textId="77777777" w:rsidR="00C62C41" w:rsidRPr="003364AC" w:rsidRDefault="00C62C41" w:rsidP="00C62C41">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3364AC">
        <w:rPr>
          <w:b/>
          <w:szCs w:val="24"/>
        </w:rPr>
        <w:t>Platné znění</w:t>
      </w:r>
      <w:r w:rsidRPr="003364AC">
        <w:rPr>
          <w:szCs w:val="24"/>
        </w:rPr>
        <w:t xml:space="preserve"> zákona č. </w:t>
      </w:r>
      <w:r>
        <w:rPr>
          <w:szCs w:val="24"/>
        </w:rPr>
        <w:t>243/2022</w:t>
      </w:r>
      <w:r w:rsidRPr="003364AC">
        <w:rPr>
          <w:szCs w:val="24"/>
        </w:rPr>
        <w:t xml:space="preserve"> Sb., </w:t>
      </w:r>
      <w:r w:rsidRPr="00094019">
        <w:rPr>
          <w:szCs w:val="24"/>
        </w:rPr>
        <w:t>o omezení dopadu vybraných plastových výrobků na životní prostředí</w:t>
      </w:r>
    </w:p>
    <w:p w14:paraId="11937C2C" w14:textId="77777777" w:rsidR="009876EF" w:rsidRPr="009876EF" w:rsidRDefault="009876EF" w:rsidP="009876EF">
      <w:pPr>
        <w:pStyle w:val="Odstavecseseznamem"/>
        <w:numPr>
          <w:ilvl w:val="0"/>
          <w:numId w:val="27"/>
        </w:numPr>
        <w:pBdr>
          <w:top w:val="single" w:sz="12" w:space="6" w:color="auto"/>
          <w:left w:val="single" w:sz="12" w:space="0" w:color="auto"/>
          <w:bottom w:val="single" w:sz="12" w:space="6" w:color="auto"/>
          <w:right w:val="single" w:sz="12" w:space="0" w:color="auto"/>
        </w:pBdr>
        <w:spacing w:after="120"/>
        <w:jc w:val="center"/>
        <w:rPr>
          <w:b/>
          <w:szCs w:val="24"/>
          <w:lang w:eastAsia="en-US"/>
        </w:rPr>
      </w:pPr>
      <w:r w:rsidRPr="009876EF">
        <w:rPr>
          <w:b/>
          <w:szCs w:val="24"/>
          <w:lang w:eastAsia="en-US"/>
        </w:rPr>
        <w:t>s vyznačením navrhovaných změn a doplnění k 1. lednu 2025</w:t>
      </w:r>
      <w:r w:rsidRPr="00181A4A">
        <w:t xml:space="preserve"> </w:t>
      </w:r>
    </w:p>
    <w:p w14:paraId="1F551510" w14:textId="77777777" w:rsidR="00C62C41" w:rsidRPr="003364AC" w:rsidRDefault="00C62C41" w:rsidP="00C62C41">
      <w:pPr>
        <w:pStyle w:val="Textparagrafu"/>
        <w:numPr>
          <w:ilvl w:val="0"/>
          <w:numId w:val="27"/>
        </w:numPr>
        <w:tabs>
          <w:tab w:val="left" w:pos="392"/>
          <w:tab w:val="left" w:pos="840"/>
        </w:tabs>
        <w:spacing w:after="120"/>
        <w:jc w:val="center"/>
      </w:pPr>
      <w:r w:rsidRPr="003364AC">
        <w:t>***</w:t>
      </w:r>
    </w:p>
    <w:p w14:paraId="1E15DCC2" w14:textId="77777777" w:rsidR="00C62C41" w:rsidRDefault="00C62C41" w:rsidP="00C62C41">
      <w:pPr>
        <w:pStyle w:val="Textparagrafu"/>
        <w:numPr>
          <w:ilvl w:val="0"/>
          <w:numId w:val="27"/>
        </w:numPr>
        <w:tabs>
          <w:tab w:val="left" w:pos="392"/>
          <w:tab w:val="left" w:pos="840"/>
        </w:tabs>
        <w:spacing w:after="120"/>
        <w:jc w:val="center"/>
      </w:pPr>
      <w:r w:rsidRPr="00EE1BFF">
        <w:t>§</w:t>
      </w:r>
      <w:r>
        <w:t xml:space="preserve"> </w:t>
      </w:r>
      <w:r w:rsidRPr="00EE1BFF">
        <w:t>22</w:t>
      </w:r>
    </w:p>
    <w:p w14:paraId="47C2BF11" w14:textId="77777777" w:rsidR="00C62C41" w:rsidRPr="001506B1" w:rsidRDefault="00C62C41" w:rsidP="00C62C41">
      <w:pPr>
        <w:pStyle w:val="Textparagrafu"/>
        <w:numPr>
          <w:ilvl w:val="0"/>
          <w:numId w:val="27"/>
        </w:numPr>
        <w:tabs>
          <w:tab w:val="left" w:pos="392"/>
          <w:tab w:val="left" w:pos="840"/>
        </w:tabs>
        <w:spacing w:after="120"/>
        <w:jc w:val="center"/>
        <w:rPr>
          <w:b/>
        </w:rPr>
      </w:pPr>
      <w:r w:rsidRPr="001506B1">
        <w:rPr>
          <w:b/>
        </w:rPr>
        <w:t>Ověřování údajů</w:t>
      </w:r>
    </w:p>
    <w:p w14:paraId="1528B8AF" w14:textId="77777777" w:rsidR="00C62C41" w:rsidRDefault="00C62C41" w:rsidP="009876EF">
      <w:pPr>
        <w:pStyle w:val="Textparagrafu"/>
        <w:numPr>
          <w:ilvl w:val="0"/>
          <w:numId w:val="27"/>
        </w:numPr>
        <w:tabs>
          <w:tab w:val="left" w:pos="392"/>
          <w:tab w:val="left" w:pos="840"/>
        </w:tabs>
        <w:spacing w:before="120" w:after="120"/>
        <w:ind w:firstLine="425"/>
      </w:pPr>
      <w:r w:rsidRPr="00EE1BFF">
        <w:t>(1)</w:t>
      </w:r>
      <w:r>
        <w:t xml:space="preserve"> </w:t>
      </w:r>
      <w:r w:rsidRPr="00EE1BFF">
        <w:t>Provozovatel</w:t>
      </w:r>
      <w:r>
        <w:t xml:space="preserve"> </w:t>
      </w:r>
      <w:r w:rsidRPr="00EE1BFF">
        <w:t>kolektivního</w:t>
      </w:r>
      <w:r>
        <w:t xml:space="preserve"> </w:t>
      </w:r>
      <w:r w:rsidRPr="00EE1BFF">
        <w:t>systému</w:t>
      </w:r>
      <w:r>
        <w:t xml:space="preserve"> </w:t>
      </w:r>
      <w:r w:rsidRPr="00F92025">
        <w:rPr>
          <w:strike/>
        </w:rPr>
        <w:t>je povinen mít řádnou nebo mimořádnou účetní závěrku ověřenou auditorem</w:t>
      </w:r>
      <w:bookmarkStart w:id="72" w:name="_Hlk164758625"/>
      <w:r w:rsidRPr="00F92025">
        <w:rPr>
          <w:b/>
        </w:rPr>
        <w:t xml:space="preserve"> </w:t>
      </w:r>
      <w:r w:rsidRPr="00552AEB">
        <w:rPr>
          <w:b/>
        </w:rPr>
        <w:t>má povinnost auditu řádné individuální účetní závěrky</w:t>
      </w:r>
      <w:bookmarkEnd w:id="72"/>
      <w:r w:rsidRPr="00EE1BFF">
        <w:t>.</w:t>
      </w:r>
    </w:p>
    <w:p w14:paraId="5641CC51" w14:textId="77777777" w:rsidR="00C62C41" w:rsidRDefault="00C62C41" w:rsidP="009876EF">
      <w:pPr>
        <w:pStyle w:val="Textparagrafu"/>
        <w:numPr>
          <w:ilvl w:val="0"/>
          <w:numId w:val="27"/>
        </w:numPr>
        <w:tabs>
          <w:tab w:val="left" w:pos="392"/>
          <w:tab w:val="left" w:pos="840"/>
        </w:tabs>
        <w:spacing w:before="120" w:after="120"/>
        <w:ind w:firstLine="425"/>
      </w:pPr>
      <w:r w:rsidRPr="00EE1BFF">
        <w:t>(2)</w:t>
      </w:r>
      <w:r>
        <w:t xml:space="preserve"> </w:t>
      </w:r>
      <w:r w:rsidRPr="00EE1BFF">
        <w:t>Provozovatel</w:t>
      </w:r>
      <w:r>
        <w:t xml:space="preserve"> </w:t>
      </w:r>
      <w:r w:rsidRPr="00EE1BFF">
        <w:t>kolektivního</w:t>
      </w:r>
      <w:r>
        <w:t xml:space="preserve"> </w:t>
      </w:r>
      <w:r w:rsidRPr="00EE1BFF">
        <w:t>systému</w:t>
      </w:r>
      <w:r>
        <w:t xml:space="preserve"> </w:t>
      </w:r>
      <w:r w:rsidRPr="00EE1BFF">
        <w:t>je</w:t>
      </w:r>
      <w:r>
        <w:t xml:space="preserve"> </w:t>
      </w:r>
      <w:r w:rsidRPr="00EE1BFF">
        <w:t>povinen</w:t>
      </w:r>
      <w:r>
        <w:t xml:space="preserve"> </w:t>
      </w:r>
      <w:r w:rsidRPr="00EE1BFF">
        <w:t>zajistit,</w:t>
      </w:r>
      <w:r>
        <w:t xml:space="preserve"> </w:t>
      </w:r>
      <w:r w:rsidRPr="00EE1BFF">
        <w:t>aby</w:t>
      </w:r>
      <w:r>
        <w:t xml:space="preserve"> </w:t>
      </w:r>
      <w:r w:rsidRPr="00EE1BFF">
        <w:t>auditor</w:t>
      </w:r>
      <w:r>
        <w:t xml:space="preserve"> </w:t>
      </w:r>
      <w:r w:rsidRPr="00EE1BFF">
        <w:t>provedl</w:t>
      </w:r>
      <w:r>
        <w:t xml:space="preserve"> </w:t>
      </w:r>
      <w:r w:rsidRPr="00EE1BFF">
        <w:t>ověření</w:t>
      </w:r>
      <w:r>
        <w:t xml:space="preserve"> </w:t>
      </w:r>
      <w:r w:rsidRPr="00EE1BFF">
        <w:t>správnosti</w:t>
      </w:r>
      <w:r>
        <w:t xml:space="preserve"> </w:t>
      </w:r>
      <w:r w:rsidRPr="00EE1BFF">
        <w:t>a</w:t>
      </w:r>
      <w:r>
        <w:t xml:space="preserve"> </w:t>
      </w:r>
      <w:r w:rsidRPr="00EE1BFF">
        <w:t>úplnosti</w:t>
      </w:r>
    </w:p>
    <w:p w14:paraId="354828DA" w14:textId="77777777" w:rsidR="00C62C41" w:rsidRDefault="00C62C41" w:rsidP="003058E0">
      <w:pPr>
        <w:pStyle w:val="Textparagrafu"/>
        <w:numPr>
          <w:ilvl w:val="0"/>
          <w:numId w:val="27"/>
        </w:numPr>
        <w:tabs>
          <w:tab w:val="left" w:pos="392"/>
          <w:tab w:val="left" w:pos="840"/>
        </w:tabs>
        <w:spacing w:before="0"/>
        <w:ind w:left="426" w:hanging="426"/>
      </w:pPr>
      <w:r w:rsidRPr="00EE1BFF">
        <w:t>a)</w:t>
      </w:r>
      <w:r>
        <w:tab/>
      </w:r>
      <w:r w:rsidRPr="00EE1BFF">
        <w:t>údajů</w:t>
      </w:r>
      <w:r>
        <w:t xml:space="preserve"> </w:t>
      </w:r>
      <w:r w:rsidRPr="00EE1BFF">
        <w:t>o</w:t>
      </w:r>
      <w:r>
        <w:t xml:space="preserve"> </w:t>
      </w:r>
      <w:r w:rsidRPr="00EE1BFF">
        <w:t>množství</w:t>
      </w:r>
      <w:r>
        <w:t xml:space="preserve"> </w:t>
      </w:r>
      <w:r w:rsidRPr="00EE1BFF">
        <w:t>vybraných</w:t>
      </w:r>
      <w:r>
        <w:t xml:space="preserve"> </w:t>
      </w:r>
      <w:r w:rsidRPr="00EE1BFF">
        <w:t>plastových</w:t>
      </w:r>
      <w:r>
        <w:t xml:space="preserve"> </w:t>
      </w:r>
      <w:r w:rsidRPr="00EE1BFF">
        <w:t>výrobků</w:t>
      </w:r>
      <w:r>
        <w:t xml:space="preserve"> </w:t>
      </w:r>
      <w:r w:rsidRPr="00EE1BFF">
        <w:t>uvedených</w:t>
      </w:r>
      <w:r>
        <w:t xml:space="preserve"> </w:t>
      </w:r>
      <w:r w:rsidRPr="00EE1BFF">
        <w:t>na</w:t>
      </w:r>
      <w:r>
        <w:t xml:space="preserve"> </w:t>
      </w:r>
      <w:r w:rsidRPr="00EE1BFF">
        <w:t>trh,</w:t>
      </w:r>
      <w:r>
        <w:t xml:space="preserve"> </w:t>
      </w:r>
      <w:r w:rsidRPr="00EE1BFF">
        <w:t>které</w:t>
      </w:r>
      <w:r>
        <w:t xml:space="preserve"> </w:t>
      </w:r>
      <w:r w:rsidRPr="00EE1BFF">
        <w:t>výrobci</w:t>
      </w:r>
      <w:r>
        <w:t xml:space="preserve"> </w:t>
      </w:r>
      <w:r w:rsidRPr="00EE1BFF">
        <w:t>vykázali</w:t>
      </w:r>
      <w:r>
        <w:t xml:space="preserve"> </w:t>
      </w:r>
      <w:r w:rsidRPr="00EE1BFF">
        <w:t>provozovateli</w:t>
      </w:r>
      <w:r>
        <w:t xml:space="preserve"> </w:t>
      </w:r>
      <w:r w:rsidRPr="00EE1BFF">
        <w:t>kolektivního</w:t>
      </w:r>
      <w:r>
        <w:t xml:space="preserve"> </w:t>
      </w:r>
      <w:r w:rsidRPr="00EE1BFF">
        <w:t>systému,</w:t>
      </w:r>
      <w:r>
        <w:t xml:space="preserve"> </w:t>
      </w:r>
      <w:r w:rsidRPr="00EE1BFF">
        <w:t>a</w:t>
      </w:r>
    </w:p>
    <w:p w14:paraId="2C53FC7A" w14:textId="77777777" w:rsidR="00C62C41" w:rsidRDefault="00C62C41" w:rsidP="003058E0">
      <w:pPr>
        <w:pStyle w:val="Textparagrafu"/>
        <w:numPr>
          <w:ilvl w:val="0"/>
          <w:numId w:val="27"/>
        </w:numPr>
        <w:tabs>
          <w:tab w:val="left" w:pos="392"/>
          <w:tab w:val="left" w:pos="840"/>
        </w:tabs>
        <w:spacing w:before="0"/>
        <w:ind w:left="426" w:hanging="426"/>
      </w:pPr>
      <w:r w:rsidRPr="00EE1BFF">
        <w:t>b)</w:t>
      </w:r>
      <w:r>
        <w:tab/>
      </w:r>
      <w:r w:rsidRPr="00EE1BFF">
        <w:t>vedení</w:t>
      </w:r>
      <w:r>
        <w:t xml:space="preserve"> </w:t>
      </w:r>
      <w:r w:rsidRPr="00EE1BFF">
        <w:t>evidencí</w:t>
      </w:r>
      <w:r>
        <w:t xml:space="preserve"> </w:t>
      </w:r>
      <w:r w:rsidRPr="00EE1BFF">
        <w:t>podle</w:t>
      </w:r>
      <w:r>
        <w:t xml:space="preserve"> </w:t>
      </w:r>
      <w:r w:rsidRPr="00EE1BFF">
        <w:t>§</w:t>
      </w:r>
      <w:r>
        <w:t xml:space="preserve"> </w:t>
      </w:r>
      <w:r w:rsidRPr="00EE1BFF">
        <w:t>21</w:t>
      </w:r>
      <w:r>
        <w:t xml:space="preserve"> </w:t>
      </w:r>
      <w:r w:rsidRPr="00EE1BFF">
        <w:t>odst.</w:t>
      </w:r>
      <w:r>
        <w:t xml:space="preserve"> </w:t>
      </w:r>
      <w:r w:rsidRPr="00EE1BFF">
        <w:t>1.</w:t>
      </w:r>
    </w:p>
    <w:p w14:paraId="2D09A086" w14:textId="77777777" w:rsidR="00C62C41" w:rsidRDefault="00C62C41" w:rsidP="009876EF">
      <w:pPr>
        <w:pStyle w:val="Textparagrafu"/>
        <w:numPr>
          <w:ilvl w:val="0"/>
          <w:numId w:val="27"/>
        </w:numPr>
        <w:tabs>
          <w:tab w:val="left" w:pos="392"/>
          <w:tab w:val="left" w:pos="840"/>
        </w:tabs>
        <w:spacing w:before="120" w:after="120"/>
        <w:ind w:firstLine="425"/>
      </w:pPr>
      <w:r w:rsidRPr="00EE1BFF">
        <w:t>(3)</w:t>
      </w:r>
      <w:r>
        <w:t xml:space="preserve"> </w:t>
      </w:r>
      <w:r w:rsidRPr="00EE1BFF">
        <w:t>Provozovatel</w:t>
      </w:r>
      <w:r>
        <w:t xml:space="preserve"> </w:t>
      </w:r>
      <w:r w:rsidRPr="00EE1BFF">
        <w:t>kolektivního</w:t>
      </w:r>
      <w:r>
        <w:t xml:space="preserve"> </w:t>
      </w:r>
      <w:r w:rsidRPr="00EE1BFF">
        <w:t>systému</w:t>
      </w:r>
      <w:r>
        <w:t xml:space="preserve"> </w:t>
      </w:r>
      <w:r w:rsidRPr="00EE1BFF">
        <w:t>je</w:t>
      </w:r>
      <w:r>
        <w:t xml:space="preserve"> </w:t>
      </w:r>
      <w:r w:rsidRPr="00EE1BFF">
        <w:t>povinen</w:t>
      </w:r>
      <w:r>
        <w:t xml:space="preserve"> </w:t>
      </w:r>
      <w:r w:rsidRPr="00EE1BFF">
        <w:t>zajistit</w:t>
      </w:r>
      <w:r>
        <w:t xml:space="preserve"> </w:t>
      </w:r>
      <w:r w:rsidRPr="00EE1BFF">
        <w:t>ověření</w:t>
      </w:r>
      <w:r>
        <w:t xml:space="preserve"> </w:t>
      </w:r>
      <w:r w:rsidRPr="00EE1BFF">
        <w:t>podle</w:t>
      </w:r>
      <w:r>
        <w:t xml:space="preserve"> </w:t>
      </w:r>
      <w:r w:rsidRPr="00EE1BFF">
        <w:t>odstavce</w:t>
      </w:r>
      <w:r>
        <w:t xml:space="preserve"> </w:t>
      </w:r>
      <w:r w:rsidRPr="00EE1BFF">
        <w:t>2</w:t>
      </w:r>
      <w:r>
        <w:t xml:space="preserve"> </w:t>
      </w:r>
      <w:r w:rsidRPr="00EE1BFF">
        <w:t>v</w:t>
      </w:r>
      <w:r>
        <w:t xml:space="preserve"> </w:t>
      </w:r>
      <w:r w:rsidRPr="00EE1BFF">
        <w:t>každém</w:t>
      </w:r>
      <w:r>
        <w:t xml:space="preserve"> </w:t>
      </w:r>
      <w:r w:rsidRPr="00EE1BFF">
        <w:t>kalendářním</w:t>
      </w:r>
      <w:r>
        <w:t xml:space="preserve"> </w:t>
      </w:r>
      <w:r w:rsidRPr="00EE1BFF">
        <w:t>roce,</w:t>
      </w:r>
      <w:r>
        <w:t xml:space="preserve"> </w:t>
      </w:r>
      <w:r w:rsidRPr="00EE1BFF">
        <w:t>ve</w:t>
      </w:r>
      <w:r>
        <w:t xml:space="preserve"> </w:t>
      </w:r>
      <w:r w:rsidRPr="00EE1BFF">
        <w:t>kterém</w:t>
      </w:r>
      <w:r>
        <w:t xml:space="preserve"> </w:t>
      </w:r>
      <w:r w:rsidRPr="00EE1BFF">
        <w:t>je</w:t>
      </w:r>
      <w:r>
        <w:t xml:space="preserve"> </w:t>
      </w:r>
      <w:r w:rsidRPr="00EE1BFF">
        <w:t>oprávněn</w:t>
      </w:r>
      <w:r>
        <w:t xml:space="preserve"> </w:t>
      </w:r>
      <w:r w:rsidRPr="00EE1BFF">
        <w:t>k</w:t>
      </w:r>
      <w:r>
        <w:t xml:space="preserve"> </w:t>
      </w:r>
      <w:r w:rsidRPr="00EE1BFF">
        <w:t>provozování</w:t>
      </w:r>
      <w:r>
        <w:t xml:space="preserve"> </w:t>
      </w:r>
      <w:r w:rsidRPr="00EE1BFF">
        <w:t>kolektivního</w:t>
      </w:r>
      <w:r>
        <w:t xml:space="preserve"> </w:t>
      </w:r>
      <w:r w:rsidRPr="00EE1BFF">
        <w:t>systému.</w:t>
      </w:r>
      <w:r>
        <w:t xml:space="preserve"> </w:t>
      </w:r>
      <w:r w:rsidRPr="00EE1BFF">
        <w:t>Zprávu</w:t>
      </w:r>
      <w:r>
        <w:t xml:space="preserve"> </w:t>
      </w:r>
      <w:r w:rsidRPr="006E4961">
        <w:rPr>
          <w:strike/>
        </w:rPr>
        <w:t>o ověření účetní závěrky</w:t>
      </w:r>
      <w:r>
        <w:t xml:space="preserve"> </w:t>
      </w:r>
      <w:r w:rsidRPr="00552AEB">
        <w:rPr>
          <w:b/>
        </w:rPr>
        <w:t>auditora o povinném auditu</w:t>
      </w:r>
      <w:r w:rsidRPr="00EE1BFF">
        <w:t xml:space="preserve"> podle</w:t>
      </w:r>
      <w:r>
        <w:t xml:space="preserve"> </w:t>
      </w:r>
      <w:r w:rsidRPr="00EE1BFF">
        <w:t>odstavce</w:t>
      </w:r>
      <w:r>
        <w:t xml:space="preserve"> </w:t>
      </w:r>
      <w:r w:rsidRPr="00EE1BFF">
        <w:t>1</w:t>
      </w:r>
      <w:r>
        <w:t xml:space="preserve"> </w:t>
      </w:r>
      <w:r w:rsidRPr="00EE1BFF">
        <w:t>a</w:t>
      </w:r>
      <w:r>
        <w:t xml:space="preserve"> </w:t>
      </w:r>
      <w:r w:rsidRPr="00EE1BFF">
        <w:t>zprávu</w:t>
      </w:r>
      <w:r>
        <w:t xml:space="preserve"> </w:t>
      </w:r>
      <w:r w:rsidRPr="00EE1BFF">
        <w:t>nebo</w:t>
      </w:r>
      <w:r>
        <w:t xml:space="preserve"> </w:t>
      </w:r>
      <w:r w:rsidRPr="00EE1BFF">
        <w:t>zprávy</w:t>
      </w:r>
      <w:r>
        <w:t xml:space="preserve"> </w:t>
      </w:r>
      <w:r w:rsidRPr="00EE1BFF">
        <w:t>o</w:t>
      </w:r>
      <w:r>
        <w:t xml:space="preserve"> </w:t>
      </w:r>
      <w:r w:rsidRPr="00EE1BFF">
        <w:t>ověření</w:t>
      </w:r>
      <w:r>
        <w:t xml:space="preserve"> </w:t>
      </w:r>
      <w:r w:rsidRPr="00EE1BFF">
        <w:t>podle</w:t>
      </w:r>
      <w:r>
        <w:t xml:space="preserve"> </w:t>
      </w:r>
      <w:r w:rsidRPr="00EE1BFF">
        <w:t>odstavce</w:t>
      </w:r>
      <w:r>
        <w:t xml:space="preserve"> </w:t>
      </w:r>
      <w:r w:rsidRPr="00EE1BFF">
        <w:t>2</w:t>
      </w:r>
      <w:r>
        <w:t xml:space="preserve"> </w:t>
      </w:r>
      <w:r w:rsidRPr="00EE1BFF">
        <w:t>je</w:t>
      </w:r>
      <w:r>
        <w:t xml:space="preserve"> </w:t>
      </w:r>
      <w:r w:rsidRPr="00EE1BFF">
        <w:t>provozovatel</w:t>
      </w:r>
      <w:r>
        <w:t xml:space="preserve"> </w:t>
      </w:r>
      <w:r w:rsidRPr="00EE1BFF">
        <w:t>kolektivního</w:t>
      </w:r>
      <w:r>
        <w:t xml:space="preserve"> </w:t>
      </w:r>
      <w:r w:rsidRPr="00EE1BFF">
        <w:t>systému</w:t>
      </w:r>
      <w:r>
        <w:t xml:space="preserve"> </w:t>
      </w:r>
      <w:r w:rsidRPr="00EE1BFF">
        <w:t>povinen</w:t>
      </w:r>
      <w:r>
        <w:t xml:space="preserve"> </w:t>
      </w:r>
      <w:r w:rsidRPr="00EE1BFF">
        <w:t>ministerstvu</w:t>
      </w:r>
      <w:r>
        <w:t xml:space="preserve"> </w:t>
      </w:r>
      <w:r w:rsidRPr="00EE1BFF">
        <w:t>zaslat</w:t>
      </w:r>
      <w:r>
        <w:t xml:space="preserve"> </w:t>
      </w:r>
      <w:r w:rsidRPr="00EE1BFF">
        <w:t>nejpozději</w:t>
      </w:r>
      <w:r>
        <w:t xml:space="preserve"> </w:t>
      </w:r>
      <w:r w:rsidRPr="00EE1BFF">
        <w:t>do</w:t>
      </w:r>
      <w:r>
        <w:t xml:space="preserve"> </w:t>
      </w:r>
      <w:r w:rsidRPr="00EE1BFF">
        <w:t>6</w:t>
      </w:r>
      <w:r>
        <w:t xml:space="preserve"> </w:t>
      </w:r>
      <w:r w:rsidRPr="00EE1BFF">
        <w:t>měsíců</w:t>
      </w:r>
      <w:r>
        <w:t xml:space="preserve"> </w:t>
      </w:r>
      <w:r w:rsidRPr="00EE1BFF">
        <w:t>od</w:t>
      </w:r>
      <w:r>
        <w:t xml:space="preserve"> </w:t>
      </w:r>
      <w:r w:rsidRPr="00EE1BFF">
        <w:t>skončení</w:t>
      </w:r>
      <w:r>
        <w:t xml:space="preserve"> </w:t>
      </w:r>
      <w:r w:rsidRPr="00EE1BFF">
        <w:t>ověřovaného</w:t>
      </w:r>
      <w:r>
        <w:t xml:space="preserve"> </w:t>
      </w:r>
      <w:r w:rsidRPr="00EE1BFF">
        <w:t>období.</w:t>
      </w:r>
    </w:p>
    <w:p w14:paraId="6560041A" w14:textId="77777777" w:rsidR="00C62C41" w:rsidRDefault="00C62C41" w:rsidP="009876EF">
      <w:pPr>
        <w:pStyle w:val="Textparagrafu"/>
        <w:numPr>
          <w:ilvl w:val="0"/>
          <w:numId w:val="27"/>
        </w:numPr>
        <w:tabs>
          <w:tab w:val="left" w:pos="392"/>
          <w:tab w:val="left" w:pos="840"/>
        </w:tabs>
        <w:spacing w:before="120" w:after="120"/>
        <w:ind w:firstLine="425"/>
      </w:pPr>
      <w:r w:rsidRPr="00EE1BFF">
        <w:t>(4)</w:t>
      </w:r>
      <w:r>
        <w:t xml:space="preserve"> </w:t>
      </w:r>
      <w:r w:rsidRPr="00EE1BFF">
        <w:t>Výrobci</w:t>
      </w:r>
      <w:r>
        <w:t xml:space="preserve"> </w:t>
      </w:r>
      <w:r w:rsidRPr="00EE1BFF">
        <w:t>jsou</w:t>
      </w:r>
      <w:r>
        <w:t xml:space="preserve"> </w:t>
      </w:r>
      <w:r w:rsidRPr="00EE1BFF">
        <w:t>povinni</w:t>
      </w:r>
      <w:r>
        <w:t xml:space="preserve"> </w:t>
      </w:r>
      <w:r w:rsidRPr="00EE1BFF">
        <w:t>poskytnout</w:t>
      </w:r>
      <w:r>
        <w:t xml:space="preserve"> </w:t>
      </w:r>
      <w:r w:rsidRPr="00EE1BFF">
        <w:t>provozovateli</w:t>
      </w:r>
      <w:r>
        <w:t xml:space="preserve"> </w:t>
      </w:r>
      <w:r w:rsidRPr="00EE1BFF">
        <w:t>kolektivního</w:t>
      </w:r>
      <w:r>
        <w:t xml:space="preserve"> </w:t>
      </w:r>
      <w:r w:rsidRPr="00EE1BFF">
        <w:t>systému</w:t>
      </w:r>
      <w:r>
        <w:t xml:space="preserve"> </w:t>
      </w:r>
      <w:r w:rsidRPr="00EE1BFF">
        <w:t>nezbytnou</w:t>
      </w:r>
      <w:r>
        <w:t xml:space="preserve"> </w:t>
      </w:r>
      <w:r w:rsidRPr="00EE1BFF">
        <w:t>součinnost</w:t>
      </w:r>
      <w:r>
        <w:t xml:space="preserve"> </w:t>
      </w:r>
      <w:r w:rsidRPr="00EE1BFF">
        <w:t>za</w:t>
      </w:r>
      <w:r>
        <w:t xml:space="preserve"> </w:t>
      </w:r>
      <w:r w:rsidRPr="00EE1BFF">
        <w:t>účelem</w:t>
      </w:r>
      <w:r>
        <w:t xml:space="preserve"> </w:t>
      </w:r>
      <w:r w:rsidRPr="00EE1BFF">
        <w:t>splnění</w:t>
      </w:r>
      <w:r>
        <w:t xml:space="preserve"> </w:t>
      </w:r>
      <w:r w:rsidRPr="00EE1BFF">
        <w:t>jeho</w:t>
      </w:r>
      <w:r>
        <w:t xml:space="preserve"> </w:t>
      </w:r>
      <w:r w:rsidRPr="00EE1BFF">
        <w:t>povinnosti</w:t>
      </w:r>
      <w:r>
        <w:t xml:space="preserve"> </w:t>
      </w:r>
      <w:r w:rsidRPr="00EE1BFF">
        <w:t>stanovené</w:t>
      </w:r>
      <w:r>
        <w:t xml:space="preserve"> </w:t>
      </w:r>
      <w:r w:rsidRPr="00EE1BFF">
        <w:t>v</w:t>
      </w:r>
      <w:r>
        <w:t xml:space="preserve"> </w:t>
      </w:r>
      <w:r w:rsidRPr="00EE1BFF">
        <w:t>odstavci</w:t>
      </w:r>
      <w:r>
        <w:t xml:space="preserve"> </w:t>
      </w:r>
      <w:r w:rsidRPr="00EE1BFF">
        <w:t>2.</w:t>
      </w:r>
    </w:p>
    <w:p w14:paraId="2F8A47F7" w14:textId="77777777" w:rsidR="00C62C41" w:rsidRPr="00EE1BFF" w:rsidRDefault="00C62C41" w:rsidP="009876EF">
      <w:pPr>
        <w:pStyle w:val="Textparagrafu"/>
        <w:numPr>
          <w:ilvl w:val="0"/>
          <w:numId w:val="27"/>
        </w:numPr>
        <w:tabs>
          <w:tab w:val="left" w:pos="392"/>
          <w:tab w:val="left" w:pos="840"/>
        </w:tabs>
        <w:spacing w:before="120" w:after="120"/>
        <w:ind w:firstLine="425"/>
      </w:pPr>
      <w:r w:rsidRPr="00EE1BFF">
        <w:t>(5)</w:t>
      </w:r>
      <w:r>
        <w:t xml:space="preserve"> </w:t>
      </w:r>
      <w:r w:rsidRPr="00EE1BFF">
        <w:t>Ministerstvo</w:t>
      </w:r>
      <w:r>
        <w:t xml:space="preserve"> </w:t>
      </w:r>
      <w:r w:rsidRPr="00EE1BFF">
        <w:t>stanoví</w:t>
      </w:r>
      <w:r>
        <w:t xml:space="preserve"> </w:t>
      </w:r>
      <w:r w:rsidRPr="00EE1BFF">
        <w:t>vyhláškou</w:t>
      </w:r>
      <w:r>
        <w:t xml:space="preserve"> </w:t>
      </w:r>
      <w:r w:rsidRPr="00EE1BFF">
        <w:t>minimální</w:t>
      </w:r>
      <w:r>
        <w:t xml:space="preserve"> </w:t>
      </w:r>
      <w:r w:rsidRPr="00EE1BFF">
        <w:t>rozsah</w:t>
      </w:r>
      <w:r>
        <w:t xml:space="preserve"> </w:t>
      </w:r>
      <w:r w:rsidRPr="00EE1BFF">
        <w:t>ověření</w:t>
      </w:r>
      <w:r>
        <w:t xml:space="preserve"> </w:t>
      </w:r>
      <w:r w:rsidRPr="00EE1BFF">
        <w:t>podle</w:t>
      </w:r>
      <w:r>
        <w:t xml:space="preserve"> </w:t>
      </w:r>
      <w:r w:rsidRPr="00EE1BFF">
        <w:t>odstavce</w:t>
      </w:r>
      <w:r>
        <w:t xml:space="preserve"> </w:t>
      </w:r>
      <w:r w:rsidRPr="00EE1BFF">
        <w:t>2</w:t>
      </w:r>
      <w:r>
        <w:t xml:space="preserve"> </w:t>
      </w:r>
      <w:r w:rsidRPr="00EE1BFF">
        <w:t>písm.</w:t>
      </w:r>
      <w:r>
        <w:t xml:space="preserve"> </w:t>
      </w:r>
      <w:r w:rsidRPr="00EE1BFF">
        <w:t>a).</w:t>
      </w:r>
    </w:p>
    <w:p w14:paraId="66F7A57F" w14:textId="77777777" w:rsidR="00C62C41" w:rsidRDefault="00C62C41" w:rsidP="00C62C41">
      <w:pPr>
        <w:tabs>
          <w:tab w:val="left" w:pos="851"/>
        </w:tabs>
        <w:spacing w:before="120" w:after="120"/>
        <w:ind w:firstLine="0"/>
        <w:outlineLvl w:val="0"/>
        <w:sectPr w:rsidR="00C62C41" w:rsidSect="00554E2B">
          <w:footnotePr>
            <w:numStart w:val="3"/>
          </w:footnotePr>
          <w:endnotePr>
            <w:numFmt w:val="decimal"/>
          </w:endnotePr>
          <w:pgSz w:w="11906" w:h="16838"/>
          <w:pgMar w:top="1418" w:right="1418" w:bottom="1418" w:left="1418" w:header="709" w:footer="709" w:gutter="0"/>
          <w:cols w:space="708"/>
          <w:docGrid w:linePitch="360"/>
        </w:sectPr>
      </w:pPr>
    </w:p>
    <w:p w14:paraId="4594E003" w14:textId="0594AB24" w:rsidR="00C62C41" w:rsidRPr="00890477" w:rsidRDefault="00C62C41" w:rsidP="00C62C41">
      <w:pPr>
        <w:tabs>
          <w:tab w:val="left" w:pos="851"/>
        </w:tabs>
        <w:spacing w:before="120" w:after="120"/>
        <w:ind w:firstLine="0"/>
        <w:outlineLvl w:val="0"/>
        <w:rPr>
          <w:szCs w:val="24"/>
        </w:rPr>
      </w:pPr>
      <w:r w:rsidRPr="00890477">
        <w:rPr>
          <w:b/>
          <w:szCs w:val="24"/>
        </w:rPr>
        <w:lastRenderedPageBreak/>
        <w:t xml:space="preserve">K části sté dvacáté </w:t>
      </w:r>
      <w:r w:rsidR="003058E0">
        <w:rPr>
          <w:b/>
          <w:szCs w:val="24"/>
        </w:rPr>
        <w:t>osmé</w:t>
      </w:r>
      <w:r w:rsidRPr="00890477">
        <w:rPr>
          <w:b/>
          <w:szCs w:val="24"/>
        </w:rPr>
        <w:t xml:space="preserve"> návrhu zákona – </w:t>
      </w:r>
      <w:r w:rsidRPr="00890477">
        <w:rPr>
          <w:szCs w:val="24"/>
        </w:rPr>
        <w:t>změna zákona</w:t>
      </w:r>
      <w:r w:rsidRPr="00890477">
        <w:t xml:space="preserve"> </w:t>
      </w:r>
      <w:r w:rsidRPr="00890477">
        <w:rPr>
          <w:szCs w:val="24"/>
        </w:rPr>
        <w:t>o preventivní restrukturalizaci</w:t>
      </w:r>
    </w:p>
    <w:p w14:paraId="7B62BBFC" w14:textId="77777777" w:rsidR="00C62C41" w:rsidRPr="00890477" w:rsidRDefault="00C62C41" w:rsidP="00C62C41">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890477">
        <w:rPr>
          <w:b/>
          <w:szCs w:val="24"/>
        </w:rPr>
        <w:t>Platné znění</w:t>
      </w:r>
      <w:r w:rsidRPr="00890477">
        <w:rPr>
          <w:szCs w:val="24"/>
        </w:rPr>
        <w:t xml:space="preserve"> zákona č. 284/2023 Sb., o preventivní restrukturalizaci</w:t>
      </w:r>
    </w:p>
    <w:p w14:paraId="669FCF1E" w14:textId="77777777" w:rsidR="009876EF" w:rsidRPr="009876EF" w:rsidRDefault="009876EF" w:rsidP="009876EF">
      <w:pPr>
        <w:pStyle w:val="Odstavecseseznamem"/>
        <w:numPr>
          <w:ilvl w:val="0"/>
          <w:numId w:val="27"/>
        </w:numPr>
        <w:pBdr>
          <w:top w:val="single" w:sz="12" w:space="6" w:color="auto"/>
          <w:left w:val="single" w:sz="12" w:space="0" w:color="auto"/>
          <w:bottom w:val="single" w:sz="12" w:space="6" w:color="auto"/>
          <w:right w:val="single" w:sz="12" w:space="0" w:color="auto"/>
        </w:pBdr>
        <w:spacing w:after="120"/>
        <w:jc w:val="center"/>
        <w:rPr>
          <w:b/>
          <w:szCs w:val="24"/>
          <w:lang w:eastAsia="en-US"/>
        </w:rPr>
      </w:pPr>
      <w:r w:rsidRPr="009876EF">
        <w:rPr>
          <w:b/>
          <w:szCs w:val="24"/>
          <w:lang w:eastAsia="en-US"/>
        </w:rPr>
        <w:t>s vyznačením navrhovaných změn a doplnění k 1. lednu 2025</w:t>
      </w:r>
      <w:r w:rsidRPr="00181A4A">
        <w:t xml:space="preserve"> </w:t>
      </w:r>
    </w:p>
    <w:p w14:paraId="1D4C64E1" w14:textId="77777777" w:rsidR="00C62C41" w:rsidRPr="00890477" w:rsidRDefault="00C62C41" w:rsidP="00C62C41">
      <w:pPr>
        <w:pStyle w:val="Textparagrafu"/>
        <w:numPr>
          <w:ilvl w:val="0"/>
          <w:numId w:val="27"/>
        </w:numPr>
        <w:tabs>
          <w:tab w:val="left" w:pos="392"/>
          <w:tab w:val="left" w:pos="840"/>
        </w:tabs>
        <w:spacing w:after="120"/>
        <w:jc w:val="center"/>
      </w:pPr>
      <w:r w:rsidRPr="00890477">
        <w:t>***</w:t>
      </w:r>
    </w:p>
    <w:p w14:paraId="6BF0159B" w14:textId="77777777" w:rsidR="0067176F" w:rsidRDefault="0067176F" w:rsidP="0067176F">
      <w:pPr>
        <w:pStyle w:val="Textparagrafu"/>
        <w:numPr>
          <w:ilvl w:val="0"/>
          <w:numId w:val="27"/>
        </w:numPr>
        <w:tabs>
          <w:tab w:val="left" w:pos="392"/>
          <w:tab w:val="left" w:pos="840"/>
        </w:tabs>
        <w:spacing w:after="120"/>
        <w:jc w:val="center"/>
      </w:pPr>
      <w:r w:rsidRPr="00E5345D">
        <w:t>§</w:t>
      </w:r>
      <w:r>
        <w:t xml:space="preserve"> </w:t>
      </w:r>
      <w:r w:rsidRPr="00E5345D">
        <w:t>9</w:t>
      </w:r>
    </w:p>
    <w:p w14:paraId="7479CA20" w14:textId="77777777" w:rsidR="0067176F" w:rsidRPr="00CC301E" w:rsidRDefault="0067176F" w:rsidP="0067176F">
      <w:pPr>
        <w:pStyle w:val="Textparagrafu"/>
        <w:numPr>
          <w:ilvl w:val="0"/>
          <w:numId w:val="27"/>
        </w:numPr>
        <w:tabs>
          <w:tab w:val="left" w:pos="392"/>
          <w:tab w:val="left" w:pos="840"/>
        </w:tabs>
        <w:spacing w:after="120"/>
        <w:jc w:val="center"/>
        <w:rPr>
          <w:b/>
        </w:rPr>
      </w:pPr>
      <w:r w:rsidRPr="00CC301E">
        <w:rPr>
          <w:b/>
        </w:rPr>
        <w:t>Náležitosti sanačního projektu</w:t>
      </w:r>
    </w:p>
    <w:p w14:paraId="7F4C2056" w14:textId="77777777" w:rsidR="0067176F" w:rsidRDefault="0067176F" w:rsidP="0067176F">
      <w:pPr>
        <w:pStyle w:val="Textparagrafu"/>
        <w:numPr>
          <w:ilvl w:val="0"/>
          <w:numId w:val="27"/>
        </w:numPr>
        <w:tabs>
          <w:tab w:val="left" w:pos="392"/>
          <w:tab w:val="left" w:pos="840"/>
        </w:tabs>
        <w:spacing w:after="120"/>
        <w:ind w:firstLine="426"/>
      </w:pPr>
      <w:r w:rsidRPr="00E5345D">
        <w:t>(1)</w:t>
      </w:r>
      <w:r>
        <w:t xml:space="preserve"> </w:t>
      </w:r>
      <w:r w:rsidRPr="00E5345D">
        <w:t>Sanační</w:t>
      </w:r>
      <w:r>
        <w:t xml:space="preserve"> </w:t>
      </w:r>
      <w:r w:rsidRPr="00E5345D">
        <w:t>projekt</w:t>
      </w:r>
      <w:r>
        <w:t xml:space="preserve"> </w:t>
      </w:r>
      <w:r w:rsidRPr="00E5345D">
        <w:t>musí</w:t>
      </w:r>
      <w:r>
        <w:t xml:space="preserve"> </w:t>
      </w:r>
      <w:r w:rsidRPr="00E5345D">
        <w:t>obsahovat</w:t>
      </w:r>
    </w:p>
    <w:p w14:paraId="2681870B" w14:textId="77777777" w:rsidR="0067176F" w:rsidRDefault="0067176F" w:rsidP="003058E0">
      <w:pPr>
        <w:pStyle w:val="Textparagrafu"/>
        <w:numPr>
          <w:ilvl w:val="0"/>
          <w:numId w:val="27"/>
        </w:numPr>
        <w:tabs>
          <w:tab w:val="left" w:pos="392"/>
          <w:tab w:val="left" w:pos="840"/>
        </w:tabs>
        <w:spacing w:before="0"/>
        <w:ind w:left="426" w:hanging="426"/>
      </w:pPr>
      <w:r w:rsidRPr="00E5345D">
        <w:t>a)</w:t>
      </w:r>
      <w:r>
        <w:tab/>
      </w:r>
      <w:r w:rsidRPr="00E5345D">
        <w:t>popis</w:t>
      </w:r>
      <w:r>
        <w:t xml:space="preserve"> </w:t>
      </w:r>
      <w:r w:rsidRPr="00E5345D">
        <w:t>obchodního</w:t>
      </w:r>
      <w:r>
        <w:t xml:space="preserve"> </w:t>
      </w:r>
      <w:r w:rsidRPr="00E5345D">
        <w:t>modelu,</w:t>
      </w:r>
    </w:p>
    <w:p w14:paraId="522677F4" w14:textId="77777777" w:rsidR="0067176F" w:rsidRDefault="0067176F" w:rsidP="003058E0">
      <w:pPr>
        <w:pStyle w:val="Textparagrafu"/>
        <w:numPr>
          <w:ilvl w:val="0"/>
          <w:numId w:val="27"/>
        </w:numPr>
        <w:tabs>
          <w:tab w:val="left" w:pos="392"/>
          <w:tab w:val="left" w:pos="840"/>
        </w:tabs>
        <w:spacing w:before="0"/>
        <w:ind w:left="426" w:hanging="426"/>
      </w:pPr>
      <w:r w:rsidRPr="00E5345D">
        <w:t>b)</w:t>
      </w:r>
      <w:r>
        <w:tab/>
      </w:r>
      <w:r w:rsidRPr="00E5345D">
        <w:t>zhodnocení</w:t>
      </w:r>
      <w:r>
        <w:t xml:space="preserve"> </w:t>
      </w:r>
      <w:r w:rsidRPr="00E5345D">
        <w:t>dosavadní</w:t>
      </w:r>
      <w:r>
        <w:t xml:space="preserve"> </w:t>
      </w:r>
      <w:r w:rsidRPr="00E5345D">
        <w:t>činnosti</w:t>
      </w:r>
      <w:r>
        <w:t xml:space="preserve"> </w:t>
      </w:r>
      <w:r w:rsidRPr="00E5345D">
        <w:t>podnikatele,</w:t>
      </w:r>
      <w:r>
        <w:t xml:space="preserve"> </w:t>
      </w:r>
      <w:r w:rsidRPr="00E5345D">
        <w:t>konkurenceschopnosti</w:t>
      </w:r>
      <w:r>
        <w:t xml:space="preserve"> </w:t>
      </w:r>
      <w:r w:rsidRPr="00E5345D">
        <w:t>a</w:t>
      </w:r>
      <w:r>
        <w:t xml:space="preserve"> </w:t>
      </w:r>
      <w:r w:rsidRPr="00E5345D">
        <w:t>hospodářského</w:t>
      </w:r>
      <w:r>
        <w:t xml:space="preserve"> </w:t>
      </w:r>
      <w:r w:rsidRPr="00E5345D">
        <w:t>postavení</w:t>
      </w:r>
      <w:r>
        <w:t xml:space="preserve"> </w:t>
      </w:r>
      <w:r w:rsidRPr="00E5345D">
        <w:t>na</w:t>
      </w:r>
      <w:r>
        <w:t xml:space="preserve"> </w:t>
      </w:r>
      <w:r w:rsidRPr="00E5345D">
        <w:t>relevantním</w:t>
      </w:r>
      <w:r>
        <w:t xml:space="preserve"> </w:t>
      </w:r>
      <w:r w:rsidRPr="00E5345D">
        <w:t>trhu,</w:t>
      </w:r>
    </w:p>
    <w:p w14:paraId="28D4A602" w14:textId="77777777" w:rsidR="0067176F" w:rsidRDefault="0067176F" w:rsidP="003058E0">
      <w:pPr>
        <w:pStyle w:val="Textparagrafu"/>
        <w:numPr>
          <w:ilvl w:val="0"/>
          <w:numId w:val="27"/>
        </w:numPr>
        <w:tabs>
          <w:tab w:val="left" w:pos="392"/>
          <w:tab w:val="left" w:pos="840"/>
        </w:tabs>
        <w:spacing w:before="0"/>
        <w:ind w:left="426" w:hanging="426"/>
      </w:pPr>
      <w:r w:rsidRPr="00E5345D">
        <w:t>c)</w:t>
      </w:r>
      <w:r>
        <w:tab/>
      </w:r>
      <w:r w:rsidRPr="00E5345D">
        <w:t>popis</w:t>
      </w:r>
      <w:r>
        <w:t xml:space="preserve"> </w:t>
      </w:r>
      <w:r w:rsidRPr="00E5345D">
        <w:t>vlastnické</w:t>
      </w:r>
      <w:r>
        <w:t xml:space="preserve"> </w:t>
      </w:r>
      <w:r w:rsidRPr="00E5345D">
        <w:t>struktury</w:t>
      </w:r>
      <w:r>
        <w:t xml:space="preserve"> </w:t>
      </w:r>
      <w:r w:rsidRPr="00E5345D">
        <w:t>s</w:t>
      </w:r>
      <w:r>
        <w:t xml:space="preserve"> </w:t>
      </w:r>
      <w:r w:rsidRPr="00E5345D">
        <w:t>uvedením</w:t>
      </w:r>
      <w:r>
        <w:t xml:space="preserve"> </w:t>
      </w:r>
      <w:r w:rsidRPr="00E5345D">
        <w:t>skutečného</w:t>
      </w:r>
      <w:r>
        <w:t xml:space="preserve"> </w:t>
      </w:r>
      <w:r w:rsidRPr="00E5345D">
        <w:t>majitele</w:t>
      </w:r>
      <w:r>
        <w:t xml:space="preserve"> </w:t>
      </w:r>
      <w:r w:rsidRPr="00E5345D">
        <w:t>podnikatele,</w:t>
      </w:r>
      <w:r>
        <w:t xml:space="preserve"> </w:t>
      </w:r>
      <w:r w:rsidRPr="00E5345D">
        <w:t>pokud</w:t>
      </w:r>
      <w:r>
        <w:t xml:space="preserve"> </w:t>
      </w:r>
      <w:r w:rsidRPr="00E5345D">
        <w:t>jej</w:t>
      </w:r>
      <w:r>
        <w:t xml:space="preserve"> </w:t>
      </w:r>
      <w:r w:rsidRPr="00E5345D">
        <w:t>má</w:t>
      </w:r>
      <w:r>
        <w:t xml:space="preserve"> </w:t>
      </w:r>
      <w:r w:rsidRPr="00E5345D">
        <w:t>podle</w:t>
      </w:r>
      <w:r>
        <w:t xml:space="preserve"> </w:t>
      </w:r>
      <w:r w:rsidRPr="00E5345D">
        <w:t>zákona</w:t>
      </w:r>
      <w:r>
        <w:t xml:space="preserve"> </w:t>
      </w:r>
      <w:r w:rsidRPr="00E5345D">
        <w:t>upravujícího</w:t>
      </w:r>
      <w:r>
        <w:t xml:space="preserve"> </w:t>
      </w:r>
      <w:r w:rsidRPr="00E5345D">
        <w:t>evidenci</w:t>
      </w:r>
      <w:r>
        <w:t xml:space="preserve"> </w:t>
      </w:r>
      <w:r w:rsidRPr="00E5345D">
        <w:t>skutečných</w:t>
      </w:r>
      <w:r>
        <w:t xml:space="preserve"> </w:t>
      </w:r>
      <w:r w:rsidRPr="00E5345D">
        <w:t>majitelů,</w:t>
      </w:r>
    </w:p>
    <w:p w14:paraId="00F15074" w14:textId="77777777" w:rsidR="0067176F" w:rsidRDefault="0067176F" w:rsidP="003058E0">
      <w:pPr>
        <w:pStyle w:val="Textparagrafu"/>
        <w:numPr>
          <w:ilvl w:val="0"/>
          <w:numId w:val="27"/>
        </w:numPr>
        <w:tabs>
          <w:tab w:val="left" w:pos="392"/>
          <w:tab w:val="left" w:pos="840"/>
        </w:tabs>
        <w:spacing w:before="0"/>
        <w:ind w:left="426" w:hanging="426"/>
      </w:pPr>
      <w:r w:rsidRPr="00E5345D">
        <w:t>d)</w:t>
      </w:r>
      <w:r>
        <w:tab/>
      </w:r>
      <w:r w:rsidRPr="00E5345D">
        <w:t>popis</w:t>
      </w:r>
      <w:r>
        <w:t xml:space="preserve"> </w:t>
      </w:r>
      <w:r w:rsidRPr="00E5345D">
        <w:t>provozních,</w:t>
      </w:r>
      <w:r>
        <w:t xml:space="preserve"> </w:t>
      </w:r>
      <w:r w:rsidRPr="00E5345D">
        <w:t>finančních,</w:t>
      </w:r>
      <w:r>
        <w:t xml:space="preserve"> </w:t>
      </w:r>
      <w:r w:rsidRPr="00E5345D">
        <w:t>personálních</w:t>
      </w:r>
      <w:r>
        <w:t xml:space="preserve"> </w:t>
      </w:r>
      <w:r w:rsidRPr="00E5345D">
        <w:t>a</w:t>
      </w:r>
      <w:r>
        <w:t xml:space="preserve"> </w:t>
      </w:r>
      <w:r w:rsidRPr="00E5345D">
        <w:t>organizačních</w:t>
      </w:r>
      <w:r>
        <w:t xml:space="preserve"> </w:t>
      </w:r>
      <w:r w:rsidRPr="00E5345D">
        <w:t>poměrů</w:t>
      </w:r>
      <w:r>
        <w:t xml:space="preserve"> </w:t>
      </w:r>
      <w:r w:rsidRPr="00E5345D">
        <w:t>podnikatele,</w:t>
      </w:r>
    </w:p>
    <w:p w14:paraId="44A82EAF" w14:textId="77777777" w:rsidR="0067176F" w:rsidRDefault="0067176F" w:rsidP="003058E0">
      <w:pPr>
        <w:pStyle w:val="Textparagrafu"/>
        <w:numPr>
          <w:ilvl w:val="0"/>
          <w:numId w:val="27"/>
        </w:numPr>
        <w:tabs>
          <w:tab w:val="left" w:pos="392"/>
          <w:tab w:val="left" w:pos="840"/>
        </w:tabs>
        <w:spacing w:before="0"/>
        <w:ind w:left="426" w:hanging="426"/>
      </w:pPr>
      <w:r w:rsidRPr="00E5345D">
        <w:t>e)</w:t>
      </w:r>
      <w:r>
        <w:tab/>
      </w:r>
      <w:r w:rsidRPr="00E5345D">
        <w:t>údaje</w:t>
      </w:r>
      <w:r>
        <w:t xml:space="preserve"> </w:t>
      </w:r>
      <w:r w:rsidRPr="00E5345D">
        <w:t>v</w:t>
      </w:r>
      <w:r>
        <w:t xml:space="preserve"> </w:t>
      </w:r>
      <w:r w:rsidRPr="00E5345D">
        <w:t>rozsahu</w:t>
      </w:r>
      <w:r>
        <w:t xml:space="preserve"> </w:t>
      </w:r>
      <w:r w:rsidRPr="00E5345D">
        <w:t>zprávy</w:t>
      </w:r>
      <w:r>
        <w:t xml:space="preserve"> </w:t>
      </w:r>
      <w:r w:rsidRPr="00E5345D">
        <w:t>o</w:t>
      </w:r>
      <w:r>
        <w:t xml:space="preserve"> </w:t>
      </w:r>
      <w:r w:rsidRPr="00E5345D">
        <w:t>vztazích</w:t>
      </w:r>
      <w:r>
        <w:t xml:space="preserve"> </w:t>
      </w:r>
      <w:r w:rsidRPr="00E5345D">
        <w:t>podle</w:t>
      </w:r>
      <w:r>
        <w:t xml:space="preserve"> </w:t>
      </w:r>
      <w:r w:rsidRPr="00E5345D">
        <w:t>zákona</w:t>
      </w:r>
      <w:r>
        <w:t xml:space="preserve"> </w:t>
      </w:r>
      <w:r w:rsidRPr="00E5345D">
        <w:t>o</w:t>
      </w:r>
      <w:r>
        <w:t xml:space="preserve"> </w:t>
      </w:r>
      <w:r w:rsidRPr="00E5345D">
        <w:t>obchodních</w:t>
      </w:r>
      <w:r>
        <w:t xml:space="preserve"> </w:t>
      </w:r>
      <w:r w:rsidRPr="00E5345D">
        <w:t>korporacích</w:t>
      </w:r>
      <w:r>
        <w:t xml:space="preserve"> </w:t>
      </w:r>
      <w:r w:rsidRPr="00E5345D">
        <w:t>ke</w:t>
      </w:r>
      <w:r>
        <w:t xml:space="preserve"> </w:t>
      </w:r>
      <w:r w:rsidRPr="00E5345D">
        <w:t>dni</w:t>
      </w:r>
      <w:r>
        <w:t xml:space="preserve"> </w:t>
      </w:r>
      <w:r w:rsidRPr="00E5345D">
        <w:t>sestavení</w:t>
      </w:r>
      <w:r>
        <w:t xml:space="preserve"> </w:t>
      </w:r>
      <w:r w:rsidRPr="00E5345D">
        <w:t>sanačního</w:t>
      </w:r>
      <w:r>
        <w:t xml:space="preserve"> </w:t>
      </w:r>
      <w:r w:rsidRPr="00E5345D">
        <w:t>projektu,</w:t>
      </w:r>
    </w:p>
    <w:p w14:paraId="0313C06D" w14:textId="77777777" w:rsidR="0067176F" w:rsidRDefault="0067176F" w:rsidP="003058E0">
      <w:pPr>
        <w:pStyle w:val="Textparagrafu"/>
        <w:numPr>
          <w:ilvl w:val="0"/>
          <w:numId w:val="27"/>
        </w:numPr>
        <w:tabs>
          <w:tab w:val="left" w:pos="392"/>
          <w:tab w:val="left" w:pos="840"/>
        </w:tabs>
        <w:spacing w:before="0"/>
        <w:ind w:left="426" w:hanging="426"/>
      </w:pPr>
      <w:r w:rsidRPr="00E5345D">
        <w:t>f)</w:t>
      </w:r>
      <w:r>
        <w:tab/>
      </w:r>
      <w:r w:rsidRPr="00E5345D">
        <w:t>popis</w:t>
      </w:r>
      <w:r>
        <w:t xml:space="preserve"> </w:t>
      </w:r>
      <w:r w:rsidRPr="00E5345D">
        <w:t>příčin</w:t>
      </w:r>
      <w:r>
        <w:t xml:space="preserve"> </w:t>
      </w:r>
      <w:r w:rsidRPr="00E5345D">
        <w:t>a</w:t>
      </w:r>
      <w:r>
        <w:t xml:space="preserve"> </w:t>
      </w:r>
      <w:r w:rsidRPr="00E5345D">
        <w:t>závažnosti</w:t>
      </w:r>
      <w:r>
        <w:t xml:space="preserve"> </w:t>
      </w:r>
      <w:r w:rsidRPr="00E5345D">
        <w:t>finančních</w:t>
      </w:r>
      <w:r>
        <w:t xml:space="preserve"> </w:t>
      </w:r>
      <w:r w:rsidRPr="00E5345D">
        <w:t>potíží</w:t>
      </w:r>
      <w:r>
        <w:t xml:space="preserve"> </w:t>
      </w:r>
      <w:r w:rsidRPr="00E5345D">
        <w:t>podnikatele,</w:t>
      </w:r>
    </w:p>
    <w:p w14:paraId="27C9D42A" w14:textId="77777777" w:rsidR="0067176F" w:rsidRDefault="0067176F" w:rsidP="003058E0">
      <w:pPr>
        <w:pStyle w:val="Textparagrafu"/>
        <w:numPr>
          <w:ilvl w:val="0"/>
          <w:numId w:val="27"/>
        </w:numPr>
        <w:tabs>
          <w:tab w:val="left" w:pos="392"/>
          <w:tab w:val="left" w:pos="840"/>
        </w:tabs>
        <w:spacing w:before="0"/>
        <w:ind w:left="426" w:hanging="426"/>
      </w:pPr>
      <w:r w:rsidRPr="00E5345D">
        <w:t>g)</w:t>
      </w:r>
      <w:r>
        <w:tab/>
      </w:r>
      <w:r w:rsidRPr="00E5345D">
        <w:t>popis</w:t>
      </w:r>
      <w:r>
        <w:t xml:space="preserve"> </w:t>
      </w:r>
      <w:r w:rsidRPr="00E5345D">
        <w:t>hlavních</w:t>
      </w:r>
      <w:r>
        <w:t xml:space="preserve"> </w:t>
      </w:r>
      <w:r w:rsidRPr="00E5345D">
        <w:t>rizik,</w:t>
      </w:r>
      <w:r>
        <w:t xml:space="preserve"> </w:t>
      </w:r>
      <w:r w:rsidRPr="00E5345D">
        <w:t>překážek</w:t>
      </w:r>
      <w:r>
        <w:t xml:space="preserve"> </w:t>
      </w:r>
      <w:r w:rsidRPr="00E5345D">
        <w:t>a</w:t>
      </w:r>
      <w:r>
        <w:t xml:space="preserve"> </w:t>
      </w:r>
      <w:r w:rsidRPr="00E5345D">
        <w:t>podmínek</w:t>
      </w:r>
      <w:r>
        <w:t xml:space="preserve"> </w:t>
      </w:r>
      <w:r w:rsidRPr="00E5345D">
        <w:t>dalšího</w:t>
      </w:r>
      <w:r>
        <w:t xml:space="preserve"> </w:t>
      </w:r>
      <w:r w:rsidRPr="00E5345D">
        <w:t>řádného</w:t>
      </w:r>
      <w:r>
        <w:t xml:space="preserve"> </w:t>
      </w:r>
      <w:r w:rsidRPr="00E5345D">
        <w:t>provozu</w:t>
      </w:r>
      <w:r>
        <w:t xml:space="preserve"> </w:t>
      </w:r>
      <w:r w:rsidRPr="00E5345D">
        <w:t>závodu,</w:t>
      </w:r>
    </w:p>
    <w:p w14:paraId="04DD1C71" w14:textId="77777777" w:rsidR="0067176F" w:rsidRDefault="0067176F" w:rsidP="003058E0">
      <w:pPr>
        <w:pStyle w:val="Textparagrafu"/>
        <w:numPr>
          <w:ilvl w:val="0"/>
          <w:numId w:val="27"/>
        </w:numPr>
        <w:tabs>
          <w:tab w:val="left" w:pos="392"/>
          <w:tab w:val="left" w:pos="840"/>
        </w:tabs>
        <w:spacing w:before="0"/>
        <w:ind w:left="426" w:hanging="426"/>
      </w:pPr>
      <w:r w:rsidRPr="00E5345D">
        <w:t>h)</w:t>
      </w:r>
      <w:r>
        <w:tab/>
      </w:r>
      <w:r w:rsidRPr="00E5345D">
        <w:t>odhad</w:t>
      </w:r>
      <w:r>
        <w:t xml:space="preserve"> </w:t>
      </w:r>
      <w:r w:rsidRPr="00E5345D">
        <w:t>hodnoty</w:t>
      </w:r>
      <w:r>
        <w:t xml:space="preserve"> </w:t>
      </w:r>
      <w:r w:rsidRPr="00E5345D">
        <w:t>závodu</w:t>
      </w:r>
      <w:r>
        <w:t xml:space="preserve"> </w:t>
      </w:r>
      <w:r w:rsidRPr="00E5345D">
        <w:t>určené</w:t>
      </w:r>
      <w:r>
        <w:t xml:space="preserve"> </w:t>
      </w:r>
      <w:r w:rsidRPr="00E5345D">
        <w:t>výnosovým</w:t>
      </w:r>
      <w:r>
        <w:t xml:space="preserve"> </w:t>
      </w:r>
      <w:r w:rsidRPr="00E5345D">
        <w:t>způsobem</w:t>
      </w:r>
      <w:r>
        <w:t xml:space="preserve"> </w:t>
      </w:r>
      <w:r w:rsidRPr="00E5345D">
        <w:t>podle</w:t>
      </w:r>
      <w:r>
        <w:t xml:space="preserve"> </w:t>
      </w:r>
      <w:r w:rsidRPr="00E5345D">
        <w:t>zákona</w:t>
      </w:r>
      <w:r>
        <w:t xml:space="preserve"> </w:t>
      </w:r>
      <w:r w:rsidRPr="00E5345D">
        <w:t>o</w:t>
      </w:r>
      <w:r>
        <w:t xml:space="preserve"> </w:t>
      </w:r>
      <w:r w:rsidRPr="00E5345D">
        <w:t>oceňování</w:t>
      </w:r>
      <w:r>
        <w:t xml:space="preserve"> </w:t>
      </w:r>
      <w:r w:rsidRPr="00E5345D">
        <w:t>majetku</w:t>
      </w:r>
      <w:r>
        <w:t xml:space="preserve"> </w:t>
      </w:r>
      <w:r w:rsidRPr="00E5345D">
        <w:t>a</w:t>
      </w:r>
      <w:r>
        <w:t xml:space="preserve"> </w:t>
      </w:r>
      <w:r w:rsidRPr="00E5345D">
        <w:t>odhad</w:t>
      </w:r>
      <w:r>
        <w:t xml:space="preserve"> </w:t>
      </w:r>
      <w:r w:rsidRPr="00E5345D">
        <w:t>hodnoty</w:t>
      </w:r>
      <w:r>
        <w:t xml:space="preserve"> </w:t>
      </w:r>
      <w:r w:rsidRPr="00E5345D">
        <w:t>každého</w:t>
      </w:r>
      <w:r>
        <w:t xml:space="preserve"> </w:t>
      </w:r>
      <w:r w:rsidRPr="00E5345D">
        <w:t>předmětu</w:t>
      </w:r>
      <w:r>
        <w:t xml:space="preserve"> </w:t>
      </w:r>
      <w:r w:rsidRPr="00E5345D">
        <w:t>zajištění,</w:t>
      </w:r>
      <w:r>
        <w:t xml:space="preserve"> </w:t>
      </w:r>
      <w:r w:rsidRPr="00E5345D">
        <w:t>u</w:t>
      </w:r>
      <w:r>
        <w:t xml:space="preserve"> </w:t>
      </w:r>
      <w:r w:rsidRPr="00E5345D">
        <w:t>něhož</w:t>
      </w:r>
      <w:r>
        <w:t xml:space="preserve"> </w:t>
      </w:r>
      <w:r w:rsidRPr="00E5345D">
        <w:t>je</w:t>
      </w:r>
      <w:r>
        <w:t xml:space="preserve"> </w:t>
      </w:r>
      <w:r w:rsidRPr="00E5345D">
        <w:t>zajištěným</w:t>
      </w:r>
      <w:r>
        <w:t xml:space="preserve"> </w:t>
      </w:r>
      <w:r w:rsidRPr="00E5345D">
        <w:t>věřitelem</w:t>
      </w:r>
      <w:r>
        <w:t xml:space="preserve"> </w:t>
      </w:r>
      <w:r w:rsidRPr="00E5345D">
        <w:t>dotčená</w:t>
      </w:r>
      <w:r>
        <w:t xml:space="preserve"> </w:t>
      </w:r>
      <w:r w:rsidRPr="00E5345D">
        <w:t>strana,</w:t>
      </w:r>
      <w:r>
        <w:t xml:space="preserve"> </w:t>
      </w:r>
      <w:r w:rsidRPr="00E5345D">
        <w:t>určené</w:t>
      </w:r>
      <w:r>
        <w:t xml:space="preserve"> </w:t>
      </w:r>
      <w:r w:rsidRPr="00E5345D">
        <w:t>způsobem</w:t>
      </w:r>
      <w:r>
        <w:t xml:space="preserve"> </w:t>
      </w:r>
      <w:r w:rsidRPr="00E5345D">
        <w:t>předepsaným</w:t>
      </w:r>
      <w:r>
        <w:t xml:space="preserve"> </w:t>
      </w:r>
      <w:r w:rsidRPr="00E5345D">
        <w:t>pro</w:t>
      </w:r>
      <w:r>
        <w:t xml:space="preserve"> </w:t>
      </w:r>
      <w:r w:rsidRPr="00E5345D">
        <w:t>daný</w:t>
      </w:r>
      <w:r>
        <w:t xml:space="preserve"> </w:t>
      </w:r>
      <w:r w:rsidRPr="00E5345D">
        <w:t>předmět</w:t>
      </w:r>
      <w:r>
        <w:t xml:space="preserve"> </w:t>
      </w:r>
      <w:r w:rsidRPr="00E5345D">
        <w:t>zajištění</w:t>
      </w:r>
      <w:r>
        <w:t xml:space="preserve"> </w:t>
      </w:r>
      <w:r w:rsidRPr="00E5345D">
        <w:t>podle</w:t>
      </w:r>
      <w:r>
        <w:t xml:space="preserve"> </w:t>
      </w:r>
      <w:r w:rsidRPr="00E5345D">
        <w:t>zákona</w:t>
      </w:r>
      <w:r>
        <w:t xml:space="preserve"> </w:t>
      </w:r>
      <w:r w:rsidRPr="00E5345D">
        <w:t>o</w:t>
      </w:r>
      <w:r>
        <w:t xml:space="preserve"> </w:t>
      </w:r>
      <w:r w:rsidRPr="00E5345D">
        <w:t>oceňování</w:t>
      </w:r>
      <w:r>
        <w:t xml:space="preserve"> </w:t>
      </w:r>
      <w:r w:rsidRPr="00E5345D">
        <w:t>majetku,</w:t>
      </w:r>
    </w:p>
    <w:p w14:paraId="3198C29D" w14:textId="77777777" w:rsidR="0067176F" w:rsidRDefault="0067176F" w:rsidP="003058E0">
      <w:pPr>
        <w:pStyle w:val="Textparagrafu"/>
        <w:numPr>
          <w:ilvl w:val="0"/>
          <w:numId w:val="27"/>
        </w:numPr>
        <w:tabs>
          <w:tab w:val="left" w:pos="392"/>
          <w:tab w:val="left" w:pos="840"/>
        </w:tabs>
        <w:spacing w:before="0"/>
        <w:ind w:left="426" w:hanging="426"/>
      </w:pPr>
      <w:r w:rsidRPr="00E5345D">
        <w:t>i)</w:t>
      </w:r>
      <w:r>
        <w:tab/>
      </w:r>
      <w:r w:rsidRPr="00E5345D">
        <w:t>údaj</w:t>
      </w:r>
      <w:r>
        <w:t xml:space="preserve"> </w:t>
      </w:r>
      <w:r w:rsidRPr="00E5345D">
        <w:t>o</w:t>
      </w:r>
      <w:r>
        <w:t xml:space="preserve"> </w:t>
      </w:r>
      <w:r w:rsidRPr="00E5345D">
        <w:t>místní</w:t>
      </w:r>
      <w:r>
        <w:t xml:space="preserve"> </w:t>
      </w:r>
      <w:r w:rsidRPr="00E5345D">
        <w:t>příslušnosti</w:t>
      </w:r>
      <w:r>
        <w:t xml:space="preserve"> </w:t>
      </w:r>
      <w:r w:rsidRPr="00E5345D">
        <w:t>restrukturalizačního</w:t>
      </w:r>
      <w:r>
        <w:t xml:space="preserve"> </w:t>
      </w:r>
      <w:r w:rsidRPr="00E5345D">
        <w:t>soudu</w:t>
      </w:r>
      <w:r>
        <w:t xml:space="preserve"> </w:t>
      </w:r>
      <w:r w:rsidRPr="00E5345D">
        <w:t>pro</w:t>
      </w:r>
      <w:r>
        <w:t xml:space="preserve"> </w:t>
      </w:r>
      <w:r w:rsidRPr="00E5345D">
        <w:t>účel</w:t>
      </w:r>
      <w:r>
        <w:t xml:space="preserve"> </w:t>
      </w:r>
      <w:r w:rsidRPr="00E5345D">
        <w:t>vedení</w:t>
      </w:r>
      <w:r>
        <w:t xml:space="preserve"> </w:t>
      </w:r>
      <w:r w:rsidRPr="00E5345D">
        <w:t>restrukturalizačního</w:t>
      </w:r>
      <w:r>
        <w:t xml:space="preserve"> </w:t>
      </w:r>
      <w:r w:rsidRPr="00E5345D">
        <w:t>řízení</w:t>
      </w:r>
      <w:r>
        <w:t xml:space="preserve"> </w:t>
      </w:r>
      <w:r w:rsidRPr="00E5345D">
        <w:t>a</w:t>
      </w:r>
    </w:p>
    <w:p w14:paraId="4C6ED747" w14:textId="77777777" w:rsidR="0067176F" w:rsidRDefault="0067176F" w:rsidP="003058E0">
      <w:pPr>
        <w:pStyle w:val="Textparagrafu"/>
        <w:numPr>
          <w:ilvl w:val="0"/>
          <w:numId w:val="27"/>
        </w:numPr>
        <w:tabs>
          <w:tab w:val="left" w:pos="392"/>
          <w:tab w:val="left" w:pos="840"/>
        </w:tabs>
        <w:spacing w:before="0"/>
        <w:ind w:left="426" w:hanging="426"/>
      </w:pPr>
      <w:r w:rsidRPr="00E5345D">
        <w:t>j)</w:t>
      </w:r>
      <w:r>
        <w:tab/>
      </w:r>
      <w:r w:rsidRPr="00E5345D">
        <w:t>další</w:t>
      </w:r>
      <w:r>
        <w:t xml:space="preserve"> </w:t>
      </w:r>
      <w:r w:rsidRPr="00E5345D">
        <w:t>informace</w:t>
      </w:r>
      <w:r>
        <w:t xml:space="preserve"> </w:t>
      </w:r>
      <w:r w:rsidRPr="00E5345D">
        <w:t>finanční</w:t>
      </w:r>
      <w:r>
        <w:t xml:space="preserve"> </w:t>
      </w:r>
      <w:r w:rsidRPr="00E5345D">
        <w:t>i</w:t>
      </w:r>
      <w:r>
        <w:t xml:space="preserve"> </w:t>
      </w:r>
      <w:r w:rsidRPr="00E5345D">
        <w:t>nefinanční</w:t>
      </w:r>
      <w:r>
        <w:t xml:space="preserve"> </w:t>
      </w:r>
      <w:r w:rsidRPr="00E5345D">
        <w:t>povahy</w:t>
      </w:r>
      <w:r>
        <w:t xml:space="preserve"> </w:t>
      </w:r>
      <w:r w:rsidRPr="00E5345D">
        <w:t>umožňující</w:t>
      </w:r>
      <w:r>
        <w:t xml:space="preserve"> </w:t>
      </w:r>
      <w:r w:rsidRPr="00E5345D">
        <w:t>objektivní</w:t>
      </w:r>
      <w:r>
        <w:t xml:space="preserve"> </w:t>
      </w:r>
      <w:r w:rsidRPr="00E5345D">
        <w:t>a</w:t>
      </w:r>
      <w:r>
        <w:t xml:space="preserve"> </w:t>
      </w:r>
      <w:r w:rsidRPr="00E5345D">
        <w:t>vyvážené</w:t>
      </w:r>
      <w:r>
        <w:t xml:space="preserve"> </w:t>
      </w:r>
      <w:r w:rsidRPr="00E5345D">
        <w:t>pochopení</w:t>
      </w:r>
      <w:r>
        <w:t xml:space="preserve"> </w:t>
      </w:r>
      <w:r w:rsidRPr="00E5345D">
        <w:t>stavu</w:t>
      </w:r>
      <w:r>
        <w:t xml:space="preserve"> </w:t>
      </w:r>
      <w:r w:rsidRPr="00E5345D">
        <w:t>a</w:t>
      </w:r>
      <w:r>
        <w:t xml:space="preserve"> </w:t>
      </w:r>
      <w:r w:rsidRPr="00E5345D">
        <w:t>realistického</w:t>
      </w:r>
      <w:r>
        <w:t xml:space="preserve"> </w:t>
      </w:r>
      <w:r w:rsidRPr="00E5345D">
        <w:t>předpokladu</w:t>
      </w:r>
      <w:r>
        <w:t xml:space="preserve"> </w:t>
      </w:r>
      <w:r w:rsidRPr="00E5345D">
        <w:t>dalšího</w:t>
      </w:r>
      <w:r>
        <w:t xml:space="preserve"> </w:t>
      </w:r>
      <w:r w:rsidRPr="00E5345D">
        <w:t>provozu</w:t>
      </w:r>
      <w:r>
        <w:t xml:space="preserve"> </w:t>
      </w:r>
      <w:r w:rsidRPr="00E5345D">
        <w:t>závodu</w:t>
      </w:r>
      <w:r>
        <w:t xml:space="preserve"> </w:t>
      </w:r>
      <w:r w:rsidRPr="00E5345D">
        <w:t>podnikatele.</w:t>
      </w:r>
    </w:p>
    <w:p w14:paraId="53459B41" w14:textId="77777777" w:rsidR="0067176F" w:rsidRDefault="0067176F" w:rsidP="0067176F">
      <w:pPr>
        <w:pStyle w:val="Textparagrafu"/>
        <w:numPr>
          <w:ilvl w:val="0"/>
          <w:numId w:val="27"/>
        </w:numPr>
        <w:tabs>
          <w:tab w:val="left" w:pos="392"/>
          <w:tab w:val="left" w:pos="840"/>
        </w:tabs>
        <w:spacing w:after="120"/>
        <w:ind w:firstLine="426"/>
      </w:pPr>
      <w:r w:rsidRPr="00E5345D">
        <w:t>(2)</w:t>
      </w:r>
      <w:r>
        <w:t xml:space="preserve"> </w:t>
      </w:r>
      <w:r w:rsidRPr="00E5345D">
        <w:t>Sanační</w:t>
      </w:r>
      <w:r>
        <w:t xml:space="preserve"> </w:t>
      </w:r>
      <w:r w:rsidRPr="00E5345D">
        <w:t>projekt</w:t>
      </w:r>
      <w:r>
        <w:t xml:space="preserve"> </w:t>
      </w:r>
      <w:r w:rsidRPr="00E5345D">
        <w:t>musí</w:t>
      </w:r>
      <w:r>
        <w:t xml:space="preserve"> </w:t>
      </w:r>
      <w:r w:rsidRPr="00E5345D">
        <w:t>dále</w:t>
      </w:r>
      <w:r>
        <w:t xml:space="preserve"> </w:t>
      </w:r>
      <w:r w:rsidRPr="00E5345D">
        <w:t>obsahovat</w:t>
      </w:r>
    </w:p>
    <w:p w14:paraId="3061EC00" w14:textId="77777777" w:rsidR="0067176F" w:rsidRDefault="0067176F" w:rsidP="003058E0">
      <w:pPr>
        <w:pStyle w:val="Textparagrafu"/>
        <w:numPr>
          <w:ilvl w:val="0"/>
          <w:numId w:val="27"/>
        </w:numPr>
        <w:tabs>
          <w:tab w:val="left" w:pos="392"/>
          <w:tab w:val="left" w:pos="840"/>
        </w:tabs>
        <w:spacing w:before="0"/>
        <w:ind w:left="426" w:hanging="426"/>
      </w:pPr>
      <w:r w:rsidRPr="00E5345D">
        <w:t>a)</w:t>
      </w:r>
      <w:r>
        <w:tab/>
      </w:r>
      <w:r w:rsidRPr="00E5345D">
        <w:t>popis</w:t>
      </w:r>
      <w:r>
        <w:t xml:space="preserve"> </w:t>
      </w:r>
      <w:r w:rsidRPr="00E5345D">
        <w:t>opatření</w:t>
      </w:r>
      <w:r>
        <w:t xml:space="preserve"> </w:t>
      </w:r>
      <w:r w:rsidRPr="00E5345D">
        <w:t>v</w:t>
      </w:r>
      <w:r>
        <w:t xml:space="preserve"> </w:t>
      </w:r>
      <w:r w:rsidRPr="00E5345D">
        <w:t>oblasti</w:t>
      </w:r>
      <w:r>
        <w:t xml:space="preserve"> </w:t>
      </w:r>
      <w:r w:rsidRPr="00E5345D">
        <w:t>kapitálu</w:t>
      </w:r>
      <w:r>
        <w:t xml:space="preserve"> </w:t>
      </w:r>
      <w:r w:rsidRPr="00E5345D">
        <w:t>a</w:t>
      </w:r>
      <w:r>
        <w:t xml:space="preserve"> </w:t>
      </w:r>
      <w:r w:rsidRPr="00E5345D">
        <w:t>likvidity</w:t>
      </w:r>
      <w:r>
        <w:t xml:space="preserve"> </w:t>
      </w:r>
      <w:r w:rsidRPr="00E5345D">
        <w:t>nutných</w:t>
      </w:r>
      <w:r>
        <w:t xml:space="preserve"> </w:t>
      </w:r>
      <w:r w:rsidRPr="00E5345D">
        <w:t>k</w:t>
      </w:r>
      <w:r>
        <w:t xml:space="preserve"> </w:t>
      </w:r>
      <w:r w:rsidRPr="00E5345D">
        <w:t>udržování</w:t>
      </w:r>
      <w:r>
        <w:t xml:space="preserve"> </w:t>
      </w:r>
      <w:r w:rsidRPr="00E5345D">
        <w:t>nebo</w:t>
      </w:r>
      <w:r>
        <w:t xml:space="preserve"> </w:t>
      </w:r>
      <w:r w:rsidRPr="00E5345D">
        <w:t>obnovení</w:t>
      </w:r>
      <w:r>
        <w:t xml:space="preserve"> </w:t>
      </w:r>
      <w:r w:rsidRPr="00E5345D">
        <w:t>zdravé</w:t>
      </w:r>
      <w:r>
        <w:t xml:space="preserve"> </w:t>
      </w:r>
      <w:r w:rsidRPr="00E5345D">
        <w:t>finanční</w:t>
      </w:r>
      <w:r>
        <w:t xml:space="preserve"> </w:t>
      </w:r>
      <w:r w:rsidRPr="00E5345D">
        <w:t>situace</w:t>
      </w:r>
      <w:r>
        <w:t xml:space="preserve"> </w:t>
      </w:r>
      <w:r w:rsidRPr="00E5345D">
        <w:t>podnikatele</w:t>
      </w:r>
      <w:r>
        <w:t xml:space="preserve"> </w:t>
      </w:r>
      <w:r w:rsidRPr="00E5345D">
        <w:t>včetně</w:t>
      </w:r>
      <w:r>
        <w:t xml:space="preserve"> </w:t>
      </w:r>
      <w:r w:rsidRPr="00E5345D">
        <w:t>předpokládaných</w:t>
      </w:r>
      <w:r>
        <w:t xml:space="preserve"> </w:t>
      </w:r>
      <w:r w:rsidRPr="00E5345D">
        <w:t>zdrojů</w:t>
      </w:r>
      <w:r>
        <w:t xml:space="preserve"> </w:t>
      </w:r>
      <w:r w:rsidRPr="00E5345D">
        <w:t>financování,</w:t>
      </w:r>
    </w:p>
    <w:p w14:paraId="37A7783E" w14:textId="77777777" w:rsidR="0067176F" w:rsidRDefault="0067176F" w:rsidP="003058E0">
      <w:pPr>
        <w:pStyle w:val="Textparagrafu"/>
        <w:numPr>
          <w:ilvl w:val="0"/>
          <w:numId w:val="27"/>
        </w:numPr>
        <w:tabs>
          <w:tab w:val="left" w:pos="392"/>
          <w:tab w:val="left" w:pos="840"/>
        </w:tabs>
        <w:spacing w:before="0"/>
        <w:ind w:left="426" w:hanging="426"/>
      </w:pPr>
      <w:r w:rsidRPr="00E5345D">
        <w:t>b)</w:t>
      </w:r>
      <w:r>
        <w:tab/>
      </w:r>
      <w:r w:rsidRPr="00E5345D">
        <w:t>popis</w:t>
      </w:r>
      <w:r>
        <w:t xml:space="preserve"> </w:t>
      </w:r>
      <w:r w:rsidRPr="00E5345D">
        <w:t>přípravných</w:t>
      </w:r>
      <w:r>
        <w:t xml:space="preserve"> </w:t>
      </w:r>
      <w:r w:rsidRPr="00E5345D">
        <w:t>opatření,</w:t>
      </w:r>
      <w:r>
        <w:t xml:space="preserve"> </w:t>
      </w:r>
      <w:r w:rsidRPr="00E5345D">
        <w:t>která</w:t>
      </w:r>
      <w:r>
        <w:t xml:space="preserve"> </w:t>
      </w:r>
      <w:r w:rsidRPr="00E5345D">
        <w:t>podnikatel</w:t>
      </w:r>
      <w:r>
        <w:t xml:space="preserve"> </w:t>
      </w:r>
      <w:r w:rsidRPr="00E5345D">
        <w:t>přijal</w:t>
      </w:r>
      <w:r>
        <w:t xml:space="preserve"> </w:t>
      </w:r>
      <w:r w:rsidRPr="00E5345D">
        <w:t>nebo</w:t>
      </w:r>
      <w:r>
        <w:t xml:space="preserve"> </w:t>
      </w:r>
      <w:r w:rsidRPr="00E5345D">
        <w:t>hodlá</w:t>
      </w:r>
      <w:r>
        <w:t xml:space="preserve"> </w:t>
      </w:r>
      <w:r w:rsidRPr="00E5345D">
        <w:t>přijmout</w:t>
      </w:r>
      <w:r>
        <w:t xml:space="preserve"> </w:t>
      </w:r>
      <w:r w:rsidRPr="00E5345D">
        <w:t>s</w:t>
      </w:r>
      <w:r>
        <w:t xml:space="preserve"> </w:t>
      </w:r>
      <w:r w:rsidRPr="00E5345D">
        <w:t>cílem</w:t>
      </w:r>
      <w:r>
        <w:t xml:space="preserve"> </w:t>
      </w:r>
      <w:r w:rsidRPr="00E5345D">
        <w:t>usnadnit</w:t>
      </w:r>
      <w:r>
        <w:t xml:space="preserve"> </w:t>
      </w:r>
      <w:r w:rsidRPr="00E5345D">
        <w:t>provádění</w:t>
      </w:r>
      <w:r>
        <w:t xml:space="preserve"> </w:t>
      </w:r>
      <w:r w:rsidRPr="00E5345D">
        <w:t>restrukturalizačního</w:t>
      </w:r>
      <w:r>
        <w:t xml:space="preserve"> </w:t>
      </w:r>
      <w:r w:rsidRPr="00E5345D">
        <w:t>plánu,</w:t>
      </w:r>
      <w:r>
        <w:t xml:space="preserve"> </w:t>
      </w:r>
      <w:r w:rsidRPr="00E5345D">
        <w:t>a</w:t>
      </w:r>
      <w:r>
        <w:t xml:space="preserve"> </w:t>
      </w:r>
      <w:r w:rsidRPr="00E5345D">
        <w:t>předpokládané</w:t>
      </w:r>
      <w:r>
        <w:t xml:space="preserve"> </w:t>
      </w:r>
      <w:r w:rsidRPr="00E5345D">
        <w:t>dopady</w:t>
      </w:r>
      <w:r>
        <w:t xml:space="preserve"> </w:t>
      </w:r>
      <w:r w:rsidRPr="00E5345D">
        <w:t>těchto</w:t>
      </w:r>
      <w:r>
        <w:t xml:space="preserve"> </w:t>
      </w:r>
      <w:r w:rsidRPr="00E5345D">
        <w:t>opatření</w:t>
      </w:r>
      <w:r>
        <w:t xml:space="preserve"> </w:t>
      </w:r>
      <w:r w:rsidRPr="00E5345D">
        <w:t>na</w:t>
      </w:r>
      <w:r>
        <w:t xml:space="preserve"> </w:t>
      </w:r>
      <w:r w:rsidRPr="00E5345D">
        <w:t>dotčené</w:t>
      </w:r>
      <w:r>
        <w:t xml:space="preserve"> </w:t>
      </w:r>
      <w:r w:rsidRPr="00E5345D">
        <w:t>a</w:t>
      </w:r>
      <w:r>
        <w:t xml:space="preserve"> </w:t>
      </w:r>
      <w:r w:rsidRPr="00E5345D">
        <w:t>nedotčené</w:t>
      </w:r>
      <w:r>
        <w:t xml:space="preserve"> </w:t>
      </w:r>
      <w:r w:rsidRPr="00E5345D">
        <w:t>strany,</w:t>
      </w:r>
    </w:p>
    <w:p w14:paraId="2EBCBDDD" w14:textId="77777777" w:rsidR="0067176F" w:rsidRDefault="0067176F" w:rsidP="003058E0">
      <w:pPr>
        <w:pStyle w:val="Textparagrafu"/>
        <w:numPr>
          <w:ilvl w:val="0"/>
          <w:numId w:val="27"/>
        </w:numPr>
        <w:tabs>
          <w:tab w:val="left" w:pos="392"/>
          <w:tab w:val="left" w:pos="840"/>
        </w:tabs>
        <w:spacing w:before="0"/>
        <w:ind w:left="426" w:hanging="426"/>
      </w:pPr>
      <w:r w:rsidRPr="00E5345D">
        <w:t>c)</w:t>
      </w:r>
      <w:r>
        <w:tab/>
      </w:r>
      <w:r w:rsidRPr="00E5345D">
        <w:t>popis</w:t>
      </w:r>
      <w:r>
        <w:t xml:space="preserve"> </w:t>
      </w:r>
      <w:r w:rsidRPr="00E5345D">
        <w:t>přípravných</w:t>
      </w:r>
      <w:r>
        <w:t xml:space="preserve"> </w:t>
      </w:r>
      <w:r w:rsidRPr="00E5345D">
        <w:t>opatření,</w:t>
      </w:r>
      <w:r>
        <w:t xml:space="preserve"> </w:t>
      </w:r>
      <w:r w:rsidRPr="00E5345D">
        <w:t>která</w:t>
      </w:r>
      <w:r>
        <w:t xml:space="preserve"> </w:t>
      </w:r>
      <w:r w:rsidRPr="00E5345D">
        <w:t>podnikatel</w:t>
      </w:r>
      <w:r>
        <w:t xml:space="preserve"> </w:t>
      </w:r>
      <w:r w:rsidRPr="00E5345D">
        <w:t>přijal</w:t>
      </w:r>
      <w:r>
        <w:t xml:space="preserve"> </w:t>
      </w:r>
      <w:r w:rsidRPr="00E5345D">
        <w:t>nebo</w:t>
      </w:r>
      <w:r>
        <w:t xml:space="preserve"> </w:t>
      </w:r>
      <w:r w:rsidRPr="00E5345D">
        <w:t>hodlá</w:t>
      </w:r>
      <w:r>
        <w:t xml:space="preserve"> </w:t>
      </w:r>
      <w:r w:rsidRPr="00E5345D">
        <w:t>přijmout</w:t>
      </w:r>
      <w:r>
        <w:t xml:space="preserve"> </w:t>
      </w:r>
      <w:r w:rsidRPr="00E5345D">
        <w:t>v</w:t>
      </w:r>
      <w:r>
        <w:t xml:space="preserve"> </w:t>
      </w:r>
      <w:r w:rsidRPr="00E5345D">
        <w:t>oblasti</w:t>
      </w:r>
      <w:r>
        <w:t xml:space="preserve"> </w:t>
      </w:r>
      <w:r w:rsidRPr="00E5345D">
        <w:t>finančního</w:t>
      </w:r>
      <w:r>
        <w:t xml:space="preserve"> </w:t>
      </w:r>
      <w:r w:rsidRPr="00E5345D">
        <w:t>řízení</w:t>
      </w:r>
      <w:r>
        <w:t xml:space="preserve"> </w:t>
      </w:r>
      <w:r w:rsidRPr="00E5345D">
        <w:t>k</w:t>
      </w:r>
      <w:r>
        <w:t xml:space="preserve"> </w:t>
      </w:r>
      <w:r w:rsidRPr="00E5345D">
        <w:t>včasnému</w:t>
      </w:r>
      <w:r>
        <w:t xml:space="preserve"> </w:t>
      </w:r>
      <w:r w:rsidRPr="00E5345D">
        <w:t>zajištění</w:t>
      </w:r>
      <w:r>
        <w:t xml:space="preserve"> </w:t>
      </w:r>
      <w:r w:rsidRPr="00E5345D">
        <w:t>likvidity</w:t>
      </w:r>
      <w:r>
        <w:t xml:space="preserve"> </w:t>
      </w:r>
      <w:r w:rsidRPr="00E5345D">
        <w:t>k</w:t>
      </w:r>
      <w:r>
        <w:t xml:space="preserve"> </w:t>
      </w:r>
      <w:r w:rsidRPr="00E5345D">
        <w:t>provozu</w:t>
      </w:r>
      <w:r>
        <w:t xml:space="preserve"> </w:t>
      </w:r>
      <w:r w:rsidRPr="00E5345D">
        <w:t>závodu,</w:t>
      </w:r>
    </w:p>
    <w:p w14:paraId="19CC8AE0" w14:textId="77777777" w:rsidR="0067176F" w:rsidRDefault="0067176F" w:rsidP="003058E0">
      <w:pPr>
        <w:pStyle w:val="Textparagrafu"/>
        <w:numPr>
          <w:ilvl w:val="0"/>
          <w:numId w:val="27"/>
        </w:numPr>
        <w:tabs>
          <w:tab w:val="left" w:pos="392"/>
          <w:tab w:val="left" w:pos="840"/>
        </w:tabs>
        <w:spacing w:before="0"/>
        <w:ind w:left="426" w:hanging="426"/>
      </w:pPr>
      <w:r w:rsidRPr="00E5345D">
        <w:t>d)</w:t>
      </w:r>
      <w:r>
        <w:tab/>
      </w:r>
      <w:r w:rsidRPr="00E5345D">
        <w:t>finanční</w:t>
      </w:r>
      <w:r>
        <w:t xml:space="preserve"> </w:t>
      </w:r>
      <w:r w:rsidRPr="00E5345D">
        <w:t>plán</w:t>
      </w:r>
      <w:r>
        <w:t xml:space="preserve"> </w:t>
      </w:r>
      <w:r w:rsidRPr="00E5345D">
        <w:t>na</w:t>
      </w:r>
      <w:r>
        <w:t xml:space="preserve"> </w:t>
      </w:r>
      <w:r w:rsidRPr="00E5345D">
        <w:t>období</w:t>
      </w:r>
      <w:r>
        <w:t xml:space="preserve"> </w:t>
      </w:r>
      <w:r w:rsidRPr="00E5345D">
        <w:t>do</w:t>
      </w:r>
      <w:r>
        <w:t xml:space="preserve"> </w:t>
      </w:r>
      <w:r w:rsidRPr="00E5345D">
        <w:t>předpokládaného</w:t>
      </w:r>
      <w:r>
        <w:t xml:space="preserve"> </w:t>
      </w:r>
      <w:r w:rsidRPr="00E5345D">
        <w:t>dne</w:t>
      </w:r>
      <w:r>
        <w:t xml:space="preserve"> </w:t>
      </w:r>
      <w:r w:rsidRPr="00E5345D">
        <w:t>splnění</w:t>
      </w:r>
      <w:r>
        <w:t xml:space="preserve"> </w:t>
      </w:r>
      <w:r w:rsidRPr="00E5345D">
        <w:t>restrukturalizačního</w:t>
      </w:r>
      <w:r>
        <w:t xml:space="preserve"> </w:t>
      </w:r>
      <w:r w:rsidRPr="00E5345D">
        <w:t>plánu</w:t>
      </w:r>
      <w:r>
        <w:t xml:space="preserve"> </w:t>
      </w:r>
      <w:r w:rsidRPr="00E5345D">
        <w:t>zpracovaný</w:t>
      </w:r>
      <w:r>
        <w:t xml:space="preserve"> </w:t>
      </w:r>
      <w:r w:rsidRPr="00E5345D">
        <w:t>obdobným</w:t>
      </w:r>
      <w:r>
        <w:t xml:space="preserve"> </w:t>
      </w:r>
      <w:r w:rsidRPr="00E5345D">
        <w:t>způsobem</w:t>
      </w:r>
      <w:r>
        <w:t xml:space="preserve"> </w:t>
      </w:r>
      <w:r w:rsidRPr="00E5345D">
        <w:t>jako</w:t>
      </w:r>
      <w:r>
        <w:t xml:space="preserve"> </w:t>
      </w:r>
      <w:r w:rsidRPr="00E5345D">
        <w:t>výhled</w:t>
      </w:r>
      <w:r>
        <w:t xml:space="preserve"> </w:t>
      </w:r>
      <w:r w:rsidRPr="00E5345D">
        <w:t>vývoje</w:t>
      </w:r>
      <w:r>
        <w:t xml:space="preserve"> </w:t>
      </w:r>
      <w:r w:rsidRPr="00E5345D">
        <w:t>likvidity</w:t>
      </w:r>
      <w:r>
        <w:t xml:space="preserve"> </w:t>
      </w:r>
      <w:r w:rsidRPr="00E5345D">
        <w:t>podle</w:t>
      </w:r>
      <w:r>
        <w:t xml:space="preserve"> </w:t>
      </w:r>
      <w:r w:rsidRPr="00E5345D">
        <w:t>vyhlášky</w:t>
      </w:r>
      <w:r>
        <w:t xml:space="preserve"> </w:t>
      </w:r>
      <w:r w:rsidRPr="00E5345D">
        <w:t>o</w:t>
      </w:r>
      <w:r>
        <w:t xml:space="preserve"> </w:t>
      </w:r>
      <w:r w:rsidRPr="00E5345D">
        <w:t>platební</w:t>
      </w:r>
      <w:r>
        <w:t xml:space="preserve"> </w:t>
      </w:r>
      <w:r w:rsidRPr="00E5345D">
        <w:t>neschopnosti</w:t>
      </w:r>
      <w:r>
        <w:t xml:space="preserve"> </w:t>
      </w:r>
      <w:r w:rsidRPr="00E5345D">
        <w:t>podnikatele,</w:t>
      </w:r>
      <w:r>
        <w:t xml:space="preserve"> </w:t>
      </w:r>
      <w:r w:rsidRPr="00E5345D">
        <w:t>jehož</w:t>
      </w:r>
      <w:r>
        <w:t xml:space="preserve"> </w:t>
      </w:r>
      <w:r w:rsidRPr="00E5345D">
        <w:t>součástí</w:t>
      </w:r>
      <w:r>
        <w:t xml:space="preserve"> </w:t>
      </w:r>
      <w:r w:rsidRPr="00E5345D">
        <w:t>je</w:t>
      </w:r>
      <w:r>
        <w:t xml:space="preserve"> </w:t>
      </w:r>
      <w:r w:rsidRPr="00E5345D">
        <w:t>plán</w:t>
      </w:r>
      <w:r>
        <w:t xml:space="preserve"> </w:t>
      </w:r>
      <w:r w:rsidRPr="00E5345D">
        <w:t>nákladů</w:t>
      </w:r>
      <w:r>
        <w:t xml:space="preserve"> </w:t>
      </w:r>
      <w:r w:rsidRPr="00E5345D">
        <w:t>provedení</w:t>
      </w:r>
      <w:r>
        <w:t xml:space="preserve"> </w:t>
      </w:r>
      <w:r w:rsidRPr="00E5345D">
        <w:t>preventivní</w:t>
      </w:r>
      <w:r>
        <w:t xml:space="preserve"> </w:t>
      </w:r>
      <w:r w:rsidRPr="00E5345D">
        <w:t>restrukturalizace,</w:t>
      </w:r>
      <w:r>
        <w:t xml:space="preserve"> </w:t>
      </w:r>
      <w:r w:rsidRPr="00E5345D">
        <w:t>a</w:t>
      </w:r>
    </w:p>
    <w:p w14:paraId="56F860B5" w14:textId="77777777" w:rsidR="0067176F" w:rsidRDefault="0067176F" w:rsidP="003058E0">
      <w:pPr>
        <w:pStyle w:val="Textparagrafu"/>
        <w:numPr>
          <w:ilvl w:val="0"/>
          <w:numId w:val="27"/>
        </w:numPr>
        <w:tabs>
          <w:tab w:val="left" w:pos="392"/>
          <w:tab w:val="left" w:pos="840"/>
        </w:tabs>
        <w:spacing w:before="0"/>
        <w:ind w:left="426" w:hanging="426"/>
      </w:pPr>
      <w:r w:rsidRPr="00E5345D">
        <w:t>e)</w:t>
      </w:r>
      <w:r>
        <w:tab/>
      </w:r>
      <w:r w:rsidRPr="00E5345D">
        <w:t>odhad</w:t>
      </w:r>
      <w:r>
        <w:t xml:space="preserve"> </w:t>
      </w:r>
      <w:r w:rsidRPr="00E5345D">
        <w:t>časového</w:t>
      </w:r>
      <w:r>
        <w:t xml:space="preserve"> </w:t>
      </w:r>
      <w:r w:rsidRPr="00E5345D">
        <w:t>rámce</w:t>
      </w:r>
      <w:r>
        <w:t xml:space="preserve"> </w:t>
      </w:r>
      <w:r w:rsidRPr="00E5345D">
        <w:t>preventivní</w:t>
      </w:r>
      <w:r>
        <w:t xml:space="preserve"> </w:t>
      </w:r>
      <w:r w:rsidRPr="00E5345D">
        <w:t>restrukturalizace,</w:t>
      </w:r>
      <w:r>
        <w:t xml:space="preserve"> </w:t>
      </w:r>
      <w:r w:rsidRPr="00E5345D">
        <w:t>zejména</w:t>
      </w:r>
      <w:r>
        <w:t xml:space="preserve"> </w:t>
      </w:r>
      <w:r w:rsidRPr="00E5345D">
        <w:t>provedení</w:t>
      </w:r>
      <w:r>
        <w:t xml:space="preserve"> </w:t>
      </w:r>
      <w:r w:rsidRPr="00E5345D">
        <w:t>podstatných</w:t>
      </w:r>
      <w:r>
        <w:t xml:space="preserve"> </w:t>
      </w:r>
      <w:r w:rsidRPr="00E5345D">
        <w:t>aspektů</w:t>
      </w:r>
      <w:r>
        <w:t xml:space="preserve"> </w:t>
      </w:r>
      <w:r w:rsidRPr="00E5345D">
        <w:t>restrukturalizačního</w:t>
      </w:r>
      <w:r>
        <w:t xml:space="preserve"> </w:t>
      </w:r>
      <w:r w:rsidRPr="00E5345D">
        <w:t>plánu</w:t>
      </w:r>
      <w:r>
        <w:t xml:space="preserve"> </w:t>
      </w:r>
      <w:r w:rsidRPr="00E5345D">
        <w:t>s</w:t>
      </w:r>
      <w:r>
        <w:t xml:space="preserve"> </w:t>
      </w:r>
      <w:r w:rsidRPr="00E5345D">
        <w:t>uvedením</w:t>
      </w:r>
      <w:r>
        <w:t xml:space="preserve"> </w:t>
      </w:r>
      <w:r w:rsidRPr="00E5345D">
        <w:t>harmonogramu</w:t>
      </w:r>
      <w:r>
        <w:t xml:space="preserve"> </w:t>
      </w:r>
      <w:r w:rsidRPr="00E5345D">
        <w:t>dosahování</w:t>
      </w:r>
      <w:r>
        <w:t xml:space="preserve"> </w:t>
      </w:r>
      <w:r w:rsidRPr="00E5345D">
        <w:t>dílčích</w:t>
      </w:r>
      <w:r>
        <w:t xml:space="preserve"> </w:t>
      </w:r>
      <w:r w:rsidRPr="00E5345D">
        <w:t>cílů.</w:t>
      </w:r>
    </w:p>
    <w:p w14:paraId="16C6C210" w14:textId="79D4F82C" w:rsidR="00C62C41" w:rsidRPr="003058E0" w:rsidRDefault="0067176F" w:rsidP="003058E0">
      <w:pPr>
        <w:pStyle w:val="Textparagrafu"/>
        <w:numPr>
          <w:ilvl w:val="0"/>
          <w:numId w:val="27"/>
        </w:numPr>
        <w:tabs>
          <w:tab w:val="left" w:pos="392"/>
          <w:tab w:val="left" w:pos="840"/>
        </w:tabs>
        <w:spacing w:after="120"/>
        <w:ind w:firstLine="426"/>
      </w:pPr>
      <w:r w:rsidRPr="00E5345D">
        <w:t>(3)</w:t>
      </w:r>
      <w:r>
        <w:t xml:space="preserve"> </w:t>
      </w:r>
      <w:r w:rsidRPr="00E5345D">
        <w:t>K</w:t>
      </w:r>
      <w:r>
        <w:t xml:space="preserve"> </w:t>
      </w:r>
      <w:r w:rsidRPr="00E5345D">
        <w:t>sanačnímu</w:t>
      </w:r>
      <w:r>
        <w:t xml:space="preserve"> </w:t>
      </w:r>
      <w:r w:rsidRPr="00E5345D">
        <w:t>projektu</w:t>
      </w:r>
      <w:r>
        <w:t xml:space="preserve"> </w:t>
      </w:r>
      <w:r w:rsidRPr="00E5345D">
        <w:t>podnikatel</w:t>
      </w:r>
      <w:r>
        <w:t xml:space="preserve"> </w:t>
      </w:r>
      <w:r w:rsidRPr="00E5345D">
        <w:t>přiloží</w:t>
      </w:r>
      <w:r>
        <w:t xml:space="preserve"> </w:t>
      </w:r>
      <w:r w:rsidR="006A08AF">
        <w:rPr>
          <w:b/>
        </w:rPr>
        <w:t xml:space="preserve">individuální </w:t>
      </w:r>
      <w:r w:rsidRPr="00E5345D">
        <w:t>mezitímní</w:t>
      </w:r>
      <w:r>
        <w:t xml:space="preserve"> </w:t>
      </w:r>
      <w:r w:rsidRPr="00E5345D">
        <w:t>účetní</w:t>
      </w:r>
      <w:r>
        <w:t xml:space="preserve"> </w:t>
      </w:r>
      <w:r w:rsidRPr="00E5345D">
        <w:t>závěrku</w:t>
      </w:r>
      <w:r>
        <w:t xml:space="preserve"> </w:t>
      </w:r>
      <w:r w:rsidRPr="00E5345D">
        <w:t>sestavenou</w:t>
      </w:r>
      <w:r>
        <w:t xml:space="preserve"> </w:t>
      </w:r>
      <w:r w:rsidRPr="00E5345D">
        <w:t>k</w:t>
      </w:r>
      <w:r>
        <w:t xml:space="preserve"> </w:t>
      </w:r>
      <w:r w:rsidRPr="00E5345D">
        <w:t>poslednímu</w:t>
      </w:r>
      <w:r>
        <w:t xml:space="preserve"> </w:t>
      </w:r>
      <w:r w:rsidRPr="00E5345D">
        <w:t>dni</w:t>
      </w:r>
      <w:r>
        <w:t xml:space="preserve"> </w:t>
      </w:r>
      <w:r w:rsidRPr="00E5345D">
        <w:t>kalendářního</w:t>
      </w:r>
      <w:r>
        <w:t xml:space="preserve"> </w:t>
      </w:r>
      <w:r w:rsidRPr="00E5345D">
        <w:t>měsíce</w:t>
      </w:r>
      <w:r>
        <w:t xml:space="preserve"> </w:t>
      </w:r>
      <w:r w:rsidRPr="00E5345D">
        <w:t>předcházejícího</w:t>
      </w:r>
      <w:r>
        <w:t xml:space="preserve"> </w:t>
      </w:r>
      <w:r w:rsidRPr="00E5345D">
        <w:t>den</w:t>
      </w:r>
      <w:r>
        <w:t xml:space="preserve"> </w:t>
      </w:r>
      <w:r w:rsidRPr="00E5345D">
        <w:t>odeslání</w:t>
      </w:r>
      <w:r>
        <w:t xml:space="preserve"> </w:t>
      </w:r>
      <w:r w:rsidRPr="00E5345D">
        <w:t>výzvy</w:t>
      </w:r>
      <w:r>
        <w:t xml:space="preserve"> </w:t>
      </w:r>
      <w:r w:rsidRPr="00E5345D">
        <w:t>k</w:t>
      </w:r>
      <w:r>
        <w:t xml:space="preserve"> </w:t>
      </w:r>
      <w:r w:rsidRPr="00E5345D">
        <w:lastRenderedPageBreak/>
        <w:t>zahájení</w:t>
      </w:r>
      <w:r>
        <w:t xml:space="preserve"> </w:t>
      </w:r>
      <w:r w:rsidRPr="00E5345D">
        <w:t>jednání</w:t>
      </w:r>
      <w:r>
        <w:t xml:space="preserve"> </w:t>
      </w:r>
      <w:r w:rsidRPr="00E5345D">
        <w:t>o</w:t>
      </w:r>
      <w:r>
        <w:t xml:space="preserve"> </w:t>
      </w:r>
      <w:r w:rsidRPr="00E5345D">
        <w:t>restrukturalizačním</w:t>
      </w:r>
      <w:r>
        <w:t xml:space="preserve"> </w:t>
      </w:r>
      <w:r w:rsidRPr="00E5345D">
        <w:t>plánu</w:t>
      </w:r>
      <w:r>
        <w:t xml:space="preserve"> </w:t>
      </w:r>
      <w:r w:rsidRPr="00E5345D">
        <w:t>a</w:t>
      </w:r>
      <w:r>
        <w:t xml:space="preserve"> </w:t>
      </w:r>
      <w:r w:rsidRPr="00E5345D">
        <w:t>dále</w:t>
      </w:r>
      <w:r>
        <w:t xml:space="preserve"> </w:t>
      </w:r>
      <w:r w:rsidRPr="00E5345D">
        <w:t>účetní</w:t>
      </w:r>
      <w:r>
        <w:t xml:space="preserve"> </w:t>
      </w:r>
      <w:r w:rsidRPr="00E5345D">
        <w:t>závěrky</w:t>
      </w:r>
      <w:r>
        <w:t xml:space="preserve"> </w:t>
      </w:r>
      <w:r w:rsidRPr="00E5345D">
        <w:t>za</w:t>
      </w:r>
      <w:r>
        <w:t xml:space="preserve"> </w:t>
      </w:r>
      <w:r w:rsidRPr="00E5345D">
        <w:t>poslední</w:t>
      </w:r>
      <w:r>
        <w:t xml:space="preserve"> </w:t>
      </w:r>
      <w:r w:rsidRPr="00E5345D">
        <w:t>3</w:t>
      </w:r>
      <w:r>
        <w:t xml:space="preserve"> </w:t>
      </w:r>
      <w:r w:rsidRPr="00E5345D">
        <w:t>účetní</w:t>
      </w:r>
      <w:r>
        <w:t xml:space="preserve"> </w:t>
      </w:r>
      <w:r w:rsidRPr="00E5345D">
        <w:t>období.</w:t>
      </w:r>
      <w:r>
        <w:t xml:space="preserve"> </w:t>
      </w:r>
      <w:r w:rsidRPr="00E5345D">
        <w:t>Je-li</w:t>
      </w:r>
      <w:r>
        <w:t xml:space="preserve"> </w:t>
      </w:r>
      <w:r w:rsidRPr="00E5345D">
        <w:t>posledním</w:t>
      </w:r>
      <w:r>
        <w:t xml:space="preserve"> </w:t>
      </w:r>
      <w:r w:rsidRPr="00E5345D">
        <w:t>dnem</w:t>
      </w:r>
      <w:r>
        <w:t xml:space="preserve"> </w:t>
      </w:r>
      <w:r w:rsidRPr="00E5345D">
        <w:t>kalendářního</w:t>
      </w:r>
      <w:r>
        <w:t xml:space="preserve"> </w:t>
      </w:r>
      <w:r w:rsidRPr="00E5345D">
        <w:t>měsíce</w:t>
      </w:r>
      <w:r>
        <w:t xml:space="preserve"> </w:t>
      </w:r>
      <w:r w:rsidRPr="00E5345D">
        <w:t>podle</w:t>
      </w:r>
      <w:r>
        <w:t xml:space="preserve"> </w:t>
      </w:r>
      <w:r w:rsidRPr="00E5345D">
        <w:t>věty</w:t>
      </w:r>
      <w:r>
        <w:t xml:space="preserve"> </w:t>
      </w:r>
      <w:r w:rsidRPr="00E5345D">
        <w:t>první</w:t>
      </w:r>
      <w:r>
        <w:t xml:space="preserve"> </w:t>
      </w:r>
      <w:r w:rsidRPr="00E5345D">
        <w:t>rozvahový</w:t>
      </w:r>
      <w:r>
        <w:t xml:space="preserve"> </w:t>
      </w:r>
      <w:r w:rsidRPr="00E5345D">
        <w:t>den,</w:t>
      </w:r>
      <w:r>
        <w:t xml:space="preserve"> </w:t>
      </w:r>
      <w:r w:rsidRPr="00E5345D">
        <w:t>přiloží</w:t>
      </w:r>
      <w:r>
        <w:t xml:space="preserve"> </w:t>
      </w:r>
      <w:r w:rsidRPr="00E5345D">
        <w:t>podnikatel</w:t>
      </w:r>
      <w:r>
        <w:t xml:space="preserve"> </w:t>
      </w:r>
      <w:r w:rsidRPr="00E5345D">
        <w:t>poslední</w:t>
      </w:r>
      <w:r>
        <w:t xml:space="preserve"> </w:t>
      </w:r>
      <w:r w:rsidRPr="00E5345D">
        <w:t>řádnou</w:t>
      </w:r>
      <w:r>
        <w:t xml:space="preserve"> </w:t>
      </w:r>
      <w:r w:rsidR="006A08AF">
        <w:rPr>
          <w:b/>
        </w:rPr>
        <w:t xml:space="preserve">individuální </w:t>
      </w:r>
      <w:r w:rsidRPr="00E5345D">
        <w:t>účetní</w:t>
      </w:r>
      <w:r>
        <w:t xml:space="preserve"> </w:t>
      </w:r>
      <w:r w:rsidRPr="00E5345D">
        <w:t>závěrku</w:t>
      </w:r>
      <w:r>
        <w:t xml:space="preserve"> </w:t>
      </w:r>
      <w:r w:rsidRPr="00E5345D">
        <w:t>a</w:t>
      </w:r>
      <w:r>
        <w:t xml:space="preserve"> </w:t>
      </w:r>
      <w:r w:rsidRPr="00E5345D">
        <w:t>dále</w:t>
      </w:r>
      <w:r>
        <w:t xml:space="preserve"> </w:t>
      </w:r>
      <w:r w:rsidR="006A08AF">
        <w:rPr>
          <w:b/>
        </w:rPr>
        <w:t xml:space="preserve">individuální </w:t>
      </w:r>
      <w:r w:rsidRPr="00E5345D">
        <w:t>účetní</w:t>
      </w:r>
      <w:r>
        <w:t xml:space="preserve"> </w:t>
      </w:r>
      <w:r w:rsidRPr="00E5345D">
        <w:t>závěrky</w:t>
      </w:r>
      <w:r>
        <w:t xml:space="preserve"> </w:t>
      </w:r>
      <w:r w:rsidRPr="00E5345D">
        <w:t>za</w:t>
      </w:r>
      <w:r>
        <w:t xml:space="preserve"> </w:t>
      </w:r>
      <w:r w:rsidRPr="00E5345D">
        <w:t>předcházející</w:t>
      </w:r>
      <w:r>
        <w:t xml:space="preserve"> </w:t>
      </w:r>
      <w:r w:rsidRPr="00E5345D">
        <w:t>2</w:t>
      </w:r>
      <w:r>
        <w:t xml:space="preserve"> </w:t>
      </w:r>
      <w:r w:rsidRPr="00E5345D">
        <w:t>účetní</w:t>
      </w:r>
      <w:r>
        <w:t xml:space="preserve"> </w:t>
      </w:r>
      <w:r w:rsidRPr="00E5345D">
        <w:t>období.</w:t>
      </w:r>
    </w:p>
    <w:p w14:paraId="620FADBC" w14:textId="77777777" w:rsidR="00C62C41" w:rsidRDefault="00C62C41" w:rsidP="00C62C41">
      <w:pPr>
        <w:tabs>
          <w:tab w:val="left" w:pos="851"/>
        </w:tabs>
        <w:spacing w:before="120" w:after="120"/>
        <w:ind w:firstLine="0"/>
        <w:outlineLvl w:val="0"/>
      </w:pPr>
    </w:p>
    <w:p w14:paraId="0E8901E8" w14:textId="77777777" w:rsidR="00C62C41" w:rsidRDefault="00C62C41" w:rsidP="00C62C41">
      <w:pPr>
        <w:tabs>
          <w:tab w:val="left" w:pos="851"/>
        </w:tabs>
        <w:spacing w:before="120" w:after="120"/>
        <w:ind w:firstLine="0"/>
        <w:outlineLvl w:val="0"/>
        <w:sectPr w:rsidR="00C62C41" w:rsidSect="00554E2B">
          <w:footnotePr>
            <w:numStart w:val="3"/>
          </w:footnotePr>
          <w:endnotePr>
            <w:numFmt w:val="decimal"/>
          </w:endnotePr>
          <w:pgSz w:w="11906" w:h="16838"/>
          <w:pgMar w:top="1418" w:right="1418" w:bottom="1418" w:left="1418" w:header="709" w:footer="709" w:gutter="0"/>
          <w:cols w:space="708"/>
          <w:docGrid w:linePitch="360"/>
        </w:sectPr>
      </w:pPr>
    </w:p>
    <w:p w14:paraId="391AD761" w14:textId="4E0FC94F" w:rsidR="00C62C41" w:rsidRPr="003058E0" w:rsidRDefault="00C62C41" w:rsidP="00541577">
      <w:pPr>
        <w:tabs>
          <w:tab w:val="left" w:pos="851"/>
        </w:tabs>
        <w:spacing w:before="120" w:after="120"/>
        <w:ind w:firstLine="0"/>
        <w:jc w:val="center"/>
        <w:outlineLvl w:val="0"/>
        <w:rPr>
          <w:szCs w:val="24"/>
        </w:rPr>
      </w:pPr>
      <w:r w:rsidRPr="003058E0">
        <w:rPr>
          <w:b/>
          <w:szCs w:val="24"/>
        </w:rPr>
        <w:lastRenderedPageBreak/>
        <w:t xml:space="preserve">K části sté dvacáté </w:t>
      </w:r>
      <w:r w:rsidR="003058E0" w:rsidRPr="003058E0">
        <w:rPr>
          <w:b/>
          <w:szCs w:val="24"/>
        </w:rPr>
        <w:t>deváté</w:t>
      </w:r>
      <w:r w:rsidRPr="003058E0">
        <w:rPr>
          <w:b/>
          <w:szCs w:val="24"/>
        </w:rPr>
        <w:t xml:space="preserve"> návrhu zákona – </w:t>
      </w:r>
      <w:r w:rsidRPr="003058E0">
        <w:rPr>
          <w:szCs w:val="24"/>
        </w:rPr>
        <w:t>změna zákona</w:t>
      </w:r>
      <w:r w:rsidRPr="003058E0">
        <w:t xml:space="preserve"> </w:t>
      </w:r>
      <w:r w:rsidRPr="003058E0">
        <w:rPr>
          <w:szCs w:val="24"/>
        </w:rPr>
        <w:t>o pojištění odpovědnosti z provozu vozidla</w:t>
      </w:r>
    </w:p>
    <w:p w14:paraId="55C5839F" w14:textId="77777777" w:rsidR="00C62C41" w:rsidRPr="003058E0" w:rsidRDefault="00C62C41" w:rsidP="00C62C41">
      <w:pPr>
        <w:pStyle w:val="Odstavecseseznamem"/>
        <w:numPr>
          <w:ilvl w:val="0"/>
          <w:numId w:val="27"/>
        </w:numPr>
        <w:pBdr>
          <w:top w:val="single" w:sz="12" w:space="6" w:color="auto"/>
          <w:left w:val="single" w:sz="12" w:space="0" w:color="auto"/>
          <w:bottom w:val="single" w:sz="12" w:space="6" w:color="auto"/>
          <w:right w:val="single" w:sz="12" w:space="0" w:color="auto"/>
        </w:pBdr>
        <w:jc w:val="center"/>
        <w:rPr>
          <w:szCs w:val="24"/>
        </w:rPr>
      </w:pPr>
      <w:r w:rsidRPr="003058E0">
        <w:rPr>
          <w:b/>
          <w:szCs w:val="24"/>
        </w:rPr>
        <w:t>Platné znění</w:t>
      </w:r>
      <w:r w:rsidRPr="003058E0">
        <w:rPr>
          <w:szCs w:val="24"/>
        </w:rPr>
        <w:t xml:space="preserve"> zákona č. 30/2024 Sb., o pojištění odpovědnosti z provozu vozidla</w:t>
      </w:r>
    </w:p>
    <w:p w14:paraId="45E0E419" w14:textId="77777777" w:rsidR="00541577" w:rsidRPr="00541577" w:rsidRDefault="00541577" w:rsidP="00541577">
      <w:pPr>
        <w:pStyle w:val="Odstavecseseznamem"/>
        <w:numPr>
          <w:ilvl w:val="0"/>
          <w:numId w:val="27"/>
        </w:numPr>
        <w:pBdr>
          <w:top w:val="single" w:sz="12" w:space="6" w:color="auto"/>
          <w:left w:val="single" w:sz="12" w:space="0" w:color="auto"/>
          <w:bottom w:val="single" w:sz="12" w:space="6" w:color="auto"/>
          <w:right w:val="single" w:sz="12" w:space="0" w:color="auto"/>
        </w:pBdr>
        <w:spacing w:after="120"/>
        <w:jc w:val="center"/>
        <w:rPr>
          <w:b/>
          <w:szCs w:val="24"/>
          <w:lang w:eastAsia="en-US"/>
        </w:rPr>
      </w:pPr>
      <w:r w:rsidRPr="00541577">
        <w:rPr>
          <w:b/>
          <w:szCs w:val="24"/>
          <w:lang w:eastAsia="en-US"/>
        </w:rPr>
        <w:t>s vyznačením navrhovaných změn a doplnění k 1. lednu 2025</w:t>
      </w:r>
      <w:r w:rsidRPr="00181A4A">
        <w:t xml:space="preserve"> </w:t>
      </w:r>
    </w:p>
    <w:p w14:paraId="1C1380FF" w14:textId="77777777" w:rsidR="00C62C41" w:rsidRPr="003058E0" w:rsidRDefault="00C62C41" w:rsidP="00C62C41">
      <w:pPr>
        <w:pStyle w:val="Textparagrafu"/>
        <w:numPr>
          <w:ilvl w:val="0"/>
          <w:numId w:val="27"/>
        </w:numPr>
        <w:tabs>
          <w:tab w:val="left" w:pos="392"/>
          <w:tab w:val="left" w:pos="840"/>
        </w:tabs>
        <w:spacing w:after="120"/>
        <w:jc w:val="center"/>
      </w:pPr>
      <w:r w:rsidRPr="003058E0">
        <w:t>***</w:t>
      </w:r>
    </w:p>
    <w:p w14:paraId="29A4E275" w14:textId="77777777" w:rsidR="003058E0" w:rsidRPr="009E199A" w:rsidRDefault="003058E0" w:rsidP="003058E0">
      <w:pPr>
        <w:pStyle w:val="Paragraf"/>
        <w:spacing w:after="120"/>
      </w:pPr>
      <w:r w:rsidRPr="009E199A">
        <w:t>§ 51</w:t>
      </w:r>
    </w:p>
    <w:p w14:paraId="35907440" w14:textId="77777777" w:rsidR="003058E0" w:rsidRPr="009E199A" w:rsidRDefault="003058E0" w:rsidP="003058E0">
      <w:pPr>
        <w:pStyle w:val="Nadpisparagrafu"/>
        <w:spacing w:after="120"/>
      </w:pPr>
      <w:r w:rsidRPr="009E199A">
        <w:t>Audit a oddělení aktiv Kanceláře</w:t>
      </w:r>
    </w:p>
    <w:p w14:paraId="01C89B9D" w14:textId="09EBE66B" w:rsidR="003058E0" w:rsidRPr="003058E0" w:rsidRDefault="003058E0" w:rsidP="00541577">
      <w:pPr>
        <w:pStyle w:val="Textodstavce"/>
        <w:ind w:firstLine="425"/>
      </w:pPr>
      <w:r>
        <w:t xml:space="preserve">(1) </w:t>
      </w:r>
      <w:r w:rsidRPr="003058E0">
        <w:t xml:space="preserve">Kancelář </w:t>
      </w:r>
      <w:r w:rsidRPr="003058E0">
        <w:rPr>
          <w:strike/>
        </w:rPr>
        <w:t>zajistí audit</w:t>
      </w:r>
      <w:r w:rsidRPr="003058E0">
        <w:t xml:space="preserve"> </w:t>
      </w:r>
      <w:r w:rsidRPr="003058E0">
        <w:rPr>
          <w:b/>
        </w:rPr>
        <w:t xml:space="preserve">má povinnost auditu řádné </w:t>
      </w:r>
      <w:r w:rsidRPr="003058E0">
        <w:t xml:space="preserve">účetní závěrky </w:t>
      </w:r>
      <w:r w:rsidRPr="003058E0">
        <w:rPr>
          <w:strike/>
        </w:rPr>
        <w:t>podle zákona upravujícího auditorskou činnost</w:t>
      </w:r>
      <w:r w:rsidRPr="003058E0">
        <w:t>.</w:t>
      </w:r>
    </w:p>
    <w:p w14:paraId="080679C8" w14:textId="1795804D" w:rsidR="003058E0" w:rsidRPr="009E199A" w:rsidRDefault="003058E0" w:rsidP="00541577">
      <w:pPr>
        <w:pStyle w:val="Textodstavce"/>
        <w:ind w:firstLine="425"/>
      </w:pPr>
      <w:r>
        <w:t xml:space="preserve">(2) </w:t>
      </w:r>
      <w:r w:rsidRPr="00CA7CCE">
        <w:t>Aktiva</w:t>
      </w:r>
      <w:r w:rsidRPr="009E199A">
        <w:t xml:space="preserve"> v garančním fondu určená k náhradnímu plnění z důvodu úpadku nebo likvidace pojišťovny podle § 68 vede Kancelář účetně odděleně od ostatních aktiv v tomto fondu.</w:t>
      </w:r>
    </w:p>
    <w:p w14:paraId="7B7A936B" w14:textId="77777777" w:rsidR="003058E0" w:rsidRDefault="003058E0" w:rsidP="00992796">
      <w:pPr>
        <w:pStyle w:val="Paragraf"/>
        <w:numPr>
          <w:ilvl w:val="0"/>
          <w:numId w:val="59"/>
        </w:numPr>
        <w:spacing w:after="120"/>
      </w:pPr>
      <w:r>
        <w:t>***</w:t>
      </w:r>
    </w:p>
    <w:p w14:paraId="287675AF" w14:textId="77777777" w:rsidR="003058E0" w:rsidRPr="009E199A" w:rsidRDefault="003058E0" w:rsidP="003058E0">
      <w:pPr>
        <w:pStyle w:val="Paragraf"/>
        <w:spacing w:after="120"/>
      </w:pPr>
      <w:r w:rsidRPr="009E199A">
        <w:t>§ 54</w:t>
      </w:r>
    </w:p>
    <w:p w14:paraId="638D9503" w14:textId="77777777" w:rsidR="003058E0" w:rsidRPr="009E199A" w:rsidRDefault="003058E0" w:rsidP="003058E0">
      <w:pPr>
        <w:pStyle w:val="Nadpisparagrafu"/>
        <w:spacing w:after="120"/>
      </w:pPr>
      <w:r w:rsidRPr="009E199A">
        <w:t>Základní povinnosti člena Kanceláře</w:t>
      </w:r>
    </w:p>
    <w:p w14:paraId="499A7725" w14:textId="56B5303F" w:rsidR="003058E0" w:rsidRPr="009E199A" w:rsidRDefault="003058E0" w:rsidP="00541577">
      <w:pPr>
        <w:pStyle w:val="Textodstavce"/>
        <w:ind w:firstLine="425"/>
      </w:pPr>
      <w:r>
        <w:t xml:space="preserve">(1) </w:t>
      </w:r>
      <w:r w:rsidRPr="009E199A">
        <w:t>Člen Kanceláře platí Kanceláři členské příspěvky. Součástí členského příspěvku člena Kanceláře, který provozuje pojištění odpovědnosti na základě povolení uděleného Českou národní bankou, je částka, kterou se podílí na financování náhradního plnění z důvodu úpadku nebo likvidace pojišťovny podle § 68.</w:t>
      </w:r>
    </w:p>
    <w:p w14:paraId="45D9A53A" w14:textId="2EDB2C76" w:rsidR="003058E0" w:rsidRPr="009E199A" w:rsidRDefault="003058E0" w:rsidP="00541577">
      <w:pPr>
        <w:pStyle w:val="Textodstavce"/>
        <w:ind w:firstLine="425"/>
      </w:pPr>
      <w:r>
        <w:t xml:space="preserve">(2) </w:t>
      </w:r>
      <w:r w:rsidRPr="009E199A">
        <w:t>Členský příspěvek se určuje pevnou částkou za vozidlo uvedené v pojistné smlouvě nebo procentuálním podílem z předepsaného pojistného.</w:t>
      </w:r>
    </w:p>
    <w:p w14:paraId="49A4734B" w14:textId="4E6F5C42" w:rsidR="003058E0" w:rsidRPr="009E199A" w:rsidRDefault="003058E0" w:rsidP="00541577">
      <w:pPr>
        <w:pStyle w:val="Textodstavce"/>
        <w:ind w:firstLine="425"/>
      </w:pPr>
      <w:r>
        <w:t xml:space="preserve">(3) </w:t>
      </w:r>
      <w:r w:rsidRPr="009E199A">
        <w:t xml:space="preserve">V případě nedostatku aktiv k zaplacení náhradního plnění z důvodu úpadku nebo likvidace pojišťovny podle § 68 lze mimořádný členský příspěvek určit pouze těm členům, kterým povolení k provozování pojištění odpovědnosti udělila Česká národní banka. </w:t>
      </w:r>
    </w:p>
    <w:p w14:paraId="44E7DA30" w14:textId="7946282A" w:rsidR="003058E0" w:rsidRPr="009E199A" w:rsidRDefault="003058E0" w:rsidP="00541577">
      <w:pPr>
        <w:pStyle w:val="Textodstavce"/>
        <w:ind w:firstLine="425"/>
      </w:pPr>
      <w:r>
        <w:t xml:space="preserve">(4) </w:t>
      </w:r>
      <w:r w:rsidRPr="009E199A">
        <w:t>Člen Kanceláře ručí za její dluhy, ke kterým nemá Kancelář vytvořena odpovídající aktiva, a to ve stejném poměru, v jakém je jeho podíl na celkové výši členských příspěvků všech členů Kanceláře. Člen Kanceláře se sídlem v jiném členském státě neručí za dluhy Kanceláře vzniklé z náhradního plnění z důvodu úpadku nebo likvidace pojišťovny podle § 68.</w:t>
      </w:r>
    </w:p>
    <w:p w14:paraId="0DAA4A64" w14:textId="6ACE23DF" w:rsidR="003058E0" w:rsidRPr="003058E0" w:rsidRDefault="003058E0" w:rsidP="00541577">
      <w:pPr>
        <w:pStyle w:val="Textodstavce"/>
        <w:ind w:firstLine="425"/>
      </w:pPr>
      <w:r>
        <w:t xml:space="preserve">(5) </w:t>
      </w:r>
      <w:r w:rsidRPr="009E199A">
        <w:t xml:space="preserve">Člen Kanceláře zohlední ve vlastním výpočtu </w:t>
      </w:r>
      <w:proofErr w:type="spellStart"/>
      <w:r w:rsidRPr="009E199A">
        <w:t>solventnostního</w:t>
      </w:r>
      <w:proofErr w:type="spellEnd"/>
      <w:r w:rsidRPr="009E199A">
        <w:t xml:space="preserve"> kapitálového požadavku podle zákona upravujícího </w:t>
      </w:r>
      <w:r w:rsidRPr="003058E0">
        <w:t xml:space="preserve">pojišťovnictví riziko změny výše záruky podle odstavce 4. Za tím účelem poskytuje Kancelář svým členům údaje o svých aktivech </w:t>
      </w:r>
      <w:r w:rsidRPr="003058E0">
        <w:rPr>
          <w:strike/>
        </w:rPr>
        <w:t>a pasivech</w:t>
      </w:r>
      <w:r w:rsidRPr="003058E0">
        <w:rPr>
          <w:b/>
        </w:rPr>
        <w:t>, vlastním kapitálu a dluzích podle zákona upravujícího účetnictví</w:t>
      </w:r>
      <w:r w:rsidRPr="003058E0">
        <w:t>.</w:t>
      </w:r>
    </w:p>
    <w:p w14:paraId="58F4A7D5" w14:textId="77777777" w:rsidR="003058E0" w:rsidRDefault="003058E0" w:rsidP="00992796">
      <w:pPr>
        <w:pStyle w:val="Paragraf"/>
        <w:numPr>
          <w:ilvl w:val="0"/>
          <w:numId w:val="59"/>
        </w:numPr>
        <w:spacing w:after="120"/>
      </w:pPr>
      <w:r>
        <w:t>***</w:t>
      </w:r>
    </w:p>
    <w:p w14:paraId="3CD7777D" w14:textId="77777777" w:rsidR="003058E0" w:rsidRPr="009E199A" w:rsidRDefault="003058E0" w:rsidP="003058E0">
      <w:pPr>
        <w:pStyle w:val="Paragraf"/>
        <w:spacing w:after="120"/>
      </w:pPr>
      <w:r w:rsidRPr="009E199A">
        <w:t>§ 57</w:t>
      </w:r>
    </w:p>
    <w:p w14:paraId="310FB979" w14:textId="77777777" w:rsidR="003058E0" w:rsidRPr="009E199A" w:rsidRDefault="003058E0" w:rsidP="003058E0">
      <w:pPr>
        <w:pStyle w:val="Nadpisparagrafu"/>
        <w:spacing w:after="120"/>
      </w:pPr>
      <w:r w:rsidRPr="009E199A">
        <w:t>Shromáždění členů</w:t>
      </w:r>
    </w:p>
    <w:p w14:paraId="434B203D" w14:textId="304F33E4" w:rsidR="003058E0" w:rsidRPr="009E199A" w:rsidRDefault="003058E0" w:rsidP="00541577">
      <w:pPr>
        <w:pStyle w:val="Textodstavce"/>
        <w:ind w:firstLine="425"/>
      </w:pPr>
      <w:r>
        <w:t xml:space="preserve">(1) </w:t>
      </w:r>
      <w:r w:rsidRPr="009E199A">
        <w:t xml:space="preserve">Nejvyšším orgánem Kanceláře je shromáždění členů. Právo účasti na shromáždění členů má každý člen Kanceláře. Shromáždění členů svolává správní rada alespoň jednou za </w:t>
      </w:r>
      <w:r w:rsidRPr="009E199A">
        <w:lastRenderedPageBreak/>
        <w:t xml:space="preserve">12 měsíců. Správní rada svolá shromáždění členů tak, aby se konalo nejpozději do 30 dnů ode dne, kdy o to požádá kontrolní komise nebo nejméně jedna třetina členů Kanceláře. </w:t>
      </w:r>
    </w:p>
    <w:p w14:paraId="3420905D" w14:textId="790D9760" w:rsidR="003058E0" w:rsidRPr="009E199A" w:rsidRDefault="003058E0" w:rsidP="00541577">
      <w:pPr>
        <w:pStyle w:val="Textodstavce"/>
        <w:ind w:firstLine="425"/>
      </w:pPr>
      <w:r>
        <w:t xml:space="preserve">(2) </w:t>
      </w:r>
      <w:r w:rsidRPr="009E199A">
        <w:t>Shromáždění členů je schopné se usnášet, je-li přítomna nadpoloviční většina členů Kanceláře, kteří provozují pojištění odpovědnosti v České republice jinak než na základě svobody dočasně poskytovat služby. Není-li shromáždění členů schopné se usnášet, svolá správní rada nové shromáždění členů tak, aby se konalo nejpozději do 30 dnů ode dne předcházejícího shromáždění členů. Shromáždění členů je v takovém případě schopné se usnášet, je-li přítomna nejméně jedna třetina členů Kanceláře, kteří provozují pojištění odpovědnosti v České republice jinak než na základě svobody dočasně poskytovat služby.</w:t>
      </w:r>
    </w:p>
    <w:p w14:paraId="604F0F35" w14:textId="2CE5BCE3" w:rsidR="003058E0" w:rsidRPr="009E199A" w:rsidRDefault="003058E0" w:rsidP="00541577">
      <w:pPr>
        <w:pStyle w:val="Textodstavce"/>
        <w:ind w:firstLine="426"/>
      </w:pPr>
      <w:r>
        <w:t xml:space="preserve">(3) </w:t>
      </w:r>
      <w:r w:rsidRPr="009E199A">
        <w:t>Každý člen má jeden hlas. Shromáždění členů rozhoduje většinou hlasů přítomných členů.</w:t>
      </w:r>
    </w:p>
    <w:p w14:paraId="540752C6" w14:textId="7C1C31A8" w:rsidR="003058E0" w:rsidRPr="009E199A" w:rsidRDefault="003058E0" w:rsidP="00541577">
      <w:pPr>
        <w:pStyle w:val="Textodstavce"/>
        <w:ind w:firstLine="425"/>
      </w:pPr>
      <w:r>
        <w:t xml:space="preserve">(4) </w:t>
      </w:r>
      <w:r w:rsidRPr="009E199A">
        <w:t>Shromáždění členů přísluší</w:t>
      </w:r>
    </w:p>
    <w:p w14:paraId="37FF4CB3" w14:textId="20033226" w:rsidR="003058E0" w:rsidRPr="009E199A" w:rsidRDefault="00541577" w:rsidP="00541577">
      <w:pPr>
        <w:pStyle w:val="Textpsmene"/>
        <w:spacing w:before="0"/>
        <w:ind w:left="425" w:hanging="425"/>
      </w:pPr>
      <w:r>
        <w:t>a)</w:t>
      </w:r>
      <w:r>
        <w:tab/>
      </w:r>
      <w:r w:rsidR="003058E0" w:rsidRPr="009E199A">
        <w:t>volit a odvolávat členy správní rady a kontrolní komise,</w:t>
      </w:r>
    </w:p>
    <w:p w14:paraId="582E2F8A" w14:textId="4E973DB7" w:rsidR="003058E0" w:rsidRPr="009E199A" w:rsidRDefault="00541577" w:rsidP="00541577">
      <w:pPr>
        <w:pStyle w:val="Textpsmene"/>
        <w:spacing w:before="0"/>
        <w:ind w:left="425" w:hanging="425"/>
      </w:pPr>
      <w:r>
        <w:t>b)</w:t>
      </w:r>
      <w:r>
        <w:tab/>
      </w:r>
      <w:r w:rsidR="003058E0" w:rsidRPr="009E199A">
        <w:t>určovat výši ročních a mimořádných členských příspěvků,</w:t>
      </w:r>
    </w:p>
    <w:p w14:paraId="7EE2AA07" w14:textId="4B1FC1AD" w:rsidR="003058E0" w:rsidRPr="009E199A" w:rsidRDefault="00541577" w:rsidP="00541577">
      <w:pPr>
        <w:pStyle w:val="Textpsmene"/>
        <w:spacing w:before="0"/>
        <w:ind w:left="425" w:hanging="425"/>
      </w:pPr>
      <w:r>
        <w:t>c)</w:t>
      </w:r>
      <w:r>
        <w:tab/>
      </w:r>
      <w:r w:rsidR="003058E0" w:rsidRPr="009E199A">
        <w:t>schvalovat rozpočet Kanceláře,</w:t>
      </w:r>
    </w:p>
    <w:p w14:paraId="58A1DA22" w14:textId="39641E0A" w:rsidR="003058E0" w:rsidRPr="009E199A" w:rsidRDefault="00541577" w:rsidP="00541577">
      <w:pPr>
        <w:pStyle w:val="Textpsmene"/>
        <w:spacing w:before="0"/>
        <w:ind w:left="425" w:hanging="425"/>
      </w:pPr>
      <w:r>
        <w:t>d)</w:t>
      </w:r>
      <w:r>
        <w:tab/>
      </w:r>
      <w:r w:rsidR="003058E0" w:rsidRPr="009E199A">
        <w:t>schvalovat finanční plán Kanceláře na následující kalendářní rok zahrnující projekci peněžních toků v garančním fondu (dále jen „finanční plán Kanceláře“),</w:t>
      </w:r>
    </w:p>
    <w:p w14:paraId="543A337A" w14:textId="7A9A1E09" w:rsidR="003058E0" w:rsidRPr="009E199A" w:rsidRDefault="00541577" w:rsidP="00541577">
      <w:pPr>
        <w:pStyle w:val="Textpsmene"/>
        <w:spacing w:before="0"/>
        <w:ind w:left="425" w:hanging="425"/>
      </w:pPr>
      <w:r>
        <w:t>e)</w:t>
      </w:r>
      <w:r>
        <w:tab/>
      </w:r>
      <w:r w:rsidR="003058E0" w:rsidRPr="009E199A">
        <w:t>přijímat statut Kanceláře a schvalovat jeho změny,</w:t>
      </w:r>
    </w:p>
    <w:p w14:paraId="57D5A317" w14:textId="2536D2BA" w:rsidR="003058E0" w:rsidRPr="009E199A" w:rsidRDefault="00541577" w:rsidP="00541577">
      <w:pPr>
        <w:pStyle w:val="Textpsmene"/>
        <w:spacing w:before="0"/>
        <w:ind w:left="425" w:hanging="425"/>
      </w:pPr>
      <w:r>
        <w:t>f)</w:t>
      </w:r>
      <w:r>
        <w:tab/>
      </w:r>
      <w:r w:rsidR="003058E0" w:rsidRPr="009E199A">
        <w:t xml:space="preserve">schvalovat </w:t>
      </w:r>
      <w:r w:rsidR="003058E0" w:rsidRPr="001C7AED">
        <w:rPr>
          <w:b/>
        </w:rPr>
        <w:t xml:space="preserve">individuální </w:t>
      </w:r>
      <w:r w:rsidR="003058E0" w:rsidRPr="009E199A">
        <w:t>účetní závěrku Kanceláře,</w:t>
      </w:r>
    </w:p>
    <w:p w14:paraId="39DE860B" w14:textId="45974F83" w:rsidR="003058E0" w:rsidRPr="009E199A" w:rsidRDefault="00541577" w:rsidP="00541577">
      <w:pPr>
        <w:pStyle w:val="Textpsmene"/>
        <w:spacing w:before="0"/>
        <w:ind w:left="425" w:hanging="425"/>
      </w:pPr>
      <w:r>
        <w:t>g)</w:t>
      </w:r>
      <w:r>
        <w:tab/>
      </w:r>
      <w:r w:rsidR="003058E0" w:rsidRPr="009E199A">
        <w:t>určovat územní rozsah pojištění odpovědnosti podle § 19,</w:t>
      </w:r>
    </w:p>
    <w:p w14:paraId="28C921EC" w14:textId="17100A7B" w:rsidR="003058E0" w:rsidRPr="009E199A" w:rsidRDefault="00541577" w:rsidP="00541577">
      <w:pPr>
        <w:pStyle w:val="Textpsmene"/>
        <w:spacing w:before="0"/>
        <w:ind w:left="425" w:hanging="425"/>
      </w:pPr>
      <w:r>
        <w:t>h)</w:t>
      </w:r>
      <w:r>
        <w:tab/>
      </w:r>
      <w:r w:rsidR="003058E0" w:rsidRPr="009E199A">
        <w:t>jmenovat a odvolávat zástupce Kanceláře v komisi fondu zábrany škod,</w:t>
      </w:r>
    </w:p>
    <w:p w14:paraId="472730FA" w14:textId="2F6CF694" w:rsidR="003058E0" w:rsidRPr="009E199A" w:rsidRDefault="00541577" w:rsidP="00541577">
      <w:pPr>
        <w:pStyle w:val="Textpsmene"/>
        <w:spacing w:before="0"/>
        <w:ind w:left="425" w:hanging="425"/>
      </w:pPr>
      <w:r>
        <w:t>i)</w:t>
      </w:r>
      <w:r>
        <w:tab/>
      </w:r>
      <w:r w:rsidR="003058E0" w:rsidRPr="009E199A">
        <w:t>rušit nebo měnit rozhodnutí správní rady a</w:t>
      </w:r>
    </w:p>
    <w:p w14:paraId="458EC348" w14:textId="66982C2A" w:rsidR="003058E0" w:rsidRPr="009E199A" w:rsidRDefault="00541577" w:rsidP="00541577">
      <w:pPr>
        <w:pStyle w:val="Textpsmene"/>
        <w:spacing w:before="0"/>
        <w:ind w:left="425" w:hanging="425"/>
      </w:pPr>
      <w:r>
        <w:t>j)</w:t>
      </w:r>
      <w:r>
        <w:tab/>
      </w:r>
      <w:r w:rsidR="003058E0" w:rsidRPr="009E199A">
        <w:t>rozhodovat o věcech, které si vyhradí.</w:t>
      </w:r>
    </w:p>
    <w:p w14:paraId="10E6808B" w14:textId="17E033C1" w:rsidR="003058E0" w:rsidRPr="003058E0" w:rsidRDefault="003058E0" w:rsidP="00541577">
      <w:pPr>
        <w:pStyle w:val="Textodstavce"/>
        <w:ind w:firstLine="426"/>
      </w:pPr>
      <w:r>
        <w:t xml:space="preserve">(5) </w:t>
      </w:r>
      <w:r w:rsidRPr="003058E0">
        <w:t xml:space="preserve">Každý člen Kanceláře nebo výkonný ředitel se může dovolávat neplatnosti usnesení shromáždění členů pro rozpor s právními předpisy nebo statutem Kanceláře. Ustanovení občanského zákoníku o neplatnosti rozhodnutí orgánu spolku se použijí obdobně. </w:t>
      </w:r>
    </w:p>
    <w:p w14:paraId="75DE10BC" w14:textId="77777777" w:rsidR="003058E0" w:rsidRPr="003058E0" w:rsidRDefault="003058E0" w:rsidP="00992796">
      <w:pPr>
        <w:pStyle w:val="Paragraf"/>
        <w:numPr>
          <w:ilvl w:val="0"/>
          <w:numId w:val="59"/>
        </w:numPr>
        <w:spacing w:after="120"/>
      </w:pPr>
      <w:r w:rsidRPr="003058E0">
        <w:t>***</w:t>
      </w:r>
    </w:p>
    <w:p w14:paraId="6334FDFF" w14:textId="77777777" w:rsidR="003058E0" w:rsidRPr="003058E0" w:rsidRDefault="003058E0" w:rsidP="003058E0">
      <w:pPr>
        <w:pStyle w:val="Paragraf"/>
        <w:spacing w:after="120"/>
      </w:pPr>
      <w:r w:rsidRPr="003058E0">
        <w:t>§ 81</w:t>
      </w:r>
    </w:p>
    <w:p w14:paraId="030109AA" w14:textId="77777777" w:rsidR="003058E0" w:rsidRPr="003058E0" w:rsidRDefault="003058E0" w:rsidP="003058E0">
      <w:pPr>
        <w:pStyle w:val="Nadpisparagrafu"/>
        <w:spacing w:after="120"/>
      </w:pPr>
      <w:r w:rsidRPr="003058E0">
        <w:t>Zveřejňování informací</w:t>
      </w:r>
    </w:p>
    <w:p w14:paraId="59DC730E" w14:textId="77777777" w:rsidR="003058E0" w:rsidRPr="003058E0" w:rsidRDefault="003058E0" w:rsidP="00541577">
      <w:pPr>
        <w:pStyle w:val="Textodstavce"/>
        <w:ind w:firstLine="425"/>
        <w:rPr>
          <w:strike/>
        </w:rPr>
      </w:pPr>
      <w:r w:rsidRPr="003058E0">
        <w:rPr>
          <w:strike/>
        </w:rPr>
        <w:t xml:space="preserve">(1) Kancelář zpracuje účetní závěrku a předloží ji ke schválení shromáždění členů, vypracuje výroční zprávu podle zákona upravujícího účetnictví, jejíž součástí je účetní závěrka ověřená auditorem, a zveřejní ji způsobem umožňujícím dálkový přístup nejpozději do 4 měsíců ode dne skončení účetního období. </w:t>
      </w:r>
    </w:p>
    <w:p w14:paraId="7936D80C" w14:textId="77777777" w:rsidR="003058E0" w:rsidRPr="003058E0" w:rsidRDefault="003058E0" w:rsidP="00541577">
      <w:pPr>
        <w:pStyle w:val="Textodstavce"/>
        <w:ind w:firstLine="425"/>
      </w:pPr>
      <w:r w:rsidRPr="003058E0">
        <w:rPr>
          <w:b/>
        </w:rPr>
        <w:t xml:space="preserve">(1) Kancelář předloží řádnou individuální účetní závěrku ověřenou auditorem ke schválení shromáždění členů a vyhotoví individuální zprávu vedení. Kancelář uveřejní řádnou individuální účetní závěrku, individuální zprávu vedení a zprávu auditora o povinném auditu na svých internetových stránkách nejpozději do 4 měsíců od konce individuálního účetního období. </w:t>
      </w:r>
    </w:p>
    <w:p w14:paraId="480B2DC9" w14:textId="6098D828" w:rsidR="003058E0" w:rsidRPr="003058E0" w:rsidRDefault="003058E0" w:rsidP="00541577">
      <w:pPr>
        <w:pStyle w:val="Textodstavce"/>
        <w:ind w:firstLine="425"/>
      </w:pPr>
      <w:r>
        <w:t xml:space="preserve">(2) </w:t>
      </w:r>
      <w:r w:rsidRPr="003058E0">
        <w:t>Kancelář zveřejňuje na svých internetových stránkách informace o sobě, svých členech a o své činnosti.</w:t>
      </w:r>
    </w:p>
    <w:p w14:paraId="6FE8415F" w14:textId="2370F3A7" w:rsidR="003058E0" w:rsidRPr="003058E0" w:rsidRDefault="003058E0" w:rsidP="00541577">
      <w:pPr>
        <w:pStyle w:val="Textodstavce"/>
        <w:ind w:firstLine="425"/>
      </w:pPr>
      <w:r>
        <w:t xml:space="preserve">(3) </w:t>
      </w:r>
      <w:r w:rsidRPr="003058E0">
        <w:t xml:space="preserve">Informace podle odstavce 2 zveřejňuje Kancelář podle stavu ke dni 31. března, 30. června, 30. září a 31. prosince. Kancelář nezveřejní informaci, která je citlivá nebo důvěrná. Platí, že informace je citlivá, jestliže by jejím zveřejněním mohlo být poškozeno postavení </w:t>
      </w:r>
      <w:r w:rsidRPr="003058E0">
        <w:lastRenderedPageBreak/>
        <w:t>Kanceláře. Platí, že informace je důvěrná, jestliže je Kancelář povinna zachovávat o ní mlčenlivost.</w:t>
      </w:r>
    </w:p>
    <w:p w14:paraId="3C20D30C" w14:textId="1E6A5ED2" w:rsidR="003058E0" w:rsidRPr="003058E0" w:rsidRDefault="003058E0" w:rsidP="00541577">
      <w:pPr>
        <w:pStyle w:val="Textodstavce"/>
        <w:ind w:firstLine="425"/>
      </w:pPr>
      <w:r>
        <w:t xml:space="preserve">(4) </w:t>
      </w:r>
      <w:r w:rsidRPr="003058E0">
        <w:t>Rozsah, formu a lhůty zveřejňování informací podle odstavce 2 stanoví Ministerstvo financí vyhláškou.</w:t>
      </w:r>
    </w:p>
    <w:p w14:paraId="524D3ED0" w14:textId="77777777" w:rsidR="003058E0" w:rsidRPr="003058E0" w:rsidRDefault="003058E0" w:rsidP="003058E0">
      <w:pPr>
        <w:pStyle w:val="Paragraf"/>
        <w:spacing w:after="120"/>
      </w:pPr>
      <w:r w:rsidRPr="003058E0">
        <w:t>§ 82</w:t>
      </w:r>
    </w:p>
    <w:p w14:paraId="786F8807" w14:textId="77777777" w:rsidR="003058E0" w:rsidRPr="003058E0" w:rsidRDefault="003058E0" w:rsidP="003058E0">
      <w:pPr>
        <w:pStyle w:val="Nadpisparagrafu"/>
        <w:spacing w:after="120"/>
      </w:pPr>
      <w:r w:rsidRPr="003058E0">
        <w:t>Informační povinnosti vůči České národní bance</w:t>
      </w:r>
    </w:p>
    <w:p w14:paraId="69C265E8" w14:textId="6526AA6F" w:rsidR="003058E0" w:rsidRPr="003058E0" w:rsidRDefault="003058E0" w:rsidP="00541577">
      <w:pPr>
        <w:pStyle w:val="Textodstavce"/>
        <w:ind w:firstLine="425"/>
      </w:pPr>
      <w:r>
        <w:t xml:space="preserve">(1) </w:t>
      </w:r>
      <w:r w:rsidRPr="003058E0">
        <w:t>Kancelář poskytuje České národní bance informace o sobě, své finanční situaci a o své činnosti, a to podle stavu ke dni 31. března, 30. června, 30. září a 31. prosince. Tyto informace musejí být přesné, úplné ve všech podstatných ohledech, relevantní a srozumitelné.</w:t>
      </w:r>
    </w:p>
    <w:p w14:paraId="61CC6EBD" w14:textId="082277FE" w:rsidR="003058E0" w:rsidRPr="003058E0" w:rsidRDefault="003058E0" w:rsidP="00541577">
      <w:pPr>
        <w:pStyle w:val="Textodstavce"/>
        <w:ind w:firstLine="425"/>
        <w:rPr>
          <w:iCs/>
          <w:szCs w:val="24"/>
        </w:rPr>
      </w:pPr>
      <w:r>
        <w:rPr>
          <w:iCs/>
          <w:szCs w:val="24"/>
        </w:rPr>
        <w:t xml:space="preserve">(2) </w:t>
      </w:r>
      <w:r w:rsidRPr="003058E0">
        <w:rPr>
          <w:iCs/>
          <w:szCs w:val="24"/>
        </w:rPr>
        <w:t>Kancelář poskytuje České národní bance informace o plnění informačních povinností pojistitelů podle § 38 odst. 1 a 4, a to podle stavu ke dni 31. března, 30. června, 30. září a 31. prosince.</w:t>
      </w:r>
    </w:p>
    <w:p w14:paraId="33488A55" w14:textId="17998AD1" w:rsidR="00541577" w:rsidRDefault="003058E0" w:rsidP="00541577">
      <w:pPr>
        <w:pStyle w:val="Textodstavce"/>
        <w:tabs>
          <w:tab w:val="clear" w:pos="851"/>
          <w:tab w:val="left" w:pos="840"/>
        </w:tabs>
        <w:ind w:firstLine="425"/>
        <w:rPr>
          <w:highlight w:val="red"/>
        </w:rPr>
      </w:pPr>
      <w:r>
        <w:rPr>
          <w:iCs/>
          <w:szCs w:val="24"/>
        </w:rPr>
        <w:t xml:space="preserve">(3) </w:t>
      </w:r>
      <w:r w:rsidRPr="003058E0">
        <w:rPr>
          <w:iCs/>
          <w:szCs w:val="24"/>
        </w:rPr>
        <w:t xml:space="preserve">Kancelář předkládá České národní bance svoji </w:t>
      </w:r>
      <w:r w:rsidRPr="003058E0">
        <w:rPr>
          <w:iCs/>
          <w:strike/>
          <w:szCs w:val="24"/>
        </w:rPr>
        <w:t>výroční zprávu</w:t>
      </w:r>
      <w:r w:rsidRPr="003058E0">
        <w:rPr>
          <w:iCs/>
          <w:szCs w:val="24"/>
        </w:rPr>
        <w:t xml:space="preserve"> </w:t>
      </w:r>
      <w:r w:rsidRPr="003058E0">
        <w:rPr>
          <w:b/>
          <w:iCs/>
          <w:szCs w:val="24"/>
        </w:rPr>
        <w:t xml:space="preserve">řádnou individuální účetní závěrku, individuální zprávu vedení a zprávu auditora o povinném auditu </w:t>
      </w:r>
      <w:r w:rsidRPr="003058E0">
        <w:rPr>
          <w:iCs/>
          <w:szCs w:val="24"/>
        </w:rPr>
        <w:t>ve lhůtě podle § 81 odst. 1.</w:t>
      </w:r>
      <w:r w:rsidR="001006D4" w:rsidRPr="003058E0">
        <w:rPr>
          <w:highlight w:val="red"/>
        </w:rPr>
        <w:t xml:space="preserve"> </w:t>
      </w:r>
    </w:p>
    <w:p w14:paraId="44F97881" w14:textId="233D85C8" w:rsidR="00C62C41" w:rsidRPr="00541577" w:rsidRDefault="00C62C41" w:rsidP="00541577">
      <w:pPr>
        <w:ind w:firstLine="0"/>
        <w:rPr>
          <w:highlight w:val="red"/>
        </w:rPr>
      </w:pPr>
    </w:p>
    <w:sectPr w:rsidR="00C62C41" w:rsidRPr="00541577" w:rsidSect="00554E2B">
      <w:footnotePr>
        <w:numStart w:val="3"/>
      </w:footnotePr>
      <w:endnotePr>
        <w:numFmt w:val="decimal"/>
      </w:endnotePr>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7BCD1BD" w14:textId="77777777" w:rsidR="00433B76" w:rsidRDefault="00433B76">
      <w:r>
        <w:separator/>
      </w:r>
    </w:p>
  </w:endnote>
  <w:endnote w:type="continuationSeparator" w:id="0">
    <w:p w14:paraId="3BABF1E2" w14:textId="77777777" w:rsidR="00433B76" w:rsidRDefault="00433B76">
      <w:r>
        <w:continuationSeparator/>
      </w:r>
    </w:p>
  </w:endnote>
  <w:endnote w:id="1">
    <w:p w14:paraId="68E6EB21" w14:textId="3D1046B0" w:rsidR="00433B76" w:rsidRDefault="00433B76" w:rsidP="00FE1B36">
      <w:pPr>
        <w:pStyle w:val="Textvysvtlivek"/>
        <w:spacing w:before="0"/>
        <w:ind w:firstLine="0"/>
      </w:pPr>
      <w:r>
        <w:rPr>
          <w:rStyle w:val="Odkaznavysvtlivky"/>
        </w:rPr>
        <w:endnoteRef/>
      </w:r>
      <w:r w:rsidRPr="00DE1CD7">
        <w:rPr>
          <w:vertAlign w:val="superscript"/>
        </w:rPr>
        <w:t>)</w:t>
      </w:r>
      <w:r>
        <w:t xml:space="preserve"> § 62</w:t>
      </w:r>
      <w:r w:rsidRPr="00651FBC">
        <w:t xml:space="preserve"> </w:t>
      </w:r>
      <w:r w:rsidRPr="00FD1822">
        <w:t>písm.</w:t>
      </w:r>
      <w:r>
        <w:t xml:space="preserve"> </w:t>
      </w:r>
      <w:r w:rsidRPr="00FD1822">
        <w:t>b)</w:t>
      </w:r>
      <w:r>
        <w:t xml:space="preserve"> </w:t>
      </w:r>
      <w:r w:rsidRPr="00FD1822">
        <w:t>zákona</w:t>
      </w:r>
      <w:r>
        <w:t xml:space="preserve"> </w:t>
      </w:r>
      <w:r w:rsidRPr="00FD1822">
        <w:t>č.</w:t>
      </w:r>
      <w:r>
        <w:t xml:space="preserve"> </w:t>
      </w:r>
      <w:r w:rsidRPr="00FD1822">
        <w:t>109/1964</w:t>
      </w:r>
      <w:r>
        <w:t xml:space="preserve"> </w:t>
      </w:r>
      <w:r w:rsidRPr="00FD1822">
        <w:t>Sb.,</w:t>
      </w:r>
      <w:r>
        <w:t xml:space="preserve"> </w:t>
      </w:r>
      <w:r w:rsidRPr="00FD1822">
        <w:t>hospodářský</w:t>
      </w:r>
      <w:r>
        <w:t xml:space="preserve"> </w:t>
      </w:r>
      <w:r w:rsidRPr="00FD1822">
        <w:t>zákoník,</w:t>
      </w:r>
      <w:r>
        <w:t xml:space="preserve"> </w:t>
      </w:r>
      <w:r w:rsidRPr="00FD1822">
        <w:t>ve</w:t>
      </w:r>
      <w:r>
        <w:t xml:space="preserve"> </w:t>
      </w:r>
      <w:r w:rsidRPr="00FD1822">
        <w:t>znění</w:t>
      </w:r>
      <w:r>
        <w:t xml:space="preserve"> </w:t>
      </w:r>
      <w:r w:rsidRPr="00FD1822">
        <w:t>pozdějších</w:t>
      </w:r>
      <w:r>
        <w:t xml:space="preserve"> předpisů.</w:t>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Consolas">
    <w:panose1 w:val="020B0609020204030204"/>
    <w:charset w:val="EE"/>
    <w:family w:val="modern"/>
    <w:pitch w:val="fixed"/>
    <w:sig w:usb0="E00006FF" w:usb1="0000FCFF" w:usb2="00000001" w:usb3="00000000" w:csb0="0000019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MS Mincho">
    <w:altName w:val="Yu Gothic UI"/>
    <w:panose1 w:val="02020609040205080304"/>
    <w:charset w:val="80"/>
    <w:family w:val="modern"/>
    <w:pitch w:val="fixed"/>
    <w:sig w:usb0="E00002FF" w:usb1="6AC7FDFB" w:usb2="00000012" w:usb3="00000000" w:csb0="0002009F" w:csb1="00000000"/>
  </w:font>
  <w:font w:name="TimesNewRoman,Bold">
    <w:altName w:val="Arial Unicode MS"/>
    <w:panose1 w:val="00000000000000000000"/>
    <w:charset w:val="80"/>
    <w:family w:val="auto"/>
    <w:notTrueType/>
    <w:pitch w:val="default"/>
    <w:sig w:usb0="00000001" w:usb1="08070000" w:usb2="00000010" w:usb3="00000000" w:csb0="0002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1580EF3" w14:textId="77777777" w:rsidR="00433B76" w:rsidRDefault="00433B76" w:rsidP="00CF4EB1">
      <w:r>
        <w:separator/>
      </w:r>
    </w:p>
  </w:footnote>
  <w:footnote w:type="continuationSeparator" w:id="0">
    <w:p w14:paraId="4544B50D" w14:textId="77777777" w:rsidR="00433B76" w:rsidRDefault="00433B76" w:rsidP="00CF4EB1">
      <w:r>
        <w:continuationSeparator/>
      </w:r>
    </w:p>
  </w:footnote>
  <w:footnote w:id="1">
    <w:p w14:paraId="3A6C0414" w14:textId="0B91CB15" w:rsidR="00433B76" w:rsidRDefault="00433B76" w:rsidP="00806924">
      <w:pPr>
        <w:pStyle w:val="Textpoznpodarou"/>
        <w:ind w:left="0" w:firstLine="0"/>
      </w:pPr>
      <w:r w:rsidRPr="0052711D">
        <w:rPr>
          <w:rStyle w:val="Znakapoznpodarou"/>
          <w:strike/>
        </w:rPr>
        <w:footnoteRef/>
      </w:r>
      <w:r w:rsidRPr="0052711D">
        <w:rPr>
          <w:strike/>
          <w:vertAlign w:val="superscript"/>
        </w:rPr>
        <w:t>)</w:t>
      </w:r>
      <w:r w:rsidRPr="0052711D">
        <w:rPr>
          <w:strike/>
        </w:rPr>
        <w:t xml:space="preserve"> </w:t>
      </w:r>
      <w:r w:rsidRPr="007A5D1E">
        <w:rPr>
          <w:strike/>
        </w:rPr>
        <w:t>2 odst. 1 zákona č. 151/1997 Sb., o oceňování majetku a o změně některých zákonů (zákon o oceňování majetku).</w:t>
      </w:r>
    </w:p>
  </w:footnote>
  <w:footnote w:id="2">
    <w:p w14:paraId="73EA0457" w14:textId="4FE323DA" w:rsidR="00433B76" w:rsidRPr="00F463F5" w:rsidRDefault="00433B76" w:rsidP="007936CA">
      <w:pPr>
        <w:pStyle w:val="Textpoznpodarou"/>
        <w:tabs>
          <w:tab w:val="clear" w:pos="425"/>
          <w:tab w:val="left" w:pos="0"/>
        </w:tabs>
        <w:spacing w:before="0"/>
        <w:ind w:left="0" w:firstLine="0"/>
      </w:pPr>
      <w:r w:rsidRPr="0056423C">
        <w:rPr>
          <w:vertAlign w:val="superscript"/>
        </w:rPr>
        <w:t>3g)</w:t>
      </w:r>
      <w:r w:rsidRPr="0056423C">
        <w:t xml:space="preserve"> Zákon č. 219/2000 Sb., o majetku České republiky a jejím vystupování v právních vztazích</w:t>
      </w:r>
      <w:r>
        <w:t>, ve znění pozdějších předpisů.</w:t>
      </w:r>
    </w:p>
  </w:footnote>
  <w:footnote w:id="3">
    <w:p w14:paraId="05BFB066" w14:textId="0F533219" w:rsidR="00433B76" w:rsidRPr="00F463F5" w:rsidRDefault="00433B76" w:rsidP="007936CA">
      <w:pPr>
        <w:pStyle w:val="Textpoznpodarou"/>
        <w:spacing w:before="0"/>
        <w:rPr>
          <w:strike/>
        </w:rPr>
      </w:pPr>
      <w:r w:rsidRPr="00F463F5">
        <w:rPr>
          <w:rStyle w:val="Znakapoznpodarou"/>
          <w:strike/>
        </w:rPr>
        <w:t>8)</w:t>
      </w:r>
      <w:r w:rsidRPr="00F463F5">
        <w:rPr>
          <w:strike/>
        </w:rPr>
        <w:t xml:space="preserve"> Zákon č. 563/1991 Sb., o účetnictví, ve znění pozdějších předpisů.</w:t>
      </w:r>
    </w:p>
  </w:footnote>
  <w:footnote w:id="4">
    <w:p w14:paraId="6529DDE5" w14:textId="42F91C48" w:rsidR="00433B76" w:rsidRDefault="00433B76" w:rsidP="007936CA">
      <w:pPr>
        <w:pStyle w:val="Textpoznpodarou"/>
        <w:spacing w:before="0"/>
      </w:pPr>
      <w:r>
        <w:rPr>
          <w:rStyle w:val="Znakapoznpodarou"/>
        </w:rPr>
        <w:t>7)</w:t>
      </w:r>
      <w:r>
        <w:t xml:space="preserve"> </w:t>
      </w:r>
      <w:r w:rsidRPr="0056423C">
        <w:t>Zákon č. 634/1992 Sb., o ochraně spotřebitele</w:t>
      </w:r>
      <w:r>
        <w:t>, ve znění pozdějších předpisů.</w:t>
      </w:r>
    </w:p>
  </w:footnote>
  <w:footnote w:id="5">
    <w:p w14:paraId="386D194D" w14:textId="5521D571" w:rsidR="00433B76" w:rsidRDefault="00433B76" w:rsidP="007936CA">
      <w:pPr>
        <w:pStyle w:val="Textpoznpodarou"/>
        <w:spacing w:before="0"/>
      </w:pPr>
      <w:r>
        <w:rPr>
          <w:rStyle w:val="Znakapoznpodarou"/>
        </w:rPr>
        <w:t>3f)</w:t>
      </w:r>
      <w:r>
        <w:t xml:space="preserve"> </w:t>
      </w:r>
      <w:r w:rsidRPr="0056423C">
        <w:t>§ 2 odst. 1 písm. n) a § 8 zákona č. 634/1992 Sb., ve znění pozdějších předpisů.</w:t>
      </w:r>
    </w:p>
  </w:footnote>
  <w:footnote w:id="6">
    <w:p w14:paraId="67EF2E27" w14:textId="6A4F6DD8" w:rsidR="00433B76" w:rsidRDefault="00433B76" w:rsidP="003B3D3D">
      <w:pPr>
        <w:pStyle w:val="Textpoznpodarou"/>
        <w:spacing w:before="0"/>
        <w:ind w:left="0" w:firstLine="0"/>
      </w:pPr>
      <w:r>
        <w:rPr>
          <w:rStyle w:val="Znakapoznpodarou"/>
        </w:rPr>
        <w:t>3h)</w:t>
      </w:r>
      <w:r>
        <w:t xml:space="preserve"> </w:t>
      </w:r>
      <w:r w:rsidRPr="0056423C">
        <w:t>Například zákon č. 108/2006 Sb., o sociálních službách, ve znění pozdějších předpisů, zákon č. 109/2002 Sb., o výkonu ústavní výchovy nebo ochranné výchovy ve školských zařízeních a o preventivně výchovné péči ve školských zařízeních a o změně dalších zákonů, ve znění pozdějších předpisů, zákon č. 372/2011 Sb., o zdravotních službách a podmínkách jejich poskytování (zákon o zdravotních službách), ve znění pozdějších předpi</w:t>
      </w:r>
      <w:r>
        <w:t>sů.</w:t>
      </w:r>
    </w:p>
  </w:footnote>
  <w:footnote w:id="7">
    <w:p w14:paraId="311B80C9" w14:textId="5D965281" w:rsidR="00433B76" w:rsidRDefault="00433B76" w:rsidP="003B3D3D">
      <w:pPr>
        <w:pStyle w:val="Textpoznpodarou"/>
        <w:spacing w:before="0"/>
      </w:pPr>
      <w:r>
        <w:rPr>
          <w:rStyle w:val="Znakapoznpodarou"/>
        </w:rPr>
        <w:t>3i)</w:t>
      </w:r>
      <w:r>
        <w:t xml:space="preserve"> </w:t>
      </w:r>
      <w:r w:rsidRPr="0056423C">
        <w:t>Zákon č. 89/2012 Sb., občanský zákoník.</w:t>
      </w:r>
    </w:p>
  </w:footnote>
  <w:footnote w:id="8">
    <w:p w14:paraId="05BB83D0" w14:textId="37C46A8E" w:rsidR="00433B76" w:rsidRDefault="00433B76" w:rsidP="003B3D3D">
      <w:pPr>
        <w:pStyle w:val="Textpoznpodarou"/>
        <w:spacing w:before="0"/>
      </w:pPr>
      <w:r>
        <w:rPr>
          <w:rStyle w:val="Znakapoznpodarou"/>
        </w:rPr>
        <w:t>3j)</w:t>
      </w:r>
      <w:r>
        <w:t xml:space="preserve"> </w:t>
      </w:r>
      <w:r w:rsidRPr="0056423C">
        <w:t>§ 1746 odst. 2 občanského zákoníku.</w:t>
      </w:r>
    </w:p>
  </w:footnote>
  <w:footnote w:id="9">
    <w:p w14:paraId="21E93D5D" w14:textId="437D7E07" w:rsidR="00433B76" w:rsidRDefault="00433B76" w:rsidP="00234082">
      <w:pPr>
        <w:pStyle w:val="Textpoznpodarou"/>
        <w:tabs>
          <w:tab w:val="clear" w:pos="425"/>
          <w:tab w:val="left" w:pos="426"/>
        </w:tabs>
        <w:spacing w:before="0"/>
        <w:ind w:left="0" w:firstLine="0"/>
      </w:pPr>
      <w:r w:rsidRPr="00234082">
        <w:rPr>
          <w:rStyle w:val="Znakapoznpodarou"/>
          <w:strike/>
        </w:rPr>
        <w:t>3k)</w:t>
      </w:r>
      <w:r>
        <w:t xml:space="preserve"> </w:t>
      </w:r>
      <w:r w:rsidRPr="0056423C">
        <w:rPr>
          <w:strike/>
        </w:rPr>
        <w:t>Například zákon č. 563/1991 Sb., o účetnictví, ve znění pozdějších předpisů, zákon č. 280/2009 Sb., daňový řád, ve znění pozdějších předpisů.</w:t>
      </w:r>
    </w:p>
    <w:p w14:paraId="66FAD524" w14:textId="6BA8BD92" w:rsidR="00433B76" w:rsidRDefault="00433B76" w:rsidP="00234082">
      <w:pPr>
        <w:pStyle w:val="Textpoznpodarou"/>
        <w:tabs>
          <w:tab w:val="clear" w:pos="425"/>
          <w:tab w:val="left" w:pos="426"/>
        </w:tabs>
        <w:spacing w:before="0"/>
        <w:ind w:left="0" w:firstLine="0"/>
      </w:pPr>
      <w:r w:rsidRPr="00234082">
        <w:rPr>
          <w:vertAlign w:val="superscript"/>
        </w:rPr>
        <w:t>3k)</w:t>
      </w:r>
      <w:r>
        <w:t xml:space="preserve"> </w:t>
      </w:r>
      <w:r w:rsidRPr="0056423C">
        <w:t>Zákon č. ………… /2024 Sb., o účetnictví, zákon č. 280/2009 Sb., daňový řád, ve znění pozdějších předpisů.</w:t>
      </w:r>
    </w:p>
  </w:footnote>
  <w:footnote w:id="10">
    <w:p w14:paraId="04C28414" w14:textId="77777777" w:rsidR="00433B76" w:rsidRPr="002E69F1" w:rsidRDefault="00433B76" w:rsidP="002B6A12">
      <w:pPr>
        <w:pStyle w:val="Textpoznpodarou"/>
        <w:spacing w:before="0"/>
        <w:rPr>
          <w:strike/>
        </w:rPr>
      </w:pPr>
      <w:r w:rsidRPr="002E69F1">
        <w:rPr>
          <w:rStyle w:val="Znakapoznpodarou"/>
          <w:strike/>
          <w:color w:val="0070C0"/>
        </w:rPr>
        <w:t>1)</w:t>
      </w:r>
      <w:r w:rsidRPr="002E69F1">
        <w:rPr>
          <w:strike/>
          <w:color w:val="0070C0"/>
        </w:rPr>
        <w:t xml:space="preserve"> Zákon č. 151/1997 Sb., o oceňování majetku a o změně některých zákonů (zákon o oceňování majetku).</w:t>
      </w:r>
    </w:p>
  </w:footnote>
  <w:footnote w:id="11">
    <w:p w14:paraId="35519C8D" w14:textId="77777777" w:rsidR="00433B76" w:rsidRPr="00BB2E5D" w:rsidRDefault="00433B76" w:rsidP="002B6A12">
      <w:pPr>
        <w:pStyle w:val="Textpoznpodarou"/>
        <w:spacing w:before="0"/>
        <w:ind w:left="0" w:firstLine="0"/>
        <w:rPr>
          <w:b/>
          <w:color w:val="0070C0"/>
        </w:rPr>
      </w:pPr>
      <w:r w:rsidRPr="00BB2E5D">
        <w:rPr>
          <w:rStyle w:val="Znakapoznpodarou"/>
          <w:b/>
          <w:color w:val="0070C0"/>
        </w:rPr>
        <w:t>14)</w:t>
      </w:r>
      <w:r w:rsidRPr="00BB2E5D">
        <w:rPr>
          <w:b/>
          <w:color w:val="0070C0"/>
        </w:rPr>
        <w:t xml:space="preserve"> Směrnice Evropského parlamentu a Rady 98/6/ES ze dne 16. února 1998 o ochraně spotřebitelů při označování cen výrobků nabízených spotřebiteli, ve znění směrnice Evropského parlamentu a Rady (EU) 2019/2161.</w:t>
      </w:r>
    </w:p>
  </w:footnote>
  <w:footnote w:id="12">
    <w:p w14:paraId="16EFAA49" w14:textId="77777777" w:rsidR="00433B76" w:rsidRPr="00BB2E5D" w:rsidRDefault="00433B76" w:rsidP="002B6A12">
      <w:pPr>
        <w:pStyle w:val="Textpoznpodarou"/>
        <w:spacing w:before="0"/>
        <w:rPr>
          <w:strike/>
          <w:color w:val="0070C0"/>
        </w:rPr>
      </w:pPr>
      <w:r w:rsidRPr="00BB2E5D">
        <w:rPr>
          <w:rStyle w:val="Znakapoznpodarou"/>
          <w:strike/>
          <w:color w:val="0070C0"/>
        </w:rPr>
        <w:t>2)</w:t>
      </w:r>
      <w:r w:rsidRPr="00BB2E5D">
        <w:rPr>
          <w:strike/>
          <w:color w:val="0070C0"/>
        </w:rPr>
        <w:t xml:space="preserve"> Zákon Slovenské národní rady č. 139/1984 Sb., ve znění zákona Slovenské národní rady č. 192/1990 Sb.</w:t>
      </w:r>
    </w:p>
    <w:p w14:paraId="03647CED" w14:textId="77777777" w:rsidR="00433B76" w:rsidRPr="00BB2E5D" w:rsidRDefault="00433B76" w:rsidP="002B6A12">
      <w:pPr>
        <w:pStyle w:val="Textpoznpodarou"/>
        <w:spacing w:before="0"/>
        <w:ind w:left="0" w:firstLine="0"/>
        <w:rPr>
          <w:strike/>
          <w:color w:val="0070C0"/>
        </w:rPr>
      </w:pPr>
      <w:r w:rsidRPr="00BB2E5D">
        <w:rPr>
          <w:strike/>
          <w:color w:val="0070C0"/>
        </w:rPr>
        <w:t>Zákon České národní rady č. 146/1984 Sb., ve znění zákona České národní rady č. 201/1990 Sb.</w:t>
      </w:r>
    </w:p>
    <w:p w14:paraId="411951BC" w14:textId="77777777" w:rsidR="00433B76" w:rsidRPr="00BB2E5D" w:rsidRDefault="00433B76" w:rsidP="002B6A12">
      <w:pPr>
        <w:pStyle w:val="Textpoznpodarou"/>
        <w:spacing w:before="0"/>
        <w:ind w:left="0" w:firstLine="0"/>
        <w:rPr>
          <w:strike/>
          <w:color w:val="0070C0"/>
        </w:rPr>
      </w:pPr>
      <w:r w:rsidRPr="00BB2E5D">
        <w:rPr>
          <w:strike/>
          <w:color w:val="0070C0"/>
        </w:rPr>
        <w:t>Vyhláška federálního ministerstva financí, ministerstva financí, cen a mezd České socialistické republiky a ministerstva financí, cen a mezd Slovenské socialistické republiky č. 231/1988 Sb., o správních poplatcích, ve znění změn a doplňků.</w:t>
      </w:r>
    </w:p>
    <w:p w14:paraId="036177A3" w14:textId="77777777" w:rsidR="00433B76" w:rsidRPr="00BB2E5D" w:rsidRDefault="00433B76" w:rsidP="002B6A12">
      <w:pPr>
        <w:pStyle w:val="Textpoznpodarou"/>
        <w:spacing w:before="0"/>
        <w:ind w:left="0" w:firstLine="0"/>
        <w:rPr>
          <w:strike/>
          <w:color w:val="0070C0"/>
        </w:rPr>
      </w:pPr>
      <w:r w:rsidRPr="00BB2E5D">
        <w:rPr>
          <w:strike/>
          <w:color w:val="0070C0"/>
        </w:rPr>
        <w:t>Vyhláška Státní banky československé č. 31/1990 Sb., o odměnách za poskytování peněžních služeb.</w:t>
      </w:r>
    </w:p>
    <w:p w14:paraId="4D374FA0" w14:textId="77777777" w:rsidR="00433B76" w:rsidRPr="00BB2E5D" w:rsidRDefault="00433B76" w:rsidP="002B6A12">
      <w:pPr>
        <w:pStyle w:val="Textpoznpodarou"/>
        <w:spacing w:before="0"/>
        <w:ind w:left="0" w:firstLine="0"/>
        <w:rPr>
          <w:strike/>
          <w:color w:val="0070C0"/>
        </w:rPr>
      </w:pPr>
      <w:r w:rsidRPr="00BB2E5D">
        <w:rPr>
          <w:strike/>
          <w:color w:val="0070C0"/>
        </w:rPr>
        <w:t>Vyhláška ministerstva spravedlnosti Slovenské republiky č. 240/1990 Sb., o odměnách advokátů za poskytování právní pomoci.</w:t>
      </w:r>
    </w:p>
    <w:p w14:paraId="5DF69BCB" w14:textId="77777777" w:rsidR="00433B76" w:rsidRDefault="00433B76" w:rsidP="002B6A12">
      <w:pPr>
        <w:pStyle w:val="Textpoznpodarou"/>
        <w:spacing w:before="0"/>
        <w:ind w:left="0" w:firstLine="0"/>
      </w:pPr>
      <w:r w:rsidRPr="00BB2E5D">
        <w:rPr>
          <w:strike/>
          <w:color w:val="0070C0"/>
        </w:rPr>
        <w:t>Vyhláška ministerstva spravedlnosti České republiky č. 270/1990 Sb., o odměnách advokátů a komerčních právníků za poskytování právní pomoci.</w:t>
      </w:r>
    </w:p>
  </w:footnote>
  <w:footnote w:id="13">
    <w:p w14:paraId="58C39F73" w14:textId="77777777" w:rsidR="00433B76" w:rsidRPr="00BB2E5D" w:rsidRDefault="00433B76" w:rsidP="002B6A12">
      <w:pPr>
        <w:pStyle w:val="Textpoznpodarou"/>
        <w:spacing w:before="0"/>
        <w:rPr>
          <w:strike/>
        </w:rPr>
      </w:pPr>
      <w:r w:rsidRPr="00BB2E5D">
        <w:rPr>
          <w:rStyle w:val="Znakapoznpodarou"/>
          <w:strike/>
          <w:color w:val="0070C0"/>
        </w:rPr>
        <w:t>2a)</w:t>
      </w:r>
      <w:r w:rsidRPr="00BB2E5D">
        <w:rPr>
          <w:strike/>
          <w:color w:val="0070C0"/>
        </w:rPr>
        <w:t xml:space="preserve"> </w:t>
      </w:r>
      <w:r w:rsidRPr="00BB2E5D">
        <w:rPr>
          <w:strike/>
          <w:color w:val="0070C0"/>
          <w:szCs w:val="24"/>
        </w:rPr>
        <w:t>Zákon č. 353/2003 Sb., o spotřebních daních, ve znění pozdějších předpisů.</w:t>
      </w:r>
    </w:p>
  </w:footnote>
  <w:footnote w:id="14">
    <w:p w14:paraId="63C8DD69" w14:textId="77777777" w:rsidR="00433B76" w:rsidRPr="00BB2E5D" w:rsidRDefault="00433B76" w:rsidP="002B6A12">
      <w:pPr>
        <w:pStyle w:val="Textpoznpodarou"/>
        <w:spacing w:before="0"/>
        <w:ind w:left="0" w:firstLine="0"/>
        <w:rPr>
          <w:strike/>
        </w:rPr>
      </w:pPr>
      <w:r w:rsidRPr="00BB2E5D">
        <w:rPr>
          <w:rStyle w:val="Znakapoznpodarou"/>
          <w:strike/>
          <w:color w:val="0070C0"/>
        </w:rPr>
        <w:t>2b)</w:t>
      </w:r>
      <w:r w:rsidRPr="00BB2E5D">
        <w:rPr>
          <w:strike/>
          <w:color w:val="0070C0"/>
        </w:rPr>
        <w:t xml:space="preserve"> Například nařízení Komise (ES) č. 657/2008 ze dne 10. července 2008, kterým se stanoví prováděcí pravidla k nařízení Rady (ES) č. 1234/2007, pokud jde o podporu ze Společenství pro poskytování mléka a některých mléčných výrobků ve školách.</w:t>
      </w:r>
    </w:p>
  </w:footnote>
  <w:footnote w:id="15">
    <w:p w14:paraId="7847F238" w14:textId="25FCAC9E" w:rsidR="00433B76" w:rsidRDefault="00433B76" w:rsidP="003B3D3D">
      <w:pPr>
        <w:pStyle w:val="Textpoznpodarou"/>
        <w:tabs>
          <w:tab w:val="clear" w:pos="425"/>
          <w:tab w:val="left" w:pos="426"/>
        </w:tabs>
        <w:spacing w:before="0"/>
        <w:ind w:left="0" w:firstLine="0"/>
      </w:pPr>
      <w:r>
        <w:rPr>
          <w:rStyle w:val="Znakapoznpodarou"/>
        </w:rPr>
        <w:t>6)</w:t>
      </w:r>
      <w:r>
        <w:t xml:space="preserve"> </w:t>
      </w:r>
      <w:r w:rsidRPr="007C0370">
        <w:t>Například zákon č. 114/1992 Sb., o ochraně přírody a krajiny, ve znění pozdějších předpisů, zákon č. 334/1992 Sb., o ochraně zemědělského půdního fondu, ve znění pozdějších předpisů, zákon č. 254/2001 Sb., o vodách a o změně některých zákonů (vodní zákon), ve znění pozdějších předpisů, zákon č. 201/2012 Sb., o ochraně ovzduší, ve znění pozdějších předpisů, zákon č. 185/2001 Sb., o odpadech a o změně některých dalších zákonů, ve znění pozdějších předpisů, zákon č. 477/2001 Sb., o obalech a o změně některých zákonů (zákon o obalech), ve znění pozdějších předpisů, zákon č. 76/2002 Sb., o integrované prevenci a omezování znečištění, o integrovaném registru znečišťování a o změně některých zákonů (zákon o integrované prevenci), ve znění pozdějších předpisů, zákon č. 167/2008 Sb., o předcházení ekologické újmě a o její nápravě a o změně některých zákonů, ve znění pozdějších předpisů, zákon č. 350/2011 Sb., o chemických látkách a chemických směsích a o změně některých zákonů (chemický zákon), ve znění pozdějších předpisů, zákon č. 73/2012 Sb., o látkách, které poškozují ozonovou vrstvu, a o fluorovaných skleníkových plynech.</w:t>
      </w:r>
    </w:p>
  </w:footnote>
  <w:footnote w:id="16">
    <w:p w14:paraId="4C32A0DE" w14:textId="6ADDD0FF" w:rsidR="00433B76" w:rsidRDefault="00433B76" w:rsidP="003B3D3D">
      <w:pPr>
        <w:pStyle w:val="Textpoznpodarou"/>
        <w:tabs>
          <w:tab w:val="clear" w:pos="425"/>
          <w:tab w:val="left" w:pos="426"/>
        </w:tabs>
        <w:spacing w:before="0"/>
        <w:ind w:left="0" w:firstLine="0"/>
      </w:pPr>
      <w:r>
        <w:rPr>
          <w:rStyle w:val="Znakapoznpodarou"/>
        </w:rPr>
        <w:t>7)</w:t>
      </w:r>
      <w:r>
        <w:t xml:space="preserve"> </w:t>
      </w:r>
      <w:r w:rsidRPr="007C0370">
        <w:t>§ 4 odst. 3 zákona č. 255/2012 Sb., o kontrole (kontrolní řád).</w:t>
      </w:r>
    </w:p>
  </w:footnote>
  <w:footnote w:id="17">
    <w:p w14:paraId="1465ED7C" w14:textId="77777777" w:rsidR="00433B76" w:rsidRDefault="00433B76" w:rsidP="00495F58">
      <w:pPr>
        <w:pStyle w:val="Textpoznpodarou"/>
      </w:pPr>
      <w:r>
        <w:rPr>
          <w:rStyle w:val="Znakapoznpodarou"/>
        </w:rPr>
        <w:t>2b)</w:t>
      </w:r>
      <w:r>
        <w:t xml:space="preserve"> </w:t>
      </w:r>
      <w:r w:rsidRPr="00F82BD9">
        <w:t>Zákon č. 513/1991 Sb., obchodní zákoník, ve znění pozdějších předpisů.</w:t>
      </w:r>
    </w:p>
  </w:footnote>
  <w:footnote w:id="18">
    <w:p w14:paraId="25547289" w14:textId="77777777" w:rsidR="00433B76" w:rsidRDefault="00433B76" w:rsidP="00495F58">
      <w:pPr>
        <w:pStyle w:val="Textpoznpodarou"/>
      </w:pPr>
      <w:r>
        <w:rPr>
          <w:rStyle w:val="Znakapoznpodarou"/>
        </w:rPr>
        <w:t>3)</w:t>
      </w:r>
      <w:r>
        <w:t xml:space="preserve"> </w:t>
      </w:r>
      <w:r w:rsidRPr="005226EF">
        <w:rPr>
          <w:strike/>
        </w:rPr>
        <w:t>Zákon č. 563/1991 Sb., o účetnictví.</w:t>
      </w:r>
    </w:p>
  </w:footnote>
  <w:footnote w:id="19">
    <w:p w14:paraId="33BAA5FF" w14:textId="77777777" w:rsidR="00433B76" w:rsidRPr="005226EF" w:rsidRDefault="00433B76" w:rsidP="00D838C4">
      <w:pPr>
        <w:pStyle w:val="Textpoznpodarou"/>
        <w:spacing w:before="0"/>
        <w:rPr>
          <w:strike/>
        </w:rPr>
      </w:pPr>
      <w:r w:rsidRPr="005226EF">
        <w:rPr>
          <w:rStyle w:val="Znakapoznpodarou"/>
          <w:strike/>
        </w:rPr>
        <w:t>7)</w:t>
      </w:r>
      <w:r w:rsidRPr="005226EF">
        <w:rPr>
          <w:strike/>
        </w:rPr>
        <w:t xml:space="preserve"> Zákon č. 151/1997 Sb., o oceňování majetku a o změně některých zákonů (zákon o oceňování majetku), ve </w:t>
      </w:r>
    </w:p>
    <w:p w14:paraId="1A7EF245" w14:textId="77777777" w:rsidR="00433B76" w:rsidRPr="005226EF" w:rsidRDefault="00433B76" w:rsidP="00D838C4">
      <w:pPr>
        <w:pStyle w:val="Textpoznpodarou"/>
        <w:spacing w:before="0"/>
        <w:rPr>
          <w:strike/>
        </w:rPr>
      </w:pPr>
      <w:r w:rsidRPr="005226EF">
        <w:rPr>
          <w:strike/>
        </w:rPr>
        <w:t>znění pozdějších předpisů.</w:t>
      </w:r>
    </w:p>
  </w:footnote>
  <w:footnote w:id="20">
    <w:p w14:paraId="0C9F891B" w14:textId="77777777" w:rsidR="00433B76" w:rsidRPr="007F7397" w:rsidRDefault="00433B76" w:rsidP="00DA5B55">
      <w:pPr>
        <w:pStyle w:val="Textpoznpodarou"/>
        <w:spacing w:before="0"/>
        <w:rPr>
          <w:strike/>
        </w:rPr>
      </w:pPr>
      <w:r w:rsidRPr="007F7397">
        <w:rPr>
          <w:rStyle w:val="Znakapoznpodarou"/>
          <w:strike/>
        </w:rPr>
        <w:t>2)</w:t>
      </w:r>
      <w:r w:rsidRPr="007F7397">
        <w:rPr>
          <w:strike/>
        </w:rPr>
        <w:t xml:space="preserve"> Zákon č. 527/1990 Sb., o vynálezech, průmyslových vzorech a zlepšovacích návrzích, ve znění zákona č. </w:t>
      </w:r>
    </w:p>
    <w:p w14:paraId="5F5B945B" w14:textId="77777777" w:rsidR="00433B76" w:rsidRPr="007F7397" w:rsidRDefault="00433B76" w:rsidP="00DA5B55">
      <w:pPr>
        <w:pStyle w:val="Textpoznpodarou"/>
        <w:spacing w:before="0"/>
        <w:rPr>
          <w:strike/>
        </w:rPr>
      </w:pPr>
      <w:r w:rsidRPr="007F7397">
        <w:rPr>
          <w:strike/>
        </w:rPr>
        <w:t xml:space="preserve">519/1991 Sb. Zákon č. 121/2000 Sb., o právu autorském, o právech souvisejících s právem autorským a o změně </w:t>
      </w:r>
    </w:p>
    <w:p w14:paraId="57574A73" w14:textId="77777777" w:rsidR="00433B76" w:rsidRPr="007F7397" w:rsidRDefault="00433B76" w:rsidP="00DA5B55">
      <w:pPr>
        <w:pStyle w:val="Textpoznpodarou"/>
        <w:spacing w:before="0"/>
        <w:rPr>
          <w:strike/>
        </w:rPr>
      </w:pPr>
      <w:r w:rsidRPr="007F7397">
        <w:rPr>
          <w:strike/>
        </w:rPr>
        <w:t xml:space="preserve">některých zákonů (autorský zákon). Zákon č. 529/1991 Sb., o ochraně topografií polovodičových prvků, ve znění </w:t>
      </w:r>
    </w:p>
    <w:p w14:paraId="4AD008C6" w14:textId="7AA16AA8" w:rsidR="00433B76" w:rsidRDefault="00433B76" w:rsidP="00DA5B55">
      <w:pPr>
        <w:pStyle w:val="Textpoznpodarou"/>
        <w:spacing w:before="0"/>
        <w:rPr>
          <w:strike/>
        </w:rPr>
      </w:pPr>
      <w:r w:rsidRPr="007F7397">
        <w:rPr>
          <w:strike/>
        </w:rPr>
        <w:t>zákona č. 116/2000 Sb. Zákon č. 478/1992 Sb., o užitných vzorech, ve znění zákona č. 116/2000 Sb.</w:t>
      </w:r>
    </w:p>
    <w:p w14:paraId="1D859649" w14:textId="08BCC292" w:rsidR="00433B76" w:rsidRPr="007F7397" w:rsidRDefault="00433B76" w:rsidP="00DA5B55">
      <w:pPr>
        <w:pStyle w:val="Textpoznpodarou"/>
        <w:spacing w:before="0"/>
        <w:ind w:left="0" w:firstLine="0"/>
        <w:rPr>
          <w:b/>
          <w:bCs/>
        </w:rPr>
      </w:pPr>
      <w:r w:rsidRPr="007F7397">
        <w:rPr>
          <w:b/>
          <w:vertAlign w:val="superscript"/>
        </w:rPr>
        <w:t>2)</w:t>
      </w:r>
      <w:r>
        <w:rPr>
          <w:b/>
        </w:rPr>
        <w:t xml:space="preserve"> </w:t>
      </w:r>
      <w:r w:rsidRPr="00A343B5">
        <w:rPr>
          <w:b/>
          <w:bCs/>
        </w:rPr>
        <w:t>Zákon č. 527/1990 Sb., o vynálezech a zlepšovacích návrzích, ve znění pozdějších předpisů. Zákon č. 121/2000 Sb., o právu autorském, o právech souvisejících s právem autorským a o změně některých zákonů (autorský zákon), ve znění pozdějších předpisů. Zákon č. 529/1991 Sb., o ochraně topografií polovodičových výrobků, ve znění pozdějších předpisů. Zákon č. 478/1992 Sb., o užitných vzorech, ve znění pozdějších předpisů.</w:t>
      </w:r>
    </w:p>
  </w:footnote>
  <w:footnote w:id="21">
    <w:p w14:paraId="29ED7C75" w14:textId="77777777" w:rsidR="00433B76" w:rsidRDefault="00433B76" w:rsidP="00DA5B55">
      <w:pPr>
        <w:pStyle w:val="Textpoznpodarou"/>
        <w:spacing w:before="0"/>
      </w:pPr>
      <w:r>
        <w:rPr>
          <w:rStyle w:val="Znakapoznpodarou"/>
        </w:rPr>
        <w:t>2a)</w:t>
      </w:r>
      <w:r>
        <w:t xml:space="preserve"> </w:t>
      </w:r>
      <w:r w:rsidRPr="007E593E">
        <w:t>Zákon č. 121/2000 Sb.</w:t>
      </w:r>
    </w:p>
  </w:footnote>
  <w:footnote w:id="22">
    <w:p w14:paraId="16CC56E5" w14:textId="77777777" w:rsidR="00433B76" w:rsidRDefault="00433B76" w:rsidP="00DA5B55">
      <w:pPr>
        <w:pStyle w:val="Textpoznpodarou"/>
        <w:spacing w:before="0"/>
      </w:pPr>
      <w:r>
        <w:rPr>
          <w:rStyle w:val="Znakapoznpodarou"/>
        </w:rPr>
        <w:t>2b)</w:t>
      </w:r>
      <w:r>
        <w:t xml:space="preserve"> </w:t>
      </w:r>
      <w:r w:rsidRPr="00CA2AEE">
        <w:t>Zákon č. 20/1987 Sb., o státní památkové péči, ve znění pozdějších předpisů.</w:t>
      </w:r>
    </w:p>
  </w:footnote>
  <w:footnote w:id="23">
    <w:p w14:paraId="382E401F" w14:textId="77777777" w:rsidR="00433B76" w:rsidRDefault="00433B76" w:rsidP="00DA5B55">
      <w:pPr>
        <w:pStyle w:val="Textpoznpodarou"/>
        <w:spacing w:before="0"/>
      </w:pPr>
      <w:r>
        <w:rPr>
          <w:rStyle w:val="Znakapoznpodarou"/>
        </w:rPr>
        <w:t>2c)</w:t>
      </w:r>
      <w:r>
        <w:t xml:space="preserve"> </w:t>
      </w:r>
      <w:r w:rsidRPr="00CA2AEE">
        <w:t>§ 21 odst. 2 zákona č. 20/1987 Sb., o státní památkové péči.</w:t>
      </w:r>
    </w:p>
  </w:footnote>
  <w:footnote w:id="24">
    <w:p w14:paraId="615EB030" w14:textId="77777777" w:rsidR="00433B76" w:rsidRDefault="00433B76" w:rsidP="00DA5B55">
      <w:pPr>
        <w:pStyle w:val="Textpoznpodarou"/>
        <w:spacing w:before="0"/>
      </w:pPr>
      <w:r>
        <w:rPr>
          <w:rStyle w:val="Znakapoznpodarou"/>
        </w:rPr>
        <w:t>2d)</w:t>
      </w:r>
      <w:r>
        <w:t xml:space="preserve"> </w:t>
      </w:r>
      <w:r w:rsidRPr="00CA2AEE">
        <w:t xml:space="preserve">Zákon č. 95/2004 Sb., o podmínkách získávání a uznávání odborné způsobilosti a specializované způsobilosti </w:t>
      </w:r>
    </w:p>
    <w:p w14:paraId="089A13DB" w14:textId="77777777" w:rsidR="00433B76" w:rsidRDefault="00433B76" w:rsidP="00DA5B55">
      <w:pPr>
        <w:pStyle w:val="Textpoznpodarou"/>
        <w:spacing w:before="0"/>
      </w:pPr>
      <w:r w:rsidRPr="00CA2AEE">
        <w:t>k výkonu zdravotnického povolání lékaře, zubního lékaře a farmaceuta, ve znění pozdějších předpisů.</w:t>
      </w:r>
    </w:p>
  </w:footnote>
  <w:footnote w:id="25">
    <w:p w14:paraId="19F87A0C" w14:textId="62154CA9" w:rsidR="00433B76" w:rsidRDefault="00433B76" w:rsidP="00DA5B55">
      <w:pPr>
        <w:pStyle w:val="Textpoznpodarou"/>
        <w:tabs>
          <w:tab w:val="clear" w:pos="425"/>
          <w:tab w:val="left" w:pos="0"/>
        </w:tabs>
        <w:spacing w:before="0"/>
        <w:ind w:left="0" w:firstLine="0"/>
      </w:pPr>
      <w:r>
        <w:rPr>
          <w:rStyle w:val="Znakapoznpodarou"/>
        </w:rPr>
        <w:t>2e)</w:t>
      </w:r>
      <w:r>
        <w:t xml:space="preserve"> Zákon č. 96/2004 Sb., o podmínkách získávání a uznávání způsobilosti k výkonu nelékařských zdravotnických povolání a k výkonu činnosti souvisejících s poskytováním zdravotní péče a o změně některých zákonů.</w:t>
      </w:r>
    </w:p>
  </w:footnote>
  <w:footnote w:id="26">
    <w:p w14:paraId="6C6EEEC1" w14:textId="77777777" w:rsidR="00433B76" w:rsidRDefault="00433B76" w:rsidP="00DA5B55">
      <w:pPr>
        <w:pStyle w:val="Textpoznpodarou"/>
        <w:spacing w:before="0"/>
      </w:pPr>
      <w:r>
        <w:rPr>
          <w:rStyle w:val="Znakapoznpodarou"/>
        </w:rPr>
        <w:t>3)</w:t>
      </w:r>
      <w:r>
        <w:t xml:space="preserve"> </w:t>
      </w:r>
      <w:r w:rsidRPr="00CA2AEE">
        <w:t xml:space="preserve">Zákon č. 166/1999 Sb., o veterinární péči a o změně souvisejících zákonů (veterinární zákon), ve znění </w:t>
      </w:r>
    </w:p>
    <w:p w14:paraId="76CA5E7E" w14:textId="77777777" w:rsidR="00433B76" w:rsidRDefault="00433B76" w:rsidP="00DA5B55">
      <w:pPr>
        <w:pStyle w:val="Textpoznpodarou"/>
        <w:spacing w:before="0"/>
      </w:pPr>
      <w:r w:rsidRPr="00CA2AEE">
        <w:t>pozdějších předpisů.</w:t>
      </w:r>
    </w:p>
  </w:footnote>
  <w:footnote w:id="27">
    <w:p w14:paraId="4C97F5B1" w14:textId="77777777" w:rsidR="00433B76" w:rsidRDefault="00433B76" w:rsidP="00DA5B55">
      <w:pPr>
        <w:pStyle w:val="Textpoznpodarou"/>
        <w:spacing w:before="0"/>
      </w:pPr>
      <w:r>
        <w:rPr>
          <w:rStyle w:val="Znakapoznpodarou"/>
        </w:rPr>
        <w:t>4)</w:t>
      </w:r>
      <w:r>
        <w:t xml:space="preserve"> </w:t>
      </w:r>
      <w:r w:rsidRPr="00A7264B">
        <w:t>Zákon č. 85/1996 Sb., o advokacii, ve znění pozdějších předpisů.</w:t>
      </w:r>
    </w:p>
  </w:footnote>
  <w:footnote w:id="28">
    <w:p w14:paraId="7CB9731F" w14:textId="77777777" w:rsidR="00433B76" w:rsidRDefault="00433B76" w:rsidP="00DA5B55">
      <w:pPr>
        <w:pStyle w:val="Textpoznpodarou"/>
        <w:spacing w:before="0"/>
      </w:pPr>
      <w:r>
        <w:rPr>
          <w:rStyle w:val="Znakapoznpodarou"/>
        </w:rPr>
        <w:t>5a)</w:t>
      </w:r>
      <w:r>
        <w:t xml:space="preserve"> </w:t>
      </w:r>
      <w:r w:rsidRPr="00A7264B">
        <w:t>Zákon ČNR č. 358/1992 Sb., o notářích a jejich činnosti.</w:t>
      </w:r>
    </w:p>
  </w:footnote>
  <w:footnote w:id="29">
    <w:p w14:paraId="718254B6" w14:textId="72A7322C" w:rsidR="00433B76" w:rsidRDefault="00433B76" w:rsidP="00DA5B55">
      <w:pPr>
        <w:pStyle w:val="Textpoznpodarou"/>
        <w:spacing w:before="0"/>
        <w:rPr>
          <w:strike/>
        </w:rPr>
      </w:pPr>
      <w:r w:rsidRPr="007F7397">
        <w:rPr>
          <w:rStyle w:val="Znakapoznpodarou"/>
          <w:strike/>
        </w:rPr>
        <w:t>6)</w:t>
      </w:r>
      <w:r w:rsidRPr="007F7397">
        <w:rPr>
          <w:strike/>
        </w:rPr>
        <w:t xml:space="preserve"> Zákon č. 237/1991 Sb., o patentových zástupcích, ve znění zákona ČNR č. 14/1993 Sb.</w:t>
      </w:r>
    </w:p>
    <w:p w14:paraId="133CC290" w14:textId="3BAC8751" w:rsidR="00433B76" w:rsidRPr="007F7397" w:rsidRDefault="00433B76" w:rsidP="00DA5B55">
      <w:pPr>
        <w:pStyle w:val="Textpoznpodarou"/>
        <w:spacing w:before="0"/>
        <w:ind w:left="0" w:firstLine="0"/>
        <w:rPr>
          <w:b/>
          <w:bCs/>
        </w:rPr>
      </w:pPr>
      <w:r w:rsidRPr="007F7397">
        <w:rPr>
          <w:b/>
          <w:vertAlign w:val="superscript"/>
        </w:rPr>
        <w:t>6)</w:t>
      </w:r>
      <w:bookmarkStart w:id="3" w:name="_Hlk160699517"/>
      <w:r w:rsidRPr="007F7397">
        <w:rPr>
          <w:b/>
          <w:bCs/>
        </w:rPr>
        <w:t xml:space="preserve"> </w:t>
      </w:r>
      <w:r w:rsidRPr="00A343B5">
        <w:rPr>
          <w:b/>
          <w:bCs/>
        </w:rPr>
        <w:t xml:space="preserve">Zákon č. 417/2004 Sb., o patentových zástupcích a o změně zákona o opatřeních na ochranu průmyslového vlastnictví, </w:t>
      </w:r>
      <w:bookmarkEnd w:id="3"/>
      <w:r w:rsidRPr="00A343B5">
        <w:rPr>
          <w:b/>
          <w:bCs/>
        </w:rPr>
        <w:t>ve znění pozdějších předpisů.</w:t>
      </w:r>
    </w:p>
  </w:footnote>
  <w:footnote w:id="30">
    <w:p w14:paraId="2FF8AC0D" w14:textId="77777777" w:rsidR="00433B76" w:rsidRDefault="00433B76" w:rsidP="00DA5B55">
      <w:pPr>
        <w:pStyle w:val="Textpoznpodarou"/>
        <w:spacing w:before="0"/>
      </w:pPr>
      <w:r>
        <w:rPr>
          <w:rStyle w:val="Znakapoznpodarou"/>
        </w:rPr>
        <w:t>6a)</w:t>
      </w:r>
      <w:r>
        <w:t xml:space="preserve"> </w:t>
      </w:r>
      <w:r w:rsidRPr="00A7264B">
        <w:t>Zákon č. 120/2001 Sb., o soudních exekutorech a exekuční činnosti (exekuční řád) a o změně dalších zákonů.</w:t>
      </w:r>
    </w:p>
  </w:footnote>
  <w:footnote w:id="31">
    <w:p w14:paraId="71ED31C8" w14:textId="77777777" w:rsidR="00433B76" w:rsidRDefault="00433B76" w:rsidP="00DA5B55">
      <w:pPr>
        <w:pStyle w:val="Textpoznpodarou"/>
        <w:spacing w:before="0"/>
      </w:pPr>
      <w:r>
        <w:rPr>
          <w:rStyle w:val="Znakapoznpodarou"/>
        </w:rPr>
        <w:t>7)</w:t>
      </w:r>
      <w:r>
        <w:t xml:space="preserve"> </w:t>
      </w:r>
      <w:r w:rsidRPr="002112B3">
        <w:t>Zákon o soudních tlumočnících a soudních překladatelích.</w:t>
      </w:r>
    </w:p>
  </w:footnote>
  <w:footnote w:id="32">
    <w:p w14:paraId="339BB54D" w14:textId="51A57285" w:rsidR="00433B76" w:rsidRDefault="00433B76" w:rsidP="00DA5B55">
      <w:pPr>
        <w:pStyle w:val="Textpoznpodarou"/>
        <w:spacing w:before="0"/>
        <w:rPr>
          <w:strike/>
        </w:rPr>
      </w:pPr>
      <w:r w:rsidRPr="007F7397">
        <w:rPr>
          <w:rStyle w:val="Znakapoznpodarou"/>
          <w:strike/>
        </w:rPr>
        <w:t>8)</w:t>
      </w:r>
      <w:r w:rsidRPr="007F7397">
        <w:rPr>
          <w:strike/>
        </w:rPr>
        <w:t xml:space="preserve"> Zákon ČNR č. 524/1992 Sb., o auditorech a Komoře auditorů České republiky.</w:t>
      </w:r>
    </w:p>
    <w:p w14:paraId="53274197" w14:textId="4DAE99FC" w:rsidR="00433B76" w:rsidRPr="007F7397" w:rsidRDefault="00433B76" w:rsidP="00DA5B55">
      <w:pPr>
        <w:pStyle w:val="Textpoznpodarou"/>
        <w:spacing w:before="0"/>
        <w:rPr>
          <w:b/>
        </w:rPr>
      </w:pPr>
      <w:r w:rsidRPr="007F7397">
        <w:rPr>
          <w:b/>
          <w:vertAlign w:val="superscript"/>
        </w:rPr>
        <w:t>8</w:t>
      </w:r>
      <w:r>
        <w:rPr>
          <w:b/>
          <w:vertAlign w:val="superscript"/>
        </w:rPr>
        <w:t>)</w:t>
      </w:r>
      <w:r>
        <w:rPr>
          <w:b/>
        </w:rPr>
        <w:t xml:space="preserve"> </w:t>
      </w:r>
      <w:r w:rsidRPr="000E523E">
        <w:rPr>
          <w:b/>
          <w:szCs w:val="24"/>
        </w:rPr>
        <w:t>Zákon č. 93/2009 Sb., o auditorech a o změně některých zákonů (zákon o auditorech), ve znění pozdějších předpisů.</w:t>
      </w:r>
    </w:p>
  </w:footnote>
  <w:footnote w:id="33">
    <w:p w14:paraId="77871752" w14:textId="77777777" w:rsidR="00433B76" w:rsidRDefault="00433B76" w:rsidP="00DA5B55">
      <w:pPr>
        <w:pStyle w:val="Textpoznpodarou"/>
        <w:spacing w:before="0"/>
      </w:pPr>
      <w:r>
        <w:rPr>
          <w:rStyle w:val="Znakapoznpodarou"/>
        </w:rPr>
        <w:t>8a)</w:t>
      </w:r>
      <w:r>
        <w:t xml:space="preserve"> </w:t>
      </w:r>
      <w:r w:rsidRPr="002112B3">
        <w:t>Zákon ČNR č. 523/1992 Sb., o daňovém poradenství a Komoře daňových poradců České republiky.</w:t>
      </w:r>
    </w:p>
  </w:footnote>
  <w:footnote w:id="34">
    <w:p w14:paraId="1496A884" w14:textId="77777777" w:rsidR="00433B76" w:rsidRDefault="00433B76" w:rsidP="00DA5B55">
      <w:pPr>
        <w:pStyle w:val="Textpoznpodarou"/>
        <w:spacing w:before="0"/>
      </w:pPr>
      <w:r>
        <w:rPr>
          <w:rStyle w:val="Znakapoznpodarou"/>
        </w:rPr>
        <w:t>8b)</w:t>
      </w:r>
      <w:r>
        <w:t xml:space="preserve"> </w:t>
      </w:r>
      <w:r w:rsidRPr="000D2875">
        <w:t>Zákon č. 229/1992 Sb., o komoditních burzách, ve znění pozdějších předpisů.</w:t>
      </w:r>
    </w:p>
  </w:footnote>
  <w:footnote w:id="35">
    <w:p w14:paraId="72CB9004" w14:textId="77777777" w:rsidR="00433B76" w:rsidRDefault="00433B76" w:rsidP="00DA5B55">
      <w:pPr>
        <w:pStyle w:val="Textpoznpodarou"/>
        <w:spacing w:before="0"/>
      </w:pPr>
      <w:r>
        <w:rPr>
          <w:rStyle w:val="Znakapoznpodarou"/>
        </w:rPr>
        <w:t>9)</w:t>
      </w:r>
      <w:r>
        <w:t xml:space="preserve"> </w:t>
      </w:r>
      <w:r w:rsidRPr="000D2875">
        <w:t>§ 11 a § 13 odst. 1 zákona č. 2/1991 Sb., o kolektivním vyjednávání, ve znění zákona č. 519/1991 Sb., zákona</w:t>
      </w:r>
      <w:r>
        <w:t xml:space="preserve"> </w:t>
      </w:r>
    </w:p>
    <w:p w14:paraId="0660CEE9" w14:textId="77777777" w:rsidR="00433B76" w:rsidRDefault="00433B76" w:rsidP="00DA5B55">
      <w:pPr>
        <w:pStyle w:val="Textpoznpodarou"/>
        <w:spacing w:before="0"/>
      </w:pPr>
      <w:r w:rsidRPr="000D2875">
        <w:t>č. 118/1995 Sb. a zákona č. 155/1995 Sb.</w:t>
      </w:r>
    </w:p>
  </w:footnote>
  <w:footnote w:id="36">
    <w:p w14:paraId="4AEE7206" w14:textId="77777777" w:rsidR="00433B76" w:rsidRDefault="00433B76" w:rsidP="00DA5B55">
      <w:pPr>
        <w:pStyle w:val="Textpoznpodarou"/>
        <w:spacing w:before="0"/>
      </w:pPr>
      <w:r>
        <w:rPr>
          <w:rStyle w:val="Znakapoznpodarou"/>
        </w:rPr>
        <w:t>9a)</w:t>
      </w:r>
      <w:r>
        <w:t xml:space="preserve"> </w:t>
      </w:r>
      <w:r w:rsidRPr="000D2875">
        <w:t>Zákon č. 216/1994 Sb., o rozhodčím řízení a o výkonu rozhodčích nálezů.</w:t>
      </w:r>
    </w:p>
  </w:footnote>
  <w:footnote w:id="37">
    <w:p w14:paraId="38991E8E" w14:textId="77777777" w:rsidR="00433B76" w:rsidRDefault="00433B76" w:rsidP="00DA5B55">
      <w:pPr>
        <w:pStyle w:val="Textpoznpodarou"/>
        <w:spacing w:before="0"/>
      </w:pPr>
      <w:r>
        <w:rPr>
          <w:rStyle w:val="Znakapoznpodarou"/>
        </w:rPr>
        <w:t>10)</w:t>
      </w:r>
      <w:r>
        <w:t xml:space="preserve"> </w:t>
      </w:r>
      <w:r w:rsidRPr="000D2875">
        <w:t xml:space="preserve">Zákon č. 200/1994 Sb., o zeměměřictví a o změně a doplnění některých zákonů souvisejících s jeho </w:t>
      </w:r>
    </w:p>
    <w:p w14:paraId="65360746" w14:textId="77777777" w:rsidR="00433B76" w:rsidRDefault="00433B76" w:rsidP="00DA5B55">
      <w:pPr>
        <w:pStyle w:val="Textpoznpodarou"/>
        <w:spacing w:before="0"/>
      </w:pPr>
      <w:r w:rsidRPr="000D2875">
        <w:t>zavedením.</w:t>
      </w:r>
    </w:p>
  </w:footnote>
  <w:footnote w:id="38">
    <w:p w14:paraId="64C1F287" w14:textId="77777777" w:rsidR="00433B76" w:rsidRDefault="00433B76" w:rsidP="00DA5B55">
      <w:pPr>
        <w:pStyle w:val="Textpoznpodarou"/>
        <w:spacing w:before="0"/>
      </w:pPr>
      <w:r>
        <w:rPr>
          <w:rStyle w:val="Znakapoznpodarou"/>
        </w:rPr>
        <w:t>10a)</w:t>
      </w:r>
      <w:r>
        <w:t xml:space="preserve"> </w:t>
      </w:r>
      <w:r w:rsidRPr="000D2875">
        <w:t>§ 14 odst. 1 písm. a) zákona č. 360/1992 Sb., o výkonu povolání autorizovaných</w:t>
      </w:r>
      <w:r>
        <w:t xml:space="preserve"> architektů a o výkonu povolání </w:t>
      </w:r>
    </w:p>
    <w:p w14:paraId="7F8206AC" w14:textId="77777777" w:rsidR="00433B76" w:rsidRDefault="00433B76" w:rsidP="00DA5B55">
      <w:pPr>
        <w:pStyle w:val="Textpoznpodarou"/>
        <w:spacing w:before="0"/>
      </w:pPr>
      <w:r w:rsidRPr="000D2875">
        <w:t>autorizovaných inženýrů a techniků činných ve výstavbě, ve znění pozdějších předpisů.</w:t>
      </w:r>
    </w:p>
  </w:footnote>
  <w:footnote w:id="39">
    <w:p w14:paraId="3A46E853" w14:textId="77777777" w:rsidR="00433B76" w:rsidRDefault="00433B76" w:rsidP="00DA5B55">
      <w:pPr>
        <w:pStyle w:val="Textpoznpodarou"/>
        <w:spacing w:before="0"/>
      </w:pPr>
      <w:r>
        <w:rPr>
          <w:rStyle w:val="Znakapoznpodarou"/>
        </w:rPr>
        <w:t>10b)</w:t>
      </w:r>
      <w:r>
        <w:t xml:space="preserve"> </w:t>
      </w:r>
      <w:r w:rsidRPr="000D2875">
        <w:t>§ 144 odst. 4 zákona č. 183/2006 Sb., o územním plánování a stavebním řádu (stavební zákon).</w:t>
      </w:r>
    </w:p>
  </w:footnote>
  <w:footnote w:id="40">
    <w:p w14:paraId="4D4B8B19" w14:textId="77777777" w:rsidR="00433B76" w:rsidRDefault="00433B76" w:rsidP="00DA5B55">
      <w:pPr>
        <w:pStyle w:val="Textpoznpodarou"/>
        <w:spacing w:before="0"/>
      </w:pPr>
      <w:r>
        <w:rPr>
          <w:rStyle w:val="Znakapoznpodarou"/>
        </w:rPr>
        <w:t>52)</w:t>
      </w:r>
      <w:r>
        <w:t xml:space="preserve"> </w:t>
      </w:r>
      <w:r w:rsidRPr="000D2875">
        <w:t>Zákon č. 13/1997 Sb., o pozemních komunikacích, ve znění zákona č. 152/2011 Sb.</w:t>
      </w:r>
    </w:p>
  </w:footnote>
  <w:footnote w:id="41">
    <w:p w14:paraId="66241AD7" w14:textId="77777777" w:rsidR="00433B76" w:rsidRDefault="00433B76" w:rsidP="00DA5B55">
      <w:pPr>
        <w:pStyle w:val="Textpoznpodarou"/>
        <w:spacing w:before="0"/>
      </w:pPr>
      <w:r>
        <w:rPr>
          <w:rStyle w:val="Znakapoznpodarou"/>
        </w:rPr>
        <w:t>11)</w:t>
      </w:r>
      <w:r>
        <w:t xml:space="preserve"> </w:t>
      </w:r>
      <w:r w:rsidRPr="000D2875">
        <w:t>Zákon č. 6/1993 Sb., o České národní bance, ve znění pozdějších předpisů.</w:t>
      </w:r>
      <w:r>
        <w:t xml:space="preserve"> </w:t>
      </w:r>
      <w:r w:rsidRPr="000D2875">
        <w:t>Z</w:t>
      </w:r>
      <w:r>
        <w:t xml:space="preserve">ákon č. 21/1992 Sb., o bankách, </w:t>
      </w:r>
    </w:p>
    <w:p w14:paraId="1226A55E" w14:textId="77777777" w:rsidR="00433B76" w:rsidRDefault="00433B76" w:rsidP="00DA5B55">
      <w:pPr>
        <w:pStyle w:val="Textpoznpodarou"/>
        <w:spacing w:before="0"/>
      </w:pPr>
      <w:r w:rsidRPr="000D2875">
        <w:t>ve znění pozdějších předpisů.</w:t>
      </w:r>
    </w:p>
  </w:footnote>
  <w:footnote w:id="42">
    <w:p w14:paraId="6FA2B2E7" w14:textId="77777777" w:rsidR="00433B76" w:rsidRDefault="00433B76" w:rsidP="00DA5B55">
      <w:pPr>
        <w:pStyle w:val="Textpoznpodarou"/>
        <w:spacing w:before="0"/>
      </w:pPr>
      <w:r>
        <w:rPr>
          <w:rStyle w:val="Znakapoznpodarou"/>
        </w:rPr>
        <w:t>11a)</w:t>
      </w:r>
      <w:r>
        <w:t xml:space="preserve"> </w:t>
      </w:r>
      <w:r w:rsidRPr="000D2875">
        <w:t>Zákon č. 284/2009 Sb., o platebním styku.</w:t>
      </w:r>
    </w:p>
  </w:footnote>
  <w:footnote w:id="43">
    <w:p w14:paraId="4FB64B1E" w14:textId="77777777" w:rsidR="00433B76" w:rsidRDefault="00433B76" w:rsidP="00DA5B55">
      <w:pPr>
        <w:pStyle w:val="Textpoznpodarou"/>
        <w:spacing w:before="0"/>
      </w:pPr>
      <w:r>
        <w:rPr>
          <w:rStyle w:val="Znakapoznpodarou"/>
        </w:rPr>
        <w:t>11d)</w:t>
      </w:r>
      <w:r>
        <w:t xml:space="preserve"> </w:t>
      </w:r>
      <w:r w:rsidRPr="000D2875">
        <w:t>Zákon č. 219/1995 Sb., devizový zákon, ve znění pozdějších předpisů.</w:t>
      </w:r>
    </w:p>
  </w:footnote>
  <w:footnote w:id="44">
    <w:p w14:paraId="1F6C99D6" w14:textId="77777777" w:rsidR="00433B76" w:rsidRDefault="00433B76" w:rsidP="00DA5B55">
      <w:pPr>
        <w:pStyle w:val="Textpoznpodarou"/>
        <w:spacing w:before="0"/>
      </w:pPr>
      <w:r>
        <w:rPr>
          <w:rStyle w:val="Znakapoznpodarou"/>
        </w:rPr>
        <w:t>12)</w:t>
      </w:r>
      <w:r>
        <w:t xml:space="preserve"> </w:t>
      </w:r>
      <w:r w:rsidRPr="00A70104">
        <w:t>Zákon č. 363/1999 Sb., o pojišťovnictví a o změně některých souvisejících zákonů (zákon o pojišťovnictví).</w:t>
      </w:r>
      <w:r>
        <w:t xml:space="preserve"> </w:t>
      </w:r>
    </w:p>
    <w:p w14:paraId="24567BB6" w14:textId="77777777" w:rsidR="00433B76" w:rsidRDefault="00433B76" w:rsidP="00DA5B55">
      <w:pPr>
        <w:pStyle w:val="Textpoznpodarou"/>
        <w:spacing w:before="0"/>
      </w:pPr>
      <w:r w:rsidRPr="00A70104">
        <w:t xml:space="preserve">Zákon č. 38/2004 Sb., o pojišťovacích zprostředkovatelích a samostatných likvidátorech pojistných událostí a o </w:t>
      </w:r>
    </w:p>
    <w:p w14:paraId="24D4CE35" w14:textId="77777777" w:rsidR="00433B76" w:rsidRDefault="00433B76" w:rsidP="00DA5B55">
      <w:pPr>
        <w:pStyle w:val="Textpoznpodarou"/>
        <w:spacing w:before="0"/>
      </w:pPr>
      <w:r w:rsidRPr="00A70104">
        <w:t>změně živnostenského zákona (zákon o pojišťovacích zprostředkovatelích a likvidátorech pojistných událostí).</w:t>
      </w:r>
    </w:p>
  </w:footnote>
  <w:footnote w:id="45">
    <w:p w14:paraId="12F79FF9" w14:textId="77777777" w:rsidR="00433B76" w:rsidRDefault="00433B76" w:rsidP="00DA5B55">
      <w:pPr>
        <w:pStyle w:val="Textpoznpodarou"/>
        <w:spacing w:before="0"/>
      </w:pPr>
      <w:r>
        <w:rPr>
          <w:rStyle w:val="Znakapoznpodarou"/>
        </w:rPr>
        <w:t>12a)</w:t>
      </w:r>
      <w:r>
        <w:t xml:space="preserve"> </w:t>
      </w:r>
      <w:r w:rsidRPr="00A70104">
        <w:t xml:space="preserve">Zákon č. 42/1994 Sb., o penzijním připojištění se státním příspěvkem a o změnách některých zákonů </w:t>
      </w:r>
    </w:p>
    <w:p w14:paraId="40C0C955" w14:textId="77777777" w:rsidR="00433B76" w:rsidRDefault="00433B76" w:rsidP="00DA5B55">
      <w:pPr>
        <w:pStyle w:val="Textpoznpodarou"/>
        <w:spacing w:before="0"/>
      </w:pPr>
      <w:r w:rsidRPr="00A70104">
        <w:t>souvisejících s jeho zavedením.</w:t>
      </w:r>
    </w:p>
  </w:footnote>
  <w:footnote w:id="46">
    <w:p w14:paraId="3EF88C5C" w14:textId="77777777" w:rsidR="00433B76" w:rsidRDefault="00433B76" w:rsidP="00DA5B55">
      <w:pPr>
        <w:pStyle w:val="Textpoznpodarou"/>
        <w:spacing w:before="0"/>
      </w:pPr>
      <w:r>
        <w:rPr>
          <w:rStyle w:val="Znakapoznpodarou"/>
        </w:rPr>
        <w:t>55)</w:t>
      </w:r>
      <w:r>
        <w:t xml:space="preserve"> </w:t>
      </w:r>
      <w:r w:rsidRPr="00A70104">
        <w:t>Zákon č. 427/2011 Sb., o doplňkovém penzijním spoření.</w:t>
      </w:r>
    </w:p>
  </w:footnote>
  <w:footnote w:id="47">
    <w:p w14:paraId="602D6E07" w14:textId="77777777" w:rsidR="00433B76" w:rsidRDefault="00433B76" w:rsidP="00DA5B55">
      <w:pPr>
        <w:pStyle w:val="Textpoznpodarou"/>
        <w:spacing w:before="0"/>
      </w:pPr>
      <w:r>
        <w:rPr>
          <w:rStyle w:val="Znakapoznpodarou"/>
        </w:rPr>
        <w:t>12b)</w:t>
      </w:r>
      <w:r>
        <w:t xml:space="preserve"> </w:t>
      </w:r>
      <w:r w:rsidRPr="00A70104">
        <w:t xml:space="preserve">Zákon č. 87/1995 Sb., o spořitelních a úvěrních družstvech a některých opatřeních s tím souvisejících a o </w:t>
      </w:r>
    </w:p>
    <w:p w14:paraId="49E2DCC2" w14:textId="77777777" w:rsidR="00433B76" w:rsidRDefault="00433B76" w:rsidP="00DA5B55">
      <w:pPr>
        <w:pStyle w:val="Textpoznpodarou"/>
        <w:spacing w:before="0"/>
      </w:pPr>
      <w:r w:rsidRPr="00A70104">
        <w:t>doplnění zákona České národní rady č. 586/1992 Sb., o daních z příjmů, ve znění pozdějších předpisů.</w:t>
      </w:r>
    </w:p>
  </w:footnote>
  <w:footnote w:id="48">
    <w:p w14:paraId="1F3BCCA1" w14:textId="77777777" w:rsidR="00433B76" w:rsidRDefault="00433B76" w:rsidP="00DA5B55">
      <w:pPr>
        <w:pStyle w:val="Textpoznpodarou"/>
        <w:spacing w:before="0"/>
      </w:pPr>
      <w:r>
        <w:rPr>
          <w:rStyle w:val="Znakapoznpodarou"/>
        </w:rPr>
        <w:t>8b)</w:t>
      </w:r>
      <w:r>
        <w:t xml:space="preserve"> </w:t>
      </w:r>
      <w:r w:rsidRPr="00A70104">
        <w:t>Zákon č. 229/1992 Sb., o komoditních burzách, ve znění pozdějších předpisů.</w:t>
      </w:r>
    </w:p>
  </w:footnote>
  <w:footnote w:id="49">
    <w:p w14:paraId="54260146" w14:textId="77777777" w:rsidR="00433B76" w:rsidRDefault="00433B76" w:rsidP="00DA5B55">
      <w:pPr>
        <w:pStyle w:val="Textpoznpodarou"/>
        <w:spacing w:before="0"/>
      </w:pPr>
      <w:r>
        <w:rPr>
          <w:rStyle w:val="Znakapoznpodarou"/>
        </w:rPr>
        <w:t>13b)</w:t>
      </w:r>
      <w:r>
        <w:t xml:space="preserve"> </w:t>
      </w:r>
      <w:r w:rsidRPr="00A70104">
        <w:t>Zákon č. 256/2004 Sb.</w:t>
      </w:r>
    </w:p>
  </w:footnote>
  <w:footnote w:id="50">
    <w:p w14:paraId="510BAA87" w14:textId="77777777" w:rsidR="00433B76" w:rsidRDefault="00433B76" w:rsidP="00DA5B55">
      <w:pPr>
        <w:pStyle w:val="Textpoznpodarou"/>
        <w:spacing w:before="0"/>
      </w:pPr>
      <w:r>
        <w:rPr>
          <w:rStyle w:val="Znakapoznpodarou"/>
        </w:rPr>
        <w:t>13a)</w:t>
      </w:r>
      <w:r>
        <w:t xml:space="preserve"> </w:t>
      </w:r>
      <w:r w:rsidRPr="00662AB4">
        <w:t>§ 82 a 83 zákona č. 256/2004 Sb., o podnikání na kapitálovém trhu.</w:t>
      </w:r>
    </w:p>
  </w:footnote>
  <w:footnote w:id="51">
    <w:p w14:paraId="4799DD8D" w14:textId="77777777" w:rsidR="00433B76" w:rsidRDefault="00433B76" w:rsidP="00DA5B55">
      <w:pPr>
        <w:pStyle w:val="Textpoznpodarou"/>
        <w:spacing w:before="0"/>
      </w:pPr>
      <w:r>
        <w:rPr>
          <w:rStyle w:val="Znakapoznpodarou"/>
        </w:rPr>
        <w:t>13c)</w:t>
      </w:r>
      <w:r>
        <w:t xml:space="preserve"> </w:t>
      </w:r>
      <w:r w:rsidRPr="00662AB4">
        <w:t xml:space="preserve">Čl. 3 odst. 1 písm. b) nařízení Evropského parlamentu a Rady (ES) č. 1060/2009 ze dne 16. září 2009 o </w:t>
      </w:r>
    </w:p>
    <w:p w14:paraId="74D54243" w14:textId="77777777" w:rsidR="00433B76" w:rsidRDefault="00433B76" w:rsidP="00DA5B55">
      <w:pPr>
        <w:pStyle w:val="Textpoznpodarou"/>
        <w:spacing w:before="0"/>
      </w:pPr>
      <w:r w:rsidRPr="00662AB4">
        <w:t>ratingových agenturách.</w:t>
      </w:r>
    </w:p>
  </w:footnote>
  <w:footnote w:id="52">
    <w:p w14:paraId="345BEE97" w14:textId="77777777" w:rsidR="00433B76" w:rsidRDefault="00433B76" w:rsidP="00DA5B55">
      <w:pPr>
        <w:pStyle w:val="Textpoznpodarou"/>
        <w:spacing w:before="0"/>
      </w:pPr>
      <w:r>
        <w:rPr>
          <w:rStyle w:val="Znakapoznpodarou"/>
        </w:rPr>
        <w:t>15)</w:t>
      </w:r>
      <w:r>
        <w:t xml:space="preserve"> </w:t>
      </w:r>
      <w:r w:rsidRPr="00662AB4">
        <w:t xml:space="preserve">§ 2 a 3 zákona ČNR č. 61/1988 Sb., o hornické činnosti, výbušninách a o státní báňské správě, ve znění </w:t>
      </w:r>
    </w:p>
    <w:p w14:paraId="45DCE036" w14:textId="77777777" w:rsidR="00433B76" w:rsidRDefault="00433B76" w:rsidP="00DA5B55">
      <w:pPr>
        <w:pStyle w:val="Textpoznpodarou"/>
        <w:spacing w:before="0"/>
      </w:pPr>
      <w:r w:rsidRPr="00662AB4">
        <w:t>pozdějších předpisů.</w:t>
      </w:r>
    </w:p>
  </w:footnote>
  <w:footnote w:id="53">
    <w:p w14:paraId="45924ACA" w14:textId="77777777" w:rsidR="00433B76" w:rsidRDefault="00433B76" w:rsidP="00DA5B55">
      <w:pPr>
        <w:pStyle w:val="Textpoznpodarou"/>
        <w:spacing w:before="0"/>
      </w:pPr>
      <w:r>
        <w:rPr>
          <w:rStyle w:val="Znakapoznpodarou"/>
        </w:rPr>
        <w:t>16)</w:t>
      </w:r>
      <w:r>
        <w:t xml:space="preserve"> </w:t>
      </w:r>
      <w:r w:rsidRPr="00662AB4">
        <w:t xml:space="preserve">Zákon č. 458/2000 Sb., o podmínkách podnikání a o výkonu státní správy v energetických odvětvích a o změně </w:t>
      </w:r>
    </w:p>
    <w:p w14:paraId="184BF2B0" w14:textId="77777777" w:rsidR="00433B76" w:rsidRDefault="00433B76" w:rsidP="00DA5B55">
      <w:pPr>
        <w:pStyle w:val="Textpoznpodarou"/>
        <w:spacing w:before="0"/>
      </w:pPr>
      <w:r w:rsidRPr="00662AB4">
        <w:t>některých zákonů (energetický zákon), ve znění pozdějších předpisů.</w:t>
      </w:r>
    </w:p>
  </w:footnote>
  <w:footnote w:id="54">
    <w:p w14:paraId="34AA1278" w14:textId="77777777" w:rsidR="00433B76" w:rsidRDefault="00433B76" w:rsidP="00DA5B55">
      <w:pPr>
        <w:pStyle w:val="Textpoznpodarou"/>
        <w:spacing w:before="0"/>
      </w:pPr>
      <w:r>
        <w:rPr>
          <w:rStyle w:val="Znakapoznpodarou"/>
        </w:rPr>
        <w:t>17)</w:t>
      </w:r>
      <w:r>
        <w:t xml:space="preserve"> </w:t>
      </w:r>
      <w:r w:rsidRPr="00662AB4">
        <w:t>Zákon č. 61/2000 Sb., o námořní plavbě.</w:t>
      </w:r>
    </w:p>
  </w:footnote>
  <w:footnote w:id="55">
    <w:p w14:paraId="7B9358D6" w14:textId="77777777" w:rsidR="00433B76" w:rsidRDefault="00433B76" w:rsidP="00DA5B55">
      <w:pPr>
        <w:pStyle w:val="Textpoznpodarou"/>
        <w:spacing w:before="0"/>
      </w:pPr>
      <w:r>
        <w:rPr>
          <w:rStyle w:val="Znakapoznpodarou"/>
        </w:rPr>
        <w:t>18)</w:t>
      </w:r>
      <w:r>
        <w:t xml:space="preserve"> </w:t>
      </w:r>
      <w:r w:rsidRPr="00662AB4">
        <w:t>§ 60 odst. 3 zákona č. 266/1994 Sb., o dráhách.</w:t>
      </w:r>
    </w:p>
  </w:footnote>
  <w:footnote w:id="56">
    <w:p w14:paraId="5EC40260" w14:textId="77777777" w:rsidR="00433B76" w:rsidRDefault="00433B76" w:rsidP="00DA5B55">
      <w:pPr>
        <w:pStyle w:val="Textpoznpodarou"/>
        <w:spacing w:before="0"/>
      </w:pPr>
      <w:r>
        <w:rPr>
          <w:rStyle w:val="Znakapoznpodarou"/>
        </w:rPr>
        <w:t>19)</w:t>
      </w:r>
      <w:r>
        <w:t xml:space="preserve"> </w:t>
      </w:r>
      <w:r w:rsidRPr="00662AB4">
        <w:t xml:space="preserve">Zákon č. 127/2005 Sb., o elektronických komunikacích a o změně některých souvisejících zákonů (zákon o </w:t>
      </w:r>
    </w:p>
    <w:p w14:paraId="209C07CD" w14:textId="77777777" w:rsidR="00433B76" w:rsidRDefault="00433B76" w:rsidP="00DA5B55">
      <w:pPr>
        <w:pStyle w:val="Textpoznpodarou"/>
        <w:spacing w:before="0"/>
      </w:pPr>
      <w:r w:rsidRPr="00662AB4">
        <w:t>elektronických komunikacích).</w:t>
      </w:r>
    </w:p>
  </w:footnote>
  <w:footnote w:id="57">
    <w:p w14:paraId="1CE3FEAB" w14:textId="77777777" w:rsidR="00433B76" w:rsidRDefault="00433B76" w:rsidP="00DA5B55">
      <w:pPr>
        <w:pStyle w:val="Textpoznpodarou"/>
        <w:spacing w:before="0"/>
      </w:pPr>
      <w:r>
        <w:rPr>
          <w:rStyle w:val="Znakapoznpodarou"/>
        </w:rPr>
        <w:t>20)</w:t>
      </w:r>
      <w:r>
        <w:t xml:space="preserve"> </w:t>
      </w:r>
      <w:r w:rsidRPr="00662AB4">
        <w:t>Zákon č. 79/1997 Sb., o léčivech a o změnách a doplnění některých souvisejících zákonů.</w:t>
      </w:r>
    </w:p>
  </w:footnote>
  <w:footnote w:id="58">
    <w:p w14:paraId="71ADACA0" w14:textId="77777777" w:rsidR="00433B76" w:rsidRDefault="00433B76" w:rsidP="00DA5B55">
      <w:pPr>
        <w:pStyle w:val="Textpoznpodarou"/>
        <w:spacing w:before="0"/>
      </w:pPr>
      <w:r>
        <w:rPr>
          <w:rStyle w:val="Znakapoznpodarou"/>
        </w:rPr>
        <w:t>21)</w:t>
      </w:r>
      <w:r>
        <w:t xml:space="preserve"> </w:t>
      </w:r>
      <w:r w:rsidRPr="00662AB4">
        <w:t>Zákon č. 167/1998 Sb., o návykových látkách a o změně některých dalších zákonů.</w:t>
      </w:r>
    </w:p>
  </w:footnote>
  <w:footnote w:id="59">
    <w:p w14:paraId="2EC47368" w14:textId="77777777" w:rsidR="00433B76" w:rsidRDefault="00433B76" w:rsidP="00DA5B55">
      <w:pPr>
        <w:pStyle w:val="Textpoznpodarou"/>
        <w:spacing w:before="0"/>
      </w:pPr>
      <w:r>
        <w:rPr>
          <w:rStyle w:val="Znakapoznpodarou"/>
        </w:rPr>
        <w:t>22)</w:t>
      </w:r>
      <w:r>
        <w:t xml:space="preserve"> </w:t>
      </w:r>
      <w:r w:rsidRPr="00662AB4">
        <w:t xml:space="preserve">Zákon č. 22/1997 Sb., o technických požadavcích na výrobky a o změně a doplnění některých zákonů, ve znění </w:t>
      </w:r>
    </w:p>
    <w:p w14:paraId="418C2B3B" w14:textId="77777777" w:rsidR="00433B76" w:rsidRDefault="00433B76" w:rsidP="00DA5B55">
      <w:pPr>
        <w:pStyle w:val="Textpoznpodarou"/>
        <w:spacing w:before="0"/>
      </w:pPr>
      <w:r w:rsidRPr="00662AB4">
        <w:t>pozdějších předpisů.</w:t>
      </w:r>
    </w:p>
  </w:footnote>
  <w:footnote w:id="60">
    <w:p w14:paraId="39635718" w14:textId="77777777" w:rsidR="00433B76" w:rsidRDefault="00433B76" w:rsidP="00DA5B55">
      <w:pPr>
        <w:pStyle w:val="Textpoznpodarou"/>
        <w:spacing w:before="0"/>
      </w:pPr>
      <w:r>
        <w:rPr>
          <w:rStyle w:val="Znakapoznpodarou"/>
        </w:rPr>
        <w:t>22c)</w:t>
      </w:r>
      <w:r>
        <w:t xml:space="preserve"> </w:t>
      </w:r>
      <w:r w:rsidRPr="00662AB4">
        <w:t>Zákon č. 90/2016 Sb., o posuzování shody stanovených výrobků při jejich dodávání na trh.</w:t>
      </w:r>
    </w:p>
  </w:footnote>
  <w:footnote w:id="61">
    <w:p w14:paraId="3310F356" w14:textId="77777777" w:rsidR="00433B76" w:rsidRDefault="00433B76" w:rsidP="00DA5B55">
      <w:pPr>
        <w:pStyle w:val="Textpoznpodarou"/>
        <w:spacing w:before="0"/>
      </w:pPr>
      <w:r>
        <w:rPr>
          <w:rStyle w:val="Znakapoznpodarou"/>
        </w:rPr>
        <w:t>22a)</w:t>
      </w:r>
      <w:r>
        <w:t xml:space="preserve"> </w:t>
      </w:r>
      <w:r w:rsidRPr="00662AB4">
        <w:t xml:space="preserve">Zákon č. 38/1994 Sb., o zahraničním obchodu s vojenským materiálem a o doplnění zákona č. 455/1991 Sb., </w:t>
      </w:r>
    </w:p>
    <w:p w14:paraId="2C53E5E3" w14:textId="77777777" w:rsidR="00433B76" w:rsidRDefault="00433B76" w:rsidP="00DA5B55">
      <w:pPr>
        <w:pStyle w:val="Textpoznpodarou"/>
        <w:spacing w:before="0"/>
      </w:pPr>
      <w:r w:rsidRPr="00662AB4">
        <w:t xml:space="preserve">o živnostenském podnikání (živnostenský zákon), ve znění pozdějších předpisů, a zákona č. 140/1961 Sb., trestní </w:t>
      </w:r>
    </w:p>
    <w:p w14:paraId="29A6FF6C" w14:textId="77777777" w:rsidR="00433B76" w:rsidRDefault="00433B76" w:rsidP="00DA5B55">
      <w:pPr>
        <w:pStyle w:val="Textpoznpodarou"/>
        <w:spacing w:before="0"/>
      </w:pPr>
      <w:r w:rsidRPr="00662AB4">
        <w:t>zákon, ve znění pozdějších předpisů.</w:t>
      </w:r>
    </w:p>
  </w:footnote>
  <w:footnote w:id="62">
    <w:p w14:paraId="06A1906E" w14:textId="77777777" w:rsidR="00433B76" w:rsidRDefault="00433B76" w:rsidP="00DA5B55">
      <w:pPr>
        <w:pStyle w:val="Textpoznpodarou"/>
        <w:spacing w:before="0"/>
      </w:pPr>
      <w:r>
        <w:rPr>
          <w:rStyle w:val="Znakapoznpodarou"/>
        </w:rPr>
        <w:t>22b)</w:t>
      </w:r>
      <w:r>
        <w:t xml:space="preserve"> </w:t>
      </w:r>
      <w:r w:rsidRPr="00662AB4">
        <w:t>Zákon č. 251/2005 Sb., o inspekci práce.</w:t>
      </w:r>
    </w:p>
  </w:footnote>
  <w:footnote w:id="63">
    <w:p w14:paraId="7F2E764B" w14:textId="77777777" w:rsidR="00433B76" w:rsidRDefault="00433B76" w:rsidP="00DA5B55">
      <w:pPr>
        <w:pStyle w:val="Textpoznpodarou"/>
        <w:spacing w:before="0"/>
      </w:pPr>
      <w:r>
        <w:rPr>
          <w:rStyle w:val="Znakapoznpodarou"/>
        </w:rPr>
        <w:t>23)</w:t>
      </w:r>
      <w:r>
        <w:t xml:space="preserve"> </w:t>
      </w:r>
      <w:r w:rsidRPr="00662AB4">
        <w:t xml:space="preserve">Zákon č. 231/2001 Sb., o provozování rozhlasového a televizního vysílání a o změně dalších zákonů, ve znění </w:t>
      </w:r>
    </w:p>
    <w:p w14:paraId="347D0D23" w14:textId="77777777" w:rsidR="00433B76" w:rsidRDefault="00433B76" w:rsidP="00DA5B55">
      <w:pPr>
        <w:pStyle w:val="Textpoznpodarou"/>
        <w:spacing w:before="0"/>
      </w:pPr>
      <w:r w:rsidRPr="00662AB4">
        <w:t>pozdějších předpisů.</w:t>
      </w:r>
    </w:p>
  </w:footnote>
  <w:footnote w:id="64">
    <w:p w14:paraId="3C6DD527" w14:textId="77777777" w:rsidR="00433B76" w:rsidRDefault="00433B76" w:rsidP="00DA5B55">
      <w:pPr>
        <w:pStyle w:val="Textpoznpodarou"/>
        <w:spacing w:before="0"/>
      </w:pPr>
      <w:r>
        <w:rPr>
          <w:rStyle w:val="Znakapoznpodarou"/>
        </w:rPr>
        <w:t>23a)</w:t>
      </w:r>
      <w:r>
        <w:t xml:space="preserve"> </w:t>
      </w:r>
      <w:r w:rsidRPr="00662AB4">
        <w:t xml:space="preserve">Zákon č. 1/1991 Sb., o zaměstnanosti, ve znění pozdějších předpisů. Zákon ČNR č. 9/1991 Sb., o zaměstnanosti </w:t>
      </w:r>
    </w:p>
    <w:p w14:paraId="5C97000C" w14:textId="77777777" w:rsidR="00433B76" w:rsidRDefault="00433B76" w:rsidP="00DA5B55">
      <w:pPr>
        <w:pStyle w:val="Textpoznpodarou"/>
        <w:spacing w:before="0"/>
      </w:pPr>
      <w:r w:rsidRPr="00662AB4">
        <w:t>a působnosti orgánů České republiky na úseku zaměstnanosti, ve znění pozdějších předpisů.</w:t>
      </w:r>
    </w:p>
  </w:footnote>
  <w:footnote w:id="65">
    <w:p w14:paraId="27E9C61F" w14:textId="77777777" w:rsidR="00433B76" w:rsidRDefault="00433B76" w:rsidP="00DA5B55">
      <w:pPr>
        <w:pStyle w:val="Textpoznpodarou"/>
        <w:spacing w:before="0"/>
      </w:pPr>
      <w:r>
        <w:rPr>
          <w:rStyle w:val="Znakapoznpodarou"/>
        </w:rPr>
        <w:t>23c)</w:t>
      </w:r>
      <w:r>
        <w:t xml:space="preserve"> </w:t>
      </w:r>
      <w:r w:rsidRPr="00662AB4">
        <w:t>Zákon č. 38/1995 Sb., o technických podmínkách provozu silničních vozidel na pozemních komunikacích.</w:t>
      </w:r>
    </w:p>
  </w:footnote>
  <w:footnote w:id="66">
    <w:p w14:paraId="4E624D1B" w14:textId="77777777" w:rsidR="00433B76" w:rsidRDefault="00433B76" w:rsidP="00DA5B55">
      <w:pPr>
        <w:pStyle w:val="Textpoznpodarou"/>
        <w:spacing w:before="0"/>
      </w:pPr>
      <w:r>
        <w:rPr>
          <w:rStyle w:val="Znakapoznpodarou"/>
        </w:rPr>
        <w:t>23d)</w:t>
      </w:r>
      <w:r>
        <w:t xml:space="preserve"> </w:t>
      </w:r>
      <w:r w:rsidRPr="00662AB4">
        <w:t xml:space="preserve">Zákon č. 564/1990 Sb., o státní správě a samosprávě ve školství, ve znění pozdějších předpisů. Zákon č. </w:t>
      </w:r>
    </w:p>
    <w:p w14:paraId="2C34E757" w14:textId="77777777" w:rsidR="00433B76" w:rsidRDefault="00433B76" w:rsidP="00DA5B55">
      <w:pPr>
        <w:pStyle w:val="Textpoznpodarou"/>
        <w:spacing w:before="0"/>
      </w:pPr>
      <w:r w:rsidRPr="00662AB4">
        <w:t xml:space="preserve">29/1984 Sb., o soustavě základních škol, středních škol a vyšších odborných škol (školský zákon), ve znění </w:t>
      </w:r>
    </w:p>
    <w:p w14:paraId="049BC8FB" w14:textId="77777777" w:rsidR="00433B76" w:rsidRDefault="00433B76" w:rsidP="00DA5B55">
      <w:pPr>
        <w:pStyle w:val="Textpoznpodarou"/>
        <w:spacing w:before="0"/>
      </w:pPr>
      <w:r w:rsidRPr="00662AB4">
        <w:t xml:space="preserve">pozdějších předpisů. Zákon č. 76/1978 Sb., o školských zařízeních, ve znění pozdějších předpisů. § 45 až 47 a § </w:t>
      </w:r>
    </w:p>
    <w:p w14:paraId="6779E686" w14:textId="77777777" w:rsidR="00433B76" w:rsidRDefault="00433B76" w:rsidP="00DA5B55">
      <w:pPr>
        <w:pStyle w:val="Textpoznpodarou"/>
        <w:spacing w:before="0"/>
      </w:pPr>
      <w:r w:rsidRPr="00662AB4">
        <w:t xml:space="preserve">60 zákona č. 111/1998 Sb., o vysokých školách a o změně a doplnění dalších zákonů (zákon o vysokých školách), </w:t>
      </w:r>
    </w:p>
    <w:p w14:paraId="4A8D9C5D" w14:textId="77777777" w:rsidR="00433B76" w:rsidRDefault="00433B76" w:rsidP="00DA5B55">
      <w:pPr>
        <w:pStyle w:val="Textpoznpodarou"/>
        <w:spacing w:before="0"/>
      </w:pPr>
      <w:r w:rsidRPr="00662AB4">
        <w:t>ve znění zákona č. 147/2001 Sb.</w:t>
      </w:r>
    </w:p>
  </w:footnote>
  <w:footnote w:id="67">
    <w:p w14:paraId="35B47507" w14:textId="77777777" w:rsidR="00433B76" w:rsidRDefault="00433B76" w:rsidP="00DA5B55">
      <w:pPr>
        <w:pStyle w:val="Textpoznpodarou"/>
        <w:spacing w:before="0"/>
      </w:pPr>
      <w:r>
        <w:rPr>
          <w:rStyle w:val="Znakapoznpodarou"/>
        </w:rPr>
        <w:t>23e)</w:t>
      </w:r>
      <w:r>
        <w:t xml:space="preserve"> </w:t>
      </w:r>
      <w:r w:rsidRPr="00662AB4">
        <w:t xml:space="preserve">Zákon č. 19/1997 Sb., o některých opatřeních souvisejících se zákazem chemických zbraní a o změně a </w:t>
      </w:r>
    </w:p>
    <w:p w14:paraId="66FA4DD4" w14:textId="77777777" w:rsidR="00433B76" w:rsidRDefault="00433B76" w:rsidP="00DA5B55">
      <w:pPr>
        <w:pStyle w:val="Textpoznpodarou"/>
        <w:spacing w:before="0"/>
      </w:pPr>
      <w:r w:rsidRPr="00662AB4">
        <w:t xml:space="preserve">doplnění zákona č. 50/1976 Sb., o územním plánování a stavebním řádu (stavební zákon), ve znění pozdějších </w:t>
      </w:r>
    </w:p>
    <w:p w14:paraId="2B88B860" w14:textId="77777777" w:rsidR="00433B76" w:rsidRDefault="00433B76" w:rsidP="00DA5B55">
      <w:pPr>
        <w:pStyle w:val="Textpoznpodarou"/>
        <w:spacing w:before="0"/>
      </w:pPr>
      <w:r w:rsidRPr="00662AB4">
        <w:t xml:space="preserve">předpisů, zákona č. 455/1991 Sb., o živnostenském podnikání (živnostenský zákon), ve znění pozdějších předpisů, </w:t>
      </w:r>
    </w:p>
    <w:p w14:paraId="3716061B" w14:textId="77777777" w:rsidR="00433B76" w:rsidRDefault="00433B76" w:rsidP="00DA5B55">
      <w:pPr>
        <w:pStyle w:val="Textpoznpodarou"/>
        <w:spacing w:before="0"/>
      </w:pPr>
      <w:r w:rsidRPr="00662AB4">
        <w:t>a zákona č. 140/1961 Sb., trestní zákon, ve znění pozdějších předpisů.</w:t>
      </w:r>
    </w:p>
  </w:footnote>
  <w:footnote w:id="68">
    <w:p w14:paraId="62F4FB5E" w14:textId="77777777" w:rsidR="00433B76" w:rsidRDefault="00433B76" w:rsidP="00DA5B55">
      <w:pPr>
        <w:pStyle w:val="Textpoznpodarou"/>
        <w:spacing w:before="0"/>
      </w:pPr>
      <w:r>
        <w:rPr>
          <w:rStyle w:val="Znakapoznpodarou"/>
        </w:rPr>
        <w:t>23f)</w:t>
      </w:r>
      <w:r>
        <w:t xml:space="preserve"> </w:t>
      </w:r>
      <w:r w:rsidRPr="00662AB4">
        <w:t xml:space="preserve">Zákon č. 49/1997 Sb., o civilním letectví a o změně a doplnění zákona č. 455/1991 Sb., o živnostenském </w:t>
      </w:r>
    </w:p>
    <w:p w14:paraId="6B5C42E0" w14:textId="77777777" w:rsidR="00433B76" w:rsidRDefault="00433B76" w:rsidP="00DA5B55">
      <w:pPr>
        <w:pStyle w:val="Textpoznpodarou"/>
        <w:spacing w:before="0"/>
      </w:pPr>
      <w:r w:rsidRPr="00662AB4">
        <w:t>podnikání (živnostenský zákon), ve znění pozdějších předpisů.</w:t>
      </w:r>
    </w:p>
  </w:footnote>
  <w:footnote w:id="69">
    <w:p w14:paraId="4D7E83A2" w14:textId="77777777" w:rsidR="00433B76" w:rsidRDefault="00433B76" w:rsidP="00DA5B55">
      <w:pPr>
        <w:pStyle w:val="Textpoznpodarou"/>
        <w:spacing w:before="0"/>
      </w:pPr>
      <w:r>
        <w:rPr>
          <w:rStyle w:val="Znakapoznpodarou"/>
        </w:rPr>
        <w:t>23h)</w:t>
      </w:r>
      <w:r>
        <w:t xml:space="preserve"> </w:t>
      </w:r>
      <w:r w:rsidRPr="00662AB4">
        <w:t>§ 27 zákona č. 250/2000 Sb., o rozpočtových pravidlech územních rozpočtů.</w:t>
      </w:r>
    </w:p>
  </w:footnote>
  <w:footnote w:id="70">
    <w:p w14:paraId="098CCC39" w14:textId="77777777" w:rsidR="00433B76" w:rsidRDefault="00433B76" w:rsidP="00DA5B55">
      <w:pPr>
        <w:pStyle w:val="Textpoznpodarou"/>
        <w:spacing w:before="0"/>
      </w:pPr>
      <w:r>
        <w:rPr>
          <w:rStyle w:val="Znakapoznpodarou"/>
        </w:rPr>
        <w:t>23i)</w:t>
      </w:r>
      <w:r>
        <w:t xml:space="preserve"> </w:t>
      </w:r>
      <w:r w:rsidRPr="001D637A">
        <w:t>§ 4 odst. 2 písm. b) a § 48 až 50 zákona č. 359/1999 Sb., o sociálně-právní ochraně dětí.</w:t>
      </w:r>
    </w:p>
  </w:footnote>
  <w:footnote w:id="71">
    <w:p w14:paraId="79836F89" w14:textId="77777777" w:rsidR="00433B76" w:rsidRDefault="00433B76" w:rsidP="00DA5B55">
      <w:pPr>
        <w:pStyle w:val="Textpoznpodarou"/>
        <w:spacing w:before="0"/>
      </w:pPr>
      <w:r>
        <w:rPr>
          <w:rStyle w:val="Znakapoznpodarou"/>
        </w:rPr>
        <w:t>23j)</w:t>
      </w:r>
      <w:r>
        <w:t xml:space="preserve"> </w:t>
      </w:r>
      <w:r w:rsidRPr="001D637A">
        <w:t xml:space="preserve">Zákon č. 158/2000 Sb., o vyhledávání, průzkumu a těžbě nerostných zdrojů z mořského dna za hranicemi </w:t>
      </w:r>
    </w:p>
    <w:p w14:paraId="425AC9E3" w14:textId="77777777" w:rsidR="00433B76" w:rsidRDefault="00433B76" w:rsidP="00DA5B55">
      <w:pPr>
        <w:pStyle w:val="Textpoznpodarou"/>
        <w:spacing w:before="0"/>
      </w:pPr>
      <w:r w:rsidRPr="001D637A">
        <w:t>pravomocí států a o změně některých zákonů.</w:t>
      </w:r>
    </w:p>
  </w:footnote>
  <w:footnote w:id="72">
    <w:p w14:paraId="2FFFF1B1" w14:textId="77777777" w:rsidR="00433B76" w:rsidRDefault="00433B76" w:rsidP="00DA5B55">
      <w:pPr>
        <w:pStyle w:val="Textpoznpodarou"/>
        <w:spacing w:before="0"/>
      </w:pPr>
      <w:r>
        <w:rPr>
          <w:rStyle w:val="Znakapoznpodarou"/>
        </w:rPr>
        <w:t>23k)</w:t>
      </w:r>
      <w:r>
        <w:t xml:space="preserve"> </w:t>
      </w:r>
      <w:r w:rsidRPr="001D637A">
        <w:t>Zákon č. 256/2001 Sb., o pohřebnictví a o změně některých zákonů.</w:t>
      </w:r>
    </w:p>
  </w:footnote>
  <w:footnote w:id="73">
    <w:p w14:paraId="08E7E02E" w14:textId="77777777" w:rsidR="00433B76" w:rsidRDefault="00433B76" w:rsidP="00DA5B55">
      <w:pPr>
        <w:pStyle w:val="Textpoznpodarou"/>
        <w:spacing w:before="0"/>
      </w:pPr>
      <w:r>
        <w:rPr>
          <w:rStyle w:val="Znakapoznpodarou"/>
        </w:rPr>
        <w:t>23l)</w:t>
      </w:r>
      <w:r>
        <w:t xml:space="preserve"> </w:t>
      </w:r>
      <w:r w:rsidRPr="001D637A">
        <w:t>Zákon č. 477/2001 Sb., o obalech a o změně některých zákonů (zákon o obalech).</w:t>
      </w:r>
    </w:p>
  </w:footnote>
  <w:footnote w:id="74">
    <w:p w14:paraId="42900620" w14:textId="77777777" w:rsidR="00433B76" w:rsidRDefault="00433B76" w:rsidP="00DA5B55">
      <w:pPr>
        <w:pStyle w:val="Textpoznpodarou"/>
        <w:spacing w:before="0"/>
      </w:pPr>
      <w:r>
        <w:rPr>
          <w:rStyle w:val="Znakapoznpodarou"/>
        </w:rPr>
        <w:t>23m)</w:t>
      </w:r>
      <w:r>
        <w:t xml:space="preserve"> </w:t>
      </w:r>
      <w:r w:rsidRPr="001D637A">
        <w:t xml:space="preserve">Zákon č. 281/2002 Sb., o některých opatřeních souvisejících se zákazem bakteriologických (biologických) a </w:t>
      </w:r>
    </w:p>
    <w:p w14:paraId="2A47C30E" w14:textId="77777777" w:rsidR="00433B76" w:rsidRDefault="00433B76" w:rsidP="00DA5B55">
      <w:pPr>
        <w:pStyle w:val="Textpoznpodarou"/>
        <w:spacing w:before="0"/>
      </w:pPr>
      <w:r w:rsidRPr="001D637A">
        <w:t>toxinových zbraní a o změně živnostenského zákona.</w:t>
      </w:r>
    </w:p>
  </w:footnote>
  <w:footnote w:id="75">
    <w:p w14:paraId="1E12CA3A" w14:textId="77777777" w:rsidR="00433B76" w:rsidRDefault="00433B76" w:rsidP="00DA5B55">
      <w:pPr>
        <w:pStyle w:val="Textpoznpodarou"/>
        <w:spacing w:before="0"/>
      </w:pPr>
      <w:r>
        <w:rPr>
          <w:rStyle w:val="Znakapoznpodarou"/>
        </w:rPr>
        <w:t>23n)</w:t>
      </w:r>
      <w:r>
        <w:t xml:space="preserve"> </w:t>
      </w:r>
      <w:r w:rsidRPr="001D637A">
        <w:t xml:space="preserve">Zákon č. 162/2003 Sb., o podmínkách provozování zoologických zahrad a o změně některých zákonů (zákon </w:t>
      </w:r>
    </w:p>
    <w:p w14:paraId="51E4DA40" w14:textId="77777777" w:rsidR="00433B76" w:rsidRDefault="00433B76" w:rsidP="00DA5B55">
      <w:pPr>
        <w:pStyle w:val="Textpoznpodarou"/>
        <w:spacing w:before="0"/>
      </w:pPr>
      <w:r w:rsidRPr="001D637A">
        <w:t>o zoologických zahradách).</w:t>
      </w:r>
    </w:p>
  </w:footnote>
  <w:footnote w:id="76">
    <w:p w14:paraId="5395B885" w14:textId="77777777" w:rsidR="00433B76" w:rsidRDefault="00433B76" w:rsidP="00DA5B55">
      <w:pPr>
        <w:pStyle w:val="Textpoznpodarou"/>
        <w:spacing w:before="0"/>
      </w:pPr>
      <w:r>
        <w:rPr>
          <w:rStyle w:val="Znakapoznpodarou"/>
        </w:rPr>
        <w:t>23o)</w:t>
      </w:r>
      <w:r>
        <w:t xml:space="preserve"> </w:t>
      </w:r>
      <w:r w:rsidRPr="001D637A">
        <w:t>Zákon č. 499/2004 Sb., o archivnictví a spisové službě a o změně některých zákonů.</w:t>
      </w:r>
    </w:p>
  </w:footnote>
  <w:footnote w:id="77">
    <w:p w14:paraId="31D4960B" w14:textId="77777777" w:rsidR="00433B76" w:rsidRDefault="00433B76" w:rsidP="00DA5B55">
      <w:pPr>
        <w:pStyle w:val="Textpoznpodarou"/>
        <w:spacing w:before="0"/>
      </w:pPr>
      <w:r>
        <w:rPr>
          <w:rStyle w:val="Znakapoznpodarou"/>
        </w:rPr>
        <w:t>23p)</w:t>
      </w:r>
      <w:r>
        <w:t xml:space="preserve"> </w:t>
      </w:r>
      <w:r w:rsidRPr="001D637A">
        <w:t>Zákon č. 108/2006 Sb., o sociálních službách.</w:t>
      </w:r>
    </w:p>
  </w:footnote>
  <w:footnote w:id="78">
    <w:p w14:paraId="438CE1AA" w14:textId="77777777" w:rsidR="00433B76" w:rsidRDefault="00433B76" w:rsidP="00DA5B55">
      <w:pPr>
        <w:pStyle w:val="Textpoznpodarou"/>
        <w:spacing w:before="0"/>
      </w:pPr>
      <w:r>
        <w:rPr>
          <w:rStyle w:val="Znakapoznpodarou"/>
        </w:rPr>
        <w:t>23q)</w:t>
      </w:r>
      <w:r>
        <w:t xml:space="preserve"> </w:t>
      </w:r>
      <w:r w:rsidRPr="001D637A">
        <w:t>Zákon č. 179/2006 Sb., o ověřování a uznávání výsledků dalšího vzdělá</w:t>
      </w:r>
      <w:r>
        <w:t xml:space="preserve">vání a o změně některých zákonů </w:t>
      </w:r>
    </w:p>
    <w:p w14:paraId="0EB9FD0B" w14:textId="77777777" w:rsidR="00433B76" w:rsidRDefault="00433B76" w:rsidP="00DA5B55">
      <w:pPr>
        <w:pStyle w:val="Textpoznpodarou"/>
        <w:spacing w:before="0"/>
      </w:pPr>
      <w:r w:rsidRPr="001D637A">
        <w:t>(zákon o uznávání výsledků dalšího vzdělávání).</w:t>
      </w:r>
    </w:p>
  </w:footnote>
  <w:footnote w:id="79">
    <w:p w14:paraId="102D5103" w14:textId="77777777" w:rsidR="00433B76" w:rsidRDefault="00433B76" w:rsidP="00DA5B55">
      <w:pPr>
        <w:pStyle w:val="Textpoznpodarou"/>
        <w:spacing w:before="0"/>
      </w:pPr>
      <w:r>
        <w:rPr>
          <w:rStyle w:val="Znakapoznpodarou"/>
        </w:rPr>
        <w:t>55a)</w:t>
      </w:r>
      <w:r>
        <w:t xml:space="preserve"> </w:t>
      </w:r>
      <w:r w:rsidRPr="001D637A">
        <w:t xml:space="preserve">Zákon č. 372/2011 Sb., o zdravotních službách a podmínkách jejich poskytování (zákon o zdravotních </w:t>
      </w:r>
    </w:p>
    <w:p w14:paraId="3589948A" w14:textId="77777777" w:rsidR="00433B76" w:rsidRDefault="00433B76" w:rsidP="00DA5B55">
      <w:pPr>
        <w:pStyle w:val="Textpoznpodarou"/>
        <w:spacing w:before="0"/>
      </w:pPr>
      <w:r w:rsidRPr="001D637A">
        <w:t>službách).</w:t>
      </w:r>
    </w:p>
  </w:footnote>
  <w:footnote w:id="80">
    <w:p w14:paraId="7A1451AA" w14:textId="77777777" w:rsidR="00433B76" w:rsidRDefault="00433B76" w:rsidP="00DA5B55">
      <w:pPr>
        <w:pStyle w:val="Textpoznpodarou"/>
        <w:spacing w:before="0"/>
      </w:pPr>
      <w:r>
        <w:rPr>
          <w:rStyle w:val="Znakapoznpodarou"/>
        </w:rPr>
        <w:t>56)</w:t>
      </w:r>
      <w:r>
        <w:t xml:space="preserve"> </w:t>
      </w:r>
      <w:r w:rsidRPr="001D637A">
        <w:t xml:space="preserve">§ 81 zákona č. 326/2004 Sb., o rostlinolékařské péči a o změně některých souvisejících zákonů, ve znění zákona </w:t>
      </w:r>
    </w:p>
    <w:p w14:paraId="788DD74C" w14:textId="77777777" w:rsidR="00433B76" w:rsidRDefault="00433B76" w:rsidP="00DA5B55">
      <w:pPr>
        <w:pStyle w:val="Textpoznpodarou"/>
        <w:spacing w:before="0"/>
      </w:pPr>
      <w:r w:rsidRPr="001D637A">
        <w:t>č. 199/2012 Sb.</w:t>
      </w:r>
    </w:p>
  </w:footnote>
  <w:footnote w:id="81">
    <w:p w14:paraId="74897837" w14:textId="77777777" w:rsidR="00433B76" w:rsidRDefault="00433B76" w:rsidP="00DA5B55">
      <w:pPr>
        <w:pStyle w:val="Textpoznpodarou"/>
        <w:spacing w:before="0"/>
      </w:pPr>
      <w:r>
        <w:rPr>
          <w:rStyle w:val="Znakapoznpodarou"/>
        </w:rPr>
        <w:t>57)</w:t>
      </w:r>
      <w:r>
        <w:t xml:space="preserve"> </w:t>
      </w:r>
      <w:r w:rsidRPr="001D637A">
        <w:t xml:space="preserve">Zákon č. 29/2000 Sb., o poštovních službách a o změně některých zákonů (zákon o poštovních službách), ve </w:t>
      </w:r>
    </w:p>
    <w:p w14:paraId="58D5CEB0" w14:textId="77777777" w:rsidR="00433B76" w:rsidRDefault="00433B76" w:rsidP="00DA5B55">
      <w:pPr>
        <w:pStyle w:val="Textpoznpodarou"/>
        <w:spacing w:before="0"/>
      </w:pPr>
      <w:r w:rsidRPr="001D637A">
        <w:t>znění pozdějších předpisů.</w:t>
      </w:r>
    </w:p>
  </w:footnote>
  <w:footnote w:id="82">
    <w:p w14:paraId="1D6727C2" w14:textId="77777777" w:rsidR="00433B76" w:rsidRDefault="00433B76" w:rsidP="00B84B30">
      <w:pPr>
        <w:pStyle w:val="Textpoznpodarou"/>
      </w:pPr>
      <w:r>
        <w:rPr>
          <w:rStyle w:val="Znakapoznpodarou"/>
        </w:rPr>
        <w:t>72)</w:t>
      </w:r>
      <w:r>
        <w:t xml:space="preserve"> </w:t>
      </w:r>
      <w:r w:rsidRPr="001D637A">
        <w:t>Zákon č. 254/2019 Sb., o znalcích, znaleckých kancelářích a znaleckých ústavech.</w:t>
      </w:r>
    </w:p>
  </w:footnote>
  <w:footnote w:id="83">
    <w:p w14:paraId="2F7D3382" w14:textId="6DE73BE3" w:rsidR="00433B76" w:rsidRPr="00F34F8E" w:rsidRDefault="00433B76" w:rsidP="00FE1B36">
      <w:pPr>
        <w:pStyle w:val="Textpoznpodarou"/>
        <w:spacing w:before="0"/>
        <w:rPr>
          <w:strike/>
        </w:rPr>
      </w:pPr>
      <w:r w:rsidRPr="00F34F8E">
        <w:rPr>
          <w:rStyle w:val="Znakapoznpodarou"/>
          <w:strike/>
        </w:rPr>
        <w:t>4)</w:t>
      </w:r>
      <w:r w:rsidRPr="00F34F8E">
        <w:rPr>
          <w:strike/>
        </w:rPr>
        <w:t xml:space="preserve"> Zákon č. 563/1991 Sb., o účetnictví, ve znění pozdějších předpisů.</w:t>
      </w:r>
    </w:p>
  </w:footnote>
  <w:footnote w:id="84">
    <w:p w14:paraId="093D6268" w14:textId="1B6E99DD" w:rsidR="00433B76" w:rsidRPr="00F34F8E" w:rsidRDefault="00433B76" w:rsidP="00FE1B36">
      <w:pPr>
        <w:pStyle w:val="Textpoznpodarou"/>
        <w:spacing w:before="0"/>
        <w:rPr>
          <w:strike/>
        </w:rPr>
      </w:pPr>
      <w:r w:rsidRPr="00F34F8E">
        <w:rPr>
          <w:rStyle w:val="Znakapoznpodarou"/>
          <w:strike/>
        </w:rPr>
        <w:t>5</w:t>
      </w:r>
      <w:r w:rsidRPr="00F34F8E">
        <w:rPr>
          <w:strike/>
          <w:vertAlign w:val="superscript"/>
        </w:rPr>
        <w:t>)</w:t>
      </w:r>
      <w:r w:rsidRPr="00F34F8E">
        <w:rPr>
          <w:strike/>
        </w:rPr>
        <w:t xml:space="preserve"> Zákon č. 254/2000 Sb., o auditorech a o změně zákona č. 165/1998 Sb., ve znění pozdějších předpisů.</w:t>
      </w:r>
    </w:p>
  </w:footnote>
  <w:footnote w:id="85">
    <w:p w14:paraId="3F5825CE" w14:textId="5492B2CB" w:rsidR="00433B76" w:rsidRDefault="00433B76" w:rsidP="00FE1B36">
      <w:pPr>
        <w:pStyle w:val="Textpoznpodarou"/>
        <w:tabs>
          <w:tab w:val="clear" w:pos="425"/>
          <w:tab w:val="left" w:pos="426"/>
        </w:tabs>
        <w:spacing w:before="0"/>
        <w:ind w:left="0" w:firstLine="0"/>
      </w:pPr>
      <w:r>
        <w:rPr>
          <w:rStyle w:val="Znakapoznpodarou"/>
        </w:rPr>
        <w:t>5a)</w:t>
      </w:r>
      <w:r>
        <w:t xml:space="preserve"> </w:t>
      </w:r>
      <w:r w:rsidRPr="00202E66">
        <w:t>Čl. II body 1 a 2 zákona č. 302/2011 Sb., kterým se mění zákon č. 483/1991 Sb., o České televizi, ve znění pozdějších předpisů, a některé další zákony.</w:t>
      </w:r>
    </w:p>
  </w:footnote>
  <w:footnote w:id="86">
    <w:p w14:paraId="70DBF354" w14:textId="7BF9B1A6" w:rsidR="00433B76" w:rsidRDefault="00433B76" w:rsidP="00FE1B36">
      <w:pPr>
        <w:pStyle w:val="Textpoznpodarou"/>
        <w:spacing w:before="0"/>
      </w:pPr>
      <w:r>
        <w:rPr>
          <w:rStyle w:val="Znakapoznpodarou"/>
        </w:rPr>
        <w:t>3b</w:t>
      </w:r>
      <w:r w:rsidRPr="00202E66">
        <w:rPr>
          <w:vertAlign w:val="superscript"/>
        </w:rPr>
        <w:t>)</w:t>
      </w:r>
      <w:r>
        <w:t xml:space="preserve"> </w:t>
      </w:r>
      <w:r w:rsidRPr="00202E66">
        <w:t>Zákon č. 65/1965 Sb., zákoník práce, ve znění pozdějších předpisů.</w:t>
      </w:r>
    </w:p>
  </w:footnote>
  <w:footnote w:id="87">
    <w:p w14:paraId="07469529" w14:textId="09117FF9" w:rsidR="00433B76" w:rsidRDefault="00433B76">
      <w:pPr>
        <w:pStyle w:val="Textpoznpodarou"/>
      </w:pPr>
      <w:r>
        <w:rPr>
          <w:rStyle w:val="Znakapoznpodarou"/>
        </w:rPr>
        <w:t>11)</w:t>
      </w:r>
      <w:r>
        <w:t xml:space="preserve"> </w:t>
      </w:r>
      <w:r w:rsidRPr="001D25C6">
        <w:t>§ 2 písm. c) zákona č. 273/1996 Sb., o působnosti Úřadu pro ochranu hospodářské soutěže.</w:t>
      </w:r>
    </w:p>
  </w:footnote>
  <w:footnote w:id="88">
    <w:p w14:paraId="4E8B1F36" w14:textId="78B285E9" w:rsidR="00433B76" w:rsidRPr="00520003" w:rsidRDefault="00433B76" w:rsidP="00084391">
      <w:pPr>
        <w:pStyle w:val="Textpoznpodarou"/>
        <w:tabs>
          <w:tab w:val="clear" w:pos="425"/>
          <w:tab w:val="left" w:pos="0"/>
        </w:tabs>
        <w:ind w:left="0" w:firstLine="0"/>
        <w:rPr>
          <w:strike/>
        </w:rPr>
      </w:pPr>
      <w:r w:rsidRPr="00520003">
        <w:rPr>
          <w:rStyle w:val="Znakapoznpodarou"/>
          <w:strike/>
        </w:rPr>
        <w:t>13)</w:t>
      </w:r>
      <w:r w:rsidRPr="00520003">
        <w:rPr>
          <w:strike/>
        </w:rPr>
        <w:t xml:space="preserve"> Zákon č. 93/2009 Sb., o auditorech a o změně některých zákonů (zákon o auditorech), ve znění pozdějších předpisů.</w:t>
      </w:r>
    </w:p>
  </w:footnote>
  <w:footnote w:id="89">
    <w:p w14:paraId="0A80E879" w14:textId="0E92537B" w:rsidR="00433B76" w:rsidRDefault="00433B76" w:rsidP="00084391">
      <w:pPr>
        <w:pStyle w:val="Textpoznpodarou"/>
        <w:ind w:left="0" w:firstLine="0"/>
      </w:pPr>
    </w:p>
  </w:footnote>
  <w:footnote w:id="90">
    <w:p w14:paraId="25FB082B" w14:textId="6FD039B6" w:rsidR="00433B76" w:rsidRDefault="00433B76">
      <w:pPr>
        <w:pStyle w:val="Textpoznpodarou"/>
      </w:pPr>
      <w:r>
        <w:rPr>
          <w:rStyle w:val="Znakapoznpodarou"/>
        </w:rPr>
        <w:t>12)</w:t>
      </w:r>
      <w:r>
        <w:t xml:space="preserve"> </w:t>
      </w:r>
      <w:r w:rsidRPr="00084391">
        <w:t>Zákon č. 137/2006 Sb., o veřejných zakázkách, ve znění pozdějších předpisů.</w:t>
      </w:r>
    </w:p>
  </w:footnote>
  <w:footnote w:id="91">
    <w:p w14:paraId="3CB52C3D" w14:textId="241AC257" w:rsidR="00433B76" w:rsidRDefault="00433B76" w:rsidP="00D41C2D">
      <w:pPr>
        <w:pStyle w:val="Textpoznpodarou"/>
        <w:spacing w:before="0"/>
        <w:ind w:left="0" w:firstLine="0"/>
      </w:pPr>
      <w:r>
        <w:rPr>
          <w:rStyle w:val="Znakapoznpodarou"/>
        </w:rPr>
        <w:t>52b)</w:t>
      </w:r>
      <w:r>
        <w:t xml:space="preserve"> </w:t>
      </w:r>
      <w:r w:rsidRPr="00D20567">
        <w:t>§ 8 zákona č. 108/2006 Sb.</w:t>
      </w:r>
    </w:p>
  </w:footnote>
  <w:footnote w:id="92">
    <w:p w14:paraId="621FC1E2" w14:textId="6CAA88E1" w:rsidR="00433B76" w:rsidRDefault="00433B76" w:rsidP="00D41C2D">
      <w:pPr>
        <w:pStyle w:val="Textpoznpodarou"/>
        <w:spacing w:before="0"/>
        <w:ind w:left="0" w:firstLine="0"/>
      </w:pPr>
      <w:r>
        <w:rPr>
          <w:rStyle w:val="Znakapoznpodarou"/>
        </w:rPr>
        <w:t>52c)</w:t>
      </w:r>
      <w:r>
        <w:t xml:space="preserve"> </w:t>
      </w:r>
      <w:r w:rsidRPr="009102E7">
        <w:t>§ 9 odst. 8 věta třetí zákona č. 155/1995 Sb., ve znění zákona č. 152/2007 Sb.</w:t>
      </w:r>
    </w:p>
  </w:footnote>
  <w:footnote w:id="93">
    <w:p w14:paraId="6E72EC57" w14:textId="1531AA0F" w:rsidR="00433B76" w:rsidRDefault="00433B76" w:rsidP="00D41C2D">
      <w:pPr>
        <w:pStyle w:val="Textpoznpodarou"/>
        <w:spacing w:before="0"/>
        <w:ind w:left="0" w:firstLine="0"/>
      </w:pPr>
      <w:r>
        <w:rPr>
          <w:rStyle w:val="Znakapoznpodarou"/>
        </w:rPr>
        <w:t>86)</w:t>
      </w:r>
      <w:r>
        <w:t xml:space="preserve"> </w:t>
      </w:r>
      <w:r w:rsidRPr="009102E7">
        <w:t>§ 34a zákona č. 155/1995 Sb., ve znění pozdějších předpisů. Čl. II body 1 a 3 zákona č. 323/2021 Sb., kterým se mění zákon č. 155/1995 Sb., o důchodovém pojištění, ve znění pozdějších předpisů, a zákon č. 582/1991 Sb., o organizaci a provádění sociálního zabezpečení, ve znění pozdějších předpisů.</w:t>
      </w:r>
    </w:p>
  </w:footnote>
  <w:footnote w:id="94">
    <w:p w14:paraId="7462CE6F" w14:textId="48678E1A" w:rsidR="00433B76" w:rsidRDefault="00433B76" w:rsidP="002B6A12">
      <w:pPr>
        <w:pStyle w:val="Textpoznpodarou"/>
        <w:spacing w:before="0"/>
      </w:pPr>
      <w:r>
        <w:rPr>
          <w:rStyle w:val="Znakapoznpodarou"/>
        </w:rPr>
        <w:t>53)</w:t>
      </w:r>
      <w:r>
        <w:t xml:space="preserve"> </w:t>
      </w:r>
      <w:r w:rsidRPr="009102E7">
        <w:t>§ 6 zákona č. 155/1995 Sb.</w:t>
      </w:r>
    </w:p>
  </w:footnote>
  <w:footnote w:id="95">
    <w:p w14:paraId="541C765B" w14:textId="4C149221" w:rsidR="00433B76" w:rsidRDefault="00433B76" w:rsidP="002B6A12">
      <w:pPr>
        <w:pStyle w:val="Textpoznpodarou"/>
        <w:spacing w:before="0"/>
      </w:pPr>
      <w:r>
        <w:rPr>
          <w:rStyle w:val="Znakapoznpodarou"/>
        </w:rPr>
        <w:t>32)</w:t>
      </w:r>
      <w:r w:rsidRPr="009102E7">
        <w:t xml:space="preserve"> Zákon č. 589/1992 Sb., ve znění pozdějších předpisů.</w:t>
      </w:r>
    </w:p>
  </w:footnote>
  <w:footnote w:id="96">
    <w:p w14:paraId="50C9C1EF" w14:textId="77777777" w:rsidR="00433B76" w:rsidRPr="00823F6D" w:rsidRDefault="00433B76" w:rsidP="00A46E9E">
      <w:pPr>
        <w:pStyle w:val="Textpoznpodarou"/>
        <w:rPr>
          <w:strike/>
        </w:rPr>
      </w:pPr>
      <w:r w:rsidRPr="00823F6D">
        <w:rPr>
          <w:rStyle w:val="Znakapoznpodarou"/>
          <w:strike/>
        </w:rPr>
        <w:t>6)</w:t>
      </w:r>
      <w:r w:rsidRPr="00823F6D">
        <w:rPr>
          <w:strike/>
        </w:rPr>
        <w:t xml:space="preserve"> Zákon č. 563/1991 Sb., o účetnictví.</w:t>
      </w:r>
    </w:p>
  </w:footnote>
  <w:footnote w:id="97">
    <w:p w14:paraId="6721DA05" w14:textId="77777777" w:rsidR="00433B76" w:rsidRPr="00823F6D" w:rsidRDefault="00433B76" w:rsidP="00A46E9E">
      <w:pPr>
        <w:pStyle w:val="Textpoznpodarou"/>
      </w:pPr>
      <w:r w:rsidRPr="00823F6D">
        <w:rPr>
          <w:rStyle w:val="Znakapoznpodarou"/>
        </w:rPr>
        <w:t>6d)</w:t>
      </w:r>
      <w:r w:rsidRPr="00823F6D">
        <w:t xml:space="preserve"> Zákon č. 377/2005 Sb., o doplňkovém dohledu nad bankami, spořitelními a úvěrními družstvy, institucemi elektronických peněz, pojišťovnami a obchodníky s cennými papíry ve finančních konglomerátech a o změně některých dalších zákonů (zákon o finančních konglomerátech), ve znění pozdějších předpisů.</w:t>
      </w:r>
    </w:p>
  </w:footnote>
  <w:footnote w:id="98">
    <w:p w14:paraId="18B5D6BF" w14:textId="77777777" w:rsidR="00433B76" w:rsidRPr="00823F6D" w:rsidRDefault="00433B76" w:rsidP="00D41C2D">
      <w:pPr>
        <w:pStyle w:val="Textpoznpodarou"/>
        <w:spacing w:before="0"/>
        <w:ind w:left="0" w:firstLine="0"/>
      </w:pPr>
      <w:r w:rsidRPr="00823F6D">
        <w:rPr>
          <w:rStyle w:val="Znakapoznpodarou"/>
        </w:rPr>
        <w:t>22)</w:t>
      </w:r>
      <w:r w:rsidRPr="00823F6D">
        <w:t xml:space="preserve"> Nařízení Evropského parlamentu a Rady (EU) č. 1092/2010 ze dne 24. listopadu 2010 o </w:t>
      </w:r>
      <w:proofErr w:type="spellStart"/>
      <w:r w:rsidRPr="00823F6D">
        <w:t>makroobezřetnostním</w:t>
      </w:r>
      <w:proofErr w:type="spellEnd"/>
      <w:r w:rsidRPr="00823F6D">
        <w:t xml:space="preserve"> dohledu nad finančním systémem na úrovni Evropské unie a o zřízení Evropské rady pro systémová rizika.</w:t>
      </w:r>
    </w:p>
  </w:footnote>
  <w:footnote w:id="99">
    <w:p w14:paraId="12FC2A91" w14:textId="77777777" w:rsidR="00433B76" w:rsidRPr="00341427" w:rsidRDefault="00433B76" w:rsidP="00D41C2D">
      <w:pPr>
        <w:pStyle w:val="Textpoznpodarou"/>
        <w:spacing w:before="0"/>
        <w:ind w:left="0" w:firstLine="0"/>
      </w:pPr>
      <w:r w:rsidRPr="00341427">
        <w:rPr>
          <w:rStyle w:val="Znakapoznpodarou"/>
        </w:rPr>
        <w:t>45)</w:t>
      </w:r>
      <w:r w:rsidRPr="00341427">
        <w:t xml:space="preserve"> Nařízení Evropského parlamentu a Rady (EU) 2019/2088 ze dne 27. listopadu 2019 o zveřejňování informací souvisejících s udržitelností v odvětví finančních služeb, v platném znění.</w:t>
      </w:r>
    </w:p>
  </w:footnote>
  <w:footnote w:id="100">
    <w:p w14:paraId="6EF9B398" w14:textId="77777777" w:rsidR="00433B76" w:rsidRDefault="00433B76" w:rsidP="00D41C2D">
      <w:pPr>
        <w:pStyle w:val="Textpoznpodarou"/>
        <w:spacing w:before="0"/>
        <w:ind w:left="0" w:firstLine="0"/>
      </w:pPr>
      <w:r w:rsidRPr="00341427">
        <w:rPr>
          <w:rStyle w:val="Znakapoznpodarou"/>
        </w:rPr>
        <w:t>41)</w:t>
      </w:r>
      <w:r w:rsidRPr="00341427">
        <w:t xml:space="preserve"> Nařízení Evropského parlamentu a Rady (EU) 2017/2402 ze dne 12. prosince 2017, kterým se stanoví obecný rámec pro </w:t>
      </w:r>
      <w:proofErr w:type="spellStart"/>
      <w:r w:rsidRPr="00341427">
        <w:t>sekuritizaci</w:t>
      </w:r>
      <w:proofErr w:type="spellEnd"/>
      <w:r w:rsidRPr="00341427">
        <w:t xml:space="preserve"> a vytváří se zvláštní rámec pro jednoduchou, transparentní a standardizovanou </w:t>
      </w:r>
      <w:proofErr w:type="spellStart"/>
      <w:r w:rsidRPr="00341427">
        <w:t>sekuritizaci</w:t>
      </w:r>
      <w:proofErr w:type="spellEnd"/>
      <w:r w:rsidRPr="00341427">
        <w:t xml:space="preserve"> a kterým se mění směrnice 2009/65/ES, 2009/138/ES, 2011/61/EU a nařízení (ES) č. 1060/2009 a (EU) č. 648/2012, v platném znění.</w:t>
      </w:r>
    </w:p>
  </w:footnote>
  <w:footnote w:id="101">
    <w:p w14:paraId="7C6BD3E3" w14:textId="77777777" w:rsidR="00433B76" w:rsidRPr="00341427" w:rsidRDefault="00433B76" w:rsidP="00A46E9E">
      <w:pPr>
        <w:pStyle w:val="Textpoznpodarou"/>
      </w:pPr>
      <w:r w:rsidRPr="00341427">
        <w:rPr>
          <w:rStyle w:val="Znakapoznpodarou"/>
        </w:rPr>
        <w:t>31)</w:t>
      </w:r>
      <w:r w:rsidRPr="00341427">
        <w:t xml:space="preserve"> Nařízení Evropského parlamentu a Rady (EU) č. 1094/2010 ze dne 24. listopadu 2010 o zřízení Evropského orgánu dohledu (Evropského orgánu pro pojišťovnictví a zaměstnanecké penzijní pojištění), o změně rozhodnutí č. 716/2009/ES a o zrušení rozhodnutí Komise 2009/79/ES.</w:t>
      </w:r>
    </w:p>
  </w:footnote>
  <w:footnote w:id="102">
    <w:p w14:paraId="445BBBEB" w14:textId="77777777" w:rsidR="00433B76" w:rsidRDefault="00433B76" w:rsidP="00A46E9E">
      <w:pPr>
        <w:pStyle w:val="Textpoznpodarou"/>
        <w:spacing w:before="0"/>
      </w:pPr>
      <w:r>
        <w:rPr>
          <w:rStyle w:val="Znakapoznpodarou"/>
        </w:rPr>
        <w:t>7)</w:t>
      </w:r>
      <w:r>
        <w:t xml:space="preserve"> </w:t>
      </w:r>
      <w:r w:rsidRPr="00034F49">
        <w:t>§ 765 odst. 2 zákona č. 513/1991 Sb.</w:t>
      </w:r>
    </w:p>
  </w:footnote>
  <w:footnote w:id="103">
    <w:p w14:paraId="0E44F5E0" w14:textId="77777777" w:rsidR="00433B76" w:rsidRDefault="00433B76" w:rsidP="00A46E9E">
      <w:pPr>
        <w:pStyle w:val="Textpoznpodarou"/>
        <w:spacing w:before="0"/>
      </w:pPr>
      <w:r>
        <w:rPr>
          <w:rStyle w:val="Znakapoznpodarou"/>
        </w:rPr>
        <w:t>8)</w:t>
      </w:r>
      <w:r>
        <w:t xml:space="preserve"> </w:t>
      </w:r>
      <w:r w:rsidRPr="000115DD">
        <w:t>§ 235 zákona č. 513/1991 Sb.</w:t>
      </w:r>
    </w:p>
  </w:footnote>
  <w:footnote w:id="104">
    <w:p w14:paraId="06993B24" w14:textId="77777777" w:rsidR="00433B76" w:rsidRDefault="00433B76" w:rsidP="00A46E9E">
      <w:pPr>
        <w:pStyle w:val="Textpoznpodarou"/>
        <w:spacing w:before="0"/>
      </w:pPr>
      <w:r>
        <w:rPr>
          <w:rStyle w:val="Znakapoznpodarou"/>
        </w:rPr>
        <w:t>2)</w:t>
      </w:r>
      <w:r>
        <w:t xml:space="preserve"> </w:t>
      </w:r>
      <w:r w:rsidRPr="000115DD">
        <w:t>§ 76, 93, 105, 154 a 221 zákona č. 513/1991 Sb.</w:t>
      </w:r>
    </w:p>
  </w:footnote>
  <w:footnote w:id="105">
    <w:p w14:paraId="3F7E805C" w14:textId="77777777" w:rsidR="00433B76" w:rsidRDefault="00433B76" w:rsidP="00A46E9E">
      <w:pPr>
        <w:pStyle w:val="Textpoznpodarou"/>
        <w:spacing w:before="0"/>
      </w:pPr>
      <w:r>
        <w:rPr>
          <w:rStyle w:val="Znakapoznpodarou"/>
        </w:rPr>
        <w:t>9)</w:t>
      </w:r>
      <w:r>
        <w:t xml:space="preserve"> </w:t>
      </w:r>
      <w:r w:rsidRPr="000115DD">
        <w:t>§ 57 a násl. zákona č. 513/1991 Sb.</w:t>
      </w:r>
    </w:p>
  </w:footnote>
  <w:footnote w:id="106">
    <w:p w14:paraId="730F30AC" w14:textId="77777777" w:rsidR="00433B76" w:rsidRDefault="00433B76" w:rsidP="00A46E9E">
      <w:pPr>
        <w:pStyle w:val="Textpoznpodarou"/>
        <w:spacing w:before="0"/>
      </w:pPr>
      <w:r>
        <w:rPr>
          <w:rStyle w:val="Znakapoznpodarou"/>
        </w:rPr>
        <w:t>6)</w:t>
      </w:r>
      <w:r>
        <w:t xml:space="preserve"> </w:t>
      </w:r>
      <w:r w:rsidRPr="000115DD">
        <w:t>Například zákon č. 229/1991 Sb.</w:t>
      </w:r>
    </w:p>
  </w:footnote>
  <w:footnote w:id="107">
    <w:p w14:paraId="0A2C67F4" w14:textId="464A1ABC" w:rsidR="00433B76" w:rsidRDefault="00433B76">
      <w:pPr>
        <w:pStyle w:val="Textpoznpodarou"/>
      </w:pPr>
      <w:r>
        <w:rPr>
          <w:rStyle w:val="Znakapoznpodarou"/>
        </w:rPr>
        <w:t>1)</w:t>
      </w:r>
      <w:r>
        <w:t xml:space="preserve"> </w:t>
      </w:r>
      <w:r w:rsidRPr="005E62BF">
        <w:t>Zákon č. 256/2004 Sb., o podnikání na kapitálovém trhu, ve znění pozdějších předpisů.</w:t>
      </w:r>
    </w:p>
  </w:footnote>
  <w:footnote w:id="108">
    <w:p w14:paraId="545B1142" w14:textId="2DDB9B5E" w:rsidR="00433B76" w:rsidRDefault="00433B76">
      <w:pPr>
        <w:pStyle w:val="Textpoznpodarou"/>
      </w:pPr>
      <w:r>
        <w:rPr>
          <w:rStyle w:val="Znakapoznpodarou"/>
        </w:rPr>
        <w:t>13)</w:t>
      </w:r>
      <w:r>
        <w:t xml:space="preserve"> </w:t>
      </w:r>
      <w:r w:rsidRPr="005E62BF">
        <w:t>§ 13 odst. 2 a § 15 odst. 2 zákona České národní rady č. 2/1969 Sb., o zřízení ministerstev a jiných ústředních orgánů státní správy České republiky, ve znění pozdějších předpisů.</w:t>
      </w:r>
    </w:p>
  </w:footnote>
  <w:footnote w:id="109">
    <w:p w14:paraId="7DBE2FD3" w14:textId="2C41C975" w:rsidR="00433B76" w:rsidRDefault="00433B76" w:rsidP="005E62BF">
      <w:pPr>
        <w:pStyle w:val="Textpoznpodarou"/>
        <w:spacing w:before="0"/>
      </w:pPr>
      <w:r>
        <w:rPr>
          <w:rStyle w:val="Znakapoznpodarou"/>
        </w:rPr>
        <w:t>15)</w:t>
      </w:r>
      <w:r>
        <w:t xml:space="preserve"> </w:t>
      </w:r>
      <w:r w:rsidRPr="005E62BF">
        <w:t>§ 26e zákona č. 592/1992 Sb., o pojistném na všeobecné zdravotní pojištění, ve znění pozdějších předpisů.</w:t>
      </w:r>
    </w:p>
  </w:footnote>
  <w:footnote w:id="110">
    <w:p w14:paraId="435DBDAD" w14:textId="4BB4A6AE" w:rsidR="00433B76" w:rsidRDefault="00433B76" w:rsidP="005E62BF">
      <w:pPr>
        <w:pStyle w:val="Textpoznpodarou"/>
        <w:spacing w:before="0"/>
      </w:pPr>
      <w:r>
        <w:rPr>
          <w:rStyle w:val="Znakapoznpodarou"/>
        </w:rPr>
        <w:t>16)</w:t>
      </w:r>
      <w:r>
        <w:t xml:space="preserve"> </w:t>
      </w:r>
      <w:r w:rsidRPr="005E62BF">
        <w:t>§ 22d zákona č. 589/1992 Sb., o pojistném na sociální zabezpečení a příspěvku na státní politiku zaměstnanosti, ve znění pozdějších předpisů.</w:t>
      </w:r>
    </w:p>
  </w:footnote>
  <w:footnote w:id="111">
    <w:p w14:paraId="1FA3679C" w14:textId="2E803598" w:rsidR="00433B76" w:rsidRPr="006442B2" w:rsidRDefault="00433B76">
      <w:pPr>
        <w:pStyle w:val="Textpoznpodarou"/>
        <w:rPr>
          <w:strike/>
        </w:rPr>
      </w:pPr>
      <w:r w:rsidRPr="006442B2">
        <w:rPr>
          <w:rStyle w:val="Znakapoznpodarou"/>
          <w:strike/>
        </w:rPr>
        <w:t>19)</w:t>
      </w:r>
      <w:r w:rsidRPr="006442B2">
        <w:rPr>
          <w:strike/>
        </w:rPr>
        <w:t xml:space="preserve"> Zákon č. 563/1991 Sb., o účetnictví, ve znění pozdějších předpisů.</w:t>
      </w:r>
    </w:p>
  </w:footnote>
  <w:footnote w:id="112">
    <w:p w14:paraId="595F54ED" w14:textId="49CD0B67" w:rsidR="00433B76" w:rsidRDefault="00433B76" w:rsidP="00471221">
      <w:pPr>
        <w:pStyle w:val="Textpoznpodarou"/>
        <w:spacing w:before="0"/>
        <w:ind w:left="0" w:firstLine="0"/>
      </w:pPr>
      <w:r>
        <w:rPr>
          <w:rStyle w:val="Znakapoznpodarou"/>
        </w:rPr>
        <w:t>1a)</w:t>
      </w:r>
      <w:r>
        <w:t xml:space="preserve"> </w:t>
      </w:r>
      <w:r w:rsidRPr="001206A1">
        <w:t>§ 8b odst. 3 zákona č. 218/2000 Sb., o rozpočtových pravidlech a o změně některých souvisejících zákonů (rozpočtová pravidla), ve znění zákona č. 482/2004 Sb.</w:t>
      </w:r>
    </w:p>
  </w:footnote>
  <w:footnote w:id="113">
    <w:p w14:paraId="56921576" w14:textId="623E9550" w:rsidR="00433B76" w:rsidRDefault="00433B76">
      <w:pPr>
        <w:pStyle w:val="Textpoznpodarou"/>
      </w:pPr>
      <w:r>
        <w:rPr>
          <w:rStyle w:val="Znakapoznpodarou"/>
        </w:rPr>
        <w:t>24)</w:t>
      </w:r>
      <w:r>
        <w:t xml:space="preserve"> </w:t>
      </w:r>
      <w:r w:rsidRPr="00362C3F">
        <w:t>Zákon č. 137/2006 Sb., o veřejných zakázkách, ve znění pozdějších předpisů.</w:t>
      </w:r>
    </w:p>
  </w:footnote>
  <w:footnote w:id="114">
    <w:p w14:paraId="3CDF9AD7" w14:textId="7475C351" w:rsidR="00433B76" w:rsidRPr="005F227C" w:rsidRDefault="00433B76" w:rsidP="00471221">
      <w:pPr>
        <w:pStyle w:val="Textpoznpodarou"/>
        <w:spacing w:before="0"/>
        <w:ind w:left="0" w:firstLine="0"/>
        <w:rPr>
          <w:strike/>
        </w:rPr>
      </w:pPr>
      <w:r w:rsidRPr="005F227C">
        <w:rPr>
          <w:rStyle w:val="Znakapoznpodarou"/>
          <w:strike/>
        </w:rPr>
        <w:t>26)</w:t>
      </w:r>
      <w:r w:rsidRPr="005F227C">
        <w:rPr>
          <w:strike/>
        </w:rPr>
        <w:t xml:space="preserve"> Zákon č. 93/2009 Sb., o auditorech a o změně některých zákonů (zákon o auditorech), ve znění pozdějších předpisů.</w:t>
      </w:r>
    </w:p>
  </w:footnote>
  <w:footnote w:id="115">
    <w:p w14:paraId="026CD555" w14:textId="61F840A4" w:rsidR="00433B76" w:rsidRDefault="00433B76">
      <w:pPr>
        <w:pStyle w:val="Textpoznpodarou"/>
      </w:pPr>
      <w:r>
        <w:rPr>
          <w:rStyle w:val="Znakapoznpodarou"/>
        </w:rPr>
        <w:t>16a)</w:t>
      </w:r>
      <w:r>
        <w:t xml:space="preserve"> </w:t>
      </w:r>
      <w:r w:rsidRPr="008E4D37">
        <w:t>§ 11 odst. 3 zákona č. 48/1997 Sb., ve znění zákona č. 225/1999 Sb.</w:t>
      </w:r>
    </w:p>
  </w:footnote>
  <w:footnote w:id="116">
    <w:p w14:paraId="578645CA" w14:textId="6E1681A4" w:rsidR="00433B76" w:rsidRDefault="00433B76">
      <w:pPr>
        <w:pStyle w:val="Textpoznpodarou"/>
      </w:pPr>
      <w:r>
        <w:rPr>
          <w:rStyle w:val="Znakapoznpodarou"/>
        </w:rPr>
        <w:t>18)</w:t>
      </w:r>
      <w:r>
        <w:t xml:space="preserve"> </w:t>
      </w:r>
      <w:r w:rsidRPr="008E4D37">
        <w:t>§ 1 vyhlášky č. 301/1997 Sb., kterou se stanoví maximální výše nákladů na činnost a maximální výše výdajů na pořízení hmotného a nehmotného investičního majetku zdravotních pojišťoven.</w:t>
      </w:r>
    </w:p>
  </w:footnote>
  <w:footnote w:id="117">
    <w:p w14:paraId="7DF312C0" w14:textId="6C62598F" w:rsidR="00433B76" w:rsidRPr="00C16EBB" w:rsidRDefault="00433B76" w:rsidP="00C16EBB">
      <w:pPr>
        <w:pStyle w:val="Textpoznpodarou"/>
        <w:tabs>
          <w:tab w:val="clear" w:pos="425"/>
          <w:tab w:val="left" w:pos="426"/>
        </w:tabs>
        <w:ind w:left="0" w:firstLine="0"/>
        <w:rPr>
          <w:strike/>
        </w:rPr>
      </w:pPr>
      <w:r w:rsidRPr="00C16EBB">
        <w:rPr>
          <w:rStyle w:val="Znakapoznpodarou"/>
          <w:strike/>
        </w:rPr>
        <w:t>1)</w:t>
      </w:r>
      <w:r w:rsidRPr="00C16EBB">
        <w:rPr>
          <w:strike/>
        </w:rPr>
        <w:t xml:space="preserve"> § 3 odst. 3 zákona č. 219/2000 Sb., o majetku České republiky a jejím vystupování v právních vztazích, ve znění zákona č. 492/2000 Sb., zákona č. 229/2001 Sb., zákona č. 320/2001 Sb., zákona č. 501/2001 Sb., zákona č. 202/2002 Sb., zákona č. 280/2002 Sb. a zákona č. 476/2002 Sb.</w:t>
      </w:r>
    </w:p>
  </w:footnote>
  <w:footnote w:id="118">
    <w:p w14:paraId="266EF941" w14:textId="204A5835" w:rsidR="00433B76" w:rsidRPr="008F0667" w:rsidRDefault="00433B76" w:rsidP="008F0667">
      <w:pPr>
        <w:pStyle w:val="Textpoznpodarou"/>
        <w:spacing w:before="0"/>
        <w:ind w:left="0" w:firstLine="0"/>
        <w:rPr>
          <w:strike/>
        </w:rPr>
      </w:pPr>
      <w:r w:rsidRPr="008F0667">
        <w:rPr>
          <w:rStyle w:val="Znakapoznpodarou"/>
          <w:strike/>
        </w:rPr>
        <w:t>1)</w:t>
      </w:r>
      <w:r w:rsidRPr="00B91295">
        <w:rPr>
          <w:strike/>
        </w:rPr>
        <w:t xml:space="preserve"> § 9 odst. 1 zákona č. 219/2000 Sb., o majetku České republiky a jejím vystupování v pr</w:t>
      </w:r>
      <w:r>
        <w:rPr>
          <w:strike/>
        </w:rPr>
        <w:t>ávních vztazích.</w:t>
      </w:r>
    </w:p>
  </w:footnote>
  <w:footnote w:id="119">
    <w:p w14:paraId="140FFB72" w14:textId="77777777" w:rsidR="00433B76" w:rsidRDefault="00433B76" w:rsidP="000839A4">
      <w:pPr>
        <w:pStyle w:val="Textpoznpodarou"/>
        <w:spacing w:before="0"/>
        <w:ind w:firstLine="0"/>
      </w:pPr>
      <w:r>
        <w:rPr>
          <w:rStyle w:val="Znakapoznpodarou"/>
        </w:rPr>
        <w:t>137)</w:t>
      </w:r>
      <w:r>
        <w:t xml:space="preserve"> Směrnice Rady 2011/96/EU ze dne 30. listopadu 2011 o společném systému zdanění mateřských a dceřiných společností z různých členských států (přepracované znění), ve znění směrnice Rady 2013/13/EU, směrnice Rady 2014/86/EU a směrnice Rady 2015/121/EU. </w:t>
      </w:r>
    </w:p>
    <w:p w14:paraId="442E0B5F" w14:textId="77777777" w:rsidR="00433B76" w:rsidRDefault="00433B76" w:rsidP="000839A4">
      <w:pPr>
        <w:pStyle w:val="Textpoznpodarou"/>
        <w:spacing w:before="0"/>
        <w:ind w:firstLine="0"/>
      </w:pPr>
      <w:r>
        <w:t xml:space="preserve">Směrnice Rady 2009/133/ES ze dne 19. října 2009 o společném systému zdanění při fúzích, rozděleních, částečných rozděleních, převodech aktiv a výměně akcií týkajících se společností z různých členských států a při přemístění sídla evropské společnosti nebo evropské družstevní společnosti mezi členskými státy (kodifikované znění), ve znění směrnice Rady 2013/13/EU. </w:t>
      </w:r>
    </w:p>
    <w:p w14:paraId="357715E0" w14:textId="77777777" w:rsidR="00433B76" w:rsidRDefault="00433B76" w:rsidP="000839A4">
      <w:pPr>
        <w:pStyle w:val="Textpoznpodarou"/>
        <w:spacing w:before="0"/>
        <w:ind w:firstLine="0"/>
      </w:pPr>
      <w:r>
        <w:t xml:space="preserve">Směrnice Rady 2003/49/ES ze dne 3. června 2003 o společném systému zdanění úroků a licenčních poplatků mezi přidruženými společnostmi z různých členských států, ve znění směrnice Rady 2004/66/ES, směrnice Rady 2004/76/ES, směrnice Rady 2006/98/ES a směrnice Rady 2013/13/EU. </w:t>
      </w:r>
    </w:p>
    <w:p w14:paraId="348F0E77" w14:textId="77777777" w:rsidR="00433B76" w:rsidRDefault="00433B76" w:rsidP="000839A4">
      <w:pPr>
        <w:pStyle w:val="Textpoznpodarou"/>
        <w:spacing w:before="0"/>
        <w:ind w:firstLine="0"/>
      </w:pPr>
      <w:r>
        <w:t xml:space="preserve">Směrnice Rady 2003/48/ES ze dne 3. června 2003 o zdanění příjmů z úspor v podobě úrokových plateb, ve znění směrnice Rady 2004/66/ES, rozhodnutí Rady 2004/587/ES, směrnice Rady 2006/98/ES a směrnice Rady 2014/48/EU. </w:t>
      </w:r>
    </w:p>
    <w:p w14:paraId="6F2AA7C5" w14:textId="77777777" w:rsidR="00433B76" w:rsidRDefault="00433B76" w:rsidP="000839A4">
      <w:pPr>
        <w:pStyle w:val="Textpoznpodarou"/>
        <w:spacing w:before="0"/>
        <w:ind w:firstLine="0"/>
      </w:pPr>
      <w:r>
        <w:t>Směrnice Rady 2016/1164/EU ze dne 12. července 2016, kterou se stanoví pravidla proti praktikám vyhýbání se daňovým povinnostem, které mají přímý vliv na fungování vnitřního trhu, ve znění směrnice Rady 2017/952/EU.</w:t>
      </w:r>
    </w:p>
  </w:footnote>
  <w:footnote w:id="120">
    <w:p w14:paraId="527327C7" w14:textId="77777777" w:rsidR="00433B76" w:rsidRDefault="00433B76" w:rsidP="000839A4">
      <w:pPr>
        <w:pStyle w:val="Textpoznpodarou"/>
        <w:spacing w:before="0"/>
        <w:ind w:firstLine="0"/>
      </w:pPr>
      <w:r w:rsidRPr="000839A4">
        <w:rPr>
          <w:vertAlign w:val="superscript"/>
        </w:rPr>
        <w:t>1c)</w:t>
      </w:r>
      <w:r>
        <w:t xml:space="preserve"> </w:t>
      </w:r>
      <w:r w:rsidRPr="00102B69">
        <w:t>Článek 37 odst. 1 a články 39 a 41 Úmluvy o ochraně lidských práv a základních svobod, uveřejněné pod č. 209/1992 Sb., ve znění Protokolu č. 11 k Úmluvě o ochraně lidských práv a základních svobod, uveřejněného pod č. 243/1998 Sb.</w:t>
      </w:r>
    </w:p>
  </w:footnote>
  <w:footnote w:id="121">
    <w:p w14:paraId="26C9D6D6" w14:textId="77777777" w:rsidR="00433B76" w:rsidRDefault="00433B76" w:rsidP="000839A4">
      <w:pPr>
        <w:pStyle w:val="Textpoznpodarou"/>
        <w:spacing w:before="0"/>
        <w:ind w:firstLine="0"/>
      </w:pPr>
      <w:r w:rsidRPr="000839A4">
        <w:rPr>
          <w:vertAlign w:val="superscript"/>
        </w:rPr>
        <w:t>3)</w:t>
      </w:r>
      <w:r>
        <w:t xml:space="preserve"> Zákon č. 221/1999 Sb., o vojácích z povolání, ve znění zákona č. 155/2000 Sb., zákona č. 129/2002 Sb. a zákona č. 254/2002 Sb. Sb. </w:t>
      </w:r>
    </w:p>
    <w:p w14:paraId="2843858B" w14:textId="77777777" w:rsidR="00433B76" w:rsidRDefault="00433B76" w:rsidP="000839A4">
      <w:pPr>
        <w:pStyle w:val="Textpoznpodarou"/>
        <w:spacing w:before="0"/>
        <w:ind w:firstLine="0"/>
      </w:pPr>
      <w:r>
        <w:t>Zákon č. 361/2003 Sb., o služebním poměru příslušníků bezpečnostních sborů.</w:t>
      </w:r>
    </w:p>
  </w:footnote>
  <w:footnote w:id="122">
    <w:p w14:paraId="4166E902" w14:textId="77777777" w:rsidR="00433B76" w:rsidRDefault="00433B76" w:rsidP="000839A4">
      <w:pPr>
        <w:pStyle w:val="Textpoznpodarou"/>
        <w:spacing w:before="0"/>
        <w:ind w:firstLine="0"/>
      </w:pPr>
      <w:r w:rsidRPr="000839A4">
        <w:rPr>
          <w:vertAlign w:val="superscript"/>
        </w:rPr>
        <w:t>3a)</w:t>
      </w:r>
      <w:r>
        <w:t xml:space="preserve"> </w:t>
      </w:r>
      <w:r w:rsidRPr="00C65932">
        <w:t>Zákon č. 221/1999 Sb., o vojácích z povolání, ve znění pozdějších předpisů.</w:t>
      </w:r>
    </w:p>
  </w:footnote>
  <w:footnote w:id="123">
    <w:p w14:paraId="2405BE75" w14:textId="77777777" w:rsidR="00433B76" w:rsidRDefault="00433B76" w:rsidP="000839A4">
      <w:pPr>
        <w:pStyle w:val="Textpoznpodarou"/>
      </w:pPr>
      <w:r>
        <w:rPr>
          <w:rStyle w:val="Znakapoznpodarou"/>
        </w:rPr>
        <w:t>1a)</w:t>
      </w:r>
      <w:r>
        <w:t xml:space="preserve"> </w:t>
      </w:r>
      <w:r w:rsidRPr="00B62AE5">
        <w:t xml:space="preserve">Zákon č. 151/1997 Sb., o oceňování </w:t>
      </w:r>
      <w:r w:rsidRPr="00B62AE5">
        <w:rPr>
          <w:strike/>
        </w:rPr>
        <w:t>majetku</w:t>
      </w:r>
      <w:r w:rsidRPr="00B62AE5">
        <w:t xml:space="preserve"> a o změně některých zákonů (zákon o oceňování </w:t>
      </w:r>
      <w:r w:rsidRPr="00B62AE5">
        <w:rPr>
          <w:strike/>
        </w:rPr>
        <w:t>majetku</w:t>
      </w:r>
      <w:r w:rsidRPr="00B62AE5">
        <w:t>).</w:t>
      </w:r>
    </w:p>
  </w:footnote>
  <w:footnote w:id="124">
    <w:p w14:paraId="0B6841FC" w14:textId="77777777" w:rsidR="00433B76" w:rsidRDefault="00433B76" w:rsidP="000839A4">
      <w:pPr>
        <w:pStyle w:val="Textpoznpodarou"/>
      </w:pPr>
      <w:r>
        <w:rPr>
          <w:rStyle w:val="Znakapoznpodarou"/>
        </w:rPr>
        <w:t>5)</w:t>
      </w:r>
      <w:r>
        <w:t xml:space="preserve"> </w:t>
      </w:r>
      <w:r w:rsidRPr="00C65932">
        <w:t>Například část sedmá hlava třetí zákoníku práce.</w:t>
      </w:r>
    </w:p>
  </w:footnote>
  <w:footnote w:id="125">
    <w:p w14:paraId="39B80BDB" w14:textId="77777777" w:rsidR="00433B76" w:rsidRDefault="00433B76" w:rsidP="000839A4">
      <w:pPr>
        <w:pStyle w:val="Textpoznpodarou"/>
        <w:spacing w:before="0"/>
      </w:pPr>
      <w:r>
        <w:rPr>
          <w:rStyle w:val="Znakapoznpodarou"/>
        </w:rPr>
        <w:t>133)</w:t>
      </w:r>
      <w:r>
        <w:t xml:space="preserve"> </w:t>
      </w:r>
      <w:r w:rsidRPr="00580275">
        <w:t>Zákon č. 435/2004 Sb., o zaměstnanosti.</w:t>
      </w:r>
    </w:p>
  </w:footnote>
  <w:footnote w:id="126">
    <w:p w14:paraId="64ABA9F2" w14:textId="77777777" w:rsidR="00433B76" w:rsidRDefault="00433B76" w:rsidP="000839A4">
      <w:pPr>
        <w:pStyle w:val="Textpoznpodarou"/>
        <w:spacing w:before="0"/>
        <w:ind w:left="0" w:firstLine="0"/>
      </w:pPr>
      <w:r>
        <w:rPr>
          <w:rStyle w:val="Znakapoznpodarou"/>
        </w:rPr>
        <w:t>6b)</w:t>
      </w:r>
      <w:r>
        <w:t xml:space="preserve"> </w:t>
      </w:r>
      <w:r w:rsidRPr="00C65932">
        <w:t>§ 139 zákona č. 361/2003 Sb.</w:t>
      </w:r>
    </w:p>
  </w:footnote>
  <w:footnote w:id="127">
    <w:p w14:paraId="28A39D81" w14:textId="77777777" w:rsidR="00433B76" w:rsidRDefault="00433B76" w:rsidP="000839A4">
      <w:pPr>
        <w:pStyle w:val="Textpoznpodarou"/>
        <w:spacing w:before="0"/>
        <w:ind w:left="0" w:firstLine="0"/>
      </w:pPr>
      <w:r>
        <w:rPr>
          <w:rStyle w:val="Znakapoznpodarou"/>
        </w:rPr>
        <w:t>6c)</w:t>
      </w:r>
      <w:r>
        <w:t xml:space="preserve"> </w:t>
      </w:r>
      <w:r w:rsidRPr="00C65932">
        <w:t>§ 66 odst. 2 zákona č. 361/2003 Sb.</w:t>
      </w:r>
    </w:p>
  </w:footnote>
  <w:footnote w:id="128">
    <w:p w14:paraId="27DE299E" w14:textId="77777777" w:rsidR="00433B76" w:rsidRDefault="00433B76" w:rsidP="000839A4">
      <w:pPr>
        <w:pStyle w:val="Textpoznpodarou"/>
        <w:spacing w:before="0"/>
        <w:ind w:left="0" w:firstLine="0"/>
      </w:pPr>
      <w:r>
        <w:rPr>
          <w:rStyle w:val="Znakapoznpodarou"/>
        </w:rPr>
        <w:t>6e)</w:t>
      </w:r>
      <w:r>
        <w:t xml:space="preserve"> </w:t>
      </w:r>
      <w:r w:rsidRPr="00C65932">
        <w:t>Například § 11 odst. 3 zákona č. 143/1992 Sb., o platu a odměně za pracovní pohotovost v rozpočtových a některých dalších organizacích a orgánech, ve znění pozdějších předpisů, § 119 zákona č. 361/2003 Sb., o služebním poměru příslušníků bezpečnostních sborů, ve znění pozdějších předpisů.</w:t>
      </w:r>
    </w:p>
  </w:footnote>
  <w:footnote w:id="129">
    <w:p w14:paraId="10EF5E61" w14:textId="77777777" w:rsidR="00433B76" w:rsidRDefault="00433B76" w:rsidP="000839A4">
      <w:pPr>
        <w:pStyle w:val="Textpoznpodarou"/>
        <w:spacing w:before="0"/>
        <w:ind w:left="0" w:firstLine="0"/>
      </w:pPr>
      <w:r>
        <w:rPr>
          <w:rStyle w:val="Znakapoznpodarou"/>
        </w:rPr>
        <w:t>6g)</w:t>
      </w:r>
      <w:r>
        <w:t xml:space="preserve"> </w:t>
      </w:r>
      <w:r w:rsidRPr="00B21D49">
        <w:t>Například zákon č. 236/1995 Sb., o platu a dalších náležitostech spojených s výkonem funkce představitelů státní moci a některých státních orgánů a soudců, ve znění pozdějších předpisů, zákon č. 201/1997 Sb., o platu a některých dalších náležitostech státních zástupců a o změně a doplnění zákona č. 143/1992 Sb., o platu a odměně za pracovní pohotovost v rozpočtových a některých dalších organizacích a orgánech, ve znění pozdějších předpisů.</w:t>
      </w:r>
    </w:p>
  </w:footnote>
  <w:footnote w:id="130">
    <w:p w14:paraId="4A0469C2" w14:textId="77777777" w:rsidR="00433B76" w:rsidRDefault="00433B76" w:rsidP="000839A4">
      <w:pPr>
        <w:pStyle w:val="Textpoznpodarou"/>
        <w:spacing w:before="0"/>
        <w:ind w:left="0" w:firstLine="0"/>
      </w:pPr>
      <w:r>
        <w:rPr>
          <w:rStyle w:val="Znakapoznpodarou"/>
        </w:rPr>
        <w:t>47a)</w:t>
      </w:r>
      <w:r>
        <w:t xml:space="preserve"> </w:t>
      </w:r>
      <w:r w:rsidRPr="009D766B">
        <w:t>Například § 192 až 194 zákoníku práce, § 34 odst. 4 zákona č. 236/1995 Sb., o platu a dalších náležitostech spojených s výkonem funkce představitelů státní moci a některých státních orgánů a soudců a poslanců Evropského parlamentu, ve znění pozdějších předpisů, § 73 odst. 4 zákona č. 128/2000 Sb., o obcích (obecní zřízení), ve znění pozdějších předpisů, § 48 odst. 3 zákona č. 129/2000 Sb., o krajích (krajské zřízení), ve znění pozdějších předpisů, § 53 odst. 4 zákona č. 131/2000 Sb., o hlavním městě Praze, ve znění pozdějších předpisů.</w:t>
      </w:r>
    </w:p>
  </w:footnote>
  <w:footnote w:id="131">
    <w:p w14:paraId="265A0BFF" w14:textId="77777777" w:rsidR="00433B76" w:rsidRDefault="00433B76" w:rsidP="000839A4">
      <w:pPr>
        <w:pStyle w:val="Textpoznpodarou"/>
        <w:spacing w:before="0"/>
        <w:ind w:left="0" w:firstLine="0"/>
      </w:pPr>
      <w:r>
        <w:rPr>
          <w:rStyle w:val="Znakapoznpodarou"/>
        </w:rPr>
        <w:t>47b)</w:t>
      </w:r>
      <w:r>
        <w:t xml:space="preserve"> </w:t>
      </w:r>
      <w:r w:rsidRPr="009D766B">
        <w:t>§ 192 odst. 2 zákoníku práce.</w:t>
      </w:r>
    </w:p>
  </w:footnote>
  <w:footnote w:id="132">
    <w:p w14:paraId="678B0B47" w14:textId="77777777" w:rsidR="00433B76" w:rsidRDefault="00433B76" w:rsidP="000839A4">
      <w:pPr>
        <w:pStyle w:val="Textpoznpodarou"/>
      </w:pPr>
      <w:r>
        <w:rPr>
          <w:rStyle w:val="Znakapoznpodarou"/>
        </w:rPr>
        <w:t>138)</w:t>
      </w:r>
      <w:r>
        <w:t xml:space="preserve"> </w:t>
      </w:r>
      <w:r w:rsidRPr="00580275">
        <w:t>Zákon č. 236/1995 Sb., o platu a dalších náležitostech spojených s výkonem funkce představitelů státní moci a některých státních orgánů a soudců a poslanců Evropského parlamentu, ve znění pozdějších předpisů.</w:t>
      </w:r>
    </w:p>
  </w:footnote>
  <w:footnote w:id="133">
    <w:p w14:paraId="5C3C943C" w14:textId="77777777" w:rsidR="00433B76" w:rsidRPr="008152C9" w:rsidRDefault="00433B76" w:rsidP="000839A4">
      <w:pPr>
        <w:pStyle w:val="Textpoznpodarou"/>
        <w:spacing w:before="0"/>
        <w:ind w:left="0" w:firstLine="0"/>
        <w:rPr>
          <w:strike/>
        </w:rPr>
      </w:pPr>
      <w:r w:rsidRPr="008152C9">
        <w:rPr>
          <w:rStyle w:val="Znakapoznpodarou"/>
          <w:strike/>
        </w:rPr>
        <w:t>20)</w:t>
      </w:r>
      <w:r w:rsidRPr="008152C9">
        <w:rPr>
          <w:strike/>
        </w:rPr>
        <w:t xml:space="preserve"> Zákon č. 563/1991 Sb., o účetnictví, ve znění pozdějších předpisů.</w:t>
      </w:r>
    </w:p>
  </w:footnote>
  <w:footnote w:id="134">
    <w:p w14:paraId="1B0F9BCA" w14:textId="77777777" w:rsidR="00433B76" w:rsidRPr="008152C9" w:rsidRDefault="00433B76" w:rsidP="000839A4">
      <w:pPr>
        <w:pStyle w:val="Textpoznpodarou"/>
        <w:spacing w:before="0"/>
        <w:ind w:left="0" w:firstLine="0"/>
        <w:rPr>
          <w:strike/>
        </w:rPr>
      </w:pPr>
      <w:r w:rsidRPr="008152C9">
        <w:rPr>
          <w:rStyle w:val="Znakapoznpodarou"/>
          <w:strike/>
        </w:rPr>
        <w:t>20h)</w:t>
      </w:r>
      <w:r w:rsidRPr="008152C9">
        <w:rPr>
          <w:strike/>
        </w:rPr>
        <w:t xml:space="preserve"> § 6 až 9 vyhlášky č. 500/2002 Sb., kterou se provádějí některá ustanovení zákona č. 563/1991 Sb., o účetnictví, ve znění pozdějších předpisů, pro účetní jednotky, které jsou podnikateli účtujícími v soustavě podvojného účetnictví.</w:t>
      </w:r>
    </w:p>
  </w:footnote>
  <w:footnote w:id="135">
    <w:p w14:paraId="40D84DA1" w14:textId="77777777" w:rsidR="00433B76" w:rsidRDefault="00433B76" w:rsidP="000839A4">
      <w:pPr>
        <w:pStyle w:val="Textpoznpodarou"/>
        <w:spacing w:before="0"/>
        <w:ind w:left="0" w:firstLine="0"/>
      </w:pPr>
      <w:r>
        <w:rPr>
          <w:rStyle w:val="Znakapoznpodarou"/>
        </w:rPr>
        <w:t>31)</w:t>
      </w:r>
      <w:r>
        <w:t xml:space="preserve"> </w:t>
      </w:r>
      <w:r w:rsidRPr="00D64090">
        <w:t>§ 25 odst. 4 zákona č. 563/1991 Sb.</w:t>
      </w:r>
    </w:p>
  </w:footnote>
  <w:footnote w:id="136">
    <w:p w14:paraId="4526EAA3" w14:textId="77777777" w:rsidR="00433B76" w:rsidRDefault="00433B76" w:rsidP="00FE4A0D">
      <w:pPr>
        <w:pStyle w:val="Textpoznpodarou"/>
        <w:spacing w:before="0"/>
        <w:ind w:left="0" w:firstLine="0"/>
      </w:pPr>
      <w:r>
        <w:rPr>
          <w:rStyle w:val="Znakapoznpodarou"/>
        </w:rPr>
        <w:t>131)</w:t>
      </w:r>
      <w:r>
        <w:t xml:space="preserve"> </w:t>
      </w:r>
      <w:r w:rsidRPr="00F5434E">
        <w:t>Zákon č. 125/2008 Sb., o přeměnách obchodních společností a družstev.</w:t>
      </w:r>
    </w:p>
  </w:footnote>
  <w:footnote w:id="137">
    <w:p w14:paraId="01043E32" w14:textId="77777777" w:rsidR="00433B76" w:rsidRDefault="00433B76" w:rsidP="00FE4A0D">
      <w:pPr>
        <w:pStyle w:val="Textpoznpodarou"/>
        <w:spacing w:before="0"/>
        <w:ind w:left="0" w:firstLine="0"/>
      </w:pPr>
      <w:r>
        <w:rPr>
          <w:rStyle w:val="Znakapoznpodarou"/>
        </w:rPr>
        <w:t>2)</w:t>
      </w:r>
      <w:r>
        <w:t xml:space="preserve"> </w:t>
      </w:r>
      <w:r w:rsidRPr="00102B69">
        <w:t>Např. zákon č. 403/1990 Sb., o zmírnění následků některých majetkových křivd, ve znění pozdějších předpisů, zákon č. 119/1990 Sb., o soudní rehabilitaci, ve znění pozdějších předpisů, zákon č. 87/1991 Sb., o mimosoudních rehabilitacích, ve znění pozdějších předpisů, zákon č. 229/1991 Sb., o úpravě vlastnických vztahů k půdě a jinému zemědělskému majetku, ve znění pozdějších předpisů, zákon č. 42/1992 Sb., o úpravě majetkových vztahů a vypořádání majetkových nároků v družstvech, ve znění pozdějších předpisů.</w:t>
      </w:r>
    </w:p>
    <w:p w14:paraId="1AD2A283" w14:textId="77777777" w:rsidR="00433B76" w:rsidRDefault="00433B76" w:rsidP="00FE4A0D">
      <w:pPr>
        <w:pStyle w:val="Textpoznpodarou"/>
        <w:spacing w:before="0"/>
        <w:ind w:left="0" w:firstLine="0"/>
      </w:pPr>
      <w:r>
        <w:rPr>
          <w:rStyle w:val="Znakapoznpodarou"/>
        </w:rPr>
        <w:t>13)</w:t>
      </w:r>
      <w:r>
        <w:t xml:space="preserve"> </w:t>
      </w:r>
      <w:r w:rsidRPr="00B21D49">
        <w:t>Zákon č. 42/1992 Sb., ve znění pozdějších předpisů.</w:t>
      </w:r>
    </w:p>
  </w:footnote>
  <w:footnote w:id="138">
    <w:p w14:paraId="1DB144B9" w14:textId="77777777" w:rsidR="00433B76" w:rsidRDefault="00433B76" w:rsidP="000839A4">
      <w:pPr>
        <w:pStyle w:val="Textpoznpodarou"/>
      </w:pPr>
    </w:p>
  </w:footnote>
  <w:footnote w:id="139">
    <w:p w14:paraId="34A636FA" w14:textId="77777777" w:rsidR="00433B76" w:rsidRDefault="00433B76" w:rsidP="00FE4A0D">
      <w:pPr>
        <w:pStyle w:val="Textpoznpodarou"/>
        <w:spacing w:before="0"/>
        <w:ind w:left="0" w:firstLine="0"/>
      </w:pPr>
      <w:r>
        <w:rPr>
          <w:rStyle w:val="Znakapoznpodarou"/>
        </w:rPr>
        <w:t>4j)</w:t>
      </w:r>
      <w:r>
        <w:t xml:space="preserve"> </w:t>
      </w:r>
      <w:r w:rsidRPr="00C65932">
        <w:t>Zákon č. 108/2006 Sb., o sociálních službách.</w:t>
      </w:r>
    </w:p>
    <w:p w14:paraId="6797D4C5" w14:textId="77777777" w:rsidR="00433B76" w:rsidRDefault="00433B76" w:rsidP="00FE4A0D">
      <w:pPr>
        <w:pStyle w:val="Textpoznpodarou"/>
        <w:spacing w:before="0"/>
        <w:ind w:left="0" w:firstLine="0"/>
      </w:pPr>
      <w:r>
        <w:rPr>
          <w:rStyle w:val="Znakapoznpodarou"/>
        </w:rPr>
        <w:t>14e)</w:t>
      </w:r>
      <w:r>
        <w:t xml:space="preserve"> </w:t>
      </w:r>
      <w:r w:rsidRPr="00421637">
        <w:t>Zákon č. 117/2001 Sb., o veřejných sbírkách a o změně některých zákonů (zákon o veřejných sbírkách).</w:t>
      </w:r>
    </w:p>
  </w:footnote>
  <w:footnote w:id="140">
    <w:p w14:paraId="46CA77C0" w14:textId="77777777" w:rsidR="00433B76" w:rsidRDefault="00433B76" w:rsidP="00FE4A0D">
      <w:pPr>
        <w:pStyle w:val="Textpoznpodarou"/>
        <w:spacing w:before="0"/>
        <w:ind w:left="0" w:firstLine="0"/>
      </w:pPr>
    </w:p>
  </w:footnote>
  <w:footnote w:id="141">
    <w:p w14:paraId="6060CB60" w14:textId="77777777" w:rsidR="00433B76" w:rsidRDefault="00433B76" w:rsidP="00FE4A0D">
      <w:pPr>
        <w:pStyle w:val="Textpoznpodarou"/>
        <w:spacing w:before="0"/>
        <w:ind w:left="0" w:firstLine="0"/>
      </w:pPr>
      <w:r>
        <w:rPr>
          <w:rStyle w:val="Znakapoznpodarou"/>
        </w:rPr>
        <w:t>4a)</w:t>
      </w:r>
      <w:r>
        <w:t xml:space="preserve"> </w:t>
      </w:r>
      <w:r w:rsidRPr="00C65932">
        <w:t>Zákon č. 96/1993 Sb., o stavebním spoření a státní podpoře stavebního spoření a o doplnění zákona ČNR č. 586/1992 Sb., o daních z příjmů, ve znění zákona ČNR č. 35/1993 Sb.</w:t>
      </w:r>
    </w:p>
    <w:p w14:paraId="7C671EC7" w14:textId="77777777" w:rsidR="00433B76" w:rsidRDefault="00433B76" w:rsidP="00FE4A0D">
      <w:pPr>
        <w:pStyle w:val="Textpoznpodarou"/>
        <w:spacing w:before="0"/>
        <w:ind w:left="0" w:firstLine="0"/>
      </w:pPr>
      <w:r>
        <w:rPr>
          <w:rStyle w:val="Znakapoznpodarou"/>
        </w:rPr>
        <w:t>114)</w:t>
      </w:r>
      <w:r>
        <w:t xml:space="preserve"> </w:t>
      </w:r>
      <w:r w:rsidRPr="00F5434E">
        <w:t xml:space="preserve">Zákon č. </w:t>
      </w:r>
      <w:hyperlink r:id="rId1" w:history="1">
        <w:r w:rsidRPr="00F5434E">
          <w:rPr>
            <w:rStyle w:val="Hypertextovodkaz"/>
          </w:rPr>
          <w:t>123/2000 Sb.</w:t>
        </w:r>
      </w:hyperlink>
      <w:r w:rsidRPr="00F5434E">
        <w:t>, o zdravotnických prostředcích, ve znění pozdějších předpisů.</w:t>
      </w:r>
    </w:p>
  </w:footnote>
  <w:footnote w:id="142">
    <w:p w14:paraId="1B14B0A1" w14:textId="77777777" w:rsidR="00433B76" w:rsidRDefault="00433B76" w:rsidP="00FE4A0D">
      <w:pPr>
        <w:pStyle w:val="Textpoznpodarou"/>
        <w:spacing w:before="0"/>
        <w:ind w:left="0" w:firstLine="0"/>
      </w:pPr>
    </w:p>
  </w:footnote>
  <w:footnote w:id="143">
    <w:p w14:paraId="03C8DF8B" w14:textId="77777777" w:rsidR="00433B76" w:rsidRDefault="00433B76" w:rsidP="00FE4A0D">
      <w:pPr>
        <w:pStyle w:val="Textpoznpodarou"/>
        <w:spacing w:before="0"/>
        <w:ind w:left="0" w:firstLine="0"/>
      </w:pPr>
      <w:r>
        <w:rPr>
          <w:rStyle w:val="Znakapoznpodarou"/>
        </w:rPr>
        <w:t>63)</w:t>
      </w:r>
      <w:r>
        <w:t xml:space="preserve"> § 76 a násl. zákona č. 50/1976 Sb. </w:t>
      </w:r>
    </w:p>
    <w:p w14:paraId="4C347CCF" w14:textId="77777777" w:rsidR="00433B76" w:rsidRDefault="00433B76" w:rsidP="00FE4A0D">
      <w:pPr>
        <w:pStyle w:val="Textpoznpodarou"/>
        <w:spacing w:before="0"/>
        <w:ind w:left="0" w:firstLine="0"/>
      </w:pPr>
      <w:r>
        <w:t>§ 119 a násl. zákona č. 183/2006 Sb., o územním plánování a stavebním řádu (stavební zákon).</w:t>
      </w:r>
    </w:p>
  </w:footnote>
  <w:footnote w:id="144">
    <w:p w14:paraId="14A4FC93" w14:textId="77777777" w:rsidR="00433B76" w:rsidRDefault="00433B76" w:rsidP="00FE4A0D">
      <w:pPr>
        <w:pStyle w:val="Textpoznpodarou"/>
        <w:spacing w:before="0"/>
        <w:ind w:left="0" w:firstLine="0"/>
      </w:pPr>
      <w:r>
        <w:rPr>
          <w:rStyle w:val="Znakapoznpodarou"/>
        </w:rPr>
        <w:t>136)</w:t>
      </w:r>
      <w:r>
        <w:t xml:space="preserve"> </w:t>
      </w:r>
      <w:r w:rsidRPr="00580275">
        <w:t>Nařízení Evropského parlamentu a Rady (ES) č. 883/2004 o koordinaci systémů sociálního zabezpečení, ve znění nařízení Evropského parlamentu a Rady č. 988/2009, v platném znění</w:t>
      </w:r>
    </w:p>
  </w:footnote>
  <w:footnote w:id="145">
    <w:p w14:paraId="187A520C" w14:textId="77777777" w:rsidR="00433B76" w:rsidRDefault="00433B76" w:rsidP="00FE4A0D">
      <w:pPr>
        <w:pStyle w:val="Textpoznpodarou"/>
        <w:spacing w:before="0"/>
        <w:ind w:left="0" w:firstLine="0"/>
      </w:pPr>
      <w:r>
        <w:rPr>
          <w:rStyle w:val="Znakapoznpodarou"/>
        </w:rPr>
        <w:t>139)</w:t>
      </w:r>
      <w:r>
        <w:t xml:space="preserve"> </w:t>
      </w:r>
      <w:r w:rsidRPr="00580275">
        <w:t>Zákon č. 455/1991 Sb., živnostenský zákon, ve znění pozdějších předpisů.</w:t>
      </w:r>
    </w:p>
  </w:footnote>
  <w:footnote w:id="146">
    <w:p w14:paraId="27AA4424" w14:textId="77777777" w:rsidR="00433B76" w:rsidRDefault="00433B76" w:rsidP="00FE4A0D">
      <w:pPr>
        <w:pStyle w:val="Textpoznpodarou"/>
        <w:spacing w:before="0"/>
        <w:ind w:left="0" w:firstLine="0"/>
      </w:pPr>
      <w:r>
        <w:rPr>
          <w:rStyle w:val="Znakapoznpodarou"/>
        </w:rPr>
        <w:t>15b)</w:t>
      </w:r>
      <w:r>
        <w:t xml:space="preserve"> </w:t>
      </w:r>
      <w:r w:rsidRPr="00421637">
        <w:t>§ 33a zákona č. 229/1991 Sb., ve znění pozdějších předpisů.</w:t>
      </w:r>
    </w:p>
  </w:footnote>
  <w:footnote w:id="147">
    <w:p w14:paraId="4A04F23E" w14:textId="77777777" w:rsidR="00433B76" w:rsidRPr="00FE4A0D" w:rsidRDefault="00433B76" w:rsidP="00FE4A0D">
      <w:pPr>
        <w:pStyle w:val="Textpoznpodarou"/>
        <w:spacing w:before="0"/>
        <w:ind w:firstLine="0"/>
      </w:pPr>
      <w:r w:rsidRPr="00FE4A0D">
        <w:rPr>
          <w:rStyle w:val="Znakapoznpodarou"/>
        </w:rPr>
        <w:t>19)</w:t>
      </w:r>
      <w:r w:rsidRPr="00FE4A0D">
        <w:t xml:space="preserve"> Např. zákon ČNR č. 388/1991 Sb., o Státním fondu životního prostředí České republiky.</w:t>
      </w:r>
    </w:p>
  </w:footnote>
  <w:footnote w:id="148">
    <w:p w14:paraId="3ACE1435" w14:textId="77777777" w:rsidR="00433B76" w:rsidRPr="00FE4A0D" w:rsidRDefault="00433B76" w:rsidP="00FE4A0D">
      <w:pPr>
        <w:pStyle w:val="Textpoznpodarou"/>
        <w:spacing w:before="0"/>
        <w:ind w:firstLine="0"/>
      </w:pPr>
      <w:r w:rsidRPr="00FE4A0D">
        <w:rPr>
          <w:vertAlign w:val="superscript"/>
        </w:rPr>
        <w:t>19a)</w:t>
      </w:r>
      <w:r w:rsidRPr="00FE4A0D">
        <w:t xml:space="preserve"> Zákon č. </w:t>
      </w:r>
      <w:hyperlink r:id="rId2" w:history="1">
        <w:r w:rsidRPr="00FE4A0D">
          <w:t>182/2006 Sb.</w:t>
        </w:r>
      </w:hyperlink>
      <w:r w:rsidRPr="00FE4A0D">
        <w:t>, o úpadku a způsobech jeho řešení (</w:t>
      </w:r>
      <w:hyperlink r:id="rId3" w:history="1">
        <w:r w:rsidRPr="00FE4A0D">
          <w:t>insolvenční zákon</w:t>
        </w:r>
      </w:hyperlink>
      <w:r w:rsidRPr="00FE4A0D">
        <w:t xml:space="preserve">), ve znění pozdějších předpisů. </w:t>
      </w:r>
    </w:p>
  </w:footnote>
  <w:footnote w:id="149">
    <w:p w14:paraId="0EEA0D5F" w14:textId="77777777" w:rsidR="00433B76" w:rsidRPr="00FE4A0D" w:rsidRDefault="00433B76" w:rsidP="00FE4A0D">
      <w:pPr>
        <w:pStyle w:val="Textpoznpodarou"/>
        <w:spacing w:before="0"/>
        <w:ind w:firstLine="0"/>
      </w:pPr>
      <w:r w:rsidRPr="00FE4A0D">
        <w:rPr>
          <w:vertAlign w:val="superscript"/>
        </w:rPr>
        <w:t>125)</w:t>
      </w:r>
      <w:r w:rsidRPr="00FE4A0D">
        <w:t xml:space="preserve"> Zákon č. 427/1990 Sb., o převodech vlastnictví státu k některým věcem na jiné právnické nebo fyzické osoby, ve znění pozdějších předpisů. </w:t>
      </w:r>
    </w:p>
    <w:p w14:paraId="440FC05D" w14:textId="77777777" w:rsidR="00433B76" w:rsidRPr="00FE4A0D" w:rsidRDefault="00433B76" w:rsidP="00FE4A0D">
      <w:pPr>
        <w:pStyle w:val="Textpoznpodarou"/>
        <w:spacing w:before="0"/>
        <w:ind w:firstLine="0"/>
      </w:pPr>
      <w:r w:rsidRPr="00FE4A0D">
        <w:t xml:space="preserve">Zákon č. 500/1990 Sb., o působnosti orgánů České republiky ve věcech převodů vlastnictví státu k některým věcem na jiné právnické nebo fyzické osoby, ve znění pozdějších předpisů. </w:t>
      </w:r>
    </w:p>
    <w:p w14:paraId="2B539B3C" w14:textId="77777777" w:rsidR="00433B76" w:rsidRDefault="00433B76" w:rsidP="00FE4A0D">
      <w:pPr>
        <w:pStyle w:val="Textpoznpodarou"/>
        <w:spacing w:before="0"/>
        <w:ind w:firstLine="0"/>
      </w:pPr>
      <w:r w:rsidRPr="00FE4A0D">
        <w:t>Zákon č. 178/2005 Sb., o zrušení Fondu národního majetku České republiky a o působnosti Ministerstva financí při privatizaci majetku České republiky (zákon o zrušení Fondu národního majetku), ve znění pozdějších předpisů.</w:t>
      </w:r>
    </w:p>
  </w:footnote>
  <w:footnote w:id="150">
    <w:p w14:paraId="41771268" w14:textId="77777777" w:rsidR="00433B76" w:rsidRDefault="00433B76" w:rsidP="00FE4A0D">
      <w:pPr>
        <w:pStyle w:val="Textpoznpodarou"/>
        <w:spacing w:before="0"/>
        <w:ind w:left="0" w:firstLine="0"/>
      </w:pPr>
      <w:r>
        <w:rPr>
          <w:rStyle w:val="Znakapoznpodarou"/>
        </w:rPr>
        <w:t>4h)</w:t>
      </w:r>
      <w:r>
        <w:t xml:space="preserve"> </w:t>
      </w:r>
      <w:r w:rsidRPr="00C65932">
        <w:t>Zákon č. 198/2002 Sb., o dobrovolnické službě a o změně některých zákonů (zákon o dobrovolnické službě), ve znění zákona č 436/2004 Sb.</w:t>
      </w:r>
    </w:p>
    <w:p w14:paraId="1009EFCF" w14:textId="77777777" w:rsidR="00433B76" w:rsidRDefault="00433B76" w:rsidP="00FE4A0D">
      <w:pPr>
        <w:pStyle w:val="Textpoznpodarou"/>
        <w:spacing w:before="0"/>
        <w:ind w:left="0" w:firstLine="0"/>
      </w:pPr>
      <w:r>
        <w:rPr>
          <w:rStyle w:val="Znakapoznpodarou"/>
        </w:rPr>
        <w:t>17e)</w:t>
      </w:r>
      <w:r>
        <w:t xml:space="preserve"> Zákon č. 551/1991 Sb., o Všeobecné zdravotní pojišťovně České republiky, ve znění pozdějších předpisů. </w:t>
      </w:r>
    </w:p>
    <w:p w14:paraId="68418B60" w14:textId="77777777" w:rsidR="00433B76" w:rsidRDefault="00433B76" w:rsidP="00FE4A0D">
      <w:pPr>
        <w:pStyle w:val="Textpoznpodarou"/>
        <w:spacing w:before="0"/>
        <w:ind w:left="0" w:firstLine="0"/>
      </w:pPr>
      <w:r>
        <w:t>Zákon č. 280/1992 Sb., o resortních, oborových, podnikových a dalších zdravotních pojišťovnách, ve znění pozdějších předpisů.</w:t>
      </w:r>
    </w:p>
  </w:footnote>
  <w:footnote w:id="151">
    <w:p w14:paraId="358CBE0A" w14:textId="77777777" w:rsidR="00433B76" w:rsidRDefault="00433B76" w:rsidP="00FE4A0D">
      <w:pPr>
        <w:pStyle w:val="Textpoznpodarou"/>
        <w:spacing w:before="0"/>
        <w:ind w:left="0" w:firstLine="0"/>
      </w:pPr>
      <w:r>
        <w:rPr>
          <w:rStyle w:val="Znakapoznpodarou"/>
        </w:rPr>
        <w:t>85)</w:t>
      </w:r>
      <w:r>
        <w:t xml:space="preserve"> </w:t>
      </w:r>
      <w:r w:rsidRPr="003F059F">
        <w:t>§ 14 zákona č. 458/2000 Sb., o podmínkách podnikání a o výkonu státní správy v energetických odvětvích a o změně některých zákonů (energetický zákon).</w:t>
      </w:r>
    </w:p>
  </w:footnote>
  <w:footnote w:id="152">
    <w:p w14:paraId="73634924" w14:textId="77777777" w:rsidR="00433B76" w:rsidRDefault="00433B76" w:rsidP="000839A4">
      <w:pPr>
        <w:pStyle w:val="Textpoznpodarou"/>
      </w:pPr>
    </w:p>
  </w:footnote>
  <w:footnote w:id="153">
    <w:p w14:paraId="42F9DD2B" w14:textId="77777777" w:rsidR="00433B76" w:rsidRDefault="00433B76" w:rsidP="00FE4A0D">
      <w:pPr>
        <w:pStyle w:val="Textpoznpodarou"/>
        <w:spacing w:before="0"/>
        <w:ind w:left="0" w:firstLine="0"/>
      </w:pPr>
      <w:r>
        <w:rPr>
          <w:rStyle w:val="Znakapoznpodarou"/>
        </w:rPr>
        <w:t>22a)</w:t>
      </w:r>
      <w:r>
        <w:t xml:space="preserve"> </w:t>
      </w:r>
      <w:r w:rsidRPr="008152C9">
        <w:t>Zákon ČNR č. 593/1992 Sb., o rezervách pro zjištění základu daně z příjmů, ve znění pozdějších předpisů.</w:t>
      </w:r>
    </w:p>
  </w:footnote>
  <w:footnote w:id="154">
    <w:p w14:paraId="06A69477" w14:textId="77777777" w:rsidR="00433B76" w:rsidRDefault="00433B76" w:rsidP="00FE4A0D">
      <w:pPr>
        <w:pStyle w:val="Textpoznpodarou"/>
        <w:spacing w:before="0"/>
        <w:ind w:left="0" w:firstLine="0"/>
      </w:pPr>
      <w:r>
        <w:rPr>
          <w:rStyle w:val="Znakapoznpodarou"/>
        </w:rPr>
        <w:t>93)</w:t>
      </w:r>
      <w:r>
        <w:t xml:space="preserve"> Směrnice Rady 2011/96/EU. </w:t>
      </w:r>
    </w:p>
    <w:p w14:paraId="3F9A448A" w14:textId="77777777" w:rsidR="00433B76" w:rsidRDefault="00433B76" w:rsidP="00FE4A0D">
      <w:pPr>
        <w:pStyle w:val="Textpoznpodarou"/>
        <w:spacing w:before="0"/>
        <w:ind w:left="0" w:firstLine="0"/>
      </w:pPr>
      <w:r>
        <w:t xml:space="preserve">Směrnice Rady 2009/133/ES. </w:t>
      </w:r>
    </w:p>
    <w:p w14:paraId="1C443B86" w14:textId="77777777" w:rsidR="00433B76" w:rsidRDefault="00433B76" w:rsidP="00FE4A0D">
      <w:pPr>
        <w:pStyle w:val="Textpoznpodarou"/>
        <w:spacing w:before="0"/>
        <w:ind w:left="0" w:firstLine="0"/>
      </w:pPr>
      <w:r>
        <w:t>Směrnice Rady 2003/49/ES.</w:t>
      </w:r>
    </w:p>
  </w:footnote>
  <w:footnote w:id="155">
    <w:p w14:paraId="00AC51E9" w14:textId="77777777" w:rsidR="00433B76" w:rsidRPr="00B501D4" w:rsidRDefault="00433B76" w:rsidP="00FE4A0D">
      <w:pPr>
        <w:pStyle w:val="Textkomente"/>
        <w:spacing w:before="0"/>
        <w:ind w:firstLine="0"/>
        <w:rPr>
          <w:b/>
        </w:rPr>
      </w:pPr>
      <w:r w:rsidRPr="00B501D4">
        <w:rPr>
          <w:rStyle w:val="Znakapoznpodarou"/>
          <w:b/>
        </w:rPr>
        <w:t>143)</w:t>
      </w:r>
      <w:r w:rsidRPr="00B501D4">
        <w:rPr>
          <w:b/>
        </w:rPr>
        <w:t xml:space="preserve"> Nařízení Evropského parlamentu a Rady (ES) č. 1606/2002 ze dne 19. července 2002 o uplatňování mezinárodních účetních standardů, ve znění nařízení Evropského parlamentu a Rady (ES) č. 297/2008.</w:t>
      </w:r>
    </w:p>
    <w:p w14:paraId="37A8CA94" w14:textId="77777777" w:rsidR="00433B76" w:rsidRDefault="00433B76" w:rsidP="00FE4A0D">
      <w:pPr>
        <w:pStyle w:val="Textpoznpodarou"/>
        <w:spacing w:before="0"/>
        <w:rPr>
          <w:b/>
        </w:rPr>
      </w:pPr>
      <w:r w:rsidRPr="00B501D4">
        <w:rPr>
          <w:b/>
        </w:rPr>
        <w:t>Nařízení Komise (EU) 2023/1803 ze dne 13. září 2023, kterým se přijí</w:t>
      </w:r>
      <w:r>
        <w:rPr>
          <w:b/>
        </w:rPr>
        <w:t>mají některé mezinárodní účetní</w:t>
      </w:r>
    </w:p>
    <w:p w14:paraId="6DCEFD08" w14:textId="738104F9" w:rsidR="00433B76" w:rsidRDefault="00433B76" w:rsidP="00FE4A0D">
      <w:pPr>
        <w:pStyle w:val="Textpoznpodarou"/>
        <w:spacing w:before="0"/>
      </w:pPr>
      <w:r w:rsidRPr="00B501D4">
        <w:rPr>
          <w:b/>
        </w:rPr>
        <w:t>standardy v souladu s nařízením Evropského parlamentu a Rady (ES) č. 1606/2002, v platném znění.</w:t>
      </w:r>
    </w:p>
  </w:footnote>
  <w:footnote w:id="156">
    <w:p w14:paraId="38CE0E40" w14:textId="77777777" w:rsidR="00433B76" w:rsidRPr="00F5434E" w:rsidRDefault="00433B76" w:rsidP="008343E8">
      <w:pPr>
        <w:pStyle w:val="Textpoznpodarou"/>
        <w:spacing w:before="0"/>
        <w:ind w:left="0" w:firstLine="0"/>
        <w:rPr>
          <w:strike/>
        </w:rPr>
      </w:pPr>
      <w:r w:rsidRPr="00F5434E">
        <w:rPr>
          <w:rStyle w:val="Znakapoznpodarou"/>
          <w:strike/>
        </w:rPr>
        <w:t>126)</w:t>
      </w:r>
      <w:r w:rsidRPr="00F5434E">
        <w:rPr>
          <w:strike/>
        </w:rPr>
        <w:t xml:space="preserve"> Nařízení ES č. 1606/2002 Evropského parlamentu a Rady ze dne 19. července 2002 o používání Mezinárodních účetních standardů.</w:t>
      </w:r>
    </w:p>
  </w:footnote>
  <w:footnote w:id="157">
    <w:p w14:paraId="5405734F" w14:textId="77777777" w:rsidR="00433B76" w:rsidRPr="008152C9" w:rsidRDefault="00433B76" w:rsidP="008343E8">
      <w:pPr>
        <w:pStyle w:val="Textpoznpodarou"/>
        <w:spacing w:before="0"/>
        <w:ind w:left="0" w:firstLine="0"/>
        <w:rPr>
          <w:strike/>
        </w:rPr>
      </w:pPr>
      <w:r w:rsidRPr="008152C9">
        <w:rPr>
          <w:rStyle w:val="Znakapoznpodarou"/>
          <w:strike/>
        </w:rPr>
        <w:t>20i)</w:t>
      </w:r>
      <w:r w:rsidRPr="008152C9">
        <w:rPr>
          <w:strike/>
        </w:rPr>
        <w:t xml:space="preserve"> Vyhláška č. 500/2002 Sb., kterou se provádějí některá ustanovení zákona č. 563/1991 Sb., o účetnictví, ve znění pozdějších předpisů, pro účetní jednotky, které jsou podnikateli účtujícími v soustavě podvojného účetnictví. </w:t>
      </w:r>
    </w:p>
    <w:p w14:paraId="7025712B" w14:textId="77777777" w:rsidR="00433B76" w:rsidRPr="008152C9" w:rsidRDefault="00433B76" w:rsidP="008343E8">
      <w:pPr>
        <w:pStyle w:val="Textpoznpodarou"/>
        <w:spacing w:before="0"/>
        <w:ind w:left="0" w:firstLine="0"/>
        <w:rPr>
          <w:strike/>
        </w:rPr>
      </w:pPr>
      <w:r w:rsidRPr="008152C9">
        <w:rPr>
          <w:strike/>
        </w:rPr>
        <w:t xml:space="preserve">Vyhláška č. 501/2002 Sb., kterou se provádějí některá ustanovení zákona č. 563/1991 Sb., o účetnictví, ve znění pozdějších předpisů, pro účetní jednotky, které jsou bankami a jinými finančními institucemi. </w:t>
      </w:r>
    </w:p>
    <w:p w14:paraId="677365CC" w14:textId="77777777" w:rsidR="00433B76" w:rsidRDefault="00433B76" w:rsidP="008343E8">
      <w:pPr>
        <w:pStyle w:val="Textpoznpodarou"/>
        <w:spacing w:before="0"/>
        <w:ind w:left="0" w:firstLine="0"/>
      </w:pPr>
      <w:r w:rsidRPr="008152C9">
        <w:rPr>
          <w:strike/>
        </w:rPr>
        <w:t>Vyhláška č. 502/2002 Sb., kterou se provádějí některá ustanovení zákona č. 563/1991 Sb., o účetnictví, ve znění pozdějších předpisů, pro účetní jednotky, které jsou pojišťovnami.</w:t>
      </w:r>
    </w:p>
  </w:footnote>
  <w:footnote w:id="158">
    <w:p w14:paraId="51152198" w14:textId="77777777" w:rsidR="00433B76" w:rsidRDefault="00433B76" w:rsidP="008343E8">
      <w:pPr>
        <w:pStyle w:val="Textpoznpodarou"/>
        <w:spacing w:before="0"/>
        <w:ind w:left="0" w:firstLine="0"/>
      </w:pPr>
      <w:r>
        <w:rPr>
          <w:rStyle w:val="Znakapoznpodarou"/>
        </w:rPr>
        <w:t>127)</w:t>
      </w:r>
      <w:r>
        <w:t xml:space="preserve"> </w:t>
      </w:r>
      <w:r w:rsidRPr="00F5434E">
        <w:t>Zákon č. 182/2006 Sb., o úpadku a způsobech jeho řešení (insolvenční zákon), ve znění pozdějších předpisů.</w:t>
      </w:r>
    </w:p>
  </w:footnote>
  <w:footnote w:id="159">
    <w:p w14:paraId="32B69FEF" w14:textId="77777777" w:rsidR="00433B76" w:rsidRPr="00580275" w:rsidRDefault="00433B76" w:rsidP="008343E8">
      <w:pPr>
        <w:pStyle w:val="Textpoznpodarou"/>
        <w:spacing w:before="0"/>
        <w:ind w:left="0" w:firstLine="0"/>
        <w:rPr>
          <w:strike/>
        </w:rPr>
      </w:pPr>
      <w:r w:rsidRPr="00580275">
        <w:rPr>
          <w:rStyle w:val="Znakapoznpodarou"/>
          <w:strike/>
        </w:rPr>
        <w:t>140)</w:t>
      </w:r>
      <w:r w:rsidRPr="00580275">
        <w:rPr>
          <w:strike/>
        </w:rPr>
        <w:t xml:space="preserve"> Nařízení Komise 2017/1986 ze dne 31. října 2017, kterým se mění nařízení (ES) č. 1126/2008, kterým se přijímají některé mezinárodní účetní standardy v souladu s nařízením Evropského parlamentu a Rady (ES) č. 1606/2002, pokud jde o mezinárodní standard účetního výkaznictví 16.</w:t>
      </w:r>
    </w:p>
  </w:footnote>
  <w:footnote w:id="160">
    <w:p w14:paraId="232253E4" w14:textId="77777777" w:rsidR="00433B76" w:rsidRDefault="00433B76" w:rsidP="008343E8">
      <w:pPr>
        <w:pStyle w:val="Textpoznpodarou"/>
        <w:spacing w:before="0"/>
        <w:ind w:left="0" w:firstLine="0"/>
      </w:pPr>
      <w:r>
        <w:rPr>
          <w:rStyle w:val="Znakapoznpodarou"/>
        </w:rPr>
        <w:t>122)</w:t>
      </w:r>
      <w:r>
        <w:t xml:space="preserve"> </w:t>
      </w:r>
      <w:r w:rsidRPr="00F5434E">
        <w:t>Nařízení vlády č. 178/2001 Sb., kterým se stanoví podmínky ochrany zdraví zaměstnanců při práci, ve znění pozdějších předpisů.</w:t>
      </w:r>
    </w:p>
  </w:footnote>
  <w:footnote w:id="161">
    <w:p w14:paraId="76F910EA" w14:textId="77777777" w:rsidR="00433B76" w:rsidRDefault="00433B76" w:rsidP="008343E8">
      <w:pPr>
        <w:pStyle w:val="Textpoznpodarou"/>
        <w:spacing w:before="0"/>
        <w:ind w:left="0" w:firstLine="0"/>
      </w:pPr>
      <w:r>
        <w:rPr>
          <w:rStyle w:val="Znakapoznpodarou"/>
        </w:rPr>
        <w:t>23)</w:t>
      </w:r>
      <w:r>
        <w:t xml:space="preserve"> </w:t>
      </w:r>
      <w:r w:rsidRPr="00855FC2">
        <w:t>§ 18a a 35a zákona č. 20/1966 Sb., o péči o zdraví lidu, ve znění zákona ČNR č. 548/1991 Sb.</w:t>
      </w:r>
    </w:p>
  </w:footnote>
  <w:footnote w:id="162">
    <w:p w14:paraId="4C0ADEF6" w14:textId="77777777" w:rsidR="00433B76" w:rsidRDefault="00433B76" w:rsidP="008343E8">
      <w:pPr>
        <w:pStyle w:val="Textpoznpodarou"/>
        <w:spacing w:before="0"/>
        <w:ind w:left="0" w:firstLine="0"/>
      </w:pPr>
      <w:r>
        <w:rPr>
          <w:rStyle w:val="Znakapoznpodarou"/>
        </w:rPr>
        <w:t>132)</w:t>
      </w:r>
      <w:r>
        <w:t xml:space="preserve"> </w:t>
      </w:r>
      <w:r w:rsidRPr="00580275">
        <w:t>Například § 230 zákoníku práce.</w:t>
      </w:r>
    </w:p>
  </w:footnote>
  <w:footnote w:id="163">
    <w:p w14:paraId="4B8E017E" w14:textId="77777777" w:rsidR="00433B76" w:rsidRDefault="00433B76" w:rsidP="008343E8">
      <w:pPr>
        <w:pStyle w:val="Textpoznpodarou"/>
        <w:spacing w:before="0"/>
        <w:ind w:left="0" w:firstLine="0"/>
      </w:pPr>
      <w:r>
        <w:rPr>
          <w:rStyle w:val="Znakapoznpodarou"/>
        </w:rPr>
        <w:t>5b)</w:t>
      </w:r>
      <w:r>
        <w:t xml:space="preserve"> </w:t>
      </w:r>
      <w:r w:rsidRPr="00C65932">
        <w:t>Zákon č. 262/2006 Sb., zákoník práce.</w:t>
      </w:r>
      <w:r w:rsidRPr="00F5434E">
        <w:rPr>
          <w:rStyle w:val="Znakapoznpodarou"/>
        </w:rPr>
        <w:t xml:space="preserve"> </w:t>
      </w:r>
    </w:p>
    <w:p w14:paraId="3BB0B56C" w14:textId="71D67687" w:rsidR="00433B76" w:rsidRDefault="00433B76" w:rsidP="008343E8">
      <w:pPr>
        <w:pStyle w:val="Textpoznpodarou"/>
        <w:spacing w:before="0"/>
        <w:ind w:left="0" w:firstLine="0"/>
      </w:pPr>
      <w:r>
        <w:rPr>
          <w:rStyle w:val="Znakapoznpodarou"/>
        </w:rPr>
        <w:t>23)</w:t>
      </w:r>
      <w:r>
        <w:t xml:space="preserve"> </w:t>
      </w:r>
      <w:r w:rsidRPr="00855FC2">
        <w:t>§ 18a a 35a zákona č. 20/1966 Sb., o péči o zdraví lidu, ve znění zákona ČNR č. 548/1991 Sb.</w:t>
      </w:r>
    </w:p>
  </w:footnote>
  <w:footnote w:id="164">
    <w:p w14:paraId="052CD577" w14:textId="77777777" w:rsidR="00433B76" w:rsidRDefault="00433B76" w:rsidP="008343E8">
      <w:pPr>
        <w:pStyle w:val="Textpoznpodarou"/>
        <w:spacing w:before="0"/>
        <w:ind w:left="0" w:firstLine="0"/>
      </w:pPr>
      <w:r>
        <w:rPr>
          <w:rStyle w:val="Znakapoznpodarou"/>
        </w:rPr>
        <w:t>24)</w:t>
      </w:r>
      <w:r>
        <w:t xml:space="preserve"> </w:t>
      </w:r>
      <w:r w:rsidRPr="00855FC2">
        <w:t>Zákon ČNR č. 133/1985 Sb., o požární ochraně, ve znění pozdějších předpisů.</w:t>
      </w:r>
    </w:p>
  </w:footnote>
  <w:footnote w:id="165">
    <w:p w14:paraId="2405F8EB" w14:textId="77777777" w:rsidR="00433B76" w:rsidRDefault="00433B76" w:rsidP="008343E8">
      <w:pPr>
        <w:pStyle w:val="Textpoznpodarou"/>
        <w:spacing w:before="0"/>
        <w:ind w:left="0" w:firstLine="0"/>
      </w:pPr>
      <w:r>
        <w:rPr>
          <w:rStyle w:val="Znakapoznpodarou"/>
        </w:rPr>
        <w:t>26i)</w:t>
      </w:r>
      <w:r>
        <w:t xml:space="preserve"> </w:t>
      </w:r>
      <w:r w:rsidRPr="00855FC2">
        <w:t>Zákon č. 182/2006 Sb., o úpadku a způsobech jeho řešení (insolvenční zákon), ve znění pozdějších předpisů.</w:t>
      </w:r>
    </w:p>
  </w:footnote>
  <w:footnote w:id="166">
    <w:p w14:paraId="142B1C2D" w14:textId="77777777" w:rsidR="00433B76" w:rsidRDefault="00433B76" w:rsidP="008343E8">
      <w:pPr>
        <w:pStyle w:val="Textpoznpodarou"/>
        <w:spacing w:before="0"/>
        <w:ind w:left="0" w:firstLine="0"/>
      </w:pPr>
      <w:r>
        <w:rPr>
          <w:rStyle w:val="Znakapoznpodarou"/>
        </w:rPr>
        <w:t>26j)</w:t>
      </w:r>
      <w:r>
        <w:t xml:space="preserve"> </w:t>
      </w:r>
      <w:r w:rsidRPr="00855FC2">
        <w:t xml:space="preserve">Zákon č. </w:t>
      </w:r>
      <w:hyperlink r:id="rId4" w:history="1">
        <w:r w:rsidRPr="008343E8">
          <w:t>26/2000 Sb.</w:t>
        </w:r>
      </w:hyperlink>
      <w:r w:rsidRPr="00855FC2">
        <w:t>, o veřejných dražbách.</w:t>
      </w:r>
    </w:p>
  </w:footnote>
  <w:footnote w:id="167">
    <w:p w14:paraId="54E4A4CA" w14:textId="77777777" w:rsidR="00433B76" w:rsidRDefault="00433B76" w:rsidP="008343E8">
      <w:pPr>
        <w:pStyle w:val="Textpoznpodarou"/>
        <w:spacing w:before="0"/>
        <w:ind w:left="0" w:firstLine="0"/>
      </w:pPr>
      <w:r>
        <w:rPr>
          <w:rStyle w:val="Znakapoznpodarou"/>
        </w:rPr>
        <w:t>22b)</w:t>
      </w:r>
      <w:r>
        <w:t xml:space="preserve"> </w:t>
      </w:r>
      <w:r w:rsidRPr="00855FC2">
        <w:t>Čl. V zákona č. 149/1995 Sb., ve znění zákona č. 248/1995 Sb.</w:t>
      </w:r>
    </w:p>
  </w:footnote>
  <w:footnote w:id="168">
    <w:p w14:paraId="6292CD4C" w14:textId="77777777" w:rsidR="00433B76" w:rsidRDefault="00433B76" w:rsidP="008343E8">
      <w:pPr>
        <w:pStyle w:val="Textpoznpodarou"/>
        <w:spacing w:before="0"/>
        <w:ind w:left="0" w:firstLine="0"/>
      </w:pPr>
      <w:r>
        <w:rPr>
          <w:rStyle w:val="Znakapoznpodarou"/>
        </w:rPr>
        <w:t>128)</w:t>
      </w:r>
      <w:r>
        <w:t xml:space="preserve"> </w:t>
      </w:r>
      <w:r w:rsidRPr="00F5434E">
        <w:t>Zákon č. 634/1992 Sb., o ochraně spotřebitele, ve znění pozdějších předpisů.</w:t>
      </w:r>
    </w:p>
    <w:p w14:paraId="34DAB660" w14:textId="77777777" w:rsidR="00433B76" w:rsidRDefault="00433B76" w:rsidP="008343E8">
      <w:pPr>
        <w:pStyle w:val="Textpoznpodarou"/>
        <w:spacing w:before="0"/>
        <w:ind w:left="0" w:firstLine="0"/>
      </w:pPr>
      <w:r w:rsidRPr="00F5434E">
        <w:t>Zákon č. 110/1997 Sb., o potravinách a tabákových výrobcích a o změně některých souvisejících zákonů, ve znění pozdějších předpisů.</w:t>
      </w:r>
    </w:p>
  </w:footnote>
  <w:footnote w:id="169">
    <w:p w14:paraId="45934B94" w14:textId="77777777" w:rsidR="00433B76" w:rsidRDefault="00433B76" w:rsidP="00D90D00">
      <w:pPr>
        <w:pStyle w:val="Textpoznpodarou"/>
        <w:spacing w:before="0"/>
        <w:ind w:left="0" w:firstLine="0"/>
      </w:pPr>
      <w:r>
        <w:rPr>
          <w:rStyle w:val="Znakapoznpodarou"/>
        </w:rPr>
        <w:t>80)</w:t>
      </w:r>
      <w:r>
        <w:t xml:space="preserve"> </w:t>
      </w:r>
      <w:r w:rsidRPr="003F059F">
        <w:t>§ 81 zákona č. 435/2004 Sb., o zaměstnanosti.</w:t>
      </w:r>
    </w:p>
  </w:footnote>
  <w:footnote w:id="170">
    <w:p w14:paraId="3EC74A47" w14:textId="77777777" w:rsidR="00433B76" w:rsidRDefault="00433B76" w:rsidP="00D90D00">
      <w:pPr>
        <w:pStyle w:val="Textpoznpodarou"/>
        <w:spacing w:before="0"/>
        <w:ind w:left="0" w:firstLine="0"/>
      </w:pPr>
      <w:r>
        <w:rPr>
          <w:rStyle w:val="Znakapoznpodarou"/>
        </w:rPr>
        <w:t>109)</w:t>
      </w:r>
      <w:r>
        <w:t xml:space="preserve"> </w:t>
      </w:r>
      <w:r w:rsidRPr="00F5434E">
        <w:t>Zákon č. 21/1992 Sb., o bankách, ve znění pozdějších předpisů.</w:t>
      </w:r>
    </w:p>
    <w:p w14:paraId="7E7953A4" w14:textId="77777777" w:rsidR="00433B76" w:rsidRDefault="00433B76" w:rsidP="00D90D00">
      <w:pPr>
        <w:pStyle w:val="Textpoznpodarou"/>
        <w:spacing w:before="0"/>
        <w:ind w:left="0" w:firstLine="0"/>
      </w:pPr>
      <w:r w:rsidRPr="00F5434E">
        <w:t xml:space="preserve">Zákon č. </w:t>
      </w:r>
      <w:hyperlink r:id="rId5" w:history="1">
        <w:r w:rsidRPr="00F5434E">
          <w:t>6/1993 Sb.</w:t>
        </w:r>
      </w:hyperlink>
      <w:r w:rsidRPr="00F5434E">
        <w:t>, o České národní bance,</w:t>
      </w:r>
      <w:r>
        <w:t xml:space="preserve"> ve znění pozdějších předpisů. </w:t>
      </w:r>
    </w:p>
  </w:footnote>
  <w:footnote w:id="171">
    <w:p w14:paraId="0F8AB038" w14:textId="77777777" w:rsidR="00433B76" w:rsidRDefault="00433B76" w:rsidP="004C5D51">
      <w:pPr>
        <w:pStyle w:val="Textpoznpodarou"/>
        <w:spacing w:before="0"/>
        <w:ind w:left="0" w:firstLine="0"/>
      </w:pPr>
      <w:r>
        <w:rPr>
          <w:rStyle w:val="Znakapoznpodarou"/>
        </w:rPr>
        <w:t>21a)</w:t>
      </w:r>
      <w:r>
        <w:t xml:space="preserve"> § 18 odst. 2, § 21, 22 a 29 zákona č. 187/2006 Sb. </w:t>
      </w:r>
    </w:p>
    <w:p w14:paraId="56970EB6" w14:textId="77777777" w:rsidR="00433B76" w:rsidRDefault="00433B76" w:rsidP="004C5D51">
      <w:pPr>
        <w:pStyle w:val="Textpoznpodarou"/>
        <w:spacing w:before="0"/>
        <w:ind w:left="0" w:firstLine="0"/>
      </w:pPr>
      <w:r>
        <w:t>§ 5b odst. 4 zákona č. 589/1992 Sb., o pojistném na sociální zabezpečení a příspěvku na státní politiku zaměstnanosti, ve znění pozdějších předpisů.</w:t>
      </w:r>
    </w:p>
  </w:footnote>
  <w:footnote w:id="172">
    <w:p w14:paraId="7C1C490F" w14:textId="77777777" w:rsidR="00433B76" w:rsidRDefault="00433B76" w:rsidP="004C5D51">
      <w:pPr>
        <w:pStyle w:val="Textpoznpodarou"/>
        <w:spacing w:before="0"/>
        <w:ind w:left="0" w:firstLine="0"/>
      </w:pPr>
      <w:r>
        <w:rPr>
          <w:rStyle w:val="Znakapoznpodarou"/>
        </w:rPr>
        <w:t>25a)</w:t>
      </w:r>
      <w:r>
        <w:t xml:space="preserve"> </w:t>
      </w:r>
      <w:r w:rsidRPr="00855FC2">
        <w:t>Zákon č. 360/2004 Sb., o Evropském hospodářském zájmovém sdružení (EHZS) a o změně zákona č. 513/1991 Sb., obchodní zákoník, ve znění pozdějších předpisů, a zákona č. 586/1992 Sb., o daních z příjmů, ve znění pozdějších předpisů, (zákon o evropském hospodářském zájmovém sdružení).</w:t>
      </w:r>
    </w:p>
  </w:footnote>
  <w:footnote w:id="173">
    <w:p w14:paraId="642BC8B2" w14:textId="77777777" w:rsidR="00433B76" w:rsidRPr="00D64090" w:rsidRDefault="00433B76" w:rsidP="00D90D00">
      <w:pPr>
        <w:pStyle w:val="Textpoznpodarou"/>
        <w:spacing w:before="0"/>
        <w:ind w:left="0" w:firstLine="0"/>
        <w:rPr>
          <w:strike/>
        </w:rPr>
      </w:pPr>
      <w:r w:rsidRPr="00D64090">
        <w:rPr>
          <w:rStyle w:val="Znakapoznpodarou"/>
          <w:strike/>
        </w:rPr>
        <w:t>29b)</w:t>
      </w:r>
      <w:r w:rsidRPr="00D64090">
        <w:rPr>
          <w:strike/>
        </w:rPr>
        <w:t xml:space="preserve"> Např. zákon č. 44/1988 Sb., o ochraně a využití nerostného bohatství (horní zákon), ve znění pozdějších předpisů.</w:t>
      </w:r>
    </w:p>
  </w:footnote>
  <w:footnote w:id="174">
    <w:p w14:paraId="7EBF456D" w14:textId="77777777" w:rsidR="00433B76" w:rsidRPr="00855FC2" w:rsidRDefault="00433B76" w:rsidP="00D90D00">
      <w:pPr>
        <w:pStyle w:val="Textpoznpodarou"/>
        <w:spacing w:before="0"/>
        <w:ind w:left="0" w:firstLine="0"/>
        <w:rPr>
          <w:strike/>
        </w:rPr>
      </w:pPr>
      <w:r w:rsidRPr="00855FC2">
        <w:rPr>
          <w:rStyle w:val="Znakapoznpodarou"/>
          <w:strike/>
        </w:rPr>
        <w:t>29a)</w:t>
      </w:r>
      <w:r w:rsidRPr="00855FC2">
        <w:rPr>
          <w:strike/>
        </w:rPr>
        <w:t xml:space="preserve"> Zákon č. 427/1990 Sb., o převodech vlastnictví státu k některým věcem na jiné právnické nebo fyzické osoby, ve znění pozdějších předpisů. </w:t>
      </w:r>
    </w:p>
    <w:p w14:paraId="0AD774F7" w14:textId="77777777" w:rsidR="00433B76" w:rsidRDefault="00433B76" w:rsidP="00D90D00">
      <w:pPr>
        <w:pStyle w:val="Textpoznpodarou"/>
        <w:spacing w:before="0"/>
      </w:pPr>
      <w:r w:rsidRPr="00855FC2">
        <w:rPr>
          <w:strike/>
        </w:rPr>
        <w:t>Zákon č. 92/1991 Sb., ve znění pozdějších předpisů.</w:t>
      </w:r>
    </w:p>
  </w:footnote>
  <w:footnote w:id="175">
    <w:p w14:paraId="06AEDFB5" w14:textId="77777777" w:rsidR="00433B76" w:rsidRPr="00F5434E" w:rsidRDefault="00433B76" w:rsidP="00D90D00">
      <w:pPr>
        <w:pStyle w:val="Textpoznpodarou"/>
        <w:spacing w:before="0"/>
        <w:ind w:left="0" w:firstLine="0"/>
        <w:rPr>
          <w:strike/>
        </w:rPr>
      </w:pPr>
      <w:r w:rsidRPr="00F5434E">
        <w:rPr>
          <w:rStyle w:val="Znakapoznpodarou"/>
          <w:strike/>
        </w:rPr>
        <w:t>124)</w:t>
      </w:r>
      <w:r w:rsidRPr="00F5434E">
        <w:rPr>
          <w:strike/>
        </w:rPr>
        <w:t xml:space="preserve"> Zákon č. 248/2000 Sb., o podpoře regionálního rozvoje, ve znění pozdějších předpisů.</w:t>
      </w:r>
    </w:p>
  </w:footnote>
  <w:footnote w:id="176">
    <w:p w14:paraId="7DC8CA2A" w14:textId="77777777" w:rsidR="00433B76" w:rsidRPr="003F059F" w:rsidRDefault="00433B76" w:rsidP="00D90D00">
      <w:pPr>
        <w:pStyle w:val="Textpoznpodarou"/>
        <w:spacing w:before="0"/>
        <w:ind w:left="0" w:firstLine="0"/>
        <w:rPr>
          <w:strike/>
        </w:rPr>
      </w:pPr>
      <w:r w:rsidRPr="003F059F">
        <w:rPr>
          <w:rStyle w:val="Znakapoznpodarou"/>
          <w:strike/>
        </w:rPr>
        <w:t>99)</w:t>
      </w:r>
      <w:r w:rsidRPr="003F059F">
        <w:rPr>
          <w:strike/>
        </w:rPr>
        <w:t xml:space="preserve"> Sdělení Českého statistického úřadu č. 321/2003 Sb., k zavedení Klasifikace stavebních děl CZ-CC.</w:t>
      </w:r>
    </w:p>
  </w:footnote>
  <w:footnote w:id="177">
    <w:p w14:paraId="1B009BEE" w14:textId="77777777" w:rsidR="00433B76" w:rsidRPr="00D64090" w:rsidRDefault="00433B76" w:rsidP="00D90D00">
      <w:pPr>
        <w:pStyle w:val="Textpoznpodarou"/>
        <w:spacing w:before="0"/>
        <w:ind w:left="0" w:firstLine="0"/>
        <w:rPr>
          <w:strike/>
        </w:rPr>
      </w:pPr>
      <w:r w:rsidRPr="00D64090">
        <w:rPr>
          <w:rStyle w:val="Znakapoznpodarou"/>
          <w:strike/>
        </w:rPr>
        <w:t>31c)</w:t>
      </w:r>
      <w:r w:rsidRPr="00D64090">
        <w:rPr>
          <w:strike/>
        </w:rPr>
        <w:t xml:space="preserve"> Zákon č. 92/1991 Sb., ve znění pozdějších předpisů. </w:t>
      </w:r>
    </w:p>
    <w:p w14:paraId="016AB7E1" w14:textId="77777777" w:rsidR="00433B76" w:rsidRDefault="00433B76" w:rsidP="00D90D00">
      <w:pPr>
        <w:pStyle w:val="Textpoznpodarou"/>
        <w:spacing w:before="0"/>
        <w:ind w:left="0" w:firstLine="0"/>
      </w:pPr>
      <w:r w:rsidRPr="00D64090">
        <w:rPr>
          <w:strike/>
        </w:rPr>
        <w:t>Zákon č. 172/1991 Sb., o přechodu některých věcí z majetku České republiky do vlastnictví obcí, ve znění pozdějších předpisů.</w:t>
      </w:r>
    </w:p>
  </w:footnote>
  <w:footnote w:id="178">
    <w:p w14:paraId="761CF1FA" w14:textId="77777777" w:rsidR="00433B76" w:rsidRDefault="00433B76" w:rsidP="00D90D00">
      <w:pPr>
        <w:pStyle w:val="Textpoznpodarou"/>
        <w:spacing w:before="0"/>
        <w:ind w:left="0" w:firstLine="0"/>
      </w:pPr>
      <w:r>
        <w:rPr>
          <w:rStyle w:val="Znakapoznpodarou"/>
        </w:rPr>
        <w:t>142)</w:t>
      </w:r>
      <w:r>
        <w:t xml:space="preserve"> </w:t>
      </w:r>
      <w:r w:rsidRPr="00580275">
        <w:t>Nařízení Evropského parlamentu a Rady (EU) 2018/858 ze dne 30. května 2018 o schvalování motorových vozidel a jejich přípojných vozidel, jakož i systémů, konstrukčních částí a samostatných technických celků určených pro tato vozidla a o dozoru nad trhem s nimi, o změně nařízení (ES) č. 715/2007 a č. 595/2009 a o zrušení směrnice 2007/46/ES, v platném znění.</w:t>
      </w:r>
    </w:p>
  </w:footnote>
  <w:footnote w:id="179">
    <w:p w14:paraId="4F7BE959" w14:textId="77777777" w:rsidR="00433B76" w:rsidRPr="00B21D49" w:rsidRDefault="00433B76" w:rsidP="00D90D00">
      <w:pPr>
        <w:pStyle w:val="Textpoznpodarou"/>
        <w:spacing w:before="0"/>
        <w:ind w:left="0" w:firstLine="0"/>
        <w:rPr>
          <w:strike/>
        </w:rPr>
      </w:pPr>
      <w:r w:rsidRPr="00B21D49">
        <w:rPr>
          <w:rStyle w:val="Znakapoznpodarou"/>
          <w:strike/>
        </w:rPr>
        <w:t>7)</w:t>
      </w:r>
      <w:r w:rsidRPr="00B21D49">
        <w:rPr>
          <w:strike/>
        </w:rPr>
        <w:t xml:space="preserve"> § 2e zákona č. 252/1997 Sb., o zemědělství, ve znění zákona č. 85/2004 Sb.</w:t>
      </w:r>
    </w:p>
  </w:footnote>
  <w:footnote w:id="180">
    <w:p w14:paraId="5FB3E581" w14:textId="77777777" w:rsidR="00433B76" w:rsidRPr="003F059F" w:rsidRDefault="00433B76" w:rsidP="00D90D00">
      <w:pPr>
        <w:pStyle w:val="Textpoznpodarou"/>
        <w:spacing w:before="0"/>
        <w:ind w:left="0" w:firstLine="0"/>
        <w:rPr>
          <w:strike/>
        </w:rPr>
      </w:pPr>
      <w:r w:rsidRPr="003F059F">
        <w:rPr>
          <w:rStyle w:val="Znakapoznpodarou"/>
          <w:strike/>
        </w:rPr>
        <w:t>78)</w:t>
      </w:r>
      <w:r w:rsidRPr="003F059F">
        <w:rPr>
          <w:strike/>
        </w:rPr>
        <w:t xml:space="preserve"> Vyhláška č. 102/1995 Sb., o schvalování technické způsobilosti a technických podmínkách provozu silničních vozidel na pozemních komunikacích, ve znění pozdějších předpisů.</w:t>
      </w:r>
    </w:p>
  </w:footnote>
  <w:footnote w:id="181">
    <w:p w14:paraId="13786E77" w14:textId="77777777" w:rsidR="00433B76" w:rsidRDefault="00433B76" w:rsidP="00D90D00">
      <w:pPr>
        <w:pStyle w:val="Textpoznpodarou"/>
        <w:spacing w:before="0"/>
        <w:ind w:left="0" w:firstLine="0"/>
      </w:pPr>
      <w:r>
        <w:rPr>
          <w:rStyle w:val="Znakapoznpodarou"/>
        </w:rPr>
        <w:t>33)</w:t>
      </w:r>
      <w:r>
        <w:t xml:space="preserve"> </w:t>
      </w:r>
      <w:r w:rsidRPr="00D64090">
        <w:t>§ 67 zákona č. 435/2004 Sb.</w:t>
      </w:r>
    </w:p>
  </w:footnote>
  <w:footnote w:id="182">
    <w:p w14:paraId="0E329497" w14:textId="77777777" w:rsidR="00433B76" w:rsidRDefault="00433B76" w:rsidP="000839A4">
      <w:pPr>
        <w:pStyle w:val="Textpoznpodarou"/>
      </w:pPr>
      <w:r>
        <w:rPr>
          <w:rStyle w:val="Znakapoznpodarou"/>
        </w:rPr>
        <w:t>67)</w:t>
      </w:r>
      <w:r>
        <w:t xml:space="preserve"> </w:t>
      </w:r>
      <w:r w:rsidRPr="003F059F">
        <w:t>Zákon č. 72/2000 Sb., o investičních pobídkách a o změně některých zákonů (zákon o investičních pobídkách).</w:t>
      </w:r>
    </w:p>
  </w:footnote>
  <w:footnote w:id="183">
    <w:p w14:paraId="457B11AA" w14:textId="77777777" w:rsidR="00433B76" w:rsidRDefault="00433B76" w:rsidP="00D90D00">
      <w:pPr>
        <w:pStyle w:val="Textpoznpodarou"/>
        <w:spacing w:before="0"/>
        <w:ind w:left="0" w:firstLine="0"/>
      </w:pPr>
      <w:r>
        <w:rPr>
          <w:rStyle w:val="Znakapoznpodarou"/>
        </w:rPr>
        <w:t>43)</w:t>
      </w:r>
      <w:r>
        <w:t xml:space="preserve"> </w:t>
      </w:r>
      <w:r w:rsidRPr="009D766B">
        <w:t>Zákon č. 155/1995 Sb., o důchodovém pojištění.</w:t>
      </w:r>
    </w:p>
  </w:footnote>
  <w:footnote w:id="184">
    <w:p w14:paraId="1D617210" w14:textId="77777777" w:rsidR="00433B76" w:rsidRDefault="00433B76" w:rsidP="00D90D00">
      <w:pPr>
        <w:pStyle w:val="Textpoznpodarou"/>
        <w:spacing w:before="0"/>
        <w:ind w:left="0" w:firstLine="0"/>
      </w:pPr>
      <w:r>
        <w:rPr>
          <w:rStyle w:val="Znakapoznpodarou"/>
        </w:rPr>
        <w:t>14d)</w:t>
      </w:r>
      <w:r>
        <w:t xml:space="preserve"> </w:t>
      </w:r>
      <w:r w:rsidRPr="00421637">
        <w:t>§ 12 až 15 zákona č. 117/1995 Sb.</w:t>
      </w:r>
    </w:p>
  </w:footnote>
  <w:footnote w:id="185">
    <w:p w14:paraId="3E619858" w14:textId="77777777" w:rsidR="00433B76" w:rsidRDefault="00433B76" w:rsidP="00D90D00">
      <w:pPr>
        <w:pStyle w:val="Textpoznpodarou"/>
        <w:spacing w:before="0"/>
      </w:pPr>
      <w:r>
        <w:rPr>
          <w:rStyle w:val="Znakapoznpodarou"/>
        </w:rPr>
        <w:t>35f)</w:t>
      </w:r>
      <w:r>
        <w:t xml:space="preserve"> </w:t>
      </w:r>
      <w:r w:rsidRPr="00D64090">
        <w:t>Nařízení Rady (ES) č. 2157/2001 ze dne 8. října 2001 o statutu evropské společnosti (SE).</w:t>
      </w:r>
    </w:p>
    <w:p w14:paraId="411E3B37" w14:textId="77777777" w:rsidR="00433B76" w:rsidRDefault="00433B76" w:rsidP="00D90D00">
      <w:pPr>
        <w:pStyle w:val="Textpoznpodarou"/>
        <w:spacing w:before="0"/>
      </w:pPr>
      <w:r w:rsidRPr="00D64090">
        <w:t>Zákon č. 627/2004 Sb., o evropské společnosti.</w:t>
      </w:r>
    </w:p>
  </w:footnote>
  <w:footnote w:id="186">
    <w:p w14:paraId="3FD27F41" w14:textId="77777777" w:rsidR="00433B76" w:rsidRDefault="00433B76" w:rsidP="00D90D00">
      <w:pPr>
        <w:pStyle w:val="Textpoznpodarou"/>
        <w:spacing w:before="0"/>
        <w:ind w:left="0" w:firstLine="0"/>
      </w:pPr>
      <w:r>
        <w:rPr>
          <w:rStyle w:val="Znakapoznpodarou"/>
        </w:rPr>
        <w:t>104)</w:t>
      </w:r>
      <w:r>
        <w:t xml:space="preserve"> </w:t>
      </w:r>
      <w:r w:rsidRPr="003F059F">
        <w:t>Směrnice Rady 2003/48/ES ze dne 3. června 2003 o zdanění příjmů z úspor v podobě úrokových plateb, ve znění směrnice Rady 2004/66/ES, rozhodnutí Rady 2004/587/ES a směrnice Rady 2006/98/ES.</w:t>
      </w:r>
    </w:p>
  </w:footnote>
  <w:footnote w:id="187">
    <w:p w14:paraId="0968A507" w14:textId="77777777" w:rsidR="00433B76" w:rsidRPr="005A2FDE" w:rsidRDefault="00433B76" w:rsidP="00D90D00">
      <w:pPr>
        <w:pStyle w:val="Textpoznpodarou"/>
        <w:spacing w:before="0"/>
        <w:ind w:left="0" w:firstLine="0"/>
        <w:rPr>
          <w:strike/>
        </w:rPr>
      </w:pPr>
      <w:r w:rsidRPr="005A2FDE">
        <w:rPr>
          <w:rStyle w:val="Znakapoznpodarou"/>
          <w:strike/>
          <w:color w:val="7030A0"/>
        </w:rPr>
        <w:t>130)</w:t>
      </w:r>
      <w:r w:rsidRPr="005A2FDE">
        <w:rPr>
          <w:strike/>
          <w:color w:val="7030A0"/>
        </w:rPr>
        <w:t xml:space="preserve"> § 12 odst. 1 písm. c) zákona č. 117/1995 Sb., o státní sociální podpoře, ve znění pozdějších předpisů.</w:t>
      </w:r>
    </w:p>
  </w:footnote>
  <w:footnote w:id="188">
    <w:p w14:paraId="0E8FAACE" w14:textId="77777777" w:rsidR="00433B76" w:rsidRDefault="00433B76" w:rsidP="00D90D00">
      <w:pPr>
        <w:pStyle w:val="Textpoznpodarou"/>
        <w:spacing w:before="0"/>
        <w:ind w:left="0" w:firstLine="0"/>
      </w:pPr>
      <w:r>
        <w:rPr>
          <w:rStyle w:val="Znakapoznpodarou"/>
        </w:rPr>
        <w:t>141)</w:t>
      </w:r>
      <w:r>
        <w:t xml:space="preserve"> </w:t>
      </w:r>
      <w:r w:rsidRPr="00580275">
        <w:t>Směrnice Rady 2010/24/EU ze dne 16. března 2010 o vzájemné pomoci při vymáhání pohledávek vyplývajících z daní, poplatků, cel a jiných opatření.</w:t>
      </w:r>
    </w:p>
  </w:footnote>
  <w:footnote w:id="189">
    <w:p w14:paraId="38984939" w14:textId="77777777" w:rsidR="00433B76" w:rsidRDefault="00433B76" w:rsidP="00D90D00">
      <w:pPr>
        <w:pStyle w:val="Textpoznpodarou"/>
        <w:spacing w:before="0"/>
        <w:ind w:left="0" w:firstLine="0"/>
      </w:pPr>
      <w:r>
        <w:rPr>
          <w:rStyle w:val="Znakapoznpodarou"/>
        </w:rPr>
        <w:t>38)</w:t>
      </w:r>
      <w:r>
        <w:t xml:space="preserve"> </w:t>
      </w:r>
      <w:r w:rsidRPr="009D766B">
        <w:t>Sdělení k postupu při oceňování, účtování a odpisování věcí, které získají právnické a fyzické osoby při jejich převodu z vlastnictví státu, publikované ve Finančním zpravodaji č. 9/1991.</w:t>
      </w:r>
    </w:p>
  </w:footnote>
  <w:footnote w:id="190">
    <w:p w14:paraId="3FDDE6BB" w14:textId="77777777" w:rsidR="00433B76" w:rsidRPr="00355C38" w:rsidRDefault="00433B76" w:rsidP="00F80E61">
      <w:pPr>
        <w:spacing w:before="0"/>
        <w:ind w:firstLine="0"/>
        <w:rPr>
          <w:sz w:val="20"/>
        </w:rPr>
      </w:pPr>
      <w:r w:rsidRPr="00355C38">
        <w:rPr>
          <w:rStyle w:val="Znakapoznpodarou"/>
        </w:rPr>
        <w:t>1)</w:t>
      </w:r>
      <w:r>
        <w:t xml:space="preserve"> </w:t>
      </w:r>
      <w:r w:rsidRPr="001250D9">
        <w:rPr>
          <w:sz w:val="20"/>
        </w:rPr>
        <w:t>§ 24 odst. 2 písm. i) zákona ČNR č. 586/1992 Sb., o daních z příjmů.</w:t>
      </w:r>
    </w:p>
  </w:footnote>
  <w:footnote w:id="191">
    <w:p w14:paraId="3EE978A3" w14:textId="77777777" w:rsidR="00433B76" w:rsidRPr="00355C38" w:rsidRDefault="00433B76" w:rsidP="00F80E61">
      <w:pPr>
        <w:spacing w:before="0"/>
        <w:ind w:firstLine="0"/>
        <w:rPr>
          <w:sz w:val="20"/>
        </w:rPr>
      </w:pPr>
      <w:r w:rsidRPr="00355C38">
        <w:rPr>
          <w:rStyle w:val="Znakapoznpodarou"/>
        </w:rPr>
        <w:t>1a)</w:t>
      </w:r>
      <w:r w:rsidRPr="00355C38">
        <w:t xml:space="preserve"> </w:t>
      </w:r>
      <w:r w:rsidRPr="00355C38">
        <w:rPr>
          <w:sz w:val="20"/>
        </w:rPr>
        <w:t>Zákon č. 563/1991 Sb., o účetnictví, ve znění pozdějších předpisů.</w:t>
      </w:r>
    </w:p>
  </w:footnote>
  <w:footnote w:id="192">
    <w:p w14:paraId="1DC5E3DA" w14:textId="77777777" w:rsidR="00433B76" w:rsidRPr="00355C38" w:rsidRDefault="00433B76" w:rsidP="00F80E61">
      <w:pPr>
        <w:pStyle w:val="Textpoznpodarou"/>
        <w:spacing w:before="0"/>
        <w:ind w:left="0" w:firstLine="0"/>
      </w:pPr>
      <w:r w:rsidRPr="00355C38">
        <w:rPr>
          <w:rStyle w:val="Znakapoznpodarou"/>
        </w:rPr>
        <w:t>1d)</w:t>
      </w:r>
      <w:r w:rsidRPr="00355C38">
        <w:t xml:space="preserve"> Zákon č. 586/1992 Sb., o daních z příjmů, ve znění pozdějších předpisů.</w:t>
      </w:r>
    </w:p>
  </w:footnote>
  <w:footnote w:id="193">
    <w:p w14:paraId="4BC2E57B" w14:textId="77777777" w:rsidR="00433B76" w:rsidRDefault="00433B76" w:rsidP="00F80E61">
      <w:pPr>
        <w:pStyle w:val="Textpoznpodarou"/>
        <w:spacing w:before="0"/>
        <w:ind w:left="0" w:firstLine="0"/>
      </w:pPr>
      <w:r w:rsidRPr="00355C38">
        <w:rPr>
          <w:rStyle w:val="Znakapoznpodarou"/>
        </w:rPr>
        <w:t>1b)</w:t>
      </w:r>
      <w:r w:rsidRPr="00355C38">
        <w:t xml:space="preserve"> Zákon č. 256/2004 Sb., o podnikání na kapitálovém trhu.</w:t>
      </w:r>
    </w:p>
  </w:footnote>
  <w:footnote w:id="194">
    <w:p w14:paraId="0EEA7DDF" w14:textId="77777777" w:rsidR="00433B76" w:rsidRPr="009A1A7E" w:rsidRDefault="00433B76" w:rsidP="002A01B1">
      <w:pPr>
        <w:pStyle w:val="Textpoznpodarou"/>
        <w:spacing w:before="0"/>
      </w:pPr>
      <w:r w:rsidRPr="009A1A7E">
        <w:rPr>
          <w:rStyle w:val="Znakapoznpodarou"/>
        </w:rPr>
        <w:t>22)</w:t>
      </w:r>
      <w:r w:rsidRPr="009A1A7E">
        <w:t xml:space="preserve"> § 22 odst. 2 zákona č. 586/1992 Sb., ve znění pozdějších předpisů.</w:t>
      </w:r>
    </w:p>
  </w:footnote>
  <w:footnote w:id="195">
    <w:p w14:paraId="54EB93DA" w14:textId="77777777" w:rsidR="00433B76" w:rsidRDefault="00433B76" w:rsidP="002A01B1">
      <w:pPr>
        <w:pStyle w:val="Textpoznpodarou"/>
        <w:spacing w:before="0"/>
      </w:pPr>
      <w:r w:rsidRPr="009A1A7E">
        <w:rPr>
          <w:rStyle w:val="Znakapoznpodarou"/>
        </w:rPr>
        <w:t>1e)</w:t>
      </w:r>
      <w:r w:rsidRPr="009A1A7E">
        <w:t xml:space="preserve"> Zákon č. 125/2008 Sb., o přeměnách obchodních společností a družstev.</w:t>
      </w:r>
    </w:p>
  </w:footnote>
  <w:footnote w:id="196">
    <w:p w14:paraId="6C93E2BE" w14:textId="77777777" w:rsidR="00433B76" w:rsidRDefault="00433B76" w:rsidP="00F80E61">
      <w:pPr>
        <w:pStyle w:val="Textpoznpodarou"/>
      </w:pPr>
      <w:r w:rsidRPr="00355C38">
        <w:rPr>
          <w:rStyle w:val="Znakapoznpodarou"/>
        </w:rPr>
        <w:t>4)</w:t>
      </w:r>
      <w:r>
        <w:t xml:space="preserve"> </w:t>
      </w:r>
      <w:r w:rsidRPr="001250D9">
        <w:t>Zákon č. 21/1992 Sb., o bankách.</w:t>
      </w:r>
    </w:p>
  </w:footnote>
  <w:footnote w:id="197">
    <w:p w14:paraId="28D73AA6" w14:textId="46C4DFC0" w:rsidR="00433B76" w:rsidRPr="002A01B1" w:rsidRDefault="00433B76" w:rsidP="00B65A23">
      <w:pPr>
        <w:spacing w:before="0"/>
        <w:ind w:firstLine="0"/>
        <w:rPr>
          <w:sz w:val="20"/>
        </w:rPr>
      </w:pPr>
      <w:r w:rsidRPr="00355C38">
        <w:rPr>
          <w:rStyle w:val="Znakapoznpodarou"/>
        </w:rPr>
        <w:t>6a)</w:t>
      </w:r>
      <w:r>
        <w:t xml:space="preserve"> </w:t>
      </w:r>
      <w:r w:rsidRPr="001250D9">
        <w:rPr>
          <w:sz w:val="20"/>
        </w:rPr>
        <w:t xml:space="preserve">§ 1 zákona č. 87/1995 Sb., o spořitelních a úvěrních družstvech a některých opatřeních s tím souvisejících a o doplnění zákona České národní rady č. 586/1992 Sb., o daních z příjmů, </w:t>
      </w:r>
      <w:r>
        <w:rPr>
          <w:sz w:val="20"/>
        </w:rPr>
        <w:t>ve znění zákona č. 100/2000 Sb.</w:t>
      </w:r>
    </w:p>
  </w:footnote>
  <w:footnote w:id="198">
    <w:p w14:paraId="63F1C660" w14:textId="77777777" w:rsidR="00433B76" w:rsidRPr="009A1A7E" w:rsidRDefault="00433B76" w:rsidP="002D02BF">
      <w:pPr>
        <w:pStyle w:val="Textpoznpodarou"/>
        <w:spacing w:before="0"/>
        <w:ind w:left="0" w:firstLine="0"/>
      </w:pPr>
      <w:r w:rsidRPr="009A1A7E">
        <w:rPr>
          <w:rStyle w:val="Znakapoznpodarou"/>
        </w:rPr>
        <w:t>27)</w:t>
      </w:r>
      <w:r w:rsidRPr="009A1A7E">
        <w:t xml:space="preserve"> Směrnice Evropského parlamentu a Rady 2009/138/ES ze dne 25. listopadu 2009 o přístupu k pojišťovací a zajišťovací činnosti a jejím výkonu (Solventnost II), v platném znění.</w:t>
      </w:r>
    </w:p>
  </w:footnote>
  <w:footnote w:id="199">
    <w:p w14:paraId="4D542E93" w14:textId="44202F06" w:rsidR="00433B76" w:rsidRPr="009A1A7E" w:rsidRDefault="00433B76" w:rsidP="002D02BF">
      <w:pPr>
        <w:pStyle w:val="Textpoznpodarou"/>
        <w:spacing w:before="0"/>
        <w:ind w:left="0" w:firstLine="0"/>
      </w:pPr>
      <w:r w:rsidRPr="00746518">
        <w:rPr>
          <w:rStyle w:val="Znakapoznpodarou"/>
          <w:strike/>
        </w:rPr>
        <w:t>12)</w:t>
      </w:r>
      <w:r w:rsidRPr="00746518">
        <w:rPr>
          <w:strike/>
        </w:rPr>
        <w:t xml:space="preserve"> § 26 odst. 2 zákona ČNR č. 586/1992 Sb.</w:t>
      </w:r>
    </w:p>
  </w:footnote>
  <w:footnote w:id="200">
    <w:p w14:paraId="318B8988" w14:textId="63EE82BC" w:rsidR="00433B76" w:rsidRPr="002D02BF" w:rsidRDefault="00433B76" w:rsidP="002D02BF">
      <w:pPr>
        <w:pStyle w:val="Textpoznpodarou"/>
        <w:spacing w:before="0"/>
        <w:ind w:left="0" w:firstLine="0"/>
        <w:rPr>
          <w:vertAlign w:val="superscript"/>
        </w:rPr>
      </w:pPr>
      <w:r w:rsidRPr="002D02BF">
        <w:rPr>
          <w:vertAlign w:val="superscript"/>
        </w:rPr>
        <w:t xml:space="preserve">28) </w:t>
      </w:r>
      <w:r w:rsidRPr="002D02BF">
        <w:t>Nařízení Komise v přenesené pravomoci (EU) 2015/35 ze dne 10. října 2014, kterým se doplňuje směrnice Evropského parlamentu a Rady 2009/138/ES o přístupu k pojišťovací a zajišťovací činnosti a jejím výkonu (Solventnost II), v platném znění.</w:t>
      </w:r>
    </w:p>
  </w:footnote>
  <w:footnote w:id="201">
    <w:p w14:paraId="5127EEDC" w14:textId="77777777" w:rsidR="00433B76" w:rsidRDefault="00433B76" w:rsidP="002D02BF">
      <w:pPr>
        <w:pStyle w:val="Textpoznpodarou"/>
        <w:spacing w:before="0"/>
        <w:rPr>
          <w:rStyle w:val="Znakapoznpodarou"/>
        </w:rPr>
      </w:pPr>
      <w:r w:rsidRPr="009A1A7E">
        <w:rPr>
          <w:rStyle w:val="Znakapoznpodarou"/>
        </w:rPr>
        <w:t>12b)</w:t>
      </w:r>
      <w:r>
        <w:t xml:space="preserve"> </w:t>
      </w:r>
      <w:r w:rsidRPr="001250D9">
        <w:t>Zákon č. 182/2006 Sb., o úpadku a způsobech jeho řešení (insolvenční zákon), ve znění pozdějších předpisů.</w:t>
      </w:r>
    </w:p>
    <w:p w14:paraId="04036091" w14:textId="77777777" w:rsidR="00433B76" w:rsidRDefault="00433B76" w:rsidP="002D02BF">
      <w:pPr>
        <w:pStyle w:val="Textpoznpodarou"/>
        <w:spacing w:before="0"/>
        <w:ind w:left="0" w:firstLine="0"/>
      </w:pPr>
      <w:r w:rsidRPr="009A1A7E">
        <w:rPr>
          <w:rStyle w:val="Znakapoznpodarou"/>
        </w:rPr>
        <w:t>28)</w:t>
      </w:r>
      <w:r w:rsidRPr="009A1A7E">
        <w:t xml:space="preserve"> Nařízení Komise v přenesené pravomoci (EU) 2015/35 ze dne 10. října 2014, kterým se doplňuje směrnice Evropského parlamentu a Rady 2009/138/ES o přístupu k pojišťovací a zajišťovací činnosti a jejím výkonu (Solventnost II), v platném znění.</w:t>
      </w:r>
    </w:p>
  </w:footnote>
  <w:footnote w:id="202">
    <w:p w14:paraId="109C4AB5" w14:textId="77777777" w:rsidR="00433B76" w:rsidRPr="009A1A7E" w:rsidRDefault="00433B76" w:rsidP="002D02BF">
      <w:pPr>
        <w:pStyle w:val="Textpoznpodarou"/>
        <w:spacing w:before="0"/>
        <w:rPr>
          <w:strike/>
        </w:rPr>
      </w:pPr>
      <w:r w:rsidRPr="009A1A7E">
        <w:rPr>
          <w:rStyle w:val="Znakapoznpodarou"/>
          <w:strike/>
        </w:rPr>
        <w:t>13)</w:t>
      </w:r>
      <w:r w:rsidRPr="009A1A7E">
        <w:rPr>
          <w:strike/>
        </w:rPr>
        <w:t xml:space="preserve"> § 33 zákona ČNR č. 586/1992 Sb.</w:t>
      </w:r>
    </w:p>
  </w:footnote>
  <w:footnote w:id="203">
    <w:p w14:paraId="56EAC5CA" w14:textId="77777777" w:rsidR="00433B76" w:rsidRPr="009A1A7E" w:rsidRDefault="00433B76" w:rsidP="00F80E61">
      <w:pPr>
        <w:pStyle w:val="Textpoznpodarou"/>
        <w:ind w:left="0" w:firstLine="0"/>
      </w:pPr>
      <w:r w:rsidRPr="009A1A7E">
        <w:rPr>
          <w:rStyle w:val="Znakapoznpodarou"/>
        </w:rPr>
        <w:t>12c)</w:t>
      </w:r>
      <w:r w:rsidRPr="009A1A7E">
        <w:t xml:space="preserve"> § 136 zákona č. 182/2006 Sb., o úpadku a způsobech jeho řešení (insolvenční zákon), ve znění pozdějších předpisů.</w:t>
      </w:r>
    </w:p>
  </w:footnote>
  <w:footnote w:id="204">
    <w:p w14:paraId="07B2AD87" w14:textId="77777777" w:rsidR="00433B76" w:rsidRPr="009A1A7E" w:rsidRDefault="00433B76" w:rsidP="00F80E61">
      <w:pPr>
        <w:spacing w:after="60"/>
        <w:rPr>
          <w:sz w:val="20"/>
        </w:rPr>
      </w:pPr>
      <w:r w:rsidRPr="009A1A7E">
        <w:rPr>
          <w:rStyle w:val="Znakapoznpodarou"/>
        </w:rPr>
        <w:t>14)</w:t>
      </w:r>
      <w:r w:rsidRPr="009A1A7E">
        <w:t xml:space="preserve"> </w:t>
      </w:r>
      <w:r w:rsidRPr="009A1A7E">
        <w:rPr>
          <w:sz w:val="20"/>
        </w:rPr>
        <w:t>Zákon č. 289/1995 Sb., o lesích a o změně a doplnění některých zákonů (lesní zákon).</w:t>
      </w:r>
    </w:p>
  </w:footnote>
  <w:footnote w:id="205">
    <w:p w14:paraId="6CB7D108" w14:textId="77777777" w:rsidR="00433B76" w:rsidRPr="009A1A7E" w:rsidRDefault="00433B76" w:rsidP="00B65A23">
      <w:pPr>
        <w:spacing w:after="60"/>
        <w:ind w:firstLine="0"/>
        <w:rPr>
          <w:sz w:val="20"/>
        </w:rPr>
      </w:pPr>
      <w:r w:rsidRPr="009A1A7E">
        <w:rPr>
          <w:rStyle w:val="Znakapoznpodarou"/>
        </w:rPr>
        <w:t>26)</w:t>
      </w:r>
      <w:r w:rsidRPr="009A1A7E">
        <w:t xml:space="preserve"> </w:t>
      </w:r>
      <w:r w:rsidRPr="009A1A7E">
        <w:rPr>
          <w:sz w:val="20"/>
        </w:rPr>
        <w:t>§ 18 zákona č. 18/1997 Sb., o mírovém využívání jaderné energie a ionizujícího záření (atomový zákon) a o změně a doplnění některých zákonů, ve znění pozdějších předpisů.</w:t>
      </w:r>
    </w:p>
  </w:footnote>
  <w:footnote w:id="206">
    <w:p w14:paraId="15CF7AF8" w14:textId="77777777" w:rsidR="00433B76" w:rsidRPr="003343A0" w:rsidRDefault="00433B76" w:rsidP="00B65A23">
      <w:pPr>
        <w:pStyle w:val="Textpoznpodarou"/>
        <w:spacing w:before="0"/>
        <w:rPr>
          <w:strike/>
        </w:rPr>
      </w:pPr>
      <w:r w:rsidRPr="003343A0">
        <w:rPr>
          <w:rStyle w:val="Znakapoznpodarou"/>
          <w:strike/>
        </w:rPr>
        <w:t>12a)</w:t>
      </w:r>
      <w:r w:rsidRPr="003343A0">
        <w:rPr>
          <w:strike/>
        </w:rPr>
        <w:t xml:space="preserve"> Zákon č. 563/1991 Sb., o účetnictví, ve znění pozdějších předpisů.</w:t>
      </w:r>
    </w:p>
  </w:footnote>
  <w:footnote w:id="207">
    <w:p w14:paraId="43C18142" w14:textId="77777777" w:rsidR="00433B76" w:rsidRDefault="00433B76" w:rsidP="00812ECA">
      <w:pPr>
        <w:pStyle w:val="Textpoznpodarou"/>
        <w:spacing w:before="0"/>
      </w:pPr>
      <w:r>
        <w:rPr>
          <w:rStyle w:val="Znakapoznpodarou"/>
        </w:rPr>
        <w:t>3)</w:t>
      </w:r>
      <w:r>
        <w:t xml:space="preserve"> </w:t>
      </w:r>
      <w:r w:rsidRPr="00723388">
        <w:t>Čl. 12 odst. 1 a 3 Listiny základních práv a svobod (usnesení předsednictva ČNR č. 92/1993 Sb.).</w:t>
      </w:r>
    </w:p>
  </w:footnote>
  <w:footnote w:id="208">
    <w:p w14:paraId="71888921" w14:textId="77777777" w:rsidR="00433B76" w:rsidRDefault="00433B76" w:rsidP="00812ECA">
      <w:pPr>
        <w:pStyle w:val="Textpoznpodarou"/>
        <w:spacing w:before="0"/>
      </w:pPr>
      <w:r>
        <w:rPr>
          <w:rStyle w:val="Znakapoznpodarou"/>
        </w:rPr>
        <w:t>4)</w:t>
      </w:r>
      <w:r>
        <w:t xml:space="preserve"> </w:t>
      </w:r>
      <w:r w:rsidRPr="00723388">
        <w:t>Zákon č. 412/2005 Sb., o ochraně utajovaných informací a o bezpečnostní způsobilosti.</w:t>
      </w:r>
    </w:p>
  </w:footnote>
  <w:footnote w:id="209">
    <w:p w14:paraId="4B827D5D" w14:textId="1EF016B3" w:rsidR="00433B76" w:rsidRDefault="00433B76">
      <w:pPr>
        <w:pStyle w:val="Textpoznpodarou"/>
      </w:pPr>
      <w:r>
        <w:rPr>
          <w:rStyle w:val="Znakapoznpodarou"/>
        </w:rPr>
        <w:t>15)</w:t>
      </w:r>
      <w:r>
        <w:t xml:space="preserve"> </w:t>
      </w:r>
      <w:r w:rsidRPr="004A05E7">
        <w:t>Nařízení Evropského parlamentu a Rady (ES) č. 1071/2009.</w:t>
      </w:r>
    </w:p>
  </w:footnote>
  <w:footnote w:id="210">
    <w:p w14:paraId="106B3F7E" w14:textId="77777777" w:rsidR="00433B76" w:rsidRDefault="00433B76" w:rsidP="00087E65">
      <w:pPr>
        <w:pStyle w:val="Textpoznpodarou"/>
        <w:spacing w:before="0"/>
      </w:pPr>
      <w:r>
        <w:rPr>
          <w:rStyle w:val="Znakapoznpodarou"/>
        </w:rPr>
        <w:t>2)</w:t>
      </w:r>
      <w:r>
        <w:t xml:space="preserve"> </w:t>
      </w:r>
      <w:r w:rsidRPr="00984E35">
        <w:t xml:space="preserve">§ 16 odst. 2 písm. e) zákona č. 2/1969 Sb., o zřízení ministerstev a jiných ústředních orgánů státní správy České </w:t>
      </w:r>
    </w:p>
    <w:p w14:paraId="7D6F7420" w14:textId="77777777" w:rsidR="00433B76" w:rsidRDefault="00433B76" w:rsidP="00087E65">
      <w:pPr>
        <w:pStyle w:val="Textpoznpodarou"/>
        <w:spacing w:before="0"/>
      </w:pPr>
      <w:r w:rsidRPr="00984E35">
        <w:t>republiky, ve znění zákona č. 290/2005 Sb.</w:t>
      </w:r>
    </w:p>
  </w:footnote>
  <w:footnote w:id="211">
    <w:p w14:paraId="05BA410D" w14:textId="01075B2C" w:rsidR="00433B76" w:rsidRDefault="00433B76">
      <w:pPr>
        <w:pStyle w:val="Textpoznpodarou"/>
      </w:pPr>
      <w:r>
        <w:rPr>
          <w:rStyle w:val="Znakapoznpodarou"/>
        </w:rPr>
        <w:t>18)</w:t>
      </w:r>
      <w:r>
        <w:t xml:space="preserve"> </w:t>
      </w:r>
      <w:r w:rsidRPr="006B439C">
        <w:t>Nařízení Rady (ES) č. 139/2004 ze dne 20. ledna 2004 o kontrole spojování podniků (nařízení ES o spojování).</w:t>
      </w:r>
    </w:p>
  </w:footnote>
  <w:footnote w:id="212">
    <w:p w14:paraId="43E4DA54" w14:textId="0C3D1FC0" w:rsidR="00433B76" w:rsidRDefault="00433B76" w:rsidP="00384149">
      <w:pPr>
        <w:pStyle w:val="Textpoznpodarou"/>
        <w:tabs>
          <w:tab w:val="clear" w:pos="425"/>
          <w:tab w:val="left" w:pos="426"/>
        </w:tabs>
        <w:ind w:left="0" w:firstLine="0"/>
      </w:pPr>
      <w:r>
        <w:rPr>
          <w:rStyle w:val="Znakapoznpodarou"/>
        </w:rPr>
        <w:t>29)</w:t>
      </w:r>
      <w:r>
        <w:t xml:space="preserve"> </w:t>
      </w:r>
      <w:r w:rsidRPr="00384149">
        <w:t>Prováděcí nařízení Komise (EU) 2019/779 ze dne 16. května 2019, kterým se přijímají podrobná ustanovení o systému udělování osvědčení pro subjekty odpovědné za údržbu vozidel podle směrnice Evropského parlamentu a Rady (EU) 2016/798 a zrušuje nařízení Komise (EU) č. 445/2011.</w:t>
      </w:r>
    </w:p>
  </w:footnote>
  <w:footnote w:id="213">
    <w:p w14:paraId="245B75E0" w14:textId="3137F1FA" w:rsidR="00433B76" w:rsidRDefault="00433B76" w:rsidP="00384149">
      <w:pPr>
        <w:pStyle w:val="Textpoznpodarou"/>
        <w:tabs>
          <w:tab w:val="clear" w:pos="425"/>
          <w:tab w:val="left" w:pos="426"/>
        </w:tabs>
        <w:ind w:left="0" w:firstLine="0"/>
      </w:pPr>
      <w:r>
        <w:rPr>
          <w:rStyle w:val="Znakapoznpodarou"/>
        </w:rPr>
        <w:t>27)</w:t>
      </w:r>
      <w:r>
        <w:t xml:space="preserve"> </w:t>
      </w:r>
      <w:r w:rsidRPr="00384149">
        <w:t>Prováděcí nařízení Komise (EU) 2019/777 ze dne 16. května 2019 o společných specifikacích registru železniční infrastruktury a o zrušení prováděcího rozhodnutí 2014/880/EU.</w:t>
      </w:r>
    </w:p>
  </w:footnote>
  <w:footnote w:id="214">
    <w:p w14:paraId="6D5BB049" w14:textId="24E42842" w:rsidR="00433B76" w:rsidRDefault="00433B76" w:rsidP="00384149">
      <w:pPr>
        <w:pStyle w:val="Textpoznpodarou"/>
        <w:tabs>
          <w:tab w:val="clear" w:pos="425"/>
          <w:tab w:val="left" w:pos="426"/>
        </w:tabs>
        <w:ind w:left="0" w:firstLine="0"/>
      </w:pPr>
      <w:r>
        <w:rPr>
          <w:rStyle w:val="Znakapoznpodarou"/>
        </w:rPr>
        <w:t>41)</w:t>
      </w:r>
      <w:r>
        <w:t xml:space="preserve"> </w:t>
      </w:r>
      <w:r w:rsidRPr="00384149">
        <w:t>Prováděcí nařízení Komise (EU) 2019/773 ze dne 16. května 2019 o technické specifikaci pro interoperabilitu týkající se subsystému "provoz a řízení dopravy" železničního systému v Evropské unii a o zrušení rozhodnutí 2012/757/EU.</w:t>
      </w:r>
    </w:p>
  </w:footnote>
  <w:footnote w:id="215">
    <w:p w14:paraId="4D77AE38" w14:textId="12E09DA7" w:rsidR="00433B76" w:rsidRDefault="00433B76" w:rsidP="004E0A1A">
      <w:pPr>
        <w:pStyle w:val="Textpoznpodarou"/>
        <w:tabs>
          <w:tab w:val="clear" w:pos="425"/>
          <w:tab w:val="left" w:pos="284"/>
        </w:tabs>
        <w:ind w:left="0" w:firstLine="0"/>
      </w:pPr>
      <w:r>
        <w:rPr>
          <w:rStyle w:val="Znakapoznpodarou"/>
        </w:rPr>
        <w:t>5c)</w:t>
      </w:r>
      <w:r>
        <w:t xml:space="preserve"> </w:t>
      </w:r>
      <w:r w:rsidRPr="004E0A1A">
        <w:t>Rozhodnutí Komise 2010/17/ES o přijetí základních parametrů pro rejstříky licencí strojvedoucích a doplňkových osvědčení podle směrnice 2007/59/ES.</w:t>
      </w:r>
    </w:p>
  </w:footnote>
  <w:footnote w:id="216">
    <w:p w14:paraId="369A815F" w14:textId="36597586" w:rsidR="00433B76" w:rsidRDefault="00433B76">
      <w:pPr>
        <w:pStyle w:val="Textpoznpodarou"/>
      </w:pPr>
      <w:r>
        <w:rPr>
          <w:rStyle w:val="Znakapoznpodarou"/>
        </w:rPr>
        <w:t>17)</w:t>
      </w:r>
      <w:r>
        <w:t xml:space="preserve"> </w:t>
      </w:r>
      <w:r w:rsidRPr="004E0A1A">
        <w:t>Nařízení Evropského parlamentu a Rady (EU) 2021/782.</w:t>
      </w:r>
    </w:p>
  </w:footnote>
  <w:footnote w:id="217">
    <w:p w14:paraId="7E27E514" w14:textId="77777777" w:rsidR="00433B76" w:rsidRPr="00D84CDA" w:rsidRDefault="00433B76" w:rsidP="00A64E48">
      <w:pPr>
        <w:pStyle w:val="Textpoznpodarou"/>
        <w:tabs>
          <w:tab w:val="clear" w:pos="425"/>
          <w:tab w:val="left" w:pos="426"/>
        </w:tabs>
        <w:spacing w:before="0"/>
        <w:ind w:left="0" w:firstLine="0"/>
      </w:pPr>
      <w:r w:rsidRPr="00D84CDA">
        <w:rPr>
          <w:rStyle w:val="Znakapoznpodarou"/>
        </w:rPr>
        <w:t>1)</w:t>
      </w:r>
      <w:r w:rsidRPr="00D84CDA">
        <w:t xml:space="preserve"> Směrnice Evropského parlamentu a Rady 2001/24/ES ze dne 4. dubna 2001 o reorganizaci a likvidaci úvěrových institucí, ve znění směrnice Evropskéh</w:t>
      </w:r>
      <w:r>
        <w:t>o parlamentu a Rady 2014/59/EU.</w:t>
      </w:r>
    </w:p>
    <w:p w14:paraId="5B8C1D23" w14:textId="77777777" w:rsidR="00433B76" w:rsidRPr="00D84CDA" w:rsidRDefault="00433B76" w:rsidP="00A64E48">
      <w:pPr>
        <w:pStyle w:val="Textpoznpodarou"/>
        <w:tabs>
          <w:tab w:val="clear" w:pos="425"/>
          <w:tab w:val="left" w:pos="426"/>
        </w:tabs>
        <w:spacing w:before="0"/>
        <w:ind w:left="0" w:firstLine="0"/>
      </w:pPr>
      <w:r w:rsidRPr="00D84CDA">
        <w:t>Směrnice Evropského parlamentu a Rady 2009/111/ES ze dne 16. září 2009, kterou se mění směrnice 2006/48/ES, 2006/49/ES a 2007/64/ES, pokud jde o banky přidružené k ústředním institucím, některé položky kapitálu, velkou angažovanost, r</w:t>
      </w:r>
      <w:r>
        <w:t>ežimy dohledu a krizové řízení.</w:t>
      </w:r>
    </w:p>
    <w:p w14:paraId="29469EB5" w14:textId="77777777" w:rsidR="00433B76" w:rsidRPr="00D84CDA" w:rsidRDefault="00433B76" w:rsidP="00A64E48">
      <w:pPr>
        <w:pStyle w:val="Textpoznpodarou"/>
        <w:tabs>
          <w:tab w:val="clear" w:pos="425"/>
          <w:tab w:val="left" w:pos="426"/>
        </w:tabs>
        <w:spacing w:before="0"/>
        <w:ind w:left="0" w:firstLine="0"/>
      </w:pPr>
      <w:r w:rsidRPr="00D84CDA">
        <w:t xml:space="preserve">Směrnice Evropského parlamentu a Rady 2013/36/EU ze dne 26. června 2013 o přístupu k činnosti úvěrových institucí a o obezřetnostním dohledu nad úvěrovými institucemi a o změně směrnice 2002/87/ES a zrušení směrnic 2006/48/ES a 2006/49/ES, ve znění směrnic Evropského parlamentu a Rady 2014/17/EU, 2014/59/EU, (EU) 2015/2366, (EU) 2018/843, </w:t>
      </w:r>
      <w:r>
        <w:t>(EU) 2019/878 a (EU) 2019/2034.</w:t>
      </w:r>
    </w:p>
    <w:p w14:paraId="15435B2D" w14:textId="77777777" w:rsidR="00433B76" w:rsidRPr="00D84CDA" w:rsidRDefault="00433B76" w:rsidP="00A64E48">
      <w:pPr>
        <w:pStyle w:val="Textpoznpodarou"/>
        <w:tabs>
          <w:tab w:val="clear" w:pos="425"/>
          <w:tab w:val="left" w:pos="426"/>
        </w:tabs>
        <w:spacing w:before="0"/>
        <w:ind w:left="0" w:firstLine="0"/>
      </w:pPr>
      <w:r w:rsidRPr="00D84CDA">
        <w:t>Směrnice Evropského parlamentu a Rady 2014/49/EU ze dne 16. dubna 201</w:t>
      </w:r>
      <w:r>
        <w:t>4 o systémech pojištění vkladů.</w:t>
      </w:r>
    </w:p>
    <w:p w14:paraId="540D8385" w14:textId="77777777" w:rsidR="00433B76" w:rsidRPr="00D84CDA" w:rsidRDefault="00433B76" w:rsidP="00A64E48">
      <w:pPr>
        <w:pStyle w:val="Textpoznpodarou"/>
        <w:tabs>
          <w:tab w:val="clear" w:pos="425"/>
          <w:tab w:val="left" w:pos="426"/>
        </w:tabs>
        <w:spacing w:before="0"/>
        <w:ind w:left="0" w:firstLine="0"/>
      </w:pPr>
      <w:r w:rsidRPr="00D84CDA">
        <w:t>Směrnice Evropského parlamentu a Rady (EU) 2019/879 ze dne 20. května 2019, kterou se mění směrnice 2014/59/EU, pokud jde o schopnost úvěrových institucí a investičních podniků absorbovat ztráty a schopnost rekapitalizace, a směrnice 98/26/ES.</w:t>
      </w:r>
    </w:p>
  </w:footnote>
  <w:footnote w:id="218">
    <w:p w14:paraId="257B6BAC" w14:textId="77777777" w:rsidR="00433B76" w:rsidRPr="00D84CDA" w:rsidRDefault="00433B76" w:rsidP="00A64E48">
      <w:pPr>
        <w:pStyle w:val="Textpoznpodarou"/>
        <w:tabs>
          <w:tab w:val="clear" w:pos="425"/>
          <w:tab w:val="left" w:pos="426"/>
        </w:tabs>
        <w:spacing w:before="0"/>
        <w:ind w:left="0" w:firstLine="0"/>
      </w:pPr>
      <w:r w:rsidRPr="00D84CDA">
        <w:rPr>
          <w:rStyle w:val="Znakapoznpodarou"/>
        </w:rPr>
        <w:t>38)</w:t>
      </w:r>
      <w:r w:rsidRPr="00D84CDA">
        <w:t xml:space="preserve"> Nařízení Evropského parlamentu a Rady (EU) č. 575/2013 ze dne 26. června 2013 o obezřetnostních požadavcích na úvěrové instituce a o změně nařízení (EU) č. 648/2012, v platném znění.</w:t>
      </w:r>
    </w:p>
  </w:footnote>
  <w:footnote w:id="219">
    <w:p w14:paraId="0ADE5D9C" w14:textId="77777777" w:rsidR="00433B76" w:rsidRPr="00D84CDA" w:rsidRDefault="00433B76" w:rsidP="00A64E48">
      <w:pPr>
        <w:pStyle w:val="Textpoznpodarou"/>
        <w:tabs>
          <w:tab w:val="clear" w:pos="425"/>
          <w:tab w:val="left" w:pos="426"/>
        </w:tabs>
        <w:spacing w:before="0"/>
        <w:ind w:left="0" w:firstLine="0"/>
      </w:pPr>
      <w:r w:rsidRPr="00D84CDA">
        <w:rPr>
          <w:rStyle w:val="Znakapoznpodarou"/>
        </w:rPr>
        <w:t>2)</w:t>
      </w:r>
      <w:r w:rsidRPr="00D84CDA">
        <w:t xml:space="preserve"> Zákon č. 455/1991 Sb., o živnostenském podnikání (živnostenský zákon), ve znění pozdějších předpisů.</w:t>
      </w:r>
    </w:p>
  </w:footnote>
  <w:footnote w:id="220">
    <w:p w14:paraId="0FB9DF06" w14:textId="77777777" w:rsidR="00433B76" w:rsidRPr="00D84CDA" w:rsidRDefault="00433B76" w:rsidP="00A55D8D">
      <w:pPr>
        <w:pStyle w:val="Textpoznpodarou"/>
        <w:spacing w:before="0"/>
      </w:pPr>
      <w:r w:rsidRPr="00D84CDA">
        <w:rPr>
          <w:rStyle w:val="Znakapoznpodarou"/>
        </w:rPr>
        <w:t>3)</w:t>
      </w:r>
      <w:r w:rsidRPr="00D84CDA">
        <w:t xml:space="preserve"> Zákon č. 190/2004 Sb., o dluhopisech, ve znění pozdějších předpisů.</w:t>
      </w:r>
    </w:p>
  </w:footnote>
  <w:footnote w:id="221">
    <w:p w14:paraId="68ADA93E" w14:textId="77777777" w:rsidR="00433B76" w:rsidRPr="00D84CDA" w:rsidRDefault="00433B76" w:rsidP="00A55D8D">
      <w:pPr>
        <w:pStyle w:val="Textpoznpodarou"/>
        <w:spacing w:before="0"/>
        <w:rPr>
          <w:strike/>
        </w:rPr>
      </w:pPr>
      <w:r w:rsidRPr="00D84CDA">
        <w:rPr>
          <w:rStyle w:val="Znakapoznpodarou"/>
          <w:strike/>
        </w:rPr>
        <w:t>3a)</w:t>
      </w:r>
      <w:r w:rsidRPr="00D84CDA">
        <w:rPr>
          <w:strike/>
        </w:rPr>
        <w:t xml:space="preserve"> Zákon č. 563/1991 Sb., o účetnictví, ve znění pozdějších předpisů.</w:t>
      </w:r>
    </w:p>
  </w:footnote>
  <w:footnote w:id="222">
    <w:p w14:paraId="694294F9" w14:textId="77777777" w:rsidR="00433B76" w:rsidRPr="00D84CDA" w:rsidRDefault="00433B76" w:rsidP="00A64E48">
      <w:pPr>
        <w:pStyle w:val="Textpoznpodarou"/>
      </w:pPr>
      <w:r w:rsidRPr="00D84CDA">
        <w:rPr>
          <w:rStyle w:val="Znakapoznpodarou"/>
        </w:rPr>
        <w:t>5a)</w:t>
      </w:r>
      <w:r w:rsidRPr="00D84CDA">
        <w:t xml:space="preserve"> Zákon č. 328/1991 Sb., o konkursu a vyrovnání, ve znění pozdějších předpisů.</w:t>
      </w:r>
    </w:p>
  </w:footnote>
  <w:footnote w:id="223">
    <w:p w14:paraId="3A5A126A" w14:textId="77777777" w:rsidR="00433B76" w:rsidRPr="00D82979" w:rsidRDefault="00433B76" w:rsidP="00A64E48">
      <w:pPr>
        <w:pStyle w:val="Textpoznpodarou"/>
      </w:pPr>
      <w:r w:rsidRPr="00D82979">
        <w:rPr>
          <w:rStyle w:val="Znakapoznpodarou"/>
        </w:rPr>
        <w:t>34)</w:t>
      </w:r>
      <w:r w:rsidRPr="00D82979">
        <w:t xml:space="preserve"> Nařízení Evropského parlamentu a Rady (EU) č. 1092/2010 ze dne 24. listopadu 2010 o </w:t>
      </w:r>
      <w:proofErr w:type="spellStart"/>
      <w:r w:rsidRPr="00D82979">
        <w:t>makroobezřetnostním</w:t>
      </w:r>
      <w:proofErr w:type="spellEnd"/>
      <w:r w:rsidRPr="00D82979">
        <w:t xml:space="preserve"> dohledu nad finančním systémem na úrovni Evropské unie a o zřízení Evropské rady pro systémová rizika.</w:t>
      </w:r>
    </w:p>
  </w:footnote>
  <w:footnote w:id="224">
    <w:p w14:paraId="2C812CF3" w14:textId="77777777" w:rsidR="00433B76" w:rsidRPr="00371F37" w:rsidRDefault="00433B76" w:rsidP="005940A4">
      <w:pPr>
        <w:pStyle w:val="Textpoznpodarou"/>
        <w:spacing w:before="0"/>
        <w:ind w:left="0" w:firstLine="0"/>
      </w:pPr>
      <w:r w:rsidRPr="00371F37">
        <w:rPr>
          <w:rStyle w:val="Znakapoznpodarou"/>
        </w:rPr>
        <w:t>50)</w:t>
      </w:r>
      <w:r w:rsidRPr="00371F37">
        <w:t xml:space="preserve"> Nařízení Evropského parlamentu a Rady (EU) 2017/2402 ze dne 12. prosince 2017, kterým se stanoví obecný rámec pro </w:t>
      </w:r>
      <w:proofErr w:type="spellStart"/>
      <w:r w:rsidRPr="00371F37">
        <w:t>sekuritizaci</w:t>
      </w:r>
      <w:proofErr w:type="spellEnd"/>
      <w:r w:rsidRPr="00371F37">
        <w:t xml:space="preserve"> a vytváří se zvláštní rámec pro jednoduchou, transparentní a standardizovanou </w:t>
      </w:r>
      <w:proofErr w:type="spellStart"/>
      <w:r w:rsidRPr="00371F37">
        <w:t>sekuritizaci</w:t>
      </w:r>
      <w:proofErr w:type="spellEnd"/>
      <w:r w:rsidRPr="00371F37">
        <w:t xml:space="preserve"> a kterým se mění směrnice 2009/65/ES, 2009/138/ES, 2011/61/EU a nařízení (ES) č. 1060/2009 a (EU) č. 648/2012, v platném znění.</w:t>
      </w:r>
    </w:p>
  </w:footnote>
  <w:footnote w:id="225">
    <w:p w14:paraId="23037F44" w14:textId="14D0D5E0" w:rsidR="00433B76" w:rsidRDefault="00433B76">
      <w:pPr>
        <w:pStyle w:val="Textpoznpodarou"/>
      </w:pPr>
      <w:r>
        <w:rPr>
          <w:rStyle w:val="Znakapoznpodarou"/>
        </w:rPr>
        <w:t>31)</w:t>
      </w:r>
      <w:r>
        <w:t xml:space="preserve"> </w:t>
      </w:r>
      <w:r w:rsidRPr="005E4525">
        <w:t>ČSN EN ISO 9001 Systémy managementu jakosti - Požadavky.</w:t>
      </w:r>
    </w:p>
  </w:footnote>
  <w:footnote w:id="226">
    <w:p w14:paraId="7F1813A9" w14:textId="77777777" w:rsidR="00433B76" w:rsidRDefault="00433B76" w:rsidP="000D73B3">
      <w:pPr>
        <w:pStyle w:val="Textpoznpodarou"/>
      </w:pPr>
      <w:r>
        <w:rPr>
          <w:rStyle w:val="Znakapoznpodarou"/>
        </w:rPr>
        <w:t>3)</w:t>
      </w:r>
      <w:r>
        <w:t xml:space="preserve"> </w:t>
      </w:r>
      <w:r w:rsidRPr="008E73D8">
        <w:t>§ 117 zákona č. 90/1995 Sb., o jednacím řádu Poslanecké sněmovny.</w:t>
      </w:r>
    </w:p>
  </w:footnote>
  <w:footnote w:id="227">
    <w:p w14:paraId="03614C29" w14:textId="073314D6" w:rsidR="00433B76" w:rsidRDefault="00433B76" w:rsidP="00A66DBC">
      <w:pPr>
        <w:pStyle w:val="Textpoznpodarou"/>
        <w:tabs>
          <w:tab w:val="clear" w:pos="425"/>
        </w:tabs>
        <w:ind w:left="0" w:firstLine="0"/>
      </w:pPr>
      <w:r>
        <w:rPr>
          <w:rStyle w:val="Znakapoznpodarou"/>
        </w:rPr>
        <w:t>7)</w:t>
      </w:r>
      <w:r>
        <w:t xml:space="preserve"> </w:t>
      </w:r>
      <w:r w:rsidRPr="00A66DBC">
        <w:t>Zákon č. 184/2006 Sb., o odnětí nebo omezení vlastnického práva k pozemku nebo ke stavbě (zákon o vyvlastnění).</w:t>
      </w:r>
    </w:p>
  </w:footnote>
  <w:footnote w:id="228">
    <w:p w14:paraId="6CD33FD8" w14:textId="274D009C" w:rsidR="00433B76" w:rsidRDefault="00433B76" w:rsidP="009A70CD">
      <w:pPr>
        <w:pStyle w:val="Textpoznpodarou"/>
        <w:tabs>
          <w:tab w:val="clear" w:pos="425"/>
          <w:tab w:val="left" w:pos="426"/>
        </w:tabs>
        <w:spacing w:before="0"/>
        <w:ind w:left="0" w:firstLine="0"/>
      </w:pPr>
      <w:r>
        <w:rPr>
          <w:rStyle w:val="Znakapoznpodarou"/>
        </w:rPr>
        <w:t>11l)</w:t>
      </w:r>
      <w:r>
        <w:t xml:space="preserve"> </w:t>
      </w:r>
      <w:r w:rsidRPr="00A05459">
        <w:t>§ 31 a následující občanského zákoníku.</w:t>
      </w:r>
    </w:p>
    <w:p w14:paraId="501D37D0" w14:textId="23B370DC" w:rsidR="00433B76" w:rsidRDefault="00433B76" w:rsidP="009A70CD">
      <w:pPr>
        <w:pStyle w:val="Textpoznpodarou"/>
        <w:tabs>
          <w:tab w:val="clear" w:pos="425"/>
          <w:tab w:val="left" w:pos="426"/>
        </w:tabs>
        <w:spacing w:before="0"/>
        <w:ind w:left="0" w:firstLine="0"/>
      </w:pPr>
      <w:r w:rsidRPr="009A70CD">
        <w:t>Zákon č. 21/2006 Sb., o ověřování shody opisu nebo kopie s listinou a o ověřování pravosti podpisu a o změně některých zákonů (zákon o ověřování), ve znění pozdějších předpisů.</w:t>
      </w:r>
    </w:p>
  </w:footnote>
  <w:footnote w:id="229">
    <w:p w14:paraId="7F3349A9" w14:textId="445EB674" w:rsidR="00433B76" w:rsidRDefault="00433B76" w:rsidP="009A70CD">
      <w:pPr>
        <w:pStyle w:val="Textpoznpodarou"/>
        <w:tabs>
          <w:tab w:val="clear" w:pos="425"/>
          <w:tab w:val="left" w:pos="426"/>
        </w:tabs>
        <w:spacing w:before="0"/>
        <w:ind w:left="0" w:firstLine="0"/>
      </w:pPr>
      <w:r>
        <w:rPr>
          <w:rStyle w:val="Znakapoznpodarou"/>
        </w:rPr>
        <w:t>41)</w:t>
      </w:r>
      <w:r>
        <w:t xml:space="preserve"> </w:t>
      </w:r>
      <w:r w:rsidRPr="00A05459">
        <w:t>Prováděcí nařízení Komise (EU) 2020/204 ze dne 28. listopadu 2019 o podrobných povinnostech poskytovatelů evropské služby elektronického mýtného, minimálním obsahu přehledu o oblasti evropské služby elektronického mýtného, elektronických rozhraních, požadavcích na prvky interoperability a o zrušení rozhodnutí 2009/750/ES.</w:t>
      </w:r>
    </w:p>
  </w:footnote>
  <w:footnote w:id="230">
    <w:p w14:paraId="4BDD59DE" w14:textId="58EFBD4B" w:rsidR="00433B76" w:rsidRDefault="00433B76" w:rsidP="009A70CD">
      <w:pPr>
        <w:pStyle w:val="Textpoznpodarou"/>
        <w:tabs>
          <w:tab w:val="clear" w:pos="425"/>
          <w:tab w:val="left" w:pos="426"/>
        </w:tabs>
        <w:spacing w:before="0"/>
        <w:ind w:left="0" w:firstLine="0"/>
      </w:pPr>
      <w:r>
        <w:rPr>
          <w:rStyle w:val="Znakapoznpodarou"/>
        </w:rPr>
        <w:t>11m)</w:t>
      </w:r>
      <w:r>
        <w:t xml:space="preserve"> </w:t>
      </w:r>
      <w:r w:rsidRPr="00A05459">
        <w:t>Zákon č. 365/2000 Sb., o informačních systémech veřejné správy a o změně některých dalších zákonů, ve znění pozdějších předpisů.</w:t>
      </w:r>
    </w:p>
  </w:footnote>
  <w:footnote w:id="231">
    <w:p w14:paraId="26F1B877" w14:textId="3BFCAF71" w:rsidR="00433B76" w:rsidRDefault="00433B76" w:rsidP="00A62336">
      <w:pPr>
        <w:pStyle w:val="Textpoznpodarou"/>
        <w:spacing w:before="0"/>
      </w:pPr>
      <w:r>
        <w:rPr>
          <w:rStyle w:val="Znakapoznpodarou"/>
        </w:rPr>
        <w:t>31)</w:t>
      </w:r>
      <w:r>
        <w:t xml:space="preserve"> </w:t>
      </w:r>
      <w:r w:rsidRPr="009A70CD">
        <w:t>EN ISO 9001.</w:t>
      </w:r>
    </w:p>
  </w:footnote>
  <w:footnote w:id="232">
    <w:p w14:paraId="77559203" w14:textId="3D330235" w:rsidR="00433B76" w:rsidRDefault="00433B76" w:rsidP="00A62336">
      <w:pPr>
        <w:pStyle w:val="Textpoznpodarou"/>
        <w:spacing w:before="0"/>
      </w:pPr>
      <w:r>
        <w:rPr>
          <w:rStyle w:val="Znakapoznpodarou"/>
        </w:rPr>
        <w:t>32)</w:t>
      </w:r>
      <w:r>
        <w:t xml:space="preserve"> </w:t>
      </w:r>
      <w:r w:rsidRPr="009A70CD">
        <w:t>Zákon č. 182/2006 Sb., o úpadku a způsobech jeho řešení (insolvenční zákon), ve znění pozdějších předpisů.</w:t>
      </w:r>
    </w:p>
  </w:footnote>
  <w:footnote w:id="233">
    <w:p w14:paraId="2AB67D9D" w14:textId="29A1C83B" w:rsidR="00433B76" w:rsidRDefault="00433B76" w:rsidP="00A62336">
      <w:pPr>
        <w:pStyle w:val="Textpoznpodarou"/>
        <w:spacing w:before="0"/>
      </w:pPr>
      <w:r>
        <w:rPr>
          <w:rStyle w:val="Znakapoznpodarou"/>
        </w:rPr>
        <w:t>33)</w:t>
      </w:r>
      <w:r>
        <w:t xml:space="preserve"> </w:t>
      </w:r>
      <w:r w:rsidRPr="009A70CD">
        <w:t>Zákon č. 269/1994 Sb., o Rejstříku trestů, ve znění pozdějších předpisů.</w:t>
      </w:r>
    </w:p>
  </w:footnote>
  <w:footnote w:id="234">
    <w:p w14:paraId="0D5494C3" w14:textId="7AB45BF6" w:rsidR="00433B76" w:rsidRDefault="00433B76" w:rsidP="0044227B">
      <w:pPr>
        <w:pStyle w:val="Textpoznpodarou"/>
        <w:tabs>
          <w:tab w:val="clear" w:pos="425"/>
          <w:tab w:val="left" w:pos="426"/>
        </w:tabs>
        <w:spacing w:before="0"/>
        <w:ind w:left="0" w:firstLine="0"/>
      </w:pPr>
      <w:r>
        <w:rPr>
          <w:rStyle w:val="Znakapoznpodarou"/>
        </w:rPr>
        <w:t>1c)</w:t>
      </w:r>
      <w:r>
        <w:t xml:space="preserve"> </w:t>
      </w:r>
      <w:r w:rsidRPr="0044227B">
        <w:t>Nařízení Evropského parlamentu a Rady (EU) 2018/1139.</w:t>
      </w:r>
    </w:p>
  </w:footnote>
  <w:footnote w:id="235">
    <w:p w14:paraId="002BF69E" w14:textId="4A90A340" w:rsidR="00433B76" w:rsidRDefault="00433B76" w:rsidP="0044227B">
      <w:pPr>
        <w:pStyle w:val="Textpoznpodarou"/>
        <w:tabs>
          <w:tab w:val="clear" w:pos="425"/>
          <w:tab w:val="left" w:pos="426"/>
        </w:tabs>
        <w:spacing w:before="0"/>
        <w:ind w:left="0" w:firstLine="0"/>
      </w:pPr>
      <w:r>
        <w:rPr>
          <w:rStyle w:val="Znakapoznpodarou"/>
        </w:rPr>
        <w:t>1d)</w:t>
      </w:r>
      <w:r>
        <w:t xml:space="preserve"> </w:t>
      </w:r>
      <w:r w:rsidRPr="0044227B">
        <w:t>Zákon č. 106/1999 Sb., o svobodném přístupu k informacím, ve znění pozdějších předpisů.</w:t>
      </w:r>
    </w:p>
  </w:footnote>
  <w:footnote w:id="236">
    <w:p w14:paraId="52348A4E" w14:textId="444C9A5B" w:rsidR="00433B76" w:rsidRDefault="00433B76" w:rsidP="0044227B">
      <w:pPr>
        <w:pStyle w:val="Textpoznpodarou"/>
        <w:tabs>
          <w:tab w:val="clear" w:pos="425"/>
          <w:tab w:val="left" w:pos="426"/>
        </w:tabs>
        <w:spacing w:before="0"/>
        <w:ind w:left="0" w:firstLine="0"/>
      </w:pPr>
      <w:r>
        <w:rPr>
          <w:rStyle w:val="Znakapoznpodarou"/>
        </w:rPr>
        <w:t>1e)</w:t>
      </w:r>
      <w:r>
        <w:t xml:space="preserve"> </w:t>
      </w:r>
      <w:r w:rsidRPr="0044227B">
        <w:t>Nařízení Evropského parlamentu a Rady (ES) č. 549/2004 ze dne 10. března 2004, kterým se stanoví rámec pro vytvoření jednotného evropského nebe (rámcové nařízení).</w:t>
      </w:r>
    </w:p>
  </w:footnote>
  <w:footnote w:id="237">
    <w:p w14:paraId="47FD9346" w14:textId="08C0CA88" w:rsidR="00433B76" w:rsidRDefault="00433B76" w:rsidP="0044227B">
      <w:pPr>
        <w:pStyle w:val="Textpoznpodarou"/>
        <w:tabs>
          <w:tab w:val="clear" w:pos="425"/>
          <w:tab w:val="left" w:pos="426"/>
        </w:tabs>
        <w:spacing w:before="0"/>
        <w:ind w:left="0" w:firstLine="0"/>
      </w:pPr>
      <w:r>
        <w:rPr>
          <w:rStyle w:val="Znakapoznpodarou"/>
        </w:rPr>
        <w:t>1f)</w:t>
      </w:r>
      <w:r>
        <w:t xml:space="preserve"> </w:t>
      </w:r>
      <w:r w:rsidRPr="0044227B">
        <w:t>Nařízení Evropského parlamentu a Rady (ES) č. 552/2004 ze dne 10. března 2004 o interoperabilitě Evropské sítě řízení letového provozu (nařízení o interoperabilitě).</w:t>
      </w:r>
    </w:p>
  </w:footnote>
  <w:footnote w:id="238">
    <w:p w14:paraId="514111E0" w14:textId="53FA509B" w:rsidR="00433B76" w:rsidRDefault="00433B76" w:rsidP="0044146B">
      <w:pPr>
        <w:pStyle w:val="Textpoznpodarou"/>
        <w:tabs>
          <w:tab w:val="clear" w:pos="425"/>
          <w:tab w:val="left" w:pos="426"/>
        </w:tabs>
        <w:spacing w:before="0"/>
        <w:ind w:left="0" w:firstLine="0"/>
      </w:pPr>
      <w:r>
        <w:rPr>
          <w:rStyle w:val="Znakapoznpodarou"/>
        </w:rPr>
        <w:t>1g)</w:t>
      </w:r>
      <w:r>
        <w:t xml:space="preserve"> </w:t>
      </w:r>
      <w:r w:rsidRPr="0044146B">
        <w:t>Nařízení Evropského parlamentu a Rady (ES) č. 261/2004 ze dne 11. února 2004, kterým se stanoví společná pravidla náhrad a pomoci cestujícím v letecké dopravě v případě odepření nástupu na palubu, zrušení nebo významného zpoždění letu a kterým se zrušuje nařízení (EHS) č. 295/91.</w:t>
      </w:r>
    </w:p>
  </w:footnote>
  <w:footnote w:id="239">
    <w:p w14:paraId="536A6AC9" w14:textId="2095F359" w:rsidR="00433B76" w:rsidRDefault="00433B76" w:rsidP="0044146B">
      <w:pPr>
        <w:pStyle w:val="Textpoznpodarou"/>
        <w:tabs>
          <w:tab w:val="clear" w:pos="425"/>
          <w:tab w:val="left" w:pos="426"/>
        </w:tabs>
        <w:spacing w:before="0"/>
        <w:ind w:left="0" w:firstLine="0"/>
      </w:pPr>
      <w:r>
        <w:rPr>
          <w:rStyle w:val="Znakapoznpodarou"/>
        </w:rPr>
        <w:t>1h)</w:t>
      </w:r>
      <w:r>
        <w:t xml:space="preserve"> </w:t>
      </w:r>
      <w:r w:rsidRPr="0044146B">
        <w:t>Nařízení Evropského parlamentu a Rady (ES) č. 1107/2006 ze dne 5. prosince 2006 o právech osob se zdravotním postižením a osob s omezenou schopností pohybu a orientace v letecké dopravě.</w:t>
      </w:r>
    </w:p>
  </w:footnote>
  <w:footnote w:id="240">
    <w:p w14:paraId="216B4C94" w14:textId="0F7C93CB" w:rsidR="00433B76" w:rsidRDefault="00433B76" w:rsidP="0044146B">
      <w:pPr>
        <w:pStyle w:val="Textpoznpodarou"/>
        <w:tabs>
          <w:tab w:val="clear" w:pos="425"/>
          <w:tab w:val="left" w:pos="426"/>
        </w:tabs>
        <w:spacing w:before="0"/>
        <w:ind w:left="0" w:firstLine="0"/>
      </w:pPr>
      <w:r>
        <w:rPr>
          <w:rStyle w:val="Znakapoznpodarou"/>
        </w:rPr>
        <w:t>1i)</w:t>
      </w:r>
      <w:r>
        <w:t xml:space="preserve"> </w:t>
      </w:r>
      <w:r w:rsidRPr="0044146B">
        <w:t>Nařízení Evropského parlamentu a Rady (ES) č. 2111/2005 ze dne 14. prosince 2005 o vytvoření seznamu Společenství uvádějícího letecké dopravce, kteří podléhají zákazu provozování letecké dopravy ve Společenství, o informování cestujících v letecké dopravě o totožnosti provozujícího leteckého dopravce a o zrušení článku 9 Směrnice 2004/36/ES.</w:t>
      </w:r>
    </w:p>
  </w:footnote>
  <w:footnote w:id="241">
    <w:p w14:paraId="182CDB94" w14:textId="77777777" w:rsidR="00433B76" w:rsidRDefault="00433B76" w:rsidP="00075A7A">
      <w:pPr>
        <w:pStyle w:val="Textpoznpodarou"/>
        <w:spacing w:before="0"/>
        <w:rPr>
          <w:strike/>
        </w:rPr>
      </w:pPr>
      <w:r w:rsidRPr="00075A7A">
        <w:rPr>
          <w:rStyle w:val="Znakapoznpodarou"/>
          <w:strike/>
        </w:rPr>
        <w:t>2)</w:t>
      </w:r>
      <w:r>
        <w:t xml:space="preserve"> </w:t>
      </w:r>
      <w:r w:rsidRPr="001B784C">
        <w:rPr>
          <w:strike/>
        </w:rPr>
        <w:t>§ 25 odst. 6 zákona č. 563/1991 Sb., o účetnictví, ve znění pozdějších předpisů.</w:t>
      </w:r>
    </w:p>
    <w:p w14:paraId="2F4C3711" w14:textId="0BF07484" w:rsidR="00433B76" w:rsidRDefault="00433B76" w:rsidP="00075A7A">
      <w:pPr>
        <w:pStyle w:val="Textpoznpodarou"/>
        <w:spacing w:before="0"/>
      </w:pPr>
      <w:r w:rsidRPr="00D6341B">
        <w:rPr>
          <w:b/>
          <w:bCs/>
          <w:vertAlign w:val="superscript"/>
        </w:rPr>
        <w:t xml:space="preserve">2) </w:t>
      </w:r>
      <w:r w:rsidRPr="00D6341B">
        <w:rPr>
          <w:b/>
          <w:bCs/>
        </w:rPr>
        <w:t>Zákon č. ………/2024 Sb., o účetnictví.</w:t>
      </w:r>
    </w:p>
  </w:footnote>
  <w:footnote w:id="242">
    <w:p w14:paraId="082458F7" w14:textId="0836C11B" w:rsidR="00433B76" w:rsidRDefault="00433B76">
      <w:pPr>
        <w:pStyle w:val="Textpoznpodarou"/>
      </w:pPr>
      <w:r>
        <w:rPr>
          <w:rStyle w:val="Znakapoznpodarou"/>
        </w:rPr>
        <w:t>3)</w:t>
      </w:r>
      <w:r>
        <w:t xml:space="preserve"> </w:t>
      </w:r>
      <w:r w:rsidRPr="003951E4">
        <w:t>§ 126 odst. 1 zákona č. 89/2012 Sb., občanský zákoník.</w:t>
      </w:r>
    </w:p>
  </w:footnote>
  <w:footnote w:id="243">
    <w:p w14:paraId="68A0F940" w14:textId="1325719C" w:rsidR="00433B76" w:rsidRDefault="00433B76" w:rsidP="001F34DF">
      <w:pPr>
        <w:pStyle w:val="Textpoznpodarou"/>
        <w:spacing w:before="0"/>
      </w:pPr>
      <w:r>
        <w:rPr>
          <w:rStyle w:val="Znakapoznpodarou"/>
        </w:rPr>
        <w:t>10)</w:t>
      </w:r>
      <w:r>
        <w:t xml:space="preserve"> </w:t>
      </w:r>
      <w:r w:rsidRPr="001E080D">
        <w:t>Zákon č. 262/2006 Sb., zákoník práce, ve znění pozdějších předpisů.</w:t>
      </w:r>
    </w:p>
  </w:footnote>
  <w:footnote w:id="244">
    <w:p w14:paraId="35CD42A1" w14:textId="5C8EC065" w:rsidR="00433B76" w:rsidRDefault="00433B76" w:rsidP="001F34DF">
      <w:pPr>
        <w:pStyle w:val="Textpoznpodarou"/>
        <w:spacing w:before="0"/>
      </w:pPr>
      <w:r>
        <w:rPr>
          <w:rStyle w:val="Znakapoznpodarou"/>
        </w:rPr>
        <w:t>11)</w:t>
      </w:r>
      <w:r>
        <w:t xml:space="preserve"> </w:t>
      </w:r>
      <w:r w:rsidRPr="001F34DF">
        <w:t xml:space="preserve">Zákon č. 255/2012 Sb., o </w:t>
      </w:r>
      <w:proofErr w:type="spellStart"/>
      <w:r w:rsidRPr="001F34DF">
        <w:t>kotrole</w:t>
      </w:r>
      <w:proofErr w:type="spellEnd"/>
      <w:r w:rsidRPr="001F34DF">
        <w:t xml:space="preserve"> (kontrolní řád).</w:t>
      </w:r>
    </w:p>
  </w:footnote>
  <w:footnote w:id="245">
    <w:p w14:paraId="4BDC556E" w14:textId="3CF45233" w:rsidR="00433B76" w:rsidRDefault="00433B76" w:rsidP="00D031FB">
      <w:pPr>
        <w:pStyle w:val="Textpoznpodarou"/>
        <w:tabs>
          <w:tab w:val="clear" w:pos="425"/>
          <w:tab w:val="left" w:pos="426"/>
        </w:tabs>
        <w:spacing w:before="0"/>
        <w:ind w:left="0" w:firstLine="0"/>
      </w:pPr>
      <w:r>
        <w:rPr>
          <w:rStyle w:val="Znakapoznpodarou"/>
        </w:rPr>
        <w:t>28)</w:t>
      </w:r>
      <w:r>
        <w:t xml:space="preserve"> </w:t>
      </w:r>
      <w:r w:rsidRPr="00D031FB">
        <w:t>Zákon č. 526/1990 Sb., o cenách, ve znění pozdějších předpisů.</w:t>
      </w:r>
    </w:p>
  </w:footnote>
  <w:footnote w:id="246">
    <w:p w14:paraId="4105B6B0" w14:textId="02FC8CCF" w:rsidR="00433B76" w:rsidRDefault="00433B76" w:rsidP="00D031FB">
      <w:pPr>
        <w:pStyle w:val="Textpoznpodarou"/>
        <w:tabs>
          <w:tab w:val="clear" w:pos="425"/>
          <w:tab w:val="left" w:pos="426"/>
        </w:tabs>
        <w:spacing w:before="0"/>
        <w:ind w:left="0" w:firstLine="0"/>
      </w:pPr>
      <w:r>
        <w:rPr>
          <w:rStyle w:val="Znakapoznpodarou"/>
        </w:rPr>
        <w:t>29)</w:t>
      </w:r>
      <w:r>
        <w:t xml:space="preserve"> </w:t>
      </w:r>
      <w:r w:rsidRPr="00D031FB">
        <w:t>Zákon č. 151/1997 Sb., o oceňování majetku a o změně některých zákonů (zákon o oceňování majetku), ve znění pozdějších předpisů.</w:t>
      </w:r>
    </w:p>
  </w:footnote>
  <w:footnote w:id="247">
    <w:p w14:paraId="65A5988E" w14:textId="77777777" w:rsidR="00433B76" w:rsidRPr="00103411" w:rsidRDefault="00433B76" w:rsidP="005B0A10">
      <w:pPr>
        <w:pStyle w:val="Textpoznpodarou"/>
        <w:tabs>
          <w:tab w:val="clear" w:pos="425"/>
          <w:tab w:val="left" w:pos="426"/>
        </w:tabs>
        <w:spacing w:before="0"/>
        <w:ind w:left="0" w:firstLine="0"/>
        <w:rPr>
          <w:strike/>
        </w:rPr>
      </w:pPr>
      <w:r w:rsidRPr="005B0A10">
        <w:rPr>
          <w:rStyle w:val="Znakapoznpodarou"/>
          <w:strike/>
        </w:rPr>
        <w:t>1)</w:t>
      </w:r>
      <w:r w:rsidRPr="005B0A10">
        <w:rPr>
          <w:strike/>
        </w:rPr>
        <w:t xml:space="preserve"> </w:t>
      </w:r>
      <w:hyperlink r:id="rId6" w:history="1">
        <w:r w:rsidRPr="00103411">
          <w:rPr>
            <w:strike/>
          </w:rPr>
          <w:t>§ 18 odst. 2 zákona č. 248/1992 Sb.</w:t>
        </w:r>
      </w:hyperlink>
      <w:r w:rsidRPr="00103411">
        <w:rPr>
          <w:strike/>
        </w:rPr>
        <w:t xml:space="preserve">, o investičních společnostech a investičních fondech. </w:t>
      </w:r>
    </w:p>
    <w:p w14:paraId="1CDA7DC5" w14:textId="77777777" w:rsidR="00433B76" w:rsidRPr="00103411" w:rsidRDefault="00433B76" w:rsidP="005B0A10">
      <w:pPr>
        <w:widowControl w:val="0"/>
        <w:tabs>
          <w:tab w:val="left" w:pos="426"/>
        </w:tabs>
        <w:autoSpaceDE w:val="0"/>
        <w:autoSpaceDN w:val="0"/>
        <w:adjustRightInd w:val="0"/>
        <w:spacing w:before="0"/>
        <w:ind w:firstLine="0"/>
        <w:rPr>
          <w:strike/>
          <w:sz w:val="20"/>
        </w:rPr>
      </w:pPr>
      <w:hyperlink r:id="rId7" w:history="1">
        <w:r w:rsidRPr="00103411">
          <w:rPr>
            <w:strike/>
            <w:sz w:val="20"/>
          </w:rPr>
          <w:t>§ 5 odst. 2 zákona ČNR č. 338/1992 Sb.</w:t>
        </w:r>
      </w:hyperlink>
      <w:r w:rsidRPr="00103411">
        <w:rPr>
          <w:strike/>
          <w:sz w:val="20"/>
        </w:rPr>
        <w:t xml:space="preserve">, o dani z nemovitostí, ve znění zákona č. </w:t>
      </w:r>
      <w:hyperlink r:id="rId8" w:history="1">
        <w:r w:rsidRPr="00103411">
          <w:rPr>
            <w:strike/>
            <w:sz w:val="20"/>
          </w:rPr>
          <w:t>242/1994 Sb.</w:t>
        </w:r>
      </w:hyperlink>
      <w:r w:rsidRPr="00103411">
        <w:rPr>
          <w:strike/>
          <w:sz w:val="20"/>
        </w:rPr>
        <w:t xml:space="preserve"> </w:t>
      </w:r>
    </w:p>
    <w:p w14:paraId="05179D8D" w14:textId="77777777" w:rsidR="00433B76" w:rsidRPr="00103411" w:rsidRDefault="00433B76" w:rsidP="005B0A10">
      <w:pPr>
        <w:widowControl w:val="0"/>
        <w:tabs>
          <w:tab w:val="left" w:pos="426"/>
        </w:tabs>
        <w:autoSpaceDE w:val="0"/>
        <w:autoSpaceDN w:val="0"/>
        <w:adjustRightInd w:val="0"/>
        <w:spacing w:before="0"/>
        <w:ind w:firstLine="0"/>
        <w:rPr>
          <w:strike/>
          <w:sz w:val="20"/>
        </w:rPr>
      </w:pPr>
      <w:hyperlink r:id="rId9" w:history="1">
        <w:r w:rsidRPr="00103411">
          <w:rPr>
            <w:strike/>
            <w:sz w:val="20"/>
          </w:rPr>
          <w:t>§ 33 zákona č. 42/1994 Sb.</w:t>
        </w:r>
      </w:hyperlink>
      <w:r w:rsidRPr="00103411">
        <w:rPr>
          <w:strike/>
          <w:sz w:val="20"/>
        </w:rPr>
        <w:t xml:space="preserve">, o penzijním připojištění se státním příspěvkem a o změnách některých zákonů souvisejících s jeho zavedením. </w:t>
      </w:r>
    </w:p>
    <w:p w14:paraId="7603D96D" w14:textId="77777777" w:rsidR="00433B76" w:rsidRPr="00103411" w:rsidRDefault="00433B76" w:rsidP="005B0A10">
      <w:pPr>
        <w:widowControl w:val="0"/>
        <w:tabs>
          <w:tab w:val="left" w:pos="426"/>
        </w:tabs>
        <w:autoSpaceDE w:val="0"/>
        <w:autoSpaceDN w:val="0"/>
        <w:adjustRightInd w:val="0"/>
        <w:spacing w:before="0"/>
        <w:ind w:firstLine="0"/>
        <w:rPr>
          <w:strike/>
          <w:sz w:val="20"/>
        </w:rPr>
      </w:pPr>
      <w:hyperlink r:id="rId10" w:history="1">
        <w:r w:rsidRPr="00103411">
          <w:rPr>
            <w:strike/>
            <w:sz w:val="20"/>
          </w:rPr>
          <w:t>§ 2 odst. 1</w:t>
        </w:r>
      </w:hyperlink>
      <w:r w:rsidRPr="00103411">
        <w:rPr>
          <w:strike/>
          <w:sz w:val="20"/>
        </w:rPr>
        <w:t xml:space="preserve"> a </w:t>
      </w:r>
      <w:hyperlink r:id="rId11" w:history="1">
        <w:r w:rsidRPr="00103411">
          <w:rPr>
            <w:strike/>
            <w:sz w:val="20"/>
          </w:rPr>
          <w:t>3</w:t>
        </w:r>
      </w:hyperlink>
      <w:r w:rsidRPr="00103411">
        <w:rPr>
          <w:strike/>
          <w:sz w:val="20"/>
        </w:rPr>
        <w:t xml:space="preserve"> vyhlášky Federálního ministerstva financí č. </w:t>
      </w:r>
      <w:hyperlink r:id="rId12" w:history="1">
        <w:r w:rsidRPr="00103411">
          <w:rPr>
            <w:strike/>
            <w:sz w:val="20"/>
          </w:rPr>
          <w:t>122/1984 Sb.</w:t>
        </w:r>
      </w:hyperlink>
      <w:r w:rsidRPr="00103411">
        <w:rPr>
          <w:strike/>
          <w:sz w:val="20"/>
        </w:rPr>
        <w:t xml:space="preserve">, o náhradách při vyvlastnění staveb, pozemků, porostů a práv k nim. </w:t>
      </w:r>
    </w:p>
    <w:p w14:paraId="0CB91513" w14:textId="77777777" w:rsidR="00433B76" w:rsidRPr="00103411" w:rsidRDefault="00433B76" w:rsidP="008772EA">
      <w:pPr>
        <w:widowControl w:val="0"/>
        <w:tabs>
          <w:tab w:val="left" w:pos="426"/>
        </w:tabs>
        <w:autoSpaceDE w:val="0"/>
        <w:autoSpaceDN w:val="0"/>
        <w:adjustRightInd w:val="0"/>
        <w:spacing w:before="0"/>
        <w:ind w:firstLine="0"/>
        <w:rPr>
          <w:strike/>
          <w:sz w:val="20"/>
        </w:rPr>
      </w:pPr>
      <w:hyperlink r:id="rId13" w:history="1">
        <w:r w:rsidRPr="00103411">
          <w:rPr>
            <w:strike/>
            <w:sz w:val="20"/>
          </w:rPr>
          <w:t>§ 3</w:t>
        </w:r>
      </w:hyperlink>
      <w:r w:rsidRPr="00103411">
        <w:rPr>
          <w:strike/>
          <w:sz w:val="20"/>
        </w:rPr>
        <w:t xml:space="preserve"> vyhlášky Ministerstva spravedlnosti ČR č. </w:t>
      </w:r>
      <w:hyperlink r:id="rId14" w:history="1">
        <w:r w:rsidRPr="00103411">
          <w:rPr>
            <w:strike/>
            <w:sz w:val="20"/>
          </w:rPr>
          <w:t>612/1992 Sb.</w:t>
        </w:r>
      </w:hyperlink>
      <w:r w:rsidRPr="00103411">
        <w:rPr>
          <w:strike/>
          <w:sz w:val="20"/>
        </w:rPr>
        <w:t xml:space="preserve">, o odměnách notářů a správců dědictví. </w:t>
      </w:r>
    </w:p>
    <w:p w14:paraId="6385B293" w14:textId="336A31BA" w:rsidR="00433B76" w:rsidRDefault="00433B76" w:rsidP="008772EA">
      <w:pPr>
        <w:pStyle w:val="Textpoznpodarou"/>
        <w:spacing w:before="0"/>
        <w:ind w:left="0" w:firstLine="0"/>
      </w:pPr>
      <w:hyperlink r:id="rId15" w:history="1">
        <w:r w:rsidRPr="00103411">
          <w:rPr>
            <w:strike/>
          </w:rPr>
          <w:t>§ 2</w:t>
        </w:r>
      </w:hyperlink>
      <w:r w:rsidRPr="00103411">
        <w:rPr>
          <w:strike/>
        </w:rPr>
        <w:t xml:space="preserve">, </w:t>
      </w:r>
      <w:hyperlink r:id="rId16" w:history="1">
        <w:r w:rsidRPr="00103411">
          <w:rPr>
            <w:strike/>
          </w:rPr>
          <w:t>4 až 9</w:t>
        </w:r>
      </w:hyperlink>
      <w:r w:rsidRPr="00103411">
        <w:rPr>
          <w:strike/>
        </w:rPr>
        <w:t xml:space="preserve"> vyhlášky Ministerstva zemědělství č. </w:t>
      </w:r>
      <w:hyperlink r:id="rId17" w:history="1">
        <w:r w:rsidRPr="00103411">
          <w:rPr>
            <w:strike/>
          </w:rPr>
          <w:t>81/1996 Sb.</w:t>
        </w:r>
      </w:hyperlink>
      <w:r w:rsidRPr="00103411">
        <w:rPr>
          <w:strike/>
        </w:rPr>
        <w:t>, o způsobu výpočtu výše újmy nebo škody způsobené</w:t>
      </w:r>
      <w:r>
        <w:rPr>
          <w:strike/>
        </w:rPr>
        <w:t xml:space="preserve"> na produkčních funkcích lesa.</w:t>
      </w:r>
    </w:p>
  </w:footnote>
  <w:footnote w:id="248">
    <w:p w14:paraId="494C51F8" w14:textId="40ED8782" w:rsidR="00433B76" w:rsidRDefault="00433B76" w:rsidP="008772EA">
      <w:pPr>
        <w:pStyle w:val="Textpoznpodarou"/>
        <w:spacing w:before="0"/>
        <w:ind w:left="0" w:firstLine="0"/>
      </w:pPr>
      <w:r w:rsidRPr="008772EA">
        <w:rPr>
          <w:rStyle w:val="Znakapoznpodarou"/>
          <w:strike/>
        </w:rPr>
        <w:t>2)</w:t>
      </w:r>
      <w:r w:rsidRPr="008772EA">
        <w:rPr>
          <w:strike/>
        </w:rPr>
        <w:t xml:space="preserve"> </w:t>
      </w:r>
      <w:r w:rsidRPr="0094102C">
        <w:rPr>
          <w:strike/>
        </w:rPr>
        <w:t xml:space="preserve">Zákon č. </w:t>
      </w:r>
      <w:hyperlink r:id="rId18" w:history="1">
        <w:r w:rsidRPr="0094102C">
          <w:rPr>
            <w:strike/>
          </w:rPr>
          <w:t>526/1990 Sb.</w:t>
        </w:r>
      </w:hyperlink>
      <w:r w:rsidRPr="0094102C">
        <w:rPr>
          <w:strike/>
        </w:rPr>
        <w:t xml:space="preserve">, o cenách, ve znění zákona č. </w:t>
      </w:r>
      <w:hyperlink r:id="rId19" w:history="1">
        <w:r w:rsidRPr="0094102C">
          <w:rPr>
            <w:strike/>
          </w:rPr>
          <w:t>135/1994 Sb.</w:t>
        </w:r>
      </w:hyperlink>
    </w:p>
  </w:footnote>
  <w:footnote w:id="249">
    <w:p w14:paraId="2C2E6C6C" w14:textId="725C305E" w:rsidR="00433B76" w:rsidRDefault="00433B76" w:rsidP="008772EA">
      <w:pPr>
        <w:pStyle w:val="Textpoznpodarou"/>
        <w:spacing w:before="0"/>
        <w:ind w:left="0" w:firstLine="0"/>
      </w:pPr>
      <w:r w:rsidRPr="008772EA">
        <w:rPr>
          <w:rStyle w:val="Znakapoznpodarou"/>
          <w:strike/>
        </w:rPr>
        <w:t>3)</w:t>
      </w:r>
      <w:r w:rsidRPr="008772EA">
        <w:rPr>
          <w:strike/>
        </w:rPr>
        <w:t xml:space="preserve"> Např</w:t>
      </w:r>
      <w:r w:rsidRPr="00F92AF0">
        <w:rPr>
          <w:strike/>
        </w:rPr>
        <w:t xml:space="preserve">. </w:t>
      </w:r>
      <w:hyperlink r:id="rId20" w:history="1">
        <w:r w:rsidRPr="00F92AF0">
          <w:rPr>
            <w:strike/>
          </w:rPr>
          <w:t>§ 24 až 26 zákona č. 563/1991 Sb.</w:t>
        </w:r>
      </w:hyperlink>
      <w:r w:rsidRPr="00F92AF0">
        <w:rPr>
          <w:strike/>
        </w:rPr>
        <w:t xml:space="preserve">, o účetnictví, nařízení vlády ČR č. </w:t>
      </w:r>
      <w:hyperlink r:id="rId21" w:history="1">
        <w:r w:rsidRPr="00F92AF0">
          <w:rPr>
            <w:strike/>
          </w:rPr>
          <w:t>20/1992 Sb.</w:t>
        </w:r>
      </w:hyperlink>
      <w:r w:rsidRPr="00F92AF0">
        <w:rPr>
          <w:strike/>
        </w:rPr>
        <w:t xml:space="preserve">, kterým se stanoví způsob výpočtu výše náhrad za živý a mrtvý inventář a zásoby, ve znění nařízení vlády ČR č. </w:t>
      </w:r>
      <w:hyperlink r:id="rId22" w:history="1">
        <w:r w:rsidRPr="00F92AF0">
          <w:rPr>
            <w:strike/>
          </w:rPr>
          <w:t>57/1993 Sb.</w:t>
        </w:r>
      </w:hyperlink>
      <w:r w:rsidRPr="00F92AF0">
        <w:rPr>
          <w:strike/>
        </w:rPr>
        <w:t xml:space="preserve">, </w:t>
      </w:r>
      <w:hyperlink r:id="rId23" w:history="1">
        <w:r w:rsidRPr="00F92AF0">
          <w:rPr>
            <w:strike/>
          </w:rPr>
          <w:t>§ 5 odst. 1 zákona ČNR č. 338/1992 Sb.</w:t>
        </w:r>
      </w:hyperlink>
      <w:r w:rsidRPr="00F92AF0">
        <w:rPr>
          <w:strike/>
        </w:rPr>
        <w:t xml:space="preserve">, ve znění zákona č. </w:t>
      </w:r>
      <w:hyperlink r:id="rId24" w:history="1">
        <w:r w:rsidRPr="00F92AF0">
          <w:rPr>
            <w:strike/>
          </w:rPr>
          <w:t>315/1993 Sb.</w:t>
        </w:r>
      </w:hyperlink>
      <w:r w:rsidRPr="00F92AF0">
        <w:rPr>
          <w:strike/>
        </w:rPr>
        <w:t xml:space="preserve">, </w:t>
      </w:r>
      <w:hyperlink r:id="rId25" w:history="1">
        <w:r w:rsidRPr="00F92AF0">
          <w:rPr>
            <w:strike/>
          </w:rPr>
          <w:t>§ 24</w:t>
        </w:r>
      </w:hyperlink>
      <w:r w:rsidRPr="00F92AF0">
        <w:rPr>
          <w:strike/>
        </w:rPr>
        <w:t xml:space="preserve">, </w:t>
      </w:r>
      <w:hyperlink r:id="rId26" w:history="1">
        <w:r w:rsidRPr="00F92AF0">
          <w:rPr>
            <w:strike/>
          </w:rPr>
          <w:t>§ 29 odst. 1 písm. a) až c)</w:t>
        </w:r>
      </w:hyperlink>
      <w:r w:rsidRPr="00F92AF0">
        <w:rPr>
          <w:strike/>
        </w:rPr>
        <w:t xml:space="preserve"> zákona ČNR č. </w:t>
      </w:r>
      <w:hyperlink r:id="rId27" w:history="1">
        <w:r w:rsidRPr="00F92AF0">
          <w:rPr>
            <w:strike/>
          </w:rPr>
          <w:t>586/1992 Sb.</w:t>
        </w:r>
      </w:hyperlink>
      <w:r w:rsidRPr="00F92AF0">
        <w:rPr>
          <w:strike/>
        </w:rPr>
        <w:t xml:space="preserve">, o daních z příjmů, ve znění pozdějších předpisů, vyhláška Ministerstva financí č. </w:t>
      </w:r>
      <w:hyperlink r:id="rId28" w:history="1">
        <w:r w:rsidRPr="00F92AF0">
          <w:rPr>
            <w:strike/>
          </w:rPr>
          <w:t>224/1996 Sb.</w:t>
        </w:r>
      </w:hyperlink>
      <w:r w:rsidRPr="00F92AF0">
        <w:rPr>
          <w:strike/>
        </w:rPr>
        <w:t>, o výpočtu hodnoty cenných papírů v majetku v podílovém fondu nebo majetku investičního fondu.</w:t>
      </w:r>
    </w:p>
  </w:footnote>
  <w:footnote w:id="250">
    <w:p w14:paraId="63363239" w14:textId="77777777" w:rsidR="00433B76" w:rsidRPr="00865056" w:rsidRDefault="00433B76" w:rsidP="008772EA">
      <w:pPr>
        <w:pStyle w:val="Textpoznpodarou"/>
        <w:spacing w:before="0"/>
        <w:ind w:left="0" w:firstLine="0"/>
        <w:rPr>
          <w:strike/>
        </w:rPr>
      </w:pPr>
      <w:r w:rsidRPr="008772EA">
        <w:rPr>
          <w:rStyle w:val="Znakapoznpodarou"/>
          <w:strike/>
        </w:rPr>
        <w:t>4)</w:t>
      </w:r>
      <w:r w:rsidRPr="008772EA">
        <w:rPr>
          <w:strike/>
        </w:rPr>
        <w:t xml:space="preserve"> Zákon</w:t>
      </w:r>
      <w:r w:rsidRPr="00865056">
        <w:rPr>
          <w:strike/>
        </w:rPr>
        <w:t xml:space="preserve"> č. </w:t>
      </w:r>
      <w:hyperlink r:id="rId29" w:history="1">
        <w:r w:rsidRPr="00865056">
          <w:rPr>
            <w:strike/>
          </w:rPr>
          <w:t>92/1991 Sb.</w:t>
        </w:r>
      </w:hyperlink>
      <w:r w:rsidRPr="00865056">
        <w:rPr>
          <w:strike/>
        </w:rPr>
        <w:t xml:space="preserve">, o podmínkách převodu majetku státu na jiné osoby, ve znění pozdějších předpisů. </w:t>
      </w:r>
    </w:p>
    <w:p w14:paraId="774F5E68" w14:textId="31319298" w:rsidR="00433B76" w:rsidRDefault="00433B76" w:rsidP="008772EA">
      <w:pPr>
        <w:pStyle w:val="Textpoznpodarou"/>
        <w:spacing w:before="0"/>
        <w:ind w:left="0" w:firstLine="0"/>
      </w:pPr>
      <w:hyperlink r:id="rId30" w:history="1">
        <w:r w:rsidRPr="00865056">
          <w:rPr>
            <w:strike/>
          </w:rPr>
          <w:t>§ 11</w:t>
        </w:r>
      </w:hyperlink>
      <w:r w:rsidRPr="00865056">
        <w:rPr>
          <w:strike/>
        </w:rPr>
        <w:t xml:space="preserve"> a </w:t>
      </w:r>
      <w:hyperlink r:id="rId31" w:history="1">
        <w:r w:rsidRPr="00865056">
          <w:rPr>
            <w:strike/>
          </w:rPr>
          <w:t>28a zákona č. 229/1991 Sb.</w:t>
        </w:r>
      </w:hyperlink>
      <w:r w:rsidRPr="00865056">
        <w:rPr>
          <w:strike/>
        </w:rPr>
        <w:t>, o úpravě vlastnických vztahů k půdě a jinému zemědělskému majetku,</w:t>
      </w:r>
      <w:r>
        <w:rPr>
          <w:strike/>
        </w:rPr>
        <w:t xml:space="preserve"> ve znění pozdějších předpisů.</w:t>
      </w:r>
    </w:p>
  </w:footnote>
  <w:footnote w:id="251">
    <w:p w14:paraId="25A2C6C2" w14:textId="52F50119" w:rsidR="00433B76" w:rsidRDefault="00433B76">
      <w:pPr>
        <w:pStyle w:val="Textpoznpodarou"/>
      </w:pPr>
      <w:r>
        <w:rPr>
          <w:rStyle w:val="Znakapoznpodarou"/>
        </w:rPr>
        <w:t>21)</w:t>
      </w:r>
      <w:r>
        <w:t xml:space="preserve"> </w:t>
      </w:r>
      <w:r w:rsidRPr="001F6568">
        <w:rPr>
          <w:szCs w:val="24"/>
        </w:rPr>
        <w:t>§ 489 a následující zákona č. 89/2012 Sb., občanský zákoník, ve znění pozdějších předpisů</w:t>
      </w:r>
      <w:r>
        <w:rPr>
          <w:szCs w:val="24"/>
        </w:rPr>
        <w:t>.</w:t>
      </w:r>
    </w:p>
  </w:footnote>
  <w:footnote w:id="252">
    <w:p w14:paraId="2F76F050" w14:textId="6EFF6332" w:rsidR="00433B76" w:rsidRDefault="00433B76" w:rsidP="002B2E2D">
      <w:pPr>
        <w:pStyle w:val="Textpoznpodarou"/>
        <w:tabs>
          <w:tab w:val="clear" w:pos="425"/>
          <w:tab w:val="left" w:pos="426"/>
        </w:tabs>
        <w:spacing w:before="0"/>
        <w:ind w:left="0" w:firstLine="0"/>
      </w:pPr>
      <w:r>
        <w:rPr>
          <w:rStyle w:val="Znakapoznpodarou"/>
        </w:rPr>
        <w:t>11)</w:t>
      </w:r>
      <w:r>
        <w:t xml:space="preserve"> </w:t>
      </w:r>
      <w:r w:rsidRPr="002B2E2D">
        <w:t>§ 18 a 19 zákona č. 138/1973 Sb., o vodách (vodní zákon). § 14 zákona ČNR č. 114/1992 Sb., o ochraně přírody a krajiny.</w:t>
      </w:r>
    </w:p>
  </w:footnote>
  <w:footnote w:id="253">
    <w:p w14:paraId="7EBBF613" w14:textId="76D72FA8" w:rsidR="00433B76" w:rsidRDefault="00433B76" w:rsidP="002B2E2D">
      <w:pPr>
        <w:pStyle w:val="Textpoznpodarou"/>
        <w:tabs>
          <w:tab w:val="clear" w:pos="425"/>
          <w:tab w:val="left" w:pos="426"/>
        </w:tabs>
        <w:spacing w:before="0"/>
        <w:ind w:left="0" w:firstLine="0"/>
      </w:pPr>
      <w:r>
        <w:rPr>
          <w:rStyle w:val="Znakapoznpodarou"/>
        </w:rPr>
        <w:t>12)</w:t>
      </w:r>
      <w:r>
        <w:t xml:space="preserve"> Příloha č. 1 kód 10 vyhlášky Českého úřadu zeměměřického a katastrálního č. 190/1996 Sb.</w:t>
      </w:r>
    </w:p>
    <w:p w14:paraId="22B62633" w14:textId="0BDC3469" w:rsidR="00433B76" w:rsidRDefault="00433B76" w:rsidP="002B2E2D">
      <w:pPr>
        <w:pStyle w:val="Textpoznpodarou"/>
        <w:tabs>
          <w:tab w:val="clear" w:pos="425"/>
          <w:tab w:val="left" w:pos="426"/>
        </w:tabs>
        <w:spacing w:before="0"/>
        <w:ind w:left="0" w:firstLine="0"/>
      </w:pPr>
      <w:r>
        <w:t>§ 1 vyhlášky Ministerstva zemědělství č. 84/1996 Sb., o lesním hospodářském plánování.</w:t>
      </w:r>
    </w:p>
  </w:footnote>
  <w:footnote w:id="254">
    <w:p w14:paraId="28E953DB" w14:textId="1565566B" w:rsidR="00433B76" w:rsidRDefault="00433B76" w:rsidP="002B2E2D">
      <w:pPr>
        <w:pStyle w:val="Textpoznpodarou"/>
        <w:tabs>
          <w:tab w:val="clear" w:pos="425"/>
          <w:tab w:val="left" w:pos="426"/>
        </w:tabs>
        <w:spacing w:before="0"/>
        <w:ind w:left="0" w:firstLine="0"/>
      </w:pPr>
      <w:r>
        <w:rPr>
          <w:rStyle w:val="Znakapoznpodarou"/>
        </w:rPr>
        <w:t>13)</w:t>
      </w:r>
      <w:r>
        <w:t xml:space="preserve"> </w:t>
      </w:r>
      <w:r w:rsidRPr="002B2E2D">
        <w:t>§ 6 až 10 zákona č. 289/1995 Sb., o lesích a o změně a doplnění některých zákonů (lesní zákon).</w:t>
      </w:r>
    </w:p>
  </w:footnote>
  <w:footnote w:id="255">
    <w:p w14:paraId="4624D4F9" w14:textId="5EDADADF" w:rsidR="00433B76" w:rsidRDefault="00433B76" w:rsidP="00F1717B">
      <w:pPr>
        <w:pStyle w:val="Textpoznpodarou"/>
        <w:spacing w:before="0"/>
      </w:pPr>
      <w:r>
        <w:rPr>
          <w:rStyle w:val="Znakapoznpodarou"/>
        </w:rPr>
        <w:t>14)</w:t>
      </w:r>
      <w:r>
        <w:t xml:space="preserve"> </w:t>
      </w:r>
      <w:r w:rsidRPr="00742D5C">
        <w:t>§ 2 písm. c) zákona č. 289/1995 Sb.</w:t>
      </w:r>
    </w:p>
  </w:footnote>
  <w:footnote w:id="256">
    <w:p w14:paraId="407A42C0" w14:textId="71A3E264" w:rsidR="00433B76" w:rsidRDefault="00433B76" w:rsidP="00F1717B">
      <w:pPr>
        <w:pStyle w:val="Textpoznpodarou"/>
        <w:spacing w:before="0"/>
      </w:pPr>
      <w:r>
        <w:rPr>
          <w:rStyle w:val="Znakapoznpodarou"/>
        </w:rPr>
        <w:t>15)</w:t>
      </w:r>
      <w:r>
        <w:t xml:space="preserve"> </w:t>
      </w:r>
      <w:r w:rsidRPr="00F1717B">
        <w:t>§ 24 až 27 zákona č. 289/1995 Sb.</w:t>
      </w:r>
    </w:p>
  </w:footnote>
  <w:footnote w:id="257">
    <w:p w14:paraId="07F4ED81" w14:textId="1C3C8494" w:rsidR="00433B76" w:rsidRDefault="00433B76" w:rsidP="00781EB9">
      <w:pPr>
        <w:pStyle w:val="Textpoznpodarou"/>
        <w:tabs>
          <w:tab w:val="clear" w:pos="425"/>
          <w:tab w:val="left" w:pos="426"/>
        </w:tabs>
        <w:spacing w:before="0"/>
        <w:ind w:left="0" w:firstLine="0"/>
      </w:pPr>
      <w:r>
        <w:rPr>
          <w:rStyle w:val="Znakapoznpodarou"/>
        </w:rPr>
        <w:t>16)</w:t>
      </w:r>
      <w:r>
        <w:t xml:space="preserve"> </w:t>
      </w:r>
      <w:r w:rsidRPr="00781EB9">
        <w:t>Např. zákon č. 132/1989 Sb., o ochraně práv k novým odrůdám rostlin a plemenům zvířat, ve znění zákona č. 93/1996 Sb., zákon č. 527/1990 Sb., o vynálezech a průmyslových vzorech a zlepšovacích návrzích, ve znění zákona č. 519/1991 Sb., vyhláška Ministerstva zdravotnictví ČR č. 331/1991 Sb., o osvědčeních na nové způsoby prevence, diagnostiky chorob a léčení lidí, zákon č. 529/1991 Sb., o ochraně topografií polovodičových výrobků, zákon č. 478/1992 Sb., o užitných vzorech.</w:t>
      </w:r>
    </w:p>
  </w:footnote>
  <w:footnote w:id="258">
    <w:p w14:paraId="71F6F69A" w14:textId="62F173A9" w:rsidR="00433B76" w:rsidRDefault="00433B76" w:rsidP="00781EB9">
      <w:pPr>
        <w:pStyle w:val="Textpoznpodarou"/>
        <w:tabs>
          <w:tab w:val="clear" w:pos="425"/>
          <w:tab w:val="left" w:pos="426"/>
        </w:tabs>
        <w:spacing w:before="0"/>
        <w:ind w:left="0" w:firstLine="0"/>
      </w:pPr>
      <w:r>
        <w:rPr>
          <w:rStyle w:val="Znakapoznpodarou"/>
        </w:rPr>
        <w:t>17)</w:t>
      </w:r>
      <w:r>
        <w:t xml:space="preserve"> </w:t>
      </w:r>
      <w:r w:rsidRPr="00781EB9">
        <w:t>Např. zákon č. 159/1973 Sb., o ochraně označení původu výrobků, zákon č. 137/1995 Sb., o ochranných známkách, práva vyplývající z obchodního jména podle § 8 a následujících obchodního zákoníku.</w:t>
      </w:r>
    </w:p>
  </w:footnote>
  <w:footnote w:id="259">
    <w:p w14:paraId="48600450" w14:textId="2509104E" w:rsidR="00433B76" w:rsidRDefault="00433B76" w:rsidP="00781EB9">
      <w:pPr>
        <w:pStyle w:val="Textpoznpodarou"/>
        <w:tabs>
          <w:tab w:val="clear" w:pos="425"/>
          <w:tab w:val="left" w:pos="426"/>
        </w:tabs>
        <w:spacing w:before="0"/>
        <w:ind w:left="0" w:firstLine="0"/>
      </w:pPr>
      <w:r>
        <w:rPr>
          <w:rStyle w:val="Znakapoznpodarou"/>
        </w:rPr>
        <w:t>17a)</w:t>
      </w:r>
      <w:r>
        <w:t xml:space="preserve"> </w:t>
      </w:r>
      <w:r w:rsidRPr="00781EB9">
        <w:t>17a) Zákon č. 121/2000 Sb., o právu autorském, o právech souvisejících s právem autorským a o změně některých zákonů (autorský zákon).</w:t>
      </w:r>
    </w:p>
  </w:footnote>
  <w:footnote w:id="260">
    <w:p w14:paraId="2DCE9DF0" w14:textId="7964DD4D" w:rsidR="00433B76" w:rsidRDefault="00433B76" w:rsidP="00A04ADF">
      <w:pPr>
        <w:pStyle w:val="Textpoznpodarou"/>
        <w:spacing w:before="0"/>
      </w:pPr>
      <w:r>
        <w:rPr>
          <w:rStyle w:val="Znakapoznpodarou"/>
        </w:rPr>
        <w:t>19)</w:t>
      </w:r>
      <w:r>
        <w:t xml:space="preserve"> </w:t>
      </w:r>
      <w:r w:rsidRPr="00A04ADF">
        <w:t>§ 55 odst. 1 zákona č. 256/2004 Sb., o podnikání na kapitálovém trhu, ve znění zákona č. 230/2008 Sb.</w:t>
      </w:r>
    </w:p>
  </w:footnote>
  <w:footnote w:id="261">
    <w:p w14:paraId="2104691F" w14:textId="44F7B3B5" w:rsidR="00433B76" w:rsidRDefault="00433B76" w:rsidP="00A04ADF">
      <w:pPr>
        <w:pStyle w:val="Textpoznpodarou"/>
        <w:spacing w:before="0"/>
      </w:pPr>
      <w:r>
        <w:rPr>
          <w:rStyle w:val="Znakapoznpodarou"/>
        </w:rPr>
        <w:t>20)</w:t>
      </w:r>
      <w:r>
        <w:t xml:space="preserve"> </w:t>
      </w:r>
      <w:r w:rsidRPr="00A04ADF">
        <w:t>§ 55 odst. 3 zákona č. 256/2004 Sb., ve znění zákona č. 230/2008 Sb. a zákona č. 188/2011 Sb.</w:t>
      </w:r>
    </w:p>
  </w:footnote>
  <w:footnote w:id="262">
    <w:p w14:paraId="0EAC6106" w14:textId="77777777" w:rsidR="00433B76" w:rsidRDefault="00433B76" w:rsidP="00393B51">
      <w:pPr>
        <w:pStyle w:val="Textpoznpodarou"/>
        <w:spacing w:before="0"/>
      </w:pPr>
      <w:r>
        <w:rPr>
          <w:rStyle w:val="Znakapoznpodarou"/>
        </w:rPr>
        <w:t>33)</w:t>
      </w:r>
      <w:r>
        <w:t xml:space="preserve"> </w:t>
      </w:r>
      <w:r w:rsidRPr="006262B6">
        <w:t xml:space="preserve">Nařízení Evropského parlamentu a Rady (EU) č. 1093/2010 ze dne 24. listopadu 2010 o zřízení Evropského </w:t>
      </w:r>
    </w:p>
    <w:p w14:paraId="0612DED4" w14:textId="77777777" w:rsidR="00433B76" w:rsidRDefault="00433B76" w:rsidP="00393B51">
      <w:pPr>
        <w:pStyle w:val="Textpoznpodarou"/>
        <w:spacing w:before="0"/>
      </w:pPr>
      <w:r w:rsidRPr="006262B6">
        <w:t xml:space="preserve">orgánu dohledu (Evropského orgánu pro bankovnictví), o změně rozhodnutí č. 716/2009/ES a o zrušení rozhodnutí </w:t>
      </w:r>
    </w:p>
    <w:p w14:paraId="1CFB0E9C" w14:textId="77777777" w:rsidR="00433B76" w:rsidRDefault="00433B76" w:rsidP="00393B51">
      <w:pPr>
        <w:pStyle w:val="Textpoznpodarou"/>
        <w:spacing w:before="0"/>
      </w:pPr>
      <w:r w:rsidRPr="006262B6">
        <w:t>Komise 2009/78/ES, v platném znění.</w:t>
      </w:r>
    </w:p>
    <w:p w14:paraId="666C34DC" w14:textId="77777777" w:rsidR="00433B76" w:rsidRDefault="00433B76" w:rsidP="00393B51">
      <w:pPr>
        <w:pStyle w:val="Textpoznpodarou"/>
        <w:spacing w:before="0"/>
      </w:pPr>
      <w:r w:rsidRPr="006262B6">
        <w:t xml:space="preserve">Nařízení Evropského parlamentu a Rady (EU) č. 1094/2010 ze dne 24. listopadu 2010 o zřízení Evropského orgánu </w:t>
      </w:r>
    </w:p>
    <w:p w14:paraId="6034D2FB" w14:textId="77777777" w:rsidR="00433B76" w:rsidRDefault="00433B76" w:rsidP="00393B51">
      <w:pPr>
        <w:pStyle w:val="Textpoznpodarou"/>
        <w:spacing w:before="0"/>
      </w:pPr>
      <w:r w:rsidRPr="006262B6">
        <w:t xml:space="preserve">dohledu (Evropského orgánu pro pojišťovnictví a zaměstnanecké penzijní pojištění), o změně rozhodnutí č. </w:t>
      </w:r>
    </w:p>
    <w:p w14:paraId="658ED913" w14:textId="77777777" w:rsidR="00433B76" w:rsidRDefault="00433B76" w:rsidP="00393B51">
      <w:pPr>
        <w:pStyle w:val="Textpoznpodarou"/>
        <w:spacing w:before="0"/>
      </w:pPr>
      <w:r w:rsidRPr="006262B6">
        <w:t>716/2009/ES a o zrušení rozhodnutí Komise 2009/79/ES, v platném znění.</w:t>
      </w:r>
    </w:p>
    <w:p w14:paraId="342A8B57" w14:textId="77777777" w:rsidR="00433B76" w:rsidRDefault="00433B76" w:rsidP="00393B51">
      <w:pPr>
        <w:pStyle w:val="Textpoznpodarou"/>
        <w:spacing w:before="0"/>
      </w:pPr>
      <w:r w:rsidRPr="006262B6">
        <w:t xml:space="preserve">Nařízení Evropského parlamentu a Rady (EU) č. 1095/2010 ze dne 24. listopadu 2010 o zřízení Evropského orgánu </w:t>
      </w:r>
    </w:p>
    <w:p w14:paraId="5F304F7C" w14:textId="77777777" w:rsidR="00433B76" w:rsidRDefault="00433B76" w:rsidP="00393B51">
      <w:pPr>
        <w:pStyle w:val="Textpoznpodarou"/>
        <w:spacing w:before="0"/>
      </w:pPr>
      <w:r w:rsidRPr="006262B6">
        <w:t xml:space="preserve">dohledu (Evropského orgánu pro cenné papíry a trhy), o změně rozhodnutí č. 716/2009/ES a o zrušení rozhodnutí </w:t>
      </w:r>
    </w:p>
    <w:p w14:paraId="5B6641CE" w14:textId="77777777" w:rsidR="00433B76" w:rsidRDefault="00433B76" w:rsidP="00393B51">
      <w:pPr>
        <w:pStyle w:val="Textpoznpodarou"/>
        <w:spacing w:before="0"/>
      </w:pPr>
      <w:r w:rsidRPr="006262B6">
        <w:t>Komise 2009/77/ES, v platném znění.</w:t>
      </w:r>
    </w:p>
  </w:footnote>
  <w:footnote w:id="263">
    <w:p w14:paraId="7CF75C0A" w14:textId="77777777" w:rsidR="00433B76" w:rsidRDefault="00433B76" w:rsidP="00393B51">
      <w:pPr>
        <w:pStyle w:val="Textpoznpodarou"/>
        <w:spacing w:before="0"/>
      </w:pPr>
      <w:r>
        <w:rPr>
          <w:rStyle w:val="Znakapoznpodarou"/>
        </w:rPr>
        <w:t>34)</w:t>
      </w:r>
      <w:r>
        <w:t xml:space="preserve"> </w:t>
      </w:r>
      <w:r w:rsidRPr="006262B6">
        <w:t xml:space="preserve">Nařízení Evropského parlamentu a Rady (EU) č. 1092/2010 ze dne 24. listopadu 2010 o </w:t>
      </w:r>
      <w:proofErr w:type="spellStart"/>
      <w:r w:rsidRPr="006262B6">
        <w:t>makroobezřetnostním</w:t>
      </w:r>
      <w:proofErr w:type="spellEnd"/>
      <w:r w:rsidRPr="006262B6">
        <w:t xml:space="preserve"> </w:t>
      </w:r>
    </w:p>
    <w:p w14:paraId="3892F487" w14:textId="77777777" w:rsidR="00433B76" w:rsidRDefault="00433B76" w:rsidP="00393B51">
      <w:pPr>
        <w:pStyle w:val="Textpoznpodarou"/>
        <w:spacing w:before="0"/>
      </w:pPr>
      <w:r w:rsidRPr="006262B6">
        <w:t>dohledu nad finančním systémem na úrovni Evropské unie a o zřízení Evropské rady pro systémová rizika.</w:t>
      </w:r>
    </w:p>
  </w:footnote>
  <w:footnote w:id="264">
    <w:p w14:paraId="78BBB37C" w14:textId="77777777" w:rsidR="00433B76" w:rsidRDefault="00433B76" w:rsidP="00393B51">
      <w:pPr>
        <w:pStyle w:val="Textpoznpodarou"/>
        <w:spacing w:before="0"/>
      </w:pPr>
      <w:r>
        <w:rPr>
          <w:rStyle w:val="Znakapoznpodarou"/>
        </w:rPr>
        <w:t>37)</w:t>
      </w:r>
      <w:r>
        <w:t xml:space="preserve"> </w:t>
      </w:r>
      <w:r w:rsidRPr="006262B6">
        <w:t xml:space="preserve">Nařízení Evropského parlamentu a Rady (EU) č. 1227/2011 ze dne 25. října 2011 o integritě a transparentnosti </w:t>
      </w:r>
    </w:p>
    <w:p w14:paraId="53E19116" w14:textId="77777777" w:rsidR="00433B76" w:rsidRDefault="00433B76" w:rsidP="00393B51">
      <w:pPr>
        <w:pStyle w:val="Textpoznpodarou"/>
        <w:spacing w:before="0"/>
      </w:pPr>
      <w:r w:rsidRPr="006262B6">
        <w:t>velkoobchodního trhu s energií.</w:t>
      </w:r>
    </w:p>
    <w:p w14:paraId="0F87C858" w14:textId="77777777" w:rsidR="00433B76" w:rsidRDefault="00433B76" w:rsidP="00393B51">
      <w:pPr>
        <w:pStyle w:val="Textpoznpodarou"/>
        <w:spacing w:before="0"/>
      </w:pPr>
      <w:r w:rsidRPr="006262B6">
        <w:t xml:space="preserve">Zákon č. 458/2000 Sb., o podmínkách podnikání a o výkonu státní správy v energetických odvětvích a o změně </w:t>
      </w:r>
    </w:p>
    <w:p w14:paraId="671D9928" w14:textId="77777777" w:rsidR="00433B76" w:rsidRDefault="00433B76" w:rsidP="00393B51">
      <w:pPr>
        <w:pStyle w:val="Textpoznpodarou"/>
        <w:spacing w:before="0"/>
      </w:pPr>
      <w:r w:rsidRPr="006262B6">
        <w:t>některých zákonů (energetický zákon), ve znění pozdějších předpisů.</w:t>
      </w:r>
    </w:p>
  </w:footnote>
  <w:footnote w:id="265">
    <w:p w14:paraId="75896E6B" w14:textId="77777777" w:rsidR="00433B76" w:rsidRDefault="00433B76" w:rsidP="00E633ED">
      <w:pPr>
        <w:pStyle w:val="Textpoznpodarou"/>
      </w:pPr>
      <w:r>
        <w:rPr>
          <w:rStyle w:val="Znakapoznpodarou"/>
        </w:rPr>
        <w:t>26)</w:t>
      </w:r>
      <w:r>
        <w:t xml:space="preserve"> </w:t>
      </w:r>
      <w:r w:rsidRPr="006262B6">
        <w:t>§ 27 zákona č. 101/2002 Sb., o ochraně osobních údajů, ve znění zákona č. 439/2004 Sb.</w:t>
      </w:r>
    </w:p>
  </w:footnote>
  <w:footnote w:id="266">
    <w:p w14:paraId="40AF2DC9" w14:textId="7BD88F52" w:rsidR="00433B76" w:rsidRPr="000074A8" w:rsidRDefault="00433B76" w:rsidP="00352404">
      <w:pPr>
        <w:pStyle w:val="Textpoznpodarou"/>
        <w:spacing w:before="0"/>
        <w:rPr>
          <w:strike/>
        </w:rPr>
      </w:pPr>
      <w:r w:rsidRPr="000074A8">
        <w:rPr>
          <w:rStyle w:val="Znakapoznpodarou"/>
          <w:strike/>
        </w:rPr>
        <w:t>2)</w:t>
      </w:r>
      <w:r w:rsidRPr="000074A8">
        <w:rPr>
          <w:strike/>
        </w:rPr>
        <w:t xml:space="preserve"> § 26 odst. 2 zákona ČNR č. 586/1992 Sb., o daních z příjmů, ve znění pozdějších předpisů.</w:t>
      </w:r>
    </w:p>
  </w:footnote>
  <w:footnote w:id="267">
    <w:p w14:paraId="26801FEE" w14:textId="021A2C00" w:rsidR="00433B76" w:rsidRDefault="00433B76" w:rsidP="00352404">
      <w:pPr>
        <w:pStyle w:val="Textpoznpodarou"/>
        <w:spacing w:before="0"/>
      </w:pPr>
      <w:r>
        <w:rPr>
          <w:rStyle w:val="Znakapoznpodarou"/>
        </w:rPr>
        <w:t>3)</w:t>
      </w:r>
      <w:r>
        <w:t xml:space="preserve"> </w:t>
      </w:r>
      <w:r w:rsidRPr="00352404">
        <w:t>§ 1 odst. 2 písm. a) a § 2 odst. 3 zákona č. 526/1990 Sb., o cenách, ve znění pozdějších předpisů.</w:t>
      </w:r>
    </w:p>
  </w:footnote>
  <w:footnote w:id="268">
    <w:p w14:paraId="396E0619" w14:textId="19D6AF1B" w:rsidR="00433B76" w:rsidRDefault="00433B76" w:rsidP="00352404">
      <w:pPr>
        <w:pStyle w:val="Textpoznpodarou"/>
        <w:tabs>
          <w:tab w:val="clear" w:pos="425"/>
          <w:tab w:val="left" w:pos="426"/>
        </w:tabs>
        <w:spacing w:before="0"/>
        <w:ind w:left="0" w:firstLine="0"/>
      </w:pPr>
      <w:r>
        <w:rPr>
          <w:rStyle w:val="Znakapoznpodarou"/>
        </w:rPr>
        <w:t>4)</w:t>
      </w:r>
      <w:r>
        <w:t xml:space="preserve"> </w:t>
      </w:r>
      <w:r w:rsidRPr="00352404">
        <w:t>§ 203 odst. 1 zákoníku práce.</w:t>
      </w:r>
    </w:p>
  </w:footnote>
  <w:footnote w:id="269">
    <w:p w14:paraId="44752604" w14:textId="476F7A8A" w:rsidR="00433B76" w:rsidRDefault="00433B76" w:rsidP="00352404">
      <w:pPr>
        <w:pStyle w:val="Textpoznpodarou"/>
        <w:tabs>
          <w:tab w:val="clear" w:pos="425"/>
          <w:tab w:val="left" w:pos="426"/>
        </w:tabs>
        <w:spacing w:before="0"/>
        <w:ind w:left="0" w:firstLine="0"/>
      </w:pPr>
      <w:r>
        <w:rPr>
          <w:rStyle w:val="Znakapoznpodarou"/>
        </w:rPr>
        <w:t>5)</w:t>
      </w:r>
      <w:r>
        <w:t xml:space="preserve"> </w:t>
      </w:r>
      <w:r w:rsidRPr="00352404">
        <w:t>§ 156 a násl. zákoníku práce.</w:t>
      </w:r>
    </w:p>
  </w:footnote>
  <w:footnote w:id="270">
    <w:p w14:paraId="7D315223" w14:textId="09A2C40E" w:rsidR="00433B76" w:rsidRDefault="00433B76" w:rsidP="00352404">
      <w:pPr>
        <w:pStyle w:val="Textpoznpodarou"/>
        <w:tabs>
          <w:tab w:val="clear" w:pos="425"/>
          <w:tab w:val="left" w:pos="426"/>
        </w:tabs>
        <w:spacing w:before="0"/>
        <w:ind w:left="0" w:firstLine="0"/>
      </w:pPr>
      <w:r>
        <w:rPr>
          <w:rStyle w:val="Znakapoznpodarou"/>
        </w:rPr>
        <w:t>6)</w:t>
      </w:r>
      <w:r>
        <w:t xml:space="preserve"> </w:t>
      </w:r>
      <w:r w:rsidRPr="00352404">
        <w:t>Například zákon č. 40/2009 Sb., trestní zákoník, ve znění pozdějších předpisů, zákon č. 89/2012 Sb., občanský zákoník, zákon č. 90/2012 Sb., o obchodních společnostech a družstvech (zákon o obchodních korporacích).</w:t>
      </w:r>
    </w:p>
  </w:footnote>
  <w:footnote w:id="271">
    <w:p w14:paraId="09869164" w14:textId="07B5653F" w:rsidR="00433B76" w:rsidRDefault="00433B76" w:rsidP="00352404">
      <w:pPr>
        <w:pStyle w:val="Textpoznpodarou"/>
        <w:tabs>
          <w:tab w:val="clear" w:pos="425"/>
          <w:tab w:val="left" w:pos="426"/>
        </w:tabs>
        <w:spacing w:before="0"/>
        <w:ind w:left="0" w:firstLine="0"/>
      </w:pPr>
      <w:r>
        <w:rPr>
          <w:rStyle w:val="Znakapoznpodarou"/>
        </w:rPr>
        <w:t>8)</w:t>
      </w:r>
      <w:r>
        <w:t xml:space="preserve"> </w:t>
      </w:r>
      <w:r w:rsidRPr="00352404">
        <w:t>§ 7 odst. 1 písm. t) zákona č. 218/2000 Sb., o rozpočtových pravidlech a o změně některých souvisejících zákonů (rozpočtová pravidla), ve znění pozdějších předpisů.</w:t>
      </w:r>
    </w:p>
  </w:footnote>
  <w:footnote w:id="272">
    <w:p w14:paraId="4DB4DD82" w14:textId="4E61A36A" w:rsidR="00433B76" w:rsidRDefault="00433B76" w:rsidP="00352404">
      <w:pPr>
        <w:pStyle w:val="Textpoznpodarou"/>
        <w:tabs>
          <w:tab w:val="clear" w:pos="425"/>
          <w:tab w:val="left" w:pos="426"/>
        </w:tabs>
        <w:spacing w:before="0"/>
        <w:ind w:left="0" w:firstLine="0"/>
      </w:pPr>
      <w:r>
        <w:rPr>
          <w:rStyle w:val="Znakapoznpodarou"/>
        </w:rPr>
        <w:t>8e)</w:t>
      </w:r>
      <w:r>
        <w:t xml:space="preserve"> </w:t>
      </w:r>
      <w:r w:rsidRPr="00352404">
        <w:t>Zákon č. 130/2002 Sb., o podpoře výzkumu a vývoje z veřejných prostředků a o změně některých souvisejících zákonů (zákon o podpoře výzkumu a vývoje), ve znění pozdějších předpisů.</w:t>
      </w:r>
    </w:p>
  </w:footnote>
  <w:footnote w:id="273">
    <w:p w14:paraId="6A5C0349" w14:textId="6F0EF34A" w:rsidR="00433B76" w:rsidRDefault="00433B76" w:rsidP="00F6154B">
      <w:pPr>
        <w:pStyle w:val="Textpoznpodarou"/>
        <w:tabs>
          <w:tab w:val="clear" w:pos="425"/>
          <w:tab w:val="left" w:pos="426"/>
        </w:tabs>
        <w:spacing w:before="0"/>
        <w:ind w:left="0" w:firstLine="0"/>
      </w:pPr>
      <w:r>
        <w:rPr>
          <w:rStyle w:val="Znakapoznpodarou"/>
        </w:rPr>
        <w:t>8a)</w:t>
      </w:r>
      <w:r>
        <w:t xml:space="preserve"> </w:t>
      </w:r>
      <w:r w:rsidRPr="00352404">
        <w:t>§ 10 odst. 2 zákona č. 218/2000 Sb., ve znění pozdějších předpisů.</w:t>
      </w:r>
    </w:p>
  </w:footnote>
  <w:footnote w:id="274">
    <w:p w14:paraId="48EEFF5F" w14:textId="1F226982" w:rsidR="00433B76" w:rsidRDefault="00433B76" w:rsidP="00F6154B">
      <w:pPr>
        <w:pStyle w:val="Textpoznpodarou"/>
        <w:tabs>
          <w:tab w:val="clear" w:pos="425"/>
          <w:tab w:val="left" w:pos="426"/>
        </w:tabs>
        <w:spacing w:before="0"/>
        <w:ind w:left="0" w:firstLine="0"/>
      </w:pPr>
      <w:r>
        <w:rPr>
          <w:rStyle w:val="Znakapoznpodarou"/>
        </w:rPr>
        <w:t>8b)</w:t>
      </w:r>
      <w:r>
        <w:t xml:space="preserve"> </w:t>
      </w:r>
      <w:r w:rsidRPr="00352404">
        <w:t>§ 12 a 13 zákona č. 218/2000 Sb., ve znění pozdějších předpisů.</w:t>
      </w:r>
    </w:p>
  </w:footnote>
  <w:footnote w:id="275">
    <w:p w14:paraId="12437CE1" w14:textId="123FC8D3" w:rsidR="00433B76" w:rsidRDefault="00433B76" w:rsidP="00F6154B">
      <w:pPr>
        <w:pStyle w:val="Textpoznpodarou"/>
        <w:tabs>
          <w:tab w:val="clear" w:pos="425"/>
          <w:tab w:val="left" w:pos="426"/>
        </w:tabs>
        <w:spacing w:before="0"/>
        <w:ind w:left="0" w:firstLine="0"/>
      </w:pPr>
      <w:r>
        <w:rPr>
          <w:rStyle w:val="Znakapoznpodarou"/>
        </w:rPr>
        <w:t>8c)</w:t>
      </w:r>
      <w:r>
        <w:t xml:space="preserve"> </w:t>
      </w:r>
      <w:r w:rsidRPr="00352404">
        <w:t>Sdělení Českého statistického úřadu č. 321/2003 Sb., o zavedení Klasifikace stavebních děl CZ-CC.</w:t>
      </w:r>
    </w:p>
  </w:footnote>
  <w:footnote w:id="276">
    <w:p w14:paraId="18580A97" w14:textId="3B0CC9B0" w:rsidR="00433B76" w:rsidRDefault="00433B76" w:rsidP="00F6154B">
      <w:pPr>
        <w:pStyle w:val="Textpoznpodarou"/>
        <w:tabs>
          <w:tab w:val="clear" w:pos="425"/>
          <w:tab w:val="left" w:pos="426"/>
        </w:tabs>
        <w:spacing w:before="0"/>
        <w:ind w:left="0" w:firstLine="0"/>
      </w:pPr>
      <w:r>
        <w:rPr>
          <w:rStyle w:val="Znakapoznpodarou"/>
        </w:rPr>
        <w:t>8d)</w:t>
      </w:r>
      <w:r>
        <w:t xml:space="preserve"> </w:t>
      </w:r>
      <w:r w:rsidRPr="00352404">
        <w:t>Zákon č. 218/2000 Sb., ve znění pozdějších předpisů.</w:t>
      </w:r>
    </w:p>
  </w:footnote>
  <w:footnote w:id="277">
    <w:p w14:paraId="52B51BD5" w14:textId="13CC490D" w:rsidR="00433B76" w:rsidRPr="00D10DE3" w:rsidRDefault="00433B76" w:rsidP="00F6154B">
      <w:pPr>
        <w:pStyle w:val="Textpoznpodarou"/>
        <w:tabs>
          <w:tab w:val="clear" w:pos="425"/>
          <w:tab w:val="left" w:pos="426"/>
        </w:tabs>
        <w:spacing w:before="0"/>
        <w:ind w:left="0" w:firstLine="0"/>
        <w:rPr>
          <w:strike/>
        </w:rPr>
      </w:pPr>
      <w:r w:rsidRPr="00D10DE3">
        <w:rPr>
          <w:rStyle w:val="Znakapoznpodarou"/>
          <w:strike/>
        </w:rPr>
        <w:t>9)</w:t>
      </w:r>
      <w:r w:rsidRPr="00D10DE3">
        <w:rPr>
          <w:strike/>
        </w:rPr>
        <w:t xml:space="preserve"> Zákon č. 563/1991 Sb., o účetnictví, ve znění pozdějších předpisů.</w:t>
      </w:r>
    </w:p>
  </w:footnote>
  <w:footnote w:id="278">
    <w:p w14:paraId="22748010" w14:textId="332D3D33" w:rsidR="00433B76" w:rsidRDefault="00433B76" w:rsidP="00F6154B">
      <w:pPr>
        <w:pStyle w:val="Textpoznpodarou"/>
        <w:tabs>
          <w:tab w:val="clear" w:pos="425"/>
          <w:tab w:val="left" w:pos="426"/>
        </w:tabs>
        <w:spacing w:before="0"/>
        <w:ind w:left="0" w:firstLine="0"/>
      </w:pPr>
      <w:r>
        <w:rPr>
          <w:rStyle w:val="Znakapoznpodarou"/>
        </w:rPr>
        <w:t>9a)</w:t>
      </w:r>
      <w:r>
        <w:t xml:space="preserve"> </w:t>
      </w:r>
      <w:r w:rsidRPr="00F6154B">
        <w:t>Zákon č. 586/1992 Sb., o daních z příjmů, ve znění pozdějších předpisů.</w:t>
      </w:r>
    </w:p>
  </w:footnote>
  <w:footnote w:id="279">
    <w:p w14:paraId="6D35DCB2" w14:textId="00491531" w:rsidR="00433B76" w:rsidRDefault="00433B76" w:rsidP="000A6E57">
      <w:pPr>
        <w:pStyle w:val="Textpoznpodarou"/>
        <w:tabs>
          <w:tab w:val="clear" w:pos="425"/>
          <w:tab w:val="left" w:pos="709"/>
        </w:tabs>
        <w:spacing w:before="0"/>
        <w:ind w:left="0" w:firstLine="0"/>
      </w:pPr>
      <w:r>
        <w:rPr>
          <w:rStyle w:val="Znakapoznpodarou"/>
        </w:rPr>
        <w:t>11)</w:t>
      </w:r>
      <w:r>
        <w:t xml:space="preserve"> </w:t>
      </w:r>
      <w:r w:rsidRPr="000A6E57">
        <w:t>Zákon č. 37/1995 Sb., o neperiodických publikacích.</w:t>
      </w:r>
    </w:p>
  </w:footnote>
  <w:footnote w:id="280">
    <w:p w14:paraId="451F8BD1" w14:textId="14A1467A" w:rsidR="00433B76" w:rsidRDefault="00433B76" w:rsidP="000A6E57">
      <w:pPr>
        <w:pStyle w:val="Textpoznpodarou"/>
        <w:tabs>
          <w:tab w:val="clear" w:pos="425"/>
          <w:tab w:val="left" w:pos="709"/>
        </w:tabs>
        <w:spacing w:before="0"/>
        <w:ind w:left="0" w:firstLine="0"/>
      </w:pPr>
      <w:r>
        <w:rPr>
          <w:rStyle w:val="Znakapoznpodarou"/>
        </w:rPr>
        <w:t>11a)</w:t>
      </w:r>
      <w:r>
        <w:t xml:space="preserve"> </w:t>
      </w:r>
      <w:r w:rsidRPr="000A6E57">
        <w:t>§ 195 až 198 zákona č. 262/2006 Sb., zákoník práce, ve znění pozdějších předpisů.</w:t>
      </w:r>
    </w:p>
  </w:footnote>
  <w:footnote w:id="281">
    <w:p w14:paraId="25D4FFC4" w14:textId="49283DAC" w:rsidR="00433B76" w:rsidRDefault="00433B76" w:rsidP="000A6E57">
      <w:pPr>
        <w:pStyle w:val="Textpoznpodarou"/>
        <w:tabs>
          <w:tab w:val="clear" w:pos="425"/>
          <w:tab w:val="left" w:pos="709"/>
        </w:tabs>
        <w:spacing w:before="0"/>
        <w:ind w:left="0" w:firstLine="0"/>
      </w:pPr>
      <w:r>
        <w:rPr>
          <w:rStyle w:val="Znakapoznpodarou"/>
        </w:rPr>
        <w:t>29)</w:t>
      </w:r>
      <w:r>
        <w:t xml:space="preserve"> </w:t>
      </w:r>
      <w:r w:rsidRPr="000A6E57">
        <w:t>§ 796, 824, 826, 928, 953 a 958 občanského zákoníku.</w:t>
      </w:r>
    </w:p>
  </w:footnote>
  <w:footnote w:id="282">
    <w:p w14:paraId="6C4CE313" w14:textId="3653A375" w:rsidR="00433B76" w:rsidRDefault="00433B76" w:rsidP="000A6E57">
      <w:pPr>
        <w:pStyle w:val="Textpoznpodarou"/>
        <w:tabs>
          <w:tab w:val="clear" w:pos="425"/>
          <w:tab w:val="left" w:pos="709"/>
        </w:tabs>
        <w:spacing w:before="0"/>
        <w:ind w:left="0" w:firstLine="0"/>
      </w:pPr>
      <w:r>
        <w:rPr>
          <w:rStyle w:val="Znakapoznpodarou"/>
        </w:rPr>
        <w:t>30)</w:t>
      </w:r>
      <w:r w:rsidRPr="000A6E57">
        <w:t xml:space="preserve"> § 7 odst. 10 zákona č. 117/1995 Sb., o státní sociální podpoře, ve znění pozdějších předpisů.</w:t>
      </w:r>
    </w:p>
  </w:footnote>
  <w:footnote w:id="283">
    <w:p w14:paraId="645B42F8" w14:textId="77777777" w:rsidR="00433B76" w:rsidRPr="009B1ABF" w:rsidRDefault="00433B76" w:rsidP="00681D7E">
      <w:pPr>
        <w:pStyle w:val="Textpoznpodarou"/>
        <w:spacing w:before="0"/>
        <w:rPr>
          <w:strike/>
        </w:rPr>
      </w:pPr>
      <w:r w:rsidRPr="009B1ABF">
        <w:rPr>
          <w:rStyle w:val="Znakapoznpodarou"/>
          <w:strike/>
        </w:rPr>
        <w:t>18)</w:t>
      </w:r>
      <w:r w:rsidRPr="009B1ABF">
        <w:rPr>
          <w:strike/>
        </w:rPr>
        <w:t xml:space="preserve"> § 2 zákona č. 151/1997 Sb., o oceňování majetku a o změně některých zákonů (zákon o oceňování majetku).</w:t>
      </w:r>
    </w:p>
  </w:footnote>
  <w:footnote w:id="284">
    <w:p w14:paraId="1C2503EE" w14:textId="77777777" w:rsidR="00433B76" w:rsidRPr="001417E5" w:rsidRDefault="00433B76" w:rsidP="00681D7E">
      <w:pPr>
        <w:pStyle w:val="Textpoznpodarou"/>
        <w:spacing w:before="0"/>
        <w:rPr>
          <w:strike/>
        </w:rPr>
      </w:pPr>
      <w:r w:rsidRPr="009B1ABF">
        <w:rPr>
          <w:rStyle w:val="Znakapoznpodarou"/>
          <w:strike/>
        </w:rPr>
        <w:t>19)</w:t>
      </w:r>
      <w:r w:rsidRPr="009B1ABF">
        <w:rPr>
          <w:strike/>
        </w:rPr>
        <w:t xml:space="preserve"> § 25 odst. 4 zákona č. 563/1991 Sb., o účetnictví.</w:t>
      </w:r>
    </w:p>
  </w:footnote>
  <w:footnote w:id="285">
    <w:p w14:paraId="68CD2E67" w14:textId="79C06E03" w:rsidR="00433B76" w:rsidRDefault="00433B76">
      <w:pPr>
        <w:pStyle w:val="Textpoznpodarou"/>
      </w:pPr>
      <w:r>
        <w:rPr>
          <w:rStyle w:val="Znakapoznpodarou"/>
        </w:rPr>
        <w:t>6a)</w:t>
      </w:r>
      <w:r>
        <w:t xml:space="preserve"> </w:t>
      </w:r>
      <w:r w:rsidRPr="00F82FF8">
        <w:t>Například § 16 zákona č. 109/2002 Sb., ve znění pozdějších předpisů.</w:t>
      </w:r>
    </w:p>
  </w:footnote>
  <w:footnote w:id="286">
    <w:p w14:paraId="04DCC78E" w14:textId="0DE5A7DB" w:rsidR="00433B76" w:rsidRPr="00737D89" w:rsidRDefault="00433B76" w:rsidP="00F82FF8">
      <w:pPr>
        <w:pStyle w:val="Textpoznpodarou"/>
        <w:tabs>
          <w:tab w:val="clear" w:pos="425"/>
          <w:tab w:val="left" w:pos="993"/>
        </w:tabs>
        <w:spacing w:before="0"/>
        <w:ind w:left="0" w:firstLine="0"/>
        <w:rPr>
          <w:strike/>
        </w:rPr>
      </w:pPr>
      <w:r w:rsidRPr="00737D89">
        <w:rPr>
          <w:rStyle w:val="Znakapoznpodarou"/>
          <w:strike/>
        </w:rPr>
        <w:t>7)</w:t>
      </w:r>
      <w:r w:rsidRPr="00737D89">
        <w:rPr>
          <w:strike/>
        </w:rPr>
        <w:t xml:space="preserve"> Zákon č. 524/1992 Sb., o auditorech a Komoře auditorů České republiky, ve znění pozdějších předpisů.</w:t>
      </w:r>
    </w:p>
  </w:footnote>
  <w:footnote w:id="287">
    <w:p w14:paraId="488321BD" w14:textId="799C35B9" w:rsidR="00433B76" w:rsidRDefault="00433B76" w:rsidP="00F82FF8">
      <w:pPr>
        <w:pStyle w:val="Textpoznpodarou"/>
        <w:tabs>
          <w:tab w:val="clear" w:pos="425"/>
          <w:tab w:val="left" w:pos="993"/>
        </w:tabs>
        <w:spacing w:before="0"/>
        <w:ind w:left="0" w:firstLine="0"/>
      </w:pPr>
      <w:r>
        <w:rPr>
          <w:rStyle w:val="Znakapoznpodarou"/>
        </w:rPr>
        <w:t>8)</w:t>
      </w:r>
      <w:r>
        <w:t xml:space="preserve"> </w:t>
      </w:r>
      <w:r w:rsidRPr="00F82FF8">
        <w:t>Zákon č. 218/2000 Sb., o rozpočtových pravidlech a o změně některých souvisejících zákonů (rozpočtová pravidla), ve znění pozdějších předpisů.</w:t>
      </w:r>
    </w:p>
  </w:footnote>
  <w:footnote w:id="288">
    <w:p w14:paraId="0B877A1D" w14:textId="20602A56" w:rsidR="00433B76" w:rsidRDefault="00433B76" w:rsidP="007C7D3B">
      <w:pPr>
        <w:pStyle w:val="Textpoznpodarou"/>
        <w:tabs>
          <w:tab w:val="clear" w:pos="425"/>
          <w:tab w:val="left" w:pos="851"/>
        </w:tabs>
        <w:spacing w:before="0"/>
        <w:ind w:left="0" w:firstLine="0"/>
      </w:pPr>
      <w:r>
        <w:rPr>
          <w:rStyle w:val="Znakapoznpodarou"/>
        </w:rPr>
        <w:t>12)</w:t>
      </w:r>
      <w:r>
        <w:t xml:space="preserve"> </w:t>
      </w:r>
      <w:r w:rsidRPr="00D52414">
        <w:t>§ 35a a 35b zákona č. 586/1992 Sb., o daních z příjmů, ve znění pozdějších předpisů.</w:t>
      </w:r>
    </w:p>
  </w:footnote>
  <w:footnote w:id="289">
    <w:p w14:paraId="6F6854F8" w14:textId="72FB43F6" w:rsidR="00433B76" w:rsidRDefault="00433B76" w:rsidP="007C7D3B">
      <w:pPr>
        <w:pStyle w:val="Textpoznpodarou"/>
        <w:tabs>
          <w:tab w:val="clear" w:pos="425"/>
          <w:tab w:val="left" w:pos="851"/>
        </w:tabs>
        <w:spacing w:before="0"/>
        <w:ind w:left="0" w:firstLine="0"/>
      </w:pPr>
      <w:r>
        <w:rPr>
          <w:rStyle w:val="Znakapoznpodarou"/>
        </w:rPr>
        <w:t>13)</w:t>
      </w:r>
      <w:r>
        <w:t xml:space="preserve"> </w:t>
      </w:r>
      <w:r w:rsidRPr="00D52414">
        <w:t>§ 111 zákona č. 435/2004 Sb., o zaměstnanosti, ve znění zákona č. 159/2007 Sb., zákona č. 382/2008 Sb. a zákona č. 73/2011 Sb.</w:t>
      </w:r>
    </w:p>
  </w:footnote>
  <w:footnote w:id="290">
    <w:p w14:paraId="2EB52F93" w14:textId="2C036485" w:rsidR="00433B76" w:rsidRDefault="00433B76" w:rsidP="007C7D3B">
      <w:pPr>
        <w:pStyle w:val="Textpoznpodarou"/>
        <w:tabs>
          <w:tab w:val="clear" w:pos="425"/>
          <w:tab w:val="left" w:pos="851"/>
        </w:tabs>
        <w:spacing w:before="0"/>
        <w:ind w:left="0" w:firstLine="0"/>
      </w:pPr>
      <w:r>
        <w:rPr>
          <w:rStyle w:val="Znakapoznpodarou"/>
        </w:rPr>
        <w:t>23)</w:t>
      </w:r>
      <w:r>
        <w:t xml:space="preserve"> </w:t>
      </w:r>
      <w:r w:rsidRPr="00D52414">
        <w:t>Zákon č. 338/1992 Sb., o dani z nemovitých věcí, ve znění pozdějších předpisů.</w:t>
      </w:r>
    </w:p>
  </w:footnote>
  <w:footnote w:id="291">
    <w:p w14:paraId="5B24B59E" w14:textId="5CE9BE4D" w:rsidR="00433B76" w:rsidRDefault="00433B76" w:rsidP="007C7D3B">
      <w:pPr>
        <w:pStyle w:val="Textpoznpodarou"/>
        <w:tabs>
          <w:tab w:val="clear" w:pos="425"/>
          <w:tab w:val="left" w:pos="851"/>
        </w:tabs>
        <w:spacing w:before="0"/>
        <w:ind w:left="0" w:firstLine="0"/>
      </w:pPr>
      <w:r>
        <w:rPr>
          <w:rStyle w:val="Znakapoznpodarou"/>
        </w:rPr>
        <w:t>26)</w:t>
      </w:r>
      <w:r>
        <w:t xml:space="preserve"> </w:t>
      </w:r>
      <w:r w:rsidRPr="00D52414">
        <w:t>Nařízení Rady (EHS) č. 2658/87 ze dne 23. července 1987 o celní a statistické nomenklatuře a o společném celním sazebníku, v platném znění.</w:t>
      </w:r>
    </w:p>
  </w:footnote>
  <w:footnote w:id="292">
    <w:p w14:paraId="3C490D94" w14:textId="347A239F" w:rsidR="00433B76" w:rsidRDefault="00433B76" w:rsidP="00D52414">
      <w:pPr>
        <w:pStyle w:val="Textpoznpodarou"/>
        <w:tabs>
          <w:tab w:val="clear" w:pos="425"/>
          <w:tab w:val="left" w:pos="709"/>
        </w:tabs>
        <w:spacing w:before="0"/>
        <w:ind w:left="0" w:firstLine="0"/>
      </w:pPr>
      <w:r>
        <w:rPr>
          <w:rStyle w:val="Znakapoznpodarou"/>
        </w:rPr>
        <w:t>1)</w:t>
      </w:r>
      <w:r>
        <w:t xml:space="preserve"> </w:t>
      </w:r>
      <w:r w:rsidRPr="00D52414">
        <w:t>Nařízení Komise (EU) č. 651/2014 ze dne 17. června 2014, kterým se v souladu s články 107 a 108 Smlouvy prohlašují určité kategorie podpory za slučitelné s vnitřním trhem, v platném znění.</w:t>
      </w:r>
    </w:p>
  </w:footnote>
  <w:footnote w:id="293">
    <w:p w14:paraId="2172DC94" w14:textId="66705E33" w:rsidR="00433B76" w:rsidRDefault="00433B76" w:rsidP="00D52414">
      <w:pPr>
        <w:pStyle w:val="Textpoznpodarou"/>
        <w:tabs>
          <w:tab w:val="clear" w:pos="425"/>
          <w:tab w:val="left" w:pos="709"/>
        </w:tabs>
        <w:spacing w:before="0"/>
        <w:ind w:left="0" w:firstLine="0"/>
      </w:pPr>
      <w:r>
        <w:rPr>
          <w:rStyle w:val="Znakapoznpodarou"/>
        </w:rPr>
        <w:t>4)</w:t>
      </w:r>
      <w:r>
        <w:t xml:space="preserve"> </w:t>
      </w:r>
      <w:r w:rsidRPr="00D52414">
        <w:t>Například zákon č. 86/2002 Sb., o ochraně ovzduší a o změně některých dalších zákonů (zákon o ochraně ovzduší), ve znění pozdějších předpisů, zákon č. 334/1992 Sb., o ochraně zemědělského půdního fondu, ve znění pozdějších předpisů, zákon č. 114/1992 Sb., o ochraně přírody a krajiny, ve znění pozdějších předpisů, zákon č. 254/2001 Sb., o vodách a o změně některých zákonů (vodní zákon), ve znění pozdějších předpisů, zákon č. 185/2001 Sb., o odpadech a o změně některých dalších zákonů, ve znění pozdějších předpisů, zákon č. 356/2003 Sb., o chemických látkách a chemických přípravcích a o změně některých zákonů, ve znění pozdějších předpisů.</w:t>
      </w:r>
    </w:p>
  </w:footnote>
  <w:footnote w:id="294">
    <w:p w14:paraId="361B850A" w14:textId="415510F6" w:rsidR="00433B76" w:rsidRDefault="00433B76" w:rsidP="00D52414">
      <w:pPr>
        <w:pStyle w:val="Textpoznpodarou"/>
        <w:tabs>
          <w:tab w:val="clear" w:pos="425"/>
          <w:tab w:val="left" w:pos="709"/>
        </w:tabs>
        <w:spacing w:before="0"/>
        <w:ind w:left="0" w:firstLine="0"/>
      </w:pPr>
      <w:r>
        <w:rPr>
          <w:rStyle w:val="Znakapoznpodarou"/>
        </w:rPr>
        <w:t>8a)</w:t>
      </w:r>
      <w:r>
        <w:t xml:space="preserve"> </w:t>
      </w:r>
      <w:r w:rsidRPr="00D52414">
        <w:t>§ 79 zákoníku práce, ve znění zákona č. 362/2007 Sb.</w:t>
      </w:r>
    </w:p>
  </w:footnote>
  <w:footnote w:id="295">
    <w:p w14:paraId="6A7208C4" w14:textId="02668326" w:rsidR="00433B76" w:rsidRDefault="00433B76" w:rsidP="00D52414">
      <w:pPr>
        <w:pStyle w:val="Textpoznpodarou"/>
        <w:tabs>
          <w:tab w:val="clear" w:pos="425"/>
          <w:tab w:val="left" w:pos="709"/>
        </w:tabs>
        <w:spacing w:before="0"/>
        <w:ind w:left="0" w:firstLine="0"/>
      </w:pPr>
      <w:r>
        <w:rPr>
          <w:rStyle w:val="Znakapoznpodarou"/>
        </w:rPr>
        <w:t>18)</w:t>
      </w:r>
      <w:r>
        <w:t xml:space="preserve"> </w:t>
      </w:r>
      <w:r w:rsidRPr="00D52414">
        <w:t>§ 83 zákona č. 326/1999 Sb., o pobytu cizinců na území České republiky a o změně některých zákonů, ve znění pozdějších předpisů.</w:t>
      </w:r>
    </w:p>
  </w:footnote>
  <w:footnote w:id="296">
    <w:p w14:paraId="1D23B883" w14:textId="072255F5" w:rsidR="00433B76" w:rsidRDefault="00433B76" w:rsidP="00D52414">
      <w:pPr>
        <w:pStyle w:val="Textpoznpodarou"/>
        <w:tabs>
          <w:tab w:val="clear" w:pos="425"/>
          <w:tab w:val="left" w:pos="709"/>
        </w:tabs>
        <w:spacing w:before="0"/>
        <w:ind w:left="0" w:firstLine="0"/>
      </w:pPr>
      <w:r>
        <w:rPr>
          <w:rStyle w:val="Znakapoznpodarou"/>
        </w:rPr>
        <w:t>19)</w:t>
      </w:r>
      <w:r>
        <w:t xml:space="preserve"> </w:t>
      </w:r>
      <w:r w:rsidRPr="00D52414">
        <w:t>Směrnice Evropského parlamentu a Rady 2007/65/ES ze dne 11. prosince 2007, kterou se mění směrnice Rady 89/552/EHS o koordinaci některých právních a správních předpisů členských států upravujících provozování televizního vysílání.</w:t>
      </w:r>
    </w:p>
  </w:footnote>
  <w:footnote w:id="297">
    <w:p w14:paraId="72424A61" w14:textId="5FBDF71A" w:rsidR="00433B76" w:rsidRDefault="00433B76" w:rsidP="00D52414">
      <w:pPr>
        <w:pStyle w:val="Textpoznpodarou"/>
        <w:tabs>
          <w:tab w:val="clear" w:pos="425"/>
          <w:tab w:val="left" w:pos="709"/>
        </w:tabs>
        <w:spacing w:before="0"/>
        <w:ind w:left="0" w:firstLine="0"/>
      </w:pPr>
      <w:r>
        <w:rPr>
          <w:rStyle w:val="Znakapoznpodarou"/>
        </w:rPr>
        <w:t>25)</w:t>
      </w:r>
      <w:r w:rsidRPr="00D52414">
        <w:t xml:space="preserve"> Čl. 1 a čl. 13 nařízení Komise (EU) č. 651/2014.</w:t>
      </w:r>
    </w:p>
  </w:footnote>
  <w:footnote w:id="298">
    <w:p w14:paraId="36294DFE" w14:textId="19E4331A" w:rsidR="00433B76" w:rsidRDefault="00433B76">
      <w:pPr>
        <w:pStyle w:val="Textpoznpodarou"/>
      </w:pPr>
      <w:r>
        <w:rPr>
          <w:rStyle w:val="Znakapoznpodarou"/>
        </w:rPr>
        <w:t>20)</w:t>
      </w:r>
      <w:r>
        <w:t xml:space="preserve"> </w:t>
      </w:r>
      <w:r w:rsidRPr="00D52414">
        <w:t>Příloha I k nařízení Komise (EU) č. 651/2014.</w:t>
      </w:r>
    </w:p>
  </w:footnote>
  <w:footnote w:id="299">
    <w:p w14:paraId="09529CA8" w14:textId="45CF96AC" w:rsidR="00433B76" w:rsidRDefault="00433B76" w:rsidP="00FE36EF">
      <w:pPr>
        <w:pStyle w:val="Textpoznpodarou"/>
        <w:tabs>
          <w:tab w:val="clear" w:pos="425"/>
          <w:tab w:val="left" w:pos="709"/>
        </w:tabs>
        <w:ind w:left="0" w:firstLine="0"/>
      </w:pPr>
      <w:r>
        <w:rPr>
          <w:rStyle w:val="Znakapoznpodarou"/>
        </w:rPr>
        <w:t>22)</w:t>
      </w:r>
      <w:r>
        <w:t xml:space="preserve"> </w:t>
      </w:r>
      <w:r w:rsidRPr="00FE36EF">
        <w:t>Zákon č. 215/2004 Sb., o úpravě některých vztahů v oblasti veřejné podpory a o změně zákona o podpoře výzkumu a vývoje, ve znění pozdějších předpisů.</w:t>
      </w:r>
    </w:p>
  </w:footnote>
  <w:footnote w:id="300">
    <w:p w14:paraId="7A3BB9FC" w14:textId="0931643D" w:rsidR="00433B76" w:rsidRDefault="00433B76" w:rsidP="00FE36EF">
      <w:pPr>
        <w:pStyle w:val="Textpoznpodarou"/>
        <w:tabs>
          <w:tab w:val="clear" w:pos="425"/>
          <w:tab w:val="left" w:pos="567"/>
        </w:tabs>
        <w:ind w:left="0" w:firstLine="0"/>
      </w:pPr>
      <w:r>
        <w:rPr>
          <w:rStyle w:val="Znakapoznpodarou"/>
        </w:rPr>
        <w:t>21)</w:t>
      </w:r>
      <w:r>
        <w:t xml:space="preserve"> </w:t>
      </w:r>
      <w:r w:rsidRPr="00FE36EF">
        <w:t>§ 23 odst. 7 zákona č. 586/1992 Sb., o daních z příjmů, ve znění zákona č. 438/2003 Sb., zákona č. 261/2007 Sb. a zákona č. 346/2010 Sb.</w:t>
      </w:r>
    </w:p>
  </w:footnote>
  <w:footnote w:id="301">
    <w:p w14:paraId="55C77F27" w14:textId="4EE60713" w:rsidR="00433B76" w:rsidRDefault="00433B76">
      <w:pPr>
        <w:pStyle w:val="Textpoznpodarou"/>
      </w:pPr>
      <w:r>
        <w:rPr>
          <w:rStyle w:val="Znakapoznpodarou"/>
        </w:rPr>
        <w:t>8b)</w:t>
      </w:r>
      <w:r>
        <w:t xml:space="preserve"> </w:t>
      </w:r>
      <w:r w:rsidRPr="00D22E5A">
        <w:t>Čl. 9 nařízení Komise (ES) č. 794/2004 ze dne 21. dubna 2004, kterým se provádí nařízení Rady (ES) č. 659/1999, kterým se stanoví prováděcí pravidla k článku 93 Smlouvy o ES.</w:t>
      </w:r>
    </w:p>
  </w:footnote>
  <w:footnote w:id="302">
    <w:p w14:paraId="53435CFA" w14:textId="28D572CC" w:rsidR="00433B76" w:rsidRDefault="00433B76" w:rsidP="00FE36EF">
      <w:pPr>
        <w:pStyle w:val="Textpoznpodarou"/>
        <w:tabs>
          <w:tab w:val="clear" w:pos="425"/>
          <w:tab w:val="left" w:pos="709"/>
        </w:tabs>
        <w:spacing w:before="0"/>
        <w:ind w:left="0" w:firstLine="0"/>
      </w:pPr>
      <w:r>
        <w:rPr>
          <w:rStyle w:val="Znakapoznpodarou"/>
        </w:rPr>
        <w:t>9)</w:t>
      </w:r>
      <w:r>
        <w:t xml:space="preserve"> </w:t>
      </w:r>
      <w:r w:rsidRPr="00FE36EF">
        <w:t>Například zákon č. 309/1991 Sb., o ochraně ovzduší před znečišťujícími látkami (zákon o ovzduší), ve znění pozdějších předpisů, zákon č. 254/2001 Sb., o vodách a o změně některých zákonů (vodní zákon), zákon č. 185/2001 Sb., o odpadech a o změně některých dalších zákonů.</w:t>
      </w:r>
    </w:p>
  </w:footnote>
  <w:footnote w:id="303">
    <w:p w14:paraId="0253285D" w14:textId="55062FAE" w:rsidR="00433B76" w:rsidRDefault="00433B76" w:rsidP="00FE36EF">
      <w:pPr>
        <w:pStyle w:val="Textpoznpodarou"/>
        <w:tabs>
          <w:tab w:val="clear" w:pos="425"/>
          <w:tab w:val="left" w:pos="709"/>
        </w:tabs>
        <w:spacing w:before="0"/>
        <w:ind w:left="0" w:firstLine="0"/>
      </w:pPr>
      <w:r>
        <w:rPr>
          <w:rStyle w:val="Znakapoznpodarou"/>
        </w:rPr>
        <w:t>10))</w:t>
      </w:r>
      <w:r>
        <w:t xml:space="preserve"> </w:t>
      </w:r>
      <w:r w:rsidRPr="00FE36EF">
        <w:t>§ 111 odst. 6 a 7 zákona č. 435/2004 Sb., o zaměstnanosti.</w:t>
      </w:r>
    </w:p>
  </w:footnote>
  <w:footnote w:id="304">
    <w:p w14:paraId="6303E005" w14:textId="53599342" w:rsidR="00433B76" w:rsidRDefault="00433B76">
      <w:pPr>
        <w:pStyle w:val="Textpoznpodarou"/>
      </w:pPr>
      <w:r>
        <w:rPr>
          <w:rStyle w:val="Znakapoznpodarou"/>
        </w:rPr>
        <w:t>5a)</w:t>
      </w:r>
      <w:r>
        <w:t xml:space="preserve"> </w:t>
      </w:r>
      <w:r w:rsidRPr="003B112C">
        <w:t>§ 8b odst. 3 zákona č. 218/2000 Sb., o rozpočtových pravidlech a o změně některých souvisejících zákonů (rozpočtová pravidla), ve znění zákona č. 482/2004 Sb.</w:t>
      </w:r>
    </w:p>
  </w:footnote>
  <w:footnote w:id="305">
    <w:p w14:paraId="234D0028" w14:textId="7EA175D5" w:rsidR="00433B76" w:rsidRDefault="00433B76">
      <w:pPr>
        <w:pStyle w:val="Textpoznpodarou"/>
      </w:pPr>
      <w:r>
        <w:rPr>
          <w:rStyle w:val="Znakapoznpodarou"/>
        </w:rPr>
        <w:t>7)</w:t>
      </w:r>
      <w:r>
        <w:t xml:space="preserve"> </w:t>
      </w:r>
      <w:r w:rsidRPr="003B112C">
        <w:t>§ 124 odst. 1 zákona č. 65/1965 Sb., zákoník práce, ve znění zákona č. 74/1994 Sb.</w:t>
      </w:r>
    </w:p>
  </w:footnote>
  <w:footnote w:id="306">
    <w:p w14:paraId="3C816A0D" w14:textId="27519BE9" w:rsidR="00433B76" w:rsidRDefault="00433B76" w:rsidP="001657B7">
      <w:pPr>
        <w:pStyle w:val="Textpoznpodarou"/>
        <w:tabs>
          <w:tab w:val="clear" w:pos="425"/>
          <w:tab w:val="left" w:pos="993"/>
        </w:tabs>
        <w:ind w:left="0" w:firstLine="0"/>
      </w:pPr>
      <w:r>
        <w:rPr>
          <w:rStyle w:val="Znakapoznpodarou"/>
        </w:rPr>
        <w:t>17)</w:t>
      </w:r>
      <w:r>
        <w:t xml:space="preserve"> </w:t>
      </w:r>
      <w:r w:rsidRPr="001657B7">
        <w:rPr>
          <w:strike/>
        </w:rPr>
        <w:t>Zákon č. 93/2009 Sb., o auditorech a o změně některých zákonů (zákon o auditorech), ve znění pozdějších předpisů.</w:t>
      </w:r>
    </w:p>
  </w:footnote>
  <w:footnote w:id="307">
    <w:p w14:paraId="4F9FFB1E" w14:textId="76DF9471" w:rsidR="00433B76" w:rsidRPr="00B97C7B" w:rsidRDefault="00433B76" w:rsidP="001657B7">
      <w:pPr>
        <w:pStyle w:val="Textpoznpodarou"/>
        <w:tabs>
          <w:tab w:val="clear" w:pos="425"/>
          <w:tab w:val="left" w:pos="993"/>
        </w:tabs>
        <w:spacing w:before="0"/>
        <w:ind w:left="0" w:firstLine="0"/>
        <w:rPr>
          <w:vertAlign w:val="superscript"/>
        </w:rPr>
      </w:pPr>
      <w:r>
        <w:rPr>
          <w:rStyle w:val="Znakapoznpodarou"/>
        </w:rPr>
        <w:t>22</w:t>
      </w:r>
      <w:r>
        <w:t xml:space="preserve">) § </w:t>
      </w:r>
      <w:r w:rsidRPr="00515E22">
        <w:t>21 zákona č. 563/1991 Sb., o účetnictví, ve znění pozdějších předpisů.</w:t>
      </w:r>
    </w:p>
  </w:footnote>
  <w:footnote w:id="308">
    <w:p w14:paraId="28DB6788" w14:textId="5F5B3458" w:rsidR="00433B76" w:rsidRDefault="00433B76">
      <w:pPr>
        <w:pStyle w:val="Textpoznpodarou"/>
      </w:pPr>
      <w:r>
        <w:rPr>
          <w:rStyle w:val="Znakapoznpodarou"/>
        </w:rPr>
        <w:t>15)</w:t>
      </w:r>
      <w:r>
        <w:t xml:space="preserve"> </w:t>
      </w:r>
      <w:r w:rsidRPr="00353AB4">
        <w:t>Například občanský zákoník, obchodní zákoník.</w:t>
      </w:r>
    </w:p>
  </w:footnote>
  <w:footnote w:id="309">
    <w:p w14:paraId="00D0C77B" w14:textId="77777777" w:rsidR="00433B76" w:rsidRDefault="00433B76" w:rsidP="00267005">
      <w:pPr>
        <w:pStyle w:val="Textpoznpodarou"/>
        <w:spacing w:before="0"/>
        <w:ind w:left="0" w:firstLine="0"/>
      </w:pPr>
      <w:r>
        <w:rPr>
          <w:rStyle w:val="Znakapoznpodarou"/>
          <w:rFonts w:eastAsiaTheme="majorEastAsia"/>
        </w:rPr>
        <w:t>3b)</w:t>
      </w:r>
      <w:r>
        <w:t xml:space="preserve"> </w:t>
      </w:r>
      <w:r w:rsidRPr="007E157D">
        <w:t>§ 26 zákona č. 500/2004 Sb., správní řád.</w:t>
      </w:r>
    </w:p>
  </w:footnote>
  <w:footnote w:id="310">
    <w:p w14:paraId="6481666A" w14:textId="77777777" w:rsidR="00433B76" w:rsidRDefault="00433B76" w:rsidP="00267005">
      <w:pPr>
        <w:pStyle w:val="Textpoznpodarou"/>
        <w:spacing w:before="0"/>
        <w:ind w:left="0" w:firstLine="0"/>
      </w:pPr>
      <w:r>
        <w:rPr>
          <w:rStyle w:val="Znakapoznpodarou"/>
          <w:rFonts w:eastAsiaTheme="majorEastAsia"/>
        </w:rPr>
        <w:t>15a)</w:t>
      </w:r>
      <w:r>
        <w:t xml:space="preserve"> </w:t>
      </w:r>
      <w:r w:rsidRPr="007E157D">
        <w:t>§ 8 zákona č. 256/2013 Sb., o katastru nemovitostí (katastrální zákon).</w:t>
      </w:r>
    </w:p>
  </w:footnote>
  <w:footnote w:id="311">
    <w:p w14:paraId="5342DB35" w14:textId="77777777" w:rsidR="00433B76" w:rsidRDefault="00433B76" w:rsidP="00267005">
      <w:pPr>
        <w:pStyle w:val="Textpoznpodarou"/>
        <w:spacing w:before="0"/>
        <w:ind w:left="0" w:firstLine="0"/>
      </w:pPr>
      <w:r>
        <w:rPr>
          <w:rStyle w:val="Znakapoznpodarou"/>
          <w:rFonts w:eastAsiaTheme="majorEastAsia"/>
        </w:rPr>
        <w:t>49)</w:t>
      </w:r>
      <w:r>
        <w:t xml:space="preserve"> </w:t>
      </w:r>
      <w:r w:rsidRPr="007E157D">
        <w:t>§ 74 zákona č. 90/2012 Sb., o obchodních společnostech a družstvech (zákon o obchodních korporacích).</w:t>
      </w:r>
    </w:p>
  </w:footnote>
  <w:footnote w:id="312">
    <w:p w14:paraId="3EFC491E" w14:textId="77777777" w:rsidR="00433B76" w:rsidRDefault="00433B76" w:rsidP="00295A35">
      <w:pPr>
        <w:pStyle w:val="Textpoznpodarou"/>
        <w:spacing w:before="0"/>
        <w:ind w:left="0" w:firstLine="0"/>
      </w:pPr>
      <w:r>
        <w:rPr>
          <w:rStyle w:val="Znakapoznpodarou"/>
        </w:rPr>
        <w:t>29)</w:t>
      </w:r>
      <w:r>
        <w:t xml:space="preserve"> </w:t>
      </w:r>
      <w:r w:rsidRPr="00746B65">
        <w:t>Například § 110 a 163 obchodního zákoníku, § 4 zákona č. 248/1995 Sb., o obecně prospěšných společnostech a o změně a doplnění některých zákonů, § 3 zákona č. 227/1997 Sb., o nadacích a nadačních fondech a o změně a doplnění některých souvisejících zákonů (zákon o nadacích a nadačních fondech).</w:t>
      </w:r>
    </w:p>
  </w:footnote>
  <w:footnote w:id="313">
    <w:p w14:paraId="6F8DCE87" w14:textId="77777777" w:rsidR="00433B76" w:rsidRDefault="00433B76" w:rsidP="00295A35">
      <w:pPr>
        <w:pStyle w:val="Textpoznpodarou"/>
        <w:spacing w:before="0"/>
        <w:ind w:left="0" w:firstLine="0"/>
      </w:pPr>
      <w:r>
        <w:rPr>
          <w:rStyle w:val="Znakapoznpodarou"/>
        </w:rPr>
        <w:t>29a)</w:t>
      </w:r>
      <w:r>
        <w:t xml:space="preserve"> </w:t>
      </w:r>
      <w:r w:rsidRPr="00746B65">
        <w:t>Zákon č. 245/2006 Sb., o veřejných neziskových ústavních zdravotnických zařízeních a o změně některých zákonů.</w:t>
      </w:r>
    </w:p>
  </w:footnote>
  <w:footnote w:id="314">
    <w:p w14:paraId="186AF4FF" w14:textId="184028CE" w:rsidR="00433B76" w:rsidRDefault="00433B76">
      <w:pPr>
        <w:pStyle w:val="Textpoznpodarou"/>
      </w:pPr>
      <w:r>
        <w:rPr>
          <w:rStyle w:val="Znakapoznpodarou"/>
        </w:rPr>
        <w:t>32b)</w:t>
      </w:r>
      <w:r>
        <w:t xml:space="preserve"> </w:t>
      </w:r>
      <w:r w:rsidRPr="00353AB4">
        <w:t>Zákon č. 312/2002 Sb., o úřednících územních samosprávných celků a o změně některých zákonů.</w:t>
      </w:r>
    </w:p>
  </w:footnote>
  <w:footnote w:id="315">
    <w:p w14:paraId="0EAC2207" w14:textId="77777777" w:rsidR="00433B76" w:rsidRDefault="00433B76" w:rsidP="00295A35">
      <w:pPr>
        <w:pStyle w:val="Textpoznpodarou"/>
      </w:pPr>
      <w:r>
        <w:rPr>
          <w:rStyle w:val="Znakapoznpodarou"/>
        </w:rPr>
        <w:t>9)</w:t>
      </w:r>
      <w:r>
        <w:t xml:space="preserve"> </w:t>
      </w:r>
      <w:r w:rsidRPr="0078244F">
        <w:t>Například občanský zákoník.</w:t>
      </w:r>
    </w:p>
  </w:footnote>
  <w:footnote w:id="316">
    <w:p w14:paraId="40C48EA9" w14:textId="77777777" w:rsidR="00433B76" w:rsidRDefault="00433B76" w:rsidP="00152046">
      <w:pPr>
        <w:pStyle w:val="Textpoznpodarou"/>
        <w:spacing w:before="0"/>
      </w:pPr>
      <w:r>
        <w:rPr>
          <w:rStyle w:val="Znakapoznpodarou"/>
          <w:rFonts w:eastAsiaTheme="majorEastAsia"/>
        </w:rPr>
        <w:t>9a)</w:t>
      </w:r>
      <w:r>
        <w:t xml:space="preserve"> </w:t>
      </w:r>
      <w:r w:rsidRPr="004E1D94">
        <w:t>§ 8 zákona č. 256/2013 Sb., o katastru nemovitostí (katastrální zákon).</w:t>
      </w:r>
    </w:p>
  </w:footnote>
  <w:footnote w:id="317">
    <w:p w14:paraId="4FA1C93A" w14:textId="77777777" w:rsidR="00433B76" w:rsidRDefault="00433B76" w:rsidP="00152046">
      <w:pPr>
        <w:pStyle w:val="Textpoznpodarou"/>
        <w:spacing w:before="0"/>
      </w:pPr>
      <w:r>
        <w:rPr>
          <w:rStyle w:val="Znakapoznpodarou"/>
          <w:rFonts w:eastAsiaTheme="majorEastAsia"/>
        </w:rPr>
        <w:t>30)</w:t>
      </w:r>
      <w:r>
        <w:t xml:space="preserve"> </w:t>
      </w:r>
      <w:r w:rsidRPr="004E1D94">
        <w:t>§ 74 zákona č. 90/2012 Sb., o obchodních společnostech a družstvech (zákon o obchodních korporacích).</w:t>
      </w:r>
    </w:p>
  </w:footnote>
  <w:footnote w:id="318">
    <w:p w14:paraId="0CB19C20" w14:textId="77777777" w:rsidR="00433B76" w:rsidRDefault="00433B76" w:rsidP="00152046">
      <w:pPr>
        <w:pStyle w:val="Textpoznpodarou"/>
        <w:spacing w:before="0"/>
      </w:pPr>
      <w:r>
        <w:rPr>
          <w:rStyle w:val="Znakapoznpodarou"/>
          <w:rFonts w:eastAsiaTheme="majorEastAsia"/>
        </w:rPr>
        <w:t>9b)</w:t>
      </w:r>
      <w:r>
        <w:t xml:space="preserve"> </w:t>
      </w:r>
      <w:r w:rsidRPr="004E1D94">
        <w:t>§ 25 zákona č. 13/1997 Sb., o pozemních komunikacích, ve znění pozdějších předpisů.</w:t>
      </w:r>
    </w:p>
  </w:footnote>
  <w:footnote w:id="319">
    <w:p w14:paraId="7CA23238" w14:textId="77777777" w:rsidR="00433B76" w:rsidRDefault="00433B76" w:rsidP="00152046">
      <w:pPr>
        <w:pStyle w:val="Textpoznpodarou"/>
        <w:spacing w:before="0"/>
      </w:pPr>
      <w:r>
        <w:rPr>
          <w:rStyle w:val="Znakapoznpodarou"/>
        </w:rPr>
        <w:t>15)</w:t>
      </w:r>
      <w:r>
        <w:t xml:space="preserve"> </w:t>
      </w:r>
      <w:r w:rsidRPr="0078244F">
        <w:t>§ 64 odst. 2 písm. e) zákona č. 182/1993 Sb., o Ústavním soudu.</w:t>
      </w:r>
    </w:p>
  </w:footnote>
  <w:footnote w:id="320">
    <w:p w14:paraId="756D79B7" w14:textId="77777777" w:rsidR="00433B76" w:rsidRDefault="00433B76" w:rsidP="00295A35">
      <w:pPr>
        <w:pStyle w:val="Textpoznpodarou"/>
      </w:pPr>
      <w:r>
        <w:rPr>
          <w:rStyle w:val="Znakapoznpodarou"/>
        </w:rPr>
        <w:t>28)</w:t>
      </w:r>
      <w:r>
        <w:t xml:space="preserve"> </w:t>
      </w:r>
      <w:r w:rsidRPr="0078244F">
        <w:t>§ 2 písm. b) zákona č. 240/2000 Sb., o krizovém řízení a o změně některých zákonů (krizový zákon), ve znění pozdějších předpisů.</w:t>
      </w:r>
    </w:p>
  </w:footnote>
  <w:footnote w:id="321">
    <w:p w14:paraId="69AC0222" w14:textId="77777777" w:rsidR="00433B76" w:rsidRDefault="00433B76" w:rsidP="002445A0">
      <w:pPr>
        <w:pStyle w:val="Textpoznpodarou"/>
      </w:pPr>
      <w:r>
        <w:rPr>
          <w:rStyle w:val="Znakapoznpodarou"/>
        </w:rPr>
        <w:t>11)</w:t>
      </w:r>
      <w:r>
        <w:t xml:space="preserve"> </w:t>
      </w:r>
      <w:r w:rsidRPr="00540F90">
        <w:t>§ 214 a násl. občanského zákoníku.</w:t>
      </w:r>
    </w:p>
  </w:footnote>
  <w:footnote w:id="322">
    <w:p w14:paraId="35E6A39B" w14:textId="77777777" w:rsidR="00433B76" w:rsidRDefault="00433B76" w:rsidP="00152046">
      <w:pPr>
        <w:pStyle w:val="Textpoznpodarou"/>
        <w:spacing w:before="0"/>
      </w:pPr>
      <w:r>
        <w:rPr>
          <w:rStyle w:val="Znakapoznpodarou"/>
          <w:rFonts w:eastAsiaTheme="majorEastAsia"/>
        </w:rPr>
        <w:t>11a)</w:t>
      </w:r>
      <w:r>
        <w:t xml:space="preserve"> </w:t>
      </w:r>
      <w:r w:rsidRPr="00F95166">
        <w:t xml:space="preserve">Zákon č. 420/2004 Sb., o přezkoumávání hospodaření územních samosprávných celků a dobrovolných svazků </w:t>
      </w:r>
    </w:p>
    <w:p w14:paraId="6C1F4BAB" w14:textId="77777777" w:rsidR="00433B76" w:rsidRDefault="00433B76" w:rsidP="00152046">
      <w:pPr>
        <w:pStyle w:val="Textpoznpodarou"/>
        <w:spacing w:before="0"/>
      </w:pPr>
      <w:r w:rsidRPr="00F95166">
        <w:t>obcí.</w:t>
      </w:r>
    </w:p>
  </w:footnote>
  <w:footnote w:id="323">
    <w:p w14:paraId="07A6E193" w14:textId="77777777" w:rsidR="00433B76" w:rsidRDefault="00433B76" w:rsidP="00152046">
      <w:pPr>
        <w:pStyle w:val="Textpoznpodarou"/>
        <w:spacing w:before="0"/>
      </w:pPr>
      <w:r>
        <w:rPr>
          <w:rStyle w:val="Znakapoznpodarou"/>
          <w:rFonts w:eastAsiaTheme="majorEastAsia"/>
        </w:rPr>
        <w:t>30)</w:t>
      </w:r>
      <w:r>
        <w:t xml:space="preserve"> </w:t>
      </w:r>
      <w:r w:rsidRPr="00F95166">
        <w:t>§ 8 zákona č. 256/2013 Sb., o katastru nemovitostí (katastrální zákon).</w:t>
      </w:r>
    </w:p>
  </w:footnote>
  <w:footnote w:id="324">
    <w:p w14:paraId="28288105" w14:textId="77777777" w:rsidR="00433B76" w:rsidRDefault="00433B76" w:rsidP="00152046">
      <w:pPr>
        <w:pStyle w:val="Textpoznpodarou"/>
        <w:spacing w:before="0"/>
      </w:pPr>
      <w:r>
        <w:rPr>
          <w:rStyle w:val="Znakapoznpodarou"/>
          <w:rFonts w:eastAsiaTheme="majorEastAsia"/>
        </w:rPr>
        <w:t>31)</w:t>
      </w:r>
      <w:r>
        <w:t xml:space="preserve"> </w:t>
      </w:r>
      <w:r w:rsidRPr="00F95166">
        <w:t>§ 74 zákona č. 90/2012 Sb., o obchodních společnostech a družstvech (zákon o obchodních korporacích).</w:t>
      </w:r>
    </w:p>
  </w:footnote>
  <w:footnote w:id="325">
    <w:p w14:paraId="2075A2FD" w14:textId="37F8A6A1" w:rsidR="00433B76" w:rsidRDefault="00433B76" w:rsidP="00152046">
      <w:pPr>
        <w:pStyle w:val="Textpoznpodarou"/>
        <w:tabs>
          <w:tab w:val="clear" w:pos="425"/>
          <w:tab w:val="left" w:pos="1560"/>
        </w:tabs>
        <w:spacing w:before="0"/>
        <w:ind w:left="0" w:firstLine="0"/>
      </w:pPr>
      <w:r>
        <w:rPr>
          <w:rStyle w:val="Znakapoznpodarou"/>
        </w:rPr>
        <w:t>25)</w:t>
      </w:r>
      <w:r w:rsidRPr="00EB5EEE">
        <w:t xml:space="preserve"> </w:t>
      </w:r>
      <w:r>
        <w:t>Zákon č. 320/2001 Sb., o finanční kontrole ve veřejné správě a o změně některých zákonů (zákon o finanční kontrole), ve znění pozdějších předpisů.</w:t>
      </w:r>
    </w:p>
    <w:p w14:paraId="79E0E73E" w14:textId="718FA8E4" w:rsidR="00433B76" w:rsidRDefault="00433B76" w:rsidP="00152046">
      <w:pPr>
        <w:pStyle w:val="Textpoznpodarou"/>
        <w:tabs>
          <w:tab w:val="clear" w:pos="425"/>
          <w:tab w:val="left" w:pos="1560"/>
        </w:tabs>
        <w:spacing w:before="0"/>
        <w:ind w:left="0" w:firstLine="0"/>
      </w:pPr>
      <w:r>
        <w:t>Zákon č. 420/2004 Sb., o přezkoumávání hospodaření územních samosprávných celků a dobrovolných svazků obcí, ve znění zákona č. 413/2005 Sb.</w:t>
      </w:r>
    </w:p>
  </w:footnote>
  <w:footnote w:id="326">
    <w:p w14:paraId="7FD68B40" w14:textId="423824C8" w:rsidR="00433B76" w:rsidRDefault="00433B76" w:rsidP="00152046">
      <w:pPr>
        <w:pStyle w:val="Textpoznpodarou"/>
        <w:spacing w:before="0"/>
        <w:ind w:left="0" w:firstLine="0"/>
      </w:pPr>
      <w:r>
        <w:rPr>
          <w:rStyle w:val="Znakapoznpodarou"/>
        </w:rPr>
        <w:t>26)</w:t>
      </w:r>
      <w:r>
        <w:t>.</w:t>
      </w:r>
      <w:r w:rsidRPr="00540F90">
        <w:t>Zákon č. 337/1992 Sb., o správě daní a poplatků, ve znění pozdějších předpisů.</w:t>
      </w:r>
    </w:p>
  </w:footnote>
  <w:footnote w:id="327">
    <w:p w14:paraId="6214108D" w14:textId="77777777" w:rsidR="00433B76" w:rsidRPr="00395CC6" w:rsidRDefault="00433B76" w:rsidP="00395CC6">
      <w:pPr>
        <w:pStyle w:val="Textpoznpodarou"/>
        <w:spacing w:before="0"/>
      </w:pPr>
      <w:r>
        <w:rPr>
          <w:rStyle w:val="Znakapoznpodarou"/>
        </w:rPr>
        <w:t>2a)</w:t>
      </w:r>
      <w:r>
        <w:t xml:space="preserve"> </w:t>
      </w:r>
      <w:r w:rsidRPr="00395CC6">
        <w:t xml:space="preserve">§ 8b odst. 3 zákona č. 218/2000 Sb., o rozpočtových pravidlech a o změně některých souvisejících zákonů </w:t>
      </w:r>
    </w:p>
    <w:p w14:paraId="36CBCECF" w14:textId="77777777" w:rsidR="00433B76" w:rsidRDefault="00433B76" w:rsidP="00395CC6">
      <w:pPr>
        <w:pStyle w:val="Textpoznpodarou"/>
        <w:spacing w:before="0"/>
      </w:pPr>
      <w:r w:rsidRPr="00395CC6">
        <w:t>(rozpočtová pravidla), ve znění zákona č. 482/2004 Sb.</w:t>
      </w:r>
    </w:p>
  </w:footnote>
  <w:footnote w:id="328">
    <w:p w14:paraId="40A84253" w14:textId="77777777" w:rsidR="00433B76" w:rsidRDefault="00433B76" w:rsidP="00CC338F">
      <w:pPr>
        <w:pStyle w:val="Textpoznpodarou"/>
        <w:spacing w:before="0"/>
      </w:pPr>
      <w:r>
        <w:rPr>
          <w:rStyle w:val="Znakapoznpodarou"/>
        </w:rPr>
        <w:t>4)</w:t>
      </w:r>
      <w:r>
        <w:t xml:space="preserve"> Zákon č. 21/1992 Sb., o bankách, ve znění pozdějších předpisů.</w:t>
      </w:r>
    </w:p>
  </w:footnote>
  <w:footnote w:id="329">
    <w:p w14:paraId="120552FB" w14:textId="77777777" w:rsidR="00433B76" w:rsidRDefault="00433B76" w:rsidP="00CC338F">
      <w:pPr>
        <w:pStyle w:val="Textpoznpodarou"/>
        <w:spacing w:before="0"/>
      </w:pPr>
      <w:r>
        <w:rPr>
          <w:rStyle w:val="Znakapoznpodarou"/>
        </w:rPr>
        <w:t>3)</w:t>
      </w:r>
      <w:r>
        <w:t xml:space="preserve"> Čl. 99 ústavního zákona č. 1/1993 Sb., Ústava České republiky.</w:t>
      </w:r>
    </w:p>
  </w:footnote>
  <w:footnote w:id="330">
    <w:p w14:paraId="714D1F14" w14:textId="77777777" w:rsidR="00433B76" w:rsidRDefault="00433B76" w:rsidP="00CC338F">
      <w:pPr>
        <w:pStyle w:val="Textpoznpodarou"/>
        <w:spacing w:before="0"/>
      </w:pPr>
      <w:r>
        <w:rPr>
          <w:rStyle w:val="Znakapoznpodarou"/>
        </w:rPr>
        <w:t>3a)</w:t>
      </w:r>
      <w:r>
        <w:t xml:space="preserve"> Článek 2 odst. 1 písm. a) rozhodnutí Rady 2014/335/EU, Euratom ze dne 26. května 2014 o systému vlastních </w:t>
      </w:r>
    </w:p>
    <w:p w14:paraId="36AE2F70" w14:textId="77777777" w:rsidR="00433B76" w:rsidRDefault="00433B76" w:rsidP="00CC338F">
      <w:pPr>
        <w:pStyle w:val="Textpoznpodarou"/>
        <w:spacing w:before="0"/>
      </w:pPr>
      <w:r>
        <w:t>zdrojů Evropské unie.</w:t>
      </w:r>
    </w:p>
  </w:footnote>
  <w:footnote w:id="331">
    <w:p w14:paraId="535EA830" w14:textId="77777777" w:rsidR="00433B76" w:rsidRDefault="00433B76" w:rsidP="00CC338F">
      <w:pPr>
        <w:pStyle w:val="Textpoznpodarou"/>
        <w:spacing w:before="0"/>
      </w:pPr>
      <w:r>
        <w:rPr>
          <w:rStyle w:val="Znakapoznpodarou"/>
        </w:rPr>
        <w:t>47)</w:t>
      </w:r>
      <w:r>
        <w:t xml:space="preserve"> § 20 zákona č. 592/1992 Sb., o pojistném na veřejné zdravotní pojištění.</w:t>
      </w:r>
    </w:p>
  </w:footnote>
  <w:footnote w:id="332">
    <w:p w14:paraId="716724BB" w14:textId="77777777" w:rsidR="00433B76" w:rsidRDefault="00433B76" w:rsidP="00CC338F">
      <w:pPr>
        <w:pStyle w:val="Textpoznpodarou"/>
        <w:spacing w:before="0"/>
      </w:pPr>
      <w:r>
        <w:rPr>
          <w:rStyle w:val="Znakapoznpodarou"/>
        </w:rPr>
        <w:t>51)</w:t>
      </w:r>
      <w:r>
        <w:t xml:space="preserve"> Například § 6 odst. 2 písm. e) vyhlášky č. 418/2003 Sb., kterou se stanoví podrobnější vymezení okruhu a výše </w:t>
      </w:r>
    </w:p>
    <w:p w14:paraId="1CF91E56" w14:textId="77777777" w:rsidR="00433B76" w:rsidRDefault="00433B76" w:rsidP="00CC338F">
      <w:pPr>
        <w:pStyle w:val="Textpoznpodarou"/>
        <w:spacing w:before="0"/>
      </w:pPr>
      <w:r>
        <w:t xml:space="preserve">příjmů a výdajů fondů veřejného zdravotního pojištění zdravotních pojišťoven, podmínky jejich tvorby, užití, </w:t>
      </w:r>
    </w:p>
    <w:p w14:paraId="1C0D7B39" w14:textId="77777777" w:rsidR="00433B76" w:rsidRDefault="00433B76" w:rsidP="00CC338F">
      <w:pPr>
        <w:pStyle w:val="Textpoznpodarou"/>
        <w:spacing w:before="0"/>
      </w:pPr>
      <w:r>
        <w:t xml:space="preserve">přípustnosti vzájemných převodů finančních prostředků a hospodaření s nimi, limit nákladů na činnost zdravotních </w:t>
      </w:r>
    </w:p>
    <w:p w14:paraId="4C3CF31A" w14:textId="77777777" w:rsidR="00433B76" w:rsidRDefault="00433B76" w:rsidP="00CC338F">
      <w:pPr>
        <w:pStyle w:val="Textpoznpodarou"/>
        <w:spacing w:before="0"/>
      </w:pPr>
      <w:r>
        <w:t xml:space="preserve">pojišťoven krytých ze zdrojů základního fondu včetně postupu propočtu tohoto limitu, ve znění vyhlášky č. </w:t>
      </w:r>
    </w:p>
    <w:p w14:paraId="59470B87" w14:textId="77777777" w:rsidR="00433B76" w:rsidRDefault="00433B76" w:rsidP="00CC338F">
      <w:pPr>
        <w:pStyle w:val="Textpoznpodarou"/>
        <w:spacing w:before="0"/>
      </w:pPr>
      <w:r>
        <w:t xml:space="preserve">656/2004 Sb., vyhlášky č. 519/2005 Sb., vyhlášky č. 356/2007 Sb., vyhlášky č. 127/2010 Sb., vyhlášky č. 302/2012 </w:t>
      </w:r>
    </w:p>
    <w:p w14:paraId="15922724" w14:textId="77777777" w:rsidR="00433B76" w:rsidRDefault="00433B76" w:rsidP="00CC338F">
      <w:pPr>
        <w:pStyle w:val="Textpoznpodarou"/>
        <w:spacing w:before="0"/>
      </w:pPr>
      <w:r>
        <w:t>Sb. a vyhlášky č. 280/2014 Sb.</w:t>
      </w:r>
    </w:p>
  </w:footnote>
  <w:footnote w:id="333">
    <w:p w14:paraId="22F4558A" w14:textId="77777777" w:rsidR="00433B76" w:rsidRDefault="00433B76" w:rsidP="00CC338F">
      <w:pPr>
        <w:pStyle w:val="Textpoznpodarou"/>
        <w:spacing w:before="0"/>
      </w:pPr>
      <w:r>
        <w:rPr>
          <w:rStyle w:val="Znakapoznpodarou"/>
        </w:rPr>
        <w:t>4a)</w:t>
      </w:r>
      <w:r>
        <w:t xml:space="preserve"> Nařízení (EU, Euratom) č. 966/2012 Evropského parlamentu a Rady ze dne 25. října 2012, kterým se stanoví </w:t>
      </w:r>
    </w:p>
    <w:p w14:paraId="12825139" w14:textId="77777777" w:rsidR="00433B76" w:rsidRDefault="00433B76" w:rsidP="00CC338F">
      <w:pPr>
        <w:pStyle w:val="Textpoznpodarou"/>
        <w:spacing w:before="0"/>
      </w:pPr>
      <w:r>
        <w:t>finanční pravidla o souhrnném rozpočtu Unie a o zrušení nařízení Rady (ES, Euratom) č. 1605/2002.</w:t>
      </w:r>
    </w:p>
    <w:p w14:paraId="2C72B320" w14:textId="77777777" w:rsidR="00433B76" w:rsidRDefault="00433B76" w:rsidP="00CC338F">
      <w:pPr>
        <w:pStyle w:val="Textpoznpodarou"/>
        <w:spacing w:before="0"/>
      </w:pPr>
      <w:r>
        <w:t xml:space="preserve">Nařízení Evropského parlamentu a Rady (EU) č. 1300/2013 ze dne 17. prosince 2013 o Fondu soudržnosti a o </w:t>
      </w:r>
    </w:p>
    <w:p w14:paraId="474EAE0A" w14:textId="77777777" w:rsidR="00433B76" w:rsidRDefault="00433B76" w:rsidP="00CC338F">
      <w:pPr>
        <w:pStyle w:val="Textpoznpodarou"/>
        <w:spacing w:before="0"/>
      </w:pPr>
      <w:r>
        <w:t>zrušení nařízení Rady (ES) č. 1084/2006.</w:t>
      </w:r>
    </w:p>
    <w:p w14:paraId="30778030" w14:textId="77777777" w:rsidR="00433B76" w:rsidRDefault="00433B76" w:rsidP="00CC338F">
      <w:pPr>
        <w:pStyle w:val="Textpoznpodarou"/>
        <w:spacing w:before="0"/>
      </w:pPr>
      <w:r>
        <w:t xml:space="preserve">Nařízení Evropského parlamentu a Rady (EU) č. 1301/2013 ze dne 17. prosince 2013 o Evropském fondu pro </w:t>
      </w:r>
    </w:p>
    <w:p w14:paraId="737D8102" w14:textId="77777777" w:rsidR="00433B76" w:rsidRDefault="00433B76" w:rsidP="00CC338F">
      <w:pPr>
        <w:pStyle w:val="Textpoznpodarou"/>
        <w:spacing w:before="0"/>
      </w:pPr>
      <w:r>
        <w:t xml:space="preserve">regionální rozvoj, o zvláštních ustanoveních týkajících se cíle Investice pro růst a zaměstnanost a o zrušení nařízení </w:t>
      </w:r>
    </w:p>
    <w:p w14:paraId="30CB262F" w14:textId="77777777" w:rsidR="00433B76" w:rsidRDefault="00433B76" w:rsidP="00CC338F">
      <w:pPr>
        <w:pStyle w:val="Textpoznpodarou"/>
        <w:spacing w:before="0"/>
      </w:pPr>
      <w:r>
        <w:t>(ES) č. 1080/2006.</w:t>
      </w:r>
    </w:p>
    <w:p w14:paraId="7C84A7AC" w14:textId="77777777" w:rsidR="00433B76" w:rsidRDefault="00433B76" w:rsidP="00CC338F">
      <w:pPr>
        <w:pStyle w:val="Textpoznpodarou"/>
        <w:spacing w:before="0"/>
      </w:pPr>
      <w:r>
        <w:t xml:space="preserve">Nařízení Evropského parlamentu a Rady (EU) č. 1303/2013 ze dne 17. prosince 2013 o společných ustanoveních </w:t>
      </w:r>
    </w:p>
    <w:p w14:paraId="08216015" w14:textId="77777777" w:rsidR="00433B76" w:rsidRDefault="00433B76" w:rsidP="00CC338F">
      <w:pPr>
        <w:pStyle w:val="Textpoznpodarou"/>
        <w:spacing w:before="0"/>
      </w:pPr>
      <w:r>
        <w:t xml:space="preserve">o Evropském fondu pro regionální rozvoj, Evropském sociálním fondu, Fondu soudržnosti, Evropském </w:t>
      </w:r>
    </w:p>
    <w:p w14:paraId="036FBD01" w14:textId="77777777" w:rsidR="00433B76" w:rsidRDefault="00433B76" w:rsidP="00CC338F">
      <w:pPr>
        <w:pStyle w:val="Textpoznpodarou"/>
        <w:spacing w:before="0"/>
      </w:pPr>
      <w:r>
        <w:t xml:space="preserve">zemědělském fondu pro rozvoj venkova a Evropském námořním a rybářském fondu, o obecných ustanoveních o </w:t>
      </w:r>
    </w:p>
    <w:p w14:paraId="70B28BC1" w14:textId="77777777" w:rsidR="00433B76" w:rsidRDefault="00433B76" w:rsidP="00CC338F">
      <w:pPr>
        <w:pStyle w:val="Textpoznpodarou"/>
        <w:spacing w:before="0"/>
      </w:pPr>
      <w:r>
        <w:t xml:space="preserve">Evropském fondu pro regionální rozvoj, Evropském sociálním fondu, Fondu soudržnosti a Evropském námořním </w:t>
      </w:r>
    </w:p>
    <w:p w14:paraId="0CA85464" w14:textId="77777777" w:rsidR="00433B76" w:rsidRDefault="00433B76" w:rsidP="00CC338F">
      <w:pPr>
        <w:pStyle w:val="Textpoznpodarou"/>
        <w:spacing w:before="0"/>
      </w:pPr>
      <w:r>
        <w:t>a rybářském fondu a o zrušení nařízení Rady (ES) č. 1083/2006.</w:t>
      </w:r>
    </w:p>
    <w:p w14:paraId="30BA3BBF" w14:textId="77777777" w:rsidR="00433B76" w:rsidRDefault="00433B76" w:rsidP="00CC338F">
      <w:pPr>
        <w:pStyle w:val="Textpoznpodarou"/>
        <w:spacing w:before="0"/>
      </w:pPr>
      <w:r>
        <w:t xml:space="preserve">Nařízení Evropského parlamentu a Rady (EU) č. 1304/2013 ze dne 17. prosince 2013 o Evropském sociálním </w:t>
      </w:r>
    </w:p>
    <w:p w14:paraId="7392E9CC" w14:textId="77777777" w:rsidR="00433B76" w:rsidRDefault="00433B76" w:rsidP="00CC338F">
      <w:pPr>
        <w:pStyle w:val="Textpoznpodarou"/>
        <w:spacing w:before="0"/>
      </w:pPr>
      <w:r>
        <w:t xml:space="preserve">fondu a o zrušení nařízení Rady (ES) č. 1081/2006. Nařízení Evropského parlamentu a Rady č. 1305/2013 ze dne </w:t>
      </w:r>
    </w:p>
    <w:p w14:paraId="66202806" w14:textId="77777777" w:rsidR="00433B76" w:rsidRDefault="00433B76" w:rsidP="00CC338F">
      <w:pPr>
        <w:pStyle w:val="Textpoznpodarou"/>
        <w:spacing w:before="0"/>
      </w:pPr>
      <w:r>
        <w:t xml:space="preserve">17. prosince 2013 o podpoře pro rozvoj venkova z Evropského zemědělského fondu pro rozvoj venkova (EZFRV) </w:t>
      </w:r>
    </w:p>
    <w:p w14:paraId="7AAC6430" w14:textId="77777777" w:rsidR="00433B76" w:rsidRDefault="00433B76" w:rsidP="00CC338F">
      <w:pPr>
        <w:pStyle w:val="Textpoznpodarou"/>
        <w:spacing w:before="0"/>
      </w:pPr>
      <w:r>
        <w:t>a o zrušení nařízení Rady (ES) č. 1698/2005.</w:t>
      </w:r>
    </w:p>
    <w:p w14:paraId="428C88DD" w14:textId="77777777" w:rsidR="00433B76" w:rsidRDefault="00433B76" w:rsidP="00CC338F">
      <w:pPr>
        <w:pStyle w:val="Textpoznpodarou"/>
        <w:spacing w:before="0"/>
      </w:pPr>
      <w:r>
        <w:t xml:space="preserve">Nařízení Evropského parlamentu a Rady (EU) č. 508/2014 ze dne 15. května 2014 o Evropském námořním a </w:t>
      </w:r>
    </w:p>
    <w:p w14:paraId="246B50D7" w14:textId="77777777" w:rsidR="00433B76" w:rsidRDefault="00433B76" w:rsidP="00CC338F">
      <w:pPr>
        <w:pStyle w:val="Textpoznpodarou"/>
        <w:spacing w:before="0"/>
      </w:pPr>
      <w:r>
        <w:t xml:space="preserve">rybářském fondu a o zrušení nařízení Rady (ES) č. 2328/2003, (ES) č. 861/2006, (ES) č. 1198/2006 a (ES) č. </w:t>
      </w:r>
    </w:p>
    <w:p w14:paraId="440917AE" w14:textId="77777777" w:rsidR="00433B76" w:rsidRDefault="00433B76" w:rsidP="00CC338F">
      <w:pPr>
        <w:pStyle w:val="Textpoznpodarou"/>
        <w:spacing w:before="0"/>
      </w:pPr>
      <w:r>
        <w:t>791/2007 a nařízení Evropského parlamentu a Rady (EU) č. 1255/2011.</w:t>
      </w:r>
    </w:p>
  </w:footnote>
  <w:footnote w:id="334">
    <w:p w14:paraId="2BDE444E" w14:textId="77777777" w:rsidR="00433B76" w:rsidRDefault="00433B76" w:rsidP="00CC338F">
      <w:pPr>
        <w:pStyle w:val="Textpoznpodarou"/>
        <w:spacing w:before="0"/>
      </w:pPr>
      <w:r>
        <w:rPr>
          <w:rStyle w:val="Znakapoznpodarou"/>
        </w:rPr>
        <w:t>4d)</w:t>
      </w:r>
      <w:r>
        <w:t xml:space="preserve"> § 2 odst. 2 obchodního zákoníku.</w:t>
      </w:r>
    </w:p>
  </w:footnote>
  <w:footnote w:id="335">
    <w:p w14:paraId="08EF32DD" w14:textId="77777777" w:rsidR="00433B76" w:rsidRDefault="00433B76" w:rsidP="00CC338F">
      <w:pPr>
        <w:pStyle w:val="Textpoznpodarou"/>
        <w:spacing w:before="0"/>
        <w:ind w:left="0" w:firstLine="0"/>
      </w:pPr>
      <w:r>
        <w:rPr>
          <w:rStyle w:val="Znakapoznpodarou"/>
        </w:rPr>
        <w:t>12)</w:t>
      </w:r>
      <w:r>
        <w:t xml:space="preserve"> </w:t>
      </w:r>
      <w:r w:rsidRPr="006F30EB">
        <w:t>Zákon č. 2/1969 Sb., o zřízení ministerstev a jiných ústředních orgánů státní správy České republiky, ve znění pozdějších předpisů.</w:t>
      </w:r>
    </w:p>
  </w:footnote>
  <w:footnote w:id="336">
    <w:p w14:paraId="5B7F098C" w14:textId="77777777" w:rsidR="00433B76" w:rsidRDefault="00433B76" w:rsidP="00681D7E">
      <w:pPr>
        <w:pStyle w:val="Textpoznpodarou"/>
        <w:ind w:left="0" w:firstLine="0"/>
      </w:pPr>
      <w:r>
        <w:rPr>
          <w:rStyle w:val="Znakapoznpodarou"/>
        </w:rPr>
        <w:t>16a)</w:t>
      </w:r>
      <w:r>
        <w:t xml:space="preserve"> </w:t>
      </w:r>
      <w:r w:rsidRPr="00A13892">
        <w:t>Čl. 14 Nařízení Rady (ES) č. 659/1999 ze dne 22. března 1999, kterým se stanoví prováděcí pravidla k článku 93 Smlouvy o založení Evropského společenství.</w:t>
      </w:r>
    </w:p>
  </w:footnote>
  <w:footnote w:id="337">
    <w:p w14:paraId="339E21B8" w14:textId="77777777" w:rsidR="00433B76" w:rsidRDefault="00433B76" w:rsidP="00681D7E">
      <w:pPr>
        <w:pStyle w:val="Textpoznpodarou"/>
        <w:ind w:left="0" w:firstLine="0"/>
      </w:pPr>
      <w:r>
        <w:rPr>
          <w:rStyle w:val="Znakapoznpodarou"/>
        </w:rPr>
        <w:t>16b)</w:t>
      </w:r>
      <w:r>
        <w:t xml:space="preserve"> </w:t>
      </w:r>
      <w:r w:rsidRPr="00A13892">
        <w:t>Čl. 11 Nařízení Rady (ES) č. 659/1999 ze dne 22. března 1999, kterým se stanoví prováděcí pravidla k článku 93 Smlouvy o založení Evropského společenství.</w:t>
      </w:r>
    </w:p>
  </w:footnote>
  <w:footnote w:id="338">
    <w:p w14:paraId="54804BDC" w14:textId="77777777" w:rsidR="00433B76" w:rsidRPr="008C00E2" w:rsidRDefault="00433B76" w:rsidP="00681D7E">
      <w:pPr>
        <w:pStyle w:val="Textpoznpodarou"/>
        <w:rPr>
          <w:strike/>
        </w:rPr>
      </w:pPr>
      <w:r w:rsidRPr="008C00E2">
        <w:rPr>
          <w:rStyle w:val="Znakapoznpodarou"/>
          <w:strike/>
        </w:rPr>
        <w:t>16)</w:t>
      </w:r>
      <w:r w:rsidRPr="008C00E2">
        <w:rPr>
          <w:strike/>
        </w:rPr>
        <w:t xml:space="preserve"> Zákon č. 563/1991 Sb., ve znění pozdějších předpisů.</w:t>
      </w:r>
    </w:p>
  </w:footnote>
  <w:footnote w:id="339">
    <w:p w14:paraId="58EB23B7" w14:textId="77777777" w:rsidR="00433B76" w:rsidRDefault="00433B76" w:rsidP="00681D7E">
      <w:pPr>
        <w:pStyle w:val="Textpoznpodarou"/>
        <w:ind w:left="0" w:firstLine="0"/>
      </w:pPr>
      <w:r>
        <w:rPr>
          <w:rStyle w:val="Znakapoznpodarou"/>
        </w:rPr>
        <w:t>11f)</w:t>
      </w:r>
      <w:r>
        <w:t xml:space="preserve"> </w:t>
      </w:r>
      <w:r w:rsidRPr="00814221">
        <w:t>Článek 2 odst. 1 písm. b) a c) rozhodnutí Rady 2014/335/EU, Euratom ze dne 26. května 2014 o systému vlastních zdrojů Evropské unie.</w:t>
      </w:r>
    </w:p>
  </w:footnote>
  <w:footnote w:id="340">
    <w:p w14:paraId="4FC619CB" w14:textId="77777777" w:rsidR="00433B76" w:rsidRDefault="00433B76" w:rsidP="00681D7E">
      <w:pPr>
        <w:pStyle w:val="Textpoznpodarou"/>
      </w:pPr>
      <w:r>
        <w:rPr>
          <w:rStyle w:val="Znakapoznpodarou"/>
        </w:rPr>
        <w:t>21)</w:t>
      </w:r>
      <w:r>
        <w:t xml:space="preserve"> </w:t>
      </w:r>
      <w:r w:rsidRPr="00814221">
        <w:t>Zákon č. 77/1997 Sb., o státním podniku, ve znění pozdějších předpisů.</w:t>
      </w:r>
    </w:p>
  </w:footnote>
  <w:footnote w:id="341">
    <w:p w14:paraId="7DD85350" w14:textId="77777777" w:rsidR="00433B76" w:rsidRDefault="00433B76" w:rsidP="00C50555">
      <w:pPr>
        <w:pStyle w:val="Textpoznpodarou"/>
        <w:spacing w:before="0"/>
      </w:pPr>
      <w:r>
        <w:rPr>
          <w:rStyle w:val="Znakapoznpodarou"/>
        </w:rPr>
        <w:t>24b)</w:t>
      </w:r>
      <w:r>
        <w:t xml:space="preserve"> § 6 odst. 1 zákona č. 97/1993 Sb., o působnosti Správy státních hmotných rezerv.</w:t>
      </w:r>
    </w:p>
  </w:footnote>
  <w:footnote w:id="342">
    <w:p w14:paraId="6F012AB5" w14:textId="77777777" w:rsidR="00433B76" w:rsidRDefault="00433B76" w:rsidP="00C50555">
      <w:pPr>
        <w:pStyle w:val="Textpoznpodarou"/>
        <w:spacing w:before="0"/>
      </w:pPr>
      <w:r>
        <w:rPr>
          <w:rStyle w:val="Znakapoznpodarou"/>
        </w:rPr>
        <w:t>25)</w:t>
      </w:r>
      <w:r>
        <w:t xml:space="preserve"> Nařízení vlády č. 137/1989 Sb., o závodním stravování.</w:t>
      </w:r>
    </w:p>
  </w:footnote>
  <w:footnote w:id="343">
    <w:p w14:paraId="1AD04B55" w14:textId="77777777" w:rsidR="00433B76" w:rsidRDefault="00433B76" w:rsidP="00C50555">
      <w:pPr>
        <w:pStyle w:val="Textpoznpodarou"/>
        <w:spacing w:before="0"/>
      </w:pPr>
      <w:r>
        <w:rPr>
          <w:rStyle w:val="Znakapoznpodarou"/>
        </w:rPr>
        <w:t>25a)</w:t>
      </w:r>
      <w:r>
        <w:t xml:space="preserve"> Článek 2 rozhodnutí Rady 2014/335/EU, Euratom ze dne 26. května 2014 o systému vlastních zdrojů Evropské </w:t>
      </w:r>
    </w:p>
    <w:p w14:paraId="43E6ACCF" w14:textId="77777777" w:rsidR="00433B76" w:rsidRDefault="00433B76" w:rsidP="00C50555">
      <w:pPr>
        <w:pStyle w:val="Textpoznpodarou"/>
        <w:spacing w:before="0"/>
      </w:pPr>
      <w:r>
        <w:t>unie.</w:t>
      </w:r>
    </w:p>
  </w:footnote>
  <w:footnote w:id="344">
    <w:p w14:paraId="03804C22" w14:textId="77777777" w:rsidR="00433B76" w:rsidRDefault="00433B76" w:rsidP="00C50555">
      <w:pPr>
        <w:pStyle w:val="Textpoznpodarou"/>
        <w:spacing w:before="0"/>
      </w:pPr>
      <w:r>
        <w:rPr>
          <w:rStyle w:val="Znakapoznpodarou"/>
        </w:rPr>
        <w:t>45)</w:t>
      </w:r>
      <w:r>
        <w:t xml:space="preserve"> § 23a zákona č. 168/1999 Sb., o pojištění odpovědnosti za újmu způsobenou provozem vozidla a o změně </w:t>
      </w:r>
    </w:p>
    <w:p w14:paraId="6BF55A0A" w14:textId="77777777" w:rsidR="00433B76" w:rsidRDefault="00433B76" w:rsidP="00C50555">
      <w:pPr>
        <w:pStyle w:val="Textpoznpodarou"/>
        <w:spacing w:before="0"/>
      </w:pPr>
      <w:r>
        <w:t xml:space="preserve">některých souvisejících zákonů (zákon o pojištění odpovědnosti z provozu vozidla), ve znění zákona č. 160/2013 </w:t>
      </w:r>
    </w:p>
    <w:p w14:paraId="3E8C197C" w14:textId="77777777" w:rsidR="00433B76" w:rsidRDefault="00433B76" w:rsidP="00C50555">
      <w:pPr>
        <w:pStyle w:val="Textpoznpodarou"/>
        <w:spacing w:before="0"/>
      </w:pPr>
      <w:r>
        <w:t>Sb.</w:t>
      </w:r>
    </w:p>
  </w:footnote>
  <w:footnote w:id="345">
    <w:p w14:paraId="1FBA7A99" w14:textId="77777777" w:rsidR="00433B76" w:rsidRDefault="00433B76" w:rsidP="00C50555">
      <w:pPr>
        <w:pStyle w:val="Textpoznpodarou"/>
        <w:spacing w:before="0"/>
      </w:pPr>
      <w:r>
        <w:rPr>
          <w:rStyle w:val="Znakapoznpodarou"/>
        </w:rPr>
        <w:t>46)</w:t>
      </w:r>
      <w:r>
        <w:t xml:space="preserve"> § 23a odst. 3 zákona č. 168/1999 Sb., ve znění zákona č. 160/2013 Sb.</w:t>
      </w:r>
    </w:p>
  </w:footnote>
  <w:footnote w:id="346">
    <w:p w14:paraId="4FFDFD2C" w14:textId="77777777" w:rsidR="00433B76" w:rsidRDefault="00433B76" w:rsidP="00F8201B">
      <w:pPr>
        <w:pStyle w:val="Textpoznpodarou"/>
        <w:spacing w:before="0"/>
      </w:pPr>
      <w:r>
        <w:rPr>
          <w:rStyle w:val="Znakapoznpodarou"/>
        </w:rPr>
        <w:t>26)</w:t>
      </w:r>
      <w:r>
        <w:t xml:space="preserve"> Zákon č. 114/1988 Sb., o působnosti orgánů České republiky v sociálním zabezpečení, ve znění pozdějších </w:t>
      </w:r>
    </w:p>
    <w:p w14:paraId="5DE666A9" w14:textId="77777777" w:rsidR="00433B76" w:rsidRDefault="00433B76" w:rsidP="00F8201B">
      <w:pPr>
        <w:pStyle w:val="Textpoznpodarou"/>
        <w:spacing w:before="0"/>
      </w:pPr>
      <w:r>
        <w:t xml:space="preserve">předpisů. Vyhláška č. 182/1991 Sb., kterou se provádí zákon o sociálním zabezpečení a zákon o působnosti orgánů </w:t>
      </w:r>
    </w:p>
    <w:p w14:paraId="6AFD4DE3" w14:textId="77777777" w:rsidR="00433B76" w:rsidRDefault="00433B76" w:rsidP="00F8201B">
      <w:pPr>
        <w:pStyle w:val="Textpoznpodarou"/>
        <w:spacing w:before="0"/>
      </w:pPr>
      <w:r>
        <w:t>České republiky v sociálním zabezpečení, ve znění pozdějších předpisů.</w:t>
      </w:r>
    </w:p>
  </w:footnote>
  <w:footnote w:id="347">
    <w:p w14:paraId="12A1FE45" w14:textId="77777777" w:rsidR="00433B76" w:rsidRDefault="00433B76" w:rsidP="00F8201B">
      <w:pPr>
        <w:pStyle w:val="Textpoznpodarou"/>
        <w:spacing w:before="0"/>
      </w:pPr>
      <w:r>
        <w:rPr>
          <w:rStyle w:val="Znakapoznpodarou"/>
        </w:rPr>
        <w:t>35)</w:t>
      </w:r>
      <w:r>
        <w:t xml:space="preserve"> § 6 odst. 4 zákona č. 178/2005 Sb., o zrušení Fondu národního majetku České republiky a o působnosti </w:t>
      </w:r>
    </w:p>
    <w:p w14:paraId="6BA459D5" w14:textId="77777777" w:rsidR="00433B76" w:rsidRDefault="00433B76" w:rsidP="00F8201B">
      <w:pPr>
        <w:pStyle w:val="Textpoznpodarou"/>
        <w:spacing w:before="0"/>
      </w:pPr>
      <w:r>
        <w:t>Ministerstva financí při privatizaci majetku České republiky (zákon o zrušení Fondu národního majetku).</w:t>
      </w:r>
    </w:p>
  </w:footnote>
  <w:footnote w:id="348">
    <w:p w14:paraId="1B172622" w14:textId="77777777" w:rsidR="00433B76" w:rsidRDefault="00433B76" w:rsidP="00F8201B">
      <w:pPr>
        <w:pStyle w:val="Textpoznpodarou"/>
        <w:spacing w:before="0"/>
      </w:pPr>
      <w:r>
        <w:rPr>
          <w:rStyle w:val="Znakapoznpodarou"/>
        </w:rPr>
        <w:t>28)</w:t>
      </w:r>
      <w:r>
        <w:t xml:space="preserve"> Například zákon č. 2/1969 Sb., ve znění pozdějších předpisů, zákon č. 114/1993 Sb., o Kanceláři prezidenta </w:t>
      </w:r>
    </w:p>
    <w:p w14:paraId="621EB39A" w14:textId="77777777" w:rsidR="00433B76" w:rsidRDefault="00433B76" w:rsidP="00F8201B">
      <w:pPr>
        <w:pStyle w:val="Textpoznpodarou"/>
        <w:spacing w:before="0"/>
      </w:pPr>
      <w:r>
        <w:t>republiky, ve znění pozdějších předpisů.</w:t>
      </w:r>
    </w:p>
  </w:footnote>
  <w:footnote w:id="349">
    <w:p w14:paraId="4EDCFF33" w14:textId="77777777" w:rsidR="00433B76" w:rsidRDefault="00433B76" w:rsidP="00F8201B">
      <w:pPr>
        <w:pStyle w:val="Textpoznpodarou"/>
        <w:spacing w:before="0"/>
      </w:pPr>
      <w:r>
        <w:rPr>
          <w:rStyle w:val="Znakapoznpodarou"/>
        </w:rPr>
        <w:t>1)</w:t>
      </w:r>
      <w:r>
        <w:t xml:space="preserve"> § 3, 7 a 51 zákona č. 219/2000 Sb., o majetku České republiky a jejím vystupování v právních vztazích, ve znění </w:t>
      </w:r>
    </w:p>
    <w:p w14:paraId="0F3722B8" w14:textId="77777777" w:rsidR="00433B76" w:rsidRDefault="00433B76" w:rsidP="00F8201B">
      <w:pPr>
        <w:pStyle w:val="Textpoznpodarou"/>
        <w:spacing w:before="0"/>
      </w:pPr>
      <w:r>
        <w:t>pozdějších předpisů.</w:t>
      </w:r>
    </w:p>
  </w:footnote>
  <w:footnote w:id="350">
    <w:p w14:paraId="513BA27E" w14:textId="77777777" w:rsidR="00433B76" w:rsidRDefault="00433B76" w:rsidP="00F8201B">
      <w:pPr>
        <w:pStyle w:val="Textpoznpodarou"/>
        <w:spacing w:before="0"/>
        <w:rPr>
          <w:strike/>
        </w:rPr>
      </w:pPr>
      <w:r>
        <w:rPr>
          <w:rStyle w:val="Znakapoznpodarou"/>
          <w:strike/>
        </w:rPr>
        <w:t>52)</w:t>
      </w:r>
      <w:r>
        <w:rPr>
          <w:strike/>
        </w:rPr>
        <w:t xml:space="preserve"> Zákon č. 428/2012 Sb., o majetkovém vyrovnání s církvemi a náboženskými společnostmi a o změně některých </w:t>
      </w:r>
    </w:p>
    <w:p w14:paraId="77D597B5" w14:textId="77777777" w:rsidR="00433B76" w:rsidRDefault="00433B76" w:rsidP="00F8201B">
      <w:pPr>
        <w:pStyle w:val="Textpoznpodarou"/>
        <w:spacing w:before="0"/>
        <w:rPr>
          <w:strike/>
        </w:rPr>
      </w:pPr>
      <w:r>
        <w:rPr>
          <w:strike/>
        </w:rPr>
        <w:t xml:space="preserve">zákonů (zákon o majetkovém vyrovnání s církvemi a náboženskými společnostmi), ve znění zákona č. 177/2013 </w:t>
      </w:r>
    </w:p>
    <w:p w14:paraId="5829F616" w14:textId="77777777" w:rsidR="00433B76" w:rsidRDefault="00433B76" w:rsidP="00F8201B">
      <w:pPr>
        <w:pStyle w:val="Textpoznpodarou"/>
        <w:spacing w:before="0"/>
      </w:pPr>
      <w:r>
        <w:rPr>
          <w:strike/>
        </w:rPr>
        <w:t>Sb.</w:t>
      </w:r>
    </w:p>
  </w:footnote>
  <w:footnote w:id="351">
    <w:p w14:paraId="5CD2833B" w14:textId="77777777" w:rsidR="00433B76" w:rsidRDefault="00433B76" w:rsidP="00681D7E">
      <w:pPr>
        <w:pStyle w:val="Textpoznpodarou"/>
        <w:rPr>
          <w:strike/>
        </w:rPr>
      </w:pPr>
      <w:r>
        <w:rPr>
          <w:rStyle w:val="Znakapoznpodarou"/>
          <w:strike/>
        </w:rPr>
        <w:t>16)</w:t>
      </w:r>
      <w:r>
        <w:rPr>
          <w:strike/>
        </w:rPr>
        <w:t xml:space="preserve"> Zákon č. 563/1991 Sb., ve znění pozdějších předpisů.</w:t>
      </w:r>
    </w:p>
  </w:footnote>
  <w:footnote w:id="352">
    <w:p w14:paraId="13015517" w14:textId="77777777" w:rsidR="00433B76" w:rsidRDefault="00433B76" w:rsidP="00F8201B">
      <w:pPr>
        <w:pStyle w:val="Textpoznpodarou"/>
        <w:spacing w:before="0"/>
        <w:rPr>
          <w:strike/>
        </w:rPr>
      </w:pPr>
      <w:r>
        <w:rPr>
          <w:rStyle w:val="Znakapoznpodarou"/>
          <w:strike/>
        </w:rPr>
        <w:t>29)</w:t>
      </w:r>
      <w:r>
        <w:rPr>
          <w:strike/>
        </w:rPr>
        <w:t xml:space="preserve"> Nařízení vlády č. 48/1995 Sb., o usměrňování výše prostředků vynakládaných na platy a odměny za pracovní </w:t>
      </w:r>
    </w:p>
    <w:p w14:paraId="352A00FD" w14:textId="77777777" w:rsidR="00433B76" w:rsidRDefault="00433B76" w:rsidP="00F8201B">
      <w:pPr>
        <w:pStyle w:val="Textpoznpodarou"/>
        <w:spacing w:before="0"/>
      </w:pPr>
      <w:r>
        <w:rPr>
          <w:strike/>
        </w:rPr>
        <w:t>pohotovost v rozpočtových a v některých dalších organizacích a orgánech, ve znění pozdějších předpisů.</w:t>
      </w:r>
    </w:p>
  </w:footnote>
  <w:footnote w:id="353">
    <w:p w14:paraId="6DB682AF" w14:textId="77777777" w:rsidR="00433B76" w:rsidRDefault="00433B76" w:rsidP="00096616">
      <w:pPr>
        <w:pStyle w:val="Textpoznpodarou"/>
        <w:spacing w:before="0"/>
        <w:ind w:left="0" w:firstLine="0"/>
      </w:pPr>
      <w:r>
        <w:rPr>
          <w:rStyle w:val="Znakapoznpodarou"/>
        </w:rPr>
        <w:t>5)</w:t>
      </w:r>
      <w:r>
        <w:t xml:space="preserve"> </w:t>
      </w:r>
      <w:r w:rsidRPr="007F1D34">
        <w:t>Čl. 79 odst. 1 Ústavy.</w:t>
      </w:r>
    </w:p>
  </w:footnote>
  <w:footnote w:id="354">
    <w:p w14:paraId="0DC062EC" w14:textId="77777777" w:rsidR="00433B76" w:rsidRDefault="00433B76" w:rsidP="00183D70">
      <w:pPr>
        <w:pStyle w:val="Textpoznpodarou"/>
        <w:spacing w:before="0"/>
      </w:pPr>
      <w:r>
        <w:rPr>
          <w:rStyle w:val="Znakapoznpodarou"/>
        </w:rPr>
        <w:t>16)</w:t>
      </w:r>
      <w:r>
        <w:t xml:space="preserve"> </w:t>
      </w:r>
      <w:r w:rsidRPr="007F1D34">
        <w:t>Zákon č. 526/1990 Sb., o cenách, ve znění pozdějších předpisů.</w:t>
      </w:r>
    </w:p>
  </w:footnote>
  <w:footnote w:id="355">
    <w:p w14:paraId="289FA837" w14:textId="77777777" w:rsidR="00433B76" w:rsidRDefault="00433B76" w:rsidP="00183D70">
      <w:pPr>
        <w:pStyle w:val="Textpoznpodarou"/>
        <w:spacing w:before="0"/>
        <w:rPr>
          <w:strike/>
        </w:rPr>
      </w:pPr>
      <w:r w:rsidRPr="002B43E0">
        <w:rPr>
          <w:rStyle w:val="Znakapoznpodarou"/>
          <w:strike/>
        </w:rPr>
        <w:t>17)</w:t>
      </w:r>
      <w:r w:rsidRPr="002B43E0">
        <w:rPr>
          <w:strike/>
        </w:rPr>
        <w:t xml:space="preserve"> Zákon č. 151/1997 Sb., o oceňování majetku a o změně některých zákonů (zákon o oceňování majetku).</w:t>
      </w:r>
    </w:p>
    <w:p w14:paraId="10050D77" w14:textId="77777777" w:rsidR="00433B76" w:rsidRPr="002B43E0" w:rsidRDefault="00433B76" w:rsidP="00183D70">
      <w:pPr>
        <w:pStyle w:val="Textpoznpodarou"/>
        <w:spacing w:before="0"/>
        <w:rPr>
          <w:b/>
          <w:strike/>
        </w:rPr>
      </w:pPr>
      <w:r w:rsidRPr="002B43E0">
        <w:rPr>
          <w:b/>
          <w:vertAlign w:val="superscript"/>
        </w:rPr>
        <w:t xml:space="preserve">17) </w:t>
      </w:r>
      <w:r w:rsidRPr="002B43E0">
        <w:rPr>
          <w:b/>
        </w:rPr>
        <w:t>Zákon č. 151/1997 Sb., o oceňování a o změně některých zákonů (zákon o oceňování</w:t>
      </w:r>
      <w:r>
        <w:rPr>
          <w:b/>
        </w:rPr>
        <w:t>).</w:t>
      </w:r>
    </w:p>
  </w:footnote>
  <w:footnote w:id="356">
    <w:p w14:paraId="2CE24CA6" w14:textId="77777777" w:rsidR="00433B76" w:rsidRPr="002B43E0" w:rsidRDefault="00433B76" w:rsidP="00183D70">
      <w:pPr>
        <w:pStyle w:val="Textpoznpodarou"/>
        <w:spacing w:before="0"/>
      </w:pPr>
      <w:r w:rsidRPr="002B43E0">
        <w:rPr>
          <w:rStyle w:val="Znakapoznpodarou"/>
        </w:rPr>
        <w:t>17a)</w:t>
      </w:r>
      <w:r w:rsidRPr="002B43E0">
        <w:t xml:space="preserve"> Například zákon č. 26/2000 Sb., o veřejných dražbách, ve znění pozdějších předpisů, zákon č. 99/1963 Sb., </w:t>
      </w:r>
    </w:p>
    <w:p w14:paraId="00A33B8C" w14:textId="77777777" w:rsidR="00433B76" w:rsidRDefault="00433B76" w:rsidP="00183D70">
      <w:pPr>
        <w:pStyle w:val="Textpoznpodarou"/>
        <w:spacing w:before="0"/>
      </w:pPr>
      <w:r w:rsidRPr="002B43E0">
        <w:t>občanský soudní řád, ve znění pozdějších předpisů.</w:t>
      </w:r>
    </w:p>
  </w:footnote>
  <w:footnote w:id="357">
    <w:p w14:paraId="11302907" w14:textId="77777777" w:rsidR="00433B76" w:rsidRPr="004C0B79" w:rsidRDefault="00433B76" w:rsidP="005814F1">
      <w:pPr>
        <w:pStyle w:val="Textpoznpodarou"/>
        <w:rPr>
          <w:strike/>
        </w:rPr>
      </w:pPr>
      <w:r w:rsidRPr="00C81529">
        <w:rPr>
          <w:rStyle w:val="Znakapoznpodarou"/>
          <w:strike/>
        </w:rPr>
        <w:t>25)</w:t>
      </w:r>
      <w:r w:rsidRPr="00C81529">
        <w:rPr>
          <w:strike/>
        </w:rPr>
        <w:t xml:space="preserve"> Například zákon č. 563/1991 Sb., o účetnictví, ve znění pozdějších předpisů.</w:t>
      </w:r>
    </w:p>
  </w:footnote>
  <w:footnote w:id="358">
    <w:p w14:paraId="7FA2A9BD" w14:textId="77777777" w:rsidR="00433B76" w:rsidRDefault="00433B76" w:rsidP="00183D70">
      <w:pPr>
        <w:pStyle w:val="Textpoznpodarou"/>
        <w:spacing w:before="0"/>
        <w:ind w:left="0" w:firstLine="0"/>
      </w:pPr>
      <w:r>
        <w:rPr>
          <w:rStyle w:val="Znakapoznpodarou"/>
        </w:rPr>
        <w:t>28a)</w:t>
      </w:r>
      <w:r>
        <w:t xml:space="preserve"> </w:t>
      </w:r>
      <w:r w:rsidRPr="00035A4F">
        <w:t>§ 124 a 285 zákona č. 104/2013 Sb., o mezinárodní justiční spolupráci ve věcech trestních, ve znění pozdějších předpisů</w:t>
      </w:r>
      <w:r>
        <w:t>.</w:t>
      </w:r>
    </w:p>
  </w:footnote>
  <w:footnote w:id="359">
    <w:p w14:paraId="1E56A5D8" w14:textId="77777777" w:rsidR="00433B76" w:rsidRDefault="00433B76" w:rsidP="00183D70">
      <w:pPr>
        <w:pStyle w:val="Textpoznpodarou"/>
        <w:spacing w:before="0"/>
        <w:ind w:left="0" w:firstLine="0"/>
      </w:pPr>
      <w:r>
        <w:rPr>
          <w:rStyle w:val="Znakapoznpodarou"/>
        </w:rPr>
        <w:t>28b)</w:t>
      </w:r>
      <w:r>
        <w:t xml:space="preserve"> </w:t>
      </w:r>
      <w:r w:rsidRPr="00035A4F">
        <w:t xml:space="preserve">Nařízení Evropského parlamentu a Rady (EU) </w:t>
      </w:r>
      <w:hyperlink r:id="rId32" w:history="1">
        <w:r w:rsidRPr="00035A4F">
          <w:t>2018/1805</w:t>
        </w:r>
      </w:hyperlink>
      <w:r w:rsidRPr="00035A4F">
        <w:t xml:space="preserve"> ze dne 14. listopadu 2018 o vzájemném uznávání příkazů k zajištění a příkazů ke konfiskaci.</w:t>
      </w:r>
    </w:p>
  </w:footnote>
  <w:footnote w:id="360">
    <w:p w14:paraId="7D251A2B" w14:textId="77777777" w:rsidR="00433B76" w:rsidRDefault="00433B76" w:rsidP="00183D70">
      <w:pPr>
        <w:pStyle w:val="Textpoznpodarou"/>
        <w:spacing w:before="0"/>
      </w:pPr>
      <w:r>
        <w:rPr>
          <w:rStyle w:val="Znakapoznpodarou"/>
        </w:rPr>
        <w:t>97)</w:t>
      </w:r>
      <w:r>
        <w:t xml:space="preserve"> </w:t>
      </w:r>
      <w:r w:rsidRPr="00035A4F">
        <w:t>§ 135, 290 a 297l zákona č. 104/2013 Sb., ve znění pozdějších předpisů.</w:t>
      </w:r>
    </w:p>
  </w:footnote>
  <w:footnote w:id="361">
    <w:p w14:paraId="37B1E553" w14:textId="77777777" w:rsidR="00433B76" w:rsidRDefault="00433B76" w:rsidP="00696527">
      <w:pPr>
        <w:pStyle w:val="Textpoznpodarou"/>
      </w:pPr>
      <w:r>
        <w:rPr>
          <w:rStyle w:val="Znakapoznpodarou"/>
        </w:rPr>
        <w:t>4a)</w:t>
      </w:r>
      <w:r>
        <w:t xml:space="preserve"> </w:t>
      </w:r>
      <w:r w:rsidRPr="003F36EA">
        <w:t>§ 58 zákona č. 337/1992 Sb., ve znění pozdějších předpisů.</w:t>
      </w:r>
    </w:p>
  </w:footnote>
  <w:footnote w:id="362">
    <w:p w14:paraId="40F3E678" w14:textId="43F9C985" w:rsidR="00433B76" w:rsidRPr="00B03BF2" w:rsidRDefault="00433B76" w:rsidP="00AA4F35">
      <w:pPr>
        <w:pStyle w:val="Textpoznpodarou"/>
        <w:spacing w:before="0"/>
        <w:rPr>
          <w:strike/>
        </w:rPr>
      </w:pPr>
      <w:r w:rsidRPr="00B03BF2">
        <w:rPr>
          <w:rStyle w:val="Znakapoznpodarou"/>
          <w:strike/>
        </w:rPr>
        <w:t>7c)</w:t>
      </w:r>
      <w:r w:rsidRPr="00B03BF2">
        <w:rPr>
          <w:strike/>
        </w:rPr>
        <w:t xml:space="preserve"> Zákon č. 563/1991 Sb., o účetnictví, ve znění pozdějších předpisů.</w:t>
      </w:r>
    </w:p>
  </w:footnote>
  <w:footnote w:id="363">
    <w:p w14:paraId="6C5642ED" w14:textId="002D728E" w:rsidR="00433B76" w:rsidRDefault="00433B76" w:rsidP="00AA4F35">
      <w:pPr>
        <w:pStyle w:val="Textpoznpodarou"/>
        <w:spacing w:before="0"/>
      </w:pPr>
      <w:r w:rsidRPr="00B03BF2">
        <w:rPr>
          <w:rStyle w:val="Znakapoznpodarou"/>
          <w:strike/>
        </w:rPr>
        <w:t>7d)</w:t>
      </w:r>
      <w:r w:rsidRPr="00B03BF2">
        <w:rPr>
          <w:strike/>
        </w:rPr>
        <w:t xml:space="preserve"> Zákon č. 93/2009 Sb., o auditorech a o změně některých zákonů (zákon o auditorech).</w:t>
      </w:r>
    </w:p>
  </w:footnote>
  <w:footnote w:id="364">
    <w:p w14:paraId="4D4B83D5" w14:textId="77777777" w:rsidR="00433B76" w:rsidRPr="00A94C63" w:rsidRDefault="00433B76" w:rsidP="00696527">
      <w:pPr>
        <w:pStyle w:val="Textpoznpodarou"/>
        <w:rPr>
          <w:strike/>
        </w:rPr>
      </w:pPr>
      <w:r w:rsidRPr="00AF491A">
        <w:rPr>
          <w:rStyle w:val="Znakapoznpodarou"/>
          <w:strike/>
        </w:rPr>
        <w:t>4)</w:t>
      </w:r>
      <w:r w:rsidRPr="00AF491A">
        <w:rPr>
          <w:strike/>
        </w:rPr>
        <w:t xml:space="preserve"> Zákon č. 563/1991 Sb., o účetnictví, ve znění pozdějších předpisů.</w:t>
      </w:r>
    </w:p>
  </w:footnote>
  <w:footnote w:id="365">
    <w:p w14:paraId="650D6D3A" w14:textId="77777777" w:rsidR="00433B76" w:rsidRPr="00FD4EEA" w:rsidRDefault="00433B76" w:rsidP="003B6895">
      <w:pPr>
        <w:pStyle w:val="Textpoznpodarou"/>
        <w:spacing w:before="0"/>
        <w:rPr>
          <w:strike/>
        </w:rPr>
      </w:pPr>
      <w:r w:rsidRPr="00FD4EEA">
        <w:rPr>
          <w:rStyle w:val="Znakapoznpodarou"/>
          <w:strike/>
        </w:rPr>
        <w:t>5)</w:t>
      </w:r>
      <w:r w:rsidRPr="00FD4EEA">
        <w:rPr>
          <w:strike/>
        </w:rPr>
        <w:t xml:space="preserve"> § 657 a násl. občanského zákoníku.</w:t>
      </w:r>
    </w:p>
  </w:footnote>
  <w:footnote w:id="366">
    <w:p w14:paraId="4F2424A8" w14:textId="77777777" w:rsidR="00433B76" w:rsidRPr="00FD4EEA" w:rsidRDefault="00433B76" w:rsidP="003B6895">
      <w:pPr>
        <w:pStyle w:val="Textpoznpodarou"/>
        <w:spacing w:before="0"/>
      </w:pPr>
      <w:r w:rsidRPr="00FD4EEA">
        <w:rPr>
          <w:rStyle w:val="Znakapoznpodarou"/>
          <w:strike/>
        </w:rPr>
        <w:t>6)</w:t>
      </w:r>
      <w:r w:rsidRPr="00FD4EEA">
        <w:rPr>
          <w:strike/>
        </w:rPr>
        <w:t xml:space="preserve"> § 497 a násl. obchodního zákoníku.</w:t>
      </w:r>
    </w:p>
  </w:footnote>
  <w:footnote w:id="367">
    <w:p w14:paraId="389F3206" w14:textId="77777777" w:rsidR="00433B76" w:rsidRDefault="00433B76" w:rsidP="00696527">
      <w:pPr>
        <w:pStyle w:val="Textpoznpodarou"/>
        <w:tabs>
          <w:tab w:val="clear" w:pos="425"/>
        </w:tabs>
        <w:ind w:left="284" w:hanging="284"/>
      </w:pPr>
      <w:r w:rsidRPr="00270C3A">
        <w:rPr>
          <w:rStyle w:val="Znakapoznpodarou"/>
        </w:rPr>
        <w:t>22)</w:t>
      </w:r>
      <w:r w:rsidRPr="00270C3A">
        <w:t xml:space="preserve"> </w:t>
      </w:r>
      <w:r w:rsidRPr="00270C3A">
        <w:tab/>
        <w:t>Například § 160 až 163 zákona č. 561/2004 Sb., o předškolním, základním, středním, vyšším odborném a jiném vzdělávání (školský zákon), ve znění zákona č. 383/2005 Sb., zákona č. 343/2007 Sb., zákona č. 42/2009 Sb. a zákona č. 458/2011 Sb., nebo zákon č. 108/2006 Sb., o sociálních službách, ve znění pozdějších předpisů.</w:t>
      </w:r>
    </w:p>
  </w:footnote>
  <w:footnote w:id="368">
    <w:p w14:paraId="4E4EE6B9" w14:textId="77777777" w:rsidR="00433B76" w:rsidRDefault="00433B76" w:rsidP="003B6895">
      <w:pPr>
        <w:pStyle w:val="Textpoznpodarou"/>
        <w:spacing w:before="0"/>
      </w:pPr>
      <w:r>
        <w:rPr>
          <w:rStyle w:val="Znakapoznpodarou"/>
        </w:rPr>
        <w:t>10)</w:t>
      </w:r>
      <w:r>
        <w:t xml:space="preserve"> § 84 zákona č. 128/2000 Sb.</w:t>
      </w:r>
    </w:p>
    <w:p w14:paraId="43F6192E" w14:textId="77777777" w:rsidR="00433B76" w:rsidRDefault="00433B76" w:rsidP="003B6895">
      <w:pPr>
        <w:pStyle w:val="Textpoznpodarou"/>
        <w:spacing w:before="0"/>
        <w:ind w:left="0" w:firstLine="0"/>
      </w:pPr>
      <w:r>
        <w:t>§ 35 zákona č. 129/2000 Sb.</w:t>
      </w:r>
    </w:p>
    <w:p w14:paraId="5330C89C" w14:textId="77777777" w:rsidR="00433B76" w:rsidRDefault="00433B76" w:rsidP="003B6895">
      <w:pPr>
        <w:pStyle w:val="Textpoznpodarou"/>
        <w:spacing w:before="0"/>
      </w:pPr>
      <w:r>
        <w:t>§ 59 zákona č. 131/2000 Sb.</w:t>
      </w:r>
    </w:p>
    <w:p w14:paraId="118CECC7" w14:textId="77777777" w:rsidR="00433B76" w:rsidRDefault="00433B76" w:rsidP="003B6895">
      <w:pPr>
        <w:pStyle w:val="Textpoznpodarou"/>
        <w:spacing w:before="0"/>
      </w:pPr>
      <w:r>
        <w:rPr>
          <w:rStyle w:val="Znakapoznpodarou"/>
        </w:rPr>
        <w:t>11)</w:t>
      </w:r>
      <w:r>
        <w:t xml:space="preserve"> § 42 zákona č. 128/2000 Sb., ve znění pozdějších předpisů.</w:t>
      </w:r>
    </w:p>
    <w:p w14:paraId="66645B8B" w14:textId="77777777" w:rsidR="00433B76" w:rsidRDefault="00433B76" w:rsidP="003B6895">
      <w:pPr>
        <w:pStyle w:val="Textpoznpodarou"/>
        <w:spacing w:before="0"/>
      </w:pPr>
      <w:r>
        <w:t>§ 20 zákona č.129/2000 Sb., ve znění pozdějších předpisů.</w:t>
      </w:r>
    </w:p>
    <w:p w14:paraId="3318C7C0" w14:textId="77777777" w:rsidR="00433B76" w:rsidRDefault="00433B76" w:rsidP="003B6895">
      <w:pPr>
        <w:pStyle w:val="Textpoznpodarou"/>
        <w:spacing w:before="0"/>
      </w:pPr>
      <w:r>
        <w:t>§ 38 zákona č.131/2000 Sb., ve znění pozdějších předpisů.</w:t>
      </w:r>
    </w:p>
  </w:footnote>
  <w:footnote w:id="369">
    <w:p w14:paraId="58B3EBF0" w14:textId="77777777" w:rsidR="00433B76" w:rsidRDefault="00433B76" w:rsidP="003B6895">
      <w:pPr>
        <w:pStyle w:val="Textpoznpodarou"/>
        <w:tabs>
          <w:tab w:val="clear" w:pos="425"/>
        </w:tabs>
        <w:spacing w:before="0"/>
        <w:ind w:left="284" w:hanging="284"/>
      </w:pPr>
      <w:r>
        <w:rPr>
          <w:rStyle w:val="Znakapoznpodarou"/>
        </w:rPr>
        <w:t>11b)</w:t>
      </w:r>
      <w:r>
        <w:t xml:space="preserve"> </w:t>
      </w:r>
      <w:r w:rsidRPr="009F3F8F">
        <w:t>Zákon č. 420/2004 Sb., o přezkoumávání hospodaření územních samosprávn</w:t>
      </w:r>
      <w:r>
        <w:t xml:space="preserve">ých celků a dobrovolných svazků </w:t>
      </w:r>
      <w:r w:rsidRPr="009F3F8F">
        <w:t>obcí.</w:t>
      </w:r>
    </w:p>
  </w:footnote>
  <w:footnote w:id="370">
    <w:p w14:paraId="096F3234" w14:textId="77777777" w:rsidR="00433B76" w:rsidRDefault="00433B76" w:rsidP="003B6895">
      <w:pPr>
        <w:pStyle w:val="Textpoznpodarou"/>
        <w:spacing w:before="0"/>
        <w:ind w:left="0" w:firstLine="0"/>
      </w:pPr>
      <w:r>
        <w:rPr>
          <w:rStyle w:val="Znakapoznpodarou"/>
        </w:rPr>
        <w:t>21)</w:t>
      </w:r>
      <w:r>
        <w:t xml:space="preserve"> </w:t>
      </w:r>
      <w:r w:rsidRPr="009F3F8F">
        <w:t>§ 10 zákona č. 420/2004 Sb., o přezkoumávání hospodaření územních samosprávných celků a dobrovolných svazků obcí.</w:t>
      </w:r>
    </w:p>
  </w:footnote>
  <w:footnote w:id="371">
    <w:p w14:paraId="4AC96C33" w14:textId="77777777" w:rsidR="00433B76" w:rsidRDefault="00433B76" w:rsidP="0096635B">
      <w:pPr>
        <w:pStyle w:val="Textpoznpodarou"/>
        <w:spacing w:before="0"/>
      </w:pPr>
      <w:r>
        <w:rPr>
          <w:rStyle w:val="Znakapoznpodarou"/>
        </w:rPr>
        <w:t>10a)</w:t>
      </w:r>
      <w:r>
        <w:t xml:space="preserve"> </w:t>
      </w:r>
      <w:r w:rsidRPr="00DF5DBF">
        <w:t xml:space="preserve">Zákon č. 320/2001 Sb., o finanční kontrole ve veřejné správě a o změně některých zákonů (zákon o </w:t>
      </w:r>
    </w:p>
    <w:p w14:paraId="2C48B99E" w14:textId="77777777" w:rsidR="00433B76" w:rsidRDefault="00433B76" w:rsidP="0096635B">
      <w:pPr>
        <w:pStyle w:val="Textpoznpodarou"/>
        <w:spacing w:before="0"/>
      </w:pPr>
      <w:r w:rsidRPr="00DF5DBF">
        <w:t>finanční kontrole), ve znění pozdějších předpisů.</w:t>
      </w:r>
    </w:p>
  </w:footnote>
  <w:footnote w:id="372">
    <w:p w14:paraId="7D05BB1C" w14:textId="77777777" w:rsidR="00433B76" w:rsidRDefault="00433B76" w:rsidP="0096635B">
      <w:pPr>
        <w:pStyle w:val="Textpoznpodarou"/>
        <w:spacing w:before="0"/>
      </w:pPr>
      <w:r>
        <w:rPr>
          <w:rStyle w:val="Znakapoznpodarou"/>
        </w:rPr>
        <w:t>13)</w:t>
      </w:r>
      <w:r>
        <w:t xml:space="preserve"> </w:t>
      </w:r>
      <w:r w:rsidRPr="00DF5DBF">
        <w:t>§ 67 odst. 1 písm. a) zákona č. 129/2000 Sb., o krajích (krajské zřízení), ve znění pozdějších předpisů.</w:t>
      </w:r>
    </w:p>
  </w:footnote>
  <w:footnote w:id="373">
    <w:p w14:paraId="5FE823C5" w14:textId="77777777" w:rsidR="00433B76" w:rsidRDefault="00433B76" w:rsidP="0096635B">
      <w:pPr>
        <w:pStyle w:val="Textpoznpodarou"/>
        <w:spacing w:before="0"/>
      </w:pPr>
      <w:r>
        <w:rPr>
          <w:rStyle w:val="Znakapoznpodarou"/>
        </w:rPr>
        <w:t>14)</w:t>
      </w:r>
      <w:r>
        <w:t xml:space="preserve"> </w:t>
      </w:r>
      <w:r w:rsidRPr="00DF5DBF">
        <w:t>§ 81 odst. 3 písm. a) zákona č. 131/2000 Sb., o hlavním městě Praze.</w:t>
      </w:r>
    </w:p>
  </w:footnote>
  <w:footnote w:id="374">
    <w:p w14:paraId="67B12D7B" w14:textId="77777777" w:rsidR="00433B76" w:rsidRDefault="00433B76" w:rsidP="0096635B">
      <w:pPr>
        <w:pStyle w:val="Textpoznpodarou"/>
        <w:spacing w:before="0"/>
      </w:pPr>
      <w:r>
        <w:rPr>
          <w:rStyle w:val="Znakapoznpodarou"/>
        </w:rPr>
        <w:t>25)</w:t>
      </w:r>
      <w:r>
        <w:t xml:space="preserve"> </w:t>
      </w:r>
      <w:r w:rsidRPr="0032623B">
        <w:t>§ 87 zákona č. 128/2000 Sb., ve znění zákona č. 22/2004 Sb.</w:t>
      </w:r>
    </w:p>
  </w:footnote>
  <w:footnote w:id="375">
    <w:p w14:paraId="59B0C45F" w14:textId="2009B8E4" w:rsidR="00433B76" w:rsidRDefault="00433B76" w:rsidP="00190928">
      <w:pPr>
        <w:pStyle w:val="Textpoznpodarou"/>
        <w:tabs>
          <w:tab w:val="clear" w:pos="425"/>
          <w:tab w:val="left" w:pos="426"/>
        </w:tabs>
        <w:ind w:left="0" w:firstLine="0"/>
      </w:pPr>
      <w:r w:rsidRPr="00B356AA">
        <w:rPr>
          <w:rStyle w:val="Znakapoznpodarou"/>
        </w:rPr>
        <w:t>26a)</w:t>
      </w:r>
      <w:r>
        <w:t xml:space="preserve"> </w:t>
      </w:r>
      <w:r w:rsidRPr="00E57B38">
        <w:t>Zákon č. 102/2001 Sb., o obecné bezpečnosti výrobků a o změně některých zákonů (zákon o obecné bezpečnosti výrobků), ve znění zákona č. 146/2002 Sb.</w:t>
      </w:r>
    </w:p>
  </w:footnote>
  <w:footnote w:id="376">
    <w:p w14:paraId="46B40BC7" w14:textId="16935129" w:rsidR="00433B76" w:rsidRDefault="00433B76" w:rsidP="00B356AA">
      <w:pPr>
        <w:pStyle w:val="Textpoznpodarou"/>
        <w:tabs>
          <w:tab w:val="clear" w:pos="425"/>
          <w:tab w:val="left" w:pos="993"/>
        </w:tabs>
        <w:spacing w:before="0"/>
        <w:ind w:left="0" w:firstLine="0"/>
      </w:pPr>
      <w:r>
        <w:rPr>
          <w:rStyle w:val="Znakapoznpodarou"/>
        </w:rPr>
        <w:t>33a)</w:t>
      </w:r>
      <w:r w:rsidRPr="00E57B38">
        <w:t xml:space="preserve"> </w:t>
      </w:r>
      <w:r w:rsidRPr="00B356AA">
        <w:t>Zákon č. 18/1997 Sb., o mírovém využívání jaderné energie a ionizujícího záření (atomový zákon) a o změně a doplnění některých zákonů, ve znění pozdějších předpisů.</w:t>
      </w:r>
    </w:p>
  </w:footnote>
  <w:footnote w:id="377">
    <w:p w14:paraId="5697E67E" w14:textId="3172CE4F" w:rsidR="00433B76" w:rsidRPr="00B356AA" w:rsidRDefault="00433B76" w:rsidP="00B356AA">
      <w:pPr>
        <w:pStyle w:val="Textpoznpodarou"/>
        <w:tabs>
          <w:tab w:val="clear" w:pos="425"/>
          <w:tab w:val="left" w:pos="993"/>
        </w:tabs>
        <w:spacing w:before="0"/>
        <w:ind w:left="0" w:firstLine="0"/>
      </w:pPr>
      <w:r w:rsidRPr="00B356AA">
        <w:rPr>
          <w:rStyle w:val="Znakapoznpodarou"/>
        </w:rPr>
        <w:t>45)</w:t>
      </w:r>
      <w:r w:rsidRPr="00B356AA">
        <w:t xml:space="preserve"> </w:t>
      </w:r>
      <w:r w:rsidRPr="00190928">
        <w:t>Vyhláška č. 342/1997 Sb., kterou se stanoví postup při uznávání nemocí z povolání a vydává seznam zdravotnických zařízení, která tyto nemoci uznávají.</w:t>
      </w:r>
    </w:p>
  </w:footnote>
  <w:footnote w:id="378">
    <w:p w14:paraId="05CF30E3" w14:textId="1FDD43AD" w:rsidR="00433B76" w:rsidRPr="00B356AA" w:rsidRDefault="00433B76" w:rsidP="00B356AA">
      <w:pPr>
        <w:pStyle w:val="Textpoznpodarou"/>
        <w:tabs>
          <w:tab w:val="clear" w:pos="425"/>
          <w:tab w:val="left" w:pos="993"/>
        </w:tabs>
        <w:spacing w:before="0"/>
        <w:ind w:left="0" w:firstLine="0"/>
      </w:pPr>
      <w:r w:rsidRPr="00190928">
        <w:rPr>
          <w:rStyle w:val="Znakapoznpodarou"/>
        </w:rPr>
        <w:t>61)</w:t>
      </w:r>
      <w:r w:rsidRPr="00190928">
        <w:rPr>
          <w:rStyle w:val="Znakapoznpodarou"/>
          <w:vertAlign w:val="baseline"/>
        </w:rPr>
        <w:t xml:space="preserve"> </w:t>
      </w:r>
      <w:r w:rsidRPr="00190928">
        <w:t>Zákon č. 373/2011 Sb., o specifických zdravotních službách.</w:t>
      </w:r>
    </w:p>
  </w:footnote>
  <w:footnote w:id="379">
    <w:p w14:paraId="38421DCB" w14:textId="769F4B65" w:rsidR="00433B76" w:rsidRDefault="00433B76" w:rsidP="00B356AA">
      <w:pPr>
        <w:pStyle w:val="Textpoznpodarou"/>
        <w:tabs>
          <w:tab w:val="clear" w:pos="425"/>
          <w:tab w:val="left" w:pos="993"/>
        </w:tabs>
        <w:spacing w:before="0"/>
        <w:ind w:left="0" w:firstLine="0"/>
      </w:pPr>
      <w:r w:rsidRPr="00B356AA">
        <w:rPr>
          <w:rStyle w:val="Znakapoznpodarou"/>
        </w:rPr>
        <w:t>84)</w:t>
      </w:r>
      <w:r>
        <w:t xml:space="preserve"> </w:t>
      </w:r>
      <w:r w:rsidRPr="00B356AA">
        <w:t>§ 12 zákona č. 309/2006 Sb., kterým se upravují další požadavky bezpečnosti a ochrany zdraví při práci v pracovněprávních vztazích a o zajištění bezpečnosti a ochrany zdraví při činnosti nebo poskytování služeb mimo pracovněprávní vztahy (zákon o zajištění dalších podmínek bezpečnosti a ochrany zdraví při práci).</w:t>
      </w:r>
    </w:p>
  </w:footnote>
  <w:footnote w:id="380">
    <w:p w14:paraId="6543C722" w14:textId="75690031" w:rsidR="00433B76" w:rsidRDefault="00433B76" w:rsidP="00E57B38">
      <w:pPr>
        <w:pStyle w:val="Textpoznpodarou"/>
        <w:spacing w:before="0"/>
      </w:pPr>
      <w:r>
        <w:rPr>
          <w:rStyle w:val="Znakapoznpodarou"/>
        </w:rPr>
        <w:t>47a</w:t>
      </w:r>
      <w:r>
        <w:t xml:space="preserve"> </w:t>
      </w:r>
      <w:r w:rsidRPr="00E57B38">
        <w:t>Zákon č. 187/2006 Sb., o nemocenském pojištění.</w:t>
      </w:r>
    </w:p>
  </w:footnote>
  <w:footnote w:id="381">
    <w:p w14:paraId="66F2B838" w14:textId="403DC7EC" w:rsidR="00433B76" w:rsidRDefault="00433B76" w:rsidP="00E57B38">
      <w:pPr>
        <w:pStyle w:val="Textpoznpodarou"/>
        <w:spacing w:before="0"/>
      </w:pPr>
      <w:r>
        <w:rPr>
          <w:rStyle w:val="Znakapoznpodarou"/>
        </w:rPr>
        <w:t>101)</w:t>
      </w:r>
      <w:r>
        <w:t xml:space="preserve"> </w:t>
      </w:r>
      <w:r w:rsidRPr="00E57B38">
        <w:t>Zákon č. 111/1998 Sb., o vysokých školách a o změně a doplnění dalších zákonů, ve znění pozdějších předpisů.</w:t>
      </w:r>
    </w:p>
  </w:footnote>
  <w:footnote w:id="382">
    <w:p w14:paraId="6F6CC4E0" w14:textId="179C3E92" w:rsidR="00433B76" w:rsidRDefault="00433B76" w:rsidP="00E57B38">
      <w:pPr>
        <w:pStyle w:val="Textpoznpodarou"/>
        <w:spacing w:before="0"/>
      </w:pPr>
      <w:r>
        <w:rPr>
          <w:rStyle w:val="Znakapoznpodarou"/>
        </w:rPr>
        <w:t>108)</w:t>
      </w:r>
      <w:r>
        <w:t xml:space="preserve"> </w:t>
      </w:r>
      <w:r w:rsidRPr="00E57B38">
        <w:t>Nařízení Komise (EU) 2022/1616.</w:t>
      </w:r>
    </w:p>
  </w:footnote>
  <w:footnote w:id="383">
    <w:p w14:paraId="510969C6" w14:textId="65CD2B56" w:rsidR="00433B76" w:rsidRDefault="00433B76">
      <w:pPr>
        <w:pStyle w:val="Textpoznpodarou"/>
      </w:pPr>
      <w:r>
        <w:rPr>
          <w:rStyle w:val="Znakapoznpodarou"/>
        </w:rPr>
        <w:t>68)</w:t>
      </w:r>
      <w:r>
        <w:t xml:space="preserve"> </w:t>
      </w:r>
      <w:r w:rsidRPr="00E57B38">
        <w:t xml:space="preserve">ČSN EN ISO 19011:2012 Směrnice pro </w:t>
      </w:r>
      <w:proofErr w:type="spellStart"/>
      <w:r w:rsidRPr="00E57B38">
        <w:t>auditování</w:t>
      </w:r>
      <w:proofErr w:type="spellEnd"/>
      <w:r w:rsidRPr="00E57B38">
        <w:t xml:space="preserve"> systémů managementu.</w:t>
      </w:r>
    </w:p>
  </w:footnote>
  <w:footnote w:id="384">
    <w:p w14:paraId="4B737E07" w14:textId="0E18357F" w:rsidR="00433B76" w:rsidRDefault="00433B76" w:rsidP="002C4DE2">
      <w:pPr>
        <w:pStyle w:val="Textpoznpodarou"/>
        <w:spacing w:before="0"/>
      </w:pPr>
      <w:r>
        <w:rPr>
          <w:rStyle w:val="Znakapoznpodarou"/>
        </w:rPr>
        <w:t>9a)</w:t>
      </w:r>
      <w:r>
        <w:t xml:space="preserve"> </w:t>
      </w:r>
      <w:r w:rsidRPr="002C4DE2">
        <w:t>§ 25 zákona č. 134/2016 Sb., o zadávání veřejných zakázek.</w:t>
      </w:r>
    </w:p>
  </w:footnote>
  <w:footnote w:id="385">
    <w:p w14:paraId="1303C80E" w14:textId="44574507" w:rsidR="00433B76" w:rsidRPr="001B4846" w:rsidRDefault="00433B76" w:rsidP="002C4DE2">
      <w:pPr>
        <w:pStyle w:val="Textpoznpodarou"/>
        <w:spacing w:before="0"/>
        <w:rPr>
          <w:b/>
          <w:strike/>
        </w:rPr>
      </w:pPr>
      <w:r w:rsidRPr="001B4846">
        <w:rPr>
          <w:rStyle w:val="Znakapoznpodarou"/>
          <w:strike/>
        </w:rPr>
        <w:t>9b)</w:t>
      </w:r>
      <w:r w:rsidRPr="001B4846">
        <w:rPr>
          <w:strike/>
        </w:rPr>
        <w:t xml:space="preserve"> Zákon č. 563/1991 Sb., o účetnictví, ve znění pozdějších předpisů.</w:t>
      </w:r>
    </w:p>
  </w:footnote>
  <w:footnote w:id="386">
    <w:p w14:paraId="6B6E4159" w14:textId="41782724" w:rsidR="00433B76" w:rsidRDefault="00433B76" w:rsidP="001E2C51">
      <w:pPr>
        <w:pStyle w:val="Textpoznpodarou"/>
        <w:tabs>
          <w:tab w:val="clear" w:pos="425"/>
          <w:tab w:val="left" w:pos="993"/>
        </w:tabs>
        <w:spacing w:before="0"/>
        <w:ind w:left="0" w:firstLine="0"/>
      </w:pPr>
      <w:r>
        <w:rPr>
          <w:rStyle w:val="Znakapoznpodarou"/>
        </w:rPr>
        <w:t>4e)</w:t>
      </w:r>
      <w:r w:rsidRPr="001E2C51">
        <w:t xml:space="preserve"> Zákon č. 184/2006 Sb., o odnětí nebo omezení vlastnického práva k pozemku nebo ke stavbě (zákon o vyvlastnění).</w:t>
      </w:r>
    </w:p>
  </w:footnote>
  <w:footnote w:id="387">
    <w:p w14:paraId="3A918F0D" w14:textId="631BE05C" w:rsidR="00433B76" w:rsidRPr="005228FA" w:rsidRDefault="00433B76" w:rsidP="001E2C51">
      <w:pPr>
        <w:pStyle w:val="Textpoznpodarou"/>
        <w:tabs>
          <w:tab w:val="clear" w:pos="425"/>
          <w:tab w:val="left" w:pos="993"/>
        </w:tabs>
        <w:spacing w:before="0"/>
        <w:ind w:left="0" w:firstLine="0"/>
        <w:rPr>
          <w:strike/>
        </w:rPr>
      </w:pPr>
      <w:r w:rsidRPr="005228FA">
        <w:rPr>
          <w:rStyle w:val="Znakapoznpodarou"/>
          <w:strike/>
        </w:rPr>
        <w:t>47)</w:t>
      </w:r>
      <w:r w:rsidRPr="005228FA">
        <w:rPr>
          <w:strike/>
        </w:rPr>
        <w:t xml:space="preserve"> § 16b zákona č. 151/1997 Sb., ve znění zákona č. 303/2013 Sb.</w:t>
      </w:r>
    </w:p>
  </w:footnote>
  <w:footnote w:id="388">
    <w:p w14:paraId="72E67757" w14:textId="0397E678" w:rsidR="00433B76" w:rsidRDefault="00433B76" w:rsidP="00E3243D">
      <w:pPr>
        <w:pStyle w:val="Textpoznpodarou"/>
        <w:tabs>
          <w:tab w:val="clear" w:pos="425"/>
          <w:tab w:val="left" w:pos="1134"/>
        </w:tabs>
        <w:spacing w:before="0"/>
        <w:ind w:left="0" w:firstLine="0"/>
      </w:pPr>
      <w:r>
        <w:rPr>
          <w:rStyle w:val="Znakapoznpodarou"/>
        </w:rPr>
        <w:t>4d)</w:t>
      </w:r>
      <w:r>
        <w:t xml:space="preserve"> </w:t>
      </w:r>
      <w:r w:rsidRPr="003569F4">
        <w:t>Zákon č. 183/2006 Sb., o územním plánování a stavebním řádu (stavební zákon).</w:t>
      </w:r>
    </w:p>
  </w:footnote>
  <w:footnote w:id="389">
    <w:p w14:paraId="72D1F667" w14:textId="7297E8A3" w:rsidR="00433B76" w:rsidRDefault="00433B76" w:rsidP="00E3243D">
      <w:pPr>
        <w:pStyle w:val="Textpoznpodarou"/>
        <w:tabs>
          <w:tab w:val="clear" w:pos="425"/>
          <w:tab w:val="left" w:pos="1134"/>
        </w:tabs>
        <w:spacing w:before="0"/>
        <w:ind w:left="0" w:firstLine="0"/>
      </w:pPr>
      <w:r>
        <w:rPr>
          <w:rStyle w:val="Znakapoznpodarou"/>
        </w:rPr>
        <w:t>4e)</w:t>
      </w:r>
      <w:r>
        <w:t xml:space="preserve"> </w:t>
      </w:r>
      <w:r w:rsidRPr="00E3243D">
        <w:t>Zákon č. 184/2006 Sb., o odnětí nebo omezení vlastnického práva k pozemku nebo ke stavbě (zákon o vyvlastnění).</w:t>
      </w:r>
    </w:p>
  </w:footnote>
  <w:footnote w:id="390">
    <w:p w14:paraId="54EB53BC" w14:textId="77777777" w:rsidR="00433B76" w:rsidRDefault="00433B76" w:rsidP="00E3243D">
      <w:pPr>
        <w:pStyle w:val="Textpoznpodarou"/>
        <w:tabs>
          <w:tab w:val="clear" w:pos="425"/>
          <w:tab w:val="left" w:pos="709"/>
        </w:tabs>
        <w:spacing w:before="0"/>
        <w:ind w:left="0" w:firstLine="0"/>
      </w:pPr>
      <w:r>
        <w:rPr>
          <w:rStyle w:val="Znakapoznpodarou"/>
        </w:rPr>
        <w:t>5)</w:t>
      </w:r>
      <w:r>
        <w:t xml:space="preserve"> Zákon č. 151/1997 Sb., o oceňování majetku a o změně některých zákonů (zákon o oceňování majetku), ve znění zákona č. 121/2000 Sb.</w:t>
      </w:r>
    </w:p>
    <w:p w14:paraId="66F0DD7D" w14:textId="0D5FEEE1" w:rsidR="00433B76" w:rsidRDefault="00433B76" w:rsidP="00E3243D">
      <w:pPr>
        <w:pStyle w:val="Textpoznpodarou"/>
        <w:tabs>
          <w:tab w:val="clear" w:pos="425"/>
          <w:tab w:val="left" w:pos="709"/>
        </w:tabs>
        <w:spacing w:before="0"/>
        <w:ind w:left="0" w:firstLine="0"/>
      </w:pPr>
      <w:r>
        <w:t>Zákon č. 289/1995 Sb., o lesích.</w:t>
      </w:r>
    </w:p>
    <w:p w14:paraId="2D503FDF" w14:textId="416DE24C" w:rsidR="00433B76" w:rsidRDefault="00433B76" w:rsidP="00E3243D">
      <w:pPr>
        <w:pStyle w:val="Textpoznpodarou"/>
        <w:tabs>
          <w:tab w:val="clear" w:pos="425"/>
          <w:tab w:val="left" w:pos="709"/>
        </w:tabs>
        <w:spacing w:before="0"/>
        <w:ind w:left="0" w:firstLine="0"/>
      </w:pPr>
      <w:r>
        <w:t>Vyhláška č. 55/1999 Sb., o způsobu výpočtu výše újmy nebo škody způsobené na lesích.</w:t>
      </w:r>
    </w:p>
  </w:footnote>
  <w:footnote w:id="391">
    <w:p w14:paraId="1CAFB8E5" w14:textId="4C27A096" w:rsidR="00433B76" w:rsidRDefault="00433B76">
      <w:pPr>
        <w:pStyle w:val="Textpoznpodarou"/>
      </w:pPr>
      <w:r>
        <w:rPr>
          <w:rStyle w:val="Znakapoznpodarou"/>
        </w:rPr>
        <w:t>51)</w:t>
      </w:r>
      <w:r>
        <w:t xml:space="preserve"> </w:t>
      </w:r>
      <w:r w:rsidRPr="003C5B03">
        <w:t>Vyhláška č. 359/2020 Sb., o měření elektřiny.</w:t>
      </w:r>
    </w:p>
  </w:footnote>
  <w:footnote w:id="392">
    <w:p w14:paraId="34BBD86B" w14:textId="77777777" w:rsidR="00433B76" w:rsidRDefault="00433B76" w:rsidP="001E38CA">
      <w:pPr>
        <w:pStyle w:val="Textpoznpodarou"/>
      </w:pPr>
      <w:r>
        <w:rPr>
          <w:rStyle w:val="Znakapoznpodarou"/>
        </w:rPr>
        <w:t>21)</w:t>
      </w:r>
      <w:r>
        <w:t xml:space="preserve"> </w:t>
      </w:r>
      <w:r w:rsidRPr="0029752C">
        <w:t>Nařízení Evropského parlamentu a Rady (EU) 2017/1938.</w:t>
      </w:r>
    </w:p>
  </w:footnote>
  <w:footnote w:id="393">
    <w:p w14:paraId="75CCA589" w14:textId="77777777" w:rsidR="00433B76" w:rsidRDefault="00433B76" w:rsidP="008B568E">
      <w:pPr>
        <w:pStyle w:val="Textpoznpodarou"/>
        <w:ind w:left="0" w:firstLine="0"/>
      </w:pPr>
      <w:r w:rsidRPr="00856047">
        <w:rPr>
          <w:vertAlign w:val="superscript"/>
        </w:rPr>
        <w:t>11)</w:t>
      </w:r>
      <w:r>
        <w:t xml:space="preserve"> </w:t>
      </w:r>
      <w:r w:rsidRPr="00856047">
        <w:t>Zákon č. 406/2000 Sb., o hospodaření energií.</w:t>
      </w:r>
    </w:p>
  </w:footnote>
  <w:footnote w:id="394">
    <w:p w14:paraId="0B9E4009" w14:textId="77777777" w:rsidR="00433B76" w:rsidRDefault="00433B76" w:rsidP="00D32F5D">
      <w:pPr>
        <w:pStyle w:val="Textpoznpodarou"/>
      </w:pPr>
      <w:r>
        <w:rPr>
          <w:rStyle w:val="Znakapoznpodarou"/>
        </w:rPr>
        <w:t>62)</w:t>
      </w:r>
      <w:r>
        <w:t xml:space="preserve"> </w:t>
      </w:r>
      <w:r w:rsidRPr="005615B4">
        <w:t>ČSN 73 6005 Prostorové uspořádání vedení technického vybavení.</w:t>
      </w:r>
    </w:p>
  </w:footnote>
  <w:footnote w:id="395">
    <w:p w14:paraId="050ACAF5" w14:textId="77777777" w:rsidR="00433B76" w:rsidRDefault="00433B76" w:rsidP="00747208">
      <w:pPr>
        <w:pStyle w:val="Textpoznpodarou"/>
        <w:spacing w:before="0"/>
      </w:pPr>
      <w:r>
        <w:rPr>
          <w:rStyle w:val="Znakapoznpodarou"/>
        </w:rPr>
        <w:t>6)</w:t>
      </w:r>
      <w:r>
        <w:t xml:space="preserve"> </w:t>
      </w:r>
      <w:r w:rsidRPr="00374D59">
        <w:t xml:space="preserve">Například § 228 a násl. zákona č. 89/2012 Sb., občanský zákoník, § 27 zákona č. 250/2000 Sb., o rozpočtových </w:t>
      </w:r>
    </w:p>
    <w:p w14:paraId="0A18CE48" w14:textId="77777777" w:rsidR="00433B76" w:rsidRDefault="00433B76" w:rsidP="00747208">
      <w:pPr>
        <w:pStyle w:val="Textpoznpodarou"/>
        <w:spacing w:before="0"/>
      </w:pPr>
      <w:r w:rsidRPr="00374D59">
        <w:t>pravidlech územních rozpočtů.</w:t>
      </w:r>
    </w:p>
  </w:footnote>
  <w:footnote w:id="396">
    <w:p w14:paraId="614C2C4D" w14:textId="77777777" w:rsidR="00433B76" w:rsidRPr="00CB0A3C" w:rsidRDefault="00433B76" w:rsidP="005D11A8">
      <w:pPr>
        <w:pStyle w:val="Textpoznpodarou"/>
        <w:rPr>
          <w:strike/>
        </w:rPr>
      </w:pPr>
      <w:r w:rsidRPr="00CB0A3C">
        <w:rPr>
          <w:rStyle w:val="Znakapoznpodarou"/>
          <w:strike/>
        </w:rPr>
        <w:t>18)</w:t>
      </w:r>
      <w:r w:rsidRPr="00CB0A3C">
        <w:rPr>
          <w:strike/>
        </w:rPr>
        <w:t xml:space="preserve"> § 2 odst. 1 zákona č. 151/1997 Sb., o oceňování majetku a o změně některých zákonů (zákon o oceňování majetku).</w:t>
      </w:r>
    </w:p>
  </w:footnote>
  <w:footnote w:id="397">
    <w:p w14:paraId="085EDCE8" w14:textId="78DF7F9A" w:rsidR="00433B76" w:rsidRPr="00B53636" w:rsidRDefault="00433B76">
      <w:pPr>
        <w:pStyle w:val="Textpoznpodarou"/>
        <w:rPr>
          <w:strike/>
        </w:rPr>
      </w:pPr>
      <w:r w:rsidRPr="00B53636">
        <w:rPr>
          <w:rStyle w:val="Znakapoznpodarou"/>
          <w:strike/>
        </w:rPr>
        <w:t>21)</w:t>
      </w:r>
      <w:r w:rsidRPr="00B53636">
        <w:rPr>
          <w:strike/>
        </w:rPr>
        <w:t xml:space="preserve"> Zákon č. 563/1991 Sb., o účetnictví, ve znění pozdějších předpisů.</w:t>
      </w:r>
    </w:p>
  </w:footnote>
  <w:footnote w:id="398">
    <w:p w14:paraId="3765545D" w14:textId="71DF730B" w:rsidR="00433B76" w:rsidRDefault="00433B76">
      <w:pPr>
        <w:pStyle w:val="Textpoznpodarou"/>
      </w:pPr>
      <w:r>
        <w:rPr>
          <w:rStyle w:val="Znakapoznpodarou"/>
        </w:rPr>
        <w:t>4)</w:t>
      </w:r>
      <w:r>
        <w:t xml:space="preserve"> </w:t>
      </w:r>
      <w:r w:rsidRPr="00771355">
        <w:t>Zákon č. 541/2020 Sb., o odpadech.</w:t>
      </w:r>
    </w:p>
  </w:footnote>
  <w:footnote w:id="399">
    <w:p w14:paraId="70C14D82" w14:textId="5E8539FE" w:rsidR="00433B76" w:rsidRDefault="00433B76" w:rsidP="00472E37">
      <w:pPr>
        <w:pStyle w:val="Textpoznpodarou"/>
        <w:spacing w:before="0"/>
      </w:pPr>
      <w:r>
        <w:rPr>
          <w:rStyle w:val="Znakapoznpodarou"/>
        </w:rPr>
        <w:t>11)</w:t>
      </w:r>
      <w:r>
        <w:t xml:space="preserve"> </w:t>
      </w:r>
      <w:r w:rsidRPr="00472E37">
        <w:t>Zákon č. 85/1990 Sb., o právu petičním.</w:t>
      </w:r>
    </w:p>
  </w:footnote>
  <w:footnote w:id="400">
    <w:p w14:paraId="055E6DEB" w14:textId="759000A4" w:rsidR="00433B76" w:rsidRDefault="00433B76" w:rsidP="00472E37">
      <w:pPr>
        <w:pStyle w:val="Textpoznpodarou"/>
        <w:spacing w:before="0"/>
      </w:pPr>
      <w:r>
        <w:rPr>
          <w:rStyle w:val="Znakapoznpodarou"/>
        </w:rPr>
        <w:t>12)</w:t>
      </w:r>
      <w:r>
        <w:t xml:space="preserve"> </w:t>
      </w:r>
      <w:r w:rsidRPr="00472E37">
        <w:t>Například zákon č. 337/1992 Sb., o správě daní a poplatků, ve znění pozdějších předpisů.</w:t>
      </w:r>
    </w:p>
  </w:footnote>
  <w:footnote w:id="401">
    <w:p w14:paraId="21A81158" w14:textId="064505E5" w:rsidR="00433B76" w:rsidRDefault="00433B76" w:rsidP="00472E37">
      <w:pPr>
        <w:pStyle w:val="Textpoznpodarou"/>
        <w:spacing w:before="0"/>
      </w:pPr>
      <w:r>
        <w:rPr>
          <w:rStyle w:val="Znakapoznpodarou"/>
        </w:rPr>
        <w:t>13)</w:t>
      </w:r>
      <w:r>
        <w:t xml:space="preserve"> </w:t>
      </w:r>
      <w:r w:rsidRPr="00472E37">
        <w:t>Zákon č. 158/1999 Sb., o sčítání lidu, domů a bytů v roce 2001.</w:t>
      </w:r>
    </w:p>
  </w:footnote>
  <w:footnote w:id="402">
    <w:p w14:paraId="3F0D3508" w14:textId="7B48E446" w:rsidR="00433B76" w:rsidRPr="004077B5" w:rsidRDefault="00433B76" w:rsidP="00472E37">
      <w:pPr>
        <w:pStyle w:val="Textpoznpodarou"/>
        <w:spacing w:before="0"/>
        <w:rPr>
          <w:strike/>
        </w:rPr>
      </w:pPr>
      <w:r w:rsidRPr="004077B5">
        <w:rPr>
          <w:rStyle w:val="Znakapoznpodarou"/>
          <w:strike/>
        </w:rPr>
        <w:t>14)</w:t>
      </w:r>
      <w:r w:rsidRPr="004077B5">
        <w:rPr>
          <w:strike/>
        </w:rPr>
        <w:t xml:space="preserve"> Zákon č. 563/1991 Sb., o účetnictví, ve znění pozdějších předpisů.</w:t>
      </w:r>
    </w:p>
  </w:footnote>
  <w:footnote w:id="403">
    <w:p w14:paraId="243071A9" w14:textId="6E3441D8" w:rsidR="00433B76" w:rsidRDefault="00433B76" w:rsidP="00472E37">
      <w:pPr>
        <w:pStyle w:val="Textpoznpodarou"/>
        <w:spacing w:before="0"/>
      </w:pPr>
      <w:r>
        <w:rPr>
          <w:rStyle w:val="Znakapoznpodarou"/>
        </w:rPr>
        <w:t>20)</w:t>
      </w:r>
      <w:r>
        <w:t xml:space="preserve"> </w:t>
      </w:r>
      <w:r w:rsidRPr="00472E37">
        <w:t>Zákon č. 269/1994 Sb., o Rejstříku trestů, ve znění pozdějších předpisů.</w:t>
      </w:r>
    </w:p>
  </w:footnote>
  <w:footnote w:id="404">
    <w:p w14:paraId="7EB02688" w14:textId="754F863C" w:rsidR="00433B76" w:rsidRDefault="00433B76">
      <w:pPr>
        <w:pStyle w:val="Textpoznpodarou"/>
      </w:pPr>
      <w:r>
        <w:rPr>
          <w:rStyle w:val="Znakapoznpodarou"/>
        </w:rPr>
        <w:t>17)</w:t>
      </w:r>
      <w:r>
        <w:t xml:space="preserve"> </w:t>
      </w:r>
      <w:r w:rsidRPr="00472E37">
        <w:t>Zákon č. 71/1967 Sb., o správním řízení (správní řád), ve znění pozdějších předpisů.</w:t>
      </w:r>
    </w:p>
  </w:footnote>
  <w:footnote w:id="405">
    <w:p w14:paraId="30A8A0D4" w14:textId="0AEFFB83" w:rsidR="00433B76" w:rsidRDefault="00433B76" w:rsidP="00472E37">
      <w:pPr>
        <w:pStyle w:val="Textpoznpodarou"/>
        <w:tabs>
          <w:tab w:val="clear" w:pos="425"/>
          <w:tab w:val="left" w:pos="426"/>
        </w:tabs>
        <w:spacing w:before="0"/>
        <w:ind w:left="0" w:firstLine="0"/>
      </w:pPr>
      <w:r>
        <w:rPr>
          <w:rStyle w:val="Znakapoznpodarou"/>
        </w:rPr>
        <w:t>15)</w:t>
      </w:r>
      <w:r>
        <w:t xml:space="preserve"> </w:t>
      </w:r>
      <w:r w:rsidRPr="00472E37">
        <w:t>Zákon č. 111/2009 Sb., o základních registrech.</w:t>
      </w:r>
    </w:p>
  </w:footnote>
  <w:footnote w:id="406">
    <w:p w14:paraId="4796A4F7" w14:textId="5BC02691" w:rsidR="00433B76" w:rsidRDefault="00433B76" w:rsidP="00472E37">
      <w:pPr>
        <w:pStyle w:val="Textpoznpodarou"/>
        <w:tabs>
          <w:tab w:val="clear" w:pos="425"/>
          <w:tab w:val="left" w:pos="426"/>
        </w:tabs>
        <w:spacing w:before="0"/>
        <w:ind w:left="0" w:firstLine="0"/>
      </w:pPr>
      <w:r>
        <w:rPr>
          <w:rStyle w:val="Znakapoznpodarou"/>
        </w:rPr>
        <w:t>18)</w:t>
      </w:r>
      <w:r>
        <w:t xml:space="preserve"> </w:t>
      </w:r>
      <w:r w:rsidRPr="00472E37">
        <w:t>Zákon č. 37/1973 Sb., o veřejných sbírkách a o loteriích a jiných podobných hrách, ve znění pozdějších předpisů.</w:t>
      </w:r>
    </w:p>
  </w:footnote>
  <w:footnote w:id="407">
    <w:p w14:paraId="70C4ADA0" w14:textId="77777777" w:rsidR="00433B76" w:rsidRDefault="00433B76" w:rsidP="00CB67BE">
      <w:pPr>
        <w:pStyle w:val="Textpoznpodarou"/>
        <w:spacing w:before="0"/>
      </w:pPr>
      <w:r>
        <w:rPr>
          <w:rStyle w:val="Znakapoznpodarou"/>
        </w:rPr>
        <w:t>1)</w:t>
      </w:r>
      <w:r>
        <w:t xml:space="preserve"> </w:t>
      </w:r>
      <w:r w:rsidRPr="008C2231">
        <w:t>§ 2 písm. b) zákona č. 239/2000 Sb., o integrovaném záchranném systému a o změně některých zákonů.</w:t>
      </w:r>
    </w:p>
  </w:footnote>
  <w:footnote w:id="408">
    <w:p w14:paraId="4445C444" w14:textId="77777777" w:rsidR="00433B76" w:rsidRDefault="00433B76" w:rsidP="00CB67BE">
      <w:pPr>
        <w:pStyle w:val="Textpoznpodarou"/>
        <w:spacing w:before="0"/>
      </w:pPr>
      <w:r>
        <w:rPr>
          <w:rStyle w:val="Znakapoznpodarou"/>
        </w:rPr>
        <w:t>2)</w:t>
      </w:r>
      <w:r>
        <w:t xml:space="preserve"> </w:t>
      </w:r>
      <w:r w:rsidRPr="002D52B3">
        <w:t>§ 3 zákona č. 240/2000 Sb., o krizovém řízení a o změně některých zákonů (krizový zákon).</w:t>
      </w:r>
    </w:p>
  </w:footnote>
  <w:footnote w:id="409">
    <w:p w14:paraId="43874955" w14:textId="77777777" w:rsidR="00433B76" w:rsidRDefault="00433B76" w:rsidP="00CB67BE">
      <w:pPr>
        <w:pStyle w:val="Textpoznpodarou"/>
        <w:spacing w:before="0"/>
      </w:pPr>
      <w:r>
        <w:rPr>
          <w:rStyle w:val="Znakapoznpodarou"/>
        </w:rPr>
        <w:t>3)</w:t>
      </w:r>
      <w:r>
        <w:t xml:space="preserve"> </w:t>
      </w:r>
      <w:r w:rsidRPr="002D52B3">
        <w:t>Čl. 5 a 6 ústavního zákona č. 110/1998 Sb., o bezpečnosti České republiky.</w:t>
      </w:r>
    </w:p>
  </w:footnote>
  <w:footnote w:id="410">
    <w:p w14:paraId="3815198C" w14:textId="77777777" w:rsidR="00433B76" w:rsidRDefault="00433B76" w:rsidP="00CB67BE">
      <w:pPr>
        <w:pStyle w:val="Textpoznpodarou"/>
        <w:spacing w:before="0"/>
      </w:pPr>
      <w:r>
        <w:rPr>
          <w:rStyle w:val="Znakapoznpodarou"/>
        </w:rPr>
        <w:t>4)</w:t>
      </w:r>
      <w:r>
        <w:t xml:space="preserve"> </w:t>
      </w:r>
      <w:r w:rsidRPr="002D52B3">
        <w:t xml:space="preserve">Zákon č. 218/2000 Sb., o rozpočtových pravidlech a o změně některých souvisejících zákonů (rozpočtová </w:t>
      </w:r>
    </w:p>
    <w:p w14:paraId="1C81D745" w14:textId="77777777" w:rsidR="00433B76" w:rsidRDefault="00433B76" w:rsidP="00CB67BE">
      <w:pPr>
        <w:pStyle w:val="Textpoznpodarou"/>
        <w:spacing w:before="0"/>
      </w:pPr>
      <w:r w:rsidRPr="002D52B3">
        <w:t>pravidla), ve znění pozdějších předpisů.</w:t>
      </w:r>
    </w:p>
  </w:footnote>
  <w:footnote w:id="411">
    <w:p w14:paraId="3C2C2984" w14:textId="77777777" w:rsidR="00433B76" w:rsidRDefault="00433B76" w:rsidP="00CB67BE">
      <w:pPr>
        <w:pStyle w:val="Textpoznpodarou"/>
        <w:spacing w:before="0"/>
      </w:pPr>
      <w:r>
        <w:rPr>
          <w:rStyle w:val="Znakapoznpodarou"/>
        </w:rPr>
        <w:t>5)</w:t>
      </w:r>
      <w:r>
        <w:t xml:space="preserve"> </w:t>
      </w:r>
      <w:r w:rsidRPr="002D52B3">
        <w:t>§ 3 písm. d) vyhlášky č. 3137/1998 Sb., o obecných technických požadavcích na výstavbu.</w:t>
      </w:r>
    </w:p>
  </w:footnote>
  <w:footnote w:id="412">
    <w:p w14:paraId="05417051" w14:textId="77777777" w:rsidR="00433B76" w:rsidRDefault="00433B76" w:rsidP="00CB67BE">
      <w:pPr>
        <w:pStyle w:val="Textpoznpodarou"/>
        <w:spacing w:before="0"/>
      </w:pPr>
      <w:r>
        <w:rPr>
          <w:rStyle w:val="Znakapoznpodarou"/>
        </w:rPr>
        <w:t>5a)</w:t>
      </w:r>
      <w:r>
        <w:t xml:space="preserve"> </w:t>
      </w:r>
      <w:r w:rsidRPr="002D52B3">
        <w:t xml:space="preserve">§ 2 odst. 2 zákona č. 101/2001 Sb., o navrácení nezákonně vyvezených kulturních statků, ve znění zákona č. </w:t>
      </w:r>
    </w:p>
    <w:p w14:paraId="3A7E9237" w14:textId="77777777" w:rsidR="00433B76" w:rsidRDefault="00433B76" w:rsidP="00CB67BE">
      <w:pPr>
        <w:pStyle w:val="Textpoznpodarou"/>
        <w:spacing w:before="0"/>
      </w:pPr>
      <w:r w:rsidRPr="002D52B3">
        <w:t>180/2003 Sb.</w:t>
      </w:r>
    </w:p>
  </w:footnote>
  <w:footnote w:id="413">
    <w:p w14:paraId="24BC2A10" w14:textId="77777777" w:rsidR="00433B76" w:rsidRDefault="00433B76" w:rsidP="00CB67BE">
      <w:pPr>
        <w:pStyle w:val="Textpoznpodarou"/>
        <w:spacing w:before="0"/>
      </w:pPr>
      <w:r>
        <w:rPr>
          <w:rStyle w:val="Znakapoznpodarou"/>
        </w:rPr>
        <w:t>5b)</w:t>
      </w:r>
      <w:r>
        <w:t xml:space="preserve"> </w:t>
      </w:r>
      <w:r w:rsidRPr="002D52B3">
        <w:t>§ 5 zákona č. 20/1987 Sb., o státní památkové péči.</w:t>
      </w:r>
    </w:p>
  </w:footnote>
  <w:footnote w:id="414">
    <w:p w14:paraId="61A678BC" w14:textId="77777777" w:rsidR="00433B76" w:rsidRDefault="00433B76" w:rsidP="00CB67BE">
      <w:pPr>
        <w:pStyle w:val="Textpoznpodarou"/>
        <w:spacing w:before="0"/>
      </w:pPr>
      <w:r>
        <w:rPr>
          <w:rStyle w:val="Znakapoznpodarou"/>
        </w:rPr>
        <w:t>5c)</w:t>
      </w:r>
      <w:r>
        <w:t xml:space="preserve"> </w:t>
      </w:r>
      <w:r w:rsidRPr="002D52B3">
        <w:t>§ 6 zákona č. 20/1987 Sb., ve znění zákona č. 132/2000 Sb. a zákona č. 320/2002 Sb.</w:t>
      </w:r>
    </w:p>
  </w:footnote>
  <w:footnote w:id="415">
    <w:p w14:paraId="4A72A4BB" w14:textId="77777777" w:rsidR="00433B76" w:rsidRDefault="00433B76" w:rsidP="00CB67BE">
      <w:pPr>
        <w:pStyle w:val="Textpoznpodarou"/>
        <w:spacing w:before="0"/>
      </w:pPr>
      <w:r>
        <w:rPr>
          <w:rStyle w:val="Znakapoznpodarou"/>
        </w:rPr>
        <w:t>6)</w:t>
      </w:r>
      <w:r>
        <w:t xml:space="preserve"> </w:t>
      </w:r>
      <w:r w:rsidRPr="002D52B3">
        <w:t>§ 64 zákona č. 128/2000 Sb., o obcích (obecní zřízení), ve znění zákona č. 313/2002 Sb.</w:t>
      </w:r>
    </w:p>
  </w:footnote>
  <w:footnote w:id="416">
    <w:p w14:paraId="23EDD493" w14:textId="4F17AE67" w:rsidR="00433B76" w:rsidRDefault="00433B76" w:rsidP="00137BFD">
      <w:pPr>
        <w:pStyle w:val="Textpoznpodarou"/>
        <w:tabs>
          <w:tab w:val="clear" w:pos="425"/>
          <w:tab w:val="left" w:pos="851"/>
        </w:tabs>
        <w:spacing w:before="0"/>
        <w:ind w:left="0" w:firstLine="0"/>
      </w:pPr>
      <w:r>
        <w:rPr>
          <w:rStyle w:val="Znakapoznpodarou"/>
        </w:rPr>
        <w:t>33)</w:t>
      </w:r>
      <w:r>
        <w:t xml:space="preserve"> </w:t>
      </w:r>
      <w:r w:rsidRPr="00137BFD">
        <w:t>§ 3 věta druhá zákoníku práce.</w:t>
      </w:r>
    </w:p>
  </w:footnote>
  <w:footnote w:id="417">
    <w:p w14:paraId="7600C34C" w14:textId="041F593C" w:rsidR="00433B76" w:rsidRDefault="00433B76" w:rsidP="00137BFD">
      <w:pPr>
        <w:pStyle w:val="Textpoznpodarou"/>
        <w:tabs>
          <w:tab w:val="clear" w:pos="425"/>
          <w:tab w:val="left" w:pos="851"/>
        </w:tabs>
        <w:spacing w:before="0"/>
        <w:ind w:left="0" w:firstLine="0"/>
      </w:pPr>
      <w:r>
        <w:rPr>
          <w:rStyle w:val="Znakapoznpodarou"/>
        </w:rPr>
        <w:t>34)</w:t>
      </w:r>
      <w:r>
        <w:t xml:space="preserve"> </w:t>
      </w:r>
      <w:r w:rsidRPr="00137BFD">
        <w:t>Část sedmá zákoníku práce.</w:t>
      </w:r>
    </w:p>
  </w:footnote>
  <w:footnote w:id="418">
    <w:p w14:paraId="165127C8" w14:textId="708467B1" w:rsidR="00433B76" w:rsidRDefault="00433B76" w:rsidP="00137BFD">
      <w:pPr>
        <w:pStyle w:val="Textpoznpodarou"/>
        <w:tabs>
          <w:tab w:val="clear" w:pos="425"/>
          <w:tab w:val="left" w:pos="851"/>
        </w:tabs>
        <w:spacing w:before="0"/>
        <w:ind w:left="0" w:firstLine="0"/>
      </w:pPr>
      <w:r>
        <w:rPr>
          <w:rStyle w:val="Znakapoznpodarou"/>
        </w:rPr>
        <w:t>35)</w:t>
      </w:r>
      <w:r>
        <w:t xml:space="preserve"> </w:t>
      </w:r>
      <w:r w:rsidRPr="00137BFD">
        <w:t>Nařízení vlády č. 564/2006 Sb., o platových poměrech zaměstnanců ve veřejných službách a správě, ve znění pozdějších předpisů.</w:t>
      </w:r>
    </w:p>
  </w:footnote>
  <w:footnote w:id="419">
    <w:p w14:paraId="3D893952" w14:textId="4A2CD13F" w:rsidR="00433B76" w:rsidRDefault="00433B76">
      <w:pPr>
        <w:pStyle w:val="Textpoznpodarou"/>
      </w:pPr>
      <w:r>
        <w:rPr>
          <w:rStyle w:val="Znakapoznpodarou"/>
        </w:rPr>
        <w:t>10)</w:t>
      </w:r>
      <w:r>
        <w:t xml:space="preserve"> </w:t>
      </w:r>
      <w:r w:rsidRPr="00B32E62">
        <w:t>§ 175a odst. 3 a § 175q zákona č. 99/1963 Sb., občanský soudní řád, ve znění pozdějších předpisů.</w:t>
      </w:r>
    </w:p>
  </w:footnote>
  <w:footnote w:id="420">
    <w:p w14:paraId="5DE839F8" w14:textId="2E3D4FDE" w:rsidR="00433B76" w:rsidRDefault="00433B76" w:rsidP="0055341F">
      <w:pPr>
        <w:pStyle w:val="Textpoznpodarou"/>
        <w:spacing w:before="0"/>
        <w:ind w:left="0" w:firstLine="0"/>
      </w:pPr>
      <w:r>
        <w:rPr>
          <w:rStyle w:val="Znakapoznpodarou"/>
        </w:rPr>
        <w:t>14)</w:t>
      </w:r>
      <w:r>
        <w:t xml:space="preserve"> </w:t>
      </w:r>
      <w:r w:rsidRPr="00B32E62">
        <w:t xml:space="preserve">Zákon č. 151/1997 Sb., o oceňování majetku a o změně některých zákonů </w:t>
      </w:r>
      <w:r>
        <w:t xml:space="preserve">(zákon o oceňování majetku), ve </w:t>
      </w:r>
      <w:r w:rsidRPr="00B32E62">
        <w:t>znění pozdějších předpisů.</w:t>
      </w:r>
    </w:p>
  </w:footnote>
  <w:footnote w:id="421">
    <w:p w14:paraId="541E1895" w14:textId="5E4220EC" w:rsidR="00433B76" w:rsidRDefault="00433B76" w:rsidP="0055341F">
      <w:pPr>
        <w:pStyle w:val="Textpoznpodarou"/>
        <w:tabs>
          <w:tab w:val="clear" w:pos="425"/>
          <w:tab w:val="left" w:pos="851"/>
        </w:tabs>
        <w:spacing w:before="0"/>
        <w:ind w:left="0" w:firstLine="0"/>
      </w:pPr>
      <w:r>
        <w:rPr>
          <w:rStyle w:val="Znakapoznpodarou"/>
        </w:rPr>
        <w:t>15)</w:t>
      </w:r>
      <w:r>
        <w:t xml:space="preserve"> </w:t>
      </w:r>
      <w:r w:rsidRPr="00B32E62">
        <w:t>§ 16 zákona č. 344/1992 Sb., ve znění pozdějších předpisů.</w:t>
      </w:r>
    </w:p>
  </w:footnote>
  <w:footnote w:id="422">
    <w:p w14:paraId="67F7D78F" w14:textId="63A4C499" w:rsidR="00433B76" w:rsidRDefault="00433B76" w:rsidP="00E849E5">
      <w:pPr>
        <w:pStyle w:val="Textpoznpodarou"/>
        <w:tabs>
          <w:tab w:val="clear" w:pos="425"/>
          <w:tab w:val="left" w:pos="851"/>
        </w:tabs>
        <w:spacing w:before="0"/>
        <w:ind w:left="0" w:firstLine="0"/>
        <w:rPr>
          <w:strike/>
        </w:rPr>
      </w:pPr>
      <w:r w:rsidRPr="00E849E5">
        <w:rPr>
          <w:rStyle w:val="Znakapoznpodarou"/>
          <w:strike/>
        </w:rPr>
        <w:t>16)</w:t>
      </w:r>
      <w:r w:rsidRPr="00E849E5">
        <w:rPr>
          <w:strike/>
        </w:rPr>
        <w:t xml:space="preserve"> Vyhláška č. 3/2008 Sb., ve znění pozdějších předpisů.</w:t>
      </w:r>
    </w:p>
    <w:p w14:paraId="74F73C70" w14:textId="029C1AAF" w:rsidR="00433B76" w:rsidRPr="00CE3C79" w:rsidRDefault="00433B76" w:rsidP="00E849E5">
      <w:pPr>
        <w:pStyle w:val="Textpoznpodarou"/>
        <w:spacing w:before="0"/>
        <w:rPr>
          <w:b/>
        </w:rPr>
      </w:pPr>
      <w:r w:rsidRPr="00E849E5">
        <w:rPr>
          <w:rStyle w:val="Znakapoznpodarou"/>
        </w:rPr>
        <w:t>16)</w:t>
      </w:r>
      <w:r w:rsidRPr="00E849E5">
        <w:rPr>
          <w:b/>
        </w:rPr>
        <w:t xml:space="preserve"> </w:t>
      </w:r>
      <w:r w:rsidRPr="00CE3C79">
        <w:rPr>
          <w:b/>
        </w:rPr>
        <w:t xml:space="preserve">Vyhláška k provedení zákona č. 151/1997 Sb., o </w:t>
      </w:r>
    </w:p>
    <w:p w14:paraId="43171CD7" w14:textId="4CBF1845" w:rsidR="00433B76" w:rsidRPr="00E849E5" w:rsidRDefault="00433B76" w:rsidP="00E849E5">
      <w:pPr>
        <w:pStyle w:val="Textpoznpodarou"/>
        <w:tabs>
          <w:tab w:val="clear" w:pos="425"/>
          <w:tab w:val="left" w:pos="851"/>
        </w:tabs>
        <w:spacing w:before="0"/>
        <w:ind w:left="0" w:firstLine="0"/>
        <w:rPr>
          <w:strike/>
        </w:rPr>
      </w:pPr>
      <w:r w:rsidRPr="00CE3C79">
        <w:rPr>
          <w:b/>
        </w:rPr>
        <w:t>oceňování majetku a o změně některých zákonů, ve znění pozdějších předpisů</w:t>
      </w:r>
      <w:r>
        <w:rPr>
          <w:b/>
        </w:rPr>
        <w:t>.</w:t>
      </w:r>
    </w:p>
  </w:footnote>
  <w:footnote w:id="423">
    <w:p w14:paraId="1E461570" w14:textId="4F3A41CD" w:rsidR="00433B76" w:rsidRDefault="00433B76" w:rsidP="00E849E5">
      <w:pPr>
        <w:pStyle w:val="Textpoznpodarou"/>
        <w:tabs>
          <w:tab w:val="clear" w:pos="425"/>
          <w:tab w:val="left" w:pos="851"/>
        </w:tabs>
        <w:spacing w:before="0"/>
        <w:ind w:left="0" w:firstLine="0"/>
      </w:pPr>
      <w:r>
        <w:rPr>
          <w:rStyle w:val="Znakapoznpodarou"/>
        </w:rPr>
        <w:t>17)</w:t>
      </w:r>
      <w:r w:rsidRPr="00B32E62">
        <w:t xml:space="preserve"> Vyhláška č. 327/1998 Sb., kterou se stanoví charakteristika bonitovaných půdně ekologických jednotek a postup pro jejich vedení a aktualizaci.</w:t>
      </w:r>
    </w:p>
  </w:footnote>
  <w:footnote w:id="424">
    <w:p w14:paraId="407E1027" w14:textId="7B401880" w:rsidR="00433B76" w:rsidRDefault="00433B76" w:rsidP="00B32E62">
      <w:pPr>
        <w:pStyle w:val="Textpoznpodarou"/>
        <w:tabs>
          <w:tab w:val="clear" w:pos="425"/>
          <w:tab w:val="left" w:pos="851"/>
        </w:tabs>
        <w:spacing w:before="0"/>
        <w:ind w:left="0" w:firstLine="0"/>
      </w:pPr>
      <w:r>
        <w:rPr>
          <w:rStyle w:val="Znakapoznpodarou"/>
        </w:rPr>
        <w:t>54)</w:t>
      </w:r>
      <w:r w:rsidRPr="00B32E62">
        <w:t xml:space="preserve"> Smlouva mezi Československou republikou a Polskou lidovou republikou o konečném vytyčení státních hranic, vyhlášená ve Sbírce zákonů pod č. 23/1959 Sb.</w:t>
      </w:r>
    </w:p>
  </w:footnote>
  <w:footnote w:id="425">
    <w:p w14:paraId="6C7A8885" w14:textId="1B02DC75" w:rsidR="00433B76" w:rsidRDefault="00433B76" w:rsidP="00122311">
      <w:pPr>
        <w:pStyle w:val="Textpoznpodarou"/>
        <w:tabs>
          <w:tab w:val="clear" w:pos="425"/>
          <w:tab w:val="left" w:pos="851"/>
        </w:tabs>
        <w:spacing w:before="0"/>
        <w:ind w:left="0" w:firstLine="0"/>
      </w:pPr>
      <w:r>
        <w:rPr>
          <w:rStyle w:val="Znakapoznpodarou"/>
        </w:rPr>
        <w:t>18)</w:t>
      </w:r>
      <w:r>
        <w:t xml:space="preserve"> </w:t>
      </w:r>
      <w:r w:rsidRPr="00122311">
        <w:t>§ 4 zákona č. 344/1992 Sb., ve znění pozdějších předpisů.</w:t>
      </w:r>
    </w:p>
  </w:footnote>
  <w:footnote w:id="426">
    <w:p w14:paraId="34EB8B45" w14:textId="4D19B16B" w:rsidR="00433B76" w:rsidRDefault="00433B76" w:rsidP="00122311">
      <w:pPr>
        <w:pStyle w:val="Textpoznpodarou"/>
        <w:tabs>
          <w:tab w:val="clear" w:pos="425"/>
          <w:tab w:val="left" w:pos="851"/>
        </w:tabs>
        <w:spacing w:before="0"/>
        <w:ind w:left="0" w:firstLine="0"/>
      </w:pPr>
      <w:r>
        <w:rPr>
          <w:rStyle w:val="Znakapoznpodarou"/>
        </w:rPr>
        <w:t>19)</w:t>
      </w:r>
      <w:r>
        <w:t xml:space="preserve"> </w:t>
      </w:r>
      <w:r w:rsidRPr="00122311">
        <w:t>Vyhláška č. 26/2007 Sb., kterou se provádí zákon č. 265/1992 Sb., o zápisech vlastnických a jiných věcných práv k nemovitostem, ve znění pozdějších předpisů, a zákon č. 344/1992 Sb., o katastru nemovitostí České republiky (katastrální zákon), ve znění pozdějších předpisů, (katastrální vyhláška), ve znění pozdějších předpisů.</w:t>
      </w:r>
    </w:p>
  </w:footnote>
  <w:footnote w:id="427">
    <w:p w14:paraId="6F57B2C6" w14:textId="11323CB8" w:rsidR="00433B76" w:rsidRDefault="00433B76" w:rsidP="00122311">
      <w:pPr>
        <w:pStyle w:val="Textpoznpodarou"/>
        <w:tabs>
          <w:tab w:val="clear" w:pos="425"/>
          <w:tab w:val="left" w:pos="851"/>
        </w:tabs>
        <w:spacing w:before="0"/>
        <w:ind w:left="0" w:firstLine="0"/>
      </w:pPr>
      <w:r>
        <w:rPr>
          <w:rStyle w:val="Znakapoznpodarou"/>
        </w:rPr>
        <w:t>20)</w:t>
      </w:r>
      <w:r>
        <w:t xml:space="preserve"> </w:t>
      </w:r>
      <w:r w:rsidRPr="00122311">
        <w:t>Zákon č. 200/1994 Sb., o zeměměřictví a o změně a doplnění některých zákonů souvisejících s jeho zavedením, ve znění pozdějších předpisů.</w:t>
      </w:r>
    </w:p>
  </w:footnote>
  <w:footnote w:id="428">
    <w:p w14:paraId="38DFD018" w14:textId="43C33924" w:rsidR="00433B76" w:rsidRDefault="00433B76" w:rsidP="00CD3710">
      <w:pPr>
        <w:pStyle w:val="Textpoznpodarou"/>
        <w:tabs>
          <w:tab w:val="clear" w:pos="425"/>
          <w:tab w:val="left" w:pos="426"/>
        </w:tabs>
        <w:ind w:left="0" w:firstLine="0"/>
      </w:pPr>
      <w:r>
        <w:rPr>
          <w:rStyle w:val="Znakapoznpodarou"/>
        </w:rPr>
        <w:t>21)</w:t>
      </w:r>
      <w:r>
        <w:t xml:space="preserve"> </w:t>
      </w:r>
      <w:r w:rsidRPr="00CD3710">
        <w:t>Například zákon č. 334/1992 Sb., o ochraně zemědělského půdního fondu, ve znění pozdějších předpisů, zákon č. 289/1995 Sb., ve znění pozdějších předpisů.</w:t>
      </w:r>
    </w:p>
  </w:footnote>
  <w:footnote w:id="429">
    <w:p w14:paraId="39F43A39" w14:textId="71BD5A07" w:rsidR="00433B76" w:rsidRDefault="00433B76" w:rsidP="00CD3710">
      <w:pPr>
        <w:pStyle w:val="Textpoznpodarou"/>
        <w:tabs>
          <w:tab w:val="clear" w:pos="425"/>
          <w:tab w:val="left" w:pos="426"/>
        </w:tabs>
        <w:spacing w:before="0"/>
        <w:ind w:left="0" w:firstLine="0"/>
      </w:pPr>
      <w:r>
        <w:rPr>
          <w:rStyle w:val="Znakapoznpodarou"/>
        </w:rPr>
        <w:t>1)</w:t>
      </w:r>
      <w:r>
        <w:t xml:space="preserve"> </w:t>
      </w:r>
      <w:r w:rsidRPr="00013E16">
        <w:t>Zákon č. 503/2012 Sb., o Státním pozemkovém úřadu a o změně některých souvisejících zákonů.</w:t>
      </w:r>
    </w:p>
  </w:footnote>
  <w:footnote w:id="430">
    <w:p w14:paraId="583AB391" w14:textId="3BB6848D" w:rsidR="00433B76" w:rsidRDefault="00433B76" w:rsidP="00CD3710">
      <w:pPr>
        <w:pStyle w:val="Textpoznpodarou"/>
        <w:tabs>
          <w:tab w:val="clear" w:pos="425"/>
          <w:tab w:val="left" w:pos="426"/>
        </w:tabs>
        <w:spacing w:before="0"/>
        <w:ind w:left="0" w:firstLine="0"/>
      </w:pPr>
      <w:r>
        <w:rPr>
          <w:rStyle w:val="Znakapoznpodarou"/>
        </w:rPr>
        <w:t>22)</w:t>
      </w:r>
      <w:r>
        <w:t xml:space="preserve"> </w:t>
      </w:r>
      <w:r w:rsidRPr="00013E16">
        <w:t>§ 11 zákona č. 334/1992 Sb., ve znění pozdějších předpisů.</w:t>
      </w:r>
    </w:p>
  </w:footnote>
  <w:footnote w:id="431">
    <w:p w14:paraId="0B37F774" w14:textId="026EC857" w:rsidR="00433B76" w:rsidRDefault="00433B76" w:rsidP="00CD3710">
      <w:pPr>
        <w:pStyle w:val="Textpoznpodarou"/>
        <w:tabs>
          <w:tab w:val="clear" w:pos="425"/>
          <w:tab w:val="left" w:pos="426"/>
        </w:tabs>
        <w:spacing w:before="0"/>
        <w:ind w:left="0" w:firstLine="0"/>
      </w:pPr>
      <w:r>
        <w:rPr>
          <w:rStyle w:val="Znakapoznpodarou"/>
        </w:rPr>
        <w:t>23)</w:t>
      </w:r>
      <w:r>
        <w:t xml:space="preserve"> </w:t>
      </w:r>
      <w:r w:rsidRPr="00013E16">
        <w:t>§ 15 zákona č. 289/1995 Sb., ve znění pozdějších předpisů.</w:t>
      </w:r>
    </w:p>
  </w:footnote>
  <w:footnote w:id="432">
    <w:p w14:paraId="668EA196" w14:textId="10E77162" w:rsidR="00433B76" w:rsidRDefault="00433B76" w:rsidP="00BD2602">
      <w:pPr>
        <w:pStyle w:val="Textpoznpodarou"/>
        <w:tabs>
          <w:tab w:val="clear" w:pos="425"/>
          <w:tab w:val="left" w:pos="426"/>
        </w:tabs>
        <w:spacing w:before="0"/>
        <w:ind w:left="0" w:firstLine="0"/>
      </w:pPr>
      <w:r>
        <w:rPr>
          <w:rStyle w:val="Znakapoznpodarou"/>
        </w:rPr>
        <w:t>24)</w:t>
      </w:r>
      <w:r>
        <w:t xml:space="preserve"> </w:t>
      </w:r>
      <w:r w:rsidRPr="00CD3710">
        <w:t xml:space="preserve">Zákon č. 219/2000 Sb., o majetku České republiky a jejím vystupování v právních vztazích, ve znění pozdějších předpisů. </w:t>
      </w:r>
      <w:proofErr w:type="gramStart"/>
      <w:r w:rsidRPr="00CD3710">
        <w:t>pozemku</w:t>
      </w:r>
      <w:proofErr w:type="gramEnd"/>
      <w:r w:rsidRPr="00CD3710">
        <w:t>.</w:t>
      </w:r>
    </w:p>
  </w:footnote>
  <w:footnote w:id="433">
    <w:p w14:paraId="5BB05D92" w14:textId="77777777" w:rsidR="00433B76" w:rsidRDefault="00433B76" w:rsidP="00BD2602">
      <w:pPr>
        <w:pStyle w:val="Textpoznpodarou"/>
        <w:spacing w:before="0"/>
        <w:rPr>
          <w:b/>
        </w:rPr>
      </w:pPr>
      <w:r w:rsidRPr="002A27C6">
        <w:rPr>
          <w:rStyle w:val="Znakapoznpodarou"/>
          <w:strike/>
        </w:rPr>
        <w:t>59)</w:t>
      </w:r>
      <w:r w:rsidRPr="00CD3710">
        <w:t xml:space="preserve"> </w:t>
      </w:r>
      <w:r w:rsidRPr="00BD2602">
        <w:rPr>
          <w:strike/>
        </w:rPr>
        <w:t>§ 2 odst. 1 zákona č. 151/1997 Sb., ve znění pozdějších předpisů.</w:t>
      </w:r>
      <w:r w:rsidRPr="00BD2602">
        <w:rPr>
          <w:b/>
        </w:rPr>
        <w:t xml:space="preserve"> </w:t>
      </w:r>
    </w:p>
    <w:p w14:paraId="748B985A" w14:textId="7296B905" w:rsidR="00433B76" w:rsidRPr="002A27C6" w:rsidRDefault="00433B76" w:rsidP="002A27C6">
      <w:pPr>
        <w:pStyle w:val="Textpoznpodarou"/>
        <w:tabs>
          <w:tab w:val="clear" w:pos="425"/>
          <w:tab w:val="left" w:pos="426"/>
        </w:tabs>
        <w:spacing w:before="0"/>
        <w:rPr>
          <w:b/>
        </w:rPr>
      </w:pPr>
      <w:r w:rsidRPr="002A27C6">
        <w:rPr>
          <w:b/>
          <w:vertAlign w:val="superscript"/>
        </w:rPr>
        <w:t>59)</w:t>
      </w:r>
      <w:r>
        <w:rPr>
          <w:b/>
        </w:rPr>
        <w:t xml:space="preserve"> </w:t>
      </w:r>
      <w:r w:rsidRPr="00CE3C79">
        <w:rPr>
          <w:b/>
        </w:rPr>
        <w:t>Zákon č. 151</w:t>
      </w:r>
      <w:r>
        <w:rPr>
          <w:b/>
        </w:rPr>
        <w:t xml:space="preserve">/1997 Sb., ve znění pozdějších </w:t>
      </w:r>
      <w:r w:rsidRPr="00CE3C79">
        <w:rPr>
          <w:b/>
        </w:rPr>
        <w:t>předpisů.</w:t>
      </w:r>
    </w:p>
  </w:footnote>
  <w:footnote w:id="434">
    <w:p w14:paraId="3EFA1896" w14:textId="70D1CA97" w:rsidR="00433B76" w:rsidRDefault="00433B76" w:rsidP="00CD3710">
      <w:pPr>
        <w:pStyle w:val="Textpoznpodarou"/>
        <w:tabs>
          <w:tab w:val="clear" w:pos="425"/>
          <w:tab w:val="left" w:pos="426"/>
        </w:tabs>
        <w:spacing w:before="0"/>
        <w:ind w:left="0" w:firstLine="0"/>
      </w:pPr>
      <w:r>
        <w:rPr>
          <w:rStyle w:val="Znakapoznpodarou"/>
        </w:rPr>
        <w:t>5)</w:t>
      </w:r>
      <w:r w:rsidRPr="00EC4448">
        <w:t xml:space="preserve"> </w:t>
      </w:r>
      <w:r w:rsidRPr="007143B5">
        <w:t>Zákon č. 44/1988 Sb., o ochraně a využití nerostného bohatství (horní zákon), ve znění pozdějších předpisů.</w:t>
      </w:r>
    </w:p>
  </w:footnote>
  <w:footnote w:id="435">
    <w:p w14:paraId="6C86D8B6" w14:textId="7BF74D9F" w:rsidR="00433B76" w:rsidRDefault="00433B76" w:rsidP="007143B5">
      <w:pPr>
        <w:pStyle w:val="Textpoznpodarou"/>
        <w:tabs>
          <w:tab w:val="clear" w:pos="425"/>
          <w:tab w:val="left" w:pos="426"/>
        </w:tabs>
        <w:spacing w:before="0"/>
        <w:ind w:left="0" w:firstLine="0"/>
      </w:pPr>
      <w:r>
        <w:rPr>
          <w:rStyle w:val="Znakapoznpodarou"/>
        </w:rPr>
        <w:t>25)</w:t>
      </w:r>
      <w:r w:rsidRPr="00C24775">
        <w:t xml:space="preserve"> </w:t>
      </w:r>
      <w:r w:rsidRPr="007143B5">
        <w:t>Zákon č. 229/1991 Sb., ve znění pozdějších předpisů.</w:t>
      </w:r>
    </w:p>
  </w:footnote>
  <w:footnote w:id="436">
    <w:p w14:paraId="6A659415" w14:textId="46382FA9" w:rsidR="00433B76" w:rsidRDefault="00433B76" w:rsidP="007143B5">
      <w:pPr>
        <w:pStyle w:val="Textpoznpodarou"/>
        <w:tabs>
          <w:tab w:val="clear" w:pos="425"/>
          <w:tab w:val="left" w:pos="426"/>
        </w:tabs>
        <w:spacing w:before="0"/>
        <w:ind w:left="0" w:firstLine="0"/>
      </w:pPr>
      <w:r>
        <w:rPr>
          <w:rStyle w:val="Znakapoznpodarou"/>
        </w:rPr>
        <w:t>26)</w:t>
      </w:r>
      <w:r w:rsidRPr="00C24775">
        <w:t xml:space="preserve"> </w:t>
      </w:r>
      <w:r w:rsidRPr="007143B5">
        <w:t>§ 16b zákona č. 151/1997 Sb., ve znění pozdějších předpisů.</w:t>
      </w:r>
    </w:p>
  </w:footnote>
  <w:footnote w:id="437">
    <w:p w14:paraId="59C2E634" w14:textId="38C40D29" w:rsidR="00433B76" w:rsidRDefault="00433B76" w:rsidP="007143B5">
      <w:pPr>
        <w:pStyle w:val="Textpoznpodarou"/>
        <w:tabs>
          <w:tab w:val="clear" w:pos="425"/>
          <w:tab w:val="left" w:pos="426"/>
        </w:tabs>
        <w:spacing w:before="0"/>
        <w:ind w:left="0" w:firstLine="0"/>
      </w:pPr>
      <w:r>
        <w:rPr>
          <w:rStyle w:val="Znakapoznpodarou"/>
        </w:rPr>
        <w:t>60)</w:t>
      </w:r>
      <w:r w:rsidRPr="00C24775">
        <w:t xml:space="preserve"> </w:t>
      </w:r>
      <w:r w:rsidRPr="00CD3710">
        <w:t>§ 2716 a násl. zákona č. 89/2012 Sb., občanský zákoník, ve znění pozdějších předpisů</w:t>
      </w:r>
      <w:r>
        <w:t>.</w:t>
      </w:r>
    </w:p>
  </w:footnote>
  <w:footnote w:id="438">
    <w:p w14:paraId="7B9ABA8D" w14:textId="2927CA97" w:rsidR="00433B76" w:rsidRDefault="00433B76" w:rsidP="007143B5">
      <w:pPr>
        <w:pStyle w:val="Textpoznpodarou"/>
        <w:tabs>
          <w:tab w:val="clear" w:pos="425"/>
          <w:tab w:val="left" w:pos="426"/>
        </w:tabs>
        <w:spacing w:before="0"/>
        <w:ind w:left="0" w:firstLine="0"/>
      </w:pPr>
      <w:r>
        <w:rPr>
          <w:rStyle w:val="Znakapoznpodarou"/>
        </w:rPr>
        <w:t>61)</w:t>
      </w:r>
      <w:r w:rsidRPr="007143B5">
        <w:t xml:space="preserve"> § 20 zákona č. 44/1988 Sb., ve znění pozdějších předpisů.</w:t>
      </w:r>
    </w:p>
  </w:footnote>
  <w:footnote w:id="439">
    <w:p w14:paraId="7B4EC5AC" w14:textId="77777777" w:rsidR="00433B76" w:rsidRDefault="00433B76" w:rsidP="00211970">
      <w:pPr>
        <w:pStyle w:val="Textpoznpodarou"/>
        <w:tabs>
          <w:tab w:val="clear" w:pos="425"/>
        </w:tabs>
        <w:spacing w:before="0"/>
        <w:ind w:left="0" w:firstLine="0"/>
      </w:pPr>
      <w:r>
        <w:rPr>
          <w:rStyle w:val="Znakapoznpodarou"/>
        </w:rPr>
        <w:t>35)</w:t>
      </w:r>
      <w:r>
        <w:t xml:space="preserve"> Zákon č. 47/1948 Sb., o některých </w:t>
      </w:r>
      <w:proofErr w:type="spellStart"/>
      <w:r>
        <w:t>technicko-hospodářských</w:t>
      </w:r>
      <w:proofErr w:type="spellEnd"/>
      <w:r>
        <w:t xml:space="preserve"> úpravách pozemků.</w:t>
      </w:r>
    </w:p>
    <w:p w14:paraId="031F217B" w14:textId="1802464E" w:rsidR="00433B76" w:rsidRDefault="00433B76" w:rsidP="00211970">
      <w:pPr>
        <w:pStyle w:val="Textpoznpodarou"/>
        <w:tabs>
          <w:tab w:val="clear" w:pos="425"/>
        </w:tabs>
        <w:spacing w:before="0"/>
        <w:ind w:left="0" w:firstLine="0"/>
      </w:pPr>
      <w:r>
        <w:t>Vládní nařízení č. 171/1940 Sb., o scelování hospodářských pozemků a jiných úpravách pozemkové držby.</w:t>
      </w:r>
    </w:p>
  </w:footnote>
  <w:footnote w:id="440">
    <w:p w14:paraId="6BA8FCCC" w14:textId="19E82CE4" w:rsidR="00433B76" w:rsidRDefault="00433B76" w:rsidP="00211970">
      <w:pPr>
        <w:pStyle w:val="Textpoznpodarou"/>
        <w:tabs>
          <w:tab w:val="clear" w:pos="425"/>
        </w:tabs>
        <w:spacing w:before="0"/>
        <w:ind w:left="0" w:firstLine="0"/>
      </w:pPr>
      <w:r>
        <w:rPr>
          <w:rStyle w:val="Znakapoznpodarou"/>
        </w:rPr>
        <w:t>36)</w:t>
      </w:r>
      <w:r>
        <w:t xml:space="preserve"> </w:t>
      </w:r>
      <w:r w:rsidRPr="00211970">
        <w:t>§ 136 a násl. zákona č. 40/1964 Sb., ve znění pozdějších předpisů.</w:t>
      </w:r>
    </w:p>
  </w:footnote>
  <w:footnote w:id="441">
    <w:p w14:paraId="4441086F" w14:textId="3513ADDA" w:rsidR="00433B76" w:rsidRDefault="00433B76">
      <w:pPr>
        <w:pStyle w:val="Textpoznpodarou"/>
      </w:pPr>
      <w:r>
        <w:rPr>
          <w:rStyle w:val="Znakapoznpodarou"/>
        </w:rPr>
        <w:t>38)</w:t>
      </w:r>
      <w:r>
        <w:t xml:space="preserve"> </w:t>
      </w:r>
      <w:r w:rsidRPr="001A2F47">
        <w:t>§ 185f zákona č. 99/1963 Sb., ve znění pozdějších předpisů.</w:t>
      </w:r>
    </w:p>
  </w:footnote>
  <w:footnote w:id="442">
    <w:p w14:paraId="1504D491" w14:textId="16F56EAB" w:rsidR="00433B76" w:rsidRDefault="00433B76" w:rsidP="001B2667">
      <w:pPr>
        <w:pStyle w:val="Textpoznpodarou"/>
        <w:tabs>
          <w:tab w:val="clear" w:pos="425"/>
          <w:tab w:val="left" w:pos="426"/>
        </w:tabs>
        <w:spacing w:before="0"/>
        <w:ind w:left="0" w:firstLine="0"/>
      </w:pPr>
      <w:r>
        <w:rPr>
          <w:rStyle w:val="Znakapoznpodarou"/>
        </w:rPr>
        <w:t>1)</w:t>
      </w:r>
      <w:r>
        <w:t xml:space="preserve"> </w:t>
      </w:r>
      <w:r w:rsidRPr="001B2667">
        <w:t>Zákon č. 219/2000 Sb., o majetku České republiky a jejím vystupování v právních vztazích, ve znění pozdějších předpisů.</w:t>
      </w:r>
    </w:p>
  </w:footnote>
  <w:footnote w:id="443">
    <w:p w14:paraId="755B6975" w14:textId="07BBC8A3" w:rsidR="00433B76" w:rsidRPr="00F40F56" w:rsidRDefault="00433B76" w:rsidP="001B2667">
      <w:pPr>
        <w:pStyle w:val="Textpoznpodarou"/>
        <w:tabs>
          <w:tab w:val="clear" w:pos="425"/>
          <w:tab w:val="left" w:pos="426"/>
        </w:tabs>
        <w:spacing w:before="0"/>
        <w:ind w:left="0" w:firstLine="0"/>
        <w:rPr>
          <w:strike/>
        </w:rPr>
      </w:pPr>
      <w:r w:rsidRPr="00F40F56">
        <w:rPr>
          <w:rStyle w:val="Znakapoznpodarou"/>
          <w:strike/>
        </w:rPr>
        <w:t>2)</w:t>
      </w:r>
      <w:r w:rsidRPr="00F40F56">
        <w:rPr>
          <w:strike/>
        </w:rPr>
        <w:t xml:space="preserve"> Zákon č. 563/1991 Sb., o účetnictví, ve znění pozdějších předpisů.</w:t>
      </w:r>
    </w:p>
  </w:footnote>
  <w:footnote w:id="444">
    <w:p w14:paraId="3D047418" w14:textId="4D4B2DF3" w:rsidR="00433B76" w:rsidRDefault="00433B76" w:rsidP="00F40F56">
      <w:pPr>
        <w:pStyle w:val="Textpoznpodarou"/>
        <w:tabs>
          <w:tab w:val="clear" w:pos="425"/>
          <w:tab w:val="left" w:pos="426"/>
        </w:tabs>
        <w:ind w:left="0" w:firstLine="0"/>
      </w:pPr>
      <w:r>
        <w:rPr>
          <w:rStyle w:val="Znakapoznpodarou"/>
        </w:rPr>
        <w:t>1)</w:t>
      </w:r>
      <w:r>
        <w:t xml:space="preserve"> </w:t>
      </w:r>
      <w:r w:rsidRPr="00F40F56">
        <w:t>Zákon č. 219/2000 Sb., o majetku České republiky a jejím vystupování v právních vztazích, ve znění pozdějších předpisů.</w:t>
      </w:r>
    </w:p>
  </w:footnote>
  <w:footnote w:id="445">
    <w:p w14:paraId="159E982C" w14:textId="716759EC" w:rsidR="00433B76" w:rsidRPr="00F40F56" w:rsidRDefault="00433B76" w:rsidP="00F40F56">
      <w:pPr>
        <w:pStyle w:val="Textpoznpodarou"/>
        <w:tabs>
          <w:tab w:val="clear" w:pos="425"/>
          <w:tab w:val="left" w:pos="426"/>
        </w:tabs>
        <w:spacing w:before="0"/>
        <w:ind w:left="0" w:firstLine="0"/>
        <w:rPr>
          <w:strike/>
        </w:rPr>
      </w:pPr>
      <w:r w:rsidRPr="00F40F56">
        <w:rPr>
          <w:rStyle w:val="Znakapoznpodarou"/>
          <w:strike/>
        </w:rPr>
        <w:t>2)</w:t>
      </w:r>
      <w:r w:rsidRPr="00F40F56">
        <w:rPr>
          <w:strike/>
        </w:rPr>
        <w:t xml:space="preserve"> Zákon č. 563/1991 Sb., o účetnictví, ve znění pozdějších předpisů.</w:t>
      </w:r>
    </w:p>
  </w:footnote>
  <w:footnote w:id="446">
    <w:p w14:paraId="10BFBF4A" w14:textId="77777777" w:rsidR="00433B76" w:rsidRDefault="00433B76" w:rsidP="00C4511E">
      <w:pPr>
        <w:pStyle w:val="Textpoznpodarou"/>
        <w:spacing w:before="0"/>
      </w:pPr>
      <w:r>
        <w:rPr>
          <w:rStyle w:val="Znakapoznpodarou"/>
        </w:rPr>
        <w:t>1)</w:t>
      </w:r>
      <w:r>
        <w:t xml:space="preserve"> </w:t>
      </w:r>
      <w:r w:rsidRPr="00884D26">
        <w:t>Například občanský soudní řád, tre</w:t>
      </w:r>
      <w:r>
        <w:t>stní řád, zákon č. 216/1994 Sb.</w:t>
      </w:r>
      <w:r w:rsidRPr="00884D26">
        <w:t xml:space="preserve">, o rozhodčím řízení a o výkonu rozhodčích </w:t>
      </w:r>
    </w:p>
    <w:p w14:paraId="271A2B6A" w14:textId="77777777" w:rsidR="00433B76" w:rsidRDefault="00433B76" w:rsidP="00C4511E">
      <w:pPr>
        <w:pStyle w:val="Textpoznpodarou"/>
        <w:spacing w:before="0"/>
      </w:pPr>
      <w:r w:rsidRPr="00884D26">
        <w:t>nálezů, správní řád.</w:t>
      </w:r>
    </w:p>
  </w:footnote>
  <w:footnote w:id="447">
    <w:p w14:paraId="32003775" w14:textId="77777777" w:rsidR="00433B76" w:rsidRPr="008037B6" w:rsidRDefault="00433B76" w:rsidP="00C4511E">
      <w:pPr>
        <w:pStyle w:val="Textpoznpodarou"/>
        <w:spacing w:before="0"/>
        <w:ind w:left="0" w:firstLine="0"/>
        <w:rPr>
          <w:strike/>
        </w:rPr>
      </w:pPr>
      <w:r w:rsidRPr="008037B6">
        <w:rPr>
          <w:rStyle w:val="Znakapoznpodarou"/>
          <w:strike/>
        </w:rPr>
        <w:t>4)</w:t>
      </w:r>
      <w:r w:rsidRPr="008037B6">
        <w:rPr>
          <w:strike/>
        </w:rPr>
        <w:t xml:space="preserve"> Zákon č. 151/1997 Sb., o oceňování majetku a o změně některých zákonů (zákon o oceňování majetku), ve znění zákona č. 121/2000 Sb.</w:t>
      </w:r>
    </w:p>
  </w:footnote>
  <w:footnote w:id="448">
    <w:p w14:paraId="6F0BA184" w14:textId="77777777" w:rsidR="00433B76" w:rsidRDefault="00433B76" w:rsidP="00E46201">
      <w:pPr>
        <w:pStyle w:val="Textpoznpodarou"/>
        <w:ind w:left="0" w:firstLine="0"/>
      </w:pPr>
      <w:r>
        <w:rPr>
          <w:rStyle w:val="Znakapoznpodarou"/>
        </w:rPr>
        <w:t>12)</w:t>
      </w:r>
      <w:r>
        <w:t xml:space="preserve"> </w:t>
      </w:r>
      <w:r w:rsidRPr="005D2CAE">
        <w:t>Nařízení Evropského parlamentu a Rady (EU) 2017/1129 ze dne 14. června 2017 o prospektu, který má být uveřejněn při veřejné nabídce nebo přijetí cenných papírů k obchodování na regulovaném trhu, a o zrušení směrnice 2003/71/ES, v platném znění.</w:t>
      </w:r>
    </w:p>
  </w:footnote>
  <w:footnote w:id="449">
    <w:p w14:paraId="4D94F121" w14:textId="77777777" w:rsidR="00433B76" w:rsidRDefault="00433B76" w:rsidP="001D06F7">
      <w:pPr>
        <w:pStyle w:val="Textpoznpodarou"/>
        <w:spacing w:before="0"/>
      </w:pPr>
      <w:r>
        <w:rPr>
          <w:rStyle w:val="Znakapoznpodarou"/>
        </w:rPr>
        <w:footnoteRef/>
      </w:r>
      <w:r>
        <w:t xml:space="preserve"> Novela zákona o dani z přidané hodnoty, která je nyní předložena pracovním komisím LRV (Čj. LRV 308/24)</w:t>
      </w:r>
    </w:p>
  </w:footnote>
  <w:footnote w:id="450">
    <w:p w14:paraId="5A4795FE" w14:textId="7CAD5FA6" w:rsidR="00433B76" w:rsidRDefault="00433B76" w:rsidP="001D06F7">
      <w:pPr>
        <w:pStyle w:val="Textpoznpodarou"/>
        <w:spacing w:before="0"/>
        <w:ind w:left="0" w:firstLine="0"/>
      </w:pPr>
      <w:r>
        <w:rPr>
          <w:rStyle w:val="Znakapoznpodarou"/>
        </w:rPr>
        <w:t>7e)</w:t>
      </w:r>
      <w:r>
        <w:t xml:space="preserve"> </w:t>
      </w:r>
      <w:r w:rsidRPr="001D06F7">
        <w:t>Prováděcí nařízení Rady (EU) č. 282/2011 ze dne 15. března 2011, kterým se stanoví prováděcí opatření ke směrnici 2006/112/ES o společném systému daně z přidané hodnoty, v platném znění.</w:t>
      </w:r>
    </w:p>
  </w:footnote>
  <w:footnote w:id="451">
    <w:p w14:paraId="2704B594" w14:textId="1B187483" w:rsidR="00433B76" w:rsidRPr="005329E9" w:rsidRDefault="00433B76" w:rsidP="00E4236C">
      <w:pPr>
        <w:pStyle w:val="Textpoznpodarou"/>
        <w:spacing w:before="0"/>
        <w:ind w:left="0" w:firstLine="0"/>
        <w:rPr>
          <w:strike/>
        </w:rPr>
      </w:pPr>
      <w:r w:rsidRPr="005329E9">
        <w:rPr>
          <w:rStyle w:val="Znakapoznpodarou"/>
          <w:strike/>
          <w:color w:val="00B050"/>
        </w:rPr>
        <w:t>7d)</w:t>
      </w:r>
      <w:r w:rsidRPr="005329E9">
        <w:rPr>
          <w:strike/>
          <w:color w:val="00B050"/>
        </w:rPr>
        <w:t xml:space="preserve"> </w:t>
      </w:r>
      <w:r w:rsidRPr="001D06F7">
        <w:rPr>
          <w:strike/>
          <w:color w:val="00B050"/>
        </w:rPr>
        <w:t>Zákon č. 563/1991 Sb., o účetnictví, ve znění pozdějších předpisů.</w:t>
      </w:r>
    </w:p>
  </w:footnote>
  <w:footnote w:id="452">
    <w:p w14:paraId="6E05C257" w14:textId="03EBA033" w:rsidR="00433B76" w:rsidRDefault="00433B76" w:rsidP="00E4236C">
      <w:pPr>
        <w:pStyle w:val="Textpoznpodarou"/>
        <w:spacing w:before="0"/>
        <w:ind w:left="0" w:firstLine="0"/>
      </w:pPr>
      <w:r>
        <w:rPr>
          <w:rStyle w:val="Znakapoznpodarou"/>
        </w:rPr>
        <w:t>4a)</w:t>
      </w:r>
      <w:r>
        <w:t xml:space="preserve"> </w:t>
      </w:r>
      <w:r w:rsidRPr="001D06F7">
        <w:t>Zákon č. 56/2001 Sb., o podmínkách provozu vozidel na pozemních komunikacích a o změně zákona č. 168/1999 Sb., o pojištění odpovědnosti za škodu způsobenou provozem vozidla a o změně některých souvisejících zákonů (zákon o pojištění odpovědnosti z provozu vozidla), ve znění zákona č. 307/1999 Sb., ve znění pozdějších předpisů.</w:t>
      </w:r>
    </w:p>
  </w:footnote>
  <w:footnote w:id="453">
    <w:p w14:paraId="293B5433" w14:textId="2BFF0794" w:rsidR="00433B76" w:rsidRPr="001D06F7" w:rsidRDefault="00433B76" w:rsidP="001D06F7">
      <w:pPr>
        <w:pStyle w:val="Textpoznpodarou"/>
        <w:spacing w:before="0"/>
        <w:ind w:left="0" w:firstLine="0"/>
        <w:rPr>
          <w:strike/>
        </w:rPr>
      </w:pPr>
      <w:r w:rsidRPr="001D06F7">
        <w:rPr>
          <w:rStyle w:val="Znakapoznpodarou"/>
          <w:strike/>
          <w:color w:val="00B050"/>
        </w:rPr>
        <w:t>74)</w:t>
      </w:r>
      <w:r w:rsidRPr="001D06F7">
        <w:rPr>
          <w:strike/>
          <w:color w:val="00B050"/>
        </w:rPr>
        <w:t xml:space="preserve"> § 6 odst. 8 a § 7 odst. 11 vyhlášky č. 500/2002 Sb., kterou se provádějí některá ustanovení zákona č. 563/1991 Sb., o účetnictví, ve znění pozdějších předpisů, pro účetní jednotky, které jsou podnikateli účtujícími v soustavě podvojného účetnictví.</w:t>
      </w:r>
    </w:p>
  </w:footnote>
  <w:footnote w:id="454">
    <w:p w14:paraId="35FF2F0D" w14:textId="1B05DB1A" w:rsidR="00433B76" w:rsidRPr="00DF0CAC" w:rsidRDefault="00433B76" w:rsidP="005329E9">
      <w:pPr>
        <w:pStyle w:val="Textpoznpodarou"/>
        <w:spacing w:before="0"/>
        <w:rPr>
          <w:strike/>
        </w:rPr>
      </w:pPr>
      <w:r w:rsidRPr="00DF0CAC">
        <w:rPr>
          <w:rStyle w:val="Znakapoznpodarou"/>
          <w:strike/>
          <w:color w:val="00B050"/>
        </w:rPr>
        <w:t>2)</w:t>
      </w:r>
      <w:r w:rsidRPr="00DF0CAC">
        <w:rPr>
          <w:strike/>
          <w:color w:val="00B050"/>
        </w:rPr>
        <w:t xml:space="preserve"> § 25 zákona č. 563/1991 Sb., o účetnictví, ve znění zákona č. 353/2001 Sb. a zákona č. 437/2003 Sb.</w:t>
      </w:r>
    </w:p>
  </w:footnote>
  <w:footnote w:id="455">
    <w:p w14:paraId="0DEBB03A" w14:textId="2D2E37D3" w:rsidR="00433B76" w:rsidRDefault="00433B76" w:rsidP="005329E9">
      <w:pPr>
        <w:pStyle w:val="Textpoznpodarou"/>
        <w:spacing w:before="0"/>
      </w:pPr>
      <w:r>
        <w:rPr>
          <w:rStyle w:val="Znakapoznpodarou"/>
        </w:rPr>
        <w:t>10a)</w:t>
      </w:r>
      <w:r>
        <w:t xml:space="preserve"> </w:t>
      </w:r>
      <w:r w:rsidRPr="001D06F7">
        <w:t>Zákon č. 477/2001 Sb., o obalech a o změně některých zákonů (zákon o obalech), ve znění pozdějších předpisů.</w:t>
      </w:r>
    </w:p>
  </w:footnote>
  <w:footnote w:id="456">
    <w:p w14:paraId="0DAA06A9" w14:textId="7E101259" w:rsidR="00433B76" w:rsidRDefault="00433B76" w:rsidP="001D06F7">
      <w:pPr>
        <w:pStyle w:val="Textpoznpodarou"/>
        <w:spacing w:before="0"/>
        <w:ind w:left="0" w:firstLine="0"/>
      </w:pPr>
      <w:r>
        <w:rPr>
          <w:rStyle w:val="Znakapoznpodarou"/>
        </w:rPr>
        <w:t>11)</w:t>
      </w:r>
      <w:r>
        <w:t xml:space="preserve"> </w:t>
      </w:r>
      <w:r w:rsidRPr="001D06F7">
        <w:t>Zákon č. 229/1991 Sb., o úpravě vlastnických vztahů k půdě a jinému zemědělskému majetku, ve znění pozdějších předpisů. Zákon č. 42/1992 Sb., o úpravě majetkových vztahů a vypořádání majetkových nároků v družstvech, ve znění pozdějších předpisů.</w:t>
      </w:r>
    </w:p>
  </w:footnote>
  <w:footnote w:id="457">
    <w:p w14:paraId="3EF3C44B" w14:textId="78420777" w:rsidR="00433B76" w:rsidRPr="003201B9" w:rsidRDefault="00433B76">
      <w:pPr>
        <w:pStyle w:val="Textpoznpodarou"/>
        <w:rPr>
          <w:strike/>
        </w:rPr>
      </w:pPr>
      <w:r w:rsidRPr="003201B9">
        <w:rPr>
          <w:rStyle w:val="Znakapoznpodarou"/>
          <w:strike/>
        </w:rPr>
        <w:t>80)</w:t>
      </w:r>
      <w:r w:rsidRPr="003201B9">
        <w:rPr>
          <w:strike/>
        </w:rPr>
        <w:t xml:space="preserve"> § 18 a 19 zákona č. 563/1991 Sb., o účetnictví, ve znění pozdějších předpisů.</w:t>
      </w:r>
    </w:p>
  </w:footnote>
  <w:footnote w:id="458">
    <w:p w14:paraId="693FE181" w14:textId="5615CD6D" w:rsidR="00433B76" w:rsidRDefault="00433B76">
      <w:pPr>
        <w:pStyle w:val="Textpoznpodarou"/>
      </w:pPr>
      <w:r>
        <w:rPr>
          <w:rStyle w:val="Znakapoznpodarou"/>
        </w:rPr>
        <w:t>81)</w:t>
      </w:r>
      <w:r>
        <w:t xml:space="preserve"> </w:t>
      </w:r>
      <w:r w:rsidRPr="00603CB6">
        <w:t>Například zákon č. 119/1992 Sb., o cestovních náhradách, ve znění pozdějších předpisů.</w:t>
      </w:r>
    </w:p>
  </w:footnote>
  <w:footnote w:id="459">
    <w:p w14:paraId="2D8C2B49" w14:textId="712653AC" w:rsidR="00433B76" w:rsidRDefault="00433B76">
      <w:pPr>
        <w:pStyle w:val="Textpoznpodarou"/>
      </w:pPr>
      <w:r>
        <w:rPr>
          <w:rStyle w:val="Znakapoznpodarou"/>
        </w:rPr>
        <w:t>64)</w:t>
      </w:r>
      <w:r>
        <w:t xml:space="preserve"> </w:t>
      </w:r>
      <w:r w:rsidRPr="003201B9">
        <w:t>Zákon č. 83/1990 Sb., o sdružování občanů, ve znění pozdějších předpisů.</w:t>
      </w:r>
    </w:p>
  </w:footnote>
  <w:footnote w:id="460">
    <w:p w14:paraId="25837ABE" w14:textId="77777777" w:rsidR="00433B76" w:rsidRPr="00361897" w:rsidRDefault="00433B76" w:rsidP="00C460C1">
      <w:pPr>
        <w:pStyle w:val="Textpoznpodarou"/>
        <w:rPr>
          <w:strike/>
        </w:rPr>
      </w:pPr>
      <w:r w:rsidRPr="002556C5">
        <w:rPr>
          <w:rStyle w:val="Znakapoznpodarou"/>
          <w:rFonts w:eastAsiaTheme="majorEastAsia"/>
          <w:strike/>
        </w:rPr>
        <w:t>12)</w:t>
      </w:r>
      <w:r w:rsidRPr="002556C5">
        <w:rPr>
          <w:strike/>
        </w:rPr>
        <w:t xml:space="preserve"> Zákon č. 563/1991 Sb., o účetnictví, ve znění pozdějších předpisů.</w:t>
      </w:r>
    </w:p>
  </w:footnote>
  <w:footnote w:id="461">
    <w:p w14:paraId="72CE2B36" w14:textId="77777777" w:rsidR="00433B76" w:rsidRDefault="00433B76" w:rsidP="000A18B9">
      <w:pPr>
        <w:pStyle w:val="Textpoznpodarou"/>
        <w:spacing w:before="0"/>
      </w:pPr>
      <w:r>
        <w:rPr>
          <w:rStyle w:val="Znakapoznpodarou"/>
        </w:rPr>
        <w:t>23)</w:t>
      </w:r>
      <w:r>
        <w:t xml:space="preserve"> § 17 odst. 5 a 7 zákona č. 250/2000 Sb.</w:t>
      </w:r>
    </w:p>
    <w:p w14:paraId="6A5CB95D" w14:textId="77777777" w:rsidR="00433B76" w:rsidRDefault="00433B76" w:rsidP="000A18B9">
      <w:pPr>
        <w:pStyle w:val="Textpoznpodarou"/>
        <w:spacing w:before="0"/>
      </w:pPr>
      <w:r>
        <w:t>§ 43 zákona č. 128/2000 Sb.</w:t>
      </w:r>
    </w:p>
    <w:p w14:paraId="024023A5" w14:textId="77777777" w:rsidR="00433B76" w:rsidRDefault="00433B76" w:rsidP="000A18B9">
      <w:pPr>
        <w:pStyle w:val="Textpoznpodarou"/>
        <w:spacing w:before="0"/>
        <w:ind w:left="0" w:firstLine="0"/>
      </w:pPr>
      <w:r>
        <w:t>§ 20 zákona č. 129/2000 Sb., ve znění pozdějších předpisů.</w:t>
      </w:r>
    </w:p>
    <w:p w14:paraId="71A411E8" w14:textId="77777777" w:rsidR="00433B76" w:rsidRDefault="00433B76" w:rsidP="000A18B9">
      <w:pPr>
        <w:pStyle w:val="Textpoznpodarou"/>
        <w:spacing w:before="0"/>
      </w:pPr>
      <w:r>
        <w:t>§ 39 zákona č. 131/2000 Sb.</w:t>
      </w:r>
    </w:p>
  </w:footnote>
  <w:footnote w:id="462">
    <w:p w14:paraId="13D2F7A8" w14:textId="4380B0CA" w:rsidR="00433B76" w:rsidRPr="00F33823" w:rsidRDefault="00433B76" w:rsidP="00F81AA2">
      <w:pPr>
        <w:pStyle w:val="Textpoznpodarou"/>
        <w:tabs>
          <w:tab w:val="clear" w:pos="425"/>
          <w:tab w:val="left" w:pos="426"/>
        </w:tabs>
        <w:spacing w:before="0"/>
        <w:ind w:left="0" w:firstLine="0"/>
        <w:rPr>
          <w:strike/>
        </w:rPr>
      </w:pPr>
      <w:r w:rsidRPr="00F33823">
        <w:rPr>
          <w:rStyle w:val="Znakapoznpodarou"/>
          <w:strike/>
        </w:rPr>
        <w:t>15)</w:t>
      </w:r>
      <w:r w:rsidRPr="00F33823">
        <w:rPr>
          <w:strike/>
        </w:rPr>
        <w:t xml:space="preserve"> Zákon č. 563/1991 Sb., o účetnictví, ve znění pozdějších předpisů.</w:t>
      </w:r>
    </w:p>
  </w:footnote>
  <w:footnote w:id="463">
    <w:p w14:paraId="5F285998" w14:textId="0AFBB0FC" w:rsidR="00433B76" w:rsidRDefault="00433B76" w:rsidP="00F81AA2">
      <w:pPr>
        <w:pStyle w:val="Textpoznpodarou"/>
        <w:tabs>
          <w:tab w:val="clear" w:pos="425"/>
          <w:tab w:val="left" w:pos="426"/>
        </w:tabs>
        <w:spacing w:before="0"/>
        <w:ind w:left="0" w:firstLine="0"/>
      </w:pPr>
      <w:r>
        <w:rPr>
          <w:rStyle w:val="Znakapoznpodarou"/>
        </w:rPr>
        <w:t>16)</w:t>
      </w:r>
      <w:r>
        <w:t xml:space="preserve"> </w:t>
      </w:r>
      <w:r w:rsidRPr="00D22572">
        <w:t>Například § 50 a 52 zákona č. 258/2000 Sb., o ochraně veřejného zdraví a o změně některých souvisejících zákonů.</w:t>
      </w:r>
    </w:p>
  </w:footnote>
  <w:footnote w:id="464">
    <w:p w14:paraId="4BB33FE1" w14:textId="10567E93" w:rsidR="00433B76" w:rsidRDefault="00433B76" w:rsidP="00D22572">
      <w:pPr>
        <w:pStyle w:val="Textpoznpodarou"/>
        <w:tabs>
          <w:tab w:val="clear" w:pos="425"/>
          <w:tab w:val="left" w:pos="284"/>
        </w:tabs>
        <w:spacing w:before="0"/>
        <w:ind w:left="0" w:firstLine="0"/>
      </w:pPr>
      <w:r>
        <w:rPr>
          <w:rStyle w:val="Znakapoznpodarou"/>
        </w:rPr>
        <w:t>18)</w:t>
      </w:r>
      <w:r>
        <w:t xml:space="preserve"> </w:t>
      </w:r>
      <w:r w:rsidRPr="00D22572">
        <w:t>Například § 8 trestního řádu.</w:t>
      </w:r>
    </w:p>
  </w:footnote>
  <w:footnote w:id="465">
    <w:p w14:paraId="637EEA8E" w14:textId="7151CB25" w:rsidR="00433B76" w:rsidRDefault="00433B76" w:rsidP="00D22572">
      <w:pPr>
        <w:pStyle w:val="Textpoznpodarou"/>
        <w:tabs>
          <w:tab w:val="clear" w:pos="425"/>
          <w:tab w:val="left" w:pos="284"/>
        </w:tabs>
        <w:spacing w:before="0"/>
        <w:ind w:left="0" w:firstLine="0"/>
      </w:pPr>
      <w:r>
        <w:rPr>
          <w:rStyle w:val="Znakapoznpodarou"/>
        </w:rPr>
        <w:t>19)</w:t>
      </w:r>
      <w:r>
        <w:t xml:space="preserve"> </w:t>
      </w:r>
      <w:r w:rsidRPr="00D22572">
        <w:t>Zákon č. 352/2001 Sb., o užívání státních symbolů České republiky a o změně některých zákonů.</w:t>
      </w:r>
    </w:p>
  </w:footnote>
  <w:footnote w:id="466">
    <w:p w14:paraId="0ECBE1CC" w14:textId="77777777" w:rsidR="00433B76" w:rsidRDefault="00433B76" w:rsidP="00D22572">
      <w:pPr>
        <w:pStyle w:val="Textpoznpodarou"/>
        <w:tabs>
          <w:tab w:val="clear" w:pos="425"/>
          <w:tab w:val="left" w:pos="284"/>
        </w:tabs>
        <w:spacing w:before="0"/>
        <w:ind w:left="0" w:firstLine="0"/>
      </w:pPr>
      <w:r>
        <w:rPr>
          <w:rStyle w:val="Znakapoznpodarou"/>
        </w:rPr>
        <w:t>20)</w:t>
      </w:r>
      <w:r>
        <w:t xml:space="preserve"> Zákon č. 97/1974 Sb., o archivnictví, ve znění pozdějších předpisů.</w:t>
      </w:r>
    </w:p>
    <w:p w14:paraId="7D063143" w14:textId="3EA1FDA4" w:rsidR="00433B76" w:rsidRDefault="00433B76" w:rsidP="00D22572">
      <w:pPr>
        <w:pStyle w:val="Textpoznpodarou"/>
        <w:tabs>
          <w:tab w:val="clear" w:pos="425"/>
          <w:tab w:val="left" w:pos="284"/>
        </w:tabs>
        <w:spacing w:before="0"/>
        <w:ind w:left="0" w:firstLine="0"/>
      </w:pPr>
      <w:r>
        <w:t>Vyhláška č. 117/1974 Sb., kterou se stanoví kritéria pro posuzování písemností jako archiválií a podrobnosti skartačního řízení.</w:t>
      </w:r>
    </w:p>
  </w:footnote>
  <w:footnote w:id="467">
    <w:p w14:paraId="79D4965A" w14:textId="59878B6F" w:rsidR="00433B76" w:rsidRDefault="00433B76" w:rsidP="00D22572">
      <w:pPr>
        <w:pStyle w:val="Textpoznpodarou"/>
        <w:spacing w:before="0"/>
      </w:pPr>
      <w:r>
        <w:rPr>
          <w:rStyle w:val="Znakapoznpodarou"/>
        </w:rPr>
        <w:t>21a)</w:t>
      </w:r>
      <w:r>
        <w:t xml:space="preserve"> </w:t>
      </w:r>
      <w:r w:rsidRPr="00D22572">
        <w:t>Zákon č. 137/2006 Sb., o veřejných zakázkách, ve znění pozdějších předpisů.</w:t>
      </w:r>
    </w:p>
  </w:footnote>
  <w:footnote w:id="468">
    <w:p w14:paraId="3383A940" w14:textId="6FD298F8" w:rsidR="00433B76" w:rsidRDefault="00433B76" w:rsidP="00D22572">
      <w:pPr>
        <w:pStyle w:val="Textpoznpodarou"/>
        <w:spacing w:before="0"/>
      </w:pPr>
      <w:r>
        <w:rPr>
          <w:rStyle w:val="Znakapoznpodarou"/>
        </w:rPr>
        <w:t>21b)</w:t>
      </w:r>
      <w:r>
        <w:t xml:space="preserve"> </w:t>
      </w:r>
      <w:r w:rsidRPr="00D22572">
        <w:t>Například zákon č. 83/1990 Sb., o sdružování občanů, ve znění pozdějších předpisů.</w:t>
      </w:r>
    </w:p>
  </w:footnote>
  <w:footnote w:id="469">
    <w:p w14:paraId="6451B767" w14:textId="144EF64E" w:rsidR="00433B76" w:rsidRDefault="00433B76">
      <w:pPr>
        <w:pStyle w:val="Textpoznpodarou"/>
      </w:pPr>
      <w:r>
        <w:rPr>
          <w:rStyle w:val="Znakapoznpodarou"/>
        </w:rPr>
        <w:t>29)</w:t>
      </w:r>
      <w:r>
        <w:t xml:space="preserve"> </w:t>
      </w:r>
      <w:r w:rsidRPr="00D22572">
        <w:t>§ 26 odst. 2 zákona č. 586/1992 Sb., o daních z příjmů.</w:t>
      </w:r>
    </w:p>
  </w:footnote>
  <w:footnote w:id="470">
    <w:p w14:paraId="5F6F46D4" w14:textId="553C8C23" w:rsidR="00433B76" w:rsidRPr="002465DA" w:rsidRDefault="00433B76" w:rsidP="001E09C0">
      <w:pPr>
        <w:pStyle w:val="Textpoznpodarou"/>
        <w:spacing w:before="0"/>
        <w:rPr>
          <w:strike/>
        </w:rPr>
      </w:pPr>
      <w:r w:rsidRPr="002465DA">
        <w:rPr>
          <w:rStyle w:val="Znakapoznpodarou"/>
          <w:strike/>
        </w:rPr>
        <w:t>15)</w:t>
      </w:r>
      <w:r w:rsidRPr="002465DA">
        <w:rPr>
          <w:strike/>
        </w:rPr>
        <w:t xml:space="preserve"> Zákon č. 563/1991 Sb., o účetnictví, ve znění pozdějších předpisů.</w:t>
      </w:r>
    </w:p>
  </w:footnote>
  <w:footnote w:id="471">
    <w:p w14:paraId="74284875" w14:textId="47060246" w:rsidR="00433B76" w:rsidRDefault="00433B76" w:rsidP="001E09C0">
      <w:pPr>
        <w:pStyle w:val="Textpoznpodarou"/>
        <w:spacing w:before="0"/>
      </w:pPr>
      <w:r>
        <w:rPr>
          <w:rStyle w:val="Znakapoznpodarou"/>
        </w:rPr>
        <w:t>32)</w:t>
      </w:r>
      <w:r>
        <w:t xml:space="preserve"> </w:t>
      </w:r>
      <w:r w:rsidRPr="001E09C0">
        <w:t>§ 826 a násl. zákona č. 40/1964 Sb., občanský zákoník, ve znění pozdějších předpisů.</w:t>
      </w:r>
    </w:p>
  </w:footnote>
  <w:footnote w:id="472">
    <w:p w14:paraId="36A9F733" w14:textId="464B9A12" w:rsidR="00433B76" w:rsidRPr="00C3746B" w:rsidRDefault="00433B76" w:rsidP="001E09C0">
      <w:pPr>
        <w:pStyle w:val="Textpoznpodarou"/>
        <w:spacing w:before="0"/>
        <w:rPr>
          <w:strike/>
        </w:rPr>
      </w:pPr>
      <w:r w:rsidRPr="00C3746B">
        <w:rPr>
          <w:rStyle w:val="Znakapoznpodarou"/>
          <w:strike/>
        </w:rPr>
        <w:t>34)</w:t>
      </w:r>
      <w:r w:rsidRPr="00C3746B">
        <w:rPr>
          <w:strike/>
        </w:rPr>
        <w:t xml:space="preserve"> Zákon č. 563/1991 Sb., ve znění pozdějších předpisů.</w:t>
      </w:r>
    </w:p>
  </w:footnote>
  <w:footnote w:id="473">
    <w:p w14:paraId="435C62BF" w14:textId="3A9FCF26" w:rsidR="00433B76" w:rsidRDefault="00433B76" w:rsidP="001E09C0">
      <w:pPr>
        <w:pStyle w:val="Textpoznpodarou"/>
        <w:spacing w:before="0"/>
      </w:pPr>
      <w:r w:rsidRPr="00C3746B">
        <w:rPr>
          <w:rStyle w:val="Znakapoznpodarou"/>
          <w:strike/>
        </w:rPr>
        <w:t>35)</w:t>
      </w:r>
      <w:r w:rsidRPr="00C3746B">
        <w:rPr>
          <w:strike/>
        </w:rPr>
        <w:t xml:space="preserve"> § 14 zákona č. 563/1991 Sb., ve znění zákona č. 353/2001 Sb.</w:t>
      </w:r>
    </w:p>
  </w:footnote>
  <w:footnote w:id="474">
    <w:p w14:paraId="2E0E77CA" w14:textId="56BE872B" w:rsidR="00433B76" w:rsidRDefault="00433B76" w:rsidP="00DE5A00">
      <w:pPr>
        <w:pStyle w:val="Textpoznpodarou"/>
        <w:tabs>
          <w:tab w:val="clear" w:pos="425"/>
          <w:tab w:val="left" w:pos="993"/>
        </w:tabs>
        <w:spacing w:before="0"/>
        <w:ind w:left="0" w:firstLine="0"/>
      </w:pPr>
      <w:r>
        <w:rPr>
          <w:rStyle w:val="Znakapoznpodarou"/>
        </w:rPr>
        <w:t>6)</w:t>
      </w:r>
      <w:r>
        <w:t xml:space="preserve"> </w:t>
      </w:r>
      <w:r w:rsidRPr="00DE5A00">
        <w:t>§ 7 odst. 1 písm. e) zákona č. 3/2002 Sb., o svobodě náboženského vyznání a postavení církví a náboženských společností a o změně některých zákonů (zákon o církvích a náboženských společnostech).</w:t>
      </w:r>
    </w:p>
  </w:footnote>
  <w:footnote w:id="475">
    <w:p w14:paraId="0235EA73" w14:textId="68D2F1CD" w:rsidR="00433B76" w:rsidRDefault="00433B76" w:rsidP="00DE5A00">
      <w:pPr>
        <w:pStyle w:val="Textpoznpodarou"/>
        <w:tabs>
          <w:tab w:val="clear" w:pos="425"/>
          <w:tab w:val="left" w:pos="993"/>
        </w:tabs>
        <w:spacing w:before="0"/>
        <w:ind w:left="0" w:firstLine="0"/>
      </w:pPr>
      <w:r>
        <w:rPr>
          <w:rStyle w:val="Znakapoznpodarou"/>
        </w:rPr>
        <w:t>36)</w:t>
      </w:r>
      <w:r w:rsidRPr="00DE5A00">
        <w:t xml:space="preserve"> Zákon č. 218/2000 Sb., o rozpočtových pravidlech a o změně některých souvisejících zákonů (rozpočtová pravidla), ve znění pozdějších předpisů.</w:t>
      </w:r>
    </w:p>
  </w:footnote>
  <w:footnote w:id="476">
    <w:p w14:paraId="59BB02A9" w14:textId="5E64414E" w:rsidR="00433B76" w:rsidRDefault="00433B76" w:rsidP="00DE5A00">
      <w:pPr>
        <w:pStyle w:val="Textpoznpodarou"/>
        <w:tabs>
          <w:tab w:val="clear" w:pos="425"/>
          <w:tab w:val="left" w:pos="284"/>
        </w:tabs>
        <w:spacing w:before="0"/>
        <w:ind w:left="0" w:firstLine="0"/>
      </w:pPr>
      <w:r>
        <w:rPr>
          <w:rStyle w:val="Znakapoznpodarou"/>
        </w:rPr>
        <w:t>31)</w:t>
      </w:r>
      <w:r>
        <w:t xml:space="preserve"> </w:t>
      </w:r>
      <w:r w:rsidRPr="00DE5A00">
        <w:t>Zákon č. 306/1999 Sb., o poskytování dotací soukromým školám, předškolním a školským zařízením, ve znění pozdějších předpisů.</w:t>
      </w:r>
    </w:p>
  </w:footnote>
  <w:footnote w:id="477">
    <w:p w14:paraId="64CC9735" w14:textId="38CD7D4F" w:rsidR="00433B76" w:rsidRDefault="00433B76" w:rsidP="00DE5A00">
      <w:pPr>
        <w:pStyle w:val="Textpoznpodarou"/>
        <w:tabs>
          <w:tab w:val="clear" w:pos="425"/>
        </w:tabs>
        <w:spacing w:before="0"/>
        <w:ind w:left="0" w:firstLine="0"/>
      </w:pPr>
      <w:r>
        <w:rPr>
          <w:rStyle w:val="Znakapoznpodarou"/>
        </w:rPr>
        <w:t>60)</w:t>
      </w:r>
      <w:r>
        <w:t xml:space="preserve"> </w:t>
      </w:r>
      <w:r w:rsidRPr="00DE5A00">
        <w:t>Nařízení vlády č. 75/2005 Sb., o stanovení rozsahu přímé vyučovací, přímé výchovné, přímé speciálně pedagogické a přímé pedagogicko-psychologické činnosti pedagogických pracovníků, ve znění pozdějších předpisů.</w:t>
      </w:r>
    </w:p>
  </w:footnote>
  <w:footnote w:id="478">
    <w:p w14:paraId="15C406E9" w14:textId="78E639AC" w:rsidR="00433B76" w:rsidRDefault="00433B76" w:rsidP="00DE5A00">
      <w:pPr>
        <w:pStyle w:val="Textpoznpodarou"/>
        <w:tabs>
          <w:tab w:val="clear" w:pos="425"/>
          <w:tab w:val="left" w:pos="426"/>
        </w:tabs>
        <w:spacing w:before="0"/>
        <w:ind w:left="0" w:firstLine="0"/>
      </w:pPr>
      <w:r>
        <w:rPr>
          <w:rStyle w:val="Znakapoznpodarou"/>
        </w:rPr>
        <w:t>61)</w:t>
      </w:r>
      <w:r>
        <w:t xml:space="preserve"> </w:t>
      </w:r>
      <w:r w:rsidRPr="00A508C6">
        <w:t>Zákon č. 563/2004 Sb., o pedagogických pracovnících a o změně některých zákonů, ve znění pozdějších předpisů.</w:t>
      </w:r>
    </w:p>
  </w:footnote>
  <w:footnote w:id="479">
    <w:p w14:paraId="1C4E4A31" w14:textId="41BA347C" w:rsidR="00433B76" w:rsidRDefault="00433B76" w:rsidP="00A508C6">
      <w:pPr>
        <w:pStyle w:val="Textpoznpodarou"/>
        <w:tabs>
          <w:tab w:val="clear" w:pos="425"/>
          <w:tab w:val="left" w:pos="567"/>
        </w:tabs>
        <w:ind w:left="0" w:firstLine="0"/>
      </w:pPr>
      <w:r>
        <w:rPr>
          <w:rStyle w:val="Znakapoznpodarou"/>
        </w:rPr>
        <w:t>62)</w:t>
      </w:r>
      <w:r>
        <w:t xml:space="preserve"> </w:t>
      </w:r>
      <w:r w:rsidRPr="00A508C6">
        <w:t>Příloha č. 9 nařízení vlády č. 564/2006 Sb., o platových poměrech zaměstnanců ve veřejných službách a správě, ve znění pozdějších předpisů.</w:t>
      </w:r>
    </w:p>
  </w:footnote>
  <w:footnote w:id="480">
    <w:p w14:paraId="3AD5C0C1" w14:textId="7C3A2D83" w:rsidR="00433B76" w:rsidRDefault="00433B76" w:rsidP="00CC0728">
      <w:pPr>
        <w:pStyle w:val="Textpoznpodarou"/>
        <w:tabs>
          <w:tab w:val="clear" w:pos="425"/>
          <w:tab w:val="left" w:pos="709"/>
        </w:tabs>
        <w:spacing w:before="0"/>
        <w:ind w:left="0" w:firstLine="0"/>
      </w:pPr>
      <w:r>
        <w:rPr>
          <w:rStyle w:val="Znakapoznpodarou"/>
        </w:rPr>
        <w:t>64)</w:t>
      </w:r>
      <w:r>
        <w:t xml:space="preserve"> </w:t>
      </w:r>
      <w:r w:rsidRPr="00CC0728">
        <w:t>Například § 16 zákona č. 109/2002 Sb., ve znění pozdějších předpisů.</w:t>
      </w:r>
    </w:p>
  </w:footnote>
  <w:footnote w:id="481">
    <w:p w14:paraId="34897FD2" w14:textId="5B73C9EE" w:rsidR="00433B76" w:rsidRDefault="00433B76" w:rsidP="00CC0728">
      <w:pPr>
        <w:pStyle w:val="Textpoznpodarou"/>
        <w:tabs>
          <w:tab w:val="clear" w:pos="425"/>
          <w:tab w:val="left" w:pos="709"/>
        </w:tabs>
        <w:spacing w:before="0"/>
        <w:ind w:left="0" w:firstLine="0"/>
      </w:pPr>
      <w:r>
        <w:rPr>
          <w:rStyle w:val="Znakapoznpodarou"/>
        </w:rPr>
        <w:t>31)</w:t>
      </w:r>
      <w:r>
        <w:t xml:space="preserve"> </w:t>
      </w:r>
      <w:r w:rsidRPr="00CC0728">
        <w:t>Zákon č. 306/1999 Sb., o poskytování dotací soukromým školám, předškolním a školským zařízením, ve znění pozdějších předpisů.</w:t>
      </w:r>
    </w:p>
  </w:footnote>
  <w:footnote w:id="482">
    <w:p w14:paraId="030ECF95" w14:textId="73B77C1D" w:rsidR="00433B76" w:rsidRDefault="00433B76" w:rsidP="00CC0728">
      <w:pPr>
        <w:pStyle w:val="Textpoznpodarou"/>
        <w:tabs>
          <w:tab w:val="clear" w:pos="425"/>
          <w:tab w:val="left" w:pos="426"/>
        </w:tabs>
        <w:ind w:left="0" w:firstLine="0"/>
      </w:pPr>
      <w:r>
        <w:rPr>
          <w:rStyle w:val="Znakapoznpodarou"/>
        </w:rPr>
        <w:t>40)</w:t>
      </w:r>
      <w:r>
        <w:t xml:space="preserve"> </w:t>
      </w:r>
      <w:r w:rsidRPr="00CC0728">
        <w:t>Zákon č. 320/2001 Sb., o finanční kontrole ve veřejné správě a o změně některých zákonů (zákon o finanční kontrole), ve znění pozdějších předpisů.</w:t>
      </w:r>
    </w:p>
  </w:footnote>
  <w:footnote w:id="483">
    <w:p w14:paraId="3940688B" w14:textId="62D9A975" w:rsidR="00433B76" w:rsidRDefault="00433B76">
      <w:pPr>
        <w:pStyle w:val="Textpoznpodarou"/>
      </w:pPr>
      <w:r>
        <w:rPr>
          <w:rStyle w:val="Znakapoznpodarou"/>
        </w:rPr>
        <w:t>56)</w:t>
      </w:r>
      <w:r>
        <w:t xml:space="preserve"> </w:t>
      </w:r>
      <w:r w:rsidRPr="00CC0728">
        <w:t>Zákon č. 255/2012 Sb., o kontrole (kontrolní řád).</w:t>
      </w:r>
    </w:p>
  </w:footnote>
  <w:footnote w:id="484">
    <w:p w14:paraId="07B188FB" w14:textId="13DEE386" w:rsidR="00433B76" w:rsidRDefault="00433B76" w:rsidP="008E102F">
      <w:pPr>
        <w:pStyle w:val="Textpoznpodarou"/>
        <w:tabs>
          <w:tab w:val="clear" w:pos="425"/>
          <w:tab w:val="left" w:pos="709"/>
        </w:tabs>
        <w:ind w:left="0" w:firstLine="0"/>
      </w:pPr>
      <w:r>
        <w:rPr>
          <w:rStyle w:val="Znakapoznpodarou"/>
        </w:rPr>
        <w:t>2)</w:t>
      </w:r>
      <w:r>
        <w:t xml:space="preserve"> </w:t>
      </w:r>
      <w:r w:rsidRPr="008E102F">
        <w:t>Zákon č. 29/2000 Sb., o poštovních službách a o změně některých zákonů (zákon o poštovních službách), ve znění pozdějších předpisů.</w:t>
      </w:r>
    </w:p>
  </w:footnote>
  <w:footnote w:id="485">
    <w:p w14:paraId="19E13009" w14:textId="7A5753BD" w:rsidR="00433B76" w:rsidRPr="008E102F" w:rsidRDefault="00433B76">
      <w:pPr>
        <w:pStyle w:val="Textpoznpodarou"/>
        <w:rPr>
          <w:strike/>
        </w:rPr>
      </w:pPr>
      <w:r w:rsidRPr="008E102F">
        <w:rPr>
          <w:rStyle w:val="Znakapoznpodarou"/>
          <w:strike/>
        </w:rPr>
        <w:t>32)</w:t>
      </w:r>
      <w:r w:rsidRPr="008E102F">
        <w:rPr>
          <w:strike/>
        </w:rPr>
        <w:t xml:space="preserve"> Zákon č. 563/1991 Sb., o účetnictví, ve znění pozdějších předpisů.</w:t>
      </w:r>
    </w:p>
  </w:footnote>
  <w:footnote w:id="486">
    <w:p w14:paraId="3F4BBAB1" w14:textId="2486AB77" w:rsidR="00433B76" w:rsidRDefault="00433B76" w:rsidP="004A3BA1">
      <w:pPr>
        <w:pStyle w:val="Textpoznpodarou"/>
        <w:spacing w:before="0"/>
        <w:rPr>
          <w:strike/>
        </w:rPr>
      </w:pPr>
      <w:r w:rsidRPr="0042621F">
        <w:rPr>
          <w:rStyle w:val="Znakapoznpodarou"/>
          <w:strike/>
        </w:rPr>
        <w:t>30)</w:t>
      </w:r>
      <w:r w:rsidRPr="0042621F">
        <w:rPr>
          <w:strike/>
        </w:rPr>
        <w:t xml:space="preserve"> § 21 zákona č. 563/1991 Sb., ve znění pozdějších předpisů.</w:t>
      </w:r>
    </w:p>
    <w:p w14:paraId="5D6CC90C" w14:textId="41900ADE" w:rsidR="00433B76" w:rsidRPr="004A3BA1" w:rsidRDefault="00433B76" w:rsidP="004A3BA1">
      <w:pPr>
        <w:pStyle w:val="Textpoznpodarou"/>
        <w:spacing w:before="0"/>
        <w:rPr>
          <w:b/>
        </w:rPr>
      </w:pPr>
      <w:r w:rsidRPr="004A3BA1">
        <w:rPr>
          <w:rStyle w:val="Znakapoznpodarou"/>
          <w:b/>
        </w:rPr>
        <w:t>30)</w:t>
      </w:r>
      <w:r w:rsidRPr="004A3BA1">
        <w:rPr>
          <w:b/>
        </w:rPr>
        <w:t xml:space="preserve"> § …. </w:t>
      </w:r>
      <w:proofErr w:type="gramStart"/>
      <w:r w:rsidRPr="004A3BA1">
        <w:rPr>
          <w:b/>
        </w:rPr>
        <w:t>zákona</w:t>
      </w:r>
      <w:proofErr w:type="gramEnd"/>
      <w:r w:rsidRPr="004A3BA1">
        <w:rPr>
          <w:b/>
        </w:rPr>
        <w:t xml:space="preserve"> č. ………… /2024 Sb.</w:t>
      </w:r>
      <w:r>
        <w:rPr>
          <w:b/>
        </w:rPr>
        <w:t>, o účetnictví.</w:t>
      </w:r>
    </w:p>
  </w:footnote>
  <w:footnote w:id="487">
    <w:p w14:paraId="2C89115F" w14:textId="77777777" w:rsidR="00433B76" w:rsidRDefault="00433B76" w:rsidP="00F34CAF">
      <w:pPr>
        <w:pStyle w:val="Textpoznpodarou"/>
      </w:pPr>
      <w:r>
        <w:rPr>
          <w:rStyle w:val="Znakapoznpodarou"/>
        </w:rPr>
        <w:t>7)</w:t>
      </w:r>
      <w:r>
        <w:t xml:space="preserve"> </w:t>
      </w:r>
      <w:r w:rsidRPr="0081696C">
        <w:t>Zákon č. 50/1976 Sb., ve znění pozdějších předpisů.</w:t>
      </w:r>
    </w:p>
  </w:footnote>
  <w:footnote w:id="488">
    <w:p w14:paraId="0E7DD380" w14:textId="77777777" w:rsidR="00433B76" w:rsidRPr="004D43C2" w:rsidRDefault="00433B76" w:rsidP="00781559">
      <w:pPr>
        <w:pStyle w:val="Textpoznpodarou"/>
        <w:rPr>
          <w:strike/>
        </w:rPr>
      </w:pPr>
      <w:r w:rsidRPr="004D43C2">
        <w:rPr>
          <w:rStyle w:val="Znakapoznpodarou"/>
          <w:strike/>
        </w:rPr>
        <w:t>37)</w:t>
      </w:r>
      <w:r w:rsidRPr="004D43C2">
        <w:rPr>
          <w:strike/>
        </w:rPr>
        <w:t xml:space="preserve"> § 18 a § 19 odst. 1 zákona č. 563/1991 Sb., o účetnictví, ve znění pozdějších předpisů.</w:t>
      </w:r>
    </w:p>
  </w:footnote>
  <w:footnote w:id="489">
    <w:p w14:paraId="0C278B74" w14:textId="77777777" w:rsidR="00433B76" w:rsidRPr="004D43C2" w:rsidRDefault="00433B76" w:rsidP="00781559">
      <w:pPr>
        <w:pStyle w:val="Textpoznpodarou"/>
        <w:spacing w:before="0"/>
        <w:rPr>
          <w:strike/>
        </w:rPr>
      </w:pPr>
      <w:r w:rsidRPr="004D43C2">
        <w:rPr>
          <w:rStyle w:val="Znakapoznpodarou"/>
          <w:strike/>
        </w:rPr>
        <w:t>38)</w:t>
      </w:r>
      <w:r>
        <w:rPr>
          <w:strike/>
        </w:rPr>
        <w:t xml:space="preserve"> </w:t>
      </w:r>
      <w:r w:rsidRPr="004D43C2">
        <w:rPr>
          <w:strike/>
        </w:rPr>
        <w:t>Zákon č. 586/1992 Sb., o daních z příjmů, ve znění pozdějších předpisů.</w:t>
      </w:r>
    </w:p>
  </w:footnote>
  <w:footnote w:id="490">
    <w:p w14:paraId="641D8C39" w14:textId="77777777" w:rsidR="00433B76" w:rsidRPr="00F64C50" w:rsidRDefault="00433B76" w:rsidP="00781559">
      <w:pPr>
        <w:pStyle w:val="Textpoznpodarou"/>
        <w:spacing w:before="0"/>
      </w:pPr>
      <w:r w:rsidRPr="00F64C50">
        <w:rPr>
          <w:rStyle w:val="Znakapoznpodarou"/>
        </w:rPr>
        <w:t>53)</w:t>
      </w:r>
      <w:r w:rsidRPr="00F64C50">
        <w:t xml:space="preserve"> § 104 písm. c) zákona č. 134/2016 Sb.</w:t>
      </w:r>
    </w:p>
  </w:footnote>
  <w:footnote w:id="491">
    <w:p w14:paraId="798C8E45" w14:textId="77777777" w:rsidR="00433B76" w:rsidRDefault="00433B76" w:rsidP="00356CAE">
      <w:pPr>
        <w:pStyle w:val="Textpoznpodarou"/>
        <w:spacing w:before="0"/>
      </w:pPr>
      <w:r>
        <w:rPr>
          <w:rStyle w:val="Znakapoznpodarou"/>
        </w:rPr>
        <w:t>13)</w:t>
      </w:r>
      <w:r>
        <w:t xml:space="preserve"> </w:t>
      </w:r>
      <w:r w:rsidRPr="00210D28">
        <w:t>Zákon č. 586/1992 Sb., o daních z příjmů, ve znění pozdějších předpisů.</w:t>
      </w:r>
    </w:p>
  </w:footnote>
  <w:footnote w:id="492">
    <w:p w14:paraId="203ADB70" w14:textId="77777777" w:rsidR="00433B76" w:rsidRPr="001E458C" w:rsidRDefault="00433B76" w:rsidP="00180250">
      <w:pPr>
        <w:pStyle w:val="Textpoznpodarou"/>
        <w:spacing w:before="0"/>
        <w:rPr>
          <w:strike/>
        </w:rPr>
      </w:pPr>
      <w:r w:rsidRPr="001E458C">
        <w:rPr>
          <w:rStyle w:val="Znakapoznpodarou"/>
          <w:strike/>
        </w:rPr>
        <w:t>65)</w:t>
      </w:r>
      <w:r w:rsidRPr="001E458C">
        <w:rPr>
          <w:strike/>
        </w:rPr>
        <w:t xml:space="preserve"> Například § 7b zákona č. 586/1992 Sb., o daních z příjmů, ve znění pozdějších předpisů, zákon č. 563/1991 </w:t>
      </w:r>
    </w:p>
    <w:p w14:paraId="0D012099" w14:textId="77777777" w:rsidR="00433B76" w:rsidRDefault="00433B76" w:rsidP="00180250">
      <w:pPr>
        <w:pStyle w:val="Textpoznpodarou"/>
        <w:spacing w:before="0"/>
      </w:pPr>
      <w:r w:rsidRPr="001E458C">
        <w:rPr>
          <w:strike/>
        </w:rPr>
        <w:t>Sb., o účetnictví, ve znění pozdějších předpisů</w:t>
      </w:r>
      <w:r w:rsidRPr="001E458C">
        <w:t>.</w:t>
      </w:r>
    </w:p>
  </w:footnote>
  <w:footnote w:id="493">
    <w:p w14:paraId="7F4C36F0" w14:textId="77777777" w:rsidR="00433B76" w:rsidRDefault="00433B76" w:rsidP="00180250">
      <w:pPr>
        <w:pStyle w:val="Textpoznpodarou"/>
        <w:spacing w:before="0"/>
      </w:pPr>
      <w:r>
        <w:rPr>
          <w:rStyle w:val="Znakapoznpodarou"/>
        </w:rPr>
        <w:t>66)</w:t>
      </w:r>
      <w:r>
        <w:t xml:space="preserve"> </w:t>
      </w:r>
      <w:r w:rsidRPr="002922CA">
        <w:t xml:space="preserve">Zákon č. 93/2009 Sb., o auditorech a o změně některých zákonů (zákon o auditorech), ve znění pozdějších </w:t>
      </w:r>
    </w:p>
    <w:p w14:paraId="29E49F95" w14:textId="77777777" w:rsidR="00433B76" w:rsidRDefault="00433B76" w:rsidP="00180250">
      <w:pPr>
        <w:pStyle w:val="Textpoznpodarou"/>
        <w:spacing w:before="0"/>
      </w:pPr>
      <w:r w:rsidRPr="002922CA">
        <w:t>předpisů.</w:t>
      </w:r>
    </w:p>
  </w:footnote>
  <w:footnote w:id="494">
    <w:p w14:paraId="42CADD7D" w14:textId="77777777" w:rsidR="00433B76" w:rsidRDefault="00433B76" w:rsidP="00180250">
      <w:pPr>
        <w:pStyle w:val="Textpoznpodarou"/>
        <w:spacing w:before="0"/>
      </w:pPr>
      <w:r>
        <w:rPr>
          <w:rStyle w:val="Znakapoznpodarou"/>
        </w:rPr>
        <w:t>34)</w:t>
      </w:r>
      <w:r>
        <w:t xml:space="preserve"> </w:t>
      </w:r>
      <w:r w:rsidRPr="00545F7F">
        <w:t>§ 58 obchodního zákoníku.</w:t>
      </w:r>
    </w:p>
  </w:footnote>
  <w:footnote w:id="495">
    <w:p w14:paraId="7B9FCD63" w14:textId="77777777" w:rsidR="00433B76" w:rsidRDefault="00433B76" w:rsidP="00180250">
      <w:pPr>
        <w:pStyle w:val="Textpoznpodarou"/>
        <w:spacing w:before="0"/>
      </w:pPr>
      <w:r>
        <w:rPr>
          <w:rStyle w:val="Znakapoznpodarou"/>
        </w:rPr>
        <w:t>21)</w:t>
      </w:r>
      <w:r>
        <w:t xml:space="preserve"> </w:t>
      </w:r>
      <w:r w:rsidRPr="00373D4E">
        <w:t>§ 66a obchodního zákoníku.</w:t>
      </w:r>
    </w:p>
  </w:footnote>
  <w:footnote w:id="496">
    <w:p w14:paraId="3C974C05" w14:textId="77777777" w:rsidR="00433B76" w:rsidRDefault="00433B76" w:rsidP="00356CAE">
      <w:pPr>
        <w:pStyle w:val="Textpoznpodarou"/>
        <w:spacing w:before="0"/>
      </w:pPr>
      <w:r>
        <w:rPr>
          <w:rStyle w:val="Znakapoznpodarou"/>
        </w:rPr>
        <w:t>13)</w:t>
      </w:r>
      <w:r>
        <w:t xml:space="preserve"> </w:t>
      </w:r>
      <w:r w:rsidRPr="002922CA">
        <w:t>Zákon č. 586/1992 Sb., o daních z příjmů, ve znění pozdějších předpisů.</w:t>
      </w:r>
    </w:p>
  </w:footnote>
  <w:footnote w:id="497">
    <w:p w14:paraId="134C3BCD" w14:textId="77777777" w:rsidR="00433B76" w:rsidRDefault="00433B76" w:rsidP="00356CAE">
      <w:pPr>
        <w:pStyle w:val="Textpoznpodarou"/>
        <w:spacing w:before="0"/>
      </w:pPr>
      <w:r>
        <w:rPr>
          <w:rStyle w:val="Znakapoznpodarou"/>
        </w:rPr>
        <w:t>61)</w:t>
      </w:r>
      <w:r>
        <w:t xml:space="preserve"> </w:t>
      </w:r>
      <w:r w:rsidRPr="002922CA">
        <w:t xml:space="preserve">§ 2 písm. k) zákona č. 499/2004 Sb., o archivnictví a spisové službě a o změně některých zákonů, ve znění </w:t>
      </w:r>
    </w:p>
    <w:p w14:paraId="6E9EF519" w14:textId="77777777" w:rsidR="00433B76" w:rsidRDefault="00433B76" w:rsidP="00356CAE">
      <w:pPr>
        <w:pStyle w:val="Textpoznpodarou"/>
        <w:spacing w:before="0"/>
      </w:pPr>
      <w:r w:rsidRPr="002922CA">
        <w:t>zákona č. 190/2009 Sb.</w:t>
      </w:r>
    </w:p>
  </w:footnote>
  <w:footnote w:id="498">
    <w:p w14:paraId="632DA0D0" w14:textId="77777777" w:rsidR="00433B76" w:rsidRPr="005E05BB" w:rsidRDefault="00433B76" w:rsidP="00356CAE">
      <w:pPr>
        <w:pStyle w:val="Textpoznpodarou"/>
        <w:spacing w:before="0"/>
        <w:rPr>
          <w:strike/>
        </w:rPr>
      </w:pPr>
      <w:r w:rsidRPr="00D9501A">
        <w:rPr>
          <w:rStyle w:val="Znakapoznpodarou"/>
          <w:strike/>
        </w:rPr>
        <w:t>46)</w:t>
      </w:r>
      <w:r w:rsidRPr="00D9501A">
        <w:rPr>
          <w:strike/>
        </w:rPr>
        <w:t xml:space="preserve"> Zákon č. 563/1991 Sb., o účetnictví, ve znění pozdějších předpisů.</w:t>
      </w:r>
    </w:p>
  </w:footnote>
  <w:footnote w:id="499">
    <w:p w14:paraId="687F3895" w14:textId="77777777" w:rsidR="00433B76" w:rsidRDefault="00433B76" w:rsidP="00356CAE">
      <w:pPr>
        <w:pStyle w:val="Textpoznpodarou"/>
        <w:spacing w:before="0"/>
      </w:pPr>
      <w:r>
        <w:rPr>
          <w:rStyle w:val="Znakapoznpodarou"/>
        </w:rPr>
        <w:t>73)</w:t>
      </w:r>
      <w:r>
        <w:t xml:space="preserve"> </w:t>
      </w:r>
      <w:r w:rsidRPr="00663950">
        <w:t>§ 16b zákona č. 586/1992 Sb., o daních z příjmů, ve znění pozdějších předpisů.</w:t>
      </w:r>
    </w:p>
  </w:footnote>
  <w:footnote w:id="500">
    <w:p w14:paraId="73AA90FB" w14:textId="77777777" w:rsidR="00433B76" w:rsidRDefault="00433B76" w:rsidP="00356CAE">
      <w:pPr>
        <w:pStyle w:val="Textpoznpodarou"/>
        <w:spacing w:before="0"/>
      </w:pPr>
      <w:r>
        <w:rPr>
          <w:rStyle w:val="Znakapoznpodarou"/>
        </w:rPr>
        <w:t>29)</w:t>
      </w:r>
      <w:r>
        <w:t xml:space="preserve"> </w:t>
      </w:r>
      <w:r w:rsidRPr="00663950">
        <w:t>§ 279 odst. 2 občanského soudního řádu.</w:t>
      </w:r>
    </w:p>
  </w:footnote>
  <w:footnote w:id="501">
    <w:p w14:paraId="3A3D2A1D" w14:textId="77777777" w:rsidR="00433B76" w:rsidRPr="00043C0E" w:rsidRDefault="00433B76" w:rsidP="00043C0E">
      <w:pPr>
        <w:pStyle w:val="Textpoznpodarou"/>
        <w:spacing w:before="0"/>
        <w:rPr>
          <w:strike/>
        </w:rPr>
      </w:pPr>
      <w:r w:rsidRPr="00043C0E">
        <w:rPr>
          <w:rStyle w:val="Znakapoznpodarou"/>
          <w:strike/>
        </w:rPr>
        <w:t>7)</w:t>
      </w:r>
      <w:r w:rsidRPr="00043C0E">
        <w:rPr>
          <w:strike/>
        </w:rPr>
        <w:t xml:space="preserve"> § 2 odst. 1 zákona č. 151/1997 Sb., o oceňování majetku a o změně některých zákonů (zákon o oceňování </w:t>
      </w:r>
    </w:p>
    <w:p w14:paraId="57857E57" w14:textId="77777777" w:rsidR="00433B76" w:rsidRPr="00043C0E" w:rsidRDefault="00433B76" w:rsidP="00043C0E">
      <w:pPr>
        <w:pStyle w:val="Textpoznpodarou"/>
        <w:spacing w:before="0"/>
      </w:pPr>
      <w:r w:rsidRPr="00043C0E">
        <w:rPr>
          <w:strike/>
        </w:rPr>
        <w:t>majetku).</w:t>
      </w:r>
    </w:p>
  </w:footnote>
  <w:footnote w:id="502">
    <w:p w14:paraId="374CA759" w14:textId="77777777" w:rsidR="00433B76" w:rsidRPr="00B1461A" w:rsidRDefault="00433B76" w:rsidP="00043C0E">
      <w:pPr>
        <w:pStyle w:val="Textpoznpodarou"/>
        <w:spacing w:before="0"/>
        <w:rPr>
          <w:strike/>
        </w:rPr>
      </w:pPr>
      <w:r w:rsidRPr="00043C0E">
        <w:rPr>
          <w:rStyle w:val="Znakapoznpodarou"/>
          <w:strike/>
        </w:rPr>
        <w:t>8)</w:t>
      </w:r>
      <w:r w:rsidRPr="00043C0E">
        <w:rPr>
          <w:strike/>
        </w:rPr>
        <w:t xml:space="preserve"> § 16b zákona č. 151/1997 Sb., ve znění pozdějších předpisů.</w:t>
      </w:r>
    </w:p>
  </w:footnote>
  <w:footnote w:id="503">
    <w:p w14:paraId="12BCCFB6" w14:textId="77777777" w:rsidR="00433B76" w:rsidRDefault="00433B76" w:rsidP="00FC7F47">
      <w:pPr>
        <w:pStyle w:val="Textpoznpodarou"/>
      </w:pPr>
      <w:r>
        <w:rPr>
          <w:rStyle w:val="Znakapoznpodarou"/>
        </w:rPr>
        <w:t>14)</w:t>
      </w:r>
      <w:r>
        <w:t xml:space="preserve"> </w:t>
      </w:r>
      <w:r w:rsidRPr="000A5236">
        <w:t>§ 45 odst. 1 správního řádu.</w:t>
      </w:r>
    </w:p>
  </w:footnote>
  <w:footnote w:id="504">
    <w:p w14:paraId="0E38080C" w14:textId="7D73EA58" w:rsidR="00433B76" w:rsidRDefault="00433B76" w:rsidP="00E75E16">
      <w:pPr>
        <w:pStyle w:val="Textpoznpodarou"/>
        <w:spacing w:before="0"/>
      </w:pPr>
      <w:r>
        <w:rPr>
          <w:rStyle w:val="Znakapoznpodarou"/>
        </w:rPr>
        <w:t>2)</w:t>
      </w:r>
      <w:r>
        <w:t xml:space="preserve"> </w:t>
      </w:r>
      <w:r w:rsidRPr="00E75E16">
        <w:t>§ 2 písm. k) zákona č. 182/2006 Sb., ve znění zákona č. 139/2011 Sb.</w:t>
      </w:r>
    </w:p>
  </w:footnote>
  <w:footnote w:id="505">
    <w:p w14:paraId="16997B52" w14:textId="77777777" w:rsidR="00433B76" w:rsidRPr="00C75CE2" w:rsidRDefault="00433B76" w:rsidP="00E75E16">
      <w:pPr>
        <w:pStyle w:val="Textpoznpodarou"/>
        <w:spacing w:before="0"/>
        <w:rPr>
          <w:strike/>
        </w:rPr>
      </w:pPr>
      <w:r w:rsidRPr="00C75CE2">
        <w:rPr>
          <w:rStyle w:val="Znakapoznpodarou"/>
          <w:strike/>
        </w:rPr>
        <w:t>13)</w:t>
      </w:r>
      <w:r w:rsidRPr="00C75CE2">
        <w:rPr>
          <w:strike/>
        </w:rPr>
        <w:t xml:space="preserve"> Zákon č. 563/1991 Sb., o účetnictví, ve znění pozdějších předpisů.</w:t>
      </w:r>
    </w:p>
  </w:footnote>
  <w:footnote w:id="506">
    <w:p w14:paraId="67AEF00F" w14:textId="77777777" w:rsidR="00433B76" w:rsidRDefault="00433B76" w:rsidP="003632DB">
      <w:pPr>
        <w:pStyle w:val="Textpoznpodarou"/>
        <w:spacing w:before="0"/>
      </w:pPr>
      <w:r>
        <w:rPr>
          <w:rStyle w:val="Znakapoznpodarou"/>
        </w:rPr>
        <w:t>4)</w:t>
      </w:r>
      <w:r>
        <w:t xml:space="preserve"> </w:t>
      </w:r>
      <w:r w:rsidRPr="00817CD9">
        <w:t>Kapitola D - Zpracovatelský sektor (podkapitola DA až DN) klasifikace NACE (</w:t>
      </w:r>
      <w:proofErr w:type="spellStart"/>
      <w:r w:rsidRPr="00817CD9">
        <w:t>Rev</w:t>
      </w:r>
      <w:proofErr w:type="spellEnd"/>
      <w:r w:rsidRPr="00817CD9">
        <w:t xml:space="preserve">. 1) přílohy nařízení Rady </w:t>
      </w:r>
    </w:p>
    <w:p w14:paraId="3D3C5FC4" w14:textId="77777777" w:rsidR="00433B76" w:rsidRPr="00483545" w:rsidRDefault="00433B76" w:rsidP="003632DB">
      <w:pPr>
        <w:pStyle w:val="Textpoznpodarou"/>
        <w:spacing w:before="0"/>
      </w:pPr>
      <w:r w:rsidRPr="00483545">
        <w:t>(EHS) č. 3037/90 ze dne 9. října 1990 o statistické klasifikaci ekonomických činností v Evropském společenství.</w:t>
      </w:r>
    </w:p>
  </w:footnote>
  <w:footnote w:id="507">
    <w:p w14:paraId="5032C6C2" w14:textId="77777777" w:rsidR="00433B76" w:rsidRPr="00483545" w:rsidRDefault="00433B76" w:rsidP="003632DB">
      <w:pPr>
        <w:pStyle w:val="Textpoznpodarou"/>
        <w:spacing w:before="0"/>
        <w:rPr>
          <w:strike/>
        </w:rPr>
      </w:pPr>
      <w:r w:rsidRPr="00483545">
        <w:rPr>
          <w:rStyle w:val="Znakapoznpodarou"/>
          <w:strike/>
        </w:rPr>
        <w:t>6)</w:t>
      </w:r>
      <w:r w:rsidRPr="00483545">
        <w:rPr>
          <w:strike/>
        </w:rPr>
        <w:t xml:space="preserve"> § 21 zákona č. 563/1991 Sb., ve znění zákona č. 437/2003 Sb.</w:t>
      </w:r>
    </w:p>
  </w:footnote>
  <w:footnote w:id="508">
    <w:p w14:paraId="46FFD12D" w14:textId="77777777" w:rsidR="00433B76" w:rsidRPr="00483545" w:rsidRDefault="00433B76" w:rsidP="003632DB">
      <w:pPr>
        <w:pStyle w:val="Textpoznpodarou"/>
        <w:spacing w:before="0"/>
        <w:rPr>
          <w:strike/>
        </w:rPr>
      </w:pPr>
      <w:r w:rsidRPr="00483545">
        <w:rPr>
          <w:rStyle w:val="Znakapoznpodarou"/>
          <w:strike/>
        </w:rPr>
        <w:t>7)</w:t>
      </w:r>
      <w:r w:rsidRPr="00483545">
        <w:rPr>
          <w:strike/>
        </w:rPr>
        <w:t xml:space="preserve"> § 19 zákona č. 563/1991 Sb., ve znění zákona č. 492/2000 Sb., zákona č. 353/2001 Sb. a zákona č. 437/2003 Sb.</w:t>
      </w:r>
    </w:p>
  </w:footnote>
  <w:footnote w:id="509">
    <w:p w14:paraId="5F0876E0" w14:textId="77777777" w:rsidR="00433B76" w:rsidRPr="00483545" w:rsidRDefault="00433B76" w:rsidP="003632DB">
      <w:pPr>
        <w:pStyle w:val="Textpoznpodarou"/>
        <w:spacing w:before="0"/>
      </w:pPr>
      <w:r w:rsidRPr="00483545">
        <w:rPr>
          <w:rStyle w:val="Znakapoznpodarou"/>
        </w:rPr>
        <w:t>4)</w:t>
      </w:r>
      <w:r w:rsidRPr="00483545">
        <w:t xml:space="preserve"> Kapitola D - Zpracovatelský sektor (podkapitola DA až DN) klasifikace NACE (</w:t>
      </w:r>
      <w:proofErr w:type="spellStart"/>
      <w:r w:rsidRPr="00483545">
        <w:t>Rev</w:t>
      </w:r>
      <w:proofErr w:type="spellEnd"/>
      <w:r w:rsidRPr="00483545">
        <w:t xml:space="preserve">. 1) přílohy nařízení Rady </w:t>
      </w:r>
    </w:p>
    <w:p w14:paraId="62C54CCF" w14:textId="77777777" w:rsidR="00433B76" w:rsidRPr="00483545" w:rsidRDefault="00433B76" w:rsidP="003632DB">
      <w:pPr>
        <w:pStyle w:val="Textpoznpodarou"/>
        <w:spacing w:before="0"/>
      </w:pPr>
      <w:r w:rsidRPr="00483545">
        <w:t>(EHS) č. 3037/90 ze dne 9. října 1990 o statistické klasifikaci ekonomických činností v Evropském společenství.</w:t>
      </w:r>
    </w:p>
  </w:footnote>
  <w:footnote w:id="510">
    <w:p w14:paraId="46208E72" w14:textId="77777777" w:rsidR="00433B76" w:rsidRPr="00483545" w:rsidRDefault="00433B76" w:rsidP="003632DB">
      <w:pPr>
        <w:pStyle w:val="Textpoznpodarou"/>
        <w:spacing w:before="0"/>
        <w:rPr>
          <w:strike/>
        </w:rPr>
      </w:pPr>
      <w:r w:rsidRPr="00483545">
        <w:rPr>
          <w:rStyle w:val="Znakapoznpodarou"/>
          <w:strike/>
        </w:rPr>
        <w:t>8)</w:t>
      </w:r>
      <w:r w:rsidRPr="00483545">
        <w:rPr>
          <w:strike/>
        </w:rPr>
        <w:t xml:space="preserve"> § 22 zákona č. 563/1991 Sb., ve znění zákona č. 353/2001 Sb. a zákona č. 437/2003 Sb.</w:t>
      </w:r>
    </w:p>
  </w:footnote>
  <w:footnote w:id="511">
    <w:p w14:paraId="6A057ECF" w14:textId="77777777" w:rsidR="00433B76" w:rsidRPr="00DE4804" w:rsidRDefault="00433B76" w:rsidP="003632DB">
      <w:pPr>
        <w:pStyle w:val="Textpoznpodarou"/>
        <w:spacing w:before="0"/>
        <w:rPr>
          <w:strike/>
        </w:rPr>
      </w:pPr>
      <w:r w:rsidRPr="00483545">
        <w:rPr>
          <w:rStyle w:val="Znakapoznpodarou"/>
          <w:strike/>
        </w:rPr>
        <w:t>9)</w:t>
      </w:r>
      <w:r w:rsidRPr="00483545">
        <w:rPr>
          <w:strike/>
        </w:rPr>
        <w:t xml:space="preserve"> § 22 odst. 2 zákona č. 563/1991 Sb., ve znění zákona č. 353/2001 Sb. a zákona č. 437/2003 Sb.</w:t>
      </w:r>
    </w:p>
  </w:footnote>
  <w:footnote w:id="512">
    <w:p w14:paraId="6FDEAB68" w14:textId="77777777" w:rsidR="00433B76" w:rsidRPr="00483545" w:rsidRDefault="00433B76" w:rsidP="003632DB">
      <w:pPr>
        <w:pStyle w:val="Textpoznpodarou"/>
        <w:spacing w:before="0"/>
        <w:rPr>
          <w:strike/>
        </w:rPr>
      </w:pPr>
      <w:r w:rsidRPr="00483545">
        <w:rPr>
          <w:rStyle w:val="Znakapoznpodarou"/>
          <w:strike/>
        </w:rPr>
        <w:t>10)</w:t>
      </w:r>
      <w:r w:rsidRPr="00483545">
        <w:rPr>
          <w:strike/>
        </w:rPr>
        <w:t xml:space="preserve"> § 22 odst. 3 zákona č. 563/1991 Sb., ve znění zákona č. 353/2001 Sb. a zákona č. 437/2003 Sb.</w:t>
      </w:r>
    </w:p>
  </w:footnote>
  <w:footnote w:id="513">
    <w:p w14:paraId="4C629750" w14:textId="77777777" w:rsidR="00433B76" w:rsidRDefault="00433B76" w:rsidP="003632DB">
      <w:pPr>
        <w:pStyle w:val="Textpoznpodarou"/>
        <w:spacing w:before="0"/>
      </w:pPr>
      <w:r>
        <w:rPr>
          <w:rStyle w:val="Znakapoznpodarou"/>
        </w:rPr>
        <w:t>4)</w:t>
      </w:r>
      <w:r>
        <w:t xml:space="preserve"> </w:t>
      </w:r>
      <w:r w:rsidRPr="0025708E">
        <w:t>Kapitola D - Zpracovatelský sektor (podkapitola DA až DN) klasifikace NACE (</w:t>
      </w:r>
      <w:proofErr w:type="spellStart"/>
      <w:r w:rsidRPr="0025708E">
        <w:t>Rev</w:t>
      </w:r>
      <w:proofErr w:type="spellEnd"/>
      <w:r w:rsidRPr="0025708E">
        <w:t xml:space="preserve">. 1) přílohy nařízení Rady </w:t>
      </w:r>
    </w:p>
    <w:p w14:paraId="7D53AC81" w14:textId="77777777" w:rsidR="00433B76" w:rsidRDefault="00433B76" w:rsidP="003632DB">
      <w:pPr>
        <w:pStyle w:val="Textpoznpodarou"/>
        <w:spacing w:before="0"/>
      </w:pPr>
      <w:r w:rsidRPr="0025708E">
        <w:t>(EHS) č. 3037/90 ze dne 9. října 1990 o statistické klasifikaci ekonomických činností v Evropském společenství.</w:t>
      </w:r>
    </w:p>
  </w:footnote>
  <w:footnote w:id="514">
    <w:p w14:paraId="0E0DC5E8" w14:textId="77777777" w:rsidR="00433B76" w:rsidRPr="001F5FA4" w:rsidRDefault="00433B76" w:rsidP="009B0DB6">
      <w:pPr>
        <w:pStyle w:val="Textpoznpodarou"/>
        <w:spacing w:before="0"/>
        <w:rPr>
          <w:strike/>
        </w:rPr>
      </w:pPr>
      <w:r w:rsidRPr="00483545">
        <w:rPr>
          <w:rStyle w:val="Znakapoznpodarou"/>
          <w:strike/>
        </w:rPr>
        <w:t>11)</w:t>
      </w:r>
      <w:r w:rsidRPr="00483545">
        <w:rPr>
          <w:strike/>
        </w:rPr>
        <w:t xml:space="preserve"> Zákon č. 563/1991 Sb., ve znění pozdějších předpisů.</w:t>
      </w:r>
    </w:p>
  </w:footnote>
  <w:footnote w:id="515">
    <w:p w14:paraId="416DFE44" w14:textId="77777777" w:rsidR="00433B76" w:rsidRDefault="00433B76" w:rsidP="009B0DB6">
      <w:pPr>
        <w:pStyle w:val="Textpoznpodarou"/>
        <w:spacing w:before="0"/>
      </w:pPr>
      <w:r>
        <w:rPr>
          <w:rStyle w:val="Znakapoznpodarou"/>
        </w:rPr>
        <w:t>12)</w:t>
      </w:r>
      <w:r>
        <w:t xml:space="preserve"> </w:t>
      </w:r>
      <w:r w:rsidRPr="006F0BE0">
        <w:t>Například § 86 zákona č. 127/2005 Sb.</w:t>
      </w:r>
    </w:p>
  </w:footnote>
  <w:footnote w:id="516">
    <w:p w14:paraId="549A3B80" w14:textId="77777777" w:rsidR="00433B76" w:rsidRDefault="00433B76" w:rsidP="00DE29D4">
      <w:pPr>
        <w:pStyle w:val="Textpoznpodarou"/>
      </w:pPr>
      <w:r>
        <w:rPr>
          <w:rStyle w:val="Znakapoznpodarou"/>
        </w:rPr>
        <w:t>20)</w:t>
      </w:r>
      <w:r>
        <w:t xml:space="preserve"> </w:t>
      </w:r>
      <w:r w:rsidRPr="00DB7E9B">
        <w:t>Nařízení Evropského parlamentu a Rady (EU) 2015/847.</w:t>
      </w:r>
    </w:p>
  </w:footnote>
  <w:footnote w:id="517">
    <w:p w14:paraId="0A46B16D" w14:textId="0B8CBB9A" w:rsidR="00433B76" w:rsidRDefault="00433B76">
      <w:pPr>
        <w:pStyle w:val="Textpoznpodarou"/>
      </w:pPr>
      <w:r>
        <w:rPr>
          <w:rStyle w:val="Znakapoznpodarou"/>
        </w:rPr>
        <w:t>16)</w:t>
      </w:r>
      <w:r>
        <w:t xml:space="preserve"> </w:t>
      </w:r>
      <w:r w:rsidRPr="00772333">
        <w:t>§ 44 odst. 1 zákona č. 6/1993 Sb., o České národní bance, ve znění pozdějších předpisů.</w:t>
      </w:r>
    </w:p>
  </w:footnote>
  <w:footnote w:id="518">
    <w:p w14:paraId="64D46950" w14:textId="2B23B643" w:rsidR="00433B76" w:rsidRDefault="00433B76" w:rsidP="002043DD">
      <w:pPr>
        <w:pStyle w:val="Textpoznpodarou"/>
        <w:tabs>
          <w:tab w:val="clear" w:pos="425"/>
          <w:tab w:val="left" w:pos="709"/>
        </w:tabs>
        <w:ind w:left="0" w:firstLine="0"/>
      </w:pPr>
      <w:r>
        <w:rPr>
          <w:rStyle w:val="Znakapoznpodarou"/>
        </w:rPr>
        <w:t>26)</w:t>
      </w:r>
      <w:r>
        <w:t xml:space="preserve"> </w:t>
      </w:r>
      <w:r w:rsidRPr="1516795E">
        <w:rPr>
          <w:strike/>
        </w:rPr>
        <w:t>Nařízení Komise v přenesené pravomoci (EU) 2019/815 ze dne 17. prosince 2018, kterým se doplňuje směrnice Evropského parlamentu a Rady 2004/109/ES, pokud jde o regulační technické normy specifikace jednotného elektronického formátu pro podávání zpráv, v platném znění.</w:t>
      </w:r>
    </w:p>
  </w:footnote>
  <w:footnote w:id="519">
    <w:p w14:paraId="5C6FA6EA" w14:textId="34FF3FD5" w:rsidR="00433B76" w:rsidRDefault="00433B76">
      <w:pPr>
        <w:pStyle w:val="Textpoznpodarou"/>
      </w:pPr>
      <w:r>
        <w:rPr>
          <w:rStyle w:val="Znakapoznpodarou"/>
        </w:rPr>
        <w:t>25)</w:t>
      </w:r>
      <w:r>
        <w:t xml:space="preserve"> </w:t>
      </w:r>
      <w:r w:rsidRPr="00F56A8A">
        <w:t>§ 74 odst. 2 zákona č. 90/2012 Sb., o obchodních společnostech a družstvech (zákon o obchodních korporacích).</w:t>
      </w:r>
    </w:p>
  </w:footnote>
  <w:footnote w:id="520">
    <w:p w14:paraId="60832D6B" w14:textId="77777777" w:rsidR="00433B76" w:rsidRDefault="00433B76" w:rsidP="00895B51">
      <w:pPr>
        <w:pStyle w:val="Textpoznpodarou"/>
        <w:spacing w:before="0"/>
      </w:pPr>
      <w:r>
        <w:rPr>
          <w:rStyle w:val="Znakapoznpodarou"/>
        </w:rPr>
        <w:t>6)</w:t>
      </w:r>
      <w:r>
        <w:t xml:space="preserve"> </w:t>
      </w:r>
      <w:r w:rsidRPr="003B4DBC">
        <w:t xml:space="preserve">§ 3 zákona č. 377/2005 Sb., o doplňkovém dohledu nad bankami, spořitelními a úvěrními družstvy, institucemi </w:t>
      </w:r>
    </w:p>
    <w:p w14:paraId="23725317" w14:textId="77777777" w:rsidR="00433B76" w:rsidRDefault="00433B76" w:rsidP="00895B51">
      <w:pPr>
        <w:pStyle w:val="Textpoznpodarou"/>
        <w:spacing w:before="0"/>
      </w:pPr>
      <w:r w:rsidRPr="003B4DBC">
        <w:t xml:space="preserve">elektronických peněz, pojišťovnami a obchodníky s cennými papíry ve finančních konglomerátech a o změně </w:t>
      </w:r>
    </w:p>
    <w:p w14:paraId="73EA5E70" w14:textId="77777777" w:rsidR="00433B76" w:rsidRDefault="00433B76" w:rsidP="00895B51">
      <w:pPr>
        <w:pStyle w:val="Textpoznpodarou"/>
        <w:spacing w:before="0"/>
      </w:pPr>
      <w:r w:rsidRPr="003B4DBC">
        <w:t>některých dalších zákonů (zákon o finančních konglomerátech).</w:t>
      </w:r>
    </w:p>
  </w:footnote>
  <w:footnote w:id="521">
    <w:p w14:paraId="0135DAAA" w14:textId="77777777" w:rsidR="00433B76" w:rsidRPr="00C4719F" w:rsidRDefault="00433B76" w:rsidP="00D8555D">
      <w:pPr>
        <w:pStyle w:val="Textpoznpodarou"/>
        <w:rPr>
          <w:strike/>
        </w:rPr>
      </w:pPr>
      <w:r w:rsidRPr="00C4719F">
        <w:rPr>
          <w:rStyle w:val="Znakapoznpodarou"/>
          <w:strike/>
        </w:rPr>
        <w:t>7)</w:t>
      </w:r>
      <w:r w:rsidRPr="00C4719F">
        <w:rPr>
          <w:strike/>
        </w:rPr>
        <w:t xml:space="preserve"> Bod 6 oddíl A přílohy I směrnice Evropského parlamentu a Rady 2004/39/ES.</w:t>
      </w:r>
    </w:p>
  </w:footnote>
  <w:footnote w:id="522">
    <w:p w14:paraId="0A12557F" w14:textId="77777777" w:rsidR="00433B76" w:rsidRDefault="00433B76" w:rsidP="00D8555D">
      <w:pPr>
        <w:pStyle w:val="Textpoznpodarou"/>
      </w:pPr>
      <w:r>
        <w:rPr>
          <w:rStyle w:val="Znakapoznpodarou"/>
        </w:rPr>
        <w:t>41)</w:t>
      </w:r>
      <w:r w:rsidRPr="00C44A12">
        <w:t xml:space="preserve"> Nařízení Evropského parlamentu a Rady (ES) č. 1060/2009 ze dne 6. září 2009 o ratingových agenturách.</w:t>
      </w:r>
    </w:p>
  </w:footnote>
  <w:footnote w:id="523">
    <w:p w14:paraId="7C66A347" w14:textId="77777777" w:rsidR="00433B76" w:rsidRDefault="00433B76" w:rsidP="00D8555D">
      <w:pPr>
        <w:pStyle w:val="Textpoznpodarou"/>
        <w:spacing w:before="0"/>
      </w:pPr>
      <w:r>
        <w:rPr>
          <w:rStyle w:val="Znakapoznpodarou"/>
        </w:rPr>
        <w:t>32)</w:t>
      </w:r>
      <w:r>
        <w:t xml:space="preserve"> </w:t>
      </w:r>
      <w:r w:rsidRPr="00C44A12">
        <w:t>Zákon č. 349/1999 Sb., o Veřejném ochránci práv, ve znění pozdějších předpisů.</w:t>
      </w:r>
    </w:p>
  </w:footnote>
  <w:footnote w:id="524">
    <w:p w14:paraId="0892E4B4" w14:textId="77777777" w:rsidR="00433B76" w:rsidRDefault="00433B76" w:rsidP="00D8555D">
      <w:pPr>
        <w:pStyle w:val="Textpoznpodarou"/>
        <w:spacing w:before="0"/>
      </w:pPr>
      <w:r>
        <w:rPr>
          <w:rStyle w:val="Znakapoznpodarou"/>
        </w:rPr>
        <w:t>33)</w:t>
      </w:r>
      <w:r>
        <w:t xml:space="preserve"> </w:t>
      </w:r>
      <w:r w:rsidRPr="00B772EB">
        <w:t xml:space="preserve">Zákon č. 412/2005 Sb., o ochraně utajovaných informací a o bezpečnostní způsobilosti, ve znění pozdějších </w:t>
      </w:r>
    </w:p>
    <w:p w14:paraId="065C79AD" w14:textId="77777777" w:rsidR="00433B76" w:rsidRDefault="00433B76" w:rsidP="00D8555D">
      <w:pPr>
        <w:pStyle w:val="Textpoznpodarou"/>
        <w:spacing w:before="0"/>
      </w:pPr>
      <w:r w:rsidRPr="00B772EB">
        <w:t>předpisů.</w:t>
      </w:r>
    </w:p>
  </w:footnote>
  <w:footnote w:id="525">
    <w:p w14:paraId="24B4A2BD" w14:textId="77777777" w:rsidR="00433B76" w:rsidRDefault="00433B76" w:rsidP="00D8555D">
      <w:pPr>
        <w:pStyle w:val="Textpoznpodarou"/>
        <w:spacing w:before="0"/>
      </w:pPr>
      <w:r>
        <w:rPr>
          <w:rStyle w:val="Znakapoznpodarou"/>
        </w:rPr>
        <w:t>34)</w:t>
      </w:r>
      <w:r>
        <w:t xml:space="preserve"> </w:t>
      </w:r>
      <w:r w:rsidRPr="00B772EB">
        <w:t>Zákon č. 159/2006 Sb., o střetu zájmů, ve znění pozdějších předpisů.</w:t>
      </w:r>
    </w:p>
  </w:footnote>
  <w:footnote w:id="526">
    <w:p w14:paraId="40D3EBAD" w14:textId="77777777" w:rsidR="00433B76" w:rsidRDefault="00433B76" w:rsidP="00895B51">
      <w:pPr>
        <w:pStyle w:val="Textpoznpodarou"/>
        <w:spacing w:before="0"/>
      </w:pPr>
      <w:r>
        <w:rPr>
          <w:rStyle w:val="Znakapoznpodarou"/>
        </w:rPr>
        <w:t>35)</w:t>
      </w:r>
      <w:r>
        <w:t xml:space="preserve"> </w:t>
      </w:r>
      <w:r w:rsidRPr="00B772EB">
        <w:t>Zákon č. 253/2008 Sb.</w:t>
      </w:r>
    </w:p>
  </w:footnote>
  <w:footnote w:id="527">
    <w:p w14:paraId="1D051C79" w14:textId="77777777" w:rsidR="00433B76" w:rsidRDefault="00433B76" w:rsidP="00895B51">
      <w:pPr>
        <w:pStyle w:val="Textpoznpodarou"/>
        <w:spacing w:before="0"/>
      </w:pPr>
      <w:r>
        <w:rPr>
          <w:rStyle w:val="Znakapoznpodarou"/>
        </w:rPr>
        <w:t>36)</w:t>
      </w:r>
      <w:r>
        <w:t xml:space="preserve"> </w:t>
      </w:r>
      <w:r w:rsidRPr="00B772EB">
        <w:t>Zákon č. 69/2006 Sb., o provádění mezinárodních sankcí.</w:t>
      </w:r>
    </w:p>
  </w:footnote>
  <w:footnote w:id="528">
    <w:p w14:paraId="0BC01BC4" w14:textId="77777777" w:rsidR="00433B76" w:rsidRDefault="00433B76" w:rsidP="00881B66">
      <w:pPr>
        <w:pStyle w:val="Textpoznpodarou"/>
        <w:tabs>
          <w:tab w:val="clear" w:pos="425"/>
          <w:tab w:val="left" w:pos="426"/>
          <w:tab w:val="left" w:pos="851"/>
        </w:tabs>
        <w:spacing w:before="0"/>
        <w:ind w:left="0" w:firstLine="0"/>
      </w:pPr>
      <w:r>
        <w:rPr>
          <w:rStyle w:val="Znakapoznpodarou"/>
        </w:rPr>
        <w:footnoteRef/>
      </w:r>
      <w:r w:rsidRPr="00F030F3">
        <w:rPr>
          <w:vertAlign w:val="superscript"/>
        </w:rPr>
        <w:t>)</w:t>
      </w:r>
      <w:r>
        <w:t xml:space="preserve"> § 2 zákona č. 458/2000 Sb., o podmínkách podnikání a o výkonu státní správy v energetických odvětvích a o změně některých zákonů (energetický zákon), ve znění pozdějších předpisů.</w:t>
      </w:r>
    </w:p>
    <w:p w14:paraId="63F5F2E9" w14:textId="77777777" w:rsidR="00433B76" w:rsidRDefault="00433B76" w:rsidP="00881B66">
      <w:pPr>
        <w:pStyle w:val="Textpoznpodarou"/>
        <w:tabs>
          <w:tab w:val="clear" w:pos="425"/>
          <w:tab w:val="left" w:pos="426"/>
          <w:tab w:val="left" w:pos="851"/>
        </w:tabs>
        <w:spacing w:before="0"/>
        <w:ind w:left="0" w:firstLine="0"/>
      </w:pPr>
      <w:r>
        <w:t>Zákon č. 189/1999 Sb., o nouzových zásobách ropy, o řešení ropné nouze a o změně některých souvisejících zákonů (zákon o nouzových zásobách ropy), ve znění pozdějších předpisů.</w:t>
      </w:r>
    </w:p>
  </w:footnote>
  <w:footnote w:id="529">
    <w:p w14:paraId="6D74C423" w14:textId="77777777" w:rsidR="00433B76" w:rsidRPr="00347243" w:rsidRDefault="00433B76" w:rsidP="00881B66">
      <w:pPr>
        <w:pStyle w:val="Textpoznpodarou"/>
        <w:tabs>
          <w:tab w:val="clear" w:pos="425"/>
          <w:tab w:val="left" w:pos="426"/>
          <w:tab w:val="left" w:pos="851"/>
        </w:tabs>
        <w:spacing w:before="0"/>
        <w:ind w:left="0" w:firstLine="0"/>
        <w:rPr>
          <w:strike/>
        </w:rPr>
      </w:pPr>
      <w:r w:rsidRPr="00347243">
        <w:rPr>
          <w:rStyle w:val="Znakapoznpodarou"/>
          <w:strike/>
        </w:rPr>
        <w:footnoteRef/>
      </w:r>
      <w:r w:rsidRPr="00347243">
        <w:rPr>
          <w:strike/>
          <w:vertAlign w:val="superscript"/>
        </w:rPr>
        <w:t>)</w:t>
      </w:r>
      <w:r w:rsidRPr="00347243">
        <w:rPr>
          <w:strike/>
        </w:rPr>
        <w:t xml:space="preserve"> § 5 odst. 1 a 4 zákona č. 184/2006 Sb., o odnětí nebo omezení vlastnického práva k pozemku nebo ke stavbě (zákon o vyvlastnění), ve znění zákona č. 405/2012 Sb.</w:t>
      </w:r>
    </w:p>
  </w:footnote>
  <w:footnote w:id="530">
    <w:p w14:paraId="33955758" w14:textId="77777777" w:rsidR="00433B76" w:rsidRDefault="00433B76" w:rsidP="00881B66">
      <w:pPr>
        <w:pStyle w:val="Textpoznpodarou"/>
        <w:tabs>
          <w:tab w:val="clear" w:pos="425"/>
          <w:tab w:val="left" w:pos="426"/>
          <w:tab w:val="left" w:pos="851"/>
        </w:tabs>
        <w:spacing w:before="0"/>
        <w:ind w:left="0" w:firstLine="0"/>
      </w:pPr>
      <w:r>
        <w:rPr>
          <w:rStyle w:val="Znakapoznpodarou"/>
        </w:rPr>
        <w:footnoteRef/>
      </w:r>
      <w:r w:rsidRPr="00F030F3">
        <w:rPr>
          <w:vertAlign w:val="superscript"/>
        </w:rPr>
        <w:t>)</w:t>
      </w:r>
      <w:r>
        <w:t xml:space="preserve"> </w:t>
      </w:r>
      <w:r w:rsidRPr="00414CCB">
        <w:t>§ 9 odst. 1 písm. a) a § 9 odst. 3 zákona č. 151/1997 Sb., o oceňování majetku a o změně některých zákonů (zákon o oceňování majetku).</w:t>
      </w:r>
    </w:p>
  </w:footnote>
  <w:footnote w:id="531">
    <w:p w14:paraId="0344A2B7" w14:textId="77777777" w:rsidR="00433B76" w:rsidRPr="006F349D" w:rsidRDefault="00433B76" w:rsidP="00881B66">
      <w:pPr>
        <w:pStyle w:val="Textpoznpodarou"/>
        <w:tabs>
          <w:tab w:val="clear" w:pos="425"/>
          <w:tab w:val="left" w:pos="426"/>
          <w:tab w:val="left" w:pos="851"/>
        </w:tabs>
        <w:spacing w:before="0"/>
        <w:ind w:left="0" w:firstLine="0"/>
        <w:rPr>
          <w:strike/>
        </w:rPr>
      </w:pPr>
      <w:r w:rsidRPr="006F349D">
        <w:rPr>
          <w:rStyle w:val="Znakapoznpodarou"/>
          <w:strike/>
        </w:rPr>
        <w:footnoteRef/>
      </w:r>
      <w:r w:rsidRPr="006F349D">
        <w:rPr>
          <w:strike/>
          <w:vertAlign w:val="superscript"/>
        </w:rPr>
        <w:t>)</w:t>
      </w:r>
      <w:r w:rsidRPr="006F349D">
        <w:rPr>
          <w:strike/>
        </w:rPr>
        <w:t xml:space="preserve"> § 2 odst. 1 zákona č. 151/1997 Sb.</w:t>
      </w:r>
    </w:p>
  </w:footnote>
  <w:footnote w:id="532">
    <w:p w14:paraId="14E90B9C" w14:textId="3C1F9B9F" w:rsidR="00433B76" w:rsidRDefault="00433B76">
      <w:pPr>
        <w:pStyle w:val="Textpoznpodarou"/>
      </w:pPr>
      <w:r>
        <w:rPr>
          <w:rStyle w:val="Znakapoznpodarou"/>
        </w:rPr>
        <w:t>1)</w:t>
      </w:r>
      <w:r>
        <w:t xml:space="preserve"> </w:t>
      </w:r>
      <w:r w:rsidRPr="001702C9">
        <w:t>Zákon č. 361/2003 Sb., o služebním poměru příslušníků bezpečnostních sborů, ve znění pozdějších předpisů.</w:t>
      </w:r>
    </w:p>
  </w:footnote>
  <w:footnote w:id="533">
    <w:p w14:paraId="7AAC82D8" w14:textId="77777777" w:rsidR="00433B76" w:rsidRDefault="00433B76" w:rsidP="00D65974">
      <w:pPr>
        <w:pStyle w:val="Textpoznpodarou"/>
        <w:tabs>
          <w:tab w:val="clear" w:pos="425"/>
          <w:tab w:val="left" w:pos="426"/>
        </w:tabs>
        <w:spacing w:before="0"/>
      </w:pPr>
      <w:r>
        <w:rPr>
          <w:rStyle w:val="Znakapoznpodarou"/>
        </w:rPr>
        <w:t>2)</w:t>
      </w:r>
      <w:r>
        <w:t xml:space="preserve"> </w:t>
      </w:r>
      <w:r w:rsidRPr="00B42F8A">
        <w:t>Například</w:t>
      </w:r>
      <w:r>
        <w:t xml:space="preserve"> </w:t>
      </w:r>
      <w:r w:rsidRPr="00B42F8A">
        <w:t>zákon</w:t>
      </w:r>
      <w:r>
        <w:t xml:space="preserve"> </w:t>
      </w:r>
      <w:r w:rsidRPr="00B42F8A">
        <w:t>č.</w:t>
      </w:r>
      <w:r>
        <w:t xml:space="preserve"> </w:t>
      </w:r>
      <w:r w:rsidRPr="00B42F8A">
        <w:t>412/2005</w:t>
      </w:r>
      <w:r>
        <w:t xml:space="preserve"> </w:t>
      </w:r>
      <w:r w:rsidRPr="00B42F8A">
        <w:t>Sb.,</w:t>
      </w:r>
      <w:r>
        <w:t xml:space="preserve"> </w:t>
      </w:r>
      <w:r w:rsidRPr="00B42F8A">
        <w:t>o</w:t>
      </w:r>
      <w:r>
        <w:t xml:space="preserve"> </w:t>
      </w:r>
      <w:r w:rsidRPr="00B42F8A">
        <w:t>ochraně</w:t>
      </w:r>
      <w:r>
        <w:t xml:space="preserve"> </w:t>
      </w:r>
      <w:r w:rsidRPr="00B42F8A">
        <w:t>utajovaných</w:t>
      </w:r>
      <w:r>
        <w:t xml:space="preserve"> </w:t>
      </w:r>
      <w:r w:rsidRPr="00B42F8A">
        <w:t>informací</w:t>
      </w:r>
      <w:r>
        <w:t xml:space="preserve"> </w:t>
      </w:r>
      <w:r w:rsidRPr="00B42F8A">
        <w:t>a</w:t>
      </w:r>
      <w:r>
        <w:t xml:space="preserve"> </w:t>
      </w:r>
      <w:r w:rsidRPr="00B42F8A">
        <w:t>o</w:t>
      </w:r>
      <w:r>
        <w:t xml:space="preserve"> </w:t>
      </w:r>
      <w:r w:rsidRPr="00B42F8A">
        <w:t>bezpečnostní</w:t>
      </w:r>
      <w:r>
        <w:t xml:space="preserve"> </w:t>
      </w:r>
      <w:r w:rsidRPr="00B42F8A">
        <w:t>způsobilosti,</w:t>
      </w:r>
      <w:r>
        <w:t xml:space="preserve"> </w:t>
      </w:r>
      <w:r w:rsidRPr="00B42F8A">
        <w:t>nařízení</w:t>
      </w:r>
      <w:r>
        <w:t xml:space="preserve"> </w:t>
      </w:r>
    </w:p>
    <w:p w14:paraId="47249DC4" w14:textId="77777777" w:rsidR="00433B76" w:rsidRDefault="00433B76" w:rsidP="00D65974">
      <w:pPr>
        <w:pStyle w:val="Textpoznpodarou"/>
        <w:tabs>
          <w:tab w:val="clear" w:pos="425"/>
          <w:tab w:val="left" w:pos="426"/>
        </w:tabs>
        <w:spacing w:before="0"/>
      </w:pPr>
      <w:r w:rsidRPr="00B42F8A">
        <w:t>Evropského</w:t>
      </w:r>
      <w:r>
        <w:t xml:space="preserve"> </w:t>
      </w:r>
      <w:r w:rsidRPr="00B42F8A">
        <w:t>parlamentu</w:t>
      </w:r>
      <w:r>
        <w:t xml:space="preserve"> </w:t>
      </w:r>
      <w:r w:rsidRPr="00B42F8A">
        <w:t>a</w:t>
      </w:r>
      <w:r>
        <w:t xml:space="preserve"> </w:t>
      </w:r>
      <w:r w:rsidRPr="00B42F8A">
        <w:t>Rady</w:t>
      </w:r>
      <w:r>
        <w:t xml:space="preserve"> </w:t>
      </w:r>
      <w:r w:rsidRPr="00B42F8A">
        <w:t>(EU)</w:t>
      </w:r>
      <w:r>
        <w:t xml:space="preserve"> </w:t>
      </w:r>
      <w:r w:rsidRPr="00B42F8A">
        <w:t>596/2014</w:t>
      </w:r>
      <w:r>
        <w:t xml:space="preserve"> </w:t>
      </w:r>
      <w:r w:rsidRPr="00B42F8A">
        <w:t>ze</w:t>
      </w:r>
      <w:r>
        <w:t xml:space="preserve"> </w:t>
      </w:r>
      <w:r w:rsidRPr="00B42F8A">
        <w:t>dne</w:t>
      </w:r>
      <w:r>
        <w:t xml:space="preserve"> </w:t>
      </w:r>
      <w:r w:rsidRPr="00B42F8A">
        <w:t>16.</w:t>
      </w:r>
      <w:r>
        <w:t xml:space="preserve"> </w:t>
      </w:r>
      <w:r w:rsidRPr="00B42F8A">
        <w:t>dubna</w:t>
      </w:r>
      <w:r>
        <w:t xml:space="preserve"> </w:t>
      </w:r>
      <w:r w:rsidRPr="00B42F8A">
        <w:t>2014</w:t>
      </w:r>
      <w:r>
        <w:t xml:space="preserve"> </w:t>
      </w:r>
      <w:r w:rsidRPr="00B42F8A">
        <w:t>o</w:t>
      </w:r>
      <w:r>
        <w:t xml:space="preserve"> </w:t>
      </w:r>
      <w:r w:rsidRPr="00B42F8A">
        <w:t>zneužívání</w:t>
      </w:r>
      <w:r>
        <w:t xml:space="preserve"> </w:t>
      </w:r>
      <w:r w:rsidRPr="00B42F8A">
        <w:t>trhu</w:t>
      </w:r>
      <w:r>
        <w:t xml:space="preserve"> </w:t>
      </w:r>
      <w:r w:rsidRPr="00B42F8A">
        <w:t>(nařízení</w:t>
      </w:r>
      <w:r>
        <w:t xml:space="preserve"> </w:t>
      </w:r>
      <w:r w:rsidRPr="00B42F8A">
        <w:t>o</w:t>
      </w:r>
      <w:r>
        <w:t xml:space="preserve"> </w:t>
      </w:r>
      <w:r w:rsidRPr="00B42F8A">
        <w:t>zneužívání</w:t>
      </w:r>
      <w:r>
        <w:t xml:space="preserve"> </w:t>
      </w:r>
    </w:p>
    <w:p w14:paraId="62C5476F" w14:textId="77777777" w:rsidR="00433B76" w:rsidRDefault="00433B76" w:rsidP="00D65974">
      <w:pPr>
        <w:pStyle w:val="Textpoznpodarou"/>
        <w:tabs>
          <w:tab w:val="clear" w:pos="425"/>
          <w:tab w:val="left" w:pos="426"/>
        </w:tabs>
        <w:spacing w:before="0"/>
      </w:pPr>
      <w:r w:rsidRPr="00B42F8A">
        <w:t>trhu)</w:t>
      </w:r>
      <w:r>
        <w:t xml:space="preserve"> </w:t>
      </w:r>
      <w:r w:rsidRPr="00B42F8A">
        <w:t>a</w:t>
      </w:r>
      <w:r>
        <w:t xml:space="preserve"> </w:t>
      </w:r>
      <w:r w:rsidRPr="00B42F8A">
        <w:t>o</w:t>
      </w:r>
      <w:r>
        <w:t xml:space="preserve"> </w:t>
      </w:r>
      <w:r w:rsidRPr="00B42F8A">
        <w:t>zrušení</w:t>
      </w:r>
      <w:r>
        <w:t xml:space="preserve"> </w:t>
      </w:r>
      <w:r w:rsidRPr="00B42F8A">
        <w:t>směrnice</w:t>
      </w:r>
      <w:r>
        <w:t xml:space="preserve"> </w:t>
      </w:r>
      <w:r w:rsidRPr="00B42F8A">
        <w:t>Evropského</w:t>
      </w:r>
      <w:r>
        <w:t xml:space="preserve"> </w:t>
      </w:r>
      <w:r w:rsidRPr="00B42F8A">
        <w:t>parlamentu</w:t>
      </w:r>
      <w:r>
        <w:t xml:space="preserve"> </w:t>
      </w:r>
      <w:r w:rsidRPr="00B42F8A">
        <w:t>a</w:t>
      </w:r>
      <w:r>
        <w:t xml:space="preserve"> </w:t>
      </w:r>
      <w:r w:rsidRPr="00B42F8A">
        <w:t>Rady</w:t>
      </w:r>
      <w:r>
        <w:t xml:space="preserve"> </w:t>
      </w:r>
      <w:r w:rsidRPr="00B42F8A">
        <w:t>2003/6/ES</w:t>
      </w:r>
      <w:r>
        <w:t xml:space="preserve"> </w:t>
      </w:r>
      <w:r w:rsidRPr="00B42F8A">
        <w:t>a</w:t>
      </w:r>
      <w:r>
        <w:t xml:space="preserve"> </w:t>
      </w:r>
      <w:r w:rsidRPr="00B42F8A">
        <w:t>směrnic</w:t>
      </w:r>
      <w:r>
        <w:t xml:space="preserve"> </w:t>
      </w:r>
      <w:r w:rsidRPr="00B42F8A">
        <w:t>Komise</w:t>
      </w:r>
      <w:r>
        <w:t xml:space="preserve"> </w:t>
      </w:r>
      <w:r w:rsidRPr="00B42F8A">
        <w:t>2003/124/ES,</w:t>
      </w:r>
      <w:r>
        <w:t xml:space="preserve"> </w:t>
      </w:r>
    </w:p>
    <w:p w14:paraId="028F7E53" w14:textId="4552685B" w:rsidR="00433B76" w:rsidRDefault="00433B76" w:rsidP="00D65974">
      <w:pPr>
        <w:pStyle w:val="Textpoznpodarou"/>
        <w:spacing w:before="0"/>
      </w:pPr>
      <w:r w:rsidRPr="00B42F8A">
        <w:t>2003/125/ES</w:t>
      </w:r>
      <w:r>
        <w:t xml:space="preserve"> </w:t>
      </w:r>
      <w:r w:rsidRPr="00B42F8A">
        <w:t>a</w:t>
      </w:r>
      <w:r>
        <w:t xml:space="preserve"> </w:t>
      </w:r>
      <w:r w:rsidRPr="00B42F8A">
        <w:t>2004/72/ES.</w:t>
      </w:r>
    </w:p>
  </w:footnote>
  <w:footnote w:id="534">
    <w:p w14:paraId="29EC8790" w14:textId="014E2371" w:rsidR="00433B76" w:rsidRPr="00B45D5C" w:rsidRDefault="00433B76">
      <w:pPr>
        <w:pStyle w:val="Textpoznpodarou"/>
        <w:rPr>
          <w:strike/>
        </w:rPr>
      </w:pPr>
      <w:r w:rsidRPr="00B45D5C">
        <w:rPr>
          <w:rStyle w:val="Znakapoznpodarou"/>
          <w:strike/>
        </w:rPr>
        <w:t>24)</w:t>
      </w:r>
      <w:r w:rsidRPr="00B45D5C">
        <w:rPr>
          <w:strike/>
        </w:rPr>
        <w:t xml:space="preserve"> Zákon č. 563/1991 Sb., o účetnictví, ve znění pozdějších předpisů.</w:t>
      </w:r>
    </w:p>
  </w:footnote>
  <w:footnote w:id="535">
    <w:p w14:paraId="1DFF663B" w14:textId="6B435750" w:rsidR="00433B76" w:rsidRPr="00DA22D1" w:rsidRDefault="00433B76">
      <w:pPr>
        <w:pStyle w:val="Textpoznpodarou"/>
        <w:rPr>
          <w:strike/>
        </w:rPr>
      </w:pPr>
      <w:r w:rsidRPr="00DA22D1">
        <w:rPr>
          <w:rStyle w:val="Znakapoznpodarou"/>
          <w:strike/>
        </w:rPr>
        <w:t>38)</w:t>
      </w:r>
      <w:r w:rsidRPr="00DA22D1">
        <w:rPr>
          <w:strike/>
        </w:rPr>
        <w:t xml:space="preserve"> § 2 odst. 1 zákona č. 151/1997 Sb., ve znění pozdějších předpisů.</w:t>
      </w:r>
    </w:p>
  </w:footnote>
  <w:footnote w:id="536">
    <w:p w14:paraId="262FE61D" w14:textId="2BD3BE66" w:rsidR="00433B76" w:rsidRPr="00D4559A" w:rsidRDefault="00433B76" w:rsidP="004749D9">
      <w:pPr>
        <w:pStyle w:val="Textpoznpodarou"/>
        <w:tabs>
          <w:tab w:val="clear" w:pos="425"/>
          <w:tab w:val="left" w:pos="284"/>
        </w:tabs>
        <w:spacing w:before="0"/>
        <w:ind w:left="0" w:firstLine="0"/>
        <w:rPr>
          <w:strike/>
        </w:rPr>
      </w:pPr>
      <w:r w:rsidRPr="00D4559A">
        <w:rPr>
          <w:strike/>
          <w:vertAlign w:val="superscript"/>
        </w:rPr>
        <w:t>18)</w:t>
      </w:r>
      <w:r w:rsidRPr="00D4559A">
        <w:rPr>
          <w:strike/>
        </w:rPr>
        <w:t xml:space="preserve"> Zákon č. 151/1997 Sb., o oceňování majetku a o změně některých zákonů (zákon o oceňování majetku), ve znění pozdějších předpisů.</w:t>
      </w:r>
    </w:p>
    <w:p w14:paraId="753C1B1B" w14:textId="513DA8ED" w:rsidR="00433B76" w:rsidRPr="00DA22D1" w:rsidRDefault="00433B76" w:rsidP="004749D9">
      <w:pPr>
        <w:pStyle w:val="Textpoznpodarou"/>
        <w:tabs>
          <w:tab w:val="clear" w:pos="425"/>
          <w:tab w:val="left" w:pos="284"/>
        </w:tabs>
        <w:spacing w:before="0"/>
        <w:ind w:left="0" w:firstLine="0"/>
        <w:rPr>
          <w:strike/>
        </w:rPr>
      </w:pPr>
      <w:r w:rsidRPr="00D4559A">
        <w:rPr>
          <w:strike/>
        </w:rPr>
        <w:t>Vyhláška č. 441/2013 Sb., k provedení zákona o oceňování majetku (oceňovací vyhláška), ve znění vyhlášky č. 199/2014 Sb.</w:t>
      </w:r>
    </w:p>
  </w:footnote>
  <w:footnote w:id="537">
    <w:p w14:paraId="05145479" w14:textId="01DF25AE" w:rsidR="00433B76" w:rsidRDefault="00433B76" w:rsidP="004749D9">
      <w:pPr>
        <w:pStyle w:val="Textpoznpodarou"/>
        <w:tabs>
          <w:tab w:val="clear" w:pos="425"/>
          <w:tab w:val="left" w:pos="284"/>
        </w:tabs>
        <w:spacing w:before="0"/>
        <w:ind w:left="0" w:firstLine="0"/>
      </w:pPr>
      <w:r>
        <w:rPr>
          <w:rStyle w:val="Znakapoznpodarou"/>
        </w:rPr>
        <w:t>36)</w:t>
      </w:r>
      <w:r>
        <w:t xml:space="preserve"> </w:t>
      </w:r>
      <w:r w:rsidRPr="004749D9">
        <w:t>§ 2 odst. 6 zákona č. 569/1991 Sb., o Pozemkovém fondu České republiky, ve znění pozdějších předpisů.</w:t>
      </w:r>
    </w:p>
  </w:footnote>
  <w:footnote w:id="538">
    <w:p w14:paraId="61223A92" w14:textId="2D7C9D6E" w:rsidR="00433B76" w:rsidRDefault="00433B76" w:rsidP="004749D9">
      <w:pPr>
        <w:pStyle w:val="Textpoznpodarou"/>
        <w:tabs>
          <w:tab w:val="clear" w:pos="425"/>
          <w:tab w:val="left" w:pos="284"/>
        </w:tabs>
        <w:spacing w:before="0"/>
        <w:ind w:left="0" w:firstLine="0"/>
      </w:pPr>
      <w:r>
        <w:rPr>
          <w:rStyle w:val="Znakapoznpodarou"/>
        </w:rPr>
        <w:t>37)</w:t>
      </w:r>
      <w:r>
        <w:t xml:space="preserve"> </w:t>
      </w:r>
      <w:r w:rsidRPr="004749D9">
        <w:t>Zákon č. 561/2004 Sb., o předškolním, základním, středním, vyšším odborném a jiném vzdělávání (školský zákon), ve znění pozdějších předpisů.</w:t>
      </w:r>
    </w:p>
  </w:footnote>
  <w:footnote w:id="539">
    <w:p w14:paraId="4E7261E6" w14:textId="476A0237" w:rsidR="00433B76" w:rsidRDefault="00433B76" w:rsidP="004749D9">
      <w:pPr>
        <w:pStyle w:val="Textpoznpodarou"/>
        <w:spacing w:before="0"/>
      </w:pPr>
      <w:r>
        <w:rPr>
          <w:rStyle w:val="Znakapoznpodarou"/>
        </w:rPr>
        <w:t>23)</w:t>
      </w:r>
      <w:r>
        <w:t xml:space="preserve"> </w:t>
      </w:r>
      <w:r w:rsidRPr="004749D9">
        <w:t>§ 8 zákona č. 256/2013 Sb., o katastru nemovitostí (katastrální zákon).</w:t>
      </w:r>
    </w:p>
  </w:footnote>
  <w:footnote w:id="540">
    <w:p w14:paraId="31435B22" w14:textId="23A837B5" w:rsidR="00433B76" w:rsidRDefault="00433B76" w:rsidP="004749D9">
      <w:pPr>
        <w:pStyle w:val="Textpoznpodarou"/>
        <w:spacing w:before="0"/>
      </w:pPr>
      <w:r>
        <w:rPr>
          <w:rStyle w:val="Znakapoznpodarou"/>
        </w:rPr>
        <w:t>24)</w:t>
      </w:r>
      <w:r>
        <w:t xml:space="preserve"> </w:t>
      </w:r>
      <w:r w:rsidRPr="004749D9">
        <w:t>§ 6 vyhlášky č. 441/2013 Sb., k provedení zákona o oceňování majetku (oceňovací vyhláška).</w:t>
      </w:r>
    </w:p>
  </w:footnote>
  <w:footnote w:id="541">
    <w:p w14:paraId="768B5591" w14:textId="3F2CE9EC" w:rsidR="00433B76" w:rsidRDefault="00433B76" w:rsidP="004749D9">
      <w:pPr>
        <w:pStyle w:val="Textpoznpodarou"/>
        <w:tabs>
          <w:tab w:val="clear" w:pos="425"/>
          <w:tab w:val="left" w:pos="1276"/>
        </w:tabs>
        <w:spacing w:before="0"/>
        <w:ind w:left="0" w:firstLine="0"/>
      </w:pPr>
      <w:r>
        <w:rPr>
          <w:rStyle w:val="Znakapoznpodarou"/>
        </w:rPr>
        <w:t>25)</w:t>
      </w:r>
      <w:r>
        <w:t xml:space="preserve"> </w:t>
      </w:r>
      <w:r w:rsidRPr="004749D9">
        <w:t>Vyhláška č. 298/2014 Sb., o stanovení seznamu katastrálních území s přiřazenými průměrnými základními cenami zemědělských pozemků, ve znění pozdějších předpisů.</w:t>
      </w:r>
    </w:p>
  </w:footnote>
  <w:footnote w:id="542">
    <w:p w14:paraId="620CA549" w14:textId="5889C70D" w:rsidR="00433B76" w:rsidRDefault="00433B76">
      <w:pPr>
        <w:pStyle w:val="Textpoznpodarou"/>
      </w:pPr>
      <w:r>
        <w:rPr>
          <w:rStyle w:val="Znakapoznpodarou"/>
        </w:rPr>
        <w:t>26)</w:t>
      </w:r>
      <w:r>
        <w:t xml:space="preserve"> </w:t>
      </w:r>
      <w:r w:rsidRPr="0080777D">
        <w:t>§ 2140 a násl. zákona č. 89/2012 Sb., občanský zákoník.</w:t>
      </w:r>
    </w:p>
  </w:footnote>
  <w:footnote w:id="543">
    <w:p w14:paraId="3956CAC4" w14:textId="33277DAE" w:rsidR="00433B76" w:rsidRDefault="00433B76" w:rsidP="0080777D">
      <w:pPr>
        <w:pStyle w:val="Textpoznpodarou"/>
        <w:tabs>
          <w:tab w:val="clear" w:pos="425"/>
          <w:tab w:val="left" w:pos="284"/>
        </w:tabs>
        <w:spacing w:before="0"/>
        <w:ind w:left="0" w:firstLine="0"/>
      </w:pPr>
      <w:r>
        <w:rPr>
          <w:rStyle w:val="Znakapoznpodarou"/>
        </w:rPr>
        <w:t>40)</w:t>
      </w:r>
      <w:r>
        <w:t xml:space="preserve"> </w:t>
      </w:r>
      <w:r w:rsidRPr="0080777D">
        <w:t>Zákon č. 340/2015 Sb., o zvláštních podmínkách účinnosti některých smluv, uveřejňování těchto smluv a o registru smluv (zákon o registru smluv), ve znění pozdějších předpisů.</w:t>
      </w:r>
    </w:p>
  </w:footnote>
  <w:footnote w:id="544">
    <w:p w14:paraId="612271EE" w14:textId="1C3692A6" w:rsidR="00433B76" w:rsidRDefault="00433B76" w:rsidP="0080777D">
      <w:pPr>
        <w:pStyle w:val="Textpoznpodarou"/>
        <w:tabs>
          <w:tab w:val="clear" w:pos="425"/>
          <w:tab w:val="left" w:pos="284"/>
        </w:tabs>
        <w:spacing w:before="0"/>
        <w:ind w:left="0" w:firstLine="0"/>
      </w:pPr>
      <w:r>
        <w:rPr>
          <w:rStyle w:val="Znakapoznpodarou"/>
        </w:rPr>
        <w:t>34)</w:t>
      </w:r>
      <w:r>
        <w:t xml:space="preserve"> </w:t>
      </w:r>
      <w:r w:rsidRPr="0080777D">
        <w:t>Zákon č. 219/2000 Sb., o majetku České republiky a jejím vystupování v právních vztazích, ve znění pozdějších předpisů.</w:t>
      </w:r>
    </w:p>
  </w:footnote>
  <w:footnote w:id="545">
    <w:p w14:paraId="45EF88CA" w14:textId="239BC907" w:rsidR="00433B76" w:rsidRPr="00BE01AD" w:rsidRDefault="00433B76" w:rsidP="0080777D">
      <w:pPr>
        <w:pStyle w:val="Textpoznpodarou"/>
        <w:tabs>
          <w:tab w:val="clear" w:pos="425"/>
          <w:tab w:val="left" w:pos="284"/>
        </w:tabs>
        <w:spacing w:before="0"/>
        <w:ind w:left="0" w:firstLine="0"/>
        <w:rPr>
          <w:strike/>
        </w:rPr>
      </w:pPr>
      <w:r w:rsidRPr="00BE01AD">
        <w:rPr>
          <w:rStyle w:val="Znakapoznpodarou"/>
          <w:strike/>
        </w:rPr>
        <w:t>35)</w:t>
      </w:r>
      <w:r w:rsidRPr="00BE01AD">
        <w:rPr>
          <w:strike/>
        </w:rPr>
        <w:t xml:space="preserve"> Zákon č. 151/1997 Sb., ve znění pozdějších předpisů.</w:t>
      </w:r>
    </w:p>
  </w:footnote>
  <w:footnote w:id="546">
    <w:p w14:paraId="0AEDDC8C" w14:textId="48E7AE69" w:rsidR="00433B76" w:rsidRDefault="00433B76" w:rsidP="0039087E">
      <w:pPr>
        <w:pStyle w:val="Textpoznpodarou"/>
        <w:tabs>
          <w:tab w:val="clear" w:pos="425"/>
          <w:tab w:val="left" w:pos="709"/>
        </w:tabs>
        <w:spacing w:before="0"/>
        <w:ind w:left="0" w:firstLine="0"/>
      </w:pPr>
      <w:r>
        <w:rPr>
          <w:rStyle w:val="Znakapoznpodarou"/>
        </w:rPr>
        <w:t>5)</w:t>
      </w:r>
      <w:r>
        <w:t xml:space="preserve"> </w:t>
      </w:r>
      <w:r w:rsidRPr="0039087E">
        <w:t>Zákon č. 412/2005 Sb., o ochraně utajovaných informací a o bezpečnostní způsobilosti, ve znění pozdějších předpisů.</w:t>
      </w:r>
    </w:p>
  </w:footnote>
  <w:footnote w:id="547">
    <w:p w14:paraId="3DDC92CD" w14:textId="65054E8D" w:rsidR="00433B76" w:rsidRPr="00AD24AC" w:rsidRDefault="00433B76" w:rsidP="0039087E">
      <w:pPr>
        <w:pStyle w:val="Textpoznpodarou"/>
        <w:tabs>
          <w:tab w:val="clear" w:pos="425"/>
          <w:tab w:val="left" w:pos="709"/>
        </w:tabs>
        <w:spacing w:before="0"/>
        <w:ind w:left="0" w:firstLine="0"/>
        <w:rPr>
          <w:strike/>
        </w:rPr>
      </w:pPr>
      <w:r w:rsidRPr="00AD24AC">
        <w:rPr>
          <w:rStyle w:val="Znakapoznpodarou"/>
          <w:strike/>
        </w:rPr>
        <w:t>40)</w:t>
      </w:r>
      <w:r w:rsidRPr="00AD24AC">
        <w:rPr>
          <w:strike/>
        </w:rPr>
        <w:t xml:space="preserve"> § 22 zákona č. 563/1991 Sb., o účetnictví, ve znění pozdějších předpisů.</w:t>
      </w:r>
    </w:p>
  </w:footnote>
  <w:footnote w:id="548">
    <w:p w14:paraId="4E3756A8" w14:textId="77777777" w:rsidR="00433B76" w:rsidRDefault="00433B76" w:rsidP="00CD70BD">
      <w:pPr>
        <w:pStyle w:val="Textpoznpodarou"/>
        <w:spacing w:before="0"/>
        <w:ind w:left="0" w:firstLine="0"/>
        <w:rPr>
          <w:strike/>
          <w:color w:val="FF0000"/>
        </w:rPr>
      </w:pPr>
      <w:r>
        <w:rPr>
          <w:rStyle w:val="Znakapoznpodarou"/>
        </w:rPr>
        <w:t>3)</w:t>
      </w:r>
      <w:r>
        <w:t xml:space="preserve"> </w:t>
      </w:r>
      <w:r w:rsidRPr="00564F82">
        <w:t>Nařízení Evropského parlamentu a Rady (EU) č. 549/2013 ze dne 21. května 2013 o Evropském systému národních a regionálních účtů v Evropské unii.</w:t>
      </w:r>
    </w:p>
    <w:p w14:paraId="3C044F5C" w14:textId="77777777" w:rsidR="00433B76" w:rsidRPr="00564F82" w:rsidRDefault="00433B76" w:rsidP="00CD70BD">
      <w:pPr>
        <w:pStyle w:val="Textpoznpodarou"/>
        <w:spacing w:before="0"/>
        <w:rPr>
          <w:strike/>
          <w:color w:val="FF0000"/>
        </w:rPr>
      </w:pPr>
      <w:r w:rsidRPr="002B602F">
        <w:rPr>
          <w:rStyle w:val="Znakapoznpodarou"/>
          <w:strike/>
        </w:rPr>
        <w:t>4)</w:t>
      </w:r>
      <w:r w:rsidRPr="002B602F">
        <w:rPr>
          <w:strike/>
        </w:rPr>
        <w:t xml:space="preserve"> § 4 odst. 8 písm. d) a § 18 odst. 1 písm. c) zákona č. 563/1991 Sb., o účetnictví, ve znění pozdějších předpisů.</w:t>
      </w:r>
    </w:p>
  </w:footnote>
  <w:footnote w:id="549">
    <w:p w14:paraId="0C655E95" w14:textId="77777777" w:rsidR="00433B76" w:rsidRDefault="00433B76" w:rsidP="00CD70BD">
      <w:pPr>
        <w:pStyle w:val="Textpoznpodarou"/>
        <w:spacing w:before="0"/>
      </w:pPr>
      <w:r>
        <w:rPr>
          <w:rStyle w:val="Znakapoznpodarou"/>
        </w:rPr>
        <w:t>5)</w:t>
      </w:r>
      <w:r>
        <w:t xml:space="preserve"> </w:t>
      </w:r>
      <w:r w:rsidRPr="00564F82">
        <w:t>Odstavce 2.51 a 2.71 Přílohy A nařízení Evropského parlamentu a Rady (EU) č. 549/2013.</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82029784"/>
      <w:docPartObj>
        <w:docPartGallery w:val="Page Numbers (Top of Page)"/>
        <w:docPartUnique/>
      </w:docPartObj>
    </w:sdtPr>
    <w:sdtContent>
      <w:p w14:paraId="4623067A" w14:textId="1BECBCBD" w:rsidR="00433B76" w:rsidRDefault="00433B76">
        <w:pPr>
          <w:pStyle w:val="Zhlav"/>
          <w:jc w:val="center"/>
        </w:pPr>
        <w:r>
          <w:fldChar w:fldCharType="begin"/>
        </w:r>
        <w:r>
          <w:instrText>PAGE   \* MERGEFORMAT</w:instrText>
        </w:r>
        <w:r>
          <w:fldChar w:fldCharType="separate"/>
        </w:r>
        <w:r w:rsidR="00F500B9">
          <w:rPr>
            <w:noProof/>
          </w:rPr>
          <w:t>11</w:t>
        </w:r>
        <w:r>
          <w:fldChar w:fldCharType="end"/>
        </w:r>
      </w:p>
    </w:sdtContent>
  </w:sdt>
  <w:p w14:paraId="05DFFFBD" w14:textId="77777777" w:rsidR="00433B76" w:rsidRDefault="00433B76">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290E4F14"/>
    <w:lvl w:ilvl="0">
      <w:start w:val="1"/>
      <w:numFmt w:val="decimal"/>
      <w:pStyle w:val="slovanseznam5"/>
      <w:lvlText w:val="%1."/>
      <w:lvlJc w:val="left"/>
      <w:pPr>
        <w:tabs>
          <w:tab w:val="num" w:pos="1492"/>
        </w:tabs>
        <w:ind w:left="1492" w:hanging="360"/>
      </w:pPr>
    </w:lvl>
  </w:abstractNum>
  <w:abstractNum w:abstractNumId="1" w15:restartNumberingAfterBreak="0">
    <w:nsid w:val="FFFFFF7D"/>
    <w:multiLevelType w:val="singleLevel"/>
    <w:tmpl w:val="8C08B84E"/>
    <w:lvl w:ilvl="0">
      <w:start w:val="1"/>
      <w:numFmt w:val="decimal"/>
      <w:pStyle w:val="slovanseznam4"/>
      <w:lvlText w:val="%1."/>
      <w:lvlJc w:val="left"/>
      <w:pPr>
        <w:tabs>
          <w:tab w:val="num" w:pos="1209"/>
        </w:tabs>
        <w:ind w:left="1209" w:hanging="360"/>
      </w:pPr>
    </w:lvl>
  </w:abstractNum>
  <w:abstractNum w:abstractNumId="2" w15:restartNumberingAfterBreak="0">
    <w:nsid w:val="FFFFFF7E"/>
    <w:multiLevelType w:val="singleLevel"/>
    <w:tmpl w:val="F42245F0"/>
    <w:lvl w:ilvl="0">
      <w:start w:val="1"/>
      <w:numFmt w:val="decimal"/>
      <w:pStyle w:val="slovanseznam3"/>
      <w:lvlText w:val="%1."/>
      <w:lvlJc w:val="left"/>
      <w:pPr>
        <w:tabs>
          <w:tab w:val="num" w:pos="926"/>
        </w:tabs>
        <w:ind w:left="926" w:hanging="360"/>
      </w:pPr>
    </w:lvl>
  </w:abstractNum>
  <w:abstractNum w:abstractNumId="3" w15:restartNumberingAfterBreak="0">
    <w:nsid w:val="FFFFFF7F"/>
    <w:multiLevelType w:val="singleLevel"/>
    <w:tmpl w:val="8A9E3754"/>
    <w:lvl w:ilvl="0">
      <w:start w:val="1"/>
      <w:numFmt w:val="decimal"/>
      <w:pStyle w:val="slovanseznam2"/>
      <w:lvlText w:val="%1."/>
      <w:lvlJc w:val="left"/>
      <w:pPr>
        <w:tabs>
          <w:tab w:val="num" w:pos="643"/>
        </w:tabs>
        <w:ind w:left="643" w:hanging="360"/>
      </w:pPr>
    </w:lvl>
  </w:abstractNum>
  <w:abstractNum w:abstractNumId="4" w15:restartNumberingAfterBreak="0">
    <w:nsid w:val="FFFFFF80"/>
    <w:multiLevelType w:val="singleLevel"/>
    <w:tmpl w:val="A86E144E"/>
    <w:lvl w:ilvl="0">
      <w:start w:val="1"/>
      <w:numFmt w:val="bullet"/>
      <w:pStyle w:val="Seznamsodrkami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0BEC0C4"/>
    <w:styleLink w:val="1111115"/>
    <w:lvl w:ilvl="0">
      <w:start w:val="1"/>
      <w:numFmt w:val="bullet"/>
      <w:pStyle w:val="Seznamsodrkami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5CCF034"/>
    <w:styleLink w:val="1111114"/>
    <w:lvl w:ilvl="0">
      <w:start w:val="1"/>
      <w:numFmt w:val="bullet"/>
      <w:pStyle w:val="Seznamsodrkami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670DF24"/>
    <w:lvl w:ilvl="0">
      <w:start w:val="1"/>
      <w:numFmt w:val="bullet"/>
      <w:pStyle w:val="Seznamsodrkami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AB03C94"/>
    <w:lvl w:ilvl="0">
      <w:start w:val="1"/>
      <w:numFmt w:val="decimal"/>
      <w:pStyle w:val="slovanseznam"/>
      <w:lvlText w:val="%1."/>
      <w:lvlJc w:val="left"/>
      <w:pPr>
        <w:tabs>
          <w:tab w:val="num" w:pos="360"/>
        </w:tabs>
        <w:ind w:left="360" w:hanging="360"/>
      </w:pPr>
    </w:lvl>
  </w:abstractNum>
  <w:abstractNum w:abstractNumId="9" w15:restartNumberingAfterBreak="0">
    <w:nsid w:val="FFFFFF89"/>
    <w:multiLevelType w:val="singleLevel"/>
    <w:tmpl w:val="61A2FD7C"/>
    <w:lvl w:ilvl="0">
      <w:start w:val="1"/>
      <w:numFmt w:val="bullet"/>
      <w:pStyle w:val="Seznamsodrkami"/>
      <w:lvlText w:val=""/>
      <w:lvlJc w:val="left"/>
      <w:pPr>
        <w:tabs>
          <w:tab w:val="num" w:pos="360"/>
        </w:tabs>
        <w:ind w:left="360" w:hanging="360"/>
      </w:pPr>
      <w:rPr>
        <w:rFonts w:ascii="Symbol" w:hAnsi="Symbol" w:hint="default"/>
      </w:rPr>
    </w:lvl>
  </w:abstractNum>
  <w:abstractNum w:abstractNumId="10" w15:restartNumberingAfterBreak="0">
    <w:nsid w:val="00FC6532"/>
    <w:multiLevelType w:val="multilevel"/>
    <w:tmpl w:val="69DA718C"/>
    <w:lvl w:ilvl="0">
      <w:start w:val="1"/>
      <w:numFmt w:val="none"/>
      <w:isLgl/>
      <w:suff w:val="nothing"/>
      <w:lvlText w:val=""/>
      <w:lvlJc w:val="left"/>
      <w:pPr>
        <w:ind w:left="0" w:firstLine="0"/>
      </w:pPr>
      <w:rPr>
        <w:rFonts w:hint="default"/>
      </w:rPr>
    </w:lvl>
    <w:lvl w:ilvl="1">
      <w:start w:val="1"/>
      <w:numFmt w:val="none"/>
      <w:lvlRestart w:val="0"/>
      <w:suff w:val="nothing"/>
      <w:lvlText w:val=""/>
      <w:lvlJc w:val="left"/>
      <w:pPr>
        <w:ind w:left="0" w:firstLine="0"/>
      </w:pPr>
      <w:rPr>
        <w:rFonts w:hint="default"/>
      </w:rPr>
    </w:lvl>
    <w:lvl w:ilvl="2">
      <w:start w:val="1"/>
      <w:numFmt w:val="decimal"/>
      <w:isLgl/>
      <w:lvlText w:val="(%3)"/>
      <w:lvlJc w:val="left"/>
      <w:pPr>
        <w:tabs>
          <w:tab w:val="num" w:pos="1067"/>
        </w:tabs>
        <w:ind w:left="285" w:firstLine="425"/>
      </w:pPr>
      <w:rPr>
        <w:rFonts w:hint="default"/>
        <w:strike w:val="0"/>
      </w:rPr>
    </w:lvl>
    <w:lvl w:ilvl="3">
      <w:start w:val="1"/>
      <w:numFmt w:val="lowerLetter"/>
      <w:lvlText w:val="%4)"/>
      <w:lvlJc w:val="left"/>
      <w:pPr>
        <w:tabs>
          <w:tab w:val="num" w:pos="425"/>
        </w:tabs>
        <w:ind w:left="425" w:hanging="425"/>
      </w:pPr>
      <w:rPr>
        <w:rFonts w:hint="default"/>
        <w:b w:val="0"/>
      </w:rPr>
    </w:lvl>
    <w:lvl w:ilvl="4">
      <w:start w:val="1"/>
      <w:numFmt w:val="decimal"/>
      <w:isLgl/>
      <w:lvlText w:val="%5."/>
      <w:lvlJc w:val="left"/>
      <w:pPr>
        <w:tabs>
          <w:tab w:val="num" w:pos="851"/>
        </w:tabs>
        <w:ind w:left="851" w:hanging="426"/>
      </w:pPr>
      <w:rPr>
        <w:rFonts w:hint="default"/>
      </w:rPr>
    </w:lvl>
    <w:lvl w:ilvl="5">
      <w:start w:val="1"/>
      <w:numFmt w:val="none"/>
      <w:suff w:val="nothing"/>
      <w:lvlText w:val="%6"/>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1" w15:restartNumberingAfterBreak="0">
    <w:nsid w:val="04B378CE"/>
    <w:multiLevelType w:val="singleLevel"/>
    <w:tmpl w:val="4D58B58E"/>
    <w:lvl w:ilvl="0">
      <w:start w:val="1"/>
      <w:numFmt w:val="decimal"/>
      <w:pStyle w:val="Textpozmn"/>
      <w:lvlText w:val="%1."/>
      <w:lvlJc w:val="left"/>
      <w:pPr>
        <w:tabs>
          <w:tab w:val="num" w:pos="425"/>
        </w:tabs>
        <w:ind w:left="425" w:hanging="425"/>
      </w:pPr>
    </w:lvl>
  </w:abstractNum>
  <w:abstractNum w:abstractNumId="12" w15:restartNumberingAfterBreak="0">
    <w:nsid w:val="06092730"/>
    <w:multiLevelType w:val="singleLevel"/>
    <w:tmpl w:val="1C926EF8"/>
    <w:lvl w:ilvl="0">
      <w:start w:val="1"/>
      <w:numFmt w:val="upperLetter"/>
      <w:pStyle w:val="Oznaenpozmn"/>
      <w:lvlText w:val="%1."/>
      <w:lvlJc w:val="left"/>
      <w:pPr>
        <w:tabs>
          <w:tab w:val="num" w:pos="425"/>
        </w:tabs>
        <w:ind w:left="425" w:hanging="425"/>
      </w:pPr>
    </w:lvl>
  </w:abstractNum>
  <w:abstractNum w:abstractNumId="13" w15:restartNumberingAfterBreak="0">
    <w:nsid w:val="07434EFF"/>
    <w:multiLevelType w:val="multilevel"/>
    <w:tmpl w:val="69DA718C"/>
    <w:lvl w:ilvl="0">
      <w:start w:val="1"/>
      <w:numFmt w:val="none"/>
      <w:isLgl/>
      <w:suff w:val="nothing"/>
      <w:lvlText w:val=""/>
      <w:lvlJc w:val="left"/>
      <w:pPr>
        <w:ind w:left="0" w:firstLine="0"/>
      </w:pPr>
      <w:rPr>
        <w:rFonts w:hint="default"/>
      </w:rPr>
    </w:lvl>
    <w:lvl w:ilvl="1">
      <w:start w:val="1"/>
      <w:numFmt w:val="none"/>
      <w:lvlRestart w:val="0"/>
      <w:suff w:val="nothing"/>
      <w:lvlText w:val=""/>
      <w:lvlJc w:val="left"/>
      <w:pPr>
        <w:ind w:left="0" w:firstLine="0"/>
      </w:pPr>
      <w:rPr>
        <w:rFonts w:hint="default"/>
      </w:rPr>
    </w:lvl>
    <w:lvl w:ilvl="2">
      <w:start w:val="1"/>
      <w:numFmt w:val="decimal"/>
      <w:isLgl/>
      <w:lvlText w:val="(%3)"/>
      <w:lvlJc w:val="left"/>
      <w:pPr>
        <w:tabs>
          <w:tab w:val="num" w:pos="1067"/>
        </w:tabs>
        <w:ind w:left="285" w:firstLine="425"/>
      </w:pPr>
      <w:rPr>
        <w:rFonts w:hint="default"/>
        <w:strike w:val="0"/>
      </w:rPr>
    </w:lvl>
    <w:lvl w:ilvl="3">
      <w:start w:val="1"/>
      <w:numFmt w:val="lowerLetter"/>
      <w:lvlText w:val="%4)"/>
      <w:lvlJc w:val="left"/>
      <w:pPr>
        <w:tabs>
          <w:tab w:val="num" w:pos="425"/>
        </w:tabs>
        <w:ind w:left="425" w:hanging="425"/>
      </w:pPr>
      <w:rPr>
        <w:rFonts w:hint="default"/>
        <w:b w:val="0"/>
      </w:rPr>
    </w:lvl>
    <w:lvl w:ilvl="4">
      <w:start w:val="1"/>
      <w:numFmt w:val="decimal"/>
      <w:isLgl/>
      <w:lvlText w:val="%5."/>
      <w:lvlJc w:val="left"/>
      <w:pPr>
        <w:tabs>
          <w:tab w:val="num" w:pos="851"/>
        </w:tabs>
        <w:ind w:left="851" w:hanging="426"/>
      </w:pPr>
      <w:rPr>
        <w:rFonts w:hint="default"/>
      </w:rPr>
    </w:lvl>
    <w:lvl w:ilvl="5">
      <w:start w:val="1"/>
      <w:numFmt w:val="none"/>
      <w:suff w:val="nothing"/>
      <w:lvlText w:val="%6"/>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4" w15:restartNumberingAfterBreak="0">
    <w:nsid w:val="097212E9"/>
    <w:multiLevelType w:val="multilevel"/>
    <w:tmpl w:val="0405001D"/>
    <w:styleLink w:val="Styl2"/>
    <w:lvl w:ilvl="0">
      <w:start w:val="1"/>
      <w:numFmt w:val="upperRoman"/>
      <w:lvlText w:val="%1)"/>
      <w:lvlJc w:val="left"/>
      <w:pPr>
        <w:ind w:left="360" w:hanging="360"/>
      </w:pPr>
      <w:rPr>
        <w:rFonts w:ascii="Times New Roman" w:hAnsi="Times New Roman" w:cs="Times New Roman"/>
        <w:sz w:val="23"/>
      </w:rPr>
    </w:lvl>
    <w:lvl w:ilvl="1">
      <w:start w:val="1"/>
      <w:numFmt w:val="upperLetter"/>
      <w:lvlText w:val="%2)"/>
      <w:lvlJc w:val="left"/>
      <w:pPr>
        <w:ind w:left="720" w:hanging="360"/>
      </w:pPr>
      <w:rPr>
        <w:rFonts w:ascii="Times New Roman" w:hAnsi="Times New Roman" w:cs="Times New Roman"/>
        <w:sz w:val="23"/>
      </w:rPr>
    </w:lvl>
    <w:lvl w:ilvl="2">
      <w:start w:val="1"/>
      <w:numFmt w:val="lowerLetter"/>
      <w:lvlText w:val="%3)"/>
      <w:lvlJc w:val="left"/>
      <w:pPr>
        <w:ind w:left="1080" w:hanging="360"/>
      </w:pPr>
      <w:rPr>
        <w:rFonts w:ascii="Times New Roman" w:hAnsi="Times New Roman" w:cs="Times New Roman"/>
        <w:sz w:val="23"/>
      </w:rPr>
    </w:lvl>
    <w:lvl w:ilvl="3">
      <w:start w:val="1"/>
      <w:numFmt w:val="ordinal"/>
      <w:lvlText w:val="(%4)"/>
      <w:lvlJc w:val="left"/>
      <w:pPr>
        <w:ind w:left="1440" w:hanging="360"/>
      </w:pPr>
      <w:rPr>
        <w:rFonts w:ascii="Times New Roman" w:hAnsi="Times New Roman" w:cs="Times New Roman"/>
        <w:sz w:val="23"/>
      </w:rPr>
    </w:lvl>
    <w:lvl w:ilvl="4">
      <w:start w:val="1"/>
      <w:numFmt w:val="lowerLetter"/>
      <w:lvlText w:val="(%5)"/>
      <w:lvlJc w:val="left"/>
      <w:pPr>
        <w:ind w:left="1800" w:hanging="360"/>
      </w:pPr>
      <w:rPr>
        <w:rFonts w:cs="Times New Roman"/>
      </w:rPr>
    </w:lvl>
    <w:lvl w:ilvl="5">
      <w:start w:val="1"/>
      <w:numFmt w:val="lowerRoman"/>
      <w:lvlText w:val="(%6)"/>
      <w:lvlJc w:val="left"/>
      <w:pPr>
        <w:ind w:left="2160" w:hanging="360"/>
      </w:pPr>
      <w:rPr>
        <w:rFonts w:cs="Times New Roman"/>
      </w:rPr>
    </w:lvl>
    <w:lvl w:ilvl="6">
      <w:start w:val="1"/>
      <w:numFmt w:val="decimal"/>
      <w:lvlText w:val="%7."/>
      <w:lvlJc w:val="left"/>
      <w:pPr>
        <w:ind w:left="2520" w:hanging="360"/>
      </w:pPr>
      <w:rPr>
        <w:rFonts w:cs="Times New Roman"/>
      </w:rPr>
    </w:lvl>
    <w:lvl w:ilvl="7">
      <w:start w:val="1"/>
      <w:numFmt w:val="lowerLetter"/>
      <w:lvlText w:val="%8."/>
      <w:lvlJc w:val="left"/>
      <w:pPr>
        <w:ind w:left="2880" w:hanging="360"/>
      </w:pPr>
      <w:rPr>
        <w:rFonts w:cs="Times New Roman"/>
      </w:rPr>
    </w:lvl>
    <w:lvl w:ilvl="8">
      <w:start w:val="1"/>
      <w:numFmt w:val="lowerRoman"/>
      <w:lvlText w:val="%9."/>
      <w:lvlJc w:val="left"/>
      <w:pPr>
        <w:ind w:left="3240" w:hanging="360"/>
      </w:pPr>
      <w:rPr>
        <w:rFonts w:cs="Times New Roman"/>
      </w:rPr>
    </w:lvl>
  </w:abstractNum>
  <w:abstractNum w:abstractNumId="15" w15:restartNumberingAfterBreak="0">
    <w:nsid w:val="0C473890"/>
    <w:multiLevelType w:val="hybridMultilevel"/>
    <w:tmpl w:val="51104BE6"/>
    <w:lvl w:ilvl="0" w:tplc="E098CFEC">
      <w:start w:val="1"/>
      <w:numFmt w:val="upperLetter"/>
      <w:pStyle w:val="slovanseznam40"/>
      <w:lvlText w:val="%1."/>
      <w:lvlJc w:val="left"/>
      <w:pPr>
        <w:tabs>
          <w:tab w:val="num" w:pos="1429"/>
        </w:tabs>
        <w:ind w:left="1429" w:hanging="357"/>
      </w:pPr>
      <w:rPr>
        <w:rFonts w:hint="default"/>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16" w15:restartNumberingAfterBreak="0">
    <w:nsid w:val="0D73395E"/>
    <w:multiLevelType w:val="multilevel"/>
    <w:tmpl w:val="A53A1E48"/>
    <w:lvl w:ilvl="0">
      <w:start w:val="1"/>
      <w:numFmt w:val="none"/>
      <w:isLgl/>
      <w:suff w:val="nothing"/>
      <w:lvlText w:val=""/>
      <w:lvlJc w:val="left"/>
      <w:pPr>
        <w:ind w:left="0" w:firstLine="0"/>
      </w:pPr>
      <w:rPr>
        <w:rFonts w:hint="default"/>
      </w:rPr>
    </w:lvl>
    <w:lvl w:ilvl="1">
      <w:start w:val="1"/>
      <w:numFmt w:val="none"/>
      <w:lvlRestart w:val="0"/>
      <w:suff w:val="nothing"/>
      <w:lvlText w:val=""/>
      <w:lvlJc w:val="left"/>
      <w:pPr>
        <w:ind w:left="0" w:firstLine="0"/>
      </w:pPr>
      <w:rPr>
        <w:rFonts w:hint="default"/>
      </w:rPr>
    </w:lvl>
    <w:lvl w:ilvl="2">
      <w:start w:val="1"/>
      <w:numFmt w:val="decimal"/>
      <w:isLgl/>
      <w:lvlText w:val="(%3)"/>
      <w:lvlJc w:val="left"/>
      <w:pPr>
        <w:tabs>
          <w:tab w:val="num" w:pos="783"/>
        </w:tabs>
        <w:ind w:left="1" w:firstLine="425"/>
      </w:pPr>
      <w:rPr>
        <w:rFonts w:hint="default"/>
        <w:strike w:val="0"/>
      </w:rPr>
    </w:lvl>
    <w:lvl w:ilvl="3">
      <w:start w:val="1"/>
      <w:numFmt w:val="lowerLetter"/>
      <w:lvlText w:val="%4)"/>
      <w:lvlJc w:val="left"/>
      <w:pPr>
        <w:tabs>
          <w:tab w:val="num" w:pos="425"/>
        </w:tabs>
        <w:ind w:left="425" w:hanging="425"/>
      </w:pPr>
      <w:rPr>
        <w:rFonts w:hint="default"/>
        <w:b w:val="0"/>
        <w:vertAlign w:val="baseline"/>
      </w:rPr>
    </w:lvl>
    <w:lvl w:ilvl="4">
      <w:start w:val="1"/>
      <w:numFmt w:val="decimal"/>
      <w:isLgl/>
      <w:lvlText w:val="%5."/>
      <w:lvlJc w:val="left"/>
      <w:pPr>
        <w:tabs>
          <w:tab w:val="num" w:pos="851"/>
        </w:tabs>
        <w:ind w:left="851" w:hanging="426"/>
      </w:pPr>
      <w:rPr>
        <w:rFonts w:hint="default"/>
      </w:rPr>
    </w:lvl>
    <w:lvl w:ilvl="5">
      <w:start w:val="1"/>
      <w:numFmt w:val="none"/>
      <w:suff w:val="nothing"/>
      <w:lvlText w:val="%6"/>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7" w15:restartNumberingAfterBreak="0">
    <w:nsid w:val="0D8B4E42"/>
    <w:multiLevelType w:val="multilevel"/>
    <w:tmpl w:val="4CAA8072"/>
    <w:lvl w:ilvl="0">
      <w:start w:val="1"/>
      <w:numFmt w:val="none"/>
      <w:isLgl/>
      <w:suff w:val="nothing"/>
      <w:lvlText w:val=""/>
      <w:lvlJc w:val="left"/>
      <w:pPr>
        <w:ind w:left="0" w:firstLine="0"/>
      </w:pPr>
      <w:rPr>
        <w:rFonts w:hint="default"/>
      </w:rPr>
    </w:lvl>
    <w:lvl w:ilvl="1">
      <w:start w:val="1"/>
      <w:numFmt w:val="none"/>
      <w:lvlRestart w:val="0"/>
      <w:suff w:val="nothing"/>
      <w:lvlText w:val=""/>
      <w:lvlJc w:val="left"/>
      <w:pPr>
        <w:ind w:left="0" w:firstLine="0"/>
      </w:pPr>
      <w:rPr>
        <w:rFonts w:hint="default"/>
      </w:rPr>
    </w:lvl>
    <w:lvl w:ilvl="2">
      <w:start w:val="1"/>
      <w:numFmt w:val="decimal"/>
      <w:isLgl/>
      <w:lvlText w:val="(%3)"/>
      <w:lvlJc w:val="left"/>
      <w:pPr>
        <w:tabs>
          <w:tab w:val="num" w:pos="1208"/>
        </w:tabs>
        <w:ind w:left="426" w:firstLine="425"/>
      </w:pPr>
      <w:rPr>
        <w:rFonts w:ascii="Times New Roman" w:eastAsia="Times New Roman" w:hAnsi="Times New Roman" w:cs="Times New Roman" w:hint="default"/>
        <w:b w:val="0"/>
        <w:strike w:val="0"/>
        <w:color w:val="auto"/>
      </w:rPr>
    </w:lvl>
    <w:lvl w:ilvl="3">
      <w:start w:val="1"/>
      <w:numFmt w:val="lowerLetter"/>
      <w:lvlText w:val="%4)"/>
      <w:lvlJc w:val="left"/>
      <w:pPr>
        <w:tabs>
          <w:tab w:val="num" w:pos="425"/>
        </w:tabs>
        <w:ind w:left="425" w:hanging="425"/>
      </w:pPr>
      <w:rPr>
        <w:rFonts w:hint="default"/>
        <w:strike/>
      </w:rPr>
    </w:lvl>
    <w:lvl w:ilvl="4">
      <w:start w:val="1"/>
      <w:numFmt w:val="decimal"/>
      <w:isLgl/>
      <w:lvlText w:val="%5."/>
      <w:lvlJc w:val="left"/>
      <w:pPr>
        <w:tabs>
          <w:tab w:val="num" w:pos="851"/>
        </w:tabs>
        <w:ind w:left="851" w:hanging="426"/>
      </w:pPr>
      <w:rPr>
        <w:rFonts w:hint="default"/>
      </w:rPr>
    </w:lvl>
    <w:lvl w:ilvl="5">
      <w:start w:val="1"/>
      <w:numFmt w:val="none"/>
      <w:suff w:val="nothing"/>
      <w:lvlText w:val="%6"/>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8" w15:restartNumberingAfterBreak="0">
    <w:nsid w:val="0E8E1C81"/>
    <w:multiLevelType w:val="hybridMultilevel"/>
    <w:tmpl w:val="9238E41A"/>
    <w:lvl w:ilvl="0" w:tplc="DA80ECF8">
      <w:start w:val="1"/>
      <w:numFmt w:val="upperRoman"/>
      <w:pStyle w:val="Dvodovzprvaknovlnku"/>
      <w:suff w:val="nothing"/>
      <w:lvlText w:val="K čl. %1"/>
      <w:lvlJc w:val="left"/>
      <w:pPr>
        <w:ind w:left="0" w:firstLine="0"/>
      </w:pPr>
      <w:rPr>
        <w:rFonts w:hint="default"/>
        <w:b/>
        <w:i w: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9" w15:restartNumberingAfterBreak="0">
    <w:nsid w:val="0F1958B0"/>
    <w:multiLevelType w:val="multilevel"/>
    <w:tmpl w:val="A67EE232"/>
    <w:lvl w:ilvl="0">
      <w:start w:val="13"/>
      <w:numFmt w:val="none"/>
      <w:isLgl/>
      <w:suff w:val="nothing"/>
      <w:lvlText w:val=""/>
      <w:lvlJc w:val="left"/>
      <w:pPr>
        <w:ind w:left="0" w:firstLine="0"/>
      </w:pPr>
      <w:rPr>
        <w:rFonts w:hint="default"/>
      </w:rPr>
    </w:lvl>
    <w:lvl w:ilvl="1">
      <w:start w:val="1"/>
      <w:numFmt w:val="none"/>
      <w:lvlRestart w:val="0"/>
      <w:suff w:val="nothing"/>
      <w:lvlText w:val=""/>
      <w:lvlJc w:val="left"/>
      <w:pPr>
        <w:ind w:left="0" w:firstLine="0"/>
      </w:pPr>
      <w:rPr>
        <w:rFonts w:hint="default"/>
      </w:rPr>
    </w:lvl>
    <w:lvl w:ilvl="2">
      <w:start w:val="5"/>
      <w:numFmt w:val="decimal"/>
      <w:isLgl/>
      <w:lvlText w:val="(%3)"/>
      <w:lvlJc w:val="left"/>
      <w:pPr>
        <w:tabs>
          <w:tab w:val="num" w:pos="783"/>
        </w:tabs>
        <w:ind w:left="1" w:firstLine="425"/>
      </w:pPr>
      <w:rPr>
        <w:rFonts w:hint="default"/>
      </w:rPr>
    </w:lvl>
    <w:lvl w:ilvl="3">
      <w:start w:val="1"/>
      <w:numFmt w:val="lowerLetter"/>
      <w:lvlText w:val="%4)"/>
      <w:lvlJc w:val="left"/>
      <w:pPr>
        <w:tabs>
          <w:tab w:val="num" w:pos="425"/>
        </w:tabs>
        <w:ind w:left="425" w:hanging="425"/>
      </w:pPr>
      <w:rPr>
        <w:rFonts w:ascii="Times New Roman" w:eastAsia="Times New Roman" w:hAnsi="Times New Roman" w:cs="Times New Roman" w:hint="default"/>
      </w:rPr>
    </w:lvl>
    <w:lvl w:ilvl="4">
      <w:start w:val="1"/>
      <w:numFmt w:val="decimal"/>
      <w:isLgl/>
      <w:lvlText w:val="%5."/>
      <w:lvlJc w:val="left"/>
      <w:pPr>
        <w:tabs>
          <w:tab w:val="num" w:pos="851"/>
        </w:tabs>
        <w:ind w:left="851" w:hanging="426"/>
      </w:pPr>
      <w:rPr>
        <w:rFonts w:hint="default"/>
      </w:rPr>
    </w:lvl>
    <w:lvl w:ilvl="5">
      <w:start w:val="1"/>
      <w:numFmt w:val="none"/>
      <w:suff w:val="nothing"/>
      <w:lvlText w:val="%6"/>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20" w15:restartNumberingAfterBreak="0">
    <w:nsid w:val="123B1BF3"/>
    <w:multiLevelType w:val="hybridMultilevel"/>
    <w:tmpl w:val="D57A52D6"/>
    <w:lvl w:ilvl="0" w:tplc="A802CEAA">
      <w:start w:val="1"/>
      <w:numFmt w:val="bullet"/>
      <w:pStyle w:val="neslovanseznam2"/>
      <w:lvlText w:val="o"/>
      <w:lvlJc w:val="left"/>
      <w:pPr>
        <w:tabs>
          <w:tab w:val="num" w:pos="717"/>
        </w:tabs>
        <w:ind w:left="717" w:hanging="360"/>
      </w:pPr>
      <w:rPr>
        <w:rFonts w:ascii="Courier New" w:hAnsi="Courier New" w:hint="default"/>
      </w:rPr>
    </w:lvl>
    <w:lvl w:ilvl="1" w:tplc="04050019">
      <w:start w:val="1"/>
      <w:numFmt w:val="lowerLetter"/>
      <w:lvlText w:val="%2."/>
      <w:lvlJc w:val="left"/>
      <w:pPr>
        <w:tabs>
          <w:tab w:val="num" w:pos="1428"/>
        </w:tabs>
        <w:ind w:left="1428" w:hanging="360"/>
      </w:pPr>
    </w:lvl>
    <w:lvl w:ilvl="2" w:tplc="0405001B">
      <w:start w:val="1"/>
      <w:numFmt w:val="lowerRoman"/>
      <w:lvlText w:val="%3."/>
      <w:lvlJc w:val="right"/>
      <w:pPr>
        <w:tabs>
          <w:tab w:val="num" w:pos="2148"/>
        </w:tabs>
        <w:ind w:left="2148" w:hanging="180"/>
      </w:pPr>
    </w:lvl>
    <w:lvl w:ilvl="3" w:tplc="0405000F" w:tentative="1">
      <w:start w:val="1"/>
      <w:numFmt w:val="decimal"/>
      <w:lvlText w:val="%4."/>
      <w:lvlJc w:val="left"/>
      <w:pPr>
        <w:tabs>
          <w:tab w:val="num" w:pos="2868"/>
        </w:tabs>
        <w:ind w:left="2868" w:hanging="360"/>
      </w:pPr>
    </w:lvl>
    <w:lvl w:ilvl="4" w:tplc="04050019" w:tentative="1">
      <w:start w:val="1"/>
      <w:numFmt w:val="lowerLetter"/>
      <w:lvlText w:val="%5."/>
      <w:lvlJc w:val="left"/>
      <w:pPr>
        <w:tabs>
          <w:tab w:val="num" w:pos="3588"/>
        </w:tabs>
        <w:ind w:left="3588" w:hanging="360"/>
      </w:pPr>
    </w:lvl>
    <w:lvl w:ilvl="5" w:tplc="0405001B" w:tentative="1">
      <w:start w:val="1"/>
      <w:numFmt w:val="lowerRoman"/>
      <w:lvlText w:val="%6."/>
      <w:lvlJc w:val="right"/>
      <w:pPr>
        <w:tabs>
          <w:tab w:val="num" w:pos="4308"/>
        </w:tabs>
        <w:ind w:left="4308" w:hanging="180"/>
      </w:pPr>
    </w:lvl>
    <w:lvl w:ilvl="6" w:tplc="0405000F" w:tentative="1">
      <w:start w:val="1"/>
      <w:numFmt w:val="decimal"/>
      <w:lvlText w:val="%7."/>
      <w:lvlJc w:val="left"/>
      <w:pPr>
        <w:tabs>
          <w:tab w:val="num" w:pos="5028"/>
        </w:tabs>
        <w:ind w:left="5028" w:hanging="360"/>
      </w:pPr>
    </w:lvl>
    <w:lvl w:ilvl="7" w:tplc="04050019" w:tentative="1">
      <w:start w:val="1"/>
      <w:numFmt w:val="lowerLetter"/>
      <w:lvlText w:val="%8."/>
      <w:lvlJc w:val="left"/>
      <w:pPr>
        <w:tabs>
          <w:tab w:val="num" w:pos="5748"/>
        </w:tabs>
        <w:ind w:left="5748" w:hanging="360"/>
      </w:pPr>
    </w:lvl>
    <w:lvl w:ilvl="8" w:tplc="0405001B" w:tentative="1">
      <w:start w:val="1"/>
      <w:numFmt w:val="lowerRoman"/>
      <w:lvlText w:val="%9."/>
      <w:lvlJc w:val="right"/>
      <w:pPr>
        <w:tabs>
          <w:tab w:val="num" w:pos="6468"/>
        </w:tabs>
        <w:ind w:left="6468" w:hanging="180"/>
      </w:pPr>
    </w:lvl>
  </w:abstractNum>
  <w:abstractNum w:abstractNumId="21" w15:restartNumberingAfterBreak="0">
    <w:nsid w:val="12F74281"/>
    <w:multiLevelType w:val="multilevel"/>
    <w:tmpl w:val="4CAA8072"/>
    <w:lvl w:ilvl="0">
      <w:start w:val="1"/>
      <w:numFmt w:val="none"/>
      <w:isLgl/>
      <w:suff w:val="nothing"/>
      <w:lvlText w:val=""/>
      <w:lvlJc w:val="left"/>
      <w:pPr>
        <w:ind w:left="0" w:firstLine="0"/>
      </w:pPr>
      <w:rPr>
        <w:rFonts w:hint="default"/>
      </w:rPr>
    </w:lvl>
    <w:lvl w:ilvl="1">
      <w:start w:val="1"/>
      <w:numFmt w:val="none"/>
      <w:lvlRestart w:val="0"/>
      <w:suff w:val="nothing"/>
      <w:lvlText w:val=""/>
      <w:lvlJc w:val="left"/>
      <w:pPr>
        <w:ind w:left="0" w:firstLine="0"/>
      </w:pPr>
      <w:rPr>
        <w:rFonts w:hint="default"/>
      </w:rPr>
    </w:lvl>
    <w:lvl w:ilvl="2">
      <w:start w:val="1"/>
      <w:numFmt w:val="decimal"/>
      <w:isLgl/>
      <w:lvlText w:val="(%3)"/>
      <w:lvlJc w:val="left"/>
      <w:pPr>
        <w:tabs>
          <w:tab w:val="num" w:pos="1208"/>
        </w:tabs>
        <w:ind w:left="426" w:firstLine="425"/>
      </w:pPr>
      <w:rPr>
        <w:rFonts w:ascii="Times New Roman" w:eastAsia="Times New Roman" w:hAnsi="Times New Roman" w:cs="Times New Roman" w:hint="default"/>
        <w:b w:val="0"/>
        <w:strike w:val="0"/>
        <w:color w:val="auto"/>
      </w:rPr>
    </w:lvl>
    <w:lvl w:ilvl="3">
      <w:start w:val="1"/>
      <w:numFmt w:val="lowerLetter"/>
      <w:lvlText w:val="%4)"/>
      <w:lvlJc w:val="left"/>
      <w:pPr>
        <w:tabs>
          <w:tab w:val="num" w:pos="425"/>
        </w:tabs>
        <w:ind w:left="425" w:hanging="425"/>
      </w:pPr>
      <w:rPr>
        <w:rFonts w:hint="default"/>
        <w:strike/>
      </w:rPr>
    </w:lvl>
    <w:lvl w:ilvl="4">
      <w:start w:val="1"/>
      <w:numFmt w:val="decimal"/>
      <w:isLgl/>
      <w:lvlText w:val="%5."/>
      <w:lvlJc w:val="left"/>
      <w:pPr>
        <w:tabs>
          <w:tab w:val="num" w:pos="851"/>
        </w:tabs>
        <w:ind w:left="851" w:hanging="426"/>
      </w:pPr>
      <w:rPr>
        <w:rFonts w:hint="default"/>
      </w:rPr>
    </w:lvl>
    <w:lvl w:ilvl="5">
      <w:start w:val="1"/>
      <w:numFmt w:val="none"/>
      <w:suff w:val="nothing"/>
      <w:lvlText w:val="%6"/>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22" w15:restartNumberingAfterBreak="0">
    <w:nsid w:val="13AF6406"/>
    <w:multiLevelType w:val="multilevel"/>
    <w:tmpl w:val="7116B3E0"/>
    <w:lvl w:ilvl="0">
      <w:start w:val="1"/>
      <w:numFmt w:val="none"/>
      <w:isLgl/>
      <w:suff w:val="nothing"/>
      <w:lvlText w:val=""/>
      <w:lvlJc w:val="left"/>
      <w:pPr>
        <w:ind w:left="0" w:firstLine="0"/>
      </w:pPr>
      <w:rPr>
        <w:rFonts w:hint="default"/>
      </w:rPr>
    </w:lvl>
    <w:lvl w:ilvl="1">
      <w:start w:val="1"/>
      <w:numFmt w:val="none"/>
      <w:lvlRestart w:val="0"/>
      <w:suff w:val="nothing"/>
      <w:lvlText w:val=""/>
      <w:lvlJc w:val="left"/>
      <w:pPr>
        <w:ind w:left="0" w:firstLine="0"/>
      </w:pPr>
      <w:rPr>
        <w:rFonts w:hint="default"/>
      </w:rPr>
    </w:lvl>
    <w:lvl w:ilvl="2">
      <w:start w:val="1"/>
      <w:numFmt w:val="decimal"/>
      <w:isLgl/>
      <w:lvlText w:val="(%3)"/>
      <w:lvlJc w:val="left"/>
      <w:pPr>
        <w:tabs>
          <w:tab w:val="num" w:pos="783"/>
        </w:tabs>
        <w:ind w:left="1" w:firstLine="425"/>
      </w:pPr>
      <w:rPr>
        <w:rFonts w:hint="default"/>
        <w:strike w:val="0"/>
      </w:rPr>
    </w:lvl>
    <w:lvl w:ilvl="3">
      <w:start w:val="1"/>
      <w:numFmt w:val="lowerLetter"/>
      <w:lvlText w:val="%4)"/>
      <w:lvlJc w:val="left"/>
      <w:pPr>
        <w:tabs>
          <w:tab w:val="num" w:pos="425"/>
        </w:tabs>
        <w:ind w:left="425" w:hanging="425"/>
      </w:pPr>
      <w:rPr>
        <w:rFonts w:hint="default"/>
        <w:b w:val="0"/>
      </w:rPr>
    </w:lvl>
    <w:lvl w:ilvl="4">
      <w:start w:val="1"/>
      <w:numFmt w:val="decimal"/>
      <w:isLgl/>
      <w:lvlText w:val="%5."/>
      <w:lvlJc w:val="left"/>
      <w:pPr>
        <w:tabs>
          <w:tab w:val="num" w:pos="851"/>
        </w:tabs>
        <w:ind w:left="851" w:hanging="426"/>
      </w:pPr>
      <w:rPr>
        <w:rFonts w:hint="default"/>
      </w:rPr>
    </w:lvl>
    <w:lvl w:ilvl="5">
      <w:start w:val="1"/>
      <w:numFmt w:val="none"/>
      <w:suff w:val="nothing"/>
      <w:lvlText w:val="%6"/>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23" w15:restartNumberingAfterBreak="0">
    <w:nsid w:val="16C10D2D"/>
    <w:multiLevelType w:val="hybridMultilevel"/>
    <w:tmpl w:val="F264A050"/>
    <w:lvl w:ilvl="0" w:tplc="35FC5A3A">
      <w:start w:val="1"/>
      <w:numFmt w:val="upperRoman"/>
      <w:pStyle w:val="Nadpis1slovan"/>
      <w:lvlText w:val="Část %1."/>
      <w:lvlJc w:val="left"/>
      <w:pPr>
        <w:ind w:left="2203" w:hanging="360"/>
      </w:pPr>
      <w:rPr>
        <w:rFonts w:cs="Times New Roman" w:hint="default"/>
      </w:rPr>
    </w:lvl>
    <w:lvl w:ilvl="1" w:tplc="04050019">
      <w:start w:val="1"/>
      <w:numFmt w:val="lowerLetter"/>
      <w:lvlText w:val="%2."/>
      <w:lvlJc w:val="left"/>
      <w:pPr>
        <w:ind w:left="1931" w:hanging="360"/>
      </w:pPr>
      <w:rPr>
        <w:rFonts w:cs="Times New Roman"/>
      </w:rPr>
    </w:lvl>
    <w:lvl w:ilvl="2" w:tplc="0405001B" w:tentative="1">
      <w:start w:val="1"/>
      <w:numFmt w:val="lowerRoman"/>
      <w:lvlText w:val="%3."/>
      <w:lvlJc w:val="right"/>
      <w:pPr>
        <w:ind w:left="2651" w:hanging="180"/>
      </w:pPr>
      <w:rPr>
        <w:rFonts w:cs="Times New Roman"/>
      </w:rPr>
    </w:lvl>
    <w:lvl w:ilvl="3" w:tplc="0405000F" w:tentative="1">
      <w:start w:val="1"/>
      <w:numFmt w:val="decimal"/>
      <w:lvlText w:val="%4."/>
      <w:lvlJc w:val="left"/>
      <w:pPr>
        <w:ind w:left="3371" w:hanging="360"/>
      </w:pPr>
      <w:rPr>
        <w:rFonts w:cs="Times New Roman"/>
      </w:rPr>
    </w:lvl>
    <w:lvl w:ilvl="4" w:tplc="04050019" w:tentative="1">
      <w:start w:val="1"/>
      <w:numFmt w:val="lowerLetter"/>
      <w:lvlText w:val="%5."/>
      <w:lvlJc w:val="left"/>
      <w:pPr>
        <w:ind w:left="4091" w:hanging="360"/>
      </w:pPr>
      <w:rPr>
        <w:rFonts w:cs="Times New Roman"/>
      </w:rPr>
    </w:lvl>
    <w:lvl w:ilvl="5" w:tplc="0405001B" w:tentative="1">
      <w:start w:val="1"/>
      <w:numFmt w:val="lowerRoman"/>
      <w:lvlText w:val="%6."/>
      <w:lvlJc w:val="right"/>
      <w:pPr>
        <w:ind w:left="4811" w:hanging="180"/>
      </w:pPr>
      <w:rPr>
        <w:rFonts w:cs="Times New Roman"/>
      </w:rPr>
    </w:lvl>
    <w:lvl w:ilvl="6" w:tplc="0405000F" w:tentative="1">
      <w:start w:val="1"/>
      <w:numFmt w:val="decimal"/>
      <w:lvlText w:val="%7."/>
      <w:lvlJc w:val="left"/>
      <w:pPr>
        <w:ind w:left="5531" w:hanging="360"/>
      </w:pPr>
      <w:rPr>
        <w:rFonts w:cs="Times New Roman"/>
      </w:rPr>
    </w:lvl>
    <w:lvl w:ilvl="7" w:tplc="04050019" w:tentative="1">
      <w:start w:val="1"/>
      <w:numFmt w:val="lowerLetter"/>
      <w:lvlText w:val="%8."/>
      <w:lvlJc w:val="left"/>
      <w:pPr>
        <w:ind w:left="6251" w:hanging="360"/>
      </w:pPr>
      <w:rPr>
        <w:rFonts w:cs="Times New Roman"/>
      </w:rPr>
    </w:lvl>
    <w:lvl w:ilvl="8" w:tplc="0405001B" w:tentative="1">
      <w:start w:val="1"/>
      <w:numFmt w:val="lowerRoman"/>
      <w:lvlText w:val="%9."/>
      <w:lvlJc w:val="right"/>
      <w:pPr>
        <w:ind w:left="6971" w:hanging="180"/>
      </w:pPr>
      <w:rPr>
        <w:rFonts w:cs="Times New Roman"/>
      </w:rPr>
    </w:lvl>
  </w:abstractNum>
  <w:abstractNum w:abstractNumId="24" w15:restartNumberingAfterBreak="0">
    <w:nsid w:val="18162D55"/>
    <w:multiLevelType w:val="multilevel"/>
    <w:tmpl w:val="69DA718C"/>
    <w:lvl w:ilvl="0">
      <w:start w:val="1"/>
      <w:numFmt w:val="none"/>
      <w:isLgl/>
      <w:suff w:val="nothing"/>
      <w:lvlText w:val=""/>
      <w:lvlJc w:val="left"/>
      <w:pPr>
        <w:ind w:left="0" w:firstLine="0"/>
      </w:pPr>
      <w:rPr>
        <w:rFonts w:hint="default"/>
      </w:rPr>
    </w:lvl>
    <w:lvl w:ilvl="1">
      <w:start w:val="1"/>
      <w:numFmt w:val="none"/>
      <w:lvlRestart w:val="0"/>
      <w:suff w:val="nothing"/>
      <w:lvlText w:val=""/>
      <w:lvlJc w:val="left"/>
      <w:pPr>
        <w:ind w:left="0" w:firstLine="0"/>
      </w:pPr>
      <w:rPr>
        <w:rFonts w:hint="default"/>
      </w:rPr>
    </w:lvl>
    <w:lvl w:ilvl="2">
      <w:start w:val="1"/>
      <w:numFmt w:val="decimal"/>
      <w:isLgl/>
      <w:lvlText w:val="(%3)"/>
      <w:lvlJc w:val="left"/>
      <w:pPr>
        <w:tabs>
          <w:tab w:val="num" w:pos="1067"/>
        </w:tabs>
        <w:ind w:left="285" w:firstLine="425"/>
      </w:pPr>
      <w:rPr>
        <w:rFonts w:hint="default"/>
        <w:strike w:val="0"/>
      </w:rPr>
    </w:lvl>
    <w:lvl w:ilvl="3">
      <w:start w:val="1"/>
      <w:numFmt w:val="lowerLetter"/>
      <w:lvlText w:val="%4)"/>
      <w:lvlJc w:val="left"/>
      <w:pPr>
        <w:tabs>
          <w:tab w:val="num" w:pos="425"/>
        </w:tabs>
        <w:ind w:left="425" w:hanging="425"/>
      </w:pPr>
      <w:rPr>
        <w:rFonts w:hint="default"/>
        <w:b w:val="0"/>
      </w:rPr>
    </w:lvl>
    <w:lvl w:ilvl="4">
      <w:start w:val="1"/>
      <w:numFmt w:val="decimal"/>
      <w:isLgl/>
      <w:lvlText w:val="%5."/>
      <w:lvlJc w:val="left"/>
      <w:pPr>
        <w:tabs>
          <w:tab w:val="num" w:pos="851"/>
        </w:tabs>
        <w:ind w:left="851" w:hanging="426"/>
      </w:pPr>
      <w:rPr>
        <w:rFonts w:hint="default"/>
      </w:rPr>
    </w:lvl>
    <w:lvl w:ilvl="5">
      <w:start w:val="1"/>
      <w:numFmt w:val="none"/>
      <w:suff w:val="nothing"/>
      <w:lvlText w:val="%6"/>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25" w15:restartNumberingAfterBreak="0">
    <w:nsid w:val="19371BD0"/>
    <w:multiLevelType w:val="singleLevel"/>
    <w:tmpl w:val="4280A290"/>
    <w:lvl w:ilvl="0">
      <w:start w:val="1"/>
      <w:numFmt w:val="decimal"/>
      <w:pStyle w:val="Novelizanbod"/>
      <w:lvlText w:val="%1."/>
      <w:lvlJc w:val="left"/>
      <w:pPr>
        <w:tabs>
          <w:tab w:val="num" w:pos="567"/>
        </w:tabs>
        <w:ind w:left="567" w:hanging="567"/>
      </w:pPr>
      <w:rPr>
        <w:b/>
        <w:i w:val="0"/>
      </w:rPr>
    </w:lvl>
  </w:abstractNum>
  <w:abstractNum w:abstractNumId="26" w15:restartNumberingAfterBreak="0">
    <w:nsid w:val="1C661B7E"/>
    <w:multiLevelType w:val="multilevel"/>
    <w:tmpl w:val="7116B3E0"/>
    <w:lvl w:ilvl="0">
      <w:start w:val="1"/>
      <w:numFmt w:val="none"/>
      <w:isLgl/>
      <w:suff w:val="nothing"/>
      <w:lvlText w:val=""/>
      <w:lvlJc w:val="left"/>
      <w:pPr>
        <w:ind w:left="0" w:firstLine="0"/>
      </w:pPr>
      <w:rPr>
        <w:rFonts w:hint="default"/>
      </w:rPr>
    </w:lvl>
    <w:lvl w:ilvl="1">
      <w:start w:val="1"/>
      <w:numFmt w:val="none"/>
      <w:lvlRestart w:val="0"/>
      <w:suff w:val="nothing"/>
      <w:lvlText w:val=""/>
      <w:lvlJc w:val="left"/>
      <w:pPr>
        <w:ind w:left="0" w:firstLine="0"/>
      </w:pPr>
      <w:rPr>
        <w:rFonts w:hint="default"/>
      </w:rPr>
    </w:lvl>
    <w:lvl w:ilvl="2">
      <w:start w:val="1"/>
      <w:numFmt w:val="decimal"/>
      <w:isLgl/>
      <w:lvlText w:val="(%3)"/>
      <w:lvlJc w:val="left"/>
      <w:pPr>
        <w:tabs>
          <w:tab w:val="num" w:pos="783"/>
        </w:tabs>
        <w:ind w:left="1" w:firstLine="425"/>
      </w:pPr>
      <w:rPr>
        <w:rFonts w:hint="default"/>
        <w:strike w:val="0"/>
      </w:rPr>
    </w:lvl>
    <w:lvl w:ilvl="3">
      <w:start w:val="1"/>
      <w:numFmt w:val="lowerLetter"/>
      <w:lvlText w:val="%4)"/>
      <w:lvlJc w:val="left"/>
      <w:pPr>
        <w:tabs>
          <w:tab w:val="num" w:pos="425"/>
        </w:tabs>
        <w:ind w:left="425" w:hanging="425"/>
      </w:pPr>
      <w:rPr>
        <w:rFonts w:hint="default"/>
        <w:b w:val="0"/>
      </w:rPr>
    </w:lvl>
    <w:lvl w:ilvl="4">
      <w:start w:val="1"/>
      <w:numFmt w:val="decimal"/>
      <w:isLgl/>
      <w:lvlText w:val="%5."/>
      <w:lvlJc w:val="left"/>
      <w:pPr>
        <w:tabs>
          <w:tab w:val="num" w:pos="851"/>
        </w:tabs>
        <w:ind w:left="851" w:hanging="426"/>
      </w:pPr>
      <w:rPr>
        <w:rFonts w:hint="default"/>
      </w:rPr>
    </w:lvl>
    <w:lvl w:ilvl="5">
      <w:start w:val="1"/>
      <w:numFmt w:val="none"/>
      <w:suff w:val="nothing"/>
      <w:lvlText w:val="%6"/>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27" w15:restartNumberingAfterBreak="0">
    <w:nsid w:val="220C5A9C"/>
    <w:multiLevelType w:val="multilevel"/>
    <w:tmpl w:val="0405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22956277"/>
    <w:multiLevelType w:val="multilevel"/>
    <w:tmpl w:val="63820FF8"/>
    <w:lvl w:ilvl="0">
      <w:start w:val="10"/>
      <w:numFmt w:val="none"/>
      <w:isLgl/>
      <w:suff w:val="nothing"/>
      <w:lvlText w:val=""/>
      <w:lvlJc w:val="left"/>
      <w:pPr>
        <w:ind w:left="0" w:firstLine="0"/>
      </w:pPr>
      <w:rPr>
        <w:rFonts w:hint="default"/>
      </w:rPr>
    </w:lvl>
    <w:lvl w:ilvl="1">
      <w:start w:val="1"/>
      <w:numFmt w:val="none"/>
      <w:lvlRestart w:val="0"/>
      <w:suff w:val="nothing"/>
      <w:lvlText w:val=""/>
      <w:lvlJc w:val="left"/>
      <w:pPr>
        <w:ind w:left="0" w:firstLine="0"/>
      </w:pPr>
      <w:rPr>
        <w:rFonts w:hint="default"/>
      </w:rPr>
    </w:lvl>
    <w:lvl w:ilvl="2">
      <w:start w:val="1"/>
      <w:numFmt w:val="decimal"/>
      <w:isLgl/>
      <w:lvlText w:val="(%3)"/>
      <w:lvlJc w:val="left"/>
      <w:pPr>
        <w:tabs>
          <w:tab w:val="num" w:pos="783"/>
        </w:tabs>
        <w:ind w:left="1" w:firstLine="425"/>
      </w:pPr>
      <w:rPr>
        <w:rFonts w:hint="default"/>
        <w:b w:val="0"/>
      </w:rPr>
    </w:lvl>
    <w:lvl w:ilvl="3">
      <w:start w:val="1"/>
      <w:numFmt w:val="lowerLetter"/>
      <w:lvlText w:val="%4)"/>
      <w:lvlJc w:val="left"/>
      <w:pPr>
        <w:tabs>
          <w:tab w:val="num" w:pos="425"/>
        </w:tabs>
        <w:ind w:left="425" w:hanging="425"/>
      </w:pPr>
      <w:rPr>
        <w:rFonts w:hint="default"/>
      </w:rPr>
    </w:lvl>
    <w:lvl w:ilvl="4">
      <w:start w:val="1"/>
      <w:numFmt w:val="decimal"/>
      <w:isLgl/>
      <w:lvlText w:val="%5."/>
      <w:lvlJc w:val="left"/>
      <w:pPr>
        <w:tabs>
          <w:tab w:val="num" w:pos="851"/>
        </w:tabs>
        <w:ind w:left="851" w:hanging="426"/>
      </w:pPr>
      <w:rPr>
        <w:rFonts w:hint="default"/>
      </w:rPr>
    </w:lvl>
    <w:lvl w:ilvl="5">
      <w:start w:val="1"/>
      <w:numFmt w:val="none"/>
      <w:suff w:val="nothing"/>
      <w:lvlText w:val="%6"/>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29" w15:restartNumberingAfterBreak="0">
    <w:nsid w:val="242268AA"/>
    <w:multiLevelType w:val="hybridMultilevel"/>
    <w:tmpl w:val="A59CEB64"/>
    <w:lvl w:ilvl="0" w:tplc="FAF637C0">
      <w:start w:val="1"/>
      <w:numFmt w:val="bullet"/>
      <w:pStyle w:val="Cstylsodrkou"/>
      <w:lvlText w:val=""/>
      <w:lvlJc w:val="left"/>
      <w:pPr>
        <w:ind w:left="502" w:hanging="360"/>
      </w:pPr>
      <w:rPr>
        <w:rFonts w:ascii="Symbol" w:hAnsi="Symbol" w:hint="default"/>
      </w:rPr>
    </w:lvl>
    <w:lvl w:ilvl="1" w:tplc="04050003">
      <w:start w:val="1"/>
      <w:numFmt w:val="bullet"/>
      <w:lvlText w:val="o"/>
      <w:lvlJc w:val="left"/>
      <w:pPr>
        <w:ind w:left="1353" w:hanging="360"/>
      </w:pPr>
      <w:rPr>
        <w:rFonts w:ascii="Courier New" w:hAnsi="Courier New" w:hint="default"/>
      </w:rPr>
    </w:lvl>
    <w:lvl w:ilvl="2" w:tplc="04050005">
      <w:start w:val="1"/>
      <w:numFmt w:val="bullet"/>
      <w:lvlText w:val=""/>
      <w:lvlJc w:val="left"/>
      <w:pPr>
        <w:ind w:left="2784" w:hanging="360"/>
      </w:pPr>
      <w:rPr>
        <w:rFonts w:ascii="Wingdings" w:hAnsi="Wingdings" w:hint="default"/>
      </w:rPr>
    </w:lvl>
    <w:lvl w:ilvl="3" w:tplc="04050001" w:tentative="1">
      <w:start w:val="1"/>
      <w:numFmt w:val="bullet"/>
      <w:lvlText w:val=""/>
      <w:lvlJc w:val="left"/>
      <w:pPr>
        <w:ind w:left="3504" w:hanging="360"/>
      </w:pPr>
      <w:rPr>
        <w:rFonts w:ascii="Symbol" w:hAnsi="Symbol" w:hint="default"/>
      </w:rPr>
    </w:lvl>
    <w:lvl w:ilvl="4" w:tplc="04050003" w:tentative="1">
      <w:start w:val="1"/>
      <w:numFmt w:val="bullet"/>
      <w:lvlText w:val="o"/>
      <w:lvlJc w:val="left"/>
      <w:pPr>
        <w:ind w:left="4224" w:hanging="360"/>
      </w:pPr>
      <w:rPr>
        <w:rFonts w:ascii="Courier New" w:hAnsi="Courier New" w:hint="default"/>
      </w:rPr>
    </w:lvl>
    <w:lvl w:ilvl="5" w:tplc="04050005" w:tentative="1">
      <w:start w:val="1"/>
      <w:numFmt w:val="bullet"/>
      <w:lvlText w:val=""/>
      <w:lvlJc w:val="left"/>
      <w:pPr>
        <w:ind w:left="4944" w:hanging="360"/>
      </w:pPr>
      <w:rPr>
        <w:rFonts w:ascii="Wingdings" w:hAnsi="Wingdings" w:hint="default"/>
      </w:rPr>
    </w:lvl>
    <w:lvl w:ilvl="6" w:tplc="04050001" w:tentative="1">
      <w:start w:val="1"/>
      <w:numFmt w:val="bullet"/>
      <w:lvlText w:val=""/>
      <w:lvlJc w:val="left"/>
      <w:pPr>
        <w:ind w:left="5664" w:hanging="360"/>
      </w:pPr>
      <w:rPr>
        <w:rFonts w:ascii="Symbol" w:hAnsi="Symbol" w:hint="default"/>
      </w:rPr>
    </w:lvl>
    <w:lvl w:ilvl="7" w:tplc="04050003" w:tentative="1">
      <w:start w:val="1"/>
      <w:numFmt w:val="bullet"/>
      <w:lvlText w:val="o"/>
      <w:lvlJc w:val="left"/>
      <w:pPr>
        <w:ind w:left="6384" w:hanging="360"/>
      </w:pPr>
      <w:rPr>
        <w:rFonts w:ascii="Courier New" w:hAnsi="Courier New" w:hint="default"/>
      </w:rPr>
    </w:lvl>
    <w:lvl w:ilvl="8" w:tplc="04050005" w:tentative="1">
      <w:start w:val="1"/>
      <w:numFmt w:val="bullet"/>
      <w:lvlText w:val=""/>
      <w:lvlJc w:val="left"/>
      <w:pPr>
        <w:ind w:left="7104" w:hanging="360"/>
      </w:pPr>
      <w:rPr>
        <w:rFonts w:ascii="Wingdings" w:hAnsi="Wingdings" w:hint="default"/>
      </w:rPr>
    </w:lvl>
  </w:abstractNum>
  <w:abstractNum w:abstractNumId="30" w15:restartNumberingAfterBreak="0">
    <w:nsid w:val="2554489E"/>
    <w:multiLevelType w:val="multilevel"/>
    <w:tmpl w:val="A53A1E48"/>
    <w:lvl w:ilvl="0">
      <w:start w:val="1"/>
      <w:numFmt w:val="none"/>
      <w:isLgl/>
      <w:suff w:val="nothing"/>
      <w:lvlText w:val=""/>
      <w:lvlJc w:val="left"/>
      <w:pPr>
        <w:ind w:left="0" w:firstLine="0"/>
      </w:pPr>
      <w:rPr>
        <w:rFonts w:hint="default"/>
      </w:rPr>
    </w:lvl>
    <w:lvl w:ilvl="1">
      <w:start w:val="1"/>
      <w:numFmt w:val="none"/>
      <w:lvlRestart w:val="0"/>
      <w:suff w:val="nothing"/>
      <w:lvlText w:val=""/>
      <w:lvlJc w:val="left"/>
      <w:pPr>
        <w:ind w:left="0" w:firstLine="0"/>
      </w:pPr>
      <w:rPr>
        <w:rFonts w:hint="default"/>
      </w:rPr>
    </w:lvl>
    <w:lvl w:ilvl="2">
      <w:start w:val="1"/>
      <w:numFmt w:val="decimal"/>
      <w:isLgl/>
      <w:lvlText w:val="(%3)"/>
      <w:lvlJc w:val="left"/>
      <w:pPr>
        <w:tabs>
          <w:tab w:val="num" w:pos="783"/>
        </w:tabs>
        <w:ind w:left="1" w:firstLine="425"/>
      </w:pPr>
      <w:rPr>
        <w:rFonts w:hint="default"/>
        <w:strike w:val="0"/>
      </w:rPr>
    </w:lvl>
    <w:lvl w:ilvl="3">
      <w:start w:val="1"/>
      <w:numFmt w:val="lowerLetter"/>
      <w:lvlText w:val="%4)"/>
      <w:lvlJc w:val="left"/>
      <w:pPr>
        <w:tabs>
          <w:tab w:val="num" w:pos="425"/>
        </w:tabs>
        <w:ind w:left="425" w:hanging="425"/>
      </w:pPr>
      <w:rPr>
        <w:rFonts w:hint="default"/>
        <w:b w:val="0"/>
        <w:vertAlign w:val="baseline"/>
      </w:rPr>
    </w:lvl>
    <w:lvl w:ilvl="4">
      <w:start w:val="1"/>
      <w:numFmt w:val="decimal"/>
      <w:isLgl/>
      <w:lvlText w:val="%5."/>
      <w:lvlJc w:val="left"/>
      <w:pPr>
        <w:tabs>
          <w:tab w:val="num" w:pos="851"/>
        </w:tabs>
        <w:ind w:left="851" w:hanging="426"/>
      </w:pPr>
      <w:rPr>
        <w:rFonts w:hint="default"/>
      </w:rPr>
    </w:lvl>
    <w:lvl w:ilvl="5">
      <w:start w:val="1"/>
      <w:numFmt w:val="none"/>
      <w:suff w:val="nothing"/>
      <w:lvlText w:val="%6"/>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31" w15:restartNumberingAfterBreak="0">
    <w:nsid w:val="26E85E83"/>
    <w:multiLevelType w:val="multilevel"/>
    <w:tmpl w:val="5C3E3DE6"/>
    <w:lvl w:ilvl="0">
      <w:start w:val="1"/>
      <w:numFmt w:val="none"/>
      <w:pStyle w:val="Paragraf"/>
      <w:isLgl/>
      <w:suff w:val="nothing"/>
      <w:lvlText w:val=""/>
      <w:lvlJc w:val="left"/>
      <w:pPr>
        <w:ind w:left="0" w:firstLine="0"/>
      </w:pPr>
      <w:rPr>
        <w:rFonts w:hint="default"/>
      </w:rPr>
    </w:lvl>
    <w:lvl w:ilvl="1">
      <w:start w:val="1"/>
      <w:numFmt w:val="none"/>
      <w:lvlRestart w:val="0"/>
      <w:pStyle w:val="lnek"/>
      <w:suff w:val="nothing"/>
      <w:lvlText w:val=""/>
      <w:lvlJc w:val="left"/>
      <w:pPr>
        <w:ind w:left="0" w:firstLine="0"/>
      </w:pPr>
      <w:rPr>
        <w:rFonts w:hint="default"/>
      </w:rPr>
    </w:lvl>
    <w:lvl w:ilvl="2">
      <w:start w:val="1"/>
      <w:numFmt w:val="decimal"/>
      <w:isLgl/>
      <w:lvlText w:val="(%3)"/>
      <w:lvlJc w:val="left"/>
      <w:pPr>
        <w:tabs>
          <w:tab w:val="num" w:pos="782"/>
        </w:tabs>
        <w:ind w:left="0" w:firstLine="425"/>
      </w:pPr>
      <w:rPr>
        <w:rFonts w:hint="default"/>
      </w:rPr>
    </w:lvl>
    <w:lvl w:ilvl="3">
      <w:start w:val="1"/>
      <w:numFmt w:val="lowerLetter"/>
      <w:lvlText w:val="%4)"/>
      <w:lvlJc w:val="left"/>
      <w:pPr>
        <w:tabs>
          <w:tab w:val="num" w:pos="425"/>
        </w:tabs>
        <w:ind w:left="425" w:hanging="425"/>
      </w:pPr>
      <w:rPr>
        <w:rFonts w:hint="default"/>
      </w:rPr>
    </w:lvl>
    <w:lvl w:ilvl="4">
      <w:start w:val="1"/>
      <w:numFmt w:val="decimal"/>
      <w:isLgl/>
      <w:lvlText w:val="%5."/>
      <w:lvlJc w:val="left"/>
      <w:pPr>
        <w:tabs>
          <w:tab w:val="num" w:pos="851"/>
        </w:tabs>
        <w:ind w:left="851" w:hanging="426"/>
      </w:pPr>
      <w:rPr>
        <w:rFonts w:hint="default"/>
      </w:rPr>
    </w:lvl>
    <w:lvl w:ilvl="5">
      <w:start w:val="1"/>
      <w:numFmt w:val="none"/>
      <w:suff w:val="nothing"/>
      <w:lvlText w:val="%6"/>
      <w:lvlJc w:val="left"/>
      <w:pPr>
        <w:ind w:left="0" w:firstLine="0"/>
      </w:pPr>
      <w:rPr>
        <w:rFonts w:hint="default"/>
      </w:rPr>
    </w:lvl>
    <w:lvl w:ilvl="6">
      <w:start w:val="1"/>
      <w:numFmt w:val="none"/>
      <w:pStyle w:val="Nadpis7"/>
      <w:suff w:val="nothing"/>
      <w:lvlText w:val=""/>
      <w:lvlJc w:val="left"/>
      <w:pPr>
        <w:ind w:left="0" w:firstLine="0"/>
      </w:pPr>
      <w:rPr>
        <w:rFonts w:hint="default"/>
      </w:rPr>
    </w:lvl>
    <w:lvl w:ilvl="7">
      <w:start w:val="1"/>
      <w:numFmt w:val="none"/>
      <w:pStyle w:val="Nadpis8"/>
      <w:suff w:val="nothing"/>
      <w:lvlText w:val=""/>
      <w:lvlJc w:val="left"/>
      <w:pPr>
        <w:ind w:left="0" w:firstLine="0"/>
      </w:pPr>
      <w:rPr>
        <w:rFonts w:hint="default"/>
      </w:rPr>
    </w:lvl>
    <w:lvl w:ilvl="8">
      <w:start w:val="1"/>
      <w:numFmt w:val="none"/>
      <w:pStyle w:val="Nadpis9"/>
      <w:suff w:val="nothing"/>
      <w:lvlText w:val=""/>
      <w:lvlJc w:val="left"/>
      <w:pPr>
        <w:ind w:left="0" w:firstLine="0"/>
      </w:pPr>
      <w:rPr>
        <w:rFonts w:hint="default"/>
      </w:rPr>
    </w:lvl>
  </w:abstractNum>
  <w:abstractNum w:abstractNumId="32" w15:restartNumberingAfterBreak="0">
    <w:nsid w:val="2AF66ADF"/>
    <w:multiLevelType w:val="multilevel"/>
    <w:tmpl w:val="00A410C0"/>
    <w:lvl w:ilvl="0">
      <w:start w:val="1"/>
      <w:numFmt w:val="none"/>
      <w:isLgl/>
      <w:suff w:val="nothing"/>
      <w:lvlText w:val=""/>
      <w:lvlJc w:val="left"/>
      <w:pPr>
        <w:ind w:left="0" w:firstLine="0"/>
      </w:pPr>
      <w:rPr>
        <w:rFonts w:hint="default"/>
      </w:rPr>
    </w:lvl>
    <w:lvl w:ilvl="1">
      <w:start w:val="1"/>
      <w:numFmt w:val="none"/>
      <w:lvlRestart w:val="0"/>
      <w:suff w:val="nothing"/>
      <w:lvlText w:val=""/>
      <w:lvlJc w:val="left"/>
      <w:pPr>
        <w:ind w:left="0" w:firstLine="0"/>
      </w:pPr>
      <w:rPr>
        <w:rFonts w:hint="default"/>
      </w:rPr>
    </w:lvl>
    <w:lvl w:ilvl="2">
      <w:start w:val="1"/>
      <w:numFmt w:val="decimal"/>
      <w:pStyle w:val="Textpechodka"/>
      <w:isLgl/>
      <w:lvlText w:val="%3."/>
      <w:lvlJc w:val="left"/>
      <w:pPr>
        <w:tabs>
          <w:tab w:val="num" w:pos="425"/>
        </w:tabs>
        <w:ind w:left="425" w:hanging="425"/>
      </w:pPr>
      <w:rPr>
        <w:rFonts w:hint="default"/>
      </w:rPr>
    </w:lvl>
    <w:lvl w:ilvl="3">
      <w:start w:val="1"/>
      <w:numFmt w:val="lowerLetter"/>
      <w:pStyle w:val="Textpechodkapsmene"/>
      <w:lvlText w:val="%4)"/>
      <w:lvlJc w:val="left"/>
      <w:pPr>
        <w:tabs>
          <w:tab w:val="num" w:pos="851"/>
        </w:tabs>
        <w:ind w:left="851" w:hanging="426"/>
      </w:pPr>
      <w:rPr>
        <w:rFonts w:hint="default"/>
      </w:rPr>
    </w:lvl>
    <w:lvl w:ilvl="4">
      <w:start w:val="1"/>
      <w:numFmt w:val="none"/>
      <w:suff w:val="nothing"/>
      <w:lvlText w:val=""/>
      <w:lvlJc w:val="left"/>
      <w:pPr>
        <w:ind w:left="0" w:firstLine="0"/>
      </w:pPr>
      <w:rPr>
        <w:rFonts w:hint="default"/>
      </w:rPr>
    </w:lvl>
    <w:lvl w:ilvl="5">
      <w:start w:val="1"/>
      <w:numFmt w:val="none"/>
      <w:suff w:val="nothing"/>
      <w:lvlText w:val="%6"/>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33" w15:restartNumberingAfterBreak="0">
    <w:nsid w:val="2B2A1269"/>
    <w:multiLevelType w:val="multilevel"/>
    <w:tmpl w:val="69DA718C"/>
    <w:lvl w:ilvl="0">
      <w:start w:val="1"/>
      <w:numFmt w:val="none"/>
      <w:isLgl/>
      <w:suff w:val="nothing"/>
      <w:lvlText w:val=""/>
      <w:lvlJc w:val="left"/>
      <w:pPr>
        <w:ind w:left="0" w:firstLine="0"/>
      </w:pPr>
      <w:rPr>
        <w:rFonts w:hint="default"/>
      </w:rPr>
    </w:lvl>
    <w:lvl w:ilvl="1">
      <w:start w:val="1"/>
      <w:numFmt w:val="none"/>
      <w:lvlRestart w:val="0"/>
      <w:suff w:val="nothing"/>
      <w:lvlText w:val=""/>
      <w:lvlJc w:val="left"/>
      <w:pPr>
        <w:ind w:left="0" w:firstLine="0"/>
      </w:pPr>
      <w:rPr>
        <w:rFonts w:hint="default"/>
      </w:rPr>
    </w:lvl>
    <w:lvl w:ilvl="2">
      <w:start w:val="1"/>
      <w:numFmt w:val="decimal"/>
      <w:isLgl/>
      <w:lvlText w:val="(%3)"/>
      <w:lvlJc w:val="left"/>
      <w:pPr>
        <w:tabs>
          <w:tab w:val="num" w:pos="1067"/>
        </w:tabs>
        <w:ind w:left="285" w:firstLine="425"/>
      </w:pPr>
      <w:rPr>
        <w:rFonts w:hint="default"/>
        <w:strike w:val="0"/>
      </w:rPr>
    </w:lvl>
    <w:lvl w:ilvl="3">
      <w:start w:val="1"/>
      <w:numFmt w:val="lowerLetter"/>
      <w:lvlText w:val="%4)"/>
      <w:lvlJc w:val="left"/>
      <w:pPr>
        <w:tabs>
          <w:tab w:val="num" w:pos="425"/>
        </w:tabs>
        <w:ind w:left="425" w:hanging="425"/>
      </w:pPr>
      <w:rPr>
        <w:rFonts w:hint="default"/>
        <w:b w:val="0"/>
      </w:rPr>
    </w:lvl>
    <w:lvl w:ilvl="4">
      <w:start w:val="1"/>
      <w:numFmt w:val="decimal"/>
      <w:isLgl/>
      <w:lvlText w:val="%5."/>
      <w:lvlJc w:val="left"/>
      <w:pPr>
        <w:tabs>
          <w:tab w:val="num" w:pos="851"/>
        </w:tabs>
        <w:ind w:left="851" w:hanging="426"/>
      </w:pPr>
      <w:rPr>
        <w:rFonts w:hint="default"/>
      </w:rPr>
    </w:lvl>
    <w:lvl w:ilvl="5">
      <w:start w:val="1"/>
      <w:numFmt w:val="none"/>
      <w:suff w:val="nothing"/>
      <w:lvlText w:val="%6"/>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34" w15:restartNumberingAfterBreak="0">
    <w:nsid w:val="30B37BE2"/>
    <w:multiLevelType w:val="multilevel"/>
    <w:tmpl w:val="7116B3E0"/>
    <w:lvl w:ilvl="0">
      <w:start w:val="1"/>
      <w:numFmt w:val="none"/>
      <w:isLgl/>
      <w:suff w:val="nothing"/>
      <w:lvlText w:val=""/>
      <w:lvlJc w:val="left"/>
      <w:pPr>
        <w:ind w:left="0" w:firstLine="0"/>
      </w:pPr>
      <w:rPr>
        <w:rFonts w:hint="default"/>
      </w:rPr>
    </w:lvl>
    <w:lvl w:ilvl="1">
      <w:start w:val="1"/>
      <w:numFmt w:val="none"/>
      <w:lvlRestart w:val="0"/>
      <w:suff w:val="nothing"/>
      <w:lvlText w:val=""/>
      <w:lvlJc w:val="left"/>
      <w:pPr>
        <w:ind w:left="0" w:firstLine="0"/>
      </w:pPr>
      <w:rPr>
        <w:rFonts w:hint="default"/>
      </w:rPr>
    </w:lvl>
    <w:lvl w:ilvl="2">
      <w:start w:val="1"/>
      <w:numFmt w:val="decimal"/>
      <w:isLgl/>
      <w:lvlText w:val="(%3)"/>
      <w:lvlJc w:val="left"/>
      <w:pPr>
        <w:tabs>
          <w:tab w:val="num" w:pos="783"/>
        </w:tabs>
        <w:ind w:left="1" w:firstLine="425"/>
      </w:pPr>
      <w:rPr>
        <w:rFonts w:hint="default"/>
        <w:strike w:val="0"/>
      </w:rPr>
    </w:lvl>
    <w:lvl w:ilvl="3">
      <w:start w:val="1"/>
      <w:numFmt w:val="lowerLetter"/>
      <w:lvlText w:val="%4)"/>
      <w:lvlJc w:val="left"/>
      <w:pPr>
        <w:tabs>
          <w:tab w:val="num" w:pos="425"/>
        </w:tabs>
        <w:ind w:left="425" w:hanging="425"/>
      </w:pPr>
      <w:rPr>
        <w:rFonts w:hint="default"/>
        <w:b w:val="0"/>
      </w:rPr>
    </w:lvl>
    <w:lvl w:ilvl="4">
      <w:start w:val="1"/>
      <w:numFmt w:val="decimal"/>
      <w:isLgl/>
      <w:lvlText w:val="%5."/>
      <w:lvlJc w:val="left"/>
      <w:pPr>
        <w:tabs>
          <w:tab w:val="num" w:pos="851"/>
        </w:tabs>
        <w:ind w:left="851" w:hanging="426"/>
      </w:pPr>
      <w:rPr>
        <w:rFonts w:hint="default"/>
      </w:rPr>
    </w:lvl>
    <w:lvl w:ilvl="5">
      <w:start w:val="1"/>
      <w:numFmt w:val="none"/>
      <w:suff w:val="nothing"/>
      <w:lvlText w:val="%6"/>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35" w15:restartNumberingAfterBreak="0">
    <w:nsid w:val="32D2607A"/>
    <w:multiLevelType w:val="hybridMultilevel"/>
    <w:tmpl w:val="DC509A44"/>
    <w:lvl w:ilvl="0" w:tplc="4D9A8398">
      <w:start w:val="1"/>
      <w:numFmt w:val="upperLetter"/>
      <w:pStyle w:val="Nadpis2xx"/>
      <w:lvlText w:val="Hlava %1."/>
      <w:lvlJc w:val="left"/>
      <w:pPr>
        <w:ind w:left="502" w:hanging="360"/>
      </w:pPr>
      <w:rPr>
        <w:rFonts w:cs="Times New Roman"/>
        <w:b w:val="0"/>
        <w:bCs w:val="0"/>
        <w:i w:val="0"/>
        <w:iCs w:val="0"/>
        <w:caps w:val="0"/>
        <w:smallCaps w:val="0"/>
        <w:strike w:val="0"/>
        <w:dstrike w:val="0"/>
        <w:vanish w:val="0"/>
        <w:color w:val="000000"/>
        <w:spacing w:val="0"/>
        <w:kern w:val="0"/>
        <w:position w:val="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tplc="04050019">
      <w:start w:val="1"/>
      <w:numFmt w:val="lowerLetter"/>
      <w:lvlText w:val="%2."/>
      <w:lvlJc w:val="left"/>
      <w:pPr>
        <w:ind w:left="2216" w:hanging="360"/>
      </w:pPr>
      <w:rPr>
        <w:rFonts w:cs="Times New Roman"/>
      </w:rPr>
    </w:lvl>
    <w:lvl w:ilvl="2" w:tplc="0405001B" w:tentative="1">
      <w:start w:val="1"/>
      <w:numFmt w:val="lowerRoman"/>
      <w:lvlText w:val="%3."/>
      <w:lvlJc w:val="right"/>
      <w:pPr>
        <w:ind w:left="2936" w:hanging="180"/>
      </w:pPr>
      <w:rPr>
        <w:rFonts w:cs="Times New Roman"/>
      </w:rPr>
    </w:lvl>
    <w:lvl w:ilvl="3" w:tplc="0405000F" w:tentative="1">
      <w:start w:val="1"/>
      <w:numFmt w:val="decimal"/>
      <w:lvlText w:val="%4."/>
      <w:lvlJc w:val="left"/>
      <w:pPr>
        <w:ind w:left="3656" w:hanging="360"/>
      </w:pPr>
      <w:rPr>
        <w:rFonts w:cs="Times New Roman"/>
      </w:rPr>
    </w:lvl>
    <w:lvl w:ilvl="4" w:tplc="04050019" w:tentative="1">
      <w:start w:val="1"/>
      <w:numFmt w:val="lowerLetter"/>
      <w:lvlText w:val="%5."/>
      <w:lvlJc w:val="left"/>
      <w:pPr>
        <w:ind w:left="4376" w:hanging="360"/>
      </w:pPr>
      <w:rPr>
        <w:rFonts w:cs="Times New Roman"/>
      </w:rPr>
    </w:lvl>
    <w:lvl w:ilvl="5" w:tplc="0405001B" w:tentative="1">
      <w:start w:val="1"/>
      <w:numFmt w:val="lowerRoman"/>
      <w:lvlText w:val="%6."/>
      <w:lvlJc w:val="right"/>
      <w:pPr>
        <w:ind w:left="5096" w:hanging="180"/>
      </w:pPr>
      <w:rPr>
        <w:rFonts w:cs="Times New Roman"/>
      </w:rPr>
    </w:lvl>
    <w:lvl w:ilvl="6" w:tplc="0405000F" w:tentative="1">
      <w:start w:val="1"/>
      <w:numFmt w:val="decimal"/>
      <w:lvlText w:val="%7."/>
      <w:lvlJc w:val="left"/>
      <w:pPr>
        <w:ind w:left="5816" w:hanging="360"/>
      </w:pPr>
      <w:rPr>
        <w:rFonts w:cs="Times New Roman"/>
      </w:rPr>
    </w:lvl>
    <w:lvl w:ilvl="7" w:tplc="04050019" w:tentative="1">
      <w:start w:val="1"/>
      <w:numFmt w:val="lowerLetter"/>
      <w:lvlText w:val="%8."/>
      <w:lvlJc w:val="left"/>
      <w:pPr>
        <w:ind w:left="6536" w:hanging="360"/>
      </w:pPr>
      <w:rPr>
        <w:rFonts w:cs="Times New Roman"/>
      </w:rPr>
    </w:lvl>
    <w:lvl w:ilvl="8" w:tplc="0405001B" w:tentative="1">
      <w:start w:val="1"/>
      <w:numFmt w:val="lowerRoman"/>
      <w:lvlText w:val="%9."/>
      <w:lvlJc w:val="right"/>
      <w:pPr>
        <w:ind w:left="7256" w:hanging="180"/>
      </w:pPr>
      <w:rPr>
        <w:rFonts w:cs="Times New Roman"/>
      </w:rPr>
    </w:lvl>
  </w:abstractNum>
  <w:abstractNum w:abstractNumId="36" w15:restartNumberingAfterBreak="0">
    <w:nsid w:val="3491601D"/>
    <w:multiLevelType w:val="multilevel"/>
    <w:tmpl w:val="69DA718C"/>
    <w:lvl w:ilvl="0">
      <w:start w:val="1"/>
      <w:numFmt w:val="none"/>
      <w:isLgl/>
      <w:suff w:val="nothing"/>
      <w:lvlText w:val=""/>
      <w:lvlJc w:val="left"/>
      <w:pPr>
        <w:ind w:left="0" w:firstLine="0"/>
      </w:pPr>
      <w:rPr>
        <w:rFonts w:hint="default"/>
      </w:rPr>
    </w:lvl>
    <w:lvl w:ilvl="1">
      <w:start w:val="1"/>
      <w:numFmt w:val="none"/>
      <w:lvlRestart w:val="0"/>
      <w:suff w:val="nothing"/>
      <w:lvlText w:val=""/>
      <w:lvlJc w:val="left"/>
      <w:pPr>
        <w:ind w:left="0" w:firstLine="0"/>
      </w:pPr>
      <w:rPr>
        <w:rFonts w:hint="default"/>
      </w:rPr>
    </w:lvl>
    <w:lvl w:ilvl="2">
      <w:start w:val="1"/>
      <w:numFmt w:val="decimal"/>
      <w:isLgl/>
      <w:lvlText w:val="(%3)"/>
      <w:lvlJc w:val="left"/>
      <w:pPr>
        <w:tabs>
          <w:tab w:val="num" w:pos="1067"/>
        </w:tabs>
        <w:ind w:left="285" w:firstLine="425"/>
      </w:pPr>
      <w:rPr>
        <w:rFonts w:hint="default"/>
        <w:strike w:val="0"/>
      </w:rPr>
    </w:lvl>
    <w:lvl w:ilvl="3">
      <w:start w:val="1"/>
      <w:numFmt w:val="lowerLetter"/>
      <w:lvlText w:val="%4)"/>
      <w:lvlJc w:val="left"/>
      <w:pPr>
        <w:tabs>
          <w:tab w:val="num" w:pos="425"/>
        </w:tabs>
        <w:ind w:left="425" w:hanging="425"/>
      </w:pPr>
      <w:rPr>
        <w:rFonts w:hint="default"/>
        <w:b w:val="0"/>
      </w:rPr>
    </w:lvl>
    <w:lvl w:ilvl="4">
      <w:start w:val="1"/>
      <w:numFmt w:val="decimal"/>
      <w:isLgl/>
      <w:lvlText w:val="%5."/>
      <w:lvlJc w:val="left"/>
      <w:pPr>
        <w:tabs>
          <w:tab w:val="num" w:pos="851"/>
        </w:tabs>
        <w:ind w:left="851" w:hanging="426"/>
      </w:pPr>
      <w:rPr>
        <w:rFonts w:hint="default"/>
      </w:rPr>
    </w:lvl>
    <w:lvl w:ilvl="5">
      <w:start w:val="1"/>
      <w:numFmt w:val="none"/>
      <w:suff w:val="nothing"/>
      <w:lvlText w:val="%6"/>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37" w15:restartNumberingAfterBreak="0">
    <w:nsid w:val="34C654E7"/>
    <w:multiLevelType w:val="multilevel"/>
    <w:tmpl w:val="C7E09730"/>
    <w:lvl w:ilvl="0">
      <w:start w:val="403"/>
      <w:numFmt w:val="none"/>
      <w:isLgl/>
      <w:suff w:val="nothing"/>
      <w:lvlText w:val=""/>
      <w:lvlJc w:val="left"/>
      <w:pPr>
        <w:ind w:left="0" w:firstLine="0"/>
      </w:pPr>
      <w:rPr>
        <w:rFonts w:hint="default"/>
      </w:rPr>
    </w:lvl>
    <w:lvl w:ilvl="1">
      <w:start w:val="1"/>
      <w:numFmt w:val="none"/>
      <w:lvlRestart w:val="0"/>
      <w:suff w:val="nothing"/>
      <w:lvlText w:val=""/>
      <w:lvlJc w:val="left"/>
      <w:pPr>
        <w:ind w:left="0" w:firstLine="0"/>
      </w:pPr>
      <w:rPr>
        <w:rFonts w:hint="default"/>
      </w:rPr>
    </w:lvl>
    <w:lvl w:ilvl="2">
      <w:start w:val="1"/>
      <w:numFmt w:val="decimal"/>
      <w:isLgl/>
      <w:lvlText w:val="(%3)"/>
      <w:lvlJc w:val="left"/>
      <w:pPr>
        <w:tabs>
          <w:tab w:val="num" w:pos="783"/>
        </w:tabs>
        <w:ind w:left="1" w:firstLine="425"/>
      </w:pPr>
      <w:rPr>
        <w:rFonts w:hint="default"/>
        <w:strike w:val="0"/>
      </w:rPr>
    </w:lvl>
    <w:lvl w:ilvl="3">
      <w:start w:val="1"/>
      <w:numFmt w:val="lowerLetter"/>
      <w:lvlText w:val="%4)"/>
      <w:lvlJc w:val="left"/>
      <w:pPr>
        <w:tabs>
          <w:tab w:val="num" w:pos="425"/>
        </w:tabs>
        <w:ind w:left="425" w:hanging="425"/>
      </w:pPr>
      <w:rPr>
        <w:rFonts w:hint="default"/>
        <w:b w:val="0"/>
      </w:rPr>
    </w:lvl>
    <w:lvl w:ilvl="4">
      <w:start w:val="1"/>
      <w:numFmt w:val="decimal"/>
      <w:isLgl/>
      <w:lvlText w:val="%5."/>
      <w:lvlJc w:val="left"/>
      <w:pPr>
        <w:tabs>
          <w:tab w:val="num" w:pos="851"/>
        </w:tabs>
        <w:ind w:left="851" w:hanging="426"/>
      </w:pPr>
      <w:rPr>
        <w:rFonts w:hint="default"/>
      </w:rPr>
    </w:lvl>
    <w:lvl w:ilvl="5">
      <w:start w:val="1"/>
      <w:numFmt w:val="none"/>
      <w:suff w:val="nothing"/>
      <w:lvlText w:val="%6"/>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38" w15:restartNumberingAfterBreak="0">
    <w:nsid w:val="34F01A49"/>
    <w:multiLevelType w:val="multilevel"/>
    <w:tmpl w:val="216A63A2"/>
    <w:lvl w:ilvl="0">
      <w:start w:val="1"/>
      <w:numFmt w:val="none"/>
      <w:isLgl/>
      <w:suff w:val="nothing"/>
      <w:lvlText w:val=""/>
      <w:lvlJc w:val="left"/>
      <w:pPr>
        <w:ind w:left="0" w:firstLine="0"/>
      </w:pPr>
      <w:rPr>
        <w:rFonts w:hint="default"/>
      </w:rPr>
    </w:lvl>
    <w:lvl w:ilvl="1">
      <w:start w:val="1"/>
      <w:numFmt w:val="none"/>
      <w:lvlRestart w:val="0"/>
      <w:suff w:val="nothing"/>
      <w:lvlText w:val=""/>
      <w:lvlJc w:val="left"/>
      <w:pPr>
        <w:ind w:left="0" w:firstLine="0"/>
      </w:pPr>
      <w:rPr>
        <w:rFonts w:hint="default"/>
      </w:rPr>
    </w:lvl>
    <w:lvl w:ilvl="2">
      <w:start w:val="1"/>
      <w:numFmt w:val="decimal"/>
      <w:isLgl/>
      <w:lvlText w:val="(%3)"/>
      <w:lvlJc w:val="left"/>
      <w:pPr>
        <w:tabs>
          <w:tab w:val="num" w:pos="783"/>
        </w:tabs>
        <w:ind w:left="1" w:firstLine="425"/>
      </w:pPr>
      <w:rPr>
        <w:rFonts w:hint="default"/>
        <w:strike w:val="0"/>
      </w:rPr>
    </w:lvl>
    <w:lvl w:ilvl="3">
      <w:start w:val="1"/>
      <w:numFmt w:val="lowerLetter"/>
      <w:lvlText w:val="%4)"/>
      <w:lvlJc w:val="left"/>
      <w:pPr>
        <w:tabs>
          <w:tab w:val="num" w:pos="425"/>
        </w:tabs>
        <w:ind w:left="425" w:hanging="425"/>
      </w:pPr>
      <w:rPr>
        <w:rFonts w:hint="default"/>
        <w:b/>
      </w:rPr>
    </w:lvl>
    <w:lvl w:ilvl="4">
      <w:start w:val="1"/>
      <w:numFmt w:val="decimal"/>
      <w:isLgl/>
      <w:lvlText w:val="%5."/>
      <w:lvlJc w:val="left"/>
      <w:pPr>
        <w:tabs>
          <w:tab w:val="num" w:pos="851"/>
        </w:tabs>
        <w:ind w:left="851" w:hanging="426"/>
      </w:pPr>
      <w:rPr>
        <w:rFonts w:hint="default"/>
      </w:rPr>
    </w:lvl>
    <w:lvl w:ilvl="5">
      <w:start w:val="1"/>
      <w:numFmt w:val="none"/>
      <w:suff w:val="nothing"/>
      <w:lvlText w:val="%6"/>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39" w15:restartNumberingAfterBreak="0">
    <w:nsid w:val="358F7D0B"/>
    <w:multiLevelType w:val="singleLevel"/>
    <w:tmpl w:val="15A0EFFC"/>
    <w:lvl w:ilvl="0">
      <w:start w:val="1"/>
      <w:numFmt w:val="decimal"/>
      <w:pStyle w:val="Novelizanbodvpozmn"/>
      <w:lvlText w:val="%1."/>
      <w:lvlJc w:val="left"/>
      <w:pPr>
        <w:tabs>
          <w:tab w:val="num" w:pos="851"/>
        </w:tabs>
        <w:ind w:left="851" w:hanging="851"/>
      </w:pPr>
    </w:lvl>
  </w:abstractNum>
  <w:abstractNum w:abstractNumId="40" w15:restartNumberingAfterBreak="0">
    <w:nsid w:val="38B940B3"/>
    <w:multiLevelType w:val="multilevel"/>
    <w:tmpl w:val="C146339C"/>
    <w:lvl w:ilvl="0">
      <w:start w:val="2"/>
      <w:numFmt w:val="none"/>
      <w:isLgl/>
      <w:suff w:val="nothing"/>
      <w:lvlText w:val=""/>
      <w:lvlJc w:val="left"/>
      <w:pPr>
        <w:ind w:left="0" w:firstLine="0"/>
      </w:pPr>
      <w:rPr>
        <w:rFonts w:hint="default"/>
      </w:rPr>
    </w:lvl>
    <w:lvl w:ilvl="1">
      <w:start w:val="1"/>
      <w:numFmt w:val="none"/>
      <w:lvlRestart w:val="0"/>
      <w:suff w:val="nothing"/>
      <w:lvlText w:val=""/>
      <w:lvlJc w:val="left"/>
      <w:pPr>
        <w:ind w:left="0" w:firstLine="0"/>
      </w:pPr>
      <w:rPr>
        <w:rFonts w:hint="default"/>
      </w:rPr>
    </w:lvl>
    <w:lvl w:ilvl="2">
      <w:start w:val="2"/>
      <w:numFmt w:val="decimal"/>
      <w:isLgl/>
      <w:lvlText w:val="(%3)"/>
      <w:lvlJc w:val="left"/>
      <w:pPr>
        <w:tabs>
          <w:tab w:val="num" w:pos="782"/>
        </w:tabs>
        <w:ind w:left="0" w:firstLine="425"/>
      </w:pPr>
      <w:rPr>
        <w:rFonts w:hint="default"/>
      </w:rPr>
    </w:lvl>
    <w:lvl w:ilvl="3">
      <w:start w:val="1"/>
      <w:numFmt w:val="lowerLetter"/>
      <w:lvlText w:val="%4)"/>
      <w:lvlJc w:val="left"/>
      <w:pPr>
        <w:tabs>
          <w:tab w:val="num" w:pos="425"/>
        </w:tabs>
        <w:ind w:left="425" w:hanging="425"/>
      </w:pPr>
      <w:rPr>
        <w:rFonts w:hint="default"/>
      </w:rPr>
    </w:lvl>
    <w:lvl w:ilvl="4">
      <w:start w:val="1"/>
      <w:numFmt w:val="decimal"/>
      <w:isLgl/>
      <w:lvlText w:val="%5."/>
      <w:lvlJc w:val="left"/>
      <w:pPr>
        <w:tabs>
          <w:tab w:val="num" w:pos="851"/>
        </w:tabs>
        <w:ind w:left="851" w:hanging="426"/>
      </w:pPr>
      <w:rPr>
        <w:rFonts w:hint="default"/>
      </w:rPr>
    </w:lvl>
    <w:lvl w:ilvl="5">
      <w:start w:val="1"/>
      <w:numFmt w:val="none"/>
      <w:suff w:val="nothing"/>
      <w:lvlText w:val="%6"/>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41" w15:restartNumberingAfterBreak="0">
    <w:nsid w:val="3F207B55"/>
    <w:multiLevelType w:val="hybridMultilevel"/>
    <w:tmpl w:val="CF52265C"/>
    <w:lvl w:ilvl="0" w:tplc="D432FB6A">
      <w:start w:val="1"/>
      <w:numFmt w:val="bullet"/>
      <w:pStyle w:val="neslovanseznam3"/>
      <w:lvlText w:val=""/>
      <w:lvlJc w:val="left"/>
      <w:pPr>
        <w:tabs>
          <w:tab w:val="num" w:pos="1074"/>
        </w:tabs>
        <w:ind w:left="1074" w:hanging="360"/>
      </w:pPr>
      <w:rPr>
        <w:rFonts w:ascii="Symbol" w:hAnsi="Symbol" w:hint="default"/>
        <w:color w:val="auto"/>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42" w15:restartNumberingAfterBreak="0">
    <w:nsid w:val="444C6C4F"/>
    <w:multiLevelType w:val="hybridMultilevel"/>
    <w:tmpl w:val="C2361FAE"/>
    <w:lvl w:ilvl="0" w:tplc="8CFE4CA4">
      <w:start w:val="1"/>
      <w:numFmt w:val="bullet"/>
      <w:pStyle w:val="neslovanseznam4"/>
      <w:lvlText w:val="◊"/>
      <w:lvlJc w:val="left"/>
      <w:pPr>
        <w:tabs>
          <w:tab w:val="num" w:pos="1432"/>
        </w:tabs>
        <w:ind w:left="1432" w:hanging="360"/>
      </w:pPr>
      <w:rPr>
        <w:rFonts w:ascii="Courier New" w:hAnsi="Courier New" w:hint="default"/>
      </w:rPr>
    </w:lvl>
    <w:lvl w:ilvl="1" w:tplc="04050019" w:tentative="1">
      <w:start w:val="1"/>
      <w:numFmt w:val="lowerLetter"/>
      <w:lvlText w:val="%2."/>
      <w:lvlJc w:val="left"/>
      <w:pPr>
        <w:tabs>
          <w:tab w:val="num" w:pos="2869"/>
        </w:tabs>
        <w:ind w:left="2869" w:hanging="360"/>
      </w:pPr>
    </w:lvl>
    <w:lvl w:ilvl="2" w:tplc="0405001B" w:tentative="1">
      <w:start w:val="1"/>
      <w:numFmt w:val="lowerRoman"/>
      <w:lvlText w:val="%3."/>
      <w:lvlJc w:val="right"/>
      <w:pPr>
        <w:tabs>
          <w:tab w:val="num" w:pos="3589"/>
        </w:tabs>
        <w:ind w:left="3589" w:hanging="180"/>
      </w:pPr>
    </w:lvl>
    <w:lvl w:ilvl="3" w:tplc="0405000F" w:tentative="1">
      <w:start w:val="1"/>
      <w:numFmt w:val="decimal"/>
      <w:lvlText w:val="%4."/>
      <w:lvlJc w:val="left"/>
      <w:pPr>
        <w:tabs>
          <w:tab w:val="num" w:pos="4309"/>
        </w:tabs>
        <w:ind w:left="4309" w:hanging="360"/>
      </w:pPr>
    </w:lvl>
    <w:lvl w:ilvl="4" w:tplc="04050019" w:tentative="1">
      <w:start w:val="1"/>
      <w:numFmt w:val="lowerLetter"/>
      <w:lvlText w:val="%5."/>
      <w:lvlJc w:val="left"/>
      <w:pPr>
        <w:tabs>
          <w:tab w:val="num" w:pos="5029"/>
        </w:tabs>
        <w:ind w:left="5029" w:hanging="360"/>
      </w:pPr>
    </w:lvl>
    <w:lvl w:ilvl="5" w:tplc="0405001B" w:tentative="1">
      <w:start w:val="1"/>
      <w:numFmt w:val="lowerRoman"/>
      <w:lvlText w:val="%6."/>
      <w:lvlJc w:val="right"/>
      <w:pPr>
        <w:tabs>
          <w:tab w:val="num" w:pos="5749"/>
        </w:tabs>
        <w:ind w:left="5749" w:hanging="180"/>
      </w:pPr>
    </w:lvl>
    <w:lvl w:ilvl="6" w:tplc="0405000F" w:tentative="1">
      <w:start w:val="1"/>
      <w:numFmt w:val="decimal"/>
      <w:lvlText w:val="%7."/>
      <w:lvlJc w:val="left"/>
      <w:pPr>
        <w:tabs>
          <w:tab w:val="num" w:pos="6469"/>
        </w:tabs>
        <w:ind w:left="6469" w:hanging="360"/>
      </w:pPr>
    </w:lvl>
    <w:lvl w:ilvl="7" w:tplc="04050019" w:tentative="1">
      <w:start w:val="1"/>
      <w:numFmt w:val="lowerLetter"/>
      <w:lvlText w:val="%8."/>
      <w:lvlJc w:val="left"/>
      <w:pPr>
        <w:tabs>
          <w:tab w:val="num" w:pos="7189"/>
        </w:tabs>
        <w:ind w:left="7189" w:hanging="360"/>
      </w:pPr>
    </w:lvl>
    <w:lvl w:ilvl="8" w:tplc="0405001B" w:tentative="1">
      <w:start w:val="1"/>
      <w:numFmt w:val="lowerRoman"/>
      <w:lvlText w:val="%9."/>
      <w:lvlJc w:val="right"/>
      <w:pPr>
        <w:tabs>
          <w:tab w:val="num" w:pos="7909"/>
        </w:tabs>
        <w:ind w:left="7909" w:hanging="180"/>
      </w:pPr>
    </w:lvl>
  </w:abstractNum>
  <w:abstractNum w:abstractNumId="43" w15:restartNumberingAfterBreak="0">
    <w:nsid w:val="45481BC6"/>
    <w:multiLevelType w:val="multilevel"/>
    <w:tmpl w:val="4CAA8072"/>
    <w:lvl w:ilvl="0">
      <w:start w:val="1"/>
      <w:numFmt w:val="none"/>
      <w:isLgl/>
      <w:suff w:val="nothing"/>
      <w:lvlText w:val=""/>
      <w:lvlJc w:val="left"/>
      <w:pPr>
        <w:ind w:left="0" w:firstLine="0"/>
      </w:pPr>
      <w:rPr>
        <w:rFonts w:hint="default"/>
      </w:rPr>
    </w:lvl>
    <w:lvl w:ilvl="1">
      <w:start w:val="1"/>
      <w:numFmt w:val="none"/>
      <w:lvlRestart w:val="0"/>
      <w:suff w:val="nothing"/>
      <w:lvlText w:val=""/>
      <w:lvlJc w:val="left"/>
      <w:pPr>
        <w:ind w:left="0" w:firstLine="0"/>
      </w:pPr>
      <w:rPr>
        <w:rFonts w:hint="default"/>
      </w:rPr>
    </w:lvl>
    <w:lvl w:ilvl="2">
      <w:start w:val="1"/>
      <w:numFmt w:val="decimal"/>
      <w:isLgl/>
      <w:lvlText w:val="(%3)"/>
      <w:lvlJc w:val="left"/>
      <w:pPr>
        <w:tabs>
          <w:tab w:val="num" w:pos="1208"/>
        </w:tabs>
        <w:ind w:left="426" w:firstLine="425"/>
      </w:pPr>
      <w:rPr>
        <w:rFonts w:ascii="Times New Roman" w:eastAsia="Times New Roman" w:hAnsi="Times New Roman" w:cs="Times New Roman" w:hint="default"/>
        <w:b w:val="0"/>
        <w:strike w:val="0"/>
        <w:color w:val="auto"/>
      </w:rPr>
    </w:lvl>
    <w:lvl w:ilvl="3">
      <w:start w:val="1"/>
      <w:numFmt w:val="lowerLetter"/>
      <w:lvlText w:val="%4)"/>
      <w:lvlJc w:val="left"/>
      <w:pPr>
        <w:tabs>
          <w:tab w:val="num" w:pos="425"/>
        </w:tabs>
        <w:ind w:left="425" w:hanging="425"/>
      </w:pPr>
      <w:rPr>
        <w:rFonts w:hint="default"/>
        <w:strike/>
      </w:rPr>
    </w:lvl>
    <w:lvl w:ilvl="4">
      <w:start w:val="1"/>
      <w:numFmt w:val="decimal"/>
      <w:isLgl/>
      <w:lvlText w:val="%5."/>
      <w:lvlJc w:val="left"/>
      <w:pPr>
        <w:tabs>
          <w:tab w:val="num" w:pos="851"/>
        </w:tabs>
        <w:ind w:left="851" w:hanging="426"/>
      </w:pPr>
      <w:rPr>
        <w:rFonts w:hint="default"/>
      </w:rPr>
    </w:lvl>
    <w:lvl w:ilvl="5">
      <w:start w:val="1"/>
      <w:numFmt w:val="none"/>
      <w:suff w:val="nothing"/>
      <w:lvlText w:val="%6"/>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44" w15:restartNumberingAfterBreak="0">
    <w:nsid w:val="459811CB"/>
    <w:multiLevelType w:val="hybridMultilevel"/>
    <w:tmpl w:val="8B7C9718"/>
    <w:lvl w:ilvl="0" w:tplc="D6147BFA">
      <w:start w:val="1"/>
      <w:numFmt w:val="lowerRoman"/>
      <w:pStyle w:val="slovanseznam30"/>
      <w:lvlText w:val="%1."/>
      <w:lvlJc w:val="left"/>
      <w:pPr>
        <w:tabs>
          <w:tab w:val="num" w:pos="1072"/>
        </w:tabs>
        <w:ind w:left="1074" w:hanging="360"/>
      </w:pPr>
      <w:rPr>
        <w:rFonts w:hint="default"/>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45" w15:restartNumberingAfterBreak="0">
    <w:nsid w:val="4B891283"/>
    <w:multiLevelType w:val="multilevel"/>
    <w:tmpl w:val="F9D0666C"/>
    <w:lvl w:ilvl="0">
      <w:start w:val="16"/>
      <w:numFmt w:val="none"/>
      <w:isLgl/>
      <w:suff w:val="nothing"/>
      <w:lvlText w:val=""/>
      <w:lvlJc w:val="left"/>
      <w:pPr>
        <w:ind w:left="0" w:firstLine="0"/>
      </w:pPr>
      <w:rPr>
        <w:rFonts w:hint="default"/>
      </w:rPr>
    </w:lvl>
    <w:lvl w:ilvl="1">
      <w:start w:val="1"/>
      <w:numFmt w:val="none"/>
      <w:lvlRestart w:val="0"/>
      <w:suff w:val="nothing"/>
      <w:lvlText w:val=""/>
      <w:lvlJc w:val="left"/>
      <w:pPr>
        <w:ind w:left="0" w:firstLine="0"/>
      </w:pPr>
      <w:rPr>
        <w:rFonts w:hint="default"/>
      </w:rPr>
    </w:lvl>
    <w:lvl w:ilvl="2">
      <w:start w:val="1"/>
      <w:numFmt w:val="decimal"/>
      <w:isLgl/>
      <w:lvlText w:val="(%3)"/>
      <w:lvlJc w:val="left"/>
      <w:pPr>
        <w:tabs>
          <w:tab w:val="num" w:pos="783"/>
        </w:tabs>
        <w:ind w:left="1" w:firstLine="425"/>
      </w:pPr>
      <w:rPr>
        <w:rFonts w:hint="default"/>
      </w:rPr>
    </w:lvl>
    <w:lvl w:ilvl="3">
      <w:start w:val="1"/>
      <w:numFmt w:val="lowerLetter"/>
      <w:lvlText w:val="%4)"/>
      <w:lvlJc w:val="left"/>
      <w:pPr>
        <w:tabs>
          <w:tab w:val="num" w:pos="425"/>
        </w:tabs>
        <w:ind w:left="425" w:hanging="425"/>
      </w:pPr>
      <w:rPr>
        <w:rFonts w:ascii="Times New Roman" w:eastAsia="Times New Roman" w:hAnsi="Times New Roman" w:cs="Times New Roman" w:hint="default"/>
      </w:rPr>
    </w:lvl>
    <w:lvl w:ilvl="4">
      <w:start w:val="1"/>
      <w:numFmt w:val="decimal"/>
      <w:isLgl/>
      <w:lvlText w:val="%5."/>
      <w:lvlJc w:val="left"/>
      <w:pPr>
        <w:tabs>
          <w:tab w:val="num" w:pos="851"/>
        </w:tabs>
        <w:ind w:left="851" w:hanging="426"/>
      </w:pPr>
      <w:rPr>
        <w:rFonts w:hint="default"/>
      </w:rPr>
    </w:lvl>
    <w:lvl w:ilvl="5">
      <w:start w:val="1"/>
      <w:numFmt w:val="none"/>
      <w:suff w:val="nothing"/>
      <w:lvlText w:val="%6"/>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46" w15:restartNumberingAfterBreak="0">
    <w:nsid w:val="4BEC61D3"/>
    <w:multiLevelType w:val="multilevel"/>
    <w:tmpl w:val="A53A1E48"/>
    <w:lvl w:ilvl="0">
      <w:start w:val="1"/>
      <w:numFmt w:val="none"/>
      <w:isLgl/>
      <w:suff w:val="nothing"/>
      <w:lvlText w:val=""/>
      <w:lvlJc w:val="left"/>
      <w:pPr>
        <w:ind w:left="0" w:firstLine="0"/>
      </w:pPr>
      <w:rPr>
        <w:rFonts w:hint="default"/>
      </w:rPr>
    </w:lvl>
    <w:lvl w:ilvl="1">
      <w:start w:val="1"/>
      <w:numFmt w:val="none"/>
      <w:lvlRestart w:val="0"/>
      <w:suff w:val="nothing"/>
      <w:lvlText w:val=""/>
      <w:lvlJc w:val="left"/>
      <w:pPr>
        <w:ind w:left="0" w:firstLine="0"/>
      </w:pPr>
      <w:rPr>
        <w:rFonts w:hint="default"/>
      </w:rPr>
    </w:lvl>
    <w:lvl w:ilvl="2">
      <w:start w:val="1"/>
      <w:numFmt w:val="decimal"/>
      <w:isLgl/>
      <w:lvlText w:val="(%3)"/>
      <w:lvlJc w:val="left"/>
      <w:pPr>
        <w:tabs>
          <w:tab w:val="num" w:pos="783"/>
        </w:tabs>
        <w:ind w:left="1" w:firstLine="425"/>
      </w:pPr>
      <w:rPr>
        <w:rFonts w:hint="default"/>
        <w:strike w:val="0"/>
      </w:rPr>
    </w:lvl>
    <w:lvl w:ilvl="3">
      <w:start w:val="1"/>
      <w:numFmt w:val="lowerLetter"/>
      <w:lvlText w:val="%4)"/>
      <w:lvlJc w:val="left"/>
      <w:pPr>
        <w:tabs>
          <w:tab w:val="num" w:pos="425"/>
        </w:tabs>
        <w:ind w:left="425" w:hanging="425"/>
      </w:pPr>
      <w:rPr>
        <w:rFonts w:hint="default"/>
        <w:b w:val="0"/>
        <w:vertAlign w:val="baseline"/>
      </w:rPr>
    </w:lvl>
    <w:lvl w:ilvl="4">
      <w:start w:val="1"/>
      <w:numFmt w:val="decimal"/>
      <w:isLgl/>
      <w:lvlText w:val="%5."/>
      <w:lvlJc w:val="left"/>
      <w:pPr>
        <w:tabs>
          <w:tab w:val="num" w:pos="851"/>
        </w:tabs>
        <w:ind w:left="851" w:hanging="426"/>
      </w:pPr>
      <w:rPr>
        <w:rFonts w:hint="default"/>
      </w:rPr>
    </w:lvl>
    <w:lvl w:ilvl="5">
      <w:start w:val="1"/>
      <w:numFmt w:val="none"/>
      <w:suff w:val="nothing"/>
      <w:lvlText w:val="%6"/>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47" w15:restartNumberingAfterBreak="0">
    <w:nsid w:val="510E5B7C"/>
    <w:multiLevelType w:val="multilevel"/>
    <w:tmpl w:val="69DA718C"/>
    <w:lvl w:ilvl="0">
      <w:start w:val="1"/>
      <w:numFmt w:val="none"/>
      <w:isLgl/>
      <w:suff w:val="nothing"/>
      <w:lvlText w:val=""/>
      <w:lvlJc w:val="left"/>
      <w:pPr>
        <w:ind w:left="0" w:firstLine="0"/>
      </w:pPr>
      <w:rPr>
        <w:rFonts w:hint="default"/>
      </w:rPr>
    </w:lvl>
    <w:lvl w:ilvl="1">
      <w:start w:val="1"/>
      <w:numFmt w:val="none"/>
      <w:lvlRestart w:val="0"/>
      <w:suff w:val="nothing"/>
      <w:lvlText w:val=""/>
      <w:lvlJc w:val="left"/>
      <w:pPr>
        <w:ind w:left="0" w:firstLine="0"/>
      </w:pPr>
      <w:rPr>
        <w:rFonts w:hint="default"/>
      </w:rPr>
    </w:lvl>
    <w:lvl w:ilvl="2">
      <w:start w:val="1"/>
      <w:numFmt w:val="decimal"/>
      <w:isLgl/>
      <w:lvlText w:val="(%3)"/>
      <w:lvlJc w:val="left"/>
      <w:pPr>
        <w:tabs>
          <w:tab w:val="num" w:pos="1067"/>
        </w:tabs>
        <w:ind w:left="285" w:firstLine="425"/>
      </w:pPr>
      <w:rPr>
        <w:rFonts w:hint="default"/>
        <w:strike w:val="0"/>
      </w:rPr>
    </w:lvl>
    <w:lvl w:ilvl="3">
      <w:start w:val="1"/>
      <w:numFmt w:val="lowerLetter"/>
      <w:lvlText w:val="%4)"/>
      <w:lvlJc w:val="left"/>
      <w:pPr>
        <w:tabs>
          <w:tab w:val="num" w:pos="425"/>
        </w:tabs>
        <w:ind w:left="425" w:hanging="425"/>
      </w:pPr>
      <w:rPr>
        <w:rFonts w:hint="default"/>
        <w:b w:val="0"/>
      </w:rPr>
    </w:lvl>
    <w:lvl w:ilvl="4">
      <w:start w:val="1"/>
      <w:numFmt w:val="decimal"/>
      <w:isLgl/>
      <w:lvlText w:val="%5."/>
      <w:lvlJc w:val="left"/>
      <w:pPr>
        <w:tabs>
          <w:tab w:val="num" w:pos="851"/>
        </w:tabs>
        <w:ind w:left="851" w:hanging="426"/>
      </w:pPr>
      <w:rPr>
        <w:rFonts w:hint="default"/>
      </w:rPr>
    </w:lvl>
    <w:lvl w:ilvl="5">
      <w:start w:val="1"/>
      <w:numFmt w:val="none"/>
      <w:suff w:val="nothing"/>
      <w:lvlText w:val="%6"/>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48" w15:restartNumberingAfterBreak="0">
    <w:nsid w:val="51642B96"/>
    <w:multiLevelType w:val="multilevel"/>
    <w:tmpl w:val="2C6A396A"/>
    <w:lvl w:ilvl="0">
      <w:start w:val="1"/>
      <w:numFmt w:val="none"/>
      <w:isLgl/>
      <w:suff w:val="nothing"/>
      <w:lvlText w:val=""/>
      <w:lvlJc w:val="left"/>
      <w:pPr>
        <w:ind w:left="0" w:firstLine="0"/>
      </w:pPr>
      <w:rPr>
        <w:rFonts w:hint="default"/>
      </w:rPr>
    </w:lvl>
    <w:lvl w:ilvl="1">
      <w:start w:val="1"/>
      <w:numFmt w:val="none"/>
      <w:lvlRestart w:val="0"/>
      <w:suff w:val="nothing"/>
      <w:lvlText w:val=""/>
      <w:lvlJc w:val="left"/>
      <w:pPr>
        <w:ind w:left="0" w:firstLine="0"/>
      </w:pPr>
      <w:rPr>
        <w:rFonts w:hint="default"/>
      </w:rPr>
    </w:lvl>
    <w:lvl w:ilvl="2">
      <w:start w:val="1"/>
      <w:numFmt w:val="decimal"/>
      <w:isLgl/>
      <w:lvlText w:val="(%3)"/>
      <w:lvlJc w:val="left"/>
      <w:pPr>
        <w:tabs>
          <w:tab w:val="num" w:pos="1067"/>
        </w:tabs>
        <w:ind w:left="285" w:firstLine="425"/>
      </w:pPr>
      <w:rPr>
        <w:rFonts w:hint="default"/>
        <w:strike w:val="0"/>
      </w:rPr>
    </w:lvl>
    <w:lvl w:ilvl="3">
      <w:start w:val="1"/>
      <w:numFmt w:val="lowerLetter"/>
      <w:lvlText w:val="%4)"/>
      <w:lvlJc w:val="left"/>
      <w:pPr>
        <w:tabs>
          <w:tab w:val="num" w:pos="425"/>
        </w:tabs>
        <w:ind w:left="425" w:hanging="425"/>
      </w:pPr>
      <w:rPr>
        <w:rFonts w:ascii="Times New Roman" w:eastAsia="Times New Roman" w:hAnsi="Times New Roman" w:cs="Times New Roman"/>
        <w:b w:val="0"/>
      </w:rPr>
    </w:lvl>
    <w:lvl w:ilvl="4">
      <w:start w:val="1"/>
      <w:numFmt w:val="decimal"/>
      <w:isLgl/>
      <w:lvlText w:val="%5."/>
      <w:lvlJc w:val="left"/>
      <w:pPr>
        <w:tabs>
          <w:tab w:val="num" w:pos="851"/>
        </w:tabs>
        <w:ind w:left="851" w:hanging="426"/>
      </w:pPr>
      <w:rPr>
        <w:rFonts w:hint="default"/>
      </w:rPr>
    </w:lvl>
    <w:lvl w:ilvl="5">
      <w:start w:val="1"/>
      <w:numFmt w:val="none"/>
      <w:suff w:val="nothing"/>
      <w:lvlText w:val="%6"/>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49" w15:restartNumberingAfterBreak="0">
    <w:nsid w:val="53425ABC"/>
    <w:multiLevelType w:val="multilevel"/>
    <w:tmpl w:val="69DA718C"/>
    <w:lvl w:ilvl="0">
      <w:start w:val="1"/>
      <w:numFmt w:val="none"/>
      <w:isLgl/>
      <w:suff w:val="nothing"/>
      <w:lvlText w:val=""/>
      <w:lvlJc w:val="left"/>
      <w:pPr>
        <w:ind w:left="0" w:firstLine="0"/>
      </w:pPr>
      <w:rPr>
        <w:rFonts w:hint="default"/>
      </w:rPr>
    </w:lvl>
    <w:lvl w:ilvl="1">
      <w:start w:val="1"/>
      <w:numFmt w:val="none"/>
      <w:lvlRestart w:val="0"/>
      <w:suff w:val="nothing"/>
      <w:lvlText w:val=""/>
      <w:lvlJc w:val="left"/>
      <w:pPr>
        <w:ind w:left="0" w:firstLine="0"/>
      </w:pPr>
      <w:rPr>
        <w:rFonts w:hint="default"/>
      </w:rPr>
    </w:lvl>
    <w:lvl w:ilvl="2">
      <w:start w:val="1"/>
      <w:numFmt w:val="decimal"/>
      <w:isLgl/>
      <w:lvlText w:val="(%3)"/>
      <w:lvlJc w:val="left"/>
      <w:pPr>
        <w:tabs>
          <w:tab w:val="num" w:pos="1067"/>
        </w:tabs>
        <w:ind w:left="285" w:firstLine="425"/>
      </w:pPr>
      <w:rPr>
        <w:rFonts w:hint="default"/>
        <w:strike w:val="0"/>
      </w:rPr>
    </w:lvl>
    <w:lvl w:ilvl="3">
      <w:start w:val="1"/>
      <w:numFmt w:val="lowerLetter"/>
      <w:lvlText w:val="%4)"/>
      <w:lvlJc w:val="left"/>
      <w:pPr>
        <w:tabs>
          <w:tab w:val="num" w:pos="425"/>
        </w:tabs>
        <w:ind w:left="425" w:hanging="425"/>
      </w:pPr>
      <w:rPr>
        <w:rFonts w:hint="default"/>
        <w:b w:val="0"/>
      </w:rPr>
    </w:lvl>
    <w:lvl w:ilvl="4">
      <w:start w:val="1"/>
      <w:numFmt w:val="decimal"/>
      <w:isLgl/>
      <w:lvlText w:val="%5."/>
      <w:lvlJc w:val="left"/>
      <w:pPr>
        <w:tabs>
          <w:tab w:val="num" w:pos="851"/>
        </w:tabs>
        <w:ind w:left="851" w:hanging="426"/>
      </w:pPr>
      <w:rPr>
        <w:rFonts w:hint="default"/>
      </w:rPr>
    </w:lvl>
    <w:lvl w:ilvl="5">
      <w:start w:val="1"/>
      <w:numFmt w:val="none"/>
      <w:suff w:val="nothing"/>
      <w:lvlText w:val="%6"/>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50" w15:restartNumberingAfterBreak="0">
    <w:nsid w:val="54AF0F5A"/>
    <w:multiLevelType w:val="multilevel"/>
    <w:tmpl w:val="97984D36"/>
    <w:lvl w:ilvl="0">
      <w:start w:val="1"/>
      <w:numFmt w:val="upperRoman"/>
      <w:pStyle w:val="Nadpis2"/>
      <w:suff w:val="space"/>
      <w:lvlText w:val="%1."/>
      <w:lvlJc w:val="left"/>
      <w:pPr>
        <w:ind w:left="0" w:firstLine="0"/>
      </w:pPr>
      <w:rPr>
        <w:rFonts w:hint="default"/>
      </w:rPr>
    </w:lvl>
    <w:lvl w:ilvl="1">
      <w:start w:val="1"/>
      <w:numFmt w:val="decimal"/>
      <w:pStyle w:val="Nadpis3"/>
      <w:suff w:val="space"/>
      <w:lvlText w:val="%2."/>
      <w:lvlJc w:val="left"/>
      <w:pPr>
        <w:ind w:left="0" w:firstLine="0"/>
      </w:pPr>
      <w:rPr>
        <w:rFonts w:hint="default"/>
      </w:rPr>
    </w:lvl>
    <w:lvl w:ilvl="2">
      <w:start w:val="1"/>
      <w:numFmt w:val="decimal"/>
      <w:pStyle w:val="Nadpis4"/>
      <w:suff w:val="space"/>
      <w:lvlText w:val="%2.%3."/>
      <w:lvlJc w:val="left"/>
      <w:pPr>
        <w:ind w:left="0" w:firstLine="0"/>
      </w:pPr>
      <w:rPr>
        <w:rFonts w:hint="default"/>
      </w:rPr>
    </w:lvl>
    <w:lvl w:ilvl="3">
      <w:start w:val="1"/>
      <w:numFmt w:val="decimal"/>
      <w:pStyle w:val="Nadpis5"/>
      <w:suff w:val="space"/>
      <w:lvlText w:val="%2.%3.%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51" w15:restartNumberingAfterBreak="0">
    <w:nsid w:val="557ECDF0"/>
    <w:multiLevelType w:val="hybridMultilevel"/>
    <w:tmpl w:val="8A88ED32"/>
    <w:lvl w:ilvl="0" w:tplc="274883B2">
      <w:start w:val="1"/>
      <w:numFmt w:val="decimal"/>
      <w:lvlText w:val=""/>
      <w:lvlJc w:val="left"/>
      <w:pPr>
        <w:ind w:left="0" w:firstLine="0"/>
      </w:pPr>
    </w:lvl>
    <w:lvl w:ilvl="1" w:tplc="CCA430FA">
      <w:start w:val="1"/>
      <w:numFmt w:val="lowerLetter"/>
      <w:lvlText w:val="%2."/>
      <w:lvlJc w:val="left"/>
      <w:pPr>
        <w:ind w:left="1440" w:hanging="360"/>
      </w:pPr>
    </w:lvl>
    <w:lvl w:ilvl="2" w:tplc="5186E0F2">
      <w:start w:val="1"/>
      <w:numFmt w:val="lowerRoman"/>
      <w:lvlText w:val="%3."/>
      <w:lvlJc w:val="right"/>
      <w:pPr>
        <w:ind w:left="2160" w:hanging="180"/>
      </w:pPr>
    </w:lvl>
    <w:lvl w:ilvl="3" w:tplc="48206C34">
      <w:start w:val="1"/>
      <w:numFmt w:val="decimal"/>
      <w:lvlText w:val="%4."/>
      <w:lvlJc w:val="left"/>
      <w:pPr>
        <w:ind w:left="2880" w:hanging="360"/>
      </w:pPr>
    </w:lvl>
    <w:lvl w:ilvl="4" w:tplc="685612B8">
      <w:start w:val="1"/>
      <w:numFmt w:val="lowerLetter"/>
      <w:lvlText w:val="%5."/>
      <w:lvlJc w:val="left"/>
      <w:pPr>
        <w:ind w:left="3600" w:hanging="360"/>
      </w:pPr>
    </w:lvl>
    <w:lvl w:ilvl="5" w:tplc="90B4DA40">
      <w:start w:val="1"/>
      <w:numFmt w:val="lowerRoman"/>
      <w:lvlText w:val="%6."/>
      <w:lvlJc w:val="right"/>
      <w:pPr>
        <w:ind w:left="4320" w:hanging="180"/>
      </w:pPr>
    </w:lvl>
    <w:lvl w:ilvl="6" w:tplc="6ED44E84">
      <w:start w:val="1"/>
      <w:numFmt w:val="decimal"/>
      <w:lvlText w:val="%7."/>
      <w:lvlJc w:val="left"/>
      <w:pPr>
        <w:ind w:left="5040" w:hanging="360"/>
      </w:pPr>
    </w:lvl>
    <w:lvl w:ilvl="7" w:tplc="99E0BDC2">
      <w:start w:val="1"/>
      <w:numFmt w:val="lowerLetter"/>
      <w:lvlText w:val="%8."/>
      <w:lvlJc w:val="left"/>
      <w:pPr>
        <w:ind w:left="5760" w:hanging="360"/>
      </w:pPr>
    </w:lvl>
    <w:lvl w:ilvl="8" w:tplc="578E3D24">
      <w:start w:val="1"/>
      <w:numFmt w:val="lowerRoman"/>
      <w:lvlText w:val="%9."/>
      <w:lvlJc w:val="right"/>
      <w:pPr>
        <w:ind w:left="6480" w:hanging="180"/>
      </w:pPr>
    </w:lvl>
  </w:abstractNum>
  <w:abstractNum w:abstractNumId="52" w15:restartNumberingAfterBreak="0">
    <w:nsid w:val="56985DC5"/>
    <w:multiLevelType w:val="multilevel"/>
    <w:tmpl w:val="69DA718C"/>
    <w:lvl w:ilvl="0">
      <w:start w:val="1"/>
      <w:numFmt w:val="none"/>
      <w:isLgl/>
      <w:suff w:val="nothing"/>
      <w:lvlText w:val=""/>
      <w:lvlJc w:val="left"/>
      <w:pPr>
        <w:ind w:left="0" w:firstLine="0"/>
      </w:pPr>
      <w:rPr>
        <w:rFonts w:hint="default"/>
      </w:rPr>
    </w:lvl>
    <w:lvl w:ilvl="1">
      <w:start w:val="1"/>
      <w:numFmt w:val="none"/>
      <w:lvlRestart w:val="0"/>
      <w:suff w:val="nothing"/>
      <w:lvlText w:val=""/>
      <w:lvlJc w:val="left"/>
      <w:pPr>
        <w:ind w:left="0" w:firstLine="0"/>
      </w:pPr>
      <w:rPr>
        <w:rFonts w:hint="default"/>
      </w:rPr>
    </w:lvl>
    <w:lvl w:ilvl="2">
      <w:start w:val="1"/>
      <w:numFmt w:val="decimal"/>
      <w:isLgl/>
      <w:lvlText w:val="(%3)"/>
      <w:lvlJc w:val="left"/>
      <w:pPr>
        <w:tabs>
          <w:tab w:val="num" w:pos="1067"/>
        </w:tabs>
        <w:ind w:left="285" w:firstLine="425"/>
      </w:pPr>
      <w:rPr>
        <w:rFonts w:hint="default"/>
        <w:strike w:val="0"/>
      </w:rPr>
    </w:lvl>
    <w:lvl w:ilvl="3">
      <w:start w:val="1"/>
      <w:numFmt w:val="lowerLetter"/>
      <w:lvlText w:val="%4)"/>
      <w:lvlJc w:val="left"/>
      <w:pPr>
        <w:tabs>
          <w:tab w:val="num" w:pos="425"/>
        </w:tabs>
        <w:ind w:left="425" w:hanging="425"/>
      </w:pPr>
      <w:rPr>
        <w:rFonts w:hint="default"/>
        <w:b w:val="0"/>
      </w:rPr>
    </w:lvl>
    <w:lvl w:ilvl="4">
      <w:start w:val="1"/>
      <w:numFmt w:val="decimal"/>
      <w:isLgl/>
      <w:lvlText w:val="%5."/>
      <w:lvlJc w:val="left"/>
      <w:pPr>
        <w:tabs>
          <w:tab w:val="num" w:pos="851"/>
        </w:tabs>
        <w:ind w:left="851" w:hanging="426"/>
      </w:pPr>
      <w:rPr>
        <w:rFonts w:hint="default"/>
      </w:rPr>
    </w:lvl>
    <w:lvl w:ilvl="5">
      <w:start w:val="1"/>
      <w:numFmt w:val="none"/>
      <w:suff w:val="nothing"/>
      <w:lvlText w:val="%6"/>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53" w15:restartNumberingAfterBreak="0">
    <w:nsid w:val="58EF2029"/>
    <w:multiLevelType w:val="hybridMultilevel"/>
    <w:tmpl w:val="7A0486D4"/>
    <w:lvl w:ilvl="0" w:tplc="F11C7514">
      <w:start w:val="1"/>
      <w:numFmt w:val="decimal"/>
      <w:pStyle w:val="Nadpis3xx"/>
      <w:lvlText w:val="Oddíl %1."/>
      <w:lvlJc w:val="left"/>
      <w:pPr>
        <w:ind w:left="360" w:hanging="360"/>
      </w:pPr>
      <w:rPr>
        <w:rFonts w:cs="Times New Roman" w:hint="default"/>
      </w:rPr>
    </w:lvl>
    <w:lvl w:ilvl="1" w:tplc="04050019">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54" w15:restartNumberingAfterBreak="0">
    <w:nsid w:val="59112463"/>
    <w:multiLevelType w:val="hybridMultilevel"/>
    <w:tmpl w:val="C06A23A6"/>
    <w:lvl w:ilvl="0" w:tplc="3AB0BFE2">
      <w:start w:val="30"/>
      <w:numFmt w:val="bullet"/>
      <w:lvlText w:val="-"/>
      <w:lvlJc w:val="left"/>
      <w:pPr>
        <w:ind w:left="720" w:hanging="360"/>
      </w:pPr>
      <w:rPr>
        <w:rFonts w:ascii="Times New Roman" w:eastAsia="Times New Roman"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5" w15:restartNumberingAfterBreak="0">
    <w:nsid w:val="5B43507C"/>
    <w:multiLevelType w:val="multilevel"/>
    <w:tmpl w:val="A0F43384"/>
    <w:lvl w:ilvl="0">
      <w:start w:val="1"/>
      <w:numFmt w:val="none"/>
      <w:isLgl/>
      <w:suff w:val="nothing"/>
      <w:lvlText w:val=""/>
      <w:lvlJc w:val="left"/>
      <w:pPr>
        <w:ind w:left="0" w:firstLine="0"/>
      </w:pPr>
      <w:rPr>
        <w:rFonts w:hint="default"/>
      </w:rPr>
    </w:lvl>
    <w:lvl w:ilvl="1">
      <w:start w:val="1"/>
      <w:numFmt w:val="none"/>
      <w:lvlRestart w:val="0"/>
      <w:suff w:val="nothing"/>
      <w:lvlText w:val=""/>
      <w:lvlJc w:val="left"/>
      <w:pPr>
        <w:ind w:left="0" w:firstLine="0"/>
      </w:pPr>
      <w:rPr>
        <w:rFonts w:hint="default"/>
      </w:rPr>
    </w:lvl>
    <w:lvl w:ilvl="2">
      <w:start w:val="1"/>
      <w:numFmt w:val="decimal"/>
      <w:isLgl/>
      <w:lvlText w:val="(%3)"/>
      <w:lvlJc w:val="left"/>
      <w:pPr>
        <w:tabs>
          <w:tab w:val="num" w:pos="783"/>
        </w:tabs>
        <w:ind w:left="1" w:firstLine="425"/>
      </w:pPr>
      <w:rPr>
        <w:rFonts w:ascii="Times New Roman" w:eastAsia="Times New Roman" w:hAnsi="Times New Roman" w:cs="Times New Roman"/>
        <w:strike w:val="0"/>
      </w:rPr>
    </w:lvl>
    <w:lvl w:ilvl="3">
      <w:start w:val="1"/>
      <w:numFmt w:val="lowerLetter"/>
      <w:lvlText w:val="%4)"/>
      <w:lvlJc w:val="left"/>
      <w:pPr>
        <w:tabs>
          <w:tab w:val="num" w:pos="567"/>
        </w:tabs>
        <w:ind w:left="567" w:hanging="425"/>
      </w:pPr>
      <w:rPr>
        <w:rFonts w:hint="default"/>
        <w:b w:val="0"/>
      </w:rPr>
    </w:lvl>
    <w:lvl w:ilvl="4">
      <w:start w:val="1"/>
      <w:numFmt w:val="decimal"/>
      <w:isLgl/>
      <w:lvlText w:val="%5."/>
      <w:lvlJc w:val="left"/>
      <w:pPr>
        <w:tabs>
          <w:tab w:val="num" w:pos="851"/>
        </w:tabs>
        <w:ind w:left="851" w:hanging="426"/>
      </w:pPr>
      <w:rPr>
        <w:rFonts w:hint="default"/>
        <w:b w:val="0"/>
      </w:rPr>
    </w:lvl>
    <w:lvl w:ilvl="5">
      <w:start w:val="1"/>
      <w:numFmt w:val="none"/>
      <w:suff w:val="nothing"/>
      <w:lvlText w:val="%6"/>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56" w15:restartNumberingAfterBreak="0">
    <w:nsid w:val="5F54556F"/>
    <w:multiLevelType w:val="hybridMultilevel"/>
    <w:tmpl w:val="A9163A2C"/>
    <w:lvl w:ilvl="0" w:tplc="CD02831E">
      <w:start w:val="1"/>
      <w:numFmt w:val="decimal"/>
      <w:pStyle w:val="Dvodovzprvakdlu"/>
      <w:suff w:val="nothing"/>
      <w:lvlText w:val="K dílu %1"/>
      <w:lvlJc w:val="left"/>
      <w:pPr>
        <w:ind w:left="0" w:firstLine="0"/>
      </w:pPr>
      <w:rPr>
        <w:rFonts w:hint="default"/>
        <w:b/>
        <w:i w: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7" w15:restartNumberingAfterBreak="0">
    <w:nsid w:val="601C6FC6"/>
    <w:multiLevelType w:val="multilevel"/>
    <w:tmpl w:val="7116B3E0"/>
    <w:lvl w:ilvl="0">
      <w:start w:val="1"/>
      <w:numFmt w:val="none"/>
      <w:isLgl/>
      <w:suff w:val="nothing"/>
      <w:lvlText w:val=""/>
      <w:lvlJc w:val="left"/>
      <w:pPr>
        <w:ind w:left="0" w:firstLine="0"/>
      </w:pPr>
      <w:rPr>
        <w:rFonts w:hint="default"/>
      </w:rPr>
    </w:lvl>
    <w:lvl w:ilvl="1">
      <w:start w:val="1"/>
      <w:numFmt w:val="none"/>
      <w:lvlRestart w:val="0"/>
      <w:suff w:val="nothing"/>
      <w:lvlText w:val=""/>
      <w:lvlJc w:val="left"/>
      <w:pPr>
        <w:ind w:left="0" w:firstLine="0"/>
      </w:pPr>
      <w:rPr>
        <w:rFonts w:hint="default"/>
      </w:rPr>
    </w:lvl>
    <w:lvl w:ilvl="2">
      <w:start w:val="1"/>
      <w:numFmt w:val="decimal"/>
      <w:isLgl/>
      <w:lvlText w:val="(%3)"/>
      <w:lvlJc w:val="left"/>
      <w:pPr>
        <w:tabs>
          <w:tab w:val="num" w:pos="783"/>
        </w:tabs>
        <w:ind w:left="1" w:firstLine="425"/>
      </w:pPr>
      <w:rPr>
        <w:rFonts w:hint="default"/>
        <w:strike w:val="0"/>
      </w:rPr>
    </w:lvl>
    <w:lvl w:ilvl="3">
      <w:start w:val="1"/>
      <w:numFmt w:val="lowerLetter"/>
      <w:lvlText w:val="%4)"/>
      <w:lvlJc w:val="left"/>
      <w:pPr>
        <w:tabs>
          <w:tab w:val="num" w:pos="425"/>
        </w:tabs>
        <w:ind w:left="425" w:hanging="425"/>
      </w:pPr>
      <w:rPr>
        <w:rFonts w:hint="default"/>
        <w:b w:val="0"/>
      </w:rPr>
    </w:lvl>
    <w:lvl w:ilvl="4">
      <w:start w:val="1"/>
      <w:numFmt w:val="decimal"/>
      <w:isLgl/>
      <w:lvlText w:val="%5."/>
      <w:lvlJc w:val="left"/>
      <w:pPr>
        <w:tabs>
          <w:tab w:val="num" w:pos="851"/>
        </w:tabs>
        <w:ind w:left="851" w:hanging="426"/>
      </w:pPr>
      <w:rPr>
        <w:rFonts w:hint="default"/>
      </w:rPr>
    </w:lvl>
    <w:lvl w:ilvl="5">
      <w:start w:val="1"/>
      <w:numFmt w:val="none"/>
      <w:suff w:val="nothing"/>
      <w:lvlText w:val="%6"/>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58" w15:restartNumberingAfterBreak="0">
    <w:nsid w:val="60555A3F"/>
    <w:multiLevelType w:val="multilevel"/>
    <w:tmpl w:val="7928554E"/>
    <w:styleLink w:val="Styl1"/>
    <w:lvl w:ilvl="0">
      <w:start w:val="1"/>
      <w:numFmt w:val="upperRoman"/>
      <w:lvlText w:val="%1."/>
      <w:lvlJc w:val="left"/>
      <w:pPr>
        <w:ind w:left="720" w:hanging="360"/>
      </w:pPr>
      <w:rPr>
        <w:rFonts w:ascii="Times New Roman" w:hAnsi="Times New Roman" w:cs="Times New Roman" w:hint="default"/>
        <w:b/>
        <w:sz w:val="23"/>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59" w15:restartNumberingAfterBreak="0">
    <w:nsid w:val="60FC7EAF"/>
    <w:multiLevelType w:val="multilevel"/>
    <w:tmpl w:val="CFCECA2E"/>
    <w:lvl w:ilvl="0">
      <w:start w:val="564"/>
      <w:numFmt w:val="none"/>
      <w:isLgl/>
      <w:suff w:val="nothing"/>
      <w:lvlText w:val=""/>
      <w:lvlJc w:val="left"/>
      <w:pPr>
        <w:ind w:left="0" w:firstLine="0"/>
      </w:pPr>
      <w:rPr>
        <w:rFonts w:hint="default"/>
      </w:rPr>
    </w:lvl>
    <w:lvl w:ilvl="1">
      <w:start w:val="30"/>
      <w:numFmt w:val="none"/>
      <w:lvlRestart w:val="0"/>
      <w:suff w:val="nothing"/>
      <w:lvlText w:val=""/>
      <w:lvlJc w:val="left"/>
      <w:pPr>
        <w:ind w:left="0" w:firstLine="0"/>
      </w:pPr>
      <w:rPr>
        <w:rFonts w:hint="default"/>
      </w:rPr>
    </w:lvl>
    <w:lvl w:ilvl="2">
      <w:start w:val="1"/>
      <w:numFmt w:val="decimal"/>
      <w:isLgl/>
      <w:lvlText w:val="(%3)"/>
      <w:lvlJc w:val="left"/>
      <w:pPr>
        <w:tabs>
          <w:tab w:val="num" w:pos="783"/>
        </w:tabs>
        <w:ind w:left="1" w:firstLine="425"/>
      </w:pPr>
      <w:rPr>
        <w:rFonts w:hint="default"/>
        <w:strike w:val="0"/>
      </w:rPr>
    </w:lvl>
    <w:lvl w:ilvl="3">
      <w:start w:val="1"/>
      <w:numFmt w:val="lowerLetter"/>
      <w:lvlText w:val="%4)"/>
      <w:lvlJc w:val="left"/>
      <w:pPr>
        <w:tabs>
          <w:tab w:val="num" w:pos="425"/>
        </w:tabs>
        <w:ind w:left="425" w:hanging="425"/>
      </w:pPr>
      <w:rPr>
        <w:rFonts w:hint="default"/>
        <w:b w:val="0"/>
      </w:rPr>
    </w:lvl>
    <w:lvl w:ilvl="4">
      <w:start w:val="1"/>
      <w:numFmt w:val="decimal"/>
      <w:isLgl/>
      <w:lvlText w:val="%5."/>
      <w:lvlJc w:val="left"/>
      <w:pPr>
        <w:tabs>
          <w:tab w:val="num" w:pos="851"/>
        </w:tabs>
        <w:ind w:left="851" w:hanging="426"/>
      </w:pPr>
      <w:rPr>
        <w:rFonts w:hint="default"/>
      </w:rPr>
    </w:lvl>
    <w:lvl w:ilvl="5">
      <w:start w:val="1"/>
      <w:numFmt w:val="none"/>
      <w:suff w:val="nothing"/>
      <w:lvlText w:val="%6"/>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60" w15:restartNumberingAfterBreak="0">
    <w:nsid w:val="617803DD"/>
    <w:multiLevelType w:val="multilevel"/>
    <w:tmpl w:val="49141690"/>
    <w:lvl w:ilvl="0">
      <w:start w:val="1"/>
      <w:numFmt w:val="none"/>
      <w:isLgl/>
      <w:suff w:val="nothing"/>
      <w:lvlText w:val=""/>
      <w:lvlJc w:val="left"/>
      <w:pPr>
        <w:ind w:left="0" w:firstLine="0"/>
      </w:pPr>
      <w:rPr>
        <w:rFonts w:hint="default"/>
      </w:rPr>
    </w:lvl>
    <w:lvl w:ilvl="1">
      <w:start w:val="1"/>
      <w:numFmt w:val="none"/>
      <w:lvlRestart w:val="0"/>
      <w:suff w:val="nothing"/>
      <w:lvlText w:val=""/>
      <w:lvlJc w:val="left"/>
      <w:pPr>
        <w:ind w:left="0" w:firstLine="0"/>
      </w:pPr>
      <w:rPr>
        <w:rFonts w:hint="default"/>
      </w:rPr>
    </w:lvl>
    <w:lvl w:ilvl="2">
      <w:start w:val="1"/>
      <w:numFmt w:val="decimal"/>
      <w:isLgl/>
      <w:lvlText w:val="(%3)"/>
      <w:lvlJc w:val="left"/>
      <w:pPr>
        <w:tabs>
          <w:tab w:val="num" w:pos="641"/>
        </w:tabs>
        <w:ind w:left="-141" w:firstLine="425"/>
      </w:pPr>
      <w:rPr>
        <w:rFonts w:hint="default"/>
        <w:color w:val="FFFFFF" w:themeColor="background1"/>
      </w:rPr>
    </w:lvl>
    <w:lvl w:ilvl="3">
      <w:start w:val="1"/>
      <w:numFmt w:val="lowerLetter"/>
      <w:lvlText w:val="%4)"/>
      <w:lvlJc w:val="left"/>
      <w:pPr>
        <w:tabs>
          <w:tab w:val="num" w:pos="425"/>
        </w:tabs>
        <w:ind w:left="425" w:hanging="425"/>
      </w:pPr>
      <w:rPr>
        <w:rFonts w:hint="default"/>
      </w:rPr>
    </w:lvl>
    <w:lvl w:ilvl="4">
      <w:start w:val="1"/>
      <w:numFmt w:val="decimal"/>
      <w:isLgl/>
      <w:lvlText w:val="%5."/>
      <w:lvlJc w:val="left"/>
      <w:pPr>
        <w:tabs>
          <w:tab w:val="num" w:pos="851"/>
        </w:tabs>
        <w:ind w:left="851" w:hanging="426"/>
      </w:pPr>
      <w:rPr>
        <w:rFonts w:hint="default"/>
      </w:rPr>
    </w:lvl>
    <w:lvl w:ilvl="5">
      <w:start w:val="1"/>
      <w:numFmt w:val="none"/>
      <w:suff w:val="nothing"/>
      <w:lvlText w:val="%6"/>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61" w15:restartNumberingAfterBreak="0">
    <w:nsid w:val="65B10AF9"/>
    <w:multiLevelType w:val="multilevel"/>
    <w:tmpl w:val="A842A026"/>
    <w:lvl w:ilvl="0">
      <w:start w:val="423"/>
      <w:numFmt w:val="none"/>
      <w:isLgl/>
      <w:suff w:val="nothing"/>
      <w:lvlText w:val=""/>
      <w:lvlJc w:val="left"/>
      <w:pPr>
        <w:ind w:left="0" w:firstLine="0"/>
      </w:pPr>
      <w:rPr>
        <w:rFonts w:hint="default"/>
      </w:rPr>
    </w:lvl>
    <w:lvl w:ilvl="1">
      <w:start w:val="2"/>
      <w:numFmt w:val="none"/>
      <w:lvlRestart w:val="0"/>
      <w:suff w:val="nothing"/>
      <w:lvlText w:val=""/>
      <w:lvlJc w:val="left"/>
      <w:pPr>
        <w:ind w:left="0" w:firstLine="0"/>
      </w:pPr>
      <w:rPr>
        <w:rFonts w:hint="default"/>
      </w:rPr>
    </w:lvl>
    <w:lvl w:ilvl="2">
      <w:start w:val="1"/>
      <w:numFmt w:val="decimal"/>
      <w:isLgl/>
      <w:lvlText w:val="(%3)"/>
      <w:lvlJc w:val="left"/>
      <w:pPr>
        <w:tabs>
          <w:tab w:val="num" w:pos="783"/>
        </w:tabs>
        <w:ind w:left="1" w:firstLine="425"/>
      </w:pPr>
      <w:rPr>
        <w:rFonts w:hint="default"/>
        <w:strike w:val="0"/>
      </w:rPr>
    </w:lvl>
    <w:lvl w:ilvl="3">
      <w:start w:val="1"/>
      <w:numFmt w:val="lowerLetter"/>
      <w:lvlText w:val="%4)"/>
      <w:lvlJc w:val="left"/>
      <w:pPr>
        <w:tabs>
          <w:tab w:val="num" w:pos="425"/>
        </w:tabs>
        <w:ind w:left="425" w:hanging="425"/>
      </w:pPr>
      <w:rPr>
        <w:rFonts w:hint="default"/>
        <w:b w:val="0"/>
      </w:rPr>
    </w:lvl>
    <w:lvl w:ilvl="4">
      <w:start w:val="1"/>
      <w:numFmt w:val="decimal"/>
      <w:isLgl/>
      <w:lvlText w:val="%5."/>
      <w:lvlJc w:val="left"/>
      <w:pPr>
        <w:tabs>
          <w:tab w:val="num" w:pos="851"/>
        </w:tabs>
        <w:ind w:left="851" w:hanging="426"/>
      </w:pPr>
      <w:rPr>
        <w:rFonts w:hint="default"/>
      </w:rPr>
    </w:lvl>
    <w:lvl w:ilvl="5">
      <w:start w:val="1"/>
      <w:numFmt w:val="none"/>
      <w:suff w:val="nothing"/>
      <w:lvlText w:val="%6"/>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62" w15:restartNumberingAfterBreak="0">
    <w:nsid w:val="661C1270"/>
    <w:multiLevelType w:val="multilevel"/>
    <w:tmpl w:val="CFCECA2E"/>
    <w:lvl w:ilvl="0">
      <w:start w:val="564"/>
      <w:numFmt w:val="none"/>
      <w:isLgl/>
      <w:suff w:val="nothing"/>
      <w:lvlText w:val=""/>
      <w:lvlJc w:val="left"/>
      <w:pPr>
        <w:ind w:left="0" w:firstLine="0"/>
      </w:pPr>
      <w:rPr>
        <w:rFonts w:hint="default"/>
      </w:rPr>
    </w:lvl>
    <w:lvl w:ilvl="1">
      <w:start w:val="30"/>
      <w:numFmt w:val="none"/>
      <w:lvlRestart w:val="0"/>
      <w:suff w:val="nothing"/>
      <w:lvlText w:val=""/>
      <w:lvlJc w:val="left"/>
      <w:pPr>
        <w:ind w:left="0" w:firstLine="0"/>
      </w:pPr>
      <w:rPr>
        <w:rFonts w:hint="default"/>
      </w:rPr>
    </w:lvl>
    <w:lvl w:ilvl="2">
      <w:start w:val="1"/>
      <w:numFmt w:val="decimal"/>
      <w:isLgl/>
      <w:lvlText w:val="(%3)"/>
      <w:lvlJc w:val="left"/>
      <w:pPr>
        <w:tabs>
          <w:tab w:val="num" w:pos="783"/>
        </w:tabs>
        <w:ind w:left="1" w:firstLine="425"/>
      </w:pPr>
      <w:rPr>
        <w:rFonts w:hint="default"/>
        <w:strike w:val="0"/>
      </w:rPr>
    </w:lvl>
    <w:lvl w:ilvl="3">
      <w:start w:val="1"/>
      <w:numFmt w:val="lowerLetter"/>
      <w:lvlText w:val="%4)"/>
      <w:lvlJc w:val="left"/>
      <w:pPr>
        <w:tabs>
          <w:tab w:val="num" w:pos="425"/>
        </w:tabs>
        <w:ind w:left="425" w:hanging="425"/>
      </w:pPr>
      <w:rPr>
        <w:rFonts w:hint="default"/>
        <w:b w:val="0"/>
      </w:rPr>
    </w:lvl>
    <w:lvl w:ilvl="4">
      <w:start w:val="1"/>
      <w:numFmt w:val="decimal"/>
      <w:isLgl/>
      <w:lvlText w:val="%5."/>
      <w:lvlJc w:val="left"/>
      <w:pPr>
        <w:tabs>
          <w:tab w:val="num" w:pos="851"/>
        </w:tabs>
        <w:ind w:left="851" w:hanging="426"/>
      </w:pPr>
      <w:rPr>
        <w:rFonts w:hint="default"/>
      </w:rPr>
    </w:lvl>
    <w:lvl w:ilvl="5">
      <w:start w:val="1"/>
      <w:numFmt w:val="none"/>
      <w:suff w:val="nothing"/>
      <w:lvlText w:val="%6"/>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63" w15:restartNumberingAfterBreak="0">
    <w:nsid w:val="6702047C"/>
    <w:multiLevelType w:val="hybridMultilevel"/>
    <w:tmpl w:val="BA9A3A18"/>
    <w:lvl w:ilvl="0" w:tplc="62BE8CFA">
      <w:start w:val="1"/>
      <w:numFmt w:val="decimal"/>
      <w:pStyle w:val="Dvodovzprvakpododdlu"/>
      <w:suff w:val="nothing"/>
      <w:lvlText w:val="K pododdílu %1"/>
      <w:lvlJc w:val="left"/>
      <w:pPr>
        <w:ind w:left="0" w:firstLine="0"/>
      </w:pPr>
      <w:rPr>
        <w:rFonts w:hint="default"/>
        <w:b/>
        <w:i w: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4" w15:restartNumberingAfterBreak="0">
    <w:nsid w:val="6A063CA9"/>
    <w:multiLevelType w:val="multilevel"/>
    <w:tmpl w:val="F914021E"/>
    <w:lvl w:ilvl="0">
      <w:start w:val="403"/>
      <w:numFmt w:val="none"/>
      <w:isLgl/>
      <w:suff w:val="nothing"/>
      <w:lvlText w:val=""/>
      <w:lvlJc w:val="left"/>
      <w:pPr>
        <w:ind w:left="0" w:firstLine="0"/>
      </w:pPr>
      <w:rPr>
        <w:rFonts w:hint="default"/>
      </w:rPr>
    </w:lvl>
    <w:lvl w:ilvl="1">
      <w:start w:val="1"/>
      <w:numFmt w:val="none"/>
      <w:lvlRestart w:val="0"/>
      <w:suff w:val="nothing"/>
      <w:lvlText w:val=""/>
      <w:lvlJc w:val="left"/>
      <w:pPr>
        <w:ind w:left="0" w:firstLine="0"/>
      </w:pPr>
      <w:rPr>
        <w:rFonts w:hint="default"/>
      </w:rPr>
    </w:lvl>
    <w:lvl w:ilvl="2">
      <w:start w:val="1"/>
      <w:numFmt w:val="decimal"/>
      <w:isLgl/>
      <w:lvlText w:val="(%3)"/>
      <w:lvlJc w:val="left"/>
      <w:pPr>
        <w:tabs>
          <w:tab w:val="num" w:pos="783"/>
        </w:tabs>
        <w:ind w:left="1" w:firstLine="425"/>
      </w:pPr>
      <w:rPr>
        <w:rFonts w:ascii="Times New Roman" w:eastAsia="Times New Roman" w:hAnsi="Times New Roman" w:cs="Times New Roman"/>
        <w:strike w:val="0"/>
      </w:rPr>
    </w:lvl>
    <w:lvl w:ilvl="3">
      <w:start w:val="1"/>
      <w:numFmt w:val="lowerLetter"/>
      <w:lvlText w:val="%4)"/>
      <w:lvlJc w:val="left"/>
      <w:pPr>
        <w:tabs>
          <w:tab w:val="num" w:pos="425"/>
        </w:tabs>
        <w:ind w:left="425" w:hanging="425"/>
      </w:pPr>
      <w:rPr>
        <w:rFonts w:hint="default"/>
        <w:b w:val="0"/>
      </w:rPr>
    </w:lvl>
    <w:lvl w:ilvl="4">
      <w:start w:val="1"/>
      <w:numFmt w:val="decimal"/>
      <w:isLgl/>
      <w:lvlText w:val="%5."/>
      <w:lvlJc w:val="left"/>
      <w:pPr>
        <w:tabs>
          <w:tab w:val="num" w:pos="851"/>
        </w:tabs>
        <w:ind w:left="851" w:hanging="426"/>
      </w:pPr>
      <w:rPr>
        <w:rFonts w:hint="default"/>
      </w:rPr>
    </w:lvl>
    <w:lvl w:ilvl="5">
      <w:start w:val="1"/>
      <w:numFmt w:val="none"/>
      <w:suff w:val="nothing"/>
      <w:lvlText w:val="%6"/>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65" w15:restartNumberingAfterBreak="0">
    <w:nsid w:val="6A86693D"/>
    <w:multiLevelType w:val="multilevel"/>
    <w:tmpl w:val="03203A1C"/>
    <w:lvl w:ilvl="0">
      <w:start w:val="1"/>
      <w:numFmt w:val="none"/>
      <w:isLgl/>
      <w:suff w:val="nothing"/>
      <w:lvlText w:val=""/>
      <w:lvlJc w:val="left"/>
      <w:pPr>
        <w:ind w:left="0" w:firstLine="0"/>
      </w:pPr>
      <w:rPr>
        <w:rFonts w:hint="default"/>
      </w:rPr>
    </w:lvl>
    <w:lvl w:ilvl="1">
      <w:start w:val="1"/>
      <w:numFmt w:val="none"/>
      <w:lvlRestart w:val="0"/>
      <w:suff w:val="nothing"/>
      <w:lvlText w:val=""/>
      <w:lvlJc w:val="left"/>
      <w:pPr>
        <w:ind w:left="0" w:firstLine="0"/>
      </w:pPr>
      <w:rPr>
        <w:rFonts w:hint="default"/>
      </w:rPr>
    </w:lvl>
    <w:lvl w:ilvl="2">
      <w:start w:val="1"/>
      <w:numFmt w:val="decimal"/>
      <w:isLgl/>
      <w:lvlText w:val="(%3)"/>
      <w:lvlJc w:val="left"/>
      <w:pPr>
        <w:tabs>
          <w:tab w:val="num" w:pos="1208"/>
        </w:tabs>
        <w:ind w:left="426" w:firstLine="425"/>
      </w:pPr>
      <w:rPr>
        <w:rFonts w:ascii="Times New Roman" w:eastAsia="Times New Roman" w:hAnsi="Times New Roman" w:cs="Times New Roman" w:hint="default"/>
        <w:strike w:val="0"/>
        <w:color w:val="auto"/>
      </w:rPr>
    </w:lvl>
    <w:lvl w:ilvl="3">
      <w:start w:val="1"/>
      <w:numFmt w:val="lowerLetter"/>
      <w:lvlText w:val="%4)"/>
      <w:lvlJc w:val="left"/>
      <w:pPr>
        <w:tabs>
          <w:tab w:val="num" w:pos="425"/>
        </w:tabs>
        <w:ind w:left="425" w:hanging="425"/>
      </w:pPr>
      <w:rPr>
        <w:rFonts w:hint="default"/>
        <w:strike/>
      </w:rPr>
    </w:lvl>
    <w:lvl w:ilvl="4">
      <w:start w:val="1"/>
      <w:numFmt w:val="decimal"/>
      <w:isLgl/>
      <w:lvlText w:val="%5."/>
      <w:lvlJc w:val="left"/>
      <w:pPr>
        <w:tabs>
          <w:tab w:val="num" w:pos="851"/>
        </w:tabs>
        <w:ind w:left="851" w:hanging="426"/>
      </w:pPr>
      <w:rPr>
        <w:rFonts w:hint="default"/>
      </w:rPr>
    </w:lvl>
    <w:lvl w:ilvl="5">
      <w:start w:val="1"/>
      <w:numFmt w:val="none"/>
      <w:suff w:val="nothing"/>
      <w:lvlText w:val="%6"/>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66" w15:restartNumberingAfterBreak="0">
    <w:nsid w:val="6AAF1A1F"/>
    <w:multiLevelType w:val="multilevel"/>
    <w:tmpl w:val="776037B8"/>
    <w:lvl w:ilvl="0">
      <w:start w:val="1"/>
      <w:numFmt w:val="decimal"/>
      <w:isLgl/>
      <w:lvlText w:val="(%1)"/>
      <w:lvlJc w:val="left"/>
      <w:pPr>
        <w:tabs>
          <w:tab w:val="num" w:pos="782"/>
        </w:tabs>
        <w:ind w:left="0" w:firstLine="425"/>
      </w:pPr>
      <w:rPr>
        <w:rFonts w:hint="default"/>
      </w:rPr>
    </w:lvl>
    <w:lvl w:ilvl="1">
      <w:start w:val="1"/>
      <w:numFmt w:val="lowerLetter"/>
      <w:lvlText w:val="%2)"/>
      <w:lvlJc w:val="left"/>
      <w:pPr>
        <w:tabs>
          <w:tab w:val="num" w:pos="425"/>
        </w:tabs>
        <w:ind w:left="425" w:hanging="425"/>
      </w:pPr>
      <w:rPr>
        <w:rFonts w:hint="default"/>
        <w:sz w:val="24"/>
        <w:szCs w:val="24"/>
      </w:rPr>
    </w:lvl>
    <w:lvl w:ilvl="2">
      <w:start w:val="1"/>
      <w:numFmt w:val="decimal"/>
      <w:isLgl/>
      <w:lvlText w:val="%3."/>
      <w:lvlJc w:val="left"/>
      <w:pPr>
        <w:tabs>
          <w:tab w:val="num" w:pos="850"/>
        </w:tabs>
        <w:ind w:left="850" w:hanging="425"/>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520"/>
        </w:tabs>
        <w:ind w:left="2160" w:hanging="360"/>
      </w:pPr>
      <w:rPr>
        <w:rFonts w:hint="default"/>
      </w:rPr>
    </w:lvl>
    <w:lvl w:ilvl="6">
      <w:start w:val="1"/>
      <w:numFmt w:val="decimal"/>
      <w:lvlText w:val="(%7)"/>
      <w:lvlJc w:val="left"/>
      <w:pPr>
        <w:tabs>
          <w:tab w:val="num" w:pos="785"/>
        </w:tabs>
        <w:ind w:left="0" w:firstLine="425"/>
      </w:pPr>
      <w:rPr>
        <w:rFonts w:hint="default"/>
      </w:rPr>
    </w:lvl>
    <w:lvl w:ilvl="7">
      <w:start w:val="1"/>
      <w:numFmt w:val="lowerLetter"/>
      <w:lvlText w:val="%8)"/>
      <w:lvlJc w:val="left"/>
      <w:pPr>
        <w:tabs>
          <w:tab w:val="num" w:pos="425"/>
        </w:tabs>
        <w:ind w:left="425" w:hanging="425"/>
      </w:pPr>
      <w:rPr>
        <w:rFonts w:hint="default"/>
      </w:rPr>
    </w:lvl>
    <w:lvl w:ilvl="8">
      <w:start w:val="1"/>
      <w:numFmt w:val="decimal"/>
      <w:lvlText w:val="%9."/>
      <w:lvlJc w:val="left"/>
      <w:pPr>
        <w:tabs>
          <w:tab w:val="num" w:pos="851"/>
        </w:tabs>
        <w:ind w:left="851" w:hanging="426"/>
      </w:pPr>
      <w:rPr>
        <w:rFonts w:hint="default"/>
      </w:rPr>
    </w:lvl>
  </w:abstractNum>
  <w:abstractNum w:abstractNumId="67" w15:restartNumberingAfterBreak="0">
    <w:nsid w:val="6AFD4170"/>
    <w:multiLevelType w:val="multilevel"/>
    <w:tmpl w:val="FFA40540"/>
    <w:lvl w:ilvl="0">
      <w:start w:val="432"/>
      <w:numFmt w:val="none"/>
      <w:isLgl/>
      <w:suff w:val="nothing"/>
      <w:lvlText w:val=""/>
      <w:lvlJc w:val="left"/>
      <w:pPr>
        <w:ind w:left="0" w:firstLine="0"/>
      </w:pPr>
      <w:rPr>
        <w:rFonts w:hint="default"/>
      </w:rPr>
    </w:lvl>
    <w:lvl w:ilvl="1">
      <w:start w:val="4"/>
      <w:numFmt w:val="none"/>
      <w:lvlRestart w:val="0"/>
      <w:suff w:val="nothing"/>
      <w:lvlText w:val=""/>
      <w:lvlJc w:val="left"/>
      <w:pPr>
        <w:ind w:left="0" w:firstLine="0"/>
      </w:pPr>
      <w:rPr>
        <w:rFonts w:hint="default"/>
      </w:rPr>
    </w:lvl>
    <w:lvl w:ilvl="2">
      <w:start w:val="1"/>
      <w:numFmt w:val="decimal"/>
      <w:isLgl/>
      <w:lvlText w:val="(%3)"/>
      <w:lvlJc w:val="left"/>
      <w:pPr>
        <w:tabs>
          <w:tab w:val="num" w:pos="783"/>
        </w:tabs>
        <w:ind w:left="1" w:firstLine="425"/>
      </w:pPr>
      <w:rPr>
        <w:rFonts w:hint="default"/>
        <w:strike w:val="0"/>
      </w:rPr>
    </w:lvl>
    <w:lvl w:ilvl="3">
      <w:start w:val="1"/>
      <w:numFmt w:val="lowerLetter"/>
      <w:lvlText w:val="%4)"/>
      <w:lvlJc w:val="left"/>
      <w:pPr>
        <w:tabs>
          <w:tab w:val="num" w:pos="425"/>
        </w:tabs>
        <w:ind w:left="425" w:hanging="425"/>
      </w:pPr>
      <w:rPr>
        <w:rFonts w:hint="default"/>
        <w:b w:val="0"/>
      </w:rPr>
    </w:lvl>
    <w:lvl w:ilvl="4">
      <w:start w:val="1"/>
      <w:numFmt w:val="decimal"/>
      <w:isLgl/>
      <w:lvlText w:val="%5."/>
      <w:lvlJc w:val="left"/>
      <w:pPr>
        <w:tabs>
          <w:tab w:val="num" w:pos="851"/>
        </w:tabs>
        <w:ind w:left="851" w:hanging="426"/>
      </w:pPr>
      <w:rPr>
        <w:rFonts w:hint="default"/>
      </w:rPr>
    </w:lvl>
    <w:lvl w:ilvl="5">
      <w:start w:val="1"/>
      <w:numFmt w:val="none"/>
      <w:suff w:val="nothing"/>
      <w:lvlText w:val="%6"/>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68" w15:restartNumberingAfterBreak="0">
    <w:nsid w:val="6D4426AD"/>
    <w:multiLevelType w:val="multilevel"/>
    <w:tmpl w:val="69DA718C"/>
    <w:lvl w:ilvl="0">
      <w:start w:val="1"/>
      <w:numFmt w:val="none"/>
      <w:isLgl/>
      <w:suff w:val="nothing"/>
      <w:lvlText w:val=""/>
      <w:lvlJc w:val="left"/>
      <w:pPr>
        <w:ind w:left="0" w:firstLine="0"/>
      </w:pPr>
      <w:rPr>
        <w:rFonts w:hint="default"/>
      </w:rPr>
    </w:lvl>
    <w:lvl w:ilvl="1">
      <w:start w:val="1"/>
      <w:numFmt w:val="none"/>
      <w:lvlRestart w:val="0"/>
      <w:suff w:val="nothing"/>
      <w:lvlText w:val=""/>
      <w:lvlJc w:val="left"/>
      <w:pPr>
        <w:ind w:left="0" w:firstLine="0"/>
      </w:pPr>
      <w:rPr>
        <w:rFonts w:hint="default"/>
      </w:rPr>
    </w:lvl>
    <w:lvl w:ilvl="2">
      <w:start w:val="1"/>
      <w:numFmt w:val="decimal"/>
      <w:isLgl/>
      <w:lvlText w:val="(%3)"/>
      <w:lvlJc w:val="left"/>
      <w:pPr>
        <w:tabs>
          <w:tab w:val="num" w:pos="1067"/>
        </w:tabs>
        <w:ind w:left="285" w:firstLine="425"/>
      </w:pPr>
      <w:rPr>
        <w:rFonts w:hint="default"/>
        <w:strike w:val="0"/>
      </w:rPr>
    </w:lvl>
    <w:lvl w:ilvl="3">
      <w:start w:val="1"/>
      <w:numFmt w:val="lowerLetter"/>
      <w:lvlText w:val="%4)"/>
      <w:lvlJc w:val="left"/>
      <w:pPr>
        <w:tabs>
          <w:tab w:val="num" w:pos="425"/>
        </w:tabs>
        <w:ind w:left="425" w:hanging="425"/>
      </w:pPr>
      <w:rPr>
        <w:rFonts w:hint="default"/>
        <w:b w:val="0"/>
      </w:rPr>
    </w:lvl>
    <w:lvl w:ilvl="4">
      <w:start w:val="1"/>
      <w:numFmt w:val="decimal"/>
      <w:isLgl/>
      <w:lvlText w:val="%5."/>
      <w:lvlJc w:val="left"/>
      <w:pPr>
        <w:tabs>
          <w:tab w:val="num" w:pos="851"/>
        </w:tabs>
        <w:ind w:left="851" w:hanging="426"/>
      </w:pPr>
      <w:rPr>
        <w:rFonts w:hint="default"/>
      </w:rPr>
    </w:lvl>
    <w:lvl w:ilvl="5">
      <w:start w:val="1"/>
      <w:numFmt w:val="none"/>
      <w:suff w:val="nothing"/>
      <w:lvlText w:val="%6"/>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69" w15:restartNumberingAfterBreak="0">
    <w:nsid w:val="6E370F52"/>
    <w:multiLevelType w:val="hybridMultilevel"/>
    <w:tmpl w:val="D50E00CC"/>
    <w:lvl w:ilvl="0" w:tplc="437A026A">
      <w:start w:val="1"/>
      <w:numFmt w:val="decimal"/>
      <w:pStyle w:val="Dvodovzprvakoddlu"/>
      <w:suff w:val="nothing"/>
      <w:lvlText w:val="K oddílu %1"/>
      <w:lvlJc w:val="left"/>
      <w:pPr>
        <w:ind w:left="0" w:firstLine="0"/>
      </w:pPr>
      <w:rPr>
        <w:rFonts w:hint="default"/>
        <w:b/>
        <w:i w: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0" w15:restartNumberingAfterBreak="0">
    <w:nsid w:val="6F1C4EEC"/>
    <w:multiLevelType w:val="hybridMultilevel"/>
    <w:tmpl w:val="9EC688EA"/>
    <w:lvl w:ilvl="0" w:tplc="0405000F">
      <w:start w:val="1"/>
      <w:numFmt w:val="decimal"/>
      <w:lvlText w:val="%1."/>
      <w:lvlJc w:val="left"/>
      <w:pPr>
        <w:ind w:left="720" w:hanging="360"/>
      </w:pPr>
    </w:lvl>
    <w:lvl w:ilvl="1" w:tplc="04050019">
      <w:start w:val="1"/>
      <w:numFmt w:val="lowerLetter"/>
      <w:lvlText w:val="%2."/>
      <w:lvlJc w:val="left"/>
      <w:pPr>
        <w:ind w:left="1440" w:hanging="360"/>
      </w:pPr>
    </w:lvl>
    <w:lvl w:ilvl="2" w:tplc="2AA2FA82">
      <w:start w:val="1"/>
      <w:numFmt w:val="decimal"/>
      <w:lvlText w:val="(%3)"/>
      <w:lvlJc w:val="left"/>
      <w:pPr>
        <w:ind w:left="2340" w:hanging="360"/>
      </w:pPr>
      <w:rPr>
        <w:rFonts w:hint="default"/>
      </w:rPr>
    </w:lvl>
    <w:lvl w:ilvl="3" w:tplc="0C8C9626">
      <w:start w:val="1"/>
      <w:numFmt w:val="lowerLetter"/>
      <w:lvlText w:val="%4)"/>
      <w:lvlJc w:val="left"/>
      <w:pPr>
        <w:ind w:left="2950" w:hanging="430"/>
      </w:pPr>
      <w:rPr>
        <w:rFonts w:hint="default"/>
      </w:r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1" w15:restartNumberingAfterBreak="0">
    <w:nsid w:val="71E65B71"/>
    <w:multiLevelType w:val="multilevel"/>
    <w:tmpl w:val="63820FF8"/>
    <w:lvl w:ilvl="0">
      <w:start w:val="10"/>
      <w:numFmt w:val="none"/>
      <w:isLgl/>
      <w:suff w:val="nothing"/>
      <w:lvlText w:val=""/>
      <w:lvlJc w:val="left"/>
      <w:pPr>
        <w:ind w:left="0" w:firstLine="0"/>
      </w:pPr>
      <w:rPr>
        <w:rFonts w:hint="default"/>
      </w:rPr>
    </w:lvl>
    <w:lvl w:ilvl="1">
      <w:start w:val="1"/>
      <w:numFmt w:val="none"/>
      <w:lvlRestart w:val="0"/>
      <w:suff w:val="nothing"/>
      <w:lvlText w:val=""/>
      <w:lvlJc w:val="left"/>
      <w:pPr>
        <w:ind w:left="0" w:firstLine="0"/>
      </w:pPr>
      <w:rPr>
        <w:rFonts w:hint="default"/>
      </w:rPr>
    </w:lvl>
    <w:lvl w:ilvl="2">
      <w:start w:val="1"/>
      <w:numFmt w:val="decimal"/>
      <w:isLgl/>
      <w:lvlText w:val="(%3)"/>
      <w:lvlJc w:val="left"/>
      <w:pPr>
        <w:tabs>
          <w:tab w:val="num" w:pos="783"/>
        </w:tabs>
        <w:ind w:left="1" w:firstLine="425"/>
      </w:pPr>
      <w:rPr>
        <w:rFonts w:hint="default"/>
        <w:b w:val="0"/>
      </w:rPr>
    </w:lvl>
    <w:lvl w:ilvl="3">
      <w:start w:val="1"/>
      <w:numFmt w:val="lowerLetter"/>
      <w:lvlText w:val="%4)"/>
      <w:lvlJc w:val="left"/>
      <w:pPr>
        <w:tabs>
          <w:tab w:val="num" w:pos="425"/>
        </w:tabs>
        <w:ind w:left="425" w:hanging="425"/>
      </w:pPr>
      <w:rPr>
        <w:rFonts w:hint="default"/>
      </w:rPr>
    </w:lvl>
    <w:lvl w:ilvl="4">
      <w:start w:val="1"/>
      <w:numFmt w:val="decimal"/>
      <w:isLgl/>
      <w:lvlText w:val="%5."/>
      <w:lvlJc w:val="left"/>
      <w:pPr>
        <w:tabs>
          <w:tab w:val="num" w:pos="851"/>
        </w:tabs>
        <w:ind w:left="851" w:hanging="426"/>
      </w:pPr>
      <w:rPr>
        <w:rFonts w:hint="default"/>
      </w:rPr>
    </w:lvl>
    <w:lvl w:ilvl="5">
      <w:start w:val="1"/>
      <w:numFmt w:val="none"/>
      <w:suff w:val="nothing"/>
      <w:lvlText w:val="%6"/>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72" w15:restartNumberingAfterBreak="0">
    <w:nsid w:val="71FB70A6"/>
    <w:multiLevelType w:val="hybridMultilevel"/>
    <w:tmpl w:val="8F6C93EE"/>
    <w:lvl w:ilvl="0" w:tplc="7C66ED7E">
      <w:start w:val="1"/>
      <w:numFmt w:val="decimal"/>
      <w:pStyle w:val="Dvodovzprvakbodu"/>
      <w:suff w:val="space"/>
      <w:lvlText w:val="K bodu %1"/>
      <w:lvlJc w:val="left"/>
      <w:pPr>
        <w:ind w:left="142" w:firstLine="0"/>
      </w:pPr>
      <w:rPr>
        <w:rFonts w:cs="Times New Roman"/>
        <w:b/>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50019" w:tentative="1">
      <w:start w:val="1"/>
      <w:numFmt w:val="lowerLetter"/>
      <w:lvlText w:val="%2."/>
      <w:lvlJc w:val="left"/>
      <w:pPr>
        <w:ind w:left="1582" w:hanging="360"/>
      </w:pPr>
    </w:lvl>
    <w:lvl w:ilvl="2" w:tplc="0405001B" w:tentative="1">
      <w:start w:val="1"/>
      <w:numFmt w:val="lowerRoman"/>
      <w:lvlText w:val="%3."/>
      <w:lvlJc w:val="right"/>
      <w:pPr>
        <w:ind w:left="2302" w:hanging="180"/>
      </w:pPr>
    </w:lvl>
    <w:lvl w:ilvl="3" w:tplc="0405000F" w:tentative="1">
      <w:start w:val="1"/>
      <w:numFmt w:val="decimal"/>
      <w:lvlText w:val="%4."/>
      <w:lvlJc w:val="left"/>
      <w:pPr>
        <w:ind w:left="3022" w:hanging="360"/>
      </w:pPr>
    </w:lvl>
    <w:lvl w:ilvl="4" w:tplc="04050019" w:tentative="1">
      <w:start w:val="1"/>
      <w:numFmt w:val="lowerLetter"/>
      <w:lvlText w:val="%5."/>
      <w:lvlJc w:val="left"/>
      <w:pPr>
        <w:ind w:left="3742" w:hanging="360"/>
      </w:pPr>
    </w:lvl>
    <w:lvl w:ilvl="5" w:tplc="0405001B" w:tentative="1">
      <w:start w:val="1"/>
      <w:numFmt w:val="lowerRoman"/>
      <w:lvlText w:val="%6."/>
      <w:lvlJc w:val="right"/>
      <w:pPr>
        <w:ind w:left="4462" w:hanging="180"/>
      </w:pPr>
    </w:lvl>
    <w:lvl w:ilvl="6" w:tplc="0405000F" w:tentative="1">
      <w:start w:val="1"/>
      <w:numFmt w:val="decimal"/>
      <w:lvlText w:val="%7."/>
      <w:lvlJc w:val="left"/>
      <w:pPr>
        <w:ind w:left="5182" w:hanging="360"/>
      </w:pPr>
    </w:lvl>
    <w:lvl w:ilvl="7" w:tplc="04050019" w:tentative="1">
      <w:start w:val="1"/>
      <w:numFmt w:val="lowerLetter"/>
      <w:lvlText w:val="%8."/>
      <w:lvlJc w:val="left"/>
      <w:pPr>
        <w:ind w:left="5902" w:hanging="360"/>
      </w:pPr>
    </w:lvl>
    <w:lvl w:ilvl="8" w:tplc="0405001B" w:tentative="1">
      <w:start w:val="1"/>
      <w:numFmt w:val="lowerRoman"/>
      <w:lvlText w:val="%9."/>
      <w:lvlJc w:val="right"/>
      <w:pPr>
        <w:ind w:left="6622" w:hanging="180"/>
      </w:pPr>
    </w:lvl>
  </w:abstractNum>
  <w:abstractNum w:abstractNumId="73" w15:restartNumberingAfterBreak="0">
    <w:nsid w:val="72C65B4F"/>
    <w:multiLevelType w:val="multilevel"/>
    <w:tmpl w:val="722EE010"/>
    <w:lvl w:ilvl="0">
      <w:start w:val="1"/>
      <w:numFmt w:val="none"/>
      <w:isLgl/>
      <w:suff w:val="nothing"/>
      <w:lvlText w:val=""/>
      <w:lvlJc w:val="left"/>
      <w:pPr>
        <w:ind w:left="0" w:firstLine="0"/>
      </w:pPr>
      <w:rPr>
        <w:rFonts w:hint="default"/>
      </w:rPr>
    </w:lvl>
    <w:lvl w:ilvl="1">
      <w:start w:val="1"/>
      <w:numFmt w:val="none"/>
      <w:lvlRestart w:val="0"/>
      <w:suff w:val="nothing"/>
      <w:lvlText w:val=""/>
      <w:lvlJc w:val="left"/>
      <w:pPr>
        <w:ind w:left="0" w:firstLine="0"/>
      </w:pPr>
      <w:rPr>
        <w:rFonts w:hint="default"/>
      </w:rPr>
    </w:lvl>
    <w:lvl w:ilvl="2">
      <w:start w:val="1"/>
      <w:numFmt w:val="decimal"/>
      <w:isLgl/>
      <w:lvlText w:val="(%3)"/>
      <w:lvlJc w:val="left"/>
      <w:pPr>
        <w:tabs>
          <w:tab w:val="num" w:pos="641"/>
        </w:tabs>
        <w:ind w:left="-141" w:firstLine="425"/>
      </w:pPr>
      <w:rPr>
        <w:rFonts w:hint="default"/>
        <w:color w:val="auto"/>
      </w:rPr>
    </w:lvl>
    <w:lvl w:ilvl="3">
      <w:start w:val="1"/>
      <w:numFmt w:val="lowerLetter"/>
      <w:lvlText w:val="%4)"/>
      <w:lvlJc w:val="left"/>
      <w:pPr>
        <w:tabs>
          <w:tab w:val="num" w:pos="425"/>
        </w:tabs>
        <w:ind w:left="425" w:hanging="425"/>
      </w:pPr>
      <w:rPr>
        <w:rFonts w:hint="default"/>
      </w:rPr>
    </w:lvl>
    <w:lvl w:ilvl="4">
      <w:start w:val="1"/>
      <w:numFmt w:val="decimal"/>
      <w:isLgl/>
      <w:lvlText w:val="%5."/>
      <w:lvlJc w:val="left"/>
      <w:pPr>
        <w:tabs>
          <w:tab w:val="num" w:pos="851"/>
        </w:tabs>
        <w:ind w:left="851" w:hanging="426"/>
      </w:pPr>
      <w:rPr>
        <w:rFonts w:hint="default"/>
      </w:rPr>
    </w:lvl>
    <w:lvl w:ilvl="5">
      <w:start w:val="1"/>
      <w:numFmt w:val="none"/>
      <w:suff w:val="nothing"/>
      <w:lvlText w:val="%6"/>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74" w15:restartNumberingAfterBreak="0">
    <w:nsid w:val="75C96C84"/>
    <w:multiLevelType w:val="multilevel"/>
    <w:tmpl w:val="10B0866C"/>
    <w:lvl w:ilvl="0">
      <w:start w:val="1"/>
      <w:numFmt w:val="none"/>
      <w:isLgl/>
      <w:suff w:val="nothing"/>
      <w:lvlText w:val=""/>
      <w:lvlJc w:val="left"/>
      <w:pPr>
        <w:ind w:left="0" w:firstLine="0"/>
      </w:pPr>
      <w:rPr>
        <w:rFonts w:hint="default"/>
      </w:rPr>
    </w:lvl>
    <w:lvl w:ilvl="1">
      <w:start w:val="1"/>
      <w:numFmt w:val="none"/>
      <w:lvlRestart w:val="0"/>
      <w:suff w:val="nothing"/>
      <w:lvlText w:val=""/>
      <w:lvlJc w:val="left"/>
      <w:pPr>
        <w:ind w:left="0" w:firstLine="0"/>
      </w:pPr>
      <w:rPr>
        <w:rFonts w:hint="default"/>
      </w:rPr>
    </w:lvl>
    <w:lvl w:ilvl="2">
      <w:start w:val="1"/>
      <w:numFmt w:val="decimal"/>
      <w:isLgl/>
      <w:lvlText w:val="(%3)"/>
      <w:lvlJc w:val="left"/>
      <w:pPr>
        <w:tabs>
          <w:tab w:val="num" w:pos="1208"/>
        </w:tabs>
        <w:ind w:left="426" w:firstLine="425"/>
      </w:pPr>
      <w:rPr>
        <w:rFonts w:ascii="Times New Roman" w:eastAsia="Times New Roman" w:hAnsi="Times New Roman" w:cs="Times New Roman" w:hint="default"/>
        <w:b w:val="0"/>
        <w:strike w:val="0"/>
        <w:color w:val="auto"/>
      </w:rPr>
    </w:lvl>
    <w:lvl w:ilvl="3">
      <w:start w:val="1"/>
      <w:numFmt w:val="lowerLetter"/>
      <w:lvlText w:val="%4)"/>
      <w:lvlJc w:val="left"/>
      <w:pPr>
        <w:tabs>
          <w:tab w:val="num" w:pos="425"/>
        </w:tabs>
        <w:ind w:left="425" w:hanging="425"/>
      </w:pPr>
      <w:rPr>
        <w:rFonts w:hint="default"/>
        <w:strike w:val="0"/>
      </w:rPr>
    </w:lvl>
    <w:lvl w:ilvl="4">
      <w:start w:val="1"/>
      <w:numFmt w:val="decimal"/>
      <w:isLgl/>
      <w:lvlText w:val="%5."/>
      <w:lvlJc w:val="left"/>
      <w:pPr>
        <w:tabs>
          <w:tab w:val="num" w:pos="851"/>
        </w:tabs>
        <w:ind w:left="851" w:hanging="426"/>
      </w:pPr>
      <w:rPr>
        <w:rFonts w:hint="default"/>
      </w:rPr>
    </w:lvl>
    <w:lvl w:ilvl="5">
      <w:start w:val="1"/>
      <w:numFmt w:val="none"/>
      <w:suff w:val="nothing"/>
      <w:lvlText w:val="%6"/>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75" w15:restartNumberingAfterBreak="0">
    <w:nsid w:val="784A7E84"/>
    <w:multiLevelType w:val="multilevel"/>
    <w:tmpl w:val="86A6083A"/>
    <w:lvl w:ilvl="0">
      <w:start w:val="533"/>
      <w:numFmt w:val="none"/>
      <w:isLgl/>
      <w:suff w:val="nothing"/>
      <w:lvlText w:val=""/>
      <w:lvlJc w:val="left"/>
      <w:pPr>
        <w:ind w:left="0" w:firstLine="0"/>
      </w:pPr>
      <w:rPr>
        <w:rFonts w:hint="default"/>
      </w:rPr>
    </w:lvl>
    <w:lvl w:ilvl="1">
      <w:start w:val="17"/>
      <w:numFmt w:val="none"/>
      <w:lvlRestart w:val="0"/>
      <w:suff w:val="nothing"/>
      <w:lvlText w:val=""/>
      <w:lvlJc w:val="left"/>
      <w:pPr>
        <w:ind w:left="0" w:firstLine="0"/>
      </w:pPr>
      <w:rPr>
        <w:rFonts w:hint="default"/>
      </w:rPr>
    </w:lvl>
    <w:lvl w:ilvl="2">
      <w:start w:val="1"/>
      <w:numFmt w:val="decimal"/>
      <w:isLgl/>
      <w:lvlText w:val="(%3)"/>
      <w:lvlJc w:val="left"/>
      <w:pPr>
        <w:tabs>
          <w:tab w:val="num" w:pos="783"/>
        </w:tabs>
        <w:ind w:left="1" w:firstLine="425"/>
      </w:pPr>
      <w:rPr>
        <w:rFonts w:hint="default"/>
        <w:strike w:val="0"/>
      </w:rPr>
    </w:lvl>
    <w:lvl w:ilvl="3">
      <w:start w:val="1"/>
      <w:numFmt w:val="lowerLetter"/>
      <w:lvlText w:val="%4)"/>
      <w:lvlJc w:val="left"/>
      <w:pPr>
        <w:tabs>
          <w:tab w:val="num" w:pos="425"/>
        </w:tabs>
        <w:ind w:left="425" w:hanging="425"/>
      </w:pPr>
      <w:rPr>
        <w:rFonts w:hint="default"/>
        <w:b w:val="0"/>
      </w:rPr>
    </w:lvl>
    <w:lvl w:ilvl="4">
      <w:start w:val="1"/>
      <w:numFmt w:val="decimal"/>
      <w:isLgl/>
      <w:lvlText w:val="%5."/>
      <w:lvlJc w:val="left"/>
      <w:pPr>
        <w:tabs>
          <w:tab w:val="num" w:pos="851"/>
        </w:tabs>
        <w:ind w:left="851" w:hanging="426"/>
      </w:pPr>
      <w:rPr>
        <w:rFonts w:hint="default"/>
      </w:rPr>
    </w:lvl>
    <w:lvl w:ilvl="5">
      <w:start w:val="1"/>
      <w:numFmt w:val="none"/>
      <w:suff w:val="nothing"/>
      <w:lvlText w:val="%6"/>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76" w15:restartNumberingAfterBreak="0">
    <w:nsid w:val="78604A35"/>
    <w:multiLevelType w:val="hybridMultilevel"/>
    <w:tmpl w:val="2D2C538A"/>
    <w:lvl w:ilvl="0" w:tplc="5ED6CD70">
      <w:start w:val="1"/>
      <w:numFmt w:val="decimal"/>
      <w:pStyle w:val="StylDvodovzprva16bTun"/>
      <w:lvlText w:val="K bodu %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7" w15:restartNumberingAfterBreak="0">
    <w:nsid w:val="7AB70015"/>
    <w:multiLevelType w:val="multilevel"/>
    <w:tmpl w:val="CF929A5A"/>
    <w:lvl w:ilvl="0">
      <w:start w:val="13"/>
      <w:numFmt w:val="none"/>
      <w:isLgl/>
      <w:suff w:val="nothing"/>
      <w:lvlText w:val=""/>
      <w:lvlJc w:val="left"/>
      <w:pPr>
        <w:ind w:left="0" w:firstLine="0"/>
      </w:pPr>
      <w:rPr>
        <w:rFonts w:hint="default"/>
      </w:rPr>
    </w:lvl>
    <w:lvl w:ilvl="1">
      <w:start w:val="1"/>
      <w:numFmt w:val="none"/>
      <w:lvlRestart w:val="0"/>
      <w:suff w:val="nothing"/>
      <w:lvlText w:val=""/>
      <w:lvlJc w:val="left"/>
      <w:pPr>
        <w:ind w:left="0" w:firstLine="0"/>
      </w:pPr>
      <w:rPr>
        <w:rFonts w:hint="default"/>
      </w:rPr>
    </w:lvl>
    <w:lvl w:ilvl="2">
      <w:start w:val="1"/>
      <w:numFmt w:val="decimal"/>
      <w:isLgl/>
      <w:lvlText w:val="(%3)"/>
      <w:lvlJc w:val="left"/>
      <w:pPr>
        <w:tabs>
          <w:tab w:val="num" w:pos="783"/>
        </w:tabs>
        <w:ind w:left="1" w:firstLine="425"/>
      </w:pPr>
      <w:rPr>
        <w:rFonts w:hint="default"/>
      </w:rPr>
    </w:lvl>
    <w:lvl w:ilvl="3">
      <w:start w:val="1"/>
      <w:numFmt w:val="lowerLetter"/>
      <w:lvlText w:val="%4)"/>
      <w:lvlJc w:val="left"/>
      <w:pPr>
        <w:tabs>
          <w:tab w:val="num" w:pos="425"/>
        </w:tabs>
        <w:ind w:left="425" w:hanging="425"/>
      </w:pPr>
      <w:rPr>
        <w:rFonts w:ascii="Times New Roman" w:eastAsia="Times New Roman" w:hAnsi="Times New Roman" w:cs="Times New Roman" w:hint="default"/>
      </w:rPr>
    </w:lvl>
    <w:lvl w:ilvl="4">
      <w:start w:val="1"/>
      <w:numFmt w:val="decimal"/>
      <w:isLgl/>
      <w:lvlText w:val="%5."/>
      <w:lvlJc w:val="left"/>
      <w:pPr>
        <w:tabs>
          <w:tab w:val="num" w:pos="851"/>
        </w:tabs>
        <w:ind w:left="851" w:hanging="426"/>
      </w:pPr>
      <w:rPr>
        <w:rFonts w:hint="default"/>
      </w:rPr>
    </w:lvl>
    <w:lvl w:ilvl="5">
      <w:start w:val="1"/>
      <w:numFmt w:val="none"/>
      <w:suff w:val="nothing"/>
      <w:lvlText w:val="%6"/>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78" w15:restartNumberingAfterBreak="0">
    <w:nsid w:val="7AC076AA"/>
    <w:multiLevelType w:val="multilevel"/>
    <w:tmpl w:val="1284C354"/>
    <w:lvl w:ilvl="0">
      <w:start w:val="563"/>
      <w:numFmt w:val="none"/>
      <w:isLgl/>
      <w:suff w:val="nothing"/>
      <w:lvlText w:val=""/>
      <w:lvlJc w:val="left"/>
      <w:pPr>
        <w:ind w:left="0" w:firstLine="0"/>
      </w:pPr>
      <w:rPr>
        <w:rFonts w:hint="default"/>
      </w:rPr>
    </w:lvl>
    <w:lvl w:ilvl="1">
      <w:start w:val="28"/>
      <w:numFmt w:val="none"/>
      <w:lvlRestart w:val="0"/>
      <w:suff w:val="nothing"/>
      <w:lvlText w:val=""/>
      <w:lvlJc w:val="left"/>
      <w:pPr>
        <w:ind w:left="0" w:firstLine="0"/>
      </w:pPr>
      <w:rPr>
        <w:rFonts w:hint="default"/>
      </w:rPr>
    </w:lvl>
    <w:lvl w:ilvl="2">
      <w:start w:val="3"/>
      <w:numFmt w:val="decimal"/>
      <w:isLgl/>
      <w:lvlText w:val="(%3)"/>
      <w:lvlJc w:val="left"/>
      <w:pPr>
        <w:tabs>
          <w:tab w:val="num" w:pos="783"/>
        </w:tabs>
        <w:ind w:left="1" w:firstLine="425"/>
      </w:pPr>
      <w:rPr>
        <w:rFonts w:hint="default"/>
        <w:strike w:val="0"/>
      </w:rPr>
    </w:lvl>
    <w:lvl w:ilvl="3">
      <w:start w:val="1"/>
      <w:numFmt w:val="lowerLetter"/>
      <w:lvlText w:val="%4)"/>
      <w:lvlJc w:val="left"/>
      <w:pPr>
        <w:tabs>
          <w:tab w:val="num" w:pos="425"/>
        </w:tabs>
        <w:ind w:left="425" w:hanging="425"/>
      </w:pPr>
      <w:rPr>
        <w:rFonts w:hint="default"/>
        <w:b w:val="0"/>
      </w:rPr>
    </w:lvl>
    <w:lvl w:ilvl="4">
      <w:start w:val="1"/>
      <w:numFmt w:val="decimal"/>
      <w:isLgl/>
      <w:lvlText w:val="%5."/>
      <w:lvlJc w:val="left"/>
      <w:pPr>
        <w:tabs>
          <w:tab w:val="num" w:pos="851"/>
        </w:tabs>
        <w:ind w:left="851" w:hanging="426"/>
      </w:pPr>
      <w:rPr>
        <w:rFonts w:hint="default"/>
      </w:rPr>
    </w:lvl>
    <w:lvl w:ilvl="5">
      <w:start w:val="1"/>
      <w:numFmt w:val="none"/>
      <w:suff w:val="nothing"/>
      <w:lvlText w:val="%6"/>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79" w15:restartNumberingAfterBreak="0">
    <w:nsid w:val="7E084B59"/>
    <w:multiLevelType w:val="hybridMultilevel"/>
    <w:tmpl w:val="A1E09356"/>
    <w:lvl w:ilvl="0" w:tplc="0718937C">
      <w:start w:val="1"/>
      <w:numFmt w:val="bullet"/>
      <w:pStyle w:val="neslovanseznam1"/>
      <w:lvlText w:val=""/>
      <w:lvlJc w:val="left"/>
      <w:pPr>
        <w:tabs>
          <w:tab w:val="num" w:pos="360"/>
        </w:tabs>
        <w:ind w:left="360" w:hanging="360"/>
      </w:pPr>
      <w:rPr>
        <w:rFonts w:ascii="Symbol" w:hAnsi="Symbol" w:hint="default"/>
        <w:color w:val="auto"/>
      </w:rPr>
    </w:lvl>
    <w:lvl w:ilvl="1" w:tplc="04050019" w:tentative="1">
      <w:start w:val="1"/>
      <w:numFmt w:val="lowerLetter"/>
      <w:lvlText w:val="%2."/>
      <w:lvlJc w:val="left"/>
      <w:pPr>
        <w:tabs>
          <w:tab w:val="num" w:pos="1440"/>
        </w:tabs>
        <w:ind w:left="1440" w:hanging="360"/>
      </w:pPr>
    </w:lvl>
    <w:lvl w:ilvl="2" w:tplc="0405001B" w:tentative="1">
      <w:start w:val="1"/>
      <w:numFmt w:val="lowerRoman"/>
      <w:lvlText w:val="%3."/>
      <w:lvlJc w:val="right"/>
      <w:pPr>
        <w:tabs>
          <w:tab w:val="num" w:pos="2160"/>
        </w:tabs>
        <w:ind w:left="2160" w:hanging="180"/>
      </w:pPr>
    </w:lvl>
    <w:lvl w:ilvl="3" w:tplc="0405000F" w:tentative="1">
      <w:start w:val="1"/>
      <w:numFmt w:val="decimal"/>
      <w:lvlText w:val="%4."/>
      <w:lvlJc w:val="left"/>
      <w:pPr>
        <w:tabs>
          <w:tab w:val="num" w:pos="2880"/>
        </w:tabs>
        <w:ind w:left="2880" w:hanging="360"/>
      </w:pPr>
    </w:lvl>
    <w:lvl w:ilvl="4" w:tplc="04050019" w:tentative="1">
      <w:start w:val="1"/>
      <w:numFmt w:val="lowerLetter"/>
      <w:lvlText w:val="%5."/>
      <w:lvlJc w:val="left"/>
      <w:pPr>
        <w:tabs>
          <w:tab w:val="num" w:pos="3600"/>
        </w:tabs>
        <w:ind w:left="3600" w:hanging="360"/>
      </w:pPr>
    </w:lvl>
    <w:lvl w:ilvl="5" w:tplc="0405001B" w:tentative="1">
      <w:start w:val="1"/>
      <w:numFmt w:val="lowerRoman"/>
      <w:lvlText w:val="%6."/>
      <w:lvlJc w:val="right"/>
      <w:pPr>
        <w:tabs>
          <w:tab w:val="num" w:pos="4320"/>
        </w:tabs>
        <w:ind w:left="4320" w:hanging="180"/>
      </w:pPr>
    </w:lvl>
    <w:lvl w:ilvl="6" w:tplc="0405000F" w:tentative="1">
      <w:start w:val="1"/>
      <w:numFmt w:val="decimal"/>
      <w:lvlText w:val="%7."/>
      <w:lvlJc w:val="left"/>
      <w:pPr>
        <w:tabs>
          <w:tab w:val="num" w:pos="5040"/>
        </w:tabs>
        <w:ind w:left="5040" w:hanging="360"/>
      </w:pPr>
    </w:lvl>
    <w:lvl w:ilvl="7" w:tplc="04050019" w:tentative="1">
      <w:start w:val="1"/>
      <w:numFmt w:val="lowerLetter"/>
      <w:lvlText w:val="%8."/>
      <w:lvlJc w:val="left"/>
      <w:pPr>
        <w:tabs>
          <w:tab w:val="num" w:pos="5760"/>
        </w:tabs>
        <w:ind w:left="5760" w:hanging="360"/>
      </w:pPr>
    </w:lvl>
    <w:lvl w:ilvl="8" w:tplc="0405001B" w:tentative="1">
      <w:start w:val="1"/>
      <w:numFmt w:val="lowerRoman"/>
      <w:lvlText w:val="%9."/>
      <w:lvlJc w:val="right"/>
      <w:pPr>
        <w:tabs>
          <w:tab w:val="num" w:pos="6480"/>
        </w:tabs>
        <w:ind w:left="6480" w:hanging="180"/>
      </w:pPr>
    </w:lvl>
  </w:abstractNum>
  <w:abstractNum w:abstractNumId="80" w15:restartNumberingAfterBreak="0">
    <w:nsid w:val="7E0C6C44"/>
    <w:multiLevelType w:val="hybridMultilevel"/>
    <w:tmpl w:val="F23C7B34"/>
    <w:lvl w:ilvl="0" w:tplc="E4089D4A">
      <w:start w:val="1"/>
      <w:numFmt w:val="lowerLetter"/>
      <w:pStyle w:val="CStyla"/>
      <w:lvlText w:val="%1)"/>
      <w:lvlJc w:val="left"/>
      <w:pPr>
        <w:ind w:left="928" w:hanging="360"/>
      </w:pPr>
      <w:rPr>
        <w:rFonts w:cs="Times New Roman" w:hint="default"/>
      </w:rPr>
    </w:lvl>
    <w:lvl w:ilvl="1" w:tplc="04050019" w:tentative="1">
      <w:start w:val="1"/>
      <w:numFmt w:val="lowerLetter"/>
      <w:lvlText w:val="%2."/>
      <w:lvlJc w:val="left"/>
      <w:pPr>
        <w:ind w:left="1440" w:hanging="360"/>
      </w:pPr>
      <w:rPr>
        <w:rFonts w:cs="Times New Roman"/>
      </w:rPr>
    </w:lvl>
    <w:lvl w:ilvl="2" w:tplc="0405001B" w:tentative="1">
      <w:start w:val="1"/>
      <w:numFmt w:val="lowerRoman"/>
      <w:lvlText w:val="%3."/>
      <w:lvlJc w:val="right"/>
      <w:pPr>
        <w:ind w:left="2160" w:hanging="180"/>
      </w:pPr>
      <w:rPr>
        <w:rFonts w:cs="Times New Roman"/>
      </w:rPr>
    </w:lvl>
    <w:lvl w:ilvl="3" w:tplc="0405000F" w:tentative="1">
      <w:start w:val="1"/>
      <w:numFmt w:val="decimal"/>
      <w:lvlText w:val="%4."/>
      <w:lvlJc w:val="left"/>
      <w:pPr>
        <w:ind w:left="2880" w:hanging="360"/>
      </w:pPr>
      <w:rPr>
        <w:rFonts w:cs="Times New Roman"/>
      </w:rPr>
    </w:lvl>
    <w:lvl w:ilvl="4" w:tplc="04050019" w:tentative="1">
      <w:start w:val="1"/>
      <w:numFmt w:val="lowerLetter"/>
      <w:lvlText w:val="%5."/>
      <w:lvlJc w:val="left"/>
      <w:pPr>
        <w:ind w:left="3600" w:hanging="360"/>
      </w:pPr>
      <w:rPr>
        <w:rFonts w:cs="Times New Roman"/>
      </w:rPr>
    </w:lvl>
    <w:lvl w:ilvl="5" w:tplc="0405001B" w:tentative="1">
      <w:start w:val="1"/>
      <w:numFmt w:val="lowerRoman"/>
      <w:lvlText w:val="%6."/>
      <w:lvlJc w:val="right"/>
      <w:pPr>
        <w:ind w:left="4320" w:hanging="180"/>
      </w:pPr>
      <w:rPr>
        <w:rFonts w:cs="Times New Roman"/>
      </w:rPr>
    </w:lvl>
    <w:lvl w:ilvl="6" w:tplc="0405000F" w:tentative="1">
      <w:start w:val="1"/>
      <w:numFmt w:val="decimal"/>
      <w:lvlText w:val="%7."/>
      <w:lvlJc w:val="left"/>
      <w:pPr>
        <w:ind w:left="5040" w:hanging="360"/>
      </w:pPr>
      <w:rPr>
        <w:rFonts w:cs="Times New Roman"/>
      </w:rPr>
    </w:lvl>
    <w:lvl w:ilvl="7" w:tplc="04050019" w:tentative="1">
      <w:start w:val="1"/>
      <w:numFmt w:val="lowerLetter"/>
      <w:lvlText w:val="%8."/>
      <w:lvlJc w:val="left"/>
      <w:pPr>
        <w:ind w:left="5760" w:hanging="360"/>
      </w:pPr>
      <w:rPr>
        <w:rFonts w:cs="Times New Roman"/>
      </w:rPr>
    </w:lvl>
    <w:lvl w:ilvl="8" w:tplc="0405001B" w:tentative="1">
      <w:start w:val="1"/>
      <w:numFmt w:val="lowerRoman"/>
      <w:lvlText w:val="%9."/>
      <w:lvlJc w:val="right"/>
      <w:pPr>
        <w:ind w:left="6480" w:hanging="180"/>
      </w:pPr>
      <w:rPr>
        <w:rFonts w:cs="Times New Roman"/>
      </w:rPr>
    </w:lvl>
  </w:abstractNum>
  <w:abstractNum w:abstractNumId="81" w15:restartNumberingAfterBreak="0">
    <w:nsid w:val="7FE12532"/>
    <w:multiLevelType w:val="hybridMultilevel"/>
    <w:tmpl w:val="A410A940"/>
    <w:lvl w:ilvl="0" w:tplc="52C6C694">
      <w:start w:val="1"/>
      <w:numFmt w:val="upperRoman"/>
      <w:pStyle w:val="Dvodovzprvakhlav"/>
      <w:suff w:val="nothing"/>
      <w:lvlText w:val="K hlavě %1"/>
      <w:lvlJc w:val="left"/>
      <w:pPr>
        <w:ind w:left="0" w:firstLine="0"/>
      </w:pPr>
      <w:rPr>
        <w:rFonts w:hint="default"/>
        <w:b/>
        <w:i w: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num w:numId="1">
    <w:abstractNumId w:val="31"/>
  </w:num>
  <w:num w:numId="2">
    <w:abstractNumId w:val="26"/>
  </w:num>
  <w:num w:numId="3">
    <w:abstractNumId w:val="66"/>
  </w:num>
  <w:num w:numId="4">
    <w:abstractNumId w:val="39"/>
  </w:num>
  <w:num w:numId="5">
    <w:abstractNumId w:val="12"/>
  </w:num>
  <w:num w:numId="6">
    <w:abstractNumId w:val="11"/>
  </w:num>
  <w:num w:numId="7">
    <w:abstractNumId w:val="72"/>
  </w:num>
  <w:num w:numId="8">
    <w:abstractNumId w:val="18"/>
  </w:num>
  <w:num w:numId="9">
    <w:abstractNumId w:val="81"/>
  </w:num>
  <w:num w:numId="10">
    <w:abstractNumId w:val="56"/>
  </w:num>
  <w:num w:numId="11">
    <w:abstractNumId w:val="69"/>
  </w:num>
  <w:num w:numId="12">
    <w:abstractNumId w:val="63"/>
  </w:num>
  <w:num w:numId="13">
    <w:abstractNumId w:val="8"/>
  </w:num>
  <w:num w:numId="14">
    <w:abstractNumId w:val="3"/>
  </w:num>
  <w:num w:numId="15">
    <w:abstractNumId w:val="2"/>
  </w:num>
  <w:num w:numId="16">
    <w:abstractNumId w:val="1"/>
  </w:num>
  <w:num w:numId="17">
    <w:abstractNumId w:val="0"/>
  </w:num>
  <w:num w:numId="18">
    <w:abstractNumId w:val="50"/>
  </w:num>
  <w:num w:numId="19">
    <w:abstractNumId w:val="9"/>
  </w:num>
  <w:num w:numId="20">
    <w:abstractNumId w:val="7"/>
  </w:num>
  <w:num w:numId="21">
    <w:abstractNumId w:val="6"/>
  </w:num>
  <w:num w:numId="22">
    <w:abstractNumId w:val="5"/>
  </w:num>
  <w:num w:numId="23">
    <w:abstractNumId w:val="4"/>
  </w:num>
  <w:num w:numId="24">
    <w:abstractNumId w:val="27"/>
  </w:num>
  <w:num w:numId="25">
    <w:abstractNumId w:val="32"/>
  </w:num>
  <w:num w:numId="26">
    <w:abstractNumId w:val="25"/>
    <w:lvlOverride w:ilvl="0">
      <w:startOverride w:val="1"/>
    </w:lvlOverride>
  </w:num>
  <w:num w:numId="27">
    <w:abstractNumId w:val="26"/>
    <w:lvlOverride w:ilvl="0">
      <w:lvl w:ilvl="0">
        <w:start w:val="1"/>
        <w:numFmt w:val="none"/>
        <w:isLgl/>
        <w:suff w:val="nothing"/>
        <w:lvlText w:val=""/>
        <w:lvlJc w:val="left"/>
        <w:pPr>
          <w:ind w:left="0" w:firstLine="0"/>
        </w:pPr>
        <w:rPr>
          <w:rFonts w:hint="default"/>
        </w:rPr>
      </w:lvl>
    </w:lvlOverride>
    <w:lvlOverride w:ilvl="1">
      <w:lvl w:ilvl="1">
        <w:start w:val="1"/>
        <w:numFmt w:val="none"/>
        <w:lvlRestart w:val="0"/>
        <w:suff w:val="nothing"/>
        <w:lvlText w:val=""/>
        <w:lvlJc w:val="left"/>
        <w:pPr>
          <w:ind w:left="0" w:firstLine="0"/>
        </w:pPr>
        <w:rPr>
          <w:rFonts w:hint="default"/>
        </w:rPr>
      </w:lvl>
    </w:lvlOverride>
    <w:lvlOverride w:ilvl="2">
      <w:lvl w:ilvl="2">
        <w:start w:val="1"/>
        <w:numFmt w:val="decimal"/>
        <w:isLgl/>
        <w:lvlText w:val="(%3)"/>
        <w:lvlJc w:val="left"/>
        <w:pPr>
          <w:tabs>
            <w:tab w:val="num" w:pos="783"/>
          </w:tabs>
          <w:ind w:left="1" w:firstLine="425"/>
        </w:pPr>
        <w:rPr>
          <w:rFonts w:hint="default"/>
          <w:strike w:val="0"/>
        </w:rPr>
      </w:lvl>
    </w:lvlOverride>
    <w:lvlOverride w:ilvl="3">
      <w:lvl w:ilvl="3">
        <w:start w:val="1"/>
        <w:numFmt w:val="lowerLetter"/>
        <w:lvlText w:val="%4)"/>
        <w:lvlJc w:val="left"/>
        <w:pPr>
          <w:tabs>
            <w:tab w:val="num" w:pos="425"/>
          </w:tabs>
          <w:ind w:left="425" w:hanging="425"/>
        </w:pPr>
        <w:rPr>
          <w:rFonts w:hint="default"/>
          <w:b w:val="0"/>
        </w:rPr>
      </w:lvl>
    </w:lvlOverride>
    <w:lvlOverride w:ilvl="4">
      <w:lvl w:ilvl="4">
        <w:start w:val="1"/>
        <w:numFmt w:val="decimal"/>
        <w:isLgl/>
        <w:lvlText w:val="%5."/>
        <w:lvlJc w:val="left"/>
        <w:pPr>
          <w:tabs>
            <w:tab w:val="num" w:pos="851"/>
          </w:tabs>
          <w:ind w:left="851" w:hanging="426"/>
        </w:pPr>
        <w:rPr>
          <w:rFonts w:hint="default"/>
        </w:rPr>
      </w:lvl>
    </w:lvlOverride>
    <w:lvlOverride w:ilvl="5">
      <w:lvl w:ilvl="5">
        <w:start w:val="1"/>
        <w:numFmt w:val="none"/>
        <w:suff w:val="nothing"/>
        <w:lvlText w:val="%6"/>
        <w:lvlJc w:val="left"/>
        <w:pPr>
          <w:ind w:left="0" w:firstLine="0"/>
        </w:pPr>
        <w:rPr>
          <w:rFonts w:hint="default"/>
        </w:rPr>
      </w:lvl>
    </w:lvlOverride>
    <w:lvlOverride w:ilvl="6">
      <w:lvl w:ilvl="6">
        <w:start w:val="1"/>
        <w:numFmt w:val="none"/>
        <w:suff w:val="nothing"/>
        <w:lvlText w:val=""/>
        <w:lvlJc w:val="left"/>
        <w:pPr>
          <w:ind w:left="0" w:firstLine="0"/>
        </w:pPr>
        <w:rPr>
          <w:rFonts w:hint="default"/>
        </w:rPr>
      </w:lvl>
    </w:lvlOverride>
    <w:lvlOverride w:ilvl="7">
      <w:lvl w:ilvl="7">
        <w:start w:val="1"/>
        <w:numFmt w:val="none"/>
        <w:suff w:val="nothing"/>
        <w:lvlText w:val=""/>
        <w:lvlJc w:val="left"/>
        <w:pPr>
          <w:ind w:left="0" w:firstLine="0"/>
        </w:pPr>
        <w:rPr>
          <w:rFonts w:hint="default"/>
        </w:rPr>
      </w:lvl>
    </w:lvlOverride>
    <w:lvlOverride w:ilvl="8">
      <w:lvl w:ilvl="8">
        <w:start w:val="1"/>
        <w:numFmt w:val="none"/>
        <w:suff w:val="nothing"/>
        <w:lvlText w:val=""/>
        <w:lvlJc w:val="left"/>
        <w:pPr>
          <w:ind w:left="0" w:firstLine="0"/>
        </w:pPr>
        <w:rPr>
          <w:rFonts w:hint="default"/>
        </w:rPr>
      </w:lvl>
    </w:lvlOverride>
  </w:num>
  <w:num w:numId="28">
    <w:abstractNumId w:val="34"/>
  </w:num>
  <w:num w:numId="29">
    <w:abstractNumId w:val="55"/>
  </w:num>
  <w:num w:numId="30">
    <w:abstractNumId w:val="21"/>
  </w:num>
  <w:num w:numId="31">
    <w:abstractNumId w:val="37"/>
  </w:num>
  <w:num w:numId="32">
    <w:abstractNumId w:val="23"/>
  </w:num>
  <w:num w:numId="33">
    <w:abstractNumId w:val="29"/>
  </w:num>
  <w:num w:numId="34">
    <w:abstractNumId w:val="35"/>
  </w:num>
  <w:num w:numId="35">
    <w:abstractNumId w:val="53"/>
  </w:num>
  <w:num w:numId="36">
    <w:abstractNumId w:val="80"/>
  </w:num>
  <w:num w:numId="37">
    <w:abstractNumId w:val="14"/>
  </w:num>
  <w:num w:numId="38">
    <w:abstractNumId w:val="58"/>
  </w:num>
  <w:num w:numId="39">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75"/>
  </w:num>
  <w:num w:numId="42">
    <w:abstractNumId w:val="51"/>
  </w:num>
  <w:num w:numId="43">
    <w:abstractNumId w:val="70"/>
  </w:num>
  <w:num w:numId="44">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7"/>
  </w:num>
  <w:num w:numId="46">
    <w:abstractNumId w:val="22"/>
  </w:num>
  <w:num w:numId="47">
    <w:abstractNumId w:val="57"/>
  </w:num>
  <w:num w:numId="48">
    <w:abstractNumId w:val="38"/>
  </w:num>
  <w:num w:numId="49">
    <w:abstractNumId w:val="52"/>
  </w:num>
  <w:num w:numId="50">
    <w:abstractNumId w:val="47"/>
  </w:num>
  <w:num w:numId="51">
    <w:abstractNumId w:val="68"/>
  </w:num>
  <w:num w:numId="52">
    <w:abstractNumId w:val="24"/>
  </w:num>
  <w:num w:numId="53">
    <w:abstractNumId w:val="36"/>
  </w:num>
  <w:num w:numId="54">
    <w:abstractNumId w:val="48"/>
  </w:num>
  <w:num w:numId="55">
    <w:abstractNumId w:val="10"/>
  </w:num>
  <w:num w:numId="56">
    <w:abstractNumId w:val="49"/>
  </w:num>
  <w:num w:numId="57">
    <w:abstractNumId w:val="33"/>
  </w:num>
  <w:num w:numId="58">
    <w:abstractNumId w:val="13"/>
  </w:num>
  <w:num w:numId="59">
    <w:abstractNumId w:val="74"/>
  </w:num>
  <w:num w:numId="60">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43"/>
  </w:num>
  <w:num w:numId="62">
    <w:abstractNumId w:val="30"/>
  </w:num>
  <w:num w:numId="63">
    <w:abstractNumId w:val="46"/>
  </w:num>
  <w:num w:numId="64">
    <w:abstractNumId w:val="61"/>
  </w:num>
  <w:num w:numId="65">
    <w:abstractNumId w:val="76"/>
  </w:num>
  <w:num w:numId="66">
    <w:abstractNumId w:val="67"/>
  </w:num>
  <w:num w:numId="67">
    <w:abstractNumId w:val="62"/>
  </w:num>
  <w:num w:numId="68">
    <w:abstractNumId w:val="59"/>
  </w:num>
  <w:num w:numId="69">
    <w:abstractNumId w:val="78"/>
  </w:num>
  <w:num w:numId="70">
    <w:abstractNumId w:val="16"/>
  </w:num>
  <w:num w:numId="71">
    <w:abstractNumId w:val="65"/>
  </w:num>
  <w:num w:numId="72">
    <w:abstractNumId w:val="64"/>
  </w:num>
  <w:num w:numId="73">
    <w:abstractNumId w:val="31"/>
    <w:lvlOverride w:ilvl="0">
      <w:startOverride w:val="1"/>
    </w:lvlOverride>
    <w:lvlOverride w:ilvl="1">
      <w:startOverride w:val="1"/>
    </w:lvlOverride>
    <w:lvlOverride w:ilvl="2">
      <w:startOverride w:val="1"/>
    </w:lvlOverride>
    <w:lvlOverride w:ilvl="3">
      <w:startOverride w:val="12"/>
    </w:lvlOverride>
  </w:num>
  <w:num w:numId="74">
    <w:abstractNumId w:val="79"/>
  </w:num>
  <w:num w:numId="75">
    <w:abstractNumId w:val="20"/>
  </w:num>
  <w:num w:numId="76">
    <w:abstractNumId w:val="41"/>
  </w:num>
  <w:num w:numId="77">
    <w:abstractNumId w:val="42"/>
  </w:num>
  <w:num w:numId="78">
    <w:abstractNumId w:val="44"/>
  </w:num>
  <w:num w:numId="79">
    <w:abstractNumId w:val="15"/>
  </w:num>
  <w:num w:numId="80">
    <w:abstractNumId w:val="71"/>
  </w:num>
  <w:num w:numId="81">
    <w:abstractNumId w:val="28"/>
  </w:num>
  <w:num w:numId="82">
    <w:abstractNumId w:val="19"/>
  </w:num>
  <w:num w:numId="83">
    <w:abstractNumId w:val="77"/>
  </w:num>
  <w:num w:numId="84">
    <w:abstractNumId w:val="45"/>
  </w:num>
  <w:num w:numId="85">
    <w:abstractNumId w:val="40"/>
  </w:num>
  <w:num w:numId="86">
    <w:abstractNumId w:val="60"/>
  </w:num>
  <w:num w:numId="87">
    <w:abstractNumId w:val="73"/>
  </w:num>
  <w:num w:numId="88">
    <w:abstractNumId w:val="54"/>
  </w:num>
  <w:numIdMacAtCleanup w:val="8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0"/>
  <w:proofState w:spelling="clean" w:grammar="clean"/>
  <w:defaultTabStop w:val="425"/>
  <w:hyphenationZone w:val="425"/>
  <w:characterSpacingControl w:val="doNotCompress"/>
  <w:footnotePr>
    <w:numStart w:val="6"/>
    <w:footnote w:id="-1"/>
    <w:footnote w:id="0"/>
  </w:footnotePr>
  <w:endnotePr>
    <w:pos w:val="sectEnd"/>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95AB6"/>
    <w:rsid w:val="00002A5E"/>
    <w:rsid w:val="00002DDE"/>
    <w:rsid w:val="00002DEF"/>
    <w:rsid w:val="00005DF6"/>
    <w:rsid w:val="00006AF5"/>
    <w:rsid w:val="000074A8"/>
    <w:rsid w:val="00007712"/>
    <w:rsid w:val="0001063A"/>
    <w:rsid w:val="00013E16"/>
    <w:rsid w:val="00013FFD"/>
    <w:rsid w:val="00014CCA"/>
    <w:rsid w:val="00017574"/>
    <w:rsid w:val="000231EC"/>
    <w:rsid w:val="00024312"/>
    <w:rsid w:val="0002492C"/>
    <w:rsid w:val="00024DD2"/>
    <w:rsid w:val="00034D6F"/>
    <w:rsid w:val="00036C64"/>
    <w:rsid w:val="00037791"/>
    <w:rsid w:val="0003794A"/>
    <w:rsid w:val="00040711"/>
    <w:rsid w:val="000422C0"/>
    <w:rsid w:val="00043165"/>
    <w:rsid w:val="00043C0E"/>
    <w:rsid w:val="00044073"/>
    <w:rsid w:val="00044E7D"/>
    <w:rsid w:val="000467BB"/>
    <w:rsid w:val="000479A7"/>
    <w:rsid w:val="000508CF"/>
    <w:rsid w:val="00061744"/>
    <w:rsid w:val="0006588E"/>
    <w:rsid w:val="0006618A"/>
    <w:rsid w:val="0007007B"/>
    <w:rsid w:val="00070A35"/>
    <w:rsid w:val="00070ECF"/>
    <w:rsid w:val="000714A9"/>
    <w:rsid w:val="00071B07"/>
    <w:rsid w:val="00072ED7"/>
    <w:rsid w:val="00073BAB"/>
    <w:rsid w:val="00074050"/>
    <w:rsid w:val="00074E16"/>
    <w:rsid w:val="00075A7A"/>
    <w:rsid w:val="00075F97"/>
    <w:rsid w:val="00076327"/>
    <w:rsid w:val="00076954"/>
    <w:rsid w:val="00076A1D"/>
    <w:rsid w:val="00080229"/>
    <w:rsid w:val="00082115"/>
    <w:rsid w:val="00082900"/>
    <w:rsid w:val="000839A4"/>
    <w:rsid w:val="00084391"/>
    <w:rsid w:val="00085B44"/>
    <w:rsid w:val="00087663"/>
    <w:rsid w:val="00087E65"/>
    <w:rsid w:val="00090B6F"/>
    <w:rsid w:val="00091003"/>
    <w:rsid w:val="00091280"/>
    <w:rsid w:val="00091B29"/>
    <w:rsid w:val="00091B3B"/>
    <w:rsid w:val="0009361C"/>
    <w:rsid w:val="00094019"/>
    <w:rsid w:val="00094344"/>
    <w:rsid w:val="00096616"/>
    <w:rsid w:val="000A0561"/>
    <w:rsid w:val="000A1483"/>
    <w:rsid w:val="000A18B9"/>
    <w:rsid w:val="000A5236"/>
    <w:rsid w:val="000A58F6"/>
    <w:rsid w:val="000A5E1A"/>
    <w:rsid w:val="000A6E57"/>
    <w:rsid w:val="000B0B4B"/>
    <w:rsid w:val="000B1B15"/>
    <w:rsid w:val="000B32D9"/>
    <w:rsid w:val="000B4249"/>
    <w:rsid w:val="000B4E23"/>
    <w:rsid w:val="000B6B0E"/>
    <w:rsid w:val="000B6CF8"/>
    <w:rsid w:val="000B6E91"/>
    <w:rsid w:val="000B7E7B"/>
    <w:rsid w:val="000C0E1C"/>
    <w:rsid w:val="000C1EA8"/>
    <w:rsid w:val="000C2133"/>
    <w:rsid w:val="000C285F"/>
    <w:rsid w:val="000C2C5B"/>
    <w:rsid w:val="000C4D7B"/>
    <w:rsid w:val="000C5701"/>
    <w:rsid w:val="000C6693"/>
    <w:rsid w:val="000C68EB"/>
    <w:rsid w:val="000C720F"/>
    <w:rsid w:val="000C7A04"/>
    <w:rsid w:val="000C7E94"/>
    <w:rsid w:val="000D0796"/>
    <w:rsid w:val="000D0F49"/>
    <w:rsid w:val="000D2511"/>
    <w:rsid w:val="000D2875"/>
    <w:rsid w:val="000D336E"/>
    <w:rsid w:val="000D57D0"/>
    <w:rsid w:val="000D5A31"/>
    <w:rsid w:val="000D686D"/>
    <w:rsid w:val="000D73B3"/>
    <w:rsid w:val="000E017B"/>
    <w:rsid w:val="000E0F24"/>
    <w:rsid w:val="000E4011"/>
    <w:rsid w:val="000E4C3D"/>
    <w:rsid w:val="000E523E"/>
    <w:rsid w:val="000E68B9"/>
    <w:rsid w:val="000E711E"/>
    <w:rsid w:val="000F0085"/>
    <w:rsid w:val="000F06C0"/>
    <w:rsid w:val="000F1263"/>
    <w:rsid w:val="000F1CD0"/>
    <w:rsid w:val="000F28E7"/>
    <w:rsid w:val="000F2DB9"/>
    <w:rsid w:val="000F3B35"/>
    <w:rsid w:val="000F5367"/>
    <w:rsid w:val="000F75B6"/>
    <w:rsid w:val="000F75FA"/>
    <w:rsid w:val="001006D4"/>
    <w:rsid w:val="001009D7"/>
    <w:rsid w:val="0010420C"/>
    <w:rsid w:val="00106516"/>
    <w:rsid w:val="0010688C"/>
    <w:rsid w:val="001107EA"/>
    <w:rsid w:val="00110C86"/>
    <w:rsid w:val="00110D62"/>
    <w:rsid w:val="00111002"/>
    <w:rsid w:val="00111183"/>
    <w:rsid w:val="001118E7"/>
    <w:rsid w:val="00111F23"/>
    <w:rsid w:val="00113643"/>
    <w:rsid w:val="0011373C"/>
    <w:rsid w:val="00114057"/>
    <w:rsid w:val="001140F0"/>
    <w:rsid w:val="00114AE1"/>
    <w:rsid w:val="0011660D"/>
    <w:rsid w:val="0011699B"/>
    <w:rsid w:val="001174DD"/>
    <w:rsid w:val="00117A9E"/>
    <w:rsid w:val="001206A1"/>
    <w:rsid w:val="00121500"/>
    <w:rsid w:val="00122311"/>
    <w:rsid w:val="00125120"/>
    <w:rsid w:val="00127F6E"/>
    <w:rsid w:val="001305D7"/>
    <w:rsid w:val="00130AB5"/>
    <w:rsid w:val="001311EC"/>
    <w:rsid w:val="001318FB"/>
    <w:rsid w:val="001324CD"/>
    <w:rsid w:val="00133621"/>
    <w:rsid w:val="0013493F"/>
    <w:rsid w:val="00134C73"/>
    <w:rsid w:val="00135456"/>
    <w:rsid w:val="00135993"/>
    <w:rsid w:val="001375FF"/>
    <w:rsid w:val="00137BFD"/>
    <w:rsid w:val="00137EA8"/>
    <w:rsid w:val="001407E1"/>
    <w:rsid w:val="001417E5"/>
    <w:rsid w:val="0014215F"/>
    <w:rsid w:val="00142686"/>
    <w:rsid w:val="00142FF7"/>
    <w:rsid w:val="001440E5"/>
    <w:rsid w:val="00144684"/>
    <w:rsid w:val="00145672"/>
    <w:rsid w:val="00146024"/>
    <w:rsid w:val="001461EC"/>
    <w:rsid w:val="0014677B"/>
    <w:rsid w:val="001472A5"/>
    <w:rsid w:val="00147520"/>
    <w:rsid w:val="001479F6"/>
    <w:rsid w:val="00147AB4"/>
    <w:rsid w:val="001506B1"/>
    <w:rsid w:val="00150B86"/>
    <w:rsid w:val="00152046"/>
    <w:rsid w:val="00152E1B"/>
    <w:rsid w:val="00155CF9"/>
    <w:rsid w:val="00156893"/>
    <w:rsid w:val="00160E90"/>
    <w:rsid w:val="0016191E"/>
    <w:rsid w:val="00162C70"/>
    <w:rsid w:val="00163B94"/>
    <w:rsid w:val="00163EFB"/>
    <w:rsid w:val="00163F33"/>
    <w:rsid w:val="0016515B"/>
    <w:rsid w:val="001654EE"/>
    <w:rsid w:val="001657B7"/>
    <w:rsid w:val="00165CD4"/>
    <w:rsid w:val="00165D42"/>
    <w:rsid w:val="001666E7"/>
    <w:rsid w:val="00166BED"/>
    <w:rsid w:val="00166C83"/>
    <w:rsid w:val="001702C9"/>
    <w:rsid w:val="0017031E"/>
    <w:rsid w:val="00170837"/>
    <w:rsid w:val="00171029"/>
    <w:rsid w:val="00171532"/>
    <w:rsid w:val="00173ACE"/>
    <w:rsid w:val="001747F0"/>
    <w:rsid w:val="00177D29"/>
    <w:rsid w:val="00180250"/>
    <w:rsid w:val="00181D6E"/>
    <w:rsid w:val="00182BB0"/>
    <w:rsid w:val="001839FA"/>
    <w:rsid w:val="00183D70"/>
    <w:rsid w:val="00183F49"/>
    <w:rsid w:val="001843B6"/>
    <w:rsid w:val="001851F7"/>
    <w:rsid w:val="00185222"/>
    <w:rsid w:val="00190928"/>
    <w:rsid w:val="00190CF4"/>
    <w:rsid w:val="00191EBA"/>
    <w:rsid w:val="0019202E"/>
    <w:rsid w:val="0019273B"/>
    <w:rsid w:val="00193498"/>
    <w:rsid w:val="001940CC"/>
    <w:rsid w:val="00195CF6"/>
    <w:rsid w:val="00195EB3"/>
    <w:rsid w:val="001965B7"/>
    <w:rsid w:val="00196C7F"/>
    <w:rsid w:val="00197D8F"/>
    <w:rsid w:val="00197EB5"/>
    <w:rsid w:val="001A10D2"/>
    <w:rsid w:val="001A25F8"/>
    <w:rsid w:val="001A2F47"/>
    <w:rsid w:val="001A3465"/>
    <w:rsid w:val="001A602A"/>
    <w:rsid w:val="001A6742"/>
    <w:rsid w:val="001B08DB"/>
    <w:rsid w:val="001B1FC3"/>
    <w:rsid w:val="001B2667"/>
    <w:rsid w:val="001B2812"/>
    <w:rsid w:val="001B2F75"/>
    <w:rsid w:val="001B4020"/>
    <w:rsid w:val="001B4846"/>
    <w:rsid w:val="001B498A"/>
    <w:rsid w:val="001B5EDC"/>
    <w:rsid w:val="001B63D9"/>
    <w:rsid w:val="001B6C3F"/>
    <w:rsid w:val="001B784C"/>
    <w:rsid w:val="001C0099"/>
    <w:rsid w:val="001C00B4"/>
    <w:rsid w:val="001C04C7"/>
    <w:rsid w:val="001C17EB"/>
    <w:rsid w:val="001C234A"/>
    <w:rsid w:val="001C24C7"/>
    <w:rsid w:val="001C6976"/>
    <w:rsid w:val="001C7AED"/>
    <w:rsid w:val="001D06F7"/>
    <w:rsid w:val="001D0D5C"/>
    <w:rsid w:val="001D1954"/>
    <w:rsid w:val="001D25C6"/>
    <w:rsid w:val="001D37CB"/>
    <w:rsid w:val="001D4EA6"/>
    <w:rsid w:val="001D567F"/>
    <w:rsid w:val="001D637A"/>
    <w:rsid w:val="001D7E38"/>
    <w:rsid w:val="001E0683"/>
    <w:rsid w:val="001E080D"/>
    <w:rsid w:val="001E09C0"/>
    <w:rsid w:val="001E1B8B"/>
    <w:rsid w:val="001E2394"/>
    <w:rsid w:val="001E28AB"/>
    <w:rsid w:val="001E2C51"/>
    <w:rsid w:val="001E38CA"/>
    <w:rsid w:val="001E5D43"/>
    <w:rsid w:val="001E7137"/>
    <w:rsid w:val="001F068E"/>
    <w:rsid w:val="001F1CC2"/>
    <w:rsid w:val="001F21CD"/>
    <w:rsid w:val="001F34DF"/>
    <w:rsid w:val="001F4B51"/>
    <w:rsid w:val="001F4B53"/>
    <w:rsid w:val="001F50E6"/>
    <w:rsid w:val="001F542D"/>
    <w:rsid w:val="001F6349"/>
    <w:rsid w:val="00200023"/>
    <w:rsid w:val="002003EB"/>
    <w:rsid w:val="00200B9A"/>
    <w:rsid w:val="00202289"/>
    <w:rsid w:val="00202DAA"/>
    <w:rsid w:val="00202E66"/>
    <w:rsid w:val="002043DD"/>
    <w:rsid w:val="00204652"/>
    <w:rsid w:val="0020655C"/>
    <w:rsid w:val="00207154"/>
    <w:rsid w:val="00207C89"/>
    <w:rsid w:val="00210766"/>
    <w:rsid w:val="00210D28"/>
    <w:rsid w:val="00211118"/>
    <w:rsid w:val="002112B3"/>
    <w:rsid w:val="00211970"/>
    <w:rsid w:val="00211A89"/>
    <w:rsid w:val="00211C9E"/>
    <w:rsid w:val="0021267E"/>
    <w:rsid w:val="00212899"/>
    <w:rsid w:val="00214295"/>
    <w:rsid w:val="002147D7"/>
    <w:rsid w:val="002154DA"/>
    <w:rsid w:val="0021738B"/>
    <w:rsid w:val="00217AFA"/>
    <w:rsid w:val="0022255F"/>
    <w:rsid w:val="00223139"/>
    <w:rsid w:val="002235D1"/>
    <w:rsid w:val="00223AE8"/>
    <w:rsid w:val="00223B5D"/>
    <w:rsid w:val="0022410D"/>
    <w:rsid w:val="0022443B"/>
    <w:rsid w:val="0022672A"/>
    <w:rsid w:val="0022762B"/>
    <w:rsid w:val="002278F7"/>
    <w:rsid w:val="002330F4"/>
    <w:rsid w:val="0023374F"/>
    <w:rsid w:val="00233ADA"/>
    <w:rsid w:val="00234082"/>
    <w:rsid w:val="00234B28"/>
    <w:rsid w:val="0023549C"/>
    <w:rsid w:val="0023635E"/>
    <w:rsid w:val="0023705C"/>
    <w:rsid w:val="00237AAE"/>
    <w:rsid w:val="00243A1B"/>
    <w:rsid w:val="00243C72"/>
    <w:rsid w:val="002445A0"/>
    <w:rsid w:val="00245602"/>
    <w:rsid w:val="00245F3B"/>
    <w:rsid w:val="002465DA"/>
    <w:rsid w:val="002474FB"/>
    <w:rsid w:val="00251BD1"/>
    <w:rsid w:val="00251C97"/>
    <w:rsid w:val="0025431B"/>
    <w:rsid w:val="00254C35"/>
    <w:rsid w:val="00254FAE"/>
    <w:rsid w:val="002559B5"/>
    <w:rsid w:val="002561EA"/>
    <w:rsid w:val="0025730C"/>
    <w:rsid w:val="0025772F"/>
    <w:rsid w:val="00257D6B"/>
    <w:rsid w:val="002613BC"/>
    <w:rsid w:val="00261F1B"/>
    <w:rsid w:val="002635D8"/>
    <w:rsid w:val="0026367A"/>
    <w:rsid w:val="00263AE8"/>
    <w:rsid w:val="00265BB9"/>
    <w:rsid w:val="002662D4"/>
    <w:rsid w:val="00267005"/>
    <w:rsid w:val="00267E7F"/>
    <w:rsid w:val="00272527"/>
    <w:rsid w:val="00272890"/>
    <w:rsid w:val="00273737"/>
    <w:rsid w:val="00277FDE"/>
    <w:rsid w:val="00281E24"/>
    <w:rsid w:val="00287079"/>
    <w:rsid w:val="002916A8"/>
    <w:rsid w:val="002922CA"/>
    <w:rsid w:val="00293671"/>
    <w:rsid w:val="00294447"/>
    <w:rsid w:val="00295A1E"/>
    <w:rsid w:val="00295A35"/>
    <w:rsid w:val="00295AB6"/>
    <w:rsid w:val="002960D1"/>
    <w:rsid w:val="00296441"/>
    <w:rsid w:val="002A01B1"/>
    <w:rsid w:val="002A0535"/>
    <w:rsid w:val="002A0EE9"/>
    <w:rsid w:val="002A1456"/>
    <w:rsid w:val="002A27C6"/>
    <w:rsid w:val="002A3429"/>
    <w:rsid w:val="002A34FD"/>
    <w:rsid w:val="002A3706"/>
    <w:rsid w:val="002B03DA"/>
    <w:rsid w:val="002B22FA"/>
    <w:rsid w:val="002B2B37"/>
    <w:rsid w:val="002B2E2D"/>
    <w:rsid w:val="002B4CDA"/>
    <w:rsid w:val="002B4D5F"/>
    <w:rsid w:val="002B5F20"/>
    <w:rsid w:val="002B6A12"/>
    <w:rsid w:val="002B7BB2"/>
    <w:rsid w:val="002B7DCD"/>
    <w:rsid w:val="002B7FFE"/>
    <w:rsid w:val="002C0FE5"/>
    <w:rsid w:val="002C173F"/>
    <w:rsid w:val="002C291D"/>
    <w:rsid w:val="002C4AE7"/>
    <w:rsid w:val="002C4DE2"/>
    <w:rsid w:val="002C57B1"/>
    <w:rsid w:val="002C5BA1"/>
    <w:rsid w:val="002C5C09"/>
    <w:rsid w:val="002C5CA6"/>
    <w:rsid w:val="002C62AD"/>
    <w:rsid w:val="002C6C88"/>
    <w:rsid w:val="002D02BF"/>
    <w:rsid w:val="002D0632"/>
    <w:rsid w:val="002D495F"/>
    <w:rsid w:val="002D5A85"/>
    <w:rsid w:val="002D5B21"/>
    <w:rsid w:val="002E0715"/>
    <w:rsid w:val="002E16CF"/>
    <w:rsid w:val="002E3524"/>
    <w:rsid w:val="002E3D1A"/>
    <w:rsid w:val="002E4BE2"/>
    <w:rsid w:val="002E5142"/>
    <w:rsid w:val="002E6AEA"/>
    <w:rsid w:val="002E7D36"/>
    <w:rsid w:val="002F04A1"/>
    <w:rsid w:val="002F4B9A"/>
    <w:rsid w:val="002F5B9E"/>
    <w:rsid w:val="002F5F05"/>
    <w:rsid w:val="002F7872"/>
    <w:rsid w:val="002F7E71"/>
    <w:rsid w:val="00300724"/>
    <w:rsid w:val="00300853"/>
    <w:rsid w:val="003011D2"/>
    <w:rsid w:val="0030155E"/>
    <w:rsid w:val="00301E35"/>
    <w:rsid w:val="00302ACC"/>
    <w:rsid w:val="003058E0"/>
    <w:rsid w:val="00307B26"/>
    <w:rsid w:val="00311A22"/>
    <w:rsid w:val="00312D44"/>
    <w:rsid w:val="00313117"/>
    <w:rsid w:val="00316BC3"/>
    <w:rsid w:val="003171FC"/>
    <w:rsid w:val="003201B9"/>
    <w:rsid w:val="00320562"/>
    <w:rsid w:val="003205F8"/>
    <w:rsid w:val="00321DF7"/>
    <w:rsid w:val="003221D2"/>
    <w:rsid w:val="00322212"/>
    <w:rsid w:val="0032298C"/>
    <w:rsid w:val="00322C0D"/>
    <w:rsid w:val="003239D4"/>
    <w:rsid w:val="003241D4"/>
    <w:rsid w:val="00324F66"/>
    <w:rsid w:val="00326551"/>
    <w:rsid w:val="00332F13"/>
    <w:rsid w:val="00334709"/>
    <w:rsid w:val="00334838"/>
    <w:rsid w:val="003364AC"/>
    <w:rsid w:val="00343063"/>
    <w:rsid w:val="00345144"/>
    <w:rsid w:val="003463C4"/>
    <w:rsid w:val="0034696F"/>
    <w:rsid w:val="00347243"/>
    <w:rsid w:val="0034744E"/>
    <w:rsid w:val="00347875"/>
    <w:rsid w:val="003516D5"/>
    <w:rsid w:val="00351714"/>
    <w:rsid w:val="00351B88"/>
    <w:rsid w:val="00352404"/>
    <w:rsid w:val="003530CD"/>
    <w:rsid w:val="00353389"/>
    <w:rsid w:val="00353AB4"/>
    <w:rsid w:val="003569F4"/>
    <w:rsid w:val="00356CAE"/>
    <w:rsid w:val="00356FBA"/>
    <w:rsid w:val="003573A2"/>
    <w:rsid w:val="003577B1"/>
    <w:rsid w:val="00360319"/>
    <w:rsid w:val="00360D3A"/>
    <w:rsid w:val="00360EA1"/>
    <w:rsid w:val="00361150"/>
    <w:rsid w:val="00361897"/>
    <w:rsid w:val="00362522"/>
    <w:rsid w:val="00362C3F"/>
    <w:rsid w:val="00363067"/>
    <w:rsid w:val="003630ED"/>
    <w:rsid w:val="003632DB"/>
    <w:rsid w:val="003635BD"/>
    <w:rsid w:val="0036739D"/>
    <w:rsid w:val="00371A3B"/>
    <w:rsid w:val="00372A29"/>
    <w:rsid w:val="00372F78"/>
    <w:rsid w:val="00373D4E"/>
    <w:rsid w:val="00374D59"/>
    <w:rsid w:val="0037540D"/>
    <w:rsid w:val="00375A38"/>
    <w:rsid w:val="00375AD0"/>
    <w:rsid w:val="00376DB7"/>
    <w:rsid w:val="00377622"/>
    <w:rsid w:val="003776AE"/>
    <w:rsid w:val="00377C5D"/>
    <w:rsid w:val="00381604"/>
    <w:rsid w:val="00382493"/>
    <w:rsid w:val="003834DF"/>
    <w:rsid w:val="00383902"/>
    <w:rsid w:val="00383BB6"/>
    <w:rsid w:val="00383BC5"/>
    <w:rsid w:val="00384149"/>
    <w:rsid w:val="003853BE"/>
    <w:rsid w:val="00385600"/>
    <w:rsid w:val="003866FF"/>
    <w:rsid w:val="003900BA"/>
    <w:rsid w:val="0039087E"/>
    <w:rsid w:val="003911C5"/>
    <w:rsid w:val="0039239B"/>
    <w:rsid w:val="00392D87"/>
    <w:rsid w:val="00393473"/>
    <w:rsid w:val="00393B51"/>
    <w:rsid w:val="003951E4"/>
    <w:rsid w:val="00395328"/>
    <w:rsid w:val="00395CC6"/>
    <w:rsid w:val="00395F03"/>
    <w:rsid w:val="0039649D"/>
    <w:rsid w:val="00396EEE"/>
    <w:rsid w:val="003A0BCB"/>
    <w:rsid w:val="003A11D0"/>
    <w:rsid w:val="003A1888"/>
    <w:rsid w:val="003A2687"/>
    <w:rsid w:val="003A29DA"/>
    <w:rsid w:val="003A423A"/>
    <w:rsid w:val="003A49B1"/>
    <w:rsid w:val="003A4DB6"/>
    <w:rsid w:val="003A52E8"/>
    <w:rsid w:val="003A607F"/>
    <w:rsid w:val="003A733B"/>
    <w:rsid w:val="003B058F"/>
    <w:rsid w:val="003B112C"/>
    <w:rsid w:val="003B1226"/>
    <w:rsid w:val="003B388B"/>
    <w:rsid w:val="003B3BA0"/>
    <w:rsid w:val="003B3D3D"/>
    <w:rsid w:val="003B40B5"/>
    <w:rsid w:val="003B4661"/>
    <w:rsid w:val="003B49DC"/>
    <w:rsid w:val="003B5840"/>
    <w:rsid w:val="003B6536"/>
    <w:rsid w:val="003B6895"/>
    <w:rsid w:val="003B71E2"/>
    <w:rsid w:val="003B7C06"/>
    <w:rsid w:val="003C0F08"/>
    <w:rsid w:val="003C1AF3"/>
    <w:rsid w:val="003C1FD7"/>
    <w:rsid w:val="003C5719"/>
    <w:rsid w:val="003C5B03"/>
    <w:rsid w:val="003C6EAA"/>
    <w:rsid w:val="003C74ED"/>
    <w:rsid w:val="003D023C"/>
    <w:rsid w:val="003D4F73"/>
    <w:rsid w:val="003E34D6"/>
    <w:rsid w:val="003E4475"/>
    <w:rsid w:val="003E7C8C"/>
    <w:rsid w:val="003F019C"/>
    <w:rsid w:val="003F2425"/>
    <w:rsid w:val="003F4257"/>
    <w:rsid w:val="003F514E"/>
    <w:rsid w:val="003F5253"/>
    <w:rsid w:val="003F6159"/>
    <w:rsid w:val="003F633F"/>
    <w:rsid w:val="00404A3E"/>
    <w:rsid w:val="00404DF3"/>
    <w:rsid w:val="0040508C"/>
    <w:rsid w:val="004077B5"/>
    <w:rsid w:val="00407F6E"/>
    <w:rsid w:val="00410424"/>
    <w:rsid w:val="00411BFE"/>
    <w:rsid w:val="00412BC6"/>
    <w:rsid w:val="00413CED"/>
    <w:rsid w:val="004140D4"/>
    <w:rsid w:val="00414181"/>
    <w:rsid w:val="00414CCB"/>
    <w:rsid w:val="00415981"/>
    <w:rsid w:val="00420816"/>
    <w:rsid w:val="00420B3E"/>
    <w:rsid w:val="00421AF5"/>
    <w:rsid w:val="00423124"/>
    <w:rsid w:val="00423281"/>
    <w:rsid w:val="00423ABD"/>
    <w:rsid w:val="00423C22"/>
    <w:rsid w:val="00423E87"/>
    <w:rsid w:val="004260F0"/>
    <w:rsid w:val="0042621F"/>
    <w:rsid w:val="004262BA"/>
    <w:rsid w:val="00426FE3"/>
    <w:rsid w:val="0043163B"/>
    <w:rsid w:val="00431D16"/>
    <w:rsid w:val="00431E40"/>
    <w:rsid w:val="00433B76"/>
    <w:rsid w:val="00433C86"/>
    <w:rsid w:val="004346F3"/>
    <w:rsid w:val="004410CB"/>
    <w:rsid w:val="0044146B"/>
    <w:rsid w:val="00441BD3"/>
    <w:rsid w:val="0044227B"/>
    <w:rsid w:val="004435C8"/>
    <w:rsid w:val="004443C2"/>
    <w:rsid w:val="00444D56"/>
    <w:rsid w:val="00445591"/>
    <w:rsid w:val="004464E0"/>
    <w:rsid w:val="0044662F"/>
    <w:rsid w:val="004469DB"/>
    <w:rsid w:val="004475B8"/>
    <w:rsid w:val="00447822"/>
    <w:rsid w:val="004501D0"/>
    <w:rsid w:val="00450C69"/>
    <w:rsid w:val="00451221"/>
    <w:rsid w:val="00451769"/>
    <w:rsid w:val="00451EA8"/>
    <w:rsid w:val="004536E3"/>
    <w:rsid w:val="0045429A"/>
    <w:rsid w:val="00454876"/>
    <w:rsid w:val="00455DDB"/>
    <w:rsid w:val="00456532"/>
    <w:rsid w:val="004608B5"/>
    <w:rsid w:val="00460CD1"/>
    <w:rsid w:val="00460F76"/>
    <w:rsid w:val="00461F26"/>
    <w:rsid w:val="004648F8"/>
    <w:rsid w:val="0046789E"/>
    <w:rsid w:val="00467AC5"/>
    <w:rsid w:val="00470CE7"/>
    <w:rsid w:val="00471221"/>
    <w:rsid w:val="00472E37"/>
    <w:rsid w:val="00472E9C"/>
    <w:rsid w:val="004749D9"/>
    <w:rsid w:val="004764C8"/>
    <w:rsid w:val="004769F2"/>
    <w:rsid w:val="0048084D"/>
    <w:rsid w:val="00480E8A"/>
    <w:rsid w:val="004818B0"/>
    <w:rsid w:val="00484760"/>
    <w:rsid w:val="00485ADA"/>
    <w:rsid w:val="004863C4"/>
    <w:rsid w:val="0048799F"/>
    <w:rsid w:val="00487E5E"/>
    <w:rsid w:val="004905C6"/>
    <w:rsid w:val="004907A5"/>
    <w:rsid w:val="004918EC"/>
    <w:rsid w:val="004926EA"/>
    <w:rsid w:val="00492FDC"/>
    <w:rsid w:val="0049325C"/>
    <w:rsid w:val="0049360C"/>
    <w:rsid w:val="00493C6C"/>
    <w:rsid w:val="00494635"/>
    <w:rsid w:val="00494B21"/>
    <w:rsid w:val="00494F32"/>
    <w:rsid w:val="0049569D"/>
    <w:rsid w:val="004958B0"/>
    <w:rsid w:val="00495F58"/>
    <w:rsid w:val="00496DF9"/>
    <w:rsid w:val="00497707"/>
    <w:rsid w:val="004A01B3"/>
    <w:rsid w:val="004A05E7"/>
    <w:rsid w:val="004A150B"/>
    <w:rsid w:val="004A178A"/>
    <w:rsid w:val="004A1AC3"/>
    <w:rsid w:val="004A1D25"/>
    <w:rsid w:val="004A29BF"/>
    <w:rsid w:val="004A3056"/>
    <w:rsid w:val="004A32F7"/>
    <w:rsid w:val="004A3BA1"/>
    <w:rsid w:val="004A46B7"/>
    <w:rsid w:val="004A4D6C"/>
    <w:rsid w:val="004A6259"/>
    <w:rsid w:val="004A6BCE"/>
    <w:rsid w:val="004A7311"/>
    <w:rsid w:val="004B0FFC"/>
    <w:rsid w:val="004B1052"/>
    <w:rsid w:val="004B1722"/>
    <w:rsid w:val="004B1FBF"/>
    <w:rsid w:val="004B3239"/>
    <w:rsid w:val="004B3688"/>
    <w:rsid w:val="004B5197"/>
    <w:rsid w:val="004B6669"/>
    <w:rsid w:val="004C0661"/>
    <w:rsid w:val="004C120F"/>
    <w:rsid w:val="004C29E3"/>
    <w:rsid w:val="004C2B83"/>
    <w:rsid w:val="004C2D7A"/>
    <w:rsid w:val="004C3237"/>
    <w:rsid w:val="004C375A"/>
    <w:rsid w:val="004C5D51"/>
    <w:rsid w:val="004D1263"/>
    <w:rsid w:val="004D1F89"/>
    <w:rsid w:val="004D2411"/>
    <w:rsid w:val="004D43C2"/>
    <w:rsid w:val="004D4EB2"/>
    <w:rsid w:val="004D5094"/>
    <w:rsid w:val="004D58B9"/>
    <w:rsid w:val="004D6741"/>
    <w:rsid w:val="004D6CEC"/>
    <w:rsid w:val="004E0A1A"/>
    <w:rsid w:val="004E0DA0"/>
    <w:rsid w:val="004E1D94"/>
    <w:rsid w:val="004E1E65"/>
    <w:rsid w:val="004E22C7"/>
    <w:rsid w:val="004E2A7F"/>
    <w:rsid w:val="004E2C37"/>
    <w:rsid w:val="004E367F"/>
    <w:rsid w:val="004E4B33"/>
    <w:rsid w:val="004E7434"/>
    <w:rsid w:val="004F1D78"/>
    <w:rsid w:val="004F1E44"/>
    <w:rsid w:val="004F29B1"/>
    <w:rsid w:val="004F2E7E"/>
    <w:rsid w:val="004F2F88"/>
    <w:rsid w:val="004F3AB5"/>
    <w:rsid w:val="004F3FC3"/>
    <w:rsid w:val="004F40BE"/>
    <w:rsid w:val="004F43D4"/>
    <w:rsid w:val="004F7156"/>
    <w:rsid w:val="004F7228"/>
    <w:rsid w:val="004F7FCD"/>
    <w:rsid w:val="005006FA"/>
    <w:rsid w:val="00502CF7"/>
    <w:rsid w:val="00503B1C"/>
    <w:rsid w:val="00504B4E"/>
    <w:rsid w:val="0050565E"/>
    <w:rsid w:val="00506288"/>
    <w:rsid w:val="00506663"/>
    <w:rsid w:val="00512E03"/>
    <w:rsid w:val="00512EB1"/>
    <w:rsid w:val="00513159"/>
    <w:rsid w:val="005132B6"/>
    <w:rsid w:val="00513817"/>
    <w:rsid w:val="00513FB9"/>
    <w:rsid w:val="00515C77"/>
    <w:rsid w:val="00515E22"/>
    <w:rsid w:val="0051710C"/>
    <w:rsid w:val="00517173"/>
    <w:rsid w:val="00520003"/>
    <w:rsid w:val="005228FA"/>
    <w:rsid w:val="00524999"/>
    <w:rsid w:val="00525173"/>
    <w:rsid w:val="0052597B"/>
    <w:rsid w:val="005265E1"/>
    <w:rsid w:val="0052711D"/>
    <w:rsid w:val="00527C79"/>
    <w:rsid w:val="00527E96"/>
    <w:rsid w:val="00531938"/>
    <w:rsid w:val="005329E9"/>
    <w:rsid w:val="00532DF9"/>
    <w:rsid w:val="005346D7"/>
    <w:rsid w:val="00534898"/>
    <w:rsid w:val="00534FCA"/>
    <w:rsid w:val="00535E4F"/>
    <w:rsid w:val="00535EEE"/>
    <w:rsid w:val="00536CD9"/>
    <w:rsid w:val="00536D6E"/>
    <w:rsid w:val="00537DFC"/>
    <w:rsid w:val="00540965"/>
    <w:rsid w:val="00541577"/>
    <w:rsid w:val="00542569"/>
    <w:rsid w:val="00542B81"/>
    <w:rsid w:val="00542BDB"/>
    <w:rsid w:val="00545F7F"/>
    <w:rsid w:val="00547997"/>
    <w:rsid w:val="00552475"/>
    <w:rsid w:val="0055341F"/>
    <w:rsid w:val="00553B81"/>
    <w:rsid w:val="00553C64"/>
    <w:rsid w:val="00554760"/>
    <w:rsid w:val="00554AD6"/>
    <w:rsid w:val="00554E2B"/>
    <w:rsid w:val="00554F79"/>
    <w:rsid w:val="00554FBC"/>
    <w:rsid w:val="00555A32"/>
    <w:rsid w:val="005563D2"/>
    <w:rsid w:val="005564E1"/>
    <w:rsid w:val="00557047"/>
    <w:rsid w:val="0056049B"/>
    <w:rsid w:val="005609E2"/>
    <w:rsid w:val="005610DE"/>
    <w:rsid w:val="00561D76"/>
    <w:rsid w:val="00562201"/>
    <w:rsid w:val="00563C52"/>
    <w:rsid w:val="00563C76"/>
    <w:rsid w:val="0056423C"/>
    <w:rsid w:val="005651C1"/>
    <w:rsid w:val="00565A21"/>
    <w:rsid w:val="00565C99"/>
    <w:rsid w:val="00566368"/>
    <w:rsid w:val="005668F3"/>
    <w:rsid w:val="00566FCD"/>
    <w:rsid w:val="00567E93"/>
    <w:rsid w:val="00567EA5"/>
    <w:rsid w:val="0057249A"/>
    <w:rsid w:val="00572C2B"/>
    <w:rsid w:val="00572CD6"/>
    <w:rsid w:val="00573427"/>
    <w:rsid w:val="00573E0B"/>
    <w:rsid w:val="00574501"/>
    <w:rsid w:val="00575945"/>
    <w:rsid w:val="005759B2"/>
    <w:rsid w:val="00577E63"/>
    <w:rsid w:val="0058015E"/>
    <w:rsid w:val="005802DC"/>
    <w:rsid w:val="005814F1"/>
    <w:rsid w:val="00581ED7"/>
    <w:rsid w:val="00582560"/>
    <w:rsid w:val="00582E44"/>
    <w:rsid w:val="00583F8B"/>
    <w:rsid w:val="00585190"/>
    <w:rsid w:val="0058529E"/>
    <w:rsid w:val="0058610C"/>
    <w:rsid w:val="0058653A"/>
    <w:rsid w:val="005875D4"/>
    <w:rsid w:val="00591391"/>
    <w:rsid w:val="0059143E"/>
    <w:rsid w:val="00592143"/>
    <w:rsid w:val="00592BE6"/>
    <w:rsid w:val="005940A4"/>
    <w:rsid w:val="005A1CA2"/>
    <w:rsid w:val="005A2D84"/>
    <w:rsid w:val="005A43C2"/>
    <w:rsid w:val="005A47E7"/>
    <w:rsid w:val="005A587D"/>
    <w:rsid w:val="005A6B51"/>
    <w:rsid w:val="005A6D6F"/>
    <w:rsid w:val="005A7455"/>
    <w:rsid w:val="005B0055"/>
    <w:rsid w:val="005B0A10"/>
    <w:rsid w:val="005B147B"/>
    <w:rsid w:val="005B27F0"/>
    <w:rsid w:val="005B6AA8"/>
    <w:rsid w:val="005B6CD0"/>
    <w:rsid w:val="005C03C8"/>
    <w:rsid w:val="005C1713"/>
    <w:rsid w:val="005C2B2D"/>
    <w:rsid w:val="005C40E8"/>
    <w:rsid w:val="005C4E21"/>
    <w:rsid w:val="005C4FF5"/>
    <w:rsid w:val="005C57BD"/>
    <w:rsid w:val="005C5E49"/>
    <w:rsid w:val="005C63DC"/>
    <w:rsid w:val="005C6B33"/>
    <w:rsid w:val="005D00A5"/>
    <w:rsid w:val="005D11A8"/>
    <w:rsid w:val="005D1E88"/>
    <w:rsid w:val="005D2510"/>
    <w:rsid w:val="005D2878"/>
    <w:rsid w:val="005D3450"/>
    <w:rsid w:val="005D470B"/>
    <w:rsid w:val="005E0587"/>
    <w:rsid w:val="005E05BB"/>
    <w:rsid w:val="005E17B3"/>
    <w:rsid w:val="005E4525"/>
    <w:rsid w:val="005E4900"/>
    <w:rsid w:val="005E50B2"/>
    <w:rsid w:val="005E62BF"/>
    <w:rsid w:val="005E6EBE"/>
    <w:rsid w:val="005F09EF"/>
    <w:rsid w:val="005F0EB3"/>
    <w:rsid w:val="005F18D1"/>
    <w:rsid w:val="005F19BA"/>
    <w:rsid w:val="005F1C3E"/>
    <w:rsid w:val="005F223A"/>
    <w:rsid w:val="005F227C"/>
    <w:rsid w:val="005F39AC"/>
    <w:rsid w:val="005F3F8C"/>
    <w:rsid w:val="005F45FC"/>
    <w:rsid w:val="005F4D0B"/>
    <w:rsid w:val="005F580F"/>
    <w:rsid w:val="005F5A2E"/>
    <w:rsid w:val="00600702"/>
    <w:rsid w:val="0060074D"/>
    <w:rsid w:val="00600FB1"/>
    <w:rsid w:val="0060179A"/>
    <w:rsid w:val="00602157"/>
    <w:rsid w:val="006026F1"/>
    <w:rsid w:val="00602C4F"/>
    <w:rsid w:val="00602CE7"/>
    <w:rsid w:val="00603CB6"/>
    <w:rsid w:val="00604300"/>
    <w:rsid w:val="0060524B"/>
    <w:rsid w:val="0060548E"/>
    <w:rsid w:val="00607803"/>
    <w:rsid w:val="00607B4B"/>
    <w:rsid w:val="006103D9"/>
    <w:rsid w:val="00610560"/>
    <w:rsid w:val="00611158"/>
    <w:rsid w:val="00611372"/>
    <w:rsid w:val="00612640"/>
    <w:rsid w:val="00613FAA"/>
    <w:rsid w:val="0061454F"/>
    <w:rsid w:val="0061470A"/>
    <w:rsid w:val="0061499E"/>
    <w:rsid w:val="00614C75"/>
    <w:rsid w:val="00615A2B"/>
    <w:rsid w:val="00616351"/>
    <w:rsid w:val="0061644B"/>
    <w:rsid w:val="00620FD5"/>
    <w:rsid w:val="00624D97"/>
    <w:rsid w:val="006251CA"/>
    <w:rsid w:val="00630285"/>
    <w:rsid w:val="00633FF1"/>
    <w:rsid w:val="006344B5"/>
    <w:rsid w:val="00634ED3"/>
    <w:rsid w:val="00634F54"/>
    <w:rsid w:val="006357C4"/>
    <w:rsid w:val="00635DDD"/>
    <w:rsid w:val="006414EA"/>
    <w:rsid w:val="00642A7B"/>
    <w:rsid w:val="006436A8"/>
    <w:rsid w:val="006441F6"/>
    <w:rsid w:val="006442B2"/>
    <w:rsid w:val="0064594D"/>
    <w:rsid w:val="0064714E"/>
    <w:rsid w:val="006476BD"/>
    <w:rsid w:val="00647D5E"/>
    <w:rsid w:val="0065193F"/>
    <w:rsid w:val="00651FBC"/>
    <w:rsid w:val="0065242F"/>
    <w:rsid w:val="00653874"/>
    <w:rsid w:val="00653D9B"/>
    <w:rsid w:val="00653DBB"/>
    <w:rsid w:val="00655CA0"/>
    <w:rsid w:val="00656970"/>
    <w:rsid w:val="00657EF5"/>
    <w:rsid w:val="006609D4"/>
    <w:rsid w:val="00661175"/>
    <w:rsid w:val="00661835"/>
    <w:rsid w:val="0066285A"/>
    <w:rsid w:val="00662AB4"/>
    <w:rsid w:val="00663F23"/>
    <w:rsid w:val="00665213"/>
    <w:rsid w:val="00665945"/>
    <w:rsid w:val="006660C2"/>
    <w:rsid w:val="00667265"/>
    <w:rsid w:val="0067170D"/>
    <w:rsid w:val="0067176F"/>
    <w:rsid w:val="00672705"/>
    <w:rsid w:val="0067495F"/>
    <w:rsid w:val="00674B20"/>
    <w:rsid w:val="00674EE5"/>
    <w:rsid w:val="00675DD0"/>
    <w:rsid w:val="0067657F"/>
    <w:rsid w:val="006776F6"/>
    <w:rsid w:val="00681D7E"/>
    <w:rsid w:val="006837CF"/>
    <w:rsid w:val="00683BA3"/>
    <w:rsid w:val="00684095"/>
    <w:rsid w:val="00684F98"/>
    <w:rsid w:val="0068503D"/>
    <w:rsid w:val="006853B3"/>
    <w:rsid w:val="00686246"/>
    <w:rsid w:val="006869DD"/>
    <w:rsid w:val="00686EC7"/>
    <w:rsid w:val="006900EE"/>
    <w:rsid w:val="006902A9"/>
    <w:rsid w:val="00690B81"/>
    <w:rsid w:val="00690D8D"/>
    <w:rsid w:val="00691C0B"/>
    <w:rsid w:val="006930C7"/>
    <w:rsid w:val="006945C1"/>
    <w:rsid w:val="00696527"/>
    <w:rsid w:val="00697B0C"/>
    <w:rsid w:val="006A08AF"/>
    <w:rsid w:val="006A22E6"/>
    <w:rsid w:val="006A5271"/>
    <w:rsid w:val="006A65D9"/>
    <w:rsid w:val="006A6E03"/>
    <w:rsid w:val="006A78D2"/>
    <w:rsid w:val="006A7E66"/>
    <w:rsid w:val="006B0BC0"/>
    <w:rsid w:val="006B12C4"/>
    <w:rsid w:val="006B212E"/>
    <w:rsid w:val="006B2AAB"/>
    <w:rsid w:val="006B4209"/>
    <w:rsid w:val="006B439C"/>
    <w:rsid w:val="006B692D"/>
    <w:rsid w:val="006C0594"/>
    <w:rsid w:val="006C0837"/>
    <w:rsid w:val="006C1828"/>
    <w:rsid w:val="006C2301"/>
    <w:rsid w:val="006C245D"/>
    <w:rsid w:val="006C2F42"/>
    <w:rsid w:val="006C4E4F"/>
    <w:rsid w:val="006C4EBE"/>
    <w:rsid w:val="006C5095"/>
    <w:rsid w:val="006C626E"/>
    <w:rsid w:val="006C6ADF"/>
    <w:rsid w:val="006D0335"/>
    <w:rsid w:val="006D385C"/>
    <w:rsid w:val="006D4BD9"/>
    <w:rsid w:val="006D56C9"/>
    <w:rsid w:val="006D6A87"/>
    <w:rsid w:val="006E020B"/>
    <w:rsid w:val="006E1B27"/>
    <w:rsid w:val="006E2919"/>
    <w:rsid w:val="006E3F35"/>
    <w:rsid w:val="006E4961"/>
    <w:rsid w:val="006E4A68"/>
    <w:rsid w:val="006E5421"/>
    <w:rsid w:val="006E5D69"/>
    <w:rsid w:val="006E698A"/>
    <w:rsid w:val="006F1C55"/>
    <w:rsid w:val="006F2C70"/>
    <w:rsid w:val="006F349D"/>
    <w:rsid w:val="006F6C50"/>
    <w:rsid w:val="006F6EFD"/>
    <w:rsid w:val="006F7EE1"/>
    <w:rsid w:val="00702DD6"/>
    <w:rsid w:val="00704C9A"/>
    <w:rsid w:val="007069CB"/>
    <w:rsid w:val="00707E63"/>
    <w:rsid w:val="00711671"/>
    <w:rsid w:val="007123A6"/>
    <w:rsid w:val="007125EE"/>
    <w:rsid w:val="00712731"/>
    <w:rsid w:val="007143B5"/>
    <w:rsid w:val="007171C4"/>
    <w:rsid w:val="00720566"/>
    <w:rsid w:val="00720AC8"/>
    <w:rsid w:val="00721241"/>
    <w:rsid w:val="00721DA8"/>
    <w:rsid w:val="00721E99"/>
    <w:rsid w:val="007225C5"/>
    <w:rsid w:val="007228A8"/>
    <w:rsid w:val="00722C63"/>
    <w:rsid w:val="00722CCC"/>
    <w:rsid w:val="00723388"/>
    <w:rsid w:val="007238D0"/>
    <w:rsid w:val="007242A4"/>
    <w:rsid w:val="0072479D"/>
    <w:rsid w:val="00724F1F"/>
    <w:rsid w:val="00725A7E"/>
    <w:rsid w:val="00727900"/>
    <w:rsid w:val="007279B3"/>
    <w:rsid w:val="007303D7"/>
    <w:rsid w:val="007306B8"/>
    <w:rsid w:val="00731EEC"/>
    <w:rsid w:val="007323CB"/>
    <w:rsid w:val="00735C05"/>
    <w:rsid w:val="00736145"/>
    <w:rsid w:val="00736ED8"/>
    <w:rsid w:val="00737D89"/>
    <w:rsid w:val="00737E21"/>
    <w:rsid w:val="007407F1"/>
    <w:rsid w:val="007412E3"/>
    <w:rsid w:val="007427FB"/>
    <w:rsid w:val="007429B9"/>
    <w:rsid w:val="00742D5C"/>
    <w:rsid w:val="00744F85"/>
    <w:rsid w:val="00745F27"/>
    <w:rsid w:val="007469E0"/>
    <w:rsid w:val="00747208"/>
    <w:rsid w:val="007504DC"/>
    <w:rsid w:val="00754120"/>
    <w:rsid w:val="00754325"/>
    <w:rsid w:val="0075486D"/>
    <w:rsid w:val="00755CA0"/>
    <w:rsid w:val="00755CB6"/>
    <w:rsid w:val="0075669C"/>
    <w:rsid w:val="00756A90"/>
    <w:rsid w:val="007613A3"/>
    <w:rsid w:val="00761AC6"/>
    <w:rsid w:val="007624BE"/>
    <w:rsid w:val="0076309F"/>
    <w:rsid w:val="00763AA8"/>
    <w:rsid w:val="00765832"/>
    <w:rsid w:val="0076604A"/>
    <w:rsid w:val="0076774A"/>
    <w:rsid w:val="007700E8"/>
    <w:rsid w:val="00771355"/>
    <w:rsid w:val="00772333"/>
    <w:rsid w:val="00773B3F"/>
    <w:rsid w:val="007741C2"/>
    <w:rsid w:val="007744EB"/>
    <w:rsid w:val="0077786D"/>
    <w:rsid w:val="00777C47"/>
    <w:rsid w:val="0078018B"/>
    <w:rsid w:val="00781559"/>
    <w:rsid w:val="00781EB9"/>
    <w:rsid w:val="00785B19"/>
    <w:rsid w:val="00785F65"/>
    <w:rsid w:val="0078706D"/>
    <w:rsid w:val="00787770"/>
    <w:rsid w:val="00787C34"/>
    <w:rsid w:val="007906E0"/>
    <w:rsid w:val="00790C3C"/>
    <w:rsid w:val="00790DCC"/>
    <w:rsid w:val="00791783"/>
    <w:rsid w:val="00792BA2"/>
    <w:rsid w:val="00793578"/>
    <w:rsid w:val="007936CA"/>
    <w:rsid w:val="00793840"/>
    <w:rsid w:val="00794CBD"/>
    <w:rsid w:val="007951E0"/>
    <w:rsid w:val="00796BAC"/>
    <w:rsid w:val="00796FFB"/>
    <w:rsid w:val="00797591"/>
    <w:rsid w:val="007A14A9"/>
    <w:rsid w:val="007A7417"/>
    <w:rsid w:val="007B048D"/>
    <w:rsid w:val="007B06A0"/>
    <w:rsid w:val="007B344F"/>
    <w:rsid w:val="007B774D"/>
    <w:rsid w:val="007C0370"/>
    <w:rsid w:val="007C06DD"/>
    <w:rsid w:val="007C08CF"/>
    <w:rsid w:val="007C0A53"/>
    <w:rsid w:val="007C2830"/>
    <w:rsid w:val="007C2DB0"/>
    <w:rsid w:val="007C30B7"/>
    <w:rsid w:val="007C4491"/>
    <w:rsid w:val="007C4A57"/>
    <w:rsid w:val="007C7D3B"/>
    <w:rsid w:val="007D145E"/>
    <w:rsid w:val="007D1595"/>
    <w:rsid w:val="007D2ADE"/>
    <w:rsid w:val="007D3275"/>
    <w:rsid w:val="007D34C4"/>
    <w:rsid w:val="007D5326"/>
    <w:rsid w:val="007D59D0"/>
    <w:rsid w:val="007D66CB"/>
    <w:rsid w:val="007D7BC7"/>
    <w:rsid w:val="007E116D"/>
    <w:rsid w:val="007E123D"/>
    <w:rsid w:val="007E157D"/>
    <w:rsid w:val="007E1D4D"/>
    <w:rsid w:val="007E335A"/>
    <w:rsid w:val="007E593E"/>
    <w:rsid w:val="007E5B62"/>
    <w:rsid w:val="007E64A9"/>
    <w:rsid w:val="007F044C"/>
    <w:rsid w:val="007F06C5"/>
    <w:rsid w:val="007F1B9A"/>
    <w:rsid w:val="007F2B47"/>
    <w:rsid w:val="007F4B78"/>
    <w:rsid w:val="007F51A1"/>
    <w:rsid w:val="007F7397"/>
    <w:rsid w:val="007F7A68"/>
    <w:rsid w:val="008007C8"/>
    <w:rsid w:val="00801E9C"/>
    <w:rsid w:val="0080358F"/>
    <w:rsid w:val="00804591"/>
    <w:rsid w:val="00804BD2"/>
    <w:rsid w:val="0080686E"/>
    <w:rsid w:val="00806924"/>
    <w:rsid w:val="0080777D"/>
    <w:rsid w:val="0081068E"/>
    <w:rsid w:val="0081154A"/>
    <w:rsid w:val="00812AC8"/>
    <w:rsid w:val="00812ECA"/>
    <w:rsid w:val="00813D2A"/>
    <w:rsid w:val="00813DC2"/>
    <w:rsid w:val="00813FD2"/>
    <w:rsid w:val="00814852"/>
    <w:rsid w:val="008164BF"/>
    <w:rsid w:val="00816755"/>
    <w:rsid w:val="00816A98"/>
    <w:rsid w:val="008175CA"/>
    <w:rsid w:val="008177A7"/>
    <w:rsid w:val="00820A5B"/>
    <w:rsid w:val="00820CCC"/>
    <w:rsid w:val="00821465"/>
    <w:rsid w:val="00823129"/>
    <w:rsid w:val="008240CF"/>
    <w:rsid w:val="00826A6B"/>
    <w:rsid w:val="00826DD3"/>
    <w:rsid w:val="0082709B"/>
    <w:rsid w:val="00827AA6"/>
    <w:rsid w:val="00830128"/>
    <w:rsid w:val="0083048E"/>
    <w:rsid w:val="00831389"/>
    <w:rsid w:val="008321EE"/>
    <w:rsid w:val="00832471"/>
    <w:rsid w:val="008325C2"/>
    <w:rsid w:val="008343E8"/>
    <w:rsid w:val="00836073"/>
    <w:rsid w:val="008363BA"/>
    <w:rsid w:val="0083756D"/>
    <w:rsid w:val="0084077B"/>
    <w:rsid w:val="00842615"/>
    <w:rsid w:val="00842DA9"/>
    <w:rsid w:val="008479B4"/>
    <w:rsid w:val="00850000"/>
    <w:rsid w:val="00850208"/>
    <w:rsid w:val="00850A92"/>
    <w:rsid w:val="00853AF6"/>
    <w:rsid w:val="00853F61"/>
    <w:rsid w:val="00854C36"/>
    <w:rsid w:val="00857703"/>
    <w:rsid w:val="00857AA2"/>
    <w:rsid w:val="008613E0"/>
    <w:rsid w:val="00861C5C"/>
    <w:rsid w:val="0086357D"/>
    <w:rsid w:val="00867438"/>
    <w:rsid w:val="00870321"/>
    <w:rsid w:val="00872C9B"/>
    <w:rsid w:val="008758AD"/>
    <w:rsid w:val="008769EE"/>
    <w:rsid w:val="00877179"/>
    <w:rsid w:val="008772EA"/>
    <w:rsid w:val="00880E22"/>
    <w:rsid w:val="008817E9"/>
    <w:rsid w:val="00881AF2"/>
    <w:rsid w:val="00881B66"/>
    <w:rsid w:val="00881CD3"/>
    <w:rsid w:val="0088237D"/>
    <w:rsid w:val="008838FC"/>
    <w:rsid w:val="008867F9"/>
    <w:rsid w:val="0088692F"/>
    <w:rsid w:val="00886B46"/>
    <w:rsid w:val="00887928"/>
    <w:rsid w:val="008903A1"/>
    <w:rsid w:val="00890477"/>
    <w:rsid w:val="008913D2"/>
    <w:rsid w:val="00891D8C"/>
    <w:rsid w:val="008923DB"/>
    <w:rsid w:val="00892D65"/>
    <w:rsid w:val="008948CB"/>
    <w:rsid w:val="00894A51"/>
    <w:rsid w:val="00894F4D"/>
    <w:rsid w:val="00895004"/>
    <w:rsid w:val="00895644"/>
    <w:rsid w:val="00895966"/>
    <w:rsid w:val="00895B51"/>
    <w:rsid w:val="008964B3"/>
    <w:rsid w:val="008969B9"/>
    <w:rsid w:val="008970B8"/>
    <w:rsid w:val="008970D1"/>
    <w:rsid w:val="008A21AB"/>
    <w:rsid w:val="008A2E16"/>
    <w:rsid w:val="008A38B8"/>
    <w:rsid w:val="008A3EA8"/>
    <w:rsid w:val="008A6BB2"/>
    <w:rsid w:val="008B126F"/>
    <w:rsid w:val="008B310A"/>
    <w:rsid w:val="008B3D5F"/>
    <w:rsid w:val="008B4DB2"/>
    <w:rsid w:val="008B568E"/>
    <w:rsid w:val="008B5BFA"/>
    <w:rsid w:val="008B6A18"/>
    <w:rsid w:val="008C002D"/>
    <w:rsid w:val="008C1894"/>
    <w:rsid w:val="008C1EBD"/>
    <w:rsid w:val="008C24A6"/>
    <w:rsid w:val="008C2993"/>
    <w:rsid w:val="008C54CD"/>
    <w:rsid w:val="008C6668"/>
    <w:rsid w:val="008C676A"/>
    <w:rsid w:val="008C6C7C"/>
    <w:rsid w:val="008C7288"/>
    <w:rsid w:val="008C7B4D"/>
    <w:rsid w:val="008D0E14"/>
    <w:rsid w:val="008D1432"/>
    <w:rsid w:val="008D2A09"/>
    <w:rsid w:val="008D338E"/>
    <w:rsid w:val="008D37BF"/>
    <w:rsid w:val="008D4479"/>
    <w:rsid w:val="008D4B03"/>
    <w:rsid w:val="008D4E3B"/>
    <w:rsid w:val="008D5293"/>
    <w:rsid w:val="008D6767"/>
    <w:rsid w:val="008D6E1D"/>
    <w:rsid w:val="008D764F"/>
    <w:rsid w:val="008E102F"/>
    <w:rsid w:val="008E2EFF"/>
    <w:rsid w:val="008E4394"/>
    <w:rsid w:val="008E4D37"/>
    <w:rsid w:val="008E5635"/>
    <w:rsid w:val="008E73D8"/>
    <w:rsid w:val="008E79EA"/>
    <w:rsid w:val="008F0667"/>
    <w:rsid w:val="008F2B6E"/>
    <w:rsid w:val="008F47F5"/>
    <w:rsid w:val="008F5A61"/>
    <w:rsid w:val="008F5B77"/>
    <w:rsid w:val="008F5D47"/>
    <w:rsid w:val="008F639A"/>
    <w:rsid w:val="008F7893"/>
    <w:rsid w:val="0090130C"/>
    <w:rsid w:val="009014B8"/>
    <w:rsid w:val="009025A2"/>
    <w:rsid w:val="009035DC"/>
    <w:rsid w:val="00904F98"/>
    <w:rsid w:val="00906965"/>
    <w:rsid w:val="00906FDE"/>
    <w:rsid w:val="00907864"/>
    <w:rsid w:val="009102E7"/>
    <w:rsid w:val="009108D1"/>
    <w:rsid w:val="00911C54"/>
    <w:rsid w:val="00912010"/>
    <w:rsid w:val="00912E24"/>
    <w:rsid w:val="00913BE1"/>
    <w:rsid w:val="0091629B"/>
    <w:rsid w:val="009162FE"/>
    <w:rsid w:val="00916628"/>
    <w:rsid w:val="00917C97"/>
    <w:rsid w:val="00920C2F"/>
    <w:rsid w:val="00920D1C"/>
    <w:rsid w:val="00922812"/>
    <w:rsid w:val="00923AC3"/>
    <w:rsid w:val="00923C24"/>
    <w:rsid w:val="0092403F"/>
    <w:rsid w:val="00924AA5"/>
    <w:rsid w:val="00925350"/>
    <w:rsid w:val="0092563C"/>
    <w:rsid w:val="00926978"/>
    <w:rsid w:val="0092703E"/>
    <w:rsid w:val="0092769D"/>
    <w:rsid w:val="009278CF"/>
    <w:rsid w:val="00931E3D"/>
    <w:rsid w:val="0093252E"/>
    <w:rsid w:val="009326AF"/>
    <w:rsid w:val="00932D9F"/>
    <w:rsid w:val="009338D0"/>
    <w:rsid w:val="00933D3C"/>
    <w:rsid w:val="00935829"/>
    <w:rsid w:val="00937F01"/>
    <w:rsid w:val="00941C1F"/>
    <w:rsid w:val="0094219B"/>
    <w:rsid w:val="009429E4"/>
    <w:rsid w:val="00943806"/>
    <w:rsid w:val="009460AD"/>
    <w:rsid w:val="00946749"/>
    <w:rsid w:val="00946ABC"/>
    <w:rsid w:val="00946B4E"/>
    <w:rsid w:val="00947BE4"/>
    <w:rsid w:val="00951827"/>
    <w:rsid w:val="00951FFF"/>
    <w:rsid w:val="00952876"/>
    <w:rsid w:val="00953533"/>
    <w:rsid w:val="009536EB"/>
    <w:rsid w:val="00955A1B"/>
    <w:rsid w:val="00956A80"/>
    <w:rsid w:val="00956AB1"/>
    <w:rsid w:val="00956E3F"/>
    <w:rsid w:val="00962FD8"/>
    <w:rsid w:val="00964F45"/>
    <w:rsid w:val="00965B9F"/>
    <w:rsid w:val="0096625D"/>
    <w:rsid w:val="0096635B"/>
    <w:rsid w:val="00966A2F"/>
    <w:rsid w:val="0096767E"/>
    <w:rsid w:val="0097031D"/>
    <w:rsid w:val="00972788"/>
    <w:rsid w:val="00973DD2"/>
    <w:rsid w:val="00973DE8"/>
    <w:rsid w:val="00974076"/>
    <w:rsid w:val="00975936"/>
    <w:rsid w:val="00975B3F"/>
    <w:rsid w:val="00975ECE"/>
    <w:rsid w:val="009765BE"/>
    <w:rsid w:val="00977832"/>
    <w:rsid w:val="009827EB"/>
    <w:rsid w:val="0098294B"/>
    <w:rsid w:val="0098406B"/>
    <w:rsid w:val="00984E35"/>
    <w:rsid w:val="009874CA"/>
    <w:rsid w:val="009876EF"/>
    <w:rsid w:val="0099047B"/>
    <w:rsid w:val="00990587"/>
    <w:rsid w:val="009908C7"/>
    <w:rsid w:val="00990F46"/>
    <w:rsid w:val="009914C8"/>
    <w:rsid w:val="00992452"/>
    <w:rsid w:val="00992796"/>
    <w:rsid w:val="009937DB"/>
    <w:rsid w:val="00995D63"/>
    <w:rsid w:val="009965A4"/>
    <w:rsid w:val="00996F4A"/>
    <w:rsid w:val="009977B4"/>
    <w:rsid w:val="00997A88"/>
    <w:rsid w:val="009A10CD"/>
    <w:rsid w:val="009A1111"/>
    <w:rsid w:val="009A125D"/>
    <w:rsid w:val="009A1CAE"/>
    <w:rsid w:val="009A3C5E"/>
    <w:rsid w:val="009A3DE0"/>
    <w:rsid w:val="009A48CD"/>
    <w:rsid w:val="009A70CD"/>
    <w:rsid w:val="009A7834"/>
    <w:rsid w:val="009B0C3A"/>
    <w:rsid w:val="009B0DB6"/>
    <w:rsid w:val="009B1011"/>
    <w:rsid w:val="009B188E"/>
    <w:rsid w:val="009B1AE3"/>
    <w:rsid w:val="009B29FA"/>
    <w:rsid w:val="009B2AEC"/>
    <w:rsid w:val="009B2DE8"/>
    <w:rsid w:val="009B3F94"/>
    <w:rsid w:val="009B4E17"/>
    <w:rsid w:val="009B5310"/>
    <w:rsid w:val="009B5ABE"/>
    <w:rsid w:val="009B6768"/>
    <w:rsid w:val="009B7CAB"/>
    <w:rsid w:val="009C0268"/>
    <w:rsid w:val="009C171A"/>
    <w:rsid w:val="009C36CD"/>
    <w:rsid w:val="009C37A5"/>
    <w:rsid w:val="009C7C28"/>
    <w:rsid w:val="009C7F2B"/>
    <w:rsid w:val="009D14B9"/>
    <w:rsid w:val="009D2EB2"/>
    <w:rsid w:val="009D4934"/>
    <w:rsid w:val="009D76C4"/>
    <w:rsid w:val="009D7EF8"/>
    <w:rsid w:val="009E0894"/>
    <w:rsid w:val="009E1862"/>
    <w:rsid w:val="009E1C54"/>
    <w:rsid w:val="009E3BBC"/>
    <w:rsid w:val="009E3C89"/>
    <w:rsid w:val="009E4894"/>
    <w:rsid w:val="009E7BEE"/>
    <w:rsid w:val="009F07AC"/>
    <w:rsid w:val="009F21AD"/>
    <w:rsid w:val="009F3989"/>
    <w:rsid w:val="009F54D9"/>
    <w:rsid w:val="009F7ADB"/>
    <w:rsid w:val="00A009AB"/>
    <w:rsid w:val="00A0109C"/>
    <w:rsid w:val="00A03E76"/>
    <w:rsid w:val="00A03F10"/>
    <w:rsid w:val="00A040DC"/>
    <w:rsid w:val="00A04ADF"/>
    <w:rsid w:val="00A05143"/>
    <w:rsid w:val="00A05459"/>
    <w:rsid w:val="00A0623C"/>
    <w:rsid w:val="00A0644C"/>
    <w:rsid w:val="00A06781"/>
    <w:rsid w:val="00A07219"/>
    <w:rsid w:val="00A07830"/>
    <w:rsid w:val="00A1209C"/>
    <w:rsid w:val="00A122CB"/>
    <w:rsid w:val="00A132FB"/>
    <w:rsid w:val="00A13A96"/>
    <w:rsid w:val="00A1414D"/>
    <w:rsid w:val="00A152FA"/>
    <w:rsid w:val="00A157EF"/>
    <w:rsid w:val="00A15CB5"/>
    <w:rsid w:val="00A15DC8"/>
    <w:rsid w:val="00A17843"/>
    <w:rsid w:val="00A20090"/>
    <w:rsid w:val="00A20F39"/>
    <w:rsid w:val="00A20FA1"/>
    <w:rsid w:val="00A22C00"/>
    <w:rsid w:val="00A238C7"/>
    <w:rsid w:val="00A238C9"/>
    <w:rsid w:val="00A24CFA"/>
    <w:rsid w:val="00A25ED5"/>
    <w:rsid w:val="00A27B6B"/>
    <w:rsid w:val="00A31813"/>
    <w:rsid w:val="00A33914"/>
    <w:rsid w:val="00A33B81"/>
    <w:rsid w:val="00A3466A"/>
    <w:rsid w:val="00A348E3"/>
    <w:rsid w:val="00A34AF6"/>
    <w:rsid w:val="00A36B83"/>
    <w:rsid w:val="00A405B3"/>
    <w:rsid w:val="00A41308"/>
    <w:rsid w:val="00A42EE9"/>
    <w:rsid w:val="00A43B02"/>
    <w:rsid w:val="00A46E9E"/>
    <w:rsid w:val="00A50473"/>
    <w:rsid w:val="00A508C6"/>
    <w:rsid w:val="00A5313B"/>
    <w:rsid w:val="00A537BF"/>
    <w:rsid w:val="00A55BF8"/>
    <w:rsid w:val="00A55D8D"/>
    <w:rsid w:val="00A5788D"/>
    <w:rsid w:val="00A61E53"/>
    <w:rsid w:val="00A62336"/>
    <w:rsid w:val="00A62843"/>
    <w:rsid w:val="00A640C1"/>
    <w:rsid w:val="00A64E48"/>
    <w:rsid w:val="00A65318"/>
    <w:rsid w:val="00A65AA4"/>
    <w:rsid w:val="00A66DBC"/>
    <w:rsid w:val="00A677E0"/>
    <w:rsid w:val="00A679B4"/>
    <w:rsid w:val="00A70104"/>
    <w:rsid w:val="00A70596"/>
    <w:rsid w:val="00A70AF8"/>
    <w:rsid w:val="00A7264B"/>
    <w:rsid w:val="00A740F3"/>
    <w:rsid w:val="00A74E81"/>
    <w:rsid w:val="00A80DBC"/>
    <w:rsid w:val="00A81761"/>
    <w:rsid w:val="00A81B46"/>
    <w:rsid w:val="00A8359A"/>
    <w:rsid w:val="00A83985"/>
    <w:rsid w:val="00A84DD3"/>
    <w:rsid w:val="00A8656F"/>
    <w:rsid w:val="00A86E93"/>
    <w:rsid w:val="00A91760"/>
    <w:rsid w:val="00A91BD9"/>
    <w:rsid w:val="00A920BB"/>
    <w:rsid w:val="00A93C45"/>
    <w:rsid w:val="00A94876"/>
    <w:rsid w:val="00A94E18"/>
    <w:rsid w:val="00A9555D"/>
    <w:rsid w:val="00A9568B"/>
    <w:rsid w:val="00A97311"/>
    <w:rsid w:val="00AA135D"/>
    <w:rsid w:val="00AA1F7F"/>
    <w:rsid w:val="00AA3653"/>
    <w:rsid w:val="00AA4E70"/>
    <w:rsid w:val="00AA4F35"/>
    <w:rsid w:val="00AA7846"/>
    <w:rsid w:val="00AA7E38"/>
    <w:rsid w:val="00AB03F3"/>
    <w:rsid w:val="00AB45E7"/>
    <w:rsid w:val="00AB5ED2"/>
    <w:rsid w:val="00AB5F18"/>
    <w:rsid w:val="00AB6605"/>
    <w:rsid w:val="00AC063B"/>
    <w:rsid w:val="00AC0C3B"/>
    <w:rsid w:val="00AC3705"/>
    <w:rsid w:val="00AC4F7B"/>
    <w:rsid w:val="00AC5508"/>
    <w:rsid w:val="00AC6317"/>
    <w:rsid w:val="00AC79CD"/>
    <w:rsid w:val="00AD050F"/>
    <w:rsid w:val="00AD24AC"/>
    <w:rsid w:val="00AD3886"/>
    <w:rsid w:val="00AD38B7"/>
    <w:rsid w:val="00AD4E7E"/>
    <w:rsid w:val="00AD633F"/>
    <w:rsid w:val="00AD6AC2"/>
    <w:rsid w:val="00AD77CE"/>
    <w:rsid w:val="00AE0742"/>
    <w:rsid w:val="00AE2034"/>
    <w:rsid w:val="00AE29D3"/>
    <w:rsid w:val="00AE2F35"/>
    <w:rsid w:val="00AE4099"/>
    <w:rsid w:val="00AE4818"/>
    <w:rsid w:val="00AF1799"/>
    <w:rsid w:val="00AF1A3F"/>
    <w:rsid w:val="00AF2983"/>
    <w:rsid w:val="00AF5F9B"/>
    <w:rsid w:val="00AF689F"/>
    <w:rsid w:val="00AF7093"/>
    <w:rsid w:val="00AF7BA5"/>
    <w:rsid w:val="00B004F3"/>
    <w:rsid w:val="00B02586"/>
    <w:rsid w:val="00B02B39"/>
    <w:rsid w:val="00B03712"/>
    <w:rsid w:val="00B0390E"/>
    <w:rsid w:val="00B03BF2"/>
    <w:rsid w:val="00B03E1C"/>
    <w:rsid w:val="00B0403C"/>
    <w:rsid w:val="00B04DF7"/>
    <w:rsid w:val="00B05AED"/>
    <w:rsid w:val="00B13FB2"/>
    <w:rsid w:val="00B14535"/>
    <w:rsid w:val="00B1461A"/>
    <w:rsid w:val="00B151CC"/>
    <w:rsid w:val="00B1582B"/>
    <w:rsid w:val="00B17160"/>
    <w:rsid w:val="00B17B3D"/>
    <w:rsid w:val="00B17CA7"/>
    <w:rsid w:val="00B21179"/>
    <w:rsid w:val="00B21598"/>
    <w:rsid w:val="00B234E8"/>
    <w:rsid w:val="00B26838"/>
    <w:rsid w:val="00B2710B"/>
    <w:rsid w:val="00B31139"/>
    <w:rsid w:val="00B31F9B"/>
    <w:rsid w:val="00B32E62"/>
    <w:rsid w:val="00B3332B"/>
    <w:rsid w:val="00B338D9"/>
    <w:rsid w:val="00B35065"/>
    <w:rsid w:val="00B356AA"/>
    <w:rsid w:val="00B36924"/>
    <w:rsid w:val="00B40777"/>
    <w:rsid w:val="00B40780"/>
    <w:rsid w:val="00B41069"/>
    <w:rsid w:val="00B42326"/>
    <w:rsid w:val="00B42F8A"/>
    <w:rsid w:val="00B441E0"/>
    <w:rsid w:val="00B44CA1"/>
    <w:rsid w:val="00B44F7F"/>
    <w:rsid w:val="00B45D5C"/>
    <w:rsid w:val="00B4623B"/>
    <w:rsid w:val="00B462D8"/>
    <w:rsid w:val="00B47FA6"/>
    <w:rsid w:val="00B503E5"/>
    <w:rsid w:val="00B510F2"/>
    <w:rsid w:val="00B521EA"/>
    <w:rsid w:val="00B5318F"/>
    <w:rsid w:val="00B53636"/>
    <w:rsid w:val="00B5467D"/>
    <w:rsid w:val="00B5693B"/>
    <w:rsid w:val="00B600B5"/>
    <w:rsid w:val="00B62688"/>
    <w:rsid w:val="00B63FFC"/>
    <w:rsid w:val="00B64C51"/>
    <w:rsid w:val="00B65878"/>
    <w:rsid w:val="00B65A23"/>
    <w:rsid w:val="00B70EA5"/>
    <w:rsid w:val="00B74854"/>
    <w:rsid w:val="00B80BF4"/>
    <w:rsid w:val="00B811D2"/>
    <w:rsid w:val="00B81950"/>
    <w:rsid w:val="00B81ED7"/>
    <w:rsid w:val="00B83487"/>
    <w:rsid w:val="00B8366B"/>
    <w:rsid w:val="00B83A7B"/>
    <w:rsid w:val="00B84945"/>
    <w:rsid w:val="00B84B30"/>
    <w:rsid w:val="00B8532E"/>
    <w:rsid w:val="00B85392"/>
    <w:rsid w:val="00B864F9"/>
    <w:rsid w:val="00B902B6"/>
    <w:rsid w:val="00B90DD7"/>
    <w:rsid w:val="00B91295"/>
    <w:rsid w:val="00B91B8C"/>
    <w:rsid w:val="00B9267F"/>
    <w:rsid w:val="00B9271C"/>
    <w:rsid w:val="00B93205"/>
    <w:rsid w:val="00B9440F"/>
    <w:rsid w:val="00B953CB"/>
    <w:rsid w:val="00B95FBC"/>
    <w:rsid w:val="00B9669F"/>
    <w:rsid w:val="00B96AB3"/>
    <w:rsid w:val="00B97C7B"/>
    <w:rsid w:val="00B97FE2"/>
    <w:rsid w:val="00BA0D1C"/>
    <w:rsid w:val="00BA3335"/>
    <w:rsid w:val="00BA3564"/>
    <w:rsid w:val="00BA3E37"/>
    <w:rsid w:val="00BA443B"/>
    <w:rsid w:val="00BA5459"/>
    <w:rsid w:val="00BB03C7"/>
    <w:rsid w:val="00BB0703"/>
    <w:rsid w:val="00BB1475"/>
    <w:rsid w:val="00BB448B"/>
    <w:rsid w:val="00BB4E60"/>
    <w:rsid w:val="00BB5032"/>
    <w:rsid w:val="00BB7B6B"/>
    <w:rsid w:val="00BC037A"/>
    <w:rsid w:val="00BC0D93"/>
    <w:rsid w:val="00BC1148"/>
    <w:rsid w:val="00BC131E"/>
    <w:rsid w:val="00BC1652"/>
    <w:rsid w:val="00BC1793"/>
    <w:rsid w:val="00BC1B9B"/>
    <w:rsid w:val="00BC3880"/>
    <w:rsid w:val="00BC3FDB"/>
    <w:rsid w:val="00BC4400"/>
    <w:rsid w:val="00BC64EF"/>
    <w:rsid w:val="00BC6793"/>
    <w:rsid w:val="00BD2602"/>
    <w:rsid w:val="00BD3FE9"/>
    <w:rsid w:val="00BD5369"/>
    <w:rsid w:val="00BD6297"/>
    <w:rsid w:val="00BD7B08"/>
    <w:rsid w:val="00BE01AD"/>
    <w:rsid w:val="00BE10DB"/>
    <w:rsid w:val="00BE1876"/>
    <w:rsid w:val="00BE1D18"/>
    <w:rsid w:val="00BE1F13"/>
    <w:rsid w:val="00BE25C3"/>
    <w:rsid w:val="00BE79EA"/>
    <w:rsid w:val="00BF1739"/>
    <w:rsid w:val="00BF3171"/>
    <w:rsid w:val="00BF323B"/>
    <w:rsid w:val="00BF3367"/>
    <w:rsid w:val="00BF3686"/>
    <w:rsid w:val="00BF5252"/>
    <w:rsid w:val="00BF5655"/>
    <w:rsid w:val="00BF58A0"/>
    <w:rsid w:val="00BF5FB4"/>
    <w:rsid w:val="00BF64D7"/>
    <w:rsid w:val="00BF6DD0"/>
    <w:rsid w:val="00C00A45"/>
    <w:rsid w:val="00C01314"/>
    <w:rsid w:val="00C016A1"/>
    <w:rsid w:val="00C045A1"/>
    <w:rsid w:val="00C07323"/>
    <w:rsid w:val="00C075BD"/>
    <w:rsid w:val="00C109A9"/>
    <w:rsid w:val="00C10DB9"/>
    <w:rsid w:val="00C116D4"/>
    <w:rsid w:val="00C117FD"/>
    <w:rsid w:val="00C11813"/>
    <w:rsid w:val="00C135CB"/>
    <w:rsid w:val="00C15607"/>
    <w:rsid w:val="00C16AF5"/>
    <w:rsid w:val="00C16EBB"/>
    <w:rsid w:val="00C20D46"/>
    <w:rsid w:val="00C21126"/>
    <w:rsid w:val="00C224B4"/>
    <w:rsid w:val="00C22D0E"/>
    <w:rsid w:val="00C24775"/>
    <w:rsid w:val="00C26A17"/>
    <w:rsid w:val="00C278F9"/>
    <w:rsid w:val="00C300DC"/>
    <w:rsid w:val="00C303DD"/>
    <w:rsid w:val="00C30B17"/>
    <w:rsid w:val="00C31869"/>
    <w:rsid w:val="00C31FFB"/>
    <w:rsid w:val="00C32820"/>
    <w:rsid w:val="00C32E3C"/>
    <w:rsid w:val="00C33FE1"/>
    <w:rsid w:val="00C340F1"/>
    <w:rsid w:val="00C355EA"/>
    <w:rsid w:val="00C3589F"/>
    <w:rsid w:val="00C35922"/>
    <w:rsid w:val="00C365D5"/>
    <w:rsid w:val="00C3746B"/>
    <w:rsid w:val="00C3793A"/>
    <w:rsid w:val="00C37DBB"/>
    <w:rsid w:val="00C43414"/>
    <w:rsid w:val="00C43BA3"/>
    <w:rsid w:val="00C4511E"/>
    <w:rsid w:val="00C45AB1"/>
    <w:rsid w:val="00C460C1"/>
    <w:rsid w:val="00C50555"/>
    <w:rsid w:val="00C51DBF"/>
    <w:rsid w:val="00C5368B"/>
    <w:rsid w:val="00C557FC"/>
    <w:rsid w:val="00C561D5"/>
    <w:rsid w:val="00C613C0"/>
    <w:rsid w:val="00C615C2"/>
    <w:rsid w:val="00C62C41"/>
    <w:rsid w:val="00C6524A"/>
    <w:rsid w:val="00C6706E"/>
    <w:rsid w:val="00C672D4"/>
    <w:rsid w:val="00C70139"/>
    <w:rsid w:val="00C712A1"/>
    <w:rsid w:val="00C7268B"/>
    <w:rsid w:val="00C72894"/>
    <w:rsid w:val="00C73EC4"/>
    <w:rsid w:val="00C74A99"/>
    <w:rsid w:val="00C76D5C"/>
    <w:rsid w:val="00C77858"/>
    <w:rsid w:val="00C77F45"/>
    <w:rsid w:val="00C8042A"/>
    <w:rsid w:val="00C8248B"/>
    <w:rsid w:val="00C83025"/>
    <w:rsid w:val="00C831C2"/>
    <w:rsid w:val="00C837B7"/>
    <w:rsid w:val="00C84444"/>
    <w:rsid w:val="00C8506E"/>
    <w:rsid w:val="00C85CEA"/>
    <w:rsid w:val="00C85EF6"/>
    <w:rsid w:val="00C867E4"/>
    <w:rsid w:val="00C875E3"/>
    <w:rsid w:val="00C902C6"/>
    <w:rsid w:val="00C9120B"/>
    <w:rsid w:val="00C920C2"/>
    <w:rsid w:val="00C930BE"/>
    <w:rsid w:val="00C93479"/>
    <w:rsid w:val="00C94516"/>
    <w:rsid w:val="00C97A32"/>
    <w:rsid w:val="00CA146E"/>
    <w:rsid w:val="00CA20CE"/>
    <w:rsid w:val="00CA261D"/>
    <w:rsid w:val="00CA2AEE"/>
    <w:rsid w:val="00CA434D"/>
    <w:rsid w:val="00CA5542"/>
    <w:rsid w:val="00CA55C9"/>
    <w:rsid w:val="00CA6026"/>
    <w:rsid w:val="00CA6390"/>
    <w:rsid w:val="00CB07E6"/>
    <w:rsid w:val="00CB09E3"/>
    <w:rsid w:val="00CB0A3C"/>
    <w:rsid w:val="00CB0F43"/>
    <w:rsid w:val="00CB3CD0"/>
    <w:rsid w:val="00CB5381"/>
    <w:rsid w:val="00CB56D7"/>
    <w:rsid w:val="00CB6038"/>
    <w:rsid w:val="00CB650F"/>
    <w:rsid w:val="00CB67BE"/>
    <w:rsid w:val="00CC0728"/>
    <w:rsid w:val="00CC0762"/>
    <w:rsid w:val="00CC301E"/>
    <w:rsid w:val="00CC338F"/>
    <w:rsid w:val="00CC3942"/>
    <w:rsid w:val="00CC44C3"/>
    <w:rsid w:val="00CC48B5"/>
    <w:rsid w:val="00CC48CE"/>
    <w:rsid w:val="00CC5D2E"/>
    <w:rsid w:val="00CC79D1"/>
    <w:rsid w:val="00CD10EC"/>
    <w:rsid w:val="00CD2102"/>
    <w:rsid w:val="00CD2724"/>
    <w:rsid w:val="00CD3710"/>
    <w:rsid w:val="00CD43B5"/>
    <w:rsid w:val="00CD47D9"/>
    <w:rsid w:val="00CD5248"/>
    <w:rsid w:val="00CD58F8"/>
    <w:rsid w:val="00CD70BD"/>
    <w:rsid w:val="00CE0445"/>
    <w:rsid w:val="00CE0DEB"/>
    <w:rsid w:val="00CE0F01"/>
    <w:rsid w:val="00CE2A8D"/>
    <w:rsid w:val="00CE2C91"/>
    <w:rsid w:val="00CE4816"/>
    <w:rsid w:val="00CE488D"/>
    <w:rsid w:val="00CE574D"/>
    <w:rsid w:val="00CE57BB"/>
    <w:rsid w:val="00CE6001"/>
    <w:rsid w:val="00CE6C98"/>
    <w:rsid w:val="00CE6F45"/>
    <w:rsid w:val="00CE7F84"/>
    <w:rsid w:val="00CF18E1"/>
    <w:rsid w:val="00CF4EB1"/>
    <w:rsid w:val="00CF5C9C"/>
    <w:rsid w:val="00CF6931"/>
    <w:rsid w:val="00CF74D6"/>
    <w:rsid w:val="00CF78BF"/>
    <w:rsid w:val="00CF7A17"/>
    <w:rsid w:val="00CF7A54"/>
    <w:rsid w:val="00CF7D27"/>
    <w:rsid w:val="00CF7E7B"/>
    <w:rsid w:val="00D0056F"/>
    <w:rsid w:val="00D011A0"/>
    <w:rsid w:val="00D02010"/>
    <w:rsid w:val="00D02150"/>
    <w:rsid w:val="00D0292F"/>
    <w:rsid w:val="00D02BB1"/>
    <w:rsid w:val="00D031FB"/>
    <w:rsid w:val="00D03F45"/>
    <w:rsid w:val="00D0754D"/>
    <w:rsid w:val="00D07C03"/>
    <w:rsid w:val="00D1012C"/>
    <w:rsid w:val="00D10DE3"/>
    <w:rsid w:val="00D12A79"/>
    <w:rsid w:val="00D1384D"/>
    <w:rsid w:val="00D13863"/>
    <w:rsid w:val="00D14547"/>
    <w:rsid w:val="00D146EA"/>
    <w:rsid w:val="00D147F9"/>
    <w:rsid w:val="00D14CEC"/>
    <w:rsid w:val="00D159E7"/>
    <w:rsid w:val="00D1751C"/>
    <w:rsid w:val="00D17AF3"/>
    <w:rsid w:val="00D20567"/>
    <w:rsid w:val="00D207C6"/>
    <w:rsid w:val="00D22572"/>
    <w:rsid w:val="00D22DF1"/>
    <w:rsid w:val="00D22E5A"/>
    <w:rsid w:val="00D24C79"/>
    <w:rsid w:val="00D2576B"/>
    <w:rsid w:val="00D26362"/>
    <w:rsid w:val="00D27CE0"/>
    <w:rsid w:val="00D310ED"/>
    <w:rsid w:val="00D313A6"/>
    <w:rsid w:val="00D32F5D"/>
    <w:rsid w:val="00D34C97"/>
    <w:rsid w:val="00D3573E"/>
    <w:rsid w:val="00D35A18"/>
    <w:rsid w:val="00D36FE0"/>
    <w:rsid w:val="00D3745C"/>
    <w:rsid w:val="00D37D81"/>
    <w:rsid w:val="00D4116D"/>
    <w:rsid w:val="00D41986"/>
    <w:rsid w:val="00D41C2D"/>
    <w:rsid w:val="00D427EC"/>
    <w:rsid w:val="00D4306D"/>
    <w:rsid w:val="00D44DE8"/>
    <w:rsid w:val="00D4546A"/>
    <w:rsid w:val="00D4559A"/>
    <w:rsid w:val="00D456BF"/>
    <w:rsid w:val="00D500D5"/>
    <w:rsid w:val="00D50486"/>
    <w:rsid w:val="00D5079D"/>
    <w:rsid w:val="00D50FFB"/>
    <w:rsid w:val="00D52414"/>
    <w:rsid w:val="00D532F3"/>
    <w:rsid w:val="00D55719"/>
    <w:rsid w:val="00D5743F"/>
    <w:rsid w:val="00D57EB0"/>
    <w:rsid w:val="00D60616"/>
    <w:rsid w:val="00D60636"/>
    <w:rsid w:val="00D60FC7"/>
    <w:rsid w:val="00D618F8"/>
    <w:rsid w:val="00D63354"/>
    <w:rsid w:val="00D64A5C"/>
    <w:rsid w:val="00D64D73"/>
    <w:rsid w:val="00D65974"/>
    <w:rsid w:val="00D676CB"/>
    <w:rsid w:val="00D70D80"/>
    <w:rsid w:val="00D72BD8"/>
    <w:rsid w:val="00D73175"/>
    <w:rsid w:val="00D731AC"/>
    <w:rsid w:val="00D7439D"/>
    <w:rsid w:val="00D7443B"/>
    <w:rsid w:val="00D74452"/>
    <w:rsid w:val="00D7737B"/>
    <w:rsid w:val="00D81B02"/>
    <w:rsid w:val="00D838C4"/>
    <w:rsid w:val="00D842BE"/>
    <w:rsid w:val="00D84348"/>
    <w:rsid w:val="00D85214"/>
    <w:rsid w:val="00D8555D"/>
    <w:rsid w:val="00D85A83"/>
    <w:rsid w:val="00D90840"/>
    <w:rsid w:val="00D90D00"/>
    <w:rsid w:val="00D917FA"/>
    <w:rsid w:val="00D95564"/>
    <w:rsid w:val="00D96839"/>
    <w:rsid w:val="00D97425"/>
    <w:rsid w:val="00DA1305"/>
    <w:rsid w:val="00DA22D1"/>
    <w:rsid w:val="00DA3203"/>
    <w:rsid w:val="00DA3707"/>
    <w:rsid w:val="00DA3858"/>
    <w:rsid w:val="00DA3D28"/>
    <w:rsid w:val="00DA4565"/>
    <w:rsid w:val="00DA4663"/>
    <w:rsid w:val="00DA55E6"/>
    <w:rsid w:val="00DA5B55"/>
    <w:rsid w:val="00DA7ADE"/>
    <w:rsid w:val="00DB0BD1"/>
    <w:rsid w:val="00DB0F9C"/>
    <w:rsid w:val="00DB7AB5"/>
    <w:rsid w:val="00DB7E9B"/>
    <w:rsid w:val="00DC13A2"/>
    <w:rsid w:val="00DC42C4"/>
    <w:rsid w:val="00DC5862"/>
    <w:rsid w:val="00DC5F78"/>
    <w:rsid w:val="00DC66A5"/>
    <w:rsid w:val="00DD118B"/>
    <w:rsid w:val="00DD3415"/>
    <w:rsid w:val="00DD5D51"/>
    <w:rsid w:val="00DD5FE8"/>
    <w:rsid w:val="00DE144D"/>
    <w:rsid w:val="00DE17A2"/>
    <w:rsid w:val="00DE1911"/>
    <w:rsid w:val="00DE1C3B"/>
    <w:rsid w:val="00DE1CD7"/>
    <w:rsid w:val="00DE21C8"/>
    <w:rsid w:val="00DE2375"/>
    <w:rsid w:val="00DE29D4"/>
    <w:rsid w:val="00DE368D"/>
    <w:rsid w:val="00DE3DBA"/>
    <w:rsid w:val="00DE3EE8"/>
    <w:rsid w:val="00DE5A00"/>
    <w:rsid w:val="00DE7FE0"/>
    <w:rsid w:val="00DF0CAC"/>
    <w:rsid w:val="00DF169B"/>
    <w:rsid w:val="00DF1E8A"/>
    <w:rsid w:val="00DF24AA"/>
    <w:rsid w:val="00DF3349"/>
    <w:rsid w:val="00DF48E0"/>
    <w:rsid w:val="00E011E9"/>
    <w:rsid w:val="00E02428"/>
    <w:rsid w:val="00E0295A"/>
    <w:rsid w:val="00E03C1C"/>
    <w:rsid w:val="00E04708"/>
    <w:rsid w:val="00E048BE"/>
    <w:rsid w:val="00E0572F"/>
    <w:rsid w:val="00E05C6C"/>
    <w:rsid w:val="00E06194"/>
    <w:rsid w:val="00E10427"/>
    <w:rsid w:val="00E10451"/>
    <w:rsid w:val="00E10DA1"/>
    <w:rsid w:val="00E10E0F"/>
    <w:rsid w:val="00E11E2A"/>
    <w:rsid w:val="00E11EC7"/>
    <w:rsid w:val="00E137BC"/>
    <w:rsid w:val="00E16120"/>
    <w:rsid w:val="00E20608"/>
    <w:rsid w:val="00E20F67"/>
    <w:rsid w:val="00E234A7"/>
    <w:rsid w:val="00E23A32"/>
    <w:rsid w:val="00E26C45"/>
    <w:rsid w:val="00E300E4"/>
    <w:rsid w:val="00E30320"/>
    <w:rsid w:val="00E30D46"/>
    <w:rsid w:val="00E31223"/>
    <w:rsid w:val="00E3243D"/>
    <w:rsid w:val="00E33615"/>
    <w:rsid w:val="00E353B6"/>
    <w:rsid w:val="00E363CD"/>
    <w:rsid w:val="00E367F2"/>
    <w:rsid w:val="00E37CA5"/>
    <w:rsid w:val="00E400B9"/>
    <w:rsid w:val="00E40834"/>
    <w:rsid w:val="00E40B85"/>
    <w:rsid w:val="00E41D18"/>
    <w:rsid w:val="00E4236C"/>
    <w:rsid w:val="00E43266"/>
    <w:rsid w:val="00E45434"/>
    <w:rsid w:val="00E45F30"/>
    <w:rsid w:val="00E46201"/>
    <w:rsid w:val="00E4726D"/>
    <w:rsid w:val="00E47433"/>
    <w:rsid w:val="00E47F95"/>
    <w:rsid w:val="00E50553"/>
    <w:rsid w:val="00E5337B"/>
    <w:rsid w:val="00E53EB7"/>
    <w:rsid w:val="00E54795"/>
    <w:rsid w:val="00E54C15"/>
    <w:rsid w:val="00E55F2A"/>
    <w:rsid w:val="00E57139"/>
    <w:rsid w:val="00E57B38"/>
    <w:rsid w:val="00E619BB"/>
    <w:rsid w:val="00E61F4D"/>
    <w:rsid w:val="00E63135"/>
    <w:rsid w:val="00E633ED"/>
    <w:rsid w:val="00E64360"/>
    <w:rsid w:val="00E64F19"/>
    <w:rsid w:val="00E656C1"/>
    <w:rsid w:val="00E67259"/>
    <w:rsid w:val="00E67B84"/>
    <w:rsid w:val="00E70B7D"/>
    <w:rsid w:val="00E717F7"/>
    <w:rsid w:val="00E74103"/>
    <w:rsid w:val="00E75796"/>
    <w:rsid w:val="00E75E16"/>
    <w:rsid w:val="00E76AAF"/>
    <w:rsid w:val="00E80338"/>
    <w:rsid w:val="00E82715"/>
    <w:rsid w:val="00E829A0"/>
    <w:rsid w:val="00E8302E"/>
    <w:rsid w:val="00E8385C"/>
    <w:rsid w:val="00E84829"/>
    <w:rsid w:val="00E849E5"/>
    <w:rsid w:val="00E87E35"/>
    <w:rsid w:val="00E90B00"/>
    <w:rsid w:val="00E90B66"/>
    <w:rsid w:val="00E910DC"/>
    <w:rsid w:val="00E95E85"/>
    <w:rsid w:val="00E966CD"/>
    <w:rsid w:val="00E967F8"/>
    <w:rsid w:val="00E969E6"/>
    <w:rsid w:val="00E97183"/>
    <w:rsid w:val="00EA042A"/>
    <w:rsid w:val="00EA0743"/>
    <w:rsid w:val="00EA0AD2"/>
    <w:rsid w:val="00EA192A"/>
    <w:rsid w:val="00EA2619"/>
    <w:rsid w:val="00EA29F6"/>
    <w:rsid w:val="00EA3CEF"/>
    <w:rsid w:val="00EA3F5B"/>
    <w:rsid w:val="00EA6074"/>
    <w:rsid w:val="00EB08C4"/>
    <w:rsid w:val="00EB1FFE"/>
    <w:rsid w:val="00EB25BD"/>
    <w:rsid w:val="00EB25E6"/>
    <w:rsid w:val="00EB45E4"/>
    <w:rsid w:val="00EB5553"/>
    <w:rsid w:val="00EB5EEE"/>
    <w:rsid w:val="00EB6138"/>
    <w:rsid w:val="00EB7106"/>
    <w:rsid w:val="00EB7F03"/>
    <w:rsid w:val="00EC0934"/>
    <w:rsid w:val="00EC184F"/>
    <w:rsid w:val="00EC24E6"/>
    <w:rsid w:val="00EC4378"/>
    <w:rsid w:val="00EC4448"/>
    <w:rsid w:val="00EC5F12"/>
    <w:rsid w:val="00EC62BA"/>
    <w:rsid w:val="00EC640F"/>
    <w:rsid w:val="00ED0C36"/>
    <w:rsid w:val="00ED1212"/>
    <w:rsid w:val="00ED1C92"/>
    <w:rsid w:val="00ED4263"/>
    <w:rsid w:val="00ED521F"/>
    <w:rsid w:val="00ED5D8E"/>
    <w:rsid w:val="00ED70B5"/>
    <w:rsid w:val="00EE0DC0"/>
    <w:rsid w:val="00EE41FB"/>
    <w:rsid w:val="00EE5DBE"/>
    <w:rsid w:val="00EE6066"/>
    <w:rsid w:val="00EE616D"/>
    <w:rsid w:val="00EE6459"/>
    <w:rsid w:val="00EE69EA"/>
    <w:rsid w:val="00EF22B8"/>
    <w:rsid w:val="00EF2AAE"/>
    <w:rsid w:val="00EF31C5"/>
    <w:rsid w:val="00EF3D3A"/>
    <w:rsid w:val="00EF50D9"/>
    <w:rsid w:val="00EF6990"/>
    <w:rsid w:val="00EF7F78"/>
    <w:rsid w:val="00F004F6"/>
    <w:rsid w:val="00F01618"/>
    <w:rsid w:val="00F01963"/>
    <w:rsid w:val="00F02E62"/>
    <w:rsid w:val="00F030F3"/>
    <w:rsid w:val="00F04B48"/>
    <w:rsid w:val="00F050B1"/>
    <w:rsid w:val="00F0534A"/>
    <w:rsid w:val="00F117A3"/>
    <w:rsid w:val="00F11862"/>
    <w:rsid w:val="00F11E27"/>
    <w:rsid w:val="00F12328"/>
    <w:rsid w:val="00F129A8"/>
    <w:rsid w:val="00F13819"/>
    <w:rsid w:val="00F13EB1"/>
    <w:rsid w:val="00F1500D"/>
    <w:rsid w:val="00F15727"/>
    <w:rsid w:val="00F1717B"/>
    <w:rsid w:val="00F17B16"/>
    <w:rsid w:val="00F20705"/>
    <w:rsid w:val="00F208FB"/>
    <w:rsid w:val="00F20977"/>
    <w:rsid w:val="00F20C71"/>
    <w:rsid w:val="00F20CF9"/>
    <w:rsid w:val="00F2296D"/>
    <w:rsid w:val="00F24AD5"/>
    <w:rsid w:val="00F24B9B"/>
    <w:rsid w:val="00F25B66"/>
    <w:rsid w:val="00F2640C"/>
    <w:rsid w:val="00F3199C"/>
    <w:rsid w:val="00F31AE2"/>
    <w:rsid w:val="00F3373B"/>
    <w:rsid w:val="00F33823"/>
    <w:rsid w:val="00F33FCE"/>
    <w:rsid w:val="00F34CAF"/>
    <w:rsid w:val="00F34F8E"/>
    <w:rsid w:val="00F3640E"/>
    <w:rsid w:val="00F378EB"/>
    <w:rsid w:val="00F40084"/>
    <w:rsid w:val="00F40F56"/>
    <w:rsid w:val="00F41EC3"/>
    <w:rsid w:val="00F4241B"/>
    <w:rsid w:val="00F42ED6"/>
    <w:rsid w:val="00F44AB0"/>
    <w:rsid w:val="00F44AB2"/>
    <w:rsid w:val="00F44AEB"/>
    <w:rsid w:val="00F463F5"/>
    <w:rsid w:val="00F46E41"/>
    <w:rsid w:val="00F4715A"/>
    <w:rsid w:val="00F47C79"/>
    <w:rsid w:val="00F500B9"/>
    <w:rsid w:val="00F5058F"/>
    <w:rsid w:val="00F52ED7"/>
    <w:rsid w:val="00F54CE8"/>
    <w:rsid w:val="00F55005"/>
    <w:rsid w:val="00F561CB"/>
    <w:rsid w:val="00F5673F"/>
    <w:rsid w:val="00F56A8A"/>
    <w:rsid w:val="00F5739C"/>
    <w:rsid w:val="00F57440"/>
    <w:rsid w:val="00F57504"/>
    <w:rsid w:val="00F57B56"/>
    <w:rsid w:val="00F6007D"/>
    <w:rsid w:val="00F6154B"/>
    <w:rsid w:val="00F62595"/>
    <w:rsid w:val="00F6291D"/>
    <w:rsid w:val="00F63E2E"/>
    <w:rsid w:val="00F66E57"/>
    <w:rsid w:val="00F67A91"/>
    <w:rsid w:val="00F70F31"/>
    <w:rsid w:val="00F71C54"/>
    <w:rsid w:val="00F72AFB"/>
    <w:rsid w:val="00F72F65"/>
    <w:rsid w:val="00F73628"/>
    <w:rsid w:val="00F74E5B"/>
    <w:rsid w:val="00F7788D"/>
    <w:rsid w:val="00F801C3"/>
    <w:rsid w:val="00F80436"/>
    <w:rsid w:val="00F8066E"/>
    <w:rsid w:val="00F80E61"/>
    <w:rsid w:val="00F816C4"/>
    <w:rsid w:val="00F81AA2"/>
    <w:rsid w:val="00F8201B"/>
    <w:rsid w:val="00F820A8"/>
    <w:rsid w:val="00F82FF8"/>
    <w:rsid w:val="00F834AC"/>
    <w:rsid w:val="00F864F4"/>
    <w:rsid w:val="00F87CD7"/>
    <w:rsid w:val="00F90A86"/>
    <w:rsid w:val="00F92025"/>
    <w:rsid w:val="00F92519"/>
    <w:rsid w:val="00F9451E"/>
    <w:rsid w:val="00F95166"/>
    <w:rsid w:val="00F967BA"/>
    <w:rsid w:val="00F96E9D"/>
    <w:rsid w:val="00F974EF"/>
    <w:rsid w:val="00FA0666"/>
    <w:rsid w:val="00FA06E4"/>
    <w:rsid w:val="00FA1B51"/>
    <w:rsid w:val="00FA442D"/>
    <w:rsid w:val="00FA4630"/>
    <w:rsid w:val="00FA4DD0"/>
    <w:rsid w:val="00FA61A3"/>
    <w:rsid w:val="00FA655F"/>
    <w:rsid w:val="00FA7D12"/>
    <w:rsid w:val="00FB018F"/>
    <w:rsid w:val="00FB0671"/>
    <w:rsid w:val="00FB33F7"/>
    <w:rsid w:val="00FB38F0"/>
    <w:rsid w:val="00FB3CC6"/>
    <w:rsid w:val="00FB4B69"/>
    <w:rsid w:val="00FC0F0F"/>
    <w:rsid w:val="00FC2B17"/>
    <w:rsid w:val="00FC32BF"/>
    <w:rsid w:val="00FC4F68"/>
    <w:rsid w:val="00FC52A1"/>
    <w:rsid w:val="00FC59D7"/>
    <w:rsid w:val="00FC6AFB"/>
    <w:rsid w:val="00FC7E78"/>
    <w:rsid w:val="00FC7F47"/>
    <w:rsid w:val="00FD08CE"/>
    <w:rsid w:val="00FD4470"/>
    <w:rsid w:val="00FD460F"/>
    <w:rsid w:val="00FE0E8B"/>
    <w:rsid w:val="00FE10F6"/>
    <w:rsid w:val="00FE1B36"/>
    <w:rsid w:val="00FE20D7"/>
    <w:rsid w:val="00FE2651"/>
    <w:rsid w:val="00FE2A5C"/>
    <w:rsid w:val="00FE34F9"/>
    <w:rsid w:val="00FE3586"/>
    <w:rsid w:val="00FE36EF"/>
    <w:rsid w:val="00FE4A0D"/>
    <w:rsid w:val="00FE5CB5"/>
    <w:rsid w:val="00FE5DAC"/>
    <w:rsid w:val="00FF50EF"/>
    <w:rsid w:val="00FF5E43"/>
    <w:rsid w:val="00FF6857"/>
    <w:rsid w:val="00FF6AA1"/>
    <w:rsid w:val="00FF759F"/>
    <w:rsid w:val="00FF7A85"/>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6FDC906"/>
  <w15:chartTrackingRefBased/>
  <w15:docId w15:val="{0DF49823-C6CA-4064-9F90-B85CD81DBF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cs-CZ" w:eastAsia="en-US" w:bidi="ar-SA"/>
      </w:rPr>
    </w:rPrDefault>
    <w:pPrDefault>
      <w:pPr>
        <w:spacing w:before="240"/>
        <w:ind w:firstLine="425"/>
        <w:jc w:val="both"/>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qFormat="1"/>
    <w:lsdException w:name="Book Title"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n">
    <w:name w:val="Normal"/>
    <w:qFormat/>
    <w:rsid w:val="00CF4EB1"/>
    <w:rPr>
      <w:rFonts w:ascii="Times New Roman" w:eastAsia="Times New Roman" w:hAnsi="Times New Roman" w:cs="Times New Roman"/>
      <w:sz w:val="24"/>
      <w:szCs w:val="20"/>
      <w:lang w:eastAsia="cs-CZ"/>
    </w:rPr>
  </w:style>
  <w:style w:type="paragraph" w:styleId="Nadpis1">
    <w:name w:val="heading 1"/>
    <w:aliases w:val="nadpis 1"/>
    <w:basedOn w:val="Normln"/>
    <w:next w:val="Normln"/>
    <w:link w:val="Nadpis1Char"/>
    <w:qFormat/>
    <w:rsid w:val="00C11813"/>
    <w:pPr>
      <w:keepNext/>
      <w:spacing w:after="120"/>
      <w:jc w:val="center"/>
      <w:outlineLvl w:val="0"/>
    </w:pPr>
    <w:rPr>
      <w:rFonts w:eastAsiaTheme="majorEastAsia" w:cs="Arial"/>
      <w:b/>
      <w:bCs/>
      <w:kern w:val="32"/>
      <w:sz w:val="36"/>
      <w:szCs w:val="32"/>
    </w:rPr>
  </w:style>
  <w:style w:type="paragraph" w:styleId="Nadpis2">
    <w:name w:val="heading 2"/>
    <w:aliases w:val="nadpis 2"/>
    <w:basedOn w:val="Normln"/>
    <w:next w:val="Normln"/>
    <w:link w:val="Nadpis2Char"/>
    <w:unhideWhenUsed/>
    <w:qFormat/>
    <w:rsid w:val="00C11813"/>
    <w:pPr>
      <w:keepNext/>
      <w:numPr>
        <w:numId w:val="18"/>
      </w:numPr>
      <w:spacing w:after="120"/>
      <w:jc w:val="center"/>
      <w:outlineLvl w:val="1"/>
    </w:pPr>
    <w:rPr>
      <w:rFonts w:cs="Arial"/>
      <w:b/>
      <w:bCs/>
      <w:iCs/>
      <w:sz w:val="32"/>
      <w:szCs w:val="28"/>
    </w:rPr>
  </w:style>
  <w:style w:type="paragraph" w:styleId="Nadpis3">
    <w:name w:val="heading 3"/>
    <w:aliases w:val="nadpis 3"/>
    <w:basedOn w:val="Normln"/>
    <w:next w:val="Normln"/>
    <w:link w:val="Nadpis3Char"/>
    <w:unhideWhenUsed/>
    <w:qFormat/>
    <w:rsid w:val="00C11813"/>
    <w:pPr>
      <w:keepNext/>
      <w:numPr>
        <w:ilvl w:val="1"/>
        <w:numId w:val="18"/>
      </w:numPr>
      <w:spacing w:after="120"/>
      <w:jc w:val="left"/>
      <w:outlineLvl w:val="2"/>
    </w:pPr>
    <w:rPr>
      <w:rFonts w:eastAsiaTheme="majorEastAsia" w:cs="Arial"/>
      <w:b/>
      <w:bCs/>
      <w:iCs/>
      <w:sz w:val="28"/>
      <w:szCs w:val="28"/>
    </w:rPr>
  </w:style>
  <w:style w:type="paragraph" w:styleId="Nadpis4">
    <w:name w:val="heading 4"/>
    <w:aliases w:val="nadpis 4"/>
    <w:basedOn w:val="Normln"/>
    <w:next w:val="Normln"/>
    <w:link w:val="Nadpis4Char"/>
    <w:unhideWhenUsed/>
    <w:qFormat/>
    <w:rsid w:val="00C11813"/>
    <w:pPr>
      <w:keepNext/>
      <w:numPr>
        <w:ilvl w:val="2"/>
        <w:numId w:val="18"/>
      </w:numPr>
      <w:spacing w:after="120"/>
      <w:jc w:val="left"/>
      <w:outlineLvl w:val="3"/>
    </w:pPr>
    <w:rPr>
      <w:rFonts w:eastAsiaTheme="majorEastAsia" w:cs="Arial"/>
      <w:b/>
      <w:bCs/>
      <w:iCs/>
      <w:szCs w:val="24"/>
      <w:u w:val="single"/>
    </w:rPr>
  </w:style>
  <w:style w:type="paragraph" w:styleId="Nadpis5">
    <w:name w:val="heading 5"/>
    <w:aliases w:val="nadpis 5"/>
    <w:basedOn w:val="Normln"/>
    <w:next w:val="Normln"/>
    <w:link w:val="Nadpis5Char"/>
    <w:unhideWhenUsed/>
    <w:qFormat/>
    <w:rsid w:val="00C11813"/>
    <w:pPr>
      <w:keepNext/>
      <w:keepLines/>
      <w:numPr>
        <w:ilvl w:val="3"/>
        <w:numId w:val="18"/>
      </w:numPr>
      <w:spacing w:before="200" w:after="120"/>
      <w:outlineLvl w:val="4"/>
    </w:pPr>
    <w:rPr>
      <w:rFonts w:eastAsia="Calibri" w:cstheme="majorBidi"/>
      <w:b/>
      <w:lang w:eastAsia="en-US"/>
    </w:rPr>
  </w:style>
  <w:style w:type="paragraph" w:styleId="Nadpis6">
    <w:name w:val="heading 6"/>
    <w:basedOn w:val="Normln"/>
    <w:next w:val="Normln"/>
    <w:link w:val="Nadpis6Char"/>
    <w:unhideWhenUsed/>
    <w:qFormat/>
    <w:rsid w:val="00C11813"/>
    <w:pPr>
      <w:keepNext/>
      <w:keepLines/>
      <w:spacing w:before="40"/>
      <w:outlineLvl w:val="5"/>
    </w:pPr>
    <w:rPr>
      <w:rFonts w:asciiTheme="majorHAnsi" w:eastAsiaTheme="majorEastAsia" w:hAnsiTheme="majorHAnsi" w:cstheme="majorBidi"/>
      <w:color w:val="1F4D78" w:themeColor="accent1" w:themeShade="7F"/>
    </w:rPr>
  </w:style>
  <w:style w:type="paragraph" w:styleId="Nadpis7">
    <w:name w:val="heading 7"/>
    <w:basedOn w:val="Normln"/>
    <w:next w:val="Normln"/>
    <w:link w:val="Nadpis7Char"/>
    <w:uiPriority w:val="9"/>
    <w:unhideWhenUsed/>
    <w:qFormat/>
    <w:rsid w:val="00CF4EB1"/>
    <w:pPr>
      <w:keepNext/>
      <w:keepLines/>
      <w:numPr>
        <w:ilvl w:val="6"/>
        <w:numId w:val="1"/>
      </w:numPr>
      <w:spacing w:before="40"/>
      <w:outlineLvl w:val="6"/>
    </w:pPr>
    <w:rPr>
      <w:rFonts w:asciiTheme="majorHAnsi" w:eastAsiaTheme="majorEastAsia" w:hAnsiTheme="majorHAnsi" w:cstheme="majorBidi"/>
      <w:i/>
      <w:iCs/>
      <w:color w:val="1F4D78" w:themeColor="accent1" w:themeShade="7F"/>
    </w:rPr>
  </w:style>
  <w:style w:type="paragraph" w:styleId="Nadpis8">
    <w:name w:val="heading 8"/>
    <w:basedOn w:val="Normln"/>
    <w:next w:val="Normln"/>
    <w:link w:val="Nadpis8Char"/>
    <w:uiPriority w:val="9"/>
    <w:unhideWhenUsed/>
    <w:qFormat/>
    <w:rsid w:val="00CF4EB1"/>
    <w:pPr>
      <w:keepNext/>
      <w:keepLines/>
      <w:numPr>
        <w:ilvl w:val="7"/>
        <w:numId w:val="1"/>
      </w:numPr>
      <w:spacing w:before="40"/>
      <w:outlineLvl w:val="7"/>
    </w:pPr>
    <w:rPr>
      <w:rFonts w:asciiTheme="majorHAnsi" w:eastAsiaTheme="majorEastAsia" w:hAnsiTheme="majorHAnsi" w:cstheme="majorBidi"/>
      <w:color w:val="272727" w:themeColor="text1" w:themeTint="D8"/>
      <w:sz w:val="21"/>
      <w:szCs w:val="21"/>
    </w:rPr>
  </w:style>
  <w:style w:type="paragraph" w:styleId="Nadpis9">
    <w:name w:val="heading 9"/>
    <w:basedOn w:val="Normln"/>
    <w:next w:val="Normln"/>
    <w:link w:val="Nadpis9Char"/>
    <w:uiPriority w:val="9"/>
    <w:unhideWhenUsed/>
    <w:qFormat/>
    <w:rsid w:val="00CF4EB1"/>
    <w:pPr>
      <w:keepNext/>
      <w:keepLines/>
      <w:numPr>
        <w:ilvl w:val="8"/>
        <w:numId w:val="1"/>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7Char">
    <w:name w:val="Nadpis 7 Char"/>
    <w:basedOn w:val="Standardnpsmoodstavce"/>
    <w:link w:val="Nadpis7"/>
    <w:uiPriority w:val="9"/>
    <w:rsid w:val="00CF4EB1"/>
    <w:rPr>
      <w:rFonts w:asciiTheme="majorHAnsi" w:eastAsiaTheme="majorEastAsia" w:hAnsiTheme="majorHAnsi" w:cstheme="majorBidi"/>
      <w:i/>
      <w:iCs/>
      <w:color w:val="1F4D78" w:themeColor="accent1" w:themeShade="7F"/>
      <w:sz w:val="24"/>
      <w:szCs w:val="20"/>
      <w:lang w:eastAsia="cs-CZ"/>
    </w:rPr>
  </w:style>
  <w:style w:type="character" w:customStyle="1" w:styleId="Nadpis8Char">
    <w:name w:val="Nadpis 8 Char"/>
    <w:basedOn w:val="Standardnpsmoodstavce"/>
    <w:link w:val="Nadpis8"/>
    <w:uiPriority w:val="9"/>
    <w:rsid w:val="00CF4EB1"/>
    <w:rPr>
      <w:rFonts w:asciiTheme="majorHAnsi" w:eastAsiaTheme="majorEastAsia" w:hAnsiTheme="majorHAnsi" w:cstheme="majorBidi"/>
      <w:color w:val="272727" w:themeColor="text1" w:themeTint="D8"/>
      <w:sz w:val="21"/>
      <w:szCs w:val="21"/>
      <w:lang w:eastAsia="cs-CZ"/>
    </w:rPr>
  </w:style>
  <w:style w:type="character" w:customStyle="1" w:styleId="Nadpis9Char">
    <w:name w:val="Nadpis 9 Char"/>
    <w:basedOn w:val="Standardnpsmoodstavce"/>
    <w:link w:val="Nadpis9"/>
    <w:uiPriority w:val="9"/>
    <w:rsid w:val="00CF4EB1"/>
    <w:rPr>
      <w:rFonts w:asciiTheme="majorHAnsi" w:eastAsiaTheme="majorEastAsia" w:hAnsiTheme="majorHAnsi" w:cstheme="majorBidi"/>
      <w:i/>
      <w:iCs/>
      <w:color w:val="272727" w:themeColor="text1" w:themeTint="D8"/>
      <w:sz w:val="21"/>
      <w:szCs w:val="21"/>
      <w:lang w:eastAsia="cs-CZ"/>
    </w:rPr>
  </w:style>
  <w:style w:type="paragraph" w:customStyle="1" w:styleId="Paragraf">
    <w:name w:val="Paragraf"/>
    <w:basedOn w:val="Normln"/>
    <w:next w:val="Normln"/>
    <w:link w:val="ParagrafChar"/>
    <w:qFormat/>
    <w:rsid w:val="00CF4EB1"/>
    <w:pPr>
      <w:keepNext/>
      <w:keepLines/>
      <w:numPr>
        <w:numId w:val="1"/>
      </w:numPr>
      <w:jc w:val="center"/>
      <w:outlineLvl w:val="5"/>
    </w:pPr>
  </w:style>
  <w:style w:type="paragraph" w:customStyle="1" w:styleId="lnek">
    <w:name w:val="Článek"/>
    <w:basedOn w:val="Normln"/>
    <w:next w:val="Normln"/>
    <w:link w:val="lnekChar"/>
    <w:rsid w:val="00CF4EB1"/>
    <w:pPr>
      <w:keepNext/>
      <w:keepLines/>
      <w:numPr>
        <w:ilvl w:val="1"/>
        <w:numId w:val="1"/>
      </w:numPr>
      <w:jc w:val="center"/>
      <w:outlineLvl w:val="5"/>
    </w:pPr>
  </w:style>
  <w:style w:type="paragraph" w:styleId="Textpoznpodarou">
    <w:name w:val="footnote text"/>
    <w:basedOn w:val="Normln"/>
    <w:link w:val="TextpoznpodarouChar"/>
    <w:rsid w:val="00CF4EB1"/>
    <w:pPr>
      <w:tabs>
        <w:tab w:val="left" w:pos="425"/>
      </w:tabs>
      <w:ind w:left="425" w:hanging="425"/>
    </w:pPr>
    <w:rPr>
      <w:sz w:val="20"/>
    </w:rPr>
  </w:style>
  <w:style w:type="character" w:customStyle="1" w:styleId="TextpoznpodarouChar">
    <w:name w:val="Text pozn. pod čarou Char"/>
    <w:basedOn w:val="Standardnpsmoodstavce"/>
    <w:link w:val="Textpoznpodarou"/>
    <w:rsid w:val="00CF4EB1"/>
    <w:rPr>
      <w:rFonts w:ascii="Times New Roman" w:eastAsia="Times New Roman" w:hAnsi="Times New Roman" w:cs="Times New Roman"/>
      <w:sz w:val="20"/>
      <w:szCs w:val="20"/>
      <w:lang w:eastAsia="cs-CZ"/>
    </w:rPr>
  </w:style>
  <w:style w:type="character" w:styleId="Znakapoznpodarou">
    <w:name w:val="footnote reference"/>
    <w:rsid w:val="00CF4EB1"/>
    <w:rPr>
      <w:vertAlign w:val="superscript"/>
    </w:rPr>
  </w:style>
  <w:style w:type="paragraph" w:styleId="Odstavecseseznamem">
    <w:name w:val="List Paragraph"/>
    <w:aliases w:val="Odstavec_muj,Nad,List Paragraph (Czech Tourism),List Paragraph,A-Odrážky1,_Odstavec se seznamem,Odstavec_muj1,Odstavec_muj2,Odstavec_muj3,Nad1,List Paragraph1,Odstavec_muj4,Nad2,List Paragraph2,Odstavec_muj5,Odstavec_muj6,References"/>
    <w:basedOn w:val="Normln"/>
    <w:link w:val="OdstavecseseznamemChar"/>
    <w:uiPriority w:val="34"/>
    <w:qFormat/>
    <w:rsid w:val="00CF4EB1"/>
    <w:pPr>
      <w:ind w:left="720"/>
      <w:contextualSpacing/>
    </w:pPr>
  </w:style>
  <w:style w:type="paragraph" w:customStyle="1" w:styleId="PZTextodstavce">
    <w:name w:val="PZ Text odstavce"/>
    <w:basedOn w:val="Normln"/>
    <w:qFormat/>
    <w:rsid w:val="00CF4EB1"/>
    <w:pPr>
      <w:tabs>
        <w:tab w:val="left" w:pos="782"/>
        <w:tab w:val="left" w:pos="851"/>
      </w:tabs>
      <w:spacing w:before="120" w:after="120"/>
      <w:outlineLvl w:val="6"/>
    </w:pPr>
  </w:style>
  <w:style w:type="character" w:customStyle="1" w:styleId="ParagrafChar">
    <w:name w:val="Paragraf Char"/>
    <w:link w:val="Paragraf"/>
    <w:qFormat/>
    <w:rsid w:val="00CF4EB1"/>
    <w:rPr>
      <w:rFonts w:ascii="Times New Roman" w:eastAsia="Times New Roman" w:hAnsi="Times New Roman" w:cs="Times New Roman"/>
      <w:sz w:val="24"/>
      <w:szCs w:val="20"/>
      <w:lang w:eastAsia="cs-CZ"/>
    </w:rPr>
  </w:style>
  <w:style w:type="character" w:customStyle="1" w:styleId="OdstavecseseznamemChar">
    <w:name w:val="Odstavec se seznamem Char"/>
    <w:aliases w:val="Odstavec_muj Char,Nad Char,List Paragraph (Czech Tourism) Char,List Paragraph Char,A-Odrážky1 Char,_Odstavec se seznamem Char,Odstavec_muj1 Char,Odstavec_muj2 Char,Odstavec_muj3 Char,Nad1 Char,List Paragraph1 Char,Nad2 Char"/>
    <w:link w:val="Odstavecseseznamem"/>
    <w:uiPriority w:val="34"/>
    <w:locked/>
    <w:rsid w:val="00CF4EB1"/>
    <w:rPr>
      <w:rFonts w:ascii="Times New Roman" w:eastAsia="Times New Roman" w:hAnsi="Times New Roman" w:cs="Times New Roman"/>
      <w:sz w:val="24"/>
      <w:szCs w:val="20"/>
      <w:lang w:eastAsia="cs-CZ"/>
    </w:rPr>
  </w:style>
  <w:style w:type="paragraph" w:customStyle="1" w:styleId="PZTextpsmene">
    <w:name w:val="PZ Text písmene"/>
    <w:basedOn w:val="Normln"/>
    <w:uiPriority w:val="99"/>
    <w:qFormat/>
    <w:rsid w:val="00CF4EB1"/>
    <w:pPr>
      <w:ind w:left="425" w:hanging="425"/>
      <w:outlineLvl w:val="7"/>
    </w:pPr>
  </w:style>
  <w:style w:type="paragraph" w:customStyle="1" w:styleId="Textbodu">
    <w:name w:val="Text bodu"/>
    <w:basedOn w:val="Normln"/>
    <w:link w:val="TextboduChar"/>
    <w:rsid w:val="00CF4EB1"/>
    <w:pPr>
      <w:ind w:firstLine="0"/>
      <w:outlineLvl w:val="8"/>
    </w:pPr>
  </w:style>
  <w:style w:type="paragraph" w:customStyle="1" w:styleId="Textpsmene">
    <w:name w:val="Text písmene"/>
    <w:basedOn w:val="Normln"/>
    <w:link w:val="TextpsmeneChar"/>
    <w:rsid w:val="00CF4EB1"/>
    <w:pPr>
      <w:ind w:firstLine="0"/>
      <w:outlineLvl w:val="7"/>
    </w:pPr>
  </w:style>
  <w:style w:type="paragraph" w:customStyle="1" w:styleId="Textodstavce">
    <w:name w:val="Text odstavce"/>
    <w:basedOn w:val="Normln"/>
    <w:link w:val="TextodstavceChar"/>
    <w:qFormat/>
    <w:rsid w:val="00CF4EB1"/>
    <w:pPr>
      <w:tabs>
        <w:tab w:val="left" w:pos="851"/>
      </w:tabs>
      <w:spacing w:before="120" w:after="120"/>
      <w:ind w:firstLine="0"/>
      <w:outlineLvl w:val="6"/>
    </w:pPr>
  </w:style>
  <w:style w:type="paragraph" w:customStyle="1" w:styleId="Nadpisparagrafu">
    <w:name w:val="Nadpis paragrafu"/>
    <w:basedOn w:val="Paragraf"/>
    <w:next w:val="Textodstavce"/>
    <w:link w:val="NadpisparagrafuChar2"/>
    <w:qFormat/>
    <w:rsid w:val="00CF4EB1"/>
    <w:pPr>
      <w:numPr>
        <w:numId w:val="0"/>
      </w:numPr>
    </w:pPr>
    <w:rPr>
      <w:b/>
    </w:rPr>
  </w:style>
  <w:style w:type="character" w:customStyle="1" w:styleId="lnekChar">
    <w:name w:val="Článek Char"/>
    <w:link w:val="lnek"/>
    <w:rsid w:val="00CF4EB1"/>
    <w:rPr>
      <w:rFonts w:ascii="Times New Roman" w:eastAsia="Times New Roman" w:hAnsi="Times New Roman" w:cs="Times New Roman"/>
      <w:sz w:val="24"/>
      <w:szCs w:val="20"/>
      <w:lang w:eastAsia="cs-CZ"/>
    </w:rPr>
  </w:style>
  <w:style w:type="character" w:customStyle="1" w:styleId="TextodstavceChar">
    <w:name w:val="Text odstavce Char"/>
    <w:link w:val="Textodstavce"/>
    <w:rsid w:val="00CF4EB1"/>
    <w:rPr>
      <w:rFonts w:ascii="Times New Roman" w:eastAsia="Times New Roman" w:hAnsi="Times New Roman" w:cs="Times New Roman"/>
      <w:sz w:val="24"/>
      <w:szCs w:val="20"/>
      <w:lang w:eastAsia="cs-CZ"/>
    </w:rPr>
  </w:style>
  <w:style w:type="character" w:customStyle="1" w:styleId="NadpisparagrafuChar2">
    <w:name w:val="Nadpis paragrafu Char2"/>
    <w:link w:val="Nadpisparagrafu"/>
    <w:rsid w:val="00CF4EB1"/>
    <w:rPr>
      <w:rFonts w:ascii="Times New Roman" w:eastAsia="Times New Roman" w:hAnsi="Times New Roman" w:cs="Times New Roman"/>
      <w:b/>
      <w:sz w:val="24"/>
      <w:szCs w:val="20"/>
      <w:lang w:eastAsia="cs-CZ"/>
    </w:rPr>
  </w:style>
  <w:style w:type="paragraph" w:customStyle="1" w:styleId="Odstavec">
    <w:name w:val="Odstavec"/>
    <w:basedOn w:val="Textodstavce"/>
    <w:link w:val="OdstavecChar"/>
    <w:uiPriority w:val="99"/>
    <w:qFormat/>
    <w:rsid w:val="00CF4EB1"/>
    <w:pPr>
      <w:ind w:firstLine="425"/>
    </w:pPr>
  </w:style>
  <w:style w:type="paragraph" w:customStyle="1" w:styleId="Psmeno">
    <w:name w:val="Písmeno"/>
    <w:basedOn w:val="Textpsmene"/>
    <w:link w:val="PsmenoChar"/>
    <w:qFormat/>
    <w:rsid w:val="00CF4EB1"/>
    <w:pPr>
      <w:ind w:left="425" w:hanging="425"/>
    </w:pPr>
  </w:style>
  <w:style w:type="character" w:customStyle="1" w:styleId="OdstavecChar">
    <w:name w:val="Odstavec Char"/>
    <w:basedOn w:val="TextodstavceChar"/>
    <w:link w:val="Odstavec"/>
    <w:uiPriority w:val="99"/>
    <w:rsid w:val="00CF4EB1"/>
    <w:rPr>
      <w:rFonts w:ascii="Times New Roman" w:eastAsia="Times New Roman" w:hAnsi="Times New Roman" w:cs="Times New Roman"/>
      <w:sz w:val="24"/>
      <w:szCs w:val="20"/>
      <w:lang w:eastAsia="cs-CZ"/>
    </w:rPr>
  </w:style>
  <w:style w:type="paragraph" w:customStyle="1" w:styleId="Bod">
    <w:name w:val="Bod"/>
    <w:basedOn w:val="Normln"/>
    <w:link w:val="BodChar"/>
    <w:qFormat/>
    <w:rsid w:val="00CF4EB1"/>
    <w:pPr>
      <w:tabs>
        <w:tab w:val="left" w:pos="851"/>
      </w:tabs>
      <w:ind w:left="850" w:hanging="425"/>
      <w:outlineLvl w:val="8"/>
    </w:pPr>
  </w:style>
  <w:style w:type="character" w:customStyle="1" w:styleId="PsmenoChar">
    <w:name w:val="Písmeno Char"/>
    <w:basedOn w:val="Standardnpsmoodstavce"/>
    <w:link w:val="Psmeno"/>
    <w:rsid w:val="00CF4EB1"/>
    <w:rPr>
      <w:rFonts w:ascii="Times New Roman" w:eastAsia="Times New Roman" w:hAnsi="Times New Roman" w:cs="Times New Roman"/>
      <w:sz w:val="24"/>
      <w:szCs w:val="20"/>
      <w:lang w:eastAsia="cs-CZ"/>
    </w:rPr>
  </w:style>
  <w:style w:type="character" w:customStyle="1" w:styleId="BodChar">
    <w:name w:val="Bod Char"/>
    <w:basedOn w:val="Standardnpsmoodstavce"/>
    <w:link w:val="Bod"/>
    <w:rsid w:val="00CF4EB1"/>
    <w:rPr>
      <w:rFonts w:ascii="Times New Roman" w:eastAsia="Times New Roman" w:hAnsi="Times New Roman" w:cs="Times New Roman"/>
      <w:sz w:val="24"/>
      <w:szCs w:val="20"/>
      <w:lang w:eastAsia="cs-CZ"/>
    </w:rPr>
  </w:style>
  <w:style w:type="character" w:styleId="Odkaznakoment">
    <w:name w:val="annotation reference"/>
    <w:basedOn w:val="Standardnpsmoodstavce"/>
    <w:uiPriority w:val="99"/>
    <w:unhideWhenUsed/>
    <w:rsid w:val="00CF4EB1"/>
    <w:rPr>
      <w:sz w:val="16"/>
      <w:szCs w:val="16"/>
    </w:rPr>
  </w:style>
  <w:style w:type="paragraph" w:styleId="Textkomente">
    <w:name w:val="annotation text"/>
    <w:basedOn w:val="Normln"/>
    <w:link w:val="TextkomenteChar"/>
    <w:uiPriority w:val="99"/>
    <w:unhideWhenUsed/>
    <w:rsid w:val="00CF4EB1"/>
    <w:rPr>
      <w:sz w:val="20"/>
    </w:rPr>
  </w:style>
  <w:style w:type="character" w:customStyle="1" w:styleId="TextkomenteChar">
    <w:name w:val="Text komentáře Char"/>
    <w:basedOn w:val="Standardnpsmoodstavce"/>
    <w:link w:val="Textkomente"/>
    <w:uiPriority w:val="99"/>
    <w:rsid w:val="00CF4EB1"/>
    <w:rPr>
      <w:rFonts w:ascii="Times New Roman" w:eastAsia="Times New Roman" w:hAnsi="Times New Roman" w:cs="Times New Roman"/>
      <w:sz w:val="20"/>
      <w:szCs w:val="20"/>
      <w:lang w:eastAsia="cs-CZ"/>
    </w:rPr>
  </w:style>
  <w:style w:type="paragraph" w:styleId="Textbubliny">
    <w:name w:val="Balloon Text"/>
    <w:basedOn w:val="Normln"/>
    <w:link w:val="TextbublinyChar"/>
    <w:uiPriority w:val="99"/>
    <w:unhideWhenUsed/>
    <w:rsid w:val="00CF4EB1"/>
    <w:rPr>
      <w:rFonts w:ascii="Segoe UI" w:hAnsi="Segoe UI" w:cs="Segoe UI"/>
      <w:sz w:val="18"/>
      <w:szCs w:val="18"/>
    </w:rPr>
  </w:style>
  <w:style w:type="character" w:customStyle="1" w:styleId="TextbublinyChar">
    <w:name w:val="Text bubliny Char"/>
    <w:basedOn w:val="Standardnpsmoodstavce"/>
    <w:link w:val="Textbubliny"/>
    <w:uiPriority w:val="99"/>
    <w:rsid w:val="00CF4EB1"/>
    <w:rPr>
      <w:rFonts w:ascii="Segoe UI" w:eastAsia="Times New Roman" w:hAnsi="Segoe UI" w:cs="Segoe UI"/>
      <w:sz w:val="18"/>
      <w:szCs w:val="18"/>
      <w:lang w:eastAsia="cs-CZ"/>
    </w:rPr>
  </w:style>
  <w:style w:type="paragraph" w:customStyle="1" w:styleId="Textparagrafu">
    <w:name w:val="Text paragrafu"/>
    <w:basedOn w:val="Normln"/>
    <w:link w:val="TextparagrafuChar"/>
    <w:rsid w:val="008F2B6E"/>
    <w:pPr>
      <w:outlineLvl w:val="5"/>
    </w:pPr>
  </w:style>
  <w:style w:type="character" w:customStyle="1" w:styleId="TextpsmeneChar">
    <w:name w:val="Text písmene Char"/>
    <w:link w:val="Textpsmene"/>
    <w:rsid w:val="00CE57BB"/>
    <w:rPr>
      <w:rFonts w:ascii="Times New Roman" w:eastAsia="Times New Roman" w:hAnsi="Times New Roman" w:cs="Times New Roman"/>
      <w:sz w:val="24"/>
      <w:szCs w:val="20"/>
      <w:lang w:eastAsia="cs-CZ"/>
    </w:rPr>
  </w:style>
  <w:style w:type="paragraph" w:customStyle="1" w:styleId="PZTextbodu">
    <w:name w:val="PZ Text bodu"/>
    <w:basedOn w:val="Textbodu"/>
    <w:link w:val="PZTextboduChar"/>
    <w:qFormat/>
    <w:rsid w:val="00CE57BB"/>
    <w:pPr>
      <w:tabs>
        <w:tab w:val="left" w:pos="851"/>
      </w:tabs>
      <w:ind w:left="850" w:hanging="425"/>
    </w:pPr>
  </w:style>
  <w:style w:type="character" w:customStyle="1" w:styleId="TextboduChar">
    <w:name w:val="Text bodu Char"/>
    <w:basedOn w:val="Standardnpsmoodstavce"/>
    <w:link w:val="Textbodu"/>
    <w:rsid w:val="00CE57BB"/>
    <w:rPr>
      <w:rFonts w:ascii="Times New Roman" w:eastAsia="Times New Roman" w:hAnsi="Times New Roman" w:cs="Times New Roman"/>
      <w:sz w:val="24"/>
      <w:szCs w:val="20"/>
      <w:lang w:eastAsia="cs-CZ"/>
    </w:rPr>
  </w:style>
  <w:style w:type="character" w:customStyle="1" w:styleId="PZTextboduChar">
    <w:name w:val="PZ Text bodu Char"/>
    <w:basedOn w:val="TextboduChar"/>
    <w:link w:val="PZTextbodu"/>
    <w:uiPriority w:val="99"/>
    <w:rsid w:val="00CE57BB"/>
    <w:rPr>
      <w:rFonts w:ascii="Times New Roman" w:eastAsia="Times New Roman" w:hAnsi="Times New Roman" w:cs="Times New Roman"/>
      <w:sz w:val="24"/>
      <w:szCs w:val="20"/>
      <w:lang w:eastAsia="cs-CZ"/>
    </w:rPr>
  </w:style>
  <w:style w:type="character" w:styleId="Hypertextovodkaz">
    <w:name w:val="Hyperlink"/>
    <w:basedOn w:val="Standardnpsmoodstavce"/>
    <w:unhideWhenUsed/>
    <w:rsid w:val="00CE57BB"/>
    <w:rPr>
      <w:color w:val="0563C1" w:themeColor="hyperlink"/>
      <w:u w:val="single"/>
    </w:rPr>
  </w:style>
  <w:style w:type="character" w:styleId="PromnnHTML">
    <w:name w:val="HTML Variable"/>
    <w:basedOn w:val="Standardnpsmoodstavce"/>
    <w:uiPriority w:val="99"/>
    <w:semiHidden/>
    <w:unhideWhenUsed/>
    <w:rsid w:val="00CE57BB"/>
    <w:rPr>
      <w:i/>
      <w:iCs/>
    </w:rPr>
  </w:style>
  <w:style w:type="paragraph" w:customStyle="1" w:styleId="l4">
    <w:name w:val="l4"/>
    <w:basedOn w:val="Normln"/>
    <w:rsid w:val="00CE57BB"/>
    <w:pPr>
      <w:spacing w:before="100" w:beforeAutospacing="1" w:after="100" w:afterAutospacing="1"/>
      <w:jc w:val="left"/>
    </w:pPr>
    <w:rPr>
      <w:szCs w:val="24"/>
    </w:rPr>
  </w:style>
  <w:style w:type="paragraph" w:customStyle="1" w:styleId="l6">
    <w:name w:val="l6"/>
    <w:basedOn w:val="Normln"/>
    <w:rsid w:val="00CE57BB"/>
    <w:pPr>
      <w:spacing w:before="100" w:beforeAutospacing="1" w:after="100" w:afterAutospacing="1"/>
      <w:jc w:val="left"/>
    </w:pPr>
    <w:rPr>
      <w:szCs w:val="24"/>
    </w:rPr>
  </w:style>
  <w:style w:type="paragraph" w:customStyle="1" w:styleId="l7">
    <w:name w:val="l7"/>
    <w:basedOn w:val="Normln"/>
    <w:rsid w:val="00CE57BB"/>
    <w:pPr>
      <w:spacing w:before="100" w:beforeAutospacing="1" w:after="100" w:afterAutospacing="1"/>
      <w:jc w:val="left"/>
    </w:pPr>
    <w:rPr>
      <w:szCs w:val="24"/>
    </w:rPr>
  </w:style>
  <w:style w:type="paragraph" w:customStyle="1" w:styleId="l5">
    <w:name w:val="l5"/>
    <w:basedOn w:val="Normln"/>
    <w:rsid w:val="00CE57BB"/>
    <w:pPr>
      <w:spacing w:before="100" w:beforeAutospacing="1" w:after="100" w:afterAutospacing="1"/>
      <w:jc w:val="left"/>
    </w:pPr>
    <w:rPr>
      <w:szCs w:val="24"/>
    </w:rPr>
  </w:style>
  <w:style w:type="paragraph" w:customStyle="1" w:styleId="Textlnku">
    <w:name w:val="Text článku"/>
    <w:basedOn w:val="Normln"/>
    <w:link w:val="TextlnkuChar"/>
    <w:rsid w:val="00CE57BB"/>
    <w:pPr>
      <w:outlineLvl w:val="5"/>
    </w:pPr>
  </w:style>
  <w:style w:type="character" w:customStyle="1" w:styleId="TextlnkuChar">
    <w:name w:val="Text článku Char"/>
    <w:link w:val="Textlnku"/>
    <w:rsid w:val="00CE57BB"/>
    <w:rPr>
      <w:rFonts w:ascii="Times New Roman" w:eastAsia="Times New Roman" w:hAnsi="Times New Roman" w:cs="Times New Roman"/>
      <w:sz w:val="24"/>
      <w:szCs w:val="20"/>
      <w:lang w:eastAsia="cs-CZ"/>
    </w:rPr>
  </w:style>
  <w:style w:type="paragraph" w:customStyle="1" w:styleId="Nadpisoddlu">
    <w:name w:val="Nadpis oddílu"/>
    <w:basedOn w:val="Normln"/>
    <w:next w:val="Paragraf"/>
    <w:rsid w:val="00CE57BB"/>
    <w:pPr>
      <w:keepNext/>
      <w:keepLines/>
      <w:jc w:val="center"/>
      <w:outlineLvl w:val="4"/>
    </w:pPr>
    <w:rPr>
      <w:b/>
    </w:rPr>
  </w:style>
  <w:style w:type="character" w:customStyle="1" w:styleId="Nadpis1Char">
    <w:name w:val="Nadpis 1 Char"/>
    <w:aliases w:val="nadpis 1 Char"/>
    <w:basedOn w:val="Standardnpsmoodstavce"/>
    <w:link w:val="Nadpis1"/>
    <w:uiPriority w:val="99"/>
    <w:rsid w:val="00C11813"/>
    <w:rPr>
      <w:rFonts w:ascii="Times New Roman" w:eastAsiaTheme="majorEastAsia" w:hAnsi="Times New Roman" w:cs="Arial"/>
      <w:b/>
      <w:bCs/>
      <w:kern w:val="32"/>
      <w:sz w:val="36"/>
      <w:szCs w:val="32"/>
      <w:lang w:eastAsia="cs-CZ"/>
    </w:rPr>
  </w:style>
  <w:style w:type="character" w:customStyle="1" w:styleId="Nadpis2Char">
    <w:name w:val="Nadpis 2 Char"/>
    <w:aliases w:val="nadpis 2 Char"/>
    <w:basedOn w:val="Standardnpsmoodstavce"/>
    <w:link w:val="Nadpis2"/>
    <w:rsid w:val="00C11813"/>
    <w:rPr>
      <w:rFonts w:ascii="Times New Roman" w:eastAsia="Times New Roman" w:hAnsi="Times New Roman" w:cs="Arial"/>
      <w:b/>
      <w:bCs/>
      <w:iCs/>
      <w:sz w:val="32"/>
      <w:szCs w:val="28"/>
      <w:lang w:eastAsia="cs-CZ"/>
    </w:rPr>
  </w:style>
  <w:style w:type="character" w:customStyle="1" w:styleId="Nadpis3Char">
    <w:name w:val="Nadpis 3 Char"/>
    <w:aliases w:val="nadpis 3 Char"/>
    <w:basedOn w:val="Standardnpsmoodstavce"/>
    <w:link w:val="Nadpis3"/>
    <w:rsid w:val="00C11813"/>
    <w:rPr>
      <w:rFonts w:ascii="Times New Roman" w:eastAsiaTheme="majorEastAsia" w:hAnsi="Times New Roman" w:cs="Arial"/>
      <w:b/>
      <w:bCs/>
      <w:iCs/>
      <w:sz w:val="28"/>
      <w:szCs w:val="28"/>
      <w:lang w:eastAsia="cs-CZ"/>
    </w:rPr>
  </w:style>
  <w:style w:type="character" w:customStyle="1" w:styleId="Nadpis4Char">
    <w:name w:val="Nadpis 4 Char"/>
    <w:aliases w:val="nadpis 4 Char"/>
    <w:basedOn w:val="Standardnpsmoodstavce"/>
    <w:link w:val="Nadpis4"/>
    <w:rsid w:val="00C11813"/>
    <w:rPr>
      <w:rFonts w:ascii="Times New Roman" w:eastAsiaTheme="majorEastAsia" w:hAnsi="Times New Roman" w:cs="Arial"/>
      <w:b/>
      <w:bCs/>
      <w:iCs/>
      <w:sz w:val="24"/>
      <w:szCs w:val="24"/>
      <w:u w:val="single"/>
      <w:lang w:eastAsia="cs-CZ"/>
    </w:rPr>
  </w:style>
  <w:style w:type="character" w:customStyle="1" w:styleId="Nadpis5Char">
    <w:name w:val="Nadpis 5 Char"/>
    <w:aliases w:val="nadpis 5 Char"/>
    <w:basedOn w:val="Standardnpsmoodstavce"/>
    <w:link w:val="Nadpis5"/>
    <w:rsid w:val="00C11813"/>
    <w:rPr>
      <w:rFonts w:ascii="Times New Roman" w:eastAsia="Calibri" w:hAnsi="Times New Roman" w:cstheme="majorBidi"/>
      <w:b/>
      <w:sz w:val="24"/>
      <w:szCs w:val="20"/>
    </w:rPr>
  </w:style>
  <w:style w:type="character" w:customStyle="1" w:styleId="Nadpis6Char">
    <w:name w:val="Nadpis 6 Char"/>
    <w:basedOn w:val="Standardnpsmoodstavce"/>
    <w:link w:val="Nadpis6"/>
    <w:uiPriority w:val="9"/>
    <w:rsid w:val="00C11813"/>
    <w:rPr>
      <w:rFonts w:asciiTheme="majorHAnsi" w:eastAsiaTheme="majorEastAsia" w:hAnsiTheme="majorHAnsi" w:cstheme="majorBidi"/>
      <w:color w:val="1F4D78" w:themeColor="accent1" w:themeShade="7F"/>
      <w:sz w:val="24"/>
      <w:szCs w:val="20"/>
      <w:lang w:eastAsia="cs-CZ"/>
    </w:rPr>
  </w:style>
  <w:style w:type="paragraph" w:styleId="Zhlav">
    <w:name w:val="header"/>
    <w:basedOn w:val="Normln"/>
    <w:link w:val="ZhlavChar"/>
    <w:uiPriority w:val="99"/>
    <w:rsid w:val="00C11813"/>
    <w:pPr>
      <w:tabs>
        <w:tab w:val="center" w:pos="4536"/>
        <w:tab w:val="right" w:pos="9072"/>
      </w:tabs>
    </w:pPr>
  </w:style>
  <w:style w:type="character" w:customStyle="1" w:styleId="ZhlavChar">
    <w:name w:val="Záhlaví Char"/>
    <w:basedOn w:val="Standardnpsmoodstavce"/>
    <w:link w:val="Zhlav"/>
    <w:uiPriority w:val="99"/>
    <w:rsid w:val="00C11813"/>
    <w:rPr>
      <w:rFonts w:ascii="Times New Roman" w:eastAsia="Times New Roman" w:hAnsi="Times New Roman" w:cs="Times New Roman"/>
      <w:sz w:val="24"/>
      <w:szCs w:val="20"/>
      <w:lang w:eastAsia="cs-CZ"/>
    </w:rPr>
  </w:style>
  <w:style w:type="paragraph" w:customStyle="1" w:styleId="Oddl">
    <w:name w:val="Oddíl"/>
    <w:basedOn w:val="Normln"/>
    <w:next w:val="Nadpisoddlu"/>
    <w:rsid w:val="00C11813"/>
    <w:pPr>
      <w:keepNext/>
      <w:keepLines/>
      <w:jc w:val="center"/>
      <w:outlineLvl w:val="4"/>
    </w:pPr>
  </w:style>
  <w:style w:type="paragraph" w:customStyle="1" w:styleId="Dl">
    <w:name w:val="Díl"/>
    <w:basedOn w:val="Normln"/>
    <w:next w:val="Nadpisdlu"/>
    <w:rsid w:val="00C11813"/>
    <w:pPr>
      <w:keepNext/>
      <w:keepLines/>
      <w:jc w:val="center"/>
      <w:outlineLvl w:val="3"/>
    </w:pPr>
  </w:style>
  <w:style w:type="paragraph" w:customStyle="1" w:styleId="Nadpisdlu">
    <w:name w:val="Nadpis dílu"/>
    <w:basedOn w:val="Normln"/>
    <w:next w:val="Oddl"/>
    <w:rsid w:val="00C11813"/>
    <w:pPr>
      <w:keepNext/>
      <w:keepLines/>
      <w:jc w:val="center"/>
      <w:outlineLvl w:val="3"/>
    </w:pPr>
    <w:rPr>
      <w:b/>
    </w:rPr>
  </w:style>
  <w:style w:type="paragraph" w:customStyle="1" w:styleId="Hlava">
    <w:name w:val="Hlava"/>
    <w:basedOn w:val="Normln"/>
    <w:next w:val="Nadpishlavy"/>
    <w:rsid w:val="00C11813"/>
    <w:pPr>
      <w:keepNext/>
      <w:keepLines/>
      <w:jc w:val="center"/>
      <w:outlineLvl w:val="2"/>
    </w:pPr>
  </w:style>
  <w:style w:type="paragraph" w:customStyle="1" w:styleId="Nadpishlavy">
    <w:name w:val="Nadpis hlavy"/>
    <w:basedOn w:val="Normln"/>
    <w:next w:val="Dl"/>
    <w:rsid w:val="00C11813"/>
    <w:pPr>
      <w:keepNext/>
      <w:keepLines/>
      <w:jc w:val="center"/>
      <w:outlineLvl w:val="2"/>
    </w:pPr>
    <w:rPr>
      <w:b/>
    </w:rPr>
  </w:style>
  <w:style w:type="paragraph" w:customStyle="1" w:styleId="ST">
    <w:name w:val="ČÁST"/>
    <w:basedOn w:val="Normln"/>
    <w:next w:val="NADPISSTI"/>
    <w:rsid w:val="00C11813"/>
    <w:pPr>
      <w:keepNext/>
      <w:keepLines/>
      <w:spacing w:after="120"/>
      <w:jc w:val="center"/>
      <w:outlineLvl w:val="1"/>
    </w:pPr>
    <w:rPr>
      <w:caps/>
    </w:rPr>
  </w:style>
  <w:style w:type="paragraph" w:customStyle="1" w:styleId="NADPISSTI">
    <w:name w:val="NADPIS ČÁSTI"/>
    <w:basedOn w:val="Normln"/>
    <w:next w:val="Hlava"/>
    <w:link w:val="NADPISSTIChar"/>
    <w:rsid w:val="00C11813"/>
    <w:pPr>
      <w:keepNext/>
      <w:keepLines/>
      <w:jc w:val="center"/>
      <w:outlineLvl w:val="1"/>
    </w:pPr>
    <w:rPr>
      <w:b/>
    </w:rPr>
  </w:style>
  <w:style w:type="paragraph" w:customStyle="1" w:styleId="ZKON">
    <w:name w:val="ZÁKON"/>
    <w:basedOn w:val="Normln"/>
    <w:next w:val="nadpiszkona"/>
    <w:rsid w:val="00C11813"/>
    <w:pPr>
      <w:keepNext/>
      <w:keepLines/>
      <w:jc w:val="center"/>
      <w:outlineLvl w:val="0"/>
    </w:pPr>
    <w:rPr>
      <w:b/>
      <w:caps/>
    </w:rPr>
  </w:style>
  <w:style w:type="paragraph" w:customStyle="1" w:styleId="nadpiszkona">
    <w:name w:val="nadpis zákona"/>
    <w:basedOn w:val="Normln"/>
    <w:next w:val="Parlament"/>
    <w:rsid w:val="00C11813"/>
    <w:pPr>
      <w:keepNext/>
      <w:keepLines/>
      <w:spacing w:before="120"/>
      <w:jc w:val="center"/>
      <w:outlineLvl w:val="0"/>
    </w:pPr>
    <w:rPr>
      <w:b/>
    </w:rPr>
  </w:style>
  <w:style w:type="paragraph" w:customStyle="1" w:styleId="Parlament">
    <w:name w:val="Parlament"/>
    <w:basedOn w:val="Normln"/>
    <w:next w:val="ST"/>
    <w:rsid w:val="00C11813"/>
    <w:pPr>
      <w:keepNext/>
      <w:keepLines/>
      <w:spacing w:before="360" w:after="240"/>
    </w:pPr>
  </w:style>
  <w:style w:type="paragraph" w:customStyle="1" w:styleId="CELEX">
    <w:name w:val="CELEX"/>
    <w:basedOn w:val="Normln"/>
    <w:next w:val="Normln"/>
    <w:rsid w:val="00C11813"/>
    <w:pPr>
      <w:spacing w:before="60"/>
    </w:pPr>
    <w:rPr>
      <w:i/>
      <w:sz w:val="20"/>
    </w:rPr>
  </w:style>
  <w:style w:type="paragraph" w:customStyle="1" w:styleId="funkce">
    <w:name w:val="funkce"/>
    <w:basedOn w:val="Normln"/>
    <w:rsid w:val="00C11813"/>
    <w:pPr>
      <w:keepLines/>
      <w:jc w:val="center"/>
    </w:pPr>
  </w:style>
  <w:style w:type="paragraph" w:customStyle="1" w:styleId="Psmeno0">
    <w:name w:val="&quot;Písmeno&quot;"/>
    <w:basedOn w:val="Normln"/>
    <w:next w:val="Normln"/>
    <w:rsid w:val="00C11813"/>
    <w:pPr>
      <w:keepNext/>
      <w:keepLines/>
      <w:ind w:left="425" w:hanging="425"/>
    </w:pPr>
  </w:style>
  <w:style w:type="paragraph" w:customStyle="1" w:styleId="Oznaenpozmn">
    <w:name w:val="Označení pozm.n."/>
    <w:basedOn w:val="Normln"/>
    <w:next w:val="Normln"/>
    <w:rsid w:val="00C11813"/>
    <w:pPr>
      <w:numPr>
        <w:numId w:val="5"/>
      </w:numPr>
      <w:spacing w:after="120"/>
    </w:pPr>
    <w:rPr>
      <w:b/>
    </w:rPr>
  </w:style>
  <w:style w:type="paragraph" w:customStyle="1" w:styleId="Textpozmn">
    <w:name w:val="Text pozm.n."/>
    <w:basedOn w:val="Normln"/>
    <w:next w:val="Normln"/>
    <w:rsid w:val="00C11813"/>
    <w:pPr>
      <w:numPr>
        <w:numId w:val="6"/>
      </w:numPr>
      <w:tabs>
        <w:tab w:val="clear" w:pos="425"/>
        <w:tab w:val="left" w:pos="851"/>
      </w:tabs>
      <w:spacing w:after="120"/>
      <w:ind w:left="850"/>
    </w:pPr>
  </w:style>
  <w:style w:type="paragraph" w:customStyle="1" w:styleId="Novelizanbod">
    <w:name w:val="Novelizační bod"/>
    <w:basedOn w:val="Normln"/>
    <w:next w:val="Normln"/>
    <w:link w:val="NovelizanbodChar"/>
    <w:qFormat/>
    <w:rsid w:val="00C11813"/>
    <w:pPr>
      <w:keepNext/>
      <w:keepLines/>
      <w:numPr>
        <w:numId w:val="26"/>
      </w:numPr>
      <w:tabs>
        <w:tab w:val="left" w:pos="851"/>
      </w:tabs>
      <w:spacing w:before="480" w:after="120"/>
    </w:pPr>
  </w:style>
  <w:style w:type="paragraph" w:customStyle="1" w:styleId="Novelizanbodvpozmn">
    <w:name w:val="Novelizační bod v pozm.n."/>
    <w:basedOn w:val="Normln"/>
    <w:next w:val="Normln"/>
    <w:rsid w:val="00C11813"/>
    <w:pPr>
      <w:keepNext/>
      <w:keepLines/>
      <w:numPr>
        <w:numId w:val="4"/>
      </w:numPr>
      <w:tabs>
        <w:tab w:val="clear" w:pos="851"/>
        <w:tab w:val="left" w:pos="1418"/>
      </w:tabs>
      <w:ind w:left="1418" w:hanging="567"/>
    </w:pPr>
  </w:style>
  <w:style w:type="paragraph" w:customStyle="1" w:styleId="Nadpispozmn">
    <w:name w:val="Nadpis pozm.n."/>
    <w:basedOn w:val="Normln"/>
    <w:next w:val="Normln"/>
    <w:rsid w:val="00C11813"/>
    <w:pPr>
      <w:keepNext/>
      <w:keepLines/>
      <w:spacing w:after="120"/>
      <w:jc w:val="center"/>
    </w:pPr>
    <w:rPr>
      <w:b/>
      <w:sz w:val="32"/>
    </w:rPr>
  </w:style>
  <w:style w:type="character" w:customStyle="1" w:styleId="Odkaznapoznpodarou">
    <w:name w:val="Odkaz na pozn. pod čarou"/>
    <w:rsid w:val="00C11813"/>
    <w:rPr>
      <w:vertAlign w:val="superscript"/>
    </w:rPr>
  </w:style>
  <w:style w:type="paragraph" w:customStyle="1" w:styleId="Dvodovzprva">
    <w:name w:val="Důvodová zpráva"/>
    <w:basedOn w:val="Normln"/>
    <w:link w:val="DvodovzprvaChar"/>
    <w:uiPriority w:val="99"/>
    <w:qFormat/>
    <w:rsid w:val="00C11813"/>
    <w:pPr>
      <w:spacing w:before="120"/>
      <w:outlineLvl w:val="0"/>
    </w:pPr>
    <w:rPr>
      <w:rFonts w:ascii="Arial" w:hAnsi="Arial"/>
      <w:color w:val="0000FF"/>
      <w:sz w:val="22"/>
    </w:rPr>
  </w:style>
  <w:style w:type="paragraph" w:customStyle="1" w:styleId="Textbodunovely">
    <w:name w:val="Text bodu novely"/>
    <w:basedOn w:val="Normln"/>
    <w:next w:val="Normln"/>
    <w:rsid w:val="00C11813"/>
    <w:pPr>
      <w:ind w:left="567" w:hanging="567"/>
    </w:pPr>
  </w:style>
  <w:style w:type="character" w:styleId="slostrnky">
    <w:name w:val="page number"/>
    <w:basedOn w:val="Standardnpsmoodstavce"/>
    <w:semiHidden/>
    <w:rsid w:val="00C11813"/>
  </w:style>
  <w:style w:type="paragraph" w:styleId="Zpat">
    <w:name w:val="footer"/>
    <w:basedOn w:val="Normln"/>
    <w:link w:val="ZpatChar"/>
    <w:rsid w:val="00C11813"/>
    <w:pPr>
      <w:tabs>
        <w:tab w:val="center" w:pos="4536"/>
        <w:tab w:val="right" w:pos="9072"/>
      </w:tabs>
    </w:pPr>
  </w:style>
  <w:style w:type="character" w:customStyle="1" w:styleId="ZpatChar">
    <w:name w:val="Zápatí Char"/>
    <w:basedOn w:val="Standardnpsmoodstavce"/>
    <w:link w:val="Zpat"/>
    <w:rsid w:val="00C11813"/>
    <w:rPr>
      <w:rFonts w:ascii="Times New Roman" w:eastAsia="Times New Roman" w:hAnsi="Times New Roman" w:cs="Times New Roman"/>
      <w:sz w:val="24"/>
      <w:szCs w:val="20"/>
      <w:lang w:eastAsia="cs-CZ"/>
    </w:rPr>
  </w:style>
  <w:style w:type="paragraph" w:styleId="Titulek">
    <w:name w:val="caption"/>
    <w:basedOn w:val="Dvodovzprva"/>
    <w:next w:val="Normln"/>
    <w:qFormat/>
    <w:rsid w:val="00C11813"/>
    <w:pPr>
      <w:spacing w:after="120"/>
    </w:pPr>
    <w:rPr>
      <w:b/>
    </w:rPr>
  </w:style>
  <w:style w:type="paragraph" w:customStyle="1" w:styleId="Nvrh">
    <w:name w:val="Návrh"/>
    <w:basedOn w:val="Normln"/>
    <w:next w:val="ZKON"/>
    <w:rsid w:val="00C11813"/>
    <w:pPr>
      <w:keepNext/>
      <w:keepLines/>
      <w:spacing w:after="240"/>
      <w:jc w:val="center"/>
      <w:outlineLvl w:val="0"/>
    </w:pPr>
    <w:rPr>
      <w:spacing w:val="40"/>
    </w:rPr>
  </w:style>
  <w:style w:type="paragraph" w:customStyle="1" w:styleId="Podpis">
    <w:name w:val="Podpis_"/>
    <w:basedOn w:val="Normln"/>
    <w:next w:val="funkce"/>
    <w:rsid w:val="00C11813"/>
    <w:pPr>
      <w:keepNext/>
      <w:keepLines/>
      <w:spacing w:before="720"/>
      <w:jc w:val="center"/>
    </w:pPr>
  </w:style>
  <w:style w:type="paragraph" w:customStyle="1" w:styleId="Dvodovzprvakbodu">
    <w:name w:val="Důvodová zpráva (k bodu)"/>
    <w:basedOn w:val="Dvodovzprva"/>
    <w:next w:val="Dvodovzprva"/>
    <w:qFormat/>
    <w:rsid w:val="00C11813"/>
    <w:pPr>
      <w:keepNext/>
      <w:numPr>
        <w:numId w:val="7"/>
      </w:numPr>
      <w:ind w:left="0"/>
    </w:pPr>
    <w:rPr>
      <w:b/>
    </w:rPr>
  </w:style>
  <w:style w:type="paragraph" w:customStyle="1" w:styleId="VARIANTA">
    <w:name w:val="VARIANTA"/>
    <w:basedOn w:val="Normln"/>
    <w:next w:val="Normln"/>
    <w:rsid w:val="00C11813"/>
    <w:pPr>
      <w:keepNext/>
      <w:spacing w:before="120" w:after="120"/>
    </w:pPr>
    <w:rPr>
      <w:caps/>
      <w:spacing w:val="60"/>
    </w:rPr>
  </w:style>
  <w:style w:type="paragraph" w:customStyle="1" w:styleId="VARIANTA-konec">
    <w:name w:val="VARIANTA - konec"/>
    <w:basedOn w:val="Normln"/>
    <w:next w:val="Normln"/>
    <w:rsid w:val="00C11813"/>
    <w:rPr>
      <w:caps/>
      <w:spacing w:val="60"/>
    </w:rPr>
  </w:style>
  <w:style w:type="paragraph" w:customStyle="1" w:styleId="Nadpislnku">
    <w:name w:val="Nadpis článku"/>
    <w:basedOn w:val="lnek"/>
    <w:next w:val="Textodstavce"/>
    <w:link w:val="NadpislnkuChar"/>
    <w:rsid w:val="00C11813"/>
    <w:pPr>
      <w:numPr>
        <w:ilvl w:val="0"/>
        <w:numId w:val="0"/>
      </w:numPr>
    </w:pPr>
    <w:rPr>
      <w:b/>
    </w:rPr>
  </w:style>
  <w:style w:type="character" w:customStyle="1" w:styleId="DvodovzprvaChar">
    <w:name w:val="Důvodová zpráva Char"/>
    <w:link w:val="Dvodovzprva"/>
    <w:uiPriority w:val="99"/>
    <w:locked/>
    <w:rsid w:val="00C11813"/>
    <w:rPr>
      <w:rFonts w:ascii="Arial" w:eastAsia="Times New Roman" w:hAnsi="Arial" w:cs="Times New Roman"/>
      <w:color w:val="0000FF"/>
      <w:szCs w:val="20"/>
      <w:lang w:eastAsia="cs-CZ"/>
    </w:rPr>
  </w:style>
  <w:style w:type="paragraph" w:customStyle="1" w:styleId="Dvodovzprvaknovlnku">
    <w:name w:val="Důvodová zpráva (k nov. článku)"/>
    <w:basedOn w:val="Dvodovzprvakbodu"/>
    <w:next w:val="Dvodovzprva"/>
    <w:qFormat/>
    <w:rsid w:val="00C11813"/>
    <w:pPr>
      <w:keepNext w:val="0"/>
      <w:numPr>
        <w:numId w:val="8"/>
      </w:numPr>
      <w:spacing w:before="0"/>
      <w:outlineLvl w:val="9"/>
    </w:pPr>
    <w:rPr>
      <w:rFonts w:ascii="Times New Roman" w:hAnsi="Times New Roman"/>
      <w:b w:val="0"/>
      <w:color w:val="auto"/>
      <w:sz w:val="24"/>
    </w:rPr>
  </w:style>
  <w:style w:type="paragraph" w:customStyle="1" w:styleId="Dvodovzprvaksti">
    <w:name w:val="Důvodová zpráva (k části)"/>
    <w:basedOn w:val="Dvodovzprva"/>
    <w:next w:val="Dvodovzprva"/>
    <w:qFormat/>
    <w:rsid w:val="00C11813"/>
    <w:pPr>
      <w:keepNext/>
    </w:pPr>
    <w:rPr>
      <w:b/>
      <w:sz w:val="28"/>
    </w:rPr>
  </w:style>
  <w:style w:type="paragraph" w:customStyle="1" w:styleId="Nadpispododdlu">
    <w:name w:val="Nadpis pododdílu"/>
    <w:basedOn w:val="Nadpisoddlu"/>
    <w:qFormat/>
    <w:rsid w:val="00C11813"/>
  </w:style>
  <w:style w:type="paragraph" w:customStyle="1" w:styleId="Pododdl">
    <w:name w:val="Pododdíl"/>
    <w:basedOn w:val="Oddl"/>
    <w:qFormat/>
    <w:rsid w:val="00C11813"/>
  </w:style>
  <w:style w:type="paragraph" w:customStyle="1" w:styleId="Nadpisskupinyparagraf">
    <w:name w:val="Nadpis skupiny paragrafů"/>
    <w:basedOn w:val="Nadpisparagrafu"/>
    <w:qFormat/>
    <w:rsid w:val="00C11813"/>
  </w:style>
  <w:style w:type="paragraph" w:customStyle="1" w:styleId="Dvodovzprvakhlav">
    <w:name w:val="Důvodová zpráva (k hlavě)"/>
    <w:basedOn w:val="Dvodovzprva"/>
    <w:next w:val="Dvodovzprva"/>
    <w:qFormat/>
    <w:rsid w:val="00C11813"/>
    <w:pPr>
      <w:keepNext/>
      <w:numPr>
        <w:numId w:val="9"/>
      </w:numPr>
    </w:pPr>
    <w:rPr>
      <w:b/>
      <w:sz w:val="28"/>
    </w:rPr>
  </w:style>
  <w:style w:type="paragraph" w:customStyle="1" w:styleId="Dvodovzprvakdlu">
    <w:name w:val="Důvodová zpráva (k dílu)"/>
    <w:basedOn w:val="Dvodovzprva"/>
    <w:next w:val="Dvodovzprva"/>
    <w:qFormat/>
    <w:rsid w:val="00C11813"/>
    <w:pPr>
      <w:keepNext/>
      <w:numPr>
        <w:numId w:val="10"/>
      </w:numPr>
    </w:pPr>
    <w:rPr>
      <w:b/>
      <w:sz w:val="24"/>
    </w:rPr>
  </w:style>
  <w:style w:type="paragraph" w:customStyle="1" w:styleId="Dvodovzprvakoddlu">
    <w:name w:val="Důvodová zpráva (k oddílu)"/>
    <w:basedOn w:val="Dvodovzprva"/>
    <w:next w:val="Dvodovzprva"/>
    <w:qFormat/>
    <w:rsid w:val="00C11813"/>
    <w:pPr>
      <w:keepNext/>
      <w:numPr>
        <w:numId w:val="11"/>
      </w:numPr>
    </w:pPr>
    <w:rPr>
      <w:b/>
      <w:sz w:val="24"/>
    </w:rPr>
  </w:style>
  <w:style w:type="paragraph" w:customStyle="1" w:styleId="Dvodovzprvakpododdlu">
    <w:name w:val="Důvodová zpráva (k pododdílu)"/>
    <w:basedOn w:val="Dvodovzprva"/>
    <w:next w:val="Dvodovzprva"/>
    <w:qFormat/>
    <w:rsid w:val="00C11813"/>
    <w:pPr>
      <w:keepNext/>
      <w:numPr>
        <w:numId w:val="12"/>
      </w:numPr>
    </w:pPr>
    <w:rPr>
      <w:b/>
      <w:sz w:val="24"/>
    </w:rPr>
  </w:style>
  <w:style w:type="paragraph" w:customStyle="1" w:styleId="Dvodovzprvaklnku">
    <w:name w:val="Důvodová zpráva (k článku)"/>
    <w:basedOn w:val="Dvodovzprva"/>
    <w:next w:val="Dvodovzprva"/>
    <w:qFormat/>
    <w:rsid w:val="00C11813"/>
    <w:pPr>
      <w:keepNext/>
    </w:pPr>
    <w:rPr>
      <w:b/>
      <w:sz w:val="24"/>
    </w:rPr>
  </w:style>
  <w:style w:type="paragraph" w:customStyle="1" w:styleId="Dvodovzprvakparagrafu">
    <w:name w:val="Důvodová zpráva (k paragrafu)"/>
    <w:basedOn w:val="Dvodovzprva"/>
    <w:next w:val="Dvodovzprva"/>
    <w:qFormat/>
    <w:rsid w:val="00C11813"/>
    <w:pPr>
      <w:keepNext/>
    </w:pPr>
    <w:rPr>
      <w:b/>
      <w:sz w:val="24"/>
    </w:rPr>
  </w:style>
  <w:style w:type="table" w:styleId="Mkatabulky">
    <w:name w:val="Table Grid"/>
    <w:basedOn w:val="Normlntabulka"/>
    <w:uiPriority w:val="59"/>
    <w:rsid w:val="00C11813"/>
    <w:rPr>
      <w:rFonts w:ascii="Times New Roman" w:eastAsia="Times New Roman" w:hAnsi="Times New Roman" w:cs="Times New Roman"/>
      <w:sz w:val="20"/>
      <w:szCs w:val="20"/>
      <w:lang w:eastAsia="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edmtkomente">
    <w:name w:val="annotation subject"/>
    <w:basedOn w:val="Textkomente"/>
    <w:next w:val="Textkomente"/>
    <w:link w:val="PedmtkomenteChar"/>
    <w:uiPriority w:val="99"/>
    <w:unhideWhenUsed/>
    <w:rsid w:val="00C11813"/>
    <w:rPr>
      <w:b/>
      <w:bCs/>
    </w:rPr>
  </w:style>
  <w:style w:type="character" w:customStyle="1" w:styleId="PedmtkomenteChar">
    <w:name w:val="Předmět komentáře Char"/>
    <w:basedOn w:val="TextkomenteChar"/>
    <w:link w:val="Pedmtkomente"/>
    <w:uiPriority w:val="99"/>
    <w:rsid w:val="00C11813"/>
    <w:rPr>
      <w:rFonts w:ascii="Times New Roman" w:eastAsia="Times New Roman" w:hAnsi="Times New Roman" w:cs="Times New Roman"/>
      <w:b/>
      <w:bCs/>
      <w:sz w:val="20"/>
      <w:szCs w:val="20"/>
      <w:lang w:eastAsia="cs-CZ"/>
    </w:rPr>
  </w:style>
  <w:style w:type="paragraph" w:styleId="AdresaHTML">
    <w:name w:val="HTML Address"/>
    <w:basedOn w:val="Normln"/>
    <w:link w:val="AdresaHTMLChar"/>
    <w:uiPriority w:val="99"/>
    <w:semiHidden/>
    <w:unhideWhenUsed/>
    <w:rsid w:val="00C11813"/>
    <w:rPr>
      <w:i/>
      <w:iCs/>
    </w:rPr>
  </w:style>
  <w:style w:type="character" w:customStyle="1" w:styleId="AdresaHTMLChar">
    <w:name w:val="Adresa HTML Char"/>
    <w:basedOn w:val="Standardnpsmoodstavce"/>
    <w:link w:val="AdresaHTML"/>
    <w:uiPriority w:val="99"/>
    <w:semiHidden/>
    <w:rsid w:val="00C11813"/>
    <w:rPr>
      <w:rFonts w:ascii="Times New Roman" w:eastAsia="Times New Roman" w:hAnsi="Times New Roman" w:cs="Times New Roman"/>
      <w:i/>
      <w:iCs/>
      <w:sz w:val="24"/>
      <w:szCs w:val="20"/>
      <w:lang w:eastAsia="cs-CZ"/>
    </w:rPr>
  </w:style>
  <w:style w:type="paragraph" w:styleId="Adresanaoblku">
    <w:name w:val="envelope address"/>
    <w:basedOn w:val="Normln"/>
    <w:uiPriority w:val="99"/>
    <w:semiHidden/>
    <w:unhideWhenUsed/>
    <w:rsid w:val="00C11813"/>
    <w:pPr>
      <w:framePr w:w="7920" w:h="1980" w:hRule="exact" w:hSpace="141" w:wrap="auto" w:hAnchor="page" w:xAlign="center" w:yAlign="bottom"/>
      <w:ind w:left="2880"/>
    </w:pPr>
    <w:rPr>
      <w:rFonts w:asciiTheme="majorHAnsi" w:eastAsiaTheme="majorEastAsia" w:hAnsiTheme="majorHAnsi" w:cstheme="majorBidi"/>
      <w:szCs w:val="24"/>
    </w:rPr>
  </w:style>
  <w:style w:type="paragraph" w:styleId="Bezmezer">
    <w:name w:val="No Spacing"/>
    <w:link w:val="BezmezerChar"/>
    <w:uiPriority w:val="1"/>
    <w:qFormat/>
    <w:rsid w:val="00C11813"/>
    <w:rPr>
      <w:rFonts w:ascii="Arial" w:eastAsia="Times New Roman" w:hAnsi="Arial" w:cs="Times New Roman"/>
      <w:szCs w:val="20"/>
      <w:lang w:eastAsia="cs-CZ"/>
    </w:rPr>
  </w:style>
  <w:style w:type="paragraph" w:styleId="Bibliografie">
    <w:name w:val="Bibliography"/>
    <w:basedOn w:val="Normln"/>
    <w:next w:val="Normln"/>
    <w:uiPriority w:val="37"/>
    <w:semiHidden/>
    <w:unhideWhenUsed/>
    <w:rsid w:val="00C11813"/>
  </w:style>
  <w:style w:type="paragraph" w:styleId="Citt">
    <w:name w:val="Quote"/>
    <w:basedOn w:val="Normln"/>
    <w:next w:val="Normln"/>
    <w:link w:val="CittChar"/>
    <w:uiPriority w:val="29"/>
    <w:qFormat/>
    <w:rsid w:val="00C11813"/>
    <w:rPr>
      <w:i/>
      <w:iCs/>
      <w:color w:val="000000" w:themeColor="text1"/>
    </w:rPr>
  </w:style>
  <w:style w:type="character" w:customStyle="1" w:styleId="CittChar">
    <w:name w:val="Citát Char"/>
    <w:basedOn w:val="Standardnpsmoodstavce"/>
    <w:link w:val="Citt"/>
    <w:uiPriority w:val="29"/>
    <w:rsid w:val="00C11813"/>
    <w:rPr>
      <w:rFonts w:ascii="Times New Roman" w:eastAsia="Times New Roman" w:hAnsi="Times New Roman" w:cs="Times New Roman"/>
      <w:i/>
      <w:iCs/>
      <w:color w:val="000000" w:themeColor="text1"/>
      <w:sz w:val="24"/>
      <w:szCs w:val="20"/>
      <w:lang w:eastAsia="cs-CZ"/>
    </w:rPr>
  </w:style>
  <w:style w:type="paragraph" w:styleId="slovanseznam">
    <w:name w:val="List Number"/>
    <w:aliases w:val="číslovaný seznam 1"/>
    <w:basedOn w:val="Normln"/>
    <w:uiPriority w:val="99"/>
    <w:unhideWhenUsed/>
    <w:rsid w:val="00C11813"/>
    <w:pPr>
      <w:numPr>
        <w:numId w:val="13"/>
      </w:numPr>
      <w:contextualSpacing/>
    </w:pPr>
  </w:style>
  <w:style w:type="paragraph" w:styleId="slovanseznam2">
    <w:name w:val="List Number 2"/>
    <w:aliases w:val="číslovaný seznam 2"/>
    <w:basedOn w:val="Normln"/>
    <w:uiPriority w:val="99"/>
    <w:unhideWhenUsed/>
    <w:rsid w:val="00C11813"/>
    <w:pPr>
      <w:numPr>
        <w:numId w:val="14"/>
      </w:numPr>
      <w:contextualSpacing/>
    </w:pPr>
  </w:style>
  <w:style w:type="paragraph" w:styleId="slovanseznam3">
    <w:name w:val="List Number 3"/>
    <w:basedOn w:val="Normln"/>
    <w:uiPriority w:val="99"/>
    <w:semiHidden/>
    <w:unhideWhenUsed/>
    <w:rsid w:val="00C11813"/>
    <w:pPr>
      <w:numPr>
        <w:numId w:val="15"/>
      </w:numPr>
      <w:contextualSpacing/>
    </w:pPr>
  </w:style>
  <w:style w:type="paragraph" w:styleId="slovanseznam4">
    <w:name w:val="List Number 4"/>
    <w:basedOn w:val="Normln"/>
    <w:uiPriority w:val="99"/>
    <w:semiHidden/>
    <w:unhideWhenUsed/>
    <w:rsid w:val="00C11813"/>
    <w:pPr>
      <w:numPr>
        <w:numId w:val="16"/>
      </w:numPr>
      <w:contextualSpacing/>
    </w:pPr>
  </w:style>
  <w:style w:type="paragraph" w:styleId="slovanseznam5">
    <w:name w:val="List Number 5"/>
    <w:basedOn w:val="Normln"/>
    <w:uiPriority w:val="99"/>
    <w:semiHidden/>
    <w:unhideWhenUsed/>
    <w:rsid w:val="00C11813"/>
    <w:pPr>
      <w:numPr>
        <w:numId w:val="17"/>
      </w:numPr>
      <w:contextualSpacing/>
    </w:pPr>
  </w:style>
  <w:style w:type="paragraph" w:styleId="Datum">
    <w:name w:val="Date"/>
    <w:basedOn w:val="Normln"/>
    <w:next w:val="Normln"/>
    <w:link w:val="DatumChar"/>
    <w:uiPriority w:val="99"/>
    <w:semiHidden/>
    <w:unhideWhenUsed/>
    <w:rsid w:val="00C11813"/>
  </w:style>
  <w:style w:type="character" w:customStyle="1" w:styleId="DatumChar">
    <w:name w:val="Datum Char"/>
    <w:basedOn w:val="Standardnpsmoodstavce"/>
    <w:link w:val="Datum"/>
    <w:uiPriority w:val="99"/>
    <w:semiHidden/>
    <w:rsid w:val="00C11813"/>
    <w:rPr>
      <w:rFonts w:ascii="Times New Roman" w:eastAsia="Times New Roman" w:hAnsi="Times New Roman" w:cs="Times New Roman"/>
      <w:sz w:val="24"/>
      <w:szCs w:val="20"/>
      <w:lang w:eastAsia="cs-CZ"/>
    </w:rPr>
  </w:style>
  <w:style w:type="paragraph" w:styleId="FormtovanvHTML">
    <w:name w:val="HTML Preformatted"/>
    <w:basedOn w:val="Normln"/>
    <w:link w:val="FormtovanvHTMLChar"/>
    <w:uiPriority w:val="99"/>
    <w:semiHidden/>
    <w:unhideWhenUsed/>
    <w:rsid w:val="00C11813"/>
    <w:rPr>
      <w:rFonts w:ascii="Consolas" w:hAnsi="Consolas"/>
      <w:sz w:val="20"/>
    </w:rPr>
  </w:style>
  <w:style w:type="character" w:customStyle="1" w:styleId="FormtovanvHTMLChar">
    <w:name w:val="Formátovaný v HTML Char"/>
    <w:basedOn w:val="Standardnpsmoodstavce"/>
    <w:link w:val="FormtovanvHTML"/>
    <w:uiPriority w:val="99"/>
    <w:semiHidden/>
    <w:rsid w:val="00C11813"/>
    <w:rPr>
      <w:rFonts w:ascii="Consolas" w:eastAsia="Times New Roman" w:hAnsi="Consolas" w:cs="Times New Roman"/>
      <w:sz w:val="20"/>
      <w:szCs w:val="20"/>
      <w:lang w:eastAsia="cs-CZ"/>
    </w:rPr>
  </w:style>
  <w:style w:type="paragraph" w:styleId="Hlavikaobsahu">
    <w:name w:val="toa heading"/>
    <w:basedOn w:val="Normln"/>
    <w:next w:val="Normln"/>
    <w:uiPriority w:val="99"/>
    <w:semiHidden/>
    <w:unhideWhenUsed/>
    <w:rsid w:val="00C11813"/>
    <w:pPr>
      <w:spacing w:before="120"/>
    </w:pPr>
    <w:rPr>
      <w:rFonts w:asciiTheme="majorHAnsi" w:eastAsiaTheme="majorEastAsia" w:hAnsiTheme="majorHAnsi" w:cstheme="majorBidi"/>
      <w:b/>
      <w:bCs/>
      <w:szCs w:val="24"/>
    </w:rPr>
  </w:style>
  <w:style w:type="paragraph" w:styleId="Rejstk1">
    <w:name w:val="index 1"/>
    <w:basedOn w:val="Normln"/>
    <w:next w:val="Normln"/>
    <w:uiPriority w:val="99"/>
    <w:semiHidden/>
    <w:unhideWhenUsed/>
    <w:rsid w:val="00C11813"/>
    <w:pPr>
      <w:ind w:left="220" w:hanging="220"/>
    </w:pPr>
  </w:style>
  <w:style w:type="paragraph" w:styleId="Hlavikarejstku">
    <w:name w:val="index heading"/>
    <w:basedOn w:val="Normln"/>
    <w:next w:val="Rejstk1"/>
    <w:uiPriority w:val="99"/>
    <w:semiHidden/>
    <w:unhideWhenUsed/>
    <w:rsid w:val="00C11813"/>
    <w:rPr>
      <w:rFonts w:asciiTheme="majorHAnsi" w:eastAsiaTheme="majorEastAsia" w:hAnsiTheme="majorHAnsi" w:cstheme="majorBidi"/>
      <w:b/>
      <w:bCs/>
    </w:rPr>
  </w:style>
  <w:style w:type="paragraph" w:styleId="Nadpisobsahu">
    <w:name w:val="TOC Heading"/>
    <w:basedOn w:val="Nadpis1"/>
    <w:next w:val="Normln"/>
    <w:uiPriority w:val="99"/>
    <w:unhideWhenUsed/>
    <w:qFormat/>
    <w:rsid w:val="00C11813"/>
    <w:pPr>
      <w:keepLines/>
      <w:spacing w:before="480" w:after="0"/>
      <w:jc w:val="both"/>
      <w:outlineLvl w:val="9"/>
    </w:pPr>
    <w:rPr>
      <w:rFonts w:asciiTheme="majorHAnsi" w:hAnsiTheme="majorHAnsi" w:cstheme="majorBidi"/>
      <w:color w:val="2E74B5" w:themeColor="accent1" w:themeShade="BF"/>
      <w:kern w:val="0"/>
      <w:sz w:val="28"/>
      <w:szCs w:val="28"/>
    </w:rPr>
  </w:style>
  <w:style w:type="paragraph" w:styleId="Nadpispoznmky">
    <w:name w:val="Note Heading"/>
    <w:basedOn w:val="Normln"/>
    <w:next w:val="Normln"/>
    <w:link w:val="NadpispoznmkyChar"/>
    <w:uiPriority w:val="99"/>
    <w:semiHidden/>
    <w:unhideWhenUsed/>
    <w:rsid w:val="00C11813"/>
  </w:style>
  <w:style w:type="character" w:customStyle="1" w:styleId="NadpispoznmkyChar">
    <w:name w:val="Nadpis poznámky Char"/>
    <w:basedOn w:val="Standardnpsmoodstavce"/>
    <w:link w:val="Nadpispoznmky"/>
    <w:uiPriority w:val="99"/>
    <w:semiHidden/>
    <w:rsid w:val="00C11813"/>
    <w:rPr>
      <w:rFonts w:ascii="Times New Roman" w:eastAsia="Times New Roman" w:hAnsi="Times New Roman" w:cs="Times New Roman"/>
      <w:sz w:val="24"/>
      <w:szCs w:val="20"/>
      <w:lang w:eastAsia="cs-CZ"/>
    </w:rPr>
  </w:style>
  <w:style w:type="paragraph" w:styleId="Nzev">
    <w:name w:val="Title"/>
    <w:basedOn w:val="Normln"/>
    <w:next w:val="Normln"/>
    <w:link w:val="NzevChar"/>
    <w:uiPriority w:val="10"/>
    <w:qFormat/>
    <w:rsid w:val="00C11813"/>
    <w:pPr>
      <w:pBdr>
        <w:bottom w:val="single" w:sz="8" w:space="4" w:color="5B9BD5" w:themeColor="accent1"/>
      </w:pBdr>
      <w:spacing w:after="300"/>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NzevChar">
    <w:name w:val="Název Char"/>
    <w:basedOn w:val="Standardnpsmoodstavce"/>
    <w:link w:val="Nzev"/>
    <w:uiPriority w:val="10"/>
    <w:rsid w:val="00C11813"/>
    <w:rPr>
      <w:rFonts w:asciiTheme="majorHAnsi" w:eastAsiaTheme="majorEastAsia" w:hAnsiTheme="majorHAnsi" w:cstheme="majorBidi"/>
      <w:color w:val="323E4F" w:themeColor="text2" w:themeShade="BF"/>
      <w:spacing w:val="5"/>
      <w:kern w:val="28"/>
      <w:sz w:val="52"/>
      <w:szCs w:val="52"/>
      <w:lang w:eastAsia="cs-CZ"/>
    </w:rPr>
  </w:style>
  <w:style w:type="paragraph" w:styleId="Normlnweb">
    <w:name w:val="Normal (Web)"/>
    <w:basedOn w:val="Normln"/>
    <w:uiPriority w:val="99"/>
    <w:semiHidden/>
    <w:unhideWhenUsed/>
    <w:rsid w:val="00C11813"/>
    <w:rPr>
      <w:szCs w:val="24"/>
    </w:rPr>
  </w:style>
  <w:style w:type="paragraph" w:styleId="Normlnodsazen">
    <w:name w:val="Normal Indent"/>
    <w:basedOn w:val="Normln"/>
    <w:uiPriority w:val="99"/>
    <w:semiHidden/>
    <w:unhideWhenUsed/>
    <w:rsid w:val="00C11813"/>
    <w:pPr>
      <w:ind w:left="708"/>
    </w:pPr>
  </w:style>
  <w:style w:type="paragraph" w:styleId="Obsah1">
    <w:name w:val="toc 1"/>
    <w:basedOn w:val="Normln"/>
    <w:next w:val="Normln"/>
    <w:uiPriority w:val="39"/>
    <w:unhideWhenUsed/>
    <w:rsid w:val="00C11813"/>
    <w:pPr>
      <w:spacing w:after="100"/>
    </w:pPr>
  </w:style>
  <w:style w:type="paragraph" w:styleId="Obsah2">
    <w:name w:val="toc 2"/>
    <w:basedOn w:val="Normln"/>
    <w:next w:val="Normln"/>
    <w:uiPriority w:val="39"/>
    <w:unhideWhenUsed/>
    <w:rsid w:val="00C11813"/>
    <w:pPr>
      <w:spacing w:after="100"/>
      <w:ind w:left="220"/>
    </w:pPr>
  </w:style>
  <w:style w:type="paragraph" w:styleId="Obsah3">
    <w:name w:val="toc 3"/>
    <w:basedOn w:val="Normln"/>
    <w:next w:val="Normln"/>
    <w:uiPriority w:val="39"/>
    <w:unhideWhenUsed/>
    <w:rsid w:val="00C11813"/>
    <w:pPr>
      <w:spacing w:after="100"/>
      <w:ind w:left="440"/>
    </w:pPr>
  </w:style>
  <w:style w:type="paragraph" w:styleId="Obsah4">
    <w:name w:val="toc 4"/>
    <w:basedOn w:val="Normln"/>
    <w:next w:val="Normln"/>
    <w:uiPriority w:val="39"/>
    <w:unhideWhenUsed/>
    <w:rsid w:val="00C11813"/>
    <w:pPr>
      <w:spacing w:after="100"/>
      <w:ind w:left="660"/>
    </w:pPr>
  </w:style>
  <w:style w:type="paragraph" w:styleId="Obsah5">
    <w:name w:val="toc 5"/>
    <w:basedOn w:val="Normln"/>
    <w:next w:val="Normln"/>
    <w:uiPriority w:val="39"/>
    <w:unhideWhenUsed/>
    <w:rsid w:val="00C11813"/>
    <w:pPr>
      <w:spacing w:after="100"/>
      <w:ind w:left="880"/>
    </w:pPr>
  </w:style>
  <w:style w:type="paragraph" w:styleId="Obsah6">
    <w:name w:val="toc 6"/>
    <w:basedOn w:val="Normln"/>
    <w:next w:val="Normln"/>
    <w:uiPriority w:val="39"/>
    <w:unhideWhenUsed/>
    <w:rsid w:val="00C11813"/>
    <w:pPr>
      <w:spacing w:after="100"/>
      <w:ind w:left="1100"/>
    </w:pPr>
  </w:style>
  <w:style w:type="paragraph" w:styleId="Obsah7">
    <w:name w:val="toc 7"/>
    <w:basedOn w:val="Normln"/>
    <w:next w:val="Normln"/>
    <w:uiPriority w:val="39"/>
    <w:unhideWhenUsed/>
    <w:rsid w:val="00C11813"/>
    <w:pPr>
      <w:spacing w:after="100"/>
      <w:ind w:left="1320"/>
    </w:pPr>
  </w:style>
  <w:style w:type="paragraph" w:styleId="Obsah8">
    <w:name w:val="toc 8"/>
    <w:basedOn w:val="Normln"/>
    <w:next w:val="Normln"/>
    <w:uiPriority w:val="39"/>
    <w:unhideWhenUsed/>
    <w:rsid w:val="00C11813"/>
    <w:pPr>
      <w:spacing w:after="100"/>
      <w:ind w:left="1540"/>
    </w:pPr>
  </w:style>
  <w:style w:type="paragraph" w:styleId="Obsah9">
    <w:name w:val="toc 9"/>
    <w:basedOn w:val="Normln"/>
    <w:next w:val="Normln"/>
    <w:uiPriority w:val="39"/>
    <w:unhideWhenUsed/>
    <w:rsid w:val="00C11813"/>
    <w:pPr>
      <w:spacing w:after="100"/>
      <w:ind w:left="1760"/>
    </w:pPr>
  </w:style>
  <w:style w:type="paragraph" w:styleId="Osloven">
    <w:name w:val="Salutation"/>
    <w:basedOn w:val="Normln"/>
    <w:next w:val="Normln"/>
    <w:link w:val="OslovenChar"/>
    <w:uiPriority w:val="99"/>
    <w:semiHidden/>
    <w:unhideWhenUsed/>
    <w:rsid w:val="00C11813"/>
  </w:style>
  <w:style w:type="character" w:customStyle="1" w:styleId="OslovenChar">
    <w:name w:val="Oslovení Char"/>
    <w:basedOn w:val="Standardnpsmoodstavce"/>
    <w:link w:val="Osloven"/>
    <w:uiPriority w:val="99"/>
    <w:semiHidden/>
    <w:rsid w:val="00C11813"/>
    <w:rPr>
      <w:rFonts w:ascii="Times New Roman" w:eastAsia="Times New Roman" w:hAnsi="Times New Roman" w:cs="Times New Roman"/>
      <w:sz w:val="24"/>
      <w:szCs w:val="20"/>
      <w:lang w:eastAsia="cs-CZ"/>
    </w:rPr>
  </w:style>
  <w:style w:type="paragraph" w:styleId="Podpis0">
    <w:name w:val="Signature"/>
    <w:basedOn w:val="Normln"/>
    <w:link w:val="PodpisChar"/>
    <w:uiPriority w:val="99"/>
    <w:semiHidden/>
    <w:unhideWhenUsed/>
    <w:rsid w:val="00C11813"/>
    <w:pPr>
      <w:ind w:left="4252"/>
    </w:pPr>
  </w:style>
  <w:style w:type="character" w:customStyle="1" w:styleId="PodpisChar">
    <w:name w:val="Podpis Char"/>
    <w:basedOn w:val="Standardnpsmoodstavce"/>
    <w:link w:val="Podpis0"/>
    <w:uiPriority w:val="99"/>
    <w:semiHidden/>
    <w:rsid w:val="00C11813"/>
    <w:rPr>
      <w:rFonts w:ascii="Times New Roman" w:eastAsia="Times New Roman" w:hAnsi="Times New Roman" w:cs="Times New Roman"/>
      <w:sz w:val="24"/>
      <w:szCs w:val="20"/>
      <w:lang w:eastAsia="cs-CZ"/>
    </w:rPr>
  </w:style>
  <w:style w:type="paragraph" w:styleId="Podpise-mailu">
    <w:name w:val="E-mail Signature"/>
    <w:basedOn w:val="Normln"/>
    <w:link w:val="Podpise-mailuChar"/>
    <w:uiPriority w:val="99"/>
    <w:semiHidden/>
    <w:unhideWhenUsed/>
    <w:rsid w:val="00C11813"/>
  </w:style>
  <w:style w:type="character" w:customStyle="1" w:styleId="Podpise-mailuChar">
    <w:name w:val="Podpis e-mailu Char"/>
    <w:basedOn w:val="Standardnpsmoodstavce"/>
    <w:link w:val="Podpise-mailu"/>
    <w:uiPriority w:val="99"/>
    <w:semiHidden/>
    <w:rsid w:val="00C11813"/>
    <w:rPr>
      <w:rFonts w:ascii="Times New Roman" w:eastAsia="Times New Roman" w:hAnsi="Times New Roman" w:cs="Times New Roman"/>
      <w:sz w:val="24"/>
      <w:szCs w:val="20"/>
      <w:lang w:eastAsia="cs-CZ"/>
    </w:rPr>
  </w:style>
  <w:style w:type="paragraph" w:styleId="Podnadpis">
    <w:name w:val="Subtitle"/>
    <w:basedOn w:val="Normln"/>
    <w:next w:val="Normln"/>
    <w:link w:val="PodnadpisChar"/>
    <w:uiPriority w:val="11"/>
    <w:qFormat/>
    <w:rsid w:val="00C11813"/>
    <w:pPr>
      <w:numPr>
        <w:ilvl w:val="1"/>
      </w:numPr>
      <w:ind w:firstLine="425"/>
    </w:pPr>
    <w:rPr>
      <w:rFonts w:asciiTheme="majorHAnsi" w:eastAsiaTheme="majorEastAsia" w:hAnsiTheme="majorHAnsi" w:cstheme="majorBidi"/>
      <w:i/>
      <w:iCs/>
      <w:color w:val="5B9BD5" w:themeColor="accent1"/>
      <w:spacing w:val="15"/>
      <w:szCs w:val="24"/>
    </w:rPr>
  </w:style>
  <w:style w:type="character" w:customStyle="1" w:styleId="PodnadpisChar">
    <w:name w:val="Podnadpis Char"/>
    <w:basedOn w:val="Standardnpsmoodstavce"/>
    <w:link w:val="Podnadpis"/>
    <w:uiPriority w:val="11"/>
    <w:rsid w:val="00C11813"/>
    <w:rPr>
      <w:rFonts w:asciiTheme="majorHAnsi" w:eastAsiaTheme="majorEastAsia" w:hAnsiTheme="majorHAnsi" w:cstheme="majorBidi"/>
      <w:i/>
      <w:iCs/>
      <w:color w:val="5B9BD5" w:themeColor="accent1"/>
      <w:spacing w:val="15"/>
      <w:sz w:val="24"/>
      <w:szCs w:val="24"/>
      <w:lang w:eastAsia="cs-CZ"/>
    </w:rPr>
  </w:style>
  <w:style w:type="paragraph" w:styleId="Pokraovnseznamu">
    <w:name w:val="List Continue"/>
    <w:basedOn w:val="Normln"/>
    <w:uiPriority w:val="99"/>
    <w:semiHidden/>
    <w:unhideWhenUsed/>
    <w:rsid w:val="00C11813"/>
    <w:pPr>
      <w:spacing w:after="120"/>
      <w:ind w:left="283"/>
      <w:contextualSpacing/>
    </w:pPr>
  </w:style>
  <w:style w:type="paragraph" w:styleId="Pokraovnseznamu2">
    <w:name w:val="List Continue 2"/>
    <w:basedOn w:val="Normln"/>
    <w:uiPriority w:val="99"/>
    <w:semiHidden/>
    <w:unhideWhenUsed/>
    <w:rsid w:val="00C11813"/>
    <w:pPr>
      <w:spacing w:after="120"/>
      <w:ind w:left="566"/>
      <w:contextualSpacing/>
    </w:pPr>
  </w:style>
  <w:style w:type="paragraph" w:styleId="Pokraovnseznamu3">
    <w:name w:val="List Continue 3"/>
    <w:basedOn w:val="Normln"/>
    <w:uiPriority w:val="99"/>
    <w:semiHidden/>
    <w:unhideWhenUsed/>
    <w:rsid w:val="00C11813"/>
    <w:pPr>
      <w:spacing w:after="120"/>
      <w:ind w:left="849"/>
      <w:contextualSpacing/>
    </w:pPr>
  </w:style>
  <w:style w:type="paragraph" w:styleId="Pokraovnseznamu4">
    <w:name w:val="List Continue 4"/>
    <w:basedOn w:val="Normln"/>
    <w:uiPriority w:val="99"/>
    <w:semiHidden/>
    <w:unhideWhenUsed/>
    <w:rsid w:val="00C11813"/>
    <w:pPr>
      <w:spacing w:after="120"/>
      <w:ind w:left="1132"/>
      <w:contextualSpacing/>
    </w:pPr>
  </w:style>
  <w:style w:type="paragraph" w:styleId="Pokraovnseznamu5">
    <w:name w:val="List Continue 5"/>
    <w:basedOn w:val="Normln"/>
    <w:uiPriority w:val="99"/>
    <w:semiHidden/>
    <w:unhideWhenUsed/>
    <w:rsid w:val="00C11813"/>
    <w:pPr>
      <w:spacing w:after="120"/>
      <w:ind w:left="1415"/>
      <w:contextualSpacing/>
    </w:pPr>
  </w:style>
  <w:style w:type="paragraph" w:styleId="Prosttext">
    <w:name w:val="Plain Text"/>
    <w:basedOn w:val="Normln"/>
    <w:link w:val="ProsttextChar"/>
    <w:uiPriority w:val="99"/>
    <w:semiHidden/>
    <w:unhideWhenUsed/>
    <w:rsid w:val="00C11813"/>
    <w:rPr>
      <w:rFonts w:ascii="Consolas" w:hAnsi="Consolas"/>
      <w:sz w:val="21"/>
      <w:szCs w:val="21"/>
    </w:rPr>
  </w:style>
  <w:style w:type="character" w:customStyle="1" w:styleId="ProsttextChar">
    <w:name w:val="Prostý text Char"/>
    <w:basedOn w:val="Standardnpsmoodstavce"/>
    <w:link w:val="Prosttext"/>
    <w:uiPriority w:val="99"/>
    <w:semiHidden/>
    <w:rsid w:val="00C11813"/>
    <w:rPr>
      <w:rFonts w:ascii="Consolas" w:eastAsia="Times New Roman" w:hAnsi="Consolas" w:cs="Times New Roman"/>
      <w:sz w:val="21"/>
      <w:szCs w:val="21"/>
      <w:lang w:eastAsia="cs-CZ"/>
    </w:rPr>
  </w:style>
  <w:style w:type="paragraph" w:styleId="Rejstk2">
    <w:name w:val="index 2"/>
    <w:basedOn w:val="Normln"/>
    <w:next w:val="Normln"/>
    <w:uiPriority w:val="99"/>
    <w:semiHidden/>
    <w:unhideWhenUsed/>
    <w:rsid w:val="00C11813"/>
    <w:pPr>
      <w:ind w:left="440" w:hanging="220"/>
    </w:pPr>
  </w:style>
  <w:style w:type="paragraph" w:styleId="Rejstk3">
    <w:name w:val="index 3"/>
    <w:basedOn w:val="Normln"/>
    <w:next w:val="Normln"/>
    <w:uiPriority w:val="99"/>
    <w:semiHidden/>
    <w:unhideWhenUsed/>
    <w:rsid w:val="00C11813"/>
    <w:pPr>
      <w:ind w:left="660" w:hanging="220"/>
    </w:pPr>
  </w:style>
  <w:style w:type="paragraph" w:styleId="Rejstk4">
    <w:name w:val="index 4"/>
    <w:basedOn w:val="Normln"/>
    <w:next w:val="Normln"/>
    <w:uiPriority w:val="99"/>
    <w:semiHidden/>
    <w:unhideWhenUsed/>
    <w:rsid w:val="00C11813"/>
    <w:pPr>
      <w:ind w:left="880" w:hanging="220"/>
    </w:pPr>
  </w:style>
  <w:style w:type="paragraph" w:styleId="Rejstk5">
    <w:name w:val="index 5"/>
    <w:basedOn w:val="Normln"/>
    <w:next w:val="Normln"/>
    <w:uiPriority w:val="99"/>
    <w:semiHidden/>
    <w:unhideWhenUsed/>
    <w:rsid w:val="00C11813"/>
    <w:pPr>
      <w:ind w:left="1100" w:hanging="220"/>
    </w:pPr>
  </w:style>
  <w:style w:type="paragraph" w:styleId="Rejstk6">
    <w:name w:val="index 6"/>
    <w:basedOn w:val="Normln"/>
    <w:next w:val="Normln"/>
    <w:uiPriority w:val="99"/>
    <w:semiHidden/>
    <w:unhideWhenUsed/>
    <w:rsid w:val="00C11813"/>
    <w:pPr>
      <w:ind w:left="1320" w:hanging="220"/>
    </w:pPr>
  </w:style>
  <w:style w:type="paragraph" w:styleId="Rejstk7">
    <w:name w:val="index 7"/>
    <w:basedOn w:val="Normln"/>
    <w:next w:val="Normln"/>
    <w:uiPriority w:val="99"/>
    <w:semiHidden/>
    <w:unhideWhenUsed/>
    <w:rsid w:val="00C11813"/>
    <w:pPr>
      <w:ind w:left="1540" w:hanging="220"/>
    </w:pPr>
  </w:style>
  <w:style w:type="paragraph" w:styleId="Rejstk8">
    <w:name w:val="index 8"/>
    <w:basedOn w:val="Normln"/>
    <w:next w:val="Normln"/>
    <w:uiPriority w:val="99"/>
    <w:semiHidden/>
    <w:unhideWhenUsed/>
    <w:rsid w:val="00C11813"/>
    <w:pPr>
      <w:ind w:left="1760" w:hanging="220"/>
    </w:pPr>
  </w:style>
  <w:style w:type="paragraph" w:styleId="Rejstk9">
    <w:name w:val="index 9"/>
    <w:basedOn w:val="Normln"/>
    <w:next w:val="Normln"/>
    <w:uiPriority w:val="99"/>
    <w:semiHidden/>
    <w:unhideWhenUsed/>
    <w:rsid w:val="00C11813"/>
    <w:pPr>
      <w:ind w:left="1980" w:hanging="220"/>
    </w:pPr>
  </w:style>
  <w:style w:type="paragraph" w:styleId="Rozloendokumentu">
    <w:name w:val="Document Map"/>
    <w:basedOn w:val="Normln"/>
    <w:link w:val="RozloendokumentuChar"/>
    <w:uiPriority w:val="99"/>
    <w:semiHidden/>
    <w:unhideWhenUsed/>
    <w:rsid w:val="00C11813"/>
    <w:rPr>
      <w:rFonts w:ascii="Tahoma" w:hAnsi="Tahoma" w:cs="Tahoma"/>
      <w:sz w:val="16"/>
      <w:szCs w:val="16"/>
    </w:rPr>
  </w:style>
  <w:style w:type="character" w:customStyle="1" w:styleId="RozloendokumentuChar">
    <w:name w:val="Rozložení dokumentu Char"/>
    <w:basedOn w:val="Standardnpsmoodstavce"/>
    <w:link w:val="Rozloendokumentu"/>
    <w:uiPriority w:val="99"/>
    <w:semiHidden/>
    <w:rsid w:val="00C11813"/>
    <w:rPr>
      <w:rFonts w:ascii="Tahoma" w:eastAsia="Times New Roman" w:hAnsi="Tahoma" w:cs="Tahoma"/>
      <w:sz w:val="16"/>
      <w:szCs w:val="16"/>
      <w:lang w:eastAsia="cs-CZ"/>
    </w:rPr>
  </w:style>
  <w:style w:type="paragraph" w:styleId="Seznam">
    <w:name w:val="List"/>
    <w:basedOn w:val="Normln"/>
    <w:uiPriority w:val="99"/>
    <w:semiHidden/>
    <w:unhideWhenUsed/>
    <w:rsid w:val="00C11813"/>
    <w:pPr>
      <w:ind w:left="283" w:hanging="283"/>
      <w:contextualSpacing/>
    </w:pPr>
  </w:style>
  <w:style w:type="paragraph" w:styleId="Seznam2">
    <w:name w:val="List 2"/>
    <w:basedOn w:val="Normln"/>
    <w:uiPriority w:val="99"/>
    <w:semiHidden/>
    <w:unhideWhenUsed/>
    <w:rsid w:val="00C11813"/>
    <w:pPr>
      <w:ind w:left="566" w:hanging="283"/>
      <w:contextualSpacing/>
    </w:pPr>
  </w:style>
  <w:style w:type="paragraph" w:styleId="Seznam3">
    <w:name w:val="List 3"/>
    <w:basedOn w:val="Normln"/>
    <w:uiPriority w:val="99"/>
    <w:semiHidden/>
    <w:unhideWhenUsed/>
    <w:rsid w:val="00C11813"/>
    <w:pPr>
      <w:ind w:left="849" w:hanging="283"/>
      <w:contextualSpacing/>
    </w:pPr>
  </w:style>
  <w:style w:type="paragraph" w:styleId="Seznam4">
    <w:name w:val="List 4"/>
    <w:basedOn w:val="Normln"/>
    <w:uiPriority w:val="99"/>
    <w:semiHidden/>
    <w:unhideWhenUsed/>
    <w:rsid w:val="00C11813"/>
    <w:pPr>
      <w:ind w:left="1132" w:hanging="283"/>
      <w:contextualSpacing/>
    </w:pPr>
  </w:style>
  <w:style w:type="paragraph" w:styleId="Seznam5">
    <w:name w:val="List 5"/>
    <w:basedOn w:val="Normln"/>
    <w:uiPriority w:val="99"/>
    <w:semiHidden/>
    <w:unhideWhenUsed/>
    <w:rsid w:val="00C11813"/>
    <w:pPr>
      <w:ind w:left="1415" w:hanging="283"/>
      <w:contextualSpacing/>
    </w:pPr>
  </w:style>
  <w:style w:type="paragraph" w:styleId="Seznamcitac">
    <w:name w:val="table of authorities"/>
    <w:basedOn w:val="Normln"/>
    <w:next w:val="Normln"/>
    <w:uiPriority w:val="99"/>
    <w:semiHidden/>
    <w:unhideWhenUsed/>
    <w:rsid w:val="00C11813"/>
    <w:pPr>
      <w:ind w:left="220" w:hanging="220"/>
    </w:pPr>
  </w:style>
  <w:style w:type="paragraph" w:styleId="Seznamobrzk">
    <w:name w:val="table of figures"/>
    <w:basedOn w:val="Normln"/>
    <w:next w:val="Normln"/>
    <w:uiPriority w:val="99"/>
    <w:semiHidden/>
    <w:unhideWhenUsed/>
    <w:rsid w:val="00C11813"/>
  </w:style>
  <w:style w:type="paragraph" w:styleId="Seznamsodrkami">
    <w:name w:val="List Bullet"/>
    <w:basedOn w:val="Normln"/>
    <w:uiPriority w:val="99"/>
    <w:semiHidden/>
    <w:unhideWhenUsed/>
    <w:rsid w:val="00C11813"/>
    <w:pPr>
      <w:numPr>
        <w:numId w:val="19"/>
      </w:numPr>
      <w:contextualSpacing/>
    </w:pPr>
  </w:style>
  <w:style w:type="paragraph" w:styleId="Seznamsodrkami2">
    <w:name w:val="List Bullet 2"/>
    <w:basedOn w:val="Normln"/>
    <w:uiPriority w:val="99"/>
    <w:semiHidden/>
    <w:unhideWhenUsed/>
    <w:rsid w:val="00C11813"/>
    <w:pPr>
      <w:numPr>
        <w:numId w:val="20"/>
      </w:numPr>
      <w:contextualSpacing/>
    </w:pPr>
  </w:style>
  <w:style w:type="paragraph" w:styleId="Seznamsodrkami3">
    <w:name w:val="List Bullet 3"/>
    <w:basedOn w:val="Normln"/>
    <w:uiPriority w:val="99"/>
    <w:semiHidden/>
    <w:unhideWhenUsed/>
    <w:rsid w:val="00C11813"/>
    <w:pPr>
      <w:numPr>
        <w:numId w:val="21"/>
      </w:numPr>
      <w:contextualSpacing/>
    </w:pPr>
  </w:style>
  <w:style w:type="paragraph" w:styleId="Seznamsodrkami4">
    <w:name w:val="List Bullet 4"/>
    <w:basedOn w:val="Normln"/>
    <w:uiPriority w:val="99"/>
    <w:semiHidden/>
    <w:unhideWhenUsed/>
    <w:rsid w:val="00C11813"/>
    <w:pPr>
      <w:numPr>
        <w:numId w:val="22"/>
      </w:numPr>
      <w:contextualSpacing/>
    </w:pPr>
  </w:style>
  <w:style w:type="paragraph" w:styleId="Seznamsodrkami5">
    <w:name w:val="List Bullet 5"/>
    <w:basedOn w:val="Normln"/>
    <w:uiPriority w:val="99"/>
    <w:semiHidden/>
    <w:unhideWhenUsed/>
    <w:rsid w:val="00C11813"/>
    <w:pPr>
      <w:numPr>
        <w:numId w:val="23"/>
      </w:numPr>
      <w:contextualSpacing/>
    </w:pPr>
  </w:style>
  <w:style w:type="paragraph" w:styleId="Textmakra">
    <w:name w:val="macro"/>
    <w:link w:val="TextmakraChar"/>
    <w:uiPriority w:val="99"/>
    <w:semiHidden/>
    <w:unhideWhenUsed/>
    <w:rsid w:val="00C11813"/>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cs="Times New Roman"/>
      <w:sz w:val="20"/>
      <w:szCs w:val="20"/>
      <w:lang w:eastAsia="cs-CZ"/>
    </w:rPr>
  </w:style>
  <w:style w:type="character" w:customStyle="1" w:styleId="TextmakraChar">
    <w:name w:val="Text makra Char"/>
    <w:basedOn w:val="Standardnpsmoodstavce"/>
    <w:link w:val="Textmakra"/>
    <w:uiPriority w:val="99"/>
    <w:semiHidden/>
    <w:rsid w:val="00C11813"/>
    <w:rPr>
      <w:rFonts w:ascii="Consolas" w:eastAsia="Times New Roman" w:hAnsi="Consolas" w:cs="Times New Roman"/>
      <w:sz w:val="20"/>
      <w:szCs w:val="20"/>
      <w:lang w:eastAsia="cs-CZ"/>
    </w:rPr>
  </w:style>
  <w:style w:type="paragraph" w:styleId="Textvbloku">
    <w:name w:val="Block Text"/>
    <w:basedOn w:val="Normln"/>
    <w:uiPriority w:val="99"/>
    <w:semiHidden/>
    <w:unhideWhenUsed/>
    <w:rsid w:val="00C11813"/>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Textvysvtlivek">
    <w:name w:val="endnote text"/>
    <w:basedOn w:val="Normln"/>
    <w:link w:val="TextvysvtlivekChar"/>
    <w:uiPriority w:val="99"/>
    <w:unhideWhenUsed/>
    <w:rsid w:val="00C11813"/>
    <w:rPr>
      <w:sz w:val="20"/>
    </w:rPr>
  </w:style>
  <w:style w:type="character" w:customStyle="1" w:styleId="TextvysvtlivekChar">
    <w:name w:val="Text vysvětlivek Char"/>
    <w:basedOn w:val="Standardnpsmoodstavce"/>
    <w:link w:val="Textvysvtlivek"/>
    <w:uiPriority w:val="99"/>
    <w:rsid w:val="00C11813"/>
    <w:rPr>
      <w:rFonts w:ascii="Times New Roman" w:eastAsia="Times New Roman" w:hAnsi="Times New Roman" w:cs="Times New Roman"/>
      <w:sz w:val="20"/>
      <w:szCs w:val="20"/>
      <w:lang w:eastAsia="cs-CZ"/>
    </w:rPr>
  </w:style>
  <w:style w:type="paragraph" w:styleId="Vrazncitt">
    <w:name w:val="Intense Quote"/>
    <w:basedOn w:val="Normln"/>
    <w:next w:val="Normln"/>
    <w:link w:val="VrazncittChar"/>
    <w:uiPriority w:val="30"/>
    <w:qFormat/>
    <w:rsid w:val="00C11813"/>
    <w:pPr>
      <w:pBdr>
        <w:bottom w:val="single" w:sz="4" w:space="4" w:color="5B9BD5" w:themeColor="accent1"/>
      </w:pBdr>
      <w:spacing w:before="200" w:after="280"/>
      <w:ind w:left="936" w:right="936"/>
    </w:pPr>
    <w:rPr>
      <w:b/>
      <w:bCs/>
      <w:i/>
      <w:iCs/>
      <w:color w:val="5B9BD5" w:themeColor="accent1"/>
    </w:rPr>
  </w:style>
  <w:style w:type="character" w:customStyle="1" w:styleId="VrazncittChar">
    <w:name w:val="Výrazný citát Char"/>
    <w:basedOn w:val="Standardnpsmoodstavce"/>
    <w:link w:val="Vrazncitt"/>
    <w:uiPriority w:val="30"/>
    <w:rsid w:val="00C11813"/>
    <w:rPr>
      <w:rFonts w:ascii="Times New Roman" w:eastAsia="Times New Roman" w:hAnsi="Times New Roman" w:cs="Times New Roman"/>
      <w:b/>
      <w:bCs/>
      <w:i/>
      <w:iCs/>
      <w:color w:val="5B9BD5" w:themeColor="accent1"/>
      <w:sz w:val="24"/>
      <w:szCs w:val="20"/>
      <w:lang w:eastAsia="cs-CZ"/>
    </w:rPr>
  </w:style>
  <w:style w:type="paragraph" w:styleId="Zhlavzprvy">
    <w:name w:val="Message Header"/>
    <w:basedOn w:val="Normln"/>
    <w:link w:val="ZhlavzprvyChar"/>
    <w:uiPriority w:val="99"/>
    <w:semiHidden/>
    <w:unhideWhenUsed/>
    <w:rsid w:val="00C11813"/>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szCs w:val="24"/>
    </w:rPr>
  </w:style>
  <w:style w:type="character" w:customStyle="1" w:styleId="ZhlavzprvyChar">
    <w:name w:val="Záhlaví zprávy Char"/>
    <w:basedOn w:val="Standardnpsmoodstavce"/>
    <w:link w:val="Zhlavzprvy"/>
    <w:uiPriority w:val="99"/>
    <w:semiHidden/>
    <w:rsid w:val="00C11813"/>
    <w:rPr>
      <w:rFonts w:asciiTheme="majorHAnsi" w:eastAsiaTheme="majorEastAsia" w:hAnsiTheme="majorHAnsi" w:cstheme="majorBidi"/>
      <w:sz w:val="24"/>
      <w:szCs w:val="24"/>
      <w:shd w:val="pct20" w:color="auto" w:fill="auto"/>
      <w:lang w:eastAsia="cs-CZ"/>
    </w:rPr>
  </w:style>
  <w:style w:type="paragraph" w:styleId="Zkladntext">
    <w:name w:val="Body Text"/>
    <w:basedOn w:val="Normln"/>
    <w:link w:val="ZkladntextChar"/>
    <w:uiPriority w:val="99"/>
    <w:semiHidden/>
    <w:unhideWhenUsed/>
    <w:rsid w:val="00C11813"/>
    <w:pPr>
      <w:spacing w:after="120"/>
    </w:pPr>
  </w:style>
  <w:style w:type="character" w:customStyle="1" w:styleId="ZkladntextChar">
    <w:name w:val="Základní text Char"/>
    <w:basedOn w:val="Standardnpsmoodstavce"/>
    <w:link w:val="Zkladntext"/>
    <w:uiPriority w:val="99"/>
    <w:semiHidden/>
    <w:rsid w:val="00C11813"/>
    <w:rPr>
      <w:rFonts w:ascii="Times New Roman" w:eastAsia="Times New Roman" w:hAnsi="Times New Roman" w:cs="Times New Roman"/>
      <w:sz w:val="24"/>
      <w:szCs w:val="20"/>
      <w:lang w:eastAsia="cs-CZ"/>
    </w:rPr>
  </w:style>
  <w:style w:type="paragraph" w:styleId="Zkladntext-prvnodsazen">
    <w:name w:val="Body Text First Indent"/>
    <w:basedOn w:val="Zkladntext"/>
    <w:link w:val="Zkladntext-prvnodsazenChar"/>
    <w:uiPriority w:val="99"/>
    <w:semiHidden/>
    <w:unhideWhenUsed/>
    <w:rsid w:val="00C11813"/>
    <w:pPr>
      <w:spacing w:after="0"/>
      <w:ind w:firstLine="360"/>
    </w:pPr>
  </w:style>
  <w:style w:type="character" w:customStyle="1" w:styleId="Zkladntext-prvnodsazenChar">
    <w:name w:val="Základní text - první odsazený Char"/>
    <w:basedOn w:val="ZkladntextChar"/>
    <w:link w:val="Zkladntext-prvnodsazen"/>
    <w:uiPriority w:val="99"/>
    <w:semiHidden/>
    <w:rsid w:val="00C11813"/>
    <w:rPr>
      <w:rFonts w:ascii="Times New Roman" w:eastAsia="Times New Roman" w:hAnsi="Times New Roman" w:cs="Times New Roman"/>
      <w:sz w:val="24"/>
      <w:szCs w:val="20"/>
      <w:lang w:eastAsia="cs-CZ"/>
    </w:rPr>
  </w:style>
  <w:style w:type="paragraph" w:styleId="Zkladntextodsazen">
    <w:name w:val="Body Text Indent"/>
    <w:basedOn w:val="Normln"/>
    <w:link w:val="ZkladntextodsazenChar"/>
    <w:uiPriority w:val="99"/>
    <w:semiHidden/>
    <w:unhideWhenUsed/>
    <w:rsid w:val="00C11813"/>
    <w:pPr>
      <w:spacing w:after="120"/>
      <w:ind w:left="283"/>
    </w:pPr>
  </w:style>
  <w:style w:type="character" w:customStyle="1" w:styleId="ZkladntextodsazenChar">
    <w:name w:val="Základní text odsazený Char"/>
    <w:basedOn w:val="Standardnpsmoodstavce"/>
    <w:link w:val="Zkladntextodsazen"/>
    <w:uiPriority w:val="99"/>
    <w:semiHidden/>
    <w:rsid w:val="00C11813"/>
    <w:rPr>
      <w:rFonts w:ascii="Times New Roman" w:eastAsia="Times New Roman" w:hAnsi="Times New Roman" w:cs="Times New Roman"/>
      <w:sz w:val="24"/>
      <w:szCs w:val="20"/>
      <w:lang w:eastAsia="cs-CZ"/>
    </w:rPr>
  </w:style>
  <w:style w:type="paragraph" w:styleId="Zkladntext-prvnodsazen2">
    <w:name w:val="Body Text First Indent 2"/>
    <w:basedOn w:val="Zkladntextodsazen"/>
    <w:link w:val="Zkladntext-prvnodsazen2Char"/>
    <w:uiPriority w:val="99"/>
    <w:semiHidden/>
    <w:unhideWhenUsed/>
    <w:rsid w:val="00C11813"/>
    <w:pPr>
      <w:spacing w:after="0"/>
      <w:ind w:left="360" w:firstLine="360"/>
    </w:pPr>
  </w:style>
  <w:style w:type="character" w:customStyle="1" w:styleId="Zkladntext-prvnodsazen2Char">
    <w:name w:val="Základní text - první odsazený 2 Char"/>
    <w:basedOn w:val="ZkladntextodsazenChar"/>
    <w:link w:val="Zkladntext-prvnodsazen2"/>
    <w:uiPriority w:val="99"/>
    <w:semiHidden/>
    <w:rsid w:val="00C11813"/>
    <w:rPr>
      <w:rFonts w:ascii="Times New Roman" w:eastAsia="Times New Roman" w:hAnsi="Times New Roman" w:cs="Times New Roman"/>
      <w:sz w:val="24"/>
      <w:szCs w:val="20"/>
      <w:lang w:eastAsia="cs-CZ"/>
    </w:rPr>
  </w:style>
  <w:style w:type="paragraph" w:styleId="Zkladntext2">
    <w:name w:val="Body Text 2"/>
    <w:basedOn w:val="Normln"/>
    <w:link w:val="Zkladntext2Char"/>
    <w:uiPriority w:val="99"/>
    <w:semiHidden/>
    <w:unhideWhenUsed/>
    <w:rsid w:val="00C11813"/>
    <w:pPr>
      <w:spacing w:after="120" w:line="480" w:lineRule="auto"/>
    </w:pPr>
  </w:style>
  <w:style w:type="character" w:customStyle="1" w:styleId="Zkladntext2Char">
    <w:name w:val="Základní text 2 Char"/>
    <w:basedOn w:val="Standardnpsmoodstavce"/>
    <w:link w:val="Zkladntext2"/>
    <w:uiPriority w:val="99"/>
    <w:semiHidden/>
    <w:rsid w:val="00C11813"/>
    <w:rPr>
      <w:rFonts w:ascii="Times New Roman" w:eastAsia="Times New Roman" w:hAnsi="Times New Roman" w:cs="Times New Roman"/>
      <w:sz w:val="24"/>
      <w:szCs w:val="20"/>
      <w:lang w:eastAsia="cs-CZ"/>
    </w:rPr>
  </w:style>
  <w:style w:type="paragraph" w:styleId="Zkladntext3">
    <w:name w:val="Body Text 3"/>
    <w:basedOn w:val="Normln"/>
    <w:link w:val="Zkladntext3Char"/>
    <w:uiPriority w:val="99"/>
    <w:semiHidden/>
    <w:unhideWhenUsed/>
    <w:rsid w:val="00C11813"/>
    <w:pPr>
      <w:spacing w:after="120"/>
    </w:pPr>
    <w:rPr>
      <w:sz w:val="16"/>
      <w:szCs w:val="16"/>
    </w:rPr>
  </w:style>
  <w:style w:type="character" w:customStyle="1" w:styleId="Zkladntext3Char">
    <w:name w:val="Základní text 3 Char"/>
    <w:basedOn w:val="Standardnpsmoodstavce"/>
    <w:link w:val="Zkladntext3"/>
    <w:uiPriority w:val="99"/>
    <w:semiHidden/>
    <w:rsid w:val="00C11813"/>
    <w:rPr>
      <w:rFonts w:ascii="Times New Roman" w:eastAsia="Times New Roman" w:hAnsi="Times New Roman" w:cs="Times New Roman"/>
      <w:sz w:val="16"/>
      <w:szCs w:val="16"/>
      <w:lang w:eastAsia="cs-CZ"/>
    </w:rPr>
  </w:style>
  <w:style w:type="paragraph" w:styleId="Zkladntextodsazen2">
    <w:name w:val="Body Text Indent 2"/>
    <w:basedOn w:val="Normln"/>
    <w:link w:val="Zkladntextodsazen2Char"/>
    <w:uiPriority w:val="99"/>
    <w:semiHidden/>
    <w:unhideWhenUsed/>
    <w:rsid w:val="00C11813"/>
    <w:pPr>
      <w:spacing w:after="120" w:line="480" w:lineRule="auto"/>
      <w:ind w:left="283"/>
    </w:pPr>
  </w:style>
  <w:style w:type="character" w:customStyle="1" w:styleId="Zkladntextodsazen2Char">
    <w:name w:val="Základní text odsazený 2 Char"/>
    <w:basedOn w:val="Standardnpsmoodstavce"/>
    <w:link w:val="Zkladntextodsazen2"/>
    <w:uiPriority w:val="99"/>
    <w:semiHidden/>
    <w:rsid w:val="00C11813"/>
    <w:rPr>
      <w:rFonts w:ascii="Times New Roman" w:eastAsia="Times New Roman" w:hAnsi="Times New Roman" w:cs="Times New Roman"/>
      <w:sz w:val="24"/>
      <w:szCs w:val="20"/>
      <w:lang w:eastAsia="cs-CZ"/>
    </w:rPr>
  </w:style>
  <w:style w:type="paragraph" w:styleId="Zkladntextodsazen3">
    <w:name w:val="Body Text Indent 3"/>
    <w:basedOn w:val="Normln"/>
    <w:link w:val="Zkladntextodsazen3Char"/>
    <w:uiPriority w:val="99"/>
    <w:semiHidden/>
    <w:unhideWhenUsed/>
    <w:rsid w:val="00C11813"/>
    <w:pPr>
      <w:spacing w:after="120"/>
      <w:ind w:left="283"/>
    </w:pPr>
    <w:rPr>
      <w:sz w:val="16"/>
      <w:szCs w:val="16"/>
    </w:rPr>
  </w:style>
  <w:style w:type="character" w:customStyle="1" w:styleId="Zkladntextodsazen3Char">
    <w:name w:val="Základní text odsazený 3 Char"/>
    <w:basedOn w:val="Standardnpsmoodstavce"/>
    <w:link w:val="Zkladntextodsazen3"/>
    <w:uiPriority w:val="99"/>
    <w:semiHidden/>
    <w:rsid w:val="00C11813"/>
    <w:rPr>
      <w:rFonts w:ascii="Times New Roman" w:eastAsia="Times New Roman" w:hAnsi="Times New Roman" w:cs="Times New Roman"/>
      <w:sz w:val="16"/>
      <w:szCs w:val="16"/>
      <w:lang w:eastAsia="cs-CZ"/>
    </w:rPr>
  </w:style>
  <w:style w:type="paragraph" w:styleId="Zvr">
    <w:name w:val="Closing"/>
    <w:basedOn w:val="Normln"/>
    <w:link w:val="ZvrChar"/>
    <w:uiPriority w:val="99"/>
    <w:semiHidden/>
    <w:unhideWhenUsed/>
    <w:rsid w:val="00C11813"/>
    <w:pPr>
      <w:ind w:left="4252"/>
    </w:pPr>
  </w:style>
  <w:style w:type="character" w:customStyle="1" w:styleId="ZvrChar">
    <w:name w:val="Závěr Char"/>
    <w:basedOn w:val="Standardnpsmoodstavce"/>
    <w:link w:val="Zvr"/>
    <w:uiPriority w:val="99"/>
    <w:semiHidden/>
    <w:rsid w:val="00C11813"/>
    <w:rPr>
      <w:rFonts w:ascii="Times New Roman" w:eastAsia="Times New Roman" w:hAnsi="Times New Roman" w:cs="Times New Roman"/>
      <w:sz w:val="24"/>
      <w:szCs w:val="20"/>
      <w:lang w:eastAsia="cs-CZ"/>
    </w:rPr>
  </w:style>
  <w:style w:type="paragraph" w:styleId="Zptenadresanaoblku">
    <w:name w:val="envelope return"/>
    <w:basedOn w:val="Normln"/>
    <w:uiPriority w:val="99"/>
    <w:semiHidden/>
    <w:unhideWhenUsed/>
    <w:rsid w:val="00C11813"/>
    <w:rPr>
      <w:rFonts w:asciiTheme="majorHAnsi" w:eastAsiaTheme="majorEastAsia" w:hAnsiTheme="majorHAnsi" w:cstheme="majorBidi"/>
      <w:sz w:val="20"/>
    </w:rPr>
  </w:style>
  <w:style w:type="numbering" w:styleId="111111">
    <w:name w:val="Outline List 2"/>
    <w:basedOn w:val="Bezseznamu"/>
    <w:uiPriority w:val="99"/>
    <w:semiHidden/>
    <w:unhideWhenUsed/>
    <w:rsid w:val="00C11813"/>
    <w:pPr>
      <w:numPr>
        <w:numId w:val="24"/>
      </w:numPr>
    </w:pPr>
  </w:style>
  <w:style w:type="paragraph" w:customStyle="1" w:styleId="Textpechodka">
    <w:name w:val="Text přechodka"/>
    <w:basedOn w:val="Normln"/>
    <w:qFormat/>
    <w:rsid w:val="00C11813"/>
    <w:pPr>
      <w:numPr>
        <w:ilvl w:val="2"/>
        <w:numId w:val="25"/>
      </w:numPr>
    </w:pPr>
  </w:style>
  <w:style w:type="paragraph" w:customStyle="1" w:styleId="Textpechodkapsmene">
    <w:name w:val="Text přechodka písmene"/>
    <w:basedOn w:val="Normln"/>
    <w:qFormat/>
    <w:rsid w:val="00C11813"/>
    <w:pPr>
      <w:numPr>
        <w:ilvl w:val="3"/>
        <w:numId w:val="25"/>
      </w:numPr>
    </w:pPr>
  </w:style>
  <w:style w:type="character" w:customStyle="1" w:styleId="NADPISSTIChar">
    <w:name w:val="NADPIS ČÁSTI Char"/>
    <w:link w:val="NADPISSTI"/>
    <w:rsid w:val="00C11813"/>
    <w:rPr>
      <w:rFonts w:ascii="Times New Roman" w:eastAsia="Times New Roman" w:hAnsi="Times New Roman" w:cs="Times New Roman"/>
      <w:b/>
      <w:sz w:val="24"/>
      <w:szCs w:val="20"/>
      <w:lang w:eastAsia="cs-CZ"/>
    </w:rPr>
  </w:style>
  <w:style w:type="character" w:customStyle="1" w:styleId="NovelizanbodChar">
    <w:name w:val="Novelizační bod Char"/>
    <w:link w:val="Novelizanbod"/>
    <w:qFormat/>
    <w:rsid w:val="00C11813"/>
    <w:rPr>
      <w:rFonts w:ascii="Times New Roman" w:eastAsia="Times New Roman" w:hAnsi="Times New Roman" w:cs="Times New Roman"/>
      <w:sz w:val="24"/>
      <w:szCs w:val="20"/>
      <w:lang w:eastAsia="cs-CZ"/>
    </w:rPr>
  </w:style>
  <w:style w:type="character" w:customStyle="1" w:styleId="NadpislnkuChar">
    <w:name w:val="Nadpis článku Char"/>
    <w:link w:val="Nadpislnku"/>
    <w:locked/>
    <w:rsid w:val="00C11813"/>
    <w:rPr>
      <w:rFonts w:ascii="Times New Roman" w:eastAsia="Times New Roman" w:hAnsi="Times New Roman" w:cs="Times New Roman"/>
      <w:b/>
      <w:sz w:val="24"/>
      <w:szCs w:val="20"/>
      <w:lang w:eastAsia="cs-CZ"/>
    </w:rPr>
  </w:style>
  <w:style w:type="character" w:customStyle="1" w:styleId="tituleknadpisu">
    <w:name w:val="titulek nadpisu"/>
    <w:rsid w:val="00C11813"/>
    <w:rPr>
      <w:b/>
    </w:rPr>
  </w:style>
  <w:style w:type="table" w:styleId="Svtlmkatabulky">
    <w:name w:val="Grid Table Light"/>
    <w:basedOn w:val="Normlntabulka"/>
    <w:uiPriority w:val="40"/>
    <w:rsid w:val="00C11813"/>
    <w:rPr>
      <w:rFonts w:ascii="Times New Roman" w:eastAsia="Times New Roman" w:hAnsi="Times New Roman" w:cs="Times New Roman"/>
      <w:sz w:val="20"/>
      <w:szCs w:val="20"/>
      <w:lang w:eastAsia="cs-CZ"/>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styleId="Odkaznavysvtlivky">
    <w:name w:val="endnote reference"/>
    <w:basedOn w:val="Standardnpsmoodstavce"/>
    <w:uiPriority w:val="99"/>
    <w:semiHidden/>
    <w:unhideWhenUsed/>
    <w:rsid w:val="00DE1CD7"/>
    <w:rPr>
      <w:vertAlign w:val="superscript"/>
    </w:rPr>
  </w:style>
  <w:style w:type="paragraph" w:customStyle="1" w:styleId="paragraph">
    <w:name w:val="paragraph"/>
    <w:basedOn w:val="Normln"/>
    <w:rsid w:val="002465DA"/>
    <w:pPr>
      <w:spacing w:before="100" w:beforeAutospacing="1" w:after="100" w:afterAutospacing="1"/>
      <w:ind w:firstLine="0"/>
      <w:jc w:val="left"/>
    </w:pPr>
    <w:rPr>
      <w:szCs w:val="24"/>
    </w:rPr>
  </w:style>
  <w:style w:type="paragraph" w:customStyle="1" w:styleId="Default">
    <w:name w:val="Default"/>
    <w:rsid w:val="00495F58"/>
    <w:pPr>
      <w:autoSpaceDE w:val="0"/>
      <w:autoSpaceDN w:val="0"/>
      <w:adjustRightInd w:val="0"/>
      <w:spacing w:before="0"/>
      <w:ind w:firstLine="0"/>
      <w:jc w:val="left"/>
    </w:pPr>
    <w:rPr>
      <w:rFonts w:ascii="Times New Roman" w:hAnsi="Times New Roman" w:cs="Times New Roman"/>
      <w:color w:val="000000"/>
      <w:sz w:val="24"/>
      <w:szCs w:val="24"/>
    </w:rPr>
  </w:style>
  <w:style w:type="paragraph" w:customStyle="1" w:styleId="Nadpis1slovan">
    <w:name w:val="Nadpis 1 číslovaný"/>
    <w:basedOn w:val="Nadpis1"/>
    <w:next w:val="Zkladntextxxx"/>
    <w:link w:val="Nadpis1slovanChar"/>
    <w:uiPriority w:val="99"/>
    <w:rsid w:val="0076774A"/>
    <w:pPr>
      <w:keepLines/>
      <w:pageBreakBefore/>
      <w:numPr>
        <w:numId w:val="32"/>
      </w:numPr>
      <w:spacing w:before="0" w:after="240"/>
      <w:jc w:val="left"/>
    </w:pPr>
    <w:rPr>
      <w:rFonts w:ascii="Cambria" w:eastAsia="Times New Roman" w:hAnsi="Cambria" w:cs="Times New Roman"/>
      <w:color w:val="0070C0"/>
      <w:sz w:val="52"/>
      <w:szCs w:val="52"/>
    </w:rPr>
  </w:style>
  <w:style w:type="character" w:customStyle="1" w:styleId="Nadpis1slovanChar">
    <w:name w:val="Nadpis 1 číslovaný Char"/>
    <w:basedOn w:val="Nadpis1Char"/>
    <w:link w:val="Nadpis1slovan"/>
    <w:uiPriority w:val="99"/>
    <w:locked/>
    <w:rsid w:val="0076774A"/>
    <w:rPr>
      <w:rFonts w:ascii="Cambria" w:eastAsia="Times New Roman" w:hAnsi="Cambria" w:cs="Times New Roman"/>
      <w:b/>
      <w:bCs/>
      <w:color w:val="0070C0"/>
      <w:kern w:val="32"/>
      <w:sz w:val="52"/>
      <w:szCs w:val="52"/>
      <w:lang w:eastAsia="cs-CZ"/>
    </w:rPr>
  </w:style>
  <w:style w:type="paragraph" w:customStyle="1" w:styleId="AStyl1-odsazenodst">
    <w:name w:val="A Styl1 - odsazený odst."/>
    <w:basedOn w:val="Normln"/>
    <w:link w:val="AStyl1-odsazenodstChar"/>
    <w:uiPriority w:val="99"/>
    <w:rsid w:val="0076774A"/>
    <w:pPr>
      <w:spacing w:before="0" w:after="60"/>
      <w:ind w:firstLine="624"/>
    </w:pPr>
    <w:rPr>
      <w:szCs w:val="24"/>
    </w:rPr>
  </w:style>
  <w:style w:type="character" w:customStyle="1" w:styleId="AStyl1-odsazenodstChar">
    <w:name w:val="A Styl1 - odsazený odst. Char"/>
    <w:basedOn w:val="Standardnpsmoodstavce"/>
    <w:link w:val="AStyl1-odsazenodst"/>
    <w:uiPriority w:val="99"/>
    <w:locked/>
    <w:rsid w:val="0076774A"/>
    <w:rPr>
      <w:rFonts w:ascii="Times New Roman" w:eastAsia="Times New Roman" w:hAnsi="Times New Roman" w:cs="Times New Roman"/>
      <w:sz w:val="24"/>
      <w:szCs w:val="24"/>
      <w:lang w:eastAsia="cs-CZ"/>
    </w:rPr>
  </w:style>
  <w:style w:type="paragraph" w:customStyle="1" w:styleId="Zkladntextxxx">
    <w:name w:val="Základní text xxx"/>
    <w:basedOn w:val="Normln"/>
    <w:next w:val="AStyl1-odsazenodst"/>
    <w:link w:val="ZkladntextxxxChar"/>
    <w:uiPriority w:val="99"/>
    <w:rsid w:val="0076774A"/>
    <w:pPr>
      <w:keepLines/>
      <w:autoSpaceDE w:val="0"/>
      <w:autoSpaceDN w:val="0"/>
      <w:adjustRightInd w:val="0"/>
      <w:spacing w:before="0" w:after="60"/>
      <w:ind w:firstLine="0"/>
    </w:pPr>
    <w:rPr>
      <w:color w:val="000000"/>
      <w:szCs w:val="24"/>
    </w:rPr>
  </w:style>
  <w:style w:type="character" w:customStyle="1" w:styleId="ZkladntextxxxChar">
    <w:name w:val="Základní text xxx Char"/>
    <w:basedOn w:val="AStyl1-odsazenodstChar"/>
    <w:link w:val="Zkladntextxxx"/>
    <w:uiPriority w:val="99"/>
    <w:locked/>
    <w:rsid w:val="0076774A"/>
    <w:rPr>
      <w:rFonts w:ascii="Times New Roman" w:eastAsia="Times New Roman" w:hAnsi="Times New Roman" w:cs="Times New Roman"/>
      <w:color w:val="000000"/>
      <w:sz w:val="24"/>
      <w:szCs w:val="24"/>
      <w:lang w:eastAsia="cs-CZ"/>
    </w:rPr>
  </w:style>
  <w:style w:type="paragraph" w:customStyle="1" w:styleId="Cstylsodrkou">
    <w:name w:val="C . styl s odrážkou"/>
    <w:basedOn w:val="AStyl1-odsazenodst"/>
    <w:link w:val="CstylsodrkouChar"/>
    <w:uiPriority w:val="99"/>
    <w:rsid w:val="0076774A"/>
    <w:pPr>
      <w:numPr>
        <w:numId w:val="33"/>
      </w:numPr>
    </w:pPr>
  </w:style>
  <w:style w:type="character" w:customStyle="1" w:styleId="CstylsodrkouChar">
    <w:name w:val="C . styl s odrážkou Char"/>
    <w:basedOn w:val="AStyl1-odsazenodstChar"/>
    <w:link w:val="Cstylsodrkou"/>
    <w:uiPriority w:val="99"/>
    <w:locked/>
    <w:rsid w:val="0076774A"/>
    <w:rPr>
      <w:rFonts w:ascii="Times New Roman" w:eastAsia="Times New Roman" w:hAnsi="Times New Roman" w:cs="Times New Roman"/>
      <w:sz w:val="24"/>
      <w:szCs w:val="24"/>
      <w:lang w:eastAsia="cs-CZ"/>
    </w:rPr>
  </w:style>
  <w:style w:type="character" w:customStyle="1" w:styleId="jmeno4">
    <w:name w:val="jmeno4"/>
    <w:basedOn w:val="Standardnpsmoodstavce"/>
    <w:uiPriority w:val="99"/>
    <w:rsid w:val="0076774A"/>
    <w:rPr>
      <w:rFonts w:cs="Times New Roman"/>
      <w:b/>
      <w:bCs/>
    </w:rPr>
  </w:style>
  <w:style w:type="paragraph" w:customStyle="1" w:styleId="Style2">
    <w:name w:val="Style 2"/>
    <w:basedOn w:val="Normln"/>
    <w:link w:val="CharStyle6"/>
    <w:uiPriority w:val="99"/>
    <w:rsid w:val="0076774A"/>
    <w:pPr>
      <w:widowControl w:val="0"/>
      <w:shd w:val="clear" w:color="auto" w:fill="FFFFFF"/>
      <w:spacing w:before="60" w:after="300" w:line="240" w:lineRule="atLeast"/>
      <w:ind w:hanging="300"/>
      <w:jc w:val="left"/>
    </w:pPr>
    <w:rPr>
      <w:rFonts w:ascii="Arial" w:eastAsiaTheme="minorHAnsi" w:hAnsi="Arial" w:cs="Arial"/>
      <w:sz w:val="22"/>
      <w:szCs w:val="22"/>
      <w:lang w:eastAsia="en-US"/>
    </w:rPr>
  </w:style>
  <w:style w:type="character" w:customStyle="1" w:styleId="CharStyle6">
    <w:name w:val="Char Style 6"/>
    <w:basedOn w:val="Standardnpsmoodstavce"/>
    <w:link w:val="Style2"/>
    <w:uiPriority w:val="99"/>
    <w:locked/>
    <w:rsid w:val="0076774A"/>
    <w:rPr>
      <w:rFonts w:ascii="Arial" w:hAnsi="Arial" w:cs="Arial"/>
      <w:shd w:val="clear" w:color="auto" w:fill="FFFFFF"/>
    </w:rPr>
  </w:style>
  <w:style w:type="paragraph" w:customStyle="1" w:styleId="Nadpis2xx">
    <w:name w:val="Nadpis 2 xx"/>
    <w:basedOn w:val="Nadpis1"/>
    <w:next w:val="Zkladntextxxx"/>
    <w:link w:val="Nadpis2xxChar"/>
    <w:uiPriority w:val="99"/>
    <w:rsid w:val="0076774A"/>
    <w:pPr>
      <w:numPr>
        <w:numId w:val="34"/>
      </w:numPr>
      <w:spacing w:before="360"/>
      <w:jc w:val="left"/>
      <w:outlineLvl w:val="1"/>
    </w:pPr>
    <w:rPr>
      <w:rFonts w:ascii="Cambria" w:eastAsia="Times New Roman" w:hAnsi="Cambria" w:cs="Times New Roman"/>
      <w:sz w:val="28"/>
      <w:szCs w:val="28"/>
    </w:rPr>
  </w:style>
  <w:style w:type="character" w:customStyle="1" w:styleId="Nadpis2xxChar">
    <w:name w:val="Nadpis 2 xx Char"/>
    <w:basedOn w:val="Nadpis1Char"/>
    <w:link w:val="Nadpis2xx"/>
    <w:uiPriority w:val="99"/>
    <w:locked/>
    <w:rsid w:val="0076774A"/>
    <w:rPr>
      <w:rFonts w:ascii="Cambria" w:eastAsia="Times New Roman" w:hAnsi="Cambria" w:cs="Times New Roman"/>
      <w:b/>
      <w:bCs/>
      <w:kern w:val="32"/>
      <w:sz w:val="28"/>
      <w:szCs w:val="28"/>
      <w:lang w:eastAsia="cs-CZ"/>
    </w:rPr>
  </w:style>
  <w:style w:type="paragraph" w:customStyle="1" w:styleId="Nadpis3xx">
    <w:name w:val="Nadpis 3 xx"/>
    <w:basedOn w:val="Nadpis2xx"/>
    <w:next w:val="Zkladntextxxx"/>
    <w:uiPriority w:val="99"/>
    <w:qFormat/>
    <w:rsid w:val="0076774A"/>
    <w:pPr>
      <w:numPr>
        <w:numId w:val="35"/>
      </w:numPr>
      <w:tabs>
        <w:tab w:val="num" w:pos="643"/>
      </w:tabs>
      <w:spacing w:before="240" w:after="60" w:line="276" w:lineRule="auto"/>
      <w:ind w:left="643"/>
      <w:outlineLvl w:val="2"/>
    </w:pPr>
    <w:rPr>
      <w:sz w:val="24"/>
      <w:szCs w:val="24"/>
    </w:rPr>
  </w:style>
  <w:style w:type="paragraph" w:customStyle="1" w:styleId="Nadpis4xx">
    <w:name w:val="Nadpis 4 xx"/>
    <w:basedOn w:val="Nadpis3xx"/>
    <w:next w:val="Normln"/>
    <w:uiPriority w:val="99"/>
    <w:rsid w:val="0076774A"/>
    <w:pPr>
      <w:numPr>
        <w:numId w:val="0"/>
      </w:numPr>
      <w:outlineLvl w:val="3"/>
    </w:pPr>
    <w:rPr>
      <w:b w:val="0"/>
    </w:rPr>
  </w:style>
  <w:style w:type="paragraph" w:customStyle="1" w:styleId="Nadpisbez">
    <w:name w:val="Nadpis bez"/>
    <w:basedOn w:val="Normln"/>
    <w:next w:val="Normln"/>
    <w:link w:val="NadpisbezChar"/>
    <w:uiPriority w:val="99"/>
    <w:qFormat/>
    <w:rsid w:val="0076774A"/>
    <w:pPr>
      <w:spacing w:after="60"/>
      <w:ind w:firstLine="0"/>
      <w:jc w:val="left"/>
      <w:outlineLvl w:val="3"/>
    </w:pPr>
    <w:rPr>
      <w:rFonts w:eastAsiaTheme="minorHAnsi"/>
      <w:b/>
      <w:szCs w:val="24"/>
      <w:lang w:eastAsia="en-US"/>
    </w:rPr>
  </w:style>
  <w:style w:type="character" w:customStyle="1" w:styleId="NadpisbezChar">
    <w:name w:val="Nadpis bez Char"/>
    <w:basedOn w:val="Standardnpsmoodstavce"/>
    <w:link w:val="Nadpisbez"/>
    <w:uiPriority w:val="99"/>
    <w:locked/>
    <w:rsid w:val="0076774A"/>
    <w:rPr>
      <w:rFonts w:ascii="Times New Roman" w:hAnsi="Times New Roman" w:cs="Times New Roman"/>
      <w:b/>
      <w:sz w:val="24"/>
      <w:szCs w:val="24"/>
    </w:rPr>
  </w:style>
  <w:style w:type="paragraph" w:customStyle="1" w:styleId="CStyla">
    <w:name w:val="C Styl  a)"/>
    <w:basedOn w:val="Normln"/>
    <w:link w:val="CStylaChar"/>
    <w:uiPriority w:val="99"/>
    <w:rsid w:val="0076774A"/>
    <w:pPr>
      <w:numPr>
        <w:numId w:val="36"/>
      </w:numPr>
      <w:spacing w:before="0"/>
    </w:pPr>
    <w:rPr>
      <w:iCs/>
      <w:szCs w:val="24"/>
    </w:rPr>
  </w:style>
  <w:style w:type="character" w:customStyle="1" w:styleId="CStylaChar">
    <w:name w:val="C Styl  a) Char"/>
    <w:basedOn w:val="Standardnpsmoodstavce"/>
    <w:link w:val="CStyla"/>
    <w:uiPriority w:val="99"/>
    <w:locked/>
    <w:rsid w:val="0076774A"/>
    <w:rPr>
      <w:rFonts w:ascii="Times New Roman" w:eastAsia="Times New Roman" w:hAnsi="Times New Roman" w:cs="Times New Roman"/>
      <w:iCs/>
      <w:sz w:val="24"/>
      <w:szCs w:val="24"/>
      <w:lang w:eastAsia="cs-CZ"/>
    </w:rPr>
  </w:style>
  <w:style w:type="paragraph" w:customStyle="1" w:styleId="Nadpispodtren">
    <w:name w:val="Nadpis podtržený"/>
    <w:basedOn w:val="Normln"/>
    <w:link w:val="NadpispodtrenChar"/>
    <w:uiPriority w:val="99"/>
    <w:rsid w:val="0076774A"/>
    <w:pPr>
      <w:spacing w:before="0"/>
      <w:ind w:firstLine="0"/>
    </w:pPr>
    <w:rPr>
      <w:b/>
      <w:iCs/>
      <w:szCs w:val="24"/>
      <w:u w:val="single"/>
    </w:rPr>
  </w:style>
  <w:style w:type="character" w:customStyle="1" w:styleId="NadpispodtrenChar">
    <w:name w:val="Nadpis podtržený Char"/>
    <w:basedOn w:val="Standardnpsmoodstavce"/>
    <w:link w:val="Nadpispodtren"/>
    <w:uiPriority w:val="99"/>
    <w:locked/>
    <w:rsid w:val="0076774A"/>
    <w:rPr>
      <w:rFonts w:ascii="Times New Roman" w:eastAsia="Times New Roman" w:hAnsi="Times New Roman" w:cs="Times New Roman"/>
      <w:b/>
      <w:iCs/>
      <w:sz w:val="24"/>
      <w:szCs w:val="24"/>
      <w:u w:val="single"/>
      <w:lang w:eastAsia="cs-CZ"/>
    </w:rPr>
  </w:style>
  <w:style w:type="numbering" w:customStyle="1" w:styleId="Styl2">
    <w:name w:val="Styl2"/>
    <w:rsid w:val="0076774A"/>
    <w:pPr>
      <w:numPr>
        <w:numId w:val="37"/>
      </w:numPr>
    </w:pPr>
  </w:style>
  <w:style w:type="numbering" w:customStyle="1" w:styleId="Styl1">
    <w:name w:val="Styl1"/>
    <w:rsid w:val="0076774A"/>
    <w:pPr>
      <w:numPr>
        <w:numId w:val="38"/>
      </w:numPr>
    </w:pPr>
  </w:style>
  <w:style w:type="character" w:styleId="Zstupntext">
    <w:name w:val="Placeholder Text"/>
    <w:basedOn w:val="Standardnpsmoodstavce"/>
    <w:uiPriority w:val="99"/>
    <w:semiHidden/>
    <w:rsid w:val="0076774A"/>
    <w:rPr>
      <w:rFonts w:cs="Times New Roman"/>
      <w:color w:val="808080"/>
    </w:rPr>
  </w:style>
  <w:style w:type="character" w:customStyle="1" w:styleId="BezmezerChar">
    <w:name w:val="Bez mezer Char"/>
    <w:basedOn w:val="Standardnpsmoodstavce"/>
    <w:link w:val="Bezmezer"/>
    <w:uiPriority w:val="99"/>
    <w:locked/>
    <w:rsid w:val="0076774A"/>
    <w:rPr>
      <w:rFonts w:ascii="Arial" w:eastAsia="Times New Roman" w:hAnsi="Arial" w:cs="Times New Roman"/>
      <w:szCs w:val="20"/>
      <w:lang w:eastAsia="cs-CZ"/>
    </w:rPr>
  </w:style>
  <w:style w:type="table" w:styleId="Svtlstnovnzvraznn1">
    <w:name w:val="Light Shading Accent 1"/>
    <w:basedOn w:val="Normlntabulka"/>
    <w:uiPriority w:val="99"/>
    <w:rsid w:val="0076774A"/>
    <w:pPr>
      <w:spacing w:before="0"/>
      <w:ind w:firstLine="0"/>
      <w:jc w:val="left"/>
    </w:pPr>
    <w:rPr>
      <w:rFonts w:ascii="Calibri" w:eastAsia="Calibri" w:hAnsi="Calibri" w:cs="Times New Roman"/>
      <w:color w:val="365F91"/>
      <w:sz w:val="20"/>
      <w:szCs w:val="20"/>
      <w:lang w:eastAsia="cs-CZ"/>
    </w:rPr>
    <w:tblPr>
      <w:tblStyleRowBandSize w:val="1"/>
      <w:tblStyleColBandSize w:val="1"/>
      <w:tblBorders>
        <w:top w:val="single" w:sz="8" w:space="0" w:color="4F81BD"/>
        <w:bottom w:val="single" w:sz="8" w:space="0" w:color="4F81BD"/>
      </w:tblBorders>
    </w:tblPr>
    <w:tblStylePr w:type="firstRow">
      <w:pPr>
        <w:spacing w:before="0" w:after="0"/>
      </w:pPr>
      <w:rPr>
        <w:rFonts w:cs="Times New Roman"/>
        <w:b/>
        <w:bCs/>
      </w:rPr>
      <w:tblPr/>
      <w:tcPr>
        <w:tcBorders>
          <w:top w:val="single" w:sz="8" w:space="0" w:color="4F81BD"/>
          <w:left w:val="nil"/>
          <w:bottom w:val="single" w:sz="8" w:space="0" w:color="4F81BD"/>
          <w:right w:val="nil"/>
          <w:insideH w:val="nil"/>
          <w:insideV w:val="nil"/>
        </w:tcBorders>
      </w:tcPr>
    </w:tblStylePr>
    <w:tblStylePr w:type="lastRow">
      <w:pPr>
        <w:spacing w:before="0" w:after="0"/>
      </w:pPr>
      <w:rPr>
        <w:rFonts w:cs="Times New Roman"/>
        <w:b/>
        <w:bCs/>
      </w:rPr>
      <w:tblPr/>
      <w:tcPr>
        <w:tcBorders>
          <w:top w:val="single" w:sz="8" w:space="0" w:color="4F81BD"/>
          <w:left w:val="nil"/>
          <w:bottom w:val="single" w:sz="8" w:space="0" w:color="4F81BD"/>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3DFEE"/>
      </w:tcPr>
    </w:tblStylePr>
    <w:tblStylePr w:type="band1Horz">
      <w:rPr>
        <w:rFonts w:cs="Times New Roman"/>
      </w:rPr>
      <w:tblPr/>
      <w:tcPr>
        <w:tcBorders>
          <w:left w:val="nil"/>
          <w:right w:val="nil"/>
          <w:insideH w:val="nil"/>
          <w:insideV w:val="nil"/>
        </w:tcBorders>
        <w:shd w:val="clear" w:color="auto" w:fill="D3DFEE"/>
      </w:tcPr>
    </w:tblStylePr>
  </w:style>
  <w:style w:type="character" w:styleId="Odkazintenzivn">
    <w:name w:val="Intense Reference"/>
    <w:basedOn w:val="Standardnpsmoodstavce"/>
    <w:uiPriority w:val="99"/>
    <w:qFormat/>
    <w:rsid w:val="0076774A"/>
    <w:rPr>
      <w:rFonts w:cs="Times New Roman"/>
      <w:b/>
      <w:bCs/>
      <w:smallCaps/>
      <w:color w:val="C0504D"/>
      <w:spacing w:val="5"/>
      <w:u w:val="single"/>
    </w:rPr>
  </w:style>
  <w:style w:type="paragraph" w:styleId="Revize">
    <w:name w:val="Revision"/>
    <w:hidden/>
    <w:uiPriority w:val="99"/>
    <w:semiHidden/>
    <w:rsid w:val="0076774A"/>
    <w:pPr>
      <w:spacing w:before="0"/>
      <w:ind w:firstLine="0"/>
      <w:jc w:val="left"/>
    </w:pPr>
    <w:rPr>
      <w:rFonts w:ascii="Calibri" w:hAnsi="Calibri" w:cs="Times New Roman"/>
    </w:rPr>
  </w:style>
  <w:style w:type="character" w:customStyle="1" w:styleId="PodnadpisChar1">
    <w:name w:val="Podnadpis Char1"/>
    <w:uiPriority w:val="11"/>
    <w:rsid w:val="00F11E27"/>
    <w:rPr>
      <w:rFonts w:ascii="Cambria" w:eastAsia="Times New Roman" w:hAnsi="Cambria" w:cs="Times New Roman"/>
      <w:i/>
      <w:iCs/>
      <w:color w:val="4F81BD"/>
      <w:spacing w:val="15"/>
      <w:sz w:val="24"/>
      <w:szCs w:val="24"/>
    </w:rPr>
  </w:style>
  <w:style w:type="paragraph" w:customStyle="1" w:styleId="bod0">
    <w:name w:val="bod"/>
    <w:basedOn w:val="slovanseznam2"/>
    <w:rsid w:val="00F11E27"/>
    <w:pPr>
      <w:numPr>
        <w:numId w:val="0"/>
      </w:numPr>
      <w:tabs>
        <w:tab w:val="left" w:pos="357"/>
      </w:tabs>
      <w:spacing w:before="0"/>
      <w:ind w:left="714" w:hanging="357"/>
      <w:contextualSpacing w:val="0"/>
    </w:pPr>
    <w:rPr>
      <w:noProof/>
      <w:szCs w:val="24"/>
    </w:rPr>
  </w:style>
  <w:style w:type="paragraph" w:customStyle="1" w:styleId="odsazentext4">
    <w:name w:val="odsazený text 4"/>
    <w:basedOn w:val="Normln"/>
    <w:link w:val="odsazentext4CharChar"/>
    <w:rsid w:val="00F11E27"/>
    <w:pPr>
      <w:spacing w:before="120"/>
      <w:ind w:left="1426" w:firstLine="0"/>
    </w:pPr>
    <w:rPr>
      <w:noProof/>
      <w:szCs w:val="24"/>
    </w:rPr>
  </w:style>
  <w:style w:type="character" w:customStyle="1" w:styleId="odsazentext4CharChar">
    <w:name w:val="odsazený text 4 Char Char"/>
    <w:link w:val="odsazentext4"/>
    <w:rsid w:val="00F11E27"/>
    <w:rPr>
      <w:rFonts w:ascii="Times New Roman" w:eastAsia="Times New Roman" w:hAnsi="Times New Roman" w:cs="Times New Roman"/>
      <w:noProof/>
      <w:sz w:val="24"/>
      <w:szCs w:val="24"/>
      <w:lang w:eastAsia="cs-CZ"/>
    </w:rPr>
  </w:style>
  <w:style w:type="paragraph" w:customStyle="1" w:styleId="psmeno1">
    <w:name w:val="písmeno"/>
    <w:basedOn w:val="slovanseznam"/>
    <w:rsid w:val="00F11E27"/>
    <w:pPr>
      <w:numPr>
        <w:numId w:val="0"/>
      </w:numPr>
      <w:tabs>
        <w:tab w:val="left" w:pos="357"/>
      </w:tabs>
      <w:spacing w:before="0"/>
      <w:ind w:left="357" w:hanging="357"/>
      <w:contextualSpacing w:val="0"/>
    </w:pPr>
    <w:rPr>
      <w:noProof/>
      <w:szCs w:val="24"/>
      <w:lang w:val="en-US"/>
    </w:rPr>
  </w:style>
  <w:style w:type="paragraph" w:customStyle="1" w:styleId="paragraf0">
    <w:name w:val="paragraf"/>
    <w:basedOn w:val="Normln"/>
    <w:next w:val="odstavec0"/>
    <w:rsid w:val="00F11E27"/>
    <w:pPr>
      <w:keepNext/>
      <w:ind w:firstLine="0"/>
      <w:jc w:val="center"/>
    </w:pPr>
    <w:rPr>
      <w:noProof/>
      <w:szCs w:val="24"/>
    </w:rPr>
  </w:style>
  <w:style w:type="paragraph" w:customStyle="1" w:styleId="odstavec0">
    <w:name w:val="odstavec"/>
    <w:basedOn w:val="Normln"/>
    <w:rsid w:val="00F11E27"/>
    <w:pPr>
      <w:tabs>
        <w:tab w:val="left" w:pos="851"/>
      </w:tabs>
      <w:spacing w:before="120"/>
      <w:ind w:firstLine="482"/>
    </w:pPr>
    <w:rPr>
      <w:noProof/>
      <w:szCs w:val="24"/>
    </w:rPr>
  </w:style>
  <w:style w:type="character" w:styleId="Zdraznnintenzivn">
    <w:name w:val="Intense Emphasis"/>
    <w:aliases w:val="Pracovní poznámka"/>
    <w:uiPriority w:val="21"/>
    <w:qFormat/>
    <w:rsid w:val="00F11E27"/>
    <w:rPr>
      <w:rFonts w:ascii="Arial" w:hAnsi="Arial" w:cs="Arial"/>
      <w:bCs/>
      <w:iCs/>
      <w:color w:val="0000FF"/>
      <w:sz w:val="20"/>
    </w:rPr>
  </w:style>
  <w:style w:type="paragraph" w:customStyle="1" w:styleId="skupinovnadpis">
    <w:name w:val="skupinový nadpis"/>
    <w:basedOn w:val="Normln"/>
    <w:rsid w:val="00F11E27"/>
    <w:pPr>
      <w:keepNext/>
      <w:ind w:firstLine="0"/>
      <w:jc w:val="center"/>
    </w:pPr>
    <w:rPr>
      <w:b/>
      <w:noProof/>
      <w:szCs w:val="24"/>
    </w:rPr>
  </w:style>
  <w:style w:type="paragraph" w:customStyle="1" w:styleId="odsazentext0">
    <w:name w:val="odsazený text 0"/>
    <w:basedOn w:val="Normln"/>
    <w:next w:val="Oddl"/>
    <w:rsid w:val="00F11E27"/>
    <w:pPr>
      <w:spacing w:before="120"/>
      <w:ind w:firstLine="0"/>
    </w:pPr>
    <w:rPr>
      <w:noProof/>
      <w:szCs w:val="24"/>
    </w:rPr>
  </w:style>
  <w:style w:type="character" w:styleId="Sledovanodkaz">
    <w:name w:val="FollowedHyperlink"/>
    <w:basedOn w:val="Standardnpsmoodstavce"/>
    <w:uiPriority w:val="99"/>
    <w:semiHidden/>
    <w:unhideWhenUsed/>
    <w:rsid w:val="00F11E27"/>
    <w:rPr>
      <w:color w:val="954F72" w:themeColor="followedHyperlink"/>
      <w:u w:val="single"/>
    </w:rPr>
  </w:style>
  <w:style w:type="numbering" w:customStyle="1" w:styleId="Bezseznamu1">
    <w:name w:val="Bez seznamu1"/>
    <w:next w:val="Bezseznamu"/>
    <w:uiPriority w:val="99"/>
    <w:semiHidden/>
    <w:unhideWhenUsed/>
    <w:rsid w:val="00F11E27"/>
  </w:style>
  <w:style w:type="numbering" w:customStyle="1" w:styleId="1111111">
    <w:name w:val="1 / 1.1 / 1.1.11"/>
    <w:basedOn w:val="Bezseznamu"/>
    <w:next w:val="111111"/>
    <w:uiPriority w:val="99"/>
    <w:semiHidden/>
    <w:unhideWhenUsed/>
    <w:rsid w:val="00F11E27"/>
  </w:style>
  <w:style w:type="numbering" w:customStyle="1" w:styleId="Bezseznamu2">
    <w:name w:val="Bez seznamu2"/>
    <w:next w:val="Bezseznamu"/>
    <w:uiPriority w:val="99"/>
    <w:semiHidden/>
    <w:unhideWhenUsed/>
    <w:rsid w:val="00F11E27"/>
  </w:style>
  <w:style w:type="numbering" w:customStyle="1" w:styleId="1111112">
    <w:name w:val="1 / 1.1 / 1.1.12"/>
    <w:basedOn w:val="Bezseznamu"/>
    <w:next w:val="111111"/>
    <w:uiPriority w:val="99"/>
    <w:semiHidden/>
    <w:unhideWhenUsed/>
    <w:rsid w:val="00F11E27"/>
  </w:style>
  <w:style w:type="character" w:customStyle="1" w:styleId="TextparagrafuChar">
    <w:name w:val="Text paragrafu Char"/>
    <w:link w:val="Textparagrafu"/>
    <w:locked/>
    <w:rsid w:val="003B71E2"/>
    <w:rPr>
      <w:rFonts w:ascii="Times New Roman" w:eastAsia="Times New Roman" w:hAnsi="Times New Roman" w:cs="Times New Roman"/>
      <w:sz w:val="24"/>
      <w:szCs w:val="20"/>
      <w:lang w:eastAsia="cs-CZ"/>
    </w:rPr>
  </w:style>
  <w:style w:type="paragraph" w:customStyle="1" w:styleId="normal1">
    <w:name w:val="normal1"/>
    <w:basedOn w:val="Normln"/>
    <w:rsid w:val="003B71E2"/>
    <w:pPr>
      <w:spacing w:before="120" w:line="312" w:lineRule="atLeast"/>
      <w:ind w:firstLine="0"/>
    </w:pPr>
    <w:rPr>
      <w:rFonts w:eastAsiaTheme="minorHAnsi"/>
      <w:szCs w:val="24"/>
    </w:rPr>
  </w:style>
  <w:style w:type="paragraph" w:customStyle="1" w:styleId="footnote">
    <w:name w:val="footnote"/>
    <w:basedOn w:val="Normln"/>
    <w:rsid w:val="003B71E2"/>
    <w:pPr>
      <w:spacing w:before="120"/>
      <w:ind w:firstLine="0"/>
    </w:pPr>
    <w:rPr>
      <w:rFonts w:eastAsiaTheme="minorHAnsi"/>
      <w:sz w:val="22"/>
      <w:szCs w:val="22"/>
    </w:rPr>
  </w:style>
  <w:style w:type="character" w:customStyle="1" w:styleId="superscript">
    <w:name w:val="superscript"/>
    <w:basedOn w:val="Standardnpsmoodstavce"/>
    <w:rsid w:val="003B71E2"/>
    <w:rPr>
      <w:vertAlign w:val="superscript"/>
    </w:rPr>
  </w:style>
  <w:style w:type="paragraph" w:customStyle="1" w:styleId="st0">
    <w:name w:val="část"/>
    <w:basedOn w:val="Normln"/>
    <w:next w:val="Normln"/>
    <w:rsid w:val="003B71E2"/>
    <w:pPr>
      <w:keepNext/>
      <w:spacing w:before="360"/>
      <w:ind w:firstLine="0"/>
      <w:jc w:val="center"/>
      <w:outlineLvl w:val="0"/>
    </w:pPr>
    <w:rPr>
      <w:caps/>
      <w:noProof/>
      <w:szCs w:val="24"/>
    </w:rPr>
  </w:style>
  <w:style w:type="paragraph" w:customStyle="1" w:styleId="hlava0">
    <w:name w:val="hlava"/>
    <w:basedOn w:val="Normln"/>
    <w:next w:val="Normln"/>
    <w:rsid w:val="003B71E2"/>
    <w:pPr>
      <w:keepNext/>
      <w:ind w:firstLine="0"/>
      <w:jc w:val="center"/>
      <w:outlineLvl w:val="1"/>
    </w:pPr>
    <w:rPr>
      <w:noProof/>
      <w:szCs w:val="24"/>
    </w:rPr>
  </w:style>
  <w:style w:type="paragraph" w:customStyle="1" w:styleId="dl0">
    <w:name w:val="díl"/>
    <w:basedOn w:val="Normln"/>
    <w:next w:val="Normln"/>
    <w:rsid w:val="003B71E2"/>
    <w:pPr>
      <w:keepNext/>
      <w:ind w:firstLine="0"/>
      <w:jc w:val="center"/>
      <w:outlineLvl w:val="2"/>
    </w:pPr>
    <w:rPr>
      <w:noProof/>
      <w:szCs w:val="24"/>
    </w:rPr>
  </w:style>
  <w:style w:type="paragraph" w:customStyle="1" w:styleId="celex0">
    <w:name w:val="celex"/>
    <w:basedOn w:val="Normln"/>
    <w:qFormat/>
    <w:rsid w:val="003B71E2"/>
    <w:pPr>
      <w:spacing w:before="120"/>
      <w:ind w:firstLine="0"/>
      <w:jc w:val="left"/>
    </w:pPr>
    <w:rPr>
      <w:i/>
      <w:noProof/>
      <w:sz w:val="20"/>
      <w:szCs w:val="24"/>
    </w:rPr>
  </w:style>
  <w:style w:type="paragraph" w:customStyle="1" w:styleId="Textbody">
    <w:name w:val="Text body"/>
    <w:basedOn w:val="Normln"/>
    <w:rsid w:val="003B71E2"/>
    <w:pPr>
      <w:widowControl w:val="0"/>
      <w:suppressAutoHyphens/>
      <w:autoSpaceDN w:val="0"/>
      <w:spacing w:before="0" w:after="120"/>
      <w:ind w:firstLine="0"/>
      <w:jc w:val="left"/>
      <w:textAlignment w:val="baseline"/>
    </w:pPr>
    <w:rPr>
      <w:rFonts w:eastAsia="SimSun" w:cs="Lucida Sans"/>
      <w:kern w:val="3"/>
      <w:szCs w:val="24"/>
      <w:lang w:eastAsia="zh-CN" w:bidi="hi-IN"/>
    </w:rPr>
  </w:style>
  <w:style w:type="character" w:customStyle="1" w:styleId="normaltextrun">
    <w:name w:val="normaltextrun"/>
    <w:basedOn w:val="Standardnpsmoodstavce"/>
    <w:rsid w:val="003B71E2"/>
  </w:style>
  <w:style w:type="character" w:customStyle="1" w:styleId="eop">
    <w:name w:val="eop"/>
    <w:basedOn w:val="Standardnpsmoodstavce"/>
    <w:rsid w:val="003B71E2"/>
  </w:style>
  <w:style w:type="numbering" w:customStyle="1" w:styleId="1111114">
    <w:name w:val="1 / 1.1 / 1.1.14"/>
    <w:basedOn w:val="Bezseznamu"/>
    <w:next w:val="111111"/>
    <w:uiPriority w:val="99"/>
    <w:semiHidden/>
    <w:unhideWhenUsed/>
    <w:rsid w:val="002B6A12"/>
    <w:pPr>
      <w:numPr>
        <w:numId w:val="21"/>
      </w:numPr>
    </w:pPr>
  </w:style>
  <w:style w:type="paragraph" w:customStyle="1" w:styleId="doc-ti">
    <w:name w:val="doc-ti"/>
    <w:basedOn w:val="Normln"/>
    <w:rsid w:val="00A46E9E"/>
    <w:pPr>
      <w:spacing w:before="100" w:beforeAutospacing="1" w:after="100" w:afterAutospacing="1"/>
      <w:ind w:firstLine="0"/>
      <w:jc w:val="left"/>
    </w:pPr>
    <w:rPr>
      <w:szCs w:val="24"/>
    </w:rPr>
  </w:style>
  <w:style w:type="character" w:customStyle="1" w:styleId="italic">
    <w:name w:val="italic"/>
    <w:basedOn w:val="Standardnpsmoodstavce"/>
    <w:rsid w:val="00A46E9E"/>
  </w:style>
  <w:style w:type="character" w:customStyle="1" w:styleId="no-parag">
    <w:name w:val="no-parag"/>
    <w:basedOn w:val="Standardnpsmoodstavce"/>
    <w:rsid w:val="00272890"/>
  </w:style>
  <w:style w:type="paragraph" w:customStyle="1" w:styleId="norm">
    <w:name w:val="norm"/>
    <w:basedOn w:val="Normln"/>
    <w:rsid w:val="00272890"/>
    <w:pPr>
      <w:spacing w:before="100" w:beforeAutospacing="1" w:after="100" w:afterAutospacing="1"/>
      <w:ind w:firstLine="0"/>
      <w:jc w:val="left"/>
    </w:pPr>
    <w:rPr>
      <w:szCs w:val="24"/>
    </w:rPr>
  </w:style>
  <w:style w:type="paragraph" w:customStyle="1" w:styleId="CM1">
    <w:name w:val="CM1"/>
    <w:basedOn w:val="Normln"/>
    <w:next w:val="Normln"/>
    <w:uiPriority w:val="99"/>
    <w:rsid w:val="00272890"/>
    <w:pPr>
      <w:autoSpaceDE w:val="0"/>
      <w:autoSpaceDN w:val="0"/>
      <w:adjustRightInd w:val="0"/>
      <w:spacing w:before="0"/>
      <w:ind w:firstLine="0"/>
      <w:jc w:val="left"/>
    </w:pPr>
    <w:rPr>
      <w:rFonts w:eastAsiaTheme="minorHAnsi"/>
      <w:szCs w:val="24"/>
      <w:lang w:eastAsia="en-US"/>
    </w:rPr>
  </w:style>
  <w:style w:type="paragraph" w:customStyle="1" w:styleId="CM3">
    <w:name w:val="CM3"/>
    <w:basedOn w:val="Normln"/>
    <w:next w:val="Normln"/>
    <w:uiPriority w:val="99"/>
    <w:rsid w:val="00272890"/>
    <w:pPr>
      <w:autoSpaceDE w:val="0"/>
      <w:autoSpaceDN w:val="0"/>
      <w:adjustRightInd w:val="0"/>
      <w:spacing w:before="0"/>
      <w:ind w:firstLine="0"/>
      <w:jc w:val="left"/>
    </w:pPr>
    <w:rPr>
      <w:rFonts w:eastAsiaTheme="minorHAnsi"/>
      <w:szCs w:val="24"/>
      <w:lang w:eastAsia="en-US"/>
    </w:rPr>
  </w:style>
  <w:style w:type="paragraph" w:customStyle="1" w:styleId="CM4">
    <w:name w:val="CM4"/>
    <w:basedOn w:val="Normln"/>
    <w:next w:val="Normln"/>
    <w:uiPriority w:val="99"/>
    <w:rsid w:val="00272890"/>
    <w:pPr>
      <w:autoSpaceDE w:val="0"/>
      <w:autoSpaceDN w:val="0"/>
      <w:adjustRightInd w:val="0"/>
      <w:spacing w:before="0"/>
      <w:ind w:firstLine="0"/>
      <w:jc w:val="left"/>
    </w:pPr>
    <w:rPr>
      <w:rFonts w:eastAsiaTheme="minorHAnsi"/>
      <w:szCs w:val="24"/>
      <w:lang w:eastAsia="en-US"/>
    </w:rPr>
  </w:style>
  <w:style w:type="paragraph" w:customStyle="1" w:styleId="StylDvodovzprva16bTun">
    <w:name w:val="Styl Důvodová zpráva + 16 b. Tučné"/>
    <w:basedOn w:val="Dvodovzprva"/>
    <w:rsid w:val="00D8555D"/>
    <w:pPr>
      <w:numPr>
        <w:numId w:val="65"/>
      </w:numPr>
      <w:tabs>
        <w:tab w:val="num" w:pos="425"/>
        <w:tab w:val="num" w:pos="567"/>
      </w:tabs>
      <w:ind w:left="425" w:hanging="425"/>
    </w:pPr>
    <w:rPr>
      <w:rFonts w:ascii="Times New Roman" w:hAnsi="Times New Roman"/>
      <w:b/>
      <w:bCs/>
      <w:sz w:val="32"/>
    </w:rPr>
  </w:style>
  <w:style w:type="character" w:customStyle="1" w:styleId="TextpsmeneChar1">
    <w:name w:val="Text písmene Char1"/>
    <w:locked/>
    <w:rsid w:val="00D8555D"/>
    <w:rPr>
      <w:sz w:val="24"/>
    </w:rPr>
  </w:style>
  <w:style w:type="character" w:styleId="Zdraznn">
    <w:name w:val="Emphasis"/>
    <w:basedOn w:val="Standardnpsmoodstavce"/>
    <w:uiPriority w:val="20"/>
    <w:qFormat/>
    <w:rsid w:val="00D8555D"/>
    <w:rPr>
      <w:i/>
      <w:iCs/>
    </w:rPr>
  </w:style>
  <w:style w:type="numbering" w:customStyle="1" w:styleId="1111113">
    <w:name w:val="1 / 1.1 / 1.1.13"/>
    <w:basedOn w:val="Bezseznamu"/>
    <w:next w:val="111111"/>
    <w:uiPriority w:val="99"/>
    <w:semiHidden/>
    <w:unhideWhenUsed/>
    <w:rsid w:val="00635DDD"/>
  </w:style>
  <w:style w:type="character" w:styleId="Siln">
    <w:name w:val="Strong"/>
    <w:uiPriority w:val="22"/>
    <w:qFormat/>
    <w:rsid w:val="00635DDD"/>
    <w:rPr>
      <w:rFonts w:cs="Times New Roman"/>
      <w:b/>
      <w:szCs w:val="24"/>
    </w:rPr>
  </w:style>
  <w:style w:type="numbering" w:customStyle="1" w:styleId="Bezseznamu3">
    <w:name w:val="Bez seznamu3"/>
    <w:next w:val="Bezseznamu"/>
    <w:uiPriority w:val="99"/>
    <w:semiHidden/>
    <w:unhideWhenUsed/>
    <w:rsid w:val="007A14A9"/>
  </w:style>
  <w:style w:type="table" w:customStyle="1" w:styleId="Mkatabulky1">
    <w:name w:val="Mřížka tabulky1"/>
    <w:basedOn w:val="Normlntabulka"/>
    <w:next w:val="Mkatabulky"/>
    <w:uiPriority w:val="59"/>
    <w:rsid w:val="007A14A9"/>
    <w:pPr>
      <w:spacing w:before="0"/>
      <w:ind w:firstLine="0"/>
      <w:jc w:val="left"/>
    </w:pPr>
    <w:rPr>
      <w:rFonts w:ascii="Times New Roman" w:eastAsia="MS Mincho" w:hAnsi="Times New Roman" w:cs="Times New Roman"/>
      <w:sz w:val="20"/>
      <w:szCs w:val="20"/>
      <w:lang w:eastAsia="cs-C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5">
    <w:name w:val="1 / 1.1 / 1.1.15"/>
    <w:basedOn w:val="Bezseznamu"/>
    <w:next w:val="111111"/>
    <w:uiPriority w:val="99"/>
    <w:semiHidden/>
    <w:unhideWhenUsed/>
    <w:rsid w:val="007A14A9"/>
    <w:pPr>
      <w:numPr>
        <w:numId w:val="22"/>
      </w:numPr>
    </w:pPr>
  </w:style>
  <w:style w:type="paragraph" w:customStyle="1" w:styleId="title-article-norm">
    <w:name w:val="title-article-norm"/>
    <w:basedOn w:val="Normln"/>
    <w:rsid w:val="007A14A9"/>
    <w:pPr>
      <w:spacing w:before="100" w:beforeAutospacing="1" w:after="100" w:afterAutospacing="1"/>
      <w:ind w:firstLine="0"/>
      <w:jc w:val="left"/>
    </w:pPr>
    <w:rPr>
      <w:szCs w:val="24"/>
      <w:lang w:bidi="hi-IN"/>
    </w:rPr>
  </w:style>
  <w:style w:type="paragraph" w:customStyle="1" w:styleId="stitle-article-norm">
    <w:name w:val="stitle-article-norm"/>
    <w:basedOn w:val="Normln"/>
    <w:rsid w:val="007A14A9"/>
    <w:pPr>
      <w:spacing w:before="100" w:beforeAutospacing="1" w:after="100" w:afterAutospacing="1"/>
      <w:ind w:firstLine="0"/>
      <w:jc w:val="left"/>
    </w:pPr>
    <w:rPr>
      <w:szCs w:val="24"/>
      <w:lang w:bidi="hi-IN"/>
    </w:rPr>
  </w:style>
  <w:style w:type="character" w:customStyle="1" w:styleId="italics">
    <w:name w:val="italics"/>
    <w:basedOn w:val="Standardnpsmoodstavce"/>
    <w:rsid w:val="007A14A9"/>
  </w:style>
  <w:style w:type="paragraph" w:customStyle="1" w:styleId="nadpis">
    <w:name w:val="nadpis §"/>
    <w:basedOn w:val="Normln"/>
    <w:link w:val="nadpisChar"/>
    <w:qFormat/>
    <w:rsid w:val="00E55F2A"/>
    <w:pPr>
      <w:keepNext/>
      <w:widowControl w:val="0"/>
      <w:autoSpaceDE w:val="0"/>
      <w:autoSpaceDN w:val="0"/>
      <w:adjustRightInd w:val="0"/>
      <w:ind w:firstLine="0"/>
      <w:jc w:val="center"/>
      <w:outlineLvl w:val="5"/>
    </w:pPr>
    <w:rPr>
      <w:rFonts w:eastAsiaTheme="minorEastAsia"/>
      <w:szCs w:val="24"/>
    </w:rPr>
  </w:style>
  <w:style w:type="character" w:customStyle="1" w:styleId="nadpisChar">
    <w:name w:val="nadpis § Char"/>
    <w:basedOn w:val="Standardnpsmoodstavce"/>
    <w:link w:val="nadpis"/>
    <w:rsid w:val="00E55F2A"/>
    <w:rPr>
      <w:rFonts w:ascii="Times New Roman" w:eastAsiaTheme="minorEastAsia" w:hAnsi="Times New Roman" w:cs="Times New Roman"/>
      <w:sz w:val="24"/>
      <w:szCs w:val="24"/>
      <w:lang w:eastAsia="cs-CZ"/>
    </w:rPr>
  </w:style>
  <w:style w:type="numbering" w:customStyle="1" w:styleId="Bezseznamu4">
    <w:name w:val="Bez seznamu4"/>
    <w:next w:val="Bezseznamu"/>
    <w:uiPriority w:val="99"/>
    <w:semiHidden/>
    <w:unhideWhenUsed/>
    <w:rsid w:val="00356CAE"/>
  </w:style>
  <w:style w:type="numbering" w:customStyle="1" w:styleId="Bezseznamu5">
    <w:name w:val="Bez seznamu5"/>
    <w:next w:val="Bezseznamu"/>
    <w:uiPriority w:val="99"/>
    <w:semiHidden/>
    <w:unhideWhenUsed/>
    <w:rsid w:val="000839A4"/>
  </w:style>
  <w:style w:type="paragraph" w:customStyle="1" w:styleId="zkon-nadpis">
    <w:name w:val="zákon - nadpis"/>
    <w:basedOn w:val="Normln"/>
    <w:rsid w:val="000839A4"/>
    <w:pPr>
      <w:spacing w:before="0" w:after="120"/>
      <w:ind w:firstLine="0"/>
      <w:jc w:val="center"/>
    </w:pPr>
    <w:rPr>
      <w:b/>
      <w:noProof/>
      <w:szCs w:val="24"/>
      <w:lang w:val="en-US"/>
    </w:rPr>
  </w:style>
  <w:style w:type="paragraph" w:customStyle="1" w:styleId="oddl0">
    <w:name w:val="oddíl"/>
    <w:basedOn w:val="Normln"/>
    <w:next w:val="Normln"/>
    <w:rsid w:val="000839A4"/>
    <w:pPr>
      <w:keepNext/>
      <w:ind w:firstLine="0"/>
      <w:jc w:val="center"/>
      <w:outlineLvl w:val="3"/>
    </w:pPr>
    <w:rPr>
      <w:noProof/>
      <w:szCs w:val="24"/>
    </w:rPr>
  </w:style>
  <w:style w:type="paragraph" w:customStyle="1" w:styleId="pododdl0">
    <w:name w:val="pododdíl"/>
    <w:basedOn w:val="Normln"/>
    <w:next w:val="Normln"/>
    <w:rsid w:val="000839A4"/>
    <w:pPr>
      <w:keepNext/>
      <w:ind w:firstLine="0"/>
      <w:jc w:val="center"/>
      <w:outlineLvl w:val="4"/>
    </w:pPr>
    <w:rPr>
      <w:noProof/>
      <w:szCs w:val="24"/>
    </w:rPr>
  </w:style>
  <w:style w:type="paragraph" w:customStyle="1" w:styleId="parlament0">
    <w:name w:val="parlament"/>
    <w:basedOn w:val="Normln"/>
    <w:rsid w:val="000839A4"/>
    <w:pPr>
      <w:spacing w:before="0"/>
      <w:ind w:firstLine="0"/>
      <w:jc w:val="left"/>
    </w:pPr>
    <w:rPr>
      <w:noProof/>
      <w:szCs w:val="24"/>
    </w:rPr>
  </w:style>
  <w:style w:type="paragraph" w:customStyle="1" w:styleId="odsazentext2">
    <w:name w:val="odsazený text 2"/>
    <w:basedOn w:val="Normln"/>
    <w:rsid w:val="000839A4"/>
    <w:pPr>
      <w:spacing w:before="120"/>
      <w:ind w:left="720" w:firstLine="0"/>
    </w:pPr>
    <w:rPr>
      <w:noProof/>
      <w:szCs w:val="24"/>
    </w:rPr>
  </w:style>
  <w:style w:type="paragraph" w:customStyle="1" w:styleId="odsazentext1">
    <w:name w:val="odsazený text 1"/>
    <w:basedOn w:val="Normln"/>
    <w:rsid w:val="000839A4"/>
    <w:pPr>
      <w:spacing w:before="120"/>
      <w:ind w:left="360" w:firstLine="0"/>
    </w:pPr>
    <w:rPr>
      <w:noProof/>
      <w:szCs w:val="24"/>
    </w:rPr>
  </w:style>
  <w:style w:type="paragraph" w:customStyle="1" w:styleId="zkon0">
    <w:name w:val="zákon"/>
    <w:basedOn w:val="Normln"/>
    <w:rsid w:val="000839A4"/>
    <w:pPr>
      <w:keepNext/>
      <w:spacing w:before="0" w:after="240"/>
      <w:ind w:firstLine="0"/>
      <w:jc w:val="center"/>
    </w:pPr>
    <w:rPr>
      <w:caps/>
      <w:noProof/>
      <w:szCs w:val="24"/>
    </w:rPr>
  </w:style>
  <w:style w:type="paragraph" w:customStyle="1" w:styleId="varianta0">
    <w:name w:val="varianta"/>
    <w:basedOn w:val="Normln"/>
    <w:rsid w:val="000839A4"/>
    <w:pPr>
      <w:ind w:firstLine="0"/>
      <w:jc w:val="left"/>
    </w:pPr>
    <w:rPr>
      <w:caps/>
      <w:noProof/>
      <w:szCs w:val="24"/>
    </w:rPr>
  </w:style>
  <w:style w:type="paragraph" w:customStyle="1" w:styleId="zdvodnn">
    <w:name w:val="zdůvodnění"/>
    <w:basedOn w:val="Normln"/>
    <w:next w:val="text"/>
    <w:rsid w:val="000839A4"/>
    <w:pPr>
      <w:keepNext/>
      <w:spacing w:after="120"/>
      <w:ind w:firstLine="0"/>
      <w:jc w:val="left"/>
    </w:pPr>
    <w:rPr>
      <w:b/>
      <w:noProof/>
      <w:szCs w:val="24"/>
    </w:rPr>
  </w:style>
  <w:style w:type="paragraph" w:customStyle="1" w:styleId="text">
    <w:name w:val="text"/>
    <w:basedOn w:val="Normln"/>
    <w:rsid w:val="000839A4"/>
    <w:pPr>
      <w:spacing w:before="120"/>
      <w:ind w:firstLine="357"/>
    </w:pPr>
    <w:rPr>
      <w:noProof/>
      <w:szCs w:val="24"/>
    </w:rPr>
  </w:style>
  <w:style w:type="paragraph" w:customStyle="1" w:styleId="slovanseznam30">
    <w:name w:val="číslovaný seznam 3"/>
    <w:basedOn w:val="odsazentext3"/>
    <w:rsid w:val="000839A4"/>
    <w:pPr>
      <w:numPr>
        <w:numId w:val="78"/>
      </w:numPr>
      <w:tabs>
        <w:tab w:val="clear" w:pos="1072"/>
      </w:tabs>
      <w:ind w:left="1071" w:hanging="357"/>
    </w:pPr>
  </w:style>
  <w:style w:type="paragraph" w:customStyle="1" w:styleId="odsazentext3">
    <w:name w:val="odsazený text 3"/>
    <w:basedOn w:val="Normln"/>
    <w:link w:val="odsazentext3Char"/>
    <w:rsid w:val="000839A4"/>
    <w:pPr>
      <w:spacing w:before="120"/>
      <w:ind w:left="1066" w:firstLine="0"/>
    </w:pPr>
    <w:rPr>
      <w:noProof/>
      <w:szCs w:val="24"/>
    </w:rPr>
  </w:style>
  <w:style w:type="character" w:customStyle="1" w:styleId="odsazentext3Char">
    <w:name w:val="odsazený text 3 Char"/>
    <w:link w:val="odsazentext3"/>
    <w:rsid w:val="000839A4"/>
    <w:rPr>
      <w:rFonts w:ascii="Times New Roman" w:eastAsia="Times New Roman" w:hAnsi="Times New Roman" w:cs="Times New Roman"/>
      <w:noProof/>
      <w:sz w:val="24"/>
      <w:szCs w:val="24"/>
      <w:lang w:eastAsia="cs-CZ"/>
    </w:rPr>
  </w:style>
  <w:style w:type="paragraph" w:customStyle="1" w:styleId="slovanseznam40">
    <w:name w:val="číslovaný seznam 4"/>
    <w:basedOn w:val="odsazentext4"/>
    <w:rsid w:val="000839A4"/>
    <w:pPr>
      <w:numPr>
        <w:numId w:val="79"/>
      </w:numPr>
    </w:pPr>
  </w:style>
  <w:style w:type="paragraph" w:customStyle="1" w:styleId="neslovanseznam1">
    <w:name w:val="nečíslovaný seznam 1"/>
    <w:basedOn w:val="slovanseznam"/>
    <w:rsid w:val="000839A4"/>
    <w:pPr>
      <w:numPr>
        <w:numId w:val="74"/>
      </w:numPr>
      <w:spacing w:before="120"/>
      <w:contextualSpacing w:val="0"/>
    </w:pPr>
    <w:rPr>
      <w:noProof/>
      <w:szCs w:val="24"/>
      <w:lang w:val="en-US"/>
    </w:rPr>
  </w:style>
  <w:style w:type="paragraph" w:customStyle="1" w:styleId="neslovanseznam2">
    <w:name w:val="nečíslovaný seznam 2"/>
    <w:basedOn w:val="slovanseznam2"/>
    <w:rsid w:val="000839A4"/>
    <w:pPr>
      <w:numPr>
        <w:numId w:val="75"/>
      </w:numPr>
      <w:spacing w:before="120"/>
      <w:contextualSpacing w:val="0"/>
    </w:pPr>
    <w:rPr>
      <w:noProof/>
      <w:szCs w:val="24"/>
      <w:lang w:val="en-US"/>
    </w:rPr>
  </w:style>
  <w:style w:type="paragraph" w:customStyle="1" w:styleId="neslovanseznam3">
    <w:name w:val="nečíslovaný seznam 3"/>
    <w:basedOn w:val="slovanseznam30"/>
    <w:rsid w:val="000839A4"/>
    <w:pPr>
      <w:numPr>
        <w:numId w:val="76"/>
      </w:numPr>
      <w:tabs>
        <w:tab w:val="clear" w:pos="1074"/>
        <w:tab w:val="num" w:pos="782"/>
      </w:tabs>
      <w:ind w:left="0" w:firstLine="425"/>
    </w:pPr>
    <w:rPr>
      <w:lang w:val="en-US"/>
    </w:rPr>
  </w:style>
  <w:style w:type="paragraph" w:customStyle="1" w:styleId="neslovanseznam4">
    <w:name w:val="nečíslovaný seznam 4"/>
    <w:basedOn w:val="slovanseznam40"/>
    <w:rsid w:val="000839A4"/>
    <w:pPr>
      <w:numPr>
        <w:numId w:val="77"/>
      </w:numPr>
    </w:pPr>
    <w:rPr>
      <w:lang w:val="en-US"/>
    </w:rPr>
  </w:style>
  <w:style w:type="character" w:customStyle="1" w:styleId="poznmkapodarou">
    <w:name w:val="poznámka pod čarou"/>
    <w:rsid w:val="000839A4"/>
    <w:rPr>
      <w:vertAlign w:val="superscript"/>
    </w:rPr>
  </w:style>
  <w:style w:type="paragraph" w:customStyle="1" w:styleId="novelizanbod0">
    <w:name w:val="novelizační bod"/>
    <w:basedOn w:val="Normln"/>
    <w:rsid w:val="000839A4"/>
    <w:pPr>
      <w:tabs>
        <w:tab w:val="left" w:pos="357"/>
      </w:tabs>
      <w:spacing w:before="120"/>
      <w:ind w:firstLine="0"/>
      <w:jc w:val="left"/>
    </w:pPr>
    <w:rPr>
      <w:noProof/>
      <w:szCs w:val="24"/>
    </w:rPr>
  </w:style>
  <w:style w:type="paragraph" w:customStyle="1" w:styleId="textnovelizanhobodu">
    <w:name w:val="text novelizačního bodu"/>
    <w:basedOn w:val="Normln"/>
    <w:next w:val="novelizanbod0"/>
    <w:rsid w:val="000839A4"/>
    <w:pPr>
      <w:spacing w:before="120"/>
      <w:ind w:left="357" w:firstLine="0"/>
      <w:jc w:val="left"/>
    </w:pPr>
    <w:rPr>
      <w:noProof/>
      <w:szCs w:val="24"/>
    </w:rPr>
  </w:style>
  <w:style w:type="paragraph" w:customStyle="1" w:styleId="citacepoznmky">
    <w:name w:val="citace poznámky"/>
    <w:basedOn w:val="Normln"/>
    <w:rsid w:val="000839A4"/>
    <w:pPr>
      <w:pBdr>
        <w:top w:val="single" w:sz="4" w:space="4" w:color="auto"/>
      </w:pBdr>
      <w:tabs>
        <w:tab w:val="left" w:pos="357"/>
      </w:tabs>
      <w:spacing w:before="120"/>
      <w:ind w:firstLine="0"/>
    </w:pPr>
    <w:rPr>
      <w:noProof/>
      <w:szCs w:val="24"/>
      <w:lang w:val="en-US"/>
    </w:rPr>
  </w:style>
  <w:style w:type="character" w:customStyle="1" w:styleId="zvraznncelexu">
    <w:name w:val="zvýraznění celexu"/>
    <w:qFormat/>
    <w:rsid w:val="000839A4"/>
    <w:rPr>
      <w:u w:val="single"/>
    </w:rPr>
  </w:style>
  <w:style w:type="table" w:customStyle="1" w:styleId="tabulka">
    <w:name w:val="tabulka"/>
    <w:basedOn w:val="Mkatabulky"/>
    <w:rsid w:val="000839A4"/>
    <w:pPr>
      <w:spacing w:before="0"/>
      <w:ind w:firstLine="0"/>
      <w:jc w:val="left"/>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tcPr>
      <w:tcMar>
        <w:top w:w="57" w:type="dxa"/>
        <w:bottom w:w="57" w:type="dxa"/>
      </w:tcMar>
    </w:tcPr>
  </w:style>
  <w:style w:type="paragraph" w:customStyle="1" w:styleId="bukatabulky">
    <w:name w:val="buňka tabulky"/>
    <w:basedOn w:val="Normln"/>
    <w:qFormat/>
    <w:rsid w:val="000839A4"/>
    <w:pPr>
      <w:spacing w:before="120" w:after="120"/>
      <w:ind w:firstLine="0"/>
    </w:pPr>
    <w:rPr>
      <w:noProof/>
      <w:szCs w:val="24"/>
    </w:rPr>
  </w:style>
  <w:style w:type="table" w:customStyle="1" w:styleId="Mkatabulky2">
    <w:name w:val="Mřížka tabulky2"/>
    <w:basedOn w:val="Normlntabulka"/>
    <w:next w:val="Mkatabulky"/>
    <w:rsid w:val="000839A4"/>
    <w:pPr>
      <w:spacing w:before="0"/>
      <w:ind w:firstLine="0"/>
      <w:jc w:val="left"/>
    </w:pPr>
    <w:rPr>
      <w:rFonts w:ascii="Times New Roman" w:eastAsia="Times New Roman" w:hAnsi="Times New Roman" w:cs="Times New Roman"/>
      <w:sz w:val="20"/>
      <w:szCs w:val="20"/>
      <w:lang w:eastAsia="cs-CZ"/>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11111141">
    <w:name w:val="1 / 1.1 / 1.1.141"/>
    <w:basedOn w:val="Bezseznamu"/>
    <w:next w:val="111111"/>
    <w:uiPriority w:val="99"/>
    <w:semiHidden/>
    <w:unhideWhenUsed/>
    <w:rsid w:val="000839A4"/>
  </w:style>
  <w:style w:type="numbering" w:customStyle="1" w:styleId="1111116">
    <w:name w:val="1 / 1.1 / 1.1.16"/>
    <w:basedOn w:val="Bezseznamu"/>
    <w:next w:val="111111"/>
    <w:rsid w:val="000839A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201365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aspi://module='ASPI'&amp;link='256/2004%20Sb.%252349'&amp;ucin-k-dni='30.12.9999'" TargetMode="External"/><Relationship Id="rId299" Type="http://schemas.openxmlformats.org/officeDocument/2006/relationships/hyperlink" Target="aspi://module='EU'&amp;link='32017R1129%2523%25C8l.20'&amp;ucin-k-dni='30.12.9999'" TargetMode="External"/><Relationship Id="rId671" Type="http://schemas.openxmlformats.org/officeDocument/2006/relationships/hyperlink" Target="aspi://module='ASPI'&amp;link='240/2013%20Sb.%2523634'&amp;ucin-k-dni='30.12.9999'" TargetMode="External"/><Relationship Id="rId21" Type="http://schemas.openxmlformats.org/officeDocument/2006/relationships/hyperlink" Target="aspi://module='ASPI'&amp;link='219/2000%20Sb.%25239'&amp;ucin-k-dni='30.12.9999'" TargetMode="External"/><Relationship Id="rId63" Type="http://schemas.openxmlformats.org/officeDocument/2006/relationships/hyperlink" Target="aspi://module='ASPI'&amp;link='256/2004%20Sb.%2523124'&amp;ucin-k-dni='30.12.9999'" TargetMode="External"/><Relationship Id="rId159" Type="http://schemas.openxmlformats.org/officeDocument/2006/relationships/hyperlink" Target="aspi://module='ASPI'&amp;link='256/2004%20Sb.%252373'&amp;ucin-k-dni='30.12.9999'" TargetMode="External"/><Relationship Id="rId324" Type="http://schemas.openxmlformats.org/officeDocument/2006/relationships/hyperlink" Target="aspi://module='ASPI'&amp;link='240/2013%20Sb.%252335'&amp;ucin-k-dni='30.12.9999'" TargetMode="External"/><Relationship Id="rId366" Type="http://schemas.openxmlformats.org/officeDocument/2006/relationships/hyperlink" Target="aspi://module='ASPI'&amp;link='240/2013%20Sb.%252322'&amp;ucin-k-dni='30.12.9999'" TargetMode="External"/><Relationship Id="rId531" Type="http://schemas.openxmlformats.org/officeDocument/2006/relationships/hyperlink" Target="aspi://module='ASPI'&amp;link='240/2013%20Sb.%2523411'&amp;ucin-k-dni='30.12.9999'" TargetMode="External"/><Relationship Id="rId573" Type="http://schemas.openxmlformats.org/officeDocument/2006/relationships/hyperlink" Target="aspi://module='ASPI'&amp;link='240/2013%20Sb.%252369'&amp;ucin-k-dni='30.12.9999'" TargetMode="External"/><Relationship Id="rId629" Type="http://schemas.openxmlformats.org/officeDocument/2006/relationships/hyperlink" Target="aspi://module='ASPI'&amp;link='240/2013%20Sb.%2523393'&amp;ucin-k-dni='30.12.9999'" TargetMode="External"/><Relationship Id="rId170" Type="http://schemas.openxmlformats.org/officeDocument/2006/relationships/hyperlink" Target="aspi://module='ASPI'&amp;link='256/2004%20Sb.%2523134c'&amp;ucin-k-dni='30.12.9999'" TargetMode="External"/><Relationship Id="rId226" Type="http://schemas.openxmlformats.org/officeDocument/2006/relationships/hyperlink" Target="aspi://module='ASPI'&amp;link='256/2004%20Sb.%2523121o'&amp;ucin-k-dni='30.12.9999'" TargetMode="External"/><Relationship Id="rId433" Type="http://schemas.openxmlformats.org/officeDocument/2006/relationships/hyperlink" Target="aspi://module='ASPI'&amp;link='240/2013%20Sb.%2523166'&amp;ucin-k-dni='30.12.9999'" TargetMode="External"/><Relationship Id="rId268" Type="http://schemas.openxmlformats.org/officeDocument/2006/relationships/hyperlink" Target="aspi://module='EU'&amp;link='32016R1011%2523'&amp;ucin-k-dni='30.12.9999'" TargetMode="External"/><Relationship Id="rId475" Type="http://schemas.openxmlformats.org/officeDocument/2006/relationships/hyperlink" Target="aspi://module='ASPI'&amp;link='240/2013%20Sb.%252356'&amp;ucin-k-dni='30.12.9999'" TargetMode="External"/><Relationship Id="rId640" Type="http://schemas.openxmlformats.org/officeDocument/2006/relationships/hyperlink" Target="aspi://module='ASPI'&amp;link='240/2013%20Sb.%252399'&amp;ucin-k-dni='30.12.9999'" TargetMode="External"/><Relationship Id="rId682" Type="http://schemas.openxmlformats.org/officeDocument/2006/relationships/hyperlink" Target="aspi://module='ASPI'&amp;link='240/2013%20Sb.%2523339'&amp;ucin-k-dni='30.12.9999'" TargetMode="External"/><Relationship Id="rId32" Type="http://schemas.openxmlformats.org/officeDocument/2006/relationships/hyperlink" Target="aspi://module='ASPI'&amp;link='256/2004%20Sb.%2523'&amp;ucin-k-dni='30.12.9999'" TargetMode="External"/><Relationship Id="rId74" Type="http://schemas.openxmlformats.org/officeDocument/2006/relationships/hyperlink" Target="aspi://module='ASPI'&amp;link='256/2004%20Sb.%2523139'&amp;ucin-k-dni='30.12.9999'" TargetMode="External"/><Relationship Id="rId128" Type="http://schemas.openxmlformats.org/officeDocument/2006/relationships/hyperlink" Target="aspi://module='ASPI'&amp;link='256/2004%20Sb.%252356'&amp;ucin-k-dni='30.12.9999'" TargetMode="External"/><Relationship Id="rId335" Type="http://schemas.openxmlformats.org/officeDocument/2006/relationships/hyperlink" Target="aspi://module='ASPI'&amp;link='240/2013%20Sb.%2523245'&amp;ucin-k-dni='30.12.9999'" TargetMode="External"/><Relationship Id="rId377" Type="http://schemas.openxmlformats.org/officeDocument/2006/relationships/hyperlink" Target="aspi://module='ASPI'&amp;link='240/2013%20Sb.%2523458'&amp;ucin-k-dni='30.12.9999'" TargetMode="External"/><Relationship Id="rId500" Type="http://schemas.openxmlformats.org/officeDocument/2006/relationships/hyperlink" Target="aspi://module='ASPI'&amp;link='240/2013%20Sb.%2523231'&amp;ucin-k-dni='30.12.9999'" TargetMode="External"/><Relationship Id="rId542" Type="http://schemas.openxmlformats.org/officeDocument/2006/relationships/hyperlink" Target="aspi://module='ASPI'&amp;link='240/2013%20Sb.%2523470'&amp;ucin-k-dni='30.12.9999'" TargetMode="External"/><Relationship Id="rId584" Type="http://schemas.openxmlformats.org/officeDocument/2006/relationships/hyperlink" Target="aspi://module='ASPI'&amp;link='240/2013%20Sb.%2523510'&amp;ucin-k-dni='30.12.9999'" TargetMode="External"/><Relationship Id="rId5" Type="http://schemas.openxmlformats.org/officeDocument/2006/relationships/webSettings" Target="webSettings.xml"/><Relationship Id="rId181" Type="http://schemas.openxmlformats.org/officeDocument/2006/relationships/hyperlink" Target="aspi://module='ASPI'&amp;link='256/2004%20Sb.%252373e'&amp;ucin-k-dni='30.12.9999'" TargetMode="External"/><Relationship Id="rId237" Type="http://schemas.openxmlformats.org/officeDocument/2006/relationships/hyperlink" Target="aspi://module='EU'&amp;link='32014R0596%2523%25C8l.15'&amp;ucin-k-dni='30.12.9999'" TargetMode="External"/><Relationship Id="rId402" Type="http://schemas.openxmlformats.org/officeDocument/2006/relationships/hyperlink" Target="aspi://module='ASPI'&amp;link='240/2013%20Sb.%2523234'&amp;ucin-k-dni='30.12.9999'" TargetMode="External"/><Relationship Id="rId279" Type="http://schemas.openxmlformats.org/officeDocument/2006/relationships/hyperlink" Target="aspi://module='EU'&amp;link='32016R1011%2523'&amp;ucin-k-dni='30.12.9999'" TargetMode="External"/><Relationship Id="rId444" Type="http://schemas.openxmlformats.org/officeDocument/2006/relationships/hyperlink" Target="aspi://module='ASPI'&amp;link='240/2013%20Sb.%2523396'&amp;ucin-k-dni='30.12.9999'" TargetMode="External"/><Relationship Id="rId486" Type="http://schemas.openxmlformats.org/officeDocument/2006/relationships/hyperlink" Target="aspi://module='ASPI'&amp;link='240/2013%20Sb.%2523428'&amp;ucin-k-dni='30.12.9999'" TargetMode="External"/><Relationship Id="rId651" Type="http://schemas.openxmlformats.org/officeDocument/2006/relationships/hyperlink" Target="aspi://module='ASPI'&amp;link='240/2013%20Sb.%2523325'&amp;ucin-k-dni='30.12.9999'" TargetMode="External"/><Relationship Id="rId693" Type="http://schemas.openxmlformats.org/officeDocument/2006/relationships/hyperlink" Target="aspi://module='ASPI'&amp;link='240/2013%20Sb.%252386'&amp;ucin-k-dni='30.12.9999'" TargetMode="External"/><Relationship Id="rId707" Type="http://schemas.openxmlformats.org/officeDocument/2006/relationships/hyperlink" Target="aspi://module='ASPI'&amp;link='240/2013%20Sb.%252317'&amp;ucin-k-dni='30.12.9999'" TargetMode="External"/><Relationship Id="rId43" Type="http://schemas.openxmlformats.org/officeDocument/2006/relationships/hyperlink" Target="aspi://module='ASPI'&amp;link='256/2004%20Sb.%252310e'&amp;ucin-k-dni='30.12.9999'" TargetMode="External"/><Relationship Id="rId139" Type="http://schemas.openxmlformats.org/officeDocument/2006/relationships/hyperlink" Target="aspi://module='ASPI'&amp;link='256/2004%20Sb.%2523134b'&amp;ucin-k-dni='30.12.9999'" TargetMode="External"/><Relationship Id="rId290" Type="http://schemas.openxmlformats.org/officeDocument/2006/relationships/hyperlink" Target="aspi://module='EU'&amp;link='32017R1129%2523%25C8l.11'&amp;ucin-k-dni='30.12.9999'" TargetMode="External"/><Relationship Id="rId304" Type="http://schemas.openxmlformats.org/officeDocument/2006/relationships/hyperlink" Target="aspi://module='EU'&amp;link='32017R1129%2523%25C8l.23'&amp;ucin-k-dni='30.12.9999'" TargetMode="External"/><Relationship Id="rId346" Type="http://schemas.openxmlformats.org/officeDocument/2006/relationships/hyperlink" Target="aspi://module='EU'&amp;link='32013R0231%2523'&amp;ucin-k-dni='30.12.9999'" TargetMode="External"/><Relationship Id="rId388" Type="http://schemas.openxmlformats.org/officeDocument/2006/relationships/hyperlink" Target="aspi://module='ASPI'&amp;link='240/2013%20Sb.%2523471'&amp;ucin-k-dni='30.12.9999'" TargetMode="External"/><Relationship Id="rId511" Type="http://schemas.openxmlformats.org/officeDocument/2006/relationships/hyperlink" Target="aspi://module='ASPI'&amp;link='240/2013%20Sb.%2523240'&amp;ucin-k-dni='30.12.9999'" TargetMode="External"/><Relationship Id="rId553" Type="http://schemas.openxmlformats.org/officeDocument/2006/relationships/hyperlink" Target="aspi://module='ASPI'&amp;link='240/2013%20Sb.%252329'&amp;ucin-k-dni='30.12.9999'" TargetMode="External"/><Relationship Id="rId609" Type="http://schemas.openxmlformats.org/officeDocument/2006/relationships/hyperlink" Target="aspi://module='EU'&amp;link='32016R0438%2523'&amp;ucin-k-dni='30.12.9999'" TargetMode="External"/><Relationship Id="rId85" Type="http://schemas.openxmlformats.org/officeDocument/2006/relationships/hyperlink" Target="aspi://module='ASPI'&amp;link='256/2004%20Sb.%252324'&amp;ucin-k-dni='30.12.9999'" TargetMode="External"/><Relationship Id="rId150" Type="http://schemas.openxmlformats.org/officeDocument/2006/relationships/hyperlink" Target="aspi://module='ASPI'&amp;link='256/2004%20Sb.%252371'&amp;ucin-k-dni='30.12.9999'" TargetMode="External"/><Relationship Id="rId192" Type="http://schemas.openxmlformats.org/officeDocument/2006/relationships/hyperlink" Target="aspi://module='ASPI'&amp;link='256/2004%20Sb.%252373h'&amp;ucin-k-dni='30.12.9999'" TargetMode="External"/><Relationship Id="rId206" Type="http://schemas.openxmlformats.org/officeDocument/2006/relationships/hyperlink" Target="aspi://module='ASPI'&amp;link='256/2004%20Sb.%252373i'&amp;ucin-k-dni='30.12.9999'" TargetMode="External"/><Relationship Id="rId413" Type="http://schemas.openxmlformats.org/officeDocument/2006/relationships/hyperlink" Target="aspi://module='ASPI'&amp;link='240/2013%20Sb.%2523634'&amp;ucin-k-dni='30.12.9999'" TargetMode="External"/><Relationship Id="rId595" Type="http://schemas.openxmlformats.org/officeDocument/2006/relationships/hyperlink" Target="aspi://module='EU'&amp;link='32013R0345%2523%25C8l.7'&amp;ucin-k-dni='30.12.9999'" TargetMode="External"/><Relationship Id="rId248" Type="http://schemas.openxmlformats.org/officeDocument/2006/relationships/hyperlink" Target="aspi://module='EU'&amp;link='32014R1286%2523'&amp;ucin-k-dni='30.12.9999'" TargetMode="External"/><Relationship Id="rId455" Type="http://schemas.openxmlformats.org/officeDocument/2006/relationships/hyperlink" Target="aspi://module='ASPI'&amp;link='240/2013%20Sb.%252347'&amp;ucin-k-dni='30.12.9999'" TargetMode="External"/><Relationship Id="rId497" Type="http://schemas.openxmlformats.org/officeDocument/2006/relationships/hyperlink" Target="aspi://module='ASPI'&amp;link='240/2013%20Sb.%2523224'&amp;ucin-k-dni='30.12.9999'" TargetMode="External"/><Relationship Id="rId620" Type="http://schemas.openxmlformats.org/officeDocument/2006/relationships/hyperlink" Target="aspi://module='ASPI'&amp;link='240/2013%20Sb.%2523669'&amp;ucin-k-dni='30.12.9999'" TargetMode="External"/><Relationship Id="rId662" Type="http://schemas.openxmlformats.org/officeDocument/2006/relationships/hyperlink" Target="aspi://module='ASPI'&amp;link='240/2013%20Sb.%2523317'&amp;ucin-k-dni='30.12.9999'" TargetMode="External"/><Relationship Id="rId718" Type="http://schemas.openxmlformats.org/officeDocument/2006/relationships/theme" Target="theme/theme1.xml"/><Relationship Id="rId12" Type="http://schemas.openxmlformats.org/officeDocument/2006/relationships/hyperlink" Target="aspi://module='ASPI'&amp;link='219/2000%20Sb.%252314'&amp;ucin-k-dni='30.12.9999'" TargetMode="External"/><Relationship Id="rId108" Type="http://schemas.openxmlformats.org/officeDocument/2006/relationships/hyperlink" Target="aspi://module='ASPI'&amp;link='256/2004%20Sb.%252338'&amp;ucin-k-dni='30.12.9999'" TargetMode="External"/><Relationship Id="rId315" Type="http://schemas.openxmlformats.org/officeDocument/2006/relationships/hyperlink" Target="aspi://module='ASPI'&amp;link='90/2012%20Sb.%2523'&amp;ucin-k-dni='30.12.9999'" TargetMode="External"/><Relationship Id="rId357" Type="http://schemas.openxmlformats.org/officeDocument/2006/relationships/hyperlink" Target="aspi://module='ASPI'&amp;link='240/2013%20Sb.%2523306'&amp;ucin-k-dni='30.12.9999'" TargetMode="External"/><Relationship Id="rId522" Type="http://schemas.openxmlformats.org/officeDocument/2006/relationships/hyperlink" Target="aspi://module='ASPI'&amp;link='240/2013%20Sb.%2523290'&amp;ucin-k-dni='30.12.9999'" TargetMode="External"/><Relationship Id="rId54" Type="http://schemas.openxmlformats.org/officeDocument/2006/relationships/hyperlink" Target="aspi://module='ASPI'&amp;link='256/2004%20Sb.%252317d'&amp;ucin-k-dni='30.12.9999'" TargetMode="External"/><Relationship Id="rId96" Type="http://schemas.openxmlformats.org/officeDocument/2006/relationships/hyperlink" Target="aspi://module='ASPI'&amp;link='256/2004%20Sb.%252332k'&amp;ucin-k-dni='30.12.9999'" TargetMode="External"/><Relationship Id="rId161" Type="http://schemas.openxmlformats.org/officeDocument/2006/relationships/hyperlink" Target="aspi://module='ASPI'&amp;link='256/2004%20Sb.%252373'&amp;ucin-k-dni='30.12.9999'" TargetMode="External"/><Relationship Id="rId217" Type="http://schemas.openxmlformats.org/officeDocument/2006/relationships/hyperlink" Target="aspi://module='ASPI'&amp;link='256/2004%20Sb.%2523120'&amp;ucin-k-dni='30.12.9999'" TargetMode="External"/><Relationship Id="rId399" Type="http://schemas.openxmlformats.org/officeDocument/2006/relationships/hyperlink" Target="aspi://module='ASPI'&amp;link='240/2013%20Sb.%252335'&amp;ucin-k-dni='30.12.9999'" TargetMode="External"/><Relationship Id="rId564" Type="http://schemas.openxmlformats.org/officeDocument/2006/relationships/hyperlink" Target="aspi://module='ASPI'&amp;link='240/2013%20Sb.%252362'&amp;ucin-k-dni='30.12.9999'" TargetMode="External"/><Relationship Id="rId259" Type="http://schemas.openxmlformats.org/officeDocument/2006/relationships/hyperlink" Target="aspi://module='EU'&amp;link='32014R1286%2523'&amp;ucin-k-dni='30.12.9999'" TargetMode="External"/><Relationship Id="rId424" Type="http://schemas.openxmlformats.org/officeDocument/2006/relationships/hyperlink" Target="aspi://module='ASPI'&amp;link='240/2013%20Sb.%2523104'&amp;ucin-k-dni='30.12.9999'" TargetMode="External"/><Relationship Id="rId466" Type="http://schemas.openxmlformats.org/officeDocument/2006/relationships/hyperlink" Target="aspi://module='ASPI'&amp;link='240/2013%20Sb.%2523457'&amp;ucin-k-dni='30.12.9999'" TargetMode="External"/><Relationship Id="rId631" Type="http://schemas.openxmlformats.org/officeDocument/2006/relationships/hyperlink" Target="aspi://module='ASPI'&amp;link='240/2013%20Sb.%2523393'&amp;ucin-k-dni='30.12.9999'" TargetMode="External"/><Relationship Id="rId673" Type="http://schemas.openxmlformats.org/officeDocument/2006/relationships/hyperlink" Target="aspi://module='ASPI'&amp;link='240/2013%20Sb.%2523634'&amp;ucin-k-dni='30.12.9999'" TargetMode="External"/><Relationship Id="rId23" Type="http://schemas.openxmlformats.org/officeDocument/2006/relationships/hyperlink" Target="aspi://module='ASPI'&amp;link='320/2001%20Sb.%25236'&amp;ucin-k-dni='30.12.9999'" TargetMode="External"/><Relationship Id="rId119" Type="http://schemas.openxmlformats.org/officeDocument/2006/relationships/hyperlink" Target="aspi://module='ASPI'&amp;link='256/2004%20Sb.%252350a'&amp;ucin-k-dni='30.12.9999'" TargetMode="External"/><Relationship Id="rId270" Type="http://schemas.openxmlformats.org/officeDocument/2006/relationships/hyperlink" Target="aspi://module='EU'&amp;link='32016R1011%2523'&amp;ucin-k-dni='30.12.9999'" TargetMode="External"/><Relationship Id="rId326" Type="http://schemas.openxmlformats.org/officeDocument/2006/relationships/hyperlink" Target="aspi://module='ASPI'&amp;link='240/2013%20Sb.%252334'&amp;ucin-k-dni='30.12.9999'" TargetMode="External"/><Relationship Id="rId533" Type="http://schemas.openxmlformats.org/officeDocument/2006/relationships/hyperlink" Target="aspi://module='ASPI'&amp;link='240/2013%20Sb.%2523420'&amp;ucin-k-dni='30.12.9999'" TargetMode="External"/><Relationship Id="rId65" Type="http://schemas.openxmlformats.org/officeDocument/2006/relationships/hyperlink" Target="aspi://module='ASPI'&amp;link='256/2004%20Sb.%252353'&amp;ucin-k-dni='30.12.9999'" TargetMode="External"/><Relationship Id="rId130" Type="http://schemas.openxmlformats.org/officeDocument/2006/relationships/hyperlink" Target="aspi://module='ASPI'&amp;link='256/2004%20Sb.%252361'&amp;ucin-k-dni='30.12.9999'" TargetMode="External"/><Relationship Id="rId368" Type="http://schemas.openxmlformats.org/officeDocument/2006/relationships/hyperlink" Target="aspi://module='ASPI'&amp;link='240/2013%20Sb.%252311'&amp;ucin-k-dni='30.12.9999'" TargetMode="External"/><Relationship Id="rId575" Type="http://schemas.openxmlformats.org/officeDocument/2006/relationships/hyperlink" Target="aspi://module='ASPI'&amp;link='240/2013%20Sb.%252371'&amp;ucin-k-dni='30.12.9999'" TargetMode="External"/><Relationship Id="rId172" Type="http://schemas.openxmlformats.org/officeDocument/2006/relationships/hyperlink" Target="aspi://module='ASPI'&amp;link='256/2004%20Sb.%2523134b'&amp;ucin-k-dni='30.12.9999'" TargetMode="External"/><Relationship Id="rId228" Type="http://schemas.openxmlformats.org/officeDocument/2006/relationships/hyperlink" Target="aspi://module='ASPI'&amp;link='256/2004%20Sb.%2523121u'&amp;ucin-k-dni='30.12.9999'" TargetMode="External"/><Relationship Id="rId435" Type="http://schemas.openxmlformats.org/officeDocument/2006/relationships/hyperlink" Target="aspi://module='ASPI'&amp;link='240/2013%20Sb.%2523218'&amp;ucin-k-dni='30.12.9999'" TargetMode="External"/><Relationship Id="rId477" Type="http://schemas.openxmlformats.org/officeDocument/2006/relationships/hyperlink" Target="aspi://module='ASPI'&amp;link='240/2013%20Sb.%2523293'&amp;ucin-k-dni='30.12.9999'" TargetMode="External"/><Relationship Id="rId600" Type="http://schemas.openxmlformats.org/officeDocument/2006/relationships/hyperlink" Target="aspi://module='EU'&amp;link='32013R0346%2523%25C8l.7'&amp;ucin-k-dni='30.12.9999'" TargetMode="External"/><Relationship Id="rId642" Type="http://schemas.openxmlformats.org/officeDocument/2006/relationships/hyperlink" Target="aspi://module='ASPI'&amp;link='240/2013%20Sb.%2523311'&amp;ucin-k-dni='30.12.9999'" TargetMode="External"/><Relationship Id="rId684" Type="http://schemas.openxmlformats.org/officeDocument/2006/relationships/hyperlink" Target="aspi://module='ASPI'&amp;link='240/2013%20Sb.%252314'&amp;ucin-k-dni='30.12.9999'" TargetMode="External"/><Relationship Id="rId281" Type="http://schemas.openxmlformats.org/officeDocument/2006/relationships/hyperlink" Target="aspi://module='EU'&amp;link='32017R2402%2523'&amp;ucin-k-dni='30.12.9999'" TargetMode="External"/><Relationship Id="rId337" Type="http://schemas.openxmlformats.org/officeDocument/2006/relationships/hyperlink" Target="aspi://module='ASPI'&amp;link='240/2013%20Sb.%2523139'&amp;ucin-k-dni='30.12.9999'" TargetMode="External"/><Relationship Id="rId502" Type="http://schemas.openxmlformats.org/officeDocument/2006/relationships/hyperlink" Target="aspi://module='ASPI'&amp;link='240/2013%20Sb.%2523233'&amp;ucin-k-dni='30.12.9999'" TargetMode="External"/><Relationship Id="rId34" Type="http://schemas.openxmlformats.org/officeDocument/2006/relationships/hyperlink" Target="aspi://module='ASPI'&amp;link='256/2004%20Sb.%2523'&amp;ucin-k-dni='30.12.9999'" TargetMode="External"/><Relationship Id="rId76" Type="http://schemas.openxmlformats.org/officeDocument/2006/relationships/hyperlink" Target="aspi://module='ASPI'&amp;link='256/2004%20Sb.%252324'&amp;ucin-k-dni='30.12.9999'" TargetMode="External"/><Relationship Id="rId141" Type="http://schemas.openxmlformats.org/officeDocument/2006/relationships/hyperlink" Target="aspi://module='ASPI'&amp;link='256/2004%20Sb.%2523134e'&amp;ucin-k-dni='30.12.9999'" TargetMode="External"/><Relationship Id="rId379" Type="http://schemas.openxmlformats.org/officeDocument/2006/relationships/hyperlink" Target="aspi://module='ASPI'&amp;link='240/2013%20Sb.%2523460'&amp;ucin-k-dni='30.12.9999'" TargetMode="External"/><Relationship Id="rId544" Type="http://schemas.openxmlformats.org/officeDocument/2006/relationships/hyperlink" Target="aspi://module='ASPI'&amp;link='240/2013%20Sb.%2523428'&amp;ucin-k-dni='30.12.9999'" TargetMode="External"/><Relationship Id="rId586" Type="http://schemas.openxmlformats.org/officeDocument/2006/relationships/hyperlink" Target="aspi://module='EU'&amp;link='32010R0583%2523%25C8l3-%25C8l.38'&amp;ucin-k-dni='30.12.9999'" TargetMode="External"/><Relationship Id="rId7" Type="http://schemas.openxmlformats.org/officeDocument/2006/relationships/endnotes" Target="endnotes.xml"/><Relationship Id="rId183" Type="http://schemas.openxmlformats.org/officeDocument/2006/relationships/hyperlink" Target="aspi://module='ASPI'&amp;link='256/2004%20Sb.%252373f'&amp;ucin-k-dni='30.12.9999'" TargetMode="External"/><Relationship Id="rId239" Type="http://schemas.openxmlformats.org/officeDocument/2006/relationships/hyperlink" Target="aspi://module='EU'&amp;link='32014R0596%2523%25C8l.16'&amp;ucin-k-dni='30.12.9999'" TargetMode="External"/><Relationship Id="rId390" Type="http://schemas.openxmlformats.org/officeDocument/2006/relationships/hyperlink" Target="aspi://module='ASPI'&amp;link='240/2013%20Sb.%2523475'&amp;ucin-k-dni='30.12.9999'" TargetMode="External"/><Relationship Id="rId404" Type="http://schemas.openxmlformats.org/officeDocument/2006/relationships/hyperlink" Target="aspi://module='ASPI'&amp;link='240/2013%20Sb.%252334'&amp;ucin-k-dni='30.12.9999'" TargetMode="External"/><Relationship Id="rId446" Type="http://schemas.openxmlformats.org/officeDocument/2006/relationships/hyperlink" Target="aspi://module='ASPI'&amp;link='240/2013%20Sb.%2523412'&amp;ucin-k-dni='30.12.9999'" TargetMode="External"/><Relationship Id="rId611" Type="http://schemas.openxmlformats.org/officeDocument/2006/relationships/hyperlink" Target="aspi://module='EU'&amp;link='32017R1131%2523%25C8l4-%25C8l.6'&amp;ucin-k-dni='30.12.9999'" TargetMode="External"/><Relationship Id="rId653" Type="http://schemas.openxmlformats.org/officeDocument/2006/relationships/hyperlink" Target="aspi://module='ASPI'&amp;link='240/2013%20Sb.%2523316'&amp;ucin-k-dni='30.12.9999'" TargetMode="External"/><Relationship Id="rId250" Type="http://schemas.openxmlformats.org/officeDocument/2006/relationships/hyperlink" Target="aspi://module='EU'&amp;link='32014R1286%2523'&amp;ucin-k-dni='30.12.9999'" TargetMode="External"/><Relationship Id="rId292" Type="http://schemas.openxmlformats.org/officeDocument/2006/relationships/hyperlink" Target="aspi://module='EU'&amp;link='32017R1129%2523%25C8l.14'&amp;ucin-k-dni='30.12.9999'" TargetMode="External"/><Relationship Id="rId306" Type="http://schemas.openxmlformats.org/officeDocument/2006/relationships/hyperlink" Target="aspi://module='EU'&amp;link='32017R1129%2523'&amp;ucin-k-dni='30.12.9999'" TargetMode="External"/><Relationship Id="rId488" Type="http://schemas.openxmlformats.org/officeDocument/2006/relationships/hyperlink" Target="aspi://module='ASPI'&amp;link='240/2013%20Sb.%2523197'&amp;ucin-k-dni='30.12.9999'" TargetMode="External"/><Relationship Id="rId695" Type="http://schemas.openxmlformats.org/officeDocument/2006/relationships/hyperlink" Target="aspi://module='ASPI'&amp;link='240/2013%20Sb.%2523194'&amp;ucin-k-dni='30.12.9999'" TargetMode="External"/><Relationship Id="rId709" Type="http://schemas.openxmlformats.org/officeDocument/2006/relationships/hyperlink" Target="aspi://module='ASPI'&amp;link='240/2013%20Sb.%2523463'&amp;ucin-k-dni='30.12.9999'" TargetMode="External"/><Relationship Id="rId45" Type="http://schemas.openxmlformats.org/officeDocument/2006/relationships/hyperlink" Target="aspi://module='ASPI'&amp;link='256/2004%20Sb.%252314g'&amp;ucin-k-dni='30.12.9999'" TargetMode="External"/><Relationship Id="rId87" Type="http://schemas.openxmlformats.org/officeDocument/2006/relationships/hyperlink" Target="aspi://module='ASPI'&amp;link='256/2004%20Sb.%252316'&amp;ucin-k-dni='30.12.9999'" TargetMode="External"/><Relationship Id="rId110" Type="http://schemas.openxmlformats.org/officeDocument/2006/relationships/hyperlink" Target="aspi://module='ASPI'&amp;link='256/2004%20Sb.%252310a'&amp;ucin-k-dni='30.12.9999'" TargetMode="External"/><Relationship Id="rId348" Type="http://schemas.openxmlformats.org/officeDocument/2006/relationships/hyperlink" Target="aspi://module='ASPI'&amp;link='240/2013%20Sb.%2523291'&amp;ucin-k-dni='30.12.9999'" TargetMode="External"/><Relationship Id="rId513" Type="http://schemas.openxmlformats.org/officeDocument/2006/relationships/hyperlink" Target="aspi://module='ASPI'&amp;link='240/2013%20Sb.%2523241'&amp;ucin-k-dni='30.12.9999'" TargetMode="External"/><Relationship Id="rId555" Type="http://schemas.openxmlformats.org/officeDocument/2006/relationships/hyperlink" Target="aspi://module='ASPI'&amp;link='240/2013%20Sb.%252331'&amp;ucin-k-dni='30.12.9999'" TargetMode="External"/><Relationship Id="rId597" Type="http://schemas.openxmlformats.org/officeDocument/2006/relationships/hyperlink" Target="aspi://module='EU'&amp;link='32013R0345%2523'&amp;ucin-k-dni='30.12.9999'" TargetMode="External"/><Relationship Id="rId152" Type="http://schemas.openxmlformats.org/officeDocument/2006/relationships/hyperlink" Target="aspi://module='ASPI'&amp;link='256/2004%20Sb.%252372'&amp;ucin-k-dni='30.12.9999'" TargetMode="External"/><Relationship Id="rId194" Type="http://schemas.openxmlformats.org/officeDocument/2006/relationships/hyperlink" Target="aspi://module='ASPI'&amp;link='256/2004%20Sb.%252373h'&amp;ucin-k-dni='30.12.9999'" TargetMode="External"/><Relationship Id="rId208" Type="http://schemas.openxmlformats.org/officeDocument/2006/relationships/hyperlink" Target="aspi://module='ASPI'&amp;link='256/2004%20Sb.%2523134c'&amp;ucin-k-dni='30.12.9999'" TargetMode="External"/><Relationship Id="rId415" Type="http://schemas.openxmlformats.org/officeDocument/2006/relationships/hyperlink" Target="aspi://module='ASPI'&amp;link='240/2013%20Sb.%2523207'&amp;ucin-k-dni='30.12.9999'" TargetMode="External"/><Relationship Id="rId457" Type="http://schemas.openxmlformats.org/officeDocument/2006/relationships/hyperlink" Target="aspi://module='ASPI'&amp;link='240/2013%20Sb.%252347a'&amp;ucin-k-dni='30.12.9999'" TargetMode="External"/><Relationship Id="rId622" Type="http://schemas.openxmlformats.org/officeDocument/2006/relationships/hyperlink" Target="aspi://module='ASPI'&amp;link='240/2013%20Sb.%2523670'&amp;ucin-k-dni='30.12.9999'" TargetMode="External"/><Relationship Id="rId261" Type="http://schemas.openxmlformats.org/officeDocument/2006/relationships/hyperlink" Target="aspi://module='EU'&amp;link='32015R2365%2523'&amp;ucin-k-dni='30.12.9999'" TargetMode="External"/><Relationship Id="rId499" Type="http://schemas.openxmlformats.org/officeDocument/2006/relationships/hyperlink" Target="aspi://module='ASPI'&amp;link='240/2013%20Sb.%2523226'&amp;ucin-k-dni='30.12.9999'" TargetMode="External"/><Relationship Id="rId664" Type="http://schemas.openxmlformats.org/officeDocument/2006/relationships/hyperlink" Target="aspi://module='ASPI'&amp;link='240/2013%20Sb.%2523323'&amp;ucin-k-dni='30.12.9999'" TargetMode="External"/><Relationship Id="rId14" Type="http://schemas.openxmlformats.org/officeDocument/2006/relationships/hyperlink" Target="aspi://module='ASPI'&amp;link='219/2000%20Sb.%252319b'&amp;ucin-k-dni='30.12.9999'" TargetMode="External"/><Relationship Id="rId56" Type="http://schemas.openxmlformats.org/officeDocument/2006/relationships/hyperlink" Target="aspi://module='ASPI'&amp;link='256/2004%20Sb.%252317f'&amp;ucin-k-dni='30.12.9999'" TargetMode="External"/><Relationship Id="rId317" Type="http://schemas.openxmlformats.org/officeDocument/2006/relationships/hyperlink" Target="aspi://module='ASPI'&amp;link='240/2013%20Sb.%2523234'&amp;ucin-k-dni='30.12.9999'" TargetMode="External"/><Relationship Id="rId359" Type="http://schemas.openxmlformats.org/officeDocument/2006/relationships/hyperlink" Target="aspi://module='ASPI'&amp;link='240/2013%20Sb.%252318'&amp;ucin-k-dni='30.12.9999'" TargetMode="External"/><Relationship Id="rId524" Type="http://schemas.openxmlformats.org/officeDocument/2006/relationships/hyperlink" Target="aspi://module='ASPI'&amp;link='240/2013%20Sb.%2523307'&amp;ucin-k-dni='30.12.9999'" TargetMode="External"/><Relationship Id="rId566" Type="http://schemas.openxmlformats.org/officeDocument/2006/relationships/hyperlink" Target="aspi://module='ASPI'&amp;link='240/2013%20Sb.%252364'&amp;ucin-k-dni='30.12.9999'" TargetMode="External"/><Relationship Id="rId98" Type="http://schemas.openxmlformats.org/officeDocument/2006/relationships/hyperlink" Target="aspi://module='ASPI'&amp;link='256/2004%20Sb.%2523133'&amp;ucin-k-dni='30.12.9999'" TargetMode="External"/><Relationship Id="rId121" Type="http://schemas.openxmlformats.org/officeDocument/2006/relationships/hyperlink" Target="aspi://module='ASPI'&amp;link='256/2004%20Sb.%252350c'&amp;ucin-k-dni='30.12.9999'" TargetMode="External"/><Relationship Id="rId163" Type="http://schemas.openxmlformats.org/officeDocument/2006/relationships/hyperlink" Target="aspi://module='ASPI'&amp;link='256/2004%20Sb.%252373'&amp;ucin-k-dni='30.12.9999'" TargetMode="External"/><Relationship Id="rId219" Type="http://schemas.openxmlformats.org/officeDocument/2006/relationships/hyperlink" Target="aspi://module='ASPI'&amp;link='256/2004%20Sb.%2523120b'&amp;ucin-k-dni='30.12.9999'" TargetMode="External"/><Relationship Id="rId370" Type="http://schemas.openxmlformats.org/officeDocument/2006/relationships/hyperlink" Target="aspi://module='ASPI'&amp;link='240/2013%20Sb.%252333'&amp;ucin-k-dni='30.12.9999'" TargetMode="External"/><Relationship Id="rId426" Type="http://schemas.openxmlformats.org/officeDocument/2006/relationships/hyperlink" Target="aspi://module='ASPI'&amp;link='240/2013%20Sb.%2523143'&amp;ucin-k-dni='30.12.9999'" TargetMode="External"/><Relationship Id="rId633" Type="http://schemas.openxmlformats.org/officeDocument/2006/relationships/hyperlink" Target="aspi://module='ASPI'&amp;link='240/2013%20Sb.%2523409'&amp;ucin-k-dni='30.12.9999'" TargetMode="External"/><Relationship Id="rId230" Type="http://schemas.openxmlformats.org/officeDocument/2006/relationships/hyperlink" Target="aspi://module='ASPI'&amp;link='256/2004%20Sb.%2523127d'&amp;ucin-k-dni='30.12.9999'" TargetMode="External"/><Relationship Id="rId468" Type="http://schemas.openxmlformats.org/officeDocument/2006/relationships/hyperlink" Target="aspi://module='ASPI'&amp;link='240/2013%20Sb.%2523460'&amp;ucin-k-dni='30.12.9999'" TargetMode="External"/><Relationship Id="rId675" Type="http://schemas.openxmlformats.org/officeDocument/2006/relationships/hyperlink" Target="aspi://module='ASPI'&amp;link='240/2013%20Sb.%252326'&amp;ucin-k-dni='30.12.9999'" TargetMode="External"/><Relationship Id="rId25" Type="http://schemas.openxmlformats.org/officeDocument/2006/relationships/hyperlink" Target="aspi://module='ASPI'&amp;link='320/2001%20Sb.%25236'&amp;ucin-k-dni='30.12.9999'" TargetMode="External"/><Relationship Id="rId67" Type="http://schemas.openxmlformats.org/officeDocument/2006/relationships/hyperlink" Target="aspi://module='ASPI'&amp;link='256/2004%20Sb.%2523100'&amp;ucin-k-dni='30.12.9999'" TargetMode="External"/><Relationship Id="rId272" Type="http://schemas.openxmlformats.org/officeDocument/2006/relationships/hyperlink" Target="aspi://module='EU'&amp;link='32016R1011%2523'&amp;ucin-k-dni='30.12.9999'" TargetMode="External"/><Relationship Id="rId328" Type="http://schemas.openxmlformats.org/officeDocument/2006/relationships/hyperlink" Target="aspi://module='ASPI'&amp;link='240/2013%20Sb.%2523234'&amp;ucin-k-dni='30.12.9999'" TargetMode="External"/><Relationship Id="rId535" Type="http://schemas.openxmlformats.org/officeDocument/2006/relationships/hyperlink" Target="aspi://module='ASPI'&amp;link='240/2013%20Sb.%2523435'&amp;ucin-k-dni='30.12.9999'" TargetMode="External"/><Relationship Id="rId577" Type="http://schemas.openxmlformats.org/officeDocument/2006/relationships/hyperlink" Target="aspi://module='ASPI'&amp;link='240/2013%20Sb.%252372'&amp;ucin-k-dni='30.12.9999'" TargetMode="External"/><Relationship Id="rId700" Type="http://schemas.openxmlformats.org/officeDocument/2006/relationships/hyperlink" Target="aspi://module='ASPI'&amp;link='240/2013%20Sb.%2523476'&amp;ucin-k-dni='30.12.9999'" TargetMode="External"/><Relationship Id="rId132" Type="http://schemas.openxmlformats.org/officeDocument/2006/relationships/hyperlink" Target="aspi://module='ASPI'&amp;link='256/2004%20Sb.%252363'&amp;ucin-k-dni='30.12.9999'" TargetMode="External"/><Relationship Id="rId174" Type="http://schemas.openxmlformats.org/officeDocument/2006/relationships/hyperlink" Target="aspi://module='ASPI'&amp;link='256/2004%20Sb.%2523134e'&amp;ucin-k-dni='30.12.9999'" TargetMode="External"/><Relationship Id="rId381" Type="http://schemas.openxmlformats.org/officeDocument/2006/relationships/hyperlink" Target="aspi://module='ASPI'&amp;link='240/2013%20Sb.%2523462'&amp;ucin-k-dni='30.12.9999'" TargetMode="External"/><Relationship Id="rId602" Type="http://schemas.openxmlformats.org/officeDocument/2006/relationships/hyperlink" Target="aspi://module='EU'&amp;link='32013R0346%2523%25C8l.13'&amp;ucin-k-dni='30.12.9999'" TargetMode="External"/><Relationship Id="rId241" Type="http://schemas.openxmlformats.org/officeDocument/2006/relationships/hyperlink" Target="aspi://module='EU'&amp;link='32014R0596%2523'&amp;ucin-k-dni='30.12.9999'" TargetMode="External"/><Relationship Id="rId437" Type="http://schemas.openxmlformats.org/officeDocument/2006/relationships/hyperlink" Target="aspi://module='ASPI'&amp;link='240/2013%20Sb.%2523248'&amp;ucin-k-dni='30.12.9999'" TargetMode="External"/><Relationship Id="rId479" Type="http://schemas.openxmlformats.org/officeDocument/2006/relationships/hyperlink" Target="aspi://module='ASPI'&amp;link='240/2013%20Sb.%2523109'&amp;ucin-k-dni='30.12.9999'" TargetMode="External"/><Relationship Id="rId644" Type="http://schemas.openxmlformats.org/officeDocument/2006/relationships/hyperlink" Target="aspi://module='ASPI'&amp;link='240/2013%20Sb.%2523316'&amp;ucin-k-dni='30.12.9999'" TargetMode="External"/><Relationship Id="rId686" Type="http://schemas.openxmlformats.org/officeDocument/2006/relationships/hyperlink" Target="aspi://module='ASPI'&amp;link='240/2013%20Sb.%2523342'&amp;ucin-k-dni='30.12.9999'" TargetMode="External"/><Relationship Id="rId36" Type="http://schemas.openxmlformats.org/officeDocument/2006/relationships/hyperlink" Target="aspi://module='ASPI'&amp;link='256/2004%20Sb.%2523'&amp;ucin-k-dni='30.12.9999'" TargetMode="External"/><Relationship Id="rId283" Type="http://schemas.openxmlformats.org/officeDocument/2006/relationships/hyperlink" Target="aspi://module='EU'&amp;link='32017R1129%2523%25C8l.3'&amp;ucin-k-dni='30.12.9999'" TargetMode="External"/><Relationship Id="rId339" Type="http://schemas.openxmlformats.org/officeDocument/2006/relationships/hyperlink" Target="aspi://module='ASPI'&amp;link='240/2013%20Sb.%252334'&amp;ucin-k-dni='30.12.9999'" TargetMode="External"/><Relationship Id="rId490" Type="http://schemas.openxmlformats.org/officeDocument/2006/relationships/hyperlink" Target="aspi://module='ASPI'&amp;link='240/2013%20Sb.%2523199'&amp;ucin-k-dni='30.12.9999'" TargetMode="External"/><Relationship Id="rId504" Type="http://schemas.openxmlformats.org/officeDocument/2006/relationships/hyperlink" Target="aspi://module='ASPI'&amp;link='240/2013%20Sb.%2523234'&amp;ucin-k-dni='30.12.9999'" TargetMode="External"/><Relationship Id="rId546" Type="http://schemas.openxmlformats.org/officeDocument/2006/relationships/hyperlink" Target="aspi://module='ASPI'&amp;link='240/2013%20Sb.%25238'&amp;ucin-k-dni='30.12.9999'" TargetMode="External"/><Relationship Id="rId711" Type="http://schemas.openxmlformats.org/officeDocument/2006/relationships/hyperlink" Target="aspi://module='ASPI'&amp;link='240/2013%20Sb.%2523637'&amp;ucin-k-dni='30.12.9999'" TargetMode="External"/><Relationship Id="rId78" Type="http://schemas.openxmlformats.org/officeDocument/2006/relationships/hyperlink" Target="aspi://module='ASPI'&amp;link='256/2004%20Sb.%252316'&amp;ucin-k-dni='30.12.9999'" TargetMode="External"/><Relationship Id="rId101" Type="http://schemas.openxmlformats.org/officeDocument/2006/relationships/hyperlink" Target="aspi://module='EU'&amp;link='32013R0575%2523'&amp;ucin-k-dni='30.12.9999'" TargetMode="External"/><Relationship Id="rId143" Type="http://schemas.openxmlformats.org/officeDocument/2006/relationships/hyperlink" Target="aspi://module='ASPI'&amp;link='256/2004%20Sb.%252369'&amp;ucin-k-dni='30.12.9999'" TargetMode="External"/><Relationship Id="rId185" Type="http://schemas.openxmlformats.org/officeDocument/2006/relationships/hyperlink" Target="aspi://module='ASPI'&amp;link='256/2004%20Sb.%252373f'&amp;ucin-k-dni='30.12.9999'" TargetMode="External"/><Relationship Id="rId350" Type="http://schemas.openxmlformats.org/officeDocument/2006/relationships/hyperlink" Target="aspi://module='ASPI'&amp;link='256/2004%20Sb.%2523'&amp;ucin-k-dni='30.12.9999'" TargetMode="External"/><Relationship Id="rId406" Type="http://schemas.openxmlformats.org/officeDocument/2006/relationships/hyperlink" Target="aspi://module='ASPI'&amp;link='240/2013%20Sb.%252335'&amp;ucin-k-dni='30.12.9999'" TargetMode="External"/><Relationship Id="rId588" Type="http://schemas.openxmlformats.org/officeDocument/2006/relationships/hyperlink" Target="aspi://module='ASPI'&amp;link='240/2013%20Sb.%2523'&amp;ucin-k-dni='30.12.9999'" TargetMode="External"/><Relationship Id="rId9" Type="http://schemas.openxmlformats.org/officeDocument/2006/relationships/hyperlink" Target="aspi://module='ASPI'&amp;link='526/1990%20Sb.%25232-13'&amp;ucin-k-dni='30.12.9999'" TargetMode="External"/><Relationship Id="rId210" Type="http://schemas.openxmlformats.org/officeDocument/2006/relationships/hyperlink" Target="aspi://module='ASPI'&amp;link='256/2004%20Sb.%2523134b'&amp;ucin-k-dni='30.12.9999'" TargetMode="External"/><Relationship Id="rId392" Type="http://schemas.openxmlformats.org/officeDocument/2006/relationships/hyperlink" Target="aspi://module='ASPI'&amp;link='240/2013%20Sb.%2523291'&amp;ucin-k-dni='30.12.9999'" TargetMode="External"/><Relationship Id="rId448" Type="http://schemas.openxmlformats.org/officeDocument/2006/relationships/hyperlink" Target="aspi://module='ASPI'&amp;link='240/2013%20Sb.%2523433'&amp;ucin-k-dni='30.12.9999'" TargetMode="External"/><Relationship Id="rId613" Type="http://schemas.openxmlformats.org/officeDocument/2006/relationships/hyperlink" Target="aspi://module='EU'&amp;link='32017R1131%2523%25C8l23-%25C8l.36'&amp;ucin-k-dni='30.12.9999'" TargetMode="External"/><Relationship Id="rId655" Type="http://schemas.openxmlformats.org/officeDocument/2006/relationships/hyperlink" Target="aspi://module='ASPI'&amp;link='240/2013%20Sb.%2523241'&amp;ucin-k-dni='30.12.9999'" TargetMode="External"/><Relationship Id="rId697" Type="http://schemas.openxmlformats.org/officeDocument/2006/relationships/hyperlink" Target="aspi://module='ASPI'&amp;link='240/2013%20Sb.%2523269'&amp;ucin-k-dni='30.12.9999'" TargetMode="External"/><Relationship Id="rId252" Type="http://schemas.openxmlformats.org/officeDocument/2006/relationships/hyperlink" Target="aspi://module='EU'&amp;link='32014R1286%2523'&amp;ucin-k-dni='30.12.9999'" TargetMode="External"/><Relationship Id="rId294" Type="http://schemas.openxmlformats.org/officeDocument/2006/relationships/hyperlink" Target="aspi://module='EU'&amp;link='32017R1129%2523%25C8l.15'&amp;ucin-k-dni='30.12.9999'" TargetMode="External"/><Relationship Id="rId308" Type="http://schemas.openxmlformats.org/officeDocument/2006/relationships/hyperlink" Target="https://www.zakonyprolidi.cz/cs/2009-93" TargetMode="External"/><Relationship Id="rId515" Type="http://schemas.openxmlformats.org/officeDocument/2006/relationships/hyperlink" Target="aspi://module='ASPI'&amp;link='240/2013%20Sb.%2523244'&amp;ucin-k-dni='30.12.9999'" TargetMode="External"/><Relationship Id="rId47" Type="http://schemas.openxmlformats.org/officeDocument/2006/relationships/hyperlink" Target="aspi://module='ASPI'&amp;link='256/2004%20Sb.%252332'&amp;ucin-k-dni='30.12.9999'" TargetMode="External"/><Relationship Id="rId89" Type="http://schemas.openxmlformats.org/officeDocument/2006/relationships/hyperlink" Target="aspi://module='ASPI'&amp;link='256/2004%20Sb.%252328b'&amp;ucin-k-dni='30.12.9999'" TargetMode="External"/><Relationship Id="rId112" Type="http://schemas.openxmlformats.org/officeDocument/2006/relationships/hyperlink" Target="aspi://module='ASPI'&amp;link='256/2004%20Sb.%252341'&amp;ucin-k-dni='30.12.9999'" TargetMode="External"/><Relationship Id="rId154" Type="http://schemas.openxmlformats.org/officeDocument/2006/relationships/hyperlink" Target="aspi://module='ASPI'&amp;link='256/2004%20Sb.%252350a'&amp;ucin-k-dni='30.12.9999'" TargetMode="External"/><Relationship Id="rId361" Type="http://schemas.openxmlformats.org/officeDocument/2006/relationships/hyperlink" Target="aspi://module='ASPI'&amp;link='240/2013%20Sb.%252319'&amp;ucin-k-dni='30.12.9999'" TargetMode="External"/><Relationship Id="rId557" Type="http://schemas.openxmlformats.org/officeDocument/2006/relationships/hyperlink" Target="aspi://module='ASPI'&amp;link='240/2013%20Sb.%252332'&amp;ucin-k-dni='30.12.9999'" TargetMode="External"/><Relationship Id="rId599" Type="http://schemas.openxmlformats.org/officeDocument/2006/relationships/hyperlink" Target="aspi://module='EU'&amp;link='32013R0346%2523%25C8l.6'&amp;ucin-k-dni='30.12.9999'" TargetMode="External"/><Relationship Id="rId196" Type="http://schemas.openxmlformats.org/officeDocument/2006/relationships/hyperlink" Target="aspi://module='ASPI'&amp;link='256/2004%20Sb.%252373h'&amp;ucin-k-dni='30.12.9999'" TargetMode="External"/><Relationship Id="rId417" Type="http://schemas.openxmlformats.org/officeDocument/2006/relationships/hyperlink" Target="aspi://module='ASPI'&amp;link='240/2013%20Sb.%2523215'&amp;ucin-k-dni='30.12.9999'" TargetMode="External"/><Relationship Id="rId459" Type="http://schemas.openxmlformats.org/officeDocument/2006/relationships/hyperlink" Target="aspi://module='ASPI'&amp;link='240/2013%20Sb.%252348'&amp;ucin-k-dni='30.12.9999'" TargetMode="External"/><Relationship Id="rId624" Type="http://schemas.openxmlformats.org/officeDocument/2006/relationships/hyperlink" Target="aspi://module='ASPI'&amp;link='240/2013%20Sb.%2523672'&amp;ucin-k-dni='30.12.9999'" TargetMode="External"/><Relationship Id="rId666" Type="http://schemas.openxmlformats.org/officeDocument/2006/relationships/hyperlink" Target="aspi://module='ASPI'&amp;link='240/2013%20Sb.%2523325a'&amp;ucin-k-dni='30.12.9999'" TargetMode="External"/><Relationship Id="rId16" Type="http://schemas.openxmlformats.org/officeDocument/2006/relationships/hyperlink" Target="aspi://module='ASPI'&amp;link='219/2000%20Sb.%252311'&amp;ucin-k-dni='30.12.9999'" TargetMode="External"/><Relationship Id="rId221" Type="http://schemas.openxmlformats.org/officeDocument/2006/relationships/hyperlink" Target="aspi://module='ASPI'&amp;link='256/2004%20Sb.%2523121'&amp;ucin-k-dni='30.12.9999'" TargetMode="External"/><Relationship Id="rId263" Type="http://schemas.openxmlformats.org/officeDocument/2006/relationships/hyperlink" Target="aspi://module='EU'&amp;link='32015R2365%2523'&amp;ucin-k-dni='30.12.9999'" TargetMode="External"/><Relationship Id="rId319" Type="http://schemas.openxmlformats.org/officeDocument/2006/relationships/hyperlink" Target="aspi://module='ASPI'&amp;link='240/2013%20Sb.%252334'&amp;ucin-k-dni='30.12.9999'" TargetMode="External"/><Relationship Id="rId470" Type="http://schemas.openxmlformats.org/officeDocument/2006/relationships/hyperlink" Target="aspi://module='ASPI'&amp;link='240/2013%20Sb.%2523467'&amp;ucin-k-dni='30.12.9999'" TargetMode="External"/><Relationship Id="rId526" Type="http://schemas.openxmlformats.org/officeDocument/2006/relationships/hyperlink" Target="aspi://module='ASPI'&amp;link='240/2013%20Sb.%2523388'&amp;ucin-k-dni='30.12.9999'" TargetMode="External"/><Relationship Id="rId58" Type="http://schemas.openxmlformats.org/officeDocument/2006/relationships/hyperlink" Target="aspi://module='ASPI'&amp;link='256/2004%20Sb.%252317h'&amp;ucin-k-dni='30.12.9999'" TargetMode="External"/><Relationship Id="rId123" Type="http://schemas.openxmlformats.org/officeDocument/2006/relationships/hyperlink" Target="aspi://module='ASPI'&amp;link='256/2004%20Sb.%252350e'&amp;ucin-k-dni='30.12.9999'" TargetMode="External"/><Relationship Id="rId330" Type="http://schemas.openxmlformats.org/officeDocument/2006/relationships/hyperlink" Target="aspi://module='ASPI'&amp;link='240/2013%20Sb.%252334'&amp;ucin-k-dni='30.12.9999'" TargetMode="External"/><Relationship Id="rId568" Type="http://schemas.openxmlformats.org/officeDocument/2006/relationships/hyperlink" Target="aspi://module='ASPI'&amp;link='240/2013%20Sb.%252365'&amp;ucin-k-dni='30.12.9999'" TargetMode="External"/><Relationship Id="rId165" Type="http://schemas.openxmlformats.org/officeDocument/2006/relationships/hyperlink" Target="aspi://module='ASPI'&amp;link='256/2004%20Sb.%252373'&amp;ucin-k-dni='30.12.9999'" TargetMode="External"/><Relationship Id="rId372" Type="http://schemas.openxmlformats.org/officeDocument/2006/relationships/hyperlink" Target="aspi://module='ASPI'&amp;link='240/2013%20Sb.%252376'&amp;ucin-k-dni='30.12.9999'" TargetMode="External"/><Relationship Id="rId428" Type="http://schemas.openxmlformats.org/officeDocument/2006/relationships/hyperlink" Target="aspi://module='ASPI'&amp;link='240/2013%20Sb.%2523134'&amp;ucin-k-dni='30.12.9999'" TargetMode="External"/><Relationship Id="rId635" Type="http://schemas.openxmlformats.org/officeDocument/2006/relationships/hyperlink" Target="aspi://module='ASPI'&amp;link='240/2013%20Sb.%252390'&amp;ucin-k-dni='30.12.9999'" TargetMode="External"/><Relationship Id="rId677" Type="http://schemas.openxmlformats.org/officeDocument/2006/relationships/hyperlink" Target="aspi://module='ASPI'&amp;link='240/2013%20Sb.%252326'&amp;ucin-k-dni='30.12.9999'" TargetMode="External"/><Relationship Id="rId232" Type="http://schemas.openxmlformats.org/officeDocument/2006/relationships/hyperlink" Target="aspi://module='ASPI'&amp;link='256/2004%20Sb.%2523127d'&amp;ucin-k-dni='30.12.9999'" TargetMode="External"/><Relationship Id="rId274" Type="http://schemas.openxmlformats.org/officeDocument/2006/relationships/hyperlink" Target="aspi://module='EU'&amp;link='32016R1011%2523'&amp;ucin-k-dni='30.12.9999'" TargetMode="External"/><Relationship Id="rId481" Type="http://schemas.openxmlformats.org/officeDocument/2006/relationships/hyperlink" Target="aspi://module='ASPI'&amp;link='240/2013%20Sb.%2523111'&amp;ucin-k-dni='30.12.9999'" TargetMode="External"/><Relationship Id="rId702" Type="http://schemas.openxmlformats.org/officeDocument/2006/relationships/hyperlink" Target="aspi://module='ASPI'&amp;link='240/2013%20Sb.%2523538'&amp;ucin-k-dni='30.12.9999'" TargetMode="External"/><Relationship Id="rId27" Type="http://schemas.openxmlformats.org/officeDocument/2006/relationships/hyperlink" Target="aspi://module='ASPI'&amp;link='256/2004%20Sb.%25233'&amp;ucin-k-dni='30.12.9999'" TargetMode="External"/><Relationship Id="rId69" Type="http://schemas.openxmlformats.org/officeDocument/2006/relationships/hyperlink" Target="aspi://module='ASPI'&amp;link='256/2004%20Sb.%2523116'&amp;ucin-k-dni='30.12.9999'" TargetMode="External"/><Relationship Id="rId134" Type="http://schemas.openxmlformats.org/officeDocument/2006/relationships/hyperlink" Target="aspi://module='ASPI'&amp;link='256/2004%20Sb.%252373j'&amp;ucin-k-dni='30.12.9999'" TargetMode="External"/><Relationship Id="rId537" Type="http://schemas.openxmlformats.org/officeDocument/2006/relationships/hyperlink" Target="aspi://module='ASPI'&amp;link='240/2013%20Sb.%2523450'&amp;ucin-k-dni='30.12.9999'" TargetMode="External"/><Relationship Id="rId579" Type="http://schemas.openxmlformats.org/officeDocument/2006/relationships/hyperlink" Target="aspi://module='ASPI'&amp;link='240/2013%20Sb.%252373'&amp;ucin-k-dni='30.12.9999'" TargetMode="External"/><Relationship Id="rId80" Type="http://schemas.openxmlformats.org/officeDocument/2006/relationships/hyperlink" Target="aspi://module='ASPI'&amp;link='256/2004%20Sb.%252328'&amp;ucin-k-dni='30.12.9999'" TargetMode="External"/><Relationship Id="rId176" Type="http://schemas.openxmlformats.org/officeDocument/2006/relationships/hyperlink" Target="aspi://module='ASPI'&amp;link='256/2004%20Sb.%252373d'&amp;ucin-k-dni='30.12.9999'" TargetMode="External"/><Relationship Id="rId341" Type="http://schemas.openxmlformats.org/officeDocument/2006/relationships/hyperlink" Target="aspi://module='ASPI'&amp;link='240/2013%20Sb.%252336'&amp;ucin-k-dni='30.12.9999'" TargetMode="External"/><Relationship Id="rId383" Type="http://schemas.openxmlformats.org/officeDocument/2006/relationships/hyperlink" Target="aspi://module='ASPI'&amp;link='240/2013%20Sb.%2523464'&amp;ucin-k-dni='30.12.9999'" TargetMode="External"/><Relationship Id="rId439" Type="http://schemas.openxmlformats.org/officeDocument/2006/relationships/hyperlink" Target="aspi://module='ASPI'&amp;link='240/2013%20Sb.%252325'&amp;ucin-k-dni='30.12.9999'" TargetMode="External"/><Relationship Id="rId590" Type="http://schemas.openxmlformats.org/officeDocument/2006/relationships/hyperlink" Target="aspi://module='EU'&amp;link='32013R0231%2523%25C8l2-%25C8l.111'&amp;ucin-k-dni='30.12.9999'" TargetMode="External"/><Relationship Id="rId604" Type="http://schemas.openxmlformats.org/officeDocument/2006/relationships/hyperlink" Target="aspi://module='EU'&amp;link='32015R0760%2523'&amp;ucin-k-dni='30.12.9999'" TargetMode="External"/><Relationship Id="rId646" Type="http://schemas.openxmlformats.org/officeDocument/2006/relationships/hyperlink" Target="aspi://module='ASPI'&amp;link='240/2013%20Sb.%2523318'&amp;ucin-k-dni='30.12.9999'" TargetMode="External"/><Relationship Id="rId201" Type="http://schemas.openxmlformats.org/officeDocument/2006/relationships/hyperlink" Target="aspi://module='ASPI'&amp;link='256/2004%20Sb.%252350e'&amp;ucin-k-dni='30.12.9999'" TargetMode="External"/><Relationship Id="rId243" Type="http://schemas.openxmlformats.org/officeDocument/2006/relationships/hyperlink" Target="aspi://module='EU'&amp;link='32014R0596%2523%25C8l.19'&amp;ucin-k-dni='30.12.9999'" TargetMode="External"/><Relationship Id="rId285" Type="http://schemas.openxmlformats.org/officeDocument/2006/relationships/hyperlink" Target="aspi://module='EU'&amp;link='32017R1129%2523%25C8l.6'&amp;ucin-k-dni='30.12.9999'" TargetMode="External"/><Relationship Id="rId450" Type="http://schemas.openxmlformats.org/officeDocument/2006/relationships/hyperlink" Target="aspi://module='ASPI'&amp;link='240/2013%20Sb.%2523666-675'&amp;ucin-k-dni='30.12.9999'" TargetMode="External"/><Relationship Id="rId506" Type="http://schemas.openxmlformats.org/officeDocument/2006/relationships/hyperlink" Target="aspi://module='ASPI'&amp;link='240/2013%20Sb.%2523228'&amp;ucin-k-dni='30.12.9999'" TargetMode="External"/><Relationship Id="rId688" Type="http://schemas.openxmlformats.org/officeDocument/2006/relationships/hyperlink" Target="aspi://module='ASPI'&amp;link='240/2013%20Sb.%2523344'&amp;ucin-k-dni='30.12.9999'" TargetMode="External"/><Relationship Id="rId38" Type="http://schemas.openxmlformats.org/officeDocument/2006/relationships/hyperlink" Target="aspi://module='ASPI'&amp;link='256/2004%20Sb.%2523118'&amp;ucin-k-dni='30.12.9999'" TargetMode="External"/><Relationship Id="rId103" Type="http://schemas.openxmlformats.org/officeDocument/2006/relationships/hyperlink" Target="aspi://module='ASPI'&amp;link='256/2004%20Sb.%252330c'&amp;ucin-k-dni='30.12.9999'" TargetMode="External"/><Relationship Id="rId310" Type="http://schemas.openxmlformats.org/officeDocument/2006/relationships/hyperlink" Target="https://www.zakonyprolidi.cz/cs/2009-93" TargetMode="External"/><Relationship Id="rId492" Type="http://schemas.openxmlformats.org/officeDocument/2006/relationships/hyperlink" Target="aspi://module='ASPI'&amp;link='240/2013%20Sb.%2523465'&amp;ucin-k-dni='30.12.9999'" TargetMode="External"/><Relationship Id="rId548" Type="http://schemas.openxmlformats.org/officeDocument/2006/relationships/hyperlink" Target="aspi://module='ASPI'&amp;link='240/2013%20Sb.%2523481'&amp;ucin-k-dni='30.12.9999'" TargetMode="External"/><Relationship Id="rId713" Type="http://schemas.openxmlformats.org/officeDocument/2006/relationships/hyperlink" Target="aspi://module='ASPI'&amp;link='240/2013%20Sb.%2523639'&amp;ucin-k-dni='30.12.9999'" TargetMode="External"/><Relationship Id="rId91" Type="http://schemas.openxmlformats.org/officeDocument/2006/relationships/hyperlink" Target="aspi://module='ASPI'&amp;link='256/2004%20Sb.%252328'&amp;ucin-k-dni='30.12.9999'" TargetMode="External"/><Relationship Id="rId145" Type="http://schemas.openxmlformats.org/officeDocument/2006/relationships/hyperlink" Target="aspi://module='ASPI'&amp;link='256/2004%20Sb.%252369'&amp;ucin-k-dni='30.12.9999'" TargetMode="External"/><Relationship Id="rId187" Type="http://schemas.openxmlformats.org/officeDocument/2006/relationships/hyperlink" Target="aspi://module='ASPI'&amp;link='256/2004%20Sb.%252373f'&amp;ucin-k-dni='30.12.9999'" TargetMode="External"/><Relationship Id="rId352" Type="http://schemas.openxmlformats.org/officeDocument/2006/relationships/hyperlink" Target="aspi://module='ASPI'&amp;link='240/2013%20Sb.%2523291'&amp;ucin-k-dni='30.12.9999'" TargetMode="External"/><Relationship Id="rId394" Type="http://schemas.openxmlformats.org/officeDocument/2006/relationships/hyperlink" Target="aspi://module='ASPI'&amp;link='240/2013%20Sb.%2523'&amp;ucin-k-dni='30.12.9999'" TargetMode="External"/><Relationship Id="rId408" Type="http://schemas.openxmlformats.org/officeDocument/2006/relationships/hyperlink" Target="aspi://module='ASPI'&amp;link='240/2013%20Sb.%252337'&amp;ucin-k-dni='30.12.9999'" TargetMode="External"/><Relationship Id="rId615" Type="http://schemas.openxmlformats.org/officeDocument/2006/relationships/hyperlink" Target="aspi://module='ASPI'&amp;link='240/2013%20Sb.%2523666-675'&amp;ucin-k-dni='30.12.9999'" TargetMode="External"/><Relationship Id="rId212" Type="http://schemas.openxmlformats.org/officeDocument/2006/relationships/hyperlink" Target="aspi://module='ASPI'&amp;link='256/2004%20Sb.%2523134e'&amp;ucin-k-dni='30.12.9999'" TargetMode="External"/><Relationship Id="rId254" Type="http://schemas.openxmlformats.org/officeDocument/2006/relationships/hyperlink" Target="aspi://module='EU'&amp;link='32014R1286%2523'&amp;ucin-k-dni='30.12.9999'" TargetMode="External"/><Relationship Id="rId657" Type="http://schemas.openxmlformats.org/officeDocument/2006/relationships/hyperlink" Target="aspi://module='ASPI'&amp;link='240/2013%20Sb.%2523301'&amp;ucin-k-dni='30.12.9999'" TargetMode="External"/><Relationship Id="rId699" Type="http://schemas.openxmlformats.org/officeDocument/2006/relationships/hyperlink" Target="aspi://module='ASPI'&amp;link='240/2013%20Sb.%2523515'&amp;ucin-k-dni='30.12.9999'" TargetMode="External"/><Relationship Id="rId49" Type="http://schemas.openxmlformats.org/officeDocument/2006/relationships/hyperlink" Target="aspi://module='ASPI'&amp;link='256/2004%20Sb.%25234b'&amp;ucin-k-dni='30.12.9999'" TargetMode="External"/><Relationship Id="rId114" Type="http://schemas.openxmlformats.org/officeDocument/2006/relationships/hyperlink" Target="aspi://module='ASPI'&amp;link='256/2004%20Sb.%252343'&amp;ucin-k-dni='30.12.9999'" TargetMode="External"/><Relationship Id="rId296" Type="http://schemas.openxmlformats.org/officeDocument/2006/relationships/hyperlink" Target="aspi://module='EU'&amp;link='32017R1129%2523%25C8l.17'&amp;ucin-k-dni='30.12.9999'" TargetMode="External"/><Relationship Id="rId461" Type="http://schemas.openxmlformats.org/officeDocument/2006/relationships/hyperlink" Target="aspi://module='ASPI'&amp;link='240/2013%20Sb.%252350-52'&amp;ucin-k-dni='30.12.9999'" TargetMode="External"/><Relationship Id="rId517" Type="http://schemas.openxmlformats.org/officeDocument/2006/relationships/hyperlink" Target="aspi://module='ASPI'&amp;link='240/2013%20Sb.%2523249'&amp;ucin-k-dni='30.12.9999'" TargetMode="External"/><Relationship Id="rId559" Type="http://schemas.openxmlformats.org/officeDocument/2006/relationships/hyperlink" Target="aspi://module='ASPI'&amp;link='240/2013%20Sb.%252332'&amp;ucin-k-dni='30.12.9999'" TargetMode="External"/><Relationship Id="rId60" Type="http://schemas.openxmlformats.org/officeDocument/2006/relationships/hyperlink" Target="aspi://module='ASPI'&amp;link='256/2004%20Sb.%252373m'&amp;ucin-k-dni='30.12.9999'" TargetMode="External"/><Relationship Id="rId156" Type="http://schemas.openxmlformats.org/officeDocument/2006/relationships/hyperlink" Target="aspi://module='ASPI'&amp;link='256/2004%20Sb.%252350b'&amp;ucin-k-dni='30.12.9999'" TargetMode="External"/><Relationship Id="rId198" Type="http://schemas.openxmlformats.org/officeDocument/2006/relationships/hyperlink" Target="aspi://module='ASPI'&amp;link='256/2004%20Sb.%252373h'&amp;ucin-k-dni='30.12.9999'" TargetMode="External"/><Relationship Id="rId321" Type="http://schemas.openxmlformats.org/officeDocument/2006/relationships/hyperlink" Target="aspi://module='ASPI'&amp;link='240/2013%20Sb.%252335'&amp;ucin-k-dni='30.12.9999'" TargetMode="External"/><Relationship Id="rId363" Type="http://schemas.openxmlformats.org/officeDocument/2006/relationships/hyperlink" Target="aspi://module='ASPI'&amp;link='240/2013%20Sb.%252320'&amp;ucin-k-dni='30.12.9999'" TargetMode="External"/><Relationship Id="rId419" Type="http://schemas.openxmlformats.org/officeDocument/2006/relationships/hyperlink" Target="aspi://module='ASPI'&amp;link='240/2013%20Sb.%2523220'&amp;ucin-k-dni='30.12.9999'" TargetMode="External"/><Relationship Id="rId570" Type="http://schemas.openxmlformats.org/officeDocument/2006/relationships/hyperlink" Target="aspi://module='ASPI'&amp;link='240/2013%20Sb.%252366'&amp;ucin-k-dni='30.12.9999'" TargetMode="External"/><Relationship Id="rId626" Type="http://schemas.openxmlformats.org/officeDocument/2006/relationships/hyperlink" Target="aspi://module='ASPI'&amp;link='240/2013%20Sb.%252377'&amp;ucin-k-dni='30.12.9999'" TargetMode="External"/><Relationship Id="rId223" Type="http://schemas.openxmlformats.org/officeDocument/2006/relationships/hyperlink" Target="aspi://module='ASPI'&amp;link='256/2004%20Sb.%2523118'&amp;ucin-k-dni='30.12.9999'" TargetMode="External"/><Relationship Id="rId430" Type="http://schemas.openxmlformats.org/officeDocument/2006/relationships/hyperlink" Target="aspi://module='ASPI'&amp;link='240/2013%20Sb.%2523428'&amp;ucin-k-dni='30.12.9999'" TargetMode="External"/><Relationship Id="rId668" Type="http://schemas.openxmlformats.org/officeDocument/2006/relationships/hyperlink" Target="aspi://module='ASPI'&amp;link='240/2013%20Sb.%2523305'&amp;ucin-k-dni='30.12.9999'" TargetMode="External"/><Relationship Id="rId18" Type="http://schemas.openxmlformats.org/officeDocument/2006/relationships/hyperlink" Target="aspi://module='ASPI'&amp;link='219/2000%20Sb.%252311'&amp;ucin-k-dni='30.12.9999'" TargetMode="External"/><Relationship Id="rId265" Type="http://schemas.openxmlformats.org/officeDocument/2006/relationships/hyperlink" Target="aspi://module='EU'&amp;link='32015R2365%2523'&amp;ucin-k-dni='30.12.9999'" TargetMode="External"/><Relationship Id="rId472" Type="http://schemas.openxmlformats.org/officeDocument/2006/relationships/hyperlink" Target="aspi://module='ASPI'&amp;link='240/2013%20Sb.%2523475'&amp;ucin-k-dni='30.12.9999'" TargetMode="External"/><Relationship Id="rId528" Type="http://schemas.openxmlformats.org/officeDocument/2006/relationships/hyperlink" Target="aspi://module='ASPI'&amp;link='240/2013%20Sb.%2523391'&amp;ucin-k-dni='30.12.9999'" TargetMode="External"/><Relationship Id="rId125" Type="http://schemas.openxmlformats.org/officeDocument/2006/relationships/hyperlink" Target="aspi://module='ASPI'&amp;link='256/2004%20Sb.%252350g'&amp;ucin-k-dni='30.12.9999'" TargetMode="External"/><Relationship Id="rId167" Type="http://schemas.openxmlformats.org/officeDocument/2006/relationships/hyperlink" Target="aspi://module='ASPI'&amp;link='256/2004%20Sb.%252373a'&amp;ucin-k-dni='30.12.9999'" TargetMode="External"/><Relationship Id="rId332" Type="http://schemas.openxmlformats.org/officeDocument/2006/relationships/hyperlink" Target="aspi://module='ASPI'&amp;link='240/2013%20Sb.%252335'&amp;ucin-k-dni='30.12.9999'" TargetMode="External"/><Relationship Id="rId374" Type="http://schemas.openxmlformats.org/officeDocument/2006/relationships/hyperlink" Target="aspi://module='ASPI'&amp;link='240/2013%20Sb.%252388'&amp;ucin-k-dni='30.12.9999'" TargetMode="External"/><Relationship Id="rId581" Type="http://schemas.openxmlformats.org/officeDocument/2006/relationships/hyperlink" Target="aspi://module='ASPI'&amp;link='240/2013%20Sb.%252371'&amp;ucin-k-dni='30.12.9999'" TargetMode="External"/><Relationship Id="rId71" Type="http://schemas.openxmlformats.org/officeDocument/2006/relationships/hyperlink" Target="aspi://module='ASPI'&amp;link='256/2004%20Sb.%2523122'&amp;ucin-k-dni='30.12.9999'" TargetMode="External"/><Relationship Id="rId234" Type="http://schemas.openxmlformats.org/officeDocument/2006/relationships/hyperlink" Target="aspi://module='EU'&amp;link='32013R0575%2523%25C8l.316'&amp;ucin-k-dni='30.12.9999'" TargetMode="External"/><Relationship Id="rId637" Type="http://schemas.openxmlformats.org/officeDocument/2006/relationships/hyperlink" Target="aspi://module='ASPI'&amp;link='240/2013%20Sb.%252391'&amp;ucin-k-dni='30.12.9999'" TargetMode="External"/><Relationship Id="rId679" Type="http://schemas.openxmlformats.org/officeDocument/2006/relationships/hyperlink" Target="aspi://module='ASPI'&amp;link='240/2013%20Sb.%252314'&amp;ucin-k-dni='30.12.9999'" TargetMode="External"/><Relationship Id="rId2" Type="http://schemas.openxmlformats.org/officeDocument/2006/relationships/numbering" Target="numbering.xml"/><Relationship Id="rId29" Type="http://schemas.openxmlformats.org/officeDocument/2006/relationships/hyperlink" Target="aspi://module='ASPI'&amp;link='256/2004%20Sb.%252339'&amp;ucin-k-dni='30.12.9999'" TargetMode="External"/><Relationship Id="rId276" Type="http://schemas.openxmlformats.org/officeDocument/2006/relationships/hyperlink" Target="aspi://module='EU'&amp;link='32016R1011%2523'&amp;ucin-k-dni='30.12.9999'" TargetMode="External"/><Relationship Id="rId441" Type="http://schemas.openxmlformats.org/officeDocument/2006/relationships/hyperlink" Target="aspi://module='ASPI'&amp;link='240/2013%20Sb.%2523284'&amp;ucin-k-dni='30.12.9999'" TargetMode="External"/><Relationship Id="rId483" Type="http://schemas.openxmlformats.org/officeDocument/2006/relationships/hyperlink" Target="aspi://module='ASPI'&amp;link='240/2013%20Sb.%2523137'&amp;ucin-k-dni='30.12.9999'" TargetMode="External"/><Relationship Id="rId539" Type="http://schemas.openxmlformats.org/officeDocument/2006/relationships/hyperlink" Target="aspi://module='ASPI'&amp;link='240/2013%20Sb.%2523450'&amp;ucin-k-dni='30.12.9999'" TargetMode="External"/><Relationship Id="rId690" Type="http://schemas.openxmlformats.org/officeDocument/2006/relationships/hyperlink" Target="aspi://module='ASPI'&amp;link='240/2013%20Sb.%2523666'&amp;ucin-k-dni='30.12.9999'" TargetMode="External"/><Relationship Id="rId704" Type="http://schemas.openxmlformats.org/officeDocument/2006/relationships/hyperlink" Target="aspi://module='ASPI'&amp;link='240/2013%20Sb.%2523565'&amp;ucin-k-dni='30.12.9999'" TargetMode="External"/><Relationship Id="rId40" Type="http://schemas.openxmlformats.org/officeDocument/2006/relationships/hyperlink" Target="aspi://module='ASPI'&amp;link='256/2004%20Sb.%2523120b'&amp;ucin-k-dni='30.12.9999'" TargetMode="External"/><Relationship Id="rId136" Type="http://schemas.openxmlformats.org/officeDocument/2006/relationships/hyperlink" Target="aspi://module='ASPI'&amp;link='256/2004%20Sb.%2523127'&amp;ucin-k-dni='30.12.9999'" TargetMode="External"/><Relationship Id="rId178" Type="http://schemas.openxmlformats.org/officeDocument/2006/relationships/hyperlink" Target="aspi://module='ASPI'&amp;link='256/2004%20Sb.%25232'&amp;ucin-k-dni='30.12.9999'" TargetMode="External"/><Relationship Id="rId301" Type="http://schemas.openxmlformats.org/officeDocument/2006/relationships/hyperlink" Target="aspi://module='EU'&amp;link='32017R1129%2523%25C8l21.7-%25C8l.21'&amp;ucin-k-dni='30.12.9999'" TargetMode="External"/><Relationship Id="rId343" Type="http://schemas.openxmlformats.org/officeDocument/2006/relationships/hyperlink" Target="aspi://module='ASPI'&amp;link='240/2013%20Sb.%2523266'&amp;ucin-k-dni='30.12.9999'" TargetMode="External"/><Relationship Id="rId550" Type="http://schemas.openxmlformats.org/officeDocument/2006/relationships/hyperlink" Target="aspi://module='ASPI'&amp;link='240/2013%20Sb.%252329'&amp;ucin-k-dni='30.12.9999'" TargetMode="External"/><Relationship Id="rId82" Type="http://schemas.openxmlformats.org/officeDocument/2006/relationships/hyperlink" Target="aspi://module='ASPI'&amp;link='256/2004%20Sb.%252316'&amp;ucin-k-dni='30.12.9999'" TargetMode="External"/><Relationship Id="rId203" Type="http://schemas.openxmlformats.org/officeDocument/2006/relationships/hyperlink" Target="aspi://module='ASPI'&amp;link='256/2004%20Sb.%252350f'&amp;ucin-k-dni='30.12.9999'" TargetMode="External"/><Relationship Id="rId385" Type="http://schemas.openxmlformats.org/officeDocument/2006/relationships/hyperlink" Target="aspi://module='ASPI'&amp;link='240/2013%20Sb.%2523467'&amp;ucin-k-dni='30.12.9999'" TargetMode="External"/><Relationship Id="rId592" Type="http://schemas.openxmlformats.org/officeDocument/2006/relationships/hyperlink" Target="aspi://module='EU'&amp;link='32013R0345%2523%25C8l.5'&amp;ucin-k-dni='30.12.9999'" TargetMode="External"/><Relationship Id="rId606" Type="http://schemas.openxmlformats.org/officeDocument/2006/relationships/hyperlink" Target="aspi://module='EU'&amp;link='32015R2365%2523'&amp;ucin-k-dni='30.12.9999'" TargetMode="External"/><Relationship Id="rId648" Type="http://schemas.openxmlformats.org/officeDocument/2006/relationships/hyperlink" Target="aspi://module='ASPI'&amp;link='240/2013%20Sb.%2523320'&amp;ucin-k-dni='30.12.9999'" TargetMode="External"/><Relationship Id="rId245" Type="http://schemas.openxmlformats.org/officeDocument/2006/relationships/hyperlink" Target="aspi://module='EU'&amp;link='32014R0596%2523'&amp;ucin-k-dni='30.12.9999'" TargetMode="External"/><Relationship Id="rId287" Type="http://schemas.openxmlformats.org/officeDocument/2006/relationships/hyperlink" Target="aspi://module='EU'&amp;link='32017R1129%2523%25C8l.8'&amp;ucin-k-dni='30.12.9999'" TargetMode="External"/><Relationship Id="rId410" Type="http://schemas.openxmlformats.org/officeDocument/2006/relationships/hyperlink" Target="aspi://module='ASPI'&amp;link='240/2013%20Sb.%252361'&amp;ucin-k-dni='30.12.9999'" TargetMode="External"/><Relationship Id="rId452" Type="http://schemas.openxmlformats.org/officeDocument/2006/relationships/hyperlink" Target="aspi://module='ASPI'&amp;link='240/2013%20Sb.%252345'&amp;ucin-k-dni='30.12.9999'" TargetMode="External"/><Relationship Id="rId494" Type="http://schemas.openxmlformats.org/officeDocument/2006/relationships/hyperlink" Target="aspi://module='ASPI'&amp;link='240/2013%20Sb.%2523222'&amp;ucin-k-dni='30.12.9999'" TargetMode="External"/><Relationship Id="rId508" Type="http://schemas.openxmlformats.org/officeDocument/2006/relationships/hyperlink" Target="aspi://module='ASPI'&amp;link='240/2013%20Sb.%2523237'&amp;ucin-k-dni='30.12.9999'" TargetMode="External"/><Relationship Id="rId715" Type="http://schemas.openxmlformats.org/officeDocument/2006/relationships/hyperlink" Target="aspi://module='ASPI'&amp;link='240/2013%20Sb.%2523249'&amp;ucin-k-dni='30.12.9999'" TargetMode="External"/><Relationship Id="rId105" Type="http://schemas.openxmlformats.org/officeDocument/2006/relationships/hyperlink" Target="aspi://module='ASPI'&amp;link='256/2004%20Sb.%252332k'&amp;ucin-k-dni='30.12.9999'" TargetMode="External"/><Relationship Id="rId147" Type="http://schemas.openxmlformats.org/officeDocument/2006/relationships/hyperlink" Target="aspi://module='ASPI'&amp;link='256/2004%20Sb.%252370'&amp;ucin-k-dni='30.12.9999'" TargetMode="External"/><Relationship Id="rId312" Type="http://schemas.openxmlformats.org/officeDocument/2006/relationships/hyperlink" Target="https://www.zakonyprolidi.cz/cs/2009-93" TargetMode="External"/><Relationship Id="rId354" Type="http://schemas.openxmlformats.org/officeDocument/2006/relationships/hyperlink" Target="aspi://module='EU'&amp;link='32013R0345%2523'&amp;ucin-k-dni='30.12.9999'" TargetMode="External"/><Relationship Id="rId51" Type="http://schemas.openxmlformats.org/officeDocument/2006/relationships/hyperlink" Target="aspi://module='ASPI'&amp;link='256/2004%20Sb.%25234b'&amp;ucin-k-dni='30.12.9999'" TargetMode="External"/><Relationship Id="rId72" Type="http://schemas.openxmlformats.org/officeDocument/2006/relationships/hyperlink" Target="aspi://module='ASPI'&amp;link='256/2004%20Sb.%2523127'&amp;ucin-k-dni='30.12.9999'" TargetMode="External"/><Relationship Id="rId93" Type="http://schemas.openxmlformats.org/officeDocument/2006/relationships/hyperlink" Target="aspi://module='ASPI'&amp;link='256/2004%20Sb.%252316'&amp;ucin-k-dni='30.12.9999'" TargetMode="External"/><Relationship Id="rId189" Type="http://schemas.openxmlformats.org/officeDocument/2006/relationships/hyperlink" Target="aspi://module='ASPI'&amp;link='256/2004%20Sb.%252373g'&amp;ucin-k-dni='30.12.9999'" TargetMode="External"/><Relationship Id="rId375" Type="http://schemas.openxmlformats.org/officeDocument/2006/relationships/hyperlink" Target="aspi://module='ASPI'&amp;link='240/2013%20Sb.%252388'&amp;ucin-k-dni='30.12.9999'" TargetMode="External"/><Relationship Id="rId396" Type="http://schemas.openxmlformats.org/officeDocument/2006/relationships/hyperlink" Target="aspi://module='EU'&amp;link='32013R0345%2523'&amp;ucin-k-dni='30.12.9999'" TargetMode="External"/><Relationship Id="rId561" Type="http://schemas.openxmlformats.org/officeDocument/2006/relationships/hyperlink" Target="aspi://module='ASPI'&amp;link='240/2013%20Sb.%2523481'&amp;ucin-k-dni='30.12.9999'" TargetMode="External"/><Relationship Id="rId582" Type="http://schemas.openxmlformats.org/officeDocument/2006/relationships/hyperlink" Target="aspi://module='ASPI'&amp;link='240/2013%20Sb.%252377'&amp;ucin-k-dni='30.12.9999'" TargetMode="External"/><Relationship Id="rId617" Type="http://schemas.openxmlformats.org/officeDocument/2006/relationships/hyperlink" Target="aspi://module='ASPI'&amp;link='240/2013%20Sb.%2523669'&amp;ucin-k-dni='30.12.9999'" TargetMode="External"/><Relationship Id="rId638" Type="http://schemas.openxmlformats.org/officeDocument/2006/relationships/hyperlink" Target="aspi://module='ASPI'&amp;link='240/2013%20Sb.%252398'&amp;ucin-k-dni='30.12.9999'" TargetMode="External"/><Relationship Id="rId659" Type="http://schemas.openxmlformats.org/officeDocument/2006/relationships/hyperlink" Target="aspi://module='ASPI'&amp;link='240/2013%20Sb.%2523308'&amp;ucin-k-dni='30.12.9999'" TargetMode="External"/><Relationship Id="rId3" Type="http://schemas.openxmlformats.org/officeDocument/2006/relationships/styles" Target="styles.xml"/><Relationship Id="rId214" Type="http://schemas.openxmlformats.org/officeDocument/2006/relationships/hyperlink" Target="aspi://module='ASPI'&amp;link='256/2004%20Sb.%252312i'&amp;ucin-k-dni='30.12.9999'" TargetMode="External"/><Relationship Id="rId235" Type="http://schemas.openxmlformats.org/officeDocument/2006/relationships/hyperlink" Target="aspi://module='EU'&amp;link='32013R0575%2523'&amp;ucin-k-dni='30.12.9999'" TargetMode="External"/><Relationship Id="rId256" Type="http://schemas.openxmlformats.org/officeDocument/2006/relationships/hyperlink" Target="aspi://module='EU'&amp;link='32014R1286%2523'&amp;ucin-k-dni='30.12.9999'" TargetMode="External"/><Relationship Id="rId277" Type="http://schemas.openxmlformats.org/officeDocument/2006/relationships/hyperlink" Target="aspi://module='EU'&amp;link='32016R1011%2523'&amp;ucin-k-dni='30.12.9999'" TargetMode="External"/><Relationship Id="rId298" Type="http://schemas.openxmlformats.org/officeDocument/2006/relationships/hyperlink" Target="aspi://module='EU'&amp;link='32017R1129%2523%25C8l19.1-%25C8l.19'&amp;ucin-k-dni='30.12.9999'" TargetMode="External"/><Relationship Id="rId400" Type="http://schemas.openxmlformats.org/officeDocument/2006/relationships/hyperlink" Target="aspi://module='ASPI'&amp;link='240/2013%20Sb.%252336'&amp;ucin-k-dni='30.12.9999'" TargetMode="External"/><Relationship Id="rId421" Type="http://schemas.openxmlformats.org/officeDocument/2006/relationships/hyperlink" Target="aspi://module='ASPI'&amp;link='240/2013%20Sb.%252383'&amp;ucin-k-dni='30.12.9999'" TargetMode="External"/><Relationship Id="rId442" Type="http://schemas.openxmlformats.org/officeDocument/2006/relationships/hyperlink" Target="aspi://module='ASPI'&amp;link='240/2013%20Sb.%2523287'&amp;ucin-k-dni='30.12.9999'" TargetMode="External"/><Relationship Id="rId463" Type="http://schemas.openxmlformats.org/officeDocument/2006/relationships/hyperlink" Target="aspi://module='ASPI'&amp;link='240/2013%20Sb.%2523455'&amp;ucin-k-dni='30.12.9999'" TargetMode="External"/><Relationship Id="rId484" Type="http://schemas.openxmlformats.org/officeDocument/2006/relationships/hyperlink" Target="aspi://module='ASPI'&amp;link='240/2013%20Sb.%2523138'&amp;ucin-k-dni='30.12.9999'" TargetMode="External"/><Relationship Id="rId519" Type="http://schemas.openxmlformats.org/officeDocument/2006/relationships/hyperlink" Target="aspi://module='ASPI'&amp;link='240/2013%20Sb.%2523251'&amp;ucin-k-dni='30.12.9999'" TargetMode="External"/><Relationship Id="rId670" Type="http://schemas.openxmlformats.org/officeDocument/2006/relationships/hyperlink" Target="aspi://module='ASPI'&amp;link='240/2013%20Sb.%2523515'&amp;ucin-k-dni='30.12.9999'" TargetMode="External"/><Relationship Id="rId705" Type="http://schemas.openxmlformats.org/officeDocument/2006/relationships/hyperlink" Target="aspi://module='ASPI'&amp;link='240/2013%20Sb.%252315'&amp;ucin-k-dni='30.12.9999'" TargetMode="External"/><Relationship Id="rId116" Type="http://schemas.openxmlformats.org/officeDocument/2006/relationships/hyperlink" Target="aspi://module='ASPI'&amp;link='256/2004%20Sb.%252348'&amp;ucin-k-dni='30.12.9999'" TargetMode="External"/><Relationship Id="rId137" Type="http://schemas.openxmlformats.org/officeDocument/2006/relationships/hyperlink" Target="aspi://module='ASPI'&amp;link='256/2004%20Sb.%2523134c'&amp;ucin-k-dni='30.12.9999'" TargetMode="External"/><Relationship Id="rId158" Type="http://schemas.openxmlformats.org/officeDocument/2006/relationships/hyperlink" Target="aspi://module='ASPI'&amp;link='256/2004%20Sb.%252350c'&amp;ucin-k-dni='30.12.9999'" TargetMode="External"/><Relationship Id="rId302" Type="http://schemas.openxmlformats.org/officeDocument/2006/relationships/hyperlink" Target="aspi://module='EU'&amp;link='32017R1129%2523%25C8l22.2-%25C8l.22'&amp;ucin-k-dni='30.12.9999'" TargetMode="External"/><Relationship Id="rId323" Type="http://schemas.openxmlformats.org/officeDocument/2006/relationships/hyperlink" Target="aspi://module='ASPI'&amp;link='240/2013%20Sb.%252335'&amp;ucin-k-dni='30.12.9999'" TargetMode="External"/><Relationship Id="rId344" Type="http://schemas.openxmlformats.org/officeDocument/2006/relationships/hyperlink" Target="aspi://module='ASPI'&amp;link='240/2013%20Sb.%2523266'&amp;ucin-k-dni='30.12.9999'" TargetMode="External"/><Relationship Id="rId530" Type="http://schemas.openxmlformats.org/officeDocument/2006/relationships/hyperlink" Target="aspi://module='ASPI'&amp;link='240/2013%20Sb.%2523395'&amp;ucin-k-dni='30.12.9999'" TargetMode="External"/><Relationship Id="rId691" Type="http://schemas.openxmlformats.org/officeDocument/2006/relationships/hyperlink" Target="aspi://module='ASPI'&amp;link='240/2013%20Sb.%252369'&amp;ucin-k-dni='30.12.9999'" TargetMode="External"/><Relationship Id="rId20" Type="http://schemas.openxmlformats.org/officeDocument/2006/relationships/hyperlink" Target="aspi://module='ASPI'&amp;link='219/2000%20Sb.%252314'&amp;ucin-k-dni='30.12.9999'" TargetMode="External"/><Relationship Id="rId41" Type="http://schemas.openxmlformats.org/officeDocument/2006/relationships/hyperlink" Target="aspi://module='ASPI'&amp;link='256/2004%20Sb.%252310b'&amp;ucin-k-dni='30.12.9999'" TargetMode="External"/><Relationship Id="rId62" Type="http://schemas.openxmlformats.org/officeDocument/2006/relationships/hyperlink" Target="aspi://module='ASPI'&amp;link='256/2004%20Sb.%252332b'&amp;ucin-k-dni='30.12.9999'" TargetMode="External"/><Relationship Id="rId83" Type="http://schemas.openxmlformats.org/officeDocument/2006/relationships/hyperlink" Target="aspi://module='ASPI'&amp;link='256/2004%20Sb.%252316'&amp;ucin-k-dni='30.12.9999'" TargetMode="External"/><Relationship Id="rId179" Type="http://schemas.openxmlformats.org/officeDocument/2006/relationships/hyperlink" Target="aspi://module='ASPI'&amp;link='256/2004%20Sb.%252373d'&amp;ucin-k-dni='30.12.9999'" TargetMode="External"/><Relationship Id="rId365" Type="http://schemas.openxmlformats.org/officeDocument/2006/relationships/hyperlink" Target="aspi://module='ASPI'&amp;link='240/2013%20Sb.%252321'&amp;ucin-k-dni='30.12.9999'" TargetMode="External"/><Relationship Id="rId386" Type="http://schemas.openxmlformats.org/officeDocument/2006/relationships/hyperlink" Target="aspi://module='ASPI'&amp;link='240/2013%20Sb.%2523467'&amp;ucin-k-dni='30.12.9999'" TargetMode="External"/><Relationship Id="rId551" Type="http://schemas.openxmlformats.org/officeDocument/2006/relationships/hyperlink" Target="aspi://module='ASPI'&amp;link='240/2013%20Sb.%252329'&amp;ucin-k-dni='30.12.9999'" TargetMode="External"/><Relationship Id="rId572" Type="http://schemas.openxmlformats.org/officeDocument/2006/relationships/hyperlink" Target="aspi://module='ASPI'&amp;link='240/2013%20Sb.%252320a'&amp;ucin-k-dni='30.12.9999'" TargetMode="External"/><Relationship Id="rId593" Type="http://schemas.openxmlformats.org/officeDocument/2006/relationships/hyperlink" Target="aspi://module='EU'&amp;link='32013R0345%2523%25C8l.6'&amp;ucin-k-dni='30.12.9999'" TargetMode="External"/><Relationship Id="rId607" Type="http://schemas.openxmlformats.org/officeDocument/2006/relationships/hyperlink" Target="aspi://module='EU'&amp;link='32015R2365%2523'&amp;ucin-k-dni='30.12.9999'" TargetMode="External"/><Relationship Id="rId628" Type="http://schemas.openxmlformats.org/officeDocument/2006/relationships/hyperlink" Target="aspi://module='ASPI'&amp;link='240/2013%20Sb.%2523260'&amp;ucin-k-dni='30.12.9999'" TargetMode="External"/><Relationship Id="rId649" Type="http://schemas.openxmlformats.org/officeDocument/2006/relationships/hyperlink" Target="aspi://module='ASPI'&amp;link='240/2013%20Sb.%2523320'&amp;ucin-k-dni='30.12.9999'" TargetMode="External"/><Relationship Id="rId190" Type="http://schemas.openxmlformats.org/officeDocument/2006/relationships/hyperlink" Target="aspi://module='ASPI'&amp;link='256/2004%20Sb.%252373h'&amp;ucin-k-dni='30.12.9999'" TargetMode="External"/><Relationship Id="rId204" Type="http://schemas.openxmlformats.org/officeDocument/2006/relationships/hyperlink" Target="aspi://module='ASPI'&amp;link='256/2004%20Sb.%252373h'&amp;ucin-k-dni='30.12.9999'" TargetMode="External"/><Relationship Id="rId225" Type="http://schemas.openxmlformats.org/officeDocument/2006/relationships/hyperlink" Target="aspi://module='ASPI'&amp;link='256/2004%20Sb.%2523121k'&amp;ucin-k-dni='30.12.9999'" TargetMode="External"/><Relationship Id="rId246" Type="http://schemas.openxmlformats.org/officeDocument/2006/relationships/hyperlink" Target="aspi://module='EU'&amp;link='32014R0600%2523%25C8l40-%25C8l.42'&amp;ucin-k-dni='30.12.9999'" TargetMode="External"/><Relationship Id="rId267" Type="http://schemas.openxmlformats.org/officeDocument/2006/relationships/hyperlink" Target="aspi://module='EU'&amp;link='32016R1011%2523'&amp;ucin-k-dni='30.12.9999'" TargetMode="External"/><Relationship Id="rId288" Type="http://schemas.openxmlformats.org/officeDocument/2006/relationships/hyperlink" Target="aspi://module='EU'&amp;link='32017R1129%2523%25C8l.9'&amp;ucin-k-dni='30.12.9999'" TargetMode="External"/><Relationship Id="rId411" Type="http://schemas.openxmlformats.org/officeDocument/2006/relationships/hyperlink" Target="aspi://module='ASPI'&amp;link='240/2013%20Sb.%2523189'&amp;ucin-k-dni='30.12.9999'" TargetMode="External"/><Relationship Id="rId432" Type="http://schemas.openxmlformats.org/officeDocument/2006/relationships/hyperlink" Target="aspi://module='ASPI'&amp;link='240/2013%20Sb.%2523104'&amp;ucin-k-dni='30.12.9999'" TargetMode="External"/><Relationship Id="rId453" Type="http://schemas.openxmlformats.org/officeDocument/2006/relationships/hyperlink" Target="aspi://module='ASPI'&amp;link='240/2013%20Sb.%252346'&amp;ucin-k-dni='30.12.9999'" TargetMode="External"/><Relationship Id="rId474" Type="http://schemas.openxmlformats.org/officeDocument/2006/relationships/hyperlink" Target="aspi://module='ASPI'&amp;link='240/2013%20Sb.%252328'&amp;ucin-k-dni='30.12.9999'" TargetMode="External"/><Relationship Id="rId509" Type="http://schemas.openxmlformats.org/officeDocument/2006/relationships/hyperlink" Target="aspi://module='ASPI'&amp;link='240/2013%20Sb.%2523223'&amp;ucin-k-dni='30.12.9999'" TargetMode="External"/><Relationship Id="rId660" Type="http://schemas.openxmlformats.org/officeDocument/2006/relationships/hyperlink" Target="aspi://module='ASPI'&amp;link='240/2013%20Sb.%2523310'&amp;ucin-k-dni='30.12.9999'" TargetMode="External"/><Relationship Id="rId106" Type="http://schemas.openxmlformats.org/officeDocument/2006/relationships/hyperlink" Target="aspi://module='ASPI'&amp;link='256/2004%20Sb.%252332k'&amp;ucin-k-dni='30.12.9999'" TargetMode="External"/><Relationship Id="rId127" Type="http://schemas.openxmlformats.org/officeDocument/2006/relationships/hyperlink" Target="aspi://module='ASPI'&amp;link='256/2004%20Sb.%252352'&amp;ucin-k-dni='30.12.9999'" TargetMode="External"/><Relationship Id="rId313" Type="http://schemas.openxmlformats.org/officeDocument/2006/relationships/hyperlink" Target="aspi://module='ASPI'&amp;link='240/2013%20Sb.%2523481'&amp;ucin-k-dni='30.12.9999'" TargetMode="External"/><Relationship Id="rId495" Type="http://schemas.openxmlformats.org/officeDocument/2006/relationships/hyperlink" Target="aspi://module='ASPI'&amp;link='240/2013%20Sb.%2523233'&amp;ucin-k-dni='30.12.9999'" TargetMode="External"/><Relationship Id="rId681" Type="http://schemas.openxmlformats.org/officeDocument/2006/relationships/hyperlink" Target="aspi://module='ASPI'&amp;link='240/2013%20Sb.%2523338'&amp;ucin-k-dni='30.12.9999'" TargetMode="External"/><Relationship Id="rId716" Type="http://schemas.openxmlformats.org/officeDocument/2006/relationships/hyperlink" Target="aspi://module='ASPI'&amp;link='240/2013%20Sb.%2523598'&amp;ucin-k-dni='30.12.9999'" TargetMode="External"/><Relationship Id="rId10" Type="http://schemas.openxmlformats.org/officeDocument/2006/relationships/hyperlink" Target="aspi://module='ASPI'&amp;link='219/2000%20Sb.%252310'&amp;ucin-k-dni='30.12.9999'" TargetMode="External"/><Relationship Id="rId31" Type="http://schemas.openxmlformats.org/officeDocument/2006/relationships/hyperlink" Target="aspi://module='ASPI'&amp;link='256/2004%20Sb.%252356'&amp;ucin-k-dni='30.12.9999'" TargetMode="External"/><Relationship Id="rId52" Type="http://schemas.openxmlformats.org/officeDocument/2006/relationships/hyperlink" Target="aspi://module='ASPI'&amp;link='256/2004%20Sb.%252317j'&amp;ucin-k-dni='30.12.9999'" TargetMode="External"/><Relationship Id="rId73" Type="http://schemas.openxmlformats.org/officeDocument/2006/relationships/hyperlink" Target="aspi://module='ASPI'&amp;link='256/2004%20Sb.%2523130'&amp;ucin-k-dni='30.12.9999'" TargetMode="External"/><Relationship Id="rId94" Type="http://schemas.openxmlformats.org/officeDocument/2006/relationships/hyperlink" Target="aspi://module='ASPI'&amp;link='256/2004%20Sb.%252332b'&amp;ucin-k-dni='30.12.9999'" TargetMode="External"/><Relationship Id="rId148" Type="http://schemas.openxmlformats.org/officeDocument/2006/relationships/hyperlink" Target="aspi://module='ASPI'&amp;link='256/2004%20Sb.%252370'&amp;ucin-k-dni='30.12.9999'" TargetMode="External"/><Relationship Id="rId169" Type="http://schemas.openxmlformats.org/officeDocument/2006/relationships/hyperlink" Target="aspi://module='ASPI'&amp;link='256/2004%20Sb.%252373j'&amp;ucin-k-dni='30.12.9999'" TargetMode="External"/><Relationship Id="rId334" Type="http://schemas.openxmlformats.org/officeDocument/2006/relationships/hyperlink" Target="aspi://module='ASPI'&amp;link='240/2013%20Sb.%252335'&amp;ucin-k-dni='30.12.9999'" TargetMode="External"/><Relationship Id="rId355" Type="http://schemas.openxmlformats.org/officeDocument/2006/relationships/hyperlink" Target="aspi://module='ASPI'&amp;link='240/2013%20Sb.%2523435'&amp;ucin-k-dni='30.12.9999'" TargetMode="External"/><Relationship Id="rId376" Type="http://schemas.openxmlformats.org/officeDocument/2006/relationships/hyperlink" Target="aspi://module='ASPI'&amp;link='240/2013%20Sb.%2523455'&amp;ucin-k-dni='30.12.9999'" TargetMode="External"/><Relationship Id="rId397" Type="http://schemas.openxmlformats.org/officeDocument/2006/relationships/hyperlink" Target="aspi://module='ASPI'&amp;link='240/2013%20Sb.%252334'&amp;ucin-k-dni='30.12.9999'" TargetMode="External"/><Relationship Id="rId520" Type="http://schemas.openxmlformats.org/officeDocument/2006/relationships/hyperlink" Target="aspi://module='ASPI'&amp;link='240/2013%20Sb.%2523290'&amp;ucin-k-dni='30.12.9999'" TargetMode="External"/><Relationship Id="rId541" Type="http://schemas.openxmlformats.org/officeDocument/2006/relationships/hyperlink" Target="aspi://module='ASPI'&amp;link='240/2013%20Sb.%2523470'&amp;ucin-k-dni='30.12.9999'" TargetMode="External"/><Relationship Id="rId562" Type="http://schemas.openxmlformats.org/officeDocument/2006/relationships/hyperlink" Target="aspi://module='ASPI'&amp;link='240/2013%20Sb.%2523331'&amp;ucin-k-dni='30.12.9999'" TargetMode="External"/><Relationship Id="rId583" Type="http://schemas.openxmlformats.org/officeDocument/2006/relationships/hyperlink" Target="aspi://module='ASPI'&amp;link='240/2013%20Sb.%252378'&amp;ucin-k-dni='30.12.9999'" TargetMode="External"/><Relationship Id="rId618" Type="http://schemas.openxmlformats.org/officeDocument/2006/relationships/hyperlink" Target="aspi://module='ASPI'&amp;link='240/2013%20Sb.%2523669'&amp;ucin-k-dni='30.12.9999'" TargetMode="External"/><Relationship Id="rId639" Type="http://schemas.openxmlformats.org/officeDocument/2006/relationships/hyperlink" Target="aspi://module='ASPI'&amp;link='240/2013%20Sb.%2523205'&amp;ucin-k-dni='30.12.9999'" TargetMode="External"/><Relationship Id="rId4" Type="http://schemas.openxmlformats.org/officeDocument/2006/relationships/settings" Target="settings.xml"/><Relationship Id="rId180" Type="http://schemas.openxmlformats.org/officeDocument/2006/relationships/hyperlink" Target="aspi://module='ASPI'&amp;link='256/2004%20Sb.%252373e'&amp;ucin-k-dni='30.12.9999'" TargetMode="External"/><Relationship Id="rId215" Type="http://schemas.openxmlformats.org/officeDocument/2006/relationships/hyperlink" Target="aspi://module='ASPI'&amp;link='256/2004%20Sb.%2523118'&amp;ucin-k-dni='30.12.9999'" TargetMode="External"/><Relationship Id="rId236" Type="http://schemas.openxmlformats.org/officeDocument/2006/relationships/hyperlink" Target="aspi://module='EU'&amp;link='32014R0596%2523%25C8l.14'&amp;ucin-k-dni='30.12.9999'" TargetMode="External"/><Relationship Id="rId257" Type="http://schemas.openxmlformats.org/officeDocument/2006/relationships/hyperlink" Target="aspi://module='EU'&amp;link='32014R1286%2523'&amp;ucin-k-dni='30.12.9999'" TargetMode="External"/><Relationship Id="rId278" Type="http://schemas.openxmlformats.org/officeDocument/2006/relationships/hyperlink" Target="aspi://module='EU'&amp;link='32016R1011%2523'&amp;ucin-k-dni='30.12.9999'" TargetMode="External"/><Relationship Id="rId401" Type="http://schemas.openxmlformats.org/officeDocument/2006/relationships/hyperlink" Target="aspi://module='ASPI'&amp;link='240/2013%20Sb.%252334'&amp;ucin-k-dni='30.12.9999'" TargetMode="External"/><Relationship Id="rId422" Type="http://schemas.openxmlformats.org/officeDocument/2006/relationships/hyperlink" Target="aspi://module='ASPI'&amp;link='240/2013%20Sb.%252383'&amp;ucin-k-dni='30.12.9999'" TargetMode="External"/><Relationship Id="rId443" Type="http://schemas.openxmlformats.org/officeDocument/2006/relationships/hyperlink" Target="aspi://module='ASPI'&amp;link='240/2013%20Sb.%2523393'&amp;ucin-k-dni='30.12.9999'" TargetMode="External"/><Relationship Id="rId464" Type="http://schemas.openxmlformats.org/officeDocument/2006/relationships/hyperlink" Target="aspi://module='ASPI'&amp;link='240/2013%20Sb.%2523457'&amp;ucin-k-dni='30.12.9999'" TargetMode="External"/><Relationship Id="rId650" Type="http://schemas.openxmlformats.org/officeDocument/2006/relationships/hyperlink" Target="aspi://module='ASPI'&amp;link='240/2013%20Sb.%2523324'&amp;ucin-k-dni='30.12.9999'" TargetMode="External"/><Relationship Id="rId303" Type="http://schemas.openxmlformats.org/officeDocument/2006/relationships/hyperlink" Target="aspi://module='EU'&amp;link='32017R1129%2523%25C8l23.1-%25C8l.23'&amp;ucin-k-dni='30.12.9999'" TargetMode="External"/><Relationship Id="rId485" Type="http://schemas.openxmlformats.org/officeDocument/2006/relationships/hyperlink" Target="aspi://module='ASPI'&amp;link='240/2013%20Sb.%2523376'&amp;ucin-k-dni='30.12.9999'" TargetMode="External"/><Relationship Id="rId692" Type="http://schemas.openxmlformats.org/officeDocument/2006/relationships/hyperlink" Target="aspi://module='ASPI'&amp;link='240/2013%20Sb.%2523666'&amp;ucin-k-dni='30.12.9999'" TargetMode="External"/><Relationship Id="rId706" Type="http://schemas.openxmlformats.org/officeDocument/2006/relationships/hyperlink" Target="aspi://module='ASPI'&amp;link='240/2013%20Sb.%252315'&amp;ucin-k-dni='30.12.9999'" TargetMode="External"/><Relationship Id="rId42" Type="http://schemas.openxmlformats.org/officeDocument/2006/relationships/hyperlink" Target="aspi://module='ASPI'&amp;link='256/2004%20Sb.%252347'&amp;ucin-k-dni='30.12.9999'" TargetMode="External"/><Relationship Id="rId84" Type="http://schemas.openxmlformats.org/officeDocument/2006/relationships/hyperlink" Target="aspi://module='ASPI'&amp;link='256/2004%20Sb.%252316'&amp;ucin-k-dni='30.12.9999'" TargetMode="External"/><Relationship Id="rId138" Type="http://schemas.openxmlformats.org/officeDocument/2006/relationships/hyperlink" Target="aspi://module='ASPI'&amp;link='256/2004%20Sb.%2523134a'&amp;ucin-k-dni='30.12.9999'" TargetMode="External"/><Relationship Id="rId345" Type="http://schemas.openxmlformats.org/officeDocument/2006/relationships/hyperlink" Target="aspi://module='EU'&amp;link='32013R0231%2523%25C8l103-%25C8l.107'&amp;ucin-k-dni='30.12.9999'" TargetMode="External"/><Relationship Id="rId387" Type="http://schemas.openxmlformats.org/officeDocument/2006/relationships/hyperlink" Target="aspi://module='ASPI'&amp;link='240/2013%20Sb.%2523468'&amp;ucin-k-dni='30.12.9999'" TargetMode="External"/><Relationship Id="rId510" Type="http://schemas.openxmlformats.org/officeDocument/2006/relationships/hyperlink" Target="aspi://module='ASPI'&amp;link='240/2013%20Sb.%2523239'&amp;ucin-k-dni='30.12.9999'" TargetMode="External"/><Relationship Id="rId552" Type="http://schemas.openxmlformats.org/officeDocument/2006/relationships/hyperlink" Target="aspi://module='ASPI'&amp;link='240/2013%20Sb.%2523481'&amp;ucin-k-dni='30.12.9999'" TargetMode="External"/><Relationship Id="rId594" Type="http://schemas.openxmlformats.org/officeDocument/2006/relationships/hyperlink" Target="aspi://module='EU'&amp;link='32013R0345%2523%25C8l.7'&amp;ucin-k-dni='30.12.9999'" TargetMode="External"/><Relationship Id="rId608" Type="http://schemas.openxmlformats.org/officeDocument/2006/relationships/hyperlink" Target="aspi://module='EU'&amp;link='32015R2365%2523'&amp;ucin-k-dni='30.12.9999'" TargetMode="External"/><Relationship Id="rId191" Type="http://schemas.openxmlformats.org/officeDocument/2006/relationships/hyperlink" Target="aspi://module='ASPI'&amp;link='256/2004%20Sb.%252361'&amp;ucin-k-dni='30.12.9999'" TargetMode="External"/><Relationship Id="rId205" Type="http://schemas.openxmlformats.org/officeDocument/2006/relationships/hyperlink" Target="aspi://module='ASPI'&amp;link='256/2004%20Sb.%252350g'&amp;ucin-k-dni='30.12.9999'" TargetMode="External"/><Relationship Id="rId247" Type="http://schemas.openxmlformats.org/officeDocument/2006/relationships/hyperlink" Target="aspi://module='EU'&amp;link='32014R0600%2523'&amp;ucin-k-dni='30.12.9999'" TargetMode="External"/><Relationship Id="rId412" Type="http://schemas.openxmlformats.org/officeDocument/2006/relationships/hyperlink" Target="aspi://module='ASPI'&amp;link='240/2013%20Sb.%2523195'&amp;ucin-k-dni='30.12.9999'" TargetMode="External"/><Relationship Id="rId107" Type="http://schemas.openxmlformats.org/officeDocument/2006/relationships/hyperlink" Target="aspi://module='ASPI'&amp;link='256/2004%20Sb.%252338'&amp;ucin-k-dni='30.12.9999'" TargetMode="External"/><Relationship Id="rId289" Type="http://schemas.openxmlformats.org/officeDocument/2006/relationships/hyperlink" Target="aspi://module='EU'&amp;link='32017R1129%2523%25C8l.10'&amp;ucin-k-dni='30.12.9999'" TargetMode="External"/><Relationship Id="rId454" Type="http://schemas.openxmlformats.org/officeDocument/2006/relationships/hyperlink" Target="aspi://module='ASPI'&amp;link='240/2013%20Sb.%252346'&amp;ucin-k-dni='30.12.9999'" TargetMode="External"/><Relationship Id="rId496" Type="http://schemas.openxmlformats.org/officeDocument/2006/relationships/hyperlink" Target="aspi://module='ASPI'&amp;link='240/2013%20Sb.%2523237'&amp;ucin-k-dni='30.12.9999'" TargetMode="External"/><Relationship Id="rId661" Type="http://schemas.openxmlformats.org/officeDocument/2006/relationships/hyperlink" Target="aspi://module='ASPI'&amp;link='240/2013%20Sb.%2523315'&amp;ucin-k-dni='30.12.9999'" TargetMode="External"/><Relationship Id="rId717" Type="http://schemas.openxmlformats.org/officeDocument/2006/relationships/fontTable" Target="fontTable.xml"/><Relationship Id="rId11" Type="http://schemas.openxmlformats.org/officeDocument/2006/relationships/hyperlink" Target="aspi://module='ASPI'&amp;link='219/2000%20Sb.%252311'&amp;ucin-k-dni='30.12.9999'" TargetMode="External"/><Relationship Id="rId53" Type="http://schemas.openxmlformats.org/officeDocument/2006/relationships/hyperlink" Target="aspi://module='ASPI'&amp;link='256/2004%20Sb.%252317c'&amp;ucin-k-dni='30.12.9999'" TargetMode="External"/><Relationship Id="rId149" Type="http://schemas.openxmlformats.org/officeDocument/2006/relationships/hyperlink" Target="aspi://module='ASPI'&amp;link='256/2004%20Sb.%252371'&amp;ucin-k-dni='30.12.9999'" TargetMode="External"/><Relationship Id="rId314" Type="http://schemas.openxmlformats.org/officeDocument/2006/relationships/hyperlink" Target="aspi://module='ASPI'&amp;link='240/2013%20Sb.%2523481'&amp;ucin-k-dni='30.12.9999'" TargetMode="External"/><Relationship Id="rId356" Type="http://schemas.openxmlformats.org/officeDocument/2006/relationships/hyperlink" Target="aspi://module='ASPI'&amp;link='240/2013%20Sb.%2523435'&amp;ucin-k-dni='30.12.9999'" TargetMode="External"/><Relationship Id="rId398" Type="http://schemas.openxmlformats.org/officeDocument/2006/relationships/hyperlink" Target="aspi://module='ASPI'&amp;link='240/2013%20Sb.%252334'&amp;ucin-k-dni='30.12.9999'" TargetMode="External"/><Relationship Id="rId521" Type="http://schemas.openxmlformats.org/officeDocument/2006/relationships/hyperlink" Target="aspi://module='ASPI'&amp;link='240/2013%20Sb.%2523291'&amp;ucin-k-dni='30.12.9999'" TargetMode="External"/><Relationship Id="rId563" Type="http://schemas.openxmlformats.org/officeDocument/2006/relationships/hyperlink" Target="aspi://module='ASPI'&amp;link='240/2013%20Sb.%2523335'&amp;ucin-k-dni='30.12.9999'" TargetMode="External"/><Relationship Id="rId619" Type="http://schemas.openxmlformats.org/officeDocument/2006/relationships/hyperlink" Target="aspi://module='ASPI'&amp;link='240/2013%20Sb.%2523669'&amp;ucin-k-dni='30.12.9999'" TargetMode="External"/><Relationship Id="rId95" Type="http://schemas.openxmlformats.org/officeDocument/2006/relationships/hyperlink" Target="aspi://module='ASPI'&amp;link='256/2004%20Sb.%252332k'&amp;ucin-k-dni='30.12.9999'" TargetMode="External"/><Relationship Id="rId160" Type="http://schemas.openxmlformats.org/officeDocument/2006/relationships/hyperlink" Target="aspi://module='ASPI'&amp;link='256/2004%20Sb.%252350d'&amp;ucin-k-dni='30.12.9999'" TargetMode="External"/><Relationship Id="rId216" Type="http://schemas.openxmlformats.org/officeDocument/2006/relationships/hyperlink" Target="aspi://module='ASPI'&amp;link='256/2004%20Sb.%2523121a'&amp;ucin-k-dni='30.12.9999'" TargetMode="External"/><Relationship Id="rId423" Type="http://schemas.openxmlformats.org/officeDocument/2006/relationships/hyperlink" Target="aspi://module='ASPI'&amp;link='240/2013%20Sb.%252389'&amp;ucin-k-dni='30.12.9999'" TargetMode="External"/><Relationship Id="rId258" Type="http://schemas.openxmlformats.org/officeDocument/2006/relationships/hyperlink" Target="aspi://module='EU'&amp;link='32014R1286%2523'&amp;ucin-k-dni='30.12.9999'" TargetMode="External"/><Relationship Id="rId465" Type="http://schemas.openxmlformats.org/officeDocument/2006/relationships/hyperlink" Target="aspi://module='ASPI'&amp;link='240/2013%20Sb.%2523456'&amp;ucin-k-dni='30.12.9999'" TargetMode="External"/><Relationship Id="rId630" Type="http://schemas.openxmlformats.org/officeDocument/2006/relationships/hyperlink" Target="aspi://module='ASPI'&amp;link='240/2013%20Sb.%2523393'&amp;ucin-k-dni='30.12.9999'" TargetMode="External"/><Relationship Id="rId672" Type="http://schemas.openxmlformats.org/officeDocument/2006/relationships/hyperlink" Target="aspi://module='ASPI'&amp;link='240/2013%20Sb.%2523634'&amp;ucin-k-dni='30.12.9999'" TargetMode="External"/><Relationship Id="rId22" Type="http://schemas.openxmlformats.org/officeDocument/2006/relationships/hyperlink" Target="aspi://module='ASPI'&amp;link='320/2001%20Sb.%252311'&amp;ucin-k-dni='30.12.9999'" TargetMode="External"/><Relationship Id="rId64" Type="http://schemas.openxmlformats.org/officeDocument/2006/relationships/hyperlink" Target="aspi://module='ASPI'&amp;link='256/2004%20Sb.%252312i'&amp;ucin-k-dni='30.12.9999'" TargetMode="External"/><Relationship Id="rId118" Type="http://schemas.openxmlformats.org/officeDocument/2006/relationships/hyperlink" Target="aspi://module='ASPI'&amp;link='256/2004%20Sb.%252350'&amp;ucin-k-dni='30.12.9999'" TargetMode="External"/><Relationship Id="rId325" Type="http://schemas.openxmlformats.org/officeDocument/2006/relationships/hyperlink" Target="aspi://module='ASPI'&amp;link='240/2013%20Sb.%252335'&amp;ucin-k-dni='30.12.9999'" TargetMode="External"/><Relationship Id="rId367" Type="http://schemas.openxmlformats.org/officeDocument/2006/relationships/hyperlink" Target="aspi://module='ASPI'&amp;link='240/2013%20Sb.%252323-25'&amp;ucin-k-dni='30.12.9999'" TargetMode="External"/><Relationship Id="rId532" Type="http://schemas.openxmlformats.org/officeDocument/2006/relationships/hyperlink" Target="aspi://module='ASPI'&amp;link='240/2013%20Sb.%2523420'&amp;ucin-k-dni='30.12.9999'" TargetMode="External"/><Relationship Id="rId574" Type="http://schemas.openxmlformats.org/officeDocument/2006/relationships/hyperlink" Target="aspi://module='ASPI'&amp;link='240/2013%20Sb.%252371'&amp;ucin-k-dni='30.12.9999'" TargetMode="External"/><Relationship Id="rId171" Type="http://schemas.openxmlformats.org/officeDocument/2006/relationships/hyperlink" Target="aspi://module='ASPI'&amp;link='256/2004%20Sb.%2523134a'&amp;ucin-k-dni='30.12.9999'" TargetMode="External"/><Relationship Id="rId227" Type="http://schemas.openxmlformats.org/officeDocument/2006/relationships/hyperlink" Target="aspi://module='ASPI'&amp;link='256/2004%20Sb.%2523121u'&amp;ucin-k-dni='30.12.9999'" TargetMode="External"/><Relationship Id="rId269" Type="http://schemas.openxmlformats.org/officeDocument/2006/relationships/hyperlink" Target="aspi://module='EU'&amp;link='32016R1011%2523'&amp;ucin-k-dni='30.12.9999'" TargetMode="External"/><Relationship Id="rId434" Type="http://schemas.openxmlformats.org/officeDocument/2006/relationships/hyperlink" Target="aspi://module='ASPI'&amp;link='240/2013%20Sb.%2523104'&amp;ucin-k-dni='30.12.9999'" TargetMode="External"/><Relationship Id="rId476" Type="http://schemas.openxmlformats.org/officeDocument/2006/relationships/hyperlink" Target="aspi://module='ASPI'&amp;link='240/2013%20Sb.%2523291'&amp;ucin-k-dni='30.12.9999'" TargetMode="External"/><Relationship Id="rId641" Type="http://schemas.openxmlformats.org/officeDocument/2006/relationships/hyperlink" Target="aspi://module='ASPI'&amp;link='240/2013%20Sb.%2523309'&amp;ucin-k-dni='30.12.9999'" TargetMode="External"/><Relationship Id="rId683" Type="http://schemas.openxmlformats.org/officeDocument/2006/relationships/hyperlink" Target="aspi://module='ASPI'&amp;link='240/2013%20Sb.%2523340'&amp;ucin-k-dni='30.12.9999'" TargetMode="External"/><Relationship Id="rId33" Type="http://schemas.openxmlformats.org/officeDocument/2006/relationships/hyperlink" Target="aspi://module='EU'&amp;link='32014R0596%2523'&amp;ucin-k-dni='30.12.9999'" TargetMode="External"/><Relationship Id="rId129" Type="http://schemas.openxmlformats.org/officeDocument/2006/relationships/hyperlink" Target="aspi://module='ASPI'&amp;link='256/2004%20Sb.%252357'&amp;ucin-k-dni='30.12.9999'" TargetMode="External"/><Relationship Id="rId280" Type="http://schemas.openxmlformats.org/officeDocument/2006/relationships/hyperlink" Target="aspi://module='EU'&amp;link='32016R1011%2523'&amp;ucin-k-dni='30.12.9999'" TargetMode="External"/><Relationship Id="rId336" Type="http://schemas.openxmlformats.org/officeDocument/2006/relationships/hyperlink" Target="aspi://module='ASPI'&amp;link='240/2013%20Sb.%2523139'&amp;ucin-k-dni='30.12.9999'" TargetMode="External"/><Relationship Id="rId501" Type="http://schemas.openxmlformats.org/officeDocument/2006/relationships/hyperlink" Target="aspi://module='ASPI'&amp;link='240/2013%20Sb.%2523232'&amp;ucin-k-dni='30.12.9999'" TargetMode="External"/><Relationship Id="rId543" Type="http://schemas.openxmlformats.org/officeDocument/2006/relationships/hyperlink" Target="aspi://module='ASPI'&amp;link='240/2013%20Sb.%2523253'&amp;ucin-k-dni='30.12.9999'" TargetMode="External"/><Relationship Id="rId75" Type="http://schemas.openxmlformats.org/officeDocument/2006/relationships/hyperlink" Target="aspi://module='ASPI'&amp;link='256/2004%20Sb.%252324'&amp;ucin-k-dni='30.12.9999'" TargetMode="External"/><Relationship Id="rId140" Type="http://schemas.openxmlformats.org/officeDocument/2006/relationships/hyperlink" Target="aspi://module='ASPI'&amp;link='256/2004%20Sb.%2523134c'&amp;ucin-k-dni='30.12.9999'" TargetMode="External"/><Relationship Id="rId182" Type="http://schemas.openxmlformats.org/officeDocument/2006/relationships/hyperlink" Target="aspi://module='ASPI'&amp;link='256/2004%20Sb.%252373e'&amp;ucin-k-dni='30.12.9999'" TargetMode="External"/><Relationship Id="rId378" Type="http://schemas.openxmlformats.org/officeDocument/2006/relationships/hyperlink" Target="aspi://module='ASPI'&amp;link='240/2013%20Sb.%2523459'&amp;ucin-k-dni='30.12.9999'" TargetMode="External"/><Relationship Id="rId403" Type="http://schemas.openxmlformats.org/officeDocument/2006/relationships/hyperlink" Target="aspi://module='ASPI'&amp;link='240/2013%20Sb.%2523471'&amp;ucin-k-dni='30.12.9999'" TargetMode="External"/><Relationship Id="rId585" Type="http://schemas.openxmlformats.org/officeDocument/2006/relationships/hyperlink" Target="aspi://module='ASPI'&amp;link='240/2013%20Sb.%2523474'&amp;ucin-k-dni='30.12.9999'" TargetMode="External"/><Relationship Id="rId6" Type="http://schemas.openxmlformats.org/officeDocument/2006/relationships/footnotes" Target="footnotes.xml"/><Relationship Id="rId238" Type="http://schemas.openxmlformats.org/officeDocument/2006/relationships/hyperlink" Target="aspi://module='EU'&amp;link='32014R0596%2523'&amp;ucin-k-dni='30.12.9999'" TargetMode="External"/><Relationship Id="rId445" Type="http://schemas.openxmlformats.org/officeDocument/2006/relationships/hyperlink" Target="aspi://module='ASPI'&amp;link='240/2013%20Sb.%2523409'&amp;ucin-k-dni='30.12.9999'" TargetMode="External"/><Relationship Id="rId487" Type="http://schemas.openxmlformats.org/officeDocument/2006/relationships/hyperlink" Target="aspi://module='ASPI'&amp;link='240/2013%20Sb.%2523434'&amp;ucin-k-dni='30.12.9999'" TargetMode="External"/><Relationship Id="rId610" Type="http://schemas.openxmlformats.org/officeDocument/2006/relationships/hyperlink" Target="aspi://module='EU'&amp;link='32016R0438%2523'&amp;ucin-k-dni='30.12.9999'" TargetMode="External"/><Relationship Id="rId652" Type="http://schemas.openxmlformats.org/officeDocument/2006/relationships/hyperlink" Target="aspi://module='ASPI'&amp;link='240/2013%20Sb.%2523314'&amp;ucin-k-dni='30.12.9999'" TargetMode="External"/><Relationship Id="rId694" Type="http://schemas.openxmlformats.org/officeDocument/2006/relationships/hyperlink" Target="aspi://module='ASPI'&amp;link='240/2013%20Sb.%252386'&amp;ucin-k-dni='30.12.9999'" TargetMode="External"/><Relationship Id="rId708" Type="http://schemas.openxmlformats.org/officeDocument/2006/relationships/hyperlink" Target="aspi://module='ASPI'&amp;link='240/2013%20Sb.%2523462'&amp;ucin-k-dni='30.12.9999'" TargetMode="External"/><Relationship Id="rId291" Type="http://schemas.openxmlformats.org/officeDocument/2006/relationships/hyperlink" Target="aspi://module='EU'&amp;link='32017R1129%2523%25C8l.11'&amp;ucin-k-dni='30.12.9999'" TargetMode="External"/><Relationship Id="rId305" Type="http://schemas.openxmlformats.org/officeDocument/2006/relationships/hyperlink" Target="aspi://module='EU'&amp;link='32017R1129%2523%25C8l.27'&amp;ucin-k-dni='30.12.9999'" TargetMode="External"/><Relationship Id="rId347" Type="http://schemas.openxmlformats.org/officeDocument/2006/relationships/hyperlink" Target="aspi://module='ASPI'&amp;link='256/2004%20Sb.%2523'&amp;ucin-k-dni='30.12.9999'" TargetMode="External"/><Relationship Id="rId512" Type="http://schemas.openxmlformats.org/officeDocument/2006/relationships/hyperlink" Target="aspi://module='ASPI'&amp;link='240/2013%20Sb.%2523241'&amp;ucin-k-dni='30.12.9999'" TargetMode="External"/><Relationship Id="rId44" Type="http://schemas.openxmlformats.org/officeDocument/2006/relationships/hyperlink" Target="aspi://module='ASPI'&amp;link='256/2004%20Sb.%252347'&amp;ucin-k-dni='30.12.9999'" TargetMode="External"/><Relationship Id="rId86" Type="http://schemas.openxmlformats.org/officeDocument/2006/relationships/hyperlink" Target="aspi://module='ASPI'&amp;link='256/2004%20Sb.%252324'&amp;ucin-k-dni='30.12.9999'" TargetMode="External"/><Relationship Id="rId151" Type="http://schemas.openxmlformats.org/officeDocument/2006/relationships/hyperlink" Target="aspi://module='ASPI'&amp;link='256/2004%20Sb.%252371'&amp;ucin-k-dni='30.12.9999'" TargetMode="External"/><Relationship Id="rId389" Type="http://schemas.openxmlformats.org/officeDocument/2006/relationships/hyperlink" Target="aspi://module='ASPI'&amp;link='240/2013%20Sb.%2523473'&amp;ucin-k-dni='30.12.9999'" TargetMode="External"/><Relationship Id="rId554" Type="http://schemas.openxmlformats.org/officeDocument/2006/relationships/hyperlink" Target="aspi://module='ASPI'&amp;link='240/2013%20Sb.%252329'&amp;ucin-k-dni='30.12.9999'" TargetMode="External"/><Relationship Id="rId596" Type="http://schemas.openxmlformats.org/officeDocument/2006/relationships/hyperlink" Target="aspi://module='EU'&amp;link='32013R0345%2523%25C8l.12'&amp;ucin-k-dni='30.12.9999'" TargetMode="External"/><Relationship Id="rId193" Type="http://schemas.openxmlformats.org/officeDocument/2006/relationships/hyperlink" Target="aspi://module='ASPI'&amp;link='256/2004%20Sb.%252350a'&amp;ucin-k-dni='30.12.9999'" TargetMode="External"/><Relationship Id="rId207" Type="http://schemas.openxmlformats.org/officeDocument/2006/relationships/hyperlink" Target="aspi://module='ASPI'&amp;link='256/2004%20Sb.%252373j'&amp;ucin-k-dni='30.12.9999'" TargetMode="External"/><Relationship Id="rId249" Type="http://schemas.openxmlformats.org/officeDocument/2006/relationships/hyperlink" Target="aspi://module='EU'&amp;link='32014R1286%2523'&amp;ucin-k-dni='30.12.9999'" TargetMode="External"/><Relationship Id="rId414" Type="http://schemas.openxmlformats.org/officeDocument/2006/relationships/hyperlink" Target="aspi://module='ASPI'&amp;link='240/2013%20Sb.%2523635'&amp;ucin-k-dni='30.12.9999'" TargetMode="External"/><Relationship Id="rId456" Type="http://schemas.openxmlformats.org/officeDocument/2006/relationships/hyperlink" Target="aspi://module='ASPI'&amp;link='240/2013%20Sb.%252347'&amp;ucin-k-dni='30.12.9999'" TargetMode="External"/><Relationship Id="rId498" Type="http://schemas.openxmlformats.org/officeDocument/2006/relationships/hyperlink" Target="aspi://module='ASPI'&amp;link='240/2013%20Sb.%2523225'&amp;ucin-k-dni='30.12.9999'" TargetMode="External"/><Relationship Id="rId621" Type="http://schemas.openxmlformats.org/officeDocument/2006/relationships/hyperlink" Target="aspi://module='ASPI'&amp;link='240/2013%20Sb.%2523669'&amp;ucin-k-dni='30.12.9999'" TargetMode="External"/><Relationship Id="rId663" Type="http://schemas.openxmlformats.org/officeDocument/2006/relationships/hyperlink" Target="aspi://module='ASPI'&amp;link='240/2013%20Sb.%2523322'&amp;ucin-k-dni='30.12.9999'" TargetMode="External"/><Relationship Id="rId13" Type="http://schemas.openxmlformats.org/officeDocument/2006/relationships/hyperlink" Target="aspi://module='ASPI'&amp;link='219/2000%20Sb.%252319'&amp;ucin-k-dni='30.12.9999'" TargetMode="External"/><Relationship Id="rId109" Type="http://schemas.openxmlformats.org/officeDocument/2006/relationships/hyperlink" Target="aspi://module='ASPI'&amp;link='256/2004%20Sb.%252310'&amp;ucin-k-dni='30.12.9999'" TargetMode="External"/><Relationship Id="rId260" Type="http://schemas.openxmlformats.org/officeDocument/2006/relationships/hyperlink" Target="aspi://module='EU'&amp;link='32015R2365%2523'&amp;ucin-k-dni='30.12.9999'" TargetMode="External"/><Relationship Id="rId316" Type="http://schemas.openxmlformats.org/officeDocument/2006/relationships/hyperlink" Target="aspi://module='ASPI'&amp;link='240/2013%20Sb.%2523234'&amp;ucin-k-dni='30.12.9999'" TargetMode="External"/><Relationship Id="rId523" Type="http://schemas.openxmlformats.org/officeDocument/2006/relationships/hyperlink" Target="aspi://module='ASPI'&amp;link='240/2013%20Sb.%2523290'&amp;ucin-k-dni='30.12.9999'" TargetMode="External"/><Relationship Id="rId55" Type="http://schemas.openxmlformats.org/officeDocument/2006/relationships/hyperlink" Target="aspi://module='ASPI'&amp;link='256/2004%20Sb.%252317e'&amp;ucin-k-dni='30.12.9999'" TargetMode="External"/><Relationship Id="rId97" Type="http://schemas.openxmlformats.org/officeDocument/2006/relationships/hyperlink" Target="aspi://module='ASPI'&amp;link='256/2004%20Sb.%252333'&amp;ucin-k-dni='30.12.9999'" TargetMode="External"/><Relationship Id="rId120" Type="http://schemas.openxmlformats.org/officeDocument/2006/relationships/hyperlink" Target="aspi://module='ASPI'&amp;link='256/2004%20Sb.%252350b'&amp;ucin-k-dni='30.12.9999'" TargetMode="External"/><Relationship Id="rId358" Type="http://schemas.openxmlformats.org/officeDocument/2006/relationships/hyperlink" Target="aspi://module='ASPI'&amp;link='240/2013%20Sb.%2523520'&amp;ucin-k-dni='30.12.9999'" TargetMode="External"/><Relationship Id="rId565" Type="http://schemas.openxmlformats.org/officeDocument/2006/relationships/hyperlink" Target="aspi://module='ASPI'&amp;link='240/2013%20Sb.%252363'&amp;ucin-k-dni='30.12.9999'" TargetMode="External"/><Relationship Id="rId162" Type="http://schemas.openxmlformats.org/officeDocument/2006/relationships/hyperlink" Target="aspi://module='ASPI'&amp;link='256/2004%20Sb.%252350e'&amp;ucin-k-dni='30.12.9999'" TargetMode="External"/><Relationship Id="rId218" Type="http://schemas.openxmlformats.org/officeDocument/2006/relationships/hyperlink" Target="aspi://module='ASPI'&amp;link='256/2004%20Sb.%2523120a'&amp;ucin-k-dni='30.12.9999'" TargetMode="External"/><Relationship Id="rId425" Type="http://schemas.openxmlformats.org/officeDocument/2006/relationships/hyperlink" Target="aspi://module='ASPI'&amp;link='240/2013%20Sb.%2523129'&amp;ucin-k-dni='30.12.9999'" TargetMode="External"/><Relationship Id="rId467" Type="http://schemas.openxmlformats.org/officeDocument/2006/relationships/hyperlink" Target="aspi://module='ASPI'&amp;link='240/2013%20Sb.%2523459'&amp;ucin-k-dni='30.12.9999'" TargetMode="External"/><Relationship Id="rId632" Type="http://schemas.openxmlformats.org/officeDocument/2006/relationships/hyperlink" Target="aspi://module='ASPI'&amp;link='240/2013%20Sb.%2523409'&amp;ucin-k-dni='30.12.9999'" TargetMode="External"/><Relationship Id="rId271" Type="http://schemas.openxmlformats.org/officeDocument/2006/relationships/hyperlink" Target="aspi://module='EU'&amp;link='32016R1011%2523'&amp;ucin-k-dni='30.12.9999'" TargetMode="External"/><Relationship Id="rId674" Type="http://schemas.openxmlformats.org/officeDocument/2006/relationships/hyperlink" Target="aspi://module='ASPI'&amp;link='240/2013%20Sb.%2523634'&amp;ucin-k-dni='30.12.9999'" TargetMode="External"/><Relationship Id="rId24" Type="http://schemas.openxmlformats.org/officeDocument/2006/relationships/hyperlink" Target="aspi://module='ASPI'&amp;link='320/2001%20Sb.%252311'&amp;ucin-k-dni='30.12.9999'" TargetMode="External"/><Relationship Id="rId66" Type="http://schemas.openxmlformats.org/officeDocument/2006/relationships/hyperlink" Target="aspi://module='ASPI'&amp;link='256/2004%20Sb.%252373b'&amp;ucin-k-dni='30.12.9999'" TargetMode="External"/><Relationship Id="rId131" Type="http://schemas.openxmlformats.org/officeDocument/2006/relationships/hyperlink" Target="aspi://module='ASPI'&amp;link='256/2004%20Sb.%252362'&amp;ucin-k-dni='30.12.9999'" TargetMode="External"/><Relationship Id="rId327" Type="http://schemas.openxmlformats.org/officeDocument/2006/relationships/hyperlink" Target="aspi://module='ASPI'&amp;link='240/2013%20Sb.%252334'&amp;ucin-k-dni='30.12.9999'" TargetMode="External"/><Relationship Id="rId369" Type="http://schemas.openxmlformats.org/officeDocument/2006/relationships/hyperlink" Target="aspi://module='ASPI'&amp;link='240/2013%20Sb.%252333'&amp;ucin-k-dni='30.12.9999'" TargetMode="External"/><Relationship Id="rId534" Type="http://schemas.openxmlformats.org/officeDocument/2006/relationships/hyperlink" Target="aspi://module='ASPI'&amp;link='240/2013%20Sb.%2523422'&amp;ucin-k-dni='30.12.9999'" TargetMode="External"/><Relationship Id="rId576" Type="http://schemas.openxmlformats.org/officeDocument/2006/relationships/hyperlink" Target="aspi://module='ASPI'&amp;link='240/2013%20Sb.%252371'&amp;ucin-k-dni='30.12.9999'" TargetMode="External"/><Relationship Id="rId173" Type="http://schemas.openxmlformats.org/officeDocument/2006/relationships/hyperlink" Target="aspi://module='ASPI'&amp;link='256/2004%20Sb.%2523134c'&amp;ucin-k-dni='30.12.9999'" TargetMode="External"/><Relationship Id="rId229" Type="http://schemas.openxmlformats.org/officeDocument/2006/relationships/hyperlink" Target="aspi://module='ASPI'&amp;link='256/2004%20Sb.%2523121u'&amp;ucin-k-dni='30.12.9999'" TargetMode="External"/><Relationship Id="rId380" Type="http://schemas.openxmlformats.org/officeDocument/2006/relationships/hyperlink" Target="aspi://module='ASPI'&amp;link='240/2013%20Sb.%2523461'&amp;ucin-k-dni='30.12.9999'" TargetMode="External"/><Relationship Id="rId436" Type="http://schemas.openxmlformats.org/officeDocument/2006/relationships/hyperlink" Target="aspi://module='ASPI'&amp;link='240/2013%20Sb.%2523248'&amp;ucin-k-dni='30.12.9999'" TargetMode="External"/><Relationship Id="rId601" Type="http://schemas.openxmlformats.org/officeDocument/2006/relationships/hyperlink" Target="aspi://module='EU'&amp;link='32013R0346%2523%25C8l.7'&amp;ucin-k-dni='30.12.9999'" TargetMode="External"/><Relationship Id="rId643" Type="http://schemas.openxmlformats.org/officeDocument/2006/relationships/hyperlink" Target="aspi://module='ASPI'&amp;link='240/2013%20Sb.%2523315'&amp;ucin-k-dni='30.12.9999'" TargetMode="External"/><Relationship Id="rId240" Type="http://schemas.openxmlformats.org/officeDocument/2006/relationships/hyperlink" Target="aspi://module='EU'&amp;link='32014R0596%2523%25C8l.17'&amp;ucin-k-dni='30.12.9999'" TargetMode="External"/><Relationship Id="rId478" Type="http://schemas.openxmlformats.org/officeDocument/2006/relationships/hyperlink" Target="aspi://module='ASPI'&amp;link='240/2013%20Sb.%2523'&amp;ucin-k-dni='30.12.9999'" TargetMode="External"/><Relationship Id="rId685" Type="http://schemas.openxmlformats.org/officeDocument/2006/relationships/hyperlink" Target="aspi://module='ASPI'&amp;link='240/2013%20Sb.%252344'&amp;ucin-k-dni='30.12.9999'" TargetMode="External"/><Relationship Id="rId35" Type="http://schemas.openxmlformats.org/officeDocument/2006/relationships/hyperlink" Target="aspi://module='EU'&amp;link='32014R0596%2523'&amp;ucin-k-dni='30.12.9999'" TargetMode="External"/><Relationship Id="rId77" Type="http://schemas.openxmlformats.org/officeDocument/2006/relationships/hyperlink" Target="aspi://module='ASPI'&amp;link='256/2004%20Sb.%252316'&amp;ucin-k-dni='30.12.9999'" TargetMode="External"/><Relationship Id="rId100" Type="http://schemas.openxmlformats.org/officeDocument/2006/relationships/hyperlink" Target="aspi://module='EU'&amp;link='32013R0575%2523%25C8l.316'&amp;ucin-k-dni='30.12.9999'" TargetMode="External"/><Relationship Id="rId282" Type="http://schemas.openxmlformats.org/officeDocument/2006/relationships/hyperlink" Target="aspi://module='EU'&amp;link='32017R2402%2523'&amp;ucin-k-dni='30.12.9999'" TargetMode="External"/><Relationship Id="rId338" Type="http://schemas.openxmlformats.org/officeDocument/2006/relationships/hyperlink" Target="aspi://module='ASPI'&amp;link='240/2013%20Sb.%252334'&amp;ucin-k-dni='30.12.9999'" TargetMode="External"/><Relationship Id="rId503" Type="http://schemas.openxmlformats.org/officeDocument/2006/relationships/hyperlink" Target="aspi://module='ASPI'&amp;link='240/2013%20Sb.%2523227-230'&amp;ucin-k-dni='30.12.9999'" TargetMode="External"/><Relationship Id="rId545" Type="http://schemas.openxmlformats.org/officeDocument/2006/relationships/hyperlink" Target="aspi://module='ASPI'&amp;link='240/2013%20Sb.%2523432'&amp;ucin-k-dni='30.12.9999'" TargetMode="External"/><Relationship Id="rId587" Type="http://schemas.openxmlformats.org/officeDocument/2006/relationships/hyperlink" Target="aspi://module='EU'&amp;link='32010R0583%2523'&amp;ucin-k-dni='30.12.9999'" TargetMode="External"/><Relationship Id="rId710" Type="http://schemas.openxmlformats.org/officeDocument/2006/relationships/hyperlink" Target="aspi://module='ASPI'&amp;link='240/2013%20Sb.%2523475'&amp;ucin-k-dni='30.12.9999'" TargetMode="External"/><Relationship Id="rId8" Type="http://schemas.openxmlformats.org/officeDocument/2006/relationships/header" Target="header1.xml"/><Relationship Id="rId142" Type="http://schemas.openxmlformats.org/officeDocument/2006/relationships/hyperlink" Target="aspi://module='ASPI'&amp;link='256/2004%20Sb.%252369'&amp;ucin-k-dni='30.12.9999'" TargetMode="External"/><Relationship Id="rId184" Type="http://schemas.openxmlformats.org/officeDocument/2006/relationships/hyperlink" Target="aspi://module='ASPI'&amp;link='256/2004%20Sb.%252373f'&amp;ucin-k-dni='30.12.9999'" TargetMode="External"/><Relationship Id="rId391" Type="http://schemas.openxmlformats.org/officeDocument/2006/relationships/hyperlink" Target="aspi://module='ASPI'&amp;link='240/2013%20Sb.%252328'&amp;ucin-k-dni='30.12.9999'" TargetMode="External"/><Relationship Id="rId405" Type="http://schemas.openxmlformats.org/officeDocument/2006/relationships/hyperlink" Target="aspi://module='ASPI'&amp;link='240/2013%20Sb.%252335'&amp;ucin-k-dni='30.12.9999'" TargetMode="External"/><Relationship Id="rId447" Type="http://schemas.openxmlformats.org/officeDocument/2006/relationships/hyperlink" Target="aspi://module='ASPI'&amp;link='240/2013%20Sb.%2523423'&amp;ucin-k-dni='30.12.9999'" TargetMode="External"/><Relationship Id="rId612" Type="http://schemas.openxmlformats.org/officeDocument/2006/relationships/hyperlink" Target="aspi://module='EU'&amp;link='32017R1131%2523%25C8l9-%25C8l.21'&amp;ucin-k-dni='30.12.9999'" TargetMode="External"/><Relationship Id="rId251" Type="http://schemas.openxmlformats.org/officeDocument/2006/relationships/hyperlink" Target="aspi://module='EU'&amp;link='32014R1286%2523'&amp;ucin-k-dni='30.12.9999'" TargetMode="External"/><Relationship Id="rId489" Type="http://schemas.openxmlformats.org/officeDocument/2006/relationships/hyperlink" Target="aspi://module='ASPI'&amp;link='240/2013%20Sb.%2523198'&amp;ucin-k-dni='30.12.9999'" TargetMode="External"/><Relationship Id="rId654" Type="http://schemas.openxmlformats.org/officeDocument/2006/relationships/hyperlink" Target="aspi://module='ASPI'&amp;link='240/2013%20Sb.%2523319'&amp;ucin-k-dni='30.12.9999'" TargetMode="External"/><Relationship Id="rId696" Type="http://schemas.openxmlformats.org/officeDocument/2006/relationships/hyperlink" Target="aspi://module='ASPI'&amp;link='240/2013%20Sb.%2523194'&amp;ucin-k-dni='30.12.9999'" TargetMode="External"/><Relationship Id="rId46" Type="http://schemas.openxmlformats.org/officeDocument/2006/relationships/hyperlink" Target="aspi://module='ASPI'&amp;link='256/2004%20Sb.%252317'&amp;ucin-k-dni='30.12.9999'" TargetMode="External"/><Relationship Id="rId293" Type="http://schemas.openxmlformats.org/officeDocument/2006/relationships/hyperlink" Target="aspi://module='EU'&amp;link='32017R1129%2523%25C8l.14'&amp;ucin-k-dni='30.12.9999'" TargetMode="External"/><Relationship Id="rId307" Type="http://schemas.openxmlformats.org/officeDocument/2006/relationships/hyperlink" Target="aspi://module='ASPI'&amp;link='125/2008%20Sb.%25239'&amp;ucin-k-dni='30.12.9999'" TargetMode="External"/><Relationship Id="rId349" Type="http://schemas.openxmlformats.org/officeDocument/2006/relationships/hyperlink" Target="aspi://module='ASPI'&amp;link='240/2013%20Sb.%2523291'&amp;ucin-k-dni='30.12.9999'" TargetMode="External"/><Relationship Id="rId514" Type="http://schemas.openxmlformats.org/officeDocument/2006/relationships/hyperlink" Target="aspi://module='ASPI'&amp;link='240/2013%20Sb.%2523224'&amp;ucin-k-dni='30.12.9999'" TargetMode="External"/><Relationship Id="rId556" Type="http://schemas.openxmlformats.org/officeDocument/2006/relationships/hyperlink" Target="aspi://module='ASPI'&amp;link='240/2013%20Sb.%2523481'&amp;ucin-k-dni='30.12.9999'" TargetMode="External"/><Relationship Id="rId88" Type="http://schemas.openxmlformats.org/officeDocument/2006/relationships/hyperlink" Target="aspi://module='ASPI'&amp;link='256/2004%20Sb.%252328'&amp;ucin-k-dni='30.12.9999'" TargetMode="External"/><Relationship Id="rId111" Type="http://schemas.openxmlformats.org/officeDocument/2006/relationships/hyperlink" Target="aspi://module='ASPI'&amp;link='256/2004%20Sb.%252340'&amp;ucin-k-dni='30.12.9999'" TargetMode="External"/><Relationship Id="rId153" Type="http://schemas.openxmlformats.org/officeDocument/2006/relationships/hyperlink" Target="aspi://module='ASPI'&amp;link='256/2004%20Sb.%252373'&amp;ucin-k-dni='30.12.9999'" TargetMode="External"/><Relationship Id="rId195" Type="http://schemas.openxmlformats.org/officeDocument/2006/relationships/hyperlink" Target="aspi://module='ASPI'&amp;link='256/2004%20Sb.%252350b'&amp;ucin-k-dni='30.12.9999'" TargetMode="External"/><Relationship Id="rId209" Type="http://schemas.openxmlformats.org/officeDocument/2006/relationships/hyperlink" Target="aspi://module='ASPI'&amp;link='256/2004%20Sb.%2523134a'&amp;ucin-k-dni='30.12.9999'" TargetMode="External"/><Relationship Id="rId360" Type="http://schemas.openxmlformats.org/officeDocument/2006/relationships/hyperlink" Target="aspi://module='ASPI'&amp;link='240/2013%20Sb.%252319'&amp;ucin-k-dni='30.12.9999'" TargetMode="External"/><Relationship Id="rId416" Type="http://schemas.openxmlformats.org/officeDocument/2006/relationships/hyperlink" Target="aspi://module='ASPI'&amp;link='240/2013%20Sb.%2523213'&amp;ucin-k-dni='30.12.9999'" TargetMode="External"/><Relationship Id="rId598" Type="http://schemas.openxmlformats.org/officeDocument/2006/relationships/hyperlink" Target="aspi://module='EU'&amp;link='32013R0346%2523%25C8l.5'&amp;ucin-k-dni='30.12.9999'" TargetMode="External"/><Relationship Id="rId220" Type="http://schemas.openxmlformats.org/officeDocument/2006/relationships/hyperlink" Target="aspi://module='ASPI'&amp;link='256/2004%20Sb.%2523120c'&amp;ucin-k-dni='30.12.9999'" TargetMode="External"/><Relationship Id="rId458" Type="http://schemas.openxmlformats.org/officeDocument/2006/relationships/hyperlink" Target="aspi://module='ASPI'&amp;link='240/2013%20Sb.%252320a'&amp;ucin-k-dni='30.12.9999'" TargetMode="External"/><Relationship Id="rId623" Type="http://schemas.openxmlformats.org/officeDocument/2006/relationships/hyperlink" Target="aspi://module='ASPI'&amp;link='240/2013%20Sb.%2523670'&amp;ucin-k-dni='30.12.9999'" TargetMode="External"/><Relationship Id="rId665" Type="http://schemas.openxmlformats.org/officeDocument/2006/relationships/hyperlink" Target="aspi://module='ASPI'&amp;link='240/2013%20Sb.%2523325'&amp;ucin-k-dni='30.12.9999'" TargetMode="External"/><Relationship Id="rId15" Type="http://schemas.openxmlformats.org/officeDocument/2006/relationships/hyperlink" Target="aspi://module='ASPI'&amp;link='219/2000%20Sb.%252319c'&amp;ucin-k-dni='30.12.9999'" TargetMode="External"/><Relationship Id="rId57" Type="http://schemas.openxmlformats.org/officeDocument/2006/relationships/hyperlink" Target="aspi://module='ASPI'&amp;link='256/2004%20Sb.%252317g'&amp;ucin-k-dni='30.12.9999'" TargetMode="External"/><Relationship Id="rId262" Type="http://schemas.openxmlformats.org/officeDocument/2006/relationships/hyperlink" Target="aspi://module='EU'&amp;link='32015R2365%2523'&amp;ucin-k-dni='30.12.9999'" TargetMode="External"/><Relationship Id="rId318" Type="http://schemas.openxmlformats.org/officeDocument/2006/relationships/hyperlink" Target="aspi://module='ASPI'&amp;link='240/2013%20Sb.%252335'&amp;ucin-k-dni='30.12.9999'" TargetMode="External"/><Relationship Id="rId525" Type="http://schemas.openxmlformats.org/officeDocument/2006/relationships/hyperlink" Target="aspi://module='ASPI'&amp;link='240/2013%20Sb.%2523461'&amp;ucin-k-dni='30.12.9999'" TargetMode="External"/><Relationship Id="rId567" Type="http://schemas.openxmlformats.org/officeDocument/2006/relationships/hyperlink" Target="aspi://module='ASPI'&amp;link='240/2013%20Sb.%252364'&amp;ucin-k-dni='30.12.9999'" TargetMode="External"/><Relationship Id="rId99" Type="http://schemas.openxmlformats.org/officeDocument/2006/relationships/hyperlink" Target="aspi://module='ASPI'&amp;link='256/2004%20Sb.%2523133'&amp;ucin-k-dni='30.12.9999'" TargetMode="External"/><Relationship Id="rId122" Type="http://schemas.openxmlformats.org/officeDocument/2006/relationships/hyperlink" Target="aspi://module='ASPI'&amp;link='256/2004%20Sb.%252350d'&amp;ucin-k-dni='30.12.9999'" TargetMode="External"/><Relationship Id="rId164" Type="http://schemas.openxmlformats.org/officeDocument/2006/relationships/hyperlink" Target="aspi://module='ASPI'&amp;link='256/2004%20Sb.%252350f'&amp;ucin-k-dni='30.12.9999'" TargetMode="External"/><Relationship Id="rId371" Type="http://schemas.openxmlformats.org/officeDocument/2006/relationships/hyperlink" Target="aspi://module='ASPI'&amp;link='240/2013%20Sb.%252374'&amp;ucin-k-dni='30.12.9999'" TargetMode="External"/><Relationship Id="rId427" Type="http://schemas.openxmlformats.org/officeDocument/2006/relationships/hyperlink" Target="aspi://module='ASPI'&amp;link='240/2013%20Sb.%2523123-125'&amp;ucin-k-dni='30.12.9999'" TargetMode="External"/><Relationship Id="rId469" Type="http://schemas.openxmlformats.org/officeDocument/2006/relationships/hyperlink" Target="aspi://module='ASPI'&amp;link='240/2013%20Sb.%2523467'&amp;ucin-k-dni='30.12.9999'" TargetMode="External"/><Relationship Id="rId634" Type="http://schemas.openxmlformats.org/officeDocument/2006/relationships/hyperlink" Target="aspi://module='ASPI'&amp;link='240/2013%20Sb.%2523409'&amp;ucin-k-dni='30.12.9999'" TargetMode="External"/><Relationship Id="rId676" Type="http://schemas.openxmlformats.org/officeDocument/2006/relationships/hyperlink" Target="aspi://module='ASPI'&amp;link='240/2013%20Sb.%252353'&amp;ucin-k-dni='30.12.9999'" TargetMode="External"/><Relationship Id="rId26" Type="http://schemas.openxmlformats.org/officeDocument/2006/relationships/hyperlink" Target="aspi://module='ASPI'&amp;link='256/2004%20Sb.%25233'&amp;ucin-k-dni='30.12.9999'" TargetMode="External"/><Relationship Id="rId231" Type="http://schemas.openxmlformats.org/officeDocument/2006/relationships/hyperlink" Target="aspi://module='ASPI'&amp;link='256/2004%20Sb.%2523121a'&amp;ucin-k-dni='30.12.9999'" TargetMode="External"/><Relationship Id="rId273" Type="http://schemas.openxmlformats.org/officeDocument/2006/relationships/hyperlink" Target="aspi://module='EU'&amp;link='32016R1011%2523'&amp;ucin-k-dni='30.12.9999'" TargetMode="External"/><Relationship Id="rId329" Type="http://schemas.openxmlformats.org/officeDocument/2006/relationships/hyperlink" Target="aspi://module='ASPI'&amp;link='240/2013%20Sb.%252334'&amp;ucin-k-dni='30.12.9999'" TargetMode="External"/><Relationship Id="rId480" Type="http://schemas.openxmlformats.org/officeDocument/2006/relationships/hyperlink" Target="aspi://module='ASPI'&amp;link='240/2013%20Sb.%2523110'&amp;ucin-k-dni='30.12.9999'" TargetMode="External"/><Relationship Id="rId536" Type="http://schemas.openxmlformats.org/officeDocument/2006/relationships/hyperlink" Target="aspi://module='ASPI'&amp;link='240/2013%20Sb.%2523470'&amp;ucin-k-dni='30.12.9999'" TargetMode="External"/><Relationship Id="rId701" Type="http://schemas.openxmlformats.org/officeDocument/2006/relationships/hyperlink" Target="aspi://module='ASPI'&amp;link='240/2013%20Sb.%2523521'&amp;ucin-k-dni='30.12.9999'" TargetMode="External"/><Relationship Id="rId68" Type="http://schemas.openxmlformats.org/officeDocument/2006/relationships/hyperlink" Target="aspi://module='ASPI'&amp;link='256/2004%20Sb.%2523116'&amp;ucin-k-dni='30.12.9999'" TargetMode="External"/><Relationship Id="rId133" Type="http://schemas.openxmlformats.org/officeDocument/2006/relationships/hyperlink" Target="aspi://module='ASPI'&amp;link='256/2004%20Sb.%252363'&amp;ucin-k-dni='30.12.9999'" TargetMode="External"/><Relationship Id="rId175" Type="http://schemas.openxmlformats.org/officeDocument/2006/relationships/hyperlink" Target="aspi://module='ASPI'&amp;link='256/2004%20Sb.%252373d'&amp;ucin-k-dni='30.12.9999'" TargetMode="External"/><Relationship Id="rId340" Type="http://schemas.openxmlformats.org/officeDocument/2006/relationships/hyperlink" Target="aspi://module='ASPI'&amp;link='240/2013%20Sb.%252334'&amp;ucin-k-dni='30.12.9999'" TargetMode="External"/><Relationship Id="rId578" Type="http://schemas.openxmlformats.org/officeDocument/2006/relationships/hyperlink" Target="aspi://module='ASPI'&amp;link='240/2013%20Sb.%252373'&amp;ucin-k-dni='30.12.9999'" TargetMode="External"/><Relationship Id="rId200" Type="http://schemas.openxmlformats.org/officeDocument/2006/relationships/hyperlink" Target="aspi://module='ASPI'&amp;link='256/2004%20Sb.%252373h'&amp;ucin-k-dni='30.12.9999'" TargetMode="External"/><Relationship Id="rId382" Type="http://schemas.openxmlformats.org/officeDocument/2006/relationships/hyperlink" Target="aspi://module='ASPI'&amp;link='240/2013%20Sb.%2523463'&amp;ucin-k-dni='30.12.9999'" TargetMode="External"/><Relationship Id="rId438" Type="http://schemas.openxmlformats.org/officeDocument/2006/relationships/hyperlink" Target="aspi://module='ASPI'&amp;link='240/2013%20Sb.%2523256'&amp;ucin-k-dni='30.12.9999'" TargetMode="External"/><Relationship Id="rId603" Type="http://schemas.openxmlformats.org/officeDocument/2006/relationships/hyperlink" Target="aspi://module='EU'&amp;link='32013R0346%2523'&amp;ucin-k-dni='30.12.9999'" TargetMode="External"/><Relationship Id="rId645" Type="http://schemas.openxmlformats.org/officeDocument/2006/relationships/hyperlink" Target="aspi://module='ASPI'&amp;link='240/2013%20Sb.%2523317'&amp;ucin-k-dni='30.12.9999'" TargetMode="External"/><Relationship Id="rId687" Type="http://schemas.openxmlformats.org/officeDocument/2006/relationships/hyperlink" Target="aspi://module='ASPI'&amp;link='240/2013%20Sb.%2523343'&amp;ucin-k-dni='30.12.9999'" TargetMode="External"/><Relationship Id="rId242" Type="http://schemas.openxmlformats.org/officeDocument/2006/relationships/hyperlink" Target="aspi://module='EU'&amp;link='32014R0596%2523%25C8l.18'&amp;ucin-k-dni='30.12.9999'" TargetMode="External"/><Relationship Id="rId284" Type="http://schemas.openxmlformats.org/officeDocument/2006/relationships/hyperlink" Target="aspi://module='EU'&amp;link='32017R1129%2523%25C8l.5'&amp;ucin-k-dni='30.12.9999'" TargetMode="External"/><Relationship Id="rId491" Type="http://schemas.openxmlformats.org/officeDocument/2006/relationships/hyperlink" Target="aspi://module='ASPI'&amp;link='240/2013%20Sb.%2523432'&amp;ucin-k-dni='30.12.9999'" TargetMode="External"/><Relationship Id="rId505" Type="http://schemas.openxmlformats.org/officeDocument/2006/relationships/hyperlink" Target="aspi://module='ASPI'&amp;link='240/2013%20Sb.%2523238'&amp;ucin-k-dni='30.12.9999'" TargetMode="External"/><Relationship Id="rId712" Type="http://schemas.openxmlformats.org/officeDocument/2006/relationships/hyperlink" Target="aspi://module='ASPI'&amp;link='240/2013%20Sb.%2523637'&amp;ucin-k-dni='30.12.9999'" TargetMode="External"/><Relationship Id="rId37" Type="http://schemas.openxmlformats.org/officeDocument/2006/relationships/hyperlink" Target="aspi://module='EU'&amp;link='32014R0596%2523'&amp;ucin-k-dni='30.12.9999'" TargetMode="External"/><Relationship Id="rId79" Type="http://schemas.openxmlformats.org/officeDocument/2006/relationships/hyperlink" Target="aspi://module='ASPI'&amp;link='256/2004%20Sb.%252316'&amp;ucin-k-dni='30.12.9999'" TargetMode="External"/><Relationship Id="rId102" Type="http://schemas.openxmlformats.org/officeDocument/2006/relationships/hyperlink" Target="aspi://module='ASPI'&amp;link='256/2004%20Sb.%252330'&amp;ucin-k-dni='30.12.9999'" TargetMode="External"/><Relationship Id="rId144" Type="http://schemas.openxmlformats.org/officeDocument/2006/relationships/hyperlink" Target="aspi://module='ASPI'&amp;link='256/2004%20Sb.%252369'&amp;ucin-k-dni='30.12.9999'" TargetMode="External"/><Relationship Id="rId547" Type="http://schemas.openxmlformats.org/officeDocument/2006/relationships/hyperlink" Target="aspi://module='ASPI'&amp;link='240/2013%20Sb.%252340'&amp;ucin-k-dni='30.12.9999'" TargetMode="External"/><Relationship Id="rId589" Type="http://schemas.openxmlformats.org/officeDocument/2006/relationships/hyperlink" Target="aspi://module='EU'&amp;link='32010R0584%2523'&amp;ucin-k-dni='30.12.9999'" TargetMode="External"/><Relationship Id="rId90" Type="http://schemas.openxmlformats.org/officeDocument/2006/relationships/hyperlink" Target="aspi://module='ASPI'&amp;link='256/2004%20Sb.%252312i'&amp;ucin-k-dni='30.12.9999'" TargetMode="External"/><Relationship Id="rId186" Type="http://schemas.openxmlformats.org/officeDocument/2006/relationships/hyperlink" Target="aspi://module='ASPI'&amp;link='256/2004%20Sb.%252373f'&amp;ucin-k-dni='30.12.9999'" TargetMode="External"/><Relationship Id="rId351" Type="http://schemas.openxmlformats.org/officeDocument/2006/relationships/hyperlink" Target="aspi://module='ASPI'&amp;link='240/2013%20Sb.%2523291'&amp;ucin-k-dni='30.12.9999'" TargetMode="External"/><Relationship Id="rId393" Type="http://schemas.openxmlformats.org/officeDocument/2006/relationships/hyperlink" Target="aspi://module='ASPI'&amp;link='240/2013%20Sb.%2523293'&amp;ucin-k-dni='30.12.9999'" TargetMode="External"/><Relationship Id="rId407" Type="http://schemas.openxmlformats.org/officeDocument/2006/relationships/hyperlink" Target="aspi://module='ASPI'&amp;link='240/2013%20Sb.%252336'&amp;ucin-k-dni='30.12.9999'" TargetMode="External"/><Relationship Id="rId449" Type="http://schemas.openxmlformats.org/officeDocument/2006/relationships/hyperlink" Target="aspi://module='ASPI'&amp;link='240/2013%20Sb.%2523453'&amp;ucin-k-dni='30.12.9999'" TargetMode="External"/><Relationship Id="rId614" Type="http://schemas.openxmlformats.org/officeDocument/2006/relationships/hyperlink" Target="aspi://module='EU'&amp;link='32017R1131%2523'&amp;ucin-k-dni='30.12.9999'" TargetMode="External"/><Relationship Id="rId656" Type="http://schemas.openxmlformats.org/officeDocument/2006/relationships/hyperlink" Target="aspi://module='ASPI'&amp;link='240/2013%20Sb.%2523300'&amp;ucin-k-dni='30.12.9999'" TargetMode="External"/><Relationship Id="rId211" Type="http://schemas.openxmlformats.org/officeDocument/2006/relationships/hyperlink" Target="aspi://module='ASPI'&amp;link='256/2004%20Sb.%2523134c'&amp;ucin-k-dni='30.12.9999'" TargetMode="External"/><Relationship Id="rId253" Type="http://schemas.openxmlformats.org/officeDocument/2006/relationships/hyperlink" Target="aspi://module='EU'&amp;link='32014R1286%2523'&amp;ucin-k-dni='30.12.9999'" TargetMode="External"/><Relationship Id="rId295" Type="http://schemas.openxmlformats.org/officeDocument/2006/relationships/hyperlink" Target="aspi://module='EU'&amp;link='32017R1129%2523%25C8l16.1-%25C8l.16'&amp;ucin-k-dni='30.12.9999'" TargetMode="External"/><Relationship Id="rId309" Type="http://schemas.openxmlformats.org/officeDocument/2006/relationships/hyperlink" Target="https://www.zakonyprolidi.cz/cs/2009-93" TargetMode="External"/><Relationship Id="rId460" Type="http://schemas.openxmlformats.org/officeDocument/2006/relationships/hyperlink" Target="aspi://module='ASPI'&amp;link='240/2013%20Sb.%252349'&amp;ucin-k-dni='30.12.9999'" TargetMode="External"/><Relationship Id="rId516" Type="http://schemas.openxmlformats.org/officeDocument/2006/relationships/hyperlink" Target="aspi://module='ASPI'&amp;link='240/2013%20Sb.%2523249'&amp;ucin-k-dni='30.12.9999'" TargetMode="External"/><Relationship Id="rId698" Type="http://schemas.openxmlformats.org/officeDocument/2006/relationships/hyperlink" Target="aspi://module='ASPI'&amp;link='240/2013%20Sb.%2523348'&amp;ucin-k-dni='30.12.9999'" TargetMode="External"/><Relationship Id="rId48" Type="http://schemas.openxmlformats.org/officeDocument/2006/relationships/hyperlink" Target="aspi://module='ASPI'&amp;link='256/2004%20Sb.%25234b'&amp;ucin-k-dni='30.12.9999'" TargetMode="External"/><Relationship Id="rId113" Type="http://schemas.openxmlformats.org/officeDocument/2006/relationships/hyperlink" Target="aspi://module='ASPI'&amp;link='256/2004%20Sb.%252341'&amp;ucin-k-dni='30.12.9999'" TargetMode="External"/><Relationship Id="rId320" Type="http://schemas.openxmlformats.org/officeDocument/2006/relationships/hyperlink" Target="aspi://module='ASPI'&amp;link='240/2013%20Sb.%252335'&amp;ucin-k-dni='30.12.9999'" TargetMode="External"/><Relationship Id="rId558" Type="http://schemas.openxmlformats.org/officeDocument/2006/relationships/hyperlink" Target="aspi://module='ASPI'&amp;link='240/2013%20Sb.%2523481'&amp;ucin-k-dni='30.12.9999'" TargetMode="External"/><Relationship Id="rId155" Type="http://schemas.openxmlformats.org/officeDocument/2006/relationships/hyperlink" Target="aspi://module='ASPI'&amp;link='256/2004%20Sb.%252373'&amp;ucin-k-dni='30.12.9999'" TargetMode="External"/><Relationship Id="rId197" Type="http://schemas.openxmlformats.org/officeDocument/2006/relationships/hyperlink" Target="aspi://module='ASPI'&amp;link='256/2004%20Sb.%252350c'&amp;ucin-k-dni='30.12.9999'" TargetMode="External"/><Relationship Id="rId362" Type="http://schemas.openxmlformats.org/officeDocument/2006/relationships/hyperlink" Target="aspi://module='ASPI'&amp;link='240/2013%20Sb.%252320'&amp;ucin-k-dni='30.12.9999'" TargetMode="External"/><Relationship Id="rId418" Type="http://schemas.openxmlformats.org/officeDocument/2006/relationships/hyperlink" Target="aspi://module='ASPI'&amp;link='240/2013%20Sb.%2523219'&amp;ucin-k-dni='30.12.9999'" TargetMode="External"/><Relationship Id="rId625" Type="http://schemas.openxmlformats.org/officeDocument/2006/relationships/hyperlink" Target="aspi://module='ASPI'&amp;link='240/2013%20Sb.%2523669'&amp;ucin-k-dni='30.12.9999'" TargetMode="External"/><Relationship Id="rId222" Type="http://schemas.openxmlformats.org/officeDocument/2006/relationships/hyperlink" Target="aspi://module='ASPI'&amp;link='256/2004%20Sb.%2523127'&amp;ucin-k-dni='30.12.9999'" TargetMode="External"/><Relationship Id="rId264" Type="http://schemas.openxmlformats.org/officeDocument/2006/relationships/hyperlink" Target="aspi://module='EU'&amp;link='32015R2365%2523'&amp;ucin-k-dni='30.12.9999'" TargetMode="External"/><Relationship Id="rId471" Type="http://schemas.openxmlformats.org/officeDocument/2006/relationships/hyperlink" Target="aspi://module='ASPI'&amp;link='240/2013%20Sb.%2523469'&amp;ucin-k-dni='30.12.9999'" TargetMode="External"/><Relationship Id="rId667" Type="http://schemas.openxmlformats.org/officeDocument/2006/relationships/hyperlink" Target="aspi://module='ASPI'&amp;link='240/2013%20Sb.%2523300'&amp;ucin-k-dni='30.12.9999'" TargetMode="External"/><Relationship Id="rId17" Type="http://schemas.openxmlformats.org/officeDocument/2006/relationships/hyperlink" Target="aspi://module='ASPI'&amp;link='104/2013%20Sb.%2523'&amp;ucin-k-dni='30.12.9999'" TargetMode="External"/><Relationship Id="rId59" Type="http://schemas.openxmlformats.org/officeDocument/2006/relationships/hyperlink" Target="aspi://module='ASPI'&amp;link='256/2004%20Sb.%252317i'&amp;ucin-k-dni='30.12.9999'" TargetMode="External"/><Relationship Id="rId124" Type="http://schemas.openxmlformats.org/officeDocument/2006/relationships/hyperlink" Target="aspi://module='ASPI'&amp;link='256/2004%20Sb.%252350f'&amp;ucin-k-dni='30.12.9999'" TargetMode="External"/><Relationship Id="rId527" Type="http://schemas.openxmlformats.org/officeDocument/2006/relationships/hyperlink" Target="aspi://module='ASPI'&amp;link='240/2013%20Sb.%2523404'&amp;ucin-k-dni='30.12.9999'" TargetMode="External"/><Relationship Id="rId569" Type="http://schemas.openxmlformats.org/officeDocument/2006/relationships/hyperlink" Target="aspi://module='ASPI'&amp;link='240/2013%20Sb.%252365'&amp;ucin-k-dni='30.12.9999'" TargetMode="External"/><Relationship Id="rId70" Type="http://schemas.openxmlformats.org/officeDocument/2006/relationships/hyperlink" Target="aspi://module='ASPI'&amp;link='256/2004%20Sb.%2523122'&amp;ucin-k-dni='30.12.9999'" TargetMode="External"/><Relationship Id="rId166" Type="http://schemas.openxmlformats.org/officeDocument/2006/relationships/hyperlink" Target="aspi://module='ASPI'&amp;link='256/2004%20Sb.%252350g'&amp;ucin-k-dni='30.12.9999'" TargetMode="External"/><Relationship Id="rId331" Type="http://schemas.openxmlformats.org/officeDocument/2006/relationships/hyperlink" Target="aspi://module='ASPI'&amp;link='240/2013%20Sb.%252334'&amp;ucin-k-dni='30.12.9999'" TargetMode="External"/><Relationship Id="rId373" Type="http://schemas.openxmlformats.org/officeDocument/2006/relationships/hyperlink" Target="aspi://module='ASPI'&amp;link='240/2013%20Sb.%2523673'&amp;ucin-k-dni='30.12.9999'" TargetMode="External"/><Relationship Id="rId429" Type="http://schemas.openxmlformats.org/officeDocument/2006/relationships/hyperlink" Target="aspi://module='ASPI'&amp;link='240/2013%20Sb.%2523376'&amp;ucin-k-dni='30.12.9999'" TargetMode="External"/><Relationship Id="rId580" Type="http://schemas.openxmlformats.org/officeDocument/2006/relationships/hyperlink" Target="aspi://module='ASPI'&amp;link='240/2013%20Sb.%252375'&amp;ucin-k-dni='30.12.9999'" TargetMode="External"/><Relationship Id="rId636" Type="http://schemas.openxmlformats.org/officeDocument/2006/relationships/hyperlink" Target="aspi://module='ASPI'&amp;link='240/2013%20Sb.%252391'&amp;ucin-k-dni='30.12.9999'" TargetMode="External"/><Relationship Id="rId1" Type="http://schemas.openxmlformats.org/officeDocument/2006/relationships/customXml" Target="../customXml/item1.xml"/><Relationship Id="rId233" Type="http://schemas.openxmlformats.org/officeDocument/2006/relationships/hyperlink" Target="aspi://module='ASPI'&amp;link='256/2004%20Sb.%2523127d'&amp;ucin-k-dni='30.12.9999'" TargetMode="External"/><Relationship Id="rId440" Type="http://schemas.openxmlformats.org/officeDocument/2006/relationships/hyperlink" Target="aspi://module='ASPI'&amp;link='240/2013%20Sb.%2523268'&amp;ucin-k-dni='30.12.9999'" TargetMode="External"/><Relationship Id="rId678" Type="http://schemas.openxmlformats.org/officeDocument/2006/relationships/hyperlink" Target="aspi://module='ASPI'&amp;link='240/2013%20Sb.%252353'&amp;ucin-k-dni='30.12.9999'" TargetMode="External"/><Relationship Id="rId28" Type="http://schemas.openxmlformats.org/officeDocument/2006/relationships/hyperlink" Target="aspi://module='ASPI'&amp;link='256/2004%20Sb.%2523129'&amp;ucin-k-dni='30.12.9999'" TargetMode="External"/><Relationship Id="rId275" Type="http://schemas.openxmlformats.org/officeDocument/2006/relationships/hyperlink" Target="aspi://module='EU'&amp;link='32016R1011%2523'&amp;ucin-k-dni='30.12.9999'" TargetMode="External"/><Relationship Id="rId300" Type="http://schemas.openxmlformats.org/officeDocument/2006/relationships/hyperlink" Target="aspi://module='EU'&amp;link='32017R1129%2523%25C8l21.1-%25C8l.21'&amp;ucin-k-dni='30.12.9999'" TargetMode="External"/><Relationship Id="rId482" Type="http://schemas.openxmlformats.org/officeDocument/2006/relationships/hyperlink" Target="aspi://module='ASPI'&amp;link='240/2013%20Sb.%2523114'&amp;ucin-k-dni='30.12.9999'" TargetMode="External"/><Relationship Id="rId538" Type="http://schemas.openxmlformats.org/officeDocument/2006/relationships/hyperlink" Target="aspi://module='ASPI'&amp;link='240/2013%20Sb.%2523450'&amp;ucin-k-dni='30.12.9999'" TargetMode="External"/><Relationship Id="rId703" Type="http://schemas.openxmlformats.org/officeDocument/2006/relationships/hyperlink" Target="aspi://module='ASPI'&amp;link='240/2013%20Sb.%2523563'&amp;ucin-k-dni='30.12.9999'" TargetMode="External"/><Relationship Id="rId81" Type="http://schemas.openxmlformats.org/officeDocument/2006/relationships/hyperlink" Target="aspi://module='ASPI'&amp;link='256/2004%20Sb.%252328b'&amp;ucin-k-dni='30.12.9999'" TargetMode="External"/><Relationship Id="rId135" Type="http://schemas.openxmlformats.org/officeDocument/2006/relationships/hyperlink" Target="aspi://module='ASPI'&amp;link='256/2004%20Sb.%2523127'&amp;ucin-k-dni='30.12.9999'" TargetMode="External"/><Relationship Id="rId177" Type="http://schemas.openxmlformats.org/officeDocument/2006/relationships/hyperlink" Target="aspi://module='ASPI'&amp;link='256/2004%20Sb.%252373d'&amp;ucin-k-dni='30.12.9999'" TargetMode="External"/><Relationship Id="rId342" Type="http://schemas.openxmlformats.org/officeDocument/2006/relationships/hyperlink" Target="aspi://module='ASPI'&amp;link='240/2013%20Sb.%2523267'&amp;ucin-k-dni='30.12.9999'" TargetMode="External"/><Relationship Id="rId384" Type="http://schemas.openxmlformats.org/officeDocument/2006/relationships/hyperlink" Target="aspi://module='ASPI'&amp;link='240/2013%20Sb.%2523466'&amp;ucin-k-dni='30.12.9999'" TargetMode="External"/><Relationship Id="rId591" Type="http://schemas.openxmlformats.org/officeDocument/2006/relationships/hyperlink" Target="aspi://module='EU'&amp;link='32013R0231%2523'&amp;ucin-k-dni='30.12.9999'" TargetMode="External"/><Relationship Id="rId605" Type="http://schemas.openxmlformats.org/officeDocument/2006/relationships/hyperlink" Target="aspi://module='EU'&amp;link='32015R0760%2523'&amp;ucin-k-dni='30.12.9999'" TargetMode="External"/><Relationship Id="rId202" Type="http://schemas.openxmlformats.org/officeDocument/2006/relationships/hyperlink" Target="aspi://module='ASPI'&amp;link='256/2004%20Sb.%252373h'&amp;ucin-k-dni='30.12.9999'" TargetMode="External"/><Relationship Id="rId244" Type="http://schemas.openxmlformats.org/officeDocument/2006/relationships/hyperlink" Target="aspi://module='EU'&amp;link='32014R0596%2523%25C8l.20'&amp;ucin-k-dni='30.12.9999'" TargetMode="External"/><Relationship Id="rId647" Type="http://schemas.openxmlformats.org/officeDocument/2006/relationships/hyperlink" Target="aspi://module='ASPI'&amp;link='240/2013%20Sb.%2523319'&amp;ucin-k-dni='30.12.9999'" TargetMode="External"/><Relationship Id="rId689" Type="http://schemas.openxmlformats.org/officeDocument/2006/relationships/hyperlink" Target="aspi://module='ASPI'&amp;link='240/2013%20Sb.%252369'&amp;ucin-k-dni='30.12.9999'" TargetMode="External"/><Relationship Id="rId39" Type="http://schemas.openxmlformats.org/officeDocument/2006/relationships/hyperlink" Target="aspi://module='ASPI'&amp;link='256/2004%20Sb.%2523121l'&amp;ucin-k-dni='30.12.9999'" TargetMode="External"/><Relationship Id="rId286" Type="http://schemas.openxmlformats.org/officeDocument/2006/relationships/hyperlink" Target="aspi://module='EU'&amp;link='32017R1129%2523%25C8l7.1-%25C8l.7'&amp;ucin-k-dni='30.12.9999'" TargetMode="External"/><Relationship Id="rId451" Type="http://schemas.openxmlformats.org/officeDocument/2006/relationships/hyperlink" Target="aspi://module='ASPI'&amp;link='240/2013%20Sb.%2523671'&amp;ucin-k-dni='30.12.9999'" TargetMode="External"/><Relationship Id="rId493" Type="http://schemas.openxmlformats.org/officeDocument/2006/relationships/hyperlink" Target="aspi://module='ASPI'&amp;link='240/2013%20Sb.%2523635'&amp;ucin-k-dni='30.12.9999'" TargetMode="External"/><Relationship Id="rId507" Type="http://schemas.openxmlformats.org/officeDocument/2006/relationships/hyperlink" Target="aspi://module='ASPI'&amp;link='240/2013%20Sb.%2523233'&amp;ucin-k-dni='30.12.9999'" TargetMode="External"/><Relationship Id="rId549" Type="http://schemas.openxmlformats.org/officeDocument/2006/relationships/hyperlink" Target="aspi://module='ASPI'&amp;link='240/2013%20Sb.%252330'&amp;ucin-k-dni='30.12.9999'" TargetMode="External"/><Relationship Id="rId714" Type="http://schemas.openxmlformats.org/officeDocument/2006/relationships/hyperlink" Target="aspi://module='ASPI'&amp;link='240/2013%20Sb.%2523639'&amp;ucin-k-dni='30.12.9999'" TargetMode="External"/><Relationship Id="rId50" Type="http://schemas.openxmlformats.org/officeDocument/2006/relationships/hyperlink" Target="aspi://module='ASPI'&amp;link='256/2004%20Sb.%25234b'&amp;ucin-k-dni='30.12.9999'" TargetMode="External"/><Relationship Id="rId104" Type="http://schemas.openxmlformats.org/officeDocument/2006/relationships/hyperlink" Target="aspi://module='ASPI'&amp;link='256/2004%20Sb.%252332b'&amp;ucin-k-dni='30.12.9999'" TargetMode="External"/><Relationship Id="rId146" Type="http://schemas.openxmlformats.org/officeDocument/2006/relationships/hyperlink" Target="aspi://module='ASPI'&amp;link='256/2004%20Sb.%252369'&amp;ucin-k-dni='30.12.9999'" TargetMode="External"/><Relationship Id="rId188" Type="http://schemas.openxmlformats.org/officeDocument/2006/relationships/hyperlink" Target="aspi://module='ASPI'&amp;link='256/2004%20Sb.%252373f'&amp;ucin-k-dni='30.12.9999'" TargetMode="External"/><Relationship Id="rId311" Type="http://schemas.openxmlformats.org/officeDocument/2006/relationships/hyperlink" Target="https://www.zakonyprolidi.cz/cs/2009-93" TargetMode="External"/><Relationship Id="rId353" Type="http://schemas.openxmlformats.org/officeDocument/2006/relationships/hyperlink" Target="aspi://module='EU'&amp;link='32013R0345%2523%25C8l.12'&amp;ucin-k-dni='30.12.9999'" TargetMode="External"/><Relationship Id="rId395" Type="http://schemas.openxmlformats.org/officeDocument/2006/relationships/hyperlink" Target="aspi://module='ASPI'&amp;link='240/2013%20Sb.%2523'&amp;ucin-k-dni='30.12.9999'" TargetMode="External"/><Relationship Id="rId409" Type="http://schemas.openxmlformats.org/officeDocument/2006/relationships/hyperlink" Target="aspi://module='ASPI'&amp;link='240/2013%20Sb.%2523471'&amp;ucin-k-dni='30.12.9999'" TargetMode="External"/><Relationship Id="rId560" Type="http://schemas.openxmlformats.org/officeDocument/2006/relationships/hyperlink" Target="aspi://module='ASPI'&amp;link='240/2013%20Sb.%252357'&amp;ucin-k-dni='30.12.9999'" TargetMode="External"/><Relationship Id="rId92" Type="http://schemas.openxmlformats.org/officeDocument/2006/relationships/hyperlink" Target="aspi://module='ASPI'&amp;link='256/2004%20Sb.%252328b'&amp;ucin-k-dni='30.12.9999'" TargetMode="External"/><Relationship Id="rId213" Type="http://schemas.openxmlformats.org/officeDocument/2006/relationships/hyperlink" Target="aspi://module='ASPI'&amp;link='256/2004%20Sb.%252348a'&amp;ucin-k-dni='30.12.9999'" TargetMode="External"/><Relationship Id="rId420" Type="http://schemas.openxmlformats.org/officeDocument/2006/relationships/hyperlink" Target="aspi://module='ASPI'&amp;link='240/2013%20Sb.%252368'&amp;ucin-k-dni='30.12.9999'" TargetMode="External"/><Relationship Id="rId616" Type="http://schemas.openxmlformats.org/officeDocument/2006/relationships/hyperlink" Target="aspi://module='ASPI'&amp;link='240/2013%20Sb.%2523669'&amp;ucin-k-dni='30.12.9999'" TargetMode="External"/><Relationship Id="rId658" Type="http://schemas.openxmlformats.org/officeDocument/2006/relationships/hyperlink" Target="aspi://module='ASPI'&amp;link='240/2013%20Sb.%2523305'&amp;ucin-k-dni='30.12.9999'" TargetMode="External"/><Relationship Id="rId255" Type="http://schemas.openxmlformats.org/officeDocument/2006/relationships/hyperlink" Target="aspi://module='EU'&amp;link='32014R1286%2523'&amp;ucin-k-dni='30.12.9999'" TargetMode="External"/><Relationship Id="rId297" Type="http://schemas.openxmlformats.org/officeDocument/2006/relationships/hyperlink" Target="aspi://module='EU'&amp;link='32017R1129%2523%25C8l.18'&amp;ucin-k-dni='30.12.9999'" TargetMode="External"/><Relationship Id="rId462" Type="http://schemas.openxmlformats.org/officeDocument/2006/relationships/hyperlink" Target="aspi://module='ASPI'&amp;link='240/2013%20Sb.%252354'&amp;ucin-k-dni='30.12.9999'" TargetMode="External"/><Relationship Id="rId518" Type="http://schemas.openxmlformats.org/officeDocument/2006/relationships/hyperlink" Target="aspi://module='ASPI'&amp;link='240/2013%20Sb.%2523250'&amp;ucin-k-dni='30.12.9999'" TargetMode="External"/><Relationship Id="rId115" Type="http://schemas.openxmlformats.org/officeDocument/2006/relationships/hyperlink" Target="aspi://module='ASPI'&amp;link='256/2004%20Sb.%252347'&amp;ucin-k-dni='30.12.9999'" TargetMode="External"/><Relationship Id="rId157" Type="http://schemas.openxmlformats.org/officeDocument/2006/relationships/hyperlink" Target="aspi://module='ASPI'&amp;link='256/2004%20Sb.%252373'&amp;ucin-k-dni='30.12.9999'" TargetMode="External"/><Relationship Id="rId322" Type="http://schemas.openxmlformats.org/officeDocument/2006/relationships/hyperlink" Target="aspi://module='ASPI'&amp;link='240/2013%20Sb.%252334'&amp;ucin-k-dni='30.12.9999'" TargetMode="External"/><Relationship Id="rId364" Type="http://schemas.openxmlformats.org/officeDocument/2006/relationships/hyperlink" Target="aspi://module='ASPI'&amp;link='240/2013%20Sb.%252320a'&amp;ucin-k-dni='30.12.9999'" TargetMode="External"/><Relationship Id="rId61" Type="http://schemas.openxmlformats.org/officeDocument/2006/relationships/hyperlink" Target="aspi://module='ASPI'&amp;link='256/2004%20Sb.%252373k'&amp;ucin-k-dni='30.12.9999'" TargetMode="External"/><Relationship Id="rId199" Type="http://schemas.openxmlformats.org/officeDocument/2006/relationships/hyperlink" Target="aspi://module='ASPI'&amp;link='256/2004%20Sb.%252350d'&amp;ucin-k-dni='30.12.9999'" TargetMode="External"/><Relationship Id="rId571" Type="http://schemas.openxmlformats.org/officeDocument/2006/relationships/hyperlink" Target="aspi://module='ASPI'&amp;link='240/2013%20Sb.%252366a'&amp;ucin-k-dni='30.12.9999'" TargetMode="External"/><Relationship Id="rId627" Type="http://schemas.openxmlformats.org/officeDocument/2006/relationships/hyperlink" Target="aspi://module='ASPI'&amp;link='240/2013%20Sb.%2523260'&amp;ucin-k-dni='30.12.9999'" TargetMode="External"/><Relationship Id="rId669" Type="http://schemas.openxmlformats.org/officeDocument/2006/relationships/hyperlink" Target="aspi://module='ASPI'&amp;link='240/2013%20Sb.%2523353'&amp;ucin-k-dni='30.12.9999'" TargetMode="External"/><Relationship Id="rId19" Type="http://schemas.openxmlformats.org/officeDocument/2006/relationships/hyperlink" Target="aspi://module='ASPI'&amp;link='219/2000%20Sb.%252314'&amp;ucin-k-dni='30.12.9999'" TargetMode="External"/><Relationship Id="rId224" Type="http://schemas.openxmlformats.org/officeDocument/2006/relationships/hyperlink" Target="aspi://module='ASPI'&amp;link='256/2004%20Sb.%2523121e'&amp;ucin-k-dni='30.12.9999'" TargetMode="External"/><Relationship Id="rId266" Type="http://schemas.openxmlformats.org/officeDocument/2006/relationships/hyperlink" Target="aspi://module='EU'&amp;link='32016R1011%2523'&amp;ucin-k-dni='30.12.9999'" TargetMode="External"/><Relationship Id="rId431" Type="http://schemas.openxmlformats.org/officeDocument/2006/relationships/hyperlink" Target="aspi://module='ASPI'&amp;link='240/2013%20Sb.%2523432'&amp;ucin-k-dni='30.12.9999'" TargetMode="External"/><Relationship Id="rId473" Type="http://schemas.openxmlformats.org/officeDocument/2006/relationships/hyperlink" Target="aspi://module='ASPI'&amp;link='89/2012%20Sb.%25231843'&amp;ucin-k-dni='30.12.9999'" TargetMode="External"/><Relationship Id="rId529" Type="http://schemas.openxmlformats.org/officeDocument/2006/relationships/hyperlink" Target="aspi://module='ASPI'&amp;link='240/2013%20Sb.%2523407'&amp;ucin-k-dni='30.12.9999'" TargetMode="External"/><Relationship Id="rId680" Type="http://schemas.openxmlformats.org/officeDocument/2006/relationships/hyperlink" Target="aspi://module='ASPI'&amp;link='240/2013%20Sb.%252344'&amp;ucin-k-dni='30.12.9999'" TargetMode="External"/><Relationship Id="rId30" Type="http://schemas.openxmlformats.org/officeDocument/2006/relationships/hyperlink" Target="aspi://module='ASPI'&amp;link='256/2004%20Sb.%252350g'&amp;ucin-k-dni='30.12.9999'" TargetMode="External"/><Relationship Id="rId126" Type="http://schemas.openxmlformats.org/officeDocument/2006/relationships/hyperlink" Target="aspi://module='ASPI'&amp;link='256/2004%20Sb.%252351'&amp;ucin-k-dni='30.12.9999'" TargetMode="External"/><Relationship Id="rId168" Type="http://schemas.openxmlformats.org/officeDocument/2006/relationships/hyperlink" Target="aspi://module='ASPI'&amp;link='256/2004%20Sb.%252361'&amp;ucin-k-dni='30.12.9999'" TargetMode="External"/><Relationship Id="rId333" Type="http://schemas.openxmlformats.org/officeDocument/2006/relationships/hyperlink" Target="aspi://module='ASPI'&amp;link='240/2013%20Sb.%252334'&amp;ucin-k-dni='30.12.9999'" TargetMode="External"/><Relationship Id="rId540" Type="http://schemas.openxmlformats.org/officeDocument/2006/relationships/hyperlink" Target="aspi://module='ASPI'&amp;link='240/2013%20Sb.%2523455'&amp;ucin-k-dni='30.12.9999'" TargetMode="External"/></Relationships>
</file>

<file path=word/_rels/footnotes.xml.rels><?xml version="1.0" encoding="UTF-8" standalone="yes"?>
<Relationships xmlns="http://schemas.openxmlformats.org/package/2006/relationships"><Relationship Id="rId8" Type="http://schemas.openxmlformats.org/officeDocument/2006/relationships/hyperlink" Target="aspi://module='ASPI'&amp;link='242/1994%20Sb.%2523'&amp;ucin-k-dni='30.12.9999'" TargetMode="External"/><Relationship Id="rId13" Type="http://schemas.openxmlformats.org/officeDocument/2006/relationships/hyperlink" Target="aspi://module='ASPI'&amp;link='612/1992%20Sb.%25233'&amp;ucin-k-dni='30.12.9999'" TargetMode="External"/><Relationship Id="rId18" Type="http://schemas.openxmlformats.org/officeDocument/2006/relationships/hyperlink" Target="aspi://module='ASPI'&amp;link='526/1990%20Sb.%2523'&amp;ucin-k-dni='30.12.9999'" TargetMode="External"/><Relationship Id="rId26" Type="http://schemas.openxmlformats.org/officeDocument/2006/relationships/hyperlink" Target="aspi://module='ASPI'&amp;link='586/1992%20Sb.%252329'&amp;ucin-k-dni='30.12.9999'" TargetMode="External"/><Relationship Id="rId3" Type="http://schemas.openxmlformats.org/officeDocument/2006/relationships/hyperlink" Target="aspi://module='ASPI'&amp;link='182/2006%20Sb.%2523'&amp;ucin-k-dni='30.12.9999'" TargetMode="External"/><Relationship Id="rId21" Type="http://schemas.openxmlformats.org/officeDocument/2006/relationships/hyperlink" Target="aspi://module='ASPI'&amp;link='20/1992%20Sb.%2523'&amp;ucin-k-dni='30.12.9999'" TargetMode="External"/><Relationship Id="rId7" Type="http://schemas.openxmlformats.org/officeDocument/2006/relationships/hyperlink" Target="aspi://module='ASPI'&amp;link='338/1992%20Sb.%25235'&amp;ucin-k-dni='30.12.9999'" TargetMode="External"/><Relationship Id="rId12" Type="http://schemas.openxmlformats.org/officeDocument/2006/relationships/hyperlink" Target="aspi://module='ASPI'&amp;link='122/1984%20Sb.%2523'&amp;ucin-k-dni='30.12.9999'" TargetMode="External"/><Relationship Id="rId17" Type="http://schemas.openxmlformats.org/officeDocument/2006/relationships/hyperlink" Target="aspi://module='ASPI'&amp;link='81/1996%20Sb.%2523'&amp;ucin-k-dni='30.12.9999'" TargetMode="External"/><Relationship Id="rId25" Type="http://schemas.openxmlformats.org/officeDocument/2006/relationships/hyperlink" Target="aspi://module='ASPI'&amp;link='586/1992%20Sb.%252324'&amp;ucin-k-dni='30.12.9999'" TargetMode="External"/><Relationship Id="rId2" Type="http://schemas.openxmlformats.org/officeDocument/2006/relationships/hyperlink" Target="aspi://module='ASPI'&amp;link='182/2006%20Sb.%2523'&amp;ucin-k-dni='30.12.9999'" TargetMode="External"/><Relationship Id="rId16" Type="http://schemas.openxmlformats.org/officeDocument/2006/relationships/hyperlink" Target="aspi://module='ASPI'&amp;link='81/1996%20Sb.%25234-9'&amp;ucin-k-dni='30.12.9999'" TargetMode="External"/><Relationship Id="rId20" Type="http://schemas.openxmlformats.org/officeDocument/2006/relationships/hyperlink" Target="aspi://module='ASPI'&amp;link='563/1991%20Sb.%252324-26'&amp;ucin-k-dni='30.12.9999'" TargetMode="External"/><Relationship Id="rId29" Type="http://schemas.openxmlformats.org/officeDocument/2006/relationships/hyperlink" Target="aspi://module='ASPI'&amp;link='92/1991%20Sb.%2523'&amp;ucin-k-dni='30.12.9999'" TargetMode="External"/><Relationship Id="rId1" Type="http://schemas.openxmlformats.org/officeDocument/2006/relationships/hyperlink" Target="aspi://module='ASPI'&amp;link='123/2000%20Sb.%2523'&amp;ucin-k-dni='30.12.9999'" TargetMode="External"/><Relationship Id="rId6" Type="http://schemas.openxmlformats.org/officeDocument/2006/relationships/hyperlink" Target="aspi://module='ASPI'&amp;link='248/1992%20Sb.%252318'&amp;ucin-k-dni='30.12.9999'" TargetMode="External"/><Relationship Id="rId11" Type="http://schemas.openxmlformats.org/officeDocument/2006/relationships/hyperlink" Target="aspi://module='ASPI'&amp;link='122/1984%20Sb.%25231'&amp;ucin-k-dni='30.12.9999'" TargetMode="External"/><Relationship Id="rId24" Type="http://schemas.openxmlformats.org/officeDocument/2006/relationships/hyperlink" Target="aspi://module='ASPI'&amp;link='315/1993%20Sb.%2523'&amp;ucin-k-dni='30.12.9999'" TargetMode="External"/><Relationship Id="rId32" Type="http://schemas.openxmlformats.org/officeDocument/2006/relationships/hyperlink" Target="aspi://module='EU'&amp;link='32018R1805%2523'&amp;ucin-k-dni='30.12.9999'" TargetMode="External"/><Relationship Id="rId5" Type="http://schemas.openxmlformats.org/officeDocument/2006/relationships/hyperlink" Target="aspi://module='ASPI'&amp;link='6/1993%20Sb.%2523'&amp;ucin-k-dni='30.12.9999'" TargetMode="External"/><Relationship Id="rId15" Type="http://schemas.openxmlformats.org/officeDocument/2006/relationships/hyperlink" Target="aspi://module='ASPI'&amp;link='81/1996%20Sb.%25232'&amp;ucin-k-dni='30.12.9999'" TargetMode="External"/><Relationship Id="rId23" Type="http://schemas.openxmlformats.org/officeDocument/2006/relationships/hyperlink" Target="aspi://module='ASPI'&amp;link='338/1992%20Sb.%25235'&amp;ucin-k-dni='30.12.9999'" TargetMode="External"/><Relationship Id="rId28" Type="http://schemas.openxmlformats.org/officeDocument/2006/relationships/hyperlink" Target="aspi://module='ASPI'&amp;link='224/1996%20Sb.%2523'&amp;ucin-k-dni='30.12.9999'" TargetMode="External"/><Relationship Id="rId10" Type="http://schemas.openxmlformats.org/officeDocument/2006/relationships/hyperlink" Target="aspi://module='ASPI'&amp;link='122/1984%20Sb.%25232'&amp;ucin-k-dni='30.12.9999'" TargetMode="External"/><Relationship Id="rId19" Type="http://schemas.openxmlformats.org/officeDocument/2006/relationships/hyperlink" Target="aspi://module='ASPI'&amp;link='135/1994%20Sb.%2523'&amp;ucin-k-dni='30.12.9999'" TargetMode="External"/><Relationship Id="rId31" Type="http://schemas.openxmlformats.org/officeDocument/2006/relationships/hyperlink" Target="aspi://module='ASPI'&amp;link='229/1991%20Sb.%252328a'&amp;ucin-k-dni='30.12.9999'" TargetMode="External"/><Relationship Id="rId4" Type="http://schemas.openxmlformats.org/officeDocument/2006/relationships/hyperlink" Target="aspi://module='ASPI'&amp;link='26/2000%20Sb.%2523'&amp;ucin-k-dni='30.12.9999'" TargetMode="External"/><Relationship Id="rId9" Type="http://schemas.openxmlformats.org/officeDocument/2006/relationships/hyperlink" Target="aspi://module='ASPI'&amp;link='42/1994%20Sb.%252333'&amp;ucin-k-dni='30.12.9999'" TargetMode="External"/><Relationship Id="rId14" Type="http://schemas.openxmlformats.org/officeDocument/2006/relationships/hyperlink" Target="aspi://module='ASPI'&amp;link='612/1992%20Sb.%2523'&amp;ucin-k-dni='30.12.9999'" TargetMode="External"/><Relationship Id="rId22" Type="http://schemas.openxmlformats.org/officeDocument/2006/relationships/hyperlink" Target="aspi://module='ASPI'&amp;link='57/1993%20Sb.%2523'&amp;ucin-k-dni='30.12.9999'" TargetMode="External"/><Relationship Id="rId27" Type="http://schemas.openxmlformats.org/officeDocument/2006/relationships/hyperlink" Target="aspi://module='ASPI'&amp;link='586/1992%20Sb.%2523'&amp;ucin-k-dni='30.12.9999'" TargetMode="External"/><Relationship Id="rId30" Type="http://schemas.openxmlformats.org/officeDocument/2006/relationships/hyperlink" Target="aspi://module='ASPI'&amp;link='229/1991%20Sb.%252311'&amp;ucin-k-dni='30.12.9999'" TargetMode="External"/></Relationships>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E4BB14E-2F99-4048-AF8C-172DC082D3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412</TotalTime>
  <Pages>1001</Pages>
  <Words>395246</Words>
  <Characters>2331957</Characters>
  <Application>Microsoft Office Word</Application>
  <DocSecurity>0</DocSecurity>
  <Lines>19432</Lines>
  <Paragraphs>5443</Paragraphs>
  <ScaleCrop>false</ScaleCrop>
  <HeadingPairs>
    <vt:vector size="2" baseType="variant">
      <vt:variant>
        <vt:lpstr>Název</vt:lpstr>
      </vt:variant>
      <vt:variant>
        <vt:i4>1</vt:i4>
      </vt:variant>
    </vt:vector>
  </HeadingPairs>
  <TitlesOfParts>
    <vt:vector size="1" baseType="lpstr">
      <vt:lpstr/>
    </vt:vector>
  </TitlesOfParts>
  <Company>Ministerstvo financí</Company>
  <LinksUpToDate>false</LinksUpToDate>
  <CharactersWithSpaces>2721760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Wagenknecht Pavel</dc:creator>
  <cp:lastModifiedBy>Koubová Michaela</cp:lastModifiedBy>
  <cp:revision>53</cp:revision>
  <dcterms:created xsi:type="dcterms:W3CDTF">2024-05-28T02:39:00Z</dcterms:created>
  <dcterms:modified xsi:type="dcterms:W3CDTF">2024-05-28T19:08:00Z</dcterms:modified>
</cp:coreProperties>
</file>